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24"/>
        <w:ind w:left="115" w:right="0" w:firstLine="0"/>
        <w:jc w:val="left"/>
        <w:rPr>
          <w:rFonts w:ascii="Lucida Sans"/>
          <w:sz w:val="90"/>
        </w:rPr>
      </w:pPr>
      <w:r>
        <w:rPr/>
        <w:pict>
          <v:group style="position:absolute;margin-left:13.917023pt;margin-top:6.142015pt;width:566.950pt;height:821.45pt;mso-position-horizontal-relative:page;mso-position-vertical-relative:page;z-index:-307432" coordorigin="278,123" coordsize="11339,16429">
            <v:shape style="position:absolute;left:1809;top:2893;width:8315;height:12152" type="#_x0000_t75" stroked="false">
              <v:imagedata r:id="rId5" o:title=""/>
            </v:shape>
            <v:shape style="position:absolute;left:1781;top:2933;width:8418;height:12184" coordorigin="1781,2934" coordsize="8418,12184" path="m10196,15118l1782,15118,1781,2935,6272,2934,10199,6652,10196,15118xe" filled="false" stroked="true" strokeweight="1pt" strokecolor="#ffffff">
              <v:path arrowok="t"/>
              <v:stroke dashstyle="solid"/>
            </v:shape>
            <v:shape style="position:absolute;left:6330;top:3053;width:3728;height:3572" type="#_x0000_t75" stroked="false">
              <v:imagedata r:id="rId6" o:title=""/>
            </v:shape>
            <v:shape style="position:absolute;left:1781;top:2933;width:8418;height:12184" coordorigin="1781,2934" coordsize="8418,12184" path="m10196,15118l1782,15118,1781,2935,6272,2934,10199,6652,10196,15118xe" filled="false" stroked="true" strokeweight="1pt" strokecolor="#ffffff">
              <v:path arrowok="t"/>
              <v:stroke dashstyle="solid"/>
            </v:shape>
            <v:shape style="position:absolute;left:1752;top:2917;width:8446;height:12184" coordorigin="1752,2918" coordsize="8446,12184" path="m6276,2918l10185,6668,10143,15101,1752,15101,1752,2933,6257,2933,6257,6681,10198,6681e" filled="false" stroked="true" strokeweight="7pt" strokecolor="#ffffff">
              <v:path arrowok="t"/>
              <v:stroke dashstyle="solid"/>
            </v:shape>
            <v:rect style="position:absolute;left:278;top:280;width:11339;height:16271" filled="true" fillcolor="#d91921" stroked="false">
              <v:fill type="solid"/>
            </v:rect>
            <v:shape style="position:absolute;left:1781;top:2933;width:8418;height:12184" coordorigin="1781,2934" coordsize="8418,12184" path="m10196,15118l1782,15118,1781,2935,6272,2934,10199,6652,10196,15118xe" filled="false" stroked="true" strokeweight="1pt" strokecolor="#ffffff">
              <v:path arrowok="t"/>
              <v:stroke dashstyle="solid"/>
            </v:shape>
            <v:shape style="position:absolute;left:1752;top:2917;width:8446;height:12184" coordorigin="1752,2918" coordsize="8446,12184" path="m6276,2918l10185,6668,10143,15101,1752,15101,1752,2933,6257,2933,6257,6681,10198,6681e" filled="false" stroked="true" strokeweight="7pt" strokecolor="#ffffff">
              <v:path arrowok="t"/>
              <v:stroke dashstyle="solid"/>
            </v:shape>
            <v:shape style="position:absolute;left:9944;top:122;width:1473;height:1769" type="#_x0000_t75" stroked="false">
              <v:imagedata r:id="rId7" o:title=""/>
            </v:shape>
            <v:line style="position:absolute" from="2709,2360" to="2709,2008" stroked="true" strokeweight="1pt" strokecolor="#ffffff">
              <v:stroke dashstyle="solid"/>
            </v:line>
            <w10:wrap type="none"/>
          </v:group>
        </w:pict>
      </w:r>
      <w:r>
        <w:rPr>
          <w:rFonts w:ascii="Lucida Sans"/>
          <w:color w:val="FFFFFF"/>
          <w:spacing w:val="-49"/>
          <w:sz w:val="90"/>
        </w:rPr>
        <w:t>Succession</w:t>
      </w:r>
      <w:r>
        <w:rPr>
          <w:rFonts w:ascii="Lucida Sans"/>
          <w:color w:val="FFFFFF"/>
          <w:spacing w:val="-182"/>
          <w:sz w:val="90"/>
        </w:rPr>
        <w:t> </w:t>
      </w:r>
      <w:r>
        <w:rPr>
          <w:rFonts w:ascii="Lucida Sans"/>
          <w:color w:val="FFFFFF"/>
          <w:spacing w:val="-54"/>
          <w:sz w:val="90"/>
        </w:rPr>
        <w:t>Laws</w:t>
      </w:r>
    </w:p>
    <w:p>
      <w:pPr>
        <w:tabs>
          <w:tab w:pos="1228" w:val="left" w:leader="none"/>
        </w:tabs>
        <w:spacing w:before="30"/>
        <w:ind w:left="115" w:right="0" w:firstLine="0"/>
        <w:jc w:val="left"/>
        <w:rPr>
          <w:rFonts w:ascii="Gill Sans MT"/>
          <w:sz w:val="22"/>
        </w:rPr>
      </w:pPr>
      <w:r>
        <w:rPr>
          <w:rFonts w:ascii="Tahoma"/>
          <w:b/>
          <w:color w:val="FFFFFF"/>
          <w:spacing w:val="4"/>
          <w:sz w:val="22"/>
        </w:rPr>
        <w:t>REPORT</w:t>
        <w:tab/>
      </w:r>
      <w:r>
        <w:rPr>
          <w:rFonts w:ascii="Gill Sans MT"/>
          <w:color w:val="FFFFFF"/>
          <w:spacing w:val="5"/>
          <w:sz w:val="22"/>
        </w:rPr>
        <w:t>AUGUST</w:t>
      </w:r>
      <w:r>
        <w:rPr>
          <w:rFonts w:ascii="Gill Sans MT"/>
          <w:color w:val="FFFFFF"/>
          <w:spacing w:val="13"/>
          <w:sz w:val="22"/>
        </w:rPr>
        <w:t> </w:t>
      </w:r>
      <w:r>
        <w:rPr>
          <w:rFonts w:ascii="Gill Sans MT"/>
          <w:color w:val="FFFFFF"/>
          <w:spacing w:val="6"/>
          <w:sz w:val="22"/>
        </w:rPr>
        <w:t>2013</w:t>
      </w:r>
    </w:p>
    <w:p>
      <w:pPr>
        <w:spacing w:after="0"/>
        <w:jc w:val="left"/>
        <w:rPr>
          <w:rFonts w:ascii="Gill Sans MT"/>
          <w:sz w:val="22"/>
        </w:rPr>
        <w:sectPr>
          <w:type w:val="continuous"/>
          <w:pgSz w:w="11910" w:h="16840"/>
          <w:pgMar w:top="920" w:bottom="280" w:left="1580" w:right="1680"/>
        </w:sectPr>
      </w:pPr>
    </w:p>
    <w:p>
      <w:pPr>
        <w:pStyle w:val="BodyText"/>
        <w:spacing w:before="4"/>
        <w:rPr>
          <w:rFonts w:ascii="Gill Sans MT"/>
          <w:sz w:val="3"/>
        </w:rPr>
      </w:pPr>
    </w:p>
    <w:p>
      <w:pPr>
        <w:pStyle w:val="BodyText"/>
        <w:ind w:left="5484"/>
        <w:rPr>
          <w:rFonts w:ascii="Gill Sans MT"/>
          <w:sz w:val="20"/>
        </w:rPr>
      </w:pPr>
      <w:r>
        <w:rPr>
          <w:rFonts w:ascii="Gill Sans MT"/>
          <w:sz w:val="20"/>
        </w:rPr>
        <w:drawing>
          <wp:inline distT="0" distB="0" distL="0" distR="0">
            <wp:extent cx="507956" cy="621792"/>
            <wp:effectExtent l="0" t="0" r="0" b="0"/>
            <wp:docPr id="1" name="image4.jpeg" descr=""/>
            <wp:cNvGraphicFramePr>
              <a:graphicFrameLocks noChangeAspect="1"/>
            </wp:cNvGraphicFramePr>
            <a:graphic>
              <a:graphicData uri="http://schemas.openxmlformats.org/drawingml/2006/picture">
                <pic:pic>
                  <pic:nvPicPr>
                    <pic:cNvPr id="2" name="image4.jpeg"/>
                    <pic:cNvPicPr/>
                  </pic:nvPicPr>
                  <pic:blipFill>
                    <a:blip r:embed="rId8" cstate="print"/>
                    <a:stretch>
                      <a:fillRect/>
                    </a:stretch>
                  </pic:blipFill>
                  <pic:spPr>
                    <a:xfrm>
                      <a:off x="0" y="0"/>
                      <a:ext cx="507956" cy="621792"/>
                    </a:xfrm>
                    <a:prstGeom prst="rect">
                      <a:avLst/>
                    </a:prstGeom>
                  </pic:spPr>
                </pic:pic>
              </a:graphicData>
            </a:graphic>
          </wp:inline>
        </w:drawing>
      </w:r>
      <w:r>
        <w:rPr>
          <w:rFonts w:ascii="Gill Sans MT"/>
          <w:sz w:val="20"/>
        </w:rPr>
      </w:r>
    </w:p>
    <w:p>
      <w:pPr>
        <w:pStyle w:val="BodyText"/>
        <w:spacing w:before="7"/>
        <w:rPr>
          <w:rFonts w:ascii="Gill Sans MT"/>
          <w:sz w:val="12"/>
        </w:rPr>
      </w:pPr>
    </w:p>
    <w:p>
      <w:pPr>
        <w:spacing w:after="0"/>
        <w:rPr>
          <w:rFonts w:ascii="Gill Sans MT"/>
          <w:sz w:val="12"/>
        </w:rPr>
        <w:sectPr>
          <w:pgSz w:w="11920" w:h="16840"/>
          <w:pgMar w:top="1580" w:bottom="280" w:left="1680" w:right="1680"/>
        </w:sectPr>
      </w:pPr>
    </w:p>
    <w:p>
      <w:pPr>
        <w:pStyle w:val="BodyText"/>
        <w:spacing w:before="11"/>
        <w:rPr>
          <w:rFonts w:ascii="Gill Sans MT"/>
          <w:sz w:val="9"/>
        </w:rPr>
      </w:pPr>
    </w:p>
    <w:p>
      <w:pPr>
        <w:pStyle w:val="BodyText"/>
        <w:spacing w:line="20" w:lineRule="exact"/>
        <w:ind w:left="-572"/>
        <w:rPr>
          <w:rFonts w:ascii="Gill Sans MT"/>
          <w:sz w:val="2"/>
        </w:rPr>
      </w:pPr>
      <w:r>
        <w:rPr>
          <w:rFonts w:ascii="Gill Sans MT"/>
          <w:sz w:val="2"/>
        </w:rPr>
        <w:pict>
          <v:group style="width:31.75pt;height:1pt;mso-position-horizontal-relative:char;mso-position-vertical-relative:line" coordorigin="0,0" coordsize="635,20">
            <v:line style="position:absolute" from="635,10" to="0,10" stroked="true" strokeweight="1pt" strokecolor="#231f20">
              <v:stroke dashstyle="solid"/>
            </v:line>
          </v:group>
        </w:pict>
      </w:r>
      <w:r>
        <w:rPr>
          <w:rFonts w:ascii="Gill Sans MT"/>
          <w:sz w:val="2"/>
        </w:rPr>
      </w:r>
    </w:p>
    <w:p>
      <w:pPr>
        <w:spacing w:before="0"/>
        <w:ind w:left="538" w:right="0" w:firstLine="0"/>
        <w:jc w:val="left"/>
        <w:rPr>
          <w:rFonts w:ascii="Trebuchet MS"/>
          <w:b/>
          <w:sz w:val="18"/>
        </w:rPr>
      </w:pPr>
      <w:r>
        <w:rPr>
          <w:rFonts w:ascii="Trebuchet MS"/>
          <w:b/>
          <w:color w:val="231F20"/>
          <w:spacing w:val="-4"/>
          <w:sz w:val="18"/>
        </w:rPr>
        <w:t>Published </w:t>
      </w:r>
      <w:r>
        <w:rPr>
          <w:rFonts w:ascii="Trebuchet MS"/>
          <w:b/>
          <w:color w:val="231F20"/>
          <w:sz w:val="18"/>
        </w:rPr>
        <w:t>by </w:t>
      </w:r>
      <w:r>
        <w:rPr>
          <w:rFonts w:ascii="Trebuchet MS"/>
          <w:b/>
          <w:color w:val="231F20"/>
          <w:spacing w:val="-3"/>
          <w:sz w:val="18"/>
        </w:rPr>
        <w:t>the </w:t>
      </w:r>
      <w:r>
        <w:rPr>
          <w:rFonts w:ascii="Trebuchet MS"/>
          <w:b/>
          <w:color w:val="231F20"/>
          <w:spacing w:val="-4"/>
          <w:sz w:val="18"/>
        </w:rPr>
        <w:t>Victorian </w:t>
      </w:r>
      <w:r>
        <w:rPr>
          <w:rFonts w:ascii="Trebuchet MS"/>
          <w:b/>
          <w:color w:val="231F20"/>
          <w:spacing w:val="-3"/>
          <w:sz w:val="18"/>
        </w:rPr>
        <w:t>Law </w:t>
      </w:r>
      <w:r>
        <w:rPr>
          <w:rFonts w:ascii="Trebuchet MS"/>
          <w:b/>
          <w:color w:val="231F20"/>
          <w:spacing w:val="-4"/>
          <w:sz w:val="18"/>
        </w:rPr>
        <w:t>Reform</w:t>
      </w:r>
      <w:r>
        <w:rPr>
          <w:rFonts w:ascii="Trebuchet MS"/>
          <w:b/>
          <w:color w:val="231F20"/>
          <w:spacing w:val="11"/>
          <w:sz w:val="18"/>
        </w:rPr>
        <w:t> </w:t>
      </w:r>
      <w:r>
        <w:rPr>
          <w:rFonts w:ascii="Trebuchet MS"/>
          <w:b/>
          <w:color w:val="231F20"/>
          <w:spacing w:val="-4"/>
          <w:sz w:val="18"/>
        </w:rPr>
        <w:t>Commission</w:t>
      </w:r>
    </w:p>
    <w:p>
      <w:pPr>
        <w:spacing w:line="237" w:lineRule="auto" w:before="117"/>
        <w:ind w:left="538" w:right="336" w:firstLine="0"/>
        <w:jc w:val="left"/>
        <w:rPr>
          <w:rFonts w:ascii="Lucida Sans"/>
          <w:sz w:val="18"/>
        </w:rPr>
      </w:pPr>
      <w:r>
        <w:rPr>
          <w:rFonts w:ascii="Lucida Sans"/>
          <w:color w:val="231F20"/>
          <w:spacing w:val="-3"/>
          <w:w w:val="90"/>
          <w:sz w:val="18"/>
        </w:rPr>
        <w:t>The </w:t>
      </w:r>
      <w:r>
        <w:rPr>
          <w:rFonts w:ascii="Lucida Sans"/>
          <w:color w:val="231F20"/>
          <w:spacing w:val="-4"/>
          <w:w w:val="90"/>
          <w:sz w:val="18"/>
        </w:rPr>
        <w:t>Victorian </w:t>
      </w:r>
      <w:r>
        <w:rPr>
          <w:rFonts w:ascii="Lucida Sans"/>
          <w:color w:val="231F20"/>
          <w:spacing w:val="-3"/>
          <w:w w:val="90"/>
          <w:sz w:val="18"/>
        </w:rPr>
        <w:t>Law </w:t>
      </w:r>
      <w:r>
        <w:rPr>
          <w:rFonts w:ascii="Lucida Sans"/>
          <w:color w:val="231F20"/>
          <w:spacing w:val="-4"/>
          <w:w w:val="90"/>
          <w:sz w:val="18"/>
        </w:rPr>
        <w:t>Reform Commission </w:t>
      </w:r>
      <w:r>
        <w:rPr>
          <w:rFonts w:ascii="Lucida Sans"/>
          <w:color w:val="231F20"/>
          <w:spacing w:val="-3"/>
          <w:w w:val="90"/>
          <w:sz w:val="18"/>
        </w:rPr>
        <w:t>was </w:t>
      </w:r>
      <w:r>
        <w:rPr>
          <w:rFonts w:ascii="Lucida Sans"/>
          <w:color w:val="231F20"/>
          <w:spacing w:val="-4"/>
          <w:w w:val="90"/>
          <w:sz w:val="18"/>
        </w:rPr>
        <w:t>established </w:t>
      </w:r>
      <w:r>
        <w:rPr>
          <w:rFonts w:ascii="Lucida Sans"/>
          <w:color w:val="231F20"/>
          <w:spacing w:val="-4"/>
          <w:sz w:val="18"/>
        </w:rPr>
        <w:t>under </w:t>
      </w:r>
      <w:r>
        <w:rPr>
          <w:rFonts w:ascii="Lucida Sans"/>
          <w:color w:val="231F20"/>
          <w:spacing w:val="-3"/>
          <w:sz w:val="18"/>
        </w:rPr>
        <w:t>the </w:t>
      </w:r>
      <w:r>
        <w:rPr>
          <w:i/>
          <w:color w:val="231F20"/>
          <w:spacing w:val="-4"/>
          <w:sz w:val="18"/>
        </w:rPr>
        <w:t>Victorian </w:t>
      </w:r>
      <w:r>
        <w:rPr>
          <w:i/>
          <w:color w:val="231F20"/>
          <w:spacing w:val="-3"/>
          <w:sz w:val="18"/>
        </w:rPr>
        <w:t>Law </w:t>
      </w:r>
      <w:r>
        <w:rPr>
          <w:i/>
          <w:color w:val="231F20"/>
          <w:spacing w:val="-4"/>
          <w:sz w:val="18"/>
        </w:rPr>
        <w:t>Reform  Commission  </w:t>
      </w:r>
      <w:r>
        <w:rPr>
          <w:i/>
          <w:color w:val="231F20"/>
          <w:spacing w:val="-3"/>
          <w:sz w:val="18"/>
        </w:rPr>
        <w:t>Act  </w:t>
      </w:r>
      <w:r>
        <w:rPr>
          <w:i/>
          <w:color w:val="231F20"/>
          <w:spacing w:val="-4"/>
          <w:sz w:val="18"/>
        </w:rPr>
        <w:t>2000 </w:t>
      </w:r>
      <w:r>
        <w:rPr>
          <w:rFonts w:ascii="Lucida Sans"/>
          <w:color w:val="231F20"/>
          <w:w w:val="90"/>
          <w:sz w:val="18"/>
        </w:rPr>
        <w:t>as</w:t>
      </w:r>
      <w:r>
        <w:rPr>
          <w:rFonts w:ascii="Lucida Sans"/>
          <w:color w:val="231F20"/>
          <w:spacing w:val="-20"/>
          <w:w w:val="90"/>
          <w:sz w:val="18"/>
        </w:rPr>
        <w:t> </w:t>
      </w:r>
      <w:r>
        <w:rPr>
          <w:rFonts w:ascii="Lucida Sans"/>
          <w:color w:val="231F20"/>
          <w:w w:val="90"/>
          <w:sz w:val="18"/>
        </w:rPr>
        <w:t>a</w:t>
      </w:r>
      <w:r>
        <w:rPr>
          <w:rFonts w:ascii="Lucida Sans"/>
          <w:color w:val="231F20"/>
          <w:spacing w:val="-19"/>
          <w:w w:val="90"/>
          <w:sz w:val="18"/>
        </w:rPr>
        <w:t> </w:t>
      </w:r>
      <w:r>
        <w:rPr>
          <w:rFonts w:ascii="Lucida Sans"/>
          <w:color w:val="231F20"/>
          <w:spacing w:val="-4"/>
          <w:w w:val="90"/>
          <w:sz w:val="18"/>
        </w:rPr>
        <w:t>central</w:t>
      </w:r>
      <w:r>
        <w:rPr>
          <w:rFonts w:ascii="Lucida Sans"/>
          <w:color w:val="231F20"/>
          <w:spacing w:val="-19"/>
          <w:w w:val="90"/>
          <w:sz w:val="18"/>
        </w:rPr>
        <w:t> </w:t>
      </w:r>
      <w:r>
        <w:rPr>
          <w:rFonts w:ascii="Lucida Sans"/>
          <w:color w:val="231F20"/>
          <w:spacing w:val="-4"/>
          <w:w w:val="90"/>
          <w:sz w:val="18"/>
        </w:rPr>
        <w:t>agency</w:t>
      </w:r>
      <w:r>
        <w:rPr>
          <w:rFonts w:ascii="Lucida Sans"/>
          <w:color w:val="231F20"/>
          <w:spacing w:val="-19"/>
          <w:w w:val="90"/>
          <w:sz w:val="18"/>
        </w:rPr>
        <w:t> </w:t>
      </w:r>
      <w:r>
        <w:rPr>
          <w:rFonts w:ascii="Lucida Sans"/>
          <w:color w:val="231F20"/>
          <w:spacing w:val="-3"/>
          <w:w w:val="90"/>
          <w:sz w:val="18"/>
        </w:rPr>
        <w:t>for</w:t>
      </w:r>
      <w:r>
        <w:rPr>
          <w:rFonts w:ascii="Lucida Sans"/>
          <w:color w:val="231F20"/>
          <w:spacing w:val="-20"/>
          <w:w w:val="90"/>
          <w:sz w:val="18"/>
        </w:rPr>
        <w:t> </w:t>
      </w:r>
      <w:r>
        <w:rPr>
          <w:rFonts w:ascii="Lucida Sans"/>
          <w:color w:val="231F20"/>
          <w:spacing w:val="-4"/>
          <w:w w:val="90"/>
          <w:sz w:val="18"/>
        </w:rPr>
        <w:t>developing</w:t>
      </w:r>
      <w:r>
        <w:rPr>
          <w:rFonts w:ascii="Lucida Sans"/>
          <w:color w:val="231F20"/>
          <w:spacing w:val="-19"/>
          <w:w w:val="90"/>
          <w:sz w:val="18"/>
        </w:rPr>
        <w:t> </w:t>
      </w:r>
      <w:r>
        <w:rPr>
          <w:rFonts w:ascii="Lucida Sans"/>
          <w:color w:val="231F20"/>
          <w:spacing w:val="-3"/>
          <w:w w:val="90"/>
          <w:sz w:val="18"/>
        </w:rPr>
        <w:t>law</w:t>
      </w:r>
      <w:r>
        <w:rPr>
          <w:rFonts w:ascii="Lucida Sans"/>
          <w:color w:val="231F20"/>
          <w:spacing w:val="-19"/>
          <w:w w:val="90"/>
          <w:sz w:val="18"/>
        </w:rPr>
        <w:t> </w:t>
      </w:r>
      <w:r>
        <w:rPr>
          <w:rFonts w:ascii="Lucida Sans"/>
          <w:color w:val="231F20"/>
          <w:spacing w:val="-4"/>
          <w:w w:val="90"/>
          <w:sz w:val="18"/>
        </w:rPr>
        <w:t>reform</w:t>
      </w:r>
      <w:r>
        <w:rPr>
          <w:rFonts w:ascii="Lucida Sans"/>
          <w:color w:val="231F20"/>
          <w:spacing w:val="-19"/>
          <w:w w:val="90"/>
          <w:sz w:val="18"/>
        </w:rPr>
        <w:t> </w:t>
      </w:r>
      <w:r>
        <w:rPr>
          <w:rFonts w:ascii="Lucida Sans"/>
          <w:color w:val="231F20"/>
          <w:w w:val="90"/>
          <w:sz w:val="18"/>
        </w:rPr>
        <w:t>in</w:t>
      </w:r>
      <w:r>
        <w:rPr>
          <w:rFonts w:ascii="Lucida Sans"/>
          <w:color w:val="231F20"/>
          <w:spacing w:val="-19"/>
          <w:w w:val="90"/>
          <w:sz w:val="18"/>
        </w:rPr>
        <w:t> </w:t>
      </w:r>
      <w:r>
        <w:rPr>
          <w:rFonts w:ascii="Lucida Sans"/>
          <w:color w:val="231F20"/>
          <w:spacing w:val="-4"/>
          <w:w w:val="90"/>
          <w:sz w:val="18"/>
        </w:rPr>
        <w:t>Victoria.</w:t>
      </w:r>
    </w:p>
    <w:p>
      <w:pPr>
        <w:spacing w:before="120"/>
        <w:ind w:left="538" w:right="0" w:firstLine="0"/>
        <w:jc w:val="left"/>
        <w:rPr>
          <w:rFonts w:ascii="Lucida Sans"/>
          <w:sz w:val="18"/>
        </w:rPr>
      </w:pPr>
      <w:r>
        <w:rPr>
          <w:rFonts w:ascii="Lucida Sans"/>
          <w:color w:val="231F20"/>
          <w:spacing w:val="-3"/>
          <w:w w:val="90"/>
          <w:sz w:val="18"/>
        </w:rPr>
        <w:t>This</w:t>
      </w:r>
      <w:r>
        <w:rPr>
          <w:rFonts w:ascii="Lucida Sans"/>
          <w:color w:val="231F20"/>
          <w:spacing w:val="-20"/>
          <w:w w:val="90"/>
          <w:sz w:val="18"/>
        </w:rPr>
        <w:t> </w:t>
      </w:r>
      <w:r>
        <w:rPr>
          <w:rFonts w:ascii="Lucida Sans"/>
          <w:color w:val="231F20"/>
          <w:spacing w:val="-4"/>
          <w:w w:val="90"/>
          <w:sz w:val="18"/>
        </w:rPr>
        <w:t>report</w:t>
      </w:r>
      <w:r>
        <w:rPr>
          <w:rFonts w:ascii="Lucida Sans"/>
          <w:color w:val="231F20"/>
          <w:spacing w:val="-19"/>
          <w:w w:val="90"/>
          <w:sz w:val="18"/>
        </w:rPr>
        <w:t> </w:t>
      </w:r>
      <w:r>
        <w:rPr>
          <w:rFonts w:ascii="Lucida Sans"/>
          <w:color w:val="231F20"/>
          <w:spacing w:val="-4"/>
          <w:w w:val="90"/>
          <w:sz w:val="18"/>
        </w:rPr>
        <w:t>reflects</w:t>
      </w:r>
      <w:r>
        <w:rPr>
          <w:rFonts w:ascii="Lucida Sans"/>
          <w:color w:val="231F20"/>
          <w:spacing w:val="-19"/>
          <w:w w:val="90"/>
          <w:sz w:val="18"/>
        </w:rPr>
        <w:t> </w:t>
      </w:r>
      <w:r>
        <w:rPr>
          <w:rFonts w:ascii="Lucida Sans"/>
          <w:color w:val="231F20"/>
          <w:spacing w:val="-3"/>
          <w:w w:val="90"/>
          <w:sz w:val="18"/>
        </w:rPr>
        <w:t>the</w:t>
      </w:r>
      <w:r>
        <w:rPr>
          <w:rFonts w:ascii="Lucida Sans"/>
          <w:color w:val="231F20"/>
          <w:spacing w:val="-19"/>
          <w:w w:val="90"/>
          <w:sz w:val="18"/>
        </w:rPr>
        <w:t> </w:t>
      </w:r>
      <w:r>
        <w:rPr>
          <w:rFonts w:ascii="Lucida Sans"/>
          <w:color w:val="231F20"/>
          <w:spacing w:val="-3"/>
          <w:w w:val="90"/>
          <w:sz w:val="18"/>
        </w:rPr>
        <w:t>law</w:t>
      </w:r>
      <w:r>
        <w:rPr>
          <w:rFonts w:ascii="Lucida Sans"/>
          <w:color w:val="231F20"/>
          <w:spacing w:val="-20"/>
          <w:w w:val="90"/>
          <w:sz w:val="18"/>
        </w:rPr>
        <w:t> </w:t>
      </w:r>
      <w:r>
        <w:rPr>
          <w:rFonts w:ascii="Lucida Sans"/>
          <w:color w:val="231F20"/>
          <w:w w:val="90"/>
          <w:sz w:val="18"/>
        </w:rPr>
        <w:t>as</w:t>
      </w:r>
      <w:r>
        <w:rPr>
          <w:rFonts w:ascii="Lucida Sans"/>
          <w:color w:val="231F20"/>
          <w:spacing w:val="-19"/>
          <w:w w:val="90"/>
          <w:sz w:val="18"/>
        </w:rPr>
        <w:t> </w:t>
      </w:r>
      <w:r>
        <w:rPr>
          <w:rFonts w:ascii="Lucida Sans"/>
          <w:color w:val="231F20"/>
          <w:w w:val="90"/>
          <w:sz w:val="18"/>
        </w:rPr>
        <w:t>at</w:t>
      </w:r>
      <w:r>
        <w:rPr>
          <w:rFonts w:ascii="Lucida Sans"/>
          <w:color w:val="231F20"/>
          <w:spacing w:val="-19"/>
          <w:w w:val="90"/>
          <w:sz w:val="18"/>
        </w:rPr>
        <w:t> </w:t>
      </w:r>
      <w:r>
        <w:rPr>
          <w:rFonts w:ascii="Lucida Sans"/>
          <w:color w:val="231F20"/>
          <w:spacing w:val="-3"/>
          <w:w w:val="90"/>
          <w:sz w:val="18"/>
        </w:rPr>
        <w:t>June</w:t>
      </w:r>
      <w:r>
        <w:rPr>
          <w:rFonts w:ascii="Lucida Sans"/>
          <w:color w:val="231F20"/>
          <w:spacing w:val="-19"/>
          <w:w w:val="90"/>
          <w:sz w:val="18"/>
        </w:rPr>
        <w:t> </w:t>
      </w:r>
      <w:r>
        <w:rPr>
          <w:rFonts w:ascii="Lucida Sans"/>
          <w:color w:val="231F20"/>
          <w:spacing w:val="-9"/>
          <w:w w:val="90"/>
          <w:sz w:val="18"/>
        </w:rPr>
        <w:t>2013.</w:t>
      </w:r>
    </w:p>
    <w:p>
      <w:pPr>
        <w:spacing w:before="117"/>
        <w:ind w:left="538" w:right="0" w:firstLine="0"/>
        <w:jc w:val="left"/>
        <w:rPr>
          <w:rFonts w:ascii="Lucida Sans" w:hAnsi="Lucida Sans"/>
          <w:sz w:val="18"/>
        </w:rPr>
      </w:pPr>
      <w:r>
        <w:rPr>
          <w:rFonts w:ascii="Lucida Sans" w:hAnsi="Lucida Sans"/>
          <w:color w:val="231F20"/>
          <w:w w:val="90"/>
          <w:sz w:val="18"/>
        </w:rPr>
        <w:t>©</w:t>
      </w:r>
      <w:r>
        <w:rPr>
          <w:rFonts w:ascii="Lucida Sans" w:hAnsi="Lucida Sans"/>
          <w:color w:val="231F20"/>
          <w:spacing w:val="-18"/>
          <w:w w:val="90"/>
          <w:sz w:val="18"/>
        </w:rPr>
        <w:t> </w:t>
      </w:r>
      <w:r>
        <w:rPr>
          <w:rFonts w:ascii="Lucida Sans" w:hAnsi="Lucida Sans"/>
          <w:color w:val="231F20"/>
          <w:spacing w:val="-4"/>
          <w:w w:val="90"/>
          <w:sz w:val="18"/>
        </w:rPr>
        <w:t>Victorian</w:t>
      </w:r>
      <w:r>
        <w:rPr>
          <w:rFonts w:ascii="Lucida Sans" w:hAnsi="Lucida Sans"/>
          <w:color w:val="231F20"/>
          <w:spacing w:val="-17"/>
          <w:w w:val="90"/>
          <w:sz w:val="18"/>
        </w:rPr>
        <w:t> </w:t>
      </w:r>
      <w:r>
        <w:rPr>
          <w:rFonts w:ascii="Lucida Sans" w:hAnsi="Lucida Sans"/>
          <w:color w:val="231F20"/>
          <w:spacing w:val="-3"/>
          <w:w w:val="90"/>
          <w:sz w:val="18"/>
        </w:rPr>
        <w:t>Law</w:t>
      </w:r>
      <w:r>
        <w:rPr>
          <w:rFonts w:ascii="Lucida Sans" w:hAnsi="Lucida Sans"/>
          <w:color w:val="231F20"/>
          <w:spacing w:val="-17"/>
          <w:w w:val="90"/>
          <w:sz w:val="18"/>
        </w:rPr>
        <w:t> </w:t>
      </w:r>
      <w:r>
        <w:rPr>
          <w:rFonts w:ascii="Lucida Sans" w:hAnsi="Lucida Sans"/>
          <w:color w:val="231F20"/>
          <w:spacing w:val="-4"/>
          <w:w w:val="90"/>
          <w:sz w:val="18"/>
        </w:rPr>
        <w:t>Reform</w:t>
      </w:r>
      <w:r>
        <w:rPr>
          <w:rFonts w:ascii="Lucida Sans" w:hAnsi="Lucida Sans"/>
          <w:color w:val="231F20"/>
          <w:spacing w:val="-17"/>
          <w:w w:val="90"/>
          <w:sz w:val="18"/>
        </w:rPr>
        <w:t> </w:t>
      </w:r>
      <w:r>
        <w:rPr>
          <w:rFonts w:ascii="Lucida Sans" w:hAnsi="Lucida Sans"/>
          <w:color w:val="231F20"/>
          <w:spacing w:val="-4"/>
          <w:w w:val="90"/>
          <w:sz w:val="18"/>
        </w:rPr>
        <w:t>Commission</w:t>
      </w:r>
      <w:r>
        <w:rPr>
          <w:rFonts w:ascii="Lucida Sans" w:hAnsi="Lucida Sans"/>
          <w:color w:val="231F20"/>
          <w:spacing w:val="-17"/>
          <w:w w:val="90"/>
          <w:sz w:val="18"/>
        </w:rPr>
        <w:t> </w:t>
      </w:r>
      <w:r>
        <w:rPr>
          <w:rFonts w:ascii="Lucida Sans" w:hAnsi="Lucida Sans"/>
          <w:color w:val="231F20"/>
          <w:spacing w:val="-9"/>
          <w:w w:val="90"/>
          <w:sz w:val="18"/>
        </w:rPr>
        <w:t>2013.</w:t>
      </w:r>
    </w:p>
    <w:p>
      <w:pPr>
        <w:spacing w:before="117"/>
        <w:ind w:left="538" w:right="0" w:firstLine="0"/>
        <w:jc w:val="left"/>
        <w:rPr>
          <w:rFonts w:ascii="Lucida Sans"/>
          <w:sz w:val="18"/>
        </w:rPr>
      </w:pPr>
      <w:r>
        <w:rPr>
          <w:rFonts w:ascii="Lucida Sans"/>
          <w:color w:val="231F20"/>
          <w:spacing w:val="-3"/>
          <w:w w:val="95"/>
          <w:sz w:val="18"/>
        </w:rPr>
        <w:t>This work </w:t>
      </w:r>
      <w:r>
        <w:rPr>
          <w:rFonts w:ascii="Lucida Sans"/>
          <w:color w:val="231F20"/>
          <w:w w:val="95"/>
          <w:sz w:val="18"/>
        </w:rPr>
        <w:t>is </w:t>
      </w:r>
      <w:r>
        <w:rPr>
          <w:rFonts w:ascii="Lucida Sans"/>
          <w:color w:val="231F20"/>
          <w:spacing w:val="-4"/>
          <w:w w:val="95"/>
          <w:sz w:val="18"/>
        </w:rPr>
        <w:t>protected </w:t>
      </w:r>
      <w:r>
        <w:rPr>
          <w:rFonts w:ascii="Lucida Sans"/>
          <w:color w:val="231F20"/>
          <w:w w:val="95"/>
          <w:sz w:val="18"/>
        </w:rPr>
        <w:t>by </w:t>
      </w:r>
      <w:r>
        <w:rPr>
          <w:rFonts w:ascii="Lucida Sans"/>
          <w:color w:val="231F20"/>
          <w:spacing w:val="-3"/>
          <w:w w:val="95"/>
          <w:sz w:val="18"/>
        </w:rPr>
        <w:t>the laws </w:t>
      </w:r>
      <w:r>
        <w:rPr>
          <w:rFonts w:ascii="Lucida Sans"/>
          <w:color w:val="231F20"/>
          <w:w w:val="95"/>
          <w:sz w:val="18"/>
        </w:rPr>
        <w:t>of </w:t>
      </w:r>
      <w:r>
        <w:rPr>
          <w:rFonts w:ascii="Lucida Sans"/>
          <w:color w:val="231F20"/>
          <w:spacing w:val="-4"/>
          <w:w w:val="95"/>
          <w:sz w:val="18"/>
        </w:rPr>
        <w:t>copyright. Except</w:t>
      </w:r>
    </w:p>
    <w:p>
      <w:pPr>
        <w:spacing w:line="240" w:lineRule="auto" w:before="4"/>
        <w:ind w:left="538" w:right="217" w:firstLine="0"/>
        <w:jc w:val="left"/>
        <w:rPr>
          <w:rFonts w:ascii="Lucida Sans"/>
          <w:sz w:val="18"/>
        </w:rPr>
      </w:pPr>
      <w:r>
        <w:rPr>
          <w:rFonts w:ascii="Lucida Sans"/>
          <w:color w:val="231F20"/>
          <w:spacing w:val="-3"/>
          <w:sz w:val="18"/>
        </w:rPr>
        <w:t>for</w:t>
      </w:r>
      <w:r>
        <w:rPr>
          <w:rFonts w:ascii="Lucida Sans"/>
          <w:color w:val="231F20"/>
          <w:spacing w:val="-41"/>
          <w:sz w:val="18"/>
        </w:rPr>
        <w:t> </w:t>
      </w:r>
      <w:r>
        <w:rPr>
          <w:rFonts w:ascii="Lucida Sans"/>
          <w:color w:val="231F20"/>
          <w:spacing w:val="-3"/>
          <w:sz w:val="18"/>
        </w:rPr>
        <w:t>any</w:t>
      </w:r>
      <w:r>
        <w:rPr>
          <w:rFonts w:ascii="Lucida Sans"/>
          <w:color w:val="231F20"/>
          <w:spacing w:val="-41"/>
          <w:sz w:val="18"/>
        </w:rPr>
        <w:t> </w:t>
      </w:r>
      <w:r>
        <w:rPr>
          <w:rFonts w:ascii="Lucida Sans"/>
          <w:color w:val="231F20"/>
          <w:spacing w:val="-3"/>
          <w:sz w:val="18"/>
        </w:rPr>
        <w:t>uses</w:t>
      </w:r>
      <w:r>
        <w:rPr>
          <w:rFonts w:ascii="Lucida Sans"/>
          <w:color w:val="231F20"/>
          <w:spacing w:val="-41"/>
          <w:sz w:val="18"/>
        </w:rPr>
        <w:t> </w:t>
      </w:r>
      <w:r>
        <w:rPr>
          <w:rFonts w:ascii="Lucida Sans"/>
          <w:color w:val="231F20"/>
          <w:spacing w:val="-4"/>
          <w:sz w:val="18"/>
        </w:rPr>
        <w:t>permitted</w:t>
      </w:r>
      <w:r>
        <w:rPr>
          <w:rFonts w:ascii="Lucida Sans"/>
          <w:color w:val="231F20"/>
          <w:spacing w:val="-41"/>
          <w:sz w:val="18"/>
        </w:rPr>
        <w:t> </w:t>
      </w:r>
      <w:r>
        <w:rPr>
          <w:rFonts w:ascii="Lucida Sans"/>
          <w:color w:val="231F20"/>
          <w:spacing w:val="-4"/>
          <w:sz w:val="18"/>
        </w:rPr>
        <w:t>under</w:t>
      </w:r>
      <w:r>
        <w:rPr>
          <w:rFonts w:ascii="Lucida Sans"/>
          <w:color w:val="231F20"/>
          <w:spacing w:val="-41"/>
          <w:sz w:val="18"/>
        </w:rPr>
        <w:t> </w:t>
      </w:r>
      <w:r>
        <w:rPr>
          <w:rFonts w:ascii="Lucida Sans"/>
          <w:color w:val="231F20"/>
          <w:spacing w:val="-3"/>
          <w:sz w:val="18"/>
        </w:rPr>
        <w:t>the</w:t>
      </w:r>
      <w:r>
        <w:rPr>
          <w:rFonts w:ascii="Lucida Sans"/>
          <w:color w:val="231F20"/>
          <w:spacing w:val="-41"/>
          <w:sz w:val="18"/>
        </w:rPr>
        <w:t> </w:t>
      </w:r>
      <w:r>
        <w:rPr>
          <w:i/>
          <w:color w:val="231F20"/>
          <w:spacing w:val="-4"/>
          <w:sz w:val="18"/>
        </w:rPr>
        <w:t>Copyright</w:t>
      </w:r>
      <w:r>
        <w:rPr>
          <w:i/>
          <w:color w:val="231F20"/>
          <w:spacing w:val="-24"/>
          <w:sz w:val="18"/>
        </w:rPr>
        <w:t> </w:t>
      </w:r>
      <w:r>
        <w:rPr>
          <w:i/>
          <w:color w:val="231F20"/>
          <w:spacing w:val="-3"/>
          <w:sz w:val="18"/>
        </w:rPr>
        <w:t>Act</w:t>
      </w:r>
      <w:r>
        <w:rPr>
          <w:i/>
          <w:color w:val="231F20"/>
          <w:spacing w:val="-25"/>
          <w:sz w:val="18"/>
        </w:rPr>
        <w:t> </w:t>
      </w:r>
      <w:r>
        <w:rPr>
          <w:i/>
          <w:color w:val="231F20"/>
          <w:spacing w:val="-11"/>
          <w:sz w:val="18"/>
        </w:rPr>
        <w:t>1968</w:t>
      </w:r>
      <w:r>
        <w:rPr>
          <w:i/>
          <w:color w:val="231F20"/>
          <w:spacing w:val="-24"/>
          <w:sz w:val="18"/>
        </w:rPr>
        <w:t> </w:t>
      </w:r>
      <w:r>
        <w:rPr>
          <w:rFonts w:ascii="Lucida Sans"/>
          <w:color w:val="231F20"/>
          <w:spacing w:val="-4"/>
          <w:sz w:val="18"/>
        </w:rPr>
        <w:t>(Cth) </w:t>
      </w:r>
      <w:r>
        <w:rPr>
          <w:rFonts w:ascii="Lucida Sans"/>
          <w:color w:val="231F20"/>
          <w:w w:val="95"/>
          <w:sz w:val="18"/>
        </w:rPr>
        <w:t>or</w:t>
      </w:r>
      <w:r>
        <w:rPr>
          <w:rFonts w:ascii="Lucida Sans"/>
          <w:color w:val="231F20"/>
          <w:spacing w:val="-33"/>
          <w:w w:val="95"/>
          <w:sz w:val="18"/>
        </w:rPr>
        <w:t> </w:t>
      </w:r>
      <w:r>
        <w:rPr>
          <w:rFonts w:ascii="Lucida Sans"/>
          <w:color w:val="231F20"/>
          <w:spacing w:val="-4"/>
          <w:w w:val="95"/>
          <w:sz w:val="18"/>
        </w:rPr>
        <w:t>equivalent</w:t>
      </w:r>
      <w:r>
        <w:rPr>
          <w:rFonts w:ascii="Lucida Sans"/>
          <w:color w:val="231F20"/>
          <w:spacing w:val="-33"/>
          <w:w w:val="95"/>
          <w:sz w:val="18"/>
        </w:rPr>
        <w:t> </w:t>
      </w:r>
      <w:r>
        <w:rPr>
          <w:rFonts w:ascii="Lucida Sans"/>
          <w:color w:val="231F20"/>
          <w:spacing w:val="-4"/>
          <w:w w:val="95"/>
          <w:sz w:val="18"/>
        </w:rPr>
        <w:t>overseas</w:t>
      </w:r>
      <w:r>
        <w:rPr>
          <w:rFonts w:ascii="Lucida Sans"/>
          <w:color w:val="231F20"/>
          <w:spacing w:val="-33"/>
          <w:w w:val="95"/>
          <w:sz w:val="18"/>
        </w:rPr>
        <w:t> </w:t>
      </w:r>
      <w:r>
        <w:rPr>
          <w:rFonts w:ascii="Lucida Sans"/>
          <w:color w:val="231F20"/>
          <w:spacing w:val="-4"/>
          <w:w w:val="95"/>
          <w:sz w:val="18"/>
        </w:rPr>
        <w:t>legislation,</w:t>
      </w:r>
      <w:r>
        <w:rPr>
          <w:rFonts w:ascii="Lucida Sans"/>
          <w:color w:val="231F20"/>
          <w:spacing w:val="-33"/>
          <w:w w:val="95"/>
          <w:sz w:val="18"/>
        </w:rPr>
        <w:t> </w:t>
      </w:r>
      <w:r>
        <w:rPr>
          <w:rFonts w:ascii="Lucida Sans"/>
          <w:color w:val="231F20"/>
          <w:w w:val="95"/>
          <w:sz w:val="18"/>
        </w:rPr>
        <w:t>no</w:t>
      </w:r>
      <w:r>
        <w:rPr>
          <w:rFonts w:ascii="Lucida Sans"/>
          <w:color w:val="231F20"/>
          <w:spacing w:val="-33"/>
          <w:w w:val="95"/>
          <w:sz w:val="18"/>
        </w:rPr>
        <w:t> </w:t>
      </w:r>
      <w:r>
        <w:rPr>
          <w:rFonts w:ascii="Lucida Sans"/>
          <w:color w:val="231F20"/>
          <w:spacing w:val="-3"/>
          <w:w w:val="95"/>
          <w:sz w:val="18"/>
        </w:rPr>
        <w:t>part</w:t>
      </w:r>
      <w:r>
        <w:rPr>
          <w:rFonts w:ascii="Lucida Sans"/>
          <w:color w:val="231F20"/>
          <w:spacing w:val="-33"/>
          <w:w w:val="95"/>
          <w:sz w:val="18"/>
        </w:rPr>
        <w:t> </w:t>
      </w:r>
      <w:r>
        <w:rPr>
          <w:rFonts w:ascii="Lucida Sans"/>
          <w:color w:val="231F20"/>
          <w:w w:val="95"/>
          <w:sz w:val="18"/>
        </w:rPr>
        <w:t>of</w:t>
      </w:r>
      <w:r>
        <w:rPr>
          <w:rFonts w:ascii="Lucida Sans"/>
          <w:color w:val="231F20"/>
          <w:spacing w:val="-33"/>
          <w:w w:val="95"/>
          <w:sz w:val="18"/>
        </w:rPr>
        <w:t> </w:t>
      </w:r>
      <w:r>
        <w:rPr>
          <w:rFonts w:ascii="Lucida Sans"/>
          <w:color w:val="231F20"/>
          <w:spacing w:val="-3"/>
          <w:w w:val="95"/>
          <w:sz w:val="18"/>
        </w:rPr>
        <w:t>this</w:t>
      </w:r>
      <w:r>
        <w:rPr>
          <w:rFonts w:ascii="Lucida Sans"/>
          <w:color w:val="231F20"/>
          <w:spacing w:val="-33"/>
          <w:w w:val="95"/>
          <w:sz w:val="18"/>
        </w:rPr>
        <w:t> </w:t>
      </w:r>
      <w:r>
        <w:rPr>
          <w:rFonts w:ascii="Lucida Sans"/>
          <w:color w:val="231F20"/>
          <w:spacing w:val="-4"/>
          <w:w w:val="95"/>
          <w:sz w:val="18"/>
        </w:rPr>
        <w:t>work </w:t>
      </w:r>
      <w:r>
        <w:rPr>
          <w:rFonts w:ascii="Lucida Sans"/>
          <w:color w:val="231F20"/>
          <w:spacing w:val="-3"/>
          <w:sz w:val="18"/>
        </w:rPr>
        <w:t>may</w:t>
      </w:r>
      <w:r>
        <w:rPr>
          <w:rFonts w:ascii="Lucida Sans"/>
          <w:color w:val="231F20"/>
          <w:spacing w:val="-41"/>
          <w:sz w:val="18"/>
        </w:rPr>
        <w:t> </w:t>
      </w:r>
      <w:r>
        <w:rPr>
          <w:rFonts w:ascii="Lucida Sans"/>
          <w:color w:val="231F20"/>
          <w:sz w:val="18"/>
        </w:rPr>
        <w:t>be</w:t>
      </w:r>
      <w:r>
        <w:rPr>
          <w:rFonts w:ascii="Lucida Sans"/>
          <w:color w:val="231F20"/>
          <w:spacing w:val="-41"/>
          <w:sz w:val="18"/>
        </w:rPr>
        <w:t> </w:t>
      </w:r>
      <w:r>
        <w:rPr>
          <w:rFonts w:ascii="Lucida Sans"/>
          <w:color w:val="231F20"/>
          <w:spacing w:val="-5"/>
          <w:sz w:val="18"/>
        </w:rPr>
        <w:t>reproduced,</w:t>
      </w:r>
      <w:r>
        <w:rPr>
          <w:rFonts w:ascii="Lucida Sans"/>
          <w:color w:val="231F20"/>
          <w:spacing w:val="-41"/>
          <w:sz w:val="18"/>
        </w:rPr>
        <w:t> </w:t>
      </w:r>
      <w:r>
        <w:rPr>
          <w:rFonts w:ascii="Lucida Sans"/>
          <w:color w:val="231F20"/>
          <w:sz w:val="18"/>
        </w:rPr>
        <w:t>in</w:t>
      </w:r>
      <w:r>
        <w:rPr>
          <w:rFonts w:ascii="Lucida Sans"/>
          <w:color w:val="231F20"/>
          <w:spacing w:val="-40"/>
          <w:sz w:val="18"/>
        </w:rPr>
        <w:t> </w:t>
      </w:r>
      <w:r>
        <w:rPr>
          <w:rFonts w:ascii="Lucida Sans"/>
          <w:color w:val="231F20"/>
          <w:spacing w:val="-3"/>
          <w:sz w:val="18"/>
        </w:rPr>
        <w:t>any</w:t>
      </w:r>
      <w:r>
        <w:rPr>
          <w:rFonts w:ascii="Lucida Sans"/>
          <w:color w:val="231F20"/>
          <w:spacing w:val="-41"/>
          <w:sz w:val="18"/>
        </w:rPr>
        <w:t> </w:t>
      </w:r>
      <w:r>
        <w:rPr>
          <w:rFonts w:ascii="Lucida Sans"/>
          <w:color w:val="231F20"/>
          <w:spacing w:val="-4"/>
          <w:sz w:val="18"/>
        </w:rPr>
        <w:t>matter</w:t>
      </w:r>
      <w:r>
        <w:rPr>
          <w:rFonts w:ascii="Lucida Sans"/>
          <w:color w:val="231F20"/>
          <w:spacing w:val="-41"/>
          <w:sz w:val="18"/>
        </w:rPr>
        <w:t> </w:t>
      </w:r>
      <w:r>
        <w:rPr>
          <w:rFonts w:ascii="Lucida Sans"/>
          <w:color w:val="231F20"/>
          <w:sz w:val="18"/>
        </w:rPr>
        <w:t>or</w:t>
      </w:r>
      <w:r>
        <w:rPr>
          <w:rFonts w:ascii="Lucida Sans"/>
          <w:color w:val="231F20"/>
          <w:spacing w:val="-40"/>
          <w:sz w:val="18"/>
        </w:rPr>
        <w:t> </w:t>
      </w:r>
      <w:r>
        <w:rPr>
          <w:rFonts w:ascii="Lucida Sans"/>
          <w:color w:val="231F20"/>
          <w:sz w:val="18"/>
        </w:rPr>
        <w:t>in</w:t>
      </w:r>
      <w:r>
        <w:rPr>
          <w:rFonts w:ascii="Lucida Sans"/>
          <w:color w:val="231F20"/>
          <w:spacing w:val="-41"/>
          <w:sz w:val="18"/>
        </w:rPr>
        <w:t> </w:t>
      </w:r>
      <w:r>
        <w:rPr>
          <w:rFonts w:ascii="Lucida Sans"/>
          <w:color w:val="231F20"/>
          <w:spacing w:val="-3"/>
          <w:sz w:val="18"/>
        </w:rPr>
        <w:t>any</w:t>
      </w:r>
      <w:r>
        <w:rPr>
          <w:rFonts w:ascii="Lucida Sans"/>
          <w:color w:val="231F20"/>
          <w:spacing w:val="-41"/>
          <w:sz w:val="18"/>
        </w:rPr>
        <w:t> </w:t>
      </w:r>
      <w:r>
        <w:rPr>
          <w:rFonts w:ascii="Lucida Sans"/>
          <w:color w:val="231F20"/>
          <w:spacing w:val="-4"/>
          <w:sz w:val="18"/>
        </w:rPr>
        <w:t>medium, without</w:t>
      </w:r>
      <w:r>
        <w:rPr>
          <w:rFonts w:ascii="Lucida Sans"/>
          <w:color w:val="231F20"/>
          <w:spacing w:val="-33"/>
          <w:sz w:val="18"/>
        </w:rPr>
        <w:t> </w:t>
      </w:r>
      <w:r>
        <w:rPr>
          <w:rFonts w:ascii="Lucida Sans"/>
          <w:color w:val="231F20"/>
          <w:spacing w:val="-3"/>
          <w:sz w:val="18"/>
        </w:rPr>
        <w:t>the</w:t>
      </w:r>
      <w:r>
        <w:rPr>
          <w:rFonts w:ascii="Lucida Sans"/>
          <w:color w:val="231F20"/>
          <w:spacing w:val="-33"/>
          <w:sz w:val="18"/>
        </w:rPr>
        <w:t> </w:t>
      </w:r>
      <w:r>
        <w:rPr>
          <w:rFonts w:ascii="Lucida Sans"/>
          <w:color w:val="231F20"/>
          <w:spacing w:val="-4"/>
          <w:sz w:val="18"/>
        </w:rPr>
        <w:t>written</w:t>
      </w:r>
      <w:r>
        <w:rPr>
          <w:rFonts w:ascii="Lucida Sans"/>
          <w:color w:val="231F20"/>
          <w:spacing w:val="-33"/>
          <w:sz w:val="18"/>
        </w:rPr>
        <w:t> </w:t>
      </w:r>
      <w:r>
        <w:rPr>
          <w:rFonts w:ascii="Lucida Sans"/>
          <w:color w:val="231F20"/>
          <w:spacing w:val="-4"/>
          <w:sz w:val="18"/>
        </w:rPr>
        <w:t>permission</w:t>
      </w:r>
      <w:r>
        <w:rPr>
          <w:rFonts w:ascii="Lucida Sans"/>
          <w:color w:val="231F20"/>
          <w:spacing w:val="-33"/>
          <w:sz w:val="18"/>
        </w:rPr>
        <w:t> </w:t>
      </w:r>
      <w:r>
        <w:rPr>
          <w:rFonts w:ascii="Lucida Sans"/>
          <w:color w:val="231F20"/>
          <w:sz w:val="18"/>
        </w:rPr>
        <w:t>of</w:t>
      </w:r>
      <w:r>
        <w:rPr>
          <w:rFonts w:ascii="Lucida Sans"/>
          <w:color w:val="231F20"/>
          <w:spacing w:val="-33"/>
          <w:sz w:val="18"/>
        </w:rPr>
        <w:t> </w:t>
      </w:r>
      <w:r>
        <w:rPr>
          <w:rFonts w:ascii="Lucida Sans"/>
          <w:color w:val="231F20"/>
          <w:spacing w:val="-3"/>
          <w:sz w:val="18"/>
        </w:rPr>
        <w:t>the</w:t>
      </w:r>
      <w:r>
        <w:rPr>
          <w:rFonts w:ascii="Lucida Sans"/>
          <w:color w:val="231F20"/>
          <w:spacing w:val="-33"/>
          <w:sz w:val="18"/>
        </w:rPr>
        <w:t> </w:t>
      </w:r>
      <w:r>
        <w:rPr>
          <w:rFonts w:ascii="Lucida Sans"/>
          <w:color w:val="231F20"/>
          <w:spacing w:val="-6"/>
          <w:sz w:val="18"/>
        </w:rPr>
        <w:t>publisher.</w:t>
      </w:r>
    </w:p>
    <w:p>
      <w:pPr>
        <w:spacing w:before="119"/>
        <w:ind w:left="538" w:right="0" w:firstLine="0"/>
        <w:jc w:val="left"/>
        <w:rPr>
          <w:rFonts w:ascii="Lucida Sans"/>
          <w:sz w:val="18"/>
        </w:rPr>
      </w:pPr>
      <w:r>
        <w:rPr>
          <w:rFonts w:ascii="Lucida Sans"/>
          <w:color w:val="231F20"/>
          <w:w w:val="95"/>
          <w:sz w:val="18"/>
        </w:rPr>
        <w:t>All rights reserved.</w:t>
      </w:r>
    </w:p>
    <w:p>
      <w:pPr>
        <w:spacing w:line="244" w:lineRule="auto" w:before="118"/>
        <w:ind w:left="538" w:right="0" w:firstLine="0"/>
        <w:jc w:val="left"/>
        <w:rPr>
          <w:rFonts w:ascii="Lucida Sans"/>
          <w:sz w:val="18"/>
        </w:rPr>
      </w:pPr>
      <w:r>
        <w:rPr>
          <w:rFonts w:ascii="Lucida Sans"/>
          <w:color w:val="231F20"/>
          <w:spacing w:val="-3"/>
          <w:w w:val="95"/>
          <w:sz w:val="18"/>
        </w:rPr>
        <w:t>This</w:t>
      </w:r>
      <w:r>
        <w:rPr>
          <w:rFonts w:ascii="Lucida Sans"/>
          <w:color w:val="231F20"/>
          <w:spacing w:val="-35"/>
          <w:w w:val="95"/>
          <w:sz w:val="18"/>
        </w:rPr>
        <w:t> </w:t>
      </w:r>
      <w:r>
        <w:rPr>
          <w:rFonts w:ascii="Lucida Sans"/>
          <w:color w:val="231F20"/>
          <w:spacing w:val="-4"/>
          <w:w w:val="95"/>
          <w:sz w:val="18"/>
        </w:rPr>
        <w:t>publication</w:t>
      </w:r>
      <w:r>
        <w:rPr>
          <w:rFonts w:ascii="Lucida Sans"/>
          <w:color w:val="231F20"/>
          <w:spacing w:val="-35"/>
          <w:w w:val="95"/>
          <w:sz w:val="18"/>
        </w:rPr>
        <w:t> </w:t>
      </w:r>
      <w:r>
        <w:rPr>
          <w:rFonts w:ascii="Lucida Sans"/>
          <w:color w:val="231F20"/>
          <w:w w:val="95"/>
          <w:sz w:val="18"/>
        </w:rPr>
        <w:t>of</w:t>
      </w:r>
      <w:r>
        <w:rPr>
          <w:rFonts w:ascii="Lucida Sans"/>
          <w:color w:val="231F20"/>
          <w:spacing w:val="-34"/>
          <w:w w:val="95"/>
          <w:sz w:val="18"/>
        </w:rPr>
        <w:t> </w:t>
      </w:r>
      <w:r>
        <w:rPr>
          <w:rFonts w:ascii="Lucida Sans"/>
          <w:color w:val="231F20"/>
          <w:spacing w:val="-3"/>
          <w:w w:val="95"/>
          <w:sz w:val="18"/>
        </w:rPr>
        <w:t>the</w:t>
      </w:r>
      <w:r>
        <w:rPr>
          <w:rFonts w:ascii="Lucida Sans"/>
          <w:color w:val="231F20"/>
          <w:spacing w:val="-35"/>
          <w:w w:val="95"/>
          <w:sz w:val="18"/>
        </w:rPr>
        <w:t> </w:t>
      </w:r>
      <w:r>
        <w:rPr>
          <w:rFonts w:ascii="Lucida Sans"/>
          <w:color w:val="231F20"/>
          <w:spacing w:val="-4"/>
          <w:w w:val="95"/>
          <w:sz w:val="18"/>
        </w:rPr>
        <w:t>Victorian</w:t>
      </w:r>
      <w:r>
        <w:rPr>
          <w:rFonts w:ascii="Lucida Sans"/>
          <w:color w:val="231F20"/>
          <w:spacing w:val="-35"/>
          <w:w w:val="95"/>
          <w:sz w:val="18"/>
        </w:rPr>
        <w:t> </w:t>
      </w:r>
      <w:r>
        <w:rPr>
          <w:rFonts w:ascii="Lucida Sans"/>
          <w:color w:val="231F20"/>
          <w:spacing w:val="-3"/>
          <w:w w:val="95"/>
          <w:sz w:val="18"/>
        </w:rPr>
        <w:t>Law</w:t>
      </w:r>
      <w:r>
        <w:rPr>
          <w:rFonts w:ascii="Lucida Sans"/>
          <w:color w:val="231F20"/>
          <w:spacing w:val="-34"/>
          <w:w w:val="95"/>
          <w:sz w:val="18"/>
        </w:rPr>
        <w:t> </w:t>
      </w:r>
      <w:r>
        <w:rPr>
          <w:rFonts w:ascii="Lucida Sans"/>
          <w:color w:val="231F20"/>
          <w:spacing w:val="-4"/>
          <w:w w:val="95"/>
          <w:sz w:val="18"/>
        </w:rPr>
        <w:t>Reform</w:t>
      </w:r>
      <w:r>
        <w:rPr>
          <w:rFonts w:ascii="Lucida Sans"/>
          <w:color w:val="231F20"/>
          <w:spacing w:val="-35"/>
          <w:w w:val="95"/>
          <w:sz w:val="18"/>
        </w:rPr>
        <w:t> </w:t>
      </w:r>
      <w:r>
        <w:rPr>
          <w:rFonts w:ascii="Lucida Sans"/>
          <w:color w:val="231F20"/>
          <w:spacing w:val="-4"/>
          <w:w w:val="95"/>
          <w:sz w:val="18"/>
        </w:rPr>
        <w:t>Commission </w:t>
      </w:r>
      <w:r>
        <w:rPr>
          <w:rFonts w:ascii="Lucida Sans"/>
          <w:color w:val="231F20"/>
          <w:spacing w:val="-4"/>
          <w:w w:val="90"/>
          <w:sz w:val="18"/>
        </w:rPr>
        <w:t>follows</w:t>
      </w:r>
      <w:r>
        <w:rPr>
          <w:rFonts w:ascii="Lucida Sans"/>
          <w:color w:val="231F20"/>
          <w:spacing w:val="-16"/>
          <w:w w:val="90"/>
          <w:sz w:val="18"/>
        </w:rPr>
        <w:t> </w:t>
      </w:r>
      <w:r>
        <w:rPr>
          <w:rFonts w:ascii="Lucida Sans"/>
          <w:color w:val="231F20"/>
          <w:spacing w:val="-3"/>
          <w:w w:val="90"/>
          <w:sz w:val="18"/>
        </w:rPr>
        <w:t>the</w:t>
      </w:r>
      <w:r>
        <w:rPr>
          <w:rFonts w:ascii="Lucida Sans"/>
          <w:color w:val="231F20"/>
          <w:spacing w:val="-16"/>
          <w:w w:val="90"/>
          <w:sz w:val="18"/>
        </w:rPr>
        <w:t> </w:t>
      </w:r>
      <w:r>
        <w:rPr>
          <w:rFonts w:ascii="Lucida Sans"/>
          <w:color w:val="231F20"/>
          <w:spacing w:val="-4"/>
          <w:w w:val="90"/>
          <w:sz w:val="18"/>
        </w:rPr>
        <w:t>Melbourne</w:t>
      </w:r>
      <w:r>
        <w:rPr>
          <w:rFonts w:ascii="Lucida Sans"/>
          <w:color w:val="231F20"/>
          <w:spacing w:val="-16"/>
          <w:w w:val="90"/>
          <w:sz w:val="18"/>
        </w:rPr>
        <w:t> </w:t>
      </w:r>
      <w:r>
        <w:rPr>
          <w:rFonts w:ascii="Lucida Sans"/>
          <w:color w:val="231F20"/>
          <w:spacing w:val="-4"/>
          <w:w w:val="90"/>
          <w:sz w:val="18"/>
        </w:rPr>
        <w:t>University</w:t>
      </w:r>
      <w:r>
        <w:rPr>
          <w:rFonts w:ascii="Lucida Sans"/>
          <w:color w:val="231F20"/>
          <w:spacing w:val="-16"/>
          <w:w w:val="90"/>
          <w:sz w:val="18"/>
        </w:rPr>
        <w:t> </w:t>
      </w:r>
      <w:r>
        <w:rPr>
          <w:rFonts w:ascii="Lucida Sans"/>
          <w:color w:val="231F20"/>
          <w:spacing w:val="-3"/>
          <w:w w:val="90"/>
          <w:sz w:val="18"/>
        </w:rPr>
        <w:t>Law</w:t>
      </w:r>
      <w:r>
        <w:rPr>
          <w:rFonts w:ascii="Lucida Sans"/>
          <w:color w:val="231F20"/>
          <w:spacing w:val="-16"/>
          <w:w w:val="90"/>
          <w:sz w:val="18"/>
        </w:rPr>
        <w:t> </w:t>
      </w:r>
      <w:r>
        <w:rPr>
          <w:rFonts w:ascii="Lucida Sans"/>
          <w:color w:val="231F20"/>
          <w:spacing w:val="-4"/>
          <w:w w:val="90"/>
          <w:sz w:val="18"/>
        </w:rPr>
        <w:t>Review</w:t>
      </w:r>
      <w:r>
        <w:rPr>
          <w:rFonts w:ascii="Lucida Sans"/>
          <w:color w:val="231F20"/>
          <w:spacing w:val="-16"/>
          <w:w w:val="90"/>
          <w:sz w:val="18"/>
        </w:rPr>
        <w:t> </w:t>
      </w:r>
      <w:r>
        <w:rPr>
          <w:rFonts w:ascii="Lucida Sans"/>
          <w:color w:val="231F20"/>
          <w:spacing w:val="-4"/>
          <w:w w:val="90"/>
          <w:sz w:val="18"/>
        </w:rPr>
        <w:t>Association</w:t>
      </w:r>
      <w:r>
        <w:rPr>
          <w:rFonts w:ascii="Lucida Sans"/>
          <w:color w:val="231F20"/>
          <w:spacing w:val="-16"/>
          <w:w w:val="90"/>
          <w:sz w:val="18"/>
        </w:rPr>
        <w:t> </w:t>
      </w:r>
      <w:r>
        <w:rPr>
          <w:rFonts w:ascii="Lucida Sans"/>
          <w:color w:val="231F20"/>
          <w:spacing w:val="-4"/>
          <w:w w:val="90"/>
          <w:sz w:val="18"/>
        </w:rPr>
        <w:t>Inc, </w:t>
      </w:r>
      <w:r>
        <w:rPr>
          <w:i/>
          <w:color w:val="231F20"/>
          <w:spacing w:val="-4"/>
          <w:sz w:val="18"/>
        </w:rPr>
        <w:t>Australian Guide </w:t>
      </w:r>
      <w:r>
        <w:rPr>
          <w:i/>
          <w:color w:val="231F20"/>
          <w:sz w:val="18"/>
        </w:rPr>
        <w:t>to </w:t>
      </w:r>
      <w:r>
        <w:rPr>
          <w:i/>
          <w:color w:val="231F20"/>
          <w:spacing w:val="-4"/>
          <w:sz w:val="18"/>
        </w:rPr>
        <w:t>Legal Citation </w:t>
      </w:r>
      <w:r>
        <w:rPr>
          <w:rFonts w:ascii="Lucida Sans"/>
          <w:color w:val="231F20"/>
          <w:spacing w:val="-4"/>
          <w:sz w:val="18"/>
        </w:rPr>
        <w:t>(3rd </w:t>
      </w:r>
      <w:r>
        <w:rPr>
          <w:rFonts w:ascii="Lucida Sans"/>
          <w:color w:val="231F20"/>
          <w:spacing w:val="-3"/>
          <w:sz w:val="18"/>
        </w:rPr>
        <w:t>ed,</w:t>
      </w:r>
      <w:r>
        <w:rPr>
          <w:rFonts w:ascii="Lucida Sans"/>
          <w:color w:val="231F20"/>
          <w:spacing w:val="-8"/>
          <w:sz w:val="18"/>
        </w:rPr>
        <w:t> </w:t>
      </w:r>
      <w:r>
        <w:rPr>
          <w:rFonts w:ascii="Lucida Sans"/>
          <w:color w:val="231F20"/>
          <w:spacing w:val="-9"/>
          <w:sz w:val="18"/>
        </w:rPr>
        <w:t>2010).</w:t>
      </w:r>
    </w:p>
    <w:p>
      <w:pPr>
        <w:spacing w:line="244" w:lineRule="auto" w:before="102"/>
        <w:ind w:left="538" w:right="2088" w:firstLine="0"/>
        <w:jc w:val="left"/>
        <w:rPr>
          <w:rFonts w:ascii="Lucida Sans"/>
          <w:sz w:val="18"/>
        </w:rPr>
      </w:pPr>
      <w:r>
        <w:rPr>
          <w:rFonts w:ascii="Lucida Sans"/>
          <w:color w:val="231F20"/>
          <w:spacing w:val="-4"/>
          <w:sz w:val="18"/>
        </w:rPr>
        <w:t>National Library </w:t>
      </w:r>
      <w:r>
        <w:rPr>
          <w:rFonts w:ascii="Lucida Sans"/>
          <w:color w:val="231F20"/>
          <w:sz w:val="18"/>
        </w:rPr>
        <w:t>of </w:t>
      </w:r>
      <w:r>
        <w:rPr>
          <w:rFonts w:ascii="Lucida Sans"/>
          <w:color w:val="231F20"/>
          <w:spacing w:val="-4"/>
          <w:sz w:val="18"/>
        </w:rPr>
        <w:t>Australia </w:t>
      </w:r>
      <w:r>
        <w:rPr>
          <w:rFonts w:ascii="Lucida Sans"/>
          <w:color w:val="231F20"/>
          <w:spacing w:val="-4"/>
          <w:w w:val="90"/>
          <w:sz w:val="18"/>
        </w:rPr>
        <w:t>Cataloguing-in-Publication entry</w:t>
      </w:r>
    </w:p>
    <w:p>
      <w:pPr>
        <w:spacing w:before="118"/>
        <w:ind w:left="538" w:right="0" w:firstLine="0"/>
        <w:jc w:val="left"/>
        <w:rPr>
          <w:rFonts w:ascii="Trebuchet MS"/>
          <w:b/>
          <w:sz w:val="18"/>
        </w:rPr>
      </w:pPr>
      <w:r>
        <w:rPr>
          <w:rFonts w:ascii="Trebuchet MS"/>
          <w:b/>
          <w:color w:val="231F20"/>
          <w:sz w:val="18"/>
        </w:rPr>
        <w:t>Succession laws:</w:t>
      </w:r>
    </w:p>
    <w:p>
      <w:pPr>
        <w:spacing w:before="7"/>
        <w:ind w:left="538" w:right="0" w:firstLine="0"/>
        <w:jc w:val="left"/>
        <w:rPr>
          <w:rFonts w:ascii="Trebuchet MS"/>
          <w:b/>
          <w:sz w:val="18"/>
        </w:rPr>
      </w:pPr>
      <w:r>
        <w:rPr>
          <w:rFonts w:ascii="Trebuchet MS"/>
          <w:b/>
          <w:color w:val="231F20"/>
          <w:sz w:val="18"/>
        </w:rPr>
        <w:t>final report / Victorian Law Reform Commission</w:t>
      </w:r>
    </w:p>
    <w:p>
      <w:pPr>
        <w:spacing w:before="95"/>
        <w:ind w:left="538" w:right="0" w:firstLine="0"/>
        <w:jc w:val="left"/>
        <w:rPr>
          <w:rFonts w:ascii="Lucida Sans"/>
          <w:sz w:val="18"/>
        </w:rPr>
      </w:pPr>
      <w:r>
        <w:rPr>
          <w:rFonts w:ascii="Lucida Sans"/>
          <w:color w:val="231F20"/>
          <w:sz w:val="18"/>
        </w:rPr>
        <w:t>ISBN 978</w:t>
      </w:r>
      <w:r>
        <w:rPr>
          <w:rFonts w:ascii="Lucida Sans"/>
          <w:color w:val="231F20"/>
          <w:position w:val="2"/>
          <w:sz w:val="18"/>
        </w:rPr>
        <w:t>-</w:t>
      </w:r>
      <w:r>
        <w:rPr>
          <w:rFonts w:ascii="Lucida Sans"/>
          <w:color w:val="231F20"/>
          <w:sz w:val="18"/>
        </w:rPr>
        <w:t>0</w:t>
      </w:r>
      <w:r>
        <w:rPr>
          <w:rFonts w:ascii="Lucida Sans"/>
          <w:color w:val="231F20"/>
          <w:position w:val="2"/>
          <w:sz w:val="18"/>
        </w:rPr>
        <w:t>-</w:t>
      </w:r>
      <w:r>
        <w:rPr>
          <w:rFonts w:ascii="Lucida Sans"/>
          <w:color w:val="231F20"/>
          <w:sz w:val="18"/>
        </w:rPr>
        <w:t>9922737</w:t>
      </w:r>
      <w:r>
        <w:rPr>
          <w:rFonts w:ascii="Lucida Sans"/>
          <w:color w:val="231F20"/>
          <w:position w:val="2"/>
          <w:sz w:val="18"/>
        </w:rPr>
        <w:t>-</w:t>
      </w:r>
      <w:r>
        <w:rPr>
          <w:rFonts w:ascii="Lucida Sans"/>
          <w:color w:val="231F20"/>
          <w:sz w:val="18"/>
        </w:rPr>
        <w:t>1</w:t>
      </w:r>
      <w:r>
        <w:rPr>
          <w:rFonts w:ascii="Lucida Sans"/>
          <w:color w:val="231F20"/>
          <w:position w:val="2"/>
          <w:sz w:val="18"/>
        </w:rPr>
        <w:t>-</w:t>
      </w:r>
      <w:r>
        <w:rPr>
          <w:rFonts w:ascii="Lucida Sans"/>
          <w:color w:val="231F20"/>
          <w:sz w:val="18"/>
        </w:rPr>
        <w:t>2 (paperback)</w:t>
      </w:r>
    </w:p>
    <w:p>
      <w:pPr>
        <w:spacing w:before="118"/>
        <w:ind w:left="538" w:right="0" w:firstLine="0"/>
        <w:jc w:val="left"/>
        <w:rPr>
          <w:rFonts w:ascii="Lucida Sans"/>
          <w:sz w:val="18"/>
        </w:rPr>
      </w:pPr>
      <w:r>
        <w:rPr>
          <w:rFonts w:ascii="Lucida Sans"/>
          <w:color w:val="231F20"/>
          <w:w w:val="95"/>
          <w:sz w:val="18"/>
        </w:rPr>
        <w:t>Includes bibliographical references.</w:t>
      </w:r>
    </w:p>
    <w:p>
      <w:pPr>
        <w:spacing w:line="372" w:lineRule="auto" w:before="117"/>
        <w:ind w:left="538" w:right="336" w:firstLine="0"/>
        <w:jc w:val="left"/>
        <w:rPr>
          <w:rFonts w:ascii="Lucida Sans" w:hAnsi="Lucida Sans"/>
          <w:sz w:val="18"/>
        </w:rPr>
      </w:pPr>
      <w:r>
        <w:rPr>
          <w:rFonts w:ascii="Lucida Sans" w:hAnsi="Lucida Sans"/>
          <w:color w:val="231F20"/>
          <w:spacing w:val="-4"/>
          <w:w w:val="85"/>
          <w:sz w:val="18"/>
        </w:rPr>
        <w:t>Subjects: Inheritance </w:t>
      </w:r>
      <w:r>
        <w:rPr>
          <w:rFonts w:ascii="Lucida Sans" w:hAnsi="Lucida Sans"/>
          <w:color w:val="231F20"/>
          <w:spacing w:val="-3"/>
          <w:w w:val="85"/>
          <w:sz w:val="18"/>
        </w:rPr>
        <w:t>and </w:t>
      </w:r>
      <w:r>
        <w:rPr>
          <w:rFonts w:ascii="Lucida Sans" w:hAnsi="Lucida Sans"/>
          <w:color w:val="231F20"/>
          <w:spacing w:val="-4"/>
          <w:w w:val="85"/>
          <w:sz w:val="18"/>
        </w:rPr>
        <w:t>succession–Victoria. </w:t>
      </w:r>
      <w:r>
        <w:rPr>
          <w:rFonts w:ascii="Lucida Sans" w:hAnsi="Lucida Sans"/>
          <w:color w:val="231F20"/>
          <w:spacing w:val="-4"/>
          <w:w w:val="95"/>
          <w:sz w:val="18"/>
        </w:rPr>
        <w:t>Wills–Victoria</w:t>
      </w:r>
    </w:p>
    <w:p>
      <w:pPr>
        <w:spacing w:before="2"/>
        <w:ind w:left="538" w:right="0" w:firstLine="0"/>
        <w:jc w:val="left"/>
        <w:rPr>
          <w:rFonts w:ascii="Lucida Sans"/>
          <w:sz w:val="18"/>
        </w:rPr>
      </w:pPr>
      <w:r>
        <w:rPr>
          <w:rFonts w:ascii="Lucida Sans"/>
          <w:color w:val="231F20"/>
          <w:sz w:val="18"/>
        </w:rPr>
        <w:t>Dewey Number: 346.945054</w:t>
      </w:r>
    </w:p>
    <w:p>
      <w:pPr>
        <w:spacing w:line="232" w:lineRule="auto" w:before="122"/>
        <w:ind w:left="538" w:right="2159" w:firstLine="0"/>
        <w:jc w:val="left"/>
        <w:rPr>
          <w:rFonts w:ascii="Lucida Sans" w:hAnsi="Lucida Sans"/>
          <w:sz w:val="18"/>
        </w:rPr>
      </w:pPr>
      <w:r>
        <w:rPr>
          <w:rFonts w:ascii="Lucida Sans" w:hAnsi="Lucida Sans"/>
          <w:color w:val="231F20"/>
          <w:spacing w:val="-5"/>
          <w:sz w:val="18"/>
        </w:rPr>
        <w:t>Ordered </w:t>
      </w:r>
      <w:r>
        <w:rPr>
          <w:rFonts w:ascii="Lucida Sans" w:hAnsi="Lucida Sans"/>
          <w:color w:val="231F20"/>
          <w:sz w:val="18"/>
        </w:rPr>
        <w:t>to be </w:t>
      </w:r>
      <w:r>
        <w:rPr>
          <w:rFonts w:ascii="Lucida Sans" w:hAnsi="Lucida Sans"/>
          <w:color w:val="231F20"/>
          <w:spacing w:val="-4"/>
          <w:sz w:val="18"/>
        </w:rPr>
        <w:t>printed </w:t>
      </w:r>
      <w:r>
        <w:rPr>
          <w:rFonts w:ascii="Lucida Sans" w:hAnsi="Lucida Sans"/>
          <w:color w:val="231F20"/>
          <w:spacing w:val="-4"/>
          <w:w w:val="90"/>
          <w:sz w:val="18"/>
        </w:rPr>
        <w:t>Victorian Government Printer </w:t>
      </w:r>
      <w:r>
        <w:rPr>
          <w:rFonts w:ascii="Lucida Sans" w:hAnsi="Lucida Sans"/>
          <w:color w:val="231F20"/>
          <w:sz w:val="18"/>
        </w:rPr>
        <w:t>PP </w:t>
      </w:r>
      <w:r>
        <w:rPr>
          <w:rFonts w:ascii="Lucida Sans" w:hAnsi="Lucida Sans"/>
          <w:color w:val="231F20"/>
          <w:spacing w:val="-3"/>
          <w:sz w:val="18"/>
        </w:rPr>
        <w:t>252, </w:t>
      </w:r>
      <w:r>
        <w:rPr>
          <w:rFonts w:ascii="Lucida Sans" w:hAnsi="Lucida Sans"/>
          <w:color w:val="231F20"/>
          <w:spacing w:val="-4"/>
          <w:sz w:val="18"/>
        </w:rPr>
        <w:t>Session </w:t>
      </w:r>
      <w:r>
        <w:rPr>
          <w:rFonts w:ascii="Lucida Sans" w:hAnsi="Lucida Sans"/>
          <w:color w:val="231F20"/>
          <w:spacing w:val="-14"/>
          <w:sz w:val="18"/>
        </w:rPr>
        <w:t>2010</w:t>
      </w:r>
      <w:r>
        <w:rPr>
          <w:rFonts w:ascii="Lucida Sans" w:hAnsi="Lucida Sans"/>
          <w:color w:val="231F20"/>
          <w:spacing w:val="-14"/>
          <w:position w:val="2"/>
          <w:sz w:val="18"/>
        </w:rPr>
        <w:t>–</w:t>
      </w:r>
      <w:r>
        <w:rPr>
          <w:rFonts w:ascii="Lucida Sans" w:hAnsi="Lucida Sans"/>
          <w:color w:val="231F20"/>
          <w:spacing w:val="-14"/>
          <w:sz w:val="18"/>
        </w:rPr>
        <w:t>13</w:t>
      </w:r>
    </w:p>
    <w:p>
      <w:pPr>
        <w:pStyle w:val="BodyText"/>
        <w:spacing w:before="3"/>
        <w:rPr>
          <w:rFonts w:ascii="Lucida Sans"/>
          <w:sz w:val="13"/>
        </w:rPr>
      </w:pPr>
      <w:r>
        <w:rPr/>
        <w:br w:type="column"/>
      </w:r>
      <w:r>
        <w:rPr>
          <w:rFonts w:ascii="Lucida Sans"/>
          <w:sz w:val="13"/>
        </w:rPr>
      </w:r>
    </w:p>
    <w:p>
      <w:pPr>
        <w:spacing w:before="1"/>
        <w:ind w:left="271" w:right="0" w:firstLine="0"/>
        <w:jc w:val="left"/>
        <w:rPr>
          <w:rFonts w:ascii="Trebuchet MS"/>
          <w:b/>
          <w:sz w:val="12"/>
        </w:rPr>
      </w:pPr>
      <w:r>
        <w:rPr>
          <w:rFonts w:ascii="Trebuchet MS"/>
          <w:b/>
          <w:color w:val="231F20"/>
          <w:w w:val="140"/>
          <w:sz w:val="12"/>
        </w:rPr>
        <w:t>chair</w:t>
      </w:r>
    </w:p>
    <w:p>
      <w:pPr>
        <w:spacing w:before="15"/>
        <w:ind w:left="271" w:right="0" w:firstLine="0"/>
        <w:jc w:val="left"/>
        <w:rPr>
          <w:rFonts w:ascii="Lucida Sans"/>
          <w:sz w:val="18"/>
        </w:rPr>
      </w:pPr>
      <w:r>
        <w:rPr>
          <w:rFonts w:ascii="Lucida Sans"/>
          <w:color w:val="231F20"/>
          <w:sz w:val="18"/>
        </w:rPr>
        <w:t>The Hon. Philip Cummins*</w:t>
      </w:r>
    </w:p>
    <w:p>
      <w:pPr>
        <w:spacing w:before="179"/>
        <w:ind w:left="271" w:right="0" w:firstLine="0"/>
        <w:jc w:val="left"/>
        <w:rPr>
          <w:rFonts w:ascii="Trebuchet MS"/>
          <w:b/>
          <w:sz w:val="12"/>
        </w:rPr>
      </w:pPr>
      <w:r>
        <w:rPr>
          <w:rFonts w:ascii="Trebuchet MS"/>
          <w:b/>
          <w:color w:val="231F20"/>
          <w:w w:val="135"/>
          <w:sz w:val="12"/>
        </w:rPr>
        <w:t>specialist commissioner</w:t>
      </w:r>
    </w:p>
    <w:p>
      <w:pPr>
        <w:spacing w:before="15"/>
        <w:ind w:left="271" w:right="0" w:firstLine="0"/>
        <w:jc w:val="left"/>
        <w:rPr>
          <w:rFonts w:ascii="Lucida Sans"/>
          <w:sz w:val="18"/>
        </w:rPr>
      </w:pPr>
      <w:r>
        <w:rPr>
          <w:rFonts w:ascii="Lucida Sans"/>
          <w:color w:val="231F20"/>
          <w:sz w:val="18"/>
        </w:rPr>
        <w:t>Dr Ian Hardingham QC*</w:t>
      </w:r>
    </w:p>
    <w:p>
      <w:pPr>
        <w:spacing w:before="122"/>
        <w:ind w:left="271" w:right="0" w:firstLine="0"/>
        <w:jc w:val="left"/>
        <w:rPr>
          <w:rFonts w:ascii="Trebuchet MS"/>
          <w:b/>
          <w:sz w:val="12"/>
        </w:rPr>
      </w:pPr>
      <w:r>
        <w:rPr>
          <w:rFonts w:ascii="Trebuchet MS"/>
          <w:b/>
          <w:color w:val="231F20"/>
          <w:w w:val="135"/>
          <w:sz w:val="12"/>
        </w:rPr>
        <w:t>part</w:t>
      </w:r>
      <w:r>
        <w:rPr>
          <w:rFonts w:ascii="Trebuchet MS"/>
          <w:b/>
          <w:color w:val="231F20"/>
          <w:w w:val="135"/>
          <w:sz w:val="18"/>
        </w:rPr>
        <w:t>-</w:t>
      </w:r>
      <w:r>
        <w:rPr>
          <w:rFonts w:ascii="Trebuchet MS"/>
          <w:b/>
          <w:color w:val="231F20"/>
          <w:w w:val="135"/>
          <w:sz w:val="12"/>
        </w:rPr>
        <w:t>time commissioners</w:t>
      </w:r>
    </w:p>
    <w:p>
      <w:pPr>
        <w:spacing w:line="244" w:lineRule="auto" w:before="2"/>
        <w:ind w:left="271" w:right="1192" w:firstLine="0"/>
        <w:jc w:val="left"/>
        <w:rPr>
          <w:rFonts w:ascii="Lucida Sans"/>
          <w:sz w:val="18"/>
        </w:rPr>
      </w:pPr>
      <w:r>
        <w:rPr>
          <w:rFonts w:ascii="Lucida Sans"/>
          <w:color w:val="231F20"/>
          <w:spacing w:val="-3"/>
          <w:w w:val="95"/>
          <w:sz w:val="18"/>
        </w:rPr>
        <w:t>The</w:t>
      </w:r>
      <w:r>
        <w:rPr>
          <w:rFonts w:ascii="Lucida Sans"/>
          <w:color w:val="231F20"/>
          <w:spacing w:val="-29"/>
          <w:w w:val="95"/>
          <w:sz w:val="18"/>
        </w:rPr>
        <w:t> </w:t>
      </w:r>
      <w:r>
        <w:rPr>
          <w:rFonts w:ascii="Lucida Sans"/>
          <w:color w:val="231F20"/>
          <w:spacing w:val="-3"/>
          <w:w w:val="95"/>
          <w:sz w:val="18"/>
        </w:rPr>
        <w:t>Hon.</w:t>
      </w:r>
      <w:r>
        <w:rPr>
          <w:rFonts w:ascii="Lucida Sans"/>
          <w:color w:val="231F20"/>
          <w:spacing w:val="-29"/>
          <w:w w:val="95"/>
          <w:sz w:val="18"/>
        </w:rPr>
        <w:t> </w:t>
      </w:r>
      <w:r>
        <w:rPr>
          <w:rFonts w:ascii="Lucida Sans"/>
          <w:color w:val="231F20"/>
          <w:spacing w:val="-4"/>
          <w:w w:val="95"/>
          <w:sz w:val="18"/>
        </w:rPr>
        <w:t>David</w:t>
      </w:r>
      <w:r>
        <w:rPr>
          <w:rFonts w:ascii="Lucida Sans"/>
          <w:color w:val="231F20"/>
          <w:spacing w:val="-29"/>
          <w:w w:val="95"/>
          <w:sz w:val="18"/>
        </w:rPr>
        <w:t> </w:t>
      </w:r>
      <w:r>
        <w:rPr>
          <w:rFonts w:ascii="Lucida Sans"/>
          <w:color w:val="231F20"/>
          <w:spacing w:val="-4"/>
          <w:w w:val="95"/>
          <w:sz w:val="18"/>
        </w:rPr>
        <w:t>Jones</w:t>
      </w:r>
      <w:r>
        <w:rPr>
          <w:rFonts w:ascii="Lucida Sans"/>
          <w:color w:val="231F20"/>
          <w:spacing w:val="-29"/>
          <w:w w:val="95"/>
          <w:sz w:val="18"/>
        </w:rPr>
        <w:t> </w:t>
      </w:r>
      <w:r>
        <w:rPr>
          <w:rFonts w:ascii="Lucida Sans"/>
          <w:color w:val="231F20"/>
          <w:spacing w:val="-4"/>
          <w:w w:val="95"/>
          <w:sz w:val="18"/>
        </w:rPr>
        <w:t>AM* </w:t>
      </w:r>
      <w:r>
        <w:rPr>
          <w:rFonts w:ascii="Lucida Sans"/>
          <w:color w:val="231F20"/>
          <w:spacing w:val="-4"/>
          <w:sz w:val="18"/>
        </w:rPr>
        <w:t>Bruce Gardner</w:t>
      </w:r>
      <w:r>
        <w:rPr>
          <w:rFonts w:ascii="Lucida Sans"/>
          <w:color w:val="231F20"/>
          <w:spacing w:val="-43"/>
          <w:sz w:val="18"/>
        </w:rPr>
        <w:t> </w:t>
      </w:r>
      <w:r>
        <w:rPr>
          <w:rFonts w:ascii="Lucida Sans"/>
          <w:color w:val="231F20"/>
          <w:spacing w:val="-4"/>
          <w:sz w:val="18"/>
        </w:rPr>
        <w:t>PSM</w:t>
      </w:r>
    </w:p>
    <w:p>
      <w:pPr>
        <w:spacing w:line="212" w:lineRule="exact" w:before="0"/>
        <w:ind w:left="271" w:right="0" w:firstLine="0"/>
        <w:jc w:val="left"/>
        <w:rPr>
          <w:rFonts w:ascii="Lucida Sans"/>
          <w:sz w:val="18"/>
        </w:rPr>
      </w:pPr>
      <w:r>
        <w:rPr>
          <w:rFonts w:ascii="Lucida Sans"/>
          <w:color w:val="231F20"/>
          <w:sz w:val="18"/>
        </w:rPr>
        <w:t>Saul Holt SC</w:t>
      </w:r>
    </w:p>
    <w:p>
      <w:pPr>
        <w:spacing w:line="244" w:lineRule="auto" w:before="4"/>
        <w:ind w:left="271" w:right="885" w:firstLine="0"/>
        <w:jc w:val="left"/>
        <w:rPr>
          <w:rFonts w:ascii="Lucida Sans"/>
          <w:sz w:val="18"/>
        </w:rPr>
      </w:pPr>
      <w:r>
        <w:rPr>
          <w:rFonts w:ascii="Lucida Sans"/>
          <w:color w:val="231F20"/>
          <w:spacing w:val="-3"/>
          <w:w w:val="95"/>
          <w:sz w:val="18"/>
        </w:rPr>
        <w:t>The</w:t>
      </w:r>
      <w:r>
        <w:rPr>
          <w:rFonts w:ascii="Lucida Sans"/>
          <w:color w:val="231F20"/>
          <w:spacing w:val="-37"/>
          <w:w w:val="95"/>
          <w:sz w:val="18"/>
        </w:rPr>
        <w:t> </w:t>
      </w:r>
      <w:r>
        <w:rPr>
          <w:rFonts w:ascii="Lucida Sans"/>
          <w:color w:val="231F20"/>
          <w:spacing w:val="-3"/>
          <w:w w:val="95"/>
          <w:sz w:val="18"/>
        </w:rPr>
        <w:t>Hon.</w:t>
      </w:r>
      <w:r>
        <w:rPr>
          <w:rFonts w:ascii="Lucida Sans"/>
          <w:color w:val="231F20"/>
          <w:spacing w:val="-36"/>
          <w:w w:val="95"/>
          <w:sz w:val="18"/>
        </w:rPr>
        <w:t> </w:t>
      </w:r>
      <w:r>
        <w:rPr>
          <w:rFonts w:ascii="Lucida Sans"/>
          <w:color w:val="231F20"/>
          <w:spacing w:val="-4"/>
          <w:w w:val="95"/>
          <w:sz w:val="18"/>
        </w:rPr>
        <w:t>Frank</w:t>
      </w:r>
      <w:r>
        <w:rPr>
          <w:rFonts w:ascii="Lucida Sans"/>
          <w:color w:val="231F20"/>
          <w:spacing w:val="-36"/>
          <w:w w:val="95"/>
          <w:sz w:val="18"/>
        </w:rPr>
        <w:t> </w:t>
      </w:r>
      <w:r>
        <w:rPr>
          <w:rFonts w:ascii="Lucida Sans"/>
          <w:color w:val="231F20"/>
          <w:spacing w:val="-4"/>
          <w:w w:val="95"/>
          <w:sz w:val="18"/>
        </w:rPr>
        <w:t>Vincent</w:t>
      </w:r>
      <w:r>
        <w:rPr>
          <w:rFonts w:ascii="Lucida Sans"/>
          <w:color w:val="231F20"/>
          <w:spacing w:val="-36"/>
          <w:w w:val="95"/>
          <w:sz w:val="18"/>
        </w:rPr>
        <w:t> </w:t>
      </w:r>
      <w:r>
        <w:rPr>
          <w:rFonts w:ascii="Lucida Sans"/>
          <w:color w:val="231F20"/>
          <w:w w:val="95"/>
          <w:sz w:val="18"/>
        </w:rPr>
        <w:t>AO</w:t>
      </w:r>
      <w:r>
        <w:rPr>
          <w:rFonts w:ascii="Lucida Sans"/>
          <w:color w:val="231F20"/>
          <w:spacing w:val="-36"/>
          <w:w w:val="95"/>
          <w:sz w:val="18"/>
        </w:rPr>
        <w:t> </w:t>
      </w:r>
      <w:r>
        <w:rPr>
          <w:rFonts w:ascii="Lucida Sans"/>
          <w:color w:val="231F20"/>
          <w:spacing w:val="-4"/>
          <w:w w:val="95"/>
          <w:sz w:val="18"/>
        </w:rPr>
        <w:t>QC </w:t>
      </w:r>
      <w:r>
        <w:rPr>
          <w:rFonts w:ascii="Lucida Sans"/>
          <w:color w:val="231F20"/>
          <w:spacing w:val="-4"/>
          <w:sz w:val="18"/>
        </w:rPr>
        <w:t>Eamonn</w:t>
      </w:r>
      <w:r>
        <w:rPr>
          <w:rFonts w:ascii="Lucida Sans"/>
          <w:color w:val="231F20"/>
          <w:spacing w:val="-24"/>
          <w:sz w:val="18"/>
        </w:rPr>
        <w:t> </w:t>
      </w:r>
      <w:r>
        <w:rPr>
          <w:rFonts w:ascii="Lucida Sans"/>
          <w:color w:val="231F20"/>
          <w:spacing w:val="-4"/>
          <w:sz w:val="18"/>
        </w:rPr>
        <w:t>Moran</w:t>
      </w:r>
      <w:r>
        <w:rPr>
          <w:rFonts w:ascii="Lucida Sans"/>
          <w:color w:val="231F20"/>
          <w:spacing w:val="-24"/>
          <w:sz w:val="18"/>
        </w:rPr>
        <w:t> </w:t>
      </w:r>
      <w:r>
        <w:rPr>
          <w:rFonts w:ascii="Lucida Sans"/>
          <w:color w:val="231F20"/>
          <w:spacing w:val="-3"/>
          <w:sz w:val="18"/>
        </w:rPr>
        <w:t>PSM</w:t>
      </w:r>
      <w:r>
        <w:rPr>
          <w:rFonts w:ascii="Lucida Sans"/>
          <w:color w:val="231F20"/>
          <w:spacing w:val="-24"/>
          <w:sz w:val="18"/>
        </w:rPr>
        <w:t> </w:t>
      </w:r>
      <w:r>
        <w:rPr>
          <w:rFonts w:ascii="Lucida Sans"/>
          <w:color w:val="231F20"/>
          <w:spacing w:val="-4"/>
          <w:sz w:val="18"/>
        </w:rPr>
        <w:t>QC*</w:t>
      </w:r>
    </w:p>
    <w:p>
      <w:pPr>
        <w:pStyle w:val="ListParagraph"/>
        <w:numPr>
          <w:ilvl w:val="0"/>
          <w:numId w:val="1"/>
        </w:numPr>
        <w:tabs>
          <w:tab w:pos="383" w:val="left" w:leader="none"/>
        </w:tabs>
        <w:spacing w:line="240" w:lineRule="auto" w:before="154" w:after="0"/>
        <w:ind w:left="382" w:right="0" w:hanging="111"/>
        <w:jc w:val="left"/>
        <w:rPr>
          <w:i/>
          <w:sz w:val="14"/>
        </w:rPr>
      </w:pPr>
      <w:r>
        <w:rPr>
          <w:i/>
          <w:color w:val="231F20"/>
          <w:spacing w:val="-3"/>
          <w:w w:val="105"/>
          <w:sz w:val="14"/>
        </w:rPr>
        <w:t>Commissioners involved </w:t>
      </w:r>
      <w:r>
        <w:rPr>
          <w:i/>
          <w:color w:val="231F20"/>
          <w:w w:val="105"/>
          <w:sz w:val="14"/>
        </w:rPr>
        <w:t>in </w:t>
      </w:r>
      <w:r>
        <w:rPr>
          <w:i/>
          <w:color w:val="231F20"/>
          <w:spacing w:val="-3"/>
          <w:w w:val="105"/>
          <w:sz w:val="14"/>
        </w:rPr>
        <w:t>this</w:t>
      </w:r>
      <w:r>
        <w:rPr>
          <w:i/>
          <w:color w:val="231F20"/>
          <w:spacing w:val="2"/>
          <w:w w:val="105"/>
          <w:sz w:val="14"/>
        </w:rPr>
        <w:t> </w:t>
      </w:r>
      <w:r>
        <w:rPr>
          <w:i/>
          <w:color w:val="231F20"/>
          <w:spacing w:val="-3"/>
          <w:w w:val="105"/>
          <w:sz w:val="14"/>
        </w:rPr>
        <w:t>reference</w:t>
      </w:r>
    </w:p>
    <w:p>
      <w:pPr>
        <w:pStyle w:val="BodyText"/>
        <w:spacing w:before="8"/>
        <w:rPr>
          <w:i/>
          <w:sz w:val="14"/>
        </w:rPr>
      </w:pPr>
    </w:p>
    <w:p>
      <w:pPr>
        <w:spacing w:before="0"/>
        <w:ind w:left="271" w:right="0" w:firstLine="0"/>
        <w:jc w:val="left"/>
        <w:rPr>
          <w:rFonts w:ascii="Trebuchet MS"/>
          <w:b/>
          <w:sz w:val="12"/>
        </w:rPr>
      </w:pPr>
      <w:r>
        <w:rPr>
          <w:rFonts w:ascii="Trebuchet MS"/>
          <w:b/>
          <w:color w:val="231F20"/>
          <w:w w:val="135"/>
          <w:sz w:val="12"/>
        </w:rPr>
        <w:t>acting chief executive officer</w:t>
      </w:r>
    </w:p>
    <w:p>
      <w:pPr>
        <w:spacing w:before="16"/>
        <w:ind w:left="271" w:right="0" w:firstLine="0"/>
        <w:jc w:val="left"/>
        <w:rPr>
          <w:rFonts w:ascii="Lucida Sans"/>
          <w:sz w:val="18"/>
        </w:rPr>
      </w:pPr>
      <w:r>
        <w:rPr>
          <w:rFonts w:ascii="Lucida Sans"/>
          <w:color w:val="231F20"/>
          <w:sz w:val="18"/>
        </w:rPr>
        <w:t>Cynthia Marwood</w:t>
      </w:r>
    </w:p>
    <w:p>
      <w:pPr>
        <w:spacing w:before="178"/>
        <w:ind w:left="271" w:right="0" w:firstLine="0"/>
        <w:jc w:val="left"/>
        <w:rPr>
          <w:rFonts w:ascii="Trebuchet MS"/>
          <w:b/>
          <w:sz w:val="12"/>
        </w:rPr>
      </w:pPr>
      <w:r>
        <w:rPr>
          <w:rFonts w:ascii="Trebuchet MS"/>
          <w:b/>
          <w:color w:val="231F20"/>
          <w:w w:val="135"/>
          <w:sz w:val="12"/>
        </w:rPr>
        <w:t>reference team</w:t>
      </w:r>
    </w:p>
    <w:p>
      <w:pPr>
        <w:spacing w:line="244" w:lineRule="auto" w:before="16"/>
        <w:ind w:left="271" w:right="1192" w:firstLine="0"/>
        <w:jc w:val="left"/>
        <w:rPr>
          <w:rFonts w:ascii="Lucida Sans"/>
          <w:sz w:val="18"/>
        </w:rPr>
      </w:pPr>
      <w:r>
        <w:rPr>
          <w:rFonts w:ascii="Lucida Sans"/>
          <w:color w:val="231F20"/>
          <w:spacing w:val="-4"/>
          <w:w w:val="90"/>
          <w:sz w:val="18"/>
        </w:rPr>
        <w:t>Lindy Smith (team leader) </w:t>
      </w:r>
      <w:r>
        <w:rPr>
          <w:rFonts w:ascii="Lucida Sans"/>
          <w:color w:val="231F20"/>
          <w:spacing w:val="-3"/>
          <w:w w:val="95"/>
          <w:sz w:val="18"/>
        </w:rPr>
        <w:t>Mia </w:t>
      </w:r>
      <w:r>
        <w:rPr>
          <w:rFonts w:ascii="Lucida Sans"/>
          <w:color w:val="231F20"/>
          <w:spacing w:val="-4"/>
          <w:w w:val="95"/>
          <w:sz w:val="18"/>
        </w:rPr>
        <w:t>Hollick</w:t>
      </w:r>
    </w:p>
    <w:p>
      <w:pPr>
        <w:spacing w:line="244" w:lineRule="auto" w:before="0"/>
        <w:ind w:left="271" w:right="1712" w:firstLine="0"/>
        <w:jc w:val="left"/>
        <w:rPr>
          <w:rFonts w:ascii="Lucida Sans" w:hAnsi="Lucida Sans"/>
          <w:sz w:val="18"/>
        </w:rPr>
      </w:pPr>
      <w:r>
        <w:rPr>
          <w:rFonts w:ascii="Lucida Sans" w:hAnsi="Lucida Sans"/>
          <w:color w:val="231F20"/>
          <w:sz w:val="18"/>
        </w:rPr>
        <w:t>Natalie Lilford </w:t>
      </w:r>
      <w:r>
        <w:rPr>
          <w:rFonts w:ascii="Lucida Sans" w:hAnsi="Lucida Sans"/>
          <w:color w:val="231F20"/>
          <w:w w:val="90"/>
          <w:sz w:val="18"/>
        </w:rPr>
        <w:t>Joanna O’Donohue</w:t>
      </w:r>
    </w:p>
    <w:p>
      <w:pPr>
        <w:pStyle w:val="BodyText"/>
        <w:rPr>
          <w:rFonts w:ascii="Lucida Sans"/>
          <w:sz w:val="20"/>
        </w:rPr>
      </w:pPr>
    </w:p>
    <w:p>
      <w:pPr>
        <w:spacing w:before="154"/>
        <w:ind w:left="271" w:right="0" w:firstLine="0"/>
        <w:jc w:val="left"/>
        <w:rPr>
          <w:rFonts w:ascii="Trebuchet MS"/>
          <w:b/>
          <w:sz w:val="12"/>
        </w:rPr>
      </w:pPr>
      <w:r>
        <w:rPr>
          <w:rFonts w:ascii="Trebuchet MS"/>
          <w:b/>
          <w:color w:val="231F20"/>
          <w:w w:val="130"/>
          <w:sz w:val="12"/>
        </w:rPr>
        <w:t>cover design</w:t>
      </w:r>
    </w:p>
    <w:p>
      <w:pPr>
        <w:spacing w:before="15"/>
        <w:ind w:left="271" w:right="0" w:firstLine="0"/>
        <w:jc w:val="left"/>
        <w:rPr>
          <w:rFonts w:ascii="Lucida Sans"/>
          <w:sz w:val="18"/>
        </w:rPr>
      </w:pPr>
      <w:r>
        <w:rPr>
          <w:rFonts w:ascii="Lucida Sans"/>
          <w:color w:val="231F20"/>
          <w:w w:val="95"/>
          <w:sz w:val="18"/>
        </w:rPr>
        <w:t>Letterbox</w:t>
      </w:r>
    </w:p>
    <w:p>
      <w:pPr>
        <w:spacing w:before="179"/>
        <w:ind w:left="271" w:right="0" w:firstLine="0"/>
        <w:jc w:val="left"/>
        <w:rPr>
          <w:rFonts w:ascii="Trebuchet MS"/>
          <w:b/>
          <w:sz w:val="12"/>
        </w:rPr>
      </w:pPr>
      <w:r>
        <w:rPr>
          <w:rFonts w:ascii="Trebuchet MS"/>
          <w:b/>
          <w:color w:val="231F20"/>
          <w:w w:val="140"/>
          <w:sz w:val="12"/>
        </w:rPr>
        <w:t>text layout</w:t>
      </w:r>
    </w:p>
    <w:p>
      <w:pPr>
        <w:spacing w:before="15"/>
        <w:ind w:left="271" w:right="0" w:firstLine="0"/>
        <w:jc w:val="left"/>
        <w:rPr>
          <w:rFonts w:ascii="Lucida Sans"/>
          <w:sz w:val="18"/>
        </w:rPr>
      </w:pPr>
      <w:r>
        <w:rPr>
          <w:rFonts w:ascii="Lucida Sans"/>
          <w:color w:val="231F20"/>
          <w:sz w:val="18"/>
        </w:rPr>
        <w:t>GH2 design</w:t>
      </w:r>
    </w:p>
    <w:p>
      <w:pPr>
        <w:spacing w:after="0"/>
        <w:jc w:val="left"/>
        <w:rPr>
          <w:rFonts w:ascii="Lucida Sans"/>
          <w:sz w:val="18"/>
        </w:rPr>
        <w:sectPr>
          <w:type w:val="continuous"/>
          <w:pgSz w:w="11920" w:h="16840"/>
          <w:pgMar w:top="920" w:bottom="280" w:left="1680" w:right="1680"/>
          <w:cols w:num="2" w:equalWidth="0">
            <w:col w:w="5046" w:space="40"/>
            <w:col w:w="3474"/>
          </w:cols>
        </w:sectPr>
      </w:pPr>
    </w:p>
    <w:p>
      <w:pPr>
        <w:pStyle w:val="BodyText"/>
        <w:rPr>
          <w:rFonts w:ascii="Lucida Sans"/>
          <w:sz w:val="20"/>
        </w:rPr>
      </w:pPr>
    </w:p>
    <w:p>
      <w:pPr>
        <w:pStyle w:val="BodyText"/>
        <w:spacing w:before="3" w:after="1"/>
        <w:rPr>
          <w:rFonts w:ascii="Lucida Sans"/>
          <w:sz w:val="12"/>
        </w:rPr>
      </w:pPr>
    </w:p>
    <w:p>
      <w:pPr>
        <w:pStyle w:val="BodyText"/>
        <w:ind w:left="538"/>
        <w:rPr>
          <w:rFonts w:ascii="Lucida Sans"/>
          <w:sz w:val="20"/>
        </w:rPr>
      </w:pPr>
      <w:r>
        <w:rPr>
          <w:rFonts w:ascii="Lucida Sans"/>
          <w:sz w:val="20"/>
        </w:rPr>
        <w:drawing>
          <wp:inline distT="0" distB="0" distL="0" distR="0">
            <wp:extent cx="954164" cy="433387"/>
            <wp:effectExtent l="0" t="0" r="0" b="0"/>
            <wp:docPr id="3" name="image5.png" descr=""/>
            <wp:cNvGraphicFramePr>
              <a:graphicFrameLocks noChangeAspect="1"/>
            </wp:cNvGraphicFramePr>
            <a:graphic>
              <a:graphicData uri="http://schemas.openxmlformats.org/drawingml/2006/picture">
                <pic:pic>
                  <pic:nvPicPr>
                    <pic:cNvPr id="4" name="image5.png"/>
                    <pic:cNvPicPr/>
                  </pic:nvPicPr>
                  <pic:blipFill>
                    <a:blip r:embed="rId9" cstate="print"/>
                    <a:stretch>
                      <a:fillRect/>
                    </a:stretch>
                  </pic:blipFill>
                  <pic:spPr>
                    <a:xfrm>
                      <a:off x="0" y="0"/>
                      <a:ext cx="954164" cy="433387"/>
                    </a:xfrm>
                    <a:prstGeom prst="rect">
                      <a:avLst/>
                    </a:prstGeom>
                  </pic:spPr>
                </pic:pic>
              </a:graphicData>
            </a:graphic>
          </wp:inline>
        </w:drawing>
      </w:r>
      <w:r>
        <w:rPr>
          <w:rFonts w:ascii="Lucida Sans"/>
          <w:sz w:val="20"/>
        </w:rPr>
      </w:r>
    </w:p>
    <w:p>
      <w:pPr>
        <w:spacing w:after="0"/>
        <w:rPr>
          <w:rFonts w:ascii="Lucida Sans"/>
          <w:sz w:val="20"/>
        </w:rPr>
        <w:sectPr>
          <w:type w:val="continuous"/>
          <w:pgSz w:w="11920" w:h="16840"/>
          <w:pgMar w:top="920" w:bottom="280" w:left="1680" w:right="1680"/>
        </w:sectPr>
      </w:pPr>
    </w:p>
    <w:p>
      <w:pPr>
        <w:spacing w:line="1088" w:lineRule="exact" w:before="45"/>
        <w:ind w:left="1575" w:right="0" w:firstLine="0"/>
        <w:jc w:val="left"/>
        <w:rPr>
          <w:sz w:val="90"/>
        </w:rPr>
      </w:pPr>
      <w:r>
        <w:rPr/>
        <w:pict>
          <v:line style="position:absolute;mso-position-horizontal-relative:page;mso-position-vertical-relative:paragraph;z-index:-307336" from="129.274902pt,71.483357pt" to="129.274902pt,53.892357pt" stroked="true" strokeweight="1pt" strokecolor="#000000">
            <v:stroke dashstyle="solid"/>
            <w10:wrap type="none"/>
          </v:line>
        </w:pict>
      </w:r>
      <w:r>
        <w:rPr>
          <w:color w:val="EC5A4F"/>
          <w:w w:val="105"/>
          <w:sz w:val="90"/>
        </w:rPr>
        <w:t>Succession Laws</w:t>
      </w:r>
    </w:p>
    <w:p>
      <w:pPr>
        <w:tabs>
          <w:tab w:pos="2688" w:val="left" w:leader="none"/>
        </w:tabs>
        <w:spacing w:line="268" w:lineRule="exact" w:before="0"/>
        <w:ind w:left="1575" w:right="0" w:firstLine="0"/>
        <w:jc w:val="left"/>
        <w:rPr>
          <w:sz w:val="22"/>
        </w:rPr>
      </w:pPr>
      <w:r>
        <w:rPr>
          <w:rFonts w:ascii="Tahoma"/>
          <w:b/>
          <w:spacing w:val="4"/>
          <w:w w:val="105"/>
          <w:sz w:val="22"/>
        </w:rPr>
        <w:t>REPORT</w:t>
        <w:tab/>
      </w:r>
      <w:r>
        <w:rPr>
          <w:spacing w:val="5"/>
          <w:w w:val="105"/>
          <w:sz w:val="22"/>
        </w:rPr>
        <w:t>AUGUST</w:t>
      </w:r>
      <w:r>
        <w:rPr>
          <w:spacing w:val="22"/>
          <w:w w:val="105"/>
          <w:sz w:val="22"/>
        </w:rPr>
        <w:t> </w:t>
      </w:r>
      <w:r>
        <w:rPr>
          <w:spacing w:val="4"/>
          <w:w w:val="105"/>
          <w:sz w:val="22"/>
        </w:rPr>
        <w:t>2013</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4"/>
        </w:rPr>
      </w:pPr>
      <w:r>
        <w:rPr/>
        <w:pict>
          <v:line style="position:absolute;mso-position-horizontal-relative:page;mso-position-vertical-relative:paragraph;z-index:-976;mso-wrap-distance-left:0;mso-wrap-distance-right:0" from="79.338501pt,11.04923pt" to="552.816501pt,11.04923pt" stroked="true" strokeweight=".5pt" strokecolor="#000000">
            <v:stroke dashstyle="solid"/>
            <w10:wrap type="topAndBottom"/>
          </v:line>
        </w:pict>
      </w:r>
    </w:p>
    <w:p>
      <w:pPr>
        <w:spacing w:after="0"/>
        <w:rPr>
          <w:sz w:val="14"/>
        </w:rPr>
        <w:sectPr>
          <w:pgSz w:w="11910" w:h="16840"/>
          <w:pgMar w:top="1020" w:bottom="280" w:left="0" w:right="0"/>
        </w:sectPr>
      </w:pPr>
    </w:p>
    <w:p>
      <w:pPr>
        <w:spacing w:line="230" w:lineRule="auto" w:before="78"/>
        <w:ind w:left="2878" w:right="-15" w:firstLine="0"/>
        <w:jc w:val="left"/>
        <w:rPr>
          <w:sz w:val="18"/>
        </w:rPr>
      </w:pPr>
      <w:r>
        <w:rPr>
          <w:spacing w:val="-4"/>
          <w:w w:val="115"/>
          <w:sz w:val="18"/>
        </w:rPr>
        <w:t>Victorian </w:t>
      </w:r>
      <w:r>
        <w:rPr>
          <w:spacing w:val="-3"/>
          <w:w w:val="115"/>
          <w:sz w:val="18"/>
        </w:rPr>
        <w:t>Law </w:t>
      </w:r>
      <w:r>
        <w:rPr>
          <w:spacing w:val="-4"/>
          <w:w w:val="115"/>
          <w:sz w:val="18"/>
        </w:rPr>
        <w:t>Reform </w:t>
      </w:r>
      <w:r>
        <w:rPr>
          <w:spacing w:val="-6"/>
          <w:w w:val="115"/>
          <w:sz w:val="18"/>
        </w:rPr>
        <w:t>Commission </w:t>
      </w:r>
      <w:r>
        <w:rPr>
          <w:spacing w:val="-3"/>
          <w:w w:val="115"/>
          <w:sz w:val="18"/>
        </w:rPr>
        <w:t>GPO Box 4637</w:t>
      </w:r>
    </w:p>
    <w:p>
      <w:pPr>
        <w:spacing w:line="230" w:lineRule="auto" w:before="0"/>
        <w:ind w:left="2878" w:right="185" w:firstLine="0"/>
        <w:jc w:val="left"/>
        <w:rPr>
          <w:sz w:val="18"/>
        </w:rPr>
      </w:pPr>
      <w:r>
        <w:rPr/>
        <w:drawing>
          <wp:anchor distT="0" distB="0" distL="0" distR="0" allowOverlap="1" layoutInCell="1" locked="0" behindDoc="0" simplePos="0" relativeHeight="1144">
            <wp:simplePos x="0" y="0"/>
            <wp:positionH relativeFrom="page">
              <wp:posOffset>996791</wp:posOffset>
            </wp:positionH>
            <wp:positionV relativeFrom="paragraph">
              <wp:posOffset>-366427</wp:posOffset>
            </wp:positionV>
            <wp:extent cx="594467" cy="725510"/>
            <wp:effectExtent l="0" t="0" r="0" b="0"/>
            <wp:wrapNone/>
            <wp:docPr id="5" name="image6.png" descr=""/>
            <wp:cNvGraphicFramePr>
              <a:graphicFrameLocks noChangeAspect="1"/>
            </wp:cNvGraphicFramePr>
            <a:graphic>
              <a:graphicData uri="http://schemas.openxmlformats.org/drawingml/2006/picture">
                <pic:pic>
                  <pic:nvPicPr>
                    <pic:cNvPr id="6" name="image6.png"/>
                    <pic:cNvPicPr/>
                  </pic:nvPicPr>
                  <pic:blipFill>
                    <a:blip r:embed="rId10" cstate="print"/>
                    <a:stretch>
                      <a:fillRect/>
                    </a:stretch>
                  </pic:blipFill>
                  <pic:spPr>
                    <a:xfrm>
                      <a:off x="0" y="0"/>
                      <a:ext cx="594467" cy="725510"/>
                    </a:xfrm>
                    <a:prstGeom prst="rect">
                      <a:avLst/>
                    </a:prstGeom>
                  </pic:spPr>
                </pic:pic>
              </a:graphicData>
            </a:graphic>
          </wp:anchor>
        </w:drawing>
      </w:r>
      <w:r>
        <w:rPr>
          <w:w w:val="105"/>
          <w:sz w:val="18"/>
        </w:rPr>
        <w:t>Melbourne Victoria 3001 Australia</w:t>
      </w:r>
    </w:p>
    <w:p>
      <w:pPr>
        <w:spacing w:before="44"/>
        <w:ind w:left="2878" w:right="0" w:firstLine="0"/>
        <w:jc w:val="left"/>
        <w:rPr>
          <w:sz w:val="18"/>
        </w:rPr>
      </w:pPr>
      <w:r>
        <w:rPr>
          <w:w w:val="105"/>
          <w:sz w:val="18"/>
        </w:rPr>
        <w:t>DX 144, Melbourne</w:t>
      </w:r>
    </w:p>
    <w:p>
      <w:pPr>
        <w:spacing w:line="215" w:lineRule="exact" w:before="72"/>
        <w:ind w:left="465" w:right="0" w:firstLine="0"/>
        <w:jc w:val="left"/>
        <w:rPr>
          <w:sz w:val="18"/>
        </w:rPr>
      </w:pPr>
      <w:r>
        <w:rPr/>
        <w:br w:type="column"/>
      </w:r>
      <w:r>
        <w:rPr>
          <w:w w:val="105"/>
          <w:sz w:val="18"/>
        </w:rPr>
        <w:t>Level 3</w:t>
      </w:r>
    </w:p>
    <w:p>
      <w:pPr>
        <w:spacing w:line="230" w:lineRule="auto" w:before="2"/>
        <w:ind w:left="465" w:right="0" w:firstLine="0"/>
        <w:jc w:val="left"/>
        <w:rPr>
          <w:sz w:val="18"/>
        </w:rPr>
      </w:pPr>
      <w:r>
        <w:rPr>
          <w:spacing w:val="-3"/>
          <w:w w:val="105"/>
          <w:sz w:val="18"/>
        </w:rPr>
        <w:t>333 </w:t>
      </w:r>
      <w:r>
        <w:rPr>
          <w:spacing w:val="-4"/>
          <w:w w:val="105"/>
          <w:sz w:val="18"/>
        </w:rPr>
        <w:t>Queen </w:t>
      </w:r>
      <w:r>
        <w:rPr>
          <w:spacing w:val="-8"/>
          <w:w w:val="105"/>
          <w:sz w:val="18"/>
        </w:rPr>
        <w:t>Street </w:t>
      </w:r>
      <w:r>
        <w:rPr>
          <w:spacing w:val="-4"/>
          <w:w w:val="105"/>
          <w:sz w:val="18"/>
        </w:rPr>
        <w:t>Melbourne Victoria </w:t>
      </w:r>
      <w:r>
        <w:rPr>
          <w:spacing w:val="-3"/>
          <w:w w:val="105"/>
          <w:sz w:val="18"/>
        </w:rPr>
        <w:t>3000 </w:t>
      </w:r>
      <w:r>
        <w:rPr>
          <w:spacing w:val="-4"/>
          <w:w w:val="105"/>
          <w:sz w:val="18"/>
        </w:rPr>
        <w:t>Australia</w:t>
      </w:r>
    </w:p>
    <w:p>
      <w:pPr>
        <w:spacing w:line="215" w:lineRule="exact" w:before="73"/>
        <w:ind w:left="344" w:right="0" w:firstLine="0"/>
        <w:jc w:val="left"/>
        <w:rPr>
          <w:sz w:val="18"/>
        </w:rPr>
      </w:pPr>
      <w:r>
        <w:rPr/>
        <w:br w:type="column"/>
      </w:r>
      <w:r>
        <w:rPr>
          <w:w w:val="115"/>
          <w:sz w:val="18"/>
        </w:rPr>
        <w:t>Telephone</w:t>
      </w:r>
    </w:p>
    <w:p>
      <w:pPr>
        <w:spacing w:line="215" w:lineRule="exact" w:before="0"/>
        <w:ind w:left="344" w:right="0" w:firstLine="0"/>
        <w:jc w:val="left"/>
        <w:rPr>
          <w:sz w:val="18"/>
        </w:rPr>
      </w:pPr>
      <w:r>
        <w:rPr>
          <w:spacing w:val="-3"/>
          <w:w w:val="110"/>
          <w:sz w:val="18"/>
        </w:rPr>
        <w:t>+61 </w:t>
      </w:r>
      <w:r>
        <w:rPr>
          <w:w w:val="110"/>
          <w:sz w:val="18"/>
        </w:rPr>
        <w:t>3 </w:t>
      </w:r>
      <w:r>
        <w:rPr>
          <w:spacing w:val="-3"/>
          <w:w w:val="110"/>
          <w:sz w:val="18"/>
        </w:rPr>
        <w:t>8608 </w:t>
      </w:r>
      <w:r>
        <w:rPr>
          <w:spacing w:val="-8"/>
          <w:w w:val="110"/>
          <w:sz w:val="18"/>
        </w:rPr>
        <w:t>7800</w:t>
      </w:r>
    </w:p>
    <w:p>
      <w:pPr>
        <w:spacing w:line="215" w:lineRule="exact" w:before="47"/>
        <w:ind w:left="344" w:right="0" w:firstLine="0"/>
        <w:jc w:val="left"/>
        <w:rPr>
          <w:sz w:val="18"/>
        </w:rPr>
      </w:pPr>
      <w:r>
        <w:rPr>
          <w:w w:val="115"/>
          <w:sz w:val="18"/>
        </w:rPr>
        <w:t>Freecall</w:t>
      </w:r>
    </w:p>
    <w:p>
      <w:pPr>
        <w:spacing w:line="210" w:lineRule="exact" w:before="0"/>
        <w:ind w:left="344" w:right="0" w:firstLine="0"/>
        <w:jc w:val="left"/>
        <w:rPr>
          <w:sz w:val="18"/>
        </w:rPr>
      </w:pPr>
      <w:r>
        <w:rPr>
          <w:w w:val="110"/>
          <w:sz w:val="18"/>
        </w:rPr>
        <w:t>1300 666 555</w:t>
      </w:r>
    </w:p>
    <w:p>
      <w:pPr>
        <w:spacing w:line="215" w:lineRule="exact" w:before="0"/>
        <w:ind w:left="344" w:right="0" w:firstLine="0"/>
        <w:jc w:val="left"/>
        <w:rPr>
          <w:i/>
          <w:sz w:val="18"/>
        </w:rPr>
      </w:pPr>
      <w:r>
        <w:rPr>
          <w:i/>
          <w:sz w:val="18"/>
        </w:rPr>
        <w:t>(within Victoria)</w:t>
      </w:r>
    </w:p>
    <w:p>
      <w:pPr>
        <w:spacing w:line="215" w:lineRule="exact" w:before="46"/>
        <w:ind w:left="344" w:right="0" w:firstLine="0"/>
        <w:jc w:val="left"/>
        <w:rPr>
          <w:sz w:val="18"/>
        </w:rPr>
      </w:pPr>
      <w:r>
        <w:rPr>
          <w:w w:val="115"/>
          <w:sz w:val="18"/>
        </w:rPr>
        <w:t>Fax</w:t>
      </w:r>
    </w:p>
    <w:p>
      <w:pPr>
        <w:spacing w:line="215" w:lineRule="exact" w:before="0"/>
        <w:ind w:left="344" w:right="0" w:firstLine="0"/>
        <w:jc w:val="left"/>
        <w:rPr>
          <w:sz w:val="18"/>
        </w:rPr>
      </w:pPr>
      <w:r>
        <w:rPr>
          <w:spacing w:val="-3"/>
          <w:w w:val="110"/>
          <w:sz w:val="18"/>
        </w:rPr>
        <w:t>+61 </w:t>
      </w:r>
      <w:r>
        <w:rPr>
          <w:w w:val="110"/>
          <w:sz w:val="18"/>
        </w:rPr>
        <w:t>3 </w:t>
      </w:r>
      <w:r>
        <w:rPr>
          <w:spacing w:val="-3"/>
          <w:w w:val="110"/>
          <w:sz w:val="18"/>
        </w:rPr>
        <w:t>8608 </w:t>
      </w:r>
      <w:r>
        <w:rPr>
          <w:spacing w:val="-8"/>
          <w:w w:val="110"/>
          <w:sz w:val="18"/>
        </w:rPr>
        <w:t>7888</w:t>
      </w:r>
    </w:p>
    <w:p>
      <w:pPr>
        <w:spacing w:before="73"/>
        <w:ind w:left="418" w:right="0" w:firstLine="0"/>
        <w:jc w:val="left"/>
        <w:rPr>
          <w:sz w:val="18"/>
        </w:rPr>
      </w:pPr>
      <w:r>
        <w:rPr/>
        <w:br w:type="column"/>
      </w:r>
      <w:r>
        <w:rPr>
          <w:w w:val="115"/>
          <w:sz w:val="18"/>
        </w:rPr>
        <w:t>Email</w:t>
      </w:r>
    </w:p>
    <w:p>
      <w:pPr>
        <w:spacing w:before="0"/>
        <w:ind w:left="418" w:right="0" w:firstLine="0"/>
        <w:jc w:val="left"/>
        <w:rPr>
          <w:sz w:val="18"/>
        </w:rPr>
      </w:pPr>
      <w:hyperlink r:id="rId11">
        <w:r>
          <w:rPr>
            <w:w w:val="105"/>
            <w:sz w:val="18"/>
          </w:rPr>
          <w:t>law.reform@lawreform.vic.gov.au</w:t>
        </w:r>
      </w:hyperlink>
    </w:p>
    <w:p>
      <w:pPr>
        <w:spacing w:before="57"/>
        <w:ind w:left="418" w:right="0" w:firstLine="0"/>
        <w:jc w:val="left"/>
        <w:rPr>
          <w:b/>
          <w:sz w:val="18"/>
        </w:rPr>
      </w:pPr>
      <w:hyperlink r:id="rId12">
        <w:r>
          <w:rPr>
            <w:b/>
            <w:w w:val="115"/>
            <w:sz w:val="18"/>
          </w:rPr>
          <w:t>www.lawreform.vic.gov.au</w:t>
        </w:r>
      </w:hyperlink>
    </w:p>
    <w:p>
      <w:pPr>
        <w:spacing w:after="0"/>
        <w:jc w:val="left"/>
        <w:rPr>
          <w:sz w:val="18"/>
        </w:rPr>
        <w:sectPr>
          <w:type w:val="continuous"/>
          <w:pgSz w:w="11910" w:h="16840"/>
          <w:pgMar w:top="920" w:bottom="280" w:left="0" w:right="0"/>
          <w:cols w:num="4" w:equalWidth="0">
            <w:col w:w="4493" w:space="40"/>
            <w:col w:w="1770" w:space="39"/>
            <w:col w:w="1655" w:space="40"/>
            <w:col w:w="3873"/>
          </w:cols>
        </w:sectPr>
      </w:pPr>
    </w:p>
    <w:p>
      <w:pPr>
        <w:pStyle w:val="BodyText"/>
        <w:spacing w:before="10"/>
        <w:rPr>
          <w:b/>
          <w:sz w:val="10"/>
        </w:rPr>
      </w:pPr>
    </w:p>
    <w:p>
      <w:pPr>
        <w:pStyle w:val="BodyText"/>
        <w:spacing w:line="20" w:lineRule="exact"/>
        <w:ind w:left="1581"/>
        <w:rPr>
          <w:sz w:val="2"/>
        </w:rPr>
      </w:pPr>
      <w:r>
        <w:rPr>
          <w:sz w:val="2"/>
        </w:rPr>
        <w:pict>
          <v:group style="width:473.5pt;height:.5pt;mso-position-horizontal-relative:char;mso-position-vertical-relative:line" coordorigin="0,0" coordsize="9470,10">
            <v:line style="position:absolute" from="0,5" to="9470,5" stroked="true" strokeweight=".5pt" strokecolor="#000000">
              <v:stroke dashstyle="solid"/>
            </v:line>
          </v:group>
        </w:pict>
      </w:r>
      <w:r>
        <w:rPr>
          <w:sz w:val="2"/>
        </w:rPr>
      </w:r>
    </w:p>
    <w:p>
      <w:pPr>
        <w:spacing w:after="0" w:line="20" w:lineRule="exact"/>
        <w:rPr>
          <w:sz w:val="2"/>
        </w:rPr>
        <w:sectPr>
          <w:type w:val="continuous"/>
          <w:pgSz w:w="11910" w:h="16840"/>
          <w:pgMar w:top="920" w:bottom="280" w:left="0" w:right="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18"/>
        </w:rPr>
      </w:pPr>
    </w:p>
    <w:p>
      <w:pPr>
        <w:spacing w:before="99"/>
        <w:ind w:left="720" w:right="0" w:firstLine="0"/>
        <w:jc w:val="left"/>
        <w:rPr>
          <w:b/>
          <w:sz w:val="24"/>
        </w:rPr>
      </w:pPr>
      <w:r>
        <w:rPr>
          <w:b/>
          <w:color w:val="EC5A4F"/>
          <w:w w:val="115"/>
          <w:sz w:val="24"/>
        </w:rPr>
        <w:t>ii</w:t>
      </w:r>
    </w:p>
    <w:p>
      <w:pPr>
        <w:spacing w:after="0"/>
        <w:jc w:val="left"/>
        <w:rPr>
          <w:sz w:val="24"/>
        </w:rPr>
        <w:sectPr>
          <w:headerReference w:type="even" r:id="rId13"/>
          <w:headerReference w:type="default" r:id="rId14"/>
          <w:pgSz w:w="11910" w:h="16840"/>
          <w:pgMar w:header="550" w:footer="0" w:top="1560" w:bottom="280" w:left="0" w:right="0"/>
        </w:sectPr>
      </w:pPr>
    </w:p>
    <w:p>
      <w:pPr>
        <w:pStyle w:val="BodyText"/>
        <w:spacing w:before="10"/>
        <w:rPr>
          <w:b/>
          <w:sz w:val="18"/>
        </w:rPr>
      </w:pPr>
    </w:p>
    <w:p>
      <w:pPr>
        <w:spacing w:before="98"/>
        <w:ind w:left="566" w:right="0" w:firstLine="0"/>
        <w:jc w:val="left"/>
        <w:rPr>
          <w:b/>
          <w:sz w:val="44"/>
        </w:rPr>
      </w:pPr>
      <w:bookmarkStart w:name="Contents" w:id="1"/>
      <w:bookmarkEnd w:id="1"/>
      <w:r>
        <w:rPr/>
      </w:r>
      <w:r>
        <w:rPr>
          <w:b/>
          <w:color w:val="EC5A4F"/>
          <w:w w:val="115"/>
          <w:sz w:val="44"/>
        </w:rPr>
        <w:t>Contents</w:t>
      </w:r>
    </w:p>
    <w:p>
      <w:pPr>
        <w:pStyle w:val="BodyText"/>
        <w:rPr>
          <w:b/>
          <w:sz w:val="52"/>
        </w:rPr>
      </w:pPr>
    </w:p>
    <w:p>
      <w:pPr>
        <w:pStyle w:val="BodyText"/>
        <w:rPr>
          <w:b/>
          <w:sz w:val="52"/>
        </w:rPr>
      </w:pPr>
    </w:p>
    <w:p>
      <w:pPr>
        <w:pStyle w:val="BodyText"/>
        <w:rPr>
          <w:b/>
          <w:sz w:val="52"/>
        </w:rPr>
      </w:pPr>
    </w:p>
    <w:p>
      <w:pPr>
        <w:pStyle w:val="BodyText"/>
        <w:rPr>
          <w:b/>
          <w:sz w:val="52"/>
        </w:rPr>
      </w:pPr>
    </w:p>
    <w:p>
      <w:pPr>
        <w:pStyle w:val="BodyText"/>
        <w:spacing w:before="3"/>
        <w:rPr>
          <w:b/>
          <w:sz w:val="48"/>
        </w:rPr>
      </w:pPr>
    </w:p>
    <w:p>
      <w:pPr>
        <w:pStyle w:val="BodyText"/>
        <w:tabs>
          <w:tab w:pos="10266" w:val="right" w:leader="dot"/>
        </w:tabs>
        <w:ind w:left="1587"/>
      </w:pPr>
      <w:r>
        <w:rPr>
          <w:rFonts w:ascii="Lucida Sans"/>
          <w:b/>
        </w:rPr>
        <w:t>Preface</w:t>
        <w:tab/>
      </w:r>
      <w:r>
        <w:rPr/>
        <w:t>ix</w:t>
      </w:r>
    </w:p>
    <w:p>
      <w:pPr>
        <w:pStyle w:val="BodyText"/>
        <w:tabs>
          <w:tab w:pos="10267" w:val="right" w:leader="dot"/>
        </w:tabs>
        <w:spacing w:before="85"/>
        <w:ind w:left="1587"/>
      </w:pPr>
      <w:r>
        <w:rPr>
          <w:rFonts w:ascii="Lucida Sans"/>
          <w:b/>
          <w:spacing w:val="-4"/>
        </w:rPr>
        <w:t>Terms</w:t>
      </w:r>
      <w:r>
        <w:rPr>
          <w:rFonts w:ascii="Lucida Sans"/>
          <w:b/>
          <w:spacing w:val="-13"/>
        </w:rPr>
        <w:t> </w:t>
      </w:r>
      <w:r>
        <w:rPr>
          <w:rFonts w:ascii="Lucida Sans"/>
          <w:b/>
        </w:rPr>
        <w:t>of</w:t>
      </w:r>
      <w:r>
        <w:rPr>
          <w:rFonts w:ascii="Lucida Sans"/>
          <w:b/>
          <w:spacing w:val="-13"/>
        </w:rPr>
        <w:t> </w:t>
      </w:r>
      <w:r>
        <w:rPr>
          <w:rFonts w:ascii="Lucida Sans"/>
          <w:b/>
        </w:rPr>
        <w:t>reference</w:t>
        <w:tab/>
      </w:r>
      <w:r>
        <w:rPr/>
        <w:t>x</w:t>
      </w:r>
    </w:p>
    <w:p>
      <w:pPr>
        <w:pStyle w:val="BodyText"/>
        <w:tabs>
          <w:tab w:pos="10264" w:val="right" w:leader="dot"/>
        </w:tabs>
        <w:spacing w:before="84"/>
        <w:ind w:left="1587"/>
      </w:pPr>
      <w:r>
        <w:rPr>
          <w:rFonts w:ascii="Lucida Sans"/>
          <w:b/>
        </w:rPr>
        <w:t>Glossary</w:t>
        <w:tab/>
      </w:r>
      <w:r>
        <w:rPr>
          <w:spacing w:val="-3"/>
        </w:rPr>
        <w:t>xii</w:t>
      </w:r>
    </w:p>
    <w:p>
      <w:pPr>
        <w:pStyle w:val="BodyText"/>
        <w:tabs>
          <w:tab w:pos="10266" w:val="right" w:leader="dot"/>
        </w:tabs>
        <w:spacing w:before="85"/>
        <w:ind w:left="1587"/>
      </w:pPr>
      <w:r>
        <w:rPr>
          <w:rFonts w:ascii="Lucida Sans"/>
          <w:b/>
        </w:rPr>
        <w:t>Executive</w:t>
      </w:r>
      <w:r>
        <w:rPr>
          <w:rFonts w:ascii="Lucida Sans"/>
          <w:b/>
          <w:spacing w:val="-13"/>
        </w:rPr>
        <w:t> </w:t>
      </w:r>
      <w:r>
        <w:rPr>
          <w:rFonts w:ascii="Lucida Sans"/>
          <w:b/>
        </w:rPr>
        <w:t>summary</w:t>
        <w:tab/>
      </w:r>
      <w:r>
        <w:rPr/>
        <w:t>xiv</w:t>
      </w:r>
    </w:p>
    <w:p>
      <w:pPr>
        <w:pStyle w:val="BodyText"/>
        <w:tabs>
          <w:tab w:pos="10264" w:val="right" w:leader="dot"/>
        </w:tabs>
        <w:spacing w:before="84"/>
        <w:ind w:left="1587"/>
      </w:pPr>
      <w:r>
        <w:rPr>
          <w:rFonts w:ascii="Lucida Sans"/>
          <w:b/>
        </w:rPr>
        <w:t>Recommendations</w:t>
        <w:tab/>
      </w:r>
      <w:r>
        <w:rPr/>
        <w:t>xxiii</w:t>
      </w:r>
    </w:p>
    <w:p>
      <w:pPr>
        <w:pStyle w:val="ListParagraph"/>
        <w:numPr>
          <w:ilvl w:val="1"/>
          <w:numId w:val="1"/>
        </w:numPr>
        <w:tabs>
          <w:tab w:pos="1814" w:val="left" w:leader="none"/>
          <w:tab w:pos="10267" w:val="right" w:leader="dot"/>
        </w:tabs>
        <w:spacing w:line="240" w:lineRule="auto" w:before="84" w:after="0"/>
        <w:ind w:left="1813" w:right="0" w:hanging="226"/>
        <w:jc w:val="left"/>
        <w:rPr>
          <w:sz w:val="21"/>
        </w:rPr>
      </w:pPr>
      <w:r>
        <w:rPr>
          <w:rFonts w:ascii="Lucida Sans"/>
          <w:b/>
          <w:color w:val="EC5A4F"/>
          <w:sz w:val="21"/>
        </w:rPr>
        <w:t>Introduction</w:t>
        <w:tab/>
      </w:r>
      <w:r>
        <w:rPr>
          <w:sz w:val="21"/>
        </w:rPr>
        <w:t>2</w:t>
      </w:r>
    </w:p>
    <w:p>
      <w:pPr>
        <w:pStyle w:val="BodyText"/>
        <w:tabs>
          <w:tab w:pos="10267" w:val="right" w:leader="dot"/>
        </w:tabs>
        <w:spacing w:before="89"/>
        <w:ind w:left="2154"/>
      </w:pPr>
      <w:r>
        <w:rPr>
          <w:spacing w:val="-5"/>
          <w:w w:val="105"/>
        </w:rPr>
        <w:t>Terms</w:t>
      </w:r>
      <w:r>
        <w:rPr>
          <w:spacing w:val="5"/>
          <w:w w:val="105"/>
        </w:rPr>
        <w:t> </w:t>
      </w:r>
      <w:r>
        <w:rPr>
          <w:w w:val="105"/>
        </w:rPr>
        <w:t>of</w:t>
      </w:r>
      <w:r>
        <w:rPr>
          <w:spacing w:val="5"/>
          <w:w w:val="105"/>
        </w:rPr>
        <w:t> </w:t>
      </w:r>
      <w:r>
        <w:rPr>
          <w:spacing w:val="-3"/>
          <w:w w:val="105"/>
        </w:rPr>
        <w:t>reference</w:t>
        <w:tab/>
      </w:r>
      <w:r>
        <w:rPr>
          <w:w w:val="105"/>
        </w:rPr>
        <w:t>2</w:t>
      </w:r>
    </w:p>
    <w:p>
      <w:pPr>
        <w:pStyle w:val="BodyText"/>
        <w:tabs>
          <w:tab w:pos="10267" w:val="right" w:leader="dot"/>
        </w:tabs>
        <w:spacing w:before="89"/>
        <w:ind w:left="2437"/>
      </w:pPr>
      <w:r>
        <w:rPr>
          <w:w w:val="105"/>
        </w:rPr>
        <w:t>The </w:t>
      </w:r>
      <w:r>
        <w:rPr>
          <w:spacing w:val="-3"/>
          <w:w w:val="105"/>
        </w:rPr>
        <w:t>National Uniform Succession</w:t>
      </w:r>
      <w:r>
        <w:rPr>
          <w:spacing w:val="25"/>
          <w:w w:val="105"/>
        </w:rPr>
        <w:t> </w:t>
      </w:r>
      <w:r>
        <w:rPr>
          <w:w w:val="105"/>
        </w:rPr>
        <w:t>Laws</w:t>
      </w:r>
      <w:r>
        <w:rPr>
          <w:spacing w:val="5"/>
          <w:w w:val="105"/>
        </w:rPr>
        <w:t> </w:t>
      </w:r>
      <w:r>
        <w:rPr>
          <w:w w:val="105"/>
        </w:rPr>
        <w:t>project</w:t>
        <w:tab/>
        <w:t>3</w:t>
      </w:r>
    </w:p>
    <w:p>
      <w:pPr>
        <w:pStyle w:val="BodyText"/>
        <w:tabs>
          <w:tab w:pos="10267" w:val="right" w:leader="dot"/>
        </w:tabs>
        <w:spacing w:before="88"/>
        <w:ind w:left="2154"/>
      </w:pPr>
      <w:r>
        <w:rPr>
          <w:w w:val="105"/>
        </w:rPr>
        <w:t>The</w:t>
      </w:r>
      <w:r>
        <w:rPr>
          <w:spacing w:val="5"/>
          <w:w w:val="105"/>
        </w:rPr>
        <w:t> </w:t>
      </w:r>
      <w:r>
        <w:rPr>
          <w:spacing w:val="-4"/>
          <w:w w:val="105"/>
        </w:rPr>
        <w:t>Commission’s</w:t>
      </w:r>
      <w:r>
        <w:rPr>
          <w:spacing w:val="5"/>
          <w:w w:val="105"/>
        </w:rPr>
        <w:t> </w:t>
      </w:r>
      <w:r>
        <w:rPr>
          <w:w w:val="105"/>
        </w:rPr>
        <w:t>process</w:t>
        <w:tab/>
        <w:t>3</w:t>
      </w:r>
    </w:p>
    <w:p>
      <w:pPr>
        <w:pStyle w:val="BodyText"/>
        <w:tabs>
          <w:tab w:pos="10267" w:val="right" w:leader="dot"/>
        </w:tabs>
        <w:spacing w:before="89"/>
        <w:ind w:left="2154"/>
      </w:pPr>
      <w:r>
        <w:rPr>
          <w:w w:val="105"/>
        </w:rPr>
        <w:t>The </w:t>
      </w:r>
      <w:r>
        <w:rPr>
          <w:spacing w:val="-4"/>
          <w:w w:val="105"/>
        </w:rPr>
        <w:t>Commission’s </w:t>
      </w:r>
      <w:r>
        <w:rPr>
          <w:w w:val="105"/>
        </w:rPr>
        <w:t>approach </w:t>
      </w:r>
      <w:r>
        <w:rPr>
          <w:spacing w:val="-3"/>
          <w:w w:val="105"/>
        </w:rPr>
        <w:t>to</w:t>
      </w:r>
      <w:r>
        <w:rPr>
          <w:spacing w:val="23"/>
          <w:w w:val="105"/>
        </w:rPr>
        <w:t> </w:t>
      </w:r>
      <w:r>
        <w:rPr>
          <w:w w:val="105"/>
        </w:rPr>
        <w:t>the</w:t>
      </w:r>
      <w:r>
        <w:rPr>
          <w:spacing w:val="5"/>
          <w:w w:val="105"/>
        </w:rPr>
        <w:t> </w:t>
      </w:r>
      <w:r>
        <w:rPr>
          <w:w w:val="105"/>
        </w:rPr>
        <w:t>issues</w:t>
        <w:tab/>
        <w:t>4</w:t>
      </w:r>
    </w:p>
    <w:p>
      <w:pPr>
        <w:pStyle w:val="BodyText"/>
        <w:tabs>
          <w:tab w:pos="10267" w:val="right" w:leader="dot"/>
        </w:tabs>
        <w:spacing w:before="89"/>
        <w:ind w:left="2154"/>
      </w:pPr>
      <w:r>
        <w:rPr>
          <w:spacing w:val="-3"/>
          <w:w w:val="105"/>
        </w:rPr>
        <w:t>Structure </w:t>
      </w:r>
      <w:r>
        <w:rPr>
          <w:w w:val="105"/>
        </w:rPr>
        <w:t>of</w:t>
      </w:r>
      <w:r>
        <w:rPr>
          <w:spacing w:val="13"/>
          <w:w w:val="105"/>
        </w:rPr>
        <w:t> </w:t>
      </w:r>
      <w:r>
        <w:rPr>
          <w:w w:val="105"/>
        </w:rPr>
        <w:t>this</w:t>
      </w:r>
      <w:r>
        <w:rPr>
          <w:spacing w:val="5"/>
          <w:w w:val="105"/>
        </w:rPr>
        <w:t> </w:t>
      </w:r>
      <w:r>
        <w:rPr>
          <w:w w:val="105"/>
        </w:rPr>
        <w:t>report</w:t>
        <w:tab/>
        <w:t>4</w:t>
      </w:r>
    </w:p>
    <w:p>
      <w:pPr>
        <w:pStyle w:val="ListParagraph"/>
        <w:numPr>
          <w:ilvl w:val="1"/>
          <w:numId w:val="1"/>
        </w:numPr>
        <w:tabs>
          <w:tab w:pos="1823" w:val="left" w:leader="none"/>
          <w:tab w:pos="10267" w:val="right" w:leader="dot"/>
        </w:tabs>
        <w:spacing w:line="240" w:lineRule="auto" w:before="84" w:after="0"/>
        <w:ind w:left="1822" w:right="0" w:hanging="235"/>
        <w:jc w:val="left"/>
        <w:rPr>
          <w:sz w:val="21"/>
        </w:rPr>
      </w:pPr>
      <w:r>
        <w:rPr>
          <w:rFonts w:ascii="Lucida Sans"/>
          <w:b/>
          <w:color w:val="EC5A4F"/>
          <w:sz w:val="21"/>
        </w:rPr>
        <w:t>Witnessing wills and</w:t>
      </w:r>
      <w:r>
        <w:rPr>
          <w:rFonts w:ascii="Lucida Sans"/>
          <w:b/>
          <w:color w:val="EC5A4F"/>
          <w:spacing w:val="-44"/>
          <w:sz w:val="21"/>
        </w:rPr>
        <w:t> </w:t>
      </w:r>
      <w:r>
        <w:rPr>
          <w:rFonts w:ascii="Lucida Sans"/>
          <w:b/>
          <w:color w:val="EC5A4F"/>
          <w:sz w:val="21"/>
        </w:rPr>
        <w:t>undue</w:t>
      </w:r>
      <w:r>
        <w:rPr>
          <w:rFonts w:ascii="Lucida Sans"/>
          <w:b/>
          <w:color w:val="EC5A4F"/>
          <w:spacing w:val="-15"/>
          <w:sz w:val="21"/>
        </w:rPr>
        <w:t> </w:t>
      </w:r>
      <w:r>
        <w:rPr>
          <w:rFonts w:ascii="Lucida Sans"/>
          <w:b/>
          <w:color w:val="EC5A4F"/>
          <w:sz w:val="21"/>
        </w:rPr>
        <w:t>influence</w:t>
        <w:tab/>
      </w:r>
      <w:r>
        <w:rPr>
          <w:sz w:val="21"/>
        </w:rPr>
        <w:t>6</w:t>
      </w:r>
    </w:p>
    <w:p>
      <w:pPr>
        <w:pStyle w:val="BodyText"/>
        <w:tabs>
          <w:tab w:pos="10267" w:val="right" w:leader="dot"/>
        </w:tabs>
        <w:spacing w:before="89"/>
        <w:ind w:left="2154"/>
      </w:pPr>
      <w:r>
        <w:rPr>
          <w:w w:val="105"/>
        </w:rPr>
        <w:t>Introduction</w:t>
        <w:tab/>
        <w:t>6</w:t>
      </w:r>
    </w:p>
    <w:p>
      <w:pPr>
        <w:pStyle w:val="BodyText"/>
        <w:tabs>
          <w:tab w:pos="10267" w:val="right" w:leader="dot"/>
        </w:tabs>
        <w:spacing w:before="88"/>
        <w:ind w:left="2154"/>
      </w:pPr>
      <w:r>
        <w:rPr>
          <w:w w:val="105"/>
        </w:rPr>
        <w:t>Requirements </w:t>
      </w:r>
      <w:r>
        <w:rPr>
          <w:spacing w:val="-3"/>
          <w:w w:val="105"/>
        </w:rPr>
        <w:t>for </w:t>
      </w:r>
      <w:r>
        <w:rPr>
          <w:w w:val="105"/>
        </w:rPr>
        <w:t>witnessing</w:t>
      </w:r>
      <w:r>
        <w:rPr>
          <w:spacing w:val="17"/>
          <w:w w:val="105"/>
        </w:rPr>
        <w:t> </w:t>
      </w:r>
      <w:r>
        <w:rPr>
          <w:w w:val="105"/>
        </w:rPr>
        <w:t>a</w:t>
      </w:r>
      <w:r>
        <w:rPr>
          <w:spacing w:val="4"/>
          <w:w w:val="105"/>
        </w:rPr>
        <w:t> </w:t>
      </w:r>
      <w:r>
        <w:rPr>
          <w:spacing w:val="-3"/>
          <w:w w:val="105"/>
        </w:rPr>
        <w:t>will</w:t>
        <w:tab/>
      </w:r>
      <w:r>
        <w:rPr>
          <w:w w:val="105"/>
        </w:rPr>
        <w:t>6</w:t>
      </w:r>
    </w:p>
    <w:p>
      <w:pPr>
        <w:pStyle w:val="BodyText"/>
        <w:tabs>
          <w:tab w:pos="10267" w:val="right" w:leader="dot"/>
        </w:tabs>
        <w:spacing w:before="89"/>
        <w:ind w:left="2437"/>
      </w:pPr>
      <w:r>
        <w:rPr>
          <w:spacing w:val="-3"/>
        </w:rPr>
        <w:t>Additional qualifications </w:t>
      </w:r>
      <w:r>
        <w:rPr/>
        <w:t>or </w:t>
      </w:r>
      <w:r>
        <w:rPr>
          <w:spacing w:val="-3"/>
        </w:rPr>
        <w:t>requirements </w:t>
      </w:r>
      <w:r>
        <w:rPr>
          <w:spacing w:val="4"/>
        </w:rPr>
        <w:t> </w:t>
      </w:r>
      <w:r>
        <w:rPr>
          <w:spacing w:val="-3"/>
        </w:rPr>
        <w:t>for</w:t>
      </w:r>
      <w:r>
        <w:rPr>
          <w:spacing w:val="10"/>
        </w:rPr>
        <w:t> </w:t>
      </w:r>
      <w:r>
        <w:rPr/>
        <w:t>witnesses</w:t>
        <w:tab/>
        <w:t>7</w:t>
      </w:r>
    </w:p>
    <w:p>
      <w:pPr>
        <w:pStyle w:val="BodyText"/>
        <w:tabs>
          <w:tab w:pos="10256" w:val="right" w:leader="dot"/>
        </w:tabs>
        <w:spacing w:before="89"/>
        <w:ind w:left="2437"/>
      </w:pPr>
      <w:r>
        <w:rPr>
          <w:w w:val="105"/>
        </w:rPr>
        <w:t>The</w:t>
      </w:r>
      <w:r>
        <w:rPr>
          <w:spacing w:val="4"/>
          <w:w w:val="105"/>
        </w:rPr>
        <w:t> </w:t>
      </w:r>
      <w:r>
        <w:rPr>
          <w:w w:val="105"/>
        </w:rPr>
        <w:t>witness-beneficiary</w:t>
      </w:r>
      <w:r>
        <w:rPr>
          <w:spacing w:val="5"/>
          <w:w w:val="105"/>
        </w:rPr>
        <w:t> </w:t>
      </w:r>
      <w:r>
        <w:rPr>
          <w:w w:val="105"/>
        </w:rPr>
        <w:t>rule</w:t>
        <w:tab/>
      </w:r>
      <w:r>
        <w:rPr>
          <w:spacing w:val="-11"/>
          <w:w w:val="105"/>
        </w:rPr>
        <w:t>10</w:t>
      </w:r>
    </w:p>
    <w:p>
      <w:pPr>
        <w:pStyle w:val="BodyText"/>
        <w:spacing w:before="89"/>
        <w:ind w:left="2154"/>
      </w:pPr>
      <w:r>
        <w:rPr>
          <w:w w:val="105"/>
        </w:rPr>
        <w:t>Prevention of undue influence through other changes to the</w:t>
      </w:r>
    </w:p>
    <w:p>
      <w:pPr>
        <w:pStyle w:val="BodyText"/>
        <w:tabs>
          <w:tab w:pos="10251" w:val="right" w:leader="dot"/>
        </w:tabs>
        <w:spacing w:before="3"/>
        <w:ind w:left="2154"/>
      </w:pPr>
      <w:r>
        <w:rPr>
          <w:w w:val="105"/>
        </w:rPr>
        <w:t>will-making</w:t>
      </w:r>
      <w:r>
        <w:rPr>
          <w:spacing w:val="5"/>
          <w:w w:val="105"/>
        </w:rPr>
        <w:t> </w:t>
      </w:r>
      <w:r>
        <w:rPr>
          <w:w w:val="105"/>
        </w:rPr>
        <w:t>process</w:t>
        <w:tab/>
      </w:r>
      <w:r>
        <w:rPr>
          <w:spacing w:val="-17"/>
          <w:w w:val="105"/>
        </w:rPr>
        <w:t>13</w:t>
      </w:r>
    </w:p>
    <w:p>
      <w:pPr>
        <w:pStyle w:val="BodyText"/>
        <w:tabs>
          <w:tab w:pos="10251" w:val="right" w:leader="dot"/>
        </w:tabs>
        <w:spacing w:before="89"/>
        <w:ind w:left="2437"/>
      </w:pPr>
      <w:r>
        <w:rPr>
          <w:spacing w:val="-3"/>
        </w:rPr>
        <w:t>Requirement to </w:t>
      </w:r>
      <w:r>
        <w:rPr/>
        <w:t>obtain a medical </w:t>
      </w:r>
      <w:r>
        <w:rPr>
          <w:spacing w:val="6"/>
        </w:rPr>
        <w:t> </w:t>
      </w:r>
      <w:r>
        <w:rPr/>
        <w:t>capacity</w:t>
      </w:r>
      <w:r>
        <w:rPr>
          <w:spacing w:val="10"/>
        </w:rPr>
        <w:t> </w:t>
      </w:r>
      <w:r>
        <w:rPr/>
        <w:t>assessment</w:t>
        <w:tab/>
      </w:r>
      <w:r>
        <w:rPr>
          <w:spacing w:val="-17"/>
        </w:rPr>
        <w:t>13</w:t>
      </w:r>
    </w:p>
    <w:p>
      <w:pPr>
        <w:pStyle w:val="BodyText"/>
        <w:tabs>
          <w:tab w:pos="10253" w:val="right" w:leader="dot"/>
        </w:tabs>
        <w:spacing w:before="89"/>
        <w:ind w:left="2437"/>
      </w:pPr>
      <w:r>
        <w:rPr>
          <w:spacing w:val="-3"/>
          <w:w w:val="105"/>
        </w:rPr>
        <w:t>Guidelines </w:t>
      </w:r>
      <w:r>
        <w:rPr>
          <w:w w:val="105"/>
        </w:rPr>
        <w:t>on </w:t>
      </w:r>
      <w:r>
        <w:rPr>
          <w:spacing w:val="-3"/>
          <w:w w:val="105"/>
        </w:rPr>
        <w:t>minimising</w:t>
      </w:r>
      <w:r>
        <w:rPr>
          <w:spacing w:val="19"/>
          <w:w w:val="105"/>
        </w:rPr>
        <w:t> </w:t>
      </w:r>
      <w:r>
        <w:rPr>
          <w:spacing w:val="-3"/>
          <w:w w:val="105"/>
        </w:rPr>
        <w:t>undue</w:t>
      </w:r>
      <w:r>
        <w:rPr>
          <w:spacing w:val="6"/>
          <w:w w:val="105"/>
        </w:rPr>
        <w:t> </w:t>
      </w:r>
      <w:r>
        <w:rPr>
          <w:spacing w:val="-3"/>
          <w:w w:val="105"/>
        </w:rPr>
        <w:t>influence</w:t>
        <w:tab/>
      </w:r>
      <w:r>
        <w:rPr>
          <w:spacing w:val="-14"/>
          <w:w w:val="105"/>
        </w:rPr>
        <w:t>14</w:t>
      </w:r>
    </w:p>
    <w:p>
      <w:pPr>
        <w:pStyle w:val="BodyText"/>
        <w:tabs>
          <w:tab w:pos="10252" w:val="right" w:leader="dot"/>
        </w:tabs>
        <w:spacing w:before="88"/>
        <w:ind w:left="2154"/>
      </w:pPr>
      <w:r>
        <w:rPr>
          <w:w w:val="105"/>
        </w:rPr>
        <w:t>Doctrine of</w:t>
      </w:r>
      <w:r>
        <w:rPr>
          <w:spacing w:val="10"/>
          <w:w w:val="105"/>
        </w:rPr>
        <w:t> </w:t>
      </w:r>
      <w:r>
        <w:rPr>
          <w:spacing w:val="-3"/>
          <w:w w:val="105"/>
        </w:rPr>
        <w:t>undue</w:t>
      </w:r>
      <w:r>
        <w:rPr>
          <w:spacing w:val="6"/>
          <w:w w:val="105"/>
        </w:rPr>
        <w:t> </w:t>
      </w:r>
      <w:r>
        <w:rPr>
          <w:spacing w:val="-3"/>
          <w:w w:val="105"/>
        </w:rPr>
        <w:t>influence</w:t>
        <w:tab/>
      </w:r>
      <w:r>
        <w:rPr>
          <w:spacing w:val="-15"/>
          <w:w w:val="105"/>
        </w:rPr>
        <w:t>15</w:t>
      </w:r>
    </w:p>
    <w:p>
      <w:pPr>
        <w:pStyle w:val="BodyText"/>
        <w:tabs>
          <w:tab w:pos="10255" w:val="right" w:leader="dot"/>
        </w:tabs>
        <w:spacing w:before="89"/>
        <w:ind w:left="2437"/>
      </w:pPr>
      <w:r>
        <w:rPr>
          <w:spacing w:val="-3"/>
          <w:w w:val="105"/>
        </w:rPr>
        <w:t>Probate</w:t>
      </w:r>
      <w:r>
        <w:rPr>
          <w:spacing w:val="5"/>
          <w:w w:val="105"/>
        </w:rPr>
        <w:t> </w:t>
      </w:r>
      <w:r>
        <w:rPr>
          <w:spacing w:val="-3"/>
          <w:w w:val="105"/>
        </w:rPr>
        <w:t>undue</w:t>
      </w:r>
      <w:r>
        <w:rPr>
          <w:spacing w:val="6"/>
          <w:w w:val="105"/>
        </w:rPr>
        <w:t> </w:t>
      </w:r>
      <w:r>
        <w:rPr>
          <w:spacing w:val="-3"/>
          <w:w w:val="105"/>
        </w:rPr>
        <w:t>influence</w:t>
        <w:tab/>
      </w:r>
      <w:r>
        <w:rPr>
          <w:spacing w:val="-12"/>
          <w:w w:val="105"/>
        </w:rPr>
        <w:t>16</w:t>
      </w:r>
    </w:p>
    <w:p>
      <w:pPr>
        <w:pStyle w:val="BodyText"/>
        <w:tabs>
          <w:tab w:pos="10250" w:val="right" w:leader="dot"/>
        </w:tabs>
        <w:spacing w:before="89"/>
        <w:ind w:left="2437"/>
      </w:pPr>
      <w:r>
        <w:rPr>
          <w:spacing w:val="-3"/>
          <w:w w:val="105"/>
        </w:rPr>
        <w:t>Equitable</w:t>
      </w:r>
      <w:r>
        <w:rPr>
          <w:spacing w:val="5"/>
          <w:w w:val="105"/>
        </w:rPr>
        <w:t> </w:t>
      </w:r>
      <w:r>
        <w:rPr>
          <w:spacing w:val="-3"/>
          <w:w w:val="105"/>
        </w:rPr>
        <w:t>undue</w:t>
      </w:r>
      <w:r>
        <w:rPr>
          <w:spacing w:val="6"/>
          <w:w w:val="105"/>
        </w:rPr>
        <w:t> </w:t>
      </w:r>
      <w:r>
        <w:rPr>
          <w:spacing w:val="-3"/>
          <w:w w:val="105"/>
        </w:rPr>
        <w:t>influence</w:t>
        <w:tab/>
      </w:r>
      <w:r>
        <w:rPr>
          <w:spacing w:val="-17"/>
          <w:w w:val="105"/>
        </w:rPr>
        <w:t>17</w:t>
      </w:r>
    </w:p>
    <w:p>
      <w:pPr>
        <w:pStyle w:val="BodyText"/>
        <w:tabs>
          <w:tab w:pos="10255" w:val="right" w:leader="dot"/>
        </w:tabs>
        <w:spacing w:before="88"/>
        <w:ind w:left="2437"/>
      </w:pPr>
      <w:r>
        <w:rPr>
          <w:w w:val="105"/>
        </w:rPr>
        <w:t>Adoption of equitable </w:t>
      </w:r>
      <w:r>
        <w:rPr>
          <w:spacing w:val="-3"/>
          <w:w w:val="105"/>
        </w:rPr>
        <w:t>undue influence </w:t>
      </w:r>
      <w:r>
        <w:rPr>
          <w:w w:val="105"/>
        </w:rPr>
        <w:t>in </w:t>
      </w:r>
      <w:r>
        <w:rPr>
          <w:spacing w:val="-3"/>
          <w:w w:val="105"/>
        </w:rPr>
        <w:t>probate </w:t>
      </w:r>
      <w:r>
        <w:rPr>
          <w:w w:val="105"/>
        </w:rPr>
        <w:t>in</w:t>
      </w:r>
      <w:r>
        <w:rPr>
          <w:spacing w:val="42"/>
          <w:w w:val="105"/>
        </w:rPr>
        <w:t> </w:t>
      </w:r>
      <w:r>
        <w:rPr>
          <w:spacing w:val="-3"/>
          <w:w w:val="105"/>
        </w:rPr>
        <w:t>British</w:t>
      </w:r>
      <w:r>
        <w:rPr>
          <w:spacing w:val="4"/>
          <w:w w:val="105"/>
        </w:rPr>
        <w:t> </w:t>
      </w:r>
      <w:r>
        <w:rPr>
          <w:spacing w:val="-4"/>
          <w:w w:val="105"/>
        </w:rPr>
        <w:t>Columbia</w:t>
        <w:tab/>
      </w:r>
      <w:r>
        <w:rPr>
          <w:spacing w:val="-12"/>
          <w:w w:val="105"/>
        </w:rPr>
        <w:t>18</w:t>
      </w:r>
    </w:p>
    <w:p>
      <w:pPr>
        <w:pStyle w:val="BodyText"/>
        <w:tabs>
          <w:tab w:pos="10254" w:val="right" w:leader="dot"/>
        </w:tabs>
        <w:spacing w:before="89"/>
        <w:ind w:left="2437"/>
      </w:pPr>
      <w:r>
        <w:rPr>
          <w:w w:val="105"/>
        </w:rPr>
        <w:t>Views</w:t>
      </w:r>
      <w:r>
        <w:rPr>
          <w:spacing w:val="5"/>
          <w:w w:val="105"/>
        </w:rPr>
        <w:t> </w:t>
      </w:r>
      <w:r>
        <w:rPr>
          <w:w w:val="105"/>
        </w:rPr>
        <w:t>and</w:t>
      </w:r>
      <w:r>
        <w:rPr>
          <w:spacing w:val="6"/>
          <w:w w:val="105"/>
        </w:rPr>
        <w:t> </w:t>
      </w:r>
      <w:r>
        <w:rPr>
          <w:spacing w:val="-3"/>
          <w:w w:val="105"/>
        </w:rPr>
        <w:t>conclusions</w:t>
        <w:tab/>
      </w:r>
      <w:r>
        <w:rPr>
          <w:spacing w:val="-14"/>
          <w:w w:val="105"/>
        </w:rPr>
        <w:t>19</w:t>
      </w:r>
    </w:p>
    <w:p>
      <w:pPr>
        <w:pStyle w:val="BodyText"/>
        <w:tabs>
          <w:tab w:pos="10261" w:val="right" w:leader="dot"/>
        </w:tabs>
        <w:spacing w:before="89"/>
        <w:ind w:left="2154"/>
      </w:pPr>
      <w:r>
        <w:rPr>
          <w:w w:val="105"/>
        </w:rPr>
        <w:t>Other </w:t>
      </w:r>
      <w:r>
        <w:rPr>
          <w:spacing w:val="-2"/>
          <w:w w:val="105"/>
        </w:rPr>
        <w:t>common </w:t>
      </w:r>
      <w:r>
        <w:rPr>
          <w:w w:val="105"/>
        </w:rPr>
        <w:t>law rules </w:t>
      </w:r>
      <w:r>
        <w:rPr>
          <w:spacing w:val="-3"/>
          <w:w w:val="105"/>
        </w:rPr>
        <w:t>related to</w:t>
      </w:r>
      <w:r>
        <w:rPr>
          <w:spacing w:val="33"/>
          <w:w w:val="105"/>
        </w:rPr>
        <w:t> </w:t>
      </w:r>
      <w:r>
        <w:rPr>
          <w:spacing w:val="-3"/>
          <w:w w:val="105"/>
        </w:rPr>
        <w:t>undue</w:t>
      </w:r>
      <w:r>
        <w:rPr>
          <w:spacing w:val="5"/>
          <w:w w:val="105"/>
        </w:rPr>
        <w:t> </w:t>
      </w:r>
      <w:r>
        <w:rPr>
          <w:spacing w:val="-3"/>
          <w:w w:val="105"/>
        </w:rPr>
        <w:t>influence</w:t>
        <w:tab/>
      </w:r>
      <w:r>
        <w:rPr>
          <w:spacing w:val="-6"/>
          <w:w w:val="105"/>
        </w:rPr>
        <w:t>20</w:t>
      </w:r>
    </w:p>
    <w:p>
      <w:pPr>
        <w:pStyle w:val="BodyText"/>
        <w:tabs>
          <w:tab w:pos="10254" w:val="right" w:leader="dot"/>
        </w:tabs>
        <w:spacing w:before="88"/>
        <w:ind w:left="2437"/>
      </w:pPr>
      <w:r>
        <w:rPr>
          <w:w w:val="105"/>
        </w:rPr>
        <w:t>Testamentary</w:t>
      </w:r>
      <w:r>
        <w:rPr>
          <w:spacing w:val="4"/>
          <w:w w:val="105"/>
        </w:rPr>
        <w:t> </w:t>
      </w:r>
      <w:r>
        <w:rPr>
          <w:w w:val="105"/>
        </w:rPr>
        <w:t>capacity</w:t>
        <w:tab/>
      </w:r>
      <w:r>
        <w:rPr>
          <w:spacing w:val="-13"/>
          <w:w w:val="105"/>
        </w:rPr>
        <w:t>21</w:t>
      </w:r>
    </w:p>
    <w:p>
      <w:pPr>
        <w:pStyle w:val="BodyText"/>
        <w:tabs>
          <w:tab w:pos="10254" w:val="right" w:leader="dot"/>
        </w:tabs>
        <w:spacing w:before="89"/>
        <w:ind w:left="2437"/>
      </w:pPr>
      <w:r>
        <w:rPr>
          <w:w w:val="105"/>
        </w:rPr>
        <w:t>Knowledge and </w:t>
      </w:r>
      <w:r>
        <w:rPr>
          <w:spacing w:val="-3"/>
          <w:w w:val="105"/>
        </w:rPr>
        <w:t>approval </w:t>
      </w:r>
      <w:r>
        <w:rPr>
          <w:w w:val="105"/>
        </w:rPr>
        <w:t>and</w:t>
      </w:r>
      <w:r>
        <w:rPr>
          <w:spacing w:val="23"/>
          <w:w w:val="105"/>
        </w:rPr>
        <w:t> </w:t>
      </w:r>
      <w:r>
        <w:rPr>
          <w:spacing w:val="-3"/>
          <w:w w:val="105"/>
        </w:rPr>
        <w:t>suspicious</w:t>
      </w:r>
      <w:r>
        <w:rPr>
          <w:spacing w:val="5"/>
          <w:w w:val="105"/>
        </w:rPr>
        <w:t> </w:t>
      </w:r>
      <w:r>
        <w:rPr>
          <w:spacing w:val="-3"/>
          <w:w w:val="105"/>
        </w:rPr>
        <w:t>circumstances</w:t>
        <w:tab/>
      </w:r>
      <w:r>
        <w:rPr>
          <w:spacing w:val="-13"/>
          <w:w w:val="105"/>
        </w:rPr>
        <w:t>21</w:t>
      </w:r>
    </w:p>
    <w:p>
      <w:pPr>
        <w:pStyle w:val="BodyText"/>
        <w:tabs>
          <w:tab w:pos="10264" w:val="right" w:leader="dot"/>
        </w:tabs>
        <w:spacing w:before="89"/>
        <w:ind w:left="2437"/>
      </w:pPr>
      <w:r>
        <w:rPr>
          <w:spacing w:val="-3"/>
          <w:w w:val="105"/>
        </w:rPr>
        <w:t>Fraud</w:t>
      </w:r>
      <w:r>
        <w:rPr>
          <w:spacing w:val="5"/>
          <w:w w:val="105"/>
        </w:rPr>
        <w:t> </w:t>
      </w:r>
      <w:r>
        <w:rPr>
          <w:w w:val="105"/>
        </w:rPr>
        <w:t>and</w:t>
      </w:r>
      <w:r>
        <w:rPr>
          <w:spacing w:val="5"/>
          <w:w w:val="105"/>
        </w:rPr>
        <w:t> </w:t>
      </w:r>
      <w:r>
        <w:rPr>
          <w:w w:val="105"/>
        </w:rPr>
        <w:t>forgery</w:t>
        <w:tab/>
      </w:r>
      <w:r>
        <w:rPr>
          <w:spacing w:val="-4"/>
          <w:w w:val="105"/>
        </w:rPr>
        <w:t>22</w:t>
      </w:r>
    </w:p>
    <w:p>
      <w:pPr>
        <w:pStyle w:val="Heading5"/>
        <w:spacing w:before="640"/>
        <w:ind w:left="0" w:right="697"/>
        <w:jc w:val="right"/>
      </w:pPr>
      <w:r>
        <w:rPr>
          <w:color w:val="EC5A4F"/>
          <w:w w:val="110"/>
        </w:rPr>
        <w:t>iii</w:t>
      </w:r>
    </w:p>
    <w:p>
      <w:pPr>
        <w:spacing w:after="0"/>
        <w:jc w:val="right"/>
        <w:sectPr>
          <w:pgSz w:w="11910" w:h="16840"/>
          <w:pgMar w:header="1372" w:footer="0" w:top="1560" w:bottom="280" w:left="0" w:right="0"/>
        </w:sectPr>
      </w:pPr>
    </w:p>
    <w:p>
      <w:pPr>
        <w:pStyle w:val="ListParagraph"/>
        <w:numPr>
          <w:ilvl w:val="1"/>
          <w:numId w:val="1"/>
        </w:numPr>
        <w:tabs>
          <w:tab w:pos="1820" w:val="left" w:leader="none"/>
          <w:tab w:pos="10258" w:val="right" w:leader="dot"/>
        </w:tabs>
        <w:spacing w:line="240" w:lineRule="auto" w:before="365" w:after="0"/>
        <w:ind w:left="1819" w:right="0" w:hanging="232"/>
        <w:jc w:val="left"/>
        <w:rPr>
          <w:sz w:val="21"/>
        </w:rPr>
      </w:pPr>
      <w:r>
        <w:rPr>
          <w:rFonts w:ascii="Lucida Sans"/>
          <w:b/>
          <w:color w:val="EC5A4F"/>
          <w:sz w:val="21"/>
        </w:rPr>
        <w:t>Statutory</w:t>
      </w:r>
      <w:r>
        <w:rPr>
          <w:rFonts w:ascii="Lucida Sans"/>
          <w:b/>
          <w:color w:val="EC5A4F"/>
          <w:spacing w:val="-12"/>
          <w:sz w:val="21"/>
        </w:rPr>
        <w:t> </w:t>
      </w:r>
      <w:r>
        <w:rPr>
          <w:rFonts w:ascii="Lucida Sans"/>
          <w:b/>
          <w:color w:val="EC5A4F"/>
          <w:sz w:val="21"/>
        </w:rPr>
        <w:t>wills</w:t>
        <w:tab/>
      </w:r>
      <w:r>
        <w:rPr>
          <w:spacing w:val="-9"/>
          <w:sz w:val="21"/>
        </w:rPr>
        <w:t>24</w:t>
      </w:r>
    </w:p>
    <w:p>
      <w:pPr>
        <w:pStyle w:val="BodyText"/>
        <w:tabs>
          <w:tab w:pos="10258" w:val="right" w:leader="dot"/>
        </w:tabs>
        <w:spacing w:before="89"/>
        <w:ind w:left="2154"/>
      </w:pPr>
      <w:r>
        <w:rPr>
          <w:w w:val="105"/>
        </w:rPr>
        <w:t>Introduction</w:t>
        <w:tab/>
      </w:r>
      <w:r>
        <w:rPr>
          <w:spacing w:val="-9"/>
          <w:w w:val="105"/>
        </w:rPr>
        <w:t>24</w:t>
      </w:r>
    </w:p>
    <w:p>
      <w:pPr>
        <w:pStyle w:val="BodyText"/>
        <w:tabs>
          <w:tab w:pos="10267" w:val="right" w:leader="dot"/>
        </w:tabs>
        <w:spacing w:before="88"/>
        <w:ind w:left="2154"/>
      </w:pPr>
      <w:r>
        <w:rPr>
          <w:spacing w:val="-3"/>
          <w:w w:val="105"/>
        </w:rPr>
        <w:t>Determining </w:t>
      </w:r>
      <w:r>
        <w:rPr>
          <w:w w:val="105"/>
        </w:rPr>
        <w:t>the </w:t>
      </w:r>
      <w:r>
        <w:rPr>
          <w:spacing w:val="-3"/>
          <w:w w:val="105"/>
        </w:rPr>
        <w:t>intentions </w:t>
      </w:r>
      <w:r>
        <w:rPr>
          <w:w w:val="105"/>
        </w:rPr>
        <w:t>of the</w:t>
      </w:r>
      <w:r>
        <w:rPr>
          <w:spacing w:val="28"/>
          <w:w w:val="105"/>
        </w:rPr>
        <w:t> </w:t>
      </w:r>
      <w:r>
        <w:rPr>
          <w:spacing w:val="-3"/>
          <w:w w:val="105"/>
        </w:rPr>
        <w:t>incapacitated</w:t>
      </w:r>
      <w:r>
        <w:rPr>
          <w:spacing w:val="5"/>
          <w:w w:val="105"/>
        </w:rPr>
        <w:t> </w:t>
      </w:r>
      <w:r>
        <w:rPr>
          <w:w w:val="105"/>
        </w:rPr>
        <w:t>person</w:t>
        <w:tab/>
      </w:r>
      <w:r>
        <w:rPr>
          <w:spacing w:val="-4"/>
          <w:w w:val="105"/>
        </w:rPr>
        <w:t>25</w:t>
      </w:r>
    </w:p>
    <w:p>
      <w:pPr>
        <w:pStyle w:val="BodyText"/>
        <w:tabs>
          <w:tab w:pos="10260" w:val="right" w:leader="dot"/>
        </w:tabs>
        <w:spacing w:before="89"/>
        <w:ind w:left="2154"/>
      </w:pPr>
      <w:r>
        <w:rPr>
          <w:spacing w:val="-3"/>
          <w:w w:val="105"/>
        </w:rPr>
        <w:t>Involvement </w:t>
      </w:r>
      <w:r>
        <w:rPr>
          <w:w w:val="105"/>
        </w:rPr>
        <w:t>of the </w:t>
      </w:r>
      <w:r>
        <w:rPr>
          <w:spacing w:val="-3"/>
          <w:w w:val="105"/>
        </w:rPr>
        <w:t>incapacitated </w:t>
      </w:r>
      <w:r>
        <w:rPr>
          <w:w w:val="105"/>
        </w:rPr>
        <w:t>person in</w:t>
      </w:r>
      <w:r>
        <w:rPr>
          <w:spacing w:val="29"/>
          <w:w w:val="105"/>
        </w:rPr>
        <w:t> </w:t>
      </w:r>
      <w:r>
        <w:rPr>
          <w:w w:val="105"/>
        </w:rPr>
        <w:t>the</w:t>
      </w:r>
      <w:r>
        <w:rPr>
          <w:spacing w:val="4"/>
          <w:w w:val="105"/>
        </w:rPr>
        <w:t> </w:t>
      </w:r>
      <w:r>
        <w:rPr>
          <w:w w:val="105"/>
        </w:rPr>
        <w:t>decision</w:t>
        <w:tab/>
      </w:r>
      <w:r>
        <w:rPr>
          <w:spacing w:val="-8"/>
          <w:w w:val="105"/>
        </w:rPr>
        <w:t>26</w:t>
      </w:r>
    </w:p>
    <w:p>
      <w:pPr>
        <w:pStyle w:val="BodyText"/>
        <w:tabs>
          <w:tab w:pos="10260" w:val="right" w:leader="dot"/>
        </w:tabs>
        <w:spacing w:before="89"/>
        <w:ind w:left="2437"/>
      </w:pPr>
      <w:r>
        <w:rPr>
          <w:spacing w:val="-4"/>
          <w:w w:val="105"/>
        </w:rPr>
        <w:t>Current</w:t>
      </w:r>
      <w:r>
        <w:rPr>
          <w:spacing w:val="5"/>
          <w:w w:val="105"/>
        </w:rPr>
        <w:t> </w:t>
      </w:r>
      <w:r>
        <w:rPr>
          <w:w w:val="105"/>
        </w:rPr>
        <w:t>law</w:t>
        <w:tab/>
      </w:r>
      <w:r>
        <w:rPr>
          <w:spacing w:val="-8"/>
          <w:w w:val="105"/>
        </w:rPr>
        <w:t>26</w:t>
      </w:r>
    </w:p>
    <w:p>
      <w:pPr>
        <w:pStyle w:val="BodyText"/>
        <w:tabs>
          <w:tab w:pos="10258" w:val="right" w:leader="dot"/>
        </w:tabs>
        <w:spacing w:before="88"/>
        <w:ind w:left="2437"/>
      </w:pPr>
      <w:r>
        <w:rPr>
          <w:w w:val="105"/>
        </w:rPr>
        <w:t>Other</w:t>
      </w:r>
      <w:r>
        <w:rPr>
          <w:spacing w:val="5"/>
          <w:w w:val="105"/>
        </w:rPr>
        <w:t> </w:t>
      </w:r>
      <w:r>
        <w:rPr>
          <w:w w:val="105"/>
        </w:rPr>
        <w:t>jurisdictions</w:t>
        <w:tab/>
      </w:r>
      <w:r>
        <w:rPr>
          <w:spacing w:val="-9"/>
          <w:w w:val="105"/>
        </w:rPr>
        <w:t>27</w:t>
      </w:r>
    </w:p>
    <w:p>
      <w:pPr>
        <w:pStyle w:val="BodyText"/>
        <w:tabs>
          <w:tab w:pos="10258" w:val="right" w:leader="dot"/>
        </w:tabs>
        <w:spacing w:before="89"/>
        <w:ind w:left="2437"/>
      </w:pPr>
      <w:r>
        <w:rPr>
          <w:w w:val="105"/>
        </w:rPr>
        <w:t>Views</w:t>
      </w:r>
      <w:r>
        <w:rPr>
          <w:spacing w:val="5"/>
          <w:w w:val="105"/>
        </w:rPr>
        <w:t> </w:t>
      </w:r>
      <w:r>
        <w:rPr>
          <w:w w:val="105"/>
        </w:rPr>
        <w:t>and</w:t>
      </w:r>
      <w:r>
        <w:rPr>
          <w:spacing w:val="6"/>
          <w:w w:val="105"/>
        </w:rPr>
        <w:t> </w:t>
      </w:r>
      <w:r>
        <w:rPr>
          <w:spacing w:val="-3"/>
          <w:w w:val="105"/>
        </w:rPr>
        <w:t>conclusions</w:t>
        <w:tab/>
      </w:r>
      <w:r>
        <w:rPr>
          <w:spacing w:val="-9"/>
          <w:w w:val="105"/>
        </w:rPr>
        <w:t>27</w:t>
      </w:r>
    </w:p>
    <w:p>
      <w:pPr>
        <w:pStyle w:val="BodyText"/>
        <w:tabs>
          <w:tab w:pos="10261" w:val="right" w:leader="dot"/>
        </w:tabs>
        <w:spacing w:before="89"/>
        <w:ind w:left="2154"/>
      </w:pPr>
      <w:r>
        <w:rPr>
          <w:spacing w:val="-3"/>
        </w:rPr>
        <w:t>Accessibility </w:t>
      </w:r>
      <w:r>
        <w:rPr/>
        <w:t>of the statutory</w:t>
      </w:r>
      <w:r>
        <w:rPr>
          <w:spacing w:val="38"/>
        </w:rPr>
        <w:t> </w:t>
      </w:r>
      <w:r>
        <w:rPr>
          <w:spacing w:val="-3"/>
        </w:rPr>
        <w:t>wills</w:t>
      </w:r>
      <w:r>
        <w:rPr>
          <w:spacing w:val="9"/>
        </w:rPr>
        <w:t> </w:t>
      </w:r>
      <w:r>
        <w:rPr/>
        <w:t>process</w:t>
        <w:tab/>
      </w:r>
      <w:r>
        <w:rPr>
          <w:spacing w:val="-6"/>
        </w:rPr>
        <w:t>28</w:t>
      </w:r>
    </w:p>
    <w:p>
      <w:pPr>
        <w:pStyle w:val="BodyText"/>
        <w:tabs>
          <w:tab w:pos="10262" w:val="right" w:leader="dot"/>
        </w:tabs>
        <w:spacing w:before="88"/>
        <w:ind w:left="2437"/>
      </w:pPr>
      <w:r>
        <w:rPr>
          <w:w w:val="105"/>
        </w:rPr>
        <w:t>Removing the two-stage process </w:t>
      </w:r>
      <w:r>
        <w:rPr>
          <w:spacing w:val="-3"/>
          <w:w w:val="105"/>
        </w:rPr>
        <w:t>for</w:t>
      </w:r>
      <w:r>
        <w:rPr>
          <w:spacing w:val="21"/>
          <w:w w:val="105"/>
        </w:rPr>
        <w:t> </w:t>
      </w:r>
      <w:r>
        <w:rPr>
          <w:w w:val="105"/>
        </w:rPr>
        <w:t>an</w:t>
      </w:r>
      <w:r>
        <w:rPr>
          <w:spacing w:val="4"/>
          <w:w w:val="105"/>
        </w:rPr>
        <w:t> </w:t>
      </w:r>
      <w:r>
        <w:rPr>
          <w:w w:val="105"/>
        </w:rPr>
        <w:t>application</w:t>
        <w:tab/>
      </w:r>
      <w:r>
        <w:rPr>
          <w:spacing w:val="-5"/>
          <w:w w:val="105"/>
        </w:rPr>
        <w:t>29</w:t>
      </w:r>
    </w:p>
    <w:p>
      <w:pPr>
        <w:pStyle w:val="BodyText"/>
        <w:tabs>
          <w:tab w:pos="10266" w:val="right" w:leader="dot"/>
        </w:tabs>
        <w:spacing w:before="89"/>
        <w:ind w:left="2437"/>
      </w:pPr>
      <w:r>
        <w:rPr>
          <w:spacing w:val="-3"/>
          <w:w w:val="105"/>
        </w:rPr>
        <w:t>Hearings </w:t>
      </w:r>
      <w:r>
        <w:rPr>
          <w:w w:val="105"/>
        </w:rPr>
        <w:t>at the Victorian </w:t>
      </w:r>
      <w:r>
        <w:rPr>
          <w:spacing w:val="-3"/>
          <w:w w:val="105"/>
        </w:rPr>
        <w:t>Civil </w:t>
      </w:r>
      <w:r>
        <w:rPr>
          <w:w w:val="105"/>
        </w:rPr>
        <w:t>and</w:t>
      </w:r>
      <w:r>
        <w:rPr>
          <w:spacing w:val="31"/>
          <w:w w:val="105"/>
        </w:rPr>
        <w:t> </w:t>
      </w:r>
      <w:r>
        <w:rPr>
          <w:spacing w:val="-3"/>
          <w:w w:val="105"/>
        </w:rPr>
        <w:t>Administrative</w:t>
      </w:r>
      <w:r>
        <w:rPr>
          <w:spacing w:val="5"/>
          <w:w w:val="105"/>
        </w:rPr>
        <w:t> </w:t>
      </w:r>
      <w:r>
        <w:rPr>
          <w:spacing w:val="-5"/>
          <w:w w:val="105"/>
        </w:rPr>
        <w:t>Tribunal</w:t>
        <w:tab/>
      </w:r>
      <w:r>
        <w:rPr>
          <w:w w:val="105"/>
        </w:rPr>
        <w:t>30</w:t>
      </w:r>
    </w:p>
    <w:p>
      <w:pPr>
        <w:pStyle w:val="BodyText"/>
        <w:tabs>
          <w:tab w:pos="10256" w:val="right" w:leader="dot"/>
        </w:tabs>
        <w:spacing w:before="89"/>
        <w:ind w:left="2437"/>
      </w:pPr>
      <w:r>
        <w:rPr>
          <w:spacing w:val="-3"/>
          <w:w w:val="105"/>
        </w:rPr>
        <w:t>Hearings </w:t>
      </w:r>
      <w:r>
        <w:rPr>
          <w:w w:val="105"/>
        </w:rPr>
        <w:t>on</w:t>
      </w:r>
      <w:r>
        <w:rPr>
          <w:spacing w:val="13"/>
          <w:w w:val="105"/>
        </w:rPr>
        <w:t> </w:t>
      </w:r>
      <w:r>
        <w:rPr>
          <w:w w:val="105"/>
        </w:rPr>
        <w:t>the</w:t>
      </w:r>
      <w:r>
        <w:rPr>
          <w:spacing w:val="6"/>
          <w:w w:val="105"/>
        </w:rPr>
        <w:t> </w:t>
      </w:r>
      <w:r>
        <w:rPr>
          <w:w w:val="105"/>
        </w:rPr>
        <w:t>papers</w:t>
        <w:tab/>
      </w:r>
      <w:r>
        <w:rPr>
          <w:spacing w:val="-11"/>
          <w:w w:val="105"/>
        </w:rPr>
        <w:t>31</w:t>
      </w:r>
    </w:p>
    <w:p>
      <w:pPr>
        <w:pStyle w:val="BodyText"/>
        <w:tabs>
          <w:tab w:pos="10256" w:val="right" w:leader="dot"/>
        </w:tabs>
        <w:spacing w:before="88"/>
        <w:ind w:left="2437"/>
      </w:pPr>
      <w:r>
        <w:rPr>
          <w:w w:val="105"/>
        </w:rPr>
        <w:t>Costs</w:t>
      </w:r>
      <w:r>
        <w:rPr>
          <w:spacing w:val="5"/>
          <w:w w:val="105"/>
        </w:rPr>
        <w:t> </w:t>
      </w:r>
      <w:r>
        <w:rPr>
          <w:w w:val="105"/>
        </w:rPr>
        <w:t>rules</w:t>
        <w:tab/>
      </w:r>
      <w:r>
        <w:rPr>
          <w:spacing w:val="-11"/>
          <w:w w:val="105"/>
        </w:rPr>
        <w:t>31</w:t>
      </w:r>
    </w:p>
    <w:p>
      <w:pPr>
        <w:pStyle w:val="ListParagraph"/>
        <w:numPr>
          <w:ilvl w:val="1"/>
          <w:numId w:val="1"/>
        </w:numPr>
        <w:tabs>
          <w:tab w:pos="1823" w:val="left" w:leader="none"/>
          <w:tab w:pos="10265" w:val="right" w:leader="dot"/>
        </w:tabs>
        <w:spacing w:line="240" w:lineRule="auto" w:before="85" w:after="0"/>
        <w:ind w:left="1822" w:right="0" w:hanging="236"/>
        <w:jc w:val="left"/>
        <w:rPr>
          <w:sz w:val="21"/>
        </w:rPr>
      </w:pPr>
      <w:r>
        <w:rPr>
          <w:rFonts w:ascii="Lucida Sans"/>
          <w:b/>
          <w:color w:val="EC5A4F"/>
          <w:sz w:val="21"/>
        </w:rPr>
        <w:t>Ademption</w:t>
        <w:tab/>
      </w:r>
      <w:r>
        <w:rPr>
          <w:sz w:val="21"/>
        </w:rPr>
        <w:t>36</w:t>
      </w:r>
    </w:p>
    <w:p>
      <w:pPr>
        <w:pStyle w:val="BodyText"/>
        <w:tabs>
          <w:tab w:pos="10265" w:val="right" w:leader="dot"/>
        </w:tabs>
        <w:spacing w:before="88"/>
        <w:ind w:left="2153"/>
      </w:pPr>
      <w:r>
        <w:rPr>
          <w:w w:val="105"/>
        </w:rPr>
        <w:t>Introduction</w:t>
        <w:tab/>
        <w:t>36</w:t>
      </w:r>
    </w:p>
    <w:p>
      <w:pPr>
        <w:pStyle w:val="BodyText"/>
        <w:tabs>
          <w:tab w:pos="10260" w:val="right" w:leader="dot"/>
        </w:tabs>
        <w:spacing w:before="89"/>
        <w:ind w:left="2153"/>
      </w:pPr>
      <w:r>
        <w:rPr>
          <w:w w:val="105"/>
        </w:rPr>
        <w:t>The</w:t>
      </w:r>
      <w:r>
        <w:rPr>
          <w:spacing w:val="5"/>
          <w:w w:val="105"/>
        </w:rPr>
        <w:t> </w:t>
      </w:r>
      <w:r>
        <w:rPr>
          <w:w w:val="105"/>
        </w:rPr>
        <w:t>ademption</w:t>
      </w:r>
      <w:r>
        <w:rPr>
          <w:spacing w:val="5"/>
          <w:w w:val="105"/>
        </w:rPr>
        <w:t> </w:t>
      </w:r>
      <w:r>
        <w:rPr>
          <w:w w:val="105"/>
        </w:rPr>
        <w:t>rule</w:t>
        <w:tab/>
      </w:r>
      <w:r>
        <w:rPr>
          <w:spacing w:val="-7"/>
          <w:w w:val="105"/>
        </w:rPr>
        <w:t>37</w:t>
      </w:r>
    </w:p>
    <w:p>
      <w:pPr>
        <w:pStyle w:val="BodyText"/>
        <w:tabs>
          <w:tab w:pos="10260" w:val="right" w:leader="dot"/>
        </w:tabs>
        <w:spacing w:before="89"/>
        <w:ind w:left="2437"/>
      </w:pPr>
      <w:r>
        <w:rPr>
          <w:spacing w:val="-4"/>
          <w:w w:val="105"/>
        </w:rPr>
        <w:t>Current</w:t>
      </w:r>
      <w:r>
        <w:rPr>
          <w:spacing w:val="5"/>
          <w:w w:val="105"/>
        </w:rPr>
        <w:t> </w:t>
      </w:r>
      <w:r>
        <w:rPr>
          <w:w w:val="105"/>
        </w:rPr>
        <w:t>law</w:t>
        <w:tab/>
      </w:r>
      <w:r>
        <w:rPr>
          <w:spacing w:val="-7"/>
          <w:w w:val="105"/>
        </w:rPr>
        <w:t>37</w:t>
      </w:r>
    </w:p>
    <w:p>
      <w:pPr>
        <w:pStyle w:val="BodyText"/>
        <w:tabs>
          <w:tab w:pos="10265" w:val="right" w:leader="dot"/>
        </w:tabs>
        <w:spacing w:before="89"/>
        <w:ind w:left="2437"/>
      </w:pPr>
      <w:r>
        <w:rPr>
          <w:w w:val="105"/>
        </w:rPr>
        <w:t>An </w:t>
      </w:r>
      <w:r>
        <w:rPr>
          <w:spacing w:val="-3"/>
          <w:w w:val="105"/>
        </w:rPr>
        <w:t>alternative </w:t>
      </w:r>
      <w:r>
        <w:rPr>
          <w:w w:val="105"/>
        </w:rPr>
        <w:t>approach</w:t>
      </w:r>
      <w:r>
        <w:rPr>
          <w:spacing w:val="17"/>
          <w:w w:val="105"/>
        </w:rPr>
        <w:t> </w:t>
      </w:r>
      <w:r>
        <w:rPr>
          <w:spacing w:val="-3"/>
          <w:w w:val="105"/>
        </w:rPr>
        <w:t>to</w:t>
      </w:r>
      <w:r>
        <w:rPr>
          <w:spacing w:val="5"/>
          <w:w w:val="105"/>
        </w:rPr>
        <w:t> </w:t>
      </w:r>
      <w:r>
        <w:rPr>
          <w:w w:val="105"/>
        </w:rPr>
        <w:t>ademption</w:t>
        <w:tab/>
        <w:t>38</w:t>
      </w:r>
    </w:p>
    <w:p>
      <w:pPr>
        <w:pStyle w:val="BodyText"/>
        <w:tabs>
          <w:tab w:pos="10268" w:val="right" w:leader="dot"/>
        </w:tabs>
        <w:spacing w:before="88"/>
        <w:ind w:left="2436"/>
      </w:pPr>
      <w:r>
        <w:rPr>
          <w:spacing w:val="-4"/>
          <w:w w:val="105"/>
        </w:rPr>
        <w:t>Commission’s </w:t>
      </w:r>
      <w:r>
        <w:rPr>
          <w:w w:val="105"/>
        </w:rPr>
        <w:t>views</w:t>
      </w:r>
      <w:r>
        <w:rPr>
          <w:spacing w:val="14"/>
          <w:w w:val="105"/>
        </w:rPr>
        <w:t> </w:t>
      </w:r>
      <w:r>
        <w:rPr>
          <w:w w:val="105"/>
        </w:rPr>
        <w:t>and</w:t>
      </w:r>
      <w:r>
        <w:rPr>
          <w:spacing w:val="6"/>
          <w:w w:val="105"/>
        </w:rPr>
        <w:t> </w:t>
      </w:r>
      <w:r>
        <w:rPr>
          <w:spacing w:val="-3"/>
          <w:w w:val="105"/>
        </w:rPr>
        <w:t>conclusions</w:t>
        <w:tab/>
      </w:r>
      <w:r>
        <w:rPr>
          <w:w w:val="105"/>
        </w:rPr>
        <w:t>40</w:t>
      </w:r>
    </w:p>
    <w:p>
      <w:pPr>
        <w:pStyle w:val="BodyText"/>
        <w:tabs>
          <w:tab w:pos="10268" w:val="right" w:leader="dot"/>
        </w:tabs>
        <w:spacing w:before="89"/>
        <w:ind w:left="2153"/>
      </w:pPr>
      <w:r>
        <w:rPr>
          <w:w w:val="105"/>
        </w:rPr>
        <w:t>Acts by </w:t>
      </w:r>
      <w:r>
        <w:rPr>
          <w:spacing w:val="-3"/>
          <w:w w:val="105"/>
        </w:rPr>
        <w:t>substitute</w:t>
      </w:r>
      <w:r>
        <w:rPr>
          <w:spacing w:val="15"/>
          <w:w w:val="105"/>
        </w:rPr>
        <w:t> </w:t>
      </w:r>
      <w:r>
        <w:rPr>
          <w:w w:val="105"/>
        </w:rPr>
        <w:t>decision</w:t>
      </w:r>
      <w:r>
        <w:rPr>
          <w:spacing w:val="5"/>
          <w:w w:val="105"/>
        </w:rPr>
        <w:t> </w:t>
      </w:r>
      <w:r>
        <w:rPr>
          <w:spacing w:val="-3"/>
          <w:w w:val="105"/>
        </w:rPr>
        <w:t>makers</w:t>
        <w:tab/>
      </w:r>
      <w:r>
        <w:rPr>
          <w:w w:val="105"/>
        </w:rPr>
        <w:t>40</w:t>
      </w:r>
    </w:p>
    <w:p>
      <w:pPr>
        <w:pStyle w:val="BodyText"/>
        <w:tabs>
          <w:tab w:pos="10251" w:val="right" w:leader="dot"/>
        </w:tabs>
        <w:spacing w:before="89"/>
        <w:ind w:left="2153"/>
      </w:pPr>
      <w:r>
        <w:rPr/>
        <w:t>Acts by </w:t>
      </w:r>
      <w:r>
        <w:rPr>
          <w:spacing w:val="-3"/>
        </w:rPr>
        <w:t>administrators  appointed  </w:t>
      </w:r>
      <w:r>
        <w:rPr/>
        <w:t>by the Victorian </w:t>
      </w:r>
      <w:r>
        <w:rPr>
          <w:spacing w:val="-3"/>
        </w:rPr>
        <w:t>Civil</w:t>
      </w:r>
      <w:r>
        <w:rPr>
          <w:spacing w:val="41"/>
        </w:rPr>
        <w:t> </w:t>
      </w:r>
      <w:r>
        <w:rPr/>
        <w:t>and</w:t>
      </w:r>
      <w:r>
        <w:rPr>
          <w:spacing w:val="40"/>
        </w:rPr>
        <w:t> </w:t>
      </w:r>
      <w:r>
        <w:rPr>
          <w:spacing w:val="-3"/>
        </w:rPr>
        <w:t>Administrative</w:t>
      </w:r>
      <w:r>
        <w:rPr>
          <w:spacing w:val="18"/>
        </w:rPr>
        <w:t> </w:t>
      </w:r>
      <w:r>
        <w:rPr>
          <w:spacing w:val="-5"/>
        </w:rPr>
        <w:t>Tribunal</w:t>
        <w:tab/>
      </w:r>
      <w:r>
        <w:rPr>
          <w:spacing w:val="-16"/>
        </w:rPr>
        <w:t>41</w:t>
      </w:r>
    </w:p>
    <w:p>
      <w:pPr>
        <w:pStyle w:val="BodyText"/>
        <w:tabs>
          <w:tab w:pos="10250" w:val="right" w:leader="dot"/>
        </w:tabs>
        <w:spacing w:before="88"/>
        <w:ind w:left="2436"/>
      </w:pPr>
      <w:r>
        <w:rPr>
          <w:w w:val="105"/>
        </w:rPr>
        <w:t>Section </w:t>
      </w:r>
      <w:r>
        <w:rPr>
          <w:spacing w:val="-3"/>
          <w:w w:val="105"/>
        </w:rPr>
        <w:t>53 </w:t>
      </w:r>
      <w:r>
        <w:rPr>
          <w:w w:val="105"/>
        </w:rPr>
        <w:t>of the </w:t>
      </w:r>
      <w:r>
        <w:rPr>
          <w:spacing w:val="-3"/>
          <w:w w:val="105"/>
        </w:rPr>
        <w:t>Guardianship </w:t>
      </w:r>
      <w:r>
        <w:rPr>
          <w:w w:val="105"/>
        </w:rPr>
        <w:t>and</w:t>
      </w:r>
      <w:r>
        <w:rPr>
          <w:spacing w:val="38"/>
          <w:w w:val="105"/>
        </w:rPr>
        <w:t> </w:t>
      </w:r>
      <w:r>
        <w:rPr>
          <w:spacing w:val="-3"/>
          <w:w w:val="105"/>
        </w:rPr>
        <w:t>Administration</w:t>
      </w:r>
      <w:r>
        <w:rPr>
          <w:spacing w:val="6"/>
          <w:w w:val="105"/>
        </w:rPr>
        <w:t> </w:t>
      </w:r>
      <w:r>
        <w:rPr>
          <w:w w:val="105"/>
        </w:rPr>
        <w:t>Act</w:t>
        <w:tab/>
      </w:r>
      <w:r>
        <w:rPr>
          <w:spacing w:val="-16"/>
          <w:w w:val="105"/>
        </w:rPr>
        <w:t>41</w:t>
      </w:r>
    </w:p>
    <w:p>
      <w:pPr>
        <w:pStyle w:val="BodyText"/>
        <w:tabs>
          <w:tab w:pos="10260" w:val="right" w:leader="dot"/>
        </w:tabs>
        <w:spacing w:before="89"/>
        <w:ind w:left="2152"/>
      </w:pPr>
      <w:r>
        <w:rPr>
          <w:w w:val="105"/>
        </w:rPr>
        <w:t>Model </w:t>
      </w:r>
      <w:r>
        <w:rPr>
          <w:spacing w:val="-3"/>
          <w:w w:val="105"/>
        </w:rPr>
        <w:t>for </w:t>
      </w:r>
      <w:r>
        <w:rPr>
          <w:w w:val="105"/>
        </w:rPr>
        <w:t>an </w:t>
      </w:r>
      <w:r>
        <w:rPr>
          <w:spacing w:val="-3"/>
          <w:w w:val="105"/>
        </w:rPr>
        <w:t>exception</w:t>
      </w:r>
      <w:r>
        <w:rPr>
          <w:spacing w:val="23"/>
          <w:w w:val="105"/>
        </w:rPr>
        <w:t> </w:t>
      </w:r>
      <w:r>
        <w:rPr>
          <w:spacing w:val="-3"/>
          <w:w w:val="105"/>
        </w:rPr>
        <w:t>to</w:t>
      </w:r>
      <w:r>
        <w:rPr>
          <w:spacing w:val="5"/>
          <w:w w:val="105"/>
        </w:rPr>
        <w:t> </w:t>
      </w:r>
      <w:r>
        <w:rPr>
          <w:w w:val="105"/>
        </w:rPr>
        <w:t>ademption</w:t>
        <w:tab/>
      </w:r>
      <w:r>
        <w:rPr>
          <w:spacing w:val="-6"/>
          <w:w w:val="105"/>
        </w:rPr>
        <w:t>42</w:t>
      </w:r>
    </w:p>
    <w:p>
      <w:pPr>
        <w:pStyle w:val="BodyText"/>
        <w:tabs>
          <w:tab w:pos="10261" w:val="right" w:leader="dot"/>
        </w:tabs>
        <w:spacing w:before="89"/>
        <w:ind w:left="2436"/>
      </w:pPr>
      <w:r>
        <w:rPr>
          <w:spacing w:val="-3"/>
          <w:w w:val="105"/>
        </w:rPr>
        <w:t>Avoiding</w:t>
      </w:r>
      <w:r>
        <w:rPr>
          <w:spacing w:val="5"/>
          <w:w w:val="105"/>
        </w:rPr>
        <w:t> </w:t>
      </w:r>
      <w:r>
        <w:rPr>
          <w:spacing w:val="-3"/>
          <w:w w:val="105"/>
        </w:rPr>
        <w:t>unjust</w:t>
      </w:r>
      <w:r>
        <w:rPr>
          <w:spacing w:val="6"/>
          <w:w w:val="105"/>
        </w:rPr>
        <w:t> </w:t>
      </w:r>
      <w:r>
        <w:rPr>
          <w:spacing w:val="-3"/>
          <w:w w:val="105"/>
        </w:rPr>
        <w:t>outcomes</w:t>
        <w:tab/>
      </w:r>
      <w:r>
        <w:rPr>
          <w:spacing w:val="-5"/>
          <w:w w:val="105"/>
        </w:rPr>
        <w:t>43</w:t>
      </w:r>
    </w:p>
    <w:p>
      <w:pPr>
        <w:pStyle w:val="BodyText"/>
        <w:tabs>
          <w:tab w:pos="10260" w:val="right" w:leader="dot"/>
        </w:tabs>
        <w:spacing w:before="88"/>
        <w:ind w:left="2436"/>
      </w:pPr>
      <w:r>
        <w:rPr>
          <w:spacing w:val="-4"/>
          <w:w w:val="105"/>
        </w:rPr>
        <w:t>Treatment </w:t>
      </w:r>
      <w:r>
        <w:rPr>
          <w:w w:val="105"/>
        </w:rPr>
        <w:t>of </w:t>
      </w:r>
      <w:r>
        <w:rPr>
          <w:spacing w:val="-3"/>
          <w:w w:val="105"/>
        </w:rPr>
        <w:t>income generated </w:t>
      </w:r>
      <w:r>
        <w:rPr>
          <w:w w:val="105"/>
        </w:rPr>
        <w:t>by</w:t>
      </w:r>
      <w:r>
        <w:rPr>
          <w:spacing w:val="31"/>
          <w:w w:val="105"/>
        </w:rPr>
        <w:t> </w:t>
      </w:r>
      <w:r>
        <w:rPr>
          <w:w w:val="105"/>
        </w:rPr>
        <w:t>sale</w:t>
      </w:r>
      <w:r>
        <w:rPr>
          <w:spacing w:val="5"/>
          <w:w w:val="105"/>
        </w:rPr>
        <w:t> </w:t>
      </w:r>
      <w:r>
        <w:rPr>
          <w:w w:val="105"/>
        </w:rPr>
        <w:t>proceeds</w:t>
        <w:tab/>
      </w:r>
      <w:r>
        <w:rPr>
          <w:spacing w:val="-6"/>
          <w:w w:val="105"/>
        </w:rPr>
        <w:t>45</w:t>
      </w:r>
    </w:p>
    <w:p>
      <w:pPr>
        <w:pStyle w:val="BodyText"/>
        <w:tabs>
          <w:tab w:pos="10267" w:val="right" w:leader="dot"/>
        </w:tabs>
        <w:spacing w:before="89"/>
        <w:ind w:left="2436"/>
      </w:pPr>
      <w:r>
        <w:rPr>
          <w:spacing w:val="-3"/>
          <w:w w:val="105"/>
        </w:rPr>
        <w:t>Account-keeping</w:t>
      </w:r>
      <w:r>
        <w:rPr>
          <w:spacing w:val="5"/>
          <w:w w:val="105"/>
        </w:rPr>
        <w:t> </w:t>
      </w:r>
      <w:r>
        <w:rPr>
          <w:spacing w:val="-3"/>
          <w:w w:val="105"/>
        </w:rPr>
        <w:t>obligations</w:t>
        <w:tab/>
      </w:r>
      <w:r>
        <w:rPr>
          <w:w w:val="105"/>
        </w:rPr>
        <w:t>46</w:t>
      </w:r>
    </w:p>
    <w:p>
      <w:pPr>
        <w:pStyle w:val="BodyText"/>
        <w:tabs>
          <w:tab w:pos="10269" w:val="right" w:leader="dot"/>
        </w:tabs>
        <w:spacing w:before="89"/>
        <w:ind w:left="2436"/>
      </w:pPr>
      <w:r>
        <w:rPr>
          <w:w w:val="105"/>
        </w:rPr>
        <w:t>Capacity and persons with</w:t>
      </w:r>
      <w:r>
        <w:rPr>
          <w:spacing w:val="18"/>
          <w:w w:val="105"/>
        </w:rPr>
        <w:t> </w:t>
      </w:r>
      <w:r>
        <w:rPr>
          <w:spacing w:val="-3"/>
          <w:w w:val="105"/>
        </w:rPr>
        <w:t>administrators</w:t>
      </w:r>
      <w:r>
        <w:rPr>
          <w:spacing w:val="4"/>
          <w:w w:val="105"/>
        </w:rPr>
        <w:t> </w:t>
      </w:r>
      <w:r>
        <w:rPr>
          <w:spacing w:val="-3"/>
          <w:w w:val="105"/>
        </w:rPr>
        <w:t>appointed</w:t>
        <w:tab/>
      </w:r>
      <w:r>
        <w:rPr>
          <w:spacing w:val="3"/>
          <w:w w:val="105"/>
        </w:rPr>
        <w:t>48</w:t>
      </w:r>
    </w:p>
    <w:p>
      <w:pPr>
        <w:pStyle w:val="BodyText"/>
        <w:tabs>
          <w:tab w:pos="10269" w:val="right" w:leader="dot"/>
        </w:tabs>
        <w:spacing w:before="88"/>
        <w:ind w:left="2152"/>
      </w:pPr>
      <w:r>
        <w:rPr>
          <w:w w:val="105"/>
        </w:rPr>
        <w:t>Acts by persons acting under an </w:t>
      </w:r>
      <w:r>
        <w:rPr>
          <w:spacing w:val="-3"/>
          <w:w w:val="105"/>
        </w:rPr>
        <w:t>enduring </w:t>
      </w:r>
      <w:r>
        <w:rPr>
          <w:w w:val="105"/>
        </w:rPr>
        <w:t>power of</w:t>
      </w:r>
      <w:r>
        <w:rPr>
          <w:spacing w:val="22"/>
          <w:w w:val="105"/>
        </w:rPr>
        <w:t> </w:t>
      </w:r>
      <w:r>
        <w:rPr>
          <w:w w:val="105"/>
        </w:rPr>
        <w:t>attorney</w:t>
      </w:r>
      <w:r>
        <w:rPr>
          <w:spacing w:val="3"/>
          <w:w w:val="105"/>
        </w:rPr>
        <w:t> </w:t>
      </w:r>
      <w:r>
        <w:rPr>
          <w:w w:val="105"/>
        </w:rPr>
        <w:t>(financial)</w:t>
        <w:tab/>
      </w:r>
      <w:r>
        <w:rPr>
          <w:spacing w:val="3"/>
          <w:w w:val="105"/>
        </w:rPr>
        <w:t>48</w:t>
      </w:r>
    </w:p>
    <w:p>
      <w:pPr>
        <w:pStyle w:val="BodyText"/>
        <w:tabs>
          <w:tab w:pos="10269" w:val="right" w:leader="dot"/>
        </w:tabs>
        <w:spacing w:before="89"/>
        <w:ind w:left="2436"/>
      </w:pPr>
      <w:r>
        <w:rPr>
          <w:spacing w:val="-4"/>
          <w:w w:val="105"/>
        </w:rPr>
        <w:t>Current</w:t>
      </w:r>
      <w:r>
        <w:rPr>
          <w:spacing w:val="5"/>
          <w:w w:val="105"/>
        </w:rPr>
        <w:t> </w:t>
      </w:r>
      <w:r>
        <w:rPr>
          <w:w w:val="105"/>
        </w:rPr>
        <w:t>law</w:t>
        <w:tab/>
      </w:r>
      <w:r>
        <w:rPr>
          <w:spacing w:val="3"/>
          <w:w w:val="105"/>
        </w:rPr>
        <w:t>48</w:t>
      </w:r>
    </w:p>
    <w:p>
      <w:pPr>
        <w:pStyle w:val="BodyText"/>
        <w:tabs>
          <w:tab w:pos="10262" w:val="right" w:leader="dot"/>
        </w:tabs>
        <w:spacing w:before="89"/>
        <w:ind w:left="2436"/>
      </w:pPr>
      <w:r>
        <w:rPr>
          <w:spacing w:val="-3"/>
          <w:w w:val="105"/>
        </w:rPr>
        <w:t>National Committee for Uniform</w:t>
      </w:r>
      <w:r>
        <w:rPr>
          <w:spacing w:val="31"/>
          <w:w w:val="105"/>
        </w:rPr>
        <w:t> </w:t>
      </w:r>
      <w:r>
        <w:rPr>
          <w:spacing w:val="-3"/>
          <w:w w:val="105"/>
        </w:rPr>
        <w:t>Succession</w:t>
      </w:r>
      <w:r>
        <w:rPr>
          <w:spacing w:val="5"/>
          <w:w w:val="105"/>
        </w:rPr>
        <w:t> </w:t>
      </w:r>
      <w:r>
        <w:rPr>
          <w:w w:val="105"/>
        </w:rPr>
        <w:t>Laws</w:t>
        <w:tab/>
      </w:r>
      <w:r>
        <w:rPr>
          <w:spacing w:val="-4"/>
          <w:w w:val="105"/>
        </w:rPr>
        <w:t>49</w:t>
      </w:r>
    </w:p>
    <w:p>
      <w:pPr>
        <w:pStyle w:val="BodyText"/>
        <w:tabs>
          <w:tab w:pos="10262" w:val="right" w:leader="dot"/>
        </w:tabs>
        <w:spacing w:before="88"/>
        <w:ind w:left="2436"/>
      </w:pPr>
      <w:r>
        <w:rPr>
          <w:w w:val="105"/>
        </w:rPr>
        <w:t>A </w:t>
      </w:r>
      <w:r>
        <w:rPr>
          <w:spacing w:val="-3"/>
          <w:w w:val="105"/>
        </w:rPr>
        <w:t>legislative exception</w:t>
      </w:r>
      <w:r>
        <w:rPr>
          <w:spacing w:val="18"/>
          <w:w w:val="105"/>
        </w:rPr>
        <w:t> </w:t>
      </w:r>
      <w:r>
        <w:rPr>
          <w:spacing w:val="-3"/>
          <w:w w:val="105"/>
        </w:rPr>
        <w:t>to</w:t>
      </w:r>
      <w:r>
        <w:rPr>
          <w:spacing w:val="5"/>
          <w:w w:val="105"/>
        </w:rPr>
        <w:t> </w:t>
      </w:r>
      <w:r>
        <w:rPr>
          <w:w w:val="105"/>
        </w:rPr>
        <w:t>ademption</w:t>
        <w:tab/>
      </w:r>
      <w:r>
        <w:rPr>
          <w:spacing w:val="-4"/>
          <w:w w:val="105"/>
        </w:rPr>
        <w:t>49</w:t>
      </w:r>
    </w:p>
    <w:p>
      <w:pPr>
        <w:pStyle w:val="BodyText"/>
        <w:tabs>
          <w:tab w:pos="10262" w:val="right" w:leader="dot"/>
        </w:tabs>
        <w:spacing w:before="89"/>
        <w:ind w:left="2436"/>
      </w:pPr>
      <w:r>
        <w:rPr>
          <w:spacing w:val="-3"/>
          <w:w w:val="105"/>
        </w:rPr>
        <w:t>Account-keeping</w:t>
      </w:r>
      <w:r>
        <w:rPr>
          <w:spacing w:val="5"/>
          <w:w w:val="105"/>
        </w:rPr>
        <w:t> </w:t>
      </w:r>
      <w:r>
        <w:rPr>
          <w:spacing w:val="-3"/>
          <w:w w:val="105"/>
        </w:rPr>
        <w:t>obligations</w:t>
        <w:tab/>
      </w:r>
      <w:r>
        <w:rPr>
          <w:spacing w:val="-4"/>
          <w:w w:val="105"/>
        </w:rPr>
        <w:t>49</w:t>
      </w:r>
    </w:p>
    <w:p>
      <w:pPr>
        <w:pStyle w:val="BodyText"/>
        <w:tabs>
          <w:tab w:pos="10264" w:val="right" w:leader="dot"/>
        </w:tabs>
        <w:spacing w:before="89"/>
        <w:ind w:left="2436"/>
      </w:pPr>
      <w:r>
        <w:rPr>
          <w:w w:val="105"/>
        </w:rPr>
        <w:t>Capacity</w:t>
        <w:tab/>
        <w:t>50</w:t>
      </w:r>
    </w:p>
    <w:p>
      <w:pPr>
        <w:pStyle w:val="BodyText"/>
        <w:tabs>
          <w:tab w:pos="10248" w:val="right" w:leader="dot"/>
        </w:tabs>
        <w:spacing w:before="88"/>
        <w:ind w:left="2436"/>
      </w:pPr>
      <w:r>
        <w:rPr>
          <w:spacing w:val="-4"/>
          <w:w w:val="105"/>
        </w:rPr>
        <w:t>Warning </w:t>
      </w:r>
      <w:r>
        <w:rPr>
          <w:spacing w:val="-3"/>
          <w:w w:val="105"/>
        </w:rPr>
        <w:t>to </w:t>
      </w:r>
      <w:r>
        <w:rPr>
          <w:w w:val="105"/>
        </w:rPr>
        <w:t>donors of </w:t>
      </w:r>
      <w:r>
        <w:rPr>
          <w:spacing w:val="-3"/>
          <w:w w:val="105"/>
        </w:rPr>
        <w:t>enduring </w:t>
      </w:r>
      <w:r>
        <w:rPr>
          <w:w w:val="105"/>
        </w:rPr>
        <w:t>powers of</w:t>
      </w:r>
      <w:r>
        <w:rPr>
          <w:spacing w:val="35"/>
          <w:w w:val="105"/>
        </w:rPr>
        <w:t> </w:t>
      </w:r>
      <w:r>
        <w:rPr>
          <w:w w:val="105"/>
        </w:rPr>
        <w:t>attorney</w:t>
      </w:r>
      <w:r>
        <w:rPr>
          <w:spacing w:val="4"/>
          <w:w w:val="105"/>
        </w:rPr>
        <w:t> </w:t>
      </w:r>
      <w:r>
        <w:rPr>
          <w:w w:val="105"/>
        </w:rPr>
        <w:t>(financial)</w:t>
        <w:tab/>
      </w:r>
      <w:r>
        <w:rPr>
          <w:spacing w:val="-18"/>
          <w:w w:val="105"/>
        </w:rPr>
        <w:t>51</w:t>
      </w:r>
    </w:p>
    <w:p>
      <w:pPr>
        <w:pStyle w:val="BodyText"/>
        <w:tabs>
          <w:tab w:pos="10248" w:val="right" w:leader="dot"/>
        </w:tabs>
        <w:spacing w:before="89"/>
        <w:ind w:left="2152"/>
      </w:pPr>
      <w:r>
        <w:rPr>
          <w:spacing w:val="-3"/>
          <w:w w:val="105"/>
        </w:rPr>
        <w:t>Access to </w:t>
      </w:r>
      <w:r>
        <w:rPr>
          <w:w w:val="105"/>
        </w:rPr>
        <w:t>a </w:t>
      </w:r>
      <w:r>
        <w:rPr>
          <w:spacing w:val="-3"/>
          <w:w w:val="105"/>
        </w:rPr>
        <w:t>person’s will to</w:t>
      </w:r>
      <w:r>
        <w:rPr>
          <w:spacing w:val="41"/>
          <w:w w:val="105"/>
        </w:rPr>
        <w:t> </w:t>
      </w:r>
      <w:r>
        <w:rPr>
          <w:spacing w:val="-3"/>
          <w:w w:val="105"/>
        </w:rPr>
        <w:t>prevent</w:t>
      </w:r>
      <w:r>
        <w:rPr>
          <w:spacing w:val="5"/>
          <w:w w:val="105"/>
        </w:rPr>
        <w:t> </w:t>
      </w:r>
      <w:r>
        <w:rPr>
          <w:w w:val="105"/>
        </w:rPr>
        <w:t>ademption</w:t>
        <w:tab/>
      </w:r>
      <w:r>
        <w:rPr>
          <w:spacing w:val="-18"/>
          <w:w w:val="105"/>
        </w:rPr>
        <w:t>51</w:t>
      </w:r>
    </w:p>
    <w:p>
      <w:pPr>
        <w:pStyle w:val="BodyText"/>
        <w:tabs>
          <w:tab w:pos="10259" w:val="right" w:leader="dot"/>
        </w:tabs>
        <w:spacing w:before="89"/>
        <w:ind w:left="2436"/>
      </w:pPr>
      <w:r>
        <w:rPr>
          <w:spacing w:val="-4"/>
          <w:w w:val="105"/>
        </w:rPr>
        <w:t>Current</w:t>
      </w:r>
      <w:r>
        <w:rPr>
          <w:spacing w:val="5"/>
          <w:w w:val="105"/>
        </w:rPr>
        <w:t> </w:t>
      </w:r>
      <w:r>
        <w:rPr>
          <w:w w:val="105"/>
        </w:rPr>
        <w:t>law</w:t>
        <w:tab/>
      </w:r>
      <w:r>
        <w:rPr>
          <w:spacing w:val="-6"/>
          <w:w w:val="105"/>
        </w:rPr>
        <w:t>52</w:t>
      </w:r>
    </w:p>
    <w:p>
      <w:pPr>
        <w:pStyle w:val="BodyText"/>
        <w:tabs>
          <w:tab w:pos="10259" w:val="right" w:leader="dot"/>
        </w:tabs>
        <w:spacing w:before="88"/>
        <w:ind w:left="2436"/>
      </w:pPr>
      <w:r>
        <w:rPr>
          <w:w w:val="105"/>
        </w:rPr>
        <w:t>Views</w:t>
      </w:r>
      <w:r>
        <w:rPr>
          <w:spacing w:val="5"/>
          <w:w w:val="105"/>
        </w:rPr>
        <w:t> </w:t>
      </w:r>
      <w:r>
        <w:rPr>
          <w:spacing w:val="-3"/>
          <w:w w:val="105"/>
        </w:rPr>
        <w:t>from</w:t>
      </w:r>
      <w:r>
        <w:rPr>
          <w:spacing w:val="5"/>
          <w:w w:val="105"/>
        </w:rPr>
        <w:t> </w:t>
      </w:r>
      <w:r>
        <w:rPr>
          <w:spacing w:val="-3"/>
          <w:w w:val="105"/>
        </w:rPr>
        <w:t>submissions</w:t>
        <w:tab/>
      </w:r>
      <w:r>
        <w:rPr>
          <w:spacing w:val="-6"/>
          <w:w w:val="105"/>
        </w:rPr>
        <w:t>52</w:t>
      </w:r>
    </w:p>
    <w:p>
      <w:pPr>
        <w:pStyle w:val="BodyText"/>
        <w:tabs>
          <w:tab w:pos="10260" w:val="right" w:leader="dot"/>
        </w:tabs>
        <w:spacing w:before="89"/>
        <w:ind w:left="2436"/>
      </w:pPr>
      <w:r>
        <w:rPr>
          <w:spacing w:val="-4"/>
          <w:w w:val="105"/>
        </w:rPr>
        <w:t>Commission’s </w:t>
      </w:r>
      <w:r>
        <w:rPr>
          <w:w w:val="105"/>
        </w:rPr>
        <w:t>views</w:t>
      </w:r>
      <w:r>
        <w:rPr>
          <w:spacing w:val="14"/>
          <w:w w:val="105"/>
        </w:rPr>
        <w:t> </w:t>
      </w:r>
      <w:r>
        <w:rPr>
          <w:w w:val="105"/>
        </w:rPr>
        <w:t>and</w:t>
      </w:r>
      <w:r>
        <w:rPr>
          <w:spacing w:val="6"/>
          <w:w w:val="105"/>
        </w:rPr>
        <w:t> </w:t>
      </w:r>
      <w:r>
        <w:rPr>
          <w:spacing w:val="-3"/>
          <w:w w:val="105"/>
        </w:rPr>
        <w:t>conclusions</w:t>
        <w:tab/>
      </w:r>
      <w:r>
        <w:rPr>
          <w:spacing w:val="-6"/>
          <w:w w:val="105"/>
        </w:rPr>
        <w:t>53</w:t>
      </w:r>
    </w:p>
    <w:p>
      <w:pPr>
        <w:pStyle w:val="BodyText"/>
        <w:rPr>
          <w:sz w:val="28"/>
        </w:rPr>
      </w:pPr>
    </w:p>
    <w:p>
      <w:pPr>
        <w:pStyle w:val="BodyText"/>
        <w:rPr>
          <w:sz w:val="28"/>
        </w:rPr>
      </w:pPr>
    </w:p>
    <w:p>
      <w:pPr>
        <w:pStyle w:val="BodyText"/>
        <w:rPr>
          <w:sz w:val="28"/>
        </w:rPr>
      </w:pPr>
    </w:p>
    <w:p>
      <w:pPr>
        <w:pStyle w:val="BodyText"/>
        <w:spacing w:before="10"/>
        <w:rPr>
          <w:sz w:val="33"/>
        </w:rPr>
      </w:pPr>
    </w:p>
    <w:p>
      <w:pPr>
        <w:spacing w:before="0"/>
        <w:ind w:left="720" w:right="0" w:firstLine="0"/>
        <w:jc w:val="left"/>
        <w:rPr>
          <w:b/>
          <w:sz w:val="24"/>
        </w:rPr>
      </w:pPr>
      <w:r>
        <w:rPr>
          <w:b/>
          <w:color w:val="EC5A4F"/>
          <w:w w:val="115"/>
          <w:sz w:val="24"/>
        </w:rPr>
        <w:t>iv</w:t>
      </w:r>
    </w:p>
    <w:p>
      <w:pPr>
        <w:spacing w:after="0"/>
        <w:jc w:val="left"/>
        <w:rPr>
          <w:sz w:val="24"/>
        </w:rPr>
        <w:sectPr>
          <w:pgSz w:w="11910" w:h="16840"/>
          <w:pgMar w:header="550" w:footer="0" w:top="1560" w:bottom="280" w:left="0" w:right="0"/>
        </w:sectPr>
      </w:pPr>
    </w:p>
    <w:p>
      <w:pPr>
        <w:pStyle w:val="BodyText"/>
        <w:spacing w:before="4"/>
        <w:rPr>
          <w:b/>
          <w:sz w:val="22"/>
        </w:rPr>
      </w:pPr>
    </w:p>
    <w:p>
      <w:pPr>
        <w:spacing w:after="0"/>
        <w:rPr>
          <w:sz w:val="22"/>
        </w:rPr>
        <w:sectPr>
          <w:pgSz w:w="11910" w:h="16840"/>
          <w:pgMar w:header="1372" w:footer="0" w:top="1560" w:bottom="482" w:left="0" w:right="0"/>
        </w:sectPr>
      </w:pPr>
    </w:p>
    <w:sdt>
      <w:sdtPr>
        <w:docPartObj>
          <w:docPartGallery w:val="Table of Contents"/>
          <w:docPartUnique/>
        </w:docPartObj>
      </w:sdtPr>
      <w:sdtEndPr/>
      <w:sdtContent>
        <w:p>
          <w:pPr>
            <w:pStyle w:val="TOC2"/>
            <w:numPr>
              <w:ilvl w:val="1"/>
              <w:numId w:val="1"/>
            </w:numPr>
            <w:tabs>
              <w:tab w:pos="1820" w:val="left" w:leader="none"/>
              <w:tab w:pos="10265" w:val="right" w:leader="dot"/>
            </w:tabs>
            <w:spacing w:line="240" w:lineRule="auto" w:before="92" w:after="0"/>
            <w:ind w:left="1819" w:right="0" w:hanging="232"/>
            <w:jc w:val="left"/>
            <w:rPr>
              <w:rFonts w:ascii="Calibri"/>
            </w:rPr>
          </w:pPr>
          <w:hyperlink w:history="true" w:anchor="_TOC_250066">
            <w:r>
              <w:rPr>
                <w:b/>
                <w:color w:val="EC5A4F"/>
              </w:rPr>
              <w:t>Intestacy</w:t>
              <w:tab/>
            </w:r>
            <w:r>
              <w:rPr>
                <w:rFonts w:ascii="Calibri"/>
              </w:rPr>
              <w:t>56</w:t>
            </w:r>
          </w:hyperlink>
        </w:p>
        <w:p>
          <w:pPr>
            <w:pStyle w:val="TOC3"/>
            <w:tabs>
              <w:tab w:pos="10265" w:val="right" w:leader="dot"/>
            </w:tabs>
            <w:ind w:left="2154"/>
          </w:pPr>
          <w:hyperlink w:history="true" w:anchor="_TOC_250065">
            <w:r>
              <w:rPr>
                <w:w w:val="105"/>
              </w:rPr>
              <w:t>Introduction</w:t>
              <w:tab/>
              <w:t>56</w:t>
            </w:r>
          </w:hyperlink>
        </w:p>
        <w:p>
          <w:pPr>
            <w:pStyle w:val="TOC5"/>
            <w:tabs>
              <w:tab w:pos="10265" w:val="right" w:leader="dot"/>
            </w:tabs>
            <w:ind w:left="2438"/>
          </w:pPr>
          <w:hyperlink w:history="true" w:anchor="_TOC_250064">
            <w:r>
              <w:rPr>
                <w:w w:val="105"/>
              </w:rPr>
              <w:t>Overview of intestacy</w:t>
            </w:r>
            <w:r>
              <w:rPr>
                <w:spacing w:val="13"/>
                <w:w w:val="105"/>
              </w:rPr>
              <w:t> </w:t>
            </w:r>
            <w:r>
              <w:rPr>
                <w:w w:val="105"/>
              </w:rPr>
              <w:t>in</w:t>
            </w:r>
            <w:r>
              <w:rPr>
                <w:spacing w:val="5"/>
                <w:w w:val="105"/>
              </w:rPr>
              <w:t> </w:t>
            </w:r>
            <w:r>
              <w:rPr>
                <w:w w:val="105"/>
              </w:rPr>
              <w:t>Victoria</w:t>
              <w:tab/>
              <w:t>56</w:t>
            </w:r>
          </w:hyperlink>
        </w:p>
        <w:p>
          <w:pPr>
            <w:pStyle w:val="TOC5"/>
            <w:tabs>
              <w:tab w:pos="10262" w:val="right" w:leader="dot"/>
            </w:tabs>
            <w:spacing w:before="88"/>
            <w:ind w:left="2438"/>
          </w:pPr>
          <w:hyperlink w:history="true" w:anchor="_TOC_250063">
            <w:r>
              <w:rPr>
                <w:spacing w:val="-3"/>
                <w:w w:val="105"/>
              </w:rPr>
              <w:t>National Committee for Uniform</w:t>
            </w:r>
            <w:r>
              <w:rPr>
                <w:spacing w:val="31"/>
                <w:w w:val="105"/>
              </w:rPr>
              <w:t> </w:t>
            </w:r>
            <w:r>
              <w:rPr>
                <w:spacing w:val="-3"/>
                <w:w w:val="105"/>
              </w:rPr>
              <w:t>Succession</w:t>
            </w:r>
            <w:r>
              <w:rPr>
                <w:spacing w:val="5"/>
                <w:w w:val="105"/>
              </w:rPr>
              <w:t> </w:t>
            </w:r>
            <w:r>
              <w:rPr>
                <w:w w:val="105"/>
              </w:rPr>
              <w:t>Laws</w:t>
              <w:tab/>
            </w:r>
            <w:r>
              <w:rPr>
                <w:spacing w:val="-6"/>
                <w:w w:val="105"/>
              </w:rPr>
              <w:t>57</w:t>
            </w:r>
          </w:hyperlink>
        </w:p>
        <w:p>
          <w:pPr>
            <w:pStyle w:val="TOC5"/>
            <w:tabs>
              <w:tab w:pos="10262" w:val="right" w:leader="dot"/>
            </w:tabs>
            <w:ind w:left="2438"/>
          </w:pPr>
          <w:hyperlink w:history="true" w:anchor="_TOC_250062">
            <w:r>
              <w:rPr>
                <w:w w:val="105"/>
              </w:rPr>
              <w:t>Areas in which the </w:t>
            </w:r>
            <w:r>
              <w:rPr>
                <w:spacing w:val="-3"/>
                <w:w w:val="105"/>
              </w:rPr>
              <w:t>Commission</w:t>
            </w:r>
            <w:r>
              <w:rPr>
                <w:spacing w:val="24"/>
                <w:w w:val="105"/>
              </w:rPr>
              <w:t> </w:t>
            </w:r>
            <w:r>
              <w:rPr>
                <w:spacing w:val="-3"/>
                <w:w w:val="105"/>
              </w:rPr>
              <w:t>recommends</w:t>
            </w:r>
            <w:r>
              <w:rPr>
                <w:spacing w:val="4"/>
                <w:w w:val="105"/>
              </w:rPr>
              <w:t> </w:t>
            </w:r>
            <w:r>
              <w:rPr>
                <w:spacing w:val="-3"/>
                <w:w w:val="105"/>
              </w:rPr>
              <w:t>reform</w:t>
              <w:tab/>
            </w:r>
            <w:r>
              <w:rPr>
                <w:spacing w:val="-6"/>
                <w:w w:val="105"/>
              </w:rPr>
              <w:t>57</w:t>
            </w:r>
          </w:hyperlink>
        </w:p>
        <w:p>
          <w:pPr>
            <w:pStyle w:val="TOC3"/>
            <w:tabs>
              <w:tab w:pos="10267" w:val="right" w:leader="dot"/>
            </w:tabs>
            <w:ind w:left="2154"/>
          </w:pPr>
          <w:hyperlink w:history="true" w:anchor="_TOC_250061">
            <w:r>
              <w:rPr>
                <w:w w:val="105"/>
              </w:rPr>
              <w:t>Setting a </w:t>
            </w:r>
            <w:r>
              <w:rPr>
                <w:spacing w:val="-3"/>
                <w:w w:val="105"/>
              </w:rPr>
              <w:t>limit </w:t>
            </w:r>
            <w:r>
              <w:rPr>
                <w:w w:val="105"/>
              </w:rPr>
              <w:t>on next</w:t>
            </w:r>
            <w:r>
              <w:rPr>
                <w:spacing w:val="29"/>
                <w:w w:val="105"/>
              </w:rPr>
              <w:t> </w:t>
            </w:r>
            <w:r>
              <w:rPr>
                <w:w w:val="105"/>
              </w:rPr>
              <w:t>of</w:t>
            </w:r>
            <w:r>
              <w:rPr>
                <w:spacing w:val="6"/>
                <w:w w:val="105"/>
              </w:rPr>
              <w:t> </w:t>
            </w:r>
            <w:r>
              <w:rPr>
                <w:spacing w:val="-2"/>
                <w:w w:val="105"/>
              </w:rPr>
              <w:t>kin</w:t>
              <w:tab/>
            </w:r>
            <w:r>
              <w:rPr>
                <w:w w:val="105"/>
              </w:rPr>
              <w:t>58</w:t>
            </w:r>
          </w:hyperlink>
        </w:p>
        <w:p>
          <w:pPr>
            <w:pStyle w:val="TOC5"/>
            <w:tabs>
              <w:tab w:pos="10267" w:val="right" w:leader="dot"/>
            </w:tabs>
            <w:spacing w:before="88"/>
            <w:ind w:left="2438"/>
          </w:pPr>
          <w:hyperlink w:history="true" w:anchor="_TOC_250060">
            <w:r>
              <w:rPr>
                <w:spacing w:val="-4"/>
                <w:w w:val="105"/>
              </w:rPr>
              <w:t>Current</w:t>
            </w:r>
            <w:r>
              <w:rPr>
                <w:spacing w:val="5"/>
                <w:w w:val="105"/>
              </w:rPr>
              <w:t> </w:t>
            </w:r>
            <w:r>
              <w:rPr>
                <w:w w:val="105"/>
              </w:rPr>
              <w:t>law</w:t>
              <w:tab/>
              <w:t>58</w:t>
            </w:r>
          </w:hyperlink>
        </w:p>
        <w:p>
          <w:pPr>
            <w:pStyle w:val="TOC5"/>
            <w:tabs>
              <w:tab w:pos="10267" w:val="right" w:leader="dot"/>
            </w:tabs>
            <w:ind w:left="2438"/>
          </w:pPr>
          <w:hyperlink w:history="true" w:anchor="_TOC_250059">
            <w:r>
              <w:rPr>
                <w:w w:val="105"/>
              </w:rPr>
              <w:t>Proposed</w:t>
            </w:r>
            <w:r>
              <w:rPr>
                <w:spacing w:val="5"/>
                <w:w w:val="105"/>
              </w:rPr>
              <w:t> </w:t>
            </w:r>
            <w:r>
              <w:rPr>
                <w:spacing w:val="-3"/>
                <w:w w:val="105"/>
              </w:rPr>
              <w:t>change</w:t>
              <w:tab/>
            </w:r>
            <w:r>
              <w:rPr>
                <w:spacing w:val="-4"/>
                <w:w w:val="105"/>
              </w:rPr>
              <w:t>59</w:t>
            </w:r>
          </w:hyperlink>
        </w:p>
        <w:p>
          <w:pPr>
            <w:pStyle w:val="TOC5"/>
            <w:tabs>
              <w:tab w:pos="10267" w:val="right" w:leader="dot"/>
            </w:tabs>
            <w:ind w:left="2438"/>
          </w:pPr>
          <w:hyperlink w:history="true" w:anchor="_TOC_250058">
            <w:r>
              <w:rPr>
                <w:w w:val="105"/>
              </w:rPr>
              <w:t>Views</w:t>
            </w:r>
            <w:r>
              <w:rPr>
                <w:spacing w:val="5"/>
                <w:w w:val="105"/>
              </w:rPr>
              <w:t> </w:t>
            </w:r>
            <w:r>
              <w:rPr>
                <w:w w:val="105"/>
              </w:rPr>
              <w:t>and</w:t>
            </w:r>
            <w:r>
              <w:rPr>
                <w:spacing w:val="6"/>
                <w:w w:val="105"/>
              </w:rPr>
              <w:t> </w:t>
            </w:r>
            <w:r>
              <w:rPr>
                <w:spacing w:val="-3"/>
                <w:w w:val="105"/>
              </w:rPr>
              <w:t>conclusions</w:t>
              <w:tab/>
            </w:r>
            <w:r>
              <w:rPr>
                <w:w w:val="105"/>
              </w:rPr>
              <w:t>60</w:t>
            </w:r>
          </w:hyperlink>
        </w:p>
        <w:p>
          <w:pPr>
            <w:pStyle w:val="TOC3"/>
            <w:tabs>
              <w:tab w:pos="10264" w:val="right" w:leader="dot"/>
            </w:tabs>
            <w:ind w:left="2154"/>
          </w:pPr>
          <w:hyperlink w:history="true" w:anchor="_TOC_250057">
            <w:r>
              <w:rPr>
                <w:w w:val="105"/>
              </w:rPr>
              <w:t>Survivorship</w:t>
              <w:tab/>
            </w:r>
            <w:r>
              <w:rPr>
                <w:spacing w:val="-3"/>
                <w:w w:val="105"/>
              </w:rPr>
              <w:t>63</w:t>
            </w:r>
          </w:hyperlink>
        </w:p>
        <w:p>
          <w:pPr>
            <w:pStyle w:val="TOC5"/>
            <w:tabs>
              <w:tab w:pos="10264" w:val="right" w:leader="dot"/>
            </w:tabs>
            <w:spacing w:before="88"/>
            <w:ind w:left="2437"/>
          </w:pPr>
          <w:hyperlink w:history="true" w:anchor="_TOC_250056">
            <w:r>
              <w:rPr>
                <w:spacing w:val="-4"/>
                <w:w w:val="105"/>
              </w:rPr>
              <w:t>Current</w:t>
            </w:r>
            <w:r>
              <w:rPr>
                <w:spacing w:val="5"/>
                <w:w w:val="105"/>
              </w:rPr>
              <w:t> </w:t>
            </w:r>
            <w:r>
              <w:rPr>
                <w:w w:val="105"/>
              </w:rPr>
              <w:t>law</w:t>
              <w:tab/>
            </w:r>
            <w:r>
              <w:rPr>
                <w:spacing w:val="-3"/>
                <w:w w:val="105"/>
              </w:rPr>
              <w:t>63</w:t>
            </w:r>
          </w:hyperlink>
        </w:p>
        <w:p>
          <w:pPr>
            <w:pStyle w:val="TOC5"/>
            <w:tabs>
              <w:tab w:pos="10264" w:val="right" w:leader="dot"/>
            </w:tabs>
            <w:ind w:left="2437"/>
          </w:pPr>
          <w:hyperlink w:history="true" w:anchor="_TOC_250055">
            <w:r>
              <w:rPr>
                <w:w w:val="105"/>
              </w:rPr>
              <w:t>Proposed</w:t>
            </w:r>
            <w:r>
              <w:rPr>
                <w:spacing w:val="5"/>
                <w:w w:val="105"/>
              </w:rPr>
              <w:t> </w:t>
            </w:r>
            <w:r>
              <w:rPr>
                <w:spacing w:val="-3"/>
                <w:w w:val="105"/>
              </w:rPr>
              <w:t>change</w:t>
              <w:tab/>
              <w:t>63</w:t>
            </w:r>
          </w:hyperlink>
        </w:p>
        <w:p>
          <w:pPr>
            <w:pStyle w:val="TOC5"/>
            <w:tabs>
              <w:tab w:pos="10270" w:val="right" w:leader="dot"/>
            </w:tabs>
            <w:ind w:left="2437"/>
          </w:pPr>
          <w:hyperlink w:history="true" w:anchor="_TOC_250054">
            <w:r>
              <w:rPr>
                <w:w w:val="105"/>
              </w:rPr>
              <w:t>Views</w:t>
            </w:r>
            <w:r>
              <w:rPr>
                <w:spacing w:val="5"/>
                <w:w w:val="105"/>
              </w:rPr>
              <w:t> </w:t>
            </w:r>
            <w:r>
              <w:rPr>
                <w:w w:val="105"/>
              </w:rPr>
              <w:t>and</w:t>
            </w:r>
            <w:r>
              <w:rPr>
                <w:spacing w:val="6"/>
                <w:w w:val="105"/>
              </w:rPr>
              <w:t> </w:t>
            </w:r>
            <w:r>
              <w:rPr>
                <w:spacing w:val="-3"/>
                <w:w w:val="105"/>
              </w:rPr>
              <w:t>conclusions</w:t>
              <w:tab/>
            </w:r>
            <w:r>
              <w:rPr>
                <w:spacing w:val="3"/>
                <w:w w:val="105"/>
              </w:rPr>
              <w:t>64</w:t>
            </w:r>
          </w:hyperlink>
        </w:p>
        <w:p>
          <w:pPr>
            <w:pStyle w:val="TOC3"/>
            <w:tabs>
              <w:tab w:pos="10261" w:val="right" w:leader="dot"/>
            </w:tabs>
            <w:spacing w:before="88"/>
          </w:pPr>
          <w:hyperlink w:history="true" w:anchor="_TOC_250053">
            <w:r>
              <w:rPr>
                <w:w w:val="105"/>
              </w:rPr>
              <w:t>The</w:t>
            </w:r>
            <w:r>
              <w:rPr>
                <w:spacing w:val="5"/>
                <w:w w:val="105"/>
              </w:rPr>
              <w:t> </w:t>
            </w:r>
            <w:r>
              <w:rPr>
                <w:w w:val="105"/>
              </w:rPr>
              <w:t>partner’s</w:t>
            </w:r>
            <w:r>
              <w:rPr>
                <w:spacing w:val="5"/>
                <w:w w:val="105"/>
              </w:rPr>
              <w:t> </w:t>
            </w:r>
            <w:r>
              <w:rPr>
                <w:spacing w:val="-3"/>
                <w:w w:val="105"/>
              </w:rPr>
              <w:t>share</w:t>
              <w:tab/>
            </w:r>
            <w:r>
              <w:rPr>
                <w:spacing w:val="-6"/>
                <w:w w:val="105"/>
              </w:rPr>
              <w:t>65</w:t>
            </w:r>
          </w:hyperlink>
        </w:p>
        <w:p>
          <w:pPr>
            <w:pStyle w:val="TOC5"/>
            <w:tabs>
              <w:tab w:pos="10261" w:val="right" w:leader="dot"/>
            </w:tabs>
            <w:ind w:left="2437"/>
          </w:pPr>
          <w:hyperlink w:history="true" w:anchor="_TOC_250052">
            <w:r>
              <w:rPr>
                <w:spacing w:val="-4"/>
                <w:w w:val="105"/>
              </w:rPr>
              <w:t>Current</w:t>
            </w:r>
            <w:r>
              <w:rPr>
                <w:spacing w:val="5"/>
                <w:w w:val="105"/>
              </w:rPr>
              <w:t> </w:t>
            </w:r>
            <w:r>
              <w:rPr>
                <w:w w:val="105"/>
              </w:rPr>
              <w:t>law</w:t>
              <w:tab/>
            </w:r>
            <w:r>
              <w:rPr>
                <w:spacing w:val="-6"/>
                <w:w w:val="105"/>
              </w:rPr>
              <w:t>65</w:t>
            </w:r>
          </w:hyperlink>
        </w:p>
        <w:p>
          <w:pPr>
            <w:pStyle w:val="TOC5"/>
            <w:tabs>
              <w:tab w:pos="10266" w:val="right" w:leader="dot"/>
            </w:tabs>
            <w:ind w:left="2437"/>
          </w:pPr>
          <w:hyperlink w:history="true" w:anchor="_TOC_250051">
            <w:r>
              <w:rPr>
                <w:w w:val="105"/>
              </w:rPr>
              <w:t>Proposed</w:t>
            </w:r>
            <w:r>
              <w:rPr>
                <w:spacing w:val="5"/>
                <w:w w:val="105"/>
              </w:rPr>
              <w:t> </w:t>
            </w:r>
            <w:r>
              <w:rPr>
                <w:spacing w:val="-3"/>
                <w:w w:val="105"/>
              </w:rPr>
              <w:t>change</w:t>
              <w:tab/>
            </w:r>
            <w:r>
              <w:rPr>
                <w:w w:val="105"/>
              </w:rPr>
              <w:t>66</w:t>
            </w:r>
          </w:hyperlink>
        </w:p>
        <w:p>
          <w:pPr>
            <w:pStyle w:val="TOC5"/>
            <w:tabs>
              <w:tab w:pos="10266" w:val="right" w:leader="dot"/>
            </w:tabs>
            <w:spacing w:before="88"/>
            <w:ind w:left="2437"/>
          </w:pPr>
          <w:hyperlink w:history="true" w:anchor="_TOC_250050">
            <w:r>
              <w:rPr>
                <w:w w:val="105"/>
              </w:rPr>
              <w:t>Views</w:t>
            </w:r>
            <w:r>
              <w:rPr>
                <w:spacing w:val="5"/>
                <w:w w:val="105"/>
              </w:rPr>
              <w:t> </w:t>
            </w:r>
            <w:r>
              <w:rPr>
                <w:w w:val="105"/>
              </w:rPr>
              <w:t>and</w:t>
            </w:r>
            <w:r>
              <w:rPr>
                <w:spacing w:val="5"/>
                <w:w w:val="105"/>
              </w:rPr>
              <w:t> </w:t>
            </w:r>
            <w:r>
              <w:rPr>
                <w:spacing w:val="-3"/>
                <w:w w:val="105"/>
              </w:rPr>
              <w:t>conclusions</w:t>
              <w:tab/>
            </w:r>
            <w:r>
              <w:rPr>
                <w:w w:val="105"/>
              </w:rPr>
              <w:t>67</w:t>
            </w:r>
          </w:hyperlink>
        </w:p>
        <w:p>
          <w:pPr>
            <w:pStyle w:val="TOC3"/>
            <w:tabs>
              <w:tab w:pos="10262" w:val="right" w:leader="dot"/>
            </w:tabs>
          </w:pPr>
          <w:hyperlink w:history="true" w:anchor="_TOC_250049">
            <w:r>
              <w:rPr/>
              <w:t>The</w:t>
            </w:r>
            <w:r>
              <w:rPr>
                <w:spacing w:val="10"/>
              </w:rPr>
              <w:t> </w:t>
            </w:r>
            <w:r>
              <w:rPr/>
              <w:t>partner’s</w:t>
            </w:r>
            <w:r>
              <w:rPr>
                <w:spacing w:val="10"/>
              </w:rPr>
              <w:t> </w:t>
            </w:r>
            <w:r>
              <w:rPr>
                <w:spacing w:val="-3"/>
              </w:rPr>
              <w:t>right</w:t>
            </w:r>
            <w:r>
              <w:rPr>
                <w:spacing w:val="11"/>
              </w:rPr>
              <w:t> </w:t>
            </w:r>
            <w:r>
              <w:rPr>
                <w:spacing w:val="-3"/>
              </w:rPr>
              <w:t>to</w:t>
            </w:r>
            <w:r>
              <w:rPr>
                <w:spacing w:val="10"/>
              </w:rPr>
              <w:t> </w:t>
            </w:r>
            <w:r>
              <w:rPr/>
              <w:t>elect</w:t>
            </w:r>
            <w:r>
              <w:rPr>
                <w:spacing w:val="10"/>
              </w:rPr>
              <w:t> </w:t>
            </w:r>
            <w:r>
              <w:rPr>
                <w:spacing w:val="-3"/>
              </w:rPr>
              <w:t>to</w:t>
            </w:r>
            <w:r>
              <w:rPr>
                <w:spacing w:val="11"/>
              </w:rPr>
              <w:t> </w:t>
            </w:r>
            <w:r>
              <w:rPr>
                <w:spacing w:val="-3"/>
              </w:rPr>
              <w:t>acquire</w:t>
            </w:r>
            <w:r>
              <w:rPr>
                <w:spacing w:val="10"/>
              </w:rPr>
              <w:t> </w:t>
            </w:r>
            <w:r>
              <w:rPr/>
              <w:t>an</w:t>
            </w:r>
            <w:r>
              <w:rPr>
                <w:spacing w:val="10"/>
              </w:rPr>
              <w:t> </w:t>
            </w:r>
            <w:r>
              <w:rPr>
                <w:spacing w:val="-3"/>
              </w:rPr>
              <w:t>interest</w:t>
            </w:r>
            <w:r>
              <w:rPr>
                <w:spacing w:val="11"/>
              </w:rPr>
              <w:t> </w:t>
            </w:r>
            <w:r>
              <w:rPr/>
              <w:t>in</w:t>
            </w:r>
            <w:r>
              <w:rPr>
                <w:spacing w:val="10"/>
              </w:rPr>
              <w:t> </w:t>
            </w:r>
            <w:r>
              <w:rPr/>
              <w:t>certain</w:t>
            </w:r>
            <w:r>
              <w:rPr>
                <w:spacing w:val="10"/>
              </w:rPr>
              <w:t> </w:t>
            </w:r>
            <w:r>
              <w:rPr/>
              <w:t>property</w:t>
              <w:tab/>
            </w:r>
            <w:r>
              <w:rPr>
                <w:spacing w:val="-5"/>
              </w:rPr>
              <w:t>72</w:t>
            </w:r>
          </w:hyperlink>
        </w:p>
        <w:p>
          <w:pPr>
            <w:pStyle w:val="TOC5"/>
            <w:tabs>
              <w:tab w:pos="10262" w:val="right" w:leader="dot"/>
            </w:tabs>
            <w:ind w:left="2437"/>
          </w:pPr>
          <w:hyperlink w:history="true" w:anchor="_TOC_250048">
            <w:r>
              <w:rPr>
                <w:spacing w:val="-4"/>
                <w:w w:val="105"/>
              </w:rPr>
              <w:t>Current</w:t>
            </w:r>
            <w:r>
              <w:rPr>
                <w:spacing w:val="5"/>
                <w:w w:val="105"/>
              </w:rPr>
              <w:t> </w:t>
            </w:r>
            <w:r>
              <w:rPr>
                <w:w w:val="105"/>
              </w:rPr>
              <w:t>law</w:t>
              <w:tab/>
            </w:r>
            <w:r>
              <w:rPr>
                <w:spacing w:val="-5"/>
                <w:w w:val="105"/>
              </w:rPr>
              <w:t>72</w:t>
            </w:r>
          </w:hyperlink>
        </w:p>
        <w:p>
          <w:pPr>
            <w:pStyle w:val="TOC5"/>
            <w:tabs>
              <w:tab w:pos="10261" w:val="right" w:leader="dot"/>
            </w:tabs>
            <w:spacing w:before="88"/>
            <w:ind w:left="2437"/>
          </w:pPr>
          <w:hyperlink w:history="true" w:anchor="_TOC_250047">
            <w:r>
              <w:rPr>
                <w:w w:val="105"/>
              </w:rPr>
              <w:t>Proposed</w:t>
            </w:r>
            <w:r>
              <w:rPr>
                <w:spacing w:val="5"/>
                <w:w w:val="105"/>
              </w:rPr>
              <w:t> </w:t>
            </w:r>
            <w:r>
              <w:rPr>
                <w:spacing w:val="-3"/>
                <w:w w:val="105"/>
              </w:rPr>
              <w:t>change</w:t>
              <w:tab/>
            </w:r>
            <w:r>
              <w:rPr>
                <w:spacing w:val="-6"/>
                <w:w w:val="105"/>
              </w:rPr>
              <w:t>73</w:t>
            </w:r>
          </w:hyperlink>
        </w:p>
        <w:p>
          <w:pPr>
            <w:pStyle w:val="TOC5"/>
            <w:tabs>
              <w:tab w:pos="10259" w:val="right" w:leader="dot"/>
            </w:tabs>
          </w:pPr>
          <w:hyperlink w:history="true" w:anchor="_TOC_250046">
            <w:r>
              <w:rPr>
                <w:w w:val="105"/>
              </w:rPr>
              <w:t>Views</w:t>
            </w:r>
            <w:r>
              <w:rPr>
                <w:spacing w:val="5"/>
                <w:w w:val="105"/>
              </w:rPr>
              <w:t> </w:t>
            </w:r>
            <w:r>
              <w:rPr>
                <w:w w:val="105"/>
              </w:rPr>
              <w:t>and</w:t>
            </w:r>
            <w:r>
              <w:rPr>
                <w:spacing w:val="6"/>
                <w:w w:val="105"/>
              </w:rPr>
              <w:t> </w:t>
            </w:r>
            <w:r>
              <w:rPr>
                <w:spacing w:val="-3"/>
                <w:w w:val="105"/>
              </w:rPr>
              <w:t>conclusions</w:t>
              <w:tab/>
            </w:r>
            <w:r>
              <w:rPr>
                <w:spacing w:val="-7"/>
                <w:w w:val="105"/>
              </w:rPr>
              <w:t>75</w:t>
            </w:r>
          </w:hyperlink>
        </w:p>
        <w:p>
          <w:pPr>
            <w:pStyle w:val="TOC3"/>
            <w:tabs>
              <w:tab w:pos="10266" w:val="right" w:leader="dot"/>
            </w:tabs>
          </w:pPr>
          <w:hyperlink w:history="true" w:anchor="_TOC_250045">
            <w:r>
              <w:rPr>
                <w:w w:val="105"/>
              </w:rPr>
              <w:t>Multiple</w:t>
            </w:r>
            <w:r>
              <w:rPr>
                <w:spacing w:val="5"/>
                <w:w w:val="105"/>
              </w:rPr>
              <w:t> </w:t>
            </w:r>
            <w:r>
              <w:rPr>
                <w:w w:val="105"/>
              </w:rPr>
              <w:t>partners</w:t>
              <w:tab/>
              <w:t>77</w:t>
            </w:r>
          </w:hyperlink>
        </w:p>
        <w:p>
          <w:pPr>
            <w:pStyle w:val="TOC5"/>
            <w:tabs>
              <w:tab w:pos="10266" w:val="right" w:leader="dot"/>
            </w:tabs>
            <w:spacing w:before="88"/>
          </w:pPr>
          <w:hyperlink w:history="true" w:anchor="_TOC_250044">
            <w:r>
              <w:rPr>
                <w:spacing w:val="-4"/>
                <w:w w:val="105"/>
              </w:rPr>
              <w:t>Current</w:t>
            </w:r>
            <w:r>
              <w:rPr>
                <w:spacing w:val="5"/>
                <w:w w:val="105"/>
              </w:rPr>
              <w:t> </w:t>
            </w:r>
            <w:r>
              <w:rPr>
                <w:w w:val="105"/>
              </w:rPr>
              <w:t>law</w:t>
              <w:tab/>
              <w:t>77</w:t>
            </w:r>
          </w:hyperlink>
        </w:p>
        <w:p>
          <w:pPr>
            <w:pStyle w:val="TOC5"/>
            <w:tabs>
              <w:tab w:pos="10266" w:val="right" w:leader="dot"/>
            </w:tabs>
          </w:pPr>
          <w:hyperlink w:history="true" w:anchor="_TOC_250043">
            <w:r>
              <w:rPr>
                <w:w w:val="105"/>
              </w:rPr>
              <w:t>Proposed</w:t>
            </w:r>
            <w:r>
              <w:rPr>
                <w:spacing w:val="5"/>
                <w:w w:val="105"/>
              </w:rPr>
              <w:t> </w:t>
            </w:r>
            <w:r>
              <w:rPr>
                <w:spacing w:val="-3"/>
                <w:w w:val="105"/>
              </w:rPr>
              <w:t>change</w:t>
              <w:tab/>
            </w:r>
            <w:r>
              <w:rPr>
                <w:w w:val="105"/>
              </w:rPr>
              <w:t>77</w:t>
            </w:r>
          </w:hyperlink>
        </w:p>
        <w:p>
          <w:pPr>
            <w:pStyle w:val="TOC5"/>
            <w:tabs>
              <w:tab w:pos="10260" w:val="right" w:leader="dot"/>
            </w:tabs>
          </w:pPr>
          <w:hyperlink w:history="true" w:anchor="_TOC_250042">
            <w:r>
              <w:rPr>
                <w:w w:val="105"/>
              </w:rPr>
              <w:t>Views</w:t>
            </w:r>
            <w:r>
              <w:rPr>
                <w:spacing w:val="5"/>
                <w:w w:val="105"/>
              </w:rPr>
              <w:t> </w:t>
            </w:r>
            <w:r>
              <w:rPr>
                <w:w w:val="105"/>
              </w:rPr>
              <w:t>and</w:t>
            </w:r>
            <w:r>
              <w:rPr>
                <w:spacing w:val="6"/>
                <w:w w:val="105"/>
              </w:rPr>
              <w:t> </w:t>
            </w:r>
            <w:r>
              <w:rPr>
                <w:spacing w:val="-3"/>
                <w:w w:val="105"/>
              </w:rPr>
              <w:t>conclusions</w:t>
              <w:tab/>
            </w:r>
            <w:r>
              <w:rPr>
                <w:spacing w:val="-6"/>
                <w:w w:val="105"/>
              </w:rPr>
              <w:t>79</w:t>
            </w:r>
          </w:hyperlink>
        </w:p>
        <w:p>
          <w:pPr>
            <w:pStyle w:val="TOC3"/>
            <w:tabs>
              <w:tab w:pos="10264" w:val="right" w:leader="dot"/>
            </w:tabs>
            <w:spacing w:before="88"/>
          </w:pPr>
          <w:hyperlink w:history="true" w:anchor="_TOC_250041">
            <w:r>
              <w:rPr>
                <w:spacing w:val="-3"/>
              </w:rPr>
              <w:t>Entitlements </w:t>
            </w:r>
            <w:r>
              <w:rPr/>
              <w:t>of the deceased </w:t>
            </w:r>
            <w:r>
              <w:rPr>
                <w:spacing w:val="-3"/>
              </w:rPr>
              <w:t>person’s children </w:t>
            </w:r>
            <w:r>
              <w:rPr>
                <w:spacing w:val="20"/>
              </w:rPr>
              <w:t> </w:t>
            </w:r>
            <w:r>
              <w:rPr/>
              <w:t>or</w:t>
            </w:r>
            <w:r>
              <w:rPr>
                <w:spacing w:val="9"/>
              </w:rPr>
              <w:t> </w:t>
            </w:r>
            <w:r>
              <w:rPr/>
              <w:t>issue</w:t>
              <w:tab/>
              <w:t>82</w:t>
            </w:r>
          </w:hyperlink>
        </w:p>
        <w:p>
          <w:pPr>
            <w:pStyle w:val="TOC5"/>
            <w:tabs>
              <w:tab w:pos="10264" w:val="right" w:leader="dot"/>
            </w:tabs>
          </w:pPr>
          <w:hyperlink w:history="true" w:anchor="_TOC_250040">
            <w:r>
              <w:rPr>
                <w:spacing w:val="-4"/>
                <w:w w:val="105"/>
              </w:rPr>
              <w:t>Current</w:t>
            </w:r>
            <w:r>
              <w:rPr>
                <w:spacing w:val="5"/>
                <w:w w:val="105"/>
              </w:rPr>
              <w:t> </w:t>
            </w:r>
            <w:r>
              <w:rPr>
                <w:w w:val="105"/>
              </w:rPr>
              <w:t>law</w:t>
              <w:tab/>
              <w:t>82</w:t>
            </w:r>
          </w:hyperlink>
        </w:p>
        <w:p>
          <w:pPr>
            <w:pStyle w:val="TOC5"/>
            <w:tabs>
              <w:tab w:pos="10264" w:val="right" w:leader="dot"/>
            </w:tabs>
          </w:pPr>
          <w:hyperlink w:history="true" w:anchor="_TOC_250039">
            <w:r>
              <w:rPr>
                <w:w w:val="105"/>
              </w:rPr>
              <w:t>Proposed</w:t>
            </w:r>
            <w:r>
              <w:rPr>
                <w:spacing w:val="5"/>
                <w:w w:val="105"/>
              </w:rPr>
              <w:t> </w:t>
            </w:r>
            <w:r>
              <w:rPr>
                <w:spacing w:val="-3"/>
                <w:w w:val="105"/>
              </w:rPr>
              <w:t>change</w:t>
              <w:tab/>
            </w:r>
            <w:r>
              <w:rPr>
                <w:w w:val="105"/>
              </w:rPr>
              <w:t>82</w:t>
            </w:r>
          </w:hyperlink>
        </w:p>
        <w:p>
          <w:pPr>
            <w:pStyle w:val="TOC5"/>
            <w:tabs>
              <w:tab w:pos="10264" w:val="right" w:leader="dot"/>
            </w:tabs>
            <w:spacing w:before="88"/>
          </w:pPr>
          <w:hyperlink w:history="true" w:anchor="_TOC_250038">
            <w:r>
              <w:rPr>
                <w:w w:val="105"/>
              </w:rPr>
              <w:t>Views</w:t>
            </w:r>
            <w:r>
              <w:rPr>
                <w:spacing w:val="5"/>
                <w:w w:val="105"/>
              </w:rPr>
              <w:t> </w:t>
            </w:r>
            <w:r>
              <w:rPr>
                <w:w w:val="105"/>
              </w:rPr>
              <w:t>and</w:t>
            </w:r>
            <w:r>
              <w:rPr>
                <w:spacing w:val="5"/>
                <w:w w:val="105"/>
              </w:rPr>
              <w:t> </w:t>
            </w:r>
            <w:r>
              <w:rPr>
                <w:spacing w:val="-3"/>
                <w:w w:val="105"/>
              </w:rPr>
              <w:t>conclusions</w:t>
              <w:tab/>
            </w:r>
            <w:r>
              <w:rPr>
                <w:w w:val="105"/>
              </w:rPr>
              <w:t>83</w:t>
            </w:r>
          </w:hyperlink>
        </w:p>
        <w:p>
          <w:pPr>
            <w:pStyle w:val="TOC4"/>
            <w:tabs>
              <w:tab w:pos="10267" w:val="right" w:leader="dot"/>
            </w:tabs>
            <w:rPr>
              <w:b w:val="0"/>
              <w:i w:val="0"/>
              <w:sz w:val="21"/>
            </w:rPr>
          </w:pPr>
          <w:r>
            <w:rPr>
              <w:b w:val="0"/>
              <w:i/>
              <w:sz w:val="21"/>
            </w:rPr>
            <w:t>Per stirpes </w:t>
          </w:r>
          <w:r>
            <w:rPr>
              <w:b w:val="0"/>
              <w:i w:val="0"/>
              <w:sz w:val="21"/>
            </w:rPr>
            <w:t>or </w:t>
          </w:r>
          <w:r>
            <w:rPr>
              <w:b w:val="0"/>
              <w:i/>
              <w:sz w:val="21"/>
            </w:rPr>
            <w:t>per</w:t>
          </w:r>
          <w:r>
            <w:rPr>
              <w:b w:val="0"/>
              <w:i/>
              <w:spacing w:val="34"/>
              <w:sz w:val="21"/>
            </w:rPr>
            <w:t> </w:t>
          </w:r>
          <w:r>
            <w:rPr>
              <w:b w:val="0"/>
              <w:i/>
              <w:sz w:val="21"/>
            </w:rPr>
            <w:t>capita</w:t>
          </w:r>
          <w:r>
            <w:rPr>
              <w:b w:val="0"/>
              <w:i/>
              <w:spacing w:val="8"/>
              <w:sz w:val="21"/>
            </w:rPr>
            <w:t> </w:t>
          </w:r>
          <w:r>
            <w:rPr>
              <w:b w:val="0"/>
              <w:i w:val="0"/>
              <w:spacing w:val="-2"/>
              <w:sz w:val="21"/>
            </w:rPr>
            <w:t>distribution</w:t>
            <w:tab/>
          </w:r>
          <w:r>
            <w:rPr>
              <w:b w:val="0"/>
              <w:i w:val="0"/>
              <w:sz w:val="21"/>
            </w:rPr>
            <w:t>86</w:t>
          </w:r>
        </w:p>
        <w:p>
          <w:pPr>
            <w:pStyle w:val="TOC5"/>
            <w:tabs>
              <w:tab w:pos="10267" w:val="right" w:leader="dot"/>
            </w:tabs>
          </w:pPr>
          <w:hyperlink w:history="true" w:anchor="_TOC_250037">
            <w:r>
              <w:rPr>
                <w:spacing w:val="-4"/>
                <w:w w:val="105"/>
              </w:rPr>
              <w:t>Current</w:t>
            </w:r>
            <w:r>
              <w:rPr>
                <w:spacing w:val="5"/>
                <w:w w:val="105"/>
              </w:rPr>
              <w:t> </w:t>
            </w:r>
            <w:r>
              <w:rPr>
                <w:w w:val="105"/>
              </w:rPr>
              <w:t>law</w:t>
              <w:tab/>
              <w:t>86</w:t>
            </w:r>
          </w:hyperlink>
        </w:p>
        <w:p>
          <w:pPr>
            <w:pStyle w:val="TOC5"/>
            <w:tabs>
              <w:tab w:pos="10266" w:val="right" w:leader="dot"/>
            </w:tabs>
          </w:pPr>
          <w:hyperlink w:history="true" w:anchor="_TOC_250036">
            <w:r>
              <w:rPr>
                <w:w w:val="105"/>
              </w:rPr>
              <w:t>Proposed</w:t>
            </w:r>
            <w:r>
              <w:rPr>
                <w:spacing w:val="5"/>
                <w:w w:val="105"/>
              </w:rPr>
              <w:t> </w:t>
            </w:r>
            <w:r>
              <w:rPr>
                <w:spacing w:val="-3"/>
                <w:w w:val="105"/>
              </w:rPr>
              <w:t>change</w:t>
              <w:tab/>
            </w:r>
            <w:r>
              <w:rPr>
                <w:w w:val="105"/>
              </w:rPr>
              <w:t>86</w:t>
            </w:r>
          </w:hyperlink>
        </w:p>
        <w:p>
          <w:pPr>
            <w:pStyle w:val="TOC5"/>
            <w:tabs>
              <w:tab w:pos="10261" w:val="right" w:leader="dot"/>
            </w:tabs>
            <w:spacing w:before="88"/>
          </w:pPr>
          <w:hyperlink w:history="true" w:anchor="_TOC_250035">
            <w:r>
              <w:rPr>
                <w:w w:val="105"/>
              </w:rPr>
              <w:t>Views</w:t>
            </w:r>
            <w:r>
              <w:rPr>
                <w:spacing w:val="5"/>
                <w:w w:val="105"/>
              </w:rPr>
              <w:t> </w:t>
            </w:r>
            <w:r>
              <w:rPr>
                <w:w w:val="105"/>
              </w:rPr>
              <w:t>and</w:t>
            </w:r>
            <w:r>
              <w:rPr>
                <w:spacing w:val="6"/>
                <w:w w:val="105"/>
              </w:rPr>
              <w:t> </w:t>
            </w:r>
            <w:r>
              <w:rPr>
                <w:spacing w:val="-3"/>
                <w:w w:val="105"/>
              </w:rPr>
              <w:t>conclusions</w:t>
              <w:tab/>
            </w:r>
            <w:r>
              <w:rPr>
                <w:spacing w:val="-5"/>
                <w:w w:val="105"/>
              </w:rPr>
              <w:t>87</w:t>
            </w:r>
          </w:hyperlink>
        </w:p>
        <w:p>
          <w:pPr>
            <w:pStyle w:val="TOC3"/>
            <w:tabs>
              <w:tab w:pos="10256" w:val="right" w:leader="dot"/>
            </w:tabs>
            <w:ind w:left="2152"/>
          </w:pPr>
          <w:hyperlink w:history="true" w:anchor="_TOC_250034">
            <w:r>
              <w:rPr>
                <w:spacing w:val="-5"/>
                <w:w w:val="105"/>
              </w:rPr>
              <w:t>Taking </w:t>
            </w:r>
            <w:r>
              <w:rPr>
                <w:w w:val="105"/>
              </w:rPr>
              <w:t>benefits</w:t>
            </w:r>
            <w:r>
              <w:rPr>
                <w:spacing w:val="16"/>
                <w:w w:val="105"/>
              </w:rPr>
              <w:t> </w:t>
            </w:r>
            <w:r>
              <w:rPr>
                <w:spacing w:val="-3"/>
                <w:w w:val="105"/>
              </w:rPr>
              <w:t>into</w:t>
            </w:r>
            <w:r>
              <w:rPr>
                <w:spacing w:val="5"/>
                <w:w w:val="105"/>
              </w:rPr>
              <w:t> </w:t>
            </w:r>
            <w:r>
              <w:rPr>
                <w:spacing w:val="-4"/>
                <w:w w:val="105"/>
              </w:rPr>
              <w:t>account</w:t>
              <w:tab/>
            </w:r>
            <w:r>
              <w:rPr>
                <w:spacing w:val="-10"/>
                <w:w w:val="105"/>
              </w:rPr>
              <w:t>91</w:t>
            </w:r>
          </w:hyperlink>
        </w:p>
        <w:p>
          <w:pPr>
            <w:pStyle w:val="TOC5"/>
            <w:tabs>
              <w:tab w:pos="10255" w:val="right" w:leader="dot"/>
            </w:tabs>
          </w:pPr>
          <w:hyperlink w:history="true" w:anchor="_TOC_250033">
            <w:r>
              <w:rPr>
                <w:spacing w:val="-4"/>
                <w:w w:val="105"/>
              </w:rPr>
              <w:t>Current</w:t>
            </w:r>
            <w:r>
              <w:rPr>
                <w:spacing w:val="5"/>
                <w:w w:val="105"/>
              </w:rPr>
              <w:t> </w:t>
            </w:r>
            <w:r>
              <w:rPr>
                <w:w w:val="105"/>
              </w:rPr>
              <w:t>law</w:t>
              <w:tab/>
            </w:r>
            <w:r>
              <w:rPr>
                <w:spacing w:val="-10"/>
                <w:w w:val="105"/>
              </w:rPr>
              <w:t>91</w:t>
            </w:r>
          </w:hyperlink>
        </w:p>
        <w:p>
          <w:pPr>
            <w:pStyle w:val="TOC5"/>
            <w:tabs>
              <w:tab w:pos="10255" w:val="right" w:leader="dot"/>
            </w:tabs>
            <w:spacing w:before="88"/>
            <w:ind w:left="2435"/>
          </w:pPr>
          <w:hyperlink w:history="true" w:anchor="_TOC_250032">
            <w:r>
              <w:rPr>
                <w:w w:val="105"/>
              </w:rPr>
              <w:t>Proposed</w:t>
            </w:r>
            <w:r>
              <w:rPr>
                <w:spacing w:val="5"/>
                <w:w w:val="105"/>
              </w:rPr>
              <w:t> </w:t>
            </w:r>
            <w:r>
              <w:rPr>
                <w:spacing w:val="-3"/>
                <w:w w:val="105"/>
              </w:rPr>
              <w:t>change</w:t>
              <w:tab/>
            </w:r>
            <w:r>
              <w:rPr>
                <w:spacing w:val="-10"/>
                <w:w w:val="105"/>
              </w:rPr>
              <w:t>91</w:t>
            </w:r>
          </w:hyperlink>
        </w:p>
        <w:p>
          <w:pPr>
            <w:pStyle w:val="TOC5"/>
            <w:tabs>
              <w:tab w:pos="10265" w:val="right" w:leader="dot"/>
            </w:tabs>
            <w:ind w:left="2435"/>
          </w:pPr>
          <w:hyperlink w:history="true" w:anchor="_TOC_250031">
            <w:r>
              <w:rPr>
                <w:w w:val="105"/>
              </w:rPr>
              <w:t>Views</w:t>
            </w:r>
            <w:r>
              <w:rPr>
                <w:spacing w:val="5"/>
                <w:w w:val="105"/>
              </w:rPr>
              <w:t> </w:t>
            </w:r>
            <w:r>
              <w:rPr>
                <w:w w:val="105"/>
              </w:rPr>
              <w:t>and</w:t>
            </w:r>
            <w:r>
              <w:rPr>
                <w:spacing w:val="6"/>
                <w:w w:val="105"/>
              </w:rPr>
              <w:t> </w:t>
            </w:r>
            <w:r>
              <w:rPr>
                <w:spacing w:val="-3"/>
                <w:w w:val="105"/>
              </w:rPr>
              <w:t>conclusions</w:t>
              <w:tab/>
            </w:r>
            <w:r>
              <w:rPr>
                <w:spacing w:val="-4"/>
                <w:w w:val="105"/>
              </w:rPr>
              <w:t>92</w:t>
            </w:r>
          </w:hyperlink>
        </w:p>
        <w:p>
          <w:pPr>
            <w:pStyle w:val="TOC3"/>
            <w:tabs>
              <w:tab w:pos="10257" w:val="right" w:leader="dot"/>
            </w:tabs>
            <w:ind w:left="2152"/>
          </w:pPr>
          <w:hyperlink w:history="true" w:anchor="_TOC_250030">
            <w:r>
              <w:rPr>
                <w:w w:val="105"/>
              </w:rPr>
              <w:t>Intestate estates of</w:t>
            </w:r>
            <w:r>
              <w:rPr>
                <w:spacing w:val="12"/>
                <w:w w:val="105"/>
              </w:rPr>
              <w:t> </w:t>
            </w:r>
            <w:r>
              <w:rPr>
                <w:w w:val="105"/>
              </w:rPr>
              <w:t>Indigenous</w:t>
            </w:r>
            <w:r>
              <w:rPr>
                <w:spacing w:val="4"/>
                <w:w w:val="105"/>
              </w:rPr>
              <w:t> </w:t>
            </w:r>
            <w:r>
              <w:rPr>
                <w:w w:val="105"/>
              </w:rPr>
              <w:t>people</w:t>
              <w:tab/>
            </w:r>
            <w:r>
              <w:rPr>
                <w:spacing w:val="-8"/>
                <w:w w:val="105"/>
              </w:rPr>
              <w:t>93</w:t>
            </w:r>
          </w:hyperlink>
        </w:p>
        <w:p>
          <w:pPr>
            <w:pStyle w:val="TOC5"/>
            <w:tabs>
              <w:tab w:pos="10257" w:val="right" w:leader="dot"/>
            </w:tabs>
            <w:spacing w:before="88"/>
            <w:ind w:left="2435"/>
          </w:pPr>
          <w:hyperlink w:history="true" w:anchor="_TOC_250029">
            <w:r>
              <w:rPr>
                <w:w w:val="105"/>
              </w:rPr>
              <w:t>The</w:t>
            </w:r>
            <w:r>
              <w:rPr>
                <w:spacing w:val="5"/>
                <w:w w:val="105"/>
              </w:rPr>
              <w:t> </w:t>
            </w:r>
            <w:r>
              <w:rPr>
                <w:spacing w:val="-3"/>
                <w:w w:val="105"/>
              </w:rPr>
              <w:t>problem</w:t>
              <w:tab/>
            </w:r>
            <w:r>
              <w:rPr>
                <w:spacing w:val="-8"/>
                <w:w w:val="105"/>
              </w:rPr>
              <w:t>93</w:t>
            </w:r>
          </w:hyperlink>
        </w:p>
        <w:p>
          <w:pPr>
            <w:pStyle w:val="TOC5"/>
            <w:tabs>
              <w:tab w:pos="10257" w:val="right" w:leader="dot"/>
            </w:tabs>
            <w:ind w:left="2435"/>
          </w:pPr>
          <w:hyperlink w:history="true" w:anchor="_TOC_250028">
            <w:r>
              <w:rPr>
                <w:w w:val="105"/>
              </w:rPr>
              <w:t>The </w:t>
            </w:r>
            <w:r>
              <w:rPr>
                <w:spacing w:val="-3"/>
                <w:w w:val="105"/>
              </w:rPr>
              <w:t>National </w:t>
            </w:r>
            <w:r>
              <w:rPr>
                <w:spacing w:val="-4"/>
                <w:w w:val="105"/>
              </w:rPr>
              <w:t>Committee’s</w:t>
            </w:r>
            <w:r>
              <w:rPr>
                <w:spacing w:val="19"/>
                <w:w w:val="105"/>
              </w:rPr>
              <w:t> </w:t>
            </w:r>
            <w:r>
              <w:rPr>
                <w:w w:val="105"/>
              </w:rPr>
              <w:t>proposed</w:t>
            </w:r>
            <w:r>
              <w:rPr>
                <w:spacing w:val="5"/>
                <w:w w:val="105"/>
              </w:rPr>
              <w:t> </w:t>
            </w:r>
            <w:r>
              <w:rPr>
                <w:spacing w:val="-3"/>
                <w:w w:val="105"/>
              </w:rPr>
              <w:t>change</w:t>
              <w:tab/>
            </w:r>
            <w:r>
              <w:rPr>
                <w:spacing w:val="-8"/>
                <w:w w:val="105"/>
              </w:rPr>
              <w:t>93</w:t>
            </w:r>
          </w:hyperlink>
        </w:p>
        <w:p>
          <w:pPr>
            <w:pStyle w:val="TOC5"/>
            <w:tabs>
              <w:tab w:pos="10265" w:val="right" w:leader="dot"/>
            </w:tabs>
            <w:ind w:left="2435"/>
          </w:pPr>
          <w:hyperlink w:history="true" w:anchor="_TOC_250027">
            <w:r>
              <w:rPr>
                <w:w w:val="105"/>
              </w:rPr>
              <w:t>Views</w:t>
            </w:r>
            <w:r>
              <w:rPr>
                <w:spacing w:val="5"/>
                <w:w w:val="105"/>
              </w:rPr>
              <w:t> </w:t>
            </w:r>
            <w:r>
              <w:rPr>
                <w:w w:val="105"/>
              </w:rPr>
              <w:t>and</w:t>
            </w:r>
            <w:r>
              <w:rPr>
                <w:spacing w:val="6"/>
                <w:w w:val="105"/>
              </w:rPr>
              <w:t> </w:t>
            </w:r>
            <w:r>
              <w:rPr>
                <w:spacing w:val="-3"/>
                <w:w w:val="105"/>
              </w:rPr>
              <w:t>conclusions</w:t>
              <w:tab/>
            </w:r>
            <w:r>
              <w:rPr>
                <w:w w:val="105"/>
              </w:rPr>
              <w:t>94</w:t>
            </w:r>
          </w:hyperlink>
        </w:p>
        <w:p>
          <w:pPr>
            <w:pStyle w:val="TOC1"/>
          </w:pPr>
          <w:r>
            <w:rPr>
              <w:color w:val="EC5A4F"/>
              <w:w w:val="117"/>
            </w:rPr>
            <w:t>v</w:t>
          </w:r>
        </w:p>
        <w:p>
          <w:pPr>
            <w:pStyle w:val="TOC2"/>
            <w:numPr>
              <w:ilvl w:val="1"/>
              <w:numId w:val="1"/>
            </w:numPr>
            <w:tabs>
              <w:tab w:pos="1821" w:val="left" w:leader="none"/>
              <w:tab w:pos="10268" w:val="right" w:leader="dot"/>
            </w:tabs>
            <w:spacing w:line="240" w:lineRule="auto" w:before="365" w:after="0"/>
            <w:ind w:left="1820" w:right="0" w:hanging="233"/>
            <w:jc w:val="left"/>
            <w:rPr>
              <w:rFonts w:ascii="Calibri"/>
            </w:rPr>
          </w:pPr>
          <w:hyperlink w:history="true" w:anchor="_TOC_250026">
            <w:r>
              <w:rPr>
                <w:b/>
                <w:color w:val="EC5A4F"/>
              </w:rPr>
              <w:t>Family</w:t>
            </w:r>
            <w:r>
              <w:rPr>
                <w:b/>
                <w:color w:val="EC5A4F"/>
                <w:spacing w:val="-13"/>
              </w:rPr>
              <w:t> </w:t>
            </w:r>
            <w:r>
              <w:rPr>
                <w:b/>
                <w:color w:val="EC5A4F"/>
              </w:rPr>
              <w:t>provision</w:t>
              <w:tab/>
            </w:r>
            <w:r>
              <w:rPr>
                <w:rFonts w:ascii="Calibri"/>
              </w:rPr>
              <w:t>98</w:t>
            </w:r>
          </w:hyperlink>
        </w:p>
        <w:p>
          <w:pPr>
            <w:pStyle w:val="TOC3"/>
            <w:tabs>
              <w:tab w:pos="10268" w:val="right" w:leader="dot"/>
            </w:tabs>
            <w:ind w:left="2154"/>
          </w:pPr>
          <w:hyperlink w:history="true" w:anchor="_TOC_250025">
            <w:r>
              <w:rPr>
                <w:w w:val="105"/>
              </w:rPr>
              <w:t>Introduction</w:t>
              <w:tab/>
              <w:t>98</w:t>
            </w:r>
          </w:hyperlink>
        </w:p>
        <w:p>
          <w:pPr>
            <w:pStyle w:val="TOC5"/>
            <w:tabs>
              <w:tab w:pos="10268" w:val="right" w:leader="dot"/>
            </w:tabs>
            <w:spacing w:before="88"/>
            <w:ind w:left="2437"/>
          </w:pPr>
          <w:hyperlink w:history="true" w:anchor="_TOC_250024">
            <w:r>
              <w:rPr>
                <w:spacing w:val="-4"/>
                <w:w w:val="105"/>
              </w:rPr>
              <w:t>Current </w:t>
            </w:r>
            <w:r>
              <w:rPr>
                <w:w w:val="105"/>
              </w:rPr>
              <w:t>law and </w:t>
            </w:r>
            <w:r>
              <w:rPr>
                <w:spacing w:val="-3"/>
                <w:w w:val="105"/>
              </w:rPr>
              <w:t>terms</w:t>
            </w:r>
            <w:r>
              <w:rPr>
                <w:spacing w:val="24"/>
                <w:w w:val="105"/>
              </w:rPr>
              <w:t> </w:t>
            </w:r>
            <w:r>
              <w:rPr>
                <w:w w:val="105"/>
              </w:rPr>
              <w:t>of</w:t>
            </w:r>
            <w:r>
              <w:rPr>
                <w:spacing w:val="5"/>
                <w:w w:val="105"/>
              </w:rPr>
              <w:t> </w:t>
            </w:r>
            <w:r>
              <w:rPr>
                <w:spacing w:val="-3"/>
                <w:w w:val="105"/>
              </w:rPr>
              <w:t>reference</w:t>
              <w:tab/>
            </w:r>
            <w:r>
              <w:rPr>
                <w:w w:val="105"/>
              </w:rPr>
              <w:t>98</w:t>
            </w:r>
          </w:hyperlink>
        </w:p>
        <w:p>
          <w:pPr>
            <w:pStyle w:val="TOC5"/>
            <w:tabs>
              <w:tab w:pos="10267" w:val="right" w:leader="dot"/>
            </w:tabs>
            <w:ind w:left="2437"/>
          </w:pPr>
          <w:hyperlink w:history="true" w:anchor="_TOC_250023">
            <w:r>
              <w:rPr/>
              <w:t>Overview of the </w:t>
            </w:r>
            <w:r>
              <w:rPr>
                <w:spacing w:val="-2"/>
              </w:rPr>
              <w:t>problems </w:t>
            </w:r>
            <w:r>
              <w:rPr/>
              <w:t>with </w:t>
            </w:r>
            <w:r>
              <w:rPr>
                <w:spacing w:val="-3"/>
              </w:rPr>
              <w:t>family  provision  </w:t>
            </w:r>
            <w:r>
              <w:rPr/>
              <w:t>law</w:t>
            </w:r>
            <w:r>
              <w:rPr>
                <w:spacing w:val="5"/>
              </w:rPr>
              <w:t> </w:t>
            </w:r>
            <w:r>
              <w:rPr/>
              <w:t>in</w:t>
            </w:r>
            <w:r>
              <w:rPr>
                <w:spacing w:val="11"/>
              </w:rPr>
              <w:t> </w:t>
            </w:r>
            <w:r>
              <w:rPr/>
              <w:t>Victoria</w:t>
              <w:tab/>
              <w:t>99</w:t>
            </w:r>
          </w:hyperlink>
        </w:p>
        <w:p>
          <w:pPr>
            <w:pStyle w:val="TOC5"/>
            <w:tabs>
              <w:tab w:pos="10267" w:val="right" w:leader="dot"/>
            </w:tabs>
            <w:ind w:left="2437"/>
          </w:pPr>
          <w:hyperlink w:history="true" w:anchor="_TOC_250022">
            <w:r>
              <w:rPr>
                <w:w w:val="105"/>
              </w:rPr>
              <w:t>Recommended </w:t>
            </w:r>
            <w:r>
              <w:rPr>
                <w:spacing w:val="-3"/>
                <w:w w:val="105"/>
              </w:rPr>
              <w:t>areas</w:t>
            </w:r>
            <w:r>
              <w:rPr>
                <w:spacing w:val="10"/>
                <w:w w:val="105"/>
              </w:rPr>
              <w:t> </w:t>
            </w:r>
            <w:r>
              <w:rPr>
                <w:spacing w:val="-3"/>
                <w:w w:val="105"/>
              </w:rPr>
              <w:t>for</w:t>
            </w:r>
            <w:r>
              <w:rPr>
                <w:spacing w:val="5"/>
                <w:w w:val="105"/>
              </w:rPr>
              <w:t> </w:t>
            </w:r>
            <w:r>
              <w:rPr>
                <w:spacing w:val="-3"/>
                <w:w w:val="105"/>
              </w:rPr>
              <w:t>reform</w:t>
              <w:tab/>
            </w:r>
            <w:r>
              <w:rPr>
                <w:spacing w:val="-6"/>
                <w:w w:val="105"/>
              </w:rPr>
              <w:t>103</w:t>
            </w:r>
          </w:hyperlink>
        </w:p>
        <w:p>
          <w:pPr>
            <w:pStyle w:val="TOC3"/>
            <w:tabs>
              <w:tab w:pos="10267" w:val="right" w:leader="dot"/>
            </w:tabs>
            <w:spacing w:before="88"/>
            <w:ind w:left="2154"/>
          </w:pPr>
          <w:hyperlink w:history="true" w:anchor="_TOC_250021">
            <w:r>
              <w:rPr>
                <w:spacing w:val="-3"/>
                <w:w w:val="105"/>
              </w:rPr>
              <w:t>Court</w:t>
            </w:r>
            <w:r>
              <w:rPr>
                <w:spacing w:val="5"/>
                <w:w w:val="105"/>
              </w:rPr>
              <w:t> </w:t>
            </w:r>
            <w:r>
              <w:rPr>
                <w:w w:val="105"/>
              </w:rPr>
              <w:t>jurisdiction</w:t>
              <w:tab/>
            </w:r>
            <w:r>
              <w:rPr>
                <w:spacing w:val="-3"/>
                <w:w w:val="105"/>
              </w:rPr>
              <w:t>104</w:t>
            </w:r>
          </w:hyperlink>
        </w:p>
        <w:p>
          <w:pPr>
            <w:pStyle w:val="TOC5"/>
            <w:tabs>
              <w:tab w:pos="10267" w:val="right" w:leader="dot"/>
            </w:tabs>
            <w:ind w:left="2437"/>
          </w:pPr>
          <w:hyperlink w:history="true" w:anchor="_TOC_250020">
            <w:r>
              <w:rPr>
                <w:spacing w:val="-4"/>
                <w:w w:val="105"/>
              </w:rPr>
              <w:t>Current</w:t>
            </w:r>
            <w:r>
              <w:rPr>
                <w:spacing w:val="5"/>
                <w:w w:val="105"/>
              </w:rPr>
              <w:t> </w:t>
            </w:r>
            <w:r>
              <w:rPr>
                <w:w w:val="105"/>
              </w:rPr>
              <w:t>court</w:t>
            </w:r>
            <w:r>
              <w:rPr>
                <w:spacing w:val="5"/>
                <w:w w:val="105"/>
              </w:rPr>
              <w:t> </w:t>
            </w:r>
            <w:r>
              <w:rPr>
                <w:w w:val="105"/>
              </w:rPr>
              <w:t>jurisdiction</w:t>
              <w:tab/>
            </w:r>
            <w:r>
              <w:rPr>
                <w:spacing w:val="-3"/>
                <w:w w:val="105"/>
              </w:rPr>
              <w:t>104</w:t>
            </w:r>
          </w:hyperlink>
        </w:p>
        <w:p>
          <w:pPr>
            <w:pStyle w:val="TOC5"/>
            <w:tabs>
              <w:tab w:pos="10266" w:val="right" w:leader="dot"/>
            </w:tabs>
            <w:ind w:left="2437"/>
          </w:pPr>
          <w:hyperlink w:history="true" w:anchor="_TOC_250019">
            <w:r>
              <w:rPr>
                <w:w w:val="105"/>
              </w:rPr>
              <w:t>Victorian </w:t>
            </w:r>
            <w:r>
              <w:rPr>
                <w:spacing w:val="-3"/>
                <w:w w:val="105"/>
              </w:rPr>
              <w:t>Civil </w:t>
            </w:r>
            <w:r>
              <w:rPr>
                <w:w w:val="105"/>
              </w:rPr>
              <w:t>and</w:t>
            </w:r>
            <w:r>
              <w:rPr>
                <w:spacing w:val="17"/>
                <w:w w:val="105"/>
              </w:rPr>
              <w:t> </w:t>
            </w:r>
            <w:r>
              <w:rPr>
                <w:spacing w:val="-3"/>
                <w:w w:val="105"/>
              </w:rPr>
              <w:t>Administrative</w:t>
            </w:r>
            <w:r>
              <w:rPr>
                <w:spacing w:val="5"/>
                <w:w w:val="105"/>
              </w:rPr>
              <w:t> </w:t>
            </w:r>
            <w:r>
              <w:rPr>
                <w:spacing w:val="-5"/>
                <w:w w:val="105"/>
              </w:rPr>
              <w:t>Tribunal</w:t>
              <w:tab/>
            </w:r>
            <w:r>
              <w:rPr>
                <w:spacing w:val="-3"/>
                <w:w w:val="105"/>
              </w:rPr>
              <w:t>104</w:t>
            </w:r>
          </w:hyperlink>
        </w:p>
        <w:p>
          <w:pPr>
            <w:pStyle w:val="TOC5"/>
            <w:tabs>
              <w:tab w:pos="10266" w:val="right" w:leader="dot"/>
            </w:tabs>
            <w:spacing w:before="88"/>
            <w:ind w:left="2437"/>
          </w:pPr>
          <w:hyperlink w:history="true" w:anchor="_TOC_250018">
            <w:r>
              <w:rPr>
                <w:spacing w:val="-3"/>
                <w:w w:val="105"/>
              </w:rPr>
              <w:t>County Court</w:t>
            </w:r>
            <w:r>
              <w:rPr>
                <w:spacing w:val="14"/>
                <w:w w:val="105"/>
              </w:rPr>
              <w:t> </w:t>
            </w:r>
            <w:r>
              <w:rPr>
                <w:w w:val="105"/>
              </w:rPr>
              <w:t>of</w:t>
            </w:r>
            <w:r>
              <w:rPr>
                <w:spacing w:val="6"/>
                <w:w w:val="105"/>
              </w:rPr>
              <w:t> </w:t>
            </w:r>
            <w:r>
              <w:rPr>
                <w:w w:val="105"/>
              </w:rPr>
              <w:t>Victoria</w:t>
              <w:tab/>
            </w:r>
            <w:r>
              <w:rPr>
                <w:spacing w:val="-5"/>
                <w:w w:val="105"/>
              </w:rPr>
              <w:t>105</w:t>
            </w:r>
          </w:hyperlink>
        </w:p>
        <w:p>
          <w:pPr>
            <w:pStyle w:val="TOC3"/>
            <w:tabs>
              <w:tab w:pos="10266" w:val="right" w:leader="dot"/>
            </w:tabs>
          </w:pPr>
          <w:hyperlink w:history="true" w:anchor="_TOC_250017">
            <w:r>
              <w:rPr>
                <w:spacing w:val="-3"/>
              </w:rPr>
              <w:t>Eligibility to </w:t>
            </w:r>
            <w:r>
              <w:rPr>
                <w:spacing w:val="-4"/>
              </w:rPr>
              <w:t>make  </w:t>
            </w:r>
            <w:r>
              <w:rPr/>
              <w:t>a </w:t>
            </w:r>
            <w:r>
              <w:rPr>
                <w:spacing w:val="-3"/>
              </w:rPr>
              <w:t>family</w:t>
            </w:r>
            <w:r>
              <w:rPr>
                <w:spacing w:val="15"/>
              </w:rPr>
              <w:t> </w:t>
            </w:r>
            <w:r>
              <w:rPr>
                <w:spacing w:val="-3"/>
              </w:rPr>
              <w:t>provision</w:t>
            </w:r>
            <w:r>
              <w:rPr>
                <w:spacing w:val="9"/>
              </w:rPr>
              <w:t> </w:t>
            </w:r>
            <w:r>
              <w:rPr>
                <w:spacing w:val="-3"/>
              </w:rPr>
              <w:t>claim</w:t>
              <w:tab/>
            </w:r>
            <w:r>
              <w:rPr>
                <w:spacing w:val="-7"/>
              </w:rPr>
              <w:t>107</w:t>
            </w:r>
          </w:hyperlink>
        </w:p>
        <w:p>
          <w:pPr>
            <w:pStyle w:val="TOC5"/>
            <w:tabs>
              <w:tab w:pos="10266" w:val="right" w:leader="dot"/>
            </w:tabs>
            <w:ind w:left="2437"/>
          </w:pPr>
          <w:hyperlink w:history="true" w:anchor="_TOC_250016">
            <w:r>
              <w:rPr>
                <w:spacing w:val="-4"/>
                <w:w w:val="105"/>
              </w:rPr>
              <w:t>Current</w:t>
            </w:r>
            <w:r>
              <w:rPr>
                <w:spacing w:val="5"/>
                <w:w w:val="105"/>
              </w:rPr>
              <w:t> </w:t>
            </w:r>
            <w:r>
              <w:rPr>
                <w:w w:val="105"/>
              </w:rPr>
              <w:t>law</w:t>
              <w:tab/>
            </w:r>
            <w:r>
              <w:rPr>
                <w:spacing w:val="-7"/>
                <w:w w:val="105"/>
              </w:rPr>
              <w:t>107</w:t>
            </w:r>
          </w:hyperlink>
        </w:p>
        <w:p>
          <w:pPr>
            <w:pStyle w:val="TOC5"/>
            <w:tabs>
              <w:tab w:pos="10266" w:val="right" w:leader="dot"/>
            </w:tabs>
            <w:spacing w:before="88"/>
            <w:ind w:left="2437"/>
          </w:pPr>
          <w:hyperlink w:history="true" w:anchor="_TOC_250015">
            <w:r>
              <w:rPr/>
              <w:t>The problems with </w:t>
            </w:r>
            <w:r>
              <w:rPr>
                <w:spacing w:val="-3"/>
              </w:rPr>
              <w:t>family</w:t>
            </w:r>
            <w:r>
              <w:rPr>
                <w:spacing w:val="38"/>
              </w:rPr>
              <w:t> </w:t>
            </w:r>
            <w:r>
              <w:rPr>
                <w:spacing w:val="-3"/>
              </w:rPr>
              <w:t>provision</w:t>
            </w:r>
            <w:r>
              <w:rPr>
                <w:spacing w:val="10"/>
              </w:rPr>
              <w:t> </w:t>
            </w:r>
            <w:r>
              <w:rPr>
                <w:spacing w:val="-3"/>
              </w:rPr>
              <w:t>eligibility</w:t>
              <w:tab/>
              <w:t>108</w:t>
            </w:r>
          </w:hyperlink>
        </w:p>
        <w:p>
          <w:pPr>
            <w:pStyle w:val="TOC5"/>
            <w:tabs>
              <w:tab w:pos="10266" w:val="right" w:leader="dot"/>
            </w:tabs>
            <w:ind w:left="2437"/>
          </w:pPr>
          <w:hyperlink w:history="true" w:anchor="_TOC_250014">
            <w:r>
              <w:rPr>
                <w:w w:val="105"/>
              </w:rPr>
              <w:t>Options </w:t>
            </w:r>
            <w:r>
              <w:rPr>
                <w:spacing w:val="-2"/>
                <w:w w:val="105"/>
              </w:rPr>
              <w:t>raised </w:t>
            </w:r>
            <w:r>
              <w:rPr>
                <w:w w:val="105"/>
              </w:rPr>
              <w:t>in the </w:t>
            </w:r>
            <w:r>
              <w:rPr>
                <w:spacing w:val="-4"/>
                <w:w w:val="105"/>
              </w:rPr>
              <w:t>Commission’s</w:t>
            </w:r>
            <w:r>
              <w:rPr>
                <w:spacing w:val="24"/>
                <w:w w:val="105"/>
              </w:rPr>
              <w:t> </w:t>
            </w:r>
            <w:r>
              <w:rPr>
                <w:spacing w:val="-3"/>
                <w:w w:val="105"/>
              </w:rPr>
              <w:t>consultation</w:t>
            </w:r>
            <w:r>
              <w:rPr>
                <w:spacing w:val="5"/>
                <w:w w:val="105"/>
              </w:rPr>
              <w:t> </w:t>
            </w:r>
            <w:r>
              <w:rPr>
                <w:w w:val="105"/>
              </w:rPr>
              <w:t>paper</w:t>
              <w:tab/>
            </w:r>
            <w:r>
              <w:rPr>
                <w:spacing w:val="-4"/>
                <w:w w:val="105"/>
              </w:rPr>
              <w:t>109</w:t>
            </w:r>
          </w:hyperlink>
        </w:p>
        <w:p>
          <w:pPr>
            <w:pStyle w:val="TOC5"/>
            <w:tabs>
              <w:tab w:pos="10243" w:val="right" w:leader="dot"/>
            </w:tabs>
            <w:ind w:left="2437"/>
          </w:pPr>
          <w:hyperlink w:history="true" w:anchor="_TOC_250013">
            <w:r>
              <w:rPr>
                <w:w w:val="105"/>
              </w:rPr>
              <w:t>Views</w:t>
            </w:r>
            <w:r>
              <w:rPr>
                <w:spacing w:val="5"/>
                <w:w w:val="105"/>
              </w:rPr>
              <w:t> </w:t>
            </w:r>
            <w:r>
              <w:rPr>
                <w:w w:val="105"/>
              </w:rPr>
              <w:t>and</w:t>
            </w:r>
            <w:r>
              <w:rPr>
                <w:spacing w:val="6"/>
                <w:w w:val="105"/>
              </w:rPr>
              <w:t> </w:t>
            </w:r>
            <w:r>
              <w:rPr>
                <w:spacing w:val="-3"/>
                <w:w w:val="105"/>
              </w:rPr>
              <w:t>conclusions</w:t>
              <w:tab/>
            </w:r>
            <w:r>
              <w:rPr>
                <w:spacing w:val="-24"/>
                <w:w w:val="105"/>
              </w:rPr>
              <w:t>111</w:t>
            </w:r>
          </w:hyperlink>
        </w:p>
        <w:p>
          <w:pPr>
            <w:pStyle w:val="TOC3"/>
            <w:tabs>
              <w:tab w:pos="10266" w:val="right" w:leader="dot"/>
            </w:tabs>
            <w:spacing w:before="88"/>
          </w:pPr>
          <w:hyperlink w:history="true" w:anchor="_TOC_250012">
            <w:r>
              <w:rPr>
                <w:w w:val="105"/>
              </w:rPr>
              <w:t>Costs</w:t>
            </w:r>
            <w:r>
              <w:rPr>
                <w:spacing w:val="5"/>
                <w:w w:val="105"/>
              </w:rPr>
              <w:t> </w:t>
            </w:r>
            <w:r>
              <w:rPr>
                <w:w w:val="105"/>
              </w:rPr>
              <w:t>rules</w:t>
              <w:tab/>
            </w:r>
            <w:r>
              <w:rPr>
                <w:spacing w:val="-13"/>
                <w:w w:val="105"/>
              </w:rPr>
              <w:t>115</w:t>
            </w:r>
          </w:hyperlink>
        </w:p>
        <w:p>
          <w:pPr>
            <w:pStyle w:val="TOC5"/>
            <w:tabs>
              <w:tab w:pos="10266" w:val="right" w:leader="dot"/>
            </w:tabs>
            <w:ind w:left="2437"/>
          </w:pPr>
          <w:hyperlink w:history="true" w:anchor="_TOC_250011">
            <w:r>
              <w:rPr>
                <w:spacing w:val="-4"/>
                <w:w w:val="105"/>
              </w:rPr>
              <w:t>Current</w:t>
            </w:r>
            <w:r>
              <w:rPr>
                <w:spacing w:val="5"/>
                <w:w w:val="105"/>
              </w:rPr>
              <w:t> </w:t>
            </w:r>
            <w:r>
              <w:rPr>
                <w:w w:val="105"/>
              </w:rPr>
              <w:t>law</w:t>
              <w:tab/>
            </w:r>
            <w:r>
              <w:rPr>
                <w:spacing w:val="-13"/>
                <w:w w:val="105"/>
              </w:rPr>
              <w:t>115</w:t>
            </w:r>
          </w:hyperlink>
        </w:p>
        <w:p>
          <w:pPr>
            <w:pStyle w:val="TOC5"/>
            <w:tabs>
              <w:tab w:pos="10266" w:val="right" w:leader="dot"/>
            </w:tabs>
          </w:pPr>
          <w:hyperlink w:history="true" w:anchor="_TOC_250010">
            <w:r>
              <w:rPr/>
              <w:t>The </w:t>
            </w:r>
            <w:r>
              <w:rPr>
                <w:spacing w:val="-2"/>
              </w:rPr>
              <w:t>problems </w:t>
            </w:r>
            <w:r>
              <w:rPr/>
              <w:t>with </w:t>
            </w:r>
            <w:r>
              <w:rPr>
                <w:spacing w:val="-3"/>
              </w:rPr>
              <w:t>family provision </w:t>
            </w:r>
            <w:r>
              <w:rPr>
                <w:spacing w:val="8"/>
              </w:rPr>
              <w:t> </w:t>
            </w:r>
            <w:r>
              <w:rPr/>
              <w:t>costs</w:t>
            </w:r>
            <w:r>
              <w:rPr>
                <w:spacing w:val="9"/>
              </w:rPr>
              <w:t> </w:t>
            </w:r>
            <w:r>
              <w:rPr/>
              <w:t>rules</w:t>
              <w:tab/>
            </w:r>
            <w:r>
              <w:rPr>
                <w:spacing w:val="-12"/>
              </w:rPr>
              <w:t>118</w:t>
            </w:r>
          </w:hyperlink>
        </w:p>
        <w:p>
          <w:pPr>
            <w:pStyle w:val="TOC5"/>
            <w:tabs>
              <w:tab w:pos="10266" w:val="right" w:leader="dot"/>
            </w:tabs>
          </w:pPr>
          <w:hyperlink w:history="true" w:anchor="_TOC_250009">
            <w:r>
              <w:rPr>
                <w:w w:val="105"/>
              </w:rPr>
              <w:t>Options </w:t>
            </w:r>
            <w:r>
              <w:rPr>
                <w:spacing w:val="-2"/>
                <w:w w:val="105"/>
              </w:rPr>
              <w:t>raised </w:t>
            </w:r>
            <w:r>
              <w:rPr>
                <w:w w:val="105"/>
              </w:rPr>
              <w:t>in the </w:t>
            </w:r>
            <w:r>
              <w:rPr>
                <w:spacing w:val="-4"/>
                <w:w w:val="105"/>
              </w:rPr>
              <w:t>Commission’s</w:t>
            </w:r>
            <w:r>
              <w:rPr>
                <w:spacing w:val="24"/>
                <w:w w:val="105"/>
              </w:rPr>
              <w:t> </w:t>
            </w:r>
            <w:r>
              <w:rPr>
                <w:spacing w:val="-3"/>
                <w:w w:val="105"/>
              </w:rPr>
              <w:t>consultation</w:t>
            </w:r>
            <w:r>
              <w:rPr>
                <w:spacing w:val="5"/>
                <w:w w:val="105"/>
              </w:rPr>
              <w:t> </w:t>
            </w:r>
            <w:r>
              <w:rPr>
                <w:w w:val="105"/>
              </w:rPr>
              <w:t>paper</w:t>
              <w:tab/>
            </w:r>
            <w:r>
              <w:rPr>
                <w:spacing w:val="-13"/>
                <w:w w:val="105"/>
              </w:rPr>
              <w:t>119</w:t>
            </w:r>
          </w:hyperlink>
        </w:p>
        <w:p>
          <w:pPr>
            <w:pStyle w:val="TOC5"/>
            <w:tabs>
              <w:tab w:pos="10266" w:val="right" w:leader="dot"/>
            </w:tabs>
            <w:spacing w:before="88"/>
          </w:pPr>
          <w:hyperlink w:history="true" w:anchor="_TOC_250008">
            <w:r>
              <w:rPr>
                <w:w w:val="105"/>
              </w:rPr>
              <w:t>Views</w:t>
            </w:r>
            <w:r>
              <w:rPr>
                <w:spacing w:val="5"/>
                <w:w w:val="105"/>
              </w:rPr>
              <w:t> </w:t>
            </w:r>
            <w:r>
              <w:rPr>
                <w:w w:val="105"/>
              </w:rPr>
              <w:t>and</w:t>
            </w:r>
            <w:r>
              <w:rPr>
                <w:spacing w:val="6"/>
                <w:w w:val="105"/>
              </w:rPr>
              <w:t> </w:t>
            </w:r>
            <w:r>
              <w:rPr>
                <w:spacing w:val="-3"/>
                <w:w w:val="105"/>
              </w:rPr>
              <w:t>conclusions</w:t>
              <w:tab/>
            </w:r>
            <w:r>
              <w:rPr>
                <w:spacing w:val="-13"/>
                <w:w w:val="105"/>
              </w:rPr>
              <w:t>119</w:t>
            </w:r>
          </w:hyperlink>
        </w:p>
        <w:p>
          <w:pPr>
            <w:pStyle w:val="TOC3"/>
            <w:tabs>
              <w:tab w:pos="10266" w:val="right" w:leader="dot"/>
            </w:tabs>
          </w:pPr>
          <w:hyperlink w:history="true" w:anchor="_TOC_250007">
            <w:r>
              <w:rPr>
                <w:spacing w:val="-3"/>
                <w:w w:val="105"/>
              </w:rPr>
              <w:t>Procedure</w:t>
              <w:tab/>
            </w:r>
            <w:r>
              <w:rPr>
                <w:spacing w:val="-7"/>
                <w:w w:val="105"/>
              </w:rPr>
              <w:t>122</w:t>
            </w:r>
          </w:hyperlink>
        </w:p>
        <w:p>
          <w:pPr>
            <w:pStyle w:val="TOC5"/>
            <w:tabs>
              <w:tab w:pos="10266" w:val="right" w:leader="dot"/>
            </w:tabs>
          </w:pPr>
          <w:hyperlink w:history="true" w:anchor="_TOC_250006">
            <w:r>
              <w:rPr/>
              <w:t>The</w:t>
            </w:r>
            <w:r>
              <w:rPr>
                <w:spacing w:val="11"/>
              </w:rPr>
              <w:t> </w:t>
            </w:r>
            <w:r>
              <w:rPr>
                <w:spacing w:val="-2"/>
              </w:rPr>
              <w:t>problems</w:t>
            </w:r>
            <w:r>
              <w:rPr>
                <w:spacing w:val="11"/>
              </w:rPr>
              <w:t> </w:t>
            </w:r>
            <w:r>
              <w:rPr>
                <w:spacing w:val="-3"/>
              </w:rPr>
              <w:t>that</w:t>
            </w:r>
            <w:r>
              <w:rPr>
                <w:spacing w:val="12"/>
              </w:rPr>
              <w:t> </w:t>
            </w:r>
            <w:r>
              <w:rPr>
                <w:spacing w:val="-3"/>
              </w:rPr>
              <w:t>family</w:t>
            </w:r>
            <w:r>
              <w:rPr>
                <w:spacing w:val="11"/>
              </w:rPr>
              <w:t> </w:t>
            </w:r>
            <w:r>
              <w:rPr>
                <w:spacing w:val="-3"/>
              </w:rPr>
              <w:t>provision</w:t>
            </w:r>
            <w:r>
              <w:rPr>
                <w:spacing w:val="12"/>
              </w:rPr>
              <w:t> </w:t>
            </w:r>
            <w:r>
              <w:rPr>
                <w:spacing w:val="-3"/>
              </w:rPr>
              <w:t>procedures</w:t>
            </w:r>
            <w:r>
              <w:rPr>
                <w:spacing w:val="11"/>
              </w:rPr>
              <w:t> </w:t>
            </w:r>
            <w:r>
              <w:rPr/>
              <w:t>seek</w:t>
            </w:r>
            <w:r>
              <w:rPr>
                <w:spacing w:val="12"/>
              </w:rPr>
              <w:t> </w:t>
            </w:r>
            <w:r>
              <w:rPr>
                <w:spacing w:val="-3"/>
              </w:rPr>
              <w:t>to</w:t>
            </w:r>
            <w:r>
              <w:rPr>
                <w:spacing w:val="11"/>
              </w:rPr>
              <w:t> </w:t>
            </w:r>
            <w:r>
              <w:rPr/>
              <w:t>address</w:t>
              <w:tab/>
            </w:r>
            <w:r>
              <w:rPr>
                <w:spacing w:val="-7"/>
              </w:rPr>
              <w:t>122</w:t>
            </w:r>
          </w:hyperlink>
        </w:p>
        <w:p>
          <w:pPr>
            <w:pStyle w:val="TOC5"/>
            <w:tabs>
              <w:tab w:pos="10266" w:val="right" w:leader="dot"/>
            </w:tabs>
            <w:spacing w:before="88"/>
          </w:pPr>
          <w:hyperlink w:history="true" w:anchor="_TOC_250005">
            <w:r>
              <w:rPr>
                <w:spacing w:val="-4"/>
                <w:w w:val="105"/>
              </w:rPr>
              <w:t>Current </w:t>
            </w:r>
            <w:r>
              <w:rPr>
                <w:spacing w:val="-3"/>
                <w:w w:val="105"/>
              </w:rPr>
              <w:t>family</w:t>
            </w:r>
            <w:r>
              <w:rPr>
                <w:spacing w:val="14"/>
                <w:w w:val="105"/>
              </w:rPr>
              <w:t> </w:t>
            </w:r>
            <w:r>
              <w:rPr>
                <w:spacing w:val="-3"/>
                <w:w w:val="105"/>
              </w:rPr>
              <w:t>provision</w:t>
            </w:r>
            <w:r>
              <w:rPr>
                <w:spacing w:val="5"/>
                <w:w w:val="105"/>
              </w:rPr>
              <w:t> </w:t>
            </w:r>
            <w:r>
              <w:rPr>
                <w:spacing w:val="-3"/>
                <w:w w:val="105"/>
              </w:rPr>
              <w:t>procedures</w:t>
              <w:tab/>
            </w:r>
            <w:r>
              <w:rPr>
                <w:spacing w:val="-7"/>
                <w:w w:val="105"/>
              </w:rPr>
              <w:t>122</w:t>
            </w:r>
          </w:hyperlink>
        </w:p>
        <w:p>
          <w:pPr>
            <w:pStyle w:val="TOC5"/>
            <w:tabs>
              <w:tab w:pos="10265" w:val="right" w:leader="dot"/>
            </w:tabs>
          </w:pPr>
          <w:hyperlink w:history="true" w:anchor="_TOC_250004">
            <w:r>
              <w:rPr>
                <w:w w:val="105"/>
              </w:rPr>
              <w:t>Views</w:t>
            </w:r>
            <w:r>
              <w:rPr>
                <w:spacing w:val="5"/>
                <w:w w:val="105"/>
              </w:rPr>
              <w:t> </w:t>
            </w:r>
            <w:r>
              <w:rPr>
                <w:w w:val="105"/>
              </w:rPr>
              <w:t>and</w:t>
            </w:r>
            <w:r>
              <w:rPr>
                <w:spacing w:val="6"/>
                <w:w w:val="105"/>
              </w:rPr>
              <w:t> </w:t>
            </w:r>
            <w:r>
              <w:rPr>
                <w:spacing w:val="-3"/>
                <w:w w:val="105"/>
              </w:rPr>
              <w:t>conclusions</w:t>
              <w:tab/>
            </w:r>
            <w:r>
              <w:rPr>
                <w:spacing w:val="-9"/>
                <w:w w:val="105"/>
              </w:rPr>
              <w:t>127</w:t>
            </w:r>
          </w:hyperlink>
        </w:p>
        <w:p>
          <w:pPr>
            <w:pStyle w:val="TOC3"/>
            <w:tabs>
              <w:tab w:pos="10265" w:val="right" w:leader="dot"/>
            </w:tabs>
            <w:ind w:left="2152"/>
          </w:pPr>
          <w:hyperlink w:history="true" w:anchor="_TOC_250003">
            <w:r>
              <w:rPr>
                <w:w w:val="105"/>
              </w:rPr>
              <w:t>Other </w:t>
            </w:r>
            <w:r>
              <w:rPr>
                <w:spacing w:val="-3"/>
                <w:w w:val="105"/>
              </w:rPr>
              <w:t>areas for reform </w:t>
            </w:r>
            <w:r>
              <w:rPr>
                <w:spacing w:val="-2"/>
                <w:w w:val="105"/>
              </w:rPr>
              <w:t>raised </w:t>
            </w:r>
            <w:r>
              <w:rPr>
                <w:w w:val="105"/>
              </w:rPr>
              <w:t>in the </w:t>
            </w:r>
            <w:r>
              <w:rPr>
                <w:spacing w:val="-4"/>
                <w:w w:val="105"/>
              </w:rPr>
              <w:t>Commission’s</w:t>
            </w:r>
            <w:r>
              <w:rPr>
                <w:spacing w:val="39"/>
                <w:w w:val="105"/>
              </w:rPr>
              <w:t> </w:t>
            </w:r>
            <w:r>
              <w:rPr>
                <w:spacing w:val="-3"/>
                <w:w w:val="105"/>
              </w:rPr>
              <w:t>consultation</w:t>
            </w:r>
            <w:r>
              <w:rPr>
                <w:spacing w:val="3"/>
                <w:w w:val="105"/>
              </w:rPr>
              <w:t> </w:t>
            </w:r>
            <w:r>
              <w:rPr>
                <w:w w:val="105"/>
              </w:rPr>
              <w:t>paper</w:t>
              <w:tab/>
            </w:r>
            <w:r>
              <w:rPr>
                <w:spacing w:val="-8"/>
                <w:w w:val="105"/>
              </w:rPr>
              <w:t>129</w:t>
            </w:r>
          </w:hyperlink>
        </w:p>
        <w:p>
          <w:pPr>
            <w:pStyle w:val="TOC5"/>
            <w:tabs>
              <w:tab w:pos="10265" w:val="right" w:leader="dot"/>
            </w:tabs>
            <w:spacing w:before="88"/>
          </w:pPr>
          <w:hyperlink w:history="true" w:anchor="_TOC_250002">
            <w:r>
              <w:rPr>
                <w:spacing w:val="-4"/>
                <w:w w:val="105"/>
              </w:rPr>
              <w:t>Farm</w:t>
            </w:r>
            <w:r>
              <w:rPr>
                <w:spacing w:val="5"/>
                <w:w w:val="105"/>
              </w:rPr>
              <w:t> </w:t>
            </w:r>
            <w:r>
              <w:rPr>
                <w:w w:val="105"/>
              </w:rPr>
              <w:t>property</w:t>
              <w:tab/>
            </w:r>
            <w:r>
              <w:rPr>
                <w:spacing w:val="-8"/>
                <w:w w:val="105"/>
              </w:rPr>
              <w:t>129</w:t>
            </w:r>
          </w:hyperlink>
        </w:p>
        <w:p>
          <w:pPr>
            <w:pStyle w:val="TOC5"/>
            <w:tabs>
              <w:tab w:pos="10265" w:val="right" w:leader="dot"/>
            </w:tabs>
          </w:pPr>
          <w:hyperlink w:history="true" w:anchor="_TOC_250001">
            <w:r>
              <w:rPr>
                <w:w w:val="105"/>
              </w:rPr>
              <w:t>Notional</w:t>
            </w:r>
            <w:r>
              <w:rPr>
                <w:spacing w:val="5"/>
                <w:w w:val="105"/>
              </w:rPr>
              <w:t> </w:t>
            </w:r>
            <w:r>
              <w:rPr>
                <w:spacing w:val="-2"/>
                <w:w w:val="105"/>
              </w:rPr>
              <w:t>estate</w:t>
              <w:tab/>
            </w:r>
            <w:r>
              <w:rPr>
                <w:spacing w:val="-6"/>
                <w:w w:val="105"/>
              </w:rPr>
              <w:t>130</w:t>
            </w:r>
          </w:hyperlink>
        </w:p>
        <w:p>
          <w:pPr>
            <w:pStyle w:val="TOC5"/>
            <w:tabs>
              <w:tab w:pos="10265" w:val="right" w:leader="dot"/>
            </w:tabs>
          </w:pPr>
          <w:hyperlink w:history="true" w:anchor="_TOC_250000">
            <w:r>
              <w:rPr/>
              <w:t>Time </w:t>
            </w:r>
            <w:r>
              <w:rPr>
                <w:spacing w:val="-3"/>
              </w:rPr>
              <w:t>limit to </w:t>
            </w:r>
            <w:r>
              <w:rPr>
                <w:spacing w:val="-4"/>
              </w:rPr>
              <w:t>make  </w:t>
            </w:r>
            <w:r>
              <w:rPr/>
              <w:t>a </w:t>
            </w:r>
            <w:r>
              <w:rPr>
                <w:spacing w:val="-3"/>
              </w:rPr>
              <w:t>family</w:t>
            </w:r>
            <w:r>
              <w:rPr>
                <w:spacing w:val="24"/>
              </w:rPr>
              <w:t> </w:t>
            </w:r>
            <w:r>
              <w:rPr>
                <w:spacing w:val="-3"/>
              </w:rPr>
              <w:t>provision</w:t>
            </w:r>
            <w:r>
              <w:rPr>
                <w:spacing w:val="10"/>
              </w:rPr>
              <w:t> </w:t>
            </w:r>
            <w:r>
              <w:rPr>
                <w:spacing w:val="-3"/>
              </w:rPr>
              <w:t>claim</w:t>
              <w:tab/>
            </w:r>
            <w:r>
              <w:rPr>
                <w:spacing w:val="-8"/>
              </w:rPr>
              <w:t>133</w:t>
            </w:r>
          </w:hyperlink>
        </w:p>
      </w:sdtContent>
    </w:sdt>
    <w:p>
      <w:pPr>
        <w:spacing w:after="0"/>
        <w:sectPr>
          <w:type w:val="continuous"/>
          <w:pgSz w:w="11910" w:h="16840"/>
          <w:pgMar w:top="1574" w:bottom="482" w:left="0" w:right="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5"/>
        <w:rPr>
          <w:sz w:val="36"/>
        </w:rPr>
      </w:pPr>
    </w:p>
    <w:p>
      <w:pPr>
        <w:spacing w:before="0"/>
        <w:ind w:left="720" w:right="0" w:firstLine="0"/>
        <w:jc w:val="left"/>
        <w:rPr>
          <w:b/>
          <w:sz w:val="24"/>
        </w:rPr>
      </w:pPr>
      <w:r>
        <w:rPr>
          <w:b/>
          <w:color w:val="EC5A4F"/>
          <w:w w:val="115"/>
          <w:sz w:val="24"/>
        </w:rPr>
        <w:t>vi</w:t>
      </w:r>
    </w:p>
    <w:p>
      <w:pPr>
        <w:spacing w:after="0"/>
        <w:jc w:val="left"/>
        <w:rPr>
          <w:sz w:val="24"/>
        </w:rPr>
        <w:sectPr>
          <w:type w:val="continuous"/>
          <w:pgSz w:w="11910" w:h="16840"/>
          <w:pgMar w:top="1560" w:bottom="280" w:left="0" w:right="0"/>
        </w:sectPr>
      </w:pPr>
    </w:p>
    <w:p>
      <w:pPr>
        <w:pStyle w:val="BodyText"/>
        <w:spacing w:before="4"/>
        <w:rPr>
          <w:b/>
          <w:sz w:val="22"/>
        </w:rPr>
      </w:pPr>
    </w:p>
    <w:p>
      <w:pPr>
        <w:pStyle w:val="ListParagraph"/>
        <w:numPr>
          <w:ilvl w:val="1"/>
          <w:numId w:val="1"/>
        </w:numPr>
        <w:tabs>
          <w:tab w:pos="1801" w:val="left" w:leader="none"/>
          <w:tab w:pos="10267" w:val="right" w:leader="dot"/>
        </w:tabs>
        <w:spacing w:line="240" w:lineRule="auto" w:before="92" w:after="0"/>
        <w:ind w:left="1800" w:right="0" w:hanging="213"/>
        <w:jc w:val="left"/>
        <w:rPr>
          <w:sz w:val="21"/>
        </w:rPr>
      </w:pPr>
      <w:r>
        <w:rPr>
          <w:rFonts w:ascii="Lucida Sans" w:hAnsi="Lucida Sans"/>
          <w:b/>
          <w:color w:val="EC5A4F"/>
          <w:sz w:val="21"/>
        </w:rPr>
        <w:t>Executors’ costs</w:t>
      </w:r>
      <w:r>
        <w:rPr>
          <w:rFonts w:ascii="Lucida Sans" w:hAnsi="Lucida Sans"/>
          <w:b/>
          <w:color w:val="EC5A4F"/>
          <w:spacing w:val="-30"/>
          <w:sz w:val="21"/>
        </w:rPr>
        <w:t> </w:t>
      </w:r>
      <w:r>
        <w:rPr>
          <w:rFonts w:ascii="Lucida Sans" w:hAnsi="Lucida Sans"/>
          <w:b/>
          <w:color w:val="EC5A4F"/>
          <w:sz w:val="21"/>
        </w:rPr>
        <w:t>and</w:t>
      </w:r>
      <w:r>
        <w:rPr>
          <w:rFonts w:ascii="Lucida Sans" w:hAnsi="Lucida Sans"/>
          <w:b/>
          <w:color w:val="EC5A4F"/>
          <w:spacing w:val="-14"/>
          <w:sz w:val="21"/>
        </w:rPr>
        <w:t> </w:t>
      </w:r>
      <w:r>
        <w:rPr>
          <w:rFonts w:ascii="Lucida Sans" w:hAnsi="Lucida Sans"/>
          <w:b/>
          <w:color w:val="EC5A4F"/>
          <w:sz w:val="21"/>
        </w:rPr>
        <w:t>commission</w:t>
        <w:tab/>
      </w:r>
      <w:r>
        <w:rPr>
          <w:spacing w:val="-6"/>
          <w:sz w:val="21"/>
        </w:rPr>
        <w:t>138</w:t>
      </w:r>
    </w:p>
    <w:p>
      <w:pPr>
        <w:pStyle w:val="BodyText"/>
        <w:tabs>
          <w:tab w:pos="10267" w:val="right" w:leader="dot"/>
        </w:tabs>
        <w:spacing w:before="89"/>
        <w:ind w:left="2154"/>
      </w:pPr>
      <w:r>
        <w:rPr>
          <w:w w:val="105"/>
        </w:rPr>
        <w:t>Introduction</w:t>
        <w:tab/>
      </w:r>
      <w:r>
        <w:rPr>
          <w:spacing w:val="-6"/>
          <w:w w:val="105"/>
        </w:rPr>
        <w:t>138</w:t>
      </w:r>
    </w:p>
    <w:p>
      <w:pPr>
        <w:pStyle w:val="BodyText"/>
        <w:tabs>
          <w:tab w:pos="10267" w:val="right" w:leader="dot"/>
        </w:tabs>
        <w:spacing w:before="89"/>
        <w:ind w:left="2437"/>
      </w:pPr>
      <w:r>
        <w:rPr>
          <w:spacing w:val="-5"/>
          <w:w w:val="105"/>
        </w:rPr>
        <w:t>Terms</w:t>
      </w:r>
      <w:r>
        <w:rPr>
          <w:spacing w:val="5"/>
          <w:w w:val="105"/>
        </w:rPr>
        <w:t> </w:t>
      </w:r>
      <w:r>
        <w:rPr>
          <w:w w:val="105"/>
        </w:rPr>
        <w:t>of</w:t>
      </w:r>
      <w:r>
        <w:rPr>
          <w:spacing w:val="5"/>
          <w:w w:val="105"/>
        </w:rPr>
        <w:t> </w:t>
      </w:r>
      <w:r>
        <w:rPr>
          <w:spacing w:val="-3"/>
          <w:w w:val="105"/>
        </w:rPr>
        <w:t>reference</w:t>
        <w:tab/>
      </w:r>
      <w:r>
        <w:rPr>
          <w:spacing w:val="-6"/>
          <w:w w:val="105"/>
        </w:rPr>
        <w:t>138</w:t>
      </w:r>
    </w:p>
    <w:p>
      <w:pPr>
        <w:pStyle w:val="BodyText"/>
        <w:tabs>
          <w:tab w:pos="10267" w:val="right" w:leader="dot"/>
        </w:tabs>
        <w:spacing w:before="88"/>
        <w:ind w:left="2437"/>
      </w:pPr>
      <w:r>
        <w:rPr>
          <w:w w:val="105"/>
        </w:rPr>
        <w:t>Legal</w:t>
      </w:r>
      <w:r>
        <w:rPr>
          <w:spacing w:val="4"/>
          <w:w w:val="105"/>
        </w:rPr>
        <w:t> </w:t>
      </w:r>
      <w:r>
        <w:rPr>
          <w:w w:val="105"/>
        </w:rPr>
        <w:t>practitioner</w:t>
      </w:r>
      <w:r>
        <w:rPr>
          <w:spacing w:val="5"/>
          <w:w w:val="105"/>
        </w:rPr>
        <w:t> </w:t>
      </w:r>
      <w:r>
        <w:rPr>
          <w:w w:val="105"/>
        </w:rPr>
        <w:t>executors</w:t>
        <w:tab/>
      </w:r>
      <w:r>
        <w:rPr>
          <w:spacing w:val="-7"/>
          <w:w w:val="105"/>
        </w:rPr>
        <w:t>139</w:t>
      </w:r>
    </w:p>
    <w:p>
      <w:pPr>
        <w:pStyle w:val="BodyText"/>
        <w:tabs>
          <w:tab w:pos="10267" w:val="right" w:leader="dot"/>
        </w:tabs>
        <w:spacing w:before="89"/>
        <w:ind w:left="2154"/>
      </w:pPr>
      <w:r>
        <w:rPr>
          <w:spacing w:val="-3"/>
          <w:w w:val="105"/>
        </w:rPr>
        <w:t>Regulation </w:t>
      </w:r>
      <w:r>
        <w:rPr>
          <w:w w:val="105"/>
        </w:rPr>
        <w:t>of the</w:t>
      </w:r>
      <w:r>
        <w:rPr>
          <w:spacing w:val="19"/>
          <w:w w:val="105"/>
        </w:rPr>
        <w:t> </w:t>
      </w:r>
      <w:r>
        <w:rPr>
          <w:w w:val="105"/>
        </w:rPr>
        <w:t>legal</w:t>
      </w:r>
      <w:r>
        <w:rPr>
          <w:spacing w:val="5"/>
          <w:w w:val="105"/>
        </w:rPr>
        <w:t> </w:t>
      </w:r>
      <w:r>
        <w:rPr>
          <w:spacing w:val="-3"/>
          <w:w w:val="105"/>
        </w:rPr>
        <w:t>profession</w:t>
        <w:tab/>
      </w:r>
      <w:r>
        <w:rPr>
          <w:spacing w:val="-4"/>
          <w:w w:val="105"/>
        </w:rPr>
        <w:t>140</w:t>
      </w:r>
    </w:p>
    <w:p>
      <w:pPr>
        <w:pStyle w:val="BodyText"/>
        <w:tabs>
          <w:tab w:pos="10267" w:val="right" w:leader="dot"/>
        </w:tabs>
        <w:spacing w:before="89"/>
        <w:ind w:left="2437"/>
      </w:pPr>
      <w:r>
        <w:rPr>
          <w:w w:val="105"/>
        </w:rPr>
        <w:t>Legal</w:t>
      </w:r>
      <w:r>
        <w:rPr>
          <w:spacing w:val="5"/>
          <w:w w:val="105"/>
        </w:rPr>
        <w:t> </w:t>
      </w:r>
      <w:r>
        <w:rPr>
          <w:spacing w:val="-3"/>
          <w:w w:val="105"/>
        </w:rPr>
        <w:t>Profession</w:t>
      </w:r>
      <w:r>
        <w:rPr>
          <w:spacing w:val="6"/>
          <w:w w:val="105"/>
        </w:rPr>
        <w:t> </w:t>
      </w:r>
      <w:r>
        <w:rPr>
          <w:w w:val="105"/>
        </w:rPr>
        <w:t>Act</w:t>
        <w:tab/>
      </w:r>
      <w:r>
        <w:rPr>
          <w:spacing w:val="-4"/>
          <w:w w:val="105"/>
        </w:rPr>
        <w:t>140</w:t>
      </w:r>
    </w:p>
    <w:p>
      <w:pPr>
        <w:pStyle w:val="BodyText"/>
        <w:tabs>
          <w:tab w:pos="10267" w:val="right" w:leader="dot"/>
        </w:tabs>
        <w:spacing w:before="88"/>
        <w:ind w:left="2437"/>
      </w:pPr>
      <w:r>
        <w:rPr>
          <w:w w:val="105"/>
        </w:rPr>
        <w:t>Other</w:t>
      </w:r>
      <w:r>
        <w:rPr>
          <w:spacing w:val="5"/>
          <w:w w:val="105"/>
        </w:rPr>
        <w:t> </w:t>
      </w:r>
      <w:r>
        <w:rPr>
          <w:spacing w:val="-3"/>
          <w:w w:val="105"/>
        </w:rPr>
        <w:t>legislation</w:t>
        <w:tab/>
      </w:r>
      <w:r>
        <w:rPr>
          <w:spacing w:val="-7"/>
          <w:w w:val="105"/>
        </w:rPr>
        <w:t>142</w:t>
      </w:r>
    </w:p>
    <w:p>
      <w:pPr>
        <w:pStyle w:val="BodyText"/>
        <w:tabs>
          <w:tab w:pos="10267" w:val="right" w:leader="dot"/>
        </w:tabs>
        <w:spacing w:before="89"/>
        <w:ind w:left="2154"/>
      </w:pPr>
      <w:r>
        <w:rPr/>
        <w:t>Special rules </w:t>
      </w:r>
      <w:r>
        <w:rPr>
          <w:spacing w:val="-3"/>
        </w:rPr>
        <w:t>for </w:t>
      </w:r>
      <w:r>
        <w:rPr/>
        <w:t>legal</w:t>
      </w:r>
      <w:r>
        <w:rPr>
          <w:spacing w:val="37"/>
        </w:rPr>
        <w:t> </w:t>
      </w:r>
      <w:r>
        <w:rPr/>
        <w:t>practitioner</w:t>
      </w:r>
      <w:r>
        <w:rPr>
          <w:spacing w:val="9"/>
        </w:rPr>
        <w:t> </w:t>
      </w:r>
      <w:r>
        <w:rPr/>
        <w:t>executors</w:t>
        <w:tab/>
      </w:r>
      <w:r>
        <w:rPr>
          <w:spacing w:val="-7"/>
        </w:rPr>
        <w:t>143</w:t>
      </w:r>
    </w:p>
    <w:p>
      <w:pPr>
        <w:pStyle w:val="BodyText"/>
        <w:tabs>
          <w:tab w:pos="10267" w:val="right" w:leader="dot"/>
        </w:tabs>
        <w:spacing w:before="89"/>
        <w:ind w:left="2437"/>
      </w:pPr>
      <w:r>
        <w:rPr>
          <w:spacing w:val="-3"/>
          <w:w w:val="105"/>
        </w:rPr>
        <w:t>Obtaining</w:t>
      </w:r>
      <w:r>
        <w:rPr>
          <w:spacing w:val="5"/>
          <w:w w:val="105"/>
        </w:rPr>
        <w:t> </w:t>
      </w:r>
      <w:r>
        <w:rPr>
          <w:spacing w:val="-3"/>
          <w:w w:val="105"/>
        </w:rPr>
        <w:t>informed</w:t>
      </w:r>
      <w:r>
        <w:rPr>
          <w:spacing w:val="6"/>
          <w:w w:val="105"/>
        </w:rPr>
        <w:t> </w:t>
      </w:r>
      <w:r>
        <w:rPr>
          <w:spacing w:val="-3"/>
          <w:w w:val="105"/>
        </w:rPr>
        <w:t>consent</w:t>
        <w:tab/>
      </w:r>
      <w:r>
        <w:rPr>
          <w:spacing w:val="-7"/>
          <w:w w:val="105"/>
        </w:rPr>
        <w:t>143</w:t>
      </w:r>
    </w:p>
    <w:p>
      <w:pPr>
        <w:pStyle w:val="BodyText"/>
        <w:tabs>
          <w:tab w:pos="10267" w:val="right" w:leader="dot"/>
        </w:tabs>
        <w:spacing w:before="89"/>
        <w:ind w:left="2437"/>
      </w:pPr>
      <w:r>
        <w:rPr>
          <w:w w:val="105"/>
        </w:rPr>
        <w:t>The</w:t>
      </w:r>
      <w:r>
        <w:rPr>
          <w:spacing w:val="5"/>
          <w:w w:val="105"/>
        </w:rPr>
        <w:t> </w:t>
      </w:r>
      <w:r>
        <w:rPr>
          <w:spacing w:val="-3"/>
          <w:w w:val="105"/>
        </w:rPr>
        <w:t>will-maker’s</w:t>
      </w:r>
      <w:r>
        <w:rPr>
          <w:spacing w:val="6"/>
          <w:w w:val="105"/>
        </w:rPr>
        <w:t> </w:t>
      </w:r>
      <w:r>
        <w:rPr>
          <w:spacing w:val="-3"/>
          <w:w w:val="105"/>
        </w:rPr>
        <w:t>consent</w:t>
        <w:tab/>
        <w:t>144</w:t>
      </w:r>
    </w:p>
    <w:p>
      <w:pPr>
        <w:pStyle w:val="BodyText"/>
        <w:tabs>
          <w:tab w:pos="10267" w:val="right" w:leader="dot"/>
        </w:tabs>
        <w:spacing w:before="88"/>
        <w:ind w:left="2437"/>
      </w:pPr>
      <w:r>
        <w:rPr>
          <w:w w:val="105"/>
        </w:rPr>
        <w:t>The</w:t>
      </w:r>
      <w:r>
        <w:rPr>
          <w:spacing w:val="5"/>
          <w:w w:val="105"/>
        </w:rPr>
        <w:t> </w:t>
      </w:r>
      <w:r>
        <w:rPr>
          <w:w w:val="105"/>
        </w:rPr>
        <w:t>beneficiaries’</w:t>
      </w:r>
      <w:r>
        <w:rPr>
          <w:spacing w:val="5"/>
          <w:w w:val="105"/>
        </w:rPr>
        <w:t> </w:t>
      </w:r>
      <w:r>
        <w:rPr>
          <w:spacing w:val="-3"/>
          <w:w w:val="105"/>
        </w:rPr>
        <w:t>consent</w:t>
        <w:tab/>
      </w:r>
      <w:r>
        <w:rPr>
          <w:spacing w:val="-6"/>
          <w:w w:val="105"/>
        </w:rPr>
        <w:t>149</w:t>
      </w:r>
    </w:p>
    <w:p>
      <w:pPr>
        <w:pStyle w:val="BodyText"/>
        <w:tabs>
          <w:tab w:pos="10267" w:val="right" w:leader="dot"/>
        </w:tabs>
        <w:spacing w:before="89"/>
        <w:ind w:left="2437"/>
      </w:pPr>
      <w:r>
        <w:rPr>
          <w:spacing w:val="-3"/>
          <w:w w:val="105"/>
        </w:rPr>
        <w:t>Distinguishing </w:t>
      </w:r>
      <w:r>
        <w:rPr>
          <w:w w:val="105"/>
        </w:rPr>
        <w:t>between </w:t>
      </w:r>
      <w:r>
        <w:rPr>
          <w:spacing w:val="-3"/>
          <w:w w:val="105"/>
        </w:rPr>
        <w:t>executorial </w:t>
      </w:r>
      <w:r>
        <w:rPr>
          <w:w w:val="105"/>
        </w:rPr>
        <w:t>and</w:t>
      </w:r>
      <w:r>
        <w:rPr>
          <w:spacing w:val="21"/>
          <w:w w:val="105"/>
        </w:rPr>
        <w:t> </w:t>
      </w:r>
      <w:r>
        <w:rPr>
          <w:spacing w:val="-3"/>
          <w:w w:val="105"/>
        </w:rPr>
        <w:t>professional</w:t>
      </w:r>
      <w:r>
        <w:rPr>
          <w:spacing w:val="4"/>
          <w:w w:val="105"/>
        </w:rPr>
        <w:t> </w:t>
      </w:r>
      <w:r>
        <w:rPr>
          <w:w w:val="105"/>
        </w:rPr>
        <w:t>services</w:t>
        <w:tab/>
      </w:r>
      <w:r>
        <w:rPr>
          <w:spacing w:val="-6"/>
          <w:w w:val="105"/>
        </w:rPr>
        <w:t>150</w:t>
      </w:r>
    </w:p>
    <w:p>
      <w:pPr>
        <w:pStyle w:val="BodyText"/>
        <w:tabs>
          <w:tab w:pos="10267" w:val="right" w:leader="dot"/>
        </w:tabs>
        <w:spacing w:before="89"/>
        <w:ind w:left="2437"/>
      </w:pPr>
      <w:r>
        <w:rPr>
          <w:spacing w:val="-3"/>
          <w:w w:val="105"/>
        </w:rPr>
        <w:t>Information </w:t>
      </w:r>
      <w:r>
        <w:rPr>
          <w:w w:val="105"/>
        </w:rPr>
        <w:t>given</w:t>
      </w:r>
      <w:r>
        <w:rPr>
          <w:spacing w:val="12"/>
          <w:w w:val="105"/>
        </w:rPr>
        <w:t> </w:t>
      </w:r>
      <w:r>
        <w:rPr>
          <w:spacing w:val="-3"/>
          <w:w w:val="105"/>
        </w:rPr>
        <w:t>to</w:t>
      </w:r>
      <w:r>
        <w:rPr>
          <w:spacing w:val="5"/>
          <w:w w:val="105"/>
        </w:rPr>
        <w:t> </w:t>
      </w:r>
      <w:r>
        <w:rPr>
          <w:w w:val="105"/>
        </w:rPr>
        <w:t>beneficiaries</w:t>
        <w:tab/>
      </w:r>
      <w:r>
        <w:rPr>
          <w:spacing w:val="-5"/>
          <w:w w:val="105"/>
        </w:rPr>
        <w:t>154</w:t>
      </w:r>
    </w:p>
    <w:p>
      <w:pPr>
        <w:pStyle w:val="BodyText"/>
        <w:tabs>
          <w:tab w:pos="10267" w:val="right" w:leader="dot"/>
        </w:tabs>
        <w:spacing w:before="88"/>
        <w:ind w:left="2154"/>
      </w:pPr>
      <w:r>
        <w:rPr>
          <w:spacing w:val="-3"/>
          <w:w w:val="105"/>
        </w:rPr>
        <w:t>Court </w:t>
      </w:r>
      <w:r>
        <w:rPr>
          <w:w w:val="105"/>
        </w:rPr>
        <w:t>review of costs</w:t>
      </w:r>
      <w:r>
        <w:rPr>
          <w:spacing w:val="24"/>
          <w:w w:val="105"/>
        </w:rPr>
        <w:t> </w:t>
      </w:r>
      <w:r>
        <w:rPr>
          <w:w w:val="105"/>
        </w:rPr>
        <w:t>and</w:t>
      </w:r>
      <w:r>
        <w:rPr>
          <w:spacing w:val="5"/>
          <w:w w:val="105"/>
        </w:rPr>
        <w:t> </w:t>
      </w:r>
      <w:r>
        <w:rPr>
          <w:spacing w:val="-3"/>
          <w:w w:val="105"/>
        </w:rPr>
        <w:t>commission</w:t>
        <w:tab/>
      </w:r>
      <w:r>
        <w:rPr>
          <w:spacing w:val="-8"/>
          <w:w w:val="105"/>
        </w:rPr>
        <w:t>159</w:t>
      </w:r>
    </w:p>
    <w:p>
      <w:pPr>
        <w:pStyle w:val="BodyText"/>
        <w:tabs>
          <w:tab w:pos="10266" w:val="right" w:leader="dot"/>
        </w:tabs>
        <w:spacing w:before="89"/>
        <w:ind w:left="2437"/>
      </w:pPr>
      <w:r>
        <w:rPr>
          <w:w w:val="105"/>
        </w:rPr>
        <w:t>Proposed</w:t>
      </w:r>
      <w:r>
        <w:rPr>
          <w:spacing w:val="5"/>
          <w:w w:val="105"/>
        </w:rPr>
        <w:t> </w:t>
      </w:r>
      <w:r>
        <w:rPr>
          <w:spacing w:val="-3"/>
          <w:w w:val="105"/>
        </w:rPr>
        <w:t>reforms</w:t>
        <w:tab/>
      </w:r>
      <w:r>
        <w:rPr>
          <w:spacing w:val="-8"/>
          <w:w w:val="105"/>
        </w:rPr>
        <w:t>159</w:t>
      </w:r>
    </w:p>
    <w:p>
      <w:pPr>
        <w:pStyle w:val="BodyText"/>
        <w:tabs>
          <w:tab w:pos="10253" w:val="right" w:leader="dot"/>
        </w:tabs>
        <w:spacing w:before="89"/>
        <w:ind w:left="2437"/>
      </w:pPr>
      <w:r>
        <w:rPr>
          <w:w w:val="105"/>
        </w:rPr>
        <w:t>Scope and </w:t>
      </w:r>
      <w:r>
        <w:rPr>
          <w:spacing w:val="-3"/>
          <w:w w:val="105"/>
        </w:rPr>
        <w:t>nature </w:t>
      </w:r>
      <w:r>
        <w:rPr>
          <w:w w:val="105"/>
        </w:rPr>
        <w:t>of the</w:t>
      </w:r>
      <w:r>
        <w:rPr>
          <w:spacing w:val="26"/>
          <w:w w:val="105"/>
        </w:rPr>
        <w:t> </w:t>
      </w:r>
      <w:r>
        <w:rPr>
          <w:w w:val="105"/>
        </w:rPr>
        <w:t>review</w:t>
      </w:r>
      <w:r>
        <w:rPr>
          <w:spacing w:val="5"/>
          <w:w w:val="105"/>
        </w:rPr>
        <w:t> </w:t>
      </w:r>
      <w:r>
        <w:rPr>
          <w:w w:val="105"/>
        </w:rPr>
        <w:t>power</w:t>
        <w:tab/>
      </w:r>
      <w:r>
        <w:rPr>
          <w:spacing w:val="-14"/>
          <w:w w:val="105"/>
        </w:rPr>
        <w:t>161</w:t>
      </w:r>
    </w:p>
    <w:p>
      <w:pPr>
        <w:pStyle w:val="BodyText"/>
        <w:tabs>
          <w:tab w:pos="10266" w:val="right" w:leader="dot"/>
        </w:tabs>
        <w:spacing w:before="88"/>
        <w:ind w:left="2153"/>
      </w:pPr>
      <w:r>
        <w:rPr>
          <w:w w:val="105"/>
        </w:rPr>
        <w:t>Other</w:t>
      </w:r>
      <w:r>
        <w:rPr>
          <w:spacing w:val="5"/>
          <w:w w:val="105"/>
        </w:rPr>
        <w:t> </w:t>
      </w:r>
      <w:r>
        <w:rPr>
          <w:w w:val="105"/>
        </w:rPr>
        <w:t>regulatory</w:t>
      </w:r>
      <w:r>
        <w:rPr>
          <w:spacing w:val="5"/>
          <w:w w:val="105"/>
        </w:rPr>
        <w:t> </w:t>
      </w:r>
      <w:r>
        <w:rPr>
          <w:spacing w:val="-3"/>
          <w:w w:val="105"/>
        </w:rPr>
        <w:t>reform</w:t>
        <w:tab/>
      </w:r>
      <w:r>
        <w:rPr>
          <w:spacing w:val="-4"/>
          <w:w w:val="105"/>
        </w:rPr>
        <w:t>166</w:t>
      </w:r>
    </w:p>
    <w:p>
      <w:pPr>
        <w:pStyle w:val="BodyText"/>
        <w:tabs>
          <w:tab w:pos="10266" w:val="right" w:leader="dot"/>
        </w:tabs>
        <w:spacing w:before="89"/>
        <w:ind w:left="2437"/>
      </w:pPr>
      <w:r>
        <w:rPr>
          <w:w w:val="105"/>
        </w:rPr>
        <w:t>Legal</w:t>
      </w:r>
      <w:r>
        <w:rPr>
          <w:spacing w:val="5"/>
          <w:w w:val="105"/>
        </w:rPr>
        <w:t> </w:t>
      </w:r>
      <w:r>
        <w:rPr>
          <w:w w:val="105"/>
        </w:rPr>
        <w:t>Services</w:t>
      </w:r>
      <w:r>
        <w:rPr>
          <w:spacing w:val="5"/>
          <w:w w:val="105"/>
        </w:rPr>
        <w:t> </w:t>
      </w:r>
      <w:r>
        <w:rPr>
          <w:spacing w:val="-3"/>
          <w:w w:val="105"/>
        </w:rPr>
        <w:t>Commissioner</w:t>
        <w:tab/>
      </w:r>
      <w:r>
        <w:rPr>
          <w:spacing w:val="-4"/>
          <w:w w:val="105"/>
        </w:rPr>
        <w:t>166</w:t>
      </w:r>
    </w:p>
    <w:p>
      <w:pPr>
        <w:pStyle w:val="BodyText"/>
        <w:tabs>
          <w:tab w:pos="10266" w:val="right" w:leader="dot"/>
        </w:tabs>
        <w:spacing w:before="89"/>
        <w:ind w:left="2437"/>
      </w:pPr>
      <w:r>
        <w:rPr>
          <w:w w:val="105"/>
        </w:rPr>
        <w:t>Costs review by the</w:t>
      </w:r>
      <w:r>
        <w:rPr>
          <w:spacing w:val="21"/>
          <w:w w:val="105"/>
        </w:rPr>
        <w:t> </w:t>
      </w:r>
      <w:r>
        <w:rPr>
          <w:w w:val="105"/>
        </w:rPr>
        <w:t>Costs</w:t>
      </w:r>
      <w:r>
        <w:rPr>
          <w:spacing w:val="5"/>
          <w:w w:val="105"/>
        </w:rPr>
        <w:t> </w:t>
      </w:r>
      <w:r>
        <w:rPr>
          <w:spacing w:val="-3"/>
          <w:w w:val="105"/>
        </w:rPr>
        <w:t>Court</w:t>
        <w:tab/>
      </w:r>
      <w:r>
        <w:rPr>
          <w:spacing w:val="-4"/>
          <w:w w:val="105"/>
        </w:rPr>
        <w:t>168</w:t>
      </w:r>
    </w:p>
    <w:p>
      <w:pPr>
        <w:pStyle w:val="BodyText"/>
        <w:tabs>
          <w:tab w:pos="10266" w:val="right" w:leader="dot"/>
        </w:tabs>
        <w:spacing w:before="88"/>
        <w:ind w:left="2437"/>
      </w:pPr>
      <w:r>
        <w:rPr>
          <w:spacing w:val="-3"/>
          <w:w w:val="105"/>
        </w:rPr>
        <w:t>Professional </w:t>
      </w:r>
      <w:r>
        <w:rPr>
          <w:w w:val="105"/>
        </w:rPr>
        <w:t>rules</w:t>
      </w:r>
      <w:r>
        <w:rPr>
          <w:spacing w:val="13"/>
          <w:w w:val="105"/>
        </w:rPr>
        <w:t> </w:t>
      </w:r>
      <w:r>
        <w:rPr>
          <w:w w:val="105"/>
        </w:rPr>
        <w:t>and</w:t>
      </w:r>
      <w:r>
        <w:rPr>
          <w:spacing w:val="5"/>
          <w:w w:val="105"/>
        </w:rPr>
        <w:t> </w:t>
      </w:r>
      <w:r>
        <w:rPr>
          <w:spacing w:val="-3"/>
          <w:w w:val="105"/>
        </w:rPr>
        <w:t>guidelines</w:t>
        <w:tab/>
      </w:r>
      <w:r>
        <w:rPr>
          <w:spacing w:val="-9"/>
          <w:w w:val="105"/>
        </w:rPr>
        <w:t>170</w:t>
      </w:r>
    </w:p>
    <w:p>
      <w:pPr>
        <w:pStyle w:val="BodyText"/>
        <w:tabs>
          <w:tab w:pos="10266" w:val="right" w:leader="dot"/>
        </w:tabs>
        <w:spacing w:before="89"/>
        <w:ind w:left="2437"/>
      </w:pPr>
      <w:r>
        <w:rPr>
          <w:spacing w:val="-3"/>
          <w:w w:val="105"/>
        </w:rPr>
        <w:t>Community</w:t>
      </w:r>
      <w:r>
        <w:rPr>
          <w:spacing w:val="5"/>
          <w:w w:val="105"/>
        </w:rPr>
        <w:t> </w:t>
      </w:r>
      <w:r>
        <w:rPr>
          <w:w w:val="105"/>
        </w:rPr>
        <w:t>education</w:t>
        <w:tab/>
      </w:r>
      <w:r>
        <w:rPr>
          <w:spacing w:val="-10"/>
          <w:w w:val="105"/>
        </w:rPr>
        <w:t>171</w:t>
      </w:r>
    </w:p>
    <w:p>
      <w:pPr>
        <w:pStyle w:val="ListParagraph"/>
        <w:numPr>
          <w:ilvl w:val="1"/>
          <w:numId w:val="1"/>
        </w:numPr>
        <w:tabs>
          <w:tab w:pos="1822" w:val="left" w:leader="none"/>
          <w:tab w:pos="10266" w:val="right" w:leader="dot"/>
        </w:tabs>
        <w:spacing w:line="240" w:lineRule="auto" w:before="84" w:after="0"/>
        <w:ind w:left="1821" w:right="0" w:hanging="235"/>
        <w:jc w:val="left"/>
        <w:rPr>
          <w:sz w:val="21"/>
        </w:rPr>
      </w:pPr>
      <w:r>
        <w:rPr>
          <w:rFonts w:ascii="Lucida Sans"/>
          <w:b/>
          <w:color w:val="EC5A4F"/>
          <w:sz w:val="21"/>
        </w:rPr>
        <w:t>Payment</w:t>
      </w:r>
      <w:r>
        <w:rPr>
          <w:rFonts w:ascii="Lucida Sans"/>
          <w:b/>
          <w:color w:val="EC5A4F"/>
          <w:spacing w:val="-12"/>
          <w:sz w:val="21"/>
        </w:rPr>
        <w:t> </w:t>
      </w:r>
      <w:r>
        <w:rPr>
          <w:rFonts w:ascii="Lucida Sans"/>
          <w:b/>
          <w:color w:val="EC5A4F"/>
          <w:sz w:val="21"/>
        </w:rPr>
        <w:t>of</w:t>
      </w:r>
      <w:r>
        <w:rPr>
          <w:rFonts w:ascii="Lucida Sans"/>
          <w:b/>
          <w:color w:val="EC5A4F"/>
          <w:spacing w:val="-12"/>
          <w:sz w:val="21"/>
        </w:rPr>
        <w:t> </w:t>
      </w:r>
      <w:r>
        <w:rPr>
          <w:rFonts w:ascii="Lucida Sans"/>
          <w:b/>
          <w:color w:val="EC5A4F"/>
          <w:sz w:val="21"/>
        </w:rPr>
        <w:t>debts</w:t>
        <w:tab/>
      </w:r>
      <w:r>
        <w:rPr>
          <w:spacing w:val="-11"/>
          <w:sz w:val="21"/>
        </w:rPr>
        <w:t>174</w:t>
      </w:r>
    </w:p>
    <w:p>
      <w:pPr>
        <w:pStyle w:val="BodyText"/>
        <w:tabs>
          <w:tab w:pos="10266" w:val="right" w:leader="dot"/>
        </w:tabs>
        <w:spacing w:before="89"/>
        <w:ind w:left="2153"/>
      </w:pPr>
      <w:r>
        <w:rPr>
          <w:w w:val="105"/>
        </w:rPr>
        <w:t>Introduction</w:t>
        <w:tab/>
      </w:r>
      <w:r>
        <w:rPr>
          <w:spacing w:val="-11"/>
          <w:w w:val="105"/>
        </w:rPr>
        <w:t>174</w:t>
      </w:r>
    </w:p>
    <w:p>
      <w:pPr>
        <w:pStyle w:val="BodyText"/>
        <w:tabs>
          <w:tab w:pos="10266" w:val="right" w:leader="dot"/>
        </w:tabs>
        <w:spacing w:before="89"/>
        <w:ind w:left="2436"/>
      </w:pPr>
      <w:r>
        <w:rPr>
          <w:spacing w:val="-3"/>
          <w:w w:val="105"/>
        </w:rPr>
        <w:t>National Committee for Uniform</w:t>
      </w:r>
      <w:r>
        <w:rPr>
          <w:spacing w:val="31"/>
          <w:w w:val="105"/>
        </w:rPr>
        <w:t> </w:t>
      </w:r>
      <w:r>
        <w:rPr>
          <w:spacing w:val="-3"/>
          <w:w w:val="105"/>
        </w:rPr>
        <w:t>Succession</w:t>
      </w:r>
      <w:r>
        <w:rPr>
          <w:spacing w:val="6"/>
          <w:w w:val="105"/>
        </w:rPr>
        <w:t> </w:t>
      </w:r>
      <w:r>
        <w:rPr>
          <w:w w:val="105"/>
        </w:rPr>
        <w:t>Laws</w:t>
        <w:tab/>
      </w:r>
      <w:r>
        <w:rPr>
          <w:spacing w:val="-11"/>
          <w:w w:val="105"/>
        </w:rPr>
        <w:t>174</w:t>
      </w:r>
    </w:p>
    <w:p>
      <w:pPr>
        <w:pStyle w:val="BodyText"/>
        <w:tabs>
          <w:tab w:pos="10266" w:val="right" w:leader="dot"/>
        </w:tabs>
        <w:spacing w:before="88"/>
        <w:ind w:left="2436"/>
      </w:pPr>
      <w:r>
        <w:rPr>
          <w:w w:val="105"/>
        </w:rPr>
        <w:t>Areas in which the </w:t>
      </w:r>
      <w:r>
        <w:rPr>
          <w:spacing w:val="-3"/>
          <w:w w:val="105"/>
        </w:rPr>
        <w:t>Commission</w:t>
      </w:r>
      <w:r>
        <w:rPr>
          <w:spacing w:val="24"/>
          <w:w w:val="105"/>
        </w:rPr>
        <w:t> </w:t>
      </w:r>
      <w:r>
        <w:rPr>
          <w:spacing w:val="-3"/>
          <w:w w:val="105"/>
        </w:rPr>
        <w:t>recommends</w:t>
      </w:r>
      <w:r>
        <w:rPr>
          <w:spacing w:val="5"/>
          <w:w w:val="105"/>
        </w:rPr>
        <w:t> </w:t>
      </w:r>
      <w:r>
        <w:rPr>
          <w:spacing w:val="-3"/>
          <w:w w:val="105"/>
        </w:rPr>
        <w:t>reform</w:t>
        <w:tab/>
      </w:r>
      <w:r>
        <w:rPr>
          <w:spacing w:val="-11"/>
          <w:w w:val="105"/>
        </w:rPr>
        <w:t>174</w:t>
      </w:r>
    </w:p>
    <w:p>
      <w:pPr>
        <w:pStyle w:val="BodyText"/>
        <w:spacing w:before="89"/>
        <w:ind w:left="2436"/>
      </w:pPr>
      <w:r>
        <w:rPr>
          <w:w w:val="105"/>
        </w:rPr>
        <w:t>Overview of the application of assets for payment of debts of deceased estates</w:t>
      </w:r>
    </w:p>
    <w:p>
      <w:pPr>
        <w:pStyle w:val="BodyText"/>
        <w:tabs>
          <w:tab w:pos="10266" w:val="right" w:leader="dot"/>
        </w:tabs>
        <w:spacing w:before="4"/>
        <w:ind w:left="2436"/>
      </w:pPr>
      <w:r>
        <w:rPr>
          <w:w w:val="105"/>
        </w:rPr>
        <w:t>in</w:t>
      </w:r>
      <w:r>
        <w:rPr>
          <w:spacing w:val="5"/>
          <w:w w:val="105"/>
        </w:rPr>
        <w:t> </w:t>
      </w:r>
      <w:r>
        <w:rPr>
          <w:w w:val="105"/>
        </w:rPr>
        <w:t>Victoria</w:t>
        <w:tab/>
      </w:r>
      <w:r>
        <w:rPr>
          <w:spacing w:val="-8"/>
          <w:w w:val="105"/>
        </w:rPr>
        <w:t>175</w:t>
      </w:r>
    </w:p>
    <w:p>
      <w:pPr>
        <w:pStyle w:val="BodyText"/>
        <w:tabs>
          <w:tab w:pos="10266" w:val="right" w:leader="dot"/>
        </w:tabs>
        <w:spacing w:before="88"/>
        <w:ind w:left="2153"/>
      </w:pPr>
      <w:r>
        <w:rPr>
          <w:w w:val="105"/>
        </w:rPr>
        <w:t>Solvent</w:t>
      </w:r>
      <w:r>
        <w:rPr>
          <w:spacing w:val="5"/>
          <w:w w:val="105"/>
        </w:rPr>
        <w:t> </w:t>
      </w:r>
      <w:r>
        <w:rPr>
          <w:w w:val="105"/>
        </w:rPr>
        <w:t>estates</w:t>
        <w:tab/>
      </w:r>
      <w:r>
        <w:rPr>
          <w:spacing w:val="-8"/>
          <w:w w:val="105"/>
        </w:rPr>
        <w:t>175</w:t>
      </w:r>
    </w:p>
    <w:p>
      <w:pPr>
        <w:pStyle w:val="BodyText"/>
        <w:tabs>
          <w:tab w:pos="10266" w:val="right" w:leader="dot"/>
        </w:tabs>
        <w:spacing w:before="89"/>
        <w:ind w:left="2437"/>
      </w:pPr>
      <w:r>
        <w:rPr>
          <w:w w:val="105"/>
        </w:rPr>
        <w:t>Order of application</w:t>
      </w:r>
      <w:r>
        <w:rPr>
          <w:spacing w:val="14"/>
          <w:w w:val="105"/>
        </w:rPr>
        <w:t> </w:t>
      </w:r>
      <w:r>
        <w:rPr>
          <w:w w:val="105"/>
        </w:rPr>
        <w:t>of</w:t>
      </w:r>
      <w:r>
        <w:rPr>
          <w:spacing w:val="5"/>
          <w:w w:val="105"/>
        </w:rPr>
        <w:t> </w:t>
      </w:r>
      <w:r>
        <w:rPr>
          <w:w w:val="105"/>
        </w:rPr>
        <w:t>assets</w:t>
        <w:tab/>
      </w:r>
      <w:r>
        <w:rPr>
          <w:spacing w:val="-8"/>
          <w:w w:val="105"/>
        </w:rPr>
        <w:t>175</w:t>
      </w:r>
    </w:p>
    <w:p>
      <w:pPr>
        <w:pStyle w:val="BodyText"/>
        <w:tabs>
          <w:tab w:pos="10266" w:val="right" w:leader="dot"/>
        </w:tabs>
        <w:spacing w:before="89"/>
        <w:ind w:left="2437"/>
      </w:pPr>
      <w:r>
        <w:rPr>
          <w:spacing w:val="-3"/>
          <w:w w:val="105"/>
        </w:rPr>
        <w:t>Payment </w:t>
      </w:r>
      <w:r>
        <w:rPr>
          <w:w w:val="105"/>
        </w:rPr>
        <w:t>of</w:t>
      </w:r>
      <w:r>
        <w:rPr>
          <w:spacing w:val="12"/>
          <w:w w:val="105"/>
        </w:rPr>
        <w:t> </w:t>
      </w:r>
      <w:r>
        <w:rPr>
          <w:w w:val="105"/>
        </w:rPr>
        <w:t>pecuniary</w:t>
      </w:r>
      <w:r>
        <w:rPr>
          <w:spacing w:val="5"/>
          <w:w w:val="105"/>
        </w:rPr>
        <w:t> </w:t>
      </w:r>
      <w:r>
        <w:rPr>
          <w:w w:val="105"/>
        </w:rPr>
        <w:t>legacies</w:t>
        <w:tab/>
      </w:r>
      <w:r>
        <w:rPr>
          <w:spacing w:val="-4"/>
          <w:w w:val="105"/>
        </w:rPr>
        <w:t>180</w:t>
      </w:r>
    </w:p>
    <w:p>
      <w:pPr>
        <w:pStyle w:val="BodyText"/>
        <w:tabs>
          <w:tab w:pos="10266" w:val="right" w:leader="dot"/>
        </w:tabs>
        <w:spacing w:before="88"/>
        <w:ind w:left="2437"/>
      </w:pPr>
      <w:r>
        <w:rPr>
          <w:w w:val="105"/>
        </w:rPr>
        <w:t>Exception </w:t>
      </w:r>
      <w:r>
        <w:rPr>
          <w:spacing w:val="-3"/>
          <w:w w:val="105"/>
        </w:rPr>
        <w:t>to </w:t>
      </w:r>
      <w:r>
        <w:rPr>
          <w:w w:val="105"/>
        </w:rPr>
        <w:t>the statutory order </w:t>
      </w:r>
      <w:r>
        <w:rPr>
          <w:spacing w:val="-3"/>
          <w:w w:val="105"/>
        </w:rPr>
        <w:t>for charged </w:t>
      </w:r>
      <w:r>
        <w:rPr>
          <w:w w:val="105"/>
        </w:rPr>
        <w:t>or</w:t>
      </w:r>
      <w:r>
        <w:rPr>
          <w:spacing w:val="26"/>
          <w:w w:val="105"/>
        </w:rPr>
        <w:t> </w:t>
      </w:r>
      <w:r>
        <w:rPr>
          <w:w w:val="105"/>
        </w:rPr>
        <w:t>mortgaged</w:t>
      </w:r>
      <w:r>
        <w:rPr>
          <w:spacing w:val="2"/>
          <w:w w:val="105"/>
        </w:rPr>
        <w:t> </w:t>
      </w:r>
      <w:r>
        <w:rPr>
          <w:w w:val="105"/>
        </w:rPr>
        <w:t>property</w:t>
        <w:tab/>
      </w:r>
      <w:r>
        <w:rPr>
          <w:spacing w:val="-4"/>
          <w:w w:val="105"/>
        </w:rPr>
        <w:t>180</w:t>
      </w:r>
    </w:p>
    <w:p>
      <w:pPr>
        <w:pStyle w:val="BodyText"/>
        <w:tabs>
          <w:tab w:pos="10266" w:val="right" w:leader="dot"/>
        </w:tabs>
        <w:spacing w:before="89"/>
        <w:ind w:left="2437"/>
      </w:pPr>
      <w:r>
        <w:rPr>
          <w:w w:val="105"/>
        </w:rPr>
        <w:t>Effect on </w:t>
      </w:r>
      <w:r>
        <w:rPr>
          <w:spacing w:val="-3"/>
          <w:w w:val="105"/>
        </w:rPr>
        <w:t>successful family</w:t>
      </w:r>
      <w:r>
        <w:rPr>
          <w:spacing w:val="22"/>
          <w:w w:val="105"/>
        </w:rPr>
        <w:t> </w:t>
      </w:r>
      <w:r>
        <w:rPr>
          <w:spacing w:val="-3"/>
          <w:w w:val="105"/>
        </w:rPr>
        <w:t>provision</w:t>
      </w:r>
      <w:r>
        <w:rPr>
          <w:spacing w:val="5"/>
          <w:w w:val="105"/>
        </w:rPr>
        <w:t> </w:t>
      </w:r>
      <w:r>
        <w:rPr>
          <w:spacing w:val="-3"/>
          <w:w w:val="105"/>
        </w:rPr>
        <w:t>claims</w:t>
        <w:tab/>
      </w:r>
      <w:r>
        <w:rPr>
          <w:spacing w:val="-5"/>
          <w:w w:val="105"/>
        </w:rPr>
        <w:t>183</w:t>
      </w:r>
    </w:p>
    <w:p>
      <w:pPr>
        <w:pStyle w:val="BodyText"/>
        <w:tabs>
          <w:tab w:pos="10266" w:val="right" w:leader="dot"/>
        </w:tabs>
        <w:spacing w:before="89"/>
        <w:ind w:left="2153"/>
      </w:pPr>
      <w:r>
        <w:rPr/>
        <w:t>Insolvent</w:t>
      </w:r>
      <w:r>
        <w:rPr>
          <w:spacing w:val="8"/>
        </w:rPr>
        <w:t> </w:t>
      </w:r>
      <w:r>
        <w:rPr/>
        <w:t>estates</w:t>
        <w:tab/>
      </w:r>
      <w:r>
        <w:rPr>
          <w:spacing w:val="-5"/>
        </w:rPr>
        <w:t>183</w:t>
      </w:r>
    </w:p>
    <w:p>
      <w:pPr>
        <w:pStyle w:val="BodyText"/>
        <w:tabs>
          <w:tab w:pos="10266" w:val="right" w:leader="dot"/>
        </w:tabs>
        <w:spacing w:before="89"/>
        <w:ind w:left="2437"/>
      </w:pPr>
      <w:r>
        <w:rPr>
          <w:w w:val="105"/>
        </w:rPr>
        <w:t>Application of the Bankruptcy Act </w:t>
      </w:r>
      <w:r>
        <w:rPr>
          <w:spacing w:val="-3"/>
          <w:w w:val="105"/>
        </w:rPr>
        <w:t>to </w:t>
      </w:r>
      <w:r>
        <w:rPr>
          <w:w w:val="105"/>
        </w:rPr>
        <w:t>payment</w:t>
      </w:r>
      <w:r>
        <w:rPr>
          <w:spacing w:val="31"/>
          <w:w w:val="105"/>
        </w:rPr>
        <w:t> </w:t>
      </w:r>
      <w:r>
        <w:rPr>
          <w:w w:val="105"/>
        </w:rPr>
        <w:t>of</w:t>
      </w:r>
      <w:r>
        <w:rPr>
          <w:spacing w:val="4"/>
          <w:w w:val="105"/>
        </w:rPr>
        <w:t> </w:t>
      </w:r>
      <w:r>
        <w:rPr>
          <w:w w:val="105"/>
        </w:rPr>
        <w:t>debts</w:t>
        <w:tab/>
      </w:r>
      <w:r>
        <w:rPr>
          <w:spacing w:val="-5"/>
          <w:w w:val="105"/>
        </w:rPr>
        <w:t>183</w:t>
      </w:r>
    </w:p>
    <w:p>
      <w:pPr>
        <w:pStyle w:val="BodyText"/>
        <w:tabs>
          <w:tab w:pos="10266" w:val="right" w:leader="dot"/>
        </w:tabs>
        <w:spacing w:before="88"/>
        <w:ind w:left="2437"/>
      </w:pPr>
      <w:r>
        <w:rPr>
          <w:spacing w:val="-3"/>
          <w:w w:val="105"/>
        </w:rPr>
        <w:t>Clarification </w:t>
      </w:r>
      <w:r>
        <w:rPr>
          <w:w w:val="105"/>
        </w:rPr>
        <w:t>of the </w:t>
      </w:r>
      <w:r>
        <w:rPr>
          <w:spacing w:val="-3"/>
          <w:w w:val="105"/>
        </w:rPr>
        <w:t>interaction </w:t>
      </w:r>
      <w:r>
        <w:rPr>
          <w:w w:val="105"/>
        </w:rPr>
        <w:t>between the</w:t>
      </w:r>
      <w:r>
        <w:rPr>
          <w:spacing w:val="32"/>
          <w:w w:val="105"/>
        </w:rPr>
        <w:t> </w:t>
      </w:r>
      <w:r>
        <w:rPr>
          <w:w w:val="105"/>
        </w:rPr>
        <w:t>two</w:t>
      </w:r>
      <w:r>
        <w:rPr>
          <w:spacing w:val="4"/>
          <w:w w:val="105"/>
        </w:rPr>
        <w:t> </w:t>
      </w:r>
      <w:r>
        <w:rPr>
          <w:w w:val="105"/>
        </w:rPr>
        <w:t>systems</w:t>
        <w:tab/>
      </w:r>
      <w:r>
        <w:rPr>
          <w:spacing w:val="-3"/>
          <w:w w:val="105"/>
        </w:rPr>
        <w:t>184</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
        <w:rPr>
          <w:sz w:val="40"/>
        </w:rPr>
      </w:pPr>
    </w:p>
    <w:p>
      <w:pPr>
        <w:spacing w:before="0"/>
        <w:ind w:left="0" w:right="662" w:firstLine="0"/>
        <w:jc w:val="right"/>
        <w:rPr>
          <w:b/>
          <w:sz w:val="24"/>
        </w:rPr>
      </w:pPr>
      <w:r>
        <w:rPr>
          <w:b/>
          <w:color w:val="EC5A4F"/>
          <w:w w:val="115"/>
          <w:sz w:val="24"/>
        </w:rPr>
        <w:t>vii</w:t>
      </w:r>
    </w:p>
    <w:p>
      <w:pPr>
        <w:spacing w:after="0"/>
        <w:jc w:val="right"/>
        <w:rPr>
          <w:sz w:val="24"/>
        </w:rPr>
        <w:sectPr>
          <w:pgSz w:w="11910" w:h="16840"/>
          <w:pgMar w:header="550" w:footer="0" w:top="1560" w:bottom="280" w:left="0" w:right="0"/>
        </w:sectPr>
      </w:pPr>
    </w:p>
    <w:p>
      <w:pPr>
        <w:pStyle w:val="BodyText"/>
        <w:spacing w:before="4"/>
        <w:rPr>
          <w:b/>
          <w:sz w:val="22"/>
        </w:rPr>
      </w:pPr>
    </w:p>
    <w:p>
      <w:pPr>
        <w:pStyle w:val="ListParagraph"/>
        <w:numPr>
          <w:ilvl w:val="1"/>
          <w:numId w:val="1"/>
        </w:numPr>
        <w:tabs>
          <w:tab w:pos="1816" w:val="left" w:leader="none"/>
          <w:tab w:pos="10267" w:val="right" w:leader="dot"/>
        </w:tabs>
        <w:spacing w:line="240" w:lineRule="auto" w:before="92" w:after="0"/>
        <w:ind w:left="1815" w:right="0" w:hanging="228"/>
        <w:jc w:val="left"/>
        <w:rPr>
          <w:sz w:val="21"/>
        </w:rPr>
      </w:pPr>
      <w:r>
        <w:rPr>
          <w:rFonts w:ascii="Lucida Sans"/>
          <w:b/>
          <w:color w:val="EC5A4F"/>
          <w:sz w:val="21"/>
        </w:rPr>
        <w:t>Small</w:t>
      </w:r>
      <w:r>
        <w:rPr>
          <w:rFonts w:ascii="Lucida Sans"/>
          <w:b/>
          <w:color w:val="EC5A4F"/>
          <w:spacing w:val="-12"/>
          <w:sz w:val="21"/>
        </w:rPr>
        <w:t> </w:t>
      </w:r>
      <w:r>
        <w:rPr>
          <w:rFonts w:ascii="Lucida Sans"/>
          <w:b/>
          <w:color w:val="EC5A4F"/>
          <w:sz w:val="21"/>
        </w:rPr>
        <w:t>estates</w:t>
        <w:tab/>
      </w:r>
      <w:r>
        <w:rPr>
          <w:spacing w:val="-4"/>
          <w:sz w:val="21"/>
        </w:rPr>
        <w:t>188</w:t>
      </w:r>
    </w:p>
    <w:p>
      <w:pPr>
        <w:pStyle w:val="BodyText"/>
        <w:tabs>
          <w:tab w:pos="10267" w:val="right" w:leader="dot"/>
        </w:tabs>
        <w:spacing w:before="89"/>
        <w:ind w:left="2154"/>
      </w:pPr>
      <w:r>
        <w:rPr>
          <w:w w:val="105"/>
        </w:rPr>
        <w:t>Introduction</w:t>
        <w:tab/>
      </w:r>
      <w:r>
        <w:rPr>
          <w:spacing w:val="-4"/>
          <w:w w:val="105"/>
        </w:rPr>
        <w:t>188</w:t>
      </w:r>
    </w:p>
    <w:p>
      <w:pPr>
        <w:pStyle w:val="BodyText"/>
        <w:tabs>
          <w:tab w:pos="10267" w:val="right" w:leader="dot"/>
        </w:tabs>
        <w:spacing w:before="89"/>
        <w:ind w:left="2438"/>
      </w:pPr>
      <w:r>
        <w:rPr>
          <w:w w:val="105"/>
        </w:rPr>
        <w:t>Assistance </w:t>
      </w:r>
      <w:r>
        <w:rPr>
          <w:spacing w:val="-3"/>
          <w:w w:val="105"/>
        </w:rPr>
        <w:t>for</w:t>
      </w:r>
      <w:r>
        <w:rPr>
          <w:spacing w:val="10"/>
          <w:w w:val="105"/>
        </w:rPr>
        <w:t> </w:t>
      </w:r>
      <w:r>
        <w:rPr>
          <w:spacing w:val="-3"/>
          <w:w w:val="105"/>
        </w:rPr>
        <w:t>small</w:t>
      </w:r>
      <w:r>
        <w:rPr>
          <w:spacing w:val="5"/>
          <w:w w:val="105"/>
        </w:rPr>
        <w:t> </w:t>
      </w:r>
      <w:r>
        <w:rPr>
          <w:w w:val="105"/>
        </w:rPr>
        <w:t>estates</w:t>
        <w:tab/>
      </w:r>
      <w:r>
        <w:rPr>
          <w:spacing w:val="-4"/>
          <w:w w:val="105"/>
        </w:rPr>
        <w:t>188</w:t>
      </w:r>
    </w:p>
    <w:p>
      <w:pPr>
        <w:pStyle w:val="BodyText"/>
        <w:tabs>
          <w:tab w:pos="10267" w:val="right" w:leader="dot"/>
        </w:tabs>
        <w:spacing w:before="88"/>
        <w:ind w:left="2438"/>
      </w:pPr>
      <w:r>
        <w:rPr>
          <w:w w:val="105"/>
        </w:rPr>
        <w:t>The</w:t>
      </w:r>
      <w:r>
        <w:rPr>
          <w:spacing w:val="5"/>
          <w:w w:val="105"/>
        </w:rPr>
        <w:t> </w:t>
      </w:r>
      <w:r>
        <w:rPr>
          <w:spacing w:val="-4"/>
          <w:w w:val="105"/>
        </w:rPr>
        <w:t>Commission’s</w:t>
      </w:r>
      <w:r>
        <w:rPr>
          <w:spacing w:val="6"/>
          <w:w w:val="105"/>
        </w:rPr>
        <w:t> </w:t>
      </w:r>
      <w:r>
        <w:rPr>
          <w:w w:val="105"/>
        </w:rPr>
        <w:t>approach</w:t>
        <w:tab/>
      </w:r>
      <w:r>
        <w:rPr>
          <w:spacing w:val="-5"/>
          <w:w w:val="105"/>
        </w:rPr>
        <w:t>189</w:t>
      </w:r>
    </w:p>
    <w:p>
      <w:pPr>
        <w:pStyle w:val="BodyText"/>
        <w:tabs>
          <w:tab w:pos="10267" w:val="right" w:leader="dot"/>
        </w:tabs>
        <w:spacing w:before="89"/>
        <w:ind w:left="2438"/>
      </w:pPr>
      <w:r>
        <w:rPr>
          <w:spacing w:val="-3"/>
          <w:w w:val="105"/>
        </w:rPr>
        <w:t>National Committee for Uniform</w:t>
      </w:r>
      <w:r>
        <w:rPr>
          <w:spacing w:val="31"/>
          <w:w w:val="105"/>
        </w:rPr>
        <w:t> </w:t>
      </w:r>
      <w:r>
        <w:rPr>
          <w:spacing w:val="-3"/>
          <w:w w:val="105"/>
        </w:rPr>
        <w:t>Succession</w:t>
      </w:r>
      <w:r>
        <w:rPr>
          <w:spacing w:val="6"/>
          <w:w w:val="105"/>
        </w:rPr>
        <w:t> </w:t>
      </w:r>
      <w:r>
        <w:rPr>
          <w:w w:val="105"/>
        </w:rPr>
        <w:t>Laws</w:t>
        <w:tab/>
      </w:r>
      <w:r>
        <w:rPr>
          <w:spacing w:val="-5"/>
          <w:w w:val="105"/>
        </w:rPr>
        <w:t>189</w:t>
      </w:r>
    </w:p>
    <w:p>
      <w:pPr>
        <w:pStyle w:val="BodyText"/>
        <w:tabs>
          <w:tab w:pos="10267" w:val="right" w:leader="dot"/>
        </w:tabs>
        <w:spacing w:before="89"/>
        <w:ind w:left="2154"/>
      </w:pPr>
      <w:r>
        <w:rPr>
          <w:w w:val="105"/>
        </w:rPr>
        <w:t>Assistance in seeking a </w:t>
      </w:r>
      <w:r>
        <w:rPr>
          <w:spacing w:val="-3"/>
          <w:w w:val="105"/>
        </w:rPr>
        <w:t>grant</w:t>
      </w:r>
      <w:r>
        <w:rPr>
          <w:spacing w:val="23"/>
          <w:w w:val="105"/>
        </w:rPr>
        <w:t> </w:t>
      </w:r>
      <w:r>
        <w:rPr>
          <w:w w:val="105"/>
        </w:rPr>
        <w:t>of</w:t>
      </w:r>
      <w:r>
        <w:rPr>
          <w:spacing w:val="5"/>
          <w:w w:val="105"/>
        </w:rPr>
        <w:t> </w:t>
      </w:r>
      <w:r>
        <w:rPr>
          <w:spacing w:val="-2"/>
          <w:w w:val="105"/>
        </w:rPr>
        <w:t>representation</w:t>
        <w:tab/>
      </w:r>
      <w:r>
        <w:rPr>
          <w:spacing w:val="-4"/>
          <w:w w:val="105"/>
        </w:rPr>
        <w:t>190</w:t>
      </w:r>
    </w:p>
    <w:p>
      <w:pPr>
        <w:pStyle w:val="BodyText"/>
        <w:tabs>
          <w:tab w:pos="10267" w:val="right" w:leader="dot"/>
        </w:tabs>
        <w:spacing w:before="88"/>
        <w:ind w:left="2438"/>
      </w:pPr>
      <w:r>
        <w:rPr>
          <w:spacing w:val="-3"/>
          <w:w w:val="105"/>
        </w:rPr>
        <w:t>Small </w:t>
      </w:r>
      <w:r>
        <w:rPr>
          <w:w w:val="105"/>
        </w:rPr>
        <w:t>estates service—Victorian </w:t>
      </w:r>
      <w:r>
        <w:rPr>
          <w:spacing w:val="-3"/>
          <w:w w:val="105"/>
        </w:rPr>
        <w:t>Supreme Court</w:t>
      </w:r>
      <w:r>
        <w:rPr>
          <w:spacing w:val="24"/>
          <w:w w:val="105"/>
        </w:rPr>
        <w:t> </w:t>
      </w:r>
      <w:r>
        <w:rPr>
          <w:spacing w:val="-3"/>
          <w:w w:val="105"/>
        </w:rPr>
        <w:t>Probate</w:t>
      </w:r>
      <w:r>
        <w:rPr>
          <w:spacing w:val="4"/>
          <w:w w:val="105"/>
        </w:rPr>
        <w:t> </w:t>
      </w:r>
      <w:r>
        <w:rPr>
          <w:w w:val="105"/>
        </w:rPr>
        <w:t>Office</w:t>
        <w:tab/>
      </w:r>
      <w:r>
        <w:rPr>
          <w:spacing w:val="-4"/>
          <w:w w:val="105"/>
        </w:rPr>
        <w:t>190</w:t>
      </w:r>
    </w:p>
    <w:p>
      <w:pPr>
        <w:pStyle w:val="BodyText"/>
        <w:tabs>
          <w:tab w:pos="10267" w:val="right" w:leader="dot"/>
        </w:tabs>
        <w:spacing w:before="89"/>
        <w:ind w:left="2438"/>
      </w:pPr>
      <w:r>
        <w:rPr>
          <w:spacing w:val="-3"/>
          <w:w w:val="105"/>
        </w:rPr>
        <w:t>Providing</w:t>
      </w:r>
      <w:r>
        <w:rPr>
          <w:spacing w:val="5"/>
          <w:w w:val="105"/>
        </w:rPr>
        <w:t> </w:t>
      </w:r>
      <w:r>
        <w:rPr>
          <w:w w:val="105"/>
        </w:rPr>
        <w:t>better</w:t>
      </w:r>
      <w:r>
        <w:rPr>
          <w:spacing w:val="5"/>
          <w:w w:val="105"/>
        </w:rPr>
        <w:t> </w:t>
      </w:r>
      <w:r>
        <w:rPr>
          <w:spacing w:val="-3"/>
          <w:w w:val="105"/>
        </w:rPr>
        <w:t>information</w:t>
        <w:tab/>
      </w:r>
      <w:r>
        <w:rPr>
          <w:spacing w:val="-8"/>
          <w:w w:val="105"/>
        </w:rPr>
        <w:t>193</w:t>
      </w:r>
    </w:p>
    <w:p>
      <w:pPr>
        <w:pStyle w:val="BodyText"/>
        <w:tabs>
          <w:tab w:pos="10267" w:val="right" w:leader="dot"/>
        </w:tabs>
        <w:spacing w:before="89"/>
        <w:ind w:left="2154"/>
      </w:pPr>
      <w:r>
        <w:rPr>
          <w:spacing w:val="-3"/>
          <w:w w:val="105"/>
        </w:rPr>
        <w:t>Informal</w:t>
      </w:r>
      <w:r>
        <w:rPr>
          <w:spacing w:val="5"/>
          <w:w w:val="105"/>
        </w:rPr>
        <w:t> </w:t>
      </w:r>
      <w:r>
        <w:rPr>
          <w:spacing w:val="-3"/>
          <w:w w:val="105"/>
        </w:rPr>
        <w:t>administration</w:t>
        <w:tab/>
      </w:r>
      <w:r>
        <w:rPr>
          <w:spacing w:val="-6"/>
          <w:w w:val="105"/>
        </w:rPr>
        <w:t>195</w:t>
      </w:r>
    </w:p>
    <w:p>
      <w:pPr>
        <w:pStyle w:val="BodyText"/>
        <w:tabs>
          <w:tab w:pos="10267" w:val="right" w:leader="dot"/>
        </w:tabs>
        <w:spacing w:before="89"/>
        <w:ind w:left="2438"/>
      </w:pPr>
      <w:r>
        <w:rPr>
          <w:spacing w:val="-3"/>
          <w:w w:val="105"/>
        </w:rPr>
        <w:t>Clarifying </w:t>
      </w:r>
      <w:r>
        <w:rPr>
          <w:w w:val="105"/>
        </w:rPr>
        <w:t>the role of an</w:t>
      </w:r>
      <w:r>
        <w:rPr>
          <w:spacing w:val="28"/>
          <w:w w:val="105"/>
        </w:rPr>
        <w:t> </w:t>
      </w:r>
      <w:r>
        <w:rPr>
          <w:spacing w:val="-3"/>
          <w:w w:val="105"/>
        </w:rPr>
        <w:t>informal</w:t>
      </w:r>
      <w:r>
        <w:rPr>
          <w:spacing w:val="5"/>
          <w:w w:val="105"/>
        </w:rPr>
        <w:t> </w:t>
      </w:r>
      <w:r>
        <w:rPr>
          <w:spacing w:val="-3"/>
          <w:w w:val="105"/>
        </w:rPr>
        <w:t>administrator</w:t>
        <w:tab/>
      </w:r>
      <w:r>
        <w:rPr>
          <w:spacing w:val="-5"/>
          <w:w w:val="105"/>
        </w:rPr>
        <w:t>196</w:t>
      </w:r>
    </w:p>
    <w:p>
      <w:pPr>
        <w:pStyle w:val="BodyText"/>
        <w:tabs>
          <w:tab w:pos="10267" w:val="right" w:leader="dot"/>
        </w:tabs>
        <w:spacing w:before="88"/>
        <w:ind w:left="2438"/>
      </w:pPr>
      <w:r>
        <w:rPr>
          <w:spacing w:val="-3"/>
        </w:rPr>
        <w:t>Access to indemnities for </w:t>
      </w:r>
      <w:r>
        <w:rPr/>
        <w:t>parties </w:t>
      </w:r>
      <w:r>
        <w:rPr>
          <w:spacing w:val="17"/>
        </w:rPr>
        <w:t> </w:t>
      </w:r>
      <w:r>
        <w:rPr>
          <w:spacing w:val="-3"/>
        </w:rPr>
        <w:t>releasing</w:t>
      </w:r>
      <w:r>
        <w:rPr>
          <w:spacing w:val="10"/>
        </w:rPr>
        <w:t> </w:t>
      </w:r>
      <w:r>
        <w:rPr>
          <w:spacing w:val="-3"/>
        </w:rPr>
        <w:t>funds</w:t>
        <w:tab/>
      </w:r>
      <w:r>
        <w:rPr>
          <w:spacing w:val="-5"/>
        </w:rPr>
        <w:t>198</w:t>
      </w:r>
    </w:p>
    <w:p>
      <w:pPr>
        <w:pStyle w:val="BodyText"/>
        <w:tabs>
          <w:tab w:pos="10257" w:val="right" w:leader="dot"/>
        </w:tabs>
        <w:spacing w:before="89"/>
        <w:ind w:left="2154"/>
      </w:pPr>
      <w:r>
        <w:rPr/>
        <w:t>Removing costs barriers </w:t>
      </w:r>
      <w:r>
        <w:rPr>
          <w:spacing w:val="-3"/>
        </w:rPr>
        <w:t>to</w:t>
      </w:r>
      <w:r>
        <w:rPr>
          <w:spacing w:val="38"/>
        </w:rPr>
        <w:t> </w:t>
      </w:r>
      <w:r>
        <w:rPr>
          <w:spacing w:val="-3"/>
        </w:rPr>
        <w:t>formal</w:t>
      </w:r>
      <w:r>
        <w:rPr>
          <w:spacing w:val="10"/>
        </w:rPr>
        <w:t> </w:t>
      </w:r>
      <w:r>
        <w:rPr>
          <w:spacing w:val="-3"/>
        </w:rPr>
        <w:t>administration</w:t>
        <w:tab/>
      </w:r>
      <w:r>
        <w:rPr>
          <w:spacing w:val="-9"/>
        </w:rPr>
        <w:t>201</w:t>
      </w:r>
    </w:p>
    <w:p>
      <w:pPr>
        <w:pStyle w:val="BodyText"/>
        <w:tabs>
          <w:tab w:pos="10257" w:val="right" w:leader="dot"/>
        </w:tabs>
        <w:spacing w:before="89"/>
        <w:ind w:left="2438"/>
      </w:pPr>
      <w:r>
        <w:rPr>
          <w:spacing w:val="-3"/>
          <w:w w:val="105"/>
        </w:rPr>
        <w:t>Introducing </w:t>
      </w:r>
      <w:r>
        <w:rPr>
          <w:w w:val="105"/>
        </w:rPr>
        <w:t>a </w:t>
      </w:r>
      <w:r>
        <w:rPr>
          <w:spacing w:val="-3"/>
          <w:w w:val="105"/>
        </w:rPr>
        <w:t>sliding </w:t>
      </w:r>
      <w:r>
        <w:rPr>
          <w:w w:val="105"/>
        </w:rPr>
        <w:t>scale </w:t>
      </w:r>
      <w:r>
        <w:rPr>
          <w:spacing w:val="-3"/>
          <w:w w:val="105"/>
        </w:rPr>
        <w:t>for grant</w:t>
      </w:r>
      <w:r>
        <w:rPr>
          <w:spacing w:val="37"/>
          <w:w w:val="105"/>
        </w:rPr>
        <w:t> </w:t>
      </w:r>
      <w:r>
        <w:rPr>
          <w:w w:val="105"/>
        </w:rPr>
        <w:t>application</w:t>
      </w:r>
      <w:r>
        <w:rPr>
          <w:spacing w:val="4"/>
          <w:w w:val="105"/>
        </w:rPr>
        <w:t> </w:t>
      </w:r>
      <w:r>
        <w:rPr>
          <w:w w:val="105"/>
        </w:rPr>
        <w:t>fees</w:t>
        <w:tab/>
      </w:r>
      <w:r>
        <w:rPr>
          <w:spacing w:val="-9"/>
          <w:w w:val="105"/>
        </w:rPr>
        <w:t>201</w:t>
      </w:r>
    </w:p>
    <w:p>
      <w:pPr>
        <w:pStyle w:val="BodyText"/>
        <w:tabs>
          <w:tab w:pos="10267" w:val="right" w:leader="dot"/>
        </w:tabs>
        <w:spacing w:before="88"/>
        <w:ind w:left="2438"/>
      </w:pPr>
      <w:r>
        <w:rPr>
          <w:spacing w:val="-3"/>
          <w:w w:val="105"/>
        </w:rPr>
        <w:t>Administration </w:t>
      </w:r>
      <w:r>
        <w:rPr>
          <w:w w:val="105"/>
        </w:rPr>
        <w:t>by</w:t>
      </w:r>
      <w:r>
        <w:rPr>
          <w:spacing w:val="12"/>
          <w:w w:val="105"/>
        </w:rPr>
        <w:t> </w:t>
      </w:r>
      <w:r>
        <w:rPr>
          <w:w w:val="105"/>
        </w:rPr>
        <w:t>statutory</w:t>
      </w:r>
      <w:r>
        <w:rPr>
          <w:spacing w:val="5"/>
          <w:w w:val="105"/>
        </w:rPr>
        <w:t> </w:t>
      </w:r>
      <w:r>
        <w:rPr>
          <w:spacing w:val="-3"/>
          <w:w w:val="105"/>
        </w:rPr>
        <w:t>declaration</w:t>
        <w:tab/>
      </w:r>
      <w:r>
        <w:rPr>
          <w:spacing w:val="-4"/>
          <w:w w:val="105"/>
        </w:rPr>
        <w:t>202</w:t>
      </w:r>
    </w:p>
    <w:p>
      <w:pPr>
        <w:pStyle w:val="BodyText"/>
        <w:tabs>
          <w:tab w:pos="10267" w:val="right" w:leader="dot"/>
        </w:tabs>
        <w:spacing w:before="89"/>
        <w:ind w:left="2154"/>
      </w:pPr>
      <w:r>
        <w:rPr>
          <w:w w:val="105"/>
        </w:rPr>
        <w:t>Expedited</w:t>
      </w:r>
      <w:r>
        <w:rPr>
          <w:spacing w:val="5"/>
          <w:w w:val="105"/>
        </w:rPr>
        <w:t> </w:t>
      </w:r>
      <w:r>
        <w:rPr>
          <w:w w:val="105"/>
        </w:rPr>
        <w:t>grants</w:t>
        <w:tab/>
      </w:r>
      <w:r>
        <w:rPr>
          <w:spacing w:val="-4"/>
          <w:w w:val="105"/>
        </w:rPr>
        <w:t>203</w:t>
      </w:r>
    </w:p>
    <w:p>
      <w:pPr>
        <w:pStyle w:val="BodyText"/>
        <w:tabs>
          <w:tab w:pos="10267" w:val="right" w:leader="dot"/>
        </w:tabs>
        <w:spacing w:before="89"/>
        <w:ind w:left="2438"/>
      </w:pPr>
      <w:r>
        <w:rPr>
          <w:w w:val="105"/>
        </w:rPr>
        <w:t>Elections </w:t>
      </w:r>
      <w:r>
        <w:rPr>
          <w:spacing w:val="-3"/>
          <w:w w:val="105"/>
        </w:rPr>
        <w:t>to </w:t>
      </w:r>
      <w:r>
        <w:rPr>
          <w:w w:val="105"/>
        </w:rPr>
        <w:t>administer—section </w:t>
      </w:r>
      <w:r>
        <w:rPr>
          <w:spacing w:val="-13"/>
          <w:w w:val="105"/>
        </w:rPr>
        <w:t>11A  </w:t>
      </w:r>
      <w:r>
        <w:rPr>
          <w:w w:val="105"/>
        </w:rPr>
        <w:t>of the </w:t>
      </w:r>
      <w:r>
        <w:rPr>
          <w:spacing w:val="-4"/>
          <w:w w:val="105"/>
        </w:rPr>
        <w:t>Trustee</w:t>
      </w:r>
      <w:r>
        <w:rPr>
          <w:spacing w:val="4"/>
          <w:w w:val="105"/>
        </w:rPr>
        <w:t> </w:t>
      </w:r>
      <w:r>
        <w:rPr>
          <w:spacing w:val="-3"/>
          <w:w w:val="105"/>
        </w:rPr>
        <w:t>Companies</w:t>
      </w:r>
      <w:r>
        <w:rPr>
          <w:spacing w:val="3"/>
          <w:w w:val="105"/>
        </w:rPr>
        <w:t> </w:t>
      </w:r>
      <w:r>
        <w:rPr>
          <w:w w:val="105"/>
        </w:rPr>
        <w:t>Act</w:t>
        <w:tab/>
      </w:r>
      <w:r>
        <w:rPr>
          <w:spacing w:val="-4"/>
          <w:w w:val="105"/>
        </w:rPr>
        <w:t>203</w:t>
      </w:r>
    </w:p>
    <w:p>
      <w:pPr>
        <w:pStyle w:val="BodyText"/>
        <w:spacing w:before="88"/>
        <w:ind w:left="2438"/>
      </w:pPr>
      <w:r>
        <w:rPr>
          <w:w w:val="105"/>
        </w:rPr>
        <w:t>Small estates administration without a grant—section 79 of the</w:t>
      </w:r>
    </w:p>
    <w:p>
      <w:pPr>
        <w:pStyle w:val="BodyText"/>
        <w:tabs>
          <w:tab w:pos="10267" w:val="right" w:leader="dot"/>
        </w:tabs>
        <w:spacing w:before="4"/>
        <w:ind w:left="2438"/>
      </w:pPr>
      <w:r>
        <w:rPr>
          <w:spacing w:val="-3"/>
          <w:w w:val="105"/>
        </w:rPr>
        <w:t>Administration </w:t>
      </w:r>
      <w:r>
        <w:rPr>
          <w:w w:val="105"/>
        </w:rPr>
        <w:t>and</w:t>
      </w:r>
      <w:r>
        <w:rPr>
          <w:spacing w:val="14"/>
          <w:w w:val="105"/>
        </w:rPr>
        <w:t> </w:t>
      </w:r>
      <w:r>
        <w:rPr>
          <w:spacing w:val="-3"/>
          <w:w w:val="105"/>
        </w:rPr>
        <w:t>Probate</w:t>
      </w:r>
      <w:r>
        <w:rPr>
          <w:spacing w:val="5"/>
          <w:w w:val="105"/>
        </w:rPr>
        <w:t> </w:t>
      </w:r>
      <w:r>
        <w:rPr>
          <w:w w:val="105"/>
        </w:rPr>
        <w:t>Act</w:t>
        <w:tab/>
      </w:r>
      <w:r>
        <w:rPr>
          <w:spacing w:val="-4"/>
          <w:w w:val="105"/>
        </w:rPr>
        <w:t>203</w:t>
      </w:r>
    </w:p>
    <w:p>
      <w:pPr>
        <w:pStyle w:val="BodyText"/>
        <w:tabs>
          <w:tab w:pos="10267" w:val="right" w:leader="dot"/>
        </w:tabs>
        <w:spacing w:before="89"/>
        <w:ind w:left="2438"/>
      </w:pPr>
      <w:r>
        <w:rPr>
          <w:w w:val="105"/>
        </w:rPr>
        <w:t>Repeal of section </w:t>
      </w:r>
      <w:r>
        <w:rPr>
          <w:spacing w:val="-13"/>
          <w:w w:val="105"/>
        </w:rPr>
        <w:t>11A  </w:t>
      </w:r>
      <w:r>
        <w:rPr>
          <w:w w:val="105"/>
        </w:rPr>
        <w:t>of the </w:t>
      </w:r>
      <w:r>
        <w:rPr>
          <w:spacing w:val="-4"/>
          <w:w w:val="105"/>
        </w:rPr>
        <w:t>Trustee</w:t>
      </w:r>
      <w:r>
        <w:rPr>
          <w:spacing w:val="13"/>
          <w:w w:val="105"/>
        </w:rPr>
        <w:t> </w:t>
      </w:r>
      <w:r>
        <w:rPr>
          <w:spacing w:val="-3"/>
          <w:w w:val="105"/>
        </w:rPr>
        <w:t>Companies</w:t>
      </w:r>
      <w:r>
        <w:rPr>
          <w:spacing w:val="5"/>
          <w:w w:val="105"/>
        </w:rPr>
        <w:t> </w:t>
      </w:r>
      <w:r>
        <w:rPr>
          <w:w w:val="105"/>
        </w:rPr>
        <w:t>Act</w:t>
        <w:tab/>
      </w:r>
      <w:r>
        <w:rPr>
          <w:spacing w:val="-3"/>
          <w:w w:val="105"/>
        </w:rPr>
        <w:t>205</w:t>
      </w:r>
    </w:p>
    <w:p>
      <w:pPr>
        <w:pStyle w:val="BodyText"/>
        <w:tabs>
          <w:tab w:pos="10267" w:val="right" w:leader="dot"/>
        </w:tabs>
        <w:spacing w:before="88"/>
        <w:ind w:left="2438"/>
      </w:pPr>
      <w:r>
        <w:rPr>
          <w:w w:val="105"/>
        </w:rPr>
        <w:t>Amendments </w:t>
      </w:r>
      <w:r>
        <w:rPr>
          <w:spacing w:val="-3"/>
          <w:w w:val="105"/>
        </w:rPr>
        <w:t>to </w:t>
      </w:r>
      <w:r>
        <w:rPr>
          <w:w w:val="105"/>
        </w:rPr>
        <w:t>section </w:t>
      </w:r>
      <w:r>
        <w:rPr>
          <w:spacing w:val="-3"/>
          <w:w w:val="105"/>
        </w:rPr>
        <w:t>79 </w:t>
      </w:r>
      <w:r>
        <w:rPr>
          <w:w w:val="105"/>
        </w:rPr>
        <w:t>of the </w:t>
      </w:r>
      <w:r>
        <w:rPr>
          <w:spacing w:val="-3"/>
          <w:w w:val="105"/>
        </w:rPr>
        <w:t>Administration </w:t>
      </w:r>
      <w:r>
        <w:rPr>
          <w:w w:val="105"/>
        </w:rPr>
        <w:t>and</w:t>
      </w:r>
      <w:r>
        <w:rPr>
          <w:spacing w:val="42"/>
          <w:w w:val="105"/>
        </w:rPr>
        <w:t> </w:t>
      </w:r>
      <w:r>
        <w:rPr>
          <w:spacing w:val="-3"/>
          <w:w w:val="105"/>
        </w:rPr>
        <w:t>Probate</w:t>
      </w:r>
      <w:r>
        <w:rPr>
          <w:spacing w:val="4"/>
          <w:w w:val="105"/>
        </w:rPr>
        <w:t> </w:t>
      </w:r>
      <w:r>
        <w:rPr>
          <w:w w:val="105"/>
        </w:rPr>
        <w:t>Act</w:t>
        <w:tab/>
        <w:t>206</w:t>
      </w:r>
    </w:p>
    <w:p>
      <w:pPr>
        <w:pStyle w:val="BodyText"/>
        <w:tabs>
          <w:tab w:pos="10267" w:val="right" w:leader="dot"/>
        </w:tabs>
        <w:spacing w:before="89"/>
        <w:ind w:left="2438"/>
      </w:pPr>
      <w:r>
        <w:rPr>
          <w:spacing w:val="-3"/>
        </w:rPr>
        <w:t>Requirement to </w:t>
      </w:r>
      <w:r>
        <w:rPr/>
        <w:t>file</w:t>
      </w:r>
      <w:r>
        <w:rPr>
          <w:spacing w:val="32"/>
        </w:rPr>
        <w:t> </w:t>
      </w:r>
      <w:r>
        <w:rPr/>
        <w:t>the</w:t>
      </w:r>
      <w:r>
        <w:rPr>
          <w:spacing w:val="9"/>
        </w:rPr>
        <w:t> </w:t>
      </w:r>
      <w:r>
        <w:rPr>
          <w:spacing w:val="-3"/>
        </w:rPr>
        <w:t>will</w:t>
        <w:tab/>
      </w:r>
      <w:r>
        <w:rPr/>
        <w:t>209</w:t>
      </w:r>
    </w:p>
    <w:p>
      <w:pPr>
        <w:pStyle w:val="BodyText"/>
        <w:tabs>
          <w:tab w:pos="10267" w:val="right" w:leader="dot"/>
        </w:tabs>
        <w:spacing w:before="89"/>
        <w:ind w:left="2438"/>
      </w:pPr>
      <w:r>
        <w:rPr>
          <w:spacing w:val="-3"/>
        </w:rPr>
        <w:t>Access to </w:t>
      </w:r>
      <w:r>
        <w:rPr/>
        <w:t>expedited grants </w:t>
      </w:r>
      <w:r>
        <w:rPr>
          <w:spacing w:val="-3"/>
        </w:rPr>
        <w:t>for </w:t>
      </w:r>
      <w:r>
        <w:rPr>
          <w:spacing w:val="9"/>
        </w:rPr>
        <w:t> </w:t>
      </w:r>
      <w:r>
        <w:rPr/>
        <w:t>legal</w:t>
      </w:r>
      <w:r>
        <w:rPr>
          <w:spacing w:val="10"/>
        </w:rPr>
        <w:t> </w:t>
      </w:r>
      <w:r>
        <w:rPr/>
        <w:t>practitioners</w:t>
        <w:tab/>
        <w:t>209</w:t>
      </w:r>
    </w:p>
    <w:p>
      <w:pPr>
        <w:pStyle w:val="BodyText"/>
        <w:tabs>
          <w:tab w:pos="10267" w:val="right" w:leader="dot"/>
        </w:tabs>
        <w:spacing w:before="88"/>
        <w:ind w:left="2154"/>
      </w:pPr>
      <w:r>
        <w:rPr/>
        <w:t>Other amendments </w:t>
      </w:r>
      <w:r>
        <w:rPr>
          <w:spacing w:val="-3"/>
        </w:rPr>
        <w:t>to  </w:t>
      </w:r>
      <w:r>
        <w:rPr/>
        <w:t>Part II of the </w:t>
      </w:r>
      <w:r>
        <w:rPr>
          <w:spacing w:val="-3"/>
        </w:rPr>
        <w:t>Administration</w:t>
      </w:r>
      <w:r>
        <w:rPr>
          <w:spacing w:val="41"/>
        </w:rPr>
        <w:t> </w:t>
      </w:r>
      <w:r>
        <w:rPr/>
        <w:t>and</w:t>
      </w:r>
      <w:r>
        <w:rPr>
          <w:spacing w:val="23"/>
        </w:rPr>
        <w:t> </w:t>
      </w:r>
      <w:r>
        <w:rPr>
          <w:spacing w:val="-3"/>
        </w:rPr>
        <w:t>Probate</w:t>
      </w:r>
      <w:r>
        <w:rPr>
          <w:spacing w:val="12"/>
        </w:rPr>
        <w:t> </w:t>
      </w:r>
      <w:r>
        <w:rPr/>
        <w:t>Act</w:t>
        <w:tab/>
      </w:r>
      <w:r>
        <w:rPr>
          <w:spacing w:val="-8"/>
        </w:rPr>
        <w:t>210</w:t>
      </w:r>
    </w:p>
    <w:p>
      <w:pPr>
        <w:pStyle w:val="ListParagraph"/>
        <w:numPr>
          <w:ilvl w:val="1"/>
          <w:numId w:val="1"/>
        </w:numPr>
        <w:tabs>
          <w:tab w:pos="1932" w:val="left" w:leader="none"/>
          <w:tab w:pos="10251" w:val="right" w:leader="dot"/>
        </w:tabs>
        <w:spacing w:line="240" w:lineRule="auto" w:before="85" w:after="0"/>
        <w:ind w:left="1931" w:right="0" w:hanging="344"/>
        <w:jc w:val="left"/>
        <w:rPr>
          <w:sz w:val="21"/>
        </w:rPr>
      </w:pPr>
      <w:r>
        <w:rPr>
          <w:rFonts w:ascii="Lucida Sans"/>
          <w:b/>
          <w:color w:val="EC5A4F"/>
          <w:sz w:val="21"/>
        </w:rPr>
        <w:t>Costs rules in</w:t>
      </w:r>
      <w:r>
        <w:rPr>
          <w:rFonts w:ascii="Lucida Sans"/>
          <w:b/>
          <w:color w:val="EC5A4F"/>
          <w:spacing w:val="-50"/>
          <w:sz w:val="21"/>
        </w:rPr>
        <w:t> </w:t>
      </w:r>
      <w:r>
        <w:rPr>
          <w:rFonts w:ascii="Lucida Sans"/>
          <w:b/>
          <w:color w:val="EC5A4F"/>
          <w:sz w:val="21"/>
        </w:rPr>
        <w:t>succession</w:t>
      </w:r>
      <w:r>
        <w:rPr>
          <w:rFonts w:ascii="Lucida Sans"/>
          <w:b/>
          <w:color w:val="EC5A4F"/>
          <w:spacing w:val="-16"/>
          <w:sz w:val="21"/>
        </w:rPr>
        <w:t> </w:t>
      </w:r>
      <w:r>
        <w:rPr>
          <w:rFonts w:ascii="Lucida Sans"/>
          <w:b/>
          <w:color w:val="EC5A4F"/>
          <w:sz w:val="21"/>
        </w:rPr>
        <w:t>proceedings</w:t>
        <w:tab/>
      </w:r>
      <w:r>
        <w:rPr>
          <w:spacing w:val="-16"/>
          <w:sz w:val="21"/>
        </w:rPr>
        <w:t>212</w:t>
      </w:r>
    </w:p>
    <w:p>
      <w:pPr>
        <w:pStyle w:val="BodyText"/>
        <w:tabs>
          <w:tab w:pos="10251" w:val="right" w:leader="dot"/>
        </w:tabs>
        <w:spacing w:before="88"/>
        <w:ind w:left="2154"/>
      </w:pPr>
      <w:r>
        <w:rPr>
          <w:w w:val="105"/>
        </w:rPr>
        <w:t>Introduction</w:t>
        <w:tab/>
      </w:r>
      <w:r>
        <w:rPr>
          <w:spacing w:val="-16"/>
          <w:w w:val="105"/>
        </w:rPr>
        <w:t>212</w:t>
      </w:r>
    </w:p>
    <w:p>
      <w:pPr>
        <w:pStyle w:val="BodyText"/>
        <w:tabs>
          <w:tab w:pos="10251" w:val="right" w:leader="dot"/>
        </w:tabs>
        <w:spacing w:before="89"/>
        <w:ind w:left="2154"/>
      </w:pPr>
      <w:r>
        <w:rPr>
          <w:spacing w:val="-3"/>
          <w:w w:val="105"/>
        </w:rPr>
        <w:t>Succession</w:t>
      </w:r>
      <w:r>
        <w:rPr>
          <w:spacing w:val="5"/>
          <w:w w:val="105"/>
        </w:rPr>
        <w:t> </w:t>
      </w:r>
      <w:r>
        <w:rPr>
          <w:spacing w:val="-3"/>
          <w:w w:val="105"/>
        </w:rPr>
        <w:t>proceedings</w:t>
        <w:tab/>
      </w:r>
      <w:r>
        <w:rPr>
          <w:spacing w:val="-16"/>
          <w:w w:val="105"/>
        </w:rPr>
        <w:t>212</w:t>
      </w:r>
    </w:p>
    <w:p>
      <w:pPr>
        <w:pStyle w:val="BodyText"/>
        <w:tabs>
          <w:tab w:pos="10251" w:val="right" w:leader="dot"/>
        </w:tabs>
        <w:spacing w:before="89"/>
        <w:ind w:left="2155"/>
      </w:pPr>
      <w:r>
        <w:rPr>
          <w:w w:val="105"/>
        </w:rPr>
        <w:t>Costs</w:t>
      </w:r>
      <w:r>
        <w:rPr>
          <w:spacing w:val="5"/>
          <w:w w:val="105"/>
        </w:rPr>
        <w:t> </w:t>
      </w:r>
      <w:r>
        <w:rPr>
          <w:w w:val="105"/>
        </w:rPr>
        <w:t>orders</w:t>
        <w:tab/>
      </w:r>
      <w:r>
        <w:rPr>
          <w:spacing w:val="-16"/>
          <w:w w:val="105"/>
        </w:rPr>
        <w:t>213</w:t>
      </w:r>
    </w:p>
    <w:p>
      <w:pPr>
        <w:pStyle w:val="BodyText"/>
        <w:tabs>
          <w:tab w:pos="10251" w:val="right" w:leader="dot"/>
        </w:tabs>
        <w:spacing w:before="88"/>
        <w:ind w:left="2155"/>
      </w:pPr>
      <w:r>
        <w:rPr>
          <w:w w:val="105"/>
        </w:rPr>
        <w:t>The </w:t>
      </w:r>
      <w:r>
        <w:rPr>
          <w:spacing w:val="-3"/>
          <w:w w:val="105"/>
        </w:rPr>
        <w:t>Court’s </w:t>
      </w:r>
      <w:r>
        <w:rPr>
          <w:w w:val="105"/>
        </w:rPr>
        <w:t>approach </w:t>
      </w:r>
      <w:r>
        <w:rPr>
          <w:spacing w:val="-3"/>
          <w:w w:val="105"/>
        </w:rPr>
        <w:t>to </w:t>
      </w:r>
      <w:r>
        <w:rPr>
          <w:w w:val="105"/>
        </w:rPr>
        <w:t>the payment of costs in </w:t>
      </w:r>
      <w:r>
        <w:rPr>
          <w:spacing w:val="-3"/>
          <w:w w:val="105"/>
        </w:rPr>
        <w:t>succession</w:t>
      </w:r>
      <w:r>
        <w:rPr>
          <w:spacing w:val="22"/>
          <w:w w:val="105"/>
        </w:rPr>
        <w:t> </w:t>
      </w:r>
      <w:r>
        <w:rPr>
          <w:spacing w:val="-3"/>
          <w:w w:val="105"/>
        </w:rPr>
        <w:t>proceedings</w:t>
      </w:r>
      <w:r>
        <w:rPr>
          <w:spacing w:val="2"/>
          <w:w w:val="105"/>
        </w:rPr>
        <w:t> </w:t>
      </w:r>
      <w:r>
        <w:rPr>
          <w:spacing w:val="-3"/>
          <w:w w:val="105"/>
        </w:rPr>
        <w:t>generally</w:t>
        <w:tab/>
      </w:r>
      <w:r>
        <w:rPr>
          <w:spacing w:val="-16"/>
          <w:w w:val="105"/>
        </w:rPr>
        <w:t>213</w:t>
      </w:r>
    </w:p>
    <w:p>
      <w:pPr>
        <w:pStyle w:val="BodyText"/>
        <w:tabs>
          <w:tab w:pos="10251" w:val="right" w:leader="dot"/>
        </w:tabs>
        <w:spacing w:before="89"/>
        <w:ind w:left="2438"/>
      </w:pPr>
      <w:r>
        <w:rPr>
          <w:w w:val="105"/>
        </w:rPr>
        <w:t>Executors</w:t>
      </w:r>
      <w:r>
        <w:rPr>
          <w:spacing w:val="5"/>
          <w:w w:val="105"/>
        </w:rPr>
        <w:t> </w:t>
      </w:r>
      <w:r>
        <w:rPr>
          <w:w w:val="105"/>
        </w:rPr>
        <w:t>and</w:t>
      </w:r>
      <w:r>
        <w:rPr>
          <w:spacing w:val="5"/>
          <w:w w:val="105"/>
        </w:rPr>
        <w:t> </w:t>
      </w:r>
      <w:r>
        <w:rPr>
          <w:spacing w:val="-3"/>
          <w:w w:val="105"/>
        </w:rPr>
        <w:t>administrators</w:t>
        <w:tab/>
      </w:r>
      <w:r>
        <w:rPr>
          <w:spacing w:val="-16"/>
          <w:w w:val="105"/>
        </w:rPr>
        <w:t>213</w:t>
      </w:r>
    </w:p>
    <w:p>
      <w:pPr>
        <w:pStyle w:val="BodyText"/>
        <w:tabs>
          <w:tab w:pos="10254" w:val="right" w:leader="dot"/>
        </w:tabs>
        <w:spacing w:before="89"/>
        <w:ind w:left="2438"/>
      </w:pPr>
      <w:r>
        <w:rPr>
          <w:w w:val="105"/>
        </w:rPr>
        <w:t>Other parties </w:t>
      </w:r>
      <w:r>
        <w:rPr>
          <w:spacing w:val="-3"/>
          <w:w w:val="105"/>
        </w:rPr>
        <w:t>to</w:t>
      </w:r>
      <w:r>
        <w:rPr>
          <w:spacing w:val="15"/>
          <w:w w:val="105"/>
        </w:rPr>
        <w:t> </w:t>
      </w:r>
      <w:r>
        <w:rPr>
          <w:spacing w:val="-3"/>
          <w:w w:val="105"/>
        </w:rPr>
        <w:t>succession</w:t>
      </w:r>
      <w:r>
        <w:rPr>
          <w:spacing w:val="5"/>
          <w:w w:val="105"/>
        </w:rPr>
        <w:t> </w:t>
      </w:r>
      <w:r>
        <w:rPr>
          <w:spacing w:val="-3"/>
          <w:w w:val="105"/>
        </w:rPr>
        <w:t>proceedings</w:t>
        <w:tab/>
      </w:r>
      <w:r>
        <w:rPr>
          <w:spacing w:val="-14"/>
          <w:w w:val="105"/>
        </w:rPr>
        <w:t>214</w:t>
      </w:r>
    </w:p>
    <w:p>
      <w:pPr>
        <w:pStyle w:val="BodyText"/>
        <w:tabs>
          <w:tab w:pos="10253" w:val="right" w:leader="dot"/>
        </w:tabs>
        <w:spacing w:before="88"/>
        <w:ind w:left="2155"/>
      </w:pPr>
      <w:r>
        <w:rPr>
          <w:w w:val="105"/>
        </w:rPr>
        <w:t>Protection of executors</w:t>
      </w:r>
      <w:r>
        <w:rPr>
          <w:spacing w:val="12"/>
          <w:w w:val="105"/>
        </w:rPr>
        <w:t> </w:t>
      </w:r>
      <w:r>
        <w:rPr>
          <w:w w:val="105"/>
        </w:rPr>
        <w:t>and</w:t>
      </w:r>
      <w:r>
        <w:rPr>
          <w:spacing w:val="5"/>
          <w:w w:val="105"/>
        </w:rPr>
        <w:t> </w:t>
      </w:r>
      <w:r>
        <w:rPr>
          <w:spacing w:val="-3"/>
          <w:w w:val="105"/>
        </w:rPr>
        <w:t>administrators</w:t>
        <w:tab/>
      </w:r>
      <w:r>
        <w:rPr>
          <w:spacing w:val="-15"/>
          <w:w w:val="105"/>
        </w:rPr>
        <w:t>215</w:t>
      </w:r>
    </w:p>
    <w:p>
      <w:pPr>
        <w:pStyle w:val="BodyText"/>
        <w:tabs>
          <w:tab w:pos="10253" w:val="right" w:leader="dot"/>
        </w:tabs>
        <w:spacing w:before="89"/>
        <w:ind w:left="2155"/>
      </w:pPr>
      <w:r>
        <w:rPr>
          <w:w w:val="105"/>
        </w:rPr>
        <w:t>Views</w:t>
      </w:r>
      <w:r>
        <w:rPr>
          <w:spacing w:val="5"/>
          <w:w w:val="105"/>
        </w:rPr>
        <w:t> </w:t>
      </w:r>
      <w:r>
        <w:rPr>
          <w:w w:val="105"/>
        </w:rPr>
        <w:t>and</w:t>
      </w:r>
      <w:r>
        <w:rPr>
          <w:spacing w:val="6"/>
          <w:w w:val="105"/>
        </w:rPr>
        <w:t> </w:t>
      </w:r>
      <w:r>
        <w:rPr>
          <w:spacing w:val="-3"/>
          <w:w w:val="105"/>
        </w:rPr>
        <w:t>conclusions</w:t>
        <w:tab/>
      </w:r>
      <w:r>
        <w:rPr>
          <w:spacing w:val="-15"/>
          <w:w w:val="105"/>
        </w:rPr>
        <w:t>215</w:t>
      </w:r>
    </w:p>
    <w:p>
      <w:pPr>
        <w:pStyle w:val="BodyText"/>
        <w:tabs>
          <w:tab w:pos="10268" w:val="right" w:leader="dot"/>
        </w:tabs>
        <w:spacing w:before="85"/>
        <w:ind w:left="1588"/>
      </w:pPr>
      <w:r>
        <w:rPr>
          <w:rFonts w:ascii="Lucida Sans"/>
          <w:b/>
        </w:rPr>
        <w:t>Bibliography</w:t>
        <w:tab/>
      </w:r>
      <w:r>
        <w:rPr>
          <w:spacing w:val="-9"/>
        </w:rPr>
        <w:t>218</w:t>
      </w:r>
    </w:p>
    <w:p>
      <w:pPr>
        <w:pStyle w:val="BodyText"/>
        <w:tabs>
          <w:tab w:pos="10262" w:val="right" w:leader="dot"/>
        </w:tabs>
        <w:spacing w:before="88"/>
        <w:ind w:left="2155"/>
      </w:pPr>
      <w:r>
        <w:rPr>
          <w:w w:val="105"/>
        </w:rPr>
        <w:t>Appendix A:</w:t>
      </w:r>
      <w:r>
        <w:rPr>
          <w:spacing w:val="10"/>
          <w:w w:val="105"/>
        </w:rPr>
        <w:t> </w:t>
      </w:r>
      <w:r>
        <w:rPr>
          <w:w w:val="105"/>
        </w:rPr>
        <w:t>Advisory</w:t>
      </w:r>
      <w:r>
        <w:rPr>
          <w:spacing w:val="5"/>
          <w:w w:val="105"/>
        </w:rPr>
        <w:t> </w:t>
      </w:r>
      <w:r>
        <w:rPr>
          <w:w w:val="105"/>
        </w:rPr>
        <w:t>committee</w:t>
        <w:tab/>
      </w:r>
      <w:r>
        <w:rPr>
          <w:spacing w:val="-6"/>
          <w:w w:val="105"/>
        </w:rPr>
        <w:t>228</w:t>
      </w:r>
    </w:p>
    <w:p>
      <w:pPr>
        <w:pStyle w:val="BodyText"/>
        <w:tabs>
          <w:tab w:pos="10262" w:val="right" w:leader="dot"/>
        </w:tabs>
        <w:spacing w:before="89"/>
        <w:ind w:left="2154"/>
      </w:pPr>
      <w:r>
        <w:rPr>
          <w:w w:val="105"/>
        </w:rPr>
        <w:t>Appendix</w:t>
      </w:r>
      <w:r>
        <w:rPr>
          <w:spacing w:val="5"/>
          <w:w w:val="105"/>
        </w:rPr>
        <w:t> </w:t>
      </w:r>
      <w:r>
        <w:rPr>
          <w:w w:val="105"/>
        </w:rPr>
        <w:t>B:</w:t>
      </w:r>
      <w:r>
        <w:rPr>
          <w:spacing w:val="6"/>
          <w:w w:val="105"/>
        </w:rPr>
        <w:t> </w:t>
      </w:r>
      <w:r>
        <w:rPr>
          <w:spacing w:val="-3"/>
          <w:w w:val="105"/>
        </w:rPr>
        <w:t>Submissions</w:t>
        <w:tab/>
      </w:r>
      <w:r>
        <w:rPr>
          <w:spacing w:val="-5"/>
          <w:w w:val="105"/>
        </w:rPr>
        <w:t>229</w:t>
      </w:r>
    </w:p>
    <w:p>
      <w:pPr>
        <w:pStyle w:val="BodyText"/>
        <w:tabs>
          <w:tab w:pos="10257" w:val="right" w:leader="dot"/>
        </w:tabs>
        <w:spacing w:before="89"/>
        <w:ind w:left="2154"/>
      </w:pPr>
      <w:r>
        <w:rPr>
          <w:w w:val="105"/>
        </w:rPr>
        <w:t>Appendix</w:t>
      </w:r>
      <w:r>
        <w:rPr>
          <w:spacing w:val="5"/>
          <w:w w:val="105"/>
        </w:rPr>
        <w:t> </w:t>
      </w:r>
      <w:r>
        <w:rPr>
          <w:spacing w:val="-5"/>
          <w:w w:val="105"/>
        </w:rPr>
        <w:t>C:</w:t>
      </w:r>
      <w:r>
        <w:rPr>
          <w:spacing w:val="6"/>
          <w:w w:val="105"/>
        </w:rPr>
        <w:t> </w:t>
      </w:r>
      <w:r>
        <w:rPr>
          <w:spacing w:val="-3"/>
          <w:w w:val="105"/>
        </w:rPr>
        <w:t>Consultations</w:t>
        <w:tab/>
      </w:r>
      <w:r>
        <w:rPr>
          <w:spacing w:val="-9"/>
          <w:w w:val="105"/>
        </w:rPr>
        <w:t>231</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41"/>
        </w:rPr>
      </w:pPr>
    </w:p>
    <w:p>
      <w:pPr>
        <w:spacing w:before="0"/>
        <w:ind w:left="720" w:right="0" w:firstLine="0"/>
        <w:jc w:val="left"/>
        <w:rPr>
          <w:b/>
          <w:sz w:val="24"/>
        </w:rPr>
      </w:pPr>
      <w:r>
        <w:rPr>
          <w:b/>
          <w:color w:val="EC5A4F"/>
          <w:w w:val="115"/>
          <w:sz w:val="24"/>
        </w:rPr>
        <w:t>viii</w:t>
      </w:r>
    </w:p>
    <w:p>
      <w:pPr>
        <w:spacing w:after="0"/>
        <w:jc w:val="left"/>
        <w:rPr>
          <w:sz w:val="24"/>
        </w:rPr>
        <w:sectPr>
          <w:pgSz w:w="11910" w:h="16840"/>
          <w:pgMar w:header="1372" w:footer="0" w:top="1560" w:bottom="280" w:left="0" w:right="0"/>
        </w:sectPr>
      </w:pPr>
    </w:p>
    <w:p>
      <w:pPr>
        <w:pStyle w:val="BodyText"/>
        <w:spacing w:before="10"/>
        <w:rPr>
          <w:b/>
          <w:sz w:val="18"/>
        </w:rPr>
      </w:pPr>
    </w:p>
    <w:p>
      <w:pPr>
        <w:spacing w:before="98"/>
        <w:ind w:left="566" w:right="0" w:firstLine="0"/>
        <w:jc w:val="left"/>
        <w:rPr>
          <w:b/>
          <w:sz w:val="44"/>
        </w:rPr>
      </w:pPr>
      <w:bookmarkStart w:name="Preface" w:id="2"/>
      <w:bookmarkEnd w:id="2"/>
      <w:r>
        <w:rPr/>
      </w:r>
      <w:r>
        <w:rPr>
          <w:b/>
          <w:color w:val="EC5A4F"/>
          <w:w w:val="110"/>
          <w:sz w:val="44"/>
        </w:rPr>
        <w:t>Preface</w:t>
      </w:r>
    </w:p>
    <w:p>
      <w:pPr>
        <w:pStyle w:val="BodyText"/>
        <w:spacing w:before="6"/>
        <w:rPr>
          <w:b/>
          <w:sz w:val="75"/>
        </w:rPr>
      </w:pPr>
    </w:p>
    <w:p>
      <w:pPr>
        <w:pStyle w:val="BodyText"/>
        <w:spacing w:line="242" w:lineRule="auto"/>
        <w:ind w:left="1587" w:right="1947"/>
      </w:pPr>
      <w:r>
        <w:rPr>
          <w:w w:val="105"/>
        </w:rPr>
        <w:t>The Attorney-General </w:t>
      </w:r>
      <w:r>
        <w:rPr>
          <w:spacing w:val="-2"/>
          <w:w w:val="105"/>
        </w:rPr>
        <w:t>has </w:t>
      </w:r>
      <w:r>
        <w:rPr>
          <w:spacing w:val="-3"/>
          <w:w w:val="105"/>
        </w:rPr>
        <w:t>asked </w:t>
      </w:r>
      <w:r>
        <w:rPr>
          <w:w w:val="105"/>
        </w:rPr>
        <w:t>the </w:t>
      </w:r>
      <w:r>
        <w:rPr>
          <w:spacing w:val="-3"/>
          <w:w w:val="105"/>
        </w:rPr>
        <w:t>Commission to </w:t>
      </w:r>
      <w:r>
        <w:rPr>
          <w:w w:val="105"/>
        </w:rPr>
        <w:t>review </w:t>
      </w:r>
      <w:r>
        <w:rPr>
          <w:spacing w:val="-3"/>
          <w:w w:val="105"/>
        </w:rPr>
        <w:t>various </w:t>
      </w:r>
      <w:r>
        <w:rPr>
          <w:w w:val="105"/>
        </w:rPr>
        <w:t>aspects of </w:t>
      </w:r>
      <w:r>
        <w:rPr>
          <w:spacing w:val="-3"/>
          <w:w w:val="105"/>
        </w:rPr>
        <w:t>Victoria’s </w:t>
      </w:r>
      <w:r>
        <w:rPr>
          <w:w w:val="105"/>
        </w:rPr>
        <w:t>laws on</w:t>
      </w:r>
      <w:r>
        <w:rPr>
          <w:spacing w:val="-8"/>
          <w:w w:val="105"/>
        </w:rPr>
        <w:t> </w:t>
      </w:r>
      <w:r>
        <w:rPr>
          <w:spacing w:val="-3"/>
          <w:w w:val="105"/>
        </w:rPr>
        <w:t>succession</w:t>
      </w:r>
      <w:r>
        <w:rPr>
          <w:spacing w:val="-7"/>
          <w:w w:val="105"/>
        </w:rPr>
        <w:t> </w:t>
      </w:r>
      <w:r>
        <w:rPr>
          <w:w w:val="105"/>
        </w:rPr>
        <w:t>after</w:t>
      </w:r>
      <w:r>
        <w:rPr>
          <w:spacing w:val="-7"/>
          <w:w w:val="105"/>
        </w:rPr>
        <w:t> </w:t>
      </w:r>
      <w:r>
        <w:rPr>
          <w:spacing w:val="-3"/>
          <w:w w:val="105"/>
        </w:rPr>
        <w:t>death,</w:t>
      </w:r>
      <w:r>
        <w:rPr>
          <w:spacing w:val="-7"/>
          <w:w w:val="105"/>
        </w:rPr>
        <w:t> </w:t>
      </w:r>
      <w:r>
        <w:rPr>
          <w:spacing w:val="-3"/>
          <w:w w:val="105"/>
        </w:rPr>
        <w:t>to</w:t>
      </w:r>
      <w:r>
        <w:rPr>
          <w:spacing w:val="-8"/>
          <w:w w:val="105"/>
        </w:rPr>
        <w:t> </w:t>
      </w:r>
      <w:r>
        <w:rPr>
          <w:spacing w:val="-3"/>
          <w:w w:val="105"/>
        </w:rPr>
        <w:t>ensure</w:t>
      </w:r>
      <w:r>
        <w:rPr>
          <w:spacing w:val="-7"/>
          <w:w w:val="105"/>
        </w:rPr>
        <w:t> </w:t>
      </w:r>
      <w:r>
        <w:rPr>
          <w:spacing w:val="-3"/>
          <w:w w:val="105"/>
        </w:rPr>
        <w:t>that</w:t>
      </w:r>
      <w:r>
        <w:rPr>
          <w:spacing w:val="-7"/>
          <w:w w:val="105"/>
        </w:rPr>
        <w:t> </w:t>
      </w:r>
      <w:r>
        <w:rPr>
          <w:w w:val="105"/>
        </w:rPr>
        <w:t>they</w:t>
      </w:r>
      <w:r>
        <w:rPr>
          <w:spacing w:val="-7"/>
          <w:w w:val="105"/>
        </w:rPr>
        <w:t> </w:t>
      </w:r>
      <w:r>
        <w:rPr>
          <w:w w:val="105"/>
        </w:rPr>
        <w:t>operate</w:t>
      </w:r>
      <w:r>
        <w:rPr>
          <w:spacing w:val="-8"/>
          <w:w w:val="105"/>
        </w:rPr>
        <w:t> </w:t>
      </w:r>
      <w:r>
        <w:rPr>
          <w:spacing w:val="-3"/>
          <w:w w:val="105"/>
        </w:rPr>
        <w:t>fairly</w:t>
      </w:r>
      <w:r>
        <w:rPr>
          <w:spacing w:val="-7"/>
          <w:w w:val="105"/>
        </w:rPr>
        <w:t> </w:t>
      </w:r>
      <w:r>
        <w:rPr>
          <w:w w:val="105"/>
        </w:rPr>
        <w:t>and</w:t>
      </w:r>
      <w:r>
        <w:rPr>
          <w:spacing w:val="-7"/>
          <w:w w:val="105"/>
        </w:rPr>
        <w:t> </w:t>
      </w:r>
      <w:r>
        <w:rPr>
          <w:w w:val="105"/>
        </w:rPr>
        <w:t>in</w:t>
      </w:r>
      <w:r>
        <w:rPr>
          <w:spacing w:val="-7"/>
          <w:w w:val="105"/>
        </w:rPr>
        <w:t> </w:t>
      </w:r>
      <w:r>
        <w:rPr>
          <w:spacing w:val="-3"/>
          <w:w w:val="105"/>
        </w:rPr>
        <w:t>accordance</w:t>
      </w:r>
      <w:r>
        <w:rPr>
          <w:spacing w:val="-7"/>
          <w:w w:val="105"/>
        </w:rPr>
        <w:t> </w:t>
      </w:r>
      <w:r>
        <w:rPr>
          <w:w w:val="105"/>
        </w:rPr>
        <w:t>with</w:t>
      </w:r>
      <w:r>
        <w:rPr>
          <w:spacing w:val="-8"/>
          <w:w w:val="105"/>
        </w:rPr>
        <w:t> </w:t>
      </w:r>
      <w:r>
        <w:rPr>
          <w:w w:val="105"/>
        </w:rPr>
        <w:t>community expectations.</w:t>
      </w:r>
    </w:p>
    <w:p>
      <w:pPr>
        <w:pStyle w:val="BodyText"/>
        <w:spacing w:line="242" w:lineRule="auto" w:before="124"/>
        <w:ind w:left="1587" w:right="1619"/>
      </w:pPr>
      <w:r>
        <w:rPr>
          <w:spacing w:val="-3"/>
          <w:w w:val="105"/>
        </w:rPr>
        <w:t>Victoria’s succession </w:t>
      </w:r>
      <w:r>
        <w:rPr>
          <w:w w:val="105"/>
        </w:rPr>
        <w:t>laws </w:t>
      </w:r>
      <w:r>
        <w:rPr>
          <w:spacing w:val="-3"/>
          <w:w w:val="105"/>
        </w:rPr>
        <w:t>have </w:t>
      </w:r>
      <w:r>
        <w:rPr>
          <w:w w:val="105"/>
        </w:rPr>
        <w:t>a long heritage and </w:t>
      </w:r>
      <w:r>
        <w:rPr>
          <w:spacing w:val="-3"/>
          <w:w w:val="105"/>
        </w:rPr>
        <w:t>convey enduring values </w:t>
      </w:r>
      <w:r>
        <w:rPr>
          <w:w w:val="105"/>
        </w:rPr>
        <w:t>about the </w:t>
      </w:r>
      <w:r>
        <w:rPr>
          <w:spacing w:val="-3"/>
          <w:w w:val="105"/>
        </w:rPr>
        <w:t>transfer </w:t>
      </w:r>
      <w:r>
        <w:rPr>
          <w:w w:val="105"/>
        </w:rPr>
        <w:t>of </w:t>
      </w:r>
      <w:r>
        <w:rPr>
          <w:spacing w:val="-3"/>
          <w:w w:val="105"/>
        </w:rPr>
        <w:t>wealth from </w:t>
      </w:r>
      <w:r>
        <w:rPr>
          <w:w w:val="105"/>
        </w:rPr>
        <w:t>one generation </w:t>
      </w:r>
      <w:r>
        <w:rPr>
          <w:spacing w:val="-3"/>
          <w:w w:val="105"/>
        </w:rPr>
        <w:t>to </w:t>
      </w:r>
      <w:r>
        <w:rPr>
          <w:w w:val="105"/>
        </w:rPr>
        <w:t>the next. These </w:t>
      </w:r>
      <w:r>
        <w:rPr>
          <w:spacing w:val="-3"/>
          <w:w w:val="105"/>
        </w:rPr>
        <w:t>values </w:t>
      </w:r>
      <w:r>
        <w:rPr>
          <w:w w:val="105"/>
        </w:rPr>
        <w:t>shape community expectations but do </w:t>
      </w:r>
      <w:r>
        <w:rPr>
          <w:spacing w:val="-2"/>
          <w:w w:val="105"/>
        </w:rPr>
        <w:t>not </w:t>
      </w:r>
      <w:r>
        <w:rPr>
          <w:spacing w:val="-3"/>
          <w:w w:val="105"/>
        </w:rPr>
        <w:t>determine </w:t>
      </w:r>
      <w:r>
        <w:rPr>
          <w:w w:val="105"/>
        </w:rPr>
        <w:t>them. </w:t>
      </w:r>
      <w:r>
        <w:rPr>
          <w:spacing w:val="-3"/>
          <w:w w:val="105"/>
        </w:rPr>
        <w:t>Community </w:t>
      </w:r>
      <w:r>
        <w:rPr>
          <w:w w:val="105"/>
        </w:rPr>
        <w:t>expectations </w:t>
      </w:r>
      <w:r>
        <w:rPr>
          <w:spacing w:val="-3"/>
          <w:w w:val="105"/>
        </w:rPr>
        <w:t>are </w:t>
      </w:r>
      <w:r>
        <w:rPr>
          <w:w w:val="105"/>
        </w:rPr>
        <w:t>more </w:t>
      </w:r>
      <w:r>
        <w:rPr>
          <w:spacing w:val="-3"/>
          <w:w w:val="105"/>
        </w:rPr>
        <w:t>responsive to changes </w:t>
      </w:r>
      <w:r>
        <w:rPr>
          <w:w w:val="105"/>
        </w:rPr>
        <w:t>in the world </w:t>
      </w:r>
      <w:r>
        <w:rPr>
          <w:spacing w:val="-3"/>
          <w:w w:val="105"/>
        </w:rPr>
        <w:t>around us.</w:t>
      </w:r>
    </w:p>
    <w:p>
      <w:pPr>
        <w:pStyle w:val="BodyText"/>
        <w:spacing w:line="242" w:lineRule="auto" w:before="123"/>
        <w:ind w:left="1587" w:right="1826"/>
      </w:pPr>
      <w:r>
        <w:rPr/>
        <w:t>The </w:t>
      </w:r>
      <w:r>
        <w:rPr>
          <w:spacing w:val="-3"/>
        </w:rPr>
        <w:t>change that  </w:t>
      </w:r>
      <w:r>
        <w:rPr>
          <w:spacing w:val="-2"/>
        </w:rPr>
        <w:t>has  </w:t>
      </w:r>
      <w:r>
        <w:rPr/>
        <w:t>most affected community expectations about </w:t>
      </w:r>
      <w:r>
        <w:rPr>
          <w:spacing w:val="-3"/>
        </w:rPr>
        <w:t>succession  </w:t>
      </w:r>
      <w:r>
        <w:rPr/>
        <w:t>laws is the </w:t>
      </w:r>
      <w:r>
        <w:rPr>
          <w:spacing w:val="-3"/>
        </w:rPr>
        <w:t>increase  </w:t>
      </w:r>
      <w:r>
        <w:rPr/>
        <w:t>in </w:t>
      </w:r>
      <w:r>
        <w:rPr>
          <w:spacing w:val="-3"/>
        </w:rPr>
        <w:t>life </w:t>
      </w:r>
      <w:r>
        <w:rPr/>
        <w:t>expectancy. Over the past </w:t>
      </w:r>
      <w:r>
        <w:rPr>
          <w:spacing w:val="-3"/>
        </w:rPr>
        <w:t>100 </w:t>
      </w:r>
      <w:r>
        <w:rPr/>
        <w:t>years, the </w:t>
      </w:r>
      <w:r>
        <w:rPr>
          <w:spacing w:val="-3"/>
        </w:rPr>
        <w:t>average  life  </w:t>
      </w:r>
      <w:r>
        <w:rPr/>
        <w:t>expectancy </w:t>
      </w:r>
      <w:r>
        <w:rPr>
          <w:spacing w:val="-2"/>
        </w:rPr>
        <w:t>has</w:t>
      </w:r>
      <w:r>
        <w:rPr>
          <w:spacing w:val="43"/>
        </w:rPr>
        <w:t> </w:t>
      </w:r>
      <w:r>
        <w:rPr>
          <w:spacing w:val="-3"/>
        </w:rPr>
        <w:t>increased  </w:t>
      </w:r>
      <w:r>
        <w:rPr/>
        <w:t>by </w:t>
      </w:r>
      <w:r>
        <w:rPr>
          <w:spacing w:val="-4"/>
        </w:rPr>
        <w:t>25  </w:t>
      </w:r>
      <w:r>
        <w:rPr/>
        <w:t>years. If parents live </w:t>
      </w:r>
      <w:r>
        <w:rPr>
          <w:spacing w:val="-3"/>
        </w:rPr>
        <w:t>until children are well </w:t>
      </w:r>
      <w:r>
        <w:rPr>
          <w:spacing w:val="-4"/>
        </w:rPr>
        <w:t>into </w:t>
      </w:r>
      <w:r>
        <w:rPr/>
        <w:t>middle </w:t>
      </w:r>
      <w:r>
        <w:rPr>
          <w:spacing w:val="-3"/>
        </w:rPr>
        <w:t>age, </w:t>
      </w:r>
      <w:r>
        <w:rPr/>
        <w:t>an </w:t>
      </w:r>
      <w:r>
        <w:rPr>
          <w:spacing w:val="-3"/>
        </w:rPr>
        <w:t>inheritance </w:t>
      </w:r>
      <w:r>
        <w:rPr/>
        <w:t>can be  </w:t>
      </w:r>
      <w:r>
        <w:rPr>
          <w:spacing w:val="-3"/>
        </w:rPr>
        <w:t>transformed  from financial </w:t>
      </w:r>
      <w:r>
        <w:rPr/>
        <w:t>assistance </w:t>
      </w:r>
      <w:r>
        <w:rPr>
          <w:spacing w:val="-3"/>
        </w:rPr>
        <w:t>that </w:t>
      </w:r>
      <w:r>
        <w:rPr/>
        <w:t>helps the </w:t>
      </w:r>
      <w:r>
        <w:rPr>
          <w:spacing w:val="-3"/>
        </w:rPr>
        <w:t>children </w:t>
      </w:r>
      <w:r>
        <w:rPr/>
        <w:t>establish themselves in </w:t>
      </w:r>
      <w:r>
        <w:rPr>
          <w:spacing w:val="-3"/>
        </w:rPr>
        <w:t>life </w:t>
      </w:r>
      <w:r>
        <w:rPr>
          <w:spacing w:val="-4"/>
        </w:rPr>
        <w:t>into </w:t>
      </w:r>
      <w:r>
        <w:rPr/>
        <w:t>the </w:t>
      </w:r>
      <w:r>
        <w:rPr>
          <w:spacing w:val="-3"/>
        </w:rPr>
        <w:t>guarantee </w:t>
      </w:r>
      <w:r>
        <w:rPr/>
        <w:t>of a </w:t>
      </w:r>
      <w:r>
        <w:rPr>
          <w:spacing w:val="-3"/>
        </w:rPr>
        <w:t>financially </w:t>
      </w:r>
      <w:r>
        <w:rPr/>
        <w:t>secure </w:t>
      </w:r>
      <w:r>
        <w:rPr>
          <w:spacing w:val="-3"/>
        </w:rPr>
        <w:t>retirement. </w:t>
      </w:r>
      <w:r>
        <w:rPr/>
        <w:t>More people </w:t>
      </w:r>
      <w:r>
        <w:rPr>
          <w:spacing w:val="-3"/>
        </w:rPr>
        <w:t>are living to </w:t>
      </w:r>
      <w:r>
        <w:rPr/>
        <w:t>a </w:t>
      </w:r>
      <w:r>
        <w:rPr>
          <w:spacing w:val="-3"/>
        </w:rPr>
        <w:t>frail age, </w:t>
      </w:r>
      <w:r>
        <w:rPr/>
        <w:t>dependent on others </w:t>
      </w:r>
      <w:r>
        <w:rPr>
          <w:spacing w:val="-3"/>
        </w:rPr>
        <w:t>to  </w:t>
      </w:r>
      <w:r>
        <w:rPr/>
        <w:t>assist them</w:t>
      </w:r>
      <w:r>
        <w:rPr>
          <w:spacing w:val="11"/>
        </w:rPr>
        <w:t> </w:t>
      </w:r>
      <w:r>
        <w:rPr/>
        <w:t>with</w:t>
      </w:r>
      <w:r>
        <w:rPr>
          <w:spacing w:val="12"/>
        </w:rPr>
        <w:t> </w:t>
      </w:r>
      <w:r>
        <w:rPr/>
        <w:t>their</w:t>
      </w:r>
      <w:r>
        <w:rPr>
          <w:spacing w:val="11"/>
        </w:rPr>
        <w:t> </w:t>
      </w:r>
      <w:r>
        <w:rPr>
          <w:spacing w:val="-3"/>
        </w:rPr>
        <w:t>daily</w:t>
      </w:r>
      <w:r>
        <w:rPr>
          <w:spacing w:val="12"/>
        </w:rPr>
        <w:t> </w:t>
      </w:r>
      <w:r>
        <w:rPr/>
        <w:t>decisions</w:t>
      </w:r>
      <w:r>
        <w:rPr>
          <w:spacing w:val="11"/>
        </w:rPr>
        <w:t> </w:t>
      </w:r>
      <w:r>
        <w:rPr/>
        <w:t>and</w:t>
      </w:r>
      <w:r>
        <w:rPr>
          <w:spacing w:val="12"/>
        </w:rPr>
        <w:t> </w:t>
      </w:r>
      <w:r>
        <w:rPr/>
        <w:t>activities</w:t>
      </w:r>
      <w:r>
        <w:rPr>
          <w:spacing w:val="12"/>
        </w:rPr>
        <w:t> </w:t>
      </w:r>
      <w:r>
        <w:rPr/>
        <w:t>and</w:t>
      </w:r>
      <w:r>
        <w:rPr>
          <w:spacing w:val="11"/>
        </w:rPr>
        <w:t> </w:t>
      </w:r>
      <w:r>
        <w:rPr>
          <w:spacing w:val="-3"/>
        </w:rPr>
        <w:t>vulnerable</w:t>
      </w:r>
      <w:r>
        <w:rPr>
          <w:spacing w:val="12"/>
        </w:rPr>
        <w:t> </w:t>
      </w:r>
      <w:r>
        <w:rPr>
          <w:spacing w:val="-3"/>
        </w:rPr>
        <w:t>to</w:t>
      </w:r>
      <w:r>
        <w:rPr>
          <w:spacing w:val="11"/>
        </w:rPr>
        <w:t> </w:t>
      </w:r>
      <w:r>
        <w:rPr>
          <w:spacing w:val="-3"/>
        </w:rPr>
        <w:t>pressure</w:t>
      </w:r>
      <w:r>
        <w:rPr>
          <w:spacing w:val="12"/>
        </w:rPr>
        <w:t> </w:t>
      </w:r>
      <w:r>
        <w:rPr>
          <w:spacing w:val="-3"/>
        </w:rPr>
        <w:t>to</w:t>
      </w:r>
      <w:r>
        <w:rPr>
          <w:spacing w:val="12"/>
        </w:rPr>
        <w:t> </w:t>
      </w:r>
      <w:r>
        <w:rPr>
          <w:spacing w:val="-3"/>
        </w:rPr>
        <w:t>leave</w:t>
      </w:r>
      <w:r>
        <w:rPr>
          <w:spacing w:val="11"/>
        </w:rPr>
        <w:t> </w:t>
      </w:r>
      <w:r>
        <w:rPr/>
        <w:t>property</w:t>
      </w:r>
    </w:p>
    <w:p>
      <w:pPr>
        <w:pStyle w:val="BodyText"/>
        <w:spacing w:line="242" w:lineRule="auto" w:before="6"/>
        <w:ind w:left="1587" w:right="1619"/>
      </w:pPr>
      <w:r>
        <w:rPr/>
        <w:t>to those who care for them. They are leaving many more descendants, possibly from two or more relationships, who may feel entitled to a share of their property.</w:t>
      </w:r>
    </w:p>
    <w:p>
      <w:pPr>
        <w:pStyle w:val="BodyText"/>
        <w:spacing w:before="123"/>
        <w:ind w:left="1587"/>
      </w:pPr>
      <w:r>
        <w:rPr/>
        <w:t>This reference has been a timely opportunity to consider how well succession laws protect</w:t>
      </w:r>
    </w:p>
    <w:p>
      <w:pPr>
        <w:pStyle w:val="BodyText"/>
        <w:spacing w:line="242" w:lineRule="auto" w:before="3"/>
        <w:ind w:left="1587" w:right="2010"/>
      </w:pPr>
      <w:r>
        <w:rPr/>
        <w:t>will-makers </w:t>
      </w:r>
      <w:r>
        <w:rPr>
          <w:spacing w:val="-3"/>
        </w:rPr>
        <w:t>from undue influence,  recognise  </w:t>
      </w:r>
      <w:r>
        <w:rPr/>
        <w:t>their </w:t>
      </w:r>
      <w:r>
        <w:rPr>
          <w:spacing w:val="-3"/>
        </w:rPr>
        <w:t>significant</w:t>
      </w:r>
      <w:r>
        <w:rPr>
          <w:spacing w:val="41"/>
        </w:rPr>
        <w:t> </w:t>
      </w:r>
      <w:r>
        <w:rPr>
          <w:spacing w:val="-3"/>
        </w:rPr>
        <w:t>relationships,  safeguard  </w:t>
      </w:r>
      <w:r>
        <w:rPr/>
        <w:t>the rights of beneficiaries and </w:t>
      </w:r>
      <w:r>
        <w:rPr>
          <w:spacing w:val="-3"/>
        </w:rPr>
        <w:t>creditors </w:t>
      </w:r>
      <w:r>
        <w:rPr/>
        <w:t>and </w:t>
      </w:r>
      <w:r>
        <w:rPr>
          <w:spacing w:val="-3"/>
        </w:rPr>
        <w:t>ensure that </w:t>
      </w:r>
      <w:r>
        <w:rPr/>
        <w:t>the estate is </w:t>
      </w:r>
      <w:r>
        <w:rPr>
          <w:spacing w:val="-2"/>
        </w:rPr>
        <w:t>not </w:t>
      </w:r>
      <w:r>
        <w:rPr/>
        <w:t>depleted by unnecessary or </w:t>
      </w:r>
      <w:r>
        <w:rPr>
          <w:spacing w:val="-3"/>
        </w:rPr>
        <w:t>unreasonable</w:t>
      </w:r>
      <w:r>
        <w:rPr>
          <w:spacing w:val="8"/>
        </w:rPr>
        <w:t> </w:t>
      </w:r>
      <w:r>
        <w:rPr/>
        <w:t>costs.</w:t>
      </w:r>
    </w:p>
    <w:p>
      <w:pPr>
        <w:pStyle w:val="BodyText"/>
        <w:spacing w:line="242" w:lineRule="auto" w:before="123"/>
        <w:ind w:left="1587" w:right="1584"/>
      </w:pPr>
      <w:r>
        <w:rPr>
          <w:w w:val="105"/>
        </w:rPr>
        <w:t>The </w:t>
      </w:r>
      <w:r>
        <w:rPr>
          <w:spacing w:val="-3"/>
          <w:w w:val="105"/>
        </w:rPr>
        <w:t>Commissioner </w:t>
      </w:r>
      <w:r>
        <w:rPr>
          <w:w w:val="105"/>
        </w:rPr>
        <w:t>who led the </w:t>
      </w:r>
      <w:r>
        <w:rPr>
          <w:spacing w:val="-4"/>
          <w:w w:val="105"/>
        </w:rPr>
        <w:t>reference, </w:t>
      </w:r>
      <w:r>
        <w:rPr>
          <w:w w:val="105"/>
        </w:rPr>
        <w:t>Dr Ian </w:t>
      </w:r>
      <w:r>
        <w:rPr>
          <w:spacing w:val="-3"/>
          <w:w w:val="105"/>
        </w:rPr>
        <w:t>Hardingham </w:t>
      </w:r>
      <w:r>
        <w:rPr>
          <w:spacing w:val="-4"/>
          <w:w w:val="105"/>
        </w:rPr>
        <w:t>QC, </w:t>
      </w:r>
      <w:r>
        <w:rPr>
          <w:spacing w:val="-3"/>
          <w:w w:val="105"/>
        </w:rPr>
        <w:t>brought to </w:t>
      </w:r>
      <w:r>
        <w:rPr>
          <w:w w:val="105"/>
        </w:rPr>
        <w:t>the task his extensive experience in </w:t>
      </w:r>
      <w:r>
        <w:rPr>
          <w:spacing w:val="-3"/>
          <w:w w:val="105"/>
        </w:rPr>
        <w:t>teaching, </w:t>
      </w:r>
      <w:r>
        <w:rPr>
          <w:spacing w:val="-2"/>
          <w:w w:val="105"/>
        </w:rPr>
        <w:t>advising </w:t>
      </w:r>
      <w:r>
        <w:rPr>
          <w:w w:val="105"/>
        </w:rPr>
        <w:t>and writing about </w:t>
      </w:r>
      <w:r>
        <w:rPr>
          <w:spacing w:val="-3"/>
          <w:w w:val="105"/>
        </w:rPr>
        <w:t>succession </w:t>
      </w:r>
      <w:r>
        <w:rPr>
          <w:w w:val="105"/>
        </w:rPr>
        <w:t>laws, as </w:t>
      </w:r>
      <w:r>
        <w:rPr>
          <w:spacing w:val="-3"/>
          <w:w w:val="105"/>
        </w:rPr>
        <w:t>well </w:t>
      </w:r>
      <w:r>
        <w:rPr>
          <w:w w:val="105"/>
        </w:rPr>
        <w:t>as the benefit of </w:t>
      </w:r>
      <w:r>
        <w:rPr>
          <w:spacing w:val="-3"/>
          <w:w w:val="105"/>
        </w:rPr>
        <w:t>many </w:t>
      </w:r>
      <w:r>
        <w:rPr>
          <w:w w:val="105"/>
        </w:rPr>
        <w:t>years of legal </w:t>
      </w:r>
      <w:r>
        <w:rPr>
          <w:spacing w:val="-3"/>
          <w:w w:val="105"/>
        </w:rPr>
        <w:t>practice. </w:t>
      </w:r>
      <w:r>
        <w:rPr>
          <w:w w:val="105"/>
        </w:rPr>
        <w:t>I extend </w:t>
      </w:r>
      <w:r>
        <w:rPr>
          <w:spacing w:val="-3"/>
          <w:w w:val="105"/>
        </w:rPr>
        <w:t>to him </w:t>
      </w:r>
      <w:r>
        <w:rPr>
          <w:w w:val="105"/>
        </w:rPr>
        <w:t>my thanks </w:t>
      </w:r>
      <w:r>
        <w:rPr>
          <w:spacing w:val="-3"/>
          <w:w w:val="105"/>
        </w:rPr>
        <w:t>for </w:t>
      </w:r>
      <w:r>
        <w:rPr>
          <w:w w:val="105"/>
        </w:rPr>
        <w:t>his perceptive and practical </w:t>
      </w:r>
      <w:r>
        <w:rPr>
          <w:spacing w:val="-3"/>
          <w:w w:val="105"/>
        </w:rPr>
        <w:t>insights </w:t>
      </w:r>
      <w:r>
        <w:rPr>
          <w:spacing w:val="-4"/>
          <w:w w:val="105"/>
        </w:rPr>
        <w:t>into </w:t>
      </w:r>
      <w:r>
        <w:rPr>
          <w:w w:val="105"/>
        </w:rPr>
        <w:t>the operation of the </w:t>
      </w:r>
      <w:r>
        <w:rPr>
          <w:spacing w:val="-5"/>
          <w:w w:val="105"/>
        </w:rPr>
        <w:t>law.</w:t>
      </w:r>
    </w:p>
    <w:p>
      <w:pPr>
        <w:pStyle w:val="BodyText"/>
        <w:spacing w:line="242" w:lineRule="auto" w:before="125"/>
        <w:ind w:left="1587" w:right="1619"/>
      </w:pPr>
      <w:r>
        <w:rPr/>
        <w:t>I wish </w:t>
      </w:r>
      <w:r>
        <w:rPr>
          <w:spacing w:val="-3"/>
        </w:rPr>
        <w:t>to thank </w:t>
      </w:r>
      <w:r>
        <w:rPr/>
        <w:t>the </w:t>
      </w:r>
      <w:r>
        <w:rPr>
          <w:spacing w:val="-3"/>
        </w:rPr>
        <w:t>many </w:t>
      </w:r>
      <w:r>
        <w:rPr/>
        <w:t>people who  </w:t>
      </w:r>
      <w:r>
        <w:rPr>
          <w:spacing w:val="-3"/>
        </w:rPr>
        <w:t>gave  </w:t>
      </w:r>
      <w:r>
        <w:rPr/>
        <w:t>their  time  and  expertise  </w:t>
      </w:r>
      <w:r>
        <w:rPr>
          <w:spacing w:val="-3"/>
        </w:rPr>
        <w:t>to  </w:t>
      </w:r>
      <w:r>
        <w:rPr/>
        <w:t>assist  the  </w:t>
      </w:r>
      <w:r>
        <w:rPr>
          <w:spacing w:val="-3"/>
        </w:rPr>
        <w:t>Commission during </w:t>
      </w:r>
      <w:r>
        <w:rPr/>
        <w:t>the </w:t>
      </w:r>
      <w:r>
        <w:rPr>
          <w:spacing w:val="-4"/>
        </w:rPr>
        <w:t>reference. </w:t>
      </w:r>
      <w:r>
        <w:rPr/>
        <w:t>I </w:t>
      </w:r>
      <w:r>
        <w:rPr>
          <w:spacing w:val="-3"/>
        </w:rPr>
        <w:t>thank </w:t>
      </w:r>
      <w:r>
        <w:rPr/>
        <w:t>in particular the members of the advisory committee: </w:t>
      </w:r>
      <w:r>
        <w:rPr>
          <w:spacing w:val="-3"/>
        </w:rPr>
        <w:t>Richard </w:t>
      </w:r>
      <w:r>
        <w:rPr/>
        <w:t>Boaden, Associate Professor Matthew </w:t>
      </w:r>
      <w:r>
        <w:rPr>
          <w:spacing w:val="-3"/>
        </w:rPr>
        <w:t>Groves, </w:t>
      </w:r>
      <w:r>
        <w:rPr/>
        <w:t>Michael </w:t>
      </w:r>
      <w:r>
        <w:rPr>
          <w:spacing w:val="-3"/>
        </w:rPr>
        <w:t>Halpin, </w:t>
      </w:r>
      <w:r>
        <w:rPr/>
        <w:t>Justin Hartnett, Mark </w:t>
      </w:r>
      <w:r>
        <w:rPr>
          <w:spacing w:val="-5"/>
        </w:rPr>
        <w:t>Maier, </w:t>
      </w:r>
      <w:r>
        <w:rPr>
          <w:spacing w:val="-3"/>
        </w:rPr>
        <w:t>Stewart </w:t>
      </w:r>
      <w:r>
        <w:rPr/>
        <w:t>McNab, </w:t>
      </w:r>
      <w:r>
        <w:rPr>
          <w:spacing w:val="-3"/>
        </w:rPr>
        <w:t>Richard</w:t>
      </w:r>
      <w:r>
        <w:rPr>
          <w:spacing w:val="12"/>
        </w:rPr>
        <w:t> </w:t>
      </w:r>
      <w:r>
        <w:rPr>
          <w:spacing w:val="-3"/>
        </w:rPr>
        <w:t>Phillips,</w:t>
      </w:r>
      <w:r>
        <w:rPr>
          <w:spacing w:val="13"/>
        </w:rPr>
        <w:t> </w:t>
      </w:r>
      <w:r>
        <w:rPr>
          <w:spacing w:val="-3"/>
        </w:rPr>
        <w:t>Carol</w:t>
      </w:r>
      <w:r>
        <w:rPr>
          <w:spacing w:val="13"/>
        </w:rPr>
        <w:t> </w:t>
      </w:r>
      <w:r>
        <w:rPr>
          <w:spacing w:val="-3"/>
        </w:rPr>
        <w:t>Stuart,</w:t>
      </w:r>
      <w:r>
        <w:rPr>
          <w:spacing w:val="13"/>
        </w:rPr>
        <w:t> </w:t>
      </w:r>
      <w:r>
        <w:rPr/>
        <w:t>Michael</w:t>
      </w:r>
      <w:r>
        <w:rPr>
          <w:spacing w:val="13"/>
        </w:rPr>
        <w:t> </w:t>
      </w:r>
      <w:r>
        <w:rPr>
          <w:spacing w:val="-3"/>
        </w:rPr>
        <w:t>Tsotsos,</w:t>
      </w:r>
      <w:r>
        <w:rPr>
          <w:spacing w:val="13"/>
        </w:rPr>
        <w:t> </w:t>
      </w:r>
      <w:r>
        <w:rPr/>
        <w:t>Professor</w:t>
      </w:r>
      <w:r>
        <w:rPr>
          <w:spacing w:val="13"/>
        </w:rPr>
        <w:t> </w:t>
      </w:r>
      <w:r>
        <w:rPr/>
        <w:t>Prue</w:t>
      </w:r>
      <w:r>
        <w:rPr>
          <w:spacing w:val="13"/>
        </w:rPr>
        <w:t> </w:t>
      </w:r>
      <w:r>
        <w:rPr/>
        <w:t>Vines</w:t>
      </w:r>
      <w:r>
        <w:rPr>
          <w:spacing w:val="13"/>
        </w:rPr>
        <w:t> </w:t>
      </w:r>
      <w:r>
        <w:rPr/>
        <w:t>and</w:t>
      </w:r>
      <w:r>
        <w:rPr>
          <w:spacing w:val="13"/>
        </w:rPr>
        <w:t> </w:t>
      </w:r>
      <w:r>
        <w:rPr>
          <w:spacing w:val="-3"/>
        </w:rPr>
        <w:t>Kathy</w:t>
      </w:r>
      <w:r>
        <w:rPr>
          <w:spacing w:val="13"/>
        </w:rPr>
        <w:t> </w:t>
      </w:r>
      <w:r>
        <w:rPr/>
        <w:t>Wilson.</w:t>
      </w:r>
    </w:p>
    <w:p>
      <w:pPr>
        <w:pStyle w:val="BodyText"/>
        <w:spacing w:line="242" w:lineRule="auto" w:before="124"/>
        <w:ind w:left="1587" w:right="1711"/>
      </w:pPr>
      <w:r>
        <w:rPr>
          <w:w w:val="105"/>
        </w:rPr>
        <w:t>I would also </w:t>
      </w:r>
      <w:r>
        <w:rPr>
          <w:spacing w:val="-4"/>
          <w:w w:val="105"/>
        </w:rPr>
        <w:t>like </w:t>
      </w:r>
      <w:r>
        <w:rPr>
          <w:spacing w:val="-3"/>
          <w:w w:val="105"/>
        </w:rPr>
        <w:t>to thank </w:t>
      </w:r>
      <w:r>
        <w:rPr>
          <w:w w:val="105"/>
        </w:rPr>
        <w:t>my </w:t>
      </w:r>
      <w:r>
        <w:rPr>
          <w:spacing w:val="-3"/>
          <w:w w:val="105"/>
        </w:rPr>
        <w:t>fellow Commissioners who, </w:t>
      </w:r>
      <w:r>
        <w:rPr>
          <w:w w:val="105"/>
        </w:rPr>
        <w:t>with Dr </w:t>
      </w:r>
      <w:r>
        <w:rPr>
          <w:spacing w:val="-3"/>
          <w:w w:val="105"/>
        </w:rPr>
        <w:t>Hardingham </w:t>
      </w:r>
      <w:r>
        <w:rPr>
          <w:w w:val="105"/>
        </w:rPr>
        <w:t>and </w:t>
      </w:r>
      <w:r>
        <w:rPr>
          <w:spacing w:val="-3"/>
          <w:w w:val="105"/>
        </w:rPr>
        <w:t>me, </w:t>
      </w:r>
      <w:r>
        <w:rPr>
          <w:w w:val="105"/>
        </w:rPr>
        <w:t>comprised the Division of the </w:t>
      </w:r>
      <w:r>
        <w:rPr>
          <w:spacing w:val="-3"/>
          <w:w w:val="105"/>
        </w:rPr>
        <w:t>Commission </w:t>
      </w:r>
      <w:r>
        <w:rPr>
          <w:w w:val="105"/>
        </w:rPr>
        <w:t>with </w:t>
      </w:r>
      <w:r>
        <w:rPr>
          <w:spacing w:val="-3"/>
          <w:w w:val="105"/>
        </w:rPr>
        <w:t>responsibility for </w:t>
      </w:r>
      <w:r>
        <w:rPr>
          <w:w w:val="105"/>
        </w:rPr>
        <w:t>this </w:t>
      </w:r>
      <w:r>
        <w:rPr>
          <w:spacing w:val="-3"/>
          <w:w w:val="105"/>
        </w:rPr>
        <w:t>reference: </w:t>
      </w:r>
      <w:r>
        <w:rPr>
          <w:w w:val="105"/>
        </w:rPr>
        <w:t>the Hon. </w:t>
      </w:r>
      <w:r>
        <w:rPr>
          <w:spacing w:val="-3"/>
          <w:w w:val="105"/>
        </w:rPr>
        <w:t>David </w:t>
      </w:r>
      <w:r>
        <w:rPr>
          <w:w w:val="105"/>
        </w:rPr>
        <w:t>Jones AM and </w:t>
      </w:r>
      <w:r>
        <w:rPr>
          <w:spacing w:val="-2"/>
          <w:w w:val="105"/>
        </w:rPr>
        <w:t>Eamonn </w:t>
      </w:r>
      <w:r>
        <w:rPr>
          <w:w w:val="105"/>
        </w:rPr>
        <w:t>Moran PSM </w:t>
      </w:r>
      <w:r>
        <w:rPr>
          <w:spacing w:val="-4"/>
          <w:w w:val="105"/>
        </w:rPr>
        <w:t>QC. </w:t>
      </w:r>
      <w:r>
        <w:rPr>
          <w:w w:val="105"/>
        </w:rPr>
        <w:t>They </w:t>
      </w:r>
      <w:r>
        <w:rPr>
          <w:spacing w:val="-3"/>
          <w:w w:val="105"/>
        </w:rPr>
        <w:t>contributed </w:t>
      </w:r>
      <w:r>
        <w:rPr>
          <w:spacing w:val="-2"/>
          <w:w w:val="105"/>
        </w:rPr>
        <w:t>significantly </w:t>
      </w:r>
      <w:r>
        <w:rPr>
          <w:spacing w:val="-3"/>
          <w:w w:val="105"/>
        </w:rPr>
        <w:t>to </w:t>
      </w:r>
      <w:r>
        <w:rPr>
          <w:w w:val="105"/>
        </w:rPr>
        <w:t>the </w:t>
      </w:r>
      <w:r>
        <w:rPr>
          <w:spacing w:val="-3"/>
          <w:w w:val="105"/>
        </w:rPr>
        <w:t>recommendations </w:t>
      </w:r>
      <w:r>
        <w:rPr>
          <w:w w:val="105"/>
        </w:rPr>
        <w:t>made</w:t>
      </w:r>
    </w:p>
    <w:p>
      <w:pPr>
        <w:pStyle w:val="BodyText"/>
        <w:spacing w:before="3"/>
        <w:ind w:left="1587"/>
      </w:pPr>
      <w:r>
        <w:rPr/>
        <w:t>in this report.</w:t>
      </w:r>
    </w:p>
    <w:p>
      <w:pPr>
        <w:pStyle w:val="BodyText"/>
        <w:spacing w:line="242" w:lineRule="auto" w:before="124"/>
        <w:ind w:left="1587" w:right="2420"/>
        <w:jc w:val="both"/>
      </w:pPr>
      <w:r>
        <w:rPr>
          <w:w w:val="105"/>
        </w:rPr>
        <w:t>I extend my warm thanks </w:t>
      </w:r>
      <w:r>
        <w:rPr>
          <w:spacing w:val="-3"/>
          <w:w w:val="105"/>
        </w:rPr>
        <w:t>to </w:t>
      </w:r>
      <w:r>
        <w:rPr>
          <w:w w:val="105"/>
        </w:rPr>
        <w:t>the </w:t>
      </w:r>
      <w:r>
        <w:rPr>
          <w:spacing w:val="-3"/>
          <w:w w:val="105"/>
        </w:rPr>
        <w:t>Succession </w:t>
      </w:r>
      <w:r>
        <w:rPr>
          <w:w w:val="105"/>
        </w:rPr>
        <w:t>Laws </w:t>
      </w:r>
      <w:r>
        <w:rPr>
          <w:spacing w:val="-3"/>
          <w:w w:val="105"/>
        </w:rPr>
        <w:t>team, </w:t>
      </w:r>
      <w:r>
        <w:rPr>
          <w:w w:val="105"/>
        </w:rPr>
        <w:t>most ably led by Lindy </w:t>
      </w:r>
      <w:r>
        <w:rPr>
          <w:spacing w:val="-3"/>
          <w:w w:val="105"/>
        </w:rPr>
        <w:t>Smith </w:t>
      </w:r>
      <w:r>
        <w:rPr>
          <w:w w:val="105"/>
        </w:rPr>
        <w:t>and </w:t>
      </w:r>
      <w:r>
        <w:rPr>
          <w:spacing w:val="-3"/>
          <w:w w:val="105"/>
        </w:rPr>
        <w:t>comprising </w:t>
      </w:r>
      <w:r>
        <w:rPr>
          <w:w w:val="105"/>
        </w:rPr>
        <w:t>Mia Hollick, Natalie </w:t>
      </w:r>
      <w:r>
        <w:rPr>
          <w:spacing w:val="-3"/>
          <w:w w:val="105"/>
        </w:rPr>
        <w:t>Lilford </w:t>
      </w:r>
      <w:r>
        <w:rPr>
          <w:w w:val="105"/>
        </w:rPr>
        <w:t>and </w:t>
      </w:r>
      <w:r>
        <w:rPr>
          <w:spacing w:val="-2"/>
          <w:w w:val="105"/>
        </w:rPr>
        <w:t>Joanna </w:t>
      </w:r>
      <w:r>
        <w:rPr>
          <w:spacing w:val="-3"/>
          <w:w w:val="105"/>
        </w:rPr>
        <w:t>O’Donohue. </w:t>
      </w:r>
      <w:r>
        <w:rPr>
          <w:w w:val="105"/>
        </w:rPr>
        <w:t>The work of the </w:t>
      </w:r>
      <w:r>
        <w:rPr>
          <w:spacing w:val="-3"/>
          <w:w w:val="105"/>
        </w:rPr>
        <w:t>team </w:t>
      </w:r>
      <w:r>
        <w:rPr>
          <w:w w:val="105"/>
        </w:rPr>
        <w:t>was carried out with much application and </w:t>
      </w:r>
      <w:r>
        <w:rPr>
          <w:spacing w:val="-3"/>
          <w:w w:val="105"/>
        </w:rPr>
        <w:t>skill.</w:t>
      </w:r>
    </w:p>
    <w:p>
      <w:pPr>
        <w:pStyle w:val="BodyText"/>
        <w:spacing w:before="124"/>
        <w:ind w:left="1587"/>
      </w:pPr>
      <w:r>
        <w:rPr>
          <w:w w:val="105"/>
        </w:rPr>
        <w:t>I commend the report to you.</w:t>
      </w:r>
    </w:p>
    <w:p>
      <w:pPr>
        <w:pStyle w:val="BodyText"/>
        <w:spacing w:before="2"/>
        <w:rPr>
          <w:sz w:val="15"/>
        </w:rPr>
      </w:pPr>
      <w:r>
        <w:rPr/>
        <w:drawing>
          <wp:anchor distT="0" distB="0" distL="0" distR="0" allowOverlap="1" layoutInCell="1" locked="0" behindDoc="0" simplePos="0" relativeHeight="6">
            <wp:simplePos x="0" y="0"/>
            <wp:positionH relativeFrom="page">
              <wp:posOffset>952991</wp:posOffset>
            </wp:positionH>
            <wp:positionV relativeFrom="paragraph">
              <wp:posOffset>142346</wp:posOffset>
            </wp:positionV>
            <wp:extent cx="2198465" cy="609600"/>
            <wp:effectExtent l="0" t="0" r="0" b="0"/>
            <wp:wrapTopAndBottom/>
            <wp:docPr id="7" name="image7.png" descr=""/>
            <wp:cNvGraphicFramePr>
              <a:graphicFrameLocks noChangeAspect="1"/>
            </wp:cNvGraphicFramePr>
            <a:graphic>
              <a:graphicData uri="http://schemas.openxmlformats.org/drawingml/2006/picture">
                <pic:pic>
                  <pic:nvPicPr>
                    <pic:cNvPr id="8" name="image7.png"/>
                    <pic:cNvPicPr/>
                  </pic:nvPicPr>
                  <pic:blipFill>
                    <a:blip r:embed="rId15" cstate="print"/>
                    <a:stretch>
                      <a:fillRect/>
                    </a:stretch>
                  </pic:blipFill>
                  <pic:spPr>
                    <a:xfrm>
                      <a:off x="0" y="0"/>
                      <a:ext cx="2198465" cy="609600"/>
                    </a:xfrm>
                    <a:prstGeom prst="rect">
                      <a:avLst/>
                    </a:prstGeom>
                  </pic:spPr>
                </pic:pic>
              </a:graphicData>
            </a:graphic>
          </wp:anchor>
        </w:drawing>
      </w:r>
    </w:p>
    <w:p>
      <w:pPr>
        <w:pStyle w:val="BodyText"/>
        <w:spacing w:before="46"/>
        <w:ind w:left="1587"/>
        <w:rPr>
          <w:rFonts w:ascii="Lucida Sans"/>
          <w:b/>
        </w:rPr>
      </w:pPr>
      <w:r>
        <w:rPr>
          <w:rFonts w:ascii="Lucida Sans"/>
          <w:b/>
        </w:rPr>
        <w:t>The Hon. P. D. Cummins</w:t>
      </w:r>
    </w:p>
    <w:p>
      <w:pPr>
        <w:pStyle w:val="BodyText"/>
        <w:spacing w:line="242" w:lineRule="auto" w:before="137"/>
        <w:ind w:left="1587" w:right="9208"/>
      </w:pPr>
      <w:r>
        <w:rPr>
          <w:spacing w:val="-4"/>
          <w:w w:val="110"/>
        </w:rPr>
        <w:t>Chair </w:t>
      </w:r>
      <w:r>
        <w:rPr>
          <w:spacing w:val="-2"/>
          <w:w w:val="110"/>
        </w:rPr>
        <w:t>August</w:t>
      </w:r>
      <w:r>
        <w:rPr>
          <w:spacing w:val="-4"/>
          <w:w w:val="110"/>
        </w:rPr>
        <w:t> </w:t>
      </w:r>
      <w:r>
        <w:rPr>
          <w:spacing w:val="-16"/>
          <w:w w:val="110"/>
        </w:rPr>
        <w:t>2013</w:t>
      </w:r>
    </w:p>
    <w:p>
      <w:pPr>
        <w:pStyle w:val="BodyText"/>
        <w:rPr>
          <w:sz w:val="20"/>
        </w:rPr>
      </w:pPr>
    </w:p>
    <w:p>
      <w:pPr>
        <w:pStyle w:val="BodyText"/>
        <w:rPr>
          <w:sz w:val="20"/>
        </w:rPr>
      </w:pPr>
    </w:p>
    <w:p>
      <w:pPr>
        <w:spacing w:before="237"/>
        <w:ind w:left="0" w:right="693" w:firstLine="0"/>
        <w:jc w:val="right"/>
        <w:rPr>
          <w:b/>
          <w:sz w:val="24"/>
        </w:rPr>
      </w:pPr>
      <w:r>
        <w:rPr>
          <w:b/>
          <w:color w:val="EC5A4F"/>
          <w:w w:val="115"/>
          <w:sz w:val="24"/>
        </w:rPr>
        <w:t>ix</w:t>
      </w:r>
    </w:p>
    <w:p>
      <w:pPr>
        <w:spacing w:after="0"/>
        <w:jc w:val="right"/>
        <w:rPr>
          <w:sz w:val="24"/>
        </w:rPr>
        <w:sectPr>
          <w:pgSz w:w="11910" w:h="16840"/>
          <w:pgMar w:header="550" w:footer="0" w:top="1560" w:bottom="280" w:left="0" w:right="0"/>
        </w:sectPr>
      </w:pPr>
    </w:p>
    <w:p>
      <w:pPr>
        <w:pStyle w:val="BodyText"/>
        <w:spacing w:before="10"/>
        <w:rPr>
          <w:b/>
          <w:sz w:val="18"/>
        </w:rPr>
      </w:pPr>
    </w:p>
    <w:p>
      <w:pPr>
        <w:spacing w:before="98"/>
        <w:ind w:left="566" w:right="0" w:firstLine="0"/>
        <w:jc w:val="left"/>
        <w:rPr>
          <w:b/>
          <w:sz w:val="44"/>
        </w:rPr>
      </w:pPr>
      <w:bookmarkStart w:name="Terms of reference" w:id="3"/>
      <w:bookmarkEnd w:id="3"/>
      <w:r>
        <w:rPr/>
      </w:r>
      <w:r>
        <w:rPr>
          <w:b/>
          <w:color w:val="EC5A4F"/>
          <w:w w:val="115"/>
          <w:sz w:val="44"/>
        </w:rPr>
        <w:t>Terms of reference</w:t>
      </w:r>
    </w:p>
    <w:p>
      <w:pPr>
        <w:pStyle w:val="BodyText"/>
        <w:rPr>
          <w:b/>
          <w:sz w:val="52"/>
        </w:rPr>
      </w:pPr>
    </w:p>
    <w:p>
      <w:pPr>
        <w:pStyle w:val="BodyText"/>
        <w:rPr>
          <w:b/>
          <w:sz w:val="52"/>
        </w:rPr>
      </w:pPr>
    </w:p>
    <w:p>
      <w:pPr>
        <w:pStyle w:val="BodyText"/>
        <w:rPr>
          <w:b/>
          <w:sz w:val="52"/>
        </w:rPr>
      </w:pPr>
    </w:p>
    <w:p>
      <w:pPr>
        <w:pStyle w:val="BodyText"/>
        <w:rPr>
          <w:b/>
          <w:sz w:val="52"/>
        </w:rPr>
      </w:pPr>
    </w:p>
    <w:p>
      <w:pPr>
        <w:pStyle w:val="BodyText"/>
        <w:spacing w:before="8"/>
        <w:rPr>
          <w:b/>
          <w:sz w:val="48"/>
        </w:rPr>
      </w:pPr>
    </w:p>
    <w:p>
      <w:pPr>
        <w:pStyle w:val="BodyText"/>
        <w:ind w:left="1587"/>
      </w:pPr>
      <w:r>
        <w:rPr>
          <w:w w:val="105"/>
        </w:rPr>
        <w:t>The Victorian Law Reform Commission is asked to review and report on the desirability</w:t>
      </w:r>
    </w:p>
    <w:p>
      <w:pPr>
        <w:pStyle w:val="BodyText"/>
        <w:spacing w:line="242" w:lineRule="auto" w:before="3"/>
        <w:ind w:left="1587" w:right="2289"/>
      </w:pPr>
      <w:r>
        <w:rPr/>
        <w:t>of </w:t>
      </w:r>
      <w:r>
        <w:rPr>
          <w:spacing w:val="-3"/>
        </w:rPr>
        <w:t>legislative </w:t>
      </w:r>
      <w:r>
        <w:rPr/>
        <w:t>or other </w:t>
      </w:r>
      <w:r>
        <w:rPr>
          <w:spacing w:val="-3"/>
        </w:rPr>
        <w:t>reform </w:t>
      </w:r>
      <w:r>
        <w:rPr/>
        <w:t>in </w:t>
      </w:r>
      <w:r>
        <w:rPr>
          <w:spacing w:val="-3"/>
        </w:rPr>
        <w:t>relation  to  </w:t>
      </w:r>
      <w:r>
        <w:rPr/>
        <w:t>the </w:t>
      </w:r>
      <w:r>
        <w:rPr>
          <w:spacing w:val="-3"/>
        </w:rPr>
        <w:t>succession</w:t>
      </w:r>
      <w:r>
        <w:rPr>
          <w:spacing w:val="41"/>
        </w:rPr>
        <w:t> </w:t>
      </w:r>
      <w:r>
        <w:rPr/>
        <w:t>law matters set out in these </w:t>
      </w:r>
      <w:r>
        <w:rPr>
          <w:spacing w:val="-3"/>
        </w:rPr>
        <w:t>terms </w:t>
      </w:r>
      <w:r>
        <w:rPr/>
        <w:t>of</w:t>
      </w:r>
      <w:r>
        <w:rPr>
          <w:spacing w:val="8"/>
        </w:rPr>
        <w:t> </w:t>
      </w:r>
      <w:r>
        <w:rPr>
          <w:spacing w:val="-4"/>
        </w:rPr>
        <w:t>reference.</w:t>
      </w:r>
      <w:r>
        <w:rPr>
          <w:spacing w:val="9"/>
        </w:rPr>
        <w:t> </w:t>
      </w:r>
      <w:r>
        <w:rPr/>
        <w:t>The</w:t>
      </w:r>
      <w:r>
        <w:rPr>
          <w:spacing w:val="9"/>
        </w:rPr>
        <w:t> </w:t>
      </w:r>
      <w:r>
        <w:rPr/>
        <w:t>purpose</w:t>
      </w:r>
      <w:r>
        <w:rPr>
          <w:spacing w:val="9"/>
        </w:rPr>
        <w:t> </w:t>
      </w:r>
      <w:r>
        <w:rPr/>
        <w:t>of</w:t>
      </w:r>
      <w:r>
        <w:rPr>
          <w:spacing w:val="9"/>
        </w:rPr>
        <w:t> </w:t>
      </w:r>
      <w:r>
        <w:rPr/>
        <w:t>this</w:t>
      </w:r>
      <w:r>
        <w:rPr>
          <w:spacing w:val="9"/>
        </w:rPr>
        <w:t> </w:t>
      </w:r>
      <w:r>
        <w:rPr>
          <w:spacing w:val="-3"/>
        </w:rPr>
        <w:t>reference</w:t>
      </w:r>
      <w:r>
        <w:rPr>
          <w:spacing w:val="9"/>
        </w:rPr>
        <w:t> </w:t>
      </w:r>
      <w:r>
        <w:rPr/>
        <w:t>is</w:t>
      </w:r>
      <w:r>
        <w:rPr>
          <w:spacing w:val="9"/>
        </w:rPr>
        <w:t> </w:t>
      </w:r>
      <w:r>
        <w:rPr/>
        <w:t>to:</w:t>
      </w:r>
    </w:p>
    <w:p>
      <w:pPr>
        <w:pStyle w:val="ListParagraph"/>
        <w:numPr>
          <w:ilvl w:val="0"/>
          <w:numId w:val="2"/>
        </w:numPr>
        <w:tabs>
          <w:tab w:pos="1928" w:val="left" w:leader="none"/>
        </w:tabs>
        <w:spacing w:line="242" w:lineRule="auto" w:before="123" w:after="0"/>
        <w:ind w:left="1927" w:right="1624" w:hanging="340"/>
        <w:jc w:val="left"/>
        <w:rPr>
          <w:sz w:val="21"/>
        </w:rPr>
      </w:pPr>
      <w:r>
        <w:rPr>
          <w:spacing w:val="-3"/>
          <w:sz w:val="21"/>
        </w:rPr>
        <w:t>ensure that </w:t>
      </w:r>
      <w:r>
        <w:rPr>
          <w:sz w:val="21"/>
        </w:rPr>
        <w:t>Victorian law operates </w:t>
      </w:r>
      <w:r>
        <w:rPr>
          <w:spacing w:val="-4"/>
          <w:sz w:val="21"/>
        </w:rPr>
        <w:t>justly,  </w:t>
      </w:r>
      <w:r>
        <w:rPr>
          <w:spacing w:val="-3"/>
          <w:sz w:val="21"/>
        </w:rPr>
        <w:t>fairly  </w:t>
      </w:r>
      <w:r>
        <w:rPr>
          <w:sz w:val="21"/>
        </w:rPr>
        <w:t>and in </w:t>
      </w:r>
      <w:r>
        <w:rPr>
          <w:spacing w:val="-3"/>
          <w:sz w:val="21"/>
        </w:rPr>
        <w:t>accordance</w:t>
      </w:r>
      <w:r>
        <w:rPr>
          <w:spacing w:val="41"/>
          <w:sz w:val="21"/>
        </w:rPr>
        <w:t> </w:t>
      </w:r>
      <w:r>
        <w:rPr>
          <w:sz w:val="21"/>
        </w:rPr>
        <w:t>with community expectations in</w:t>
      </w:r>
      <w:r>
        <w:rPr>
          <w:spacing w:val="9"/>
          <w:sz w:val="21"/>
        </w:rPr>
        <w:t> </w:t>
      </w:r>
      <w:r>
        <w:rPr>
          <w:spacing w:val="-3"/>
          <w:sz w:val="21"/>
        </w:rPr>
        <w:t>relation</w:t>
      </w:r>
      <w:r>
        <w:rPr>
          <w:spacing w:val="9"/>
          <w:sz w:val="21"/>
        </w:rPr>
        <w:t> </w:t>
      </w:r>
      <w:r>
        <w:rPr>
          <w:spacing w:val="-3"/>
          <w:sz w:val="21"/>
        </w:rPr>
        <w:t>to</w:t>
      </w:r>
      <w:r>
        <w:rPr>
          <w:spacing w:val="9"/>
          <w:sz w:val="21"/>
        </w:rPr>
        <w:t> </w:t>
      </w:r>
      <w:r>
        <w:rPr>
          <w:sz w:val="21"/>
        </w:rPr>
        <w:t>the</w:t>
      </w:r>
      <w:r>
        <w:rPr>
          <w:spacing w:val="9"/>
          <w:sz w:val="21"/>
        </w:rPr>
        <w:t> </w:t>
      </w:r>
      <w:r>
        <w:rPr>
          <w:spacing w:val="-3"/>
          <w:sz w:val="21"/>
        </w:rPr>
        <w:t>way</w:t>
      </w:r>
      <w:r>
        <w:rPr>
          <w:spacing w:val="9"/>
          <w:sz w:val="21"/>
        </w:rPr>
        <w:t> </w:t>
      </w:r>
      <w:r>
        <w:rPr>
          <w:sz w:val="21"/>
        </w:rPr>
        <w:t>property</w:t>
      </w:r>
      <w:r>
        <w:rPr>
          <w:spacing w:val="9"/>
          <w:sz w:val="21"/>
        </w:rPr>
        <w:t> </w:t>
      </w:r>
      <w:r>
        <w:rPr>
          <w:sz w:val="21"/>
        </w:rPr>
        <w:t>is</w:t>
      </w:r>
      <w:r>
        <w:rPr>
          <w:spacing w:val="10"/>
          <w:sz w:val="21"/>
        </w:rPr>
        <w:t> </w:t>
      </w:r>
      <w:r>
        <w:rPr>
          <w:sz w:val="21"/>
        </w:rPr>
        <w:t>dealt</w:t>
      </w:r>
      <w:r>
        <w:rPr>
          <w:spacing w:val="9"/>
          <w:sz w:val="21"/>
        </w:rPr>
        <w:t> </w:t>
      </w:r>
      <w:r>
        <w:rPr>
          <w:sz w:val="21"/>
        </w:rPr>
        <w:t>with</w:t>
      </w:r>
      <w:r>
        <w:rPr>
          <w:spacing w:val="9"/>
          <w:sz w:val="21"/>
        </w:rPr>
        <w:t> </w:t>
      </w:r>
      <w:r>
        <w:rPr>
          <w:sz w:val="21"/>
        </w:rPr>
        <w:t>after</w:t>
      </w:r>
      <w:r>
        <w:rPr>
          <w:spacing w:val="9"/>
          <w:sz w:val="21"/>
        </w:rPr>
        <w:t> </w:t>
      </w:r>
      <w:r>
        <w:rPr>
          <w:sz w:val="21"/>
        </w:rPr>
        <w:t>a</w:t>
      </w:r>
      <w:r>
        <w:rPr>
          <w:spacing w:val="9"/>
          <w:sz w:val="21"/>
        </w:rPr>
        <w:t> </w:t>
      </w:r>
      <w:r>
        <w:rPr>
          <w:sz w:val="21"/>
        </w:rPr>
        <w:t>person</w:t>
      </w:r>
      <w:r>
        <w:rPr>
          <w:spacing w:val="9"/>
          <w:sz w:val="21"/>
        </w:rPr>
        <w:t> </w:t>
      </w:r>
      <w:r>
        <w:rPr>
          <w:sz w:val="21"/>
        </w:rPr>
        <w:t>dies</w:t>
      </w:r>
    </w:p>
    <w:p>
      <w:pPr>
        <w:pStyle w:val="ListParagraph"/>
        <w:numPr>
          <w:ilvl w:val="0"/>
          <w:numId w:val="2"/>
        </w:numPr>
        <w:tabs>
          <w:tab w:pos="1928" w:val="left" w:leader="none"/>
        </w:tabs>
        <w:spacing w:line="242" w:lineRule="auto" w:before="122" w:after="0"/>
        <w:ind w:left="1927" w:right="2244" w:hanging="340"/>
        <w:jc w:val="left"/>
        <w:rPr>
          <w:sz w:val="21"/>
        </w:rPr>
      </w:pPr>
      <w:r>
        <w:rPr>
          <w:spacing w:val="-3"/>
          <w:sz w:val="21"/>
        </w:rPr>
        <w:t>ensure that </w:t>
      </w:r>
      <w:r>
        <w:rPr>
          <w:sz w:val="21"/>
        </w:rPr>
        <w:t>the processes </w:t>
      </w:r>
      <w:r>
        <w:rPr>
          <w:spacing w:val="-3"/>
          <w:sz w:val="21"/>
        </w:rPr>
        <w:t>to </w:t>
      </w:r>
      <w:r>
        <w:rPr>
          <w:sz w:val="21"/>
        </w:rPr>
        <w:t>resolve </w:t>
      </w:r>
      <w:r>
        <w:rPr>
          <w:spacing w:val="-3"/>
          <w:sz w:val="21"/>
        </w:rPr>
        <w:t>disputes </w:t>
      </w:r>
      <w:r>
        <w:rPr>
          <w:sz w:val="21"/>
        </w:rPr>
        <w:t>about the </w:t>
      </w:r>
      <w:r>
        <w:rPr>
          <w:spacing w:val="-2"/>
          <w:sz w:val="21"/>
        </w:rPr>
        <w:t>distribution </w:t>
      </w:r>
      <w:r>
        <w:rPr>
          <w:sz w:val="21"/>
        </w:rPr>
        <w:t>of </w:t>
      </w:r>
      <w:r>
        <w:rPr>
          <w:spacing w:val="-3"/>
          <w:sz w:val="21"/>
        </w:rPr>
        <w:t>such </w:t>
      </w:r>
      <w:r>
        <w:rPr>
          <w:sz w:val="21"/>
        </w:rPr>
        <w:t>property </w:t>
      </w:r>
      <w:r>
        <w:rPr>
          <w:spacing w:val="-3"/>
          <w:sz w:val="21"/>
        </w:rPr>
        <w:t>are </w:t>
      </w:r>
      <w:r>
        <w:rPr>
          <w:sz w:val="21"/>
        </w:rPr>
        <w:t>efficient, effective and</w:t>
      </w:r>
      <w:r>
        <w:rPr>
          <w:spacing w:val="25"/>
          <w:sz w:val="21"/>
        </w:rPr>
        <w:t> </w:t>
      </w:r>
      <w:r>
        <w:rPr>
          <w:spacing w:val="-3"/>
          <w:sz w:val="21"/>
        </w:rPr>
        <w:t>accessible</w:t>
      </w:r>
    </w:p>
    <w:p>
      <w:pPr>
        <w:pStyle w:val="ListParagraph"/>
        <w:numPr>
          <w:ilvl w:val="0"/>
          <w:numId w:val="2"/>
        </w:numPr>
        <w:tabs>
          <w:tab w:pos="1928" w:val="left" w:leader="none"/>
        </w:tabs>
        <w:spacing w:line="242" w:lineRule="auto" w:before="122" w:after="0"/>
        <w:ind w:left="1927" w:right="1930" w:hanging="340"/>
        <w:jc w:val="left"/>
        <w:rPr>
          <w:sz w:val="21"/>
        </w:rPr>
      </w:pPr>
      <w:r>
        <w:rPr>
          <w:w w:val="105"/>
          <w:sz w:val="21"/>
        </w:rPr>
        <w:t>identify practical solutions </w:t>
      </w:r>
      <w:r>
        <w:rPr>
          <w:spacing w:val="-3"/>
          <w:w w:val="105"/>
          <w:sz w:val="21"/>
        </w:rPr>
        <w:t>to </w:t>
      </w:r>
      <w:r>
        <w:rPr>
          <w:spacing w:val="-2"/>
          <w:w w:val="105"/>
          <w:sz w:val="21"/>
        </w:rPr>
        <w:t>problems </w:t>
      </w:r>
      <w:r>
        <w:rPr>
          <w:spacing w:val="-3"/>
          <w:w w:val="105"/>
          <w:sz w:val="21"/>
        </w:rPr>
        <w:t>that may </w:t>
      </w:r>
      <w:r>
        <w:rPr>
          <w:w w:val="105"/>
          <w:sz w:val="21"/>
        </w:rPr>
        <w:t>still be outstanding in Victorian law and practice </w:t>
      </w:r>
      <w:r>
        <w:rPr>
          <w:spacing w:val="-3"/>
          <w:w w:val="105"/>
          <w:sz w:val="21"/>
        </w:rPr>
        <w:t>following </w:t>
      </w:r>
      <w:r>
        <w:rPr>
          <w:w w:val="105"/>
          <w:sz w:val="21"/>
        </w:rPr>
        <w:t>the </w:t>
      </w:r>
      <w:r>
        <w:rPr>
          <w:spacing w:val="-3"/>
          <w:w w:val="105"/>
          <w:sz w:val="21"/>
        </w:rPr>
        <w:t>recommendations </w:t>
      </w:r>
      <w:r>
        <w:rPr>
          <w:w w:val="105"/>
          <w:sz w:val="21"/>
        </w:rPr>
        <w:t>of the </w:t>
      </w:r>
      <w:r>
        <w:rPr>
          <w:spacing w:val="-3"/>
          <w:w w:val="105"/>
          <w:sz w:val="21"/>
        </w:rPr>
        <w:t>National Committee for Uniform Succession </w:t>
      </w:r>
      <w:r>
        <w:rPr>
          <w:w w:val="105"/>
          <w:sz w:val="21"/>
        </w:rPr>
        <w:t>Laws established by the </w:t>
      </w:r>
      <w:r>
        <w:rPr>
          <w:spacing w:val="-3"/>
          <w:w w:val="105"/>
          <w:sz w:val="21"/>
        </w:rPr>
        <w:t>Standing Committee </w:t>
      </w:r>
      <w:r>
        <w:rPr>
          <w:w w:val="105"/>
          <w:sz w:val="21"/>
        </w:rPr>
        <w:t>of Attorneys-General</w:t>
      </w:r>
      <w:r>
        <w:rPr>
          <w:spacing w:val="33"/>
          <w:w w:val="105"/>
          <w:sz w:val="21"/>
        </w:rPr>
        <w:t> </w:t>
      </w:r>
      <w:r>
        <w:rPr>
          <w:w w:val="105"/>
          <w:sz w:val="21"/>
        </w:rPr>
        <w:t>(SCAG).</w:t>
      </w:r>
    </w:p>
    <w:p>
      <w:pPr>
        <w:pStyle w:val="BodyText"/>
        <w:spacing w:before="123"/>
        <w:ind w:left="1587"/>
      </w:pPr>
      <w:r>
        <w:rPr>
          <w:w w:val="105"/>
        </w:rPr>
        <w:t>In particular, the Commission is asked to review and report on the following matters:</w:t>
      </w:r>
    </w:p>
    <w:p>
      <w:pPr>
        <w:pStyle w:val="BodyText"/>
        <w:rPr>
          <w:sz w:val="25"/>
        </w:rPr>
      </w:pPr>
    </w:p>
    <w:p>
      <w:pPr>
        <w:pStyle w:val="Heading5"/>
      </w:pPr>
      <w:r>
        <w:rPr>
          <w:w w:val="110"/>
        </w:rPr>
        <w:t>Wills</w:t>
      </w:r>
    </w:p>
    <w:p>
      <w:pPr>
        <w:pStyle w:val="ListParagraph"/>
        <w:numPr>
          <w:ilvl w:val="0"/>
          <w:numId w:val="3"/>
        </w:numPr>
        <w:tabs>
          <w:tab w:pos="1927" w:val="left" w:leader="none"/>
          <w:tab w:pos="1928" w:val="left" w:leader="none"/>
        </w:tabs>
        <w:spacing w:line="242" w:lineRule="auto" w:before="138" w:after="0"/>
        <w:ind w:left="1927" w:right="2071" w:hanging="340"/>
        <w:jc w:val="left"/>
        <w:rPr>
          <w:sz w:val="21"/>
        </w:rPr>
      </w:pPr>
      <w:r>
        <w:rPr>
          <w:sz w:val="21"/>
        </w:rPr>
        <w:t>whether the </w:t>
      </w:r>
      <w:r>
        <w:rPr>
          <w:spacing w:val="-3"/>
          <w:sz w:val="21"/>
        </w:rPr>
        <w:t>current requirements for </w:t>
      </w:r>
      <w:r>
        <w:rPr>
          <w:sz w:val="21"/>
        </w:rPr>
        <w:t>witnessing </w:t>
      </w:r>
      <w:r>
        <w:rPr>
          <w:spacing w:val="-3"/>
          <w:sz w:val="21"/>
        </w:rPr>
        <w:t>wills </w:t>
      </w:r>
      <w:r>
        <w:rPr>
          <w:sz w:val="21"/>
        </w:rPr>
        <w:t>should be revised </w:t>
      </w:r>
      <w:r>
        <w:rPr>
          <w:spacing w:val="-3"/>
          <w:sz w:val="21"/>
        </w:rPr>
        <w:t>to </w:t>
      </w:r>
      <w:r>
        <w:rPr>
          <w:sz w:val="21"/>
        </w:rPr>
        <w:t>better protect older and </w:t>
      </w:r>
      <w:r>
        <w:rPr>
          <w:spacing w:val="-3"/>
          <w:sz w:val="21"/>
        </w:rPr>
        <w:t>vulnerable </w:t>
      </w:r>
      <w:r>
        <w:rPr>
          <w:sz w:val="21"/>
        </w:rPr>
        <w:t>will-makers </w:t>
      </w:r>
      <w:r>
        <w:rPr>
          <w:spacing w:val="-3"/>
          <w:sz w:val="21"/>
        </w:rPr>
        <w:t>from undue influence </w:t>
      </w:r>
      <w:r>
        <w:rPr>
          <w:sz w:val="21"/>
        </w:rPr>
        <w:t>by </w:t>
      </w:r>
      <w:r>
        <w:rPr>
          <w:spacing w:val="-3"/>
          <w:sz w:val="21"/>
        </w:rPr>
        <w:t>potential </w:t>
      </w:r>
      <w:r>
        <w:rPr>
          <w:sz w:val="21"/>
        </w:rPr>
        <w:t>beneficiaries or</w:t>
      </w:r>
      <w:r>
        <w:rPr>
          <w:spacing w:val="25"/>
          <w:sz w:val="21"/>
        </w:rPr>
        <w:t> </w:t>
      </w:r>
      <w:r>
        <w:rPr>
          <w:sz w:val="21"/>
        </w:rPr>
        <w:t>others</w:t>
      </w:r>
    </w:p>
    <w:p>
      <w:pPr>
        <w:pStyle w:val="ListParagraph"/>
        <w:numPr>
          <w:ilvl w:val="0"/>
          <w:numId w:val="3"/>
        </w:numPr>
        <w:tabs>
          <w:tab w:pos="1927" w:val="left" w:leader="none"/>
          <w:tab w:pos="1928" w:val="left" w:leader="none"/>
        </w:tabs>
        <w:spacing w:line="242" w:lineRule="auto" w:before="122" w:after="0"/>
        <w:ind w:left="1927" w:right="2021" w:hanging="340"/>
        <w:jc w:val="left"/>
        <w:rPr>
          <w:sz w:val="21"/>
        </w:rPr>
      </w:pPr>
      <w:r>
        <w:rPr>
          <w:sz w:val="21"/>
        </w:rPr>
        <w:t>whether the </w:t>
      </w:r>
      <w:r>
        <w:rPr>
          <w:spacing w:val="-3"/>
          <w:sz w:val="21"/>
        </w:rPr>
        <w:t>current provisions that allow </w:t>
      </w:r>
      <w:r>
        <w:rPr>
          <w:sz w:val="21"/>
        </w:rPr>
        <w:t>the </w:t>
      </w:r>
      <w:r>
        <w:rPr>
          <w:spacing w:val="-3"/>
          <w:sz w:val="21"/>
        </w:rPr>
        <w:t>Supreme Court to </w:t>
      </w:r>
      <w:r>
        <w:rPr>
          <w:sz w:val="21"/>
        </w:rPr>
        <w:t>authorise </w:t>
      </w:r>
      <w:r>
        <w:rPr>
          <w:spacing w:val="-3"/>
          <w:sz w:val="21"/>
        </w:rPr>
        <w:t>wills for </w:t>
      </w:r>
      <w:r>
        <w:rPr>
          <w:sz w:val="21"/>
        </w:rPr>
        <w:t>persons who</w:t>
      </w:r>
      <w:r>
        <w:rPr>
          <w:spacing w:val="9"/>
          <w:sz w:val="21"/>
        </w:rPr>
        <w:t> </w:t>
      </w:r>
      <w:r>
        <w:rPr>
          <w:sz w:val="21"/>
        </w:rPr>
        <w:t>do</w:t>
      </w:r>
      <w:r>
        <w:rPr>
          <w:spacing w:val="9"/>
          <w:sz w:val="21"/>
        </w:rPr>
        <w:t> </w:t>
      </w:r>
      <w:r>
        <w:rPr>
          <w:spacing w:val="-2"/>
          <w:sz w:val="21"/>
        </w:rPr>
        <w:t>not</w:t>
      </w:r>
      <w:r>
        <w:rPr>
          <w:spacing w:val="9"/>
          <w:sz w:val="21"/>
        </w:rPr>
        <w:t> </w:t>
      </w:r>
      <w:r>
        <w:rPr>
          <w:spacing w:val="-3"/>
          <w:sz w:val="21"/>
        </w:rPr>
        <w:t>have</w:t>
      </w:r>
      <w:r>
        <w:rPr>
          <w:spacing w:val="10"/>
          <w:sz w:val="21"/>
        </w:rPr>
        <w:t> </w:t>
      </w:r>
      <w:r>
        <w:rPr>
          <w:sz w:val="21"/>
        </w:rPr>
        <w:t>testamentary</w:t>
      </w:r>
      <w:r>
        <w:rPr>
          <w:spacing w:val="9"/>
          <w:sz w:val="21"/>
        </w:rPr>
        <w:t> </w:t>
      </w:r>
      <w:r>
        <w:rPr>
          <w:sz w:val="21"/>
        </w:rPr>
        <w:t>capacity</w:t>
      </w:r>
      <w:r>
        <w:rPr>
          <w:spacing w:val="9"/>
          <w:sz w:val="21"/>
        </w:rPr>
        <w:t> </w:t>
      </w:r>
      <w:r>
        <w:rPr>
          <w:sz w:val="21"/>
        </w:rPr>
        <w:t>should</w:t>
      </w:r>
      <w:r>
        <w:rPr>
          <w:spacing w:val="9"/>
          <w:sz w:val="21"/>
        </w:rPr>
        <w:t> </w:t>
      </w:r>
      <w:r>
        <w:rPr>
          <w:sz w:val="21"/>
        </w:rPr>
        <w:t>be</w:t>
      </w:r>
      <w:r>
        <w:rPr>
          <w:spacing w:val="10"/>
          <w:sz w:val="21"/>
        </w:rPr>
        <w:t> </w:t>
      </w:r>
      <w:r>
        <w:rPr>
          <w:sz w:val="21"/>
        </w:rPr>
        <w:t>revised</w:t>
      </w:r>
    </w:p>
    <w:p>
      <w:pPr>
        <w:pStyle w:val="ListParagraph"/>
        <w:numPr>
          <w:ilvl w:val="0"/>
          <w:numId w:val="3"/>
        </w:numPr>
        <w:tabs>
          <w:tab w:pos="1927" w:val="left" w:leader="none"/>
          <w:tab w:pos="1928" w:val="left" w:leader="none"/>
        </w:tabs>
        <w:spacing w:line="242" w:lineRule="auto" w:before="122" w:after="0"/>
        <w:ind w:left="1927" w:right="1945" w:hanging="340"/>
        <w:jc w:val="left"/>
        <w:rPr>
          <w:sz w:val="21"/>
        </w:rPr>
      </w:pPr>
      <w:r>
        <w:rPr>
          <w:w w:val="105"/>
          <w:sz w:val="21"/>
        </w:rPr>
        <w:t>the</w:t>
      </w:r>
      <w:r>
        <w:rPr>
          <w:spacing w:val="-10"/>
          <w:w w:val="105"/>
          <w:sz w:val="21"/>
        </w:rPr>
        <w:t> </w:t>
      </w:r>
      <w:r>
        <w:rPr>
          <w:w w:val="105"/>
          <w:sz w:val="21"/>
        </w:rPr>
        <w:t>need</w:t>
      </w:r>
      <w:r>
        <w:rPr>
          <w:spacing w:val="-10"/>
          <w:w w:val="105"/>
          <w:sz w:val="21"/>
        </w:rPr>
        <w:t> </w:t>
      </w:r>
      <w:r>
        <w:rPr>
          <w:spacing w:val="-3"/>
          <w:w w:val="105"/>
          <w:sz w:val="21"/>
        </w:rPr>
        <w:t>to</w:t>
      </w:r>
      <w:r>
        <w:rPr>
          <w:spacing w:val="-10"/>
          <w:w w:val="105"/>
          <w:sz w:val="21"/>
        </w:rPr>
        <w:t> </w:t>
      </w:r>
      <w:r>
        <w:rPr>
          <w:w w:val="105"/>
          <w:sz w:val="21"/>
        </w:rPr>
        <w:t>clarify</w:t>
      </w:r>
      <w:r>
        <w:rPr>
          <w:spacing w:val="-11"/>
          <w:w w:val="105"/>
          <w:sz w:val="21"/>
        </w:rPr>
        <w:t> </w:t>
      </w:r>
      <w:r>
        <w:rPr>
          <w:w w:val="105"/>
          <w:sz w:val="21"/>
        </w:rPr>
        <w:t>when</w:t>
      </w:r>
      <w:r>
        <w:rPr>
          <w:spacing w:val="-10"/>
          <w:w w:val="105"/>
          <w:sz w:val="21"/>
        </w:rPr>
        <w:t> </w:t>
      </w:r>
      <w:r>
        <w:rPr>
          <w:w w:val="105"/>
          <w:sz w:val="21"/>
        </w:rPr>
        <w:t>testamentary</w:t>
      </w:r>
      <w:r>
        <w:rPr>
          <w:spacing w:val="-10"/>
          <w:w w:val="105"/>
          <w:sz w:val="21"/>
        </w:rPr>
        <w:t> </w:t>
      </w:r>
      <w:r>
        <w:rPr>
          <w:w w:val="105"/>
          <w:sz w:val="21"/>
        </w:rPr>
        <w:t>property</w:t>
      </w:r>
      <w:r>
        <w:rPr>
          <w:spacing w:val="-10"/>
          <w:w w:val="105"/>
          <w:sz w:val="21"/>
        </w:rPr>
        <w:t> </w:t>
      </w:r>
      <w:r>
        <w:rPr>
          <w:w w:val="105"/>
          <w:sz w:val="21"/>
        </w:rPr>
        <w:t>disposed</w:t>
      </w:r>
      <w:r>
        <w:rPr>
          <w:spacing w:val="-10"/>
          <w:w w:val="105"/>
          <w:sz w:val="21"/>
        </w:rPr>
        <w:t> </w:t>
      </w:r>
      <w:r>
        <w:rPr>
          <w:w w:val="105"/>
          <w:sz w:val="21"/>
        </w:rPr>
        <w:t>of</w:t>
      </w:r>
      <w:r>
        <w:rPr>
          <w:spacing w:val="-10"/>
          <w:w w:val="105"/>
          <w:sz w:val="21"/>
        </w:rPr>
        <w:t> </w:t>
      </w:r>
      <w:r>
        <w:rPr>
          <w:spacing w:val="-3"/>
          <w:w w:val="105"/>
          <w:sz w:val="21"/>
        </w:rPr>
        <w:t>during</w:t>
      </w:r>
      <w:r>
        <w:rPr>
          <w:spacing w:val="-10"/>
          <w:w w:val="105"/>
          <w:sz w:val="21"/>
        </w:rPr>
        <w:t> </w:t>
      </w:r>
      <w:r>
        <w:rPr>
          <w:w w:val="105"/>
          <w:sz w:val="21"/>
        </w:rPr>
        <w:t>the</w:t>
      </w:r>
      <w:r>
        <w:rPr>
          <w:spacing w:val="-10"/>
          <w:w w:val="105"/>
          <w:sz w:val="21"/>
        </w:rPr>
        <w:t> </w:t>
      </w:r>
      <w:r>
        <w:rPr>
          <w:spacing w:val="-3"/>
          <w:w w:val="105"/>
          <w:sz w:val="21"/>
        </w:rPr>
        <w:t>will-maker’s</w:t>
      </w:r>
      <w:r>
        <w:rPr>
          <w:spacing w:val="-10"/>
          <w:w w:val="105"/>
          <w:sz w:val="21"/>
        </w:rPr>
        <w:t> </w:t>
      </w:r>
      <w:r>
        <w:rPr>
          <w:spacing w:val="-3"/>
          <w:w w:val="105"/>
          <w:sz w:val="21"/>
        </w:rPr>
        <w:t>lifetime will </w:t>
      </w:r>
      <w:r>
        <w:rPr>
          <w:w w:val="105"/>
          <w:sz w:val="21"/>
        </w:rPr>
        <w:t>be adeemed and when it </w:t>
      </w:r>
      <w:r>
        <w:rPr>
          <w:spacing w:val="-3"/>
          <w:w w:val="105"/>
          <w:sz w:val="21"/>
        </w:rPr>
        <w:t>will </w:t>
      </w:r>
      <w:r>
        <w:rPr>
          <w:w w:val="105"/>
          <w:sz w:val="21"/>
        </w:rPr>
        <w:t>be protected </w:t>
      </w:r>
      <w:r>
        <w:rPr>
          <w:spacing w:val="-3"/>
          <w:w w:val="105"/>
          <w:sz w:val="21"/>
        </w:rPr>
        <w:t>from</w:t>
      </w:r>
      <w:r>
        <w:rPr>
          <w:spacing w:val="40"/>
          <w:w w:val="105"/>
          <w:sz w:val="21"/>
        </w:rPr>
        <w:t> </w:t>
      </w:r>
      <w:r>
        <w:rPr>
          <w:w w:val="105"/>
          <w:sz w:val="21"/>
        </w:rPr>
        <w:t>ademption</w:t>
      </w:r>
    </w:p>
    <w:p>
      <w:pPr>
        <w:pStyle w:val="BodyText"/>
        <w:spacing w:before="10"/>
        <w:rPr>
          <w:sz w:val="24"/>
        </w:rPr>
      </w:pPr>
    </w:p>
    <w:p>
      <w:pPr>
        <w:pStyle w:val="Heading5"/>
        <w:spacing w:before="1"/>
      </w:pPr>
      <w:r>
        <w:rPr>
          <w:w w:val="115"/>
        </w:rPr>
        <w:t>Family provision</w:t>
      </w:r>
    </w:p>
    <w:p>
      <w:pPr>
        <w:pStyle w:val="ListParagraph"/>
        <w:numPr>
          <w:ilvl w:val="0"/>
          <w:numId w:val="3"/>
        </w:numPr>
        <w:tabs>
          <w:tab w:pos="1927" w:val="left" w:leader="none"/>
          <w:tab w:pos="1928" w:val="left" w:leader="none"/>
        </w:tabs>
        <w:spacing w:line="242" w:lineRule="auto" w:before="137" w:after="0"/>
        <w:ind w:left="1927" w:right="1932" w:hanging="340"/>
        <w:jc w:val="left"/>
        <w:rPr>
          <w:sz w:val="21"/>
        </w:rPr>
      </w:pPr>
      <w:r>
        <w:rPr>
          <w:w w:val="105"/>
          <w:sz w:val="21"/>
        </w:rPr>
        <w:t>whether Part IV of the </w:t>
      </w:r>
      <w:r>
        <w:rPr>
          <w:i/>
          <w:spacing w:val="-3"/>
          <w:w w:val="105"/>
          <w:sz w:val="21"/>
        </w:rPr>
        <w:t>Administration </w:t>
      </w:r>
      <w:r>
        <w:rPr>
          <w:i/>
          <w:w w:val="105"/>
          <w:sz w:val="21"/>
        </w:rPr>
        <w:t>and Probate Act </w:t>
      </w:r>
      <w:r>
        <w:rPr>
          <w:i/>
          <w:spacing w:val="-6"/>
          <w:w w:val="105"/>
          <w:sz w:val="21"/>
        </w:rPr>
        <w:t>1958 </w:t>
      </w:r>
      <w:r>
        <w:rPr>
          <w:spacing w:val="-3"/>
          <w:w w:val="105"/>
          <w:sz w:val="21"/>
        </w:rPr>
        <w:t>concerning family provision applications </w:t>
      </w:r>
      <w:r>
        <w:rPr>
          <w:w w:val="105"/>
          <w:sz w:val="21"/>
        </w:rPr>
        <w:t>is </w:t>
      </w:r>
      <w:r>
        <w:rPr>
          <w:spacing w:val="-3"/>
          <w:w w:val="105"/>
          <w:sz w:val="21"/>
        </w:rPr>
        <w:t>operating </w:t>
      </w:r>
      <w:r>
        <w:rPr>
          <w:w w:val="105"/>
          <w:sz w:val="21"/>
        </w:rPr>
        <w:t>justly and </w:t>
      </w:r>
      <w:r>
        <w:rPr>
          <w:spacing w:val="-2"/>
          <w:w w:val="105"/>
          <w:sz w:val="21"/>
        </w:rPr>
        <w:t>effectively, </w:t>
      </w:r>
      <w:r>
        <w:rPr>
          <w:spacing w:val="-3"/>
          <w:w w:val="105"/>
          <w:sz w:val="21"/>
        </w:rPr>
        <w:t>having regard to </w:t>
      </w:r>
      <w:r>
        <w:rPr>
          <w:w w:val="105"/>
          <w:sz w:val="21"/>
        </w:rPr>
        <w:t>its objective of </w:t>
      </w:r>
      <w:r>
        <w:rPr>
          <w:spacing w:val="-3"/>
          <w:w w:val="105"/>
          <w:sz w:val="21"/>
        </w:rPr>
        <w:t>providing for </w:t>
      </w:r>
      <w:r>
        <w:rPr>
          <w:w w:val="105"/>
          <w:sz w:val="21"/>
        </w:rPr>
        <w:t>the proper </w:t>
      </w:r>
      <w:r>
        <w:rPr>
          <w:spacing w:val="-3"/>
          <w:w w:val="105"/>
          <w:sz w:val="21"/>
        </w:rPr>
        <w:t>maintenance </w:t>
      </w:r>
      <w:r>
        <w:rPr>
          <w:w w:val="105"/>
          <w:sz w:val="21"/>
        </w:rPr>
        <w:t>and support of persons </w:t>
      </w:r>
      <w:r>
        <w:rPr>
          <w:spacing w:val="-3"/>
          <w:w w:val="105"/>
          <w:sz w:val="21"/>
        </w:rPr>
        <w:t>for </w:t>
      </w:r>
      <w:r>
        <w:rPr>
          <w:w w:val="105"/>
          <w:sz w:val="21"/>
        </w:rPr>
        <w:t>whom a deceased </w:t>
      </w:r>
      <w:r>
        <w:rPr>
          <w:spacing w:val="-2"/>
          <w:w w:val="105"/>
          <w:sz w:val="21"/>
        </w:rPr>
        <w:t>had </w:t>
      </w:r>
      <w:r>
        <w:rPr>
          <w:w w:val="105"/>
          <w:sz w:val="21"/>
        </w:rPr>
        <w:t>a </w:t>
      </w:r>
      <w:r>
        <w:rPr>
          <w:spacing w:val="-3"/>
          <w:w w:val="105"/>
          <w:sz w:val="21"/>
        </w:rPr>
        <w:t>responsibility to </w:t>
      </w:r>
      <w:r>
        <w:rPr>
          <w:spacing w:val="-4"/>
          <w:w w:val="105"/>
          <w:sz w:val="21"/>
        </w:rPr>
        <w:t>make</w:t>
      </w:r>
      <w:r>
        <w:rPr>
          <w:spacing w:val="13"/>
          <w:w w:val="105"/>
          <w:sz w:val="21"/>
        </w:rPr>
        <w:t> </w:t>
      </w:r>
      <w:r>
        <w:rPr>
          <w:spacing w:val="-3"/>
          <w:w w:val="105"/>
          <w:sz w:val="21"/>
        </w:rPr>
        <w:t>provision</w:t>
      </w:r>
    </w:p>
    <w:p>
      <w:pPr>
        <w:pStyle w:val="BodyText"/>
        <w:rPr>
          <w:sz w:val="25"/>
        </w:rPr>
      </w:pPr>
    </w:p>
    <w:p>
      <w:pPr>
        <w:pStyle w:val="Heading5"/>
        <w:spacing w:before="1"/>
      </w:pPr>
      <w:r>
        <w:rPr>
          <w:w w:val="110"/>
        </w:rPr>
        <w:t>Intestacy</w:t>
      </w:r>
    </w:p>
    <w:p>
      <w:pPr>
        <w:pStyle w:val="ListParagraph"/>
        <w:numPr>
          <w:ilvl w:val="0"/>
          <w:numId w:val="3"/>
        </w:numPr>
        <w:tabs>
          <w:tab w:pos="1927" w:val="left" w:leader="none"/>
          <w:tab w:pos="1928" w:val="left" w:leader="none"/>
        </w:tabs>
        <w:spacing w:line="242" w:lineRule="auto" w:before="137" w:after="0"/>
        <w:ind w:left="1927" w:right="1875" w:hanging="340"/>
        <w:jc w:val="left"/>
        <w:rPr>
          <w:sz w:val="21"/>
        </w:rPr>
      </w:pPr>
      <w:r>
        <w:rPr>
          <w:w w:val="105"/>
          <w:sz w:val="21"/>
        </w:rPr>
        <w:t>whether Division 6 of Part I of the </w:t>
      </w:r>
      <w:r>
        <w:rPr>
          <w:i/>
          <w:spacing w:val="-3"/>
          <w:w w:val="105"/>
          <w:sz w:val="21"/>
        </w:rPr>
        <w:t>Administration </w:t>
      </w:r>
      <w:r>
        <w:rPr>
          <w:i/>
          <w:w w:val="105"/>
          <w:sz w:val="21"/>
        </w:rPr>
        <w:t>and Probate Act </w:t>
      </w:r>
      <w:r>
        <w:rPr>
          <w:i/>
          <w:spacing w:val="-6"/>
          <w:w w:val="105"/>
          <w:sz w:val="21"/>
        </w:rPr>
        <w:t>1958 </w:t>
      </w:r>
      <w:r>
        <w:rPr>
          <w:spacing w:val="-3"/>
          <w:w w:val="105"/>
          <w:sz w:val="21"/>
        </w:rPr>
        <w:t>concerning </w:t>
      </w:r>
      <w:r>
        <w:rPr>
          <w:w w:val="105"/>
          <w:sz w:val="21"/>
        </w:rPr>
        <w:t>the </w:t>
      </w:r>
      <w:r>
        <w:rPr>
          <w:spacing w:val="-2"/>
          <w:w w:val="105"/>
          <w:sz w:val="21"/>
        </w:rPr>
        <w:t>distribution</w:t>
      </w:r>
      <w:r>
        <w:rPr>
          <w:spacing w:val="-11"/>
          <w:w w:val="105"/>
          <w:sz w:val="21"/>
        </w:rPr>
        <w:t> </w:t>
      </w:r>
      <w:r>
        <w:rPr>
          <w:w w:val="105"/>
          <w:sz w:val="21"/>
        </w:rPr>
        <w:t>of</w:t>
      </w:r>
      <w:r>
        <w:rPr>
          <w:spacing w:val="-10"/>
          <w:w w:val="105"/>
          <w:sz w:val="21"/>
        </w:rPr>
        <w:t> </w:t>
      </w:r>
      <w:r>
        <w:rPr>
          <w:w w:val="105"/>
          <w:sz w:val="21"/>
        </w:rPr>
        <w:t>an</w:t>
      </w:r>
      <w:r>
        <w:rPr>
          <w:spacing w:val="-10"/>
          <w:w w:val="105"/>
          <w:sz w:val="21"/>
        </w:rPr>
        <w:t> </w:t>
      </w:r>
      <w:r>
        <w:rPr>
          <w:w w:val="105"/>
          <w:sz w:val="21"/>
        </w:rPr>
        <w:t>estate</w:t>
      </w:r>
      <w:r>
        <w:rPr>
          <w:spacing w:val="-10"/>
          <w:w w:val="105"/>
          <w:sz w:val="21"/>
        </w:rPr>
        <w:t> </w:t>
      </w:r>
      <w:r>
        <w:rPr>
          <w:w w:val="105"/>
          <w:sz w:val="21"/>
        </w:rPr>
        <w:t>on</w:t>
      </w:r>
      <w:r>
        <w:rPr>
          <w:spacing w:val="-10"/>
          <w:w w:val="105"/>
          <w:sz w:val="21"/>
        </w:rPr>
        <w:t> </w:t>
      </w:r>
      <w:r>
        <w:rPr>
          <w:w w:val="105"/>
          <w:sz w:val="21"/>
        </w:rPr>
        <w:t>an</w:t>
      </w:r>
      <w:r>
        <w:rPr>
          <w:spacing w:val="-10"/>
          <w:w w:val="105"/>
          <w:sz w:val="21"/>
        </w:rPr>
        <w:t> </w:t>
      </w:r>
      <w:r>
        <w:rPr>
          <w:w w:val="105"/>
          <w:sz w:val="21"/>
        </w:rPr>
        <w:t>intestacy</w:t>
      </w:r>
      <w:r>
        <w:rPr>
          <w:spacing w:val="-11"/>
          <w:w w:val="105"/>
          <w:sz w:val="21"/>
        </w:rPr>
        <w:t> </w:t>
      </w:r>
      <w:r>
        <w:rPr>
          <w:w w:val="105"/>
          <w:sz w:val="21"/>
        </w:rPr>
        <w:t>is</w:t>
      </w:r>
      <w:r>
        <w:rPr>
          <w:spacing w:val="-10"/>
          <w:w w:val="105"/>
          <w:sz w:val="21"/>
        </w:rPr>
        <w:t> </w:t>
      </w:r>
      <w:r>
        <w:rPr>
          <w:spacing w:val="-3"/>
          <w:w w:val="105"/>
          <w:sz w:val="21"/>
        </w:rPr>
        <w:t>operating</w:t>
      </w:r>
      <w:r>
        <w:rPr>
          <w:spacing w:val="-10"/>
          <w:w w:val="105"/>
          <w:sz w:val="21"/>
        </w:rPr>
        <w:t> </w:t>
      </w:r>
      <w:r>
        <w:rPr>
          <w:w w:val="105"/>
          <w:sz w:val="21"/>
        </w:rPr>
        <w:t>effectively</w:t>
      </w:r>
      <w:r>
        <w:rPr>
          <w:spacing w:val="-10"/>
          <w:w w:val="105"/>
          <w:sz w:val="21"/>
        </w:rPr>
        <w:t> </w:t>
      </w:r>
      <w:r>
        <w:rPr>
          <w:spacing w:val="-3"/>
          <w:w w:val="105"/>
          <w:sz w:val="21"/>
        </w:rPr>
        <w:t>to</w:t>
      </w:r>
      <w:r>
        <w:rPr>
          <w:spacing w:val="-10"/>
          <w:w w:val="105"/>
          <w:sz w:val="21"/>
        </w:rPr>
        <w:t> </w:t>
      </w:r>
      <w:r>
        <w:rPr>
          <w:spacing w:val="-3"/>
          <w:w w:val="105"/>
          <w:sz w:val="21"/>
        </w:rPr>
        <w:t>achieve</w:t>
      </w:r>
      <w:r>
        <w:rPr>
          <w:spacing w:val="-10"/>
          <w:w w:val="105"/>
          <w:sz w:val="21"/>
        </w:rPr>
        <w:t> </w:t>
      </w:r>
      <w:r>
        <w:rPr>
          <w:w w:val="105"/>
          <w:sz w:val="21"/>
        </w:rPr>
        <w:t>just</w:t>
      </w:r>
      <w:r>
        <w:rPr>
          <w:spacing w:val="-11"/>
          <w:w w:val="105"/>
          <w:sz w:val="21"/>
        </w:rPr>
        <w:t> </w:t>
      </w:r>
      <w:r>
        <w:rPr>
          <w:w w:val="105"/>
          <w:sz w:val="21"/>
        </w:rPr>
        <w:t>and</w:t>
      </w:r>
      <w:r>
        <w:rPr>
          <w:spacing w:val="-10"/>
          <w:w w:val="105"/>
          <w:sz w:val="21"/>
        </w:rPr>
        <w:t> </w:t>
      </w:r>
      <w:r>
        <w:rPr>
          <w:w w:val="105"/>
          <w:sz w:val="21"/>
        </w:rPr>
        <w:t>equitable </w:t>
      </w:r>
      <w:r>
        <w:rPr>
          <w:spacing w:val="-3"/>
          <w:w w:val="105"/>
          <w:sz w:val="21"/>
        </w:rPr>
        <w:t>outcomes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pPr>
    </w:p>
    <w:p>
      <w:pPr>
        <w:spacing w:before="99"/>
        <w:ind w:left="720" w:right="0" w:firstLine="0"/>
        <w:jc w:val="left"/>
        <w:rPr>
          <w:b/>
          <w:sz w:val="24"/>
        </w:rPr>
      </w:pPr>
      <w:r>
        <w:rPr>
          <w:b/>
          <w:color w:val="EC5A4F"/>
          <w:w w:val="121"/>
          <w:sz w:val="24"/>
        </w:rPr>
        <w:t>x</w:t>
      </w:r>
    </w:p>
    <w:p>
      <w:pPr>
        <w:spacing w:after="0"/>
        <w:jc w:val="left"/>
        <w:rPr>
          <w:sz w:val="24"/>
        </w:rPr>
        <w:sectPr>
          <w:pgSz w:w="11910" w:h="16840"/>
          <w:pgMar w:header="1372" w:footer="0" w:top="1560" w:bottom="280" w:left="0" w:right="0"/>
        </w:sectPr>
      </w:pPr>
    </w:p>
    <w:p>
      <w:pPr>
        <w:pStyle w:val="BodyText"/>
        <w:spacing w:before="11"/>
        <w:rPr>
          <w:b/>
        </w:rPr>
      </w:pPr>
    </w:p>
    <w:p>
      <w:pPr>
        <w:spacing w:before="99"/>
        <w:ind w:left="1587" w:right="0" w:firstLine="0"/>
        <w:jc w:val="left"/>
        <w:rPr>
          <w:b/>
          <w:sz w:val="24"/>
        </w:rPr>
      </w:pPr>
      <w:r>
        <w:rPr>
          <w:b/>
          <w:w w:val="115"/>
          <w:sz w:val="24"/>
        </w:rPr>
        <w:t>Legal practitioner executors</w:t>
      </w:r>
    </w:p>
    <w:p>
      <w:pPr>
        <w:pStyle w:val="ListParagraph"/>
        <w:numPr>
          <w:ilvl w:val="0"/>
          <w:numId w:val="3"/>
        </w:numPr>
        <w:tabs>
          <w:tab w:pos="1927" w:val="left" w:leader="none"/>
          <w:tab w:pos="1928" w:val="left" w:leader="none"/>
        </w:tabs>
        <w:spacing w:line="242" w:lineRule="auto" w:before="137" w:after="0"/>
        <w:ind w:left="1927" w:right="1669" w:hanging="340"/>
        <w:jc w:val="left"/>
        <w:rPr>
          <w:sz w:val="21"/>
        </w:rPr>
      </w:pPr>
      <w:r>
        <w:rPr>
          <w:spacing w:val="-3"/>
          <w:w w:val="105"/>
          <w:sz w:val="21"/>
        </w:rPr>
        <w:t>whether</w:t>
      </w:r>
      <w:r>
        <w:rPr>
          <w:spacing w:val="-7"/>
          <w:w w:val="105"/>
          <w:sz w:val="21"/>
        </w:rPr>
        <w:t> </w:t>
      </w:r>
      <w:r>
        <w:rPr>
          <w:spacing w:val="-3"/>
          <w:w w:val="105"/>
          <w:sz w:val="21"/>
        </w:rPr>
        <w:t>there</w:t>
      </w:r>
      <w:r>
        <w:rPr>
          <w:spacing w:val="-7"/>
          <w:w w:val="105"/>
          <w:sz w:val="21"/>
        </w:rPr>
        <w:t> </w:t>
      </w:r>
      <w:r>
        <w:rPr>
          <w:spacing w:val="-3"/>
          <w:w w:val="105"/>
          <w:sz w:val="21"/>
        </w:rPr>
        <w:t>should</w:t>
      </w:r>
      <w:r>
        <w:rPr>
          <w:spacing w:val="-7"/>
          <w:w w:val="105"/>
          <w:sz w:val="21"/>
        </w:rPr>
        <w:t> </w:t>
      </w:r>
      <w:r>
        <w:rPr>
          <w:w w:val="105"/>
          <w:sz w:val="21"/>
        </w:rPr>
        <w:t>be</w:t>
      </w:r>
      <w:r>
        <w:rPr>
          <w:spacing w:val="-6"/>
          <w:w w:val="105"/>
          <w:sz w:val="21"/>
        </w:rPr>
        <w:t> </w:t>
      </w:r>
      <w:r>
        <w:rPr>
          <w:spacing w:val="-3"/>
          <w:w w:val="105"/>
          <w:sz w:val="21"/>
        </w:rPr>
        <w:t>special</w:t>
      </w:r>
      <w:r>
        <w:rPr>
          <w:spacing w:val="-7"/>
          <w:w w:val="105"/>
          <w:sz w:val="21"/>
        </w:rPr>
        <w:t> </w:t>
      </w:r>
      <w:r>
        <w:rPr>
          <w:spacing w:val="-3"/>
          <w:w w:val="105"/>
          <w:sz w:val="21"/>
        </w:rPr>
        <w:t>rules</w:t>
      </w:r>
      <w:r>
        <w:rPr>
          <w:spacing w:val="-7"/>
          <w:w w:val="105"/>
          <w:sz w:val="21"/>
        </w:rPr>
        <w:t> </w:t>
      </w:r>
      <w:r>
        <w:rPr>
          <w:spacing w:val="-3"/>
          <w:w w:val="105"/>
          <w:sz w:val="21"/>
        </w:rPr>
        <w:t>for</w:t>
      </w:r>
      <w:r>
        <w:rPr>
          <w:spacing w:val="-7"/>
          <w:w w:val="105"/>
          <w:sz w:val="21"/>
        </w:rPr>
        <w:t> </w:t>
      </w:r>
      <w:r>
        <w:rPr>
          <w:spacing w:val="-3"/>
          <w:w w:val="105"/>
          <w:sz w:val="21"/>
        </w:rPr>
        <w:t>legal</w:t>
      </w:r>
      <w:r>
        <w:rPr>
          <w:spacing w:val="-6"/>
          <w:w w:val="105"/>
          <w:sz w:val="21"/>
        </w:rPr>
        <w:t> </w:t>
      </w:r>
      <w:r>
        <w:rPr>
          <w:spacing w:val="-3"/>
          <w:w w:val="105"/>
          <w:sz w:val="21"/>
        </w:rPr>
        <w:t>practitioners</w:t>
      </w:r>
      <w:r>
        <w:rPr>
          <w:spacing w:val="-7"/>
          <w:w w:val="105"/>
          <w:sz w:val="21"/>
        </w:rPr>
        <w:t> </w:t>
      </w:r>
      <w:r>
        <w:rPr>
          <w:w w:val="105"/>
          <w:sz w:val="21"/>
        </w:rPr>
        <w:t>who</w:t>
      </w:r>
      <w:r>
        <w:rPr>
          <w:spacing w:val="-7"/>
          <w:w w:val="105"/>
          <w:sz w:val="21"/>
        </w:rPr>
        <w:t> </w:t>
      </w:r>
      <w:r>
        <w:rPr>
          <w:w w:val="105"/>
          <w:sz w:val="21"/>
        </w:rPr>
        <w:t>act</w:t>
      </w:r>
      <w:r>
        <w:rPr>
          <w:spacing w:val="-7"/>
          <w:w w:val="105"/>
          <w:sz w:val="21"/>
        </w:rPr>
        <w:t> </w:t>
      </w:r>
      <w:r>
        <w:rPr>
          <w:w w:val="105"/>
          <w:sz w:val="21"/>
        </w:rPr>
        <w:t>as</w:t>
      </w:r>
      <w:r>
        <w:rPr>
          <w:spacing w:val="-6"/>
          <w:w w:val="105"/>
          <w:sz w:val="21"/>
        </w:rPr>
        <w:t> </w:t>
      </w:r>
      <w:r>
        <w:rPr>
          <w:spacing w:val="-3"/>
          <w:w w:val="105"/>
          <w:sz w:val="21"/>
        </w:rPr>
        <w:t>executors</w:t>
      </w:r>
      <w:r>
        <w:rPr>
          <w:spacing w:val="-7"/>
          <w:w w:val="105"/>
          <w:sz w:val="21"/>
        </w:rPr>
        <w:t> </w:t>
      </w:r>
      <w:r>
        <w:rPr>
          <w:spacing w:val="-3"/>
          <w:w w:val="105"/>
          <w:sz w:val="21"/>
        </w:rPr>
        <w:t>and</w:t>
      </w:r>
      <w:r>
        <w:rPr>
          <w:spacing w:val="-7"/>
          <w:w w:val="105"/>
          <w:sz w:val="21"/>
        </w:rPr>
        <w:t> </w:t>
      </w:r>
      <w:r>
        <w:rPr>
          <w:spacing w:val="-3"/>
          <w:w w:val="105"/>
          <w:sz w:val="21"/>
        </w:rPr>
        <w:t>also</w:t>
      </w:r>
      <w:r>
        <w:rPr>
          <w:spacing w:val="-6"/>
          <w:w w:val="105"/>
          <w:sz w:val="21"/>
        </w:rPr>
        <w:t> </w:t>
      </w:r>
      <w:r>
        <w:rPr>
          <w:w w:val="105"/>
          <w:sz w:val="21"/>
        </w:rPr>
        <w:t>carry out </w:t>
      </w:r>
      <w:r>
        <w:rPr>
          <w:spacing w:val="-3"/>
          <w:w w:val="105"/>
          <w:sz w:val="21"/>
        </w:rPr>
        <w:t>legal work </w:t>
      </w:r>
      <w:r>
        <w:rPr>
          <w:w w:val="105"/>
          <w:sz w:val="21"/>
        </w:rPr>
        <w:t>on </w:t>
      </w:r>
      <w:r>
        <w:rPr>
          <w:spacing w:val="-3"/>
          <w:w w:val="105"/>
          <w:sz w:val="21"/>
        </w:rPr>
        <w:t>behalf of </w:t>
      </w:r>
      <w:r>
        <w:rPr>
          <w:w w:val="105"/>
          <w:sz w:val="21"/>
        </w:rPr>
        <w:t>the </w:t>
      </w:r>
      <w:r>
        <w:rPr>
          <w:spacing w:val="-3"/>
          <w:w w:val="105"/>
          <w:sz w:val="21"/>
        </w:rPr>
        <w:t>estate, </w:t>
      </w:r>
      <w:r>
        <w:rPr>
          <w:spacing w:val="-4"/>
          <w:w w:val="105"/>
          <w:sz w:val="21"/>
        </w:rPr>
        <w:t>including </w:t>
      </w:r>
      <w:r>
        <w:rPr>
          <w:spacing w:val="-3"/>
          <w:w w:val="105"/>
          <w:sz w:val="21"/>
        </w:rPr>
        <w:t>rules for </w:t>
      </w:r>
      <w:r>
        <w:rPr>
          <w:w w:val="105"/>
          <w:sz w:val="21"/>
        </w:rPr>
        <w:t>the </w:t>
      </w:r>
      <w:r>
        <w:rPr>
          <w:spacing w:val="-4"/>
          <w:w w:val="105"/>
          <w:sz w:val="21"/>
        </w:rPr>
        <w:t>charging </w:t>
      </w:r>
      <w:r>
        <w:rPr>
          <w:spacing w:val="-3"/>
          <w:w w:val="105"/>
          <w:sz w:val="21"/>
        </w:rPr>
        <w:t>of </w:t>
      </w:r>
      <w:r>
        <w:rPr>
          <w:w w:val="105"/>
          <w:sz w:val="21"/>
        </w:rPr>
        <w:t>costs </w:t>
      </w:r>
      <w:r>
        <w:rPr>
          <w:spacing w:val="-3"/>
          <w:w w:val="105"/>
          <w:sz w:val="21"/>
        </w:rPr>
        <w:t>and</w:t>
      </w:r>
      <w:r>
        <w:rPr>
          <w:spacing w:val="28"/>
          <w:w w:val="105"/>
          <w:sz w:val="21"/>
        </w:rPr>
        <w:t> </w:t>
      </w:r>
      <w:r>
        <w:rPr>
          <w:spacing w:val="-4"/>
          <w:w w:val="105"/>
          <w:sz w:val="21"/>
        </w:rPr>
        <w:t>commission</w:t>
      </w:r>
    </w:p>
    <w:p>
      <w:pPr>
        <w:pStyle w:val="BodyText"/>
        <w:spacing w:before="11"/>
        <w:rPr>
          <w:sz w:val="24"/>
        </w:rPr>
      </w:pPr>
    </w:p>
    <w:p>
      <w:pPr>
        <w:pStyle w:val="Heading5"/>
      </w:pPr>
      <w:r>
        <w:rPr>
          <w:w w:val="115"/>
        </w:rPr>
        <w:t>Administration of estates</w:t>
      </w:r>
    </w:p>
    <w:p>
      <w:pPr>
        <w:pStyle w:val="ListParagraph"/>
        <w:numPr>
          <w:ilvl w:val="0"/>
          <w:numId w:val="3"/>
        </w:numPr>
        <w:tabs>
          <w:tab w:pos="1927" w:val="left" w:leader="none"/>
          <w:tab w:pos="1928" w:val="left" w:leader="none"/>
        </w:tabs>
        <w:spacing w:line="242" w:lineRule="auto" w:before="137" w:after="0"/>
        <w:ind w:left="1927" w:right="1881" w:hanging="340"/>
        <w:jc w:val="left"/>
        <w:rPr>
          <w:sz w:val="21"/>
        </w:rPr>
      </w:pPr>
      <w:r>
        <w:rPr>
          <w:sz w:val="21"/>
        </w:rPr>
        <w:t>how assets </w:t>
      </w:r>
      <w:r>
        <w:rPr>
          <w:spacing w:val="-3"/>
          <w:sz w:val="21"/>
        </w:rPr>
        <w:t>are designated to </w:t>
      </w:r>
      <w:r>
        <w:rPr>
          <w:spacing w:val="-2"/>
          <w:sz w:val="21"/>
        </w:rPr>
        <w:t>pay </w:t>
      </w:r>
      <w:r>
        <w:rPr>
          <w:sz w:val="21"/>
        </w:rPr>
        <w:t>the debts of an estate and the effect </w:t>
      </w:r>
      <w:r>
        <w:rPr>
          <w:spacing w:val="-3"/>
          <w:sz w:val="21"/>
        </w:rPr>
        <w:t>that </w:t>
      </w:r>
      <w:r>
        <w:rPr>
          <w:sz w:val="21"/>
        </w:rPr>
        <w:t>this </w:t>
      </w:r>
      <w:r>
        <w:rPr>
          <w:spacing w:val="-2"/>
          <w:sz w:val="21"/>
        </w:rPr>
        <w:t>has </w:t>
      </w:r>
      <w:r>
        <w:rPr>
          <w:sz w:val="21"/>
        </w:rPr>
        <w:t>on the estate</w:t>
      </w:r>
      <w:r>
        <w:rPr>
          <w:spacing w:val="18"/>
          <w:sz w:val="21"/>
        </w:rPr>
        <w:t> </w:t>
      </w:r>
      <w:r>
        <w:rPr>
          <w:spacing w:val="-3"/>
          <w:sz w:val="21"/>
        </w:rPr>
        <w:t>available</w:t>
      </w:r>
      <w:r>
        <w:rPr>
          <w:spacing w:val="19"/>
          <w:sz w:val="21"/>
        </w:rPr>
        <w:t> </w:t>
      </w:r>
      <w:r>
        <w:rPr>
          <w:spacing w:val="-3"/>
          <w:sz w:val="21"/>
        </w:rPr>
        <w:t>for</w:t>
      </w:r>
      <w:r>
        <w:rPr>
          <w:spacing w:val="19"/>
          <w:sz w:val="21"/>
        </w:rPr>
        <w:t> </w:t>
      </w:r>
      <w:r>
        <w:rPr>
          <w:spacing w:val="-2"/>
          <w:sz w:val="21"/>
        </w:rPr>
        <w:t>distribution</w:t>
      </w:r>
      <w:r>
        <w:rPr>
          <w:spacing w:val="19"/>
          <w:sz w:val="21"/>
        </w:rPr>
        <w:t> </w:t>
      </w:r>
      <w:r>
        <w:rPr>
          <w:spacing w:val="-3"/>
          <w:sz w:val="21"/>
        </w:rPr>
        <w:t>to</w:t>
      </w:r>
      <w:r>
        <w:rPr>
          <w:spacing w:val="19"/>
          <w:sz w:val="21"/>
        </w:rPr>
        <w:t> </w:t>
      </w:r>
      <w:r>
        <w:rPr>
          <w:sz w:val="21"/>
        </w:rPr>
        <w:t>beneficiaries</w:t>
      </w:r>
      <w:r>
        <w:rPr>
          <w:spacing w:val="19"/>
          <w:sz w:val="21"/>
        </w:rPr>
        <w:t> </w:t>
      </w:r>
      <w:r>
        <w:rPr>
          <w:sz w:val="21"/>
        </w:rPr>
        <w:t>or</w:t>
      </w:r>
      <w:r>
        <w:rPr>
          <w:spacing w:val="19"/>
          <w:sz w:val="21"/>
        </w:rPr>
        <w:t> </w:t>
      </w:r>
      <w:r>
        <w:rPr>
          <w:spacing w:val="-3"/>
          <w:sz w:val="21"/>
        </w:rPr>
        <w:t>to</w:t>
      </w:r>
      <w:r>
        <w:rPr>
          <w:spacing w:val="19"/>
          <w:sz w:val="21"/>
        </w:rPr>
        <w:t> </w:t>
      </w:r>
      <w:r>
        <w:rPr>
          <w:sz w:val="21"/>
        </w:rPr>
        <w:t>meet</w:t>
      </w:r>
      <w:r>
        <w:rPr>
          <w:spacing w:val="19"/>
          <w:sz w:val="21"/>
        </w:rPr>
        <w:t> </w:t>
      </w:r>
      <w:r>
        <w:rPr>
          <w:sz w:val="21"/>
        </w:rPr>
        <w:t>a</w:t>
      </w:r>
      <w:r>
        <w:rPr>
          <w:spacing w:val="19"/>
          <w:sz w:val="21"/>
        </w:rPr>
        <w:t> </w:t>
      </w:r>
      <w:r>
        <w:rPr>
          <w:spacing w:val="-3"/>
          <w:sz w:val="21"/>
        </w:rPr>
        <w:t>successful</w:t>
      </w:r>
      <w:r>
        <w:rPr>
          <w:spacing w:val="19"/>
          <w:sz w:val="21"/>
        </w:rPr>
        <w:t> </w:t>
      </w:r>
      <w:r>
        <w:rPr>
          <w:spacing w:val="-3"/>
          <w:sz w:val="21"/>
        </w:rPr>
        <w:t>family</w:t>
      </w:r>
      <w:r>
        <w:rPr>
          <w:spacing w:val="19"/>
          <w:sz w:val="21"/>
        </w:rPr>
        <w:t> </w:t>
      </w:r>
      <w:r>
        <w:rPr>
          <w:spacing w:val="-3"/>
          <w:sz w:val="21"/>
        </w:rPr>
        <w:t>provision</w:t>
      </w:r>
      <w:r>
        <w:rPr>
          <w:spacing w:val="19"/>
          <w:sz w:val="21"/>
        </w:rPr>
        <w:t> </w:t>
      </w:r>
      <w:r>
        <w:rPr>
          <w:spacing w:val="-3"/>
          <w:sz w:val="21"/>
        </w:rPr>
        <w:t>claim</w:t>
      </w:r>
    </w:p>
    <w:p>
      <w:pPr>
        <w:pStyle w:val="ListParagraph"/>
        <w:numPr>
          <w:ilvl w:val="0"/>
          <w:numId w:val="3"/>
        </w:numPr>
        <w:tabs>
          <w:tab w:pos="1927" w:val="left" w:leader="none"/>
          <w:tab w:pos="1928" w:val="left" w:leader="none"/>
        </w:tabs>
        <w:spacing w:line="242" w:lineRule="auto" w:before="122" w:after="0"/>
        <w:ind w:left="1927" w:right="2060" w:hanging="340"/>
        <w:jc w:val="left"/>
        <w:rPr>
          <w:sz w:val="21"/>
        </w:rPr>
      </w:pPr>
      <w:r>
        <w:rPr>
          <w:w w:val="105"/>
          <w:sz w:val="21"/>
        </w:rPr>
        <w:t>whether</w:t>
      </w:r>
      <w:r>
        <w:rPr>
          <w:spacing w:val="-7"/>
          <w:w w:val="105"/>
          <w:sz w:val="21"/>
        </w:rPr>
        <w:t> </w:t>
      </w:r>
      <w:r>
        <w:rPr>
          <w:w w:val="105"/>
          <w:sz w:val="21"/>
        </w:rPr>
        <w:t>a</w:t>
      </w:r>
      <w:r>
        <w:rPr>
          <w:spacing w:val="-6"/>
          <w:w w:val="105"/>
          <w:sz w:val="21"/>
        </w:rPr>
        <w:t> </w:t>
      </w:r>
      <w:r>
        <w:rPr>
          <w:w w:val="105"/>
          <w:sz w:val="21"/>
        </w:rPr>
        <w:t>court</w:t>
      </w:r>
      <w:r>
        <w:rPr>
          <w:spacing w:val="-6"/>
          <w:w w:val="105"/>
          <w:sz w:val="21"/>
        </w:rPr>
        <w:t> </w:t>
      </w:r>
      <w:r>
        <w:rPr>
          <w:w w:val="105"/>
          <w:sz w:val="21"/>
        </w:rPr>
        <w:t>should</w:t>
      </w:r>
      <w:r>
        <w:rPr>
          <w:spacing w:val="-6"/>
          <w:w w:val="105"/>
          <w:sz w:val="21"/>
        </w:rPr>
        <w:t> </w:t>
      </w:r>
      <w:r>
        <w:rPr>
          <w:spacing w:val="-3"/>
          <w:w w:val="105"/>
          <w:sz w:val="21"/>
        </w:rPr>
        <w:t>have</w:t>
      </w:r>
      <w:r>
        <w:rPr>
          <w:spacing w:val="-7"/>
          <w:w w:val="105"/>
          <w:sz w:val="21"/>
        </w:rPr>
        <w:t> </w:t>
      </w:r>
      <w:r>
        <w:rPr>
          <w:w w:val="105"/>
          <w:sz w:val="21"/>
        </w:rPr>
        <w:t>the</w:t>
      </w:r>
      <w:r>
        <w:rPr>
          <w:spacing w:val="-6"/>
          <w:w w:val="105"/>
          <w:sz w:val="21"/>
        </w:rPr>
        <w:t> </w:t>
      </w:r>
      <w:r>
        <w:rPr>
          <w:w w:val="105"/>
          <w:sz w:val="21"/>
        </w:rPr>
        <w:t>power</w:t>
      </w:r>
      <w:r>
        <w:rPr>
          <w:spacing w:val="-6"/>
          <w:w w:val="105"/>
          <w:sz w:val="21"/>
        </w:rPr>
        <w:t> </w:t>
      </w:r>
      <w:r>
        <w:rPr>
          <w:spacing w:val="-3"/>
          <w:w w:val="105"/>
          <w:sz w:val="21"/>
        </w:rPr>
        <w:t>to</w:t>
      </w:r>
      <w:r>
        <w:rPr>
          <w:spacing w:val="-6"/>
          <w:w w:val="105"/>
          <w:sz w:val="21"/>
        </w:rPr>
        <w:t> </w:t>
      </w:r>
      <w:r>
        <w:rPr>
          <w:w w:val="105"/>
          <w:sz w:val="21"/>
        </w:rPr>
        <w:t>review</w:t>
      </w:r>
      <w:r>
        <w:rPr>
          <w:spacing w:val="-7"/>
          <w:w w:val="105"/>
          <w:sz w:val="21"/>
        </w:rPr>
        <w:t> </w:t>
      </w:r>
      <w:r>
        <w:rPr>
          <w:w w:val="105"/>
          <w:sz w:val="21"/>
        </w:rPr>
        <w:t>and</w:t>
      </w:r>
      <w:r>
        <w:rPr>
          <w:spacing w:val="-6"/>
          <w:w w:val="105"/>
          <w:sz w:val="21"/>
        </w:rPr>
        <w:t> </w:t>
      </w:r>
      <w:r>
        <w:rPr>
          <w:w w:val="105"/>
          <w:sz w:val="21"/>
        </w:rPr>
        <w:t>vary</w:t>
      </w:r>
      <w:r>
        <w:rPr>
          <w:spacing w:val="-6"/>
          <w:w w:val="105"/>
          <w:sz w:val="21"/>
        </w:rPr>
        <w:t> </w:t>
      </w:r>
      <w:r>
        <w:rPr>
          <w:w w:val="105"/>
          <w:sz w:val="21"/>
        </w:rPr>
        <w:t>costs</w:t>
      </w:r>
      <w:r>
        <w:rPr>
          <w:spacing w:val="-6"/>
          <w:w w:val="105"/>
          <w:sz w:val="21"/>
        </w:rPr>
        <w:t> </w:t>
      </w:r>
      <w:r>
        <w:rPr>
          <w:w w:val="105"/>
          <w:sz w:val="21"/>
        </w:rPr>
        <w:t>and</w:t>
      </w:r>
      <w:r>
        <w:rPr>
          <w:spacing w:val="-6"/>
          <w:w w:val="105"/>
          <w:sz w:val="21"/>
        </w:rPr>
        <w:t> </w:t>
      </w:r>
      <w:r>
        <w:rPr>
          <w:spacing w:val="-3"/>
          <w:w w:val="105"/>
          <w:sz w:val="21"/>
        </w:rPr>
        <w:t>commission</w:t>
      </w:r>
      <w:r>
        <w:rPr>
          <w:spacing w:val="-7"/>
          <w:w w:val="105"/>
          <w:sz w:val="21"/>
        </w:rPr>
        <w:t> </w:t>
      </w:r>
      <w:r>
        <w:rPr>
          <w:spacing w:val="-3"/>
          <w:w w:val="105"/>
          <w:sz w:val="21"/>
        </w:rPr>
        <w:t>charged </w:t>
      </w:r>
      <w:r>
        <w:rPr>
          <w:w w:val="105"/>
          <w:sz w:val="21"/>
        </w:rPr>
        <w:t>by</w:t>
      </w:r>
      <w:r>
        <w:rPr>
          <w:spacing w:val="5"/>
          <w:w w:val="105"/>
          <w:sz w:val="21"/>
        </w:rPr>
        <w:t> </w:t>
      </w:r>
      <w:r>
        <w:rPr>
          <w:w w:val="105"/>
          <w:sz w:val="21"/>
        </w:rPr>
        <w:t>executors</w:t>
      </w:r>
    </w:p>
    <w:p>
      <w:pPr>
        <w:pStyle w:val="BodyText"/>
        <w:spacing w:before="11"/>
        <w:rPr>
          <w:sz w:val="24"/>
        </w:rPr>
      </w:pPr>
    </w:p>
    <w:p>
      <w:pPr>
        <w:pStyle w:val="Heading5"/>
      </w:pPr>
      <w:r>
        <w:rPr>
          <w:w w:val="115"/>
        </w:rPr>
        <w:t>Operation of the jurisdiction</w:t>
      </w:r>
    </w:p>
    <w:p>
      <w:pPr>
        <w:pStyle w:val="ListParagraph"/>
        <w:numPr>
          <w:ilvl w:val="0"/>
          <w:numId w:val="3"/>
        </w:numPr>
        <w:tabs>
          <w:tab w:pos="1927" w:val="left" w:leader="none"/>
          <w:tab w:pos="1928" w:val="left" w:leader="none"/>
        </w:tabs>
        <w:spacing w:line="240" w:lineRule="auto" w:before="137" w:after="0"/>
        <w:ind w:left="1927" w:right="0" w:hanging="340"/>
        <w:jc w:val="left"/>
        <w:rPr>
          <w:sz w:val="21"/>
        </w:rPr>
      </w:pPr>
      <w:r>
        <w:rPr>
          <w:sz w:val="21"/>
        </w:rPr>
        <w:t>whether</w:t>
      </w:r>
      <w:r>
        <w:rPr>
          <w:spacing w:val="9"/>
          <w:sz w:val="21"/>
        </w:rPr>
        <w:t> </w:t>
      </w:r>
      <w:r>
        <w:rPr>
          <w:sz w:val="21"/>
        </w:rPr>
        <w:t>there</w:t>
      </w:r>
      <w:r>
        <w:rPr>
          <w:spacing w:val="9"/>
          <w:sz w:val="21"/>
        </w:rPr>
        <w:t> </w:t>
      </w:r>
      <w:r>
        <w:rPr>
          <w:spacing w:val="-3"/>
          <w:sz w:val="21"/>
        </w:rPr>
        <w:t>are</w:t>
      </w:r>
      <w:r>
        <w:rPr>
          <w:spacing w:val="9"/>
          <w:sz w:val="21"/>
        </w:rPr>
        <w:t> </w:t>
      </w:r>
      <w:r>
        <w:rPr>
          <w:sz w:val="21"/>
        </w:rPr>
        <w:t>more</w:t>
      </w:r>
      <w:r>
        <w:rPr>
          <w:spacing w:val="9"/>
          <w:sz w:val="21"/>
        </w:rPr>
        <w:t> </w:t>
      </w:r>
      <w:r>
        <w:rPr>
          <w:sz w:val="21"/>
        </w:rPr>
        <w:t>efficient</w:t>
      </w:r>
      <w:r>
        <w:rPr>
          <w:spacing w:val="9"/>
          <w:sz w:val="21"/>
        </w:rPr>
        <w:t> </w:t>
      </w:r>
      <w:r>
        <w:rPr>
          <w:sz w:val="21"/>
        </w:rPr>
        <w:t>ways</w:t>
      </w:r>
      <w:r>
        <w:rPr>
          <w:spacing w:val="9"/>
          <w:sz w:val="21"/>
        </w:rPr>
        <w:t> </w:t>
      </w:r>
      <w:r>
        <w:rPr>
          <w:sz w:val="21"/>
        </w:rPr>
        <w:t>of</w:t>
      </w:r>
      <w:r>
        <w:rPr>
          <w:spacing w:val="9"/>
          <w:sz w:val="21"/>
        </w:rPr>
        <w:t> </w:t>
      </w:r>
      <w:r>
        <w:rPr>
          <w:spacing w:val="-3"/>
          <w:sz w:val="21"/>
        </w:rPr>
        <w:t>dealing</w:t>
      </w:r>
      <w:r>
        <w:rPr>
          <w:spacing w:val="9"/>
          <w:sz w:val="21"/>
        </w:rPr>
        <w:t> </w:t>
      </w:r>
      <w:r>
        <w:rPr>
          <w:sz w:val="21"/>
        </w:rPr>
        <w:t>with</w:t>
      </w:r>
      <w:r>
        <w:rPr>
          <w:spacing w:val="9"/>
          <w:sz w:val="21"/>
        </w:rPr>
        <w:t> </w:t>
      </w:r>
      <w:r>
        <w:rPr>
          <w:spacing w:val="-3"/>
          <w:sz w:val="21"/>
        </w:rPr>
        <w:t>small</w:t>
      </w:r>
      <w:r>
        <w:rPr>
          <w:spacing w:val="9"/>
          <w:sz w:val="21"/>
        </w:rPr>
        <w:t> </w:t>
      </w:r>
      <w:r>
        <w:rPr>
          <w:sz w:val="21"/>
        </w:rPr>
        <w:t>estates</w:t>
      </w:r>
    </w:p>
    <w:p>
      <w:pPr>
        <w:pStyle w:val="BodyText"/>
        <w:spacing w:line="242" w:lineRule="auto" w:before="124"/>
        <w:ind w:left="1927" w:right="1619"/>
      </w:pPr>
      <w:r>
        <w:rPr/>
        <w:pict>
          <v:shape style="position:absolute;margin-left:79.370102pt;margin-top:6.632057pt;width:11.15pt;height:12.2pt;mso-position-horizontal-relative:page;mso-position-vertical-relative:paragraph;z-index:-307264" type="#_x0000_t202" filled="false" stroked="false">
            <v:textbox inset="0,0,0,0">
              <w:txbxContent>
                <w:p>
                  <w:pPr>
                    <w:pStyle w:val="BodyText"/>
                    <w:spacing w:line="244" w:lineRule="exact"/>
                  </w:pPr>
                  <w:r>
                    <w:rPr>
                      <w:spacing w:val="-6"/>
                      <w:w w:val="110"/>
                    </w:rPr>
                    <w:t>10</w:t>
                  </w:r>
                </w:p>
              </w:txbxContent>
            </v:textbox>
            <w10:wrap type="none"/>
          </v:shape>
        </w:pict>
      </w:r>
      <w:r>
        <w:rPr/>
        <w:pict>
          <v:group style="position:absolute;margin-left:78.123001pt;margin-top:6.636857pt;width:13.05pt;height:12.65pt;mso-position-horizontal-relative:page;mso-position-vertical-relative:paragraph;z-index:1264" coordorigin="1562,133" coordsize="261,253">
            <v:rect style="position:absolute;left:1562;top:166;width:261;height:219" filled="true" fillcolor="#ffffff" stroked="false">
              <v:fill type="solid"/>
            </v:rect>
            <v:shape style="position:absolute;left:1562;top:132;width:261;height:253" type="#_x0000_t202" filled="false" stroked="false">
              <v:textbox inset="0,0,0,0">
                <w:txbxContent>
                  <w:p>
                    <w:pPr>
                      <w:spacing w:line="248" w:lineRule="exact" w:before="0"/>
                      <w:ind w:left="-1" w:right="0" w:firstLine="0"/>
                      <w:jc w:val="left"/>
                      <w:rPr>
                        <w:sz w:val="21"/>
                      </w:rPr>
                    </w:pPr>
                    <w:r>
                      <w:rPr>
                        <w:w w:val="110"/>
                        <w:sz w:val="21"/>
                      </w:rPr>
                      <w:t>10</w:t>
                    </w:r>
                  </w:p>
                </w:txbxContent>
              </v:textbox>
              <w10:wrap type="none"/>
            </v:shape>
            <w10:wrap type="none"/>
          </v:group>
        </w:pict>
      </w:r>
      <w:r>
        <w:rPr/>
        <w:t>the costs rules and principles applied in succession proceedings, taking into account any developments in rules or practice notes made or proposed by the Supreme Court</w:t>
      </w:r>
    </w:p>
    <w:p>
      <w:pPr>
        <w:pStyle w:val="BodyText"/>
        <w:spacing w:before="122"/>
        <w:ind w:left="1587" w:firstLine="340"/>
      </w:pPr>
      <w:r>
        <w:rPr/>
        <w:pict>
          <v:shape style="position:absolute;margin-left:79.370102pt;margin-top:6.532059pt;width:10.5pt;height:12.2pt;mso-position-horizontal-relative:page;mso-position-vertical-relative:paragraph;z-index:-307240" type="#_x0000_t202" filled="false" stroked="false">
            <v:textbox inset="0,0,0,0">
              <w:txbxContent>
                <w:p>
                  <w:pPr>
                    <w:pStyle w:val="BodyText"/>
                    <w:spacing w:line="244" w:lineRule="exact"/>
                  </w:pPr>
                  <w:r>
                    <w:rPr>
                      <w:spacing w:val="-12"/>
                      <w:w w:val="105"/>
                    </w:rPr>
                    <w:t>11</w:t>
                  </w:r>
                </w:p>
              </w:txbxContent>
            </v:textbox>
            <w10:wrap type="none"/>
          </v:shape>
        </w:pict>
      </w:r>
      <w:r>
        <w:rPr/>
        <w:pict>
          <v:group style="position:absolute;margin-left:78.123001pt;margin-top:6.535959pt;width:13.05pt;height:12.65pt;mso-position-horizontal-relative:page;mso-position-vertical-relative:paragraph;z-index:1312" coordorigin="1562,131" coordsize="261,253">
            <v:rect style="position:absolute;left:1562;top:164;width:261;height:219" filled="true" fillcolor="#ffffff" stroked="false">
              <v:fill type="solid"/>
            </v:rect>
            <v:shape style="position:absolute;left:1562;top:130;width:261;height:253" type="#_x0000_t202" filled="false" stroked="false">
              <v:textbox inset="0,0,0,0">
                <w:txbxContent>
                  <w:p>
                    <w:pPr>
                      <w:spacing w:line="248" w:lineRule="exact" w:before="0"/>
                      <w:ind w:left="-1" w:right="0" w:firstLine="0"/>
                      <w:jc w:val="left"/>
                      <w:rPr>
                        <w:sz w:val="21"/>
                      </w:rPr>
                    </w:pPr>
                    <w:r>
                      <w:rPr>
                        <w:w w:val="110"/>
                        <w:sz w:val="21"/>
                      </w:rPr>
                      <w:t>11</w:t>
                    </w:r>
                  </w:p>
                </w:txbxContent>
              </v:textbox>
              <w10:wrap type="none"/>
            </v:shape>
            <w10:wrap type="none"/>
          </v:group>
        </w:pict>
      </w:r>
      <w:r>
        <w:rPr>
          <w:w w:val="105"/>
        </w:rPr>
        <w:t>any other means of improving efficiency and reducing costs in succession law matters.</w:t>
      </w:r>
    </w:p>
    <w:p>
      <w:pPr>
        <w:pStyle w:val="BodyText"/>
        <w:spacing w:line="242" w:lineRule="auto" w:before="124"/>
        <w:ind w:left="1587" w:right="1826"/>
      </w:pPr>
      <w:r>
        <w:rPr>
          <w:w w:val="105"/>
        </w:rPr>
        <w:t>In undertaking this </w:t>
      </w:r>
      <w:r>
        <w:rPr>
          <w:spacing w:val="-4"/>
          <w:w w:val="105"/>
        </w:rPr>
        <w:t>reference, </w:t>
      </w:r>
      <w:r>
        <w:rPr>
          <w:w w:val="105"/>
        </w:rPr>
        <w:t>the </w:t>
      </w:r>
      <w:r>
        <w:rPr>
          <w:spacing w:val="-3"/>
          <w:w w:val="105"/>
        </w:rPr>
        <w:t>Commission </w:t>
      </w:r>
      <w:r>
        <w:rPr>
          <w:w w:val="105"/>
        </w:rPr>
        <w:t>should </w:t>
      </w:r>
      <w:r>
        <w:rPr>
          <w:spacing w:val="-3"/>
          <w:w w:val="105"/>
        </w:rPr>
        <w:t>have regard </w:t>
      </w:r>
      <w:r>
        <w:rPr>
          <w:spacing w:val="-4"/>
          <w:w w:val="105"/>
        </w:rPr>
        <w:t>to, </w:t>
      </w:r>
      <w:r>
        <w:rPr>
          <w:w w:val="105"/>
        </w:rPr>
        <w:t>and conduct specific </w:t>
      </w:r>
      <w:r>
        <w:rPr>
          <w:spacing w:val="-3"/>
          <w:w w:val="105"/>
        </w:rPr>
        <w:t>consultation on, any relevant recommendations </w:t>
      </w:r>
      <w:r>
        <w:rPr>
          <w:w w:val="105"/>
        </w:rPr>
        <w:t>made by the </w:t>
      </w:r>
      <w:r>
        <w:rPr>
          <w:spacing w:val="-3"/>
          <w:w w:val="105"/>
        </w:rPr>
        <w:t>National Committee for Uniform Succession </w:t>
      </w:r>
      <w:r>
        <w:rPr>
          <w:w w:val="105"/>
        </w:rPr>
        <w:t>Laws established by </w:t>
      </w:r>
      <w:r>
        <w:rPr>
          <w:spacing w:val="-3"/>
          <w:w w:val="105"/>
        </w:rPr>
        <w:t>SCAG. </w:t>
      </w:r>
      <w:r>
        <w:rPr>
          <w:w w:val="105"/>
        </w:rPr>
        <w:t>The </w:t>
      </w:r>
      <w:r>
        <w:rPr>
          <w:spacing w:val="-3"/>
          <w:w w:val="105"/>
        </w:rPr>
        <w:t>National Committee </w:t>
      </w:r>
      <w:r>
        <w:rPr>
          <w:spacing w:val="-2"/>
          <w:w w:val="105"/>
        </w:rPr>
        <w:t>has </w:t>
      </w:r>
      <w:r>
        <w:rPr>
          <w:w w:val="105"/>
        </w:rPr>
        <w:t>released reports and model </w:t>
      </w:r>
      <w:r>
        <w:rPr>
          <w:spacing w:val="-3"/>
          <w:w w:val="105"/>
        </w:rPr>
        <w:t>legislation </w:t>
      </w:r>
      <w:r>
        <w:rPr>
          <w:w w:val="105"/>
        </w:rPr>
        <w:t>on </w:t>
      </w:r>
      <w:r>
        <w:rPr>
          <w:spacing w:val="-3"/>
          <w:w w:val="105"/>
        </w:rPr>
        <w:t>wills </w:t>
      </w:r>
      <w:r>
        <w:rPr>
          <w:spacing w:val="-6"/>
          <w:w w:val="105"/>
        </w:rPr>
        <w:t>(1997 </w:t>
      </w:r>
      <w:r>
        <w:rPr>
          <w:w w:val="105"/>
        </w:rPr>
        <w:t>and 2006), </w:t>
      </w:r>
      <w:r>
        <w:rPr>
          <w:spacing w:val="-3"/>
          <w:w w:val="105"/>
        </w:rPr>
        <w:t>family provision </w:t>
      </w:r>
      <w:r>
        <w:rPr>
          <w:spacing w:val="-6"/>
          <w:w w:val="105"/>
        </w:rPr>
        <w:t>(1997 </w:t>
      </w:r>
      <w:r>
        <w:rPr>
          <w:w w:val="105"/>
        </w:rPr>
        <w:t>and 2004), intestacy </w:t>
      </w:r>
      <w:r>
        <w:rPr>
          <w:spacing w:val="-3"/>
          <w:w w:val="105"/>
        </w:rPr>
        <w:t>(2007) </w:t>
      </w:r>
      <w:r>
        <w:rPr>
          <w:w w:val="105"/>
        </w:rPr>
        <w:t>and the </w:t>
      </w:r>
      <w:r>
        <w:rPr>
          <w:spacing w:val="-3"/>
          <w:w w:val="105"/>
        </w:rPr>
        <w:t>administration </w:t>
      </w:r>
      <w:r>
        <w:rPr>
          <w:w w:val="105"/>
        </w:rPr>
        <w:t>of deceased estates (2009). </w:t>
      </w:r>
      <w:r>
        <w:rPr>
          <w:spacing w:val="-3"/>
          <w:w w:val="105"/>
        </w:rPr>
        <w:t>State </w:t>
      </w:r>
      <w:r>
        <w:rPr>
          <w:w w:val="105"/>
        </w:rPr>
        <w:t>and </w:t>
      </w:r>
      <w:r>
        <w:rPr>
          <w:spacing w:val="-3"/>
          <w:w w:val="105"/>
        </w:rPr>
        <w:t>Territory </w:t>
      </w:r>
      <w:r>
        <w:rPr>
          <w:w w:val="105"/>
        </w:rPr>
        <w:t>Ministers </w:t>
      </w:r>
      <w:r>
        <w:rPr>
          <w:spacing w:val="-3"/>
          <w:w w:val="105"/>
        </w:rPr>
        <w:t>have </w:t>
      </w:r>
      <w:r>
        <w:rPr>
          <w:w w:val="105"/>
        </w:rPr>
        <w:t>agreed </w:t>
      </w:r>
      <w:r>
        <w:rPr>
          <w:spacing w:val="-3"/>
          <w:w w:val="105"/>
        </w:rPr>
        <w:t>to </w:t>
      </w:r>
      <w:r>
        <w:rPr>
          <w:w w:val="105"/>
        </w:rPr>
        <w:t>adopt the </w:t>
      </w:r>
      <w:r>
        <w:rPr>
          <w:spacing w:val="-3"/>
          <w:w w:val="105"/>
        </w:rPr>
        <w:t>National </w:t>
      </w:r>
      <w:r>
        <w:rPr>
          <w:spacing w:val="-4"/>
          <w:w w:val="105"/>
        </w:rPr>
        <w:t>Committee’s </w:t>
      </w:r>
      <w:r>
        <w:rPr>
          <w:spacing w:val="-3"/>
          <w:w w:val="105"/>
        </w:rPr>
        <w:t>recommendations </w:t>
      </w:r>
      <w:r>
        <w:rPr>
          <w:w w:val="105"/>
        </w:rPr>
        <w:t>as the basis </w:t>
      </w:r>
      <w:r>
        <w:rPr>
          <w:spacing w:val="-3"/>
          <w:w w:val="105"/>
        </w:rPr>
        <w:t>for reforming succession </w:t>
      </w:r>
      <w:r>
        <w:rPr>
          <w:w w:val="105"/>
        </w:rPr>
        <w:t>laws in their respective jurisdictions with the </w:t>
      </w:r>
      <w:r>
        <w:rPr>
          <w:spacing w:val="-3"/>
          <w:w w:val="105"/>
        </w:rPr>
        <w:t>aim </w:t>
      </w:r>
      <w:r>
        <w:rPr>
          <w:w w:val="105"/>
        </w:rPr>
        <w:t>of </w:t>
      </w:r>
      <w:r>
        <w:rPr>
          <w:spacing w:val="-3"/>
          <w:w w:val="105"/>
        </w:rPr>
        <w:t>maximising national consistency.</w:t>
      </w:r>
    </w:p>
    <w:p>
      <w:pPr>
        <w:pStyle w:val="BodyText"/>
        <w:spacing w:line="242" w:lineRule="auto" w:before="128"/>
        <w:ind w:left="1587" w:right="1826"/>
      </w:pPr>
      <w:r>
        <w:rPr>
          <w:w w:val="105"/>
        </w:rPr>
        <w:t>The </w:t>
      </w:r>
      <w:r>
        <w:rPr>
          <w:spacing w:val="-3"/>
          <w:w w:val="105"/>
        </w:rPr>
        <w:t>reference </w:t>
      </w:r>
      <w:r>
        <w:rPr>
          <w:w w:val="105"/>
        </w:rPr>
        <w:t>does </w:t>
      </w:r>
      <w:r>
        <w:rPr>
          <w:spacing w:val="-2"/>
          <w:w w:val="105"/>
        </w:rPr>
        <w:t>not </w:t>
      </w:r>
      <w:r>
        <w:rPr>
          <w:spacing w:val="-3"/>
          <w:w w:val="105"/>
        </w:rPr>
        <w:t>include consideration </w:t>
      </w:r>
      <w:r>
        <w:rPr>
          <w:w w:val="105"/>
        </w:rPr>
        <w:t>of the </w:t>
      </w:r>
      <w:r>
        <w:rPr>
          <w:spacing w:val="-3"/>
          <w:w w:val="105"/>
        </w:rPr>
        <w:t>remaining recommendations </w:t>
      </w:r>
      <w:r>
        <w:rPr>
          <w:w w:val="105"/>
        </w:rPr>
        <w:t>of the </w:t>
      </w:r>
      <w:r>
        <w:rPr>
          <w:spacing w:val="-3"/>
          <w:w w:val="105"/>
        </w:rPr>
        <w:t>National Committee, </w:t>
      </w:r>
      <w:r>
        <w:rPr>
          <w:w w:val="105"/>
        </w:rPr>
        <w:t>unless </w:t>
      </w:r>
      <w:r>
        <w:rPr>
          <w:spacing w:val="-3"/>
          <w:w w:val="105"/>
        </w:rPr>
        <w:t>relevant to </w:t>
      </w:r>
      <w:r>
        <w:rPr>
          <w:w w:val="105"/>
        </w:rPr>
        <w:t>the above </w:t>
      </w:r>
      <w:r>
        <w:rPr>
          <w:spacing w:val="-3"/>
          <w:w w:val="105"/>
        </w:rPr>
        <w:t>referred </w:t>
      </w:r>
      <w:r>
        <w:rPr>
          <w:w w:val="105"/>
        </w:rPr>
        <w:t>matters.</w:t>
      </w:r>
    </w:p>
    <w:p>
      <w:pPr>
        <w:pStyle w:val="BodyText"/>
        <w:spacing w:line="242" w:lineRule="auto" w:before="122"/>
        <w:ind w:left="1587" w:right="1619"/>
      </w:pPr>
      <w:r>
        <w:rPr/>
        <w:t>The Commission should also consider any legislative developments in both Victoria and other Australian jurisdictions since the National Committee released its reports.</w:t>
      </w:r>
    </w:p>
    <w:p>
      <w:pPr>
        <w:pStyle w:val="BodyText"/>
        <w:spacing w:before="122"/>
        <w:ind w:left="1587"/>
      </w:pPr>
      <w:r>
        <w:rPr>
          <w:w w:val="105"/>
        </w:rPr>
        <w:t>The </w:t>
      </w:r>
      <w:r>
        <w:rPr>
          <w:spacing w:val="-3"/>
          <w:w w:val="105"/>
        </w:rPr>
        <w:t>Commission </w:t>
      </w:r>
      <w:r>
        <w:rPr>
          <w:w w:val="105"/>
        </w:rPr>
        <w:t>is </w:t>
      </w:r>
      <w:r>
        <w:rPr>
          <w:spacing w:val="-3"/>
          <w:w w:val="105"/>
        </w:rPr>
        <w:t>to </w:t>
      </w:r>
      <w:r>
        <w:rPr>
          <w:w w:val="105"/>
        </w:rPr>
        <w:t>report by 1 September </w:t>
      </w:r>
      <w:r>
        <w:rPr>
          <w:spacing w:val="-8"/>
          <w:w w:val="105"/>
        </w:rPr>
        <w:t>2013.</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5"/>
        </w:rPr>
      </w:pPr>
    </w:p>
    <w:p>
      <w:pPr>
        <w:spacing w:before="99"/>
        <w:ind w:left="0" w:right="693" w:firstLine="0"/>
        <w:jc w:val="right"/>
        <w:rPr>
          <w:b/>
          <w:sz w:val="24"/>
        </w:rPr>
      </w:pPr>
      <w:r>
        <w:rPr>
          <w:b/>
          <w:color w:val="EC5A4F"/>
          <w:w w:val="115"/>
          <w:sz w:val="24"/>
        </w:rPr>
        <w:t>xi</w:t>
      </w:r>
    </w:p>
    <w:p>
      <w:pPr>
        <w:spacing w:after="0"/>
        <w:jc w:val="right"/>
        <w:rPr>
          <w:sz w:val="24"/>
        </w:rPr>
        <w:sectPr>
          <w:pgSz w:w="11910" w:h="16840"/>
          <w:pgMar w:header="550" w:footer="0" w:top="1560" w:bottom="280" w:left="0" w:right="0"/>
        </w:sectPr>
      </w:pPr>
    </w:p>
    <w:p>
      <w:pPr>
        <w:pStyle w:val="BodyText"/>
        <w:spacing w:before="10"/>
        <w:rPr>
          <w:b/>
          <w:sz w:val="18"/>
        </w:rPr>
      </w:pPr>
    </w:p>
    <w:p>
      <w:pPr>
        <w:spacing w:before="98"/>
        <w:ind w:left="566" w:right="0" w:firstLine="0"/>
        <w:jc w:val="left"/>
        <w:rPr>
          <w:b/>
          <w:sz w:val="44"/>
        </w:rPr>
      </w:pPr>
      <w:bookmarkStart w:name="Glossary" w:id="4"/>
      <w:bookmarkEnd w:id="4"/>
      <w:r>
        <w:rPr/>
      </w:r>
      <w:r>
        <w:rPr>
          <w:b/>
          <w:color w:val="EC5A4F"/>
          <w:w w:val="115"/>
          <w:sz w:val="44"/>
        </w:rPr>
        <w:t>Glossary</w:t>
      </w:r>
    </w:p>
    <w:p>
      <w:pPr>
        <w:pStyle w:val="BodyText"/>
        <w:rPr>
          <w:b/>
          <w:sz w:val="52"/>
        </w:rPr>
      </w:pPr>
    </w:p>
    <w:p>
      <w:pPr>
        <w:pStyle w:val="BodyText"/>
        <w:rPr>
          <w:b/>
          <w:sz w:val="52"/>
        </w:rPr>
      </w:pPr>
    </w:p>
    <w:p>
      <w:pPr>
        <w:pStyle w:val="BodyText"/>
        <w:rPr>
          <w:b/>
          <w:sz w:val="52"/>
        </w:rPr>
      </w:pPr>
    </w:p>
    <w:p>
      <w:pPr>
        <w:pStyle w:val="BodyText"/>
        <w:rPr>
          <w:b/>
          <w:sz w:val="52"/>
        </w:rPr>
      </w:pPr>
    </w:p>
    <w:p>
      <w:pPr>
        <w:pStyle w:val="BodyText"/>
        <w:rPr>
          <w:b/>
          <w:sz w:val="61"/>
        </w:rPr>
      </w:pPr>
    </w:p>
    <w:p>
      <w:pPr>
        <w:pStyle w:val="BodyText"/>
        <w:tabs>
          <w:tab w:pos="3855" w:val="left" w:leader="none"/>
        </w:tabs>
        <w:spacing w:line="242" w:lineRule="auto" w:before="1"/>
        <w:ind w:left="3855" w:right="1826" w:hanging="2268"/>
      </w:pPr>
      <w:r>
        <w:rPr>
          <w:rFonts w:ascii="Lucida Sans" w:hAnsi="Lucida Sans"/>
          <w:b/>
        </w:rPr>
        <w:t>Ademption</w:t>
        <w:tab/>
      </w:r>
      <w:r>
        <w:rPr>
          <w:spacing w:val="-2"/>
        </w:rPr>
        <w:t>The </w:t>
      </w:r>
      <w:r>
        <w:rPr>
          <w:spacing w:val="-4"/>
        </w:rPr>
        <w:t>rule </w:t>
      </w:r>
      <w:r>
        <w:rPr>
          <w:spacing w:val="-3"/>
        </w:rPr>
        <w:t>of </w:t>
      </w:r>
      <w:r>
        <w:rPr>
          <w:spacing w:val="-4"/>
        </w:rPr>
        <w:t>ademption </w:t>
      </w:r>
      <w:r>
        <w:rPr>
          <w:spacing w:val="-3"/>
        </w:rPr>
        <w:t>specifies </w:t>
      </w:r>
      <w:r>
        <w:rPr>
          <w:spacing w:val="-4"/>
        </w:rPr>
        <w:t>that, </w:t>
      </w:r>
      <w:r>
        <w:rPr>
          <w:spacing w:val="-3"/>
        </w:rPr>
        <w:t>when the </w:t>
      </w:r>
      <w:r>
        <w:rPr>
          <w:spacing w:val="-4"/>
        </w:rPr>
        <w:t>subject matter </w:t>
      </w:r>
      <w:r>
        <w:rPr>
          <w:spacing w:val="-3"/>
        </w:rPr>
        <w:t>of </w:t>
      </w:r>
      <w:r>
        <w:rPr/>
        <w:t>a </w:t>
      </w:r>
      <w:r>
        <w:rPr>
          <w:spacing w:val="-3"/>
        </w:rPr>
        <w:t>specific  gift </w:t>
      </w:r>
      <w:r>
        <w:rPr>
          <w:spacing w:val="-4"/>
        </w:rPr>
        <w:t>to </w:t>
      </w:r>
      <w:r>
        <w:rPr>
          <w:spacing w:val="-3"/>
        </w:rPr>
        <w:t>someone is </w:t>
      </w:r>
      <w:r>
        <w:rPr/>
        <w:t>no </w:t>
      </w:r>
      <w:r>
        <w:rPr>
          <w:spacing w:val="-4"/>
        </w:rPr>
        <w:t>longer </w:t>
      </w:r>
      <w:r>
        <w:rPr>
          <w:spacing w:val="-3"/>
        </w:rPr>
        <w:t>in the </w:t>
      </w:r>
      <w:r>
        <w:rPr>
          <w:spacing w:val="-5"/>
        </w:rPr>
        <w:t>will-maker’s </w:t>
      </w:r>
      <w:r>
        <w:rPr>
          <w:spacing w:val="-3"/>
        </w:rPr>
        <w:t>estate at the </w:t>
      </w:r>
      <w:r>
        <w:rPr>
          <w:spacing w:val="-4"/>
        </w:rPr>
        <w:t>date </w:t>
      </w:r>
      <w:r>
        <w:rPr>
          <w:spacing w:val="-3"/>
        </w:rPr>
        <w:t>of </w:t>
      </w:r>
      <w:r>
        <w:rPr>
          <w:spacing w:val="-4"/>
        </w:rPr>
        <w:t>death </w:t>
      </w:r>
      <w:r>
        <w:rPr>
          <w:spacing w:val="-3"/>
        </w:rPr>
        <w:t>(because it </w:t>
      </w:r>
      <w:r>
        <w:rPr>
          <w:spacing w:val="-4"/>
        </w:rPr>
        <w:t>has </w:t>
      </w:r>
      <w:r>
        <w:rPr>
          <w:spacing w:val="-3"/>
        </w:rPr>
        <w:t>been sold </w:t>
      </w:r>
      <w:r>
        <w:rPr/>
        <w:t>or </w:t>
      </w:r>
      <w:r>
        <w:rPr>
          <w:spacing w:val="-4"/>
        </w:rPr>
        <w:t>given </w:t>
      </w:r>
      <w:r>
        <w:rPr>
          <w:spacing w:val="-7"/>
        </w:rPr>
        <w:t>away, </w:t>
      </w:r>
      <w:r>
        <w:rPr>
          <w:spacing w:val="-4"/>
        </w:rPr>
        <w:t>for </w:t>
      </w:r>
      <w:r>
        <w:rPr>
          <w:spacing w:val="-3"/>
        </w:rPr>
        <w:t>example), the beneficiary </w:t>
      </w:r>
      <w:r>
        <w:rPr>
          <w:spacing w:val="-4"/>
        </w:rPr>
        <w:t>will receive </w:t>
      </w:r>
      <w:r>
        <w:rPr>
          <w:spacing w:val="-5"/>
        </w:rPr>
        <w:t>nothing. </w:t>
      </w:r>
      <w:r>
        <w:rPr/>
        <w:t>In </w:t>
      </w:r>
      <w:r>
        <w:rPr>
          <w:spacing w:val="-4"/>
        </w:rPr>
        <w:t>this case, </w:t>
      </w:r>
      <w:r>
        <w:rPr>
          <w:spacing w:val="-3"/>
        </w:rPr>
        <w:t>the gift is said </w:t>
      </w:r>
      <w:r>
        <w:rPr>
          <w:spacing w:val="-4"/>
        </w:rPr>
        <w:t>to</w:t>
      </w:r>
      <w:r>
        <w:rPr>
          <w:spacing w:val="3"/>
        </w:rPr>
        <w:t> </w:t>
      </w:r>
      <w:r>
        <w:rPr>
          <w:spacing w:val="-5"/>
        </w:rPr>
        <w:t>have </w:t>
      </w:r>
      <w:r>
        <w:rPr>
          <w:spacing w:val="-4"/>
        </w:rPr>
        <w:t>adeemed.</w:t>
      </w:r>
    </w:p>
    <w:p>
      <w:pPr>
        <w:pStyle w:val="BodyText"/>
        <w:tabs>
          <w:tab w:pos="3855" w:val="left" w:leader="none"/>
        </w:tabs>
        <w:spacing w:line="242" w:lineRule="auto" w:before="209"/>
        <w:ind w:left="3855" w:right="1711" w:hanging="2268"/>
      </w:pPr>
      <w:r>
        <w:rPr>
          <w:rFonts w:ascii="Lucida Sans"/>
          <w:b/>
          <w:w w:val="95"/>
        </w:rPr>
        <w:t>Administrator</w:t>
        <w:tab/>
      </w:r>
      <w:r>
        <w:rPr/>
        <w:t>A person </w:t>
      </w:r>
      <w:r>
        <w:rPr>
          <w:spacing w:val="-3"/>
        </w:rPr>
        <w:t>appointed </w:t>
      </w:r>
      <w:r>
        <w:rPr/>
        <w:t>by the court under </w:t>
      </w:r>
      <w:r>
        <w:rPr>
          <w:rFonts w:ascii="Lucida Sans"/>
          <w:b/>
        </w:rPr>
        <w:t>letters of administration </w:t>
      </w:r>
      <w:r>
        <w:rPr>
          <w:spacing w:val="-4"/>
        </w:rPr>
        <w:t>to </w:t>
      </w:r>
      <w:r>
        <w:rPr>
          <w:spacing w:val="-3"/>
        </w:rPr>
        <w:t>administer </w:t>
      </w:r>
      <w:r>
        <w:rPr/>
        <w:t>a deceased estate </w:t>
      </w:r>
      <w:r>
        <w:rPr>
          <w:spacing w:val="-3"/>
        </w:rPr>
        <w:t>that </w:t>
      </w:r>
      <w:r>
        <w:rPr>
          <w:spacing w:val="-2"/>
        </w:rPr>
        <w:t>has </w:t>
      </w:r>
      <w:r>
        <w:rPr/>
        <w:t>no </w:t>
      </w:r>
      <w:r>
        <w:rPr>
          <w:rFonts w:ascii="Lucida Sans"/>
          <w:b/>
          <w:spacing w:val="-4"/>
        </w:rPr>
        <w:t>executor</w:t>
      </w:r>
      <w:r>
        <w:rPr>
          <w:spacing w:val="-4"/>
        </w:rPr>
        <w:t>. </w:t>
      </w:r>
      <w:r>
        <w:rPr/>
        <w:t>This </w:t>
      </w:r>
      <w:r>
        <w:rPr>
          <w:spacing w:val="-3"/>
        </w:rPr>
        <w:t>may </w:t>
      </w:r>
      <w:r>
        <w:rPr/>
        <w:t>be because there is no </w:t>
      </w:r>
      <w:r>
        <w:rPr>
          <w:spacing w:val="-3"/>
        </w:rPr>
        <w:t>will, </w:t>
      </w:r>
      <w:r>
        <w:rPr/>
        <w:t>the </w:t>
      </w:r>
      <w:r>
        <w:rPr>
          <w:spacing w:val="-3"/>
        </w:rPr>
        <w:t>will  </w:t>
      </w:r>
      <w:r>
        <w:rPr/>
        <w:t>does </w:t>
      </w:r>
      <w:r>
        <w:rPr>
          <w:spacing w:val="-2"/>
        </w:rPr>
        <w:t>not</w:t>
      </w:r>
      <w:r>
        <w:rPr>
          <w:spacing w:val="43"/>
        </w:rPr>
        <w:t> </w:t>
      </w:r>
      <w:r>
        <w:rPr/>
        <w:t>appoint an </w:t>
      </w:r>
      <w:r>
        <w:rPr>
          <w:spacing w:val="-4"/>
        </w:rPr>
        <w:t>executor,  </w:t>
      </w:r>
      <w:r>
        <w:rPr/>
        <w:t>or a named </w:t>
      </w:r>
      <w:r>
        <w:rPr>
          <w:spacing w:val="-3"/>
        </w:rPr>
        <w:t>executor </w:t>
      </w:r>
      <w:r>
        <w:rPr/>
        <w:t>is </w:t>
      </w:r>
      <w:r>
        <w:rPr>
          <w:spacing w:val="-4"/>
        </w:rPr>
        <w:t>unwilling </w:t>
      </w:r>
      <w:r>
        <w:rPr/>
        <w:t>or </w:t>
      </w:r>
      <w:r>
        <w:rPr>
          <w:spacing w:val="-3"/>
        </w:rPr>
        <w:t>unable to</w:t>
      </w:r>
      <w:r>
        <w:rPr>
          <w:spacing w:val="25"/>
        </w:rPr>
        <w:t> </w:t>
      </w:r>
      <w:r>
        <w:rPr/>
        <w:t>act.</w:t>
      </w:r>
    </w:p>
    <w:p>
      <w:pPr>
        <w:pStyle w:val="BodyText"/>
        <w:tabs>
          <w:tab w:pos="3855" w:val="left" w:leader="none"/>
        </w:tabs>
        <w:spacing w:line="242" w:lineRule="auto" w:before="212"/>
        <w:ind w:left="3855" w:right="1823" w:hanging="2268"/>
        <w:jc w:val="both"/>
      </w:pPr>
      <w:r>
        <w:rPr>
          <w:rFonts w:ascii="Trebuchet MS"/>
          <w:b/>
          <w:i/>
        </w:rPr>
        <w:t>Bona</w:t>
      </w:r>
      <w:r>
        <w:rPr>
          <w:rFonts w:ascii="Trebuchet MS"/>
          <w:b/>
          <w:i/>
          <w:spacing w:val="-20"/>
        </w:rPr>
        <w:t> </w:t>
      </w:r>
      <w:r>
        <w:rPr>
          <w:rFonts w:ascii="Trebuchet MS"/>
          <w:b/>
          <w:i/>
        </w:rPr>
        <w:t>vacantia</w:t>
        <w:tab/>
      </w:r>
      <w:r>
        <w:rPr/>
        <w:t>Property </w:t>
      </w:r>
      <w:r>
        <w:rPr>
          <w:spacing w:val="-3"/>
        </w:rPr>
        <w:t>that </w:t>
      </w:r>
      <w:r>
        <w:rPr>
          <w:spacing w:val="-2"/>
        </w:rPr>
        <w:t>has </w:t>
      </w:r>
      <w:r>
        <w:rPr/>
        <w:t>no </w:t>
      </w:r>
      <w:r>
        <w:rPr>
          <w:spacing w:val="-4"/>
        </w:rPr>
        <w:t>owner. </w:t>
      </w:r>
      <w:r>
        <w:rPr/>
        <w:t>If a person dies </w:t>
      </w:r>
      <w:r>
        <w:rPr>
          <w:spacing w:val="-3"/>
        </w:rPr>
        <w:t>intestate </w:t>
      </w:r>
      <w:r>
        <w:rPr/>
        <w:t>(leaving property </w:t>
      </w:r>
      <w:r>
        <w:rPr>
          <w:spacing w:val="-3"/>
        </w:rPr>
        <w:t>that </w:t>
      </w:r>
      <w:r>
        <w:rPr/>
        <w:t>is </w:t>
      </w:r>
      <w:r>
        <w:rPr>
          <w:spacing w:val="-2"/>
        </w:rPr>
        <w:t>not </w:t>
      </w:r>
      <w:r>
        <w:rPr/>
        <w:t>disposed of by a will) and is </w:t>
      </w:r>
      <w:r>
        <w:rPr>
          <w:spacing w:val="-2"/>
        </w:rPr>
        <w:t>not </w:t>
      </w:r>
      <w:r>
        <w:rPr/>
        <w:t>survived by </w:t>
      </w:r>
      <w:r>
        <w:rPr>
          <w:spacing w:val="-3"/>
        </w:rPr>
        <w:t>any </w:t>
      </w:r>
      <w:r>
        <w:rPr/>
        <w:t>next of </w:t>
      </w:r>
      <w:r>
        <w:rPr>
          <w:spacing w:val="-3"/>
        </w:rPr>
        <w:t>kin, </w:t>
      </w:r>
      <w:r>
        <w:rPr/>
        <w:t>the </w:t>
      </w:r>
      <w:r>
        <w:rPr>
          <w:spacing w:val="-3"/>
        </w:rPr>
        <w:t>intestate </w:t>
      </w:r>
      <w:r>
        <w:rPr/>
        <w:t>estate belongs </w:t>
      </w:r>
      <w:r>
        <w:rPr>
          <w:spacing w:val="-3"/>
        </w:rPr>
        <w:t>to </w:t>
      </w:r>
      <w:r>
        <w:rPr/>
        <w:t>the </w:t>
      </w:r>
      <w:r>
        <w:rPr>
          <w:spacing w:val="-4"/>
        </w:rPr>
        <w:t>Crown </w:t>
      </w:r>
      <w:r>
        <w:rPr/>
        <w:t>as </w:t>
      </w:r>
      <w:r>
        <w:rPr>
          <w:i/>
        </w:rPr>
        <w:t>bona</w:t>
      </w:r>
      <w:r>
        <w:rPr>
          <w:i/>
          <w:spacing w:val="-7"/>
        </w:rPr>
        <w:t> </w:t>
      </w:r>
      <w:r>
        <w:rPr>
          <w:i/>
          <w:spacing w:val="-4"/>
        </w:rPr>
        <w:t>vacantia</w:t>
      </w:r>
      <w:r>
        <w:rPr>
          <w:spacing w:val="-4"/>
        </w:rPr>
        <w:t>.</w:t>
      </w:r>
    </w:p>
    <w:p>
      <w:pPr>
        <w:pStyle w:val="BodyText"/>
        <w:tabs>
          <w:tab w:pos="3855" w:val="left" w:leader="none"/>
        </w:tabs>
        <w:spacing w:line="242" w:lineRule="auto" w:before="206"/>
        <w:ind w:left="3855" w:right="1930" w:hanging="2268"/>
      </w:pPr>
      <w:r>
        <w:rPr>
          <w:rFonts w:ascii="Lucida Sans"/>
          <w:b/>
          <w:w w:val="95"/>
        </w:rPr>
        <w:t>Chattels</w:t>
        <w:tab/>
      </w:r>
      <w:r>
        <w:rPr/>
        <w:t>Personal property, as distinct </w:t>
      </w:r>
      <w:r>
        <w:rPr>
          <w:spacing w:val="-3"/>
        </w:rPr>
        <w:t>from real </w:t>
      </w:r>
      <w:r>
        <w:rPr/>
        <w:t>property. </w:t>
      </w:r>
      <w:r>
        <w:rPr>
          <w:spacing w:val="-4"/>
        </w:rPr>
        <w:t>Money, </w:t>
      </w:r>
      <w:r>
        <w:rPr/>
        <w:t>securities and property used </w:t>
      </w:r>
      <w:r>
        <w:rPr>
          <w:spacing w:val="-3"/>
        </w:rPr>
        <w:t>for  </w:t>
      </w:r>
      <w:r>
        <w:rPr/>
        <w:t>business purposes </w:t>
      </w:r>
      <w:r>
        <w:rPr>
          <w:spacing w:val="-3"/>
        </w:rPr>
        <w:t>are</w:t>
      </w:r>
      <w:r>
        <w:rPr>
          <w:spacing w:val="41"/>
        </w:rPr>
        <w:t> </w:t>
      </w:r>
      <w:r>
        <w:rPr>
          <w:spacing w:val="-3"/>
        </w:rPr>
        <w:t>excluded  from  </w:t>
      </w:r>
      <w:r>
        <w:rPr/>
        <w:t>the definition of</w:t>
      </w:r>
      <w:r>
        <w:rPr>
          <w:spacing w:val="8"/>
        </w:rPr>
        <w:t> </w:t>
      </w:r>
      <w:r>
        <w:rPr>
          <w:spacing w:val="-3"/>
        </w:rPr>
        <w:t>chattels.</w:t>
      </w:r>
    </w:p>
    <w:p>
      <w:pPr>
        <w:pStyle w:val="BodyText"/>
        <w:tabs>
          <w:tab w:pos="3855" w:val="left" w:leader="none"/>
        </w:tabs>
        <w:spacing w:line="242" w:lineRule="auto" w:before="208"/>
        <w:ind w:left="3855" w:right="1930" w:hanging="2268"/>
      </w:pPr>
      <w:r>
        <w:rPr>
          <w:rFonts w:ascii="Lucida Sans"/>
          <w:b/>
          <w:w w:val="95"/>
        </w:rPr>
        <w:t>Collateral</w:t>
      </w:r>
      <w:r>
        <w:rPr>
          <w:rFonts w:ascii="Lucida Sans"/>
          <w:b/>
          <w:spacing w:val="-42"/>
          <w:w w:val="95"/>
        </w:rPr>
        <w:t> </w:t>
      </w:r>
      <w:r>
        <w:rPr>
          <w:rFonts w:ascii="Lucida Sans"/>
          <w:b/>
          <w:w w:val="95"/>
        </w:rPr>
        <w:t>relatives</w:t>
        <w:tab/>
      </w:r>
      <w:r>
        <w:rPr/>
        <w:t>Blood </w:t>
      </w:r>
      <w:r>
        <w:rPr>
          <w:spacing w:val="-3"/>
        </w:rPr>
        <w:t>relatives  </w:t>
      </w:r>
      <w:r>
        <w:rPr/>
        <w:t>who </w:t>
      </w:r>
      <w:r>
        <w:rPr>
          <w:spacing w:val="-3"/>
        </w:rPr>
        <w:t>are  related  </w:t>
      </w:r>
      <w:r>
        <w:rPr/>
        <w:t>by </w:t>
      </w:r>
      <w:r>
        <w:rPr>
          <w:spacing w:val="-2"/>
        </w:rPr>
        <w:t>common  </w:t>
      </w:r>
      <w:r>
        <w:rPr/>
        <w:t>ancestry but </w:t>
      </w:r>
      <w:r>
        <w:rPr>
          <w:spacing w:val="-2"/>
        </w:rPr>
        <w:t>not  </w:t>
      </w:r>
      <w:r>
        <w:rPr>
          <w:spacing w:val="-3"/>
        </w:rPr>
        <w:t>through  </w:t>
      </w:r>
      <w:r>
        <w:rPr/>
        <w:t>a direct </w:t>
      </w:r>
      <w:r>
        <w:rPr>
          <w:spacing w:val="-3"/>
        </w:rPr>
        <w:t>line </w:t>
      </w:r>
      <w:r>
        <w:rPr/>
        <w:t>of </w:t>
      </w:r>
      <w:r>
        <w:rPr>
          <w:spacing w:val="-2"/>
        </w:rPr>
        <w:t>descent. </w:t>
      </w:r>
      <w:r>
        <w:rPr/>
        <w:t>For </w:t>
      </w:r>
      <w:r>
        <w:rPr>
          <w:spacing w:val="-3"/>
        </w:rPr>
        <w:t>example,  </w:t>
      </w:r>
      <w:r>
        <w:rPr/>
        <w:t>the </w:t>
      </w:r>
      <w:r>
        <w:rPr>
          <w:spacing w:val="-3"/>
        </w:rPr>
        <w:t>relationship</w:t>
      </w:r>
      <w:r>
        <w:rPr>
          <w:spacing w:val="41"/>
        </w:rPr>
        <w:t> </w:t>
      </w:r>
      <w:r>
        <w:rPr/>
        <w:t>between </w:t>
      </w:r>
      <w:r>
        <w:rPr>
          <w:spacing w:val="-3"/>
        </w:rPr>
        <w:t>siblings  </w:t>
      </w:r>
      <w:r>
        <w:rPr/>
        <w:t>is</w:t>
      </w:r>
      <w:r>
        <w:rPr>
          <w:spacing w:val="8"/>
        </w:rPr>
        <w:t> </w:t>
      </w:r>
      <w:r>
        <w:rPr>
          <w:spacing w:val="-3"/>
        </w:rPr>
        <w:t>collateral.</w:t>
      </w:r>
    </w:p>
    <w:p>
      <w:pPr>
        <w:pStyle w:val="BodyText"/>
        <w:tabs>
          <w:tab w:pos="3855" w:val="left" w:leader="none"/>
        </w:tabs>
        <w:spacing w:line="242" w:lineRule="auto" w:before="208"/>
        <w:ind w:left="3855" w:right="1826" w:hanging="2268"/>
      </w:pPr>
      <w:r>
        <w:rPr>
          <w:rFonts w:ascii="Lucida Sans" w:hAnsi="Lucida Sans"/>
          <w:b/>
          <w:w w:val="95"/>
        </w:rPr>
        <w:t>Disbursement</w:t>
        <w:tab/>
      </w:r>
      <w:r>
        <w:rPr/>
        <w:t>An expense paid by a </w:t>
      </w:r>
      <w:r>
        <w:rPr>
          <w:spacing w:val="-3"/>
        </w:rPr>
        <w:t>solicitor </w:t>
      </w:r>
      <w:r>
        <w:rPr/>
        <w:t>on behalf of a </w:t>
      </w:r>
      <w:r>
        <w:rPr>
          <w:spacing w:val="-3"/>
        </w:rPr>
        <w:t>client, for </w:t>
      </w:r>
      <w:r>
        <w:rPr/>
        <w:t>which </w:t>
      </w:r>
      <w:r>
        <w:rPr>
          <w:spacing w:val="-3"/>
        </w:rPr>
        <w:t>reimbursement will </w:t>
      </w:r>
      <w:r>
        <w:rPr/>
        <w:t>be </w:t>
      </w:r>
      <w:r>
        <w:rPr>
          <w:spacing w:val="-3"/>
        </w:rPr>
        <w:t>sought. </w:t>
      </w:r>
      <w:r>
        <w:rPr/>
        <w:t>Disbursements </w:t>
      </w:r>
      <w:r>
        <w:rPr>
          <w:spacing w:val="-3"/>
        </w:rPr>
        <w:t>are </w:t>
      </w:r>
      <w:r>
        <w:rPr/>
        <w:t>distinct </w:t>
      </w:r>
      <w:r>
        <w:rPr>
          <w:spacing w:val="-3"/>
        </w:rPr>
        <w:t>from solicitors’ professional </w:t>
      </w:r>
      <w:r>
        <w:rPr/>
        <w:t>fees and </w:t>
      </w:r>
      <w:r>
        <w:rPr>
          <w:spacing w:val="-3"/>
        </w:rPr>
        <w:t>might include, for example, </w:t>
      </w:r>
      <w:r>
        <w:rPr/>
        <w:t>the cost of medical reports or a </w:t>
      </w:r>
      <w:r>
        <w:rPr>
          <w:spacing w:val="-3"/>
        </w:rPr>
        <w:t>barrister’s</w:t>
      </w:r>
      <w:r>
        <w:rPr>
          <w:spacing w:val="33"/>
        </w:rPr>
        <w:t> </w:t>
      </w:r>
      <w:r>
        <w:rPr/>
        <w:t>fees.</w:t>
      </w:r>
    </w:p>
    <w:p>
      <w:pPr>
        <w:pStyle w:val="BodyText"/>
        <w:tabs>
          <w:tab w:pos="3855" w:val="left" w:leader="none"/>
        </w:tabs>
        <w:spacing w:before="209"/>
        <w:ind w:left="1587"/>
      </w:pPr>
      <w:r>
        <w:rPr>
          <w:rFonts w:ascii="Lucida Sans"/>
          <w:b/>
        </w:rPr>
        <w:t>Executor</w:t>
        <w:tab/>
      </w:r>
      <w:r>
        <w:rPr/>
        <w:t>The</w:t>
      </w:r>
      <w:r>
        <w:rPr>
          <w:spacing w:val="9"/>
        </w:rPr>
        <w:t> </w:t>
      </w:r>
      <w:r>
        <w:rPr/>
        <w:t>person</w:t>
      </w:r>
      <w:r>
        <w:rPr>
          <w:spacing w:val="10"/>
        </w:rPr>
        <w:t> </w:t>
      </w:r>
      <w:r>
        <w:rPr>
          <w:spacing w:val="-3"/>
        </w:rPr>
        <w:t>appointed</w:t>
      </w:r>
      <w:r>
        <w:rPr>
          <w:spacing w:val="10"/>
        </w:rPr>
        <w:t> </w:t>
      </w:r>
      <w:r>
        <w:rPr/>
        <w:t>by</w:t>
      </w:r>
      <w:r>
        <w:rPr>
          <w:spacing w:val="10"/>
        </w:rPr>
        <w:t> </w:t>
      </w:r>
      <w:r>
        <w:rPr/>
        <w:t>the</w:t>
      </w:r>
      <w:r>
        <w:rPr>
          <w:spacing w:val="10"/>
        </w:rPr>
        <w:t> </w:t>
      </w:r>
      <w:r>
        <w:rPr>
          <w:spacing w:val="-3"/>
        </w:rPr>
        <w:t>will</w:t>
      </w:r>
      <w:r>
        <w:rPr>
          <w:spacing w:val="10"/>
        </w:rPr>
        <w:t> </w:t>
      </w:r>
      <w:r>
        <w:rPr>
          <w:spacing w:val="-3"/>
        </w:rPr>
        <w:t>to</w:t>
      </w:r>
      <w:r>
        <w:rPr>
          <w:spacing w:val="10"/>
        </w:rPr>
        <w:t> </w:t>
      </w:r>
      <w:r>
        <w:rPr>
          <w:spacing w:val="-3"/>
        </w:rPr>
        <w:t>administer</w:t>
      </w:r>
      <w:r>
        <w:rPr>
          <w:spacing w:val="10"/>
        </w:rPr>
        <w:t> </w:t>
      </w:r>
      <w:r>
        <w:rPr/>
        <w:t>the</w:t>
      </w:r>
      <w:r>
        <w:rPr>
          <w:spacing w:val="10"/>
        </w:rPr>
        <w:t> </w:t>
      </w:r>
      <w:r>
        <w:rPr>
          <w:spacing w:val="-3"/>
        </w:rPr>
        <w:t>estate.</w:t>
      </w:r>
    </w:p>
    <w:p>
      <w:pPr>
        <w:pStyle w:val="BodyText"/>
        <w:spacing w:before="7"/>
        <w:rPr>
          <w:sz w:val="9"/>
        </w:rPr>
      </w:pPr>
    </w:p>
    <w:p>
      <w:pPr>
        <w:spacing w:after="0"/>
        <w:rPr>
          <w:sz w:val="9"/>
        </w:rPr>
        <w:sectPr>
          <w:pgSz w:w="11910" w:h="16840"/>
          <w:pgMar w:header="1372" w:footer="0" w:top="1560" w:bottom="280" w:left="0" w:right="0"/>
        </w:sectPr>
      </w:pPr>
    </w:p>
    <w:p>
      <w:pPr>
        <w:pStyle w:val="BodyText"/>
        <w:spacing w:line="252" w:lineRule="auto" w:before="92"/>
        <w:ind w:left="1587"/>
        <w:rPr>
          <w:rFonts w:ascii="Lucida Sans"/>
          <w:b/>
        </w:rPr>
      </w:pPr>
      <w:r>
        <w:rPr>
          <w:rFonts w:ascii="Lucida Sans"/>
          <w:b/>
          <w:w w:val="95"/>
        </w:rPr>
        <w:t>Grant</w:t>
      </w:r>
      <w:r>
        <w:rPr>
          <w:rFonts w:ascii="Lucida Sans"/>
          <w:b/>
          <w:spacing w:val="-23"/>
          <w:w w:val="95"/>
        </w:rPr>
        <w:t> </w:t>
      </w:r>
      <w:r>
        <w:rPr>
          <w:rFonts w:ascii="Lucida Sans"/>
          <w:b/>
          <w:w w:val="95"/>
        </w:rPr>
        <w:t>of</w:t>
      </w:r>
      <w:r>
        <w:rPr>
          <w:rFonts w:ascii="Lucida Sans"/>
          <w:b/>
          <w:spacing w:val="-22"/>
          <w:w w:val="95"/>
        </w:rPr>
        <w:t> </w:t>
      </w:r>
      <w:r>
        <w:rPr>
          <w:rFonts w:ascii="Lucida Sans"/>
          <w:b/>
          <w:w w:val="95"/>
        </w:rPr>
        <w:t>letters</w:t>
      </w:r>
      <w:r>
        <w:rPr>
          <w:rFonts w:ascii="Lucida Sans"/>
          <w:b/>
          <w:spacing w:val="-22"/>
          <w:w w:val="95"/>
        </w:rPr>
        <w:t> </w:t>
      </w:r>
      <w:r>
        <w:rPr>
          <w:rFonts w:ascii="Lucida Sans"/>
          <w:b/>
          <w:spacing w:val="-11"/>
          <w:w w:val="95"/>
        </w:rPr>
        <w:t>of </w:t>
      </w:r>
      <w:r>
        <w:rPr>
          <w:rFonts w:ascii="Lucida Sans"/>
          <w:b/>
        </w:rPr>
        <w:t>administration</w:t>
      </w:r>
    </w:p>
    <w:p>
      <w:pPr>
        <w:pStyle w:val="BodyText"/>
        <w:spacing w:line="242" w:lineRule="auto" w:before="97"/>
        <w:ind w:left="453" w:right="1734"/>
      </w:pPr>
      <w:r>
        <w:rPr/>
        <w:br w:type="column"/>
      </w:r>
      <w:r>
        <w:rPr>
          <w:w w:val="105"/>
        </w:rPr>
        <w:t>A </w:t>
      </w:r>
      <w:r>
        <w:rPr>
          <w:spacing w:val="-3"/>
          <w:w w:val="105"/>
        </w:rPr>
        <w:t>grant </w:t>
      </w:r>
      <w:r>
        <w:rPr>
          <w:w w:val="105"/>
        </w:rPr>
        <w:t>made where there is no </w:t>
      </w:r>
      <w:r>
        <w:rPr>
          <w:spacing w:val="-3"/>
          <w:w w:val="105"/>
        </w:rPr>
        <w:t>will, </w:t>
      </w:r>
      <w:r>
        <w:rPr>
          <w:w w:val="105"/>
        </w:rPr>
        <w:t>or where there is a </w:t>
      </w:r>
      <w:r>
        <w:rPr>
          <w:spacing w:val="-3"/>
          <w:w w:val="105"/>
        </w:rPr>
        <w:t>will </w:t>
      </w:r>
      <w:r>
        <w:rPr>
          <w:w w:val="105"/>
        </w:rPr>
        <w:t>but no </w:t>
      </w:r>
      <w:r>
        <w:rPr>
          <w:spacing w:val="-3"/>
          <w:w w:val="105"/>
        </w:rPr>
        <w:t>executor </w:t>
      </w:r>
      <w:r>
        <w:rPr>
          <w:w w:val="105"/>
        </w:rPr>
        <w:t>is </w:t>
      </w:r>
      <w:r>
        <w:rPr>
          <w:spacing w:val="-3"/>
          <w:w w:val="105"/>
        </w:rPr>
        <w:t>available for </w:t>
      </w:r>
      <w:r>
        <w:rPr>
          <w:w w:val="105"/>
        </w:rPr>
        <w:t>some </w:t>
      </w:r>
      <w:r>
        <w:rPr>
          <w:spacing w:val="-3"/>
          <w:w w:val="105"/>
        </w:rPr>
        <w:t>reason. </w:t>
      </w:r>
      <w:r>
        <w:rPr>
          <w:w w:val="105"/>
        </w:rPr>
        <w:t>It </w:t>
      </w:r>
      <w:r>
        <w:rPr>
          <w:spacing w:val="-3"/>
          <w:w w:val="105"/>
        </w:rPr>
        <w:t>confers </w:t>
      </w:r>
      <w:r>
        <w:rPr>
          <w:w w:val="105"/>
        </w:rPr>
        <w:t>upon a </w:t>
      </w:r>
      <w:r>
        <w:rPr>
          <w:spacing w:val="-3"/>
          <w:w w:val="105"/>
        </w:rPr>
        <w:t>court-appointed </w:t>
      </w:r>
      <w:r>
        <w:rPr>
          <w:rFonts w:ascii="Lucida Sans"/>
          <w:b/>
          <w:w w:val="105"/>
        </w:rPr>
        <w:t>administrator </w:t>
      </w:r>
      <w:r>
        <w:rPr>
          <w:w w:val="105"/>
        </w:rPr>
        <w:t>the authority </w:t>
      </w:r>
      <w:r>
        <w:rPr>
          <w:spacing w:val="-3"/>
          <w:w w:val="105"/>
        </w:rPr>
        <w:t>to administer </w:t>
      </w:r>
      <w:r>
        <w:rPr>
          <w:w w:val="105"/>
        </w:rPr>
        <w:t>the </w:t>
      </w:r>
      <w:r>
        <w:rPr>
          <w:spacing w:val="-3"/>
          <w:w w:val="105"/>
        </w:rPr>
        <w:t>estate.</w:t>
      </w:r>
    </w:p>
    <w:p>
      <w:pPr>
        <w:spacing w:after="0" w:line="242" w:lineRule="auto"/>
        <w:sectPr>
          <w:type w:val="continuous"/>
          <w:pgSz w:w="11910" w:h="16840"/>
          <w:pgMar w:top="920" w:bottom="280" w:left="0" w:right="0"/>
          <w:cols w:num="2" w:equalWidth="0">
            <w:col w:w="3362" w:space="40"/>
            <w:col w:w="8508"/>
          </w:cols>
        </w:sectPr>
      </w:pPr>
    </w:p>
    <w:p>
      <w:pPr>
        <w:pStyle w:val="BodyText"/>
        <w:spacing w:before="1"/>
        <w:rPr>
          <w:sz w:val="9"/>
        </w:rPr>
      </w:pPr>
    </w:p>
    <w:p>
      <w:pPr>
        <w:pStyle w:val="BodyText"/>
        <w:tabs>
          <w:tab w:pos="3855" w:val="left" w:leader="none"/>
        </w:tabs>
        <w:spacing w:line="242" w:lineRule="auto" w:before="93"/>
        <w:ind w:left="3855" w:right="1826" w:hanging="2268"/>
      </w:pPr>
      <w:r>
        <w:rPr>
          <w:rFonts w:ascii="Lucida Sans"/>
          <w:b/>
        </w:rPr>
        <w:t>Grant</w:t>
      </w:r>
      <w:r>
        <w:rPr>
          <w:rFonts w:ascii="Lucida Sans"/>
          <w:b/>
          <w:spacing w:val="-40"/>
        </w:rPr>
        <w:t> </w:t>
      </w:r>
      <w:r>
        <w:rPr>
          <w:rFonts w:ascii="Lucida Sans"/>
          <w:b/>
        </w:rPr>
        <w:t>of</w:t>
      </w:r>
      <w:r>
        <w:rPr>
          <w:rFonts w:ascii="Lucida Sans"/>
          <w:b/>
          <w:spacing w:val="-39"/>
        </w:rPr>
        <w:t> </w:t>
      </w:r>
      <w:r>
        <w:rPr>
          <w:rFonts w:ascii="Lucida Sans"/>
          <w:b/>
        </w:rPr>
        <w:t>probate</w:t>
        <w:tab/>
      </w:r>
      <w:r>
        <w:rPr/>
        <w:t>A </w:t>
      </w:r>
      <w:r>
        <w:rPr>
          <w:spacing w:val="-3"/>
        </w:rPr>
        <w:t>grant </w:t>
      </w:r>
      <w:r>
        <w:rPr/>
        <w:t>made when there is a </w:t>
      </w:r>
      <w:r>
        <w:rPr>
          <w:spacing w:val="-3"/>
        </w:rPr>
        <w:t>will. </w:t>
      </w:r>
      <w:r>
        <w:rPr/>
        <w:t>A </w:t>
      </w:r>
      <w:r>
        <w:rPr>
          <w:spacing w:val="-3"/>
        </w:rPr>
        <w:t>grant </w:t>
      </w:r>
      <w:r>
        <w:rPr/>
        <w:t>of </w:t>
      </w:r>
      <w:r>
        <w:rPr>
          <w:spacing w:val="-3"/>
        </w:rPr>
        <w:t>probate </w:t>
      </w:r>
      <w:r>
        <w:rPr/>
        <w:t>certifies </w:t>
      </w:r>
      <w:r>
        <w:rPr>
          <w:spacing w:val="-3"/>
        </w:rPr>
        <w:t>that </w:t>
      </w:r>
      <w:r>
        <w:rPr/>
        <w:t>the  </w:t>
      </w:r>
      <w:r>
        <w:rPr>
          <w:spacing w:val="-3"/>
        </w:rPr>
        <w:t>will </w:t>
      </w:r>
      <w:r>
        <w:rPr/>
        <w:t>is the last and </w:t>
      </w:r>
      <w:r>
        <w:rPr>
          <w:spacing w:val="-3"/>
        </w:rPr>
        <w:t>valid will </w:t>
      </w:r>
      <w:r>
        <w:rPr/>
        <w:t>of the deceased person and </w:t>
      </w:r>
      <w:r>
        <w:rPr>
          <w:spacing w:val="-3"/>
        </w:rPr>
        <w:t>confirms </w:t>
      </w:r>
      <w:r>
        <w:rPr/>
        <w:t>the authority of the </w:t>
      </w:r>
      <w:r>
        <w:rPr>
          <w:rFonts w:ascii="Lucida Sans"/>
          <w:b/>
        </w:rPr>
        <w:t>executor</w:t>
      </w:r>
      <w:r>
        <w:rPr>
          <w:rFonts w:ascii="Lucida Sans"/>
          <w:b/>
          <w:spacing w:val="17"/>
        </w:rPr>
        <w:t> </w:t>
      </w:r>
      <w:r>
        <w:rPr/>
        <w:t>named in the </w:t>
      </w:r>
      <w:r>
        <w:rPr>
          <w:spacing w:val="-3"/>
        </w:rPr>
        <w:t>will to administer </w:t>
      </w:r>
      <w:r>
        <w:rPr/>
        <w:t>the </w:t>
      </w:r>
      <w:r>
        <w:rPr>
          <w:spacing w:val="-3"/>
        </w:rPr>
        <w:t>estate.</w:t>
      </w:r>
    </w:p>
    <w:p>
      <w:pPr>
        <w:pStyle w:val="BodyText"/>
        <w:spacing w:before="2"/>
        <w:rPr>
          <w:sz w:val="9"/>
        </w:rPr>
      </w:pPr>
    </w:p>
    <w:p>
      <w:pPr>
        <w:spacing w:after="0"/>
        <w:rPr>
          <w:sz w:val="9"/>
        </w:rPr>
        <w:sectPr>
          <w:type w:val="continuous"/>
          <w:pgSz w:w="11910" w:h="16840"/>
          <w:pgMar w:top="920" w:bottom="280" w:left="0" w:right="0"/>
        </w:sectPr>
      </w:pPr>
    </w:p>
    <w:p>
      <w:pPr>
        <w:pStyle w:val="BodyText"/>
        <w:spacing w:line="252" w:lineRule="auto" w:before="92"/>
        <w:ind w:left="1587"/>
        <w:rPr>
          <w:rFonts w:ascii="Lucida Sans"/>
          <w:b/>
        </w:rPr>
      </w:pPr>
      <w:r>
        <w:rPr>
          <w:rFonts w:ascii="Lucida Sans"/>
          <w:b/>
        </w:rPr>
        <w:t>Grant of </w:t>
      </w:r>
      <w:r>
        <w:rPr>
          <w:rFonts w:ascii="Lucida Sans"/>
          <w:b/>
          <w:w w:val="90"/>
        </w:rPr>
        <w:t>representation</w:t>
      </w:r>
    </w:p>
    <w:p>
      <w:pPr>
        <w:pStyle w:val="BodyText"/>
        <w:spacing w:before="92"/>
        <w:ind w:left="771" w:right="1164"/>
      </w:pPr>
      <w:r>
        <w:rPr/>
        <w:br w:type="column"/>
      </w:r>
      <w:r>
        <w:rPr/>
        <w:t>A grant, by the Supreme Court, of </w:t>
      </w:r>
      <w:r>
        <w:rPr>
          <w:rFonts w:ascii="Lucida Sans"/>
          <w:b/>
        </w:rPr>
        <w:t>probate </w:t>
      </w:r>
      <w:r>
        <w:rPr/>
        <w:t>or of </w:t>
      </w:r>
      <w:r>
        <w:rPr>
          <w:rFonts w:ascii="Lucida Sans"/>
          <w:b/>
        </w:rPr>
        <w:t>letters of administration</w:t>
      </w:r>
      <w:r>
        <w:rPr/>
        <w:t>.</w:t>
      </w:r>
    </w:p>
    <w:p>
      <w:pPr>
        <w:spacing w:after="0"/>
        <w:sectPr>
          <w:type w:val="continuous"/>
          <w:pgSz w:w="11910" w:h="16840"/>
          <w:pgMar w:top="920" w:bottom="280" w:left="0" w:right="0"/>
          <w:cols w:num="2" w:equalWidth="0">
            <w:col w:w="3044" w:space="40"/>
            <w:col w:w="8826"/>
          </w:cols>
        </w:sectPr>
      </w:pPr>
    </w:p>
    <w:p>
      <w:pPr>
        <w:pStyle w:val="BodyText"/>
        <w:spacing w:before="6"/>
        <w:rPr>
          <w:sz w:val="9"/>
        </w:rPr>
      </w:pPr>
    </w:p>
    <w:p>
      <w:pPr>
        <w:spacing w:after="0"/>
        <w:rPr>
          <w:sz w:val="9"/>
        </w:rPr>
        <w:sectPr>
          <w:type w:val="continuous"/>
          <w:pgSz w:w="11910" w:h="16840"/>
          <w:pgMar w:top="920" w:bottom="280" w:left="0" w:right="0"/>
        </w:sectPr>
      </w:pPr>
    </w:p>
    <w:p>
      <w:pPr>
        <w:pStyle w:val="BodyText"/>
        <w:rPr>
          <w:sz w:val="28"/>
        </w:rPr>
      </w:pPr>
    </w:p>
    <w:p>
      <w:pPr>
        <w:spacing w:before="192"/>
        <w:ind w:left="0" w:right="0" w:firstLine="0"/>
        <w:jc w:val="right"/>
        <w:rPr>
          <w:b/>
          <w:sz w:val="24"/>
        </w:rPr>
      </w:pPr>
      <w:r>
        <w:rPr>
          <w:b/>
          <w:color w:val="EC5A4F"/>
          <w:w w:val="115"/>
          <w:sz w:val="24"/>
        </w:rPr>
        <w:t>xii</w:t>
      </w:r>
    </w:p>
    <w:p>
      <w:pPr>
        <w:pStyle w:val="BodyText"/>
        <w:tabs>
          <w:tab w:pos="2833" w:val="left" w:leader="none"/>
        </w:tabs>
        <w:spacing w:line="242" w:lineRule="auto" w:before="92"/>
        <w:ind w:left="2834" w:right="1998" w:hanging="2268"/>
      </w:pPr>
      <w:r>
        <w:rPr/>
        <w:br w:type="column"/>
      </w:r>
      <w:r>
        <w:rPr>
          <w:rFonts w:ascii="Lucida Sans" w:hAnsi="Lucida Sans"/>
          <w:b/>
        </w:rPr>
        <w:t>Hotchpot</w:t>
        <w:tab/>
      </w:r>
      <w:r>
        <w:rPr/>
        <w:t>The </w:t>
      </w:r>
      <w:r>
        <w:rPr>
          <w:spacing w:val="-3"/>
        </w:rPr>
        <w:t>requirement for </w:t>
      </w:r>
      <w:r>
        <w:rPr/>
        <w:t>certain benefits received by a deceased </w:t>
      </w:r>
      <w:r>
        <w:rPr>
          <w:spacing w:val="-3"/>
        </w:rPr>
        <w:t>person’s child during </w:t>
      </w:r>
      <w:r>
        <w:rPr/>
        <w:t>the deceased </w:t>
      </w:r>
      <w:r>
        <w:rPr>
          <w:spacing w:val="-3"/>
        </w:rPr>
        <w:t>person’s lifetime to </w:t>
      </w:r>
      <w:r>
        <w:rPr/>
        <w:t>be </w:t>
      </w:r>
      <w:r>
        <w:rPr>
          <w:spacing w:val="-3"/>
        </w:rPr>
        <w:t>taken </w:t>
      </w:r>
      <w:r>
        <w:rPr>
          <w:spacing w:val="-4"/>
        </w:rPr>
        <w:t>into </w:t>
      </w:r>
      <w:r>
        <w:rPr>
          <w:spacing w:val="-3"/>
        </w:rPr>
        <w:t>account </w:t>
      </w:r>
      <w:r>
        <w:rPr/>
        <w:t>when </w:t>
      </w:r>
      <w:r>
        <w:rPr>
          <w:spacing w:val="-3"/>
        </w:rPr>
        <w:t>determining that </w:t>
      </w:r>
      <w:r>
        <w:rPr>
          <w:spacing w:val="-4"/>
        </w:rPr>
        <w:t>child’s </w:t>
      </w:r>
      <w:r>
        <w:rPr>
          <w:spacing w:val="-3"/>
        </w:rPr>
        <w:t>share </w:t>
      </w:r>
      <w:r>
        <w:rPr/>
        <w:t>on</w:t>
      </w:r>
      <w:r>
        <w:rPr>
          <w:spacing w:val="25"/>
        </w:rPr>
        <w:t> </w:t>
      </w:r>
      <w:r>
        <w:rPr>
          <w:rFonts w:ascii="Lucida Sans" w:hAnsi="Lucida Sans"/>
          <w:b/>
          <w:spacing w:val="-3"/>
        </w:rPr>
        <w:t>intestacy</w:t>
      </w:r>
      <w:r>
        <w:rPr>
          <w:spacing w:val="-3"/>
        </w:rPr>
        <w:t>.</w:t>
      </w:r>
    </w:p>
    <w:p>
      <w:pPr>
        <w:spacing w:after="0" w:line="242" w:lineRule="auto"/>
        <w:sectPr>
          <w:type w:val="continuous"/>
          <w:pgSz w:w="11910" w:h="16840"/>
          <w:pgMar w:top="920" w:bottom="280" w:left="0" w:right="0"/>
          <w:cols w:num="2" w:equalWidth="0">
            <w:col w:w="982" w:space="40"/>
            <w:col w:w="10888"/>
          </w:cols>
        </w:sectPr>
      </w:pPr>
    </w:p>
    <w:p>
      <w:pPr>
        <w:pStyle w:val="BodyText"/>
        <w:rPr>
          <w:sz w:val="20"/>
        </w:rPr>
      </w:pPr>
    </w:p>
    <w:p>
      <w:pPr>
        <w:pStyle w:val="BodyText"/>
        <w:spacing w:before="1"/>
        <w:rPr>
          <w:sz w:val="15"/>
        </w:rPr>
      </w:pPr>
    </w:p>
    <w:p>
      <w:pPr>
        <w:spacing w:after="0"/>
        <w:rPr>
          <w:sz w:val="15"/>
        </w:rPr>
        <w:sectPr>
          <w:pgSz w:w="11910" w:h="16840"/>
          <w:pgMar w:header="550" w:footer="0" w:top="1560" w:bottom="280" w:left="0" w:right="0"/>
        </w:sectPr>
      </w:pPr>
    </w:p>
    <w:p>
      <w:pPr>
        <w:pStyle w:val="BodyText"/>
        <w:spacing w:line="252" w:lineRule="auto" w:before="93"/>
        <w:ind w:left="1587" w:right="-12"/>
        <w:rPr>
          <w:rFonts w:ascii="Lucida Sans"/>
          <w:b/>
        </w:rPr>
      </w:pPr>
      <w:r>
        <w:rPr>
          <w:rFonts w:ascii="Lucida Sans"/>
          <w:b/>
        </w:rPr>
        <w:t>Informal </w:t>
      </w:r>
      <w:r>
        <w:rPr>
          <w:rFonts w:ascii="Lucida Sans"/>
          <w:b/>
          <w:w w:val="90"/>
        </w:rPr>
        <w:t>administration</w:t>
      </w:r>
    </w:p>
    <w:p>
      <w:pPr>
        <w:pStyle w:val="BodyText"/>
        <w:spacing w:before="93"/>
        <w:ind w:left="790"/>
      </w:pPr>
      <w:r>
        <w:rPr/>
        <w:br w:type="column"/>
      </w:r>
      <w:r>
        <w:rPr/>
        <w:t>Administration of estate assets without a </w:t>
      </w:r>
      <w:r>
        <w:rPr>
          <w:rFonts w:ascii="Lucida Sans"/>
          <w:b/>
        </w:rPr>
        <w:t>grant of representation</w:t>
      </w:r>
      <w:r>
        <w:rPr/>
        <w:t>.</w:t>
      </w:r>
    </w:p>
    <w:p>
      <w:pPr>
        <w:spacing w:after="0"/>
        <w:sectPr>
          <w:type w:val="continuous"/>
          <w:pgSz w:w="11910" w:h="16840"/>
          <w:pgMar w:top="920" w:bottom="280" w:left="0" w:right="0"/>
          <w:cols w:num="2" w:equalWidth="0">
            <w:col w:w="3026" w:space="40"/>
            <w:col w:w="8844"/>
          </w:cols>
        </w:sectPr>
      </w:pPr>
    </w:p>
    <w:p>
      <w:pPr>
        <w:pStyle w:val="BodyText"/>
        <w:spacing w:before="7"/>
        <w:rPr>
          <w:sz w:val="12"/>
        </w:rPr>
      </w:pPr>
    </w:p>
    <w:p>
      <w:pPr>
        <w:pStyle w:val="BodyText"/>
        <w:tabs>
          <w:tab w:pos="3855" w:val="left" w:leader="none"/>
        </w:tabs>
        <w:spacing w:before="98"/>
        <w:ind w:left="3855" w:right="1619" w:hanging="2268"/>
      </w:pPr>
      <w:r>
        <w:rPr>
          <w:rFonts w:ascii="Trebuchet MS"/>
          <w:b/>
          <w:i/>
        </w:rPr>
        <w:t>Inter</w:t>
      </w:r>
      <w:r>
        <w:rPr>
          <w:rFonts w:ascii="Trebuchet MS"/>
          <w:b/>
          <w:i/>
          <w:spacing w:val="-15"/>
        </w:rPr>
        <w:t> </w:t>
      </w:r>
      <w:r>
        <w:rPr>
          <w:rFonts w:ascii="Trebuchet MS"/>
          <w:b/>
          <w:i/>
        </w:rPr>
        <w:t>vivos</w:t>
        <w:tab/>
      </w:r>
      <w:r>
        <w:rPr/>
        <w:t>Refers </w:t>
      </w:r>
      <w:r>
        <w:rPr>
          <w:spacing w:val="-3"/>
        </w:rPr>
        <w:t>to something that  </w:t>
      </w:r>
      <w:r>
        <w:rPr/>
        <w:t>occurs </w:t>
      </w:r>
      <w:r>
        <w:rPr>
          <w:spacing w:val="-3"/>
        </w:rPr>
        <w:t>during  </w:t>
      </w:r>
      <w:r>
        <w:rPr>
          <w:spacing w:val="-4"/>
        </w:rPr>
        <w:t>life.  </w:t>
      </w:r>
      <w:r>
        <w:rPr/>
        <w:t>In the </w:t>
      </w:r>
      <w:r>
        <w:rPr>
          <w:spacing w:val="-3"/>
        </w:rPr>
        <w:t>succession  </w:t>
      </w:r>
      <w:r>
        <w:rPr/>
        <w:t>law context, it</w:t>
      </w:r>
      <w:r>
        <w:rPr>
          <w:spacing w:val="18"/>
        </w:rPr>
        <w:t> </w:t>
      </w:r>
      <w:r>
        <w:rPr/>
        <w:t>is</w:t>
      </w:r>
      <w:r>
        <w:rPr>
          <w:spacing w:val="18"/>
        </w:rPr>
        <w:t> </w:t>
      </w:r>
      <w:r>
        <w:rPr/>
        <w:t>most</w:t>
      </w:r>
      <w:r>
        <w:rPr>
          <w:spacing w:val="18"/>
        </w:rPr>
        <w:t> </w:t>
      </w:r>
      <w:r>
        <w:rPr/>
        <w:t>often</w:t>
      </w:r>
      <w:r>
        <w:rPr>
          <w:spacing w:val="18"/>
        </w:rPr>
        <w:t> </w:t>
      </w:r>
      <w:r>
        <w:rPr/>
        <w:t>used</w:t>
      </w:r>
      <w:r>
        <w:rPr>
          <w:spacing w:val="18"/>
        </w:rPr>
        <w:t> </w:t>
      </w:r>
      <w:r>
        <w:rPr>
          <w:spacing w:val="-3"/>
        </w:rPr>
        <w:t>to</w:t>
      </w:r>
      <w:r>
        <w:rPr>
          <w:spacing w:val="19"/>
        </w:rPr>
        <w:t> </w:t>
      </w:r>
      <w:r>
        <w:rPr>
          <w:spacing w:val="-3"/>
        </w:rPr>
        <w:t>distinguish</w:t>
      </w:r>
      <w:r>
        <w:rPr>
          <w:spacing w:val="18"/>
        </w:rPr>
        <w:t> </w:t>
      </w:r>
      <w:r>
        <w:rPr/>
        <w:t>between</w:t>
      </w:r>
      <w:r>
        <w:rPr>
          <w:spacing w:val="18"/>
        </w:rPr>
        <w:t> </w:t>
      </w:r>
      <w:r>
        <w:rPr/>
        <w:t>gifts</w:t>
      </w:r>
      <w:r>
        <w:rPr>
          <w:spacing w:val="18"/>
        </w:rPr>
        <w:t> </w:t>
      </w:r>
      <w:r>
        <w:rPr/>
        <w:t>or</w:t>
      </w:r>
      <w:r>
        <w:rPr>
          <w:spacing w:val="18"/>
        </w:rPr>
        <w:t> </w:t>
      </w:r>
      <w:r>
        <w:rPr/>
        <w:t>transactions</w:t>
      </w:r>
      <w:r>
        <w:rPr>
          <w:spacing w:val="18"/>
        </w:rPr>
        <w:t> </w:t>
      </w:r>
      <w:r>
        <w:rPr>
          <w:spacing w:val="-3"/>
        </w:rPr>
        <w:t>during</w:t>
      </w:r>
    </w:p>
    <w:p>
      <w:pPr>
        <w:pStyle w:val="BodyText"/>
        <w:spacing w:before="5"/>
        <w:ind w:left="3855"/>
      </w:pPr>
      <w:r>
        <w:rPr>
          <w:w w:val="105"/>
        </w:rPr>
        <w:t>a person’s life and those that occur in accordance with their will.</w:t>
      </w:r>
    </w:p>
    <w:p>
      <w:pPr>
        <w:pStyle w:val="BodyText"/>
        <w:tabs>
          <w:tab w:pos="3855" w:val="left" w:leader="none"/>
        </w:tabs>
        <w:spacing w:line="242" w:lineRule="auto" w:before="209"/>
        <w:ind w:left="3855" w:right="2010" w:hanging="2268"/>
      </w:pPr>
      <w:r>
        <w:rPr>
          <w:rFonts w:ascii="Lucida Sans" w:hAnsi="Lucida Sans"/>
          <w:b/>
          <w:w w:val="95"/>
        </w:rPr>
        <w:t>Intestacy</w:t>
        <w:tab/>
      </w:r>
      <w:r>
        <w:rPr/>
        <w:t>Occurs when a person dies without </w:t>
      </w:r>
      <w:r>
        <w:rPr>
          <w:spacing w:val="-3"/>
        </w:rPr>
        <w:t>having </w:t>
      </w:r>
      <w:r>
        <w:rPr/>
        <w:t>made a </w:t>
      </w:r>
      <w:r>
        <w:rPr>
          <w:spacing w:val="-3"/>
        </w:rPr>
        <w:t>valid will, </w:t>
      </w:r>
      <w:r>
        <w:rPr/>
        <w:t>or where their </w:t>
      </w:r>
      <w:r>
        <w:rPr>
          <w:spacing w:val="-3"/>
        </w:rPr>
        <w:t>will </w:t>
      </w:r>
      <w:r>
        <w:rPr>
          <w:spacing w:val="-4"/>
        </w:rPr>
        <w:t>fails  </w:t>
      </w:r>
      <w:r>
        <w:rPr>
          <w:spacing w:val="-3"/>
        </w:rPr>
        <w:t>to  </w:t>
      </w:r>
      <w:r>
        <w:rPr/>
        <w:t>effectively dispose of </w:t>
      </w:r>
      <w:r>
        <w:rPr>
          <w:spacing w:val="-3"/>
        </w:rPr>
        <w:t>all</w:t>
      </w:r>
      <w:r>
        <w:rPr>
          <w:spacing w:val="41"/>
        </w:rPr>
        <w:t> </w:t>
      </w:r>
      <w:r>
        <w:rPr/>
        <w:t>of their property. Intestacy can be partial, where only some of the deceased </w:t>
      </w:r>
      <w:r>
        <w:rPr>
          <w:spacing w:val="-3"/>
        </w:rPr>
        <w:t>person’s </w:t>
      </w:r>
      <w:r>
        <w:rPr/>
        <w:t>property is effectively disposed of by </w:t>
      </w:r>
      <w:r>
        <w:rPr>
          <w:spacing w:val="-3"/>
        </w:rPr>
        <w:t>will, </w:t>
      </w:r>
      <w:r>
        <w:rPr/>
        <w:t>or </w:t>
      </w:r>
      <w:r>
        <w:rPr>
          <w:spacing w:val="-3"/>
        </w:rPr>
        <w:t>total, </w:t>
      </w:r>
      <w:r>
        <w:rPr/>
        <w:t>where none of the deceased </w:t>
      </w:r>
      <w:r>
        <w:rPr>
          <w:spacing w:val="-3"/>
        </w:rPr>
        <w:t>person’s</w:t>
      </w:r>
      <w:r>
        <w:rPr>
          <w:spacing w:val="9"/>
        </w:rPr>
        <w:t> </w:t>
      </w:r>
      <w:r>
        <w:rPr/>
        <w:t>property</w:t>
      </w:r>
      <w:r>
        <w:rPr>
          <w:spacing w:val="10"/>
        </w:rPr>
        <w:t> </w:t>
      </w:r>
      <w:r>
        <w:rPr/>
        <w:t>is</w:t>
      </w:r>
      <w:r>
        <w:rPr>
          <w:spacing w:val="9"/>
        </w:rPr>
        <w:t> </w:t>
      </w:r>
      <w:r>
        <w:rPr/>
        <w:t>effectively</w:t>
      </w:r>
      <w:r>
        <w:rPr>
          <w:spacing w:val="10"/>
        </w:rPr>
        <w:t> </w:t>
      </w:r>
      <w:r>
        <w:rPr/>
        <w:t>disposed</w:t>
      </w:r>
      <w:r>
        <w:rPr>
          <w:spacing w:val="9"/>
        </w:rPr>
        <w:t> </w:t>
      </w:r>
      <w:r>
        <w:rPr/>
        <w:t>of</w:t>
      </w:r>
      <w:r>
        <w:rPr>
          <w:spacing w:val="10"/>
        </w:rPr>
        <w:t> </w:t>
      </w:r>
      <w:r>
        <w:rPr/>
        <w:t>by</w:t>
      </w:r>
      <w:r>
        <w:rPr>
          <w:spacing w:val="9"/>
        </w:rPr>
        <w:t> </w:t>
      </w:r>
      <w:r>
        <w:rPr>
          <w:spacing w:val="-3"/>
        </w:rPr>
        <w:t>will.</w:t>
      </w:r>
    </w:p>
    <w:p>
      <w:pPr>
        <w:pStyle w:val="BodyText"/>
        <w:tabs>
          <w:tab w:pos="3855" w:val="left" w:leader="none"/>
        </w:tabs>
        <w:spacing w:line="242" w:lineRule="auto" w:before="210"/>
        <w:ind w:left="3855" w:right="1741" w:hanging="2268"/>
      </w:pPr>
      <w:r>
        <w:rPr>
          <w:rFonts w:ascii="Lucida Sans" w:hAnsi="Lucida Sans"/>
          <w:b/>
        </w:rPr>
        <w:t>Issue</w:t>
        <w:tab/>
      </w:r>
      <w:r>
        <w:rPr>
          <w:w w:val="105"/>
        </w:rPr>
        <w:t>A </w:t>
      </w:r>
      <w:r>
        <w:rPr>
          <w:spacing w:val="-3"/>
          <w:w w:val="105"/>
        </w:rPr>
        <w:t>person’s children, grandchildren, great-grandchildren </w:t>
      </w:r>
      <w:r>
        <w:rPr>
          <w:w w:val="105"/>
        </w:rPr>
        <w:t>and other direct descendants down this</w:t>
      </w:r>
      <w:r>
        <w:rPr>
          <w:spacing w:val="14"/>
          <w:w w:val="105"/>
        </w:rPr>
        <w:t> </w:t>
      </w:r>
      <w:r>
        <w:rPr>
          <w:spacing w:val="-4"/>
          <w:w w:val="105"/>
        </w:rPr>
        <w:t>line.</w:t>
      </w:r>
    </w:p>
    <w:p>
      <w:pPr>
        <w:pStyle w:val="BodyText"/>
        <w:tabs>
          <w:tab w:pos="3855" w:val="left" w:leader="none"/>
        </w:tabs>
        <w:spacing w:line="242" w:lineRule="auto" w:before="207"/>
        <w:ind w:left="3855" w:right="2010" w:hanging="2268"/>
      </w:pPr>
      <w:r>
        <w:rPr>
          <w:rFonts w:ascii="Lucida Sans" w:hAnsi="Lucida Sans"/>
          <w:b/>
        </w:rPr>
        <w:t>Joint</w:t>
      </w:r>
      <w:r>
        <w:rPr>
          <w:rFonts w:ascii="Lucida Sans" w:hAnsi="Lucida Sans"/>
          <w:b/>
          <w:spacing w:val="-43"/>
        </w:rPr>
        <w:t> </w:t>
      </w:r>
      <w:r>
        <w:rPr>
          <w:rFonts w:ascii="Lucida Sans" w:hAnsi="Lucida Sans"/>
          <w:b/>
        </w:rPr>
        <w:t>tenancy</w:t>
        <w:tab/>
      </w:r>
      <w:r>
        <w:rPr>
          <w:spacing w:val="-3"/>
        </w:rPr>
        <w:t>Common </w:t>
      </w:r>
      <w:r>
        <w:rPr/>
        <w:t>ownership of property when </w:t>
      </w:r>
      <w:r>
        <w:rPr>
          <w:spacing w:val="-3"/>
        </w:rPr>
        <w:t>all </w:t>
      </w:r>
      <w:r>
        <w:rPr/>
        <w:t>co-owners (or co-tenants) together own the whole piece of property, each </w:t>
      </w:r>
      <w:r>
        <w:rPr>
          <w:spacing w:val="-3"/>
        </w:rPr>
        <w:t>having </w:t>
      </w:r>
      <w:r>
        <w:rPr/>
        <w:t>an undivided </w:t>
      </w:r>
      <w:r>
        <w:rPr>
          <w:spacing w:val="-4"/>
        </w:rPr>
        <w:t>share. </w:t>
      </w:r>
      <w:r>
        <w:rPr/>
        <w:t>Property </w:t>
      </w:r>
      <w:r>
        <w:rPr>
          <w:spacing w:val="-3"/>
        </w:rPr>
        <w:t>that </w:t>
      </w:r>
      <w:r>
        <w:rPr/>
        <w:t>is owned jointly passes </w:t>
      </w:r>
      <w:r>
        <w:rPr>
          <w:spacing w:val="-3"/>
        </w:rPr>
        <w:t>to </w:t>
      </w:r>
      <w:r>
        <w:rPr/>
        <w:t>the surviving co-owner or co-owners on the death of one of the co-owners and does </w:t>
      </w:r>
      <w:r>
        <w:rPr>
          <w:spacing w:val="-2"/>
        </w:rPr>
        <w:t>not </w:t>
      </w:r>
      <w:r>
        <w:rPr/>
        <w:t>become part of the deceased </w:t>
      </w:r>
      <w:r>
        <w:rPr>
          <w:spacing w:val="-3"/>
        </w:rPr>
        <w:t>person’s estate. </w:t>
      </w:r>
      <w:r>
        <w:rPr/>
        <w:t>See also </w:t>
      </w:r>
      <w:r>
        <w:rPr>
          <w:rFonts w:ascii="Lucida Sans" w:hAnsi="Lucida Sans"/>
          <w:b/>
        </w:rPr>
        <w:t>survivorship </w:t>
      </w:r>
      <w:r>
        <w:rPr/>
        <w:t>and </w:t>
      </w:r>
      <w:r>
        <w:rPr>
          <w:rFonts w:ascii="Lucida Sans" w:hAnsi="Lucida Sans"/>
          <w:b/>
        </w:rPr>
        <w:t>tenancy in</w:t>
      </w:r>
      <w:r>
        <w:rPr>
          <w:rFonts w:ascii="Lucida Sans" w:hAnsi="Lucida Sans"/>
          <w:b/>
          <w:spacing w:val="-21"/>
        </w:rPr>
        <w:t> </w:t>
      </w:r>
      <w:r>
        <w:rPr>
          <w:rFonts w:ascii="Lucida Sans" w:hAnsi="Lucida Sans"/>
          <w:b/>
        </w:rPr>
        <w:t>common</w:t>
      </w:r>
      <w:r>
        <w:rPr/>
        <w:t>.</w:t>
      </w:r>
    </w:p>
    <w:p>
      <w:pPr>
        <w:pStyle w:val="BodyText"/>
        <w:tabs>
          <w:tab w:pos="3855" w:val="left" w:leader="none"/>
        </w:tabs>
        <w:spacing w:line="242" w:lineRule="auto" w:before="203"/>
        <w:ind w:left="3855" w:right="1826" w:hanging="2268"/>
      </w:pPr>
      <w:r>
        <w:rPr>
          <w:rFonts w:ascii="Lucida Sans"/>
          <w:b/>
          <w:w w:val="95"/>
        </w:rPr>
        <w:t>Lineal</w:t>
      </w:r>
      <w:r>
        <w:rPr>
          <w:rFonts w:ascii="Lucida Sans"/>
          <w:b/>
          <w:spacing w:val="-34"/>
          <w:w w:val="95"/>
        </w:rPr>
        <w:t> </w:t>
      </w:r>
      <w:r>
        <w:rPr>
          <w:rFonts w:ascii="Lucida Sans"/>
          <w:b/>
          <w:w w:val="95"/>
        </w:rPr>
        <w:t>relatives</w:t>
        <w:tab/>
      </w:r>
      <w:r>
        <w:rPr>
          <w:spacing w:val="-3"/>
        </w:rPr>
        <w:t>Blood </w:t>
      </w:r>
      <w:r>
        <w:rPr>
          <w:spacing w:val="-4"/>
        </w:rPr>
        <w:t>relatives </w:t>
      </w:r>
      <w:r>
        <w:rPr>
          <w:spacing w:val="-3"/>
        </w:rPr>
        <w:t>who </w:t>
      </w:r>
      <w:r>
        <w:rPr>
          <w:spacing w:val="-4"/>
        </w:rPr>
        <w:t>are </w:t>
      </w:r>
      <w:r>
        <w:rPr>
          <w:spacing w:val="-5"/>
        </w:rPr>
        <w:t>related </w:t>
      </w:r>
      <w:r>
        <w:rPr>
          <w:spacing w:val="-3"/>
        </w:rPr>
        <w:t>by </w:t>
      </w:r>
      <w:r>
        <w:rPr/>
        <w:t>a </w:t>
      </w:r>
      <w:r>
        <w:rPr>
          <w:spacing w:val="-4"/>
        </w:rPr>
        <w:t>direct line </w:t>
      </w:r>
      <w:r>
        <w:rPr>
          <w:spacing w:val="-3"/>
        </w:rPr>
        <w:t>of </w:t>
      </w:r>
      <w:r>
        <w:rPr>
          <w:spacing w:val="-4"/>
        </w:rPr>
        <w:t>ancestry, either ancestors  </w:t>
      </w:r>
      <w:r>
        <w:rPr/>
        <w:t>or </w:t>
      </w:r>
      <w:r>
        <w:rPr>
          <w:spacing w:val="-4"/>
        </w:rPr>
        <w:t>descendants. </w:t>
      </w:r>
      <w:r>
        <w:rPr>
          <w:spacing w:val="-2"/>
        </w:rPr>
        <w:t>For </w:t>
      </w:r>
      <w:r>
        <w:rPr>
          <w:spacing w:val="-5"/>
        </w:rPr>
        <w:t>example, </w:t>
      </w:r>
      <w:r>
        <w:rPr>
          <w:spacing w:val="-3"/>
        </w:rPr>
        <w:t>the </w:t>
      </w:r>
      <w:r>
        <w:rPr>
          <w:spacing w:val="-5"/>
        </w:rPr>
        <w:t>parent </w:t>
      </w:r>
      <w:r>
        <w:rPr>
          <w:spacing w:val="-4"/>
        </w:rPr>
        <w:t>to </w:t>
      </w:r>
      <w:r>
        <w:rPr>
          <w:spacing w:val="-5"/>
        </w:rPr>
        <w:t>child relationship </w:t>
      </w:r>
      <w:r>
        <w:rPr>
          <w:spacing w:val="-3"/>
        </w:rPr>
        <w:t>is</w:t>
      </w:r>
      <w:r>
        <w:rPr>
          <w:spacing w:val="-17"/>
        </w:rPr>
        <w:t> </w:t>
      </w:r>
      <w:r>
        <w:rPr>
          <w:spacing w:val="-5"/>
        </w:rPr>
        <w:t>lineal.</w:t>
      </w:r>
    </w:p>
    <w:p>
      <w:pPr>
        <w:pStyle w:val="BodyText"/>
        <w:tabs>
          <w:tab w:pos="3855" w:val="left" w:leader="none"/>
        </w:tabs>
        <w:spacing w:before="207"/>
        <w:ind w:left="3855" w:right="2010" w:hanging="2268"/>
      </w:pPr>
      <w:r>
        <w:rPr>
          <w:rFonts w:ascii="Lucida Sans" w:hAnsi="Lucida Sans"/>
          <w:b/>
        </w:rPr>
        <w:t>Next</w:t>
      </w:r>
      <w:r>
        <w:rPr>
          <w:rFonts w:ascii="Lucida Sans" w:hAnsi="Lucida Sans"/>
          <w:b/>
          <w:spacing w:val="-29"/>
        </w:rPr>
        <w:t> </w:t>
      </w:r>
      <w:r>
        <w:rPr>
          <w:rFonts w:ascii="Lucida Sans" w:hAnsi="Lucida Sans"/>
          <w:b/>
        </w:rPr>
        <w:t>of</w:t>
      </w:r>
      <w:r>
        <w:rPr>
          <w:rFonts w:ascii="Lucida Sans" w:hAnsi="Lucida Sans"/>
          <w:b/>
          <w:spacing w:val="-29"/>
        </w:rPr>
        <w:t> </w:t>
      </w:r>
      <w:r>
        <w:rPr>
          <w:rFonts w:ascii="Lucida Sans" w:hAnsi="Lucida Sans"/>
          <w:b/>
        </w:rPr>
        <w:t>kin</w:t>
        <w:tab/>
      </w:r>
      <w:r>
        <w:rPr/>
        <w:t>A </w:t>
      </w:r>
      <w:r>
        <w:rPr>
          <w:spacing w:val="-3"/>
        </w:rPr>
        <w:t>person’s </w:t>
      </w:r>
      <w:r>
        <w:rPr/>
        <w:t>closest blood </w:t>
      </w:r>
      <w:r>
        <w:rPr>
          <w:spacing w:val="-3"/>
        </w:rPr>
        <w:t>relatives. </w:t>
      </w:r>
      <w:r>
        <w:rPr/>
        <w:t>A deceased </w:t>
      </w:r>
      <w:r>
        <w:rPr>
          <w:spacing w:val="-3"/>
        </w:rPr>
        <w:t>person’s </w:t>
      </w:r>
      <w:r>
        <w:rPr/>
        <w:t>estate is </w:t>
      </w:r>
      <w:r>
        <w:rPr>
          <w:spacing w:val="-3"/>
        </w:rPr>
        <w:t>distributed</w:t>
      </w:r>
      <w:r>
        <w:rPr>
          <w:spacing w:val="8"/>
        </w:rPr>
        <w:t> </w:t>
      </w:r>
      <w:r>
        <w:rPr>
          <w:spacing w:val="-3"/>
        </w:rPr>
        <w:t>to</w:t>
      </w:r>
      <w:r>
        <w:rPr>
          <w:spacing w:val="9"/>
        </w:rPr>
        <w:t> </w:t>
      </w:r>
      <w:r>
        <w:rPr/>
        <w:t>their</w:t>
      </w:r>
      <w:r>
        <w:rPr>
          <w:spacing w:val="9"/>
        </w:rPr>
        <w:t> </w:t>
      </w:r>
      <w:r>
        <w:rPr/>
        <w:t>surviving</w:t>
      </w:r>
      <w:r>
        <w:rPr>
          <w:spacing w:val="9"/>
        </w:rPr>
        <w:t> </w:t>
      </w:r>
      <w:r>
        <w:rPr/>
        <w:t>partner(s)</w:t>
      </w:r>
      <w:r>
        <w:rPr>
          <w:spacing w:val="8"/>
        </w:rPr>
        <w:t> </w:t>
      </w:r>
      <w:r>
        <w:rPr/>
        <w:t>and</w:t>
      </w:r>
      <w:r>
        <w:rPr>
          <w:spacing w:val="9"/>
        </w:rPr>
        <w:t> </w:t>
      </w:r>
      <w:r>
        <w:rPr/>
        <w:t>next</w:t>
      </w:r>
      <w:r>
        <w:rPr>
          <w:spacing w:val="9"/>
        </w:rPr>
        <w:t> </w:t>
      </w:r>
      <w:r>
        <w:rPr/>
        <w:t>of</w:t>
      </w:r>
      <w:r>
        <w:rPr>
          <w:spacing w:val="9"/>
        </w:rPr>
        <w:t> </w:t>
      </w:r>
      <w:r>
        <w:rPr>
          <w:spacing w:val="-2"/>
        </w:rPr>
        <w:t>kin</w:t>
      </w:r>
      <w:r>
        <w:rPr>
          <w:spacing w:val="8"/>
        </w:rPr>
        <w:t> </w:t>
      </w:r>
      <w:r>
        <w:rPr/>
        <w:t>on</w:t>
      </w:r>
      <w:r>
        <w:rPr>
          <w:spacing w:val="9"/>
        </w:rPr>
        <w:t> </w:t>
      </w:r>
      <w:r>
        <w:rPr>
          <w:rFonts w:ascii="Lucida Sans" w:hAnsi="Lucida Sans"/>
          <w:b/>
          <w:spacing w:val="-3"/>
        </w:rPr>
        <w:t>intestacy</w:t>
      </w:r>
      <w:r>
        <w:rPr>
          <w:spacing w:val="-3"/>
        </w:rPr>
        <w:t>.</w:t>
      </w:r>
    </w:p>
    <w:p>
      <w:pPr>
        <w:pStyle w:val="BodyText"/>
        <w:spacing w:before="6"/>
        <w:rPr>
          <w:sz w:val="9"/>
        </w:rPr>
      </w:pPr>
    </w:p>
    <w:p>
      <w:pPr>
        <w:spacing w:after="0"/>
        <w:rPr>
          <w:sz w:val="9"/>
        </w:rPr>
        <w:sectPr>
          <w:type w:val="continuous"/>
          <w:pgSz w:w="11910" w:h="16840"/>
          <w:pgMar w:top="920" w:bottom="280" w:left="0" w:right="0"/>
        </w:sectPr>
      </w:pPr>
    </w:p>
    <w:p>
      <w:pPr>
        <w:pStyle w:val="BodyText"/>
        <w:spacing w:line="252" w:lineRule="auto" w:before="93"/>
        <w:ind w:left="1587"/>
        <w:rPr>
          <w:rFonts w:ascii="Lucida Sans"/>
          <w:b/>
        </w:rPr>
      </w:pPr>
      <w:r>
        <w:rPr>
          <w:rFonts w:ascii="Lucida Sans"/>
          <w:b/>
        </w:rPr>
        <w:t>Personal </w:t>
      </w:r>
      <w:r>
        <w:rPr>
          <w:rFonts w:ascii="Lucida Sans"/>
          <w:b/>
          <w:w w:val="90"/>
        </w:rPr>
        <w:t>representative</w:t>
      </w:r>
    </w:p>
    <w:p>
      <w:pPr>
        <w:pStyle w:val="BodyText"/>
        <w:spacing w:line="242" w:lineRule="auto" w:before="93"/>
        <w:ind w:left="798" w:right="1631"/>
        <w:jc w:val="both"/>
      </w:pPr>
      <w:r>
        <w:rPr/>
        <w:br w:type="column"/>
      </w:r>
      <w:r>
        <w:rPr/>
        <w:t>The </w:t>
      </w:r>
      <w:r>
        <w:rPr>
          <w:spacing w:val="-2"/>
        </w:rPr>
        <w:t>common </w:t>
      </w:r>
      <w:r>
        <w:rPr/>
        <w:t>term </w:t>
      </w:r>
      <w:r>
        <w:rPr>
          <w:spacing w:val="-3"/>
        </w:rPr>
        <w:t>that </w:t>
      </w:r>
      <w:r>
        <w:rPr/>
        <w:t>refers </w:t>
      </w:r>
      <w:r>
        <w:rPr>
          <w:spacing w:val="-3"/>
        </w:rPr>
        <w:t>to </w:t>
      </w:r>
      <w:r>
        <w:rPr/>
        <w:t>either an </w:t>
      </w:r>
      <w:r>
        <w:rPr>
          <w:rFonts w:ascii="Lucida Sans" w:hAnsi="Lucida Sans"/>
          <w:b/>
        </w:rPr>
        <w:t>executor </w:t>
      </w:r>
      <w:r>
        <w:rPr>
          <w:spacing w:val="-3"/>
        </w:rPr>
        <w:t>appointed </w:t>
      </w:r>
      <w:r>
        <w:rPr/>
        <w:t>by a </w:t>
      </w:r>
      <w:r>
        <w:rPr>
          <w:spacing w:val="-3"/>
        </w:rPr>
        <w:t>will, </w:t>
      </w:r>
      <w:r>
        <w:rPr/>
        <w:t>or an </w:t>
      </w:r>
      <w:r>
        <w:rPr>
          <w:rFonts w:ascii="Lucida Sans" w:hAnsi="Lucida Sans"/>
          <w:b/>
        </w:rPr>
        <w:t>administrator </w:t>
      </w:r>
      <w:r>
        <w:rPr>
          <w:spacing w:val="-3"/>
        </w:rPr>
        <w:t>appointed </w:t>
      </w:r>
      <w:r>
        <w:rPr/>
        <w:t>by the </w:t>
      </w:r>
      <w:r>
        <w:rPr>
          <w:spacing w:val="-3"/>
        </w:rPr>
        <w:t>Supreme Court, to administer </w:t>
      </w:r>
      <w:r>
        <w:rPr/>
        <w:t>the deceased </w:t>
      </w:r>
      <w:r>
        <w:rPr>
          <w:spacing w:val="-3"/>
        </w:rPr>
        <w:t>person’s</w:t>
      </w:r>
      <w:r>
        <w:rPr>
          <w:spacing w:val="17"/>
        </w:rPr>
        <w:t> </w:t>
      </w:r>
      <w:r>
        <w:rPr>
          <w:spacing w:val="-3"/>
        </w:rPr>
        <w:t>estate.</w:t>
      </w:r>
    </w:p>
    <w:p>
      <w:pPr>
        <w:spacing w:after="0" w:line="242" w:lineRule="auto"/>
        <w:jc w:val="both"/>
        <w:sectPr>
          <w:type w:val="continuous"/>
          <w:pgSz w:w="11910" w:h="16840"/>
          <w:pgMar w:top="920" w:bottom="280" w:left="0" w:right="0"/>
          <w:cols w:num="2" w:equalWidth="0">
            <w:col w:w="3017" w:space="40"/>
            <w:col w:w="8853"/>
          </w:cols>
        </w:sectPr>
      </w:pPr>
    </w:p>
    <w:p>
      <w:pPr>
        <w:pStyle w:val="BodyText"/>
        <w:spacing w:before="1"/>
        <w:rPr>
          <w:sz w:val="9"/>
        </w:rPr>
      </w:pPr>
    </w:p>
    <w:p>
      <w:pPr>
        <w:pStyle w:val="BodyText"/>
        <w:tabs>
          <w:tab w:pos="3855" w:val="left" w:leader="none"/>
        </w:tabs>
        <w:spacing w:before="93"/>
        <w:ind w:left="1587"/>
      </w:pPr>
      <w:r>
        <w:rPr>
          <w:rFonts w:ascii="Lucida Sans"/>
          <w:b/>
        </w:rPr>
        <w:t>Real</w:t>
      </w:r>
      <w:r>
        <w:rPr>
          <w:rFonts w:ascii="Lucida Sans"/>
          <w:b/>
          <w:spacing w:val="-44"/>
        </w:rPr>
        <w:t> </w:t>
      </w:r>
      <w:r>
        <w:rPr>
          <w:rFonts w:ascii="Lucida Sans"/>
          <w:b/>
        </w:rPr>
        <w:t>property</w:t>
        <w:tab/>
      </w:r>
      <w:r>
        <w:rPr/>
        <w:t>Land</w:t>
      </w:r>
      <w:r>
        <w:rPr>
          <w:spacing w:val="10"/>
        </w:rPr>
        <w:t> </w:t>
      </w:r>
      <w:r>
        <w:rPr/>
        <w:t>and</w:t>
      </w:r>
      <w:r>
        <w:rPr>
          <w:spacing w:val="9"/>
        </w:rPr>
        <w:t> </w:t>
      </w:r>
      <w:r>
        <w:rPr/>
        <w:t>interests</w:t>
      </w:r>
      <w:r>
        <w:rPr>
          <w:spacing w:val="10"/>
        </w:rPr>
        <w:t> </w:t>
      </w:r>
      <w:r>
        <w:rPr/>
        <w:t>in</w:t>
      </w:r>
      <w:r>
        <w:rPr>
          <w:spacing w:val="10"/>
        </w:rPr>
        <w:t> </w:t>
      </w:r>
      <w:r>
        <w:rPr>
          <w:spacing w:val="-3"/>
        </w:rPr>
        <w:t>land,</w:t>
      </w:r>
      <w:r>
        <w:rPr>
          <w:spacing w:val="9"/>
        </w:rPr>
        <w:t> </w:t>
      </w:r>
      <w:r>
        <w:rPr/>
        <w:t>otherwise</w:t>
      </w:r>
      <w:r>
        <w:rPr>
          <w:spacing w:val="10"/>
        </w:rPr>
        <w:t> </w:t>
      </w:r>
      <w:r>
        <w:rPr/>
        <w:t>known</w:t>
      </w:r>
      <w:r>
        <w:rPr>
          <w:spacing w:val="10"/>
        </w:rPr>
        <w:t> </w:t>
      </w:r>
      <w:r>
        <w:rPr/>
        <w:t>as</w:t>
      </w:r>
      <w:r>
        <w:rPr>
          <w:spacing w:val="9"/>
        </w:rPr>
        <w:t> </w:t>
      </w:r>
      <w:r>
        <w:rPr>
          <w:spacing w:val="-3"/>
        </w:rPr>
        <w:t>real</w:t>
      </w:r>
      <w:r>
        <w:rPr>
          <w:spacing w:val="10"/>
        </w:rPr>
        <w:t> </w:t>
      </w:r>
      <w:r>
        <w:rPr>
          <w:spacing w:val="-3"/>
        </w:rPr>
        <w:t>estate.</w:t>
      </w:r>
    </w:p>
    <w:p>
      <w:pPr>
        <w:pStyle w:val="BodyText"/>
        <w:tabs>
          <w:tab w:pos="3855" w:val="left" w:leader="none"/>
        </w:tabs>
        <w:spacing w:before="208"/>
        <w:ind w:left="3855" w:right="1930" w:hanging="2268"/>
      </w:pPr>
      <w:r>
        <w:rPr>
          <w:rFonts w:ascii="Lucida Sans"/>
          <w:b/>
          <w:w w:val="95"/>
        </w:rPr>
        <w:t>Registrar</w:t>
      </w:r>
      <w:r>
        <w:rPr>
          <w:rFonts w:ascii="Lucida Sans"/>
          <w:b/>
          <w:spacing w:val="-34"/>
          <w:w w:val="95"/>
        </w:rPr>
        <w:t> </w:t>
      </w:r>
      <w:r>
        <w:rPr>
          <w:rFonts w:ascii="Lucida Sans"/>
          <w:b/>
          <w:w w:val="95"/>
        </w:rPr>
        <w:t>of</w:t>
      </w:r>
      <w:r>
        <w:rPr>
          <w:rFonts w:ascii="Lucida Sans"/>
          <w:b/>
          <w:spacing w:val="-34"/>
          <w:w w:val="95"/>
        </w:rPr>
        <w:t> </w:t>
      </w:r>
      <w:r>
        <w:rPr>
          <w:rFonts w:ascii="Lucida Sans"/>
          <w:b/>
          <w:w w:val="95"/>
        </w:rPr>
        <w:t>Probates</w:t>
        <w:tab/>
      </w:r>
      <w:r>
        <w:rPr>
          <w:w w:val="105"/>
        </w:rPr>
        <w:t>An officer of the </w:t>
      </w:r>
      <w:r>
        <w:rPr>
          <w:spacing w:val="-3"/>
          <w:w w:val="105"/>
        </w:rPr>
        <w:t>Supreme Court appointed </w:t>
      </w:r>
      <w:r>
        <w:rPr>
          <w:w w:val="105"/>
        </w:rPr>
        <w:t>under the </w:t>
      </w:r>
      <w:r>
        <w:rPr>
          <w:i/>
          <w:w w:val="105"/>
        </w:rPr>
        <w:t>Supreme Court </w:t>
      </w:r>
      <w:r>
        <w:rPr>
          <w:i/>
          <w:w w:val="105"/>
        </w:rPr>
        <w:t>Act </w:t>
      </w:r>
      <w:r>
        <w:rPr>
          <w:i/>
          <w:spacing w:val="-4"/>
          <w:w w:val="105"/>
        </w:rPr>
        <w:t>1986 </w:t>
      </w:r>
      <w:r>
        <w:rPr>
          <w:w w:val="105"/>
        </w:rPr>
        <w:t>(Vic) </w:t>
      </w:r>
      <w:r>
        <w:rPr>
          <w:spacing w:val="-3"/>
          <w:w w:val="105"/>
        </w:rPr>
        <w:t>to exercise </w:t>
      </w:r>
      <w:r>
        <w:rPr>
          <w:w w:val="105"/>
        </w:rPr>
        <w:t>the power of the </w:t>
      </w:r>
      <w:r>
        <w:rPr>
          <w:spacing w:val="-3"/>
          <w:w w:val="105"/>
        </w:rPr>
        <w:t>Court </w:t>
      </w:r>
      <w:r>
        <w:rPr>
          <w:w w:val="105"/>
        </w:rPr>
        <w:t>in </w:t>
      </w:r>
      <w:r>
        <w:rPr>
          <w:spacing w:val="-3"/>
          <w:w w:val="105"/>
        </w:rPr>
        <w:t>making </w:t>
      </w:r>
      <w:r>
        <w:rPr>
          <w:rFonts w:ascii="Lucida Sans"/>
          <w:b/>
          <w:w w:val="105"/>
        </w:rPr>
        <w:t>grants of</w:t>
      </w:r>
      <w:r>
        <w:rPr>
          <w:rFonts w:ascii="Lucida Sans"/>
          <w:b/>
          <w:spacing w:val="-18"/>
          <w:w w:val="105"/>
        </w:rPr>
        <w:t> </w:t>
      </w:r>
      <w:r>
        <w:rPr>
          <w:rFonts w:ascii="Lucida Sans"/>
          <w:b/>
          <w:w w:val="105"/>
        </w:rPr>
        <w:t>representation</w:t>
      </w:r>
      <w:r>
        <w:rPr>
          <w:w w:val="105"/>
        </w:rPr>
        <w:t>.</w:t>
      </w:r>
    </w:p>
    <w:p>
      <w:pPr>
        <w:pStyle w:val="BodyText"/>
        <w:tabs>
          <w:tab w:pos="3855" w:val="left" w:leader="none"/>
        </w:tabs>
        <w:spacing w:line="242" w:lineRule="auto" w:before="208"/>
        <w:ind w:left="3855" w:right="2289" w:hanging="2268"/>
      </w:pPr>
      <w:r>
        <w:rPr>
          <w:rFonts w:ascii="Lucida Sans"/>
          <w:b/>
          <w:w w:val="95"/>
        </w:rPr>
        <w:t>Residuary</w:t>
      </w:r>
      <w:r>
        <w:rPr>
          <w:rFonts w:ascii="Lucida Sans"/>
          <w:b/>
          <w:spacing w:val="-31"/>
          <w:w w:val="95"/>
        </w:rPr>
        <w:t> </w:t>
      </w:r>
      <w:r>
        <w:rPr>
          <w:rFonts w:ascii="Lucida Sans"/>
          <w:b/>
          <w:w w:val="95"/>
        </w:rPr>
        <w:t>estate</w:t>
        <w:tab/>
      </w:r>
      <w:r>
        <w:rPr/>
        <w:t>The </w:t>
      </w:r>
      <w:r>
        <w:rPr>
          <w:spacing w:val="-3"/>
        </w:rPr>
        <w:t>remainder </w:t>
      </w:r>
      <w:r>
        <w:rPr/>
        <w:t>of the estate after debts and </w:t>
      </w:r>
      <w:r>
        <w:rPr>
          <w:spacing w:val="-3"/>
        </w:rPr>
        <w:t>liabilities are paid, </w:t>
      </w:r>
      <w:r>
        <w:rPr/>
        <w:t>and specific gifts and legacies </w:t>
      </w:r>
      <w:r>
        <w:rPr>
          <w:spacing w:val="-3"/>
        </w:rPr>
        <w:t>are</w:t>
      </w:r>
      <w:r>
        <w:rPr>
          <w:spacing w:val="5"/>
        </w:rPr>
        <w:t> </w:t>
      </w:r>
      <w:r>
        <w:rPr>
          <w:spacing w:val="-3"/>
        </w:rPr>
        <w:t>distributed.</w:t>
      </w:r>
    </w:p>
    <w:p>
      <w:pPr>
        <w:pStyle w:val="BodyText"/>
        <w:tabs>
          <w:tab w:pos="3855" w:val="left" w:leader="none"/>
        </w:tabs>
        <w:spacing w:line="260" w:lineRule="exact" w:before="207"/>
        <w:ind w:left="1587"/>
      </w:pPr>
      <w:r>
        <w:rPr>
          <w:rFonts w:ascii="Lucida Sans"/>
          <w:b/>
        </w:rPr>
        <w:t>Statutory</w:t>
      </w:r>
      <w:r>
        <w:rPr>
          <w:rFonts w:ascii="Lucida Sans"/>
          <w:b/>
          <w:spacing w:val="-40"/>
        </w:rPr>
        <w:t> </w:t>
      </w:r>
      <w:r>
        <w:rPr>
          <w:rFonts w:ascii="Lucida Sans"/>
          <w:b/>
        </w:rPr>
        <w:t>will</w:t>
        <w:tab/>
      </w:r>
      <w:r>
        <w:rPr/>
        <w:t>A</w:t>
      </w:r>
      <w:r>
        <w:rPr>
          <w:spacing w:val="11"/>
        </w:rPr>
        <w:t> </w:t>
      </w:r>
      <w:r>
        <w:rPr>
          <w:spacing w:val="-3"/>
        </w:rPr>
        <w:t>will</w:t>
      </w:r>
      <w:r>
        <w:rPr>
          <w:spacing w:val="10"/>
        </w:rPr>
        <w:t> </w:t>
      </w:r>
      <w:r>
        <w:rPr/>
        <w:t>authorised</w:t>
      </w:r>
      <w:r>
        <w:rPr>
          <w:spacing w:val="10"/>
        </w:rPr>
        <w:t> </w:t>
      </w:r>
      <w:r>
        <w:rPr/>
        <w:t>by</w:t>
      </w:r>
      <w:r>
        <w:rPr>
          <w:spacing w:val="10"/>
        </w:rPr>
        <w:t> </w:t>
      </w:r>
      <w:r>
        <w:rPr/>
        <w:t>the</w:t>
      </w:r>
      <w:r>
        <w:rPr>
          <w:spacing w:val="11"/>
        </w:rPr>
        <w:t> </w:t>
      </w:r>
      <w:r>
        <w:rPr/>
        <w:t>court</w:t>
      </w:r>
      <w:r>
        <w:rPr>
          <w:spacing w:val="10"/>
        </w:rPr>
        <w:t> </w:t>
      </w:r>
      <w:r>
        <w:rPr>
          <w:spacing w:val="-3"/>
        </w:rPr>
        <w:t>for</w:t>
      </w:r>
      <w:r>
        <w:rPr>
          <w:spacing w:val="10"/>
        </w:rPr>
        <w:t> </w:t>
      </w:r>
      <w:r>
        <w:rPr/>
        <w:t>a</w:t>
      </w:r>
      <w:r>
        <w:rPr>
          <w:spacing w:val="10"/>
        </w:rPr>
        <w:t> </w:t>
      </w:r>
      <w:r>
        <w:rPr/>
        <w:t>person</w:t>
      </w:r>
      <w:r>
        <w:rPr>
          <w:spacing w:val="11"/>
        </w:rPr>
        <w:t> </w:t>
      </w:r>
      <w:r>
        <w:rPr/>
        <w:t>who</w:t>
      </w:r>
      <w:r>
        <w:rPr>
          <w:spacing w:val="10"/>
        </w:rPr>
        <w:t> </w:t>
      </w:r>
      <w:r>
        <w:rPr/>
        <w:t>is</w:t>
      </w:r>
      <w:r>
        <w:rPr>
          <w:spacing w:val="10"/>
        </w:rPr>
        <w:t> </w:t>
      </w:r>
      <w:r>
        <w:rPr>
          <w:spacing w:val="-3"/>
        </w:rPr>
        <w:t>alive</w:t>
      </w:r>
      <w:r>
        <w:rPr>
          <w:spacing w:val="10"/>
        </w:rPr>
        <w:t> </w:t>
      </w:r>
      <w:r>
        <w:rPr/>
        <w:t>but</w:t>
      </w:r>
      <w:r>
        <w:rPr>
          <w:spacing w:val="11"/>
        </w:rPr>
        <w:t> </w:t>
      </w:r>
      <w:r>
        <w:rPr/>
        <w:t>lacks</w:t>
      </w:r>
      <w:r>
        <w:rPr>
          <w:spacing w:val="10"/>
        </w:rPr>
        <w:t> </w:t>
      </w:r>
      <w:r>
        <w:rPr/>
        <w:t>the</w:t>
      </w:r>
    </w:p>
    <w:p>
      <w:pPr>
        <w:pStyle w:val="BodyText"/>
        <w:spacing w:line="260" w:lineRule="exact"/>
        <w:ind w:left="3855"/>
      </w:pPr>
      <w:r>
        <w:rPr>
          <w:rFonts w:ascii="Lucida Sans"/>
          <w:b/>
        </w:rPr>
        <w:t>testamentary capacity </w:t>
      </w:r>
      <w:r>
        <w:rPr/>
        <w:t>required to make a valid will for themselves.</w:t>
      </w:r>
    </w:p>
    <w:p>
      <w:pPr>
        <w:pStyle w:val="BodyText"/>
        <w:tabs>
          <w:tab w:pos="3855" w:val="left" w:leader="none"/>
        </w:tabs>
        <w:spacing w:line="242" w:lineRule="auto" w:before="209"/>
        <w:ind w:left="3855" w:right="1826" w:hanging="2268"/>
      </w:pPr>
      <w:r>
        <w:rPr>
          <w:rFonts w:ascii="Lucida Sans"/>
          <w:b/>
          <w:w w:val="95"/>
        </w:rPr>
        <w:t>Survivorship</w:t>
        <w:tab/>
      </w:r>
      <w:r>
        <w:rPr/>
        <w:t>A </w:t>
      </w:r>
      <w:r>
        <w:rPr>
          <w:spacing w:val="-3"/>
        </w:rPr>
        <w:t>right </w:t>
      </w:r>
      <w:r>
        <w:rPr/>
        <w:t>in </w:t>
      </w:r>
      <w:r>
        <w:rPr>
          <w:spacing w:val="-3"/>
        </w:rPr>
        <w:t>relation to </w:t>
      </w:r>
      <w:r>
        <w:rPr/>
        <w:t>property held by two or more people as </w:t>
      </w:r>
      <w:r>
        <w:rPr>
          <w:spacing w:val="-3"/>
        </w:rPr>
        <w:t>joint  tenants. </w:t>
      </w:r>
      <w:r>
        <w:rPr/>
        <w:t>Where a co-owner (or </w:t>
      </w:r>
      <w:r>
        <w:rPr>
          <w:spacing w:val="-3"/>
        </w:rPr>
        <w:t>co-tenant) </w:t>
      </w:r>
      <w:r>
        <w:rPr/>
        <w:t>dies, their </w:t>
      </w:r>
      <w:r>
        <w:rPr>
          <w:spacing w:val="-3"/>
        </w:rPr>
        <w:t>share  </w:t>
      </w:r>
      <w:r>
        <w:rPr/>
        <w:t>in the property passes </w:t>
      </w:r>
      <w:r>
        <w:rPr>
          <w:spacing w:val="-3"/>
        </w:rPr>
        <w:t>to </w:t>
      </w:r>
      <w:r>
        <w:rPr/>
        <w:t>the surviving co-owner(s). It </w:t>
      </w:r>
      <w:r>
        <w:rPr>
          <w:spacing w:val="-3"/>
        </w:rPr>
        <w:t>cannot </w:t>
      </w:r>
      <w:r>
        <w:rPr/>
        <w:t>be given by </w:t>
      </w:r>
      <w:r>
        <w:rPr>
          <w:spacing w:val="-3"/>
        </w:rPr>
        <w:t>will. </w:t>
      </w:r>
      <w:r>
        <w:rPr/>
        <w:t>See also </w:t>
      </w:r>
      <w:r>
        <w:rPr>
          <w:rFonts w:ascii="Lucida Sans"/>
          <w:b/>
        </w:rPr>
        <w:t>joint</w:t>
      </w:r>
      <w:r>
        <w:rPr>
          <w:rFonts w:ascii="Lucida Sans"/>
          <w:b/>
          <w:spacing w:val="1"/>
        </w:rPr>
        <w:t> </w:t>
      </w:r>
      <w:r>
        <w:rPr>
          <w:rFonts w:ascii="Lucida Sans"/>
          <w:b/>
          <w:spacing w:val="-3"/>
        </w:rPr>
        <w:t>tenancy</w:t>
      </w:r>
      <w:r>
        <w:rPr>
          <w:spacing w:val="-3"/>
        </w:rPr>
        <w:t>.</w:t>
      </w:r>
    </w:p>
    <w:p>
      <w:pPr>
        <w:pStyle w:val="BodyText"/>
        <w:tabs>
          <w:tab w:pos="3855" w:val="left" w:leader="none"/>
        </w:tabs>
        <w:spacing w:before="205"/>
        <w:ind w:left="1587"/>
      </w:pPr>
      <w:r>
        <w:rPr>
          <w:rFonts w:ascii="Lucida Sans"/>
          <w:b/>
          <w:spacing w:val="-3"/>
          <w:w w:val="95"/>
        </w:rPr>
        <w:t>Tenancy</w:t>
      </w:r>
      <w:r>
        <w:rPr>
          <w:rFonts w:ascii="Lucida Sans"/>
          <w:b/>
          <w:spacing w:val="-27"/>
          <w:w w:val="95"/>
        </w:rPr>
        <w:t> </w:t>
      </w:r>
      <w:r>
        <w:rPr>
          <w:rFonts w:ascii="Lucida Sans"/>
          <w:b/>
          <w:w w:val="95"/>
        </w:rPr>
        <w:t>in</w:t>
      </w:r>
      <w:r>
        <w:rPr>
          <w:rFonts w:ascii="Lucida Sans"/>
          <w:b/>
          <w:spacing w:val="-26"/>
          <w:w w:val="95"/>
        </w:rPr>
        <w:t> </w:t>
      </w:r>
      <w:r>
        <w:rPr>
          <w:rFonts w:ascii="Lucida Sans"/>
          <w:b/>
          <w:w w:val="95"/>
        </w:rPr>
        <w:t>common</w:t>
        <w:tab/>
      </w:r>
      <w:r>
        <w:rPr>
          <w:w w:val="105"/>
        </w:rPr>
        <w:t>A type of co-ownership where </w:t>
      </w:r>
      <w:r>
        <w:rPr>
          <w:spacing w:val="-3"/>
          <w:w w:val="105"/>
        </w:rPr>
        <w:t>multiple </w:t>
      </w:r>
      <w:r>
        <w:rPr>
          <w:w w:val="105"/>
        </w:rPr>
        <w:t>parties own distinct</w:t>
      </w:r>
      <w:r>
        <w:rPr>
          <w:spacing w:val="22"/>
          <w:w w:val="105"/>
        </w:rPr>
        <w:t> </w:t>
      </w:r>
      <w:r>
        <w:rPr>
          <w:w w:val="105"/>
        </w:rPr>
        <w:t>interests</w:t>
      </w:r>
    </w:p>
    <w:p>
      <w:pPr>
        <w:pStyle w:val="BodyText"/>
        <w:spacing w:before="3"/>
        <w:ind w:left="3855" w:right="1619"/>
      </w:pPr>
      <w:r>
        <w:rPr/>
        <w:t>in the same piece of property. The share owned by a tenant in common forms part of their estate. See also </w:t>
      </w:r>
      <w:r>
        <w:rPr>
          <w:rFonts w:ascii="Lucida Sans"/>
          <w:b/>
        </w:rPr>
        <w:t>joint tenancy</w:t>
      </w:r>
      <w:r>
        <w:rPr/>
        <w:t>.</w:t>
      </w:r>
    </w:p>
    <w:p>
      <w:pPr>
        <w:pStyle w:val="BodyText"/>
        <w:spacing w:before="6"/>
        <w:rPr>
          <w:sz w:val="9"/>
        </w:rPr>
      </w:pPr>
    </w:p>
    <w:p>
      <w:pPr>
        <w:spacing w:after="0"/>
        <w:rPr>
          <w:sz w:val="9"/>
        </w:rPr>
        <w:sectPr>
          <w:type w:val="continuous"/>
          <w:pgSz w:w="11910" w:h="16840"/>
          <w:pgMar w:top="920" w:bottom="280" w:left="0" w:right="0"/>
        </w:sectPr>
      </w:pPr>
    </w:p>
    <w:p>
      <w:pPr>
        <w:pStyle w:val="BodyText"/>
        <w:spacing w:line="252" w:lineRule="auto" w:before="92"/>
        <w:ind w:left="1587" w:right="-11"/>
        <w:rPr>
          <w:rFonts w:ascii="Lucida Sans"/>
          <w:b/>
        </w:rPr>
      </w:pPr>
      <w:r>
        <w:rPr>
          <w:rFonts w:ascii="Lucida Sans"/>
          <w:b/>
          <w:w w:val="90"/>
        </w:rPr>
        <w:t>Testamentary </w:t>
      </w:r>
      <w:r>
        <w:rPr>
          <w:rFonts w:ascii="Lucida Sans"/>
          <w:b/>
        </w:rPr>
        <w:t>capacity</w:t>
      </w:r>
    </w:p>
    <w:p>
      <w:pPr>
        <w:pStyle w:val="BodyText"/>
        <w:spacing w:line="242" w:lineRule="auto" w:before="97"/>
        <w:ind w:left="882"/>
        <w:jc w:val="both"/>
      </w:pPr>
      <w:r>
        <w:rPr/>
        <w:br w:type="column"/>
      </w:r>
      <w:r>
        <w:rPr>
          <w:w w:val="105"/>
        </w:rPr>
        <w:t>The</w:t>
      </w:r>
      <w:r>
        <w:rPr>
          <w:spacing w:val="-8"/>
          <w:w w:val="105"/>
        </w:rPr>
        <w:t> </w:t>
      </w:r>
      <w:r>
        <w:rPr>
          <w:w w:val="105"/>
        </w:rPr>
        <w:t>mental</w:t>
      </w:r>
      <w:r>
        <w:rPr>
          <w:spacing w:val="-7"/>
          <w:w w:val="105"/>
        </w:rPr>
        <w:t> </w:t>
      </w:r>
      <w:r>
        <w:rPr>
          <w:w w:val="105"/>
        </w:rPr>
        <w:t>capacity</w:t>
      </w:r>
      <w:r>
        <w:rPr>
          <w:spacing w:val="-8"/>
          <w:w w:val="105"/>
        </w:rPr>
        <w:t> </w:t>
      </w:r>
      <w:r>
        <w:rPr>
          <w:spacing w:val="-3"/>
          <w:w w:val="105"/>
        </w:rPr>
        <w:t>required</w:t>
      </w:r>
      <w:r>
        <w:rPr>
          <w:spacing w:val="-7"/>
          <w:w w:val="105"/>
        </w:rPr>
        <w:t> </w:t>
      </w:r>
      <w:r>
        <w:rPr>
          <w:spacing w:val="-3"/>
          <w:w w:val="105"/>
        </w:rPr>
        <w:t>to</w:t>
      </w:r>
      <w:r>
        <w:rPr>
          <w:spacing w:val="-7"/>
          <w:w w:val="105"/>
        </w:rPr>
        <w:t> </w:t>
      </w:r>
      <w:r>
        <w:rPr>
          <w:spacing w:val="-4"/>
          <w:w w:val="105"/>
        </w:rPr>
        <w:t>make</w:t>
      </w:r>
      <w:r>
        <w:rPr>
          <w:spacing w:val="-8"/>
          <w:w w:val="105"/>
        </w:rPr>
        <w:t> </w:t>
      </w:r>
      <w:r>
        <w:rPr>
          <w:w w:val="105"/>
        </w:rPr>
        <w:t>a</w:t>
      </w:r>
      <w:r>
        <w:rPr>
          <w:spacing w:val="-7"/>
          <w:w w:val="105"/>
        </w:rPr>
        <w:t> </w:t>
      </w:r>
      <w:r>
        <w:rPr>
          <w:spacing w:val="-3"/>
          <w:w w:val="105"/>
        </w:rPr>
        <w:t>valid</w:t>
      </w:r>
      <w:r>
        <w:rPr>
          <w:spacing w:val="-7"/>
          <w:w w:val="105"/>
        </w:rPr>
        <w:t> </w:t>
      </w:r>
      <w:r>
        <w:rPr>
          <w:spacing w:val="-3"/>
          <w:w w:val="105"/>
        </w:rPr>
        <w:t>will.</w:t>
      </w:r>
      <w:r>
        <w:rPr>
          <w:spacing w:val="-8"/>
          <w:w w:val="105"/>
        </w:rPr>
        <w:t> </w:t>
      </w:r>
      <w:r>
        <w:rPr>
          <w:spacing w:val="-7"/>
          <w:w w:val="105"/>
        </w:rPr>
        <w:t>To </w:t>
      </w:r>
      <w:r>
        <w:rPr>
          <w:spacing w:val="-3"/>
          <w:w w:val="105"/>
        </w:rPr>
        <w:t>have</w:t>
      </w:r>
      <w:r>
        <w:rPr>
          <w:spacing w:val="-7"/>
          <w:w w:val="105"/>
        </w:rPr>
        <w:t> </w:t>
      </w:r>
      <w:r>
        <w:rPr>
          <w:w w:val="105"/>
        </w:rPr>
        <w:t>testamentary </w:t>
      </w:r>
      <w:r>
        <w:rPr>
          <w:spacing w:val="-3"/>
          <w:w w:val="105"/>
        </w:rPr>
        <w:t>capacity,</w:t>
      </w:r>
      <w:r>
        <w:rPr>
          <w:spacing w:val="-5"/>
          <w:w w:val="105"/>
        </w:rPr>
        <w:t> </w:t>
      </w:r>
      <w:r>
        <w:rPr>
          <w:w w:val="105"/>
        </w:rPr>
        <w:t>a</w:t>
      </w:r>
      <w:r>
        <w:rPr>
          <w:spacing w:val="-5"/>
          <w:w w:val="105"/>
        </w:rPr>
        <w:t> </w:t>
      </w:r>
      <w:r>
        <w:rPr>
          <w:w w:val="105"/>
        </w:rPr>
        <w:t>person</w:t>
      </w:r>
      <w:r>
        <w:rPr>
          <w:spacing w:val="-5"/>
          <w:w w:val="105"/>
        </w:rPr>
        <w:t> </w:t>
      </w:r>
      <w:r>
        <w:rPr>
          <w:w w:val="105"/>
        </w:rPr>
        <w:t>must</w:t>
      </w:r>
      <w:r>
        <w:rPr>
          <w:spacing w:val="-5"/>
          <w:w w:val="105"/>
        </w:rPr>
        <w:t> </w:t>
      </w:r>
      <w:r>
        <w:rPr>
          <w:w w:val="105"/>
        </w:rPr>
        <w:t>be</w:t>
      </w:r>
      <w:r>
        <w:rPr>
          <w:spacing w:val="-5"/>
          <w:w w:val="105"/>
        </w:rPr>
        <w:t> </w:t>
      </w:r>
      <w:r>
        <w:rPr>
          <w:w w:val="105"/>
        </w:rPr>
        <w:t>of</w:t>
      </w:r>
      <w:r>
        <w:rPr>
          <w:spacing w:val="-4"/>
          <w:w w:val="105"/>
        </w:rPr>
        <w:t> </w:t>
      </w:r>
      <w:r>
        <w:rPr>
          <w:w w:val="105"/>
        </w:rPr>
        <w:t>sound</w:t>
      </w:r>
      <w:r>
        <w:rPr>
          <w:spacing w:val="-5"/>
          <w:w w:val="105"/>
        </w:rPr>
        <w:t> </w:t>
      </w:r>
      <w:r>
        <w:rPr>
          <w:spacing w:val="-3"/>
          <w:w w:val="105"/>
        </w:rPr>
        <w:t>mind,</w:t>
      </w:r>
      <w:r>
        <w:rPr>
          <w:spacing w:val="-5"/>
          <w:w w:val="105"/>
        </w:rPr>
        <w:t> </w:t>
      </w:r>
      <w:r>
        <w:rPr>
          <w:w w:val="105"/>
        </w:rPr>
        <w:t>memory</w:t>
      </w:r>
      <w:r>
        <w:rPr>
          <w:spacing w:val="-5"/>
          <w:w w:val="105"/>
        </w:rPr>
        <w:t> </w:t>
      </w:r>
      <w:r>
        <w:rPr>
          <w:w w:val="105"/>
        </w:rPr>
        <w:t>and</w:t>
      </w:r>
      <w:r>
        <w:rPr>
          <w:spacing w:val="-5"/>
          <w:w w:val="105"/>
        </w:rPr>
        <w:t> </w:t>
      </w:r>
      <w:r>
        <w:rPr>
          <w:w w:val="105"/>
        </w:rPr>
        <w:t>understanding, and must understand the </w:t>
      </w:r>
      <w:r>
        <w:rPr>
          <w:spacing w:val="-3"/>
          <w:w w:val="105"/>
        </w:rPr>
        <w:t>nature </w:t>
      </w:r>
      <w:r>
        <w:rPr>
          <w:w w:val="105"/>
        </w:rPr>
        <w:t>and effect of </w:t>
      </w:r>
      <w:r>
        <w:rPr>
          <w:spacing w:val="-3"/>
          <w:w w:val="105"/>
        </w:rPr>
        <w:t>making </w:t>
      </w:r>
      <w:r>
        <w:rPr>
          <w:w w:val="105"/>
        </w:rPr>
        <w:t>a</w:t>
      </w:r>
      <w:r>
        <w:rPr>
          <w:spacing w:val="34"/>
          <w:w w:val="105"/>
        </w:rPr>
        <w:t> </w:t>
      </w:r>
      <w:r>
        <w:rPr>
          <w:spacing w:val="-3"/>
          <w:w w:val="105"/>
        </w:rPr>
        <w:t>will.</w:t>
      </w:r>
    </w:p>
    <w:p>
      <w:pPr>
        <w:pStyle w:val="BodyText"/>
        <w:rPr>
          <w:sz w:val="28"/>
        </w:rPr>
      </w:pPr>
      <w:r>
        <w:rPr/>
        <w:br w:type="column"/>
      </w:r>
      <w:r>
        <w:rPr>
          <w:sz w:val="28"/>
        </w:rPr>
      </w:r>
    </w:p>
    <w:p>
      <w:pPr>
        <w:pStyle w:val="BodyText"/>
        <w:spacing w:before="4"/>
        <w:rPr>
          <w:sz w:val="27"/>
        </w:rPr>
      </w:pPr>
    </w:p>
    <w:p>
      <w:pPr>
        <w:spacing w:before="0"/>
        <w:ind w:left="703" w:right="611" w:firstLine="0"/>
        <w:jc w:val="center"/>
        <w:rPr>
          <w:b/>
          <w:sz w:val="24"/>
        </w:rPr>
      </w:pPr>
      <w:r>
        <w:rPr>
          <w:b/>
          <w:color w:val="EC5A4F"/>
          <w:w w:val="115"/>
          <w:sz w:val="24"/>
        </w:rPr>
        <w:t>xiii</w:t>
      </w:r>
    </w:p>
    <w:p>
      <w:pPr>
        <w:spacing w:after="0"/>
        <w:jc w:val="center"/>
        <w:rPr>
          <w:sz w:val="24"/>
        </w:rPr>
        <w:sectPr>
          <w:type w:val="continuous"/>
          <w:pgSz w:w="11910" w:h="16840"/>
          <w:pgMar w:top="920" w:bottom="280" w:left="0" w:right="0"/>
          <w:cols w:num="3" w:equalWidth="0">
            <w:col w:w="2934" w:space="40"/>
            <w:col w:w="7211" w:space="39"/>
            <w:col w:w="1686"/>
          </w:cols>
        </w:sectPr>
      </w:pPr>
    </w:p>
    <w:p>
      <w:pPr>
        <w:pStyle w:val="BodyText"/>
        <w:spacing w:before="10"/>
        <w:rPr>
          <w:b/>
          <w:sz w:val="18"/>
        </w:rPr>
      </w:pPr>
    </w:p>
    <w:p>
      <w:pPr>
        <w:spacing w:before="98"/>
        <w:ind w:left="566" w:right="0" w:firstLine="0"/>
        <w:jc w:val="left"/>
        <w:rPr>
          <w:b/>
          <w:sz w:val="44"/>
        </w:rPr>
      </w:pPr>
      <w:bookmarkStart w:name="Executive summary" w:id="5"/>
      <w:bookmarkEnd w:id="5"/>
      <w:r>
        <w:rPr/>
      </w:r>
      <w:r>
        <w:rPr>
          <w:b/>
          <w:color w:val="EC5A4F"/>
          <w:w w:val="110"/>
          <w:sz w:val="44"/>
        </w:rPr>
        <w:t>Executive summary</w:t>
      </w:r>
    </w:p>
    <w:p>
      <w:pPr>
        <w:pStyle w:val="BodyText"/>
        <w:rPr>
          <w:b/>
          <w:sz w:val="52"/>
        </w:rPr>
      </w:pPr>
    </w:p>
    <w:p>
      <w:pPr>
        <w:pStyle w:val="BodyText"/>
        <w:rPr>
          <w:b/>
          <w:sz w:val="52"/>
        </w:rPr>
      </w:pPr>
    </w:p>
    <w:p>
      <w:pPr>
        <w:pStyle w:val="BodyText"/>
        <w:rPr>
          <w:b/>
          <w:sz w:val="52"/>
        </w:rPr>
      </w:pPr>
    </w:p>
    <w:p>
      <w:pPr>
        <w:pStyle w:val="BodyText"/>
        <w:rPr>
          <w:b/>
          <w:sz w:val="52"/>
        </w:rPr>
      </w:pPr>
    </w:p>
    <w:p>
      <w:pPr>
        <w:pStyle w:val="BodyText"/>
        <w:spacing w:before="9"/>
        <w:rPr>
          <w:b/>
          <w:sz w:val="47"/>
        </w:rPr>
      </w:pPr>
    </w:p>
    <w:p>
      <w:pPr>
        <w:spacing w:before="0"/>
        <w:ind w:left="1587" w:right="0" w:firstLine="0"/>
        <w:jc w:val="left"/>
        <w:rPr>
          <w:b/>
          <w:sz w:val="28"/>
        </w:rPr>
      </w:pPr>
      <w:r>
        <w:rPr>
          <w:b/>
          <w:color w:val="EC5A4F"/>
          <w:w w:val="115"/>
          <w:sz w:val="28"/>
        </w:rPr>
        <w:t>Need for reform</w:t>
      </w:r>
    </w:p>
    <w:p>
      <w:pPr>
        <w:pStyle w:val="ListParagraph"/>
        <w:numPr>
          <w:ilvl w:val="0"/>
          <w:numId w:val="4"/>
        </w:numPr>
        <w:tabs>
          <w:tab w:pos="1927" w:val="left" w:leader="none"/>
          <w:tab w:pos="1928" w:val="left" w:leader="none"/>
        </w:tabs>
        <w:spacing w:line="242" w:lineRule="auto" w:before="155" w:after="0"/>
        <w:ind w:left="1927" w:right="1859" w:hanging="340"/>
        <w:jc w:val="left"/>
        <w:rPr>
          <w:sz w:val="21"/>
        </w:rPr>
      </w:pPr>
      <w:r>
        <w:rPr>
          <w:w w:val="105"/>
          <w:sz w:val="21"/>
        </w:rPr>
        <w:t>This</w:t>
      </w:r>
      <w:r>
        <w:rPr>
          <w:spacing w:val="-7"/>
          <w:w w:val="105"/>
          <w:sz w:val="21"/>
        </w:rPr>
        <w:t> </w:t>
      </w:r>
      <w:r>
        <w:rPr>
          <w:w w:val="105"/>
          <w:sz w:val="21"/>
        </w:rPr>
        <w:t>report</w:t>
      </w:r>
      <w:r>
        <w:rPr>
          <w:spacing w:val="-6"/>
          <w:w w:val="105"/>
          <w:sz w:val="21"/>
        </w:rPr>
        <w:t> </w:t>
      </w:r>
      <w:r>
        <w:rPr>
          <w:spacing w:val="-3"/>
          <w:w w:val="105"/>
          <w:sz w:val="21"/>
        </w:rPr>
        <w:t>contains</w:t>
      </w:r>
      <w:r>
        <w:rPr>
          <w:spacing w:val="-6"/>
          <w:w w:val="105"/>
          <w:sz w:val="21"/>
        </w:rPr>
        <w:t> </w:t>
      </w:r>
      <w:r>
        <w:rPr>
          <w:spacing w:val="-3"/>
          <w:w w:val="105"/>
          <w:sz w:val="21"/>
        </w:rPr>
        <w:t>78</w:t>
      </w:r>
      <w:r>
        <w:rPr>
          <w:spacing w:val="-6"/>
          <w:w w:val="105"/>
          <w:sz w:val="21"/>
        </w:rPr>
        <w:t> </w:t>
      </w:r>
      <w:r>
        <w:rPr>
          <w:spacing w:val="-3"/>
          <w:w w:val="105"/>
          <w:sz w:val="21"/>
        </w:rPr>
        <w:t>recommendations</w:t>
      </w:r>
      <w:r>
        <w:rPr>
          <w:spacing w:val="-6"/>
          <w:w w:val="105"/>
          <w:sz w:val="21"/>
        </w:rPr>
        <w:t> </w:t>
      </w:r>
      <w:r>
        <w:rPr>
          <w:spacing w:val="-3"/>
          <w:w w:val="105"/>
          <w:sz w:val="21"/>
        </w:rPr>
        <w:t>to</w:t>
      </w:r>
      <w:r>
        <w:rPr>
          <w:spacing w:val="-6"/>
          <w:w w:val="105"/>
          <w:sz w:val="21"/>
        </w:rPr>
        <w:t> </w:t>
      </w:r>
      <w:r>
        <w:rPr>
          <w:spacing w:val="-3"/>
          <w:w w:val="105"/>
          <w:sz w:val="21"/>
        </w:rPr>
        <w:t>reform</w:t>
      </w:r>
      <w:r>
        <w:rPr>
          <w:spacing w:val="-6"/>
          <w:w w:val="105"/>
          <w:sz w:val="21"/>
        </w:rPr>
        <w:t> </w:t>
      </w:r>
      <w:r>
        <w:rPr>
          <w:w w:val="105"/>
          <w:sz w:val="21"/>
        </w:rPr>
        <w:t>the</w:t>
      </w:r>
      <w:r>
        <w:rPr>
          <w:spacing w:val="-7"/>
          <w:w w:val="105"/>
          <w:sz w:val="21"/>
        </w:rPr>
        <w:t> </w:t>
      </w:r>
      <w:r>
        <w:rPr>
          <w:w w:val="105"/>
          <w:sz w:val="21"/>
        </w:rPr>
        <w:t>law</w:t>
      </w:r>
      <w:r>
        <w:rPr>
          <w:spacing w:val="-6"/>
          <w:w w:val="105"/>
          <w:sz w:val="21"/>
        </w:rPr>
        <w:t> </w:t>
      </w:r>
      <w:r>
        <w:rPr>
          <w:w w:val="105"/>
          <w:sz w:val="21"/>
        </w:rPr>
        <w:t>and</w:t>
      </w:r>
      <w:r>
        <w:rPr>
          <w:spacing w:val="-6"/>
          <w:w w:val="105"/>
          <w:sz w:val="21"/>
        </w:rPr>
        <w:t> </w:t>
      </w:r>
      <w:r>
        <w:rPr>
          <w:spacing w:val="-3"/>
          <w:w w:val="105"/>
          <w:sz w:val="21"/>
        </w:rPr>
        <w:t>related</w:t>
      </w:r>
      <w:r>
        <w:rPr>
          <w:spacing w:val="-6"/>
          <w:w w:val="105"/>
          <w:sz w:val="21"/>
        </w:rPr>
        <w:t> </w:t>
      </w:r>
      <w:r>
        <w:rPr>
          <w:w w:val="105"/>
          <w:sz w:val="21"/>
        </w:rPr>
        <w:t>practices</w:t>
      </w:r>
      <w:r>
        <w:rPr>
          <w:spacing w:val="-6"/>
          <w:w w:val="105"/>
          <w:sz w:val="21"/>
        </w:rPr>
        <w:t> </w:t>
      </w:r>
      <w:r>
        <w:rPr>
          <w:spacing w:val="-3"/>
          <w:w w:val="105"/>
          <w:sz w:val="21"/>
        </w:rPr>
        <w:t>that</w:t>
      </w:r>
      <w:r>
        <w:rPr>
          <w:spacing w:val="-6"/>
          <w:w w:val="105"/>
          <w:sz w:val="21"/>
        </w:rPr>
        <w:t> </w:t>
      </w:r>
      <w:r>
        <w:rPr>
          <w:w w:val="105"/>
          <w:sz w:val="21"/>
        </w:rPr>
        <w:t>affect what happens </w:t>
      </w:r>
      <w:r>
        <w:rPr>
          <w:spacing w:val="-3"/>
          <w:w w:val="105"/>
          <w:sz w:val="21"/>
        </w:rPr>
        <w:t>to </w:t>
      </w:r>
      <w:r>
        <w:rPr>
          <w:w w:val="105"/>
          <w:sz w:val="21"/>
        </w:rPr>
        <w:t>the assets of Victorians after they </w:t>
      </w:r>
      <w:r>
        <w:rPr>
          <w:spacing w:val="-3"/>
          <w:w w:val="105"/>
          <w:sz w:val="21"/>
        </w:rPr>
        <w:t>die. </w:t>
      </w:r>
      <w:r>
        <w:rPr>
          <w:w w:val="105"/>
          <w:sz w:val="21"/>
        </w:rPr>
        <w:t>The need </w:t>
      </w:r>
      <w:r>
        <w:rPr>
          <w:spacing w:val="-3"/>
          <w:w w:val="105"/>
          <w:sz w:val="21"/>
        </w:rPr>
        <w:t>for reform </w:t>
      </w:r>
      <w:r>
        <w:rPr>
          <w:spacing w:val="-2"/>
          <w:w w:val="105"/>
          <w:sz w:val="21"/>
        </w:rPr>
        <w:t>has </w:t>
      </w:r>
      <w:r>
        <w:rPr>
          <w:w w:val="105"/>
          <w:sz w:val="21"/>
        </w:rPr>
        <w:t>long been </w:t>
      </w:r>
      <w:r>
        <w:rPr>
          <w:spacing w:val="-3"/>
          <w:w w:val="105"/>
          <w:sz w:val="21"/>
        </w:rPr>
        <w:t>recognised. </w:t>
      </w:r>
      <w:r>
        <w:rPr>
          <w:w w:val="105"/>
          <w:sz w:val="21"/>
        </w:rPr>
        <w:t>More </w:t>
      </w:r>
      <w:r>
        <w:rPr>
          <w:spacing w:val="-3"/>
          <w:w w:val="105"/>
          <w:sz w:val="21"/>
        </w:rPr>
        <w:t>than 20 </w:t>
      </w:r>
      <w:r>
        <w:rPr>
          <w:w w:val="105"/>
          <w:sz w:val="21"/>
        </w:rPr>
        <w:t>years </w:t>
      </w:r>
      <w:r>
        <w:rPr>
          <w:spacing w:val="-3"/>
          <w:w w:val="105"/>
          <w:sz w:val="21"/>
        </w:rPr>
        <w:t>ago, </w:t>
      </w:r>
      <w:r>
        <w:rPr>
          <w:w w:val="105"/>
          <w:sz w:val="21"/>
        </w:rPr>
        <w:t>the </w:t>
      </w:r>
      <w:r>
        <w:rPr>
          <w:spacing w:val="-3"/>
          <w:w w:val="105"/>
          <w:sz w:val="21"/>
        </w:rPr>
        <w:t>Standing Committee </w:t>
      </w:r>
      <w:r>
        <w:rPr>
          <w:w w:val="105"/>
          <w:sz w:val="21"/>
        </w:rPr>
        <w:t>of Attorneys-General </w:t>
      </w:r>
      <w:r>
        <w:rPr>
          <w:spacing w:val="-3"/>
          <w:w w:val="105"/>
          <w:sz w:val="21"/>
        </w:rPr>
        <w:t>initiated </w:t>
      </w:r>
      <w:r>
        <w:rPr>
          <w:w w:val="105"/>
          <w:sz w:val="21"/>
        </w:rPr>
        <w:t>a</w:t>
      </w:r>
      <w:r>
        <w:rPr>
          <w:spacing w:val="-6"/>
          <w:w w:val="105"/>
          <w:sz w:val="21"/>
        </w:rPr>
        <w:t> </w:t>
      </w:r>
      <w:r>
        <w:rPr>
          <w:w w:val="105"/>
          <w:sz w:val="21"/>
        </w:rPr>
        <w:t>project</w:t>
      </w:r>
      <w:r>
        <w:rPr>
          <w:spacing w:val="-5"/>
          <w:w w:val="105"/>
          <w:sz w:val="21"/>
        </w:rPr>
        <w:t> </w:t>
      </w:r>
      <w:r>
        <w:rPr>
          <w:spacing w:val="-3"/>
          <w:w w:val="105"/>
          <w:sz w:val="21"/>
        </w:rPr>
        <w:t>to</w:t>
      </w:r>
      <w:r>
        <w:rPr>
          <w:spacing w:val="-5"/>
          <w:w w:val="105"/>
          <w:sz w:val="21"/>
        </w:rPr>
        <w:t> </w:t>
      </w:r>
      <w:r>
        <w:rPr>
          <w:w w:val="105"/>
          <w:sz w:val="21"/>
        </w:rPr>
        <w:t>develop</w:t>
      </w:r>
      <w:r>
        <w:rPr>
          <w:spacing w:val="-5"/>
          <w:w w:val="105"/>
          <w:sz w:val="21"/>
        </w:rPr>
        <w:t> </w:t>
      </w:r>
      <w:r>
        <w:rPr>
          <w:spacing w:val="-3"/>
          <w:w w:val="105"/>
          <w:sz w:val="21"/>
        </w:rPr>
        <w:t>uniform</w:t>
      </w:r>
      <w:r>
        <w:rPr>
          <w:spacing w:val="-5"/>
          <w:w w:val="105"/>
          <w:sz w:val="21"/>
        </w:rPr>
        <w:t> </w:t>
      </w:r>
      <w:r>
        <w:rPr>
          <w:spacing w:val="-3"/>
          <w:w w:val="105"/>
          <w:sz w:val="21"/>
        </w:rPr>
        <w:t>succession</w:t>
      </w:r>
      <w:r>
        <w:rPr>
          <w:spacing w:val="-6"/>
          <w:w w:val="105"/>
          <w:sz w:val="21"/>
        </w:rPr>
        <w:t> </w:t>
      </w:r>
      <w:r>
        <w:rPr>
          <w:w w:val="105"/>
          <w:sz w:val="21"/>
        </w:rPr>
        <w:t>law</w:t>
      </w:r>
      <w:r>
        <w:rPr>
          <w:spacing w:val="-5"/>
          <w:w w:val="105"/>
          <w:sz w:val="21"/>
        </w:rPr>
        <w:t> </w:t>
      </w:r>
      <w:r>
        <w:rPr>
          <w:w w:val="105"/>
          <w:sz w:val="21"/>
        </w:rPr>
        <w:t>and</w:t>
      </w:r>
      <w:r>
        <w:rPr>
          <w:spacing w:val="-5"/>
          <w:w w:val="105"/>
          <w:sz w:val="21"/>
        </w:rPr>
        <w:t> </w:t>
      </w:r>
      <w:r>
        <w:rPr>
          <w:w w:val="105"/>
          <w:sz w:val="21"/>
        </w:rPr>
        <w:t>practice</w:t>
      </w:r>
      <w:r>
        <w:rPr>
          <w:spacing w:val="-5"/>
          <w:w w:val="105"/>
          <w:sz w:val="21"/>
        </w:rPr>
        <w:t> </w:t>
      </w:r>
      <w:r>
        <w:rPr>
          <w:w w:val="105"/>
          <w:sz w:val="21"/>
        </w:rPr>
        <w:t>across</w:t>
      </w:r>
      <w:r>
        <w:rPr>
          <w:spacing w:val="-5"/>
          <w:w w:val="105"/>
          <w:sz w:val="21"/>
        </w:rPr>
        <w:t> </w:t>
      </w:r>
      <w:r>
        <w:rPr>
          <w:spacing w:val="-3"/>
          <w:w w:val="105"/>
          <w:sz w:val="21"/>
        </w:rPr>
        <w:t>Australia.</w:t>
      </w:r>
      <w:r>
        <w:rPr>
          <w:spacing w:val="-6"/>
          <w:w w:val="105"/>
          <w:sz w:val="21"/>
        </w:rPr>
        <w:t> </w:t>
      </w:r>
      <w:r>
        <w:rPr>
          <w:w w:val="105"/>
          <w:sz w:val="21"/>
        </w:rPr>
        <w:t>The</w:t>
      </w:r>
      <w:r>
        <w:rPr>
          <w:spacing w:val="-5"/>
          <w:w w:val="105"/>
          <w:sz w:val="21"/>
        </w:rPr>
        <w:t> </w:t>
      </w:r>
      <w:r>
        <w:rPr>
          <w:w w:val="105"/>
          <w:sz w:val="21"/>
        </w:rPr>
        <w:t>project</w:t>
      </w:r>
      <w:r>
        <w:rPr>
          <w:spacing w:val="-5"/>
          <w:w w:val="105"/>
          <w:sz w:val="21"/>
        </w:rPr>
        <w:t> </w:t>
      </w:r>
      <w:r>
        <w:rPr>
          <w:w w:val="105"/>
          <w:sz w:val="21"/>
        </w:rPr>
        <w:t>was</w:t>
      </w:r>
    </w:p>
    <w:p>
      <w:pPr>
        <w:pStyle w:val="BodyText"/>
        <w:spacing w:line="242" w:lineRule="auto" w:before="4"/>
        <w:ind w:left="1927" w:right="1711"/>
      </w:pPr>
      <w:r>
        <w:rPr>
          <w:w w:val="105"/>
        </w:rPr>
        <w:t>led by a </w:t>
      </w:r>
      <w:r>
        <w:rPr>
          <w:spacing w:val="-3"/>
          <w:w w:val="105"/>
        </w:rPr>
        <w:t>National Committee for Uniform Succession </w:t>
      </w:r>
      <w:r>
        <w:rPr>
          <w:w w:val="105"/>
        </w:rPr>
        <w:t>Laws. By 2009, the project </w:t>
      </w:r>
      <w:r>
        <w:rPr>
          <w:spacing w:val="-2"/>
          <w:w w:val="105"/>
        </w:rPr>
        <w:t>had </w:t>
      </w:r>
      <w:r>
        <w:rPr>
          <w:spacing w:val="-3"/>
          <w:w w:val="105"/>
        </w:rPr>
        <w:t>produced </w:t>
      </w:r>
      <w:r>
        <w:rPr>
          <w:w w:val="105"/>
        </w:rPr>
        <w:t>a series of reports and model </w:t>
      </w:r>
      <w:r>
        <w:rPr>
          <w:spacing w:val="-3"/>
          <w:w w:val="105"/>
        </w:rPr>
        <w:t>legislation.</w:t>
      </w:r>
    </w:p>
    <w:p>
      <w:pPr>
        <w:pStyle w:val="ListParagraph"/>
        <w:numPr>
          <w:ilvl w:val="0"/>
          <w:numId w:val="4"/>
        </w:numPr>
        <w:tabs>
          <w:tab w:pos="1927" w:val="left" w:leader="none"/>
          <w:tab w:pos="1928" w:val="left" w:leader="none"/>
        </w:tabs>
        <w:spacing w:line="242" w:lineRule="auto" w:before="123" w:after="0"/>
        <w:ind w:left="1927" w:right="1770" w:hanging="340"/>
        <w:jc w:val="left"/>
        <w:rPr>
          <w:sz w:val="21"/>
        </w:rPr>
      </w:pPr>
      <w:r>
        <w:rPr>
          <w:spacing w:val="-3"/>
          <w:w w:val="105"/>
          <w:sz w:val="21"/>
        </w:rPr>
        <w:t>Victoria’s legislation </w:t>
      </w:r>
      <w:r>
        <w:rPr>
          <w:w w:val="105"/>
          <w:sz w:val="21"/>
        </w:rPr>
        <w:t>on </w:t>
      </w:r>
      <w:r>
        <w:rPr>
          <w:spacing w:val="-3"/>
          <w:w w:val="105"/>
          <w:sz w:val="21"/>
        </w:rPr>
        <w:t>wills </w:t>
      </w:r>
      <w:r>
        <w:rPr>
          <w:w w:val="105"/>
          <w:sz w:val="21"/>
        </w:rPr>
        <w:t>was reviewed shortly </w:t>
      </w:r>
      <w:r>
        <w:rPr>
          <w:spacing w:val="-3"/>
          <w:w w:val="105"/>
          <w:sz w:val="21"/>
        </w:rPr>
        <w:t>before </w:t>
      </w:r>
      <w:r>
        <w:rPr>
          <w:w w:val="105"/>
          <w:sz w:val="21"/>
        </w:rPr>
        <w:t>the </w:t>
      </w:r>
      <w:r>
        <w:rPr>
          <w:spacing w:val="-3"/>
          <w:w w:val="105"/>
          <w:sz w:val="21"/>
        </w:rPr>
        <w:t>national </w:t>
      </w:r>
      <w:r>
        <w:rPr>
          <w:w w:val="105"/>
          <w:sz w:val="21"/>
        </w:rPr>
        <w:t>project began and the </w:t>
      </w:r>
      <w:r>
        <w:rPr>
          <w:i/>
          <w:w w:val="105"/>
          <w:sz w:val="21"/>
        </w:rPr>
        <w:t>Wills Act </w:t>
      </w:r>
      <w:r>
        <w:rPr>
          <w:i/>
          <w:spacing w:val="-8"/>
          <w:w w:val="105"/>
          <w:sz w:val="21"/>
        </w:rPr>
        <w:t>1997 </w:t>
      </w:r>
      <w:r>
        <w:rPr>
          <w:w w:val="105"/>
          <w:sz w:val="21"/>
        </w:rPr>
        <w:t>(Vic) closely </w:t>
      </w:r>
      <w:r>
        <w:rPr>
          <w:spacing w:val="-3"/>
          <w:w w:val="105"/>
          <w:sz w:val="21"/>
        </w:rPr>
        <w:t>aligns </w:t>
      </w:r>
      <w:r>
        <w:rPr>
          <w:w w:val="105"/>
          <w:sz w:val="21"/>
        </w:rPr>
        <w:t>with the </w:t>
      </w:r>
      <w:r>
        <w:rPr>
          <w:spacing w:val="-3"/>
          <w:w w:val="105"/>
          <w:sz w:val="21"/>
        </w:rPr>
        <w:t>national </w:t>
      </w:r>
      <w:r>
        <w:rPr>
          <w:w w:val="105"/>
          <w:sz w:val="21"/>
        </w:rPr>
        <w:t>model. The </w:t>
      </w:r>
      <w:r>
        <w:rPr>
          <w:i/>
          <w:spacing w:val="-3"/>
          <w:w w:val="105"/>
          <w:sz w:val="21"/>
        </w:rPr>
        <w:t>Administration </w:t>
      </w:r>
      <w:r>
        <w:rPr>
          <w:i/>
          <w:w w:val="105"/>
          <w:sz w:val="21"/>
        </w:rPr>
        <w:t>and Probate </w:t>
      </w:r>
      <w:r>
        <w:rPr>
          <w:i/>
          <w:w w:val="105"/>
          <w:sz w:val="21"/>
        </w:rPr>
        <w:t>Act</w:t>
      </w:r>
      <w:r>
        <w:rPr>
          <w:i/>
          <w:spacing w:val="-5"/>
          <w:w w:val="105"/>
          <w:sz w:val="21"/>
        </w:rPr>
        <w:t> </w:t>
      </w:r>
      <w:r>
        <w:rPr>
          <w:i/>
          <w:spacing w:val="-6"/>
          <w:w w:val="105"/>
          <w:sz w:val="21"/>
        </w:rPr>
        <w:t>1958</w:t>
      </w:r>
      <w:r>
        <w:rPr>
          <w:i/>
          <w:spacing w:val="-5"/>
          <w:w w:val="105"/>
          <w:sz w:val="21"/>
        </w:rPr>
        <w:t> </w:t>
      </w:r>
      <w:r>
        <w:rPr>
          <w:w w:val="105"/>
          <w:sz w:val="21"/>
        </w:rPr>
        <w:t>(Vic),</w:t>
      </w:r>
      <w:r>
        <w:rPr>
          <w:spacing w:val="-5"/>
          <w:w w:val="105"/>
          <w:sz w:val="21"/>
        </w:rPr>
        <w:t> </w:t>
      </w:r>
      <w:r>
        <w:rPr>
          <w:w w:val="105"/>
          <w:sz w:val="21"/>
        </w:rPr>
        <w:t>which</w:t>
      </w:r>
      <w:r>
        <w:rPr>
          <w:spacing w:val="-4"/>
          <w:w w:val="105"/>
          <w:sz w:val="21"/>
        </w:rPr>
        <w:t> </w:t>
      </w:r>
      <w:r>
        <w:rPr>
          <w:spacing w:val="-3"/>
          <w:w w:val="105"/>
          <w:sz w:val="21"/>
        </w:rPr>
        <w:t>regulates</w:t>
      </w:r>
      <w:r>
        <w:rPr>
          <w:spacing w:val="-5"/>
          <w:w w:val="105"/>
          <w:sz w:val="21"/>
        </w:rPr>
        <w:t> </w:t>
      </w:r>
      <w:r>
        <w:rPr>
          <w:w w:val="105"/>
          <w:sz w:val="21"/>
        </w:rPr>
        <w:t>the</w:t>
      </w:r>
      <w:r>
        <w:rPr>
          <w:spacing w:val="-5"/>
          <w:w w:val="105"/>
          <w:sz w:val="21"/>
        </w:rPr>
        <w:t> </w:t>
      </w:r>
      <w:r>
        <w:rPr>
          <w:spacing w:val="-3"/>
          <w:w w:val="105"/>
          <w:sz w:val="21"/>
        </w:rPr>
        <w:t>administration</w:t>
      </w:r>
      <w:r>
        <w:rPr>
          <w:spacing w:val="-4"/>
          <w:w w:val="105"/>
          <w:sz w:val="21"/>
        </w:rPr>
        <w:t> </w:t>
      </w:r>
      <w:r>
        <w:rPr>
          <w:w w:val="105"/>
          <w:sz w:val="21"/>
        </w:rPr>
        <w:t>and</w:t>
      </w:r>
      <w:r>
        <w:rPr>
          <w:spacing w:val="-5"/>
          <w:w w:val="105"/>
          <w:sz w:val="21"/>
        </w:rPr>
        <w:t> </w:t>
      </w:r>
      <w:r>
        <w:rPr>
          <w:spacing w:val="-2"/>
          <w:w w:val="105"/>
          <w:sz w:val="21"/>
        </w:rPr>
        <w:t>distribution</w:t>
      </w:r>
      <w:r>
        <w:rPr>
          <w:spacing w:val="-5"/>
          <w:w w:val="105"/>
          <w:sz w:val="21"/>
        </w:rPr>
        <w:t> </w:t>
      </w:r>
      <w:r>
        <w:rPr>
          <w:w w:val="105"/>
          <w:sz w:val="21"/>
        </w:rPr>
        <w:t>of</w:t>
      </w:r>
      <w:r>
        <w:rPr>
          <w:spacing w:val="-4"/>
          <w:w w:val="105"/>
          <w:sz w:val="21"/>
        </w:rPr>
        <w:t> </w:t>
      </w:r>
      <w:r>
        <w:rPr>
          <w:w w:val="105"/>
          <w:sz w:val="21"/>
        </w:rPr>
        <w:t>estates,</w:t>
      </w:r>
      <w:r>
        <w:rPr>
          <w:spacing w:val="-5"/>
          <w:w w:val="105"/>
          <w:sz w:val="21"/>
        </w:rPr>
        <w:t> </w:t>
      </w:r>
      <w:r>
        <w:rPr>
          <w:spacing w:val="-2"/>
          <w:w w:val="105"/>
          <w:sz w:val="21"/>
        </w:rPr>
        <w:t>has</w:t>
      </w:r>
      <w:r>
        <w:rPr>
          <w:spacing w:val="-5"/>
          <w:w w:val="105"/>
          <w:sz w:val="21"/>
        </w:rPr>
        <w:t> </w:t>
      </w:r>
      <w:r>
        <w:rPr>
          <w:w w:val="105"/>
          <w:sz w:val="21"/>
        </w:rPr>
        <w:t>never</w:t>
      </w:r>
      <w:r>
        <w:rPr>
          <w:spacing w:val="-4"/>
          <w:w w:val="105"/>
          <w:sz w:val="21"/>
        </w:rPr>
        <w:t> </w:t>
      </w:r>
      <w:r>
        <w:rPr>
          <w:w w:val="105"/>
          <w:sz w:val="21"/>
        </w:rPr>
        <w:t>been </w:t>
      </w:r>
      <w:r>
        <w:rPr>
          <w:spacing w:val="-3"/>
          <w:w w:val="105"/>
          <w:sz w:val="21"/>
        </w:rPr>
        <w:t>comprehensively</w:t>
      </w:r>
      <w:r>
        <w:rPr>
          <w:spacing w:val="5"/>
          <w:w w:val="105"/>
          <w:sz w:val="21"/>
        </w:rPr>
        <w:t> </w:t>
      </w:r>
      <w:r>
        <w:rPr>
          <w:spacing w:val="-3"/>
          <w:w w:val="105"/>
          <w:sz w:val="21"/>
        </w:rPr>
        <w:t>reviewed.</w:t>
      </w:r>
    </w:p>
    <w:p>
      <w:pPr>
        <w:pStyle w:val="ListParagraph"/>
        <w:numPr>
          <w:ilvl w:val="0"/>
          <w:numId w:val="4"/>
        </w:numPr>
        <w:tabs>
          <w:tab w:pos="1927" w:val="left" w:leader="none"/>
          <w:tab w:pos="1928" w:val="left" w:leader="none"/>
        </w:tabs>
        <w:spacing w:line="242" w:lineRule="auto" w:before="124" w:after="0"/>
        <w:ind w:left="1927" w:right="1591" w:hanging="340"/>
        <w:jc w:val="left"/>
        <w:rPr>
          <w:sz w:val="21"/>
        </w:rPr>
      </w:pPr>
      <w:r>
        <w:rPr>
          <w:w w:val="105"/>
          <w:sz w:val="21"/>
        </w:rPr>
        <w:t>Of </w:t>
      </w:r>
      <w:r>
        <w:rPr>
          <w:spacing w:val="-3"/>
          <w:w w:val="105"/>
          <w:sz w:val="21"/>
        </w:rPr>
        <w:t>course, </w:t>
      </w:r>
      <w:r>
        <w:rPr>
          <w:w w:val="105"/>
          <w:sz w:val="21"/>
        </w:rPr>
        <w:t>a law </w:t>
      </w:r>
      <w:r>
        <w:rPr>
          <w:spacing w:val="-3"/>
          <w:w w:val="105"/>
          <w:sz w:val="21"/>
        </w:rPr>
        <w:t>that </w:t>
      </w:r>
      <w:r>
        <w:rPr>
          <w:spacing w:val="-2"/>
          <w:w w:val="105"/>
          <w:sz w:val="21"/>
        </w:rPr>
        <w:t>has not </w:t>
      </w:r>
      <w:r>
        <w:rPr>
          <w:w w:val="105"/>
          <w:sz w:val="21"/>
        </w:rPr>
        <w:t>been reviewed does </w:t>
      </w:r>
      <w:r>
        <w:rPr>
          <w:spacing w:val="-2"/>
          <w:w w:val="105"/>
          <w:sz w:val="21"/>
        </w:rPr>
        <w:t>not </w:t>
      </w:r>
      <w:r>
        <w:rPr>
          <w:w w:val="105"/>
          <w:sz w:val="21"/>
        </w:rPr>
        <w:t>necessarily need </w:t>
      </w:r>
      <w:r>
        <w:rPr>
          <w:spacing w:val="-3"/>
          <w:w w:val="105"/>
          <w:sz w:val="21"/>
        </w:rPr>
        <w:t>reform, </w:t>
      </w:r>
      <w:r>
        <w:rPr>
          <w:w w:val="105"/>
          <w:sz w:val="21"/>
        </w:rPr>
        <w:t>and there </w:t>
      </w:r>
      <w:r>
        <w:rPr>
          <w:spacing w:val="-3"/>
          <w:w w:val="105"/>
          <w:sz w:val="21"/>
        </w:rPr>
        <w:t>may </w:t>
      </w:r>
      <w:r>
        <w:rPr>
          <w:w w:val="105"/>
          <w:sz w:val="21"/>
        </w:rPr>
        <w:t>be good reason </w:t>
      </w:r>
      <w:r>
        <w:rPr>
          <w:spacing w:val="-2"/>
          <w:w w:val="105"/>
          <w:sz w:val="21"/>
        </w:rPr>
        <w:t>not </w:t>
      </w:r>
      <w:r>
        <w:rPr>
          <w:spacing w:val="-3"/>
          <w:w w:val="105"/>
          <w:sz w:val="21"/>
        </w:rPr>
        <w:t>to </w:t>
      </w:r>
      <w:r>
        <w:rPr>
          <w:w w:val="105"/>
          <w:sz w:val="21"/>
        </w:rPr>
        <w:t>adopt a </w:t>
      </w:r>
      <w:r>
        <w:rPr>
          <w:spacing w:val="-3"/>
          <w:w w:val="105"/>
          <w:sz w:val="21"/>
        </w:rPr>
        <w:t>provision contained </w:t>
      </w:r>
      <w:r>
        <w:rPr>
          <w:w w:val="105"/>
          <w:sz w:val="21"/>
        </w:rPr>
        <w:t>in the model </w:t>
      </w:r>
      <w:r>
        <w:rPr>
          <w:spacing w:val="-3"/>
          <w:w w:val="105"/>
          <w:sz w:val="21"/>
        </w:rPr>
        <w:t>legislation. </w:t>
      </w:r>
      <w:r>
        <w:rPr>
          <w:w w:val="105"/>
          <w:sz w:val="21"/>
        </w:rPr>
        <w:t>Although </w:t>
      </w:r>
      <w:r>
        <w:rPr>
          <w:spacing w:val="-3"/>
          <w:w w:val="105"/>
          <w:sz w:val="21"/>
        </w:rPr>
        <w:t>requiring </w:t>
      </w:r>
      <w:r>
        <w:rPr>
          <w:w w:val="105"/>
          <w:sz w:val="21"/>
        </w:rPr>
        <w:t>the </w:t>
      </w:r>
      <w:r>
        <w:rPr>
          <w:spacing w:val="-3"/>
          <w:w w:val="105"/>
          <w:sz w:val="21"/>
        </w:rPr>
        <w:t>Commission to have regard to </w:t>
      </w:r>
      <w:r>
        <w:rPr>
          <w:w w:val="105"/>
          <w:sz w:val="21"/>
        </w:rPr>
        <w:t>the </w:t>
      </w:r>
      <w:r>
        <w:rPr>
          <w:spacing w:val="-3"/>
          <w:w w:val="105"/>
          <w:sz w:val="21"/>
        </w:rPr>
        <w:t>national uniform succession </w:t>
      </w:r>
      <w:r>
        <w:rPr>
          <w:w w:val="105"/>
          <w:sz w:val="21"/>
        </w:rPr>
        <w:t>laws project, the </w:t>
      </w:r>
      <w:r>
        <w:rPr>
          <w:spacing w:val="-3"/>
          <w:w w:val="105"/>
          <w:sz w:val="21"/>
        </w:rPr>
        <w:t>terms </w:t>
      </w:r>
      <w:r>
        <w:rPr>
          <w:w w:val="105"/>
          <w:sz w:val="21"/>
        </w:rPr>
        <w:t>of </w:t>
      </w:r>
      <w:r>
        <w:rPr>
          <w:spacing w:val="-3"/>
          <w:w w:val="105"/>
          <w:sz w:val="21"/>
        </w:rPr>
        <w:t>reference for </w:t>
      </w:r>
      <w:r>
        <w:rPr>
          <w:w w:val="105"/>
          <w:sz w:val="21"/>
        </w:rPr>
        <w:t>this review </w:t>
      </w:r>
      <w:r>
        <w:rPr>
          <w:spacing w:val="-4"/>
          <w:w w:val="105"/>
          <w:sz w:val="21"/>
        </w:rPr>
        <w:t>make </w:t>
      </w:r>
      <w:r>
        <w:rPr>
          <w:spacing w:val="-3"/>
          <w:w w:val="105"/>
          <w:sz w:val="21"/>
        </w:rPr>
        <w:t>clear that any reforms </w:t>
      </w:r>
      <w:r>
        <w:rPr>
          <w:w w:val="105"/>
          <w:sz w:val="21"/>
        </w:rPr>
        <w:t>should </w:t>
      </w:r>
      <w:r>
        <w:rPr>
          <w:spacing w:val="-3"/>
          <w:w w:val="105"/>
          <w:sz w:val="21"/>
        </w:rPr>
        <w:t>have </w:t>
      </w:r>
      <w:r>
        <w:rPr>
          <w:w w:val="105"/>
          <w:sz w:val="21"/>
        </w:rPr>
        <w:t>a sound policy</w:t>
      </w:r>
      <w:r>
        <w:rPr>
          <w:spacing w:val="7"/>
          <w:w w:val="105"/>
          <w:sz w:val="21"/>
        </w:rPr>
        <w:t> </w:t>
      </w:r>
      <w:r>
        <w:rPr>
          <w:w w:val="105"/>
          <w:sz w:val="21"/>
        </w:rPr>
        <w:t>basis:</w:t>
      </w:r>
    </w:p>
    <w:p>
      <w:pPr>
        <w:spacing w:before="134"/>
        <w:ind w:left="2721" w:right="0" w:firstLine="0"/>
        <w:jc w:val="left"/>
        <w:rPr>
          <w:sz w:val="20"/>
        </w:rPr>
      </w:pPr>
      <w:r>
        <w:rPr>
          <w:sz w:val="20"/>
        </w:rPr>
        <w:t>The purpose of this reference is to:</w:t>
      </w:r>
    </w:p>
    <w:p>
      <w:pPr>
        <w:pStyle w:val="ListParagraph"/>
        <w:numPr>
          <w:ilvl w:val="1"/>
          <w:numId w:val="4"/>
        </w:numPr>
        <w:tabs>
          <w:tab w:pos="2990" w:val="left" w:leader="none"/>
        </w:tabs>
        <w:spacing w:line="254" w:lineRule="auto" w:before="136" w:after="0"/>
        <w:ind w:left="2989" w:right="2047" w:hanging="268"/>
        <w:jc w:val="left"/>
        <w:rPr>
          <w:sz w:val="20"/>
        </w:rPr>
      </w:pPr>
      <w:r>
        <w:rPr>
          <w:spacing w:val="-3"/>
          <w:sz w:val="20"/>
        </w:rPr>
        <w:t>ensure </w:t>
      </w:r>
      <w:r>
        <w:rPr>
          <w:sz w:val="20"/>
        </w:rPr>
        <w:t>that Victorian law operates </w:t>
      </w:r>
      <w:r>
        <w:rPr>
          <w:spacing w:val="-3"/>
          <w:sz w:val="20"/>
        </w:rPr>
        <w:t>justly, fairly </w:t>
      </w:r>
      <w:r>
        <w:rPr>
          <w:sz w:val="20"/>
        </w:rPr>
        <w:t>and in </w:t>
      </w:r>
      <w:r>
        <w:rPr>
          <w:spacing w:val="-3"/>
          <w:sz w:val="20"/>
        </w:rPr>
        <w:t>accordance </w:t>
      </w:r>
      <w:r>
        <w:rPr>
          <w:sz w:val="20"/>
        </w:rPr>
        <w:t>with community expectations</w:t>
      </w:r>
      <w:r>
        <w:rPr>
          <w:spacing w:val="11"/>
          <w:sz w:val="20"/>
        </w:rPr>
        <w:t> </w:t>
      </w:r>
      <w:r>
        <w:rPr>
          <w:sz w:val="20"/>
        </w:rPr>
        <w:t>in</w:t>
      </w:r>
      <w:r>
        <w:rPr>
          <w:spacing w:val="11"/>
          <w:sz w:val="20"/>
        </w:rPr>
        <w:t> </w:t>
      </w:r>
      <w:r>
        <w:rPr>
          <w:sz w:val="20"/>
        </w:rPr>
        <w:t>relation</w:t>
      </w:r>
      <w:r>
        <w:rPr>
          <w:spacing w:val="11"/>
          <w:sz w:val="20"/>
        </w:rPr>
        <w:t> </w:t>
      </w:r>
      <w:r>
        <w:rPr>
          <w:sz w:val="20"/>
        </w:rPr>
        <w:t>to</w:t>
      </w:r>
      <w:r>
        <w:rPr>
          <w:spacing w:val="11"/>
          <w:sz w:val="20"/>
        </w:rPr>
        <w:t> </w:t>
      </w:r>
      <w:r>
        <w:rPr>
          <w:sz w:val="20"/>
        </w:rPr>
        <w:t>the</w:t>
      </w:r>
      <w:r>
        <w:rPr>
          <w:spacing w:val="11"/>
          <w:sz w:val="20"/>
        </w:rPr>
        <w:t> </w:t>
      </w:r>
      <w:r>
        <w:rPr>
          <w:sz w:val="20"/>
        </w:rPr>
        <w:t>way</w:t>
      </w:r>
      <w:r>
        <w:rPr>
          <w:spacing w:val="11"/>
          <w:sz w:val="20"/>
        </w:rPr>
        <w:t> </w:t>
      </w:r>
      <w:r>
        <w:rPr>
          <w:sz w:val="20"/>
        </w:rPr>
        <w:t>property</w:t>
      </w:r>
      <w:r>
        <w:rPr>
          <w:spacing w:val="12"/>
          <w:sz w:val="20"/>
        </w:rPr>
        <w:t> </w:t>
      </w:r>
      <w:r>
        <w:rPr>
          <w:sz w:val="20"/>
        </w:rPr>
        <w:t>is</w:t>
      </w:r>
      <w:r>
        <w:rPr>
          <w:spacing w:val="11"/>
          <w:sz w:val="20"/>
        </w:rPr>
        <w:t> </w:t>
      </w:r>
      <w:r>
        <w:rPr>
          <w:sz w:val="20"/>
        </w:rPr>
        <w:t>dealt</w:t>
      </w:r>
      <w:r>
        <w:rPr>
          <w:spacing w:val="11"/>
          <w:sz w:val="20"/>
        </w:rPr>
        <w:t> </w:t>
      </w:r>
      <w:r>
        <w:rPr>
          <w:sz w:val="20"/>
        </w:rPr>
        <w:t>with</w:t>
      </w:r>
      <w:r>
        <w:rPr>
          <w:spacing w:val="11"/>
          <w:sz w:val="20"/>
        </w:rPr>
        <w:t> </w:t>
      </w:r>
      <w:r>
        <w:rPr>
          <w:sz w:val="20"/>
        </w:rPr>
        <w:t>after</w:t>
      </w:r>
      <w:r>
        <w:rPr>
          <w:spacing w:val="11"/>
          <w:sz w:val="20"/>
        </w:rPr>
        <w:t> </w:t>
      </w:r>
      <w:r>
        <w:rPr>
          <w:sz w:val="20"/>
        </w:rPr>
        <w:t>a</w:t>
      </w:r>
      <w:r>
        <w:rPr>
          <w:spacing w:val="11"/>
          <w:sz w:val="20"/>
        </w:rPr>
        <w:t> </w:t>
      </w:r>
      <w:r>
        <w:rPr>
          <w:sz w:val="20"/>
        </w:rPr>
        <w:t>person</w:t>
      </w:r>
      <w:r>
        <w:rPr>
          <w:spacing w:val="11"/>
          <w:sz w:val="20"/>
        </w:rPr>
        <w:t> </w:t>
      </w:r>
      <w:r>
        <w:rPr>
          <w:sz w:val="20"/>
        </w:rPr>
        <w:t>dies</w:t>
      </w:r>
    </w:p>
    <w:p>
      <w:pPr>
        <w:pStyle w:val="ListParagraph"/>
        <w:numPr>
          <w:ilvl w:val="1"/>
          <w:numId w:val="4"/>
        </w:numPr>
        <w:tabs>
          <w:tab w:pos="3003" w:val="left" w:leader="none"/>
        </w:tabs>
        <w:spacing w:line="254" w:lineRule="auto" w:before="122" w:after="0"/>
        <w:ind w:left="3002" w:right="1826" w:hanging="281"/>
        <w:jc w:val="left"/>
        <w:rPr>
          <w:sz w:val="20"/>
        </w:rPr>
      </w:pPr>
      <w:r>
        <w:rPr>
          <w:spacing w:val="-3"/>
          <w:sz w:val="20"/>
        </w:rPr>
        <w:t>ensure </w:t>
      </w:r>
      <w:r>
        <w:rPr>
          <w:sz w:val="20"/>
        </w:rPr>
        <w:t>that the processes to resolve disputes about the distribution of such property are efficient, effective and</w:t>
      </w:r>
      <w:r>
        <w:rPr>
          <w:spacing w:val="33"/>
          <w:sz w:val="20"/>
        </w:rPr>
        <w:t> </w:t>
      </w:r>
      <w:r>
        <w:rPr>
          <w:sz w:val="20"/>
        </w:rPr>
        <w:t>accessible</w:t>
      </w:r>
    </w:p>
    <w:p>
      <w:pPr>
        <w:pStyle w:val="ListParagraph"/>
        <w:numPr>
          <w:ilvl w:val="1"/>
          <w:numId w:val="4"/>
        </w:numPr>
        <w:tabs>
          <w:tab w:pos="2976" w:val="left" w:leader="none"/>
        </w:tabs>
        <w:spacing w:line="254" w:lineRule="auto" w:before="123" w:after="0"/>
        <w:ind w:left="2975" w:right="1814" w:hanging="254"/>
        <w:jc w:val="both"/>
        <w:rPr>
          <w:sz w:val="20"/>
        </w:rPr>
      </w:pPr>
      <w:r>
        <w:rPr>
          <w:w w:val="105"/>
          <w:sz w:val="20"/>
        </w:rPr>
        <w:t>identify</w:t>
      </w:r>
      <w:r>
        <w:rPr>
          <w:spacing w:val="-11"/>
          <w:w w:val="105"/>
          <w:sz w:val="20"/>
        </w:rPr>
        <w:t> </w:t>
      </w:r>
      <w:r>
        <w:rPr>
          <w:w w:val="105"/>
          <w:sz w:val="20"/>
        </w:rPr>
        <w:t>practical</w:t>
      </w:r>
      <w:r>
        <w:rPr>
          <w:spacing w:val="-11"/>
          <w:w w:val="105"/>
          <w:sz w:val="20"/>
        </w:rPr>
        <w:t> </w:t>
      </w:r>
      <w:r>
        <w:rPr>
          <w:w w:val="105"/>
          <w:sz w:val="20"/>
        </w:rPr>
        <w:t>solutions</w:t>
      </w:r>
      <w:r>
        <w:rPr>
          <w:spacing w:val="-11"/>
          <w:w w:val="105"/>
          <w:sz w:val="20"/>
        </w:rPr>
        <w:t> </w:t>
      </w:r>
      <w:r>
        <w:rPr>
          <w:w w:val="105"/>
          <w:sz w:val="20"/>
        </w:rPr>
        <w:t>to</w:t>
      </w:r>
      <w:r>
        <w:rPr>
          <w:spacing w:val="-11"/>
          <w:w w:val="105"/>
          <w:sz w:val="20"/>
        </w:rPr>
        <w:t> </w:t>
      </w:r>
      <w:r>
        <w:rPr>
          <w:w w:val="105"/>
          <w:sz w:val="20"/>
        </w:rPr>
        <w:t>problems</w:t>
      </w:r>
      <w:r>
        <w:rPr>
          <w:spacing w:val="-11"/>
          <w:w w:val="105"/>
          <w:sz w:val="20"/>
        </w:rPr>
        <w:t> </w:t>
      </w:r>
      <w:r>
        <w:rPr>
          <w:w w:val="105"/>
          <w:sz w:val="20"/>
        </w:rPr>
        <w:t>that</w:t>
      </w:r>
      <w:r>
        <w:rPr>
          <w:spacing w:val="-11"/>
          <w:w w:val="105"/>
          <w:sz w:val="20"/>
        </w:rPr>
        <w:t> </w:t>
      </w:r>
      <w:r>
        <w:rPr>
          <w:w w:val="105"/>
          <w:sz w:val="20"/>
        </w:rPr>
        <w:t>may</w:t>
      </w:r>
      <w:r>
        <w:rPr>
          <w:spacing w:val="-11"/>
          <w:w w:val="105"/>
          <w:sz w:val="20"/>
        </w:rPr>
        <w:t> </w:t>
      </w:r>
      <w:r>
        <w:rPr>
          <w:w w:val="105"/>
          <w:sz w:val="20"/>
        </w:rPr>
        <w:t>still</w:t>
      </w:r>
      <w:r>
        <w:rPr>
          <w:spacing w:val="-11"/>
          <w:w w:val="105"/>
          <w:sz w:val="20"/>
        </w:rPr>
        <w:t> </w:t>
      </w:r>
      <w:r>
        <w:rPr>
          <w:w w:val="105"/>
          <w:sz w:val="20"/>
        </w:rPr>
        <w:t>be</w:t>
      </w:r>
      <w:r>
        <w:rPr>
          <w:spacing w:val="-11"/>
          <w:w w:val="105"/>
          <w:sz w:val="20"/>
        </w:rPr>
        <w:t> </w:t>
      </w:r>
      <w:r>
        <w:rPr>
          <w:w w:val="105"/>
          <w:sz w:val="20"/>
        </w:rPr>
        <w:t>outstanding</w:t>
      </w:r>
      <w:r>
        <w:rPr>
          <w:spacing w:val="-11"/>
          <w:w w:val="105"/>
          <w:sz w:val="20"/>
        </w:rPr>
        <w:t> </w:t>
      </w:r>
      <w:r>
        <w:rPr>
          <w:w w:val="105"/>
          <w:sz w:val="20"/>
        </w:rPr>
        <w:t>in</w:t>
      </w:r>
      <w:r>
        <w:rPr>
          <w:spacing w:val="-10"/>
          <w:w w:val="105"/>
          <w:sz w:val="20"/>
        </w:rPr>
        <w:t> </w:t>
      </w:r>
      <w:r>
        <w:rPr>
          <w:w w:val="105"/>
          <w:sz w:val="20"/>
        </w:rPr>
        <w:t>Victorian</w:t>
      </w:r>
      <w:r>
        <w:rPr>
          <w:spacing w:val="-11"/>
          <w:w w:val="105"/>
          <w:sz w:val="20"/>
        </w:rPr>
        <w:t> </w:t>
      </w:r>
      <w:r>
        <w:rPr>
          <w:w w:val="105"/>
          <w:sz w:val="20"/>
        </w:rPr>
        <w:t>law and</w:t>
      </w:r>
      <w:r>
        <w:rPr>
          <w:spacing w:val="-12"/>
          <w:w w:val="105"/>
          <w:sz w:val="20"/>
        </w:rPr>
        <w:t> </w:t>
      </w:r>
      <w:r>
        <w:rPr>
          <w:w w:val="105"/>
          <w:sz w:val="20"/>
        </w:rPr>
        <w:t>practice</w:t>
      </w:r>
      <w:r>
        <w:rPr>
          <w:spacing w:val="-12"/>
          <w:w w:val="105"/>
          <w:sz w:val="20"/>
        </w:rPr>
        <w:t> </w:t>
      </w:r>
      <w:r>
        <w:rPr>
          <w:w w:val="105"/>
          <w:sz w:val="20"/>
        </w:rPr>
        <w:t>following</w:t>
      </w:r>
      <w:r>
        <w:rPr>
          <w:spacing w:val="-11"/>
          <w:w w:val="105"/>
          <w:sz w:val="20"/>
        </w:rPr>
        <w:t> </w:t>
      </w:r>
      <w:r>
        <w:rPr>
          <w:w w:val="105"/>
          <w:sz w:val="20"/>
        </w:rPr>
        <w:t>the</w:t>
      </w:r>
      <w:r>
        <w:rPr>
          <w:spacing w:val="-12"/>
          <w:w w:val="105"/>
          <w:sz w:val="20"/>
        </w:rPr>
        <w:t> </w:t>
      </w:r>
      <w:r>
        <w:rPr>
          <w:w w:val="105"/>
          <w:sz w:val="20"/>
        </w:rPr>
        <w:t>recommendations</w:t>
      </w:r>
      <w:r>
        <w:rPr>
          <w:spacing w:val="-11"/>
          <w:w w:val="105"/>
          <w:sz w:val="20"/>
        </w:rPr>
        <w:t> </w:t>
      </w:r>
      <w:r>
        <w:rPr>
          <w:w w:val="105"/>
          <w:sz w:val="20"/>
        </w:rPr>
        <w:t>of</w:t>
      </w:r>
      <w:r>
        <w:rPr>
          <w:spacing w:val="-12"/>
          <w:w w:val="105"/>
          <w:sz w:val="20"/>
        </w:rPr>
        <w:t> </w:t>
      </w:r>
      <w:r>
        <w:rPr>
          <w:w w:val="105"/>
          <w:sz w:val="20"/>
        </w:rPr>
        <w:t>the</w:t>
      </w:r>
      <w:r>
        <w:rPr>
          <w:spacing w:val="-11"/>
          <w:w w:val="105"/>
          <w:sz w:val="20"/>
        </w:rPr>
        <w:t> </w:t>
      </w:r>
      <w:r>
        <w:rPr>
          <w:w w:val="105"/>
          <w:sz w:val="20"/>
        </w:rPr>
        <w:t>National</w:t>
      </w:r>
      <w:r>
        <w:rPr>
          <w:spacing w:val="-12"/>
          <w:w w:val="105"/>
          <w:sz w:val="20"/>
        </w:rPr>
        <w:t> </w:t>
      </w:r>
      <w:r>
        <w:rPr>
          <w:w w:val="105"/>
          <w:sz w:val="20"/>
        </w:rPr>
        <w:t>Committee</w:t>
      </w:r>
      <w:r>
        <w:rPr>
          <w:spacing w:val="-11"/>
          <w:w w:val="105"/>
          <w:sz w:val="20"/>
        </w:rPr>
        <w:t> </w:t>
      </w:r>
      <w:r>
        <w:rPr>
          <w:w w:val="105"/>
          <w:sz w:val="20"/>
        </w:rPr>
        <w:t>for</w:t>
      </w:r>
      <w:r>
        <w:rPr>
          <w:spacing w:val="-12"/>
          <w:w w:val="105"/>
          <w:sz w:val="20"/>
        </w:rPr>
        <w:t> </w:t>
      </w:r>
      <w:r>
        <w:rPr>
          <w:w w:val="105"/>
          <w:sz w:val="20"/>
        </w:rPr>
        <w:t>Uniform Succession Laws established by the </w:t>
      </w:r>
      <w:r>
        <w:rPr>
          <w:spacing w:val="-3"/>
          <w:w w:val="105"/>
          <w:sz w:val="20"/>
        </w:rPr>
        <w:t>Standing </w:t>
      </w:r>
      <w:r>
        <w:rPr>
          <w:w w:val="105"/>
          <w:sz w:val="20"/>
        </w:rPr>
        <w:t>Committee of</w:t>
      </w:r>
      <w:r>
        <w:rPr>
          <w:spacing w:val="-8"/>
          <w:w w:val="105"/>
          <w:sz w:val="20"/>
        </w:rPr>
        <w:t> </w:t>
      </w:r>
      <w:r>
        <w:rPr>
          <w:w w:val="105"/>
          <w:sz w:val="20"/>
        </w:rPr>
        <w:t>Attorneys-General.</w:t>
      </w:r>
    </w:p>
    <w:p>
      <w:pPr>
        <w:pStyle w:val="ListParagraph"/>
        <w:numPr>
          <w:ilvl w:val="0"/>
          <w:numId w:val="4"/>
        </w:numPr>
        <w:tabs>
          <w:tab w:pos="1927" w:val="left" w:leader="none"/>
          <w:tab w:pos="1928" w:val="left" w:leader="none"/>
        </w:tabs>
        <w:spacing w:line="242" w:lineRule="auto" w:before="114" w:after="0"/>
        <w:ind w:left="1927" w:right="1785" w:hanging="340"/>
        <w:jc w:val="left"/>
        <w:rPr>
          <w:sz w:val="21"/>
        </w:rPr>
      </w:pPr>
      <w:r>
        <w:rPr>
          <w:w w:val="105"/>
          <w:sz w:val="21"/>
        </w:rPr>
        <w:t>In conducting the </w:t>
      </w:r>
      <w:r>
        <w:rPr>
          <w:spacing w:val="-4"/>
          <w:w w:val="105"/>
          <w:sz w:val="21"/>
        </w:rPr>
        <w:t>review, </w:t>
      </w:r>
      <w:r>
        <w:rPr>
          <w:w w:val="105"/>
          <w:sz w:val="21"/>
        </w:rPr>
        <w:t>the </w:t>
      </w:r>
      <w:r>
        <w:rPr>
          <w:spacing w:val="-3"/>
          <w:w w:val="105"/>
          <w:sz w:val="21"/>
        </w:rPr>
        <w:t>Commission </w:t>
      </w:r>
      <w:r>
        <w:rPr>
          <w:spacing w:val="-2"/>
          <w:w w:val="105"/>
          <w:sz w:val="21"/>
        </w:rPr>
        <w:t>has </w:t>
      </w:r>
      <w:r>
        <w:rPr>
          <w:w w:val="105"/>
          <w:sz w:val="21"/>
        </w:rPr>
        <w:t>been </w:t>
      </w:r>
      <w:r>
        <w:rPr>
          <w:spacing w:val="-3"/>
          <w:w w:val="105"/>
          <w:sz w:val="21"/>
        </w:rPr>
        <w:t>mindful </w:t>
      </w:r>
      <w:r>
        <w:rPr>
          <w:w w:val="105"/>
          <w:sz w:val="21"/>
        </w:rPr>
        <w:t>of </w:t>
      </w:r>
      <w:r>
        <w:rPr>
          <w:spacing w:val="-3"/>
          <w:w w:val="105"/>
          <w:sz w:val="21"/>
        </w:rPr>
        <w:t>changes </w:t>
      </w:r>
      <w:r>
        <w:rPr>
          <w:w w:val="105"/>
          <w:sz w:val="21"/>
        </w:rPr>
        <w:t>in community expectations</w:t>
      </w:r>
      <w:r>
        <w:rPr>
          <w:spacing w:val="-10"/>
          <w:w w:val="105"/>
          <w:sz w:val="21"/>
        </w:rPr>
        <w:t> </w:t>
      </w:r>
      <w:r>
        <w:rPr>
          <w:spacing w:val="-3"/>
          <w:w w:val="105"/>
          <w:sz w:val="21"/>
        </w:rPr>
        <w:t>arising</w:t>
      </w:r>
      <w:r>
        <w:rPr>
          <w:spacing w:val="-9"/>
          <w:w w:val="105"/>
          <w:sz w:val="21"/>
        </w:rPr>
        <w:t> </w:t>
      </w:r>
      <w:r>
        <w:rPr>
          <w:spacing w:val="-3"/>
          <w:w w:val="105"/>
          <w:sz w:val="21"/>
        </w:rPr>
        <w:t>from</w:t>
      </w:r>
      <w:r>
        <w:rPr>
          <w:spacing w:val="-9"/>
          <w:w w:val="105"/>
          <w:sz w:val="21"/>
        </w:rPr>
        <w:t> </w:t>
      </w:r>
      <w:r>
        <w:rPr>
          <w:spacing w:val="-3"/>
          <w:w w:val="105"/>
          <w:sz w:val="21"/>
        </w:rPr>
        <w:t>increasingly</w:t>
      </w:r>
      <w:r>
        <w:rPr>
          <w:spacing w:val="-9"/>
          <w:w w:val="105"/>
          <w:sz w:val="21"/>
        </w:rPr>
        <w:t> </w:t>
      </w:r>
      <w:r>
        <w:rPr>
          <w:w w:val="105"/>
          <w:sz w:val="21"/>
        </w:rPr>
        <w:t>complex</w:t>
      </w:r>
      <w:r>
        <w:rPr>
          <w:spacing w:val="-9"/>
          <w:w w:val="105"/>
          <w:sz w:val="21"/>
        </w:rPr>
        <w:t> </w:t>
      </w:r>
      <w:r>
        <w:rPr>
          <w:spacing w:val="-3"/>
          <w:w w:val="105"/>
          <w:sz w:val="21"/>
        </w:rPr>
        <w:t>family</w:t>
      </w:r>
      <w:r>
        <w:rPr>
          <w:spacing w:val="-10"/>
          <w:w w:val="105"/>
          <w:sz w:val="21"/>
        </w:rPr>
        <w:t> </w:t>
      </w:r>
      <w:r>
        <w:rPr>
          <w:w w:val="105"/>
          <w:sz w:val="21"/>
        </w:rPr>
        <w:t>structures,</w:t>
      </w:r>
      <w:r>
        <w:rPr>
          <w:spacing w:val="-9"/>
          <w:w w:val="105"/>
          <w:sz w:val="21"/>
        </w:rPr>
        <w:t> </w:t>
      </w:r>
      <w:r>
        <w:rPr>
          <w:w w:val="105"/>
          <w:sz w:val="21"/>
        </w:rPr>
        <w:t>longer</w:t>
      </w:r>
      <w:r>
        <w:rPr>
          <w:spacing w:val="-9"/>
          <w:w w:val="105"/>
          <w:sz w:val="21"/>
        </w:rPr>
        <w:t> </w:t>
      </w:r>
      <w:r>
        <w:rPr>
          <w:spacing w:val="-3"/>
          <w:w w:val="105"/>
          <w:sz w:val="21"/>
        </w:rPr>
        <w:t>life</w:t>
      </w:r>
      <w:r>
        <w:rPr>
          <w:spacing w:val="-9"/>
          <w:w w:val="105"/>
          <w:sz w:val="21"/>
        </w:rPr>
        <w:t> </w:t>
      </w:r>
      <w:r>
        <w:rPr>
          <w:spacing w:val="-3"/>
          <w:w w:val="105"/>
          <w:sz w:val="21"/>
        </w:rPr>
        <w:t>spans</w:t>
      </w:r>
      <w:r>
        <w:rPr>
          <w:spacing w:val="-9"/>
          <w:w w:val="105"/>
          <w:sz w:val="21"/>
        </w:rPr>
        <w:t> </w:t>
      </w:r>
      <w:r>
        <w:rPr>
          <w:w w:val="105"/>
          <w:sz w:val="21"/>
        </w:rPr>
        <w:t>and</w:t>
      </w:r>
      <w:r>
        <w:rPr>
          <w:spacing w:val="-10"/>
          <w:w w:val="105"/>
          <w:sz w:val="21"/>
        </w:rPr>
        <w:t> </w:t>
      </w:r>
      <w:r>
        <w:rPr>
          <w:w w:val="105"/>
          <w:sz w:val="21"/>
        </w:rPr>
        <w:t>a</w:t>
      </w:r>
      <w:r>
        <w:rPr>
          <w:spacing w:val="-9"/>
          <w:w w:val="105"/>
          <w:sz w:val="21"/>
        </w:rPr>
        <w:t> </w:t>
      </w:r>
      <w:r>
        <w:rPr>
          <w:w w:val="105"/>
          <w:sz w:val="21"/>
        </w:rPr>
        <w:t>more </w:t>
      </w:r>
      <w:r>
        <w:rPr>
          <w:spacing w:val="-3"/>
          <w:w w:val="105"/>
          <w:sz w:val="21"/>
        </w:rPr>
        <w:t>accessible </w:t>
      </w:r>
      <w:r>
        <w:rPr>
          <w:w w:val="105"/>
          <w:sz w:val="21"/>
        </w:rPr>
        <w:t>legal system. These </w:t>
      </w:r>
      <w:r>
        <w:rPr>
          <w:spacing w:val="-3"/>
          <w:w w:val="105"/>
          <w:sz w:val="21"/>
        </w:rPr>
        <w:t>changes have </w:t>
      </w:r>
      <w:r>
        <w:rPr>
          <w:w w:val="105"/>
          <w:sz w:val="21"/>
        </w:rPr>
        <w:t>affected the operation of </w:t>
      </w:r>
      <w:r>
        <w:rPr>
          <w:spacing w:val="-3"/>
          <w:w w:val="105"/>
          <w:sz w:val="21"/>
        </w:rPr>
        <w:t>succession </w:t>
      </w:r>
      <w:r>
        <w:rPr>
          <w:w w:val="105"/>
          <w:sz w:val="21"/>
        </w:rPr>
        <w:t>laws and </w:t>
      </w:r>
      <w:r>
        <w:rPr>
          <w:spacing w:val="-3"/>
          <w:w w:val="105"/>
          <w:sz w:val="21"/>
        </w:rPr>
        <w:t>influenced </w:t>
      </w:r>
      <w:r>
        <w:rPr>
          <w:w w:val="105"/>
          <w:sz w:val="21"/>
        </w:rPr>
        <w:t>the </w:t>
      </w:r>
      <w:r>
        <w:rPr>
          <w:spacing w:val="-4"/>
          <w:w w:val="105"/>
          <w:sz w:val="21"/>
        </w:rPr>
        <w:t>Commission’s</w:t>
      </w:r>
      <w:r>
        <w:rPr>
          <w:spacing w:val="19"/>
          <w:w w:val="105"/>
          <w:sz w:val="21"/>
        </w:rPr>
        <w:t> </w:t>
      </w:r>
      <w:r>
        <w:rPr>
          <w:spacing w:val="-3"/>
          <w:w w:val="105"/>
          <w:sz w:val="21"/>
        </w:rPr>
        <w:t>recommendations.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8"/>
        </w:rPr>
      </w:pPr>
    </w:p>
    <w:p>
      <w:pPr>
        <w:spacing w:before="99"/>
        <w:ind w:left="720" w:right="0" w:firstLine="0"/>
        <w:jc w:val="left"/>
        <w:rPr>
          <w:b/>
          <w:sz w:val="24"/>
        </w:rPr>
      </w:pPr>
      <w:r>
        <w:rPr>
          <w:b/>
          <w:color w:val="EC5A4F"/>
          <w:w w:val="120"/>
          <w:sz w:val="24"/>
        </w:rPr>
        <w:t>xiv</w:t>
      </w:r>
    </w:p>
    <w:p>
      <w:pPr>
        <w:spacing w:after="0"/>
        <w:jc w:val="left"/>
        <w:rPr>
          <w:sz w:val="24"/>
        </w:rPr>
        <w:sectPr>
          <w:pgSz w:w="11910" w:h="16840"/>
          <w:pgMar w:header="1372" w:footer="0" w:top="1560" w:bottom="280" w:left="0" w:right="0"/>
        </w:sectPr>
      </w:pPr>
    </w:p>
    <w:p>
      <w:pPr>
        <w:pStyle w:val="BodyText"/>
        <w:spacing w:before="3"/>
        <w:rPr>
          <w:b/>
        </w:rPr>
      </w:pPr>
    </w:p>
    <w:p>
      <w:pPr>
        <w:spacing w:before="99"/>
        <w:ind w:left="1587" w:right="0" w:firstLine="0"/>
        <w:jc w:val="left"/>
        <w:rPr>
          <w:b/>
          <w:sz w:val="28"/>
        </w:rPr>
      </w:pPr>
      <w:r>
        <w:rPr>
          <w:b/>
          <w:color w:val="EC5A4F"/>
          <w:w w:val="115"/>
          <w:sz w:val="28"/>
        </w:rPr>
        <w:t>Terms of reference</w:t>
      </w:r>
    </w:p>
    <w:p>
      <w:pPr>
        <w:pStyle w:val="ListParagraph"/>
        <w:numPr>
          <w:ilvl w:val="0"/>
          <w:numId w:val="4"/>
        </w:numPr>
        <w:tabs>
          <w:tab w:pos="1928" w:val="left" w:leader="none"/>
        </w:tabs>
        <w:spacing w:line="242" w:lineRule="auto" w:before="155" w:after="0"/>
        <w:ind w:left="1927" w:right="1894" w:hanging="340"/>
        <w:jc w:val="both"/>
        <w:rPr>
          <w:sz w:val="21"/>
        </w:rPr>
      </w:pPr>
      <w:r>
        <w:rPr>
          <w:w w:val="105"/>
          <w:sz w:val="21"/>
        </w:rPr>
        <w:t>The Attorney-General </w:t>
      </w:r>
      <w:r>
        <w:rPr>
          <w:spacing w:val="-3"/>
          <w:w w:val="105"/>
          <w:sz w:val="21"/>
        </w:rPr>
        <w:t>asked </w:t>
      </w:r>
      <w:r>
        <w:rPr>
          <w:w w:val="105"/>
          <w:sz w:val="21"/>
        </w:rPr>
        <w:t>the </w:t>
      </w:r>
      <w:r>
        <w:rPr>
          <w:spacing w:val="-3"/>
          <w:w w:val="105"/>
          <w:sz w:val="21"/>
        </w:rPr>
        <w:t>Commission to </w:t>
      </w:r>
      <w:r>
        <w:rPr>
          <w:w w:val="105"/>
          <w:sz w:val="21"/>
        </w:rPr>
        <w:t>review a number of </w:t>
      </w:r>
      <w:r>
        <w:rPr>
          <w:spacing w:val="-3"/>
          <w:w w:val="105"/>
          <w:sz w:val="21"/>
        </w:rPr>
        <w:t>disparate </w:t>
      </w:r>
      <w:r>
        <w:rPr>
          <w:w w:val="105"/>
          <w:sz w:val="21"/>
        </w:rPr>
        <w:t>topics, which </w:t>
      </w:r>
      <w:r>
        <w:rPr>
          <w:spacing w:val="-3"/>
          <w:w w:val="105"/>
          <w:sz w:val="21"/>
        </w:rPr>
        <w:t>are</w:t>
      </w:r>
      <w:r>
        <w:rPr>
          <w:spacing w:val="-7"/>
          <w:w w:val="105"/>
          <w:sz w:val="21"/>
        </w:rPr>
        <w:t> </w:t>
      </w:r>
      <w:r>
        <w:rPr>
          <w:spacing w:val="-2"/>
          <w:w w:val="105"/>
          <w:sz w:val="21"/>
        </w:rPr>
        <w:t>listed</w:t>
      </w:r>
      <w:r>
        <w:rPr>
          <w:spacing w:val="-6"/>
          <w:w w:val="105"/>
          <w:sz w:val="21"/>
        </w:rPr>
        <w:t> </w:t>
      </w:r>
      <w:r>
        <w:rPr>
          <w:w w:val="105"/>
          <w:sz w:val="21"/>
        </w:rPr>
        <w:t>in</w:t>
      </w:r>
      <w:r>
        <w:rPr>
          <w:spacing w:val="-6"/>
          <w:w w:val="105"/>
          <w:sz w:val="21"/>
        </w:rPr>
        <w:t> </w:t>
      </w:r>
      <w:r>
        <w:rPr>
          <w:w w:val="105"/>
          <w:sz w:val="21"/>
        </w:rPr>
        <w:t>the</w:t>
      </w:r>
      <w:r>
        <w:rPr>
          <w:spacing w:val="-6"/>
          <w:w w:val="105"/>
          <w:sz w:val="21"/>
        </w:rPr>
        <w:t> </w:t>
      </w:r>
      <w:r>
        <w:rPr>
          <w:spacing w:val="-3"/>
          <w:w w:val="105"/>
          <w:sz w:val="21"/>
        </w:rPr>
        <w:t>terms</w:t>
      </w:r>
      <w:r>
        <w:rPr>
          <w:spacing w:val="-6"/>
          <w:w w:val="105"/>
          <w:sz w:val="21"/>
        </w:rPr>
        <w:t> </w:t>
      </w:r>
      <w:r>
        <w:rPr>
          <w:w w:val="105"/>
          <w:sz w:val="21"/>
        </w:rPr>
        <w:t>of</w:t>
      </w:r>
      <w:r>
        <w:rPr>
          <w:spacing w:val="-6"/>
          <w:w w:val="105"/>
          <w:sz w:val="21"/>
        </w:rPr>
        <w:t> </w:t>
      </w:r>
      <w:r>
        <w:rPr>
          <w:spacing w:val="-3"/>
          <w:w w:val="105"/>
          <w:sz w:val="21"/>
        </w:rPr>
        <w:t>reference</w:t>
      </w:r>
      <w:r>
        <w:rPr>
          <w:spacing w:val="-6"/>
          <w:w w:val="105"/>
          <w:sz w:val="21"/>
        </w:rPr>
        <w:t> </w:t>
      </w:r>
      <w:r>
        <w:rPr>
          <w:w w:val="105"/>
          <w:sz w:val="21"/>
        </w:rPr>
        <w:t>under</w:t>
      </w:r>
      <w:r>
        <w:rPr>
          <w:spacing w:val="-6"/>
          <w:w w:val="105"/>
          <w:sz w:val="21"/>
        </w:rPr>
        <w:t> </w:t>
      </w:r>
      <w:r>
        <w:rPr>
          <w:w w:val="105"/>
          <w:sz w:val="21"/>
        </w:rPr>
        <w:t>six</w:t>
      </w:r>
      <w:r>
        <w:rPr>
          <w:spacing w:val="-6"/>
          <w:w w:val="105"/>
          <w:sz w:val="21"/>
        </w:rPr>
        <w:t> </w:t>
      </w:r>
      <w:r>
        <w:rPr>
          <w:spacing w:val="-3"/>
          <w:w w:val="105"/>
          <w:sz w:val="21"/>
        </w:rPr>
        <w:t>headings:</w:t>
      </w:r>
      <w:r>
        <w:rPr>
          <w:spacing w:val="-7"/>
          <w:w w:val="105"/>
          <w:sz w:val="21"/>
        </w:rPr>
        <w:t> </w:t>
      </w:r>
      <w:r>
        <w:rPr>
          <w:spacing w:val="-3"/>
          <w:w w:val="105"/>
          <w:sz w:val="21"/>
        </w:rPr>
        <w:t>wills,</w:t>
      </w:r>
      <w:r>
        <w:rPr>
          <w:spacing w:val="-6"/>
          <w:w w:val="105"/>
          <w:sz w:val="21"/>
        </w:rPr>
        <w:t> </w:t>
      </w:r>
      <w:r>
        <w:rPr>
          <w:spacing w:val="-3"/>
          <w:w w:val="105"/>
          <w:sz w:val="21"/>
        </w:rPr>
        <w:t>family</w:t>
      </w:r>
      <w:r>
        <w:rPr>
          <w:spacing w:val="-6"/>
          <w:w w:val="105"/>
          <w:sz w:val="21"/>
        </w:rPr>
        <w:t> </w:t>
      </w:r>
      <w:r>
        <w:rPr>
          <w:spacing w:val="-3"/>
          <w:w w:val="105"/>
          <w:sz w:val="21"/>
        </w:rPr>
        <w:t>provision,</w:t>
      </w:r>
      <w:r>
        <w:rPr>
          <w:spacing w:val="-6"/>
          <w:w w:val="105"/>
          <w:sz w:val="21"/>
        </w:rPr>
        <w:t> </w:t>
      </w:r>
      <w:r>
        <w:rPr>
          <w:spacing w:val="-3"/>
          <w:w w:val="105"/>
          <w:sz w:val="21"/>
        </w:rPr>
        <w:t>intestacy,</w:t>
      </w:r>
      <w:r>
        <w:rPr>
          <w:spacing w:val="-6"/>
          <w:w w:val="105"/>
          <w:sz w:val="21"/>
        </w:rPr>
        <w:t> </w:t>
      </w:r>
      <w:r>
        <w:rPr>
          <w:w w:val="105"/>
          <w:sz w:val="21"/>
        </w:rPr>
        <w:t>legal practitioner executors, </w:t>
      </w:r>
      <w:r>
        <w:rPr>
          <w:spacing w:val="-3"/>
          <w:w w:val="105"/>
          <w:sz w:val="21"/>
        </w:rPr>
        <w:t>administration </w:t>
      </w:r>
      <w:r>
        <w:rPr>
          <w:w w:val="105"/>
          <w:sz w:val="21"/>
        </w:rPr>
        <w:t>of estates and operation of the</w:t>
      </w:r>
      <w:r>
        <w:rPr>
          <w:spacing w:val="-32"/>
          <w:w w:val="105"/>
          <w:sz w:val="21"/>
        </w:rPr>
        <w:t> </w:t>
      </w:r>
      <w:r>
        <w:rPr>
          <w:w w:val="105"/>
          <w:sz w:val="21"/>
        </w:rPr>
        <w:t>jurisdiction.</w:t>
      </w:r>
    </w:p>
    <w:p>
      <w:pPr>
        <w:pStyle w:val="ListParagraph"/>
        <w:numPr>
          <w:ilvl w:val="0"/>
          <w:numId w:val="4"/>
        </w:numPr>
        <w:tabs>
          <w:tab w:pos="1927" w:val="left" w:leader="none"/>
          <w:tab w:pos="1928" w:val="left" w:leader="none"/>
        </w:tabs>
        <w:spacing w:line="242" w:lineRule="auto" w:before="123" w:after="0"/>
        <w:ind w:left="1927" w:right="2235" w:hanging="340"/>
        <w:jc w:val="left"/>
        <w:rPr>
          <w:sz w:val="21"/>
        </w:rPr>
      </w:pPr>
      <w:r>
        <w:rPr>
          <w:sz w:val="21"/>
        </w:rPr>
        <w:t>This report broadly </w:t>
      </w:r>
      <w:r>
        <w:rPr>
          <w:spacing w:val="-3"/>
          <w:sz w:val="21"/>
        </w:rPr>
        <w:t>follows  </w:t>
      </w:r>
      <w:r>
        <w:rPr>
          <w:sz w:val="21"/>
        </w:rPr>
        <w:t>the order and categorisation of topics as set out in the </w:t>
      </w:r>
      <w:r>
        <w:rPr>
          <w:spacing w:val="-3"/>
          <w:sz w:val="21"/>
        </w:rPr>
        <w:t>terms  </w:t>
      </w:r>
      <w:r>
        <w:rPr>
          <w:sz w:val="21"/>
        </w:rPr>
        <w:t>of  </w:t>
      </w:r>
      <w:r>
        <w:rPr>
          <w:spacing w:val="-4"/>
          <w:sz w:val="21"/>
        </w:rPr>
        <w:t>reference.  </w:t>
      </w:r>
      <w:r>
        <w:rPr>
          <w:sz w:val="21"/>
        </w:rPr>
        <w:t>The  </w:t>
      </w:r>
      <w:r>
        <w:rPr>
          <w:spacing w:val="-4"/>
          <w:sz w:val="21"/>
        </w:rPr>
        <w:t>Commission’s  </w:t>
      </w:r>
      <w:r>
        <w:rPr>
          <w:spacing w:val="-3"/>
          <w:sz w:val="21"/>
        </w:rPr>
        <w:t>findings  </w:t>
      </w:r>
      <w:r>
        <w:rPr>
          <w:sz w:val="21"/>
        </w:rPr>
        <w:t>and  </w:t>
      </w:r>
      <w:r>
        <w:rPr>
          <w:spacing w:val="-3"/>
          <w:sz w:val="21"/>
        </w:rPr>
        <w:t>recommendations  are  summarised  </w:t>
      </w:r>
      <w:r>
        <w:rPr>
          <w:sz w:val="21"/>
        </w:rPr>
        <w:t>below in</w:t>
      </w:r>
      <w:r>
        <w:rPr>
          <w:spacing w:val="8"/>
          <w:sz w:val="21"/>
        </w:rPr>
        <w:t> </w:t>
      </w:r>
      <w:r>
        <w:rPr>
          <w:sz w:val="21"/>
        </w:rPr>
        <w:t>the</w:t>
      </w:r>
      <w:r>
        <w:rPr>
          <w:spacing w:val="9"/>
          <w:sz w:val="21"/>
        </w:rPr>
        <w:t> </w:t>
      </w:r>
      <w:r>
        <w:rPr>
          <w:sz w:val="21"/>
        </w:rPr>
        <w:t>order</w:t>
      </w:r>
      <w:r>
        <w:rPr>
          <w:spacing w:val="8"/>
          <w:sz w:val="21"/>
        </w:rPr>
        <w:t> </w:t>
      </w:r>
      <w:r>
        <w:rPr>
          <w:sz w:val="21"/>
        </w:rPr>
        <w:t>in</w:t>
      </w:r>
      <w:r>
        <w:rPr>
          <w:spacing w:val="9"/>
          <w:sz w:val="21"/>
        </w:rPr>
        <w:t> </w:t>
      </w:r>
      <w:r>
        <w:rPr>
          <w:sz w:val="21"/>
        </w:rPr>
        <w:t>which</w:t>
      </w:r>
      <w:r>
        <w:rPr>
          <w:spacing w:val="8"/>
          <w:sz w:val="21"/>
        </w:rPr>
        <w:t> </w:t>
      </w:r>
      <w:r>
        <w:rPr>
          <w:sz w:val="21"/>
        </w:rPr>
        <w:t>they</w:t>
      </w:r>
      <w:r>
        <w:rPr>
          <w:spacing w:val="9"/>
          <w:sz w:val="21"/>
        </w:rPr>
        <w:t> </w:t>
      </w:r>
      <w:r>
        <w:rPr>
          <w:spacing w:val="-3"/>
          <w:sz w:val="21"/>
        </w:rPr>
        <w:t>are</w:t>
      </w:r>
      <w:r>
        <w:rPr>
          <w:spacing w:val="9"/>
          <w:sz w:val="21"/>
        </w:rPr>
        <w:t> </w:t>
      </w:r>
      <w:r>
        <w:rPr>
          <w:sz w:val="21"/>
        </w:rPr>
        <w:t>discussed</w:t>
      </w:r>
      <w:r>
        <w:rPr>
          <w:spacing w:val="8"/>
          <w:sz w:val="21"/>
        </w:rPr>
        <w:t> </w:t>
      </w:r>
      <w:r>
        <w:rPr>
          <w:sz w:val="21"/>
        </w:rPr>
        <w:t>in</w:t>
      </w:r>
      <w:r>
        <w:rPr>
          <w:spacing w:val="9"/>
          <w:sz w:val="21"/>
        </w:rPr>
        <w:t> </w:t>
      </w:r>
      <w:r>
        <w:rPr>
          <w:sz w:val="21"/>
        </w:rPr>
        <w:t>the</w:t>
      </w:r>
      <w:r>
        <w:rPr>
          <w:spacing w:val="8"/>
          <w:sz w:val="21"/>
        </w:rPr>
        <w:t> </w:t>
      </w:r>
      <w:r>
        <w:rPr>
          <w:sz w:val="21"/>
        </w:rPr>
        <w:t>report.</w:t>
      </w:r>
    </w:p>
    <w:p>
      <w:pPr>
        <w:pStyle w:val="ListParagraph"/>
        <w:numPr>
          <w:ilvl w:val="0"/>
          <w:numId w:val="4"/>
        </w:numPr>
        <w:tabs>
          <w:tab w:pos="1927" w:val="left" w:leader="none"/>
          <w:tab w:pos="1928" w:val="left" w:leader="none"/>
        </w:tabs>
        <w:spacing w:line="242" w:lineRule="auto" w:before="124" w:after="0"/>
        <w:ind w:left="1927" w:right="1603" w:hanging="340"/>
        <w:jc w:val="left"/>
        <w:rPr>
          <w:sz w:val="21"/>
        </w:rPr>
      </w:pPr>
      <w:r>
        <w:rPr>
          <w:w w:val="105"/>
          <w:sz w:val="21"/>
        </w:rPr>
        <w:t>Most </w:t>
      </w:r>
      <w:r>
        <w:rPr>
          <w:spacing w:val="-3"/>
          <w:w w:val="105"/>
          <w:sz w:val="21"/>
        </w:rPr>
        <w:t>of </w:t>
      </w:r>
      <w:r>
        <w:rPr>
          <w:w w:val="105"/>
          <w:sz w:val="21"/>
        </w:rPr>
        <w:t>the </w:t>
      </w:r>
      <w:r>
        <w:rPr>
          <w:spacing w:val="-3"/>
          <w:w w:val="105"/>
          <w:sz w:val="21"/>
        </w:rPr>
        <w:t>law under review </w:t>
      </w:r>
      <w:r>
        <w:rPr>
          <w:w w:val="105"/>
          <w:sz w:val="21"/>
        </w:rPr>
        <w:t>is </w:t>
      </w:r>
      <w:r>
        <w:rPr>
          <w:spacing w:val="-4"/>
          <w:w w:val="105"/>
          <w:sz w:val="21"/>
        </w:rPr>
        <w:t>contained </w:t>
      </w:r>
      <w:r>
        <w:rPr>
          <w:spacing w:val="-3"/>
          <w:w w:val="105"/>
          <w:sz w:val="21"/>
        </w:rPr>
        <w:t>in </w:t>
      </w:r>
      <w:r>
        <w:rPr>
          <w:w w:val="105"/>
          <w:sz w:val="21"/>
        </w:rPr>
        <w:t>the </w:t>
      </w:r>
      <w:r>
        <w:rPr>
          <w:spacing w:val="-4"/>
          <w:w w:val="105"/>
          <w:sz w:val="21"/>
        </w:rPr>
        <w:t>Administration </w:t>
      </w:r>
      <w:r>
        <w:rPr>
          <w:spacing w:val="-3"/>
          <w:w w:val="105"/>
          <w:sz w:val="21"/>
        </w:rPr>
        <w:t>and Probate </w:t>
      </w:r>
      <w:r>
        <w:rPr>
          <w:w w:val="105"/>
          <w:sz w:val="21"/>
        </w:rPr>
        <w:t>Act </w:t>
      </w:r>
      <w:r>
        <w:rPr>
          <w:spacing w:val="-3"/>
          <w:w w:val="105"/>
          <w:sz w:val="21"/>
        </w:rPr>
        <w:t>and </w:t>
      </w:r>
      <w:r>
        <w:rPr>
          <w:w w:val="105"/>
          <w:sz w:val="21"/>
        </w:rPr>
        <w:t>the </w:t>
      </w:r>
      <w:r>
        <w:rPr>
          <w:spacing w:val="-5"/>
          <w:w w:val="105"/>
          <w:sz w:val="21"/>
        </w:rPr>
        <w:t>Commission’s </w:t>
      </w:r>
      <w:r>
        <w:rPr>
          <w:spacing w:val="-4"/>
          <w:w w:val="105"/>
          <w:sz w:val="21"/>
        </w:rPr>
        <w:t>recommendations, </w:t>
      </w:r>
      <w:r>
        <w:rPr>
          <w:w w:val="105"/>
          <w:sz w:val="21"/>
        </w:rPr>
        <w:t>if </w:t>
      </w:r>
      <w:r>
        <w:rPr>
          <w:spacing w:val="-4"/>
          <w:w w:val="105"/>
          <w:sz w:val="21"/>
        </w:rPr>
        <w:t>implemented, </w:t>
      </w:r>
      <w:r>
        <w:rPr>
          <w:spacing w:val="-3"/>
          <w:w w:val="105"/>
          <w:sz w:val="21"/>
        </w:rPr>
        <w:t>would </w:t>
      </w:r>
      <w:r>
        <w:rPr>
          <w:spacing w:val="-4"/>
          <w:w w:val="105"/>
          <w:sz w:val="21"/>
        </w:rPr>
        <w:t>require substantial </w:t>
      </w:r>
      <w:r>
        <w:rPr>
          <w:spacing w:val="-3"/>
          <w:w w:val="105"/>
          <w:sz w:val="21"/>
        </w:rPr>
        <w:t>amendments to that </w:t>
      </w:r>
      <w:r>
        <w:rPr>
          <w:spacing w:val="-4"/>
          <w:w w:val="105"/>
          <w:sz w:val="21"/>
        </w:rPr>
        <w:t>legislation. </w:t>
      </w:r>
      <w:r>
        <w:rPr>
          <w:w w:val="105"/>
          <w:sz w:val="21"/>
        </w:rPr>
        <w:t>In </w:t>
      </w:r>
      <w:r>
        <w:rPr>
          <w:spacing w:val="-4"/>
          <w:w w:val="105"/>
          <w:sz w:val="21"/>
        </w:rPr>
        <w:t>considering </w:t>
      </w:r>
      <w:r>
        <w:rPr>
          <w:w w:val="105"/>
          <w:sz w:val="21"/>
        </w:rPr>
        <w:t>the </w:t>
      </w:r>
      <w:r>
        <w:rPr>
          <w:spacing w:val="-4"/>
          <w:w w:val="105"/>
          <w:sz w:val="21"/>
        </w:rPr>
        <w:t>provisions </w:t>
      </w:r>
      <w:r>
        <w:rPr>
          <w:spacing w:val="-3"/>
          <w:w w:val="105"/>
          <w:sz w:val="21"/>
        </w:rPr>
        <w:t>of </w:t>
      </w:r>
      <w:r>
        <w:rPr>
          <w:w w:val="105"/>
          <w:sz w:val="21"/>
        </w:rPr>
        <w:t>the </w:t>
      </w:r>
      <w:r>
        <w:rPr>
          <w:spacing w:val="-4"/>
          <w:w w:val="105"/>
          <w:sz w:val="21"/>
        </w:rPr>
        <w:t>Administration </w:t>
      </w:r>
      <w:r>
        <w:rPr>
          <w:spacing w:val="-3"/>
          <w:w w:val="105"/>
          <w:sz w:val="21"/>
        </w:rPr>
        <w:t>and Probate </w:t>
      </w:r>
      <w:r>
        <w:rPr>
          <w:w w:val="105"/>
          <w:sz w:val="21"/>
        </w:rPr>
        <w:t>Act </w:t>
      </w:r>
      <w:r>
        <w:rPr>
          <w:spacing w:val="-3"/>
          <w:w w:val="105"/>
          <w:sz w:val="21"/>
        </w:rPr>
        <w:t>that </w:t>
      </w:r>
      <w:r>
        <w:rPr>
          <w:spacing w:val="-4"/>
          <w:w w:val="105"/>
          <w:sz w:val="21"/>
        </w:rPr>
        <w:t>fall </w:t>
      </w:r>
      <w:r>
        <w:rPr>
          <w:spacing w:val="-3"/>
          <w:w w:val="105"/>
          <w:sz w:val="21"/>
        </w:rPr>
        <w:t>within </w:t>
      </w:r>
      <w:r>
        <w:rPr>
          <w:w w:val="105"/>
          <w:sz w:val="21"/>
        </w:rPr>
        <w:t>the </w:t>
      </w:r>
      <w:r>
        <w:rPr>
          <w:spacing w:val="-3"/>
          <w:w w:val="105"/>
          <w:sz w:val="21"/>
        </w:rPr>
        <w:t>terms of </w:t>
      </w:r>
      <w:r>
        <w:rPr>
          <w:spacing w:val="-5"/>
          <w:w w:val="105"/>
          <w:sz w:val="21"/>
        </w:rPr>
        <w:t>reference, </w:t>
      </w:r>
      <w:r>
        <w:rPr>
          <w:w w:val="105"/>
          <w:sz w:val="21"/>
        </w:rPr>
        <w:t>the </w:t>
      </w:r>
      <w:r>
        <w:rPr>
          <w:spacing w:val="-4"/>
          <w:w w:val="105"/>
          <w:sz w:val="21"/>
        </w:rPr>
        <w:t>Commission </w:t>
      </w:r>
      <w:r>
        <w:rPr>
          <w:spacing w:val="-3"/>
          <w:w w:val="105"/>
          <w:sz w:val="21"/>
        </w:rPr>
        <w:t>noticed that other </w:t>
      </w:r>
      <w:r>
        <w:rPr>
          <w:w w:val="105"/>
          <w:sz w:val="21"/>
        </w:rPr>
        <w:t>parts </w:t>
      </w:r>
      <w:r>
        <w:rPr>
          <w:spacing w:val="-3"/>
          <w:w w:val="105"/>
          <w:sz w:val="21"/>
        </w:rPr>
        <w:t>of </w:t>
      </w:r>
      <w:r>
        <w:rPr>
          <w:w w:val="105"/>
          <w:sz w:val="21"/>
        </w:rPr>
        <w:t>the Act </w:t>
      </w:r>
      <w:r>
        <w:rPr>
          <w:spacing w:val="-4"/>
          <w:w w:val="105"/>
          <w:sz w:val="21"/>
        </w:rPr>
        <w:t>require</w:t>
      </w:r>
      <w:r>
        <w:rPr>
          <w:spacing w:val="-9"/>
          <w:w w:val="105"/>
          <w:sz w:val="21"/>
        </w:rPr>
        <w:t> </w:t>
      </w:r>
      <w:r>
        <w:rPr>
          <w:spacing w:val="-4"/>
          <w:w w:val="105"/>
          <w:sz w:val="21"/>
        </w:rPr>
        <w:t>revision</w:t>
      </w:r>
    </w:p>
    <w:p>
      <w:pPr>
        <w:pStyle w:val="BodyText"/>
        <w:spacing w:before="4"/>
        <w:ind w:left="1927"/>
      </w:pPr>
      <w:r>
        <w:rPr>
          <w:w w:val="105"/>
        </w:rPr>
        <w:t>to correct errors and ambiguities. Ideally, the whole Act should be revised and re-enacted.</w:t>
      </w:r>
    </w:p>
    <w:p>
      <w:pPr>
        <w:pStyle w:val="BodyText"/>
        <w:spacing w:before="6"/>
        <w:rPr>
          <w:sz w:val="23"/>
        </w:rPr>
      </w:pPr>
    </w:p>
    <w:p>
      <w:pPr>
        <w:pStyle w:val="Heading4"/>
      </w:pPr>
      <w:r>
        <w:rPr>
          <w:color w:val="EC5A4F"/>
          <w:w w:val="110"/>
        </w:rPr>
        <w:t>Wills</w:t>
      </w:r>
    </w:p>
    <w:p>
      <w:pPr>
        <w:pStyle w:val="ListParagraph"/>
        <w:numPr>
          <w:ilvl w:val="0"/>
          <w:numId w:val="4"/>
        </w:numPr>
        <w:tabs>
          <w:tab w:pos="1927" w:val="left" w:leader="none"/>
          <w:tab w:pos="1928" w:val="left" w:leader="none"/>
        </w:tabs>
        <w:spacing w:line="242" w:lineRule="auto" w:before="155" w:after="0"/>
        <w:ind w:left="1927" w:right="1747" w:hanging="340"/>
        <w:jc w:val="left"/>
        <w:rPr>
          <w:sz w:val="21"/>
        </w:rPr>
      </w:pPr>
      <w:r>
        <w:rPr>
          <w:sz w:val="21"/>
        </w:rPr>
        <w:t>The </w:t>
      </w:r>
      <w:r>
        <w:rPr>
          <w:spacing w:val="-3"/>
          <w:sz w:val="21"/>
        </w:rPr>
        <w:t>terms </w:t>
      </w:r>
      <w:r>
        <w:rPr>
          <w:sz w:val="21"/>
        </w:rPr>
        <w:t>of </w:t>
      </w:r>
      <w:r>
        <w:rPr>
          <w:spacing w:val="-3"/>
          <w:sz w:val="21"/>
        </w:rPr>
        <w:t>reference </w:t>
      </w:r>
      <w:r>
        <w:rPr>
          <w:sz w:val="21"/>
        </w:rPr>
        <w:t>set out three topics under the </w:t>
      </w:r>
      <w:r>
        <w:rPr>
          <w:spacing w:val="-3"/>
          <w:sz w:val="21"/>
        </w:rPr>
        <w:t>heading </w:t>
      </w:r>
      <w:r>
        <w:rPr>
          <w:spacing w:val="-5"/>
          <w:sz w:val="21"/>
        </w:rPr>
        <w:t>‘wills’. </w:t>
      </w:r>
      <w:r>
        <w:rPr>
          <w:sz w:val="21"/>
        </w:rPr>
        <w:t>They </w:t>
      </w:r>
      <w:r>
        <w:rPr>
          <w:spacing w:val="-3"/>
          <w:sz w:val="21"/>
        </w:rPr>
        <w:t>concern </w:t>
      </w:r>
      <w:r>
        <w:rPr>
          <w:sz w:val="21"/>
        </w:rPr>
        <w:t>witnessing </w:t>
      </w:r>
      <w:r>
        <w:rPr>
          <w:spacing w:val="-3"/>
          <w:sz w:val="21"/>
        </w:rPr>
        <w:t>requirements, </w:t>
      </w:r>
      <w:r>
        <w:rPr>
          <w:sz w:val="21"/>
        </w:rPr>
        <w:t>statutory </w:t>
      </w:r>
      <w:r>
        <w:rPr>
          <w:spacing w:val="-3"/>
          <w:sz w:val="21"/>
        </w:rPr>
        <w:t>wills, </w:t>
      </w:r>
      <w:r>
        <w:rPr>
          <w:sz w:val="21"/>
        </w:rPr>
        <w:t>and</w:t>
      </w:r>
      <w:r>
        <w:rPr>
          <w:spacing w:val="42"/>
          <w:sz w:val="21"/>
        </w:rPr>
        <w:t> </w:t>
      </w:r>
      <w:r>
        <w:rPr>
          <w:sz w:val="21"/>
        </w:rPr>
        <w:t>ademption.</w:t>
      </w:r>
    </w:p>
    <w:p>
      <w:pPr>
        <w:pStyle w:val="BodyText"/>
        <w:spacing w:before="11"/>
        <w:rPr>
          <w:sz w:val="24"/>
        </w:rPr>
      </w:pPr>
    </w:p>
    <w:p>
      <w:pPr>
        <w:pStyle w:val="Heading5"/>
      </w:pPr>
      <w:r>
        <w:rPr>
          <w:w w:val="115"/>
        </w:rPr>
        <w:t>Witnessing requirements and undue influence</w:t>
      </w:r>
    </w:p>
    <w:p>
      <w:pPr>
        <w:pStyle w:val="ListParagraph"/>
        <w:numPr>
          <w:ilvl w:val="0"/>
          <w:numId w:val="4"/>
        </w:numPr>
        <w:tabs>
          <w:tab w:pos="1927" w:val="left" w:leader="none"/>
          <w:tab w:pos="1928" w:val="left" w:leader="none"/>
        </w:tabs>
        <w:spacing w:line="242" w:lineRule="auto" w:before="137" w:after="0"/>
        <w:ind w:left="1927" w:right="1757" w:hanging="340"/>
        <w:jc w:val="left"/>
        <w:rPr>
          <w:sz w:val="21"/>
        </w:rPr>
      </w:pPr>
      <w:r>
        <w:rPr>
          <w:sz w:val="21"/>
        </w:rPr>
        <w:t>The first topic is whether the </w:t>
      </w:r>
      <w:r>
        <w:rPr>
          <w:spacing w:val="-3"/>
          <w:sz w:val="21"/>
        </w:rPr>
        <w:t>current requirements for </w:t>
      </w:r>
      <w:r>
        <w:rPr>
          <w:sz w:val="21"/>
        </w:rPr>
        <w:t>witnessing </w:t>
      </w:r>
      <w:r>
        <w:rPr>
          <w:spacing w:val="-3"/>
          <w:sz w:val="21"/>
        </w:rPr>
        <w:t>wills </w:t>
      </w:r>
      <w:r>
        <w:rPr>
          <w:sz w:val="21"/>
        </w:rPr>
        <w:t>should be revised </w:t>
      </w:r>
      <w:r>
        <w:rPr>
          <w:spacing w:val="-3"/>
          <w:sz w:val="21"/>
        </w:rPr>
        <w:t>to </w:t>
      </w:r>
      <w:r>
        <w:rPr>
          <w:sz w:val="21"/>
        </w:rPr>
        <w:t>better protect older and </w:t>
      </w:r>
      <w:r>
        <w:rPr>
          <w:spacing w:val="-3"/>
          <w:sz w:val="21"/>
        </w:rPr>
        <w:t>vulnerable </w:t>
      </w:r>
      <w:r>
        <w:rPr>
          <w:spacing w:val="-2"/>
          <w:sz w:val="21"/>
        </w:rPr>
        <w:t>will-makers. </w:t>
      </w:r>
      <w:r>
        <w:rPr>
          <w:sz w:val="21"/>
        </w:rPr>
        <w:t>While the </w:t>
      </w:r>
      <w:r>
        <w:rPr>
          <w:spacing w:val="-3"/>
          <w:sz w:val="21"/>
        </w:rPr>
        <w:t>Commission found </w:t>
      </w:r>
      <w:r>
        <w:rPr>
          <w:sz w:val="21"/>
        </w:rPr>
        <w:t>widespread </w:t>
      </w:r>
      <w:r>
        <w:rPr>
          <w:spacing w:val="-3"/>
          <w:sz w:val="21"/>
        </w:rPr>
        <w:t>concern </w:t>
      </w:r>
      <w:r>
        <w:rPr>
          <w:sz w:val="21"/>
        </w:rPr>
        <w:t>about </w:t>
      </w:r>
      <w:r>
        <w:rPr>
          <w:spacing w:val="-3"/>
          <w:sz w:val="21"/>
        </w:rPr>
        <w:t>potential </w:t>
      </w:r>
      <w:r>
        <w:rPr>
          <w:sz w:val="21"/>
        </w:rPr>
        <w:t>beneficiaries improperly </w:t>
      </w:r>
      <w:r>
        <w:rPr>
          <w:spacing w:val="-3"/>
          <w:sz w:val="21"/>
        </w:rPr>
        <w:t>prevailing </w:t>
      </w:r>
      <w:r>
        <w:rPr>
          <w:sz w:val="21"/>
        </w:rPr>
        <w:t>upon </w:t>
      </w:r>
      <w:r>
        <w:rPr>
          <w:spacing w:val="-3"/>
          <w:sz w:val="21"/>
        </w:rPr>
        <w:t>vulnerable  </w:t>
      </w:r>
      <w:r>
        <w:rPr>
          <w:sz w:val="21"/>
        </w:rPr>
        <w:t>will-makers  </w:t>
      </w:r>
      <w:r>
        <w:rPr>
          <w:spacing w:val="-3"/>
          <w:sz w:val="21"/>
        </w:rPr>
        <w:t>to </w:t>
      </w:r>
      <w:r>
        <w:rPr>
          <w:spacing w:val="-4"/>
          <w:sz w:val="21"/>
        </w:rPr>
        <w:t>make </w:t>
      </w:r>
      <w:r>
        <w:rPr>
          <w:spacing w:val="-3"/>
          <w:sz w:val="21"/>
        </w:rPr>
        <w:t>wills that </w:t>
      </w:r>
      <w:r>
        <w:rPr>
          <w:sz w:val="21"/>
        </w:rPr>
        <w:t>do </w:t>
      </w:r>
      <w:r>
        <w:rPr>
          <w:spacing w:val="-2"/>
          <w:sz w:val="21"/>
        </w:rPr>
        <w:t>not </w:t>
      </w:r>
      <w:r>
        <w:rPr>
          <w:sz w:val="21"/>
        </w:rPr>
        <w:t>reflect their wishes, there was little support </w:t>
      </w:r>
      <w:r>
        <w:rPr>
          <w:spacing w:val="-3"/>
          <w:sz w:val="21"/>
        </w:rPr>
        <w:t>for </w:t>
      </w:r>
      <w:r>
        <w:rPr>
          <w:sz w:val="21"/>
        </w:rPr>
        <w:t>the view </w:t>
      </w:r>
      <w:r>
        <w:rPr>
          <w:spacing w:val="-3"/>
          <w:sz w:val="21"/>
        </w:rPr>
        <w:t>that  changing  </w:t>
      </w:r>
      <w:r>
        <w:rPr>
          <w:sz w:val="21"/>
        </w:rPr>
        <w:t>the</w:t>
      </w:r>
      <w:r>
        <w:rPr>
          <w:spacing w:val="9"/>
          <w:sz w:val="21"/>
        </w:rPr>
        <w:t> </w:t>
      </w:r>
      <w:r>
        <w:rPr>
          <w:sz w:val="21"/>
        </w:rPr>
        <w:t>witnessing</w:t>
      </w:r>
      <w:r>
        <w:rPr>
          <w:spacing w:val="10"/>
          <w:sz w:val="21"/>
        </w:rPr>
        <w:t> </w:t>
      </w:r>
      <w:r>
        <w:rPr>
          <w:spacing w:val="-3"/>
          <w:sz w:val="21"/>
        </w:rPr>
        <w:t>requirements</w:t>
      </w:r>
      <w:r>
        <w:rPr>
          <w:spacing w:val="10"/>
          <w:sz w:val="21"/>
        </w:rPr>
        <w:t> </w:t>
      </w:r>
      <w:r>
        <w:rPr>
          <w:sz w:val="21"/>
        </w:rPr>
        <w:t>would</w:t>
      </w:r>
      <w:r>
        <w:rPr>
          <w:spacing w:val="10"/>
          <w:sz w:val="21"/>
        </w:rPr>
        <w:t> </w:t>
      </w:r>
      <w:r>
        <w:rPr>
          <w:sz w:val="21"/>
        </w:rPr>
        <w:t>deal</w:t>
      </w:r>
      <w:r>
        <w:rPr>
          <w:spacing w:val="10"/>
          <w:sz w:val="21"/>
        </w:rPr>
        <w:t> </w:t>
      </w:r>
      <w:r>
        <w:rPr>
          <w:sz w:val="21"/>
        </w:rPr>
        <w:t>with</w:t>
      </w:r>
      <w:r>
        <w:rPr>
          <w:spacing w:val="10"/>
          <w:sz w:val="21"/>
        </w:rPr>
        <w:t> </w:t>
      </w:r>
      <w:r>
        <w:rPr>
          <w:sz w:val="21"/>
        </w:rPr>
        <w:t>this</w:t>
      </w:r>
      <w:r>
        <w:rPr>
          <w:spacing w:val="10"/>
          <w:sz w:val="21"/>
        </w:rPr>
        <w:t> </w:t>
      </w:r>
      <w:r>
        <w:rPr>
          <w:spacing w:val="-3"/>
          <w:sz w:val="21"/>
        </w:rPr>
        <w:t>problem.</w:t>
      </w:r>
    </w:p>
    <w:p>
      <w:pPr>
        <w:pStyle w:val="ListParagraph"/>
        <w:numPr>
          <w:ilvl w:val="0"/>
          <w:numId w:val="4"/>
        </w:numPr>
        <w:tabs>
          <w:tab w:pos="1928" w:val="left" w:leader="none"/>
        </w:tabs>
        <w:spacing w:line="242" w:lineRule="auto" w:before="126" w:after="0"/>
        <w:ind w:left="1927" w:right="1752" w:hanging="340"/>
        <w:jc w:val="left"/>
        <w:rPr>
          <w:sz w:val="21"/>
        </w:rPr>
      </w:pPr>
      <w:r>
        <w:rPr>
          <w:spacing w:val="-3"/>
          <w:w w:val="105"/>
          <w:sz w:val="21"/>
        </w:rPr>
        <w:t>Proving</w:t>
      </w:r>
      <w:r>
        <w:rPr>
          <w:spacing w:val="-9"/>
          <w:w w:val="105"/>
          <w:sz w:val="21"/>
        </w:rPr>
        <w:t> </w:t>
      </w:r>
      <w:r>
        <w:rPr>
          <w:spacing w:val="-3"/>
          <w:w w:val="105"/>
          <w:sz w:val="21"/>
        </w:rPr>
        <w:t>undue</w:t>
      </w:r>
      <w:r>
        <w:rPr>
          <w:spacing w:val="-8"/>
          <w:w w:val="105"/>
          <w:sz w:val="21"/>
        </w:rPr>
        <w:t> </w:t>
      </w:r>
      <w:r>
        <w:rPr>
          <w:spacing w:val="-3"/>
          <w:w w:val="105"/>
          <w:sz w:val="21"/>
        </w:rPr>
        <w:t>influence</w:t>
      </w:r>
      <w:r>
        <w:rPr>
          <w:spacing w:val="-9"/>
          <w:w w:val="105"/>
          <w:sz w:val="21"/>
        </w:rPr>
        <w:t> </w:t>
      </w:r>
      <w:r>
        <w:rPr>
          <w:w w:val="105"/>
          <w:sz w:val="21"/>
        </w:rPr>
        <w:t>in</w:t>
      </w:r>
      <w:r>
        <w:rPr>
          <w:spacing w:val="-8"/>
          <w:w w:val="105"/>
          <w:sz w:val="21"/>
        </w:rPr>
        <w:t> </w:t>
      </w:r>
      <w:r>
        <w:rPr>
          <w:spacing w:val="-3"/>
          <w:w w:val="105"/>
          <w:sz w:val="21"/>
        </w:rPr>
        <w:t>probate</w:t>
      </w:r>
      <w:r>
        <w:rPr>
          <w:spacing w:val="-9"/>
          <w:w w:val="105"/>
          <w:sz w:val="21"/>
        </w:rPr>
        <w:t> </w:t>
      </w:r>
      <w:r>
        <w:rPr>
          <w:w w:val="105"/>
          <w:sz w:val="21"/>
        </w:rPr>
        <w:t>matters</w:t>
      </w:r>
      <w:r>
        <w:rPr>
          <w:spacing w:val="-8"/>
          <w:w w:val="105"/>
          <w:sz w:val="21"/>
        </w:rPr>
        <w:t> </w:t>
      </w:r>
      <w:r>
        <w:rPr>
          <w:spacing w:val="-2"/>
          <w:w w:val="105"/>
          <w:sz w:val="21"/>
        </w:rPr>
        <w:t>has</w:t>
      </w:r>
      <w:r>
        <w:rPr>
          <w:spacing w:val="-9"/>
          <w:w w:val="105"/>
          <w:sz w:val="21"/>
        </w:rPr>
        <w:t> </w:t>
      </w:r>
      <w:r>
        <w:rPr>
          <w:spacing w:val="-3"/>
          <w:w w:val="105"/>
          <w:sz w:val="21"/>
        </w:rPr>
        <w:t>traditionally</w:t>
      </w:r>
      <w:r>
        <w:rPr>
          <w:spacing w:val="-8"/>
          <w:w w:val="105"/>
          <w:sz w:val="21"/>
        </w:rPr>
        <w:t> </w:t>
      </w:r>
      <w:r>
        <w:rPr>
          <w:w w:val="105"/>
          <w:sz w:val="21"/>
        </w:rPr>
        <w:t>been</w:t>
      </w:r>
      <w:r>
        <w:rPr>
          <w:spacing w:val="-9"/>
          <w:w w:val="105"/>
          <w:sz w:val="21"/>
        </w:rPr>
        <w:t> </w:t>
      </w:r>
      <w:r>
        <w:rPr>
          <w:w w:val="105"/>
          <w:sz w:val="21"/>
        </w:rPr>
        <w:t>difficult.</w:t>
      </w:r>
      <w:r>
        <w:rPr>
          <w:spacing w:val="-8"/>
          <w:w w:val="105"/>
          <w:sz w:val="21"/>
        </w:rPr>
        <w:t> </w:t>
      </w:r>
      <w:r>
        <w:rPr>
          <w:spacing w:val="-3"/>
          <w:w w:val="105"/>
          <w:sz w:val="21"/>
        </w:rPr>
        <w:t>Fortunately,</w:t>
      </w:r>
      <w:r>
        <w:rPr>
          <w:spacing w:val="-9"/>
          <w:w w:val="105"/>
          <w:sz w:val="21"/>
        </w:rPr>
        <w:t> </w:t>
      </w:r>
      <w:r>
        <w:rPr>
          <w:spacing w:val="-3"/>
          <w:w w:val="105"/>
          <w:sz w:val="21"/>
        </w:rPr>
        <w:t>recent </w:t>
      </w:r>
      <w:r>
        <w:rPr>
          <w:w w:val="105"/>
          <w:sz w:val="21"/>
        </w:rPr>
        <w:t>developments</w:t>
      </w:r>
      <w:r>
        <w:rPr>
          <w:spacing w:val="-7"/>
          <w:w w:val="105"/>
          <w:sz w:val="21"/>
        </w:rPr>
        <w:t> </w:t>
      </w:r>
      <w:r>
        <w:rPr>
          <w:w w:val="105"/>
          <w:sz w:val="21"/>
        </w:rPr>
        <w:t>in</w:t>
      </w:r>
      <w:r>
        <w:rPr>
          <w:spacing w:val="-7"/>
          <w:w w:val="105"/>
          <w:sz w:val="21"/>
        </w:rPr>
        <w:t> </w:t>
      </w:r>
      <w:r>
        <w:rPr>
          <w:w w:val="105"/>
          <w:sz w:val="21"/>
        </w:rPr>
        <w:t>the</w:t>
      </w:r>
      <w:r>
        <w:rPr>
          <w:spacing w:val="-7"/>
          <w:w w:val="105"/>
          <w:sz w:val="21"/>
        </w:rPr>
        <w:t> </w:t>
      </w:r>
      <w:r>
        <w:rPr>
          <w:spacing w:val="-2"/>
          <w:w w:val="105"/>
          <w:sz w:val="21"/>
        </w:rPr>
        <w:t>common</w:t>
      </w:r>
      <w:r>
        <w:rPr>
          <w:spacing w:val="-7"/>
          <w:w w:val="105"/>
          <w:sz w:val="21"/>
        </w:rPr>
        <w:t> </w:t>
      </w:r>
      <w:r>
        <w:rPr>
          <w:w w:val="105"/>
          <w:sz w:val="21"/>
        </w:rPr>
        <w:t>law</w:t>
      </w:r>
      <w:r>
        <w:rPr>
          <w:spacing w:val="-7"/>
          <w:w w:val="105"/>
          <w:sz w:val="21"/>
        </w:rPr>
        <w:t> </w:t>
      </w:r>
      <w:r>
        <w:rPr>
          <w:w w:val="105"/>
          <w:sz w:val="21"/>
        </w:rPr>
        <w:t>test</w:t>
      </w:r>
      <w:r>
        <w:rPr>
          <w:spacing w:val="-7"/>
          <w:w w:val="105"/>
          <w:sz w:val="21"/>
        </w:rPr>
        <w:t> </w:t>
      </w:r>
      <w:r>
        <w:rPr>
          <w:w w:val="105"/>
          <w:sz w:val="21"/>
        </w:rPr>
        <w:t>applied</w:t>
      </w:r>
      <w:r>
        <w:rPr>
          <w:spacing w:val="-7"/>
          <w:w w:val="105"/>
          <w:sz w:val="21"/>
        </w:rPr>
        <w:t> </w:t>
      </w:r>
      <w:r>
        <w:rPr>
          <w:w w:val="105"/>
          <w:sz w:val="21"/>
        </w:rPr>
        <w:t>by</w:t>
      </w:r>
      <w:r>
        <w:rPr>
          <w:spacing w:val="-6"/>
          <w:w w:val="105"/>
          <w:sz w:val="21"/>
        </w:rPr>
        <w:t> </w:t>
      </w:r>
      <w:r>
        <w:rPr>
          <w:w w:val="105"/>
          <w:sz w:val="21"/>
        </w:rPr>
        <w:t>the</w:t>
      </w:r>
      <w:r>
        <w:rPr>
          <w:spacing w:val="-7"/>
          <w:w w:val="105"/>
          <w:sz w:val="21"/>
        </w:rPr>
        <w:t> </w:t>
      </w:r>
      <w:r>
        <w:rPr>
          <w:w w:val="105"/>
          <w:sz w:val="21"/>
        </w:rPr>
        <w:t>court</w:t>
      </w:r>
      <w:r>
        <w:rPr>
          <w:spacing w:val="-7"/>
          <w:w w:val="105"/>
          <w:sz w:val="21"/>
        </w:rPr>
        <w:t> </w:t>
      </w:r>
      <w:r>
        <w:rPr>
          <w:w w:val="105"/>
          <w:sz w:val="21"/>
        </w:rPr>
        <w:t>suggest</w:t>
      </w:r>
      <w:r>
        <w:rPr>
          <w:spacing w:val="-7"/>
          <w:w w:val="105"/>
          <w:sz w:val="21"/>
        </w:rPr>
        <w:t> </w:t>
      </w:r>
      <w:r>
        <w:rPr>
          <w:spacing w:val="-3"/>
          <w:w w:val="105"/>
          <w:sz w:val="21"/>
        </w:rPr>
        <w:t>that</w:t>
      </w:r>
      <w:r>
        <w:rPr>
          <w:spacing w:val="-7"/>
          <w:w w:val="105"/>
          <w:sz w:val="21"/>
        </w:rPr>
        <w:t> </w:t>
      </w:r>
      <w:r>
        <w:rPr>
          <w:w w:val="105"/>
          <w:sz w:val="21"/>
        </w:rPr>
        <w:t>it</w:t>
      </w:r>
      <w:r>
        <w:rPr>
          <w:spacing w:val="-7"/>
          <w:w w:val="105"/>
          <w:sz w:val="21"/>
        </w:rPr>
        <w:t> </w:t>
      </w:r>
      <w:r>
        <w:rPr>
          <w:w w:val="105"/>
          <w:sz w:val="21"/>
        </w:rPr>
        <w:t>is</w:t>
      </w:r>
      <w:r>
        <w:rPr>
          <w:spacing w:val="-7"/>
          <w:w w:val="105"/>
          <w:sz w:val="21"/>
        </w:rPr>
        <w:t> </w:t>
      </w:r>
      <w:r>
        <w:rPr>
          <w:spacing w:val="-2"/>
          <w:w w:val="105"/>
          <w:sz w:val="21"/>
        </w:rPr>
        <w:t>becoming</w:t>
      </w:r>
      <w:r>
        <w:rPr>
          <w:spacing w:val="-7"/>
          <w:w w:val="105"/>
          <w:sz w:val="21"/>
        </w:rPr>
        <w:t> </w:t>
      </w:r>
      <w:r>
        <w:rPr>
          <w:spacing w:val="-2"/>
          <w:w w:val="105"/>
          <w:sz w:val="21"/>
        </w:rPr>
        <w:t>easier </w:t>
      </w:r>
      <w:r>
        <w:rPr>
          <w:spacing w:val="-3"/>
          <w:w w:val="105"/>
          <w:sz w:val="21"/>
        </w:rPr>
        <w:t>to </w:t>
      </w:r>
      <w:r>
        <w:rPr>
          <w:spacing w:val="-4"/>
          <w:w w:val="105"/>
          <w:sz w:val="21"/>
        </w:rPr>
        <w:t>prove. However, </w:t>
      </w:r>
      <w:r>
        <w:rPr>
          <w:w w:val="105"/>
          <w:sz w:val="21"/>
        </w:rPr>
        <w:t>the </w:t>
      </w:r>
      <w:r>
        <w:rPr>
          <w:spacing w:val="-3"/>
          <w:w w:val="105"/>
          <w:sz w:val="21"/>
        </w:rPr>
        <w:t>Canadian province </w:t>
      </w:r>
      <w:r>
        <w:rPr>
          <w:w w:val="105"/>
          <w:sz w:val="21"/>
        </w:rPr>
        <w:t>of </w:t>
      </w:r>
      <w:r>
        <w:rPr>
          <w:spacing w:val="-3"/>
          <w:w w:val="105"/>
          <w:sz w:val="21"/>
        </w:rPr>
        <w:t>British </w:t>
      </w:r>
      <w:r>
        <w:rPr>
          <w:spacing w:val="-4"/>
          <w:w w:val="105"/>
          <w:sz w:val="21"/>
        </w:rPr>
        <w:t>Columbia </w:t>
      </w:r>
      <w:r>
        <w:rPr>
          <w:spacing w:val="-2"/>
          <w:w w:val="105"/>
          <w:sz w:val="21"/>
        </w:rPr>
        <w:t>has </w:t>
      </w:r>
      <w:r>
        <w:rPr>
          <w:spacing w:val="-3"/>
          <w:w w:val="105"/>
          <w:sz w:val="21"/>
        </w:rPr>
        <w:t>recently </w:t>
      </w:r>
      <w:r>
        <w:rPr>
          <w:w w:val="105"/>
          <w:sz w:val="21"/>
        </w:rPr>
        <w:t>passed </w:t>
      </w:r>
      <w:r>
        <w:rPr>
          <w:spacing w:val="-3"/>
          <w:w w:val="105"/>
          <w:sz w:val="21"/>
        </w:rPr>
        <w:t>legislation that introduces </w:t>
      </w:r>
      <w:r>
        <w:rPr>
          <w:w w:val="105"/>
          <w:sz w:val="21"/>
        </w:rPr>
        <w:t>the more flexible equitable doctrine of </w:t>
      </w:r>
      <w:r>
        <w:rPr>
          <w:spacing w:val="-3"/>
          <w:w w:val="105"/>
          <w:sz w:val="21"/>
        </w:rPr>
        <w:t>undue influence </w:t>
      </w:r>
      <w:r>
        <w:rPr>
          <w:spacing w:val="-4"/>
          <w:w w:val="105"/>
          <w:sz w:val="21"/>
        </w:rPr>
        <w:t>into </w:t>
      </w:r>
      <w:r>
        <w:rPr>
          <w:w w:val="105"/>
          <w:sz w:val="21"/>
        </w:rPr>
        <w:t>the </w:t>
      </w:r>
      <w:r>
        <w:rPr>
          <w:spacing w:val="-3"/>
          <w:w w:val="105"/>
          <w:sz w:val="21"/>
        </w:rPr>
        <w:t>probate </w:t>
      </w:r>
      <w:r>
        <w:rPr>
          <w:w w:val="105"/>
          <w:sz w:val="21"/>
        </w:rPr>
        <w:t>context. The </w:t>
      </w:r>
      <w:r>
        <w:rPr>
          <w:spacing w:val="-3"/>
          <w:w w:val="105"/>
          <w:sz w:val="21"/>
        </w:rPr>
        <w:t>Commission recommends that </w:t>
      </w:r>
      <w:r>
        <w:rPr>
          <w:w w:val="105"/>
          <w:sz w:val="21"/>
        </w:rPr>
        <w:t>the Attorney-General cause a report </w:t>
      </w:r>
      <w:r>
        <w:rPr>
          <w:spacing w:val="-3"/>
          <w:w w:val="105"/>
          <w:sz w:val="21"/>
        </w:rPr>
        <w:t>to </w:t>
      </w:r>
      <w:r>
        <w:rPr>
          <w:w w:val="105"/>
          <w:sz w:val="21"/>
        </w:rPr>
        <w:t>be </w:t>
      </w:r>
      <w:r>
        <w:rPr>
          <w:spacing w:val="-3"/>
          <w:w w:val="105"/>
          <w:sz w:val="21"/>
        </w:rPr>
        <w:t>prepared </w:t>
      </w:r>
      <w:r>
        <w:rPr>
          <w:w w:val="105"/>
          <w:sz w:val="21"/>
        </w:rPr>
        <w:t>on the operation of the new </w:t>
      </w:r>
      <w:r>
        <w:rPr>
          <w:spacing w:val="-3"/>
          <w:w w:val="105"/>
          <w:sz w:val="21"/>
        </w:rPr>
        <w:t>legislation </w:t>
      </w:r>
      <w:r>
        <w:rPr>
          <w:w w:val="105"/>
          <w:sz w:val="21"/>
        </w:rPr>
        <w:t>after it </w:t>
      </w:r>
      <w:r>
        <w:rPr>
          <w:spacing w:val="-2"/>
          <w:w w:val="105"/>
          <w:sz w:val="21"/>
        </w:rPr>
        <w:t>has </w:t>
      </w:r>
      <w:r>
        <w:rPr>
          <w:w w:val="105"/>
          <w:sz w:val="21"/>
        </w:rPr>
        <w:t>been in </w:t>
      </w:r>
      <w:r>
        <w:rPr>
          <w:spacing w:val="-3"/>
          <w:w w:val="105"/>
          <w:sz w:val="21"/>
        </w:rPr>
        <w:t>force for four</w:t>
      </w:r>
      <w:r>
        <w:rPr>
          <w:spacing w:val="-11"/>
          <w:w w:val="105"/>
          <w:sz w:val="21"/>
        </w:rPr>
        <w:t> </w:t>
      </w:r>
      <w:r>
        <w:rPr>
          <w:w w:val="105"/>
          <w:sz w:val="21"/>
        </w:rPr>
        <w:t>years.</w:t>
      </w:r>
    </w:p>
    <w:p>
      <w:pPr>
        <w:pStyle w:val="BodyText"/>
        <w:spacing w:line="242" w:lineRule="auto" w:before="6"/>
        <w:ind w:left="1927" w:right="2142"/>
      </w:pPr>
      <w:r>
        <w:rPr>
          <w:w w:val="105"/>
        </w:rPr>
        <w:t>It also </w:t>
      </w:r>
      <w:r>
        <w:rPr>
          <w:spacing w:val="-3"/>
          <w:w w:val="105"/>
        </w:rPr>
        <w:t>recommends that </w:t>
      </w:r>
      <w:r>
        <w:rPr>
          <w:w w:val="105"/>
        </w:rPr>
        <w:t>the Law </w:t>
      </w:r>
      <w:r>
        <w:rPr>
          <w:spacing w:val="-3"/>
          <w:w w:val="105"/>
        </w:rPr>
        <w:t>Institute </w:t>
      </w:r>
      <w:r>
        <w:rPr>
          <w:w w:val="105"/>
        </w:rPr>
        <w:t>of Victoria develop best practice </w:t>
      </w:r>
      <w:r>
        <w:rPr>
          <w:spacing w:val="-3"/>
          <w:w w:val="105"/>
        </w:rPr>
        <w:t>guidelines </w:t>
      </w:r>
      <w:r>
        <w:rPr>
          <w:w w:val="105"/>
        </w:rPr>
        <w:t>on detecting and </w:t>
      </w:r>
      <w:r>
        <w:rPr>
          <w:spacing w:val="-3"/>
          <w:w w:val="105"/>
        </w:rPr>
        <w:t>preventing undue influence </w:t>
      </w:r>
      <w:r>
        <w:rPr>
          <w:w w:val="105"/>
        </w:rPr>
        <w:t>when </w:t>
      </w:r>
      <w:r>
        <w:rPr>
          <w:spacing w:val="-3"/>
          <w:w w:val="105"/>
        </w:rPr>
        <w:t>preparing </w:t>
      </w:r>
      <w:r>
        <w:rPr>
          <w:w w:val="105"/>
        </w:rPr>
        <w:t>a </w:t>
      </w:r>
      <w:r>
        <w:rPr>
          <w:spacing w:val="-3"/>
          <w:w w:val="105"/>
        </w:rPr>
        <w:t>will.</w:t>
      </w:r>
    </w:p>
    <w:p>
      <w:pPr>
        <w:pStyle w:val="BodyText"/>
        <w:spacing w:before="11"/>
        <w:rPr>
          <w:sz w:val="24"/>
        </w:rPr>
      </w:pPr>
    </w:p>
    <w:p>
      <w:pPr>
        <w:pStyle w:val="Heading5"/>
      </w:pPr>
      <w:r>
        <w:rPr>
          <w:w w:val="115"/>
        </w:rPr>
        <w:t>Statutory wills</w:t>
      </w:r>
    </w:p>
    <w:p>
      <w:pPr>
        <w:pStyle w:val="ListParagraph"/>
        <w:numPr>
          <w:ilvl w:val="0"/>
          <w:numId w:val="4"/>
        </w:numPr>
        <w:tabs>
          <w:tab w:pos="1928" w:val="left" w:leader="none"/>
        </w:tabs>
        <w:spacing w:line="242" w:lineRule="auto" w:before="137" w:after="0"/>
        <w:ind w:left="1927" w:right="1750" w:hanging="340"/>
        <w:jc w:val="left"/>
        <w:rPr>
          <w:sz w:val="21"/>
        </w:rPr>
      </w:pPr>
      <w:r>
        <w:rPr>
          <w:w w:val="105"/>
          <w:sz w:val="21"/>
        </w:rPr>
        <w:t>The second topic on </w:t>
      </w:r>
      <w:r>
        <w:rPr>
          <w:spacing w:val="-3"/>
          <w:w w:val="105"/>
          <w:sz w:val="21"/>
        </w:rPr>
        <w:t>wills concerns </w:t>
      </w:r>
      <w:r>
        <w:rPr>
          <w:w w:val="105"/>
          <w:sz w:val="21"/>
        </w:rPr>
        <w:t>the </w:t>
      </w:r>
      <w:r>
        <w:rPr>
          <w:spacing w:val="-3"/>
          <w:w w:val="105"/>
          <w:sz w:val="21"/>
        </w:rPr>
        <w:t>Supreme Court’s </w:t>
      </w:r>
      <w:r>
        <w:rPr>
          <w:w w:val="105"/>
          <w:sz w:val="21"/>
        </w:rPr>
        <w:t>power under the </w:t>
      </w:r>
      <w:r>
        <w:rPr>
          <w:spacing w:val="-3"/>
          <w:w w:val="105"/>
          <w:sz w:val="21"/>
        </w:rPr>
        <w:t>Wills </w:t>
      </w:r>
      <w:r>
        <w:rPr>
          <w:w w:val="105"/>
          <w:sz w:val="21"/>
        </w:rPr>
        <w:t>Act </w:t>
      </w:r>
      <w:r>
        <w:rPr>
          <w:spacing w:val="-3"/>
          <w:w w:val="105"/>
          <w:sz w:val="21"/>
        </w:rPr>
        <w:t>to </w:t>
      </w:r>
      <w:r>
        <w:rPr>
          <w:w w:val="105"/>
          <w:sz w:val="21"/>
        </w:rPr>
        <w:t>authorise a </w:t>
      </w:r>
      <w:r>
        <w:rPr>
          <w:spacing w:val="-3"/>
          <w:w w:val="105"/>
          <w:sz w:val="21"/>
        </w:rPr>
        <w:t>will for </w:t>
      </w:r>
      <w:r>
        <w:rPr>
          <w:w w:val="105"/>
          <w:sz w:val="21"/>
        </w:rPr>
        <w:t>a person </w:t>
      </w:r>
      <w:r>
        <w:rPr>
          <w:spacing w:val="-3"/>
          <w:w w:val="105"/>
          <w:sz w:val="21"/>
        </w:rPr>
        <w:t>lacking </w:t>
      </w:r>
      <w:r>
        <w:rPr>
          <w:w w:val="105"/>
          <w:sz w:val="21"/>
        </w:rPr>
        <w:t>testamentary </w:t>
      </w:r>
      <w:r>
        <w:rPr>
          <w:spacing w:val="-3"/>
          <w:w w:val="105"/>
          <w:sz w:val="21"/>
        </w:rPr>
        <w:t>capacity, </w:t>
      </w:r>
      <w:r>
        <w:rPr>
          <w:w w:val="105"/>
          <w:sz w:val="21"/>
        </w:rPr>
        <w:t>known as a statutory </w:t>
      </w:r>
      <w:r>
        <w:rPr>
          <w:spacing w:val="-3"/>
          <w:w w:val="105"/>
          <w:sz w:val="21"/>
        </w:rPr>
        <w:t>will. Similar </w:t>
      </w:r>
      <w:r>
        <w:rPr>
          <w:w w:val="105"/>
          <w:sz w:val="21"/>
        </w:rPr>
        <w:t>schemes exist in </w:t>
      </w:r>
      <w:r>
        <w:rPr>
          <w:spacing w:val="-3"/>
          <w:w w:val="105"/>
          <w:sz w:val="21"/>
        </w:rPr>
        <w:t>all </w:t>
      </w:r>
      <w:r>
        <w:rPr>
          <w:w w:val="105"/>
          <w:sz w:val="21"/>
        </w:rPr>
        <w:t>other jurisdictions and the model </w:t>
      </w:r>
      <w:r>
        <w:rPr>
          <w:spacing w:val="-3"/>
          <w:w w:val="105"/>
          <w:sz w:val="21"/>
        </w:rPr>
        <w:t>uniform legislation. </w:t>
      </w:r>
      <w:r>
        <w:rPr>
          <w:w w:val="105"/>
          <w:sz w:val="21"/>
        </w:rPr>
        <w:t>The </w:t>
      </w:r>
      <w:r>
        <w:rPr>
          <w:spacing w:val="-4"/>
          <w:w w:val="105"/>
          <w:sz w:val="21"/>
        </w:rPr>
        <w:t>Commission’s </w:t>
      </w:r>
      <w:r>
        <w:rPr>
          <w:spacing w:val="-3"/>
          <w:w w:val="105"/>
          <w:sz w:val="21"/>
        </w:rPr>
        <w:t>consultations</w:t>
      </w:r>
      <w:r>
        <w:rPr>
          <w:spacing w:val="-9"/>
          <w:w w:val="105"/>
          <w:sz w:val="21"/>
        </w:rPr>
        <w:t> </w:t>
      </w:r>
      <w:r>
        <w:rPr>
          <w:w w:val="105"/>
          <w:sz w:val="21"/>
        </w:rPr>
        <w:t>on</w:t>
      </w:r>
      <w:r>
        <w:rPr>
          <w:spacing w:val="-8"/>
          <w:w w:val="105"/>
          <w:sz w:val="21"/>
        </w:rPr>
        <w:t> </w:t>
      </w:r>
      <w:r>
        <w:rPr>
          <w:w w:val="105"/>
          <w:sz w:val="21"/>
        </w:rPr>
        <w:t>this</w:t>
      </w:r>
      <w:r>
        <w:rPr>
          <w:spacing w:val="-8"/>
          <w:w w:val="105"/>
          <w:sz w:val="21"/>
        </w:rPr>
        <w:t> </w:t>
      </w:r>
      <w:r>
        <w:rPr>
          <w:w w:val="105"/>
          <w:sz w:val="21"/>
        </w:rPr>
        <w:t>topic</w:t>
      </w:r>
      <w:r>
        <w:rPr>
          <w:spacing w:val="-8"/>
          <w:w w:val="105"/>
          <w:sz w:val="21"/>
        </w:rPr>
        <w:t> </w:t>
      </w:r>
      <w:r>
        <w:rPr>
          <w:spacing w:val="-3"/>
          <w:w w:val="105"/>
          <w:sz w:val="21"/>
        </w:rPr>
        <w:t>revealed</w:t>
      </w:r>
      <w:r>
        <w:rPr>
          <w:spacing w:val="-8"/>
          <w:w w:val="105"/>
          <w:sz w:val="21"/>
        </w:rPr>
        <w:t> </w:t>
      </w:r>
      <w:r>
        <w:rPr>
          <w:spacing w:val="-3"/>
          <w:w w:val="105"/>
          <w:sz w:val="21"/>
        </w:rPr>
        <w:t>that</w:t>
      </w:r>
      <w:r>
        <w:rPr>
          <w:spacing w:val="-8"/>
          <w:w w:val="105"/>
          <w:sz w:val="21"/>
        </w:rPr>
        <w:t> </w:t>
      </w:r>
      <w:r>
        <w:rPr>
          <w:w w:val="105"/>
          <w:sz w:val="21"/>
        </w:rPr>
        <w:t>no</w:t>
      </w:r>
      <w:r>
        <w:rPr>
          <w:spacing w:val="-8"/>
          <w:w w:val="105"/>
          <w:sz w:val="21"/>
        </w:rPr>
        <w:t> </w:t>
      </w:r>
      <w:r>
        <w:rPr>
          <w:w w:val="105"/>
          <w:sz w:val="21"/>
        </w:rPr>
        <w:t>major</w:t>
      </w:r>
      <w:r>
        <w:rPr>
          <w:spacing w:val="-8"/>
          <w:w w:val="105"/>
          <w:sz w:val="21"/>
        </w:rPr>
        <w:t> </w:t>
      </w:r>
      <w:r>
        <w:rPr>
          <w:spacing w:val="-3"/>
          <w:w w:val="105"/>
          <w:sz w:val="21"/>
        </w:rPr>
        <w:t>changes</w:t>
      </w:r>
      <w:r>
        <w:rPr>
          <w:spacing w:val="-8"/>
          <w:w w:val="105"/>
          <w:sz w:val="21"/>
        </w:rPr>
        <w:t> </w:t>
      </w:r>
      <w:r>
        <w:rPr>
          <w:spacing w:val="-3"/>
          <w:w w:val="105"/>
          <w:sz w:val="21"/>
        </w:rPr>
        <w:t>to</w:t>
      </w:r>
      <w:r>
        <w:rPr>
          <w:spacing w:val="-8"/>
          <w:w w:val="105"/>
          <w:sz w:val="21"/>
        </w:rPr>
        <w:t> </w:t>
      </w:r>
      <w:r>
        <w:rPr>
          <w:spacing w:val="-3"/>
          <w:w w:val="105"/>
          <w:sz w:val="21"/>
        </w:rPr>
        <w:t>Victoria’s</w:t>
      </w:r>
      <w:r>
        <w:rPr>
          <w:spacing w:val="-8"/>
          <w:w w:val="105"/>
          <w:sz w:val="21"/>
        </w:rPr>
        <w:t> </w:t>
      </w:r>
      <w:r>
        <w:rPr>
          <w:w w:val="105"/>
          <w:sz w:val="21"/>
        </w:rPr>
        <w:t>scheme</w:t>
      </w:r>
      <w:r>
        <w:rPr>
          <w:spacing w:val="-9"/>
          <w:w w:val="105"/>
          <w:sz w:val="21"/>
        </w:rPr>
        <w:t> </w:t>
      </w:r>
      <w:r>
        <w:rPr>
          <w:spacing w:val="-3"/>
          <w:w w:val="105"/>
          <w:sz w:val="21"/>
        </w:rPr>
        <w:t>are</w:t>
      </w:r>
      <w:r>
        <w:rPr>
          <w:spacing w:val="-8"/>
          <w:w w:val="105"/>
          <w:sz w:val="21"/>
        </w:rPr>
        <w:t> </w:t>
      </w:r>
      <w:r>
        <w:rPr>
          <w:w w:val="105"/>
          <w:sz w:val="21"/>
        </w:rPr>
        <w:t>necessary. </w:t>
      </w:r>
      <w:r>
        <w:rPr>
          <w:spacing w:val="-4"/>
          <w:w w:val="105"/>
          <w:sz w:val="21"/>
        </w:rPr>
        <w:t>However, </w:t>
      </w:r>
      <w:r>
        <w:rPr>
          <w:w w:val="105"/>
          <w:sz w:val="21"/>
        </w:rPr>
        <w:t>there was support </w:t>
      </w:r>
      <w:r>
        <w:rPr>
          <w:spacing w:val="-3"/>
          <w:w w:val="105"/>
          <w:sz w:val="21"/>
        </w:rPr>
        <w:t>for </w:t>
      </w:r>
      <w:r>
        <w:rPr>
          <w:spacing w:val="-4"/>
          <w:w w:val="105"/>
          <w:sz w:val="21"/>
        </w:rPr>
        <w:t>reinforcing </w:t>
      </w:r>
      <w:r>
        <w:rPr>
          <w:w w:val="105"/>
          <w:sz w:val="21"/>
        </w:rPr>
        <w:t>the </w:t>
      </w:r>
      <w:r>
        <w:rPr>
          <w:spacing w:val="-3"/>
          <w:w w:val="105"/>
          <w:sz w:val="21"/>
        </w:rPr>
        <w:t>Court’s </w:t>
      </w:r>
      <w:r>
        <w:rPr>
          <w:w w:val="105"/>
          <w:sz w:val="21"/>
        </w:rPr>
        <w:t>ability </w:t>
      </w:r>
      <w:r>
        <w:rPr>
          <w:spacing w:val="-3"/>
          <w:w w:val="105"/>
          <w:sz w:val="21"/>
        </w:rPr>
        <w:t>to take </w:t>
      </w:r>
      <w:r>
        <w:rPr>
          <w:spacing w:val="-4"/>
          <w:w w:val="105"/>
          <w:sz w:val="21"/>
        </w:rPr>
        <w:t>into </w:t>
      </w:r>
      <w:r>
        <w:rPr>
          <w:spacing w:val="-3"/>
          <w:w w:val="105"/>
          <w:sz w:val="21"/>
        </w:rPr>
        <w:t>account </w:t>
      </w:r>
      <w:r>
        <w:rPr>
          <w:w w:val="105"/>
          <w:sz w:val="21"/>
        </w:rPr>
        <w:t>the </w:t>
      </w:r>
      <w:r>
        <w:rPr>
          <w:spacing w:val="-3"/>
          <w:w w:val="105"/>
          <w:sz w:val="21"/>
        </w:rPr>
        <w:t>incapacitated person’s </w:t>
      </w:r>
      <w:r>
        <w:rPr>
          <w:w w:val="105"/>
          <w:sz w:val="21"/>
        </w:rPr>
        <w:t>views, where they can be expressed, and </w:t>
      </w:r>
      <w:r>
        <w:rPr>
          <w:spacing w:val="-3"/>
          <w:w w:val="105"/>
          <w:sz w:val="21"/>
        </w:rPr>
        <w:t>for streamlining </w:t>
      </w:r>
      <w:r>
        <w:rPr>
          <w:w w:val="105"/>
          <w:sz w:val="21"/>
        </w:rPr>
        <w:t>the application </w:t>
      </w:r>
      <w:r>
        <w:rPr>
          <w:spacing w:val="-3"/>
          <w:w w:val="105"/>
          <w:sz w:val="21"/>
        </w:rPr>
        <w:t>procedures. </w:t>
      </w:r>
      <w:r>
        <w:rPr>
          <w:w w:val="105"/>
          <w:sz w:val="21"/>
        </w:rPr>
        <w:t>The </w:t>
      </w:r>
      <w:r>
        <w:rPr>
          <w:spacing w:val="-3"/>
          <w:w w:val="105"/>
          <w:sz w:val="21"/>
        </w:rPr>
        <w:t>Commission </w:t>
      </w:r>
      <w:r>
        <w:rPr>
          <w:w w:val="105"/>
          <w:sz w:val="21"/>
        </w:rPr>
        <w:t>agrees and </w:t>
      </w:r>
      <w:r>
        <w:rPr>
          <w:spacing w:val="-2"/>
          <w:w w:val="105"/>
          <w:sz w:val="21"/>
        </w:rPr>
        <w:t>has </w:t>
      </w:r>
      <w:r>
        <w:rPr>
          <w:w w:val="105"/>
          <w:sz w:val="21"/>
        </w:rPr>
        <w:t>recommended</w:t>
      </w:r>
      <w:r>
        <w:rPr>
          <w:spacing w:val="14"/>
          <w:w w:val="105"/>
          <w:sz w:val="21"/>
        </w:rPr>
        <w:t> </w:t>
      </w:r>
      <w:r>
        <w:rPr>
          <w:spacing w:val="-4"/>
          <w:w w:val="105"/>
          <w:sz w:val="21"/>
        </w:rPr>
        <w:t>accordingly.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241"/>
        <w:ind w:left="0" w:right="652" w:firstLine="0"/>
        <w:jc w:val="right"/>
        <w:rPr>
          <w:b/>
          <w:sz w:val="24"/>
        </w:rPr>
      </w:pPr>
      <w:r>
        <w:rPr>
          <w:b/>
          <w:color w:val="EC5A4F"/>
          <w:w w:val="115"/>
          <w:sz w:val="24"/>
        </w:rPr>
        <w:t>xv</w:t>
      </w:r>
    </w:p>
    <w:p>
      <w:pPr>
        <w:spacing w:after="0"/>
        <w:jc w:val="right"/>
        <w:rPr>
          <w:sz w:val="24"/>
        </w:rPr>
        <w:sectPr>
          <w:pgSz w:w="11910" w:h="16840"/>
          <w:pgMar w:header="550" w:footer="0" w:top="1560" w:bottom="280" w:left="0" w:right="0"/>
        </w:sectPr>
      </w:pPr>
    </w:p>
    <w:p>
      <w:pPr>
        <w:pStyle w:val="BodyText"/>
        <w:spacing w:before="11"/>
        <w:rPr>
          <w:b/>
        </w:rPr>
      </w:pPr>
    </w:p>
    <w:p>
      <w:pPr>
        <w:spacing w:before="99"/>
        <w:ind w:left="1587" w:right="0" w:firstLine="0"/>
        <w:jc w:val="left"/>
        <w:rPr>
          <w:b/>
          <w:sz w:val="24"/>
        </w:rPr>
      </w:pPr>
      <w:r>
        <w:rPr>
          <w:b/>
          <w:w w:val="115"/>
          <w:sz w:val="24"/>
        </w:rPr>
        <w:t>Ademption</w:t>
      </w:r>
    </w:p>
    <w:p>
      <w:pPr>
        <w:pStyle w:val="ListParagraph"/>
        <w:numPr>
          <w:ilvl w:val="0"/>
          <w:numId w:val="4"/>
        </w:numPr>
        <w:tabs>
          <w:tab w:pos="1928" w:val="left" w:leader="none"/>
        </w:tabs>
        <w:spacing w:line="242" w:lineRule="auto" w:before="137" w:after="0"/>
        <w:ind w:left="1927" w:right="1711" w:hanging="340"/>
        <w:jc w:val="left"/>
        <w:rPr>
          <w:sz w:val="21"/>
        </w:rPr>
      </w:pPr>
      <w:r>
        <w:rPr>
          <w:w w:val="105"/>
          <w:sz w:val="21"/>
        </w:rPr>
        <w:t>The </w:t>
      </w:r>
      <w:r>
        <w:rPr>
          <w:spacing w:val="-3"/>
          <w:w w:val="105"/>
          <w:sz w:val="21"/>
        </w:rPr>
        <w:t>third </w:t>
      </w:r>
      <w:r>
        <w:rPr>
          <w:w w:val="105"/>
          <w:sz w:val="21"/>
        </w:rPr>
        <w:t>topic on </w:t>
      </w:r>
      <w:r>
        <w:rPr>
          <w:spacing w:val="-3"/>
          <w:w w:val="105"/>
          <w:sz w:val="21"/>
        </w:rPr>
        <w:t>wills </w:t>
      </w:r>
      <w:r>
        <w:rPr>
          <w:w w:val="105"/>
          <w:sz w:val="21"/>
        </w:rPr>
        <w:t>is about what happens when </w:t>
      </w:r>
      <w:r>
        <w:rPr>
          <w:spacing w:val="-3"/>
          <w:w w:val="105"/>
          <w:sz w:val="21"/>
        </w:rPr>
        <w:t>something that </w:t>
      </w:r>
      <w:r>
        <w:rPr>
          <w:w w:val="105"/>
          <w:sz w:val="21"/>
        </w:rPr>
        <w:t>was left as a gift in a </w:t>
      </w:r>
      <w:r>
        <w:rPr>
          <w:spacing w:val="-3"/>
          <w:w w:val="105"/>
          <w:sz w:val="21"/>
        </w:rPr>
        <w:t>will </w:t>
      </w:r>
      <w:r>
        <w:rPr>
          <w:w w:val="105"/>
          <w:sz w:val="21"/>
        </w:rPr>
        <w:t>is no longer owned by the </w:t>
      </w:r>
      <w:r>
        <w:rPr>
          <w:spacing w:val="-3"/>
          <w:w w:val="105"/>
          <w:sz w:val="21"/>
        </w:rPr>
        <w:t>will-maker </w:t>
      </w:r>
      <w:r>
        <w:rPr>
          <w:w w:val="105"/>
          <w:sz w:val="21"/>
        </w:rPr>
        <w:t>when they </w:t>
      </w:r>
      <w:r>
        <w:rPr>
          <w:spacing w:val="-3"/>
          <w:w w:val="105"/>
          <w:sz w:val="21"/>
        </w:rPr>
        <w:t>die. </w:t>
      </w:r>
      <w:r>
        <w:rPr>
          <w:w w:val="105"/>
          <w:sz w:val="21"/>
        </w:rPr>
        <w:t>If the subject of the gift does </w:t>
      </w:r>
      <w:r>
        <w:rPr>
          <w:spacing w:val="-2"/>
          <w:w w:val="105"/>
          <w:sz w:val="21"/>
        </w:rPr>
        <w:t>not </w:t>
      </w:r>
      <w:r>
        <w:rPr>
          <w:w w:val="105"/>
          <w:sz w:val="21"/>
        </w:rPr>
        <w:t>exist in the same </w:t>
      </w:r>
      <w:r>
        <w:rPr>
          <w:spacing w:val="-3"/>
          <w:w w:val="105"/>
          <w:sz w:val="21"/>
        </w:rPr>
        <w:t>form within </w:t>
      </w:r>
      <w:r>
        <w:rPr>
          <w:w w:val="105"/>
          <w:sz w:val="21"/>
        </w:rPr>
        <w:t>the </w:t>
      </w:r>
      <w:r>
        <w:rPr>
          <w:spacing w:val="-3"/>
          <w:w w:val="105"/>
          <w:sz w:val="21"/>
        </w:rPr>
        <w:t>estate, </w:t>
      </w:r>
      <w:r>
        <w:rPr>
          <w:w w:val="105"/>
          <w:sz w:val="21"/>
        </w:rPr>
        <w:t>the gift is said </w:t>
      </w:r>
      <w:r>
        <w:rPr>
          <w:spacing w:val="-3"/>
          <w:w w:val="105"/>
          <w:sz w:val="21"/>
        </w:rPr>
        <w:t>to have </w:t>
      </w:r>
      <w:r>
        <w:rPr>
          <w:w w:val="105"/>
          <w:sz w:val="21"/>
        </w:rPr>
        <w:t>been adeemed and the beneficiary receives</w:t>
      </w:r>
      <w:r>
        <w:rPr>
          <w:spacing w:val="-7"/>
          <w:w w:val="105"/>
          <w:sz w:val="21"/>
        </w:rPr>
        <w:t> </w:t>
      </w:r>
      <w:r>
        <w:rPr>
          <w:spacing w:val="-3"/>
          <w:w w:val="105"/>
          <w:sz w:val="21"/>
        </w:rPr>
        <w:t>nothing</w:t>
      </w:r>
      <w:r>
        <w:rPr>
          <w:spacing w:val="-7"/>
          <w:w w:val="105"/>
          <w:sz w:val="21"/>
        </w:rPr>
        <w:t> </w:t>
      </w:r>
      <w:r>
        <w:rPr>
          <w:w w:val="105"/>
          <w:sz w:val="21"/>
        </w:rPr>
        <w:t>in</w:t>
      </w:r>
      <w:r>
        <w:rPr>
          <w:spacing w:val="-7"/>
          <w:w w:val="105"/>
          <w:sz w:val="21"/>
        </w:rPr>
        <w:t> </w:t>
      </w:r>
      <w:r>
        <w:rPr>
          <w:w w:val="105"/>
          <w:sz w:val="21"/>
        </w:rPr>
        <w:t>its</w:t>
      </w:r>
      <w:r>
        <w:rPr>
          <w:spacing w:val="-7"/>
          <w:w w:val="105"/>
          <w:sz w:val="21"/>
        </w:rPr>
        <w:t> </w:t>
      </w:r>
      <w:r>
        <w:rPr>
          <w:spacing w:val="-3"/>
          <w:w w:val="105"/>
          <w:sz w:val="21"/>
        </w:rPr>
        <w:t>place.</w:t>
      </w:r>
      <w:r>
        <w:rPr>
          <w:spacing w:val="-7"/>
          <w:w w:val="105"/>
          <w:sz w:val="21"/>
        </w:rPr>
        <w:t> </w:t>
      </w:r>
      <w:r>
        <w:rPr>
          <w:w w:val="105"/>
          <w:sz w:val="21"/>
        </w:rPr>
        <w:t>This</w:t>
      </w:r>
      <w:r>
        <w:rPr>
          <w:spacing w:val="-7"/>
          <w:w w:val="105"/>
          <w:sz w:val="21"/>
        </w:rPr>
        <w:t> </w:t>
      </w:r>
      <w:r>
        <w:rPr>
          <w:w w:val="105"/>
          <w:sz w:val="21"/>
        </w:rPr>
        <w:t>is</w:t>
      </w:r>
      <w:r>
        <w:rPr>
          <w:spacing w:val="-6"/>
          <w:w w:val="105"/>
          <w:sz w:val="21"/>
        </w:rPr>
        <w:t> </w:t>
      </w:r>
      <w:r>
        <w:rPr>
          <w:w w:val="105"/>
          <w:sz w:val="21"/>
        </w:rPr>
        <w:t>a</w:t>
      </w:r>
      <w:r>
        <w:rPr>
          <w:spacing w:val="-7"/>
          <w:w w:val="105"/>
          <w:sz w:val="21"/>
        </w:rPr>
        <w:t> </w:t>
      </w:r>
      <w:r>
        <w:rPr>
          <w:w w:val="105"/>
          <w:sz w:val="21"/>
        </w:rPr>
        <w:t>particularly</w:t>
      </w:r>
      <w:r>
        <w:rPr>
          <w:spacing w:val="-7"/>
          <w:w w:val="105"/>
          <w:sz w:val="21"/>
        </w:rPr>
        <w:t> </w:t>
      </w:r>
      <w:r>
        <w:rPr>
          <w:spacing w:val="-3"/>
          <w:w w:val="105"/>
          <w:sz w:val="21"/>
        </w:rPr>
        <w:t>significant</w:t>
      </w:r>
      <w:r>
        <w:rPr>
          <w:spacing w:val="-7"/>
          <w:w w:val="105"/>
          <w:sz w:val="21"/>
        </w:rPr>
        <w:t> </w:t>
      </w:r>
      <w:r>
        <w:rPr>
          <w:w w:val="105"/>
          <w:sz w:val="21"/>
        </w:rPr>
        <w:t>issue</w:t>
      </w:r>
      <w:r>
        <w:rPr>
          <w:spacing w:val="-7"/>
          <w:w w:val="105"/>
          <w:sz w:val="21"/>
        </w:rPr>
        <w:t> </w:t>
      </w:r>
      <w:r>
        <w:rPr>
          <w:w w:val="105"/>
          <w:sz w:val="21"/>
        </w:rPr>
        <w:t>when</w:t>
      </w:r>
      <w:r>
        <w:rPr>
          <w:spacing w:val="-7"/>
          <w:w w:val="105"/>
          <w:sz w:val="21"/>
        </w:rPr>
        <w:t> </w:t>
      </w:r>
      <w:r>
        <w:rPr>
          <w:w w:val="105"/>
          <w:sz w:val="21"/>
        </w:rPr>
        <w:t>a</w:t>
      </w:r>
      <w:r>
        <w:rPr>
          <w:spacing w:val="-6"/>
          <w:w w:val="105"/>
          <w:sz w:val="21"/>
        </w:rPr>
        <w:t> </w:t>
      </w:r>
      <w:r>
        <w:rPr>
          <w:w w:val="105"/>
          <w:sz w:val="21"/>
        </w:rPr>
        <w:t>person</w:t>
      </w:r>
      <w:r>
        <w:rPr>
          <w:spacing w:val="-7"/>
          <w:w w:val="105"/>
          <w:sz w:val="21"/>
        </w:rPr>
        <w:t> </w:t>
      </w:r>
      <w:r>
        <w:rPr>
          <w:w w:val="105"/>
          <w:sz w:val="21"/>
        </w:rPr>
        <w:t>acting</w:t>
      </w:r>
      <w:r>
        <w:rPr>
          <w:spacing w:val="-7"/>
          <w:w w:val="105"/>
          <w:sz w:val="21"/>
        </w:rPr>
        <w:t> </w:t>
      </w:r>
      <w:r>
        <w:rPr>
          <w:w w:val="105"/>
          <w:sz w:val="21"/>
        </w:rPr>
        <w:t>under</w:t>
      </w:r>
    </w:p>
    <w:p>
      <w:pPr>
        <w:pStyle w:val="BodyText"/>
        <w:spacing w:line="242" w:lineRule="auto" w:before="4"/>
        <w:ind w:left="1927" w:right="1584"/>
      </w:pPr>
      <w:r>
        <w:rPr>
          <w:w w:val="105"/>
        </w:rPr>
        <w:t>an </w:t>
      </w:r>
      <w:r>
        <w:rPr>
          <w:spacing w:val="-3"/>
          <w:w w:val="105"/>
        </w:rPr>
        <w:t>enduring </w:t>
      </w:r>
      <w:r>
        <w:rPr>
          <w:w w:val="105"/>
        </w:rPr>
        <w:t>power of attorney (financial) sells an asset </w:t>
      </w:r>
      <w:r>
        <w:rPr>
          <w:spacing w:val="-3"/>
          <w:w w:val="105"/>
        </w:rPr>
        <w:t>during </w:t>
      </w:r>
      <w:r>
        <w:rPr>
          <w:w w:val="105"/>
        </w:rPr>
        <w:t>the </w:t>
      </w:r>
      <w:r>
        <w:rPr>
          <w:spacing w:val="-3"/>
          <w:w w:val="105"/>
        </w:rPr>
        <w:t>will-maker’s lifetime </w:t>
      </w:r>
      <w:r>
        <w:rPr>
          <w:w w:val="105"/>
        </w:rPr>
        <w:t>and the </w:t>
      </w:r>
      <w:r>
        <w:rPr>
          <w:spacing w:val="-3"/>
          <w:w w:val="105"/>
        </w:rPr>
        <w:t>will-maker </w:t>
      </w:r>
      <w:r>
        <w:rPr>
          <w:w w:val="105"/>
        </w:rPr>
        <w:t>is </w:t>
      </w:r>
      <w:r>
        <w:rPr>
          <w:spacing w:val="-3"/>
          <w:w w:val="105"/>
        </w:rPr>
        <w:t>unaware </w:t>
      </w:r>
      <w:r>
        <w:rPr>
          <w:w w:val="105"/>
        </w:rPr>
        <w:t>of the sale or no longer </w:t>
      </w:r>
      <w:r>
        <w:rPr>
          <w:spacing w:val="-2"/>
          <w:w w:val="105"/>
        </w:rPr>
        <w:t>has </w:t>
      </w:r>
      <w:r>
        <w:rPr>
          <w:w w:val="105"/>
        </w:rPr>
        <w:t>the mental capacity </w:t>
      </w:r>
      <w:r>
        <w:rPr>
          <w:spacing w:val="-3"/>
          <w:w w:val="105"/>
        </w:rPr>
        <w:t>to change </w:t>
      </w:r>
      <w:r>
        <w:rPr>
          <w:w w:val="105"/>
        </w:rPr>
        <w:t>their </w:t>
      </w:r>
      <w:r>
        <w:rPr>
          <w:spacing w:val="-3"/>
          <w:w w:val="105"/>
        </w:rPr>
        <w:t>will.</w:t>
      </w:r>
    </w:p>
    <w:p>
      <w:pPr>
        <w:pStyle w:val="BodyText"/>
        <w:spacing w:line="242" w:lineRule="auto" w:before="2"/>
        <w:ind w:left="1927" w:right="1817"/>
      </w:pPr>
      <w:r>
        <w:rPr>
          <w:w w:val="105"/>
        </w:rPr>
        <w:t>A common example is when the family home, which may be gifted under the will, is sold to fund the will-maker’s aged care.</w:t>
      </w:r>
    </w:p>
    <w:p>
      <w:pPr>
        <w:pStyle w:val="ListParagraph"/>
        <w:numPr>
          <w:ilvl w:val="0"/>
          <w:numId w:val="4"/>
        </w:numPr>
        <w:tabs>
          <w:tab w:pos="1928" w:val="left" w:leader="none"/>
        </w:tabs>
        <w:spacing w:line="242" w:lineRule="auto" w:before="123" w:after="0"/>
        <w:ind w:left="1927" w:right="1635" w:hanging="340"/>
        <w:jc w:val="left"/>
        <w:rPr>
          <w:sz w:val="21"/>
        </w:rPr>
      </w:pPr>
      <w:r>
        <w:rPr>
          <w:sz w:val="21"/>
        </w:rPr>
        <w:t>Section </w:t>
      </w:r>
      <w:r>
        <w:rPr>
          <w:spacing w:val="-3"/>
          <w:sz w:val="21"/>
        </w:rPr>
        <w:t>53 </w:t>
      </w:r>
      <w:r>
        <w:rPr>
          <w:sz w:val="21"/>
        </w:rPr>
        <w:t>of the </w:t>
      </w:r>
      <w:r>
        <w:rPr>
          <w:i/>
          <w:spacing w:val="-3"/>
          <w:sz w:val="21"/>
        </w:rPr>
        <w:t>Guardianship </w:t>
      </w:r>
      <w:r>
        <w:rPr>
          <w:i/>
          <w:sz w:val="21"/>
        </w:rPr>
        <w:t>and </w:t>
      </w:r>
      <w:r>
        <w:rPr>
          <w:i/>
          <w:spacing w:val="-3"/>
          <w:sz w:val="21"/>
        </w:rPr>
        <w:t>Administration </w:t>
      </w:r>
      <w:r>
        <w:rPr>
          <w:i/>
          <w:sz w:val="21"/>
        </w:rPr>
        <w:t>Act </w:t>
      </w:r>
      <w:r>
        <w:rPr>
          <w:i/>
          <w:spacing w:val="-4"/>
          <w:sz w:val="21"/>
        </w:rPr>
        <w:t>1986 </w:t>
      </w:r>
      <w:r>
        <w:rPr>
          <w:sz w:val="21"/>
        </w:rPr>
        <w:t>(Vic) provides an </w:t>
      </w:r>
      <w:r>
        <w:rPr>
          <w:spacing w:val="-3"/>
          <w:sz w:val="21"/>
        </w:rPr>
        <w:t>exception to </w:t>
      </w:r>
      <w:r>
        <w:rPr>
          <w:sz w:val="21"/>
        </w:rPr>
        <w:t>the ademption rule if the subject of the gift is sold by an </w:t>
      </w:r>
      <w:r>
        <w:rPr>
          <w:spacing w:val="-3"/>
          <w:sz w:val="21"/>
        </w:rPr>
        <w:t>administrator appointed  </w:t>
      </w:r>
      <w:r>
        <w:rPr>
          <w:sz w:val="21"/>
        </w:rPr>
        <w:t>by the Victorian  </w:t>
      </w:r>
      <w:r>
        <w:rPr>
          <w:spacing w:val="-3"/>
          <w:sz w:val="21"/>
        </w:rPr>
        <w:t>Civil </w:t>
      </w:r>
      <w:r>
        <w:rPr>
          <w:sz w:val="21"/>
        </w:rPr>
        <w:t>and </w:t>
      </w:r>
      <w:r>
        <w:rPr>
          <w:spacing w:val="-3"/>
          <w:sz w:val="21"/>
        </w:rPr>
        <w:t>Administration </w:t>
      </w:r>
      <w:r>
        <w:rPr>
          <w:spacing w:val="-5"/>
          <w:sz w:val="21"/>
        </w:rPr>
        <w:t>Tribunal </w:t>
      </w:r>
      <w:r>
        <w:rPr>
          <w:sz w:val="21"/>
        </w:rPr>
        <w:t>(VCAT). In this </w:t>
      </w:r>
      <w:r>
        <w:rPr>
          <w:spacing w:val="-3"/>
          <w:sz w:val="21"/>
        </w:rPr>
        <w:t>case, </w:t>
      </w:r>
      <w:r>
        <w:rPr>
          <w:sz w:val="21"/>
        </w:rPr>
        <w:t>the beneficiary who would </w:t>
      </w:r>
      <w:r>
        <w:rPr>
          <w:spacing w:val="-3"/>
          <w:sz w:val="21"/>
        </w:rPr>
        <w:t>have </w:t>
      </w:r>
      <w:r>
        <w:rPr>
          <w:sz w:val="21"/>
        </w:rPr>
        <w:t>received </w:t>
      </w:r>
      <w:r>
        <w:rPr>
          <w:spacing w:val="-3"/>
          <w:sz w:val="21"/>
        </w:rPr>
        <w:t>nothing </w:t>
      </w:r>
      <w:r>
        <w:rPr>
          <w:sz w:val="21"/>
        </w:rPr>
        <w:t>under the rule </w:t>
      </w:r>
      <w:r>
        <w:rPr>
          <w:spacing w:val="-3"/>
          <w:sz w:val="21"/>
        </w:rPr>
        <w:t>may instead </w:t>
      </w:r>
      <w:r>
        <w:rPr>
          <w:sz w:val="21"/>
        </w:rPr>
        <w:t>receive the </w:t>
      </w:r>
      <w:r>
        <w:rPr>
          <w:spacing w:val="-3"/>
          <w:sz w:val="21"/>
        </w:rPr>
        <w:t>remaining </w:t>
      </w:r>
      <w:r>
        <w:rPr>
          <w:sz w:val="21"/>
        </w:rPr>
        <w:t>proceeds of the</w:t>
      </w:r>
      <w:r>
        <w:rPr>
          <w:spacing w:val="-28"/>
          <w:sz w:val="21"/>
        </w:rPr>
        <w:t> </w:t>
      </w:r>
      <w:r>
        <w:rPr>
          <w:spacing w:val="-3"/>
          <w:sz w:val="21"/>
        </w:rPr>
        <w:t>sale.</w:t>
      </w:r>
    </w:p>
    <w:p>
      <w:pPr>
        <w:pStyle w:val="ListParagraph"/>
        <w:numPr>
          <w:ilvl w:val="0"/>
          <w:numId w:val="4"/>
        </w:numPr>
        <w:tabs>
          <w:tab w:pos="1928" w:val="left" w:leader="none"/>
        </w:tabs>
        <w:spacing w:line="242" w:lineRule="auto" w:before="124" w:after="0"/>
        <w:ind w:left="1927" w:right="1692" w:hanging="340"/>
        <w:jc w:val="left"/>
        <w:rPr>
          <w:sz w:val="21"/>
        </w:rPr>
      </w:pPr>
      <w:r>
        <w:rPr>
          <w:sz w:val="21"/>
        </w:rPr>
        <w:t>The </w:t>
      </w:r>
      <w:r>
        <w:rPr>
          <w:spacing w:val="-3"/>
          <w:sz w:val="21"/>
        </w:rPr>
        <w:t>Commission recommends </w:t>
      </w:r>
      <w:r>
        <w:rPr>
          <w:sz w:val="21"/>
        </w:rPr>
        <w:t>a </w:t>
      </w:r>
      <w:r>
        <w:rPr>
          <w:spacing w:val="-3"/>
          <w:sz w:val="21"/>
        </w:rPr>
        <w:t>similar </w:t>
      </w:r>
      <w:r>
        <w:rPr>
          <w:sz w:val="21"/>
        </w:rPr>
        <w:t>statutory </w:t>
      </w:r>
      <w:r>
        <w:rPr>
          <w:spacing w:val="-3"/>
          <w:sz w:val="21"/>
        </w:rPr>
        <w:t>exception for </w:t>
      </w:r>
      <w:r>
        <w:rPr>
          <w:sz w:val="21"/>
        </w:rPr>
        <w:t>a person  acting  under  an </w:t>
      </w:r>
      <w:r>
        <w:rPr>
          <w:spacing w:val="-3"/>
          <w:sz w:val="21"/>
        </w:rPr>
        <w:t>enduring </w:t>
      </w:r>
      <w:r>
        <w:rPr>
          <w:sz w:val="21"/>
        </w:rPr>
        <w:t>power of attorney (financial), and a </w:t>
      </w:r>
      <w:r>
        <w:rPr>
          <w:spacing w:val="-3"/>
          <w:sz w:val="21"/>
        </w:rPr>
        <w:t>similar right to </w:t>
      </w:r>
      <w:r>
        <w:rPr>
          <w:sz w:val="21"/>
        </w:rPr>
        <w:t>apply </w:t>
      </w:r>
      <w:r>
        <w:rPr>
          <w:spacing w:val="-3"/>
          <w:sz w:val="21"/>
        </w:rPr>
        <w:t>to  </w:t>
      </w:r>
      <w:r>
        <w:rPr>
          <w:spacing w:val="-5"/>
          <w:sz w:val="21"/>
        </w:rPr>
        <w:t>VCAT  </w:t>
      </w:r>
      <w:r>
        <w:rPr>
          <w:spacing w:val="-3"/>
          <w:sz w:val="21"/>
        </w:rPr>
        <w:t>for  </w:t>
      </w:r>
      <w:r>
        <w:rPr>
          <w:spacing w:val="-2"/>
          <w:sz w:val="21"/>
        </w:rPr>
        <w:t>access  </w:t>
      </w:r>
      <w:r>
        <w:rPr>
          <w:spacing w:val="-3"/>
          <w:sz w:val="21"/>
        </w:rPr>
        <w:t>to  </w:t>
      </w:r>
      <w:r>
        <w:rPr>
          <w:sz w:val="21"/>
        </w:rPr>
        <w:t>some or</w:t>
      </w:r>
      <w:r>
        <w:rPr>
          <w:spacing w:val="14"/>
          <w:sz w:val="21"/>
        </w:rPr>
        <w:t> </w:t>
      </w:r>
      <w:r>
        <w:rPr>
          <w:spacing w:val="-3"/>
          <w:sz w:val="21"/>
        </w:rPr>
        <w:t>all</w:t>
      </w:r>
      <w:r>
        <w:rPr>
          <w:spacing w:val="14"/>
          <w:sz w:val="21"/>
        </w:rPr>
        <w:t> </w:t>
      </w:r>
      <w:r>
        <w:rPr>
          <w:sz w:val="21"/>
        </w:rPr>
        <w:t>of</w:t>
      </w:r>
      <w:r>
        <w:rPr>
          <w:spacing w:val="15"/>
          <w:sz w:val="21"/>
        </w:rPr>
        <w:t> </w:t>
      </w:r>
      <w:r>
        <w:rPr>
          <w:sz w:val="21"/>
        </w:rPr>
        <w:t>the</w:t>
      </w:r>
      <w:r>
        <w:rPr>
          <w:spacing w:val="14"/>
          <w:sz w:val="21"/>
        </w:rPr>
        <w:t> </w:t>
      </w:r>
      <w:r>
        <w:rPr>
          <w:spacing w:val="-3"/>
          <w:sz w:val="21"/>
        </w:rPr>
        <w:t>person’s</w:t>
      </w:r>
      <w:r>
        <w:rPr>
          <w:spacing w:val="15"/>
          <w:sz w:val="21"/>
        </w:rPr>
        <w:t> </w:t>
      </w:r>
      <w:r>
        <w:rPr>
          <w:spacing w:val="-3"/>
          <w:sz w:val="21"/>
        </w:rPr>
        <w:t>will.</w:t>
      </w:r>
      <w:r>
        <w:rPr>
          <w:spacing w:val="14"/>
          <w:sz w:val="21"/>
        </w:rPr>
        <w:t> </w:t>
      </w:r>
      <w:r>
        <w:rPr>
          <w:spacing w:val="-4"/>
          <w:sz w:val="21"/>
        </w:rPr>
        <w:t>However,</w:t>
      </w:r>
      <w:r>
        <w:rPr>
          <w:spacing w:val="15"/>
          <w:sz w:val="21"/>
        </w:rPr>
        <w:t> </w:t>
      </w:r>
      <w:r>
        <w:rPr>
          <w:sz w:val="21"/>
        </w:rPr>
        <w:t>as</w:t>
      </w:r>
      <w:r>
        <w:rPr>
          <w:spacing w:val="14"/>
          <w:sz w:val="21"/>
        </w:rPr>
        <w:t> </w:t>
      </w:r>
      <w:r>
        <w:rPr>
          <w:sz w:val="21"/>
        </w:rPr>
        <w:t>the</w:t>
      </w:r>
      <w:r>
        <w:rPr>
          <w:spacing w:val="14"/>
          <w:sz w:val="21"/>
        </w:rPr>
        <w:t> </w:t>
      </w:r>
      <w:r>
        <w:rPr>
          <w:spacing w:val="-3"/>
          <w:sz w:val="21"/>
        </w:rPr>
        <w:t>administrator</w:t>
      </w:r>
      <w:r>
        <w:rPr>
          <w:spacing w:val="15"/>
          <w:sz w:val="21"/>
        </w:rPr>
        <w:t> </w:t>
      </w:r>
      <w:r>
        <w:rPr>
          <w:sz w:val="21"/>
        </w:rPr>
        <w:t>or</w:t>
      </w:r>
      <w:r>
        <w:rPr>
          <w:spacing w:val="14"/>
          <w:sz w:val="21"/>
        </w:rPr>
        <w:t> </w:t>
      </w:r>
      <w:r>
        <w:rPr>
          <w:sz w:val="21"/>
        </w:rPr>
        <w:t>attorney</w:t>
      </w:r>
      <w:r>
        <w:rPr>
          <w:spacing w:val="15"/>
          <w:sz w:val="21"/>
        </w:rPr>
        <w:t> </w:t>
      </w:r>
      <w:r>
        <w:rPr>
          <w:sz w:val="21"/>
        </w:rPr>
        <w:t>should</w:t>
      </w:r>
      <w:r>
        <w:rPr>
          <w:spacing w:val="14"/>
          <w:sz w:val="21"/>
        </w:rPr>
        <w:t> </w:t>
      </w:r>
      <w:r>
        <w:rPr>
          <w:spacing w:val="-3"/>
          <w:sz w:val="21"/>
        </w:rPr>
        <w:t>aim</w:t>
      </w:r>
      <w:r>
        <w:rPr>
          <w:spacing w:val="15"/>
          <w:sz w:val="21"/>
        </w:rPr>
        <w:t> </w:t>
      </w:r>
      <w:r>
        <w:rPr>
          <w:spacing w:val="-3"/>
          <w:sz w:val="21"/>
        </w:rPr>
        <w:t>to</w:t>
      </w:r>
      <w:r>
        <w:rPr>
          <w:spacing w:val="14"/>
          <w:sz w:val="21"/>
        </w:rPr>
        <w:t> </w:t>
      </w:r>
      <w:r>
        <w:rPr>
          <w:sz w:val="21"/>
        </w:rPr>
        <w:t>deploy</w:t>
      </w:r>
    </w:p>
    <w:p>
      <w:pPr>
        <w:pStyle w:val="BodyText"/>
        <w:spacing w:line="242" w:lineRule="auto" w:before="3"/>
        <w:ind w:left="1927" w:right="2010"/>
      </w:pPr>
      <w:r>
        <w:rPr>
          <w:spacing w:val="-3"/>
          <w:w w:val="105"/>
        </w:rPr>
        <w:t>all </w:t>
      </w:r>
      <w:r>
        <w:rPr>
          <w:w w:val="105"/>
        </w:rPr>
        <w:t>assets in the best interests of the person they </w:t>
      </w:r>
      <w:r>
        <w:rPr>
          <w:spacing w:val="-3"/>
          <w:w w:val="105"/>
        </w:rPr>
        <w:t>represent during that person’s </w:t>
      </w:r>
      <w:r>
        <w:rPr>
          <w:spacing w:val="-4"/>
          <w:w w:val="105"/>
        </w:rPr>
        <w:t>lifetime, </w:t>
      </w:r>
      <w:r>
        <w:rPr>
          <w:w w:val="105"/>
        </w:rPr>
        <w:t>the </w:t>
      </w:r>
      <w:r>
        <w:rPr>
          <w:spacing w:val="-3"/>
          <w:w w:val="105"/>
        </w:rPr>
        <w:t>Commission recommends against requiring that separate accounts </w:t>
      </w:r>
      <w:r>
        <w:rPr>
          <w:w w:val="105"/>
        </w:rPr>
        <w:t>and </w:t>
      </w:r>
      <w:r>
        <w:rPr>
          <w:spacing w:val="-3"/>
          <w:w w:val="105"/>
        </w:rPr>
        <w:t>records </w:t>
      </w:r>
      <w:r>
        <w:rPr>
          <w:w w:val="105"/>
        </w:rPr>
        <w:t>of sale proceeds be </w:t>
      </w:r>
      <w:r>
        <w:rPr>
          <w:spacing w:val="-3"/>
          <w:w w:val="105"/>
        </w:rPr>
        <w:t>kept, </w:t>
      </w:r>
      <w:r>
        <w:rPr>
          <w:w w:val="105"/>
        </w:rPr>
        <w:t>or </w:t>
      </w:r>
      <w:r>
        <w:rPr>
          <w:spacing w:val="-3"/>
          <w:w w:val="105"/>
        </w:rPr>
        <w:t>that </w:t>
      </w:r>
      <w:r>
        <w:rPr>
          <w:w w:val="105"/>
        </w:rPr>
        <w:t>the proceeds be </w:t>
      </w:r>
      <w:r>
        <w:rPr>
          <w:spacing w:val="-3"/>
          <w:w w:val="105"/>
        </w:rPr>
        <w:t>quarantined from </w:t>
      </w:r>
      <w:r>
        <w:rPr>
          <w:w w:val="105"/>
        </w:rPr>
        <w:t>other assets.</w:t>
      </w:r>
    </w:p>
    <w:p>
      <w:pPr>
        <w:pStyle w:val="ListParagraph"/>
        <w:numPr>
          <w:ilvl w:val="0"/>
          <w:numId w:val="4"/>
        </w:numPr>
        <w:tabs>
          <w:tab w:pos="1928" w:val="left" w:leader="none"/>
        </w:tabs>
        <w:spacing w:line="242" w:lineRule="auto" w:before="124" w:after="0"/>
        <w:ind w:left="1927" w:right="1689" w:hanging="340"/>
        <w:jc w:val="left"/>
        <w:rPr>
          <w:sz w:val="21"/>
        </w:rPr>
      </w:pPr>
      <w:r>
        <w:rPr>
          <w:spacing w:val="-5"/>
          <w:w w:val="105"/>
          <w:sz w:val="21"/>
        </w:rPr>
        <w:t>Clearly, </w:t>
      </w:r>
      <w:r>
        <w:rPr>
          <w:w w:val="105"/>
          <w:sz w:val="21"/>
        </w:rPr>
        <w:t>it is difficult </w:t>
      </w:r>
      <w:r>
        <w:rPr>
          <w:spacing w:val="-3"/>
          <w:w w:val="105"/>
          <w:sz w:val="21"/>
        </w:rPr>
        <w:t>to produce </w:t>
      </w:r>
      <w:r>
        <w:rPr>
          <w:w w:val="105"/>
          <w:sz w:val="21"/>
        </w:rPr>
        <w:t>rules </w:t>
      </w:r>
      <w:r>
        <w:rPr>
          <w:spacing w:val="-3"/>
          <w:w w:val="105"/>
          <w:sz w:val="21"/>
        </w:rPr>
        <w:t>that accommodate all </w:t>
      </w:r>
      <w:r>
        <w:rPr>
          <w:w w:val="105"/>
          <w:sz w:val="21"/>
        </w:rPr>
        <w:t>possible </w:t>
      </w:r>
      <w:r>
        <w:rPr>
          <w:spacing w:val="-3"/>
          <w:w w:val="105"/>
          <w:sz w:val="21"/>
        </w:rPr>
        <w:t>scenarios. Redistributing </w:t>
      </w:r>
      <w:r>
        <w:rPr>
          <w:w w:val="105"/>
          <w:sz w:val="21"/>
        </w:rPr>
        <w:t>some</w:t>
      </w:r>
      <w:r>
        <w:rPr>
          <w:spacing w:val="-9"/>
          <w:w w:val="105"/>
          <w:sz w:val="21"/>
        </w:rPr>
        <w:t> </w:t>
      </w:r>
      <w:r>
        <w:rPr>
          <w:w w:val="105"/>
          <w:sz w:val="21"/>
        </w:rPr>
        <w:t>of</w:t>
      </w:r>
      <w:r>
        <w:rPr>
          <w:spacing w:val="-8"/>
          <w:w w:val="105"/>
          <w:sz w:val="21"/>
        </w:rPr>
        <w:t> </w:t>
      </w:r>
      <w:r>
        <w:rPr>
          <w:w w:val="105"/>
          <w:sz w:val="21"/>
        </w:rPr>
        <w:t>the</w:t>
      </w:r>
      <w:r>
        <w:rPr>
          <w:spacing w:val="-8"/>
          <w:w w:val="105"/>
          <w:sz w:val="21"/>
        </w:rPr>
        <w:t> </w:t>
      </w:r>
      <w:r>
        <w:rPr>
          <w:spacing w:val="-3"/>
          <w:w w:val="105"/>
          <w:sz w:val="21"/>
        </w:rPr>
        <w:t>estate’s</w:t>
      </w:r>
      <w:r>
        <w:rPr>
          <w:spacing w:val="-8"/>
          <w:w w:val="105"/>
          <w:sz w:val="21"/>
        </w:rPr>
        <w:t> </w:t>
      </w:r>
      <w:r>
        <w:rPr>
          <w:w w:val="105"/>
          <w:sz w:val="21"/>
        </w:rPr>
        <w:t>assets</w:t>
      </w:r>
      <w:r>
        <w:rPr>
          <w:spacing w:val="-9"/>
          <w:w w:val="105"/>
          <w:sz w:val="21"/>
        </w:rPr>
        <w:t> </w:t>
      </w:r>
      <w:r>
        <w:rPr>
          <w:spacing w:val="-3"/>
          <w:w w:val="105"/>
          <w:sz w:val="21"/>
        </w:rPr>
        <w:t>to</w:t>
      </w:r>
      <w:r>
        <w:rPr>
          <w:spacing w:val="-8"/>
          <w:w w:val="105"/>
          <w:sz w:val="21"/>
        </w:rPr>
        <w:t> </w:t>
      </w:r>
      <w:r>
        <w:rPr>
          <w:w w:val="105"/>
          <w:sz w:val="21"/>
        </w:rPr>
        <w:t>a</w:t>
      </w:r>
      <w:r>
        <w:rPr>
          <w:spacing w:val="-8"/>
          <w:w w:val="105"/>
          <w:sz w:val="21"/>
        </w:rPr>
        <w:t> </w:t>
      </w:r>
      <w:r>
        <w:rPr>
          <w:w w:val="105"/>
          <w:sz w:val="21"/>
        </w:rPr>
        <w:t>beneficiary</w:t>
      </w:r>
      <w:r>
        <w:rPr>
          <w:spacing w:val="-8"/>
          <w:w w:val="105"/>
          <w:sz w:val="21"/>
        </w:rPr>
        <w:t> </w:t>
      </w:r>
      <w:r>
        <w:rPr>
          <w:w w:val="105"/>
          <w:sz w:val="21"/>
        </w:rPr>
        <w:t>who</w:t>
      </w:r>
      <w:r>
        <w:rPr>
          <w:spacing w:val="-8"/>
          <w:w w:val="105"/>
          <w:sz w:val="21"/>
        </w:rPr>
        <w:t> </w:t>
      </w:r>
      <w:r>
        <w:rPr>
          <w:w w:val="105"/>
          <w:sz w:val="21"/>
        </w:rPr>
        <w:t>otherwise</w:t>
      </w:r>
      <w:r>
        <w:rPr>
          <w:spacing w:val="-9"/>
          <w:w w:val="105"/>
          <w:sz w:val="21"/>
        </w:rPr>
        <w:t> </w:t>
      </w:r>
      <w:r>
        <w:rPr>
          <w:w w:val="105"/>
          <w:sz w:val="21"/>
        </w:rPr>
        <w:t>would</w:t>
      </w:r>
      <w:r>
        <w:rPr>
          <w:spacing w:val="-8"/>
          <w:w w:val="105"/>
          <w:sz w:val="21"/>
        </w:rPr>
        <w:t> </w:t>
      </w:r>
      <w:r>
        <w:rPr>
          <w:w w:val="105"/>
          <w:sz w:val="21"/>
        </w:rPr>
        <w:t>receive</w:t>
      </w:r>
      <w:r>
        <w:rPr>
          <w:spacing w:val="-8"/>
          <w:w w:val="105"/>
          <w:sz w:val="21"/>
        </w:rPr>
        <w:t> </w:t>
      </w:r>
      <w:r>
        <w:rPr>
          <w:spacing w:val="-3"/>
          <w:w w:val="105"/>
          <w:sz w:val="21"/>
        </w:rPr>
        <w:t>nothing</w:t>
      </w:r>
      <w:r>
        <w:rPr>
          <w:spacing w:val="-8"/>
          <w:w w:val="105"/>
          <w:sz w:val="21"/>
        </w:rPr>
        <w:t> </w:t>
      </w:r>
      <w:r>
        <w:rPr>
          <w:spacing w:val="-3"/>
          <w:w w:val="105"/>
          <w:sz w:val="21"/>
        </w:rPr>
        <w:t>may</w:t>
      </w:r>
      <w:r>
        <w:rPr>
          <w:spacing w:val="-8"/>
          <w:w w:val="105"/>
          <w:sz w:val="21"/>
        </w:rPr>
        <w:t> </w:t>
      </w:r>
      <w:r>
        <w:rPr>
          <w:spacing w:val="-3"/>
          <w:w w:val="105"/>
          <w:sz w:val="21"/>
        </w:rPr>
        <w:t>unfairly </w:t>
      </w:r>
      <w:r>
        <w:rPr>
          <w:w w:val="105"/>
          <w:sz w:val="21"/>
        </w:rPr>
        <w:t>deplete a gift </w:t>
      </w:r>
      <w:r>
        <w:rPr>
          <w:spacing w:val="-3"/>
          <w:w w:val="105"/>
          <w:sz w:val="21"/>
        </w:rPr>
        <w:t>to </w:t>
      </w:r>
      <w:r>
        <w:rPr>
          <w:w w:val="105"/>
          <w:sz w:val="21"/>
        </w:rPr>
        <w:t>someone </w:t>
      </w:r>
      <w:r>
        <w:rPr>
          <w:spacing w:val="-3"/>
          <w:w w:val="105"/>
          <w:sz w:val="21"/>
        </w:rPr>
        <w:t>else. Therefore, </w:t>
      </w:r>
      <w:r>
        <w:rPr>
          <w:w w:val="105"/>
          <w:sz w:val="21"/>
        </w:rPr>
        <w:t>the </w:t>
      </w:r>
      <w:r>
        <w:rPr>
          <w:spacing w:val="-3"/>
          <w:w w:val="105"/>
          <w:sz w:val="21"/>
        </w:rPr>
        <w:t>Commission recommends that </w:t>
      </w:r>
      <w:r>
        <w:rPr>
          <w:w w:val="105"/>
          <w:sz w:val="21"/>
        </w:rPr>
        <w:t>a beneficiary should be able </w:t>
      </w:r>
      <w:r>
        <w:rPr>
          <w:spacing w:val="-3"/>
          <w:w w:val="105"/>
          <w:sz w:val="21"/>
        </w:rPr>
        <w:t>to challenge </w:t>
      </w:r>
      <w:r>
        <w:rPr>
          <w:w w:val="105"/>
          <w:sz w:val="21"/>
        </w:rPr>
        <w:t>an </w:t>
      </w:r>
      <w:r>
        <w:rPr>
          <w:spacing w:val="-3"/>
          <w:w w:val="105"/>
          <w:sz w:val="21"/>
        </w:rPr>
        <w:t>outcome that </w:t>
      </w:r>
      <w:r>
        <w:rPr>
          <w:w w:val="105"/>
          <w:sz w:val="21"/>
        </w:rPr>
        <w:t>would </w:t>
      </w:r>
      <w:r>
        <w:rPr>
          <w:spacing w:val="-3"/>
          <w:w w:val="105"/>
          <w:sz w:val="21"/>
        </w:rPr>
        <w:t>result </w:t>
      </w:r>
      <w:r>
        <w:rPr>
          <w:w w:val="105"/>
          <w:sz w:val="21"/>
        </w:rPr>
        <w:t>in a beneficiary </w:t>
      </w:r>
      <w:r>
        <w:rPr>
          <w:spacing w:val="-3"/>
          <w:w w:val="105"/>
          <w:sz w:val="21"/>
        </w:rPr>
        <w:t>gaining </w:t>
      </w:r>
      <w:r>
        <w:rPr>
          <w:w w:val="105"/>
          <w:sz w:val="21"/>
        </w:rPr>
        <w:t>an </w:t>
      </w:r>
      <w:r>
        <w:rPr>
          <w:spacing w:val="-3"/>
          <w:w w:val="105"/>
          <w:sz w:val="21"/>
        </w:rPr>
        <w:t>unjust </w:t>
      </w:r>
      <w:r>
        <w:rPr>
          <w:w w:val="105"/>
          <w:sz w:val="21"/>
        </w:rPr>
        <w:t>and disproportionate </w:t>
      </w:r>
      <w:r>
        <w:rPr>
          <w:spacing w:val="-3"/>
          <w:w w:val="105"/>
          <w:sz w:val="21"/>
        </w:rPr>
        <w:t>advantage, </w:t>
      </w:r>
      <w:r>
        <w:rPr>
          <w:w w:val="105"/>
          <w:sz w:val="21"/>
        </w:rPr>
        <w:t>or </w:t>
      </w:r>
      <w:r>
        <w:rPr>
          <w:spacing w:val="-3"/>
          <w:w w:val="105"/>
          <w:sz w:val="21"/>
        </w:rPr>
        <w:t>suffering </w:t>
      </w:r>
      <w:r>
        <w:rPr>
          <w:w w:val="105"/>
          <w:sz w:val="21"/>
        </w:rPr>
        <w:t>an </w:t>
      </w:r>
      <w:r>
        <w:rPr>
          <w:spacing w:val="-3"/>
          <w:w w:val="105"/>
          <w:sz w:val="21"/>
        </w:rPr>
        <w:t>unjust </w:t>
      </w:r>
      <w:r>
        <w:rPr>
          <w:w w:val="105"/>
          <w:sz w:val="21"/>
        </w:rPr>
        <w:t>and disproportionate</w:t>
      </w:r>
      <w:r>
        <w:rPr>
          <w:spacing w:val="-23"/>
          <w:w w:val="105"/>
          <w:sz w:val="21"/>
        </w:rPr>
        <w:t> </w:t>
      </w:r>
      <w:r>
        <w:rPr>
          <w:spacing w:val="-3"/>
          <w:w w:val="105"/>
          <w:sz w:val="21"/>
        </w:rPr>
        <w:t>disadvantage,</w:t>
      </w:r>
    </w:p>
    <w:p>
      <w:pPr>
        <w:pStyle w:val="BodyText"/>
        <w:spacing w:line="242" w:lineRule="auto" w:before="5"/>
        <w:ind w:left="1927" w:right="1619"/>
      </w:pPr>
      <w:r>
        <w:rPr>
          <w:w w:val="105"/>
        </w:rPr>
        <w:t>of a </w:t>
      </w:r>
      <w:r>
        <w:rPr>
          <w:spacing w:val="-3"/>
          <w:w w:val="105"/>
        </w:rPr>
        <w:t>kind </w:t>
      </w:r>
      <w:r>
        <w:rPr>
          <w:spacing w:val="-2"/>
          <w:w w:val="105"/>
        </w:rPr>
        <w:t>not </w:t>
      </w:r>
      <w:r>
        <w:rPr>
          <w:spacing w:val="-3"/>
          <w:w w:val="105"/>
        </w:rPr>
        <w:t>contemplated </w:t>
      </w:r>
      <w:r>
        <w:rPr>
          <w:w w:val="105"/>
        </w:rPr>
        <w:t>in the </w:t>
      </w:r>
      <w:r>
        <w:rPr>
          <w:spacing w:val="-3"/>
          <w:w w:val="105"/>
        </w:rPr>
        <w:t>will. </w:t>
      </w:r>
      <w:r>
        <w:rPr>
          <w:w w:val="105"/>
        </w:rPr>
        <w:t>They would be able </w:t>
      </w:r>
      <w:r>
        <w:rPr>
          <w:spacing w:val="-3"/>
          <w:w w:val="105"/>
        </w:rPr>
        <w:t>to challenge </w:t>
      </w:r>
      <w:r>
        <w:rPr>
          <w:w w:val="105"/>
        </w:rPr>
        <w:t>the </w:t>
      </w:r>
      <w:r>
        <w:rPr>
          <w:spacing w:val="-3"/>
          <w:w w:val="105"/>
        </w:rPr>
        <w:t>outcome </w:t>
      </w:r>
      <w:r>
        <w:rPr>
          <w:w w:val="105"/>
        </w:rPr>
        <w:t>whether or </w:t>
      </w:r>
      <w:r>
        <w:rPr>
          <w:spacing w:val="-2"/>
          <w:w w:val="105"/>
        </w:rPr>
        <w:t>not </w:t>
      </w:r>
      <w:r>
        <w:rPr>
          <w:w w:val="105"/>
        </w:rPr>
        <w:t>the </w:t>
      </w:r>
      <w:r>
        <w:rPr>
          <w:spacing w:val="-3"/>
          <w:w w:val="105"/>
        </w:rPr>
        <w:t>exception to </w:t>
      </w:r>
      <w:r>
        <w:rPr>
          <w:w w:val="105"/>
        </w:rPr>
        <w:t>the ademption rule </w:t>
      </w:r>
      <w:r>
        <w:rPr>
          <w:spacing w:val="-3"/>
          <w:w w:val="105"/>
        </w:rPr>
        <w:t>applies.</w:t>
      </w:r>
    </w:p>
    <w:p>
      <w:pPr>
        <w:pStyle w:val="BodyText"/>
        <w:spacing w:before="5"/>
        <w:rPr>
          <w:sz w:val="23"/>
        </w:rPr>
      </w:pPr>
    </w:p>
    <w:p>
      <w:pPr>
        <w:pStyle w:val="Heading4"/>
      </w:pPr>
      <w:r>
        <w:rPr>
          <w:color w:val="EC5A4F"/>
          <w:w w:val="110"/>
        </w:rPr>
        <w:t>Intestacy</w:t>
      </w:r>
    </w:p>
    <w:p>
      <w:pPr>
        <w:pStyle w:val="ListParagraph"/>
        <w:numPr>
          <w:ilvl w:val="0"/>
          <w:numId w:val="4"/>
        </w:numPr>
        <w:tabs>
          <w:tab w:pos="1928" w:val="left" w:leader="none"/>
        </w:tabs>
        <w:spacing w:line="242" w:lineRule="auto" w:before="155" w:after="0"/>
        <w:ind w:left="1927" w:right="1911" w:hanging="340"/>
        <w:jc w:val="left"/>
        <w:rPr>
          <w:sz w:val="21"/>
        </w:rPr>
      </w:pPr>
      <w:r>
        <w:rPr>
          <w:sz w:val="21"/>
        </w:rPr>
        <w:t>In </w:t>
      </w:r>
      <w:r>
        <w:rPr>
          <w:spacing w:val="-8"/>
          <w:sz w:val="21"/>
        </w:rPr>
        <w:t>2012, </w:t>
      </w:r>
      <w:r>
        <w:rPr>
          <w:spacing w:val="-4"/>
          <w:sz w:val="21"/>
        </w:rPr>
        <w:t>36,328 </w:t>
      </w:r>
      <w:r>
        <w:rPr>
          <w:spacing w:val="-3"/>
          <w:sz w:val="21"/>
        </w:rPr>
        <w:t>deaths were registered </w:t>
      </w:r>
      <w:r>
        <w:rPr>
          <w:sz w:val="21"/>
        </w:rPr>
        <w:t>in </w:t>
      </w:r>
      <w:r>
        <w:rPr>
          <w:spacing w:val="-4"/>
          <w:sz w:val="21"/>
        </w:rPr>
        <w:t>Victoria.</w:t>
      </w:r>
      <w:r>
        <w:rPr>
          <w:spacing w:val="-4"/>
          <w:position w:val="7"/>
          <w:sz w:val="12"/>
        </w:rPr>
        <w:t>1 </w:t>
      </w:r>
      <w:r>
        <w:rPr>
          <w:spacing w:val="-3"/>
          <w:sz w:val="21"/>
        </w:rPr>
        <w:t>Many </w:t>
      </w:r>
      <w:r>
        <w:rPr>
          <w:sz w:val="21"/>
        </w:rPr>
        <w:t>of those who died did </w:t>
      </w:r>
      <w:r>
        <w:rPr>
          <w:spacing w:val="-2"/>
          <w:sz w:val="21"/>
        </w:rPr>
        <w:t>not  </w:t>
      </w:r>
      <w:r>
        <w:rPr>
          <w:spacing w:val="-3"/>
          <w:sz w:val="21"/>
        </w:rPr>
        <w:t>leave  </w:t>
      </w:r>
      <w:r>
        <w:rPr>
          <w:sz w:val="21"/>
        </w:rPr>
        <w:t>a  </w:t>
      </w:r>
      <w:r>
        <w:rPr>
          <w:spacing w:val="-3"/>
          <w:sz w:val="21"/>
        </w:rPr>
        <w:t>valid will </w:t>
      </w:r>
      <w:r>
        <w:rPr>
          <w:sz w:val="21"/>
        </w:rPr>
        <w:t>setting out how they </w:t>
      </w:r>
      <w:r>
        <w:rPr>
          <w:spacing w:val="-3"/>
          <w:sz w:val="21"/>
        </w:rPr>
        <w:t>wanted </w:t>
      </w:r>
      <w:r>
        <w:rPr>
          <w:sz w:val="21"/>
        </w:rPr>
        <w:t>their property </w:t>
      </w:r>
      <w:r>
        <w:rPr>
          <w:spacing w:val="-3"/>
          <w:sz w:val="21"/>
        </w:rPr>
        <w:t>to </w:t>
      </w:r>
      <w:r>
        <w:rPr>
          <w:sz w:val="21"/>
        </w:rPr>
        <w:t>be </w:t>
      </w:r>
      <w:r>
        <w:rPr>
          <w:spacing w:val="-3"/>
          <w:sz w:val="21"/>
        </w:rPr>
        <w:t>distributed. </w:t>
      </w:r>
      <w:r>
        <w:rPr>
          <w:sz w:val="21"/>
        </w:rPr>
        <w:t>Property </w:t>
      </w:r>
      <w:r>
        <w:rPr>
          <w:spacing w:val="-3"/>
          <w:sz w:val="21"/>
        </w:rPr>
        <w:t>that </w:t>
      </w:r>
      <w:r>
        <w:rPr>
          <w:sz w:val="21"/>
        </w:rPr>
        <w:t>is </w:t>
      </w:r>
      <w:r>
        <w:rPr>
          <w:spacing w:val="-2"/>
          <w:sz w:val="21"/>
        </w:rPr>
        <w:t>not </w:t>
      </w:r>
      <w:r>
        <w:rPr>
          <w:sz w:val="21"/>
        </w:rPr>
        <w:t>disposed of by a </w:t>
      </w:r>
      <w:r>
        <w:rPr>
          <w:spacing w:val="-3"/>
          <w:sz w:val="21"/>
        </w:rPr>
        <w:t>valid will </w:t>
      </w:r>
      <w:r>
        <w:rPr>
          <w:sz w:val="21"/>
        </w:rPr>
        <w:t>is </w:t>
      </w:r>
      <w:r>
        <w:rPr>
          <w:spacing w:val="-3"/>
          <w:sz w:val="21"/>
        </w:rPr>
        <w:t>distributed </w:t>
      </w:r>
      <w:r>
        <w:rPr>
          <w:sz w:val="21"/>
        </w:rPr>
        <w:t>under a statutory intestacy scheme </w:t>
      </w:r>
      <w:r>
        <w:rPr>
          <w:spacing w:val="-3"/>
          <w:sz w:val="21"/>
        </w:rPr>
        <w:t>contained </w:t>
      </w:r>
      <w:r>
        <w:rPr>
          <w:sz w:val="21"/>
        </w:rPr>
        <w:t>in the </w:t>
      </w:r>
      <w:r>
        <w:rPr>
          <w:spacing w:val="-3"/>
          <w:sz w:val="21"/>
        </w:rPr>
        <w:t>Administration </w:t>
      </w:r>
      <w:r>
        <w:rPr>
          <w:sz w:val="21"/>
        </w:rPr>
        <w:t>and </w:t>
      </w:r>
      <w:r>
        <w:rPr>
          <w:spacing w:val="-3"/>
          <w:sz w:val="21"/>
        </w:rPr>
        <w:t>Probate</w:t>
      </w:r>
      <w:r>
        <w:rPr>
          <w:spacing w:val="30"/>
          <w:sz w:val="21"/>
        </w:rPr>
        <w:t> </w:t>
      </w:r>
      <w:r>
        <w:rPr>
          <w:sz w:val="21"/>
        </w:rPr>
        <w:t>Act.</w:t>
      </w:r>
    </w:p>
    <w:p>
      <w:pPr>
        <w:pStyle w:val="ListParagraph"/>
        <w:numPr>
          <w:ilvl w:val="0"/>
          <w:numId w:val="4"/>
        </w:numPr>
        <w:tabs>
          <w:tab w:pos="1928" w:val="left" w:leader="none"/>
        </w:tabs>
        <w:spacing w:line="242" w:lineRule="auto" w:before="124" w:after="0"/>
        <w:ind w:left="1927" w:right="2141" w:hanging="340"/>
        <w:jc w:val="left"/>
        <w:rPr>
          <w:sz w:val="21"/>
        </w:rPr>
      </w:pPr>
      <w:r>
        <w:rPr>
          <w:w w:val="105"/>
          <w:sz w:val="21"/>
        </w:rPr>
        <w:t>In some </w:t>
      </w:r>
      <w:r>
        <w:rPr>
          <w:spacing w:val="-3"/>
          <w:w w:val="105"/>
          <w:sz w:val="21"/>
        </w:rPr>
        <w:t>areas, Victoria’s </w:t>
      </w:r>
      <w:r>
        <w:rPr>
          <w:w w:val="105"/>
          <w:sz w:val="21"/>
        </w:rPr>
        <w:t>intestacy laws </w:t>
      </w:r>
      <w:r>
        <w:rPr>
          <w:spacing w:val="-3"/>
          <w:w w:val="105"/>
          <w:sz w:val="21"/>
        </w:rPr>
        <w:t>are </w:t>
      </w:r>
      <w:r>
        <w:rPr>
          <w:w w:val="105"/>
          <w:sz w:val="21"/>
        </w:rPr>
        <w:t>unnecessarily complex and out of step with the</w:t>
      </w:r>
      <w:r>
        <w:rPr>
          <w:spacing w:val="-8"/>
          <w:w w:val="105"/>
          <w:sz w:val="21"/>
        </w:rPr>
        <w:t> </w:t>
      </w:r>
      <w:r>
        <w:rPr>
          <w:w w:val="105"/>
          <w:sz w:val="21"/>
        </w:rPr>
        <w:t>laws</w:t>
      </w:r>
      <w:r>
        <w:rPr>
          <w:spacing w:val="-8"/>
          <w:w w:val="105"/>
          <w:sz w:val="21"/>
        </w:rPr>
        <w:t> </w:t>
      </w:r>
      <w:r>
        <w:rPr>
          <w:w w:val="105"/>
          <w:sz w:val="21"/>
        </w:rPr>
        <w:t>in</w:t>
      </w:r>
      <w:r>
        <w:rPr>
          <w:spacing w:val="-7"/>
          <w:w w:val="105"/>
          <w:sz w:val="21"/>
        </w:rPr>
        <w:t> </w:t>
      </w:r>
      <w:r>
        <w:rPr>
          <w:w w:val="105"/>
          <w:sz w:val="21"/>
        </w:rPr>
        <w:t>other</w:t>
      </w:r>
      <w:r>
        <w:rPr>
          <w:spacing w:val="-8"/>
          <w:w w:val="105"/>
          <w:sz w:val="21"/>
        </w:rPr>
        <w:t> </w:t>
      </w:r>
      <w:r>
        <w:rPr>
          <w:w w:val="105"/>
          <w:sz w:val="21"/>
        </w:rPr>
        <w:t>jurisdictions.</w:t>
      </w:r>
      <w:r>
        <w:rPr>
          <w:spacing w:val="-7"/>
          <w:w w:val="105"/>
          <w:sz w:val="21"/>
        </w:rPr>
        <w:t> </w:t>
      </w:r>
      <w:r>
        <w:rPr>
          <w:spacing w:val="-3"/>
          <w:w w:val="105"/>
          <w:sz w:val="21"/>
        </w:rPr>
        <w:t>Recommendations</w:t>
      </w:r>
      <w:r>
        <w:rPr>
          <w:spacing w:val="-8"/>
          <w:w w:val="105"/>
          <w:sz w:val="21"/>
        </w:rPr>
        <w:t> </w:t>
      </w:r>
      <w:r>
        <w:rPr>
          <w:w w:val="105"/>
          <w:sz w:val="21"/>
        </w:rPr>
        <w:t>by</w:t>
      </w:r>
      <w:r>
        <w:rPr>
          <w:spacing w:val="-7"/>
          <w:w w:val="105"/>
          <w:sz w:val="21"/>
        </w:rPr>
        <w:t> </w:t>
      </w:r>
      <w:r>
        <w:rPr>
          <w:w w:val="105"/>
          <w:sz w:val="21"/>
        </w:rPr>
        <w:t>the</w:t>
      </w:r>
      <w:r>
        <w:rPr>
          <w:spacing w:val="-8"/>
          <w:w w:val="105"/>
          <w:sz w:val="21"/>
        </w:rPr>
        <w:t> </w:t>
      </w:r>
      <w:r>
        <w:rPr>
          <w:spacing w:val="-3"/>
          <w:w w:val="105"/>
          <w:sz w:val="21"/>
        </w:rPr>
        <w:t>National</w:t>
      </w:r>
      <w:r>
        <w:rPr>
          <w:spacing w:val="-7"/>
          <w:w w:val="105"/>
          <w:sz w:val="21"/>
        </w:rPr>
        <w:t> </w:t>
      </w:r>
      <w:r>
        <w:rPr>
          <w:spacing w:val="-3"/>
          <w:w w:val="105"/>
          <w:sz w:val="21"/>
        </w:rPr>
        <w:t>Committee</w:t>
      </w:r>
      <w:r>
        <w:rPr>
          <w:spacing w:val="-8"/>
          <w:w w:val="105"/>
          <w:sz w:val="21"/>
        </w:rPr>
        <w:t> </w:t>
      </w:r>
      <w:r>
        <w:rPr>
          <w:spacing w:val="-3"/>
          <w:w w:val="105"/>
          <w:sz w:val="21"/>
        </w:rPr>
        <w:t>for</w:t>
      </w:r>
      <w:r>
        <w:rPr>
          <w:spacing w:val="-7"/>
          <w:w w:val="105"/>
          <w:sz w:val="21"/>
        </w:rPr>
        <w:t> </w:t>
      </w:r>
      <w:r>
        <w:rPr>
          <w:spacing w:val="-3"/>
          <w:w w:val="105"/>
          <w:sz w:val="21"/>
        </w:rPr>
        <w:t>Uniform</w:t>
      </w:r>
    </w:p>
    <w:p>
      <w:pPr>
        <w:pStyle w:val="BodyText"/>
        <w:spacing w:line="242" w:lineRule="auto" w:before="2"/>
        <w:ind w:left="1927" w:right="1532"/>
      </w:pPr>
      <w:r>
        <w:rPr>
          <w:spacing w:val="-3"/>
          <w:w w:val="105"/>
        </w:rPr>
        <w:t>Succession </w:t>
      </w:r>
      <w:r>
        <w:rPr>
          <w:w w:val="105"/>
        </w:rPr>
        <w:t>Laws </w:t>
      </w:r>
      <w:r>
        <w:rPr>
          <w:spacing w:val="-3"/>
          <w:w w:val="105"/>
        </w:rPr>
        <w:t>regarding </w:t>
      </w:r>
      <w:r>
        <w:rPr>
          <w:w w:val="105"/>
        </w:rPr>
        <w:t>intestacy </w:t>
      </w:r>
      <w:r>
        <w:rPr>
          <w:spacing w:val="-3"/>
          <w:w w:val="105"/>
        </w:rPr>
        <w:t>have </w:t>
      </w:r>
      <w:r>
        <w:rPr>
          <w:w w:val="105"/>
        </w:rPr>
        <w:t>largely been </w:t>
      </w:r>
      <w:r>
        <w:rPr>
          <w:spacing w:val="-3"/>
          <w:w w:val="105"/>
        </w:rPr>
        <w:t>implemented </w:t>
      </w:r>
      <w:r>
        <w:rPr>
          <w:w w:val="105"/>
        </w:rPr>
        <w:t>in New South </w:t>
      </w:r>
      <w:r>
        <w:rPr>
          <w:spacing w:val="-3"/>
          <w:w w:val="105"/>
        </w:rPr>
        <w:t>Wales </w:t>
      </w:r>
      <w:r>
        <w:rPr>
          <w:w w:val="105"/>
        </w:rPr>
        <w:t>and </w:t>
      </w:r>
      <w:r>
        <w:rPr>
          <w:spacing w:val="-4"/>
          <w:w w:val="105"/>
        </w:rPr>
        <w:t>Tasmania. </w:t>
      </w:r>
      <w:r>
        <w:rPr>
          <w:w w:val="105"/>
        </w:rPr>
        <w:t>Adoption of these </w:t>
      </w:r>
      <w:r>
        <w:rPr>
          <w:spacing w:val="-3"/>
          <w:w w:val="105"/>
        </w:rPr>
        <w:t>recommendations </w:t>
      </w:r>
      <w:r>
        <w:rPr>
          <w:w w:val="105"/>
        </w:rPr>
        <w:t>in Victoria would </w:t>
      </w:r>
      <w:r>
        <w:rPr>
          <w:spacing w:val="-3"/>
          <w:w w:val="105"/>
        </w:rPr>
        <w:t>promote national consistency, </w:t>
      </w:r>
      <w:r>
        <w:rPr>
          <w:w w:val="105"/>
        </w:rPr>
        <w:t>modernise and clarify the law and simplify the </w:t>
      </w:r>
      <w:r>
        <w:rPr>
          <w:spacing w:val="-3"/>
          <w:w w:val="105"/>
        </w:rPr>
        <w:t>administration </w:t>
      </w:r>
      <w:r>
        <w:rPr>
          <w:w w:val="105"/>
        </w:rPr>
        <w:t>of </w:t>
      </w:r>
      <w:r>
        <w:rPr>
          <w:spacing w:val="-3"/>
          <w:w w:val="105"/>
        </w:rPr>
        <w:t>intestate </w:t>
      </w:r>
      <w:r>
        <w:rPr>
          <w:w w:val="105"/>
        </w:rPr>
        <w:t>estates.</w:t>
      </w:r>
    </w:p>
    <w:p>
      <w:pPr>
        <w:pStyle w:val="ListParagraph"/>
        <w:numPr>
          <w:ilvl w:val="0"/>
          <w:numId w:val="4"/>
        </w:numPr>
        <w:tabs>
          <w:tab w:pos="1928" w:val="left" w:leader="none"/>
        </w:tabs>
        <w:spacing w:line="242" w:lineRule="auto" w:before="124" w:after="0"/>
        <w:ind w:left="1927" w:right="1706" w:hanging="340"/>
        <w:jc w:val="left"/>
        <w:rPr>
          <w:sz w:val="21"/>
        </w:rPr>
      </w:pPr>
      <w:r>
        <w:rPr>
          <w:w w:val="105"/>
          <w:sz w:val="21"/>
        </w:rPr>
        <w:t>The </w:t>
      </w:r>
      <w:r>
        <w:rPr>
          <w:spacing w:val="-3"/>
          <w:w w:val="105"/>
          <w:sz w:val="21"/>
        </w:rPr>
        <w:t>Commission found </w:t>
      </w:r>
      <w:r>
        <w:rPr>
          <w:w w:val="105"/>
          <w:sz w:val="21"/>
        </w:rPr>
        <w:t>general support </w:t>
      </w:r>
      <w:r>
        <w:rPr>
          <w:spacing w:val="-3"/>
          <w:w w:val="105"/>
          <w:sz w:val="21"/>
        </w:rPr>
        <w:t>for </w:t>
      </w:r>
      <w:r>
        <w:rPr>
          <w:w w:val="105"/>
          <w:sz w:val="21"/>
        </w:rPr>
        <w:t>the </w:t>
      </w:r>
      <w:r>
        <w:rPr>
          <w:spacing w:val="-3"/>
          <w:w w:val="105"/>
          <w:sz w:val="21"/>
        </w:rPr>
        <w:t>recommendations </w:t>
      </w:r>
      <w:r>
        <w:rPr>
          <w:w w:val="105"/>
          <w:sz w:val="21"/>
        </w:rPr>
        <w:t>and </w:t>
      </w:r>
      <w:r>
        <w:rPr>
          <w:spacing w:val="-2"/>
          <w:w w:val="105"/>
          <w:sz w:val="21"/>
        </w:rPr>
        <w:t>has </w:t>
      </w:r>
      <w:r>
        <w:rPr>
          <w:w w:val="105"/>
          <w:sz w:val="21"/>
        </w:rPr>
        <w:t>recommended </w:t>
      </w:r>
      <w:r>
        <w:rPr>
          <w:spacing w:val="-3"/>
          <w:w w:val="105"/>
          <w:sz w:val="21"/>
        </w:rPr>
        <w:t>that </w:t>
      </w:r>
      <w:r>
        <w:rPr>
          <w:w w:val="105"/>
          <w:sz w:val="21"/>
        </w:rPr>
        <w:t>Victoria adopt most of them as </w:t>
      </w:r>
      <w:r>
        <w:rPr>
          <w:spacing w:val="-3"/>
          <w:w w:val="105"/>
          <w:sz w:val="21"/>
        </w:rPr>
        <w:t>well. </w:t>
      </w:r>
      <w:r>
        <w:rPr>
          <w:w w:val="105"/>
          <w:sz w:val="21"/>
        </w:rPr>
        <w:t>The basic </w:t>
      </w:r>
      <w:r>
        <w:rPr>
          <w:spacing w:val="-3"/>
          <w:w w:val="105"/>
          <w:sz w:val="21"/>
        </w:rPr>
        <w:t>framework </w:t>
      </w:r>
      <w:r>
        <w:rPr>
          <w:w w:val="105"/>
          <w:sz w:val="21"/>
        </w:rPr>
        <w:t>of the intestacy scheme in Victoria would </w:t>
      </w:r>
      <w:r>
        <w:rPr>
          <w:spacing w:val="-3"/>
          <w:w w:val="105"/>
          <w:sz w:val="21"/>
        </w:rPr>
        <w:t>remain </w:t>
      </w:r>
      <w:r>
        <w:rPr>
          <w:w w:val="105"/>
          <w:sz w:val="21"/>
        </w:rPr>
        <w:t>the same but there would be </w:t>
      </w:r>
      <w:r>
        <w:rPr>
          <w:spacing w:val="-3"/>
          <w:w w:val="105"/>
          <w:sz w:val="21"/>
        </w:rPr>
        <w:t>many </w:t>
      </w:r>
      <w:r>
        <w:rPr>
          <w:w w:val="105"/>
          <w:sz w:val="21"/>
        </w:rPr>
        <w:t>refinements. In </w:t>
      </w:r>
      <w:r>
        <w:rPr>
          <w:spacing w:val="-3"/>
          <w:w w:val="105"/>
          <w:sz w:val="21"/>
        </w:rPr>
        <w:t>particular, </w:t>
      </w:r>
      <w:r>
        <w:rPr>
          <w:w w:val="105"/>
          <w:sz w:val="21"/>
        </w:rPr>
        <w:t>the </w:t>
      </w:r>
      <w:r>
        <w:rPr>
          <w:spacing w:val="-3"/>
          <w:w w:val="105"/>
          <w:sz w:val="21"/>
        </w:rPr>
        <w:t>changes </w:t>
      </w:r>
      <w:r>
        <w:rPr>
          <w:w w:val="105"/>
          <w:sz w:val="21"/>
        </w:rPr>
        <w:t>would strengthen the position and entitlements of the deceased </w:t>
      </w:r>
      <w:r>
        <w:rPr>
          <w:spacing w:val="-3"/>
          <w:w w:val="105"/>
          <w:sz w:val="21"/>
        </w:rPr>
        <w:t>person’s </w:t>
      </w:r>
      <w:r>
        <w:rPr>
          <w:w w:val="105"/>
          <w:sz w:val="21"/>
        </w:rPr>
        <w:t>partner and </w:t>
      </w:r>
      <w:r>
        <w:rPr>
          <w:spacing w:val="-3"/>
          <w:w w:val="105"/>
          <w:sz w:val="21"/>
        </w:rPr>
        <w:t>allow for </w:t>
      </w:r>
      <w:r>
        <w:rPr>
          <w:w w:val="105"/>
          <w:sz w:val="21"/>
        </w:rPr>
        <w:t>a more tailored </w:t>
      </w:r>
      <w:r>
        <w:rPr>
          <w:spacing w:val="-2"/>
          <w:w w:val="105"/>
          <w:sz w:val="21"/>
        </w:rPr>
        <w:t>distribution </w:t>
      </w:r>
      <w:r>
        <w:rPr>
          <w:spacing w:val="-3"/>
          <w:w w:val="105"/>
          <w:sz w:val="21"/>
        </w:rPr>
        <w:t>to multiple</w:t>
      </w:r>
      <w:r>
        <w:rPr>
          <w:spacing w:val="34"/>
          <w:w w:val="105"/>
          <w:sz w:val="21"/>
        </w:rPr>
        <w:t> </w:t>
      </w:r>
      <w:r>
        <w:rPr>
          <w:w w:val="105"/>
          <w:sz w:val="21"/>
        </w:rPr>
        <w:t>partners.</w:t>
      </w:r>
    </w:p>
    <w:p>
      <w:pPr>
        <w:pStyle w:val="ListParagraph"/>
        <w:numPr>
          <w:ilvl w:val="0"/>
          <w:numId w:val="4"/>
        </w:numPr>
        <w:tabs>
          <w:tab w:pos="1928" w:val="left" w:leader="none"/>
        </w:tabs>
        <w:spacing w:line="242" w:lineRule="auto" w:before="125" w:after="0"/>
        <w:ind w:left="1927" w:right="1820" w:hanging="340"/>
        <w:jc w:val="left"/>
        <w:rPr>
          <w:sz w:val="21"/>
        </w:rPr>
      </w:pPr>
      <w:r>
        <w:rPr>
          <w:spacing w:val="-4"/>
          <w:w w:val="105"/>
          <w:sz w:val="21"/>
        </w:rPr>
        <w:t>However, </w:t>
      </w:r>
      <w:r>
        <w:rPr>
          <w:w w:val="105"/>
          <w:sz w:val="21"/>
        </w:rPr>
        <w:t>simply </w:t>
      </w:r>
      <w:r>
        <w:rPr>
          <w:spacing w:val="-3"/>
          <w:w w:val="105"/>
          <w:sz w:val="21"/>
        </w:rPr>
        <w:t>grafting </w:t>
      </w:r>
      <w:r>
        <w:rPr>
          <w:w w:val="105"/>
          <w:sz w:val="21"/>
        </w:rPr>
        <w:t>the </w:t>
      </w:r>
      <w:r>
        <w:rPr>
          <w:spacing w:val="-3"/>
          <w:w w:val="105"/>
          <w:sz w:val="21"/>
        </w:rPr>
        <w:t>changes onto </w:t>
      </w:r>
      <w:r>
        <w:rPr>
          <w:w w:val="105"/>
          <w:sz w:val="21"/>
        </w:rPr>
        <w:t>the existing </w:t>
      </w:r>
      <w:r>
        <w:rPr>
          <w:spacing w:val="-3"/>
          <w:w w:val="105"/>
          <w:sz w:val="21"/>
        </w:rPr>
        <w:t>provisions </w:t>
      </w:r>
      <w:r>
        <w:rPr>
          <w:w w:val="105"/>
          <w:sz w:val="21"/>
        </w:rPr>
        <w:t>in the </w:t>
      </w:r>
      <w:r>
        <w:rPr>
          <w:spacing w:val="-3"/>
          <w:w w:val="105"/>
          <w:sz w:val="21"/>
        </w:rPr>
        <w:t>Administration </w:t>
      </w:r>
      <w:r>
        <w:rPr>
          <w:w w:val="105"/>
          <w:sz w:val="21"/>
        </w:rPr>
        <w:t>and </w:t>
      </w:r>
      <w:r>
        <w:rPr>
          <w:spacing w:val="-3"/>
          <w:w w:val="105"/>
          <w:sz w:val="21"/>
        </w:rPr>
        <w:t>Probate</w:t>
      </w:r>
      <w:r>
        <w:rPr>
          <w:spacing w:val="-6"/>
          <w:w w:val="105"/>
          <w:sz w:val="21"/>
        </w:rPr>
        <w:t> </w:t>
      </w:r>
      <w:r>
        <w:rPr>
          <w:w w:val="105"/>
          <w:sz w:val="21"/>
        </w:rPr>
        <w:t>Act</w:t>
      </w:r>
      <w:r>
        <w:rPr>
          <w:spacing w:val="-5"/>
          <w:w w:val="105"/>
          <w:sz w:val="21"/>
        </w:rPr>
        <w:t> </w:t>
      </w:r>
      <w:r>
        <w:rPr>
          <w:w w:val="105"/>
          <w:sz w:val="21"/>
        </w:rPr>
        <w:t>would</w:t>
      </w:r>
      <w:r>
        <w:rPr>
          <w:spacing w:val="-6"/>
          <w:w w:val="105"/>
          <w:sz w:val="21"/>
        </w:rPr>
        <w:t> </w:t>
      </w:r>
      <w:r>
        <w:rPr>
          <w:spacing w:val="-4"/>
          <w:w w:val="105"/>
          <w:sz w:val="21"/>
        </w:rPr>
        <w:t>make</w:t>
      </w:r>
      <w:r>
        <w:rPr>
          <w:spacing w:val="-6"/>
          <w:w w:val="105"/>
          <w:sz w:val="21"/>
        </w:rPr>
        <w:t> </w:t>
      </w:r>
      <w:r>
        <w:rPr>
          <w:spacing w:val="-3"/>
          <w:w w:val="105"/>
          <w:sz w:val="21"/>
        </w:rPr>
        <w:t>Victoria’s</w:t>
      </w:r>
      <w:r>
        <w:rPr>
          <w:spacing w:val="-5"/>
          <w:w w:val="105"/>
          <w:sz w:val="21"/>
        </w:rPr>
        <w:t> </w:t>
      </w:r>
      <w:r>
        <w:rPr>
          <w:w w:val="105"/>
          <w:sz w:val="21"/>
        </w:rPr>
        <w:t>law</w:t>
      </w:r>
      <w:r>
        <w:rPr>
          <w:spacing w:val="-6"/>
          <w:w w:val="105"/>
          <w:sz w:val="21"/>
        </w:rPr>
        <w:t> </w:t>
      </w:r>
      <w:r>
        <w:rPr>
          <w:w w:val="105"/>
          <w:sz w:val="21"/>
        </w:rPr>
        <w:t>unnecessarily</w:t>
      </w:r>
      <w:r>
        <w:rPr>
          <w:spacing w:val="-5"/>
          <w:w w:val="105"/>
          <w:sz w:val="21"/>
        </w:rPr>
        <w:t> </w:t>
      </w:r>
      <w:r>
        <w:rPr>
          <w:w w:val="105"/>
          <w:sz w:val="21"/>
        </w:rPr>
        <w:t>complex</w:t>
      </w:r>
      <w:r>
        <w:rPr>
          <w:spacing w:val="-6"/>
          <w:w w:val="105"/>
          <w:sz w:val="21"/>
        </w:rPr>
        <w:t> </w:t>
      </w:r>
      <w:r>
        <w:rPr>
          <w:w w:val="105"/>
          <w:sz w:val="21"/>
        </w:rPr>
        <w:t>and</w:t>
      </w:r>
      <w:r>
        <w:rPr>
          <w:spacing w:val="-5"/>
          <w:w w:val="105"/>
          <w:sz w:val="21"/>
        </w:rPr>
        <w:t> </w:t>
      </w:r>
      <w:r>
        <w:rPr>
          <w:spacing w:val="-4"/>
          <w:w w:val="105"/>
          <w:sz w:val="21"/>
        </w:rPr>
        <w:t>confusing.</w:t>
      </w:r>
      <w:r>
        <w:rPr>
          <w:spacing w:val="-6"/>
          <w:w w:val="105"/>
          <w:sz w:val="21"/>
        </w:rPr>
        <w:t> </w:t>
      </w:r>
      <w:r>
        <w:rPr>
          <w:w w:val="105"/>
          <w:sz w:val="21"/>
        </w:rPr>
        <w:t>For</w:t>
      </w:r>
      <w:r>
        <w:rPr>
          <w:spacing w:val="-5"/>
          <w:w w:val="105"/>
          <w:sz w:val="21"/>
        </w:rPr>
        <w:t> </w:t>
      </w:r>
      <w:r>
        <w:rPr>
          <w:w w:val="105"/>
          <w:sz w:val="21"/>
        </w:rPr>
        <w:t>this</w:t>
      </w:r>
      <w:r>
        <w:rPr>
          <w:spacing w:val="-6"/>
          <w:w w:val="105"/>
          <w:sz w:val="21"/>
        </w:rPr>
        <w:t> </w:t>
      </w:r>
      <w:r>
        <w:rPr>
          <w:spacing w:val="-3"/>
          <w:w w:val="105"/>
          <w:sz w:val="21"/>
        </w:rPr>
        <w:t>reason, </w:t>
      </w:r>
      <w:r>
        <w:rPr>
          <w:w w:val="105"/>
          <w:sz w:val="21"/>
        </w:rPr>
        <w:t>the </w:t>
      </w:r>
      <w:r>
        <w:rPr>
          <w:spacing w:val="-3"/>
          <w:w w:val="105"/>
          <w:sz w:val="21"/>
        </w:rPr>
        <w:t>Commission </w:t>
      </w:r>
      <w:r>
        <w:rPr>
          <w:w w:val="105"/>
          <w:sz w:val="21"/>
        </w:rPr>
        <w:t>considers </w:t>
      </w:r>
      <w:r>
        <w:rPr>
          <w:spacing w:val="-3"/>
          <w:w w:val="105"/>
          <w:sz w:val="21"/>
        </w:rPr>
        <w:t>that all </w:t>
      </w:r>
      <w:r>
        <w:rPr>
          <w:w w:val="105"/>
          <w:sz w:val="21"/>
        </w:rPr>
        <w:t>of the </w:t>
      </w:r>
      <w:r>
        <w:rPr>
          <w:spacing w:val="-3"/>
          <w:w w:val="105"/>
          <w:sz w:val="21"/>
        </w:rPr>
        <w:t>provisions concerning </w:t>
      </w:r>
      <w:r>
        <w:rPr>
          <w:w w:val="105"/>
          <w:sz w:val="21"/>
        </w:rPr>
        <w:t>the intestacy scheme should be rewritten, </w:t>
      </w:r>
      <w:r>
        <w:rPr>
          <w:spacing w:val="-3"/>
          <w:w w:val="105"/>
          <w:sz w:val="21"/>
        </w:rPr>
        <w:t>incorporating </w:t>
      </w:r>
      <w:r>
        <w:rPr>
          <w:w w:val="105"/>
          <w:sz w:val="21"/>
        </w:rPr>
        <w:t>the </w:t>
      </w:r>
      <w:r>
        <w:rPr>
          <w:spacing w:val="-3"/>
          <w:w w:val="105"/>
          <w:sz w:val="21"/>
        </w:rPr>
        <w:t>recommendations </w:t>
      </w:r>
      <w:r>
        <w:rPr>
          <w:w w:val="105"/>
          <w:sz w:val="21"/>
        </w:rPr>
        <w:t>in this</w:t>
      </w:r>
      <w:r>
        <w:rPr>
          <w:spacing w:val="27"/>
          <w:w w:val="105"/>
          <w:sz w:val="21"/>
        </w:rPr>
        <w:t> </w:t>
      </w:r>
      <w:r>
        <w:rPr>
          <w:w w:val="105"/>
          <w:sz w:val="21"/>
        </w:rPr>
        <w:t>report.</w:t>
      </w:r>
    </w:p>
    <w:p>
      <w:pPr>
        <w:pStyle w:val="BodyText"/>
        <w:rPr>
          <w:sz w:val="20"/>
        </w:rPr>
      </w:pPr>
    </w:p>
    <w:p>
      <w:pPr>
        <w:pStyle w:val="BodyText"/>
        <w:rPr>
          <w:sz w:val="20"/>
        </w:rPr>
      </w:pPr>
    </w:p>
    <w:p>
      <w:pPr>
        <w:pStyle w:val="BodyText"/>
        <w:rPr>
          <w:sz w:val="20"/>
        </w:rPr>
      </w:pPr>
    </w:p>
    <w:p>
      <w:pPr>
        <w:pStyle w:val="BodyText"/>
        <w:spacing w:before="6"/>
        <w:rPr>
          <w:sz w:val="13"/>
        </w:rPr>
      </w:pPr>
      <w:r>
        <w:rPr/>
        <w:pict>
          <v:line style="position:absolute;mso-position-horizontal-relative:page;mso-position-vertical-relative:paragraph;z-index:-712;mso-wrap-distance-left:0;mso-wrap-distance-right:0" from="79.370003pt,10.705721pt" to="515.905003pt,10.705721pt" stroked="true" strokeweight="1pt" strokecolor="#f9ceca">
            <v:stroke dashstyle="solid"/>
            <w10:wrap type="topAndBottom"/>
          </v:line>
        </w:pict>
      </w:r>
    </w:p>
    <w:p>
      <w:pPr>
        <w:tabs>
          <w:tab w:pos="1587" w:val="left" w:leader="none"/>
          <w:tab w:pos="2380" w:val="left" w:leader="none"/>
        </w:tabs>
        <w:spacing w:before="27"/>
        <w:ind w:left="720" w:right="0" w:firstLine="0"/>
        <w:jc w:val="left"/>
        <w:rPr>
          <w:sz w:val="13"/>
        </w:rPr>
      </w:pPr>
      <w:r>
        <w:rPr>
          <w:b/>
          <w:color w:val="EC5A4F"/>
          <w:sz w:val="24"/>
        </w:rPr>
        <w:t>xvi</w:t>
        <w:tab/>
      </w:r>
      <w:r>
        <w:rPr>
          <w:position w:val="1"/>
          <w:sz w:val="13"/>
        </w:rPr>
        <w:t>1</w:t>
        <w:tab/>
        <w:t>Victorian</w:t>
      </w:r>
      <w:r>
        <w:rPr>
          <w:spacing w:val="10"/>
          <w:position w:val="1"/>
          <w:sz w:val="13"/>
        </w:rPr>
        <w:t> </w:t>
      </w:r>
      <w:r>
        <w:rPr>
          <w:position w:val="1"/>
          <w:sz w:val="13"/>
        </w:rPr>
        <w:t>Registry</w:t>
      </w:r>
      <w:r>
        <w:rPr>
          <w:spacing w:val="11"/>
          <w:position w:val="1"/>
          <w:sz w:val="13"/>
        </w:rPr>
        <w:t> </w:t>
      </w:r>
      <w:r>
        <w:rPr>
          <w:position w:val="1"/>
          <w:sz w:val="13"/>
        </w:rPr>
        <w:t>of</w:t>
      </w:r>
      <w:r>
        <w:rPr>
          <w:spacing w:val="11"/>
          <w:position w:val="1"/>
          <w:sz w:val="13"/>
        </w:rPr>
        <w:t> </w:t>
      </w:r>
      <w:r>
        <w:rPr>
          <w:position w:val="1"/>
          <w:sz w:val="13"/>
        </w:rPr>
        <w:t>Births</w:t>
      </w:r>
      <w:r>
        <w:rPr>
          <w:spacing w:val="11"/>
          <w:position w:val="1"/>
          <w:sz w:val="13"/>
        </w:rPr>
        <w:t> </w:t>
      </w:r>
      <w:r>
        <w:rPr>
          <w:position w:val="1"/>
          <w:sz w:val="13"/>
        </w:rPr>
        <w:t>Deaths</w:t>
      </w:r>
      <w:r>
        <w:rPr>
          <w:spacing w:val="10"/>
          <w:position w:val="1"/>
          <w:sz w:val="13"/>
        </w:rPr>
        <w:t> </w:t>
      </w:r>
      <w:r>
        <w:rPr>
          <w:position w:val="1"/>
          <w:sz w:val="13"/>
        </w:rPr>
        <w:t>and</w:t>
      </w:r>
      <w:r>
        <w:rPr>
          <w:spacing w:val="11"/>
          <w:position w:val="1"/>
          <w:sz w:val="13"/>
        </w:rPr>
        <w:t> </w:t>
      </w:r>
      <w:r>
        <w:rPr>
          <w:position w:val="1"/>
          <w:sz w:val="13"/>
        </w:rPr>
        <w:t>Marriages,</w:t>
      </w:r>
      <w:r>
        <w:rPr>
          <w:spacing w:val="11"/>
          <w:position w:val="1"/>
          <w:sz w:val="13"/>
        </w:rPr>
        <w:t> </w:t>
      </w:r>
      <w:r>
        <w:rPr>
          <w:i/>
          <w:position w:val="1"/>
          <w:sz w:val="13"/>
        </w:rPr>
        <w:t>Fast</w:t>
      </w:r>
      <w:r>
        <w:rPr>
          <w:i/>
          <w:spacing w:val="10"/>
          <w:position w:val="1"/>
          <w:sz w:val="13"/>
        </w:rPr>
        <w:t> </w:t>
      </w:r>
      <w:r>
        <w:rPr>
          <w:i/>
          <w:position w:val="1"/>
          <w:sz w:val="13"/>
        </w:rPr>
        <w:t>Facts</w:t>
      </w:r>
      <w:r>
        <w:rPr>
          <w:i/>
          <w:spacing w:val="10"/>
          <w:position w:val="1"/>
          <w:sz w:val="13"/>
        </w:rPr>
        <w:t> </w:t>
      </w:r>
      <w:r>
        <w:rPr>
          <w:spacing w:val="3"/>
          <w:position w:val="1"/>
          <w:sz w:val="13"/>
        </w:rPr>
        <w:t>(8</w:t>
      </w:r>
      <w:r>
        <w:rPr>
          <w:spacing w:val="11"/>
          <w:position w:val="1"/>
          <w:sz w:val="13"/>
        </w:rPr>
        <w:t> </w:t>
      </w:r>
      <w:r>
        <w:rPr>
          <w:position w:val="1"/>
          <w:sz w:val="13"/>
        </w:rPr>
        <w:t>February</w:t>
      </w:r>
      <w:r>
        <w:rPr>
          <w:spacing w:val="11"/>
          <w:position w:val="1"/>
          <w:sz w:val="13"/>
        </w:rPr>
        <w:t> </w:t>
      </w:r>
      <w:r>
        <w:rPr>
          <w:position w:val="1"/>
          <w:sz w:val="13"/>
        </w:rPr>
        <w:t>2013)</w:t>
      </w:r>
      <w:r>
        <w:rPr>
          <w:spacing w:val="11"/>
          <w:position w:val="1"/>
          <w:sz w:val="13"/>
        </w:rPr>
        <w:t> </w:t>
      </w:r>
      <w:r>
        <w:rPr>
          <w:spacing w:val="2"/>
          <w:position w:val="1"/>
          <w:sz w:val="13"/>
        </w:rPr>
        <w:t>&lt;</w:t>
      </w:r>
      <w:hyperlink r:id="rId16">
        <w:r>
          <w:rPr>
            <w:spacing w:val="2"/>
            <w:position w:val="1"/>
            <w:sz w:val="13"/>
          </w:rPr>
          <w:t>http://www.bdm.vic.gov.au/utility/about+us/fast+facts/</w:t>
        </w:r>
      </w:hyperlink>
      <w:r>
        <w:rPr>
          <w:spacing w:val="2"/>
          <w:position w:val="1"/>
          <w:sz w:val="13"/>
        </w:rPr>
        <w:t>&gt;.</w:t>
      </w:r>
    </w:p>
    <w:p>
      <w:pPr>
        <w:spacing w:after="0"/>
        <w:jc w:val="left"/>
        <w:rPr>
          <w:sz w:val="13"/>
        </w:rPr>
        <w:sectPr>
          <w:pgSz w:w="11910" w:h="16840"/>
          <w:pgMar w:header="1372" w:footer="0" w:top="1560" w:bottom="280" w:left="0" w:right="0"/>
        </w:sectPr>
      </w:pPr>
    </w:p>
    <w:p>
      <w:pPr>
        <w:pStyle w:val="BodyText"/>
        <w:spacing w:before="9"/>
        <w:rPr>
          <w:sz w:val="22"/>
        </w:rPr>
      </w:pPr>
    </w:p>
    <w:p>
      <w:pPr>
        <w:pStyle w:val="ListParagraph"/>
        <w:numPr>
          <w:ilvl w:val="0"/>
          <w:numId w:val="4"/>
        </w:numPr>
        <w:tabs>
          <w:tab w:pos="1928" w:val="left" w:leader="none"/>
        </w:tabs>
        <w:spacing w:line="242" w:lineRule="auto" w:before="92" w:after="0"/>
        <w:ind w:left="1927" w:right="1593" w:hanging="340"/>
        <w:jc w:val="left"/>
        <w:rPr>
          <w:sz w:val="21"/>
        </w:rPr>
      </w:pPr>
      <w:r>
        <w:rPr>
          <w:w w:val="105"/>
          <w:sz w:val="21"/>
        </w:rPr>
        <w:t>The </w:t>
      </w:r>
      <w:r>
        <w:rPr>
          <w:spacing w:val="-4"/>
          <w:w w:val="105"/>
          <w:sz w:val="21"/>
        </w:rPr>
        <w:t>Commission’s </w:t>
      </w:r>
      <w:r>
        <w:rPr>
          <w:spacing w:val="-3"/>
          <w:w w:val="105"/>
          <w:sz w:val="21"/>
        </w:rPr>
        <w:t>recommendations </w:t>
      </w:r>
      <w:r>
        <w:rPr>
          <w:w w:val="105"/>
          <w:sz w:val="21"/>
        </w:rPr>
        <w:t>depart </w:t>
      </w:r>
      <w:r>
        <w:rPr>
          <w:spacing w:val="-2"/>
          <w:w w:val="105"/>
          <w:sz w:val="21"/>
        </w:rPr>
        <w:t>significantly </w:t>
      </w:r>
      <w:r>
        <w:rPr>
          <w:spacing w:val="-3"/>
          <w:w w:val="105"/>
          <w:sz w:val="21"/>
        </w:rPr>
        <w:t>from </w:t>
      </w:r>
      <w:r>
        <w:rPr>
          <w:w w:val="105"/>
          <w:sz w:val="21"/>
        </w:rPr>
        <w:t>those of the </w:t>
      </w:r>
      <w:r>
        <w:rPr>
          <w:spacing w:val="-3"/>
          <w:w w:val="105"/>
          <w:sz w:val="21"/>
        </w:rPr>
        <w:t>National Committee for Uniform Succession </w:t>
      </w:r>
      <w:r>
        <w:rPr>
          <w:w w:val="105"/>
          <w:sz w:val="21"/>
        </w:rPr>
        <w:t>laws in two respects: how an </w:t>
      </w:r>
      <w:r>
        <w:rPr>
          <w:spacing w:val="-3"/>
          <w:w w:val="105"/>
          <w:sz w:val="21"/>
        </w:rPr>
        <w:t>intestate </w:t>
      </w:r>
      <w:r>
        <w:rPr>
          <w:w w:val="105"/>
          <w:sz w:val="21"/>
        </w:rPr>
        <w:t>estate is </w:t>
      </w:r>
      <w:r>
        <w:rPr>
          <w:spacing w:val="-3"/>
          <w:w w:val="105"/>
          <w:sz w:val="21"/>
        </w:rPr>
        <w:t>shared </w:t>
      </w:r>
      <w:r>
        <w:rPr>
          <w:w w:val="105"/>
          <w:sz w:val="21"/>
        </w:rPr>
        <w:t>among </w:t>
      </w:r>
      <w:r>
        <w:rPr>
          <w:spacing w:val="-3"/>
          <w:w w:val="105"/>
          <w:sz w:val="21"/>
        </w:rPr>
        <w:t>multiple </w:t>
      </w:r>
      <w:r>
        <w:rPr>
          <w:w w:val="105"/>
          <w:sz w:val="21"/>
        </w:rPr>
        <w:t>partners and </w:t>
      </w:r>
      <w:r>
        <w:rPr>
          <w:spacing w:val="-3"/>
          <w:w w:val="105"/>
          <w:sz w:val="21"/>
        </w:rPr>
        <w:t>children, </w:t>
      </w:r>
      <w:r>
        <w:rPr>
          <w:w w:val="105"/>
          <w:sz w:val="21"/>
        </w:rPr>
        <w:t>and how the law provides </w:t>
      </w:r>
      <w:r>
        <w:rPr>
          <w:spacing w:val="-3"/>
          <w:w w:val="105"/>
          <w:sz w:val="21"/>
        </w:rPr>
        <w:t>for </w:t>
      </w:r>
      <w:r>
        <w:rPr>
          <w:w w:val="105"/>
          <w:sz w:val="21"/>
        </w:rPr>
        <w:t>an </w:t>
      </w:r>
      <w:r>
        <w:rPr>
          <w:spacing w:val="-3"/>
          <w:w w:val="105"/>
          <w:sz w:val="21"/>
        </w:rPr>
        <w:t>alternative </w:t>
      </w:r>
      <w:r>
        <w:rPr>
          <w:w w:val="105"/>
          <w:sz w:val="21"/>
        </w:rPr>
        <w:t>system of </w:t>
      </w:r>
      <w:r>
        <w:rPr>
          <w:spacing w:val="-3"/>
          <w:w w:val="105"/>
          <w:sz w:val="21"/>
        </w:rPr>
        <w:t>distributing </w:t>
      </w:r>
      <w:r>
        <w:rPr>
          <w:w w:val="105"/>
          <w:sz w:val="21"/>
        </w:rPr>
        <w:t>the </w:t>
      </w:r>
      <w:r>
        <w:rPr>
          <w:spacing w:val="-3"/>
          <w:w w:val="105"/>
          <w:sz w:val="21"/>
        </w:rPr>
        <w:t>intestate </w:t>
      </w:r>
      <w:r>
        <w:rPr>
          <w:w w:val="105"/>
          <w:sz w:val="21"/>
        </w:rPr>
        <w:t>estate of an Indigenous</w:t>
      </w:r>
      <w:r>
        <w:rPr>
          <w:spacing w:val="25"/>
          <w:w w:val="105"/>
          <w:sz w:val="21"/>
        </w:rPr>
        <w:t> </w:t>
      </w:r>
      <w:r>
        <w:rPr>
          <w:w w:val="105"/>
          <w:sz w:val="21"/>
        </w:rPr>
        <w:t>person.</w:t>
      </w:r>
    </w:p>
    <w:p>
      <w:pPr>
        <w:pStyle w:val="ListParagraph"/>
        <w:numPr>
          <w:ilvl w:val="0"/>
          <w:numId w:val="4"/>
        </w:numPr>
        <w:tabs>
          <w:tab w:pos="1928" w:val="left" w:leader="none"/>
        </w:tabs>
        <w:spacing w:line="242" w:lineRule="auto" w:before="124" w:after="0"/>
        <w:ind w:left="1927" w:right="1875" w:hanging="340"/>
        <w:jc w:val="left"/>
        <w:rPr>
          <w:sz w:val="21"/>
        </w:rPr>
      </w:pPr>
      <w:r>
        <w:rPr>
          <w:w w:val="105"/>
          <w:sz w:val="21"/>
        </w:rPr>
        <w:t>The </w:t>
      </w:r>
      <w:r>
        <w:rPr>
          <w:spacing w:val="-3"/>
          <w:w w:val="105"/>
          <w:sz w:val="21"/>
        </w:rPr>
        <w:t>National </w:t>
      </w:r>
      <w:r>
        <w:rPr>
          <w:spacing w:val="-4"/>
          <w:w w:val="105"/>
          <w:sz w:val="21"/>
        </w:rPr>
        <w:t>Committee’s </w:t>
      </w:r>
      <w:r>
        <w:rPr>
          <w:spacing w:val="-3"/>
          <w:w w:val="105"/>
          <w:sz w:val="21"/>
        </w:rPr>
        <w:t>recommendation concerning </w:t>
      </w:r>
      <w:r>
        <w:rPr>
          <w:w w:val="105"/>
          <w:sz w:val="21"/>
        </w:rPr>
        <w:t>distribution of the estate where </w:t>
      </w:r>
      <w:r>
        <w:rPr>
          <w:spacing w:val="-3"/>
          <w:w w:val="105"/>
          <w:sz w:val="21"/>
        </w:rPr>
        <w:t>multiple </w:t>
      </w:r>
      <w:r>
        <w:rPr>
          <w:w w:val="105"/>
          <w:sz w:val="21"/>
        </w:rPr>
        <w:t>partners and </w:t>
      </w:r>
      <w:r>
        <w:rPr>
          <w:spacing w:val="-3"/>
          <w:w w:val="105"/>
          <w:sz w:val="21"/>
        </w:rPr>
        <w:t>children are </w:t>
      </w:r>
      <w:r>
        <w:rPr>
          <w:w w:val="105"/>
          <w:sz w:val="21"/>
        </w:rPr>
        <w:t>entitled </w:t>
      </w:r>
      <w:r>
        <w:rPr>
          <w:spacing w:val="-3"/>
          <w:w w:val="105"/>
          <w:sz w:val="21"/>
        </w:rPr>
        <w:t>to </w:t>
      </w:r>
      <w:r>
        <w:rPr>
          <w:w w:val="105"/>
          <w:sz w:val="21"/>
        </w:rPr>
        <w:t>a </w:t>
      </w:r>
      <w:r>
        <w:rPr>
          <w:spacing w:val="-3"/>
          <w:w w:val="105"/>
          <w:sz w:val="21"/>
        </w:rPr>
        <w:t>share </w:t>
      </w:r>
      <w:r>
        <w:rPr>
          <w:w w:val="105"/>
          <w:sz w:val="21"/>
        </w:rPr>
        <w:t>of the estate </w:t>
      </w:r>
      <w:r>
        <w:rPr>
          <w:spacing w:val="-3"/>
          <w:w w:val="105"/>
          <w:sz w:val="21"/>
        </w:rPr>
        <w:t>could unfairly favour </w:t>
      </w:r>
      <w:r>
        <w:rPr>
          <w:w w:val="105"/>
          <w:sz w:val="21"/>
        </w:rPr>
        <w:t>the partners</w:t>
      </w:r>
      <w:r>
        <w:rPr>
          <w:spacing w:val="-7"/>
          <w:w w:val="105"/>
          <w:sz w:val="21"/>
        </w:rPr>
        <w:t> </w:t>
      </w:r>
      <w:r>
        <w:rPr>
          <w:w w:val="105"/>
          <w:sz w:val="21"/>
        </w:rPr>
        <w:t>at</w:t>
      </w:r>
      <w:r>
        <w:rPr>
          <w:spacing w:val="-7"/>
          <w:w w:val="105"/>
          <w:sz w:val="21"/>
        </w:rPr>
        <w:t> </w:t>
      </w:r>
      <w:r>
        <w:rPr>
          <w:w w:val="105"/>
          <w:sz w:val="21"/>
        </w:rPr>
        <w:t>the</w:t>
      </w:r>
      <w:r>
        <w:rPr>
          <w:spacing w:val="-7"/>
          <w:w w:val="105"/>
          <w:sz w:val="21"/>
        </w:rPr>
        <w:t> </w:t>
      </w:r>
      <w:r>
        <w:rPr>
          <w:w w:val="105"/>
          <w:sz w:val="21"/>
        </w:rPr>
        <w:t>expense</w:t>
      </w:r>
      <w:r>
        <w:rPr>
          <w:spacing w:val="-7"/>
          <w:w w:val="105"/>
          <w:sz w:val="21"/>
        </w:rPr>
        <w:t> </w:t>
      </w:r>
      <w:r>
        <w:rPr>
          <w:w w:val="105"/>
          <w:sz w:val="21"/>
        </w:rPr>
        <w:t>of</w:t>
      </w:r>
      <w:r>
        <w:rPr>
          <w:spacing w:val="-7"/>
          <w:w w:val="105"/>
          <w:sz w:val="21"/>
        </w:rPr>
        <w:t> </w:t>
      </w:r>
      <w:r>
        <w:rPr>
          <w:w w:val="105"/>
          <w:sz w:val="21"/>
        </w:rPr>
        <w:t>the</w:t>
      </w:r>
      <w:r>
        <w:rPr>
          <w:spacing w:val="-7"/>
          <w:w w:val="105"/>
          <w:sz w:val="21"/>
        </w:rPr>
        <w:t> </w:t>
      </w:r>
      <w:r>
        <w:rPr>
          <w:spacing w:val="-3"/>
          <w:w w:val="105"/>
          <w:sz w:val="21"/>
        </w:rPr>
        <w:t>children.</w:t>
      </w:r>
      <w:r>
        <w:rPr>
          <w:spacing w:val="-7"/>
          <w:w w:val="105"/>
          <w:sz w:val="21"/>
        </w:rPr>
        <w:t> </w:t>
      </w:r>
      <w:r>
        <w:rPr>
          <w:w w:val="105"/>
          <w:sz w:val="21"/>
        </w:rPr>
        <w:t>The</w:t>
      </w:r>
      <w:r>
        <w:rPr>
          <w:spacing w:val="-7"/>
          <w:w w:val="105"/>
          <w:sz w:val="21"/>
        </w:rPr>
        <w:t> </w:t>
      </w:r>
      <w:r>
        <w:rPr>
          <w:spacing w:val="-3"/>
          <w:w w:val="105"/>
          <w:sz w:val="21"/>
        </w:rPr>
        <w:t>Commission</w:t>
      </w:r>
      <w:r>
        <w:rPr>
          <w:spacing w:val="-7"/>
          <w:w w:val="105"/>
          <w:sz w:val="21"/>
        </w:rPr>
        <w:t> </w:t>
      </w:r>
      <w:r>
        <w:rPr>
          <w:w w:val="105"/>
          <w:sz w:val="21"/>
        </w:rPr>
        <w:t>prefers</w:t>
      </w:r>
      <w:r>
        <w:rPr>
          <w:spacing w:val="-7"/>
          <w:w w:val="105"/>
          <w:sz w:val="21"/>
        </w:rPr>
        <w:t> </w:t>
      </w:r>
      <w:r>
        <w:rPr>
          <w:w w:val="105"/>
          <w:sz w:val="21"/>
        </w:rPr>
        <w:t>the</w:t>
      </w:r>
      <w:r>
        <w:rPr>
          <w:spacing w:val="-7"/>
          <w:w w:val="105"/>
          <w:sz w:val="21"/>
        </w:rPr>
        <w:t> </w:t>
      </w:r>
      <w:r>
        <w:rPr>
          <w:w w:val="105"/>
          <w:sz w:val="21"/>
        </w:rPr>
        <w:t>approach</w:t>
      </w:r>
      <w:r>
        <w:rPr>
          <w:spacing w:val="-7"/>
          <w:w w:val="105"/>
          <w:sz w:val="21"/>
        </w:rPr>
        <w:t> </w:t>
      </w:r>
      <w:r>
        <w:rPr>
          <w:spacing w:val="-3"/>
          <w:w w:val="105"/>
          <w:sz w:val="21"/>
        </w:rPr>
        <w:t>taken</w:t>
      </w:r>
      <w:r>
        <w:rPr>
          <w:spacing w:val="-7"/>
          <w:w w:val="105"/>
          <w:sz w:val="21"/>
        </w:rPr>
        <w:t> </w:t>
      </w:r>
      <w:r>
        <w:rPr>
          <w:w w:val="105"/>
          <w:sz w:val="21"/>
        </w:rPr>
        <w:t>in</w:t>
      </w:r>
      <w:r>
        <w:rPr>
          <w:spacing w:val="-6"/>
          <w:w w:val="105"/>
          <w:sz w:val="21"/>
        </w:rPr>
        <w:t> </w:t>
      </w:r>
      <w:r>
        <w:rPr>
          <w:w w:val="105"/>
          <w:sz w:val="21"/>
        </w:rPr>
        <w:t>New South </w:t>
      </w:r>
      <w:r>
        <w:rPr>
          <w:spacing w:val="-3"/>
          <w:w w:val="105"/>
          <w:sz w:val="21"/>
        </w:rPr>
        <w:t>Wales </w:t>
      </w:r>
      <w:r>
        <w:rPr>
          <w:w w:val="105"/>
          <w:sz w:val="21"/>
        </w:rPr>
        <w:t>and </w:t>
      </w:r>
      <w:r>
        <w:rPr>
          <w:spacing w:val="-3"/>
          <w:w w:val="105"/>
          <w:sz w:val="21"/>
        </w:rPr>
        <w:t>recommends</w:t>
      </w:r>
      <w:r>
        <w:rPr>
          <w:spacing w:val="23"/>
          <w:w w:val="105"/>
          <w:sz w:val="21"/>
        </w:rPr>
        <w:t> </w:t>
      </w:r>
      <w:r>
        <w:rPr>
          <w:spacing w:val="-4"/>
          <w:w w:val="105"/>
          <w:sz w:val="21"/>
        </w:rPr>
        <w:t>accordingly.</w:t>
      </w:r>
    </w:p>
    <w:p>
      <w:pPr>
        <w:pStyle w:val="ListParagraph"/>
        <w:numPr>
          <w:ilvl w:val="0"/>
          <w:numId w:val="4"/>
        </w:numPr>
        <w:tabs>
          <w:tab w:pos="1928" w:val="left" w:leader="none"/>
        </w:tabs>
        <w:spacing w:line="242" w:lineRule="auto" w:before="124" w:after="0"/>
        <w:ind w:left="1927" w:right="1650" w:hanging="340"/>
        <w:jc w:val="left"/>
        <w:rPr>
          <w:sz w:val="21"/>
        </w:rPr>
      </w:pPr>
      <w:r>
        <w:rPr>
          <w:spacing w:val="-5"/>
          <w:w w:val="105"/>
          <w:sz w:val="21"/>
        </w:rPr>
        <w:t>Noting</w:t>
      </w:r>
      <w:r>
        <w:rPr>
          <w:spacing w:val="-8"/>
          <w:w w:val="105"/>
          <w:sz w:val="21"/>
        </w:rPr>
        <w:t> </w:t>
      </w:r>
      <w:r>
        <w:rPr>
          <w:spacing w:val="-5"/>
          <w:w w:val="105"/>
          <w:sz w:val="21"/>
        </w:rPr>
        <w:t>that</w:t>
      </w:r>
      <w:r>
        <w:rPr>
          <w:spacing w:val="-7"/>
          <w:w w:val="105"/>
          <w:sz w:val="21"/>
        </w:rPr>
        <w:t> </w:t>
      </w:r>
      <w:r>
        <w:rPr>
          <w:spacing w:val="-4"/>
          <w:w w:val="105"/>
          <w:sz w:val="21"/>
        </w:rPr>
        <w:t>the</w:t>
      </w:r>
      <w:r>
        <w:rPr>
          <w:spacing w:val="-8"/>
          <w:w w:val="105"/>
          <w:sz w:val="21"/>
        </w:rPr>
        <w:t> </w:t>
      </w:r>
      <w:r>
        <w:rPr>
          <w:spacing w:val="-6"/>
          <w:w w:val="105"/>
          <w:sz w:val="21"/>
        </w:rPr>
        <w:t>current</w:t>
      </w:r>
      <w:r>
        <w:rPr>
          <w:spacing w:val="-7"/>
          <w:w w:val="105"/>
          <w:sz w:val="21"/>
        </w:rPr>
        <w:t> </w:t>
      </w:r>
      <w:r>
        <w:rPr>
          <w:spacing w:val="-5"/>
          <w:w w:val="105"/>
          <w:sz w:val="21"/>
        </w:rPr>
        <w:t>law</w:t>
      </w:r>
      <w:r>
        <w:rPr>
          <w:spacing w:val="-7"/>
          <w:w w:val="105"/>
          <w:sz w:val="21"/>
        </w:rPr>
        <w:t> </w:t>
      </w:r>
      <w:r>
        <w:rPr>
          <w:spacing w:val="-3"/>
          <w:w w:val="105"/>
          <w:sz w:val="21"/>
        </w:rPr>
        <w:t>on</w:t>
      </w:r>
      <w:r>
        <w:rPr>
          <w:spacing w:val="-8"/>
          <w:w w:val="105"/>
          <w:sz w:val="21"/>
        </w:rPr>
        <w:t> </w:t>
      </w:r>
      <w:r>
        <w:rPr>
          <w:spacing w:val="-4"/>
          <w:w w:val="105"/>
          <w:sz w:val="21"/>
        </w:rPr>
        <w:t>intestacy</w:t>
      </w:r>
      <w:r>
        <w:rPr>
          <w:spacing w:val="-7"/>
          <w:w w:val="105"/>
          <w:sz w:val="21"/>
        </w:rPr>
        <w:t> </w:t>
      </w:r>
      <w:r>
        <w:rPr>
          <w:spacing w:val="-3"/>
          <w:w w:val="105"/>
          <w:sz w:val="21"/>
        </w:rPr>
        <w:t>reflects</w:t>
      </w:r>
      <w:r>
        <w:rPr>
          <w:spacing w:val="-7"/>
          <w:w w:val="105"/>
          <w:sz w:val="21"/>
        </w:rPr>
        <w:t> </w:t>
      </w:r>
      <w:r>
        <w:rPr>
          <w:spacing w:val="-6"/>
          <w:w w:val="105"/>
          <w:sz w:val="21"/>
        </w:rPr>
        <w:t>English</w:t>
      </w:r>
      <w:r>
        <w:rPr>
          <w:spacing w:val="-8"/>
          <w:w w:val="105"/>
          <w:sz w:val="21"/>
        </w:rPr>
        <w:t> </w:t>
      </w:r>
      <w:r>
        <w:rPr>
          <w:spacing w:val="-5"/>
          <w:w w:val="105"/>
          <w:sz w:val="21"/>
        </w:rPr>
        <w:t>law</w:t>
      </w:r>
      <w:r>
        <w:rPr>
          <w:spacing w:val="-7"/>
          <w:w w:val="105"/>
          <w:sz w:val="21"/>
        </w:rPr>
        <w:t> </w:t>
      </w:r>
      <w:r>
        <w:rPr>
          <w:spacing w:val="-4"/>
          <w:w w:val="105"/>
          <w:sz w:val="21"/>
        </w:rPr>
        <w:t>and</w:t>
      </w:r>
      <w:r>
        <w:rPr>
          <w:spacing w:val="-7"/>
          <w:w w:val="105"/>
          <w:sz w:val="21"/>
        </w:rPr>
        <w:t> </w:t>
      </w:r>
      <w:r>
        <w:rPr>
          <w:spacing w:val="-4"/>
          <w:w w:val="105"/>
          <w:sz w:val="21"/>
        </w:rPr>
        <w:t>society</w:t>
      </w:r>
      <w:r>
        <w:rPr>
          <w:spacing w:val="-8"/>
          <w:w w:val="105"/>
          <w:sz w:val="21"/>
        </w:rPr>
        <w:t> </w:t>
      </w:r>
      <w:r>
        <w:rPr>
          <w:spacing w:val="-4"/>
          <w:w w:val="105"/>
          <w:sz w:val="21"/>
        </w:rPr>
        <w:t>and</w:t>
      </w:r>
      <w:r>
        <w:rPr>
          <w:spacing w:val="-7"/>
          <w:w w:val="105"/>
          <w:sz w:val="21"/>
        </w:rPr>
        <w:t> </w:t>
      </w:r>
      <w:r>
        <w:rPr>
          <w:spacing w:val="-5"/>
          <w:w w:val="105"/>
          <w:sz w:val="21"/>
        </w:rPr>
        <w:t>may</w:t>
      </w:r>
      <w:r>
        <w:rPr>
          <w:spacing w:val="-7"/>
          <w:w w:val="105"/>
          <w:sz w:val="21"/>
        </w:rPr>
        <w:t> </w:t>
      </w:r>
      <w:r>
        <w:rPr>
          <w:w w:val="105"/>
          <w:sz w:val="21"/>
        </w:rPr>
        <w:t>be</w:t>
      </w:r>
      <w:r>
        <w:rPr>
          <w:spacing w:val="-8"/>
          <w:w w:val="105"/>
          <w:sz w:val="21"/>
        </w:rPr>
        <w:t> </w:t>
      </w:r>
      <w:r>
        <w:rPr>
          <w:spacing w:val="-6"/>
          <w:w w:val="105"/>
          <w:sz w:val="21"/>
        </w:rPr>
        <w:t>inappropriate </w:t>
      </w:r>
      <w:r>
        <w:rPr>
          <w:spacing w:val="-5"/>
          <w:w w:val="105"/>
          <w:sz w:val="21"/>
        </w:rPr>
        <w:t>for </w:t>
      </w:r>
      <w:r>
        <w:rPr>
          <w:spacing w:val="-4"/>
          <w:w w:val="105"/>
          <w:sz w:val="21"/>
        </w:rPr>
        <w:t>the </w:t>
      </w:r>
      <w:r>
        <w:rPr>
          <w:spacing w:val="-5"/>
          <w:w w:val="105"/>
          <w:sz w:val="21"/>
        </w:rPr>
        <w:t>distribution </w:t>
      </w:r>
      <w:r>
        <w:rPr>
          <w:spacing w:val="-4"/>
          <w:w w:val="105"/>
          <w:sz w:val="21"/>
        </w:rPr>
        <w:t>of some </w:t>
      </w:r>
      <w:r>
        <w:rPr>
          <w:spacing w:val="-5"/>
          <w:w w:val="105"/>
          <w:sz w:val="21"/>
        </w:rPr>
        <w:t>Indigenous </w:t>
      </w:r>
      <w:r>
        <w:rPr>
          <w:spacing w:val="-6"/>
          <w:w w:val="105"/>
          <w:sz w:val="21"/>
        </w:rPr>
        <w:t>people’s </w:t>
      </w:r>
      <w:r>
        <w:rPr>
          <w:spacing w:val="-5"/>
          <w:w w:val="105"/>
          <w:sz w:val="21"/>
        </w:rPr>
        <w:t>estates, </w:t>
      </w:r>
      <w:r>
        <w:rPr>
          <w:spacing w:val="-4"/>
          <w:w w:val="105"/>
          <w:sz w:val="21"/>
        </w:rPr>
        <w:t>the </w:t>
      </w:r>
      <w:r>
        <w:rPr>
          <w:spacing w:val="-5"/>
          <w:w w:val="105"/>
          <w:sz w:val="21"/>
        </w:rPr>
        <w:t>National </w:t>
      </w:r>
      <w:r>
        <w:rPr>
          <w:spacing w:val="-6"/>
          <w:w w:val="105"/>
          <w:sz w:val="21"/>
        </w:rPr>
        <w:t>Committee </w:t>
      </w:r>
      <w:r>
        <w:rPr>
          <w:spacing w:val="-5"/>
          <w:w w:val="105"/>
          <w:sz w:val="21"/>
        </w:rPr>
        <w:t>recommended </w:t>
      </w:r>
      <w:r>
        <w:rPr>
          <w:spacing w:val="-3"/>
          <w:w w:val="105"/>
          <w:sz w:val="21"/>
        </w:rPr>
        <w:t>an</w:t>
      </w:r>
      <w:r>
        <w:rPr>
          <w:spacing w:val="-8"/>
          <w:w w:val="105"/>
          <w:sz w:val="21"/>
        </w:rPr>
        <w:t> </w:t>
      </w:r>
      <w:r>
        <w:rPr>
          <w:spacing w:val="-6"/>
          <w:w w:val="105"/>
          <w:sz w:val="21"/>
        </w:rPr>
        <w:t>alternative</w:t>
      </w:r>
      <w:r>
        <w:rPr>
          <w:spacing w:val="-7"/>
          <w:w w:val="105"/>
          <w:sz w:val="21"/>
        </w:rPr>
        <w:t> </w:t>
      </w:r>
      <w:r>
        <w:rPr>
          <w:spacing w:val="-5"/>
          <w:w w:val="105"/>
          <w:sz w:val="21"/>
        </w:rPr>
        <w:t>scheme,</w:t>
      </w:r>
      <w:r>
        <w:rPr>
          <w:spacing w:val="-8"/>
          <w:w w:val="105"/>
          <w:sz w:val="21"/>
        </w:rPr>
        <w:t> </w:t>
      </w:r>
      <w:r>
        <w:rPr>
          <w:spacing w:val="-4"/>
          <w:w w:val="105"/>
          <w:sz w:val="21"/>
        </w:rPr>
        <w:t>based</w:t>
      </w:r>
      <w:r>
        <w:rPr>
          <w:spacing w:val="-7"/>
          <w:w w:val="105"/>
          <w:sz w:val="21"/>
        </w:rPr>
        <w:t> </w:t>
      </w:r>
      <w:r>
        <w:rPr>
          <w:spacing w:val="-3"/>
          <w:w w:val="105"/>
          <w:sz w:val="21"/>
        </w:rPr>
        <w:t>on</w:t>
      </w:r>
      <w:r>
        <w:rPr>
          <w:spacing w:val="-8"/>
          <w:w w:val="105"/>
          <w:sz w:val="21"/>
        </w:rPr>
        <w:t> </w:t>
      </w:r>
      <w:r>
        <w:rPr>
          <w:spacing w:val="-4"/>
          <w:w w:val="105"/>
          <w:sz w:val="21"/>
        </w:rPr>
        <w:t>Northern</w:t>
      </w:r>
      <w:r>
        <w:rPr>
          <w:spacing w:val="-7"/>
          <w:w w:val="105"/>
          <w:sz w:val="21"/>
        </w:rPr>
        <w:t> </w:t>
      </w:r>
      <w:r>
        <w:rPr>
          <w:spacing w:val="-6"/>
          <w:w w:val="105"/>
          <w:sz w:val="21"/>
        </w:rPr>
        <w:t>Territory</w:t>
      </w:r>
      <w:r>
        <w:rPr>
          <w:spacing w:val="-8"/>
          <w:w w:val="105"/>
          <w:sz w:val="21"/>
        </w:rPr>
        <w:t> </w:t>
      </w:r>
      <w:r>
        <w:rPr>
          <w:spacing w:val="-7"/>
          <w:w w:val="105"/>
          <w:sz w:val="21"/>
        </w:rPr>
        <w:t>law. </w:t>
      </w:r>
      <w:r>
        <w:rPr>
          <w:spacing w:val="-3"/>
          <w:w w:val="105"/>
          <w:sz w:val="21"/>
        </w:rPr>
        <w:t>The</w:t>
      </w:r>
      <w:r>
        <w:rPr>
          <w:spacing w:val="-8"/>
          <w:w w:val="105"/>
          <w:sz w:val="21"/>
        </w:rPr>
        <w:t> </w:t>
      </w:r>
      <w:r>
        <w:rPr>
          <w:spacing w:val="-4"/>
          <w:w w:val="105"/>
          <w:sz w:val="21"/>
        </w:rPr>
        <w:t>Northern</w:t>
      </w:r>
      <w:r>
        <w:rPr>
          <w:spacing w:val="-7"/>
          <w:w w:val="105"/>
          <w:sz w:val="21"/>
        </w:rPr>
        <w:t> </w:t>
      </w:r>
      <w:r>
        <w:rPr>
          <w:spacing w:val="-6"/>
          <w:w w:val="105"/>
          <w:sz w:val="21"/>
        </w:rPr>
        <w:t>Territory</w:t>
      </w:r>
      <w:r>
        <w:rPr>
          <w:spacing w:val="-8"/>
          <w:w w:val="105"/>
          <w:sz w:val="21"/>
        </w:rPr>
        <w:t> </w:t>
      </w:r>
      <w:r>
        <w:rPr>
          <w:spacing w:val="-5"/>
          <w:w w:val="105"/>
          <w:sz w:val="21"/>
        </w:rPr>
        <w:t>law</w:t>
      </w:r>
      <w:r>
        <w:rPr>
          <w:spacing w:val="-7"/>
          <w:w w:val="105"/>
          <w:sz w:val="21"/>
        </w:rPr>
        <w:t> </w:t>
      </w:r>
      <w:r>
        <w:rPr>
          <w:spacing w:val="-3"/>
          <w:w w:val="105"/>
          <w:sz w:val="21"/>
        </w:rPr>
        <w:t>is</w:t>
      </w:r>
      <w:r>
        <w:rPr>
          <w:spacing w:val="-7"/>
          <w:w w:val="105"/>
          <w:sz w:val="21"/>
        </w:rPr>
        <w:t> </w:t>
      </w:r>
      <w:r>
        <w:rPr>
          <w:spacing w:val="-5"/>
          <w:w w:val="105"/>
          <w:sz w:val="21"/>
        </w:rPr>
        <w:t>rarely</w:t>
      </w:r>
    </w:p>
    <w:p>
      <w:pPr>
        <w:pStyle w:val="BodyText"/>
        <w:spacing w:line="242" w:lineRule="auto" w:before="4"/>
        <w:ind w:left="1927" w:right="1645"/>
      </w:pPr>
      <w:r>
        <w:rPr>
          <w:spacing w:val="-5"/>
          <w:w w:val="105"/>
        </w:rPr>
        <w:t>used. </w:t>
      </w:r>
      <w:r>
        <w:rPr>
          <w:spacing w:val="-3"/>
          <w:w w:val="105"/>
        </w:rPr>
        <w:t>The </w:t>
      </w:r>
      <w:r>
        <w:rPr>
          <w:spacing w:val="-7"/>
          <w:w w:val="105"/>
        </w:rPr>
        <w:t>Commission’s </w:t>
      </w:r>
      <w:r>
        <w:rPr>
          <w:spacing w:val="-6"/>
          <w:w w:val="105"/>
        </w:rPr>
        <w:t>consultations </w:t>
      </w:r>
      <w:r>
        <w:rPr>
          <w:spacing w:val="-4"/>
          <w:w w:val="105"/>
        </w:rPr>
        <w:t>identified </w:t>
      </w:r>
      <w:r>
        <w:rPr>
          <w:spacing w:val="-6"/>
          <w:w w:val="105"/>
        </w:rPr>
        <w:t>concerns </w:t>
      </w:r>
      <w:r>
        <w:rPr>
          <w:spacing w:val="-5"/>
          <w:w w:val="105"/>
        </w:rPr>
        <w:t>that, compared </w:t>
      </w:r>
      <w:r>
        <w:rPr>
          <w:spacing w:val="-4"/>
          <w:w w:val="105"/>
        </w:rPr>
        <w:t>to the </w:t>
      </w:r>
      <w:r>
        <w:rPr>
          <w:spacing w:val="-5"/>
          <w:w w:val="105"/>
        </w:rPr>
        <w:t>existing </w:t>
      </w:r>
      <w:r>
        <w:rPr>
          <w:spacing w:val="-4"/>
          <w:w w:val="105"/>
        </w:rPr>
        <w:t>scheme in </w:t>
      </w:r>
      <w:r>
        <w:rPr>
          <w:spacing w:val="-5"/>
          <w:w w:val="105"/>
        </w:rPr>
        <w:t>Victoria, </w:t>
      </w:r>
      <w:r>
        <w:rPr>
          <w:spacing w:val="-4"/>
          <w:w w:val="105"/>
        </w:rPr>
        <w:t>the </w:t>
      </w:r>
      <w:r>
        <w:rPr>
          <w:spacing w:val="-5"/>
          <w:w w:val="105"/>
        </w:rPr>
        <w:t>National </w:t>
      </w:r>
      <w:r>
        <w:rPr>
          <w:spacing w:val="-7"/>
          <w:w w:val="105"/>
        </w:rPr>
        <w:t>Committee’s </w:t>
      </w:r>
      <w:r>
        <w:rPr>
          <w:spacing w:val="-6"/>
          <w:w w:val="105"/>
        </w:rPr>
        <w:t>alternative </w:t>
      </w:r>
      <w:r>
        <w:rPr>
          <w:spacing w:val="-3"/>
          <w:w w:val="105"/>
        </w:rPr>
        <w:t>is </w:t>
      </w:r>
      <w:r>
        <w:rPr>
          <w:spacing w:val="-4"/>
          <w:w w:val="105"/>
        </w:rPr>
        <w:t>not </w:t>
      </w:r>
      <w:r>
        <w:rPr>
          <w:spacing w:val="-5"/>
          <w:w w:val="105"/>
        </w:rPr>
        <w:t>necessarily </w:t>
      </w:r>
      <w:r>
        <w:rPr>
          <w:spacing w:val="-4"/>
          <w:w w:val="105"/>
        </w:rPr>
        <w:t>more </w:t>
      </w:r>
      <w:r>
        <w:rPr>
          <w:spacing w:val="-5"/>
          <w:w w:val="105"/>
        </w:rPr>
        <w:t>accessible </w:t>
      </w:r>
      <w:r>
        <w:rPr>
          <w:spacing w:val="-3"/>
          <w:w w:val="105"/>
        </w:rPr>
        <w:t>or </w:t>
      </w:r>
      <w:r>
        <w:rPr>
          <w:spacing w:val="-4"/>
          <w:w w:val="105"/>
        </w:rPr>
        <w:t>able to </w:t>
      </w:r>
      <w:r>
        <w:rPr>
          <w:spacing w:val="-6"/>
          <w:w w:val="105"/>
        </w:rPr>
        <w:t>accommodate traditional </w:t>
      </w:r>
      <w:r>
        <w:rPr>
          <w:spacing w:val="-7"/>
          <w:w w:val="105"/>
        </w:rPr>
        <w:t>law. </w:t>
      </w:r>
      <w:r>
        <w:rPr>
          <w:spacing w:val="-3"/>
          <w:w w:val="105"/>
        </w:rPr>
        <w:t>The </w:t>
      </w:r>
      <w:r>
        <w:rPr>
          <w:spacing w:val="-6"/>
          <w:w w:val="105"/>
        </w:rPr>
        <w:t>Commission concluded </w:t>
      </w:r>
      <w:r>
        <w:rPr>
          <w:spacing w:val="-5"/>
          <w:w w:val="105"/>
        </w:rPr>
        <w:t>that adopting </w:t>
      </w:r>
      <w:r>
        <w:rPr>
          <w:spacing w:val="-4"/>
          <w:w w:val="105"/>
        </w:rPr>
        <w:t>the </w:t>
      </w:r>
      <w:r>
        <w:rPr>
          <w:spacing w:val="-5"/>
          <w:w w:val="105"/>
        </w:rPr>
        <w:t>National </w:t>
      </w:r>
      <w:r>
        <w:rPr>
          <w:spacing w:val="-7"/>
          <w:w w:val="105"/>
        </w:rPr>
        <w:t>Committee’s </w:t>
      </w:r>
      <w:r>
        <w:rPr>
          <w:spacing w:val="-6"/>
          <w:w w:val="105"/>
        </w:rPr>
        <w:t>recommendation </w:t>
      </w:r>
      <w:r>
        <w:rPr>
          <w:spacing w:val="-5"/>
          <w:w w:val="105"/>
        </w:rPr>
        <w:t>would </w:t>
      </w:r>
      <w:r>
        <w:rPr>
          <w:spacing w:val="-4"/>
          <w:w w:val="105"/>
        </w:rPr>
        <w:t>not </w:t>
      </w:r>
      <w:r>
        <w:rPr>
          <w:spacing w:val="-5"/>
          <w:w w:val="105"/>
        </w:rPr>
        <w:t>greatly </w:t>
      </w:r>
      <w:r>
        <w:rPr>
          <w:spacing w:val="-4"/>
          <w:w w:val="105"/>
        </w:rPr>
        <w:t>assist </w:t>
      </w:r>
      <w:r>
        <w:rPr>
          <w:spacing w:val="-5"/>
          <w:w w:val="105"/>
        </w:rPr>
        <w:t>Indigenous </w:t>
      </w:r>
      <w:r>
        <w:rPr>
          <w:spacing w:val="-6"/>
          <w:w w:val="105"/>
        </w:rPr>
        <w:t>communities </w:t>
      </w:r>
      <w:r>
        <w:rPr>
          <w:spacing w:val="-4"/>
          <w:w w:val="105"/>
        </w:rPr>
        <w:t>in </w:t>
      </w:r>
      <w:r>
        <w:rPr>
          <w:spacing w:val="-5"/>
          <w:w w:val="105"/>
        </w:rPr>
        <w:t>Victoria </w:t>
      </w:r>
      <w:r>
        <w:rPr>
          <w:spacing w:val="-4"/>
          <w:w w:val="105"/>
        </w:rPr>
        <w:t>and </w:t>
      </w:r>
      <w:r>
        <w:rPr>
          <w:spacing w:val="-6"/>
          <w:w w:val="105"/>
        </w:rPr>
        <w:t>recommends </w:t>
      </w:r>
      <w:r>
        <w:rPr>
          <w:spacing w:val="-5"/>
          <w:w w:val="105"/>
        </w:rPr>
        <w:t>that </w:t>
      </w:r>
      <w:r>
        <w:rPr>
          <w:spacing w:val="-4"/>
          <w:w w:val="105"/>
        </w:rPr>
        <w:t>the </w:t>
      </w:r>
      <w:r>
        <w:rPr>
          <w:spacing w:val="-5"/>
          <w:w w:val="105"/>
        </w:rPr>
        <w:t>Attorney-General have </w:t>
      </w:r>
      <w:r>
        <w:rPr>
          <w:spacing w:val="-4"/>
          <w:w w:val="105"/>
        </w:rPr>
        <w:t>the </w:t>
      </w:r>
      <w:r>
        <w:rPr>
          <w:spacing w:val="-5"/>
          <w:w w:val="105"/>
        </w:rPr>
        <w:t>Department </w:t>
      </w:r>
      <w:r>
        <w:rPr>
          <w:spacing w:val="-4"/>
          <w:w w:val="105"/>
        </w:rPr>
        <w:t>of </w:t>
      </w:r>
      <w:r>
        <w:rPr>
          <w:spacing w:val="-5"/>
          <w:w w:val="105"/>
        </w:rPr>
        <w:t>Justice </w:t>
      </w:r>
      <w:r>
        <w:rPr>
          <w:spacing w:val="-6"/>
          <w:w w:val="105"/>
        </w:rPr>
        <w:t>prepare </w:t>
      </w:r>
      <w:r>
        <w:rPr>
          <w:w w:val="105"/>
        </w:rPr>
        <w:t>a </w:t>
      </w:r>
      <w:r>
        <w:rPr>
          <w:spacing w:val="-4"/>
          <w:w w:val="105"/>
        </w:rPr>
        <w:t>report about the </w:t>
      </w:r>
      <w:r>
        <w:rPr>
          <w:spacing w:val="-5"/>
          <w:w w:val="105"/>
        </w:rPr>
        <w:t>distribution </w:t>
      </w:r>
      <w:r>
        <w:rPr>
          <w:spacing w:val="-4"/>
          <w:w w:val="105"/>
        </w:rPr>
        <w:t>of the </w:t>
      </w:r>
      <w:r>
        <w:rPr>
          <w:spacing w:val="-5"/>
          <w:w w:val="105"/>
        </w:rPr>
        <w:t>intestate </w:t>
      </w:r>
      <w:r>
        <w:rPr>
          <w:spacing w:val="-4"/>
          <w:w w:val="105"/>
        </w:rPr>
        <w:t>estates of </w:t>
      </w:r>
      <w:r>
        <w:rPr>
          <w:spacing w:val="-5"/>
          <w:w w:val="105"/>
        </w:rPr>
        <w:t>Indigenous </w:t>
      </w:r>
      <w:r>
        <w:rPr>
          <w:spacing w:val="-4"/>
          <w:w w:val="105"/>
        </w:rPr>
        <w:t>people in </w:t>
      </w:r>
      <w:r>
        <w:rPr>
          <w:spacing w:val="-5"/>
          <w:w w:val="105"/>
        </w:rPr>
        <w:t>Victoria, </w:t>
      </w:r>
      <w:r>
        <w:rPr>
          <w:spacing w:val="-6"/>
          <w:w w:val="105"/>
        </w:rPr>
        <w:t>building </w:t>
      </w:r>
      <w:r>
        <w:rPr>
          <w:spacing w:val="-3"/>
          <w:w w:val="105"/>
        </w:rPr>
        <w:t>on </w:t>
      </w:r>
      <w:r>
        <w:rPr>
          <w:spacing w:val="-4"/>
          <w:w w:val="105"/>
        </w:rPr>
        <w:t>the work of the </w:t>
      </w:r>
      <w:r>
        <w:rPr>
          <w:spacing w:val="-5"/>
          <w:w w:val="105"/>
        </w:rPr>
        <w:t>National </w:t>
      </w:r>
      <w:r>
        <w:rPr>
          <w:spacing w:val="-6"/>
          <w:w w:val="105"/>
        </w:rPr>
        <w:t>Committee </w:t>
      </w:r>
      <w:r>
        <w:rPr>
          <w:spacing w:val="-4"/>
          <w:w w:val="105"/>
        </w:rPr>
        <w:t>and the </w:t>
      </w:r>
      <w:r>
        <w:rPr>
          <w:spacing w:val="-6"/>
          <w:w w:val="105"/>
        </w:rPr>
        <w:t>Commission, </w:t>
      </w:r>
      <w:r>
        <w:rPr>
          <w:spacing w:val="-4"/>
          <w:w w:val="105"/>
        </w:rPr>
        <w:t>and based </w:t>
      </w:r>
      <w:r>
        <w:rPr>
          <w:spacing w:val="-3"/>
          <w:w w:val="105"/>
        </w:rPr>
        <w:t>on </w:t>
      </w:r>
      <w:r>
        <w:rPr>
          <w:spacing w:val="-4"/>
          <w:w w:val="105"/>
        </w:rPr>
        <w:t>further </w:t>
      </w:r>
      <w:r>
        <w:rPr>
          <w:spacing w:val="-5"/>
          <w:w w:val="105"/>
        </w:rPr>
        <w:t>community</w:t>
      </w:r>
      <w:r>
        <w:rPr>
          <w:spacing w:val="25"/>
          <w:w w:val="105"/>
        </w:rPr>
        <w:t> </w:t>
      </w:r>
      <w:r>
        <w:rPr>
          <w:spacing w:val="-6"/>
          <w:w w:val="105"/>
        </w:rPr>
        <w:t>consultation.</w:t>
      </w:r>
    </w:p>
    <w:p>
      <w:pPr>
        <w:pStyle w:val="BodyText"/>
        <w:spacing w:before="2"/>
        <w:rPr>
          <w:sz w:val="22"/>
        </w:rPr>
      </w:pPr>
    </w:p>
    <w:p>
      <w:pPr>
        <w:pStyle w:val="Heading4"/>
      </w:pPr>
      <w:r>
        <w:rPr>
          <w:color w:val="EC5A4F"/>
          <w:w w:val="115"/>
        </w:rPr>
        <w:t>Family provision</w:t>
      </w:r>
    </w:p>
    <w:p>
      <w:pPr>
        <w:pStyle w:val="Heading5"/>
        <w:spacing w:before="167"/>
      </w:pPr>
      <w:r>
        <w:rPr>
          <w:w w:val="115"/>
        </w:rPr>
        <w:t>Eligibility to apply</w:t>
      </w:r>
    </w:p>
    <w:p>
      <w:pPr>
        <w:pStyle w:val="ListParagraph"/>
        <w:numPr>
          <w:ilvl w:val="0"/>
          <w:numId w:val="4"/>
        </w:numPr>
        <w:tabs>
          <w:tab w:pos="1928" w:val="left" w:leader="none"/>
        </w:tabs>
        <w:spacing w:line="242" w:lineRule="auto" w:before="137" w:after="0"/>
        <w:ind w:left="1927" w:right="1740" w:hanging="340"/>
        <w:jc w:val="left"/>
        <w:rPr>
          <w:sz w:val="21"/>
        </w:rPr>
      </w:pPr>
      <w:r>
        <w:rPr>
          <w:spacing w:val="-3"/>
          <w:sz w:val="21"/>
        </w:rPr>
        <w:t>Victoria’s family provision </w:t>
      </w:r>
      <w:r>
        <w:rPr>
          <w:spacing w:val="-5"/>
          <w:sz w:val="21"/>
        </w:rPr>
        <w:t>law, </w:t>
      </w:r>
      <w:r>
        <w:rPr>
          <w:sz w:val="21"/>
        </w:rPr>
        <w:t>set out in Part IV of the </w:t>
      </w:r>
      <w:r>
        <w:rPr>
          <w:spacing w:val="-3"/>
          <w:sz w:val="21"/>
        </w:rPr>
        <w:t>Administration </w:t>
      </w:r>
      <w:r>
        <w:rPr>
          <w:sz w:val="21"/>
        </w:rPr>
        <w:t>and </w:t>
      </w:r>
      <w:r>
        <w:rPr>
          <w:spacing w:val="-3"/>
          <w:sz w:val="21"/>
        </w:rPr>
        <w:t>Probate  </w:t>
      </w:r>
      <w:r>
        <w:rPr>
          <w:sz w:val="21"/>
        </w:rPr>
        <w:t>Act, allows  </w:t>
      </w:r>
      <w:r>
        <w:rPr>
          <w:spacing w:val="-3"/>
          <w:sz w:val="21"/>
        </w:rPr>
        <w:t>any </w:t>
      </w:r>
      <w:r>
        <w:rPr>
          <w:sz w:val="21"/>
        </w:rPr>
        <w:t>person who believes </w:t>
      </w:r>
      <w:r>
        <w:rPr>
          <w:spacing w:val="-3"/>
          <w:sz w:val="21"/>
        </w:rPr>
        <w:t>that </w:t>
      </w:r>
      <w:r>
        <w:rPr>
          <w:sz w:val="21"/>
        </w:rPr>
        <w:t>a deceased person </w:t>
      </w:r>
      <w:r>
        <w:rPr>
          <w:spacing w:val="-2"/>
          <w:sz w:val="21"/>
        </w:rPr>
        <w:t>had </w:t>
      </w:r>
      <w:r>
        <w:rPr>
          <w:sz w:val="21"/>
        </w:rPr>
        <w:t>a </w:t>
      </w:r>
      <w:r>
        <w:rPr>
          <w:spacing w:val="-3"/>
          <w:sz w:val="21"/>
        </w:rPr>
        <w:t>responsibility to </w:t>
      </w:r>
      <w:r>
        <w:rPr>
          <w:sz w:val="21"/>
        </w:rPr>
        <w:t>provide </w:t>
      </w:r>
      <w:r>
        <w:rPr>
          <w:spacing w:val="-3"/>
          <w:sz w:val="21"/>
        </w:rPr>
        <w:t>for </w:t>
      </w:r>
      <w:r>
        <w:rPr>
          <w:sz w:val="21"/>
        </w:rPr>
        <w:t>them, and  did </w:t>
      </w:r>
      <w:r>
        <w:rPr>
          <w:spacing w:val="-2"/>
          <w:sz w:val="21"/>
        </w:rPr>
        <w:t>not </w:t>
      </w:r>
      <w:r>
        <w:rPr>
          <w:sz w:val="21"/>
        </w:rPr>
        <w:t>do </w:t>
      </w:r>
      <w:r>
        <w:rPr>
          <w:spacing w:val="-3"/>
          <w:sz w:val="21"/>
        </w:rPr>
        <w:t>so, to </w:t>
      </w:r>
      <w:r>
        <w:rPr>
          <w:sz w:val="21"/>
        </w:rPr>
        <w:t>apply </w:t>
      </w:r>
      <w:r>
        <w:rPr>
          <w:spacing w:val="-3"/>
          <w:sz w:val="21"/>
        </w:rPr>
        <w:t>for </w:t>
      </w:r>
      <w:r>
        <w:rPr>
          <w:sz w:val="21"/>
        </w:rPr>
        <w:t>a court order </w:t>
      </w:r>
      <w:r>
        <w:rPr>
          <w:spacing w:val="-3"/>
          <w:sz w:val="21"/>
        </w:rPr>
        <w:t>to redistribute </w:t>
      </w:r>
      <w:r>
        <w:rPr>
          <w:sz w:val="21"/>
        </w:rPr>
        <w:t>the estate in their </w:t>
      </w:r>
      <w:r>
        <w:rPr>
          <w:spacing w:val="-5"/>
          <w:sz w:val="21"/>
        </w:rPr>
        <w:t>favour. </w:t>
      </w:r>
      <w:r>
        <w:rPr>
          <w:sz w:val="21"/>
        </w:rPr>
        <w:t>Each case is </w:t>
      </w:r>
      <w:r>
        <w:rPr>
          <w:spacing w:val="-3"/>
          <w:sz w:val="21"/>
        </w:rPr>
        <w:t>determined </w:t>
      </w:r>
      <w:r>
        <w:rPr>
          <w:sz w:val="21"/>
        </w:rPr>
        <w:t>on its merits, which </w:t>
      </w:r>
      <w:r>
        <w:rPr>
          <w:spacing w:val="-3"/>
          <w:sz w:val="21"/>
        </w:rPr>
        <w:t>ensures that </w:t>
      </w:r>
      <w:r>
        <w:rPr>
          <w:sz w:val="21"/>
        </w:rPr>
        <w:t>no worthy </w:t>
      </w:r>
      <w:r>
        <w:rPr>
          <w:spacing w:val="-3"/>
          <w:sz w:val="21"/>
        </w:rPr>
        <w:t>claim </w:t>
      </w:r>
      <w:r>
        <w:rPr>
          <w:sz w:val="21"/>
        </w:rPr>
        <w:t>is ever</w:t>
      </w:r>
      <w:r>
        <w:rPr>
          <w:spacing w:val="-24"/>
          <w:sz w:val="21"/>
        </w:rPr>
        <w:t> </w:t>
      </w:r>
      <w:r>
        <w:rPr>
          <w:spacing w:val="-3"/>
          <w:sz w:val="21"/>
        </w:rPr>
        <w:t>excluded.</w:t>
      </w:r>
    </w:p>
    <w:p>
      <w:pPr>
        <w:pStyle w:val="ListParagraph"/>
        <w:numPr>
          <w:ilvl w:val="0"/>
          <w:numId w:val="4"/>
        </w:numPr>
        <w:tabs>
          <w:tab w:pos="1928" w:val="left" w:leader="none"/>
        </w:tabs>
        <w:spacing w:line="242" w:lineRule="auto" w:before="124" w:after="0"/>
        <w:ind w:left="1927" w:right="1627" w:hanging="340"/>
        <w:jc w:val="left"/>
        <w:rPr>
          <w:sz w:val="21"/>
        </w:rPr>
      </w:pPr>
      <w:r>
        <w:rPr>
          <w:spacing w:val="-7"/>
          <w:sz w:val="21"/>
        </w:rPr>
        <w:t>However, </w:t>
      </w:r>
      <w:r>
        <w:rPr>
          <w:spacing w:val="-5"/>
          <w:sz w:val="21"/>
        </w:rPr>
        <w:t>this </w:t>
      </w:r>
      <w:r>
        <w:rPr>
          <w:spacing w:val="-4"/>
          <w:sz w:val="21"/>
        </w:rPr>
        <w:t>open-ended </w:t>
      </w:r>
      <w:r>
        <w:rPr>
          <w:spacing w:val="-5"/>
          <w:sz w:val="21"/>
        </w:rPr>
        <w:t>approach </w:t>
      </w:r>
      <w:r>
        <w:rPr>
          <w:spacing w:val="-4"/>
          <w:sz w:val="21"/>
        </w:rPr>
        <w:t>to </w:t>
      </w:r>
      <w:r>
        <w:rPr>
          <w:spacing w:val="-5"/>
          <w:sz w:val="21"/>
        </w:rPr>
        <w:t>eligibility </w:t>
      </w:r>
      <w:r>
        <w:rPr>
          <w:spacing w:val="-4"/>
          <w:sz w:val="21"/>
        </w:rPr>
        <w:t>has  had  the  </w:t>
      </w:r>
      <w:r>
        <w:rPr>
          <w:spacing w:val="-6"/>
          <w:sz w:val="21"/>
        </w:rPr>
        <w:t>unintended  </w:t>
      </w:r>
      <w:r>
        <w:rPr>
          <w:spacing w:val="-4"/>
          <w:sz w:val="21"/>
        </w:rPr>
        <w:t>effect  of  </w:t>
      </w:r>
      <w:r>
        <w:rPr>
          <w:spacing w:val="-5"/>
          <w:sz w:val="21"/>
        </w:rPr>
        <w:t>making  </w:t>
      </w:r>
      <w:r>
        <w:rPr>
          <w:spacing w:val="-3"/>
          <w:sz w:val="21"/>
        </w:rPr>
        <w:t>it </w:t>
      </w:r>
      <w:r>
        <w:rPr>
          <w:spacing w:val="-4"/>
          <w:sz w:val="21"/>
        </w:rPr>
        <w:t>difficult </w:t>
      </w:r>
      <w:r>
        <w:rPr>
          <w:spacing w:val="-5"/>
          <w:sz w:val="21"/>
        </w:rPr>
        <w:t>for legal practitioners </w:t>
      </w:r>
      <w:r>
        <w:rPr>
          <w:spacing w:val="-4"/>
          <w:sz w:val="21"/>
        </w:rPr>
        <w:t>to advise </w:t>
      </w:r>
      <w:r>
        <w:rPr>
          <w:spacing w:val="-5"/>
          <w:sz w:val="21"/>
        </w:rPr>
        <w:t>their clients </w:t>
      </w:r>
      <w:r>
        <w:rPr>
          <w:spacing w:val="-4"/>
          <w:sz w:val="21"/>
        </w:rPr>
        <w:t>about  </w:t>
      </w:r>
      <w:r>
        <w:rPr>
          <w:spacing w:val="-5"/>
          <w:sz w:val="21"/>
        </w:rPr>
        <w:t>whether  </w:t>
      </w:r>
      <w:r>
        <w:rPr>
          <w:spacing w:val="-3"/>
          <w:sz w:val="21"/>
        </w:rPr>
        <w:t>or  </w:t>
      </w:r>
      <w:r>
        <w:rPr>
          <w:spacing w:val="-4"/>
          <w:sz w:val="21"/>
        </w:rPr>
        <w:t>not  they  </w:t>
      </w:r>
      <w:r>
        <w:rPr>
          <w:spacing w:val="-5"/>
          <w:sz w:val="21"/>
        </w:rPr>
        <w:t>have  </w:t>
      </w:r>
      <w:r>
        <w:rPr>
          <w:sz w:val="21"/>
        </w:rPr>
        <w:t>a  </w:t>
      </w:r>
      <w:r>
        <w:rPr>
          <w:spacing w:val="-6"/>
          <w:sz w:val="21"/>
        </w:rPr>
        <w:t>claim. </w:t>
      </w:r>
      <w:r>
        <w:rPr>
          <w:spacing w:val="-4"/>
          <w:sz w:val="21"/>
        </w:rPr>
        <w:t>Almost </w:t>
      </w:r>
      <w:r>
        <w:rPr>
          <w:spacing w:val="-5"/>
          <w:sz w:val="21"/>
        </w:rPr>
        <w:t>all </w:t>
      </w:r>
      <w:r>
        <w:rPr>
          <w:spacing w:val="-6"/>
          <w:sz w:val="21"/>
        </w:rPr>
        <w:t>family </w:t>
      </w:r>
      <w:r>
        <w:rPr>
          <w:spacing w:val="-5"/>
          <w:sz w:val="21"/>
        </w:rPr>
        <w:t>provision </w:t>
      </w:r>
      <w:r>
        <w:rPr>
          <w:spacing w:val="-6"/>
          <w:sz w:val="21"/>
        </w:rPr>
        <w:t>claims </w:t>
      </w:r>
      <w:r>
        <w:rPr>
          <w:spacing w:val="-4"/>
          <w:sz w:val="21"/>
        </w:rPr>
        <w:t>settle </w:t>
      </w:r>
      <w:r>
        <w:rPr>
          <w:spacing w:val="-3"/>
          <w:sz w:val="21"/>
        </w:rPr>
        <w:t>at  </w:t>
      </w:r>
      <w:r>
        <w:rPr>
          <w:spacing w:val="-5"/>
          <w:sz w:val="21"/>
        </w:rPr>
        <w:t>mediation,  </w:t>
      </w:r>
      <w:r>
        <w:rPr>
          <w:spacing w:val="-6"/>
          <w:sz w:val="21"/>
        </w:rPr>
        <w:t>including  </w:t>
      </w:r>
      <w:r>
        <w:rPr>
          <w:spacing w:val="-4"/>
          <w:sz w:val="21"/>
        </w:rPr>
        <w:t>those  </w:t>
      </w:r>
      <w:r>
        <w:rPr>
          <w:spacing w:val="-5"/>
          <w:sz w:val="21"/>
        </w:rPr>
        <w:t>that  </w:t>
      </w:r>
      <w:r>
        <w:rPr>
          <w:spacing w:val="-6"/>
          <w:sz w:val="21"/>
        </w:rPr>
        <w:t>might  </w:t>
      </w:r>
      <w:r>
        <w:rPr>
          <w:spacing w:val="-4"/>
          <w:sz w:val="21"/>
        </w:rPr>
        <w:t>not  </w:t>
      </w:r>
      <w:r>
        <w:rPr>
          <w:spacing w:val="-5"/>
          <w:sz w:val="21"/>
        </w:rPr>
        <w:t>have succeeded </w:t>
      </w:r>
      <w:r>
        <w:rPr>
          <w:spacing w:val="-3"/>
          <w:sz w:val="21"/>
        </w:rPr>
        <w:t>at </w:t>
      </w:r>
      <w:r>
        <w:rPr>
          <w:spacing w:val="-6"/>
          <w:sz w:val="21"/>
        </w:rPr>
        <w:t>trial, </w:t>
      </w:r>
      <w:r>
        <w:rPr>
          <w:spacing w:val="-5"/>
          <w:sz w:val="21"/>
        </w:rPr>
        <w:t>commonly </w:t>
      </w:r>
      <w:r>
        <w:rPr>
          <w:spacing w:val="-4"/>
          <w:sz w:val="21"/>
        </w:rPr>
        <w:t>in order to </w:t>
      </w:r>
      <w:r>
        <w:rPr>
          <w:spacing w:val="-6"/>
          <w:sz w:val="21"/>
        </w:rPr>
        <w:t>contain </w:t>
      </w:r>
      <w:r>
        <w:rPr>
          <w:spacing w:val="-4"/>
          <w:sz w:val="21"/>
        </w:rPr>
        <w:t>the </w:t>
      </w:r>
      <w:r>
        <w:rPr>
          <w:spacing w:val="-5"/>
          <w:sz w:val="21"/>
        </w:rPr>
        <w:t>legal </w:t>
      </w:r>
      <w:r>
        <w:rPr>
          <w:spacing w:val="-4"/>
          <w:sz w:val="21"/>
        </w:rPr>
        <w:t>costs </w:t>
      </w:r>
      <w:r>
        <w:rPr>
          <w:spacing w:val="-5"/>
          <w:sz w:val="21"/>
        </w:rPr>
        <w:t>that are </w:t>
      </w:r>
      <w:r>
        <w:rPr>
          <w:spacing w:val="-4"/>
          <w:sz w:val="21"/>
        </w:rPr>
        <w:t>often borne by the </w:t>
      </w:r>
      <w:r>
        <w:rPr>
          <w:spacing w:val="-5"/>
          <w:sz w:val="21"/>
        </w:rPr>
        <w:t>estate. </w:t>
      </w:r>
      <w:r>
        <w:rPr>
          <w:spacing w:val="-4"/>
          <w:sz w:val="21"/>
        </w:rPr>
        <w:t>There </w:t>
      </w:r>
      <w:r>
        <w:rPr>
          <w:spacing w:val="-3"/>
          <w:sz w:val="21"/>
        </w:rPr>
        <w:t>is </w:t>
      </w:r>
      <w:r>
        <w:rPr>
          <w:spacing w:val="-5"/>
          <w:sz w:val="21"/>
        </w:rPr>
        <w:t>widespread </w:t>
      </w:r>
      <w:r>
        <w:rPr>
          <w:spacing w:val="-6"/>
          <w:sz w:val="21"/>
        </w:rPr>
        <w:t>concern </w:t>
      </w:r>
      <w:r>
        <w:rPr>
          <w:spacing w:val="-5"/>
          <w:sz w:val="21"/>
        </w:rPr>
        <w:t>that </w:t>
      </w:r>
      <w:r>
        <w:rPr>
          <w:spacing w:val="-4"/>
          <w:sz w:val="21"/>
        </w:rPr>
        <w:t>the </w:t>
      </w:r>
      <w:r>
        <w:rPr>
          <w:spacing w:val="-6"/>
          <w:sz w:val="21"/>
        </w:rPr>
        <w:t>current </w:t>
      </w:r>
      <w:r>
        <w:rPr>
          <w:spacing w:val="-5"/>
          <w:sz w:val="21"/>
        </w:rPr>
        <w:t>law allows opportunistic </w:t>
      </w:r>
      <w:r>
        <w:rPr>
          <w:spacing w:val="-4"/>
          <w:sz w:val="21"/>
        </w:rPr>
        <w:t>and </w:t>
      </w:r>
      <w:r>
        <w:rPr>
          <w:spacing w:val="-5"/>
          <w:sz w:val="21"/>
        </w:rPr>
        <w:t>non-genuine</w:t>
      </w:r>
      <w:r>
        <w:rPr>
          <w:spacing w:val="-28"/>
          <w:sz w:val="21"/>
        </w:rPr>
        <w:t> </w:t>
      </w:r>
      <w:r>
        <w:rPr>
          <w:spacing w:val="-6"/>
          <w:sz w:val="21"/>
        </w:rPr>
        <w:t>claims.</w:t>
      </w:r>
    </w:p>
    <w:p>
      <w:pPr>
        <w:pStyle w:val="ListParagraph"/>
        <w:numPr>
          <w:ilvl w:val="0"/>
          <w:numId w:val="4"/>
        </w:numPr>
        <w:tabs>
          <w:tab w:pos="1928" w:val="left" w:leader="none"/>
        </w:tabs>
        <w:spacing w:line="242" w:lineRule="auto" w:before="126" w:after="0"/>
        <w:ind w:left="1927" w:right="1846" w:hanging="340"/>
        <w:jc w:val="left"/>
        <w:rPr>
          <w:sz w:val="21"/>
        </w:rPr>
      </w:pPr>
      <w:r>
        <w:rPr>
          <w:sz w:val="21"/>
        </w:rPr>
        <w:t>The Victorian approach </w:t>
      </w:r>
      <w:r>
        <w:rPr>
          <w:spacing w:val="-3"/>
          <w:sz w:val="21"/>
        </w:rPr>
        <w:t>to eligibility </w:t>
      </w:r>
      <w:r>
        <w:rPr>
          <w:sz w:val="21"/>
        </w:rPr>
        <w:t>is </w:t>
      </w:r>
      <w:r>
        <w:rPr>
          <w:spacing w:val="-3"/>
          <w:sz w:val="21"/>
        </w:rPr>
        <w:t>unique </w:t>
      </w:r>
      <w:r>
        <w:rPr>
          <w:sz w:val="21"/>
        </w:rPr>
        <w:t>in </w:t>
      </w:r>
      <w:r>
        <w:rPr>
          <w:spacing w:val="-3"/>
          <w:sz w:val="21"/>
        </w:rPr>
        <w:t>Australia </w:t>
      </w:r>
      <w:r>
        <w:rPr>
          <w:sz w:val="21"/>
        </w:rPr>
        <w:t>and effectively </w:t>
      </w:r>
      <w:r>
        <w:rPr>
          <w:spacing w:val="-3"/>
          <w:sz w:val="21"/>
        </w:rPr>
        <w:t>aligns </w:t>
      </w:r>
      <w:r>
        <w:rPr>
          <w:sz w:val="21"/>
        </w:rPr>
        <w:t>with </w:t>
      </w:r>
      <w:r>
        <w:rPr>
          <w:spacing w:val="-3"/>
          <w:sz w:val="21"/>
        </w:rPr>
        <w:t>that </w:t>
      </w:r>
      <w:r>
        <w:rPr>
          <w:sz w:val="21"/>
        </w:rPr>
        <w:t>recommended by the </w:t>
      </w:r>
      <w:r>
        <w:rPr>
          <w:spacing w:val="-3"/>
          <w:sz w:val="21"/>
        </w:rPr>
        <w:t>National Committee  for  Uniform  Succession  </w:t>
      </w:r>
      <w:r>
        <w:rPr>
          <w:sz w:val="21"/>
        </w:rPr>
        <w:t>Laws.  It  is  </w:t>
      </w:r>
      <w:r>
        <w:rPr>
          <w:spacing w:val="-4"/>
          <w:sz w:val="21"/>
        </w:rPr>
        <w:t>unlikely  </w:t>
      </w:r>
      <w:r>
        <w:rPr>
          <w:spacing w:val="-3"/>
          <w:sz w:val="21"/>
        </w:rPr>
        <w:t>that any </w:t>
      </w:r>
      <w:r>
        <w:rPr>
          <w:sz w:val="21"/>
        </w:rPr>
        <w:t>other jurisdiction </w:t>
      </w:r>
      <w:r>
        <w:rPr>
          <w:spacing w:val="-3"/>
          <w:sz w:val="21"/>
        </w:rPr>
        <w:t>will </w:t>
      </w:r>
      <w:r>
        <w:rPr>
          <w:sz w:val="21"/>
        </w:rPr>
        <w:t>adopt this </w:t>
      </w:r>
      <w:r>
        <w:rPr>
          <w:spacing w:val="-3"/>
          <w:sz w:val="21"/>
        </w:rPr>
        <w:t>approach. </w:t>
      </w:r>
      <w:r>
        <w:rPr>
          <w:sz w:val="21"/>
        </w:rPr>
        <w:t>In </w:t>
      </w:r>
      <w:r>
        <w:rPr>
          <w:spacing w:val="-3"/>
          <w:sz w:val="21"/>
        </w:rPr>
        <w:t>all </w:t>
      </w:r>
      <w:r>
        <w:rPr>
          <w:sz w:val="21"/>
        </w:rPr>
        <w:t>other </w:t>
      </w:r>
      <w:r>
        <w:rPr>
          <w:spacing w:val="-3"/>
          <w:sz w:val="21"/>
        </w:rPr>
        <w:t>Australian </w:t>
      </w:r>
      <w:r>
        <w:rPr>
          <w:sz w:val="21"/>
        </w:rPr>
        <w:t>states and </w:t>
      </w:r>
      <w:r>
        <w:rPr>
          <w:spacing w:val="-3"/>
          <w:sz w:val="21"/>
        </w:rPr>
        <w:t>territories, family provision legislation </w:t>
      </w:r>
      <w:r>
        <w:rPr>
          <w:sz w:val="21"/>
        </w:rPr>
        <w:t>specifies categories of people who </w:t>
      </w:r>
      <w:r>
        <w:rPr>
          <w:spacing w:val="-3"/>
          <w:sz w:val="21"/>
        </w:rPr>
        <w:t>are eligible to </w:t>
      </w:r>
      <w:r>
        <w:rPr>
          <w:spacing w:val="-4"/>
          <w:sz w:val="21"/>
        </w:rPr>
        <w:t>apply. </w:t>
      </w:r>
      <w:r>
        <w:rPr>
          <w:sz w:val="21"/>
        </w:rPr>
        <w:t>Following extensive </w:t>
      </w:r>
      <w:r>
        <w:rPr>
          <w:spacing w:val="-3"/>
          <w:sz w:val="21"/>
        </w:rPr>
        <w:t>consultations, </w:t>
      </w:r>
      <w:r>
        <w:rPr>
          <w:sz w:val="21"/>
        </w:rPr>
        <w:t>the </w:t>
      </w:r>
      <w:r>
        <w:rPr>
          <w:spacing w:val="-3"/>
          <w:sz w:val="21"/>
        </w:rPr>
        <w:t>Commission recommends </w:t>
      </w:r>
      <w:r>
        <w:rPr>
          <w:sz w:val="21"/>
        </w:rPr>
        <w:t>adopting the approach </w:t>
      </w:r>
      <w:r>
        <w:rPr>
          <w:spacing w:val="-3"/>
          <w:sz w:val="21"/>
        </w:rPr>
        <w:t>taken</w:t>
      </w:r>
      <w:r>
        <w:rPr>
          <w:spacing w:val="2"/>
          <w:sz w:val="21"/>
        </w:rPr>
        <w:t> </w:t>
      </w:r>
      <w:r>
        <w:rPr>
          <w:sz w:val="21"/>
        </w:rPr>
        <w:t>in</w:t>
      </w:r>
    </w:p>
    <w:p>
      <w:pPr>
        <w:pStyle w:val="BodyText"/>
        <w:spacing w:before="5"/>
        <w:ind w:left="1927"/>
      </w:pPr>
      <w:r>
        <w:rPr>
          <w:w w:val="105"/>
        </w:rPr>
        <w:t>New South Wales.</w:t>
      </w:r>
    </w:p>
    <w:p>
      <w:pPr>
        <w:pStyle w:val="BodyText"/>
        <w:spacing w:before="4"/>
        <w:rPr>
          <w:sz w:val="23"/>
        </w:rPr>
      </w:pPr>
    </w:p>
    <w:p>
      <w:pPr>
        <w:pStyle w:val="Heading5"/>
      </w:pPr>
      <w:r>
        <w:rPr>
          <w:w w:val="115"/>
        </w:rPr>
        <w:t>Costs</w:t>
      </w:r>
    </w:p>
    <w:p>
      <w:pPr>
        <w:pStyle w:val="ListParagraph"/>
        <w:numPr>
          <w:ilvl w:val="0"/>
          <w:numId w:val="4"/>
        </w:numPr>
        <w:tabs>
          <w:tab w:pos="1928" w:val="left" w:leader="none"/>
        </w:tabs>
        <w:spacing w:line="242" w:lineRule="auto" w:before="138" w:after="0"/>
        <w:ind w:left="1927" w:right="1734" w:hanging="340"/>
        <w:jc w:val="left"/>
        <w:rPr>
          <w:sz w:val="21"/>
        </w:rPr>
      </w:pPr>
      <w:r>
        <w:rPr>
          <w:w w:val="105"/>
          <w:sz w:val="21"/>
        </w:rPr>
        <w:t>The </w:t>
      </w:r>
      <w:r>
        <w:rPr>
          <w:spacing w:val="-3"/>
          <w:w w:val="105"/>
          <w:sz w:val="21"/>
        </w:rPr>
        <w:t>Commission </w:t>
      </w:r>
      <w:r>
        <w:rPr>
          <w:w w:val="105"/>
          <w:sz w:val="21"/>
        </w:rPr>
        <w:t>also </w:t>
      </w:r>
      <w:r>
        <w:rPr>
          <w:spacing w:val="-3"/>
          <w:w w:val="105"/>
          <w:sz w:val="21"/>
        </w:rPr>
        <w:t>makes several recommendations </w:t>
      </w:r>
      <w:r>
        <w:rPr>
          <w:w w:val="105"/>
          <w:sz w:val="21"/>
        </w:rPr>
        <w:t>in response </w:t>
      </w:r>
      <w:r>
        <w:rPr>
          <w:spacing w:val="-3"/>
          <w:w w:val="105"/>
          <w:sz w:val="21"/>
        </w:rPr>
        <w:t>to concerns </w:t>
      </w:r>
      <w:r>
        <w:rPr>
          <w:w w:val="105"/>
          <w:sz w:val="21"/>
        </w:rPr>
        <w:t>about estates being</w:t>
      </w:r>
      <w:r>
        <w:rPr>
          <w:spacing w:val="-9"/>
          <w:w w:val="105"/>
          <w:sz w:val="21"/>
        </w:rPr>
        <w:t> </w:t>
      </w:r>
      <w:r>
        <w:rPr>
          <w:w w:val="105"/>
          <w:sz w:val="21"/>
        </w:rPr>
        <w:t>depleted</w:t>
      </w:r>
      <w:r>
        <w:rPr>
          <w:spacing w:val="-8"/>
          <w:w w:val="105"/>
          <w:sz w:val="21"/>
        </w:rPr>
        <w:t> </w:t>
      </w:r>
      <w:r>
        <w:rPr>
          <w:w w:val="105"/>
          <w:sz w:val="21"/>
        </w:rPr>
        <w:t>by</w:t>
      </w:r>
      <w:r>
        <w:rPr>
          <w:spacing w:val="-8"/>
          <w:w w:val="105"/>
          <w:sz w:val="21"/>
        </w:rPr>
        <w:t> </w:t>
      </w:r>
      <w:r>
        <w:rPr>
          <w:w w:val="105"/>
          <w:sz w:val="21"/>
        </w:rPr>
        <w:t>the</w:t>
      </w:r>
      <w:r>
        <w:rPr>
          <w:spacing w:val="-8"/>
          <w:w w:val="105"/>
          <w:sz w:val="21"/>
        </w:rPr>
        <w:t> </w:t>
      </w:r>
      <w:r>
        <w:rPr>
          <w:w w:val="105"/>
          <w:sz w:val="21"/>
        </w:rPr>
        <w:t>costs</w:t>
      </w:r>
      <w:r>
        <w:rPr>
          <w:spacing w:val="-8"/>
          <w:w w:val="105"/>
          <w:sz w:val="21"/>
        </w:rPr>
        <w:t> </w:t>
      </w:r>
      <w:r>
        <w:rPr>
          <w:w w:val="105"/>
          <w:sz w:val="21"/>
        </w:rPr>
        <w:t>of</w:t>
      </w:r>
      <w:r>
        <w:rPr>
          <w:spacing w:val="-9"/>
          <w:w w:val="105"/>
          <w:sz w:val="21"/>
        </w:rPr>
        <w:t> </w:t>
      </w:r>
      <w:r>
        <w:rPr>
          <w:spacing w:val="-3"/>
          <w:w w:val="105"/>
          <w:sz w:val="21"/>
        </w:rPr>
        <w:t>family</w:t>
      </w:r>
      <w:r>
        <w:rPr>
          <w:spacing w:val="-8"/>
          <w:w w:val="105"/>
          <w:sz w:val="21"/>
        </w:rPr>
        <w:t> </w:t>
      </w:r>
      <w:r>
        <w:rPr>
          <w:spacing w:val="-3"/>
          <w:w w:val="105"/>
          <w:sz w:val="21"/>
        </w:rPr>
        <w:t>provision</w:t>
      </w:r>
      <w:r>
        <w:rPr>
          <w:spacing w:val="-8"/>
          <w:w w:val="105"/>
          <w:sz w:val="21"/>
        </w:rPr>
        <w:t> </w:t>
      </w:r>
      <w:r>
        <w:rPr>
          <w:spacing w:val="-3"/>
          <w:w w:val="105"/>
          <w:sz w:val="21"/>
        </w:rPr>
        <w:t>claims.</w:t>
      </w:r>
      <w:r>
        <w:rPr>
          <w:spacing w:val="-8"/>
          <w:w w:val="105"/>
          <w:sz w:val="21"/>
        </w:rPr>
        <w:t> </w:t>
      </w:r>
      <w:r>
        <w:rPr>
          <w:w w:val="105"/>
          <w:sz w:val="21"/>
        </w:rPr>
        <w:t>Costs</w:t>
      </w:r>
      <w:r>
        <w:rPr>
          <w:spacing w:val="-8"/>
          <w:w w:val="105"/>
          <w:sz w:val="21"/>
        </w:rPr>
        <w:t> </w:t>
      </w:r>
      <w:r>
        <w:rPr>
          <w:w w:val="105"/>
          <w:sz w:val="21"/>
        </w:rPr>
        <w:t>rules</w:t>
      </w:r>
      <w:r>
        <w:rPr>
          <w:spacing w:val="-8"/>
          <w:w w:val="105"/>
          <w:sz w:val="21"/>
        </w:rPr>
        <w:t> </w:t>
      </w:r>
      <w:r>
        <w:rPr>
          <w:w w:val="105"/>
          <w:sz w:val="21"/>
        </w:rPr>
        <w:t>operate</w:t>
      </w:r>
      <w:r>
        <w:rPr>
          <w:spacing w:val="-9"/>
          <w:w w:val="105"/>
          <w:sz w:val="21"/>
        </w:rPr>
        <w:t> </w:t>
      </w:r>
      <w:r>
        <w:rPr>
          <w:spacing w:val="-3"/>
          <w:w w:val="105"/>
          <w:sz w:val="21"/>
        </w:rPr>
        <w:t>differently</w:t>
      </w:r>
      <w:r>
        <w:rPr>
          <w:spacing w:val="-8"/>
          <w:w w:val="105"/>
          <w:sz w:val="21"/>
        </w:rPr>
        <w:t> </w:t>
      </w:r>
      <w:r>
        <w:rPr>
          <w:w w:val="105"/>
          <w:sz w:val="21"/>
        </w:rPr>
        <w:t>in</w:t>
      </w:r>
      <w:r>
        <w:rPr>
          <w:spacing w:val="-8"/>
          <w:w w:val="105"/>
          <w:sz w:val="21"/>
        </w:rPr>
        <w:t> </w:t>
      </w:r>
      <w:r>
        <w:rPr>
          <w:spacing w:val="-3"/>
          <w:w w:val="105"/>
          <w:sz w:val="21"/>
        </w:rPr>
        <w:t>family provision</w:t>
      </w:r>
      <w:r>
        <w:rPr>
          <w:spacing w:val="-7"/>
          <w:w w:val="105"/>
          <w:sz w:val="21"/>
        </w:rPr>
        <w:t> </w:t>
      </w:r>
      <w:r>
        <w:rPr>
          <w:spacing w:val="-3"/>
          <w:w w:val="105"/>
          <w:sz w:val="21"/>
        </w:rPr>
        <w:t>proceedings</w:t>
      </w:r>
      <w:r>
        <w:rPr>
          <w:spacing w:val="-6"/>
          <w:w w:val="105"/>
          <w:sz w:val="21"/>
        </w:rPr>
        <w:t> </w:t>
      </w:r>
      <w:r>
        <w:rPr>
          <w:spacing w:val="-3"/>
          <w:w w:val="105"/>
          <w:sz w:val="21"/>
        </w:rPr>
        <w:t>compared</w:t>
      </w:r>
      <w:r>
        <w:rPr>
          <w:spacing w:val="-7"/>
          <w:w w:val="105"/>
          <w:sz w:val="21"/>
        </w:rPr>
        <w:t> </w:t>
      </w:r>
      <w:r>
        <w:rPr>
          <w:spacing w:val="-3"/>
          <w:w w:val="105"/>
          <w:sz w:val="21"/>
        </w:rPr>
        <w:t>to</w:t>
      </w:r>
      <w:r>
        <w:rPr>
          <w:spacing w:val="-6"/>
          <w:w w:val="105"/>
          <w:sz w:val="21"/>
        </w:rPr>
        <w:t> </w:t>
      </w:r>
      <w:r>
        <w:rPr>
          <w:w w:val="105"/>
          <w:sz w:val="21"/>
        </w:rPr>
        <w:t>other</w:t>
      </w:r>
      <w:r>
        <w:rPr>
          <w:spacing w:val="-6"/>
          <w:w w:val="105"/>
          <w:sz w:val="21"/>
        </w:rPr>
        <w:t> </w:t>
      </w:r>
      <w:r>
        <w:rPr>
          <w:w w:val="105"/>
          <w:sz w:val="21"/>
        </w:rPr>
        <w:t>civil</w:t>
      </w:r>
      <w:r>
        <w:rPr>
          <w:spacing w:val="-7"/>
          <w:w w:val="105"/>
          <w:sz w:val="21"/>
        </w:rPr>
        <w:t> </w:t>
      </w:r>
      <w:r>
        <w:rPr>
          <w:spacing w:val="-3"/>
          <w:w w:val="105"/>
          <w:sz w:val="21"/>
        </w:rPr>
        <w:t>proceedings,</w:t>
      </w:r>
      <w:r>
        <w:rPr>
          <w:spacing w:val="-6"/>
          <w:w w:val="105"/>
          <w:sz w:val="21"/>
        </w:rPr>
        <w:t> </w:t>
      </w:r>
      <w:r>
        <w:rPr>
          <w:w w:val="105"/>
          <w:sz w:val="21"/>
        </w:rPr>
        <w:t>where</w:t>
      </w:r>
      <w:r>
        <w:rPr>
          <w:spacing w:val="-6"/>
          <w:w w:val="105"/>
          <w:sz w:val="21"/>
        </w:rPr>
        <w:t> </w:t>
      </w:r>
      <w:r>
        <w:rPr>
          <w:w w:val="105"/>
          <w:sz w:val="21"/>
        </w:rPr>
        <w:t>the</w:t>
      </w:r>
      <w:r>
        <w:rPr>
          <w:spacing w:val="-7"/>
          <w:w w:val="105"/>
          <w:sz w:val="21"/>
        </w:rPr>
        <w:t> </w:t>
      </w:r>
      <w:r>
        <w:rPr>
          <w:spacing w:val="-3"/>
          <w:w w:val="105"/>
          <w:sz w:val="21"/>
        </w:rPr>
        <w:t>unsuccessful</w:t>
      </w:r>
      <w:r>
        <w:rPr>
          <w:spacing w:val="-6"/>
          <w:w w:val="105"/>
          <w:sz w:val="21"/>
        </w:rPr>
        <w:t> </w:t>
      </w:r>
      <w:r>
        <w:rPr>
          <w:w w:val="105"/>
          <w:sz w:val="21"/>
        </w:rPr>
        <w:t>party</w:t>
      </w:r>
      <w:r>
        <w:rPr>
          <w:spacing w:val="-6"/>
          <w:w w:val="105"/>
          <w:sz w:val="21"/>
        </w:rPr>
        <w:t> </w:t>
      </w:r>
      <w:r>
        <w:rPr>
          <w:w w:val="105"/>
          <w:sz w:val="21"/>
        </w:rPr>
        <w:t>pays their own costs and some of the costs of the other </w:t>
      </w:r>
      <w:r>
        <w:rPr>
          <w:spacing w:val="-3"/>
          <w:w w:val="105"/>
          <w:sz w:val="21"/>
        </w:rPr>
        <w:t>side. </w:t>
      </w:r>
      <w:r>
        <w:rPr>
          <w:w w:val="105"/>
          <w:sz w:val="21"/>
        </w:rPr>
        <w:t>In </w:t>
      </w:r>
      <w:r>
        <w:rPr>
          <w:spacing w:val="-3"/>
          <w:w w:val="105"/>
          <w:sz w:val="21"/>
        </w:rPr>
        <w:t>family provision proceedings, </w:t>
      </w:r>
      <w:r>
        <w:rPr>
          <w:w w:val="105"/>
          <w:sz w:val="21"/>
        </w:rPr>
        <w:t>the estate</w:t>
      </w:r>
      <w:r>
        <w:rPr>
          <w:spacing w:val="-7"/>
          <w:w w:val="105"/>
          <w:sz w:val="21"/>
        </w:rPr>
        <w:t> </w:t>
      </w:r>
      <w:r>
        <w:rPr>
          <w:spacing w:val="-2"/>
          <w:w w:val="105"/>
          <w:sz w:val="21"/>
        </w:rPr>
        <w:t>commonly</w:t>
      </w:r>
      <w:r>
        <w:rPr>
          <w:spacing w:val="-6"/>
          <w:w w:val="105"/>
          <w:sz w:val="21"/>
        </w:rPr>
        <w:t> </w:t>
      </w:r>
      <w:r>
        <w:rPr>
          <w:w w:val="105"/>
          <w:sz w:val="21"/>
        </w:rPr>
        <w:t>bears</w:t>
      </w:r>
      <w:r>
        <w:rPr>
          <w:spacing w:val="-7"/>
          <w:w w:val="105"/>
          <w:sz w:val="21"/>
        </w:rPr>
        <w:t> </w:t>
      </w:r>
      <w:r>
        <w:rPr>
          <w:w w:val="105"/>
          <w:sz w:val="21"/>
        </w:rPr>
        <w:t>its</w:t>
      </w:r>
      <w:r>
        <w:rPr>
          <w:spacing w:val="-6"/>
          <w:w w:val="105"/>
          <w:sz w:val="21"/>
        </w:rPr>
        <w:t> </w:t>
      </w:r>
      <w:r>
        <w:rPr>
          <w:w w:val="105"/>
          <w:sz w:val="21"/>
        </w:rPr>
        <w:t>own</w:t>
      </w:r>
      <w:r>
        <w:rPr>
          <w:spacing w:val="-7"/>
          <w:w w:val="105"/>
          <w:sz w:val="21"/>
        </w:rPr>
        <w:t> </w:t>
      </w:r>
      <w:r>
        <w:rPr>
          <w:w w:val="105"/>
          <w:sz w:val="21"/>
        </w:rPr>
        <w:t>costs</w:t>
      </w:r>
      <w:r>
        <w:rPr>
          <w:spacing w:val="-6"/>
          <w:w w:val="105"/>
          <w:sz w:val="21"/>
        </w:rPr>
        <w:t> </w:t>
      </w:r>
      <w:r>
        <w:rPr>
          <w:w w:val="105"/>
          <w:sz w:val="21"/>
        </w:rPr>
        <w:t>regardless</w:t>
      </w:r>
      <w:r>
        <w:rPr>
          <w:spacing w:val="-6"/>
          <w:w w:val="105"/>
          <w:sz w:val="21"/>
        </w:rPr>
        <w:t> </w:t>
      </w:r>
      <w:r>
        <w:rPr>
          <w:w w:val="105"/>
          <w:sz w:val="21"/>
        </w:rPr>
        <w:t>of</w:t>
      </w:r>
      <w:r>
        <w:rPr>
          <w:spacing w:val="-7"/>
          <w:w w:val="105"/>
          <w:sz w:val="21"/>
        </w:rPr>
        <w:t> </w:t>
      </w:r>
      <w:r>
        <w:rPr>
          <w:w w:val="105"/>
          <w:sz w:val="21"/>
        </w:rPr>
        <w:t>the</w:t>
      </w:r>
      <w:r>
        <w:rPr>
          <w:spacing w:val="-6"/>
          <w:w w:val="105"/>
          <w:sz w:val="21"/>
        </w:rPr>
        <w:t> </w:t>
      </w:r>
      <w:r>
        <w:rPr>
          <w:spacing w:val="-3"/>
          <w:w w:val="105"/>
          <w:sz w:val="21"/>
        </w:rPr>
        <w:t>outcome.</w:t>
      </w:r>
      <w:r>
        <w:rPr>
          <w:spacing w:val="-7"/>
          <w:w w:val="105"/>
          <w:sz w:val="21"/>
        </w:rPr>
        <w:t> </w:t>
      </w:r>
      <w:r>
        <w:rPr>
          <w:w w:val="105"/>
          <w:sz w:val="21"/>
        </w:rPr>
        <w:t>On</w:t>
      </w:r>
      <w:r>
        <w:rPr>
          <w:spacing w:val="-6"/>
          <w:w w:val="105"/>
          <w:sz w:val="21"/>
        </w:rPr>
        <w:t> </w:t>
      </w:r>
      <w:r>
        <w:rPr>
          <w:spacing w:val="-3"/>
          <w:w w:val="105"/>
          <w:sz w:val="21"/>
        </w:rPr>
        <w:t>occasion,</w:t>
      </w:r>
      <w:r>
        <w:rPr>
          <w:spacing w:val="-7"/>
          <w:w w:val="105"/>
          <w:sz w:val="21"/>
        </w:rPr>
        <w:t> </w:t>
      </w:r>
      <w:r>
        <w:rPr>
          <w:w w:val="105"/>
          <w:sz w:val="21"/>
        </w:rPr>
        <w:t>the</w:t>
      </w:r>
      <w:r>
        <w:rPr>
          <w:spacing w:val="-6"/>
          <w:w w:val="105"/>
          <w:sz w:val="21"/>
        </w:rPr>
        <w:t> </w:t>
      </w:r>
      <w:r>
        <w:rPr>
          <w:w w:val="105"/>
          <w:sz w:val="21"/>
        </w:rPr>
        <w:t>estate</w:t>
      </w:r>
      <w:r>
        <w:rPr>
          <w:spacing w:val="-6"/>
          <w:w w:val="105"/>
          <w:sz w:val="21"/>
        </w:rPr>
        <w:t> </w:t>
      </w:r>
      <w:r>
        <w:rPr>
          <w:spacing w:val="-3"/>
          <w:w w:val="105"/>
          <w:sz w:val="21"/>
        </w:rPr>
        <w:t>may </w:t>
      </w:r>
      <w:r>
        <w:rPr>
          <w:w w:val="105"/>
          <w:sz w:val="21"/>
        </w:rPr>
        <w:t>even be </w:t>
      </w:r>
      <w:r>
        <w:rPr>
          <w:spacing w:val="-3"/>
          <w:w w:val="105"/>
          <w:sz w:val="21"/>
        </w:rPr>
        <w:t>required to </w:t>
      </w:r>
      <w:r>
        <w:rPr>
          <w:spacing w:val="-2"/>
          <w:w w:val="105"/>
          <w:sz w:val="21"/>
        </w:rPr>
        <w:t>pay </w:t>
      </w:r>
      <w:r>
        <w:rPr>
          <w:w w:val="105"/>
          <w:sz w:val="21"/>
        </w:rPr>
        <w:t>the costs of an </w:t>
      </w:r>
      <w:r>
        <w:rPr>
          <w:spacing w:val="-3"/>
          <w:w w:val="105"/>
          <w:sz w:val="21"/>
        </w:rPr>
        <w:t>unsuccessful family provision applicant. </w:t>
      </w:r>
      <w:r>
        <w:rPr>
          <w:w w:val="105"/>
          <w:sz w:val="21"/>
        </w:rPr>
        <w:t>A</w:t>
      </w:r>
      <w:r>
        <w:rPr>
          <w:spacing w:val="6"/>
          <w:w w:val="105"/>
          <w:sz w:val="21"/>
        </w:rPr>
        <w:t> </w:t>
      </w:r>
      <w:r>
        <w:rPr>
          <w:spacing w:val="-3"/>
          <w:w w:val="105"/>
          <w:sz w:val="21"/>
        </w:rPr>
        <w:t>provision</w:t>
      </w:r>
    </w:p>
    <w:p>
      <w:pPr>
        <w:pStyle w:val="BodyText"/>
        <w:spacing w:line="242" w:lineRule="auto" w:before="6"/>
        <w:ind w:left="1927" w:right="1695"/>
      </w:pPr>
      <w:r>
        <w:rPr>
          <w:w w:val="105"/>
        </w:rPr>
        <w:t>at section 97(7) of the </w:t>
      </w:r>
      <w:r>
        <w:rPr>
          <w:spacing w:val="-3"/>
          <w:w w:val="105"/>
        </w:rPr>
        <w:t>Administration </w:t>
      </w:r>
      <w:r>
        <w:rPr>
          <w:w w:val="105"/>
        </w:rPr>
        <w:t>and </w:t>
      </w:r>
      <w:r>
        <w:rPr>
          <w:spacing w:val="-3"/>
          <w:w w:val="105"/>
        </w:rPr>
        <w:t>Probate </w:t>
      </w:r>
      <w:r>
        <w:rPr>
          <w:w w:val="105"/>
        </w:rPr>
        <w:t>Act, </w:t>
      </w:r>
      <w:r>
        <w:rPr>
          <w:spacing w:val="-3"/>
          <w:w w:val="105"/>
        </w:rPr>
        <w:t>empowering </w:t>
      </w:r>
      <w:r>
        <w:rPr>
          <w:w w:val="105"/>
        </w:rPr>
        <w:t>the court </w:t>
      </w:r>
      <w:r>
        <w:rPr>
          <w:spacing w:val="-3"/>
          <w:w w:val="105"/>
        </w:rPr>
        <w:t>to </w:t>
      </w:r>
      <w:r>
        <w:rPr>
          <w:spacing w:val="-4"/>
          <w:w w:val="105"/>
        </w:rPr>
        <w:t>make </w:t>
      </w:r>
      <w:r>
        <w:rPr>
          <w:w w:val="105"/>
        </w:rPr>
        <w:t>a  costs order </w:t>
      </w:r>
      <w:r>
        <w:rPr>
          <w:spacing w:val="-3"/>
          <w:w w:val="105"/>
        </w:rPr>
        <w:t>against </w:t>
      </w:r>
      <w:r>
        <w:rPr>
          <w:w w:val="105"/>
        </w:rPr>
        <w:t>the </w:t>
      </w:r>
      <w:r>
        <w:rPr>
          <w:spacing w:val="-3"/>
          <w:w w:val="105"/>
        </w:rPr>
        <w:t>applicant </w:t>
      </w:r>
      <w:r>
        <w:rPr>
          <w:w w:val="105"/>
        </w:rPr>
        <w:t>if the application is made </w:t>
      </w:r>
      <w:r>
        <w:rPr>
          <w:spacing w:val="-3"/>
          <w:w w:val="105"/>
        </w:rPr>
        <w:t>frivolously, </w:t>
      </w:r>
      <w:r>
        <w:rPr>
          <w:w w:val="105"/>
        </w:rPr>
        <w:t>vexatiously or with no </w:t>
      </w:r>
      <w:r>
        <w:rPr>
          <w:spacing w:val="-3"/>
          <w:w w:val="105"/>
        </w:rPr>
        <w:t>reasonable</w:t>
      </w:r>
      <w:r>
        <w:rPr>
          <w:spacing w:val="-6"/>
          <w:w w:val="105"/>
        </w:rPr>
        <w:t> </w:t>
      </w:r>
      <w:r>
        <w:rPr>
          <w:w w:val="105"/>
        </w:rPr>
        <w:t>prospect</w:t>
      </w:r>
      <w:r>
        <w:rPr>
          <w:spacing w:val="-6"/>
          <w:w w:val="105"/>
        </w:rPr>
        <w:t> </w:t>
      </w:r>
      <w:r>
        <w:rPr>
          <w:w w:val="105"/>
        </w:rPr>
        <w:t>of</w:t>
      </w:r>
      <w:r>
        <w:rPr>
          <w:spacing w:val="-6"/>
          <w:w w:val="105"/>
        </w:rPr>
        <w:t> </w:t>
      </w:r>
      <w:r>
        <w:rPr>
          <w:spacing w:val="-3"/>
          <w:w w:val="105"/>
        </w:rPr>
        <w:t>success,</w:t>
      </w:r>
      <w:r>
        <w:rPr>
          <w:spacing w:val="-5"/>
          <w:w w:val="105"/>
        </w:rPr>
        <w:t> </w:t>
      </w:r>
      <w:r>
        <w:rPr>
          <w:spacing w:val="-2"/>
          <w:w w:val="105"/>
        </w:rPr>
        <w:t>has</w:t>
      </w:r>
      <w:r>
        <w:rPr>
          <w:spacing w:val="-6"/>
          <w:w w:val="105"/>
        </w:rPr>
        <w:t> </w:t>
      </w:r>
      <w:r>
        <w:rPr>
          <w:spacing w:val="-2"/>
          <w:w w:val="105"/>
        </w:rPr>
        <w:t>not</w:t>
      </w:r>
      <w:r>
        <w:rPr>
          <w:spacing w:val="-6"/>
          <w:w w:val="105"/>
        </w:rPr>
        <w:t> </w:t>
      </w:r>
      <w:r>
        <w:rPr>
          <w:spacing w:val="-3"/>
          <w:w w:val="105"/>
        </w:rPr>
        <w:t>deterred</w:t>
      </w:r>
      <w:r>
        <w:rPr>
          <w:spacing w:val="-6"/>
          <w:w w:val="105"/>
        </w:rPr>
        <w:t> </w:t>
      </w:r>
      <w:r>
        <w:rPr>
          <w:w w:val="105"/>
        </w:rPr>
        <w:t>applicants</w:t>
      </w:r>
      <w:r>
        <w:rPr>
          <w:spacing w:val="-5"/>
          <w:w w:val="105"/>
        </w:rPr>
        <w:t> </w:t>
      </w:r>
      <w:r>
        <w:rPr>
          <w:spacing w:val="-3"/>
          <w:w w:val="105"/>
        </w:rPr>
        <w:t>from</w:t>
      </w:r>
      <w:r>
        <w:rPr>
          <w:spacing w:val="-6"/>
          <w:w w:val="105"/>
        </w:rPr>
        <w:t> </w:t>
      </w:r>
      <w:r>
        <w:rPr>
          <w:spacing w:val="-3"/>
          <w:w w:val="105"/>
        </w:rPr>
        <w:t>making</w:t>
      </w:r>
      <w:r>
        <w:rPr>
          <w:spacing w:val="-6"/>
          <w:w w:val="105"/>
        </w:rPr>
        <w:t> </w:t>
      </w:r>
      <w:r>
        <w:rPr>
          <w:spacing w:val="-3"/>
          <w:w w:val="105"/>
        </w:rPr>
        <w:t>unmeritorious</w:t>
      </w:r>
      <w:r>
        <w:rPr>
          <w:spacing w:val="-5"/>
          <w:w w:val="105"/>
        </w:rPr>
        <w:t> </w:t>
      </w:r>
      <w:r>
        <w:rPr>
          <w:spacing w:val="-3"/>
          <w:w w:val="105"/>
        </w:rPr>
        <w:t>claims </w:t>
      </w:r>
      <w:r>
        <w:rPr>
          <w:w w:val="105"/>
        </w:rPr>
        <w:t>and should be</w:t>
      </w:r>
      <w:r>
        <w:rPr>
          <w:spacing w:val="15"/>
          <w:w w:val="105"/>
        </w:rPr>
        <w:t> </w:t>
      </w:r>
      <w:r>
        <w:rPr>
          <w:spacing w:val="-2"/>
          <w:w w:val="105"/>
        </w:rPr>
        <w:t>repealed.</w:t>
      </w:r>
    </w:p>
    <w:p>
      <w:pPr>
        <w:pStyle w:val="BodyText"/>
        <w:rPr>
          <w:sz w:val="20"/>
        </w:rPr>
      </w:pPr>
    </w:p>
    <w:p>
      <w:pPr>
        <w:pStyle w:val="BodyText"/>
        <w:spacing w:before="5"/>
        <w:rPr>
          <w:sz w:val="15"/>
        </w:rPr>
      </w:pPr>
    </w:p>
    <w:p>
      <w:pPr>
        <w:spacing w:before="99"/>
        <w:ind w:left="0" w:right="593" w:firstLine="0"/>
        <w:jc w:val="right"/>
        <w:rPr>
          <w:b/>
          <w:sz w:val="24"/>
        </w:rPr>
      </w:pPr>
      <w:r>
        <w:rPr>
          <w:b/>
          <w:color w:val="EC5A4F"/>
          <w:w w:val="115"/>
          <w:sz w:val="24"/>
        </w:rPr>
        <w:t>xvii</w:t>
      </w:r>
    </w:p>
    <w:p>
      <w:pPr>
        <w:spacing w:after="0"/>
        <w:jc w:val="right"/>
        <w:rPr>
          <w:sz w:val="24"/>
        </w:rPr>
        <w:sectPr>
          <w:pgSz w:w="11910" w:h="16840"/>
          <w:pgMar w:header="550" w:footer="0" w:top="1560" w:bottom="280" w:left="0" w:right="0"/>
        </w:sectPr>
      </w:pPr>
    </w:p>
    <w:p>
      <w:pPr>
        <w:pStyle w:val="BodyText"/>
        <w:spacing w:before="9"/>
        <w:rPr>
          <w:b/>
          <w:sz w:val="22"/>
        </w:rPr>
      </w:pPr>
    </w:p>
    <w:p>
      <w:pPr>
        <w:pStyle w:val="ListParagraph"/>
        <w:numPr>
          <w:ilvl w:val="0"/>
          <w:numId w:val="5"/>
        </w:numPr>
        <w:tabs>
          <w:tab w:pos="1928" w:val="left" w:leader="none"/>
        </w:tabs>
        <w:spacing w:line="242" w:lineRule="auto" w:before="92" w:after="0"/>
        <w:ind w:left="1927" w:right="1799" w:hanging="340"/>
        <w:jc w:val="left"/>
        <w:rPr>
          <w:sz w:val="21"/>
        </w:rPr>
      </w:pPr>
      <w:r>
        <w:rPr>
          <w:w w:val="105"/>
          <w:sz w:val="21"/>
        </w:rPr>
        <w:t>Although most </w:t>
      </w:r>
      <w:r>
        <w:rPr>
          <w:spacing w:val="-3"/>
          <w:w w:val="105"/>
          <w:sz w:val="21"/>
        </w:rPr>
        <w:t>family provision claims </w:t>
      </w:r>
      <w:r>
        <w:rPr>
          <w:w w:val="105"/>
          <w:sz w:val="21"/>
        </w:rPr>
        <w:t>settle, an </w:t>
      </w:r>
      <w:r>
        <w:rPr>
          <w:spacing w:val="-3"/>
          <w:w w:val="105"/>
          <w:sz w:val="21"/>
        </w:rPr>
        <w:t>applicant could </w:t>
      </w:r>
      <w:r>
        <w:rPr>
          <w:w w:val="105"/>
          <w:sz w:val="21"/>
        </w:rPr>
        <w:t>be </w:t>
      </w:r>
      <w:r>
        <w:rPr>
          <w:spacing w:val="-3"/>
          <w:w w:val="105"/>
          <w:sz w:val="21"/>
        </w:rPr>
        <w:t>deterred from bringing  </w:t>
      </w:r>
      <w:r>
        <w:rPr>
          <w:w w:val="105"/>
          <w:sz w:val="21"/>
        </w:rPr>
        <w:t>or </w:t>
      </w:r>
      <w:r>
        <w:rPr>
          <w:spacing w:val="-3"/>
          <w:w w:val="105"/>
          <w:sz w:val="21"/>
        </w:rPr>
        <w:t>pursuing </w:t>
      </w:r>
      <w:r>
        <w:rPr>
          <w:w w:val="105"/>
          <w:sz w:val="21"/>
        </w:rPr>
        <w:t>a </w:t>
      </w:r>
      <w:r>
        <w:rPr>
          <w:spacing w:val="-3"/>
          <w:w w:val="105"/>
          <w:sz w:val="21"/>
        </w:rPr>
        <w:t>weak claim </w:t>
      </w:r>
      <w:r>
        <w:rPr>
          <w:w w:val="105"/>
          <w:sz w:val="21"/>
        </w:rPr>
        <w:t>if the </w:t>
      </w:r>
      <w:r>
        <w:rPr>
          <w:spacing w:val="-3"/>
          <w:w w:val="105"/>
          <w:sz w:val="21"/>
        </w:rPr>
        <w:t>Administration </w:t>
      </w:r>
      <w:r>
        <w:rPr>
          <w:w w:val="105"/>
          <w:sz w:val="21"/>
        </w:rPr>
        <w:t>and </w:t>
      </w:r>
      <w:r>
        <w:rPr>
          <w:spacing w:val="-3"/>
          <w:w w:val="105"/>
          <w:sz w:val="21"/>
        </w:rPr>
        <w:t>Probate </w:t>
      </w:r>
      <w:r>
        <w:rPr>
          <w:w w:val="105"/>
          <w:sz w:val="21"/>
        </w:rPr>
        <w:t>Act set out the costs orders </w:t>
      </w:r>
      <w:r>
        <w:rPr>
          <w:spacing w:val="-3"/>
          <w:w w:val="105"/>
          <w:sz w:val="21"/>
        </w:rPr>
        <w:t>that </w:t>
      </w:r>
      <w:r>
        <w:rPr>
          <w:w w:val="105"/>
          <w:sz w:val="21"/>
        </w:rPr>
        <w:t>the</w:t>
      </w:r>
      <w:r>
        <w:rPr>
          <w:spacing w:val="-4"/>
          <w:w w:val="105"/>
          <w:sz w:val="21"/>
        </w:rPr>
        <w:t> </w:t>
      </w:r>
      <w:r>
        <w:rPr>
          <w:w w:val="105"/>
          <w:sz w:val="21"/>
        </w:rPr>
        <w:t>court</w:t>
      </w:r>
      <w:r>
        <w:rPr>
          <w:spacing w:val="-4"/>
          <w:w w:val="105"/>
          <w:sz w:val="21"/>
        </w:rPr>
        <w:t> </w:t>
      </w:r>
      <w:r>
        <w:rPr>
          <w:spacing w:val="-3"/>
          <w:w w:val="105"/>
          <w:sz w:val="21"/>
        </w:rPr>
        <w:t>could</w:t>
      </w:r>
      <w:r>
        <w:rPr>
          <w:spacing w:val="-4"/>
          <w:w w:val="105"/>
          <w:sz w:val="21"/>
        </w:rPr>
        <w:t> make </w:t>
      </w:r>
      <w:r>
        <w:rPr>
          <w:w w:val="105"/>
          <w:sz w:val="21"/>
        </w:rPr>
        <w:t>if</w:t>
      </w:r>
      <w:r>
        <w:rPr>
          <w:spacing w:val="-4"/>
          <w:w w:val="105"/>
          <w:sz w:val="21"/>
        </w:rPr>
        <w:t> </w:t>
      </w:r>
      <w:r>
        <w:rPr>
          <w:w w:val="105"/>
          <w:sz w:val="21"/>
        </w:rPr>
        <w:t>the</w:t>
      </w:r>
      <w:r>
        <w:rPr>
          <w:spacing w:val="-4"/>
          <w:w w:val="105"/>
          <w:sz w:val="21"/>
        </w:rPr>
        <w:t> </w:t>
      </w:r>
      <w:r>
        <w:rPr>
          <w:spacing w:val="-3"/>
          <w:w w:val="105"/>
          <w:sz w:val="21"/>
        </w:rPr>
        <w:t>claim</w:t>
      </w:r>
      <w:r>
        <w:rPr>
          <w:spacing w:val="-4"/>
          <w:w w:val="105"/>
          <w:sz w:val="21"/>
        </w:rPr>
        <w:t> </w:t>
      </w:r>
      <w:r>
        <w:rPr>
          <w:w w:val="105"/>
          <w:sz w:val="21"/>
        </w:rPr>
        <w:t>proceeds</w:t>
      </w:r>
      <w:r>
        <w:rPr>
          <w:spacing w:val="-3"/>
          <w:w w:val="105"/>
          <w:sz w:val="21"/>
        </w:rPr>
        <w:t> to</w:t>
      </w:r>
      <w:r>
        <w:rPr>
          <w:spacing w:val="-4"/>
          <w:w w:val="105"/>
          <w:sz w:val="21"/>
        </w:rPr>
        <w:t> </w:t>
      </w:r>
      <w:r>
        <w:rPr>
          <w:spacing w:val="-3"/>
          <w:w w:val="105"/>
          <w:sz w:val="21"/>
        </w:rPr>
        <w:t>trial.</w:t>
      </w:r>
      <w:r>
        <w:rPr>
          <w:spacing w:val="-4"/>
          <w:w w:val="105"/>
          <w:sz w:val="21"/>
        </w:rPr>
        <w:t> </w:t>
      </w:r>
      <w:r>
        <w:rPr>
          <w:w w:val="105"/>
          <w:sz w:val="21"/>
        </w:rPr>
        <w:t>The</w:t>
      </w:r>
      <w:r>
        <w:rPr>
          <w:spacing w:val="-4"/>
          <w:w w:val="105"/>
          <w:sz w:val="21"/>
        </w:rPr>
        <w:t> </w:t>
      </w:r>
      <w:r>
        <w:rPr>
          <w:w w:val="105"/>
          <w:sz w:val="21"/>
        </w:rPr>
        <w:t>Act</w:t>
      </w:r>
      <w:r>
        <w:rPr>
          <w:spacing w:val="-4"/>
          <w:w w:val="105"/>
          <w:sz w:val="21"/>
        </w:rPr>
        <w:t> </w:t>
      </w:r>
      <w:r>
        <w:rPr>
          <w:w w:val="105"/>
          <w:sz w:val="21"/>
        </w:rPr>
        <w:t>should</w:t>
      </w:r>
      <w:r>
        <w:rPr>
          <w:spacing w:val="-4"/>
          <w:w w:val="105"/>
          <w:sz w:val="21"/>
        </w:rPr>
        <w:t> </w:t>
      </w:r>
      <w:r>
        <w:rPr>
          <w:w w:val="105"/>
          <w:sz w:val="21"/>
        </w:rPr>
        <w:t>specify</w:t>
      </w:r>
      <w:r>
        <w:rPr>
          <w:spacing w:val="-4"/>
          <w:w w:val="105"/>
          <w:sz w:val="21"/>
        </w:rPr>
        <w:t> </w:t>
      </w:r>
      <w:r>
        <w:rPr>
          <w:spacing w:val="-3"/>
          <w:w w:val="105"/>
          <w:sz w:val="21"/>
        </w:rPr>
        <w:t>that </w:t>
      </w:r>
      <w:r>
        <w:rPr>
          <w:w w:val="105"/>
          <w:sz w:val="21"/>
        </w:rPr>
        <w:t>the</w:t>
      </w:r>
      <w:r>
        <w:rPr>
          <w:spacing w:val="-4"/>
          <w:w w:val="105"/>
          <w:sz w:val="21"/>
        </w:rPr>
        <w:t> </w:t>
      </w:r>
      <w:r>
        <w:rPr>
          <w:w w:val="105"/>
          <w:sz w:val="21"/>
        </w:rPr>
        <w:t>court</w:t>
      </w:r>
      <w:r>
        <w:rPr>
          <w:spacing w:val="-4"/>
          <w:w w:val="105"/>
          <w:sz w:val="21"/>
        </w:rPr>
        <w:t> </w:t>
      </w:r>
      <w:r>
        <w:rPr>
          <w:spacing w:val="-3"/>
          <w:w w:val="105"/>
          <w:sz w:val="21"/>
        </w:rPr>
        <w:t>may </w:t>
      </w:r>
      <w:r>
        <w:rPr>
          <w:spacing w:val="-4"/>
          <w:w w:val="105"/>
          <w:sz w:val="21"/>
        </w:rPr>
        <w:t>make</w:t>
      </w:r>
      <w:r>
        <w:rPr>
          <w:spacing w:val="-6"/>
          <w:w w:val="105"/>
          <w:sz w:val="21"/>
        </w:rPr>
        <w:t> </w:t>
      </w:r>
      <w:r>
        <w:rPr>
          <w:spacing w:val="-3"/>
          <w:w w:val="105"/>
          <w:sz w:val="21"/>
        </w:rPr>
        <w:t>any</w:t>
      </w:r>
      <w:r>
        <w:rPr>
          <w:spacing w:val="-6"/>
          <w:w w:val="105"/>
          <w:sz w:val="21"/>
        </w:rPr>
        <w:t> </w:t>
      </w:r>
      <w:r>
        <w:rPr>
          <w:w w:val="105"/>
          <w:sz w:val="21"/>
        </w:rPr>
        <w:t>order</w:t>
      </w:r>
      <w:r>
        <w:rPr>
          <w:spacing w:val="-6"/>
          <w:w w:val="105"/>
          <w:sz w:val="21"/>
        </w:rPr>
        <w:t> </w:t>
      </w:r>
      <w:r>
        <w:rPr>
          <w:w w:val="105"/>
          <w:sz w:val="21"/>
        </w:rPr>
        <w:t>as</w:t>
      </w:r>
      <w:r>
        <w:rPr>
          <w:spacing w:val="-6"/>
          <w:w w:val="105"/>
          <w:sz w:val="21"/>
        </w:rPr>
        <w:t> </w:t>
      </w:r>
      <w:r>
        <w:rPr>
          <w:spacing w:val="-3"/>
          <w:w w:val="105"/>
          <w:sz w:val="21"/>
        </w:rPr>
        <w:t>to</w:t>
      </w:r>
      <w:r>
        <w:rPr>
          <w:spacing w:val="-6"/>
          <w:w w:val="105"/>
          <w:sz w:val="21"/>
        </w:rPr>
        <w:t> </w:t>
      </w:r>
      <w:r>
        <w:rPr>
          <w:w w:val="105"/>
          <w:sz w:val="21"/>
        </w:rPr>
        <w:t>costs</w:t>
      </w:r>
      <w:r>
        <w:rPr>
          <w:spacing w:val="-6"/>
          <w:w w:val="105"/>
          <w:sz w:val="21"/>
        </w:rPr>
        <w:t> </w:t>
      </w:r>
      <w:r>
        <w:rPr>
          <w:w w:val="105"/>
          <w:sz w:val="21"/>
        </w:rPr>
        <w:t>in</w:t>
      </w:r>
      <w:r>
        <w:rPr>
          <w:spacing w:val="-6"/>
          <w:w w:val="105"/>
          <w:sz w:val="21"/>
        </w:rPr>
        <w:t> </w:t>
      </w:r>
      <w:r>
        <w:rPr>
          <w:spacing w:val="-3"/>
          <w:w w:val="105"/>
          <w:sz w:val="21"/>
        </w:rPr>
        <w:t>family</w:t>
      </w:r>
      <w:r>
        <w:rPr>
          <w:spacing w:val="-5"/>
          <w:w w:val="105"/>
          <w:sz w:val="21"/>
        </w:rPr>
        <w:t> </w:t>
      </w:r>
      <w:r>
        <w:rPr>
          <w:spacing w:val="-3"/>
          <w:w w:val="105"/>
          <w:sz w:val="21"/>
        </w:rPr>
        <w:t>provision</w:t>
      </w:r>
      <w:r>
        <w:rPr>
          <w:spacing w:val="-6"/>
          <w:w w:val="105"/>
          <w:sz w:val="21"/>
        </w:rPr>
        <w:t> </w:t>
      </w:r>
      <w:r>
        <w:rPr>
          <w:spacing w:val="-3"/>
          <w:w w:val="105"/>
          <w:sz w:val="21"/>
        </w:rPr>
        <w:t>proceedings</w:t>
      </w:r>
      <w:r>
        <w:rPr>
          <w:spacing w:val="-6"/>
          <w:w w:val="105"/>
          <w:sz w:val="21"/>
        </w:rPr>
        <w:t> </w:t>
      </w:r>
      <w:r>
        <w:rPr>
          <w:spacing w:val="-3"/>
          <w:w w:val="105"/>
          <w:sz w:val="21"/>
        </w:rPr>
        <w:t>that</w:t>
      </w:r>
      <w:r>
        <w:rPr>
          <w:spacing w:val="-6"/>
          <w:w w:val="105"/>
          <w:sz w:val="21"/>
        </w:rPr>
        <w:t> </w:t>
      </w:r>
      <w:r>
        <w:rPr>
          <w:w w:val="105"/>
          <w:sz w:val="21"/>
        </w:rPr>
        <w:t>it</w:t>
      </w:r>
      <w:r>
        <w:rPr>
          <w:spacing w:val="-6"/>
          <w:w w:val="105"/>
          <w:sz w:val="21"/>
        </w:rPr>
        <w:t> </w:t>
      </w:r>
      <w:r>
        <w:rPr>
          <w:w w:val="105"/>
          <w:sz w:val="21"/>
        </w:rPr>
        <w:t>considers</w:t>
      </w:r>
      <w:r>
        <w:rPr>
          <w:spacing w:val="-6"/>
          <w:w w:val="105"/>
          <w:sz w:val="21"/>
        </w:rPr>
        <w:t> </w:t>
      </w:r>
      <w:r>
        <w:rPr>
          <w:w w:val="105"/>
          <w:sz w:val="21"/>
        </w:rPr>
        <w:t>just,</w:t>
      </w:r>
      <w:r>
        <w:rPr>
          <w:spacing w:val="-6"/>
          <w:w w:val="105"/>
          <w:sz w:val="21"/>
        </w:rPr>
        <w:t> </w:t>
      </w:r>
      <w:r>
        <w:rPr>
          <w:w w:val="105"/>
          <w:sz w:val="21"/>
        </w:rPr>
        <w:t>and</w:t>
      </w:r>
      <w:r>
        <w:rPr>
          <w:spacing w:val="-6"/>
          <w:w w:val="105"/>
          <w:sz w:val="21"/>
        </w:rPr>
        <w:t> </w:t>
      </w:r>
      <w:r>
        <w:rPr>
          <w:w w:val="105"/>
          <w:sz w:val="21"/>
        </w:rPr>
        <w:t>then</w:t>
      </w:r>
      <w:r>
        <w:rPr>
          <w:spacing w:val="-5"/>
          <w:w w:val="105"/>
          <w:sz w:val="21"/>
        </w:rPr>
        <w:t> </w:t>
      </w:r>
      <w:r>
        <w:rPr>
          <w:w w:val="105"/>
          <w:sz w:val="21"/>
        </w:rPr>
        <w:t>set out</w:t>
      </w:r>
      <w:r>
        <w:rPr>
          <w:spacing w:val="-6"/>
          <w:w w:val="105"/>
          <w:sz w:val="21"/>
        </w:rPr>
        <w:t> </w:t>
      </w:r>
      <w:r>
        <w:rPr>
          <w:w w:val="105"/>
          <w:sz w:val="21"/>
        </w:rPr>
        <w:t>a</w:t>
      </w:r>
      <w:r>
        <w:rPr>
          <w:spacing w:val="-5"/>
          <w:w w:val="105"/>
          <w:sz w:val="21"/>
        </w:rPr>
        <w:t> </w:t>
      </w:r>
      <w:r>
        <w:rPr>
          <w:w w:val="105"/>
          <w:sz w:val="21"/>
        </w:rPr>
        <w:t>non-exhaustive</w:t>
      </w:r>
      <w:r>
        <w:rPr>
          <w:spacing w:val="-6"/>
          <w:w w:val="105"/>
          <w:sz w:val="21"/>
        </w:rPr>
        <w:t> </w:t>
      </w:r>
      <w:r>
        <w:rPr>
          <w:w w:val="105"/>
          <w:sz w:val="21"/>
        </w:rPr>
        <w:t>list</w:t>
      </w:r>
      <w:r>
        <w:rPr>
          <w:spacing w:val="-5"/>
          <w:w w:val="105"/>
          <w:sz w:val="21"/>
        </w:rPr>
        <w:t> </w:t>
      </w:r>
      <w:r>
        <w:rPr>
          <w:w w:val="105"/>
          <w:sz w:val="21"/>
        </w:rPr>
        <w:t>of</w:t>
      </w:r>
      <w:r>
        <w:rPr>
          <w:spacing w:val="-5"/>
          <w:w w:val="105"/>
          <w:sz w:val="21"/>
        </w:rPr>
        <w:t> </w:t>
      </w:r>
      <w:r>
        <w:rPr>
          <w:w w:val="105"/>
          <w:sz w:val="21"/>
        </w:rPr>
        <w:t>the</w:t>
      </w:r>
      <w:r>
        <w:rPr>
          <w:spacing w:val="-6"/>
          <w:w w:val="105"/>
          <w:sz w:val="21"/>
        </w:rPr>
        <w:t> </w:t>
      </w:r>
      <w:r>
        <w:rPr>
          <w:w w:val="105"/>
          <w:sz w:val="21"/>
        </w:rPr>
        <w:t>types</w:t>
      </w:r>
      <w:r>
        <w:rPr>
          <w:spacing w:val="-5"/>
          <w:w w:val="105"/>
          <w:sz w:val="21"/>
        </w:rPr>
        <w:t> </w:t>
      </w:r>
      <w:r>
        <w:rPr>
          <w:w w:val="105"/>
          <w:sz w:val="21"/>
        </w:rPr>
        <w:t>of</w:t>
      </w:r>
      <w:r>
        <w:rPr>
          <w:spacing w:val="-6"/>
          <w:w w:val="105"/>
          <w:sz w:val="21"/>
        </w:rPr>
        <w:t> </w:t>
      </w:r>
      <w:r>
        <w:rPr>
          <w:w w:val="105"/>
          <w:sz w:val="21"/>
        </w:rPr>
        <w:t>costs</w:t>
      </w:r>
      <w:r>
        <w:rPr>
          <w:spacing w:val="-5"/>
          <w:w w:val="105"/>
          <w:sz w:val="21"/>
        </w:rPr>
        <w:t> </w:t>
      </w:r>
      <w:r>
        <w:rPr>
          <w:w w:val="105"/>
          <w:sz w:val="21"/>
        </w:rPr>
        <w:t>orders</w:t>
      </w:r>
      <w:r>
        <w:rPr>
          <w:spacing w:val="-5"/>
          <w:w w:val="105"/>
          <w:sz w:val="21"/>
        </w:rPr>
        <w:t> </w:t>
      </w:r>
      <w:r>
        <w:rPr>
          <w:spacing w:val="-3"/>
          <w:w w:val="105"/>
          <w:sz w:val="21"/>
        </w:rPr>
        <w:t>that</w:t>
      </w:r>
      <w:r>
        <w:rPr>
          <w:spacing w:val="-6"/>
          <w:w w:val="105"/>
          <w:sz w:val="21"/>
        </w:rPr>
        <w:t> </w:t>
      </w:r>
      <w:r>
        <w:rPr>
          <w:w w:val="105"/>
          <w:sz w:val="21"/>
        </w:rPr>
        <w:t>the</w:t>
      </w:r>
      <w:r>
        <w:rPr>
          <w:spacing w:val="-5"/>
          <w:w w:val="105"/>
          <w:sz w:val="21"/>
        </w:rPr>
        <w:t> </w:t>
      </w:r>
      <w:r>
        <w:rPr>
          <w:w w:val="105"/>
          <w:sz w:val="21"/>
        </w:rPr>
        <w:t>court</w:t>
      </w:r>
      <w:r>
        <w:rPr>
          <w:spacing w:val="-5"/>
          <w:w w:val="105"/>
          <w:sz w:val="21"/>
        </w:rPr>
        <w:t> </w:t>
      </w:r>
      <w:r>
        <w:rPr>
          <w:spacing w:val="-3"/>
          <w:w w:val="105"/>
          <w:sz w:val="21"/>
        </w:rPr>
        <w:t>may</w:t>
      </w:r>
      <w:r>
        <w:rPr>
          <w:spacing w:val="-6"/>
          <w:w w:val="105"/>
          <w:sz w:val="21"/>
        </w:rPr>
        <w:t> </w:t>
      </w:r>
      <w:r>
        <w:rPr>
          <w:spacing w:val="-5"/>
          <w:w w:val="105"/>
          <w:sz w:val="21"/>
        </w:rPr>
        <w:t>make. </w:t>
      </w:r>
      <w:r>
        <w:rPr>
          <w:w w:val="105"/>
          <w:sz w:val="21"/>
        </w:rPr>
        <w:t>These</w:t>
      </w:r>
      <w:r>
        <w:rPr>
          <w:spacing w:val="-6"/>
          <w:w w:val="105"/>
          <w:sz w:val="21"/>
        </w:rPr>
        <w:t> </w:t>
      </w:r>
      <w:r>
        <w:rPr>
          <w:w w:val="105"/>
          <w:sz w:val="21"/>
        </w:rPr>
        <w:t>would</w:t>
      </w:r>
    </w:p>
    <w:p>
      <w:pPr>
        <w:pStyle w:val="BodyText"/>
        <w:spacing w:line="242" w:lineRule="auto" w:before="5"/>
        <w:ind w:left="1927" w:right="1826"/>
      </w:pPr>
      <w:r>
        <w:rPr>
          <w:spacing w:val="-3"/>
        </w:rPr>
        <w:t>include </w:t>
      </w:r>
      <w:r>
        <w:rPr/>
        <w:t>orders </w:t>
      </w:r>
      <w:r>
        <w:rPr>
          <w:spacing w:val="-3"/>
        </w:rPr>
        <w:t>that </w:t>
      </w:r>
      <w:r>
        <w:rPr/>
        <w:t>each party bear their own costs, the estate </w:t>
      </w:r>
      <w:r>
        <w:rPr>
          <w:spacing w:val="-2"/>
        </w:rPr>
        <w:t>pay </w:t>
      </w:r>
      <w:r>
        <w:rPr/>
        <w:t>the </w:t>
      </w:r>
      <w:r>
        <w:rPr>
          <w:spacing w:val="-3"/>
        </w:rPr>
        <w:t>applicant’s </w:t>
      </w:r>
      <w:r>
        <w:rPr/>
        <w:t>costs, or </w:t>
      </w:r>
      <w:r>
        <w:rPr>
          <w:spacing w:val="-3"/>
        </w:rPr>
        <w:t>that  </w:t>
      </w:r>
      <w:r>
        <w:rPr/>
        <w:t>the </w:t>
      </w:r>
      <w:r>
        <w:rPr>
          <w:spacing w:val="-3"/>
        </w:rPr>
        <w:t>applicant </w:t>
      </w:r>
      <w:r>
        <w:rPr>
          <w:spacing w:val="-2"/>
        </w:rPr>
        <w:t>pay </w:t>
      </w:r>
      <w:r>
        <w:rPr/>
        <w:t>the personal </w:t>
      </w:r>
      <w:r>
        <w:rPr>
          <w:spacing w:val="-3"/>
        </w:rPr>
        <w:t>representative’s </w:t>
      </w:r>
      <w:r>
        <w:rPr/>
        <w:t>costs. The </w:t>
      </w:r>
      <w:r>
        <w:rPr>
          <w:spacing w:val="-3"/>
        </w:rPr>
        <w:t>Commission </w:t>
      </w:r>
      <w:r>
        <w:rPr/>
        <w:t>also considers </w:t>
      </w:r>
      <w:r>
        <w:rPr>
          <w:spacing w:val="-3"/>
        </w:rPr>
        <w:t>that </w:t>
      </w:r>
      <w:r>
        <w:rPr/>
        <w:t>the court’s power under the </w:t>
      </w:r>
      <w:r>
        <w:rPr>
          <w:i/>
        </w:rPr>
        <w:t>Civil Procedure Act </w:t>
      </w:r>
      <w:r>
        <w:rPr>
          <w:i/>
          <w:spacing w:val="-8"/>
        </w:rPr>
        <w:t>2010 </w:t>
      </w:r>
      <w:r>
        <w:rPr/>
        <w:t>(Vic) </w:t>
      </w:r>
      <w:r>
        <w:rPr>
          <w:spacing w:val="-3"/>
        </w:rPr>
        <w:t>to </w:t>
      </w:r>
      <w:r>
        <w:rPr/>
        <w:t>cap costs should be specified in the </w:t>
      </w:r>
      <w:r>
        <w:rPr>
          <w:spacing w:val="-3"/>
        </w:rPr>
        <w:t>Administration </w:t>
      </w:r>
      <w:r>
        <w:rPr/>
        <w:t>and </w:t>
      </w:r>
      <w:r>
        <w:rPr>
          <w:spacing w:val="-3"/>
        </w:rPr>
        <w:t>Probate</w:t>
      </w:r>
      <w:r>
        <w:rPr>
          <w:spacing w:val="30"/>
        </w:rPr>
        <w:t> </w:t>
      </w:r>
      <w:r>
        <w:rPr/>
        <w:t>Act.</w:t>
      </w:r>
    </w:p>
    <w:p>
      <w:pPr>
        <w:pStyle w:val="ListParagraph"/>
        <w:numPr>
          <w:ilvl w:val="0"/>
          <w:numId w:val="5"/>
        </w:numPr>
        <w:tabs>
          <w:tab w:pos="1928" w:val="left" w:leader="none"/>
        </w:tabs>
        <w:spacing w:line="242" w:lineRule="auto" w:before="124" w:after="0"/>
        <w:ind w:left="1927" w:right="1761" w:hanging="340"/>
        <w:jc w:val="left"/>
        <w:rPr>
          <w:sz w:val="21"/>
        </w:rPr>
      </w:pPr>
      <w:r>
        <w:rPr>
          <w:sz w:val="21"/>
        </w:rPr>
        <w:t>These </w:t>
      </w:r>
      <w:r>
        <w:rPr>
          <w:spacing w:val="-3"/>
          <w:sz w:val="21"/>
        </w:rPr>
        <w:t>measures are intended to </w:t>
      </w:r>
      <w:r>
        <w:rPr>
          <w:sz w:val="21"/>
        </w:rPr>
        <w:t>deter opportunistic </w:t>
      </w:r>
      <w:r>
        <w:rPr>
          <w:spacing w:val="-3"/>
          <w:sz w:val="21"/>
        </w:rPr>
        <w:t>family provision applications  </w:t>
      </w:r>
      <w:r>
        <w:rPr>
          <w:sz w:val="21"/>
        </w:rPr>
        <w:t>being </w:t>
      </w:r>
      <w:r>
        <w:rPr>
          <w:spacing w:val="-3"/>
          <w:sz w:val="21"/>
        </w:rPr>
        <w:t>made, </w:t>
      </w:r>
      <w:r>
        <w:rPr>
          <w:sz w:val="21"/>
        </w:rPr>
        <w:t>and </w:t>
      </w:r>
      <w:r>
        <w:rPr>
          <w:spacing w:val="-3"/>
          <w:sz w:val="21"/>
        </w:rPr>
        <w:t>to </w:t>
      </w:r>
      <w:r>
        <w:rPr>
          <w:sz w:val="21"/>
        </w:rPr>
        <w:t>strengthen the position of the personal representative when </w:t>
      </w:r>
      <w:r>
        <w:rPr>
          <w:spacing w:val="-3"/>
          <w:sz w:val="21"/>
        </w:rPr>
        <w:t>determining </w:t>
      </w:r>
      <w:r>
        <w:rPr>
          <w:sz w:val="21"/>
        </w:rPr>
        <w:t>how </w:t>
      </w:r>
      <w:r>
        <w:rPr>
          <w:spacing w:val="-3"/>
          <w:sz w:val="21"/>
        </w:rPr>
        <w:t>to  </w:t>
      </w:r>
      <w:r>
        <w:rPr>
          <w:sz w:val="21"/>
        </w:rPr>
        <w:t>respond </w:t>
      </w:r>
      <w:r>
        <w:rPr>
          <w:spacing w:val="-3"/>
          <w:sz w:val="21"/>
        </w:rPr>
        <w:t>to such</w:t>
      </w:r>
      <w:r>
        <w:rPr>
          <w:spacing w:val="28"/>
          <w:sz w:val="21"/>
        </w:rPr>
        <w:t> </w:t>
      </w:r>
      <w:r>
        <w:rPr>
          <w:spacing w:val="-3"/>
          <w:sz w:val="21"/>
        </w:rPr>
        <w:t>claims.</w:t>
      </w:r>
    </w:p>
    <w:p>
      <w:pPr>
        <w:pStyle w:val="BodyText"/>
        <w:rPr>
          <w:sz w:val="25"/>
        </w:rPr>
      </w:pPr>
    </w:p>
    <w:p>
      <w:pPr>
        <w:pStyle w:val="Heading5"/>
      </w:pPr>
      <w:r>
        <w:rPr>
          <w:w w:val="110"/>
        </w:rPr>
        <w:t>Procedure</w:t>
      </w:r>
    </w:p>
    <w:p>
      <w:pPr>
        <w:pStyle w:val="ListParagraph"/>
        <w:numPr>
          <w:ilvl w:val="0"/>
          <w:numId w:val="5"/>
        </w:numPr>
        <w:tabs>
          <w:tab w:pos="1928" w:val="left" w:leader="none"/>
        </w:tabs>
        <w:spacing w:line="242" w:lineRule="auto" w:before="137" w:after="0"/>
        <w:ind w:left="1927" w:right="1872" w:hanging="340"/>
        <w:jc w:val="left"/>
        <w:rPr>
          <w:sz w:val="21"/>
        </w:rPr>
      </w:pPr>
      <w:r>
        <w:rPr>
          <w:w w:val="105"/>
          <w:sz w:val="21"/>
        </w:rPr>
        <w:t>As the actual costs of </w:t>
      </w:r>
      <w:r>
        <w:rPr>
          <w:spacing w:val="-3"/>
          <w:w w:val="105"/>
          <w:sz w:val="21"/>
        </w:rPr>
        <w:t>proceedings </w:t>
      </w:r>
      <w:r>
        <w:rPr>
          <w:w w:val="105"/>
          <w:sz w:val="21"/>
        </w:rPr>
        <w:t>largely depend on court practices and </w:t>
      </w:r>
      <w:r>
        <w:rPr>
          <w:spacing w:val="-3"/>
          <w:w w:val="105"/>
          <w:sz w:val="21"/>
        </w:rPr>
        <w:t>procedures, </w:t>
      </w:r>
      <w:r>
        <w:rPr>
          <w:w w:val="105"/>
          <w:sz w:val="21"/>
        </w:rPr>
        <w:t>the </w:t>
      </w:r>
      <w:r>
        <w:rPr>
          <w:spacing w:val="-3"/>
          <w:w w:val="105"/>
          <w:sz w:val="21"/>
        </w:rPr>
        <w:t>Commission </w:t>
      </w:r>
      <w:r>
        <w:rPr>
          <w:spacing w:val="-2"/>
          <w:w w:val="105"/>
          <w:sz w:val="21"/>
        </w:rPr>
        <w:t>examined </w:t>
      </w:r>
      <w:r>
        <w:rPr>
          <w:spacing w:val="-3"/>
          <w:w w:val="105"/>
          <w:sz w:val="21"/>
        </w:rPr>
        <w:t>current </w:t>
      </w:r>
      <w:r>
        <w:rPr>
          <w:w w:val="105"/>
          <w:sz w:val="21"/>
        </w:rPr>
        <w:t>and proposed </w:t>
      </w:r>
      <w:r>
        <w:rPr>
          <w:spacing w:val="-3"/>
          <w:w w:val="105"/>
          <w:sz w:val="21"/>
        </w:rPr>
        <w:t>initiatives </w:t>
      </w:r>
      <w:r>
        <w:rPr>
          <w:w w:val="105"/>
          <w:sz w:val="21"/>
        </w:rPr>
        <w:t>in Victoria and other jurisdictions </w:t>
      </w:r>
      <w:r>
        <w:rPr>
          <w:spacing w:val="-3"/>
          <w:w w:val="105"/>
          <w:sz w:val="21"/>
        </w:rPr>
        <w:t>that</w:t>
      </w:r>
      <w:r>
        <w:rPr>
          <w:spacing w:val="-11"/>
          <w:w w:val="105"/>
          <w:sz w:val="21"/>
        </w:rPr>
        <w:t> </w:t>
      </w:r>
      <w:r>
        <w:rPr>
          <w:w w:val="105"/>
          <w:sz w:val="21"/>
        </w:rPr>
        <w:t>expedite</w:t>
      </w:r>
      <w:r>
        <w:rPr>
          <w:spacing w:val="-10"/>
          <w:w w:val="105"/>
          <w:sz w:val="21"/>
        </w:rPr>
        <w:t> </w:t>
      </w:r>
      <w:r>
        <w:rPr>
          <w:spacing w:val="-3"/>
          <w:w w:val="105"/>
          <w:sz w:val="21"/>
        </w:rPr>
        <w:t>family</w:t>
      </w:r>
      <w:r>
        <w:rPr>
          <w:spacing w:val="-11"/>
          <w:w w:val="105"/>
          <w:sz w:val="21"/>
        </w:rPr>
        <w:t> </w:t>
      </w:r>
      <w:r>
        <w:rPr>
          <w:spacing w:val="-3"/>
          <w:w w:val="105"/>
          <w:sz w:val="21"/>
        </w:rPr>
        <w:t>provision</w:t>
      </w:r>
      <w:r>
        <w:rPr>
          <w:spacing w:val="-10"/>
          <w:w w:val="105"/>
          <w:sz w:val="21"/>
        </w:rPr>
        <w:t> </w:t>
      </w:r>
      <w:r>
        <w:rPr>
          <w:spacing w:val="-3"/>
          <w:w w:val="105"/>
          <w:sz w:val="21"/>
        </w:rPr>
        <w:t>applications</w:t>
      </w:r>
      <w:r>
        <w:rPr>
          <w:spacing w:val="-11"/>
          <w:w w:val="105"/>
          <w:sz w:val="21"/>
        </w:rPr>
        <w:t> </w:t>
      </w:r>
      <w:r>
        <w:rPr>
          <w:w w:val="105"/>
          <w:sz w:val="21"/>
        </w:rPr>
        <w:t>and</w:t>
      </w:r>
      <w:r>
        <w:rPr>
          <w:spacing w:val="-10"/>
          <w:w w:val="105"/>
          <w:sz w:val="21"/>
        </w:rPr>
        <w:t> </w:t>
      </w:r>
      <w:r>
        <w:rPr>
          <w:w w:val="105"/>
          <w:sz w:val="21"/>
        </w:rPr>
        <w:t>refine</w:t>
      </w:r>
      <w:r>
        <w:rPr>
          <w:spacing w:val="-10"/>
          <w:w w:val="105"/>
          <w:sz w:val="21"/>
        </w:rPr>
        <w:t> </w:t>
      </w:r>
      <w:r>
        <w:rPr>
          <w:w w:val="105"/>
          <w:sz w:val="21"/>
        </w:rPr>
        <w:t>the</w:t>
      </w:r>
      <w:r>
        <w:rPr>
          <w:spacing w:val="-11"/>
          <w:w w:val="105"/>
          <w:sz w:val="21"/>
        </w:rPr>
        <w:t> </w:t>
      </w:r>
      <w:r>
        <w:rPr>
          <w:w w:val="105"/>
          <w:sz w:val="21"/>
        </w:rPr>
        <w:t>evidence</w:t>
      </w:r>
      <w:r>
        <w:rPr>
          <w:spacing w:val="-10"/>
          <w:w w:val="105"/>
          <w:sz w:val="21"/>
        </w:rPr>
        <w:t> </w:t>
      </w:r>
      <w:r>
        <w:rPr>
          <w:spacing w:val="-3"/>
          <w:w w:val="105"/>
          <w:sz w:val="21"/>
        </w:rPr>
        <w:t>that</w:t>
      </w:r>
      <w:r>
        <w:rPr>
          <w:spacing w:val="-11"/>
          <w:w w:val="105"/>
          <w:sz w:val="21"/>
        </w:rPr>
        <w:t> </w:t>
      </w:r>
      <w:r>
        <w:rPr>
          <w:w w:val="105"/>
          <w:sz w:val="21"/>
        </w:rPr>
        <w:t>the</w:t>
      </w:r>
      <w:r>
        <w:rPr>
          <w:spacing w:val="-10"/>
          <w:w w:val="105"/>
          <w:sz w:val="21"/>
        </w:rPr>
        <w:t> </w:t>
      </w:r>
      <w:r>
        <w:rPr>
          <w:w w:val="105"/>
          <w:sz w:val="21"/>
        </w:rPr>
        <w:t>courts</w:t>
      </w:r>
      <w:r>
        <w:rPr>
          <w:spacing w:val="-11"/>
          <w:w w:val="105"/>
          <w:sz w:val="21"/>
        </w:rPr>
        <w:t> </w:t>
      </w:r>
      <w:r>
        <w:rPr>
          <w:w w:val="105"/>
          <w:sz w:val="21"/>
        </w:rPr>
        <w:t>rely</w:t>
      </w:r>
      <w:r>
        <w:rPr>
          <w:spacing w:val="-10"/>
          <w:w w:val="105"/>
          <w:sz w:val="21"/>
        </w:rPr>
        <w:t> </w:t>
      </w:r>
      <w:r>
        <w:rPr>
          <w:w w:val="105"/>
          <w:sz w:val="21"/>
        </w:rPr>
        <w:t>upon. The courts </w:t>
      </w:r>
      <w:r>
        <w:rPr>
          <w:spacing w:val="-3"/>
          <w:w w:val="105"/>
          <w:sz w:val="21"/>
        </w:rPr>
        <w:t>are </w:t>
      </w:r>
      <w:r>
        <w:rPr>
          <w:w w:val="105"/>
          <w:sz w:val="21"/>
        </w:rPr>
        <w:t>best </w:t>
      </w:r>
      <w:r>
        <w:rPr>
          <w:spacing w:val="-2"/>
          <w:w w:val="105"/>
          <w:sz w:val="21"/>
        </w:rPr>
        <w:t>placed </w:t>
      </w:r>
      <w:r>
        <w:rPr>
          <w:spacing w:val="-3"/>
          <w:w w:val="105"/>
          <w:sz w:val="21"/>
        </w:rPr>
        <w:t>to determine </w:t>
      </w:r>
      <w:r>
        <w:rPr>
          <w:w w:val="105"/>
          <w:sz w:val="21"/>
        </w:rPr>
        <w:t>how a case should proceed and the </w:t>
      </w:r>
      <w:r>
        <w:rPr>
          <w:spacing w:val="-3"/>
          <w:w w:val="105"/>
          <w:sz w:val="21"/>
        </w:rPr>
        <w:t>Commission </w:t>
      </w:r>
      <w:r>
        <w:rPr>
          <w:w w:val="105"/>
          <w:sz w:val="21"/>
        </w:rPr>
        <w:t>puts</w:t>
      </w:r>
      <w:r>
        <w:rPr>
          <w:spacing w:val="-9"/>
          <w:w w:val="105"/>
          <w:sz w:val="21"/>
        </w:rPr>
        <w:t> </w:t>
      </w:r>
      <w:r>
        <w:rPr>
          <w:w w:val="105"/>
          <w:sz w:val="21"/>
        </w:rPr>
        <w:t>forward</w:t>
      </w:r>
      <w:r>
        <w:rPr>
          <w:spacing w:val="-8"/>
          <w:w w:val="105"/>
          <w:sz w:val="21"/>
        </w:rPr>
        <w:t> </w:t>
      </w:r>
      <w:r>
        <w:rPr>
          <w:w w:val="105"/>
          <w:sz w:val="21"/>
        </w:rPr>
        <w:t>a</w:t>
      </w:r>
      <w:r>
        <w:rPr>
          <w:spacing w:val="-8"/>
          <w:w w:val="105"/>
          <w:sz w:val="21"/>
        </w:rPr>
        <w:t> </w:t>
      </w:r>
      <w:r>
        <w:rPr>
          <w:w w:val="105"/>
          <w:sz w:val="21"/>
        </w:rPr>
        <w:t>series</w:t>
      </w:r>
      <w:r>
        <w:rPr>
          <w:spacing w:val="-8"/>
          <w:w w:val="105"/>
          <w:sz w:val="21"/>
        </w:rPr>
        <w:t> </w:t>
      </w:r>
      <w:r>
        <w:rPr>
          <w:w w:val="105"/>
          <w:sz w:val="21"/>
        </w:rPr>
        <w:t>of</w:t>
      </w:r>
      <w:r>
        <w:rPr>
          <w:spacing w:val="-8"/>
          <w:w w:val="105"/>
          <w:sz w:val="21"/>
        </w:rPr>
        <w:t> </w:t>
      </w:r>
      <w:r>
        <w:rPr>
          <w:spacing w:val="-3"/>
          <w:w w:val="105"/>
          <w:sz w:val="21"/>
        </w:rPr>
        <w:t>recommendations</w:t>
      </w:r>
      <w:r>
        <w:rPr>
          <w:spacing w:val="-9"/>
          <w:w w:val="105"/>
          <w:sz w:val="21"/>
        </w:rPr>
        <w:t> </w:t>
      </w:r>
      <w:r>
        <w:rPr>
          <w:spacing w:val="-3"/>
          <w:w w:val="105"/>
          <w:sz w:val="21"/>
        </w:rPr>
        <w:t>for</w:t>
      </w:r>
      <w:r>
        <w:rPr>
          <w:spacing w:val="-8"/>
          <w:w w:val="105"/>
          <w:sz w:val="21"/>
        </w:rPr>
        <w:t> </w:t>
      </w:r>
      <w:r>
        <w:rPr>
          <w:w w:val="105"/>
          <w:sz w:val="21"/>
        </w:rPr>
        <w:t>their</w:t>
      </w:r>
      <w:r>
        <w:rPr>
          <w:spacing w:val="-8"/>
          <w:w w:val="105"/>
          <w:sz w:val="21"/>
        </w:rPr>
        <w:t> </w:t>
      </w:r>
      <w:r>
        <w:rPr>
          <w:spacing w:val="-3"/>
          <w:w w:val="105"/>
          <w:sz w:val="21"/>
        </w:rPr>
        <w:t>consideration.</w:t>
      </w:r>
      <w:r>
        <w:rPr>
          <w:spacing w:val="-8"/>
          <w:w w:val="105"/>
          <w:sz w:val="21"/>
        </w:rPr>
        <w:t> </w:t>
      </w:r>
      <w:r>
        <w:rPr>
          <w:w w:val="105"/>
          <w:sz w:val="21"/>
        </w:rPr>
        <w:t>They</w:t>
      </w:r>
      <w:r>
        <w:rPr>
          <w:spacing w:val="-8"/>
          <w:w w:val="105"/>
          <w:sz w:val="21"/>
        </w:rPr>
        <w:t> </w:t>
      </w:r>
      <w:r>
        <w:rPr>
          <w:spacing w:val="-3"/>
          <w:w w:val="105"/>
          <w:sz w:val="21"/>
        </w:rPr>
        <w:t>include</w:t>
      </w:r>
      <w:r>
        <w:rPr>
          <w:spacing w:val="-9"/>
          <w:w w:val="105"/>
          <w:sz w:val="21"/>
        </w:rPr>
        <w:t> </w:t>
      </w:r>
      <w:r>
        <w:rPr>
          <w:w w:val="105"/>
          <w:sz w:val="21"/>
        </w:rPr>
        <w:t>proposals</w:t>
      </w:r>
      <w:r>
        <w:rPr>
          <w:spacing w:val="-8"/>
          <w:w w:val="105"/>
          <w:sz w:val="21"/>
        </w:rPr>
        <w:t> </w:t>
      </w:r>
      <w:r>
        <w:rPr>
          <w:spacing w:val="-3"/>
          <w:w w:val="105"/>
          <w:sz w:val="21"/>
        </w:rPr>
        <w:t>to </w:t>
      </w:r>
      <w:r>
        <w:rPr>
          <w:w w:val="105"/>
          <w:sz w:val="21"/>
        </w:rPr>
        <w:t>standardise</w:t>
      </w:r>
      <w:r>
        <w:rPr>
          <w:spacing w:val="-9"/>
          <w:w w:val="105"/>
          <w:sz w:val="21"/>
        </w:rPr>
        <w:t> </w:t>
      </w:r>
      <w:r>
        <w:rPr>
          <w:w w:val="105"/>
          <w:sz w:val="21"/>
        </w:rPr>
        <w:t>and</w:t>
      </w:r>
      <w:r>
        <w:rPr>
          <w:spacing w:val="-9"/>
          <w:w w:val="105"/>
          <w:sz w:val="21"/>
        </w:rPr>
        <w:t> </w:t>
      </w:r>
      <w:r>
        <w:rPr>
          <w:spacing w:val="-3"/>
          <w:w w:val="105"/>
          <w:sz w:val="21"/>
        </w:rPr>
        <w:t>reduce</w:t>
      </w:r>
      <w:r>
        <w:rPr>
          <w:spacing w:val="-9"/>
          <w:w w:val="105"/>
          <w:sz w:val="21"/>
        </w:rPr>
        <w:t> </w:t>
      </w:r>
      <w:r>
        <w:rPr>
          <w:w w:val="105"/>
          <w:sz w:val="21"/>
        </w:rPr>
        <w:t>the</w:t>
      </w:r>
      <w:r>
        <w:rPr>
          <w:spacing w:val="-9"/>
          <w:w w:val="105"/>
          <w:sz w:val="21"/>
        </w:rPr>
        <w:t> </w:t>
      </w:r>
      <w:r>
        <w:rPr>
          <w:spacing w:val="-3"/>
          <w:w w:val="105"/>
          <w:sz w:val="21"/>
        </w:rPr>
        <w:t>size</w:t>
      </w:r>
      <w:r>
        <w:rPr>
          <w:spacing w:val="-9"/>
          <w:w w:val="105"/>
          <w:sz w:val="21"/>
        </w:rPr>
        <w:t> </w:t>
      </w:r>
      <w:r>
        <w:rPr>
          <w:w w:val="105"/>
          <w:sz w:val="21"/>
        </w:rPr>
        <w:t>of</w:t>
      </w:r>
      <w:r>
        <w:rPr>
          <w:spacing w:val="-9"/>
          <w:w w:val="105"/>
          <w:sz w:val="21"/>
        </w:rPr>
        <w:t> </w:t>
      </w:r>
      <w:r>
        <w:rPr>
          <w:w w:val="105"/>
          <w:sz w:val="21"/>
        </w:rPr>
        <w:t>documents</w:t>
      </w:r>
      <w:r>
        <w:rPr>
          <w:spacing w:val="-8"/>
          <w:w w:val="105"/>
          <w:sz w:val="21"/>
        </w:rPr>
        <w:t> </w:t>
      </w:r>
      <w:r>
        <w:rPr>
          <w:spacing w:val="-3"/>
          <w:w w:val="105"/>
          <w:sz w:val="21"/>
        </w:rPr>
        <w:t>that</w:t>
      </w:r>
      <w:r>
        <w:rPr>
          <w:spacing w:val="-9"/>
          <w:w w:val="105"/>
          <w:sz w:val="21"/>
        </w:rPr>
        <w:t> </w:t>
      </w:r>
      <w:r>
        <w:rPr>
          <w:w w:val="105"/>
          <w:sz w:val="21"/>
        </w:rPr>
        <w:t>the</w:t>
      </w:r>
      <w:r>
        <w:rPr>
          <w:spacing w:val="-9"/>
          <w:w w:val="105"/>
          <w:sz w:val="21"/>
        </w:rPr>
        <w:t> </w:t>
      </w:r>
      <w:r>
        <w:rPr>
          <w:w w:val="105"/>
          <w:sz w:val="21"/>
        </w:rPr>
        <w:t>parties</w:t>
      </w:r>
      <w:r>
        <w:rPr>
          <w:spacing w:val="-9"/>
          <w:w w:val="105"/>
          <w:sz w:val="21"/>
        </w:rPr>
        <w:t> </w:t>
      </w:r>
      <w:r>
        <w:rPr>
          <w:spacing w:val="-3"/>
          <w:w w:val="105"/>
          <w:sz w:val="21"/>
        </w:rPr>
        <w:t>produce,</w:t>
      </w:r>
      <w:r>
        <w:rPr>
          <w:spacing w:val="-9"/>
          <w:w w:val="105"/>
          <w:sz w:val="21"/>
        </w:rPr>
        <w:t> </w:t>
      </w:r>
      <w:r>
        <w:rPr>
          <w:spacing w:val="-3"/>
          <w:w w:val="105"/>
          <w:sz w:val="21"/>
        </w:rPr>
        <w:t>to</w:t>
      </w:r>
      <w:r>
        <w:rPr>
          <w:spacing w:val="-9"/>
          <w:w w:val="105"/>
          <w:sz w:val="21"/>
        </w:rPr>
        <w:t> </w:t>
      </w:r>
      <w:r>
        <w:rPr>
          <w:spacing w:val="-3"/>
          <w:w w:val="105"/>
          <w:sz w:val="21"/>
        </w:rPr>
        <w:t>require</w:t>
      </w:r>
      <w:r>
        <w:rPr>
          <w:spacing w:val="-9"/>
          <w:w w:val="105"/>
          <w:sz w:val="21"/>
        </w:rPr>
        <w:t> </w:t>
      </w:r>
      <w:r>
        <w:rPr>
          <w:spacing w:val="-3"/>
          <w:w w:val="105"/>
          <w:sz w:val="21"/>
        </w:rPr>
        <w:t>disclosure </w:t>
      </w:r>
      <w:r>
        <w:rPr>
          <w:w w:val="105"/>
          <w:sz w:val="21"/>
        </w:rPr>
        <w:t>of costs based on the </w:t>
      </w:r>
      <w:r>
        <w:rPr>
          <w:spacing w:val="-3"/>
          <w:w w:val="105"/>
          <w:sz w:val="21"/>
        </w:rPr>
        <w:t>relevant </w:t>
      </w:r>
      <w:r>
        <w:rPr>
          <w:w w:val="105"/>
          <w:sz w:val="21"/>
        </w:rPr>
        <w:t>court </w:t>
      </w:r>
      <w:r>
        <w:rPr>
          <w:spacing w:val="-3"/>
          <w:w w:val="105"/>
          <w:sz w:val="21"/>
        </w:rPr>
        <w:t>scale, </w:t>
      </w:r>
      <w:r>
        <w:rPr>
          <w:w w:val="105"/>
          <w:sz w:val="21"/>
        </w:rPr>
        <w:t>and </w:t>
      </w:r>
      <w:r>
        <w:rPr>
          <w:spacing w:val="-3"/>
          <w:w w:val="105"/>
          <w:sz w:val="21"/>
        </w:rPr>
        <w:t>to determine applications concerning smaller </w:t>
      </w:r>
      <w:r>
        <w:rPr>
          <w:w w:val="105"/>
          <w:sz w:val="21"/>
        </w:rPr>
        <w:t>estates</w:t>
      </w:r>
      <w:r>
        <w:rPr>
          <w:spacing w:val="5"/>
          <w:w w:val="105"/>
          <w:sz w:val="21"/>
        </w:rPr>
        <w:t> </w:t>
      </w:r>
      <w:r>
        <w:rPr>
          <w:spacing w:val="-4"/>
          <w:w w:val="105"/>
          <w:sz w:val="21"/>
        </w:rPr>
        <w:t>summarily.</w:t>
      </w:r>
    </w:p>
    <w:p>
      <w:pPr>
        <w:pStyle w:val="ListParagraph"/>
        <w:numPr>
          <w:ilvl w:val="0"/>
          <w:numId w:val="5"/>
        </w:numPr>
        <w:tabs>
          <w:tab w:pos="1928" w:val="left" w:leader="none"/>
        </w:tabs>
        <w:spacing w:line="242" w:lineRule="auto" w:before="129" w:after="0"/>
        <w:ind w:left="1927" w:right="1945" w:hanging="340"/>
        <w:jc w:val="left"/>
        <w:rPr>
          <w:sz w:val="21"/>
        </w:rPr>
      </w:pPr>
      <w:r>
        <w:rPr>
          <w:w w:val="105"/>
          <w:sz w:val="21"/>
        </w:rPr>
        <w:t>Although both the </w:t>
      </w:r>
      <w:r>
        <w:rPr>
          <w:spacing w:val="-3"/>
          <w:w w:val="105"/>
          <w:sz w:val="21"/>
        </w:rPr>
        <w:t>County Court </w:t>
      </w:r>
      <w:r>
        <w:rPr>
          <w:w w:val="105"/>
          <w:sz w:val="21"/>
        </w:rPr>
        <w:t>and </w:t>
      </w:r>
      <w:r>
        <w:rPr>
          <w:spacing w:val="-3"/>
          <w:w w:val="105"/>
          <w:sz w:val="21"/>
        </w:rPr>
        <w:t>Supreme Court have </w:t>
      </w:r>
      <w:r>
        <w:rPr>
          <w:w w:val="105"/>
          <w:sz w:val="21"/>
        </w:rPr>
        <w:t>jurisdiction in </w:t>
      </w:r>
      <w:r>
        <w:rPr>
          <w:spacing w:val="-3"/>
          <w:w w:val="105"/>
          <w:sz w:val="21"/>
        </w:rPr>
        <w:t>family provision </w:t>
      </w:r>
      <w:r>
        <w:rPr>
          <w:w w:val="105"/>
          <w:sz w:val="21"/>
        </w:rPr>
        <w:t>matters, only one in </w:t>
      </w:r>
      <w:r>
        <w:rPr>
          <w:spacing w:val="-3"/>
          <w:w w:val="105"/>
          <w:sz w:val="21"/>
        </w:rPr>
        <w:t>four proceedings </w:t>
      </w:r>
      <w:r>
        <w:rPr>
          <w:w w:val="105"/>
          <w:sz w:val="21"/>
        </w:rPr>
        <w:t>is </w:t>
      </w:r>
      <w:r>
        <w:rPr>
          <w:spacing w:val="-3"/>
          <w:w w:val="105"/>
          <w:sz w:val="21"/>
        </w:rPr>
        <w:t>initiated </w:t>
      </w:r>
      <w:r>
        <w:rPr>
          <w:w w:val="105"/>
          <w:sz w:val="21"/>
        </w:rPr>
        <w:t>in the </w:t>
      </w:r>
      <w:r>
        <w:rPr>
          <w:spacing w:val="-3"/>
          <w:w w:val="105"/>
          <w:sz w:val="21"/>
        </w:rPr>
        <w:t>County Court. </w:t>
      </w:r>
      <w:r>
        <w:rPr>
          <w:w w:val="105"/>
          <w:sz w:val="21"/>
        </w:rPr>
        <w:t>In </w:t>
      </w:r>
      <w:r>
        <w:rPr>
          <w:spacing w:val="-3"/>
          <w:w w:val="105"/>
          <w:sz w:val="21"/>
        </w:rPr>
        <w:t>consultations, many </w:t>
      </w:r>
      <w:r>
        <w:rPr>
          <w:w w:val="105"/>
          <w:sz w:val="21"/>
        </w:rPr>
        <w:t>people said </w:t>
      </w:r>
      <w:r>
        <w:rPr>
          <w:spacing w:val="-3"/>
          <w:w w:val="105"/>
          <w:sz w:val="21"/>
        </w:rPr>
        <w:t>that </w:t>
      </w:r>
      <w:r>
        <w:rPr>
          <w:w w:val="105"/>
          <w:sz w:val="21"/>
        </w:rPr>
        <w:t>the </w:t>
      </w:r>
      <w:r>
        <w:rPr>
          <w:spacing w:val="-3"/>
          <w:w w:val="105"/>
          <w:sz w:val="21"/>
        </w:rPr>
        <w:t>County Court </w:t>
      </w:r>
      <w:r>
        <w:rPr>
          <w:w w:val="105"/>
          <w:sz w:val="21"/>
        </w:rPr>
        <w:t>hears and </w:t>
      </w:r>
      <w:r>
        <w:rPr>
          <w:spacing w:val="-3"/>
          <w:w w:val="105"/>
          <w:sz w:val="21"/>
        </w:rPr>
        <w:t>determines family provision applications well </w:t>
      </w:r>
      <w:r>
        <w:rPr>
          <w:w w:val="105"/>
          <w:sz w:val="21"/>
        </w:rPr>
        <w:t>and </w:t>
      </w:r>
      <w:r>
        <w:rPr>
          <w:spacing w:val="-3"/>
          <w:w w:val="105"/>
          <w:sz w:val="21"/>
        </w:rPr>
        <w:t>expeditiously. </w:t>
      </w:r>
      <w:r>
        <w:rPr>
          <w:w w:val="105"/>
          <w:sz w:val="21"/>
        </w:rPr>
        <w:t>Some said </w:t>
      </w:r>
      <w:r>
        <w:rPr>
          <w:spacing w:val="-3"/>
          <w:w w:val="105"/>
          <w:sz w:val="21"/>
        </w:rPr>
        <w:t>that </w:t>
      </w:r>
      <w:r>
        <w:rPr>
          <w:w w:val="105"/>
          <w:sz w:val="21"/>
        </w:rPr>
        <w:t>costs </w:t>
      </w:r>
      <w:r>
        <w:rPr>
          <w:spacing w:val="-3"/>
          <w:w w:val="105"/>
          <w:sz w:val="21"/>
        </w:rPr>
        <w:t>are </w:t>
      </w:r>
      <w:r>
        <w:rPr>
          <w:w w:val="105"/>
          <w:sz w:val="21"/>
        </w:rPr>
        <w:t>often less in the </w:t>
      </w:r>
      <w:r>
        <w:rPr>
          <w:spacing w:val="-3"/>
          <w:w w:val="105"/>
          <w:sz w:val="21"/>
        </w:rPr>
        <w:t>County Court than </w:t>
      </w:r>
      <w:r>
        <w:rPr>
          <w:w w:val="105"/>
          <w:sz w:val="21"/>
        </w:rPr>
        <w:t>in the </w:t>
      </w:r>
      <w:r>
        <w:rPr>
          <w:spacing w:val="-3"/>
          <w:w w:val="105"/>
          <w:sz w:val="21"/>
        </w:rPr>
        <w:t>Supreme Court. </w:t>
      </w:r>
      <w:r>
        <w:rPr>
          <w:w w:val="105"/>
          <w:sz w:val="21"/>
        </w:rPr>
        <w:t>The </w:t>
      </w:r>
      <w:r>
        <w:rPr>
          <w:spacing w:val="-3"/>
          <w:w w:val="105"/>
          <w:sz w:val="21"/>
        </w:rPr>
        <w:t>Commission </w:t>
      </w:r>
      <w:r>
        <w:rPr>
          <w:w w:val="105"/>
          <w:sz w:val="21"/>
        </w:rPr>
        <w:t>can see no reason </w:t>
      </w:r>
      <w:r>
        <w:rPr>
          <w:spacing w:val="-5"/>
          <w:w w:val="105"/>
          <w:sz w:val="21"/>
        </w:rPr>
        <w:t>why, </w:t>
      </w:r>
      <w:r>
        <w:rPr>
          <w:w w:val="105"/>
          <w:sz w:val="21"/>
        </w:rPr>
        <w:t>in </w:t>
      </w:r>
      <w:r>
        <w:rPr>
          <w:spacing w:val="-2"/>
          <w:w w:val="105"/>
          <w:sz w:val="21"/>
        </w:rPr>
        <w:t>normal </w:t>
      </w:r>
      <w:r>
        <w:rPr>
          <w:spacing w:val="-3"/>
          <w:w w:val="105"/>
          <w:sz w:val="21"/>
        </w:rPr>
        <w:t>circumstances, </w:t>
      </w:r>
      <w:r>
        <w:rPr>
          <w:w w:val="105"/>
          <w:sz w:val="21"/>
        </w:rPr>
        <w:t>a</w:t>
      </w:r>
      <w:r>
        <w:rPr>
          <w:spacing w:val="22"/>
          <w:w w:val="105"/>
          <w:sz w:val="21"/>
        </w:rPr>
        <w:t> </w:t>
      </w:r>
      <w:r>
        <w:rPr>
          <w:spacing w:val="-3"/>
          <w:w w:val="105"/>
          <w:sz w:val="21"/>
        </w:rPr>
        <w:t>family</w:t>
      </w:r>
    </w:p>
    <w:p>
      <w:pPr>
        <w:pStyle w:val="BodyText"/>
        <w:spacing w:line="242" w:lineRule="auto" w:before="5"/>
        <w:ind w:left="1927" w:right="1709"/>
        <w:jc w:val="both"/>
      </w:pPr>
      <w:r>
        <w:rPr>
          <w:spacing w:val="-3"/>
          <w:w w:val="105"/>
        </w:rPr>
        <w:t>provision claim concerning </w:t>
      </w:r>
      <w:r>
        <w:rPr>
          <w:w w:val="105"/>
        </w:rPr>
        <w:t>a </w:t>
      </w:r>
      <w:r>
        <w:rPr>
          <w:spacing w:val="-3"/>
          <w:w w:val="105"/>
        </w:rPr>
        <w:t>smaller </w:t>
      </w:r>
      <w:r>
        <w:rPr>
          <w:w w:val="105"/>
        </w:rPr>
        <w:t>estate would need </w:t>
      </w:r>
      <w:r>
        <w:rPr>
          <w:spacing w:val="-3"/>
          <w:w w:val="105"/>
        </w:rPr>
        <w:t>to </w:t>
      </w:r>
      <w:r>
        <w:rPr>
          <w:w w:val="105"/>
        </w:rPr>
        <w:t>be </w:t>
      </w:r>
      <w:r>
        <w:rPr>
          <w:spacing w:val="-3"/>
          <w:w w:val="105"/>
        </w:rPr>
        <w:t>initiated </w:t>
      </w:r>
      <w:r>
        <w:rPr>
          <w:w w:val="105"/>
        </w:rPr>
        <w:t>in the </w:t>
      </w:r>
      <w:r>
        <w:rPr>
          <w:spacing w:val="-3"/>
          <w:w w:val="105"/>
        </w:rPr>
        <w:t>higher </w:t>
      </w:r>
      <w:r>
        <w:rPr>
          <w:w w:val="105"/>
        </w:rPr>
        <w:t>court. The </w:t>
      </w:r>
      <w:r>
        <w:rPr>
          <w:spacing w:val="-3"/>
          <w:w w:val="105"/>
        </w:rPr>
        <w:t>Commission recommends that </w:t>
      </w:r>
      <w:r>
        <w:rPr>
          <w:w w:val="105"/>
        </w:rPr>
        <w:t>the </w:t>
      </w:r>
      <w:r>
        <w:rPr>
          <w:spacing w:val="-3"/>
          <w:w w:val="105"/>
        </w:rPr>
        <w:t>County Court have exclusive </w:t>
      </w:r>
      <w:r>
        <w:rPr>
          <w:w w:val="105"/>
        </w:rPr>
        <w:t>jurisdiction in </w:t>
      </w:r>
      <w:r>
        <w:rPr>
          <w:spacing w:val="-3"/>
          <w:w w:val="105"/>
        </w:rPr>
        <w:t>family provision claims </w:t>
      </w:r>
      <w:r>
        <w:rPr>
          <w:w w:val="105"/>
        </w:rPr>
        <w:t>where the net </w:t>
      </w:r>
      <w:r>
        <w:rPr>
          <w:spacing w:val="-3"/>
          <w:w w:val="105"/>
        </w:rPr>
        <w:t>value </w:t>
      </w:r>
      <w:r>
        <w:rPr>
          <w:w w:val="105"/>
        </w:rPr>
        <w:t>of the estate does </w:t>
      </w:r>
      <w:r>
        <w:rPr>
          <w:spacing w:val="-2"/>
          <w:w w:val="105"/>
        </w:rPr>
        <w:t>not </w:t>
      </w:r>
      <w:r>
        <w:rPr>
          <w:w w:val="105"/>
        </w:rPr>
        <w:t>exceed $500,000.</w:t>
      </w:r>
    </w:p>
    <w:p>
      <w:pPr>
        <w:pStyle w:val="BodyText"/>
        <w:spacing w:before="11"/>
        <w:rPr>
          <w:sz w:val="16"/>
        </w:rPr>
      </w:pPr>
    </w:p>
    <w:p>
      <w:pPr>
        <w:pStyle w:val="Heading5"/>
        <w:spacing w:before="99"/>
      </w:pPr>
      <w:r>
        <w:rPr>
          <w:w w:val="110"/>
        </w:rPr>
        <w:t>Other reform</w:t>
      </w:r>
    </w:p>
    <w:p>
      <w:pPr>
        <w:pStyle w:val="ListParagraph"/>
        <w:numPr>
          <w:ilvl w:val="0"/>
          <w:numId w:val="5"/>
        </w:numPr>
        <w:tabs>
          <w:tab w:pos="1928" w:val="left" w:leader="none"/>
        </w:tabs>
        <w:spacing w:line="242" w:lineRule="auto" w:before="137" w:after="0"/>
        <w:ind w:left="1927" w:right="1585" w:hanging="340"/>
        <w:jc w:val="left"/>
        <w:rPr>
          <w:sz w:val="21"/>
        </w:rPr>
      </w:pPr>
      <w:r>
        <w:rPr>
          <w:spacing w:val="-6"/>
          <w:w w:val="105"/>
          <w:sz w:val="21"/>
        </w:rPr>
        <w:t>Finally, </w:t>
      </w:r>
      <w:r>
        <w:rPr>
          <w:spacing w:val="-3"/>
          <w:w w:val="105"/>
          <w:sz w:val="21"/>
        </w:rPr>
        <w:t>the </w:t>
      </w:r>
      <w:r>
        <w:rPr>
          <w:spacing w:val="-5"/>
          <w:w w:val="105"/>
          <w:sz w:val="21"/>
        </w:rPr>
        <w:t>Commission considered </w:t>
      </w:r>
      <w:r>
        <w:rPr>
          <w:spacing w:val="-4"/>
          <w:w w:val="105"/>
          <w:sz w:val="21"/>
        </w:rPr>
        <w:t>particular difficulties that arise </w:t>
      </w:r>
      <w:r>
        <w:rPr>
          <w:spacing w:val="-3"/>
          <w:w w:val="105"/>
          <w:sz w:val="21"/>
        </w:rPr>
        <w:t>when </w:t>
      </w:r>
      <w:r>
        <w:rPr>
          <w:spacing w:val="-5"/>
          <w:w w:val="105"/>
          <w:sz w:val="21"/>
        </w:rPr>
        <w:t>dealing </w:t>
      </w:r>
      <w:r>
        <w:rPr>
          <w:spacing w:val="-3"/>
          <w:w w:val="105"/>
          <w:sz w:val="21"/>
        </w:rPr>
        <w:t>with </w:t>
      </w:r>
      <w:r>
        <w:rPr>
          <w:spacing w:val="-5"/>
          <w:w w:val="105"/>
          <w:sz w:val="21"/>
        </w:rPr>
        <w:t>farm </w:t>
      </w:r>
      <w:r>
        <w:rPr>
          <w:spacing w:val="-3"/>
          <w:w w:val="105"/>
          <w:sz w:val="21"/>
        </w:rPr>
        <w:t>property </w:t>
      </w:r>
      <w:r>
        <w:rPr>
          <w:spacing w:val="-4"/>
          <w:w w:val="105"/>
          <w:sz w:val="21"/>
        </w:rPr>
        <w:t>under </w:t>
      </w:r>
      <w:r>
        <w:rPr>
          <w:spacing w:val="-5"/>
          <w:w w:val="105"/>
          <w:sz w:val="21"/>
        </w:rPr>
        <w:t>succession </w:t>
      </w:r>
      <w:r>
        <w:rPr>
          <w:spacing w:val="-4"/>
          <w:w w:val="105"/>
          <w:sz w:val="21"/>
        </w:rPr>
        <w:t>laws, </w:t>
      </w:r>
      <w:r>
        <w:rPr>
          <w:w w:val="105"/>
          <w:sz w:val="21"/>
        </w:rPr>
        <w:t>as </w:t>
      </w:r>
      <w:r>
        <w:rPr>
          <w:spacing w:val="-3"/>
          <w:w w:val="105"/>
          <w:sz w:val="21"/>
        </w:rPr>
        <w:t>the property </w:t>
      </w:r>
      <w:r>
        <w:rPr>
          <w:spacing w:val="-4"/>
          <w:w w:val="105"/>
          <w:sz w:val="21"/>
        </w:rPr>
        <w:t>provides </w:t>
      </w:r>
      <w:r>
        <w:rPr>
          <w:w w:val="105"/>
          <w:sz w:val="21"/>
        </w:rPr>
        <w:t>a </w:t>
      </w:r>
      <w:r>
        <w:rPr>
          <w:spacing w:val="-4"/>
          <w:w w:val="105"/>
          <w:sz w:val="21"/>
        </w:rPr>
        <w:t>livelihood </w:t>
      </w:r>
      <w:r>
        <w:rPr>
          <w:w w:val="105"/>
          <w:sz w:val="21"/>
        </w:rPr>
        <w:t>as </w:t>
      </w:r>
      <w:r>
        <w:rPr>
          <w:spacing w:val="-4"/>
          <w:w w:val="105"/>
          <w:sz w:val="21"/>
        </w:rPr>
        <w:t>well </w:t>
      </w:r>
      <w:r>
        <w:rPr>
          <w:w w:val="105"/>
          <w:sz w:val="21"/>
        </w:rPr>
        <w:t>as a </w:t>
      </w:r>
      <w:r>
        <w:rPr>
          <w:spacing w:val="-4"/>
          <w:w w:val="105"/>
          <w:sz w:val="21"/>
        </w:rPr>
        <w:t>residence and may not </w:t>
      </w:r>
      <w:r>
        <w:rPr>
          <w:w w:val="105"/>
          <w:sz w:val="21"/>
        </w:rPr>
        <w:t>be </w:t>
      </w:r>
      <w:r>
        <w:rPr>
          <w:spacing w:val="-4"/>
          <w:w w:val="105"/>
          <w:sz w:val="21"/>
        </w:rPr>
        <w:t>easily </w:t>
      </w:r>
      <w:r>
        <w:rPr>
          <w:spacing w:val="-3"/>
          <w:w w:val="105"/>
          <w:sz w:val="21"/>
        </w:rPr>
        <w:t>divided </w:t>
      </w:r>
      <w:r>
        <w:rPr>
          <w:spacing w:val="-4"/>
          <w:w w:val="105"/>
          <w:sz w:val="21"/>
        </w:rPr>
        <w:t>among </w:t>
      </w:r>
      <w:r>
        <w:rPr>
          <w:spacing w:val="-5"/>
          <w:w w:val="105"/>
          <w:sz w:val="21"/>
        </w:rPr>
        <w:t>family </w:t>
      </w:r>
      <w:r>
        <w:rPr>
          <w:spacing w:val="-3"/>
          <w:w w:val="105"/>
          <w:sz w:val="21"/>
        </w:rPr>
        <w:t>members. </w:t>
      </w:r>
      <w:r>
        <w:rPr>
          <w:spacing w:val="-8"/>
          <w:w w:val="105"/>
          <w:sz w:val="21"/>
        </w:rPr>
        <w:t>To </w:t>
      </w:r>
      <w:r>
        <w:rPr>
          <w:spacing w:val="-4"/>
          <w:w w:val="105"/>
          <w:sz w:val="21"/>
        </w:rPr>
        <w:t>reduce </w:t>
      </w:r>
      <w:r>
        <w:rPr>
          <w:spacing w:val="-3"/>
          <w:w w:val="105"/>
          <w:sz w:val="21"/>
        </w:rPr>
        <w:t>the </w:t>
      </w:r>
      <w:r>
        <w:rPr>
          <w:spacing w:val="-4"/>
          <w:w w:val="105"/>
          <w:sz w:val="21"/>
        </w:rPr>
        <w:t>risk </w:t>
      </w:r>
      <w:r>
        <w:rPr>
          <w:spacing w:val="-3"/>
          <w:w w:val="105"/>
          <w:sz w:val="21"/>
        </w:rPr>
        <w:t>of </w:t>
      </w:r>
      <w:r>
        <w:rPr>
          <w:spacing w:val="-4"/>
          <w:w w:val="105"/>
          <w:sz w:val="21"/>
        </w:rPr>
        <w:t>disputation </w:t>
      </w:r>
      <w:r>
        <w:rPr>
          <w:spacing w:val="-3"/>
          <w:w w:val="105"/>
          <w:sz w:val="21"/>
        </w:rPr>
        <w:t>after the </w:t>
      </w:r>
      <w:r>
        <w:rPr>
          <w:spacing w:val="-4"/>
          <w:w w:val="105"/>
          <w:sz w:val="21"/>
        </w:rPr>
        <w:t>will- </w:t>
      </w:r>
      <w:r>
        <w:rPr>
          <w:spacing w:val="-6"/>
          <w:w w:val="105"/>
          <w:sz w:val="21"/>
        </w:rPr>
        <w:t>maker’s </w:t>
      </w:r>
      <w:r>
        <w:rPr>
          <w:spacing w:val="-4"/>
          <w:w w:val="105"/>
          <w:sz w:val="21"/>
        </w:rPr>
        <w:t>death and to encourage </w:t>
      </w:r>
      <w:r>
        <w:rPr>
          <w:spacing w:val="-3"/>
          <w:w w:val="105"/>
          <w:sz w:val="21"/>
        </w:rPr>
        <w:t>the </w:t>
      </w:r>
      <w:r>
        <w:rPr>
          <w:spacing w:val="-5"/>
          <w:w w:val="105"/>
          <w:sz w:val="21"/>
        </w:rPr>
        <w:t>making </w:t>
      </w:r>
      <w:r>
        <w:rPr>
          <w:spacing w:val="-3"/>
          <w:w w:val="105"/>
          <w:sz w:val="21"/>
        </w:rPr>
        <w:t>of </w:t>
      </w:r>
      <w:r>
        <w:rPr>
          <w:spacing w:val="-5"/>
          <w:w w:val="105"/>
          <w:sz w:val="21"/>
        </w:rPr>
        <w:t>mutually </w:t>
      </w:r>
      <w:r>
        <w:rPr>
          <w:spacing w:val="-4"/>
          <w:w w:val="105"/>
          <w:sz w:val="21"/>
        </w:rPr>
        <w:t>satisfactory arrangements </w:t>
      </w:r>
      <w:r>
        <w:rPr>
          <w:spacing w:val="-5"/>
          <w:w w:val="105"/>
          <w:sz w:val="21"/>
        </w:rPr>
        <w:t>before </w:t>
      </w:r>
      <w:r>
        <w:rPr>
          <w:spacing w:val="-4"/>
          <w:w w:val="105"/>
          <w:sz w:val="21"/>
        </w:rPr>
        <w:t>death, </w:t>
      </w:r>
      <w:r>
        <w:rPr>
          <w:spacing w:val="-3"/>
          <w:w w:val="105"/>
          <w:sz w:val="21"/>
        </w:rPr>
        <w:t>the </w:t>
      </w:r>
      <w:r>
        <w:rPr>
          <w:spacing w:val="-5"/>
          <w:w w:val="105"/>
          <w:sz w:val="21"/>
        </w:rPr>
        <w:t>Commission recommends introducing </w:t>
      </w:r>
      <w:r>
        <w:rPr>
          <w:w w:val="105"/>
          <w:sz w:val="21"/>
        </w:rPr>
        <w:t>a </w:t>
      </w:r>
      <w:r>
        <w:rPr>
          <w:spacing w:val="-5"/>
          <w:w w:val="105"/>
          <w:sz w:val="21"/>
        </w:rPr>
        <w:t>provision </w:t>
      </w:r>
      <w:r>
        <w:rPr>
          <w:spacing w:val="-4"/>
          <w:w w:val="105"/>
          <w:sz w:val="21"/>
        </w:rPr>
        <w:t>that allows </w:t>
      </w:r>
      <w:r>
        <w:rPr>
          <w:spacing w:val="-3"/>
          <w:w w:val="105"/>
          <w:sz w:val="21"/>
        </w:rPr>
        <w:t>the </w:t>
      </w:r>
      <w:r>
        <w:rPr>
          <w:spacing w:val="-4"/>
          <w:w w:val="105"/>
          <w:sz w:val="21"/>
        </w:rPr>
        <w:t>recipients </w:t>
      </w:r>
      <w:r>
        <w:rPr>
          <w:spacing w:val="-3"/>
          <w:w w:val="105"/>
          <w:sz w:val="21"/>
        </w:rPr>
        <w:t>of </w:t>
      </w:r>
      <w:r>
        <w:rPr>
          <w:w w:val="105"/>
          <w:sz w:val="21"/>
        </w:rPr>
        <w:t>gifts </w:t>
      </w:r>
      <w:r>
        <w:rPr>
          <w:spacing w:val="-5"/>
          <w:w w:val="105"/>
          <w:sz w:val="21"/>
        </w:rPr>
        <w:t>during </w:t>
      </w:r>
      <w:r>
        <w:rPr>
          <w:spacing w:val="-3"/>
          <w:w w:val="105"/>
          <w:sz w:val="21"/>
        </w:rPr>
        <w:t>the </w:t>
      </w:r>
      <w:r>
        <w:rPr>
          <w:spacing w:val="-5"/>
          <w:w w:val="105"/>
          <w:sz w:val="21"/>
        </w:rPr>
        <w:t>will-maker’s lifetime </w:t>
      </w:r>
      <w:r>
        <w:rPr>
          <w:spacing w:val="-4"/>
          <w:w w:val="105"/>
          <w:sz w:val="21"/>
        </w:rPr>
        <w:t>to </w:t>
      </w:r>
      <w:r>
        <w:rPr>
          <w:spacing w:val="-5"/>
          <w:w w:val="105"/>
          <w:sz w:val="21"/>
        </w:rPr>
        <w:t>sign, </w:t>
      </w:r>
      <w:r>
        <w:rPr>
          <w:spacing w:val="-3"/>
          <w:w w:val="105"/>
          <w:sz w:val="21"/>
        </w:rPr>
        <w:t>with the </w:t>
      </w:r>
      <w:r>
        <w:rPr>
          <w:spacing w:val="-4"/>
          <w:w w:val="105"/>
          <w:sz w:val="21"/>
        </w:rPr>
        <w:t>court’s </w:t>
      </w:r>
      <w:r>
        <w:rPr>
          <w:spacing w:val="-5"/>
          <w:w w:val="105"/>
          <w:sz w:val="21"/>
        </w:rPr>
        <w:t>approval, </w:t>
      </w:r>
      <w:r>
        <w:rPr>
          <w:w w:val="105"/>
          <w:sz w:val="21"/>
        </w:rPr>
        <w:t>a </w:t>
      </w:r>
      <w:r>
        <w:rPr>
          <w:spacing w:val="-5"/>
          <w:w w:val="105"/>
          <w:sz w:val="21"/>
        </w:rPr>
        <w:t>binding </w:t>
      </w:r>
      <w:r>
        <w:rPr>
          <w:spacing w:val="-4"/>
          <w:w w:val="105"/>
          <w:sz w:val="21"/>
        </w:rPr>
        <w:t>release </w:t>
      </w:r>
      <w:r>
        <w:rPr>
          <w:spacing w:val="-3"/>
          <w:w w:val="105"/>
          <w:sz w:val="21"/>
        </w:rPr>
        <w:t>of </w:t>
      </w:r>
      <w:r>
        <w:rPr>
          <w:spacing w:val="-4"/>
          <w:w w:val="105"/>
          <w:sz w:val="21"/>
        </w:rPr>
        <w:t>their rights to </w:t>
      </w:r>
      <w:r>
        <w:rPr>
          <w:spacing w:val="-5"/>
          <w:w w:val="105"/>
          <w:sz w:val="21"/>
        </w:rPr>
        <w:t>make </w:t>
      </w:r>
      <w:r>
        <w:rPr>
          <w:w w:val="105"/>
          <w:sz w:val="21"/>
        </w:rPr>
        <w:t>a </w:t>
      </w:r>
      <w:r>
        <w:rPr>
          <w:spacing w:val="-5"/>
          <w:w w:val="105"/>
          <w:sz w:val="21"/>
        </w:rPr>
        <w:t>family provision claim </w:t>
      </w:r>
      <w:r>
        <w:rPr>
          <w:spacing w:val="-3"/>
          <w:w w:val="105"/>
          <w:sz w:val="21"/>
        </w:rPr>
        <w:t>after the </w:t>
      </w:r>
      <w:r>
        <w:rPr>
          <w:spacing w:val="-5"/>
          <w:w w:val="105"/>
          <w:sz w:val="21"/>
        </w:rPr>
        <w:t>will-maker </w:t>
      </w:r>
      <w:r>
        <w:rPr>
          <w:spacing w:val="-4"/>
          <w:w w:val="105"/>
          <w:sz w:val="21"/>
        </w:rPr>
        <w:t>dies. Such </w:t>
      </w:r>
      <w:r>
        <w:rPr>
          <w:w w:val="105"/>
          <w:sz w:val="21"/>
        </w:rPr>
        <w:t>a </w:t>
      </w:r>
      <w:r>
        <w:rPr>
          <w:spacing w:val="-5"/>
          <w:w w:val="105"/>
          <w:sz w:val="21"/>
        </w:rPr>
        <w:t>provision </w:t>
      </w:r>
      <w:r>
        <w:rPr>
          <w:spacing w:val="-3"/>
          <w:w w:val="105"/>
          <w:sz w:val="21"/>
        </w:rPr>
        <w:t>exists in </w:t>
      </w:r>
      <w:r>
        <w:rPr>
          <w:w w:val="105"/>
          <w:sz w:val="21"/>
        </w:rPr>
        <w:t>New </w:t>
      </w:r>
      <w:r>
        <w:rPr>
          <w:spacing w:val="-3"/>
          <w:w w:val="105"/>
          <w:sz w:val="21"/>
        </w:rPr>
        <w:t>South</w:t>
      </w:r>
      <w:r>
        <w:rPr>
          <w:spacing w:val="8"/>
          <w:w w:val="105"/>
          <w:sz w:val="21"/>
        </w:rPr>
        <w:t> </w:t>
      </w:r>
      <w:r>
        <w:rPr>
          <w:spacing w:val="-5"/>
          <w:w w:val="105"/>
          <w:sz w:val="21"/>
        </w:rPr>
        <w:t>Wales.</w:t>
      </w:r>
    </w:p>
    <w:p>
      <w:pPr>
        <w:pStyle w:val="ListParagraph"/>
        <w:numPr>
          <w:ilvl w:val="0"/>
          <w:numId w:val="5"/>
        </w:numPr>
        <w:tabs>
          <w:tab w:pos="1928" w:val="left" w:leader="none"/>
        </w:tabs>
        <w:spacing w:line="242" w:lineRule="auto" w:before="128" w:after="0"/>
        <w:ind w:left="1927" w:right="1909" w:hanging="340"/>
        <w:jc w:val="left"/>
        <w:rPr>
          <w:sz w:val="21"/>
        </w:rPr>
      </w:pPr>
      <w:r>
        <w:rPr>
          <w:w w:val="105"/>
          <w:sz w:val="21"/>
        </w:rPr>
        <w:t>The </w:t>
      </w:r>
      <w:r>
        <w:rPr>
          <w:spacing w:val="-3"/>
          <w:w w:val="105"/>
          <w:sz w:val="21"/>
        </w:rPr>
        <w:t>Commission considered </w:t>
      </w:r>
      <w:r>
        <w:rPr>
          <w:w w:val="105"/>
          <w:sz w:val="21"/>
        </w:rPr>
        <w:t>two other </w:t>
      </w:r>
      <w:r>
        <w:rPr>
          <w:spacing w:val="-3"/>
          <w:w w:val="105"/>
          <w:sz w:val="21"/>
        </w:rPr>
        <w:t>recommendations </w:t>
      </w:r>
      <w:r>
        <w:rPr>
          <w:w w:val="105"/>
          <w:sz w:val="21"/>
        </w:rPr>
        <w:t>of the </w:t>
      </w:r>
      <w:r>
        <w:rPr>
          <w:spacing w:val="-3"/>
          <w:w w:val="105"/>
          <w:sz w:val="21"/>
        </w:rPr>
        <w:t>National Committee for Uniform Succession </w:t>
      </w:r>
      <w:r>
        <w:rPr>
          <w:w w:val="105"/>
          <w:sz w:val="21"/>
        </w:rPr>
        <w:t>Laws </w:t>
      </w:r>
      <w:r>
        <w:rPr>
          <w:spacing w:val="-3"/>
          <w:w w:val="105"/>
          <w:sz w:val="21"/>
        </w:rPr>
        <w:t>concerning family provision applications </w:t>
      </w:r>
      <w:r>
        <w:rPr>
          <w:w w:val="105"/>
          <w:sz w:val="21"/>
        </w:rPr>
        <w:t>but does </w:t>
      </w:r>
      <w:r>
        <w:rPr>
          <w:spacing w:val="-2"/>
          <w:w w:val="105"/>
          <w:sz w:val="21"/>
        </w:rPr>
        <w:t>not </w:t>
      </w:r>
      <w:r>
        <w:rPr>
          <w:spacing w:val="-3"/>
          <w:w w:val="105"/>
          <w:sz w:val="21"/>
        </w:rPr>
        <w:t>recommend that </w:t>
      </w:r>
      <w:r>
        <w:rPr>
          <w:w w:val="105"/>
          <w:sz w:val="21"/>
        </w:rPr>
        <w:t>they be adopted in</w:t>
      </w:r>
      <w:r>
        <w:rPr>
          <w:spacing w:val="27"/>
          <w:w w:val="105"/>
          <w:sz w:val="21"/>
        </w:rPr>
        <w:t> </w:t>
      </w:r>
      <w:r>
        <w:rPr>
          <w:w w:val="105"/>
          <w:sz w:val="21"/>
        </w:rPr>
        <w:t>Victoria.</w:t>
      </w:r>
    </w:p>
    <w:p>
      <w:pPr>
        <w:pStyle w:val="ListParagraph"/>
        <w:numPr>
          <w:ilvl w:val="0"/>
          <w:numId w:val="5"/>
        </w:numPr>
        <w:tabs>
          <w:tab w:pos="1928" w:val="left" w:leader="none"/>
        </w:tabs>
        <w:spacing w:line="242" w:lineRule="auto" w:before="123" w:after="0"/>
        <w:ind w:left="1927" w:right="1654" w:hanging="340"/>
        <w:jc w:val="left"/>
        <w:rPr>
          <w:sz w:val="21"/>
        </w:rPr>
      </w:pPr>
      <w:r>
        <w:rPr>
          <w:sz w:val="21"/>
        </w:rPr>
        <w:t>The first </w:t>
      </w:r>
      <w:r>
        <w:rPr>
          <w:spacing w:val="-3"/>
          <w:sz w:val="21"/>
        </w:rPr>
        <w:t>recommendation </w:t>
      </w:r>
      <w:r>
        <w:rPr>
          <w:sz w:val="21"/>
        </w:rPr>
        <w:t>was </w:t>
      </w:r>
      <w:r>
        <w:rPr>
          <w:spacing w:val="-3"/>
          <w:sz w:val="21"/>
        </w:rPr>
        <w:t>to introduce notional </w:t>
      </w:r>
      <w:r>
        <w:rPr>
          <w:sz w:val="21"/>
        </w:rPr>
        <w:t>estate </w:t>
      </w:r>
      <w:r>
        <w:rPr>
          <w:spacing w:val="-3"/>
          <w:sz w:val="21"/>
        </w:rPr>
        <w:t>provisions, </w:t>
      </w:r>
      <w:r>
        <w:rPr>
          <w:sz w:val="21"/>
        </w:rPr>
        <w:t>as in New South </w:t>
      </w:r>
      <w:r>
        <w:rPr>
          <w:spacing w:val="-3"/>
          <w:sz w:val="21"/>
        </w:rPr>
        <w:t>Wales legislation. </w:t>
      </w:r>
      <w:r>
        <w:rPr>
          <w:sz w:val="21"/>
        </w:rPr>
        <w:t>Notional estate </w:t>
      </w:r>
      <w:r>
        <w:rPr>
          <w:spacing w:val="-3"/>
          <w:sz w:val="21"/>
        </w:rPr>
        <w:t>provisions allow </w:t>
      </w:r>
      <w:r>
        <w:rPr>
          <w:sz w:val="21"/>
        </w:rPr>
        <w:t>certain property </w:t>
      </w:r>
      <w:r>
        <w:rPr>
          <w:spacing w:val="-3"/>
          <w:sz w:val="21"/>
        </w:rPr>
        <w:t>that </w:t>
      </w:r>
      <w:r>
        <w:rPr>
          <w:sz w:val="21"/>
        </w:rPr>
        <w:t>is </w:t>
      </w:r>
      <w:r>
        <w:rPr>
          <w:spacing w:val="-2"/>
          <w:sz w:val="21"/>
        </w:rPr>
        <w:t>not </w:t>
      </w:r>
      <w:r>
        <w:rPr>
          <w:sz w:val="21"/>
        </w:rPr>
        <w:t>part of the deceased </w:t>
      </w:r>
      <w:r>
        <w:rPr>
          <w:spacing w:val="-3"/>
          <w:sz w:val="21"/>
        </w:rPr>
        <w:t>person’s </w:t>
      </w:r>
      <w:r>
        <w:rPr>
          <w:sz w:val="21"/>
        </w:rPr>
        <w:t>estate </w:t>
      </w:r>
      <w:r>
        <w:rPr>
          <w:spacing w:val="-3"/>
          <w:sz w:val="21"/>
        </w:rPr>
        <w:t>to </w:t>
      </w:r>
      <w:r>
        <w:rPr>
          <w:sz w:val="21"/>
        </w:rPr>
        <w:t>be used </w:t>
      </w:r>
      <w:r>
        <w:rPr>
          <w:spacing w:val="-3"/>
          <w:sz w:val="21"/>
        </w:rPr>
        <w:t>to </w:t>
      </w:r>
      <w:r>
        <w:rPr>
          <w:sz w:val="21"/>
        </w:rPr>
        <w:t>satisfy a </w:t>
      </w:r>
      <w:r>
        <w:rPr>
          <w:spacing w:val="-3"/>
          <w:sz w:val="21"/>
        </w:rPr>
        <w:t>successful family provision  claim  </w:t>
      </w:r>
      <w:r>
        <w:rPr>
          <w:sz w:val="21"/>
        </w:rPr>
        <w:t>or  </w:t>
      </w:r>
      <w:r>
        <w:rPr>
          <w:spacing w:val="-2"/>
          <w:sz w:val="21"/>
        </w:rPr>
        <w:t>pay  </w:t>
      </w:r>
      <w:r>
        <w:rPr>
          <w:sz w:val="21"/>
        </w:rPr>
        <w:t>the  costs  of </w:t>
      </w:r>
      <w:r>
        <w:rPr>
          <w:spacing w:val="-3"/>
          <w:sz w:val="21"/>
        </w:rPr>
        <w:t>family provision proceedings. </w:t>
      </w:r>
      <w:r>
        <w:rPr>
          <w:sz w:val="21"/>
        </w:rPr>
        <w:t>The </w:t>
      </w:r>
      <w:r>
        <w:rPr>
          <w:spacing w:val="-3"/>
          <w:sz w:val="21"/>
        </w:rPr>
        <w:t>National Committee </w:t>
      </w:r>
      <w:r>
        <w:rPr>
          <w:sz w:val="21"/>
        </w:rPr>
        <w:t>recommended them </w:t>
      </w:r>
      <w:r>
        <w:rPr>
          <w:spacing w:val="-3"/>
          <w:sz w:val="21"/>
        </w:rPr>
        <w:t>to discourage </w:t>
      </w:r>
      <w:r>
        <w:rPr>
          <w:sz w:val="21"/>
        </w:rPr>
        <w:t>will- </w:t>
      </w:r>
      <w:r>
        <w:rPr>
          <w:spacing w:val="-3"/>
          <w:sz w:val="21"/>
        </w:rPr>
        <w:t>makers from disposing </w:t>
      </w:r>
      <w:r>
        <w:rPr>
          <w:sz w:val="21"/>
        </w:rPr>
        <w:t>of their property </w:t>
      </w:r>
      <w:r>
        <w:rPr>
          <w:spacing w:val="-3"/>
          <w:sz w:val="21"/>
        </w:rPr>
        <w:t>during </w:t>
      </w:r>
      <w:r>
        <w:rPr>
          <w:sz w:val="21"/>
        </w:rPr>
        <w:t>their </w:t>
      </w:r>
      <w:r>
        <w:rPr>
          <w:spacing w:val="-3"/>
          <w:sz w:val="21"/>
        </w:rPr>
        <w:t>lifetime  </w:t>
      </w:r>
      <w:r>
        <w:rPr>
          <w:sz w:val="21"/>
        </w:rPr>
        <w:t>in order </w:t>
      </w:r>
      <w:r>
        <w:rPr>
          <w:spacing w:val="-3"/>
          <w:sz w:val="21"/>
        </w:rPr>
        <w:t>to</w:t>
      </w:r>
      <w:r>
        <w:rPr>
          <w:spacing w:val="41"/>
          <w:sz w:val="21"/>
        </w:rPr>
        <w:t> </w:t>
      </w:r>
      <w:r>
        <w:rPr>
          <w:spacing w:val="-3"/>
          <w:sz w:val="21"/>
        </w:rPr>
        <w:t>frustrate  </w:t>
      </w:r>
      <w:r>
        <w:rPr>
          <w:sz w:val="21"/>
        </w:rPr>
        <w:t>the operation of </w:t>
      </w:r>
      <w:r>
        <w:rPr>
          <w:spacing w:val="-3"/>
          <w:sz w:val="21"/>
        </w:rPr>
        <w:t>family provision </w:t>
      </w:r>
      <w:r>
        <w:rPr>
          <w:sz w:val="21"/>
        </w:rPr>
        <w:t>laws. </w:t>
      </w:r>
      <w:r>
        <w:rPr>
          <w:spacing w:val="-4"/>
          <w:sz w:val="21"/>
        </w:rPr>
        <w:t>However, </w:t>
      </w:r>
      <w:r>
        <w:rPr>
          <w:sz w:val="21"/>
        </w:rPr>
        <w:t>in the absence  of  </w:t>
      </w:r>
      <w:r>
        <w:rPr>
          <w:spacing w:val="-3"/>
          <w:sz w:val="21"/>
        </w:rPr>
        <w:t>any  </w:t>
      </w:r>
      <w:r>
        <w:rPr>
          <w:sz w:val="21"/>
        </w:rPr>
        <w:t>evidence  </w:t>
      </w:r>
      <w:r>
        <w:rPr>
          <w:spacing w:val="-3"/>
          <w:sz w:val="21"/>
        </w:rPr>
        <w:t>that  notional  </w:t>
      </w:r>
      <w:r>
        <w:rPr>
          <w:sz w:val="21"/>
        </w:rPr>
        <w:t>estate </w:t>
      </w:r>
      <w:r>
        <w:rPr>
          <w:spacing w:val="-3"/>
          <w:sz w:val="21"/>
        </w:rPr>
        <w:t>provisions achieve </w:t>
      </w:r>
      <w:r>
        <w:rPr>
          <w:sz w:val="21"/>
        </w:rPr>
        <w:t>this purpose in New South </w:t>
      </w:r>
      <w:r>
        <w:rPr>
          <w:spacing w:val="-3"/>
          <w:sz w:val="21"/>
        </w:rPr>
        <w:t>Wales, </w:t>
      </w:r>
      <w:r>
        <w:rPr>
          <w:sz w:val="21"/>
        </w:rPr>
        <w:t>or </w:t>
      </w:r>
      <w:r>
        <w:rPr>
          <w:spacing w:val="-3"/>
          <w:sz w:val="21"/>
        </w:rPr>
        <w:t>that </w:t>
      </w:r>
      <w:r>
        <w:rPr>
          <w:sz w:val="21"/>
        </w:rPr>
        <w:t>they </w:t>
      </w:r>
      <w:r>
        <w:rPr>
          <w:spacing w:val="-3"/>
          <w:sz w:val="21"/>
        </w:rPr>
        <w:t>are </w:t>
      </w:r>
      <w:r>
        <w:rPr>
          <w:sz w:val="21"/>
        </w:rPr>
        <w:t>needed in Victoria, the </w:t>
      </w:r>
      <w:r>
        <w:rPr>
          <w:spacing w:val="-3"/>
          <w:sz w:val="21"/>
        </w:rPr>
        <w:t>Commission </w:t>
      </w:r>
      <w:r>
        <w:rPr>
          <w:sz w:val="21"/>
        </w:rPr>
        <w:t>does </w:t>
      </w:r>
      <w:r>
        <w:rPr>
          <w:spacing w:val="-2"/>
          <w:sz w:val="21"/>
        </w:rPr>
        <w:t>not </w:t>
      </w:r>
      <w:r>
        <w:rPr>
          <w:spacing w:val="-3"/>
          <w:sz w:val="21"/>
        </w:rPr>
        <w:t>recommend </w:t>
      </w:r>
      <w:r>
        <w:rPr>
          <w:sz w:val="21"/>
        </w:rPr>
        <w:t>their</w:t>
      </w:r>
      <w:r>
        <w:rPr>
          <w:spacing w:val="-30"/>
          <w:sz w:val="21"/>
        </w:rPr>
        <w:t> </w:t>
      </w:r>
      <w:r>
        <w:rPr>
          <w:spacing w:val="-3"/>
          <w:sz w:val="21"/>
        </w:rPr>
        <w:t>introduction.</w:t>
      </w:r>
    </w:p>
    <w:p>
      <w:pPr>
        <w:pStyle w:val="BodyText"/>
        <w:spacing w:before="1"/>
        <w:rPr>
          <w:sz w:val="18"/>
        </w:rPr>
      </w:pPr>
    </w:p>
    <w:p>
      <w:pPr>
        <w:spacing w:before="0"/>
        <w:ind w:left="720" w:right="0" w:firstLine="0"/>
        <w:jc w:val="left"/>
        <w:rPr>
          <w:b/>
          <w:sz w:val="24"/>
        </w:rPr>
      </w:pPr>
      <w:r>
        <w:rPr>
          <w:b/>
          <w:color w:val="EC5A4F"/>
          <w:w w:val="115"/>
          <w:sz w:val="24"/>
        </w:rPr>
        <w:t>xviii</w:t>
      </w:r>
    </w:p>
    <w:p>
      <w:pPr>
        <w:spacing w:after="0"/>
        <w:jc w:val="left"/>
        <w:rPr>
          <w:sz w:val="24"/>
        </w:rPr>
        <w:sectPr>
          <w:pgSz w:w="11910" w:h="16840"/>
          <w:pgMar w:header="1372" w:footer="0" w:top="1560" w:bottom="280" w:left="0" w:right="0"/>
        </w:sectPr>
      </w:pPr>
    </w:p>
    <w:p>
      <w:pPr>
        <w:pStyle w:val="BodyText"/>
        <w:spacing w:before="9"/>
        <w:rPr>
          <w:b/>
          <w:sz w:val="22"/>
        </w:rPr>
      </w:pPr>
    </w:p>
    <w:p>
      <w:pPr>
        <w:pStyle w:val="ListParagraph"/>
        <w:numPr>
          <w:ilvl w:val="0"/>
          <w:numId w:val="6"/>
        </w:numPr>
        <w:tabs>
          <w:tab w:pos="1928" w:val="left" w:leader="none"/>
        </w:tabs>
        <w:spacing w:line="242" w:lineRule="auto" w:before="92" w:after="0"/>
        <w:ind w:left="1927" w:right="1683" w:hanging="340"/>
        <w:jc w:val="left"/>
        <w:rPr>
          <w:sz w:val="21"/>
        </w:rPr>
      </w:pPr>
      <w:r>
        <w:rPr>
          <w:w w:val="105"/>
          <w:sz w:val="21"/>
        </w:rPr>
        <w:t>The second </w:t>
      </w:r>
      <w:r>
        <w:rPr>
          <w:spacing w:val="-3"/>
          <w:w w:val="105"/>
          <w:sz w:val="21"/>
        </w:rPr>
        <w:t>National Committee recommendation that </w:t>
      </w:r>
      <w:r>
        <w:rPr>
          <w:w w:val="105"/>
          <w:sz w:val="21"/>
        </w:rPr>
        <w:t>the </w:t>
      </w:r>
      <w:r>
        <w:rPr>
          <w:spacing w:val="-3"/>
          <w:w w:val="105"/>
          <w:sz w:val="21"/>
        </w:rPr>
        <w:t>Commission </w:t>
      </w:r>
      <w:r>
        <w:rPr>
          <w:w w:val="105"/>
          <w:sz w:val="21"/>
        </w:rPr>
        <w:t>does </w:t>
      </w:r>
      <w:r>
        <w:rPr>
          <w:spacing w:val="-2"/>
          <w:w w:val="105"/>
          <w:sz w:val="21"/>
        </w:rPr>
        <w:t>not </w:t>
      </w:r>
      <w:r>
        <w:rPr>
          <w:w w:val="105"/>
          <w:sz w:val="21"/>
        </w:rPr>
        <w:t>support is </w:t>
      </w:r>
      <w:r>
        <w:rPr>
          <w:spacing w:val="-3"/>
          <w:w w:val="105"/>
          <w:sz w:val="21"/>
        </w:rPr>
        <w:t>that </w:t>
      </w:r>
      <w:r>
        <w:rPr>
          <w:w w:val="105"/>
          <w:sz w:val="21"/>
        </w:rPr>
        <w:t>an application </w:t>
      </w:r>
      <w:r>
        <w:rPr>
          <w:spacing w:val="-3"/>
          <w:w w:val="105"/>
          <w:sz w:val="21"/>
        </w:rPr>
        <w:t>for family provision </w:t>
      </w:r>
      <w:r>
        <w:rPr>
          <w:w w:val="105"/>
          <w:sz w:val="21"/>
        </w:rPr>
        <w:t>should be able </w:t>
      </w:r>
      <w:r>
        <w:rPr>
          <w:spacing w:val="-3"/>
          <w:w w:val="105"/>
          <w:sz w:val="21"/>
        </w:rPr>
        <w:t>to </w:t>
      </w:r>
      <w:r>
        <w:rPr>
          <w:w w:val="105"/>
          <w:sz w:val="21"/>
        </w:rPr>
        <w:t>be made up </w:t>
      </w:r>
      <w:r>
        <w:rPr>
          <w:spacing w:val="-3"/>
          <w:w w:val="105"/>
          <w:sz w:val="21"/>
        </w:rPr>
        <w:t>to </w:t>
      </w:r>
      <w:r>
        <w:rPr>
          <w:spacing w:val="-9"/>
          <w:w w:val="105"/>
          <w:sz w:val="21"/>
        </w:rPr>
        <w:t>12 </w:t>
      </w:r>
      <w:r>
        <w:rPr>
          <w:spacing w:val="-3"/>
          <w:w w:val="105"/>
          <w:sz w:val="21"/>
        </w:rPr>
        <w:t>months </w:t>
      </w:r>
      <w:r>
        <w:rPr>
          <w:w w:val="105"/>
          <w:sz w:val="21"/>
        </w:rPr>
        <w:t>after the </w:t>
      </w:r>
      <w:r>
        <w:rPr>
          <w:spacing w:val="-3"/>
          <w:w w:val="105"/>
          <w:sz w:val="21"/>
        </w:rPr>
        <w:t>date</w:t>
      </w:r>
      <w:r>
        <w:rPr>
          <w:spacing w:val="-5"/>
          <w:w w:val="105"/>
          <w:sz w:val="21"/>
        </w:rPr>
        <w:t> </w:t>
      </w:r>
      <w:r>
        <w:rPr>
          <w:w w:val="105"/>
          <w:sz w:val="21"/>
        </w:rPr>
        <w:t>of</w:t>
      </w:r>
      <w:r>
        <w:rPr>
          <w:spacing w:val="-5"/>
          <w:w w:val="105"/>
          <w:sz w:val="21"/>
        </w:rPr>
        <w:t> </w:t>
      </w:r>
      <w:r>
        <w:rPr>
          <w:w w:val="105"/>
          <w:sz w:val="21"/>
        </w:rPr>
        <w:t>the</w:t>
      </w:r>
      <w:r>
        <w:rPr>
          <w:spacing w:val="-5"/>
          <w:w w:val="105"/>
          <w:sz w:val="21"/>
        </w:rPr>
        <w:t> </w:t>
      </w:r>
      <w:r>
        <w:rPr>
          <w:w w:val="105"/>
          <w:sz w:val="21"/>
        </w:rPr>
        <w:t>deceased</w:t>
      </w:r>
      <w:r>
        <w:rPr>
          <w:spacing w:val="-5"/>
          <w:w w:val="105"/>
          <w:sz w:val="21"/>
        </w:rPr>
        <w:t> </w:t>
      </w:r>
      <w:r>
        <w:rPr>
          <w:spacing w:val="-3"/>
          <w:w w:val="105"/>
          <w:sz w:val="21"/>
        </w:rPr>
        <w:t>person’s</w:t>
      </w:r>
      <w:r>
        <w:rPr>
          <w:spacing w:val="-5"/>
          <w:w w:val="105"/>
          <w:sz w:val="21"/>
        </w:rPr>
        <w:t> </w:t>
      </w:r>
      <w:r>
        <w:rPr>
          <w:spacing w:val="-3"/>
          <w:w w:val="105"/>
          <w:sz w:val="21"/>
        </w:rPr>
        <w:t>death.</w:t>
      </w:r>
      <w:r>
        <w:rPr>
          <w:spacing w:val="-5"/>
          <w:w w:val="105"/>
          <w:sz w:val="21"/>
        </w:rPr>
        <w:t> </w:t>
      </w:r>
      <w:r>
        <w:rPr>
          <w:w w:val="105"/>
          <w:sz w:val="21"/>
        </w:rPr>
        <w:t>The</w:t>
      </w:r>
      <w:r>
        <w:rPr>
          <w:spacing w:val="-5"/>
          <w:w w:val="105"/>
          <w:sz w:val="21"/>
        </w:rPr>
        <w:t> </w:t>
      </w:r>
      <w:r>
        <w:rPr>
          <w:w w:val="105"/>
          <w:sz w:val="21"/>
        </w:rPr>
        <w:t>time</w:t>
      </w:r>
      <w:r>
        <w:rPr>
          <w:spacing w:val="-5"/>
          <w:w w:val="105"/>
          <w:sz w:val="21"/>
        </w:rPr>
        <w:t> </w:t>
      </w:r>
      <w:r>
        <w:rPr>
          <w:spacing w:val="-3"/>
          <w:w w:val="105"/>
          <w:sz w:val="21"/>
        </w:rPr>
        <w:t>limit</w:t>
      </w:r>
      <w:r>
        <w:rPr>
          <w:spacing w:val="-5"/>
          <w:w w:val="105"/>
          <w:sz w:val="21"/>
        </w:rPr>
        <w:t> </w:t>
      </w:r>
      <w:r>
        <w:rPr>
          <w:spacing w:val="-3"/>
          <w:w w:val="105"/>
          <w:sz w:val="21"/>
        </w:rPr>
        <w:t>within</w:t>
      </w:r>
      <w:r>
        <w:rPr>
          <w:spacing w:val="-5"/>
          <w:w w:val="105"/>
          <w:sz w:val="21"/>
        </w:rPr>
        <w:t> </w:t>
      </w:r>
      <w:r>
        <w:rPr>
          <w:w w:val="105"/>
          <w:sz w:val="21"/>
        </w:rPr>
        <w:t>Victoria</w:t>
      </w:r>
      <w:r>
        <w:rPr>
          <w:spacing w:val="-5"/>
          <w:w w:val="105"/>
          <w:sz w:val="21"/>
        </w:rPr>
        <w:t> </w:t>
      </w:r>
      <w:r>
        <w:rPr>
          <w:w w:val="105"/>
          <w:sz w:val="21"/>
        </w:rPr>
        <w:t>is</w:t>
      </w:r>
      <w:r>
        <w:rPr>
          <w:spacing w:val="-4"/>
          <w:w w:val="105"/>
          <w:sz w:val="21"/>
        </w:rPr>
        <w:t> </w:t>
      </w:r>
      <w:r>
        <w:rPr>
          <w:w w:val="105"/>
          <w:sz w:val="21"/>
        </w:rPr>
        <w:t>six</w:t>
      </w:r>
      <w:r>
        <w:rPr>
          <w:spacing w:val="-5"/>
          <w:w w:val="105"/>
          <w:sz w:val="21"/>
        </w:rPr>
        <w:t> </w:t>
      </w:r>
      <w:r>
        <w:rPr>
          <w:spacing w:val="-3"/>
          <w:w w:val="105"/>
          <w:sz w:val="21"/>
        </w:rPr>
        <w:t>months</w:t>
      </w:r>
      <w:r>
        <w:rPr>
          <w:spacing w:val="-5"/>
          <w:w w:val="105"/>
          <w:sz w:val="21"/>
        </w:rPr>
        <w:t> </w:t>
      </w:r>
      <w:r>
        <w:rPr>
          <w:spacing w:val="-3"/>
          <w:w w:val="105"/>
          <w:sz w:val="21"/>
        </w:rPr>
        <w:t>from</w:t>
      </w:r>
      <w:r>
        <w:rPr>
          <w:spacing w:val="-5"/>
          <w:w w:val="105"/>
          <w:sz w:val="21"/>
        </w:rPr>
        <w:t> </w:t>
      </w:r>
      <w:r>
        <w:rPr>
          <w:w w:val="105"/>
          <w:sz w:val="21"/>
        </w:rPr>
        <w:t>the</w:t>
      </w:r>
      <w:r>
        <w:rPr>
          <w:spacing w:val="-5"/>
          <w:w w:val="105"/>
          <w:sz w:val="21"/>
        </w:rPr>
        <w:t> </w:t>
      </w:r>
      <w:r>
        <w:rPr>
          <w:spacing w:val="-3"/>
          <w:w w:val="105"/>
          <w:sz w:val="21"/>
        </w:rPr>
        <w:t>date </w:t>
      </w:r>
      <w:r>
        <w:rPr>
          <w:w w:val="105"/>
          <w:sz w:val="21"/>
        </w:rPr>
        <w:t>of the </w:t>
      </w:r>
      <w:r>
        <w:rPr>
          <w:spacing w:val="-3"/>
          <w:w w:val="105"/>
          <w:sz w:val="21"/>
        </w:rPr>
        <w:t>grant </w:t>
      </w:r>
      <w:r>
        <w:rPr>
          <w:w w:val="105"/>
          <w:sz w:val="21"/>
        </w:rPr>
        <w:t>of </w:t>
      </w:r>
      <w:r>
        <w:rPr>
          <w:spacing w:val="-3"/>
          <w:w w:val="105"/>
          <w:sz w:val="21"/>
        </w:rPr>
        <w:t>representation. </w:t>
      </w:r>
      <w:r>
        <w:rPr>
          <w:w w:val="105"/>
          <w:sz w:val="21"/>
        </w:rPr>
        <w:t>Some </w:t>
      </w:r>
      <w:r>
        <w:rPr>
          <w:spacing w:val="-3"/>
          <w:w w:val="105"/>
          <w:sz w:val="21"/>
        </w:rPr>
        <w:t>submissions </w:t>
      </w:r>
      <w:r>
        <w:rPr>
          <w:w w:val="105"/>
          <w:sz w:val="21"/>
        </w:rPr>
        <w:t>supported extending the time </w:t>
      </w:r>
      <w:r>
        <w:rPr>
          <w:spacing w:val="-3"/>
          <w:w w:val="105"/>
          <w:sz w:val="21"/>
        </w:rPr>
        <w:t>limit; </w:t>
      </w:r>
      <w:r>
        <w:rPr>
          <w:w w:val="105"/>
          <w:sz w:val="21"/>
        </w:rPr>
        <w:t>others argued </w:t>
      </w:r>
      <w:r>
        <w:rPr>
          <w:spacing w:val="-3"/>
          <w:w w:val="105"/>
          <w:sz w:val="21"/>
        </w:rPr>
        <w:t>that </w:t>
      </w:r>
      <w:r>
        <w:rPr>
          <w:w w:val="105"/>
          <w:sz w:val="21"/>
        </w:rPr>
        <w:t>it is </w:t>
      </w:r>
      <w:r>
        <w:rPr>
          <w:spacing w:val="-3"/>
          <w:w w:val="105"/>
          <w:sz w:val="21"/>
        </w:rPr>
        <w:t>already </w:t>
      </w:r>
      <w:r>
        <w:rPr>
          <w:w w:val="105"/>
          <w:sz w:val="21"/>
        </w:rPr>
        <w:t>too </w:t>
      </w:r>
      <w:r>
        <w:rPr>
          <w:spacing w:val="-3"/>
          <w:w w:val="105"/>
          <w:sz w:val="21"/>
        </w:rPr>
        <w:t>long. </w:t>
      </w:r>
      <w:r>
        <w:rPr>
          <w:w w:val="105"/>
          <w:sz w:val="21"/>
        </w:rPr>
        <w:t>On </w:t>
      </w:r>
      <w:r>
        <w:rPr>
          <w:spacing w:val="-3"/>
          <w:w w:val="105"/>
          <w:sz w:val="21"/>
        </w:rPr>
        <w:t>balance, </w:t>
      </w:r>
      <w:r>
        <w:rPr>
          <w:w w:val="105"/>
          <w:sz w:val="21"/>
        </w:rPr>
        <w:t>the </w:t>
      </w:r>
      <w:r>
        <w:rPr>
          <w:spacing w:val="-3"/>
          <w:w w:val="105"/>
          <w:sz w:val="21"/>
        </w:rPr>
        <w:t>Commission </w:t>
      </w:r>
      <w:r>
        <w:rPr>
          <w:w w:val="105"/>
          <w:sz w:val="21"/>
        </w:rPr>
        <w:t>considers </w:t>
      </w:r>
      <w:r>
        <w:rPr>
          <w:spacing w:val="-3"/>
          <w:w w:val="105"/>
          <w:sz w:val="21"/>
        </w:rPr>
        <w:t>that </w:t>
      </w:r>
      <w:r>
        <w:rPr>
          <w:w w:val="105"/>
          <w:sz w:val="21"/>
        </w:rPr>
        <w:t>the</w:t>
      </w:r>
      <w:r>
        <w:rPr>
          <w:spacing w:val="24"/>
          <w:w w:val="105"/>
          <w:sz w:val="21"/>
        </w:rPr>
        <w:t> </w:t>
      </w:r>
      <w:r>
        <w:rPr>
          <w:spacing w:val="-3"/>
          <w:w w:val="105"/>
          <w:sz w:val="21"/>
        </w:rPr>
        <w:t>current</w:t>
      </w:r>
    </w:p>
    <w:p>
      <w:pPr>
        <w:pStyle w:val="BodyText"/>
        <w:spacing w:line="242" w:lineRule="auto" w:before="5"/>
        <w:ind w:left="1927" w:right="1619"/>
      </w:pPr>
      <w:r>
        <w:rPr/>
        <w:t>time limit strikes an appropriate balance between providing notice to interested persons and efficiency in distributing the estate.</w:t>
      </w:r>
    </w:p>
    <w:p>
      <w:pPr>
        <w:pStyle w:val="BodyText"/>
        <w:spacing w:before="9"/>
      </w:pPr>
    </w:p>
    <w:p>
      <w:pPr>
        <w:pStyle w:val="Heading4"/>
      </w:pPr>
      <w:r>
        <w:rPr>
          <w:color w:val="EC5A4F"/>
          <w:w w:val="110"/>
        </w:rPr>
        <w:t>Executors’ costs and commission</w:t>
      </w:r>
    </w:p>
    <w:p>
      <w:pPr>
        <w:pStyle w:val="Heading5"/>
        <w:spacing w:before="167"/>
      </w:pPr>
      <w:r>
        <w:rPr>
          <w:w w:val="115"/>
        </w:rPr>
        <w:t>Special rules for legal practitioner executors</w:t>
      </w:r>
    </w:p>
    <w:p>
      <w:pPr>
        <w:pStyle w:val="ListParagraph"/>
        <w:numPr>
          <w:ilvl w:val="0"/>
          <w:numId w:val="6"/>
        </w:numPr>
        <w:tabs>
          <w:tab w:pos="1928" w:val="left" w:leader="none"/>
        </w:tabs>
        <w:spacing w:line="242" w:lineRule="auto" w:before="137" w:after="0"/>
        <w:ind w:left="1927" w:right="1773" w:hanging="340"/>
        <w:jc w:val="left"/>
        <w:rPr>
          <w:sz w:val="21"/>
        </w:rPr>
      </w:pPr>
      <w:r>
        <w:rPr>
          <w:sz w:val="21"/>
        </w:rPr>
        <w:t>There </w:t>
      </w:r>
      <w:r>
        <w:rPr>
          <w:spacing w:val="-3"/>
          <w:sz w:val="21"/>
        </w:rPr>
        <w:t>are </w:t>
      </w:r>
      <w:r>
        <w:rPr>
          <w:spacing w:val="-2"/>
          <w:sz w:val="21"/>
        </w:rPr>
        <w:t>cogent </w:t>
      </w:r>
      <w:r>
        <w:rPr>
          <w:spacing w:val="-3"/>
          <w:sz w:val="21"/>
        </w:rPr>
        <w:t>reasons </w:t>
      </w:r>
      <w:r>
        <w:rPr>
          <w:sz w:val="21"/>
        </w:rPr>
        <w:t>why legal practitioners </w:t>
      </w:r>
      <w:r>
        <w:rPr>
          <w:spacing w:val="-3"/>
          <w:sz w:val="21"/>
        </w:rPr>
        <w:t>are appointed </w:t>
      </w:r>
      <w:r>
        <w:rPr>
          <w:sz w:val="21"/>
        </w:rPr>
        <w:t>as executors, and it is in the </w:t>
      </w:r>
      <w:r>
        <w:rPr>
          <w:spacing w:val="-3"/>
          <w:sz w:val="21"/>
        </w:rPr>
        <w:t>community’s interest that </w:t>
      </w:r>
      <w:r>
        <w:rPr>
          <w:sz w:val="21"/>
        </w:rPr>
        <w:t>they </w:t>
      </w:r>
      <w:r>
        <w:rPr>
          <w:spacing w:val="-3"/>
          <w:sz w:val="21"/>
        </w:rPr>
        <w:t>continue to </w:t>
      </w:r>
      <w:r>
        <w:rPr>
          <w:sz w:val="21"/>
        </w:rPr>
        <w:t>provide </w:t>
      </w:r>
      <w:r>
        <w:rPr>
          <w:spacing w:val="-3"/>
          <w:sz w:val="21"/>
        </w:rPr>
        <w:t>executorial </w:t>
      </w:r>
      <w:r>
        <w:rPr>
          <w:sz w:val="21"/>
        </w:rPr>
        <w:t>services. Most act in the best interests of will-makers and beneficiaries, as is their </w:t>
      </w:r>
      <w:r>
        <w:rPr>
          <w:spacing w:val="-3"/>
          <w:sz w:val="21"/>
        </w:rPr>
        <w:t>duty, </w:t>
      </w:r>
      <w:r>
        <w:rPr>
          <w:sz w:val="21"/>
        </w:rPr>
        <w:t>but there is persistent </w:t>
      </w:r>
      <w:r>
        <w:rPr>
          <w:spacing w:val="-3"/>
          <w:sz w:val="21"/>
        </w:rPr>
        <w:t>concern that </w:t>
      </w:r>
      <w:r>
        <w:rPr>
          <w:sz w:val="21"/>
        </w:rPr>
        <w:t>legal practitioner executors who also provide legal services </w:t>
      </w:r>
      <w:r>
        <w:rPr>
          <w:spacing w:val="-3"/>
          <w:sz w:val="21"/>
        </w:rPr>
        <w:t>to  </w:t>
      </w:r>
      <w:r>
        <w:rPr>
          <w:sz w:val="21"/>
        </w:rPr>
        <w:t>the estate </w:t>
      </w:r>
      <w:r>
        <w:rPr>
          <w:spacing w:val="-3"/>
          <w:sz w:val="21"/>
        </w:rPr>
        <w:t>are</w:t>
      </w:r>
      <w:r>
        <w:rPr>
          <w:spacing w:val="41"/>
          <w:sz w:val="21"/>
        </w:rPr>
        <w:t> </w:t>
      </w:r>
      <w:r>
        <w:rPr>
          <w:spacing w:val="-3"/>
          <w:sz w:val="21"/>
        </w:rPr>
        <w:t>charging  </w:t>
      </w:r>
      <w:r>
        <w:rPr>
          <w:sz w:val="21"/>
        </w:rPr>
        <w:t>twice   </w:t>
      </w:r>
      <w:r>
        <w:rPr>
          <w:spacing w:val="-3"/>
          <w:sz w:val="21"/>
        </w:rPr>
        <w:t>for </w:t>
      </w:r>
      <w:r>
        <w:rPr>
          <w:sz w:val="21"/>
        </w:rPr>
        <w:t>some of the same services. The </w:t>
      </w:r>
      <w:r>
        <w:rPr>
          <w:spacing w:val="-3"/>
          <w:sz w:val="21"/>
        </w:rPr>
        <w:t>terms </w:t>
      </w:r>
      <w:r>
        <w:rPr>
          <w:sz w:val="21"/>
        </w:rPr>
        <w:t>of </w:t>
      </w:r>
      <w:r>
        <w:rPr>
          <w:spacing w:val="-3"/>
          <w:sz w:val="21"/>
        </w:rPr>
        <w:t>reference </w:t>
      </w:r>
      <w:r>
        <w:rPr>
          <w:sz w:val="21"/>
        </w:rPr>
        <w:t>ask the </w:t>
      </w:r>
      <w:r>
        <w:rPr>
          <w:spacing w:val="-3"/>
          <w:sz w:val="21"/>
        </w:rPr>
        <w:t>Commission to </w:t>
      </w:r>
      <w:r>
        <w:rPr>
          <w:sz w:val="21"/>
        </w:rPr>
        <w:t>review whether there should be special rules </w:t>
      </w:r>
      <w:r>
        <w:rPr>
          <w:spacing w:val="-3"/>
          <w:sz w:val="21"/>
        </w:rPr>
        <w:t>for </w:t>
      </w:r>
      <w:r>
        <w:rPr>
          <w:sz w:val="21"/>
        </w:rPr>
        <w:t>these</w:t>
      </w:r>
      <w:r>
        <w:rPr>
          <w:spacing w:val="13"/>
          <w:sz w:val="21"/>
        </w:rPr>
        <w:t> </w:t>
      </w:r>
      <w:r>
        <w:rPr>
          <w:sz w:val="21"/>
        </w:rPr>
        <w:t>executors.</w:t>
      </w:r>
    </w:p>
    <w:p>
      <w:pPr>
        <w:pStyle w:val="ListParagraph"/>
        <w:numPr>
          <w:ilvl w:val="0"/>
          <w:numId w:val="6"/>
        </w:numPr>
        <w:tabs>
          <w:tab w:pos="1928" w:val="left" w:leader="none"/>
        </w:tabs>
        <w:spacing w:line="242" w:lineRule="auto" w:before="127" w:after="0"/>
        <w:ind w:left="1927" w:right="1586" w:hanging="340"/>
        <w:jc w:val="left"/>
        <w:rPr>
          <w:sz w:val="21"/>
        </w:rPr>
      </w:pPr>
      <w:r>
        <w:rPr>
          <w:sz w:val="21"/>
        </w:rPr>
        <w:t>Although a </w:t>
      </w:r>
      <w:r>
        <w:rPr>
          <w:spacing w:val="-3"/>
          <w:sz w:val="21"/>
        </w:rPr>
        <w:t>will-maker  may  </w:t>
      </w:r>
      <w:r>
        <w:rPr>
          <w:sz w:val="21"/>
        </w:rPr>
        <w:t>select a legal practitioner as </w:t>
      </w:r>
      <w:r>
        <w:rPr>
          <w:spacing w:val="-3"/>
          <w:sz w:val="21"/>
        </w:rPr>
        <w:t>executor</w:t>
      </w:r>
      <w:r>
        <w:rPr>
          <w:spacing w:val="41"/>
          <w:sz w:val="21"/>
        </w:rPr>
        <w:t> </w:t>
      </w:r>
      <w:r>
        <w:rPr>
          <w:sz w:val="21"/>
        </w:rPr>
        <w:t>because of their legal </w:t>
      </w:r>
      <w:r>
        <w:rPr>
          <w:spacing w:val="-3"/>
          <w:sz w:val="21"/>
        </w:rPr>
        <w:t>skills     </w:t>
      </w:r>
      <w:r>
        <w:rPr>
          <w:sz w:val="21"/>
        </w:rPr>
        <w:t>and </w:t>
      </w:r>
      <w:r>
        <w:rPr>
          <w:spacing w:val="-3"/>
          <w:sz w:val="21"/>
        </w:rPr>
        <w:t>knowledge, </w:t>
      </w:r>
      <w:r>
        <w:rPr>
          <w:sz w:val="21"/>
        </w:rPr>
        <w:t>the </w:t>
      </w:r>
      <w:r>
        <w:rPr>
          <w:spacing w:val="-3"/>
          <w:sz w:val="21"/>
        </w:rPr>
        <w:t>provision </w:t>
      </w:r>
      <w:r>
        <w:rPr>
          <w:sz w:val="21"/>
        </w:rPr>
        <w:t>of </w:t>
      </w:r>
      <w:r>
        <w:rPr>
          <w:spacing w:val="-3"/>
          <w:sz w:val="21"/>
        </w:rPr>
        <w:t>executorial </w:t>
      </w:r>
      <w:r>
        <w:rPr>
          <w:sz w:val="21"/>
        </w:rPr>
        <w:t>services is </w:t>
      </w:r>
      <w:r>
        <w:rPr>
          <w:spacing w:val="-2"/>
          <w:sz w:val="21"/>
        </w:rPr>
        <w:t>not </w:t>
      </w:r>
      <w:r>
        <w:rPr>
          <w:spacing w:val="-3"/>
          <w:sz w:val="21"/>
        </w:rPr>
        <w:t>regulated  </w:t>
      </w:r>
      <w:r>
        <w:rPr>
          <w:sz w:val="21"/>
        </w:rPr>
        <w:t>under the </w:t>
      </w:r>
      <w:r>
        <w:rPr>
          <w:i/>
          <w:sz w:val="21"/>
        </w:rPr>
        <w:t>Legal </w:t>
      </w:r>
      <w:r>
        <w:rPr>
          <w:i/>
          <w:spacing w:val="-3"/>
          <w:sz w:val="21"/>
        </w:rPr>
        <w:t>Profession  </w:t>
      </w:r>
      <w:r>
        <w:rPr>
          <w:i/>
          <w:sz w:val="21"/>
        </w:rPr>
        <w:t>Act 2004 </w:t>
      </w:r>
      <w:r>
        <w:rPr>
          <w:sz w:val="21"/>
        </w:rPr>
        <w:t>(Vic), which </w:t>
      </w:r>
      <w:r>
        <w:rPr>
          <w:spacing w:val="-3"/>
          <w:sz w:val="21"/>
        </w:rPr>
        <w:t>regulates </w:t>
      </w:r>
      <w:r>
        <w:rPr>
          <w:sz w:val="21"/>
        </w:rPr>
        <w:t>the </w:t>
      </w:r>
      <w:r>
        <w:rPr>
          <w:spacing w:val="-3"/>
          <w:sz w:val="21"/>
        </w:rPr>
        <w:t>provision </w:t>
      </w:r>
      <w:r>
        <w:rPr>
          <w:sz w:val="21"/>
        </w:rPr>
        <w:t>of legal services by legal  practitioners  </w:t>
      </w:r>
      <w:r>
        <w:rPr>
          <w:spacing w:val="-3"/>
          <w:sz w:val="21"/>
        </w:rPr>
        <w:t>to  </w:t>
      </w:r>
      <w:r>
        <w:rPr>
          <w:sz w:val="21"/>
        </w:rPr>
        <w:t>their clients. An </w:t>
      </w:r>
      <w:r>
        <w:rPr>
          <w:spacing w:val="-3"/>
          <w:sz w:val="21"/>
        </w:rPr>
        <w:t>executor </w:t>
      </w:r>
      <w:r>
        <w:rPr>
          <w:spacing w:val="-2"/>
          <w:sz w:val="21"/>
        </w:rPr>
        <w:t>has </w:t>
      </w:r>
      <w:r>
        <w:rPr>
          <w:sz w:val="21"/>
        </w:rPr>
        <w:t>a duty </w:t>
      </w:r>
      <w:r>
        <w:rPr>
          <w:spacing w:val="-3"/>
          <w:sz w:val="21"/>
        </w:rPr>
        <w:t>to </w:t>
      </w:r>
      <w:r>
        <w:rPr>
          <w:sz w:val="21"/>
        </w:rPr>
        <w:t>act in the interests of the beneficiaries, but a</w:t>
      </w:r>
      <w:r>
        <w:rPr>
          <w:spacing w:val="23"/>
          <w:sz w:val="21"/>
        </w:rPr>
        <w:t> </w:t>
      </w:r>
      <w:r>
        <w:rPr>
          <w:sz w:val="21"/>
        </w:rPr>
        <w:t>beneficiary</w:t>
      </w:r>
    </w:p>
    <w:p>
      <w:pPr>
        <w:pStyle w:val="BodyText"/>
        <w:spacing w:line="242" w:lineRule="auto" w:before="4"/>
        <w:ind w:left="1927" w:right="1930"/>
      </w:pPr>
      <w:r>
        <w:rPr/>
        <w:t>is </w:t>
      </w:r>
      <w:r>
        <w:rPr>
          <w:spacing w:val="-2"/>
        </w:rPr>
        <w:t>not </w:t>
      </w:r>
      <w:r>
        <w:rPr/>
        <w:t>the </w:t>
      </w:r>
      <w:r>
        <w:rPr>
          <w:spacing w:val="-3"/>
        </w:rPr>
        <w:t>executor’s client. </w:t>
      </w:r>
      <w:r>
        <w:rPr/>
        <w:t>Most of the </w:t>
      </w:r>
      <w:r>
        <w:rPr>
          <w:spacing w:val="-3"/>
        </w:rPr>
        <w:t>safeguards, </w:t>
      </w:r>
      <w:r>
        <w:rPr/>
        <w:t>rights and </w:t>
      </w:r>
      <w:r>
        <w:rPr>
          <w:spacing w:val="-3"/>
        </w:rPr>
        <w:t>avenues for dispute </w:t>
      </w:r>
      <w:r>
        <w:rPr/>
        <w:t>resolution </w:t>
      </w:r>
      <w:r>
        <w:rPr>
          <w:spacing w:val="-3"/>
        </w:rPr>
        <w:t>that</w:t>
      </w:r>
      <w:r>
        <w:rPr>
          <w:spacing w:val="16"/>
        </w:rPr>
        <w:t> </w:t>
      </w:r>
      <w:r>
        <w:rPr>
          <w:spacing w:val="-3"/>
        </w:rPr>
        <w:t>are</w:t>
      </w:r>
      <w:r>
        <w:rPr>
          <w:spacing w:val="17"/>
        </w:rPr>
        <w:t> </w:t>
      </w:r>
      <w:r>
        <w:rPr>
          <w:spacing w:val="-3"/>
        </w:rPr>
        <w:t>available</w:t>
      </w:r>
      <w:r>
        <w:rPr>
          <w:spacing w:val="17"/>
        </w:rPr>
        <w:t> </w:t>
      </w:r>
      <w:r>
        <w:rPr>
          <w:spacing w:val="-3"/>
        </w:rPr>
        <w:t>to</w:t>
      </w:r>
      <w:r>
        <w:rPr>
          <w:spacing w:val="17"/>
        </w:rPr>
        <w:t> </w:t>
      </w:r>
      <w:r>
        <w:rPr/>
        <w:t>clients</w:t>
      </w:r>
      <w:r>
        <w:rPr>
          <w:spacing w:val="16"/>
        </w:rPr>
        <w:t> </w:t>
      </w:r>
      <w:r>
        <w:rPr/>
        <w:t>under</w:t>
      </w:r>
      <w:r>
        <w:rPr>
          <w:spacing w:val="17"/>
        </w:rPr>
        <w:t> </w:t>
      </w:r>
      <w:r>
        <w:rPr/>
        <w:t>the</w:t>
      </w:r>
      <w:r>
        <w:rPr>
          <w:spacing w:val="17"/>
        </w:rPr>
        <w:t> </w:t>
      </w:r>
      <w:r>
        <w:rPr/>
        <w:t>Legal</w:t>
      </w:r>
      <w:r>
        <w:rPr>
          <w:spacing w:val="17"/>
        </w:rPr>
        <w:t> </w:t>
      </w:r>
      <w:r>
        <w:rPr>
          <w:spacing w:val="-3"/>
        </w:rPr>
        <w:t>Profession</w:t>
      </w:r>
      <w:r>
        <w:rPr>
          <w:spacing w:val="17"/>
        </w:rPr>
        <w:t> </w:t>
      </w:r>
      <w:r>
        <w:rPr/>
        <w:t>Act</w:t>
      </w:r>
      <w:r>
        <w:rPr>
          <w:spacing w:val="16"/>
        </w:rPr>
        <w:t> </w:t>
      </w:r>
      <w:r>
        <w:rPr>
          <w:spacing w:val="-3"/>
        </w:rPr>
        <w:t>are</w:t>
      </w:r>
      <w:r>
        <w:rPr>
          <w:spacing w:val="17"/>
        </w:rPr>
        <w:t> </w:t>
      </w:r>
      <w:r>
        <w:rPr>
          <w:spacing w:val="-2"/>
        </w:rPr>
        <w:t>not</w:t>
      </w:r>
      <w:r>
        <w:rPr>
          <w:spacing w:val="17"/>
        </w:rPr>
        <w:t> </w:t>
      </w:r>
      <w:r>
        <w:rPr>
          <w:spacing w:val="-3"/>
        </w:rPr>
        <w:t>available</w:t>
      </w:r>
      <w:r>
        <w:rPr>
          <w:spacing w:val="17"/>
        </w:rPr>
        <w:t> </w:t>
      </w:r>
      <w:r>
        <w:rPr>
          <w:spacing w:val="-3"/>
        </w:rPr>
        <w:t>to</w:t>
      </w:r>
      <w:r>
        <w:rPr>
          <w:spacing w:val="16"/>
        </w:rPr>
        <w:t> </w:t>
      </w:r>
      <w:r>
        <w:rPr/>
        <w:t>beneficiaries.</w:t>
      </w:r>
    </w:p>
    <w:p>
      <w:pPr>
        <w:pStyle w:val="ListParagraph"/>
        <w:numPr>
          <w:ilvl w:val="0"/>
          <w:numId w:val="6"/>
        </w:numPr>
        <w:tabs>
          <w:tab w:pos="1928" w:val="left" w:leader="none"/>
        </w:tabs>
        <w:spacing w:line="242" w:lineRule="auto" w:before="122" w:after="0"/>
        <w:ind w:left="1927" w:right="1994" w:hanging="340"/>
        <w:jc w:val="left"/>
        <w:rPr>
          <w:sz w:val="21"/>
        </w:rPr>
      </w:pPr>
      <w:r>
        <w:rPr>
          <w:w w:val="105"/>
          <w:sz w:val="21"/>
        </w:rPr>
        <w:t>New </w:t>
      </w:r>
      <w:r>
        <w:rPr>
          <w:spacing w:val="-3"/>
          <w:w w:val="105"/>
          <w:sz w:val="21"/>
        </w:rPr>
        <w:t>uniform </w:t>
      </w:r>
      <w:r>
        <w:rPr>
          <w:w w:val="105"/>
          <w:sz w:val="21"/>
        </w:rPr>
        <w:t>law </w:t>
      </w:r>
      <w:r>
        <w:rPr>
          <w:spacing w:val="-3"/>
          <w:w w:val="105"/>
          <w:sz w:val="21"/>
        </w:rPr>
        <w:t>for regulating </w:t>
      </w:r>
      <w:r>
        <w:rPr>
          <w:w w:val="105"/>
          <w:sz w:val="21"/>
        </w:rPr>
        <w:t>the legal </w:t>
      </w:r>
      <w:r>
        <w:rPr>
          <w:spacing w:val="-3"/>
          <w:w w:val="105"/>
          <w:sz w:val="21"/>
        </w:rPr>
        <w:t>profession </w:t>
      </w:r>
      <w:r>
        <w:rPr>
          <w:w w:val="105"/>
          <w:sz w:val="21"/>
        </w:rPr>
        <w:t>in New South </w:t>
      </w:r>
      <w:r>
        <w:rPr>
          <w:spacing w:val="-3"/>
          <w:w w:val="105"/>
          <w:sz w:val="21"/>
        </w:rPr>
        <w:t>Wales </w:t>
      </w:r>
      <w:r>
        <w:rPr>
          <w:w w:val="105"/>
          <w:sz w:val="21"/>
        </w:rPr>
        <w:t>and Victoria is expected </w:t>
      </w:r>
      <w:r>
        <w:rPr>
          <w:spacing w:val="-3"/>
          <w:w w:val="105"/>
          <w:sz w:val="21"/>
        </w:rPr>
        <w:t>to </w:t>
      </w:r>
      <w:r>
        <w:rPr>
          <w:w w:val="105"/>
          <w:sz w:val="21"/>
        </w:rPr>
        <w:t>be </w:t>
      </w:r>
      <w:r>
        <w:rPr>
          <w:spacing w:val="-3"/>
          <w:w w:val="105"/>
          <w:sz w:val="21"/>
        </w:rPr>
        <w:t>introduced </w:t>
      </w:r>
      <w:r>
        <w:rPr>
          <w:w w:val="105"/>
          <w:sz w:val="21"/>
        </w:rPr>
        <w:t>in </w:t>
      </w:r>
      <w:r>
        <w:rPr>
          <w:spacing w:val="-8"/>
          <w:w w:val="105"/>
          <w:sz w:val="21"/>
        </w:rPr>
        <w:t>2013. </w:t>
      </w:r>
      <w:r>
        <w:rPr>
          <w:w w:val="105"/>
          <w:sz w:val="21"/>
        </w:rPr>
        <w:t>The </w:t>
      </w:r>
      <w:r>
        <w:rPr>
          <w:spacing w:val="-3"/>
          <w:w w:val="105"/>
          <w:sz w:val="21"/>
        </w:rPr>
        <w:t>Commission </w:t>
      </w:r>
      <w:r>
        <w:rPr>
          <w:spacing w:val="-2"/>
          <w:w w:val="105"/>
          <w:sz w:val="21"/>
        </w:rPr>
        <w:t>has not </w:t>
      </w:r>
      <w:r>
        <w:rPr>
          <w:w w:val="105"/>
          <w:sz w:val="21"/>
        </w:rPr>
        <w:t>seen the new </w:t>
      </w:r>
      <w:r>
        <w:rPr>
          <w:spacing w:val="-3"/>
          <w:w w:val="105"/>
          <w:sz w:val="21"/>
        </w:rPr>
        <w:t>legislation </w:t>
      </w:r>
      <w:r>
        <w:rPr>
          <w:w w:val="105"/>
          <w:sz w:val="21"/>
        </w:rPr>
        <w:t>but understands</w:t>
      </w:r>
      <w:r>
        <w:rPr>
          <w:spacing w:val="-6"/>
          <w:w w:val="105"/>
          <w:sz w:val="21"/>
        </w:rPr>
        <w:t> </w:t>
      </w:r>
      <w:r>
        <w:rPr>
          <w:spacing w:val="-3"/>
          <w:w w:val="105"/>
          <w:sz w:val="21"/>
        </w:rPr>
        <w:t>that</w:t>
      </w:r>
      <w:r>
        <w:rPr>
          <w:spacing w:val="-5"/>
          <w:w w:val="105"/>
          <w:sz w:val="21"/>
        </w:rPr>
        <w:t> </w:t>
      </w:r>
      <w:r>
        <w:rPr>
          <w:w w:val="105"/>
          <w:sz w:val="21"/>
        </w:rPr>
        <w:t>the</w:t>
      </w:r>
      <w:r>
        <w:rPr>
          <w:spacing w:val="-5"/>
          <w:w w:val="105"/>
          <w:sz w:val="21"/>
        </w:rPr>
        <w:t> </w:t>
      </w:r>
      <w:r>
        <w:rPr>
          <w:spacing w:val="-3"/>
          <w:w w:val="105"/>
          <w:sz w:val="21"/>
        </w:rPr>
        <w:t>treatment</w:t>
      </w:r>
      <w:r>
        <w:rPr>
          <w:spacing w:val="-5"/>
          <w:w w:val="105"/>
          <w:sz w:val="21"/>
        </w:rPr>
        <w:t> </w:t>
      </w:r>
      <w:r>
        <w:rPr>
          <w:w w:val="105"/>
          <w:sz w:val="21"/>
        </w:rPr>
        <w:t>of</w:t>
      </w:r>
      <w:r>
        <w:rPr>
          <w:spacing w:val="-6"/>
          <w:w w:val="105"/>
          <w:sz w:val="21"/>
        </w:rPr>
        <w:t> </w:t>
      </w:r>
      <w:r>
        <w:rPr>
          <w:spacing w:val="-3"/>
          <w:w w:val="105"/>
          <w:sz w:val="21"/>
        </w:rPr>
        <w:t>executorial</w:t>
      </w:r>
      <w:r>
        <w:rPr>
          <w:spacing w:val="-5"/>
          <w:w w:val="105"/>
          <w:sz w:val="21"/>
        </w:rPr>
        <w:t> </w:t>
      </w:r>
      <w:r>
        <w:rPr>
          <w:w w:val="105"/>
          <w:sz w:val="21"/>
        </w:rPr>
        <w:t>services</w:t>
      </w:r>
      <w:r>
        <w:rPr>
          <w:spacing w:val="-5"/>
          <w:w w:val="105"/>
          <w:sz w:val="21"/>
        </w:rPr>
        <w:t> </w:t>
      </w:r>
      <w:r>
        <w:rPr>
          <w:spacing w:val="-3"/>
          <w:w w:val="105"/>
          <w:sz w:val="21"/>
        </w:rPr>
        <w:t>will</w:t>
      </w:r>
      <w:r>
        <w:rPr>
          <w:spacing w:val="-5"/>
          <w:w w:val="105"/>
          <w:sz w:val="21"/>
        </w:rPr>
        <w:t> </w:t>
      </w:r>
      <w:r>
        <w:rPr>
          <w:w w:val="105"/>
          <w:sz w:val="21"/>
        </w:rPr>
        <w:t>be</w:t>
      </w:r>
      <w:r>
        <w:rPr>
          <w:spacing w:val="-6"/>
          <w:w w:val="105"/>
          <w:sz w:val="21"/>
        </w:rPr>
        <w:t> </w:t>
      </w:r>
      <w:r>
        <w:rPr>
          <w:spacing w:val="-3"/>
          <w:w w:val="105"/>
          <w:sz w:val="21"/>
        </w:rPr>
        <w:t>unchanged.</w:t>
      </w:r>
      <w:r>
        <w:rPr>
          <w:spacing w:val="-5"/>
          <w:w w:val="105"/>
          <w:sz w:val="21"/>
        </w:rPr>
        <w:t> </w:t>
      </w:r>
      <w:r>
        <w:rPr>
          <w:w w:val="105"/>
          <w:sz w:val="21"/>
        </w:rPr>
        <w:t>The</w:t>
      </w:r>
      <w:r>
        <w:rPr>
          <w:spacing w:val="-5"/>
          <w:w w:val="105"/>
          <w:sz w:val="21"/>
        </w:rPr>
        <w:t> </w:t>
      </w:r>
      <w:r>
        <w:rPr>
          <w:spacing w:val="-3"/>
          <w:w w:val="105"/>
          <w:sz w:val="21"/>
        </w:rPr>
        <w:t>Commission makes </w:t>
      </w:r>
      <w:r>
        <w:rPr>
          <w:w w:val="105"/>
          <w:sz w:val="21"/>
        </w:rPr>
        <w:t>a series of </w:t>
      </w:r>
      <w:r>
        <w:rPr>
          <w:spacing w:val="-3"/>
          <w:w w:val="105"/>
          <w:sz w:val="21"/>
        </w:rPr>
        <w:t>recommendations that</w:t>
      </w:r>
      <w:r>
        <w:rPr>
          <w:spacing w:val="34"/>
          <w:w w:val="105"/>
          <w:sz w:val="21"/>
        </w:rPr>
        <w:t> </w:t>
      </w:r>
      <w:r>
        <w:rPr>
          <w:w w:val="105"/>
          <w:sz w:val="21"/>
        </w:rPr>
        <w:t>would:</w:t>
      </w:r>
    </w:p>
    <w:p>
      <w:pPr>
        <w:pStyle w:val="ListParagraph"/>
        <w:numPr>
          <w:ilvl w:val="1"/>
          <w:numId w:val="6"/>
        </w:numPr>
        <w:tabs>
          <w:tab w:pos="2721" w:val="left" w:leader="none"/>
          <w:tab w:pos="2722" w:val="left" w:leader="none"/>
        </w:tabs>
        <w:spacing w:line="242" w:lineRule="auto" w:before="125" w:after="0"/>
        <w:ind w:left="2721" w:right="1952" w:hanging="340"/>
        <w:jc w:val="left"/>
        <w:rPr>
          <w:sz w:val="21"/>
        </w:rPr>
      </w:pPr>
      <w:r>
        <w:rPr>
          <w:spacing w:val="-3"/>
          <w:sz w:val="21"/>
        </w:rPr>
        <w:t>require </w:t>
      </w:r>
      <w:r>
        <w:rPr>
          <w:sz w:val="21"/>
        </w:rPr>
        <w:t>legal practitioner executors </w:t>
      </w:r>
      <w:r>
        <w:rPr>
          <w:spacing w:val="-3"/>
          <w:sz w:val="21"/>
        </w:rPr>
        <w:t>to </w:t>
      </w:r>
      <w:r>
        <w:rPr>
          <w:sz w:val="21"/>
        </w:rPr>
        <w:t>disclose </w:t>
      </w:r>
      <w:r>
        <w:rPr>
          <w:spacing w:val="-3"/>
          <w:sz w:val="21"/>
        </w:rPr>
        <w:t>to </w:t>
      </w:r>
      <w:r>
        <w:rPr>
          <w:sz w:val="21"/>
        </w:rPr>
        <w:t>beneficiaries an </w:t>
      </w:r>
      <w:r>
        <w:rPr>
          <w:spacing w:val="-3"/>
          <w:sz w:val="21"/>
        </w:rPr>
        <w:t>estimate </w:t>
      </w:r>
      <w:r>
        <w:rPr>
          <w:sz w:val="21"/>
        </w:rPr>
        <w:t>of what they</w:t>
      </w:r>
      <w:r>
        <w:rPr>
          <w:spacing w:val="10"/>
          <w:sz w:val="21"/>
        </w:rPr>
        <w:t> </w:t>
      </w:r>
      <w:r>
        <w:rPr>
          <w:spacing w:val="-3"/>
          <w:sz w:val="21"/>
        </w:rPr>
        <w:t>will</w:t>
      </w:r>
      <w:r>
        <w:rPr>
          <w:spacing w:val="10"/>
          <w:sz w:val="21"/>
        </w:rPr>
        <w:t> </w:t>
      </w:r>
      <w:r>
        <w:rPr>
          <w:spacing w:val="-3"/>
          <w:sz w:val="21"/>
        </w:rPr>
        <w:t>charge</w:t>
      </w:r>
      <w:r>
        <w:rPr>
          <w:spacing w:val="10"/>
          <w:sz w:val="21"/>
        </w:rPr>
        <w:t> </w:t>
      </w:r>
      <w:r>
        <w:rPr>
          <w:sz w:val="21"/>
        </w:rPr>
        <w:t>the</w:t>
      </w:r>
      <w:r>
        <w:rPr>
          <w:spacing w:val="10"/>
          <w:sz w:val="21"/>
        </w:rPr>
        <w:t> </w:t>
      </w:r>
      <w:r>
        <w:rPr>
          <w:sz w:val="21"/>
        </w:rPr>
        <w:t>estate</w:t>
      </w:r>
      <w:r>
        <w:rPr>
          <w:spacing w:val="10"/>
          <w:sz w:val="21"/>
        </w:rPr>
        <w:t> </w:t>
      </w:r>
      <w:r>
        <w:rPr>
          <w:spacing w:val="-3"/>
          <w:sz w:val="21"/>
        </w:rPr>
        <w:t>for</w:t>
      </w:r>
      <w:r>
        <w:rPr>
          <w:spacing w:val="10"/>
          <w:sz w:val="21"/>
        </w:rPr>
        <w:t> </w:t>
      </w:r>
      <w:r>
        <w:rPr>
          <w:spacing w:val="-3"/>
          <w:sz w:val="21"/>
        </w:rPr>
        <w:t>executorial</w:t>
      </w:r>
      <w:r>
        <w:rPr>
          <w:spacing w:val="10"/>
          <w:sz w:val="21"/>
        </w:rPr>
        <w:t> </w:t>
      </w:r>
      <w:r>
        <w:rPr>
          <w:sz w:val="21"/>
        </w:rPr>
        <w:t>and</w:t>
      </w:r>
      <w:r>
        <w:rPr>
          <w:spacing w:val="10"/>
          <w:sz w:val="21"/>
        </w:rPr>
        <w:t> </w:t>
      </w:r>
      <w:r>
        <w:rPr>
          <w:sz w:val="21"/>
        </w:rPr>
        <w:t>legal</w:t>
      </w:r>
      <w:r>
        <w:rPr>
          <w:spacing w:val="10"/>
          <w:sz w:val="21"/>
        </w:rPr>
        <w:t> </w:t>
      </w:r>
      <w:r>
        <w:rPr>
          <w:sz w:val="21"/>
        </w:rPr>
        <w:t>services</w:t>
      </w:r>
    </w:p>
    <w:p>
      <w:pPr>
        <w:pStyle w:val="ListParagraph"/>
        <w:numPr>
          <w:ilvl w:val="1"/>
          <w:numId w:val="6"/>
        </w:numPr>
        <w:tabs>
          <w:tab w:pos="2721" w:val="left" w:leader="none"/>
          <w:tab w:pos="2722" w:val="left" w:leader="none"/>
        </w:tabs>
        <w:spacing w:line="242" w:lineRule="auto" w:before="122" w:after="0"/>
        <w:ind w:left="2721" w:right="1812" w:hanging="340"/>
        <w:jc w:val="left"/>
        <w:rPr>
          <w:sz w:val="21"/>
        </w:rPr>
      </w:pPr>
      <w:r>
        <w:rPr>
          <w:w w:val="105"/>
          <w:sz w:val="21"/>
        </w:rPr>
        <w:t>extend</w:t>
      </w:r>
      <w:r>
        <w:rPr>
          <w:spacing w:val="-12"/>
          <w:w w:val="105"/>
          <w:sz w:val="21"/>
        </w:rPr>
        <w:t> </w:t>
      </w:r>
      <w:r>
        <w:rPr>
          <w:w w:val="105"/>
          <w:sz w:val="21"/>
        </w:rPr>
        <w:t>the</w:t>
      </w:r>
      <w:r>
        <w:rPr>
          <w:spacing w:val="-12"/>
          <w:w w:val="105"/>
          <w:sz w:val="21"/>
        </w:rPr>
        <w:t> </w:t>
      </w:r>
      <w:r>
        <w:rPr>
          <w:w w:val="105"/>
          <w:sz w:val="21"/>
        </w:rPr>
        <w:t>jurisdiction</w:t>
      </w:r>
      <w:r>
        <w:rPr>
          <w:spacing w:val="-11"/>
          <w:w w:val="105"/>
          <w:sz w:val="21"/>
        </w:rPr>
        <w:t> </w:t>
      </w:r>
      <w:r>
        <w:rPr>
          <w:w w:val="105"/>
          <w:sz w:val="21"/>
        </w:rPr>
        <w:t>of</w:t>
      </w:r>
      <w:r>
        <w:rPr>
          <w:spacing w:val="-12"/>
          <w:w w:val="105"/>
          <w:sz w:val="21"/>
        </w:rPr>
        <w:t> </w:t>
      </w:r>
      <w:r>
        <w:rPr>
          <w:w w:val="105"/>
          <w:sz w:val="21"/>
        </w:rPr>
        <w:t>the</w:t>
      </w:r>
      <w:r>
        <w:rPr>
          <w:spacing w:val="-12"/>
          <w:w w:val="105"/>
          <w:sz w:val="21"/>
        </w:rPr>
        <w:t> </w:t>
      </w:r>
      <w:r>
        <w:rPr>
          <w:w w:val="105"/>
          <w:sz w:val="21"/>
        </w:rPr>
        <w:t>Legal</w:t>
      </w:r>
      <w:r>
        <w:rPr>
          <w:spacing w:val="-11"/>
          <w:w w:val="105"/>
          <w:sz w:val="21"/>
        </w:rPr>
        <w:t> </w:t>
      </w:r>
      <w:r>
        <w:rPr>
          <w:w w:val="105"/>
          <w:sz w:val="21"/>
        </w:rPr>
        <w:t>Services</w:t>
      </w:r>
      <w:r>
        <w:rPr>
          <w:spacing w:val="-12"/>
          <w:w w:val="105"/>
          <w:sz w:val="21"/>
        </w:rPr>
        <w:t> </w:t>
      </w:r>
      <w:r>
        <w:rPr>
          <w:spacing w:val="-3"/>
          <w:w w:val="105"/>
          <w:sz w:val="21"/>
        </w:rPr>
        <w:t>Commissioner</w:t>
      </w:r>
      <w:r>
        <w:rPr>
          <w:spacing w:val="-11"/>
          <w:w w:val="105"/>
          <w:sz w:val="21"/>
        </w:rPr>
        <w:t> </w:t>
      </w:r>
      <w:r>
        <w:rPr>
          <w:spacing w:val="-3"/>
          <w:w w:val="105"/>
          <w:sz w:val="21"/>
        </w:rPr>
        <w:t>to</w:t>
      </w:r>
      <w:r>
        <w:rPr>
          <w:spacing w:val="-12"/>
          <w:w w:val="105"/>
          <w:sz w:val="21"/>
        </w:rPr>
        <w:t> </w:t>
      </w:r>
      <w:r>
        <w:rPr>
          <w:w w:val="105"/>
          <w:sz w:val="21"/>
        </w:rPr>
        <w:t>resolve</w:t>
      </w:r>
      <w:r>
        <w:rPr>
          <w:spacing w:val="-12"/>
          <w:w w:val="105"/>
          <w:sz w:val="21"/>
        </w:rPr>
        <w:t> </w:t>
      </w:r>
      <w:r>
        <w:rPr>
          <w:spacing w:val="-3"/>
          <w:w w:val="105"/>
          <w:sz w:val="21"/>
        </w:rPr>
        <w:t>disputes</w:t>
      </w:r>
      <w:r>
        <w:rPr>
          <w:spacing w:val="-11"/>
          <w:w w:val="105"/>
          <w:sz w:val="21"/>
        </w:rPr>
        <w:t> </w:t>
      </w:r>
      <w:r>
        <w:rPr>
          <w:w w:val="105"/>
          <w:sz w:val="21"/>
        </w:rPr>
        <w:t>about services provided by legal practitioner executors and </w:t>
      </w:r>
      <w:r>
        <w:rPr>
          <w:spacing w:val="-3"/>
          <w:w w:val="105"/>
          <w:sz w:val="21"/>
        </w:rPr>
        <w:t>charges </w:t>
      </w:r>
      <w:r>
        <w:rPr>
          <w:w w:val="105"/>
          <w:sz w:val="21"/>
        </w:rPr>
        <w:t>of $25,000 or less </w:t>
      </w:r>
      <w:r>
        <w:rPr>
          <w:spacing w:val="-3"/>
          <w:w w:val="105"/>
          <w:sz w:val="21"/>
        </w:rPr>
        <w:t>for executorial</w:t>
      </w:r>
      <w:r>
        <w:rPr>
          <w:spacing w:val="5"/>
          <w:w w:val="105"/>
          <w:sz w:val="21"/>
        </w:rPr>
        <w:t> </w:t>
      </w:r>
      <w:r>
        <w:rPr>
          <w:w w:val="105"/>
          <w:sz w:val="21"/>
        </w:rPr>
        <w:t>services</w:t>
      </w:r>
    </w:p>
    <w:p>
      <w:pPr>
        <w:pStyle w:val="ListParagraph"/>
        <w:numPr>
          <w:ilvl w:val="1"/>
          <w:numId w:val="6"/>
        </w:numPr>
        <w:tabs>
          <w:tab w:pos="2721" w:val="left" w:leader="none"/>
          <w:tab w:pos="2722" w:val="left" w:leader="none"/>
        </w:tabs>
        <w:spacing w:line="240" w:lineRule="auto" w:before="123" w:after="0"/>
        <w:ind w:left="2721" w:right="0" w:hanging="340"/>
        <w:jc w:val="left"/>
        <w:rPr>
          <w:sz w:val="21"/>
        </w:rPr>
      </w:pPr>
      <w:r>
        <w:rPr>
          <w:spacing w:val="-3"/>
          <w:w w:val="105"/>
          <w:sz w:val="21"/>
        </w:rPr>
        <w:t>allow</w:t>
      </w:r>
      <w:r>
        <w:rPr>
          <w:spacing w:val="3"/>
          <w:w w:val="105"/>
          <w:sz w:val="21"/>
        </w:rPr>
        <w:t> </w:t>
      </w:r>
      <w:r>
        <w:rPr>
          <w:w w:val="105"/>
          <w:sz w:val="21"/>
        </w:rPr>
        <w:t>a</w:t>
      </w:r>
      <w:r>
        <w:rPr>
          <w:spacing w:val="4"/>
          <w:w w:val="105"/>
          <w:sz w:val="21"/>
        </w:rPr>
        <w:t> </w:t>
      </w:r>
      <w:r>
        <w:rPr>
          <w:w w:val="105"/>
          <w:sz w:val="21"/>
        </w:rPr>
        <w:t>beneficiary</w:t>
      </w:r>
      <w:r>
        <w:rPr>
          <w:spacing w:val="4"/>
          <w:w w:val="105"/>
          <w:sz w:val="21"/>
        </w:rPr>
        <w:t> </w:t>
      </w:r>
      <w:r>
        <w:rPr>
          <w:spacing w:val="-3"/>
          <w:w w:val="105"/>
          <w:sz w:val="21"/>
        </w:rPr>
        <w:t>to</w:t>
      </w:r>
      <w:r>
        <w:rPr>
          <w:spacing w:val="4"/>
          <w:w w:val="105"/>
          <w:sz w:val="21"/>
        </w:rPr>
        <w:t> </w:t>
      </w:r>
      <w:r>
        <w:rPr>
          <w:w w:val="105"/>
          <w:sz w:val="21"/>
        </w:rPr>
        <w:t>apply</w:t>
      </w:r>
      <w:r>
        <w:rPr>
          <w:spacing w:val="4"/>
          <w:w w:val="105"/>
          <w:sz w:val="21"/>
        </w:rPr>
        <w:t> </w:t>
      </w:r>
      <w:r>
        <w:rPr>
          <w:spacing w:val="-3"/>
          <w:w w:val="105"/>
          <w:sz w:val="21"/>
        </w:rPr>
        <w:t>to</w:t>
      </w:r>
      <w:r>
        <w:rPr>
          <w:spacing w:val="4"/>
          <w:w w:val="105"/>
          <w:sz w:val="21"/>
        </w:rPr>
        <w:t> </w:t>
      </w:r>
      <w:r>
        <w:rPr>
          <w:w w:val="105"/>
          <w:sz w:val="21"/>
        </w:rPr>
        <w:t>the</w:t>
      </w:r>
      <w:r>
        <w:rPr>
          <w:spacing w:val="3"/>
          <w:w w:val="105"/>
          <w:sz w:val="21"/>
        </w:rPr>
        <w:t> </w:t>
      </w:r>
      <w:r>
        <w:rPr>
          <w:w w:val="105"/>
          <w:sz w:val="21"/>
        </w:rPr>
        <w:t>Costs</w:t>
      </w:r>
      <w:r>
        <w:rPr>
          <w:spacing w:val="4"/>
          <w:w w:val="105"/>
          <w:sz w:val="21"/>
        </w:rPr>
        <w:t> </w:t>
      </w:r>
      <w:r>
        <w:rPr>
          <w:spacing w:val="-3"/>
          <w:w w:val="105"/>
          <w:sz w:val="21"/>
        </w:rPr>
        <w:t>Court</w:t>
      </w:r>
      <w:r>
        <w:rPr>
          <w:spacing w:val="4"/>
          <w:w w:val="105"/>
          <w:sz w:val="21"/>
        </w:rPr>
        <w:t> </w:t>
      </w:r>
      <w:r>
        <w:rPr>
          <w:spacing w:val="-3"/>
          <w:w w:val="105"/>
          <w:sz w:val="21"/>
        </w:rPr>
        <w:t>for</w:t>
      </w:r>
      <w:r>
        <w:rPr>
          <w:spacing w:val="4"/>
          <w:w w:val="105"/>
          <w:sz w:val="21"/>
        </w:rPr>
        <w:t> </w:t>
      </w:r>
      <w:r>
        <w:rPr>
          <w:w w:val="105"/>
          <w:sz w:val="21"/>
        </w:rPr>
        <w:t>review</w:t>
      </w:r>
      <w:r>
        <w:rPr>
          <w:spacing w:val="4"/>
          <w:w w:val="105"/>
          <w:sz w:val="21"/>
        </w:rPr>
        <w:t> </w:t>
      </w:r>
      <w:r>
        <w:rPr>
          <w:w w:val="105"/>
          <w:sz w:val="21"/>
        </w:rPr>
        <w:t>of</w:t>
      </w:r>
      <w:r>
        <w:rPr>
          <w:spacing w:val="4"/>
          <w:w w:val="105"/>
          <w:sz w:val="21"/>
        </w:rPr>
        <w:t> </w:t>
      </w:r>
      <w:r>
        <w:rPr>
          <w:w w:val="105"/>
          <w:sz w:val="21"/>
        </w:rPr>
        <w:t>legal</w:t>
      </w:r>
      <w:r>
        <w:rPr>
          <w:spacing w:val="4"/>
          <w:w w:val="105"/>
          <w:sz w:val="21"/>
        </w:rPr>
        <w:t> </w:t>
      </w:r>
      <w:r>
        <w:rPr>
          <w:w w:val="105"/>
          <w:sz w:val="21"/>
        </w:rPr>
        <w:t>costs.</w:t>
      </w:r>
    </w:p>
    <w:p>
      <w:pPr>
        <w:pStyle w:val="ListParagraph"/>
        <w:numPr>
          <w:ilvl w:val="0"/>
          <w:numId w:val="6"/>
        </w:numPr>
        <w:tabs>
          <w:tab w:pos="1928" w:val="left" w:leader="none"/>
        </w:tabs>
        <w:spacing w:line="242" w:lineRule="auto" w:before="124" w:after="0"/>
        <w:ind w:left="1927" w:right="1773" w:hanging="340"/>
        <w:jc w:val="left"/>
        <w:rPr>
          <w:sz w:val="21"/>
        </w:rPr>
      </w:pPr>
      <w:r>
        <w:rPr>
          <w:w w:val="105"/>
          <w:sz w:val="21"/>
        </w:rPr>
        <w:t>Some</w:t>
      </w:r>
      <w:r>
        <w:rPr>
          <w:spacing w:val="-9"/>
          <w:w w:val="105"/>
          <w:sz w:val="21"/>
        </w:rPr>
        <w:t> </w:t>
      </w:r>
      <w:r>
        <w:rPr>
          <w:w w:val="105"/>
          <w:sz w:val="21"/>
        </w:rPr>
        <w:t>legal</w:t>
      </w:r>
      <w:r>
        <w:rPr>
          <w:spacing w:val="-8"/>
          <w:w w:val="105"/>
          <w:sz w:val="21"/>
        </w:rPr>
        <w:t> </w:t>
      </w:r>
      <w:r>
        <w:rPr>
          <w:w w:val="105"/>
          <w:sz w:val="21"/>
        </w:rPr>
        <w:t>practitioner</w:t>
      </w:r>
      <w:r>
        <w:rPr>
          <w:spacing w:val="-9"/>
          <w:w w:val="105"/>
          <w:sz w:val="21"/>
        </w:rPr>
        <w:t> </w:t>
      </w:r>
      <w:r>
        <w:rPr>
          <w:w w:val="105"/>
          <w:sz w:val="21"/>
        </w:rPr>
        <w:t>executors</w:t>
      </w:r>
      <w:r>
        <w:rPr>
          <w:spacing w:val="-8"/>
          <w:w w:val="105"/>
          <w:sz w:val="21"/>
        </w:rPr>
        <w:t> </w:t>
      </w:r>
      <w:r>
        <w:rPr>
          <w:w w:val="105"/>
          <w:sz w:val="21"/>
        </w:rPr>
        <w:t>who</w:t>
      </w:r>
      <w:r>
        <w:rPr>
          <w:spacing w:val="-9"/>
          <w:w w:val="105"/>
          <w:sz w:val="21"/>
        </w:rPr>
        <w:t> </w:t>
      </w:r>
      <w:r>
        <w:rPr>
          <w:spacing w:val="-3"/>
          <w:w w:val="105"/>
          <w:sz w:val="21"/>
        </w:rPr>
        <w:t>are</w:t>
      </w:r>
      <w:r>
        <w:rPr>
          <w:spacing w:val="-8"/>
          <w:w w:val="105"/>
          <w:sz w:val="21"/>
        </w:rPr>
        <w:t> </w:t>
      </w:r>
      <w:r>
        <w:rPr>
          <w:w w:val="105"/>
          <w:sz w:val="21"/>
        </w:rPr>
        <w:t>authorised</w:t>
      </w:r>
      <w:r>
        <w:rPr>
          <w:spacing w:val="-8"/>
          <w:w w:val="105"/>
          <w:sz w:val="21"/>
        </w:rPr>
        <w:t> </w:t>
      </w:r>
      <w:r>
        <w:rPr>
          <w:w w:val="105"/>
          <w:sz w:val="21"/>
        </w:rPr>
        <w:t>by</w:t>
      </w:r>
      <w:r>
        <w:rPr>
          <w:spacing w:val="-9"/>
          <w:w w:val="105"/>
          <w:sz w:val="21"/>
        </w:rPr>
        <w:t> </w:t>
      </w:r>
      <w:r>
        <w:rPr>
          <w:w w:val="105"/>
          <w:sz w:val="21"/>
        </w:rPr>
        <w:t>a</w:t>
      </w:r>
      <w:r>
        <w:rPr>
          <w:spacing w:val="-8"/>
          <w:w w:val="105"/>
          <w:sz w:val="21"/>
        </w:rPr>
        <w:t> </w:t>
      </w:r>
      <w:r>
        <w:rPr>
          <w:spacing w:val="-3"/>
          <w:w w:val="105"/>
          <w:sz w:val="21"/>
        </w:rPr>
        <w:t>will</w:t>
      </w:r>
      <w:r>
        <w:rPr>
          <w:spacing w:val="-9"/>
          <w:w w:val="105"/>
          <w:sz w:val="21"/>
        </w:rPr>
        <w:t> </w:t>
      </w:r>
      <w:r>
        <w:rPr>
          <w:spacing w:val="-3"/>
          <w:w w:val="105"/>
          <w:sz w:val="21"/>
        </w:rPr>
        <w:t>to</w:t>
      </w:r>
      <w:r>
        <w:rPr>
          <w:spacing w:val="-8"/>
          <w:w w:val="105"/>
          <w:sz w:val="21"/>
        </w:rPr>
        <w:t> </w:t>
      </w:r>
      <w:r>
        <w:rPr>
          <w:w w:val="105"/>
          <w:sz w:val="21"/>
        </w:rPr>
        <w:t>be</w:t>
      </w:r>
      <w:r>
        <w:rPr>
          <w:spacing w:val="-9"/>
          <w:w w:val="105"/>
          <w:sz w:val="21"/>
        </w:rPr>
        <w:t> </w:t>
      </w:r>
      <w:r>
        <w:rPr>
          <w:w w:val="105"/>
          <w:sz w:val="21"/>
        </w:rPr>
        <w:t>paid</w:t>
      </w:r>
      <w:r>
        <w:rPr>
          <w:spacing w:val="-8"/>
          <w:w w:val="105"/>
          <w:sz w:val="21"/>
        </w:rPr>
        <w:t> </w:t>
      </w:r>
      <w:r>
        <w:rPr>
          <w:spacing w:val="-3"/>
          <w:w w:val="105"/>
          <w:sz w:val="21"/>
        </w:rPr>
        <w:t>commission</w:t>
      </w:r>
      <w:r>
        <w:rPr>
          <w:spacing w:val="-8"/>
          <w:w w:val="105"/>
          <w:sz w:val="21"/>
        </w:rPr>
        <w:t> </w:t>
      </w:r>
      <w:r>
        <w:rPr>
          <w:w w:val="105"/>
          <w:sz w:val="21"/>
        </w:rPr>
        <w:t>choose </w:t>
      </w:r>
      <w:r>
        <w:rPr>
          <w:spacing w:val="-3"/>
          <w:w w:val="105"/>
          <w:sz w:val="21"/>
        </w:rPr>
        <w:t>instead to charge </w:t>
      </w:r>
      <w:r>
        <w:rPr>
          <w:w w:val="105"/>
          <w:sz w:val="21"/>
        </w:rPr>
        <w:t>a fee </w:t>
      </w:r>
      <w:r>
        <w:rPr>
          <w:spacing w:val="-3"/>
          <w:w w:val="105"/>
          <w:sz w:val="21"/>
        </w:rPr>
        <w:t>for </w:t>
      </w:r>
      <w:r>
        <w:rPr>
          <w:w w:val="105"/>
          <w:sz w:val="21"/>
        </w:rPr>
        <w:t>their </w:t>
      </w:r>
      <w:r>
        <w:rPr>
          <w:spacing w:val="-3"/>
          <w:w w:val="105"/>
          <w:sz w:val="21"/>
        </w:rPr>
        <w:t>executorial </w:t>
      </w:r>
      <w:r>
        <w:rPr>
          <w:w w:val="105"/>
          <w:sz w:val="21"/>
        </w:rPr>
        <w:t>services, which </w:t>
      </w:r>
      <w:r>
        <w:rPr>
          <w:spacing w:val="-3"/>
          <w:w w:val="105"/>
          <w:sz w:val="21"/>
        </w:rPr>
        <w:t>may </w:t>
      </w:r>
      <w:r>
        <w:rPr>
          <w:w w:val="105"/>
          <w:sz w:val="21"/>
        </w:rPr>
        <w:t>be a </w:t>
      </w:r>
      <w:r>
        <w:rPr>
          <w:spacing w:val="-3"/>
          <w:w w:val="105"/>
          <w:sz w:val="21"/>
        </w:rPr>
        <w:t>smaller amount. </w:t>
      </w:r>
      <w:r>
        <w:rPr>
          <w:w w:val="105"/>
          <w:sz w:val="21"/>
        </w:rPr>
        <w:t>The </w:t>
      </w:r>
      <w:r>
        <w:rPr>
          <w:spacing w:val="-3"/>
          <w:w w:val="105"/>
          <w:sz w:val="21"/>
        </w:rPr>
        <w:t>Commission </w:t>
      </w:r>
      <w:r>
        <w:rPr>
          <w:spacing w:val="-2"/>
          <w:w w:val="105"/>
          <w:sz w:val="21"/>
        </w:rPr>
        <w:t>has </w:t>
      </w:r>
      <w:r>
        <w:rPr>
          <w:spacing w:val="-3"/>
          <w:w w:val="105"/>
          <w:sz w:val="21"/>
        </w:rPr>
        <w:t>concluded that </w:t>
      </w:r>
      <w:r>
        <w:rPr>
          <w:w w:val="105"/>
          <w:sz w:val="21"/>
        </w:rPr>
        <w:t>it would be </w:t>
      </w:r>
      <w:r>
        <w:rPr>
          <w:spacing w:val="-3"/>
          <w:w w:val="105"/>
          <w:sz w:val="21"/>
        </w:rPr>
        <w:t>useful for </w:t>
      </w:r>
      <w:r>
        <w:rPr>
          <w:w w:val="105"/>
          <w:sz w:val="21"/>
        </w:rPr>
        <w:t>legal practitioners and beneficiaries </w:t>
      </w:r>
      <w:r>
        <w:rPr>
          <w:spacing w:val="-4"/>
          <w:w w:val="105"/>
          <w:sz w:val="21"/>
        </w:rPr>
        <w:t>alike </w:t>
      </w:r>
      <w:r>
        <w:rPr>
          <w:w w:val="105"/>
          <w:sz w:val="21"/>
        </w:rPr>
        <w:t>if there </w:t>
      </w:r>
      <w:r>
        <w:rPr>
          <w:spacing w:val="-3"/>
          <w:w w:val="105"/>
          <w:sz w:val="21"/>
        </w:rPr>
        <w:t>were </w:t>
      </w:r>
      <w:r>
        <w:rPr>
          <w:w w:val="105"/>
          <w:sz w:val="21"/>
        </w:rPr>
        <w:t>a statutory </w:t>
      </w:r>
      <w:r>
        <w:rPr>
          <w:spacing w:val="-3"/>
          <w:w w:val="105"/>
          <w:sz w:val="21"/>
        </w:rPr>
        <w:t>provision that </w:t>
      </w:r>
      <w:r>
        <w:rPr>
          <w:w w:val="105"/>
          <w:sz w:val="21"/>
        </w:rPr>
        <w:t>clearly permitted them </w:t>
      </w:r>
      <w:r>
        <w:rPr>
          <w:spacing w:val="-3"/>
          <w:w w:val="105"/>
          <w:sz w:val="21"/>
        </w:rPr>
        <w:t>to </w:t>
      </w:r>
      <w:r>
        <w:rPr>
          <w:w w:val="105"/>
          <w:sz w:val="21"/>
        </w:rPr>
        <w:t>do this, and </w:t>
      </w:r>
      <w:r>
        <w:rPr>
          <w:spacing w:val="-2"/>
          <w:w w:val="105"/>
          <w:sz w:val="21"/>
        </w:rPr>
        <w:t>has </w:t>
      </w:r>
      <w:r>
        <w:rPr>
          <w:w w:val="105"/>
          <w:sz w:val="21"/>
        </w:rPr>
        <w:t>recommended</w:t>
      </w:r>
      <w:r>
        <w:rPr>
          <w:spacing w:val="5"/>
          <w:w w:val="105"/>
          <w:sz w:val="21"/>
        </w:rPr>
        <w:t> </w:t>
      </w:r>
      <w:r>
        <w:rPr>
          <w:spacing w:val="-4"/>
          <w:w w:val="105"/>
          <w:sz w:val="21"/>
        </w:rPr>
        <w:t>accordingly.</w:t>
      </w:r>
    </w:p>
    <w:p>
      <w:pPr>
        <w:pStyle w:val="ListParagraph"/>
        <w:numPr>
          <w:ilvl w:val="0"/>
          <w:numId w:val="6"/>
        </w:numPr>
        <w:tabs>
          <w:tab w:pos="1928" w:val="left" w:leader="none"/>
        </w:tabs>
        <w:spacing w:line="242" w:lineRule="auto" w:before="125" w:after="0"/>
        <w:ind w:left="1927" w:right="1753" w:hanging="340"/>
        <w:jc w:val="left"/>
        <w:rPr>
          <w:sz w:val="21"/>
        </w:rPr>
      </w:pPr>
      <w:r>
        <w:rPr>
          <w:sz w:val="21"/>
        </w:rPr>
        <w:t>The legal </w:t>
      </w:r>
      <w:r>
        <w:rPr>
          <w:spacing w:val="-3"/>
          <w:sz w:val="21"/>
        </w:rPr>
        <w:t>profession  makes  professional  </w:t>
      </w:r>
      <w:r>
        <w:rPr>
          <w:sz w:val="21"/>
        </w:rPr>
        <w:t>rules of conduct and associated </w:t>
      </w:r>
      <w:r>
        <w:rPr>
          <w:spacing w:val="-3"/>
          <w:sz w:val="21"/>
        </w:rPr>
        <w:t>guidelines.</w:t>
      </w:r>
      <w:r>
        <w:rPr>
          <w:spacing w:val="41"/>
          <w:sz w:val="21"/>
        </w:rPr>
        <w:t> </w:t>
      </w:r>
      <w:r>
        <w:rPr>
          <w:sz w:val="21"/>
        </w:rPr>
        <w:t>A </w:t>
      </w:r>
      <w:r>
        <w:rPr>
          <w:spacing w:val="-4"/>
          <w:sz w:val="21"/>
        </w:rPr>
        <w:t>failure    </w:t>
      </w:r>
      <w:r>
        <w:rPr>
          <w:spacing w:val="-3"/>
          <w:sz w:val="21"/>
        </w:rPr>
        <w:t>to </w:t>
      </w:r>
      <w:r>
        <w:rPr>
          <w:sz w:val="21"/>
        </w:rPr>
        <w:t>comply with the rules </w:t>
      </w:r>
      <w:r>
        <w:rPr>
          <w:spacing w:val="-3"/>
          <w:sz w:val="21"/>
        </w:rPr>
        <w:t>may amount to </w:t>
      </w:r>
      <w:r>
        <w:rPr>
          <w:sz w:val="21"/>
        </w:rPr>
        <w:t>unsatisfactory </w:t>
      </w:r>
      <w:r>
        <w:rPr>
          <w:spacing w:val="-3"/>
          <w:sz w:val="21"/>
        </w:rPr>
        <w:t>professional </w:t>
      </w:r>
      <w:r>
        <w:rPr>
          <w:sz w:val="21"/>
        </w:rPr>
        <w:t>conduct or </w:t>
      </w:r>
      <w:r>
        <w:rPr>
          <w:spacing w:val="-3"/>
          <w:sz w:val="21"/>
        </w:rPr>
        <w:t>professional </w:t>
      </w:r>
      <w:r>
        <w:rPr>
          <w:sz w:val="21"/>
        </w:rPr>
        <w:t>misconduct. The </w:t>
      </w:r>
      <w:r>
        <w:rPr>
          <w:spacing w:val="-3"/>
          <w:sz w:val="21"/>
        </w:rPr>
        <w:t>current </w:t>
      </w:r>
      <w:r>
        <w:rPr>
          <w:sz w:val="21"/>
        </w:rPr>
        <w:t>rules do </w:t>
      </w:r>
      <w:r>
        <w:rPr>
          <w:spacing w:val="-2"/>
          <w:sz w:val="21"/>
        </w:rPr>
        <w:t>not </w:t>
      </w:r>
      <w:r>
        <w:rPr>
          <w:sz w:val="21"/>
        </w:rPr>
        <w:t>adequately address the need </w:t>
      </w:r>
      <w:r>
        <w:rPr>
          <w:spacing w:val="-3"/>
          <w:sz w:val="21"/>
        </w:rPr>
        <w:t>to </w:t>
      </w:r>
      <w:r>
        <w:rPr>
          <w:sz w:val="21"/>
        </w:rPr>
        <w:t>obtain the </w:t>
      </w:r>
      <w:r>
        <w:rPr>
          <w:spacing w:val="-3"/>
          <w:sz w:val="21"/>
        </w:rPr>
        <w:t>informed consent </w:t>
      </w:r>
      <w:r>
        <w:rPr>
          <w:sz w:val="21"/>
        </w:rPr>
        <w:t>of the </w:t>
      </w:r>
      <w:r>
        <w:rPr>
          <w:spacing w:val="-3"/>
          <w:sz w:val="21"/>
        </w:rPr>
        <w:t>will-maker </w:t>
      </w:r>
      <w:r>
        <w:rPr>
          <w:sz w:val="21"/>
        </w:rPr>
        <w:t>or the beneficiaries in order </w:t>
      </w:r>
      <w:r>
        <w:rPr>
          <w:spacing w:val="-3"/>
          <w:sz w:val="21"/>
        </w:rPr>
        <w:t>to </w:t>
      </w:r>
      <w:r>
        <w:rPr>
          <w:sz w:val="21"/>
        </w:rPr>
        <w:t>be paid </w:t>
      </w:r>
      <w:r>
        <w:rPr>
          <w:spacing w:val="-3"/>
          <w:sz w:val="21"/>
        </w:rPr>
        <w:t>commission, </w:t>
      </w:r>
      <w:r>
        <w:rPr>
          <w:sz w:val="21"/>
        </w:rPr>
        <w:t>or </w:t>
      </w:r>
      <w:r>
        <w:rPr>
          <w:spacing w:val="-3"/>
          <w:sz w:val="21"/>
        </w:rPr>
        <w:t>to </w:t>
      </w:r>
      <w:r>
        <w:rPr>
          <w:sz w:val="21"/>
        </w:rPr>
        <w:t>otherwise seek court </w:t>
      </w:r>
      <w:r>
        <w:rPr>
          <w:spacing w:val="-3"/>
          <w:sz w:val="21"/>
        </w:rPr>
        <w:t>authorisation. </w:t>
      </w:r>
      <w:r>
        <w:rPr>
          <w:sz w:val="21"/>
        </w:rPr>
        <w:t>In </w:t>
      </w:r>
      <w:r>
        <w:rPr>
          <w:spacing w:val="-3"/>
          <w:sz w:val="21"/>
        </w:rPr>
        <w:t>any event, </w:t>
      </w:r>
      <w:r>
        <w:rPr>
          <w:sz w:val="21"/>
        </w:rPr>
        <w:t>legal practitioners </w:t>
      </w:r>
      <w:r>
        <w:rPr>
          <w:spacing w:val="-3"/>
          <w:sz w:val="21"/>
        </w:rPr>
        <w:t>are </w:t>
      </w:r>
      <w:r>
        <w:rPr>
          <w:spacing w:val="-2"/>
          <w:sz w:val="21"/>
        </w:rPr>
        <w:t>not </w:t>
      </w:r>
      <w:r>
        <w:rPr>
          <w:sz w:val="21"/>
        </w:rPr>
        <w:t>always </w:t>
      </w:r>
      <w:r>
        <w:rPr>
          <w:spacing w:val="-3"/>
          <w:sz w:val="21"/>
        </w:rPr>
        <w:t>referring to</w:t>
      </w:r>
      <w:r>
        <w:rPr>
          <w:spacing w:val="-16"/>
          <w:sz w:val="21"/>
        </w:rPr>
        <w:t> </w:t>
      </w:r>
      <w:r>
        <w:rPr>
          <w:sz w:val="21"/>
        </w:rPr>
        <w:t>the</w:t>
      </w:r>
    </w:p>
    <w:p>
      <w:pPr>
        <w:pStyle w:val="BodyText"/>
        <w:spacing w:line="242" w:lineRule="auto" w:before="6"/>
        <w:ind w:left="1927" w:right="2383"/>
        <w:jc w:val="both"/>
      </w:pPr>
      <w:r>
        <w:rPr/>
        <w:t>rules when administering estates. The Commission recommends new provisions in the Administration and Probate Act to alert any professional executor (who may be a legal practitioner, accountant, or financial adviser or other professional) to this requirement.</w:t>
      </w:r>
    </w:p>
    <w:p>
      <w:pPr>
        <w:pStyle w:val="BodyText"/>
        <w:rPr>
          <w:sz w:val="20"/>
        </w:rPr>
      </w:pPr>
    </w:p>
    <w:p>
      <w:pPr>
        <w:pStyle w:val="BodyText"/>
        <w:rPr>
          <w:sz w:val="20"/>
        </w:rPr>
      </w:pPr>
    </w:p>
    <w:p>
      <w:pPr>
        <w:pStyle w:val="BodyText"/>
        <w:rPr>
          <w:sz w:val="20"/>
        </w:rPr>
      </w:pPr>
    </w:p>
    <w:p>
      <w:pPr>
        <w:pStyle w:val="BodyText"/>
        <w:spacing w:before="5"/>
        <w:rPr>
          <w:sz w:val="25"/>
        </w:rPr>
      </w:pPr>
    </w:p>
    <w:p>
      <w:pPr>
        <w:spacing w:before="99"/>
        <w:ind w:left="0" w:right="627" w:firstLine="0"/>
        <w:jc w:val="right"/>
        <w:rPr>
          <w:b/>
          <w:sz w:val="24"/>
        </w:rPr>
      </w:pPr>
      <w:r>
        <w:rPr>
          <w:b/>
          <w:color w:val="EC5A4F"/>
          <w:w w:val="115"/>
          <w:sz w:val="24"/>
        </w:rPr>
        <w:t>xix</w:t>
      </w:r>
    </w:p>
    <w:p>
      <w:pPr>
        <w:spacing w:after="0"/>
        <w:jc w:val="right"/>
        <w:rPr>
          <w:sz w:val="24"/>
        </w:rPr>
        <w:sectPr>
          <w:pgSz w:w="11910" w:h="16840"/>
          <w:pgMar w:header="550" w:footer="0" w:top="1560" w:bottom="280" w:left="0" w:right="0"/>
        </w:sectPr>
      </w:pPr>
    </w:p>
    <w:p>
      <w:pPr>
        <w:pStyle w:val="BodyText"/>
        <w:spacing w:before="9"/>
        <w:rPr>
          <w:b/>
          <w:sz w:val="22"/>
        </w:rPr>
      </w:pPr>
    </w:p>
    <w:p>
      <w:pPr>
        <w:pStyle w:val="ListParagraph"/>
        <w:numPr>
          <w:ilvl w:val="0"/>
          <w:numId w:val="7"/>
        </w:numPr>
        <w:tabs>
          <w:tab w:pos="1928" w:val="left" w:leader="none"/>
        </w:tabs>
        <w:spacing w:line="242" w:lineRule="auto" w:before="92" w:after="0"/>
        <w:ind w:left="1927" w:right="1613" w:hanging="340"/>
        <w:jc w:val="left"/>
        <w:rPr>
          <w:sz w:val="21"/>
        </w:rPr>
      </w:pPr>
      <w:r>
        <w:rPr>
          <w:sz w:val="21"/>
        </w:rPr>
        <w:t>The </w:t>
      </w:r>
      <w:r>
        <w:rPr>
          <w:spacing w:val="-3"/>
          <w:sz w:val="21"/>
        </w:rPr>
        <w:t>Commission </w:t>
      </w:r>
      <w:r>
        <w:rPr>
          <w:sz w:val="21"/>
        </w:rPr>
        <w:t>also </w:t>
      </w:r>
      <w:r>
        <w:rPr>
          <w:spacing w:val="-3"/>
          <w:sz w:val="21"/>
        </w:rPr>
        <w:t>recommends that </w:t>
      </w:r>
      <w:r>
        <w:rPr>
          <w:sz w:val="21"/>
        </w:rPr>
        <w:t>the legal </w:t>
      </w:r>
      <w:r>
        <w:rPr>
          <w:spacing w:val="-3"/>
          <w:sz w:val="21"/>
        </w:rPr>
        <w:t>profession </w:t>
      </w:r>
      <w:r>
        <w:rPr>
          <w:sz w:val="21"/>
        </w:rPr>
        <w:t>revise the  </w:t>
      </w:r>
      <w:r>
        <w:rPr>
          <w:spacing w:val="-3"/>
          <w:sz w:val="21"/>
        </w:rPr>
        <w:t>professional  </w:t>
      </w:r>
      <w:r>
        <w:rPr>
          <w:sz w:val="21"/>
        </w:rPr>
        <w:t>rules  </w:t>
      </w:r>
      <w:r>
        <w:rPr>
          <w:spacing w:val="-3"/>
          <w:sz w:val="21"/>
        </w:rPr>
        <w:t>that </w:t>
      </w:r>
      <w:r>
        <w:rPr>
          <w:sz w:val="21"/>
        </w:rPr>
        <w:t>apply when a legal practitioner drafts a </w:t>
      </w:r>
      <w:r>
        <w:rPr>
          <w:spacing w:val="-3"/>
          <w:sz w:val="21"/>
        </w:rPr>
        <w:t>will that </w:t>
      </w:r>
      <w:r>
        <w:rPr>
          <w:sz w:val="21"/>
        </w:rPr>
        <w:t>appoints the legal practitioner as </w:t>
      </w:r>
      <w:r>
        <w:rPr>
          <w:spacing w:val="-3"/>
          <w:sz w:val="21"/>
        </w:rPr>
        <w:t>executor </w:t>
      </w:r>
      <w:r>
        <w:rPr>
          <w:sz w:val="21"/>
        </w:rPr>
        <w:t>and authorises the payment of </w:t>
      </w:r>
      <w:r>
        <w:rPr>
          <w:spacing w:val="-3"/>
          <w:sz w:val="21"/>
        </w:rPr>
        <w:t>commission, </w:t>
      </w:r>
      <w:r>
        <w:rPr>
          <w:sz w:val="21"/>
        </w:rPr>
        <w:t>or allows the legal practitioner </w:t>
      </w:r>
      <w:r>
        <w:rPr>
          <w:spacing w:val="-3"/>
          <w:sz w:val="21"/>
        </w:rPr>
        <w:t>to charge </w:t>
      </w:r>
      <w:r>
        <w:rPr>
          <w:sz w:val="21"/>
        </w:rPr>
        <w:t>the estate </w:t>
      </w:r>
      <w:r>
        <w:rPr>
          <w:spacing w:val="-3"/>
          <w:sz w:val="21"/>
        </w:rPr>
        <w:t>for </w:t>
      </w:r>
      <w:r>
        <w:rPr>
          <w:sz w:val="21"/>
        </w:rPr>
        <w:t>legal services. In </w:t>
      </w:r>
      <w:r>
        <w:rPr>
          <w:spacing w:val="-3"/>
          <w:sz w:val="21"/>
        </w:rPr>
        <w:t>addition, </w:t>
      </w:r>
      <w:r>
        <w:rPr>
          <w:sz w:val="21"/>
        </w:rPr>
        <w:t>the </w:t>
      </w:r>
      <w:r>
        <w:rPr>
          <w:spacing w:val="-3"/>
          <w:sz w:val="21"/>
        </w:rPr>
        <w:t>Commission recommends that  </w:t>
      </w:r>
      <w:r>
        <w:rPr>
          <w:sz w:val="21"/>
        </w:rPr>
        <w:t>new </w:t>
      </w:r>
      <w:r>
        <w:rPr>
          <w:spacing w:val="-3"/>
          <w:sz w:val="21"/>
        </w:rPr>
        <w:t>professional</w:t>
      </w:r>
      <w:r>
        <w:rPr>
          <w:spacing w:val="41"/>
          <w:sz w:val="21"/>
        </w:rPr>
        <w:t> </w:t>
      </w:r>
      <w:r>
        <w:rPr>
          <w:sz w:val="21"/>
        </w:rPr>
        <w:t>rules, supported  by </w:t>
      </w:r>
      <w:r>
        <w:rPr>
          <w:spacing w:val="-3"/>
          <w:sz w:val="21"/>
        </w:rPr>
        <w:t>guidelines, </w:t>
      </w:r>
      <w:r>
        <w:rPr>
          <w:sz w:val="21"/>
        </w:rPr>
        <w:t>should clarify the duties of  legal  practitioners  in  </w:t>
      </w:r>
      <w:r>
        <w:rPr>
          <w:spacing w:val="-3"/>
          <w:sz w:val="21"/>
        </w:rPr>
        <w:t>providing  executorial  </w:t>
      </w:r>
      <w:r>
        <w:rPr>
          <w:sz w:val="21"/>
        </w:rPr>
        <w:t>services and </w:t>
      </w:r>
      <w:r>
        <w:rPr>
          <w:spacing w:val="-3"/>
          <w:sz w:val="21"/>
        </w:rPr>
        <w:t>charging for </w:t>
      </w:r>
      <w:r>
        <w:rPr>
          <w:sz w:val="21"/>
        </w:rPr>
        <w:t>those</w:t>
      </w:r>
      <w:r>
        <w:rPr>
          <w:spacing w:val="40"/>
          <w:sz w:val="21"/>
        </w:rPr>
        <w:t> </w:t>
      </w:r>
      <w:r>
        <w:rPr>
          <w:sz w:val="21"/>
        </w:rPr>
        <w:t>services.</w:t>
      </w:r>
    </w:p>
    <w:p>
      <w:pPr>
        <w:pStyle w:val="BodyText"/>
        <w:spacing w:before="7"/>
        <w:rPr>
          <w:sz w:val="23"/>
        </w:rPr>
      </w:pPr>
    </w:p>
    <w:p>
      <w:pPr>
        <w:pStyle w:val="Heading5"/>
      </w:pPr>
      <w:r>
        <w:rPr>
          <w:w w:val="115"/>
        </w:rPr>
        <w:t>Court review of costs and commission</w:t>
      </w:r>
    </w:p>
    <w:p>
      <w:pPr>
        <w:pStyle w:val="ListParagraph"/>
        <w:numPr>
          <w:ilvl w:val="0"/>
          <w:numId w:val="7"/>
        </w:numPr>
        <w:tabs>
          <w:tab w:pos="1928" w:val="left" w:leader="none"/>
        </w:tabs>
        <w:spacing w:line="242" w:lineRule="auto" w:before="137" w:after="0"/>
        <w:ind w:left="1927" w:right="1600" w:hanging="340"/>
        <w:jc w:val="left"/>
        <w:rPr>
          <w:sz w:val="21"/>
        </w:rPr>
      </w:pPr>
      <w:r>
        <w:rPr>
          <w:w w:val="105"/>
          <w:sz w:val="21"/>
        </w:rPr>
        <w:t>The </w:t>
      </w:r>
      <w:r>
        <w:rPr>
          <w:spacing w:val="-3"/>
          <w:w w:val="105"/>
          <w:sz w:val="21"/>
        </w:rPr>
        <w:t>National Committee for Uniform Succession </w:t>
      </w:r>
      <w:r>
        <w:rPr>
          <w:w w:val="105"/>
          <w:sz w:val="21"/>
        </w:rPr>
        <w:t>Laws recommended </w:t>
      </w:r>
      <w:r>
        <w:rPr>
          <w:spacing w:val="-3"/>
          <w:w w:val="105"/>
          <w:sz w:val="21"/>
        </w:rPr>
        <w:t>that </w:t>
      </w:r>
      <w:r>
        <w:rPr>
          <w:w w:val="105"/>
          <w:sz w:val="21"/>
        </w:rPr>
        <w:t>the model </w:t>
      </w:r>
      <w:r>
        <w:rPr>
          <w:spacing w:val="-3"/>
          <w:w w:val="105"/>
          <w:sz w:val="21"/>
        </w:rPr>
        <w:t>legislation </w:t>
      </w:r>
      <w:r>
        <w:rPr>
          <w:w w:val="105"/>
          <w:sz w:val="21"/>
        </w:rPr>
        <w:t>should </w:t>
      </w:r>
      <w:r>
        <w:rPr>
          <w:spacing w:val="-3"/>
          <w:w w:val="105"/>
          <w:sz w:val="21"/>
        </w:rPr>
        <w:t>include </w:t>
      </w:r>
      <w:r>
        <w:rPr>
          <w:w w:val="105"/>
          <w:sz w:val="21"/>
        </w:rPr>
        <w:t>a </w:t>
      </w:r>
      <w:r>
        <w:rPr>
          <w:spacing w:val="-3"/>
          <w:w w:val="105"/>
          <w:sz w:val="21"/>
        </w:rPr>
        <w:t>provision </w:t>
      </w:r>
      <w:r>
        <w:rPr>
          <w:spacing w:val="-4"/>
          <w:w w:val="105"/>
          <w:sz w:val="21"/>
        </w:rPr>
        <w:t>like </w:t>
      </w:r>
      <w:r>
        <w:rPr>
          <w:w w:val="105"/>
          <w:sz w:val="21"/>
        </w:rPr>
        <w:t>section 86A of the </w:t>
      </w:r>
      <w:r>
        <w:rPr>
          <w:i/>
          <w:w w:val="105"/>
          <w:sz w:val="21"/>
        </w:rPr>
        <w:t>Probate and </w:t>
      </w:r>
      <w:r>
        <w:rPr>
          <w:i/>
          <w:spacing w:val="-3"/>
          <w:w w:val="105"/>
          <w:sz w:val="21"/>
        </w:rPr>
        <w:t>Administration </w:t>
      </w:r>
      <w:r>
        <w:rPr>
          <w:i/>
          <w:w w:val="105"/>
          <w:sz w:val="21"/>
        </w:rPr>
        <w:t>Act </w:t>
      </w:r>
      <w:r>
        <w:rPr>
          <w:i/>
          <w:spacing w:val="-4"/>
          <w:w w:val="105"/>
          <w:sz w:val="21"/>
        </w:rPr>
        <w:t>1898 </w:t>
      </w:r>
      <w:r>
        <w:rPr>
          <w:spacing w:val="2"/>
          <w:w w:val="105"/>
          <w:sz w:val="21"/>
        </w:rPr>
        <w:t>(NSW). </w:t>
      </w:r>
      <w:r>
        <w:rPr>
          <w:w w:val="105"/>
          <w:sz w:val="21"/>
        </w:rPr>
        <w:t>Section 86A allows the court </w:t>
      </w:r>
      <w:r>
        <w:rPr>
          <w:spacing w:val="-3"/>
          <w:w w:val="105"/>
          <w:sz w:val="21"/>
        </w:rPr>
        <w:t>to </w:t>
      </w:r>
      <w:r>
        <w:rPr>
          <w:w w:val="105"/>
          <w:sz w:val="21"/>
        </w:rPr>
        <w:t>review and </w:t>
      </w:r>
      <w:r>
        <w:rPr>
          <w:spacing w:val="-3"/>
          <w:w w:val="105"/>
          <w:sz w:val="21"/>
        </w:rPr>
        <w:t>reduce commission, </w:t>
      </w:r>
      <w:r>
        <w:rPr>
          <w:w w:val="105"/>
          <w:sz w:val="21"/>
        </w:rPr>
        <w:t>or an </w:t>
      </w:r>
      <w:r>
        <w:rPr>
          <w:spacing w:val="-3"/>
          <w:w w:val="105"/>
          <w:sz w:val="21"/>
        </w:rPr>
        <w:t>amount charged </w:t>
      </w:r>
      <w:r>
        <w:rPr>
          <w:w w:val="105"/>
          <w:sz w:val="21"/>
        </w:rPr>
        <w:t>or proposed </w:t>
      </w:r>
      <w:r>
        <w:rPr>
          <w:spacing w:val="-3"/>
          <w:w w:val="105"/>
          <w:sz w:val="21"/>
        </w:rPr>
        <w:t>to </w:t>
      </w:r>
      <w:r>
        <w:rPr>
          <w:w w:val="105"/>
          <w:sz w:val="21"/>
        </w:rPr>
        <w:t>be </w:t>
      </w:r>
      <w:r>
        <w:rPr>
          <w:spacing w:val="-3"/>
          <w:w w:val="105"/>
          <w:sz w:val="21"/>
        </w:rPr>
        <w:t>charged, </w:t>
      </w:r>
      <w:r>
        <w:rPr>
          <w:w w:val="105"/>
          <w:sz w:val="21"/>
        </w:rPr>
        <w:t>in respect of </w:t>
      </w:r>
      <w:r>
        <w:rPr>
          <w:spacing w:val="-3"/>
          <w:w w:val="105"/>
          <w:sz w:val="21"/>
        </w:rPr>
        <w:t>any estate, </w:t>
      </w:r>
      <w:r>
        <w:rPr>
          <w:w w:val="105"/>
          <w:sz w:val="21"/>
        </w:rPr>
        <w:t>even if the </w:t>
      </w:r>
      <w:r>
        <w:rPr>
          <w:spacing w:val="-3"/>
          <w:w w:val="105"/>
          <w:sz w:val="21"/>
        </w:rPr>
        <w:t>amount charged </w:t>
      </w:r>
      <w:r>
        <w:rPr>
          <w:w w:val="105"/>
          <w:sz w:val="21"/>
        </w:rPr>
        <w:t>is</w:t>
      </w:r>
      <w:r>
        <w:rPr>
          <w:spacing w:val="1"/>
          <w:w w:val="105"/>
          <w:sz w:val="21"/>
        </w:rPr>
        <w:t> </w:t>
      </w:r>
      <w:r>
        <w:rPr>
          <w:w w:val="105"/>
          <w:sz w:val="21"/>
        </w:rPr>
        <w:t>authorised</w:t>
      </w:r>
    </w:p>
    <w:p>
      <w:pPr>
        <w:pStyle w:val="BodyText"/>
        <w:spacing w:line="242" w:lineRule="auto" w:before="5"/>
        <w:ind w:left="1927" w:right="2289"/>
      </w:pPr>
      <w:r>
        <w:rPr/>
        <w:t>by the </w:t>
      </w:r>
      <w:r>
        <w:rPr>
          <w:spacing w:val="-3"/>
        </w:rPr>
        <w:t>will. </w:t>
      </w:r>
      <w:r>
        <w:rPr/>
        <w:t>The review can be requested by an </w:t>
      </w:r>
      <w:r>
        <w:rPr>
          <w:spacing w:val="-3"/>
        </w:rPr>
        <w:t>interested </w:t>
      </w:r>
      <w:r>
        <w:rPr/>
        <w:t>person or </w:t>
      </w:r>
      <w:r>
        <w:rPr>
          <w:spacing w:val="-3"/>
        </w:rPr>
        <w:t>initiated </w:t>
      </w:r>
      <w:r>
        <w:rPr/>
        <w:t>by the court.  The </w:t>
      </w:r>
      <w:r>
        <w:rPr>
          <w:spacing w:val="-3"/>
        </w:rPr>
        <w:t>provision </w:t>
      </w:r>
      <w:r>
        <w:rPr/>
        <w:t>is </w:t>
      </w:r>
      <w:r>
        <w:rPr>
          <w:spacing w:val="-3"/>
        </w:rPr>
        <w:t>rarely </w:t>
      </w:r>
      <w:r>
        <w:rPr/>
        <w:t>used in New South </w:t>
      </w:r>
      <w:r>
        <w:rPr>
          <w:spacing w:val="-3"/>
        </w:rPr>
        <w:t>Wales </w:t>
      </w:r>
      <w:r>
        <w:rPr/>
        <w:t>but </w:t>
      </w:r>
      <w:r>
        <w:rPr>
          <w:spacing w:val="-2"/>
        </w:rPr>
        <w:t>has </w:t>
      </w:r>
      <w:r>
        <w:rPr/>
        <w:t>served as an effective </w:t>
      </w:r>
      <w:r>
        <w:rPr>
          <w:spacing w:val="-3"/>
        </w:rPr>
        <w:t>deterrent to </w:t>
      </w:r>
      <w:r>
        <w:rPr/>
        <w:t>the abuse of </w:t>
      </w:r>
      <w:r>
        <w:rPr>
          <w:spacing w:val="-3"/>
        </w:rPr>
        <w:t>charging </w:t>
      </w:r>
      <w:r>
        <w:rPr/>
        <w:t>or </w:t>
      </w:r>
      <w:r>
        <w:rPr>
          <w:spacing w:val="-3"/>
        </w:rPr>
        <w:t>commission</w:t>
      </w:r>
      <w:r>
        <w:rPr>
          <w:spacing w:val="17"/>
        </w:rPr>
        <w:t> </w:t>
      </w:r>
      <w:r>
        <w:rPr>
          <w:spacing w:val="-3"/>
        </w:rPr>
        <w:t>clauses.</w:t>
      </w:r>
    </w:p>
    <w:p>
      <w:pPr>
        <w:pStyle w:val="ListParagraph"/>
        <w:numPr>
          <w:ilvl w:val="0"/>
          <w:numId w:val="7"/>
        </w:numPr>
        <w:tabs>
          <w:tab w:pos="1928" w:val="left" w:leader="none"/>
        </w:tabs>
        <w:spacing w:line="242" w:lineRule="auto" w:before="123" w:after="0"/>
        <w:ind w:left="1927" w:right="1660" w:hanging="340"/>
        <w:jc w:val="left"/>
        <w:rPr>
          <w:sz w:val="21"/>
        </w:rPr>
      </w:pPr>
      <w:r>
        <w:rPr>
          <w:sz w:val="21"/>
        </w:rPr>
        <w:t>The </w:t>
      </w:r>
      <w:r>
        <w:rPr>
          <w:spacing w:val="-3"/>
          <w:sz w:val="21"/>
        </w:rPr>
        <w:t>Commission recommends that </w:t>
      </w:r>
      <w:r>
        <w:rPr>
          <w:sz w:val="21"/>
        </w:rPr>
        <w:t>Victoria adopt a </w:t>
      </w:r>
      <w:r>
        <w:rPr>
          <w:spacing w:val="-3"/>
          <w:sz w:val="21"/>
        </w:rPr>
        <w:t>provision such </w:t>
      </w:r>
      <w:r>
        <w:rPr>
          <w:sz w:val="21"/>
        </w:rPr>
        <w:t>as section 86A, </w:t>
      </w:r>
      <w:r>
        <w:rPr>
          <w:spacing w:val="-3"/>
          <w:sz w:val="21"/>
        </w:rPr>
        <w:t>except that </w:t>
      </w:r>
      <w:r>
        <w:rPr>
          <w:sz w:val="21"/>
        </w:rPr>
        <w:t>there would be a time </w:t>
      </w:r>
      <w:r>
        <w:rPr>
          <w:spacing w:val="-3"/>
          <w:sz w:val="21"/>
        </w:rPr>
        <w:t>limit within </w:t>
      </w:r>
      <w:r>
        <w:rPr>
          <w:sz w:val="21"/>
        </w:rPr>
        <w:t>which an </w:t>
      </w:r>
      <w:r>
        <w:rPr>
          <w:spacing w:val="-3"/>
          <w:sz w:val="21"/>
        </w:rPr>
        <w:t>interested </w:t>
      </w:r>
      <w:r>
        <w:rPr>
          <w:sz w:val="21"/>
        </w:rPr>
        <w:t>person </w:t>
      </w:r>
      <w:r>
        <w:rPr>
          <w:spacing w:val="-3"/>
          <w:sz w:val="21"/>
        </w:rPr>
        <w:t>could </w:t>
      </w:r>
      <w:r>
        <w:rPr>
          <w:sz w:val="21"/>
        </w:rPr>
        <w:t>apply </w:t>
      </w:r>
      <w:r>
        <w:rPr>
          <w:spacing w:val="-3"/>
          <w:sz w:val="21"/>
        </w:rPr>
        <w:t>for </w:t>
      </w:r>
      <w:r>
        <w:rPr>
          <w:spacing w:val="-4"/>
          <w:sz w:val="21"/>
        </w:rPr>
        <w:t>review. </w:t>
      </w:r>
      <w:r>
        <w:rPr>
          <w:sz w:val="21"/>
        </w:rPr>
        <w:t>The time </w:t>
      </w:r>
      <w:r>
        <w:rPr>
          <w:spacing w:val="-3"/>
          <w:sz w:val="21"/>
        </w:rPr>
        <w:t>limit </w:t>
      </w:r>
      <w:r>
        <w:rPr>
          <w:sz w:val="21"/>
        </w:rPr>
        <w:t>would be three </w:t>
      </w:r>
      <w:r>
        <w:rPr>
          <w:spacing w:val="-3"/>
          <w:sz w:val="21"/>
        </w:rPr>
        <w:t>months </w:t>
      </w:r>
      <w:r>
        <w:rPr>
          <w:sz w:val="21"/>
        </w:rPr>
        <w:t>after the time </w:t>
      </w:r>
      <w:r>
        <w:rPr>
          <w:spacing w:val="-3"/>
          <w:sz w:val="21"/>
        </w:rPr>
        <w:t>that </w:t>
      </w:r>
      <w:r>
        <w:rPr>
          <w:sz w:val="21"/>
        </w:rPr>
        <w:t>the </w:t>
      </w:r>
      <w:r>
        <w:rPr>
          <w:spacing w:val="-3"/>
          <w:sz w:val="21"/>
        </w:rPr>
        <w:t>interested </w:t>
      </w:r>
      <w:r>
        <w:rPr>
          <w:sz w:val="21"/>
        </w:rPr>
        <w:t>person </w:t>
      </w:r>
      <w:r>
        <w:rPr>
          <w:spacing w:val="-4"/>
          <w:sz w:val="21"/>
        </w:rPr>
        <w:t>knew, </w:t>
      </w:r>
      <w:r>
        <w:rPr>
          <w:sz w:val="21"/>
        </w:rPr>
        <w:t>or </w:t>
      </w:r>
      <w:r>
        <w:rPr>
          <w:spacing w:val="-3"/>
          <w:sz w:val="21"/>
        </w:rPr>
        <w:t>ought to have </w:t>
      </w:r>
      <w:r>
        <w:rPr>
          <w:sz w:val="21"/>
        </w:rPr>
        <w:t>known, of </w:t>
      </w:r>
      <w:r>
        <w:rPr>
          <w:spacing w:val="-3"/>
          <w:sz w:val="21"/>
        </w:rPr>
        <w:t>all commission,  charges  </w:t>
      </w:r>
      <w:r>
        <w:rPr>
          <w:sz w:val="21"/>
        </w:rPr>
        <w:t>and disbursements </w:t>
      </w:r>
      <w:r>
        <w:rPr>
          <w:spacing w:val="-3"/>
          <w:sz w:val="21"/>
        </w:rPr>
        <w:t>charged</w:t>
      </w:r>
      <w:r>
        <w:rPr>
          <w:spacing w:val="41"/>
          <w:sz w:val="21"/>
        </w:rPr>
        <w:t> </w:t>
      </w:r>
      <w:r>
        <w:rPr>
          <w:sz w:val="21"/>
        </w:rPr>
        <w:t>or proposed </w:t>
      </w:r>
      <w:r>
        <w:rPr>
          <w:spacing w:val="-3"/>
          <w:sz w:val="21"/>
        </w:rPr>
        <w:t>to  </w:t>
      </w:r>
      <w:r>
        <w:rPr>
          <w:sz w:val="21"/>
        </w:rPr>
        <w:t>be </w:t>
      </w:r>
      <w:r>
        <w:rPr>
          <w:spacing w:val="-3"/>
          <w:sz w:val="21"/>
        </w:rPr>
        <w:t>charged  </w:t>
      </w:r>
      <w:r>
        <w:rPr>
          <w:sz w:val="21"/>
        </w:rPr>
        <w:t>out  of the </w:t>
      </w:r>
      <w:r>
        <w:rPr>
          <w:spacing w:val="-3"/>
          <w:sz w:val="21"/>
        </w:rPr>
        <w:t>estate.  </w:t>
      </w:r>
      <w:r>
        <w:rPr>
          <w:sz w:val="21"/>
        </w:rPr>
        <w:t>This </w:t>
      </w:r>
      <w:r>
        <w:rPr>
          <w:spacing w:val="-3"/>
          <w:sz w:val="21"/>
        </w:rPr>
        <w:t>additional</w:t>
      </w:r>
      <w:r>
        <w:rPr>
          <w:spacing w:val="41"/>
          <w:sz w:val="21"/>
        </w:rPr>
        <w:t> </w:t>
      </w:r>
      <w:r>
        <w:rPr>
          <w:spacing w:val="-3"/>
          <w:sz w:val="21"/>
        </w:rPr>
        <w:t>requirement  </w:t>
      </w:r>
      <w:r>
        <w:rPr>
          <w:sz w:val="21"/>
        </w:rPr>
        <w:t>was proposed by the Law </w:t>
      </w:r>
      <w:r>
        <w:rPr>
          <w:spacing w:val="-3"/>
          <w:sz w:val="21"/>
        </w:rPr>
        <w:t>Institute  </w:t>
      </w:r>
      <w:r>
        <w:rPr>
          <w:sz w:val="21"/>
        </w:rPr>
        <w:t>of Victoria and   was widely supported in</w:t>
      </w:r>
      <w:r>
        <w:rPr>
          <w:spacing w:val="35"/>
          <w:sz w:val="21"/>
        </w:rPr>
        <w:t> </w:t>
      </w:r>
      <w:r>
        <w:rPr>
          <w:spacing w:val="-3"/>
          <w:sz w:val="21"/>
        </w:rPr>
        <w:t>submissions.</w:t>
      </w:r>
    </w:p>
    <w:p>
      <w:pPr>
        <w:pStyle w:val="BodyText"/>
        <w:spacing w:before="7"/>
        <w:rPr>
          <w:sz w:val="23"/>
        </w:rPr>
      </w:pPr>
    </w:p>
    <w:p>
      <w:pPr>
        <w:pStyle w:val="Heading5"/>
      </w:pPr>
      <w:r>
        <w:rPr>
          <w:w w:val="115"/>
        </w:rPr>
        <w:t>Community education for non-professional executors and beneficiaries</w:t>
      </w:r>
    </w:p>
    <w:p>
      <w:pPr>
        <w:pStyle w:val="ListParagraph"/>
        <w:numPr>
          <w:ilvl w:val="0"/>
          <w:numId w:val="7"/>
        </w:numPr>
        <w:tabs>
          <w:tab w:pos="1928" w:val="left" w:leader="none"/>
        </w:tabs>
        <w:spacing w:line="242" w:lineRule="auto" w:before="138" w:after="0"/>
        <w:ind w:left="1927" w:right="2039" w:hanging="340"/>
        <w:jc w:val="left"/>
        <w:rPr>
          <w:sz w:val="21"/>
        </w:rPr>
      </w:pPr>
      <w:r>
        <w:rPr>
          <w:w w:val="105"/>
          <w:sz w:val="21"/>
        </w:rPr>
        <w:t>In</w:t>
      </w:r>
      <w:r>
        <w:rPr>
          <w:spacing w:val="-6"/>
          <w:w w:val="105"/>
          <w:sz w:val="21"/>
        </w:rPr>
        <w:t> </w:t>
      </w:r>
      <w:r>
        <w:rPr>
          <w:w w:val="105"/>
          <w:sz w:val="21"/>
        </w:rPr>
        <w:t>response</w:t>
      </w:r>
      <w:r>
        <w:rPr>
          <w:spacing w:val="-6"/>
          <w:w w:val="105"/>
          <w:sz w:val="21"/>
        </w:rPr>
        <w:t> </w:t>
      </w:r>
      <w:r>
        <w:rPr>
          <w:spacing w:val="-3"/>
          <w:w w:val="105"/>
          <w:sz w:val="21"/>
        </w:rPr>
        <w:t>to</w:t>
      </w:r>
      <w:r>
        <w:rPr>
          <w:spacing w:val="-6"/>
          <w:w w:val="105"/>
          <w:sz w:val="21"/>
        </w:rPr>
        <w:t> </w:t>
      </w:r>
      <w:r>
        <w:rPr>
          <w:spacing w:val="-3"/>
          <w:w w:val="105"/>
          <w:sz w:val="21"/>
        </w:rPr>
        <w:t>submissions</w:t>
      </w:r>
      <w:r>
        <w:rPr>
          <w:spacing w:val="-5"/>
          <w:w w:val="105"/>
          <w:sz w:val="21"/>
        </w:rPr>
        <w:t> </w:t>
      </w:r>
      <w:r>
        <w:rPr>
          <w:spacing w:val="-3"/>
          <w:w w:val="105"/>
          <w:sz w:val="21"/>
        </w:rPr>
        <w:t>that</w:t>
      </w:r>
      <w:r>
        <w:rPr>
          <w:spacing w:val="-6"/>
          <w:w w:val="105"/>
          <w:sz w:val="21"/>
        </w:rPr>
        <w:t> </w:t>
      </w:r>
      <w:r>
        <w:rPr>
          <w:spacing w:val="-3"/>
          <w:w w:val="105"/>
          <w:sz w:val="21"/>
        </w:rPr>
        <w:t>drew</w:t>
      </w:r>
      <w:r>
        <w:rPr>
          <w:spacing w:val="-6"/>
          <w:w w:val="105"/>
          <w:sz w:val="21"/>
        </w:rPr>
        <w:t> </w:t>
      </w:r>
      <w:r>
        <w:rPr>
          <w:w w:val="105"/>
          <w:sz w:val="21"/>
        </w:rPr>
        <w:t>attention</w:t>
      </w:r>
      <w:r>
        <w:rPr>
          <w:spacing w:val="-6"/>
          <w:w w:val="105"/>
          <w:sz w:val="21"/>
        </w:rPr>
        <w:t> </w:t>
      </w:r>
      <w:r>
        <w:rPr>
          <w:spacing w:val="-3"/>
          <w:w w:val="105"/>
          <w:sz w:val="21"/>
        </w:rPr>
        <w:t>to</w:t>
      </w:r>
      <w:r>
        <w:rPr>
          <w:spacing w:val="-5"/>
          <w:w w:val="105"/>
          <w:sz w:val="21"/>
        </w:rPr>
        <w:t> </w:t>
      </w:r>
      <w:r>
        <w:rPr>
          <w:w w:val="105"/>
          <w:sz w:val="21"/>
        </w:rPr>
        <w:t>gaps</w:t>
      </w:r>
      <w:r>
        <w:rPr>
          <w:spacing w:val="-6"/>
          <w:w w:val="105"/>
          <w:sz w:val="21"/>
        </w:rPr>
        <w:t> </w:t>
      </w:r>
      <w:r>
        <w:rPr>
          <w:w w:val="105"/>
          <w:sz w:val="21"/>
        </w:rPr>
        <w:t>in</w:t>
      </w:r>
      <w:r>
        <w:rPr>
          <w:spacing w:val="-6"/>
          <w:w w:val="105"/>
          <w:sz w:val="21"/>
        </w:rPr>
        <w:t> </w:t>
      </w:r>
      <w:r>
        <w:rPr>
          <w:spacing w:val="-3"/>
          <w:w w:val="105"/>
          <w:sz w:val="21"/>
        </w:rPr>
        <w:t>publicly</w:t>
      </w:r>
      <w:r>
        <w:rPr>
          <w:spacing w:val="-5"/>
          <w:w w:val="105"/>
          <w:sz w:val="21"/>
        </w:rPr>
        <w:t> </w:t>
      </w:r>
      <w:r>
        <w:rPr>
          <w:spacing w:val="-3"/>
          <w:w w:val="105"/>
          <w:sz w:val="21"/>
        </w:rPr>
        <w:t>available</w:t>
      </w:r>
      <w:r>
        <w:rPr>
          <w:spacing w:val="-6"/>
          <w:w w:val="105"/>
          <w:sz w:val="21"/>
        </w:rPr>
        <w:t> </w:t>
      </w:r>
      <w:r>
        <w:rPr>
          <w:spacing w:val="-3"/>
          <w:w w:val="105"/>
          <w:sz w:val="21"/>
        </w:rPr>
        <w:t>information</w:t>
      </w:r>
      <w:r>
        <w:rPr>
          <w:spacing w:val="-6"/>
          <w:w w:val="105"/>
          <w:sz w:val="21"/>
        </w:rPr>
        <w:t> </w:t>
      </w:r>
      <w:r>
        <w:rPr>
          <w:w w:val="105"/>
          <w:sz w:val="21"/>
        </w:rPr>
        <w:t>on what happens </w:t>
      </w:r>
      <w:r>
        <w:rPr>
          <w:spacing w:val="-3"/>
          <w:w w:val="105"/>
          <w:sz w:val="21"/>
        </w:rPr>
        <w:t>to </w:t>
      </w:r>
      <w:r>
        <w:rPr>
          <w:w w:val="105"/>
          <w:sz w:val="21"/>
        </w:rPr>
        <w:t>a </w:t>
      </w:r>
      <w:r>
        <w:rPr>
          <w:spacing w:val="-3"/>
          <w:w w:val="105"/>
          <w:sz w:val="21"/>
        </w:rPr>
        <w:t>person’s </w:t>
      </w:r>
      <w:r>
        <w:rPr>
          <w:w w:val="105"/>
          <w:sz w:val="21"/>
        </w:rPr>
        <w:t>assets after they </w:t>
      </w:r>
      <w:r>
        <w:rPr>
          <w:spacing w:val="-3"/>
          <w:w w:val="105"/>
          <w:sz w:val="21"/>
        </w:rPr>
        <w:t>die, </w:t>
      </w:r>
      <w:r>
        <w:rPr>
          <w:w w:val="105"/>
          <w:sz w:val="21"/>
        </w:rPr>
        <w:t>the </w:t>
      </w:r>
      <w:r>
        <w:rPr>
          <w:spacing w:val="-3"/>
          <w:w w:val="105"/>
          <w:sz w:val="21"/>
        </w:rPr>
        <w:t>Commission recommends that </w:t>
      </w:r>
      <w:r>
        <w:rPr>
          <w:w w:val="105"/>
          <w:sz w:val="21"/>
        </w:rPr>
        <w:t>the Victorian Law Foundation should </w:t>
      </w:r>
      <w:r>
        <w:rPr>
          <w:spacing w:val="-3"/>
          <w:w w:val="105"/>
          <w:sz w:val="21"/>
        </w:rPr>
        <w:t>publish </w:t>
      </w:r>
      <w:r>
        <w:rPr>
          <w:w w:val="105"/>
          <w:sz w:val="21"/>
        </w:rPr>
        <w:t>a </w:t>
      </w:r>
      <w:r>
        <w:rPr>
          <w:spacing w:val="-3"/>
          <w:w w:val="105"/>
          <w:sz w:val="21"/>
        </w:rPr>
        <w:t>guide, </w:t>
      </w:r>
      <w:r>
        <w:rPr>
          <w:w w:val="105"/>
          <w:sz w:val="21"/>
        </w:rPr>
        <w:t>or series of guides, on </w:t>
      </w:r>
      <w:r>
        <w:rPr>
          <w:spacing w:val="-3"/>
          <w:w w:val="105"/>
          <w:sz w:val="21"/>
        </w:rPr>
        <w:t>making wills </w:t>
      </w:r>
      <w:r>
        <w:rPr>
          <w:w w:val="105"/>
          <w:sz w:val="21"/>
        </w:rPr>
        <w:t>and the role of the</w:t>
      </w:r>
      <w:r>
        <w:rPr>
          <w:spacing w:val="20"/>
          <w:w w:val="105"/>
          <w:sz w:val="21"/>
        </w:rPr>
        <w:t> </w:t>
      </w:r>
      <w:r>
        <w:rPr>
          <w:spacing w:val="-4"/>
          <w:w w:val="105"/>
          <w:sz w:val="21"/>
        </w:rPr>
        <w:t>executor.</w:t>
      </w:r>
    </w:p>
    <w:p>
      <w:pPr>
        <w:pStyle w:val="BodyText"/>
        <w:spacing w:before="6"/>
        <w:rPr>
          <w:sz w:val="23"/>
        </w:rPr>
      </w:pPr>
    </w:p>
    <w:p>
      <w:pPr>
        <w:pStyle w:val="Heading4"/>
        <w:spacing w:before="1"/>
      </w:pPr>
      <w:r>
        <w:rPr>
          <w:color w:val="EC5A4F"/>
          <w:w w:val="115"/>
        </w:rPr>
        <w:t>Payment of debts</w:t>
      </w:r>
    </w:p>
    <w:p>
      <w:pPr>
        <w:pStyle w:val="ListParagraph"/>
        <w:numPr>
          <w:ilvl w:val="0"/>
          <w:numId w:val="7"/>
        </w:numPr>
        <w:tabs>
          <w:tab w:pos="1928" w:val="left" w:leader="none"/>
        </w:tabs>
        <w:spacing w:line="242" w:lineRule="auto" w:before="154" w:after="0"/>
        <w:ind w:left="1927" w:right="2181" w:hanging="340"/>
        <w:jc w:val="both"/>
        <w:rPr>
          <w:sz w:val="21"/>
        </w:rPr>
      </w:pPr>
      <w:r>
        <w:rPr>
          <w:sz w:val="21"/>
        </w:rPr>
        <w:t>While </w:t>
      </w:r>
      <w:r>
        <w:rPr>
          <w:spacing w:val="-2"/>
          <w:sz w:val="21"/>
        </w:rPr>
        <w:t>not </w:t>
      </w:r>
      <w:r>
        <w:rPr>
          <w:spacing w:val="-3"/>
          <w:sz w:val="21"/>
        </w:rPr>
        <w:t>causing significant </w:t>
      </w:r>
      <w:r>
        <w:rPr>
          <w:sz w:val="21"/>
        </w:rPr>
        <w:t>difficulties, </w:t>
      </w:r>
      <w:r>
        <w:rPr>
          <w:spacing w:val="-3"/>
          <w:sz w:val="21"/>
        </w:rPr>
        <w:t>Victoria’s  current  </w:t>
      </w:r>
      <w:r>
        <w:rPr>
          <w:sz w:val="21"/>
        </w:rPr>
        <w:t>law in </w:t>
      </w:r>
      <w:r>
        <w:rPr>
          <w:spacing w:val="-3"/>
          <w:sz w:val="21"/>
        </w:rPr>
        <w:t>relation</w:t>
      </w:r>
      <w:r>
        <w:rPr>
          <w:spacing w:val="41"/>
          <w:sz w:val="21"/>
        </w:rPr>
        <w:t> </w:t>
      </w:r>
      <w:r>
        <w:rPr>
          <w:spacing w:val="-3"/>
          <w:sz w:val="21"/>
        </w:rPr>
        <w:t>to  </w:t>
      </w:r>
      <w:r>
        <w:rPr>
          <w:sz w:val="21"/>
        </w:rPr>
        <w:t>the payment of debts is overly complex. In some </w:t>
      </w:r>
      <w:r>
        <w:rPr>
          <w:spacing w:val="-3"/>
          <w:sz w:val="21"/>
        </w:rPr>
        <w:t>areas, </w:t>
      </w:r>
      <w:r>
        <w:rPr>
          <w:sz w:val="21"/>
        </w:rPr>
        <w:t>the </w:t>
      </w:r>
      <w:r>
        <w:rPr>
          <w:spacing w:val="-3"/>
          <w:sz w:val="21"/>
        </w:rPr>
        <w:t>relative </w:t>
      </w:r>
      <w:r>
        <w:rPr>
          <w:sz w:val="21"/>
        </w:rPr>
        <w:t>simplicity of the law is obscured by </w:t>
      </w:r>
      <w:r>
        <w:rPr>
          <w:spacing w:val="-3"/>
          <w:sz w:val="21"/>
        </w:rPr>
        <w:t>inaccessible</w:t>
      </w:r>
      <w:r>
        <w:rPr>
          <w:spacing w:val="8"/>
          <w:sz w:val="21"/>
        </w:rPr>
        <w:t> </w:t>
      </w:r>
      <w:r>
        <w:rPr>
          <w:spacing w:val="-3"/>
          <w:sz w:val="21"/>
        </w:rPr>
        <w:t>drafting.</w:t>
      </w:r>
    </w:p>
    <w:p>
      <w:pPr>
        <w:pStyle w:val="ListParagraph"/>
        <w:numPr>
          <w:ilvl w:val="0"/>
          <w:numId w:val="7"/>
        </w:numPr>
        <w:tabs>
          <w:tab w:pos="1928" w:val="left" w:leader="none"/>
        </w:tabs>
        <w:spacing w:line="242" w:lineRule="auto" w:before="124" w:after="0"/>
        <w:ind w:left="1927" w:right="1615" w:hanging="340"/>
        <w:jc w:val="left"/>
        <w:rPr>
          <w:sz w:val="21"/>
        </w:rPr>
      </w:pPr>
      <w:r>
        <w:rPr>
          <w:w w:val="105"/>
          <w:sz w:val="21"/>
        </w:rPr>
        <w:t>The </w:t>
      </w:r>
      <w:r>
        <w:rPr>
          <w:spacing w:val="-3"/>
          <w:w w:val="105"/>
          <w:sz w:val="21"/>
        </w:rPr>
        <w:t>National Committee for Uniform Succession </w:t>
      </w:r>
      <w:r>
        <w:rPr>
          <w:w w:val="105"/>
          <w:sz w:val="21"/>
        </w:rPr>
        <w:t>Laws made </w:t>
      </w:r>
      <w:r>
        <w:rPr>
          <w:spacing w:val="-3"/>
          <w:w w:val="105"/>
          <w:sz w:val="21"/>
        </w:rPr>
        <w:t>recommendations that, </w:t>
      </w:r>
      <w:r>
        <w:rPr>
          <w:w w:val="105"/>
          <w:sz w:val="21"/>
        </w:rPr>
        <w:t>if adopted in Victoria, would modernise and clarify the law and simplify the </w:t>
      </w:r>
      <w:r>
        <w:rPr>
          <w:spacing w:val="-3"/>
          <w:w w:val="105"/>
          <w:sz w:val="21"/>
        </w:rPr>
        <w:t>administration </w:t>
      </w:r>
      <w:r>
        <w:rPr>
          <w:w w:val="105"/>
          <w:sz w:val="21"/>
        </w:rPr>
        <w:t>of estates. </w:t>
      </w:r>
      <w:r>
        <w:rPr>
          <w:spacing w:val="-3"/>
          <w:w w:val="105"/>
          <w:sz w:val="21"/>
        </w:rPr>
        <w:t>Submissions to </w:t>
      </w:r>
      <w:r>
        <w:rPr>
          <w:w w:val="105"/>
          <w:sz w:val="21"/>
        </w:rPr>
        <w:t>the </w:t>
      </w:r>
      <w:r>
        <w:rPr>
          <w:spacing w:val="-3"/>
          <w:w w:val="105"/>
          <w:sz w:val="21"/>
        </w:rPr>
        <w:t>Commission conveyed </w:t>
      </w:r>
      <w:r>
        <w:rPr>
          <w:w w:val="105"/>
          <w:sz w:val="21"/>
        </w:rPr>
        <w:t>strong support </w:t>
      </w:r>
      <w:r>
        <w:rPr>
          <w:spacing w:val="-3"/>
          <w:w w:val="105"/>
          <w:sz w:val="21"/>
        </w:rPr>
        <w:t>for </w:t>
      </w:r>
      <w:r>
        <w:rPr>
          <w:w w:val="105"/>
          <w:sz w:val="21"/>
        </w:rPr>
        <w:t>adopting these </w:t>
      </w:r>
      <w:r>
        <w:rPr>
          <w:spacing w:val="-3"/>
          <w:w w:val="105"/>
          <w:sz w:val="21"/>
        </w:rPr>
        <w:t>recommendations </w:t>
      </w:r>
      <w:r>
        <w:rPr>
          <w:w w:val="105"/>
          <w:sz w:val="21"/>
        </w:rPr>
        <w:t>in Victoria, and the </w:t>
      </w:r>
      <w:r>
        <w:rPr>
          <w:spacing w:val="-3"/>
          <w:w w:val="105"/>
          <w:sz w:val="21"/>
        </w:rPr>
        <w:t>Commission recommends that </w:t>
      </w:r>
      <w:r>
        <w:rPr>
          <w:w w:val="105"/>
          <w:sz w:val="21"/>
        </w:rPr>
        <w:t>they be adopted. The </w:t>
      </w:r>
      <w:r>
        <w:rPr>
          <w:spacing w:val="-3"/>
          <w:w w:val="105"/>
          <w:sz w:val="21"/>
        </w:rPr>
        <w:t>reforms </w:t>
      </w:r>
      <w:r>
        <w:rPr>
          <w:w w:val="105"/>
          <w:sz w:val="21"/>
        </w:rPr>
        <w:t>would give primacy</w:t>
      </w:r>
      <w:r>
        <w:rPr>
          <w:spacing w:val="-7"/>
          <w:w w:val="105"/>
          <w:sz w:val="21"/>
        </w:rPr>
        <w:t> </w:t>
      </w:r>
      <w:r>
        <w:rPr>
          <w:spacing w:val="-3"/>
          <w:w w:val="105"/>
          <w:sz w:val="21"/>
        </w:rPr>
        <w:t>to</w:t>
      </w:r>
      <w:r>
        <w:rPr>
          <w:spacing w:val="-6"/>
          <w:w w:val="105"/>
          <w:sz w:val="21"/>
        </w:rPr>
        <w:t> </w:t>
      </w:r>
      <w:r>
        <w:rPr>
          <w:w w:val="105"/>
          <w:sz w:val="21"/>
        </w:rPr>
        <w:t>the</w:t>
      </w:r>
      <w:r>
        <w:rPr>
          <w:spacing w:val="-7"/>
          <w:w w:val="105"/>
          <w:sz w:val="21"/>
        </w:rPr>
        <w:t> </w:t>
      </w:r>
      <w:r>
        <w:rPr>
          <w:spacing w:val="-3"/>
          <w:w w:val="105"/>
          <w:sz w:val="21"/>
        </w:rPr>
        <w:t>will-maker’s</w:t>
      </w:r>
      <w:r>
        <w:rPr>
          <w:spacing w:val="-6"/>
          <w:w w:val="105"/>
          <w:sz w:val="21"/>
        </w:rPr>
        <w:t> </w:t>
      </w:r>
      <w:r>
        <w:rPr>
          <w:spacing w:val="-3"/>
          <w:w w:val="105"/>
          <w:sz w:val="21"/>
        </w:rPr>
        <w:t>intentions</w:t>
      </w:r>
      <w:r>
        <w:rPr>
          <w:spacing w:val="-7"/>
          <w:w w:val="105"/>
          <w:sz w:val="21"/>
        </w:rPr>
        <w:t> </w:t>
      </w:r>
      <w:r>
        <w:rPr>
          <w:w w:val="105"/>
          <w:sz w:val="21"/>
        </w:rPr>
        <w:t>when</w:t>
      </w:r>
      <w:r>
        <w:rPr>
          <w:spacing w:val="-6"/>
          <w:w w:val="105"/>
          <w:sz w:val="21"/>
        </w:rPr>
        <w:t> </w:t>
      </w:r>
      <w:r>
        <w:rPr>
          <w:w w:val="105"/>
          <w:sz w:val="21"/>
        </w:rPr>
        <w:t>the</w:t>
      </w:r>
      <w:r>
        <w:rPr>
          <w:spacing w:val="-7"/>
          <w:w w:val="105"/>
          <w:sz w:val="21"/>
        </w:rPr>
        <w:t> </w:t>
      </w:r>
      <w:r>
        <w:rPr>
          <w:w w:val="105"/>
          <w:sz w:val="21"/>
        </w:rPr>
        <w:t>estate</w:t>
      </w:r>
      <w:r>
        <w:rPr>
          <w:spacing w:val="-6"/>
          <w:w w:val="105"/>
          <w:sz w:val="21"/>
        </w:rPr>
        <w:t> </w:t>
      </w:r>
      <w:r>
        <w:rPr>
          <w:w w:val="105"/>
          <w:sz w:val="21"/>
        </w:rPr>
        <w:t>is</w:t>
      </w:r>
      <w:r>
        <w:rPr>
          <w:spacing w:val="-7"/>
          <w:w w:val="105"/>
          <w:sz w:val="21"/>
        </w:rPr>
        <w:t> </w:t>
      </w:r>
      <w:r>
        <w:rPr>
          <w:w w:val="105"/>
          <w:sz w:val="21"/>
        </w:rPr>
        <w:t>solvent,</w:t>
      </w:r>
      <w:r>
        <w:rPr>
          <w:spacing w:val="-6"/>
          <w:w w:val="105"/>
          <w:sz w:val="21"/>
        </w:rPr>
        <w:t> </w:t>
      </w:r>
      <w:r>
        <w:rPr>
          <w:w w:val="105"/>
          <w:sz w:val="21"/>
        </w:rPr>
        <w:t>and</w:t>
      </w:r>
      <w:r>
        <w:rPr>
          <w:spacing w:val="-7"/>
          <w:w w:val="105"/>
          <w:sz w:val="21"/>
        </w:rPr>
        <w:t> </w:t>
      </w:r>
      <w:r>
        <w:rPr>
          <w:w w:val="105"/>
          <w:sz w:val="21"/>
        </w:rPr>
        <w:t>clarify</w:t>
      </w:r>
      <w:r>
        <w:rPr>
          <w:spacing w:val="-6"/>
          <w:w w:val="105"/>
          <w:sz w:val="21"/>
        </w:rPr>
        <w:t> </w:t>
      </w:r>
      <w:r>
        <w:rPr>
          <w:w w:val="105"/>
          <w:sz w:val="21"/>
        </w:rPr>
        <w:t>the</w:t>
      </w:r>
      <w:r>
        <w:rPr>
          <w:spacing w:val="-7"/>
          <w:w w:val="105"/>
          <w:sz w:val="21"/>
        </w:rPr>
        <w:t> </w:t>
      </w:r>
      <w:r>
        <w:rPr>
          <w:w w:val="105"/>
          <w:sz w:val="21"/>
        </w:rPr>
        <w:t>application</w:t>
      </w:r>
    </w:p>
    <w:p>
      <w:pPr>
        <w:spacing w:before="5"/>
        <w:ind w:left="1927" w:right="0" w:firstLine="0"/>
        <w:jc w:val="left"/>
        <w:rPr>
          <w:sz w:val="21"/>
        </w:rPr>
      </w:pPr>
      <w:r>
        <w:rPr>
          <w:w w:val="105"/>
          <w:sz w:val="21"/>
        </w:rPr>
        <w:t>of the </w:t>
      </w:r>
      <w:r>
        <w:rPr>
          <w:i/>
          <w:w w:val="105"/>
          <w:sz w:val="21"/>
        </w:rPr>
        <w:t>Bankruptcy Act 1966 </w:t>
      </w:r>
      <w:r>
        <w:rPr>
          <w:w w:val="105"/>
          <w:sz w:val="21"/>
        </w:rPr>
        <w:t>(Cth) when the estate is insolvent.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6"/>
        </w:rPr>
      </w:pPr>
    </w:p>
    <w:p>
      <w:pPr>
        <w:spacing w:before="99"/>
        <w:ind w:left="720" w:right="0" w:firstLine="0"/>
        <w:jc w:val="left"/>
        <w:rPr>
          <w:b/>
          <w:sz w:val="24"/>
        </w:rPr>
      </w:pPr>
      <w:r>
        <w:rPr>
          <w:b/>
          <w:color w:val="EC5A4F"/>
          <w:w w:val="120"/>
          <w:sz w:val="24"/>
        </w:rPr>
        <w:t>xx</w:t>
      </w:r>
    </w:p>
    <w:p>
      <w:pPr>
        <w:spacing w:after="0"/>
        <w:jc w:val="left"/>
        <w:rPr>
          <w:sz w:val="24"/>
        </w:rPr>
        <w:sectPr>
          <w:pgSz w:w="11910" w:h="16840"/>
          <w:pgMar w:header="1372" w:footer="0" w:top="1560" w:bottom="280" w:left="0" w:right="0"/>
        </w:sectPr>
      </w:pPr>
    </w:p>
    <w:p>
      <w:pPr>
        <w:pStyle w:val="BodyText"/>
        <w:spacing w:before="3"/>
        <w:rPr>
          <w:b/>
        </w:rPr>
      </w:pPr>
    </w:p>
    <w:p>
      <w:pPr>
        <w:spacing w:before="99"/>
        <w:ind w:left="1587" w:right="0" w:firstLine="0"/>
        <w:jc w:val="left"/>
        <w:rPr>
          <w:b/>
          <w:sz w:val="28"/>
        </w:rPr>
      </w:pPr>
      <w:r>
        <w:rPr>
          <w:b/>
          <w:color w:val="EC5A4F"/>
          <w:w w:val="110"/>
          <w:sz w:val="28"/>
        </w:rPr>
        <w:t>Small estates</w:t>
      </w:r>
    </w:p>
    <w:p>
      <w:pPr>
        <w:pStyle w:val="ListParagraph"/>
        <w:numPr>
          <w:ilvl w:val="0"/>
          <w:numId w:val="7"/>
        </w:numPr>
        <w:tabs>
          <w:tab w:pos="1928" w:val="left" w:leader="none"/>
        </w:tabs>
        <w:spacing w:line="242" w:lineRule="auto" w:before="155" w:after="0"/>
        <w:ind w:left="1927" w:right="1792" w:hanging="340"/>
        <w:jc w:val="both"/>
        <w:rPr>
          <w:sz w:val="21"/>
        </w:rPr>
      </w:pPr>
      <w:r>
        <w:rPr>
          <w:sz w:val="21"/>
        </w:rPr>
        <w:t>Victorian law and practice provide a number of </w:t>
      </w:r>
      <w:r>
        <w:rPr>
          <w:spacing w:val="-3"/>
          <w:sz w:val="21"/>
        </w:rPr>
        <w:t>measures that </w:t>
      </w:r>
      <w:r>
        <w:rPr>
          <w:sz w:val="21"/>
        </w:rPr>
        <w:t>assist personal representatives  of </w:t>
      </w:r>
      <w:r>
        <w:rPr>
          <w:spacing w:val="-3"/>
          <w:sz w:val="21"/>
        </w:rPr>
        <w:t>small </w:t>
      </w:r>
      <w:r>
        <w:rPr>
          <w:sz w:val="21"/>
        </w:rPr>
        <w:t>estates </w:t>
      </w:r>
      <w:r>
        <w:rPr>
          <w:spacing w:val="-3"/>
          <w:sz w:val="21"/>
        </w:rPr>
        <w:t>to </w:t>
      </w:r>
      <w:r>
        <w:rPr>
          <w:sz w:val="21"/>
        </w:rPr>
        <w:t>obtain a </w:t>
      </w:r>
      <w:r>
        <w:rPr>
          <w:spacing w:val="-3"/>
          <w:sz w:val="21"/>
        </w:rPr>
        <w:t>grant </w:t>
      </w:r>
      <w:r>
        <w:rPr>
          <w:sz w:val="21"/>
        </w:rPr>
        <w:t>of </w:t>
      </w:r>
      <w:r>
        <w:rPr>
          <w:spacing w:val="-3"/>
          <w:sz w:val="21"/>
        </w:rPr>
        <w:t>probate </w:t>
      </w:r>
      <w:r>
        <w:rPr>
          <w:sz w:val="21"/>
        </w:rPr>
        <w:t>or letters of </w:t>
      </w:r>
      <w:r>
        <w:rPr>
          <w:spacing w:val="-3"/>
          <w:sz w:val="21"/>
        </w:rPr>
        <w:t>administration </w:t>
      </w:r>
      <w:r>
        <w:rPr>
          <w:sz w:val="21"/>
        </w:rPr>
        <w:t>at less </w:t>
      </w:r>
      <w:r>
        <w:rPr>
          <w:spacing w:val="-3"/>
          <w:sz w:val="21"/>
        </w:rPr>
        <w:t>than </w:t>
      </w:r>
      <w:r>
        <w:rPr>
          <w:sz w:val="21"/>
        </w:rPr>
        <w:t>the </w:t>
      </w:r>
      <w:r>
        <w:rPr>
          <w:spacing w:val="-3"/>
          <w:sz w:val="21"/>
        </w:rPr>
        <w:t>usual </w:t>
      </w:r>
      <w:r>
        <w:rPr>
          <w:sz w:val="21"/>
        </w:rPr>
        <w:t>cost, or </w:t>
      </w:r>
      <w:r>
        <w:rPr>
          <w:spacing w:val="-3"/>
          <w:sz w:val="21"/>
        </w:rPr>
        <w:t>to administer </w:t>
      </w:r>
      <w:r>
        <w:rPr>
          <w:sz w:val="21"/>
        </w:rPr>
        <w:t>the estate without </w:t>
      </w:r>
      <w:r>
        <w:rPr>
          <w:spacing w:val="-3"/>
          <w:sz w:val="21"/>
        </w:rPr>
        <w:t>obtaining </w:t>
      </w:r>
      <w:r>
        <w:rPr>
          <w:sz w:val="21"/>
        </w:rPr>
        <w:t>a </w:t>
      </w:r>
      <w:r>
        <w:rPr>
          <w:spacing w:val="-3"/>
          <w:sz w:val="21"/>
        </w:rPr>
        <w:t>grant. </w:t>
      </w:r>
      <w:r>
        <w:rPr>
          <w:sz w:val="21"/>
        </w:rPr>
        <w:t>Some </w:t>
      </w:r>
      <w:r>
        <w:rPr>
          <w:spacing w:val="-3"/>
          <w:sz w:val="21"/>
        </w:rPr>
        <w:t>measures</w:t>
      </w:r>
      <w:r>
        <w:rPr>
          <w:spacing w:val="13"/>
          <w:sz w:val="21"/>
        </w:rPr>
        <w:t> </w:t>
      </w:r>
      <w:r>
        <w:rPr>
          <w:sz w:val="21"/>
        </w:rPr>
        <w:t>support</w:t>
      </w:r>
    </w:p>
    <w:p>
      <w:pPr>
        <w:pStyle w:val="BodyText"/>
        <w:spacing w:line="242" w:lineRule="auto" w:before="3"/>
        <w:ind w:left="1927" w:right="2210"/>
        <w:jc w:val="both"/>
      </w:pPr>
      <w:r>
        <w:rPr>
          <w:w w:val="105"/>
        </w:rPr>
        <w:t>non-professional</w:t>
      </w:r>
      <w:r>
        <w:rPr>
          <w:spacing w:val="-25"/>
          <w:w w:val="105"/>
        </w:rPr>
        <w:t> </w:t>
      </w:r>
      <w:r>
        <w:rPr>
          <w:w w:val="105"/>
        </w:rPr>
        <w:t>personal</w:t>
      </w:r>
      <w:r>
        <w:rPr>
          <w:spacing w:val="-24"/>
          <w:w w:val="105"/>
        </w:rPr>
        <w:t> </w:t>
      </w:r>
      <w:r>
        <w:rPr>
          <w:w w:val="105"/>
        </w:rPr>
        <w:t>representatives</w:t>
      </w:r>
      <w:r>
        <w:rPr>
          <w:spacing w:val="-24"/>
          <w:w w:val="105"/>
        </w:rPr>
        <w:t> </w:t>
      </w:r>
      <w:r>
        <w:rPr>
          <w:w w:val="105"/>
        </w:rPr>
        <w:t>who</w:t>
      </w:r>
      <w:r>
        <w:rPr>
          <w:spacing w:val="-24"/>
          <w:w w:val="105"/>
        </w:rPr>
        <w:t> </w:t>
      </w:r>
      <w:r>
        <w:rPr>
          <w:spacing w:val="-3"/>
          <w:w w:val="105"/>
        </w:rPr>
        <w:t>administer</w:t>
      </w:r>
      <w:r>
        <w:rPr>
          <w:spacing w:val="-24"/>
          <w:w w:val="105"/>
        </w:rPr>
        <w:t> </w:t>
      </w:r>
      <w:r>
        <w:rPr>
          <w:spacing w:val="-3"/>
          <w:w w:val="105"/>
        </w:rPr>
        <w:t>small</w:t>
      </w:r>
      <w:r>
        <w:rPr>
          <w:spacing w:val="-25"/>
          <w:w w:val="105"/>
        </w:rPr>
        <w:t> </w:t>
      </w:r>
      <w:r>
        <w:rPr>
          <w:w w:val="105"/>
        </w:rPr>
        <w:t>estates</w:t>
      </w:r>
      <w:r>
        <w:rPr>
          <w:spacing w:val="-24"/>
          <w:w w:val="105"/>
        </w:rPr>
        <w:t> </w:t>
      </w:r>
      <w:r>
        <w:rPr>
          <w:w w:val="105"/>
        </w:rPr>
        <w:t>themselves,</w:t>
      </w:r>
      <w:r>
        <w:rPr>
          <w:spacing w:val="-24"/>
          <w:w w:val="105"/>
        </w:rPr>
        <w:t> </w:t>
      </w:r>
      <w:r>
        <w:rPr>
          <w:w w:val="105"/>
        </w:rPr>
        <w:t>and others</w:t>
      </w:r>
      <w:r>
        <w:rPr>
          <w:spacing w:val="-11"/>
          <w:w w:val="105"/>
        </w:rPr>
        <w:t> </w:t>
      </w:r>
      <w:r>
        <w:rPr>
          <w:spacing w:val="-3"/>
          <w:w w:val="105"/>
        </w:rPr>
        <w:t>encourage</w:t>
      </w:r>
      <w:r>
        <w:rPr>
          <w:spacing w:val="-11"/>
          <w:w w:val="105"/>
        </w:rPr>
        <w:t> </w:t>
      </w:r>
      <w:r>
        <w:rPr>
          <w:w w:val="105"/>
        </w:rPr>
        <w:t>trustee</w:t>
      </w:r>
      <w:r>
        <w:rPr>
          <w:spacing w:val="-11"/>
          <w:w w:val="105"/>
        </w:rPr>
        <w:t> </w:t>
      </w:r>
      <w:r>
        <w:rPr>
          <w:spacing w:val="-3"/>
          <w:w w:val="105"/>
        </w:rPr>
        <w:t>companies</w:t>
      </w:r>
      <w:r>
        <w:rPr>
          <w:spacing w:val="-11"/>
          <w:w w:val="105"/>
        </w:rPr>
        <w:t> </w:t>
      </w:r>
      <w:r>
        <w:rPr>
          <w:spacing w:val="-3"/>
          <w:w w:val="105"/>
        </w:rPr>
        <w:t>to</w:t>
      </w:r>
      <w:r>
        <w:rPr>
          <w:spacing w:val="-10"/>
          <w:w w:val="105"/>
        </w:rPr>
        <w:t> </w:t>
      </w:r>
      <w:r>
        <w:rPr>
          <w:w w:val="105"/>
        </w:rPr>
        <w:t>obtain</w:t>
      </w:r>
      <w:r>
        <w:rPr>
          <w:spacing w:val="-11"/>
          <w:w w:val="105"/>
        </w:rPr>
        <w:t> </w:t>
      </w:r>
      <w:r>
        <w:rPr>
          <w:w w:val="105"/>
        </w:rPr>
        <w:t>grants</w:t>
      </w:r>
      <w:r>
        <w:rPr>
          <w:spacing w:val="-11"/>
          <w:w w:val="105"/>
        </w:rPr>
        <w:t> </w:t>
      </w:r>
      <w:r>
        <w:rPr>
          <w:w w:val="105"/>
        </w:rPr>
        <w:t>of</w:t>
      </w:r>
      <w:r>
        <w:rPr>
          <w:spacing w:val="-11"/>
          <w:w w:val="105"/>
        </w:rPr>
        <w:t> </w:t>
      </w:r>
      <w:r>
        <w:rPr>
          <w:spacing w:val="-2"/>
          <w:w w:val="105"/>
        </w:rPr>
        <w:t>representation</w:t>
      </w:r>
      <w:r>
        <w:rPr>
          <w:spacing w:val="-11"/>
          <w:w w:val="105"/>
        </w:rPr>
        <w:t> </w:t>
      </w:r>
      <w:r>
        <w:rPr>
          <w:spacing w:val="-3"/>
          <w:w w:val="105"/>
        </w:rPr>
        <w:t>for</w:t>
      </w:r>
      <w:r>
        <w:rPr>
          <w:spacing w:val="-10"/>
          <w:w w:val="105"/>
        </w:rPr>
        <w:t> </w:t>
      </w:r>
      <w:r>
        <w:rPr>
          <w:spacing w:val="-3"/>
          <w:w w:val="105"/>
        </w:rPr>
        <w:t>small</w:t>
      </w:r>
      <w:r>
        <w:rPr>
          <w:spacing w:val="-11"/>
          <w:w w:val="105"/>
        </w:rPr>
        <w:t> </w:t>
      </w:r>
      <w:r>
        <w:rPr>
          <w:w w:val="105"/>
        </w:rPr>
        <w:t>estates. Each</w:t>
      </w:r>
      <w:r>
        <w:rPr>
          <w:spacing w:val="-6"/>
          <w:w w:val="105"/>
        </w:rPr>
        <w:t> </w:t>
      </w:r>
      <w:r>
        <w:rPr>
          <w:w w:val="105"/>
        </w:rPr>
        <w:t>of</w:t>
      </w:r>
      <w:r>
        <w:rPr>
          <w:spacing w:val="-6"/>
          <w:w w:val="105"/>
        </w:rPr>
        <w:t> </w:t>
      </w:r>
      <w:r>
        <w:rPr>
          <w:w w:val="105"/>
        </w:rPr>
        <w:t>these</w:t>
      </w:r>
      <w:r>
        <w:rPr>
          <w:spacing w:val="-6"/>
          <w:w w:val="105"/>
        </w:rPr>
        <w:t> </w:t>
      </w:r>
      <w:r>
        <w:rPr>
          <w:spacing w:val="-3"/>
          <w:w w:val="105"/>
        </w:rPr>
        <w:t>measures</w:t>
      </w:r>
      <w:r>
        <w:rPr>
          <w:spacing w:val="-6"/>
          <w:w w:val="105"/>
        </w:rPr>
        <w:t> </w:t>
      </w:r>
      <w:r>
        <w:rPr>
          <w:w w:val="105"/>
        </w:rPr>
        <w:t>works</w:t>
      </w:r>
      <w:r>
        <w:rPr>
          <w:spacing w:val="-6"/>
          <w:w w:val="105"/>
        </w:rPr>
        <w:t> </w:t>
      </w:r>
      <w:r>
        <w:rPr>
          <w:w w:val="105"/>
        </w:rPr>
        <w:t>without</w:t>
      </w:r>
      <w:r>
        <w:rPr>
          <w:spacing w:val="-5"/>
          <w:w w:val="105"/>
        </w:rPr>
        <w:t> </w:t>
      </w:r>
      <w:r>
        <w:rPr>
          <w:spacing w:val="-3"/>
          <w:w w:val="105"/>
        </w:rPr>
        <w:t>significant</w:t>
      </w:r>
      <w:r>
        <w:rPr>
          <w:spacing w:val="-6"/>
          <w:w w:val="105"/>
        </w:rPr>
        <w:t> </w:t>
      </w:r>
      <w:r>
        <w:rPr>
          <w:w w:val="105"/>
        </w:rPr>
        <w:t>difficulty</w:t>
      </w:r>
      <w:r>
        <w:rPr>
          <w:spacing w:val="-6"/>
          <w:w w:val="105"/>
        </w:rPr>
        <w:t> </w:t>
      </w:r>
      <w:r>
        <w:rPr>
          <w:w w:val="105"/>
        </w:rPr>
        <w:t>but</w:t>
      </w:r>
      <w:r>
        <w:rPr>
          <w:spacing w:val="-6"/>
          <w:w w:val="105"/>
        </w:rPr>
        <w:t> </w:t>
      </w:r>
      <w:r>
        <w:rPr>
          <w:spacing w:val="-3"/>
          <w:w w:val="105"/>
        </w:rPr>
        <w:t>could</w:t>
      </w:r>
      <w:r>
        <w:rPr>
          <w:spacing w:val="-6"/>
          <w:w w:val="105"/>
        </w:rPr>
        <w:t> </w:t>
      </w:r>
      <w:r>
        <w:rPr>
          <w:w w:val="105"/>
        </w:rPr>
        <w:t>be</w:t>
      </w:r>
      <w:r>
        <w:rPr>
          <w:spacing w:val="-6"/>
          <w:w w:val="105"/>
        </w:rPr>
        <w:t> </w:t>
      </w:r>
      <w:r>
        <w:rPr>
          <w:w w:val="105"/>
        </w:rPr>
        <w:t>more</w:t>
      </w:r>
      <w:r>
        <w:rPr>
          <w:spacing w:val="-5"/>
          <w:w w:val="105"/>
        </w:rPr>
        <w:t> </w:t>
      </w:r>
      <w:r>
        <w:rPr>
          <w:w w:val="105"/>
        </w:rPr>
        <w:t>effective.</w:t>
      </w:r>
    </w:p>
    <w:p>
      <w:pPr>
        <w:pStyle w:val="ListParagraph"/>
        <w:numPr>
          <w:ilvl w:val="0"/>
          <w:numId w:val="7"/>
        </w:numPr>
        <w:tabs>
          <w:tab w:pos="1928" w:val="left" w:leader="none"/>
        </w:tabs>
        <w:spacing w:line="242" w:lineRule="auto" w:before="124" w:after="0"/>
        <w:ind w:left="1927" w:right="1765" w:hanging="340"/>
        <w:jc w:val="left"/>
        <w:rPr>
          <w:sz w:val="21"/>
        </w:rPr>
      </w:pPr>
      <w:r>
        <w:rPr>
          <w:sz w:val="21"/>
        </w:rPr>
        <w:t>The </w:t>
      </w:r>
      <w:r>
        <w:rPr>
          <w:spacing w:val="-4"/>
          <w:sz w:val="21"/>
        </w:rPr>
        <w:t>Supreme Court’s  </w:t>
      </w:r>
      <w:r>
        <w:rPr>
          <w:spacing w:val="-3"/>
          <w:sz w:val="21"/>
        </w:rPr>
        <w:t>Probate  </w:t>
      </w:r>
      <w:r>
        <w:rPr>
          <w:sz w:val="21"/>
        </w:rPr>
        <w:t>Office </w:t>
      </w:r>
      <w:r>
        <w:rPr>
          <w:spacing w:val="-3"/>
          <w:sz w:val="21"/>
        </w:rPr>
        <w:t>will</w:t>
      </w:r>
      <w:r>
        <w:rPr>
          <w:spacing w:val="41"/>
          <w:sz w:val="21"/>
        </w:rPr>
        <w:t> </w:t>
      </w:r>
      <w:r>
        <w:rPr>
          <w:spacing w:val="-4"/>
          <w:sz w:val="21"/>
        </w:rPr>
        <w:t>prepare  </w:t>
      </w:r>
      <w:r>
        <w:rPr>
          <w:spacing w:val="-3"/>
          <w:sz w:val="21"/>
        </w:rPr>
        <w:t>and  </w:t>
      </w:r>
      <w:r>
        <w:rPr>
          <w:sz w:val="21"/>
        </w:rPr>
        <w:t>file </w:t>
      </w:r>
      <w:r>
        <w:rPr>
          <w:spacing w:val="-3"/>
          <w:sz w:val="21"/>
        </w:rPr>
        <w:t>documents  for  </w:t>
      </w:r>
      <w:r>
        <w:rPr>
          <w:sz w:val="21"/>
        </w:rPr>
        <w:t>a person </w:t>
      </w:r>
      <w:r>
        <w:rPr>
          <w:spacing w:val="-3"/>
          <w:sz w:val="21"/>
        </w:rPr>
        <w:t>applying  for </w:t>
      </w:r>
      <w:r>
        <w:rPr>
          <w:sz w:val="21"/>
        </w:rPr>
        <w:t>a </w:t>
      </w:r>
      <w:r>
        <w:rPr>
          <w:spacing w:val="-4"/>
          <w:sz w:val="21"/>
        </w:rPr>
        <w:t>grant </w:t>
      </w:r>
      <w:r>
        <w:rPr>
          <w:spacing w:val="-3"/>
          <w:sz w:val="21"/>
        </w:rPr>
        <w:t>of </w:t>
      </w:r>
      <w:r>
        <w:rPr>
          <w:spacing w:val="-4"/>
          <w:sz w:val="21"/>
        </w:rPr>
        <w:t>representation, </w:t>
      </w:r>
      <w:r>
        <w:rPr>
          <w:sz w:val="21"/>
        </w:rPr>
        <w:t>if the </w:t>
      </w:r>
      <w:r>
        <w:rPr>
          <w:spacing w:val="-4"/>
          <w:sz w:val="21"/>
        </w:rPr>
        <w:t>value  </w:t>
      </w:r>
      <w:r>
        <w:rPr>
          <w:spacing w:val="-3"/>
          <w:sz w:val="21"/>
        </w:rPr>
        <w:t>of  </w:t>
      </w:r>
      <w:r>
        <w:rPr>
          <w:sz w:val="21"/>
        </w:rPr>
        <w:t>the </w:t>
      </w:r>
      <w:r>
        <w:rPr>
          <w:spacing w:val="-3"/>
          <w:sz w:val="21"/>
        </w:rPr>
        <w:t>estate</w:t>
      </w:r>
      <w:r>
        <w:rPr>
          <w:spacing w:val="41"/>
          <w:sz w:val="21"/>
        </w:rPr>
        <w:t> </w:t>
      </w:r>
      <w:r>
        <w:rPr>
          <w:sz w:val="21"/>
        </w:rPr>
        <w:t>is </w:t>
      </w:r>
      <w:r>
        <w:rPr>
          <w:spacing w:val="-3"/>
          <w:sz w:val="21"/>
        </w:rPr>
        <w:t>$25,000  </w:t>
      </w:r>
      <w:r>
        <w:rPr>
          <w:sz w:val="21"/>
        </w:rPr>
        <w:t>or less. If the </w:t>
      </w:r>
      <w:r>
        <w:rPr>
          <w:spacing w:val="-3"/>
          <w:sz w:val="21"/>
        </w:rPr>
        <w:t>only  beneficiaries are </w:t>
      </w:r>
      <w:r>
        <w:rPr>
          <w:sz w:val="21"/>
        </w:rPr>
        <w:t>the </w:t>
      </w:r>
      <w:r>
        <w:rPr>
          <w:spacing w:val="-4"/>
          <w:sz w:val="21"/>
        </w:rPr>
        <w:t>partner, children </w:t>
      </w:r>
      <w:r>
        <w:rPr>
          <w:sz w:val="21"/>
        </w:rPr>
        <w:t>or sole </w:t>
      </w:r>
      <w:r>
        <w:rPr>
          <w:spacing w:val="-3"/>
          <w:sz w:val="21"/>
        </w:rPr>
        <w:t>surviving </w:t>
      </w:r>
      <w:r>
        <w:rPr>
          <w:spacing w:val="-4"/>
          <w:sz w:val="21"/>
        </w:rPr>
        <w:t>parent  </w:t>
      </w:r>
      <w:r>
        <w:rPr>
          <w:spacing w:val="-3"/>
          <w:sz w:val="21"/>
        </w:rPr>
        <w:t>of </w:t>
      </w:r>
      <w:r>
        <w:rPr>
          <w:sz w:val="21"/>
        </w:rPr>
        <w:t>the </w:t>
      </w:r>
      <w:r>
        <w:rPr>
          <w:spacing w:val="-3"/>
          <w:sz w:val="21"/>
        </w:rPr>
        <w:t>deceased person, assistance </w:t>
      </w:r>
      <w:r>
        <w:rPr>
          <w:sz w:val="21"/>
        </w:rPr>
        <w:t>is </w:t>
      </w:r>
      <w:r>
        <w:rPr>
          <w:spacing w:val="-4"/>
          <w:sz w:val="21"/>
        </w:rPr>
        <w:t>available  </w:t>
      </w:r>
      <w:r>
        <w:rPr>
          <w:spacing w:val="-3"/>
          <w:sz w:val="21"/>
        </w:rPr>
        <w:t>for </w:t>
      </w:r>
      <w:r>
        <w:rPr>
          <w:sz w:val="21"/>
        </w:rPr>
        <w:t>an </w:t>
      </w:r>
      <w:r>
        <w:rPr>
          <w:spacing w:val="-3"/>
          <w:sz w:val="21"/>
        </w:rPr>
        <w:t>estate that </w:t>
      </w:r>
      <w:r>
        <w:rPr>
          <w:sz w:val="21"/>
        </w:rPr>
        <w:t>is </w:t>
      </w:r>
      <w:r>
        <w:rPr>
          <w:spacing w:val="-3"/>
          <w:sz w:val="21"/>
        </w:rPr>
        <w:t>valued </w:t>
      </w:r>
      <w:r>
        <w:rPr>
          <w:sz w:val="21"/>
        </w:rPr>
        <w:t>at $50,000 or less. In </w:t>
      </w:r>
      <w:r>
        <w:rPr>
          <w:spacing w:val="-4"/>
          <w:sz w:val="21"/>
        </w:rPr>
        <w:t>addition, </w:t>
      </w:r>
      <w:r>
        <w:rPr>
          <w:spacing w:val="-3"/>
          <w:sz w:val="21"/>
        </w:rPr>
        <w:t>there are </w:t>
      </w:r>
      <w:r>
        <w:rPr>
          <w:sz w:val="21"/>
        </w:rPr>
        <w:t>two </w:t>
      </w:r>
      <w:r>
        <w:rPr>
          <w:spacing w:val="-3"/>
          <w:sz w:val="21"/>
        </w:rPr>
        <w:t>expedited</w:t>
      </w:r>
      <w:r>
        <w:rPr>
          <w:spacing w:val="-25"/>
          <w:sz w:val="21"/>
        </w:rPr>
        <w:t> </w:t>
      </w:r>
      <w:r>
        <w:rPr>
          <w:spacing w:val="-3"/>
          <w:sz w:val="21"/>
        </w:rPr>
        <w:t>processes</w:t>
      </w:r>
    </w:p>
    <w:p>
      <w:pPr>
        <w:pStyle w:val="BodyText"/>
        <w:spacing w:before="4"/>
        <w:ind w:left="1927"/>
      </w:pPr>
      <w:r>
        <w:rPr/>
        <w:t>for trustee companies that obtain grants of representation for estates valued at $50,000 or less.</w:t>
      </w:r>
    </w:p>
    <w:p>
      <w:pPr>
        <w:pStyle w:val="ListParagraph"/>
        <w:numPr>
          <w:ilvl w:val="0"/>
          <w:numId w:val="7"/>
        </w:numPr>
        <w:tabs>
          <w:tab w:pos="1928" w:val="left" w:leader="none"/>
        </w:tabs>
        <w:spacing w:line="242" w:lineRule="auto" w:before="124" w:after="0"/>
        <w:ind w:left="1927" w:right="1974" w:hanging="340"/>
        <w:jc w:val="left"/>
        <w:rPr>
          <w:sz w:val="21"/>
        </w:rPr>
      </w:pPr>
      <w:r>
        <w:rPr>
          <w:w w:val="105"/>
          <w:sz w:val="21"/>
        </w:rPr>
        <w:t>These </w:t>
      </w:r>
      <w:r>
        <w:rPr>
          <w:spacing w:val="-2"/>
          <w:w w:val="105"/>
          <w:sz w:val="21"/>
        </w:rPr>
        <w:t>dollar </w:t>
      </w:r>
      <w:r>
        <w:rPr>
          <w:w w:val="105"/>
          <w:sz w:val="21"/>
        </w:rPr>
        <w:t>figures </w:t>
      </w:r>
      <w:r>
        <w:rPr>
          <w:spacing w:val="-3"/>
          <w:w w:val="105"/>
          <w:sz w:val="21"/>
        </w:rPr>
        <w:t>have remained unchanged since </w:t>
      </w:r>
      <w:r>
        <w:rPr>
          <w:spacing w:val="-5"/>
          <w:w w:val="105"/>
          <w:sz w:val="21"/>
        </w:rPr>
        <w:t>1995 </w:t>
      </w:r>
      <w:r>
        <w:rPr>
          <w:w w:val="105"/>
          <w:sz w:val="21"/>
        </w:rPr>
        <w:t>and </w:t>
      </w:r>
      <w:r>
        <w:rPr>
          <w:spacing w:val="-3"/>
          <w:w w:val="105"/>
          <w:sz w:val="21"/>
        </w:rPr>
        <w:t>represent </w:t>
      </w:r>
      <w:r>
        <w:rPr>
          <w:w w:val="105"/>
          <w:sz w:val="21"/>
        </w:rPr>
        <w:t>a </w:t>
      </w:r>
      <w:r>
        <w:rPr>
          <w:spacing w:val="-3"/>
          <w:w w:val="105"/>
          <w:sz w:val="21"/>
        </w:rPr>
        <w:t>dwindling </w:t>
      </w:r>
      <w:r>
        <w:rPr>
          <w:w w:val="105"/>
          <w:sz w:val="21"/>
        </w:rPr>
        <w:t>proportion</w:t>
      </w:r>
      <w:r>
        <w:rPr>
          <w:spacing w:val="-12"/>
          <w:w w:val="105"/>
          <w:sz w:val="21"/>
        </w:rPr>
        <w:t> </w:t>
      </w:r>
      <w:r>
        <w:rPr>
          <w:w w:val="105"/>
          <w:sz w:val="21"/>
        </w:rPr>
        <w:t>of</w:t>
      </w:r>
      <w:r>
        <w:rPr>
          <w:spacing w:val="-11"/>
          <w:w w:val="105"/>
          <w:sz w:val="21"/>
        </w:rPr>
        <w:t> </w:t>
      </w:r>
      <w:r>
        <w:rPr>
          <w:w w:val="105"/>
          <w:sz w:val="21"/>
        </w:rPr>
        <w:t>deceased</w:t>
      </w:r>
      <w:r>
        <w:rPr>
          <w:spacing w:val="-12"/>
          <w:w w:val="105"/>
          <w:sz w:val="21"/>
        </w:rPr>
        <w:t> </w:t>
      </w:r>
      <w:r>
        <w:rPr>
          <w:w w:val="105"/>
          <w:sz w:val="21"/>
        </w:rPr>
        <w:t>estates.</w:t>
      </w:r>
      <w:r>
        <w:rPr>
          <w:spacing w:val="-11"/>
          <w:w w:val="105"/>
          <w:sz w:val="21"/>
        </w:rPr>
        <w:t> </w:t>
      </w:r>
      <w:r>
        <w:rPr>
          <w:w w:val="105"/>
          <w:sz w:val="21"/>
        </w:rPr>
        <w:t>Only</w:t>
      </w:r>
      <w:r>
        <w:rPr>
          <w:spacing w:val="-12"/>
          <w:w w:val="105"/>
          <w:sz w:val="21"/>
        </w:rPr>
        <w:t> </w:t>
      </w:r>
      <w:r>
        <w:rPr>
          <w:w w:val="105"/>
          <w:sz w:val="21"/>
        </w:rPr>
        <w:t>48</w:t>
      </w:r>
      <w:r>
        <w:rPr>
          <w:spacing w:val="-11"/>
          <w:w w:val="105"/>
          <w:sz w:val="21"/>
        </w:rPr>
        <w:t> </w:t>
      </w:r>
      <w:r>
        <w:rPr>
          <w:w w:val="105"/>
          <w:sz w:val="21"/>
        </w:rPr>
        <w:t>estates</w:t>
      </w:r>
      <w:r>
        <w:rPr>
          <w:spacing w:val="-12"/>
          <w:w w:val="105"/>
          <w:sz w:val="21"/>
        </w:rPr>
        <w:t> </w:t>
      </w:r>
      <w:r>
        <w:rPr>
          <w:spacing w:val="-3"/>
          <w:w w:val="105"/>
          <w:sz w:val="21"/>
        </w:rPr>
        <w:t>were</w:t>
      </w:r>
      <w:r>
        <w:rPr>
          <w:spacing w:val="-11"/>
          <w:w w:val="105"/>
          <w:sz w:val="21"/>
        </w:rPr>
        <w:t> </w:t>
      </w:r>
      <w:r>
        <w:rPr>
          <w:w w:val="105"/>
          <w:sz w:val="21"/>
        </w:rPr>
        <w:t>assisted</w:t>
      </w:r>
      <w:r>
        <w:rPr>
          <w:spacing w:val="-12"/>
          <w:w w:val="105"/>
          <w:sz w:val="21"/>
        </w:rPr>
        <w:t> </w:t>
      </w:r>
      <w:r>
        <w:rPr>
          <w:w w:val="105"/>
          <w:sz w:val="21"/>
        </w:rPr>
        <w:t>by</w:t>
      </w:r>
      <w:r>
        <w:rPr>
          <w:spacing w:val="-11"/>
          <w:w w:val="105"/>
          <w:sz w:val="21"/>
        </w:rPr>
        <w:t> </w:t>
      </w:r>
      <w:r>
        <w:rPr>
          <w:w w:val="105"/>
          <w:sz w:val="21"/>
        </w:rPr>
        <w:t>the</w:t>
      </w:r>
      <w:r>
        <w:rPr>
          <w:spacing w:val="-12"/>
          <w:w w:val="105"/>
          <w:sz w:val="21"/>
        </w:rPr>
        <w:t> </w:t>
      </w:r>
      <w:r>
        <w:rPr>
          <w:spacing w:val="-3"/>
          <w:w w:val="105"/>
          <w:sz w:val="21"/>
        </w:rPr>
        <w:t>Probate</w:t>
      </w:r>
      <w:r>
        <w:rPr>
          <w:spacing w:val="-11"/>
          <w:w w:val="105"/>
          <w:sz w:val="21"/>
        </w:rPr>
        <w:t> </w:t>
      </w:r>
      <w:r>
        <w:rPr>
          <w:w w:val="105"/>
          <w:sz w:val="21"/>
        </w:rPr>
        <w:t>Office’s</w:t>
      </w:r>
      <w:r>
        <w:rPr>
          <w:spacing w:val="-12"/>
          <w:w w:val="105"/>
          <w:sz w:val="21"/>
        </w:rPr>
        <w:t> </w:t>
      </w:r>
      <w:r>
        <w:rPr>
          <w:spacing w:val="-3"/>
          <w:w w:val="105"/>
          <w:sz w:val="21"/>
        </w:rPr>
        <w:t>small </w:t>
      </w:r>
      <w:r>
        <w:rPr>
          <w:w w:val="105"/>
          <w:sz w:val="21"/>
        </w:rPr>
        <w:t>estates service in </w:t>
      </w:r>
      <w:r>
        <w:rPr>
          <w:spacing w:val="-11"/>
          <w:w w:val="105"/>
          <w:sz w:val="21"/>
        </w:rPr>
        <w:t>2011–12, </w:t>
      </w:r>
      <w:r>
        <w:rPr>
          <w:w w:val="105"/>
          <w:sz w:val="21"/>
        </w:rPr>
        <w:t>and one of the expedited processes </w:t>
      </w:r>
      <w:r>
        <w:rPr>
          <w:spacing w:val="-3"/>
          <w:w w:val="105"/>
          <w:sz w:val="21"/>
        </w:rPr>
        <w:t>for obtaining </w:t>
      </w:r>
      <w:r>
        <w:rPr>
          <w:w w:val="105"/>
          <w:sz w:val="21"/>
        </w:rPr>
        <w:t>a</w:t>
      </w:r>
      <w:r>
        <w:rPr>
          <w:spacing w:val="20"/>
          <w:w w:val="105"/>
          <w:sz w:val="21"/>
        </w:rPr>
        <w:t> </w:t>
      </w:r>
      <w:r>
        <w:rPr>
          <w:spacing w:val="-3"/>
          <w:w w:val="105"/>
          <w:sz w:val="21"/>
        </w:rPr>
        <w:t>grant</w:t>
      </w:r>
    </w:p>
    <w:p>
      <w:pPr>
        <w:pStyle w:val="BodyText"/>
        <w:spacing w:line="242" w:lineRule="auto" w:before="3"/>
        <w:ind w:left="1927" w:right="2010"/>
      </w:pPr>
      <w:r>
        <w:rPr/>
        <w:t>of </w:t>
      </w:r>
      <w:r>
        <w:rPr>
          <w:spacing w:val="-2"/>
        </w:rPr>
        <w:t>representation has </w:t>
      </w:r>
      <w:r>
        <w:rPr/>
        <w:t>been used only twice </w:t>
      </w:r>
      <w:r>
        <w:rPr>
          <w:spacing w:val="-3"/>
        </w:rPr>
        <w:t>since </w:t>
      </w:r>
      <w:r>
        <w:rPr/>
        <w:t>2006. The upper </w:t>
      </w:r>
      <w:r>
        <w:rPr>
          <w:spacing w:val="-3"/>
        </w:rPr>
        <w:t>limit </w:t>
      </w:r>
      <w:r>
        <w:rPr/>
        <w:t>of $50,000 is lower </w:t>
      </w:r>
      <w:r>
        <w:rPr>
          <w:spacing w:val="-3"/>
        </w:rPr>
        <w:t>than </w:t>
      </w:r>
      <w:r>
        <w:rPr/>
        <w:t>in other jurisdictions, and there was </w:t>
      </w:r>
      <w:r>
        <w:rPr>
          <w:spacing w:val="-3"/>
        </w:rPr>
        <w:t>clear </w:t>
      </w:r>
      <w:r>
        <w:rPr/>
        <w:t>support in </w:t>
      </w:r>
      <w:r>
        <w:rPr>
          <w:spacing w:val="-3"/>
        </w:rPr>
        <w:t>submissions </w:t>
      </w:r>
      <w:r>
        <w:rPr/>
        <w:t>and</w:t>
      </w:r>
      <w:r>
        <w:rPr>
          <w:spacing w:val="14"/>
        </w:rPr>
        <w:t> </w:t>
      </w:r>
      <w:r>
        <w:rPr>
          <w:spacing w:val="-3"/>
        </w:rPr>
        <w:t>consultations</w:t>
      </w:r>
    </w:p>
    <w:p>
      <w:pPr>
        <w:pStyle w:val="BodyText"/>
        <w:spacing w:before="2"/>
        <w:ind w:left="1927"/>
      </w:pPr>
      <w:r>
        <w:rPr>
          <w:w w:val="105"/>
        </w:rPr>
        <w:t>for increasing it.</w:t>
      </w:r>
    </w:p>
    <w:p>
      <w:pPr>
        <w:pStyle w:val="ListParagraph"/>
        <w:numPr>
          <w:ilvl w:val="0"/>
          <w:numId w:val="7"/>
        </w:numPr>
        <w:tabs>
          <w:tab w:pos="1928" w:val="left" w:leader="none"/>
        </w:tabs>
        <w:spacing w:line="242" w:lineRule="auto" w:before="124" w:after="0"/>
        <w:ind w:left="1927" w:right="2188" w:hanging="340"/>
        <w:jc w:val="left"/>
        <w:rPr>
          <w:sz w:val="21"/>
        </w:rPr>
      </w:pPr>
      <w:r>
        <w:rPr>
          <w:w w:val="105"/>
          <w:sz w:val="21"/>
        </w:rPr>
        <w:t>The </w:t>
      </w:r>
      <w:r>
        <w:rPr>
          <w:spacing w:val="-3"/>
          <w:w w:val="105"/>
          <w:sz w:val="21"/>
        </w:rPr>
        <w:t>Commission recommends that </w:t>
      </w:r>
      <w:r>
        <w:rPr>
          <w:w w:val="105"/>
          <w:sz w:val="21"/>
        </w:rPr>
        <w:t>the assistance provided by the </w:t>
      </w:r>
      <w:r>
        <w:rPr>
          <w:spacing w:val="-3"/>
          <w:w w:val="105"/>
          <w:sz w:val="21"/>
        </w:rPr>
        <w:t>Probate </w:t>
      </w:r>
      <w:r>
        <w:rPr>
          <w:w w:val="105"/>
          <w:sz w:val="21"/>
        </w:rPr>
        <w:t>Office, and expedited</w:t>
      </w:r>
      <w:r>
        <w:rPr>
          <w:spacing w:val="-10"/>
          <w:w w:val="105"/>
          <w:sz w:val="21"/>
        </w:rPr>
        <w:t> </w:t>
      </w:r>
      <w:r>
        <w:rPr>
          <w:w w:val="105"/>
          <w:sz w:val="21"/>
        </w:rPr>
        <w:t>grants</w:t>
      </w:r>
      <w:r>
        <w:rPr>
          <w:spacing w:val="-9"/>
          <w:w w:val="105"/>
          <w:sz w:val="21"/>
        </w:rPr>
        <w:t> </w:t>
      </w:r>
      <w:r>
        <w:rPr>
          <w:w w:val="105"/>
          <w:sz w:val="21"/>
        </w:rPr>
        <w:t>of</w:t>
      </w:r>
      <w:r>
        <w:rPr>
          <w:spacing w:val="-9"/>
          <w:w w:val="105"/>
          <w:sz w:val="21"/>
        </w:rPr>
        <w:t> </w:t>
      </w:r>
      <w:r>
        <w:rPr>
          <w:spacing w:val="-3"/>
          <w:w w:val="105"/>
          <w:sz w:val="21"/>
        </w:rPr>
        <w:t>representation,</w:t>
      </w:r>
      <w:r>
        <w:rPr>
          <w:spacing w:val="-10"/>
          <w:w w:val="105"/>
          <w:sz w:val="21"/>
        </w:rPr>
        <w:t> </w:t>
      </w:r>
      <w:r>
        <w:rPr>
          <w:w w:val="105"/>
          <w:sz w:val="21"/>
        </w:rPr>
        <w:t>should</w:t>
      </w:r>
      <w:r>
        <w:rPr>
          <w:spacing w:val="-9"/>
          <w:w w:val="105"/>
          <w:sz w:val="21"/>
        </w:rPr>
        <w:t> </w:t>
      </w:r>
      <w:r>
        <w:rPr>
          <w:w w:val="105"/>
          <w:sz w:val="21"/>
        </w:rPr>
        <w:t>be</w:t>
      </w:r>
      <w:r>
        <w:rPr>
          <w:spacing w:val="-9"/>
          <w:w w:val="105"/>
          <w:sz w:val="21"/>
        </w:rPr>
        <w:t> </w:t>
      </w:r>
      <w:r>
        <w:rPr>
          <w:spacing w:val="-3"/>
          <w:w w:val="105"/>
          <w:sz w:val="21"/>
        </w:rPr>
        <w:t>available</w:t>
      </w:r>
      <w:r>
        <w:rPr>
          <w:spacing w:val="-10"/>
          <w:w w:val="105"/>
          <w:sz w:val="21"/>
        </w:rPr>
        <w:t> </w:t>
      </w:r>
      <w:r>
        <w:rPr>
          <w:w w:val="105"/>
          <w:sz w:val="21"/>
        </w:rPr>
        <w:t>in</w:t>
      </w:r>
      <w:r>
        <w:rPr>
          <w:spacing w:val="-9"/>
          <w:w w:val="105"/>
          <w:sz w:val="21"/>
        </w:rPr>
        <w:t> </w:t>
      </w:r>
      <w:r>
        <w:rPr>
          <w:w w:val="105"/>
          <w:sz w:val="21"/>
        </w:rPr>
        <w:t>respect</w:t>
      </w:r>
      <w:r>
        <w:rPr>
          <w:spacing w:val="-9"/>
          <w:w w:val="105"/>
          <w:sz w:val="21"/>
        </w:rPr>
        <w:t> </w:t>
      </w:r>
      <w:r>
        <w:rPr>
          <w:w w:val="105"/>
          <w:sz w:val="21"/>
        </w:rPr>
        <w:t>of</w:t>
      </w:r>
      <w:r>
        <w:rPr>
          <w:spacing w:val="-9"/>
          <w:w w:val="105"/>
          <w:sz w:val="21"/>
        </w:rPr>
        <w:t> </w:t>
      </w:r>
      <w:r>
        <w:rPr>
          <w:w w:val="105"/>
          <w:sz w:val="21"/>
        </w:rPr>
        <w:t>estates</w:t>
      </w:r>
      <w:r>
        <w:rPr>
          <w:spacing w:val="-10"/>
          <w:w w:val="105"/>
          <w:sz w:val="21"/>
        </w:rPr>
        <w:t> </w:t>
      </w:r>
      <w:r>
        <w:rPr>
          <w:spacing w:val="-3"/>
          <w:w w:val="105"/>
          <w:sz w:val="21"/>
        </w:rPr>
        <w:t>valued</w:t>
      </w:r>
      <w:r>
        <w:rPr>
          <w:spacing w:val="-9"/>
          <w:w w:val="105"/>
          <w:sz w:val="21"/>
        </w:rPr>
        <w:t> </w:t>
      </w:r>
      <w:r>
        <w:rPr>
          <w:w w:val="105"/>
          <w:sz w:val="21"/>
        </w:rPr>
        <w:t>at</w:t>
      </w:r>
      <w:r>
        <w:rPr>
          <w:spacing w:val="-9"/>
          <w:w w:val="105"/>
          <w:sz w:val="21"/>
        </w:rPr>
        <w:t> </w:t>
      </w:r>
      <w:r>
        <w:rPr>
          <w:w w:val="105"/>
          <w:sz w:val="21"/>
        </w:rPr>
        <w:t>up</w:t>
      </w:r>
    </w:p>
    <w:p>
      <w:pPr>
        <w:pStyle w:val="BodyText"/>
        <w:spacing w:line="242" w:lineRule="auto" w:before="2"/>
        <w:ind w:left="1927" w:right="1841"/>
      </w:pPr>
      <w:r>
        <w:rPr>
          <w:spacing w:val="-3"/>
          <w:w w:val="105"/>
        </w:rPr>
        <w:t>to $100,000. </w:t>
      </w:r>
      <w:r>
        <w:rPr>
          <w:w w:val="105"/>
        </w:rPr>
        <w:t>The </w:t>
      </w:r>
      <w:r>
        <w:rPr>
          <w:spacing w:val="-3"/>
          <w:w w:val="105"/>
        </w:rPr>
        <w:t>dual eligibility criteria for </w:t>
      </w:r>
      <w:r>
        <w:rPr>
          <w:w w:val="105"/>
        </w:rPr>
        <w:t>assistance </w:t>
      </w:r>
      <w:r>
        <w:rPr>
          <w:spacing w:val="-3"/>
          <w:w w:val="105"/>
        </w:rPr>
        <w:t>from </w:t>
      </w:r>
      <w:r>
        <w:rPr>
          <w:w w:val="105"/>
        </w:rPr>
        <w:t>the </w:t>
      </w:r>
      <w:r>
        <w:rPr>
          <w:spacing w:val="-3"/>
          <w:w w:val="105"/>
        </w:rPr>
        <w:t>Probate </w:t>
      </w:r>
      <w:r>
        <w:rPr>
          <w:w w:val="105"/>
        </w:rPr>
        <w:t>Office’s </w:t>
      </w:r>
      <w:r>
        <w:rPr>
          <w:spacing w:val="-3"/>
          <w:w w:val="105"/>
        </w:rPr>
        <w:t>small </w:t>
      </w:r>
      <w:r>
        <w:rPr>
          <w:w w:val="105"/>
        </w:rPr>
        <w:t>estates service would be </w:t>
      </w:r>
      <w:r>
        <w:rPr>
          <w:spacing w:val="-3"/>
          <w:w w:val="105"/>
        </w:rPr>
        <w:t>removed, </w:t>
      </w:r>
      <w:r>
        <w:rPr>
          <w:w w:val="105"/>
        </w:rPr>
        <w:t>and the upper </w:t>
      </w:r>
      <w:r>
        <w:rPr>
          <w:spacing w:val="-3"/>
          <w:w w:val="105"/>
        </w:rPr>
        <w:t>value limit </w:t>
      </w:r>
      <w:r>
        <w:rPr>
          <w:w w:val="105"/>
        </w:rPr>
        <w:t>would be adjusted in </w:t>
      </w:r>
      <w:r>
        <w:rPr>
          <w:spacing w:val="-3"/>
          <w:w w:val="105"/>
        </w:rPr>
        <w:t>accordance </w:t>
      </w:r>
      <w:r>
        <w:rPr>
          <w:w w:val="105"/>
        </w:rPr>
        <w:t>with movements in the </w:t>
      </w:r>
      <w:r>
        <w:rPr>
          <w:spacing w:val="-4"/>
          <w:w w:val="105"/>
        </w:rPr>
        <w:t>Consumer </w:t>
      </w:r>
      <w:r>
        <w:rPr>
          <w:w w:val="105"/>
        </w:rPr>
        <w:t>Price Index.</w:t>
      </w:r>
    </w:p>
    <w:p>
      <w:pPr>
        <w:pStyle w:val="ListParagraph"/>
        <w:numPr>
          <w:ilvl w:val="0"/>
          <w:numId w:val="7"/>
        </w:numPr>
        <w:tabs>
          <w:tab w:pos="1928" w:val="left" w:leader="none"/>
        </w:tabs>
        <w:spacing w:line="242" w:lineRule="auto" w:before="123" w:after="0"/>
        <w:ind w:left="1927" w:right="1696" w:hanging="340"/>
        <w:jc w:val="left"/>
        <w:rPr>
          <w:sz w:val="21"/>
        </w:rPr>
      </w:pPr>
      <w:r>
        <w:rPr>
          <w:sz w:val="21"/>
        </w:rPr>
        <w:t>The </w:t>
      </w:r>
      <w:r>
        <w:rPr>
          <w:spacing w:val="-3"/>
          <w:sz w:val="21"/>
        </w:rPr>
        <w:t>Commission </w:t>
      </w:r>
      <w:r>
        <w:rPr>
          <w:sz w:val="21"/>
        </w:rPr>
        <w:t>also </w:t>
      </w:r>
      <w:r>
        <w:rPr>
          <w:spacing w:val="-3"/>
          <w:sz w:val="21"/>
        </w:rPr>
        <w:t>recommends combining </w:t>
      </w:r>
      <w:r>
        <w:rPr>
          <w:sz w:val="21"/>
        </w:rPr>
        <w:t>the  two  expedited  processes  </w:t>
      </w:r>
      <w:r>
        <w:rPr>
          <w:spacing w:val="-3"/>
          <w:sz w:val="21"/>
        </w:rPr>
        <w:t>for  obtaining  </w:t>
      </w:r>
      <w:r>
        <w:rPr>
          <w:sz w:val="21"/>
        </w:rPr>
        <w:t>a </w:t>
      </w:r>
      <w:r>
        <w:rPr>
          <w:spacing w:val="-3"/>
          <w:sz w:val="21"/>
        </w:rPr>
        <w:t>grant </w:t>
      </w:r>
      <w:r>
        <w:rPr>
          <w:sz w:val="21"/>
        </w:rPr>
        <w:t>of </w:t>
      </w:r>
      <w:r>
        <w:rPr>
          <w:spacing w:val="-2"/>
          <w:sz w:val="21"/>
        </w:rPr>
        <w:t>representation </w:t>
      </w:r>
      <w:r>
        <w:rPr>
          <w:spacing w:val="-4"/>
          <w:sz w:val="21"/>
        </w:rPr>
        <w:t>into </w:t>
      </w:r>
      <w:r>
        <w:rPr>
          <w:sz w:val="21"/>
        </w:rPr>
        <w:t>a </w:t>
      </w:r>
      <w:r>
        <w:rPr>
          <w:spacing w:val="-3"/>
          <w:sz w:val="21"/>
        </w:rPr>
        <w:t>single </w:t>
      </w:r>
      <w:r>
        <w:rPr>
          <w:sz w:val="21"/>
        </w:rPr>
        <w:t>process </w:t>
      </w:r>
      <w:r>
        <w:rPr>
          <w:spacing w:val="-3"/>
          <w:sz w:val="21"/>
        </w:rPr>
        <w:t>to </w:t>
      </w:r>
      <w:r>
        <w:rPr>
          <w:sz w:val="21"/>
        </w:rPr>
        <w:t>be </w:t>
      </w:r>
      <w:r>
        <w:rPr>
          <w:spacing w:val="-3"/>
          <w:sz w:val="21"/>
        </w:rPr>
        <w:t>availed </w:t>
      </w:r>
      <w:r>
        <w:rPr>
          <w:sz w:val="21"/>
        </w:rPr>
        <w:t>of by </w:t>
      </w:r>
      <w:r>
        <w:rPr>
          <w:spacing w:val="-3"/>
          <w:sz w:val="21"/>
        </w:rPr>
        <w:t>State Trustees. </w:t>
      </w:r>
      <w:r>
        <w:rPr>
          <w:sz w:val="21"/>
        </w:rPr>
        <w:t>Private trustee </w:t>
      </w:r>
      <w:r>
        <w:rPr>
          <w:spacing w:val="-3"/>
          <w:sz w:val="21"/>
        </w:rPr>
        <w:t>companies </w:t>
      </w:r>
      <w:r>
        <w:rPr>
          <w:sz w:val="21"/>
        </w:rPr>
        <w:t>do </w:t>
      </w:r>
      <w:r>
        <w:rPr>
          <w:spacing w:val="-2"/>
          <w:sz w:val="21"/>
        </w:rPr>
        <w:t>not </w:t>
      </w:r>
      <w:r>
        <w:rPr>
          <w:spacing w:val="-3"/>
          <w:sz w:val="21"/>
        </w:rPr>
        <w:t>administer small </w:t>
      </w:r>
      <w:r>
        <w:rPr>
          <w:sz w:val="21"/>
        </w:rPr>
        <w:t>estates </w:t>
      </w:r>
      <w:r>
        <w:rPr>
          <w:spacing w:val="-3"/>
          <w:sz w:val="21"/>
        </w:rPr>
        <w:t>for commercial reasons, </w:t>
      </w:r>
      <w:r>
        <w:rPr>
          <w:sz w:val="21"/>
        </w:rPr>
        <w:t>whereas </w:t>
      </w:r>
      <w:r>
        <w:rPr>
          <w:spacing w:val="-3"/>
          <w:sz w:val="21"/>
        </w:rPr>
        <w:t>State </w:t>
      </w:r>
      <w:r>
        <w:rPr>
          <w:spacing w:val="-4"/>
          <w:sz w:val="21"/>
        </w:rPr>
        <w:t>Trustees </w:t>
      </w:r>
      <w:r>
        <w:rPr>
          <w:sz w:val="21"/>
        </w:rPr>
        <w:t>receives a </w:t>
      </w:r>
      <w:r>
        <w:rPr>
          <w:spacing w:val="-3"/>
          <w:sz w:val="21"/>
        </w:rPr>
        <w:t>government </w:t>
      </w:r>
      <w:r>
        <w:rPr>
          <w:sz w:val="21"/>
        </w:rPr>
        <w:t>subsidy </w:t>
      </w:r>
      <w:r>
        <w:rPr>
          <w:spacing w:val="-3"/>
          <w:sz w:val="21"/>
        </w:rPr>
        <w:t>to administer small </w:t>
      </w:r>
      <w:r>
        <w:rPr>
          <w:sz w:val="21"/>
        </w:rPr>
        <w:t>estates. As </w:t>
      </w:r>
      <w:r>
        <w:rPr>
          <w:spacing w:val="-3"/>
          <w:sz w:val="21"/>
        </w:rPr>
        <w:t>noted above, </w:t>
      </w:r>
      <w:r>
        <w:rPr>
          <w:sz w:val="21"/>
        </w:rPr>
        <w:t>one of the </w:t>
      </w:r>
      <w:r>
        <w:rPr>
          <w:spacing w:val="-3"/>
          <w:sz w:val="21"/>
        </w:rPr>
        <w:t>current </w:t>
      </w:r>
      <w:r>
        <w:rPr>
          <w:sz w:val="21"/>
        </w:rPr>
        <w:t>processes is </w:t>
      </w:r>
      <w:r>
        <w:rPr>
          <w:spacing w:val="-3"/>
          <w:sz w:val="21"/>
        </w:rPr>
        <w:t>rarely </w:t>
      </w:r>
      <w:r>
        <w:rPr>
          <w:sz w:val="21"/>
        </w:rPr>
        <w:t>used. The second process is </w:t>
      </w:r>
      <w:r>
        <w:rPr>
          <w:spacing w:val="-4"/>
          <w:sz w:val="21"/>
        </w:rPr>
        <w:t>simpler, </w:t>
      </w:r>
      <w:r>
        <w:rPr>
          <w:sz w:val="21"/>
        </w:rPr>
        <w:t>cheaper and </w:t>
      </w:r>
      <w:r>
        <w:rPr>
          <w:spacing w:val="-3"/>
          <w:sz w:val="21"/>
        </w:rPr>
        <w:t>favoured </w:t>
      </w:r>
      <w:r>
        <w:rPr>
          <w:sz w:val="21"/>
        </w:rPr>
        <w:t>by </w:t>
      </w:r>
      <w:r>
        <w:rPr>
          <w:spacing w:val="-3"/>
          <w:sz w:val="21"/>
        </w:rPr>
        <w:t>State </w:t>
      </w:r>
      <w:r>
        <w:rPr>
          <w:spacing w:val="-4"/>
          <w:sz w:val="21"/>
        </w:rPr>
        <w:t>Trustees </w:t>
      </w:r>
      <w:r>
        <w:rPr>
          <w:sz w:val="21"/>
        </w:rPr>
        <w:t>but does </w:t>
      </w:r>
      <w:r>
        <w:rPr>
          <w:spacing w:val="-2"/>
          <w:sz w:val="21"/>
        </w:rPr>
        <w:t>not </w:t>
      </w:r>
      <w:r>
        <w:rPr>
          <w:spacing w:val="-3"/>
          <w:sz w:val="21"/>
        </w:rPr>
        <w:t>create searchable records that could ensure  that  </w:t>
      </w:r>
      <w:r>
        <w:rPr>
          <w:sz w:val="21"/>
        </w:rPr>
        <w:t>only  one  </w:t>
      </w:r>
      <w:r>
        <w:rPr>
          <w:spacing w:val="-3"/>
          <w:sz w:val="21"/>
        </w:rPr>
        <w:t>grant  </w:t>
      </w:r>
      <w:r>
        <w:rPr>
          <w:sz w:val="21"/>
        </w:rPr>
        <w:t>is  made  in </w:t>
      </w:r>
      <w:r>
        <w:rPr>
          <w:spacing w:val="-3"/>
          <w:sz w:val="21"/>
        </w:rPr>
        <w:t>relation to </w:t>
      </w:r>
      <w:r>
        <w:rPr>
          <w:sz w:val="21"/>
        </w:rPr>
        <w:t>each</w:t>
      </w:r>
      <w:r>
        <w:rPr>
          <w:spacing w:val="31"/>
          <w:sz w:val="21"/>
        </w:rPr>
        <w:t> </w:t>
      </w:r>
      <w:r>
        <w:rPr>
          <w:spacing w:val="-3"/>
          <w:sz w:val="21"/>
        </w:rPr>
        <w:t>estate.</w:t>
      </w:r>
    </w:p>
    <w:p>
      <w:pPr>
        <w:pStyle w:val="ListParagraph"/>
        <w:numPr>
          <w:ilvl w:val="0"/>
          <w:numId w:val="7"/>
        </w:numPr>
        <w:tabs>
          <w:tab w:pos="1928" w:val="left" w:leader="none"/>
        </w:tabs>
        <w:spacing w:line="242" w:lineRule="auto" w:before="128" w:after="0"/>
        <w:ind w:left="1927" w:right="1873" w:hanging="340"/>
        <w:jc w:val="left"/>
        <w:rPr>
          <w:sz w:val="21"/>
        </w:rPr>
      </w:pPr>
      <w:r>
        <w:rPr>
          <w:w w:val="105"/>
          <w:sz w:val="21"/>
        </w:rPr>
        <w:t>The </w:t>
      </w:r>
      <w:r>
        <w:rPr>
          <w:spacing w:val="-4"/>
          <w:w w:val="105"/>
          <w:sz w:val="21"/>
        </w:rPr>
        <w:t>Commission’s </w:t>
      </w:r>
      <w:r>
        <w:rPr>
          <w:spacing w:val="-3"/>
          <w:w w:val="105"/>
          <w:sz w:val="21"/>
        </w:rPr>
        <w:t>recommendations </w:t>
      </w:r>
      <w:r>
        <w:rPr>
          <w:w w:val="105"/>
          <w:sz w:val="21"/>
        </w:rPr>
        <w:t>enable </w:t>
      </w:r>
      <w:r>
        <w:rPr>
          <w:spacing w:val="-3"/>
          <w:w w:val="105"/>
          <w:sz w:val="21"/>
        </w:rPr>
        <w:t>State </w:t>
      </w:r>
      <w:r>
        <w:rPr>
          <w:spacing w:val="-4"/>
          <w:w w:val="105"/>
          <w:sz w:val="21"/>
        </w:rPr>
        <w:t>Trustees </w:t>
      </w:r>
      <w:r>
        <w:rPr>
          <w:spacing w:val="-3"/>
          <w:w w:val="105"/>
          <w:sz w:val="21"/>
        </w:rPr>
        <w:t>to continue to </w:t>
      </w:r>
      <w:r>
        <w:rPr>
          <w:w w:val="105"/>
          <w:sz w:val="21"/>
        </w:rPr>
        <w:t>use a </w:t>
      </w:r>
      <w:r>
        <w:rPr>
          <w:spacing w:val="-3"/>
          <w:w w:val="105"/>
          <w:sz w:val="21"/>
        </w:rPr>
        <w:t>streamlined </w:t>
      </w:r>
      <w:r>
        <w:rPr>
          <w:w w:val="105"/>
          <w:sz w:val="21"/>
        </w:rPr>
        <w:t>process</w:t>
      </w:r>
      <w:r>
        <w:rPr>
          <w:spacing w:val="-7"/>
          <w:w w:val="105"/>
          <w:sz w:val="21"/>
        </w:rPr>
        <w:t> </w:t>
      </w:r>
      <w:r>
        <w:rPr>
          <w:spacing w:val="-3"/>
          <w:w w:val="105"/>
          <w:sz w:val="21"/>
        </w:rPr>
        <w:t>to</w:t>
      </w:r>
      <w:r>
        <w:rPr>
          <w:spacing w:val="-7"/>
          <w:w w:val="105"/>
          <w:sz w:val="21"/>
        </w:rPr>
        <w:t> </w:t>
      </w:r>
      <w:r>
        <w:rPr>
          <w:w w:val="105"/>
          <w:sz w:val="21"/>
        </w:rPr>
        <w:t>obtain</w:t>
      </w:r>
      <w:r>
        <w:rPr>
          <w:spacing w:val="-7"/>
          <w:w w:val="105"/>
          <w:sz w:val="21"/>
        </w:rPr>
        <w:t> </w:t>
      </w:r>
      <w:r>
        <w:rPr>
          <w:w w:val="105"/>
          <w:sz w:val="21"/>
        </w:rPr>
        <w:t>a</w:t>
      </w:r>
      <w:r>
        <w:rPr>
          <w:spacing w:val="-6"/>
          <w:w w:val="105"/>
          <w:sz w:val="21"/>
        </w:rPr>
        <w:t> </w:t>
      </w:r>
      <w:r>
        <w:rPr>
          <w:spacing w:val="-3"/>
          <w:w w:val="105"/>
          <w:sz w:val="21"/>
        </w:rPr>
        <w:t>grant</w:t>
      </w:r>
      <w:r>
        <w:rPr>
          <w:spacing w:val="-7"/>
          <w:w w:val="105"/>
          <w:sz w:val="21"/>
        </w:rPr>
        <w:t> </w:t>
      </w:r>
      <w:r>
        <w:rPr>
          <w:w w:val="105"/>
          <w:sz w:val="21"/>
        </w:rPr>
        <w:t>of</w:t>
      </w:r>
      <w:r>
        <w:rPr>
          <w:spacing w:val="-7"/>
          <w:w w:val="105"/>
          <w:sz w:val="21"/>
        </w:rPr>
        <w:t> </w:t>
      </w:r>
      <w:r>
        <w:rPr>
          <w:spacing w:val="-2"/>
          <w:w w:val="105"/>
          <w:sz w:val="21"/>
        </w:rPr>
        <w:t>representation</w:t>
      </w:r>
      <w:r>
        <w:rPr>
          <w:spacing w:val="-6"/>
          <w:w w:val="105"/>
          <w:sz w:val="21"/>
        </w:rPr>
        <w:t> </w:t>
      </w:r>
      <w:r>
        <w:rPr>
          <w:w w:val="105"/>
          <w:sz w:val="21"/>
        </w:rPr>
        <w:t>but</w:t>
      </w:r>
      <w:r>
        <w:rPr>
          <w:spacing w:val="-7"/>
          <w:w w:val="105"/>
          <w:sz w:val="21"/>
        </w:rPr>
        <w:t> </w:t>
      </w:r>
      <w:r>
        <w:rPr>
          <w:spacing w:val="-3"/>
          <w:w w:val="105"/>
          <w:sz w:val="21"/>
        </w:rPr>
        <w:t>improve</w:t>
      </w:r>
      <w:r>
        <w:rPr>
          <w:spacing w:val="-7"/>
          <w:w w:val="105"/>
          <w:sz w:val="21"/>
        </w:rPr>
        <w:t> </w:t>
      </w:r>
      <w:r>
        <w:rPr>
          <w:w w:val="105"/>
          <w:sz w:val="21"/>
        </w:rPr>
        <w:t>the</w:t>
      </w:r>
      <w:r>
        <w:rPr>
          <w:spacing w:val="-6"/>
          <w:w w:val="105"/>
          <w:sz w:val="21"/>
        </w:rPr>
        <w:t> </w:t>
      </w:r>
      <w:r>
        <w:rPr>
          <w:w w:val="105"/>
          <w:sz w:val="21"/>
        </w:rPr>
        <w:t>degree</w:t>
      </w:r>
      <w:r>
        <w:rPr>
          <w:spacing w:val="-7"/>
          <w:w w:val="105"/>
          <w:sz w:val="21"/>
        </w:rPr>
        <w:t> </w:t>
      </w:r>
      <w:r>
        <w:rPr>
          <w:w w:val="105"/>
          <w:sz w:val="21"/>
        </w:rPr>
        <w:t>of</w:t>
      </w:r>
      <w:r>
        <w:rPr>
          <w:spacing w:val="-7"/>
          <w:w w:val="105"/>
          <w:sz w:val="21"/>
        </w:rPr>
        <w:t> </w:t>
      </w:r>
      <w:r>
        <w:rPr>
          <w:spacing w:val="-3"/>
          <w:w w:val="105"/>
          <w:sz w:val="21"/>
        </w:rPr>
        <w:t>transparency.</w:t>
      </w:r>
      <w:r>
        <w:rPr>
          <w:spacing w:val="-6"/>
          <w:w w:val="105"/>
          <w:sz w:val="21"/>
        </w:rPr>
        <w:t> </w:t>
      </w:r>
      <w:r>
        <w:rPr>
          <w:w w:val="105"/>
          <w:sz w:val="21"/>
        </w:rPr>
        <w:t>The</w:t>
      </w:r>
      <w:r>
        <w:rPr>
          <w:spacing w:val="-7"/>
          <w:w w:val="105"/>
          <w:sz w:val="21"/>
        </w:rPr>
        <w:t> </w:t>
      </w:r>
      <w:r>
        <w:rPr>
          <w:spacing w:val="-3"/>
          <w:w w:val="105"/>
          <w:sz w:val="21"/>
        </w:rPr>
        <w:t>will </w:t>
      </w:r>
      <w:r>
        <w:rPr>
          <w:w w:val="105"/>
          <w:sz w:val="21"/>
        </w:rPr>
        <w:t>would be filed with the </w:t>
      </w:r>
      <w:r>
        <w:rPr>
          <w:spacing w:val="-3"/>
          <w:w w:val="105"/>
          <w:sz w:val="21"/>
        </w:rPr>
        <w:t>Supreme Court </w:t>
      </w:r>
      <w:r>
        <w:rPr>
          <w:w w:val="105"/>
          <w:sz w:val="21"/>
        </w:rPr>
        <w:t>and a </w:t>
      </w:r>
      <w:r>
        <w:rPr>
          <w:spacing w:val="-3"/>
          <w:w w:val="105"/>
          <w:sz w:val="21"/>
        </w:rPr>
        <w:t>notice </w:t>
      </w:r>
      <w:r>
        <w:rPr>
          <w:w w:val="105"/>
          <w:sz w:val="21"/>
        </w:rPr>
        <w:t>of </w:t>
      </w:r>
      <w:r>
        <w:rPr>
          <w:spacing w:val="-3"/>
          <w:w w:val="105"/>
          <w:sz w:val="21"/>
        </w:rPr>
        <w:t>intention to administer </w:t>
      </w:r>
      <w:r>
        <w:rPr>
          <w:w w:val="105"/>
          <w:sz w:val="21"/>
        </w:rPr>
        <w:t>the estate would be advertised on the </w:t>
      </w:r>
      <w:r>
        <w:rPr>
          <w:spacing w:val="-3"/>
          <w:w w:val="105"/>
          <w:sz w:val="21"/>
        </w:rPr>
        <w:t>Supreme Court’s website rather than </w:t>
      </w:r>
      <w:r>
        <w:rPr>
          <w:w w:val="105"/>
          <w:sz w:val="21"/>
        </w:rPr>
        <w:t>in a </w:t>
      </w:r>
      <w:r>
        <w:rPr>
          <w:spacing w:val="-3"/>
          <w:w w:val="105"/>
          <w:sz w:val="21"/>
        </w:rPr>
        <w:t>daily</w:t>
      </w:r>
      <w:r>
        <w:rPr>
          <w:spacing w:val="23"/>
          <w:w w:val="105"/>
          <w:sz w:val="21"/>
        </w:rPr>
        <w:t> </w:t>
      </w:r>
      <w:r>
        <w:rPr>
          <w:spacing w:val="-3"/>
          <w:w w:val="105"/>
          <w:sz w:val="21"/>
        </w:rPr>
        <w:t>newspaper.</w:t>
      </w:r>
    </w:p>
    <w:p>
      <w:pPr>
        <w:pStyle w:val="ListParagraph"/>
        <w:numPr>
          <w:ilvl w:val="0"/>
          <w:numId w:val="7"/>
        </w:numPr>
        <w:tabs>
          <w:tab w:pos="1928" w:val="left" w:leader="none"/>
        </w:tabs>
        <w:spacing w:line="242" w:lineRule="auto" w:before="124" w:after="0"/>
        <w:ind w:left="1927" w:right="1696" w:hanging="340"/>
        <w:jc w:val="left"/>
        <w:rPr>
          <w:sz w:val="21"/>
        </w:rPr>
      </w:pPr>
      <w:r>
        <w:rPr>
          <w:sz w:val="21"/>
        </w:rPr>
        <w:t>While a </w:t>
      </w:r>
      <w:r>
        <w:rPr>
          <w:spacing w:val="-3"/>
          <w:sz w:val="21"/>
        </w:rPr>
        <w:t>grant </w:t>
      </w:r>
      <w:r>
        <w:rPr>
          <w:sz w:val="21"/>
        </w:rPr>
        <w:t>of </w:t>
      </w:r>
      <w:r>
        <w:rPr>
          <w:spacing w:val="-2"/>
          <w:sz w:val="21"/>
        </w:rPr>
        <w:t>representation </w:t>
      </w:r>
      <w:r>
        <w:rPr>
          <w:sz w:val="21"/>
        </w:rPr>
        <w:t>is always </w:t>
      </w:r>
      <w:r>
        <w:rPr>
          <w:spacing w:val="-3"/>
          <w:sz w:val="21"/>
        </w:rPr>
        <w:t>required </w:t>
      </w:r>
      <w:r>
        <w:rPr>
          <w:sz w:val="21"/>
        </w:rPr>
        <w:t>when </w:t>
      </w:r>
      <w:r>
        <w:rPr>
          <w:spacing w:val="-3"/>
          <w:sz w:val="21"/>
        </w:rPr>
        <w:t>transferring </w:t>
      </w:r>
      <w:r>
        <w:rPr>
          <w:sz w:val="21"/>
        </w:rPr>
        <w:t>certain types of property,  </w:t>
      </w:r>
      <w:r>
        <w:rPr>
          <w:spacing w:val="-3"/>
          <w:sz w:val="21"/>
        </w:rPr>
        <w:t>for </w:t>
      </w:r>
      <w:r>
        <w:rPr>
          <w:sz w:val="21"/>
        </w:rPr>
        <w:t>example </w:t>
      </w:r>
      <w:r>
        <w:rPr>
          <w:spacing w:val="-3"/>
          <w:sz w:val="21"/>
        </w:rPr>
        <w:t>land  </w:t>
      </w:r>
      <w:r>
        <w:rPr>
          <w:sz w:val="21"/>
        </w:rPr>
        <w:t>and </w:t>
      </w:r>
      <w:r>
        <w:rPr>
          <w:spacing w:val="-3"/>
          <w:sz w:val="21"/>
        </w:rPr>
        <w:t>shares,</w:t>
      </w:r>
      <w:r>
        <w:rPr>
          <w:spacing w:val="41"/>
          <w:sz w:val="21"/>
        </w:rPr>
        <w:t> </w:t>
      </w:r>
      <w:r>
        <w:rPr>
          <w:sz w:val="21"/>
        </w:rPr>
        <w:t>it is possible </w:t>
      </w:r>
      <w:r>
        <w:rPr>
          <w:spacing w:val="-3"/>
          <w:sz w:val="21"/>
        </w:rPr>
        <w:t>to  transfer  </w:t>
      </w:r>
      <w:r>
        <w:rPr>
          <w:sz w:val="21"/>
        </w:rPr>
        <w:t>other assets without </w:t>
      </w:r>
      <w:r>
        <w:rPr>
          <w:spacing w:val="-3"/>
          <w:sz w:val="21"/>
        </w:rPr>
        <w:t>one.  </w:t>
      </w:r>
      <w:r>
        <w:rPr>
          <w:sz w:val="21"/>
        </w:rPr>
        <w:t>Gifted goods, </w:t>
      </w:r>
      <w:r>
        <w:rPr>
          <w:spacing w:val="-3"/>
          <w:sz w:val="21"/>
        </w:rPr>
        <w:t>for example, </w:t>
      </w:r>
      <w:r>
        <w:rPr>
          <w:sz w:val="21"/>
        </w:rPr>
        <w:t>can simply be </w:t>
      </w:r>
      <w:r>
        <w:rPr>
          <w:spacing w:val="-2"/>
          <w:sz w:val="21"/>
        </w:rPr>
        <w:t>handed </w:t>
      </w:r>
      <w:r>
        <w:rPr>
          <w:spacing w:val="-3"/>
          <w:sz w:val="21"/>
        </w:rPr>
        <w:t>to </w:t>
      </w:r>
      <w:r>
        <w:rPr>
          <w:sz w:val="21"/>
        </w:rPr>
        <w:t>the beneficiary; </w:t>
      </w:r>
      <w:r>
        <w:rPr>
          <w:spacing w:val="-3"/>
          <w:sz w:val="21"/>
        </w:rPr>
        <w:t>instead </w:t>
      </w:r>
      <w:r>
        <w:rPr>
          <w:sz w:val="21"/>
        </w:rPr>
        <w:t>of a </w:t>
      </w:r>
      <w:r>
        <w:rPr>
          <w:spacing w:val="-3"/>
          <w:sz w:val="21"/>
        </w:rPr>
        <w:t>grant, </w:t>
      </w:r>
      <w:r>
        <w:rPr>
          <w:sz w:val="21"/>
        </w:rPr>
        <w:t>a bank </w:t>
      </w:r>
      <w:r>
        <w:rPr>
          <w:spacing w:val="-3"/>
          <w:sz w:val="21"/>
        </w:rPr>
        <w:t>may</w:t>
      </w:r>
      <w:r>
        <w:rPr>
          <w:spacing w:val="15"/>
          <w:sz w:val="21"/>
        </w:rPr>
        <w:t> </w:t>
      </w:r>
      <w:r>
        <w:rPr>
          <w:spacing w:val="-3"/>
          <w:sz w:val="21"/>
        </w:rPr>
        <w:t>accept</w:t>
      </w:r>
    </w:p>
    <w:p>
      <w:pPr>
        <w:pStyle w:val="BodyText"/>
        <w:spacing w:line="242" w:lineRule="auto" w:before="3"/>
        <w:ind w:left="1927" w:right="1619"/>
      </w:pPr>
      <w:r>
        <w:rPr/>
        <w:t>a death certificate or other documentation as authority to release money in an account. In this way, many estates are fully or partially administered informally.</w:t>
      </w:r>
    </w:p>
    <w:p>
      <w:pPr>
        <w:pStyle w:val="ListParagraph"/>
        <w:numPr>
          <w:ilvl w:val="0"/>
          <w:numId w:val="7"/>
        </w:numPr>
        <w:tabs>
          <w:tab w:pos="1928" w:val="left" w:leader="none"/>
        </w:tabs>
        <w:spacing w:line="242" w:lineRule="auto" w:before="123" w:after="0"/>
        <w:ind w:left="1927" w:right="1691" w:hanging="340"/>
        <w:jc w:val="left"/>
        <w:rPr>
          <w:sz w:val="21"/>
        </w:rPr>
      </w:pPr>
      <w:r>
        <w:rPr>
          <w:spacing w:val="-4"/>
          <w:sz w:val="21"/>
        </w:rPr>
        <w:t>However, </w:t>
      </w:r>
      <w:r>
        <w:rPr>
          <w:sz w:val="21"/>
        </w:rPr>
        <w:t>a person </w:t>
      </w:r>
      <w:r>
        <w:rPr>
          <w:spacing w:val="-3"/>
          <w:sz w:val="21"/>
        </w:rPr>
        <w:t>administering </w:t>
      </w:r>
      <w:r>
        <w:rPr>
          <w:sz w:val="21"/>
        </w:rPr>
        <w:t>an estate </w:t>
      </w:r>
      <w:r>
        <w:rPr>
          <w:spacing w:val="-3"/>
          <w:sz w:val="21"/>
        </w:rPr>
        <w:t>informally </w:t>
      </w:r>
      <w:r>
        <w:rPr>
          <w:sz w:val="21"/>
        </w:rPr>
        <w:t>is </w:t>
      </w:r>
      <w:r>
        <w:rPr>
          <w:spacing w:val="-3"/>
          <w:sz w:val="21"/>
        </w:rPr>
        <w:t>liable to </w:t>
      </w:r>
      <w:r>
        <w:rPr>
          <w:sz w:val="21"/>
        </w:rPr>
        <w:t>be sued by a </w:t>
      </w:r>
      <w:r>
        <w:rPr>
          <w:spacing w:val="-3"/>
          <w:sz w:val="21"/>
        </w:rPr>
        <w:t>rightful </w:t>
      </w:r>
      <w:r>
        <w:rPr>
          <w:sz w:val="21"/>
        </w:rPr>
        <w:t>personal </w:t>
      </w:r>
      <w:r>
        <w:rPr>
          <w:spacing w:val="-3"/>
          <w:sz w:val="21"/>
        </w:rPr>
        <w:t>representative, creditors </w:t>
      </w:r>
      <w:r>
        <w:rPr>
          <w:sz w:val="21"/>
        </w:rPr>
        <w:t>or beneficiaries if they </w:t>
      </w:r>
      <w:r>
        <w:rPr>
          <w:spacing w:val="-4"/>
          <w:sz w:val="21"/>
        </w:rPr>
        <w:t>make </w:t>
      </w:r>
      <w:r>
        <w:rPr>
          <w:sz w:val="21"/>
        </w:rPr>
        <w:t>payments </w:t>
      </w:r>
      <w:r>
        <w:rPr>
          <w:spacing w:val="-3"/>
          <w:sz w:val="21"/>
        </w:rPr>
        <w:t>that </w:t>
      </w:r>
      <w:r>
        <w:rPr>
          <w:sz w:val="21"/>
        </w:rPr>
        <w:t>would </w:t>
      </w:r>
      <w:r>
        <w:rPr>
          <w:spacing w:val="-2"/>
          <w:sz w:val="21"/>
        </w:rPr>
        <w:t>not </w:t>
      </w:r>
      <w:r>
        <w:rPr>
          <w:spacing w:val="-3"/>
          <w:sz w:val="21"/>
        </w:rPr>
        <w:t>have </w:t>
      </w:r>
      <w:r>
        <w:rPr>
          <w:sz w:val="21"/>
        </w:rPr>
        <w:t>been </w:t>
      </w:r>
      <w:r>
        <w:rPr>
          <w:spacing w:val="-3"/>
          <w:sz w:val="21"/>
        </w:rPr>
        <w:t>legitimate </w:t>
      </w:r>
      <w:r>
        <w:rPr>
          <w:sz w:val="21"/>
        </w:rPr>
        <w:t>if they </w:t>
      </w:r>
      <w:r>
        <w:rPr>
          <w:spacing w:val="-2"/>
          <w:sz w:val="21"/>
        </w:rPr>
        <w:t>had </w:t>
      </w:r>
      <w:r>
        <w:rPr>
          <w:sz w:val="21"/>
        </w:rPr>
        <w:t>obtained a </w:t>
      </w:r>
      <w:r>
        <w:rPr>
          <w:spacing w:val="-3"/>
          <w:sz w:val="21"/>
        </w:rPr>
        <w:t>grant </w:t>
      </w:r>
      <w:r>
        <w:rPr>
          <w:sz w:val="21"/>
        </w:rPr>
        <w:t>of </w:t>
      </w:r>
      <w:r>
        <w:rPr>
          <w:spacing w:val="-3"/>
          <w:sz w:val="21"/>
        </w:rPr>
        <w:t>representation. </w:t>
      </w:r>
      <w:r>
        <w:rPr>
          <w:sz w:val="21"/>
        </w:rPr>
        <w:t>This </w:t>
      </w:r>
      <w:r>
        <w:rPr>
          <w:spacing w:val="-3"/>
          <w:sz w:val="21"/>
        </w:rPr>
        <w:t>may occur  </w:t>
      </w:r>
      <w:r>
        <w:rPr>
          <w:sz w:val="21"/>
        </w:rPr>
        <w:t>where a more </w:t>
      </w:r>
      <w:r>
        <w:rPr>
          <w:spacing w:val="-3"/>
          <w:sz w:val="21"/>
        </w:rPr>
        <w:t>recent</w:t>
      </w:r>
      <w:r>
        <w:rPr>
          <w:spacing w:val="41"/>
          <w:sz w:val="21"/>
        </w:rPr>
        <w:t> </w:t>
      </w:r>
      <w:r>
        <w:rPr>
          <w:spacing w:val="-3"/>
          <w:sz w:val="21"/>
        </w:rPr>
        <w:t>will </w:t>
      </w:r>
      <w:r>
        <w:rPr>
          <w:sz w:val="21"/>
        </w:rPr>
        <w:t>is </w:t>
      </w:r>
      <w:r>
        <w:rPr>
          <w:spacing w:val="-3"/>
          <w:sz w:val="21"/>
        </w:rPr>
        <w:t>discovered  </w:t>
      </w:r>
      <w:r>
        <w:rPr>
          <w:sz w:val="21"/>
        </w:rPr>
        <w:t>after the estate </w:t>
      </w:r>
      <w:r>
        <w:rPr>
          <w:spacing w:val="-2"/>
          <w:sz w:val="21"/>
        </w:rPr>
        <w:t>has</w:t>
      </w:r>
      <w:r>
        <w:rPr>
          <w:spacing w:val="43"/>
          <w:sz w:val="21"/>
        </w:rPr>
        <w:t> </w:t>
      </w:r>
      <w:r>
        <w:rPr>
          <w:sz w:val="21"/>
        </w:rPr>
        <w:t>been </w:t>
      </w:r>
      <w:r>
        <w:rPr>
          <w:spacing w:val="-3"/>
          <w:sz w:val="21"/>
        </w:rPr>
        <w:t>informally  administered  according  to  </w:t>
      </w:r>
      <w:r>
        <w:rPr>
          <w:sz w:val="21"/>
        </w:rPr>
        <w:t>an older </w:t>
      </w:r>
      <w:r>
        <w:rPr>
          <w:spacing w:val="-3"/>
          <w:sz w:val="21"/>
        </w:rPr>
        <w:t>will, </w:t>
      </w:r>
      <w:r>
        <w:rPr>
          <w:sz w:val="21"/>
        </w:rPr>
        <w:t>or when the debts of the estate </w:t>
      </w:r>
      <w:r>
        <w:rPr>
          <w:spacing w:val="-3"/>
          <w:sz w:val="21"/>
        </w:rPr>
        <w:t>were </w:t>
      </w:r>
      <w:r>
        <w:rPr>
          <w:spacing w:val="-2"/>
          <w:sz w:val="21"/>
        </w:rPr>
        <w:t>not </w:t>
      </w:r>
      <w:r>
        <w:rPr>
          <w:spacing w:val="-3"/>
          <w:sz w:val="21"/>
        </w:rPr>
        <w:t>fully </w:t>
      </w:r>
      <w:r>
        <w:rPr>
          <w:sz w:val="21"/>
        </w:rPr>
        <w:t>paid </w:t>
      </w:r>
      <w:r>
        <w:rPr>
          <w:spacing w:val="-3"/>
          <w:sz w:val="21"/>
        </w:rPr>
        <w:t>before </w:t>
      </w:r>
      <w:r>
        <w:rPr>
          <w:sz w:val="21"/>
        </w:rPr>
        <w:t>the estate was</w:t>
      </w:r>
      <w:r>
        <w:rPr>
          <w:spacing w:val="28"/>
          <w:sz w:val="21"/>
        </w:rPr>
        <w:t> </w:t>
      </w:r>
      <w:r>
        <w:rPr>
          <w:spacing w:val="-3"/>
          <w:sz w:val="21"/>
        </w:rPr>
        <w:t>distributed.</w:t>
      </w:r>
    </w:p>
    <w:p>
      <w:pPr>
        <w:pStyle w:val="BodyText"/>
        <w:spacing w:line="242" w:lineRule="auto" w:before="5"/>
        <w:ind w:left="1927" w:right="1826"/>
      </w:pPr>
      <w:r>
        <w:rPr/>
        <w:t>In </w:t>
      </w:r>
      <w:r>
        <w:rPr>
          <w:spacing w:val="-3"/>
        </w:rPr>
        <w:t>addition, </w:t>
      </w:r>
      <w:r>
        <w:rPr/>
        <w:t>a bank or other </w:t>
      </w:r>
      <w:r>
        <w:rPr>
          <w:spacing w:val="-3"/>
        </w:rPr>
        <w:t>third </w:t>
      </w:r>
      <w:r>
        <w:rPr/>
        <w:t>party </w:t>
      </w:r>
      <w:r>
        <w:rPr>
          <w:spacing w:val="-3"/>
        </w:rPr>
        <w:t>that transfers </w:t>
      </w:r>
      <w:r>
        <w:rPr/>
        <w:t>assets of the estate </w:t>
      </w:r>
      <w:r>
        <w:rPr>
          <w:spacing w:val="-3"/>
        </w:rPr>
        <w:t>to </w:t>
      </w:r>
      <w:r>
        <w:rPr/>
        <w:t>a person without </w:t>
      </w:r>
      <w:r>
        <w:rPr>
          <w:spacing w:val="-3"/>
        </w:rPr>
        <w:t>requiring </w:t>
      </w:r>
      <w:r>
        <w:rPr/>
        <w:t>a </w:t>
      </w:r>
      <w:r>
        <w:rPr>
          <w:spacing w:val="-3"/>
        </w:rPr>
        <w:t>grant </w:t>
      </w:r>
      <w:r>
        <w:rPr/>
        <w:t>of </w:t>
      </w:r>
      <w:r>
        <w:rPr>
          <w:spacing w:val="-2"/>
        </w:rPr>
        <w:t>representation </w:t>
      </w:r>
      <w:r>
        <w:rPr/>
        <w:t>is exposed </w:t>
      </w:r>
      <w:r>
        <w:rPr>
          <w:spacing w:val="-3"/>
        </w:rPr>
        <w:t>to liability  </w:t>
      </w:r>
      <w:r>
        <w:rPr/>
        <w:t>where payments </w:t>
      </w:r>
      <w:r>
        <w:rPr>
          <w:spacing w:val="-3"/>
        </w:rPr>
        <w:t>are</w:t>
      </w:r>
      <w:r>
        <w:rPr>
          <w:spacing w:val="41"/>
        </w:rPr>
        <w:t> </w:t>
      </w:r>
      <w:r>
        <w:rPr/>
        <w:t>made incorrectly or</w:t>
      </w:r>
      <w:r>
        <w:rPr>
          <w:spacing w:val="10"/>
        </w:rPr>
        <w:t> </w:t>
      </w:r>
      <w:r>
        <w:rPr/>
        <w:t>a</w:t>
      </w:r>
      <w:r>
        <w:rPr>
          <w:spacing w:val="10"/>
        </w:rPr>
        <w:t> </w:t>
      </w:r>
      <w:r>
        <w:rPr>
          <w:spacing w:val="-3"/>
        </w:rPr>
        <w:t>grant</w:t>
      </w:r>
      <w:r>
        <w:rPr>
          <w:spacing w:val="10"/>
        </w:rPr>
        <w:t> </w:t>
      </w:r>
      <w:r>
        <w:rPr/>
        <w:t>of</w:t>
      </w:r>
      <w:r>
        <w:rPr>
          <w:spacing w:val="10"/>
        </w:rPr>
        <w:t> </w:t>
      </w:r>
      <w:r>
        <w:rPr>
          <w:spacing w:val="-2"/>
        </w:rPr>
        <w:t>representation</w:t>
      </w:r>
      <w:r>
        <w:rPr>
          <w:spacing w:val="11"/>
        </w:rPr>
        <w:t> </w:t>
      </w:r>
      <w:r>
        <w:rPr/>
        <w:t>is</w:t>
      </w:r>
      <w:r>
        <w:rPr>
          <w:spacing w:val="10"/>
        </w:rPr>
        <w:t> </w:t>
      </w:r>
      <w:r>
        <w:rPr>
          <w:spacing w:val="-3"/>
        </w:rPr>
        <w:t>later</w:t>
      </w:r>
      <w:r>
        <w:rPr>
          <w:spacing w:val="10"/>
        </w:rPr>
        <w:t> </w:t>
      </w:r>
      <w:r>
        <w:rPr>
          <w:spacing w:val="-3"/>
        </w:rPr>
        <w:t>taken</w:t>
      </w:r>
      <w:r>
        <w:rPr>
          <w:spacing w:val="10"/>
        </w:rPr>
        <w:t> </w:t>
      </w:r>
      <w:r>
        <w:rPr/>
        <w:t>out</w:t>
      </w:r>
      <w:r>
        <w:rPr>
          <w:spacing w:val="10"/>
        </w:rPr>
        <w:t> </w:t>
      </w:r>
      <w:r>
        <w:rPr/>
        <w:t>by</w:t>
      </w:r>
      <w:r>
        <w:rPr>
          <w:spacing w:val="11"/>
        </w:rPr>
        <w:t> </w:t>
      </w:r>
      <w:r>
        <w:rPr>
          <w:spacing w:val="-3"/>
        </w:rPr>
        <w:t>another</w:t>
      </w:r>
      <w:r>
        <w:rPr>
          <w:spacing w:val="10"/>
        </w:rPr>
        <w:t> </w:t>
      </w:r>
      <w:r>
        <w:rPr/>
        <w:t>person.</w:t>
      </w:r>
    </w:p>
    <w:p>
      <w:pPr>
        <w:pStyle w:val="BodyText"/>
        <w:rPr>
          <w:sz w:val="20"/>
        </w:rPr>
      </w:pPr>
    </w:p>
    <w:p>
      <w:pPr>
        <w:pStyle w:val="BodyText"/>
        <w:rPr>
          <w:sz w:val="20"/>
        </w:rPr>
      </w:pPr>
    </w:p>
    <w:p>
      <w:pPr>
        <w:pStyle w:val="BodyText"/>
        <w:spacing w:before="11"/>
        <w:rPr>
          <w:sz w:val="18"/>
        </w:rPr>
      </w:pPr>
    </w:p>
    <w:p>
      <w:pPr>
        <w:spacing w:before="99"/>
        <w:ind w:left="0" w:right="623" w:firstLine="0"/>
        <w:jc w:val="right"/>
        <w:rPr>
          <w:b/>
          <w:sz w:val="24"/>
        </w:rPr>
      </w:pPr>
      <w:r>
        <w:rPr>
          <w:b/>
          <w:color w:val="EC5A4F"/>
          <w:w w:val="120"/>
          <w:sz w:val="24"/>
        </w:rPr>
        <w:t>xxi</w:t>
      </w:r>
    </w:p>
    <w:p>
      <w:pPr>
        <w:spacing w:after="0"/>
        <w:jc w:val="right"/>
        <w:rPr>
          <w:sz w:val="24"/>
        </w:rPr>
        <w:sectPr>
          <w:pgSz w:w="11910" w:h="16840"/>
          <w:pgMar w:header="550" w:footer="0" w:top="1560" w:bottom="280" w:left="0" w:right="0"/>
        </w:sectPr>
      </w:pPr>
    </w:p>
    <w:p>
      <w:pPr>
        <w:pStyle w:val="BodyText"/>
        <w:spacing w:before="9"/>
        <w:rPr>
          <w:b/>
          <w:sz w:val="22"/>
        </w:rPr>
      </w:pPr>
    </w:p>
    <w:p>
      <w:pPr>
        <w:pStyle w:val="ListParagraph"/>
        <w:numPr>
          <w:ilvl w:val="0"/>
          <w:numId w:val="8"/>
        </w:numPr>
        <w:tabs>
          <w:tab w:pos="1928" w:val="left" w:leader="none"/>
        </w:tabs>
        <w:spacing w:line="242" w:lineRule="auto" w:before="92" w:after="0"/>
        <w:ind w:left="1927" w:right="2049" w:hanging="340"/>
        <w:jc w:val="left"/>
        <w:rPr>
          <w:sz w:val="21"/>
        </w:rPr>
      </w:pPr>
      <w:r>
        <w:rPr>
          <w:w w:val="105"/>
          <w:sz w:val="21"/>
        </w:rPr>
        <w:t>The </w:t>
      </w:r>
      <w:r>
        <w:rPr>
          <w:spacing w:val="-3"/>
          <w:w w:val="105"/>
          <w:sz w:val="21"/>
        </w:rPr>
        <w:t>Commission makes recommendations to </w:t>
      </w:r>
      <w:r>
        <w:rPr>
          <w:w w:val="105"/>
          <w:sz w:val="21"/>
        </w:rPr>
        <w:t>clarify and strengthen existing protections </w:t>
      </w:r>
      <w:r>
        <w:rPr>
          <w:spacing w:val="-3"/>
          <w:w w:val="105"/>
          <w:sz w:val="21"/>
        </w:rPr>
        <w:t>to</w:t>
      </w:r>
      <w:r>
        <w:rPr>
          <w:spacing w:val="-8"/>
          <w:w w:val="105"/>
          <w:sz w:val="21"/>
        </w:rPr>
        <w:t> </w:t>
      </w:r>
      <w:r>
        <w:rPr>
          <w:w w:val="105"/>
          <w:sz w:val="21"/>
        </w:rPr>
        <w:t>people</w:t>
      </w:r>
      <w:r>
        <w:rPr>
          <w:spacing w:val="-8"/>
          <w:w w:val="105"/>
          <w:sz w:val="21"/>
        </w:rPr>
        <w:t> </w:t>
      </w:r>
      <w:r>
        <w:rPr>
          <w:w w:val="105"/>
          <w:sz w:val="21"/>
        </w:rPr>
        <w:t>who</w:t>
      </w:r>
      <w:r>
        <w:rPr>
          <w:spacing w:val="-8"/>
          <w:w w:val="105"/>
          <w:sz w:val="21"/>
        </w:rPr>
        <w:t> </w:t>
      </w:r>
      <w:r>
        <w:rPr>
          <w:spacing w:val="-3"/>
          <w:w w:val="105"/>
          <w:sz w:val="21"/>
        </w:rPr>
        <w:t>administer</w:t>
      </w:r>
      <w:r>
        <w:rPr>
          <w:spacing w:val="-7"/>
          <w:w w:val="105"/>
          <w:sz w:val="21"/>
        </w:rPr>
        <w:t> </w:t>
      </w:r>
      <w:r>
        <w:rPr>
          <w:w w:val="105"/>
          <w:sz w:val="21"/>
        </w:rPr>
        <w:t>estates</w:t>
      </w:r>
      <w:r>
        <w:rPr>
          <w:spacing w:val="-8"/>
          <w:w w:val="105"/>
          <w:sz w:val="21"/>
        </w:rPr>
        <w:t> </w:t>
      </w:r>
      <w:r>
        <w:rPr>
          <w:spacing w:val="-4"/>
          <w:w w:val="105"/>
          <w:sz w:val="21"/>
        </w:rPr>
        <w:t>informally,</w:t>
      </w:r>
      <w:r>
        <w:rPr>
          <w:spacing w:val="-8"/>
          <w:w w:val="105"/>
          <w:sz w:val="21"/>
        </w:rPr>
        <w:t> </w:t>
      </w:r>
      <w:r>
        <w:rPr>
          <w:w w:val="105"/>
          <w:sz w:val="21"/>
        </w:rPr>
        <w:t>and</w:t>
      </w:r>
      <w:r>
        <w:rPr>
          <w:spacing w:val="-7"/>
          <w:w w:val="105"/>
          <w:sz w:val="21"/>
        </w:rPr>
        <w:t> </w:t>
      </w:r>
      <w:r>
        <w:rPr>
          <w:spacing w:val="-3"/>
          <w:w w:val="105"/>
          <w:sz w:val="21"/>
        </w:rPr>
        <w:t>to</w:t>
      </w:r>
      <w:r>
        <w:rPr>
          <w:spacing w:val="-8"/>
          <w:w w:val="105"/>
          <w:sz w:val="21"/>
        </w:rPr>
        <w:t> </w:t>
      </w:r>
      <w:r>
        <w:rPr>
          <w:w w:val="105"/>
          <w:sz w:val="21"/>
        </w:rPr>
        <w:t>protect</w:t>
      </w:r>
      <w:r>
        <w:rPr>
          <w:spacing w:val="-8"/>
          <w:w w:val="105"/>
          <w:sz w:val="21"/>
        </w:rPr>
        <w:t> </w:t>
      </w:r>
      <w:r>
        <w:rPr>
          <w:spacing w:val="-3"/>
          <w:w w:val="105"/>
          <w:sz w:val="21"/>
        </w:rPr>
        <w:t>third</w:t>
      </w:r>
      <w:r>
        <w:rPr>
          <w:spacing w:val="-7"/>
          <w:w w:val="105"/>
          <w:sz w:val="21"/>
        </w:rPr>
        <w:t> </w:t>
      </w:r>
      <w:r>
        <w:rPr>
          <w:w w:val="105"/>
          <w:sz w:val="21"/>
        </w:rPr>
        <w:t>parties</w:t>
      </w:r>
      <w:r>
        <w:rPr>
          <w:spacing w:val="-8"/>
          <w:w w:val="105"/>
          <w:sz w:val="21"/>
        </w:rPr>
        <w:t> </w:t>
      </w:r>
      <w:r>
        <w:rPr>
          <w:spacing w:val="-3"/>
          <w:w w:val="105"/>
          <w:sz w:val="21"/>
        </w:rPr>
        <w:t>transferring</w:t>
      </w:r>
      <w:r>
        <w:rPr>
          <w:spacing w:val="-8"/>
          <w:w w:val="105"/>
          <w:sz w:val="21"/>
        </w:rPr>
        <w:t> </w:t>
      </w:r>
      <w:r>
        <w:rPr>
          <w:w w:val="105"/>
          <w:sz w:val="21"/>
        </w:rPr>
        <w:t>up</w:t>
      </w:r>
      <w:r>
        <w:rPr>
          <w:spacing w:val="-7"/>
          <w:w w:val="105"/>
          <w:sz w:val="21"/>
        </w:rPr>
        <w:t> </w:t>
      </w:r>
      <w:r>
        <w:rPr>
          <w:spacing w:val="-3"/>
          <w:w w:val="105"/>
          <w:sz w:val="21"/>
        </w:rPr>
        <w:t>to</w:t>
      </w:r>
    </w:p>
    <w:p>
      <w:pPr>
        <w:pStyle w:val="BodyText"/>
        <w:spacing w:line="242" w:lineRule="auto" w:before="2"/>
        <w:ind w:left="1927" w:right="1604"/>
      </w:pPr>
      <w:r>
        <w:rPr>
          <w:w w:val="105"/>
        </w:rPr>
        <w:t>$25,000 without a grant of representation. This amount would be adjusted to reflect changes in the Consumer Price Index.</w:t>
      </w:r>
    </w:p>
    <w:p>
      <w:pPr>
        <w:pStyle w:val="ListParagraph"/>
        <w:numPr>
          <w:ilvl w:val="0"/>
          <w:numId w:val="8"/>
        </w:numPr>
        <w:tabs>
          <w:tab w:pos="1928" w:val="left" w:leader="none"/>
        </w:tabs>
        <w:spacing w:line="242" w:lineRule="auto" w:before="122" w:after="0"/>
        <w:ind w:left="1927" w:right="1797" w:hanging="340"/>
        <w:jc w:val="left"/>
        <w:rPr>
          <w:sz w:val="21"/>
        </w:rPr>
      </w:pPr>
      <w:r>
        <w:rPr>
          <w:sz w:val="21"/>
        </w:rPr>
        <w:t>Although the </w:t>
      </w:r>
      <w:r>
        <w:rPr>
          <w:spacing w:val="-3"/>
          <w:sz w:val="21"/>
        </w:rPr>
        <w:t>Commission </w:t>
      </w:r>
      <w:r>
        <w:rPr>
          <w:sz w:val="21"/>
        </w:rPr>
        <w:t>recognises </w:t>
      </w:r>
      <w:r>
        <w:rPr>
          <w:spacing w:val="-3"/>
          <w:sz w:val="21"/>
        </w:rPr>
        <w:t>that </w:t>
      </w:r>
      <w:r>
        <w:rPr>
          <w:sz w:val="21"/>
        </w:rPr>
        <w:t>it is </w:t>
      </w:r>
      <w:r>
        <w:rPr>
          <w:spacing w:val="-3"/>
          <w:sz w:val="21"/>
        </w:rPr>
        <w:t>useful to </w:t>
      </w:r>
      <w:r>
        <w:rPr>
          <w:sz w:val="21"/>
        </w:rPr>
        <w:t>be able </w:t>
      </w:r>
      <w:r>
        <w:rPr>
          <w:spacing w:val="-3"/>
          <w:sz w:val="21"/>
        </w:rPr>
        <w:t>to administer </w:t>
      </w:r>
      <w:r>
        <w:rPr>
          <w:sz w:val="21"/>
        </w:rPr>
        <w:t>an estate </w:t>
      </w:r>
      <w:r>
        <w:rPr>
          <w:spacing w:val="-4"/>
          <w:sz w:val="21"/>
        </w:rPr>
        <w:t>informally, </w:t>
      </w:r>
      <w:r>
        <w:rPr>
          <w:sz w:val="21"/>
        </w:rPr>
        <w:t>this course of action should </w:t>
      </w:r>
      <w:r>
        <w:rPr>
          <w:spacing w:val="-2"/>
          <w:sz w:val="21"/>
        </w:rPr>
        <w:t>not </w:t>
      </w:r>
      <w:r>
        <w:rPr>
          <w:sz w:val="21"/>
        </w:rPr>
        <w:t>be </w:t>
      </w:r>
      <w:r>
        <w:rPr>
          <w:spacing w:val="-3"/>
          <w:sz w:val="21"/>
        </w:rPr>
        <w:t>taken </w:t>
      </w:r>
      <w:r>
        <w:rPr>
          <w:sz w:val="21"/>
        </w:rPr>
        <w:t>simply because seeking a </w:t>
      </w:r>
      <w:r>
        <w:rPr>
          <w:spacing w:val="-3"/>
          <w:sz w:val="21"/>
        </w:rPr>
        <w:t>grant </w:t>
      </w:r>
      <w:r>
        <w:rPr>
          <w:sz w:val="21"/>
        </w:rPr>
        <w:t>of </w:t>
      </w:r>
      <w:r>
        <w:rPr>
          <w:spacing w:val="-2"/>
          <w:sz w:val="21"/>
        </w:rPr>
        <w:t>representation </w:t>
      </w:r>
      <w:r>
        <w:rPr>
          <w:sz w:val="21"/>
        </w:rPr>
        <w:t>seems too complex or </w:t>
      </w:r>
      <w:r>
        <w:rPr>
          <w:spacing w:val="-4"/>
          <w:sz w:val="21"/>
        </w:rPr>
        <w:t>costly. </w:t>
      </w:r>
      <w:r>
        <w:rPr>
          <w:sz w:val="21"/>
        </w:rPr>
        <w:t>The </w:t>
      </w:r>
      <w:r>
        <w:rPr>
          <w:spacing w:val="-3"/>
          <w:sz w:val="21"/>
        </w:rPr>
        <w:t>valuable </w:t>
      </w:r>
      <w:r>
        <w:rPr>
          <w:sz w:val="21"/>
        </w:rPr>
        <w:t>assistance provided by the </w:t>
      </w:r>
      <w:r>
        <w:rPr>
          <w:spacing w:val="-3"/>
          <w:sz w:val="21"/>
        </w:rPr>
        <w:t>Probate </w:t>
      </w:r>
      <w:r>
        <w:rPr>
          <w:sz w:val="21"/>
        </w:rPr>
        <w:t>Office </w:t>
      </w:r>
      <w:r>
        <w:rPr>
          <w:spacing w:val="-3"/>
          <w:sz w:val="21"/>
        </w:rPr>
        <w:t>to small </w:t>
      </w:r>
      <w:r>
        <w:rPr>
          <w:sz w:val="21"/>
        </w:rPr>
        <w:t>estates should be </w:t>
      </w:r>
      <w:r>
        <w:rPr>
          <w:spacing w:val="-3"/>
          <w:sz w:val="21"/>
        </w:rPr>
        <w:t>supplemented </w:t>
      </w:r>
      <w:r>
        <w:rPr>
          <w:sz w:val="21"/>
        </w:rPr>
        <w:t>by more and better </w:t>
      </w:r>
      <w:r>
        <w:rPr>
          <w:spacing w:val="-3"/>
          <w:sz w:val="21"/>
        </w:rPr>
        <w:t>information  to  </w:t>
      </w:r>
      <w:r>
        <w:rPr>
          <w:sz w:val="21"/>
        </w:rPr>
        <w:t>the </w:t>
      </w:r>
      <w:r>
        <w:rPr>
          <w:spacing w:val="-3"/>
          <w:sz w:val="21"/>
        </w:rPr>
        <w:t>public</w:t>
      </w:r>
      <w:r>
        <w:rPr>
          <w:spacing w:val="41"/>
          <w:sz w:val="21"/>
        </w:rPr>
        <w:t> </w:t>
      </w:r>
      <w:r>
        <w:rPr>
          <w:sz w:val="21"/>
        </w:rPr>
        <w:t>on the </w:t>
      </w:r>
      <w:r>
        <w:rPr>
          <w:spacing w:val="-3"/>
          <w:sz w:val="21"/>
        </w:rPr>
        <w:t>administration </w:t>
      </w:r>
      <w:r>
        <w:rPr>
          <w:sz w:val="21"/>
        </w:rPr>
        <w:t>of estates. The </w:t>
      </w:r>
      <w:r>
        <w:rPr>
          <w:spacing w:val="-3"/>
          <w:sz w:val="21"/>
        </w:rPr>
        <w:t>Commission recommends  that  </w:t>
      </w:r>
      <w:r>
        <w:rPr>
          <w:sz w:val="21"/>
        </w:rPr>
        <w:t>the  </w:t>
      </w:r>
      <w:r>
        <w:rPr>
          <w:spacing w:val="-3"/>
          <w:sz w:val="21"/>
        </w:rPr>
        <w:t>Supreme  Court produce </w:t>
      </w:r>
      <w:r>
        <w:rPr>
          <w:sz w:val="21"/>
        </w:rPr>
        <w:t>a </w:t>
      </w:r>
      <w:r>
        <w:rPr>
          <w:spacing w:val="-3"/>
          <w:sz w:val="21"/>
        </w:rPr>
        <w:t>compilation </w:t>
      </w:r>
      <w:r>
        <w:rPr>
          <w:sz w:val="21"/>
        </w:rPr>
        <w:t>of simply expressed and </w:t>
      </w:r>
      <w:r>
        <w:rPr>
          <w:spacing w:val="-3"/>
          <w:sz w:val="21"/>
        </w:rPr>
        <w:t>comprehensive information for potential </w:t>
      </w:r>
      <w:r>
        <w:rPr>
          <w:sz w:val="21"/>
        </w:rPr>
        <w:t>applicants </w:t>
      </w:r>
      <w:r>
        <w:rPr>
          <w:spacing w:val="-3"/>
          <w:sz w:val="21"/>
        </w:rPr>
        <w:t>for </w:t>
      </w:r>
      <w:r>
        <w:rPr>
          <w:sz w:val="21"/>
        </w:rPr>
        <w:t>a </w:t>
      </w:r>
      <w:r>
        <w:rPr>
          <w:spacing w:val="-3"/>
          <w:sz w:val="21"/>
        </w:rPr>
        <w:t>grant </w:t>
      </w:r>
      <w:r>
        <w:rPr>
          <w:sz w:val="21"/>
        </w:rPr>
        <w:t>of </w:t>
      </w:r>
      <w:r>
        <w:rPr>
          <w:spacing w:val="-3"/>
          <w:sz w:val="21"/>
        </w:rPr>
        <w:t>representation, </w:t>
      </w:r>
      <w:r>
        <w:rPr>
          <w:sz w:val="21"/>
        </w:rPr>
        <w:t>and </w:t>
      </w:r>
      <w:r>
        <w:rPr>
          <w:spacing w:val="-4"/>
          <w:sz w:val="21"/>
        </w:rPr>
        <w:t>make </w:t>
      </w:r>
      <w:r>
        <w:rPr>
          <w:sz w:val="21"/>
        </w:rPr>
        <w:t>it </w:t>
      </w:r>
      <w:r>
        <w:rPr>
          <w:spacing w:val="-3"/>
          <w:sz w:val="21"/>
        </w:rPr>
        <w:t>available</w:t>
      </w:r>
      <w:r>
        <w:rPr>
          <w:spacing w:val="-13"/>
          <w:sz w:val="21"/>
        </w:rPr>
        <w:t> </w:t>
      </w:r>
      <w:r>
        <w:rPr>
          <w:sz w:val="21"/>
        </w:rPr>
        <w:t>on its </w:t>
      </w:r>
      <w:r>
        <w:rPr>
          <w:spacing w:val="-3"/>
          <w:sz w:val="21"/>
        </w:rPr>
        <w:t>website.</w:t>
      </w:r>
    </w:p>
    <w:p>
      <w:pPr>
        <w:pStyle w:val="BodyText"/>
        <w:spacing w:before="10"/>
        <w:rPr>
          <w:sz w:val="23"/>
        </w:rPr>
      </w:pPr>
    </w:p>
    <w:p>
      <w:pPr>
        <w:pStyle w:val="Heading4"/>
      </w:pPr>
      <w:r>
        <w:rPr>
          <w:color w:val="EC5A4F"/>
          <w:w w:val="110"/>
        </w:rPr>
        <w:t>Costs rules in succession proceedings</w:t>
      </w:r>
    </w:p>
    <w:p>
      <w:pPr>
        <w:pStyle w:val="ListParagraph"/>
        <w:numPr>
          <w:ilvl w:val="0"/>
          <w:numId w:val="8"/>
        </w:numPr>
        <w:tabs>
          <w:tab w:pos="1928" w:val="left" w:leader="none"/>
        </w:tabs>
        <w:spacing w:line="242" w:lineRule="auto" w:before="155" w:after="0"/>
        <w:ind w:left="1927" w:right="1720" w:hanging="340"/>
        <w:jc w:val="both"/>
        <w:rPr>
          <w:sz w:val="21"/>
        </w:rPr>
      </w:pPr>
      <w:r>
        <w:rPr>
          <w:sz w:val="21"/>
        </w:rPr>
        <w:t>The </w:t>
      </w:r>
      <w:r>
        <w:rPr>
          <w:spacing w:val="-3"/>
          <w:sz w:val="21"/>
        </w:rPr>
        <w:t>Commission considered </w:t>
      </w:r>
      <w:r>
        <w:rPr>
          <w:sz w:val="21"/>
        </w:rPr>
        <w:t>cost rules at a general </w:t>
      </w:r>
      <w:r>
        <w:rPr>
          <w:spacing w:val="-3"/>
          <w:sz w:val="21"/>
        </w:rPr>
        <w:t>level, </w:t>
      </w:r>
      <w:r>
        <w:rPr>
          <w:sz w:val="21"/>
        </w:rPr>
        <w:t>as </w:t>
      </w:r>
      <w:r>
        <w:rPr>
          <w:spacing w:val="-3"/>
          <w:sz w:val="21"/>
        </w:rPr>
        <w:t>well </w:t>
      </w:r>
      <w:r>
        <w:rPr>
          <w:sz w:val="21"/>
        </w:rPr>
        <w:t>as in the context of </w:t>
      </w:r>
      <w:r>
        <w:rPr>
          <w:spacing w:val="-3"/>
          <w:sz w:val="21"/>
        </w:rPr>
        <w:t>reviewing applications for </w:t>
      </w:r>
      <w:r>
        <w:rPr>
          <w:sz w:val="21"/>
        </w:rPr>
        <w:t>statutory </w:t>
      </w:r>
      <w:r>
        <w:rPr>
          <w:spacing w:val="-3"/>
          <w:sz w:val="21"/>
        </w:rPr>
        <w:t>wills </w:t>
      </w:r>
      <w:r>
        <w:rPr>
          <w:sz w:val="21"/>
        </w:rPr>
        <w:t>and </w:t>
      </w:r>
      <w:r>
        <w:rPr>
          <w:spacing w:val="-3"/>
          <w:sz w:val="21"/>
        </w:rPr>
        <w:t>family provision. </w:t>
      </w:r>
      <w:r>
        <w:rPr>
          <w:sz w:val="21"/>
        </w:rPr>
        <w:t>It </w:t>
      </w:r>
      <w:r>
        <w:rPr>
          <w:spacing w:val="-2"/>
          <w:sz w:val="21"/>
        </w:rPr>
        <w:t>has  </w:t>
      </w:r>
      <w:r>
        <w:rPr>
          <w:spacing w:val="-3"/>
          <w:sz w:val="21"/>
        </w:rPr>
        <w:t>concluded  that,  </w:t>
      </w:r>
      <w:r>
        <w:rPr>
          <w:sz w:val="21"/>
        </w:rPr>
        <w:t>at the general </w:t>
      </w:r>
      <w:r>
        <w:rPr>
          <w:spacing w:val="-3"/>
          <w:sz w:val="21"/>
        </w:rPr>
        <w:t>level, </w:t>
      </w:r>
      <w:r>
        <w:rPr>
          <w:sz w:val="21"/>
        </w:rPr>
        <w:t>the rules </w:t>
      </w:r>
      <w:r>
        <w:rPr>
          <w:spacing w:val="-3"/>
          <w:sz w:val="21"/>
        </w:rPr>
        <w:t>are working </w:t>
      </w:r>
      <w:r>
        <w:rPr>
          <w:sz w:val="21"/>
        </w:rPr>
        <w:t>satisfactorily and do </w:t>
      </w:r>
      <w:r>
        <w:rPr>
          <w:spacing w:val="-2"/>
          <w:sz w:val="21"/>
        </w:rPr>
        <w:t>not </w:t>
      </w:r>
      <w:r>
        <w:rPr>
          <w:spacing w:val="-3"/>
          <w:sz w:val="21"/>
        </w:rPr>
        <w:t>require legislative amendment. </w:t>
      </w:r>
      <w:r>
        <w:rPr>
          <w:sz w:val="21"/>
        </w:rPr>
        <w:t>No </w:t>
      </w:r>
      <w:r>
        <w:rPr>
          <w:spacing w:val="-3"/>
          <w:sz w:val="21"/>
        </w:rPr>
        <w:t>submissions </w:t>
      </w:r>
      <w:r>
        <w:rPr>
          <w:sz w:val="21"/>
        </w:rPr>
        <w:t>expressed a contrary</w:t>
      </w:r>
      <w:r>
        <w:rPr>
          <w:spacing w:val="24"/>
          <w:sz w:val="21"/>
        </w:rPr>
        <w:t> </w:t>
      </w:r>
      <w:r>
        <w:rPr>
          <w:spacing w:val="-4"/>
          <w:sz w:val="21"/>
        </w:rPr>
        <w:t>view.</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5"/>
        </w:rPr>
      </w:pPr>
    </w:p>
    <w:p>
      <w:pPr>
        <w:spacing w:before="99"/>
        <w:ind w:left="720" w:right="0" w:firstLine="0"/>
        <w:jc w:val="left"/>
        <w:rPr>
          <w:b/>
          <w:sz w:val="24"/>
        </w:rPr>
      </w:pPr>
      <w:r>
        <w:rPr>
          <w:b/>
          <w:color w:val="EC5A4F"/>
          <w:w w:val="115"/>
          <w:sz w:val="24"/>
        </w:rPr>
        <w:t>xxii</w:t>
      </w:r>
    </w:p>
    <w:p>
      <w:pPr>
        <w:spacing w:after="0"/>
        <w:jc w:val="left"/>
        <w:rPr>
          <w:sz w:val="24"/>
        </w:rPr>
        <w:sectPr>
          <w:pgSz w:w="11910" w:h="16840"/>
          <w:pgMar w:header="1372" w:footer="0" w:top="1560" w:bottom="280" w:left="0" w:right="0"/>
        </w:sectPr>
      </w:pPr>
    </w:p>
    <w:p>
      <w:pPr>
        <w:pStyle w:val="BodyText"/>
        <w:spacing w:before="10"/>
        <w:rPr>
          <w:b/>
          <w:sz w:val="18"/>
        </w:rPr>
      </w:pPr>
    </w:p>
    <w:p>
      <w:pPr>
        <w:spacing w:before="98"/>
        <w:ind w:left="566" w:right="0" w:firstLine="0"/>
        <w:jc w:val="left"/>
        <w:rPr>
          <w:b/>
          <w:sz w:val="44"/>
        </w:rPr>
      </w:pPr>
      <w:bookmarkStart w:name="Recommendations" w:id="6"/>
      <w:bookmarkEnd w:id="6"/>
      <w:r>
        <w:rPr/>
      </w:r>
      <w:r>
        <w:rPr>
          <w:b/>
          <w:color w:val="EC5A4F"/>
          <w:w w:val="110"/>
          <w:sz w:val="44"/>
        </w:rPr>
        <w:t>Recommendations</w:t>
      </w:r>
    </w:p>
    <w:p>
      <w:pPr>
        <w:pStyle w:val="BodyText"/>
        <w:rPr>
          <w:b/>
          <w:sz w:val="52"/>
        </w:rPr>
      </w:pPr>
    </w:p>
    <w:p>
      <w:pPr>
        <w:pStyle w:val="BodyText"/>
        <w:rPr>
          <w:b/>
          <w:sz w:val="52"/>
        </w:rPr>
      </w:pPr>
    </w:p>
    <w:p>
      <w:pPr>
        <w:pStyle w:val="BodyText"/>
        <w:rPr>
          <w:b/>
          <w:sz w:val="52"/>
        </w:rPr>
      </w:pPr>
    </w:p>
    <w:p>
      <w:pPr>
        <w:pStyle w:val="BodyText"/>
        <w:rPr>
          <w:b/>
          <w:sz w:val="52"/>
        </w:rPr>
      </w:pPr>
    </w:p>
    <w:p>
      <w:pPr>
        <w:pStyle w:val="BodyText"/>
        <w:spacing w:before="9"/>
        <w:rPr>
          <w:b/>
          <w:sz w:val="47"/>
        </w:rPr>
      </w:pPr>
    </w:p>
    <w:p>
      <w:pPr>
        <w:spacing w:before="0"/>
        <w:ind w:left="1587" w:right="0" w:firstLine="0"/>
        <w:jc w:val="left"/>
        <w:rPr>
          <w:b/>
          <w:sz w:val="28"/>
        </w:rPr>
      </w:pPr>
      <w:r>
        <w:rPr>
          <w:b/>
          <w:color w:val="EC5A4F"/>
          <w:w w:val="115"/>
          <w:sz w:val="28"/>
        </w:rPr>
        <w:t>Chapter 2 Witnessing wills and undue influence</w:t>
      </w:r>
    </w:p>
    <w:p>
      <w:pPr>
        <w:spacing w:before="167"/>
        <w:ind w:left="1587" w:right="0" w:firstLine="0"/>
        <w:jc w:val="left"/>
        <w:rPr>
          <w:b/>
          <w:sz w:val="24"/>
        </w:rPr>
      </w:pPr>
      <w:r>
        <w:rPr>
          <w:b/>
          <w:w w:val="115"/>
          <w:sz w:val="24"/>
        </w:rPr>
        <w:t>Prevention of undue influence through other changes to the will-making process</w:t>
      </w:r>
    </w:p>
    <w:p>
      <w:pPr>
        <w:pStyle w:val="ListParagraph"/>
        <w:numPr>
          <w:ilvl w:val="0"/>
          <w:numId w:val="9"/>
        </w:numPr>
        <w:tabs>
          <w:tab w:pos="1927" w:val="left" w:leader="none"/>
          <w:tab w:pos="1928" w:val="left" w:leader="none"/>
        </w:tabs>
        <w:spacing w:line="242" w:lineRule="auto" w:before="137" w:after="0"/>
        <w:ind w:left="1927" w:right="1878" w:hanging="340"/>
        <w:jc w:val="left"/>
        <w:rPr>
          <w:sz w:val="21"/>
        </w:rPr>
      </w:pPr>
      <w:r>
        <w:rPr>
          <w:w w:val="105"/>
          <w:sz w:val="21"/>
        </w:rPr>
        <w:t>The Law </w:t>
      </w:r>
      <w:r>
        <w:rPr>
          <w:spacing w:val="-3"/>
          <w:w w:val="105"/>
          <w:sz w:val="21"/>
        </w:rPr>
        <w:t>Institute </w:t>
      </w:r>
      <w:r>
        <w:rPr>
          <w:w w:val="105"/>
          <w:sz w:val="21"/>
        </w:rPr>
        <w:t>of Victoria should </w:t>
      </w:r>
      <w:r>
        <w:rPr>
          <w:spacing w:val="-3"/>
          <w:w w:val="105"/>
          <w:sz w:val="21"/>
        </w:rPr>
        <w:t>prepare </w:t>
      </w:r>
      <w:r>
        <w:rPr>
          <w:w w:val="105"/>
          <w:sz w:val="21"/>
        </w:rPr>
        <w:t>best practice </w:t>
      </w:r>
      <w:r>
        <w:rPr>
          <w:spacing w:val="-3"/>
          <w:w w:val="105"/>
          <w:sz w:val="21"/>
        </w:rPr>
        <w:t>guidelines for </w:t>
      </w:r>
      <w:r>
        <w:rPr>
          <w:w w:val="105"/>
          <w:sz w:val="21"/>
        </w:rPr>
        <w:t>legal practitioners on the detection and </w:t>
      </w:r>
      <w:r>
        <w:rPr>
          <w:spacing w:val="-3"/>
          <w:w w:val="105"/>
          <w:sz w:val="21"/>
        </w:rPr>
        <w:t>prevention </w:t>
      </w:r>
      <w:r>
        <w:rPr>
          <w:w w:val="105"/>
          <w:sz w:val="21"/>
        </w:rPr>
        <w:t>of </w:t>
      </w:r>
      <w:r>
        <w:rPr>
          <w:spacing w:val="-3"/>
          <w:w w:val="105"/>
          <w:sz w:val="21"/>
        </w:rPr>
        <w:t>undue influence </w:t>
      </w:r>
      <w:r>
        <w:rPr>
          <w:w w:val="105"/>
          <w:sz w:val="21"/>
        </w:rPr>
        <w:t>when </w:t>
      </w:r>
      <w:r>
        <w:rPr>
          <w:spacing w:val="-3"/>
          <w:w w:val="105"/>
          <w:sz w:val="21"/>
        </w:rPr>
        <w:t>preparing </w:t>
      </w:r>
      <w:r>
        <w:rPr>
          <w:w w:val="105"/>
          <w:sz w:val="21"/>
        </w:rPr>
        <w:t>a </w:t>
      </w:r>
      <w:r>
        <w:rPr>
          <w:spacing w:val="-3"/>
          <w:w w:val="105"/>
          <w:sz w:val="21"/>
        </w:rPr>
        <w:t>will. </w:t>
      </w:r>
      <w:r>
        <w:rPr>
          <w:w w:val="105"/>
          <w:sz w:val="21"/>
        </w:rPr>
        <w:t>These </w:t>
      </w:r>
      <w:r>
        <w:rPr>
          <w:spacing w:val="-3"/>
          <w:w w:val="105"/>
          <w:sz w:val="21"/>
        </w:rPr>
        <w:t>guidelines </w:t>
      </w:r>
      <w:r>
        <w:rPr>
          <w:w w:val="105"/>
          <w:sz w:val="21"/>
        </w:rPr>
        <w:t>should </w:t>
      </w:r>
      <w:r>
        <w:rPr>
          <w:spacing w:val="-3"/>
          <w:w w:val="105"/>
          <w:sz w:val="21"/>
        </w:rPr>
        <w:t>cover such </w:t>
      </w:r>
      <w:r>
        <w:rPr>
          <w:w w:val="105"/>
          <w:sz w:val="21"/>
        </w:rPr>
        <w:t>matters</w:t>
      </w:r>
      <w:r>
        <w:rPr>
          <w:spacing w:val="25"/>
          <w:w w:val="105"/>
          <w:sz w:val="21"/>
        </w:rPr>
        <w:t> </w:t>
      </w:r>
      <w:r>
        <w:rPr>
          <w:w w:val="105"/>
          <w:sz w:val="21"/>
        </w:rPr>
        <w:t>as:</w:t>
      </w:r>
    </w:p>
    <w:p>
      <w:pPr>
        <w:pStyle w:val="ListParagraph"/>
        <w:numPr>
          <w:ilvl w:val="1"/>
          <w:numId w:val="9"/>
        </w:numPr>
        <w:tabs>
          <w:tab w:pos="3028" w:val="left" w:leader="none"/>
        </w:tabs>
        <w:spacing w:line="240" w:lineRule="auto" w:before="123" w:after="0"/>
        <w:ind w:left="3027" w:right="0" w:hanging="306"/>
        <w:jc w:val="left"/>
        <w:rPr>
          <w:sz w:val="21"/>
        </w:rPr>
      </w:pPr>
      <w:r>
        <w:rPr>
          <w:w w:val="105"/>
          <w:sz w:val="21"/>
        </w:rPr>
        <w:t>the importance of taking detailed instructions </w:t>
      </w:r>
      <w:r>
        <w:rPr>
          <w:spacing w:val="-3"/>
          <w:w w:val="105"/>
          <w:sz w:val="21"/>
        </w:rPr>
        <w:t>from </w:t>
      </w:r>
      <w:r>
        <w:rPr>
          <w:w w:val="105"/>
          <w:sz w:val="21"/>
        </w:rPr>
        <w:t>the </w:t>
      </w:r>
      <w:r>
        <w:rPr>
          <w:spacing w:val="-3"/>
          <w:w w:val="105"/>
          <w:sz w:val="21"/>
        </w:rPr>
        <w:t>will-maker</w:t>
      </w:r>
      <w:r>
        <w:rPr>
          <w:spacing w:val="26"/>
          <w:w w:val="105"/>
          <w:sz w:val="21"/>
        </w:rPr>
        <w:t> </w:t>
      </w:r>
      <w:r>
        <w:rPr>
          <w:w w:val="105"/>
          <w:sz w:val="21"/>
        </w:rPr>
        <w:t>alone</w:t>
      </w:r>
    </w:p>
    <w:p>
      <w:pPr>
        <w:pStyle w:val="ListParagraph"/>
        <w:numPr>
          <w:ilvl w:val="1"/>
          <w:numId w:val="9"/>
        </w:numPr>
        <w:tabs>
          <w:tab w:pos="3028" w:val="left" w:leader="none"/>
        </w:tabs>
        <w:spacing w:line="240" w:lineRule="auto" w:before="124" w:after="0"/>
        <w:ind w:left="3027" w:right="0" w:hanging="306"/>
        <w:jc w:val="left"/>
        <w:rPr>
          <w:sz w:val="21"/>
        </w:rPr>
      </w:pPr>
      <w:r>
        <w:rPr>
          <w:spacing w:val="-2"/>
          <w:w w:val="105"/>
          <w:sz w:val="21"/>
        </w:rPr>
        <w:t>common </w:t>
      </w:r>
      <w:r>
        <w:rPr>
          <w:w w:val="105"/>
          <w:sz w:val="21"/>
        </w:rPr>
        <w:t>risk factors associated with </w:t>
      </w:r>
      <w:r>
        <w:rPr>
          <w:spacing w:val="-3"/>
          <w:w w:val="105"/>
          <w:sz w:val="21"/>
        </w:rPr>
        <w:t>undue</w:t>
      </w:r>
      <w:r>
        <w:rPr>
          <w:spacing w:val="29"/>
          <w:w w:val="105"/>
          <w:sz w:val="21"/>
        </w:rPr>
        <w:t> </w:t>
      </w:r>
      <w:r>
        <w:rPr>
          <w:spacing w:val="-3"/>
          <w:w w:val="105"/>
          <w:sz w:val="21"/>
        </w:rPr>
        <w:t>influence</w:t>
      </w:r>
    </w:p>
    <w:p>
      <w:pPr>
        <w:pStyle w:val="ListParagraph"/>
        <w:numPr>
          <w:ilvl w:val="1"/>
          <w:numId w:val="9"/>
        </w:numPr>
        <w:tabs>
          <w:tab w:pos="3028" w:val="left" w:leader="none"/>
        </w:tabs>
        <w:spacing w:line="240" w:lineRule="auto" w:before="124" w:after="0"/>
        <w:ind w:left="3027" w:right="0" w:hanging="306"/>
        <w:jc w:val="left"/>
        <w:rPr>
          <w:sz w:val="21"/>
        </w:rPr>
      </w:pPr>
      <w:r>
        <w:rPr>
          <w:w w:val="105"/>
          <w:sz w:val="21"/>
        </w:rPr>
        <w:t>the need </w:t>
      </w:r>
      <w:r>
        <w:rPr>
          <w:spacing w:val="-3"/>
          <w:w w:val="105"/>
          <w:sz w:val="21"/>
        </w:rPr>
        <w:t>to keep </w:t>
      </w:r>
      <w:r>
        <w:rPr>
          <w:w w:val="105"/>
          <w:sz w:val="21"/>
        </w:rPr>
        <w:t>detailed file </w:t>
      </w:r>
      <w:r>
        <w:rPr>
          <w:spacing w:val="-3"/>
          <w:w w:val="105"/>
          <w:sz w:val="21"/>
        </w:rPr>
        <w:t>notes </w:t>
      </w:r>
      <w:r>
        <w:rPr>
          <w:w w:val="105"/>
          <w:sz w:val="21"/>
        </w:rPr>
        <w:t>and </w:t>
      </w:r>
      <w:r>
        <w:rPr>
          <w:spacing w:val="-4"/>
          <w:w w:val="105"/>
          <w:sz w:val="21"/>
        </w:rPr>
        <w:t>make </w:t>
      </w:r>
      <w:r>
        <w:rPr>
          <w:spacing w:val="-3"/>
          <w:w w:val="105"/>
          <w:sz w:val="21"/>
        </w:rPr>
        <w:t>inquiries regarding previous</w:t>
      </w:r>
      <w:r>
        <w:rPr>
          <w:spacing w:val="7"/>
          <w:w w:val="105"/>
          <w:sz w:val="21"/>
        </w:rPr>
        <w:t> </w:t>
      </w:r>
      <w:r>
        <w:rPr>
          <w:spacing w:val="-3"/>
          <w:w w:val="105"/>
          <w:sz w:val="21"/>
        </w:rPr>
        <w:t>wills.</w:t>
      </w:r>
    </w:p>
    <w:p>
      <w:pPr>
        <w:pStyle w:val="BodyText"/>
        <w:spacing w:before="11"/>
        <w:rPr>
          <w:sz w:val="24"/>
        </w:rPr>
      </w:pPr>
    </w:p>
    <w:p>
      <w:pPr>
        <w:pStyle w:val="Heading5"/>
        <w:spacing w:before="1"/>
      </w:pPr>
      <w:r>
        <w:rPr>
          <w:w w:val="115"/>
        </w:rPr>
        <w:t>Doctrine of undue influence</w:t>
      </w:r>
    </w:p>
    <w:p>
      <w:pPr>
        <w:pStyle w:val="ListParagraph"/>
        <w:numPr>
          <w:ilvl w:val="0"/>
          <w:numId w:val="9"/>
        </w:numPr>
        <w:tabs>
          <w:tab w:pos="1927" w:val="left" w:leader="none"/>
          <w:tab w:pos="1928" w:val="left" w:leader="none"/>
        </w:tabs>
        <w:spacing w:line="242" w:lineRule="auto" w:before="137" w:after="0"/>
        <w:ind w:left="1927" w:right="1793" w:hanging="340"/>
        <w:jc w:val="left"/>
        <w:rPr>
          <w:sz w:val="21"/>
        </w:rPr>
      </w:pPr>
      <w:r>
        <w:rPr>
          <w:sz w:val="21"/>
        </w:rPr>
        <w:t>Four years after the </w:t>
      </w:r>
      <w:r>
        <w:rPr>
          <w:spacing w:val="-3"/>
          <w:sz w:val="21"/>
        </w:rPr>
        <w:t>legislation </w:t>
      </w:r>
      <w:r>
        <w:rPr>
          <w:sz w:val="21"/>
        </w:rPr>
        <w:t>comes </w:t>
      </w:r>
      <w:r>
        <w:rPr>
          <w:spacing w:val="-4"/>
          <w:sz w:val="21"/>
        </w:rPr>
        <w:t>into  </w:t>
      </w:r>
      <w:r>
        <w:rPr>
          <w:sz w:val="21"/>
        </w:rPr>
        <w:t>effect, the Attorney-General should cause a report  </w:t>
      </w:r>
      <w:r>
        <w:rPr>
          <w:spacing w:val="-3"/>
          <w:sz w:val="21"/>
        </w:rPr>
        <w:t>to </w:t>
      </w:r>
      <w:r>
        <w:rPr>
          <w:sz w:val="21"/>
        </w:rPr>
        <w:t>be </w:t>
      </w:r>
      <w:r>
        <w:rPr>
          <w:spacing w:val="-3"/>
          <w:sz w:val="21"/>
        </w:rPr>
        <w:t>prepared</w:t>
      </w:r>
      <w:r>
        <w:rPr>
          <w:spacing w:val="28"/>
          <w:sz w:val="21"/>
        </w:rPr>
        <w:t> </w:t>
      </w:r>
      <w:r>
        <w:rPr>
          <w:sz w:val="21"/>
        </w:rPr>
        <w:t>on:</w:t>
      </w:r>
    </w:p>
    <w:p>
      <w:pPr>
        <w:pStyle w:val="ListParagraph"/>
        <w:numPr>
          <w:ilvl w:val="1"/>
          <w:numId w:val="9"/>
        </w:numPr>
        <w:tabs>
          <w:tab w:pos="3028" w:val="left" w:leader="none"/>
        </w:tabs>
        <w:spacing w:line="242" w:lineRule="auto" w:before="122" w:after="0"/>
        <w:ind w:left="3027" w:right="2000" w:hanging="306"/>
        <w:jc w:val="left"/>
        <w:rPr>
          <w:sz w:val="21"/>
        </w:rPr>
      </w:pPr>
      <w:r>
        <w:rPr>
          <w:w w:val="105"/>
          <w:sz w:val="21"/>
        </w:rPr>
        <w:t>the</w:t>
      </w:r>
      <w:r>
        <w:rPr>
          <w:spacing w:val="-6"/>
          <w:w w:val="105"/>
          <w:sz w:val="21"/>
        </w:rPr>
        <w:t> </w:t>
      </w:r>
      <w:r>
        <w:rPr>
          <w:w w:val="105"/>
          <w:sz w:val="21"/>
        </w:rPr>
        <w:t>operation</w:t>
      </w:r>
      <w:r>
        <w:rPr>
          <w:spacing w:val="-6"/>
          <w:w w:val="105"/>
          <w:sz w:val="21"/>
        </w:rPr>
        <w:t> </w:t>
      </w:r>
      <w:r>
        <w:rPr>
          <w:w w:val="105"/>
          <w:sz w:val="21"/>
        </w:rPr>
        <w:t>of</w:t>
      </w:r>
      <w:r>
        <w:rPr>
          <w:spacing w:val="-6"/>
          <w:w w:val="105"/>
          <w:sz w:val="21"/>
        </w:rPr>
        <w:t> </w:t>
      </w:r>
      <w:r>
        <w:rPr>
          <w:w w:val="105"/>
          <w:sz w:val="21"/>
        </w:rPr>
        <w:t>new</w:t>
      </w:r>
      <w:r>
        <w:rPr>
          <w:spacing w:val="-6"/>
          <w:w w:val="105"/>
          <w:sz w:val="21"/>
        </w:rPr>
        <w:t> </w:t>
      </w:r>
      <w:r>
        <w:rPr>
          <w:spacing w:val="-3"/>
          <w:w w:val="105"/>
          <w:sz w:val="21"/>
        </w:rPr>
        <w:t>legislation</w:t>
      </w:r>
      <w:r>
        <w:rPr>
          <w:spacing w:val="-6"/>
          <w:w w:val="105"/>
          <w:sz w:val="21"/>
        </w:rPr>
        <w:t> </w:t>
      </w:r>
      <w:r>
        <w:rPr>
          <w:w w:val="105"/>
          <w:sz w:val="21"/>
        </w:rPr>
        <w:t>in</w:t>
      </w:r>
      <w:r>
        <w:rPr>
          <w:spacing w:val="-6"/>
          <w:w w:val="105"/>
          <w:sz w:val="21"/>
        </w:rPr>
        <w:t> </w:t>
      </w:r>
      <w:r>
        <w:rPr>
          <w:spacing w:val="-3"/>
          <w:w w:val="105"/>
          <w:sz w:val="21"/>
        </w:rPr>
        <w:t>British</w:t>
      </w:r>
      <w:r>
        <w:rPr>
          <w:spacing w:val="-6"/>
          <w:w w:val="105"/>
          <w:sz w:val="21"/>
        </w:rPr>
        <w:t> </w:t>
      </w:r>
      <w:r>
        <w:rPr>
          <w:spacing w:val="-4"/>
          <w:w w:val="105"/>
          <w:sz w:val="21"/>
        </w:rPr>
        <w:t>Columbia</w:t>
      </w:r>
      <w:r>
        <w:rPr>
          <w:spacing w:val="-6"/>
          <w:w w:val="105"/>
          <w:sz w:val="21"/>
        </w:rPr>
        <w:t> </w:t>
      </w:r>
      <w:r>
        <w:rPr>
          <w:spacing w:val="-3"/>
          <w:w w:val="105"/>
          <w:sz w:val="21"/>
        </w:rPr>
        <w:t>that</w:t>
      </w:r>
      <w:r>
        <w:rPr>
          <w:spacing w:val="-5"/>
          <w:w w:val="105"/>
          <w:sz w:val="21"/>
        </w:rPr>
        <w:t> </w:t>
      </w:r>
      <w:r>
        <w:rPr>
          <w:w w:val="105"/>
          <w:sz w:val="21"/>
        </w:rPr>
        <w:t>imports</w:t>
      </w:r>
      <w:r>
        <w:rPr>
          <w:spacing w:val="-6"/>
          <w:w w:val="105"/>
          <w:sz w:val="21"/>
        </w:rPr>
        <w:t> </w:t>
      </w:r>
      <w:r>
        <w:rPr>
          <w:w w:val="105"/>
          <w:sz w:val="21"/>
        </w:rPr>
        <w:t>the</w:t>
      </w:r>
      <w:r>
        <w:rPr>
          <w:spacing w:val="-6"/>
          <w:w w:val="105"/>
          <w:sz w:val="21"/>
        </w:rPr>
        <w:t> </w:t>
      </w:r>
      <w:r>
        <w:rPr>
          <w:w w:val="105"/>
          <w:sz w:val="21"/>
        </w:rPr>
        <w:t>equitable doctrine of </w:t>
      </w:r>
      <w:r>
        <w:rPr>
          <w:spacing w:val="-3"/>
          <w:w w:val="105"/>
          <w:sz w:val="21"/>
        </w:rPr>
        <w:t>undue influence </w:t>
      </w:r>
      <w:r>
        <w:rPr>
          <w:spacing w:val="-4"/>
          <w:w w:val="105"/>
          <w:sz w:val="21"/>
        </w:rPr>
        <w:t>into </w:t>
      </w:r>
      <w:r>
        <w:rPr>
          <w:w w:val="105"/>
          <w:sz w:val="21"/>
        </w:rPr>
        <w:t>the </w:t>
      </w:r>
      <w:r>
        <w:rPr>
          <w:spacing w:val="-3"/>
          <w:w w:val="105"/>
          <w:sz w:val="21"/>
        </w:rPr>
        <w:t>probate </w:t>
      </w:r>
      <w:r>
        <w:rPr>
          <w:w w:val="105"/>
          <w:sz w:val="21"/>
        </w:rPr>
        <w:t>context,</w:t>
      </w:r>
      <w:r>
        <w:rPr>
          <w:spacing w:val="42"/>
          <w:w w:val="105"/>
          <w:sz w:val="21"/>
        </w:rPr>
        <w:t> </w:t>
      </w:r>
      <w:r>
        <w:rPr>
          <w:w w:val="105"/>
          <w:sz w:val="21"/>
        </w:rPr>
        <w:t>and</w:t>
      </w:r>
    </w:p>
    <w:p>
      <w:pPr>
        <w:pStyle w:val="ListParagraph"/>
        <w:numPr>
          <w:ilvl w:val="1"/>
          <w:numId w:val="9"/>
        </w:numPr>
        <w:tabs>
          <w:tab w:pos="3028" w:val="left" w:leader="none"/>
        </w:tabs>
        <w:spacing w:line="240" w:lineRule="auto" w:before="122" w:after="0"/>
        <w:ind w:left="3027" w:right="0" w:hanging="306"/>
        <w:jc w:val="left"/>
        <w:rPr>
          <w:sz w:val="21"/>
        </w:rPr>
      </w:pPr>
      <w:r>
        <w:rPr>
          <w:sz w:val="21"/>
        </w:rPr>
        <w:t>whether</w:t>
      </w:r>
      <w:r>
        <w:rPr>
          <w:spacing w:val="9"/>
          <w:sz w:val="21"/>
        </w:rPr>
        <w:t> </w:t>
      </w:r>
      <w:r>
        <w:rPr>
          <w:sz w:val="21"/>
        </w:rPr>
        <w:t>a</w:t>
      </w:r>
      <w:r>
        <w:rPr>
          <w:spacing w:val="9"/>
          <w:sz w:val="21"/>
        </w:rPr>
        <w:t> </w:t>
      </w:r>
      <w:r>
        <w:rPr>
          <w:spacing w:val="-3"/>
          <w:sz w:val="21"/>
        </w:rPr>
        <w:t>similar</w:t>
      </w:r>
      <w:r>
        <w:rPr>
          <w:spacing w:val="9"/>
          <w:sz w:val="21"/>
        </w:rPr>
        <w:t> </w:t>
      </w:r>
      <w:r>
        <w:rPr>
          <w:spacing w:val="-3"/>
          <w:sz w:val="21"/>
        </w:rPr>
        <w:t>provision</w:t>
      </w:r>
      <w:r>
        <w:rPr>
          <w:spacing w:val="9"/>
          <w:sz w:val="21"/>
        </w:rPr>
        <w:t> </w:t>
      </w:r>
      <w:r>
        <w:rPr>
          <w:sz w:val="21"/>
        </w:rPr>
        <w:t>should</w:t>
      </w:r>
      <w:r>
        <w:rPr>
          <w:spacing w:val="9"/>
          <w:sz w:val="21"/>
        </w:rPr>
        <w:t> </w:t>
      </w:r>
      <w:r>
        <w:rPr>
          <w:sz w:val="21"/>
        </w:rPr>
        <w:t>be</w:t>
      </w:r>
      <w:r>
        <w:rPr>
          <w:spacing w:val="9"/>
          <w:sz w:val="21"/>
        </w:rPr>
        <w:t> </w:t>
      </w:r>
      <w:r>
        <w:rPr>
          <w:sz w:val="21"/>
        </w:rPr>
        <w:t>adopted</w:t>
      </w:r>
      <w:r>
        <w:rPr>
          <w:spacing w:val="10"/>
          <w:sz w:val="21"/>
        </w:rPr>
        <w:t> </w:t>
      </w:r>
      <w:r>
        <w:rPr>
          <w:sz w:val="21"/>
        </w:rPr>
        <w:t>in</w:t>
      </w:r>
      <w:r>
        <w:rPr>
          <w:spacing w:val="9"/>
          <w:sz w:val="21"/>
        </w:rPr>
        <w:t> </w:t>
      </w:r>
      <w:r>
        <w:rPr>
          <w:sz w:val="21"/>
        </w:rPr>
        <w:t>Victoria.</w:t>
      </w:r>
    </w:p>
    <w:p>
      <w:pPr>
        <w:pStyle w:val="BodyText"/>
        <w:spacing w:before="11"/>
      </w:pPr>
    </w:p>
    <w:p>
      <w:pPr>
        <w:pStyle w:val="Heading4"/>
      </w:pPr>
      <w:r>
        <w:rPr>
          <w:color w:val="EC5A4F"/>
          <w:w w:val="110"/>
        </w:rPr>
        <w:t>Chapter 3 Statutory wills</w:t>
      </w:r>
    </w:p>
    <w:p>
      <w:pPr>
        <w:pStyle w:val="Heading5"/>
        <w:spacing w:before="166"/>
      </w:pPr>
      <w:r>
        <w:rPr>
          <w:w w:val="115"/>
        </w:rPr>
        <w:t>Involvement of the incapacitated person in the decision</w:t>
      </w:r>
    </w:p>
    <w:p>
      <w:pPr>
        <w:pStyle w:val="ListParagraph"/>
        <w:numPr>
          <w:ilvl w:val="0"/>
          <w:numId w:val="9"/>
        </w:numPr>
        <w:tabs>
          <w:tab w:pos="1927" w:val="left" w:leader="none"/>
          <w:tab w:pos="1928" w:val="left" w:leader="none"/>
        </w:tabs>
        <w:spacing w:line="242" w:lineRule="auto" w:before="138" w:after="0"/>
        <w:ind w:left="1927" w:right="2110" w:hanging="340"/>
        <w:jc w:val="left"/>
        <w:rPr>
          <w:sz w:val="21"/>
        </w:rPr>
      </w:pPr>
      <w:r>
        <w:rPr>
          <w:sz w:val="21"/>
        </w:rPr>
        <w:t>The </w:t>
      </w:r>
      <w:r>
        <w:rPr>
          <w:i/>
          <w:sz w:val="21"/>
        </w:rPr>
        <w:t>Wills Act </w:t>
      </w:r>
      <w:r>
        <w:rPr>
          <w:i/>
          <w:spacing w:val="-8"/>
          <w:sz w:val="21"/>
        </w:rPr>
        <w:t>1997 </w:t>
      </w:r>
      <w:r>
        <w:rPr>
          <w:sz w:val="21"/>
        </w:rPr>
        <w:t>(Vic) should expressly provide </w:t>
      </w:r>
      <w:r>
        <w:rPr>
          <w:spacing w:val="-3"/>
          <w:sz w:val="21"/>
        </w:rPr>
        <w:t>that </w:t>
      </w:r>
      <w:r>
        <w:rPr>
          <w:sz w:val="21"/>
        </w:rPr>
        <w:t>the </w:t>
      </w:r>
      <w:r>
        <w:rPr>
          <w:spacing w:val="-3"/>
          <w:sz w:val="21"/>
        </w:rPr>
        <w:t>Court may </w:t>
      </w:r>
      <w:r>
        <w:rPr>
          <w:sz w:val="21"/>
        </w:rPr>
        <w:t>order </w:t>
      </w:r>
      <w:r>
        <w:rPr>
          <w:spacing w:val="-3"/>
          <w:sz w:val="21"/>
        </w:rPr>
        <w:t>separate </w:t>
      </w:r>
      <w:r>
        <w:rPr>
          <w:spacing w:val="-2"/>
          <w:sz w:val="21"/>
        </w:rPr>
        <w:t>representation</w:t>
      </w:r>
      <w:r>
        <w:rPr>
          <w:spacing w:val="18"/>
          <w:sz w:val="21"/>
        </w:rPr>
        <w:t> </w:t>
      </w:r>
      <w:r>
        <w:rPr>
          <w:spacing w:val="-3"/>
          <w:sz w:val="21"/>
        </w:rPr>
        <w:t>for</w:t>
      </w:r>
      <w:r>
        <w:rPr>
          <w:spacing w:val="18"/>
          <w:sz w:val="21"/>
        </w:rPr>
        <w:t> </w:t>
      </w:r>
      <w:r>
        <w:rPr>
          <w:sz w:val="21"/>
        </w:rPr>
        <w:t>the</w:t>
      </w:r>
      <w:r>
        <w:rPr>
          <w:spacing w:val="18"/>
          <w:sz w:val="21"/>
        </w:rPr>
        <w:t> </w:t>
      </w:r>
      <w:r>
        <w:rPr>
          <w:sz w:val="21"/>
        </w:rPr>
        <w:t>person</w:t>
      </w:r>
      <w:r>
        <w:rPr>
          <w:spacing w:val="19"/>
          <w:sz w:val="21"/>
        </w:rPr>
        <w:t> </w:t>
      </w:r>
      <w:r>
        <w:rPr>
          <w:sz w:val="21"/>
        </w:rPr>
        <w:t>on</w:t>
      </w:r>
      <w:r>
        <w:rPr>
          <w:spacing w:val="18"/>
          <w:sz w:val="21"/>
        </w:rPr>
        <w:t> </w:t>
      </w:r>
      <w:r>
        <w:rPr>
          <w:sz w:val="21"/>
        </w:rPr>
        <w:t>whose</w:t>
      </w:r>
      <w:r>
        <w:rPr>
          <w:spacing w:val="18"/>
          <w:sz w:val="21"/>
        </w:rPr>
        <w:t> </w:t>
      </w:r>
      <w:r>
        <w:rPr>
          <w:sz w:val="21"/>
        </w:rPr>
        <w:t>behalf</w:t>
      </w:r>
      <w:r>
        <w:rPr>
          <w:spacing w:val="19"/>
          <w:sz w:val="21"/>
        </w:rPr>
        <w:t> </w:t>
      </w:r>
      <w:r>
        <w:rPr>
          <w:sz w:val="21"/>
        </w:rPr>
        <w:t>an</w:t>
      </w:r>
      <w:r>
        <w:rPr>
          <w:spacing w:val="18"/>
          <w:sz w:val="21"/>
        </w:rPr>
        <w:t> </w:t>
      </w:r>
      <w:r>
        <w:rPr>
          <w:sz w:val="21"/>
        </w:rPr>
        <w:t>application</w:t>
      </w:r>
      <w:r>
        <w:rPr>
          <w:spacing w:val="18"/>
          <w:sz w:val="21"/>
        </w:rPr>
        <w:t> </w:t>
      </w:r>
      <w:r>
        <w:rPr>
          <w:spacing w:val="-3"/>
          <w:sz w:val="21"/>
        </w:rPr>
        <w:t>for</w:t>
      </w:r>
      <w:r>
        <w:rPr>
          <w:spacing w:val="19"/>
          <w:sz w:val="21"/>
        </w:rPr>
        <w:t> </w:t>
      </w:r>
      <w:r>
        <w:rPr>
          <w:sz w:val="21"/>
        </w:rPr>
        <w:t>a</w:t>
      </w:r>
      <w:r>
        <w:rPr>
          <w:spacing w:val="18"/>
          <w:sz w:val="21"/>
        </w:rPr>
        <w:t> </w:t>
      </w:r>
      <w:r>
        <w:rPr>
          <w:sz w:val="21"/>
        </w:rPr>
        <w:t>statutory</w:t>
      </w:r>
      <w:r>
        <w:rPr>
          <w:spacing w:val="18"/>
          <w:sz w:val="21"/>
        </w:rPr>
        <w:t> </w:t>
      </w:r>
      <w:r>
        <w:rPr>
          <w:spacing w:val="-3"/>
          <w:sz w:val="21"/>
        </w:rPr>
        <w:t>will</w:t>
      </w:r>
      <w:r>
        <w:rPr>
          <w:spacing w:val="18"/>
          <w:sz w:val="21"/>
        </w:rPr>
        <w:t> </w:t>
      </w:r>
      <w:r>
        <w:rPr>
          <w:sz w:val="21"/>
        </w:rPr>
        <w:t>is</w:t>
      </w:r>
      <w:r>
        <w:rPr>
          <w:spacing w:val="19"/>
          <w:sz w:val="21"/>
        </w:rPr>
        <w:t> </w:t>
      </w:r>
      <w:r>
        <w:rPr>
          <w:spacing w:val="-3"/>
          <w:sz w:val="21"/>
        </w:rPr>
        <w:t>made.</w:t>
      </w:r>
    </w:p>
    <w:p>
      <w:pPr>
        <w:pStyle w:val="BodyText"/>
        <w:spacing w:before="10"/>
        <w:rPr>
          <w:sz w:val="24"/>
        </w:rPr>
      </w:pPr>
    </w:p>
    <w:p>
      <w:pPr>
        <w:pStyle w:val="Heading5"/>
      </w:pPr>
      <w:r>
        <w:rPr>
          <w:w w:val="115"/>
        </w:rPr>
        <w:t>Accessibility of the statutory wills process</w:t>
      </w:r>
    </w:p>
    <w:p>
      <w:pPr>
        <w:pStyle w:val="ListParagraph"/>
        <w:numPr>
          <w:ilvl w:val="0"/>
          <w:numId w:val="9"/>
        </w:numPr>
        <w:tabs>
          <w:tab w:pos="1927" w:val="left" w:leader="none"/>
          <w:tab w:pos="1928" w:val="left" w:leader="none"/>
        </w:tabs>
        <w:spacing w:line="242" w:lineRule="auto" w:before="138" w:after="0"/>
        <w:ind w:left="1927" w:right="1870" w:hanging="340"/>
        <w:jc w:val="left"/>
        <w:rPr>
          <w:sz w:val="21"/>
        </w:rPr>
      </w:pPr>
      <w:r>
        <w:rPr>
          <w:w w:val="105"/>
          <w:sz w:val="21"/>
        </w:rPr>
        <w:t>An application </w:t>
      </w:r>
      <w:r>
        <w:rPr>
          <w:spacing w:val="-3"/>
          <w:w w:val="105"/>
          <w:sz w:val="21"/>
        </w:rPr>
        <w:t>for </w:t>
      </w:r>
      <w:r>
        <w:rPr>
          <w:w w:val="105"/>
          <w:sz w:val="21"/>
        </w:rPr>
        <w:t>a statutory </w:t>
      </w:r>
      <w:r>
        <w:rPr>
          <w:spacing w:val="-3"/>
          <w:w w:val="105"/>
          <w:sz w:val="21"/>
        </w:rPr>
        <w:t>will </w:t>
      </w:r>
      <w:r>
        <w:rPr>
          <w:w w:val="105"/>
          <w:sz w:val="21"/>
        </w:rPr>
        <w:t>should be made in one stage </w:t>
      </w:r>
      <w:r>
        <w:rPr>
          <w:spacing w:val="-3"/>
          <w:w w:val="105"/>
          <w:sz w:val="21"/>
        </w:rPr>
        <w:t>rather than </w:t>
      </w:r>
      <w:r>
        <w:rPr>
          <w:w w:val="105"/>
          <w:sz w:val="21"/>
        </w:rPr>
        <w:t>two. The </w:t>
      </w:r>
      <w:r>
        <w:rPr>
          <w:spacing w:val="-3"/>
          <w:w w:val="105"/>
          <w:sz w:val="21"/>
        </w:rPr>
        <w:t>requirement </w:t>
      </w:r>
      <w:r>
        <w:rPr>
          <w:w w:val="105"/>
          <w:sz w:val="21"/>
        </w:rPr>
        <w:t>at section </w:t>
      </w:r>
      <w:r>
        <w:rPr>
          <w:spacing w:val="-4"/>
          <w:w w:val="105"/>
          <w:sz w:val="21"/>
        </w:rPr>
        <w:t>21(2) </w:t>
      </w:r>
      <w:r>
        <w:rPr>
          <w:w w:val="105"/>
          <w:sz w:val="21"/>
        </w:rPr>
        <w:t>of the </w:t>
      </w:r>
      <w:r>
        <w:rPr>
          <w:i/>
          <w:w w:val="105"/>
          <w:sz w:val="21"/>
        </w:rPr>
        <w:t>Wills Act </w:t>
      </w:r>
      <w:r>
        <w:rPr>
          <w:i/>
          <w:spacing w:val="-8"/>
          <w:w w:val="105"/>
          <w:sz w:val="21"/>
        </w:rPr>
        <w:t>1997 </w:t>
      </w:r>
      <w:r>
        <w:rPr>
          <w:w w:val="105"/>
          <w:sz w:val="21"/>
        </w:rPr>
        <w:t>(Vic) </w:t>
      </w:r>
      <w:r>
        <w:rPr>
          <w:spacing w:val="-3"/>
          <w:w w:val="105"/>
          <w:sz w:val="21"/>
        </w:rPr>
        <w:t>to </w:t>
      </w:r>
      <w:r>
        <w:rPr>
          <w:w w:val="105"/>
          <w:sz w:val="21"/>
        </w:rPr>
        <w:t>seek </w:t>
      </w:r>
      <w:r>
        <w:rPr>
          <w:spacing w:val="-3"/>
          <w:w w:val="105"/>
          <w:sz w:val="21"/>
        </w:rPr>
        <w:t>leave to </w:t>
      </w:r>
      <w:r>
        <w:rPr>
          <w:spacing w:val="-4"/>
          <w:w w:val="105"/>
          <w:sz w:val="21"/>
        </w:rPr>
        <w:t>make </w:t>
      </w:r>
      <w:r>
        <w:rPr>
          <w:w w:val="105"/>
          <w:sz w:val="21"/>
        </w:rPr>
        <w:t>an application </w:t>
      </w:r>
      <w:r>
        <w:rPr>
          <w:spacing w:val="-3"/>
          <w:w w:val="105"/>
          <w:sz w:val="21"/>
        </w:rPr>
        <w:t>for </w:t>
      </w:r>
      <w:r>
        <w:rPr>
          <w:w w:val="105"/>
          <w:sz w:val="21"/>
        </w:rPr>
        <w:t>a statutory </w:t>
      </w:r>
      <w:r>
        <w:rPr>
          <w:spacing w:val="-3"/>
          <w:w w:val="105"/>
          <w:sz w:val="21"/>
        </w:rPr>
        <w:t>will </w:t>
      </w:r>
      <w:r>
        <w:rPr>
          <w:w w:val="105"/>
          <w:sz w:val="21"/>
        </w:rPr>
        <w:t>should be repealed and </w:t>
      </w:r>
      <w:r>
        <w:rPr>
          <w:spacing w:val="-3"/>
          <w:w w:val="105"/>
          <w:sz w:val="21"/>
        </w:rPr>
        <w:t>consequential </w:t>
      </w:r>
      <w:r>
        <w:rPr>
          <w:w w:val="105"/>
          <w:sz w:val="21"/>
        </w:rPr>
        <w:t>amendments made </w:t>
      </w:r>
      <w:r>
        <w:rPr>
          <w:spacing w:val="-3"/>
          <w:w w:val="105"/>
          <w:sz w:val="21"/>
        </w:rPr>
        <w:t>to </w:t>
      </w:r>
      <w:r>
        <w:rPr>
          <w:w w:val="105"/>
          <w:sz w:val="21"/>
        </w:rPr>
        <w:t>sections </w:t>
      </w:r>
      <w:r>
        <w:rPr>
          <w:spacing w:val="-3"/>
          <w:w w:val="105"/>
          <w:sz w:val="21"/>
        </w:rPr>
        <w:t>26–29.</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4"/>
        </w:rPr>
      </w:pPr>
    </w:p>
    <w:p>
      <w:pPr>
        <w:spacing w:before="99"/>
        <w:ind w:left="0" w:right="559" w:firstLine="0"/>
        <w:jc w:val="right"/>
        <w:rPr>
          <w:b/>
          <w:sz w:val="24"/>
        </w:rPr>
      </w:pPr>
      <w:r>
        <w:rPr>
          <w:b/>
          <w:color w:val="EC5A4F"/>
          <w:w w:val="115"/>
          <w:sz w:val="24"/>
        </w:rPr>
        <w:t>xxiii</w:t>
      </w:r>
    </w:p>
    <w:p>
      <w:pPr>
        <w:spacing w:after="0"/>
        <w:jc w:val="right"/>
        <w:rPr>
          <w:sz w:val="24"/>
        </w:rPr>
        <w:sectPr>
          <w:pgSz w:w="11910" w:h="16840"/>
          <w:pgMar w:header="550" w:footer="0" w:top="1560" w:bottom="280" w:left="0" w:right="0"/>
        </w:sectPr>
      </w:pPr>
    </w:p>
    <w:p>
      <w:pPr>
        <w:pStyle w:val="BodyText"/>
        <w:spacing w:before="3"/>
        <w:rPr>
          <w:b/>
        </w:rPr>
      </w:pPr>
    </w:p>
    <w:p>
      <w:pPr>
        <w:spacing w:before="99"/>
        <w:ind w:left="1587" w:right="0" w:firstLine="0"/>
        <w:jc w:val="left"/>
        <w:rPr>
          <w:b/>
          <w:sz w:val="28"/>
        </w:rPr>
      </w:pPr>
      <w:r>
        <w:rPr>
          <w:b/>
          <w:color w:val="EC5A4F"/>
          <w:w w:val="110"/>
          <w:sz w:val="28"/>
        </w:rPr>
        <w:t>Chapter 4 Ademption</w:t>
      </w:r>
    </w:p>
    <w:p>
      <w:pPr>
        <w:spacing w:line="244" w:lineRule="auto" w:before="223"/>
        <w:ind w:left="1587" w:right="1619" w:firstLine="0"/>
        <w:jc w:val="left"/>
        <w:rPr>
          <w:b/>
          <w:sz w:val="24"/>
        </w:rPr>
      </w:pPr>
      <w:r>
        <w:rPr>
          <w:b/>
          <w:w w:val="115"/>
          <w:sz w:val="24"/>
        </w:rPr>
        <w:t>Acts</w:t>
      </w:r>
      <w:r>
        <w:rPr>
          <w:b/>
          <w:spacing w:val="-19"/>
          <w:w w:val="115"/>
          <w:sz w:val="24"/>
        </w:rPr>
        <w:t> </w:t>
      </w:r>
      <w:r>
        <w:rPr>
          <w:b/>
          <w:w w:val="115"/>
          <w:sz w:val="24"/>
        </w:rPr>
        <w:t>by</w:t>
      </w:r>
      <w:r>
        <w:rPr>
          <w:b/>
          <w:spacing w:val="-19"/>
          <w:w w:val="115"/>
          <w:sz w:val="24"/>
        </w:rPr>
        <w:t> </w:t>
      </w:r>
      <w:r>
        <w:rPr>
          <w:b/>
          <w:w w:val="115"/>
          <w:sz w:val="24"/>
        </w:rPr>
        <w:t>administrators</w:t>
      </w:r>
      <w:r>
        <w:rPr>
          <w:b/>
          <w:spacing w:val="-19"/>
          <w:w w:val="115"/>
          <w:sz w:val="24"/>
        </w:rPr>
        <w:t> </w:t>
      </w:r>
      <w:r>
        <w:rPr>
          <w:b/>
          <w:w w:val="115"/>
          <w:sz w:val="24"/>
        </w:rPr>
        <w:t>appointed</w:t>
      </w:r>
      <w:r>
        <w:rPr>
          <w:b/>
          <w:spacing w:val="-19"/>
          <w:w w:val="115"/>
          <w:sz w:val="24"/>
        </w:rPr>
        <w:t> </w:t>
      </w:r>
      <w:r>
        <w:rPr>
          <w:b/>
          <w:w w:val="115"/>
          <w:sz w:val="24"/>
        </w:rPr>
        <w:t>by</w:t>
      </w:r>
      <w:r>
        <w:rPr>
          <w:b/>
          <w:spacing w:val="-19"/>
          <w:w w:val="115"/>
          <w:sz w:val="24"/>
        </w:rPr>
        <w:t> </w:t>
      </w:r>
      <w:r>
        <w:rPr>
          <w:b/>
          <w:w w:val="115"/>
          <w:sz w:val="24"/>
        </w:rPr>
        <w:t>the</w:t>
      </w:r>
      <w:r>
        <w:rPr>
          <w:b/>
          <w:spacing w:val="-19"/>
          <w:w w:val="115"/>
          <w:sz w:val="24"/>
        </w:rPr>
        <w:t> </w:t>
      </w:r>
      <w:r>
        <w:rPr>
          <w:b/>
          <w:w w:val="115"/>
          <w:sz w:val="24"/>
        </w:rPr>
        <w:t>Victorian</w:t>
      </w:r>
      <w:r>
        <w:rPr>
          <w:b/>
          <w:spacing w:val="-19"/>
          <w:w w:val="115"/>
          <w:sz w:val="24"/>
        </w:rPr>
        <w:t> </w:t>
      </w:r>
      <w:r>
        <w:rPr>
          <w:b/>
          <w:w w:val="115"/>
          <w:sz w:val="24"/>
        </w:rPr>
        <w:t>Civil</w:t>
      </w:r>
      <w:r>
        <w:rPr>
          <w:b/>
          <w:spacing w:val="-19"/>
          <w:w w:val="115"/>
          <w:sz w:val="24"/>
        </w:rPr>
        <w:t> </w:t>
      </w:r>
      <w:r>
        <w:rPr>
          <w:b/>
          <w:w w:val="115"/>
          <w:sz w:val="24"/>
        </w:rPr>
        <w:t>and</w:t>
      </w:r>
      <w:r>
        <w:rPr>
          <w:b/>
          <w:spacing w:val="-19"/>
          <w:w w:val="115"/>
          <w:sz w:val="24"/>
        </w:rPr>
        <w:t> </w:t>
      </w:r>
      <w:r>
        <w:rPr>
          <w:b/>
          <w:w w:val="115"/>
          <w:sz w:val="24"/>
        </w:rPr>
        <w:t>Administrative </w:t>
      </w:r>
      <w:r>
        <w:rPr>
          <w:b/>
          <w:spacing w:val="-4"/>
          <w:w w:val="115"/>
          <w:sz w:val="24"/>
        </w:rPr>
        <w:t>Tribunal</w:t>
      </w:r>
    </w:p>
    <w:p>
      <w:pPr>
        <w:pStyle w:val="ListParagraph"/>
        <w:numPr>
          <w:ilvl w:val="0"/>
          <w:numId w:val="10"/>
        </w:numPr>
        <w:tabs>
          <w:tab w:pos="1927" w:val="left" w:leader="none"/>
          <w:tab w:pos="1928" w:val="left" w:leader="none"/>
        </w:tabs>
        <w:spacing w:line="242" w:lineRule="auto" w:before="133" w:after="0"/>
        <w:ind w:left="1927" w:right="1600" w:hanging="340"/>
        <w:jc w:val="left"/>
        <w:rPr>
          <w:sz w:val="21"/>
        </w:rPr>
      </w:pPr>
      <w:r>
        <w:rPr>
          <w:w w:val="105"/>
          <w:sz w:val="21"/>
        </w:rPr>
        <w:t>Section </w:t>
      </w:r>
      <w:r>
        <w:rPr>
          <w:spacing w:val="-3"/>
          <w:w w:val="105"/>
          <w:sz w:val="21"/>
        </w:rPr>
        <w:t>53 </w:t>
      </w:r>
      <w:r>
        <w:rPr>
          <w:w w:val="105"/>
          <w:sz w:val="21"/>
        </w:rPr>
        <w:t>of the </w:t>
      </w:r>
      <w:r>
        <w:rPr>
          <w:i/>
          <w:spacing w:val="-3"/>
          <w:w w:val="105"/>
          <w:sz w:val="21"/>
        </w:rPr>
        <w:t>Guardianship </w:t>
      </w:r>
      <w:r>
        <w:rPr>
          <w:i/>
          <w:w w:val="105"/>
          <w:sz w:val="21"/>
        </w:rPr>
        <w:t>and </w:t>
      </w:r>
      <w:r>
        <w:rPr>
          <w:i/>
          <w:spacing w:val="-3"/>
          <w:w w:val="105"/>
          <w:sz w:val="21"/>
        </w:rPr>
        <w:t>Administration </w:t>
      </w:r>
      <w:r>
        <w:rPr>
          <w:i/>
          <w:w w:val="105"/>
          <w:sz w:val="21"/>
        </w:rPr>
        <w:t>Act </w:t>
      </w:r>
      <w:r>
        <w:rPr>
          <w:i/>
          <w:spacing w:val="-4"/>
          <w:w w:val="105"/>
          <w:sz w:val="21"/>
        </w:rPr>
        <w:t>1986 </w:t>
      </w:r>
      <w:r>
        <w:rPr>
          <w:w w:val="105"/>
          <w:sz w:val="21"/>
        </w:rPr>
        <w:t>(Vic), which modifies the  </w:t>
      </w:r>
      <w:r>
        <w:rPr>
          <w:spacing w:val="-2"/>
          <w:w w:val="105"/>
          <w:sz w:val="21"/>
        </w:rPr>
        <w:t>common</w:t>
      </w:r>
      <w:r>
        <w:rPr>
          <w:spacing w:val="-11"/>
          <w:w w:val="105"/>
          <w:sz w:val="21"/>
        </w:rPr>
        <w:t> </w:t>
      </w:r>
      <w:r>
        <w:rPr>
          <w:w w:val="105"/>
          <w:sz w:val="21"/>
        </w:rPr>
        <w:t>law</w:t>
      </w:r>
      <w:r>
        <w:rPr>
          <w:spacing w:val="-10"/>
          <w:w w:val="105"/>
          <w:sz w:val="21"/>
        </w:rPr>
        <w:t> </w:t>
      </w:r>
      <w:r>
        <w:rPr>
          <w:w w:val="105"/>
          <w:sz w:val="21"/>
        </w:rPr>
        <w:t>of</w:t>
      </w:r>
      <w:r>
        <w:rPr>
          <w:spacing w:val="-10"/>
          <w:w w:val="105"/>
          <w:sz w:val="21"/>
        </w:rPr>
        <w:t> </w:t>
      </w:r>
      <w:r>
        <w:rPr>
          <w:w w:val="105"/>
          <w:sz w:val="21"/>
        </w:rPr>
        <w:t>ademption</w:t>
      </w:r>
      <w:r>
        <w:rPr>
          <w:spacing w:val="-10"/>
          <w:w w:val="105"/>
          <w:sz w:val="21"/>
        </w:rPr>
        <w:t> </w:t>
      </w:r>
      <w:r>
        <w:rPr>
          <w:w w:val="105"/>
          <w:sz w:val="21"/>
        </w:rPr>
        <w:t>where</w:t>
      </w:r>
      <w:r>
        <w:rPr>
          <w:spacing w:val="-11"/>
          <w:w w:val="105"/>
          <w:sz w:val="21"/>
        </w:rPr>
        <w:t> </w:t>
      </w:r>
      <w:r>
        <w:rPr>
          <w:w w:val="105"/>
          <w:sz w:val="21"/>
        </w:rPr>
        <w:t>an</w:t>
      </w:r>
      <w:r>
        <w:rPr>
          <w:spacing w:val="-10"/>
          <w:w w:val="105"/>
          <w:sz w:val="21"/>
        </w:rPr>
        <w:t> </w:t>
      </w:r>
      <w:r>
        <w:rPr>
          <w:spacing w:val="-3"/>
          <w:w w:val="105"/>
          <w:sz w:val="21"/>
        </w:rPr>
        <w:t>administrator</w:t>
      </w:r>
      <w:r>
        <w:rPr>
          <w:spacing w:val="-10"/>
          <w:w w:val="105"/>
          <w:sz w:val="21"/>
        </w:rPr>
        <w:t> </w:t>
      </w:r>
      <w:r>
        <w:rPr>
          <w:w w:val="105"/>
          <w:sz w:val="21"/>
        </w:rPr>
        <w:t>sells</w:t>
      </w:r>
      <w:r>
        <w:rPr>
          <w:spacing w:val="-10"/>
          <w:w w:val="105"/>
          <w:sz w:val="21"/>
        </w:rPr>
        <w:t> </w:t>
      </w:r>
      <w:r>
        <w:rPr>
          <w:w w:val="105"/>
          <w:sz w:val="21"/>
        </w:rPr>
        <w:t>or</w:t>
      </w:r>
      <w:r>
        <w:rPr>
          <w:spacing w:val="-11"/>
          <w:w w:val="105"/>
          <w:sz w:val="21"/>
        </w:rPr>
        <w:t> </w:t>
      </w:r>
      <w:r>
        <w:rPr>
          <w:w w:val="105"/>
          <w:sz w:val="21"/>
        </w:rPr>
        <w:t>otherwise</w:t>
      </w:r>
      <w:r>
        <w:rPr>
          <w:spacing w:val="-10"/>
          <w:w w:val="105"/>
          <w:sz w:val="21"/>
        </w:rPr>
        <w:t> </w:t>
      </w:r>
      <w:r>
        <w:rPr>
          <w:w w:val="105"/>
          <w:sz w:val="21"/>
        </w:rPr>
        <w:t>disposes</w:t>
      </w:r>
      <w:r>
        <w:rPr>
          <w:spacing w:val="-10"/>
          <w:w w:val="105"/>
          <w:sz w:val="21"/>
        </w:rPr>
        <w:t> </w:t>
      </w:r>
      <w:r>
        <w:rPr>
          <w:w w:val="105"/>
          <w:sz w:val="21"/>
        </w:rPr>
        <w:t>of</w:t>
      </w:r>
      <w:r>
        <w:rPr>
          <w:spacing w:val="-10"/>
          <w:w w:val="105"/>
          <w:sz w:val="21"/>
        </w:rPr>
        <w:t> </w:t>
      </w:r>
      <w:r>
        <w:rPr>
          <w:w w:val="105"/>
          <w:sz w:val="21"/>
        </w:rPr>
        <w:t>a</w:t>
      </w:r>
      <w:r>
        <w:rPr>
          <w:spacing w:val="-10"/>
          <w:w w:val="105"/>
          <w:sz w:val="21"/>
        </w:rPr>
        <w:t> </w:t>
      </w:r>
      <w:r>
        <w:rPr>
          <w:spacing w:val="-3"/>
          <w:w w:val="105"/>
          <w:sz w:val="21"/>
        </w:rPr>
        <w:t>represented person’s </w:t>
      </w:r>
      <w:r>
        <w:rPr>
          <w:w w:val="105"/>
          <w:sz w:val="21"/>
        </w:rPr>
        <w:t>property, should be amended </w:t>
      </w:r>
      <w:r>
        <w:rPr>
          <w:spacing w:val="-3"/>
          <w:w w:val="105"/>
          <w:sz w:val="21"/>
        </w:rPr>
        <w:t>to allow </w:t>
      </w:r>
      <w:r>
        <w:rPr>
          <w:w w:val="105"/>
          <w:sz w:val="21"/>
        </w:rPr>
        <w:t>a beneficiary under a </w:t>
      </w:r>
      <w:r>
        <w:rPr>
          <w:spacing w:val="-3"/>
          <w:w w:val="105"/>
          <w:sz w:val="21"/>
        </w:rPr>
        <w:t>will to </w:t>
      </w:r>
      <w:r>
        <w:rPr>
          <w:w w:val="105"/>
          <w:sz w:val="21"/>
        </w:rPr>
        <w:t>apply </w:t>
      </w:r>
      <w:r>
        <w:rPr>
          <w:spacing w:val="-3"/>
          <w:w w:val="105"/>
          <w:sz w:val="21"/>
        </w:rPr>
        <w:t>to </w:t>
      </w:r>
      <w:r>
        <w:rPr>
          <w:w w:val="105"/>
          <w:sz w:val="21"/>
        </w:rPr>
        <w:t>the </w:t>
      </w:r>
      <w:r>
        <w:rPr>
          <w:spacing w:val="-3"/>
          <w:w w:val="105"/>
          <w:sz w:val="21"/>
        </w:rPr>
        <w:t>Supreme Court for </w:t>
      </w:r>
      <w:r>
        <w:rPr>
          <w:w w:val="105"/>
          <w:sz w:val="21"/>
        </w:rPr>
        <w:t>an order</w:t>
      </w:r>
      <w:r>
        <w:rPr>
          <w:spacing w:val="35"/>
          <w:w w:val="105"/>
          <w:sz w:val="21"/>
        </w:rPr>
        <w:t> </w:t>
      </w:r>
      <w:r>
        <w:rPr>
          <w:w w:val="105"/>
          <w:sz w:val="21"/>
        </w:rPr>
        <w:t>where:</w:t>
      </w:r>
    </w:p>
    <w:p>
      <w:pPr>
        <w:pStyle w:val="ListParagraph"/>
        <w:numPr>
          <w:ilvl w:val="1"/>
          <w:numId w:val="10"/>
        </w:numPr>
        <w:tabs>
          <w:tab w:pos="2381" w:val="left" w:leader="none"/>
          <w:tab w:pos="2382" w:val="left" w:leader="none"/>
        </w:tabs>
        <w:spacing w:line="242" w:lineRule="auto" w:before="124" w:after="0"/>
        <w:ind w:left="2381" w:right="2017" w:hanging="454"/>
        <w:jc w:val="left"/>
        <w:rPr>
          <w:sz w:val="21"/>
        </w:rPr>
      </w:pPr>
      <w:r>
        <w:rPr>
          <w:w w:val="105"/>
          <w:sz w:val="21"/>
        </w:rPr>
        <w:t>the </w:t>
      </w:r>
      <w:r>
        <w:rPr>
          <w:spacing w:val="-3"/>
          <w:w w:val="105"/>
          <w:sz w:val="21"/>
        </w:rPr>
        <w:t>exception </w:t>
      </w:r>
      <w:r>
        <w:rPr>
          <w:w w:val="105"/>
          <w:sz w:val="21"/>
        </w:rPr>
        <w:t>would </w:t>
      </w:r>
      <w:r>
        <w:rPr>
          <w:spacing w:val="-3"/>
          <w:w w:val="105"/>
          <w:sz w:val="21"/>
        </w:rPr>
        <w:t>result </w:t>
      </w:r>
      <w:r>
        <w:rPr>
          <w:w w:val="105"/>
          <w:sz w:val="21"/>
        </w:rPr>
        <w:t>in a beneficiary under the </w:t>
      </w:r>
      <w:r>
        <w:rPr>
          <w:spacing w:val="-3"/>
          <w:w w:val="105"/>
          <w:sz w:val="21"/>
        </w:rPr>
        <w:t>will gaining </w:t>
      </w:r>
      <w:r>
        <w:rPr>
          <w:w w:val="105"/>
          <w:sz w:val="21"/>
        </w:rPr>
        <w:t>an </w:t>
      </w:r>
      <w:r>
        <w:rPr>
          <w:spacing w:val="-3"/>
          <w:w w:val="105"/>
          <w:sz w:val="21"/>
        </w:rPr>
        <w:t>unjust </w:t>
      </w:r>
      <w:r>
        <w:rPr>
          <w:w w:val="105"/>
          <w:sz w:val="21"/>
        </w:rPr>
        <w:t>and disproportionate</w:t>
      </w:r>
      <w:r>
        <w:rPr>
          <w:spacing w:val="-17"/>
          <w:w w:val="105"/>
          <w:sz w:val="21"/>
        </w:rPr>
        <w:t> </w:t>
      </w:r>
      <w:r>
        <w:rPr>
          <w:w w:val="105"/>
          <w:sz w:val="21"/>
        </w:rPr>
        <w:t>advantage</w:t>
      </w:r>
      <w:r>
        <w:rPr>
          <w:spacing w:val="-16"/>
          <w:w w:val="105"/>
          <w:sz w:val="21"/>
        </w:rPr>
        <w:t> </w:t>
      </w:r>
      <w:r>
        <w:rPr>
          <w:w w:val="105"/>
          <w:sz w:val="21"/>
        </w:rPr>
        <w:t>or</w:t>
      </w:r>
      <w:r>
        <w:rPr>
          <w:spacing w:val="-17"/>
          <w:w w:val="105"/>
          <w:sz w:val="21"/>
        </w:rPr>
        <w:t> </w:t>
      </w:r>
      <w:r>
        <w:rPr>
          <w:spacing w:val="-3"/>
          <w:w w:val="105"/>
          <w:sz w:val="21"/>
        </w:rPr>
        <w:t>suffering</w:t>
      </w:r>
      <w:r>
        <w:rPr>
          <w:spacing w:val="-16"/>
          <w:w w:val="105"/>
          <w:sz w:val="21"/>
        </w:rPr>
        <w:t> </w:t>
      </w:r>
      <w:r>
        <w:rPr>
          <w:w w:val="105"/>
          <w:sz w:val="21"/>
        </w:rPr>
        <w:t>an</w:t>
      </w:r>
      <w:r>
        <w:rPr>
          <w:spacing w:val="-17"/>
          <w:w w:val="105"/>
          <w:sz w:val="21"/>
        </w:rPr>
        <w:t> </w:t>
      </w:r>
      <w:r>
        <w:rPr>
          <w:spacing w:val="-3"/>
          <w:w w:val="105"/>
          <w:sz w:val="21"/>
        </w:rPr>
        <w:t>unjust</w:t>
      </w:r>
      <w:r>
        <w:rPr>
          <w:spacing w:val="-16"/>
          <w:w w:val="105"/>
          <w:sz w:val="21"/>
        </w:rPr>
        <w:t> </w:t>
      </w:r>
      <w:r>
        <w:rPr>
          <w:w w:val="105"/>
          <w:sz w:val="21"/>
        </w:rPr>
        <w:t>and</w:t>
      </w:r>
      <w:r>
        <w:rPr>
          <w:spacing w:val="-17"/>
          <w:w w:val="105"/>
          <w:sz w:val="21"/>
        </w:rPr>
        <w:t> </w:t>
      </w:r>
      <w:r>
        <w:rPr>
          <w:w w:val="105"/>
          <w:sz w:val="21"/>
        </w:rPr>
        <w:t>disproportionate</w:t>
      </w:r>
      <w:r>
        <w:rPr>
          <w:spacing w:val="-16"/>
          <w:w w:val="105"/>
          <w:sz w:val="21"/>
        </w:rPr>
        <w:t> </w:t>
      </w:r>
      <w:r>
        <w:rPr>
          <w:w w:val="105"/>
          <w:sz w:val="21"/>
        </w:rPr>
        <w:t>disadvantage of a </w:t>
      </w:r>
      <w:r>
        <w:rPr>
          <w:spacing w:val="-3"/>
          <w:w w:val="105"/>
          <w:sz w:val="21"/>
        </w:rPr>
        <w:t>kind </w:t>
      </w:r>
      <w:r>
        <w:rPr>
          <w:spacing w:val="-2"/>
          <w:w w:val="105"/>
          <w:sz w:val="21"/>
        </w:rPr>
        <w:t>not </w:t>
      </w:r>
      <w:r>
        <w:rPr>
          <w:spacing w:val="-3"/>
          <w:w w:val="105"/>
          <w:sz w:val="21"/>
        </w:rPr>
        <w:t>contemplated </w:t>
      </w:r>
      <w:r>
        <w:rPr>
          <w:w w:val="105"/>
          <w:sz w:val="21"/>
        </w:rPr>
        <w:t>in the</w:t>
      </w:r>
      <w:r>
        <w:rPr>
          <w:spacing w:val="44"/>
          <w:w w:val="105"/>
          <w:sz w:val="21"/>
        </w:rPr>
        <w:t> </w:t>
      </w:r>
      <w:r>
        <w:rPr>
          <w:spacing w:val="-3"/>
          <w:w w:val="105"/>
          <w:sz w:val="21"/>
        </w:rPr>
        <w:t>will</w:t>
      </w:r>
    </w:p>
    <w:p>
      <w:pPr>
        <w:pStyle w:val="ListParagraph"/>
        <w:numPr>
          <w:ilvl w:val="1"/>
          <w:numId w:val="10"/>
        </w:numPr>
        <w:tabs>
          <w:tab w:pos="2381" w:val="left" w:leader="none"/>
          <w:tab w:pos="2382" w:val="left" w:leader="none"/>
        </w:tabs>
        <w:spacing w:line="242" w:lineRule="auto" w:before="124" w:after="0"/>
        <w:ind w:left="2381" w:right="1800" w:hanging="454"/>
        <w:jc w:val="left"/>
        <w:rPr>
          <w:sz w:val="21"/>
        </w:rPr>
      </w:pPr>
      <w:r>
        <w:rPr>
          <w:w w:val="105"/>
          <w:sz w:val="21"/>
        </w:rPr>
        <w:t>notwithstanding</w:t>
      </w:r>
      <w:r>
        <w:rPr>
          <w:spacing w:val="-7"/>
          <w:w w:val="105"/>
          <w:sz w:val="21"/>
        </w:rPr>
        <w:t> </w:t>
      </w:r>
      <w:r>
        <w:rPr>
          <w:w w:val="105"/>
          <w:sz w:val="21"/>
        </w:rPr>
        <w:t>the</w:t>
      </w:r>
      <w:r>
        <w:rPr>
          <w:spacing w:val="-6"/>
          <w:w w:val="105"/>
          <w:sz w:val="21"/>
        </w:rPr>
        <w:t> </w:t>
      </w:r>
      <w:r>
        <w:rPr>
          <w:spacing w:val="-3"/>
          <w:w w:val="105"/>
          <w:sz w:val="21"/>
        </w:rPr>
        <w:t>exception</w:t>
      </w:r>
      <w:r>
        <w:rPr>
          <w:spacing w:val="-6"/>
          <w:w w:val="105"/>
          <w:sz w:val="21"/>
        </w:rPr>
        <w:t> </w:t>
      </w:r>
      <w:r>
        <w:rPr>
          <w:spacing w:val="-3"/>
          <w:w w:val="105"/>
          <w:sz w:val="21"/>
        </w:rPr>
        <w:t>to</w:t>
      </w:r>
      <w:r>
        <w:rPr>
          <w:spacing w:val="-6"/>
          <w:w w:val="105"/>
          <w:sz w:val="21"/>
        </w:rPr>
        <w:t> </w:t>
      </w:r>
      <w:r>
        <w:rPr>
          <w:spacing w:val="-3"/>
          <w:w w:val="105"/>
          <w:sz w:val="21"/>
        </w:rPr>
        <w:t>ademption,</w:t>
      </w:r>
      <w:r>
        <w:rPr>
          <w:spacing w:val="-6"/>
          <w:w w:val="105"/>
          <w:sz w:val="21"/>
        </w:rPr>
        <w:t> </w:t>
      </w:r>
      <w:r>
        <w:rPr>
          <w:w w:val="105"/>
          <w:sz w:val="21"/>
        </w:rPr>
        <w:t>the</w:t>
      </w:r>
      <w:r>
        <w:rPr>
          <w:spacing w:val="-6"/>
          <w:w w:val="105"/>
          <w:sz w:val="21"/>
        </w:rPr>
        <w:t> </w:t>
      </w:r>
      <w:r>
        <w:rPr>
          <w:spacing w:val="-3"/>
          <w:w w:val="105"/>
          <w:sz w:val="21"/>
        </w:rPr>
        <w:t>outcome</w:t>
      </w:r>
      <w:r>
        <w:rPr>
          <w:spacing w:val="-6"/>
          <w:w w:val="105"/>
          <w:sz w:val="21"/>
        </w:rPr>
        <w:t> </w:t>
      </w:r>
      <w:r>
        <w:rPr>
          <w:w w:val="105"/>
          <w:sz w:val="21"/>
        </w:rPr>
        <w:t>would</w:t>
      </w:r>
      <w:r>
        <w:rPr>
          <w:spacing w:val="-6"/>
          <w:w w:val="105"/>
          <w:sz w:val="21"/>
        </w:rPr>
        <w:t> </w:t>
      </w:r>
      <w:r>
        <w:rPr>
          <w:spacing w:val="-3"/>
          <w:w w:val="105"/>
          <w:sz w:val="21"/>
        </w:rPr>
        <w:t>result</w:t>
      </w:r>
      <w:r>
        <w:rPr>
          <w:spacing w:val="-7"/>
          <w:w w:val="105"/>
          <w:sz w:val="21"/>
        </w:rPr>
        <w:t> </w:t>
      </w:r>
      <w:r>
        <w:rPr>
          <w:w w:val="105"/>
          <w:sz w:val="21"/>
        </w:rPr>
        <w:t>in</w:t>
      </w:r>
      <w:r>
        <w:rPr>
          <w:spacing w:val="-6"/>
          <w:w w:val="105"/>
          <w:sz w:val="21"/>
        </w:rPr>
        <w:t> </w:t>
      </w:r>
      <w:r>
        <w:rPr>
          <w:w w:val="105"/>
          <w:sz w:val="21"/>
        </w:rPr>
        <w:t>a</w:t>
      </w:r>
      <w:r>
        <w:rPr>
          <w:spacing w:val="-6"/>
          <w:w w:val="105"/>
          <w:sz w:val="21"/>
        </w:rPr>
        <w:t> </w:t>
      </w:r>
      <w:r>
        <w:rPr>
          <w:w w:val="105"/>
          <w:sz w:val="21"/>
        </w:rPr>
        <w:t>beneficiary under the </w:t>
      </w:r>
      <w:r>
        <w:rPr>
          <w:spacing w:val="-3"/>
          <w:w w:val="105"/>
          <w:sz w:val="21"/>
        </w:rPr>
        <w:t>will gaining </w:t>
      </w:r>
      <w:r>
        <w:rPr>
          <w:w w:val="105"/>
          <w:sz w:val="21"/>
        </w:rPr>
        <w:t>an </w:t>
      </w:r>
      <w:r>
        <w:rPr>
          <w:spacing w:val="-3"/>
          <w:w w:val="105"/>
          <w:sz w:val="21"/>
        </w:rPr>
        <w:t>unjust </w:t>
      </w:r>
      <w:r>
        <w:rPr>
          <w:w w:val="105"/>
          <w:sz w:val="21"/>
        </w:rPr>
        <w:t>and disproportionate advantage or </w:t>
      </w:r>
      <w:r>
        <w:rPr>
          <w:spacing w:val="-3"/>
          <w:w w:val="105"/>
          <w:sz w:val="21"/>
        </w:rPr>
        <w:t>suffering </w:t>
      </w:r>
      <w:r>
        <w:rPr>
          <w:w w:val="105"/>
          <w:sz w:val="21"/>
        </w:rPr>
        <w:t>an </w:t>
      </w:r>
      <w:r>
        <w:rPr>
          <w:spacing w:val="-3"/>
          <w:w w:val="105"/>
          <w:sz w:val="21"/>
        </w:rPr>
        <w:t>unjust </w:t>
      </w:r>
      <w:r>
        <w:rPr>
          <w:w w:val="105"/>
          <w:sz w:val="21"/>
        </w:rPr>
        <w:t>and disproportionate disadvantage of a </w:t>
      </w:r>
      <w:r>
        <w:rPr>
          <w:spacing w:val="-3"/>
          <w:w w:val="105"/>
          <w:sz w:val="21"/>
        </w:rPr>
        <w:t>kind </w:t>
      </w:r>
      <w:r>
        <w:rPr>
          <w:spacing w:val="-2"/>
          <w:w w:val="105"/>
          <w:sz w:val="21"/>
        </w:rPr>
        <w:t>not </w:t>
      </w:r>
      <w:r>
        <w:rPr>
          <w:spacing w:val="-3"/>
          <w:w w:val="105"/>
          <w:sz w:val="21"/>
        </w:rPr>
        <w:t>contemplated </w:t>
      </w:r>
      <w:r>
        <w:rPr>
          <w:w w:val="105"/>
          <w:sz w:val="21"/>
        </w:rPr>
        <w:t>in the</w:t>
      </w:r>
      <w:r>
        <w:rPr>
          <w:spacing w:val="23"/>
          <w:w w:val="105"/>
          <w:sz w:val="21"/>
        </w:rPr>
        <w:t> </w:t>
      </w:r>
      <w:r>
        <w:rPr>
          <w:spacing w:val="-3"/>
          <w:w w:val="105"/>
          <w:sz w:val="21"/>
        </w:rPr>
        <w:t>will.</w:t>
      </w:r>
    </w:p>
    <w:p>
      <w:pPr>
        <w:pStyle w:val="BodyText"/>
        <w:spacing w:line="242" w:lineRule="auto" w:before="123"/>
        <w:ind w:left="1927" w:right="1619"/>
      </w:pPr>
      <w:r>
        <w:rPr>
          <w:w w:val="105"/>
        </w:rPr>
        <w:t>The </w:t>
      </w:r>
      <w:r>
        <w:rPr>
          <w:spacing w:val="-3"/>
          <w:w w:val="105"/>
        </w:rPr>
        <w:t>Court </w:t>
      </w:r>
      <w:r>
        <w:rPr>
          <w:w w:val="105"/>
        </w:rPr>
        <w:t>would </w:t>
      </w:r>
      <w:r>
        <w:rPr>
          <w:spacing w:val="-4"/>
          <w:w w:val="105"/>
        </w:rPr>
        <w:t>make </w:t>
      </w:r>
      <w:r>
        <w:rPr>
          <w:spacing w:val="-3"/>
          <w:w w:val="105"/>
        </w:rPr>
        <w:t>such </w:t>
      </w:r>
      <w:r>
        <w:rPr>
          <w:w w:val="105"/>
        </w:rPr>
        <w:t>orders and direct </w:t>
      </w:r>
      <w:r>
        <w:rPr>
          <w:spacing w:val="-3"/>
          <w:w w:val="105"/>
        </w:rPr>
        <w:t>such conveyances, </w:t>
      </w:r>
      <w:r>
        <w:rPr>
          <w:w w:val="105"/>
        </w:rPr>
        <w:t>deeds and </w:t>
      </w:r>
      <w:r>
        <w:rPr>
          <w:spacing w:val="-3"/>
          <w:w w:val="105"/>
        </w:rPr>
        <w:t>things to </w:t>
      </w:r>
      <w:r>
        <w:rPr>
          <w:w w:val="105"/>
        </w:rPr>
        <w:t>be executed and done as it thinks fit.</w:t>
      </w:r>
    </w:p>
    <w:p>
      <w:pPr>
        <w:pStyle w:val="ListParagraph"/>
        <w:numPr>
          <w:ilvl w:val="0"/>
          <w:numId w:val="10"/>
        </w:numPr>
        <w:tabs>
          <w:tab w:pos="1927" w:val="left" w:leader="none"/>
          <w:tab w:pos="1928" w:val="left" w:leader="none"/>
        </w:tabs>
        <w:spacing w:line="242" w:lineRule="auto" w:before="122" w:after="0"/>
        <w:ind w:left="1927" w:right="1704" w:hanging="340"/>
        <w:jc w:val="left"/>
        <w:rPr>
          <w:sz w:val="21"/>
        </w:rPr>
      </w:pPr>
      <w:r>
        <w:rPr>
          <w:sz w:val="21"/>
        </w:rPr>
        <w:t>Section </w:t>
      </w:r>
      <w:r>
        <w:rPr>
          <w:spacing w:val="-3"/>
          <w:sz w:val="21"/>
        </w:rPr>
        <w:t>53 </w:t>
      </w:r>
      <w:r>
        <w:rPr>
          <w:sz w:val="21"/>
        </w:rPr>
        <w:t>of the </w:t>
      </w:r>
      <w:r>
        <w:rPr>
          <w:i/>
          <w:spacing w:val="-3"/>
          <w:sz w:val="21"/>
        </w:rPr>
        <w:t>Guardianship </w:t>
      </w:r>
      <w:r>
        <w:rPr>
          <w:i/>
          <w:sz w:val="21"/>
        </w:rPr>
        <w:t>and </w:t>
      </w:r>
      <w:r>
        <w:rPr>
          <w:i/>
          <w:spacing w:val="-3"/>
          <w:sz w:val="21"/>
        </w:rPr>
        <w:t>Administration </w:t>
      </w:r>
      <w:r>
        <w:rPr>
          <w:i/>
          <w:sz w:val="21"/>
        </w:rPr>
        <w:t>Act </w:t>
      </w:r>
      <w:r>
        <w:rPr>
          <w:i/>
          <w:spacing w:val="-4"/>
          <w:sz w:val="21"/>
        </w:rPr>
        <w:t>1986 </w:t>
      </w:r>
      <w:r>
        <w:rPr>
          <w:sz w:val="21"/>
        </w:rPr>
        <w:t>(Vic)  should  be  amended  </w:t>
      </w:r>
      <w:r>
        <w:rPr>
          <w:spacing w:val="-3"/>
          <w:sz w:val="21"/>
        </w:rPr>
        <w:t>to </w:t>
      </w:r>
      <w:r>
        <w:rPr>
          <w:sz w:val="21"/>
        </w:rPr>
        <w:t>provide </w:t>
      </w:r>
      <w:r>
        <w:rPr>
          <w:spacing w:val="-3"/>
          <w:sz w:val="21"/>
        </w:rPr>
        <w:t>that </w:t>
      </w:r>
      <w:r>
        <w:rPr>
          <w:sz w:val="21"/>
        </w:rPr>
        <w:t>a beneficiary under a </w:t>
      </w:r>
      <w:r>
        <w:rPr>
          <w:spacing w:val="-3"/>
          <w:sz w:val="21"/>
        </w:rPr>
        <w:t>will  to  </w:t>
      </w:r>
      <w:r>
        <w:rPr>
          <w:sz w:val="21"/>
        </w:rPr>
        <w:t>whom the section applies because an </w:t>
      </w:r>
      <w:r>
        <w:rPr>
          <w:spacing w:val="-3"/>
          <w:sz w:val="21"/>
        </w:rPr>
        <w:t>administrator  </w:t>
      </w:r>
      <w:r>
        <w:rPr>
          <w:spacing w:val="-2"/>
          <w:sz w:val="21"/>
        </w:rPr>
        <w:t>has </w:t>
      </w:r>
      <w:r>
        <w:rPr>
          <w:sz w:val="21"/>
        </w:rPr>
        <w:t>sold or otherwise disposed of the </w:t>
      </w:r>
      <w:r>
        <w:rPr>
          <w:spacing w:val="-3"/>
          <w:sz w:val="21"/>
        </w:rPr>
        <w:t>will-maker’s </w:t>
      </w:r>
      <w:r>
        <w:rPr>
          <w:sz w:val="21"/>
        </w:rPr>
        <w:t>property is entitled </w:t>
      </w:r>
      <w:r>
        <w:rPr>
          <w:spacing w:val="-3"/>
          <w:sz w:val="21"/>
        </w:rPr>
        <w:t>to any traceable income generated </w:t>
      </w:r>
      <w:r>
        <w:rPr>
          <w:sz w:val="21"/>
        </w:rPr>
        <w:t>by </w:t>
      </w:r>
      <w:r>
        <w:rPr>
          <w:spacing w:val="-3"/>
          <w:sz w:val="21"/>
        </w:rPr>
        <w:t>any </w:t>
      </w:r>
      <w:r>
        <w:rPr>
          <w:sz w:val="21"/>
        </w:rPr>
        <w:t>sale</w:t>
      </w:r>
      <w:r>
        <w:rPr>
          <w:spacing w:val="40"/>
          <w:sz w:val="21"/>
        </w:rPr>
        <w:t> </w:t>
      </w:r>
      <w:r>
        <w:rPr>
          <w:spacing w:val="-2"/>
          <w:sz w:val="21"/>
        </w:rPr>
        <w:t>proceeds.</w:t>
      </w:r>
    </w:p>
    <w:p>
      <w:pPr>
        <w:pStyle w:val="ListParagraph"/>
        <w:numPr>
          <w:ilvl w:val="0"/>
          <w:numId w:val="10"/>
        </w:numPr>
        <w:tabs>
          <w:tab w:pos="1927" w:val="left" w:leader="none"/>
          <w:tab w:pos="1928" w:val="left" w:leader="none"/>
        </w:tabs>
        <w:spacing w:line="240" w:lineRule="auto" w:before="124" w:after="0"/>
        <w:ind w:left="1927" w:right="0" w:hanging="340"/>
        <w:jc w:val="left"/>
        <w:rPr>
          <w:sz w:val="21"/>
        </w:rPr>
      </w:pPr>
      <w:r>
        <w:rPr>
          <w:w w:val="105"/>
          <w:sz w:val="21"/>
        </w:rPr>
        <w:t>Section</w:t>
      </w:r>
      <w:r>
        <w:rPr>
          <w:spacing w:val="4"/>
          <w:w w:val="105"/>
          <w:sz w:val="21"/>
        </w:rPr>
        <w:t> </w:t>
      </w:r>
      <w:r>
        <w:rPr>
          <w:spacing w:val="-3"/>
          <w:w w:val="105"/>
          <w:sz w:val="21"/>
        </w:rPr>
        <w:t>53</w:t>
      </w:r>
      <w:r>
        <w:rPr>
          <w:spacing w:val="4"/>
          <w:w w:val="105"/>
          <w:sz w:val="21"/>
        </w:rPr>
        <w:t> </w:t>
      </w:r>
      <w:r>
        <w:rPr>
          <w:w w:val="105"/>
          <w:sz w:val="21"/>
        </w:rPr>
        <w:t>of</w:t>
      </w:r>
      <w:r>
        <w:rPr>
          <w:spacing w:val="5"/>
          <w:w w:val="105"/>
          <w:sz w:val="21"/>
        </w:rPr>
        <w:t> </w:t>
      </w:r>
      <w:r>
        <w:rPr>
          <w:w w:val="105"/>
          <w:sz w:val="21"/>
        </w:rPr>
        <w:t>the</w:t>
      </w:r>
      <w:r>
        <w:rPr>
          <w:spacing w:val="4"/>
          <w:w w:val="105"/>
          <w:sz w:val="21"/>
        </w:rPr>
        <w:t> </w:t>
      </w:r>
      <w:r>
        <w:rPr>
          <w:i/>
          <w:spacing w:val="-3"/>
          <w:w w:val="105"/>
          <w:sz w:val="21"/>
        </w:rPr>
        <w:t>Guardianship</w:t>
      </w:r>
      <w:r>
        <w:rPr>
          <w:i/>
          <w:spacing w:val="5"/>
          <w:w w:val="105"/>
          <w:sz w:val="21"/>
        </w:rPr>
        <w:t> </w:t>
      </w:r>
      <w:r>
        <w:rPr>
          <w:i/>
          <w:w w:val="105"/>
          <w:sz w:val="21"/>
        </w:rPr>
        <w:t>and</w:t>
      </w:r>
      <w:r>
        <w:rPr>
          <w:i/>
          <w:spacing w:val="4"/>
          <w:w w:val="105"/>
          <w:sz w:val="21"/>
        </w:rPr>
        <w:t> </w:t>
      </w:r>
      <w:r>
        <w:rPr>
          <w:i/>
          <w:spacing w:val="-3"/>
          <w:w w:val="105"/>
          <w:sz w:val="21"/>
        </w:rPr>
        <w:t>Administration</w:t>
      </w:r>
      <w:r>
        <w:rPr>
          <w:i/>
          <w:spacing w:val="4"/>
          <w:w w:val="105"/>
          <w:sz w:val="21"/>
        </w:rPr>
        <w:t> </w:t>
      </w:r>
      <w:r>
        <w:rPr>
          <w:i/>
          <w:w w:val="105"/>
          <w:sz w:val="21"/>
        </w:rPr>
        <w:t>Act</w:t>
      </w:r>
      <w:r>
        <w:rPr>
          <w:i/>
          <w:spacing w:val="5"/>
          <w:w w:val="105"/>
          <w:sz w:val="21"/>
        </w:rPr>
        <w:t> </w:t>
      </w:r>
      <w:r>
        <w:rPr>
          <w:i/>
          <w:spacing w:val="-4"/>
          <w:w w:val="105"/>
          <w:sz w:val="21"/>
        </w:rPr>
        <w:t>1986</w:t>
      </w:r>
      <w:r>
        <w:rPr>
          <w:i/>
          <w:spacing w:val="5"/>
          <w:w w:val="105"/>
          <w:sz w:val="21"/>
        </w:rPr>
        <w:t> </w:t>
      </w:r>
      <w:r>
        <w:rPr>
          <w:w w:val="105"/>
          <w:sz w:val="21"/>
        </w:rPr>
        <w:t>(Vic)</w:t>
      </w:r>
      <w:r>
        <w:rPr>
          <w:spacing w:val="5"/>
          <w:w w:val="105"/>
          <w:sz w:val="21"/>
        </w:rPr>
        <w:t> </w:t>
      </w:r>
      <w:r>
        <w:rPr>
          <w:w w:val="105"/>
          <w:sz w:val="21"/>
        </w:rPr>
        <w:t>should</w:t>
      </w:r>
      <w:r>
        <w:rPr>
          <w:spacing w:val="4"/>
          <w:w w:val="105"/>
          <w:sz w:val="21"/>
        </w:rPr>
        <w:t> </w:t>
      </w:r>
      <w:r>
        <w:rPr>
          <w:w w:val="105"/>
          <w:sz w:val="21"/>
        </w:rPr>
        <w:t>be</w:t>
      </w:r>
      <w:r>
        <w:rPr>
          <w:spacing w:val="4"/>
          <w:w w:val="105"/>
          <w:sz w:val="21"/>
        </w:rPr>
        <w:t> </w:t>
      </w:r>
      <w:r>
        <w:rPr>
          <w:w w:val="105"/>
          <w:sz w:val="21"/>
        </w:rPr>
        <w:t>amended</w:t>
      </w:r>
      <w:r>
        <w:rPr>
          <w:spacing w:val="5"/>
          <w:w w:val="105"/>
          <w:sz w:val="21"/>
        </w:rPr>
        <w:t> </w:t>
      </w:r>
      <w:r>
        <w:rPr>
          <w:w w:val="105"/>
          <w:sz w:val="21"/>
        </w:rPr>
        <w:t>to:</w:t>
      </w:r>
    </w:p>
    <w:p>
      <w:pPr>
        <w:pStyle w:val="ListParagraph"/>
        <w:numPr>
          <w:ilvl w:val="1"/>
          <w:numId w:val="10"/>
        </w:numPr>
        <w:tabs>
          <w:tab w:pos="3028" w:val="left" w:leader="none"/>
        </w:tabs>
        <w:spacing w:line="242" w:lineRule="auto" w:before="124" w:after="0"/>
        <w:ind w:left="3027" w:right="2308" w:hanging="306"/>
        <w:jc w:val="left"/>
        <w:rPr>
          <w:sz w:val="21"/>
        </w:rPr>
      </w:pPr>
      <w:r>
        <w:rPr>
          <w:sz w:val="21"/>
        </w:rPr>
        <w:t>no longer </w:t>
      </w:r>
      <w:r>
        <w:rPr>
          <w:spacing w:val="-3"/>
          <w:sz w:val="21"/>
        </w:rPr>
        <w:t>require </w:t>
      </w:r>
      <w:r>
        <w:rPr>
          <w:sz w:val="21"/>
        </w:rPr>
        <w:t>an </w:t>
      </w:r>
      <w:r>
        <w:rPr>
          <w:spacing w:val="-3"/>
          <w:sz w:val="21"/>
        </w:rPr>
        <w:t>administrator  to  keep  </w:t>
      </w:r>
      <w:r>
        <w:rPr>
          <w:sz w:val="21"/>
        </w:rPr>
        <w:t>a </w:t>
      </w:r>
      <w:r>
        <w:rPr>
          <w:spacing w:val="-3"/>
          <w:sz w:val="21"/>
        </w:rPr>
        <w:t>separate</w:t>
      </w:r>
      <w:r>
        <w:rPr>
          <w:spacing w:val="41"/>
          <w:sz w:val="21"/>
        </w:rPr>
        <w:t> </w:t>
      </w:r>
      <w:r>
        <w:rPr>
          <w:spacing w:val="-3"/>
          <w:sz w:val="21"/>
        </w:rPr>
        <w:t>account  </w:t>
      </w:r>
      <w:r>
        <w:rPr>
          <w:sz w:val="21"/>
        </w:rPr>
        <w:t>and </w:t>
      </w:r>
      <w:r>
        <w:rPr>
          <w:spacing w:val="-3"/>
          <w:sz w:val="21"/>
        </w:rPr>
        <w:t>record </w:t>
      </w:r>
      <w:r>
        <w:rPr>
          <w:sz w:val="21"/>
        </w:rPr>
        <w:t>of the money or other property received upon the sale or other </w:t>
      </w:r>
      <w:r>
        <w:rPr>
          <w:spacing w:val="-3"/>
          <w:sz w:val="21"/>
        </w:rPr>
        <w:t>disposition </w:t>
      </w:r>
      <w:r>
        <w:rPr>
          <w:sz w:val="21"/>
        </w:rPr>
        <w:t>of the </w:t>
      </w:r>
      <w:r>
        <w:rPr>
          <w:spacing w:val="-3"/>
          <w:sz w:val="21"/>
        </w:rPr>
        <w:t>represented person’s</w:t>
      </w:r>
      <w:r>
        <w:rPr>
          <w:spacing w:val="39"/>
          <w:sz w:val="21"/>
        </w:rPr>
        <w:t> </w:t>
      </w:r>
      <w:r>
        <w:rPr>
          <w:sz w:val="21"/>
        </w:rPr>
        <w:t>property</w:t>
      </w:r>
    </w:p>
    <w:p>
      <w:pPr>
        <w:pStyle w:val="ListParagraph"/>
        <w:numPr>
          <w:ilvl w:val="1"/>
          <w:numId w:val="10"/>
        </w:numPr>
        <w:tabs>
          <w:tab w:pos="3028" w:val="left" w:leader="none"/>
        </w:tabs>
        <w:spacing w:line="242" w:lineRule="auto" w:before="124" w:after="0"/>
        <w:ind w:left="3027" w:right="1619" w:hanging="306"/>
        <w:jc w:val="left"/>
        <w:rPr>
          <w:sz w:val="21"/>
        </w:rPr>
      </w:pPr>
      <w:r>
        <w:rPr>
          <w:spacing w:val="-4"/>
          <w:sz w:val="21"/>
        </w:rPr>
        <w:t>expressly </w:t>
      </w:r>
      <w:r>
        <w:rPr>
          <w:spacing w:val="-3"/>
          <w:sz w:val="21"/>
        </w:rPr>
        <w:t>state </w:t>
      </w:r>
      <w:r>
        <w:rPr>
          <w:spacing w:val="-4"/>
          <w:sz w:val="21"/>
        </w:rPr>
        <w:t>that </w:t>
      </w:r>
      <w:r>
        <w:rPr>
          <w:spacing w:val="-3"/>
          <w:sz w:val="21"/>
        </w:rPr>
        <w:t>an </w:t>
      </w:r>
      <w:r>
        <w:rPr>
          <w:spacing w:val="-5"/>
          <w:sz w:val="21"/>
        </w:rPr>
        <w:t>administrator </w:t>
      </w:r>
      <w:r>
        <w:rPr>
          <w:spacing w:val="-3"/>
          <w:sz w:val="21"/>
        </w:rPr>
        <w:t>is </w:t>
      </w:r>
      <w:r>
        <w:rPr>
          <w:spacing w:val="-4"/>
          <w:sz w:val="21"/>
        </w:rPr>
        <w:t>not </w:t>
      </w:r>
      <w:r>
        <w:rPr>
          <w:spacing w:val="-5"/>
          <w:sz w:val="21"/>
        </w:rPr>
        <w:t>required </w:t>
      </w:r>
      <w:r>
        <w:rPr>
          <w:spacing w:val="-4"/>
          <w:sz w:val="21"/>
        </w:rPr>
        <w:t>to </w:t>
      </w:r>
      <w:r>
        <w:rPr>
          <w:spacing w:val="-5"/>
          <w:sz w:val="21"/>
        </w:rPr>
        <w:t>keep </w:t>
      </w:r>
      <w:r>
        <w:rPr>
          <w:spacing w:val="-4"/>
          <w:sz w:val="21"/>
        </w:rPr>
        <w:t>any proceeds </w:t>
      </w:r>
      <w:r>
        <w:rPr>
          <w:spacing w:val="-3"/>
          <w:sz w:val="21"/>
        </w:rPr>
        <w:t>of the </w:t>
      </w:r>
      <w:r>
        <w:rPr>
          <w:spacing w:val="-4"/>
          <w:sz w:val="21"/>
        </w:rPr>
        <w:t>sale   </w:t>
      </w:r>
      <w:r>
        <w:rPr>
          <w:spacing w:val="39"/>
          <w:sz w:val="21"/>
        </w:rPr>
        <w:t> </w:t>
      </w:r>
      <w:r>
        <w:rPr>
          <w:sz w:val="21"/>
        </w:rPr>
        <w:t>or </w:t>
      </w:r>
      <w:r>
        <w:rPr>
          <w:spacing w:val="-4"/>
          <w:sz w:val="21"/>
        </w:rPr>
        <w:t>other disposition </w:t>
      </w:r>
      <w:r>
        <w:rPr>
          <w:spacing w:val="-3"/>
          <w:sz w:val="21"/>
        </w:rPr>
        <w:t>of property </w:t>
      </w:r>
      <w:r>
        <w:rPr>
          <w:spacing w:val="-5"/>
          <w:sz w:val="21"/>
        </w:rPr>
        <w:t>separate </w:t>
      </w:r>
      <w:r>
        <w:rPr>
          <w:spacing w:val="-4"/>
          <w:sz w:val="21"/>
        </w:rPr>
        <w:t>from </w:t>
      </w:r>
      <w:r>
        <w:rPr>
          <w:spacing w:val="-3"/>
          <w:sz w:val="21"/>
        </w:rPr>
        <w:t>the </w:t>
      </w:r>
      <w:r>
        <w:rPr>
          <w:spacing w:val="-5"/>
          <w:sz w:val="21"/>
        </w:rPr>
        <w:t>represented person’s </w:t>
      </w:r>
      <w:r>
        <w:rPr>
          <w:spacing w:val="-4"/>
          <w:sz w:val="21"/>
        </w:rPr>
        <w:t>other</w:t>
      </w:r>
      <w:r>
        <w:rPr>
          <w:spacing w:val="-10"/>
          <w:sz w:val="21"/>
        </w:rPr>
        <w:t> </w:t>
      </w:r>
      <w:r>
        <w:rPr>
          <w:spacing w:val="-4"/>
          <w:sz w:val="21"/>
        </w:rPr>
        <w:t>assets.</w:t>
      </w:r>
    </w:p>
    <w:p>
      <w:pPr>
        <w:pStyle w:val="ListParagraph"/>
        <w:numPr>
          <w:ilvl w:val="0"/>
          <w:numId w:val="10"/>
        </w:numPr>
        <w:tabs>
          <w:tab w:pos="1927" w:val="left" w:leader="none"/>
          <w:tab w:pos="1928" w:val="left" w:leader="none"/>
        </w:tabs>
        <w:spacing w:line="240" w:lineRule="auto" w:before="122" w:after="0"/>
        <w:ind w:left="1927" w:right="0" w:hanging="340"/>
        <w:jc w:val="left"/>
        <w:rPr>
          <w:sz w:val="21"/>
        </w:rPr>
      </w:pPr>
      <w:r>
        <w:rPr>
          <w:w w:val="105"/>
          <w:sz w:val="21"/>
        </w:rPr>
        <w:t>Section</w:t>
      </w:r>
      <w:r>
        <w:rPr>
          <w:spacing w:val="4"/>
          <w:w w:val="105"/>
          <w:sz w:val="21"/>
        </w:rPr>
        <w:t> </w:t>
      </w:r>
      <w:r>
        <w:rPr>
          <w:spacing w:val="-3"/>
          <w:w w:val="105"/>
          <w:sz w:val="21"/>
        </w:rPr>
        <w:t>53</w:t>
      </w:r>
      <w:r>
        <w:rPr>
          <w:spacing w:val="5"/>
          <w:w w:val="105"/>
          <w:sz w:val="21"/>
        </w:rPr>
        <w:t> </w:t>
      </w:r>
      <w:r>
        <w:rPr>
          <w:w w:val="105"/>
          <w:sz w:val="21"/>
        </w:rPr>
        <w:t>of</w:t>
      </w:r>
      <w:r>
        <w:rPr>
          <w:spacing w:val="4"/>
          <w:w w:val="105"/>
          <w:sz w:val="21"/>
        </w:rPr>
        <w:t> </w:t>
      </w:r>
      <w:r>
        <w:rPr>
          <w:w w:val="105"/>
          <w:sz w:val="21"/>
        </w:rPr>
        <w:t>the</w:t>
      </w:r>
      <w:r>
        <w:rPr>
          <w:spacing w:val="5"/>
          <w:w w:val="105"/>
          <w:sz w:val="21"/>
        </w:rPr>
        <w:t> </w:t>
      </w:r>
      <w:r>
        <w:rPr>
          <w:i/>
          <w:spacing w:val="-3"/>
          <w:w w:val="105"/>
          <w:sz w:val="21"/>
        </w:rPr>
        <w:t>Guardianship</w:t>
      </w:r>
      <w:r>
        <w:rPr>
          <w:i/>
          <w:spacing w:val="5"/>
          <w:w w:val="105"/>
          <w:sz w:val="21"/>
        </w:rPr>
        <w:t> </w:t>
      </w:r>
      <w:r>
        <w:rPr>
          <w:i/>
          <w:w w:val="105"/>
          <w:sz w:val="21"/>
        </w:rPr>
        <w:t>and</w:t>
      </w:r>
      <w:r>
        <w:rPr>
          <w:i/>
          <w:spacing w:val="4"/>
          <w:w w:val="105"/>
          <w:sz w:val="21"/>
        </w:rPr>
        <w:t> </w:t>
      </w:r>
      <w:r>
        <w:rPr>
          <w:i/>
          <w:spacing w:val="-3"/>
          <w:w w:val="105"/>
          <w:sz w:val="21"/>
        </w:rPr>
        <w:t>Administration</w:t>
      </w:r>
      <w:r>
        <w:rPr>
          <w:i/>
          <w:spacing w:val="5"/>
          <w:w w:val="105"/>
          <w:sz w:val="21"/>
        </w:rPr>
        <w:t> </w:t>
      </w:r>
      <w:r>
        <w:rPr>
          <w:i/>
          <w:w w:val="105"/>
          <w:sz w:val="21"/>
        </w:rPr>
        <w:t>Act</w:t>
      </w:r>
      <w:r>
        <w:rPr>
          <w:i/>
          <w:spacing w:val="5"/>
          <w:w w:val="105"/>
          <w:sz w:val="21"/>
        </w:rPr>
        <w:t> </w:t>
      </w:r>
      <w:r>
        <w:rPr>
          <w:i/>
          <w:spacing w:val="-4"/>
          <w:w w:val="105"/>
          <w:sz w:val="21"/>
        </w:rPr>
        <w:t>1986</w:t>
      </w:r>
      <w:r>
        <w:rPr>
          <w:i/>
          <w:spacing w:val="5"/>
          <w:w w:val="105"/>
          <w:sz w:val="21"/>
        </w:rPr>
        <w:t> </w:t>
      </w:r>
      <w:r>
        <w:rPr>
          <w:w w:val="105"/>
          <w:sz w:val="21"/>
        </w:rPr>
        <w:t>(Vic)</w:t>
      </w:r>
      <w:r>
        <w:rPr>
          <w:spacing w:val="5"/>
          <w:w w:val="105"/>
          <w:sz w:val="21"/>
        </w:rPr>
        <w:t> </w:t>
      </w:r>
      <w:r>
        <w:rPr>
          <w:w w:val="105"/>
          <w:sz w:val="21"/>
        </w:rPr>
        <w:t>should</w:t>
      </w:r>
      <w:r>
        <w:rPr>
          <w:spacing w:val="4"/>
          <w:w w:val="105"/>
          <w:sz w:val="21"/>
        </w:rPr>
        <w:t> </w:t>
      </w:r>
      <w:r>
        <w:rPr>
          <w:w w:val="105"/>
          <w:sz w:val="21"/>
        </w:rPr>
        <w:t>be</w:t>
      </w:r>
      <w:r>
        <w:rPr>
          <w:spacing w:val="5"/>
          <w:w w:val="105"/>
          <w:sz w:val="21"/>
        </w:rPr>
        <w:t> </w:t>
      </w:r>
      <w:r>
        <w:rPr>
          <w:w w:val="105"/>
          <w:sz w:val="21"/>
        </w:rPr>
        <w:t>amended</w:t>
      </w:r>
    </w:p>
    <w:p>
      <w:pPr>
        <w:pStyle w:val="BodyText"/>
        <w:spacing w:line="242" w:lineRule="auto" w:before="3"/>
        <w:ind w:left="1928" w:right="2142"/>
      </w:pPr>
      <w:r>
        <w:rPr>
          <w:spacing w:val="-3"/>
        </w:rPr>
        <w:t>to </w:t>
      </w:r>
      <w:r>
        <w:rPr/>
        <w:t>clarify </w:t>
      </w:r>
      <w:r>
        <w:rPr>
          <w:spacing w:val="-3"/>
        </w:rPr>
        <w:t>that </w:t>
      </w:r>
      <w:r>
        <w:rPr/>
        <w:t>it applies whether or </w:t>
      </w:r>
      <w:r>
        <w:rPr>
          <w:spacing w:val="-2"/>
        </w:rPr>
        <w:t>not </w:t>
      </w:r>
      <w:r>
        <w:rPr/>
        <w:t>the </w:t>
      </w:r>
      <w:r>
        <w:rPr>
          <w:spacing w:val="-3"/>
        </w:rPr>
        <w:t>represented  </w:t>
      </w:r>
      <w:r>
        <w:rPr/>
        <w:t>person </w:t>
      </w:r>
      <w:r>
        <w:rPr>
          <w:spacing w:val="-2"/>
        </w:rPr>
        <w:t>had</w:t>
      </w:r>
      <w:r>
        <w:rPr>
          <w:spacing w:val="43"/>
        </w:rPr>
        <w:t> </w:t>
      </w:r>
      <w:r>
        <w:rPr/>
        <w:t>testamentary capacity at</w:t>
      </w:r>
      <w:r>
        <w:rPr>
          <w:spacing w:val="9"/>
        </w:rPr>
        <w:t> </w:t>
      </w:r>
      <w:r>
        <w:rPr/>
        <w:t>the</w:t>
      </w:r>
      <w:r>
        <w:rPr>
          <w:spacing w:val="9"/>
        </w:rPr>
        <w:t> </w:t>
      </w:r>
      <w:r>
        <w:rPr/>
        <w:t>time</w:t>
      </w:r>
      <w:r>
        <w:rPr>
          <w:spacing w:val="9"/>
        </w:rPr>
        <w:t> </w:t>
      </w:r>
      <w:r>
        <w:rPr/>
        <w:t>of</w:t>
      </w:r>
      <w:r>
        <w:rPr>
          <w:spacing w:val="9"/>
        </w:rPr>
        <w:t> </w:t>
      </w:r>
      <w:r>
        <w:rPr/>
        <w:t>the</w:t>
      </w:r>
      <w:r>
        <w:rPr>
          <w:spacing w:val="9"/>
        </w:rPr>
        <w:t> </w:t>
      </w:r>
      <w:r>
        <w:rPr/>
        <w:t>sale</w:t>
      </w:r>
      <w:r>
        <w:rPr>
          <w:spacing w:val="10"/>
        </w:rPr>
        <w:t> </w:t>
      </w:r>
      <w:r>
        <w:rPr/>
        <w:t>or</w:t>
      </w:r>
      <w:r>
        <w:rPr>
          <w:spacing w:val="9"/>
        </w:rPr>
        <w:t> </w:t>
      </w:r>
      <w:r>
        <w:rPr/>
        <w:t>other</w:t>
      </w:r>
      <w:r>
        <w:rPr>
          <w:spacing w:val="9"/>
        </w:rPr>
        <w:t> </w:t>
      </w:r>
      <w:r>
        <w:rPr>
          <w:spacing w:val="-3"/>
        </w:rPr>
        <w:t>disposition</w:t>
      </w:r>
      <w:r>
        <w:rPr>
          <w:spacing w:val="9"/>
        </w:rPr>
        <w:t> </w:t>
      </w:r>
      <w:r>
        <w:rPr/>
        <w:t>of</w:t>
      </w:r>
      <w:r>
        <w:rPr>
          <w:spacing w:val="9"/>
        </w:rPr>
        <w:t> </w:t>
      </w:r>
      <w:r>
        <w:rPr>
          <w:spacing w:val="-3"/>
        </w:rPr>
        <w:t>relevant</w:t>
      </w:r>
      <w:r>
        <w:rPr>
          <w:spacing w:val="9"/>
        </w:rPr>
        <w:t> </w:t>
      </w:r>
      <w:r>
        <w:rPr/>
        <w:t>property.</w:t>
      </w:r>
    </w:p>
    <w:p>
      <w:pPr>
        <w:pStyle w:val="BodyText"/>
        <w:spacing w:before="10"/>
        <w:rPr>
          <w:sz w:val="24"/>
        </w:rPr>
      </w:pPr>
    </w:p>
    <w:p>
      <w:pPr>
        <w:pStyle w:val="Heading5"/>
        <w:spacing w:before="1"/>
      </w:pPr>
      <w:r>
        <w:rPr>
          <w:w w:val="115"/>
        </w:rPr>
        <w:t>Acts by persons acting under an enduring power of attorney</w:t>
      </w:r>
    </w:p>
    <w:p>
      <w:pPr>
        <w:pStyle w:val="ListParagraph"/>
        <w:numPr>
          <w:ilvl w:val="0"/>
          <w:numId w:val="10"/>
        </w:numPr>
        <w:tabs>
          <w:tab w:pos="1927" w:val="left" w:leader="none"/>
          <w:tab w:pos="1928" w:val="left" w:leader="none"/>
        </w:tabs>
        <w:spacing w:line="242" w:lineRule="auto" w:before="137" w:after="0"/>
        <w:ind w:left="1927" w:right="1825" w:hanging="340"/>
        <w:jc w:val="left"/>
        <w:rPr>
          <w:sz w:val="21"/>
        </w:rPr>
      </w:pPr>
      <w:r>
        <w:rPr>
          <w:i/>
          <w:w w:val="105"/>
          <w:sz w:val="21"/>
        </w:rPr>
        <w:t>The Instruments Act </w:t>
      </w:r>
      <w:r>
        <w:rPr>
          <w:i/>
          <w:spacing w:val="-6"/>
          <w:w w:val="105"/>
          <w:sz w:val="21"/>
        </w:rPr>
        <w:t>1958 </w:t>
      </w:r>
      <w:r>
        <w:rPr>
          <w:w w:val="105"/>
          <w:sz w:val="21"/>
        </w:rPr>
        <w:t>(Vic) should be amended </w:t>
      </w:r>
      <w:r>
        <w:rPr>
          <w:spacing w:val="-3"/>
          <w:w w:val="105"/>
          <w:sz w:val="21"/>
        </w:rPr>
        <w:t>to </w:t>
      </w:r>
      <w:r>
        <w:rPr>
          <w:w w:val="105"/>
          <w:sz w:val="21"/>
        </w:rPr>
        <w:t>provide an </w:t>
      </w:r>
      <w:r>
        <w:rPr>
          <w:spacing w:val="-3"/>
          <w:w w:val="105"/>
          <w:sz w:val="21"/>
        </w:rPr>
        <w:t>exception to </w:t>
      </w:r>
      <w:r>
        <w:rPr>
          <w:w w:val="105"/>
          <w:sz w:val="21"/>
        </w:rPr>
        <w:t>ademption when</w:t>
      </w:r>
      <w:r>
        <w:rPr>
          <w:spacing w:val="-6"/>
          <w:w w:val="105"/>
          <w:sz w:val="21"/>
        </w:rPr>
        <w:t> </w:t>
      </w:r>
      <w:r>
        <w:rPr>
          <w:w w:val="105"/>
          <w:sz w:val="21"/>
        </w:rPr>
        <w:t>property</w:t>
      </w:r>
      <w:r>
        <w:rPr>
          <w:spacing w:val="-6"/>
          <w:w w:val="105"/>
          <w:sz w:val="21"/>
        </w:rPr>
        <w:t> </w:t>
      </w:r>
      <w:r>
        <w:rPr>
          <w:w w:val="105"/>
          <w:sz w:val="21"/>
        </w:rPr>
        <w:t>is</w:t>
      </w:r>
      <w:r>
        <w:rPr>
          <w:spacing w:val="-6"/>
          <w:w w:val="105"/>
          <w:sz w:val="21"/>
        </w:rPr>
        <w:t> </w:t>
      </w:r>
      <w:r>
        <w:rPr>
          <w:w w:val="105"/>
          <w:sz w:val="21"/>
        </w:rPr>
        <w:t>sold</w:t>
      </w:r>
      <w:r>
        <w:rPr>
          <w:spacing w:val="-6"/>
          <w:w w:val="105"/>
          <w:sz w:val="21"/>
        </w:rPr>
        <w:t> </w:t>
      </w:r>
      <w:r>
        <w:rPr>
          <w:w w:val="105"/>
          <w:sz w:val="21"/>
        </w:rPr>
        <w:t>or</w:t>
      </w:r>
      <w:r>
        <w:rPr>
          <w:spacing w:val="-6"/>
          <w:w w:val="105"/>
          <w:sz w:val="21"/>
        </w:rPr>
        <w:t> </w:t>
      </w:r>
      <w:r>
        <w:rPr>
          <w:w w:val="105"/>
          <w:sz w:val="21"/>
        </w:rPr>
        <w:t>otherwise</w:t>
      </w:r>
      <w:r>
        <w:rPr>
          <w:spacing w:val="-5"/>
          <w:w w:val="105"/>
          <w:sz w:val="21"/>
        </w:rPr>
        <w:t> </w:t>
      </w:r>
      <w:r>
        <w:rPr>
          <w:w w:val="105"/>
          <w:sz w:val="21"/>
        </w:rPr>
        <w:t>disposed</w:t>
      </w:r>
      <w:r>
        <w:rPr>
          <w:spacing w:val="-6"/>
          <w:w w:val="105"/>
          <w:sz w:val="21"/>
        </w:rPr>
        <w:t> </w:t>
      </w:r>
      <w:r>
        <w:rPr>
          <w:w w:val="105"/>
          <w:sz w:val="21"/>
        </w:rPr>
        <w:t>of</w:t>
      </w:r>
      <w:r>
        <w:rPr>
          <w:spacing w:val="-6"/>
          <w:w w:val="105"/>
          <w:sz w:val="21"/>
        </w:rPr>
        <w:t> </w:t>
      </w:r>
      <w:r>
        <w:rPr>
          <w:w w:val="105"/>
          <w:sz w:val="21"/>
        </w:rPr>
        <w:t>by</w:t>
      </w:r>
      <w:r>
        <w:rPr>
          <w:spacing w:val="-6"/>
          <w:w w:val="105"/>
          <w:sz w:val="21"/>
        </w:rPr>
        <w:t> </w:t>
      </w:r>
      <w:r>
        <w:rPr>
          <w:w w:val="105"/>
          <w:sz w:val="21"/>
        </w:rPr>
        <w:t>a</w:t>
      </w:r>
      <w:r>
        <w:rPr>
          <w:spacing w:val="-6"/>
          <w:w w:val="105"/>
          <w:sz w:val="21"/>
        </w:rPr>
        <w:t> </w:t>
      </w:r>
      <w:r>
        <w:rPr>
          <w:w w:val="105"/>
          <w:sz w:val="21"/>
        </w:rPr>
        <w:t>person</w:t>
      </w:r>
      <w:r>
        <w:rPr>
          <w:spacing w:val="-6"/>
          <w:w w:val="105"/>
          <w:sz w:val="21"/>
        </w:rPr>
        <w:t> </w:t>
      </w:r>
      <w:r>
        <w:rPr>
          <w:w w:val="105"/>
          <w:sz w:val="21"/>
        </w:rPr>
        <w:t>acting</w:t>
      </w:r>
      <w:r>
        <w:rPr>
          <w:spacing w:val="-5"/>
          <w:w w:val="105"/>
          <w:sz w:val="21"/>
        </w:rPr>
        <w:t> </w:t>
      </w:r>
      <w:r>
        <w:rPr>
          <w:w w:val="105"/>
          <w:sz w:val="21"/>
        </w:rPr>
        <w:t>under</w:t>
      </w:r>
      <w:r>
        <w:rPr>
          <w:spacing w:val="-6"/>
          <w:w w:val="105"/>
          <w:sz w:val="21"/>
        </w:rPr>
        <w:t> </w:t>
      </w:r>
      <w:r>
        <w:rPr>
          <w:w w:val="105"/>
          <w:sz w:val="21"/>
        </w:rPr>
        <w:t>an</w:t>
      </w:r>
      <w:r>
        <w:rPr>
          <w:spacing w:val="-6"/>
          <w:w w:val="105"/>
          <w:sz w:val="21"/>
        </w:rPr>
        <w:t> </w:t>
      </w:r>
      <w:r>
        <w:rPr>
          <w:spacing w:val="-3"/>
          <w:w w:val="105"/>
          <w:sz w:val="21"/>
        </w:rPr>
        <w:t>enduring</w:t>
      </w:r>
      <w:r>
        <w:rPr>
          <w:spacing w:val="-6"/>
          <w:w w:val="105"/>
          <w:sz w:val="21"/>
        </w:rPr>
        <w:t> </w:t>
      </w:r>
      <w:r>
        <w:rPr>
          <w:w w:val="105"/>
          <w:sz w:val="21"/>
        </w:rPr>
        <w:t>power of attorney (financial). The </w:t>
      </w:r>
      <w:r>
        <w:rPr>
          <w:spacing w:val="-3"/>
          <w:w w:val="105"/>
          <w:sz w:val="21"/>
        </w:rPr>
        <w:t>exception </w:t>
      </w:r>
      <w:r>
        <w:rPr>
          <w:w w:val="105"/>
          <w:sz w:val="21"/>
        </w:rPr>
        <w:t>should </w:t>
      </w:r>
      <w:r>
        <w:rPr>
          <w:spacing w:val="-3"/>
          <w:w w:val="105"/>
          <w:sz w:val="21"/>
        </w:rPr>
        <w:t>align </w:t>
      </w:r>
      <w:r>
        <w:rPr>
          <w:w w:val="105"/>
          <w:sz w:val="21"/>
        </w:rPr>
        <w:t>with the </w:t>
      </w:r>
      <w:r>
        <w:rPr>
          <w:spacing w:val="-3"/>
          <w:w w:val="105"/>
          <w:sz w:val="21"/>
        </w:rPr>
        <w:t>exception that will </w:t>
      </w:r>
      <w:r>
        <w:rPr>
          <w:w w:val="105"/>
          <w:sz w:val="21"/>
        </w:rPr>
        <w:t>apply </w:t>
      </w:r>
      <w:r>
        <w:rPr>
          <w:spacing w:val="-3"/>
          <w:w w:val="105"/>
          <w:sz w:val="21"/>
        </w:rPr>
        <w:t>to administrators </w:t>
      </w:r>
      <w:r>
        <w:rPr>
          <w:w w:val="105"/>
          <w:sz w:val="21"/>
        </w:rPr>
        <w:t>under section </w:t>
      </w:r>
      <w:r>
        <w:rPr>
          <w:spacing w:val="-3"/>
          <w:w w:val="105"/>
          <w:sz w:val="21"/>
        </w:rPr>
        <w:t>53 </w:t>
      </w:r>
      <w:r>
        <w:rPr>
          <w:w w:val="105"/>
          <w:sz w:val="21"/>
        </w:rPr>
        <w:t>of the </w:t>
      </w:r>
      <w:r>
        <w:rPr>
          <w:i/>
          <w:spacing w:val="-3"/>
          <w:w w:val="105"/>
          <w:sz w:val="21"/>
        </w:rPr>
        <w:t>Guardianship </w:t>
      </w:r>
      <w:r>
        <w:rPr>
          <w:i/>
          <w:w w:val="105"/>
          <w:sz w:val="21"/>
        </w:rPr>
        <w:t>and </w:t>
      </w:r>
      <w:r>
        <w:rPr>
          <w:i/>
          <w:spacing w:val="-3"/>
          <w:w w:val="105"/>
          <w:sz w:val="21"/>
        </w:rPr>
        <w:t>Administration </w:t>
      </w:r>
      <w:r>
        <w:rPr>
          <w:i/>
          <w:w w:val="105"/>
          <w:sz w:val="21"/>
        </w:rPr>
        <w:t>Act </w:t>
      </w:r>
      <w:r>
        <w:rPr>
          <w:i/>
          <w:spacing w:val="-4"/>
          <w:w w:val="105"/>
          <w:sz w:val="21"/>
        </w:rPr>
        <w:t>1986</w:t>
      </w:r>
      <w:r>
        <w:rPr>
          <w:i/>
          <w:spacing w:val="36"/>
          <w:w w:val="105"/>
          <w:sz w:val="21"/>
        </w:rPr>
        <w:t> </w:t>
      </w:r>
      <w:r>
        <w:rPr>
          <w:w w:val="105"/>
          <w:sz w:val="21"/>
        </w:rPr>
        <w:t>(Vic)</w:t>
      </w:r>
    </w:p>
    <w:p>
      <w:pPr>
        <w:pStyle w:val="BodyText"/>
        <w:spacing w:before="4"/>
        <w:ind w:left="1927"/>
      </w:pPr>
      <w:r>
        <w:rPr>
          <w:w w:val="105"/>
        </w:rPr>
        <w:t>as amended in accordance with recommendations 5–8, including:</w:t>
      </w:r>
    </w:p>
    <w:p>
      <w:pPr>
        <w:pStyle w:val="ListParagraph"/>
        <w:numPr>
          <w:ilvl w:val="1"/>
          <w:numId w:val="10"/>
        </w:numPr>
        <w:tabs>
          <w:tab w:pos="3028" w:val="left" w:leader="none"/>
        </w:tabs>
        <w:spacing w:line="240" w:lineRule="auto" w:before="124" w:after="0"/>
        <w:ind w:left="3027" w:right="0" w:hanging="306"/>
        <w:jc w:val="left"/>
        <w:rPr>
          <w:sz w:val="21"/>
        </w:rPr>
      </w:pPr>
      <w:r>
        <w:rPr>
          <w:sz w:val="21"/>
        </w:rPr>
        <w:t>a</w:t>
      </w:r>
      <w:r>
        <w:rPr>
          <w:spacing w:val="10"/>
          <w:sz w:val="21"/>
        </w:rPr>
        <w:t> </w:t>
      </w:r>
      <w:r>
        <w:rPr>
          <w:spacing w:val="-3"/>
          <w:sz w:val="21"/>
        </w:rPr>
        <w:t>right</w:t>
      </w:r>
      <w:r>
        <w:rPr>
          <w:spacing w:val="10"/>
          <w:sz w:val="21"/>
        </w:rPr>
        <w:t> </w:t>
      </w:r>
      <w:r>
        <w:rPr>
          <w:sz w:val="21"/>
        </w:rPr>
        <w:t>of</w:t>
      </w:r>
      <w:r>
        <w:rPr>
          <w:spacing w:val="10"/>
          <w:sz w:val="21"/>
        </w:rPr>
        <w:t> </w:t>
      </w:r>
      <w:r>
        <w:rPr>
          <w:sz w:val="21"/>
        </w:rPr>
        <w:t>beneficiaries</w:t>
      </w:r>
      <w:r>
        <w:rPr>
          <w:spacing w:val="10"/>
          <w:sz w:val="21"/>
        </w:rPr>
        <w:t> </w:t>
      </w:r>
      <w:r>
        <w:rPr>
          <w:sz w:val="21"/>
        </w:rPr>
        <w:t>under</w:t>
      </w:r>
      <w:r>
        <w:rPr>
          <w:spacing w:val="10"/>
          <w:sz w:val="21"/>
        </w:rPr>
        <w:t> </w:t>
      </w:r>
      <w:r>
        <w:rPr>
          <w:sz w:val="21"/>
        </w:rPr>
        <w:t>a</w:t>
      </w:r>
      <w:r>
        <w:rPr>
          <w:spacing w:val="10"/>
          <w:sz w:val="21"/>
        </w:rPr>
        <w:t> </w:t>
      </w:r>
      <w:r>
        <w:rPr>
          <w:spacing w:val="-3"/>
          <w:sz w:val="21"/>
        </w:rPr>
        <w:t>will</w:t>
      </w:r>
      <w:r>
        <w:rPr>
          <w:spacing w:val="10"/>
          <w:sz w:val="21"/>
        </w:rPr>
        <w:t> </w:t>
      </w:r>
      <w:r>
        <w:rPr>
          <w:spacing w:val="-3"/>
          <w:sz w:val="21"/>
        </w:rPr>
        <w:t>to</w:t>
      </w:r>
      <w:r>
        <w:rPr>
          <w:spacing w:val="10"/>
          <w:sz w:val="21"/>
        </w:rPr>
        <w:t> </w:t>
      </w:r>
      <w:r>
        <w:rPr>
          <w:sz w:val="21"/>
        </w:rPr>
        <w:t>apply</w:t>
      </w:r>
      <w:r>
        <w:rPr>
          <w:spacing w:val="10"/>
          <w:sz w:val="21"/>
        </w:rPr>
        <w:t> </w:t>
      </w:r>
      <w:r>
        <w:rPr>
          <w:spacing w:val="-3"/>
          <w:sz w:val="21"/>
        </w:rPr>
        <w:t>to</w:t>
      </w:r>
      <w:r>
        <w:rPr>
          <w:spacing w:val="10"/>
          <w:sz w:val="21"/>
        </w:rPr>
        <w:t> </w:t>
      </w:r>
      <w:r>
        <w:rPr>
          <w:sz w:val="21"/>
        </w:rPr>
        <w:t>the</w:t>
      </w:r>
      <w:r>
        <w:rPr>
          <w:spacing w:val="10"/>
          <w:sz w:val="21"/>
        </w:rPr>
        <w:t> </w:t>
      </w:r>
      <w:r>
        <w:rPr>
          <w:sz w:val="21"/>
        </w:rPr>
        <w:t>court</w:t>
      </w:r>
      <w:r>
        <w:rPr>
          <w:spacing w:val="10"/>
          <w:sz w:val="21"/>
        </w:rPr>
        <w:t> </w:t>
      </w:r>
      <w:r>
        <w:rPr>
          <w:sz w:val="21"/>
        </w:rPr>
        <w:t>if</w:t>
      </w:r>
      <w:r>
        <w:rPr>
          <w:spacing w:val="10"/>
          <w:sz w:val="21"/>
        </w:rPr>
        <w:t> </w:t>
      </w:r>
      <w:r>
        <w:rPr>
          <w:sz w:val="21"/>
        </w:rPr>
        <w:t>the</w:t>
      </w:r>
      <w:r>
        <w:rPr>
          <w:spacing w:val="10"/>
          <w:sz w:val="21"/>
        </w:rPr>
        <w:t> </w:t>
      </w:r>
      <w:r>
        <w:rPr>
          <w:spacing w:val="-3"/>
          <w:sz w:val="21"/>
        </w:rPr>
        <w:t>result</w:t>
      </w:r>
      <w:r>
        <w:rPr>
          <w:spacing w:val="10"/>
          <w:sz w:val="21"/>
        </w:rPr>
        <w:t> </w:t>
      </w:r>
      <w:r>
        <w:rPr>
          <w:sz w:val="21"/>
        </w:rPr>
        <w:t>is</w:t>
      </w:r>
      <w:r>
        <w:rPr>
          <w:spacing w:val="10"/>
          <w:sz w:val="21"/>
        </w:rPr>
        <w:t> </w:t>
      </w:r>
      <w:r>
        <w:rPr>
          <w:spacing w:val="-3"/>
          <w:sz w:val="21"/>
        </w:rPr>
        <w:t>unjust</w:t>
      </w:r>
    </w:p>
    <w:p>
      <w:pPr>
        <w:pStyle w:val="ListParagraph"/>
        <w:numPr>
          <w:ilvl w:val="1"/>
          <w:numId w:val="10"/>
        </w:numPr>
        <w:tabs>
          <w:tab w:pos="3028" w:val="left" w:leader="none"/>
        </w:tabs>
        <w:spacing w:line="242" w:lineRule="auto" w:before="124" w:after="0"/>
        <w:ind w:left="3027" w:right="2183" w:hanging="306"/>
        <w:jc w:val="left"/>
        <w:rPr>
          <w:sz w:val="21"/>
        </w:rPr>
      </w:pPr>
      <w:r>
        <w:rPr>
          <w:sz w:val="21"/>
        </w:rPr>
        <w:t>no </w:t>
      </w:r>
      <w:r>
        <w:rPr>
          <w:spacing w:val="-3"/>
          <w:sz w:val="21"/>
        </w:rPr>
        <w:t>requirement that </w:t>
      </w:r>
      <w:r>
        <w:rPr>
          <w:sz w:val="21"/>
        </w:rPr>
        <w:t>the attorney </w:t>
      </w:r>
      <w:r>
        <w:rPr>
          <w:spacing w:val="-3"/>
          <w:sz w:val="21"/>
        </w:rPr>
        <w:t>keep </w:t>
      </w:r>
      <w:r>
        <w:rPr>
          <w:sz w:val="21"/>
        </w:rPr>
        <w:t>a </w:t>
      </w:r>
      <w:r>
        <w:rPr>
          <w:spacing w:val="-3"/>
          <w:sz w:val="21"/>
        </w:rPr>
        <w:t>separate account </w:t>
      </w:r>
      <w:r>
        <w:rPr>
          <w:sz w:val="21"/>
        </w:rPr>
        <w:t>and </w:t>
      </w:r>
      <w:r>
        <w:rPr>
          <w:spacing w:val="-3"/>
          <w:sz w:val="21"/>
        </w:rPr>
        <w:t>record </w:t>
      </w:r>
      <w:r>
        <w:rPr>
          <w:sz w:val="21"/>
        </w:rPr>
        <w:t>of the proceeds of the sale or other</w:t>
      </w:r>
      <w:r>
        <w:rPr>
          <w:spacing w:val="5"/>
          <w:sz w:val="21"/>
        </w:rPr>
        <w:t> </w:t>
      </w:r>
      <w:r>
        <w:rPr>
          <w:spacing w:val="-3"/>
          <w:sz w:val="21"/>
        </w:rPr>
        <w:t>disposition</w:t>
      </w:r>
    </w:p>
    <w:p>
      <w:pPr>
        <w:pStyle w:val="ListParagraph"/>
        <w:numPr>
          <w:ilvl w:val="1"/>
          <w:numId w:val="10"/>
        </w:numPr>
        <w:tabs>
          <w:tab w:pos="3028" w:val="left" w:leader="none"/>
        </w:tabs>
        <w:spacing w:line="242" w:lineRule="auto" w:before="122" w:after="0"/>
        <w:ind w:left="3027" w:right="1896" w:hanging="306"/>
        <w:jc w:val="left"/>
        <w:rPr>
          <w:sz w:val="21"/>
        </w:rPr>
      </w:pPr>
      <w:r>
        <w:rPr>
          <w:sz w:val="21"/>
        </w:rPr>
        <w:t>no </w:t>
      </w:r>
      <w:r>
        <w:rPr>
          <w:spacing w:val="-3"/>
          <w:sz w:val="21"/>
        </w:rPr>
        <w:t>requirement that </w:t>
      </w:r>
      <w:r>
        <w:rPr>
          <w:sz w:val="21"/>
        </w:rPr>
        <w:t>the attorney </w:t>
      </w:r>
      <w:r>
        <w:rPr>
          <w:spacing w:val="-3"/>
          <w:sz w:val="21"/>
        </w:rPr>
        <w:t>keep </w:t>
      </w:r>
      <w:r>
        <w:rPr>
          <w:sz w:val="21"/>
        </w:rPr>
        <w:t>the proceeds of sale or other </w:t>
      </w:r>
      <w:r>
        <w:rPr>
          <w:spacing w:val="-3"/>
          <w:sz w:val="21"/>
        </w:rPr>
        <w:t>disposition separate from </w:t>
      </w:r>
      <w:r>
        <w:rPr>
          <w:sz w:val="21"/>
        </w:rPr>
        <w:t>other assets owned by the donor of the</w:t>
      </w:r>
      <w:r>
        <w:rPr>
          <w:spacing w:val="23"/>
          <w:sz w:val="21"/>
        </w:rPr>
        <w:t> </w:t>
      </w:r>
      <w:r>
        <w:rPr>
          <w:sz w:val="21"/>
        </w:rPr>
        <w:t>power</w:t>
      </w:r>
    </w:p>
    <w:p>
      <w:pPr>
        <w:pStyle w:val="ListParagraph"/>
        <w:numPr>
          <w:ilvl w:val="1"/>
          <w:numId w:val="10"/>
        </w:numPr>
        <w:tabs>
          <w:tab w:pos="3028" w:val="left" w:leader="none"/>
        </w:tabs>
        <w:spacing w:line="242" w:lineRule="auto" w:before="122" w:after="0"/>
        <w:ind w:left="3027" w:right="2087" w:hanging="306"/>
        <w:jc w:val="left"/>
        <w:rPr>
          <w:sz w:val="21"/>
        </w:rPr>
      </w:pPr>
      <w:r>
        <w:rPr>
          <w:w w:val="105"/>
          <w:sz w:val="21"/>
        </w:rPr>
        <w:t>no</w:t>
      </w:r>
      <w:r>
        <w:rPr>
          <w:spacing w:val="-7"/>
          <w:w w:val="105"/>
          <w:sz w:val="21"/>
        </w:rPr>
        <w:t> </w:t>
      </w:r>
      <w:r>
        <w:rPr>
          <w:spacing w:val="-3"/>
          <w:w w:val="105"/>
          <w:sz w:val="21"/>
        </w:rPr>
        <w:t>requirement</w:t>
      </w:r>
      <w:r>
        <w:rPr>
          <w:spacing w:val="-6"/>
          <w:w w:val="105"/>
          <w:sz w:val="21"/>
        </w:rPr>
        <w:t> </w:t>
      </w:r>
      <w:r>
        <w:rPr>
          <w:spacing w:val="-3"/>
          <w:w w:val="105"/>
          <w:sz w:val="21"/>
        </w:rPr>
        <w:t>that</w:t>
      </w:r>
      <w:r>
        <w:rPr>
          <w:spacing w:val="-7"/>
          <w:w w:val="105"/>
          <w:sz w:val="21"/>
        </w:rPr>
        <w:t> </w:t>
      </w:r>
      <w:r>
        <w:rPr>
          <w:w w:val="105"/>
          <w:sz w:val="21"/>
        </w:rPr>
        <w:t>the</w:t>
      </w:r>
      <w:r>
        <w:rPr>
          <w:spacing w:val="-6"/>
          <w:w w:val="105"/>
          <w:sz w:val="21"/>
        </w:rPr>
        <w:t> </w:t>
      </w:r>
      <w:r>
        <w:rPr>
          <w:w w:val="105"/>
          <w:sz w:val="21"/>
        </w:rPr>
        <w:t>donor</w:t>
      </w:r>
      <w:r>
        <w:rPr>
          <w:spacing w:val="-6"/>
          <w:w w:val="105"/>
          <w:sz w:val="21"/>
        </w:rPr>
        <w:t> </w:t>
      </w:r>
      <w:r>
        <w:rPr>
          <w:w w:val="105"/>
          <w:sz w:val="21"/>
        </w:rPr>
        <w:t>of</w:t>
      </w:r>
      <w:r>
        <w:rPr>
          <w:spacing w:val="-7"/>
          <w:w w:val="105"/>
          <w:sz w:val="21"/>
        </w:rPr>
        <w:t> </w:t>
      </w:r>
      <w:r>
        <w:rPr>
          <w:w w:val="105"/>
          <w:sz w:val="21"/>
        </w:rPr>
        <w:t>the</w:t>
      </w:r>
      <w:r>
        <w:rPr>
          <w:spacing w:val="-6"/>
          <w:w w:val="105"/>
          <w:sz w:val="21"/>
        </w:rPr>
        <w:t> </w:t>
      </w:r>
      <w:r>
        <w:rPr>
          <w:w w:val="105"/>
          <w:sz w:val="21"/>
        </w:rPr>
        <w:t>power</w:t>
      </w:r>
      <w:r>
        <w:rPr>
          <w:spacing w:val="-6"/>
          <w:w w:val="105"/>
          <w:sz w:val="21"/>
        </w:rPr>
        <w:t> </w:t>
      </w:r>
      <w:r>
        <w:rPr>
          <w:w w:val="105"/>
          <w:sz w:val="21"/>
        </w:rPr>
        <w:t>be</w:t>
      </w:r>
      <w:r>
        <w:rPr>
          <w:spacing w:val="-7"/>
          <w:w w:val="105"/>
          <w:sz w:val="21"/>
        </w:rPr>
        <w:t> </w:t>
      </w:r>
      <w:r>
        <w:rPr>
          <w:w w:val="105"/>
          <w:sz w:val="21"/>
        </w:rPr>
        <w:t>without</w:t>
      </w:r>
      <w:r>
        <w:rPr>
          <w:spacing w:val="-6"/>
          <w:w w:val="105"/>
          <w:sz w:val="21"/>
        </w:rPr>
        <w:t> </w:t>
      </w:r>
      <w:r>
        <w:rPr>
          <w:w w:val="105"/>
          <w:sz w:val="21"/>
        </w:rPr>
        <w:t>will-making</w:t>
      </w:r>
      <w:r>
        <w:rPr>
          <w:spacing w:val="-6"/>
          <w:w w:val="105"/>
          <w:sz w:val="21"/>
        </w:rPr>
        <w:t> </w:t>
      </w:r>
      <w:r>
        <w:rPr>
          <w:w w:val="105"/>
          <w:sz w:val="21"/>
        </w:rPr>
        <w:t>capacity at the time of the sale or other</w:t>
      </w:r>
      <w:r>
        <w:rPr>
          <w:spacing w:val="30"/>
          <w:w w:val="105"/>
          <w:sz w:val="21"/>
        </w:rPr>
        <w:t> </w:t>
      </w:r>
      <w:r>
        <w:rPr>
          <w:spacing w:val="-3"/>
          <w:w w:val="105"/>
          <w:sz w:val="21"/>
        </w:rPr>
        <w:t>disposition.</w:t>
      </w:r>
    </w:p>
    <w:p>
      <w:pPr>
        <w:pStyle w:val="BodyText"/>
        <w:rPr>
          <w:sz w:val="20"/>
        </w:rPr>
      </w:pPr>
    </w:p>
    <w:p>
      <w:pPr>
        <w:pStyle w:val="BodyText"/>
        <w:rPr>
          <w:sz w:val="20"/>
        </w:rPr>
      </w:pPr>
    </w:p>
    <w:p>
      <w:pPr>
        <w:pStyle w:val="BodyText"/>
        <w:rPr>
          <w:sz w:val="20"/>
        </w:rPr>
      </w:pPr>
    </w:p>
    <w:p>
      <w:pPr>
        <w:pStyle w:val="BodyText"/>
        <w:spacing w:before="2"/>
        <w:rPr>
          <w:sz w:val="17"/>
        </w:rPr>
      </w:pPr>
    </w:p>
    <w:p>
      <w:pPr>
        <w:spacing w:before="99"/>
        <w:ind w:left="720" w:right="0" w:firstLine="0"/>
        <w:jc w:val="left"/>
        <w:rPr>
          <w:b/>
          <w:sz w:val="24"/>
        </w:rPr>
      </w:pPr>
      <w:r>
        <w:rPr>
          <w:b/>
          <w:color w:val="EC5A4F"/>
          <w:w w:val="120"/>
          <w:sz w:val="24"/>
        </w:rPr>
        <w:t>xxiv</w:t>
      </w:r>
    </w:p>
    <w:p>
      <w:pPr>
        <w:spacing w:after="0"/>
        <w:jc w:val="left"/>
        <w:rPr>
          <w:sz w:val="24"/>
        </w:rPr>
        <w:sectPr>
          <w:pgSz w:w="11910" w:h="16840"/>
          <w:pgMar w:header="1372" w:footer="0" w:top="1560" w:bottom="280" w:left="0" w:right="0"/>
        </w:sectPr>
      </w:pPr>
    </w:p>
    <w:p>
      <w:pPr>
        <w:pStyle w:val="BodyText"/>
        <w:spacing w:before="11"/>
        <w:rPr>
          <w:b/>
        </w:rPr>
      </w:pPr>
    </w:p>
    <w:p>
      <w:pPr>
        <w:spacing w:before="99"/>
        <w:ind w:left="1587" w:right="0" w:firstLine="0"/>
        <w:jc w:val="left"/>
        <w:rPr>
          <w:b/>
          <w:sz w:val="24"/>
        </w:rPr>
      </w:pPr>
      <w:r>
        <w:rPr>
          <w:b/>
          <w:w w:val="115"/>
          <w:sz w:val="24"/>
        </w:rPr>
        <w:t>Access to a person’s will to prevent ademption</w:t>
      </w:r>
    </w:p>
    <w:p>
      <w:pPr>
        <w:pStyle w:val="ListParagraph"/>
        <w:numPr>
          <w:ilvl w:val="0"/>
          <w:numId w:val="11"/>
        </w:numPr>
        <w:tabs>
          <w:tab w:pos="1928" w:val="left" w:leader="none"/>
        </w:tabs>
        <w:spacing w:line="242" w:lineRule="auto" w:before="137" w:after="0"/>
        <w:ind w:left="1927" w:right="2236" w:hanging="340"/>
        <w:jc w:val="both"/>
        <w:rPr>
          <w:sz w:val="21"/>
        </w:rPr>
      </w:pPr>
      <w:r>
        <w:rPr>
          <w:spacing w:val="-3"/>
          <w:w w:val="105"/>
          <w:sz w:val="21"/>
        </w:rPr>
        <w:t>Guardianship legislation </w:t>
      </w:r>
      <w:r>
        <w:rPr>
          <w:w w:val="105"/>
          <w:sz w:val="21"/>
        </w:rPr>
        <w:t>should provide </w:t>
      </w:r>
      <w:r>
        <w:rPr>
          <w:spacing w:val="-3"/>
          <w:w w:val="105"/>
          <w:sz w:val="21"/>
        </w:rPr>
        <w:t>for </w:t>
      </w:r>
      <w:r>
        <w:rPr>
          <w:w w:val="105"/>
          <w:sz w:val="21"/>
        </w:rPr>
        <w:t>a person acting under an </w:t>
      </w:r>
      <w:r>
        <w:rPr>
          <w:spacing w:val="-3"/>
          <w:w w:val="105"/>
          <w:sz w:val="21"/>
        </w:rPr>
        <w:t>enduring </w:t>
      </w:r>
      <w:r>
        <w:rPr>
          <w:w w:val="105"/>
          <w:sz w:val="21"/>
        </w:rPr>
        <w:t>power of attorney</w:t>
      </w:r>
      <w:r>
        <w:rPr>
          <w:spacing w:val="-8"/>
          <w:w w:val="105"/>
          <w:sz w:val="21"/>
        </w:rPr>
        <w:t> </w:t>
      </w:r>
      <w:r>
        <w:rPr>
          <w:w w:val="105"/>
          <w:sz w:val="21"/>
        </w:rPr>
        <w:t>(financial)</w:t>
      </w:r>
      <w:r>
        <w:rPr>
          <w:spacing w:val="-7"/>
          <w:w w:val="105"/>
          <w:sz w:val="21"/>
        </w:rPr>
        <w:t> </w:t>
      </w:r>
      <w:r>
        <w:rPr>
          <w:spacing w:val="-3"/>
          <w:w w:val="105"/>
          <w:sz w:val="21"/>
        </w:rPr>
        <w:t>to</w:t>
      </w:r>
      <w:r>
        <w:rPr>
          <w:spacing w:val="-7"/>
          <w:w w:val="105"/>
          <w:sz w:val="21"/>
        </w:rPr>
        <w:t> </w:t>
      </w:r>
      <w:r>
        <w:rPr>
          <w:w w:val="105"/>
          <w:sz w:val="21"/>
        </w:rPr>
        <w:t>apply</w:t>
      </w:r>
      <w:r>
        <w:rPr>
          <w:spacing w:val="-7"/>
          <w:w w:val="105"/>
          <w:sz w:val="21"/>
        </w:rPr>
        <w:t> </w:t>
      </w:r>
      <w:r>
        <w:rPr>
          <w:spacing w:val="-3"/>
          <w:w w:val="105"/>
          <w:sz w:val="21"/>
        </w:rPr>
        <w:t>to</w:t>
      </w:r>
      <w:r>
        <w:rPr>
          <w:spacing w:val="-7"/>
          <w:w w:val="105"/>
          <w:sz w:val="21"/>
        </w:rPr>
        <w:t> </w:t>
      </w:r>
      <w:r>
        <w:rPr>
          <w:w w:val="105"/>
          <w:sz w:val="21"/>
        </w:rPr>
        <w:t>the</w:t>
      </w:r>
      <w:r>
        <w:rPr>
          <w:spacing w:val="-7"/>
          <w:w w:val="105"/>
          <w:sz w:val="21"/>
        </w:rPr>
        <w:t> </w:t>
      </w:r>
      <w:r>
        <w:rPr>
          <w:w w:val="105"/>
          <w:sz w:val="21"/>
        </w:rPr>
        <w:t>Victorian</w:t>
      </w:r>
      <w:r>
        <w:rPr>
          <w:spacing w:val="-7"/>
          <w:w w:val="105"/>
          <w:sz w:val="21"/>
        </w:rPr>
        <w:t> </w:t>
      </w:r>
      <w:r>
        <w:rPr>
          <w:spacing w:val="-3"/>
          <w:w w:val="105"/>
          <w:sz w:val="21"/>
        </w:rPr>
        <w:t>Civil</w:t>
      </w:r>
      <w:r>
        <w:rPr>
          <w:spacing w:val="-7"/>
          <w:w w:val="105"/>
          <w:sz w:val="21"/>
        </w:rPr>
        <w:t> </w:t>
      </w:r>
      <w:r>
        <w:rPr>
          <w:w w:val="105"/>
          <w:sz w:val="21"/>
        </w:rPr>
        <w:t>and</w:t>
      </w:r>
      <w:r>
        <w:rPr>
          <w:spacing w:val="-7"/>
          <w:w w:val="105"/>
          <w:sz w:val="21"/>
        </w:rPr>
        <w:t> </w:t>
      </w:r>
      <w:r>
        <w:rPr>
          <w:spacing w:val="-3"/>
          <w:w w:val="105"/>
          <w:sz w:val="21"/>
        </w:rPr>
        <w:t>Administrative</w:t>
      </w:r>
      <w:r>
        <w:rPr>
          <w:spacing w:val="-7"/>
          <w:w w:val="105"/>
          <w:sz w:val="21"/>
        </w:rPr>
        <w:t> </w:t>
      </w:r>
      <w:r>
        <w:rPr>
          <w:spacing w:val="-5"/>
          <w:w w:val="105"/>
          <w:sz w:val="21"/>
        </w:rPr>
        <w:t>Tribunal</w:t>
      </w:r>
      <w:r>
        <w:rPr>
          <w:spacing w:val="-7"/>
          <w:w w:val="105"/>
          <w:sz w:val="21"/>
        </w:rPr>
        <w:t> </w:t>
      </w:r>
      <w:r>
        <w:rPr>
          <w:spacing w:val="-3"/>
          <w:w w:val="105"/>
          <w:sz w:val="21"/>
        </w:rPr>
        <w:t>for</w:t>
      </w:r>
      <w:r>
        <w:rPr>
          <w:spacing w:val="-7"/>
          <w:w w:val="105"/>
          <w:sz w:val="21"/>
        </w:rPr>
        <w:t> </w:t>
      </w:r>
      <w:r>
        <w:rPr>
          <w:w w:val="105"/>
          <w:sz w:val="21"/>
        </w:rPr>
        <w:t>a</w:t>
      </w:r>
      <w:r>
        <w:rPr>
          <w:spacing w:val="-7"/>
          <w:w w:val="105"/>
          <w:sz w:val="21"/>
        </w:rPr>
        <w:t> </w:t>
      </w:r>
      <w:r>
        <w:rPr>
          <w:spacing w:val="-3"/>
          <w:w w:val="105"/>
          <w:sz w:val="21"/>
        </w:rPr>
        <w:t>full</w:t>
      </w:r>
      <w:r>
        <w:rPr>
          <w:spacing w:val="-7"/>
          <w:w w:val="105"/>
          <w:sz w:val="21"/>
        </w:rPr>
        <w:t> </w:t>
      </w:r>
      <w:r>
        <w:rPr>
          <w:w w:val="105"/>
          <w:sz w:val="21"/>
        </w:rPr>
        <w:t>or redacted </w:t>
      </w:r>
      <w:r>
        <w:rPr>
          <w:spacing w:val="-3"/>
          <w:w w:val="105"/>
          <w:sz w:val="21"/>
        </w:rPr>
        <w:t>copy </w:t>
      </w:r>
      <w:r>
        <w:rPr>
          <w:w w:val="105"/>
          <w:sz w:val="21"/>
        </w:rPr>
        <w:t>of a </w:t>
      </w:r>
      <w:r>
        <w:rPr>
          <w:spacing w:val="-3"/>
          <w:w w:val="105"/>
          <w:sz w:val="21"/>
        </w:rPr>
        <w:t>will </w:t>
      </w:r>
      <w:r>
        <w:rPr>
          <w:w w:val="105"/>
          <w:sz w:val="21"/>
        </w:rPr>
        <w:t>made by the donor of the </w:t>
      </w:r>
      <w:r>
        <w:rPr>
          <w:spacing w:val="-5"/>
          <w:w w:val="105"/>
          <w:sz w:val="21"/>
        </w:rPr>
        <w:t>power. </w:t>
      </w:r>
      <w:r>
        <w:rPr>
          <w:w w:val="105"/>
          <w:sz w:val="21"/>
        </w:rPr>
        <w:t>The </w:t>
      </w:r>
      <w:r>
        <w:rPr>
          <w:spacing w:val="-5"/>
          <w:w w:val="105"/>
          <w:sz w:val="21"/>
        </w:rPr>
        <w:t>Tribunal </w:t>
      </w:r>
      <w:r>
        <w:rPr>
          <w:w w:val="105"/>
          <w:sz w:val="21"/>
        </w:rPr>
        <w:t>would be able </w:t>
      </w:r>
      <w:r>
        <w:rPr>
          <w:spacing w:val="-3"/>
          <w:w w:val="105"/>
          <w:sz w:val="21"/>
        </w:rPr>
        <w:t>to grant </w:t>
      </w:r>
      <w:r>
        <w:rPr>
          <w:spacing w:val="-2"/>
          <w:w w:val="105"/>
          <w:sz w:val="21"/>
        </w:rPr>
        <w:t>access </w:t>
      </w:r>
      <w:r>
        <w:rPr>
          <w:w w:val="105"/>
          <w:sz w:val="21"/>
        </w:rPr>
        <w:t>only where the donor does </w:t>
      </w:r>
      <w:r>
        <w:rPr>
          <w:spacing w:val="-2"/>
          <w:w w:val="105"/>
          <w:sz w:val="21"/>
        </w:rPr>
        <w:t>not </w:t>
      </w:r>
      <w:r>
        <w:rPr>
          <w:spacing w:val="-3"/>
          <w:w w:val="105"/>
          <w:sz w:val="21"/>
        </w:rPr>
        <w:t>have </w:t>
      </w:r>
      <w:r>
        <w:rPr>
          <w:w w:val="105"/>
          <w:sz w:val="21"/>
        </w:rPr>
        <w:t>testamentary</w:t>
      </w:r>
      <w:r>
        <w:rPr>
          <w:spacing w:val="23"/>
          <w:w w:val="105"/>
          <w:sz w:val="21"/>
        </w:rPr>
        <w:t> </w:t>
      </w:r>
      <w:r>
        <w:rPr>
          <w:spacing w:val="-3"/>
          <w:w w:val="105"/>
          <w:sz w:val="21"/>
        </w:rPr>
        <w:t>capacity.</w:t>
      </w:r>
    </w:p>
    <w:p>
      <w:pPr>
        <w:pStyle w:val="BodyText"/>
        <w:spacing w:before="11"/>
      </w:pPr>
    </w:p>
    <w:p>
      <w:pPr>
        <w:pStyle w:val="Heading4"/>
      </w:pPr>
      <w:r>
        <w:rPr>
          <w:color w:val="EC5A4F"/>
          <w:w w:val="110"/>
        </w:rPr>
        <w:t>Chapter 5 Intestacy</w:t>
      </w:r>
    </w:p>
    <w:p>
      <w:pPr>
        <w:pStyle w:val="Heading5"/>
        <w:spacing w:before="167"/>
      </w:pPr>
      <w:r>
        <w:rPr>
          <w:w w:val="115"/>
        </w:rPr>
        <w:t>Setting a limit on next of kin</w:t>
      </w:r>
    </w:p>
    <w:p>
      <w:pPr>
        <w:pStyle w:val="ListParagraph"/>
        <w:numPr>
          <w:ilvl w:val="0"/>
          <w:numId w:val="11"/>
        </w:numPr>
        <w:tabs>
          <w:tab w:pos="1928" w:val="left" w:leader="none"/>
        </w:tabs>
        <w:spacing w:line="242" w:lineRule="auto" w:before="137" w:after="0"/>
        <w:ind w:left="1927" w:right="1794" w:hanging="340"/>
        <w:jc w:val="left"/>
        <w:rPr>
          <w:sz w:val="21"/>
        </w:rPr>
      </w:pPr>
      <w:r>
        <w:rPr>
          <w:w w:val="105"/>
          <w:sz w:val="21"/>
        </w:rPr>
        <w:t>The</w:t>
      </w:r>
      <w:r>
        <w:rPr>
          <w:spacing w:val="-9"/>
          <w:w w:val="105"/>
          <w:sz w:val="21"/>
        </w:rPr>
        <w:t> </w:t>
      </w:r>
      <w:r>
        <w:rPr>
          <w:w w:val="105"/>
          <w:sz w:val="21"/>
        </w:rPr>
        <w:t>entitlements</w:t>
      </w:r>
      <w:r>
        <w:rPr>
          <w:spacing w:val="-8"/>
          <w:w w:val="105"/>
          <w:sz w:val="21"/>
        </w:rPr>
        <w:t> </w:t>
      </w:r>
      <w:r>
        <w:rPr>
          <w:w w:val="105"/>
          <w:sz w:val="21"/>
        </w:rPr>
        <w:t>of</w:t>
      </w:r>
      <w:r>
        <w:rPr>
          <w:spacing w:val="-8"/>
          <w:w w:val="105"/>
          <w:sz w:val="21"/>
        </w:rPr>
        <w:t> </w:t>
      </w:r>
      <w:r>
        <w:rPr>
          <w:spacing w:val="-3"/>
          <w:w w:val="105"/>
          <w:sz w:val="21"/>
        </w:rPr>
        <w:t>all</w:t>
      </w:r>
      <w:r>
        <w:rPr>
          <w:spacing w:val="-8"/>
          <w:w w:val="105"/>
          <w:sz w:val="21"/>
        </w:rPr>
        <w:t> </w:t>
      </w:r>
      <w:r>
        <w:rPr>
          <w:w w:val="105"/>
          <w:sz w:val="21"/>
        </w:rPr>
        <w:t>next</w:t>
      </w:r>
      <w:r>
        <w:rPr>
          <w:spacing w:val="-8"/>
          <w:w w:val="105"/>
          <w:sz w:val="21"/>
        </w:rPr>
        <w:t> </w:t>
      </w:r>
      <w:r>
        <w:rPr>
          <w:w w:val="105"/>
          <w:sz w:val="21"/>
        </w:rPr>
        <w:t>of</w:t>
      </w:r>
      <w:r>
        <w:rPr>
          <w:spacing w:val="-8"/>
          <w:w w:val="105"/>
          <w:sz w:val="21"/>
        </w:rPr>
        <w:t> </w:t>
      </w:r>
      <w:r>
        <w:rPr>
          <w:spacing w:val="-2"/>
          <w:w w:val="105"/>
          <w:sz w:val="21"/>
        </w:rPr>
        <w:t>kin</w:t>
      </w:r>
      <w:r>
        <w:rPr>
          <w:spacing w:val="-8"/>
          <w:w w:val="105"/>
          <w:sz w:val="21"/>
        </w:rPr>
        <w:t> </w:t>
      </w:r>
      <w:r>
        <w:rPr>
          <w:w w:val="105"/>
          <w:sz w:val="21"/>
        </w:rPr>
        <w:t>on</w:t>
      </w:r>
      <w:r>
        <w:rPr>
          <w:spacing w:val="-8"/>
          <w:w w:val="105"/>
          <w:sz w:val="21"/>
        </w:rPr>
        <w:t> </w:t>
      </w:r>
      <w:r>
        <w:rPr>
          <w:w w:val="105"/>
          <w:sz w:val="21"/>
        </w:rPr>
        <w:t>intestacy</w:t>
      </w:r>
      <w:r>
        <w:rPr>
          <w:spacing w:val="-8"/>
          <w:w w:val="105"/>
          <w:sz w:val="21"/>
        </w:rPr>
        <w:t> </w:t>
      </w:r>
      <w:r>
        <w:rPr>
          <w:w w:val="105"/>
          <w:sz w:val="21"/>
        </w:rPr>
        <w:t>should</w:t>
      </w:r>
      <w:r>
        <w:rPr>
          <w:spacing w:val="-9"/>
          <w:w w:val="105"/>
          <w:sz w:val="21"/>
        </w:rPr>
        <w:t> </w:t>
      </w:r>
      <w:r>
        <w:rPr>
          <w:w w:val="105"/>
          <w:sz w:val="21"/>
        </w:rPr>
        <w:t>be</w:t>
      </w:r>
      <w:r>
        <w:rPr>
          <w:spacing w:val="-8"/>
          <w:w w:val="105"/>
          <w:sz w:val="21"/>
        </w:rPr>
        <w:t> </w:t>
      </w:r>
      <w:r>
        <w:rPr>
          <w:w w:val="105"/>
          <w:sz w:val="21"/>
        </w:rPr>
        <w:t>clearly</w:t>
      </w:r>
      <w:r>
        <w:rPr>
          <w:spacing w:val="-8"/>
          <w:w w:val="105"/>
          <w:sz w:val="21"/>
        </w:rPr>
        <w:t> </w:t>
      </w:r>
      <w:r>
        <w:rPr>
          <w:w w:val="105"/>
          <w:sz w:val="21"/>
        </w:rPr>
        <w:t>set</w:t>
      </w:r>
      <w:r>
        <w:rPr>
          <w:spacing w:val="-8"/>
          <w:w w:val="105"/>
          <w:sz w:val="21"/>
        </w:rPr>
        <w:t> </w:t>
      </w:r>
      <w:r>
        <w:rPr>
          <w:w w:val="105"/>
          <w:sz w:val="21"/>
        </w:rPr>
        <w:t>out</w:t>
      </w:r>
      <w:r>
        <w:rPr>
          <w:spacing w:val="-8"/>
          <w:w w:val="105"/>
          <w:sz w:val="21"/>
        </w:rPr>
        <w:t> </w:t>
      </w:r>
      <w:r>
        <w:rPr>
          <w:w w:val="105"/>
          <w:sz w:val="21"/>
        </w:rPr>
        <w:t>in</w:t>
      </w:r>
      <w:r>
        <w:rPr>
          <w:spacing w:val="-8"/>
          <w:w w:val="105"/>
          <w:sz w:val="21"/>
        </w:rPr>
        <w:t> </w:t>
      </w:r>
      <w:r>
        <w:rPr>
          <w:w w:val="105"/>
          <w:sz w:val="21"/>
        </w:rPr>
        <w:t>the</w:t>
      </w:r>
      <w:r>
        <w:rPr>
          <w:spacing w:val="-8"/>
          <w:w w:val="105"/>
          <w:sz w:val="21"/>
        </w:rPr>
        <w:t> </w:t>
      </w:r>
      <w:r>
        <w:rPr>
          <w:i/>
          <w:spacing w:val="-3"/>
          <w:w w:val="105"/>
          <w:sz w:val="21"/>
        </w:rPr>
        <w:t>Administration </w:t>
      </w:r>
      <w:r>
        <w:rPr>
          <w:i/>
          <w:w w:val="105"/>
          <w:sz w:val="21"/>
        </w:rPr>
        <w:t>and Probate Act </w:t>
      </w:r>
      <w:r>
        <w:rPr>
          <w:i/>
          <w:spacing w:val="-6"/>
          <w:w w:val="105"/>
          <w:sz w:val="21"/>
        </w:rPr>
        <w:t>1958</w:t>
      </w:r>
      <w:r>
        <w:rPr>
          <w:i/>
          <w:spacing w:val="21"/>
          <w:w w:val="105"/>
          <w:sz w:val="21"/>
        </w:rPr>
        <w:t> </w:t>
      </w:r>
      <w:r>
        <w:rPr>
          <w:w w:val="105"/>
          <w:sz w:val="21"/>
        </w:rPr>
        <w:t>(Vic).</w:t>
      </w:r>
    </w:p>
    <w:p>
      <w:pPr>
        <w:pStyle w:val="ListParagraph"/>
        <w:numPr>
          <w:ilvl w:val="0"/>
          <w:numId w:val="11"/>
        </w:numPr>
        <w:tabs>
          <w:tab w:pos="1928" w:val="left" w:leader="none"/>
        </w:tabs>
        <w:spacing w:line="242" w:lineRule="auto" w:before="122" w:after="0"/>
        <w:ind w:left="1927" w:right="2971" w:hanging="340"/>
        <w:jc w:val="left"/>
        <w:rPr>
          <w:sz w:val="21"/>
        </w:rPr>
      </w:pPr>
      <w:r>
        <w:rPr>
          <w:sz w:val="21"/>
        </w:rPr>
        <w:t>Next of </w:t>
      </w:r>
      <w:r>
        <w:rPr>
          <w:spacing w:val="-2"/>
          <w:sz w:val="21"/>
        </w:rPr>
        <w:t>kin </w:t>
      </w:r>
      <w:r>
        <w:rPr>
          <w:sz w:val="21"/>
        </w:rPr>
        <w:t>who </w:t>
      </w:r>
      <w:r>
        <w:rPr>
          <w:spacing w:val="-3"/>
          <w:sz w:val="21"/>
        </w:rPr>
        <w:t>are </w:t>
      </w:r>
      <w:r>
        <w:rPr>
          <w:sz w:val="21"/>
        </w:rPr>
        <w:t>entitled </w:t>
      </w:r>
      <w:r>
        <w:rPr>
          <w:spacing w:val="-3"/>
          <w:sz w:val="21"/>
        </w:rPr>
        <w:t>to inherit  </w:t>
      </w:r>
      <w:r>
        <w:rPr>
          <w:sz w:val="21"/>
        </w:rPr>
        <w:t>on intestacy should be </w:t>
      </w:r>
      <w:r>
        <w:rPr>
          <w:spacing w:val="-3"/>
          <w:sz w:val="21"/>
        </w:rPr>
        <w:t>limited</w:t>
      </w:r>
      <w:r>
        <w:rPr>
          <w:spacing w:val="41"/>
          <w:sz w:val="21"/>
        </w:rPr>
        <w:t> </w:t>
      </w:r>
      <w:r>
        <w:rPr>
          <w:spacing w:val="-3"/>
          <w:sz w:val="21"/>
        </w:rPr>
        <w:t>to  children </w:t>
      </w:r>
      <w:r>
        <w:rPr>
          <w:sz w:val="21"/>
        </w:rPr>
        <w:t>of the deceased </w:t>
      </w:r>
      <w:r>
        <w:rPr>
          <w:spacing w:val="-3"/>
          <w:sz w:val="21"/>
        </w:rPr>
        <w:t>person’s parents’ siblings </w:t>
      </w:r>
      <w:r>
        <w:rPr>
          <w:sz w:val="21"/>
        </w:rPr>
        <w:t>(the deceased </w:t>
      </w:r>
      <w:r>
        <w:rPr>
          <w:spacing w:val="-3"/>
          <w:sz w:val="21"/>
        </w:rPr>
        <w:t>person’s </w:t>
      </w:r>
      <w:r>
        <w:rPr>
          <w:sz w:val="21"/>
        </w:rPr>
        <w:t>first</w:t>
      </w:r>
      <w:r>
        <w:rPr>
          <w:spacing w:val="41"/>
          <w:sz w:val="21"/>
        </w:rPr>
        <w:t> </w:t>
      </w:r>
      <w:r>
        <w:rPr>
          <w:spacing w:val="-3"/>
          <w:sz w:val="21"/>
        </w:rPr>
        <w:t>cousins).</w:t>
      </w:r>
    </w:p>
    <w:p>
      <w:pPr>
        <w:pStyle w:val="ListParagraph"/>
        <w:numPr>
          <w:ilvl w:val="0"/>
          <w:numId w:val="11"/>
        </w:numPr>
        <w:tabs>
          <w:tab w:pos="1928" w:val="left" w:leader="none"/>
        </w:tabs>
        <w:spacing w:line="242" w:lineRule="auto" w:before="123" w:after="0"/>
        <w:ind w:left="1927" w:right="2616" w:hanging="340"/>
        <w:jc w:val="left"/>
        <w:rPr>
          <w:sz w:val="21"/>
        </w:rPr>
      </w:pPr>
      <w:r>
        <w:rPr>
          <w:sz w:val="21"/>
        </w:rPr>
        <w:t>Persons entitled </w:t>
      </w:r>
      <w:r>
        <w:rPr>
          <w:spacing w:val="-3"/>
          <w:sz w:val="21"/>
        </w:rPr>
        <w:t>to inherit </w:t>
      </w:r>
      <w:r>
        <w:rPr>
          <w:sz w:val="21"/>
        </w:rPr>
        <w:t>on intestacy in more </w:t>
      </w:r>
      <w:r>
        <w:rPr>
          <w:spacing w:val="-3"/>
          <w:sz w:val="21"/>
        </w:rPr>
        <w:t>than </w:t>
      </w:r>
      <w:r>
        <w:rPr>
          <w:sz w:val="21"/>
        </w:rPr>
        <w:t>one capacity should be entitled  </w:t>
      </w:r>
      <w:r>
        <w:rPr>
          <w:spacing w:val="-3"/>
          <w:sz w:val="21"/>
        </w:rPr>
        <w:t>to take </w:t>
      </w:r>
      <w:r>
        <w:rPr>
          <w:sz w:val="21"/>
        </w:rPr>
        <w:t>in each</w:t>
      </w:r>
      <w:r>
        <w:rPr>
          <w:spacing w:val="40"/>
          <w:sz w:val="21"/>
        </w:rPr>
        <w:t> </w:t>
      </w:r>
      <w:r>
        <w:rPr>
          <w:spacing w:val="-3"/>
          <w:sz w:val="21"/>
        </w:rPr>
        <w:t>capacity.</w:t>
      </w:r>
    </w:p>
    <w:p>
      <w:pPr>
        <w:pStyle w:val="BodyText"/>
        <w:spacing w:before="10"/>
        <w:rPr>
          <w:sz w:val="24"/>
        </w:rPr>
      </w:pPr>
    </w:p>
    <w:p>
      <w:pPr>
        <w:pStyle w:val="Heading5"/>
      </w:pPr>
      <w:r>
        <w:rPr>
          <w:w w:val="115"/>
        </w:rPr>
        <w:t>Survivorship</w:t>
      </w:r>
    </w:p>
    <w:p>
      <w:pPr>
        <w:pStyle w:val="ListParagraph"/>
        <w:numPr>
          <w:ilvl w:val="0"/>
          <w:numId w:val="11"/>
        </w:numPr>
        <w:tabs>
          <w:tab w:pos="1928" w:val="left" w:leader="none"/>
        </w:tabs>
        <w:spacing w:line="242" w:lineRule="auto" w:before="138" w:after="0"/>
        <w:ind w:left="1927" w:right="1874" w:hanging="340"/>
        <w:jc w:val="left"/>
        <w:rPr>
          <w:sz w:val="21"/>
        </w:rPr>
      </w:pPr>
      <w:r>
        <w:rPr>
          <w:sz w:val="21"/>
        </w:rPr>
        <w:t>Next of </w:t>
      </w:r>
      <w:r>
        <w:rPr>
          <w:spacing w:val="-2"/>
          <w:sz w:val="21"/>
        </w:rPr>
        <w:t>kin </w:t>
      </w:r>
      <w:r>
        <w:rPr>
          <w:sz w:val="21"/>
        </w:rPr>
        <w:t>should be </w:t>
      </w:r>
      <w:r>
        <w:rPr>
          <w:spacing w:val="-3"/>
          <w:sz w:val="21"/>
        </w:rPr>
        <w:t>required to </w:t>
      </w:r>
      <w:r>
        <w:rPr>
          <w:sz w:val="21"/>
        </w:rPr>
        <w:t>survive the deceased person </w:t>
      </w:r>
      <w:r>
        <w:rPr>
          <w:spacing w:val="-3"/>
          <w:sz w:val="21"/>
        </w:rPr>
        <w:t>for </w:t>
      </w:r>
      <w:r>
        <w:rPr>
          <w:sz w:val="21"/>
        </w:rPr>
        <w:t>30 days in order </w:t>
      </w:r>
      <w:r>
        <w:rPr>
          <w:spacing w:val="-3"/>
          <w:sz w:val="21"/>
        </w:rPr>
        <w:t>to  inherit  </w:t>
      </w:r>
      <w:r>
        <w:rPr>
          <w:sz w:val="21"/>
        </w:rPr>
        <w:t>on </w:t>
      </w:r>
      <w:r>
        <w:rPr>
          <w:spacing w:val="-3"/>
          <w:sz w:val="21"/>
        </w:rPr>
        <w:t>intestacy, </w:t>
      </w:r>
      <w:r>
        <w:rPr>
          <w:sz w:val="21"/>
        </w:rPr>
        <w:t>unless the survivorship </w:t>
      </w:r>
      <w:r>
        <w:rPr>
          <w:spacing w:val="-3"/>
          <w:sz w:val="21"/>
        </w:rPr>
        <w:t>requirement </w:t>
      </w:r>
      <w:r>
        <w:rPr>
          <w:sz w:val="21"/>
        </w:rPr>
        <w:t>would </w:t>
      </w:r>
      <w:r>
        <w:rPr>
          <w:spacing w:val="-3"/>
          <w:sz w:val="21"/>
        </w:rPr>
        <w:t>result </w:t>
      </w:r>
      <w:r>
        <w:rPr>
          <w:sz w:val="21"/>
        </w:rPr>
        <w:t>in </w:t>
      </w:r>
      <w:r>
        <w:rPr>
          <w:i/>
          <w:sz w:val="21"/>
        </w:rPr>
        <w:t>bona</w:t>
      </w:r>
      <w:r>
        <w:rPr>
          <w:i/>
          <w:spacing w:val="-9"/>
          <w:sz w:val="21"/>
        </w:rPr>
        <w:t> </w:t>
      </w:r>
      <w:r>
        <w:rPr>
          <w:i/>
          <w:spacing w:val="-4"/>
          <w:sz w:val="21"/>
        </w:rPr>
        <w:t>vacantia</w:t>
      </w:r>
      <w:r>
        <w:rPr>
          <w:spacing w:val="-4"/>
          <w:sz w:val="21"/>
        </w:rPr>
        <w:t>.</w:t>
      </w:r>
    </w:p>
    <w:p>
      <w:pPr>
        <w:pStyle w:val="ListParagraph"/>
        <w:numPr>
          <w:ilvl w:val="0"/>
          <w:numId w:val="11"/>
        </w:numPr>
        <w:tabs>
          <w:tab w:pos="1928" w:val="left" w:leader="none"/>
        </w:tabs>
        <w:spacing w:line="242" w:lineRule="auto" w:before="122" w:after="0"/>
        <w:ind w:left="1927" w:right="1986" w:hanging="340"/>
        <w:jc w:val="left"/>
        <w:rPr>
          <w:sz w:val="21"/>
        </w:rPr>
      </w:pPr>
      <w:r>
        <w:rPr>
          <w:spacing w:val="-4"/>
          <w:sz w:val="21"/>
        </w:rPr>
        <w:t>Children </w:t>
      </w:r>
      <w:r>
        <w:rPr>
          <w:sz w:val="21"/>
        </w:rPr>
        <w:t>who </w:t>
      </w:r>
      <w:r>
        <w:rPr>
          <w:spacing w:val="-3"/>
          <w:sz w:val="21"/>
        </w:rPr>
        <w:t>are conceived </w:t>
      </w:r>
      <w:r>
        <w:rPr>
          <w:sz w:val="21"/>
        </w:rPr>
        <w:t>but </w:t>
      </w:r>
      <w:r>
        <w:rPr>
          <w:spacing w:val="-2"/>
          <w:sz w:val="21"/>
        </w:rPr>
        <w:t>not </w:t>
      </w:r>
      <w:r>
        <w:rPr>
          <w:sz w:val="21"/>
        </w:rPr>
        <w:t>yet born at the </w:t>
      </w:r>
      <w:r>
        <w:rPr>
          <w:spacing w:val="-3"/>
          <w:sz w:val="21"/>
        </w:rPr>
        <w:t>date </w:t>
      </w:r>
      <w:r>
        <w:rPr>
          <w:sz w:val="21"/>
        </w:rPr>
        <w:t>of the deceased </w:t>
      </w:r>
      <w:r>
        <w:rPr>
          <w:spacing w:val="-3"/>
          <w:sz w:val="21"/>
        </w:rPr>
        <w:t>person’s </w:t>
      </w:r>
      <w:r>
        <w:rPr>
          <w:sz w:val="21"/>
        </w:rPr>
        <w:t>death should be </w:t>
      </w:r>
      <w:r>
        <w:rPr>
          <w:spacing w:val="-3"/>
          <w:sz w:val="21"/>
        </w:rPr>
        <w:t>required to </w:t>
      </w:r>
      <w:r>
        <w:rPr>
          <w:sz w:val="21"/>
        </w:rPr>
        <w:t>survive </w:t>
      </w:r>
      <w:r>
        <w:rPr>
          <w:spacing w:val="-3"/>
          <w:sz w:val="21"/>
        </w:rPr>
        <w:t>for </w:t>
      </w:r>
      <w:r>
        <w:rPr>
          <w:sz w:val="21"/>
        </w:rPr>
        <w:t>at least 30 days after birth in order </w:t>
      </w:r>
      <w:r>
        <w:rPr>
          <w:spacing w:val="-3"/>
          <w:sz w:val="21"/>
        </w:rPr>
        <w:t>to inherit </w:t>
      </w:r>
      <w:r>
        <w:rPr>
          <w:sz w:val="21"/>
        </w:rPr>
        <w:t>on </w:t>
      </w:r>
      <w:r>
        <w:rPr>
          <w:spacing w:val="-3"/>
          <w:sz w:val="21"/>
        </w:rPr>
        <w:t>intestacy, </w:t>
      </w:r>
      <w:r>
        <w:rPr>
          <w:sz w:val="21"/>
        </w:rPr>
        <w:t>unless</w:t>
      </w:r>
      <w:r>
        <w:rPr>
          <w:spacing w:val="9"/>
          <w:sz w:val="21"/>
        </w:rPr>
        <w:t> </w:t>
      </w:r>
      <w:r>
        <w:rPr>
          <w:sz w:val="21"/>
        </w:rPr>
        <w:t>the</w:t>
      </w:r>
      <w:r>
        <w:rPr>
          <w:spacing w:val="10"/>
          <w:sz w:val="21"/>
        </w:rPr>
        <w:t> </w:t>
      </w:r>
      <w:r>
        <w:rPr>
          <w:sz w:val="21"/>
        </w:rPr>
        <w:t>survivorship</w:t>
      </w:r>
      <w:r>
        <w:rPr>
          <w:spacing w:val="10"/>
          <w:sz w:val="21"/>
        </w:rPr>
        <w:t> </w:t>
      </w:r>
      <w:r>
        <w:rPr>
          <w:spacing w:val="-3"/>
          <w:sz w:val="21"/>
        </w:rPr>
        <w:t>requirement</w:t>
      </w:r>
      <w:r>
        <w:rPr>
          <w:spacing w:val="9"/>
          <w:sz w:val="21"/>
        </w:rPr>
        <w:t> </w:t>
      </w:r>
      <w:r>
        <w:rPr>
          <w:sz w:val="21"/>
        </w:rPr>
        <w:t>would</w:t>
      </w:r>
      <w:r>
        <w:rPr>
          <w:spacing w:val="10"/>
          <w:sz w:val="21"/>
        </w:rPr>
        <w:t> </w:t>
      </w:r>
      <w:r>
        <w:rPr>
          <w:spacing w:val="-3"/>
          <w:sz w:val="21"/>
        </w:rPr>
        <w:t>result</w:t>
      </w:r>
      <w:r>
        <w:rPr>
          <w:spacing w:val="10"/>
          <w:sz w:val="21"/>
        </w:rPr>
        <w:t> </w:t>
      </w:r>
      <w:r>
        <w:rPr>
          <w:sz w:val="21"/>
        </w:rPr>
        <w:t>in</w:t>
      </w:r>
      <w:r>
        <w:rPr>
          <w:spacing w:val="9"/>
          <w:sz w:val="21"/>
        </w:rPr>
        <w:t> </w:t>
      </w:r>
      <w:r>
        <w:rPr>
          <w:i/>
          <w:sz w:val="21"/>
        </w:rPr>
        <w:t>bona</w:t>
      </w:r>
      <w:r>
        <w:rPr>
          <w:i/>
          <w:spacing w:val="10"/>
          <w:sz w:val="21"/>
        </w:rPr>
        <w:t> </w:t>
      </w:r>
      <w:r>
        <w:rPr>
          <w:i/>
          <w:spacing w:val="-4"/>
          <w:sz w:val="21"/>
        </w:rPr>
        <w:t>vacantia</w:t>
      </w:r>
      <w:r>
        <w:rPr>
          <w:spacing w:val="-4"/>
          <w:sz w:val="21"/>
        </w:rPr>
        <w:t>.</w:t>
      </w:r>
    </w:p>
    <w:p>
      <w:pPr>
        <w:pStyle w:val="BodyText"/>
        <w:spacing w:before="11"/>
        <w:rPr>
          <w:sz w:val="24"/>
        </w:rPr>
      </w:pPr>
    </w:p>
    <w:p>
      <w:pPr>
        <w:pStyle w:val="Heading5"/>
        <w:spacing w:before="1"/>
      </w:pPr>
      <w:r>
        <w:rPr>
          <w:w w:val="110"/>
        </w:rPr>
        <w:t>The partner’s share</w:t>
      </w:r>
    </w:p>
    <w:p>
      <w:pPr>
        <w:pStyle w:val="ListParagraph"/>
        <w:numPr>
          <w:ilvl w:val="0"/>
          <w:numId w:val="11"/>
        </w:numPr>
        <w:tabs>
          <w:tab w:pos="1928" w:val="left" w:leader="none"/>
        </w:tabs>
        <w:spacing w:line="242" w:lineRule="auto" w:before="137" w:after="0"/>
        <w:ind w:left="1927" w:right="1667" w:hanging="340"/>
        <w:jc w:val="left"/>
        <w:rPr>
          <w:sz w:val="21"/>
        </w:rPr>
      </w:pPr>
      <w:r>
        <w:rPr>
          <w:w w:val="105"/>
          <w:sz w:val="21"/>
        </w:rPr>
        <w:t>The</w:t>
      </w:r>
      <w:r>
        <w:rPr>
          <w:spacing w:val="-6"/>
          <w:w w:val="105"/>
          <w:sz w:val="21"/>
        </w:rPr>
        <w:t> </w:t>
      </w:r>
      <w:r>
        <w:rPr>
          <w:w w:val="105"/>
          <w:sz w:val="21"/>
        </w:rPr>
        <w:t>definition</w:t>
      </w:r>
      <w:r>
        <w:rPr>
          <w:spacing w:val="-5"/>
          <w:w w:val="105"/>
          <w:sz w:val="21"/>
        </w:rPr>
        <w:t> </w:t>
      </w:r>
      <w:r>
        <w:rPr>
          <w:w w:val="105"/>
          <w:sz w:val="21"/>
        </w:rPr>
        <w:t>of</w:t>
      </w:r>
      <w:r>
        <w:rPr>
          <w:spacing w:val="-5"/>
          <w:w w:val="105"/>
          <w:sz w:val="21"/>
        </w:rPr>
        <w:t> </w:t>
      </w:r>
      <w:r>
        <w:rPr>
          <w:w w:val="105"/>
          <w:sz w:val="21"/>
        </w:rPr>
        <w:t>partner</w:t>
      </w:r>
      <w:r>
        <w:rPr>
          <w:spacing w:val="-5"/>
          <w:w w:val="105"/>
          <w:sz w:val="21"/>
        </w:rPr>
        <w:t> </w:t>
      </w:r>
      <w:r>
        <w:rPr>
          <w:w w:val="105"/>
          <w:sz w:val="21"/>
        </w:rPr>
        <w:t>in</w:t>
      </w:r>
      <w:r>
        <w:rPr>
          <w:spacing w:val="-5"/>
          <w:w w:val="105"/>
          <w:sz w:val="21"/>
        </w:rPr>
        <w:t> </w:t>
      </w:r>
      <w:r>
        <w:rPr>
          <w:w w:val="105"/>
          <w:sz w:val="21"/>
        </w:rPr>
        <w:t>the</w:t>
      </w:r>
      <w:r>
        <w:rPr>
          <w:spacing w:val="-6"/>
          <w:w w:val="105"/>
          <w:sz w:val="21"/>
        </w:rPr>
        <w:t> </w:t>
      </w:r>
      <w:r>
        <w:rPr>
          <w:i/>
          <w:spacing w:val="-3"/>
          <w:w w:val="105"/>
          <w:sz w:val="21"/>
        </w:rPr>
        <w:t>Administration</w:t>
      </w:r>
      <w:r>
        <w:rPr>
          <w:i/>
          <w:spacing w:val="-5"/>
          <w:w w:val="105"/>
          <w:sz w:val="21"/>
        </w:rPr>
        <w:t> </w:t>
      </w:r>
      <w:r>
        <w:rPr>
          <w:i/>
          <w:w w:val="105"/>
          <w:sz w:val="21"/>
        </w:rPr>
        <w:t>and</w:t>
      </w:r>
      <w:r>
        <w:rPr>
          <w:i/>
          <w:spacing w:val="-5"/>
          <w:w w:val="105"/>
          <w:sz w:val="21"/>
        </w:rPr>
        <w:t> </w:t>
      </w:r>
      <w:r>
        <w:rPr>
          <w:i/>
          <w:w w:val="105"/>
          <w:sz w:val="21"/>
        </w:rPr>
        <w:t>Probate</w:t>
      </w:r>
      <w:r>
        <w:rPr>
          <w:i/>
          <w:spacing w:val="-5"/>
          <w:w w:val="105"/>
          <w:sz w:val="21"/>
        </w:rPr>
        <w:t> </w:t>
      </w:r>
      <w:r>
        <w:rPr>
          <w:i/>
          <w:w w:val="105"/>
          <w:sz w:val="21"/>
        </w:rPr>
        <w:t>Act</w:t>
      </w:r>
      <w:r>
        <w:rPr>
          <w:i/>
          <w:spacing w:val="-5"/>
          <w:w w:val="105"/>
          <w:sz w:val="21"/>
        </w:rPr>
        <w:t> </w:t>
      </w:r>
      <w:r>
        <w:rPr>
          <w:i/>
          <w:spacing w:val="-6"/>
          <w:w w:val="105"/>
          <w:sz w:val="21"/>
        </w:rPr>
        <w:t>1958</w:t>
      </w:r>
      <w:r>
        <w:rPr>
          <w:i/>
          <w:spacing w:val="-5"/>
          <w:w w:val="105"/>
          <w:sz w:val="21"/>
        </w:rPr>
        <w:t> </w:t>
      </w:r>
      <w:r>
        <w:rPr>
          <w:w w:val="105"/>
          <w:sz w:val="21"/>
        </w:rPr>
        <w:t>(Vic)</w:t>
      </w:r>
      <w:r>
        <w:rPr>
          <w:spacing w:val="-6"/>
          <w:w w:val="105"/>
          <w:sz w:val="21"/>
        </w:rPr>
        <w:t> </w:t>
      </w:r>
      <w:r>
        <w:rPr>
          <w:w w:val="105"/>
          <w:sz w:val="21"/>
        </w:rPr>
        <w:t>should</w:t>
      </w:r>
      <w:r>
        <w:rPr>
          <w:spacing w:val="-5"/>
          <w:w w:val="105"/>
          <w:sz w:val="21"/>
        </w:rPr>
        <w:t> </w:t>
      </w:r>
      <w:r>
        <w:rPr>
          <w:w w:val="105"/>
          <w:sz w:val="21"/>
        </w:rPr>
        <w:t>be</w:t>
      </w:r>
      <w:r>
        <w:rPr>
          <w:spacing w:val="-5"/>
          <w:w w:val="105"/>
          <w:sz w:val="21"/>
        </w:rPr>
        <w:t> </w:t>
      </w:r>
      <w:r>
        <w:rPr>
          <w:w w:val="105"/>
          <w:sz w:val="21"/>
        </w:rPr>
        <w:t>amended </w:t>
      </w:r>
      <w:r>
        <w:rPr>
          <w:spacing w:val="-3"/>
          <w:w w:val="105"/>
          <w:sz w:val="21"/>
        </w:rPr>
        <w:t>to include registered caring </w:t>
      </w:r>
      <w:r>
        <w:rPr>
          <w:w w:val="105"/>
          <w:sz w:val="21"/>
        </w:rPr>
        <w:t>partners, as defined in the </w:t>
      </w:r>
      <w:r>
        <w:rPr>
          <w:i/>
          <w:spacing w:val="-3"/>
          <w:w w:val="105"/>
          <w:sz w:val="21"/>
        </w:rPr>
        <w:t>Administration </w:t>
      </w:r>
      <w:r>
        <w:rPr>
          <w:i/>
          <w:w w:val="105"/>
          <w:sz w:val="21"/>
        </w:rPr>
        <w:t>and Probate Act </w:t>
      </w:r>
      <w:r>
        <w:rPr>
          <w:i/>
          <w:spacing w:val="-6"/>
          <w:w w:val="105"/>
          <w:sz w:val="21"/>
        </w:rPr>
        <w:t>1958 </w:t>
      </w:r>
      <w:r>
        <w:rPr>
          <w:w w:val="105"/>
          <w:sz w:val="21"/>
        </w:rPr>
        <w:t>(Vic) by </w:t>
      </w:r>
      <w:r>
        <w:rPr>
          <w:spacing w:val="-3"/>
          <w:w w:val="105"/>
          <w:sz w:val="21"/>
        </w:rPr>
        <w:t>reference to </w:t>
      </w:r>
      <w:r>
        <w:rPr>
          <w:w w:val="105"/>
          <w:sz w:val="21"/>
        </w:rPr>
        <w:t>the </w:t>
      </w:r>
      <w:r>
        <w:rPr>
          <w:i/>
          <w:spacing w:val="-3"/>
          <w:w w:val="105"/>
          <w:sz w:val="21"/>
        </w:rPr>
        <w:t>Relationships </w:t>
      </w:r>
      <w:r>
        <w:rPr>
          <w:i/>
          <w:w w:val="105"/>
          <w:sz w:val="21"/>
        </w:rPr>
        <w:t>Act 2008</w:t>
      </w:r>
      <w:r>
        <w:rPr>
          <w:i/>
          <w:spacing w:val="46"/>
          <w:w w:val="105"/>
          <w:sz w:val="21"/>
        </w:rPr>
        <w:t> </w:t>
      </w:r>
      <w:r>
        <w:rPr>
          <w:w w:val="105"/>
          <w:sz w:val="21"/>
        </w:rPr>
        <w:t>(Vic).</w:t>
      </w:r>
    </w:p>
    <w:p>
      <w:pPr>
        <w:pStyle w:val="ListParagraph"/>
        <w:numPr>
          <w:ilvl w:val="0"/>
          <w:numId w:val="11"/>
        </w:numPr>
        <w:tabs>
          <w:tab w:pos="1928" w:val="left" w:leader="none"/>
        </w:tabs>
        <w:spacing w:line="242" w:lineRule="auto" w:before="123" w:after="0"/>
        <w:ind w:left="1927" w:right="1701" w:hanging="340"/>
        <w:jc w:val="left"/>
        <w:rPr>
          <w:sz w:val="21"/>
        </w:rPr>
      </w:pPr>
      <w:r>
        <w:rPr>
          <w:spacing w:val="-2"/>
          <w:sz w:val="21"/>
        </w:rPr>
        <w:t>Registered </w:t>
      </w:r>
      <w:r>
        <w:rPr>
          <w:spacing w:val="-3"/>
          <w:sz w:val="21"/>
        </w:rPr>
        <w:t>caring </w:t>
      </w:r>
      <w:r>
        <w:rPr>
          <w:sz w:val="21"/>
        </w:rPr>
        <w:t>partners should be entitled </w:t>
      </w:r>
      <w:r>
        <w:rPr>
          <w:spacing w:val="-3"/>
          <w:sz w:val="21"/>
        </w:rPr>
        <w:t>to  inherit  </w:t>
      </w:r>
      <w:r>
        <w:rPr>
          <w:sz w:val="21"/>
        </w:rPr>
        <w:t>on intestacy in the same </w:t>
      </w:r>
      <w:r>
        <w:rPr>
          <w:spacing w:val="-3"/>
          <w:sz w:val="21"/>
        </w:rPr>
        <w:t>circumstances</w:t>
      </w:r>
      <w:r>
        <w:rPr>
          <w:spacing w:val="41"/>
          <w:sz w:val="21"/>
        </w:rPr>
        <w:t> </w:t>
      </w:r>
      <w:r>
        <w:rPr>
          <w:sz w:val="21"/>
        </w:rPr>
        <w:t>as spouses, </w:t>
      </w:r>
      <w:r>
        <w:rPr>
          <w:spacing w:val="-3"/>
          <w:sz w:val="21"/>
        </w:rPr>
        <w:t>registered </w:t>
      </w:r>
      <w:r>
        <w:rPr>
          <w:sz w:val="21"/>
        </w:rPr>
        <w:t>domestic partners and </w:t>
      </w:r>
      <w:r>
        <w:rPr>
          <w:spacing w:val="-3"/>
          <w:sz w:val="21"/>
        </w:rPr>
        <w:t>unregistered </w:t>
      </w:r>
      <w:r>
        <w:rPr>
          <w:sz w:val="21"/>
        </w:rPr>
        <w:t>domestic</w:t>
      </w:r>
      <w:r>
        <w:rPr>
          <w:spacing w:val="9"/>
          <w:sz w:val="21"/>
        </w:rPr>
        <w:t> </w:t>
      </w:r>
      <w:r>
        <w:rPr>
          <w:sz w:val="21"/>
        </w:rPr>
        <w:t>partners.</w:t>
      </w:r>
    </w:p>
    <w:p>
      <w:pPr>
        <w:pStyle w:val="ListParagraph"/>
        <w:numPr>
          <w:ilvl w:val="0"/>
          <w:numId w:val="11"/>
        </w:numPr>
        <w:tabs>
          <w:tab w:pos="1928" w:val="left" w:leader="none"/>
        </w:tabs>
        <w:spacing w:line="242" w:lineRule="auto" w:before="122" w:after="0"/>
        <w:ind w:left="1927" w:right="1659" w:hanging="340"/>
        <w:jc w:val="left"/>
        <w:rPr>
          <w:sz w:val="21"/>
        </w:rPr>
      </w:pPr>
      <w:r>
        <w:rPr>
          <w:sz w:val="21"/>
        </w:rPr>
        <w:t>Where the deceased person is survived by a partner and </w:t>
      </w:r>
      <w:r>
        <w:rPr>
          <w:spacing w:val="-3"/>
          <w:sz w:val="21"/>
        </w:rPr>
        <w:t>children  </w:t>
      </w:r>
      <w:r>
        <w:rPr>
          <w:sz w:val="21"/>
        </w:rPr>
        <w:t>or other issue who </w:t>
      </w:r>
      <w:r>
        <w:rPr>
          <w:spacing w:val="-3"/>
          <w:sz w:val="21"/>
        </w:rPr>
        <w:t>are   </w:t>
      </w:r>
      <w:r>
        <w:rPr>
          <w:sz w:val="21"/>
        </w:rPr>
        <w:t>entitled </w:t>
      </w:r>
      <w:r>
        <w:rPr>
          <w:spacing w:val="-3"/>
          <w:sz w:val="21"/>
        </w:rPr>
        <w:t>to </w:t>
      </w:r>
      <w:r>
        <w:rPr>
          <w:sz w:val="21"/>
        </w:rPr>
        <w:t>a </w:t>
      </w:r>
      <w:r>
        <w:rPr>
          <w:spacing w:val="-3"/>
          <w:sz w:val="21"/>
        </w:rPr>
        <w:t>share </w:t>
      </w:r>
      <w:r>
        <w:rPr>
          <w:sz w:val="21"/>
        </w:rPr>
        <w:t>on </w:t>
      </w:r>
      <w:r>
        <w:rPr>
          <w:spacing w:val="-3"/>
          <w:sz w:val="21"/>
        </w:rPr>
        <w:t>intestacy, </w:t>
      </w:r>
      <w:r>
        <w:rPr>
          <w:sz w:val="21"/>
        </w:rPr>
        <w:t>the deceased </w:t>
      </w:r>
      <w:r>
        <w:rPr>
          <w:spacing w:val="-3"/>
          <w:sz w:val="21"/>
        </w:rPr>
        <w:t>person’s </w:t>
      </w:r>
      <w:r>
        <w:rPr>
          <w:sz w:val="21"/>
        </w:rPr>
        <w:t>partner’s statutory legacy should be </w:t>
      </w:r>
      <w:r>
        <w:rPr>
          <w:spacing w:val="-3"/>
          <w:sz w:val="21"/>
        </w:rPr>
        <w:t>increased to </w:t>
      </w:r>
      <w:r>
        <w:rPr>
          <w:sz w:val="21"/>
        </w:rPr>
        <w:t>$350,000 and adjusted </w:t>
      </w:r>
      <w:r>
        <w:rPr>
          <w:spacing w:val="-3"/>
          <w:sz w:val="21"/>
        </w:rPr>
        <w:t>to </w:t>
      </w:r>
      <w:r>
        <w:rPr>
          <w:sz w:val="21"/>
        </w:rPr>
        <w:t>reflect </w:t>
      </w:r>
      <w:r>
        <w:rPr>
          <w:spacing w:val="-3"/>
          <w:sz w:val="21"/>
        </w:rPr>
        <w:t>changes </w:t>
      </w:r>
      <w:r>
        <w:rPr>
          <w:sz w:val="21"/>
        </w:rPr>
        <w:t>in the All </w:t>
      </w:r>
      <w:r>
        <w:rPr>
          <w:spacing w:val="-3"/>
          <w:sz w:val="21"/>
        </w:rPr>
        <w:t>Groups </w:t>
      </w:r>
      <w:r>
        <w:rPr>
          <w:spacing w:val="-4"/>
          <w:sz w:val="21"/>
        </w:rPr>
        <w:t>Consumer </w:t>
      </w:r>
      <w:r>
        <w:rPr>
          <w:sz w:val="21"/>
        </w:rPr>
        <w:t>Price Index number </w:t>
      </w:r>
      <w:r>
        <w:rPr>
          <w:spacing w:val="-3"/>
          <w:sz w:val="21"/>
        </w:rPr>
        <w:t>according to </w:t>
      </w:r>
      <w:r>
        <w:rPr>
          <w:sz w:val="21"/>
        </w:rPr>
        <w:t>the </w:t>
      </w:r>
      <w:r>
        <w:rPr>
          <w:spacing w:val="-3"/>
          <w:sz w:val="21"/>
        </w:rPr>
        <w:t>following</w:t>
      </w:r>
      <w:r>
        <w:rPr>
          <w:spacing w:val="9"/>
          <w:sz w:val="21"/>
        </w:rPr>
        <w:t> </w:t>
      </w:r>
      <w:r>
        <w:rPr>
          <w:sz w:val="21"/>
        </w:rPr>
        <w:t>formula:</w:t>
      </w:r>
    </w:p>
    <w:p>
      <w:pPr>
        <w:pStyle w:val="BodyText"/>
        <w:spacing w:before="125"/>
        <w:ind w:left="1927"/>
      </w:pPr>
      <w:r>
        <w:rPr>
          <w:w w:val="110"/>
        </w:rPr>
        <w:t>A = $350,000 x B/C, where</w:t>
      </w:r>
    </w:p>
    <w:p>
      <w:pPr>
        <w:pStyle w:val="ListParagraph"/>
        <w:numPr>
          <w:ilvl w:val="1"/>
          <w:numId w:val="11"/>
        </w:numPr>
        <w:tabs>
          <w:tab w:pos="2721" w:val="left" w:leader="none"/>
          <w:tab w:pos="2722" w:val="left" w:leader="none"/>
        </w:tabs>
        <w:spacing w:line="240" w:lineRule="auto" w:before="124" w:after="0"/>
        <w:ind w:left="2721" w:right="0" w:hanging="340"/>
        <w:jc w:val="left"/>
        <w:rPr>
          <w:sz w:val="21"/>
        </w:rPr>
      </w:pPr>
      <w:r>
        <w:rPr>
          <w:sz w:val="21"/>
        </w:rPr>
        <w:t>A represents the </w:t>
      </w:r>
      <w:r>
        <w:rPr>
          <w:spacing w:val="-4"/>
          <w:sz w:val="21"/>
        </w:rPr>
        <w:t>Consumer</w:t>
      </w:r>
      <w:r>
        <w:rPr>
          <w:spacing w:val="19"/>
          <w:sz w:val="21"/>
        </w:rPr>
        <w:t> </w:t>
      </w:r>
      <w:r>
        <w:rPr>
          <w:sz w:val="21"/>
        </w:rPr>
        <w:t>Price Index adjusted legacy</w:t>
      </w:r>
    </w:p>
    <w:p>
      <w:pPr>
        <w:pStyle w:val="ListParagraph"/>
        <w:numPr>
          <w:ilvl w:val="1"/>
          <w:numId w:val="11"/>
        </w:numPr>
        <w:tabs>
          <w:tab w:pos="2721" w:val="left" w:leader="none"/>
          <w:tab w:pos="2722" w:val="left" w:leader="none"/>
        </w:tabs>
        <w:spacing w:line="242" w:lineRule="auto" w:before="123" w:after="0"/>
        <w:ind w:left="2721" w:right="1754" w:hanging="340"/>
        <w:jc w:val="left"/>
        <w:rPr>
          <w:sz w:val="21"/>
        </w:rPr>
      </w:pPr>
      <w:r>
        <w:rPr>
          <w:sz w:val="21"/>
        </w:rPr>
        <w:t>B represents the All </w:t>
      </w:r>
      <w:r>
        <w:rPr>
          <w:spacing w:val="-3"/>
          <w:sz w:val="21"/>
        </w:rPr>
        <w:t>Groups </w:t>
      </w:r>
      <w:r>
        <w:rPr>
          <w:spacing w:val="-4"/>
          <w:sz w:val="21"/>
        </w:rPr>
        <w:t>Consumer </w:t>
      </w:r>
      <w:r>
        <w:rPr>
          <w:sz w:val="21"/>
        </w:rPr>
        <w:t>Price Index number </w:t>
      </w:r>
      <w:r>
        <w:rPr>
          <w:spacing w:val="-3"/>
          <w:sz w:val="21"/>
        </w:rPr>
        <w:t>for </w:t>
      </w:r>
      <w:r>
        <w:rPr>
          <w:sz w:val="21"/>
        </w:rPr>
        <w:t>the last quarter </w:t>
      </w:r>
      <w:r>
        <w:rPr>
          <w:spacing w:val="-3"/>
          <w:sz w:val="21"/>
        </w:rPr>
        <w:t>for  </w:t>
      </w:r>
      <w:r>
        <w:rPr>
          <w:sz w:val="21"/>
        </w:rPr>
        <w:t>which </w:t>
      </w:r>
      <w:r>
        <w:rPr>
          <w:spacing w:val="-3"/>
          <w:sz w:val="21"/>
        </w:rPr>
        <w:t>such </w:t>
      </w:r>
      <w:r>
        <w:rPr>
          <w:sz w:val="21"/>
        </w:rPr>
        <w:t>a number was </w:t>
      </w:r>
      <w:r>
        <w:rPr>
          <w:spacing w:val="-3"/>
          <w:sz w:val="21"/>
        </w:rPr>
        <w:t>published before </w:t>
      </w:r>
      <w:r>
        <w:rPr>
          <w:sz w:val="21"/>
        </w:rPr>
        <w:t>the </w:t>
      </w:r>
      <w:r>
        <w:rPr>
          <w:spacing w:val="-3"/>
          <w:sz w:val="21"/>
        </w:rPr>
        <w:t>date </w:t>
      </w:r>
      <w:r>
        <w:rPr>
          <w:sz w:val="21"/>
        </w:rPr>
        <w:t>of the deceased</w:t>
      </w:r>
      <w:r>
        <w:rPr>
          <w:spacing w:val="33"/>
          <w:sz w:val="21"/>
        </w:rPr>
        <w:t> </w:t>
      </w:r>
      <w:r>
        <w:rPr>
          <w:spacing w:val="-3"/>
          <w:sz w:val="21"/>
        </w:rPr>
        <w:t>person’s </w:t>
      </w:r>
      <w:r>
        <w:rPr>
          <w:sz w:val="21"/>
        </w:rPr>
        <w:t>death</w:t>
      </w:r>
    </w:p>
    <w:p>
      <w:pPr>
        <w:pStyle w:val="ListParagraph"/>
        <w:numPr>
          <w:ilvl w:val="1"/>
          <w:numId w:val="11"/>
        </w:numPr>
        <w:tabs>
          <w:tab w:pos="2721" w:val="left" w:leader="none"/>
          <w:tab w:pos="2722" w:val="left" w:leader="none"/>
        </w:tabs>
        <w:spacing w:line="242" w:lineRule="auto" w:before="123" w:after="0"/>
        <w:ind w:left="2721" w:right="1915" w:hanging="340"/>
        <w:jc w:val="left"/>
        <w:rPr>
          <w:sz w:val="21"/>
        </w:rPr>
      </w:pPr>
      <w:r>
        <w:rPr>
          <w:w w:val="105"/>
          <w:sz w:val="21"/>
        </w:rPr>
        <w:t>C</w:t>
      </w:r>
      <w:r>
        <w:rPr>
          <w:spacing w:val="-5"/>
          <w:w w:val="105"/>
          <w:sz w:val="21"/>
        </w:rPr>
        <w:t> </w:t>
      </w:r>
      <w:r>
        <w:rPr>
          <w:w w:val="105"/>
          <w:sz w:val="21"/>
        </w:rPr>
        <w:t>represents</w:t>
      </w:r>
      <w:r>
        <w:rPr>
          <w:spacing w:val="-4"/>
          <w:w w:val="105"/>
          <w:sz w:val="21"/>
        </w:rPr>
        <w:t> </w:t>
      </w:r>
      <w:r>
        <w:rPr>
          <w:w w:val="105"/>
          <w:sz w:val="21"/>
        </w:rPr>
        <w:t>the</w:t>
      </w:r>
      <w:r>
        <w:rPr>
          <w:spacing w:val="-4"/>
          <w:w w:val="105"/>
          <w:sz w:val="21"/>
        </w:rPr>
        <w:t> </w:t>
      </w:r>
      <w:r>
        <w:rPr>
          <w:w w:val="105"/>
          <w:sz w:val="21"/>
        </w:rPr>
        <w:t>All</w:t>
      </w:r>
      <w:r>
        <w:rPr>
          <w:spacing w:val="-4"/>
          <w:w w:val="105"/>
          <w:sz w:val="21"/>
        </w:rPr>
        <w:t> </w:t>
      </w:r>
      <w:r>
        <w:rPr>
          <w:spacing w:val="-3"/>
          <w:w w:val="105"/>
          <w:sz w:val="21"/>
        </w:rPr>
        <w:t>Groups</w:t>
      </w:r>
      <w:r>
        <w:rPr>
          <w:spacing w:val="-5"/>
          <w:w w:val="105"/>
          <w:sz w:val="21"/>
        </w:rPr>
        <w:t> </w:t>
      </w:r>
      <w:r>
        <w:rPr>
          <w:spacing w:val="-4"/>
          <w:w w:val="105"/>
          <w:sz w:val="21"/>
        </w:rPr>
        <w:t>Consumer </w:t>
      </w:r>
      <w:r>
        <w:rPr>
          <w:w w:val="105"/>
          <w:sz w:val="21"/>
        </w:rPr>
        <w:t>Price</w:t>
      </w:r>
      <w:r>
        <w:rPr>
          <w:spacing w:val="-4"/>
          <w:w w:val="105"/>
          <w:sz w:val="21"/>
        </w:rPr>
        <w:t> </w:t>
      </w:r>
      <w:r>
        <w:rPr>
          <w:w w:val="105"/>
          <w:sz w:val="21"/>
        </w:rPr>
        <w:t>Index</w:t>
      </w:r>
      <w:r>
        <w:rPr>
          <w:spacing w:val="-4"/>
          <w:w w:val="105"/>
          <w:sz w:val="21"/>
        </w:rPr>
        <w:t> </w:t>
      </w:r>
      <w:r>
        <w:rPr>
          <w:w w:val="105"/>
          <w:sz w:val="21"/>
        </w:rPr>
        <w:t>number</w:t>
      </w:r>
      <w:r>
        <w:rPr>
          <w:spacing w:val="-5"/>
          <w:w w:val="105"/>
          <w:sz w:val="21"/>
        </w:rPr>
        <w:t> </w:t>
      </w:r>
      <w:r>
        <w:rPr>
          <w:spacing w:val="-3"/>
          <w:w w:val="105"/>
          <w:sz w:val="21"/>
        </w:rPr>
        <w:t>for</w:t>
      </w:r>
      <w:r>
        <w:rPr>
          <w:spacing w:val="-4"/>
          <w:w w:val="105"/>
          <w:sz w:val="21"/>
        </w:rPr>
        <w:t> </w:t>
      </w:r>
      <w:r>
        <w:rPr>
          <w:w w:val="105"/>
          <w:sz w:val="21"/>
        </w:rPr>
        <w:t>the</w:t>
      </w:r>
      <w:r>
        <w:rPr>
          <w:spacing w:val="-4"/>
          <w:w w:val="105"/>
          <w:sz w:val="21"/>
        </w:rPr>
        <w:t> </w:t>
      </w:r>
      <w:r>
        <w:rPr>
          <w:w w:val="105"/>
          <w:sz w:val="21"/>
        </w:rPr>
        <w:t>December</w:t>
      </w:r>
      <w:r>
        <w:rPr>
          <w:spacing w:val="-4"/>
          <w:w w:val="105"/>
          <w:sz w:val="21"/>
        </w:rPr>
        <w:t> </w:t>
      </w:r>
      <w:r>
        <w:rPr>
          <w:w w:val="105"/>
          <w:sz w:val="21"/>
        </w:rPr>
        <w:t>2005 </w:t>
      </w:r>
      <w:r>
        <w:rPr>
          <w:spacing w:val="-4"/>
          <w:w w:val="105"/>
          <w:sz w:val="21"/>
        </w:rPr>
        <w:t>quarter.</w:t>
      </w:r>
    </w:p>
    <w:p>
      <w:pPr>
        <w:pStyle w:val="ListParagraph"/>
        <w:numPr>
          <w:ilvl w:val="0"/>
          <w:numId w:val="11"/>
        </w:numPr>
        <w:tabs>
          <w:tab w:pos="1928" w:val="left" w:leader="none"/>
        </w:tabs>
        <w:spacing w:line="242" w:lineRule="auto" w:before="122" w:after="0"/>
        <w:ind w:left="1927" w:right="2020" w:hanging="340"/>
        <w:jc w:val="left"/>
        <w:rPr>
          <w:sz w:val="21"/>
        </w:rPr>
      </w:pPr>
      <w:r>
        <w:rPr>
          <w:sz w:val="21"/>
        </w:rPr>
        <w:t>The </w:t>
      </w:r>
      <w:r>
        <w:rPr>
          <w:spacing w:val="-3"/>
          <w:sz w:val="21"/>
        </w:rPr>
        <w:t>Supreme Court </w:t>
      </w:r>
      <w:r>
        <w:rPr>
          <w:sz w:val="21"/>
        </w:rPr>
        <w:t>of Victoria should </w:t>
      </w:r>
      <w:r>
        <w:rPr>
          <w:spacing w:val="-3"/>
          <w:sz w:val="21"/>
        </w:rPr>
        <w:t>publish </w:t>
      </w:r>
      <w:r>
        <w:rPr>
          <w:sz w:val="21"/>
        </w:rPr>
        <w:t>the quarterly </w:t>
      </w:r>
      <w:r>
        <w:rPr>
          <w:spacing w:val="-4"/>
          <w:sz w:val="21"/>
        </w:rPr>
        <w:t>Consumer </w:t>
      </w:r>
      <w:r>
        <w:rPr>
          <w:sz w:val="21"/>
        </w:rPr>
        <w:t>Price Index adjusted statutory legacies on its</w:t>
      </w:r>
      <w:r>
        <w:rPr>
          <w:spacing w:val="33"/>
          <w:sz w:val="21"/>
        </w:rPr>
        <w:t> </w:t>
      </w:r>
      <w:r>
        <w:rPr>
          <w:spacing w:val="-3"/>
          <w:sz w:val="21"/>
        </w:rPr>
        <w:t>website.</w:t>
      </w:r>
    </w:p>
    <w:p>
      <w:pPr>
        <w:pStyle w:val="ListParagraph"/>
        <w:numPr>
          <w:ilvl w:val="0"/>
          <w:numId w:val="11"/>
        </w:numPr>
        <w:tabs>
          <w:tab w:pos="1928" w:val="left" w:leader="none"/>
        </w:tabs>
        <w:spacing w:line="242" w:lineRule="auto" w:before="122" w:after="0"/>
        <w:ind w:left="1927" w:right="1783" w:hanging="340"/>
        <w:jc w:val="left"/>
        <w:rPr>
          <w:sz w:val="21"/>
        </w:rPr>
      </w:pPr>
      <w:r>
        <w:rPr>
          <w:sz w:val="21"/>
        </w:rPr>
        <w:t>The deceased </w:t>
      </w:r>
      <w:r>
        <w:rPr>
          <w:spacing w:val="-3"/>
          <w:sz w:val="21"/>
        </w:rPr>
        <w:t>person’s </w:t>
      </w:r>
      <w:r>
        <w:rPr>
          <w:sz w:val="21"/>
        </w:rPr>
        <w:t>partner should be entitled </w:t>
      </w:r>
      <w:r>
        <w:rPr>
          <w:spacing w:val="-3"/>
          <w:sz w:val="21"/>
        </w:rPr>
        <w:t>to interest </w:t>
      </w:r>
      <w:r>
        <w:rPr>
          <w:sz w:val="21"/>
        </w:rPr>
        <w:t>on the statutory legacy </w:t>
      </w:r>
      <w:r>
        <w:rPr>
          <w:spacing w:val="-3"/>
          <w:sz w:val="21"/>
        </w:rPr>
        <w:t>to </w:t>
      </w:r>
      <w:r>
        <w:rPr>
          <w:sz w:val="21"/>
        </w:rPr>
        <w:t>which they </w:t>
      </w:r>
      <w:r>
        <w:rPr>
          <w:spacing w:val="-3"/>
          <w:sz w:val="21"/>
        </w:rPr>
        <w:t>are </w:t>
      </w:r>
      <w:r>
        <w:rPr>
          <w:sz w:val="21"/>
        </w:rPr>
        <w:t>entitled on </w:t>
      </w:r>
      <w:r>
        <w:rPr>
          <w:spacing w:val="-3"/>
          <w:sz w:val="21"/>
        </w:rPr>
        <w:t>intestacy, </w:t>
      </w:r>
      <w:r>
        <w:rPr>
          <w:sz w:val="21"/>
        </w:rPr>
        <w:t>or </w:t>
      </w:r>
      <w:r>
        <w:rPr>
          <w:spacing w:val="-3"/>
          <w:sz w:val="21"/>
        </w:rPr>
        <w:t>any </w:t>
      </w:r>
      <w:r>
        <w:rPr>
          <w:sz w:val="21"/>
        </w:rPr>
        <w:t>part </w:t>
      </w:r>
      <w:r>
        <w:rPr>
          <w:spacing w:val="-4"/>
          <w:sz w:val="21"/>
        </w:rPr>
        <w:t>thereof, </w:t>
      </w:r>
      <w:r>
        <w:rPr>
          <w:spacing w:val="-3"/>
          <w:sz w:val="21"/>
        </w:rPr>
        <w:t>that </w:t>
      </w:r>
      <w:r>
        <w:rPr>
          <w:sz w:val="21"/>
        </w:rPr>
        <w:t>is </w:t>
      </w:r>
      <w:r>
        <w:rPr>
          <w:spacing w:val="-2"/>
          <w:sz w:val="21"/>
        </w:rPr>
        <w:t>not </w:t>
      </w:r>
      <w:r>
        <w:rPr>
          <w:sz w:val="21"/>
        </w:rPr>
        <w:t>paid </w:t>
      </w:r>
      <w:r>
        <w:rPr>
          <w:spacing w:val="-3"/>
          <w:sz w:val="21"/>
        </w:rPr>
        <w:t>within </w:t>
      </w:r>
      <w:r>
        <w:rPr>
          <w:sz w:val="21"/>
        </w:rPr>
        <w:t>one </w:t>
      </w:r>
      <w:r>
        <w:rPr>
          <w:spacing w:val="-3"/>
          <w:sz w:val="21"/>
        </w:rPr>
        <w:t>year </w:t>
      </w:r>
      <w:r>
        <w:rPr>
          <w:sz w:val="21"/>
        </w:rPr>
        <w:t>after the deceased </w:t>
      </w:r>
      <w:r>
        <w:rPr>
          <w:spacing w:val="-3"/>
          <w:sz w:val="21"/>
        </w:rPr>
        <w:t>person’s</w:t>
      </w:r>
      <w:r>
        <w:rPr>
          <w:spacing w:val="17"/>
          <w:sz w:val="21"/>
        </w:rPr>
        <w:t> </w:t>
      </w:r>
      <w:r>
        <w:rPr>
          <w:spacing w:val="-3"/>
          <w:sz w:val="21"/>
        </w:rPr>
        <w:t>death.</w:t>
      </w:r>
    </w:p>
    <w:p>
      <w:pPr>
        <w:pStyle w:val="BodyText"/>
        <w:rPr>
          <w:sz w:val="20"/>
        </w:rPr>
      </w:pPr>
    </w:p>
    <w:p>
      <w:pPr>
        <w:pStyle w:val="BodyText"/>
        <w:spacing w:before="3"/>
        <w:rPr>
          <w:sz w:val="20"/>
        </w:rPr>
      </w:pPr>
    </w:p>
    <w:p>
      <w:pPr>
        <w:spacing w:before="99"/>
        <w:ind w:left="0" w:right="582" w:firstLine="0"/>
        <w:jc w:val="right"/>
        <w:rPr>
          <w:b/>
          <w:sz w:val="24"/>
        </w:rPr>
      </w:pPr>
      <w:r>
        <w:rPr>
          <w:b/>
          <w:color w:val="EC5A4F"/>
          <w:w w:val="115"/>
          <w:sz w:val="24"/>
        </w:rPr>
        <w:t>xxv</w:t>
      </w:r>
    </w:p>
    <w:p>
      <w:pPr>
        <w:spacing w:after="0"/>
        <w:jc w:val="right"/>
        <w:rPr>
          <w:sz w:val="24"/>
        </w:rPr>
        <w:sectPr>
          <w:pgSz w:w="11910" w:h="16840"/>
          <w:pgMar w:header="550" w:footer="0" w:top="1560" w:bottom="280" w:left="0" w:right="0"/>
        </w:sectPr>
      </w:pPr>
    </w:p>
    <w:p>
      <w:pPr>
        <w:pStyle w:val="BodyText"/>
        <w:spacing w:before="9"/>
        <w:rPr>
          <w:b/>
          <w:sz w:val="22"/>
        </w:rPr>
      </w:pPr>
    </w:p>
    <w:p>
      <w:pPr>
        <w:pStyle w:val="ListParagraph"/>
        <w:numPr>
          <w:ilvl w:val="0"/>
          <w:numId w:val="12"/>
        </w:numPr>
        <w:tabs>
          <w:tab w:pos="1928" w:val="left" w:leader="none"/>
        </w:tabs>
        <w:spacing w:line="242" w:lineRule="auto" w:before="92" w:after="0"/>
        <w:ind w:left="1927" w:right="1724" w:hanging="340"/>
        <w:jc w:val="left"/>
        <w:rPr>
          <w:sz w:val="21"/>
        </w:rPr>
      </w:pPr>
      <w:r>
        <w:rPr>
          <w:w w:val="105"/>
          <w:sz w:val="21"/>
        </w:rPr>
        <w:t>Interest on a statutory legacy </w:t>
      </w:r>
      <w:r>
        <w:rPr>
          <w:spacing w:val="-3"/>
          <w:w w:val="105"/>
          <w:sz w:val="21"/>
        </w:rPr>
        <w:t>to </w:t>
      </w:r>
      <w:r>
        <w:rPr>
          <w:w w:val="105"/>
          <w:sz w:val="21"/>
        </w:rPr>
        <w:t>which a deceased </w:t>
      </w:r>
      <w:r>
        <w:rPr>
          <w:spacing w:val="-3"/>
          <w:w w:val="105"/>
          <w:sz w:val="21"/>
        </w:rPr>
        <w:t>person’s </w:t>
      </w:r>
      <w:r>
        <w:rPr>
          <w:w w:val="105"/>
          <w:sz w:val="21"/>
        </w:rPr>
        <w:t>partner is entitled on intestacy should be </w:t>
      </w:r>
      <w:r>
        <w:rPr>
          <w:spacing w:val="-3"/>
          <w:w w:val="105"/>
          <w:sz w:val="21"/>
        </w:rPr>
        <w:t>calculated </w:t>
      </w:r>
      <w:r>
        <w:rPr>
          <w:w w:val="105"/>
          <w:sz w:val="21"/>
        </w:rPr>
        <w:t>between the first anniversary of the deceased </w:t>
      </w:r>
      <w:r>
        <w:rPr>
          <w:spacing w:val="-3"/>
          <w:w w:val="105"/>
          <w:sz w:val="21"/>
        </w:rPr>
        <w:t>person’s </w:t>
      </w:r>
      <w:r>
        <w:rPr>
          <w:w w:val="105"/>
          <w:sz w:val="21"/>
        </w:rPr>
        <w:t>death and the </w:t>
      </w:r>
      <w:r>
        <w:rPr>
          <w:spacing w:val="-3"/>
          <w:w w:val="105"/>
          <w:sz w:val="21"/>
        </w:rPr>
        <w:t>date </w:t>
      </w:r>
      <w:r>
        <w:rPr>
          <w:w w:val="105"/>
          <w:sz w:val="21"/>
        </w:rPr>
        <w:t>of payment of the legacy in </w:t>
      </w:r>
      <w:r>
        <w:rPr>
          <w:spacing w:val="-4"/>
          <w:w w:val="105"/>
          <w:sz w:val="21"/>
        </w:rPr>
        <w:t>full, </w:t>
      </w:r>
      <w:r>
        <w:rPr>
          <w:w w:val="105"/>
          <w:sz w:val="21"/>
        </w:rPr>
        <w:t>in </w:t>
      </w:r>
      <w:r>
        <w:rPr>
          <w:spacing w:val="-3"/>
          <w:w w:val="105"/>
          <w:sz w:val="21"/>
        </w:rPr>
        <w:t>accordance </w:t>
      </w:r>
      <w:r>
        <w:rPr>
          <w:w w:val="105"/>
          <w:sz w:val="21"/>
        </w:rPr>
        <w:t>with a </w:t>
      </w:r>
      <w:r>
        <w:rPr>
          <w:spacing w:val="-3"/>
          <w:w w:val="105"/>
          <w:sz w:val="21"/>
        </w:rPr>
        <w:t>rate that </w:t>
      </w:r>
      <w:r>
        <w:rPr>
          <w:w w:val="105"/>
          <w:sz w:val="21"/>
        </w:rPr>
        <w:t>is two per </w:t>
      </w:r>
      <w:r>
        <w:rPr>
          <w:spacing w:val="-3"/>
          <w:w w:val="105"/>
          <w:sz w:val="21"/>
        </w:rPr>
        <w:t>cent </w:t>
      </w:r>
      <w:r>
        <w:rPr>
          <w:w w:val="105"/>
          <w:sz w:val="21"/>
        </w:rPr>
        <w:t>above the cash</w:t>
      </w:r>
      <w:r>
        <w:rPr>
          <w:spacing w:val="-6"/>
          <w:w w:val="105"/>
          <w:sz w:val="21"/>
        </w:rPr>
        <w:t> </w:t>
      </w:r>
      <w:r>
        <w:rPr>
          <w:spacing w:val="-3"/>
          <w:w w:val="105"/>
          <w:sz w:val="21"/>
        </w:rPr>
        <w:t>rate</w:t>
      </w:r>
      <w:r>
        <w:rPr>
          <w:spacing w:val="-6"/>
          <w:w w:val="105"/>
          <w:sz w:val="21"/>
        </w:rPr>
        <w:t> </w:t>
      </w:r>
      <w:r>
        <w:rPr>
          <w:w w:val="105"/>
          <w:sz w:val="21"/>
        </w:rPr>
        <w:t>last</w:t>
      </w:r>
      <w:r>
        <w:rPr>
          <w:spacing w:val="-6"/>
          <w:w w:val="105"/>
          <w:sz w:val="21"/>
        </w:rPr>
        <w:t> </w:t>
      </w:r>
      <w:r>
        <w:rPr>
          <w:spacing w:val="-3"/>
          <w:w w:val="105"/>
          <w:sz w:val="21"/>
        </w:rPr>
        <w:t>published</w:t>
      </w:r>
      <w:r>
        <w:rPr>
          <w:spacing w:val="-6"/>
          <w:w w:val="105"/>
          <w:sz w:val="21"/>
        </w:rPr>
        <w:t> </w:t>
      </w:r>
      <w:r>
        <w:rPr>
          <w:w w:val="105"/>
          <w:sz w:val="21"/>
        </w:rPr>
        <w:t>by</w:t>
      </w:r>
      <w:r>
        <w:rPr>
          <w:spacing w:val="-5"/>
          <w:w w:val="105"/>
          <w:sz w:val="21"/>
        </w:rPr>
        <w:t> </w:t>
      </w:r>
      <w:r>
        <w:rPr>
          <w:w w:val="105"/>
          <w:sz w:val="21"/>
        </w:rPr>
        <w:t>the</w:t>
      </w:r>
      <w:r>
        <w:rPr>
          <w:spacing w:val="-6"/>
          <w:w w:val="105"/>
          <w:sz w:val="21"/>
        </w:rPr>
        <w:t> </w:t>
      </w:r>
      <w:r>
        <w:rPr>
          <w:w w:val="105"/>
          <w:sz w:val="21"/>
        </w:rPr>
        <w:t>Reserve</w:t>
      </w:r>
      <w:r>
        <w:rPr>
          <w:spacing w:val="-6"/>
          <w:w w:val="105"/>
          <w:sz w:val="21"/>
        </w:rPr>
        <w:t> </w:t>
      </w:r>
      <w:r>
        <w:rPr>
          <w:w w:val="105"/>
          <w:sz w:val="21"/>
        </w:rPr>
        <w:t>Bank</w:t>
      </w:r>
      <w:r>
        <w:rPr>
          <w:spacing w:val="-6"/>
          <w:w w:val="105"/>
          <w:sz w:val="21"/>
        </w:rPr>
        <w:t> </w:t>
      </w:r>
      <w:r>
        <w:rPr>
          <w:w w:val="105"/>
          <w:sz w:val="21"/>
        </w:rPr>
        <w:t>of</w:t>
      </w:r>
      <w:r>
        <w:rPr>
          <w:spacing w:val="-6"/>
          <w:w w:val="105"/>
          <w:sz w:val="21"/>
        </w:rPr>
        <w:t> </w:t>
      </w:r>
      <w:r>
        <w:rPr>
          <w:spacing w:val="-3"/>
          <w:w w:val="105"/>
          <w:sz w:val="21"/>
        </w:rPr>
        <w:t>Australia</w:t>
      </w:r>
      <w:r>
        <w:rPr>
          <w:spacing w:val="-5"/>
          <w:w w:val="105"/>
          <w:sz w:val="21"/>
        </w:rPr>
        <w:t> </w:t>
      </w:r>
      <w:r>
        <w:rPr>
          <w:spacing w:val="-3"/>
          <w:w w:val="105"/>
          <w:sz w:val="21"/>
        </w:rPr>
        <w:t>before</w:t>
      </w:r>
      <w:r>
        <w:rPr>
          <w:spacing w:val="-6"/>
          <w:w w:val="105"/>
          <w:sz w:val="21"/>
        </w:rPr>
        <w:t> </w:t>
      </w:r>
      <w:r>
        <w:rPr>
          <w:w w:val="105"/>
          <w:sz w:val="21"/>
        </w:rPr>
        <w:t>1</w:t>
      </w:r>
      <w:r>
        <w:rPr>
          <w:spacing w:val="-6"/>
          <w:w w:val="105"/>
          <w:sz w:val="21"/>
        </w:rPr>
        <w:t> </w:t>
      </w:r>
      <w:r>
        <w:rPr>
          <w:w w:val="105"/>
          <w:sz w:val="21"/>
        </w:rPr>
        <w:t>January</w:t>
      </w:r>
      <w:r>
        <w:rPr>
          <w:spacing w:val="-6"/>
          <w:w w:val="105"/>
          <w:sz w:val="21"/>
        </w:rPr>
        <w:t> </w:t>
      </w:r>
      <w:r>
        <w:rPr>
          <w:w w:val="105"/>
          <w:sz w:val="21"/>
        </w:rPr>
        <w:t>in</w:t>
      </w:r>
      <w:r>
        <w:rPr>
          <w:spacing w:val="-5"/>
          <w:w w:val="105"/>
          <w:sz w:val="21"/>
        </w:rPr>
        <w:t> </w:t>
      </w:r>
      <w:r>
        <w:rPr>
          <w:w w:val="105"/>
          <w:sz w:val="21"/>
        </w:rPr>
        <w:t>the</w:t>
      </w:r>
      <w:r>
        <w:rPr>
          <w:spacing w:val="-6"/>
          <w:w w:val="105"/>
          <w:sz w:val="21"/>
        </w:rPr>
        <w:t> </w:t>
      </w:r>
      <w:r>
        <w:rPr>
          <w:spacing w:val="-3"/>
          <w:w w:val="105"/>
          <w:sz w:val="21"/>
        </w:rPr>
        <w:t>calendar</w:t>
      </w:r>
      <w:r>
        <w:rPr>
          <w:spacing w:val="-6"/>
          <w:w w:val="105"/>
          <w:sz w:val="21"/>
        </w:rPr>
        <w:t> </w:t>
      </w:r>
      <w:r>
        <w:rPr>
          <w:spacing w:val="-3"/>
          <w:w w:val="105"/>
          <w:sz w:val="21"/>
        </w:rPr>
        <w:t>year </w:t>
      </w:r>
      <w:r>
        <w:rPr>
          <w:w w:val="105"/>
          <w:sz w:val="21"/>
        </w:rPr>
        <w:t>in which </w:t>
      </w:r>
      <w:r>
        <w:rPr>
          <w:spacing w:val="-3"/>
          <w:w w:val="105"/>
          <w:sz w:val="21"/>
        </w:rPr>
        <w:t>interest </w:t>
      </w:r>
      <w:r>
        <w:rPr>
          <w:spacing w:val="-2"/>
          <w:w w:val="105"/>
          <w:sz w:val="21"/>
        </w:rPr>
        <w:t>begins </w:t>
      </w:r>
      <w:r>
        <w:rPr>
          <w:spacing w:val="-3"/>
          <w:w w:val="105"/>
          <w:sz w:val="21"/>
        </w:rPr>
        <w:t>to</w:t>
      </w:r>
      <w:r>
        <w:rPr>
          <w:spacing w:val="30"/>
          <w:w w:val="105"/>
          <w:sz w:val="21"/>
        </w:rPr>
        <w:t> </w:t>
      </w:r>
      <w:r>
        <w:rPr>
          <w:spacing w:val="-3"/>
          <w:w w:val="105"/>
          <w:sz w:val="21"/>
        </w:rPr>
        <w:t>accrue.</w:t>
      </w:r>
    </w:p>
    <w:p>
      <w:pPr>
        <w:pStyle w:val="ListParagraph"/>
        <w:numPr>
          <w:ilvl w:val="0"/>
          <w:numId w:val="12"/>
        </w:numPr>
        <w:tabs>
          <w:tab w:pos="1928" w:val="left" w:leader="none"/>
        </w:tabs>
        <w:spacing w:line="242" w:lineRule="auto" w:before="125" w:after="0"/>
        <w:ind w:left="1927" w:right="2004" w:hanging="340"/>
        <w:jc w:val="left"/>
        <w:rPr>
          <w:sz w:val="21"/>
        </w:rPr>
      </w:pPr>
      <w:r>
        <w:rPr>
          <w:sz w:val="21"/>
        </w:rPr>
        <w:t>Where the deceased person is survived by a partner and </w:t>
      </w:r>
      <w:r>
        <w:rPr>
          <w:spacing w:val="-3"/>
          <w:sz w:val="21"/>
        </w:rPr>
        <w:t>children </w:t>
      </w:r>
      <w:r>
        <w:rPr>
          <w:sz w:val="21"/>
        </w:rPr>
        <w:t>or other issue who </w:t>
      </w:r>
      <w:r>
        <w:rPr>
          <w:spacing w:val="-3"/>
          <w:sz w:val="21"/>
        </w:rPr>
        <w:t>are </w:t>
      </w:r>
      <w:r>
        <w:rPr>
          <w:sz w:val="21"/>
        </w:rPr>
        <w:t>entitled </w:t>
      </w:r>
      <w:r>
        <w:rPr>
          <w:spacing w:val="-3"/>
          <w:sz w:val="21"/>
        </w:rPr>
        <w:t>to </w:t>
      </w:r>
      <w:r>
        <w:rPr>
          <w:sz w:val="21"/>
        </w:rPr>
        <w:t>a </w:t>
      </w:r>
      <w:r>
        <w:rPr>
          <w:spacing w:val="-3"/>
          <w:sz w:val="21"/>
        </w:rPr>
        <w:t>share </w:t>
      </w:r>
      <w:r>
        <w:rPr>
          <w:sz w:val="21"/>
        </w:rPr>
        <w:t>on </w:t>
      </w:r>
      <w:r>
        <w:rPr>
          <w:spacing w:val="-3"/>
          <w:sz w:val="21"/>
        </w:rPr>
        <w:t>intestacy, </w:t>
      </w:r>
      <w:r>
        <w:rPr>
          <w:sz w:val="21"/>
        </w:rPr>
        <w:t>the partner’s </w:t>
      </w:r>
      <w:r>
        <w:rPr>
          <w:spacing w:val="-3"/>
          <w:sz w:val="21"/>
        </w:rPr>
        <w:t>share </w:t>
      </w:r>
      <w:r>
        <w:rPr>
          <w:sz w:val="21"/>
        </w:rPr>
        <w:t>of the </w:t>
      </w:r>
      <w:r>
        <w:rPr>
          <w:spacing w:val="-3"/>
          <w:sz w:val="21"/>
        </w:rPr>
        <w:t>remainder </w:t>
      </w:r>
      <w:r>
        <w:rPr>
          <w:sz w:val="21"/>
        </w:rPr>
        <w:t>of the </w:t>
      </w:r>
      <w:r>
        <w:rPr>
          <w:spacing w:val="-3"/>
          <w:sz w:val="21"/>
        </w:rPr>
        <w:t>intestate </w:t>
      </w:r>
      <w:r>
        <w:rPr>
          <w:sz w:val="21"/>
        </w:rPr>
        <w:t>estate should be </w:t>
      </w:r>
      <w:r>
        <w:rPr>
          <w:spacing w:val="-3"/>
          <w:sz w:val="21"/>
        </w:rPr>
        <w:t>increased to </w:t>
      </w:r>
      <w:r>
        <w:rPr>
          <w:sz w:val="21"/>
        </w:rPr>
        <w:t>one</w:t>
      </w:r>
      <w:r>
        <w:rPr>
          <w:spacing w:val="2"/>
          <w:sz w:val="21"/>
        </w:rPr>
        <w:t> </w:t>
      </w:r>
      <w:r>
        <w:rPr>
          <w:spacing w:val="-5"/>
          <w:sz w:val="21"/>
        </w:rPr>
        <w:t>half.</w:t>
      </w:r>
    </w:p>
    <w:p>
      <w:pPr>
        <w:pStyle w:val="BodyText"/>
        <w:spacing w:before="11"/>
        <w:rPr>
          <w:sz w:val="16"/>
        </w:rPr>
      </w:pPr>
    </w:p>
    <w:p>
      <w:pPr>
        <w:pStyle w:val="Heading5"/>
        <w:spacing w:before="99"/>
      </w:pPr>
      <w:r>
        <w:rPr>
          <w:w w:val="110"/>
        </w:rPr>
        <w:t>The partner’s right to elect to acquire an interest in certain property</w:t>
      </w:r>
    </w:p>
    <w:p>
      <w:pPr>
        <w:pStyle w:val="ListParagraph"/>
        <w:numPr>
          <w:ilvl w:val="0"/>
          <w:numId w:val="12"/>
        </w:numPr>
        <w:tabs>
          <w:tab w:pos="1928" w:val="left" w:leader="none"/>
        </w:tabs>
        <w:spacing w:line="242" w:lineRule="auto" w:before="137" w:after="0"/>
        <w:ind w:left="1927" w:right="2336" w:hanging="340"/>
        <w:jc w:val="left"/>
        <w:rPr>
          <w:sz w:val="21"/>
        </w:rPr>
      </w:pPr>
      <w:r>
        <w:rPr>
          <w:sz w:val="21"/>
        </w:rPr>
        <w:t>The deceased </w:t>
      </w:r>
      <w:r>
        <w:rPr>
          <w:spacing w:val="-3"/>
          <w:sz w:val="21"/>
        </w:rPr>
        <w:t>person’s </w:t>
      </w:r>
      <w:r>
        <w:rPr>
          <w:sz w:val="21"/>
        </w:rPr>
        <w:t>partner should </w:t>
      </w:r>
      <w:r>
        <w:rPr>
          <w:spacing w:val="-3"/>
          <w:sz w:val="21"/>
        </w:rPr>
        <w:t>have </w:t>
      </w:r>
      <w:r>
        <w:rPr>
          <w:sz w:val="21"/>
        </w:rPr>
        <w:t>a </w:t>
      </w:r>
      <w:r>
        <w:rPr>
          <w:spacing w:val="-3"/>
          <w:sz w:val="21"/>
        </w:rPr>
        <w:t>right to </w:t>
      </w:r>
      <w:r>
        <w:rPr>
          <w:sz w:val="21"/>
        </w:rPr>
        <w:t>elect </w:t>
      </w:r>
      <w:r>
        <w:rPr>
          <w:spacing w:val="-3"/>
          <w:sz w:val="21"/>
        </w:rPr>
        <w:t>to acquire </w:t>
      </w:r>
      <w:r>
        <w:rPr>
          <w:sz w:val="21"/>
        </w:rPr>
        <w:t>an </w:t>
      </w:r>
      <w:r>
        <w:rPr>
          <w:spacing w:val="-3"/>
          <w:sz w:val="21"/>
        </w:rPr>
        <w:t>interest </w:t>
      </w:r>
      <w:r>
        <w:rPr>
          <w:sz w:val="21"/>
        </w:rPr>
        <w:t>in </w:t>
      </w:r>
      <w:r>
        <w:rPr>
          <w:spacing w:val="-3"/>
          <w:sz w:val="21"/>
        </w:rPr>
        <w:t>any </w:t>
      </w:r>
      <w:r>
        <w:rPr>
          <w:sz w:val="21"/>
        </w:rPr>
        <w:t>property in the </w:t>
      </w:r>
      <w:r>
        <w:rPr>
          <w:spacing w:val="-3"/>
          <w:sz w:val="21"/>
        </w:rPr>
        <w:t>intestate </w:t>
      </w:r>
      <w:r>
        <w:rPr>
          <w:sz w:val="21"/>
        </w:rPr>
        <w:t>estate on</w:t>
      </w:r>
      <w:r>
        <w:rPr>
          <w:spacing w:val="8"/>
          <w:sz w:val="21"/>
        </w:rPr>
        <w:t> </w:t>
      </w:r>
      <w:r>
        <w:rPr>
          <w:spacing w:val="-3"/>
          <w:sz w:val="21"/>
        </w:rPr>
        <w:t>intestacy.</w:t>
      </w:r>
    </w:p>
    <w:p>
      <w:pPr>
        <w:pStyle w:val="ListParagraph"/>
        <w:numPr>
          <w:ilvl w:val="0"/>
          <w:numId w:val="12"/>
        </w:numPr>
        <w:tabs>
          <w:tab w:pos="1928" w:val="left" w:leader="none"/>
        </w:tabs>
        <w:spacing w:line="242" w:lineRule="auto" w:before="122" w:after="0"/>
        <w:ind w:left="1927" w:right="2005" w:hanging="340"/>
        <w:jc w:val="left"/>
        <w:rPr>
          <w:sz w:val="21"/>
        </w:rPr>
      </w:pPr>
      <w:r>
        <w:rPr>
          <w:sz w:val="21"/>
        </w:rPr>
        <w:t>If the deceased </w:t>
      </w:r>
      <w:r>
        <w:rPr>
          <w:spacing w:val="-3"/>
          <w:sz w:val="21"/>
        </w:rPr>
        <w:t>person’s </w:t>
      </w:r>
      <w:r>
        <w:rPr>
          <w:sz w:val="21"/>
        </w:rPr>
        <w:t>partner elects </w:t>
      </w:r>
      <w:r>
        <w:rPr>
          <w:spacing w:val="-3"/>
          <w:sz w:val="21"/>
        </w:rPr>
        <w:t>to acquire </w:t>
      </w:r>
      <w:r>
        <w:rPr>
          <w:sz w:val="21"/>
        </w:rPr>
        <w:t>an </w:t>
      </w:r>
      <w:r>
        <w:rPr>
          <w:spacing w:val="-3"/>
          <w:sz w:val="21"/>
        </w:rPr>
        <w:t>interest </w:t>
      </w:r>
      <w:r>
        <w:rPr>
          <w:sz w:val="21"/>
        </w:rPr>
        <w:t>in property </w:t>
      </w:r>
      <w:r>
        <w:rPr>
          <w:spacing w:val="-3"/>
          <w:sz w:val="21"/>
        </w:rPr>
        <w:t>from </w:t>
      </w:r>
      <w:r>
        <w:rPr>
          <w:sz w:val="21"/>
        </w:rPr>
        <w:t>the </w:t>
      </w:r>
      <w:r>
        <w:rPr>
          <w:spacing w:val="-3"/>
          <w:sz w:val="21"/>
        </w:rPr>
        <w:t>intestate estate,</w:t>
      </w:r>
      <w:r>
        <w:rPr>
          <w:spacing w:val="8"/>
          <w:sz w:val="21"/>
        </w:rPr>
        <w:t> </w:t>
      </w:r>
      <w:r>
        <w:rPr>
          <w:sz w:val="21"/>
        </w:rPr>
        <w:t>they</w:t>
      </w:r>
      <w:r>
        <w:rPr>
          <w:spacing w:val="9"/>
          <w:sz w:val="21"/>
        </w:rPr>
        <w:t> </w:t>
      </w:r>
      <w:r>
        <w:rPr>
          <w:sz w:val="21"/>
        </w:rPr>
        <w:t>should</w:t>
      </w:r>
      <w:r>
        <w:rPr>
          <w:spacing w:val="8"/>
          <w:sz w:val="21"/>
        </w:rPr>
        <w:t> </w:t>
      </w:r>
      <w:r>
        <w:rPr>
          <w:sz w:val="21"/>
        </w:rPr>
        <w:t>satisfy</w:t>
      </w:r>
      <w:r>
        <w:rPr>
          <w:spacing w:val="9"/>
          <w:sz w:val="21"/>
        </w:rPr>
        <w:t> </w:t>
      </w:r>
      <w:r>
        <w:rPr>
          <w:sz w:val="21"/>
        </w:rPr>
        <w:t>the</w:t>
      </w:r>
      <w:r>
        <w:rPr>
          <w:spacing w:val="8"/>
          <w:sz w:val="21"/>
        </w:rPr>
        <w:t> </w:t>
      </w:r>
      <w:r>
        <w:rPr>
          <w:sz w:val="21"/>
        </w:rPr>
        <w:t>price</w:t>
      </w:r>
      <w:r>
        <w:rPr>
          <w:spacing w:val="9"/>
          <w:sz w:val="21"/>
        </w:rPr>
        <w:t> </w:t>
      </w:r>
      <w:r>
        <w:rPr>
          <w:sz w:val="21"/>
        </w:rPr>
        <w:t>of</w:t>
      </w:r>
      <w:r>
        <w:rPr>
          <w:spacing w:val="9"/>
          <w:sz w:val="21"/>
        </w:rPr>
        <w:t> </w:t>
      </w:r>
      <w:r>
        <w:rPr>
          <w:sz w:val="21"/>
        </w:rPr>
        <w:t>this</w:t>
      </w:r>
      <w:r>
        <w:rPr>
          <w:spacing w:val="8"/>
          <w:sz w:val="21"/>
        </w:rPr>
        <w:t> </w:t>
      </w:r>
      <w:r>
        <w:rPr>
          <w:spacing w:val="-3"/>
          <w:sz w:val="21"/>
        </w:rPr>
        <w:t>interest:</w:t>
      </w:r>
    </w:p>
    <w:p>
      <w:pPr>
        <w:pStyle w:val="ListParagraph"/>
        <w:numPr>
          <w:ilvl w:val="1"/>
          <w:numId w:val="12"/>
        </w:numPr>
        <w:tabs>
          <w:tab w:pos="3028" w:val="left" w:leader="none"/>
        </w:tabs>
        <w:spacing w:line="242" w:lineRule="auto" w:before="122" w:after="0"/>
        <w:ind w:left="3027" w:right="1957" w:hanging="306"/>
        <w:jc w:val="left"/>
        <w:rPr>
          <w:sz w:val="21"/>
        </w:rPr>
      </w:pPr>
      <w:r>
        <w:rPr>
          <w:sz w:val="21"/>
        </w:rPr>
        <w:t>first </w:t>
      </w:r>
      <w:r>
        <w:rPr>
          <w:spacing w:val="-3"/>
          <w:sz w:val="21"/>
        </w:rPr>
        <w:t>from </w:t>
      </w:r>
      <w:r>
        <w:rPr>
          <w:sz w:val="21"/>
        </w:rPr>
        <w:t>money </w:t>
      </w:r>
      <w:r>
        <w:rPr>
          <w:spacing w:val="-3"/>
          <w:sz w:val="21"/>
        </w:rPr>
        <w:t>to  </w:t>
      </w:r>
      <w:r>
        <w:rPr>
          <w:sz w:val="21"/>
        </w:rPr>
        <w:t>which the partner is entitled </w:t>
      </w:r>
      <w:r>
        <w:rPr>
          <w:spacing w:val="-3"/>
          <w:sz w:val="21"/>
        </w:rPr>
        <w:t>from</w:t>
      </w:r>
      <w:r>
        <w:rPr>
          <w:spacing w:val="41"/>
          <w:sz w:val="21"/>
        </w:rPr>
        <w:t> </w:t>
      </w:r>
      <w:r>
        <w:rPr>
          <w:sz w:val="21"/>
        </w:rPr>
        <w:t>the </w:t>
      </w:r>
      <w:r>
        <w:rPr>
          <w:spacing w:val="-3"/>
          <w:sz w:val="21"/>
        </w:rPr>
        <w:t>intestate  </w:t>
      </w:r>
      <w:r>
        <w:rPr>
          <w:sz w:val="21"/>
        </w:rPr>
        <w:t>estate </w:t>
      </w:r>
      <w:r>
        <w:rPr>
          <w:spacing w:val="-3"/>
          <w:sz w:val="21"/>
        </w:rPr>
        <w:t>and, </w:t>
      </w:r>
      <w:r>
        <w:rPr>
          <w:sz w:val="21"/>
        </w:rPr>
        <w:t>if </w:t>
      </w:r>
      <w:r>
        <w:rPr>
          <w:spacing w:val="-3"/>
          <w:sz w:val="21"/>
        </w:rPr>
        <w:t>that </w:t>
      </w:r>
      <w:r>
        <w:rPr>
          <w:sz w:val="21"/>
        </w:rPr>
        <w:t>is</w:t>
      </w:r>
      <w:r>
        <w:rPr>
          <w:spacing w:val="27"/>
          <w:sz w:val="21"/>
        </w:rPr>
        <w:t> </w:t>
      </w:r>
      <w:r>
        <w:rPr>
          <w:sz w:val="21"/>
        </w:rPr>
        <w:t>insufficient,</w:t>
      </w:r>
    </w:p>
    <w:p>
      <w:pPr>
        <w:pStyle w:val="ListParagraph"/>
        <w:numPr>
          <w:ilvl w:val="1"/>
          <w:numId w:val="12"/>
        </w:numPr>
        <w:tabs>
          <w:tab w:pos="3028" w:val="left" w:leader="none"/>
        </w:tabs>
        <w:spacing w:line="240" w:lineRule="auto" w:before="123" w:after="0"/>
        <w:ind w:left="3027" w:right="0" w:hanging="306"/>
        <w:jc w:val="left"/>
        <w:rPr>
          <w:sz w:val="21"/>
        </w:rPr>
      </w:pPr>
      <w:r>
        <w:rPr>
          <w:spacing w:val="-3"/>
          <w:sz w:val="21"/>
        </w:rPr>
        <w:t>from</w:t>
      </w:r>
      <w:r>
        <w:rPr>
          <w:spacing w:val="9"/>
          <w:sz w:val="21"/>
        </w:rPr>
        <w:t> </w:t>
      </w:r>
      <w:r>
        <w:rPr>
          <w:spacing w:val="-3"/>
          <w:sz w:val="21"/>
        </w:rPr>
        <w:t>money</w:t>
      </w:r>
      <w:r>
        <w:rPr>
          <w:spacing w:val="9"/>
          <w:sz w:val="21"/>
        </w:rPr>
        <w:t> </w:t>
      </w:r>
      <w:r>
        <w:rPr>
          <w:spacing w:val="-3"/>
          <w:sz w:val="21"/>
        </w:rPr>
        <w:t>paid</w:t>
      </w:r>
      <w:r>
        <w:rPr>
          <w:spacing w:val="9"/>
          <w:sz w:val="21"/>
        </w:rPr>
        <w:t> </w:t>
      </w:r>
      <w:r>
        <w:rPr>
          <w:spacing w:val="-3"/>
          <w:sz w:val="21"/>
        </w:rPr>
        <w:t>by</w:t>
      </w:r>
      <w:r>
        <w:rPr>
          <w:spacing w:val="9"/>
          <w:sz w:val="21"/>
        </w:rPr>
        <w:t> </w:t>
      </w:r>
      <w:r>
        <w:rPr>
          <w:sz w:val="21"/>
        </w:rPr>
        <w:t>the</w:t>
      </w:r>
      <w:r>
        <w:rPr>
          <w:spacing w:val="9"/>
          <w:sz w:val="21"/>
        </w:rPr>
        <w:t> </w:t>
      </w:r>
      <w:r>
        <w:rPr>
          <w:sz w:val="21"/>
        </w:rPr>
        <w:t>partner</w:t>
      </w:r>
      <w:r>
        <w:rPr>
          <w:spacing w:val="9"/>
          <w:sz w:val="21"/>
        </w:rPr>
        <w:t> </w:t>
      </w:r>
      <w:r>
        <w:rPr>
          <w:spacing w:val="-3"/>
          <w:sz w:val="21"/>
        </w:rPr>
        <w:t>to</w:t>
      </w:r>
      <w:r>
        <w:rPr>
          <w:spacing w:val="9"/>
          <w:sz w:val="21"/>
        </w:rPr>
        <w:t> </w:t>
      </w:r>
      <w:r>
        <w:rPr>
          <w:sz w:val="21"/>
        </w:rPr>
        <w:t>the</w:t>
      </w:r>
      <w:r>
        <w:rPr>
          <w:spacing w:val="9"/>
          <w:sz w:val="21"/>
        </w:rPr>
        <w:t> </w:t>
      </w:r>
      <w:r>
        <w:rPr>
          <w:spacing w:val="-3"/>
          <w:sz w:val="21"/>
        </w:rPr>
        <w:t>estate</w:t>
      </w:r>
      <w:r>
        <w:rPr>
          <w:spacing w:val="9"/>
          <w:sz w:val="21"/>
        </w:rPr>
        <w:t> </w:t>
      </w:r>
      <w:r>
        <w:rPr>
          <w:sz w:val="21"/>
        </w:rPr>
        <w:t>on</w:t>
      </w:r>
      <w:r>
        <w:rPr>
          <w:spacing w:val="9"/>
          <w:sz w:val="21"/>
        </w:rPr>
        <w:t> </w:t>
      </w:r>
      <w:r>
        <w:rPr>
          <w:sz w:val="21"/>
        </w:rPr>
        <w:t>or</w:t>
      </w:r>
      <w:r>
        <w:rPr>
          <w:spacing w:val="9"/>
          <w:sz w:val="21"/>
        </w:rPr>
        <w:t> </w:t>
      </w:r>
      <w:r>
        <w:rPr>
          <w:spacing w:val="-3"/>
          <w:sz w:val="21"/>
        </w:rPr>
        <w:t>before</w:t>
      </w:r>
      <w:r>
        <w:rPr>
          <w:spacing w:val="8"/>
          <w:sz w:val="21"/>
        </w:rPr>
        <w:t> </w:t>
      </w:r>
      <w:r>
        <w:rPr>
          <w:sz w:val="21"/>
        </w:rPr>
        <w:t>the</w:t>
      </w:r>
      <w:r>
        <w:rPr>
          <w:spacing w:val="9"/>
          <w:sz w:val="21"/>
        </w:rPr>
        <w:t> </w:t>
      </w:r>
      <w:r>
        <w:rPr>
          <w:spacing w:val="-4"/>
          <w:sz w:val="21"/>
        </w:rPr>
        <w:t>date</w:t>
      </w:r>
      <w:r>
        <w:rPr>
          <w:spacing w:val="9"/>
          <w:sz w:val="21"/>
        </w:rPr>
        <w:t> </w:t>
      </w:r>
      <w:r>
        <w:rPr>
          <w:spacing w:val="-3"/>
          <w:sz w:val="21"/>
        </w:rPr>
        <w:t>of</w:t>
      </w:r>
      <w:r>
        <w:rPr>
          <w:spacing w:val="9"/>
          <w:sz w:val="21"/>
        </w:rPr>
        <w:t> </w:t>
      </w:r>
      <w:r>
        <w:rPr>
          <w:sz w:val="21"/>
        </w:rPr>
        <w:t>the</w:t>
      </w:r>
      <w:r>
        <w:rPr>
          <w:spacing w:val="9"/>
          <w:sz w:val="21"/>
        </w:rPr>
        <w:t> </w:t>
      </w:r>
      <w:r>
        <w:rPr>
          <w:spacing w:val="-5"/>
          <w:sz w:val="21"/>
        </w:rPr>
        <w:t>transfer.</w:t>
      </w:r>
    </w:p>
    <w:p>
      <w:pPr>
        <w:pStyle w:val="ListParagraph"/>
        <w:numPr>
          <w:ilvl w:val="0"/>
          <w:numId w:val="12"/>
        </w:numPr>
        <w:tabs>
          <w:tab w:pos="1928" w:val="left" w:leader="none"/>
        </w:tabs>
        <w:spacing w:line="242" w:lineRule="auto" w:before="123" w:after="0"/>
        <w:ind w:left="1927" w:right="1622" w:hanging="340"/>
        <w:jc w:val="left"/>
        <w:rPr>
          <w:sz w:val="21"/>
        </w:rPr>
      </w:pPr>
      <w:r>
        <w:rPr>
          <w:sz w:val="21"/>
        </w:rPr>
        <w:t>If </w:t>
      </w:r>
      <w:r>
        <w:rPr>
          <w:spacing w:val="-3"/>
          <w:sz w:val="21"/>
        </w:rPr>
        <w:t>the partner of the </w:t>
      </w:r>
      <w:r>
        <w:rPr>
          <w:spacing w:val="-4"/>
          <w:sz w:val="21"/>
        </w:rPr>
        <w:t>deceased </w:t>
      </w:r>
      <w:r>
        <w:rPr>
          <w:spacing w:val="-3"/>
          <w:sz w:val="21"/>
        </w:rPr>
        <w:t>person </w:t>
      </w:r>
      <w:r>
        <w:rPr>
          <w:spacing w:val="-4"/>
          <w:sz w:val="21"/>
        </w:rPr>
        <w:t>wishes to </w:t>
      </w:r>
      <w:r>
        <w:rPr>
          <w:sz w:val="21"/>
        </w:rPr>
        <w:t>elect  </w:t>
      </w:r>
      <w:r>
        <w:rPr>
          <w:spacing w:val="-4"/>
          <w:sz w:val="21"/>
        </w:rPr>
        <w:t>to  </w:t>
      </w:r>
      <w:r>
        <w:rPr>
          <w:spacing w:val="-5"/>
          <w:sz w:val="21"/>
        </w:rPr>
        <w:t>acquire  </w:t>
      </w:r>
      <w:r>
        <w:rPr>
          <w:spacing w:val="-3"/>
          <w:sz w:val="21"/>
        </w:rPr>
        <w:t>property  </w:t>
      </w:r>
      <w:r>
        <w:rPr>
          <w:spacing w:val="-4"/>
          <w:sz w:val="21"/>
        </w:rPr>
        <w:t>from  </w:t>
      </w:r>
      <w:r>
        <w:rPr>
          <w:spacing w:val="-3"/>
          <w:sz w:val="21"/>
        </w:rPr>
        <w:t>the  </w:t>
      </w:r>
      <w:r>
        <w:rPr>
          <w:spacing w:val="-5"/>
          <w:sz w:val="21"/>
        </w:rPr>
        <w:t>intestate </w:t>
      </w:r>
      <w:r>
        <w:rPr>
          <w:spacing w:val="-4"/>
          <w:sz w:val="21"/>
        </w:rPr>
        <w:t>estate,</w:t>
      </w:r>
      <w:r>
        <w:rPr>
          <w:spacing w:val="19"/>
          <w:sz w:val="21"/>
        </w:rPr>
        <w:t> </w:t>
      </w:r>
      <w:r>
        <w:rPr>
          <w:spacing w:val="-4"/>
          <w:sz w:val="21"/>
        </w:rPr>
        <w:t>they</w:t>
      </w:r>
      <w:r>
        <w:rPr>
          <w:spacing w:val="20"/>
          <w:sz w:val="21"/>
        </w:rPr>
        <w:t> </w:t>
      </w:r>
      <w:r>
        <w:rPr>
          <w:spacing w:val="-4"/>
          <w:sz w:val="21"/>
        </w:rPr>
        <w:t>should</w:t>
      </w:r>
      <w:r>
        <w:rPr>
          <w:spacing w:val="19"/>
          <w:sz w:val="21"/>
        </w:rPr>
        <w:t> </w:t>
      </w:r>
      <w:r>
        <w:rPr>
          <w:sz w:val="21"/>
        </w:rPr>
        <w:t>be</w:t>
      </w:r>
      <w:r>
        <w:rPr>
          <w:spacing w:val="20"/>
          <w:sz w:val="21"/>
        </w:rPr>
        <w:t> </w:t>
      </w:r>
      <w:r>
        <w:rPr>
          <w:spacing w:val="-5"/>
          <w:sz w:val="21"/>
        </w:rPr>
        <w:t>required</w:t>
      </w:r>
      <w:r>
        <w:rPr>
          <w:spacing w:val="19"/>
          <w:sz w:val="21"/>
        </w:rPr>
        <w:t> </w:t>
      </w:r>
      <w:r>
        <w:rPr>
          <w:spacing w:val="-4"/>
          <w:sz w:val="21"/>
        </w:rPr>
        <w:t>to</w:t>
      </w:r>
      <w:r>
        <w:rPr>
          <w:spacing w:val="20"/>
          <w:sz w:val="21"/>
        </w:rPr>
        <w:t> </w:t>
      </w:r>
      <w:r>
        <w:rPr>
          <w:spacing w:val="-4"/>
          <w:sz w:val="21"/>
        </w:rPr>
        <w:t>apply</w:t>
      </w:r>
      <w:r>
        <w:rPr>
          <w:spacing w:val="19"/>
          <w:sz w:val="21"/>
        </w:rPr>
        <w:t> </w:t>
      </w:r>
      <w:r>
        <w:rPr>
          <w:spacing w:val="-4"/>
          <w:sz w:val="21"/>
        </w:rPr>
        <w:t>to</w:t>
      </w:r>
      <w:r>
        <w:rPr>
          <w:spacing w:val="20"/>
          <w:sz w:val="21"/>
        </w:rPr>
        <w:t> </w:t>
      </w:r>
      <w:r>
        <w:rPr>
          <w:spacing w:val="-3"/>
          <w:sz w:val="21"/>
        </w:rPr>
        <w:t>the</w:t>
      </w:r>
      <w:r>
        <w:rPr>
          <w:spacing w:val="20"/>
          <w:sz w:val="21"/>
        </w:rPr>
        <w:t> </w:t>
      </w:r>
      <w:r>
        <w:rPr>
          <w:spacing w:val="-5"/>
          <w:sz w:val="21"/>
        </w:rPr>
        <w:t>Supreme</w:t>
      </w:r>
      <w:r>
        <w:rPr>
          <w:spacing w:val="19"/>
          <w:sz w:val="21"/>
        </w:rPr>
        <w:t> </w:t>
      </w:r>
      <w:r>
        <w:rPr>
          <w:spacing w:val="-4"/>
          <w:sz w:val="21"/>
        </w:rPr>
        <w:t>Court</w:t>
      </w:r>
      <w:r>
        <w:rPr>
          <w:spacing w:val="20"/>
          <w:sz w:val="21"/>
        </w:rPr>
        <w:t> </w:t>
      </w:r>
      <w:r>
        <w:rPr>
          <w:spacing w:val="-4"/>
          <w:sz w:val="21"/>
        </w:rPr>
        <w:t>for</w:t>
      </w:r>
      <w:r>
        <w:rPr>
          <w:spacing w:val="19"/>
          <w:sz w:val="21"/>
        </w:rPr>
        <w:t> </w:t>
      </w:r>
      <w:r>
        <w:rPr>
          <w:spacing w:val="-4"/>
          <w:sz w:val="21"/>
        </w:rPr>
        <w:t>authorisation</w:t>
      </w:r>
      <w:r>
        <w:rPr>
          <w:spacing w:val="20"/>
          <w:sz w:val="21"/>
        </w:rPr>
        <w:t> </w:t>
      </w:r>
      <w:r>
        <w:rPr>
          <w:spacing w:val="-3"/>
          <w:sz w:val="21"/>
        </w:rPr>
        <w:t>of</w:t>
      </w:r>
      <w:r>
        <w:rPr>
          <w:spacing w:val="19"/>
          <w:sz w:val="21"/>
        </w:rPr>
        <w:t> </w:t>
      </w:r>
      <w:r>
        <w:rPr>
          <w:spacing w:val="-3"/>
          <w:sz w:val="21"/>
        </w:rPr>
        <w:t>the</w:t>
      </w:r>
      <w:r>
        <w:rPr>
          <w:spacing w:val="20"/>
          <w:sz w:val="21"/>
        </w:rPr>
        <w:t> </w:t>
      </w:r>
      <w:r>
        <w:rPr>
          <w:spacing w:val="-3"/>
          <w:sz w:val="21"/>
        </w:rPr>
        <w:t>election</w:t>
      </w:r>
      <w:r>
        <w:rPr>
          <w:spacing w:val="20"/>
          <w:sz w:val="21"/>
        </w:rPr>
        <w:t> </w:t>
      </w:r>
      <w:r>
        <w:rPr>
          <w:spacing w:val="-4"/>
          <w:sz w:val="21"/>
        </w:rPr>
        <w:t>if:</w:t>
      </w:r>
    </w:p>
    <w:p>
      <w:pPr>
        <w:pStyle w:val="ListParagraph"/>
        <w:numPr>
          <w:ilvl w:val="1"/>
          <w:numId w:val="12"/>
        </w:numPr>
        <w:tabs>
          <w:tab w:pos="3028" w:val="left" w:leader="none"/>
        </w:tabs>
        <w:spacing w:line="240" w:lineRule="auto" w:before="123" w:after="0"/>
        <w:ind w:left="3027" w:right="0" w:hanging="306"/>
        <w:jc w:val="left"/>
        <w:rPr>
          <w:sz w:val="21"/>
        </w:rPr>
      </w:pPr>
      <w:r>
        <w:rPr>
          <w:w w:val="105"/>
          <w:sz w:val="21"/>
        </w:rPr>
        <w:t>the property </w:t>
      </w:r>
      <w:r>
        <w:rPr>
          <w:spacing w:val="-3"/>
          <w:w w:val="105"/>
          <w:sz w:val="21"/>
        </w:rPr>
        <w:t>forms </w:t>
      </w:r>
      <w:r>
        <w:rPr>
          <w:w w:val="105"/>
          <w:sz w:val="21"/>
        </w:rPr>
        <w:t>part of a larger </w:t>
      </w:r>
      <w:r>
        <w:rPr>
          <w:spacing w:val="-3"/>
          <w:w w:val="105"/>
          <w:sz w:val="21"/>
        </w:rPr>
        <w:t>aggregate,</w:t>
      </w:r>
      <w:r>
        <w:rPr>
          <w:spacing w:val="42"/>
          <w:w w:val="105"/>
          <w:sz w:val="21"/>
        </w:rPr>
        <w:t> </w:t>
      </w:r>
      <w:r>
        <w:rPr>
          <w:w w:val="105"/>
          <w:sz w:val="21"/>
        </w:rPr>
        <w:t>and</w:t>
      </w:r>
    </w:p>
    <w:p>
      <w:pPr>
        <w:pStyle w:val="ListParagraph"/>
        <w:numPr>
          <w:ilvl w:val="1"/>
          <w:numId w:val="12"/>
        </w:numPr>
        <w:tabs>
          <w:tab w:pos="3028" w:val="left" w:leader="none"/>
        </w:tabs>
        <w:spacing w:line="242" w:lineRule="auto" w:before="123" w:after="0"/>
        <w:ind w:left="3027" w:right="2084" w:hanging="306"/>
        <w:jc w:val="left"/>
        <w:rPr>
          <w:sz w:val="21"/>
        </w:rPr>
      </w:pPr>
      <w:r>
        <w:rPr>
          <w:sz w:val="21"/>
        </w:rPr>
        <w:t>the </w:t>
      </w:r>
      <w:r>
        <w:rPr>
          <w:spacing w:val="-3"/>
          <w:sz w:val="21"/>
        </w:rPr>
        <w:t>acquisition could substantially diminish </w:t>
      </w:r>
      <w:r>
        <w:rPr>
          <w:sz w:val="21"/>
        </w:rPr>
        <w:t>the </w:t>
      </w:r>
      <w:r>
        <w:rPr>
          <w:spacing w:val="-3"/>
          <w:sz w:val="21"/>
        </w:rPr>
        <w:t>value </w:t>
      </w:r>
      <w:r>
        <w:rPr>
          <w:sz w:val="21"/>
        </w:rPr>
        <w:t>of the </w:t>
      </w:r>
      <w:r>
        <w:rPr>
          <w:spacing w:val="-3"/>
          <w:sz w:val="21"/>
        </w:rPr>
        <w:t>remainder </w:t>
      </w:r>
      <w:r>
        <w:rPr>
          <w:sz w:val="21"/>
        </w:rPr>
        <w:t>of the property or </w:t>
      </w:r>
      <w:r>
        <w:rPr>
          <w:spacing w:val="-4"/>
          <w:sz w:val="21"/>
        </w:rPr>
        <w:t>make </w:t>
      </w:r>
      <w:r>
        <w:rPr>
          <w:sz w:val="21"/>
        </w:rPr>
        <w:t>the </w:t>
      </w:r>
      <w:r>
        <w:rPr>
          <w:spacing w:val="-3"/>
          <w:sz w:val="21"/>
        </w:rPr>
        <w:t>administration </w:t>
      </w:r>
      <w:r>
        <w:rPr>
          <w:sz w:val="21"/>
        </w:rPr>
        <w:t>of the estate </w:t>
      </w:r>
      <w:r>
        <w:rPr>
          <w:spacing w:val="-3"/>
          <w:sz w:val="21"/>
        </w:rPr>
        <w:t>substantially </w:t>
      </w:r>
      <w:r>
        <w:rPr>
          <w:sz w:val="21"/>
        </w:rPr>
        <w:t>more</w:t>
      </w:r>
      <w:r>
        <w:rPr>
          <w:spacing w:val="31"/>
          <w:sz w:val="21"/>
        </w:rPr>
        <w:t> </w:t>
      </w:r>
      <w:r>
        <w:rPr>
          <w:sz w:val="21"/>
        </w:rPr>
        <w:t>difficult.</w:t>
      </w:r>
    </w:p>
    <w:p>
      <w:pPr>
        <w:pStyle w:val="ListParagraph"/>
        <w:numPr>
          <w:ilvl w:val="0"/>
          <w:numId w:val="12"/>
        </w:numPr>
        <w:tabs>
          <w:tab w:pos="1929" w:val="left" w:leader="none"/>
        </w:tabs>
        <w:spacing w:line="242" w:lineRule="auto" w:before="123" w:after="0"/>
        <w:ind w:left="1928" w:right="2171" w:hanging="341"/>
        <w:jc w:val="left"/>
        <w:rPr>
          <w:sz w:val="21"/>
        </w:rPr>
      </w:pPr>
      <w:r>
        <w:rPr>
          <w:w w:val="105"/>
          <w:sz w:val="21"/>
        </w:rPr>
        <w:t>When</w:t>
      </w:r>
      <w:r>
        <w:rPr>
          <w:spacing w:val="-8"/>
          <w:w w:val="105"/>
          <w:sz w:val="21"/>
        </w:rPr>
        <w:t> </w:t>
      </w:r>
      <w:r>
        <w:rPr>
          <w:spacing w:val="-3"/>
          <w:w w:val="105"/>
          <w:sz w:val="21"/>
        </w:rPr>
        <w:t>authorising</w:t>
      </w:r>
      <w:r>
        <w:rPr>
          <w:spacing w:val="-8"/>
          <w:w w:val="105"/>
          <w:sz w:val="21"/>
        </w:rPr>
        <w:t> </w:t>
      </w:r>
      <w:r>
        <w:rPr>
          <w:w w:val="105"/>
          <w:sz w:val="21"/>
        </w:rPr>
        <w:t>an</w:t>
      </w:r>
      <w:r>
        <w:rPr>
          <w:spacing w:val="-8"/>
          <w:w w:val="105"/>
          <w:sz w:val="21"/>
        </w:rPr>
        <w:t> </w:t>
      </w:r>
      <w:r>
        <w:rPr>
          <w:w w:val="105"/>
          <w:sz w:val="21"/>
        </w:rPr>
        <w:t>election</w:t>
      </w:r>
      <w:r>
        <w:rPr>
          <w:spacing w:val="-8"/>
          <w:w w:val="105"/>
          <w:sz w:val="21"/>
        </w:rPr>
        <w:t> </w:t>
      </w:r>
      <w:r>
        <w:rPr>
          <w:w w:val="105"/>
          <w:sz w:val="21"/>
        </w:rPr>
        <w:t>by</w:t>
      </w:r>
      <w:r>
        <w:rPr>
          <w:spacing w:val="-7"/>
          <w:w w:val="105"/>
          <w:sz w:val="21"/>
        </w:rPr>
        <w:t> </w:t>
      </w:r>
      <w:r>
        <w:rPr>
          <w:w w:val="105"/>
          <w:sz w:val="21"/>
        </w:rPr>
        <w:t>the</w:t>
      </w:r>
      <w:r>
        <w:rPr>
          <w:spacing w:val="-8"/>
          <w:w w:val="105"/>
          <w:sz w:val="21"/>
        </w:rPr>
        <w:t> </w:t>
      </w:r>
      <w:r>
        <w:rPr>
          <w:w w:val="105"/>
          <w:sz w:val="21"/>
        </w:rPr>
        <w:t>deceased</w:t>
      </w:r>
      <w:r>
        <w:rPr>
          <w:spacing w:val="-8"/>
          <w:w w:val="105"/>
          <w:sz w:val="21"/>
        </w:rPr>
        <w:t> </w:t>
      </w:r>
      <w:r>
        <w:rPr>
          <w:spacing w:val="-3"/>
          <w:w w:val="105"/>
          <w:sz w:val="21"/>
        </w:rPr>
        <w:t>person’s</w:t>
      </w:r>
      <w:r>
        <w:rPr>
          <w:spacing w:val="-8"/>
          <w:w w:val="105"/>
          <w:sz w:val="21"/>
        </w:rPr>
        <w:t> </w:t>
      </w:r>
      <w:r>
        <w:rPr>
          <w:w w:val="105"/>
          <w:sz w:val="21"/>
        </w:rPr>
        <w:t>partner</w:t>
      </w:r>
      <w:r>
        <w:rPr>
          <w:spacing w:val="-8"/>
          <w:w w:val="105"/>
          <w:sz w:val="21"/>
        </w:rPr>
        <w:t> </w:t>
      </w:r>
      <w:r>
        <w:rPr>
          <w:spacing w:val="-3"/>
          <w:w w:val="105"/>
          <w:sz w:val="21"/>
        </w:rPr>
        <w:t>to</w:t>
      </w:r>
      <w:r>
        <w:rPr>
          <w:spacing w:val="-8"/>
          <w:w w:val="105"/>
          <w:sz w:val="21"/>
        </w:rPr>
        <w:t> </w:t>
      </w:r>
      <w:r>
        <w:rPr>
          <w:spacing w:val="-3"/>
          <w:w w:val="105"/>
          <w:sz w:val="21"/>
        </w:rPr>
        <w:t>acquire</w:t>
      </w:r>
      <w:r>
        <w:rPr>
          <w:spacing w:val="-7"/>
          <w:w w:val="105"/>
          <w:sz w:val="21"/>
        </w:rPr>
        <w:t> </w:t>
      </w:r>
      <w:r>
        <w:rPr>
          <w:w w:val="105"/>
          <w:sz w:val="21"/>
        </w:rPr>
        <w:t>property</w:t>
      </w:r>
      <w:r>
        <w:rPr>
          <w:spacing w:val="-8"/>
          <w:w w:val="105"/>
          <w:sz w:val="21"/>
        </w:rPr>
        <w:t> </w:t>
      </w:r>
      <w:r>
        <w:rPr>
          <w:spacing w:val="-3"/>
          <w:w w:val="105"/>
          <w:sz w:val="21"/>
        </w:rPr>
        <w:t>from </w:t>
      </w:r>
      <w:r>
        <w:rPr>
          <w:w w:val="105"/>
          <w:sz w:val="21"/>
        </w:rPr>
        <w:t>the </w:t>
      </w:r>
      <w:r>
        <w:rPr>
          <w:spacing w:val="-3"/>
          <w:w w:val="105"/>
          <w:sz w:val="21"/>
        </w:rPr>
        <w:t>intestate estate, </w:t>
      </w:r>
      <w:r>
        <w:rPr>
          <w:w w:val="105"/>
          <w:sz w:val="21"/>
        </w:rPr>
        <w:t>the </w:t>
      </w:r>
      <w:r>
        <w:rPr>
          <w:spacing w:val="-3"/>
          <w:w w:val="105"/>
          <w:sz w:val="21"/>
        </w:rPr>
        <w:t>Supreme Court</w:t>
      </w:r>
      <w:r>
        <w:rPr>
          <w:spacing w:val="37"/>
          <w:w w:val="105"/>
          <w:sz w:val="21"/>
        </w:rPr>
        <w:t> </w:t>
      </w:r>
      <w:r>
        <w:rPr>
          <w:w w:val="105"/>
          <w:sz w:val="21"/>
        </w:rPr>
        <w:t>should:</w:t>
      </w:r>
    </w:p>
    <w:p>
      <w:pPr>
        <w:pStyle w:val="ListParagraph"/>
        <w:numPr>
          <w:ilvl w:val="1"/>
          <w:numId w:val="12"/>
        </w:numPr>
        <w:tabs>
          <w:tab w:pos="3028" w:val="left" w:leader="none"/>
        </w:tabs>
        <w:spacing w:line="242" w:lineRule="auto" w:before="122" w:after="0"/>
        <w:ind w:left="3028" w:right="2064" w:hanging="307"/>
        <w:jc w:val="left"/>
        <w:rPr>
          <w:sz w:val="21"/>
        </w:rPr>
      </w:pPr>
      <w:r>
        <w:rPr>
          <w:sz w:val="21"/>
        </w:rPr>
        <w:t>be able </w:t>
      </w:r>
      <w:r>
        <w:rPr>
          <w:spacing w:val="-3"/>
          <w:sz w:val="21"/>
        </w:rPr>
        <w:t>to </w:t>
      </w:r>
      <w:r>
        <w:rPr>
          <w:sz w:val="21"/>
        </w:rPr>
        <w:t>impose </w:t>
      </w:r>
      <w:r>
        <w:rPr>
          <w:spacing w:val="-3"/>
          <w:sz w:val="21"/>
        </w:rPr>
        <w:t>such  conditions  </w:t>
      </w:r>
      <w:r>
        <w:rPr>
          <w:sz w:val="21"/>
        </w:rPr>
        <w:t>as it considers just and </w:t>
      </w:r>
      <w:r>
        <w:rPr>
          <w:spacing w:val="-3"/>
          <w:sz w:val="21"/>
        </w:rPr>
        <w:t>equitable,</w:t>
      </w:r>
      <w:r>
        <w:rPr>
          <w:spacing w:val="41"/>
          <w:sz w:val="21"/>
        </w:rPr>
        <w:t> </w:t>
      </w:r>
      <w:r>
        <w:rPr>
          <w:spacing w:val="-3"/>
          <w:sz w:val="21"/>
        </w:rPr>
        <w:t>including  </w:t>
      </w:r>
      <w:r>
        <w:rPr>
          <w:sz w:val="21"/>
        </w:rPr>
        <w:t>a </w:t>
      </w:r>
      <w:r>
        <w:rPr>
          <w:spacing w:val="-3"/>
          <w:sz w:val="21"/>
        </w:rPr>
        <w:t>condition that </w:t>
      </w:r>
      <w:r>
        <w:rPr>
          <w:sz w:val="21"/>
        </w:rPr>
        <w:t>the partner </w:t>
      </w:r>
      <w:r>
        <w:rPr>
          <w:spacing w:val="-2"/>
          <w:sz w:val="21"/>
        </w:rPr>
        <w:t>pay </w:t>
      </w:r>
      <w:r>
        <w:rPr>
          <w:sz w:val="21"/>
        </w:rPr>
        <w:t>compensation </w:t>
      </w:r>
      <w:r>
        <w:rPr>
          <w:spacing w:val="-3"/>
          <w:sz w:val="21"/>
        </w:rPr>
        <w:t>to </w:t>
      </w:r>
      <w:r>
        <w:rPr>
          <w:sz w:val="21"/>
        </w:rPr>
        <w:t>the estate in addition </w:t>
      </w:r>
      <w:r>
        <w:rPr>
          <w:spacing w:val="-3"/>
          <w:sz w:val="21"/>
        </w:rPr>
        <w:t>to consideration to </w:t>
      </w:r>
      <w:r>
        <w:rPr>
          <w:sz w:val="21"/>
        </w:rPr>
        <w:t>be given </w:t>
      </w:r>
      <w:r>
        <w:rPr>
          <w:spacing w:val="-3"/>
          <w:sz w:val="21"/>
        </w:rPr>
        <w:t>for </w:t>
      </w:r>
      <w:r>
        <w:rPr>
          <w:sz w:val="21"/>
        </w:rPr>
        <w:t>the</w:t>
      </w:r>
      <w:r>
        <w:rPr>
          <w:spacing w:val="18"/>
          <w:sz w:val="21"/>
        </w:rPr>
        <w:t> </w:t>
      </w:r>
      <w:r>
        <w:rPr>
          <w:sz w:val="21"/>
        </w:rPr>
        <w:t>property</w:t>
      </w:r>
    </w:p>
    <w:p>
      <w:pPr>
        <w:pStyle w:val="ListParagraph"/>
        <w:numPr>
          <w:ilvl w:val="1"/>
          <w:numId w:val="12"/>
        </w:numPr>
        <w:tabs>
          <w:tab w:pos="3028" w:val="left" w:leader="none"/>
        </w:tabs>
        <w:spacing w:line="242" w:lineRule="auto" w:before="123" w:after="0"/>
        <w:ind w:left="3028" w:right="1584" w:hanging="307"/>
        <w:jc w:val="both"/>
        <w:rPr>
          <w:sz w:val="21"/>
        </w:rPr>
      </w:pPr>
      <w:r>
        <w:rPr>
          <w:w w:val="105"/>
          <w:sz w:val="21"/>
        </w:rPr>
        <w:t>be</w:t>
      </w:r>
      <w:r>
        <w:rPr>
          <w:spacing w:val="-9"/>
          <w:w w:val="105"/>
          <w:sz w:val="21"/>
        </w:rPr>
        <w:t> </w:t>
      </w:r>
      <w:r>
        <w:rPr>
          <w:spacing w:val="-3"/>
          <w:w w:val="105"/>
          <w:sz w:val="21"/>
        </w:rPr>
        <w:t>required</w:t>
      </w:r>
      <w:r>
        <w:rPr>
          <w:spacing w:val="-9"/>
          <w:w w:val="105"/>
          <w:sz w:val="21"/>
        </w:rPr>
        <w:t> </w:t>
      </w:r>
      <w:r>
        <w:rPr>
          <w:spacing w:val="-3"/>
          <w:w w:val="105"/>
          <w:sz w:val="21"/>
        </w:rPr>
        <w:t>to</w:t>
      </w:r>
      <w:r>
        <w:rPr>
          <w:spacing w:val="-9"/>
          <w:w w:val="105"/>
          <w:sz w:val="21"/>
        </w:rPr>
        <w:t> </w:t>
      </w:r>
      <w:r>
        <w:rPr>
          <w:spacing w:val="-3"/>
          <w:w w:val="105"/>
          <w:sz w:val="21"/>
        </w:rPr>
        <w:t>refuse</w:t>
      </w:r>
      <w:r>
        <w:rPr>
          <w:spacing w:val="-9"/>
          <w:w w:val="105"/>
          <w:sz w:val="21"/>
        </w:rPr>
        <w:t> </w:t>
      </w:r>
      <w:r>
        <w:rPr>
          <w:w w:val="105"/>
          <w:sz w:val="21"/>
        </w:rPr>
        <w:t>authorisation</w:t>
      </w:r>
      <w:r>
        <w:rPr>
          <w:spacing w:val="-9"/>
          <w:w w:val="105"/>
          <w:sz w:val="21"/>
        </w:rPr>
        <w:t> </w:t>
      </w:r>
      <w:r>
        <w:rPr>
          <w:w w:val="105"/>
          <w:sz w:val="21"/>
        </w:rPr>
        <w:t>of</w:t>
      </w:r>
      <w:r>
        <w:rPr>
          <w:spacing w:val="-9"/>
          <w:w w:val="105"/>
          <w:sz w:val="21"/>
        </w:rPr>
        <w:t> </w:t>
      </w:r>
      <w:r>
        <w:rPr>
          <w:w w:val="105"/>
          <w:sz w:val="21"/>
        </w:rPr>
        <w:t>an</w:t>
      </w:r>
      <w:r>
        <w:rPr>
          <w:spacing w:val="-9"/>
          <w:w w:val="105"/>
          <w:sz w:val="21"/>
        </w:rPr>
        <w:t> </w:t>
      </w:r>
      <w:r>
        <w:rPr>
          <w:w w:val="105"/>
          <w:sz w:val="21"/>
        </w:rPr>
        <w:t>election</w:t>
      </w:r>
      <w:r>
        <w:rPr>
          <w:spacing w:val="-8"/>
          <w:w w:val="105"/>
          <w:sz w:val="21"/>
        </w:rPr>
        <w:t> </w:t>
      </w:r>
      <w:r>
        <w:rPr>
          <w:w w:val="105"/>
          <w:sz w:val="21"/>
        </w:rPr>
        <w:t>if</w:t>
      </w:r>
      <w:r>
        <w:rPr>
          <w:spacing w:val="-9"/>
          <w:w w:val="105"/>
          <w:sz w:val="21"/>
        </w:rPr>
        <w:t> </w:t>
      </w:r>
      <w:r>
        <w:rPr>
          <w:w w:val="105"/>
          <w:sz w:val="21"/>
        </w:rPr>
        <w:t>it</w:t>
      </w:r>
      <w:r>
        <w:rPr>
          <w:spacing w:val="-9"/>
          <w:w w:val="105"/>
          <w:sz w:val="21"/>
        </w:rPr>
        <w:t> </w:t>
      </w:r>
      <w:r>
        <w:rPr>
          <w:w w:val="105"/>
          <w:sz w:val="21"/>
        </w:rPr>
        <w:t>considers</w:t>
      </w:r>
      <w:r>
        <w:rPr>
          <w:spacing w:val="-9"/>
          <w:w w:val="105"/>
          <w:sz w:val="21"/>
        </w:rPr>
        <w:t> </w:t>
      </w:r>
      <w:r>
        <w:rPr>
          <w:spacing w:val="-3"/>
          <w:w w:val="105"/>
          <w:sz w:val="21"/>
        </w:rPr>
        <w:t>that</w:t>
      </w:r>
      <w:r>
        <w:rPr>
          <w:spacing w:val="-9"/>
          <w:w w:val="105"/>
          <w:sz w:val="21"/>
        </w:rPr>
        <w:t> </w:t>
      </w:r>
      <w:r>
        <w:rPr>
          <w:w w:val="105"/>
          <w:sz w:val="21"/>
        </w:rPr>
        <w:t>the</w:t>
      </w:r>
      <w:r>
        <w:rPr>
          <w:spacing w:val="-9"/>
          <w:w w:val="105"/>
          <w:sz w:val="21"/>
        </w:rPr>
        <w:t> </w:t>
      </w:r>
      <w:r>
        <w:rPr>
          <w:spacing w:val="-3"/>
          <w:w w:val="105"/>
          <w:sz w:val="21"/>
        </w:rPr>
        <w:t>diminution </w:t>
      </w:r>
      <w:r>
        <w:rPr>
          <w:w w:val="105"/>
          <w:sz w:val="21"/>
        </w:rPr>
        <w:t>of the </w:t>
      </w:r>
      <w:r>
        <w:rPr>
          <w:spacing w:val="-3"/>
          <w:w w:val="105"/>
          <w:sz w:val="21"/>
        </w:rPr>
        <w:t>value </w:t>
      </w:r>
      <w:r>
        <w:rPr>
          <w:w w:val="105"/>
          <w:sz w:val="21"/>
        </w:rPr>
        <w:t>of the </w:t>
      </w:r>
      <w:r>
        <w:rPr>
          <w:spacing w:val="-3"/>
          <w:w w:val="105"/>
          <w:sz w:val="21"/>
        </w:rPr>
        <w:t>remainder </w:t>
      </w:r>
      <w:r>
        <w:rPr>
          <w:w w:val="105"/>
          <w:sz w:val="21"/>
        </w:rPr>
        <w:t>of the </w:t>
      </w:r>
      <w:r>
        <w:rPr>
          <w:spacing w:val="-3"/>
          <w:w w:val="105"/>
          <w:sz w:val="21"/>
        </w:rPr>
        <w:t>estate, </w:t>
      </w:r>
      <w:r>
        <w:rPr>
          <w:w w:val="105"/>
          <w:sz w:val="21"/>
        </w:rPr>
        <w:t>or difficulties in </w:t>
      </w:r>
      <w:r>
        <w:rPr>
          <w:spacing w:val="-3"/>
          <w:w w:val="105"/>
          <w:sz w:val="21"/>
        </w:rPr>
        <w:t>administration, cannot </w:t>
      </w:r>
      <w:r>
        <w:rPr>
          <w:w w:val="105"/>
          <w:sz w:val="21"/>
        </w:rPr>
        <w:t>be adequately addressed by </w:t>
      </w:r>
      <w:r>
        <w:rPr>
          <w:spacing w:val="-3"/>
          <w:w w:val="105"/>
          <w:sz w:val="21"/>
        </w:rPr>
        <w:t>granting </w:t>
      </w:r>
      <w:r>
        <w:rPr>
          <w:w w:val="105"/>
          <w:sz w:val="21"/>
        </w:rPr>
        <w:t>an authorisation subject </w:t>
      </w:r>
      <w:r>
        <w:rPr>
          <w:spacing w:val="-3"/>
          <w:w w:val="105"/>
          <w:sz w:val="21"/>
        </w:rPr>
        <w:t>to</w:t>
      </w:r>
      <w:r>
        <w:rPr>
          <w:spacing w:val="-18"/>
          <w:w w:val="105"/>
          <w:sz w:val="21"/>
        </w:rPr>
        <w:t> </w:t>
      </w:r>
      <w:r>
        <w:rPr>
          <w:spacing w:val="-3"/>
          <w:w w:val="105"/>
          <w:sz w:val="21"/>
        </w:rPr>
        <w:t>conditions.</w:t>
      </w:r>
    </w:p>
    <w:p>
      <w:pPr>
        <w:pStyle w:val="ListParagraph"/>
        <w:numPr>
          <w:ilvl w:val="0"/>
          <w:numId w:val="12"/>
        </w:numPr>
        <w:tabs>
          <w:tab w:pos="1929" w:val="left" w:leader="none"/>
        </w:tabs>
        <w:spacing w:line="242" w:lineRule="auto" w:before="124" w:after="0"/>
        <w:ind w:left="1928" w:right="1848" w:hanging="340"/>
        <w:jc w:val="left"/>
        <w:rPr>
          <w:sz w:val="21"/>
        </w:rPr>
      </w:pPr>
      <w:r>
        <w:rPr>
          <w:sz w:val="21"/>
        </w:rPr>
        <w:t>A personal representative should </w:t>
      </w:r>
      <w:r>
        <w:rPr>
          <w:spacing w:val="-2"/>
          <w:sz w:val="21"/>
        </w:rPr>
        <w:t>not </w:t>
      </w:r>
      <w:r>
        <w:rPr>
          <w:sz w:val="21"/>
        </w:rPr>
        <w:t>be permitted </w:t>
      </w:r>
      <w:r>
        <w:rPr>
          <w:spacing w:val="-3"/>
          <w:sz w:val="21"/>
        </w:rPr>
        <w:t>to </w:t>
      </w:r>
      <w:r>
        <w:rPr>
          <w:sz w:val="21"/>
        </w:rPr>
        <w:t>dispose of property </w:t>
      </w:r>
      <w:r>
        <w:rPr>
          <w:spacing w:val="-3"/>
          <w:sz w:val="21"/>
        </w:rPr>
        <w:t>from </w:t>
      </w:r>
      <w:r>
        <w:rPr>
          <w:sz w:val="21"/>
        </w:rPr>
        <w:t>an </w:t>
      </w:r>
      <w:r>
        <w:rPr>
          <w:spacing w:val="-3"/>
          <w:sz w:val="21"/>
        </w:rPr>
        <w:t>intestate estate, except to </w:t>
      </w:r>
      <w:r>
        <w:rPr>
          <w:sz w:val="21"/>
        </w:rPr>
        <w:t>a partner who </w:t>
      </w:r>
      <w:r>
        <w:rPr>
          <w:spacing w:val="-2"/>
          <w:sz w:val="21"/>
        </w:rPr>
        <w:t>has </w:t>
      </w:r>
      <w:r>
        <w:rPr>
          <w:sz w:val="21"/>
        </w:rPr>
        <w:t>elected </w:t>
      </w:r>
      <w:r>
        <w:rPr>
          <w:spacing w:val="-3"/>
          <w:sz w:val="21"/>
        </w:rPr>
        <w:t>to acquire </w:t>
      </w:r>
      <w:r>
        <w:rPr>
          <w:sz w:val="21"/>
        </w:rPr>
        <w:t>it, unless </w:t>
      </w:r>
      <w:r>
        <w:rPr>
          <w:spacing w:val="-3"/>
          <w:sz w:val="21"/>
        </w:rPr>
        <w:t>any </w:t>
      </w:r>
      <w:r>
        <w:rPr>
          <w:sz w:val="21"/>
        </w:rPr>
        <w:t>of the </w:t>
      </w:r>
      <w:r>
        <w:rPr>
          <w:spacing w:val="-3"/>
          <w:sz w:val="21"/>
        </w:rPr>
        <w:t>following</w:t>
      </w:r>
      <w:r>
        <w:rPr>
          <w:spacing w:val="16"/>
          <w:sz w:val="21"/>
        </w:rPr>
        <w:t> </w:t>
      </w:r>
      <w:r>
        <w:rPr>
          <w:sz w:val="21"/>
        </w:rPr>
        <w:t>applies:</w:t>
      </w:r>
    </w:p>
    <w:p>
      <w:pPr>
        <w:pStyle w:val="ListParagraph"/>
        <w:numPr>
          <w:ilvl w:val="1"/>
          <w:numId w:val="12"/>
        </w:numPr>
        <w:tabs>
          <w:tab w:pos="3029" w:val="left" w:leader="none"/>
        </w:tabs>
        <w:spacing w:line="240" w:lineRule="auto" w:before="122" w:after="0"/>
        <w:ind w:left="3028" w:right="0" w:hanging="306"/>
        <w:jc w:val="left"/>
        <w:rPr>
          <w:sz w:val="21"/>
        </w:rPr>
      </w:pPr>
      <w:r>
        <w:rPr>
          <w:sz w:val="21"/>
        </w:rPr>
        <w:t>the</w:t>
      </w:r>
      <w:r>
        <w:rPr>
          <w:spacing w:val="8"/>
          <w:sz w:val="21"/>
        </w:rPr>
        <w:t> </w:t>
      </w:r>
      <w:r>
        <w:rPr>
          <w:sz w:val="21"/>
        </w:rPr>
        <w:t>personal</w:t>
      </w:r>
      <w:r>
        <w:rPr>
          <w:spacing w:val="8"/>
          <w:sz w:val="21"/>
        </w:rPr>
        <w:t> </w:t>
      </w:r>
      <w:r>
        <w:rPr>
          <w:sz w:val="21"/>
        </w:rPr>
        <w:t>representative</w:t>
      </w:r>
      <w:r>
        <w:rPr>
          <w:spacing w:val="9"/>
          <w:sz w:val="21"/>
        </w:rPr>
        <w:t> </w:t>
      </w:r>
      <w:r>
        <w:rPr>
          <w:sz w:val="21"/>
        </w:rPr>
        <w:t>is</w:t>
      </w:r>
      <w:r>
        <w:rPr>
          <w:spacing w:val="8"/>
          <w:sz w:val="21"/>
        </w:rPr>
        <w:t> </w:t>
      </w:r>
      <w:r>
        <w:rPr>
          <w:sz w:val="21"/>
        </w:rPr>
        <w:t>the</w:t>
      </w:r>
      <w:r>
        <w:rPr>
          <w:spacing w:val="9"/>
          <w:sz w:val="21"/>
        </w:rPr>
        <w:t> </w:t>
      </w:r>
      <w:r>
        <w:rPr>
          <w:sz w:val="21"/>
        </w:rPr>
        <w:t>partner</w:t>
      </w:r>
      <w:r>
        <w:rPr>
          <w:spacing w:val="8"/>
          <w:sz w:val="21"/>
        </w:rPr>
        <w:t> </w:t>
      </w:r>
      <w:r>
        <w:rPr>
          <w:sz w:val="21"/>
        </w:rPr>
        <w:t>entitled</w:t>
      </w:r>
      <w:r>
        <w:rPr>
          <w:spacing w:val="9"/>
          <w:sz w:val="21"/>
        </w:rPr>
        <w:t> </w:t>
      </w:r>
      <w:r>
        <w:rPr>
          <w:spacing w:val="-3"/>
          <w:sz w:val="21"/>
        </w:rPr>
        <w:t>to</w:t>
      </w:r>
      <w:r>
        <w:rPr>
          <w:spacing w:val="8"/>
          <w:sz w:val="21"/>
        </w:rPr>
        <w:t> </w:t>
      </w:r>
      <w:r>
        <w:rPr>
          <w:spacing w:val="-4"/>
          <w:sz w:val="21"/>
        </w:rPr>
        <w:t>make</w:t>
      </w:r>
      <w:r>
        <w:rPr>
          <w:spacing w:val="8"/>
          <w:sz w:val="21"/>
        </w:rPr>
        <w:t> </w:t>
      </w:r>
      <w:r>
        <w:rPr>
          <w:sz w:val="21"/>
        </w:rPr>
        <w:t>the</w:t>
      </w:r>
      <w:r>
        <w:rPr>
          <w:spacing w:val="9"/>
          <w:sz w:val="21"/>
        </w:rPr>
        <w:t> </w:t>
      </w:r>
      <w:r>
        <w:rPr>
          <w:sz w:val="21"/>
        </w:rPr>
        <w:t>election</w:t>
      </w:r>
    </w:p>
    <w:p>
      <w:pPr>
        <w:pStyle w:val="ListParagraph"/>
        <w:numPr>
          <w:ilvl w:val="1"/>
          <w:numId w:val="12"/>
        </w:numPr>
        <w:tabs>
          <w:tab w:pos="3029" w:val="left" w:leader="none"/>
        </w:tabs>
        <w:spacing w:line="240" w:lineRule="auto" w:before="124" w:after="0"/>
        <w:ind w:left="3028" w:right="0" w:hanging="306"/>
        <w:jc w:val="left"/>
        <w:rPr>
          <w:sz w:val="21"/>
        </w:rPr>
      </w:pPr>
      <w:r>
        <w:rPr>
          <w:w w:val="105"/>
          <w:sz w:val="21"/>
        </w:rPr>
        <w:t>time </w:t>
      </w:r>
      <w:r>
        <w:rPr>
          <w:spacing w:val="-3"/>
          <w:w w:val="105"/>
          <w:sz w:val="21"/>
        </w:rPr>
        <w:t>for exercising </w:t>
      </w:r>
      <w:r>
        <w:rPr>
          <w:w w:val="105"/>
          <w:sz w:val="21"/>
        </w:rPr>
        <w:t>the election </w:t>
      </w:r>
      <w:r>
        <w:rPr>
          <w:spacing w:val="-2"/>
          <w:w w:val="105"/>
          <w:sz w:val="21"/>
        </w:rPr>
        <w:t>has </w:t>
      </w:r>
      <w:r>
        <w:rPr>
          <w:w w:val="105"/>
          <w:sz w:val="21"/>
        </w:rPr>
        <w:t>elapsed and no election </w:t>
      </w:r>
      <w:r>
        <w:rPr>
          <w:spacing w:val="-2"/>
          <w:w w:val="105"/>
          <w:sz w:val="21"/>
        </w:rPr>
        <w:t>has </w:t>
      </w:r>
      <w:r>
        <w:rPr>
          <w:w w:val="105"/>
          <w:sz w:val="21"/>
        </w:rPr>
        <w:t>been</w:t>
      </w:r>
      <w:r>
        <w:rPr>
          <w:spacing w:val="40"/>
          <w:w w:val="105"/>
          <w:sz w:val="21"/>
        </w:rPr>
        <w:t> </w:t>
      </w:r>
      <w:r>
        <w:rPr>
          <w:w w:val="105"/>
          <w:sz w:val="21"/>
        </w:rPr>
        <w:t>made</w:t>
      </w:r>
    </w:p>
    <w:p>
      <w:pPr>
        <w:pStyle w:val="ListParagraph"/>
        <w:numPr>
          <w:ilvl w:val="1"/>
          <w:numId w:val="12"/>
        </w:numPr>
        <w:tabs>
          <w:tab w:pos="3029" w:val="left" w:leader="none"/>
        </w:tabs>
        <w:spacing w:line="242" w:lineRule="auto" w:before="123" w:after="0"/>
        <w:ind w:left="3028" w:right="2006" w:hanging="306"/>
        <w:jc w:val="left"/>
        <w:rPr>
          <w:sz w:val="21"/>
        </w:rPr>
      </w:pPr>
      <w:r>
        <w:rPr>
          <w:sz w:val="21"/>
        </w:rPr>
        <w:t>the election </w:t>
      </w:r>
      <w:r>
        <w:rPr>
          <w:spacing w:val="-3"/>
          <w:sz w:val="21"/>
        </w:rPr>
        <w:t>requires </w:t>
      </w:r>
      <w:r>
        <w:rPr>
          <w:sz w:val="21"/>
        </w:rPr>
        <w:t>the </w:t>
      </w:r>
      <w:r>
        <w:rPr>
          <w:spacing w:val="-3"/>
          <w:sz w:val="21"/>
        </w:rPr>
        <w:t>Court’s </w:t>
      </w:r>
      <w:r>
        <w:rPr>
          <w:sz w:val="21"/>
        </w:rPr>
        <w:t>authorisation but the necessary authorisation </w:t>
      </w:r>
      <w:r>
        <w:rPr>
          <w:spacing w:val="-2"/>
          <w:sz w:val="21"/>
        </w:rPr>
        <w:t>has </w:t>
      </w:r>
      <w:r>
        <w:rPr>
          <w:sz w:val="21"/>
        </w:rPr>
        <w:t>been </w:t>
      </w:r>
      <w:r>
        <w:rPr>
          <w:spacing w:val="-3"/>
          <w:sz w:val="21"/>
        </w:rPr>
        <w:t>refused </w:t>
      </w:r>
      <w:r>
        <w:rPr>
          <w:sz w:val="21"/>
        </w:rPr>
        <w:t>or the application </w:t>
      </w:r>
      <w:r>
        <w:rPr>
          <w:spacing w:val="-3"/>
          <w:sz w:val="21"/>
        </w:rPr>
        <w:t>for </w:t>
      </w:r>
      <w:r>
        <w:rPr>
          <w:sz w:val="21"/>
        </w:rPr>
        <w:t>authorisation </w:t>
      </w:r>
      <w:r>
        <w:rPr>
          <w:spacing w:val="-2"/>
          <w:sz w:val="21"/>
        </w:rPr>
        <w:t>has </w:t>
      </w:r>
      <w:r>
        <w:rPr>
          <w:sz w:val="21"/>
        </w:rPr>
        <w:t>been</w:t>
      </w:r>
      <w:r>
        <w:rPr>
          <w:spacing w:val="-3"/>
          <w:sz w:val="21"/>
        </w:rPr>
        <w:t> withdrawn</w:t>
      </w:r>
    </w:p>
    <w:p>
      <w:pPr>
        <w:pStyle w:val="ListParagraph"/>
        <w:numPr>
          <w:ilvl w:val="1"/>
          <w:numId w:val="12"/>
        </w:numPr>
        <w:tabs>
          <w:tab w:pos="3029" w:val="left" w:leader="none"/>
        </w:tabs>
        <w:spacing w:line="242" w:lineRule="auto" w:before="123" w:after="0"/>
        <w:ind w:left="3028" w:right="2062" w:hanging="306"/>
        <w:jc w:val="left"/>
        <w:rPr>
          <w:sz w:val="21"/>
        </w:rPr>
      </w:pPr>
      <w:r>
        <w:rPr>
          <w:sz w:val="21"/>
        </w:rPr>
        <w:t>the partner </w:t>
      </w:r>
      <w:r>
        <w:rPr>
          <w:spacing w:val="-2"/>
          <w:sz w:val="21"/>
        </w:rPr>
        <w:t>has </w:t>
      </w:r>
      <w:r>
        <w:rPr>
          <w:sz w:val="21"/>
        </w:rPr>
        <w:t>notified the personal </w:t>
      </w:r>
      <w:r>
        <w:rPr>
          <w:spacing w:val="-3"/>
          <w:sz w:val="21"/>
        </w:rPr>
        <w:t>representative, </w:t>
      </w:r>
      <w:r>
        <w:rPr>
          <w:sz w:val="21"/>
        </w:rPr>
        <w:t>in </w:t>
      </w:r>
      <w:r>
        <w:rPr>
          <w:spacing w:val="-3"/>
          <w:sz w:val="21"/>
        </w:rPr>
        <w:t>writing, that </w:t>
      </w:r>
      <w:r>
        <w:rPr>
          <w:sz w:val="21"/>
        </w:rPr>
        <w:t>he or she does</w:t>
      </w:r>
      <w:r>
        <w:rPr>
          <w:spacing w:val="14"/>
          <w:sz w:val="21"/>
        </w:rPr>
        <w:t> </w:t>
      </w:r>
      <w:r>
        <w:rPr>
          <w:spacing w:val="-2"/>
          <w:sz w:val="21"/>
        </w:rPr>
        <w:t>not</w:t>
      </w:r>
      <w:r>
        <w:rPr>
          <w:spacing w:val="15"/>
          <w:sz w:val="21"/>
        </w:rPr>
        <w:t> </w:t>
      </w:r>
      <w:r>
        <w:rPr>
          <w:sz w:val="21"/>
        </w:rPr>
        <w:t>propose</w:t>
      </w:r>
      <w:r>
        <w:rPr>
          <w:spacing w:val="15"/>
          <w:sz w:val="21"/>
        </w:rPr>
        <w:t> </w:t>
      </w:r>
      <w:r>
        <w:rPr>
          <w:spacing w:val="-3"/>
          <w:sz w:val="21"/>
        </w:rPr>
        <w:t>to</w:t>
      </w:r>
      <w:r>
        <w:rPr>
          <w:spacing w:val="14"/>
          <w:sz w:val="21"/>
        </w:rPr>
        <w:t> </w:t>
      </w:r>
      <w:r>
        <w:rPr>
          <w:spacing w:val="-3"/>
          <w:sz w:val="21"/>
        </w:rPr>
        <w:t>exercise</w:t>
      </w:r>
      <w:r>
        <w:rPr>
          <w:spacing w:val="15"/>
          <w:sz w:val="21"/>
        </w:rPr>
        <w:t> </w:t>
      </w:r>
      <w:r>
        <w:rPr>
          <w:sz w:val="21"/>
        </w:rPr>
        <w:t>the</w:t>
      </w:r>
      <w:r>
        <w:rPr>
          <w:spacing w:val="15"/>
          <w:sz w:val="21"/>
        </w:rPr>
        <w:t> </w:t>
      </w:r>
      <w:r>
        <w:rPr>
          <w:spacing w:val="-3"/>
          <w:sz w:val="21"/>
        </w:rPr>
        <w:t>right</w:t>
      </w:r>
      <w:r>
        <w:rPr>
          <w:spacing w:val="14"/>
          <w:sz w:val="21"/>
        </w:rPr>
        <w:t> </w:t>
      </w:r>
      <w:r>
        <w:rPr>
          <w:spacing w:val="-3"/>
          <w:sz w:val="21"/>
        </w:rPr>
        <w:t>to</w:t>
      </w:r>
      <w:r>
        <w:rPr>
          <w:spacing w:val="15"/>
          <w:sz w:val="21"/>
        </w:rPr>
        <w:t> </w:t>
      </w:r>
      <w:r>
        <w:rPr>
          <w:spacing w:val="-3"/>
          <w:sz w:val="21"/>
        </w:rPr>
        <w:t>acquire</w:t>
      </w:r>
      <w:r>
        <w:rPr>
          <w:spacing w:val="15"/>
          <w:sz w:val="21"/>
        </w:rPr>
        <w:t> </w:t>
      </w:r>
      <w:r>
        <w:rPr>
          <w:sz w:val="21"/>
        </w:rPr>
        <w:t>property</w:t>
      </w:r>
      <w:r>
        <w:rPr>
          <w:spacing w:val="14"/>
          <w:sz w:val="21"/>
        </w:rPr>
        <w:t> </w:t>
      </w:r>
      <w:r>
        <w:rPr>
          <w:spacing w:val="-3"/>
          <w:sz w:val="21"/>
        </w:rPr>
        <w:t>from</w:t>
      </w:r>
      <w:r>
        <w:rPr>
          <w:spacing w:val="15"/>
          <w:sz w:val="21"/>
        </w:rPr>
        <w:t> </w:t>
      </w:r>
      <w:r>
        <w:rPr>
          <w:sz w:val="21"/>
        </w:rPr>
        <w:t>the</w:t>
      </w:r>
      <w:r>
        <w:rPr>
          <w:spacing w:val="15"/>
          <w:sz w:val="21"/>
        </w:rPr>
        <w:t> </w:t>
      </w:r>
      <w:r>
        <w:rPr>
          <w:sz w:val="21"/>
        </w:rPr>
        <w:t>estate</w:t>
      </w:r>
    </w:p>
    <w:p>
      <w:pPr>
        <w:pStyle w:val="ListParagraph"/>
        <w:numPr>
          <w:ilvl w:val="1"/>
          <w:numId w:val="12"/>
        </w:numPr>
        <w:tabs>
          <w:tab w:pos="3029" w:val="left" w:leader="none"/>
        </w:tabs>
        <w:spacing w:line="242" w:lineRule="auto" w:before="122" w:after="0"/>
        <w:ind w:left="3028" w:right="2136" w:hanging="306"/>
        <w:jc w:val="left"/>
        <w:rPr>
          <w:sz w:val="21"/>
        </w:rPr>
      </w:pPr>
      <w:r>
        <w:rPr>
          <w:sz w:val="21"/>
        </w:rPr>
        <w:t>sale of the property is </w:t>
      </w:r>
      <w:r>
        <w:rPr>
          <w:spacing w:val="-3"/>
          <w:sz w:val="21"/>
        </w:rPr>
        <w:t>required to </w:t>
      </w:r>
      <w:r>
        <w:rPr>
          <w:sz w:val="21"/>
        </w:rPr>
        <w:t>meet </w:t>
      </w:r>
      <w:r>
        <w:rPr>
          <w:spacing w:val="-3"/>
          <w:sz w:val="21"/>
        </w:rPr>
        <w:t>funeral </w:t>
      </w:r>
      <w:r>
        <w:rPr>
          <w:sz w:val="21"/>
        </w:rPr>
        <w:t>and </w:t>
      </w:r>
      <w:r>
        <w:rPr>
          <w:spacing w:val="-3"/>
          <w:sz w:val="21"/>
        </w:rPr>
        <w:t>administration </w:t>
      </w:r>
      <w:r>
        <w:rPr>
          <w:sz w:val="21"/>
        </w:rPr>
        <w:t>expenses, debts and other </w:t>
      </w:r>
      <w:r>
        <w:rPr>
          <w:spacing w:val="-3"/>
          <w:sz w:val="21"/>
        </w:rPr>
        <w:t>liabilities </w:t>
      </w:r>
      <w:r>
        <w:rPr>
          <w:sz w:val="21"/>
        </w:rPr>
        <w:t>of the</w:t>
      </w:r>
      <w:r>
        <w:rPr>
          <w:spacing w:val="6"/>
          <w:sz w:val="21"/>
        </w:rPr>
        <w:t> </w:t>
      </w:r>
      <w:r>
        <w:rPr>
          <w:sz w:val="21"/>
        </w:rPr>
        <w:t>estate</w:t>
      </w:r>
    </w:p>
    <w:p>
      <w:pPr>
        <w:pStyle w:val="ListParagraph"/>
        <w:numPr>
          <w:ilvl w:val="1"/>
          <w:numId w:val="12"/>
        </w:numPr>
        <w:tabs>
          <w:tab w:pos="3029" w:val="left" w:leader="none"/>
        </w:tabs>
        <w:spacing w:line="240" w:lineRule="auto" w:before="122" w:after="0"/>
        <w:ind w:left="3028" w:right="0" w:hanging="306"/>
        <w:jc w:val="left"/>
        <w:rPr>
          <w:sz w:val="21"/>
        </w:rPr>
      </w:pPr>
      <w:r>
        <w:rPr>
          <w:sz w:val="21"/>
        </w:rPr>
        <w:t>the</w:t>
      </w:r>
      <w:r>
        <w:rPr>
          <w:spacing w:val="8"/>
          <w:sz w:val="21"/>
        </w:rPr>
        <w:t> </w:t>
      </w:r>
      <w:r>
        <w:rPr>
          <w:sz w:val="21"/>
        </w:rPr>
        <w:t>property</w:t>
      </w:r>
      <w:r>
        <w:rPr>
          <w:spacing w:val="8"/>
          <w:sz w:val="21"/>
        </w:rPr>
        <w:t> </w:t>
      </w:r>
      <w:r>
        <w:rPr>
          <w:sz w:val="21"/>
        </w:rPr>
        <w:t>is</w:t>
      </w:r>
      <w:r>
        <w:rPr>
          <w:spacing w:val="9"/>
          <w:sz w:val="21"/>
        </w:rPr>
        <w:t> </w:t>
      </w:r>
      <w:r>
        <w:rPr>
          <w:sz w:val="21"/>
        </w:rPr>
        <w:t>perishable</w:t>
      </w:r>
      <w:r>
        <w:rPr>
          <w:spacing w:val="8"/>
          <w:sz w:val="21"/>
        </w:rPr>
        <w:t> </w:t>
      </w:r>
      <w:r>
        <w:rPr>
          <w:sz w:val="21"/>
        </w:rPr>
        <w:t>or</w:t>
      </w:r>
      <w:r>
        <w:rPr>
          <w:spacing w:val="9"/>
          <w:sz w:val="21"/>
        </w:rPr>
        <w:t> </w:t>
      </w:r>
      <w:r>
        <w:rPr>
          <w:spacing w:val="-4"/>
          <w:sz w:val="21"/>
        </w:rPr>
        <w:t>likely</w:t>
      </w:r>
      <w:r>
        <w:rPr>
          <w:spacing w:val="8"/>
          <w:sz w:val="21"/>
        </w:rPr>
        <w:t> </w:t>
      </w:r>
      <w:r>
        <w:rPr>
          <w:spacing w:val="-3"/>
          <w:sz w:val="21"/>
        </w:rPr>
        <w:t>to</w:t>
      </w:r>
      <w:r>
        <w:rPr>
          <w:spacing w:val="9"/>
          <w:sz w:val="21"/>
        </w:rPr>
        <w:t> </w:t>
      </w:r>
      <w:r>
        <w:rPr>
          <w:sz w:val="21"/>
        </w:rPr>
        <w:t>decrease</w:t>
      </w:r>
      <w:r>
        <w:rPr>
          <w:spacing w:val="8"/>
          <w:sz w:val="21"/>
        </w:rPr>
        <w:t> </w:t>
      </w:r>
      <w:r>
        <w:rPr>
          <w:sz w:val="21"/>
        </w:rPr>
        <w:t>rapidly</w:t>
      </w:r>
      <w:r>
        <w:rPr>
          <w:spacing w:val="9"/>
          <w:sz w:val="21"/>
        </w:rPr>
        <w:t> </w:t>
      </w:r>
      <w:r>
        <w:rPr>
          <w:sz w:val="21"/>
        </w:rPr>
        <w:t>in</w:t>
      </w:r>
      <w:r>
        <w:rPr>
          <w:spacing w:val="8"/>
          <w:sz w:val="21"/>
        </w:rPr>
        <w:t> </w:t>
      </w:r>
      <w:r>
        <w:rPr>
          <w:spacing w:val="-4"/>
          <w:sz w:val="21"/>
        </w:rPr>
        <w:t>value.</w:t>
      </w:r>
    </w:p>
    <w:p>
      <w:pPr>
        <w:pStyle w:val="ListParagraph"/>
        <w:numPr>
          <w:ilvl w:val="0"/>
          <w:numId w:val="12"/>
        </w:numPr>
        <w:tabs>
          <w:tab w:pos="1929" w:val="left" w:leader="none"/>
        </w:tabs>
        <w:spacing w:line="242" w:lineRule="auto" w:before="124" w:after="0"/>
        <w:ind w:left="1928" w:right="1660" w:hanging="340"/>
        <w:jc w:val="left"/>
        <w:rPr>
          <w:sz w:val="21"/>
        </w:rPr>
      </w:pPr>
      <w:r>
        <w:rPr>
          <w:w w:val="105"/>
          <w:sz w:val="21"/>
        </w:rPr>
        <w:t>Details of the expanded </w:t>
      </w:r>
      <w:r>
        <w:rPr>
          <w:spacing w:val="-3"/>
          <w:w w:val="105"/>
          <w:sz w:val="21"/>
        </w:rPr>
        <w:t>right </w:t>
      </w:r>
      <w:r>
        <w:rPr>
          <w:w w:val="105"/>
          <w:sz w:val="21"/>
        </w:rPr>
        <w:t>of the deceased </w:t>
      </w:r>
      <w:r>
        <w:rPr>
          <w:spacing w:val="-3"/>
          <w:w w:val="105"/>
          <w:sz w:val="21"/>
        </w:rPr>
        <w:t>person’s </w:t>
      </w:r>
      <w:r>
        <w:rPr>
          <w:w w:val="105"/>
          <w:sz w:val="21"/>
        </w:rPr>
        <w:t>partner </w:t>
      </w:r>
      <w:r>
        <w:rPr>
          <w:spacing w:val="-3"/>
          <w:w w:val="105"/>
          <w:sz w:val="21"/>
        </w:rPr>
        <w:t>to </w:t>
      </w:r>
      <w:r>
        <w:rPr>
          <w:w w:val="105"/>
          <w:sz w:val="21"/>
        </w:rPr>
        <w:t>elect </w:t>
      </w:r>
      <w:r>
        <w:rPr>
          <w:spacing w:val="-3"/>
          <w:w w:val="105"/>
          <w:sz w:val="21"/>
        </w:rPr>
        <w:t>to acquire </w:t>
      </w:r>
      <w:r>
        <w:rPr>
          <w:w w:val="105"/>
          <w:sz w:val="21"/>
        </w:rPr>
        <w:t>property </w:t>
      </w:r>
      <w:r>
        <w:rPr>
          <w:spacing w:val="-3"/>
          <w:w w:val="105"/>
          <w:sz w:val="21"/>
        </w:rPr>
        <w:t>from</w:t>
      </w:r>
      <w:r>
        <w:rPr>
          <w:spacing w:val="-6"/>
          <w:w w:val="105"/>
          <w:sz w:val="21"/>
        </w:rPr>
        <w:t> </w:t>
      </w:r>
      <w:r>
        <w:rPr>
          <w:w w:val="105"/>
          <w:sz w:val="21"/>
        </w:rPr>
        <w:t>the</w:t>
      </w:r>
      <w:r>
        <w:rPr>
          <w:spacing w:val="-6"/>
          <w:w w:val="105"/>
          <w:sz w:val="21"/>
        </w:rPr>
        <w:t> </w:t>
      </w:r>
      <w:r>
        <w:rPr>
          <w:spacing w:val="-3"/>
          <w:w w:val="105"/>
          <w:sz w:val="21"/>
        </w:rPr>
        <w:t>intestate</w:t>
      </w:r>
      <w:r>
        <w:rPr>
          <w:spacing w:val="-6"/>
          <w:w w:val="105"/>
          <w:sz w:val="21"/>
        </w:rPr>
        <w:t> </w:t>
      </w:r>
      <w:r>
        <w:rPr>
          <w:spacing w:val="-3"/>
          <w:w w:val="105"/>
          <w:sz w:val="21"/>
        </w:rPr>
        <w:t>estate,</w:t>
      </w:r>
      <w:r>
        <w:rPr>
          <w:spacing w:val="-6"/>
          <w:w w:val="105"/>
          <w:sz w:val="21"/>
        </w:rPr>
        <w:t> </w:t>
      </w:r>
      <w:r>
        <w:rPr>
          <w:spacing w:val="-3"/>
          <w:w w:val="105"/>
          <w:sz w:val="21"/>
        </w:rPr>
        <w:t>including</w:t>
      </w:r>
      <w:r>
        <w:rPr>
          <w:spacing w:val="-6"/>
          <w:w w:val="105"/>
          <w:sz w:val="21"/>
        </w:rPr>
        <w:t> </w:t>
      </w:r>
      <w:r>
        <w:rPr>
          <w:w w:val="105"/>
          <w:sz w:val="21"/>
        </w:rPr>
        <w:t>in</w:t>
      </w:r>
      <w:r>
        <w:rPr>
          <w:spacing w:val="-5"/>
          <w:w w:val="105"/>
          <w:sz w:val="21"/>
        </w:rPr>
        <w:t> </w:t>
      </w:r>
      <w:r>
        <w:rPr>
          <w:spacing w:val="-3"/>
          <w:w w:val="105"/>
          <w:sz w:val="21"/>
        </w:rPr>
        <w:t>relation</w:t>
      </w:r>
      <w:r>
        <w:rPr>
          <w:spacing w:val="-6"/>
          <w:w w:val="105"/>
          <w:sz w:val="21"/>
        </w:rPr>
        <w:t> </w:t>
      </w:r>
      <w:r>
        <w:rPr>
          <w:spacing w:val="-3"/>
          <w:w w:val="105"/>
          <w:sz w:val="21"/>
        </w:rPr>
        <w:t>to</w:t>
      </w:r>
      <w:r>
        <w:rPr>
          <w:spacing w:val="-6"/>
          <w:w w:val="105"/>
          <w:sz w:val="21"/>
        </w:rPr>
        <w:t> </w:t>
      </w:r>
      <w:r>
        <w:rPr>
          <w:spacing w:val="-3"/>
          <w:w w:val="105"/>
          <w:sz w:val="21"/>
        </w:rPr>
        <w:t>notice</w:t>
      </w:r>
      <w:r>
        <w:rPr>
          <w:spacing w:val="-6"/>
          <w:w w:val="105"/>
          <w:sz w:val="21"/>
        </w:rPr>
        <w:t> </w:t>
      </w:r>
      <w:r>
        <w:rPr>
          <w:spacing w:val="-3"/>
          <w:w w:val="105"/>
          <w:sz w:val="21"/>
        </w:rPr>
        <w:t>requirements,</w:t>
      </w:r>
      <w:r>
        <w:rPr>
          <w:spacing w:val="-6"/>
          <w:w w:val="105"/>
          <w:sz w:val="21"/>
        </w:rPr>
        <w:t> </w:t>
      </w:r>
      <w:r>
        <w:rPr>
          <w:w w:val="105"/>
          <w:sz w:val="21"/>
        </w:rPr>
        <w:t>time</w:t>
      </w:r>
      <w:r>
        <w:rPr>
          <w:spacing w:val="-6"/>
          <w:w w:val="105"/>
          <w:sz w:val="21"/>
        </w:rPr>
        <w:t> </w:t>
      </w:r>
      <w:r>
        <w:rPr>
          <w:spacing w:val="-2"/>
          <w:w w:val="105"/>
          <w:sz w:val="21"/>
        </w:rPr>
        <w:t>limits</w:t>
      </w:r>
      <w:r>
        <w:rPr>
          <w:spacing w:val="-5"/>
          <w:w w:val="105"/>
          <w:sz w:val="21"/>
        </w:rPr>
        <w:t> </w:t>
      </w:r>
      <w:r>
        <w:rPr>
          <w:w w:val="105"/>
          <w:sz w:val="21"/>
        </w:rPr>
        <w:t>and</w:t>
      </w:r>
      <w:r>
        <w:rPr>
          <w:spacing w:val="-6"/>
          <w:w w:val="105"/>
          <w:sz w:val="21"/>
        </w:rPr>
        <w:t> </w:t>
      </w:r>
      <w:r>
        <w:rPr>
          <w:spacing w:val="-3"/>
          <w:w w:val="105"/>
          <w:sz w:val="21"/>
        </w:rPr>
        <w:t>valuation </w:t>
      </w:r>
      <w:r>
        <w:rPr>
          <w:w w:val="105"/>
          <w:sz w:val="21"/>
        </w:rPr>
        <w:t>of property, should be based on the </w:t>
      </w:r>
      <w:r>
        <w:rPr>
          <w:spacing w:val="-3"/>
          <w:w w:val="105"/>
          <w:sz w:val="21"/>
        </w:rPr>
        <w:t>recommendations </w:t>
      </w:r>
      <w:r>
        <w:rPr>
          <w:w w:val="105"/>
          <w:sz w:val="21"/>
        </w:rPr>
        <w:t>of the </w:t>
      </w:r>
      <w:r>
        <w:rPr>
          <w:spacing w:val="-3"/>
          <w:w w:val="105"/>
          <w:sz w:val="21"/>
        </w:rPr>
        <w:t>National Committee for Uniform Succession </w:t>
      </w:r>
      <w:r>
        <w:rPr>
          <w:w w:val="105"/>
          <w:sz w:val="21"/>
        </w:rPr>
        <w:t>Laws, as reflected in sections </w:t>
      </w:r>
      <w:r>
        <w:rPr>
          <w:spacing w:val="-11"/>
          <w:w w:val="105"/>
          <w:sz w:val="21"/>
        </w:rPr>
        <w:t>114–121 </w:t>
      </w:r>
      <w:r>
        <w:rPr>
          <w:w w:val="105"/>
          <w:sz w:val="21"/>
        </w:rPr>
        <w:t>of the </w:t>
      </w:r>
      <w:r>
        <w:rPr>
          <w:i/>
          <w:spacing w:val="-3"/>
          <w:w w:val="105"/>
          <w:sz w:val="21"/>
        </w:rPr>
        <w:t>Succession </w:t>
      </w:r>
      <w:r>
        <w:rPr>
          <w:i/>
          <w:w w:val="105"/>
          <w:sz w:val="21"/>
        </w:rPr>
        <w:t>Act 2006</w:t>
      </w:r>
      <w:r>
        <w:rPr>
          <w:i/>
          <w:spacing w:val="32"/>
          <w:w w:val="105"/>
          <w:sz w:val="21"/>
        </w:rPr>
        <w:t> </w:t>
      </w:r>
      <w:r>
        <w:rPr>
          <w:spacing w:val="2"/>
          <w:w w:val="105"/>
          <w:sz w:val="21"/>
        </w:rPr>
        <w:t>(NSW).</w:t>
      </w:r>
    </w:p>
    <w:p>
      <w:pPr>
        <w:spacing w:before="46"/>
        <w:ind w:left="720" w:right="0" w:firstLine="0"/>
        <w:jc w:val="left"/>
        <w:rPr>
          <w:b/>
          <w:sz w:val="24"/>
        </w:rPr>
      </w:pPr>
      <w:r>
        <w:rPr>
          <w:b/>
          <w:color w:val="EC5A4F"/>
          <w:w w:val="120"/>
          <w:sz w:val="24"/>
        </w:rPr>
        <w:t>xxvi</w:t>
      </w:r>
    </w:p>
    <w:p>
      <w:pPr>
        <w:spacing w:after="0"/>
        <w:jc w:val="left"/>
        <w:rPr>
          <w:sz w:val="24"/>
        </w:rPr>
        <w:sectPr>
          <w:pgSz w:w="11910" w:h="16840"/>
          <w:pgMar w:header="1372" w:footer="0" w:top="1560" w:bottom="280" w:left="0" w:right="0"/>
        </w:sectPr>
      </w:pPr>
    </w:p>
    <w:p>
      <w:pPr>
        <w:pStyle w:val="BodyText"/>
        <w:spacing w:before="11"/>
        <w:rPr>
          <w:b/>
        </w:rPr>
      </w:pPr>
    </w:p>
    <w:p>
      <w:pPr>
        <w:spacing w:before="99"/>
        <w:ind w:left="1587" w:right="0" w:firstLine="0"/>
        <w:jc w:val="left"/>
        <w:rPr>
          <w:b/>
          <w:sz w:val="24"/>
        </w:rPr>
      </w:pPr>
      <w:r>
        <w:rPr>
          <w:b/>
          <w:w w:val="110"/>
          <w:sz w:val="24"/>
        </w:rPr>
        <w:t>Multiple partners</w:t>
      </w:r>
    </w:p>
    <w:p>
      <w:pPr>
        <w:pStyle w:val="ListParagraph"/>
        <w:numPr>
          <w:ilvl w:val="0"/>
          <w:numId w:val="13"/>
        </w:numPr>
        <w:tabs>
          <w:tab w:pos="1928" w:val="left" w:leader="none"/>
        </w:tabs>
        <w:spacing w:line="242" w:lineRule="auto" w:before="137" w:after="0"/>
        <w:ind w:left="1927" w:right="1682" w:hanging="340"/>
        <w:jc w:val="left"/>
        <w:rPr>
          <w:sz w:val="21"/>
        </w:rPr>
      </w:pPr>
      <w:r>
        <w:rPr>
          <w:w w:val="105"/>
          <w:sz w:val="21"/>
        </w:rPr>
        <w:t>Where the deceased person is survived by </w:t>
      </w:r>
      <w:r>
        <w:rPr>
          <w:spacing w:val="-3"/>
          <w:w w:val="105"/>
          <w:sz w:val="21"/>
        </w:rPr>
        <w:t>multiple </w:t>
      </w:r>
      <w:r>
        <w:rPr>
          <w:w w:val="105"/>
          <w:sz w:val="21"/>
        </w:rPr>
        <w:t>partners, but no </w:t>
      </w:r>
      <w:r>
        <w:rPr>
          <w:spacing w:val="-3"/>
          <w:w w:val="105"/>
          <w:sz w:val="21"/>
        </w:rPr>
        <w:t>children </w:t>
      </w:r>
      <w:r>
        <w:rPr>
          <w:w w:val="105"/>
          <w:sz w:val="21"/>
        </w:rPr>
        <w:t>or other </w:t>
      </w:r>
      <w:r>
        <w:rPr>
          <w:spacing w:val="-3"/>
          <w:w w:val="105"/>
          <w:sz w:val="21"/>
        </w:rPr>
        <w:t>issue </w:t>
      </w:r>
      <w:r>
        <w:rPr>
          <w:w w:val="105"/>
          <w:sz w:val="21"/>
        </w:rPr>
        <w:t>who </w:t>
      </w:r>
      <w:r>
        <w:rPr>
          <w:spacing w:val="-3"/>
          <w:w w:val="105"/>
          <w:sz w:val="21"/>
        </w:rPr>
        <w:t>are </w:t>
      </w:r>
      <w:r>
        <w:rPr>
          <w:w w:val="105"/>
          <w:sz w:val="21"/>
        </w:rPr>
        <w:t>entitled </w:t>
      </w:r>
      <w:r>
        <w:rPr>
          <w:spacing w:val="-3"/>
          <w:w w:val="105"/>
          <w:sz w:val="21"/>
        </w:rPr>
        <w:t>to </w:t>
      </w:r>
      <w:r>
        <w:rPr>
          <w:w w:val="105"/>
          <w:sz w:val="21"/>
        </w:rPr>
        <w:t>a </w:t>
      </w:r>
      <w:r>
        <w:rPr>
          <w:spacing w:val="-3"/>
          <w:w w:val="105"/>
          <w:sz w:val="21"/>
        </w:rPr>
        <w:t>share </w:t>
      </w:r>
      <w:r>
        <w:rPr>
          <w:w w:val="105"/>
          <w:sz w:val="21"/>
        </w:rPr>
        <w:t>on </w:t>
      </w:r>
      <w:r>
        <w:rPr>
          <w:spacing w:val="-3"/>
          <w:w w:val="105"/>
          <w:sz w:val="21"/>
        </w:rPr>
        <w:t>intestacy, </w:t>
      </w:r>
      <w:r>
        <w:rPr>
          <w:w w:val="105"/>
          <w:sz w:val="21"/>
        </w:rPr>
        <w:t>the </w:t>
      </w:r>
      <w:r>
        <w:rPr>
          <w:i/>
          <w:spacing w:val="-3"/>
          <w:w w:val="105"/>
          <w:sz w:val="21"/>
        </w:rPr>
        <w:t>Administration </w:t>
      </w:r>
      <w:r>
        <w:rPr>
          <w:i/>
          <w:w w:val="105"/>
          <w:sz w:val="21"/>
        </w:rPr>
        <w:t>and Probate Act </w:t>
      </w:r>
      <w:r>
        <w:rPr>
          <w:i/>
          <w:spacing w:val="-6"/>
          <w:w w:val="105"/>
          <w:sz w:val="21"/>
        </w:rPr>
        <w:t>1958 </w:t>
      </w:r>
      <w:r>
        <w:rPr>
          <w:w w:val="105"/>
          <w:sz w:val="21"/>
        </w:rPr>
        <w:t>(Vic) should provide </w:t>
      </w:r>
      <w:r>
        <w:rPr>
          <w:spacing w:val="-3"/>
          <w:w w:val="105"/>
          <w:sz w:val="21"/>
        </w:rPr>
        <w:t>for </w:t>
      </w:r>
      <w:r>
        <w:rPr>
          <w:w w:val="105"/>
          <w:sz w:val="21"/>
        </w:rPr>
        <w:t>the </w:t>
      </w:r>
      <w:r>
        <w:rPr>
          <w:spacing w:val="-3"/>
          <w:w w:val="105"/>
          <w:sz w:val="21"/>
        </w:rPr>
        <w:t>intestate </w:t>
      </w:r>
      <w:r>
        <w:rPr>
          <w:w w:val="105"/>
          <w:sz w:val="21"/>
        </w:rPr>
        <w:t>estate </w:t>
      </w:r>
      <w:r>
        <w:rPr>
          <w:spacing w:val="-3"/>
          <w:w w:val="105"/>
          <w:sz w:val="21"/>
        </w:rPr>
        <w:t>to </w:t>
      </w:r>
      <w:r>
        <w:rPr>
          <w:w w:val="105"/>
          <w:sz w:val="21"/>
        </w:rPr>
        <w:t>be</w:t>
      </w:r>
      <w:r>
        <w:rPr>
          <w:spacing w:val="34"/>
          <w:w w:val="105"/>
          <w:sz w:val="21"/>
        </w:rPr>
        <w:t> </w:t>
      </w:r>
      <w:r>
        <w:rPr>
          <w:w w:val="105"/>
          <w:sz w:val="21"/>
        </w:rPr>
        <w:t>distributed:</w:t>
      </w:r>
    </w:p>
    <w:p>
      <w:pPr>
        <w:pStyle w:val="ListParagraph"/>
        <w:numPr>
          <w:ilvl w:val="1"/>
          <w:numId w:val="13"/>
        </w:numPr>
        <w:tabs>
          <w:tab w:pos="3028" w:val="left" w:leader="none"/>
        </w:tabs>
        <w:spacing w:line="240" w:lineRule="auto" w:before="123" w:after="0"/>
        <w:ind w:left="3027" w:right="0" w:hanging="306"/>
        <w:jc w:val="left"/>
        <w:rPr>
          <w:sz w:val="21"/>
        </w:rPr>
      </w:pPr>
      <w:r>
        <w:rPr>
          <w:w w:val="105"/>
          <w:sz w:val="21"/>
        </w:rPr>
        <w:t>in </w:t>
      </w:r>
      <w:r>
        <w:rPr>
          <w:spacing w:val="-3"/>
          <w:w w:val="105"/>
          <w:sz w:val="21"/>
        </w:rPr>
        <w:t>accordance </w:t>
      </w:r>
      <w:r>
        <w:rPr>
          <w:w w:val="105"/>
          <w:sz w:val="21"/>
        </w:rPr>
        <w:t>with a </w:t>
      </w:r>
      <w:r>
        <w:rPr>
          <w:spacing w:val="-2"/>
          <w:w w:val="105"/>
          <w:sz w:val="21"/>
        </w:rPr>
        <w:t>distribution agreement,</w:t>
      </w:r>
      <w:r>
        <w:rPr>
          <w:spacing w:val="34"/>
          <w:w w:val="105"/>
          <w:sz w:val="21"/>
        </w:rPr>
        <w:t> </w:t>
      </w:r>
      <w:r>
        <w:rPr>
          <w:w w:val="105"/>
          <w:sz w:val="21"/>
        </w:rPr>
        <w:t>or</w:t>
      </w:r>
    </w:p>
    <w:p>
      <w:pPr>
        <w:pStyle w:val="ListParagraph"/>
        <w:numPr>
          <w:ilvl w:val="1"/>
          <w:numId w:val="13"/>
        </w:numPr>
        <w:tabs>
          <w:tab w:pos="3028" w:val="left" w:leader="none"/>
        </w:tabs>
        <w:spacing w:line="240" w:lineRule="auto" w:before="124" w:after="0"/>
        <w:ind w:left="3027" w:right="0" w:hanging="306"/>
        <w:jc w:val="left"/>
        <w:rPr>
          <w:sz w:val="21"/>
        </w:rPr>
      </w:pPr>
      <w:r>
        <w:rPr>
          <w:sz w:val="21"/>
        </w:rPr>
        <w:t>in </w:t>
      </w:r>
      <w:r>
        <w:rPr>
          <w:spacing w:val="-3"/>
          <w:sz w:val="21"/>
        </w:rPr>
        <w:t>accordance </w:t>
      </w:r>
      <w:r>
        <w:rPr>
          <w:sz w:val="21"/>
        </w:rPr>
        <w:t>with a </w:t>
      </w:r>
      <w:r>
        <w:rPr>
          <w:spacing w:val="-2"/>
          <w:sz w:val="21"/>
        </w:rPr>
        <w:t>distribution </w:t>
      </w:r>
      <w:r>
        <w:rPr>
          <w:spacing w:val="-4"/>
          <w:sz w:val="21"/>
        </w:rPr>
        <w:t>order,</w:t>
      </w:r>
      <w:r>
        <w:rPr>
          <w:spacing w:val="15"/>
          <w:sz w:val="21"/>
        </w:rPr>
        <w:t> </w:t>
      </w:r>
      <w:r>
        <w:rPr>
          <w:sz w:val="21"/>
        </w:rPr>
        <w:t>or</w:t>
      </w:r>
    </w:p>
    <w:p>
      <w:pPr>
        <w:pStyle w:val="ListParagraph"/>
        <w:numPr>
          <w:ilvl w:val="1"/>
          <w:numId w:val="13"/>
        </w:numPr>
        <w:tabs>
          <w:tab w:pos="3028" w:val="left" w:leader="none"/>
        </w:tabs>
        <w:spacing w:line="240" w:lineRule="auto" w:before="124" w:after="0"/>
        <w:ind w:left="3027" w:right="0" w:hanging="306"/>
        <w:jc w:val="left"/>
        <w:rPr>
          <w:sz w:val="21"/>
        </w:rPr>
      </w:pPr>
      <w:r>
        <w:rPr>
          <w:spacing w:val="-3"/>
          <w:sz w:val="21"/>
        </w:rPr>
        <w:t>equally </w:t>
      </w:r>
      <w:r>
        <w:rPr>
          <w:sz w:val="21"/>
        </w:rPr>
        <w:t>between the</w:t>
      </w:r>
      <w:r>
        <w:rPr>
          <w:spacing w:val="28"/>
          <w:sz w:val="21"/>
        </w:rPr>
        <w:t> </w:t>
      </w:r>
      <w:r>
        <w:rPr>
          <w:sz w:val="21"/>
        </w:rPr>
        <w:t>partners.</w:t>
      </w:r>
    </w:p>
    <w:p>
      <w:pPr>
        <w:pStyle w:val="ListParagraph"/>
        <w:numPr>
          <w:ilvl w:val="0"/>
          <w:numId w:val="13"/>
        </w:numPr>
        <w:tabs>
          <w:tab w:pos="1928" w:val="left" w:leader="none"/>
        </w:tabs>
        <w:spacing w:line="242" w:lineRule="auto" w:before="124" w:after="0"/>
        <w:ind w:left="1927" w:right="1646" w:hanging="340"/>
        <w:jc w:val="left"/>
        <w:rPr>
          <w:sz w:val="21"/>
        </w:rPr>
      </w:pPr>
      <w:r>
        <w:rPr>
          <w:sz w:val="21"/>
        </w:rPr>
        <w:t>Where the deceased person is survived by </w:t>
      </w:r>
      <w:r>
        <w:rPr>
          <w:spacing w:val="-3"/>
          <w:sz w:val="21"/>
        </w:rPr>
        <w:t>multiple  </w:t>
      </w:r>
      <w:r>
        <w:rPr>
          <w:sz w:val="21"/>
        </w:rPr>
        <w:t>partners and </w:t>
      </w:r>
      <w:r>
        <w:rPr>
          <w:spacing w:val="-3"/>
          <w:sz w:val="21"/>
        </w:rPr>
        <w:t>children</w:t>
      </w:r>
      <w:r>
        <w:rPr>
          <w:spacing w:val="41"/>
          <w:sz w:val="21"/>
        </w:rPr>
        <w:t> </w:t>
      </w:r>
      <w:r>
        <w:rPr>
          <w:sz w:val="21"/>
        </w:rPr>
        <w:t>or other issue who    </w:t>
      </w:r>
      <w:r>
        <w:rPr>
          <w:spacing w:val="-3"/>
          <w:sz w:val="21"/>
        </w:rPr>
        <w:t>are </w:t>
      </w:r>
      <w:r>
        <w:rPr>
          <w:sz w:val="21"/>
        </w:rPr>
        <w:t>entitled </w:t>
      </w:r>
      <w:r>
        <w:rPr>
          <w:spacing w:val="-3"/>
          <w:sz w:val="21"/>
        </w:rPr>
        <w:t>to </w:t>
      </w:r>
      <w:r>
        <w:rPr>
          <w:sz w:val="21"/>
        </w:rPr>
        <w:t>a </w:t>
      </w:r>
      <w:r>
        <w:rPr>
          <w:spacing w:val="-3"/>
          <w:sz w:val="21"/>
        </w:rPr>
        <w:t>share </w:t>
      </w:r>
      <w:r>
        <w:rPr>
          <w:sz w:val="21"/>
        </w:rPr>
        <w:t>on </w:t>
      </w:r>
      <w:r>
        <w:rPr>
          <w:spacing w:val="-3"/>
          <w:sz w:val="21"/>
        </w:rPr>
        <w:t>intestacy, </w:t>
      </w:r>
      <w:r>
        <w:rPr>
          <w:sz w:val="21"/>
        </w:rPr>
        <w:t>the deceased </w:t>
      </w:r>
      <w:r>
        <w:rPr>
          <w:spacing w:val="-3"/>
          <w:sz w:val="21"/>
        </w:rPr>
        <w:t>person’s </w:t>
      </w:r>
      <w:r>
        <w:rPr>
          <w:sz w:val="21"/>
        </w:rPr>
        <w:t>personal </w:t>
      </w:r>
      <w:r>
        <w:rPr>
          <w:spacing w:val="-3"/>
          <w:sz w:val="21"/>
        </w:rPr>
        <w:t>chattels, </w:t>
      </w:r>
      <w:r>
        <w:rPr>
          <w:sz w:val="21"/>
        </w:rPr>
        <w:t>adjusted statutory </w:t>
      </w:r>
      <w:r>
        <w:rPr>
          <w:spacing w:val="-3"/>
          <w:sz w:val="21"/>
        </w:rPr>
        <w:t>legacy, interest </w:t>
      </w:r>
      <w:r>
        <w:rPr>
          <w:sz w:val="21"/>
        </w:rPr>
        <w:t>on the adjusted statutory legacy (if </w:t>
      </w:r>
      <w:r>
        <w:rPr>
          <w:spacing w:val="-3"/>
          <w:sz w:val="21"/>
        </w:rPr>
        <w:t>any) </w:t>
      </w:r>
      <w:r>
        <w:rPr>
          <w:sz w:val="21"/>
        </w:rPr>
        <w:t>and one </w:t>
      </w:r>
      <w:r>
        <w:rPr>
          <w:spacing w:val="-3"/>
          <w:sz w:val="21"/>
        </w:rPr>
        <w:t>half </w:t>
      </w:r>
      <w:r>
        <w:rPr>
          <w:sz w:val="21"/>
        </w:rPr>
        <w:t>of the </w:t>
      </w:r>
      <w:r>
        <w:rPr>
          <w:spacing w:val="-3"/>
          <w:sz w:val="21"/>
        </w:rPr>
        <w:t>remainder </w:t>
      </w:r>
      <w:r>
        <w:rPr>
          <w:sz w:val="21"/>
        </w:rPr>
        <w:t>of the </w:t>
      </w:r>
      <w:r>
        <w:rPr>
          <w:spacing w:val="-3"/>
          <w:sz w:val="21"/>
        </w:rPr>
        <w:t>intestate</w:t>
      </w:r>
      <w:r>
        <w:rPr>
          <w:spacing w:val="9"/>
          <w:sz w:val="21"/>
        </w:rPr>
        <w:t> </w:t>
      </w:r>
      <w:r>
        <w:rPr>
          <w:sz w:val="21"/>
        </w:rPr>
        <w:t>estate</w:t>
      </w:r>
      <w:r>
        <w:rPr>
          <w:spacing w:val="9"/>
          <w:sz w:val="21"/>
        </w:rPr>
        <w:t> </w:t>
      </w:r>
      <w:r>
        <w:rPr>
          <w:sz w:val="21"/>
        </w:rPr>
        <w:t>should</w:t>
      </w:r>
      <w:r>
        <w:rPr>
          <w:spacing w:val="9"/>
          <w:sz w:val="21"/>
        </w:rPr>
        <w:t> </w:t>
      </w:r>
      <w:r>
        <w:rPr>
          <w:sz w:val="21"/>
        </w:rPr>
        <w:t>be</w:t>
      </w:r>
      <w:r>
        <w:rPr>
          <w:spacing w:val="9"/>
          <w:sz w:val="21"/>
        </w:rPr>
        <w:t> </w:t>
      </w:r>
      <w:r>
        <w:rPr>
          <w:spacing w:val="-3"/>
          <w:sz w:val="21"/>
        </w:rPr>
        <w:t>shared</w:t>
      </w:r>
      <w:r>
        <w:rPr>
          <w:spacing w:val="9"/>
          <w:sz w:val="21"/>
        </w:rPr>
        <w:t> </w:t>
      </w:r>
      <w:r>
        <w:rPr>
          <w:sz w:val="21"/>
        </w:rPr>
        <w:t>between</w:t>
      </w:r>
      <w:r>
        <w:rPr>
          <w:spacing w:val="10"/>
          <w:sz w:val="21"/>
        </w:rPr>
        <w:t> </w:t>
      </w:r>
      <w:r>
        <w:rPr>
          <w:sz w:val="21"/>
        </w:rPr>
        <w:t>the</w:t>
      </w:r>
      <w:r>
        <w:rPr>
          <w:spacing w:val="9"/>
          <w:sz w:val="21"/>
        </w:rPr>
        <w:t> </w:t>
      </w:r>
      <w:r>
        <w:rPr>
          <w:sz w:val="21"/>
        </w:rPr>
        <w:t>partners:</w:t>
      </w:r>
    </w:p>
    <w:p>
      <w:pPr>
        <w:pStyle w:val="ListParagraph"/>
        <w:numPr>
          <w:ilvl w:val="1"/>
          <w:numId w:val="13"/>
        </w:numPr>
        <w:tabs>
          <w:tab w:pos="3028" w:val="left" w:leader="none"/>
        </w:tabs>
        <w:spacing w:line="240" w:lineRule="auto" w:before="124" w:after="0"/>
        <w:ind w:left="3027" w:right="0" w:hanging="306"/>
        <w:jc w:val="left"/>
        <w:rPr>
          <w:sz w:val="21"/>
        </w:rPr>
      </w:pPr>
      <w:r>
        <w:rPr>
          <w:w w:val="105"/>
          <w:sz w:val="21"/>
        </w:rPr>
        <w:t>in </w:t>
      </w:r>
      <w:r>
        <w:rPr>
          <w:spacing w:val="-3"/>
          <w:w w:val="105"/>
          <w:sz w:val="21"/>
        </w:rPr>
        <w:t>accordance </w:t>
      </w:r>
      <w:r>
        <w:rPr>
          <w:w w:val="105"/>
          <w:sz w:val="21"/>
        </w:rPr>
        <w:t>with a </w:t>
      </w:r>
      <w:r>
        <w:rPr>
          <w:spacing w:val="-2"/>
          <w:w w:val="105"/>
          <w:sz w:val="21"/>
        </w:rPr>
        <w:t>distribution agreement,</w:t>
      </w:r>
      <w:r>
        <w:rPr>
          <w:spacing w:val="34"/>
          <w:w w:val="105"/>
          <w:sz w:val="21"/>
        </w:rPr>
        <w:t> </w:t>
      </w:r>
      <w:r>
        <w:rPr>
          <w:w w:val="105"/>
          <w:sz w:val="21"/>
        </w:rPr>
        <w:t>or</w:t>
      </w:r>
    </w:p>
    <w:p>
      <w:pPr>
        <w:pStyle w:val="ListParagraph"/>
        <w:numPr>
          <w:ilvl w:val="1"/>
          <w:numId w:val="13"/>
        </w:numPr>
        <w:tabs>
          <w:tab w:pos="3028" w:val="left" w:leader="none"/>
        </w:tabs>
        <w:spacing w:line="240" w:lineRule="auto" w:before="124" w:after="0"/>
        <w:ind w:left="3027" w:right="0" w:hanging="306"/>
        <w:jc w:val="left"/>
        <w:rPr>
          <w:sz w:val="21"/>
        </w:rPr>
      </w:pPr>
      <w:r>
        <w:rPr>
          <w:sz w:val="21"/>
        </w:rPr>
        <w:t>in </w:t>
      </w:r>
      <w:r>
        <w:rPr>
          <w:spacing w:val="-3"/>
          <w:sz w:val="21"/>
        </w:rPr>
        <w:t>accordance </w:t>
      </w:r>
      <w:r>
        <w:rPr>
          <w:sz w:val="21"/>
        </w:rPr>
        <w:t>with a </w:t>
      </w:r>
      <w:r>
        <w:rPr>
          <w:spacing w:val="-2"/>
          <w:sz w:val="21"/>
        </w:rPr>
        <w:t>distribution </w:t>
      </w:r>
      <w:r>
        <w:rPr>
          <w:spacing w:val="-4"/>
          <w:sz w:val="21"/>
        </w:rPr>
        <w:t>order,</w:t>
      </w:r>
      <w:r>
        <w:rPr>
          <w:spacing w:val="15"/>
          <w:sz w:val="21"/>
        </w:rPr>
        <w:t> </w:t>
      </w:r>
      <w:r>
        <w:rPr>
          <w:sz w:val="21"/>
        </w:rPr>
        <w:t>or</w:t>
      </w:r>
    </w:p>
    <w:p>
      <w:pPr>
        <w:pStyle w:val="ListParagraph"/>
        <w:numPr>
          <w:ilvl w:val="1"/>
          <w:numId w:val="13"/>
        </w:numPr>
        <w:tabs>
          <w:tab w:pos="3028" w:val="left" w:leader="none"/>
        </w:tabs>
        <w:spacing w:line="240" w:lineRule="auto" w:before="124" w:after="0"/>
        <w:ind w:left="3027" w:right="0" w:hanging="306"/>
        <w:jc w:val="left"/>
        <w:rPr>
          <w:sz w:val="21"/>
        </w:rPr>
      </w:pPr>
      <w:r>
        <w:rPr>
          <w:spacing w:val="-3"/>
          <w:sz w:val="21"/>
        </w:rPr>
        <w:t>equally  </w:t>
      </w:r>
      <w:r>
        <w:rPr>
          <w:sz w:val="21"/>
        </w:rPr>
        <w:t>between  the</w:t>
      </w:r>
      <w:r>
        <w:rPr>
          <w:spacing w:val="-15"/>
          <w:sz w:val="21"/>
        </w:rPr>
        <w:t> </w:t>
      </w:r>
      <w:r>
        <w:rPr>
          <w:sz w:val="21"/>
        </w:rPr>
        <w:t>partners.</w:t>
      </w:r>
    </w:p>
    <w:p>
      <w:pPr>
        <w:pStyle w:val="ListParagraph"/>
        <w:numPr>
          <w:ilvl w:val="0"/>
          <w:numId w:val="13"/>
        </w:numPr>
        <w:tabs>
          <w:tab w:pos="1929" w:val="left" w:leader="none"/>
        </w:tabs>
        <w:spacing w:line="242" w:lineRule="auto" w:before="123" w:after="0"/>
        <w:ind w:left="1928" w:right="1771" w:hanging="341"/>
        <w:jc w:val="left"/>
        <w:rPr>
          <w:sz w:val="21"/>
        </w:rPr>
      </w:pPr>
      <w:r>
        <w:rPr>
          <w:sz w:val="21"/>
        </w:rPr>
        <w:t>Where the deceased person is survived by </w:t>
      </w:r>
      <w:r>
        <w:rPr>
          <w:spacing w:val="-3"/>
          <w:sz w:val="21"/>
        </w:rPr>
        <w:t>multiple </w:t>
      </w:r>
      <w:r>
        <w:rPr>
          <w:sz w:val="21"/>
        </w:rPr>
        <w:t>partners, there should be no </w:t>
      </w:r>
      <w:r>
        <w:rPr>
          <w:spacing w:val="-3"/>
          <w:sz w:val="21"/>
        </w:rPr>
        <w:t>right to  </w:t>
      </w:r>
      <w:r>
        <w:rPr>
          <w:sz w:val="21"/>
        </w:rPr>
        <w:t>elect  </w:t>
      </w:r>
      <w:r>
        <w:rPr>
          <w:spacing w:val="-3"/>
          <w:sz w:val="21"/>
        </w:rPr>
        <w:t>to</w:t>
      </w:r>
      <w:r>
        <w:rPr>
          <w:spacing w:val="8"/>
          <w:sz w:val="21"/>
        </w:rPr>
        <w:t> </w:t>
      </w:r>
      <w:r>
        <w:rPr>
          <w:spacing w:val="-3"/>
          <w:sz w:val="21"/>
        </w:rPr>
        <w:t>acquire</w:t>
      </w:r>
      <w:r>
        <w:rPr>
          <w:spacing w:val="8"/>
          <w:sz w:val="21"/>
        </w:rPr>
        <w:t> </w:t>
      </w:r>
      <w:r>
        <w:rPr>
          <w:sz w:val="21"/>
        </w:rPr>
        <w:t>an</w:t>
      </w:r>
      <w:r>
        <w:rPr>
          <w:spacing w:val="9"/>
          <w:sz w:val="21"/>
        </w:rPr>
        <w:t> </w:t>
      </w:r>
      <w:r>
        <w:rPr>
          <w:spacing w:val="-3"/>
          <w:sz w:val="21"/>
        </w:rPr>
        <w:t>interest</w:t>
      </w:r>
      <w:r>
        <w:rPr>
          <w:spacing w:val="8"/>
          <w:sz w:val="21"/>
        </w:rPr>
        <w:t> </w:t>
      </w:r>
      <w:r>
        <w:rPr>
          <w:sz w:val="21"/>
        </w:rPr>
        <w:t>in</w:t>
      </w:r>
      <w:r>
        <w:rPr>
          <w:spacing w:val="9"/>
          <w:sz w:val="21"/>
        </w:rPr>
        <w:t> </w:t>
      </w:r>
      <w:r>
        <w:rPr>
          <w:sz w:val="21"/>
        </w:rPr>
        <w:t>particular</w:t>
      </w:r>
      <w:r>
        <w:rPr>
          <w:spacing w:val="8"/>
          <w:sz w:val="21"/>
        </w:rPr>
        <w:t> </w:t>
      </w:r>
      <w:r>
        <w:rPr>
          <w:sz w:val="21"/>
        </w:rPr>
        <w:t>estate</w:t>
      </w:r>
      <w:r>
        <w:rPr>
          <w:spacing w:val="9"/>
          <w:sz w:val="21"/>
        </w:rPr>
        <w:t> </w:t>
      </w:r>
      <w:r>
        <w:rPr>
          <w:sz w:val="21"/>
        </w:rPr>
        <w:t>property.</w:t>
      </w:r>
    </w:p>
    <w:p>
      <w:pPr>
        <w:pStyle w:val="BodyText"/>
        <w:spacing w:before="10"/>
        <w:rPr>
          <w:sz w:val="24"/>
        </w:rPr>
      </w:pPr>
    </w:p>
    <w:p>
      <w:pPr>
        <w:pStyle w:val="Heading5"/>
      </w:pPr>
      <w:r>
        <w:rPr>
          <w:w w:val="110"/>
        </w:rPr>
        <w:t>Entitlements of the deceased person’s children or</w:t>
      </w:r>
      <w:r>
        <w:rPr>
          <w:spacing w:val="52"/>
          <w:w w:val="110"/>
        </w:rPr>
        <w:t> </w:t>
      </w:r>
      <w:r>
        <w:rPr>
          <w:w w:val="110"/>
        </w:rPr>
        <w:t>issue</w:t>
      </w:r>
    </w:p>
    <w:p>
      <w:pPr>
        <w:pStyle w:val="ListParagraph"/>
        <w:numPr>
          <w:ilvl w:val="0"/>
          <w:numId w:val="13"/>
        </w:numPr>
        <w:tabs>
          <w:tab w:pos="1928" w:val="left" w:leader="none"/>
        </w:tabs>
        <w:spacing w:line="240" w:lineRule="auto" w:before="138" w:after="0"/>
        <w:ind w:left="1927" w:right="0" w:hanging="340"/>
        <w:jc w:val="left"/>
        <w:rPr>
          <w:sz w:val="21"/>
        </w:rPr>
      </w:pPr>
      <w:r>
        <w:rPr>
          <w:spacing w:val="-4"/>
          <w:w w:val="105"/>
          <w:sz w:val="21"/>
        </w:rPr>
        <w:t>Children </w:t>
      </w:r>
      <w:r>
        <w:rPr>
          <w:w w:val="105"/>
          <w:sz w:val="21"/>
        </w:rPr>
        <w:t>or other issue of a deceased person should </w:t>
      </w:r>
      <w:r>
        <w:rPr>
          <w:spacing w:val="-2"/>
          <w:w w:val="105"/>
          <w:sz w:val="21"/>
        </w:rPr>
        <w:t>not </w:t>
      </w:r>
      <w:r>
        <w:rPr>
          <w:w w:val="105"/>
          <w:sz w:val="21"/>
        </w:rPr>
        <w:t>be entitled </w:t>
      </w:r>
      <w:r>
        <w:rPr>
          <w:spacing w:val="-3"/>
          <w:w w:val="105"/>
          <w:sz w:val="21"/>
        </w:rPr>
        <w:t>to </w:t>
      </w:r>
      <w:r>
        <w:rPr>
          <w:w w:val="105"/>
          <w:sz w:val="21"/>
        </w:rPr>
        <w:t>a </w:t>
      </w:r>
      <w:r>
        <w:rPr>
          <w:spacing w:val="-3"/>
          <w:w w:val="105"/>
          <w:sz w:val="21"/>
        </w:rPr>
        <w:t>share </w:t>
      </w:r>
      <w:r>
        <w:rPr>
          <w:w w:val="105"/>
          <w:sz w:val="21"/>
        </w:rPr>
        <w:t>on intestacy</w:t>
      </w:r>
      <w:r>
        <w:rPr>
          <w:spacing w:val="31"/>
          <w:w w:val="105"/>
          <w:sz w:val="21"/>
        </w:rPr>
        <w:t> </w:t>
      </w:r>
      <w:r>
        <w:rPr>
          <w:w w:val="105"/>
          <w:sz w:val="21"/>
        </w:rPr>
        <w:t>if:</w:t>
      </w:r>
    </w:p>
    <w:p>
      <w:pPr>
        <w:pStyle w:val="ListParagraph"/>
        <w:numPr>
          <w:ilvl w:val="1"/>
          <w:numId w:val="13"/>
        </w:numPr>
        <w:tabs>
          <w:tab w:pos="3028" w:val="left" w:leader="none"/>
        </w:tabs>
        <w:spacing w:line="242" w:lineRule="auto" w:before="123" w:after="0"/>
        <w:ind w:left="3027" w:right="2183" w:hanging="306"/>
        <w:jc w:val="left"/>
        <w:rPr>
          <w:sz w:val="21"/>
        </w:rPr>
      </w:pPr>
      <w:r>
        <w:rPr>
          <w:w w:val="105"/>
          <w:sz w:val="21"/>
        </w:rPr>
        <w:t>they</w:t>
      </w:r>
      <w:r>
        <w:rPr>
          <w:spacing w:val="-9"/>
          <w:w w:val="105"/>
          <w:sz w:val="21"/>
        </w:rPr>
        <w:t> </w:t>
      </w:r>
      <w:r>
        <w:rPr>
          <w:spacing w:val="-3"/>
          <w:w w:val="105"/>
          <w:sz w:val="21"/>
        </w:rPr>
        <w:t>are</w:t>
      </w:r>
      <w:r>
        <w:rPr>
          <w:spacing w:val="-9"/>
          <w:w w:val="105"/>
          <w:sz w:val="21"/>
        </w:rPr>
        <w:t> </w:t>
      </w:r>
      <w:r>
        <w:rPr>
          <w:spacing w:val="-3"/>
          <w:w w:val="105"/>
          <w:sz w:val="21"/>
        </w:rPr>
        <w:t>children</w:t>
      </w:r>
      <w:r>
        <w:rPr>
          <w:spacing w:val="-8"/>
          <w:w w:val="105"/>
          <w:sz w:val="21"/>
        </w:rPr>
        <w:t> </w:t>
      </w:r>
      <w:r>
        <w:rPr>
          <w:w w:val="105"/>
          <w:sz w:val="21"/>
        </w:rPr>
        <w:t>or</w:t>
      </w:r>
      <w:r>
        <w:rPr>
          <w:spacing w:val="-9"/>
          <w:w w:val="105"/>
          <w:sz w:val="21"/>
        </w:rPr>
        <w:t> </w:t>
      </w:r>
      <w:r>
        <w:rPr>
          <w:w w:val="105"/>
          <w:sz w:val="21"/>
        </w:rPr>
        <w:t>issue</w:t>
      </w:r>
      <w:r>
        <w:rPr>
          <w:spacing w:val="-8"/>
          <w:w w:val="105"/>
          <w:sz w:val="21"/>
        </w:rPr>
        <w:t> </w:t>
      </w:r>
      <w:r>
        <w:rPr>
          <w:w w:val="105"/>
          <w:sz w:val="21"/>
        </w:rPr>
        <w:t>of</w:t>
      </w:r>
      <w:r>
        <w:rPr>
          <w:spacing w:val="-9"/>
          <w:w w:val="105"/>
          <w:sz w:val="21"/>
        </w:rPr>
        <w:t> </w:t>
      </w:r>
      <w:r>
        <w:rPr>
          <w:w w:val="105"/>
          <w:sz w:val="21"/>
        </w:rPr>
        <w:t>a</w:t>
      </w:r>
      <w:r>
        <w:rPr>
          <w:spacing w:val="-8"/>
          <w:w w:val="105"/>
          <w:sz w:val="21"/>
        </w:rPr>
        <w:t> </w:t>
      </w:r>
      <w:r>
        <w:rPr>
          <w:w w:val="105"/>
          <w:sz w:val="21"/>
        </w:rPr>
        <w:t>surviving</w:t>
      </w:r>
      <w:r>
        <w:rPr>
          <w:spacing w:val="-9"/>
          <w:w w:val="105"/>
          <w:sz w:val="21"/>
        </w:rPr>
        <w:t> </w:t>
      </w:r>
      <w:r>
        <w:rPr>
          <w:w w:val="105"/>
          <w:sz w:val="21"/>
        </w:rPr>
        <w:t>partner</w:t>
      </w:r>
      <w:r>
        <w:rPr>
          <w:spacing w:val="-8"/>
          <w:w w:val="105"/>
          <w:sz w:val="21"/>
        </w:rPr>
        <w:t> </w:t>
      </w:r>
      <w:r>
        <w:rPr>
          <w:w w:val="105"/>
          <w:sz w:val="21"/>
        </w:rPr>
        <w:t>of</w:t>
      </w:r>
      <w:r>
        <w:rPr>
          <w:spacing w:val="-9"/>
          <w:w w:val="105"/>
          <w:sz w:val="21"/>
        </w:rPr>
        <w:t> </w:t>
      </w:r>
      <w:r>
        <w:rPr>
          <w:w w:val="105"/>
          <w:sz w:val="21"/>
        </w:rPr>
        <w:t>the</w:t>
      </w:r>
      <w:r>
        <w:rPr>
          <w:spacing w:val="-8"/>
          <w:w w:val="105"/>
          <w:sz w:val="21"/>
        </w:rPr>
        <w:t> </w:t>
      </w:r>
      <w:r>
        <w:rPr>
          <w:w w:val="105"/>
          <w:sz w:val="21"/>
        </w:rPr>
        <w:t>deceased</w:t>
      </w:r>
      <w:r>
        <w:rPr>
          <w:spacing w:val="-9"/>
          <w:w w:val="105"/>
          <w:sz w:val="21"/>
        </w:rPr>
        <w:t> </w:t>
      </w:r>
      <w:r>
        <w:rPr>
          <w:w w:val="105"/>
          <w:sz w:val="21"/>
        </w:rPr>
        <w:t>person</w:t>
      </w:r>
      <w:r>
        <w:rPr>
          <w:spacing w:val="-8"/>
          <w:w w:val="105"/>
          <w:sz w:val="21"/>
        </w:rPr>
        <w:t> </w:t>
      </w:r>
      <w:r>
        <w:rPr>
          <w:w w:val="105"/>
          <w:sz w:val="21"/>
        </w:rPr>
        <w:t>who is entitled </w:t>
      </w:r>
      <w:r>
        <w:rPr>
          <w:spacing w:val="-3"/>
          <w:w w:val="105"/>
          <w:sz w:val="21"/>
        </w:rPr>
        <w:t>to </w:t>
      </w:r>
      <w:r>
        <w:rPr>
          <w:w w:val="105"/>
          <w:sz w:val="21"/>
        </w:rPr>
        <w:t>a </w:t>
      </w:r>
      <w:r>
        <w:rPr>
          <w:spacing w:val="-3"/>
          <w:w w:val="105"/>
          <w:sz w:val="21"/>
        </w:rPr>
        <w:t>share </w:t>
      </w:r>
      <w:r>
        <w:rPr>
          <w:w w:val="105"/>
          <w:sz w:val="21"/>
        </w:rPr>
        <w:t>on </w:t>
      </w:r>
      <w:r>
        <w:rPr>
          <w:spacing w:val="-3"/>
          <w:w w:val="105"/>
          <w:sz w:val="21"/>
        </w:rPr>
        <w:t>intestacy,</w:t>
      </w:r>
      <w:r>
        <w:rPr>
          <w:spacing w:val="35"/>
          <w:w w:val="105"/>
          <w:sz w:val="21"/>
        </w:rPr>
        <w:t> </w:t>
      </w:r>
      <w:r>
        <w:rPr>
          <w:w w:val="105"/>
          <w:sz w:val="21"/>
        </w:rPr>
        <w:t>and</w:t>
      </w:r>
    </w:p>
    <w:p>
      <w:pPr>
        <w:pStyle w:val="ListParagraph"/>
        <w:numPr>
          <w:ilvl w:val="1"/>
          <w:numId w:val="13"/>
        </w:numPr>
        <w:tabs>
          <w:tab w:pos="3028" w:val="left" w:leader="none"/>
        </w:tabs>
        <w:spacing w:line="240" w:lineRule="auto" w:before="123" w:after="0"/>
        <w:ind w:left="3027" w:right="0" w:hanging="306"/>
        <w:jc w:val="left"/>
        <w:rPr>
          <w:sz w:val="21"/>
        </w:rPr>
      </w:pPr>
      <w:r>
        <w:rPr>
          <w:spacing w:val="-3"/>
          <w:sz w:val="21"/>
        </w:rPr>
        <w:t>all</w:t>
      </w:r>
      <w:r>
        <w:rPr>
          <w:spacing w:val="9"/>
          <w:sz w:val="21"/>
        </w:rPr>
        <w:t> </w:t>
      </w:r>
      <w:r>
        <w:rPr>
          <w:sz w:val="21"/>
        </w:rPr>
        <w:t>surviving</w:t>
      </w:r>
      <w:r>
        <w:rPr>
          <w:spacing w:val="10"/>
          <w:sz w:val="21"/>
        </w:rPr>
        <w:t> </w:t>
      </w:r>
      <w:r>
        <w:rPr>
          <w:spacing w:val="-3"/>
          <w:sz w:val="21"/>
        </w:rPr>
        <w:t>children</w:t>
      </w:r>
      <w:r>
        <w:rPr>
          <w:spacing w:val="10"/>
          <w:sz w:val="21"/>
        </w:rPr>
        <w:t> </w:t>
      </w:r>
      <w:r>
        <w:rPr>
          <w:sz w:val="21"/>
        </w:rPr>
        <w:t>or</w:t>
      </w:r>
      <w:r>
        <w:rPr>
          <w:spacing w:val="10"/>
          <w:sz w:val="21"/>
        </w:rPr>
        <w:t> </w:t>
      </w:r>
      <w:r>
        <w:rPr>
          <w:sz w:val="21"/>
        </w:rPr>
        <w:t>issue</w:t>
      </w:r>
      <w:r>
        <w:rPr>
          <w:spacing w:val="10"/>
          <w:sz w:val="21"/>
        </w:rPr>
        <w:t> </w:t>
      </w:r>
      <w:r>
        <w:rPr>
          <w:sz w:val="21"/>
        </w:rPr>
        <w:t>of</w:t>
      </w:r>
      <w:r>
        <w:rPr>
          <w:spacing w:val="10"/>
          <w:sz w:val="21"/>
        </w:rPr>
        <w:t> </w:t>
      </w:r>
      <w:r>
        <w:rPr>
          <w:sz w:val="21"/>
        </w:rPr>
        <w:t>the</w:t>
      </w:r>
      <w:r>
        <w:rPr>
          <w:spacing w:val="10"/>
          <w:sz w:val="21"/>
        </w:rPr>
        <w:t> </w:t>
      </w:r>
      <w:r>
        <w:rPr>
          <w:sz w:val="21"/>
        </w:rPr>
        <w:t>deceased</w:t>
      </w:r>
      <w:r>
        <w:rPr>
          <w:spacing w:val="10"/>
          <w:sz w:val="21"/>
        </w:rPr>
        <w:t> </w:t>
      </w:r>
      <w:r>
        <w:rPr>
          <w:sz w:val="21"/>
        </w:rPr>
        <w:t>person</w:t>
      </w:r>
      <w:r>
        <w:rPr>
          <w:spacing w:val="10"/>
          <w:sz w:val="21"/>
        </w:rPr>
        <w:t> </w:t>
      </w:r>
      <w:r>
        <w:rPr>
          <w:spacing w:val="-3"/>
          <w:sz w:val="21"/>
        </w:rPr>
        <w:t>are</w:t>
      </w:r>
      <w:r>
        <w:rPr>
          <w:spacing w:val="10"/>
          <w:sz w:val="21"/>
        </w:rPr>
        <w:t> </w:t>
      </w:r>
      <w:r>
        <w:rPr>
          <w:sz w:val="21"/>
        </w:rPr>
        <w:t>also</w:t>
      </w:r>
      <w:r>
        <w:rPr>
          <w:spacing w:val="9"/>
          <w:sz w:val="21"/>
        </w:rPr>
        <w:t> </w:t>
      </w:r>
      <w:r>
        <w:rPr>
          <w:spacing w:val="-3"/>
          <w:sz w:val="21"/>
        </w:rPr>
        <w:t>children</w:t>
      </w:r>
      <w:r>
        <w:rPr>
          <w:spacing w:val="10"/>
          <w:sz w:val="21"/>
        </w:rPr>
        <w:t> </w:t>
      </w:r>
      <w:r>
        <w:rPr>
          <w:sz w:val="21"/>
        </w:rPr>
        <w:t>or</w:t>
      </w:r>
      <w:r>
        <w:rPr>
          <w:spacing w:val="10"/>
          <w:sz w:val="21"/>
        </w:rPr>
        <w:t> </w:t>
      </w:r>
      <w:r>
        <w:rPr>
          <w:spacing w:val="-3"/>
          <w:sz w:val="21"/>
        </w:rPr>
        <w:t>issue</w:t>
      </w:r>
    </w:p>
    <w:p>
      <w:pPr>
        <w:pStyle w:val="BodyText"/>
        <w:spacing w:line="242" w:lineRule="auto" w:before="3"/>
        <w:ind w:left="3027" w:right="1584"/>
      </w:pPr>
      <w:r>
        <w:rPr>
          <w:w w:val="105"/>
        </w:rPr>
        <w:t>of</w:t>
      </w:r>
      <w:r>
        <w:rPr>
          <w:spacing w:val="-10"/>
          <w:w w:val="105"/>
        </w:rPr>
        <w:t> </w:t>
      </w:r>
      <w:r>
        <w:rPr>
          <w:spacing w:val="-3"/>
          <w:w w:val="105"/>
        </w:rPr>
        <w:t>that</w:t>
      </w:r>
      <w:r>
        <w:rPr>
          <w:spacing w:val="-10"/>
          <w:w w:val="105"/>
        </w:rPr>
        <w:t> </w:t>
      </w:r>
      <w:r>
        <w:rPr>
          <w:w w:val="105"/>
        </w:rPr>
        <w:t>surviving</w:t>
      </w:r>
      <w:r>
        <w:rPr>
          <w:spacing w:val="-10"/>
          <w:w w:val="105"/>
        </w:rPr>
        <w:t> </w:t>
      </w:r>
      <w:r>
        <w:rPr>
          <w:w w:val="105"/>
        </w:rPr>
        <w:t>partner</w:t>
      </w:r>
      <w:r>
        <w:rPr>
          <w:spacing w:val="-10"/>
          <w:w w:val="105"/>
        </w:rPr>
        <w:t> </w:t>
      </w:r>
      <w:r>
        <w:rPr>
          <w:w w:val="105"/>
        </w:rPr>
        <w:t>or</w:t>
      </w:r>
      <w:r>
        <w:rPr>
          <w:spacing w:val="-10"/>
          <w:w w:val="105"/>
        </w:rPr>
        <w:t> </w:t>
      </w:r>
      <w:r>
        <w:rPr>
          <w:spacing w:val="-3"/>
          <w:w w:val="105"/>
        </w:rPr>
        <w:t>another</w:t>
      </w:r>
      <w:r>
        <w:rPr>
          <w:spacing w:val="-10"/>
          <w:w w:val="105"/>
        </w:rPr>
        <w:t> </w:t>
      </w:r>
      <w:r>
        <w:rPr>
          <w:w w:val="105"/>
        </w:rPr>
        <w:t>partner</w:t>
      </w:r>
      <w:r>
        <w:rPr>
          <w:spacing w:val="-10"/>
          <w:w w:val="105"/>
        </w:rPr>
        <w:t> </w:t>
      </w:r>
      <w:r>
        <w:rPr>
          <w:w w:val="105"/>
        </w:rPr>
        <w:t>of</w:t>
      </w:r>
      <w:r>
        <w:rPr>
          <w:spacing w:val="-10"/>
          <w:w w:val="105"/>
        </w:rPr>
        <w:t> </w:t>
      </w:r>
      <w:r>
        <w:rPr>
          <w:w w:val="105"/>
        </w:rPr>
        <w:t>the</w:t>
      </w:r>
      <w:r>
        <w:rPr>
          <w:spacing w:val="-10"/>
          <w:w w:val="105"/>
        </w:rPr>
        <w:t> </w:t>
      </w:r>
      <w:r>
        <w:rPr>
          <w:w w:val="105"/>
        </w:rPr>
        <w:t>deceased</w:t>
      </w:r>
      <w:r>
        <w:rPr>
          <w:spacing w:val="-10"/>
          <w:w w:val="105"/>
        </w:rPr>
        <w:t> </w:t>
      </w:r>
      <w:r>
        <w:rPr>
          <w:w w:val="105"/>
        </w:rPr>
        <w:t>person</w:t>
      </w:r>
      <w:r>
        <w:rPr>
          <w:spacing w:val="-10"/>
          <w:w w:val="105"/>
        </w:rPr>
        <w:t> </w:t>
      </w:r>
      <w:r>
        <w:rPr>
          <w:w w:val="105"/>
        </w:rPr>
        <w:t>who</w:t>
      </w:r>
      <w:r>
        <w:rPr>
          <w:spacing w:val="-10"/>
          <w:w w:val="105"/>
        </w:rPr>
        <w:t> </w:t>
      </w:r>
      <w:r>
        <w:rPr>
          <w:w w:val="105"/>
        </w:rPr>
        <w:t>is</w:t>
      </w:r>
      <w:r>
        <w:rPr>
          <w:spacing w:val="-10"/>
          <w:w w:val="105"/>
        </w:rPr>
        <w:t> </w:t>
      </w:r>
      <w:r>
        <w:rPr>
          <w:w w:val="105"/>
        </w:rPr>
        <w:t>entitled </w:t>
      </w:r>
      <w:r>
        <w:rPr>
          <w:spacing w:val="-3"/>
          <w:w w:val="105"/>
        </w:rPr>
        <w:t>to </w:t>
      </w:r>
      <w:r>
        <w:rPr>
          <w:w w:val="105"/>
        </w:rPr>
        <w:t>a </w:t>
      </w:r>
      <w:r>
        <w:rPr>
          <w:spacing w:val="-3"/>
          <w:w w:val="105"/>
        </w:rPr>
        <w:t>share </w:t>
      </w:r>
      <w:r>
        <w:rPr>
          <w:w w:val="105"/>
        </w:rPr>
        <w:t>on</w:t>
      </w:r>
      <w:r>
        <w:rPr>
          <w:spacing w:val="27"/>
          <w:w w:val="105"/>
        </w:rPr>
        <w:t> </w:t>
      </w:r>
      <w:r>
        <w:rPr>
          <w:spacing w:val="-3"/>
          <w:w w:val="105"/>
        </w:rPr>
        <w:t>intestacy.</w:t>
      </w:r>
    </w:p>
    <w:p>
      <w:pPr>
        <w:pStyle w:val="ListParagraph"/>
        <w:numPr>
          <w:ilvl w:val="0"/>
          <w:numId w:val="13"/>
        </w:numPr>
        <w:tabs>
          <w:tab w:pos="1928" w:val="left" w:leader="none"/>
        </w:tabs>
        <w:spacing w:line="242" w:lineRule="auto" w:before="123" w:after="0"/>
        <w:ind w:left="1927" w:right="2133" w:hanging="340"/>
        <w:jc w:val="left"/>
        <w:rPr>
          <w:sz w:val="21"/>
        </w:rPr>
      </w:pPr>
      <w:r>
        <w:rPr>
          <w:w w:val="105"/>
          <w:sz w:val="21"/>
        </w:rPr>
        <w:t>If </w:t>
      </w:r>
      <w:r>
        <w:rPr>
          <w:spacing w:val="-3"/>
          <w:w w:val="105"/>
          <w:sz w:val="21"/>
        </w:rPr>
        <w:t>any </w:t>
      </w:r>
      <w:r>
        <w:rPr>
          <w:w w:val="105"/>
          <w:sz w:val="21"/>
        </w:rPr>
        <w:t>of the </w:t>
      </w:r>
      <w:r>
        <w:rPr>
          <w:spacing w:val="-3"/>
          <w:w w:val="105"/>
          <w:sz w:val="21"/>
        </w:rPr>
        <w:t>children </w:t>
      </w:r>
      <w:r>
        <w:rPr>
          <w:w w:val="105"/>
          <w:sz w:val="21"/>
        </w:rPr>
        <w:t>of a deceased person </w:t>
      </w:r>
      <w:r>
        <w:rPr>
          <w:spacing w:val="-3"/>
          <w:w w:val="105"/>
          <w:sz w:val="21"/>
        </w:rPr>
        <w:t>are </w:t>
      </w:r>
      <w:r>
        <w:rPr>
          <w:spacing w:val="-2"/>
          <w:w w:val="105"/>
          <w:sz w:val="21"/>
        </w:rPr>
        <w:t>not </w:t>
      </w:r>
      <w:r>
        <w:rPr>
          <w:spacing w:val="-3"/>
          <w:w w:val="105"/>
          <w:sz w:val="21"/>
        </w:rPr>
        <w:t>children </w:t>
      </w:r>
      <w:r>
        <w:rPr>
          <w:w w:val="105"/>
          <w:sz w:val="21"/>
        </w:rPr>
        <w:t>of a surviving partner of the deceased</w:t>
      </w:r>
      <w:r>
        <w:rPr>
          <w:spacing w:val="-8"/>
          <w:w w:val="105"/>
          <w:sz w:val="21"/>
        </w:rPr>
        <w:t> </w:t>
      </w:r>
      <w:r>
        <w:rPr>
          <w:w w:val="105"/>
          <w:sz w:val="21"/>
        </w:rPr>
        <w:t>person</w:t>
      </w:r>
      <w:r>
        <w:rPr>
          <w:spacing w:val="-7"/>
          <w:w w:val="105"/>
          <w:sz w:val="21"/>
        </w:rPr>
        <w:t> </w:t>
      </w:r>
      <w:r>
        <w:rPr>
          <w:w w:val="105"/>
          <w:sz w:val="21"/>
        </w:rPr>
        <w:t>who</w:t>
      </w:r>
      <w:r>
        <w:rPr>
          <w:spacing w:val="-8"/>
          <w:w w:val="105"/>
          <w:sz w:val="21"/>
        </w:rPr>
        <w:t> </w:t>
      </w:r>
      <w:r>
        <w:rPr>
          <w:w w:val="105"/>
          <w:sz w:val="21"/>
        </w:rPr>
        <w:t>is</w:t>
      </w:r>
      <w:r>
        <w:rPr>
          <w:spacing w:val="-7"/>
          <w:w w:val="105"/>
          <w:sz w:val="21"/>
        </w:rPr>
        <w:t> </w:t>
      </w:r>
      <w:r>
        <w:rPr>
          <w:w w:val="105"/>
          <w:sz w:val="21"/>
        </w:rPr>
        <w:t>entitled</w:t>
      </w:r>
      <w:r>
        <w:rPr>
          <w:spacing w:val="-7"/>
          <w:w w:val="105"/>
          <w:sz w:val="21"/>
        </w:rPr>
        <w:t> </w:t>
      </w:r>
      <w:r>
        <w:rPr>
          <w:spacing w:val="-3"/>
          <w:w w:val="105"/>
          <w:sz w:val="21"/>
        </w:rPr>
        <w:t>to</w:t>
      </w:r>
      <w:r>
        <w:rPr>
          <w:spacing w:val="-8"/>
          <w:w w:val="105"/>
          <w:sz w:val="21"/>
        </w:rPr>
        <w:t> </w:t>
      </w:r>
      <w:r>
        <w:rPr>
          <w:w w:val="105"/>
          <w:sz w:val="21"/>
        </w:rPr>
        <w:t>a</w:t>
      </w:r>
      <w:r>
        <w:rPr>
          <w:spacing w:val="-7"/>
          <w:w w:val="105"/>
          <w:sz w:val="21"/>
        </w:rPr>
        <w:t> </w:t>
      </w:r>
      <w:r>
        <w:rPr>
          <w:spacing w:val="-3"/>
          <w:w w:val="105"/>
          <w:sz w:val="21"/>
        </w:rPr>
        <w:t>share</w:t>
      </w:r>
      <w:r>
        <w:rPr>
          <w:spacing w:val="-7"/>
          <w:w w:val="105"/>
          <w:sz w:val="21"/>
        </w:rPr>
        <w:t> </w:t>
      </w:r>
      <w:r>
        <w:rPr>
          <w:w w:val="105"/>
          <w:sz w:val="21"/>
        </w:rPr>
        <w:t>on</w:t>
      </w:r>
      <w:r>
        <w:rPr>
          <w:spacing w:val="-8"/>
          <w:w w:val="105"/>
          <w:sz w:val="21"/>
        </w:rPr>
        <w:t> </w:t>
      </w:r>
      <w:r>
        <w:rPr>
          <w:spacing w:val="-3"/>
          <w:w w:val="105"/>
          <w:sz w:val="21"/>
        </w:rPr>
        <w:t>intestacy,</w:t>
      </w:r>
      <w:r>
        <w:rPr>
          <w:spacing w:val="-7"/>
          <w:w w:val="105"/>
          <w:sz w:val="21"/>
        </w:rPr>
        <w:t> </w:t>
      </w:r>
      <w:r>
        <w:rPr>
          <w:w w:val="105"/>
          <w:sz w:val="21"/>
        </w:rPr>
        <w:t>then</w:t>
      </w:r>
      <w:r>
        <w:rPr>
          <w:spacing w:val="-7"/>
          <w:w w:val="105"/>
          <w:sz w:val="21"/>
        </w:rPr>
        <w:t> </w:t>
      </w:r>
      <w:r>
        <w:rPr>
          <w:spacing w:val="-3"/>
          <w:w w:val="105"/>
          <w:sz w:val="21"/>
        </w:rPr>
        <w:t>all</w:t>
      </w:r>
      <w:r>
        <w:rPr>
          <w:spacing w:val="-8"/>
          <w:w w:val="105"/>
          <w:sz w:val="21"/>
        </w:rPr>
        <w:t> </w:t>
      </w:r>
      <w:r>
        <w:rPr>
          <w:spacing w:val="-3"/>
          <w:w w:val="105"/>
          <w:sz w:val="21"/>
        </w:rPr>
        <w:t>children</w:t>
      </w:r>
      <w:r>
        <w:rPr>
          <w:spacing w:val="-7"/>
          <w:w w:val="105"/>
          <w:sz w:val="21"/>
        </w:rPr>
        <w:t> </w:t>
      </w:r>
      <w:r>
        <w:rPr>
          <w:w w:val="105"/>
          <w:sz w:val="21"/>
        </w:rPr>
        <w:t>of</w:t>
      </w:r>
      <w:r>
        <w:rPr>
          <w:spacing w:val="-7"/>
          <w:w w:val="105"/>
          <w:sz w:val="21"/>
        </w:rPr>
        <w:t> </w:t>
      </w:r>
      <w:r>
        <w:rPr>
          <w:w w:val="105"/>
          <w:sz w:val="21"/>
        </w:rPr>
        <w:t>the</w:t>
      </w:r>
      <w:r>
        <w:rPr>
          <w:spacing w:val="-8"/>
          <w:w w:val="105"/>
          <w:sz w:val="21"/>
        </w:rPr>
        <w:t> </w:t>
      </w:r>
      <w:r>
        <w:rPr>
          <w:w w:val="105"/>
          <w:sz w:val="21"/>
        </w:rPr>
        <w:t>deceased person should be entitled </w:t>
      </w:r>
      <w:r>
        <w:rPr>
          <w:spacing w:val="-3"/>
          <w:w w:val="105"/>
          <w:sz w:val="21"/>
        </w:rPr>
        <w:t>to </w:t>
      </w:r>
      <w:r>
        <w:rPr>
          <w:w w:val="105"/>
          <w:sz w:val="21"/>
        </w:rPr>
        <w:t>an equal </w:t>
      </w:r>
      <w:r>
        <w:rPr>
          <w:spacing w:val="-3"/>
          <w:w w:val="105"/>
          <w:sz w:val="21"/>
        </w:rPr>
        <w:t>share </w:t>
      </w:r>
      <w:r>
        <w:rPr>
          <w:w w:val="105"/>
          <w:sz w:val="21"/>
        </w:rPr>
        <w:t>on</w:t>
      </w:r>
      <w:r>
        <w:rPr>
          <w:spacing w:val="36"/>
          <w:w w:val="105"/>
          <w:sz w:val="21"/>
        </w:rPr>
        <w:t> </w:t>
      </w:r>
      <w:r>
        <w:rPr>
          <w:spacing w:val="-3"/>
          <w:w w:val="105"/>
          <w:sz w:val="21"/>
        </w:rPr>
        <w:t>intestacy.</w:t>
      </w:r>
    </w:p>
    <w:p>
      <w:pPr>
        <w:pStyle w:val="BodyText"/>
        <w:spacing w:before="11"/>
        <w:rPr>
          <w:sz w:val="24"/>
        </w:rPr>
      </w:pPr>
    </w:p>
    <w:p>
      <w:pPr>
        <w:spacing w:before="0"/>
        <w:ind w:left="1587" w:right="0" w:firstLine="0"/>
        <w:jc w:val="left"/>
        <w:rPr>
          <w:b/>
          <w:sz w:val="24"/>
        </w:rPr>
      </w:pPr>
      <w:r>
        <w:rPr>
          <w:rFonts w:ascii="Trebuchet MS"/>
          <w:b/>
          <w:i/>
          <w:w w:val="105"/>
          <w:sz w:val="24"/>
        </w:rPr>
        <w:t>Per stirpes </w:t>
      </w:r>
      <w:r>
        <w:rPr>
          <w:b/>
          <w:w w:val="105"/>
          <w:sz w:val="24"/>
        </w:rPr>
        <w:t>or </w:t>
      </w:r>
      <w:r>
        <w:rPr>
          <w:rFonts w:ascii="Trebuchet MS"/>
          <w:b/>
          <w:i/>
          <w:w w:val="105"/>
          <w:sz w:val="24"/>
        </w:rPr>
        <w:t>per capita </w:t>
      </w:r>
      <w:r>
        <w:rPr>
          <w:b/>
          <w:w w:val="105"/>
          <w:sz w:val="24"/>
        </w:rPr>
        <w:t>distribution</w:t>
      </w:r>
    </w:p>
    <w:p>
      <w:pPr>
        <w:pStyle w:val="ListParagraph"/>
        <w:numPr>
          <w:ilvl w:val="0"/>
          <w:numId w:val="13"/>
        </w:numPr>
        <w:tabs>
          <w:tab w:pos="1928" w:val="left" w:leader="none"/>
        </w:tabs>
        <w:spacing w:line="242" w:lineRule="auto" w:before="137" w:after="0"/>
        <w:ind w:left="1927" w:right="2560" w:hanging="340"/>
        <w:jc w:val="left"/>
        <w:rPr>
          <w:sz w:val="21"/>
        </w:rPr>
      </w:pPr>
      <w:r>
        <w:rPr>
          <w:sz w:val="21"/>
        </w:rPr>
        <w:t>Where next of </w:t>
      </w:r>
      <w:r>
        <w:rPr>
          <w:spacing w:val="-2"/>
          <w:sz w:val="21"/>
        </w:rPr>
        <w:t>kin </w:t>
      </w:r>
      <w:r>
        <w:rPr>
          <w:spacing w:val="-3"/>
          <w:sz w:val="21"/>
        </w:rPr>
        <w:t>take </w:t>
      </w:r>
      <w:r>
        <w:rPr>
          <w:sz w:val="21"/>
        </w:rPr>
        <w:t>by </w:t>
      </w:r>
      <w:r>
        <w:rPr>
          <w:spacing w:val="-3"/>
          <w:sz w:val="21"/>
        </w:rPr>
        <w:t>representation, </w:t>
      </w:r>
      <w:r>
        <w:rPr>
          <w:i/>
          <w:sz w:val="21"/>
        </w:rPr>
        <w:t>per capita </w:t>
      </w:r>
      <w:r>
        <w:rPr>
          <w:sz w:val="21"/>
        </w:rPr>
        <w:t>distribution on intestacy should  be</w:t>
      </w:r>
      <w:r>
        <w:rPr>
          <w:spacing w:val="10"/>
          <w:sz w:val="21"/>
        </w:rPr>
        <w:t> </w:t>
      </w:r>
      <w:r>
        <w:rPr>
          <w:sz w:val="21"/>
        </w:rPr>
        <w:t>abolished</w:t>
      </w:r>
      <w:r>
        <w:rPr>
          <w:spacing w:val="11"/>
          <w:sz w:val="21"/>
        </w:rPr>
        <w:t> </w:t>
      </w:r>
      <w:r>
        <w:rPr>
          <w:sz w:val="21"/>
        </w:rPr>
        <w:t>and</w:t>
      </w:r>
      <w:r>
        <w:rPr>
          <w:spacing w:val="11"/>
          <w:sz w:val="21"/>
        </w:rPr>
        <w:t> </w:t>
      </w:r>
      <w:r>
        <w:rPr>
          <w:i/>
          <w:sz w:val="21"/>
        </w:rPr>
        <w:t>per</w:t>
      </w:r>
      <w:r>
        <w:rPr>
          <w:i/>
          <w:spacing w:val="11"/>
          <w:sz w:val="21"/>
        </w:rPr>
        <w:t> </w:t>
      </w:r>
      <w:r>
        <w:rPr>
          <w:i/>
          <w:sz w:val="21"/>
        </w:rPr>
        <w:t>stirpes</w:t>
      </w:r>
      <w:r>
        <w:rPr>
          <w:i/>
          <w:spacing w:val="10"/>
          <w:sz w:val="21"/>
        </w:rPr>
        <w:t> </w:t>
      </w:r>
      <w:r>
        <w:rPr>
          <w:spacing w:val="-2"/>
          <w:sz w:val="21"/>
        </w:rPr>
        <w:t>distribution</w:t>
      </w:r>
      <w:r>
        <w:rPr>
          <w:spacing w:val="11"/>
          <w:sz w:val="21"/>
        </w:rPr>
        <w:t> </w:t>
      </w:r>
      <w:r>
        <w:rPr>
          <w:sz w:val="21"/>
        </w:rPr>
        <w:t>should</w:t>
      </w:r>
      <w:r>
        <w:rPr>
          <w:spacing w:val="11"/>
          <w:sz w:val="21"/>
        </w:rPr>
        <w:t> </w:t>
      </w:r>
      <w:r>
        <w:rPr>
          <w:sz w:val="21"/>
        </w:rPr>
        <w:t>be</w:t>
      </w:r>
      <w:r>
        <w:rPr>
          <w:spacing w:val="11"/>
          <w:sz w:val="21"/>
        </w:rPr>
        <w:t> </w:t>
      </w:r>
      <w:r>
        <w:rPr>
          <w:sz w:val="21"/>
        </w:rPr>
        <w:t>applied</w:t>
      </w:r>
      <w:r>
        <w:rPr>
          <w:spacing w:val="10"/>
          <w:sz w:val="21"/>
        </w:rPr>
        <w:t> </w:t>
      </w:r>
      <w:r>
        <w:rPr>
          <w:sz w:val="21"/>
        </w:rPr>
        <w:t>in</w:t>
      </w:r>
      <w:r>
        <w:rPr>
          <w:spacing w:val="11"/>
          <w:sz w:val="21"/>
        </w:rPr>
        <w:t> </w:t>
      </w:r>
      <w:r>
        <w:rPr>
          <w:spacing w:val="-3"/>
          <w:sz w:val="21"/>
        </w:rPr>
        <w:t>all</w:t>
      </w:r>
      <w:r>
        <w:rPr>
          <w:spacing w:val="11"/>
          <w:sz w:val="21"/>
        </w:rPr>
        <w:t> </w:t>
      </w:r>
      <w:r>
        <w:rPr>
          <w:sz w:val="21"/>
        </w:rPr>
        <w:t>cases.</w:t>
      </w:r>
    </w:p>
    <w:p>
      <w:pPr>
        <w:pStyle w:val="BodyText"/>
        <w:spacing w:before="11"/>
        <w:rPr>
          <w:sz w:val="24"/>
        </w:rPr>
      </w:pPr>
    </w:p>
    <w:p>
      <w:pPr>
        <w:pStyle w:val="Heading5"/>
      </w:pPr>
      <w:r>
        <w:rPr>
          <w:w w:val="115"/>
        </w:rPr>
        <w:t>Taking benefits into account</w:t>
      </w:r>
    </w:p>
    <w:p>
      <w:pPr>
        <w:pStyle w:val="ListParagraph"/>
        <w:numPr>
          <w:ilvl w:val="0"/>
          <w:numId w:val="13"/>
        </w:numPr>
        <w:tabs>
          <w:tab w:pos="1928" w:val="left" w:leader="none"/>
        </w:tabs>
        <w:spacing w:line="242" w:lineRule="auto" w:before="137" w:after="0"/>
        <w:ind w:left="1927" w:right="1647" w:hanging="340"/>
        <w:jc w:val="left"/>
        <w:rPr>
          <w:sz w:val="21"/>
        </w:rPr>
      </w:pPr>
      <w:r>
        <w:rPr>
          <w:w w:val="105"/>
          <w:sz w:val="21"/>
        </w:rPr>
        <w:t>The </w:t>
      </w:r>
      <w:r>
        <w:rPr>
          <w:i/>
          <w:spacing w:val="-3"/>
          <w:w w:val="105"/>
          <w:sz w:val="21"/>
        </w:rPr>
        <w:t>Administration </w:t>
      </w:r>
      <w:r>
        <w:rPr>
          <w:i/>
          <w:w w:val="105"/>
          <w:sz w:val="21"/>
        </w:rPr>
        <w:t>and Probate Act </w:t>
      </w:r>
      <w:r>
        <w:rPr>
          <w:i/>
          <w:spacing w:val="-6"/>
          <w:w w:val="105"/>
          <w:sz w:val="21"/>
        </w:rPr>
        <w:t>1958 </w:t>
      </w:r>
      <w:r>
        <w:rPr>
          <w:w w:val="105"/>
          <w:sz w:val="21"/>
        </w:rPr>
        <w:t>(Vic) should be amended </w:t>
      </w:r>
      <w:r>
        <w:rPr>
          <w:spacing w:val="-3"/>
          <w:w w:val="105"/>
          <w:sz w:val="21"/>
        </w:rPr>
        <w:t>to </w:t>
      </w:r>
      <w:r>
        <w:rPr>
          <w:w w:val="105"/>
          <w:sz w:val="21"/>
        </w:rPr>
        <w:t>provide </w:t>
      </w:r>
      <w:r>
        <w:rPr>
          <w:spacing w:val="-3"/>
          <w:w w:val="105"/>
          <w:sz w:val="21"/>
        </w:rPr>
        <w:t>that </w:t>
      </w:r>
      <w:r>
        <w:rPr>
          <w:w w:val="105"/>
          <w:sz w:val="21"/>
        </w:rPr>
        <w:t>the </w:t>
      </w:r>
      <w:r>
        <w:rPr>
          <w:spacing w:val="-2"/>
          <w:w w:val="105"/>
          <w:sz w:val="21"/>
        </w:rPr>
        <w:t>distribution</w:t>
      </w:r>
      <w:r>
        <w:rPr>
          <w:spacing w:val="-10"/>
          <w:w w:val="105"/>
          <w:sz w:val="21"/>
        </w:rPr>
        <w:t> </w:t>
      </w:r>
      <w:r>
        <w:rPr>
          <w:w w:val="105"/>
          <w:sz w:val="21"/>
        </w:rPr>
        <w:t>of</w:t>
      </w:r>
      <w:r>
        <w:rPr>
          <w:spacing w:val="-9"/>
          <w:w w:val="105"/>
          <w:sz w:val="21"/>
        </w:rPr>
        <w:t> </w:t>
      </w:r>
      <w:r>
        <w:rPr>
          <w:w w:val="105"/>
          <w:sz w:val="21"/>
        </w:rPr>
        <w:t>an</w:t>
      </w:r>
      <w:r>
        <w:rPr>
          <w:spacing w:val="-9"/>
          <w:w w:val="105"/>
          <w:sz w:val="21"/>
        </w:rPr>
        <w:t> </w:t>
      </w:r>
      <w:r>
        <w:rPr>
          <w:spacing w:val="-3"/>
          <w:w w:val="105"/>
          <w:sz w:val="21"/>
        </w:rPr>
        <w:t>intestate</w:t>
      </w:r>
      <w:r>
        <w:rPr>
          <w:spacing w:val="-9"/>
          <w:w w:val="105"/>
          <w:sz w:val="21"/>
        </w:rPr>
        <w:t> </w:t>
      </w:r>
      <w:r>
        <w:rPr>
          <w:w w:val="105"/>
          <w:sz w:val="21"/>
        </w:rPr>
        <w:t>estate</w:t>
      </w:r>
      <w:r>
        <w:rPr>
          <w:spacing w:val="-9"/>
          <w:w w:val="105"/>
          <w:sz w:val="21"/>
        </w:rPr>
        <w:t> </w:t>
      </w:r>
      <w:r>
        <w:rPr>
          <w:w w:val="105"/>
          <w:sz w:val="21"/>
        </w:rPr>
        <w:t>is</w:t>
      </w:r>
      <w:r>
        <w:rPr>
          <w:spacing w:val="-9"/>
          <w:w w:val="105"/>
          <w:sz w:val="21"/>
        </w:rPr>
        <w:t> </w:t>
      </w:r>
      <w:r>
        <w:rPr>
          <w:spacing w:val="-2"/>
          <w:w w:val="105"/>
          <w:sz w:val="21"/>
        </w:rPr>
        <w:t>not</w:t>
      </w:r>
      <w:r>
        <w:rPr>
          <w:spacing w:val="-9"/>
          <w:w w:val="105"/>
          <w:sz w:val="21"/>
        </w:rPr>
        <w:t> </w:t>
      </w:r>
      <w:r>
        <w:rPr>
          <w:w w:val="105"/>
          <w:sz w:val="21"/>
        </w:rPr>
        <w:t>affected</w:t>
      </w:r>
      <w:r>
        <w:rPr>
          <w:spacing w:val="-9"/>
          <w:w w:val="105"/>
          <w:sz w:val="21"/>
        </w:rPr>
        <w:t> </w:t>
      </w:r>
      <w:r>
        <w:rPr>
          <w:w w:val="105"/>
          <w:sz w:val="21"/>
        </w:rPr>
        <w:t>by</w:t>
      </w:r>
      <w:r>
        <w:rPr>
          <w:spacing w:val="-9"/>
          <w:w w:val="105"/>
          <w:sz w:val="21"/>
        </w:rPr>
        <w:t> </w:t>
      </w:r>
      <w:r>
        <w:rPr>
          <w:spacing w:val="-3"/>
          <w:w w:val="105"/>
          <w:sz w:val="21"/>
        </w:rPr>
        <w:t>dispositions</w:t>
      </w:r>
      <w:r>
        <w:rPr>
          <w:spacing w:val="-9"/>
          <w:w w:val="105"/>
          <w:sz w:val="21"/>
        </w:rPr>
        <w:t> </w:t>
      </w:r>
      <w:r>
        <w:rPr>
          <w:w w:val="105"/>
          <w:sz w:val="21"/>
        </w:rPr>
        <w:t>made</w:t>
      </w:r>
      <w:r>
        <w:rPr>
          <w:spacing w:val="-9"/>
          <w:w w:val="105"/>
          <w:sz w:val="21"/>
        </w:rPr>
        <w:t> </w:t>
      </w:r>
      <w:r>
        <w:rPr>
          <w:w w:val="105"/>
          <w:sz w:val="21"/>
        </w:rPr>
        <w:t>by</w:t>
      </w:r>
      <w:r>
        <w:rPr>
          <w:spacing w:val="-9"/>
          <w:w w:val="105"/>
          <w:sz w:val="21"/>
        </w:rPr>
        <w:t> </w:t>
      </w:r>
      <w:r>
        <w:rPr>
          <w:w w:val="105"/>
          <w:sz w:val="21"/>
        </w:rPr>
        <w:t>the</w:t>
      </w:r>
      <w:r>
        <w:rPr>
          <w:spacing w:val="-9"/>
          <w:w w:val="105"/>
          <w:sz w:val="21"/>
        </w:rPr>
        <w:t> </w:t>
      </w:r>
      <w:r>
        <w:rPr>
          <w:w w:val="105"/>
          <w:sz w:val="21"/>
        </w:rPr>
        <w:t>deceased</w:t>
      </w:r>
      <w:r>
        <w:rPr>
          <w:spacing w:val="-9"/>
          <w:w w:val="105"/>
          <w:sz w:val="21"/>
        </w:rPr>
        <w:t> </w:t>
      </w:r>
      <w:r>
        <w:rPr>
          <w:w w:val="105"/>
          <w:sz w:val="21"/>
        </w:rPr>
        <w:t>person:</w:t>
      </w:r>
    </w:p>
    <w:p>
      <w:pPr>
        <w:pStyle w:val="ListParagraph"/>
        <w:numPr>
          <w:ilvl w:val="1"/>
          <w:numId w:val="13"/>
        </w:numPr>
        <w:tabs>
          <w:tab w:pos="3028" w:val="left" w:leader="none"/>
        </w:tabs>
        <w:spacing w:line="240" w:lineRule="auto" w:before="123" w:after="0"/>
        <w:ind w:left="3027" w:right="0" w:hanging="306"/>
        <w:jc w:val="left"/>
        <w:rPr>
          <w:sz w:val="21"/>
        </w:rPr>
      </w:pPr>
      <w:r>
        <w:rPr>
          <w:spacing w:val="-3"/>
          <w:sz w:val="21"/>
        </w:rPr>
        <w:t>during </w:t>
      </w:r>
      <w:r>
        <w:rPr>
          <w:sz w:val="21"/>
        </w:rPr>
        <w:t>the deceased </w:t>
      </w:r>
      <w:r>
        <w:rPr>
          <w:spacing w:val="-3"/>
          <w:sz w:val="21"/>
        </w:rPr>
        <w:t>person’s </w:t>
      </w:r>
      <w:r>
        <w:rPr>
          <w:spacing w:val="-4"/>
          <w:sz w:val="21"/>
        </w:rPr>
        <w:t>lifetime,</w:t>
      </w:r>
      <w:r>
        <w:rPr>
          <w:spacing w:val="7"/>
          <w:sz w:val="21"/>
        </w:rPr>
        <w:t> </w:t>
      </w:r>
      <w:r>
        <w:rPr>
          <w:sz w:val="21"/>
        </w:rPr>
        <w:t>or</w:t>
      </w:r>
    </w:p>
    <w:p>
      <w:pPr>
        <w:pStyle w:val="ListParagraph"/>
        <w:numPr>
          <w:ilvl w:val="1"/>
          <w:numId w:val="13"/>
        </w:numPr>
        <w:tabs>
          <w:tab w:pos="3028" w:val="left" w:leader="none"/>
        </w:tabs>
        <w:spacing w:line="240" w:lineRule="auto" w:before="123" w:after="0"/>
        <w:ind w:left="3027" w:right="0" w:hanging="306"/>
        <w:jc w:val="left"/>
        <w:rPr>
          <w:sz w:val="21"/>
        </w:rPr>
      </w:pPr>
      <w:r>
        <w:rPr>
          <w:sz w:val="21"/>
        </w:rPr>
        <w:t>in</w:t>
      </w:r>
      <w:r>
        <w:rPr>
          <w:spacing w:val="8"/>
          <w:sz w:val="21"/>
        </w:rPr>
        <w:t> </w:t>
      </w:r>
      <w:r>
        <w:rPr>
          <w:sz w:val="21"/>
        </w:rPr>
        <w:t>the</w:t>
      </w:r>
      <w:r>
        <w:rPr>
          <w:spacing w:val="9"/>
          <w:sz w:val="21"/>
        </w:rPr>
        <w:t> </w:t>
      </w:r>
      <w:r>
        <w:rPr>
          <w:sz w:val="21"/>
        </w:rPr>
        <w:t>case</w:t>
      </w:r>
      <w:r>
        <w:rPr>
          <w:spacing w:val="8"/>
          <w:sz w:val="21"/>
        </w:rPr>
        <w:t> </w:t>
      </w:r>
      <w:r>
        <w:rPr>
          <w:sz w:val="21"/>
        </w:rPr>
        <w:t>of</w:t>
      </w:r>
      <w:r>
        <w:rPr>
          <w:spacing w:val="9"/>
          <w:sz w:val="21"/>
        </w:rPr>
        <w:t> </w:t>
      </w:r>
      <w:r>
        <w:rPr>
          <w:sz w:val="21"/>
        </w:rPr>
        <w:t>a</w:t>
      </w:r>
      <w:r>
        <w:rPr>
          <w:spacing w:val="8"/>
          <w:sz w:val="21"/>
        </w:rPr>
        <w:t> </w:t>
      </w:r>
      <w:r>
        <w:rPr>
          <w:sz w:val="21"/>
        </w:rPr>
        <w:t>partial</w:t>
      </w:r>
      <w:r>
        <w:rPr>
          <w:spacing w:val="9"/>
          <w:sz w:val="21"/>
        </w:rPr>
        <w:t> </w:t>
      </w:r>
      <w:r>
        <w:rPr>
          <w:spacing w:val="-3"/>
          <w:sz w:val="21"/>
        </w:rPr>
        <w:t>intestacy,</w:t>
      </w:r>
      <w:r>
        <w:rPr>
          <w:spacing w:val="8"/>
          <w:sz w:val="21"/>
        </w:rPr>
        <w:t> </w:t>
      </w:r>
      <w:r>
        <w:rPr>
          <w:sz w:val="21"/>
        </w:rPr>
        <w:t>by</w:t>
      </w:r>
      <w:r>
        <w:rPr>
          <w:spacing w:val="9"/>
          <w:sz w:val="21"/>
        </w:rPr>
        <w:t> </w:t>
      </w:r>
      <w:r>
        <w:rPr>
          <w:spacing w:val="-3"/>
          <w:sz w:val="21"/>
        </w:rPr>
        <w:t>will.</w:t>
      </w:r>
    </w:p>
    <w:p>
      <w:pPr>
        <w:pStyle w:val="BodyText"/>
        <w:spacing w:before="11"/>
        <w:rPr>
          <w:sz w:val="16"/>
        </w:rPr>
      </w:pPr>
    </w:p>
    <w:p>
      <w:pPr>
        <w:pStyle w:val="Heading5"/>
        <w:spacing w:before="99"/>
      </w:pPr>
      <w:r>
        <w:rPr>
          <w:w w:val="115"/>
        </w:rPr>
        <w:t>Intestate estates of Indigenous people</w:t>
      </w:r>
    </w:p>
    <w:p>
      <w:pPr>
        <w:pStyle w:val="ListParagraph"/>
        <w:numPr>
          <w:ilvl w:val="0"/>
          <w:numId w:val="13"/>
        </w:numPr>
        <w:tabs>
          <w:tab w:pos="1928" w:val="left" w:leader="none"/>
        </w:tabs>
        <w:spacing w:line="242" w:lineRule="auto" w:before="137" w:after="0"/>
        <w:ind w:left="1927" w:right="2064" w:hanging="340"/>
        <w:jc w:val="left"/>
        <w:rPr>
          <w:sz w:val="21"/>
        </w:rPr>
      </w:pPr>
      <w:r>
        <w:rPr>
          <w:w w:val="105"/>
          <w:sz w:val="21"/>
        </w:rPr>
        <w:t>The Attorney-General should </w:t>
      </w:r>
      <w:r>
        <w:rPr>
          <w:spacing w:val="-3"/>
          <w:w w:val="105"/>
          <w:sz w:val="21"/>
        </w:rPr>
        <w:t>have </w:t>
      </w:r>
      <w:r>
        <w:rPr>
          <w:w w:val="105"/>
          <w:sz w:val="21"/>
        </w:rPr>
        <w:t>the Department of Justice </w:t>
      </w:r>
      <w:r>
        <w:rPr>
          <w:spacing w:val="-3"/>
          <w:w w:val="105"/>
          <w:sz w:val="21"/>
        </w:rPr>
        <w:t>prepare </w:t>
      </w:r>
      <w:r>
        <w:rPr>
          <w:w w:val="105"/>
          <w:sz w:val="21"/>
        </w:rPr>
        <w:t>a report about the </w:t>
      </w:r>
      <w:r>
        <w:rPr>
          <w:spacing w:val="-2"/>
          <w:w w:val="105"/>
          <w:sz w:val="21"/>
        </w:rPr>
        <w:t>distribution </w:t>
      </w:r>
      <w:r>
        <w:rPr>
          <w:w w:val="105"/>
          <w:sz w:val="21"/>
        </w:rPr>
        <w:t>of the </w:t>
      </w:r>
      <w:r>
        <w:rPr>
          <w:spacing w:val="-3"/>
          <w:w w:val="105"/>
          <w:sz w:val="21"/>
        </w:rPr>
        <w:t>intestate </w:t>
      </w:r>
      <w:r>
        <w:rPr>
          <w:w w:val="105"/>
          <w:sz w:val="21"/>
        </w:rPr>
        <w:t>estates of Indigenous people in Victoria, </w:t>
      </w:r>
      <w:r>
        <w:rPr>
          <w:spacing w:val="-3"/>
          <w:w w:val="105"/>
          <w:sz w:val="21"/>
        </w:rPr>
        <w:t>including </w:t>
      </w:r>
      <w:r>
        <w:rPr>
          <w:w w:val="105"/>
          <w:sz w:val="21"/>
        </w:rPr>
        <w:t>the need </w:t>
      </w:r>
      <w:r>
        <w:rPr>
          <w:spacing w:val="-3"/>
          <w:w w:val="105"/>
          <w:sz w:val="21"/>
        </w:rPr>
        <w:t>for any legislative reform. </w:t>
      </w:r>
      <w:r>
        <w:rPr>
          <w:w w:val="105"/>
          <w:sz w:val="21"/>
        </w:rPr>
        <w:t>This report should </w:t>
      </w:r>
      <w:r>
        <w:rPr>
          <w:spacing w:val="-3"/>
          <w:w w:val="105"/>
          <w:sz w:val="21"/>
        </w:rPr>
        <w:t>build </w:t>
      </w:r>
      <w:r>
        <w:rPr>
          <w:w w:val="105"/>
          <w:sz w:val="21"/>
        </w:rPr>
        <w:t>on the work of the </w:t>
      </w:r>
      <w:r>
        <w:rPr>
          <w:spacing w:val="-3"/>
          <w:w w:val="105"/>
          <w:sz w:val="21"/>
        </w:rPr>
        <w:t>National</w:t>
      </w:r>
      <w:r>
        <w:rPr>
          <w:spacing w:val="-29"/>
          <w:w w:val="105"/>
          <w:sz w:val="21"/>
        </w:rPr>
        <w:t> </w:t>
      </w:r>
      <w:r>
        <w:rPr>
          <w:spacing w:val="-3"/>
          <w:w w:val="105"/>
          <w:sz w:val="21"/>
        </w:rPr>
        <w:t>Committee</w:t>
      </w:r>
    </w:p>
    <w:p>
      <w:pPr>
        <w:pStyle w:val="BodyText"/>
        <w:spacing w:line="242" w:lineRule="auto" w:before="4"/>
        <w:ind w:left="1927" w:right="1912"/>
      </w:pPr>
      <w:r>
        <w:rPr>
          <w:w w:val="105"/>
        </w:rPr>
        <w:t>for Uniform Succession Laws and the findings of the Commission, and be based on further community consultation.</w:t>
      </w:r>
    </w:p>
    <w:p>
      <w:pPr>
        <w:spacing w:before="88"/>
        <w:ind w:left="0" w:right="523" w:firstLine="0"/>
        <w:jc w:val="right"/>
        <w:rPr>
          <w:b/>
          <w:sz w:val="24"/>
        </w:rPr>
      </w:pPr>
      <w:r>
        <w:rPr>
          <w:b/>
          <w:color w:val="EC5A4F"/>
          <w:w w:val="115"/>
          <w:sz w:val="24"/>
        </w:rPr>
        <w:t>xxvii</w:t>
      </w:r>
    </w:p>
    <w:p>
      <w:pPr>
        <w:spacing w:after="0"/>
        <w:jc w:val="right"/>
        <w:rPr>
          <w:sz w:val="24"/>
        </w:rPr>
        <w:sectPr>
          <w:pgSz w:w="11910" w:h="16840"/>
          <w:pgMar w:header="550" w:footer="0" w:top="1560" w:bottom="280" w:left="0" w:right="0"/>
        </w:sectPr>
      </w:pPr>
    </w:p>
    <w:p>
      <w:pPr>
        <w:pStyle w:val="BodyText"/>
        <w:spacing w:before="3"/>
        <w:rPr>
          <w:b/>
        </w:rPr>
      </w:pPr>
    </w:p>
    <w:p>
      <w:pPr>
        <w:spacing w:before="99"/>
        <w:ind w:left="1587" w:right="0" w:firstLine="0"/>
        <w:jc w:val="left"/>
        <w:rPr>
          <w:b/>
          <w:sz w:val="28"/>
        </w:rPr>
      </w:pPr>
      <w:r>
        <w:rPr>
          <w:b/>
          <w:color w:val="EC5A4F"/>
          <w:w w:val="110"/>
          <w:sz w:val="28"/>
        </w:rPr>
        <w:t>Chapter 6 Family provision</w:t>
      </w:r>
    </w:p>
    <w:p>
      <w:pPr>
        <w:spacing w:before="166"/>
        <w:ind w:left="1587" w:right="0" w:firstLine="0"/>
        <w:jc w:val="left"/>
        <w:rPr>
          <w:b/>
          <w:sz w:val="24"/>
        </w:rPr>
      </w:pPr>
      <w:r>
        <w:rPr>
          <w:b/>
          <w:w w:val="110"/>
          <w:sz w:val="24"/>
        </w:rPr>
        <w:t>Court jurisdiction</w:t>
      </w:r>
    </w:p>
    <w:p>
      <w:pPr>
        <w:pStyle w:val="ListParagraph"/>
        <w:numPr>
          <w:ilvl w:val="0"/>
          <w:numId w:val="14"/>
        </w:numPr>
        <w:tabs>
          <w:tab w:pos="1928" w:val="left" w:leader="none"/>
        </w:tabs>
        <w:spacing w:line="240" w:lineRule="auto" w:before="138" w:after="0"/>
        <w:ind w:left="1927" w:right="0" w:hanging="340"/>
        <w:jc w:val="left"/>
        <w:rPr>
          <w:sz w:val="21"/>
        </w:rPr>
      </w:pPr>
      <w:r>
        <w:rPr>
          <w:w w:val="105"/>
          <w:sz w:val="21"/>
        </w:rPr>
        <w:t>The </w:t>
      </w:r>
      <w:r>
        <w:rPr>
          <w:i/>
          <w:spacing w:val="-3"/>
          <w:w w:val="105"/>
          <w:sz w:val="21"/>
        </w:rPr>
        <w:t>Administration </w:t>
      </w:r>
      <w:r>
        <w:rPr>
          <w:i/>
          <w:w w:val="105"/>
          <w:sz w:val="21"/>
        </w:rPr>
        <w:t>and Probate Act </w:t>
      </w:r>
      <w:r>
        <w:rPr>
          <w:i/>
          <w:spacing w:val="-6"/>
          <w:w w:val="105"/>
          <w:sz w:val="21"/>
        </w:rPr>
        <w:t>1958 </w:t>
      </w:r>
      <w:r>
        <w:rPr>
          <w:w w:val="105"/>
          <w:sz w:val="21"/>
        </w:rPr>
        <w:t>(Vic) should be amended</w:t>
      </w:r>
      <w:r>
        <w:rPr>
          <w:spacing w:val="4"/>
          <w:w w:val="105"/>
          <w:sz w:val="21"/>
        </w:rPr>
        <w:t> </w:t>
      </w:r>
      <w:r>
        <w:rPr>
          <w:w w:val="105"/>
          <w:sz w:val="21"/>
        </w:rPr>
        <w:t>to:</w:t>
      </w:r>
    </w:p>
    <w:p>
      <w:pPr>
        <w:pStyle w:val="ListParagraph"/>
        <w:numPr>
          <w:ilvl w:val="1"/>
          <w:numId w:val="14"/>
        </w:numPr>
        <w:tabs>
          <w:tab w:pos="3028" w:val="left" w:leader="none"/>
        </w:tabs>
        <w:spacing w:line="242" w:lineRule="auto" w:before="124" w:after="0"/>
        <w:ind w:left="3027" w:right="1923" w:hanging="307"/>
        <w:jc w:val="left"/>
        <w:rPr>
          <w:sz w:val="21"/>
        </w:rPr>
      </w:pPr>
      <w:r>
        <w:rPr>
          <w:spacing w:val="-3"/>
          <w:sz w:val="21"/>
        </w:rPr>
        <w:t>grant </w:t>
      </w:r>
      <w:r>
        <w:rPr>
          <w:sz w:val="21"/>
        </w:rPr>
        <w:t>the </w:t>
      </w:r>
      <w:r>
        <w:rPr>
          <w:spacing w:val="-3"/>
          <w:sz w:val="21"/>
        </w:rPr>
        <w:t>County Court exclusive </w:t>
      </w:r>
      <w:r>
        <w:rPr>
          <w:sz w:val="21"/>
        </w:rPr>
        <w:t>jurisdiction over </w:t>
      </w:r>
      <w:r>
        <w:rPr>
          <w:spacing w:val="-3"/>
          <w:sz w:val="21"/>
        </w:rPr>
        <w:t>family provision claims </w:t>
      </w:r>
      <w:r>
        <w:rPr>
          <w:sz w:val="21"/>
        </w:rPr>
        <w:t>where the </w:t>
      </w:r>
      <w:r>
        <w:rPr>
          <w:spacing w:val="-3"/>
          <w:sz w:val="21"/>
        </w:rPr>
        <w:t>value </w:t>
      </w:r>
      <w:r>
        <w:rPr>
          <w:sz w:val="21"/>
        </w:rPr>
        <w:t>of the net estate does </w:t>
      </w:r>
      <w:r>
        <w:rPr>
          <w:spacing w:val="-2"/>
          <w:sz w:val="21"/>
        </w:rPr>
        <w:t>not </w:t>
      </w:r>
      <w:r>
        <w:rPr>
          <w:sz w:val="21"/>
        </w:rPr>
        <w:t>exceed</w:t>
      </w:r>
      <w:r>
        <w:rPr>
          <w:spacing w:val="7"/>
          <w:sz w:val="21"/>
        </w:rPr>
        <w:t> </w:t>
      </w:r>
      <w:r>
        <w:rPr>
          <w:sz w:val="21"/>
        </w:rPr>
        <w:t>$500,000</w:t>
      </w:r>
    </w:p>
    <w:p>
      <w:pPr>
        <w:pStyle w:val="ListParagraph"/>
        <w:numPr>
          <w:ilvl w:val="1"/>
          <w:numId w:val="14"/>
        </w:numPr>
        <w:tabs>
          <w:tab w:pos="3028" w:val="left" w:leader="none"/>
        </w:tabs>
        <w:spacing w:line="242" w:lineRule="auto" w:before="122" w:after="0"/>
        <w:ind w:left="3027" w:right="1995" w:hanging="307"/>
        <w:jc w:val="left"/>
        <w:rPr>
          <w:sz w:val="21"/>
        </w:rPr>
      </w:pPr>
      <w:r>
        <w:rPr>
          <w:w w:val="105"/>
          <w:sz w:val="21"/>
        </w:rPr>
        <w:t>specify </w:t>
      </w:r>
      <w:r>
        <w:rPr>
          <w:spacing w:val="-3"/>
          <w:w w:val="105"/>
          <w:sz w:val="21"/>
        </w:rPr>
        <w:t>that </w:t>
      </w:r>
      <w:r>
        <w:rPr>
          <w:w w:val="105"/>
          <w:sz w:val="21"/>
        </w:rPr>
        <w:t>the </w:t>
      </w:r>
      <w:r>
        <w:rPr>
          <w:spacing w:val="-3"/>
          <w:w w:val="105"/>
          <w:sz w:val="21"/>
        </w:rPr>
        <w:t>County Court </w:t>
      </w:r>
      <w:r>
        <w:rPr>
          <w:w w:val="105"/>
          <w:sz w:val="21"/>
        </w:rPr>
        <w:t>and </w:t>
      </w:r>
      <w:r>
        <w:rPr>
          <w:spacing w:val="-3"/>
          <w:w w:val="105"/>
          <w:sz w:val="21"/>
        </w:rPr>
        <w:t>Supreme Court have concurrent </w:t>
      </w:r>
      <w:r>
        <w:rPr>
          <w:w w:val="105"/>
          <w:sz w:val="21"/>
        </w:rPr>
        <w:t>jurisdiction in </w:t>
      </w:r>
      <w:r>
        <w:rPr>
          <w:spacing w:val="-3"/>
          <w:w w:val="105"/>
          <w:sz w:val="21"/>
        </w:rPr>
        <w:t>relation to all </w:t>
      </w:r>
      <w:r>
        <w:rPr>
          <w:w w:val="105"/>
          <w:sz w:val="21"/>
        </w:rPr>
        <w:t>other </w:t>
      </w:r>
      <w:r>
        <w:rPr>
          <w:spacing w:val="-3"/>
          <w:w w:val="105"/>
          <w:sz w:val="21"/>
        </w:rPr>
        <w:t>family provision</w:t>
      </w:r>
      <w:r>
        <w:rPr>
          <w:spacing w:val="39"/>
          <w:w w:val="105"/>
          <w:sz w:val="21"/>
        </w:rPr>
        <w:t> </w:t>
      </w:r>
      <w:r>
        <w:rPr>
          <w:spacing w:val="-3"/>
          <w:w w:val="105"/>
          <w:sz w:val="21"/>
        </w:rPr>
        <w:t>proceedings</w:t>
      </w:r>
    </w:p>
    <w:p>
      <w:pPr>
        <w:pStyle w:val="ListParagraph"/>
        <w:numPr>
          <w:ilvl w:val="1"/>
          <w:numId w:val="14"/>
        </w:numPr>
        <w:tabs>
          <w:tab w:pos="3028" w:val="left" w:leader="none"/>
        </w:tabs>
        <w:spacing w:line="240" w:lineRule="auto" w:before="122" w:after="0"/>
        <w:ind w:left="3027" w:right="0" w:hanging="307"/>
        <w:jc w:val="left"/>
        <w:rPr>
          <w:sz w:val="21"/>
        </w:rPr>
      </w:pPr>
      <w:r>
        <w:rPr>
          <w:spacing w:val="-3"/>
          <w:sz w:val="21"/>
        </w:rPr>
        <w:t>remove</w:t>
      </w:r>
      <w:r>
        <w:rPr>
          <w:spacing w:val="10"/>
          <w:sz w:val="21"/>
        </w:rPr>
        <w:t> </w:t>
      </w:r>
      <w:r>
        <w:rPr>
          <w:spacing w:val="-3"/>
          <w:sz w:val="21"/>
        </w:rPr>
        <w:t>reference</w:t>
      </w:r>
      <w:r>
        <w:rPr>
          <w:spacing w:val="10"/>
          <w:sz w:val="21"/>
        </w:rPr>
        <w:t> </w:t>
      </w:r>
      <w:r>
        <w:rPr>
          <w:spacing w:val="-3"/>
          <w:sz w:val="21"/>
        </w:rPr>
        <w:t>to</w:t>
      </w:r>
      <w:r>
        <w:rPr>
          <w:spacing w:val="10"/>
          <w:sz w:val="21"/>
        </w:rPr>
        <w:t> </w:t>
      </w:r>
      <w:r>
        <w:rPr>
          <w:sz w:val="21"/>
        </w:rPr>
        <w:t>the</w:t>
      </w:r>
      <w:r>
        <w:rPr>
          <w:spacing w:val="11"/>
          <w:sz w:val="21"/>
        </w:rPr>
        <w:t> </w:t>
      </w:r>
      <w:r>
        <w:rPr>
          <w:spacing w:val="-3"/>
          <w:sz w:val="21"/>
        </w:rPr>
        <w:t>County</w:t>
      </w:r>
      <w:r>
        <w:rPr>
          <w:spacing w:val="10"/>
          <w:sz w:val="21"/>
        </w:rPr>
        <w:t> </w:t>
      </w:r>
      <w:r>
        <w:rPr>
          <w:spacing w:val="-3"/>
          <w:sz w:val="21"/>
        </w:rPr>
        <w:t>Court’s</w:t>
      </w:r>
      <w:r>
        <w:rPr>
          <w:spacing w:val="10"/>
          <w:sz w:val="21"/>
        </w:rPr>
        <w:t> </w:t>
      </w:r>
      <w:r>
        <w:rPr>
          <w:spacing w:val="-3"/>
          <w:sz w:val="21"/>
        </w:rPr>
        <w:t>jurisdictional</w:t>
      </w:r>
      <w:r>
        <w:rPr>
          <w:spacing w:val="11"/>
          <w:sz w:val="21"/>
        </w:rPr>
        <w:t> </w:t>
      </w:r>
      <w:r>
        <w:rPr>
          <w:spacing w:val="-3"/>
          <w:sz w:val="21"/>
        </w:rPr>
        <w:t>limit.</w:t>
      </w:r>
    </w:p>
    <w:p>
      <w:pPr>
        <w:pStyle w:val="BodyText"/>
        <w:spacing w:before="11"/>
        <w:rPr>
          <w:sz w:val="16"/>
        </w:rPr>
      </w:pPr>
    </w:p>
    <w:p>
      <w:pPr>
        <w:pStyle w:val="Heading5"/>
        <w:spacing w:before="99"/>
      </w:pPr>
      <w:r>
        <w:rPr>
          <w:w w:val="115"/>
        </w:rPr>
        <w:t>Eligibility to make a family provision claim</w:t>
      </w:r>
    </w:p>
    <w:p>
      <w:pPr>
        <w:pStyle w:val="ListParagraph"/>
        <w:numPr>
          <w:ilvl w:val="0"/>
          <w:numId w:val="14"/>
        </w:numPr>
        <w:tabs>
          <w:tab w:pos="1928" w:val="left" w:leader="none"/>
        </w:tabs>
        <w:spacing w:line="242" w:lineRule="auto" w:before="137" w:after="0"/>
        <w:ind w:left="1927" w:right="1602" w:hanging="340"/>
        <w:jc w:val="left"/>
        <w:rPr>
          <w:sz w:val="21"/>
        </w:rPr>
      </w:pPr>
      <w:r>
        <w:rPr>
          <w:w w:val="105"/>
          <w:sz w:val="21"/>
        </w:rPr>
        <w:t>Victoria</w:t>
      </w:r>
      <w:r>
        <w:rPr>
          <w:spacing w:val="-7"/>
          <w:w w:val="105"/>
          <w:sz w:val="21"/>
        </w:rPr>
        <w:t> </w:t>
      </w:r>
      <w:r>
        <w:rPr>
          <w:w w:val="105"/>
          <w:sz w:val="21"/>
        </w:rPr>
        <w:t>should</w:t>
      </w:r>
      <w:r>
        <w:rPr>
          <w:spacing w:val="-7"/>
          <w:w w:val="105"/>
          <w:sz w:val="21"/>
        </w:rPr>
        <w:t> </w:t>
      </w:r>
      <w:r>
        <w:rPr>
          <w:spacing w:val="-3"/>
          <w:w w:val="105"/>
          <w:sz w:val="21"/>
        </w:rPr>
        <w:t>replace</w:t>
      </w:r>
      <w:r>
        <w:rPr>
          <w:spacing w:val="-7"/>
          <w:w w:val="105"/>
          <w:sz w:val="21"/>
        </w:rPr>
        <w:t> </w:t>
      </w:r>
      <w:r>
        <w:rPr>
          <w:w w:val="105"/>
          <w:sz w:val="21"/>
        </w:rPr>
        <w:t>its</w:t>
      </w:r>
      <w:r>
        <w:rPr>
          <w:spacing w:val="-7"/>
          <w:w w:val="105"/>
          <w:sz w:val="21"/>
        </w:rPr>
        <w:t> </w:t>
      </w:r>
      <w:r>
        <w:rPr>
          <w:spacing w:val="-3"/>
          <w:w w:val="105"/>
          <w:sz w:val="21"/>
        </w:rPr>
        <w:t>‘responsibility’</w:t>
      </w:r>
      <w:r>
        <w:rPr>
          <w:spacing w:val="-7"/>
          <w:w w:val="105"/>
          <w:sz w:val="21"/>
        </w:rPr>
        <w:t> </w:t>
      </w:r>
      <w:r>
        <w:rPr>
          <w:w w:val="105"/>
          <w:sz w:val="21"/>
        </w:rPr>
        <w:t>test</w:t>
      </w:r>
      <w:r>
        <w:rPr>
          <w:spacing w:val="-7"/>
          <w:w w:val="105"/>
          <w:sz w:val="21"/>
        </w:rPr>
        <w:t> </w:t>
      </w:r>
      <w:r>
        <w:rPr>
          <w:spacing w:val="-3"/>
          <w:w w:val="105"/>
          <w:sz w:val="21"/>
        </w:rPr>
        <w:t>for</w:t>
      </w:r>
      <w:r>
        <w:rPr>
          <w:spacing w:val="-7"/>
          <w:w w:val="105"/>
          <w:sz w:val="21"/>
        </w:rPr>
        <w:t> </w:t>
      </w:r>
      <w:r>
        <w:rPr>
          <w:spacing w:val="-3"/>
          <w:w w:val="105"/>
          <w:sz w:val="21"/>
        </w:rPr>
        <w:t>eligibility</w:t>
      </w:r>
      <w:r>
        <w:rPr>
          <w:spacing w:val="-6"/>
          <w:w w:val="105"/>
          <w:sz w:val="21"/>
        </w:rPr>
        <w:t> </w:t>
      </w:r>
      <w:r>
        <w:rPr>
          <w:spacing w:val="-3"/>
          <w:w w:val="105"/>
          <w:sz w:val="21"/>
        </w:rPr>
        <w:t>to</w:t>
      </w:r>
      <w:r>
        <w:rPr>
          <w:spacing w:val="-7"/>
          <w:w w:val="105"/>
          <w:sz w:val="21"/>
        </w:rPr>
        <w:t> </w:t>
      </w:r>
      <w:r>
        <w:rPr>
          <w:spacing w:val="-4"/>
          <w:w w:val="105"/>
          <w:sz w:val="21"/>
        </w:rPr>
        <w:t>make</w:t>
      </w:r>
      <w:r>
        <w:rPr>
          <w:spacing w:val="-7"/>
          <w:w w:val="105"/>
          <w:sz w:val="21"/>
        </w:rPr>
        <w:t> </w:t>
      </w:r>
      <w:r>
        <w:rPr>
          <w:w w:val="105"/>
          <w:sz w:val="21"/>
        </w:rPr>
        <w:t>a</w:t>
      </w:r>
      <w:r>
        <w:rPr>
          <w:spacing w:val="-7"/>
          <w:w w:val="105"/>
          <w:sz w:val="21"/>
        </w:rPr>
        <w:t> </w:t>
      </w:r>
      <w:r>
        <w:rPr>
          <w:spacing w:val="-3"/>
          <w:w w:val="105"/>
          <w:sz w:val="21"/>
        </w:rPr>
        <w:t>family</w:t>
      </w:r>
      <w:r>
        <w:rPr>
          <w:spacing w:val="-7"/>
          <w:w w:val="105"/>
          <w:sz w:val="21"/>
        </w:rPr>
        <w:t> </w:t>
      </w:r>
      <w:r>
        <w:rPr>
          <w:spacing w:val="-3"/>
          <w:w w:val="105"/>
          <w:sz w:val="21"/>
        </w:rPr>
        <w:t>provision</w:t>
      </w:r>
      <w:r>
        <w:rPr>
          <w:spacing w:val="-7"/>
          <w:w w:val="105"/>
          <w:sz w:val="21"/>
        </w:rPr>
        <w:t> </w:t>
      </w:r>
      <w:r>
        <w:rPr>
          <w:spacing w:val="-3"/>
          <w:w w:val="105"/>
          <w:sz w:val="21"/>
        </w:rPr>
        <w:t>claim</w:t>
      </w:r>
      <w:r>
        <w:rPr>
          <w:spacing w:val="-7"/>
          <w:w w:val="105"/>
          <w:sz w:val="21"/>
        </w:rPr>
        <w:t> </w:t>
      </w:r>
      <w:r>
        <w:rPr>
          <w:w w:val="105"/>
          <w:sz w:val="21"/>
        </w:rPr>
        <w:t>with a test based on the New South </w:t>
      </w:r>
      <w:r>
        <w:rPr>
          <w:spacing w:val="-3"/>
          <w:w w:val="105"/>
          <w:sz w:val="21"/>
        </w:rPr>
        <w:t>Wales </w:t>
      </w:r>
      <w:r>
        <w:rPr>
          <w:w w:val="105"/>
          <w:sz w:val="21"/>
        </w:rPr>
        <w:t>test </w:t>
      </w:r>
      <w:r>
        <w:rPr>
          <w:spacing w:val="-3"/>
          <w:w w:val="105"/>
          <w:sz w:val="21"/>
        </w:rPr>
        <w:t>for </w:t>
      </w:r>
      <w:r>
        <w:rPr>
          <w:spacing w:val="-4"/>
          <w:w w:val="105"/>
          <w:sz w:val="21"/>
        </w:rPr>
        <w:t>eligibility, </w:t>
      </w:r>
      <w:r>
        <w:rPr>
          <w:w w:val="105"/>
          <w:sz w:val="21"/>
        </w:rPr>
        <w:t>but extended </w:t>
      </w:r>
      <w:r>
        <w:rPr>
          <w:spacing w:val="-3"/>
          <w:w w:val="105"/>
          <w:sz w:val="21"/>
        </w:rPr>
        <w:t>to include stepchildren. </w:t>
      </w:r>
      <w:r>
        <w:rPr>
          <w:spacing w:val="-7"/>
          <w:w w:val="105"/>
          <w:sz w:val="21"/>
        </w:rPr>
        <w:t>To </w:t>
      </w:r>
      <w:r>
        <w:rPr>
          <w:w w:val="105"/>
          <w:sz w:val="21"/>
        </w:rPr>
        <w:t>this </w:t>
      </w:r>
      <w:r>
        <w:rPr>
          <w:spacing w:val="-3"/>
          <w:w w:val="105"/>
          <w:sz w:val="21"/>
        </w:rPr>
        <w:t>end, </w:t>
      </w:r>
      <w:r>
        <w:rPr>
          <w:w w:val="105"/>
          <w:sz w:val="21"/>
        </w:rPr>
        <w:t>section </w:t>
      </w:r>
      <w:r>
        <w:rPr>
          <w:spacing w:val="-6"/>
          <w:w w:val="105"/>
          <w:sz w:val="21"/>
        </w:rPr>
        <w:t>91(1) </w:t>
      </w:r>
      <w:r>
        <w:rPr>
          <w:w w:val="105"/>
          <w:sz w:val="21"/>
        </w:rPr>
        <w:t>of the </w:t>
      </w:r>
      <w:r>
        <w:rPr>
          <w:i/>
          <w:spacing w:val="-3"/>
          <w:w w:val="105"/>
          <w:sz w:val="21"/>
        </w:rPr>
        <w:t>Administration </w:t>
      </w:r>
      <w:r>
        <w:rPr>
          <w:i/>
          <w:w w:val="105"/>
          <w:sz w:val="21"/>
        </w:rPr>
        <w:t>and Probate Act </w:t>
      </w:r>
      <w:r>
        <w:rPr>
          <w:i/>
          <w:spacing w:val="-6"/>
          <w:w w:val="105"/>
          <w:sz w:val="21"/>
        </w:rPr>
        <w:t>1958 </w:t>
      </w:r>
      <w:r>
        <w:rPr>
          <w:w w:val="105"/>
          <w:sz w:val="21"/>
        </w:rPr>
        <w:t>(Vic) should be repealed and </w:t>
      </w:r>
      <w:r>
        <w:rPr>
          <w:spacing w:val="-3"/>
          <w:w w:val="105"/>
          <w:sz w:val="21"/>
        </w:rPr>
        <w:t>replaced </w:t>
      </w:r>
      <w:r>
        <w:rPr>
          <w:w w:val="105"/>
          <w:sz w:val="21"/>
        </w:rPr>
        <w:t>with </w:t>
      </w:r>
      <w:r>
        <w:rPr>
          <w:spacing w:val="-3"/>
          <w:w w:val="105"/>
          <w:sz w:val="21"/>
        </w:rPr>
        <w:t>provisions </w:t>
      </w:r>
      <w:r>
        <w:rPr>
          <w:w w:val="105"/>
          <w:sz w:val="21"/>
        </w:rPr>
        <w:t>in the </w:t>
      </w:r>
      <w:r>
        <w:rPr>
          <w:spacing w:val="-3"/>
          <w:w w:val="105"/>
          <w:sz w:val="21"/>
        </w:rPr>
        <w:t>following</w:t>
      </w:r>
      <w:r>
        <w:rPr>
          <w:spacing w:val="37"/>
          <w:w w:val="105"/>
          <w:sz w:val="21"/>
        </w:rPr>
        <w:t> </w:t>
      </w:r>
      <w:r>
        <w:rPr>
          <w:w w:val="105"/>
          <w:sz w:val="21"/>
        </w:rPr>
        <w:t>terms:</w:t>
      </w:r>
    </w:p>
    <w:p>
      <w:pPr>
        <w:spacing w:line="254" w:lineRule="auto" w:before="134"/>
        <w:ind w:left="2721" w:right="1826" w:firstLine="0"/>
        <w:jc w:val="left"/>
        <w:rPr>
          <w:sz w:val="20"/>
        </w:rPr>
      </w:pPr>
      <w:r>
        <w:rPr>
          <w:sz w:val="20"/>
        </w:rPr>
        <w:t>The following are eligible persons who may apply to the court for a </w:t>
      </w:r>
      <w:r>
        <w:rPr>
          <w:spacing w:val="-3"/>
          <w:sz w:val="20"/>
        </w:rPr>
        <w:t>family  </w:t>
      </w:r>
      <w:r>
        <w:rPr>
          <w:sz w:val="20"/>
        </w:rPr>
        <w:t>provision order   in</w:t>
      </w:r>
      <w:r>
        <w:rPr>
          <w:spacing w:val="8"/>
          <w:sz w:val="20"/>
        </w:rPr>
        <w:t> </w:t>
      </w:r>
      <w:r>
        <w:rPr>
          <w:sz w:val="20"/>
        </w:rPr>
        <w:t>respect</w:t>
      </w:r>
      <w:r>
        <w:rPr>
          <w:spacing w:val="9"/>
          <w:sz w:val="20"/>
        </w:rPr>
        <w:t> </w:t>
      </w:r>
      <w:r>
        <w:rPr>
          <w:sz w:val="20"/>
        </w:rPr>
        <w:t>of</w:t>
      </w:r>
      <w:r>
        <w:rPr>
          <w:spacing w:val="9"/>
          <w:sz w:val="20"/>
        </w:rPr>
        <w:t> </w:t>
      </w:r>
      <w:r>
        <w:rPr>
          <w:sz w:val="20"/>
        </w:rPr>
        <w:t>the</w:t>
      </w:r>
      <w:r>
        <w:rPr>
          <w:spacing w:val="8"/>
          <w:sz w:val="20"/>
        </w:rPr>
        <w:t> </w:t>
      </w:r>
      <w:r>
        <w:rPr>
          <w:sz w:val="20"/>
        </w:rPr>
        <w:t>estate</w:t>
      </w:r>
      <w:r>
        <w:rPr>
          <w:spacing w:val="9"/>
          <w:sz w:val="20"/>
        </w:rPr>
        <w:t> </w:t>
      </w:r>
      <w:r>
        <w:rPr>
          <w:sz w:val="20"/>
        </w:rPr>
        <w:t>of</w:t>
      </w:r>
      <w:r>
        <w:rPr>
          <w:spacing w:val="9"/>
          <w:sz w:val="20"/>
        </w:rPr>
        <w:t> </w:t>
      </w:r>
      <w:r>
        <w:rPr>
          <w:sz w:val="20"/>
        </w:rPr>
        <w:t>a</w:t>
      </w:r>
      <w:r>
        <w:rPr>
          <w:spacing w:val="9"/>
          <w:sz w:val="20"/>
        </w:rPr>
        <w:t> </w:t>
      </w:r>
      <w:r>
        <w:rPr>
          <w:sz w:val="20"/>
        </w:rPr>
        <w:t>deceased</w:t>
      </w:r>
      <w:r>
        <w:rPr>
          <w:spacing w:val="8"/>
          <w:sz w:val="20"/>
        </w:rPr>
        <w:t> </w:t>
      </w:r>
      <w:r>
        <w:rPr>
          <w:sz w:val="20"/>
        </w:rPr>
        <w:t>person:</w:t>
      </w:r>
    </w:p>
    <w:p>
      <w:pPr>
        <w:pStyle w:val="ListParagraph"/>
        <w:numPr>
          <w:ilvl w:val="1"/>
          <w:numId w:val="14"/>
        </w:numPr>
        <w:tabs>
          <w:tab w:pos="3028" w:val="left" w:leader="none"/>
        </w:tabs>
        <w:spacing w:line="254" w:lineRule="auto" w:before="122" w:after="0"/>
        <w:ind w:left="3027" w:right="2576" w:hanging="306"/>
        <w:jc w:val="left"/>
        <w:rPr>
          <w:sz w:val="20"/>
        </w:rPr>
      </w:pPr>
      <w:r>
        <w:rPr>
          <w:w w:val="105"/>
          <w:sz w:val="20"/>
        </w:rPr>
        <w:t>a</w:t>
      </w:r>
      <w:r>
        <w:rPr>
          <w:spacing w:val="-4"/>
          <w:w w:val="105"/>
          <w:sz w:val="20"/>
        </w:rPr>
        <w:t> </w:t>
      </w:r>
      <w:r>
        <w:rPr>
          <w:w w:val="105"/>
          <w:sz w:val="20"/>
        </w:rPr>
        <w:t>person</w:t>
      </w:r>
      <w:r>
        <w:rPr>
          <w:spacing w:val="-4"/>
          <w:w w:val="105"/>
          <w:sz w:val="20"/>
        </w:rPr>
        <w:t> </w:t>
      </w:r>
      <w:r>
        <w:rPr>
          <w:w w:val="105"/>
          <w:sz w:val="20"/>
        </w:rPr>
        <w:t>who</w:t>
      </w:r>
      <w:r>
        <w:rPr>
          <w:spacing w:val="-4"/>
          <w:w w:val="105"/>
          <w:sz w:val="20"/>
        </w:rPr>
        <w:t> </w:t>
      </w:r>
      <w:r>
        <w:rPr>
          <w:w w:val="105"/>
          <w:sz w:val="20"/>
        </w:rPr>
        <w:t>was</w:t>
      </w:r>
      <w:r>
        <w:rPr>
          <w:spacing w:val="-3"/>
          <w:w w:val="105"/>
          <w:sz w:val="20"/>
        </w:rPr>
        <w:t> </w:t>
      </w:r>
      <w:r>
        <w:rPr>
          <w:w w:val="105"/>
          <w:sz w:val="20"/>
        </w:rPr>
        <w:t>the</w:t>
      </w:r>
      <w:r>
        <w:rPr>
          <w:spacing w:val="-4"/>
          <w:w w:val="105"/>
          <w:sz w:val="20"/>
        </w:rPr>
        <w:t> </w:t>
      </w:r>
      <w:r>
        <w:rPr>
          <w:w w:val="105"/>
          <w:sz w:val="20"/>
        </w:rPr>
        <w:t>wife</w:t>
      </w:r>
      <w:r>
        <w:rPr>
          <w:spacing w:val="-4"/>
          <w:w w:val="105"/>
          <w:sz w:val="20"/>
        </w:rPr>
        <w:t> </w:t>
      </w:r>
      <w:r>
        <w:rPr>
          <w:w w:val="105"/>
          <w:sz w:val="20"/>
        </w:rPr>
        <w:t>or</w:t>
      </w:r>
      <w:r>
        <w:rPr>
          <w:spacing w:val="-4"/>
          <w:w w:val="105"/>
          <w:sz w:val="20"/>
        </w:rPr>
        <w:t> </w:t>
      </w:r>
      <w:r>
        <w:rPr>
          <w:w w:val="105"/>
          <w:sz w:val="20"/>
        </w:rPr>
        <w:t>husband</w:t>
      </w:r>
      <w:r>
        <w:rPr>
          <w:spacing w:val="-3"/>
          <w:w w:val="105"/>
          <w:sz w:val="20"/>
        </w:rPr>
        <w:t> </w:t>
      </w:r>
      <w:r>
        <w:rPr>
          <w:w w:val="105"/>
          <w:sz w:val="20"/>
        </w:rPr>
        <w:t>of</w:t>
      </w:r>
      <w:r>
        <w:rPr>
          <w:spacing w:val="-4"/>
          <w:w w:val="105"/>
          <w:sz w:val="20"/>
        </w:rPr>
        <w:t> </w:t>
      </w:r>
      <w:r>
        <w:rPr>
          <w:w w:val="105"/>
          <w:sz w:val="20"/>
        </w:rPr>
        <w:t>the</w:t>
      </w:r>
      <w:r>
        <w:rPr>
          <w:spacing w:val="-4"/>
          <w:w w:val="105"/>
          <w:sz w:val="20"/>
        </w:rPr>
        <w:t> </w:t>
      </w:r>
      <w:r>
        <w:rPr>
          <w:w w:val="105"/>
          <w:sz w:val="20"/>
        </w:rPr>
        <w:t>deceased</w:t>
      </w:r>
      <w:r>
        <w:rPr>
          <w:spacing w:val="-4"/>
          <w:w w:val="105"/>
          <w:sz w:val="20"/>
        </w:rPr>
        <w:t> </w:t>
      </w:r>
      <w:r>
        <w:rPr>
          <w:w w:val="105"/>
          <w:sz w:val="20"/>
        </w:rPr>
        <w:t>person</w:t>
      </w:r>
      <w:r>
        <w:rPr>
          <w:spacing w:val="-3"/>
          <w:w w:val="105"/>
          <w:sz w:val="20"/>
        </w:rPr>
        <w:t> </w:t>
      </w:r>
      <w:r>
        <w:rPr>
          <w:w w:val="105"/>
          <w:sz w:val="20"/>
        </w:rPr>
        <w:t>at</w:t>
      </w:r>
      <w:r>
        <w:rPr>
          <w:spacing w:val="-4"/>
          <w:w w:val="105"/>
          <w:sz w:val="20"/>
        </w:rPr>
        <w:t> </w:t>
      </w:r>
      <w:r>
        <w:rPr>
          <w:w w:val="105"/>
          <w:sz w:val="20"/>
        </w:rPr>
        <w:t>the</w:t>
      </w:r>
      <w:r>
        <w:rPr>
          <w:spacing w:val="-4"/>
          <w:w w:val="105"/>
          <w:sz w:val="20"/>
        </w:rPr>
        <w:t> </w:t>
      </w:r>
      <w:r>
        <w:rPr>
          <w:w w:val="105"/>
          <w:sz w:val="20"/>
        </w:rPr>
        <w:t>time of the deceased </w:t>
      </w:r>
      <w:r>
        <w:rPr>
          <w:spacing w:val="-3"/>
          <w:w w:val="105"/>
          <w:sz w:val="20"/>
        </w:rPr>
        <w:t>person’s</w:t>
      </w:r>
      <w:r>
        <w:rPr>
          <w:spacing w:val="19"/>
          <w:w w:val="105"/>
          <w:sz w:val="20"/>
        </w:rPr>
        <w:t> </w:t>
      </w:r>
      <w:r>
        <w:rPr>
          <w:w w:val="105"/>
          <w:sz w:val="20"/>
        </w:rPr>
        <w:t>death</w:t>
      </w:r>
    </w:p>
    <w:p>
      <w:pPr>
        <w:pStyle w:val="ListParagraph"/>
        <w:numPr>
          <w:ilvl w:val="1"/>
          <w:numId w:val="14"/>
        </w:numPr>
        <w:tabs>
          <w:tab w:pos="3028" w:val="left" w:leader="none"/>
        </w:tabs>
        <w:spacing w:line="254" w:lineRule="auto" w:before="123" w:after="0"/>
        <w:ind w:left="3027" w:right="1828" w:hanging="306"/>
        <w:jc w:val="left"/>
        <w:rPr>
          <w:sz w:val="20"/>
        </w:rPr>
      </w:pPr>
      <w:r>
        <w:rPr>
          <w:sz w:val="20"/>
        </w:rPr>
        <w:t>a person with whom the deceased person was living in a registrable domestic </w:t>
      </w:r>
      <w:r>
        <w:rPr>
          <w:spacing w:val="-3"/>
          <w:sz w:val="20"/>
        </w:rPr>
        <w:t>relationship </w:t>
      </w:r>
      <w:r>
        <w:rPr>
          <w:sz w:val="20"/>
        </w:rPr>
        <w:t>or registered domestic </w:t>
      </w:r>
      <w:r>
        <w:rPr>
          <w:spacing w:val="-3"/>
          <w:sz w:val="20"/>
        </w:rPr>
        <w:t>relationship </w:t>
      </w:r>
      <w:r>
        <w:rPr>
          <w:sz w:val="20"/>
        </w:rPr>
        <w:t>at the time of the deceased </w:t>
      </w:r>
      <w:r>
        <w:rPr>
          <w:spacing w:val="-3"/>
          <w:sz w:val="20"/>
        </w:rPr>
        <w:t>person’s </w:t>
      </w:r>
      <w:r>
        <w:rPr>
          <w:sz w:val="20"/>
        </w:rPr>
        <w:t>death</w:t>
      </w:r>
    </w:p>
    <w:p>
      <w:pPr>
        <w:pStyle w:val="ListParagraph"/>
        <w:numPr>
          <w:ilvl w:val="1"/>
          <w:numId w:val="14"/>
        </w:numPr>
        <w:tabs>
          <w:tab w:pos="3028" w:val="left" w:leader="none"/>
        </w:tabs>
        <w:spacing w:line="240" w:lineRule="auto" w:before="123" w:after="0"/>
        <w:ind w:left="3027" w:right="0" w:hanging="306"/>
        <w:jc w:val="left"/>
        <w:rPr>
          <w:sz w:val="20"/>
        </w:rPr>
      </w:pPr>
      <w:r>
        <w:rPr>
          <w:w w:val="105"/>
          <w:sz w:val="20"/>
        </w:rPr>
        <w:t>a </w:t>
      </w:r>
      <w:r>
        <w:rPr>
          <w:spacing w:val="-3"/>
          <w:w w:val="105"/>
          <w:sz w:val="20"/>
        </w:rPr>
        <w:t>child </w:t>
      </w:r>
      <w:r>
        <w:rPr>
          <w:w w:val="105"/>
          <w:sz w:val="20"/>
        </w:rPr>
        <w:t>of the deceased</w:t>
      </w:r>
      <w:r>
        <w:rPr>
          <w:spacing w:val="29"/>
          <w:w w:val="105"/>
          <w:sz w:val="20"/>
        </w:rPr>
        <w:t> </w:t>
      </w:r>
      <w:r>
        <w:rPr>
          <w:w w:val="105"/>
          <w:sz w:val="20"/>
        </w:rPr>
        <w:t>person</w:t>
      </w:r>
    </w:p>
    <w:p>
      <w:pPr>
        <w:pStyle w:val="ListParagraph"/>
        <w:numPr>
          <w:ilvl w:val="1"/>
          <w:numId w:val="14"/>
        </w:numPr>
        <w:tabs>
          <w:tab w:pos="3028" w:val="left" w:leader="none"/>
        </w:tabs>
        <w:spacing w:line="240" w:lineRule="auto" w:before="136" w:after="0"/>
        <w:ind w:left="3027" w:right="0" w:hanging="306"/>
        <w:jc w:val="left"/>
        <w:rPr>
          <w:sz w:val="20"/>
        </w:rPr>
      </w:pPr>
      <w:r>
        <w:rPr>
          <w:w w:val="105"/>
          <w:sz w:val="20"/>
        </w:rPr>
        <w:t>a former wife or husband of the deceased</w:t>
      </w:r>
      <w:r>
        <w:rPr>
          <w:spacing w:val="37"/>
          <w:w w:val="105"/>
          <w:sz w:val="20"/>
        </w:rPr>
        <w:t> </w:t>
      </w:r>
      <w:r>
        <w:rPr>
          <w:w w:val="105"/>
          <w:sz w:val="20"/>
        </w:rPr>
        <w:t>person</w:t>
      </w:r>
    </w:p>
    <w:p>
      <w:pPr>
        <w:pStyle w:val="ListParagraph"/>
        <w:numPr>
          <w:ilvl w:val="1"/>
          <w:numId w:val="14"/>
        </w:numPr>
        <w:tabs>
          <w:tab w:pos="3028" w:val="left" w:leader="none"/>
        </w:tabs>
        <w:spacing w:line="240" w:lineRule="auto" w:before="136" w:after="0"/>
        <w:ind w:left="3027" w:right="0" w:hanging="306"/>
        <w:jc w:val="left"/>
        <w:rPr>
          <w:sz w:val="20"/>
        </w:rPr>
      </w:pPr>
      <w:r>
        <w:rPr>
          <w:w w:val="105"/>
          <w:sz w:val="20"/>
        </w:rPr>
        <w:t>a</w:t>
      </w:r>
      <w:r>
        <w:rPr>
          <w:spacing w:val="5"/>
          <w:w w:val="105"/>
          <w:sz w:val="20"/>
        </w:rPr>
        <w:t> </w:t>
      </w:r>
      <w:r>
        <w:rPr>
          <w:w w:val="105"/>
          <w:sz w:val="20"/>
        </w:rPr>
        <w:t>person:</w:t>
      </w:r>
    </w:p>
    <w:p>
      <w:pPr>
        <w:pStyle w:val="ListParagraph"/>
        <w:numPr>
          <w:ilvl w:val="2"/>
          <w:numId w:val="14"/>
        </w:numPr>
        <w:tabs>
          <w:tab w:pos="3296" w:val="left" w:leader="none"/>
        </w:tabs>
        <w:spacing w:line="254" w:lineRule="auto" w:before="136" w:after="0"/>
        <w:ind w:left="3295" w:right="2127" w:hanging="268"/>
        <w:jc w:val="left"/>
        <w:rPr>
          <w:sz w:val="20"/>
        </w:rPr>
      </w:pPr>
      <w:r>
        <w:rPr>
          <w:w w:val="105"/>
          <w:sz w:val="20"/>
        </w:rPr>
        <w:t>who</w:t>
      </w:r>
      <w:r>
        <w:rPr>
          <w:spacing w:val="-7"/>
          <w:w w:val="105"/>
          <w:sz w:val="20"/>
        </w:rPr>
        <w:t> </w:t>
      </w:r>
      <w:r>
        <w:rPr>
          <w:w w:val="105"/>
          <w:sz w:val="20"/>
        </w:rPr>
        <w:t>was,</w:t>
      </w:r>
      <w:r>
        <w:rPr>
          <w:spacing w:val="-7"/>
          <w:w w:val="105"/>
          <w:sz w:val="20"/>
        </w:rPr>
        <w:t> </w:t>
      </w:r>
      <w:r>
        <w:rPr>
          <w:w w:val="105"/>
          <w:sz w:val="20"/>
        </w:rPr>
        <w:t>at</w:t>
      </w:r>
      <w:r>
        <w:rPr>
          <w:spacing w:val="-6"/>
          <w:w w:val="105"/>
          <w:sz w:val="20"/>
        </w:rPr>
        <w:t> </w:t>
      </w:r>
      <w:r>
        <w:rPr>
          <w:spacing w:val="-2"/>
          <w:w w:val="105"/>
          <w:sz w:val="20"/>
        </w:rPr>
        <w:t>any</w:t>
      </w:r>
      <w:r>
        <w:rPr>
          <w:spacing w:val="-7"/>
          <w:w w:val="105"/>
          <w:sz w:val="20"/>
        </w:rPr>
        <w:t> </w:t>
      </w:r>
      <w:r>
        <w:rPr>
          <w:w w:val="105"/>
          <w:sz w:val="20"/>
        </w:rPr>
        <w:t>particular</w:t>
      </w:r>
      <w:r>
        <w:rPr>
          <w:spacing w:val="-6"/>
          <w:w w:val="105"/>
          <w:sz w:val="20"/>
        </w:rPr>
        <w:t> </w:t>
      </w:r>
      <w:r>
        <w:rPr>
          <w:spacing w:val="-3"/>
          <w:w w:val="105"/>
          <w:sz w:val="20"/>
        </w:rPr>
        <w:t>time,</w:t>
      </w:r>
      <w:r>
        <w:rPr>
          <w:spacing w:val="-7"/>
          <w:w w:val="105"/>
          <w:sz w:val="20"/>
        </w:rPr>
        <w:t> </w:t>
      </w:r>
      <w:r>
        <w:rPr>
          <w:w w:val="105"/>
          <w:sz w:val="20"/>
        </w:rPr>
        <w:t>wholly</w:t>
      </w:r>
      <w:r>
        <w:rPr>
          <w:spacing w:val="-6"/>
          <w:w w:val="105"/>
          <w:sz w:val="20"/>
        </w:rPr>
        <w:t> </w:t>
      </w:r>
      <w:r>
        <w:rPr>
          <w:w w:val="105"/>
          <w:sz w:val="20"/>
        </w:rPr>
        <w:t>or</w:t>
      </w:r>
      <w:r>
        <w:rPr>
          <w:spacing w:val="-7"/>
          <w:w w:val="105"/>
          <w:sz w:val="20"/>
        </w:rPr>
        <w:t> </w:t>
      </w:r>
      <w:r>
        <w:rPr>
          <w:w w:val="105"/>
          <w:sz w:val="20"/>
        </w:rPr>
        <w:t>partly</w:t>
      </w:r>
      <w:r>
        <w:rPr>
          <w:spacing w:val="-7"/>
          <w:w w:val="105"/>
          <w:sz w:val="20"/>
        </w:rPr>
        <w:t> </w:t>
      </w:r>
      <w:r>
        <w:rPr>
          <w:w w:val="105"/>
          <w:sz w:val="20"/>
        </w:rPr>
        <w:t>dependent</w:t>
      </w:r>
      <w:r>
        <w:rPr>
          <w:spacing w:val="-6"/>
          <w:w w:val="105"/>
          <w:sz w:val="20"/>
        </w:rPr>
        <w:t> </w:t>
      </w:r>
      <w:r>
        <w:rPr>
          <w:w w:val="105"/>
          <w:sz w:val="20"/>
        </w:rPr>
        <w:t>on</w:t>
      </w:r>
      <w:r>
        <w:rPr>
          <w:spacing w:val="-7"/>
          <w:w w:val="105"/>
          <w:sz w:val="20"/>
        </w:rPr>
        <w:t> </w:t>
      </w:r>
      <w:r>
        <w:rPr>
          <w:w w:val="105"/>
          <w:sz w:val="20"/>
        </w:rPr>
        <w:t>the</w:t>
      </w:r>
      <w:r>
        <w:rPr>
          <w:spacing w:val="-6"/>
          <w:w w:val="105"/>
          <w:sz w:val="20"/>
        </w:rPr>
        <w:t> </w:t>
      </w:r>
      <w:r>
        <w:rPr>
          <w:w w:val="105"/>
          <w:sz w:val="20"/>
        </w:rPr>
        <w:t>deceased person,</w:t>
      </w:r>
      <w:r>
        <w:rPr>
          <w:spacing w:val="5"/>
          <w:w w:val="105"/>
          <w:sz w:val="20"/>
        </w:rPr>
        <w:t> </w:t>
      </w:r>
      <w:r>
        <w:rPr>
          <w:w w:val="105"/>
          <w:sz w:val="20"/>
        </w:rPr>
        <w:t>and</w:t>
      </w:r>
    </w:p>
    <w:p>
      <w:pPr>
        <w:pStyle w:val="ListParagraph"/>
        <w:numPr>
          <w:ilvl w:val="2"/>
          <w:numId w:val="14"/>
        </w:numPr>
        <w:tabs>
          <w:tab w:pos="3283" w:val="left" w:leader="none"/>
        </w:tabs>
        <w:spacing w:line="240" w:lineRule="auto" w:before="122" w:after="0"/>
        <w:ind w:left="3282" w:right="0" w:hanging="255"/>
        <w:jc w:val="left"/>
        <w:rPr>
          <w:sz w:val="20"/>
        </w:rPr>
      </w:pPr>
      <w:r>
        <w:rPr>
          <w:w w:val="105"/>
          <w:sz w:val="20"/>
        </w:rPr>
        <w:t>who is a </w:t>
      </w:r>
      <w:r>
        <w:rPr>
          <w:spacing w:val="-3"/>
          <w:w w:val="105"/>
          <w:sz w:val="20"/>
        </w:rPr>
        <w:t>grandchild </w:t>
      </w:r>
      <w:r>
        <w:rPr>
          <w:w w:val="105"/>
          <w:sz w:val="20"/>
        </w:rPr>
        <w:t>of the deceased person or was, at that particular time</w:t>
      </w:r>
    </w:p>
    <w:p>
      <w:pPr>
        <w:spacing w:line="254" w:lineRule="auto" w:before="16"/>
        <w:ind w:left="3282" w:right="1831" w:firstLine="0"/>
        <w:jc w:val="left"/>
        <w:rPr>
          <w:sz w:val="20"/>
        </w:rPr>
      </w:pPr>
      <w:r>
        <w:rPr>
          <w:w w:val="105"/>
          <w:sz w:val="20"/>
        </w:rPr>
        <w:t>or </w:t>
      </w:r>
      <w:r>
        <w:rPr>
          <w:spacing w:val="-2"/>
          <w:w w:val="105"/>
          <w:sz w:val="20"/>
        </w:rPr>
        <w:t>any </w:t>
      </w:r>
      <w:r>
        <w:rPr>
          <w:w w:val="105"/>
          <w:sz w:val="20"/>
        </w:rPr>
        <w:t>other particular </w:t>
      </w:r>
      <w:r>
        <w:rPr>
          <w:spacing w:val="-3"/>
          <w:w w:val="105"/>
          <w:sz w:val="20"/>
        </w:rPr>
        <w:t>time, </w:t>
      </w:r>
      <w:r>
        <w:rPr>
          <w:w w:val="105"/>
          <w:sz w:val="20"/>
        </w:rPr>
        <w:t>a member of the household of which the deceased person was a member</w:t>
      </w:r>
    </w:p>
    <w:p>
      <w:pPr>
        <w:pStyle w:val="ListParagraph"/>
        <w:numPr>
          <w:ilvl w:val="1"/>
          <w:numId w:val="14"/>
        </w:numPr>
        <w:tabs>
          <w:tab w:pos="3028" w:val="left" w:leader="none"/>
        </w:tabs>
        <w:spacing w:line="254" w:lineRule="auto" w:before="123" w:after="0"/>
        <w:ind w:left="3027" w:right="2586" w:hanging="306"/>
        <w:jc w:val="left"/>
        <w:rPr>
          <w:sz w:val="20"/>
        </w:rPr>
      </w:pPr>
      <w:r>
        <w:rPr>
          <w:w w:val="105"/>
          <w:sz w:val="20"/>
        </w:rPr>
        <w:t>a</w:t>
      </w:r>
      <w:r>
        <w:rPr>
          <w:spacing w:val="-6"/>
          <w:w w:val="105"/>
          <w:sz w:val="20"/>
        </w:rPr>
        <w:t> </w:t>
      </w:r>
      <w:r>
        <w:rPr>
          <w:w w:val="105"/>
          <w:sz w:val="20"/>
        </w:rPr>
        <w:t>person</w:t>
      </w:r>
      <w:r>
        <w:rPr>
          <w:spacing w:val="-6"/>
          <w:w w:val="105"/>
          <w:sz w:val="20"/>
        </w:rPr>
        <w:t> </w:t>
      </w:r>
      <w:r>
        <w:rPr>
          <w:w w:val="105"/>
          <w:sz w:val="20"/>
        </w:rPr>
        <w:t>with</w:t>
      </w:r>
      <w:r>
        <w:rPr>
          <w:spacing w:val="-5"/>
          <w:w w:val="105"/>
          <w:sz w:val="20"/>
        </w:rPr>
        <w:t> </w:t>
      </w:r>
      <w:r>
        <w:rPr>
          <w:w w:val="105"/>
          <w:sz w:val="20"/>
        </w:rPr>
        <w:t>whom</w:t>
      </w:r>
      <w:r>
        <w:rPr>
          <w:spacing w:val="-6"/>
          <w:w w:val="105"/>
          <w:sz w:val="20"/>
        </w:rPr>
        <w:t> </w:t>
      </w:r>
      <w:r>
        <w:rPr>
          <w:w w:val="105"/>
          <w:sz w:val="20"/>
        </w:rPr>
        <w:t>the</w:t>
      </w:r>
      <w:r>
        <w:rPr>
          <w:spacing w:val="-5"/>
          <w:w w:val="105"/>
          <w:sz w:val="20"/>
        </w:rPr>
        <w:t> </w:t>
      </w:r>
      <w:r>
        <w:rPr>
          <w:w w:val="105"/>
          <w:sz w:val="20"/>
        </w:rPr>
        <w:t>deceased</w:t>
      </w:r>
      <w:r>
        <w:rPr>
          <w:spacing w:val="-6"/>
          <w:w w:val="105"/>
          <w:sz w:val="20"/>
        </w:rPr>
        <w:t> </w:t>
      </w:r>
      <w:r>
        <w:rPr>
          <w:w w:val="105"/>
          <w:sz w:val="20"/>
        </w:rPr>
        <w:t>person</w:t>
      </w:r>
      <w:r>
        <w:rPr>
          <w:spacing w:val="-5"/>
          <w:w w:val="105"/>
          <w:sz w:val="20"/>
        </w:rPr>
        <w:t> </w:t>
      </w:r>
      <w:r>
        <w:rPr>
          <w:w w:val="105"/>
          <w:sz w:val="20"/>
        </w:rPr>
        <w:t>was</w:t>
      </w:r>
      <w:r>
        <w:rPr>
          <w:spacing w:val="-6"/>
          <w:w w:val="105"/>
          <w:sz w:val="20"/>
        </w:rPr>
        <w:t> </w:t>
      </w:r>
      <w:r>
        <w:rPr>
          <w:w w:val="105"/>
          <w:sz w:val="20"/>
        </w:rPr>
        <w:t>living</w:t>
      </w:r>
      <w:r>
        <w:rPr>
          <w:spacing w:val="-5"/>
          <w:w w:val="105"/>
          <w:sz w:val="20"/>
        </w:rPr>
        <w:t> </w:t>
      </w:r>
      <w:r>
        <w:rPr>
          <w:w w:val="105"/>
          <w:sz w:val="20"/>
        </w:rPr>
        <w:t>in</w:t>
      </w:r>
      <w:r>
        <w:rPr>
          <w:spacing w:val="-6"/>
          <w:w w:val="105"/>
          <w:sz w:val="20"/>
        </w:rPr>
        <w:t> </w:t>
      </w:r>
      <w:r>
        <w:rPr>
          <w:w w:val="105"/>
          <w:sz w:val="20"/>
        </w:rPr>
        <w:t>a</w:t>
      </w:r>
      <w:r>
        <w:rPr>
          <w:spacing w:val="-5"/>
          <w:w w:val="105"/>
          <w:sz w:val="20"/>
        </w:rPr>
        <w:t> </w:t>
      </w:r>
      <w:r>
        <w:rPr>
          <w:w w:val="105"/>
          <w:sz w:val="20"/>
        </w:rPr>
        <w:t>registrable</w:t>
      </w:r>
      <w:r>
        <w:rPr>
          <w:spacing w:val="-6"/>
          <w:w w:val="105"/>
          <w:sz w:val="20"/>
        </w:rPr>
        <w:t> </w:t>
      </w:r>
      <w:r>
        <w:rPr>
          <w:w w:val="105"/>
          <w:sz w:val="20"/>
        </w:rPr>
        <w:t>caring </w:t>
      </w:r>
      <w:r>
        <w:rPr>
          <w:spacing w:val="-3"/>
          <w:w w:val="105"/>
          <w:sz w:val="20"/>
        </w:rPr>
        <w:t>relationship </w:t>
      </w:r>
      <w:r>
        <w:rPr>
          <w:w w:val="105"/>
          <w:sz w:val="20"/>
        </w:rPr>
        <w:t>or registered caring</w:t>
      </w:r>
      <w:r>
        <w:rPr>
          <w:spacing w:val="19"/>
          <w:w w:val="105"/>
          <w:sz w:val="20"/>
        </w:rPr>
        <w:t> </w:t>
      </w:r>
      <w:r>
        <w:rPr>
          <w:spacing w:val="-3"/>
          <w:w w:val="105"/>
          <w:sz w:val="20"/>
        </w:rPr>
        <w:t>relationship</w:t>
      </w:r>
    </w:p>
    <w:p>
      <w:pPr>
        <w:pStyle w:val="ListParagraph"/>
        <w:numPr>
          <w:ilvl w:val="1"/>
          <w:numId w:val="14"/>
        </w:numPr>
        <w:tabs>
          <w:tab w:pos="3028" w:val="left" w:leader="none"/>
        </w:tabs>
        <w:spacing w:line="240" w:lineRule="auto" w:before="122" w:after="0"/>
        <w:ind w:left="3027" w:right="0" w:hanging="306"/>
        <w:jc w:val="left"/>
        <w:rPr>
          <w:sz w:val="20"/>
        </w:rPr>
      </w:pPr>
      <w:r>
        <w:rPr>
          <w:w w:val="105"/>
          <w:sz w:val="20"/>
        </w:rPr>
        <w:t>a stepchild of the deceased</w:t>
      </w:r>
      <w:r>
        <w:rPr>
          <w:spacing w:val="25"/>
          <w:w w:val="105"/>
          <w:sz w:val="20"/>
        </w:rPr>
        <w:t> </w:t>
      </w:r>
      <w:r>
        <w:rPr>
          <w:w w:val="105"/>
          <w:sz w:val="20"/>
        </w:rPr>
        <w:t>person.</w:t>
      </w:r>
    </w:p>
    <w:p>
      <w:pPr>
        <w:pStyle w:val="ListParagraph"/>
        <w:numPr>
          <w:ilvl w:val="0"/>
          <w:numId w:val="14"/>
        </w:numPr>
        <w:tabs>
          <w:tab w:pos="1928" w:val="left" w:leader="none"/>
        </w:tabs>
        <w:spacing w:line="242" w:lineRule="auto" w:before="126" w:after="0"/>
        <w:ind w:left="1927" w:right="2196" w:hanging="340"/>
        <w:jc w:val="left"/>
        <w:rPr>
          <w:sz w:val="21"/>
        </w:rPr>
      </w:pPr>
      <w:r>
        <w:rPr>
          <w:w w:val="105"/>
          <w:sz w:val="21"/>
        </w:rPr>
        <w:t>The </w:t>
      </w:r>
      <w:r>
        <w:rPr>
          <w:i/>
          <w:spacing w:val="-3"/>
          <w:w w:val="105"/>
          <w:sz w:val="21"/>
        </w:rPr>
        <w:t>Administration </w:t>
      </w:r>
      <w:r>
        <w:rPr>
          <w:i/>
          <w:w w:val="105"/>
          <w:sz w:val="21"/>
        </w:rPr>
        <w:t>and Probate Act </w:t>
      </w:r>
      <w:r>
        <w:rPr>
          <w:i/>
          <w:spacing w:val="-6"/>
          <w:w w:val="105"/>
          <w:sz w:val="21"/>
        </w:rPr>
        <w:t>1958 </w:t>
      </w:r>
      <w:r>
        <w:rPr>
          <w:w w:val="105"/>
          <w:sz w:val="21"/>
        </w:rPr>
        <w:t>(Vic) should provide </w:t>
      </w:r>
      <w:r>
        <w:rPr>
          <w:spacing w:val="-3"/>
          <w:w w:val="105"/>
          <w:sz w:val="21"/>
        </w:rPr>
        <w:t>that </w:t>
      </w:r>
      <w:r>
        <w:rPr>
          <w:w w:val="105"/>
          <w:sz w:val="21"/>
        </w:rPr>
        <w:t>the court </w:t>
      </w:r>
      <w:r>
        <w:rPr>
          <w:spacing w:val="-5"/>
          <w:w w:val="105"/>
          <w:sz w:val="21"/>
        </w:rPr>
        <w:t>may, </w:t>
      </w:r>
      <w:r>
        <w:rPr>
          <w:w w:val="105"/>
          <w:sz w:val="21"/>
        </w:rPr>
        <w:t>on application</w:t>
      </w:r>
      <w:r>
        <w:rPr>
          <w:spacing w:val="-9"/>
          <w:w w:val="105"/>
          <w:sz w:val="21"/>
        </w:rPr>
        <w:t> </w:t>
      </w:r>
      <w:r>
        <w:rPr>
          <w:w w:val="105"/>
          <w:sz w:val="21"/>
        </w:rPr>
        <w:t>under</w:t>
      </w:r>
      <w:r>
        <w:rPr>
          <w:spacing w:val="-9"/>
          <w:w w:val="105"/>
          <w:sz w:val="21"/>
        </w:rPr>
        <w:t> </w:t>
      </w:r>
      <w:r>
        <w:rPr>
          <w:w w:val="105"/>
          <w:sz w:val="21"/>
        </w:rPr>
        <w:t>the</w:t>
      </w:r>
      <w:r>
        <w:rPr>
          <w:spacing w:val="-9"/>
          <w:w w:val="105"/>
          <w:sz w:val="21"/>
        </w:rPr>
        <w:t> </w:t>
      </w:r>
      <w:r>
        <w:rPr>
          <w:spacing w:val="-3"/>
          <w:w w:val="105"/>
          <w:sz w:val="21"/>
        </w:rPr>
        <w:t>relevant</w:t>
      </w:r>
      <w:r>
        <w:rPr>
          <w:spacing w:val="-9"/>
          <w:w w:val="105"/>
          <w:sz w:val="21"/>
        </w:rPr>
        <w:t> </w:t>
      </w:r>
      <w:r>
        <w:rPr>
          <w:spacing w:val="-3"/>
          <w:w w:val="105"/>
          <w:sz w:val="21"/>
        </w:rPr>
        <w:t>provisions,</w:t>
      </w:r>
      <w:r>
        <w:rPr>
          <w:spacing w:val="-9"/>
          <w:w w:val="105"/>
          <w:sz w:val="21"/>
        </w:rPr>
        <w:t> </w:t>
      </w:r>
      <w:r>
        <w:rPr>
          <w:spacing w:val="-4"/>
          <w:w w:val="105"/>
          <w:sz w:val="21"/>
        </w:rPr>
        <w:t>make</w:t>
      </w:r>
      <w:r>
        <w:rPr>
          <w:spacing w:val="-9"/>
          <w:w w:val="105"/>
          <w:sz w:val="21"/>
        </w:rPr>
        <w:t> </w:t>
      </w:r>
      <w:r>
        <w:rPr>
          <w:w w:val="105"/>
          <w:sz w:val="21"/>
        </w:rPr>
        <w:t>a</w:t>
      </w:r>
      <w:r>
        <w:rPr>
          <w:spacing w:val="-9"/>
          <w:w w:val="105"/>
          <w:sz w:val="21"/>
        </w:rPr>
        <w:t> </w:t>
      </w:r>
      <w:r>
        <w:rPr>
          <w:spacing w:val="-3"/>
          <w:w w:val="105"/>
          <w:sz w:val="21"/>
        </w:rPr>
        <w:t>family</w:t>
      </w:r>
      <w:r>
        <w:rPr>
          <w:spacing w:val="-9"/>
          <w:w w:val="105"/>
          <w:sz w:val="21"/>
        </w:rPr>
        <w:t> </w:t>
      </w:r>
      <w:r>
        <w:rPr>
          <w:spacing w:val="-3"/>
          <w:w w:val="105"/>
          <w:sz w:val="21"/>
        </w:rPr>
        <w:t>provision</w:t>
      </w:r>
      <w:r>
        <w:rPr>
          <w:spacing w:val="-9"/>
          <w:w w:val="105"/>
          <w:sz w:val="21"/>
        </w:rPr>
        <w:t> </w:t>
      </w:r>
      <w:r>
        <w:rPr>
          <w:w w:val="105"/>
          <w:sz w:val="21"/>
        </w:rPr>
        <w:t>order</w:t>
      </w:r>
      <w:r>
        <w:rPr>
          <w:spacing w:val="-9"/>
          <w:w w:val="105"/>
          <w:sz w:val="21"/>
        </w:rPr>
        <w:t> </w:t>
      </w:r>
      <w:r>
        <w:rPr>
          <w:w w:val="105"/>
          <w:sz w:val="21"/>
        </w:rPr>
        <w:t>in</w:t>
      </w:r>
      <w:r>
        <w:rPr>
          <w:spacing w:val="-9"/>
          <w:w w:val="105"/>
          <w:sz w:val="21"/>
        </w:rPr>
        <w:t> </w:t>
      </w:r>
      <w:r>
        <w:rPr>
          <w:spacing w:val="-3"/>
          <w:w w:val="105"/>
          <w:sz w:val="21"/>
        </w:rPr>
        <w:t>relation</w:t>
      </w:r>
      <w:r>
        <w:rPr>
          <w:spacing w:val="-9"/>
          <w:w w:val="105"/>
          <w:sz w:val="21"/>
        </w:rPr>
        <w:t> </w:t>
      </w:r>
      <w:r>
        <w:rPr>
          <w:spacing w:val="-3"/>
          <w:w w:val="105"/>
          <w:sz w:val="21"/>
        </w:rPr>
        <w:t>to</w:t>
      </w:r>
      <w:r>
        <w:rPr>
          <w:spacing w:val="-8"/>
          <w:w w:val="105"/>
          <w:sz w:val="21"/>
        </w:rPr>
        <w:t> </w:t>
      </w:r>
      <w:r>
        <w:rPr>
          <w:w w:val="105"/>
          <w:sz w:val="21"/>
        </w:rPr>
        <w:t>the estate of a deceased person, if it is satisfied</w:t>
      </w:r>
      <w:r>
        <w:rPr>
          <w:spacing w:val="31"/>
          <w:w w:val="105"/>
          <w:sz w:val="21"/>
        </w:rPr>
        <w:t> </w:t>
      </w:r>
      <w:r>
        <w:rPr>
          <w:w w:val="105"/>
          <w:sz w:val="21"/>
        </w:rPr>
        <w:t>that:</w:t>
      </w:r>
    </w:p>
    <w:p>
      <w:pPr>
        <w:pStyle w:val="ListParagraph"/>
        <w:numPr>
          <w:ilvl w:val="1"/>
          <w:numId w:val="14"/>
        </w:numPr>
        <w:tabs>
          <w:tab w:pos="3028" w:val="left" w:leader="none"/>
        </w:tabs>
        <w:spacing w:line="240" w:lineRule="auto" w:before="124" w:after="0"/>
        <w:ind w:left="3027" w:right="0" w:hanging="306"/>
        <w:jc w:val="left"/>
        <w:rPr>
          <w:sz w:val="21"/>
        </w:rPr>
      </w:pPr>
      <w:r>
        <w:rPr>
          <w:sz w:val="21"/>
        </w:rPr>
        <w:t>the</w:t>
      </w:r>
      <w:r>
        <w:rPr>
          <w:spacing w:val="10"/>
          <w:sz w:val="21"/>
        </w:rPr>
        <w:t> </w:t>
      </w:r>
      <w:r>
        <w:rPr>
          <w:sz w:val="21"/>
        </w:rPr>
        <w:t>person</w:t>
      </w:r>
      <w:r>
        <w:rPr>
          <w:spacing w:val="10"/>
          <w:sz w:val="21"/>
        </w:rPr>
        <w:t> </w:t>
      </w:r>
      <w:r>
        <w:rPr>
          <w:sz w:val="21"/>
        </w:rPr>
        <w:t>in</w:t>
      </w:r>
      <w:r>
        <w:rPr>
          <w:spacing w:val="11"/>
          <w:sz w:val="21"/>
        </w:rPr>
        <w:t> </w:t>
      </w:r>
      <w:r>
        <w:rPr>
          <w:sz w:val="21"/>
        </w:rPr>
        <w:t>whose</w:t>
      </w:r>
      <w:r>
        <w:rPr>
          <w:spacing w:val="10"/>
          <w:sz w:val="21"/>
        </w:rPr>
        <w:t> </w:t>
      </w:r>
      <w:r>
        <w:rPr>
          <w:spacing w:val="-3"/>
          <w:sz w:val="21"/>
        </w:rPr>
        <w:t>favour</w:t>
      </w:r>
      <w:r>
        <w:rPr>
          <w:spacing w:val="10"/>
          <w:sz w:val="21"/>
        </w:rPr>
        <w:t> </w:t>
      </w:r>
      <w:r>
        <w:rPr>
          <w:sz w:val="21"/>
        </w:rPr>
        <w:t>the</w:t>
      </w:r>
      <w:r>
        <w:rPr>
          <w:spacing w:val="11"/>
          <w:sz w:val="21"/>
        </w:rPr>
        <w:t> </w:t>
      </w:r>
      <w:r>
        <w:rPr>
          <w:sz w:val="21"/>
        </w:rPr>
        <w:t>order</w:t>
      </w:r>
      <w:r>
        <w:rPr>
          <w:spacing w:val="10"/>
          <w:sz w:val="21"/>
        </w:rPr>
        <w:t> </w:t>
      </w:r>
      <w:r>
        <w:rPr>
          <w:sz w:val="21"/>
        </w:rPr>
        <w:t>is</w:t>
      </w:r>
      <w:r>
        <w:rPr>
          <w:spacing w:val="10"/>
          <w:sz w:val="21"/>
        </w:rPr>
        <w:t> </w:t>
      </w:r>
      <w:r>
        <w:rPr>
          <w:spacing w:val="-3"/>
          <w:sz w:val="21"/>
        </w:rPr>
        <w:t>to</w:t>
      </w:r>
      <w:r>
        <w:rPr>
          <w:spacing w:val="11"/>
          <w:sz w:val="21"/>
        </w:rPr>
        <w:t> </w:t>
      </w:r>
      <w:r>
        <w:rPr>
          <w:sz w:val="21"/>
        </w:rPr>
        <w:t>be</w:t>
      </w:r>
      <w:r>
        <w:rPr>
          <w:spacing w:val="10"/>
          <w:sz w:val="21"/>
        </w:rPr>
        <w:t> </w:t>
      </w:r>
      <w:r>
        <w:rPr>
          <w:sz w:val="21"/>
        </w:rPr>
        <w:t>made</w:t>
      </w:r>
      <w:r>
        <w:rPr>
          <w:spacing w:val="10"/>
          <w:sz w:val="21"/>
        </w:rPr>
        <w:t> </w:t>
      </w:r>
      <w:r>
        <w:rPr>
          <w:sz w:val="21"/>
        </w:rPr>
        <w:t>is</w:t>
      </w:r>
      <w:r>
        <w:rPr>
          <w:spacing w:val="11"/>
          <w:sz w:val="21"/>
        </w:rPr>
        <w:t> </w:t>
      </w:r>
      <w:r>
        <w:rPr>
          <w:sz w:val="21"/>
        </w:rPr>
        <w:t>an</w:t>
      </w:r>
      <w:r>
        <w:rPr>
          <w:spacing w:val="10"/>
          <w:sz w:val="21"/>
        </w:rPr>
        <w:t> </w:t>
      </w:r>
      <w:r>
        <w:rPr>
          <w:spacing w:val="-3"/>
          <w:sz w:val="21"/>
        </w:rPr>
        <w:t>eligible</w:t>
      </w:r>
      <w:r>
        <w:rPr>
          <w:spacing w:val="10"/>
          <w:sz w:val="21"/>
        </w:rPr>
        <w:t> </w:t>
      </w:r>
      <w:r>
        <w:rPr>
          <w:sz w:val="21"/>
        </w:rPr>
        <w:t>person,</w:t>
      </w:r>
      <w:r>
        <w:rPr>
          <w:spacing w:val="11"/>
          <w:sz w:val="21"/>
        </w:rPr>
        <w:t> </w:t>
      </w:r>
      <w:r>
        <w:rPr>
          <w:sz w:val="21"/>
        </w:rPr>
        <w:t>and</w:t>
      </w:r>
    </w:p>
    <w:p>
      <w:pPr>
        <w:pStyle w:val="ListParagraph"/>
        <w:numPr>
          <w:ilvl w:val="1"/>
          <w:numId w:val="14"/>
        </w:numPr>
        <w:tabs>
          <w:tab w:pos="3028" w:val="left" w:leader="none"/>
        </w:tabs>
        <w:spacing w:line="242" w:lineRule="auto" w:before="123" w:after="0"/>
        <w:ind w:left="3027" w:right="2097" w:hanging="306"/>
        <w:jc w:val="left"/>
        <w:rPr>
          <w:sz w:val="21"/>
        </w:rPr>
      </w:pPr>
      <w:r>
        <w:rPr>
          <w:w w:val="105"/>
          <w:sz w:val="21"/>
        </w:rPr>
        <w:t>in</w:t>
      </w:r>
      <w:r>
        <w:rPr>
          <w:spacing w:val="-3"/>
          <w:w w:val="105"/>
          <w:sz w:val="21"/>
        </w:rPr>
        <w:t> </w:t>
      </w:r>
      <w:r>
        <w:rPr>
          <w:w w:val="105"/>
          <w:sz w:val="21"/>
        </w:rPr>
        <w:t>the</w:t>
      </w:r>
      <w:r>
        <w:rPr>
          <w:spacing w:val="-3"/>
          <w:w w:val="105"/>
          <w:sz w:val="21"/>
        </w:rPr>
        <w:t> </w:t>
      </w:r>
      <w:r>
        <w:rPr>
          <w:w w:val="105"/>
          <w:sz w:val="21"/>
        </w:rPr>
        <w:t>case</w:t>
      </w:r>
      <w:r>
        <w:rPr>
          <w:spacing w:val="-3"/>
          <w:w w:val="105"/>
          <w:sz w:val="21"/>
        </w:rPr>
        <w:t> </w:t>
      </w:r>
      <w:r>
        <w:rPr>
          <w:w w:val="105"/>
          <w:sz w:val="21"/>
        </w:rPr>
        <w:t>of</w:t>
      </w:r>
      <w:r>
        <w:rPr>
          <w:spacing w:val="-3"/>
          <w:w w:val="105"/>
          <w:sz w:val="21"/>
        </w:rPr>
        <w:t> </w:t>
      </w:r>
      <w:r>
        <w:rPr>
          <w:w w:val="105"/>
          <w:sz w:val="21"/>
        </w:rPr>
        <w:t>a</w:t>
      </w:r>
      <w:r>
        <w:rPr>
          <w:spacing w:val="-3"/>
          <w:w w:val="105"/>
          <w:sz w:val="21"/>
        </w:rPr>
        <w:t> </w:t>
      </w:r>
      <w:r>
        <w:rPr>
          <w:w w:val="105"/>
          <w:sz w:val="21"/>
        </w:rPr>
        <w:t>person</w:t>
      </w:r>
      <w:r>
        <w:rPr>
          <w:spacing w:val="-3"/>
          <w:w w:val="105"/>
          <w:sz w:val="21"/>
        </w:rPr>
        <w:t> </w:t>
      </w:r>
      <w:r>
        <w:rPr>
          <w:w w:val="105"/>
          <w:sz w:val="21"/>
        </w:rPr>
        <w:t>who</w:t>
      </w:r>
      <w:r>
        <w:rPr>
          <w:spacing w:val="-3"/>
          <w:w w:val="105"/>
          <w:sz w:val="21"/>
        </w:rPr>
        <w:t> </w:t>
      </w:r>
      <w:r>
        <w:rPr>
          <w:w w:val="105"/>
          <w:sz w:val="21"/>
        </w:rPr>
        <w:t>is</w:t>
      </w:r>
      <w:r>
        <w:rPr>
          <w:spacing w:val="-3"/>
          <w:w w:val="105"/>
          <w:sz w:val="21"/>
        </w:rPr>
        <w:t> </w:t>
      </w:r>
      <w:r>
        <w:rPr>
          <w:w w:val="105"/>
          <w:sz w:val="21"/>
        </w:rPr>
        <w:t>an</w:t>
      </w:r>
      <w:r>
        <w:rPr>
          <w:spacing w:val="-3"/>
          <w:w w:val="105"/>
          <w:sz w:val="21"/>
        </w:rPr>
        <w:t> eligible </w:t>
      </w:r>
      <w:r>
        <w:rPr>
          <w:w w:val="105"/>
          <w:sz w:val="21"/>
        </w:rPr>
        <w:t>person</w:t>
      </w:r>
      <w:r>
        <w:rPr>
          <w:spacing w:val="-2"/>
          <w:w w:val="105"/>
          <w:sz w:val="21"/>
        </w:rPr>
        <w:t> </w:t>
      </w:r>
      <w:r>
        <w:rPr>
          <w:w w:val="105"/>
          <w:sz w:val="21"/>
        </w:rPr>
        <w:t>by</w:t>
      </w:r>
      <w:r>
        <w:rPr>
          <w:spacing w:val="-3"/>
          <w:w w:val="105"/>
          <w:sz w:val="21"/>
        </w:rPr>
        <w:t> </w:t>
      </w:r>
      <w:r>
        <w:rPr>
          <w:w w:val="105"/>
          <w:sz w:val="21"/>
        </w:rPr>
        <w:t>reason</w:t>
      </w:r>
      <w:r>
        <w:rPr>
          <w:spacing w:val="-3"/>
          <w:w w:val="105"/>
          <w:sz w:val="21"/>
        </w:rPr>
        <w:t> </w:t>
      </w:r>
      <w:r>
        <w:rPr>
          <w:w w:val="105"/>
          <w:sz w:val="21"/>
        </w:rPr>
        <w:t>only</w:t>
      </w:r>
      <w:r>
        <w:rPr>
          <w:spacing w:val="-3"/>
          <w:w w:val="105"/>
          <w:sz w:val="21"/>
        </w:rPr>
        <w:t> </w:t>
      </w:r>
      <w:r>
        <w:rPr>
          <w:w w:val="105"/>
          <w:sz w:val="21"/>
        </w:rPr>
        <w:t>of</w:t>
      </w:r>
      <w:r>
        <w:rPr>
          <w:spacing w:val="-3"/>
          <w:w w:val="105"/>
          <w:sz w:val="21"/>
        </w:rPr>
        <w:t> paragraph </w:t>
      </w:r>
      <w:r>
        <w:rPr>
          <w:w w:val="105"/>
          <w:sz w:val="21"/>
        </w:rPr>
        <w:t>(d), (e), (f) or (g), in </w:t>
      </w:r>
      <w:r>
        <w:rPr>
          <w:spacing w:val="-3"/>
          <w:w w:val="105"/>
          <w:sz w:val="21"/>
        </w:rPr>
        <w:t>recommendation </w:t>
      </w:r>
      <w:r>
        <w:rPr>
          <w:w w:val="105"/>
          <w:sz w:val="21"/>
        </w:rPr>
        <w:t>38 above—having </w:t>
      </w:r>
      <w:r>
        <w:rPr>
          <w:spacing w:val="-3"/>
          <w:w w:val="105"/>
          <w:sz w:val="21"/>
        </w:rPr>
        <w:t>regard to all </w:t>
      </w:r>
      <w:r>
        <w:rPr>
          <w:w w:val="105"/>
          <w:sz w:val="21"/>
        </w:rPr>
        <w:t>the </w:t>
      </w:r>
      <w:r>
        <w:rPr>
          <w:spacing w:val="-3"/>
          <w:w w:val="105"/>
          <w:sz w:val="21"/>
        </w:rPr>
        <w:t>circumstances </w:t>
      </w:r>
      <w:r>
        <w:rPr>
          <w:w w:val="105"/>
          <w:sz w:val="21"/>
        </w:rPr>
        <w:t>of the case (whether past or present) there </w:t>
      </w:r>
      <w:r>
        <w:rPr>
          <w:spacing w:val="-3"/>
          <w:w w:val="105"/>
          <w:sz w:val="21"/>
        </w:rPr>
        <w:t>are </w:t>
      </w:r>
      <w:r>
        <w:rPr>
          <w:w w:val="105"/>
          <w:sz w:val="21"/>
        </w:rPr>
        <w:t>factors which </w:t>
      </w:r>
      <w:r>
        <w:rPr>
          <w:spacing w:val="-3"/>
          <w:w w:val="105"/>
          <w:sz w:val="21"/>
        </w:rPr>
        <w:t>warrant </w:t>
      </w:r>
      <w:r>
        <w:rPr>
          <w:w w:val="105"/>
          <w:sz w:val="21"/>
        </w:rPr>
        <w:t>the </w:t>
      </w:r>
      <w:r>
        <w:rPr>
          <w:spacing w:val="-3"/>
          <w:w w:val="105"/>
          <w:sz w:val="21"/>
        </w:rPr>
        <w:t>making </w:t>
      </w:r>
      <w:r>
        <w:rPr>
          <w:w w:val="105"/>
          <w:sz w:val="21"/>
        </w:rPr>
        <w:t>of the </w:t>
      </w:r>
      <w:r>
        <w:rPr>
          <w:spacing w:val="-3"/>
          <w:w w:val="105"/>
          <w:sz w:val="21"/>
        </w:rPr>
        <w:t>application,</w:t>
      </w:r>
      <w:r>
        <w:rPr>
          <w:spacing w:val="37"/>
          <w:w w:val="105"/>
          <w:sz w:val="21"/>
        </w:rPr>
        <w:t> </w:t>
      </w:r>
      <w:r>
        <w:rPr>
          <w:w w:val="105"/>
          <w:sz w:val="21"/>
        </w:rPr>
        <w:t>and</w:t>
      </w:r>
    </w:p>
    <w:p>
      <w:pPr>
        <w:pStyle w:val="ListParagraph"/>
        <w:numPr>
          <w:ilvl w:val="1"/>
          <w:numId w:val="14"/>
        </w:numPr>
        <w:tabs>
          <w:tab w:pos="3028" w:val="left" w:leader="none"/>
        </w:tabs>
        <w:spacing w:line="240" w:lineRule="auto" w:before="125" w:after="0"/>
        <w:ind w:left="3027" w:right="0" w:hanging="306"/>
        <w:jc w:val="left"/>
        <w:rPr>
          <w:sz w:val="21"/>
        </w:rPr>
      </w:pPr>
      <w:r>
        <w:rPr>
          <w:sz w:val="21"/>
        </w:rPr>
        <w:t>at the time when the court is </w:t>
      </w:r>
      <w:r>
        <w:rPr>
          <w:spacing w:val="-3"/>
          <w:sz w:val="21"/>
        </w:rPr>
        <w:t>considering </w:t>
      </w:r>
      <w:r>
        <w:rPr>
          <w:sz w:val="21"/>
        </w:rPr>
        <w:t>the </w:t>
      </w:r>
      <w:r>
        <w:rPr>
          <w:spacing w:val="-3"/>
          <w:sz w:val="21"/>
        </w:rPr>
        <w:t>application, adequate</w:t>
      </w:r>
      <w:r>
        <w:rPr>
          <w:spacing w:val="1"/>
          <w:sz w:val="21"/>
        </w:rPr>
        <w:t> </w:t>
      </w:r>
      <w:r>
        <w:rPr>
          <w:spacing w:val="-3"/>
          <w:sz w:val="21"/>
        </w:rPr>
        <w:t>provision</w:t>
      </w:r>
    </w:p>
    <w:p>
      <w:pPr>
        <w:pStyle w:val="BodyText"/>
        <w:spacing w:line="242" w:lineRule="auto" w:before="3"/>
        <w:ind w:left="3027" w:right="1670"/>
      </w:pPr>
      <w:r>
        <w:rPr>
          <w:spacing w:val="-3"/>
          <w:w w:val="105"/>
        </w:rPr>
        <w:t>for </w:t>
      </w:r>
      <w:r>
        <w:rPr>
          <w:w w:val="105"/>
        </w:rPr>
        <w:t>the proper </w:t>
      </w:r>
      <w:r>
        <w:rPr>
          <w:spacing w:val="-3"/>
          <w:w w:val="105"/>
        </w:rPr>
        <w:t>maintenance </w:t>
      </w:r>
      <w:r>
        <w:rPr>
          <w:w w:val="105"/>
        </w:rPr>
        <w:t>and support of the person in whose </w:t>
      </w:r>
      <w:r>
        <w:rPr>
          <w:spacing w:val="-3"/>
          <w:w w:val="105"/>
        </w:rPr>
        <w:t>favour </w:t>
      </w:r>
      <w:r>
        <w:rPr>
          <w:w w:val="105"/>
        </w:rPr>
        <w:t>the order is </w:t>
      </w:r>
      <w:r>
        <w:rPr>
          <w:spacing w:val="-3"/>
          <w:w w:val="105"/>
        </w:rPr>
        <w:t>to </w:t>
      </w:r>
      <w:r>
        <w:rPr>
          <w:w w:val="105"/>
        </w:rPr>
        <w:t>be made </w:t>
      </w:r>
      <w:r>
        <w:rPr>
          <w:spacing w:val="-2"/>
          <w:w w:val="105"/>
        </w:rPr>
        <w:t>has not </w:t>
      </w:r>
      <w:r>
        <w:rPr>
          <w:w w:val="105"/>
        </w:rPr>
        <w:t>been made by the </w:t>
      </w:r>
      <w:r>
        <w:rPr>
          <w:spacing w:val="-3"/>
          <w:w w:val="105"/>
        </w:rPr>
        <w:t>will </w:t>
      </w:r>
      <w:r>
        <w:rPr>
          <w:w w:val="105"/>
        </w:rPr>
        <w:t>of the deceased person, or by the operation of the intestacy </w:t>
      </w:r>
      <w:r>
        <w:rPr>
          <w:spacing w:val="-3"/>
          <w:w w:val="105"/>
        </w:rPr>
        <w:t>provisions, </w:t>
      </w:r>
      <w:r>
        <w:rPr>
          <w:w w:val="105"/>
        </w:rPr>
        <w:t>or </w:t>
      </w:r>
      <w:r>
        <w:rPr>
          <w:spacing w:val="-3"/>
          <w:w w:val="105"/>
        </w:rPr>
        <w:t>both.</w:t>
      </w:r>
    </w:p>
    <w:p>
      <w:pPr>
        <w:spacing w:before="19"/>
        <w:ind w:left="720" w:right="0" w:firstLine="0"/>
        <w:jc w:val="left"/>
        <w:rPr>
          <w:b/>
          <w:sz w:val="24"/>
        </w:rPr>
      </w:pPr>
      <w:r>
        <w:rPr>
          <w:b/>
          <w:color w:val="EC5A4F"/>
          <w:w w:val="115"/>
          <w:sz w:val="24"/>
        </w:rPr>
        <w:t>xxviii</w:t>
      </w:r>
    </w:p>
    <w:p>
      <w:pPr>
        <w:spacing w:after="0"/>
        <w:jc w:val="left"/>
        <w:rPr>
          <w:sz w:val="24"/>
        </w:rPr>
        <w:sectPr>
          <w:pgSz w:w="11910" w:h="16840"/>
          <w:pgMar w:header="1372" w:footer="0" w:top="1560" w:bottom="280" w:left="0" w:right="0"/>
        </w:sectPr>
      </w:pPr>
    </w:p>
    <w:p>
      <w:pPr>
        <w:pStyle w:val="BodyText"/>
        <w:spacing w:before="9"/>
        <w:rPr>
          <w:b/>
          <w:sz w:val="22"/>
        </w:rPr>
      </w:pPr>
    </w:p>
    <w:p>
      <w:pPr>
        <w:pStyle w:val="ListParagraph"/>
        <w:numPr>
          <w:ilvl w:val="0"/>
          <w:numId w:val="15"/>
        </w:numPr>
        <w:tabs>
          <w:tab w:pos="1928" w:val="left" w:leader="none"/>
        </w:tabs>
        <w:spacing w:line="240" w:lineRule="auto" w:before="92" w:after="0"/>
        <w:ind w:left="1927" w:right="0" w:hanging="340"/>
        <w:jc w:val="left"/>
        <w:rPr>
          <w:sz w:val="21"/>
        </w:rPr>
      </w:pPr>
      <w:r>
        <w:rPr>
          <w:w w:val="105"/>
          <w:sz w:val="21"/>
        </w:rPr>
        <w:t>The court</w:t>
      </w:r>
      <w:r>
        <w:rPr>
          <w:spacing w:val="10"/>
          <w:w w:val="105"/>
          <w:sz w:val="21"/>
        </w:rPr>
        <w:t> </w:t>
      </w:r>
      <w:r>
        <w:rPr>
          <w:w w:val="105"/>
          <w:sz w:val="21"/>
        </w:rPr>
        <w:t>should:</w:t>
      </w:r>
    </w:p>
    <w:p>
      <w:pPr>
        <w:pStyle w:val="ListParagraph"/>
        <w:numPr>
          <w:ilvl w:val="1"/>
          <w:numId w:val="15"/>
        </w:numPr>
        <w:tabs>
          <w:tab w:pos="3028" w:val="left" w:leader="none"/>
        </w:tabs>
        <w:spacing w:line="242" w:lineRule="auto" w:before="123" w:after="0"/>
        <w:ind w:left="3027" w:right="2126" w:hanging="306"/>
        <w:jc w:val="left"/>
        <w:rPr>
          <w:sz w:val="21"/>
        </w:rPr>
      </w:pPr>
      <w:r>
        <w:rPr>
          <w:w w:val="105"/>
          <w:sz w:val="21"/>
        </w:rPr>
        <w:t>be permitted </w:t>
      </w:r>
      <w:r>
        <w:rPr>
          <w:spacing w:val="-3"/>
          <w:w w:val="105"/>
          <w:sz w:val="21"/>
        </w:rPr>
        <w:t>to consider </w:t>
      </w:r>
      <w:r>
        <w:rPr>
          <w:w w:val="105"/>
          <w:sz w:val="21"/>
        </w:rPr>
        <w:t>the </w:t>
      </w:r>
      <w:r>
        <w:rPr>
          <w:spacing w:val="-3"/>
          <w:w w:val="105"/>
          <w:sz w:val="21"/>
        </w:rPr>
        <w:t>criteria </w:t>
      </w:r>
      <w:r>
        <w:rPr>
          <w:w w:val="105"/>
          <w:sz w:val="21"/>
        </w:rPr>
        <w:t>set out in sections </w:t>
      </w:r>
      <w:r>
        <w:rPr>
          <w:spacing w:val="3"/>
          <w:w w:val="105"/>
          <w:sz w:val="21"/>
        </w:rPr>
        <w:t>91(4)(e)–(p) </w:t>
      </w:r>
      <w:r>
        <w:rPr>
          <w:w w:val="105"/>
          <w:sz w:val="21"/>
        </w:rPr>
        <w:t>of the </w:t>
      </w:r>
      <w:r>
        <w:rPr>
          <w:i/>
          <w:spacing w:val="-3"/>
          <w:w w:val="105"/>
          <w:sz w:val="21"/>
        </w:rPr>
        <w:t>Administration </w:t>
      </w:r>
      <w:r>
        <w:rPr>
          <w:i/>
          <w:w w:val="105"/>
          <w:sz w:val="21"/>
        </w:rPr>
        <w:t>and Probate Act </w:t>
      </w:r>
      <w:r>
        <w:rPr>
          <w:i/>
          <w:spacing w:val="-6"/>
          <w:w w:val="105"/>
          <w:sz w:val="21"/>
        </w:rPr>
        <w:t>1958 </w:t>
      </w:r>
      <w:r>
        <w:rPr>
          <w:w w:val="105"/>
          <w:sz w:val="21"/>
        </w:rPr>
        <w:t>(Vic) when </w:t>
      </w:r>
      <w:r>
        <w:rPr>
          <w:spacing w:val="-3"/>
          <w:w w:val="105"/>
          <w:sz w:val="21"/>
        </w:rPr>
        <w:t>determining </w:t>
      </w:r>
      <w:r>
        <w:rPr>
          <w:w w:val="105"/>
          <w:sz w:val="21"/>
        </w:rPr>
        <w:t>whether the </w:t>
      </w:r>
      <w:r>
        <w:rPr>
          <w:spacing w:val="-3"/>
          <w:w w:val="105"/>
          <w:sz w:val="21"/>
        </w:rPr>
        <w:t>applicant</w:t>
      </w:r>
      <w:r>
        <w:rPr>
          <w:spacing w:val="-9"/>
          <w:w w:val="105"/>
          <w:sz w:val="21"/>
        </w:rPr>
        <w:t> </w:t>
      </w:r>
      <w:r>
        <w:rPr>
          <w:w w:val="105"/>
          <w:sz w:val="21"/>
        </w:rPr>
        <w:t>is</w:t>
      </w:r>
      <w:r>
        <w:rPr>
          <w:spacing w:val="-8"/>
          <w:w w:val="105"/>
          <w:sz w:val="21"/>
        </w:rPr>
        <w:t> </w:t>
      </w:r>
      <w:r>
        <w:rPr>
          <w:w w:val="105"/>
          <w:sz w:val="21"/>
        </w:rPr>
        <w:t>an</w:t>
      </w:r>
      <w:r>
        <w:rPr>
          <w:spacing w:val="-8"/>
          <w:w w:val="105"/>
          <w:sz w:val="21"/>
        </w:rPr>
        <w:t> </w:t>
      </w:r>
      <w:r>
        <w:rPr>
          <w:spacing w:val="-3"/>
          <w:w w:val="105"/>
          <w:sz w:val="21"/>
        </w:rPr>
        <w:t>eligible</w:t>
      </w:r>
      <w:r>
        <w:rPr>
          <w:spacing w:val="-9"/>
          <w:w w:val="105"/>
          <w:sz w:val="21"/>
        </w:rPr>
        <w:t> </w:t>
      </w:r>
      <w:r>
        <w:rPr>
          <w:w w:val="105"/>
          <w:sz w:val="21"/>
        </w:rPr>
        <w:t>person</w:t>
      </w:r>
      <w:r>
        <w:rPr>
          <w:spacing w:val="-8"/>
          <w:w w:val="105"/>
          <w:sz w:val="21"/>
        </w:rPr>
        <w:t> </w:t>
      </w:r>
      <w:r>
        <w:rPr>
          <w:spacing w:val="-3"/>
          <w:w w:val="105"/>
          <w:sz w:val="21"/>
        </w:rPr>
        <w:t>and,</w:t>
      </w:r>
      <w:r>
        <w:rPr>
          <w:spacing w:val="-8"/>
          <w:w w:val="105"/>
          <w:sz w:val="21"/>
        </w:rPr>
        <w:t> </w:t>
      </w:r>
      <w:r>
        <w:rPr>
          <w:w w:val="105"/>
          <w:sz w:val="21"/>
        </w:rPr>
        <w:t>where</w:t>
      </w:r>
      <w:r>
        <w:rPr>
          <w:spacing w:val="-9"/>
          <w:w w:val="105"/>
          <w:sz w:val="21"/>
        </w:rPr>
        <w:t> </w:t>
      </w:r>
      <w:r>
        <w:rPr>
          <w:spacing w:val="-3"/>
          <w:w w:val="105"/>
          <w:sz w:val="21"/>
        </w:rPr>
        <w:t>relevant,</w:t>
      </w:r>
      <w:r>
        <w:rPr>
          <w:spacing w:val="-8"/>
          <w:w w:val="105"/>
          <w:sz w:val="21"/>
        </w:rPr>
        <w:t> </w:t>
      </w:r>
      <w:r>
        <w:rPr>
          <w:w w:val="105"/>
          <w:sz w:val="21"/>
        </w:rPr>
        <w:t>whether</w:t>
      </w:r>
      <w:r>
        <w:rPr>
          <w:spacing w:val="-8"/>
          <w:w w:val="105"/>
          <w:sz w:val="21"/>
        </w:rPr>
        <w:t> </w:t>
      </w:r>
      <w:r>
        <w:rPr>
          <w:w w:val="105"/>
          <w:sz w:val="21"/>
        </w:rPr>
        <w:t>there</w:t>
      </w:r>
      <w:r>
        <w:rPr>
          <w:spacing w:val="-9"/>
          <w:w w:val="105"/>
          <w:sz w:val="21"/>
        </w:rPr>
        <w:t> </w:t>
      </w:r>
      <w:r>
        <w:rPr>
          <w:spacing w:val="-3"/>
          <w:w w:val="105"/>
          <w:sz w:val="21"/>
        </w:rPr>
        <w:t>are</w:t>
      </w:r>
      <w:r>
        <w:rPr>
          <w:spacing w:val="-8"/>
          <w:w w:val="105"/>
          <w:sz w:val="21"/>
        </w:rPr>
        <w:t> </w:t>
      </w:r>
      <w:r>
        <w:rPr>
          <w:w w:val="105"/>
          <w:sz w:val="21"/>
        </w:rPr>
        <w:t>factors which </w:t>
      </w:r>
      <w:r>
        <w:rPr>
          <w:spacing w:val="-3"/>
          <w:w w:val="105"/>
          <w:sz w:val="21"/>
        </w:rPr>
        <w:t>warrant </w:t>
      </w:r>
      <w:r>
        <w:rPr>
          <w:w w:val="105"/>
          <w:sz w:val="21"/>
        </w:rPr>
        <w:t>the </w:t>
      </w:r>
      <w:r>
        <w:rPr>
          <w:spacing w:val="-3"/>
          <w:w w:val="105"/>
          <w:sz w:val="21"/>
        </w:rPr>
        <w:t>making </w:t>
      </w:r>
      <w:r>
        <w:rPr>
          <w:w w:val="105"/>
          <w:sz w:val="21"/>
        </w:rPr>
        <w:t>of the</w:t>
      </w:r>
      <w:r>
        <w:rPr>
          <w:spacing w:val="33"/>
          <w:w w:val="105"/>
          <w:sz w:val="21"/>
        </w:rPr>
        <w:t> </w:t>
      </w:r>
      <w:r>
        <w:rPr>
          <w:w w:val="105"/>
          <w:sz w:val="21"/>
        </w:rPr>
        <w:t>application</w:t>
      </w:r>
    </w:p>
    <w:p>
      <w:pPr>
        <w:pStyle w:val="ListParagraph"/>
        <w:numPr>
          <w:ilvl w:val="1"/>
          <w:numId w:val="15"/>
        </w:numPr>
        <w:tabs>
          <w:tab w:pos="3028" w:val="left" w:leader="none"/>
        </w:tabs>
        <w:spacing w:line="240" w:lineRule="auto" w:before="125" w:after="0"/>
        <w:ind w:left="3027" w:right="0" w:hanging="306"/>
        <w:jc w:val="left"/>
        <w:rPr>
          <w:sz w:val="21"/>
        </w:rPr>
      </w:pPr>
      <w:r>
        <w:rPr>
          <w:sz w:val="21"/>
        </w:rPr>
        <w:t>be</w:t>
      </w:r>
      <w:r>
        <w:rPr>
          <w:spacing w:val="9"/>
          <w:sz w:val="21"/>
        </w:rPr>
        <w:t> </w:t>
      </w:r>
      <w:r>
        <w:rPr>
          <w:spacing w:val="-3"/>
          <w:sz w:val="21"/>
        </w:rPr>
        <w:t>required</w:t>
      </w:r>
      <w:r>
        <w:rPr>
          <w:spacing w:val="10"/>
          <w:sz w:val="21"/>
        </w:rPr>
        <w:t> </w:t>
      </w:r>
      <w:r>
        <w:rPr>
          <w:spacing w:val="-3"/>
          <w:sz w:val="21"/>
        </w:rPr>
        <w:t>to</w:t>
      </w:r>
      <w:r>
        <w:rPr>
          <w:spacing w:val="10"/>
          <w:sz w:val="21"/>
        </w:rPr>
        <w:t> </w:t>
      </w:r>
      <w:r>
        <w:rPr>
          <w:spacing w:val="-3"/>
          <w:sz w:val="21"/>
        </w:rPr>
        <w:t>consider</w:t>
      </w:r>
      <w:r>
        <w:rPr>
          <w:spacing w:val="9"/>
          <w:sz w:val="21"/>
        </w:rPr>
        <w:t> </w:t>
      </w:r>
      <w:r>
        <w:rPr>
          <w:sz w:val="21"/>
        </w:rPr>
        <w:t>the</w:t>
      </w:r>
      <w:r>
        <w:rPr>
          <w:spacing w:val="10"/>
          <w:sz w:val="21"/>
        </w:rPr>
        <w:t> </w:t>
      </w:r>
      <w:r>
        <w:rPr>
          <w:spacing w:val="-3"/>
          <w:sz w:val="21"/>
        </w:rPr>
        <w:t>criteria</w:t>
      </w:r>
      <w:r>
        <w:rPr>
          <w:spacing w:val="10"/>
          <w:sz w:val="21"/>
        </w:rPr>
        <w:t> </w:t>
      </w:r>
      <w:r>
        <w:rPr>
          <w:sz w:val="21"/>
        </w:rPr>
        <w:t>set</w:t>
      </w:r>
      <w:r>
        <w:rPr>
          <w:spacing w:val="10"/>
          <w:sz w:val="21"/>
        </w:rPr>
        <w:t> </w:t>
      </w:r>
      <w:r>
        <w:rPr>
          <w:sz w:val="21"/>
        </w:rPr>
        <w:t>out</w:t>
      </w:r>
      <w:r>
        <w:rPr>
          <w:spacing w:val="9"/>
          <w:sz w:val="21"/>
        </w:rPr>
        <w:t> </w:t>
      </w:r>
      <w:r>
        <w:rPr>
          <w:sz w:val="21"/>
        </w:rPr>
        <w:t>in</w:t>
      </w:r>
      <w:r>
        <w:rPr>
          <w:spacing w:val="10"/>
          <w:sz w:val="21"/>
        </w:rPr>
        <w:t> </w:t>
      </w:r>
      <w:r>
        <w:rPr>
          <w:sz w:val="21"/>
        </w:rPr>
        <w:t>sections</w:t>
      </w:r>
      <w:r>
        <w:rPr>
          <w:spacing w:val="10"/>
          <w:sz w:val="21"/>
        </w:rPr>
        <w:t> </w:t>
      </w:r>
      <w:r>
        <w:rPr>
          <w:spacing w:val="3"/>
          <w:sz w:val="21"/>
        </w:rPr>
        <w:t>91(4)(e)–(p)</w:t>
      </w:r>
      <w:r>
        <w:rPr>
          <w:spacing w:val="10"/>
          <w:sz w:val="21"/>
        </w:rPr>
        <w:t> </w:t>
      </w:r>
      <w:r>
        <w:rPr>
          <w:sz w:val="21"/>
        </w:rPr>
        <w:t>of</w:t>
      </w:r>
      <w:r>
        <w:rPr>
          <w:spacing w:val="9"/>
          <w:sz w:val="21"/>
        </w:rPr>
        <w:t> </w:t>
      </w:r>
      <w:r>
        <w:rPr>
          <w:sz w:val="21"/>
        </w:rPr>
        <w:t>the</w:t>
      </w:r>
    </w:p>
    <w:p>
      <w:pPr>
        <w:spacing w:before="3"/>
        <w:ind w:left="3027" w:right="0" w:firstLine="0"/>
        <w:jc w:val="left"/>
        <w:rPr>
          <w:sz w:val="21"/>
        </w:rPr>
      </w:pPr>
      <w:r>
        <w:rPr>
          <w:i/>
          <w:w w:val="105"/>
          <w:sz w:val="21"/>
        </w:rPr>
        <w:t>Administration and Probate Act 1958 </w:t>
      </w:r>
      <w:r>
        <w:rPr>
          <w:w w:val="105"/>
          <w:sz w:val="21"/>
        </w:rPr>
        <w:t>(Vic) when determining:</w:t>
      </w:r>
    </w:p>
    <w:p>
      <w:pPr>
        <w:pStyle w:val="ListParagraph"/>
        <w:numPr>
          <w:ilvl w:val="2"/>
          <w:numId w:val="15"/>
        </w:numPr>
        <w:tabs>
          <w:tab w:pos="3365" w:val="left" w:leader="none"/>
        </w:tabs>
        <w:spacing w:line="242" w:lineRule="auto" w:before="124" w:after="0"/>
        <w:ind w:left="3364" w:right="1646" w:hanging="337"/>
        <w:jc w:val="left"/>
        <w:rPr>
          <w:sz w:val="21"/>
        </w:rPr>
      </w:pPr>
      <w:r>
        <w:rPr>
          <w:w w:val="105"/>
          <w:sz w:val="21"/>
        </w:rPr>
        <w:t>whether</w:t>
      </w:r>
      <w:r>
        <w:rPr>
          <w:spacing w:val="-7"/>
          <w:w w:val="105"/>
          <w:sz w:val="21"/>
        </w:rPr>
        <w:t> </w:t>
      </w:r>
      <w:r>
        <w:rPr>
          <w:spacing w:val="-3"/>
          <w:w w:val="105"/>
          <w:sz w:val="21"/>
        </w:rPr>
        <w:t>adequate</w:t>
      </w:r>
      <w:r>
        <w:rPr>
          <w:spacing w:val="-7"/>
          <w:w w:val="105"/>
          <w:sz w:val="21"/>
        </w:rPr>
        <w:t> </w:t>
      </w:r>
      <w:r>
        <w:rPr>
          <w:spacing w:val="-3"/>
          <w:w w:val="105"/>
          <w:sz w:val="21"/>
        </w:rPr>
        <w:t>provision</w:t>
      </w:r>
      <w:r>
        <w:rPr>
          <w:spacing w:val="-7"/>
          <w:w w:val="105"/>
          <w:sz w:val="21"/>
        </w:rPr>
        <w:t> </w:t>
      </w:r>
      <w:r>
        <w:rPr>
          <w:w w:val="105"/>
          <w:sz w:val="21"/>
        </w:rPr>
        <w:t>was</w:t>
      </w:r>
      <w:r>
        <w:rPr>
          <w:spacing w:val="-7"/>
          <w:w w:val="105"/>
          <w:sz w:val="21"/>
        </w:rPr>
        <w:t> </w:t>
      </w:r>
      <w:r>
        <w:rPr>
          <w:w w:val="105"/>
          <w:sz w:val="21"/>
        </w:rPr>
        <w:t>made</w:t>
      </w:r>
      <w:r>
        <w:rPr>
          <w:spacing w:val="-7"/>
          <w:w w:val="105"/>
          <w:sz w:val="21"/>
        </w:rPr>
        <w:t> </w:t>
      </w:r>
      <w:r>
        <w:rPr>
          <w:spacing w:val="-3"/>
          <w:w w:val="105"/>
          <w:sz w:val="21"/>
        </w:rPr>
        <w:t>for</w:t>
      </w:r>
      <w:r>
        <w:rPr>
          <w:spacing w:val="-7"/>
          <w:w w:val="105"/>
          <w:sz w:val="21"/>
        </w:rPr>
        <w:t> </w:t>
      </w:r>
      <w:r>
        <w:rPr>
          <w:w w:val="105"/>
          <w:sz w:val="21"/>
        </w:rPr>
        <w:t>the</w:t>
      </w:r>
      <w:r>
        <w:rPr>
          <w:spacing w:val="-7"/>
          <w:w w:val="105"/>
          <w:sz w:val="21"/>
        </w:rPr>
        <w:t> </w:t>
      </w:r>
      <w:r>
        <w:rPr>
          <w:spacing w:val="-3"/>
          <w:w w:val="105"/>
          <w:sz w:val="21"/>
        </w:rPr>
        <w:t>applicant’s</w:t>
      </w:r>
      <w:r>
        <w:rPr>
          <w:spacing w:val="-7"/>
          <w:w w:val="105"/>
          <w:sz w:val="21"/>
        </w:rPr>
        <w:t> </w:t>
      </w:r>
      <w:r>
        <w:rPr>
          <w:w w:val="105"/>
          <w:sz w:val="21"/>
        </w:rPr>
        <w:t>proper</w:t>
      </w:r>
      <w:r>
        <w:rPr>
          <w:spacing w:val="-7"/>
          <w:w w:val="105"/>
          <w:sz w:val="21"/>
        </w:rPr>
        <w:t> </w:t>
      </w:r>
      <w:r>
        <w:rPr>
          <w:spacing w:val="-3"/>
          <w:w w:val="105"/>
          <w:sz w:val="21"/>
        </w:rPr>
        <w:t>maintenance </w:t>
      </w:r>
      <w:r>
        <w:rPr>
          <w:w w:val="105"/>
          <w:sz w:val="21"/>
        </w:rPr>
        <w:t>and</w:t>
      </w:r>
      <w:r>
        <w:rPr>
          <w:spacing w:val="5"/>
          <w:w w:val="105"/>
          <w:sz w:val="21"/>
        </w:rPr>
        <w:t> </w:t>
      </w:r>
      <w:r>
        <w:rPr>
          <w:w w:val="105"/>
          <w:sz w:val="21"/>
        </w:rPr>
        <w:t>support</w:t>
      </w:r>
    </w:p>
    <w:p>
      <w:pPr>
        <w:pStyle w:val="ListParagraph"/>
        <w:numPr>
          <w:ilvl w:val="2"/>
          <w:numId w:val="15"/>
        </w:numPr>
        <w:tabs>
          <w:tab w:pos="3352" w:val="left" w:leader="none"/>
        </w:tabs>
        <w:spacing w:line="240" w:lineRule="auto" w:before="122" w:after="0"/>
        <w:ind w:left="3351" w:right="0" w:hanging="324"/>
        <w:jc w:val="left"/>
        <w:rPr>
          <w:sz w:val="21"/>
        </w:rPr>
      </w:pPr>
      <w:r>
        <w:rPr>
          <w:w w:val="105"/>
          <w:sz w:val="21"/>
        </w:rPr>
        <w:t>the </w:t>
      </w:r>
      <w:r>
        <w:rPr>
          <w:spacing w:val="-3"/>
          <w:w w:val="105"/>
          <w:sz w:val="21"/>
        </w:rPr>
        <w:t>amount </w:t>
      </w:r>
      <w:r>
        <w:rPr>
          <w:w w:val="105"/>
          <w:sz w:val="21"/>
        </w:rPr>
        <w:t>of further </w:t>
      </w:r>
      <w:r>
        <w:rPr>
          <w:spacing w:val="-3"/>
          <w:w w:val="105"/>
          <w:sz w:val="21"/>
        </w:rPr>
        <w:t>provision that </w:t>
      </w:r>
      <w:r>
        <w:rPr>
          <w:w w:val="105"/>
          <w:sz w:val="21"/>
        </w:rPr>
        <w:t>should be </w:t>
      </w:r>
      <w:r>
        <w:rPr>
          <w:spacing w:val="-3"/>
          <w:w w:val="105"/>
          <w:sz w:val="21"/>
        </w:rPr>
        <w:t>made, </w:t>
      </w:r>
      <w:r>
        <w:rPr>
          <w:w w:val="105"/>
          <w:sz w:val="21"/>
        </w:rPr>
        <w:t>if</w:t>
      </w:r>
      <w:r>
        <w:rPr>
          <w:spacing w:val="6"/>
          <w:w w:val="105"/>
          <w:sz w:val="21"/>
        </w:rPr>
        <w:t> </w:t>
      </w:r>
      <w:r>
        <w:rPr>
          <w:spacing w:val="-6"/>
          <w:w w:val="105"/>
          <w:sz w:val="21"/>
        </w:rPr>
        <w:t>any.</w:t>
      </w:r>
    </w:p>
    <w:p>
      <w:pPr>
        <w:pStyle w:val="BodyText"/>
        <w:rPr>
          <w:sz w:val="25"/>
        </w:rPr>
      </w:pPr>
    </w:p>
    <w:p>
      <w:pPr>
        <w:pStyle w:val="Heading5"/>
      </w:pPr>
      <w:r>
        <w:rPr>
          <w:w w:val="110"/>
        </w:rPr>
        <w:t>Costs rules</w:t>
      </w:r>
    </w:p>
    <w:p>
      <w:pPr>
        <w:pStyle w:val="ListParagraph"/>
        <w:numPr>
          <w:ilvl w:val="0"/>
          <w:numId w:val="15"/>
        </w:numPr>
        <w:tabs>
          <w:tab w:pos="1928" w:val="left" w:leader="none"/>
        </w:tabs>
        <w:spacing w:line="242" w:lineRule="auto" w:before="137" w:after="0"/>
        <w:ind w:left="1927" w:right="1717" w:hanging="340"/>
        <w:jc w:val="left"/>
        <w:rPr>
          <w:sz w:val="21"/>
        </w:rPr>
      </w:pPr>
      <w:r>
        <w:rPr>
          <w:w w:val="105"/>
          <w:sz w:val="21"/>
        </w:rPr>
        <w:t>Sections</w:t>
      </w:r>
      <w:r>
        <w:rPr>
          <w:spacing w:val="-4"/>
          <w:w w:val="105"/>
          <w:sz w:val="21"/>
        </w:rPr>
        <w:t> </w:t>
      </w:r>
      <w:r>
        <w:rPr>
          <w:w w:val="105"/>
          <w:sz w:val="21"/>
        </w:rPr>
        <w:t>97(6)</w:t>
      </w:r>
      <w:r>
        <w:rPr>
          <w:spacing w:val="-4"/>
          <w:w w:val="105"/>
          <w:sz w:val="21"/>
        </w:rPr>
        <w:t> </w:t>
      </w:r>
      <w:r>
        <w:rPr>
          <w:w w:val="105"/>
          <w:sz w:val="21"/>
        </w:rPr>
        <w:t>and</w:t>
      </w:r>
      <w:r>
        <w:rPr>
          <w:spacing w:val="-4"/>
          <w:w w:val="105"/>
          <w:sz w:val="21"/>
        </w:rPr>
        <w:t> </w:t>
      </w:r>
      <w:r>
        <w:rPr>
          <w:w w:val="105"/>
          <w:sz w:val="21"/>
        </w:rPr>
        <w:t>97(7)</w:t>
      </w:r>
      <w:r>
        <w:rPr>
          <w:spacing w:val="-3"/>
          <w:w w:val="105"/>
          <w:sz w:val="21"/>
        </w:rPr>
        <w:t> </w:t>
      </w:r>
      <w:r>
        <w:rPr>
          <w:w w:val="105"/>
          <w:sz w:val="21"/>
        </w:rPr>
        <w:t>of</w:t>
      </w:r>
      <w:r>
        <w:rPr>
          <w:spacing w:val="-4"/>
          <w:w w:val="105"/>
          <w:sz w:val="21"/>
        </w:rPr>
        <w:t> </w:t>
      </w:r>
      <w:r>
        <w:rPr>
          <w:w w:val="105"/>
          <w:sz w:val="21"/>
        </w:rPr>
        <w:t>the</w:t>
      </w:r>
      <w:r>
        <w:rPr>
          <w:spacing w:val="-4"/>
          <w:w w:val="105"/>
          <w:sz w:val="21"/>
        </w:rPr>
        <w:t> </w:t>
      </w:r>
      <w:r>
        <w:rPr>
          <w:i/>
          <w:spacing w:val="-3"/>
          <w:w w:val="105"/>
          <w:sz w:val="21"/>
        </w:rPr>
        <w:t>Administration </w:t>
      </w:r>
      <w:r>
        <w:rPr>
          <w:i/>
          <w:w w:val="105"/>
          <w:sz w:val="21"/>
        </w:rPr>
        <w:t>and</w:t>
      </w:r>
      <w:r>
        <w:rPr>
          <w:i/>
          <w:spacing w:val="-4"/>
          <w:w w:val="105"/>
          <w:sz w:val="21"/>
        </w:rPr>
        <w:t> </w:t>
      </w:r>
      <w:r>
        <w:rPr>
          <w:i/>
          <w:w w:val="105"/>
          <w:sz w:val="21"/>
        </w:rPr>
        <w:t>Probate</w:t>
      </w:r>
      <w:r>
        <w:rPr>
          <w:i/>
          <w:spacing w:val="-4"/>
          <w:w w:val="105"/>
          <w:sz w:val="21"/>
        </w:rPr>
        <w:t> </w:t>
      </w:r>
      <w:r>
        <w:rPr>
          <w:i/>
          <w:w w:val="105"/>
          <w:sz w:val="21"/>
        </w:rPr>
        <w:t>Act</w:t>
      </w:r>
      <w:r>
        <w:rPr>
          <w:i/>
          <w:spacing w:val="-3"/>
          <w:w w:val="105"/>
          <w:sz w:val="21"/>
        </w:rPr>
        <w:t> </w:t>
      </w:r>
      <w:r>
        <w:rPr>
          <w:i/>
          <w:spacing w:val="-6"/>
          <w:w w:val="105"/>
          <w:sz w:val="21"/>
        </w:rPr>
        <w:t>1958</w:t>
      </w:r>
      <w:r>
        <w:rPr>
          <w:i/>
          <w:spacing w:val="-4"/>
          <w:w w:val="105"/>
          <w:sz w:val="21"/>
        </w:rPr>
        <w:t> </w:t>
      </w:r>
      <w:r>
        <w:rPr>
          <w:w w:val="105"/>
          <w:sz w:val="21"/>
        </w:rPr>
        <w:t>(Vic)</w:t>
      </w:r>
      <w:r>
        <w:rPr>
          <w:spacing w:val="-4"/>
          <w:w w:val="105"/>
          <w:sz w:val="21"/>
        </w:rPr>
        <w:t> </w:t>
      </w:r>
      <w:r>
        <w:rPr>
          <w:w w:val="105"/>
          <w:sz w:val="21"/>
        </w:rPr>
        <w:t>should</w:t>
      </w:r>
      <w:r>
        <w:rPr>
          <w:spacing w:val="-3"/>
          <w:w w:val="105"/>
          <w:sz w:val="21"/>
        </w:rPr>
        <w:t> </w:t>
      </w:r>
      <w:r>
        <w:rPr>
          <w:w w:val="105"/>
          <w:sz w:val="21"/>
        </w:rPr>
        <w:t>be</w:t>
      </w:r>
      <w:r>
        <w:rPr>
          <w:spacing w:val="-4"/>
          <w:w w:val="105"/>
          <w:sz w:val="21"/>
        </w:rPr>
        <w:t> </w:t>
      </w:r>
      <w:r>
        <w:rPr>
          <w:w w:val="105"/>
          <w:sz w:val="21"/>
        </w:rPr>
        <w:t>repealed and </w:t>
      </w:r>
      <w:r>
        <w:rPr>
          <w:spacing w:val="-3"/>
          <w:w w:val="105"/>
          <w:sz w:val="21"/>
        </w:rPr>
        <w:t>replaced </w:t>
      </w:r>
      <w:r>
        <w:rPr>
          <w:w w:val="105"/>
          <w:sz w:val="21"/>
        </w:rPr>
        <w:t>by </w:t>
      </w:r>
      <w:r>
        <w:rPr>
          <w:spacing w:val="-3"/>
          <w:w w:val="105"/>
          <w:sz w:val="21"/>
        </w:rPr>
        <w:t>provisions</w:t>
      </w:r>
      <w:r>
        <w:rPr>
          <w:spacing w:val="22"/>
          <w:w w:val="105"/>
          <w:sz w:val="21"/>
        </w:rPr>
        <w:t> </w:t>
      </w:r>
      <w:r>
        <w:rPr>
          <w:w w:val="105"/>
          <w:sz w:val="21"/>
        </w:rPr>
        <w:t>that:</w:t>
      </w:r>
    </w:p>
    <w:p>
      <w:pPr>
        <w:pStyle w:val="ListParagraph"/>
        <w:numPr>
          <w:ilvl w:val="1"/>
          <w:numId w:val="15"/>
        </w:numPr>
        <w:tabs>
          <w:tab w:pos="3028" w:val="left" w:leader="none"/>
        </w:tabs>
        <w:spacing w:line="242" w:lineRule="auto" w:before="123" w:after="0"/>
        <w:ind w:left="3027" w:right="2000" w:hanging="306"/>
        <w:jc w:val="left"/>
        <w:rPr>
          <w:sz w:val="21"/>
        </w:rPr>
      </w:pPr>
      <w:r>
        <w:rPr>
          <w:sz w:val="21"/>
        </w:rPr>
        <w:t>specify </w:t>
      </w:r>
      <w:r>
        <w:rPr>
          <w:spacing w:val="-3"/>
          <w:sz w:val="21"/>
        </w:rPr>
        <w:t>that </w:t>
      </w:r>
      <w:r>
        <w:rPr>
          <w:sz w:val="21"/>
        </w:rPr>
        <w:t>the court </w:t>
      </w:r>
      <w:r>
        <w:rPr>
          <w:spacing w:val="-3"/>
          <w:sz w:val="21"/>
        </w:rPr>
        <w:t>may </w:t>
      </w:r>
      <w:r>
        <w:rPr>
          <w:spacing w:val="-4"/>
          <w:sz w:val="21"/>
        </w:rPr>
        <w:t>make </w:t>
      </w:r>
      <w:r>
        <w:rPr>
          <w:spacing w:val="-3"/>
          <w:sz w:val="21"/>
        </w:rPr>
        <w:t>any </w:t>
      </w:r>
      <w:r>
        <w:rPr>
          <w:sz w:val="21"/>
        </w:rPr>
        <w:t>order as </w:t>
      </w:r>
      <w:r>
        <w:rPr>
          <w:spacing w:val="-3"/>
          <w:sz w:val="21"/>
        </w:rPr>
        <w:t>to </w:t>
      </w:r>
      <w:r>
        <w:rPr>
          <w:sz w:val="21"/>
        </w:rPr>
        <w:t>the costs of a </w:t>
      </w:r>
      <w:r>
        <w:rPr>
          <w:spacing w:val="-3"/>
          <w:sz w:val="21"/>
        </w:rPr>
        <w:t>family provision </w:t>
      </w:r>
      <w:r>
        <w:rPr>
          <w:sz w:val="21"/>
        </w:rPr>
        <w:t>application</w:t>
      </w:r>
      <w:r>
        <w:rPr>
          <w:spacing w:val="9"/>
          <w:sz w:val="21"/>
        </w:rPr>
        <w:t> </w:t>
      </w:r>
      <w:r>
        <w:rPr>
          <w:spacing w:val="-3"/>
          <w:sz w:val="21"/>
        </w:rPr>
        <w:t>that</w:t>
      </w:r>
      <w:r>
        <w:rPr>
          <w:spacing w:val="9"/>
          <w:sz w:val="21"/>
        </w:rPr>
        <w:t> </w:t>
      </w:r>
      <w:r>
        <w:rPr>
          <w:sz w:val="21"/>
        </w:rPr>
        <w:t>is,</w:t>
      </w:r>
      <w:r>
        <w:rPr>
          <w:spacing w:val="9"/>
          <w:sz w:val="21"/>
        </w:rPr>
        <w:t> </w:t>
      </w:r>
      <w:r>
        <w:rPr>
          <w:sz w:val="21"/>
        </w:rPr>
        <w:t>in</w:t>
      </w:r>
      <w:r>
        <w:rPr>
          <w:spacing w:val="9"/>
          <w:sz w:val="21"/>
        </w:rPr>
        <w:t> </w:t>
      </w:r>
      <w:r>
        <w:rPr>
          <w:sz w:val="21"/>
        </w:rPr>
        <w:t>the</w:t>
      </w:r>
      <w:r>
        <w:rPr>
          <w:spacing w:val="9"/>
          <w:sz w:val="21"/>
        </w:rPr>
        <w:t> </w:t>
      </w:r>
      <w:r>
        <w:rPr>
          <w:sz w:val="21"/>
        </w:rPr>
        <w:t>court’s</w:t>
      </w:r>
      <w:r>
        <w:rPr>
          <w:spacing w:val="9"/>
          <w:sz w:val="21"/>
        </w:rPr>
        <w:t> </w:t>
      </w:r>
      <w:r>
        <w:rPr>
          <w:spacing w:val="-3"/>
          <w:sz w:val="21"/>
        </w:rPr>
        <w:t>opinion,</w:t>
      </w:r>
      <w:r>
        <w:rPr>
          <w:spacing w:val="10"/>
          <w:sz w:val="21"/>
        </w:rPr>
        <w:t> </w:t>
      </w:r>
      <w:r>
        <w:rPr>
          <w:sz w:val="21"/>
        </w:rPr>
        <w:t>just</w:t>
      </w:r>
    </w:p>
    <w:p>
      <w:pPr>
        <w:pStyle w:val="ListParagraph"/>
        <w:numPr>
          <w:ilvl w:val="1"/>
          <w:numId w:val="15"/>
        </w:numPr>
        <w:tabs>
          <w:tab w:pos="3028" w:val="left" w:leader="none"/>
        </w:tabs>
        <w:spacing w:line="242" w:lineRule="auto" w:before="122" w:after="0"/>
        <w:ind w:left="3027" w:right="1667" w:hanging="306"/>
        <w:jc w:val="left"/>
        <w:rPr>
          <w:sz w:val="21"/>
        </w:rPr>
      </w:pPr>
      <w:r>
        <w:rPr>
          <w:w w:val="105"/>
          <w:sz w:val="21"/>
        </w:rPr>
        <w:t>set</w:t>
      </w:r>
      <w:r>
        <w:rPr>
          <w:spacing w:val="-7"/>
          <w:w w:val="105"/>
          <w:sz w:val="21"/>
        </w:rPr>
        <w:t> </w:t>
      </w:r>
      <w:r>
        <w:rPr>
          <w:w w:val="105"/>
          <w:sz w:val="21"/>
        </w:rPr>
        <w:t>out</w:t>
      </w:r>
      <w:r>
        <w:rPr>
          <w:spacing w:val="-7"/>
          <w:w w:val="105"/>
          <w:sz w:val="21"/>
        </w:rPr>
        <w:t> </w:t>
      </w:r>
      <w:r>
        <w:rPr>
          <w:w w:val="105"/>
          <w:sz w:val="21"/>
        </w:rPr>
        <w:t>a</w:t>
      </w:r>
      <w:r>
        <w:rPr>
          <w:spacing w:val="-7"/>
          <w:w w:val="105"/>
          <w:sz w:val="21"/>
        </w:rPr>
        <w:t> </w:t>
      </w:r>
      <w:r>
        <w:rPr>
          <w:w w:val="105"/>
          <w:sz w:val="21"/>
        </w:rPr>
        <w:t>non-exhaustive</w:t>
      </w:r>
      <w:r>
        <w:rPr>
          <w:spacing w:val="-7"/>
          <w:w w:val="105"/>
          <w:sz w:val="21"/>
        </w:rPr>
        <w:t> </w:t>
      </w:r>
      <w:r>
        <w:rPr>
          <w:w w:val="105"/>
          <w:sz w:val="21"/>
        </w:rPr>
        <w:t>list</w:t>
      </w:r>
      <w:r>
        <w:rPr>
          <w:spacing w:val="-7"/>
          <w:w w:val="105"/>
          <w:sz w:val="21"/>
        </w:rPr>
        <w:t> </w:t>
      </w:r>
      <w:r>
        <w:rPr>
          <w:w w:val="105"/>
          <w:sz w:val="21"/>
        </w:rPr>
        <w:t>of</w:t>
      </w:r>
      <w:r>
        <w:rPr>
          <w:spacing w:val="-7"/>
          <w:w w:val="105"/>
          <w:sz w:val="21"/>
        </w:rPr>
        <w:t> </w:t>
      </w:r>
      <w:r>
        <w:rPr>
          <w:w w:val="105"/>
          <w:sz w:val="21"/>
        </w:rPr>
        <w:t>the</w:t>
      </w:r>
      <w:r>
        <w:rPr>
          <w:spacing w:val="-6"/>
          <w:w w:val="105"/>
          <w:sz w:val="21"/>
        </w:rPr>
        <w:t> </w:t>
      </w:r>
      <w:r>
        <w:rPr>
          <w:w w:val="105"/>
          <w:sz w:val="21"/>
        </w:rPr>
        <w:t>types</w:t>
      </w:r>
      <w:r>
        <w:rPr>
          <w:spacing w:val="-7"/>
          <w:w w:val="105"/>
          <w:sz w:val="21"/>
        </w:rPr>
        <w:t> </w:t>
      </w:r>
      <w:r>
        <w:rPr>
          <w:w w:val="105"/>
          <w:sz w:val="21"/>
        </w:rPr>
        <w:t>of</w:t>
      </w:r>
      <w:r>
        <w:rPr>
          <w:spacing w:val="-7"/>
          <w:w w:val="105"/>
          <w:sz w:val="21"/>
        </w:rPr>
        <w:t> </w:t>
      </w:r>
      <w:r>
        <w:rPr>
          <w:w w:val="105"/>
          <w:sz w:val="21"/>
        </w:rPr>
        <w:t>costs</w:t>
      </w:r>
      <w:r>
        <w:rPr>
          <w:spacing w:val="-7"/>
          <w:w w:val="105"/>
          <w:sz w:val="21"/>
        </w:rPr>
        <w:t> </w:t>
      </w:r>
      <w:r>
        <w:rPr>
          <w:w w:val="105"/>
          <w:sz w:val="21"/>
        </w:rPr>
        <w:t>orders</w:t>
      </w:r>
      <w:r>
        <w:rPr>
          <w:spacing w:val="-7"/>
          <w:w w:val="105"/>
          <w:sz w:val="21"/>
        </w:rPr>
        <w:t> </w:t>
      </w:r>
      <w:r>
        <w:rPr>
          <w:spacing w:val="-3"/>
          <w:w w:val="105"/>
          <w:sz w:val="21"/>
        </w:rPr>
        <w:t>that</w:t>
      </w:r>
      <w:r>
        <w:rPr>
          <w:spacing w:val="-7"/>
          <w:w w:val="105"/>
          <w:sz w:val="21"/>
        </w:rPr>
        <w:t> </w:t>
      </w:r>
      <w:r>
        <w:rPr>
          <w:w w:val="105"/>
          <w:sz w:val="21"/>
        </w:rPr>
        <w:t>the</w:t>
      </w:r>
      <w:r>
        <w:rPr>
          <w:spacing w:val="-6"/>
          <w:w w:val="105"/>
          <w:sz w:val="21"/>
        </w:rPr>
        <w:t> </w:t>
      </w:r>
      <w:r>
        <w:rPr>
          <w:w w:val="105"/>
          <w:sz w:val="21"/>
        </w:rPr>
        <w:t>court</w:t>
      </w:r>
      <w:r>
        <w:rPr>
          <w:spacing w:val="-7"/>
          <w:w w:val="105"/>
          <w:sz w:val="21"/>
        </w:rPr>
        <w:t> </w:t>
      </w:r>
      <w:r>
        <w:rPr>
          <w:spacing w:val="-3"/>
          <w:w w:val="105"/>
          <w:sz w:val="21"/>
        </w:rPr>
        <w:t>may</w:t>
      </w:r>
      <w:r>
        <w:rPr>
          <w:spacing w:val="-7"/>
          <w:w w:val="105"/>
          <w:sz w:val="21"/>
        </w:rPr>
        <w:t> </w:t>
      </w:r>
      <w:r>
        <w:rPr>
          <w:spacing w:val="-5"/>
          <w:w w:val="105"/>
          <w:sz w:val="21"/>
        </w:rPr>
        <w:t>make, </w:t>
      </w:r>
      <w:r>
        <w:rPr>
          <w:spacing w:val="-3"/>
          <w:w w:val="105"/>
          <w:sz w:val="21"/>
        </w:rPr>
        <w:t>including:</w:t>
      </w:r>
    </w:p>
    <w:p>
      <w:pPr>
        <w:pStyle w:val="ListParagraph"/>
        <w:numPr>
          <w:ilvl w:val="2"/>
          <w:numId w:val="15"/>
        </w:numPr>
        <w:tabs>
          <w:tab w:pos="3365" w:val="left" w:leader="none"/>
        </w:tabs>
        <w:spacing w:line="240" w:lineRule="auto" w:before="122" w:after="0"/>
        <w:ind w:left="3364" w:right="0" w:hanging="337"/>
        <w:jc w:val="left"/>
        <w:rPr>
          <w:sz w:val="21"/>
        </w:rPr>
      </w:pPr>
      <w:r>
        <w:rPr>
          <w:sz w:val="21"/>
        </w:rPr>
        <w:t>an</w:t>
      </w:r>
      <w:r>
        <w:rPr>
          <w:spacing w:val="8"/>
          <w:sz w:val="21"/>
        </w:rPr>
        <w:t> </w:t>
      </w:r>
      <w:r>
        <w:rPr>
          <w:sz w:val="21"/>
        </w:rPr>
        <w:t>order</w:t>
      </w:r>
      <w:r>
        <w:rPr>
          <w:spacing w:val="9"/>
          <w:sz w:val="21"/>
        </w:rPr>
        <w:t> </w:t>
      </w:r>
      <w:r>
        <w:rPr>
          <w:spacing w:val="-3"/>
          <w:sz w:val="21"/>
        </w:rPr>
        <w:t>that</w:t>
      </w:r>
      <w:r>
        <w:rPr>
          <w:spacing w:val="8"/>
          <w:sz w:val="21"/>
        </w:rPr>
        <w:t> </w:t>
      </w:r>
      <w:r>
        <w:rPr>
          <w:sz w:val="21"/>
        </w:rPr>
        <w:t>each</w:t>
      </w:r>
      <w:r>
        <w:rPr>
          <w:spacing w:val="9"/>
          <w:sz w:val="21"/>
        </w:rPr>
        <w:t> </w:t>
      </w:r>
      <w:r>
        <w:rPr>
          <w:sz w:val="21"/>
        </w:rPr>
        <w:t>party</w:t>
      </w:r>
      <w:r>
        <w:rPr>
          <w:spacing w:val="9"/>
          <w:sz w:val="21"/>
        </w:rPr>
        <w:t> </w:t>
      </w:r>
      <w:r>
        <w:rPr>
          <w:sz w:val="21"/>
        </w:rPr>
        <w:t>bear</w:t>
      </w:r>
      <w:r>
        <w:rPr>
          <w:spacing w:val="8"/>
          <w:sz w:val="21"/>
        </w:rPr>
        <w:t> </w:t>
      </w:r>
      <w:r>
        <w:rPr>
          <w:sz w:val="21"/>
        </w:rPr>
        <w:t>their</w:t>
      </w:r>
      <w:r>
        <w:rPr>
          <w:spacing w:val="9"/>
          <w:sz w:val="21"/>
        </w:rPr>
        <w:t> </w:t>
      </w:r>
      <w:r>
        <w:rPr>
          <w:sz w:val="21"/>
        </w:rPr>
        <w:t>own</w:t>
      </w:r>
      <w:r>
        <w:rPr>
          <w:spacing w:val="8"/>
          <w:sz w:val="21"/>
        </w:rPr>
        <w:t> </w:t>
      </w:r>
      <w:r>
        <w:rPr>
          <w:sz w:val="21"/>
        </w:rPr>
        <w:t>costs</w:t>
      </w:r>
    </w:p>
    <w:p>
      <w:pPr>
        <w:pStyle w:val="ListParagraph"/>
        <w:numPr>
          <w:ilvl w:val="2"/>
          <w:numId w:val="15"/>
        </w:numPr>
        <w:tabs>
          <w:tab w:pos="3351" w:val="left" w:leader="none"/>
        </w:tabs>
        <w:spacing w:line="242" w:lineRule="auto" w:before="124" w:after="0"/>
        <w:ind w:left="3350" w:right="2106" w:hanging="323"/>
        <w:jc w:val="left"/>
        <w:rPr>
          <w:sz w:val="21"/>
        </w:rPr>
      </w:pPr>
      <w:r>
        <w:rPr>
          <w:w w:val="105"/>
          <w:sz w:val="21"/>
        </w:rPr>
        <w:t>an</w:t>
      </w:r>
      <w:r>
        <w:rPr>
          <w:spacing w:val="-6"/>
          <w:w w:val="105"/>
          <w:sz w:val="21"/>
        </w:rPr>
        <w:t> </w:t>
      </w:r>
      <w:r>
        <w:rPr>
          <w:w w:val="105"/>
          <w:sz w:val="21"/>
        </w:rPr>
        <w:t>order</w:t>
      </w:r>
      <w:r>
        <w:rPr>
          <w:spacing w:val="-6"/>
          <w:w w:val="105"/>
          <w:sz w:val="21"/>
        </w:rPr>
        <w:t> </w:t>
      </w:r>
      <w:r>
        <w:rPr>
          <w:spacing w:val="-3"/>
          <w:w w:val="105"/>
          <w:sz w:val="21"/>
        </w:rPr>
        <w:t>that</w:t>
      </w:r>
      <w:r>
        <w:rPr>
          <w:spacing w:val="-6"/>
          <w:w w:val="105"/>
          <w:sz w:val="21"/>
        </w:rPr>
        <w:t> </w:t>
      </w:r>
      <w:r>
        <w:rPr>
          <w:w w:val="105"/>
          <w:sz w:val="21"/>
        </w:rPr>
        <w:t>the</w:t>
      </w:r>
      <w:r>
        <w:rPr>
          <w:spacing w:val="-6"/>
          <w:w w:val="105"/>
          <w:sz w:val="21"/>
        </w:rPr>
        <w:t> </w:t>
      </w:r>
      <w:r>
        <w:rPr>
          <w:w w:val="105"/>
          <w:sz w:val="21"/>
        </w:rPr>
        <w:t>estate</w:t>
      </w:r>
      <w:r>
        <w:rPr>
          <w:spacing w:val="-6"/>
          <w:w w:val="105"/>
          <w:sz w:val="21"/>
        </w:rPr>
        <w:t> </w:t>
      </w:r>
      <w:r>
        <w:rPr>
          <w:spacing w:val="-2"/>
          <w:w w:val="105"/>
          <w:sz w:val="21"/>
        </w:rPr>
        <w:t>pay</w:t>
      </w:r>
      <w:r>
        <w:rPr>
          <w:spacing w:val="-6"/>
          <w:w w:val="105"/>
          <w:sz w:val="21"/>
        </w:rPr>
        <w:t> </w:t>
      </w:r>
      <w:r>
        <w:rPr>
          <w:w w:val="105"/>
          <w:sz w:val="21"/>
        </w:rPr>
        <w:t>the</w:t>
      </w:r>
      <w:r>
        <w:rPr>
          <w:spacing w:val="-6"/>
          <w:w w:val="105"/>
          <w:sz w:val="21"/>
        </w:rPr>
        <w:t> </w:t>
      </w:r>
      <w:r>
        <w:rPr>
          <w:w w:val="105"/>
          <w:sz w:val="21"/>
        </w:rPr>
        <w:t>costs</w:t>
      </w:r>
      <w:r>
        <w:rPr>
          <w:spacing w:val="-6"/>
          <w:w w:val="105"/>
          <w:sz w:val="21"/>
        </w:rPr>
        <w:t> </w:t>
      </w:r>
      <w:r>
        <w:rPr>
          <w:w w:val="105"/>
          <w:sz w:val="21"/>
        </w:rPr>
        <w:t>of</w:t>
      </w:r>
      <w:r>
        <w:rPr>
          <w:spacing w:val="-6"/>
          <w:w w:val="105"/>
          <w:sz w:val="21"/>
        </w:rPr>
        <w:t> </w:t>
      </w:r>
      <w:r>
        <w:rPr>
          <w:w w:val="105"/>
          <w:sz w:val="21"/>
        </w:rPr>
        <w:t>an</w:t>
      </w:r>
      <w:r>
        <w:rPr>
          <w:spacing w:val="-6"/>
          <w:w w:val="105"/>
          <w:sz w:val="21"/>
        </w:rPr>
        <w:t> </w:t>
      </w:r>
      <w:r>
        <w:rPr>
          <w:spacing w:val="-3"/>
          <w:w w:val="105"/>
          <w:sz w:val="21"/>
        </w:rPr>
        <w:t>applicant,</w:t>
      </w:r>
      <w:r>
        <w:rPr>
          <w:spacing w:val="-6"/>
          <w:w w:val="105"/>
          <w:sz w:val="21"/>
        </w:rPr>
        <w:t> </w:t>
      </w:r>
      <w:r>
        <w:rPr>
          <w:w w:val="105"/>
          <w:sz w:val="21"/>
        </w:rPr>
        <w:t>whether</w:t>
      </w:r>
      <w:r>
        <w:rPr>
          <w:spacing w:val="-6"/>
          <w:w w:val="105"/>
          <w:sz w:val="21"/>
        </w:rPr>
        <w:t> </w:t>
      </w:r>
      <w:r>
        <w:rPr>
          <w:spacing w:val="-3"/>
          <w:w w:val="105"/>
          <w:sz w:val="21"/>
        </w:rPr>
        <w:t>successful </w:t>
      </w:r>
      <w:r>
        <w:rPr>
          <w:w w:val="105"/>
          <w:sz w:val="21"/>
        </w:rPr>
        <w:t>or </w:t>
      </w:r>
      <w:r>
        <w:rPr>
          <w:spacing w:val="-3"/>
          <w:w w:val="105"/>
          <w:sz w:val="21"/>
        </w:rPr>
        <w:t>unsuccessful, </w:t>
      </w:r>
      <w:r>
        <w:rPr>
          <w:w w:val="105"/>
          <w:sz w:val="21"/>
        </w:rPr>
        <w:t>on </w:t>
      </w:r>
      <w:r>
        <w:rPr>
          <w:spacing w:val="-3"/>
          <w:w w:val="105"/>
          <w:sz w:val="21"/>
        </w:rPr>
        <w:t>any </w:t>
      </w:r>
      <w:r>
        <w:rPr>
          <w:w w:val="105"/>
          <w:sz w:val="21"/>
        </w:rPr>
        <w:t>basis and </w:t>
      </w:r>
      <w:r>
        <w:rPr>
          <w:spacing w:val="-3"/>
          <w:w w:val="105"/>
          <w:sz w:val="21"/>
        </w:rPr>
        <w:t>to any</w:t>
      </w:r>
      <w:r>
        <w:rPr>
          <w:spacing w:val="40"/>
          <w:w w:val="105"/>
          <w:sz w:val="21"/>
        </w:rPr>
        <w:t> </w:t>
      </w:r>
      <w:r>
        <w:rPr>
          <w:w w:val="105"/>
          <w:sz w:val="21"/>
        </w:rPr>
        <w:t>extent</w:t>
      </w:r>
    </w:p>
    <w:p>
      <w:pPr>
        <w:pStyle w:val="ListParagraph"/>
        <w:numPr>
          <w:ilvl w:val="2"/>
          <w:numId w:val="15"/>
        </w:numPr>
        <w:tabs>
          <w:tab w:pos="3395" w:val="left" w:leader="none"/>
        </w:tabs>
        <w:spacing w:line="242" w:lineRule="auto" w:before="122" w:after="0"/>
        <w:ind w:left="3394" w:right="2456" w:hanging="367"/>
        <w:jc w:val="left"/>
        <w:rPr>
          <w:sz w:val="21"/>
        </w:rPr>
      </w:pPr>
      <w:r>
        <w:rPr>
          <w:w w:val="105"/>
          <w:sz w:val="21"/>
        </w:rPr>
        <w:t>an</w:t>
      </w:r>
      <w:r>
        <w:rPr>
          <w:spacing w:val="-7"/>
          <w:w w:val="105"/>
          <w:sz w:val="21"/>
        </w:rPr>
        <w:t> </w:t>
      </w:r>
      <w:r>
        <w:rPr>
          <w:w w:val="105"/>
          <w:sz w:val="21"/>
        </w:rPr>
        <w:t>order</w:t>
      </w:r>
      <w:r>
        <w:rPr>
          <w:spacing w:val="-7"/>
          <w:w w:val="105"/>
          <w:sz w:val="21"/>
        </w:rPr>
        <w:t> </w:t>
      </w:r>
      <w:r>
        <w:rPr>
          <w:spacing w:val="-3"/>
          <w:w w:val="105"/>
          <w:sz w:val="21"/>
        </w:rPr>
        <w:t>that</w:t>
      </w:r>
      <w:r>
        <w:rPr>
          <w:spacing w:val="-7"/>
          <w:w w:val="105"/>
          <w:sz w:val="21"/>
        </w:rPr>
        <w:t> </w:t>
      </w:r>
      <w:r>
        <w:rPr>
          <w:w w:val="105"/>
          <w:sz w:val="21"/>
        </w:rPr>
        <w:t>an</w:t>
      </w:r>
      <w:r>
        <w:rPr>
          <w:spacing w:val="-7"/>
          <w:w w:val="105"/>
          <w:sz w:val="21"/>
        </w:rPr>
        <w:t> </w:t>
      </w:r>
      <w:r>
        <w:rPr>
          <w:spacing w:val="-3"/>
          <w:w w:val="105"/>
          <w:sz w:val="21"/>
        </w:rPr>
        <w:t>applicant</w:t>
      </w:r>
      <w:r>
        <w:rPr>
          <w:spacing w:val="-6"/>
          <w:w w:val="105"/>
          <w:sz w:val="21"/>
        </w:rPr>
        <w:t> </w:t>
      </w:r>
      <w:r>
        <w:rPr>
          <w:spacing w:val="-2"/>
          <w:w w:val="105"/>
          <w:sz w:val="21"/>
        </w:rPr>
        <w:t>pay</w:t>
      </w:r>
      <w:r>
        <w:rPr>
          <w:spacing w:val="-7"/>
          <w:w w:val="105"/>
          <w:sz w:val="21"/>
        </w:rPr>
        <w:t> </w:t>
      </w:r>
      <w:r>
        <w:rPr>
          <w:w w:val="105"/>
          <w:sz w:val="21"/>
        </w:rPr>
        <w:t>the</w:t>
      </w:r>
      <w:r>
        <w:rPr>
          <w:spacing w:val="-7"/>
          <w:w w:val="105"/>
          <w:sz w:val="21"/>
        </w:rPr>
        <w:t> </w:t>
      </w:r>
      <w:r>
        <w:rPr>
          <w:w w:val="105"/>
          <w:sz w:val="21"/>
        </w:rPr>
        <w:t>costs</w:t>
      </w:r>
      <w:r>
        <w:rPr>
          <w:spacing w:val="-7"/>
          <w:w w:val="105"/>
          <w:sz w:val="21"/>
        </w:rPr>
        <w:t> </w:t>
      </w:r>
      <w:r>
        <w:rPr>
          <w:w w:val="105"/>
          <w:sz w:val="21"/>
        </w:rPr>
        <w:t>of</w:t>
      </w:r>
      <w:r>
        <w:rPr>
          <w:spacing w:val="-7"/>
          <w:w w:val="105"/>
          <w:sz w:val="21"/>
        </w:rPr>
        <w:t> </w:t>
      </w:r>
      <w:r>
        <w:rPr>
          <w:w w:val="105"/>
          <w:sz w:val="21"/>
        </w:rPr>
        <w:t>a</w:t>
      </w:r>
      <w:r>
        <w:rPr>
          <w:spacing w:val="-6"/>
          <w:w w:val="105"/>
          <w:sz w:val="21"/>
        </w:rPr>
        <w:t> </w:t>
      </w:r>
      <w:r>
        <w:rPr>
          <w:w w:val="105"/>
          <w:sz w:val="21"/>
        </w:rPr>
        <w:t>personal</w:t>
      </w:r>
      <w:r>
        <w:rPr>
          <w:spacing w:val="-7"/>
          <w:w w:val="105"/>
          <w:sz w:val="21"/>
        </w:rPr>
        <w:t> </w:t>
      </w:r>
      <w:r>
        <w:rPr>
          <w:spacing w:val="-3"/>
          <w:w w:val="105"/>
          <w:sz w:val="21"/>
        </w:rPr>
        <w:t>representative, </w:t>
      </w:r>
      <w:r>
        <w:rPr>
          <w:w w:val="105"/>
          <w:sz w:val="21"/>
        </w:rPr>
        <w:t>on </w:t>
      </w:r>
      <w:r>
        <w:rPr>
          <w:spacing w:val="-3"/>
          <w:w w:val="105"/>
          <w:sz w:val="21"/>
        </w:rPr>
        <w:t>any </w:t>
      </w:r>
      <w:r>
        <w:rPr>
          <w:w w:val="105"/>
          <w:sz w:val="21"/>
        </w:rPr>
        <w:t>basis and </w:t>
      </w:r>
      <w:r>
        <w:rPr>
          <w:spacing w:val="-3"/>
          <w:w w:val="105"/>
          <w:sz w:val="21"/>
        </w:rPr>
        <w:t>to any</w:t>
      </w:r>
      <w:r>
        <w:rPr>
          <w:spacing w:val="33"/>
          <w:w w:val="105"/>
          <w:sz w:val="21"/>
        </w:rPr>
        <w:t> </w:t>
      </w:r>
      <w:r>
        <w:rPr>
          <w:w w:val="105"/>
          <w:sz w:val="21"/>
        </w:rPr>
        <w:t>extent.</w:t>
      </w:r>
    </w:p>
    <w:p>
      <w:pPr>
        <w:pStyle w:val="ListParagraph"/>
        <w:numPr>
          <w:ilvl w:val="0"/>
          <w:numId w:val="15"/>
        </w:numPr>
        <w:tabs>
          <w:tab w:pos="1928" w:val="left" w:leader="none"/>
        </w:tabs>
        <w:spacing w:line="242" w:lineRule="auto" w:before="123" w:after="0"/>
        <w:ind w:left="1927" w:right="1828" w:hanging="340"/>
        <w:jc w:val="left"/>
        <w:rPr>
          <w:sz w:val="21"/>
        </w:rPr>
      </w:pPr>
      <w:r>
        <w:rPr>
          <w:w w:val="105"/>
          <w:sz w:val="21"/>
        </w:rPr>
        <w:t>The</w:t>
      </w:r>
      <w:r>
        <w:rPr>
          <w:spacing w:val="-5"/>
          <w:w w:val="105"/>
          <w:sz w:val="21"/>
        </w:rPr>
        <w:t> </w:t>
      </w:r>
      <w:r>
        <w:rPr>
          <w:spacing w:val="-3"/>
          <w:w w:val="105"/>
          <w:sz w:val="21"/>
        </w:rPr>
        <w:t>family</w:t>
      </w:r>
      <w:r>
        <w:rPr>
          <w:spacing w:val="-5"/>
          <w:w w:val="105"/>
          <w:sz w:val="21"/>
        </w:rPr>
        <w:t> </w:t>
      </w:r>
      <w:r>
        <w:rPr>
          <w:spacing w:val="-3"/>
          <w:w w:val="105"/>
          <w:sz w:val="21"/>
        </w:rPr>
        <w:t>provision</w:t>
      </w:r>
      <w:r>
        <w:rPr>
          <w:spacing w:val="-5"/>
          <w:w w:val="105"/>
          <w:sz w:val="21"/>
        </w:rPr>
        <w:t> </w:t>
      </w:r>
      <w:r>
        <w:rPr>
          <w:w w:val="105"/>
          <w:sz w:val="21"/>
        </w:rPr>
        <w:t>costs</w:t>
      </w:r>
      <w:r>
        <w:rPr>
          <w:spacing w:val="-4"/>
          <w:w w:val="105"/>
          <w:sz w:val="21"/>
        </w:rPr>
        <w:t> </w:t>
      </w:r>
      <w:r>
        <w:rPr>
          <w:spacing w:val="-3"/>
          <w:w w:val="105"/>
          <w:sz w:val="21"/>
        </w:rPr>
        <w:t>provisions</w:t>
      </w:r>
      <w:r>
        <w:rPr>
          <w:spacing w:val="-5"/>
          <w:w w:val="105"/>
          <w:sz w:val="21"/>
        </w:rPr>
        <w:t> </w:t>
      </w:r>
      <w:r>
        <w:rPr>
          <w:w w:val="105"/>
          <w:sz w:val="21"/>
        </w:rPr>
        <w:t>in</w:t>
      </w:r>
      <w:r>
        <w:rPr>
          <w:spacing w:val="-5"/>
          <w:w w:val="105"/>
          <w:sz w:val="21"/>
        </w:rPr>
        <w:t> </w:t>
      </w:r>
      <w:r>
        <w:rPr>
          <w:w w:val="105"/>
          <w:sz w:val="21"/>
        </w:rPr>
        <w:t>the</w:t>
      </w:r>
      <w:r>
        <w:rPr>
          <w:spacing w:val="-4"/>
          <w:w w:val="105"/>
          <w:sz w:val="21"/>
        </w:rPr>
        <w:t> </w:t>
      </w:r>
      <w:r>
        <w:rPr>
          <w:i/>
          <w:spacing w:val="-3"/>
          <w:w w:val="105"/>
          <w:sz w:val="21"/>
        </w:rPr>
        <w:t>Administration</w:t>
      </w:r>
      <w:r>
        <w:rPr>
          <w:i/>
          <w:spacing w:val="-5"/>
          <w:w w:val="105"/>
          <w:sz w:val="21"/>
        </w:rPr>
        <w:t> </w:t>
      </w:r>
      <w:r>
        <w:rPr>
          <w:i/>
          <w:w w:val="105"/>
          <w:sz w:val="21"/>
        </w:rPr>
        <w:t>and</w:t>
      </w:r>
      <w:r>
        <w:rPr>
          <w:i/>
          <w:spacing w:val="-5"/>
          <w:w w:val="105"/>
          <w:sz w:val="21"/>
        </w:rPr>
        <w:t> </w:t>
      </w:r>
      <w:r>
        <w:rPr>
          <w:i/>
          <w:w w:val="105"/>
          <w:sz w:val="21"/>
        </w:rPr>
        <w:t>Probate</w:t>
      </w:r>
      <w:r>
        <w:rPr>
          <w:i/>
          <w:spacing w:val="-4"/>
          <w:w w:val="105"/>
          <w:sz w:val="21"/>
        </w:rPr>
        <w:t> </w:t>
      </w:r>
      <w:r>
        <w:rPr>
          <w:i/>
          <w:w w:val="105"/>
          <w:sz w:val="21"/>
        </w:rPr>
        <w:t>Act</w:t>
      </w:r>
      <w:r>
        <w:rPr>
          <w:i/>
          <w:spacing w:val="-5"/>
          <w:w w:val="105"/>
          <w:sz w:val="21"/>
        </w:rPr>
        <w:t> </w:t>
      </w:r>
      <w:r>
        <w:rPr>
          <w:i/>
          <w:spacing w:val="-6"/>
          <w:w w:val="105"/>
          <w:sz w:val="21"/>
        </w:rPr>
        <w:t>1958</w:t>
      </w:r>
      <w:r>
        <w:rPr>
          <w:i/>
          <w:spacing w:val="-5"/>
          <w:w w:val="105"/>
          <w:sz w:val="21"/>
        </w:rPr>
        <w:t> </w:t>
      </w:r>
      <w:r>
        <w:rPr>
          <w:w w:val="105"/>
          <w:sz w:val="21"/>
        </w:rPr>
        <w:t>(Vic)</w:t>
      </w:r>
      <w:r>
        <w:rPr>
          <w:spacing w:val="-4"/>
          <w:w w:val="105"/>
          <w:sz w:val="21"/>
        </w:rPr>
        <w:t> </w:t>
      </w:r>
      <w:r>
        <w:rPr>
          <w:w w:val="105"/>
          <w:sz w:val="21"/>
        </w:rPr>
        <w:t>should specify </w:t>
      </w:r>
      <w:r>
        <w:rPr>
          <w:spacing w:val="-3"/>
          <w:w w:val="105"/>
          <w:sz w:val="21"/>
        </w:rPr>
        <w:t>that </w:t>
      </w:r>
      <w:r>
        <w:rPr>
          <w:w w:val="105"/>
          <w:sz w:val="21"/>
        </w:rPr>
        <w:t>the court </w:t>
      </w:r>
      <w:r>
        <w:rPr>
          <w:spacing w:val="-2"/>
          <w:w w:val="105"/>
          <w:sz w:val="21"/>
        </w:rPr>
        <w:t>has </w:t>
      </w:r>
      <w:r>
        <w:rPr>
          <w:w w:val="105"/>
          <w:sz w:val="21"/>
        </w:rPr>
        <w:t>the power </w:t>
      </w:r>
      <w:r>
        <w:rPr>
          <w:spacing w:val="-3"/>
          <w:w w:val="105"/>
          <w:sz w:val="21"/>
        </w:rPr>
        <w:t>to </w:t>
      </w:r>
      <w:r>
        <w:rPr>
          <w:w w:val="105"/>
          <w:sz w:val="21"/>
        </w:rPr>
        <w:t>cap</w:t>
      </w:r>
      <w:r>
        <w:rPr>
          <w:spacing w:val="46"/>
          <w:w w:val="105"/>
          <w:sz w:val="21"/>
        </w:rPr>
        <w:t> </w:t>
      </w:r>
      <w:r>
        <w:rPr>
          <w:w w:val="105"/>
          <w:sz w:val="21"/>
        </w:rPr>
        <w:t>costs.</w:t>
      </w:r>
    </w:p>
    <w:p>
      <w:pPr>
        <w:pStyle w:val="ListParagraph"/>
        <w:numPr>
          <w:ilvl w:val="0"/>
          <w:numId w:val="15"/>
        </w:numPr>
        <w:tabs>
          <w:tab w:pos="1928" w:val="left" w:leader="none"/>
        </w:tabs>
        <w:spacing w:line="242" w:lineRule="auto" w:before="122" w:after="0"/>
        <w:ind w:left="1927" w:right="1828" w:hanging="340"/>
        <w:jc w:val="left"/>
        <w:rPr>
          <w:sz w:val="21"/>
        </w:rPr>
      </w:pPr>
      <w:r>
        <w:rPr>
          <w:w w:val="105"/>
          <w:sz w:val="21"/>
        </w:rPr>
        <w:t>The</w:t>
      </w:r>
      <w:r>
        <w:rPr>
          <w:spacing w:val="-5"/>
          <w:w w:val="105"/>
          <w:sz w:val="21"/>
        </w:rPr>
        <w:t> </w:t>
      </w:r>
      <w:r>
        <w:rPr>
          <w:spacing w:val="-3"/>
          <w:w w:val="105"/>
          <w:sz w:val="21"/>
        </w:rPr>
        <w:t>family</w:t>
      </w:r>
      <w:r>
        <w:rPr>
          <w:spacing w:val="-5"/>
          <w:w w:val="105"/>
          <w:sz w:val="21"/>
        </w:rPr>
        <w:t> </w:t>
      </w:r>
      <w:r>
        <w:rPr>
          <w:spacing w:val="-3"/>
          <w:w w:val="105"/>
          <w:sz w:val="21"/>
        </w:rPr>
        <w:t>provision</w:t>
      </w:r>
      <w:r>
        <w:rPr>
          <w:spacing w:val="-5"/>
          <w:w w:val="105"/>
          <w:sz w:val="21"/>
        </w:rPr>
        <w:t> </w:t>
      </w:r>
      <w:r>
        <w:rPr>
          <w:w w:val="105"/>
          <w:sz w:val="21"/>
        </w:rPr>
        <w:t>costs</w:t>
      </w:r>
      <w:r>
        <w:rPr>
          <w:spacing w:val="-4"/>
          <w:w w:val="105"/>
          <w:sz w:val="21"/>
        </w:rPr>
        <w:t> </w:t>
      </w:r>
      <w:r>
        <w:rPr>
          <w:spacing w:val="-3"/>
          <w:w w:val="105"/>
          <w:sz w:val="21"/>
        </w:rPr>
        <w:t>provisions</w:t>
      </w:r>
      <w:r>
        <w:rPr>
          <w:spacing w:val="-5"/>
          <w:w w:val="105"/>
          <w:sz w:val="21"/>
        </w:rPr>
        <w:t> </w:t>
      </w:r>
      <w:r>
        <w:rPr>
          <w:w w:val="105"/>
          <w:sz w:val="21"/>
        </w:rPr>
        <w:t>in</w:t>
      </w:r>
      <w:r>
        <w:rPr>
          <w:spacing w:val="-5"/>
          <w:w w:val="105"/>
          <w:sz w:val="21"/>
        </w:rPr>
        <w:t> </w:t>
      </w:r>
      <w:r>
        <w:rPr>
          <w:w w:val="105"/>
          <w:sz w:val="21"/>
        </w:rPr>
        <w:t>the</w:t>
      </w:r>
      <w:r>
        <w:rPr>
          <w:spacing w:val="-4"/>
          <w:w w:val="105"/>
          <w:sz w:val="21"/>
        </w:rPr>
        <w:t> </w:t>
      </w:r>
      <w:r>
        <w:rPr>
          <w:i/>
          <w:spacing w:val="-3"/>
          <w:w w:val="105"/>
          <w:sz w:val="21"/>
        </w:rPr>
        <w:t>Administration</w:t>
      </w:r>
      <w:r>
        <w:rPr>
          <w:i/>
          <w:spacing w:val="-5"/>
          <w:w w:val="105"/>
          <w:sz w:val="21"/>
        </w:rPr>
        <w:t> </w:t>
      </w:r>
      <w:r>
        <w:rPr>
          <w:i/>
          <w:w w:val="105"/>
          <w:sz w:val="21"/>
        </w:rPr>
        <w:t>and</w:t>
      </w:r>
      <w:r>
        <w:rPr>
          <w:i/>
          <w:spacing w:val="-5"/>
          <w:w w:val="105"/>
          <w:sz w:val="21"/>
        </w:rPr>
        <w:t> </w:t>
      </w:r>
      <w:r>
        <w:rPr>
          <w:i/>
          <w:w w:val="105"/>
          <w:sz w:val="21"/>
        </w:rPr>
        <w:t>Probate</w:t>
      </w:r>
      <w:r>
        <w:rPr>
          <w:i/>
          <w:spacing w:val="-4"/>
          <w:w w:val="105"/>
          <w:sz w:val="21"/>
        </w:rPr>
        <w:t> </w:t>
      </w:r>
      <w:r>
        <w:rPr>
          <w:i/>
          <w:w w:val="105"/>
          <w:sz w:val="21"/>
        </w:rPr>
        <w:t>Act</w:t>
      </w:r>
      <w:r>
        <w:rPr>
          <w:i/>
          <w:spacing w:val="-5"/>
          <w:w w:val="105"/>
          <w:sz w:val="21"/>
        </w:rPr>
        <w:t> </w:t>
      </w:r>
      <w:r>
        <w:rPr>
          <w:i/>
          <w:spacing w:val="-6"/>
          <w:w w:val="105"/>
          <w:sz w:val="21"/>
        </w:rPr>
        <w:t>1958</w:t>
      </w:r>
      <w:r>
        <w:rPr>
          <w:i/>
          <w:spacing w:val="-5"/>
          <w:w w:val="105"/>
          <w:sz w:val="21"/>
        </w:rPr>
        <w:t> </w:t>
      </w:r>
      <w:r>
        <w:rPr>
          <w:w w:val="105"/>
          <w:sz w:val="21"/>
        </w:rPr>
        <w:t>(Vic)</w:t>
      </w:r>
      <w:r>
        <w:rPr>
          <w:spacing w:val="-4"/>
          <w:w w:val="105"/>
          <w:sz w:val="21"/>
        </w:rPr>
        <w:t> </w:t>
      </w:r>
      <w:r>
        <w:rPr>
          <w:w w:val="105"/>
          <w:sz w:val="21"/>
        </w:rPr>
        <w:t>should specify </w:t>
      </w:r>
      <w:r>
        <w:rPr>
          <w:spacing w:val="-3"/>
          <w:w w:val="105"/>
          <w:sz w:val="21"/>
        </w:rPr>
        <w:t>that </w:t>
      </w:r>
      <w:r>
        <w:rPr>
          <w:w w:val="105"/>
          <w:sz w:val="21"/>
        </w:rPr>
        <w:t>they do </w:t>
      </w:r>
      <w:r>
        <w:rPr>
          <w:spacing w:val="-2"/>
          <w:w w:val="105"/>
          <w:sz w:val="21"/>
        </w:rPr>
        <w:t>not </w:t>
      </w:r>
      <w:r>
        <w:rPr>
          <w:w w:val="105"/>
          <w:sz w:val="21"/>
        </w:rPr>
        <w:t>otherwise</w:t>
      </w:r>
      <w:r>
        <w:rPr>
          <w:spacing w:val="32"/>
          <w:w w:val="105"/>
          <w:sz w:val="21"/>
        </w:rPr>
        <w:t> </w:t>
      </w:r>
      <w:r>
        <w:rPr>
          <w:spacing w:val="-3"/>
          <w:w w:val="105"/>
          <w:sz w:val="21"/>
        </w:rPr>
        <w:t>limit:</w:t>
      </w:r>
    </w:p>
    <w:p>
      <w:pPr>
        <w:pStyle w:val="ListParagraph"/>
        <w:numPr>
          <w:ilvl w:val="1"/>
          <w:numId w:val="15"/>
        </w:numPr>
        <w:tabs>
          <w:tab w:pos="3028" w:val="left" w:leader="none"/>
        </w:tabs>
        <w:spacing w:line="240" w:lineRule="auto" w:before="122" w:after="0"/>
        <w:ind w:left="3027" w:right="0" w:hanging="306"/>
        <w:jc w:val="left"/>
        <w:rPr>
          <w:sz w:val="21"/>
        </w:rPr>
      </w:pPr>
      <w:r>
        <w:rPr>
          <w:w w:val="105"/>
          <w:sz w:val="21"/>
        </w:rPr>
        <w:t>the </w:t>
      </w:r>
      <w:r>
        <w:rPr>
          <w:spacing w:val="-3"/>
          <w:w w:val="105"/>
          <w:sz w:val="21"/>
        </w:rPr>
        <w:t>Supreme Court’s </w:t>
      </w:r>
      <w:r>
        <w:rPr>
          <w:w w:val="105"/>
          <w:sz w:val="21"/>
        </w:rPr>
        <w:t>existing</w:t>
      </w:r>
      <w:r>
        <w:rPr>
          <w:spacing w:val="25"/>
          <w:w w:val="105"/>
          <w:sz w:val="21"/>
        </w:rPr>
        <w:t> </w:t>
      </w:r>
      <w:r>
        <w:rPr>
          <w:w w:val="105"/>
          <w:sz w:val="21"/>
        </w:rPr>
        <w:t>jurisdiction</w:t>
      </w:r>
    </w:p>
    <w:p>
      <w:pPr>
        <w:pStyle w:val="ListParagraph"/>
        <w:numPr>
          <w:ilvl w:val="1"/>
          <w:numId w:val="15"/>
        </w:numPr>
        <w:tabs>
          <w:tab w:pos="3028" w:val="left" w:leader="none"/>
        </w:tabs>
        <w:spacing w:line="240" w:lineRule="auto" w:before="124" w:after="0"/>
        <w:ind w:left="3027" w:right="0" w:hanging="306"/>
        <w:jc w:val="left"/>
        <w:rPr>
          <w:sz w:val="21"/>
        </w:rPr>
      </w:pPr>
      <w:r>
        <w:rPr>
          <w:w w:val="105"/>
          <w:sz w:val="21"/>
        </w:rPr>
        <w:t>the </w:t>
      </w:r>
      <w:r>
        <w:rPr>
          <w:spacing w:val="-3"/>
          <w:w w:val="105"/>
          <w:sz w:val="21"/>
        </w:rPr>
        <w:t>County Court’s </w:t>
      </w:r>
      <w:r>
        <w:rPr>
          <w:w w:val="105"/>
          <w:sz w:val="21"/>
        </w:rPr>
        <w:t>existing</w:t>
      </w:r>
      <w:r>
        <w:rPr>
          <w:spacing w:val="26"/>
          <w:w w:val="105"/>
          <w:sz w:val="21"/>
        </w:rPr>
        <w:t> </w:t>
      </w:r>
      <w:r>
        <w:rPr>
          <w:w w:val="105"/>
          <w:sz w:val="21"/>
        </w:rPr>
        <w:t>jurisdiction</w:t>
      </w:r>
    </w:p>
    <w:p>
      <w:pPr>
        <w:pStyle w:val="ListParagraph"/>
        <w:numPr>
          <w:ilvl w:val="1"/>
          <w:numId w:val="15"/>
        </w:numPr>
        <w:tabs>
          <w:tab w:pos="3028" w:val="left" w:leader="none"/>
        </w:tabs>
        <w:spacing w:line="242" w:lineRule="auto" w:before="124" w:after="0"/>
        <w:ind w:left="3027" w:right="1802" w:hanging="306"/>
        <w:jc w:val="left"/>
        <w:rPr>
          <w:sz w:val="21"/>
        </w:rPr>
      </w:pPr>
      <w:r>
        <w:rPr>
          <w:spacing w:val="-3"/>
          <w:w w:val="105"/>
          <w:sz w:val="21"/>
        </w:rPr>
        <w:t>any </w:t>
      </w:r>
      <w:r>
        <w:rPr>
          <w:w w:val="105"/>
          <w:sz w:val="21"/>
        </w:rPr>
        <w:t>other powers of a court </w:t>
      </w:r>
      <w:r>
        <w:rPr>
          <w:spacing w:val="-3"/>
          <w:w w:val="105"/>
          <w:sz w:val="21"/>
        </w:rPr>
        <w:t>arising </w:t>
      </w:r>
      <w:r>
        <w:rPr>
          <w:w w:val="105"/>
          <w:sz w:val="21"/>
        </w:rPr>
        <w:t>or derived </w:t>
      </w:r>
      <w:r>
        <w:rPr>
          <w:spacing w:val="-3"/>
          <w:w w:val="105"/>
          <w:sz w:val="21"/>
        </w:rPr>
        <w:t>from </w:t>
      </w:r>
      <w:r>
        <w:rPr>
          <w:w w:val="105"/>
          <w:sz w:val="21"/>
        </w:rPr>
        <w:t>the </w:t>
      </w:r>
      <w:r>
        <w:rPr>
          <w:spacing w:val="-2"/>
          <w:w w:val="105"/>
          <w:sz w:val="21"/>
        </w:rPr>
        <w:t>common </w:t>
      </w:r>
      <w:r>
        <w:rPr>
          <w:w w:val="105"/>
          <w:sz w:val="21"/>
        </w:rPr>
        <w:t>law or under </w:t>
      </w:r>
      <w:r>
        <w:rPr>
          <w:spacing w:val="-3"/>
          <w:w w:val="105"/>
          <w:sz w:val="21"/>
        </w:rPr>
        <w:t>any </w:t>
      </w:r>
      <w:r>
        <w:rPr>
          <w:w w:val="105"/>
          <w:sz w:val="21"/>
        </w:rPr>
        <w:t>other Act </w:t>
      </w:r>
      <w:r>
        <w:rPr>
          <w:spacing w:val="-3"/>
          <w:w w:val="105"/>
          <w:sz w:val="21"/>
        </w:rPr>
        <w:t>(including any </w:t>
      </w:r>
      <w:r>
        <w:rPr>
          <w:spacing w:val="-4"/>
          <w:w w:val="105"/>
          <w:sz w:val="21"/>
        </w:rPr>
        <w:t>Commonwealth </w:t>
      </w:r>
      <w:r>
        <w:rPr>
          <w:w w:val="105"/>
          <w:sz w:val="21"/>
        </w:rPr>
        <w:t>Act), rule of court, practice </w:t>
      </w:r>
      <w:r>
        <w:rPr>
          <w:spacing w:val="-3"/>
          <w:w w:val="105"/>
          <w:sz w:val="21"/>
        </w:rPr>
        <w:t>note </w:t>
      </w:r>
      <w:r>
        <w:rPr>
          <w:w w:val="105"/>
          <w:sz w:val="21"/>
        </w:rPr>
        <w:t>or practice</w:t>
      </w:r>
      <w:r>
        <w:rPr>
          <w:spacing w:val="4"/>
          <w:w w:val="105"/>
          <w:sz w:val="21"/>
        </w:rPr>
        <w:t> </w:t>
      </w:r>
      <w:r>
        <w:rPr>
          <w:w w:val="105"/>
          <w:sz w:val="21"/>
        </w:rPr>
        <w:t>direction.</w:t>
      </w:r>
    </w:p>
    <w:p>
      <w:pPr>
        <w:pStyle w:val="BodyText"/>
        <w:spacing w:before="10"/>
        <w:rPr>
          <w:sz w:val="24"/>
        </w:rPr>
      </w:pPr>
    </w:p>
    <w:p>
      <w:pPr>
        <w:pStyle w:val="Heading5"/>
      </w:pPr>
      <w:r>
        <w:rPr>
          <w:w w:val="110"/>
        </w:rPr>
        <w:t>Procedure</w:t>
      </w:r>
    </w:p>
    <w:p>
      <w:pPr>
        <w:pStyle w:val="ListParagraph"/>
        <w:numPr>
          <w:ilvl w:val="0"/>
          <w:numId w:val="15"/>
        </w:numPr>
        <w:tabs>
          <w:tab w:pos="1928" w:val="left" w:leader="none"/>
        </w:tabs>
        <w:spacing w:line="242" w:lineRule="auto" w:before="138" w:after="0"/>
        <w:ind w:left="1927" w:right="1864" w:hanging="340"/>
        <w:jc w:val="left"/>
        <w:rPr>
          <w:sz w:val="21"/>
        </w:rPr>
      </w:pPr>
      <w:r>
        <w:rPr>
          <w:w w:val="105"/>
          <w:sz w:val="21"/>
        </w:rPr>
        <w:t>The </w:t>
      </w:r>
      <w:r>
        <w:rPr>
          <w:spacing w:val="-3"/>
          <w:w w:val="105"/>
          <w:sz w:val="21"/>
        </w:rPr>
        <w:t>County Court </w:t>
      </w:r>
      <w:r>
        <w:rPr>
          <w:w w:val="105"/>
          <w:sz w:val="21"/>
        </w:rPr>
        <w:t>and </w:t>
      </w:r>
      <w:r>
        <w:rPr>
          <w:spacing w:val="-3"/>
          <w:w w:val="105"/>
          <w:sz w:val="21"/>
        </w:rPr>
        <w:t>Supreme Court </w:t>
      </w:r>
      <w:r>
        <w:rPr>
          <w:w w:val="105"/>
          <w:sz w:val="21"/>
        </w:rPr>
        <w:t>should </w:t>
      </w:r>
      <w:r>
        <w:rPr>
          <w:spacing w:val="-3"/>
          <w:w w:val="105"/>
          <w:sz w:val="21"/>
        </w:rPr>
        <w:t>consider including </w:t>
      </w:r>
      <w:r>
        <w:rPr>
          <w:w w:val="105"/>
          <w:sz w:val="21"/>
        </w:rPr>
        <w:t>in </w:t>
      </w:r>
      <w:r>
        <w:rPr>
          <w:spacing w:val="-3"/>
          <w:w w:val="105"/>
          <w:sz w:val="21"/>
        </w:rPr>
        <w:t>equivalent </w:t>
      </w:r>
      <w:r>
        <w:rPr>
          <w:w w:val="105"/>
          <w:sz w:val="21"/>
        </w:rPr>
        <w:t>practice </w:t>
      </w:r>
      <w:r>
        <w:rPr>
          <w:spacing w:val="-3"/>
          <w:w w:val="105"/>
          <w:sz w:val="21"/>
        </w:rPr>
        <w:t>notes </w:t>
      </w:r>
      <w:r>
        <w:rPr>
          <w:w w:val="105"/>
          <w:sz w:val="21"/>
        </w:rPr>
        <w:t>or rules of</w:t>
      </w:r>
      <w:r>
        <w:rPr>
          <w:spacing w:val="15"/>
          <w:w w:val="105"/>
          <w:sz w:val="21"/>
        </w:rPr>
        <w:t> </w:t>
      </w:r>
      <w:r>
        <w:rPr>
          <w:w w:val="105"/>
          <w:sz w:val="21"/>
        </w:rPr>
        <w:t>court:</w:t>
      </w:r>
    </w:p>
    <w:p>
      <w:pPr>
        <w:pStyle w:val="ListParagraph"/>
        <w:numPr>
          <w:ilvl w:val="1"/>
          <w:numId w:val="15"/>
        </w:numPr>
        <w:tabs>
          <w:tab w:pos="3028" w:val="left" w:leader="none"/>
        </w:tabs>
        <w:spacing w:line="242" w:lineRule="auto" w:before="122" w:after="0"/>
        <w:ind w:left="3027" w:right="1720" w:hanging="306"/>
        <w:jc w:val="left"/>
        <w:rPr>
          <w:sz w:val="21"/>
        </w:rPr>
      </w:pPr>
      <w:r>
        <w:rPr>
          <w:spacing w:val="-3"/>
          <w:w w:val="105"/>
          <w:sz w:val="21"/>
        </w:rPr>
        <w:t>reference</w:t>
      </w:r>
      <w:r>
        <w:rPr>
          <w:spacing w:val="-8"/>
          <w:w w:val="105"/>
          <w:sz w:val="21"/>
        </w:rPr>
        <w:t> </w:t>
      </w:r>
      <w:r>
        <w:rPr>
          <w:spacing w:val="-3"/>
          <w:w w:val="105"/>
          <w:sz w:val="21"/>
        </w:rPr>
        <w:t>to</w:t>
      </w:r>
      <w:r>
        <w:rPr>
          <w:spacing w:val="-8"/>
          <w:w w:val="105"/>
          <w:sz w:val="21"/>
        </w:rPr>
        <w:t> </w:t>
      </w:r>
      <w:r>
        <w:rPr>
          <w:w w:val="105"/>
          <w:sz w:val="21"/>
        </w:rPr>
        <w:t>position</w:t>
      </w:r>
      <w:r>
        <w:rPr>
          <w:spacing w:val="-7"/>
          <w:w w:val="105"/>
          <w:sz w:val="21"/>
        </w:rPr>
        <w:t> </w:t>
      </w:r>
      <w:r>
        <w:rPr>
          <w:w w:val="105"/>
          <w:sz w:val="21"/>
        </w:rPr>
        <w:t>statements</w:t>
      </w:r>
      <w:r>
        <w:rPr>
          <w:spacing w:val="-8"/>
          <w:w w:val="105"/>
          <w:sz w:val="21"/>
        </w:rPr>
        <w:t> </w:t>
      </w:r>
      <w:r>
        <w:rPr>
          <w:w w:val="105"/>
          <w:sz w:val="21"/>
        </w:rPr>
        <w:t>and</w:t>
      </w:r>
      <w:r>
        <w:rPr>
          <w:spacing w:val="-8"/>
          <w:w w:val="105"/>
          <w:sz w:val="21"/>
        </w:rPr>
        <w:t> </w:t>
      </w:r>
      <w:r>
        <w:rPr>
          <w:w w:val="105"/>
          <w:sz w:val="21"/>
        </w:rPr>
        <w:t>direction</w:t>
      </w:r>
      <w:r>
        <w:rPr>
          <w:spacing w:val="-7"/>
          <w:w w:val="105"/>
          <w:sz w:val="21"/>
        </w:rPr>
        <w:t> </w:t>
      </w:r>
      <w:r>
        <w:rPr>
          <w:w w:val="105"/>
          <w:sz w:val="21"/>
        </w:rPr>
        <w:t>as</w:t>
      </w:r>
      <w:r>
        <w:rPr>
          <w:spacing w:val="-8"/>
          <w:w w:val="105"/>
          <w:sz w:val="21"/>
        </w:rPr>
        <w:t> </w:t>
      </w:r>
      <w:r>
        <w:rPr>
          <w:spacing w:val="-3"/>
          <w:w w:val="105"/>
          <w:sz w:val="21"/>
        </w:rPr>
        <w:t>to</w:t>
      </w:r>
      <w:r>
        <w:rPr>
          <w:spacing w:val="-8"/>
          <w:w w:val="105"/>
          <w:sz w:val="21"/>
        </w:rPr>
        <w:t> </w:t>
      </w:r>
      <w:r>
        <w:rPr>
          <w:w w:val="105"/>
          <w:sz w:val="21"/>
        </w:rPr>
        <w:t>the</w:t>
      </w:r>
      <w:r>
        <w:rPr>
          <w:spacing w:val="-7"/>
          <w:w w:val="105"/>
          <w:sz w:val="21"/>
        </w:rPr>
        <w:t> </w:t>
      </w:r>
      <w:r>
        <w:rPr>
          <w:spacing w:val="-3"/>
          <w:w w:val="105"/>
          <w:sz w:val="21"/>
        </w:rPr>
        <w:t>length,</w:t>
      </w:r>
      <w:r>
        <w:rPr>
          <w:spacing w:val="-8"/>
          <w:w w:val="105"/>
          <w:sz w:val="21"/>
        </w:rPr>
        <w:t> </w:t>
      </w:r>
      <w:r>
        <w:rPr>
          <w:spacing w:val="-3"/>
          <w:w w:val="105"/>
          <w:sz w:val="21"/>
        </w:rPr>
        <w:t>form</w:t>
      </w:r>
      <w:r>
        <w:rPr>
          <w:spacing w:val="-8"/>
          <w:w w:val="105"/>
          <w:sz w:val="21"/>
        </w:rPr>
        <w:t> </w:t>
      </w:r>
      <w:r>
        <w:rPr>
          <w:w w:val="105"/>
          <w:sz w:val="21"/>
        </w:rPr>
        <w:t>and</w:t>
      </w:r>
      <w:r>
        <w:rPr>
          <w:spacing w:val="-7"/>
          <w:w w:val="105"/>
          <w:sz w:val="21"/>
        </w:rPr>
        <w:t> </w:t>
      </w:r>
      <w:r>
        <w:rPr>
          <w:spacing w:val="-3"/>
          <w:w w:val="105"/>
          <w:sz w:val="21"/>
        </w:rPr>
        <w:t>content </w:t>
      </w:r>
      <w:r>
        <w:rPr>
          <w:w w:val="105"/>
          <w:sz w:val="21"/>
        </w:rPr>
        <w:t>of position statements </w:t>
      </w:r>
      <w:r>
        <w:rPr>
          <w:spacing w:val="-3"/>
          <w:w w:val="105"/>
          <w:sz w:val="21"/>
        </w:rPr>
        <w:t>for </w:t>
      </w:r>
      <w:r>
        <w:rPr>
          <w:w w:val="105"/>
          <w:sz w:val="21"/>
        </w:rPr>
        <w:t>use in </w:t>
      </w:r>
      <w:r>
        <w:rPr>
          <w:spacing w:val="-3"/>
          <w:w w:val="105"/>
          <w:sz w:val="21"/>
        </w:rPr>
        <w:t>family provision</w:t>
      </w:r>
      <w:r>
        <w:rPr>
          <w:spacing w:val="26"/>
          <w:w w:val="105"/>
          <w:sz w:val="21"/>
        </w:rPr>
        <w:t> </w:t>
      </w:r>
      <w:r>
        <w:rPr>
          <w:spacing w:val="-3"/>
          <w:w w:val="105"/>
          <w:sz w:val="21"/>
        </w:rPr>
        <w:t>proceedings</w:t>
      </w:r>
    </w:p>
    <w:p>
      <w:pPr>
        <w:pStyle w:val="ListParagraph"/>
        <w:numPr>
          <w:ilvl w:val="1"/>
          <w:numId w:val="15"/>
        </w:numPr>
        <w:tabs>
          <w:tab w:pos="3028" w:val="left" w:leader="none"/>
        </w:tabs>
        <w:spacing w:line="242" w:lineRule="auto" w:before="122" w:after="0"/>
        <w:ind w:left="3027" w:right="2148" w:hanging="306"/>
        <w:jc w:val="left"/>
        <w:rPr>
          <w:sz w:val="21"/>
        </w:rPr>
      </w:pPr>
      <w:r>
        <w:rPr>
          <w:spacing w:val="-3"/>
          <w:w w:val="105"/>
          <w:sz w:val="21"/>
        </w:rPr>
        <w:t>provision concerning </w:t>
      </w:r>
      <w:r>
        <w:rPr>
          <w:spacing w:val="-2"/>
          <w:w w:val="105"/>
          <w:sz w:val="21"/>
        </w:rPr>
        <w:t>pro </w:t>
      </w:r>
      <w:r>
        <w:rPr>
          <w:spacing w:val="-3"/>
          <w:w w:val="105"/>
          <w:sz w:val="21"/>
        </w:rPr>
        <w:t>forma </w:t>
      </w:r>
      <w:r>
        <w:rPr>
          <w:w w:val="105"/>
          <w:sz w:val="21"/>
        </w:rPr>
        <w:t>affidavits in </w:t>
      </w:r>
      <w:r>
        <w:rPr>
          <w:spacing w:val="-3"/>
          <w:w w:val="105"/>
          <w:sz w:val="21"/>
        </w:rPr>
        <w:t>family provision proceedings, similar to </w:t>
      </w:r>
      <w:r>
        <w:rPr>
          <w:w w:val="105"/>
          <w:sz w:val="21"/>
        </w:rPr>
        <w:t>those </w:t>
      </w:r>
      <w:r>
        <w:rPr>
          <w:spacing w:val="-3"/>
          <w:w w:val="105"/>
          <w:sz w:val="21"/>
        </w:rPr>
        <w:t>referred to </w:t>
      </w:r>
      <w:r>
        <w:rPr>
          <w:w w:val="105"/>
          <w:sz w:val="21"/>
        </w:rPr>
        <w:t>in Practice Note SC </w:t>
      </w:r>
      <w:r>
        <w:rPr>
          <w:spacing w:val="-3"/>
          <w:w w:val="105"/>
          <w:sz w:val="21"/>
        </w:rPr>
        <w:t>Eq </w:t>
      </w:r>
      <w:r>
        <w:rPr>
          <w:w w:val="105"/>
          <w:sz w:val="21"/>
        </w:rPr>
        <w:t>7 of the </w:t>
      </w:r>
      <w:r>
        <w:rPr>
          <w:spacing w:val="-3"/>
          <w:w w:val="105"/>
          <w:sz w:val="21"/>
        </w:rPr>
        <w:t>Supreme Court </w:t>
      </w:r>
      <w:r>
        <w:rPr>
          <w:w w:val="105"/>
          <w:sz w:val="21"/>
        </w:rPr>
        <w:t>of New South</w:t>
      </w:r>
      <w:r>
        <w:rPr>
          <w:spacing w:val="10"/>
          <w:w w:val="105"/>
          <w:sz w:val="21"/>
        </w:rPr>
        <w:t> </w:t>
      </w:r>
      <w:r>
        <w:rPr>
          <w:spacing w:val="-3"/>
          <w:w w:val="105"/>
          <w:sz w:val="21"/>
        </w:rPr>
        <w:t>Wales</w:t>
      </w:r>
    </w:p>
    <w:p>
      <w:pPr>
        <w:pStyle w:val="ListParagraph"/>
        <w:numPr>
          <w:ilvl w:val="1"/>
          <w:numId w:val="15"/>
        </w:numPr>
        <w:tabs>
          <w:tab w:pos="3028" w:val="left" w:leader="none"/>
        </w:tabs>
        <w:spacing w:line="242" w:lineRule="auto" w:before="124" w:after="0"/>
        <w:ind w:left="3027" w:right="1758" w:hanging="306"/>
        <w:jc w:val="left"/>
        <w:rPr>
          <w:sz w:val="21"/>
        </w:rPr>
      </w:pPr>
      <w:r>
        <w:rPr>
          <w:spacing w:val="-3"/>
          <w:sz w:val="21"/>
        </w:rPr>
        <w:t>guidelines </w:t>
      </w:r>
      <w:r>
        <w:rPr>
          <w:sz w:val="21"/>
        </w:rPr>
        <w:t>in </w:t>
      </w:r>
      <w:r>
        <w:rPr>
          <w:spacing w:val="-3"/>
          <w:sz w:val="21"/>
        </w:rPr>
        <w:t>relation to </w:t>
      </w:r>
      <w:r>
        <w:rPr>
          <w:sz w:val="21"/>
        </w:rPr>
        <w:t>when a </w:t>
      </w:r>
      <w:r>
        <w:rPr>
          <w:spacing w:val="-3"/>
          <w:sz w:val="21"/>
        </w:rPr>
        <w:t>family provision </w:t>
      </w:r>
      <w:r>
        <w:rPr>
          <w:sz w:val="21"/>
        </w:rPr>
        <w:t>matter </w:t>
      </w:r>
      <w:r>
        <w:rPr>
          <w:spacing w:val="-3"/>
          <w:sz w:val="21"/>
        </w:rPr>
        <w:t>will </w:t>
      </w:r>
      <w:r>
        <w:rPr>
          <w:sz w:val="21"/>
        </w:rPr>
        <w:t>be </w:t>
      </w:r>
      <w:r>
        <w:rPr>
          <w:spacing w:val="-3"/>
          <w:sz w:val="21"/>
        </w:rPr>
        <w:t>referred to judicial </w:t>
      </w:r>
      <w:r>
        <w:rPr>
          <w:sz w:val="21"/>
        </w:rPr>
        <w:t>mediation</w:t>
      </w:r>
    </w:p>
    <w:p>
      <w:pPr>
        <w:pStyle w:val="BodyText"/>
        <w:spacing w:before="6"/>
        <w:rPr>
          <w:sz w:val="29"/>
        </w:rPr>
      </w:pPr>
    </w:p>
    <w:p>
      <w:pPr>
        <w:spacing w:before="99"/>
        <w:ind w:left="0" w:right="557" w:firstLine="0"/>
        <w:jc w:val="right"/>
        <w:rPr>
          <w:b/>
          <w:sz w:val="24"/>
        </w:rPr>
      </w:pPr>
      <w:r>
        <w:rPr>
          <w:b/>
          <w:color w:val="EC5A4F"/>
          <w:w w:val="115"/>
          <w:sz w:val="24"/>
        </w:rPr>
        <w:t>xxix</w:t>
      </w:r>
    </w:p>
    <w:p>
      <w:pPr>
        <w:spacing w:after="0"/>
        <w:jc w:val="right"/>
        <w:rPr>
          <w:sz w:val="24"/>
        </w:rPr>
        <w:sectPr>
          <w:pgSz w:w="11910" w:h="16840"/>
          <w:pgMar w:header="550" w:footer="0" w:top="1560" w:bottom="280" w:left="0" w:right="0"/>
        </w:sectPr>
      </w:pPr>
    </w:p>
    <w:p>
      <w:pPr>
        <w:pStyle w:val="BodyText"/>
        <w:spacing w:before="9"/>
        <w:rPr>
          <w:b/>
          <w:sz w:val="22"/>
        </w:rPr>
      </w:pPr>
    </w:p>
    <w:p>
      <w:pPr>
        <w:pStyle w:val="ListParagraph"/>
        <w:numPr>
          <w:ilvl w:val="0"/>
          <w:numId w:val="2"/>
        </w:numPr>
        <w:tabs>
          <w:tab w:pos="3028" w:val="left" w:leader="none"/>
        </w:tabs>
        <w:spacing w:line="242" w:lineRule="auto" w:before="92" w:after="0"/>
        <w:ind w:left="3027" w:right="2103" w:hanging="306"/>
        <w:jc w:val="left"/>
        <w:rPr>
          <w:sz w:val="21"/>
        </w:rPr>
      </w:pPr>
      <w:r>
        <w:rPr>
          <w:w w:val="105"/>
          <w:sz w:val="21"/>
        </w:rPr>
        <w:t>a </w:t>
      </w:r>
      <w:r>
        <w:rPr>
          <w:spacing w:val="-3"/>
          <w:w w:val="105"/>
          <w:sz w:val="21"/>
        </w:rPr>
        <w:t>requirement that </w:t>
      </w:r>
      <w:r>
        <w:rPr>
          <w:w w:val="105"/>
          <w:sz w:val="21"/>
        </w:rPr>
        <w:t>parties</w:t>
      </w:r>
      <w:r>
        <w:rPr>
          <w:spacing w:val="-34"/>
          <w:w w:val="105"/>
          <w:sz w:val="21"/>
        </w:rPr>
        <w:t> </w:t>
      </w:r>
      <w:r>
        <w:rPr>
          <w:spacing w:val="-3"/>
          <w:w w:val="105"/>
          <w:sz w:val="21"/>
        </w:rPr>
        <w:t>to family provision proceedings bring to </w:t>
      </w:r>
      <w:r>
        <w:rPr>
          <w:w w:val="105"/>
          <w:sz w:val="21"/>
        </w:rPr>
        <w:t>mediation an </w:t>
      </w:r>
      <w:r>
        <w:rPr>
          <w:spacing w:val="-3"/>
          <w:w w:val="105"/>
          <w:sz w:val="21"/>
        </w:rPr>
        <w:t>estimate </w:t>
      </w:r>
      <w:r>
        <w:rPr>
          <w:w w:val="105"/>
          <w:sz w:val="21"/>
        </w:rPr>
        <w:t>of their costs </w:t>
      </w:r>
      <w:r>
        <w:rPr>
          <w:spacing w:val="-3"/>
          <w:w w:val="105"/>
          <w:sz w:val="21"/>
        </w:rPr>
        <w:t>to </w:t>
      </w:r>
      <w:r>
        <w:rPr>
          <w:spacing w:val="-4"/>
          <w:w w:val="105"/>
          <w:sz w:val="21"/>
        </w:rPr>
        <w:t>date, </w:t>
      </w:r>
      <w:r>
        <w:rPr>
          <w:w w:val="105"/>
          <w:sz w:val="21"/>
        </w:rPr>
        <w:t>based on the </w:t>
      </w:r>
      <w:r>
        <w:rPr>
          <w:spacing w:val="-3"/>
          <w:w w:val="105"/>
          <w:sz w:val="21"/>
        </w:rPr>
        <w:t>relevant </w:t>
      </w:r>
      <w:r>
        <w:rPr>
          <w:w w:val="105"/>
          <w:sz w:val="21"/>
        </w:rPr>
        <w:t>court</w:t>
      </w:r>
      <w:r>
        <w:rPr>
          <w:spacing w:val="10"/>
          <w:w w:val="105"/>
          <w:sz w:val="21"/>
        </w:rPr>
        <w:t> </w:t>
      </w:r>
      <w:r>
        <w:rPr>
          <w:w w:val="105"/>
          <w:sz w:val="21"/>
        </w:rPr>
        <w:t>scale</w:t>
      </w:r>
    </w:p>
    <w:p>
      <w:pPr>
        <w:pStyle w:val="ListParagraph"/>
        <w:numPr>
          <w:ilvl w:val="0"/>
          <w:numId w:val="2"/>
        </w:numPr>
        <w:tabs>
          <w:tab w:pos="3028" w:val="left" w:leader="none"/>
        </w:tabs>
        <w:spacing w:line="242" w:lineRule="auto" w:before="122" w:after="0"/>
        <w:ind w:left="3027" w:right="2383" w:hanging="306"/>
        <w:jc w:val="left"/>
        <w:rPr>
          <w:sz w:val="21"/>
        </w:rPr>
      </w:pPr>
      <w:r>
        <w:rPr>
          <w:spacing w:val="-3"/>
          <w:w w:val="105"/>
          <w:sz w:val="21"/>
        </w:rPr>
        <w:t>reference</w:t>
      </w:r>
      <w:r>
        <w:rPr>
          <w:spacing w:val="-8"/>
          <w:w w:val="105"/>
          <w:sz w:val="21"/>
        </w:rPr>
        <w:t> </w:t>
      </w:r>
      <w:r>
        <w:rPr>
          <w:spacing w:val="-3"/>
          <w:w w:val="105"/>
          <w:sz w:val="21"/>
        </w:rPr>
        <w:t>to</w:t>
      </w:r>
      <w:r>
        <w:rPr>
          <w:spacing w:val="-7"/>
          <w:w w:val="105"/>
          <w:sz w:val="21"/>
        </w:rPr>
        <w:t> </w:t>
      </w:r>
      <w:r>
        <w:rPr>
          <w:w w:val="105"/>
          <w:sz w:val="21"/>
        </w:rPr>
        <w:t>the</w:t>
      </w:r>
      <w:r>
        <w:rPr>
          <w:spacing w:val="-7"/>
          <w:w w:val="105"/>
          <w:sz w:val="21"/>
        </w:rPr>
        <w:t> </w:t>
      </w:r>
      <w:r>
        <w:rPr>
          <w:w w:val="105"/>
          <w:sz w:val="21"/>
        </w:rPr>
        <w:t>courts’</w:t>
      </w:r>
      <w:r>
        <w:rPr>
          <w:spacing w:val="-7"/>
          <w:w w:val="105"/>
          <w:sz w:val="21"/>
        </w:rPr>
        <w:t> </w:t>
      </w:r>
      <w:r>
        <w:rPr>
          <w:w w:val="105"/>
          <w:sz w:val="21"/>
        </w:rPr>
        <w:t>powers</w:t>
      </w:r>
      <w:r>
        <w:rPr>
          <w:spacing w:val="-7"/>
          <w:w w:val="105"/>
          <w:sz w:val="21"/>
        </w:rPr>
        <w:t> </w:t>
      </w:r>
      <w:r>
        <w:rPr>
          <w:spacing w:val="-3"/>
          <w:w w:val="105"/>
          <w:sz w:val="21"/>
        </w:rPr>
        <w:t>to</w:t>
      </w:r>
      <w:r>
        <w:rPr>
          <w:spacing w:val="-7"/>
          <w:w w:val="105"/>
          <w:sz w:val="21"/>
        </w:rPr>
        <w:t> </w:t>
      </w:r>
      <w:r>
        <w:rPr>
          <w:w w:val="105"/>
          <w:sz w:val="21"/>
        </w:rPr>
        <w:t>order</w:t>
      </w:r>
      <w:r>
        <w:rPr>
          <w:spacing w:val="-7"/>
          <w:w w:val="105"/>
          <w:sz w:val="21"/>
        </w:rPr>
        <w:t> </w:t>
      </w:r>
      <w:r>
        <w:rPr>
          <w:w w:val="105"/>
          <w:sz w:val="21"/>
        </w:rPr>
        <w:t>affidavits</w:t>
      </w:r>
      <w:r>
        <w:rPr>
          <w:spacing w:val="-7"/>
          <w:w w:val="105"/>
          <w:sz w:val="21"/>
        </w:rPr>
        <w:t> </w:t>
      </w:r>
      <w:r>
        <w:rPr>
          <w:w w:val="105"/>
          <w:sz w:val="21"/>
        </w:rPr>
        <w:t>as</w:t>
      </w:r>
      <w:r>
        <w:rPr>
          <w:spacing w:val="-7"/>
          <w:w w:val="105"/>
          <w:sz w:val="21"/>
        </w:rPr>
        <w:t> </w:t>
      </w:r>
      <w:r>
        <w:rPr>
          <w:spacing w:val="-3"/>
          <w:w w:val="105"/>
          <w:sz w:val="21"/>
        </w:rPr>
        <w:t>to</w:t>
      </w:r>
      <w:r>
        <w:rPr>
          <w:spacing w:val="-7"/>
          <w:w w:val="105"/>
          <w:sz w:val="21"/>
        </w:rPr>
        <w:t> </w:t>
      </w:r>
      <w:r>
        <w:rPr>
          <w:w w:val="105"/>
          <w:sz w:val="21"/>
        </w:rPr>
        <w:t>costs</w:t>
      </w:r>
      <w:r>
        <w:rPr>
          <w:spacing w:val="-7"/>
          <w:w w:val="105"/>
          <w:sz w:val="21"/>
        </w:rPr>
        <w:t> </w:t>
      </w:r>
      <w:r>
        <w:rPr>
          <w:w w:val="105"/>
          <w:sz w:val="21"/>
        </w:rPr>
        <w:t>at</w:t>
      </w:r>
      <w:r>
        <w:rPr>
          <w:spacing w:val="-7"/>
          <w:w w:val="105"/>
          <w:sz w:val="21"/>
        </w:rPr>
        <w:t> </w:t>
      </w:r>
      <w:r>
        <w:rPr>
          <w:spacing w:val="-3"/>
          <w:w w:val="105"/>
          <w:sz w:val="21"/>
        </w:rPr>
        <w:t>any</w:t>
      </w:r>
      <w:r>
        <w:rPr>
          <w:spacing w:val="-7"/>
          <w:w w:val="105"/>
          <w:sz w:val="21"/>
        </w:rPr>
        <w:t> </w:t>
      </w:r>
      <w:r>
        <w:rPr>
          <w:w w:val="105"/>
          <w:sz w:val="21"/>
        </w:rPr>
        <w:t>stage of a </w:t>
      </w:r>
      <w:r>
        <w:rPr>
          <w:spacing w:val="-3"/>
          <w:w w:val="105"/>
          <w:sz w:val="21"/>
        </w:rPr>
        <w:t>family provision</w:t>
      </w:r>
      <w:r>
        <w:rPr>
          <w:spacing w:val="24"/>
          <w:w w:val="105"/>
          <w:sz w:val="21"/>
        </w:rPr>
        <w:t> </w:t>
      </w:r>
      <w:r>
        <w:rPr>
          <w:spacing w:val="-3"/>
          <w:w w:val="105"/>
          <w:sz w:val="21"/>
        </w:rPr>
        <w:t>proceeding</w:t>
      </w:r>
    </w:p>
    <w:p>
      <w:pPr>
        <w:pStyle w:val="ListParagraph"/>
        <w:numPr>
          <w:ilvl w:val="0"/>
          <w:numId w:val="2"/>
        </w:numPr>
        <w:tabs>
          <w:tab w:pos="3028" w:val="left" w:leader="none"/>
        </w:tabs>
        <w:spacing w:line="242" w:lineRule="auto" w:before="122" w:after="0"/>
        <w:ind w:left="3027" w:right="1965" w:hanging="306"/>
        <w:jc w:val="left"/>
        <w:rPr>
          <w:sz w:val="21"/>
        </w:rPr>
      </w:pPr>
      <w:r>
        <w:rPr>
          <w:spacing w:val="-3"/>
          <w:w w:val="105"/>
          <w:sz w:val="21"/>
        </w:rPr>
        <w:t>reference</w:t>
      </w:r>
      <w:r>
        <w:rPr>
          <w:spacing w:val="-7"/>
          <w:w w:val="105"/>
          <w:sz w:val="21"/>
        </w:rPr>
        <w:t> </w:t>
      </w:r>
      <w:r>
        <w:rPr>
          <w:spacing w:val="-3"/>
          <w:w w:val="105"/>
          <w:sz w:val="21"/>
        </w:rPr>
        <w:t>to</w:t>
      </w:r>
      <w:r>
        <w:rPr>
          <w:spacing w:val="-7"/>
          <w:w w:val="105"/>
          <w:sz w:val="21"/>
        </w:rPr>
        <w:t> </w:t>
      </w:r>
      <w:r>
        <w:rPr>
          <w:w w:val="105"/>
          <w:sz w:val="21"/>
        </w:rPr>
        <w:t>the</w:t>
      </w:r>
      <w:r>
        <w:rPr>
          <w:spacing w:val="-6"/>
          <w:w w:val="105"/>
          <w:sz w:val="21"/>
        </w:rPr>
        <w:t> </w:t>
      </w:r>
      <w:r>
        <w:rPr>
          <w:w w:val="105"/>
          <w:sz w:val="21"/>
        </w:rPr>
        <w:t>courts’</w:t>
      </w:r>
      <w:r>
        <w:rPr>
          <w:spacing w:val="-7"/>
          <w:w w:val="105"/>
          <w:sz w:val="21"/>
        </w:rPr>
        <w:t> </w:t>
      </w:r>
      <w:r>
        <w:rPr>
          <w:w w:val="105"/>
          <w:sz w:val="21"/>
        </w:rPr>
        <w:t>powers</w:t>
      </w:r>
      <w:r>
        <w:rPr>
          <w:spacing w:val="-7"/>
          <w:w w:val="105"/>
          <w:sz w:val="21"/>
        </w:rPr>
        <w:t> </w:t>
      </w:r>
      <w:r>
        <w:rPr>
          <w:spacing w:val="-3"/>
          <w:w w:val="105"/>
          <w:sz w:val="21"/>
        </w:rPr>
        <w:t>to</w:t>
      </w:r>
      <w:r>
        <w:rPr>
          <w:spacing w:val="-6"/>
          <w:w w:val="105"/>
          <w:sz w:val="21"/>
        </w:rPr>
        <w:t> </w:t>
      </w:r>
      <w:r>
        <w:rPr>
          <w:w w:val="105"/>
          <w:sz w:val="21"/>
        </w:rPr>
        <w:t>cap</w:t>
      </w:r>
      <w:r>
        <w:rPr>
          <w:spacing w:val="-7"/>
          <w:w w:val="105"/>
          <w:sz w:val="21"/>
        </w:rPr>
        <w:t> </w:t>
      </w:r>
      <w:r>
        <w:rPr>
          <w:w w:val="105"/>
          <w:sz w:val="21"/>
        </w:rPr>
        <w:t>costs</w:t>
      </w:r>
      <w:r>
        <w:rPr>
          <w:spacing w:val="-7"/>
          <w:w w:val="105"/>
          <w:sz w:val="21"/>
        </w:rPr>
        <w:t> </w:t>
      </w:r>
      <w:r>
        <w:rPr>
          <w:w w:val="105"/>
          <w:sz w:val="21"/>
        </w:rPr>
        <w:t>and</w:t>
      </w:r>
      <w:r>
        <w:rPr>
          <w:spacing w:val="-6"/>
          <w:w w:val="105"/>
          <w:sz w:val="21"/>
        </w:rPr>
        <w:t> </w:t>
      </w:r>
      <w:r>
        <w:rPr>
          <w:spacing w:val="-4"/>
          <w:w w:val="105"/>
          <w:sz w:val="21"/>
        </w:rPr>
        <w:t>make</w:t>
      </w:r>
      <w:r>
        <w:rPr>
          <w:spacing w:val="-7"/>
          <w:w w:val="105"/>
          <w:sz w:val="21"/>
        </w:rPr>
        <w:t> </w:t>
      </w:r>
      <w:r>
        <w:rPr>
          <w:w w:val="105"/>
          <w:sz w:val="21"/>
        </w:rPr>
        <w:t>other</w:t>
      </w:r>
      <w:r>
        <w:rPr>
          <w:spacing w:val="-7"/>
          <w:w w:val="105"/>
          <w:sz w:val="21"/>
        </w:rPr>
        <w:t> </w:t>
      </w:r>
      <w:r>
        <w:rPr>
          <w:w w:val="105"/>
          <w:sz w:val="21"/>
        </w:rPr>
        <w:t>orders</w:t>
      </w:r>
      <w:r>
        <w:rPr>
          <w:spacing w:val="-6"/>
          <w:w w:val="105"/>
          <w:sz w:val="21"/>
        </w:rPr>
        <w:t> </w:t>
      </w:r>
      <w:r>
        <w:rPr>
          <w:w w:val="105"/>
          <w:sz w:val="21"/>
        </w:rPr>
        <w:t>as</w:t>
      </w:r>
      <w:r>
        <w:rPr>
          <w:spacing w:val="-7"/>
          <w:w w:val="105"/>
          <w:sz w:val="21"/>
        </w:rPr>
        <w:t> </w:t>
      </w:r>
      <w:r>
        <w:rPr>
          <w:spacing w:val="-3"/>
          <w:w w:val="105"/>
          <w:sz w:val="21"/>
        </w:rPr>
        <w:t>to</w:t>
      </w:r>
      <w:r>
        <w:rPr>
          <w:spacing w:val="-7"/>
          <w:w w:val="105"/>
          <w:sz w:val="21"/>
        </w:rPr>
        <w:t> </w:t>
      </w:r>
      <w:r>
        <w:rPr>
          <w:w w:val="105"/>
          <w:sz w:val="21"/>
        </w:rPr>
        <w:t>costs in </w:t>
      </w:r>
      <w:r>
        <w:rPr>
          <w:spacing w:val="-3"/>
          <w:w w:val="105"/>
          <w:sz w:val="21"/>
        </w:rPr>
        <w:t>family provision</w:t>
      </w:r>
      <w:r>
        <w:rPr>
          <w:spacing w:val="18"/>
          <w:w w:val="105"/>
          <w:sz w:val="21"/>
        </w:rPr>
        <w:t> </w:t>
      </w:r>
      <w:r>
        <w:rPr>
          <w:spacing w:val="-3"/>
          <w:w w:val="105"/>
          <w:sz w:val="21"/>
        </w:rPr>
        <w:t>proceedings.</w:t>
      </w:r>
    </w:p>
    <w:p>
      <w:pPr>
        <w:pStyle w:val="ListParagraph"/>
        <w:numPr>
          <w:ilvl w:val="0"/>
          <w:numId w:val="15"/>
        </w:numPr>
        <w:tabs>
          <w:tab w:pos="1928" w:val="left" w:leader="none"/>
        </w:tabs>
        <w:spacing w:line="240" w:lineRule="auto" w:before="122" w:after="0"/>
        <w:ind w:left="1927" w:right="0" w:hanging="340"/>
        <w:jc w:val="left"/>
        <w:rPr>
          <w:i/>
          <w:sz w:val="21"/>
        </w:rPr>
      </w:pPr>
      <w:r>
        <w:rPr>
          <w:w w:val="105"/>
          <w:sz w:val="21"/>
        </w:rPr>
        <w:t>The</w:t>
      </w:r>
      <w:r>
        <w:rPr>
          <w:spacing w:val="4"/>
          <w:w w:val="105"/>
          <w:sz w:val="21"/>
        </w:rPr>
        <w:t> </w:t>
      </w:r>
      <w:r>
        <w:rPr>
          <w:spacing w:val="-3"/>
          <w:w w:val="105"/>
          <w:sz w:val="21"/>
        </w:rPr>
        <w:t>County</w:t>
      </w:r>
      <w:r>
        <w:rPr>
          <w:spacing w:val="5"/>
          <w:w w:val="105"/>
          <w:sz w:val="21"/>
        </w:rPr>
        <w:t> </w:t>
      </w:r>
      <w:r>
        <w:rPr>
          <w:spacing w:val="-3"/>
          <w:w w:val="105"/>
          <w:sz w:val="21"/>
        </w:rPr>
        <w:t>Court</w:t>
      </w:r>
      <w:r>
        <w:rPr>
          <w:spacing w:val="5"/>
          <w:w w:val="105"/>
          <w:sz w:val="21"/>
        </w:rPr>
        <w:t> </w:t>
      </w:r>
      <w:r>
        <w:rPr>
          <w:w w:val="105"/>
          <w:sz w:val="21"/>
        </w:rPr>
        <w:t>should</w:t>
      </w:r>
      <w:r>
        <w:rPr>
          <w:spacing w:val="5"/>
          <w:w w:val="105"/>
          <w:sz w:val="21"/>
        </w:rPr>
        <w:t> </w:t>
      </w:r>
      <w:r>
        <w:rPr>
          <w:spacing w:val="-3"/>
          <w:w w:val="105"/>
          <w:sz w:val="21"/>
        </w:rPr>
        <w:t>consider</w:t>
      </w:r>
      <w:r>
        <w:rPr>
          <w:spacing w:val="5"/>
          <w:w w:val="105"/>
          <w:sz w:val="21"/>
        </w:rPr>
        <w:t> </w:t>
      </w:r>
      <w:r>
        <w:rPr>
          <w:spacing w:val="-3"/>
          <w:w w:val="105"/>
          <w:sz w:val="21"/>
        </w:rPr>
        <w:t>including</w:t>
      </w:r>
      <w:r>
        <w:rPr>
          <w:spacing w:val="5"/>
          <w:w w:val="105"/>
          <w:sz w:val="21"/>
        </w:rPr>
        <w:t> </w:t>
      </w:r>
      <w:r>
        <w:rPr>
          <w:w w:val="105"/>
          <w:sz w:val="21"/>
        </w:rPr>
        <w:t>in</w:t>
      </w:r>
      <w:r>
        <w:rPr>
          <w:spacing w:val="5"/>
          <w:w w:val="105"/>
          <w:sz w:val="21"/>
        </w:rPr>
        <w:t> </w:t>
      </w:r>
      <w:r>
        <w:rPr>
          <w:w w:val="105"/>
          <w:sz w:val="21"/>
        </w:rPr>
        <w:t>its</w:t>
      </w:r>
      <w:r>
        <w:rPr>
          <w:spacing w:val="5"/>
          <w:w w:val="105"/>
          <w:sz w:val="21"/>
        </w:rPr>
        <w:t> </w:t>
      </w:r>
      <w:r>
        <w:rPr>
          <w:i/>
          <w:spacing w:val="-3"/>
          <w:w w:val="105"/>
          <w:sz w:val="21"/>
        </w:rPr>
        <w:t>County</w:t>
      </w:r>
      <w:r>
        <w:rPr>
          <w:i/>
          <w:spacing w:val="5"/>
          <w:w w:val="105"/>
          <w:sz w:val="21"/>
        </w:rPr>
        <w:t> </w:t>
      </w:r>
      <w:r>
        <w:rPr>
          <w:i/>
          <w:w w:val="105"/>
          <w:sz w:val="21"/>
        </w:rPr>
        <w:t>Court</w:t>
      </w:r>
      <w:r>
        <w:rPr>
          <w:i/>
          <w:spacing w:val="5"/>
          <w:w w:val="105"/>
          <w:sz w:val="21"/>
        </w:rPr>
        <w:t> </w:t>
      </w:r>
      <w:r>
        <w:rPr>
          <w:i/>
          <w:w w:val="105"/>
          <w:sz w:val="21"/>
        </w:rPr>
        <w:t>Civil</w:t>
      </w:r>
      <w:r>
        <w:rPr>
          <w:i/>
          <w:spacing w:val="5"/>
          <w:w w:val="105"/>
          <w:sz w:val="21"/>
        </w:rPr>
        <w:t> </w:t>
      </w:r>
      <w:r>
        <w:rPr>
          <w:i/>
          <w:w w:val="105"/>
          <w:sz w:val="21"/>
        </w:rPr>
        <w:t>Procedure</w:t>
      </w:r>
      <w:r>
        <w:rPr>
          <w:i/>
          <w:spacing w:val="5"/>
          <w:w w:val="105"/>
          <w:sz w:val="21"/>
        </w:rPr>
        <w:t> </w:t>
      </w:r>
      <w:r>
        <w:rPr>
          <w:i/>
          <w:w w:val="105"/>
          <w:sz w:val="21"/>
        </w:rPr>
        <w:t>Rules</w:t>
      </w:r>
      <w:r>
        <w:rPr>
          <w:i/>
          <w:spacing w:val="5"/>
          <w:w w:val="105"/>
          <w:sz w:val="21"/>
        </w:rPr>
        <w:t> </w:t>
      </w:r>
      <w:r>
        <w:rPr>
          <w:i/>
          <w:w w:val="105"/>
          <w:sz w:val="21"/>
        </w:rPr>
        <w:t>2008</w:t>
      </w:r>
    </w:p>
    <w:p>
      <w:pPr>
        <w:pStyle w:val="BodyText"/>
        <w:spacing w:before="4"/>
        <w:ind w:left="1927"/>
      </w:pPr>
      <w:r>
        <w:rPr/>
        <w:t>(Vic) a rule permitting it to determine a family provision application summarily when:</w:t>
      </w:r>
    </w:p>
    <w:p>
      <w:pPr>
        <w:pStyle w:val="ListParagraph"/>
        <w:numPr>
          <w:ilvl w:val="1"/>
          <w:numId w:val="15"/>
        </w:numPr>
        <w:tabs>
          <w:tab w:pos="3028" w:val="left" w:leader="none"/>
        </w:tabs>
        <w:spacing w:line="242" w:lineRule="auto" w:before="124" w:after="0"/>
        <w:ind w:left="3027" w:right="1738" w:hanging="306"/>
        <w:jc w:val="left"/>
        <w:rPr>
          <w:sz w:val="21"/>
        </w:rPr>
      </w:pPr>
      <w:r>
        <w:rPr>
          <w:sz w:val="21"/>
        </w:rPr>
        <w:t>there </w:t>
      </w:r>
      <w:r>
        <w:rPr>
          <w:spacing w:val="-3"/>
          <w:sz w:val="21"/>
        </w:rPr>
        <w:t>are reasonable grounds </w:t>
      </w:r>
      <w:r>
        <w:rPr>
          <w:sz w:val="21"/>
        </w:rPr>
        <w:t>on which </w:t>
      </w:r>
      <w:r>
        <w:rPr>
          <w:spacing w:val="-3"/>
          <w:sz w:val="21"/>
        </w:rPr>
        <w:t>to conclude that </w:t>
      </w:r>
      <w:r>
        <w:rPr>
          <w:sz w:val="21"/>
        </w:rPr>
        <w:t>the net estate of the deceased person </w:t>
      </w:r>
      <w:r>
        <w:rPr>
          <w:spacing w:val="-3"/>
          <w:sz w:val="21"/>
        </w:rPr>
        <w:t>that will </w:t>
      </w:r>
      <w:r>
        <w:rPr>
          <w:sz w:val="21"/>
        </w:rPr>
        <w:t>be </w:t>
      </w:r>
      <w:r>
        <w:rPr>
          <w:spacing w:val="-3"/>
          <w:sz w:val="21"/>
        </w:rPr>
        <w:t>available for </w:t>
      </w:r>
      <w:r>
        <w:rPr>
          <w:spacing w:val="-2"/>
          <w:sz w:val="21"/>
        </w:rPr>
        <w:t>distribution </w:t>
      </w:r>
      <w:r>
        <w:rPr>
          <w:spacing w:val="-3"/>
          <w:sz w:val="21"/>
        </w:rPr>
        <w:t>will </w:t>
      </w:r>
      <w:r>
        <w:rPr>
          <w:sz w:val="21"/>
        </w:rPr>
        <w:t>be less </w:t>
      </w:r>
      <w:r>
        <w:rPr>
          <w:spacing w:val="-3"/>
          <w:sz w:val="21"/>
        </w:rPr>
        <w:t>than  </w:t>
      </w:r>
      <w:r>
        <w:rPr>
          <w:sz w:val="21"/>
        </w:rPr>
        <w:t>$500,000, and</w:t>
      </w:r>
    </w:p>
    <w:p>
      <w:pPr>
        <w:pStyle w:val="ListParagraph"/>
        <w:numPr>
          <w:ilvl w:val="1"/>
          <w:numId w:val="15"/>
        </w:numPr>
        <w:tabs>
          <w:tab w:pos="3028" w:val="left" w:leader="none"/>
        </w:tabs>
        <w:spacing w:line="240" w:lineRule="auto" w:before="123" w:after="0"/>
        <w:ind w:left="3027" w:right="0" w:hanging="306"/>
        <w:jc w:val="left"/>
        <w:rPr>
          <w:sz w:val="21"/>
        </w:rPr>
      </w:pPr>
      <w:r>
        <w:rPr>
          <w:sz w:val="21"/>
        </w:rPr>
        <w:t>it</w:t>
      </w:r>
      <w:r>
        <w:rPr>
          <w:spacing w:val="8"/>
          <w:sz w:val="21"/>
        </w:rPr>
        <w:t> </w:t>
      </w:r>
      <w:r>
        <w:rPr>
          <w:sz w:val="21"/>
        </w:rPr>
        <w:t>is</w:t>
      </w:r>
      <w:r>
        <w:rPr>
          <w:spacing w:val="8"/>
          <w:sz w:val="21"/>
        </w:rPr>
        <w:t> </w:t>
      </w:r>
      <w:r>
        <w:rPr>
          <w:sz w:val="21"/>
        </w:rPr>
        <w:t>in</w:t>
      </w:r>
      <w:r>
        <w:rPr>
          <w:spacing w:val="8"/>
          <w:sz w:val="21"/>
        </w:rPr>
        <w:t> </w:t>
      </w:r>
      <w:r>
        <w:rPr>
          <w:sz w:val="21"/>
        </w:rPr>
        <w:t>the</w:t>
      </w:r>
      <w:r>
        <w:rPr>
          <w:spacing w:val="8"/>
          <w:sz w:val="21"/>
        </w:rPr>
        <w:t> </w:t>
      </w:r>
      <w:r>
        <w:rPr>
          <w:sz w:val="21"/>
        </w:rPr>
        <w:t>interests</w:t>
      </w:r>
      <w:r>
        <w:rPr>
          <w:spacing w:val="8"/>
          <w:sz w:val="21"/>
        </w:rPr>
        <w:t> </w:t>
      </w:r>
      <w:r>
        <w:rPr>
          <w:sz w:val="21"/>
        </w:rPr>
        <w:t>of</w:t>
      </w:r>
      <w:r>
        <w:rPr>
          <w:spacing w:val="9"/>
          <w:sz w:val="21"/>
        </w:rPr>
        <w:t> </w:t>
      </w:r>
      <w:r>
        <w:rPr>
          <w:spacing w:val="-3"/>
          <w:sz w:val="21"/>
        </w:rPr>
        <w:t>justice</w:t>
      </w:r>
      <w:r>
        <w:rPr>
          <w:spacing w:val="8"/>
          <w:sz w:val="21"/>
        </w:rPr>
        <w:t> </w:t>
      </w:r>
      <w:r>
        <w:rPr>
          <w:spacing w:val="-3"/>
          <w:sz w:val="21"/>
        </w:rPr>
        <w:t>to</w:t>
      </w:r>
      <w:r>
        <w:rPr>
          <w:spacing w:val="8"/>
          <w:sz w:val="21"/>
        </w:rPr>
        <w:t> </w:t>
      </w:r>
      <w:r>
        <w:rPr>
          <w:sz w:val="21"/>
        </w:rPr>
        <w:t>do</w:t>
      </w:r>
      <w:r>
        <w:rPr>
          <w:spacing w:val="8"/>
          <w:sz w:val="21"/>
        </w:rPr>
        <w:t> </w:t>
      </w:r>
      <w:r>
        <w:rPr>
          <w:sz w:val="21"/>
        </w:rPr>
        <w:t>so.</w:t>
      </w:r>
    </w:p>
    <w:p>
      <w:pPr>
        <w:pStyle w:val="ListParagraph"/>
        <w:numPr>
          <w:ilvl w:val="0"/>
          <w:numId w:val="15"/>
        </w:numPr>
        <w:tabs>
          <w:tab w:pos="1928" w:val="left" w:leader="none"/>
        </w:tabs>
        <w:spacing w:line="242" w:lineRule="auto" w:before="124" w:after="0"/>
        <w:ind w:left="1927" w:right="1842" w:hanging="340"/>
        <w:jc w:val="left"/>
        <w:rPr>
          <w:sz w:val="21"/>
        </w:rPr>
      </w:pPr>
      <w:r>
        <w:rPr>
          <w:sz w:val="21"/>
        </w:rPr>
        <w:t>The </w:t>
      </w:r>
      <w:r>
        <w:rPr>
          <w:spacing w:val="-3"/>
          <w:sz w:val="21"/>
        </w:rPr>
        <w:t>County Court </w:t>
      </w:r>
      <w:r>
        <w:rPr>
          <w:sz w:val="21"/>
        </w:rPr>
        <w:t>should </w:t>
      </w:r>
      <w:r>
        <w:rPr>
          <w:spacing w:val="-3"/>
          <w:sz w:val="21"/>
        </w:rPr>
        <w:t>consider </w:t>
      </w:r>
      <w:r>
        <w:rPr>
          <w:sz w:val="21"/>
        </w:rPr>
        <w:t>whether its </w:t>
      </w:r>
      <w:r>
        <w:rPr>
          <w:i/>
          <w:spacing w:val="-3"/>
          <w:sz w:val="21"/>
        </w:rPr>
        <w:t>County </w:t>
      </w:r>
      <w:r>
        <w:rPr>
          <w:i/>
          <w:sz w:val="21"/>
        </w:rPr>
        <w:t>Court Civil Procedure Rules 2008 </w:t>
      </w:r>
      <w:r>
        <w:rPr>
          <w:sz w:val="21"/>
        </w:rPr>
        <w:t>(Vic) should provide </w:t>
      </w:r>
      <w:r>
        <w:rPr>
          <w:spacing w:val="-3"/>
          <w:sz w:val="21"/>
        </w:rPr>
        <w:t>that </w:t>
      </w:r>
      <w:r>
        <w:rPr>
          <w:sz w:val="21"/>
        </w:rPr>
        <w:t>summary </w:t>
      </w:r>
      <w:r>
        <w:rPr>
          <w:spacing w:val="-3"/>
          <w:sz w:val="21"/>
        </w:rPr>
        <w:t>determination </w:t>
      </w:r>
      <w:r>
        <w:rPr>
          <w:sz w:val="21"/>
        </w:rPr>
        <w:t>of a </w:t>
      </w:r>
      <w:r>
        <w:rPr>
          <w:spacing w:val="-3"/>
          <w:sz w:val="21"/>
        </w:rPr>
        <w:t>family provision</w:t>
      </w:r>
      <w:r>
        <w:rPr>
          <w:spacing w:val="-18"/>
          <w:sz w:val="21"/>
        </w:rPr>
        <w:t> </w:t>
      </w:r>
      <w:r>
        <w:rPr>
          <w:sz w:val="21"/>
        </w:rPr>
        <w:t>application:</w:t>
      </w:r>
    </w:p>
    <w:p>
      <w:pPr>
        <w:pStyle w:val="ListParagraph"/>
        <w:numPr>
          <w:ilvl w:val="1"/>
          <w:numId w:val="15"/>
        </w:numPr>
        <w:tabs>
          <w:tab w:pos="3028" w:val="left" w:leader="none"/>
        </w:tabs>
        <w:spacing w:line="240" w:lineRule="auto" w:before="122" w:after="0"/>
        <w:ind w:left="3027" w:right="0" w:hanging="306"/>
        <w:jc w:val="left"/>
        <w:rPr>
          <w:sz w:val="21"/>
        </w:rPr>
      </w:pPr>
      <w:r>
        <w:rPr>
          <w:w w:val="105"/>
          <w:sz w:val="21"/>
        </w:rPr>
        <w:t>is </w:t>
      </w:r>
      <w:r>
        <w:rPr>
          <w:spacing w:val="-3"/>
          <w:w w:val="105"/>
          <w:sz w:val="21"/>
        </w:rPr>
        <w:t>to </w:t>
      </w:r>
      <w:r>
        <w:rPr>
          <w:w w:val="105"/>
          <w:sz w:val="21"/>
        </w:rPr>
        <w:t>proceed in </w:t>
      </w:r>
      <w:r>
        <w:rPr>
          <w:spacing w:val="-3"/>
          <w:w w:val="105"/>
          <w:sz w:val="21"/>
        </w:rPr>
        <w:t>accordance </w:t>
      </w:r>
      <w:r>
        <w:rPr>
          <w:w w:val="105"/>
          <w:sz w:val="21"/>
        </w:rPr>
        <w:t>with </w:t>
      </w:r>
      <w:r>
        <w:rPr>
          <w:spacing w:val="-3"/>
          <w:w w:val="105"/>
          <w:sz w:val="21"/>
        </w:rPr>
        <w:t>such </w:t>
      </w:r>
      <w:r>
        <w:rPr>
          <w:w w:val="105"/>
          <w:sz w:val="21"/>
        </w:rPr>
        <w:t>directions as </w:t>
      </w:r>
      <w:r>
        <w:rPr>
          <w:spacing w:val="-3"/>
          <w:w w:val="105"/>
          <w:sz w:val="21"/>
        </w:rPr>
        <w:t>are </w:t>
      </w:r>
      <w:r>
        <w:rPr>
          <w:w w:val="105"/>
          <w:sz w:val="21"/>
        </w:rPr>
        <w:t>given by the</w:t>
      </w:r>
      <w:r>
        <w:rPr>
          <w:spacing w:val="3"/>
          <w:w w:val="105"/>
          <w:sz w:val="21"/>
        </w:rPr>
        <w:t> </w:t>
      </w:r>
      <w:r>
        <w:rPr>
          <w:spacing w:val="-3"/>
          <w:w w:val="105"/>
          <w:sz w:val="21"/>
        </w:rPr>
        <w:t>Court</w:t>
      </w:r>
    </w:p>
    <w:p>
      <w:pPr>
        <w:pStyle w:val="ListParagraph"/>
        <w:numPr>
          <w:ilvl w:val="1"/>
          <w:numId w:val="15"/>
        </w:numPr>
        <w:tabs>
          <w:tab w:pos="3028" w:val="left" w:leader="none"/>
        </w:tabs>
        <w:spacing w:line="240" w:lineRule="auto" w:before="124" w:after="0"/>
        <w:ind w:left="3027" w:right="0" w:hanging="306"/>
        <w:jc w:val="left"/>
        <w:rPr>
          <w:sz w:val="21"/>
        </w:rPr>
      </w:pPr>
      <w:r>
        <w:rPr>
          <w:spacing w:val="-3"/>
          <w:w w:val="105"/>
          <w:sz w:val="21"/>
        </w:rPr>
        <w:t>may </w:t>
      </w:r>
      <w:r>
        <w:rPr>
          <w:w w:val="105"/>
          <w:sz w:val="21"/>
        </w:rPr>
        <w:t>be on the basis of evidence </w:t>
      </w:r>
      <w:r>
        <w:rPr>
          <w:spacing w:val="-3"/>
          <w:w w:val="105"/>
          <w:sz w:val="21"/>
        </w:rPr>
        <w:t>that </w:t>
      </w:r>
      <w:r>
        <w:rPr>
          <w:w w:val="105"/>
          <w:sz w:val="21"/>
        </w:rPr>
        <w:t>does </w:t>
      </w:r>
      <w:r>
        <w:rPr>
          <w:spacing w:val="-2"/>
          <w:w w:val="105"/>
          <w:sz w:val="21"/>
        </w:rPr>
        <w:t>not </w:t>
      </w:r>
      <w:r>
        <w:rPr>
          <w:spacing w:val="-3"/>
          <w:w w:val="105"/>
          <w:sz w:val="21"/>
        </w:rPr>
        <w:t>conform </w:t>
      </w:r>
      <w:r>
        <w:rPr>
          <w:w w:val="105"/>
          <w:sz w:val="21"/>
        </w:rPr>
        <w:t>with the rules of</w:t>
      </w:r>
      <w:r>
        <w:rPr>
          <w:spacing w:val="34"/>
          <w:w w:val="105"/>
          <w:sz w:val="21"/>
        </w:rPr>
        <w:t> </w:t>
      </w:r>
      <w:r>
        <w:rPr>
          <w:w w:val="105"/>
          <w:sz w:val="21"/>
        </w:rPr>
        <w:t>evidence</w:t>
      </w:r>
    </w:p>
    <w:p>
      <w:pPr>
        <w:pStyle w:val="ListParagraph"/>
        <w:numPr>
          <w:ilvl w:val="1"/>
          <w:numId w:val="15"/>
        </w:numPr>
        <w:tabs>
          <w:tab w:pos="3028" w:val="left" w:leader="none"/>
        </w:tabs>
        <w:spacing w:line="242" w:lineRule="auto" w:before="124" w:after="0"/>
        <w:ind w:left="3027" w:right="1971" w:hanging="306"/>
        <w:jc w:val="left"/>
        <w:rPr>
          <w:sz w:val="21"/>
        </w:rPr>
      </w:pPr>
      <w:r>
        <w:rPr>
          <w:sz w:val="21"/>
        </w:rPr>
        <w:t>is </w:t>
      </w:r>
      <w:r>
        <w:rPr>
          <w:spacing w:val="-3"/>
          <w:sz w:val="21"/>
        </w:rPr>
        <w:t>to have </w:t>
      </w:r>
      <w:r>
        <w:rPr>
          <w:sz w:val="21"/>
        </w:rPr>
        <w:t>as a primary object the </w:t>
      </w:r>
      <w:r>
        <w:rPr>
          <w:spacing w:val="-3"/>
          <w:sz w:val="21"/>
        </w:rPr>
        <w:t>minimisation </w:t>
      </w:r>
      <w:r>
        <w:rPr>
          <w:sz w:val="21"/>
        </w:rPr>
        <w:t>of costs and an expeditious but just resolution of the</w:t>
      </w:r>
      <w:r>
        <w:rPr>
          <w:spacing w:val="32"/>
          <w:sz w:val="21"/>
        </w:rPr>
        <w:t> </w:t>
      </w:r>
      <w:r>
        <w:rPr>
          <w:sz w:val="21"/>
        </w:rPr>
        <w:t>action.</w:t>
      </w:r>
    </w:p>
    <w:p>
      <w:pPr>
        <w:pStyle w:val="ListParagraph"/>
        <w:numPr>
          <w:ilvl w:val="0"/>
          <w:numId w:val="15"/>
        </w:numPr>
        <w:tabs>
          <w:tab w:pos="1929" w:val="left" w:leader="none"/>
        </w:tabs>
        <w:spacing w:line="242" w:lineRule="auto" w:before="122" w:after="0"/>
        <w:ind w:left="1928" w:right="2007" w:hanging="341"/>
        <w:jc w:val="left"/>
        <w:rPr>
          <w:sz w:val="21"/>
        </w:rPr>
      </w:pPr>
      <w:r>
        <w:rPr>
          <w:sz w:val="21"/>
        </w:rPr>
        <w:t>The </w:t>
      </w:r>
      <w:r>
        <w:rPr>
          <w:spacing w:val="-3"/>
          <w:sz w:val="21"/>
        </w:rPr>
        <w:t>County Court </w:t>
      </w:r>
      <w:r>
        <w:rPr>
          <w:sz w:val="21"/>
        </w:rPr>
        <w:t>should </w:t>
      </w:r>
      <w:r>
        <w:rPr>
          <w:spacing w:val="-3"/>
          <w:sz w:val="21"/>
        </w:rPr>
        <w:t>consider including </w:t>
      </w:r>
      <w:r>
        <w:rPr>
          <w:sz w:val="21"/>
        </w:rPr>
        <w:t>in its </w:t>
      </w:r>
      <w:r>
        <w:rPr>
          <w:i/>
          <w:spacing w:val="-3"/>
          <w:sz w:val="21"/>
        </w:rPr>
        <w:t>County  </w:t>
      </w:r>
      <w:r>
        <w:rPr>
          <w:i/>
          <w:sz w:val="21"/>
        </w:rPr>
        <w:t>Court Civil Procedure Rules 2008  </w:t>
      </w:r>
      <w:r>
        <w:rPr>
          <w:sz w:val="21"/>
        </w:rPr>
        <w:t>(Vic) a rule </w:t>
      </w:r>
      <w:r>
        <w:rPr>
          <w:spacing w:val="-3"/>
          <w:sz w:val="21"/>
        </w:rPr>
        <w:t>that </w:t>
      </w:r>
      <w:r>
        <w:rPr>
          <w:sz w:val="21"/>
        </w:rPr>
        <w:t>permits the </w:t>
      </w:r>
      <w:r>
        <w:rPr>
          <w:spacing w:val="-3"/>
          <w:sz w:val="21"/>
        </w:rPr>
        <w:t>Court to </w:t>
      </w:r>
      <w:r>
        <w:rPr>
          <w:sz w:val="21"/>
        </w:rPr>
        <w:t>order a party </w:t>
      </w:r>
      <w:r>
        <w:rPr>
          <w:spacing w:val="-3"/>
          <w:sz w:val="21"/>
        </w:rPr>
        <w:t>to </w:t>
      </w:r>
      <w:r>
        <w:rPr>
          <w:spacing w:val="-2"/>
          <w:sz w:val="21"/>
        </w:rPr>
        <w:t>pay </w:t>
      </w:r>
      <w:r>
        <w:rPr>
          <w:spacing w:val="-3"/>
          <w:sz w:val="21"/>
        </w:rPr>
        <w:t>any </w:t>
      </w:r>
      <w:r>
        <w:rPr>
          <w:sz w:val="21"/>
        </w:rPr>
        <w:t>costs </w:t>
      </w:r>
      <w:r>
        <w:rPr>
          <w:spacing w:val="-3"/>
          <w:sz w:val="21"/>
        </w:rPr>
        <w:t>that might have </w:t>
      </w:r>
      <w:r>
        <w:rPr>
          <w:sz w:val="21"/>
        </w:rPr>
        <w:t>been avoided</w:t>
      </w:r>
      <w:r>
        <w:rPr>
          <w:spacing w:val="12"/>
          <w:sz w:val="21"/>
        </w:rPr>
        <w:t> </w:t>
      </w:r>
      <w:r>
        <w:rPr>
          <w:sz w:val="21"/>
        </w:rPr>
        <w:t>if</w:t>
      </w:r>
      <w:r>
        <w:rPr>
          <w:spacing w:val="12"/>
          <w:sz w:val="21"/>
        </w:rPr>
        <w:t> </w:t>
      </w:r>
      <w:r>
        <w:rPr>
          <w:sz w:val="21"/>
        </w:rPr>
        <w:t>a</w:t>
      </w:r>
      <w:r>
        <w:rPr>
          <w:spacing w:val="12"/>
          <w:sz w:val="21"/>
        </w:rPr>
        <w:t> </w:t>
      </w:r>
      <w:r>
        <w:rPr>
          <w:spacing w:val="-3"/>
          <w:sz w:val="21"/>
        </w:rPr>
        <w:t>family</w:t>
      </w:r>
      <w:r>
        <w:rPr>
          <w:spacing w:val="12"/>
          <w:sz w:val="21"/>
        </w:rPr>
        <w:t> </w:t>
      </w:r>
      <w:r>
        <w:rPr>
          <w:spacing w:val="-3"/>
          <w:sz w:val="21"/>
        </w:rPr>
        <w:t>provision</w:t>
      </w:r>
      <w:r>
        <w:rPr>
          <w:spacing w:val="12"/>
          <w:sz w:val="21"/>
        </w:rPr>
        <w:t> </w:t>
      </w:r>
      <w:r>
        <w:rPr>
          <w:sz w:val="21"/>
        </w:rPr>
        <w:t>application</w:t>
      </w:r>
      <w:r>
        <w:rPr>
          <w:spacing w:val="12"/>
          <w:sz w:val="21"/>
        </w:rPr>
        <w:t> </w:t>
      </w:r>
      <w:r>
        <w:rPr>
          <w:spacing w:val="-2"/>
          <w:sz w:val="21"/>
        </w:rPr>
        <w:t>had</w:t>
      </w:r>
      <w:r>
        <w:rPr>
          <w:spacing w:val="12"/>
          <w:sz w:val="21"/>
        </w:rPr>
        <w:t> </w:t>
      </w:r>
      <w:r>
        <w:rPr>
          <w:sz w:val="21"/>
        </w:rPr>
        <w:t>been</w:t>
      </w:r>
      <w:r>
        <w:rPr>
          <w:spacing w:val="12"/>
          <w:sz w:val="21"/>
        </w:rPr>
        <w:t> </w:t>
      </w:r>
      <w:r>
        <w:rPr>
          <w:spacing w:val="-3"/>
          <w:sz w:val="21"/>
        </w:rPr>
        <w:t>determined</w:t>
      </w:r>
      <w:r>
        <w:rPr>
          <w:spacing w:val="12"/>
          <w:sz w:val="21"/>
        </w:rPr>
        <w:t> </w:t>
      </w:r>
      <w:r>
        <w:rPr>
          <w:spacing w:val="-3"/>
          <w:sz w:val="21"/>
        </w:rPr>
        <w:t>summarily</w:t>
      </w:r>
      <w:r>
        <w:rPr>
          <w:spacing w:val="12"/>
          <w:sz w:val="21"/>
        </w:rPr>
        <w:t> </w:t>
      </w:r>
      <w:r>
        <w:rPr>
          <w:sz w:val="21"/>
        </w:rPr>
        <w:t>if:</w:t>
      </w:r>
    </w:p>
    <w:p>
      <w:pPr>
        <w:pStyle w:val="ListParagraph"/>
        <w:numPr>
          <w:ilvl w:val="1"/>
          <w:numId w:val="15"/>
        </w:numPr>
        <w:tabs>
          <w:tab w:pos="3029" w:val="left" w:leader="none"/>
        </w:tabs>
        <w:spacing w:line="242" w:lineRule="auto" w:before="123" w:after="0"/>
        <w:ind w:left="3028" w:right="1585" w:hanging="307"/>
        <w:jc w:val="left"/>
        <w:rPr>
          <w:sz w:val="21"/>
        </w:rPr>
      </w:pPr>
      <w:r>
        <w:rPr>
          <w:w w:val="105"/>
          <w:sz w:val="21"/>
        </w:rPr>
        <w:t>because</w:t>
      </w:r>
      <w:r>
        <w:rPr>
          <w:spacing w:val="-11"/>
          <w:w w:val="105"/>
          <w:sz w:val="21"/>
        </w:rPr>
        <w:t> </w:t>
      </w:r>
      <w:r>
        <w:rPr>
          <w:w w:val="105"/>
          <w:sz w:val="21"/>
        </w:rPr>
        <w:t>of</w:t>
      </w:r>
      <w:r>
        <w:rPr>
          <w:spacing w:val="-11"/>
          <w:w w:val="105"/>
          <w:sz w:val="21"/>
        </w:rPr>
        <w:t> </w:t>
      </w:r>
      <w:r>
        <w:rPr>
          <w:w w:val="105"/>
          <w:sz w:val="21"/>
        </w:rPr>
        <w:t>the</w:t>
      </w:r>
      <w:r>
        <w:rPr>
          <w:spacing w:val="-10"/>
          <w:w w:val="105"/>
          <w:sz w:val="21"/>
        </w:rPr>
        <w:t> </w:t>
      </w:r>
      <w:r>
        <w:rPr>
          <w:w w:val="105"/>
          <w:sz w:val="21"/>
        </w:rPr>
        <w:t>party’s</w:t>
      </w:r>
      <w:r>
        <w:rPr>
          <w:spacing w:val="-11"/>
          <w:w w:val="105"/>
          <w:sz w:val="21"/>
        </w:rPr>
        <w:t> </w:t>
      </w:r>
      <w:r>
        <w:rPr>
          <w:w w:val="105"/>
          <w:sz w:val="21"/>
        </w:rPr>
        <w:t>actions,</w:t>
      </w:r>
      <w:r>
        <w:rPr>
          <w:spacing w:val="-10"/>
          <w:w w:val="105"/>
          <w:sz w:val="21"/>
        </w:rPr>
        <w:t> </w:t>
      </w:r>
      <w:r>
        <w:rPr>
          <w:w w:val="105"/>
          <w:sz w:val="21"/>
        </w:rPr>
        <w:t>the</w:t>
      </w:r>
      <w:r>
        <w:rPr>
          <w:spacing w:val="-11"/>
          <w:w w:val="105"/>
          <w:sz w:val="21"/>
        </w:rPr>
        <w:t> </w:t>
      </w:r>
      <w:r>
        <w:rPr>
          <w:spacing w:val="-3"/>
          <w:w w:val="105"/>
          <w:sz w:val="21"/>
        </w:rPr>
        <w:t>family</w:t>
      </w:r>
      <w:r>
        <w:rPr>
          <w:spacing w:val="-10"/>
          <w:w w:val="105"/>
          <w:sz w:val="21"/>
        </w:rPr>
        <w:t> </w:t>
      </w:r>
      <w:r>
        <w:rPr>
          <w:spacing w:val="-3"/>
          <w:w w:val="105"/>
          <w:sz w:val="21"/>
        </w:rPr>
        <w:t>provision</w:t>
      </w:r>
      <w:r>
        <w:rPr>
          <w:spacing w:val="-11"/>
          <w:w w:val="105"/>
          <w:sz w:val="21"/>
        </w:rPr>
        <w:t> </w:t>
      </w:r>
      <w:r>
        <w:rPr>
          <w:w w:val="105"/>
          <w:sz w:val="21"/>
        </w:rPr>
        <w:t>application</w:t>
      </w:r>
      <w:r>
        <w:rPr>
          <w:spacing w:val="-11"/>
          <w:w w:val="105"/>
          <w:sz w:val="21"/>
        </w:rPr>
        <w:t> </w:t>
      </w:r>
      <w:r>
        <w:rPr>
          <w:w w:val="105"/>
          <w:sz w:val="21"/>
        </w:rPr>
        <w:t>was</w:t>
      </w:r>
      <w:r>
        <w:rPr>
          <w:spacing w:val="-10"/>
          <w:w w:val="105"/>
          <w:sz w:val="21"/>
        </w:rPr>
        <w:t> </w:t>
      </w:r>
      <w:r>
        <w:rPr>
          <w:spacing w:val="-2"/>
          <w:w w:val="105"/>
          <w:sz w:val="21"/>
        </w:rPr>
        <w:t>not</w:t>
      </w:r>
      <w:r>
        <w:rPr>
          <w:spacing w:val="-11"/>
          <w:w w:val="105"/>
          <w:sz w:val="21"/>
        </w:rPr>
        <w:t> </w:t>
      </w:r>
      <w:r>
        <w:rPr>
          <w:spacing w:val="-3"/>
          <w:w w:val="105"/>
          <w:sz w:val="21"/>
        </w:rPr>
        <w:t>determined summarily </w:t>
      </w:r>
      <w:r>
        <w:rPr>
          <w:w w:val="105"/>
          <w:sz w:val="21"/>
        </w:rPr>
        <w:t>and proceeded </w:t>
      </w:r>
      <w:r>
        <w:rPr>
          <w:spacing w:val="-3"/>
          <w:w w:val="105"/>
          <w:sz w:val="21"/>
        </w:rPr>
        <w:t>to trial,</w:t>
      </w:r>
      <w:r>
        <w:rPr>
          <w:spacing w:val="28"/>
          <w:w w:val="105"/>
          <w:sz w:val="21"/>
        </w:rPr>
        <w:t> </w:t>
      </w:r>
      <w:r>
        <w:rPr>
          <w:w w:val="105"/>
          <w:sz w:val="21"/>
        </w:rPr>
        <w:t>and</w:t>
      </w:r>
    </w:p>
    <w:p>
      <w:pPr>
        <w:pStyle w:val="ListParagraph"/>
        <w:numPr>
          <w:ilvl w:val="1"/>
          <w:numId w:val="15"/>
        </w:numPr>
        <w:tabs>
          <w:tab w:pos="3029" w:val="left" w:leader="none"/>
        </w:tabs>
        <w:spacing w:line="242" w:lineRule="auto" w:before="123" w:after="0"/>
        <w:ind w:left="3028" w:right="2125" w:hanging="307"/>
        <w:jc w:val="left"/>
        <w:rPr>
          <w:sz w:val="21"/>
        </w:rPr>
      </w:pPr>
      <w:r>
        <w:rPr>
          <w:sz w:val="21"/>
        </w:rPr>
        <w:t>at trial the </w:t>
      </w:r>
      <w:r>
        <w:rPr>
          <w:spacing w:val="-3"/>
          <w:sz w:val="21"/>
        </w:rPr>
        <w:t>Court </w:t>
      </w:r>
      <w:r>
        <w:rPr>
          <w:sz w:val="21"/>
        </w:rPr>
        <w:t>finds </w:t>
      </w:r>
      <w:r>
        <w:rPr>
          <w:spacing w:val="-3"/>
          <w:sz w:val="21"/>
        </w:rPr>
        <w:t>that </w:t>
      </w:r>
      <w:r>
        <w:rPr>
          <w:sz w:val="21"/>
        </w:rPr>
        <w:t>the </w:t>
      </w:r>
      <w:r>
        <w:rPr>
          <w:spacing w:val="-3"/>
          <w:sz w:val="21"/>
        </w:rPr>
        <w:t>family provision </w:t>
      </w:r>
      <w:r>
        <w:rPr>
          <w:sz w:val="21"/>
        </w:rPr>
        <w:t>application should </w:t>
      </w:r>
      <w:r>
        <w:rPr>
          <w:spacing w:val="-3"/>
          <w:sz w:val="21"/>
        </w:rPr>
        <w:t>have </w:t>
      </w:r>
      <w:r>
        <w:rPr>
          <w:sz w:val="21"/>
        </w:rPr>
        <w:t>been </w:t>
      </w:r>
      <w:r>
        <w:rPr>
          <w:spacing w:val="-3"/>
          <w:sz w:val="21"/>
        </w:rPr>
        <w:t>determined</w:t>
      </w:r>
      <w:r>
        <w:rPr>
          <w:spacing w:val="8"/>
          <w:sz w:val="21"/>
        </w:rPr>
        <w:t> </w:t>
      </w:r>
      <w:r>
        <w:rPr>
          <w:spacing w:val="-4"/>
          <w:sz w:val="21"/>
        </w:rPr>
        <w:t>summarily.</w:t>
      </w:r>
    </w:p>
    <w:p>
      <w:pPr>
        <w:pStyle w:val="BodyText"/>
        <w:spacing w:line="242" w:lineRule="auto" w:before="122"/>
        <w:ind w:left="1928" w:right="2010"/>
      </w:pPr>
      <w:r>
        <w:rPr/>
        <w:t>The summary </w:t>
      </w:r>
      <w:r>
        <w:rPr>
          <w:spacing w:val="-3"/>
        </w:rPr>
        <w:t>determination </w:t>
      </w:r>
      <w:r>
        <w:rPr/>
        <w:t>costs rule should specify </w:t>
      </w:r>
      <w:r>
        <w:rPr>
          <w:spacing w:val="-3"/>
        </w:rPr>
        <w:t>that </w:t>
      </w:r>
      <w:r>
        <w:rPr/>
        <w:t>it does </w:t>
      </w:r>
      <w:r>
        <w:rPr>
          <w:spacing w:val="-2"/>
        </w:rPr>
        <w:t>not </w:t>
      </w:r>
      <w:r>
        <w:rPr>
          <w:spacing w:val="-3"/>
        </w:rPr>
        <w:t>limit  any  </w:t>
      </w:r>
      <w:r>
        <w:rPr/>
        <w:t>other power of the </w:t>
      </w:r>
      <w:r>
        <w:rPr>
          <w:spacing w:val="-3"/>
        </w:rPr>
        <w:t>Court </w:t>
      </w:r>
      <w:r>
        <w:rPr/>
        <w:t>in </w:t>
      </w:r>
      <w:r>
        <w:rPr>
          <w:spacing w:val="-3"/>
        </w:rPr>
        <w:t>relation to</w:t>
      </w:r>
      <w:r>
        <w:rPr>
          <w:spacing w:val="14"/>
        </w:rPr>
        <w:t> </w:t>
      </w:r>
      <w:r>
        <w:rPr/>
        <w:t>costs.</w:t>
      </w:r>
    </w:p>
    <w:p>
      <w:pPr>
        <w:pStyle w:val="BodyText"/>
        <w:spacing w:before="9"/>
        <w:rPr>
          <w:sz w:val="24"/>
        </w:rPr>
      </w:pPr>
    </w:p>
    <w:p>
      <w:pPr>
        <w:pStyle w:val="Heading5"/>
      </w:pPr>
      <w:r>
        <w:rPr>
          <w:w w:val="115"/>
        </w:rPr>
        <w:t>Other areas for reform raised in the Commission’s consultation paper</w:t>
      </w:r>
    </w:p>
    <w:p>
      <w:pPr>
        <w:pStyle w:val="ListParagraph"/>
        <w:numPr>
          <w:ilvl w:val="0"/>
          <w:numId w:val="15"/>
        </w:numPr>
        <w:tabs>
          <w:tab w:pos="1928" w:val="left" w:leader="none"/>
        </w:tabs>
        <w:spacing w:line="242" w:lineRule="auto" w:before="138" w:after="0"/>
        <w:ind w:left="1927" w:right="1706" w:hanging="340"/>
        <w:jc w:val="left"/>
        <w:rPr>
          <w:sz w:val="21"/>
        </w:rPr>
      </w:pPr>
      <w:r>
        <w:rPr>
          <w:w w:val="105"/>
          <w:sz w:val="21"/>
        </w:rPr>
        <w:t>The</w:t>
      </w:r>
      <w:r>
        <w:rPr>
          <w:spacing w:val="-5"/>
          <w:w w:val="105"/>
          <w:sz w:val="21"/>
        </w:rPr>
        <w:t> </w:t>
      </w:r>
      <w:r>
        <w:rPr>
          <w:i/>
          <w:spacing w:val="-3"/>
          <w:w w:val="105"/>
          <w:sz w:val="21"/>
        </w:rPr>
        <w:t>Administration</w:t>
      </w:r>
      <w:r>
        <w:rPr>
          <w:i/>
          <w:spacing w:val="-4"/>
          <w:w w:val="105"/>
          <w:sz w:val="21"/>
        </w:rPr>
        <w:t> </w:t>
      </w:r>
      <w:r>
        <w:rPr>
          <w:i/>
          <w:w w:val="105"/>
          <w:sz w:val="21"/>
        </w:rPr>
        <w:t>and</w:t>
      </w:r>
      <w:r>
        <w:rPr>
          <w:i/>
          <w:spacing w:val="-4"/>
          <w:w w:val="105"/>
          <w:sz w:val="21"/>
        </w:rPr>
        <w:t> </w:t>
      </w:r>
      <w:r>
        <w:rPr>
          <w:i/>
          <w:w w:val="105"/>
          <w:sz w:val="21"/>
        </w:rPr>
        <w:t>Probate</w:t>
      </w:r>
      <w:r>
        <w:rPr>
          <w:i/>
          <w:spacing w:val="-5"/>
          <w:w w:val="105"/>
          <w:sz w:val="21"/>
        </w:rPr>
        <w:t> </w:t>
      </w:r>
      <w:r>
        <w:rPr>
          <w:i/>
          <w:w w:val="105"/>
          <w:sz w:val="21"/>
        </w:rPr>
        <w:t>Act</w:t>
      </w:r>
      <w:r>
        <w:rPr>
          <w:i/>
          <w:spacing w:val="-4"/>
          <w:w w:val="105"/>
          <w:sz w:val="21"/>
        </w:rPr>
        <w:t> </w:t>
      </w:r>
      <w:r>
        <w:rPr>
          <w:i/>
          <w:spacing w:val="-6"/>
          <w:w w:val="105"/>
          <w:sz w:val="21"/>
        </w:rPr>
        <w:t>1958</w:t>
      </w:r>
      <w:r>
        <w:rPr>
          <w:i/>
          <w:spacing w:val="-4"/>
          <w:w w:val="105"/>
          <w:sz w:val="21"/>
        </w:rPr>
        <w:t> </w:t>
      </w:r>
      <w:r>
        <w:rPr>
          <w:w w:val="105"/>
          <w:sz w:val="21"/>
        </w:rPr>
        <w:t>(Vic)</w:t>
      </w:r>
      <w:r>
        <w:rPr>
          <w:spacing w:val="-5"/>
          <w:w w:val="105"/>
          <w:sz w:val="21"/>
        </w:rPr>
        <w:t> </w:t>
      </w:r>
      <w:r>
        <w:rPr>
          <w:w w:val="105"/>
          <w:sz w:val="21"/>
        </w:rPr>
        <w:t>should</w:t>
      </w:r>
      <w:r>
        <w:rPr>
          <w:spacing w:val="-4"/>
          <w:w w:val="105"/>
          <w:sz w:val="21"/>
        </w:rPr>
        <w:t> </w:t>
      </w:r>
      <w:r>
        <w:rPr>
          <w:w w:val="105"/>
          <w:sz w:val="21"/>
        </w:rPr>
        <w:t>permit</w:t>
      </w:r>
      <w:r>
        <w:rPr>
          <w:spacing w:val="-4"/>
          <w:w w:val="105"/>
          <w:sz w:val="21"/>
        </w:rPr>
        <w:t> </w:t>
      </w:r>
      <w:r>
        <w:rPr>
          <w:spacing w:val="-3"/>
          <w:w w:val="105"/>
          <w:sz w:val="21"/>
        </w:rPr>
        <w:t>any</w:t>
      </w:r>
      <w:r>
        <w:rPr>
          <w:spacing w:val="-5"/>
          <w:w w:val="105"/>
          <w:sz w:val="21"/>
        </w:rPr>
        <w:t> </w:t>
      </w:r>
      <w:r>
        <w:rPr>
          <w:w w:val="105"/>
          <w:sz w:val="21"/>
        </w:rPr>
        <w:t>person</w:t>
      </w:r>
      <w:r>
        <w:rPr>
          <w:spacing w:val="-4"/>
          <w:w w:val="105"/>
          <w:sz w:val="21"/>
        </w:rPr>
        <w:t> </w:t>
      </w:r>
      <w:r>
        <w:rPr>
          <w:spacing w:val="-3"/>
          <w:w w:val="105"/>
          <w:sz w:val="21"/>
        </w:rPr>
        <w:t>to</w:t>
      </w:r>
      <w:r>
        <w:rPr>
          <w:spacing w:val="-4"/>
          <w:w w:val="105"/>
          <w:sz w:val="21"/>
        </w:rPr>
        <w:t> </w:t>
      </w:r>
      <w:r>
        <w:rPr>
          <w:w w:val="105"/>
          <w:sz w:val="21"/>
        </w:rPr>
        <w:t>apply</w:t>
      </w:r>
      <w:r>
        <w:rPr>
          <w:spacing w:val="-5"/>
          <w:w w:val="105"/>
          <w:sz w:val="21"/>
        </w:rPr>
        <w:t> </w:t>
      </w:r>
      <w:r>
        <w:rPr>
          <w:spacing w:val="-3"/>
          <w:w w:val="105"/>
          <w:sz w:val="21"/>
        </w:rPr>
        <w:t>to</w:t>
      </w:r>
      <w:r>
        <w:rPr>
          <w:spacing w:val="-4"/>
          <w:w w:val="105"/>
          <w:sz w:val="21"/>
        </w:rPr>
        <w:t> </w:t>
      </w:r>
      <w:r>
        <w:rPr>
          <w:w w:val="105"/>
          <w:sz w:val="21"/>
        </w:rPr>
        <w:t>the</w:t>
      </w:r>
      <w:r>
        <w:rPr>
          <w:spacing w:val="-4"/>
          <w:w w:val="105"/>
          <w:sz w:val="21"/>
        </w:rPr>
        <w:t> </w:t>
      </w:r>
      <w:r>
        <w:rPr>
          <w:w w:val="105"/>
          <w:sz w:val="21"/>
        </w:rPr>
        <w:t>court </w:t>
      </w:r>
      <w:r>
        <w:rPr>
          <w:spacing w:val="-3"/>
          <w:w w:val="105"/>
          <w:sz w:val="21"/>
        </w:rPr>
        <w:t>for approval </w:t>
      </w:r>
      <w:r>
        <w:rPr>
          <w:w w:val="105"/>
          <w:sz w:val="21"/>
        </w:rPr>
        <w:t>of a release of their rights </w:t>
      </w:r>
      <w:r>
        <w:rPr>
          <w:spacing w:val="-3"/>
          <w:w w:val="105"/>
          <w:sz w:val="21"/>
        </w:rPr>
        <w:t>to </w:t>
      </w:r>
      <w:r>
        <w:rPr>
          <w:spacing w:val="-4"/>
          <w:w w:val="105"/>
          <w:sz w:val="21"/>
        </w:rPr>
        <w:t>make </w:t>
      </w:r>
      <w:r>
        <w:rPr>
          <w:w w:val="105"/>
          <w:sz w:val="21"/>
        </w:rPr>
        <w:t>a </w:t>
      </w:r>
      <w:r>
        <w:rPr>
          <w:spacing w:val="-3"/>
          <w:w w:val="105"/>
          <w:sz w:val="21"/>
        </w:rPr>
        <w:t>family provision application, </w:t>
      </w:r>
      <w:r>
        <w:rPr>
          <w:w w:val="105"/>
          <w:sz w:val="21"/>
        </w:rPr>
        <w:t>as provided by sections 95 and 96 of the </w:t>
      </w:r>
      <w:r>
        <w:rPr>
          <w:i/>
          <w:spacing w:val="-3"/>
          <w:w w:val="105"/>
          <w:sz w:val="21"/>
        </w:rPr>
        <w:t>Succession </w:t>
      </w:r>
      <w:r>
        <w:rPr>
          <w:i/>
          <w:w w:val="105"/>
          <w:sz w:val="21"/>
        </w:rPr>
        <w:t>Act 2006</w:t>
      </w:r>
      <w:r>
        <w:rPr>
          <w:i/>
          <w:spacing w:val="4"/>
          <w:w w:val="105"/>
          <w:sz w:val="21"/>
        </w:rPr>
        <w:t> </w:t>
      </w:r>
      <w:r>
        <w:rPr>
          <w:spacing w:val="2"/>
          <w:w w:val="105"/>
          <w:sz w:val="21"/>
        </w:rPr>
        <w:t>(NSW).</w:t>
      </w:r>
    </w:p>
    <w:p>
      <w:pPr>
        <w:pStyle w:val="ListParagraph"/>
        <w:numPr>
          <w:ilvl w:val="0"/>
          <w:numId w:val="15"/>
        </w:numPr>
        <w:tabs>
          <w:tab w:pos="1928" w:val="left" w:leader="none"/>
        </w:tabs>
        <w:spacing w:line="242" w:lineRule="auto" w:before="123" w:after="0"/>
        <w:ind w:left="1927" w:right="1921" w:hanging="340"/>
        <w:jc w:val="left"/>
        <w:rPr>
          <w:sz w:val="21"/>
        </w:rPr>
      </w:pPr>
      <w:r>
        <w:rPr>
          <w:w w:val="105"/>
          <w:sz w:val="21"/>
        </w:rPr>
        <w:t>Section 99A of the </w:t>
      </w:r>
      <w:r>
        <w:rPr>
          <w:i/>
          <w:spacing w:val="-3"/>
          <w:w w:val="105"/>
          <w:sz w:val="21"/>
        </w:rPr>
        <w:t>Administration </w:t>
      </w:r>
      <w:r>
        <w:rPr>
          <w:i/>
          <w:w w:val="105"/>
          <w:sz w:val="21"/>
        </w:rPr>
        <w:t>and Probate Act </w:t>
      </w:r>
      <w:r>
        <w:rPr>
          <w:i/>
          <w:spacing w:val="-6"/>
          <w:w w:val="105"/>
          <w:sz w:val="21"/>
        </w:rPr>
        <w:t>1958 </w:t>
      </w:r>
      <w:r>
        <w:rPr>
          <w:w w:val="105"/>
          <w:sz w:val="21"/>
        </w:rPr>
        <w:t>(Vic) should be amended </w:t>
      </w:r>
      <w:r>
        <w:rPr>
          <w:spacing w:val="-3"/>
          <w:w w:val="105"/>
          <w:sz w:val="21"/>
        </w:rPr>
        <w:t>to </w:t>
      </w:r>
      <w:r>
        <w:rPr>
          <w:w w:val="105"/>
          <w:sz w:val="21"/>
        </w:rPr>
        <w:t>clarify that:</w:t>
      </w:r>
    </w:p>
    <w:p>
      <w:pPr>
        <w:pStyle w:val="ListParagraph"/>
        <w:numPr>
          <w:ilvl w:val="1"/>
          <w:numId w:val="15"/>
        </w:numPr>
        <w:tabs>
          <w:tab w:pos="3028" w:val="left" w:leader="none"/>
        </w:tabs>
        <w:spacing w:line="240" w:lineRule="auto" w:before="122" w:after="0"/>
        <w:ind w:left="3027" w:right="0" w:hanging="306"/>
        <w:jc w:val="left"/>
        <w:rPr>
          <w:sz w:val="21"/>
        </w:rPr>
      </w:pPr>
      <w:r>
        <w:rPr>
          <w:sz w:val="21"/>
        </w:rPr>
        <w:t>it</w:t>
      </w:r>
      <w:r>
        <w:rPr>
          <w:spacing w:val="8"/>
          <w:sz w:val="21"/>
        </w:rPr>
        <w:t> </w:t>
      </w:r>
      <w:r>
        <w:rPr>
          <w:spacing w:val="-3"/>
          <w:sz w:val="21"/>
        </w:rPr>
        <w:t>relates</w:t>
      </w:r>
      <w:r>
        <w:rPr>
          <w:spacing w:val="8"/>
          <w:sz w:val="21"/>
        </w:rPr>
        <w:t> </w:t>
      </w:r>
      <w:r>
        <w:rPr>
          <w:sz w:val="21"/>
        </w:rPr>
        <w:t>only</w:t>
      </w:r>
      <w:r>
        <w:rPr>
          <w:spacing w:val="9"/>
          <w:sz w:val="21"/>
        </w:rPr>
        <w:t> </w:t>
      </w:r>
      <w:r>
        <w:rPr>
          <w:spacing w:val="-3"/>
          <w:sz w:val="21"/>
        </w:rPr>
        <w:t>to</w:t>
      </w:r>
      <w:r>
        <w:rPr>
          <w:spacing w:val="8"/>
          <w:sz w:val="21"/>
        </w:rPr>
        <w:t> </w:t>
      </w:r>
      <w:r>
        <w:rPr>
          <w:sz w:val="21"/>
        </w:rPr>
        <w:t>protection</w:t>
      </w:r>
      <w:r>
        <w:rPr>
          <w:spacing w:val="8"/>
          <w:sz w:val="21"/>
        </w:rPr>
        <w:t> </w:t>
      </w:r>
      <w:r>
        <w:rPr>
          <w:sz w:val="21"/>
        </w:rPr>
        <w:t>of</w:t>
      </w:r>
      <w:r>
        <w:rPr>
          <w:spacing w:val="9"/>
          <w:sz w:val="21"/>
        </w:rPr>
        <w:t> </w:t>
      </w:r>
      <w:r>
        <w:rPr>
          <w:sz w:val="21"/>
        </w:rPr>
        <w:t>personal</w:t>
      </w:r>
      <w:r>
        <w:rPr>
          <w:spacing w:val="8"/>
          <w:sz w:val="21"/>
        </w:rPr>
        <w:t> </w:t>
      </w:r>
      <w:r>
        <w:rPr>
          <w:sz w:val="21"/>
        </w:rPr>
        <w:t>representatives,</w:t>
      </w:r>
      <w:r>
        <w:rPr>
          <w:spacing w:val="8"/>
          <w:sz w:val="21"/>
        </w:rPr>
        <w:t> </w:t>
      </w:r>
      <w:r>
        <w:rPr>
          <w:sz w:val="21"/>
        </w:rPr>
        <w:t>and</w:t>
      </w:r>
    </w:p>
    <w:p>
      <w:pPr>
        <w:pStyle w:val="ListParagraph"/>
        <w:numPr>
          <w:ilvl w:val="1"/>
          <w:numId w:val="15"/>
        </w:numPr>
        <w:tabs>
          <w:tab w:pos="3028" w:val="left" w:leader="none"/>
        </w:tabs>
        <w:spacing w:line="242" w:lineRule="auto" w:before="124" w:after="0"/>
        <w:ind w:left="3027" w:right="2130" w:hanging="306"/>
        <w:jc w:val="left"/>
        <w:rPr>
          <w:sz w:val="21"/>
        </w:rPr>
      </w:pPr>
      <w:r>
        <w:rPr>
          <w:w w:val="105"/>
          <w:sz w:val="21"/>
        </w:rPr>
        <w:t>it does </w:t>
      </w:r>
      <w:r>
        <w:rPr>
          <w:spacing w:val="-2"/>
          <w:w w:val="105"/>
          <w:sz w:val="21"/>
        </w:rPr>
        <w:t>not </w:t>
      </w:r>
      <w:r>
        <w:rPr>
          <w:w w:val="105"/>
          <w:sz w:val="21"/>
        </w:rPr>
        <w:t>affect the time </w:t>
      </w:r>
      <w:r>
        <w:rPr>
          <w:spacing w:val="-3"/>
          <w:w w:val="105"/>
          <w:sz w:val="21"/>
        </w:rPr>
        <w:t>within </w:t>
      </w:r>
      <w:r>
        <w:rPr>
          <w:w w:val="105"/>
          <w:sz w:val="21"/>
        </w:rPr>
        <w:t>which a </w:t>
      </w:r>
      <w:r>
        <w:rPr>
          <w:spacing w:val="-3"/>
          <w:w w:val="105"/>
          <w:sz w:val="21"/>
        </w:rPr>
        <w:t>family provision </w:t>
      </w:r>
      <w:r>
        <w:rPr>
          <w:w w:val="105"/>
          <w:sz w:val="21"/>
        </w:rPr>
        <w:t>application must be made under section 99 of the </w:t>
      </w:r>
      <w:r>
        <w:rPr>
          <w:i/>
          <w:spacing w:val="-3"/>
          <w:w w:val="105"/>
          <w:sz w:val="21"/>
        </w:rPr>
        <w:t>Administration </w:t>
      </w:r>
      <w:r>
        <w:rPr>
          <w:i/>
          <w:w w:val="105"/>
          <w:sz w:val="21"/>
        </w:rPr>
        <w:t>and Probate Act </w:t>
      </w:r>
      <w:r>
        <w:rPr>
          <w:i/>
          <w:spacing w:val="-5"/>
          <w:w w:val="105"/>
          <w:sz w:val="21"/>
        </w:rPr>
        <w:t>195</w:t>
      </w:r>
      <w:r>
        <w:rPr>
          <w:spacing w:val="-5"/>
          <w:w w:val="105"/>
          <w:sz w:val="21"/>
        </w:rPr>
        <w:t>8</w:t>
      </w:r>
      <w:r>
        <w:rPr>
          <w:spacing w:val="-11"/>
          <w:w w:val="105"/>
          <w:sz w:val="21"/>
        </w:rPr>
        <w:t> </w:t>
      </w:r>
      <w:r>
        <w:rPr>
          <w:w w:val="105"/>
          <w:sz w:val="21"/>
        </w:rPr>
        <w:t>(Vic).</w:t>
      </w:r>
    </w:p>
    <w:p>
      <w:pPr>
        <w:pStyle w:val="ListParagraph"/>
        <w:numPr>
          <w:ilvl w:val="0"/>
          <w:numId w:val="15"/>
        </w:numPr>
        <w:tabs>
          <w:tab w:pos="1928" w:val="left" w:leader="none"/>
        </w:tabs>
        <w:spacing w:line="242" w:lineRule="auto" w:before="122" w:after="0"/>
        <w:ind w:left="1927" w:right="2066" w:hanging="340"/>
        <w:jc w:val="left"/>
        <w:rPr>
          <w:sz w:val="21"/>
        </w:rPr>
      </w:pPr>
      <w:r>
        <w:rPr>
          <w:w w:val="105"/>
          <w:sz w:val="21"/>
        </w:rPr>
        <w:t>The second </w:t>
      </w:r>
      <w:r>
        <w:rPr>
          <w:spacing w:val="-2"/>
          <w:w w:val="105"/>
          <w:sz w:val="21"/>
        </w:rPr>
        <w:t>proviso </w:t>
      </w:r>
      <w:r>
        <w:rPr>
          <w:spacing w:val="-3"/>
          <w:w w:val="105"/>
          <w:sz w:val="21"/>
        </w:rPr>
        <w:t>to </w:t>
      </w:r>
      <w:r>
        <w:rPr>
          <w:w w:val="105"/>
          <w:sz w:val="21"/>
        </w:rPr>
        <w:t>section 99 of the </w:t>
      </w:r>
      <w:r>
        <w:rPr>
          <w:i/>
          <w:spacing w:val="-3"/>
          <w:w w:val="105"/>
          <w:sz w:val="21"/>
        </w:rPr>
        <w:t>Administration </w:t>
      </w:r>
      <w:r>
        <w:rPr>
          <w:i/>
          <w:w w:val="105"/>
          <w:sz w:val="21"/>
        </w:rPr>
        <w:t>and Probate Act </w:t>
      </w:r>
      <w:r>
        <w:rPr>
          <w:i/>
          <w:spacing w:val="-6"/>
          <w:w w:val="105"/>
          <w:sz w:val="21"/>
        </w:rPr>
        <w:t>1958 </w:t>
      </w:r>
      <w:r>
        <w:rPr>
          <w:w w:val="105"/>
          <w:sz w:val="21"/>
        </w:rPr>
        <w:t>(Vic), which refers </w:t>
      </w:r>
      <w:r>
        <w:rPr>
          <w:spacing w:val="-3"/>
          <w:w w:val="105"/>
          <w:sz w:val="21"/>
        </w:rPr>
        <w:t>to </w:t>
      </w:r>
      <w:r>
        <w:rPr>
          <w:w w:val="105"/>
          <w:sz w:val="21"/>
        </w:rPr>
        <w:t>Part V of </w:t>
      </w:r>
      <w:r>
        <w:rPr>
          <w:spacing w:val="-3"/>
          <w:w w:val="105"/>
          <w:sz w:val="21"/>
        </w:rPr>
        <w:t>that </w:t>
      </w:r>
      <w:r>
        <w:rPr>
          <w:w w:val="105"/>
          <w:sz w:val="21"/>
        </w:rPr>
        <w:t>Act, should be</w:t>
      </w:r>
      <w:r>
        <w:rPr>
          <w:spacing w:val="46"/>
          <w:w w:val="105"/>
          <w:sz w:val="21"/>
        </w:rPr>
        <w:t> </w:t>
      </w:r>
      <w:r>
        <w:rPr>
          <w:spacing w:val="-3"/>
          <w:w w:val="105"/>
          <w:sz w:val="21"/>
        </w:rPr>
        <w:t>removed.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pPr>
    </w:p>
    <w:p>
      <w:pPr>
        <w:spacing w:before="0"/>
        <w:ind w:left="720" w:right="0" w:firstLine="0"/>
        <w:jc w:val="left"/>
        <w:rPr>
          <w:b/>
          <w:sz w:val="24"/>
        </w:rPr>
      </w:pPr>
      <w:r>
        <w:rPr>
          <w:b/>
          <w:color w:val="EC5A4F"/>
          <w:w w:val="120"/>
          <w:sz w:val="24"/>
        </w:rPr>
        <w:t>xxx</w:t>
      </w:r>
    </w:p>
    <w:p>
      <w:pPr>
        <w:spacing w:after="0"/>
        <w:jc w:val="left"/>
        <w:rPr>
          <w:sz w:val="24"/>
        </w:rPr>
        <w:sectPr>
          <w:pgSz w:w="11910" w:h="16840"/>
          <w:pgMar w:header="1372" w:footer="0" w:top="1560" w:bottom="280" w:left="0" w:right="0"/>
        </w:sectPr>
      </w:pPr>
    </w:p>
    <w:p>
      <w:pPr>
        <w:pStyle w:val="BodyText"/>
        <w:spacing w:before="3"/>
        <w:rPr>
          <w:b/>
        </w:rPr>
      </w:pPr>
    </w:p>
    <w:p>
      <w:pPr>
        <w:spacing w:before="99"/>
        <w:ind w:left="1587" w:right="0" w:firstLine="0"/>
        <w:jc w:val="left"/>
        <w:rPr>
          <w:b/>
          <w:sz w:val="28"/>
        </w:rPr>
      </w:pPr>
      <w:r>
        <w:rPr>
          <w:b/>
          <w:color w:val="EC5A4F"/>
          <w:w w:val="110"/>
          <w:sz w:val="28"/>
        </w:rPr>
        <w:t>Chapter 7 Executors’ costs and commission</w:t>
      </w:r>
    </w:p>
    <w:p>
      <w:pPr>
        <w:spacing w:before="166"/>
        <w:ind w:left="1587" w:right="0" w:firstLine="0"/>
        <w:jc w:val="left"/>
        <w:rPr>
          <w:b/>
          <w:sz w:val="24"/>
        </w:rPr>
      </w:pPr>
      <w:r>
        <w:rPr>
          <w:b/>
          <w:w w:val="115"/>
          <w:sz w:val="24"/>
        </w:rPr>
        <w:t>Special rules for legal practitioner executors</w:t>
      </w:r>
    </w:p>
    <w:p>
      <w:pPr>
        <w:pStyle w:val="ListParagraph"/>
        <w:numPr>
          <w:ilvl w:val="0"/>
          <w:numId w:val="16"/>
        </w:numPr>
        <w:tabs>
          <w:tab w:pos="1928" w:val="left" w:leader="none"/>
        </w:tabs>
        <w:spacing w:line="242" w:lineRule="auto" w:before="138" w:after="0"/>
        <w:ind w:left="1927" w:right="1694" w:hanging="340"/>
        <w:jc w:val="left"/>
        <w:rPr>
          <w:sz w:val="21"/>
        </w:rPr>
      </w:pPr>
      <w:r>
        <w:rPr>
          <w:sz w:val="21"/>
        </w:rPr>
        <w:t>The Law </w:t>
      </w:r>
      <w:r>
        <w:rPr>
          <w:spacing w:val="-3"/>
          <w:sz w:val="21"/>
        </w:rPr>
        <w:t>Institute  </w:t>
      </w:r>
      <w:r>
        <w:rPr>
          <w:sz w:val="21"/>
        </w:rPr>
        <w:t>of Victoria or other </w:t>
      </w:r>
      <w:r>
        <w:rPr>
          <w:spacing w:val="-3"/>
          <w:sz w:val="21"/>
        </w:rPr>
        <w:t>relevant</w:t>
      </w:r>
      <w:r>
        <w:rPr>
          <w:spacing w:val="41"/>
          <w:sz w:val="21"/>
        </w:rPr>
        <w:t> </w:t>
      </w:r>
      <w:r>
        <w:rPr>
          <w:sz w:val="21"/>
        </w:rPr>
        <w:t>body should revise the conduct and practice   rules </w:t>
      </w:r>
      <w:r>
        <w:rPr>
          <w:spacing w:val="-3"/>
          <w:sz w:val="21"/>
        </w:rPr>
        <w:t>that </w:t>
      </w:r>
      <w:r>
        <w:rPr>
          <w:sz w:val="21"/>
        </w:rPr>
        <w:t>apply </w:t>
      </w:r>
      <w:r>
        <w:rPr>
          <w:spacing w:val="-3"/>
          <w:sz w:val="21"/>
        </w:rPr>
        <w:t>to </w:t>
      </w:r>
      <w:r>
        <w:rPr>
          <w:sz w:val="21"/>
        </w:rPr>
        <w:t>legal practitioners who </w:t>
      </w:r>
      <w:r>
        <w:rPr>
          <w:spacing w:val="-3"/>
          <w:sz w:val="21"/>
        </w:rPr>
        <w:t>prepare </w:t>
      </w:r>
      <w:r>
        <w:rPr>
          <w:sz w:val="21"/>
        </w:rPr>
        <w:t>a </w:t>
      </w:r>
      <w:r>
        <w:rPr>
          <w:spacing w:val="-3"/>
          <w:sz w:val="21"/>
        </w:rPr>
        <w:t>will </w:t>
      </w:r>
      <w:r>
        <w:rPr>
          <w:sz w:val="21"/>
        </w:rPr>
        <w:t>or other </w:t>
      </w:r>
      <w:r>
        <w:rPr>
          <w:spacing w:val="-3"/>
          <w:sz w:val="21"/>
        </w:rPr>
        <w:t>instrument </w:t>
      </w:r>
      <w:r>
        <w:rPr>
          <w:sz w:val="21"/>
        </w:rPr>
        <w:t>under which they receive a benefit </w:t>
      </w:r>
      <w:r>
        <w:rPr>
          <w:spacing w:val="-3"/>
          <w:sz w:val="21"/>
        </w:rPr>
        <w:t>to  </w:t>
      </w:r>
      <w:r>
        <w:rPr>
          <w:sz w:val="21"/>
        </w:rPr>
        <w:t>expressly </w:t>
      </w:r>
      <w:r>
        <w:rPr>
          <w:spacing w:val="-3"/>
          <w:sz w:val="21"/>
        </w:rPr>
        <w:t>require</w:t>
      </w:r>
      <w:r>
        <w:rPr>
          <w:spacing w:val="41"/>
          <w:sz w:val="21"/>
        </w:rPr>
        <w:t> </w:t>
      </w:r>
      <w:r>
        <w:rPr>
          <w:sz w:val="21"/>
        </w:rPr>
        <w:t>the practitioner </w:t>
      </w:r>
      <w:r>
        <w:rPr>
          <w:spacing w:val="-3"/>
          <w:sz w:val="21"/>
        </w:rPr>
        <w:t>to  </w:t>
      </w:r>
      <w:r>
        <w:rPr>
          <w:sz w:val="21"/>
        </w:rPr>
        <w:t>obtain the </w:t>
      </w:r>
      <w:r>
        <w:rPr>
          <w:spacing w:val="-3"/>
          <w:sz w:val="21"/>
        </w:rPr>
        <w:t>client’s  informed  consent  to </w:t>
      </w:r>
      <w:r>
        <w:rPr>
          <w:sz w:val="21"/>
        </w:rPr>
        <w:t>the payment of the</w:t>
      </w:r>
      <w:r>
        <w:rPr>
          <w:spacing w:val="44"/>
          <w:sz w:val="21"/>
        </w:rPr>
        <w:t> </w:t>
      </w:r>
      <w:r>
        <w:rPr>
          <w:sz w:val="21"/>
        </w:rPr>
        <w:t>benefit.</w:t>
      </w:r>
    </w:p>
    <w:p>
      <w:pPr>
        <w:pStyle w:val="ListParagraph"/>
        <w:numPr>
          <w:ilvl w:val="0"/>
          <w:numId w:val="16"/>
        </w:numPr>
        <w:tabs>
          <w:tab w:pos="1928" w:val="left" w:leader="none"/>
        </w:tabs>
        <w:spacing w:line="242" w:lineRule="auto" w:before="124" w:after="0"/>
        <w:ind w:left="1927" w:right="1775" w:hanging="340"/>
        <w:jc w:val="left"/>
        <w:rPr>
          <w:sz w:val="21"/>
        </w:rPr>
      </w:pPr>
      <w:r>
        <w:rPr>
          <w:w w:val="105"/>
          <w:sz w:val="21"/>
        </w:rPr>
        <w:t>A new </w:t>
      </w:r>
      <w:r>
        <w:rPr>
          <w:spacing w:val="-3"/>
          <w:w w:val="105"/>
          <w:sz w:val="21"/>
        </w:rPr>
        <w:t>provision </w:t>
      </w:r>
      <w:r>
        <w:rPr>
          <w:w w:val="105"/>
          <w:sz w:val="21"/>
        </w:rPr>
        <w:t>should be inserted </w:t>
      </w:r>
      <w:r>
        <w:rPr>
          <w:spacing w:val="-4"/>
          <w:w w:val="105"/>
          <w:sz w:val="21"/>
        </w:rPr>
        <w:t>into </w:t>
      </w:r>
      <w:r>
        <w:rPr>
          <w:w w:val="105"/>
          <w:sz w:val="21"/>
        </w:rPr>
        <w:t>the </w:t>
      </w:r>
      <w:r>
        <w:rPr>
          <w:i/>
          <w:spacing w:val="-3"/>
          <w:w w:val="105"/>
          <w:sz w:val="21"/>
        </w:rPr>
        <w:t>Administration </w:t>
      </w:r>
      <w:r>
        <w:rPr>
          <w:i/>
          <w:w w:val="105"/>
          <w:sz w:val="21"/>
        </w:rPr>
        <w:t>and Probate Act </w:t>
      </w:r>
      <w:r>
        <w:rPr>
          <w:i/>
          <w:spacing w:val="-6"/>
          <w:w w:val="105"/>
          <w:sz w:val="21"/>
        </w:rPr>
        <w:t>1958 </w:t>
      </w:r>
      <w:r>
        <w:rPr>
          <w:w w:val="105"/>
          <w:sz w:val="21"/>
        </w:rPr>
        <w:t>(Vic) </w:t>
      </w:r>
      <w:r>
        <w:rPr>
          <w:spacing w:val="-3"/>
          <w:w w:val="105"/>
          <w:sz w:val="21"/>
        </w:rPr>
        <w:t>to </w:t>
      </w:r>
      <w:r>
        <w:rPr>
          <w:w w:val="105"/>
          <w:sz w:val="21"/>
        </w:rPr>
        <w:t>the effect </w:t>
      </w:r>
      <w:r>
        <w:rPr>
          <w:spacing w:val="-3"/>
          <w:w w:val="105"/>
          <w:sz w:val="21"/>
        </w:rPr>
        <w:t>that </w:t>
      </w:r>
      <w:r>
        <w:rPr>
          <w:w w:val="105"/>
          <w:sz w:val="21"/>
        </w:rPr>
        <w:t>a </w:t>
      </w:r>
      <w:r>
        <w:rPr>
          <w:spacing w:val="-3"/>
          <w:w w:val="105"/>
          <w:sz w:val="21"/>
        </w:rPr>
        <w:t>professional executor </w:t>
      </w:r>
      <w:r>
        <w:rPr>
          <w:w w:val="105"/>
          <w:sz w:val="21"/>
        </w:rPr>
        <w:t>is </w:t>
      </w:r>
      <w:r>
        <w:rPr>
          <w:spacing w:val="-3"/>
          <w:w w:val="105"/>
          <w:sz w:val="21"/>
        </w:rPr>
        <w:t>unable to </w:t>
      </w:r>
      <w:r>
        <w:rPr>
          <w:w w:val="105"/>
          <w:sz w:val="21"/>
        </w:rPr>
        <w:t>rely on a </w:t>
      </w:r>
      <w:r>
        <w:rPr>
          <w:spacing w:val="-3"/>
          <w:w w:val="105"/>
          <w:sz w:val="21"/>
        </w:rPr>
        <w:t>remuneration </w:t>
      </w:r>
      <w:r>
        <w:rPr>
          <w:w w:val="105"/>
          <w:sz w:val="21"/>
        </w:rPr>
        <w:t>or </w:t>
      </w:r>
      <w:r>
        <w:rPr>
          <w:spacing w:val="-3"/>
          <w:w w:val="105"/>
          <w:sz w:val="21"/>
        </w:rPr>
        <w:t>commission clause </w:t>
      </w:r>
      <w:r>
        <w:rPr>
          <w:w w:val="105"/>
          <w:sz w:val="21"/>
        </w:rPr>
        <w:t>in a </w:t>
      </w:r>
      <w:r>
        <w:rPr>
          <w:spacing w:val="-3"/>
          <w:w w:val="105"/>
          <w:sz w:val="21"/>
        </w:rPr>
        <w:t>will </w:t>
      </w:r>
      <w:r>
        <w:rPr>
          <w:w w:val="105"/>
          <w:sz w:val="21"/>
        </w:rPr>
        <w:t>unless the </w:t>
      </w:r>
      <w:r>
        <w:rPr>
          <w:spacing w:val="-3"/>
          <w:w w:val="105"/>
          <w:sz w:val="21"/>
        </w:rPr>
        <w:t>will-maker gave </w:t>
      </w:r>
      <w:r>
        <w:rPr>
          <w:w w:val="105"/>
          <w:sz w:val="21"/>
        </w:rPr>
        <w:t>their </w:t>
      </w:r>
      <w:r>
        <w:rPr>
          <w:spacing w:val="-3"/>
          <w:w w:val="105"/>
          <w:sz w:val="21"/>
        </w:rPr>
        <w:t>informed </w:t>
      </w:r>
      <w:r>
        <w:rPr>
          <w:w w:val="105"/>
          <w:sz w:val="21"/>
        </w:rPr>
        <w:t>written </w:t>
      </w:r>
      <w:r>
        <w:rPr>
          <w:spacing w:val="-3"/>
          <w:w w:val="105"/>
          <w:sz w:val="21"/>
        </w:rPr>
        <w:t>consent to </w:t>
      </w:r>
      <w:r>
        <w:rPr>
          <w:w w:val="105"/>
          <w:sz w:val="21"/>
        </w:rPr>
        <w:t>the </w:t>
      </w:r>
      <w:r>
        <w:rPr>
          <w:spacing w:val="-3"/>
          <w:w w:val="105"/>
          <w:sz w:val="21"/>
        </w:rPr>
        <w:t>inclusion </w:t>
      </w:r>
      <w:r>
        <w:rPr>
          <w:w w:val="105"/>
          <w:sz w:val="21"/>
        </w:rPr>
        <w:t>of the </w:t>
      </w:r>
      <w:r>
        <w:rPr>
          <w:spacing w:val="-3"/>
          <w:w w:val="105"/>
          <w:sz w:val="21"/>
        </w:rPr>
        <w:t>clause, before </w:t>
      </w:r>
      <w:r>
        <w:rPr>
          <w:w w:val="105"/>
          <w:sz w:val="21"/>
        </w:rPr>
        <w:t>the </w:t>
      </w:r>
      <w:r>
        <w:rPr>
          <w:spacing w:val="-3"/>
          <w:w w:val="105"/>
          <w:sz w:val="21"/>
        </w:rPr>
        <w:t>will </w:t>
      </w:r>
      <w:r>
        <w:rPr>
          <w:w w:val="105"/>
          <w:sz w:val="21"/>
        </w:rPr>
        <w:t>was</w:t>
      </w:r>
      <w:r>
        <w:rPr>
          <w:spacing w:val="34"/>
          <w:w w:val="105"/>
          <w:sz w:val="21"/>
        </w:rPr>
        <w:t> </w:t>
      </w:r>
      <w:r>
        <w:rPr>
          <w:spacing w:val="-3"/>
          <w:w w:val="105"/>
          <w:sz w:val="21"/>
        </w:rPr>
        <w:t>executed.</w:t>
      </w:r>
    </w:p>
    <w:p>
      <w:pPr>
        <w:pStyle w:val="ListParagraph"/>
        <w:numPr>
          <w:ilvl w:val="0"/>
          <w:numId w:val="16"/>
        </w:numPr>
        <w:tabs>
          <w:tab w:pos="1928" w:val="left" w:leader="none"/>
        </w:tabs>
        <w:spacing w:line="242" w:lineRule="auto" w:before="125" w:after="0"/>
        <w:ind w:left="1927" w:right="2111" w:hanging="340"/>
        <w:jc w:val="both"/>
        <w:rPr>
          <w:sz w:val="21"/>
        </w:rPr>
      </w:pPr>
      <w:r>
        <w:rPr>
          <w:w w:val="105"/>
          <w:sz w:val="21"/>
        </w:rPr>
        <w:t>A new </w:t>
      </w:r>
      <w:r>
        <w:rPr>
          <w:spacing w:val="-3"/>
          <w:w w:val="105"/>
          <w:sz w:val="21"/>
        </w:rPr>
        <w:t>provision </w:t>
      </w:r>
      <w:r>
        <w:rPr>
          <w:w w:val="105"/>
          <w:sz w:val="21"/>
        </w:rPr>
        <w:t>should be inserted </w:t>
      </w:r>
      <w:r>
        <w:rPr>
          <w:spacing w:val="-4"/>
          <w:w w:val="105"/>
          <w:sz w:val="21"/>
        </w:rPr>
        <w:t>into </w:t>
      </w:r>
      <w:r>
        <w:rPr>
          <w:w w:val="105"/>
          <w:sz w:val="21"/>
        </w:rPr>
        <w:t>the </w:t>
      </w:r>
      <w:r>
        <w:rPr>
          <w:i/>
          <w:spacing w:val="-3"/>
          <w:w w:val="105"/>
          <w:sz w:val="21"/>
        </w:rPr>
        <w:t>Administration </w:t>
      </w:r>
      <w:r>
        <w:rPr>
          <w:i/>
          <w:w w:val="105"/>
          <w:sz w:val="21"/>
        </w:rPr>
        <w:t>and Probate Act </w:t>
      </w:r>
      <w:r>
        <w:rPr>
          <w:i/>
          <w:spacing w:val="-6"/>
          <w:w w:val="105"/>
          <w:sz w:val="21"/>
        </w:rPr>
        <w:t>1958 </w:t>
      </w:r>
      <w:r>
        <w:rPr>
          <w:w w:val="105"/>
          <w:sz w:val="21"/>
        </w:rPr>
        <w:t>(Vic) </w:t>
      </w:r>
      <w:r>
        <w:rPr>
          <w:spacing w:val="-4"/>
          <w:w w:val="105"/>
          <w:sz w:val="21"/>
        </w:rPr>
        <w:t>to </w:t>
      </w:r>
      <w:r>
        <w:rPr>
          <w:w w:val="105"/>
          <w:sz w:val="21"/>
        </w:rPr>
        <w:t>the</w:t>
      </w:r>
      <w:r>
        <w:rPr>
          <w:spacing w:val="-9"/>
          <w:w w:val="105"/>
          <w:sz w:val="21"/>
        </w:rPr>
        <w:t> </w:t>
      </w:r>
      <w:r>
        <w:rPr>
          <w:w w:val="105"/>
          <w:sz w:val="21"/>
        </w:rPr>
        <w:t>effect</w:t>
      </w:r>
      <w:r>
        <w:rPr>
          <w:spacing w:val="-9"/>
          <w:w w:val="105"/>
          <w:sz w:val="21"/>
        </w:rPr>
        <w:t> </w:t>
      </w:r>
      <w:r>
        <w:rPr>
          <w:spacing w:val="-3"/>
          <w:w w:val="105"/>
          <w:sz w:val="21"/>
        </w:rPr>
        <w:t>that</w:t>
      </w:r>
      <w:r>
        <w:rPr>
          <w:spacing w:val="-9"/>
          <w:w w:val="105"/>
          <w:sz w:val="21"/>
        </w:rPr>
        <w:t> </w:t>
      </w:r>
      <w:r>
        <w:rPr>
          <w:w w:val="105"/>
          <w:sz w:val="21"/>
        </w:rPr>
        <w:t>an</w:t>
      </w:r>
      <w:r>
        <w:rPr>
          <w:spacing w:val="-8"/>
          <w:w w:val="105"/>
          <w:sz w:val="21"/>
        </w:rPr>
        <w:t> </w:t>
      </w:r>
      <w:r>
        <w:rPr>
          <w:spacing w:val="-3"/>
          <w:w w:val="105"/>
          <w:sz w:val="21"/>
        </w:rPr>
        <w:t>executor</w:t>
      </w:r>
      <w:r>
        <w:rPr>
          <w:spacing w:val="-9"/>
          <w:w w:val="105"/>
          <w:sz w:val="21"/>
        </w:rPr>
        <w:t> </w:t>
      </w:r>
      <w:r>
        <w:rPr>
          <w:spacing w:val="-3"/>
          <w:w w:val="105"/>
          <w:sz w:val="21"/>
        </w:rPr>
        <w:t>may</w:t>
      </w:r>
      <w:r>
        <w:rPr>
          <w:spacing w:val="-9"/>
          <w:w w:val="105"/>
          <w:sz w:val="21"/>
        </w:rPr>
        <w:t> </w:t>
      </w:r>
      <w:r>
        <w:rPr>
          <w:w w:val="105"/>
          <w:sz w:val="21"/>
        </w:rPr>
        <w:t>receive</w:t>
      </w:r>
      <w:r>
        <w:rPr>
          <w:spacing w:val="-8"/>
          <w:w w:val="105"/>
          <w:sz w:val="21"/>
        </w:rPr>
        <w:t> </w:t>
      </w:r>
      <w:r>
        <w:rPr>
          <w:spacing w:val="-3"/>
          <w:w w:val="105"/>
          <w:sz w:val="21"/>
        </w:rPr>
        <w:t>commission</w:t>
      </w:r>
      <w:r>
        <w:rPr>
          <w:spacing w:val="-9"/>
          <w:w w:val="105"/>
          <w:sz w:val="21"/>
        </w:rPr>
        <w:t> </w:t>
      </w:r>
      <w:r>
        <w:rPr>
          <w:spacing w:val="-3"/>
          <w:w w:val="105"/>
          <w:sz w:val="21"/>
        </w:rPr>
        <w:t>from</w:t>
      </w:r>
      <w:r>
        <w:rPr>
          <w:spacing w:val="-9"/>
          <w:w w:val="105"/>
          <w:sz w:val="21"/>
        </w:rPr>
        <w:t> </w:t>
      </w:r>
      <w:r>
        <w:rPr>
          <w:w w:val="105"/>
          <w:sz w:val="21"/>
        </w:rPr>
        <w:t>the</w:t>
      </w:r>
      <w:r>
        <w:rPr>
          <w:spacing w:val="-8"/>
          <w:w w:val="105"/>
          <w:sz w:val="21"/>
        </w:rPr>
        <w:t> </w:t>
      </w:r>
      <w:r>
        <w:rPr>
          <w:w w:val="105"/>
          <w:sz w:val="21"/>
        </w:rPr>
        <w:t>assets</w:t>
      </w:r>
      <w:r>
        <w:rPr>
          <w:spacing w:val="-9"/>
          <w:w w:val="105"/>
          <w:sz w:val="21"/>
        </w:rPr>
        <w:t> </w:t>
      </w:r>
      <w:r>
        <w:rPr>
          <w:w w:val="105"/>
          <w:sz w:val="21"/>
        </w:rPr>
        <w:t>of</w:t>
      </w:r>
      <w:r>
        <w:rPr>
          <w:spacing w:val="-9"/>
          <w:w w:val="105"/>
          <w:sz w:val="21"/>
        </w:rPr>
        <w:t> </w:t>
      </w:r>
      <w:r>
        <w:rPr>
          <w:w w:val="105"/>
          <w:sz w:val="21"/>
        </w:rPr>
        <w:t>an</w:t>
      </w:r>
      <w:r>
        <w:rPr>
          <w:spacing w:val="-9"/>
          <w:w w:val="105"/>
          <w:sz w:val="21"/>
        </w:rPr>
        <w:t> </w:t>
      </w:r>
      <w:r>
        <w:rPr>
          <w:w w:val="105"/>
          <w:sz w:val="21"/>
        </w:rPr>
        <w:t>estate</w:t>
      </w:r>
      <w:r>
        <w:rPr>
          <w:spacing w:val="-8"/>
          <w:w w:val="105"/>
          <w:sz w:val="21"/>
        </w:rPr>
        <w:t> </w:t>
      </w:r>
      <w:r>
        <w:rPr>
          <w:w w:val="105"/>
          <w:sz w:val="21"/>
        </w:rPr>
        <w:t>provided </w:t>
      </w:r>
      <w:r>
        <w:rPr>
          <w:spacing w:val="-3"/>
          <w:w w:val="105"/>
          <w:sz w:val="21"/>
        </w:rPr>
        <w:t>that </w:t>
      </w:r>
      <w:r>
        <w:rPr>
          <w:w w:val="105"/>
          <w:sz w:val="21"/>
        </w:rPr>
        <w:t>the </w:t>
      </w:r>
      <w:r>
        <w:rPr>
          <w:spacing w:val="-3"/>
          <w:w w:val="105"/>
          <w:sz w:val="21"/>
        </w:rPr>
        <w:t>executor obtains </w:t>
      </w:r>
      <w:r>
        <w:rPr>
          <w:w w:val="105"/>
          <w:sz w:val="21"/>
        </w:rPr>
        <w:t>the </w:t>
      </w:r>
      <w:r>
        <w:rPr>
          <w:spacing w:val="-3"/>
          <w:w w:val="105"/>
          <w:sz w:val="21"/>
        </w:rPr>
        <w:t>fully informed consent </w:t>
      </w:r>
      <w:r>
        <w:rPr>
          <w:w w:val="105"/>
          <w:sz w:val="21"/>
        </w:rPr>
        <w:t>of </w:t>
      </w:r>
      <w:r>
        <w:rPr>
          <w:spacing w:val="-3"/>
          <w:w w:val="105"/>
          <w:sz w:val="21"/>
        </w:rPr>
        <w:t>all interested</w:t>
      </w:r>
      <w:r>
        <w:rPr>
          <w:spacing w:val="8"/>
          <w:w w:val="105"/>
          <w:sz w:val="21"/>
        </w:rPr>
        <w:t> </w:t>
      </w:r>
      <w:r>
        <w:rPr>
          <w:w w:val="105"/>
          <w:sz w:val="21"/>
        </w:rPr>
        <w:t>beneficiaries.</w:t>
      </w:r>
    </w:p>
    <w:p>
      <w:pPr>
        <w:pStyle w:val="ListParagraph"/>
        <w:numPr>
          <w:ilvl w:val="0"/>
          <w:numId w:val="16"/>
        </w:numPr>
        <w:tabs>
          <w:tab w:pos="1928" w:val="left" w:leader="none"/>
        </w:tabs>
        <w:spacing w:line="242" w:lineRule="auto" w:before="123" w:after="0"/>
        <w:ind w:left="1927" w:right="1834" w:hanging="340"/>
        <w:jc w:val="left"/>
        <w:rPr>
          <w:sz w:val="21"/>
        </w:rPr>
      </w:pPr>
      <w:r>
        <w:rPr>
          <w:sz w:val="21"/>
        </w:rPr>
        <w:t>Legal practitioner executors should be </w:t>
      </w:r>
      <w:r>
        <w:rPr>
          <w:spacing w:val="-3"/>
          <w:sz w:val="21"/>
        </w:rPr>
        <w:t>required to </w:t>
      </w:r>
      <w:r>
        <w:rPr>
          <w:sz w:val="21"/>
        </w:rPr>
        <w:t>disclose </w:t>
      </w:r>
      <w:r>
        <w:rPr>
          <w:spacing w:val="-3"/>
          <w:sz w:val="21"/>
        </w:rPr>
        <w:t>to </w:t>
      </w:r>
      <w:r>
        <w:rPr>
          <w:sz w:val="21"/>
        </w:rPr>
        <w:t>beneficiaries details about their </w:t>
      </w:r>
      <w:r>
        <w:rPr>
          <w:spacing w:val="-3"/>
          <w:sz w:val="21"/>
        </w:rPr>
        <w:t>charges to </w:t>
      </w:r>
      <w:r>
        <w:rPr>
          <w:sz w:val="21"/>
        </w:rPr>
        <w:t>the estate </w:t>
      </w:r>
      <w:r>
        <w:rPr>
          <w:spacing w:val="-3"/>
          <w:sz w:val="21"/>
        </w:rPr>
        <w:t>for executorial  </w:t>
      </w:r>
      <w:r>
        <w:rPr>
          <w:sz w:val="21"/>
        </w:rPr>
        <w:t>and  legal  services,  and  associated  </w:t>
      </w:r>
      <w:r>
        <w:rPr>
          <w:spacing w:val="-3"/>
          <w:sz w:val="21"/>
        </w:rPr>
        <w:t>information,  </w:t>
      </w:r>
      <w:r>
        <w:rPr>
          <w:sz w:val="21"/>
        </w:rPr>
        <w:t>along the </w:t>
      </w:r>
      <w:r>
        <w:rPr>
          <w:spacing w:val="-3"/>
          <w:sz w:val="21"/>
        </w:rPr>
        <w:t>lines  currently  required  </w:t>
      </w:r>
      <w:r>
        <w:rPr>
          <w:sz w:val="21"/>
        </w:rPr>
        <w:t>by section </w:t>
      </w:r>
      <w:r>
        <w:rPr>
          <w:spacing w:val="-4"/>
          <w:sz w:val="21"/>
        </w:rPr>
        <w:t>3.4.9  </w:t>
      </w:r>
      <w:r>
        <w:rPr>
          <w:sz w:val="21"/>
        </w:rPr>
        <w:t>of the </w:t>
      </w:r>
      <w:r>
        <w:rPr>
          <w:i/>
          <w:sz w:val="21"/>
        </w:rPr>
        <w:t>Legal </w:t>
      </w:r>
      <w:r>
        <w:rPr>
          <w:i/>
          <w:spacing w:val="-3"/>
          <w:sz w:val="21"/>
        </w:rPr>
        <w:t>Profession  </w:t>
      </w:r>
      <w:r>
        <w:rPr>
          <w:i/>
          <w:sz w:val="21"/>
        </w:rPr>
        <w:t>Act 2004 </w:t>
      </w:r>
      <w:r>
        <w:rPr>
          <w:sz w:val="21"/>
        </w:rPr>
        <w:t>(Vic) in respect  of costs </w:t>
      </w:r>
      <w:r>
        <w:rPr>
          <w:spacing w:val="-3"/>
          <w:sz w:val="21"/>
        </w:rPr>
        <w:t>disclosure to </w:t>
      </w:r>
      <w:r>
        <w:rPr>
          <w:sz w:val="21"/>
        </w:rPr>
        <w:t>clients. In</w:t>
      </w:r>
      <w:r>
        <w:rPr>
          <w:spacing w:val="9"/>
          <w:sz w:val="21"/>
        </w:rPr>
        <w:t> </w:t>
      </w:r>
      <w:r>
        <w:rPr>
          <w:sz w:val="21"/>
        </w:rPr>
        <w:t>particular:</w:t>
      </w:r>
    </w:p>
    <w:p>
      <w:pPr>
        <w:pStyle w:val="ListParagraph"/>
        <w:numPr>
          <w:ilvl w:val="1"/>
          <w:numId w:val="16"/>
        </w:numPr>
        <w:tabs>
          <w:tab w:pos="3028" w:val="left" w:leader="none"/>
        </w:tabs>
        <w:spacing w:line="240" w:lineRule="auto" w:before="124" w:after="0"/>
        <w:ind w:left="3027" w:right="0" w:hanging="306"/>
        <w:jc w:val="left"/>
        <w:rPr>
          <w:sz w:val="21"/>
        </w:rPr>
      </w:pPr>
      <w:r>
        <w:rPr>
          <w:w w:val="105"/>
          <w:sz w:val="21"/>
        </w:rPr>
        <w:t>Costs </w:t>
      </w:r>
      <w:r>
        <w:rPr>
          <w:spacing w:val="-3"/>
          <w:w w:val="105"/>
          <w:sz w:val="21"/>
        </w:rPr>
        <w:t>disclosure to </w:t>
      </w:r>
      <w:r>
        <w:rPr>
          <w:w w:val="105"/>
          <w:sz w:val="21"/>
        </w:rPr>
        <w:t>beneficiaries should be</w:t>
      </w:r>
      <w:r>
        <w:rPr>
          <w:spacing w:val="29"/>
          <w:w w:val="105"/>
          <w:sz w:val="21"/>
        </w:rPr>
        <w:t> </w:t>
      </w:r>
      <w:r>
        <w:rPr>
          <w:w w:val="105"/>
          <w:sz w:val="21"/>
        </w:rPr>
        <w:t>required:</w:t>
      </w:r>
    </w:p>
    <w:p>
      <w:pPr>
        <w:pStyle w:val="ListParagraph"/>
        <w:numPr>
          <w:ilvl w:val="2"/>
          <w:numId w:val="16"/>
        </w:numPr>
        <w:tabs>
          <w:tab w:pos="3365" w:val="left" w:leader="none"/>
        </w:tabs>
        <w:spacing w:line="242" w:lineRule="auto" w:before="124" w:after="0"/>
        <w:ind w:left="3364" w:right="1805" w:hanging="337"/>
        <w:jc w:val="left"/>
        <w:rPr>
          <w:sz w:val="21"/>
        </w:rPr>
      </w:pPr>
      <w:r>
        <w:rPr>
          <w:sz w:val="21"/>
        </w:rPr>
        <w:t>as soon as practicable after the law practice or legal practitioner </w:t>
      </w:r>
      <w:r>
        <w:rPr>
          <w:spacing w:val="-3"/>
          <w:sz w:val="21"/>
        </w:rPr>
        <w:t>commences  </w:t>
      </w:r>
      <w:r>
        <w:rPr>
          <w:sz w:val="21"/>
        </w:rPr>
        <w:t>in the position of</w:t>
      </w:r>
      <w:r>
        <w:rPr>
          <w:spacing w:val="33"/>
          <w:sz w:val="21"/>
        </w:rPr>
        <w:t> </w:t>
      </w:r>
      <w:r>
        <w:rPr>
          <w:spacing w:val="-3"/>
          <w:sz w:val="21"/>
        </w:rPr>
        <w:t>executor</w:t>
      </w:r>
    </w:p>
    <w:p>
      <w:pPr>
        <w:pStyle w:val="ListParagraph"/>
        <w:numPr>
          <w:ilvl w:val="2"/>
          <w:numId w:val="16"/>
        </w:numPr>
        <w:tabs>
          <w:tab w:pos="3351" w:val="left" w:leader="none"/>
        </w:tabs>
        <w:spacing w:line="242" w:lineRule="auto" w:before="122" w:after="0"/>
        <w:ind w:left="3350" w:right="1719" w:hanging="323"/>
        <w:jc w:val="left"/>
        <w:rPr>
          <w:sz w:val="21"/>
        </w:rPr>
      </w:pPr>
      <w:r>
        <w:rPr>
          <w:sz w:val="21"/>
        </w:rPr>
        <w:t>as soon as practicable after the law practice or legal practitioner </w:t>
      </w:r>
      <w:r>
        <w:rPr>
          <w:spacing w:val="-3"/>
          <w:sz w:val="21"/>
        </w:rPr>
        <w:t>executor </w:t>
      </w:r>
      <w:r>
        <w:rPr>
          <w:sz w:val="21"/>
        </w:rPr>
        <w:t>becomes </w:t>
      </w:r>
      <w:r>
        <w:rPr>
          <w:spacing w:val="-3"/>
          <w:sz w:val="21"/>
        </w:rPr>
        <w:t>aware </w:t>
      </w:r>
      <w:r>
        <w:rPr>
          <w:sz w:val="21"/>
        </w:rPr>
        <w:t>of </w:t>
      </w:r>
      <w:r>
        <w:rPr>
          <w:spacing w:val="-3"/>
          <w:sz w:val="21"/>
        </w:rPr>
        <w:t>any substantial change to </w:t>
      </w:r>
      <w:r>
        <w:rPr>
          <w:sz w:val="21"/>
        </w:rPr>
        <w:t>anything </w:t>
      </w:r>
      <w:r>
        <w:rPr>
          <w:spacing w:val="-3"/>
          <w:sz w:val="21"/>
        </w:rPr>
        <w:t>included </w:t>
      </w:r>
      <w:r>
        <w:rPr>
          <w:sz w:val="21"/>
        </w:rPr>
        <w:t>in a </w:t>
      </w:r>
      <w:r>
        <w:rPr>
          <w:spacing w:val="-3"/>
          <w:sz w:val="21"/>
        </w:rPr>
        <w:t>disclosure already </w:t>
      </w:r>
      <w:r>
        <w:rPr>
          <w:sz w:val="21"/>
        </w:rPr>
        <w:t>made </w:t>
      </w:r>
      <w:r>
        <w:rPr>
          <w:spacing w:val="-3"/>
          <w:sz w:val="21"/>
        </w:rPr>
        <w:t>to </w:t>
      </w:r>
      <w:r>
        <w:rPr>
          <w:sz w:val="21"/>
        </w:rPr>
        <w:t>the</w:t>
      </w:r>
      <w:r>
        <w:rPr>
          <w:spacing w:val="40"/>
          <w:sz w:val="21"/>
        </w:rPr>
        <w:t> </w:t>
      </w:r>
      <w:r>
        <w:rPr>
          <w:sz w:val="21"/>
        </w:rPr>
        <w:t>beneficiary</w:t>
      </w:r>
    </w:p>
    <w:p>
      <w:pPr>
        <w:pStyle w:val="ListParagraph"/>
        <w:numPr>
          <w:ilvl w:val="2"/>
          <w:numId w:val="16"/>
        </w:numPr>
        <w:tabs>
          <w:tab w:pos="3337" w:val="left" w:leader="none"/>
        </w:tabs>
        <w:spacing w:line="242" w:lineRule="auto" w:before="124" w:after="0"/>
        <w:ind w:left="3336" w:right="2302" w:hanging="309"/>
        <w:jc w:val="left"/>
        <w:rPr>
          <w:sz w:val="21"/>
        </w:rPr>
      </w:pPr>
      <w:r>
        <w:rPr>
          <w:w w:val="105"/>
          <w:sz w:val="21"/>
        </w:rPr>
        <w:t>in </w:t>
      </w:r>
      <w:r>
        <w:rPr>
          <w:spacing w:val="-3"/>
          <w:w w:val="105"/>
          <w:sz w:val="21"/>
        </w:rPr>
        <w:t>plain language, </w:t>
      </w:r>
      <w:r>
        <w:rPr>
          <w:w w:val="105"/>
          <w:sz w:val="21"/>
        </w:rPr>
        <w:t>which </w:t>
      </w:r>
      <w:r>
        <w:rPr>
          <w:spacing w:val="-3"/>
          <w:w w:val="105"/>
          <w:sz w:val="21"/>
        </w:rPr>
        <w:t>may </w:t>
      </w:r>
      <w:r>
        <w:rPr>
          <w:w w:val="105"/>
          <w:sz w:val="21"/>
        </w:rPr>
        <w:t>be in a </w:t>
      </w:r>
      <w:r>
        <w:rPr>
          <w:spacing w:val="-3"/>
          <w:w w:val="105"/>
          <w:sz w:val="21"/>
        </w:rPr>
        <w:t>language </w:t>
      </w:r>
      <w:r>
        <w:rPr>
          <w:w w:val="105"/>
          <w:sz w:val="21"/>
        </w:rPr>
        <w:t>other </w:t>
      </w:r>
      <w:r>
        <w:rPr>
          <w:spacing w:val="-3"/>
          <w:w w:val="105"/>
          <w:sz w:val="21"/>
        </w:rPr>
        <w:t>than English </w:t>
      </w:r>
      <w:r>
        <w:rPr>
          <w:w w:val="105"/>
          <w:sz w:val="21"/>
        </w:rPr>
        <w:t>if the beneficiary is more </w:t>
      </w:r>
      <w:r>
        <w:rPr>
          <w:spacing w:val="-4"/>
          <w:w w:val="105"/>
          <w:sz w:val="21"/>
        </w:rPr>
        <w:t>familiar </w:t>
      </w:r>
      <w:r>
        <w:rPr>
          <w:w w:val="105"/>
          <w:sz w:val="21"/>
        </w:rPr>
        <w:t>with </w:t>
      </w:r>
      <w:r>
        <w:rPr>
          <w:spacing w:val="-3"/>
          <w:w w:val="105"/>
          <w:sz w:val="21"/>
        </w:rPr>
        <w:t>that</w:t>
      </w:r>
      <w:r>
        <w:rPr>
          <w:spacing w:val="28"/>
          <w:w w:val="105"/>
          <w:sz w:val="21"/>
        </w:rPr>
        <w:t> </w:t>
      </w:r>
      <w:r>
        <w:rPr>
          <w:spacing w:val="-3"/>
          <w:w w:val="105"/>
          <w:sz w:val="21"/>
        </w:rPr>
        <w:t>language</w:t>
      </w:r>
    </w:p>
    <w:p>
      <w:pPr>
        <w:pStyle w:val="ListParagraph"/>
        <w:numPr>
          <w:ilvl w:val="2"/>
          <w:numId w:val="16"/>
        </w:numPr>
        <w:tabs>
          <w:tab w:pos="3341" w:val="left" w:leader="none"/>
        </w:tabs>
        <w:spacing w:line="240" w:lineRule="auto" w:before="122" w:after="0"/>
        <w:ind w:left="3340" w:right="0" w:hanging="313"/>
        <w:jc w:val="left"/>
        <w:rPr>
          <w:sz w:val="21"/>
        </w:rPr>
      </w:pPr>
      <w:r>
        <w:rPr>
          <w:w w:val="105"/>
          <w:sz w:val="21"/>
        </w:rPr>
        <w:t>by </w:t>
      </w:r>
      <w:r>
        <w:rPr>
          <w:spacing w:val="-3"/>
          <w:w w:val="105"/>
          <w:sz w:val="21"/>
        </w:rPr>
        <w:t>spoken </w:t>
      </w:r>
      <w:r>
        <w:rPr>
          <w:w w:val="105"/>
          <w:sz w:val="21"/>
        </w:rPr>
        <w:t>word </w:t>
      </w:r>
      <w:r>
        <w:rPr>
          <w:spacing w:val="-3"/>
          <w:w w:val="105"/>
          <w:sz w:val="21"/>
        </w:rPr>
        <w:t>to </w:t>
      </w:r>
      <w:r>
        <w:rPr>
          <w:w w:val="105"/>
          <w:sz w:val="21"/>
        </w:rPr>
        <w:t>a beneficiary of legal capacity who is </w:t>
      </w:r>
      <w:r>
        <w:rPr>
          <w:spacing w:val="-3"/>
          <w:w w:val="105"/>
          <w:sz w:val="21"/>
        </w:rPr>
        <w:t>unable to</w:t>
      </w:r>
      <w:r>
        <w:rPr>
          <w:spacing w:val="8"/>
          <w:w w:val="105"/>
          <w:sz w:val="21"/>
        </w:rPr>
        <w:t> </w:t>
      </w:r>
      <w:r>
        <w:rPr>
          <w:spacing w:val="-3"/>
          <w:w w:val="105"/>
          <w:sz w:val="21"/>
        </w:rPr>
        <w:t>read.</w:t>
      </w:r>
    </w:p>
    <w:p>
      <w:pPr>
        <w:pStyle w:val="ListParagraph"/>
        <w:numPr>
          <w:ilvl w:val="1"/>
          <w:numId w:val="16"/>
        </w:numPr>
        <w:tabs>
          <w:tab w:pos="3028" w:val="left" w:leader="none"/>
        </w:tabs>
        <w:spacing w:line="240" w:lineRule="auto" w:before="124" w:after="0"/>
        <w:ind w:left="3027" w:right="0" w:hanging="306"/>
        <w:jc w:val="left"/>
        <w:rPr>
          <w:sz w:val="21"/>
        </w:rPr>
      </w:pPr>
      <w:r>
        <w:rPr>
          <w:w w:val="105"/>
          <w:sz w:val="21"/>
        </w:rPr>
        <w:t>Costs </w:t>
      </w:r>
      <w:r>
        <w:rPr>
          <w:spacing w:val="-3"/>
          <w:w w:val="105"/>
          <w:sz w:val="21"/>
        </w:rPr>
        <w:t>disclosure to </w:t>
      </w:r>
      <w:r>
        <w:rPr>
          <w:w w:val="105"/>
          <w:sz w:val="21"/>
        </w:rPr>
        <w:t>beneficiaries should </w:t>
      </w:r>
      <w:r>
        <w:rPr>
          <w:spacing w:val="-2"/>
          <w:w w:val="105"/>
          <w:sz w:val="21"/>
        </w:rPr>
        <w:t>not </w:t>
      </w:r>
      <w:r>
        <w:rPr>
          <w:w w:val="105"/>
          <w:sz w:val="21"/>
        </w:rPr>
        <w:t>be</w:t>
      </w:r>
      <w:r>
        <w:rPr>
          <w:spacing w:val="34"/>
          <w:w w:val="105"/>
          <w:sz w:val="21"/>
        </w:rPr>
        <w:t> </w:t>
      </w:r>
      <w:r>
        <w:rPr>
          <w:w w:val="105"/>
          <w:sz w:val="21"/>
        </w:rPr>
        <w:t>required:</w:t>
      </w:r>
    </w:p>
    <w:p>
      <w:pPr>
        <w:pStyle w:val="ListParagraph"/>
        <w:numPr>
          <w:ilvl w:val="2"/>
          <w:numId w:val="16"/>
        </w:numPr>
        <w:tabs>
          <w:tab w:pos="3365" w:val="left" w:leader="none"/>
        </w:tabs>
        <w:spacing w:line="242" w:lineRule="auto" w:before="123" w:after="0"/>
        <w:ind w:left="3364" w:right="1959" w:hanging="337"/>
        <w:jc w:val="left"/>
        <w:rPr>
          <w:sz w:val="21"/>
        </w:rPr>
      </w:pPr>
      <w:r>
        <w:rPr>
          <w:w w:val="105"/>
          <w:sz w:val="21"/>
        </w:rPr>
        <w:t>if</w:t>
      </w:r>
      <w:r>
        <w:rPr>
          <w:spacing w:val="-7"/>
          <w:w w:val="105"/>
          <w:sz w:val="21"/>
        </w:rPr>
        <w:t> </w:t>
      </w:r>
      <w:r>
        <w:rPr>
          <w:spacing w:val="-3"/>
          <w:w w:val="105"/>
          <w:sz w:val="21"/>
        </w:rPr>
        <w:t>disclosure</w:t>
      </w:r>
      <w:r>
        <w:rPr>
          <w:spacing w:val="-6"/>
          <w:w w:val="105"/>
          <w:sz w:val="21"/>
        </w:rPr>
        <w:t> </w:t>
      </w:r>
      <w:r>
        <w:rPr>
          <w:w w:val="105"/>
          <w:sz w:val="21"/>
        </w:rPr>
        <w:t>in</w:t>
      </w:r>
      <w:r>
        <w:rPr>
          <w:spacing w:val="-7"/>
          <w:w w:val="105"/>
          <w:sz w:val="21"/>
        </w:rPr>
        <w:t> </w:t>
      </w:r>
      <w:r>
        <w:rPr>
          <w:spacing w:val="-3"/>
          <w:w w:val="105"/>
          <w:sz w:val="21"/>
        </w:rPr>
        <w:t>accordance</w:t>
      </w:r>
      <w:r>
        <w:rPr>
          <w:spacing w:val="-6"/>
          <w:w w:val="105"/>
          <w:sz w:val="21"/>
        </w:rPr>
        <w:t> </w:t>
      </w:r>
      <w:r>
        <w:rPr>
          <w:w w:val="105"/>
          <w:sz w:val="21"/>
        </w:rPr>
        <w:t>with</w:t>
      </w:r>
      <w:r>
        <w:rPr>
          <w:spacing w:val="-7"/>
          <w:w w:val="105"/>
          <w:sz w:val="21"/>
        </w:rPr>
        <w:t> </w:t>
      </w:r>
      <w:r>
        <w:rPr>
          <w:w w:val="105"/>
          <w:sz w:val="21"/>
        </w:rPr>
        <w:t>the</w:t>
      </w:r>
      <w:r>
        <w:rPr>
          <w:spacing w:val="-6"/>
          <w:w w:val="105"/>
          <w:sz w:val="21"/>
        </w:rPr>
        <w:t> </w:t>
      </w:r>
      <w:r>
        <w:rPr>
          <w:spacing w:val="-3"/>
          <w:w w:val="105"/>
          <w:sz w:val="21"/>
        </w:rPr>
        <w:t>obligations</w:t>
      </w:r>
      <w:r>
        <w:rPr>
          <w:spacing w:val="-7"/>
          <w:w w:val="105"/>
          <w:sz w:val="21"/>
        </w:rPr>
        <w:t> </w:t>
      </w:r>
      <w:r>
        <w:rPr>
          <w:spacing w:val="-3"/>
          <w:w w:val="105"/>
          <w:sz w:val="21"/>
        </w:rPr>
        <w:t>currently</w:t>
      </w:r>
      <w:r>
        <w:rPr>
          <w:spacing w:val="-6"/>
          <w:w w:val="105"/>
          <w:sz w:val="21"/>
        </w:rPr>
        <w:t> </w:t>
      </w:r>
      <w:r>
        <w:rPr>
          <w:w w:val="105"/>
          <w:sz w:val="21"/>
        </w:rPr>
        <w:t>set</w:t>
      </w:r>
      <w:r>
        <w:rPr>
          <w:spacing w:val="-6"/>
          <w:w w:val="105"/>
          <w:sz w:val="21"/>
        </w:rPr>
        <w:t> </w:t>
      </w:r>
      <w:r>
        <w:rPr>
          <w:w w:val="105"/>
          <w:sz w:val="21"/>
        </w:rPr>
        <w:t>out</w:t>
      </w:r>
      <w:r>
        <w:rPr>
          <w:spacing w:val="-7"/>
          <w:w w:val="105"/>
          <w:sz w:val="21"/>
        </w:rPr>
        <w:t> </w:t>
      </w:r>
      <w:r>
        <w:rPr>
          <w:w w:val="105"/>
          <w:sz w:val="21"/>
        </w:rPr>
        <w:t>at</w:t>
      </w:r>
      <w:r>
        <w:rPr>
          <w:spacing w:val="-6"/>
          <w:w w:val="105"/>
          <w:sz w:val="21"/>
        </w:rPr>
        <w:t> </w:t>
      </w:r>
      <w:r>
        <w:rPr>
          <w:w w:val="105"/>
          <w:sz w:val="21"/>
        </w:rPr>
        <w:t>sections </w:t>
      </w:r>
      <w:r>
        <w:rPr>
          <w:spacing w:val="-5"/>
          <w:w w:val="105"/>
          <w:sz w:val="21"/>
        </w:rPr>
        <w:t>3.4.9–3.4.18 </w:t>
      </w:r>
      <w:r>
        <w:rPr>
          <w:w w:val="105"/>
          <w:sz w:val="21"/>
        </w:rPr>
        <w:t>is made </w:t>
      </w:r>
      <w:r>
        <w:rPr>
          <w:spacing w:val="-3"/>
          <w:w w:val="105"/>
          <w:sz w:val="21"/>
        </w:rPr>
        <w:t>to </w:t>
      </w:r>
      <w:r>
        <w:rPr>
          <w:w w:val="105"/>
          <w:sz w:val="21"/>
        </w:rPr>
        <w:t>a co-executor who is </w:t>
      </w:r>
      <w:r>
        <w:rPr>
          <w:spacing w:val="-2"/>
          <w:w w:val="105"/>
          <w:sz w:val="21"/>
        </w:rPr>
        <w:t>not </w:t>
      </w:r>
      <w:r>
        <w:rPr>
          <w:w w:val="105"/>
          <w:sz w:val="21"/>
        </w:rPr>
        <w:t>a legal</w:t>
      </w:r>
      <w:r>
        <w:rPr>
          <w:spacing w:val="30"/>
          <w:w w:val="105"/>
          <w:sz w:val="21"/>
        </w:rPr>
        <w:t> </w:t>
      </w:r>
      <w:r>
        <w:rPr>
          <w:w w:val="105"/>
          <w:sz w:val="21"/>
        </w:rPr>
        <w:t>practitioner</w:t>
      </w:r>
    </w:p>
    <w:p>
      <w:pPr>
        <w:pStyle w:val="ListParagraph"/>
        <w:numPr>
          <w:ilvl w:val="2"/>
          <w:numId w:val="16"/>
        </w:numPr>
        <w:tabs>
          <w:tab w:pos="3351" w:val="left" w:leader="none"/>
        </w:tabs>
        <w:spacing w:line="240" w:lineRule="auto" w:before="123" w:after="0"/>
        <w:ind w:left="3350" w:right="0" w:hanging="323"/>
        <w:jc w:val="left"/>
        <w:rPr>
          <w:sz w:val="21"/>
        </w:rPr>
      </w:pPr>
      <w:r>
        <w:rPr>
          <w:spacing w:val="-3"/>
          <w:sz w:val="21"/>
        </w:rPr>
        <w:t>to</w:t>
      </w:r>
      <w:r>
        <w:rPr>
          <w:spacing w:val="9"/>
          <w:sz w:val="21"/>
        </w:rPr>
        <w:t> </w:t>
      </w:r>
      <w:r>
        <w:rPr>
          <w:sz w:val="21"/>
        </w:rPr>
        <w:t>a</w:t>
      </w:r>
      <w:r>
        <w:rPr>
          <w:spacing w:val="9"/>
          <w:sz w:val="21"/>
        </w:rPr>
        <w:t> </w:t>
      </w:r>
      <w:r>
        <w:rPr>
          <w:sz w:val="21"/>
        </w:rPr>
        <w:t>beneficiary</w:t>
      </w:r>
      <w:r>
        <w:rPr>
          <w:spacing w:val="9"/>
          <w:sz w:val="21"/>
        </w:rPr>
        <w:t> </w:t>
      </w:r>
      <w:r>
        <w:rPr>
          <w:sz w:val="21"/>
        </w:rPr>
        <w:t>who</w:t>
      </w:r>
      <w:r>
        <w:rPr>
          <w:spacing w:val="9"/>
          <w:sz w:val="21"/>
        </w:rPr>
        <w:t> </w:t>
      </w:r>
      <w:r>
        <w:rPr>
          <w:sz w:val="21"/>
        </w:rPr>
        <w:t>is</w:t>
      </w:r>
      <w:r>
        <w:rPr>
          <w:spacing w:val="9"/>
          <w:sz w:val="21"/>
        </w:rPr>
        <w:t> </w:t>
      </w:r>
      <w:r>
        <w:rPr>
          <w:spacing w:val="-2"/>
          <w:sz w:val="21"/>
        </w:rPr>
        <w:t>not</w:t>
      </w:r>
      <w:r>
        <w:rPr>
          <w:spacing w:val="9"/>
          <w:sz w:val="21"/>
        </w:rPr>
        <w:t> </w:t>
      </w:r>
      <w:r>
        <w:rPr>
          <w:spacing w:val="-2"/>
          <w:sz w:val="21"/>
        </w:rPr>
        <w:t>legally</w:t>
      </w:r>
      <w:r>
        <w:rPr>
          <w:spacing w:val="10"/>
          <w:sz w:val="21"/>
        </w:rPr>
        <w:t> </w:t>
      </w:r>
      <w:r>
        <w:rPr>
          <w:spacing w:val="-3"/>
          <w:sz w:val="21"/>
        </w:rPr>
        <w:t>competent</w:t>
      </w:r>
    </w:p>
    <w:p>
      <w:pPr>
        <w:pStyle w:val="ListParagraph"/>
        <w:numPr>
          <w:ilvl w:val="2"/>
          <w:numId w:val="16"/>
        </w:numPr>
        <w:tabs>
          <w:tab w:pos="3337" w:val="left" w:leader="none"/>
        </w:tabs>
        <w:spacing w:line="242" w:lineRule="auto" w:before="123" w:after="0"/>
        <w:ind w:left="3336" w:right="1948" w:hanging="309"/>
        <w:jc w:val="left"/>
        <w:rPr>
          <w:sz w:val="21"/>
        </w:rPr>
      </w:pPr>
      <w:r>
        <w:rPr>
          <w:spacing w:val="-3"/>
          <w:sz w:val="21"/>
        </w:rPr>
        <w:t>to </w:t>
      </w:r>
      <w:r>
        <w:rPr>
          <w:sz w:val="21"/>
        </w:rPr>
        <w:t>a beneficiary whose </w:t>
      </w:r>
      <w:r>
        <w:rPr>
          <w:spacing w:val="-3"/>
          <w:sz w:val="21"/>
        </w:rPr>
        <w:t>entitlement </w:t>
      </w:r>
      <w:r>
        <w:rPr>
          <w:sz w:val="21"/>
        </w:rPr>
        <w:t>under the </w:t>
      </w:r>
      <w:r>
        <w:rPr>
          <w:spacing w:val="-3"/>
          <w:sz w:val="21"/>
        </w:rPr>
        <w:t>will </w:t>
      </w:r>
      <w:r>
        <w:rPr>
          <w:sz w:val="21"/>
        </w:rPr>
        <w:t>is unaffected by payment </w:t>
      </w:r>
      <w:r>
        <w:rPr>
          <w:spacing w:val="-3"/>
          <w:sz w:val="21"/>
        </w:rPr>
        <w:t>from</w:t>
      </w:r>
      <w:r>
        <w:rPr>
          <w:spacing w:val="9"/>
          <w:sz w:val="21"/>
        </w:rPr>
        <w:t> </w:t>
      </w:r>
      <w:r>
        <w:rPr>
          <w:sz w:val="21"/>
        </w:rPr>
        <w:t>the</w:t>
      </w:r>
      <w:r>
        <w:rPr>
          <w:spacing w:val="9"/>
          <w:sz w:val="21"/>
        </w:rPr>
        <w:t> </w:t>
      </w:r>
      <w:r>
        <w:rPr>
          <w:sz w:val="21"/>
        </w:rPr>
        <w:t>estate</w:t>
      </w:r>
      <w:r>
        <w:rPr>
          <w:spacing w:val="10"/>
          <w:sz w:val="21"/>
        </w:rPr>
        <w:t> </w:t>
      </w:r>
      <w:r>
        <w:rPr>
          <w:spacing w:val="-3"/>
          <w:sz w:val="21"/>
        </w:rPr>
        <w:t>for</w:t>
      </w:r>
      <w:r>
        <w:rPr>
          <w:spacing w:val="9"/>
          <w:sz w:val="21"/>
        </w:rPr>
        <w:t> </w:t>
      </w:r>
      <w:r>
        <w:rPr>
          <w:sz w:val="21"/>
        </w:rPr>
        <w:t>legal</w:t>
      </w:r>
      <w:r>
        <w:rPr>
          <w:spacing w:val="10"/>
          <w:sz w:val="21"/>
        </w:rPr>
        <w:t> </w:t>
      </w:r>
      <w:r>
        <w:rPr>
          <w:sz w:val="21"/>
        </w:rPr>
        <w:t>and</w:t>
      </w:r>
      <w:r>
        <w:rPr>
          <w:spacing w:val="9"/>
          <w:sz w:val="21"/>
        </w:rPr>
        <w:t> </w:t>
      </w:r>
      <w:r>
        <w:rPr>
          <w:spacing w:val="-3"/>
          <w:sz w:val="21"/>
        </w:rPr>
        <w:t>executorial</w:t>
      </w:r>
      <w:r>
        <w:rPr>
          <w:spacing w:val="9"/>
          <w:sz w:val="21"/>
        </w:rPr>
        <w:t> </w:t>
      </w:r>
      <w:r>
        <w:rPr>
          <w:sz w:val="21"/>
        </w:rPr>
        <w:t>services.</w:t>
      </w:r>
    </w:p>
    <w:p>
      <w:pPr>
        <w:pStyle w:val="ListParagraph"/>
        <w:numPr>
          <w:ilvl w:val="1"/>
          <w:numId w:val="16"/>
        </w:numPr>
        <w:tabs>
          <w:tab w:pos="3028" w:val="left" w:leader="none"/>
        </w:tabs>
        <w:spacing w:line="242" w:lineRule="auto" w:before="123" w:after="0"/>
        <w:ind w:left="3027" w:right="2080" w:hanging="306"/>
        <w:jc w:val="left"/>
        <w:rPr>
          <w:sz w:val="21"/>
        </w:rPr>
      </w:pPr>
      <w:r>
        <w:rPr>
          <w:sz w:val="21"/>
        </w:rPr>
        <w:t>A </w:t>
      </w:r>
      <w:r>
        <w:rPr>
          <w:spacing w:val="-4"/>
          <w:sz w:val="21"/>
        </w:rPr>
        <w:t>failure </w:t>
      </w:r>
      <w:r>
        <w:rPr>
          <w:sz w:val="21"/>
        </w:rPr>
        <w:t>by a law practice </w:t>
      </w:r>
      <w:r>
        <w:rPr>
          <w:spacing w:val="-3"/>
          <w:sz w:val="21"/>
        </w:rPr>
        <w:t>to </w:t>
      </w:r>
      <w:r>
        <w:rPr>
          <w:sz w:val="21"/>
        </w:rPr>
        <w:t>comply with the </w:t>
      </w:r>
      <w:r>
        <w:rPr>
          <w:spacing w:val="-3"/>
          <w:sz w:val="21"/>
        </w:rPr>
        <w:t>disclosure requirements  </w:t>
      </w:r>
      <w:r>
        <w:rPr>
          <w:sz w:val="21"/>
        </w:rPr>
        <w:t>should  be</w:t>
      </w:r>
      <w:r>
        <w:rPr>
          <w:spacing w:val="28"/>
          <w:sz w:val="21"/>
        </w:rPr>
        <w:t> </w:t>
      </w:r>
      <w:r>
        <w:rPr>
          <w:sz w:val="21"/>
        </w:rPr>
        <w:t>capable</w:t>
      </w:r>
      <w:r>
        <w:rPr>
          <w:spacing w:val="28"/>
          <w:sz w:val="21"/>
        </w:rPr>
        <w:t> </w:t>
      </w:r>
      <w:r>
        <w:rPr>
          <w:sz w:val="21"/>
        </w:rPr>
        <w:t>of</w:t>
      </w:r>
      <w:r>
        <w:rPr>
          <w:spacing w:val="28"/>
          <w:sz w:val="21"/>
        </w:rPr>
        <w:t> </w:t>
      </w:r>
      <w:r>
        <w:rPr>
          <w:spacing w:val="-3"/>
          <w:sz w:val="21"/>
        </w:rPr>
        <w:t>constituting</w:t>
      </w:r>
      <w:r>
        <w:rPr>
          <w:spacing w:val="28"/>
          <w:sz w:val="21"/>
        </w:rPr>
        <w:t> </w:t>
      </w:r>
      <w:r>
        <w:rPr>
          <w:sz w:val="21"/>
        </w:rPr>
        <w:t>unsatisfactory</w:t>
      </w:r>
      <w:r>
        <w:rPr>
          <w:spacing w:val="28"/>
          <w:sz w:val="21"/>
        </w:rPr>
        <w:t> </w:t>
      </w:r>
      <w:r>
        <w:rPr>
          <w:spacing w:val="-3"/>
          <w:sz w:val="21"/>
        </w:rPr>
        <w:t>professional</w:t>
      </w:r>
      <w:r>
        <w:rPr>
          <w:spacing w:val="28"/>
          <w:sz w:val="21"/>
        </w:rPr>
        <w:t> </w:t>
      </w:r>
      <w:r>
        <w:rPr>
          <w:sz w:val="21"/>
        </w:rPr>
        <w:t>conduct</w:t>
      </w:r>
      <w:r>
        <w:rPr>
          <w:spacing w:val="28"/>
          <w:sz w:val="21"/>
        </w:rPr>
        <w:t> </w:t>
      </w:r>
      <w:r>
        <w:rPr>
          <w:sz w:val="21"/>
        </w:rPr>
        <w:t>or</w:t>
      </w:r>
      <w:r>
        <w:rPr>
          <w:spacing w:val="28"/>
          <w:sz w:val="21"/>
        </w:rPr>
        <w:t> </w:t>
      </w:r>
      <w:r>
        <w:rPr>
          <w:spacing w:val="-3"/>
          <w:sz w:val="21"/>
        </w:rPr>
        <w:t>professional</w:t>
      </w:r>
    </w:p>
    <w:p>
      <w:pPr>
        <w:pStyle w:val="BodyText"/>
        <w:spacing w:line="242" w:lineRule="auto" w:before="2"/>
        <w:ind w:left="3027" w:right="1619"/>
      </w:pPr>
      <w:r>
        <w:rPr/>
        <w:t>misconduct on the part of any legal practitioner involved in the failure, as currently applies in respect of disclosure to clients.</w:t>
      </w:r>
    </w:p>
    <w:p>
      <w:pPr>
        <w:pStyle w:val="ListParagraph"/>
        <w:numPr>
          <w:ilvl w:val="0"/>
          <w:numId w:val="16"/>
        </w:numPr>
        <w:tabs>
          <w:tab w:pos="1928" w:val="left" w:leader="none"/>
        </w:tabs>
        <w:spacing w:line="242" w:lineRule="auto" w:before="122" w:after="0"/>
        <w:ind w:left="1927" w:right="1768" w:hanging="340"/>
        <w:jc w:val="left"/>
        <w:rPr>
          <w:sz w:val="21"/>
        </w:rPr>
      </w:pPr>
      <w:r>
        <w:rPr>
          <w:w w:val="105"/>
          <w:sz w:val="21"/>
        </w:rPr>
        <w:t>Costs </w:t>
      </w:r>
      <w:r>
        <w:rPr>
          <w:spacing w:val="-3"/>
          <w:w w:val="105"/>
          <w:sz w:val="21"/>
        </w:rPr>
        <w:t>disclosure to </w:t>
      </w:r>
      <w:r>
        <w:rPr>
          <w:w w:val="105"/>
          <w:sz w:val="21"/>
        </w:rPr>
        <w:t>beneficiaries about their rights </w:t>
      </w:r>
      <w:r>
        <w:rPr>
          <w:spacing w:val="-3"/>
          <w:w w:val="105"/>
          <w:sz w:val="21"/>
        </w:rPr>
        <w:t>to </w:t>
      </w:r>
      <w:r>
        <w:rPr>
          <w:w w:val="105"/>
          <w:sz w:val="21"/>
        </w:rPr>
        <w:t>receive </w:t>
      </w:r>
      <w:r>
        <w:rPr>
          <w:spacing w:val="-3"/>
          <w:w w:val="105"/>
          <w:sz w:val="21"/>
        </w:rPr>
        <w:t>information, </w:t>
      </w:r>
      <w:r>
        <w:rPr>
          <w:w w:val="105"/>
          <w:sz w:val="21"/>
        </w:rPr>
        <w:t>seek costs review and </w:t>
      </w:r>
      <w:r>
        <w:rPr>
          <w:spacing w:val="-4"/>
          <w:w w:val="105"/>
          <w:sz w:val="21"/>
        </w:rPr>
        <w:t>make </w:t>
      </w:r>
      <w:r>
        <w:rPr>
          <w:w w:val="105"/>
          <w:sz w:val="21"/>
        </w:rPr>
        <w:t>a </w:t>
      </w:r>
      <w:r>
        <w:rPr>
          <w:spacing w:val="-3"/>
          <w:w w:val="105"/>
          <w:sz w:val="21"/>
        </w:rPr>
        <w:t>complaint </w:t>
      </w:r>
      <w:r>
        <w:rPr>
          <w:w w:val="105"/>
          <w:sz w:val="21"/>
        </w:rPr>
        <w:t>should be possible by </w:t>
      </w:r>
      <w:r>
        <w:rPr>
          <w:spacing w:val="-3"/>
          <w:w w:val="105"/>
          <w:sz w:val="21"/>
        </w:rPr>
        <w:t>providing </w:t>
      </w:r>
      <w:r>
        <w:rPr>
          <w:w w:val="105"/>
          <w:sz w:val="21"/>
        </w:rPr>
        <w:t>a written statement. As is </w:t>
      </w:r>
      <w:r>
        <w:rPr>
          <w:spacing w:val="-3"/>
          <w:w w:val="105"/>
          <w:sz w:val="21"/>
        </w:rPr>
        <w:t>currently </w:t>
      </w:r>
      <w:r>
        <w:rPr>
          <w:w w:val="105"/>
          <w:sz w:val="21"/>
        </w:rPr>
        <w:t>permitted</w:t>
      </w:r>
      <w:r>
        <w:rPr>
          <w:spacing w:val="-13"/>
          <w:w w:val="105"/>
          <w:sz w:val="21"/>
        </w:rPr>
        <w:t> </w:t>
      </w:r>
      <w:r>
        <w:rPr>
          <w:w w:val="105"/>
          <w:sz w:val="21"/>
        </w:rPr>
        <w:t>in</w:t>
      </w:r>
      <w:r>
        <w:rPr>
          <w:spacing w:val="-12"/>
          <w:w w:val="105"/>
          <w:sz w:val="21"/>
        </w:rPr>
        <w:t> </w:t>
      </w:r>
      <w:r>
        <w:rPr>
          <w:w w:val="105"/>
          <w:sz w:val="21"/>
        </w:rPr>
        <w:t>respect</w:t>
      </w:r>
      <w:r>
        <w:rPr>
          <w:spacing w:val="-13"/>
          <w:w w:val="105"/>
          <w:sz w:val="21"/>
        </w:rPr>
        <w:t> </w:t>
      </w:r>
      <w:r>
        <w:rPr>
          <w:w w:val="105"/>
          <w:sz w:val="21"/>
        </w:rPr>
        <w:t>of</w:t>
      </w:r>
      <w:r>
        <w:rPr>
          <w:spacing w:val="-12"/>
          <w:w w:val="105"/>
          <w:sz w:val="21"/>
        </w:rPr>
        <w:t> </w:t>
      </w:r>
      <w:r>
        <w:rPr>
          <w:w w:val="105"/>
          <w:sz w:val="21"/>
        </w:rPr>
        <w:t>cost</w:t>
      </w:r>
      <w:r>
        <w:rPr>
          <w:spacing w:val="-12"/>
          <w:w w:val="105"/>
          <w:sz w:val="21"/>
        </w:rPr>
        <w:t> </w:t>
      </w:r>
      <w:r>
        <w:rPr>
          <w:spacing w:val="-3"/>
          <w:w w:val="105"/>
          <w:sz w:val="21"/>
        </w:rPr>
        <w:t>disclosure</w:t>
      </w:r>
      <w:r>
        <w:rPr>
          <w:spacing w:val="-13"/>
          <w:w w:val="105"/>
          <w:sz w:val="21"/>
        </w:rPr>
        <w:t> </w:t>
      </w:r>
      <w:r>
        <w:rPr>
          <w:spacing w:val="-3"/>
          <w:w w:val="105"/>
          <w:sz w:val="21"/>
        </w:rPr>
        <w:t>to</w:t>
      </w:r>
      <w:r>
        <w:rPr>
          <w:spacing w:val="-12"/>
          <w:w w:val="105"/>
          <w:sz w:val="21"/>
        </w:rPr>
        <w:t> </w:t>
      </w:r>
      <w:r>
        <w:rPr>
          <w:w w:val="105"/>
          <w:sz w:val="21"/>
        </w:rPr>
        <w:t>clients,</w:t>
      </w:r>
      <w:r>
        <w:rPr>
          <w:spacing w:val="-13"/>
          <w:w w:val="105"/>
          <w:sz w:val="21"/>
        </w:rPr>
        <w:t> </w:t>
      </w:r>
      <w:r>
        <w:rPr>
          <w:w w:val="105"/>
          <w:sz w:val="21"/>
        </w:rPr>
        <w:t>the</w:t>
      </w:r>
      <w:r>
        <w:rPr>
          <w:spacing w:val="-12"/>
          <w:w w:val="105"/>
          <w:sz w:val="21"/>
        </w:rPr>
        <w:t> </w:t>
      </w:r>
      <w:r>
        <w:rPr>
          <w:w w:val="105"/>
          <w:sz w:val="21"/>
        </w:rPr>
        <w:t>written</w:t>
      </w:r>
      <w:r>
        <w:rPr>
          <w:spacing w:val="-12"/>
          <w:w w:val="105"/>
          <w:sz w:val="21"/>
        </w:rPr>
        <w:t> </w:t>
      </w:r>
      <w:r>
        <w:rPr>
          <w:w w:val="105"/>
          <w:sz w:val="21"/>
        </w:rPr>
        <w:t>statement</w:t>
      </w:r>
      <w:r>
        <w:rPr>
          <w:spacing w:val="-13"/>
          <w:w w:val="105"/>
          <w:sz w:val="21"/>
        </w:rPr>
        <w:t> </w:t>
      </w:r>
      <w:r>
        <w:rPr>
          <w:w w:val="105"/>
          <w:sz w:val="21"/>
        </w:rPr>
        <w:t>should</w:t>
      </w:r>
      <w:r>
        <w:rPr>
          <w:spacing w:val="-12"/>
          <w:w w:val="105"/>
          <w:sz w:val="21"/>
        </w:rPr>
        <w:t> </w:t>
      </w:r>
      <w:r>
        <w:rPr>
          <w:w w:val="105"/>
          <w:sz w:val="21"/>
        </w:rPr>
        <w:t>be</w:t>
      </w:r>
      <w:r>
        <w:rPr>
          <w:spacing w:val="-13"/>
          <w:w w:val="105"/>
          <w:sz w:val="21"/>
        </w:rPr>
        <w:t> </w:t>
      </w:r>
      <w:r>
        <w:rPr>
          <w:spacing w:val="-3"/>
          <w:w w:val="105"/>
          <w:sz w:val="21"/>
        </w:rPr>
        <w:t>prepared</w:t>
      </w:r>
      <w:r>
        <w:rPr>
          <w:spacing w:val="-12"/>
          <w:w w:val="105"/>
          <w:sz w:val="21"/>
        </w:rPr>
        <w:t> </w:t>
      </w:r>
      <w:r>
        <w:rPr>
          <w:w w:val="105"/>
          <w:sz w:val="21"/>
        </w:rPr>
        <w:t>in </w:t>
      </w:r>
      <w:r>
        <w:rPr>
          <w:spacing w:val="-3"/>
          <w:w w:val="105"/>
          <w:sz w:val="21"/>
        </w:rPr>
        <w:t>accordance </w:t>
      </w:r>
      <w:r>
        <w:rPr>
          <w:w w:val="105"/>
          <w:sz w:val="21"/>
        </w:rPr>
        <w:t>with the </w:t>
      </w:r>
      <w:r>
        <w:rPr>
          <w:spacing w:val="-3"/>
          <w:w w:val="105"/>
          <w:sz w:val="21"/>
        </w:rPr>
        <w:t>regulations, </w:t>
      </w:r>
      <w:r>
        <w:rPr>
          <w:w w:val="105"/>
          <w:sz w:val="21"/>
        </w:rPr>
        <w:t>and </w:t>
      </w:r>
      <w:r>
        <w:rPr>
          <w:spacing w:val="-3"/>
          <w:w w:val="105"/>
          <w:sz w:val="21"/>
        </w:rPr>
        <w:t>supplemented </w:t>
      </w:r>
      <w:r>
        <w:rPr>
          <w:w w:val="105"/>
          <w:sz w:val="21"/>
        </w:rPr>
        <w:t>by fact sheets and documents </w:t>
      </w:r>
      <w:r>
        <w:rPr>
          <w:spacing w:val="-3"/>
          <w:w w:val="105"/>
          <w:sz w:val="21"/>
        </w:rPr>
        <w:t>prepared </w:t>
      </w:r>
      <w:r>
        <w:rPr>
          <w:w w:val="105"/>
          <w:sz w:val="21"/>
        </w:rPr>
        <w:t>by the Legal Services </w:t>
      </w:r>
      <w:r>
        <w:rPr>
          <w:spacing w:val="-3"/>
          <w:w w:val="105"/>
          <w:sz w:val="21"/>
        </w:rPr>
        <w:t>Commissioner </w:t>
      </w:r>
      <w:r>
        <w:rPr>
          <w:w w:val="105"/>
          <w:sz w:val="21"/>
        </w:rPr>
        <w:t>in </w:t>
      </w:r>
      <w:r>
        <w:rPr>
          <w:spacing w:val="-3"/>
          <w:w w:val="105"/>
          <w:sz w:val="21"/>
        </w:rPr>
        <w:t>consultation </w:t>
      </w:r>
      <w:r>
        <w:rPr>
          <w:w w:val="105"/>
          <w:sz w:val="21"/>
        </w:rPr>
        <w:t>with the</w:t>
      </w:r>
      <w:r>
        <w:rPr>
          <w:spacing w:val="34"/>
          <w:w w:val="105"/>
          <w:sz w:val="21"/>
        </w:rPr>
        <w:t> </w:t>
      </w:r>
      <w:r>
        <w:rPr>
          <w:spacing w:val="-3"/>
          <w:w w:val="105"/>
          <w:sz w:val="21"/>
        </w:rPr>
        <w:t>profession.</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3"/>
        </w:rPr>
      </w:pPr>
    </w:p>
    <w:p>
      <w:pPr>
        <w:spacing w:before="99"/>
        <w:ind w:left="0" w:right="552" w:firstLine="0"/>
        <w:jc w:val="right"/>
        <w:rPr>
          <w:b/>
          <w:sz w:val="24"/>
        </w:rPr>
      </w:pPr>
      <w:r>
        <w:rPr>
          <w:b/>
          <w:color w:val="EC5A4F"/>
          <w:w w:val="120"/>
          <w:sz w:val="24"/>
        </w:rPr>
        <w:t>xxxi</w:t>
      </w:r>
    </w:p>
    <w:p>
      <w:pPr>
        <w:spacing w:after="0"/>
        <w:jc w:val="right"/>
        <w:rPr>
          <w:sz w:val="24"/>
        </w:rPr>
        <w:sectPr>
          <w:pgSz w:w="11910" w:h="16840"/>
          <w:pgMar w:header="550" w:footer="0" w:top="1560" w:bottom="280" w:left="0" w:right="0"/>
        </w:sectPr>
      </w:pPr>
    </w:p>
    <w:p>
      <w:pPr>
        <w:pStyle w:val="BodyText"/>
        <w:spacing w:before="8"/>
        <w:rPr>
          <w:b/>
          <w:sz w:val="22"/>
        </w:rPr>
      </w:pPr>
    </w:p>
    <w:p>
      <w:pPr>
        <w:pStyle w:val="ListParagraph"/>
        <w:numPr>
          <w:ilvl w:val="0"/>
          <w:numId w:val="17"/>
        </w:numPr>
        <w:tabs>
          <w:tab w:pos="1928" w:val="left" w:leader="none"/>
        </w:tabs>
        <w:spacing w:line="240" w:lineRule="auto" w:before="93" w:after="0"/>
        <w:ind w:left="1927" w:right="0" w:hanging="340"/>
        <w:jc w:val="left"/>
        <w:rPr>
          <w:sz w:val="21"/>
        </w:rPr>
      </w:pPr>
      <w:r>
        <w:rPr>
          <w:w w:val="105"/>
          <w:sz w:val="21"/>
        </w:rPr>
        <w:t>A</w:t>
      </w:r>
      <w:r>
        <w:rPr>
          <w:spacing w:val="3"/>
          <w:w w:val="105"/>
          <w:sz w:val="21"/>
        </w:rPr>
        <w:t> </w:t>
      </w:r>
      <w:r>
        <w:rPr>
          <w:w w:val="105"/>
          <w:sz w:val="21"/>
        </w:rPr>
        <w:t>new</w:t>
      </w:r>
      <w:r>
        <w:rPr>
          <w:spacing w:val="3"/>
          <w:w w:val="105"/>
          <w:sz w:val="21"/>
        </w:rPr>
        <w:t> </w:t>
      </w:r>
      <w:r>
        <w:rPr>
          <w:spacing w:val="-3"/>
          <w:w w:val="105"/>
          <w:sz w:val="21"/>
        </w:rPr>
        <w:t>provision</w:t>
      </w:r>
      <w:r>
        <w:rPr>
          <w:spacing w:val="4"/>
          <w:w w:val="105"/>
          <w:sz w:val="21"/>
        </w:rPr>
        <w:t> </w:t>
      </w:r>
      <w:r>
        <w:rPr>
          <w:w w:val="105"/>
          <w:sz w:val="21"/>
        </w:rPr>
        <w:t>should</w:t>
      </w:r>
      <w:r>
        <w:rPr>
          <w:spacing w:val="3"/>
          <w:w w:val="105"/>
          <w:sz w:val="21"/>
        </w:rPr>
        <w:t> </w:t>
      </w:r>
      <w:r>
        <w:rPr>
          <w:w w:val="105"/>
          <w:sz w:val="21"/>
        </w:rPr>
        <w:t>be</w:t>
      </w:r>
      <w:r>
        <w:rPr>
          <w:spacing w:val="4"/>
          <w:w w:val="105"/>
          <w:sz w:val="21"/>
        </w:rPr>
        <w:t> </w:t>
      </w:r>
      <w:r>
        <w:rPr>
          <w:w w:val="105"/>
          <w:sz w:val="21"/>
        </w:rPr>
        <w:t>inserted</w:t>
      </w:r>
      <w:r>
        <w:rPr>
          <w:spacing w:val="3"/>
          <w:w w:val="105"/>
          <w:sz w:val="21"/>
        </w:rPr>
        <w:t> </w:t>
      </w:r>
      <w:r>
        <w:rPr>
          <w:spacing w:val="-4"/>
          <w:w w:val="105"/>
          <w:sz w:val="21"/>
        </w:rPr>
        <w:t>into</w:t>
      </w:r>
      <w:r>
        <w:rPr>
          <w:spacing w:val="4"/>
          <w:w w:val="105"/>
          <w:sz w:val="21"/>
        </w:rPr>
        <w:t> </w:t>
      </w:r>
      <w:r>
        <w:rPr>
          <w:w w:val="105"/>
          <w:sz w:val="21"/>
        </w:rPr>
        <w:t>the</w:t>
      </w:r>
      <w:r>
        <w:rPr>
          <w:spacing w:val="3"/>
          <w:w w:val="105"/>
          <w:sz w:val="21"/>
        </w:rPr>
        <w:t> </w:t>
      </w:r>
      <w:r>
        <w:rPr>
          <w:i/>
          <w:spacing w:val="-3"/>
          <w:w w:val="105"/>
          <w:sz w:val="21"/>
        </w:rPr>
        <w:t>Administration</w:t>
      </w:r>
      <w:r>
        <w:rPr>
          <w:i/>
          <w:spacing w:val="3"/>
          <w:w w:val="105"/>
          <w:sz w:val="21"/>
        </w:rPr>
        <w:t> </w:t>
      </w:r>
      <w:r>
        <w:rPr>
          <w:i/>
          <w:w w:val="105"/>
          <w:sz w:val="21"/>
        </w:rPr>
        <w:t>and</w:t>
      </w:r>
      <w:r>
        <w:rPr>
          <w:i/>
          <w:spacing w:val="4"/>
          <w:w w:val="105"/>
          <w:sz w:val="21"/>
        </w:rPr>
        <w:t> </w:t>
      </w:r>
      <w:r>
        <w:rPr>
          <w:i/>
          <w:w w:val="105"/>
          <w:sz w:val="21"/>
        </w:rPr>
        <w:t>Probate</w:t>
      </w:r>
      <w:r>
        <w:rPr>
          <w:i/>
          <w:spacing w:val="3"/>
          <w:w w:val="105"/>
          <w:sz w:val="21"/>
        </w:rPr>
        <w:t> </w:t>
      </w:r>
      <w:r>
        <w:rPr>
          <w:i/>
          <w:w w:val="105"/>
          <w:sz w:val="21"/>
        </w:rPr>
        <w:t>Act</w:t>
      </w:r>
      <w:r>
        <w:rPr>
          <w:i/>
          <w:spacing w:val="4"/>
          <w:w w:val="105"/>
          <w:sz w:val="21"/>
        </w:rPr>
        <w:t> </w:t>
      </w:r>
      <w:r>
        <w:rPr>
          <w:i/>
          <w:spacing w:val="-6"/>
          <w:w w:val="105"/>
          <w:sz w:val="21"/>
        </w:rPr>
        <w:t>1958</w:t>
      </w:r>
      <w:r>
        <w:rPr>
          <w:i/>
          <w:spacing w:val="3"/>
          <w:w w:val="105"/>
          <w:sz w:val="21"/>
        </w:rPr>
        <w:t> </w:t>
      </w:r>
      <w:r>
        <w:rPr>
          <w:w w:val="105"/>
          <w:sz w:val="21"/>
        </w:rPr>
        <w:t>(Vic)</w:t>
      </w:r>
      <w:r>
        <w:rPr>
          <w:spacing w:val="4"/>
          <w:w w:val="105"/>
          <w:sz w:val="21"/>
        </w:rPr>
        <w:t> </w:t>
      </w:r>
      <w:r>
        <w:rPr>
          <w:spacing w:val="-4"/>
          <w:w w:val="105"/>
          <w:sz w:val="21"/>
        </w:rPr>
        <w:t>to</w:t>
      </w:r>
    </w:p>
    <w:p>
      <w:pPr>
        <w:pStyle w:val="BodyText"/>
        <w:spacing w:line="242" w:lineRule="auto" w:before="3"/>
        <w:ind w:left="1927" w:right="1711"/>
      </w:pPr>
      <w:r>
        <w:rPr>
          <w:w w:val="105"/>
        </w:rPr>
        <w:t>the effect </w:t>
      </w:r>
      <w:r>
        <w:rPr>
          <w:spacing w:val="-3"/>
          <w:w w:val="105"/>
        </w:rPr>
        <w:t>that, </w:t>
      </w:r>
      <w:r>
        <w:rPr>
          <w:w w:val="105"/>
        </w:rPr>
        <w:t>where a </w:t>
      </w:r>
      <w:r>
        <w:rPr>
          <w:spacing w:val="-3"/>
          <w:w w:val="105"/>
        </w:rPr>
        <w:t>will contains </w:t>
      </w:r>
      <w:r>
        <w:rPr>
          <w:w w:val="105"/>
        </w:rPr>
        <w:t>a </w:t>
      </w:r>
      <w:r>
        <w:rPr>
          <w:spacing w:val="-3"/>
          <w:w w:val="105"/>
        </w:rPr>
        <w:t>provision authorising </w:t>
      </w:r>
      <w:r>
        <w:rPr>
          <w:w w:val="105"/>
        </w:rPr>
        <w:t>a </w:t>
      </w:r>
      <w:r>
        <w:rPr>
          <w:spacing w:val="-3"/>
          <w:w w:val="105"/>
        </w:rPr>
        <w:t>professional executor to charge commission, </w:t>
      </w:r>
      <w:r>
        <w:rPr>
          <w:w w:val="105"/>
        </w:rPr>
        <w:t>the </w:t>
      </w:r>
      <w:r>
        <w:rPr>
          <w:spacing w:val="-3"/>
          <w:w w:val="105"/>
        </w:rPr>
        <w:t>professional executor may </w:t>
      </w:r>
      <w:r>
        <w:rPr>
          <w:w w:val="105"/>
        </w:rPr>
        <w:t>elect </w:t>
      </w:r>
      <w:r>
        <w:rPr>
          <w:spacing w:val="-3"/>
          <w:w w:val="105"/>
        </w:rPr>
        <w:t>to charge </w:t>
      </w:r>
      <w:r>
        <w:rPr>
          <w:w w:val="105"/>
        </w:rPr>
        <w:t>fees </w:t>
      </w:r>
      <w:r>
        <w:rPr>
          <w:spacing w:val="-3"/>
          <w:w w:val="105"/>
        </w:rPr>
        <w:t>for executorial </w:t>
      </w:r>
      <w:r>
        <w:rPr>
          <w:w w:val="105"/>
        </w:rPr>
        <w:t>work </w:t>
      </w:r>
      <w:r>
        <w:rPr>
          <w:spacing w:val="-3"/>
          <w:w w:val="105"/>
        </w:rPr>
        <w:t>rather than relying </w:t>
      </w:r>
      <w:r>
        <w:rPr>
          <w:w w:val="105"/>
        </w:rPr>
        <w:t>on the </w:t>
      </w:r>
      <w:r>
        <w:rPr>
          <w:spacing w:val="-3"/>
          <w:w w:val="105"/>
        </w:rPr>
        <w:t>provision </w:t>
      </w:r>
      <w:r>
        <w:rPr>
          <w:w w:val="105"/>
        </w:rPr>
        <w:t>in the </w:t>
      </w:r>
      <w:r>
        <w:rPr>
          <w:spacing w:val="-3"/>
          <w:w w:val="105"/>
        </w:rPr>
        <w:t>will. </w:t>
      </w:r>
      <w:r>
        <w:rPr>
          <w:w w:val="105"/>
        </w:rPr>
        <w:t>The ability </w:t>
      </w:r>
      <w:r>
        <w:rPr>
          <w:spacing w:val="-3"/>
          <w:w w:val="105"/>
        </w:rPr>
        <w:t>to </w:t>
      </w:r>
      <w:r>
        <w:rPr>
          <w:spacing w:val="-4"/>
          <w:w w:val="105"/>
        </w:rPr>
        <w:t>make </w:t>
      </w:r>
      <w:r>
        <w:rPr>
          <w:w w:val="105"/>
        </w:rPr>
        <w:t>an election would be subject</w:t>
      </w:r>
    </w:p>
    <w:p>
      <w:pPr>
        <w:pStyle w:val="BodyText"/>
        <w:spacing w:before="4"/>
        <w:ind w:left="1927"/>
      </w:pPr>
      <w:r>
        <w:rPr>
          <w:w w:val="105"/>
        </w:rPr>
        <w:t>to conditions, including that the fees:</w:t>
      </w:r>
    </w:p>
    <w:p>
      <w:pPr>
        <w:pStyle w:val="ListParagraph"/>
        <w:numPr>
          <w:ilvl w:val="1"/>
          <w:numId w:val="17"/>
        </w:numPr>
        <w:tabs>
          <w:tab w:pos="3028" w:val="left" w:leader="none"/>
        </w:tabs>
        <w:spacing w:line="242" w:lineRule="auto" w:before="123" w:after="0"/>
        <w:ind w:left="3027" w:right="1587" w:hanging="306"/>
        <w:jc w:val="left"/>
        <w:rPr>
          <w:sz w:val="21"/>
        </w:rPr>
      </w:pPr>
      <w:r>
        <w:rPr>
          <w:w w:val="105"/>
          <w:sz w:val="21"/>
        </w:rPr>
        <w:t>do</w:t>
      </w:r>
      <w:r>
        <w:rPr>
          <w:spacing w:val="-5"/>
          <w:w w:val="105"/>
          <w:sz w:val="21"/>
        </w:rPr>
        <w:t> </w:t>
      </w:r>
      <w:r>
        <w:rPr>
          <w:spacing w:val="-2"/>
          <w:w w:val="105"/>
          <w:sz w:val="21"/>
        </w:rPr>
        <w:t>not</w:t>
      </w:r>
      <w:r>
        <w:rPr>
          <w:spacing w:val="-5"/>
          <w:w w:val="105"/>
          <w:sz w:val="21"/>
        </w:rPr>
        <w:t> </w:t>
      </w:r>
      <w:r>
        <w:rPr>
          <w:w w:val="105"/>
          <w:sz w:val="21"/>
        </w:rPr>
        <w:t>exceed</w:t>
      </w:r>
      <w:r>
        <w:rPr>
          <w:spacing w:val="-5"/>
          <w:w w:val="105"/>
          <w:sz w:val="21"/>
        </w:rPr>
        <w:t> </w:t>
      </w:r>
      <w:r>
        <w:rPr>
          <w:w w:val="105"/>
          <w:sz w:val="21"/>
        </w:rPr>
        <w:t>in</w:t>
      </w:r>
      <w:r>
        <w:rPr>
          <w:spacing w:val="-5"/>
          <w:w w:val="105"/>
          <w:sz w:val="21"/>
        </w:rPr>
        <w:t> </w:t>
      </w:r>
      <w:r>
        <w:rPr>
          <w:spacing w:val="-3"/>
          <w:w w:val="105"/>
          <w:sz w:val="21"/>
        </w:rPr>
        <w:t>total</w:t>
      </w:r>
      <w:r>
        <w:rPr>
          <w:spacing w:val="-4"/>
          <w:w w:val="105"/>
          <w:sz w:val="21"/>
        </w:rPr>
        <w:t> </w:t>
      </w:r>
      <w:r>
        <w:rPr>
          <w:w w:val="105"/>
          <w:sz w:val="21"/>
        </w:rPr>
        <w:t>the</w:t>
      </w:r>
      <w:r>
        <w:rPr>
          <w:spacing w:val="-5"/>
          <w:w w:val="105"/>
          <w:sz w:val="21"/>
        </w:rPr>
        <w:t> </w:t>
      </w:r>
      <w:r>
        <w:rPr>
          <w:spacing w:val="-3"/>
          <w:w w:val="105"/>
          <w:sz w:val="21"/>
        </w:rPr>
        <w:t>amount</w:t>
      </w:r>
      <w:r>
        <w:rPr>
          <w:spacing w:val="-5"/>
          <w:w w:val="105"/>
          <w:sz w:val="21"/>
        </w:rPr>
        <w:t> </w:t>
      </w:r>
      <w:r>
        <w:rPr>
          <w:spacing w:val="-3"/>
          <w:w w:val="105"/>
          <w:sz w:val="21"/>
        </w:rPr>
        <w:t>to</w:t>
      </w:r>
      <w:r>
        <w:rPr>
          <w:spacing w:val="-5"/>
          <w:w w:val="105"/>
          <w:sz w:val="21"/>
        </w:rPr>
        <w:t> </w:t>
      </w:r>
      <w:r>
        <w:rPr>
          <w:w w:val="105"/>
          <w:sz w:val="21"/>
        </w:rPr>
        <w:t>which</w:t>
      </w:r>
      <w:r>
        <w:rPr>
          <w:spacing w:val="-5"/>
          <w:w w:val="105"/>
          <w:sz w:val="21"/>
        </w:rPr>
        <w:t> </w:t>
      </w:r>
      <w:r>
        <w:rPr>
          <w:w w:val="105"/>
          <w:sz w:val="21"/>
        </w:rPr>
        <w:t>the</w:t>
      </w:r>
      <w:r>
        <w:rPr>
          <w:spacing w:val="-4"/>
          <w:w w:val="105"/>
          <w:sz w:val="21"/>
        </w:rPr>
        <w:t> </w:t>
      </w:r>
      <w:r>
        <w:rPr>
          <w:spacing w:val="-3"/>
          <w:w w:val="105"/>
          <w:sz w:val="21"/>
        </w:rPr>
        <w:t>executor</w:t>
      </w:r>
      <w:r>
        <w:rPr>
          <w:spacing w:val="-5"/>
          <w:w w:val="105"/>
          <w:sz w:val="21"/>
        </w:rPr>
        <w:t> </w:t>
      </w:r>
      <w:r>
        <w:rPr>
          <w:w w:val="105"/>
          <w:sz w:val="21"/>
        </w:rPr>
        <w:t>would</w:t>
      </w:r>
      <w:r>
        <w:rPr>
          <w:spacing w:val="-5"/>
          <w:w w:val="105"/>
          <w:sz w:val="21"/>
        </w:rPr>
        <w:t> </w:t>
      </w:r>
      <w:r>
        <w:rPr>
          <w:spacing w:val="-3"/>
          <w:w w:val="105"/>
          <w:sz w:val="21"/>
        </w:rPr>
        <w:t>have</w:t>
      </w:r>
      <w:r>
        <w:rPr>
          <w:spacing w:val="-5"/>
          <w:w w:val="105"/>
          <w:sz w:val="21"/>
        </w:rPr>
        <w:t> </w:t>
      </w:r>
      <w:r>
        <w:rPr>
          <w:w w:val="105"/>
          <w:sz w:val="21"/>
        </w:rPr>
        <w:t>been</w:t>
      </w:r>
      <w:r>
        <w:rPr>
          <w:spacing w:val="-4"/>
          <w:w w:val="105"/>
          <w:sz w:val="21"/>
        </w:rPr>
        <w:t> </w:t>
      </w:r>
      <w:r>
        <w:rPr>
          <w:w w:val="105"/>
          <w:sz w:val="21"/>
        </w:rPr>
        <w:t>entitled if the </w:t>
      </w:r>
      <w:r>
        <w:rPr>
          <w:spacing w:val="-3"/>
          <w:w w:val="105"/>
          <w:sz w:val="21"/>
        </w:rPr>
        <w:t>executor </w:t>
      </w:r>
      <w:r>
        <w:rPr>
          <w:spacing w:val="-2"/>
          <w:w w:val="105"/>
          <w:sz w:val="21"/>
        </w:rPr>
        <w:t>had not </w:t>
      </w:r>
      <w:r>
        <w:rPr>
          <w:w w:val="105"/>
          <w:sz w:val="21"/>
        </w:rPr>
        <w:t>made the</w:t>
      </w:r>
      <w:r>
        <w:rPr>
          <w:spacing w:val="38"/>
          <w:w w:val="105"/>
          <w:sz w:val="21"/>
        </w:rPr>
        <w:t> </w:t>
      </w:r>
      <w:r>
        <w:rPr>
          <w:w w:val="105"/>
          <w:sz w:val="21"/>
        </w:rPr>
        <w:t>election</w:t>
      </w:r>
    </w:p>
    <w:p>
      <w:pPr>
        <w:pStyle w:val="ListParagraph"/>
        <w:numPr>
          <w:ilvl w:val="1"/>
          <w:numId w:val="17"/>
        </w:numPr>
        <w:tabs>
          <w:tab w:pos="3028" w:val="left" w:leader="none"/>
        </w:tabs>
        <w:spacing w:line="242" w:lineRule="auto" w:before="123" w:after="0"/>
        <w:ind w:left="3027" w:right="2056" w:hanging="306"/>
        <w:jc w:val="left"/>
        <w:rPr>
          <w:sz w:val="21"/>
        </w:rPr>
      </w:pPr>
      <w:r>
        <w:rPr>
          <w:spacing w:val="-3"/>
          <w:sz w:val="21"/>
        </w:rPr>
        <w:t>are calculated </w:t>
      </w:r>
      <w:r>
        <w:rPr>
          <w:sz w:val="21"/>
        </w:rPr>
        <w:t>at a </w:t>
      </w:r>
      <w:r>
        <w:rPr>
          <w:spacing w:val="-3"/>
          <w:sz w:val="21"/>
        </w:rPr>
        <w:t>rate </w:t>
      </w:r>
      <w:r>
        <w:rPr>
          <w:sz w:val="21"/>
        </w:rPr>
        <w:t>applicable </w:t>
      </w:r>
      <w:r>
        <w:rPr>
          <w:spacing w:val="-3"/>
          <w:sz w:val="21"/>
        </w:rPr>
        <w:t>for </w:t>
      </w:r>
      <w:r>
        <w:rPr>
          <w:sz w:val="21"/>
        </w:rPr>
        <w:t>work </w:t>
      </w:r>
      <w:r>
        <w:rPr>
          <w:spacing w:val="-3"/>
          <w:sz w:val="21"/>
        </w:rPr>
        <w:t>that  </w:t>
      </w:r>
      <w:r>
        <w:rPr>
          <w:sz w:val="21"/>
        </w:rPr>
        <w:t>does </w:t>
      </w:r>
      <w:r>
        <w:rPr>
          <w:spacing w:val="-2"/>
          <w:sz w:val="21"/>
        </w:rPr>
        <w:t>not</w:t>
      </w:r>
      <w:r>
        <w:rPr>
          <w:spacing w:val="43"/>
          <w:sz w:val="21"/>
        </w:rPr>
        <w:t> </w:t>
      </w:r>
      <w:r>
        <w:rPr>
          <w:spacing w:val="-3"/>
          <w:sz w:val="21"/>
        </w:rPr>
        <w:t>require  </w:t>
      </w:r>
      <w:r>
        <w:rPr>
          <w:sz w:val="21"/>
        </w:rPr>
        <w:t>the </w:t>
      </w:r>
      <w:r>
        <w:rPr>
          <w:spacing w:val="-3"/>
          <w:sz w:val="21"/>
        </w:rPr>
        <w:t>executor to </w:t>
      </w:r>
      <w:r>
        <w:rPr>
          <w:sz w:val="21"/>
        </w:rPr>
        <w:t>use their specialist </w:t>
      </w:r>
      <w:r>
        <w:rPr>
          <w:spacing w:val="-3"/>
          <w:sz w:val="21"/>
        </w:rPr>
        <w:t>professional</w:t>
      </w:r>
      <w:r>
        <w:rPr>
          <w:sz w:val="21"/>
        </w:rPr>
        <w:t> </w:t>
      </w:r>
      <w:r>
        <w:rPr>
          <w:spacing w:val="-3"/>
          <w:sz w:val="21"/>
        </w:rPr>
        <w:t>skills</w:t>
      </w:r>
    </w:p>
    <w:p>
      <w:pPr>
        <w:pStyle w:val="ListParagraph"/>
        <w:numPr>
          <w:ilvl w:val="1"/>
          <w:numId w:val="17"/>
        </w:numPr>
        <w:tabs>
          <w:tab w:pos="3028" w:val="left" w:leader="none"/>
        </w:tabs>
        <w:spacing w:line="242" w:lineRule="auto" w:before="122" w:after="0"/>
        <w:ind w:left="3027" w:right="2840" w:hanging="306"/>
        <w:jc w:val="left"/>
        <w:rPr>
          <w:sz w:val="21"/>
        </w:rPr>
      </w:pPr>
      <w:r>
        <w:rPr>
          <w:spacing w:val="-3"/>
          <w:sz w:val="21"/>
        </w:rPr>
        <w:t>are distinguished from any </w:t>
      </w:r>
      <w:r>
        <w:rPr>
          <w:sz w:val="21"/>
        </w:rPr>
        <w:t>fees </w:t>
      </w:r>
      <w:r>
        <w:rPr>
          <w:spacing w:val="-3"/>
          <w:sz w:val="21"/>
        </w:rPr>
        <w:t>charged </w:t>
      </w:r>
      <w:r>
        <w:rPr>
          <w:sz w:val="21"/>
        </w:rPr>
        <w:t>by the </w:t>
      </w:r>
      <w:r>
        <w:rPr>
          <w:spacing w:val="-3"/>
          <w:sz w:val="21"/>
        </w:rPr>
        <w:t>professional  executor for professional</w:t>
      </w:r>
      <w:r>
        <w:rPr>
          <w:spacing w:val="20"/>
          <w:sz w:val="21"/>
        </w:rPr>
        <w:t> </w:t>
      </w:r>
      <w:r>
        <w:rPr>
          <w:sz w:val="21"/>
        </w:rPr>
        <w:t>services</w:t>
      </w:r>
    </w:p>
    <w:p>
      <w:pPr>
        <w:pStyle w:val="ListParagraph"/>
        <w:numPr>
          <w:ilvl w:val="1"/>
          <w:numId w:val="17"/>
        </w:numPr>
        <w:tabs>
          <w:tab w:pos="3028" w:val="left" w:leader="none"/>
        </w:tabs>
        <w:spacing w:line="242" w:lineRule="auto" w:before="122" w:after="0"/>
        <w:ind w:left="3027" w:right="1905" w:hanging="306"/>
        <w:jc w:val="left"/>
        <w:rPr>
          <w:sz w:val="21"/>
        </w:rPr>
      </w:pPr>
      <w:r>
        <w:rPr>
          <w:w w:val="105"/>
          <w:sz w:val="21"/>
        </w:rPr>
        <w:t>where</w:t>
      </w:r>
      <w:r>
        <w:rPr>
          <w:spacing w:val="-8"/>
          <w:w w:val="105"/>
          <w:sz w:val="21"/>
        </w:rPr>
        <w:t> </w:t>
      </w:r>
      <w:r>
        <w:rPr>
          <w:w w:val="105"/>
          <w:sz w:val="21"/>
        </w:rPr>
        <w:t>the</w:t>
      </w:r>
      <w:r>
        <w:rPr>
          <w:spacing w:val="-8"/>
          <w:w w:val="105"/>
          <w:sz w:val="21"/>
        </w:rPr>
        <w:t> </w:t>
      </w:r>
      <w:r>
        <w:rPr>
          <w:spacing w:val="-3"/>
          <w:w w:val="105"/>
          <w:sz w:val="21"/>
        </w:rPr>
        <w:t>professional</w:t>
      </w:r>
      <w:r>
        <w:rPr>
          <w:spacing w:val="-8"/>
          <w:w w:val="105"/>
          <w:sz w:val="21"/>
        </w:rPr>
        <w:t> </w:t>
      </w:r>
      <w:r>
        <w:rPr>
          <w:spacing w:val="-3"/>
          <w:w w:val="105"/>
          <w:sz w:val="21"/>
        </w:rPr>
        <w:t>executor</w:t>
      </w:r>
      <w:r>
        <w:rPr>
          <w:spacing w:val="-7"/>
          <w:w w:val="105"/>
          <w:sz w:val="21"/>
        </w:rPr>
        <w:t> </w:t>
      </w:r>
      <w:r>
        <w:rPr>
          <w:w w:val="105"/>
          <w:sz w:val="21"/>
        </w:rPr>
        <w:t>is</w:t>
      </w:r>
      <w:r>
        <w:rPr>
          <w:spacing w:val="-8"/>
          <w:w w:val="105"/>
          <w:sz w:val="21"/>
        </w:rPr>
        <w:t> </w:t>
      </w:r>
      <w:r>
        <w:rPr>
          <w:w w:val="105"/>
          <w:sz w:val="21"/>
        </w:rPr>
        <w:t>a</w:t>
      </w:r>
      <w:r>
        <w:rPr>
          <w:spacing w:val="-8"/>
          <w:w w:val="105"/>
          <w:sz w:val="21"/>
        </w:rPr>
        <w:t> </w:t>
      </w:r>
      <w:r>
        <w:rPr>
          <w:w w:val="105"/>
          <w:sz w:val="21"/>
        </w:rPr>
        <w:t>legal</w:t>
      </w:r>
      <w:r>
        <w:rPr>
          <w:spacing w:val="-8"/>
          <w:w w:val="105"/>
          <w:sz w:val="21"/>
        </w:rPr>
        <w:t> </w:t>
      </w:r>
      <w:r>
        <w:rPr>
          <w:spacing w:val="-3"/>
          <w:w w:val="105"/>
          <w:sz w:val="21"/>
        </w:rPr>
        <w:t>practitioner,</w:t>
      </w:r>
      <w:r>
        <w:rPr>
          <w:spacing w:val="-7"/>
          <w:w w:val="105"/>
          <w:sz w:val="21"/>
        </w:rPr>
        <w:t> </w:t>
      </w:r>
      <w:r>
        <w:rPr>
          <w:spacing w:val="-3"/>
          <w:w w:val="105"/>
          <w:sz w:val="21"/>
        </w:rPr>
        <w:t>are</w:t>
      </w:r>
      <w:r>
        <w:rPr>
          <w:spacing w:val="-8"/>
          <w:w w:val="105"/>
          <w:sz w:val="21"/>
        </w:rPr>
        <w:t> </w:t>
      </w:r>
      <w:r>
        <w:rPr>
          <w:spacing w:val="-3"/>
          <w:w w:val="105"/>
          <w:sz w:val="21"/>
        </w:rPr>
        <w:t>treated</w:t>
      </w:r>
      <w:r>
        <w:rPr>
          <w:spacing w:val="-8"/>
          <w:w w:val="105"/>
          <w:sz w:val="21"/>
        </w:rPr>
        <w:t> </w:t>
      </w:r>
      <w:r>
        <w:rPr>
          <w:w w:val="105"/>
          <w:sz w:val="21"/>
        </w:rPr>
        <w:t>as</w:t>
      </w:r>
      <w:r>
        <w:rPr>
          <w:spacing w:val="-8"/>
          <w:w w:val="105"/>
          <w:sz w:val="21"/>
        </w:rPr>
        <w:t> </w:t>
      </w:r>
      <w:r>
        <w:rPr>
          <w:w w:val="105"/>
          <w:sz w:val="21"/>
        </w:rPr>
        <w:t>legal</w:t>
      </w:r>
      <w:r>
        <w:rPr>
          <w:spacing w:val="-7"/>
          <w:w w:val="105"/>
          <w:sz w:val="21"/>
        </w:rPr>
        <w:t> </w:t>
      </w:r>
      <w:r>
        <w:rPr>
          <w:w w:val="105"/>
          <w:sz w:val="21"/>
        </w:rPr>
        <w:t>costs </w:t>
      </w:r>
      <w:r>
        <w:rPr>
          <w:spacing w:val="-3"/>
          <w:w w:val="105"/>
          <w:sz w:val="21"/>
        </w:rPr>
        <w:t>for </w:t>
      </w:r>
      <w:r>
        <w:rPr>
          <w:w w:val="105"/>
          <w:sz w:val="21"/>
        </w:rPr>
        <w:t>the purposes of the rights of the beneficiaries </w:t>
      </w:r>
      <w:r>
        <w:rPr>
          <w:spacing w:val="-3"/>
          <w:w w:val="105"/>
          <w:sz w:val="21"/>
        </w:rPr>
        <w:t>to </w:t>
      </w:r>
      <w:r>
        <w:rPr>
          <w:w w:val="105"/>
          <w:sz w:val="21"/>
        </w:rPr>
        <w:t>apply </w:t>
      </w:r>
      <w:r>
        <w:rPr>
          <w:spacing w:val="-3"/>
          <w:w w:val="105"/>
          <w:sz w:val="21"/>
        </w:rPr>
        <w:t>for </w:t>
      </w:r>
      <w:r>
        <w:rPr>
          <w:w w:val="105"/>
          <w:sz w:val="21"/>
        </w:rPr>
        <w:t>costs review by the Costs </w:t>
      </w:r>
      <w:r>
        <w:rPr>
          <w:spacing w:val="-3"/>
          <w:w w:val="105"/>
          <w:sz w:val="21"/>
        </w:rPr>
        <w:t>Court </w:t>
      </w:r>
      <w:r>
        <w:rPr>
          <w:w w:val="105"/>
          <w:sz w:val="21"/>
        </w:rPr>
        <w:t>and </w:t>
      </w:r>
      <w:r>
        <w:rPr>
          <w:spacing w:val="-4"/>
          <w:w w:val="105"/>
          <w:sz w:val="21"/>
        </w:rPr>
        <w:t>make </w:t>
      </w:r>
      <w:r>
        <w:rPr>
          <w:w w:val="105"/>
          <w:sz w:val="21"/>
        </w:rPr>
        <w:t>a civil </w:t>
      </w:r>
      <w:r>
        <w:rPr>
          <w:spacing w:val="-3"/>
          <w:w w:val="105"/>
          <w:sz w:val="21"/>
        </w:rPr>
        <w:t>complaint to </w:t>
      </w:r>
      <w:r>
        <w:rPr>
          <w:w w:val="105"/>
          <w:sz w:val="21"/>
        </w:rPr>
        <w:t>the Legal Services</w:t>
      </w:r>
      <w:r>
        <w:rPr>
          <w:spacing w:val="-2"/>
          <w:w w:val="105"/>
          <w:sz w:val="21"/>
        </w:rPr>
        <w:t> </w:t>
      </w:r>
      <w:r>
        <w:rPr>
          <w:spacing w:val="-4"/>
          <w:w w:val="105"/>
          <w:sz w:val="21"/>
        </w:rPr>
        <w:t>Commissioner.</w:t>
      </w:r>
    </w:p>
    <w:p>
      <w:pPr>
        <w:pStyle w:val="BodyText"/>
        <w:spacing w:before="11"/>
        <w:rPr>
          <w:sz w:val="24"/>
        </w:rPr>
      </w:pPr>
    </w:p>
    <w:p>
      <w:pPr>
        <w:pStyle w:val="Heading5"/>
        <w:spacing w:before="1"/>
      </w:pPr>
      <w:r>
        <w:rPr>
          <w:w w:val="115"/>
        </w:rPr>
        <w:t>Court review of costs and commission</w:t>
      </w:r>
    </w:p>
    <w:p>
      <w:pPr>
        <w:pStyle w:val="ListParagraph"/>
        <w:numPr>
          <w:ilvl w:val="0"/>
          <w:numId w:val="17"/>
        </w:numPr>
        <w:tabs>
          <w:tab w:pos="1928" w:val="left" w:leader="none"/>
        </w:tabs>
        <w:spacing w:line="242" w:lineRule="auto" w:before="137" w:after="0"/>
        <w:ind w:left="1927" w:right="2084" w:hanging="340"/>
        <w:jc w:val="left"/>
        <w:rPr>
          <w:sz w:val="21"/>
        </w:rPr>
      </w:pPr>
      <w:r>
        <w:rPr>
          <w:w w:val="105"/>
          <w:sz w:val="21"/>
        </w:rPr>
        <w:t>The </w:t>
      </w:r>
      <w:r>
        <w:rPr>
          <w:spacing w:val="-3"/>
          <w:w w:val="105"/>
          <w:sz w:val="21"/>
        </w:rPr>
        <w:t>Supreme Court </w:t>
      </w:r>
      <w:r>
        <w:rPr>
          <w:w w:val="105"/>
          <w:sz w:val="21"/>
        </w:rPr>
        <w:t>should </w:t>
      </w:r>
      <w:r>
        <w:rPr>
          <w:spacing w:val="-3"/>
          <w:w w:val="105"/>
          <w:sz w:val="21"/>
        </w:rPr>
        <w:t>have </w:t>
      </w:r>
      <w:r>
        <w:rPr>
          <w:w w:val="105"/>
          <w:sz w:val="21"/>
        </w:rPr>
        <w:t>the power </w:t>
      </w:r>
      <w:r>
        <w:rPr>
          <w:spacing w:val="-3"/>
          <w:w w:val="105"/>
          <w:sz w:val="21"/>
        </w:rPr>
        <w:t>to </w:t>
      </w:r>
      <w:r>
        <w:rPr>
          <w:w w:val="105"/>
          <w:sz w:val="21"/>
        </w:rPr>
        <w:t>review and vary </w:t>
      </w:r>
      <w:r>
        <w:rPr>
          <w:spacing w:val="-3"/>
          <w:w w:val="105"/>
          <w:sz w:val="21"/>
        </w:rPr>
        <w:t>commission, charges </w:t>
      </w:r>
      <w:r>
        <w:rPr>
          <w:w w:val="105"/>
          <w:sz w:val="21"/>
        </w:rPr>
        <w:t>and disbursements</w:t>
      </w:r>
      <w:r>
        <w:rPr>
          <w:spacing w:val="-10"/>
          <w:w w:val="105"/>
          <w:sz w:val="21"/>
        </w:rPr>
        <w:t> </w:t>
      </w:r>
      <w:r>
        <w:rPr>
          <w:spacing w:val="-3"/>
          <w:w w:val="105"/>
          <w:sz w:val="21"/>
        </w:rPr>
        <w:t>claimed</w:t>
      </w:r>
      <w:r>
        <w:rPr>
          <w:spacing w:val="-10"/>
          <w:w w:val="105"/>
          <w:sz w:val="21"/>
        </w:rPr>
        <w:t> </w:t>
      </w:r>
      <w:r>
        <w:rPr>
          <w:w w:val="105"/>
          <w:sz w:val="21"/>
        </w:rPr>
        <w:t>by</w:t>
      </w:r>
      <w:r>
        <w:rPr>
          <w:spacing w:val="-10"/>
          <w:w w:val="105"/>
          <w:sz w:val="21"/>
        </w:rPr>
        <w:t> </w:t>
      </w:r>
      <w:r>
        <w:rPr>
          <w:w w:val="105"/>
          <w:sz w:val="21"/>
        </w:rPr>
        <w:t>executors</w:t>
      </w:r>
      <w:r>
        <w:rPr>
          <w:spacing w:val="-10"/>
          <w:w w:val="105"/>
          <w:sz w:val="21"/>
        </w:rPr>
        <w:t> </w:t>
      </w:r>
      <w:r>
        <w:rPr>
          <w:w w:val="105"/>
          <w:sz w:val="21"/>
        </w:rPr>
        <w:t>and</w:t>
      </w:r>
      <w:r>
        <w:rPr>
          <w:spacing w:val="-10"/>
          <w:w w:val="105"/>
          <w:sz w:val="21"/>
        </w:rPr>
        <w:t> </w:t>
      </w:r>
      <w:r>
        <w:rPr>
          <w:spacing w:val="-3"/>
          <w:w w:val="105"/>
          <w:sz w:val="21"/>
        </w:rPr>
        <w:t>administrators</w:t>
      </w:r>
      <w:r>
        <w:rPr>
          <w:spacing w:val="-10"/>
          <w:w w:val="105"/>
          <w:sz w:val="21"/>
        </w:rPr>
        <w:t> </w:t>
      </w:r>
      <w:r>
        <w:rPr>
          <w:w w:val="105"/>
          <w:sz w:val="21"/>
        </w:rPr>
        <w:t>out</w:t>
      </w:r>
      <w:r>
        <w:rPr>
          <w:spacing w:val="-10"/>
          <w:w w:val="105"/>
          <w:sz w:val="21"/>
        </w:rPr>
        <w:t> </w:t>
      </w:r>
      <w:r>
        <w:rPr>
          <w:w w:val="105"/>
          <w:sz w:val="21"/>
        </w:rPr>
        <w:t>of</w:t>
      </w:r>
      <w:r>
        <w:rPr>
          <w:spacing w:val="-9"/>
          <w:w w:val="105"/>
          <w:sz w:val="21"/>
        </w:rPr>
        <w:t> </w:t>
      </w:r>
      <w:r>
        <w:rPr>
          <w:w w:val="105"/>
          <w:sz w:val="21"/>
        </w:rPr>
        <w:t>estates.</w:t>
      </w:r>
      <w:r>
        <w:rPr>
          <w:spacing w:val="-10"/>
          <w:w w:val="105"/>
          <w:sz w:val="21"/>
        </w:rPr>
        <w:t> </w:t>
      </w:r>
      <w:r>
        <w:rPr>
          <w:w w:val="105"/>
          <w:sz w:val="21"/>
        </w:rPr>
        <w:t>A</w:t>
      </w:r>
      <w:r>
        <w:rPr>
          <w:spacing w:val="-10"/>
          <w:w w:val="105"/>
          <w:sz w:val="21"/>
        </w:rPr>
        <w:t> </w:t>
      </w:r>
      <w:r>
        <w:rPr>
          <w:w w:val="105"/>
          <w:sz w:val="21"/>
        </w:rPr>
        <w:t>new</w:t>
      </w:r>
      <w:r>
        <w:rPr>
          <w:spacing w:val="-10"/>
          <w:w w:val="105"/>
          <w:sz w:val="21"/>
        </w:rPr>
        <w:t> </w:t>
      </w:r>
      <w:r>
        <w:rPr>
          <w:spacing w:val="-3"/>
          <w:w w:val="105"/>
          <w:sz w:val="21"/>
        </w:rPr>
        <w:t>provision</w:t>
      </w:r>
      <w:r>
        <w:rPr>
          <w:spacing w:val="-10"/>
          <w:w w:val="105"/>
          <w:sz w:val="21"/>
        </w:rPr>
        <w:t> </w:t>
      </w:r>
      <w:r>
        <w:rPr>
          <w:w w:val="105"/>
          <w:sz w:val="21"/>
        </w:rPr>
        <w:t>of the </w:t>
      </w:r>
      <w:r>
        <w:rPr>
          <w:i/>
          <w:spacing w:val="-3"/>
          <w:w w:val="105"/>
          <w:sz w:val="21"/>
        </w:rPr>
        <w:t>Administration </w:t>
      </w:r>
      <w:r>
        <w:rPr>
          <w:i/>
          <w:w w:val="105"/>
          <w:sz w:val="21"/>
        </w:rPr>
        <w:t>and Probate Act </w:t>
      </w:r>
      <w:r>
        <w:rPr>
          <w:i/>
          <w:spacing w:val="-6"/>
          <w:w w:val="105"/>
          <w:sz w:val="21"/>
        </w:rPr>
        <w:t>1958 </w:t>
      </w:r>
      <w:r>
        <w:rPr>
          <w:w w:val="105"/>
          <w:sz w:val="21"/>
        </w:rPr>
        <w:t>(Vic), based on section 86A of the </w:t>
      </w:r>
      <w:r>
        <w:rPr>
          <w:i/>
          <w:w w:val="105"/>
          <w:sz w:val="21"/>
        </w:rPr>
        <w:t>Probate and </w:t>
      </w:r>
      <w:r>
        <w:rPr>
          <w:i/>
          <w:spacing w:val="-3"/>
          <w:w w:val="105"/>
          <w:sz w:val="21"/>
        </w:rPr>
        <w:t>Administration </w:t>
      </w:r>
      <w:r>
        <w:rPr>
          <w:i/>
          <w:w w:val="105"/>
          <w:sz w:val="21"/>
        </w:rPr>
        <w:t>Act </w:t>
      </w:r>
      <w:r>
        <w:rPr>
          <w:i/>
          <w:spacing w:val="-4"/>
          <w:w w:val="105"/>
          <w:sz w:val="21"/>
        </w:rPr>
        <w:t>1898 </w:t>
      </w:r>
      <w:r>
        <w:rPr>
          <w:spacing w:val="2"/>
          <w:w w:val="105"/>
          <w:sz w:val="21"/>
        </w:rPr>
        <w:t>(NSW), </w:t>
      </w:r>
      <w:r>
        <w:rPr>
          <w:w w:val="105"/>
          <w:sz w:val="21"/>
        </w:rPr>
        <w:t>should provide</w:t>
      </w:r>
      <w:r>
        <w:rPr>
          <w:spacing w:val="34"/>
          <w:w w:val="105"/>
          <w:sz w:val="21"/>
        </w:rPr>
        <w:t> </w:t>
      </w:r>
      <w:r>
        <w:rPr>
          <w:w w:val="105"/>
          <w:sz w:val="21"/>
        </w:rPr>
        <w:t>that:</w:t>
      </w:r>
    </w:p>
    <w:p>
      <w:pPr>
        <w:pStyle w:val="ListParagraph"/>
        <w:numPr>
          <w:ilvl w:val="1"/>
          <w:numId w:val="17"/>
        </w:numPr>
        <w:tabs>
          <w:tab w:pos="3028" w:val="left" w:leader="none"/>
        </w:tabs>
        <w:spacing w:line="242" w:lineRule="auto" w:before="124" w:after="0"/>
        <w:ind w:left="3027" w:right="1731" w:hanging="306"/>
        <w:jc w:val="left"/>
        <w:rPr>
          <w:sz w:val="21"/>
        </w:rPr>
      </w:pPr>
      <w:r>
        <w:rPr>
          <w:sz w:val="21"/>
        </w:rPr>
        <w:t>the court </w:t>
      </w:r>
      <w:r>
        <w:rPr>
          <w:spacing w:val="-3"/>
          <w:sz w:val="21"/>
        </w:rPr>
        <w:t>may </w:t>
      </w:r>
      <w:r>
        <w:rPr>
          <w:sz w:val="21"/>
        </w:rPr>
        <w:t>review </w:t>
      </w:r>
      <w:r>
        <w:rPr>
          <w:spacing w:val="-3"/>
          <w:sz w:val="21"/>
        </w:rPr>
        <w:t>all </w:t>
      </w:r>
      <w:r>
        <w:rPr>
          <w:sz w:val="21"/>
        </w:rPr>
        <w:t>or part of a </w:t>
      </w:r>
      <w:r>
        <w:rPr>
          <w:spacing w:val="-3"/>
          <w:sz w:val="21"/>
        </w:rPr>
        <w:t>commission </w:t>
      </w:r>
      <w:r>
        <w:rPr>
          <w:sz w:val="21"/>
        </w:rPr>
        <w:t>or </w:t>
      </w:r>
      <w:r>
        <w:rPr>
          <w:spacing w:val="-3"/>
          <w:sz w:val="21"/>
        </w:rPr>
        <w:t>amount  charged  </w:t>
      </w:r>
      <w:r>
        <w:rPr>
          <w:sz w:val="21"/>
        </w:rPr>
        <w:t>or proposed  </w:t>
      </w:r>
      <w:r>
        <w:rPr>
          <w:spacing w:val="-3"/>
          <w:sz w:val="21"/>
        </w:rPr>
        <w:t>to</w:t>
      </w:r>
      <w:r>
        <w:rPr>
          <w:spacing w:val="8"/>
          <w:sz w:val="21"/>
        </w:rPr>
        <w:t> </w:t>
      </w:r>
      <w:r>
        <w:rPr>
          <w:sz w:val="21"/>
        </w:rPr>
        <w:t>be</w:t>
      </w:r>
      <w:r>
        <w:rPr>
          <w:spacing w:val="9"/>
          <w:sz w:val="21"/>
        </w:rPr>
        <w:t> </w:t>
      </w:r>
      <w:r>
        <w:rPr>
          <w:spacing w:val="-3"/>
          <w:sz w:val="21"/>
        </w:rPr>
        <w:t>charged</w:t>
      </w:r>
      <w:r>
        <w:rPr>
          <w:spacing w:val="9"/>
          <w:sz w:val="21"/>
        </w:rPr>
        <w:t> </w:t>
      </w:r>
      <w:r>
        <w:rPr>
          <w:sz w:val="21"/>
        </w:rPr>
        <w:t>in</w:t>
      </w:r>
      <w:r>
        <w:rPr>
          <w:spacing w:val="9"/>
          <w:sz w:val="21"/>
        </w:rPr>
        <w:t> </w:t>
      </w:r>
      <w:r>
        <w:rPr>
          <w:sz w:val="21"/>
        </w:rPr>
        <w:t>respect</w:t>
      </w:r>
      <w:r>
        <w:rPr>
          <w:spacing w:val="9"/>
          <w:sz w:val="21"/>
        </w:rPr>
        <w:t> </w:t>
      </w:r>
      <w:r>
        <w:rPr>
          <w:sz w:val="21"/>
        </w:rPr>
        <w:t>of</w:t>
      </w:r>
      <w:r>
        <w:rPr>
          <w:spacing w:val="9"/>
          <w:sz w:val="21"/>
        </w:rPr>
        <w:t> </w:t>
      </w:r>
      <w:r>
        <w:rPr>
          <w:spacing w:val="-3"/>
          <w:sz w:val="21"/>
        </w:rPr>
        <w:t>any</w:t>
      </w:r>
      <w:r>
        <w:rPr>
          <w:spacing w:val="9"/>
          <w:sz w:val="21"/>
        </w:rPr>
        <w:t> </w:t>
      </w:r>
      <w:r>
        <w:rPr>
          <w:sz w:val="21"/>
        </w:rPr>
        <w:t>estate</w:t>
      </w:r>
    </w:p>
    <w:p>
      <w:pPr>
        <w:pStyle w:val="ListParagraph"/>
        <w:numPr>
          <w:ilvl w:val="1"/>
          <w:numId w:val="17"/>
        </w:numPr>
        <w:tabs>
          <w:tab w:pos="3028" w:val="left" w:leader="none"/>
        </w:tabs>
        <w:spacing w:line="242" w:lineRule="auto" w:before="123" w:after="0"/>
        <w:ind w:left="3027" w:right="2549" w:hanging="306"/>
        <w:jc w:val="left"/>
        <w:rPr>
          <w:sz w:val="21"/>
        </w:rPr>
      </w:pPr>
      <w:r>
        <w:rPr>
          <w:sz w:val="21"/>
        </w:rPr>
        <w:t>if it finds it is </w:t>
      </w:r>
      <w:r>
        <w:rPr>
          <w:spacing w:val="-3"/>
          <w:sz w:val="21"/>
        </w:rPr>
        <w:t>excessive, </w:t>
      </w:r>
      <w:r>
        <w:rPr>
          <w:sz w:val="21"/>
        </w:rPr>
        <w:t>the court </w:t>
      </w:r>
      <w:r>
        <w:rPr>
          <w:spacing w:val="-3"/>
          <w:sz w:val="21"/>
        </w:rPr>
        <w:t>may reduce </w:t>
      </w:r>
      <w:r>
        <w:rPr>
          <w:sz w:val="21"/>
        </w:rPr>
        <w:t>it even if it was authorised by a </w:t>
      </w:r>
      <w:r>
        <w:rPr>
          <w:spacing w:val="-3"/>
          <w:sz w:val="21"/>
        </w:rPr>
        <w:t>provision </w:t>
      </w:r>
      <w:r>
        <w:rPr>
          <w:sz w:val="21"/>
        </w:rPr>
        <w:t>in the</w:t>
      </w:r>
      <w:r>
        <w:rPr>
          <w:spacing w:val="45"/>
          <w:sz w:val="21"/>
        </w:rPr>
        <w:t> </w:t>
      </w:r>
      <w:r>
        <w:rPr>
          <w:spacing w:val="-3"/>
          <w:sz w:val="21"/>
        </w:rPr>
        <w:t>will</w:t>
      </w:r>
    </w:p>
    <w:p>
      <w:pPr>
        <w:pStyle w:val="ListParagraph"/>
        <w:numPr>
          <w:ilvl w:val="1"/>
          <w:numId w:val="17"/>
        </w:numPr>
        <w:tabs>
          <w:tab w:pos="3028" w:val="left" w:leader="none"/>
        </w:tabs>
        <w:spacing w:line="242" w:lineRule="auto" w:before="122" w:after="0"/>
        <w:ind w:left="3027" w:right="1915" w:hanging="306"/>
        <w:jc w:val="left"/>
        <w:rPr>
          <w:sz w:val="21"/>
        </w:rPr>
      </w:pPr>
      <w:r>
        <w:rPr>
          <w:w w:val="105"/>
          <w:sz w:val="21"/>
        </w:rPr>
        <w:t>subject </w:t>
      </w:r>
      <w:r>
        <w:rPr>
          <w:spacing w:val="-3"/>
          <w:w w:val="105"/>
          <w:sz w:val="21"/>
        </w:rPr>
        <w:t>to any </w:t>
      </w:r>
      <w:r>
        <w:rPr>
          <w:w w:val="105"/>
          <w:sz w:val="21"/>
        </w:rPr>
        <w:t>extension of time </w:t>
      </w:r>
      <w:r>
        <w:rPr>
          <w:spacing w:val="-3"/>
          <w:w w:val="105"/>
          <w:sz w:val="21"/>
        </w:rPr>
        <w:t>granted </w:t>
      </w:r>
      <w:r>
        <w:rPr>
          <w:w w:val="105"/>
          <w:sz w:val="21"/>
        </w:rPr>
        <w:t>by the court, an application </w:t>
      </w:r>
      <w:r>
        <w:rPr>
          <w:spacing w:val="-3"/>
          <w:w w:val="105"/>
          <w:sz w:val="21"/>
        </w:rPr>
        <w:t>granted </w:t>
      </w:r>
      <w:r>
        <w:rPr>
          <w:w w:val="105"/>
          <w:sz w:val="21"/>
        </w:rPr>
        <w:t>by</w:t>
      </w:r>
      <w:r>
        <w:rPr>
          <w:spacing w:val="-6"/>
          <w:w w:val="105"/>
          <w:sz w:val="21"/>
        </w:rPr>
        <w:t> </w:t>
      </w:r>
      <w:r>
        <w:rPr>
          <w:w w:val="105"/>
          <w:sz w:val="21"/>
        </w:rPr>
        <w:t>this</w:t>
      </w:r>
      <w:r>
        <w:rPr>
          <w:spacing w:val="-6"/>
          <w:w w:val="105"/>
          <w:sz w:val="21"/>
        </w:rPr>
        <w:t> </w:t>
      </w:r>
      <w:r>
        <w:rPr>
          <w:spacing w:val="-3"/>
          <w:w w:val="105"/>
          <w:sz w:val="21"/>
        </w:rPr>
        <w:t>provision</w:t>
      </w:r>
      <w:r>
        <w:rPr>
          <w:spacing w:val="-6"/>
          <w:w w:val="105"/>
          <w:sz w:val="21"/>
        </w:rPr>
        <w:t> </w:t>
      </w:r>
      <w:r>
        <w:rPr>
          <w:w w:val="105"/>
          <w:sz w:val="21"/>
        </w:rPr>
        <w:t>should</w:t>
      </w:r>
      <w:r>
        <w:rPr>
          <w:spacing w:val="-6"/>
          <w:w w:val="105"/>
          <w:sz w:val="21"/>
        </w:rPr>
        <w:t> </w:t>
      </w:r>
      <w:r>
        <w:rPr>
          <w:w w:val="105"/>
          <w:sz w:val="21"/>
        </w:rPr>
        <w:t>be</w:t>
      </w:r>
      <w:r>
        <w:rPr>
          <w:spacing w:val="-6"/>
          <w:w w:val="105"/>
          <w:sz w:val="21"/>
        </w:rPr>
        <w:t> </w:t>
      </w:r>
      <w:r>
        <w:rPr>
          <w:spacing w:val="-3"/>
          <w:w w:val="105"/>
          <w:sz w:val="21"/>
        </w:rPr>
        <w:t>brought</w:t>
      </w:r>
      <w:r>
        <w:rPr>
          <w:spacing w:val="-6"/>
          <w:w w:val="105"/>
          <w:sz w:val="21"/>
        </w:rPr>
        <w:t> </w:t>
      </w:r>
      <w:r>
        <w:rPr>
          <w:spacing w:val="-3"/>
          <w:w w:val="105"/>
          <w:sz w:val="21"/>
        </w:rPr>
        <w:t>within</w:t>
      </w:r>
      <w:r>
        <w:rPr>
          <w:spacing w:val="-6"/>
          <w:w w:val="105"/>
          <w:sz w:val="21"/>
        </w:rPr>
        <w:t> </w:t>
      </w:r>
      <w:r>
        <w:rPr>
          <w:w w:val="105"/>
          <w:sz w:val="21"/>
        </w:rPr>
        <w:t>three</w:t>
      </w:r>
      <w:r>
        <w:rPr>
          <w:spacing w:val="-6"/>
          <w:w w:val="105"/>
          <w:sz w:val="21"/>
        </w:rPr>
        <w:t> </w:t>
      </w:r>
      <w:r>
        <w:rPr>
          <w:spacing w:val="-3"/>
          <w:w w:val="105"/>
          <w:sz w:val="21"/>
        </w:rPr>
        <w:t>months</w:t>
      </w:r>
      <w:r>
        <w:rPr>
          <w:spacing w:val="-6"/>
          <w:w w:val="105"/>
          <w:sz w:val="21"/>
        </w:rPr>
        <w:t> </w:t>
      </w:r>
      <w:r>
        <w:rPr>
          <w:w w:val="105"/>
          <w:sz w:val="21"/>
        </w:rPr>
        <w:t>after</w:t>
      </w:r>
      <w:r>
        <w:rPr>
          <w:spacing w:val="-6"/>
          <w:w w:val="105"/>
          <w:sz w:val="21"/>
        </w:rPr>
        <w:t> </w:t>
      </w:r>
      <w:r>
        <w:rPr>
          <w:w w:val="105"/>
          <w:sz w:val="21"/>
        </w:rPr>
        <w:t>the</w:t>
      </w:r>
      <w:r>
        <w:rPr>
          <w:spacing w:val="-6"/>
          <w:w w:val="105"/>
          <w:sz w:val="21"/>
        </w:rPr>
        <w:t> </w:t>
      </w:r>
      <w:r>
        <w:rPr>
          <w:w w:val="105"/>
          <w:sz w:val="21"/>
        </w:rPr>
        <w:t>time</w:t>
      </w:r>
      <w:r>
        <w:rPr>
          <w:spacing w:val="-6"/>
          <w:w w:val="105"/>
          <w:sz w:val="21"/>
        </w:rPr>
        <w:t> </w:t>
      </w:r>
      <w:r>
        <w:rPr>
          <w:spacing w:val="-3"/>
          <w:w w:val="105"/>
          <w:sz w:val="21"/>
        </w:rPr>
        <w:t>that</w:t>
      </w:r>
      <w:r>
        <w:rPr>
          <w:spacing w:val="-6"/>
          <w:w w:val="105"/>
          <w:sz w:val="21"/>
        </w:rPr>
        <w:t> </w:t>
      </w:r>
      <w:r>
        <w:rPr>
          <w:w w:val="105"/>
          <w:sz w:val="21"/>
        </w:rPr>
        <w:t>the </w:t>
      </w:r>
      <w:r>
        <w:rPr>
          <w:spacing w:val="-3"/>
          <w:w w:val="105"/>
          <w:sz w:val="21"/>
        </w:rPr>
        <w:t>applicant </w:t>
      </w:r>
      <w:r>
        <w:rPr>
          <w:w w:val="105"/>
          <w:sz w:val="21"/>
        </w:rPr>
        <w:t>beneficiary first </w:t>
      </w:r>
      <w:r>
        <w:rPr>
          <w:spacing w:val="-4"/>
          <w:w w:val="105"/>
          <w:sz w:val="21"/>
        </w:rPr>
        <w:t>knew, </w:t>
      </w:r>
      <w:r>
        <w:rPr>
          <w:w w:val="105"/>
          <w:sz w:val="21"/>
        </w:rPr>
        <w:t>or </w:t>
      </w:r>
      <w:r>
        <w:rPr>
          <w:spacing w:val="-3"/>
          <w:w w:val="105"/>
          <w:sz w:val="21"/>
        </w:rPr>
        <w:t>ought to have </w:t>
      </w:r>
      <w:r>
        <w:rPr>
          <w:w w:val="105"/>
          <w:sz w:val="21"/>
        </w:rPr>
        <w:t>known, of </w:t>
      </w:r>
      <w:r>
        <w:rPr>
          <w:spacing w:val="-3"/>
          <w:w w:val="105"/>
          <w:sz w:val="21"/>
        </w:rPr>
        <w:t>all</w:t>
      </w:r>
      <w:r>
        <w:rPr>
          <w:spacing w:val="34"/>
          <w:w w:val="105"/>
          <w:sz w:val="21"/>
        </w:rPr>
        <w:t> </w:t>
      </w:r>
      <w:r>
        <w:rPr>
          <w:spacing w:val="-3"/>
          <w:w w:val="105"/>
          <w:sz w:val="21"/>
        </w:rPr>
        <w:t>commission,</w:t>
      </w:r>
    </w:p>
    <w:p>
      <w:pPr>
        <w:pStyle w:val="BodyText"/>
        <w:spacing w:before="3"/>
        <w:ind w:left="3027"/>
      </w:pPr>
      <w:r>
        <w:rPr>
          <w:spacing w:val="-3"/>
          <w:w w:val="105"/>
        </w:rPr>
        <w:t>charges </w:t>
      </w:r>
      <w:r>
        <w:rPr>
          <w:w w:val="105"/>
        </w:rPr>
        <w:t>and disbursements </w:t>
      </w:r>
      <w:r>
        <w:rPr>
          <w:spacing w:val="-3"/>
          <w:w w:val="105"/>
        </w:rPr>
        <w:t>charged </w:t>
      </w:r>
      <w:r>
        <w:rPr>
          <w:w w:val="105"/>
        </w:rPr>
        <w:t>or proposed </w:t>
      </w:r>
      <w:r>
        <w:rPr>
          <w:spacing w:val="-3"/>
          <w:w w:val="105"/>
        </w:rPr>
        <w:t>to </w:t>
      </w:r>
      <w:r>
        <w:rPr>
          <w:w w:val="105"/>
        </w:rPr>
        <w:t>be </w:t>
      </w:r>
      <w:r>
        <w:rPr>
          <w:spacing w:val="-3"/>
          <w:w w:val="105"/>
        </w:rPr>
        <w:t>charged </w:t>
      </w:r>
      <w:r>
        <w:rPr>
          <w:w w:val="105"/>
        </w:rPr>
        <w:t>out of the </w:t>
      </w:r>
      <w:r>
        <w:rPr>
          <w:spacing w:val="-3"/>
          <w:w w:val="105"/>
        </w:rPr>
        <w:t>estate.</w:t>
      </w:r>
    </w:p>
    <w:p>
      <w:pPr>
        <w:pStyle w:val="BodyText"/>
        <w:rPr>
          <w:sz w:val="25"/>
        </w:rPr>
      </w:pPr>
    </w:p>
    <w:p>
      <w:pPr>
        <w:pStyle w:val="Heading5"/>
      </w:pPr>
      <w:r>
        <w:rPr>
          <w:w w:val="115"/>
        </w:rPr>
        <w:t>Other regulatory reform</w:t>
      </w:r>
    </w:p>
    <w:p>
      <w:pPr>
        <w:pStyle w:val="ListParagraph"/>
        <w:numPr>
          <w:ilvl w:val="0"/>
          <w:numId w:val="17"/>
        </w:numPr>
        <w:tabs>
          <w:tab w:pos="1928" w:val="left" w:leader="none"/>
        </w:tabs>
        <w:spacing w:line="242" w:lineRule="auto" w:before="137" w:after="0"/>
        <w:ind w:left="1927" w:right="1902" w:hanging="340"/>
        <w:jc w:val="left"/>
        <w:rPr>
          <w:sz w:val="21"/>
        </w:rPr>
      </w:pPr>
      <w:r>
        <w:rPr>
          <w:w w:val="105"/>
          <w:sz w:val="21"/>
        </w:rPr>
        <w:t>The Legal Services </w:t>
      </w:r>
      <w:r>
        <w:rPr>
          <w:spacing w:val="-3"/>
          <w:w w:val="105"/>
          <w:sz w:val="21"/>
        </w:rPr>
        <w:t>Commissioner </w:t>
      </w:r>
      <w:r>
        <w:rPr>
          <w:w w:val="105"/>
          <w:sz w:val="21"/>
        </w:rPr>
        <w:t>should be given jurisdiction </w:t>
      </w:r>
      <w:r>
        <w:rPr>
          <w:spacing w:val="-3"/>
          <w:w w:val="105"/>
          <w:sz w:val="21"/>
        </w:rPr>
        <w:t>to </w:t>
      </w:r>
      <w:r>
        <w:rPr>
          <w:w w:val="105"/>
          <w:sz w:val="21"/>
        </w:rPr>
        <w:t>resolve a </w:t>
      </w:r>
      <w:r>
        <w:rPr>
          <w:spacing w:val="-3"/>
          <w:w w:val="105"/>
          <w:sz w:val="21"/>
        </w:rPr>
        <w:t>dispute </w:t>
      </w:r>
      <w:r>
        <w:rPr>
          <w:w w:val="105"/>
          <w:sz w:val="21"/>
        </w:rPr>
        <w:t>between a</w:t>
      </w:r>
      <w:r>
        <w:rPr>
          <w:spacing w:val="-5"/>
          <w:w w:val="105"/>
          <w:sz w:val="21"/>
        </w:rPr>
        <w:t> </w:t>
      </w:r>
      <w:r>
        <w:rPr>
          <w:w w:val="105"/>
          <w:sz w:val="21"/>
        </w:rPr>
        <w:t>legal</w:t>
      </w:r>
      <w:r>
        <w:rPr>
          <w:spacing w:val="-4"/>
          <w:w w:val="105"/>
          <w:sz w:val="21"/>
        </w:rPr>
        <w:t> </w:t>
      </w:r>
      <w:r>
        <w:rPr>
          <w:w w:val="105"/>
          <w:sz w:val="21"/>
        </w:rPr>
        <w:t>practitioner</w:t>
      </w:r>
      <w:r>
        <w:rPr>
          <w:spacing w:val="-4"/>
          <w:w w:val="105"/>
          <w:sz w:val="21"/>
        </w:rPr>
        <w:t> </w:t>
      </w:r>
      <w:r>
        <w:rPr>
          <w:w w:val="105"/>
          <w:sz w:val="21"/>
        </w:rPr>
        <w:t>and</w:t>
      </w:r>
      <w:r>
        <w:rPr>
          <w:spacing w:val="-5"/>
          <w:w w:val="105"/>
          <w:sz w:val="21"/>
        </w:rPr>
        <w:t> </w:t>
      </w:r>
      <w:r>
        <w:rPr>
          <w:w w:val="105"/>
          <w:sz w:val="21"/>
        </w:rPr>
        <w:t>a</w:t>
      </w:r>
      <w:r>
        <w:rPr>
          <w:spacing w:val="-4"/>
          <w:w w:val="105"/>
          <w:sz w:val="21"/>
        </w:rPr>
        <w:t> </w:t>
      </w:r>
      <w:r>
        <w:rPr>
          <w:w w:val="105"/>
          <w:sz w:val="21"/>
        </w:rPr>
        <w:t>beneficiary</w:t>
      </w:r>
      <w:r>
        <w:rPr>
          <w:spacing w:val="-4"/>
          <w:w w:val="105"/>
          <w:sz w:val="21"/>
        </w:rPr>
        <w:t> </w:t>
      </w:r>
      <w:r>
        <w:rPr>
          <w:w w:val="105"/>
          <w:sz w:val="21"/>
        </w:rPr>
        <w:t>under</w:t>
      </w:r>
      <w:r>
        <w:rPr>
          <w:spacing w:val="-4"/>
          <w:w w:val="105"/>
          <w:sz w:val="21"/>
        </w:rPr>
        <w:t> </w:t>
      </w:r>
      <w:r>
        <w:rPr>
          <w:w w:val="105"/>
          <w:sz w:val="21"/>
        </w:rPr>
        <w:t>a</w:t>
      </w:r>
      <w:r>
        <w:rPr>
          <w:spacing w:val="-5"/>
          <w:w w:val="105"/>
          <w:sz w:val="21"/>
        </w:rPr>
        <w:t> </w:t>
      </w:r>
      <w:r>
        <w:rPr>
          <w:spacing w:val="-3"/>
          <w:w w:val="105"/>
          <w:sz w:val="21"/>
        </w:rPr>
        <w:t>will</w:t>
      </w:r>
      <w:r>
        <w:rPr>
          <w:spacing w:val="-4"/>
          <w:w w:val="105"/>
          <w:sz w:val="21"/>
        </w:rPr>
        <w:t> </w:t>
      </w:r>
      <w:r>
        <w:rPr>
          <w:w w:val="105"/>
          <w:sz w:val="21"/>
        </w:rPr>
        <w:t>about</w:t>
      </w:r>
      <w:r>
        <w:rPr>
          <w:spacing w:val="-4"/>
          <w:w w:val="105"/>
          <w:sz w:val="21"/>
        </w:rPr>
        <w:t> </w:t>
      </w:r>
      <w:r>
        <w:rPr>
          <w:w w:val="105"/>
          <w:sz w:val="21"/>
        </w:rPr>
        <w:t>an</w:t>
      </w:r>
      <w:r>
        <w:rPr>
          <w:spacing w:val="-4"/>
          <w:w w:val="105"/>
          <w:sz w:val="21"/>
        </w:rPr>
        <w:t> </w:t>
      </w:r>
      <w:r>
        <w:rPr>
          <w:spacing w:val="-3"/>
          <w:w w:val="105"/>
          <w:sz w:val="21"/>
        </w:rPr>
        <w:t>amount</w:t>
      </w:r>
      <w:r>
        <w:rPr>
          <w:spacing w:val="-5"/>
          <w:w w:val="105"/>
          <w:sz w:val="21"/>
        </w:rPr>
        <w:t> </w:t>
      </w:r>
      <w:r>
        <w:rPr>
          <w:spacing w:val="-3"/>
          <w:w w:val="105"/>
          <w:sz w:val="21"/>
        </w:rPr>
        <w:t>charged</w:t>
      </w:r>
      <w:r>
        <w:rPr>
          <w:spacing w:val="-4"/>
          <w:w w:val="105"/>
          <w:sz w:val="21"/>
        </w:rPr>
        <w:t> </w:t>
      </w:r>
      <w:r>
        <w:rPr>
          <w:spacing w:val="-3"/>
          <w:w w:val="105"/>
          <w:sz w:val="21"/>
        </w:rPr>
        <w:t>to</w:t>
      </w:r>
      <w:r>
        <w:rPr>
          <w:spacing w:val="-4"/>
          <w:w w:val="105"/>
          <w:sz w:val="21"/>
        </w:rPr>
        <w:t> </w:t>
      </w:r>
      <w:r>
        <w:rPr>
          <w:w w:val="105"/>
          <w:sz w:val="21"/>
        </w:rPr>
        <w:t>an</w:t>
      </w:r>
      <w:r>
        <w:rPr>
          <w:spacing w:val="-4"/>
          <w:w w:val="105"/>
          <w:sz w:val="21"/>
        </w:rPr>
        <w:t> </w:t>
      </w:r>
      <w:r>
        <w:rPr>
          <w:w w:val="105"/>
          <w:sz w:val="21"/>
        </w:rPr>
        <w:t>estate</w:t>
      </w:r>
      <w:r>
        <w:rPr>
          <w:spacing w:val="-5"/>
          <w:w w:val="105"/>
          <w:sz w:val="21"/>
        </w:rPr>
        <w:t> </w:t>
      </w:r>
      <w:r>
        <w:rPr>
          <w:spacing w:val="-3"/>
          <w:w w:val="105"/>
          <w:sz w:val="21"/>
        </w:rPr>
        <w:t>for executorial</w:t>
      </w:r>
      <w:r>
        <w:rPr>
          <w:spacing w:val="-6"/>
          <w:w w:val="105"/>
          <w:sz w:val="21"/>
        </w:rPr>
        <w:t> </w:t>
      </w:r>
      <w:r>
        <w:rPr>
          <w:w w:val="105"/>
          <w:sz w:val="21"/>
        </w:rPr>
        <w:t>services,</w:t>
      </w:r>
      <w:r>
        <w:rPr>
          <w:spacing w:val="-5"/>
          <w:w w:val="105"/>
          <w:sz w:val="21"/>
        </w:rPr>
        <w:t> </w:t>
      </w:r>
      <w:r>
        <w:rPr>
          <w:w w:val="105"/>
          <w:sz w:val="21"/>
        </w:rPr>
        <w:t>where</w:t>
      </w:r>
      <w:r>
        <w:rPr>
          <w:spacing w:val="-6"/>
          <w:w w:val="105"/>
          <w:sz w:val="21"/>
        </w:rPr>
        <w:t> </w:t>
      </w:r>
      <w:r>
        <w:rPr>
          <w:w w:val="105"/>
          <w:sz w:val="21"/>
        </w:rPr>
        <w:t>the</w:t>
      </w:r>
      <w:r>
        <w:rPr>
          <w:spacing w:val="-5"/>
          <w:w w:val="105"/>
          <w:sz w:val="21"/>
        </w:rPr>
        <w:t> </w:t>
      </w:r>
      <w:r>
        <w:rPr>
          <w:spacing w:val="-3"/>
          <w:w w:val="105"/>
          <w:sz w:val="21"/>
        </w:rPr>
        <w:t>disputed</w:t>
      </w:r>
      <w:r>
        <w:rPr>
          <w:spacing w:val="-6"/>
          <w:w w:val="105"/>
          <w:sz w:val="21"/>
        </w:rPr>
        <w:t> </w:t>
      </w:r>
      <w:r>
        <w:rPr>
          <w:spacing w:val="-3"/>
          <w:w w:val="105"/>
          <w:sz w:val="21"/>
        </w:rPr>
        <w:t>amount</w:t>
      </w:r>
      <w:r>
        <w:rPr>
          <w:spacing w:val="-5"/>
          <w:w w:val="105"/>
          <w:sz w:val="21"/>
        </w:rPr>
        <w:t> </w:t>
      </w:r>
      <w:r>
        <w:rPr>
          <w:w w:val="105"/>
          <w:sz w:val="21"/>
        </w:rPr>
        <w:t>does</w:t>
      </w:r>
      <w:r>
        <w:rPr>
          <w:spacing w:val="-5"/>
          <w:w w:val="105"/>
          <w:sz w:val="21"/>
        </w:rPr>
        <w:t> </w:t>
      </w:r>
      <w:r>
        <w:rPr>
          <w:spacing w:val="-2"/>
          <w:w w:val="105"/>
          <w:sz w:val="21"/>
        </w:rPr>
        <w:t>not</w:t>
      </w:r>
      <w:r>
        <w:rPr>
          <w:spacing w:val="-6"/>
          <w:w w:val="105"/>
          <w:sz w:val="21"/>
        </w:rPr>
        <w:t> </w:t>
      </w:r>
      <w:r>
        <w:rPr>
          <w:w w:val="105"/>
          <w:sz w:val="21"/>
        </w:rPr>
        <w:t>exceed</w:t>
      </w:r>
      <w:r>
        <w:rPr>
          <w:spacing w:val="-5"/>
          <w:w w:val="105"/>
          <w:sz w:val="21"/>
        </w:rPr>
        <w:t> </w:t>
      </w:r>
      <w:r>
        <w:rPr>
          <w:w w:val="105"/>
          <w:sz w:val="21"/>
        </w:rPr>
        <w:t>$25,000.</w:t>
      </w:r>
      <w:r>
        <w:rPr>
          <w:spacing w:val="-6"/>
          <w:w w:val="105"/>
          <w:sz w:val="21"/>
        </w:rPr>
        <w:t> </w:t>
      </w:r>
      <w:r>
        <w:rPr>
          <w:w w:val="105"/>
          <w:sz w:val="21"/>
        </w:rPr>
        <w:t>The</w:t>
      </w:r>
      <w:r>
        <w:rPr>
          <w:spacing w:val="-5"/>
          <w:w w:val="105"/>
          <w:sz w:val="21"/>
        </w:rPr>
        <w:t> </w:t>
      </w:r>
      <w:r>
        <w:rPr>
          <w:spacing w:val="-3"/>
          <w:w w:val="105"/>
          <w:sz w:val="21"/>
        </w:rPr>
        <w:t>procedures</w:t>
      </w:r>
    </w:p>
    <w:p>
      <w:pPr>
        <w:pStyle w:val="BodyText"/>
        <w:spacing w:line="242" w:lineRule="auto" w:before="3"/>
        <w:ind w:left="1927" w:right="1619"/>
      </w:pPr>
      <w:r>
        <w:rPr>
          <w:spacing w:val="-3"/>
          <w:w w:val="105"/>
        </w:rPr>
        <w:t>for</w:t>
      </w:r>
      <w:r>
        <w:rPr>
          <w:spacing w:val="-9"/>
          <w:w w:val="105"/>
        </w:rPr>
        <w:t> </w:t>
      </w:r>
      <w:r>
        <w:rPr>
          <w:w w:val="105"/>
        </w:rPr>
        <w:t>resolving</w:t>
      </w:r>
      <w:r>
        <w:rPr>
          <w:spacing w:val="-9"/>
          <w:w w:val="105"/>
        </w:rPr>
        <w:t> </w:t>
      </w:r>
      <w:r>
        <w:rPr>
          <w:spacing w:val="-3"/>
          <w:w w:val="105"/>
        </w:rPr>
        <w:t>such</w:t>
      </w:r>
      <w:r>
        <w:rPr>
          <w:spacing w:val="-9"/>
          <w:w w:val="105"/>
        </w:rPr>
        <w:t> </w:t>
      </w:r>
      <w:r>
        <w:rPr>
          <w:w w:val="105"/>
        </w:rPr>
        <w:t>a</w:t>
      </w:r>
      <w:r>
        <w:rPr>
          <w:spacing w:val="-9"/>
          <w:w w:val="105"/>
        </w:rPr>
        <w:t> </w:t>
      </w:r>
      <w:r>
        <w:rPr>
          <w:spacing w:val="-3"/>
          <w:w w:val="105"/>
        </w:rPr>
        <w:t>dispute</w:t>
      </w:r>
      <w:r>
        <w:rPr>
          <w:spacing w:val="-9"/>
          <w:w w:val="105"/>
        </w:rPr>
        <w:t> </w:t>
      </w:r>
      <w:r>
        <w:rPr>
          <w:w w:val="105"/>
        </w:rPr>
        <w:t>would</w:t>
      </w:r>
      <w:r>
        <w:rPr>
          <w:spacing w:val="-9"/>
          <w:w w:val="105"/>
        </w:rPr>
        <w:t> </w:t>
      </w:r>
      <w:r>
        <w:rPr>
          <w:w w:val="105"/>
        </w:rPr>
        <w:t>be</w:t>
      </w:r>
      <w:r>
        <w:rPr>
          <w:spacing w:val="-9"/>
          <w:w w:val="105"/>
        </w:rPr>
        <w:t> </w:t>
      </w:r>
      <w:r>
        <w:rPr>
          <w:w w:val="105"/>
        </w:rPr>
        <w:t>essentially</w:t>
      </w:r>
      <w:r>
        <w:rPr>
          <w:spacing w:val="-9"/>
          <w:w w:val="105"/>
        </w:rPr>
        <w:t> </w:t>
      </w:r>
      <w:r>
        <w:rPr>
          <w:w w:val="105"/>
        </w:rPr>
        <w:t>the</w:t>
      </w:r>
      <w:r>
        <w:rPr>
          <w:spacing w:val="-8"/>
          <w:w w:val="105"/>
        </w:rPr>
        <w:t> </w:t>
      </w:r>
      <w:r>
        <w:rPr>
          <w:w w:val="105"/>
        </w:rPr>
        <w:t>same</w:t>
      </w:r>
      <w:r>
        <w:rPr>
          <w:spacing w:val="-9"/>
          <w:w w:val="105"/>
        </w:rPr>
        <w:t> </w:t>
      </w:r>
      <w:r>
        <w:rPr>
          <w:w w:val="105"/>
        </w:rPr>
        <w:t>as</w:t>
      </w:r>
      <w:r>
        <w:rPr>
          <w:spacing w:val="-9"/>
          <w:w w:val="105"/>
        </w:rPr>
        <w:t> </w:t>
      </w:r>
      <w:r>
        <w:rPr>
          <w:w w:val="105"/>
        </w:rPr>
        <w:t>those</w:t>
      </w:r>
      <w:r>
        <w:rPr>
          <w:spacing w:val="-9"/>
          <w:w w:val="105"/>
        </w:rPr>
        <w:t> </w:t>
      </w:r>
      <w:r>
        <w:rPr>
          <w:spacing w:val="-3"/>
          <w:w w:val="105"/>
        </w:rPr>
        <w:t>that</w:t>
      </w:r>
      <w:r>
        <w:rPr>
          <w:spacing w:val="-9"/>
          <w:w w:val="105"/>
        </w:rPr>
        <w:t> </w:t>
      </w:r>
      <w:r>
        <w:rPr>
          <w:spacing w:val="-3"/>
          <w:w w:val="105"/>
        </w:rPr>
        <w:t>currently</w:t>
      </w:r>
      <w:r>
        <w:rPr>
          <w:spacing w:val="-9"/>
          <w:w w:val="105"/>
        </w:rPr>
        <w:t> </w:t>
      </w:r>
      <w:r>
        <w:rPr>
          <w:w w:val="105"/>
        </w:rPr>
        <w:t>apply</w:t>
      </w:r>
      <w:r>
        <w:rPr>
          <w:spacing w:val="-9"/>
          <w:w w:val="105"/>
        </w:rPr>
        <w:t> </w:t>
      </w:r>
      <w:r>
        <w:rPr>
          <w:spacing w:val="-3"/>
          <w:w w:val="105"/>
        </w:rPr>
        <w:t>to</w:t>
      </w:r>
      <w:r>
        <w:rPr>
          <w:spacing w:val="-9"/>
          <w:w w:val="105"/>
        </w:rPr>
        <w:t> </w:t>
      </w:r>
      <w:r>
        <w:rPr>
          <w:w w:val="105"/>
        </w:rPr>
        <w:t>civil </w:t>
      </w:r>
      <w:r>
        <w:rPr>
          <w:spacing w:val="-3"/>
          <w:w w:val="105"/>
        </w:rPr>
        <w:t>disputes </w:t>
      </w:r>
      <w:r>
        <w:rPr>
          <w:w w:val="105"/>
        </w:rPr>
        <w:t>under Part 4.2 of the </w:t>
      </w:r>
      <w:r>
        <w:rPr>
          <w:i/>
          <w:w w:val="105"/>
        </w:rPr>
        <w:t>Legal </w:t>
      </w:r>
      <w:r>
        <w:rPr>
          <w:i/>
          <w:spacing w:val="-3"/>
          <w:w w:val="105"/>
        </w:rPr>
        <w:t>Profession </w:t>
      </w:r>
      <w:r>
        <w:rPr>
          <w:i/>
          <w:w w:val="105"/>
        </w:rPr>
        <w:t>Act 2004 </w:t>
      </w:r>
      <w:r>
        <w:rPr>
          <w:w w:val="105"/>
        </w:rPr>
        <w:t>(Vic) and would specify</w:t>
      </w:r>
      <w:r>
        <w:rPr>
          <w:spacing w:val="26"/>
          <w:w w:val="105"/>
        </w:rPr>
        <w:t> </w:t>
      </w:r>
      <w:r>
        <w:rPr>
          <w:w w:val="105"/>
        </w:rPr>
        <w:t>that:</w:t>
      </w:r>
    </w:p>
    <w:p>
      <w:pPr>
        <w:pStyle w:val="ListParagraph"/>
        <w:numPr>
          <w:ilvl w:val="1"/>
          <w:numId w:val="17"/>
        </w:numPr>
        <w:tabs>
          <w:tab w:pos="3028" w:val="left" w:leader="none"/>
        </w:tabs>
        <w:spacing w:line="242" w:lineRule="auto" w:before="123" w:after="0"/>
        <w:ind w:left="3027" w:right="2165" w:hanging="306"/>
        <w:jc w:val="left"/>
        <w:rPr>
          <w:sz w:val="21"/>
        </w:rPr>
      </w:pPr>
      <w:r>
        <w:rPr>
          <w:sz w:val="21"/>
        </w:rPr>
        <w:t>a </w:t>
      </w:r>
      <w:r>
        <w:rPr>
          <w:spacing w:val="-3"/>
          <w:sz w:val="21"/>
        </w:rPr>
        <w:t>complaint that involves </w:t>
      </w:r>
      <w:r>
        <w:rPr>
          <w:sz w:val="21"/>
        </w:rPr>
        <w:t>a </w:t>
      </w:r>
      <w:r>
        <w:rPr>
          <w:spacing w:val="-3"/>
          <w:sz w:val="21"/>
        </w:rPr>
        <w:t>dispute </w:t>
      </w:r>
      <w:r>
        <w:rPr>
          <w:sz w:val="21"/>
        </w:rPr>
        <w:t>about an </w:t>
      </w:r>
      <w:r>
        <w:rPr>
          <w:spacing w:val="-3"/>
          <w:sz w:val="21"/>
        </w:rPr>
        <w:t>amount charged for executorial </w:t>
      </w:r>
      <w:r>
        <w:rPr>
          <w:sz w:val="21"/>
        </w:rPr>
        <w:t>services must be made </w:t>
      </w:r>
      <w:r>
        <w:rPr>
          <w:spacing w:val="-3"/>
          <w:sz w:val="21"/>
        </w:rPr>
        <w:t>within </w:t>
      </w:r>
      <w:r>
        <w:rPr>
          <w:sz w:val="21"/>
        </w:rPr>
        <w:t>60 days after the time </w:t>
      </w:r>
      <w:r>
        <w:rPr>
          <w:spacing w:val="-3"/>
          <w:sz w:val="21"/>
        </w:rPr>
        <w:t>that </w:t>
      </w:r>
      <w:r>
        <w:rPr>
          <w:sz w:val="21"/>
        </w:rPr>
        <w:t>the </w:t>
      </w:r>
      <w:r>
        <w:rPr>
          <w:spacing w:val="-3"/>
          <w:sz w:val="21"/>
        </w:rPr>
        <w:t>applicant </w:t>
      </w:r>
      <w:r>
        <w:rPr>
          <w:sz w:val="21"/>
        </w:rPr>
        <w:t>beneficiary first </w:t>
      </w:r>
      <w:r>
        <w:rPr>
          <w:spacing w:val="-4"/>
          <w:sz w:val="21"/>
        </w:rPr>
        <w:t>knew, </w:t>
      </w:r>
      <w:r>
        <w:rPr>
          <w:sz w:val="21"/>
        </w:rPr>
        <w:t>or </w:t>
      </w:r>
      <w:r>
        <w:rPr>
          <w:spacing w:val="-3"/>
          <w:sz w:val="21"/>
        </w:rPr>
        <w:t>ought to have </w:t>
      </w:r>
      <w:r>
        <w:rPr>
          <w:sz w:val="21"/>
        </w:rPr>
        <w:t>known, of the </w:t>
      </w:r>
      <w:r>
        <w:rPr>
          <w:spacing w:val="-3"/>
          <w:sz w:val="21"/>
        </w:rPr>
        <w:t>amount</w:t>
      </w:r>
      <w:r>
        <w:rPr>
          <w:spacing w:val="10"/>
          <w:sz w:val="21"/>
        </w:rPr>
        <w:t> </w:t>
      </w:r>
      <w:r>
        <w:rPr>
          <w:spacing w:val="-3"/>
          <w:sz w:val="21"/>
        </w:rPr>
        <w:t>charged</w:t>
      </w:r>
    </w:p>
    <w:p>
      <w:pPr>
        <w:pStyle w:val="BodyText"/>
        <w:spacing w:before="3"/>
        <w:ind w:left="3027"/>
      </w:pPr>
      <w:r>
        <w:rPr>
          <w:w w:val="105"/>
        </w:rPr>
        <w:t>or proposed to be charged</w:t>
      </w:r>
    </w:p>
    <w:p>
      <w:pPr>
        <w:pStyle w:val="ListParagraph"/>
        <w:numPr>
          <w:ilvl w:val="1"/>
          <w:numId w:val="17"/>
        </w:numPr>
        <w:tabs>
          <w:tab w:pos="3028" w:val="left" w:leader="none"/>
        </w:tabs>
        <w:spacing w:line="242" w:lineRule="auto" w:before="124" w:after="0"/>
        <w:ind w:left="3027" w:right="1624" w:hanging="306"/>
        <w:jc w:val="left"/>
        <w:rPr>
          <w:sz w:val="21"/>
        </w:rPr>
      </w:pPr>
      <w:r>
        <w:rPr>
          <w:w w:val="105"/>
          <w:sz w:val="21"/>
        </w:rPr>
        <w:t>the Legal Services </w:t>
      </w:r>
      <w:r>
        <w:rPr>
          <w:spacing w:val="-3"/>
          <w:w w:val="105"/>
          <w:sz w:val="21"/>
        </w:rPr>
        <w:t>Commissioner </w:t>
      </w:r>
      <w:r>
        <w:rPr>
          <w:spacing w:val="-2"/>
          <w:w w:val="105"/>
          <w:sz w:val="21"/>
        </w:rPr>
        <w:t>has </w:t>
      </w:r>
      <w:r>
        <w:rPr>
          <w:spacing w:val="-3"/>
          <w:w w:val="105"/>
          <w:sz w:val="21"/>
        </w:rPr>
        <w:t>discretion to </w:t>
      </w:r>
      <w:r>
        <w:rPr>
          <w:w w:val="105"/>
          <w:sz w:val="21"/>
        </w:rPr>
        <w:t>provide more time as </w:t>
      </w:r>
      <w:r>
        <w:rPr>
          <w:spacing w:val="-3"/>
          <w:w w:val="105"/>
          <w:sz w:val="21"/>
        </w:rPr>
        <w:t>currently </w:t>
      </w:r>
      <w:r>
        <w:rPr>
          <w:w w:val="105"/>
          <w:sz w:val="21"/>
        </w:rPr>
        <w:t>permitted by section 4.2.7(4) of the </w:t>
      </w:r>
      <w:r>
        <w:rPr>
          <w:i/>
          <w:w w:val="105"/>
          <w:sz w:val="21"/>
        </w:rPr>
        <w:t>Legal </w:t>
      </w:r>
      <w:r>
        <w:rPr>
          <w:i/>
          <w:spacing w:val="-3"/>
          <w:w w:val="105"/>
          <w:sz w:val="21"/>
        </w:rPr>
        <w:t>Profession </w:t>
      </w:r>
      <w:r>
        <w:rPr>
          <w:i/>
          <w:w w:val="105"/>
          <w:sz w:val="21"/>
        </w:rPr>
        <w:t>Act 2004 </w:t>
      </w:r>
      <w:r>
        <w:rPr>
          <w:w w:val="105"/>
          <w:sz w:val="21"/>
        </w:rPr>
        <w:t>(Vic) </w:t>
      </w:r>
      <w:r>
        <w:rPr>
          <w:spacing w:val="-3"/>
          <w:w w:val="105"/>
          <w:sz w:val="21"/>
        </w:rPr>
        <w:t>for complaints that involve </w:t>
      </w:r>
      <w:r>
        <w:rPr>
          <w:w w:val="105"/>
          <w:sz w:val="21"/>
        </w:rPr>
        <w:t>a </w:t>
      </w:r>
      <w:r>
        <w:rPr>
          <w:spacing w:val="-3"/>
          <w:w w:val="105"/>
          <w:sz w:val="21"/>
        </w:rPr>
        <w:t>dispute </w:t>
      </w:r>
      <w:r>
        <w:rPr>
          <w:w w:val="105"/>
          <w:sz w:val="21"/>
        </w:rPr>
        <w:t>about legal</w:t>
      </w:r>
      <w:r>
        <w:rPr>
          <w:spacing w:val="37"/>
          <w:w w:val="105"/>
          <w:sz w:val="21"/>
        </w:rPr>
        <w:t> </w:t>
      </w:r>
      <w:r>
        <w:rPr>
          <w:w w:val="105"/>
          <w:sz w:val="21"/>
        </w:rPr>
        <w:t>costs</w:t>
      </w:r>
    </w:p>
    <w:p>
      <w:pPr>
        <w:pStyle w:val="ListParagraph"/>
        <w:numPr>
          <w:ilvl w:val="1"/>
          <w:numId w:val="17"/>
        </w:numPr>
        <w:tabs>
          <w:tab w:pos="3028" w:val="left" w:leader="none"/>
        </w:tabs>
        <w:spacing w:line="242" w:lineRule="auto" w:before="123" w:after="0"/>
        <w:ind w:left="3027" w:right="1622" w:hanging="306"/>
        <w:jc w:val="left"/>
        <w:rPr>
          <w:sz w:val="21"/>
        </w:rPr>
      </w:pPr>
      <w:r>
        <w:rPr>
          <w:w w:val="105"/>
          <w:sz w:val="21"/>
        </w:rPr>
        <w:t>a beneficiary who </w:t>
      </w:r>
      <w:r>
        <w:rPr>
          <w:spacing w:val="-3"/>
          <w:w w:val="105"/>
          <w:sz w:val="21"/>
        </w:rPr>
        <w:t>makes </w:t>
      </w:r>
      <w:r>
        <w:rPr>
          <w:w w:val="105"/>
          <w:sz w:val="21"/>
        </w:rPr>
        <w:t>a </w:t>
      </w:r>
      <w:r>
        <w:rPr>
          <w:spacing w:val="-3"/>
          <w:w w:val="105"/>
          <w:sz w:val="21"/>
        </w:rPr>
        <w:t>complaint to </w:t>
      </w:r>
      <w:r>
        <w:rPr>
          <w:w w:val="105"/>
          <w:sz w:val="21"/>
        </w:rPr>
        <w:t>the Legal Services </w:t>
      </w:r>
      <w:r>
        <w:rPr>
          <w:spacing w:val="-3"/>
          <w:w w:val="105"/>
          <w:sz w:val="21"/>
        </w:rPr>
        <w:t>Commissioner that involves </w:t>
      </w:r>
      <w:r>
        <w:rPr>
          <w:w w:val="105"/>
          <w:sz w:val="21"/>
        </w:rPr>
        <w:t>a </w:t>
      </w:r>
      <w:r>
        <w:rPr>
          <w:spacing w:val="-3"/>
          <w:w w:val="105"/>
          <w:sz w:val="21"/>
        </w:rPr>
        <w:t>dispute </w:t>
      </w:r>
      <w:r>
        <w:rPr>
          <w:w w:val="105"/>
          <w:sz w:val="21"/>
        </w:rPr>
        <w:t>about an </w:t>
      </w:r>
      <w:r>
        <w:rPr>
          <w:spacing w:val="-3"/>
          <w:w w:val="105"/>
          <w:sz w:val="21"/>
        </w:rPr>
        <w:t>amount charged for executorial </w:t>
      </w:r>
      <w:r>
        <w:rPr>
          <w:w w:val="105"/>
          <w:sz w:val="21"/>
        </w:rPr>
        <w:t>services </w:t>
      </w:r>
      <w:r>
        <w:rPr>
          <w:spacing w:val="-3"/>
          <w:w w:val="105"/>
          <w:sz w:val="21"/>
        </w:rPr>
        <w:t>may </w:t>
      </w:r>
      <w:r>
        <w:rPr>
          <w:spacing w:val="-2"/>
          <w:w w:val="105"/>
          <w:sz w:val="21"/>
        </w:rPr>
        <w:t>not </w:t>
      </w:r>
      <w:r>
        <w:rPr>
          <w:w w:val="105"/>
          <w:sz w:val="21"/>
        </w:rPr>
        <w:t>apply </w:t>
      </w:r>
      <w:r>
        <w:rPr>
          <w:spacing w:val="-3"/>
          <w:w w:val="105"/>
          <w:sz w:val="21"/>
        </w:rPr>
        <w:t>for </w:t>
      </w:r>
      <w:r>
        <w:rPr>
          <w:w w:val="105"/>
          <w:sz w:val="21"/>
        </w:rPr>
        <w:t>review by the</w:t>
      </w:r>
      <w:r>
        <w:rPr>
          <w:spacing w:val="22"/>
          <w:w w:val="105"/>
          <w:sz w:val="21"/>
        </w:rPr>
        <w:t> </w:t>
      </w:r>
      <w:r>
        <w:rPr>
          <w:w w:val="105"/>
          <w:sz w:val="21"/>
        </w:rPr>
        <w:t>court.</w:t>
      </w:r>
    </w:p>
    <w:p>
      <w:pPr>
        <w:pStyle w:val="BodyText"/>
        <w:rPr>
          <w:sz w:val="20"/>
        </w:rPr>
      </w:pPr>
    </w:p>
    <w:p>
      <w:pPr>
        <w:pStyle w:val="BodyText"/>
        <w:rPr>
          <w:sz w:val="20"/>
        </w:rPr>
      </w:pPr>
    </w:p>
    <w:p>
      <w:pPr>
        <w:pStyle w:val="BodyText"/>
        <w:rPr>
          <w:sz w:val="17"/>
        </w:rPr>
      </w:pPr>
    </w:p>
    <w:p>
      <w:pPr>
        <w:spacing w:before="99"/>
        <w:ind w:left="720" w:right="0" w:firstLine="0"/>
        <w:jc w:val="left"/>
        <w:rPr>
          <w:b/>
          <w:sz w:val="24"/>
        </w:rPr>
      </w:pPr>
      <w:r>
        <w:rPr>
          <w:b/>
          <w:color w:val="EC5A4F"/>
          <w:w w:val="120"/>
          <w:sz w:val="24"/>
        </w:rPr>
        <w:t>xxxii</w:t>
      </w:r>
    </w:p>
    <w:p>
      <w:pPr>
        <w:spacing w:after="0"/>
        <w:jc w:val="left"/>
        <w:rPr>
          <w:sz w:val="24"/>
        </w:rPr>
        <w:sectPr>
          <w:pgSz w:w="11910" w:h="16840"/>
          <w:pgMar w:header="1372" w:footer="0" w:top="1560" w:bottom="280" w:left="0" w:right="0"/>
        </w:sectPr>
      </w:pPr>
    </w:p>
    <w:p>
      <w:pPr>
        <w:pStyle w:val="BodyText"/>
        <w:spacing w:before="9"/>
        <w:rPr>
          <w:b/>
          <w:sz w:val="22"/>
        </w:rPr>
      </w:pPr>
    </w:p>
    <w:p>
      <w:pPr>
        <w:spacing w:after="0"/>
        <w:rPr>
          <w:sz w:val="22"/>
        </w:rPr>
        <w:sectPr>
          <w:pgSz w:w="11910" w:h="16840"/>
          <w:pgMar w:header="550" w:footer="0" w:top="1560" w:bottom="280" w:left="0" w:right="0"/>
        </w:sectPr>
      </w:pPr>
    </w:p>
    <w:p>
      <w:pPr>
        <w:pStyle w:val="ListParagraph"/>
        <w:numPr>
          <w:ilvl w:val="0"/>
          <w:numId w:val="18"/>
        </w:numPr>
        <w:tabs>
          <w:tab w:pos="1928" w:val="left" w:leader="none"/>
        </w:tabs>
        <w:spacing w:line="242" w:lineRule="auto" w:before="92" w:after="0"/>
        <w:ind w:left="1927" w:right="1" w:hanging="340"/>
        <w:jc w:val="left"/>
        <w:rPr>
          <w:sz w:val="21"/>
        </w:rPr>
      </w:pPr>
      <w:r>
        <w:rPr>
          <w:w w:val="105"/>
          <w:sz w:val="21"/>
        </w:rPr>
        <w:t>The</w:t>
      </w:r>
      <w:r>
        <w:rPr>
          <w:spacing w:val="-11"/>
          <w:w w:val="105"/>
          <w:sz w:val="21"/>
        </w:rPr>
        <w:t> </w:t>
      </w:r>
      <w:r>
        <w:rPr>
          <w:w w:val="105"/>
          <w:sz w:val="21"/>
        </w:rPr>
        <w:t>Legal</w:t>
      </w:r>
      <w:r>
        <w:rPr>
          <w:spacing w:val="-11"/>
          <w:w w:val="105"/>
          <w:sz w:val="21"/>
        </w:rPr>
        <w:t> </w:t>
      </w:r>
      <w:r>
        <w:rPr>
          <w:w w:val="105"/>
          <w:sz w:val="21"/>
        </w:rPr>
        <w:t>Services</w:t>
      </w:r>
      <w:r>
        <w:rPr>
          <w:spacing w:val="-11"/>
          <w:w w:val="105"/>
          <w:sz w:val="21"/>
        </w:rPr>
        <w:t> </w:t>
      </w:r>
      <w:r>
        <w:rPr>
          <w:spacing w:val="-3"/>
          <w:w w:val="105"/>
          <w:sz w:val="21"/>
        </w:rPr>
        <w:t>Commissioner</w:t>
      </w:r>
      <w:r>
        <w:rPr>
          <w:spacing w:val="-11"/>
          <w:w w:val="105"/>
          <w:sz w:val="21"/>
        </w:rPr>
        <w:t> </w:t>
      </w:r>
      <w:r>
        <w:rPr>
          <w:w w:val="105"/>
          <w:sz w:val="21"/>
        </w:rPr>
        <w:t>should</w:t>
      </w:r>
      <w:r>
        <w:rPr>
          <w:spacing w:val="-11"/>
          <w:w w:val="105"/>
          <w:sz w:val="21"/>
        </w:rPr>
        <w:t> </w:t>
      </w:r>
      <w:r>
        <w:rPr>
          <w:w w:val="105"/>
          <w:sz w:val="21"/>
        </w:rPr>
        <w:t>be</w:t>
      </w:r>
      <w:r>
        <w:rPr>
          <w:spacing w:val="-11"/>
          <w:w w:val="105"/>
          <w:sz w:val="21"/>
        </w:rPr>
        <w:t> </w:t>
      </w:r>
      <w:r>
        <w:rPr>
          <w:w w:val="105"/>
          <w:sz w:val="21"/>
        </w:rPr>
        <w:t>given</w:t>
      </w:r>
      <w:r>
        <w:rPr>
          <w:spacing w:val="-11"/>
          <w:w w:val="105"/>
          <w:sz w:val="21"/>
        </w:rPr>
        <w:t> </w:t>
      </w:r>
      <w:r>
        <w:rPr>
          <w:w w:val="105"/>
          <w:sz w:val="21"/>
        </w:rPr>
        <w:t>jurisdiction</w:t>
      </w:r>
      <w:r>
        <w:rPr>
          <w:spacing w:val="-11"/>
          <w:w w:val="105"/>
          <w:sz w:val="21"/>
        </w:rPr>
        <w:t> </w:t>
      </w:r>
      <w:r>
        <w:rPr>
          <w:spacing w:val="-3"/>
          <w:w w:val="105"/>
          <w:sz w:val="21"/>
        </w:rPr>
        <w:t>to</w:t>
      </w:r>
      <w:r>
        <w:rPr>
          <w:spacing w:val="-11"/>
          <w:w w:val="105"/>
          <w:sz w:val="21"/>
        </w:rPr>
        <w:t> </w:t>
      </w:r>
      <w:r>
        <w:rPr>
          <w:w w:val="105"/>
          <w:sz w:val="21"/>
        </w:rPr>
        <w:t>resolve</w:t>
      </w:r>
      <w:r>
        <w:rPr>
          <w:spacing w:val="-11"/>
          <w:w w:val="105"/>
          <w:sz w:val="21"/>
        </w:rPr>
        <w:t> </w:t>
      </w:r>
      <w:r>
        <w:rPr>
          <w:w w:val="105"/>
          <w:sz w:val="21"/>
        </w:rPr>
        <w:t>a</w:t>
      </w:r>
      <w:r>
        <w:rPr>
          <w:spacing w:val="-11"/>
          <w:w w:val="105"/>
          <w:sz w:val="21"/>
        </w:rPr>
        <w:t> </w:t>
      </w:r>
      <w:r>
        <w:rPr>
          <w:w w:val="105"/>
          <w:sz w:val="21"/>
        </w:rPr>
        <w:t>civil</w:t>
      </w:r>
      <w:r>
        <w:rPr>
          <w:spacing w:val="-11"/>
          <w:w w:val="105"/>
          <w:sz w:val="21"/>
        </w:rPr>
        <w:t> </w:t>
      </w:r>
      <w:r>
        <w:rPr>
          <w:spacing w:val="-3"/>
          <w:w w:val="105"/>
          <w:sz w:val="21"/>
        </w:rPr>
        <w:t>dispute</w:t>
      </w:r>
      <w:r>
        <w:rPr>
          <w:spacing w:val="-11"/>
          <w:w w:val="105"/>
          <w:sz w:val="21"/>
        </w:rPr>
        <w:t> </w:t>
      </w:r>
      <w:r>
        <w:rPr>
          <w:w w:val="105"/>
          <w:sz w:val="21"/>
        </w:rPr>
        <w:t>between a</w:t>
      </w:r>
      <w:r>
        <w:rPr>
          <w:spacing w:val="-10"/>
          <w:w w:val="105"/>
          <w:sz w:val="21"/>
        </w:rPr>
        <w:t> </w:t>
      </w:r>
      <w:r>
        <w:rPr>
          <w:w w:val="105"/>
          <w:sz w:val="21"/>
        </w:rPr>
        <w:t>legal</w:t>
      </w:r>
      <w:r>
        <w:rPr>
          <w:spacing w:val="-9"/>
          <w:w w:val="105"/>
          <w:sz w:val="21"/>
        </w:rPr>
        <w:t> </w:t>
      </w:r>
      <w:r>
        <w:rPr>
          <w:w w:val="105"/>
          <w:sz w:val="21"/>
        </w:rPr>
        <w:t>practitioner</w:t>
      </w:r>
      <w:r>
        <w:rPr>
          <w:spacing w:val="-9"/>
          <w:w w:val="105"/>
          <w:sz w:val="21"/>
        </w:rPr>
        <w:t> </w:t>
      </w:r>
      <w:r>
        <w:rPr>
          <w:w w:val="105"/>
          <w:sz w:val="21"/>
        </w:rPr>
        <w:t>and</w:t>
      </w:r>
      <w:r>
        <w:rPr>
          <w:spacing w:val="-9"/>
          <w:w w:val="105"/>
          <w:sz w:val="21"/>
        </w:rPr>
        <w:t> </w:t>
      </w:r>
      <w:r>
        <w:rPr>
          <w:w w:val="105"/>
          <w:sz w:val="21"/>
        </w:rPr>
        <w:t>a</w:t>
      </w:r>
      <w:r>
        <w:rPr>
          <w:spacing w:val="-10"/>
          <w:w w:val="105"/>
          <w:sz w:val="21"/>
        </w:rPr>
        <w:t> </w:t>
      </w:r>
      <w:r>
        <w:rPr>
          <w:w w:val="105"/>
          <w:sz w:val="21"/>
        </w:rPr>
        <w:t>beneficiary</w:t>
      </w:r>
      <w:r>
        <w:rPr>
          <w:spacing w:val="-9"/>
          <w:w w:val="105"/>
          <w:sz w:val="21"/>
        </w:rPr>
        <w:t> </w:t>
      </w:r>
      <w:r>
        <w:rPr>
          <w:w w:val="105"/>
          <w:sz w:val="21"/>
        </w:rPr>
        <w:t>under</w:t>
      </w:r>
      <w:r>
        <w:rPr>
          <w:spacing w:val="-9"/>
          <w:w w:val="105"/>
          <w:sz w:val="21"/>
        </w:rPr>
        <w:t> </w:t>
      </w:r>
      <w:r>
        <w:rPr>
          <w:w w:val="105"/>
          <w:sz w:val="21"/>
        </w:rPr>
        <w:t>a</w:t>
      </w:r>
      <w:r>
        <w:rPr>
          <w:spacing w:val="-9"/>
          <w:w w:val="105"/>
          <w:sz w:val="21"/>
        </w:rPr>
        <w:t> </w:t>
      </w:r>
      <w:r>
        <w:rPr>
          <w:spacing w:val="-3"/>
          <w:w w:val="105"/>
          <w:sz w:val="21"/>
        </w:rPr>
        <w:t>will</w:t>
      </w:r>
      <w:r>
        <w:rPr>
          <w:spacing w:val="-9"/>
          <w:w w:val="105"/>
          <w:sz w:val="21"/>
        </w:rPr>
        <w:t> </w:t>
      </w:r>
      <w:r>
        <w:rPr>
          <w:w w:val="105"/>
          <w:sz w:val="21"/>
        </w:rPr>
        <w:t>or</w:t>
      </w:r>
      <w:r>
        <w:rPr>
          <w:spacing w:val="-10"/>
          <w:w w:val="105"/>
          <w:sz w:val="21"/>
        </w:rPr>
        <w:t> </w:t>
      </w:r>
      <w:r>
        <w:rPr>
          <w:w w:val="105"/>
          <w:sz w:val="21"/>
        </w:rPr>
        <w:t>trust</w:t>
      </w:r>
      <w:r>
        <w:rPr>
          <w:spacing w:val="-9"/>
          <w:w w:val="105"/>
          <w:sz w:val="21"/>
        </w:rPr>
        <w:t> </w:t>
      </w:r>
      <w:r>
        <w:rPr>
          <w:w w:val="105"/>
          <w:sz w:val="21"/>
        </w:rPr>
        <w:t>where</w:t>
      </w:r>
      <w:r>
        <w:rPr>
          <w:spacing w:val="-9"/>
          <w:w w:val="105"/>
          <w:sz w:val="21"/>
        </w:rPr>
        <w:t> </w:t>
      </w:r>
      <w:r>
        <w:rPr>
          <w:w w:val="105"/>
          <w:sz w:val="21"/>
        </w:rPr>
        <w:t>the</w:t>
      </w:r>
      <w:r>
        <w:rPr>
          <w:spacing w:val="-9"/>
          <w:w w:val="105"/>
          <w:sz w:val="21"/>
        </w:rPr>
        <w:t> </w:t>
      </w:r>
      <w:r>
        <w:rPr>
          <w:spacing w:val="-3"/>
          <w:w w:val="105"/>
          <w:sz w:val="21"/>
        </w:rPr>
        <w:t>dispute</w:t>
      </w:r>
      <w:r>
        <w:rPr>
          <w:spacing w:val="-9"/>
          <w:w w:val="105"/>
          <w:sz w:val="21"/>
        </w:rPr>
        <w:t> </w:t>
      </w:r>
      <w:r>
        <w:rPr>
          <w:spacing w:val="-3"/>
          <w:w w:val="105"/>
          <w:sz w:val="21"/>
        </w:rPr>
        <w:t>relates</w:t>
      </w:r>
      <w:r>
        <w:rPr>
          <w:spacing w:val="-10"/>
          <w:w w:val="105"/>
          <w:sz w:val="21"/>
        </w:rPr>
        <w:t> </w:t>
      </w:r>
      <w:r>
        <w:rPr>
          <w:spacing w:val="-3"/>
          <w:w w:val="105"/>
          <w:sz w:val="21"/>
        </w:rPr>
        <w:t>to</w:t>
      </w:r>
      <w:r>
        <w:rPr>
          <w:spacing w:val="-9"/>
          <w:w w:val="105"/>
          <w:sz w:val="21"/>
        </w:rPr>
        <w:t> </w:t>
      </w:r>
      <w:r>
        <w:rPr>
          <w:w w:val="105"/>
          <w:sz w:val="21"/>
        </w:rPr>
        <w:t>services provided by the legal practitioner </w:t>
      </w:r>
      <w:r>
        <w:rPr>
          <w:spacing w:val="-3"/>
          <w:w w:val="105"/>
          <w:sz w:val="21"/>
        </w:rPr>
        <w:t>to </w:t>
      </w:r>
      <w:r>
        <w:rPr>
          <w:w w:val="105"/>
          <w:sz w:val="21"/>
        </w:rPr>
        <w:t>the estate in the capacity of </w:t>
      </w:r>
      <w:r>
        <w:rPr>
          <w:spacing w:val="-3"/>
          <w:w w:val="105"/>
          <w:sz w:val="21"/>
        </w:rPr>
        <w:t>executor </w:t>
      </w:r>
      <w:r>
        <w:rPr>
          <w:w w:val="105"/>
          <w:sz w:val="21"/>
        </w:rPr>
        <w:t>or </w:t>
      </w:r>
      <w:r>
        <w:rPr>
          <w:spacing w:val="-3"/>
          <w:w w:val="105"/>
          <w:sz w:val="21"/>
        </w:rPr>
        <w:t>trustee. </w:t>
      </w:r>
      <w:r>
        <w:rPr>
          <w:w w:val="105"/>
          <w:sz w:val="21"/>
        </w:rPr>
        <w:t>The </w:t>
      </w:r>
      <w:r>
        <w:rPr>
          <w:spacing w:val="-3"/>
          <w:w w:val="105"/>
          <w:sz w:val="21"/>
        </w:rPr>
        <w:t>procedures for </w:t>
      </w:r>
      <w:r>
        <w:rPr>
          <w:w w:val="105"/>
          <w:sz w:val="21"/>
        </w:rPr>
        <w:t>resolving </w:t>
      </w:r>
      <w:r>
        <w:rPr>
          <w:spacing w:val="-3"/>
          <w:w w:val="105"/>
          <w:sz w:val="21"/>
        </w:rPr>
        <w:t>such </w:t>
      </w:r>
      <w:r>
        <w:rPr>
          <w:w w:val="105"/>
          <w:sz w:val="21"/>
        </w:rPr>
        <w:t>a </w:t>
      </w:r>
      <w:r>
        <w:rPr>
          <w:spacing w:val="-3"/>
          <w:w w:val="105"/>
          <w:sz w:val="21"/>
        </w:rPr>
        <w:t>dispute </w:t>
      </w:r>
      <w:r>
        <w:rPr>
          <w:w w:val="105"/>
          <w:sz w:val="21"/>
        </w:rPr>
        <w:t>would be the same as those which </w:t>
      </w:r>
      <w:r>
        <w:rPr>
          <w:spacing w:val="-3"/>
          <w:w w:val="105"/>
          <w:sz w:val="21"/>
        </w:rPr>
        <w:t>currently</w:t>
      </w:r>
      <w:r>
        <w:rPr>
          <w:spacing w:val="-17"/>
          <w:w w:val="105"/>
          <w:sz w:val="21"/>
        </w:rPr>
        <w:t> </w:t>
      </w:r>
      <w:r>
        <w:rPr>
          <w:w w:val="105"/>
          <w:sz w:val="21"/>
        </w:rPr>
        <w:t>apply</w:t>
      </w:r>
    </w:p>
    <w:p>
      <w:pPr>
        <w:spacing w:before="4"/>
        <w:ind w:left="1927" w:right="0" w:firstLine="0"/>
        <w:jc w:val="left"/>
        <w:rPr>
          <w:sz w:val="21"/>
        </w:rPr>
      </w:pPr>
      <w:r>
        <w:rPr>
          <w:spacing w:val="-3"/>
          <w:w w:val="105"/>
          <w:sz w:val="21"/>
        </w:rPr>
        <w:t>to </w:t>
      </w:r>
      <w:r>
        <w:rPr>
          <w:w w:val="105"/>
          <w:sz w:val="21"/>
        </w:rPr>
        <w:t>civil </w:t>
      </w:r>
      <w:r>
        <w:rPr>
          <w:spacing w:val="-3"/>
          <w:w w:val="105"/>
          <w:sz w:val="21"/>
        </w:rPr>
        <w:t>disputes </w:t>
      </w:r>
      <w:r>
        <w:rPr>
          <w:w w:val="105"/>
          <w:sz w:val="21"/>
        </w:rPr>
        <w:t>under Part 4.2 of the </w:t>
      </w:r>
      <w:r>
        <w:rPr>
          <w:i/>
          <w:w w:val="105"/>
          <w:sz w:val="21"/>
        </w:rPr>
        <w:t>Legal </w:t>
      </w:r>
      <w:r>
        <w:rPr>
          <w:i/>
          <w:spacing w:val="-3"/>
          <w:w w:val="105"/>
          <w:sz w:val="21"/>
        </w:rPr>
        <w:t>Profession </w:t>
      </w:r>
      <w:r>
        <w:rPr>
          <w:i/>
          <w:w w:val="105"/>
          <w:sz w:val="21"/>
        </w:rPr>
        <w:t>Act 2004</w:t>
      </w:r>
      <w:r>
        <w:rPr>
          <w:i/>
          <w:spacing w:val="-17"/>
          <w:w w:val="105"/>
          <w:sz w:val="21"/>
        </w:rPr>
        <w:t> </w:t>
      </w:r>
      <w:r>
        <w:rPr>
          <w:w w:val="105"/>
          <w:sz w:val="21"/>
        </w:rPr>
        <w:t>(Vic).</w:t>
      </w:r>
    </w:p>
    <w:p>
      <w:pPr>
        <w:pStyle w:val="ListParagraph"/>
        <w:numPr>
          <w:ilvl w:val="0"/>
          <w:numId w:val="18"/>
        </w:numPr>
        <w:tabs>
          <w:tab w:pos="1928" w:val="left" w:leader="none"/>
        </w:tabs>
        <w:spacing w:line="242" w:lineRule="auto" w:before="124" w:after="0"/>
        <w:ind w:left="1927" w:right="94" w:hanging="340"/>
        <w:jc w:val="left"/>
        <w:rPr>
          <w:sz w:val="21"/>
        </w:rPr>
      </w:pPr>
      <w:r>
        <w:rPr>
          <w:sz w:val="21"/>
        </w:rPr>
        <w:t>Review of legal costs by the Costs </w:t>
      </w:r>
      <w:r>
        <w:rPr>
          <w:spacing w:val="-3"/>
          <w:sz w:val="21"/>
        </w:rPr>
        <w:t>Court, </w:t>
      </w:r>
      <w:r>
        <w:rPr>
          <w:sz w:val="21"/>
        </w:rPr>
        <w:t>as </w:t>
      </w:r>
      <w:r>
        <w:rPr>
          <w:spacing w:val="-3"/>
          <w:sz w:val="21"/>
        </w:rPr>
        <w:t>currently </w:t>
      </w:r>
      <w:r>
        <w:rPr>
          <w:sz w:val="21"/>
        </w:rPr>
        <w:t>made </w:t>
      </w:r>
      <w:r>
        <w:rPr>
          <w:spacing w:val="-3"/>
          <w:sz w:val="21"/>
        </w:rPr>
        <w:t>available to </w:t>
      </w:r>
      <w:r>
        <w:rPr>
          <w:sz w:val="21"/>
        </w:rPr>
        <w:t>clients and </w:t>
      </w:r>
      <w:r>
        <w:rPr>
          <w:spacing w:val="-3"/>
          <w:sz w:val="21"/>
        </w:rPr>
        <w:t>third </w:t>
      </w:r>
      <w:r>
        <w:rPr>
          <w:sz w:val="21"/>
        </w:rPr>
        <w:t>party payers by section </w:t>
      </w:r>
      <w:r>
        <w:rPr>
          <w:spacing w:val="-3"/>
          <w:sz w:val="21"/>
        </w:rPr>
        <w:t>3.4.38 </w:t>
      </w:r>
      <w:r>
        <w:rPr>
          <w:sz w:val="21"/>
        </w:rPr>
        <w:t>of the </w:t>
      </w:r>
      <w:r>
        <w:rPr>
          <w:i/>
          <w:sz w:val="21"/>
        </w:rPr>
        <w:t>Legal </w:t>
      </w:r>
      <w:r>
        <w:rPr>
          <w:i/>
          <w:spacing w:val="-3"/>
          <w:sz w:val="21"/>
        </w:rPr>
        <w:t>Profession </w:t>
      </w:r>
      <w:r>
        <w:rPr>
          <w:i/>
          <w:sz w:val="21"/>
        </w:rPr>
        <w:t>Act 2004 </w:t>
      </w:r>
      <w:r>
        <w:rPr>
          <w:sz w:val="21"/>
        </w:rPr>
        <w:t>(Vic), should once </w:t>
      </w:r>
      <w:r>
        <w:rPr>
          <w:spacing w:val="-3"/>
          <w:sz w:val="21"/>
        </w:rPr>
        <w:t>again </w:t>
      </w:r>
      <w:r>
        <w:rPr>
          <w:sz w:val="21"/>
        </w:rPr>
        <w:t>be made </w:t>
      </w:r>
      <w:r>
        <w:rPr>
          <w:spacing w:val="-3"/>
          <w:sz w:val="21"/>
        </w:rPr>
        <w:t>available to </w:t>
      </w:r>
      <w:r>
        <w:rPr>
          <w:sz w:val="21"/>
        </w:rPr>
        <w:t>a person </w:t>
      </w:r>
      <w:r>
        <w:rPr>
          <w:spacing w:val="-3"/>
          <w:sz w:val="21"/>
        </w:rPr>
        <w:t>interested </w:t>
      </w:r>
      <w:r>
        <w:rPr>
          <w:sz w:val="21"/>
        </w:rPr>
        <w:t>in </w:t>
      </w:r>
      <w:r>
        <w:rPr>
          <w:spacing w:val="-3"/>
          <w:sz w:val="21"/>
        </w:rPr>
        <w:t>any </w:t>
      </w:r>
      <w:r>
        <w:rPr>
          <w:sz w:val="21"/>
        </w:rPr>
        <w:t>property out of which a legal practitioner </w:t>
      </w:r>
      <w:r>
        <w:rPr>
          <w:spacing w:val="-4"/>
          <w:sz w:val="21"/>
        </w:rPr>
        <w:t>executor, </w:t>
      </w:r>
      <w:r>
        <w:rPr>
          <w:spacing w:val="-3"/>
          <w:sz w:val="21"/>
        </w:rPr>
        <w:t>administrator </w:t>
      </w:r>
      <w:r>
        <w:rPr>
          <w:sz w:val="21"/>
        </w:rPr>
        <w:t>or trustee </w:t>
      </w:r>
      <w:r>
        <w:rPr>
          <w:spacing w:val="-3"/>
          <w:sz w:val="21"/>
        </w:rPr>
        <w:t>may recover </w:t>
      </w:r>
      <w:r>
        <w:rPr>
          <w:sz w:val="21"/>
        </w:rPr>
        <w:t>legal</w:t>
      </w:r>
      <w:r>
        <w:rPr>
          <w:spacing w:val="14"/>
          <w:sz w:val="21"/>
        </w:rPr>
        <w:t> </w:t>
      </w:r>
      <w:r>
        <w:rPr>
          <w:sz w:val="21"/>
        </w:rPr>
        <w:t>costs.</w:t>
      </w:r>
    </w:p>
    <w:p>
      <w:pPr>
        <w:pStyle w:val="ListParagraph"/>
        <w:numPr>
          <w:ilvl w:val="0"/>
          <w:numId w:val="18"/>
        </w:numPr>
        <w:tabs>
          <w:tab w:pos="1928" w:val="left" w:leader="none"/>
        </w:tabs>
        <w:spacing w:line="240" w:lineRule="auto" w:before="124" w:after="0"/>
        <w:ind w:left="1927" w:right="0" w:hanging="340"/>
        <w:jc w:val="left"/>
        <w:rPr>
          <w:sz w:val="21"/>
        </w:rPr>
      </w:pPr>
      <w:r>
        <w:rPr>
          <w:sz w:val="21"/>
        </w:rPr>
        <w:t>The</w:t>
      </w:r>
      <w:r>
        <w:rPr>
          <w:spacing w:val="10"/>
          <w:sz w:val="21"/>
        </w:rPr>
        <w:t> </w:t>
      </w:r>
      <w:r>
        <w:rPr>
          <w:sz w:val="21"/>
        </w:rPr>
        <w:t>Law</w:t>
      </w:r>
      <w:r>
        <w:rPr>
          <w:spacing w:val="10"/>
          <w:sz w:val="21"/>
        </w:rPr>
        <w:t> </w:t>
      </w:r>
      <w:r>
        <w:rPr>
          <w:spacing w:val="-3"/>
          <w:sz w:val="21"/>
        </w:rPr>
        <w:t>Institute</w:t>
      </w:r>
      <w:r>
        <w:rPr>
          <w:spacing w:val="10"/>
          <w:sz w:val="21"/>
        </w:rPr>
        <w:t> </w:t>
      </w:r>
      <w:r>
        <w:rPr>
          <w:sz w:val="21"/>
        </w:rPr>
        <w:t>of</w:t>
      </w:r>
      <w:r>
        <w:rPr>
          <w:spacing w:val="10"/>
          <w:sz w:val="21"/>
        </w:rPr>
        <w:t> </w:t>
      </w:r>
      <w:r>
        <w:rPr>
          <w:sz w:val="21"/>
        </w:rPr>
        <w:t>Victoria</w:t>
      </w:r>
      <w:r>
        <w:rPr>
          <w:spacing w:val="10"/>
          <w:sz w:val="21"/>
        </w:rPr>
        <w:t> </w:t>
      </w:r>
      <w:r>
        <w:rPr>
          <w:sz w:val="21"/>
        </w:rPr>
        <w:t>or</w:t>
      </w:r>
      <w:r>
        <w:rPr>
          <w:spacing w:val="10"/>
          <w:sz w:val="21"/>
        </w:rPr>
        <w:t> </w:t>
      </w:r>
      <w:r>
        <w:rPr>
          <w:sz w:val="21"/>
        </w:rPr>
        <w:t>other</w:t>
      </w:r>
      <w:r>
        <w:rPr>
          <w:spacing w:val="10"/>
          <w:sz w:val="21"/>
        </w:rPr>
        <w:t> </w:t>
      </w:r>
      <w:r>
        <w:rPr>
          <w:spacing w:val="-3"/>
          <w:sz w:val="21"/>
        </w:rPr>
        <w:t>relevant</w:t>
      </w:r>
      <w:r>
        <w:rPr>
          <w:spacing w:val="10"/>
          <w:sz w:val="21"/>
        </w:rPr>
        <w:t> </w:t>
      </w:r>
      <w:r>
        <w:rPr>
          <w:sz w:val="21"/>
        </w:rPr>
        <w:t>body</w:t>
      </w:r>
      <w:r>
        <w:rPr>
          <w:spacing w:val="10"/>
          <w:sz w:val="21"/>
        </w:rPr>
        <w:t> </w:t>
      </w:r>
      <w:r>
        <w:rPr>
          <w:sz w:val="21"/>
        </w:rPr>
        <w:t>should</w:t>
      </w:r>
      <w:r>
        <w:rPr>
          <w:spacing w:val="10"/>
          <w:sz w:val="21"/>
        </w:rPr>
        <w:t> </w:t>
      </w:r>
      <w:r>
        <w:rPr>
          <w:spacing w:val="-3"/>
          <w:sz w:val="21"/>
        </w:rPr>
        <w:t>make:</w:t>
      </w:r>
    </w:p>
    <w:p>
      <w:pPr>
        <w:pStyle w:val="ListParagraph"/>
        <w:numPr>
          <w:ilvl w:val="1"/>
          <w:numId w:val="18"/>
        </w:numPr>
        <w:tabs>
          <w:tab w:pos="3028" w:val="left" w:leader="none"/>
        </w:tabs>
        <w:spacing w:line="242" w:lineRule="auto" w:before="124" w:after="0"/>
        <w:ind w:left="3027" w:right="516" w:hanging="306"/>
        <w:jc w:val="left"/>
        <w:rPr>
          <w:sz w:val="21"/>
        </w:rPr>
      </w:pPr>
      <w:r>
        <w:rPr>
          <w:spacing w:val="-3"/>
          <w:sz w:val="21"/>
        </w:rPr>
        <w:t>uniform </w:t>
      </w:r>
      <w:r>
        <w:rPr>
          <w:sz w:val="21"/>
        </w:rPr>
        <w:t>rules under the new </w:t>
      </w:r>
      <w:r>
        <w:rPr>
          <w:spacing w:val="-3"/>
          <w:sz w:val="21"/>
        </w:rPr>
        <w:t>uniform </w:t>
      </w:r>
      <w:r>
        <w:rPr>
          <w:sz w:val="21"/>
        </w:rPr>
        <w:t>law </w:t>
      </w:r>
      <w:r>
        <w:rPr>
          <w:spacing w:val="-3"/>
          <w:sz w:val="21"/>
        </w:rPr>
        <w:t>that </w:t>
      </w:r>
      <w:r>
        <w:rPr>
          <w:sz w:val="21"/>
        </w:rPr>
        <w:t>clarify the duties of legal practitioners in </w:t>
      </w:r>
      <w:r>
        <w:rPr>
          <w:spacing w:val="-3"/>
          <w:sz w:val="21"/>
        </w:rPr>
        <w:t>providing executorial </w:t>
      </w:r>
      <w:r>
        <w:rPr>
          <w:sz w:val="21"/>
        </w:rPr>
        <w:t>services and </w:t>
      </w:r>
      <w:r>
        <w:rPr>
          <w:spacing w:val="-3"/>
          <w:sz w:val="21"/>
        </w:rPr>
        <w:t>charging for </w:t>
      </w:r>
      <w:r>
        <w:rPr>
          <w:sz w:val="21"/>
        </w:rPr>
        <w:t>those</w:t>
      </w:r>
      <w:r>
        <w:rPr>
          <w:spacing w:val="26"/>
          <w:sz w:val="21"/>
        </w:rPr>
        <w:t> </w:t>
      </w:r>
      <w:r>
        <w:rPr>
          <w:sz w:val="21"/>
        </w:rPr>
        <w:t>services</w:t>
      </w:r>
    </w:p>
    <w:p>
      <w:pPr>
        <w:pStyle w:val="ListParagraph"/>
        <w:numPr>
          <w:ilvl w:val="1"/>
          <w:numId w:val="18"/>
        </w:numPr>
        <w:tabs>
          <w:tab w:pos="3028" w:val="left" w:leader="none"/>
        </w:tabs>
        <w:spacing w:line="242" w:lineRule="auto" w:before="122" w:after="0"/>
        <w:ind w:left="3027" w:right="282" w:hanging="306"/>
        <w:jc w:val="left"/>
        <w:rPr>
          <w:sz w:val="21"/>
        </w:rPr>
      </w:pPr>
      <w:r>
        <w:rPr>
          <w:sz w:val="21"/>
        </w:rPr>
        <w:t>in support of these rules, </w:t>
      </w:r>
      <w:r>
        <w:rPr>
          <w:spacing w:val="-3"/>
          <w:sz w:val="21"/>
        </w:rPr>
        <w:t>guidelines for </w:t>
      </w:r>
      <w:r>
        <w:rPr>
          <w:sz w:val="21"/>
        </w:rPr>
        <w:t>legal practitioner executors on meeting their fiduciary</w:t>
      </w:r>
      <w:r>
        <w:rPr>
          <w:spacing w:val="16"/>
          <w:sz w:val="21"/>
        </w:rPr>
        <w:t> </w:t>
      </w:r>
      <w:r>
        <w:rPr>
          <w:spacing w:val="-3"/>
          <w:sz w:val="21"/>
        </w:rPr>
        <w:t>responsibilities.</w:t>
      </w:r>
    </w:p>
    <w:p>
      <w:pPr>
        <w:pStyle w:val="ListParagraph"/>
        <w:numPr>
          <w:ilvl w:val="0"/>
          <w:numId w:val="18"/>
        </w:numPr>
        <w:tabs>
          <w:tab w:pos="1928" w:val="left" w:leader="none"/>
        </w:tabs>
        <w:spacing w:line="242" w:lineRule="auto" w:before="122" w:after="0"/>
        <w:ind w:left="1927" w:right="49" w:hanging="340"/>
        <w:jc w:val="left"/>
        <w:rPr>
          <w:sz w:val="21"/>
        </w:rPr>
      </w:pPr>
      <w:r>
        <w:rPr>
          <w:w w:val="105"/>
          <w:sz w:val="21"/>
        </w:rPr>
        <w:t>The Victoria Law Foundation should </w:t>
      </w:r>
      <w:r>
        <w:rPr>
          <w:spacing w:val="-3"/>
          <w:w w:val="105"/>
          <w:sz w:val="21"/>
        </w:rPr>
        <w:t>publish </w:t>
      </w:r>
      <w:r>
        <w:rPr>
          <w:w w:val="105"/>
          <w:sz w:val="21"/>
        </w:rPr>
        <w:t>a </w:t>
      </w:r>
      <w:r>
        <w:rPr>
          <w:spacing w:val="-3"/>
          <w:w w:val="105"/>
          <w:sz w:val="21"/>
        </w:rPr>
        <w:t>guide, </w:t>
      </w:r>
      <w:r>
        <w:rPr>
          <w:w w:val="105"/>
          <w:sz w:val="21"/>
        </w:rPr>
        <w:t>or series of guides, on </w:t>
      </w:r>
      <w:r>
        <w:rPr>
          <w:spacing w:val="-3"/>
          <w:w w:val="105"/>
          <w:sz w:val="21"/>
        </w:rPr>
        <w:t>making wills </w:t>
      </w:r>
      <w:r>
        <w:rPr>
          <w:w w:val="105"/>
          <w:sz w:val="21"/>
        </w:rPr>
        <w:t>and the</w:t>
      </w:r>
      <w:r>
        <w:rPr>
          <w:spacing w:val="-6"/>
          <w:w w:val="105"/>
          <w:sz w:val="21"/>
        </w:rPr>
        <w:t> </w:t>
      </w:r>
      <w:r>
        <w:rPr>
          <w:w w:val="105"/>
          <w:sz w:val="21"/>
        </w:rPr>
        <w:t>role</w:t>
      </w:r>
      <w:r>
        <w:rPr>
          <w:spacing w:val="-5"/>
          <w:w w:val="105"/>
          <w:sz w:val="21"/>
        </w:rPr>
        <w:t> </w:t>
      </w:r>
      <w:r>
        <w:rPr>
          <w:w w:val="105"/>
          <w:sz w:val="21"/>
        </w:rPr>
        <w:t>of</w:t>
      </w:r>
      <w:r>
        <w:rPr>
          <w:spacing w:val="-6"/>
          <w:w w:val="105"/>
          <w:sz w:val="21"/>
        </w:rPr>
        <w:t> </w:t>
      </w:r>
      <w:r>
        <w:rPr>
          <w:w w:val="105"/>
          <w:sz w:val="21"/>
        </w:rPr>
        <w:t>the</w:t>
      </w:r>
      <w:r>
        <w:rPr>
          <w:spacing w:val="-6"/>
          <w:w w:val="105"/>
          <w:sz w:val="21"/>
        </w:rPr>
        <w:t> </w:t>
      </w:r>
      <w:r>
        <w:rPr>
          <w:spacing w:val="-4"/>
          <w:w w:val="105"/>
          <w:sz w:val="21"/>
        </w:rPr>
        <w:t>executor.</w:t>
      </w:r>
      <w:r>
        <w:rPr>
          <w:spacing w:val="-5"/>
          <w:w w:val="105"/>
          <w:sz w:val="21"/>
        </w:rPr>
        <w:t> </w:t>
      </w:r>
      <w:r>
        <w:rPr>
          <w:w w:val="105"/>
          <w:sz w:val="21"/>
        </w:rPr>
        <w:t>The</w:t>
      </w:r>
      <w:r>
        <w:rPr>
          <w:spacing w:val="-6"/>
          <w:w w:val="105"/>
          <w:sz w:val="21"/>
        </w:rPr>
        <w:t> </w:t>
      </w:r>
      <w:r>
        <w:rPr>
          <w:spacing w:val="-3"/>
          <w:w w:val="105"/>
          <w:sz w:val="21"/>
        </w:rPr>
        <w:t>information</w:t>
      </w:r>
      <w:r>
        <w:rPr>
          <w:spacing w:val="-5"/>
          <w:w w:val="105"/>
          <w:sz w:val="21"/>
        </w:rPr>
        <w:t> </w:t>
      </w:r>
      <w:r>
        <w:rPr>
          <w:w w:val="105"/>
          <w:sz w:val="21"/>
        </w:rPr>
        <w:t>should</w:t>
      </w:r>
      <w:r>
        <w:rPr>
          <w:spacing w:val="-6"/>
          <w:w w:val="105"/>
          <w:sz w:val="21"/>
        </w:rPr>
        <w:t> </w:t>
      </w:r>
      <w:r>
        <w:rPr>
          <w:w w:val="105"/>
          <w:sz w:val="21"/>
        </w:rPr>
        <w:t>encompass</w:t>
      </w:r>
      <w:r>
        <w:rPr>
          <w:spacing w:val="-5"/>
          <w:w w:val="105"/>
          <w:sz w:val="21"/>
        </w:rPr>
        <w:t> </w:t>
      </w:r>
      <w:r>
        <w:rPr>
          <w:w w:val="105"/>
          <w:sz w:val="21"/>
        </w:rPr>
        <w:t>the</w:t>
      </w:r>
      <w:r>
        <w:rPr>
          <w:spacing w:val="-6"/>
          <w:w w:val="105"/>
          <w:sz w:val="21"/>
        </w:rPr>
        <w:t> </w:t>
      </w:r>
      <w:r>
        <w:rPr>
          <w:spacing w:val="-3"/>
          <w:w w:val="105"/>
          <w:sz w:val="21"/>
        </w:rPr>
        <w:t>following</w:t>
      </w:r>
      <w:r>
        <w:rPr>
          <w:spacing w:val="-5"/>
          <w:w w:val="105"/>
          <w:sz w:val="21"/>
        </w:rPr>
        <w:t> </w:t>
      </w:r>
      <w:r>
        <w:rPr>
          <w:w w:val="105"/>
          <w:sz w:val="21"/>
        </w:rPr>
        <w:t>topics</w:t>
      </w:r>
      <w:r>
        <w:rPr>
          <w:spacing w:val="-6"/>
          <w:w w:val="105"/>
          <w:sz w:val="21"/>
        </w:rPr>
        <w:t> </w:t>
      </w:r>
      <w:r>
        <w:rPr>
          <w:w w:val="105"/>
          <w:sz w:val="21"/>
        </w:rPr>
        <w:t>and</w:t>
      </w:r>
      <w:r>
        <w:rPr>
          <w:spacing w:val="-5"/>
          <w:w w:val="105"/>
          <w:sz w:val="21"/>
        </w:rPr>
        <w:t> </w:t>
      </w:r>
      <w:r>
        <w:rPr>
          <w:w w:val="105"/>
          <w:sz w:val="21"/>
        </w:rPr>
        <w:t>be</w:t>
      </w:r>
      <w:r>
        <w:rPr>
          <w:spacing w:val="-6"/>
          <w:w w:val="105"/>
          <w:sz w:val="21"/>
        </w:rPr>
        <w:t> </w:t>
      </w:r>
      <w:r>
        <w:rPr>
          <w:w w:val="105"/>
          <w:sz w:val="21"/>
        </w:rPr>
        <w:t>made </w:t>
      </w:r>
      <w:r>
        <w:rPr>
          <w:spacing w:val="-3"/>
          <w:w w:val="105"/>
          <w:sz w:val="21"/>
        </w:rPr>
        <w:t>available </w:t>
      </w:r>
      <w:r>
        <w:rPr>
          <w:w w:val="105"/>
          <w:sz w:val="21"/>
        </w:rPr>
        <w:t>in community</w:t>
      </w:r>
      <w:r>
        <w:rPr>
          <w:spacing w:val="17"/>
          <w:w w:val="105"/>
          <w:sz w:val="21"/>
        </w:rPr>
        <w:t> </w:t>
      </w:r>
      <w:r>
        <w:rPr>
          <w:w w:val="105"/>
          <w:sz w:val="21"/>
        </w:rPr>
        <w:t>languages:</w:t>
      </w:r>
    </w:p>
    <w:p>
      <w:pPr>
        <w:pStyle w:val="ListParagraph"/>
        <w:numPr>
          <w:ilvl w:val="1"/>
          <w:numId w:val="18"/>
        </w:numPr>
        <w:tabs>
          <w:tab w:pos="3028" w:val="left" w:leader="none"/>
        </w:tabs>
        <w:spacing w:line="242" w:lineRule="auto" w:before="124" w:after="0"/>
        <w:ind w:left="3027" w:right="552" w:hanging="306"/>
        <w:jc w:val="left"/>
        <w:rPr>
          <w:sz w:val="21"/>
        </w:rPr>
      </w:pPr>
      <w:r>
        <w:rPr>
          <w:w w:val="105"/>
          <w:sz w:val="21"/>
        </w:rPr>
        <w:t>questions and issues </w:t>
      </w:r>
      <w:r>
        <w:rPr>
          <w:spacing w:val="-3"/>
          <w:w w:val="105"/>
          <w:sz w:val="21"/>
        </w:rPr>
        <w:t>to consider </w:t>
      </w:r>
      <w:r>
        <w:rPr>
          <w:w w:val="105"/>
          <w:sz w:val="21"/>
        </w:rPr>
        <w:t>when </w:t>
      </w:r>
      <w:r>
        <w:rPr>
          <w:spacing w:val="-3"/>
          <w:w w:val="105"/>
          <w:sz w:val="21"/>
        </w:rPr>
        <w:t>making </w:t>
      </w:r>
      <w:r>
        <w:rPr>
          <w:w w:val="105"/>
          <w:sz w:val="21"/>
        </w:rPr>
        <w:t>a </w:t>
      </w:r>
      <w:r>
        <w:rPr>
          <w:spacing w:val="-3"/>
          <w:w w:val="105"/>
          <w:sz w:val="21"/>
        </w:rPr>
        <w:t>will, focusing </w:t>
      </w:r>
      <w:r>
        <w:rPr>
          <w:w w:val="105"/>
          <w:sz w:val="21"/>
        </w:rPr>
        <w:t>on </w:t>
      </w:r>
      <w:r>
        <w:rPr>
          <w:spacing w:val="-3"/>
          <w:w w:val="105"/>
          <w:sz w:val="21"/>
        </w:rPr>
        <w:t>helping </w:t>
      </w:r>
      <w:r>
        <w:rPr>
          <w:w w:val="105"/>
          <w:sz w:val="21"/>
        </w:rPr>
        <w:t>will-makers</w:t>
      </w:r>
      <w:r>
        <w:rPr>
          <w:spacing w:val="-13"/>
          <w:w w:val="105"/>
          <w:sz w:val="21"/>
        </w:rPr>
        <w:t> </w:t>
      </w:r>
      <w:r>
        <w:rPr>
          <w:w w:val="105"/>
          <w:sz w:val="21"/>
        </w:rPr>
        <w:t>avoid</w:t>
      </w:r>
      <w:r>
        <w:rPr>
          <w:spacing w:val="-12"/>
          <w:w w:val="105"/>
          <w:sz w:val="21"/>
        </w:rPr>
        <w:t> </w:t>
      </w:r>
      <w:r>
        <w:rPr>
          <w:spacing w:val="-2"/>
          <w:w w:val="105"/>
          <w:sz w:val="21"/>
        </w:rPr>
        <w:t>problems</w:t>
      </w:r>
      <w:r>
        <w:rPr>
          <w:spacing w:val="-13"/>
          <w:w w:val="105"/>
          <w:sz w:val="21"/>
        </w:rPr>
        <w:t> </w:t>
      </w:r>
      <w:r>
        <w:rPr>
          <w:spacing w:val="-2"/>
          <w:w w:val="105"/>
          <w:sz w:val="21"/>
        </w:rPr>
        <w:t>commonly</w:t>
      </w:r>
      <w:r>
        <w:rPr>
          <w:spacing w:val="-12"/>
          <w:w w:val="105"/>
          <w:sz w:val="21"/>
        </w:rPr>
        <w:t> </w:t>
      </w:r>
      <w:r>
        <w:rPr>
          <w:w w:val="105"/>
          <w:sz w:val="21"/>
        </w:rPr>
        <w:t>identified</w:t>
      </w:r>
      <w:r>
        <w:rPr>
          <w:spacing w:val="-13"/>
          <w:w w:val="105"/>
          <w:sz w:val="21"/>
        </w:rPr>
        <w:t> </w:t>
      </w:r>
      <w:r>
        <w:rPr>
          <w:w w:val="105"/>
          <w:sz w:val="21"/>
        </w:rPr>
        <w:t>in</w:t>
      </w:r>
      <w:r>
        <w:rPr>
          <w:spacing w:val="-12"/>
          <w:w w:val="105"/>
          <w:sz w:val="21"/>
        </w:rPr>
        <w:t> </w:t>
      </w:r>
      <w:r>
        <w:rPr>
          <w:spacing w:val="-3"/>
          <w:w w:val="105"/>
          <w:sz w:val="21"/>
        </w:rPr>
        <w:t>wills</w:t>
      </w:r>
      <w:r>
        <w:rPr>
          <w:spacing w:val="-12"/>
          <w:w w:val="105"/>
          <w:sz w:val="21"/>
        </w:rPr>
        <w:t> </w:t>
      </w:r>
      <w:r>
        <w:rPr>
          <w:w w:val="105"/>
          <w:sz w:val="21"/>
        </w:rPr>
        <w:t>made</w:t>
      </w:r>
      <w:r>
        <w:rPr>
          <w:spacing w:val="-13"/>
          <w:w w:val="105"/>
          <w:sz w:val="21"/>
        </w:rPr>
        <w:t> </w:t>
      </w:r>
      <w:r>
        <w:rPr>
          <w:w w:val="105"/>
          <w:sz w:val="21"/>
        </w:rPr>
        <w:t>without</w:t>
      </w:r>
      <w:r>
        <w:rPr>
          <w:spacing w:val="-12"/>
          <w:w w:val="105"/>
          <w:sz w:val="21"/>
        </w:rPr>
        <w:t> </w:t>
      </w:r>
      <w:r>
        <w:rPr>
          <w:w w:val="105"/>
          <w:sz w:val="21"/>
        </w:rPr>
        <w:t>legal advice and </w:t>
      </w:r>
      <w:r>
        <w:rPr>
          <w:spacing w:val="-3"/>
          <w:w w:val="105"/>
          <w:sz w:val="21"/>
        </w:rPr>
        <w:t>providing guidance </w:t>
      </w:r>
      <w:r>
        <w:rPr>
          <w:w w:val="105"/>
          <w:sz w:val="21"/>
        </w:rPr>
        <w:t>about selecting an</w:t>
      </w:r>
      <w:r>
        <w:rPr>
          <w:spacing w:val="31"/>
          <w:w w:val="105"/>
          <w:sz w:val="21"/>
        </w:rPr>
        <w:t> </w:t>
      </w:r>
      <w:r>
        <w:rPr>
          <w:spacing w:val="-3"/>
          <w:w w:val="105"/>
          <w:sz w:val="21"/>
        </w:rPr>
        <w:t>executor</w:t>
      </w:r>
    </w:p>
    <w:p>
      <w:pPr>
        <w:pStyle w:val="ListParagraph"/>
        <w:numPr>
          <w:ilvl w:val="1"/>
          <w:numId w:val="18"/>
        </w:numPr>
        <w:tabs>
          <w:tab w:pos="3028" w:val="left" w:leader="none"/>
        </w:tabs>
        <w:spacing w:line="242" w:lineRule="auto" w:before="123" w:after="0"/>
        <w:ind w:left="3027" w:right="404" w:hanging="306"/>
        <w:jc w:val="both"/>
        <w:rPr>
          <w:sz w:val="21"/>
        </w:rPr>
      </w:pPr>
      <w:r>
        <w:rPr>
          <w:w w:val="105"/>
          <w:sz w:val="21"/>
        </w:rPr>
        <w:t>practical</w:t>
      </w:r>
      <w:r>
        <w:rPr>
          <w:spacing w:val="-13"/>
          <w:w w:val="105"/>
          <w:sz w:val="21"/>
        </w:rPr>
        <w:t> </w:t>
      </w:r>
      <w:r>
        <w:rPr>
          <w:spacing w:val="-3"/>
          <w:w w:val="105"/>
          <w:sz w:val="21"/>
        </w:rPr>
        <w:t>information</w:t>
      </w:r>
      <w:r>
        <w:rPr>
          <w:spacing w:val="-13"/>
          <w:w w:val="105"/>
          <w:sz w:val="21"/>
        </w:rPr>
        <w:t> </w:t>
      </w:r>
      <w:r>
        <w:rPr>
          <w:spacing w:val="-3"/>
          <w:w w:val="105"/>
          <w:sz w:val="21"/>
        </w:rPr>
        <w:t>for</w:t>
      </w:r>
      <w:r>
        <w:rPr>
          <w:spacing w:val="-13"/>
          <w:w w:val="105"/>
          <w:sz w:val="21"/>
        </w:rPr>
        <w:t> </w:t>
      </w:r>
      <w:r>
        <w:rPr>
          <w:w w:val="105"/>
          <w:sz w:val="21"/>
        </w:rPr>
        <w:t>non-professional</w:t>
      </w:r>
      <w:r>
        <w:rPr>
          <w:spacing w:val="-13"/>
          <w:w w:val="105"/>
          <w:sz w:val="21"/>
        </w:rPr>
        <w:t> </w:t>
      </w:r>
      <w:r>
        <w:rPr>
          <w:w w:val="105"/>
          <w:sz w:val="21"/>
        </w:rPr>
        <w:t>executors</w:t>
      </w:r>
      <w:r>
        <w:rPr>
          <w:spacing w:val="-13"/>
          <w:w w:val="105"/>
          <w:sz w:val="21"/>
        </w:rPr>
        <w:t> </w:t>
      </w:r>
      <w:r>
        <w:rPr>
          <w:w w:val="105"/>
          <w:sz w:val="21"/>
        </w:rPr>
        <w:t>about</w:t>
      </w:r>
      <w:r>
        <w:rPr>
          <w:spacing w:val="-13"/>
          <w:w w:val="105"/>
          <w:sz w:val="21"/>
        </w:rPr>
        <w:t> </w:t>
      </w:r>
      <w:r>
        <w:rPr>
          <w:w w:val="105"/>
          <w:sz w:val="21"/>
        </w:rPr>
        <w:t>what</w:t>
      </w:r>
      <w:r>
        <w:rPr>
          <w:spacing w:val="-13"/>
          <w:w w:val="105"/>
          <w:sz w:val="21"/>
        </w:rPr>
        <w:t> </w:t>
      </w:r>
      <w:r>
        <w:rPr>
          <w:w w:val="105"/>
          <w:sz w:val="21"/>
        </w:rPr>
        <w:t>they</w:t>
      </w:r>
      <w:r>
        <w:rPr>
          <w:spacing w:val="-13"/>
          <w:w w:val="105"/>
          <w:sz w:val="21"/>
        </w:rPr>
        <w:t> </w:t>
      </w:r>
      <w:r>
        <w:rPr>
          <w:w w:val="105"/>
          <w:sz w:val="21"/>
        </w:rPr>
        <w:t>need</w:t>
      </w:r>
      <w:r>
        <w:rPr>
          <w:spacing w:val="-13"/>
          <w:w w:val="105"/>
          <w:sz w:val="21"/>
        </w:rPr>
        <w:t> </w:t>
      </w:r>
      <w:r>
        <w:rPr>
          <w:spacing w:val="-3"/>
          <w:w w:val="105"/>
          <w:sz w:val="21"/>
        </w:rPr>
        <w:t>to </w:t>
      </w:r>
      <w:r>
        <w:rPr>
          <w:w w:val="105"/>
          <w:sz w:val="21"/>
        </w:rPr>
        <w:t>do in </w:t>
      </w:r>
      <w:r>
        <w:rPr>
          <w:spacing w:val="-3"/>
          <w:w w:val="105"/>
          <w:sz w:val="21"/>
        </w:rPr>
        <w:t>that position, focusing </w:t>
      </w:r>
      <w:r>
        <w:rPr>
          <w:w w:val="105"/>
          <w:sz w:val="21"/>
        </w:rPr>
        <w:t>on </w:t>
      </w:r>
      <w:r>
        <w:rPr>
          <w:spacing w:val="-3"/>
          <w:w w:val="105"/>
          <w:sz w:val="21"/>
        </w:rPr>
        <w:t>resources that </w:t>
      </w:r>
      <w:r>
        <w:rPr>
          <w:w w:val="105"/>
          <w:sz w:val="21"/>
        </w:rPr>
        <w:t>can help them in meeting their </w:t>
      </w:r>
      <w:r>
        <w:rPr>
          <w:spacing w:val="-3"/>
          <w:w w:val="105"/>
          <w:sz w:val="21"/>
        </w:rPr>
        <w:t>responsibilities</w:t>
      </w:r>
      <w:r>
        <w:rPr>
          <w:spacing w:val="-15"/>
          <w:w w:val="105"/>
          <w:sz w:val="21"/>
        </w:rPr>
        <w:t> </w:t>
      </w:r>
      <w:r>
        <w:rPr>
          <w:w w:val="105"/>
          <w:sz w:val="21"/>
        </w:rPr>
        <w:t>and</w:t>
      </w:r>
      <w:r>
        <w:rPr>
          <w:spacing w:val="-15"/>
          <w:w w:val="105"/>
          <w:sz w:val="21"/>
        </w:rPr>
        <w:t> </w:t>
      </w:r>
      <w:r>
        <w:rPr>
          <w:w w:val="105"/>
          <w:sz w:val="21"/>
        </w:rPr>
        <w:t>identifying</w:t>
      </w:r>
      <w:r>
        <w:rPr>
          <w:spacing w:val="-14"/>
          <w:w w:val="105"/>
          <w:sz w:val="21"/>
        </w:rPr>
        <w:t> </w:t>
      </w:r>
      <w:r>
        <w:rPr>
          <w:w w:val="105"/>
          <w:sz w:val="21"/>
        </w:rPr>
        <w:t>where</w:t>
      </w:r>
      <w:r>
        <w:rPr>
          <w:spacing w:val="-15"/>
          <w:w w:val="105"/>
          <w:sz w:val="21"/>
        </w:rPr>
        <w:t> </w:t>
      </w:r>
      <w:r>
        <w:rPr>
          <w:w w:val="105"/>
          <w:sz w:val="21"/>
        </w:rPr>
        <w:t>they</w:t>
      </w:r>
      <w:r>
        <w:rPr>
          <w:spacing w:val="-14"/>
          <w:w w:val="105"/>
          <w:sz w:val="21"/>
        </w:rPr>
        <w:t> </w:t>
      </w:r>
      <w:r>
        <w:rPr>
          <w:spacing w:val="-3"/>
          <w:w w:val="105"/>
          <w:sz w:val="21"/>
        </w:rPr>
        <w:t>may</w:t>
      </w:r>
      <w:r>
        <w:rPr>
          <w:spacing w:val="-15"/>
          <w:w w:val="105"/>
          <w:sz w:val="21"/>
        </w:rPr>
        <w:t> </w:t>
      </w:r>
      <w:r>
        <w:rPr>
          <w:w w:val="105"/>
          <w:sz w:val="21"/>
        </w:rPr>
        <w:t>obtain</w:t>
      </w:r>
      <w:r>
        <w:rPr>
          <w:spacing w:val="-14"/>
          <w:w w:val="105"/>
          <w:sz w:val="21"/>
        </w:rPr>
        <w:t> </w:t>
      </w:r>
      <w:r>
        <w:rPr>
          <w:spacing w:val="-3"/>
          <w:w w:val="105"/>
          <w:sz w:val="21"/>
        </w:rPr>
        <w:t>professional</w:t>
      </w:r>
      <w:r>
        <w:rPr>
          <w:spacing w:val="-15"/>
          <w:w w:val="105"/>
          <w:sz w:val="21"/>
        </w:rPr>
        <w:t> </w:t>
      </w:r>
      <w:r>
        <w:rPr>
          <w:w w:val="105"/>
          <w:sz w:val="21"/>
        </w:rPr>
        <w:t>assistance</w:t>
      </w:r>
    </w:p>
    <w:p>
      <w:pPr>
        <w:pStyle w:val="ListParagraph"/>
        <w:numPr>
          <w:ilvl w:val="1"/>
          <w:numId w:val="18"/>
        </w:numPr>
        <w:tabs>
          <w:tab w:pos="3028" w:val="left" w:leader="none"/>
        </w:tabs>
        <w:spacing w:line="240" w:lineRule="auto" w:before="123" w:after="0"/>
        <w:ind w:left="3027" w:right="0" w:hanging="306"/>
        <w:jc w:val="left"/>
        <w:rPr>
          <w:sz w:val="21"/>
        </w:rPr>
      </w:pPr>
      <w:r>
        <w:rPr>
          <w:w w:val="105"/>
          <w:sz w:val="21"/>
        </w:rPr>
        <w:t>practical </w:t>
      </w:r>
      <w:r>
        <w:rPr>
          <w:spacing w:val="-3"/>
          <w:w w:val="105"/>
          <w:sz w:val="21"/>
        </w:rPr>
        <w:t>information for bereaved family </w:t>
      </w:r>
      <w:r>
        <w:rPr>
          <w:w w:val="105"/>
          <w:sz w:val="21"/>
        </w:rPr>
        <w:t>and </w:t>
      </w:r>
      <w:r>
        <w:rPr>
          <w:spacing w:val="-3"/>
          <w:w w:val="105"/>
          <w:sz w:val="21"/>
        </w:rPr>
        <w:t>friends </w:t>
      </w:r>
      <w:r>
        <w:rPr>
          <w:w w:val="105"/>
          <w:sz w:val="21"/>
        </w:rPr>
        <w:t>about what</w:t>
      </w:r>
      <w:r>
        <w:rPr>
          <w:spacing w:val="15"/>
          <w:w w:val="105"/>
          <w:sz w:val="21"/>
        </w:rPr>
        <w:t> </w:t>
      </w:r>
      <w:r>
        <w:rPr>
          <w:w w:val="105"/>
          <w:sz w:val="21"/>
        </w:rPr>
        <w:t>happens</w:t>
      </w:r>
    </w:p>
    <w:p>
      <w:pPr>
        <w:pStyle w:val="BodyText"/>
        <w:spacing w:line="242" w:lineRule="auto" w:before="4"/>
        <w:ind w:left="3027" w:right="273"/>
      </w:pPr>
      <w:r>
        <w:rPr>
          <w:spacing w:val="-3"/>
          <w:w w:val="105"/>
        </w:rPr>
        <w:t>to </w:t>
      </w:r>
      <w:r>
        <w:rPr>
          <w:w w:val="105"/>
        </w:rPr>
        <w:t>the assets of a person after they </w:t>
      </w:r>
      <w:r>
        <w:rPr>
          <w:spacing w:val="-3"/>
          <w:w w:val="105"/>
        </w:rPr>
        <w:t>die, focusing </w:t>
      </w:r>
      <w:r>
        <w:rPr>
          <w:w w:val="105"/>
        </w:rPr>
        <w:t>on what the </w:t>
      </w:r>
      <w:r>
        <w:rPr>
          <w:spacing w:val="-3"/>
          <w:w w:val="105"/>
        </w:rPr>
        <w:t>executor </w:t>
      </w:r>
      <w:r>
        <w:rPr>
          <w:w w:val="105"/>
        </w:rPr>
        <w:t>needs </w:t>
      </w:r>
      <w:r>
        <w:rPr>
          <w:spacing w:val="-3"/>
          <w:w w:val="105"/>
        </w:rPr>
        <w:t>to </w:t>
      </w:r>
      <w:r>
        <w:rPr>
          <w:w w:val="105"/>
        </w:rPr>
        <w:t>do </w:t>
      </w:r>
      <w:r>
        <w:rPr>
          <w:spacing w:val="-3"/>
          <w:w w:val="105"/>
        </w:rPr>
        <w:t>before </w:t>
      </w:r>
      <w:r>
        <w:rPr>
          <w:w w:val="105"/>
        </w:rPr>
        <w:t>the estate can be </w:t>
      </w:r>
      <w:r>
        <w:rPr>
          <w:spacing w:val="-3"/>
          <w:w w:val="105"/>
        </w:rPr>
        <w:t>distributed </w:t>
      </w:r>
      <w:r>
        <w:rPr>
          <w:w w:val="105"/>
        </w:rPr>
        <w:t>and the basis on which the estate </w:t>
      </w:r>
      <w:r>
        <w:rPr>
          <w:spacing w:val="-3"/>
          <w:w w:val="105"/>
        </w:rPr>
        <w:t>might </w:t>
      </w:r>
      <w:r>
        <w:rPr>
          <w:w w:val="105"/>
        </w:rPr>
        <w:t>be </w:t>
      </w:r>
      <w:r>
        <w:rPr>
          <w:spacing w:val="-3"/>
          <w:w w:val="105"/>
        </w:rPr>
        <w:t>charged for </w:t>
      </w:r>
      <w:r>
        <w:rPr>
          <w:w w:val="105"/>
        </w:rPr>
        <w:t>their services.</w:t>
      </w:r>
    </w:p>
    <w:p>
      <w:pPr>
        <w:pStyle w:val="BodyText"/>
        <w:spacing w:before="10"/>
      </w:pPr>
    </w:p>
    <w:p>
      <w:pPr>
        <w:pStyle w:val="Heading4"/>
      </w:pPr>
      <w:r>
        <w:rPr>
          <w:color w:val="EC5A4F"/>
          <w:w w:val="110"/>
        </w:rPr>
        <w:t>Chapter 8 Payment of debts</w:t>
      </w:r>
    </w:p>
    <w:p>
      <w:pPr>
        <w:pStyle w:val="Heading5"/>
        <w:spacing w:before="166"/>
      </w:pPr>
      <w:r>
        <w:rPr>
          <w:w w:val="115"/>
        </w:rPr>
        <w:t>Solvent estates</w:t>
      </w:r>
    </w:p>
    <w:p>
      <w:pPr>
        <w:pStyle w:val="ListParagraph"/>
        <w:numPr>
          <w:ilvl w:val="0"/>
          <w:numId w:val="18"/>
        </w:numPr>
        <w:tabs>
          <w:tab w:pos="1928" w:val="left" w:leader="none"/>
        </w:tabs>
        <w:spacing w:line="240" w:lineRule="auto" w:before="138" w:after="0"/>
        <w:ind w:left="1927" w:right="0" w:hanging="340"/>
        <w:jc w:val="left"/>
        <w:rPr>
          <w:sz w:val="21"/>
        </w:rPr>
      </w:pPr>
      <w:r>
        <w:rPr>
          <w:w w:val="105"/>
          <w:sz w:val="21"/>
        </w:rPr>
        <w:t>The </w:t>
      </w:r>
      <w:r>
        <w:rPr>
          <w:spacing w:val="-3"/>
          <w:w w:val="105"/>
          <w:sz w:val="21"/>
        </w:rPr>
        <w:t>A</w:t>
      </w:r>
      <w:r>
        <w:rPr>
          <w:i/>
          <w:spacing w:val="-3"/>
          <w:w w:val="105"/>
          <w:sz w:val="21"/>
        </w:rPr>
        <w:t>dministration </w:t>
      </w:r>
      <w:r>
        <w:rPr>
          <w:i/>
          <w:w w:val="105"/>
          <w:sz w:val="21"/>
        </w:rPr>
        <w:t>and Probate Act </w:t>
      </w:r>
      <w:r>
        <w:rPr>
          <w:i/>
          <w:spacing w:val="-6"/>
          <w:w w:val="105"/>
          <w:sz w:val="21"/>
        </w:rPr>
        <w:t>1958 </w:t>
      </w:r>
      <w:r>
        <w:rPr>
          <w:w w:val="105"/>
          <w:sz w:val="21"/>
        </w:rPr>
        <w:t>(Vic) should be amended</w:t>
      </w:r>
      <w:r>
        <w:rPr>
          <w:spacing w:val="47"/>
          <w:w w:val="105"/>
          <w:sz w:val="21"/>
        </w:rPr>
        <w:t> </w:t>
      </w:r>
      <w:r>
        <w:rPr>
          <w:w w:val="105"/>
          <w:sz w:val="21"/>
        </w:rPr>
        <w:t>to:</w:t>
      </w:r>
    </w:p>
    <w:p>
      <w:pPr>
        <w:pStyle w:val="ListParagraph"/>
        <w:numPr>
          <w:ilvl w:val="1"/>
          <w:numId w:val="18"/>
        </w:numPr>
        <w:tabs>
          <w:tab w:pos="3028" w:val="left" w:leader="none"/>
        </w:tabs>
        <w:spacing w:line="242" w:lineRule="auto" w:before="123" w:after="0"/>
        <w:ind w:left="3027" w:right="715" w:hanging="306"/>
        <w:jc w:val="left"/>
        <w:rPr>
          <w:sz w:val="21"/>
        </w:rPr>
      </w:pPr>
      <w:r>
        <w:rPr>
          <w:sz w:val="21"/>
        </w:rPr>
        <w:t>repeal Part II of the Second Schedule (order of application of assets where the estate is</w:t>
      </w:r>
      <w:r>
        <w:rPr>
          <w:spacing w:val="23"/>
          <w:sz w:val="21"/>
        </w:rPr>
        <w:t> </w:t>
      </w:r>
      <w:r>
        <w:rPr>
          <w:sz w:val="21"/>
        </w:rPr>
        <w:t>solvent)</w:t>
      </w:r>
    </w:p>
    <w:p>
      <w:pPr>
        <w:pStyle w:val="ListParagraph"/>
        <w:numPr>
          <w:ilvl w:val="1"/>
          <w:numId w:val="18"/>
        </w:numPr>
        <w:tabs>
          <w:tab w:pos="3028" w:val="left" w:leader="none"/>
        </w:tabs>
        <w:spacing w:line="242" w:lineRule="auto" w:before="123" w:after="0"/>
        <w:ind w:left="3027" w:right="869" w:hanging="306"/>
        <w:jc w:val="left"/>
        <w:rPr>
          <w:sz w:val="21"/>
        </w:rPr>
      </w:pPr>
      <w:r>
        <w:rPr>
          <w:w w:val="105"/>
          <w:sz w:val="21"/>
        </w:rPr>
        <w:t>provide in section 39(2) of the Act the </w:t>
      </w:r>
      <w:r>
        <w:rPr>
          <w:spacing w:val="-3"/>
          <w:w w:val="105"/>
          <w:sz w:val="21"/>
        </w:rPr>
        <w:t>following </w:t>
      </w:r>
      <w:r>
        <w:rPr>
          <w:w w:val="105"/>
          <w:sz w:val="21"/>
        </w:rPr>
        <w:t>order of </w:t>
      </w:r>
      <w:r>
        <w:rPr>
          <w:spacing w:val="-3"/>
          <w:w w:val="105"/>
          <w:sz w:val="21"/>
        </w:rPr>
        <w:t>application, </w:t>
      </w:r>
      <w:r>
        <w:rPr>
          <w:w w:val="105"/>
          <w:sz w:val="21"/>
        </w:rPr>
        <w:t>as recommended by the </w:t>
      </w:r>
      <w:r>
        <w:rPr>
          <w:spacing w:val="-3"/>
          <w:w w:val="105"/>
          <w:sz w:val="21"/>
        </w:rPr>
        <w:t>National Committee for Uniform Succession</w:t>
      </w:r>
      <w:r>
        <w:rPr>
          <w:spacing w:val="-14"/>
          <w:w w:val="105"/>
          <w:sz w:val="21"/>
        </w:rPr>
        <w:t> </w:t>
      </w:r>
      <w:r>
        <w:rPr>
          <w:w w:val="105"/>
          <w:sz w:val="21"/>
        </w:rPr>
        <w:t>Laws:</w:t>
      </w:r>
    </w:p>
    <w:p>
      <w:pPr>
        <w:pStyle w:val="ListParagraph"/>
        <w:numPr>
          <w:ilvl w:val="2"/>
          <w:numId w:val="18"/>
        </w:numPr>
        <w:tabs>
          <w:tab w:pos="3246" w:val="left" w:leader="none"/>
        </w:tabs>
        <w:spacing w:line="242" w:lineRule="auto" w:before="122" w:after="0"/>
        <w:ind w:left="3245" w:right="0" w:hanging="218"/>
        <w:jc w:val="left"/>
        <w:rPr>
          <w:sz w:val="21"/>
        </w:rPr>
      </w:pPr>
      <w:r>
        <w:rPr>
          <w:sz w:val="21"/>
        </w:rPr>
        <w:t>Property specifically </w:t>
      </w:r>
      <w:r>
        <w:rPr>
          <w:spacing w:val="-3"/>
          <w:sz w:val="21"/>
        </w:rPr>
        <w:t>appropriated </w:t>
      </w:r>
      <w:r>
        <w:rPr>
          <w:sz w:val="21"/>
        </w:rPr>
        <w:t>or given by </w:t>
      </w:r>
      <w:r>
        <w:rPr>
          <w:spacing w:val="-3"/>
          <w:sz w:val="21"/>
        </w:rPr>
        <w:t>will </w:t>
      </w:r>
      <w:r>
        <w:rPr>
          <w:sz w:val="21"/>
        </w:rPr>
        <w:t>(either by a specific or general description) </w:t>
      </w:r>
      <w:r>
        <w:rPr>
          <w:spacing w:val="-3"/>
          <w:sz w:val="21"/>
        </w:rPr>
        <w:t>for </w:t>
      </w:r>
      <w:r>
        <w:rPr>
          <w:sz w:val="21"/>
        </w:rPr>
        <w:t>the payment of debts; and property </w:t>
      </w:r>
      <w:r>
        <w:rPr>
          <w:spacing w:val="-3"/>
          <w:sz w:val="21"/>
        </w:rPr>
        <w:t>charged </w:t>
      </w:r>
      <w:r>
        <w:rPr>
          <w:sz w:val="21"/>
        </w:rPr>
        <w:t>by  </w:t>
      </w:r>
      <w:r>
        <w:rPr>
          <w:spacing w:val="-3"/>
          <w:sz w:val="21"/>
        </w:rPr>
        <w:t>will  with,  </w:t>
      </w:r>
      <w:r>
        <w:rPr>
          <w:sz w:val="21"/>
        </w:rPr>
        <w:t>or given by </w:t>
      </w:r>
      <w:r>
        <w:rPr>
          <w:spacing w:val="-3"/>
          <w:sz w:val="21"/>
        </w:rPr>
        <w:t>will </w:t>
      </w:r>
      <w:r>
        <w:rPr>
          <w:sz w:val="21"/>
        </w:rPr>
        <w:t>(either by a specific or general description) subject </w:t>
      </w:r>
      <w:r>
        <w:rPr>
          <w:spacing w:val="-3"/>
          <w:sz w:val="21"/>
        </w:rPr>
        <w:t>to </w:t>
      </w:r>
      <w:r>
        <w:rPr>
          <w:sz w:val="21"/>
        </w:rPr>
        <w:t>a </w:t>
      </w:r>
      <w:r>
        <w:rPr>
          <w:spacing w:val="-3"/>
          <w:sz w:val="21"/>
        </w:rPr>
        <w:t>charge </w:t>
      </w:r>
      <w:r>
        <w:rPr>
          <w:spacing w:val="-6"/>
          <w:sz w:val="21"/>
        </w:rPr>
        <w:t>for, </w:t>
      </w:r>
      <w:r>
        <w:rPr>
          <w:sz w:val="21"/>
        </w:rPr>
        <w:t>the payment of</w:t>
      </w:r>
      <w:r>
        <w:rPr>
          <w:spacing w:val="24"/>
          <w:sz w:val="21"/>
        </w:rPr>
        <w:t> </w:t>
      </w:r>
      <w:r>
        <w:rPr>
          <w:sz w:val="21"/>
        </w:rPr>
        <w:t>debts.</w:t>
      </w:r>
    </w:p>
    <w:p>
      <w:pPr>
        <w:pStyle w:val="ListParagraph"/>
        <w:numPr>
          <w:ilvl w:val="2"/>
          <w:numId w:val="18"/>
        </w:numPr>
        <w:tabs>
          <w:tab w:pos="3252" w:val="left" w:leader="none"/>
        </w:tabs>
        <w:spacing w:line="242" w:lineRule="auto" w:before="124" w:after="0"/>
        <w:ind w:left="3251" w:right="129" w:hanging="224"/>
        <w:jc w:val="both"/>
        <w:rPr>
          <w:sz w:val="21"/>
        </w:rPr>
      </w:pPr>
      <w:r>
        <w:rPr>
          <w:w w:val="105"/>
          <w:sz w:val="21"/>
        </w:rPr>
        <w:t>Property</w:t>
      </w:r>
      <w:r>
        <w:rPr>
          <w:spacing w:val="-16"/>
          <w:w w:val="105"/>
          <w:sz w:val="21"/>
        </w:rPr>
        <w:t> </w:t>
      </w:r>
      <w:r>
        <w:rPr>
          <w:spacing w:val="-3"/>
          <w:w w:val="105"/>
          <w:sz w:val="21"/>
        </w:rPr>
        <w:t>comprising</w:t>
      </w:r>
      <w:r>
        <w:rPr>
          <w:spacing w:val="-15"/>
          <w:w w:val="105"/>
          <w:sz w:val="21"/>
        </w:rPr>
        <w:t> </w:t>
      </w:r>
      <w:r>
        <w:rPr>
          <w:w w:val="105"/>
          <w:sz w:val="21"/>
        </w:rPr>
        <w:t>the</w:t>
      </w:r>
      <w:r>
        <w:rPr>
          <w:spacing w:val="-15"/>
          <w:w w:val="105"/>
          <w:sz w:val="21"/>
        </w:rPr>
        <w:t> </w:t>
      </w:r>
      <w:r>
        <w:rPr>
          <w:w w:val="105"/>
          <w:sz w:val="21"/>
        </w:rPr>
        <w:t>residuary</w:t>
      </w:r>
      <w:r>
        <w:rPr>
          <w:spacing w:val="-15"/>
          <w:w w:val="105"/>
          <w:sz w:val="21"/>
        </w:rPr>
        <w:t> </w:t>
      </w:r>
      <w:r>
        <w:rPr>
          <w:w w:val="105"/>
          <w:sz w:val="21"/>
        </w:rPr>
        <w:t>estate</w:t>
      </w:r>
      <w:r>
        <w:rPr>
          <w:spacing w:val="-15"/>
          <w:w w:val="105"/>
          <w:sz w:val="21"/>
        </w:rPr>
        <w:t> </w:t>
      </w:r>
      <w:r>
        <w:rPr>
          <w:w w:val="105"/>
          <w:sz w:val="21"/>
        </w:rPr>
        <w:t>of</w:t>
      </w:r>
      <w:r>
        <w:rPr>
          <w:spacing w:val="-15"/>
          <w:w w:val="105"/>
          <w:sz w:val="21"/>
        </w:rPr>
        <w:t> </w:t>
      </w:r>
      <w:r>
        <w:rPr>
          <w:w w:val="105"/>
          <w:sz w:val="21"/>
        </w:rPr>
        <w:t>the</w:t>
      </w:r>
      <w:r>
        <w:rPr>
          <w:spacing w:val="-15"/>
          <w:w w:val="105"/>
          <w:sz w:val="21"/>
        </w:rPr>
        <w:t> </w:t>
      </w:r>
      <w:r>
        <w:rPr>
          <w:w w:val="105"/>
          <w:sz w:val="21"/>
        </w:rPr>
        <w:t>deceased</w:t>
      </w:r>
      <w:r>
        <w:rPr>
          <w:spacing w:val="-15"/>
          <w:w w:val="105"/>
          <w:sz w:val="21"/>
        </w:rPr>
        <w:t> </w:t>
      </w:r>
      <w:r>
        <w:rPr>
          <w:w w:val="105"/>
          <w:sz w:val="21"/>
        </w:rPr>
        <w:t>person</w:t>
      </w:r>
      <w:r>
        <w:rPr>
          <w:spacing w:val="-15"/>
          <w:w w:val="105"/>
          <w:sz w:val="21"/>
        </w:rPr>
        <w:t> </w:t>
      </w:r>
      <w:r>
        <w:rPr>
          <w:w w:val="105"/>
          <w:sz w:val="21"/>
        </w:rPr>
        <w:t>and</w:t>
      </w:r>
      <w:r>
        <w:rPr>
          <w:spacing w:val="-15"/>
          <w:w w:val="105"/>
          <w:sz w:val="21"/>
        </w:rPr>
        <w:t> </w:t>
      </w:r>
      <w:r>
        <w:rPr>
          <w:w w:val="105"/>
          <w:sz w:val="21"/>
        </w:rPr>
        <w:t>property in </w:t>
      </w:r>
      <w:r>
        <w:rPr>
          <w:spacing w:val="-3"/>
          <w:w w:val="105"/>
          <w:sz w:val="21"/>
        </w:rPr>
        <w:t>relation to </w:t>
      </w:r>
      <w:r>
        <w:rPr>
          <w:w w:val="105"/>
          <w:sz w:val="21"/>
        </w:rPr>
        <w:t>which a </w:t>
      </w:r>
      <w:r>
        <w:rPr>
          <w:spacing w:val="-3"/>
          <w:w w:val="105"/>
          <w:sz w:val="21"/>
        </w:rPr>
        <w:t>disposition </w:t>
      </w:r>
      <w:r>
        <w:rPr>
          <w:w w:val="105"/>
          <w:sz w:val="21"/>
        </w:rPr>
        <w:t>in the deceased </w:t>
      </w:r>
      <w:r>
        <w:rPr>
          <w:spacing w:val="-3"/>
          <w:w w:val="105"/>
          <w:sz w:val="21"/>
        </w:rPr>
        <w:t>person’s will </w:t>
      </w:r>
      <w:r>
        <w:rPr>
          <w:w w:val="105"/>
          <w:sz w:val="21"/>
        </w:rPr>
        <w:t>operates as the </w:t>
      </w:r>
      <w:r>
        <w:rPr>
          <w:spacing w:val="-3"/>
          <w:w w:val="105"/>
          <w:sz w:val="21"/>
        </w:rPr>
        <w:t>exercise </w:t>
      </w:r>
      <w:r>
        <w:rPr>
          <w:w w:val="105"/>
          <w:sz w:val="21"/>
        </w:rPr>
        <w:t>of a general power of</w:t>
      </w:r>
      <w:r>
        <w:rPr>
          <w:spacing w:val="30"/>
          <w:w w:val="105"/>
          <w:sz w:val="21"/>
        </w:rPr>
        <w:t> </w:t>
      </w:r>
      <w:r>
        <w:rPr>
          <w:spacing w:val="-3"/>
          <w:w w:val="105"/>
          <w:sz w:val="21"/>
        </w:rPr>
        <w:t>appointment.</w:t>
      </w:r>
    </w:p>
    <w:p>
      <w:pPr>
        <w:pStyle w:val="ListParagraph"/>
        <w:numPr>
          <w:ilvl w:val="2"/>
          <w:numId w:val="18"/>
        </w:numPr>
        <w:tabs>
          <w:tab w:pos="3255" w:val="left" w:leader="none"/>
        </w:tabs>
        <w:spacing w:line="242" w:lineRule="auto" w:before="124" w:after="0"/>
        <w:ind w:left="3254" w:right="258" w:hanging="227"/>
        <w:jc w:val="left"/>
        <w:rPr>
          <w:sz w:val="21"/>
        </w:rPr>
      </w:pPr>
      <w:r>
        <w:rPr>
          <w:w w:val="105"/>
          <w:sz w:val="21"/>
        </w:rPr>
        <w:t>Property specifically given by </w:t>
      </w:r>
      <w:r>
        <w:rPr>
          <w:spacing w:val="-3"/>
          <w:w w:val="105"/>
          <w:sz w:val="21"/>
        </w:rPr>
        <w:t>will, including </w:t>
      </w:r>
      <w:r>
        <w:rPr>
          <w:w w:val="105"/>
          <w:sz w:val="21"/>
        </w:rPr>
        <w:t>property specifically </w:t>
      </w:r>
      <w:r>
        <w:rPr>
          <w:spacing w:val="-3"/>
          <w:w w:val="105"/>
          <w:sz w:val="21"/>
        </w:rPr>
        <w:t>appointed </w:t>
      </w:r>
      <w:r>
        <w:rPr>
          <w:w w:val="105"/>
          <w:sz w:val="21"/>
        </w:rPr>
        <w:t>under a general power of </w:t>
      </w:r>
      <w:r>
        <w:rPr>
          <w:spacing w:val="-3"/>
          <w:w w:val="105"/>
          <w:sz w:val="21"/>
        </w:rPr>
        <w:t>appointment, </w:t>
      </w:r>
      <w:r>
        <w:rPr>
          <w:w w:val="105"/>
          <w:sz w:val="21"/>
        </w:rPr>
        <w:t>and </w:t>
      </w:r>
      <w:r>
        <w:rPr>
          <w:spacing w:val="-3"/>
          <w:w w:val="105"/>
          <w:sz w:val="21"/>
        </w:rPr>
        <w:t>any </w:t>
      </w:r>
      <w:r>
        <w:rPr>
          <w:w w:val="105"/>
          <w:sz w:val="21"/>
        </w:rPr>
        <w:t>legacy </w:t>
      </w:r>
      <w:r>
        <w:rPr>
          <w:spacing w:val="-3"/>
          <w:w w:val="105"/>
          <w:sz w:val="21"/>
        </w:rPr>
        <w:t>charged </w:t>
      </w:r>
      <w:r>
        <w:rPr>
          <w:w w:val="105"/>
          <w:sz w:val="21"/>
        </w:rPr>
        <w:t>on property given or</w:t>
      </w:r>
      <w:r>
        <w:rPr>
          <w:spacing w:val="10"/>
          <w:w w:val="105"/>
          <w:sz w:val="21"/>
        </w:rPr>
        <w:t> </w:t>
      </w:r>
      <w:r>
        <w:rPr>
          <w:spacing w:val="-3"/>
          <w:w w:val="105"/>
          <w:sz w:val="21"/>
        </w:rPr>
        <w:t>appointed.</w:t>
      </w:r>
    </w:p>
    <w:p>
      <w:pPr>
        <w:pStyle w:val="ListParagraph"/>
        <w:numPr>
          <w:ilvl w:val="1"/>
          <w:numId w:val="18"/>
        </w:numPr>
        <w:tabs>
          <w:tab w:pos="3028" w:val="left" w:leader="none"/>
        </w:tabs>
        <w:spacing w:line="242" w:lineRule="auto" w:before="123" w:after="0"/>
        <w:ind w:left="3027" w:right="335" w:hanging="306"/>
        <w:jc w:val="left"/>
        <w:rPr>
          <w:sz w:val="21"/>
        </w:rPr>
      </w:pPr>
      <w:r>
        <w:rPr>
          <w:sz w:val="21"/>
        </w:rPr>
        <w:t>provide </w:t>
      </w:r>
      <w:r>
        <w:rPr>
          <w:spacing w:val="-3"/>
          <w:sz w:val="21"/>
        </w:rPr>
        <w:t>that </w:t>
      </w:r>
      <w:r>
        <w:rPr>
          <w:sz w:val="21"/>
        </w:rPr>
        <w:t>the </w:t>
      </w:r>
      <w:r>
        <w:rPr>
          <w:spacing w:val="-3"/>
          <w:sz w:val="21"/>
        </w:rPr>
        <w:t>provisions </w:t>
      </w:r>
      <w:r>
        <w:rPr>
          <w:sz w:val="21"/>
        </w:rPr>
        <w:t>in (b) should be subject </w:t>
      </w:r>
      <w:r>
        <w:rPr>
          <w:spacing w:val="-3"/>
          <w:sz w:val="21"/>
        </w:rPr>
        <w:t>to </w:t>
      </w:r>
      <w:r>
        <w:rPr>
          <w:sz w:val="21"/>
        </w:rPr>
        <w:t>the </w:t>
      </w:r>
      <w:r>
        <w:rPr>
          <w:spacing w:val="-2"/>
          <w:sz w:val="21"/>
        </w:rPr>
        <w:t>manifestation </w:t>
      </w:r>
      <w:r>
        <w:rPr>
          <w:sz w:val="21"/>
        </w:rPr>
        <w:t>of </w:t>
      </w:r>
      <w:r>
        <w:rPr>
          <w:spacing w:val="-3"/>
          <w:sz w:val="21"/>
        </w:rPr>
        <w:t>any </w:t>
      </w:r>
      <w:r>
        <w:rPr>
          <w:sz w:val="21"/>
        </w:rPr>
        <w:t>contrary </w:t>
      </w:r>
      <w:r>
        <w:rPr>
          <w:spacing w:val="-3"/>
          <w:sz w:val="21"/>
        </w:rPr>
        <w:t>intention contained </w:t>
      </w:r>
      <w:r>
        <w:rPr>
          <w:sz w:val="21"/>
        </w:rPr>
        <w:t>in the</w:t>
      </w:r>
      <w:r>
        <w:rPr>
          <w:spacing w:val="4"/>
          <w:sz w:val="21"/>
        </w:rPr>
        <w:t> </w:t>
      </w:r>
      <w:r>
        <w:rPr>
          <w:spacing w:val="-4"/>
          <w:sz w:val="21"/>
        </w:rPr>
        <w:t>will.</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spacing w:before="179"/>
        <w:ind w:left="510" w:right="0" w:firstLine="0"/>
        <w:jc w:val="left"/>
        <w:rPr>
          <w:b/>
          <w:sz w:val="24"/>
        </w:rPr>
      </w:pPr>
      <w:r>
        <w:rPr>
          <w:b/>
          <w:color w:val="EC5A4F"/>
          <w:w w:val="115"/>
          <w:sz w:val="24"/>
        </w:rPr>
        <w:t>xxxiii</w:t>
      </w:r>
    </w:p>
    <w:p>
      <w:pPr>
        <w:spacing w:after="0"/>
        <w:jc w:val="left"/>
        <w:rPr>
          <w:sz w:val="24"/>
        </w:rPr>
        <w:sectPr>
          <w:type w:val="continuous"/>
          <w:pgSz w:w="11910" w:h="16840"/>
          <w:pgMar w:top="920" w:bottom="280" w:left="0" w:right="0"/>
          <w:cols w:num="2" w:equalWidth="0">
            <w:col w:w="10258" w:space="40"/>
            <w:col w:w="1612"/>
          </w:cols>
        </w:sectPr>
      </w:pPr>
    </w:p>
    <w:p>
      <w:pPr>
        <w:pStyle w:val="BodyText"/>
        <w:spacing w:before="8"/>
        <w:rPr>
          <w:b/>
          <w:sz w:val="22"/>
        </w:rPr>
      </w:pPr>
    </w:p>
    <w:p>
      <w:pPr>
        <w:pStyle w:val="ListParagraph"/>
        <w:numPr>
          <w:ilvl w:val="0"/>
          <w:numId w:val="19"/>
        </w:numPr>
        <w:tabs>
          <w:tab w:pos="1928" w:val="left" w:leader="none"/>
        </w:tabs>
        <w:spacing w:line="242" w:lineRule="auto" w:before="93" w:after="0"/>
        <w:ind w:left="1927" w:right="2107" w:hanging="340"/>
        <w:jc w:val="left"/>
        <w:rPr>
          <w:sz w:val="21"/>
        </w:rPr>
      </w:pPr>
      <w:r>
        <w:rPr>
          <w:w w:val="105"/>
          <w:sz w:val="21"/>
        </w:rPr>
        <w:t>A </w:t>
      </w:r>
      <w:r>
        <w:rPr>
          <w:spacing w:val="-3"/>
          <w:w w:val="105"/>
          <w:sz w:val="21"/>
        </w:rPr>
        <w:t>provision </w:t>
      </w:r>
      <w:r>
        <w:rPr>
          <w:w w:val="105"/>
          <w:sz w:val="21"/>
        </w:rPr>
        <w:t>should be inserted </w:t>
      </w:r>
      <w:r>
        <w:rPr>
          <w:spacing w:val="-4"/>
          <w:w w:val="105"/>
          <w:sz w:val="21"/>
        </w:rPr>
        <w:t>into </w:t>
      </w:r>
      <w:r>
        <w:rPr>
          <w:w w:val="105"/>
          <w:sz w:val="21"/>
        </w:rPr>
        <w:t>the </w:t>
      </w:r>
      <w:r>
        <w:rPr>
          <w:i/>
          <w:spacing w:val="-3"/>
          <w:w w:val="105"/>
          <w:sz w:val="21"/>
        </w:rPr>
        <w:t>Administration </w:t>
      </w:r>
      <w:r>
        <w:rPr>
          <w:i/>
          <w:w w:val="105"/>
          <w:sz w:val="21"/>
        </w:rPr>
        <w:t>and Probate Act </w:t>
      </w:r>
      <w:r>
        <w:rPr>
          <w:i/>
          <w:spacing w:val="-6"/>
          <w:w w:val="105"/>
          <w:sz w:val="21"/>
        </w:rPr>
        <w:t>1958 </w:t>
      </w:r>
      <w:r>
        <w:rPr>
          <w:w w:val="105"/>
          <w:sz w:val="21"/>
        </w:rPr>
        <w:t>(Vic) </w:t>
      </w:r>
      <w:r>
        <w:rPr>
          <w:spacing w:val="-3"/>
          <w:w w:val="105"/>
          <w:sz w:val="21"/>
        </w:rPr>
        <w:t>that stipulates</w:t>
      </w:r>
      <w:r>
        <w:rPr>
          <w:spacing w:val="-10"/>
          <w:w w:val="105"/>
          <w:sz w:val="21"/>
        </w:rPr>
        <w:t> </w:t>
      </w:r>
      <w:r>
        <w:rPr>
          <w:spacing w:val="-3"/>
          <w:w w:val="105"/>
          <w:sz w:val="21"/>
        </w:rPr>
        <w:t>that</w:t>
      </w:r>
      <w:r>
        <w:rPr>
          <w:spacing w:val="-9"/>
          <w:w w:val="105"/>
          <w:sz w:val="21"/>
        </w:rPr>
        <w:t> </w:t>
      </w:r>
      <w:r>
        <w:rPr>
          <w:w w:val="105"/>
          <w:sz w:val="21"/>
        </w:rPr>
        <w:t>the</w:t>
      </w:r>
      <w:r>
        <w:rPr>
          <w:spacing w:val="-10"/>
          <w:w w:val="105"/>
          <w:sz w:val="21"/>
        </w:rPr>
        <w:t> </w:t>
      </w:r>
      <w:r>
        <w:rPr>
          <w:w w:val="105"/>
          <w:sz w:val="21"/>
        </w:rPr>
        <w:t>payment</w:t>
      </w:r>
      <w:r>
        <w:rPr>
          <w:spacing w:val="-9"/>
          <w:w w:val="105"/>
          <w:sz w:val="21"/>
        </w:rPr>
        <w:t> </w:t>
      </w:r>
      <w:r>
        <w:rPr>
          <w:w w:val="105"/>
          <w:sz w:val="21"/>
        </w:rPr>
        <w:t>of</w:t>
      </w:r>
      <w:r>
        <w:rPr>
          <w:spacing w:val="-10"/>
          <w:w w:val="105"/>
          <w:sz w:val="21"/>
        </w:rPr>
        <w:t> </w:t>
      </w:r>
      <w:r>
        <w:rPr>
          <w:w w:val="105"/>
          <w:sz w:val="21"/>
        </w:rPr>
        <w:t>pecuniary</w:t>
      </w:r>
      <w:r>
        <w:rPr>
          <w:spacing w:val="-9"/>
          <w:w w:val="105"/>
          <w:sz w:val="21"/>
        </w:rPr>
        <w:t> </w:t>
      </w:r>
      <w:r>
        <w:rPr>
          <w:w w:val="105"/>
          <w:sz w:val="21"/>
        </w:rPr>
        <w:t>legacies</w:t>
      </w:r>
      <w:r>
        <w:rPr>
          <w:spacing w:val="-10"/>
          <w:w w:val="105"/>
          <w:sz w:val="21"/>
        </w:rPr>
        <w:t> </w:t>
      </w:r>
      <w:r>
        <w:rPr>
          <w:w w:val="105"/>
          <w:sz w:val="21"/>
        </w:rPr>
        <w:t>is</w:t>
      </w:r>
      <w:r>
        <w:rPr>
          <w:spacing w:val="-9"/>
          <w:w w:val="105"/>
          <w:sz w:val="21"/>
        </w:rPr>
        <w:t> </w:t>
      </w:r>
      <w:r>
        <w:rPr>
          <w:spacing w:val="-3"/>
          <w:w w:val="105"/>
          <w:sz w:val="21"/>
        </w:rPr>
        <w:t>to</w:t>
      </w:r>
      <w:r>
        <w:rPr>
          <w:spacing w:val="-10"/>
          <w:w w:val="105"/>
          <w:sz w:val="21"/>
        </w:rPr>
        <w:t> </w:t>
      </w:r>
      <w:r>
        <w:rPr>
          <w:w w:val="105"/>
          <w:sz w:val="21"/>
        </w:rPr>
        <w:t>be</w:t>
      </w:r>
      <w:r>
        <w:rPr>
          <w:spacing w:val="-9"/>
          <w:w w:val="105"/>
          <w:sz w:val="21"/>
        </w:rPr>
        <w:t> </w:t>
      </w:r>
      <w:r>
        <w:rPr>
          <w:w w:val="105"/>
          <w:sz w:val="21"/>
        </w:rPr>
        <w:t>made</w:t>
      </w:r>
      <w:r>
        <w:rPr>
          <w:spacing w:val="-10"/>
          <w:w w:val="105"/>
          <w:sz w:val="21"/>
        </w:rPr>
        <w:t> </w:t>
      </w:r>
      <w:r>
        <w:rPr>
          <w:spacing w:val="-3"/>
          <w:w w:val="105"/>
          <w:sz w:val="21"/>
        </w:rPr>
        <w:t>from</w:t>
      </w:r>
      <w:r>
        <w:rPr>
          <w:spacing w:val="-9"/>
          <w:w w:val="105"/>
          <w:sz w:val="21"/>
        </w:rPr>
        <w:t> </w:t>
      </w:r>
      <w:r>
        <w:rPr>
          <w:w w:val="105"/>
          <w:sz w:val="21"/>
        </w:rPr>
        <w:t>the</w:t>
      </w:r>
      <w:r>
        <w:rPr>
          <w:spacing w:val="-10"/>
          <w:w w:val="105"/>
          <w:sz w:val="21"/>
        </w:rPr>
        <w:t> </w:t>
      </w:r>
      <w:r>
        <w:rPr>
          <w:w w:val="105"/>
          <w:sz w:val="21"/>
        </w:rPr>
        <w:t>residuary</w:t>
      </w:r>
      <w:r>
        <w:rPr>
          <w:spacing w:val="-9"/>
          <w:w w:val="105"/>
          <w:sz w:val="21"/>
        </w:rPr>
        <w:t> </w:t>
      </w:r>
      <w:r>
        <w:rPr>
          <w:spacing w:val="-3"/>
          <w:w w:val="105"/>
          <w:sz w:val="21"/>
        </w:rPr>
        <w:t>estate.</w:t>
      </w:r>
    </w:p>
    <w:p>
      <w:pPr>
        <w:pStyle w:val="ListParagraph"/>
        <w:numPr>
          <w:ilvl w:val="0"/>
          <w:numId w:val="19"/>
        </w:numPr>
        <w:tabs>
          <w:tab w:pos="1928" w:val="left" w:leader="none"/>
        </w:tabs>
        <w:spacing w:line="242" w:lineRule="auto" w:before="122" w:after="0"/>
        <w:ind w:left="1927" w:right="1683" w:hanging="340"/>
        <w:jc w:val="left"/>
        <w:rPr>
          <w:sz w:val="21"/>
        </w:rPr>
      </w:pPr>
      <w:r>
        <w:rPr>
          <w:w w:val="105"/>
          <w:sz w:val="21"/>
        </w:rPr>
        <w:t>Section 40(1) of the </w:t>
      </w:r>
      <w:r>
        <w:rPr>
          <w:i/>
          <w:spacing w:val="-3"/>
          <w:w w:val="105"/>
          <w:sz w:val="21"/>
        </w:rPr>
        <w:t>Administration </w:t>
      </w:r>
      <w:r>
        <w:rPr>
          <w:i/>
          <w:w w:val="105"/>
          <w:sz w:val="21"/>
        </w:rPr>
        <w:t>and Probate Act </w:t>
      </w:r>
      <w:r>
        <w:rPr>
          <w:i/>
          <w:spacing w:val="-6"/>
          <w:w w:val="105"/>
          <w:sz w:val="21"/>
        </w:rPr>
        <w:t>1958 </w:t>
      </w:r>
      <w:r>
        <w:rPr>
          <w:w w:val="105"/>
          <w:sz w:val="21"/>
        </w:rPr>
        <w:t>(Vic) should be amended </w:t>
      </w:r>
      <w:r>
        <w:rPr>
          <w:spacing w:val="-3"/>
          <w:w w:val="105"/>
          <w:sz w:val="21"/>
        </w:rPr>
        <w:t>to </w:t>
      </w:r>
      <w:r>
        <w:rPr>
          <w:w w:val="105"/>
          <w:sz w:val="21"/>
        </w:rPr>
        <w:t>provide </w:t>
      </w:r>
      <w:r>
        <w:rPr>
          <w:spacing w:val="-3"/>
          <w:w w:val="105"/>
          <w:sz w:val="21"/>
        </w:rPr>
        <w:t>that </w:t>
      </w:r>
      <w:r>
        <w:rPr>
          <w:w w:val="105"/>
          <w:sz w:val="21"/>
        </w:rPr>
        <w:t>an expression of contrary </w:t>
      </w:r>
      <w:r>
        <w:rPr>
          <w:spacing w:val="-3"/>
          <w:w w:val="105"/>
          <w:sz w:val="21"/>
        </w:rPr>
        <w:t>intention may </w:t>
      </w:r>
      <w:r>
        <w:rPr>
          <w:w w:val="105"/>
          <w:sz w:val="21"/>
        </w:rPr>
        <w:t>only be shown by</w:t>
      </w:r>
      <w:r>
        <w:rPr>
          <w:spacing w:val="41"/>
          <w:w w:val="105"/>
          <w:sz w:val="21"/>
        </w:rPr>
        <w:t> </w:t>
      </w:r>
      <w:r>
        <w:rPr>
          <w:spacing w:val="-3"/>
          <w:w w:val="105"/>
          <w:sz w:val="21"/>
        </w:rPr>
        <w:t>will.</w:t>
      </w:r>
    </w:p>
    <w:p>
      <w:pPr>
        <w:pStyle w:val="BodyText"/>
        <w:spacing w:before="10"/>
        <w:rPr>
          <w:sz w:val="24"/>
        </w:rPr>
      </w:pPr>
    </w:p>
    <w:p>
      <w:pPr>
        <w:pStyle w:val="Heading5"/>
        <w:spacing w:before="1"/>
      </w:pPr>
      <w:r>
        <w:rPr>
          <w:w w:val="110"/>
        </w:rPr>
        <w:t>Insolvent estates</w:t>
      </w:r>
    </w:p>
    <w:p>
      <w:pPr>
        <w:pStyle w:val="ListParagraph"/>
        <w:numPr>
          <w:ilvl w:val="0"/>
          <w:numId w:val="19"/>
        </w:numPr>
        <w:tabs>
          <w:tab w:pos="1928" w:val="left" w:leader="none"/>
        </w:tabs>
        <w:spacing w:line="240" w:lineRule="auto" w:before="137" w:after="0"/>
        <w:ind w:left="1927" w:right="0" w:hanging="340"/>
        <w:jc w:val="left"/>
        <w:rPr>
          <w:sz w:val="21"/>
        </w:rPr>
      </w:pPr>
      <w:r>
        <w:rPr>
          <w:w w:val="105"/>
          <w:sz w:val="21"/>
        </w:rPr>
        <w:t>The </w:t>
      </w:r>
      <w:r>
        <w:rPr>
          <w:i/>
          <w:spacing w:val="-3"/>
          <w:w w:val="105"/>
          <w:sz w:val="21"/>
        </w:rPr>
        <w:t>Administration </w:t>
      </w:r>
      <w:r>
        <w:rPr>
          <w:i/>
          <w:w w:val="105"/>
          <w:sz w:val="21"/>
        </w:rPr>
        <w:t>and Probate Act </w:t>
      </w:r>
      <w:r>
        <w:rPr>
          <w:i/>
          <w:spacing w:val="-6"/>
          <w:w w:val="105"/>
          <w:sz w:val="21"/>
        </w:rPr>
        <w:t>1958 </w:t>
      </w:r>
      <w:r>
        <w:rPr>
          <w:w w:val="105"/>
          <w:sz w:val="21"/>
        </w:rPr>
        <w:t>(Vic) should be amended</w:t>
      </w:r>
      <w:r>
        <w:rPr>
          <w:spacing w:val="4"/>
          <w:w w:val="105"/>
          <w:sz w:val="21"/>
        </w:rPr>
        <w:t> </w:t>
      </w:r>
      <w:r>
        <w:rPr>
          <w:w w:val="105"/>
          <w:sz w:val="21"/>
        </w:rPr>
        <w:t>to:</w:t>
      </w:r>
    </w:p>
    <w:p>
      <w:pPr>
        <w:pStyle w:val="ListParagraph"/>
        <w:numPr>
          <w:ilvl w:val="1"/>
          <w:numId w:val="19"/>
        </w:numPr>
        <w:tabs>
          <w:tab w:pos="3002" w:val="left" w:leader="none"/>
        </w:tabs>
        <w:spacing w:line="242" w:lineRule="auto" w:before="124" w:after="0"/>
        <w:ind w:left="3001" w:right="2140" w:hanging="281"/>
        <w:jc w:val="left"/>
        <w:rPr>
          <w:sz w:val="21"/>
        </w:rPr>
      </w:pPr>
      <w:r>
        <w:rPr>
          <w:w w:val="105"/>
          <w:sz w:val="21"/>
        </w:rPr>
        <w:t>repeal</w:t>
      </w:r>
      <w:r>
        <w:rPr>
          <w:spacing w:val="-10"/>
          <w:w w:val="105"/>
          <w:sz w:val="21"/>
        </w:rPr>
        <w:t> </w:t>
      </w:r>
      <w:r>
        <w:rPr>
          <w:w w:val="105"/>
          <w:sz w:val="21"/>
        </w:rPr>
        <w:t>Part</w:t>
      </w:r>
      <w:r>
        <w:rPr>
          <w:spacing w:val="-10"/>
          <w:w w:val="105"/>
          <w:sz w:val="21"/>
        </w:rPr>
        <w:t> </w:t>
      </w:r>
      <w:r>
        <w:rPr>
          <w:w w:val="105"/>
          <w:sz w:val="21"/>
        </w:rPr>
        <w:t>I</w:t>
      </w:r>
      <w:r>
        <w:rPr>
          <w:spacing w:val="-9"/>
          <w:w w:val="105"/>
          <w:sz w:val="21"/>
        </w:rPr>
        <w:t> </w:t>
      </w:r>
      <w:r>
        <w:rPr>
          <w:w w:val="105"/>
          <w:sz w:val="21"/>
        </w:rPr>
        <w:t>of</w:t>
      </w:r>
      <w:r>
        <w:rPr>
          <w:spacing w:val="-10"/>
          <w:w w:val="105"/>
          <w:sz w:val="21"/>
        </w:rPr>
        <w:t> </w:t>
      </w:r>
      <w:r>
        <w:rPr>
          <w:w w:val="105"/>
          <w:sz w:val="21"/>
        </w:rPr>
        <w:t>the</w:t>
      </w:r>
      <w:r>
        <w:rPr>
          <w:spacing w:val="-10"/>
          <w:w w:val="105"/>
          <w:sz w:val="21"/>
        </w:rPr>
        <w:t> </w:t>
      </w:r>
      <w:r>
        <w:rPr>
          <w:w w:val="105"/>
          <w:sz w:val="21"/>
        </w:rPr>
        <w:t>Second</w:t>
      </w:r>
      <w:r>
        <w:rPr>
          <w:spacing w:val="-9"/>
          <w:w w:val="105"/>
          <w:sz w:val="21"/>
        </w:rPr>
        <w:t> </w:t>
      </w:r>
      <w:r>
        <w:rPr>
          <w:w w:val="105"/>
          <w:sz w:val="21"/>
        </w:rPr>
        <w:t>Schedule</w:t>
      </w:r>
      <w:r>
        <w:rPr>
          <w:spacing w:val="-10"/>
          <w:w w:val="105"/>
          <w:sz w:val="21"/>
        </w:rPr>
        <w:t> </w:t>
      </w:r>
      <w:r>
        <w:rPr>
          <w:w w:val="105"/>
          <w:sz w:val="21"/>
        </w:rPr>
        <w:t>(rules</w:t>
      </w:r>
      <w:r>
        <w:rPr>
          <w:spacing w:val="-9"/>
          <w:w w:val="105"/>
          <w:sz w:val="21"/>
        </w:rPr>
        <w:t> </w:t>
      </w:r>
      <w:r>
        <w:rPr>
          <w:w w:val="105"/>
          <w:sz w:val="21"/>
        </w:rPr>
        <w:t>as</w:t>
      </w:r>
      <w:r>
        <w:rPr>
          <w:spacing w:val="-10"/>
          <w:w w:val="105"/>
          <w:sz w:val="21"/>
        </w:rPr>
        <w:t> </w:t>
      </w:r>
      <w:r>
        <w:rPr>
          <w:spacing w:val="-3"/>
          <w:w w:val="105"/>
          <w:sz w:val="21"/>
        </w:rPr>
        <w:t>to</w:t>
      </w:r>
      <w:r>
        <w:rPr>
          <w:spacing w:val="-10"/>
          <w:w w:val="105"/>
          <w:sz w:val="21"/>
        </w:rPr>
        <w:t> </w:t>
      </w:r>
      <w:r>
        <w:rPr>
          <w:w w:val="105"/>
          <w:sz w:val="21"/>
        </w:rPr>
        <w:t>payment</w:t>
      </w:r>
      <w:r>
        <w:rPr>
          <w:spacing w:val="-9"/>
          <w:w w:val="105"/>
          <w:sz w:val="21"/>
        </w:rPr>
        <w:t> </w:t>
      </w:r>
      <w:r>
        <w:rPr>
          <w:w w:val="105"/>
          <w:sz w:val="21"/>
        </w:rPr>
        <w:t>of</w:t>
      </w:r>
      <w:r>
        <w:rPr>
          <w:spacing w:val="-10"/>
          <w:w w:val="105"/>
          <w:sz w:val="21"/>
        </w:rPr>
        <w:t> </w:t>
      </w:r>
      <w:r>
        <w:rPr>
          <w:w w:val="105"/>
          <w:sz w:val="21"/>
        </w:rPr>
        <w:t>debts</w:t>
      </w:r>
      <w:r>
        <w:rPr>
          <w:spacing w:val="-9"/>
          <w:w w:val="105"/>
          <w:sz w:val="21"/>
        </w:rPr>
        <w:t> </w:t>
      </w:r>
      <w:r>
        <w:rPr>
          <w:w w:val="105"/>
          <w:sz w:val="21"/>
        </w:rPr>
        <w:t>where</w:t>
      </w:r>
      <w:r>
        <w:rPr>
          <w:spacing w:val="-10"/>
          <w:w w:val="105"/>
          <w:sz w:val="21"/>
        </w:rPr>
        <w:t> </w:t>
      </w:r>
      <w:r>
        <w:rPr>
          <w:w w:val="105"/>
          <w:sz w:val="21"/>
        </w:rPr>
        <w:t>the estate is </w:t>
      </w:r>
      <w:r>
        <w:rPr>
          <w:spacing w:val="-2"/>
          <w:w w:val="105"/>
          <w:sz w:val="21"/>
        </w:rPr>
        <w:t>not</w:t>
      </w:r>
      <w:r>
        <w:rPr>
          <w:spacing w:val="14"/>
          <w:w w:val="105"/>
          <w:sz w:val="21"/>
        </w:rPr>
        <w:t> </w:t>
      </w:r>
      <w:r>
        <w:rPr>
          <w:w w:val="105"/>
          <w:sz w:val="21"/>
        </w:rPr>
        <w:t>solvent)</w:t>
      </w:r>
    </w:p>
    <w:p>
      <w:pPr>
        <w:pStyle w:val="ListParagraph"/>
        <w:numPr>
          <w:ilvl w:val="1"/>
          <w:numId w:val="19"/>
        </w:numPr>
        <w:tabs>
          <w:tab w:pos="3028" w:val="left" w:leader="none"/>
        </w:tabs>
        <w:spacing w:line="242" w:lineRule="auto" w:before="122" w:after="0"/>
        <w:ind w:left="3027" w:right="1739" w:hanging="307"/>
        <w:jc w:val="left"/>
        <w:rPr>
          <w:sz w:val="21"/>
        </w:rPr>
      </w:pPr>
      <w:r>
        <w:rPr>
          <w:w w:val="105"/>
          <w:sz w:val="21"/>
        </w:rPr>
        <w:t>provide in section 39(1) </w:t>
      </w:r>
      <w:r>
        <w:rPr>
          <w:spacing w:val="-3"/>
          <w:w w:val="105"/>
          <w:sz w:val="21"/>
        </w:rPr>
        <w:t>that </w:t>
      </w:r>
      <w:r>
        <w:rPr>
          <w:w w:val="105"/>
          <w:sz w:val="21"/>
        </w:rPr>
        <w:t>the </w:t>
      </w:r>
      <w:r>
        <w:rPr>
          <w:spacing w:val="-3"/>
          <w:w w:val="105"/>
          <w:sz w:val="21"/>
        </w:rPr>
        <w:t>provisions </w:t>
      </w:r>
      <w:r>
        <w:rPr>
          <w:w w:val="105"/>
          <w:sz w:val="21"/>
        </w:rPr>
        <w:t>of the </w:t>
      </w:r>
      <w:r>
        <w:rPr>
          <w:i/>
          <w:spacing w:val="-3"/>
          <w:w w:val="105"/>
          <w:sz w:val="21"/>
        </w:rPr>
        <w:t>Administration </w:t>
      </w:r>
      <w:r>
        <w:rPr>
          <w:i/>
          <w:w w:val="105"/>
          <w:sz w:val="21"/>
        </w:rPr>
        <w:t>and Probate </w:t>
      </w:r>
      <w:r>
        <w:rPr>
          <w:i/>
          <w:w w:val="105"/>
          <w:sz w:val="21"/>
        </w:rPr>
        <w:t>Act</w:t>
      </w:r>
      <w:r>
        <w:rPr>
          <w:i/>
          <w:spacing w:val="-4"/>
          <w:w w:val="105"/>
          <w:sz w:val="21"/>
        </w:rPr>
        <w:t> </w:t>
      </w:r>
      <w:r>
        <w:rPr>
          <w:i/>
          <w:spacing w:val="-6"/>
          <w:w w:val="105"/>
          <w:sz w:val="21"/>
        </w:rPr>
        <w:t>1958</w:t>
      </w:r>
      <w:r>
        <w:rPr>
          <w:i/>
          <w:spacing w:val="-4"/>
          <w:w w:val="105"/>
          <w:sz w:val="21"/>
        </w:rPr>
        <w:t> </w:t>
      </w:r>
      <w:r>
        <w:rPr>
          <w:w w:val="105"/>
          <w:sz w:val="21"/>
        </w:rPr>
        <w:t>(Vic)</w:t>
      </w:r>
      <w:r>
        <w:rPr>
          <w:spacing w:val="-4"/>
          <w:w w:val="105"/>
          <w:sz w:val="21"/>
        </w:rPr>
        <w:t> </w:t>
      </w:r>
      <w:r>
        <w:rPr>
          <w:spacing w:val="-3"/>
          <w:w w:val="105"/>
          <w:sz w:val="21"/>
        </w:rPr>
        <w:t>will</w:t>
      </w:r>
      <w:r>
        <w:rPr>
          <w:spacing w:val="-4"/>
          <w:w w:val="105"/>
          <w:sz w:val="21"/>
        </w:rPr>
        <w:t> </w:t>
      </w:r>
      <w:r>
        <w:rPr>
          <w:w w:val="105"/>
          <w:sz w:val="21"/>
        </w:rPr>
        <w:t>only</w:t>
      </w:r>
      <w:r>
        <w:rPr>
          <w:spacing w:val="-4"/>
          <w:w w:val="105"/>
          <w:sz w:val="21"/>
        </w:rPr>
        <w:t> </w:t>
      </w:r>
      <w:r>
        <w:rPr>
          <w:w w:val="105"/>
          <w:sz w:val="21"/>
        </w:rPr>
        <w:t>apply</w:t>
      </w:r>
      <w:r>
        <w:rPr>
          <w:spacing w:val="-4"/>
          <w:w w:val="105"/>
          <w:sz w:val="21"/>
        </w:rPr>
        <w:t> </w:t>
      </w:r>
      <w:r>
        <w:rPr>
          <w:w w:val="105"/>
          <w:sz w:val="21"/>
        </w:rPr>
        <w:t>where</w:t>
      </w:r>
      <w:r>
        <w:rPr>
          <w:spacing w:val="-4"/>
          <w:w w:val="105"/>
          <w:sz w:val="21"/>
        </w:rPr>
        <w:t> </w:t>
      </w:r>
      <w:r>
        <w:rPr>
          <w:w w:val="105"/>
          <w:sz w:val="21"/>
        </w:rPr>
        <w:t>an</w:t>
      </w:r>
      <w:r>
        <w:rPr>
          <w:spacing w:val="-4"/>
          <w:w w:val="105"/>
          <w:sz w:val="21"/>
        </w:rPr>
        <w:t> </w:t>
      </w:r>
      <w:r>
        <w:rPr>
          <w:spacing w:val="-3"/>
          <w:w w:val="105"/>
          <w:sz w:val="21"/>
        </w:rPr>
        <w:t>insolvent</w:t>
      </w:r>
      <w:r>
        <w:rPr>
          <w:spacing w:val="-4"/>
          <w:w w:val="105"/>
          <w:sz w:val="21"/>
        </w:rPr>
        <w:t> </w:t>
      </w:r>
      <w:r>
        <w:rPr>
          <w:w w:val="105"/>
          <w:sz w:val="21"/>
        </w:rPr>
        <w:t>estate</w:t>
      </w:r>
      <w:r>
        <w:rPr>
          <w:spacing w:val="-4"/>
          <w:w w:val="105"/>
          <w:sz w:val="21"/>
        </w:rPr>
        <w:t> </w:t>
      </w:r>
      <w:r>
        <w:rPr>
          <w:w w:val="105"/>
          <w:sz w:val="21"/>
        </w:rPr>
        <w:t>is</w:t>
      </w:r>
      <w:r>
        <w:rPr>
          <w:spacing w:val="-4"/>
          <w:w w:val="105"/>
          <w:sz w:val="21"/>
        </w:rPr>
        <w:t> </w:t>
      </w:r>
      <w:r>
        <w:rPr>
          <w:spacing w:val="-2"/>
          <w:w w:val="105"/>
          <w:sz w:val="21"/>
        </w:rPr>
        <w:t>not</w:t>
      </w:r>
      <w:r>
        <w:rPr>
          <w:spacing w:val="-4"/>
          <w:w w:val="105"/>
          <w:sz w:val="21"/>
        </w:rPr>
        <w:t> </w:t>
      </w:r>
      <w:r>
        <w:rPr>
          <w:w w:val="105"/>
          <w:sz w:val="21"/>
        </w:rPr>
        <w:t>being</w:t>
      </w:r>
      <w:r>
        <w:rPr>
          <w:spacing w:val="-4"/>
          <w:w w:val="105"/>
          <w:sz w:val="21"/>
        </w:rPr>
        <w:t> </w:t>
      </w:r>
      <w:r>
        <w:rPr>
          <w:spacing w:val="-3"/>
          <w:w w:val="105"/>
          <w:sz w:val="21"/>
        </w:rPr>
        <w:t>administered </w:t>
      </w:r>
      <w:r>
        <w:rPr>
          <w:w w:val="105"/>
          <w:sz w:val="21"/>
        </w:rPr>
        <w:t>under the </w:t>
      </w:r>
      <w:r>
        <w:rPr>
          <w:spacing w:val="-3"/>
          <w:w w:val="105"/>
          <w:sz w:val="21"/>
        </w:rPr>
        <w:t>provisions </w:t>
      </w:r>
      <w:r>
        <w:rPr>
          <w:w w:val="105"/>
          <w:sz w:val="21"/>
        </w:rPr>
        <w:t>of the </w:t>
      </w:r>
      <w:r>
        <w:rPr>
          <w:i/>
          <w:spacing w:val="-3"/>
          <w:w w:val="105"/>
          <w:sz w:val="21"/>
        </w:rPr>
        <w:t>Bankruptcy </w:t>
      </w:r>
      <w:r>
        <w:rPr>
          <w:i/>
          <w:w w:val="105"/>
          <w:sz w:val="21"/>
        </w:rPr>
        <w:t>Act </w:t>
      </w:r>
      <w:r>
        <w:rPr>
          <w:i/>
          <w:spacing w:val="-5"/>
          <w:w w:val="105"/>
          <w:sz w:val="21"/>
        </w:rPr>
        <w:t>1966</w:t>
      </w:r>
      <w:r>
        <w:rPr>
          <w:i/>
          <w:spacing w:val="-1"/>
          <w:w w:val="105"/>
          <w:sz w:val="21"/>
        </w:rPr>
        <w:t> </w:t>
      </w:r>
      <w:r>
        <w:rPr>
          <w:w w:val="105"/>
          <w:sz w:val="21"/>
        </w:rPr>
        <w:t>(Cth)</w:t>
      </w:r>
    </w:p>
    <w:p>
      <w:pPr>
        <w:pStyle w:val="ListParagraph"/>
        <w:numPr>
          <w:ilvl w:val="1"/>
          <w:numId w:val="19"/>
        </w:numPr>
        <w:tabs>
          <w:tab w:pos="3028" w:val="left" w:leader="none"/>
        </w:tabs>
        <w:spacing w:line="242" w:lineRule="auto" w:before="123" w:after="0"/>
        <w:ind w:left="3027" w:right="1954" w:hanging="307"/>
        <w:jc w:val="left"/>
        <w:rPr>
          <w:sz w:val="21"/>
        </w:rPr>
      </w:pPr>
      <w:r>
        <w:rPr>
          <w:w w:val="105"/>
          <w:sz w:val="21"/>
        </w:rPr>
        <w:t>provide</w:t>
      </w:r>
      <w:r>
        <w:rPr>
          <w:spacing w:val="-10"/>
          <w:w w:val="105"/>
          <w:sz w:val="21"/>
        </w:rPr>
        <w:t> </w:t>
      </w:r>
      <w:r>
        <w:rPr>
          <w:w w:val="105"/>
          <w:sz w:val="21"/>
        </w:rPr>
        <w:t>in</w:t>
      </w:r>
      <w:r>
        <w:rPr>
          <w:spacing w:val="-10"/>
          <w:w w:val="105"/>
          <w:sz w:val="21"/>
        </w:rPr>
        <w:t> </w:t>
      </w:r>
      <w:r>
        <w:rPr>
          <w:w w:val="105"/>
          <w:sz w:val="21"/>
        </w:rPr>
        <w:t>section</w:t>
      </w:r>
      <w:r>
        <w:rPr>
          <w:spacing w:val="-10"/>
          <w:w w:val="105"/>
          <w:sz w:val="21"/>
        </w:rPr>
        <w:t> </w:t>
      </w:r>
      <w:r>
        <w:rPr>
          <w:w w:val="105"/>
          <w:sz w:val="21"/>
        </w:rPr>
        <w:t>39(1)</w:t>
      </w:r>
      <w:r>
        <w:rPr>
          <w:spacing w:val="-10"/>
          <w:w w:val="105"/>
          <w:sz w:val="21"/>
        </w:rPr>
        <w:t> </w:t>
      </w:r>
      <w:r>
        <w:rPr>
          <w:spacing w:val="-3"/>
          <w:w w:val="105"/>
          <w:sz w:val="21"/>
        </w:rPr>
        <w:t>that</w:t>
      </w:r>
      <w:r>
        <w:rPr>
          <w:spacing w:val="-10"/>
          <w:w w:val="105"/>
          <w:sz w:val="21"/>
        </w:rPr>
        <w:t> </w:t>
      </w:r>
      <w:r>
        <w:rPr>
          <w:w w:val="105"/>
          <w:sz w:val="21"/>
        </w:rPr>
        <w:t>the</w:t>
      </w:r>
      <w:r>
        <w:rPr>
          <w:spacing w:val="-10"/>
          <w:w w:val="105"/>
          <w:sz w:val="21"/>
        </w:rPr>
        <w:t> </w:t>
      </w:r>
      <w:r>
        <w:rPr>
          <w:spacing w:val="-3"/>
          <w:w w:val="105"/>
          <w:sz w:val="21"/>
        </w:rPr>
        <w:t>relevant</w:t>
      </w:r>
      <w:r>
        <w:rPr>
          <w:spacing w:val="-9"/>
          <w:w w:val="105"/>
          <w:sz w:val="21"/>
        </w:rPr>
        <w:t> </w:t>
      </w:r>
      <w:r>
        <w:rPr>
          <w:w w:val="105"/>
          <w:sz w:val="21"/>
        </w:rPr>
        <w:t>rules</w:t>
      </w:r>
      <w:r>
        <w:rPr>
          <w:spacing w:val="-10"/>
          <w:w w:val="105"/>
          <w:sz w:val="21"/>
        </w:rPr>
        <w:t> </w:t>
      </w:r>
      <w:r>
        <w:rPr>
          <w:w w:val="105"/>
          <w:sz w:val="21"/>
        </w:rPr>
        <w:t>of</w:t>
      </w:r>
      <w:r>
        <w:rPr>
          <w:spacing w:val="-10"/>
          <w:w w:val="105"/>
          <w:sz w:val="21"/>
        </w:rPr>
        <w:t> </w:t>
      </w:r>
      <w:r>
        <w:rPr>
          <w:w w:val="105"/>
          <w:sz w:val="21"/>
        </w:rPr>
        <w:t>bankruptcy</w:t>
      </w:r>
      <w:r>
        <w:rPr>
          <w:spacing w:val="-10"/>
          <w:w w:val="105"/>
          <w:sz w:val="21"/>
        </w:rPr>
        <w:t> </w:t>
      </w:r>
      <w:r>
        <w:rPr>
          <w:spacing w:val="-3"/>
          <w:w w:val="105"/>
          <w:sz w:val="21"/>
        </w:rPr>
        <w:t>are</w:t>
      </w:r>
      <w:r>
        <w:rPr>
          <w:spacing w:val="-10"/>
          <w:w w:val="105"/>
          <w:sz w:val="21"/>
        </w:rPr>
        <w:t> </w:t>
      </w:r>
      <w:r>
        <w:rPr>
          <w:w w:val="105"/>
          <w:sz w:val="21"/>
        </w:rPr>
        <w:t>those</w:t>
      </w:r>
      <w:r>
        <w:rPr>
          <w:spacing w:val="-10"/>
          <w:w w:val="105"/>
          <w:sz w:val="21"/>
        </w:rPr>
        <w:t> </w:t>
      </w:r>
      <w:r>
        <w:rPr>
          <w:w w:val="105"/>
          <w:sz w:val="21"/>
        </w:rPr>
        <w:t>in</w:t>
      </w:r>
      <w:r>
        <w:rPr>
          <w:spacing w:val="-9"/>
          <w:w w:val="105"/>
          <w:sz w:val="21"/>
        </w:rPr>
        <w:t> </w:t>
      </w:r>
      <w:r>
        <w:rPr>
          <w:spacing w:val="-3"/>
          <w:w w:val="105"/>
          <w:sz w:val="21"/>
        </w:rPr>
        <w:t>force </w:t>
      </w:r>
      <w:r>
        <w:rPr>
          <w:w w:val="105"/>
          <w:sz w:val="21"/>
        </w:rPr>
        <w:t>at the time of</w:t>
      </w:r>
      <w:r>
        <w:rPr>
          <w:spacing w:val="20"/>
          <w:w w:val="105"/>
          <w:sz w:val="21"/>
        </w:rPr>
        <w:t> </w:t>
      </w:r>
      <w:r>
        <w:rPr>
          <w:w w:val="105"/>
          <w:sz w:val="21"/>
        </w:rPr>
        <w:t>death</w:t>
      </w:r>
    </w:p>
    <w:p>
      <w:pPr>
        <w:pStyle w:val="ListParagraph"/>
        <w:numPr>
          <w:ilvl w:val="1"/>
          <w:numId w:val="19"/>
        </w:numPr>
        <w:tabs>
          <w:tab w:pos="3028" w:val="left" w:leader="none"/>
        </w:tabs>
        <w:spacing w:line="242" w:lineRule="auto" w:before="122" w:after="0"/>
        <w:ind w:left="3027" w:right="1692" w:hanging="307"/>
        <w:jc w:val="left"/>
        <w:rPr>
          <w:sz w:val="21"/>
        </w:rPr>
      </w:pPr>
      <w:r>
        <w:rPr>
          <w:w w:val="105"/>
          <w:sz w:val="21"/>
        </w:rPr>
        <w:t>provide in section 39(1) a list of the </w:t>
      </w:r>
      <w:r>
        <w:rPr>
          <w:spacing w:val="-3"/>
          <w:w w:val="105"/>
          <w:sz w:val="21"/>
        </w:rPr>
        <w:t>provisions </w:t>
      </w:r>
      <w:r>
        <w:rPr>
          <w:w w:val="105"/>
          <w:sz w:val="21"/>
        </w:rPr>
        <w:t>of the </w:t>
      </w:r>
      <w:r>
        <w:rPr>
          <w:i/>
          <w:spacing w:val="-3"/>
          <w:w w:val="105"/>
          <w:sz w:val="21"/>
        </w:rPr>
        <w:t>Bankruptcy </w:t>
      </w:r>
      <w:r>
        <w:rPr>
          <w:i/>
          <w:w w:val="105"/>
          <w:sz w:val="21"/>
        </w:rPr>
        <w:t>Act </w:t>
      </w:r>
      <w:r>
        <w:rPr>
          <w:i/>
          <w:spacing w:val="-5"/>
          <w:w w:val="105"/>
          <w:sz w:val="21"/>
        </w:rPr>
        <w:t>1966 </w:t>
      </w:r>
      <w:r>
        <w:rPr>
          <w:w w:val="105"/>
          <w:sz w:val="21"/>
        </w:rPr>
        <w:t>(Cth) </w:t>
      </w:r>
      <w:r>
        <w:rPr>
          <w:spacing w:val="-3"/>
          <w:w w:val="105"/>
          <w:sz w:val="21"/>
        </w:rPr>
        <w:t>that</w:t>
      </w:r>
      <w:r>
        <w:rPr>
          <w:spacing w:val="-7"/>
          <w:w w:val="105"/>
          <w:sz w:val="21"/>
        </w:rPr>
        <w:t> </w:t>
      </w:r>
      <w:r>
        <w:rPr>
          <w:spacing w:val="-3"/>
          <w:w w:val="105"/>
          <w:sz w:val="21"/>
        </w:rPr>
        <w:t>will</w:t>
      </w:r>
      <w:r>
        <w:rPr>
          <w:spacing w:val="-6"/>
          <w:w w:val="105"/>
          <w:sz w:val="21"/>
        </w:rPr>
        <w:t> </w:t>
      </w:r>
      <w:r>
        <w:rPr>
          <w:w w:val="105"/>
          <w:sz w:val="21"/>
        </w:rPr>
        <w:t>apply</w:t>
      </w:r>
      <w:r>
        <w:rPr>
          <w:spacing w:val="-7"/>
          <w:w w:val="105"/>
          <w:sz w:val="21"/>
        </w:rPr>
        <w:t> </w:t>
      </w:r>
      <w:r>
        <w:rPr>
          <w:w w:val="105"/>
          <w:sz w:val="21"/>
        </w:rPr>
        <w:t>when</w:t>
      </w:r>
      <w:r>
        <w:rPr>
          <w:spacing w:val="-6"/>
          <w:w w:val="105"/>
          <w:sz w:val="21"/>
        </w:rPr>
        <w:t> </w:t>
      </w:r>
      <w:r>
        <w:rPr>
          <w:w w:val="105"/>
          <w:sz w:val="21"/>
        </w:rPr>
        <w:t>estates</w:t>
      </w:r>
      <w:r>
        <w:rPr>
          <w:spacing w:val="-6"/>
          <w:w w:val="105"/>
          <w:sz w:val="21"/>
        </w:rPr>
        <w:t> </w:t>
      </w:r>
      <w:r>
        <w:rPr>
          <w:spacing w:val="-3"/>
          <w:w w:val="105"/>
          <w:sz w:val="21"/>
        </w:rPr>
        <w:t>are</w:t>
      </w:r>
      <w:r>
        <w:rPr>
          <w:spacing w:val="-7"/>
          <w:w w:val="105"/>
          <w:sz w:val="21"/>
        </w:rPr>
        <w:t> </w:t>
      </w:r>
      <w:r>
        <w:rPr>
          <w:w w:val="105"/>
          <w:sz w:val="21"/>
        </w:rPr>
        <w:t>being</w:t>
      </w:r>
      <w:r>
        <w:rPr>
          <w:spacing w:val="-6"/>
          <w:w w:val="105"/>
          <w:sz w:val="21"/>
        </w:rPr>
        <w:t> </w:t>
      </w:r>
      <w:r>
        <w:rPr>
          <w:spacing w:val="-3"/>
          <w:w w:val="105"/>
          <w:sz w:val="21"/>
        </w:rPr>
        <w:t>administered</w:t>
      </w:r>
      <w:r>
        <w:rPr>
          <w:spacing w:val="-7"/>
          <w:w w:val="105"/>
          <w:sz w:val="21"/>
        </w:rPr>
        <w:t> </w:t>
      </w:r>
      <w:r>
        <w:rPr>
          <w:w w:val="105"/>
          <w:sz w:val="21"/>
        </w:rPr>
        <w:t>under</w:t>
      </w:r>
      <w:r>
        <w:rPr>
          <w:spacing w:val="-6"/>
          <w:w w:val="105"/>
          <w:sz w:val="21"/>
        </w:rPr>
        <w:t> </w:t>
      </w:r>
      <w:r>
        <w:rPr>
          <w:w w:val="105"/>
          <w:sz w:val="21"/>
        </w:rPr>
        <w:t>the</w:t>
      </w:r>
      <w:r>
        <w:rPr>
          <w:spacing w:val="-6"/>
          <w:w w:val="105"/>
          <w:sz w:val="21"/>
        </w:rPr>
        <w:t> </w:t>
      </w:r>
      <w:r>
        <w:rPr>
          <w:i/>
          <w:spacing w:val="-3"/>
          <w:w w:val="105"/>
          <w:sz w:val="21"/>
        </w:rPr>
        <w:t>Administration</w:t>
      </w:r>
      <w:r>
        <w:rPr>
          <w:i/>
          <w:spacing w:val="-7"/>
          <w:w w:val="105"/>
          <w:sz w:val="21"/>
        </w:rPr>
        <w:t> </w:t>
      </w:r>
      <w:r>
        <w:rPr>
          <w:i/>
          <w:w w:val="105"/>
          <w:sz w:val="21"/>
        </w:rPr>
        <w:t>and </w:t>
      </w:r>
      <w:r>
        <w:rPr>
          <w:i/>
          <w:w w:val="105"/>
          <w:sz w:val="21"/>
        </w:rPr>
        <w:t>Probate Act </w:t>
      </w:r>
      <w:r>
        <w:rPr>
          <w:i/>
          <w:spacing w:val="-6"/>
          <w:w w:val="105"/>
          <w:sz w:val="21"/>
        </w:rPr>
        <w:t>1958</w:t>
      </w:r>
      <w:r>
        <w:rPr>
          <w:i/>
          <w:spacing w:val="16"/>
          <w:w w:val="105"/>
          <w:sz w:val="21"/>
        </w:rPr>
        <w:t> </w:t>
      </w:r>
      <w:r>
        <w:rPr>
          <w:w w:val="105"/>
          <w:sz w:val="21"/>
        </w:rPr>
        <w:t>(Vic).</w:t>
      </w:r>
    </w:p>
    <w:p>
      <w:pPr>
        <w:pStyle w:val="BodyText"/>
        <w:spacing w:before="10"/>
      </w:pPr>
    </w:p>
    <w:p>
      <w:pPr>
        <w:pStyle w:val="Heading4"/>
        <w:spacing w:before="1"/>
      </w:pPr>
      <w:r>
        <w:rPr>
          <w:color w:val="EC5A4F"/>
          <w:w w:val="110"/>
        </w:rPr>
        <w:t>Chapter 9 Small estates</w:t>
      </w:r>
    </w:p>
    <w:p>
      <w:pPr>
        <w:pStyle w:val="Heading5"/>
        <w:spacing w:before="166"/>
      </w:pPr>
      <w:r>
        <w:rPr>
          <w:w w:val="115"/>
        </w:rPr>
        <w:t>Assistance in seeking a grant of representation</w:t>
      </w:r>
    </w:p>
    <w:p>
      <w:pPr>
        <w:pStyle w:val="ListParagraph"/>
        <w:numPr>
          <w:ilvl w:val="0"/>
          <w:numId w:val="19"/>
        </w:numPr>
        <w:tabs>
          <w:tab w:pos="1928" w:val="left" w:leader="none"/>
        </w:tabs>
        <w:spacing w:line="242" w:lineRule="auto" w:before="137" w:after="0"/>
        <w:ind w:left="1927" w:right="2299" w:hanging="340"/>
        <w:jc w:val="left"/>
        <w:rPr>
          <w:sz w:val="21"/>
        </w:rPr>
      </w:pPr>
      <w:r>
        <w:rPr>
          <w:w w:val="105"/>
          <w:sz w:val="21"/>
        </w:rPr>
        <w:t>Section </w:t>
      </w:r>
      <w:r>
        <w:rPr>
          <w:spacing w:val="-6"/>
          <w:w w:val="105"/>
          <w:sz w:val="21"/>
        </w:rPr>
        <w:t>71(1) </w:t>
      </w:r>
      <w:r>
        <w:rPr>
          <w:w w:val="105"/>
          <w:sz w:val="21"/>
        </w:rPr>
        <w:t>of the </w:t>
      </w:r>
      <w:r>
        <w:rPr>
          <w:spacing w:val="-3"/>
          <w:w w:val="105"/>
          <w:sz w:val="21"/>
        </w:rPr>
        <w:t>A</w:t>
      </w:r>
      <w:r>
        <w:rPr>
          <w:i/>
          <w:spacing w:val="-3"/>
          <w:w w:val="105"/>
          <w:sz w:val="21"/>
        </w:rPr>
        <w:t>dministration </w:t>
      </w:r>
      <w:r>
        <w:rPr>
          <w:i/>
          <w:w w:val="105"/>
          <w:sz w:val="21"/>
        </w:rPr>
        <w:t>and Probate Act </w:t>
      </w:r>
      <w:r>
        <w:rPr>
          <w:i/>
          <w:spacing w:val="-6"/>
          <w:w w:val="105"/>
          <w:sz w:val="21"/>
        </w:rPr>
        <w:t>1958 </w:t>
      </w:r>
      <w:r>
        <w:rPr>
          <w:w w:val="105"/>
          <w:sz w:val="21"/>
        </w:rPr>
        <w:t>(Vic) should be </w:t>
      </w:r>
      <w:r>
        <w:rPr>
          <w:spacing w:val="-3"/>
          <w:w w:val="105"/>
          <w:sz w:val="21"/>
        </w:rPr>
        <w:t>replaced </w:t>
      </w:r>
      <w:r>
        <w:rPr>
          <w:w w:val="105"/>
          <w:sz w:val="21"/>
        </w:rPr>
        <w:t>with a </w:t>
      </w:r>
      <w:r>
        <w:rPr>
          <w:spacing w:val="-3"/>
          <w:w w:val="105"/>
          <w:sz w:val="21"/>
        </w:rPr>
        <w:t>provision</w:t>
      </w:r>
      <w:r>
        <w:rPr>
          <w:spacing w:val="10"/>
          <w:w w:val="105"/>
          <w:sz w:val="21"/>
        </w:rPr>
        <w:t> </w:t>
      </w:r>
      <w:r>
        <w:rPr>
          <w:w w:val="105"/>
          <w:sz w:val="21"/>
        </w:rPr>
        <w:t>that:</w:t>
      </w:r>
    </w:p>
    <w:p>
      <w:pPr>
        <w:pStyle w:val="ListParagraph"/>
        <w:numPr>
          <w:ilvl w:val="1"/>
          <w:numId w:val="19"/>
        </w:numPr>
        <w:tabs>
          <w:tab w:pos="3028" w:val="left" w:leader="none"/>
        </w:tabs>
        <w:spacing w:line="242" w:lineRule="auto" w:before="122" w:after="0"/>
        <w:ind w:left="3027" w:right="1952" w:hanging="306"/>
        <w:jc w:val="left"/>
        <w:rPr>
          <w:sz w:val="21"/>
        </w:rPr>
      </w:pPr>
      <w:r>
        <w:rPr>
          <w:sz w:val="21"/>
        </w:rPr>
        <w:t>permits a person entitled </w:t>
      </w:r>
      <w:r>
        <w:rPr>
          <w:spacing w:val="-3"/>
          <w:sz w:val="21"/>
        </w:rPr>
        <w:t>to probate </w:t>
      </w:r>
      <w:r>
        <w:rPr>
          <w:sz w:val="21"/>
        </w:rPr>
        <w:t>of the </w:t>
      </w:r>
      <w:r>
        <w:rPr>
          <w:spacing w:val="-3"/>
          <w:sz w:val="21"/>
        </w:rPr>
        <w:t>will </w:t>
      </w:r>
      <w:r>
        <w:rPr>
          <w:sz w:val="21"/>
        </w:rPr>
        <w:t>or letters of </w:t>
      </w:r>
      <w:r>
        <w:rPr>
          <w:spacing w:val="-3"/>
          <w:sz w:val="21"/>
        </w:rPr>
        <w:t>administration </w:t>
      </w:r>
      <w:r>
        <w:rPr>
          <w:sz w:val="21"/>
        </w:rPr>
        <w:t>in respect of an estate </w:t>
      </w:r>
      <w:r>
        <w:rPr>
          <w:spacing w:val="-2"/>
          <w:sz w:val="21"/>
        </w:rPr>
        <w:t>not  </w:t>
      </w:r>
      <w:r>
        <w:rPr>
          <w:spacing w:val="-3"/>
          <w:sz w:val="21"/>
        </w:rPr>
        <w:t>exceeding  $100,000  </w:t>
      </w:r>
      <w:r>
        <w:rPr>
          <w:sz w:val="21"/>
        </w:rPr>
        <w:t>in </w:t>
      </w:r>
      <w:r>
        <w:rPr>
          <w:spacing w:val="-3"/>
          <w:sz w:val="21"/>
        </w:rPr>
        <w:t>value</w:t>
      </w:r>
      <w:r>
        <w:rPr>
          <w:spacing w:val="41"/>
          <w:sz w:val="21"/>
        </w:rPr>
        <w:t> </w:t>
      </w:r>
      <w:r>
        <w:rPr>
          <w:spacing w:val="-3"/>
          <w:sz w:val="21"/>
        </w:rPr>
        <w:t>to  </w:t>
      </w:r>
      <w:r>
        <w:rPr>
          <w:sz w:val="21"/>
        </w:rPr>
        <w:t>apply </w:t>
      </w:r>
      <w:r>
        <w:rPr>
          <w:spacing w:val="-3"/>
          <w:sz w:val="21"/>
        </w:rPr>
        <w:t>to  </w:t>
      </w:r>
      <w:r>
        <w:rPr>
          <w:sz w:val="21"/>
        </w:rPr>
        <w:t>the </w:t>
      </w:r>
      <w:r>
        <w:rPr>
          <w:spacing w:val="-3"/>
          <w:sz w:val="21"/>
        </w:rPr>
        <w:t>registrar  </w:t>
      </w:r>
      <w:r>
        <w:rPr>
          <w:sz w:val="21"/>
        </w:rPr>
        <w:t>of </w:t>
      </w:r>
      <w:r>
        <w:rPr>
          <w:spacing w:val="-3"/>
          <w:sz w:val="21"/>
        </w:rPr>
        <w:t>probates </w:t>
      </w:r>
      <w:r>
        <w:rPr>
          <w:spacing w:val="-6"/>
          <w:sz w:val="21"/>
        </w:rPr>
        <w:t>or, </w:t>
      </w:r>
      <w:r>
        <w:rPr>
          <w:sz w:val="21"/>
        </w:rPr>
        <w:t>where </w:t>
      </w:r>
      <w:r>
        <w:rPr>
          <w:spacing w:val="-3"/>
          <w:sz w:val="21"/>
        </w:rPr>
        <w:t>appropriate,  </w:t>
      </w:r>
      <w:r>
        <w:rPr>
          <w:sz w:val="21"/>
        </w:rPr>
        <w:t>a </w:t>
      </w:r>
      <w:r>
        <w:rPr>
          <w:spacing w:val="-3"/>
          <w:sz w:val="21"/>
        </w:rPr>
        <w:t>registrar</w:t>
      </w:r>
      <w:r>
        <w:rPr>
          <w:spacing w:val="41"/>
          <w:sz w:val="21"/>
        </w:rPr>
        <w:t> </w:t>
      </w:r>
      <w:r>
        <w:rPr>
          <w:sz w:val="21"/>
        </w:rPr>
        <w:t>of the </w:t>
      </w:r>
      <w:r>
        <w:rPr>
          <w:spacing w:val="-3"/>
          <w:sz w:val="21"/>
        </w:rPr>
        <w:t>Magistrates’  Court,  for  </w:t>
      </w:r>
      <w:r>
        <w:rPr>
          <w:sz w:val="21"/>
        </w:rPr>
        <w:t>aid in </w:t>
      </w:r>
      <w:r>
        <w:rPr>
          <w:spacing w:val="-3"/>
          <w:sz w:val="21"/>
        </w:rPr>
        <w:t>obtaining </w:t>
      </w:r>
      <w:r>
        <w:rPr>
          <w:sz w:val="21"/>
        </w:rPr>
        <w:t>a </w:t>
      </w:r>
      <w:r>
        <w:rPr>
          <w:spacing w:val="-3"/>
          <w:sz w:val="21"/>
        </w:rPr>
        <w:t>grant </w:t>
      </w:r>
      <w:r>
        <w:rPr>
          <w:sz w:val="21"/>
        </w:rPr>
        <w:t>of</w:t>
      </w:r>
      <w:r>
        <w:rPr>
          <w:spacing w:val="6"/>
          <w:sz w:val="21"/>
        </w:rPr>
        <w:t> </w:t>
      </w:r>
      <w:r>
        <w:rPr>
          <w:spacing w:val="-2"/>
          <w:sz w:val="21"/>
        </w:rPr>
        <w:t>representation</w:t>
      </w:r>
    </w:p>
    <w:p>
      <w:pPr>
        <w:pStyle w:val="ListParagraph"/>
        <w:numPr>
          <w:ilvl w:val="1"/>
          <w:numId w:val="19"/>
        </w:numPr>
        <w:tabs>
          <w:tab w:pos="3028" w:val="left" w:leader="none"/>
        </w:tabs>
        <w:spacing w:line="242" w:lineRule="auto" w:before="125" w:after="0"/>
        <w:ind w:left="3027" w:right="2065" w:hanging="306"/>
        <w:jc w:val="left"/>
        <w:rPr>
          <w:sz w:val="21"/>
        </w:rPr>
      </w:pPr>
      <w:r>
        <w:rPr>
          <w:sz w:val="21"/>
        </w:rPr>
        <w:t>provides </w:t>
      </w:r>
      <w:r>
        <w:rPr>
          <w:spacing w:val="-3"/>
          <w:sz w:val="21"/>
        </w:rPr>
        <w:t>for </w:t>
      </w:r>
      <w:r>
        <w:rPr>
          <w:sz w:val="21"/>
        </w:rPr>
        <w:t>the maximum </w:t>
      </w:r>
      <w:r>
        <w:rPr>
          <w:spacing w:val="-3"/>
          <w:sz w:val="21"/>
        </w:rPr>
        <w:t>value </w:t>
      </w:r>
      <w:r>
        <w:rPr>
          <w:sz w:val="21"/>
        </w:rPr>
        <w:t>of the estate  in  respect  of  which  the  aid </w:t>
      </w:r>
      <w:r>
        <w:rPr>
          <w:spacing w:val="-3"/>
          <w:sz w:val="21"/>
        </w:rPr>
        <w:t>may </w:t>
      </w:r>
      <w:r>
        <w:rPr>
          <w:sz w:val="21"/>
        </w:rPr>
        <w:t>be provided </w:t>
      </w:r>
      <w:r>
        <w:rPr>
          <w:spacing w:val="-3"/>
          <w:sz w:val="21"/>
        </w:rPr>
        <w:t>to </w:t>
      </w:r>
      <w:r>
        <w:rPr>
          <w:sz w:val="21"/>
        </w:rPr>
        <w:t>be adjusted quarterly </w:t>
      </w:r>
      <w:r>
        <w:rPr>
          <w:spacing w:val="-3"/>
          <w:sz w:val="21"/>
        </w:rPr>
        <w:t>to </w:t>
      </w:r>
      <w:r>
        <w:rPr>
          <w:sz w:val="21"/>
        </w:rPr>
        <w:t>reflect </w:t>
      </w:r>
      <w:r>
        <w:rPr>
          <w:spacing w:val="-3"/>
          <w:sz w:val="21"/>
        </w:rPr>
        <w:t>changes </w:t>
      </w:r>
      <w:r>
        <w:rPr>
          <w:sz w:val="21"/>
        </w:rPr>
        <w:t>in the All </w:t>
      </w:r>
      <w:r>
        <w:rPr>
          <w:spacing w:val="-3"/>
          <w:sz w:val="21"/>
        </w:rPr>
        <w:t>Groups </w:t>
      </w:r>
      <w:r>
        <w:rPr>
          <w:spacing w:val="-4"/>
          <w:sz w:val="21"/>
        </w:rPr>
        <w:t>Consumer </w:t>
      </w:r>
      <w:r>
        <w:rPr>
          <w:sz w:val="21"/>
        </w:rPr>
        <w:t>Price</w:t>
      </w:r>
      <w:r>
        <w:rPr>
          <w:spacing w:val="21"/>
          <w:sz w:val="21"/>
        </w:rPr>
        <w:t> </w:t>
      </w:r>
      <w:r>
        <w:rPr>
          <w:sz w:val="21"/>
        </w:rPr>
        <w:t>Index.</w:t>
      </w:r>
    </w:p>
    <w:p>
      <w:pPr>
        <w:pStyle w:val="ListParagraph"/>
        <w:numPr>
          <w:ilvl w:val="0"/>
          <w:numId w:val="19"/>
        </w:numPr>
        <w:tabs>
          <w:tab w:pos="1928" w:val="left" w:leader="none"/>
        </w:tabs>
        <w:spacing w:line="242" w:lineRule="auto" w:before="123" w:after="0"/>
        <w:ind w:left="1927" w:right="1721" w:hanging="340"/>
        <w:jc w:val="left"/>
        <w:rPr>
          <w:sz w:val="21"/>
        </w:rPr>
      </w:pPr>
      <w:r>
        <w:rPr>
          <w:w w:val="105"/>
          <w:sz w:val="21"/>
        </w:rPr>
        <w:t>The </w:t>
      </w:r>
      <w:r>
        <w:rPr>
          <w:spacing w:val="-3"/>
          <w:w w:val="105"/>
          <w:sz w:val="21"/>
        </w:rPr>
        <w:t>Supreme Court </w:t>
      </w:r>
      <w:r>
        <w:rPr>
          <w:w w:val="105"/>
          <w:sz w:val="21"/>
        </w:rPr>
        <w:t>of Victoria should </w:t>
      </w:r>
      <w:r>
        <w:rPr>
          <w:spacing w:val="-3"/>
          <w:w w:val="105"/>
          <w:sz w:val="21"/>
        </w:rPr>
        <w:t>publish </w:t>
      </w:r>
      <w:r>
        <w:rPr>
          <w:w w:val="105"/>
          <w:sz w:val="21"/>
        </w:rPr>
        <w:t>on its </w:t>
      </w:r>
      <w:r>
        <w:rPr>
          <w:spacing w:val="-3"/>
          <w:w w:val="105"/>
          <w:sz w:val="21"/>
        </w:rPr>
        <w:t>website </w:t>
      </w:r>
      <w:r>
        <w:rPr>
          <w:w w:val="105"/>
          <w:sz w:val="21"/>
        </w:rPr>
        <w:t>the quarterly </w:t>
      </w:r>
      <w:r>
        <w:rPr>
          <w:spacing w:val="-4"/>
          <w:w w:val="105"/>
          <w:sz w:val="21"/>
        </w:rPr>
        <w:t>Consumer </w:t>
      </w:r>
      <w:r>
        <w:rPr>
          <w:w w:val="105"/>
          <w:sz w:val="21"/>
        </w:rPr>
        <w:t>Price Index</w:t>
      </w:r>
      <w:r>
        <w:rPr>
          <w:spacing w:val="-11"/>
          <w:w w:val="105"/>
          <w:sz w:val="21"/>
        </w:rPr>
        <w:t> </w:t>
      </w:r>
      <w:r>
        <w:rPr>
          <w:w w:val="105"/>
          <w:sz w:val="21"/>
        </w:rPr>
        <w:t>adjusted</w:t>
      </w:r>
      <w:r>
        <w:rPr>
          <w:spacing w:val="-10"/>
          <w:w w:val="105"/>
          <w:sz w:val="21"/>
        </w:rPr>
        <w:t> </w:t>
      </w:r>
      <w:r>
        <w:rPr>
          <w:w w:val="105"/>
          <w:sz w:val="21"/>
        </w:rPr>
        <w:t>maximum</w:t>
      </w:r>
      <w:r>
        <w:rPr>
          <w:spacing w:val="-10"/>
          <w:w w:val="105"/>
          <w:sz w:val="21"/>
        </w:rPr>
        <w:t> </w:t>
      </w:r>
      <w:r>
        <w:rPr>
          <w:spacing w:val="-3"/>
          <w:w w:val="105"/>
          <w:sz w:val="21"/>
        </w:rPr>
        <w:t>values</w:t>
      </w:r>
      <w:r>
        <w:rPr>
          <w:spacing w:val="-11"/>
          <w:w w:val="105"/>
          <w:sz w:val="21"/>
        </w:rPr>
        <w:t> </w:t>
      </w:r>
      <w:r>
        <w:rPr>
          <w:w w:val="105"/>
          <w:sz w:val="21"/>
        </w:rPr>
        <w:t>of</w:t>
      </w:r>
      <w:r>
        <w:rPr>
          <w:spacing w:val="-10"/>
          <w:w w:val="105"/>
          <w:sz w:val="21"/>
        </w:rPr>
        <w:t> </w:t>
      </w:r>
      <w:r>
        <w:rPr>
          <w:w w:val="105"/>
          <w:sz w:val="21"/>
        </w:rPr>
        <w:t>estates</w:t>
      </w:r>
      <w:r>
        <w:rPr>
          <w:spacing w:val="-10"/>
          <w:w w:val="105"/>
          <w:sz w:val="21"/>
        </w:rPr>
        <w:t> </w:t>
      </w:r>
      <w:r>
        <w:rPr>
          <w:w w:val="105"/>
          <w:sz w:val="21"/>
        </w:rPr>
        <w:t>in</w:t>
      </w:r>
      <w:r>
        <w:rPr>
          <w:spacing w:val="-10"/>
          <w:w w:val="105"/>
          <w:sz w:val="21"/>
        </w:rPr>
        <w:t> </w:t>
      </w:r>
      <w:r>
        <w:rPr>
          <w:w w:val="105"/>
          <w:sz w:val="21"/>
        </w:rPr>
        <w:t>respect</w:t>
      </w:r>
      <w:r>
        <w:rPr>
          <w:spacing w:val="-11"/>
          <w:w w:val="105"/>
          <w:sz w:val="21"/>
        </w:rPr>
        <w:t> </w:t>
      </w:r>
      <w:r>
        <w:rPr>
          <w:w w:val="105"/>
          <w:sz w:val="21"/>
        </w:rPr>
        <w:t>of</w:t>
      </w:r>
      <w:r>
        <w:rPr>
          <w:spacing w:val="-10"/>
          <w:w w:val="105"/>
          <w:sz w:val="21"/>
        </w:rPr>
        <w:t> </w:t>
      </w:r>
      <w:r>
        <w:rPr>
          <w:w w:val="105"/>
          <w:sz w:val="21"/>
        </w:rPr>
        <w:t>which</w:t>
      </w:r>
      <w:r>
        <w:rPr>
          <w:spacing w:val="-10"/>
          <w:w w:val="105"/>
          <w:sz w:val="21"/>
        </w:rPr>
        <w:t> </w:t>
      </w:r>
      <w:r>
        <w:rPr>
          <w:w w:val="105"/>
          <w:sz w:val="21"/>
        </w:rPr>
        <w:t>the</w:t>
      </w:r>
      <w:r>
        <w:rPr>
          <w:spacing w:val="-10"/>
          <w:w w:val="105"/>
          <w:sz w:val="21"/>
        </w:rPr>
        <w:t> </w:t>
      </w:r>
      <w:r>
        <w:rPr>
          <w:spacing w:val="-3"/>
          <w:w w:val="105"/>
          <w:sz w:val="21"/>
        </w:rPr>
        <w:t>Probate</w:t>
      </w:r>
      <w:r>
        <w:rPr>
          <w:spacing w:val="-11"/>
          <w:w w:val="105"/>
          <w:sz w:val="21"/>
        </w:rPr>
        <w:t> </w:t>
      </w:r>
      <w:r>
        <w:rPr>
          <w:w w:val="105"/>
          <w:sz w:val="21"/>
        </w:rPr>
        <w:t>Office</w:t>
      </w:r>
      <w:r>
        <w:rPr>
          <w:spacing w:val="-10"/>
          <w:w w:val="105"/>
          <w:sz w:val="21"/>
        </w:rPr>
        <w:t> </w:t>
      </w:r>
      <w:r>
        <w:rPr>
          <w:spacing w:val="-3"/>
          <w:w w:val="105"/>
          <w:sz w:val="21"/>
        </w:rPr>
        <w:t>may</w:t>
      </w:r>
      <w:r>
        <w:rPr>
          <w:spacing w:val="-10"/>
          <w:w w:val="105"/>
          <w:sz w:val="21"/>
        </w:rPr>
        <w:t> </w:t>
      </w:r>
      <w:r>
        <w:rPr>
          <w:w w:val="105"/>
          <w:sz w:val="21"/>
        </w:rPr>
        <w:t>provide assistance in applying </w:t>
      </w:r>
      <w:r>
        <w:rPr>
          <w:spacing w:val="-3"/>
          <w:w w:val="105"/>
          <w:sz w:val="21"/>
        </w:rPr>
        <w:t>for </w:t>
      </w:r>
      <w:r>
        <w:rPr>
          <w:w w:val="105"/>
          <w:sz w:val="21"/>
        </w:rPr>
        <w:t>a </w:t>
      </w:r>
      <w:r>
        <w:rPr>
          <w:spacing w:val="-3"/>
          <w:w w:val="105"/>
          <w:sz w:val="21"/>
        </w:rPr>
        <w:t>grant </w:t>
      </w:r>
      <w:r>
        <w:rPr>
          <w:w w:val="105"/>
          <w:sz w:val="21"/>
        </w:rPr>
        <w:t>of</w:t>
      </w:r>
      <w:r>
        <w:rPr>
          <w:spacing w:val="36"/>
          <w:w w:val="105"/>
          <w:sz w:val="21"/>
        </w:rPr>
        <w:t> </w:t>
      </w:r>
      <w:r>
        <w:rPr>
          <w:spacing w:val="-3"/>
          <w:w w:val="105"/>
          <w:sz w:val="21"/>
        </w:rPr>
        <w:t>representation.</w:t>
      </w:r>
    </w:p>
    <w:p>
      <w:pPr>
        <w:pStyle w:val="ListParagraph"/>
        <w:numPr>
          <w:ilvl w:val="0"/>
          <w:numId w:val="19"/>
        </w:numPr>
        <w:tabs>
          <w:tab w:pos="1928" w:val="left" w:leader="none"/>
        </w:tabs>
        <w:spacing w:line="242" w:lineRule="auto" w:before="124" w:after="0"/>
        <w:ind w:left="1927" w:right="1839" w:hanging="340"/>
        <w:jc w:val="left"/>
        <w:rPr>
          <w:sz w:val="21"/>
        </w:rPr>
      </w:pPr>
      <w:r>
        <w:rPr>
          <w:w w:val="105"/>
          <w:sz w:val="21"/>
        </w:rPr>
        <w:t>The </w:t>
      </w:r>
      <w:r>
        <w:rPr>
          <w:spacing w:val="-3"/>
          <w:w w:val="105"/>
          <w:sz w:val="21"/>
        </w:rPr>
        <w:t>Supreme Court </w:t>
      </w:r>
      <w:r>
        <w:rPr>
          <w:w w:val="105"/>
          <w:sz w:val="21"/>
        </w:rPr>
        <w:t>of Victoria, in </w:t>
      </w:r>
      <w:r>
        <w:rPr>
          <w:spacing w:val="-3"/>
          <w:w w:val="105"/>
          <w:sz w:val="21"/>
        </w:rPr>
        <w:t>consultation </w:t>
      </w:r>
      <w:r>
        <w:rPr>
          <w:w w:val="105"/>
          <w:sz w:val="21"/>
        </w:rPr>
        <w:t>with Victoria Legal Aid, the Law </w:t>
      </w:r>
      <w:r>
        <w:rPr>
          <w:spacing w:val="-3"/>
          <w:w w:val="105"/>
          <w:sz w:val="21"/>
        </w:rPr>
        <w:t>Institute </w:t>
      </w:r>
      <w:r>
        <w:rPr>
          <w:w w:val="105"/>
          <w:sz w:val="21"/>
        </w:rPr>
        <w:t>of Victoria</w:t>
      </w:r>
      <w:r>
        <w:rPr>
          <w:spacing w:val="-7"/>
          <w:w w:val="105"/>
          <w:sz w:val="21"/>
        </w:rPr>
        <w:t> </w:t>
      </w:r>
      <w:r>
        <w:rPr>
          <w:w w:val="105"/>
          <w:sz w:val="21"/>
        </w:rPr>
        <w:t>and</w:t>
      </w:r>
      <w:r>
        <w:rPr>
          <w:spacing w:val="-6"/>
          <w:w w:val="105"/>
          <w:sz w:val="21"/>
        </w:rPr>
        <w:t> </w:t>
      </w:r>
      <w:r>
        <w:rPr>
          <w:w w:val="105"/>
          <w:sz w:val="21"/>
        </w:rPr>
        <w:t>the</w:t>
      </w:r>
      <w:r>
        <w:rPr>
          <w:spacing w:val="-7"/>
          <w:w w:val="105"/>
          <w:sz w:val="21"/>
        </w:rPr>
        <w:t> </w:t>
      </w:r>
      <w:r>
        <w:rPr>
          <w:w w:val="105"/>
          <w:sz w:val="21"/>
        </w:rPr>
        <w:t>Federation</w:t>
      </w:r>
      <w:r>
        <w:rPr>
          <w:spacing w:val="-6"/>
          <w:w w:val="105"/>
          <w:sz w:val="21"/>
        </w:rPr>
        <w:t> </w:t>
      </w:r>
      <w:r>
        <w:rPr>
          <w:w w:val="105"/>
          <w:sz w:val="21"/>
        </w:rPr>
        <w:t>of</w:t>
      </w:r>
      <w:r>
        <w:rPr>
          <w:spacing w:val="-7"/>
          <w:w w:val="105"/>
          <w:sz w:val="21"/>
        </w:rPr>
        <w:t> </w:t>
      </w:r>
      <w:r>
        <w:rPr>
          <w:spacing w:val="-3"/>
          <w:w w:val="105"/>
          <w:sz w:val="21"/>
        </w:rPr>
        <w:t>Community</w:t>
      </w:r>
      <w:r>
        <w:rPr>
          <w:spacing w:val="-6"/>
          <w:w w:val="105"/>
          <w:sz w:val="21"/>
        </w:rPr>
        <w:t> </w:t>
      </w:r>
      <w:r>
        <w:rPr>
          <w:w w:val="105"/>
          <w:sz w:val="21"/>
        </w:rPr>
        <w:t>Legal</w:t>
      </w:r>
      <w:r>
        <w:rPr>
          <w:spacing w:val="-6"/>
          <w:w w:val="105"/>
          <w:sz w:val="21"/>
        </w:rPr>
        <w:t> </w:t>
      </w:r>
      <w:r>
        <w:rPr>
          <w:spacing w:val="-3"/>
          <w:w w:val="105"/>
          <w:sz w:val="21"/>
        </w:rPr>
        <w:t>Centres,</w:t>
      </w:r>
      <w:r>
        <w:rPr>
          <w:spacing w:val="-7"/>
          <w:w w:val="105"/>
          <w:sz w:val="21"/>
        </w:rPr>
        <w:t> </w:t>
      </w:r>
      <w:r>
        <w:rPr>
          <w:w w:val="105"/>
          <w:sz w:val="21"/>
        </w:rPr>
        <w:t>should</w:t>
      </w:r>
      <w:r>
        <w:rPr>
          <w:spacing w:val="-6"/>
          <w:w w:val="105"/>
          <w:sz w:val="21"/>
        </w:rPr>
        <w:t> </w:t>
      </w:r>
      <w:r>
        <w:rPr>
          <w:w w:val="105"/>
          <w:sz w:val="21"/>
        </w:rPr>
        <w:t>develop</w:t>
      </w:r>
      <w:r>
        <w:rPr>
          <w:spacing w:val="-7"/>
          <w:w w:val="105"/>
          <w:sz w:val="21"/>
        </w:rPr>
        <w:t> </w:t>
      </w:r>
      <w:r>
        <w:rPr>
          <w:w w:val="105"/>
          <w:sz w:val="21"/>
        </w:rPr>
        <w:t>and</w:t>
      </w:r>
      <w:r>
        <w:rPr>
          <w:spacing w:val="-6"/>
          <w:w w:val="105"/>
          <w:sz w:val="21"/>
        </w:rPr>
        <w:t> </w:t>
      </w:r>
      <w:r>
        <w:rPr>
          <w:spacing w:val="-4"/>
          <w:w w:val="105"/>
          <w:sz w:val="21"/>
        </w:rPr>
        <w:t>make</w:t>
      </w:r>
      <w:r>
        <w:rPr>
          <w:spacing w:val="-7"/>
          <w:w w:val="105"/>
          <w:sz w:val="21"/>
        </w:rPr>
        <w:t> </w:t>
      </w:r>
      <w:r>
        <w:rPr>
          <w:spacing w:val="-3"/>
          <w:w w:val="105"/>
          <w:sz w:val="21"/>
        </w:rPr>
        <w:t>available </w:t>
      </w:r>
      <w:r>
        <w:rPr>
          <w:w w:val="105"/>
          <w:sz w:val="21"/>
        </w:rPr>
        <w:t>on its </w:t>
      </w:r>
      <w:r>
        <w:rPr>
          <w:spacing w:val="-3"/>
          <w:w w:val="105"/>
          <w:sz w:val="21"/>
        </w:rPr>
        <w:t>website </w:t>
      </w:r>
      <w:r>
        <w:rPr>
          <w:w w:val="105"/>
          <w:sz w:val="21"/>
        </w:rPr>
        <w:t>in community </w:t>
      </w:r>
      <w:r>
        <w:rPr>
          <w:spacing w:val="-3"/>
          <w:w w:val="105"/>
          <w:sz w:val="21"/>
        </w:rPr>
        <w:t>languages </w:t>
      </w:r>
      <w:r>
        <w:rPr>
          <w:w w:val="105"/>
          <w:sz w:val="21"/>
        </w:rPr>
        <w:t>a package of </w:t>
      </w:r>
      <w:r>
        <w:rPr>
          <w:spacing w:val="-3"/>
          <w:w w:val="105"/>
          <w:sz w:val="21"/>
        </w:rPr>
        <w:t>information for </w:t>
      </w:r>
      <w:r>
        <w:rPr>
          <w:w w:val="105"/>
          <w:sz w:val="21"/>
        </w:rPr>
        <w:t>those </w:t>
      </w:r>
      <w:r>
        <w:rPr>
          <w:spacing w:val="-3"/>
          <w:w w:val="105"/>
          <w:sz w:val="21"/>
        </w:rPr>
        <w:t>wishing to </w:t>
      </w:r>
      <w:r>
        <w:rPr>
          <w:w w:val="105"/>
          <w:sz w:val="21"/>
        </w:rPr>
        <w:t>seek   a </w:t>
      </w:r>
      <w:r>
        <w:rPr>
          <w:spacing w:val="-3"/>
          <w:w w:val="105"/>
          <w:sz w:val="21"/>
        </w:rPr>
        <w:t>grant </w:t>
      </w:r>
      <w:r>
        <w:rPr>
          <w:w w:val="105"/>
          <w:sz w:val="21"/>
        </w:rPr>
        <w:t>of representation without </w:t>
      </w:r>
      <w:r>
        <w:rPr>
          <w:spacing w:val="-3"/>
          <w:w w:val="105"/>
          <w:sz w:val="21"/>
        </w:rPr>
        <w:t>professional</w:t>
      </w:r>
      <w:r>
        <w:rPr>
          <w:spacing w:val="25"/>
          <w:w w:val="105"/>
          <w:sz w:val="21"/>
        </w:rPr>
        <w:t> </w:t>
      </w:r>
      <w:r>
        <w:rPr>
          <w:spacing w:val="-3"/>
          <w:w w:val="105"/>
          <w:sz w:val="21"/>
        </w:rPr>
        <w:t>assistance.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pPr>
    </w:p>
    <w:p>
      <w:pPr>
        <w:spacing w:before="99"/>
        <w:ind w:left="720" w:right="0" w:firstLine="0"/>
        <w:jc w:val="left"/>
        <w:rPr>
          <w:b/>
          <w:sz w:val="24"/>
        </w:rPr>
      </w:pPr>
      <w:r>
        <w:rPr>
          <w:b/>
          <w:color w:val="EC5A4F"/>
          <w:w w:val="120"/>
          <w:sz w:val="24"/>
        </w:rPr>
        <w:t>xxxiv</w:t>
      </w:r>
    </w:p>
    <w:p>
      <w:pPr>
        <w:spacing w:after="0"/>
        <w:jc w:val="left"/>
        <w:rPr>
          <w:sz w:val="24"/>
        </w:rPr>
        <w:sectPr>
          <w:pgSz w:w="11910" w:h="16840"/>
          <w:pgMar w:header="1372" w:footer="0" w:top="1560" w:bottom="280" w:left="0" w:right="0"/>
        </w:sectPr>
      </w:pPr>
    </w:p>
    <w:p>
      <w:pPr>
        <w:pStyle w:val="BodyText"/>
        <w:spacing w:before="11"/>
        <w:rPr>
          <w:b/>
        </w:rPr>
      </w:pPr>
    </w:p>
    <w:p>
      <w:pPr>
        <w:spacing w:before="99"/>
        <w:ind w:left="1587" w:right="0" w:firstLine="0"/>
        <w:jc w:val="left"/>
        <w:rPr>
          <w:b/>
          <w:sz w:val="24"/>
        </w:rPr>
      </w:pPr>
      <w:r>
        <w:rPr>
          <w:b/>
          <w:w w:val="110"/>
          <w:sz w:val="24"/>
        </w:rPr>
        <w:t>Informal administration</w:t>
      </w:r>
    </w:p>
    <w:p>
      <w:pPr>
        <w:pStyle w:val="ListParagraph"/>
        <w:numPr>
          <w:ilvl w:val="0"/>
          <w:numId w:val="20"/>
        </w:numPr>
        <w:tabs>
          <w:tab w:pos="1928" w:val="left" w:leader="none"/>
        </w:tabs>
        <w:spacing w:line="242" w:lineRule="auto" w:before="137" w:after="0"/>
        <w:ind w:left="1927" w:right="2099" w:hanging="340"/>
        <w:jc w:val="left"/>
        <w:rPr>
          <w:sz w:val="21"/>
        </w:rPr>
      </w:pPr>
      <w:r>
        <w:rPr>
          <w:w w:val="105"/>
          <w:sz w:val="21"/>
        </w:rPr>
        <w:t>Section </w:t>
      </w:r>
      <w:r>
        <w:rPr>
          <w:spacing w:val="-3"/>
          <w:w w:val="105"/>
          <w:sz w:val="21"/>
        </w:rPr>
        <w:t>33(1) </w:t>
      </w:r>
      <w:r>
        <w:rPr>
          <w:w w:val="105"/>
          <w:sz w:val="21"/>
        </w:rPr>
        <w:t>of the </w:t>
      </w:r>
      <w:r>
        <w:rPr>
          <w:i/>
          <w:spacing w:val="-3"/>
          <w:w w:val="105"/>
          <w:sz w:val="21"/>
        </w:rPr>
        <w:t>Administration </w:t>
      </w:r>
      <w:r>
        <w:rPr>
          <w:i/>
          <w:w w:val="105"/>
          <w:sz w:val="21"/>
        </w:rPr>
        <w:t>and Probate Act </w:t>
      </w:r>
      <w:r>
        <w:rPr>
          <w:i/>
          <w:spacing w:val="-5"/>
          <w:w w:val="105"/>
          <w:sz w:val="21"/>
        </w:rPr>
        <w:t>195</w:t>
      </w:r>
      <w:r>
        <w:rPr>
          <w:spacing w:val="-5"/>
          <w:w w:val="105"/>
          <w:sz w:val="21"/>
        </w:rPr>
        <w:t>8 </w:t>
      </w:r>
      <w:r>
        <w:rPr>
          <w:w w:val="105"/>
          <w:sz w:val="21"/>
        </w:rPr>
        <w:t>(Vic) should be </w:t>
      </w:r>
      <w:r>
        <w:rPr>
          <w:spacing w:val="-2"/>
          <w:w w:val="105"/>
          <w:sz w:val="21"/>
        </w:rPr>
        <w:t>redrafted </w:t>
      </w:r>
      <w:r>
        <w:rPr>
          <w:w w:val="105"/>
          <w:sz w:val="21"/>
        </w:rPr>
        <w:t>in the </w:t>
      </w:r>
      <w:r>
        <w:rPr>
          <w:spacing w:val="-3"/>
          <w:w w:val="105"/>
          <w:sz w:val="21"/>
        </w:rPr>
        <w:t>simpler form </w:t>
      </w:r>
      <w:r>
        <w:rPr>
          <w:w w:val="105"/>
          <w:sz w:val="21"/>
        </w:rPr>
        <w:t>reflected in the </w:t>
      </w:r>
      <w:r>
        <w:rPr>
          <w:spacing w:val="-3"/>
          <w:w w:val="105"/>
          <w:sz w:val="21"/>
        </w:rPr>
        <w:t>National </w:t>
      </w:r>
      <w:r>
        <w:rPr>
          <w:spacing w:val="-4"/>
          <w:w w:val="105"/>
          <w:sz w:val="21"/>
        </w:rPr>
        <w:t>Committee’s </w:t>
      </w:r>
      <w:r>
        <w:rPr>
          <w:w w:val="105"/>
          <w:sz w:val="21"/>
        </w:rPr>
        <w:t>model </w:t>
      </w:r>
      <w:r>
        <w:rPr>
          <w:spacing w:val="-3"/>
          <w:w w:val="105"/>
          <w:sz w:val="21"/>
        </w:rPr>
        <w:t>provision dealing </w:t>
      </w:r>
      <w:r>
        <w:rPr>
          <w:w w:val="105"/>
          <w:sz w:val="21"/>
        </w:rPr>
        <w:t>with persons acting</w:t>
      </w:r>
      <w:r>
        <w:rPr>
          <w:spacing w:val="5"/>
          <w:w w:val="105"/>
          <w:sz w:val="21"/>
        </w:rPr>
        <w:t> </w:t>
      </w:r>
      <w:r>
        <w:rPr>
          <w:spacing w:val="-4"/>
          <w:w w:val="105"/>
          <w:sz w:val="21"/>
        </w:rPr>
        <w:t>informally.</w:t>
      </w:r>
    </w:p>
    <w:p>
      <w:pPr>
        <w:pStyle w:val="ListParagraph"/>
        <w:numPr>
          <w:ilvl w:val="0"/>
          <w:numId w:val="20"/>
        </w:numPr>
        <w:tabs>
          <w:tab w:pos="1928" w:val="left" w:leader="none"/>
        </w:tabs>
        <w:spacing w:line="242" w:lineRule="auto" w:before="123" w:after="0"/>
        <w:ind w:left="1927" w:right="1986" w:hanging="340"/>
        <w:jc w:val="left"/>
        <w:rPr>
          <w:sz w:val="21"/>
        </w:rPr>
      </w:pPr>
      <w:r>
        <w:rPr>
          <w:spacing w:val="-3"/>
          <w:w w:val="105"/>
          <w:sz w:val="21"/>
        </w:rPr>
        <w:t>Drawing </w:t>
      </w:r>
      <w:r>
        <w:rPr>
          <w:w w:val="105"/>
          <w:sz w:val="21"/>
        </w:rPr>
        <w:t>on model </w:t>
      </w:r>
      <w:r>
        <w:rPr>
          <w:spacing w:val="-3"/>
          <w:w w:val="105"/>
          <w:sz w:val="21"/>
        </w:rPr>
        <w:t>legislation </w:t>
      </w:r>
      <w:r>
        <w:rPr>
          <w:w w:val="105"/>
          <w:sz w:val="21"/>
        </w:rPr>
        <w:t>proposed by the </w:t>
      </w:r>
      <w:r>
        <w:rPr>
          <w:spacing w:val="-3"/>
          <w:w w:val="105"/>
          <w:sz w:val="21"/>
        </w:rPr>
        <w:t>National Committee for Uniform Succession </w:t>
      </w:r>
      <w:r>
        <w:rPr>
          <w:w w:val="105"/>
          <w:sz w:val="21"/>
        </w:rPr>
        <w:t>Laws, section </w:t>
      </w:r>
      <w:r>
        <w:rPr>
          <w:spacing w:val="-4"/>
          <w:w w:val="105"/>
          <w:sz w:val="21"/>
        </w:rPr>
        <w:t>32 </w:t>
      </w:r>
      <w:r>
        <w:rPr>
          <w:w w:val="105"/>
          <w:sz w:val="21"/>
        </w:rPr>
        <w:t>of the </w:t>
      </w:r>
      <w:r>
        <w:rPr>
          <w:i/>
          <w:spacing w:val="-3"/>
          <w:w w:val="105"/>
          <w:sz w:val="21"/>
        </w:rPr>
        <w:t>Administration </w:t>
      </w:r>
      <w:r>
        <w:rPr>
          <w:i/>
          <w:w w:val="105"/>
          <w:sz w:val="21"/>
        </w:rPr>
        <w:t>and Probate Act </w:t>
      </w:r>
      <w:r>
        <w:rPr>
          <w:i/>
          <w:spacing w:val="-6"/>
          <w:w w:val="105"/>
          <w:sz w:val="21"/>
        </w:rPr>
        <w:t>1958 </w:t>
      </w:r>
      <w:r>
        <w:rPr>
          <w:w w:val="105"/>
          <w:sz w:val="21"/>
        </w:rPr>
        <w:t>(Vic) should be amended</w:t>
      </w:r>
      <w:r>
        <w:rPr>
          <w:spacing w:val="3"/>
          <w:w w:val="105"/>
          <w:sz w:val="21"/>
        </w:rPr>
        <w:t> </w:t>
      </w:r>
      <w:r>
        <w:rPr>
          <w:w w:val="105"/>
          <w:sz w:val="21"/>
        </w:rPr>
        <w:t>to:</w:t>
      </w:r>
    </w:p>
    <w:p>
      <w:pPr>
        <w:pStyle w:val="ListParagraph"/>
        <w:numPr>
          <w:ilvl w:val="1"/>
          <w:numId w:val="20"/>
        </w:numPr>
        <w:tabs>
          <w:tab w:pos="3028" w:val="left" w:leader="none"/>
        </w:tabs>
        <w:spacing w:line="240" w:lineRule="auto" w:before="123" w:after="0"/>
        <w:ind w:left="3027" w:right="0" w:hanging="306"/>
        <w:jc w:val="left"/>
        <w:rPr>
          <w:sz w:val="21"/>
        </w:rPr>
      </w:pPr>
      <w:r>
        <w:rPr>
          <w:w w:val="105"/>
          <w:sz w:val="21"/>
        </w:rPr>
        <w:t>provide a </w:t>
      </w:r>
      <w:r>
        <w:rPr>
          <w:spacing w:val="-3"/>
          <w:w w:val="105"/>
          <w:sz w:val="21"/>
        </w:rPr>
        <w:t>discharge </w:t>
      </w:r>
      <w:r>
        <w:rPr>
          <w:w w:val="105"/>
          <w:sz w:val="21"/>
        </w:rPr>
        <w:t>of </w:t>
      </w:r>
      <w:r>
        <w:rPr>
          <w:spacing w:val="-3"/>
          <w:w w:val="105"/>
          <w:sz w:val="21"/>
        </w:rPr>
        <w:t>liability </w:t>
      </w:r>
      <w:r>
        <w:rPr>
          <w:w w:val="105"/>
          <w:sz w:val="21"/>
        </w:rPr>
        <w:t>in respect of payments of $25,000 or</w:t>
      </w:r>
      <w:r>
        <w:rPr>
          <w:spacing w:val="46"/>
          <w:w w:val="105"/>
          <w:sz w:val="21"/>
        </w:rPr>
        <w:t> </w:t>
      </w:r>
      <w:r>
        <w:rPr>
          <w:w w:val="105"/>
          <w:sz w:val="21"/>
        </w:rPr>
        <w:t>less</w:t>
      </w:r>
    </w:p>
    <w:p>
      <w:pPr>
        <w:pStyle w:val="ListParagraph"/>
        <w:numPr>
          <w:ilvl w:val="1"/>
          <w:numId w:val="20"/>
        </w:numPr>
        <w:tabs>
          <w:tab w:pos="3028" w:val="left" w:leader="none"/>
        </w:tabs>
        <w:spacing w:line="242" w:lineRule="auto" w:before="123" w:after="0"/>
        <w:ind w:left="3027" w:right="1763" w:hanging="306"/>
        <w:jc w:val="left"/>
        <w:rPr>
          <w:sz w:val="21"/>
        </w:rPr>
      </w:pPr>
      <w:r>
        <w:rPr>
          <w:sz w:val="21"/>
        </w:rPr>
        <w:t>provide </w:t>
      </w:r>
      <w:r>
        <w:rPr>
          <w:spacing w:val="-3"/>
          <w:sz w:val="21"/>
        </w:rPr>
        <w:t>that </w:t>
      </w:r>
      <w:r>
        <w:rPr>
          <w:sz w:val="21"/>
        </w:rPr>
        <w:t>the $25,000 </w:t>
      </w:r>
      <w:r>
        <w:rPr>
          <w:spacing w:val="-3"/>
          <w:sz w:val="21"/>
        </w:rPr>
        <w:t>limit will </w:t>
      </w:r>
      <w:r>
        <w:rPr>
          <w:sz w:val="21"/>
        </w:rPr>
        <w:t>be adjusted quarterly </w:t>
      </w:r>
      <w:r>
        <w:rPr>
          <w:spacing w:val="-3"/>
          <w:sz w:val="21"/>
        </w:rPr>
        <w:t>to  </w:t>
      </w:r>
      <w:r>
        <w:rPr>
          <w:sz w:val="21"/>
        </w:rPr>
        <w:t>reflect </w:t>
      </w:r>
      <w:r>
        <w:rPr>
          <w:spacing w:val="-3"/>
          <w:sz w:val="21"/>
        </w:rPr>
        <w:t>changes</w:t>
      </w:r>
      <w:r>
        <w:rPr>
          <w:spacing w:val="41"/>
          <w:sz w:val="21"/>
        </w:rPr>
        <w:t> </w:t>
      </w:r>
      <w:r>
        <w:rPr>
          <w:sz w:val="21"/>
        </w:rPr>
        <w:t>in the All </w:t>
      </w:r>
      <w:r>
        <w:rPr>
          <w:spacing w:val="-3"/>
          <w:sz w:val="21"/>
        </w:rPr>
        <w:t>Groups </w:t>
      </w:r>
      <w:r>
        <w:rPr>
          <w:spacing w:val="-4"/>
          <w:sz w:val="21"/>
        </w:rPr>
        <w:t>Consumer </w:t>
      </w:r>
      <w:r>
        <w:rPr>
          <w:sz w:val="21"/>
        </w:rPr>
        <w:t>Price Index</w:t>
      </w:r>
    </w:p>
    <w:p>
      <w:pPr>
        <w:pStyle w:val="ListParagraph"/>
        <w:numPr>
          <w:ilvl w:val="1"/>
          <w:numId w:val="20"/>
        </w:numPr>
        <w:tabs>
          <w:tab w:pos="3028" w:val="left" w:leader="none"/>
        </w:tabs>
        <w:spacing w:line="242" w:lineRule="auto" w:before="123" w:after="0"/>
        <w:ind w:left="3027" w:right="2739" w:hanging="306"/>
        <w:jc w:val="left"/>
        <w:rPr>
          <w:sz w:val="21"/>
        </w:rPr>
      </w:pPr>
      <w:r>
        <w:rPr>
          <w:w w:val="105"/>
          <w:sz w:val="21"/>
        </w:rPr>
        <w:t>provide</w:t>
      </w:r>
      <w:r>
        <w:rPr>
          <w:spacing w:val="-10"/>
          <w:w w:val="105"/>
          <w:sz w:val="21"/>
        </w:rPr>
        <w:t> </w:t>
      </w:r>
      <w:r>
        <w:rPr>
          <w:spacing w:val="-3"/>
          <w:w w:val="105"/>
          <w:sz w:val="21"/>
        </w:rPr>
        <w:t>that</w:t>
      </w:r>
      <w:r>
        <w:rPr>
          <w:spacing w:val="-10"/>
          <w:w w:val="105"/>
          <w:sz w:val="21"/>
        </w:rPr>
        <w:t> </w:t>
      </w:r>
      <w:r>
        <w:rPr>
          <w:w w:val="105"/>
          <w:sz w:val="21"/>
        </w:rPr>
        <w:t>payments</w:t>
      </w:r>
      <w:r>
        <w:rPr>
          <w:spacing w:val="-10"/>
          <w:w w:val="105"/>
          <w:sz w:val="21"/>
        </w:rPr>
        <w:t> </w:t>
      </w:r>
      <w:r>
        <w:rPr>
          <w:w w:val="105"/>
          <w:sz w:val="21"/>
        </w:rPr>
        <w:t>made</w:t>
      </w:r>
      <w:r>
        <w:rPr>
          <w:spacing w:val="-10"/>
          <w:w w:val="105"/>
          <w:sz w:val="21"/>
        </w:rPr>
        <w:t> </w:t>
      </w:r>
      <w:r>
        <w:rPr>
          <w:w w:val="105"/>
          <w:sz w:val="21"/>
        </w:rPr>
        <w:t>in</w:t>
      </w:r>
      <w:r>
        <w:rPr>
          <w:spacing w:val="-10"/>
          <w:w w:val="105"/>
          <w:sz w:val="21"/>
        </w:rPr>
        <w:t> </w:t>
      </w:r>
      <w:r>
        <w:rPr>
          <w:spacing w:val="-3"/>
          <w:w w:val="105"/>
          <w:sz w:val="21"/>
        </w:rPr>
        <w:t>accordance</w:t>
      </w:r>
      <w:r>
        <w:rPr>
          <w:spacing w:val="-10"/>
          <w:w w:val="105"/>
          <w:sz w:val="21"/>
        </w:rPr>
        <w:t> </w:t>
      </w:r>
      <w:r>
        <w:rPr>
          <w:w w:val="105"/>
          <w:sz w:val="21"/>
        </w:rPr>
        <w:t>with</w:t>
      </w:r>
      <w:r>
        <w:rPr>
          <w:spacing w:val="-10"/>
          <w:w w:val="105"/>
          <w:sz w:val="21"/>
        </w:rPr>
        <w:t> </w:t>
      </w:r>
      <w:r>
        <w:rPr>
          <w:w w:val="105"/>
          <w:sz w:val="21"/>
        </w:rPr>
        <w:t>the</w:t>
      </w:r>
      <w:r>
        <w:rPr>
          <w:spacing w:val="-10"/>
          <w:w w:val="105"/>
          <w:sz w:val="21"/>
        </w:rPr>
        <w:t> </w:t>
      </w:r>
      <w:r>
        <w:rPr>
          <w:w w:val="105"/>
          <w:sz w:val="21"/>
        </w:rPr>
        <w:t>section</w:t>
      </w:r>
      <w:r>
        <w:rPr>
          <w:spacing w:val="-10"/>
          <w:w w:val="105"/>
          <w:sz w:val="21"/>
        </w:rPr>
        <w:t> </w:t>
      </w:r>
      <w:r>
        <w:rPr>
          <w:spacing w:val="-3"/>
          <w:w w:val="105"/>
          <w:sz w:val="21"/>
        </w:rPr>
        <w:t>will</w:t>
      </w:r>
      <w:r>
        <w:rPr>
          <w:spacing w:val="-10"/>
          <w:w w:val="105"/>
          <w:sz w:val="21"/>
        </w:rPr>
        <w:t> </w:t>
      </w:r>
      <w:r>
        <w:rPr>
          <w:w w:val="105"/>
          <w:sz w:val="21"/>
        </w:rPr>
        <w:t>serve as a </w:t>
      </w:r>
      <w:r>
        <w:rPr>
          <w:spacing w:val="-3"/>
          <w:w w:val="105"/>
          <w:sz w:val="21"/>
        </w:rPr>
        <w:t>complete discharge </w:t>
      </w:r>
      <w:r>
        <w:rPr>
          <w:w w:val="105"/>
          <w:sz w:val="21"/>
        </w:rPr>
        <w:t>of</w:t>
      </w:r>
      <w:r>
        <w:rPr>
          <w:spacing w:val="30"/>
          <w:w w:val="105"/>
          <w:sz w:val="21"/>
        </w:rPr>
        <w:t> </w:t>
      </w:r>
      <w:r>
        <w:rPr>
          <w:spacing w:val="-3"/>
          <w:w w:val="105"/>
          <w:sz w:val="21"/>
        </w:rPr>
        <w:t>liability</w:t>
      </w:r>
    </w:p>
    <w:p>
      <w:pPr>
        <w:pStyle w:val="ListParagraph"/>
        <w:numPr>
          <w:ilvl w:val="1"/>
          <w:numId w:val="20"/>
        </w:numPr>
        <w:tabs>
          <w:tab w:pos="3028" w:val="left" w:leader="none"/>
        </w:tabs>
        <w:spacing w:line="242" w:lineRule="auto" w:before="122" w:after="0"/>
        <w:ind w:left="3027" w:right="2258" w:hanging="306"/>
        <w:jc w:val="left"/>
        <w:rPr>
          <w:sz w:val="21"/>
        </w:rPr>
      </w:pPr>
      <w:r>
        <w:rPr>
          <w:spacing w:val="-3"/>
          <w:sz w:val="21"/>
        </w:rPr>
        <w:t>remove </w:t>
      </w:r>
      <w:r>
        <w:rPr>
          <w:sz w:val="21"/>
        </w:rPr>
        <w:t>the </w:t>
      </w:r>
      <w:r>
        <w:rPr>
          <w:spacing w:val="-3"/>
          <w:sz w:val="21"/>
        </w:rPr>
        <w:t>requirement that </w:t>
      </w:r>
      <w:r>
        <w:rPr>
          <w:sz w:val="21"/>
        </w:rPr>
        <w:t>the party </w:t>
      </w:r>
      <w:r>
        <w:rPr>
          <w:spacing w:val="-3"/>
          <w:sz w:val="21"/>
        </w:rPr>
        <w:t>releasing </w:t>
      </w:r>
      <w:r>
        <w:rPr>
          <w:sz w:val="21"/>
        </w:rPr>
        <w:t>the assets be satisfied </w:t>
      </w:r>
      <w:r>
        <w:rPr>
          <w:spacing w:val="-3"/>
          <w:sz w:val="21"/>
        </w:rPr>
        <w:t>that </w:t>
      </w:r>
      <w:r>
        <w:rPr>
          <w:sz w:val="21"/>
        </w:rPr>
        <w:t>the</w:t>
      </w:r>
      <w:r>
        <w:rPr>
          <w:spacing w:val="9"/>
          <w:sz w:val="21"/>
        </w:rPr>
        <w:t> </w:t>
      </w:r>
      <w:r>
        <w:rPr>
          <w:spacing w:val="-3"/>
          <w:sz w:val="21"/>
        </w:rPr>
        <w:t>value</w:t>
      </w:r>
      <w:r>
        <w:rPr>
          <w:spacing w:val="9"/>
          <w:sz w:val="21"/>
        </w:rPr>
        <w:t> </w:t>
      </w:r>
      <w:r>
        <w:rPr>
          <w:sz w:val="21"/>
        </w:rPr>
        <w:t>of</w:t>
      </w:r>
      <w:r>
        <w:rPr>
          <w:spacing w:val="10"/>
          <w:sz w:val="21"/>
        </w:rPr>
        <w:t> </w:t>
      </w:r>
      <w:r>
        <w:rPr>
          <w:sz w:val="21"/>
        </w:rPr>
        <w:t>the</w:t>
      </w:r>
      <w:r>
        <w:rPr>
          <w:spacing w:val="9"/>
          <w:sz w:val="21"/>
        </w:rPr>
        <w:t> </w:t>
      </w:r>
      <w:r>
        <w:rPr>
          <w:sz w:val="21"/>
        </w:rPr>
        <w:t>estate</w:t>
      </w:r>
      <w:r>
        <w:rPr>
          <w:spacing w:val="10"/>
          <w:sz w:val="21"/>
        </w:rPr>
        <w:t> </w:t>
      </w:r>
      <w:r>
        <w:rPr>
          <w:sz w:val="21"/>
        </w:rPr>
        <w:t>does</w:t>
      </w:r>
      <w:r>
        <w:rPr>
          <w:spacing w:val="9"/>
          <w:sz w:val="21"/>
        </w:rPr>
        <w:t> </w:t>
      </w:r>
      <w:r>
        <w:rPr>
          <w:spacing w:val="-2"/>
          <w:sz w:val="21"/>
        </w:rPr>
        <w:t>not</w:t>
      </w:r>
      <w:r>
        <w:rPr>
          <w:spacing w:val="10"/>
          <w:sz w:val="21"/>
        </w:rPr>
        <w:t> </w:t>
      </w:r>
      <w:r>
        <w:rPr>
          <w:sz w:val="21"/>
        </w:rPr>
        <w:t>exceed</w:t>
      </w:r>
      <w:r>
        <w:rPr>
          <w:spacing w:val="9"/>
          <w:sz w:val="21"/>
        </w:rPr>
        <w:t> </w:t>
      </w:r>
      <w:r>
        <w:rPr>
          <w:sz w:val="21"/>
        </w:rPr>
        <w:t>a</w:t>
      </w:r>
      <w:r>
        <w:rPr>
          <w:spacing w:val="10"/>
          <w:sz w:val="21"/>
        </w:rPr>
        <w:t> </w:t>
      </w:r>
      <w:r>
        <w:rPr>
          <w:sz w:val="21"/>
        </w:rPr>
        <w:t>particular</w:t>
      </w:r>
      <w:r>
        <w:rPr>
          <w:spacing w:val="9"/>
          <w:sz w:val="21"/>
        </w:rPr>
        <w:t> </w:t>
      </w:r>
      <w:r>
        <w:rPr>
          <w:spacing w:val="-3"/>
          <w:sz w:val="21"/>
        </w:rPr>
        <w:t>limit.</w:t>
      </w:r>
    </w:p>
    <w:p>
      <w:pPr>
        <w:pStyle w:val="ListParagraph"/>
        <w:numPr>
          <w:ilvl w:val="0"/>
          <w:numId w:val="20"/>
        </w:numPr>
        <w:tabs>
          <w:tab w:pos="1928" w:val="left" w:leader="none"/>
        </w:tabs>
        <w:spacing w:line="242" w:lineRule="auto" w:before="122" w:after="0"/>
        <w:ind w:left="1927" w:right="1641" w:hanging="340"/>
        <w:jc w:val="left"/>
        <w:rPr>
          <w:sz w:val="21"/>
        </w:rPr>
      </w:pPr>
      <w:r>
        <w:rPr>
          <w:w w:val="105"/>
          <w:sz w:val="21"/>
        </w:rPr>
        <w:t>The </w:t>
      </w:r>
      <w:r>
        <w:rPr>
          <w:spacing w:val="-3"/>
          <w:w w:val="105"/>
          <w:sz w:val="21"/>
        </w:rPr>
        <w:t>Supreme Court </w:t>
      </w:r>
      <w:r>
        <w:rPr>
          <w:w w:val="105"/>
          <w:sz w:val="21"/>
        </w:rPr>
        <w:t>of Victoria should </w:t>
      </w:r>
      <w:r>
        <w:rPr>
          <w:spacing w:val="-3"/>
          <w:w w:val="105"/>
          <w:sz w:val="21"/>
        </w:rPr>
        <w:t>publish </w:t>
      </w:r>
      <w:r>
        <w:rPr>
          <w:w w:val="105"/>
          <w:sz w:val="21"/>
        </w:rPr>
        <w:t>on its </w:t>
      </w:r>
      <w:r>
        <w:rPr>
          <w:spacing w:val="-3"/>
          <w:w w:val="105"/>
          <w:sz w:val="21"/>
        </w:rPr>
        <w:t>website </w:t>
      </w:r>
      <w:r>
        <w:rPr>
          <w:w w:val="105"/>
          <w:sz w:val="21"/>
        </w:rPr>
        <w:t>the quarterly </w:t>
      </w:r>
      <w:r>
        <w:rPr>
          <w:spacing w:val="-4"/>
          <w:w w:val="105"/>
          <w:sz w:val="21"/>
        </w:rPr>
        <w:t>Consumer </w:t>
      </w:r>
      <w:r>
        <w:rPr>
          <w:w w:val="105"/>
          <w:sz w:val="21"/>
        </w:rPr>
        <w:t>Price Index</w:t>
      </w:r>
      <w:r>
        <w:rPr>
          <w:spacing w:val="-4"/>
          <w:w w:val="105"/>
          <w:sz w:val="21"/>
        </w:rPr>
        <w:t> </w:t>
      </w:r>
      <w:r>
        <w:rPr>
          <w:w w:val="105"/>
          <w:sz w:val="21"/>
        </w:rPr>
        <w:t>adjusted</w:t>
      </w:r>
      <w:r>
        <w:rPr>
          <w:spacing w:val="-4"/>
          <w:w w:val="105"/>
          <w:sz w:val="21"/>
        </w:rPr>
        <w:t> </w:t>
      </w:r>
      <w:r>
        <w:rPr>
          <w:spacing w:val="-3"/>
          <w:w w:val="105"/>
          <w:sz w:val="21"/>
        </w:rPr>
        <w:t>limit</w:t>
      </w:r>
      <w:r>
        <w:rPr>
          <w:spacing w:val="-4"/>
          <w:w w:val="105"/>
          <w:sz w:val="21"/>
        </w:rPr>
        <w:t> </w:t>
      </w:r>
      <w:r>
        <w:rPr>
          <w:spacing w:val="-3"/>
          <w:w w:val="105"/>
          <w:sz w:val="21"/>
        </w:rPr>
        <w:t>for</w:t>
      </w:r>
      <w:r>
        <w:rPr>
          <w:spacing w:val="-4"/>
          <w:w w:val="105"/>
          <w:sz w:val="21"/>
        </w:rPr>
        <w:t> </w:t>
      </w:r>
      <w:r>
        <w:rPr>
          <w:w w:val="105"/>
          <w:sz w:val="21"/>
        </w:rPr>
        <w:t>the</w:t>
      </w:r>
      <w:r>
        <w:rPr>
          <w:spacing w:val="-4"/>
          <w:w w:val="105"/>
          <w:sz w:val="21"/>
        </w:rPr>
        <w:t> </w:t>
      </w:r>
      <w:r>
        <w:rPr>
          <w:w w:val="105"/>
          <w:sz w:val="21"/>
        </w:rPr>
        <w:t>purposes</w:t>
      </w:r>
      <w:r>
        <w:rPr>
          <w:spacing w:val="-4"/>
          <w:w w:val="105"/>
          <w:sz w:val="21"/>
        </w:rPr>
        <w:t> </w:t>
      </w:r>
      <w:r>
        <w:rPr>
          <w:w w:val="105"/>
          <w:sz w:val="21"/>
        </w:rPr>
        <w:t>of</w:t>
      </w:r>
      <w:r>
        <w:rPr>
          <w:spacing w:val="-4"/>
          <w:w w:val="105"/>
          <w:sz w:val="21"/>
        </w:rPr>
        <w:t> </w:t>
      </w:r>
      <w:r>
        <w:rPr>
          <w:w w:val="105"/>
          <w:sz w:val="21"/>
        </w:rPr>
        <w:t>section</w:t>
      </w:r>
      <w:r>
        <w:rPr>
          <w:spacing w:val="-4"/>
          <w:w w:val="105"/>
          <w:sz w:val="21"/>
        </w:rPr>
        <w:t> 32 </w:t>
      </w:r>
      <w:r>
        <w:rPr>
          <w:w w:val="105"/>
          <w:sz w:val="21"/>
        </w:rPr>
        <w:t>of</w:t>
      </w:r>
      <w:r>
        <w:rPr>
          <w:spacing w:val="-4"/>
          <w:w w:val="105"/>
          <w:sz w:val="21"/>
        </w:rPr>
        <w:t> </w:t>
      </w:r>
      <w:r>
        <w:rPr>
          <w:w w:val="105"/>
          <w:sz w:val="21"/>
        </w:rPr>
        <w:t>the</w:t>
      </w:r>
      <w:r>
        <w:rPr>
          <w:spacing w:val="-4"/>
          <w:w w:val="105"/>
          <w:sz w:val="21"/>
        </w:rPr>
        <w:t> </w:t>
      </w:r>
      <w:r>
        <w:rPr>
          <w:i/>
          <w:spacing w:val="-3"/>
          <w:w w:val="105"/>
          <w:sz w:val="21"/>
        </w:rPr>
        <w:t>Administration</w:t>
      </w:r>
      <w:r>
        <w:rPr>
          <w:i/>
          <w:spacing w:val="-4"/>
          <w:w w:val="105"/>
          <w:sz w:val="21"/>
        </w:rPr>
        <w:t> </w:t>
      </w:r>
      <w:r>
        <w:rPr>
          <w:i/>
          <w:w w:val="105"/>
          <w:sz w:val="21"/>
        </w:rPr>
        <w:t>and</w:t>
      </w:r>
      <w:r>
        <w:rPr>
          <w:i/>
          <w:spacing w:val="-4"/>
          <w:w w:val="105"/>
          <w:sz w:val="21"/>
        </w:rPr>
        <w:t> </w:t>
      </w:r>
      <w:r>
        <w:rPr>
          <w:i/>
          <w:w w:val="105"/>
          <w:sz w:val="21"/>
        </w:rPr>
        <w:t>Probate</w:t>
      </w:r>
      <w:r>
        <w:rPr>
          <w:i/>
          <w:spacing w:val="-4"/>
          <w:w w:val="105"/>
          <w:sz w:val="21"/>
        </w:rPr>
        <w:t> </w:t>
      </w:r>
      <w:r>
        <w:rPr>
          <w:i/>
          <w:w w:val="105"/>
          <w:sz w:val="21"/>
        </w:rPr>
        <w:t>Act</w:t>
      </w:r>
      <w:r>
        <w:rPr>
          <w:i/>
          <w:spacing w:val="-4"/>
          <w:w w:val="105"/>
          <w:sz w:val="21"/>
        </w:rPr>
        <w:t> </w:t>
      </w:r>
      <w:r>
        <w:rPr>
          <w:i/>
          <w:spacing w:val="-6"/>
          <w:w w:val="105"/>
          <w:sz w:val="21"/>
        </w:rPr>
        <w:t>1958 </w:t>
      </w:r>
      <w:r>
        <w:rPr>
          <w:w w:val="105"/>
          <w:sz w:val="21"/>
        </w:rPr>
        <w:t>(Vic).</w:t>
      </w:r>
    </w:p>
    <w:p>
      <w:pPr>
        <w:pStyle w:val="BodyText"/>
        <w:spacing w:before="11"/>
        <w:rPr>
          <w:sz w:val="24"/>
        </w:rPr>
      </w:pPr>
    </w:p>
    <w:p>
      <w:pPr>
        <w:pStyle w:val="Heading5"/>
      </w:pPr>
      <w:r>
        <w:rPr>
          <w:w w:val="115"/>
        </w:rPr>
        <w:t>Removing costs barriers to formal administration</w:t>
      </w:r>
    </w:p>
    <w:p>
      <w:pPr>
        <w:pStyle w:val="ListParagraph"/>
        <w:numPr>
          <w:ilvl w:val="0"/>
          <w:numId w:val="20"/>
        </w:numPr>
        <w:tabs>
          <w:tab w:pos="1928" w:val="left" w:leader="none"/>
        </w:tabs>
        <w:spacing w:line="242" w:lineRule="auto" w:before="138" w:after="0"/>
        <w:ind w:left="1927" w:right="1719" w:hanging="340"/>
        <w:jc w:val="left"/>
        <w:rPr>
          <w:sz w:val="21"/>
        </w:rPr>
      </w:pPr>
      <w:r>
        <w:rPr>
          <w:sz w:val="21"/>
        </w:rPr>
        <w:t>The applicable fee </w:t>
      </w:r>
      <w:r>
        <w:rPr>
          <w:spacing w:val="-3"/>
          <w:sz w:val="21"/>
        </w:rPr>
        <w:t>for obtaining </w:t>
      </w:r>
      <w:r>
        <w:rPr>
          <w:sz w:val="21"/>
        </w:rPr>
        <w:t>a </w:t>
      </w:r>
      <w:r>
        <w:rPr>
          <w:spacing w:val="-3"/>
          <w:sz w:val="21"/>
        </w:rPr>
        <w:t>grant </w:t>
      </w:r>
      <w:r>
        <w:rPr>
          <w:sz w:val="21"/>
        </w:rPr>
        <w:t>of </w:t>
      </w:r>
      <w:r>
        <w:rPr>
          <w:spacing w:val="-3"/>
          <w:sz w:val="21"/>
        </w:rPr>
        <w:t>probate </w:t>
      </w:r>
      <w:r>
        <w:rPr>
          <w:sz w:val="21"/>
        </w:rPr>
        <w:t>or letters of </w:t>
      </w:r>
      <w:r>
        <w:rPr>
          <w:spacing w:val="-3"/>
          <w:sz w:val="21"/>
        </w:rPr>
        <w:t>administration </w:t>
      </w:r>
      <w:r>
        <w:rPr>
          <w:sz w:val="21"/>
        </w:rPr>
        <w:t>in the </w:t>
      </w:r>
      <w:r>
        <w:rPr>
          <w:spacing w:val="-3"/>
          <w:sz w:val="21"/>
        </w:rPr>
        <w:t>Supreme Court Probate </w:t>
      </w:r>
      <w:r>
        <w:rPr>
          <w:sz w:val="21"/>
        </w:rPr>
        <w:t>Office should be based on the </w:t>
      </w:r>
      <w:r>
        <w:rPr>
          <w:spacing w:val="-3"/>
          <w:sz w:val="21"/>
        </w:rPr>
        <w:t>estate’s </w:t>
      </w:r>
      <w:r>
        <w:rPr>
          <w:spacing w:val="-4"/>
          <w:sz w:val="21"/>
        </w:rPr>
        <w:t>value, </w:t>
      </w:r>
      <w:r>
        <w:rPr>
          <w:sz w:val="21"/>
        </w:rPr>
        <w:t>in a  </w:t>
      </w:r>
      <w:r>
        <w:rPr>
          <w:spacing w:val="-3"/>
          <w:sz w:val="21"/>
        </w:rPr>
        <w:t>sliding  scale,  </w:t>
      </w:r>
      <w:r>
        <w:rPr>
          <w:sz w:val="21"/>
        </w:rPr>
        <w:t>with  estates </w:t>
      </w:r>
      <w:r>
        <w:rPr>
          <w:spacing w:val="-3"/>
          <w:sz w:val="21"/>
        </w:rPr>
        <w:t>valued</w:t>
      </w:r>
      <w:r>
        <w:rPr>
          <w:spacing w:val="10"/>
          <w:sz w:val="21"/>
        </w:rPr>
        <w:t> </w:t>
      </w:r>
      <w:r>
        <w:rPr>
          <w:sz w:val="21"/>
        </w:rPr>
        <w:t>at</w:t>
      </w:r>
      <w:r>
        <w:rPr>
          <w:spacing w:val="10"/>
          <w:sz w:val="21"/>
        </w:rPr>
        <w:t> </w:t>
      </w:r>
      <w:r>
        <w:rPr>
          <w:sz w:val="21"/>
        </w:rPr>
        <w:t>no</w:t>
      </w:r>
      <w:r>
        <w:rPr>
          <w:spacing w:val="11"/>
          <w:sz w:val="21"/>
        </w:rPr>
        <w:t> </w:t>
      </w:r>
      <w:r>
        <w:rPr>
          <w:sz w:val="21"/>
        </w:rPr>
        <w:t>more</w:t>
      </w:r>
      <w:r>
        <w:rPr>
          <w:spacing w:val="10"/>
          <w:sz w:val="21"/>
        </w:rPr>
        <w:t> </w:t>
      </w:r>
      <w:r>
        <w:rPr>
          <w:spacing w:val="-3"/>
          <w:sz w:val="21"/>
        </w:rPr>
        <w:t>than</w:t>
      </w:r>
      <w:r>
        <w:rPr>
          <w:spacing w:val="10"/>
          <w:sz w:val="21"/>
        </w:rPr>
        <w:t> </w:t>
      </w:r>
      <w:r>
        <w:rPr>
          <w:spacing w:val="-3"/>
          <w:sz w:val="21"/>
        </w:rPr>
        <w:t>$100,000</w:t>
      </w:r>
      <w:r>
        <w:rPr>
          <w:spacing w:val="11"/>
          <w:sz w:val="21"/>
        </w:rPr>
        <w:t> </w:t>
      </w:r>
      <w:r>
        <w:rPr>
          <w:sz w:val="21"/>
        </w:rPr>
        <w:t>attracting</w:t>
      </w:r>
      <w:r>
        <w:rPr>
          <w:spacing w:val="10"/>
          <w:sz w:val="21"/>
        </w:rPr>
        <w:t> </w:t>
      </w:r>
      <w:r>
        <w:rPr>
          <w:sz w:val="21"/>
        </w:rPr>
        <w:t>a</w:t>
      </w:r>
      <w:r>
        <w:rPr>
          <w:spacing w:val="10"/>
          <w:sz w:val="21"/>
        </w:rPr>
        <w:t> </w:t>
      </w:r>
      <w:r>
        <w:rPr>
          <w:spacing w:val="-3"/>
          <w:sz w:val="21"/>
        </w:rPr>
        <w:t>nil</w:t>
      </w:r>
      <w:r>
        <w:rPr>
          <w:spacing w:val="11"/>
          <w:sz w:val="21"/>
        </w:rPr>
        <w:t> </w:t>
      </w:r>
      <w:r>
        <w:rPr>
          <w:spacing w:val="-3"/>
          <w:sz w:val="21"/>
        </w:rPr>
        <w:t>fee.</w:t>
      </w:r>
    </w:p>
    <w:p>
      <w:pPr>
        <w:pStyle w:val="BodyText"/>
        <w:spacing w:before="11"/>
        <w:rPr>
          <w:sz w:val="24"/>
        </w:rPr>
      </w:pPr>
    </w:p>
    <w:p>
      <w:pPr>
        <w:pStyle w:val="Heading5"/>
        <w:spacing w:before="1"/>
      </w:pPr>
      <w:r>
        <w:rPr>
          <w:w w:val="115"/>
        </w:rPr>
        <w:t>Expedited grants</w:t>
      </w:r>
    </w:p>
    <w:p>
      <w:pPr>
        <w:pStyle w:val="ListParagraph"/>
        <w:numPr>
          <w:ilvl w:val="0"/>
          <w:numId w:val="20"/>
        </w:numPr>
        <w:tabs>
          <w:tab w:pos="1928" w:val="left" w:leader="none"/>
        </w:tabs>
        <w:spacing w:line="240" w:lineRule="auto" w:before="137" w:after="0"/>
        <w:ind w:left="1927" w:right="0" w:hanging="340"/>
        <w:jc w:val="left"/>
        <w:rPr>
          <w:sz w:val="21"/>
        </w:rPr>
      </w:pPr>
      <w:r>
        <w:rPr>
          <w:w w:val="105"/>
          <w:sz w:val="21"/>
        </w:rPr>
        <w:t>Section </w:t>
      </w:r>
      <w:r>
        <w:rPr>
          <w:spacing w:val="-13"/>
          <w:w w:val="105"/>
          <w:sz w:val="21"/>
        </w:rPr>
        <w:t>11A </w:t>
      </w:r>
      <w:r>
        <w:rPr>
          <w:w w:val="105"/>
          <w:sz w:val="21"/>
        </w:rPr>
        <w:t>of the </w:t>
      </w:r>
      <w:r>
        <w:rPr>
          <w:i/>
          <w:spacing w:val="-4"/>
          <w:w w:val="105"/>
          <w:sz w:val="21"/>
        </w:rPr>
        <w:t>Trustee </w:t>
      </w:r>
      <w:r>
        <w:rPr>
          <w:i/>
          <w:spacing w:val="-3"/>
          <w:w w:val="105"/>
          <w:sz w:val="21"/>
        </w:rPr>
        <w:t>Companies </w:t>
      </w:r>
      <w:r>
        <w:rPr>
          <w:i/>
          <w:w w:val="105"/>
          <w:sz w:val="21"/>
        </w:rPr>
        <w:t>Act </w:t>
      </w:r>
      <w:r>
        <w:rPr>
          <w:i/>
          <w:spacing w:val="-4"/>
          <w:w w:val="105"/>
          <w:sz w:val="21"/>
        </w:rPr>
        <w:t>1984 </w:t>
      </w:r>
      <w:r>
        <w:rPr>
          <w:w w:val="105"/>
          <w:sz w:val="21"/>
        </w:rPr>
        <w:t>(Vic) should be</w:t>
      </w:r>
      <w:r>
        <w:rPr>
          <w:spacing w:val="45"/>
          <w:w w:val="105"/>
          <w:sz w:val="21"/>
        </w:rPr>
        <w:t> </w:t>
      </w:r>
      <w:r>
        <w:rPr>
          <w:spacing w:val="-2"/>
          <w:w w:val="105"/>
          <w:sz w:val="21"/>
        </w:rPr>
        <w:t>repealed.</w:t>
      </w:r>
    </w:p>
    <w:p>
      <w:pPr>
        <w:pStyle w:val="ListParagraph"/>
        <w:numPr>
          <w:ilvl w:val="0"/>
          <w:numId w:val="20"/>
        </w:numPr>
        <w:tabs>
          <w:tab w:pos="1928" w:val="left" w:leader="none"/>
        </w:tabs>
        <w:spacing w:line="242" w:lineRule="auto" w:before="124" w:after="0"/>
        <w:ind w:left="1927" w:right="1923" w:hanging="340"/>
        <w:jc w:val="left"/>
        <w:rPr>
          <w:sz w:val="21"/>
        </w:rPr>
      </w:pPr>
      <w:r>
        <w:rPr>
          <w:w w:val="105"/>
          <w:sz w:val="21"/>
        </w:rPr>
        <w:t>Section </w:t>
      </w:r>
      <w:r>
        <w:rPr>
          <w:spacing w:val="-3"/>
          <w:w w:val="105"/>
          <w:sz w:val="21"/>
        </w:rPr>
        <w:t>79 </w:t>
      </w:r>
      <w:r>
        <w:rPr>
          <w:w w:val="105"/>
          <w:sz w:val="21"/>
        </w:rPr>
        <w:t>of the </w:t>
      </w:r>
      <w:r>
        <w:rPr>
          <w:i/>
          <w:spacing w:val="-3"/>
          <w:w w:val="105"/>
          <w:sz w:val="21"/>
        </w:rPr>
        <w:t>Administration </w:t>
      </w:r>
      <w:r>
        <w:rPr>
          <w:i/>
          <w:w w:val="105"/>
          <w:sz w:val="21"/>
        </w:rPr>
        <w:t>and Probate Act </w:t>
      </w:r>
      <w:r>
        <w:rPr>
          <w:i/>
          <w:spacing w:val="-6"/>
          <w:w w:val="105"/>
          <w:sz w:val="21"/>
        </w:rPr>
        <w:t>1958 </w:t>
      </w:r>
      <w:r>
        <w:rPr>
          <w:w w:val="105"/>
          <w:sz w:val="21"/>
        </w:rPr>
        <w:t>(Vic) should be amended </w:t>
      </w:r>
      <w:r>
        <w:rPr>
          <w:spacing w:val="-3"/>
          <w:w w:val="105"/>
          <w:sz w:val="21"/>
        </w:rPr>
        <w:t>to </w:t>
      </w:r>
      <w:r>
        <w:rPr>
          <w:w w:val="105"/>
          <w:sz w:val="21"/>
        </w:rPr>
        <w:t>provide </w:t>
      </w:r>
      <w:r>
        <w:rPr>
          <w:spacing w:val="-3"/>
          <w:w w:val="105"/>
          <w:sz w:val="21"/>
        </w:rPr>
        <w:t>that, </w:t>
      </w:r>
      <w:r>
        <w:rPr>
          <w:w w:val="105"/>
          <w:sz w:val="21"/>
        </w:rPr>
        <w:t>if in the course of </w:t>
      </w:r>
      <w:r>
        <w:rPr>
          <w:spacing w:val="-3"/>
          <w:w w:val="105"/>
          <w:sz w:val="21"/>
        </w:rPr>
        <w:t>administering </w:t>
      </w:r>
      <w:r>
        <w:rPr>
          <w:w w:val="105"/>
          <w:sz w:val="21"/>
        </w:rPr>
        <w:t>a </w:t>
      </w:r>
      <w:r>
        <w:rPr>
          <w:spacing w:val="-3"/>
          <w:w w:val="105"/>
          <w:sz w:val="21"/>
        </w:rPr>
        <w:t>small </w:t>
      </w:r>
      <w:r>
        <w:rPr>
          <w:w w:val="105"/>
          <w:sz w:val="21"/>
        </w:rPr>
        <w:t>estate under </w:t>
      </w:r>
      <w:r>
        <w:rPr>
          <w:spacing w:val="-3"/>
          <w:w w:val="105"/>
          <w:sz w:val="21"/>
        </w:rPr>
        <w:t>that </w:t>
      </w:r>
      <w:r>
        <w:rPr>
          <w:w w:val="105"/>
          <w:sz w:val="21"/>
        </w:rPr>
        <w:t>section, </w:t>
      </w:r>
      <w:r>
        <w:rPr>
          <w:spacing w:val="-3"/>
          <w:w w:val="105"/>
          <w:sz w:val="21"/>
        </w:rPr>
        <w:t>State </w:t>
      </w:r>
      <w:r>
        <w:rPr>
          <w:spacing w:val="-4"/>
          <w:w w:val="105"/>
          <w:sz w:val="21"/>
        </w:rPr>
        <w:t>Trustees </w:t>
      </w:r>
      <w:r>
        <w:rPr>
          <w:w w:val="105"/>
          <w:sz w:val="21"/>
        </w:rPr>
        <w:t>ascertains</w:t>
      </w:r>
      <w:r>
        <w:rPr>
          <w:spacing w:val="-8"/>
          <w:w w:val="105"/>
          <w:sz w:val="21"/>
        </w:rPr>
        <w:t> </w:t>
      </w:r>
      <w:r>
        <w:rPr>
          <w:spacing w:val="-3"/>
          <w:w w:val="105"/>
          <w:sz w:val="21"/>
        </w:rPr>
        <w:t>that</w:t>
      </w:r>
      <w:r>
        <w:rPr>
          <w:spacing w:val="-7"/>
          <w:w w:val="105"/>
          <w:sz w:val="21"/>
        </w:rPr>
        <w:t> </w:t>
      </w:r>
      <w:r>
        <w:rPr>
          <w:w w:val="105"/>
          <w:sz w:val="21"/>
        </w:rPr>
        <w:t>the</w:t>
      </w:r>
      <w:r>
        <w:rPr>
          <w:spacing w:val="-7"/>
          <w:w w:val="105"/>
          <w:sz w:val="21"/>
        </w:rPr>
        <w:t> </w:t>
      </w:r>
      <w:r>
        <w:rPr>
          <w:spacing w:val="-3"/>
          <w:w w:val="105"/>
          <w:sz w:val="21"/>
        </w:rPr>
        <w:t>value</w:t>
      </w:r>
      <w:r>
        <w:rPr>
          <w:spacing w:val="-7"/>
          <w:w w:val="105"/>
          <w:sz w:val="21"/>
        </w:rPr>
        <w:t> </w:t>
      </w:r>
      <w:r>
        <w:rPr>
          <w:w w:val="105"/>
          <w:sz w:val="21"/>
        </w:rPr>
        <w:t>of</w:t>
      </w:r>
      <w:r>
        <w:rPr>
          <w:spacing w:val="-7"/>
          <w:w w:val="105"/>
          <w:sz w:val="21"/>
        </w:rPr>
        <w:t> </w:t>
      </w:r>
      <w:r>
        <w:rPr>
          <w:w w:val="105"/>
          <w:sz w:val="21"/>
        </w:rPr>
        <w:t>the</w:t>
      </w:r>
      <w:r>
        <w:rPr>
          <w:spacing w:val="-7"/>
          <w:w w:val="105"/>
          <w:sz w:val="21"/>
        </w:rPr>
        <w:t> </w:t>
      </w:r>
      <w:r>
        <w:rPr>
          <w:w w:val="105"/>
          <w:sz w:val="21"/>
        </w:rPr>
        <w:t>estate</w:t>
      </w:r>
      <w:r>
        <w:rPr>
          <w:spacing w:val="-7"/>
          <w:w w:val="105"/>
          <w:sz w:val="21"/>
        </w:rPr>
        <w:t> </w:t>
      </w:r>
      <w:r>
        <w:rPr>
          <w:w w:val="105"/>
          <w:sz w:val="21"/>
        </w:rPr>
        <w:t>exceeds</w:t>
      </w:r>
      <w:r>
        <w:rPr>
          <w:spacing w:val="-7"/>
          <w:w w:val="105"/>
          <w:sz w:val="21"/>
        </w:rPr>
        <w:t> </w:t>
      </w:r>
      <w:r>
        <w:rPr>
          <w:spacing w:val="-8"/>
          <w:w w:val="105"/>
          <w:sz w:val="21"/>
        </w:rPr>
        <w:t>120</w:t>
      </w:r>
      <w:r>
        <w:rPr>
          <w:spacing w:val="-7"/>
          <w:w w:val="105"/>
          <w:sz w:val="21"/>
        </w:rPr>
        <w:t> </w:t>
      </w:r>
      <w:r>
        <w:rPr>
          <w:w w:val="105"/>
          <w:sz w:val="21"/>
        </w:rPr>
        <w:t>per</w:t>
      </w:r>
      <w:r>
        <w:rPr>
          <w:spacing w:val="-7"/>
          <w:w w:val="105"/>
          <w:sz w:val="21"/>
        </w:rPr>
        <w:t> </w:t>
      </w:r>
      <w:r>
        <w:rPr>
          <w:spacing w:val="-3"/>
          <w:w w:val="105"/>
          <w:sz w:val="21"/>
        </w:rPr>
        <w:t>cent</w:t>
      </w:r>
      <w:r>
        <w:rPr>
          <w:spacing w:val="-8"/>
          <w:w w:val="105"/>
          <w:sz w:val="21"/>
        </w:rPr>
        <w:t> </w:t>
      </w:r>
      <w:r>
        <w:rPr>
          <w:w w:val="105"/>
          <w:sz w:val="21"/>
        </w:rPr>
        <w:t>of</w:t>
      </w:r>
      <w:r>
        <w:rPr>
          <w:spacing w:val="-7"/>
          <w:w w:val="105"/>
          <w:sz w:val="21"/>
        </w:rPr>
        <w:t> </w:t>
      </w:r>
      <w:r>
        <w:rPr>
          <w:w w:val="105"/>
          <w:sz w:val="21"/>
        </w:rPr>
        <w:t>the</w:t>
      </w:r>
      <w:r>
        <w:rPr>
          <w:spacing w:val="-7"/>
          <w:w w:val="105"/>
          <w:sz w:val="21"/>
        </w:rPr>
        <w:t> </w:t>
      </w:r>
      <w:r>
        <w:rPr>
          <w:w w:val="105"/>
          <w:sz w:val="21"/>
        </w:rPr>
        <w:t>adjusted</w:t>
      </w:r>
      <w:r>
        <w:rPr>
          <w:spacing w:val="-7"/>
          <w:w w:val="105"/>
          <w:sz w:val="21"/>
        </w:rPr>
        <w:t> </w:t>
      </w:r>
      <w:r>
        <w:rPr>
          <w:w w:val="105"/>
          <w:sz w:val="21"/>
        </w:rPr>
        <w:t>upper</w:t>
      </w:r>
      <w:r>
        <w:rPr>
          <w:spacing w:val="-7"/>
          <w:w w:val="105"/>
          <w:sz w:val="21"/>
        </w:rPr>
        <w:t> </w:t>
      </w:r>
      <w:r>
        <w:rPr>
          <w:spacing w:val="-3"/>
          <w:w w:val="105"/>
          <w:sz w:val="21"/>
        </w:rPr>
        <w:t>value</w:t>
      </w:r>
      <w:r>
        <w:rPr>
          <w:spacing w:val="-7"/>
          <w:w w:val="105"/>
          <w:sz w:val="21"/>
        </w:rPr>
        <w:t> </w:t>
      </w:r>
      <w:r>
        <w:rPr>
          <w:spacing w:val="-3"/>
          <w:w w:val="105"/>
          <w:sz w:val="21"/>
        </w:rPr>
        <w:t>for small </w:t>
      </w:r>
      <w:r>
        <w:rPr>
          <w:w w:val="105"/>
          <w:sz w:val="21"/>
        </w:rPr>
        <w:t>estates as set out in section </w:t>
      </w:r>
      <w:r>
        <w:rPr>
          <w:spacing w:val="-5"/>
          <w:w w:val="105"/>
          <w:sz w:val="21"/>
        </w:rPr>
        <w:t>71(1), </w:t>
      </w:r>
      <w:r>
        <w:rPr>
          <w:w w:val="105"/>
          <w:sz w:val="21"/>
        </w:rPr>
        <w:t>it must as soon as practicable apply in the same </w:t>
      </w:r>
      <w:r>
        <w:rPr>
          <w:spacing w:val="-3"/>
          <w:w w:val="105"/>
          <w:sz w:val="21"/>
        </w:rPr>
        <w:t>manner </w:t>
      </w:r>
      <w:r>
        <w:rPr>
          <w:w w:val="105"/>
          <w:sz w:val="21"/>
        </w:rPr>
        <w:t>as </w:t>
      </w:r>
      <w:r>
        <w:rPr>
          <w:spacing w:val="-3"/>
          <w:w w:val="105"/>
          <w:sz w:val="21"/>
        </w:rPr>
        <w:t>any </w:t>
      </w:r>
      <w:r>
        <w:rPr>
          <w:w w:val="105"/>
          <w:sz w:val="21"/>
        </w:rPr>
        <w:t>other person </w:t>
      </w:r>
      <w:r>
        <w:rPr>
          <w:spacing w:val="-3"/>
          <w:w w:val="105"/>
          <w:sz w:val="21"/>
        </w:rPr>
        <w:t>for </w:t>
      </w:r>
      <w:r>
        <w:rPr>
          <w:w w:val="105"/>
          <w:sz w:val="21"/>
        </w:rPr>
        <w:t>a </w:t>
      </w:r>
      <w:r>
        <w:rPr>
          <w:spacing w:val="-3"/>
          <w:w w:val="105"/>
          <w:sz w:val="21"/>
        </w:rPr>
        <w:t>grant </w:t>
      </w:r>
      <w:r>
        <w:rPr>
          <w:w w:val="105"/>
          <w:sz w:val="21"/>
        </w:rPr>
        <w:t>of </w:t>
      </w:r>
      <w:r>
        <w:rPr>
          <w:spacing w:val="-3"/>
          <w:w w:val="105"/>
          <w:sz w:val="21"/>
        </w:rPr>
        <w:t>representation.</w:t>
      </w:r>
    </w:p>
    <w:p>
      <w:pPr>
        <w:pStyle w:val="ListParagraph"/>
        <w:numPr>
          <w:ilvl w:val="0"/>
          <w:numId w:val="20"/>
        </w:numPr>
        <w:tabs>
          <w:tab w:pos="1928" w:val="left" w:leader="none"/>
        </w:tabs>
        <w:spacing w:line="242" w:lineRule="auto" w:before="125" w:after="0"/>
        <w:ind w:left="1927" w:right="1720" w:hanging="340"/>
        <w:jc w:val="left"/>
        <w:rPr>
          <w:sz w:val="21"/>
        </w:rPr>
      </w:pPr>
      <w:r>
        <w:rPr>
          <w:w w:val="105"/>
          <w:sz w:val="21"/>
        </w:rPr>
        <w:t>Section 79(2) of the </w:t>
      </w:r>
      <w:r>
        <w:rPr>
          <w:i/>
          <w:spacing w:val="-3"/>
          <w:w w:val="105"/>
          <w:sz w:val="21"/>
        </w:rPr>
        <w:t>Administration </w:t>
      </w:r>
      <w:r>
        <w:rPr>
          <w:i/>
          <w:w w:val="105"/>
          <w:sz w:val="21"/>
        </w:rPr>
        <w:t>and Probate Act </w:t>
      </w:r>
      <w:r>
        <w:rPr>
          <w:i/>
          <w:spacing w:val="-6"/>
          <w:w w:val="105"/>
          <w:sz w:val="21"/>
        </w:rPr>
        <w:t>1958 </w:t>
      </w:r>
      <w:r>
        <w:rPr>
          <w:w w:val="105"/>
          <w:sz w:val="21"/>
        </w:rPr>
        <w:t>(Vic) should be amended </w:t>
      </w:r>
      <w:r>
        <w:rPr>
          <w:spacing w:val="-3"/>
          <w:w w:val="105"/>
          <w:sz w:val="21"/>
        </w:rPr>
        <w:t>to require that notices </w:t>
      </w:r>
      <w:r>
        <w:rPr>
          <w:w w:val="105"/>
          <w:sz w:val="21"/>
        </w:rPr>
        <w:t>of </w:t>
      </w:r>
      <w:r>
        <w:rPr>
          <w:spacing w:val="-3"/>
          <w:w w:val="105"/>
          <w:sz w:val="21"/>
        </w:rPr>
        <w:t>intention to administer </w:t>
      </w:r>
      <w:r>
        <w:rPr>
          <w:w w:val="105"/>
          <w:sz w:val="21"/>
        </w:rPr>
        <w:t>an estate under this section should be advertised on the </w:t>
      </w:r>
      <w:r>
        <w:rPr>
          <w:spacing w:val="-3"/>
          <w:w w:val="105"/>
          <w:sz w:val="21"/>
        </w:rPr>
        <w:t>Supreme Court’s website rather than </w:t>
      </w:r>
      <w:r>
        <w:rPr>
          <w:w w:val="105"/>
          <w:sz w:val="21"/>
        </w:rPr>
        <w:t>in a </w:t>
      </w:r>
      <w:r>
        <w:rPr>
          <w:spacing w:val="-3"/>
          <w:w w:val="105"/>
          <w:sz w:val="21"/>
        </w:rPr>
        <w:t>daily</w:t>
      </w:r>
      <w:r>
        <w:rPr>
          <w:spacing w:val="10"/>
          <w:w w:val="105"/>
          <w:sz w:val="21"/>
        </w:rPr>
        <w:t> </w:t>
      </w:r>
      <w:r>
        <w:rPr>
          <w:spacing w:val="-3"/>
          <w:w w:val="105"/>
          <w:sz w:val="21"/>
        </w:rPr>
        <w:t>newspaper.</w:t>
      </w:r>
    </w:p>
    <w:p>
      <w:pPr>
        <w:pStyle w:val="ListParagraph"/>
        <w:numPr>
          <w:ilvl w:val="0"/>
          <w:numId w:val="20"/>
        </w:numPr>
        <w:tabs>
          <w:tab w:pos="1928" w:val="left" w:leader="none"/>
        </w:tabs>
        <w:spacing w:line="242" w:lineRule="auto" w:before="123" w:after="0"/>
        <w:ind w:left="1927" w:right="1963" w:hanging="340"/>
        <w:jc w:val="left"/>
        <w:rPr>
          <w:sz w:val="21"/>
        </w:rPr>
      </w:pPr>
      <w:r>
        <w:rPr>
          <w:w w:val="105"/>
          <w:sz w:val="21"/>
        </w:rPr>
        <w:t>Section </w:t>
      </w:r>
      <w:r>
        <w:rPr>
          <w:spacing w:val="-3"/>
          <w:w w:val="105"/>
          <w:sz w:val="21"/>
        </w:rPr>
        <w:t>79 </w:t>
      </w:r>
      <w:r>
        <w:rPr>
          <w:w w:val="105"/>
          <w:sz w:val="21"/>
        </w:rPr>
        <w:t>of the </w:t>
      </w:r>
      <w:r>
        <w:rPr>
          <w:i/>
          <w:spacing w:val="-3"/>
          <w:w w:val="105"/>
          <w:sz w:val="21"/>
        </w:rPr>
        <w:t>Administration </w:t>
      </w:r>
      <w:r>
        <w:rPr>
          <w:i/>
          <w:w w:val="105"/>
          <w:sz w:val="21"/>
        </w:rPr>
        <w:t>and Probate Act </w:t>
      </w:r>
      <w:r>
        <w:rPr>
          <w:i/>
          <w:spacing w:val="-6"/>
          <w:w w:val="105"/>
          <w:sz w:val="21"/>
        </w:rPr>
        <w:t>1958 </w:t>
      </w:r>
      <w:r>
        <w:rPr>
          <w:w w:val="105"/>
          <w:sz w:val="21"/>
        </w:rPr>
        <w:t>(Vic) should be amended </w:t>
      </w:r>
      <w:r>
        <w:rPr>
          <w:spacing w:val="-3"/>
          <w:w w:val="105"/>
          <w:sz w:val="21"/>
        </w:rPr>
        <w:t>to require that </w:t>
      </w:r>
      <w:r>
        <w:rPr>
          <w:w w:val="105"/>
          <w:sz w:val="21"/>
        </w:rPr>
        <w:t>the </w:t>
      </w:r>
      <w:r>
        <w:rPr>
          <w:spacing w:val="-3"/>
          <w:w w:val="105"/>
          <w:sz w:val="21"/>
        </w:rPr>
        <w:t>will </w:t>
      </w:r>
      <w:r>
        <w:rPr>
          <w:w w:val="105"/>
          <w:sz w:val="21"/>
        </w:rPr>
        <w:t>be filed with the </w:t>
      </w:r>
      <w:r>
        <w:rPr>
          <w:spacing w:val="-3"/>
          <w:w w:val="105"/>
          <w:sz w:val="21"/>
        </w:rPr>
        <w:t>Supreme Court Probate</w:t>
      </w:r>
      <w:r>
        <w:rPr>
          <w:spacing w:val="9"/>
          <w:w w:val="105"/>
          <w:sz w:val="21"/>
        </w:rPr>
        <w:t> </w:t>
      </w:r>
      <w:r>
        <w:rPr>
          <w:w w:val="105"/>
          <w:sz w:val="21"/>
        </w:rPr>
        <w:t>Office.</w:t>
      </w:r>
    </w:p>
    <w:p>
      <w:pPr>
        <w:pStyle w:val="BodyText"/>
        <w:spacing w:before="11"/>
        <w:rPr>
          <w:sz w:val="24"/>
        </w:rPr>
      </w:pPr>
    </w:p>
    <w:p>
      <w:pPr>
        <w:pStyle w:val="Heading5"/>
      </w:pPr>
      <w:r>
        <w:rPr>
          <w:w w:val="110"/>
        </w:rPr>
        <w:t>Other amendments to Part II of the Administration and Probate Act</w:t>
      </w:r>
    </w:p>
    <w:p>
      <w:pPr>
        <w:pStyle w:val="ListParagraph"/>
        <w:numPr>
          <w:ilvl w:val="0"/>
          <w:numId w:val="20"/>
        </w:numPr>
        <w:tabs>
          <w:tab w:pos="1928" w:val="left" w:leader="none"/>
        </w:tabs>
        <w:spacing w:line="242" w:lineRule="auto" w:before="137" w:after="0"/>
        <w:ind w:left="1927" w:right="1969" w:hanging="340"/>
        <w:jc w:val="left"/>
        <w:rPr>
          <w:sz w:val="21"/>
        </w:rPr>
      </w:pPr>
      <w:r>
        <w:rPr>
          <w:w w:val="105"/>
          <w:sz w:val="21"/>
        </w:rPr>
        <w:t>The</w:t>
      </w:r>
      <w:r>
        <w:rPr>
          <w:spacing w:val="-6"/>
          <w:w w:val="105"/>
          <w:sz w:val="21"/>
        </w:rPr>
        <w:t> </w:t>
      </w:r>
      <w:r>
        <w:rPr>
          <w:spacing w:val="-3"/>
          <w:w w:val="105"/>
          <w:sz w:val="21"/>
        </w:rPr>
        <w:t>following</w:t>
      </w:r>
      <w:r>
        <w:rPr>
          <w:spacing w:val="-5"/>
          <w:w w:val="105"/>
          <w:sz w:val="21"/>
        </w:rPr>
        <w:t> </w:t>
      </w:r>
      <w:r>
        <w:rPr>
          <w:w w:val="105"/>
          <w:sz w:val="21"/>
        </w:rPr>
        <w:t>corrections</w:t>
      </w:r>
      <w:r>
        <w:rPr>
          <w:spacing w:val="-5"/>
          <w:w w:val="105"/>
          <w:sz w:val="21"/>
        </w:rPr>
        <w:t> </w:t>
      </w:r>
      <w:r>
        <w:rPr>
          <w:w w:val="105"/>
          <w:sz w:val="21"/>
        </w:rPr>
        <w:t>of</w:t>
      </w:r>
      <w:r>
        <w:rPr>
          <w:spacing w:val="-5"/>
          <w:w w:val="105"/>
          <w:sz w:val="21"/>
        </w:rPr>
        <w:t> </w:t>
      </w:r>
      <w:r>
        <w:rPr>
          <w:w w:val="105"/>
          <w:sz w:val="21"/>
        </w:rPr>
        <w:t>errors</w:t>
      </w:r>
      <w:r>
        <w:rPr>
          <w:spacing w:val="-5"/>
          <w:w w:val="105"/>
          <w:sz w:val="21"/>
        </w:rPr>
        <w:t> </w:t>
      </w:r>
      <w:r>
        <w:rPr>
          <w:w w:val="105"/>
          <w:sz w:val="21"/>
        </w:rPr>
        <w:t>in</w:t>
      </w:r>
      <w:r>
        <w:rPr>
          <w:spacing w:val="-5"/>
          <w:w w:val="105"/>
          <w:sz w:val="21"/>
        </w:rPr>
        <w:t> </w:t>
      </w:r>
      <w:r>
        <w:rPr>
          <w:w w:val="105"/>
          <w:sz w:val="21"/>
        </w:rPr>
        <w:t>the</w:t>
      </w:r>
      <w:r>
        <w:rPr>
          <w:spacing w:val="-5"/>
          <w:w w:val="105"/>
          <w:sz w:val="21"/>
        </w:rPr>
        <w:t> </w:t>
      </w:r>
      <w:r>
        <w:rPr>
          <w:i/>
          <w:spacing w:val="-3"/>
          <w:w w:val="105"/>
          <w:sz w:val="21"/>
        </w:rPr>
        <w:t>Administration</w:t>
      </w:r>
      <w:r>
        <w:rPr>
          <w:i/>
          <w:spacing w:val="-5"/>
          <w:w w:val="105"/>
          <w:sz w:val="21"/>
        </w:rPr>
        <w:t> </w:t>
      </w:r>
      <w:r>
        <w:rPr>
          <w:i/>
          <w:w w:val="105"/>
          <w:sz w:val="21"/>
        </w:rPr>
        <w:t>and</w:t>
      </w:r>
      <w:r>
        <w:rPr>
          <w:i/>
          <w:spacing w:val="-5"/>
          <w:w w:val="105"/>
          <w:sz w:val="21"/>
        </w:rPr>
        <w:t> </w:t>
      </w:r>
      <w:r>
        <w:rPr>
          <w:i/>
          <w:w w:val="105"/>
          <w:sz w:val="21"/>
        </w:rPr>
        <w:t>Probate</w:t>
      </w:r>
      <w:r>
        <w:rPr>
          <w:i/>
          <w:spacing w:val="-5"/>
          <w:w w:val="105"/>
          <w:sz w:val="21"/>
        </w:rPr>
        <w:t> </w:t>
      </w:r>
      <w:r>
        <w:rPr>
          <w:i/>
          <w:w w:val="105"/>
          <w:sz w:val="21"/>
        </w:rPr>
        <w:t>Act</w:t>
      </w:r>
      <w:r>
        <w:rPr>
          <w:i/>
          <w:spacing w:val="-5"/>
          <w:w w:val="105"/>
          <w:sz w:val="21"/>
        </w:rPr>
        <w:t> </w:t>
      </w:r>
      <w:r>
        <w:rPr>
          <w:i/>
          <w:spacing w:val="-6"/>
          <w:w w:val="105"/>
          <w:sz w:val="21"/>
        </w:rPr>
        <w:t>1958</w:t>
      </w:r>
      <w:r>
        <w:rPr>
          <w:i/>
          <w:spacing w:val="-5"/>
          <w:w w:val="105"/>
          <w:sz w:val="21"/>
        </w:rPr>
        <w:t> </w:t>
      </w:r>
      <w:r>
        <w:rPr>
          <w:w w:val="105"/>
          <w:sz w:val="21"/>
        </w:rPr>
        <w:t>(Vic)</w:t>
      </w:r>
      <w:r>
        <w:rPr>
          <w:spacing w:val="-5"/>
          <w:w w:val="105"/>
          <w:sz w:val="21"/>
        </w:rPr>
        <w:t> </w:t>
      </w:r>
      <w:r>
        <w:rPr>
          <w:w w:val="105"/>
          <w:sz w:val="21"/>
        </w:rPr>
        <w:t>should be</w:t>
      </w:r>
      <w:r>
        <w:rPr>
          <w:spacing w:val="5"/>
          <w:w w:val="105"/>
          <w:sz w:val="21"/>
        </w:rPr>
        <w:t> </w:t>
      </w:r>
      <w:r>
        <w:rPr>
          <w:w w:val="105"/>
          <w:sz w:val="21"/>
        </w:rPr>
        <w:t>made:</w:t>
      </w:r>
    </w:p>
    <w:p>
      <w:pPr>
        <w:pStyle w:val="ListParagraph"/>
        <w:numPr>
          <w:ilvl w:val="1"/>
          <w:numId w:val="20"/>
        </w:numPr>
        <w:tabs>
          <w:tab w:pos="3028" w:val="left" w:leader="none"/>
        </w:tabs>
        <w:spacing w:line="242" w:lineRule="auto" w:before="123" w:after="0"/>
        <w:ind w:left="3027" w:right="2290" w:hanging="306"/>
        <w:jc w:val="left"/>
        <w:rPr>
          <w:sz w:val="21"/>
        </w:rPr>
      </w:pPr>
      <w:r>
        <w:rPr>
          <w:w w:val="105"/>
          <w:sz w:val="21"/>
        </w:rPr>
        <w:t>Section </w:t>
      </w:r>
      <w:r>
        <w:rPr>
          <w:spacing w:val="-3"/>
          <w:w w:val="105"/>
          <w:sz w:val="21"/>
        </w:rPr>
        <w:t>71(2): ‘registrar </w:t>
      </w:r>
      <w:r>
        <w:rPr>
          <w:w w:val="105"/>
          <w:sz w:val="21"/>
        </w:rPr>
        <w:t>of the </w:t>
      </w:r>
      <w:r>
        <w:rPr>
          <w:spacing w:val="-3"/>
          <w:w w:val="105"/>
          <w:sz w:val="21"/>
        </w:rPr>
        <w:t>Supreme </w:t>
      </w:r>
      <w:r>
        <w:rPr>
          <w:w w:val="105"/>
          <w:sz w:val="21"/>
        </w:rPr>
        <w:t>Court’ should </w:t>
      </w:r>
      <w:r>
        <w:rPr>
          <w:spacing w:val="-3"/>
          <w:w w:val="105"/>
          <w:sz w:val="21"/>
        </w:rPr>
        <w:t>read ‘registrar </w:t>
      </w:r>
      <w:r>
        <w:rPr>
          <w:w w:val="105"/>
          <w:sz w:val="21"/>
        </w:rPr>
        <w:t>of the </w:t>
      </w:r>
      <w:r>
        <w:rPr>
          <w:spacing w:val="-3"/>
          <w:w w:val="105"/>
          <w:sz w:val="21"/>
        </w:rPr>
        <w:t>Magistrates’</w:t>
      </w:r>
      <w:r>
        <w:rPr>
          <w:spacing w:val="5"/>
          <w:w w:val="105"/>
          <w:sz w:val="21"/>
        </w:rPr>
        <w:t> </w:t>
      </w:r>
      <w:r>
        <w:rPr>
          <w:spacing w:val="-4"/>
          <w:w w:val="105"/>
          <w:sz w:val="21"/>
        </w:rPr>
        <w:t>Court’.</w:t>
      </w:r>
    </w:p>
    <w:p>
      <w:pPr>
        <w:pStyle w:val="ListParagraph"/>
        <w:numPr>
          <w:ilvl w:val="1"/>
          <w:numId w:val="20"/>
        </w:numPr>
        <w:tabs>
          <w:tab w:pos="3028" w:val="left" w:leader="none"/>
        </w:tabs>
        <w:spacing w:line="242" w:lineRule="auto" w:before="122" w:after="0"/>
        <w:ind w:left="3027" w:right="2077" w:hanging="306"/>
        <w:jc w:val="left"/>
        <w:rPr>
          <w:sz w:val="21"/>
        </w:rPr>
      </w:pPr>
      <w:r>
        <w:rPr>
          <w:w w:val="105"/>
          <w:sz w:val="21"/>
        </w:rPr>
        <w:t>Section </w:t>
      </w:r>
      <w:r>
        <w:rPr>
          <w:spacing w:val="-3"/>
          <w:w w:val="105"/>
          <w:sz w:val="21"/>
        </w:rPr>
        <w:t>72: </w:t>
      </w:r>
      <w:r>
        <w:rPr>
          <w:w w:val="105"/>
          <w:sz w:val="21"/>
        </w:rPr>
        <w:t>the </w:t>
      </w:r>
      <w:r>
        <w:rPr>
          <w:spacing w:val="-3"/>
          <w:w w:val="105"/>
          <w:sz w:val="21"/>
        </w:rPr>
        <w:t>reference </w:t>
      </w:r>
      <w:r>
        <w:rPr>
          <w:w w:val="105"/>
          <w:sz w:val="21"/>
        </w:rPr>
        <w:t>in the </w:t>
      </w:r>
      <w:r>
        <w:rPr>
          <w:spacing w:val="-3"/>
          <w:w w:val="105"/>
          <w:sz w:val="21"/>
        </w:rPr>
        <w:t>heading to </w:t>
      </w:r>
      <w:r>
        <w:rPr>
          <w:w w:val="105"/>
          <w:sz w:val="21"/>
        </w:rPr>
        <w:t>the </w:t>
      </w:r>
      <w:r>
        <w:rPr>
          <w:spacing w:val="-3"/>
          <w:w w:val="105"/>
          <w:sz w:val="21"/>
        </w:rPr>
        <w:t>County Court registrar </w:t>
      </w:r>
      <w:r>
        <w:rPr>
          <w:w w:val="105"/>
          <w:sz w:val="21"/>
        </w:rPr>
        <w:t>should be</w:t>
      </w:r>
      <w:r>
        <w:rPr>
          <w:spacing w:val="5"/>
          <w:w w:val="105"/>
          <w:sz w:val="21"/>
        </w:rPr>
        <w:t> </w:t>
      </w:r>
      <w:r>
        <w:rPr>
          <w:spacing w:val="-3"/>
          <w:w w:val="105"/>
          <w:sz w:val="21"/>
        </w:rPr>
        <w:t>removed.</w:t>
      </w:r>
    </w:p>
    <w:p>
      <w:pPr>
        <w:pStyle w:val="BodyText"/>
        <w:rPr>
          <w:sz w:val="20"/>
        </w:rPr>
      </w:pPr>
    </w:p>
    <w:p>
      <w:pPr>
        <w:pStyle w:val="BodyText"/>
        <w:rPr>
          <w:sz w:val="20"/>
        </w:rPr>
      </w:pPr>
    </w:p>
    <w:p>
      <w:pPr>
        <w:pStyle w:val="BodyText"/>
        <w:rPr>
          <w:sz w:val="20"/>
        </w:rPr>
      </w:pPr>
    </w:p>
    <w:p>
      <w:pPr>
        <w:pStyle w:val="BodyText"/>
        <w:spacing w:before="9"/>
        <w:rPr>
          <w:sz w:val="18"/>
        </w:rPr>
      </w:pPr>
    </w:p>
    <w:p>
      <w:pPr>
        <w:spacing w:before="99"/>
        <w:ind w:left="0" w:right="516" w:firstLine="0"/>
        <w:jc w:val="right"/>
        <w:rPr>
          <w:b/>
          <w:sz w:val="24"/>
        </w:rPr>
      </w:pPr>
      <w:r>
        <w:rPr>
          <w:b/>
          <w:color w:val="EC5A4F"/>
          <w:w w:val="120"/>
          <w:sz w:val="24"/>
        </w:rPr>
        <w:t>xxxv</w:t>
      </w:r>
    </w:p>
    <w:p>
      <w:pPr>
        <w:spacing w:after="0"/>
        <w:jc w:val="right"/>
        <w:rPr>
          <w:sz w:val="24"/>
        </w:rPr>
        <w:sectPr>
          <w:pgSz w:w="11910" w:h="16840"/>
          <w:pgMar w:header="550" w:footer="0" w:top="1560" w:bottom="280" w:left="0" w:right="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18"/>
        </w:rPr>
      </w:pPr>
    </w:p>
    <w:p>
      <w:pPr>
        <w:spacing w:before="99"/>
        <w:ind w:left="720" w:right="0" w:firstLine="0"/>
        <w:jc w:val="left"/>
        <w:rPr>
          <w:b/>
          <w:sz w:val="24"/>
        </w:rPr>
      </w:pPr>
      <w:r>
        <w:rPr>
          <w:b/>
          <w:color w:val="EC5A4F"/>
          <w:w w:val="120"/>
          <w:sz w:val="24"/>
        </w:rPr>
        <w:t>xxxvi</w:t>
      </w:r>
    </w:p>
    <w:p>
      <w:pPr>
        <w:spacing w:after="0"/>
        <w:jc w:val="left"/>
        <w:rPr>
          <w:sz w:val="24"/>
        </w:rPr>
        <w:sectPr>
          <w:pgSz w:w="11910" w:h="16840"/>
          <w:pgMar w:header="1372" w:footer="0" w:top="1560" w:bottom="280" w:left="0" w:right="0"/>
        </w:sectPr>
      </w:pPr>
    </w:p>
    <w:p>
      <w:pPr>
        <w:tabs>
          <w:tab w:pos="1417" w:val="left" w:leader="none"/>
        </w:tabs>
        <w:spacing w:before="85"/>
        <w:ind w:left="0" w:right="0" w:firstLine="0"/>
        <w:jc w:val="right"/>
        <w:rPr>
          <w:b/>
          <w:sz w:val="48"/>
        </w:rPr>
      </w:pPr>
      <w:r>
        <w:rPr/>
        <w:pict>
          <v:rect style="position:absolute;margin-left:0pt;margin-top:0pt;width:595.276001pt;height:841.890015pt;mso-position-horizontal-relative:page;mso-position-vertical-relative:page;z-index:-307000" filled="true" fillcolor="#fdefed" stroked="false">
            <v:fill type="solid"/>
            <w10:wrap type="none"/>
          </v:rect>
        </w:pict>
      </w:r>
      <w:r>
        <w:rPr>
          <w:b/>
          <w:color w:val="FFFFFF"/>
          <w:w w:val="122"/>
          <w:sz w:val="48"/>
          <w:shd w:fill="EC5A4F" w:color="auto" w:val="clear"/>
        </w:rPr>
        <w:t> </w:t>
      </w:r>
      <w:r>
        <w:rPr>
          <w:b/>
          <w:color w:val="FFFFFF"/>
          <w:spacing w:val="41"/>
          <w:sz w:val="48"/>
          <w:shd w:fill="EC5A4F" w:color="auto" w:val="clear"/>
        </w:rPr>
        <w:t> </w:t>
      </w:r>
      <w:r>
        <w:rPr>
          <w:b/>
          <w:color w:val="FFFFFF"/>
          <w:w w:val="105"/>
          <w:sz w:val="48"/>
          <w:shd w:fill="EC5A4F" w:color="auto" w:val="clear"/>
        </w:rPr>
        <w:t>1</w:t>
      </w:r>
      <w:r>
        <w:rPr>
          <w:b/>
          <w:color w:val="FFFFFF"/>
          <w:sz w:val="48"/>
          <w:shd w:fill="EC5A4F" w:color="auto" w:val="clear"/>
        </w:rPr>
        <w:tab/>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1"/>
        <w:rPr>
          <w:b/>
          <w:sz w:val="19"/>
        </w:rPr>
      </w:pPr>
    </w:p>
    <w:p>
      <w:pPr>
        <w:tabs>
          <w:tab w:pos="1417" w:val="left" w:leader="none"/>
          <w:tab w:pos="7183" w:val="left" w:leader="none"/>
        </w:tabs>
        <w:spacing w:before="95"/>
        <w:ind w:left="0" w:right="0" w:firstLine="0"/>
        <w:jc w:val="left"/>
        <w:rPr>
          <w:b/>
          <w:sz w:val="96"/>
        </w:rPr>
      </w:pPr>
      <w:r>
        <w:rPr>
          <w:b/>
          <w:color w:val="EC5A4F"/>
          <w:w w:val="122"/>
          <w:sz w:val="96"/>
          <w:shd w:fill="FFFFFF" w:color="auto" w:val="clear"/>
        </w:rPr>
        <w:t> </w:t>
      </w:r>
      <w:r>
        <w:rPr>
          <w:b/>
          <w:color w:val="EC5A4F"/>
          <w:sz w:val="96"/>
          <w:shd w:fill="FFFFFF" w:color="auto" w:val="clear"/>
        </w:rPr>
        <w:tab/>
      </w:r>
      <w:r>
        <w:rPr>
          <w:b/>
          <w:color w:val="EC5A4F"/>
          <w:spacing w:val="-11"/>
          <w:w w:val="110"/>
          <w:sz w:val="96"/>
          <w:shd w:fill="FFFFFF" w:color="auto" w:val="clear"/>
        </w:rPr>
        <w:t>Introduction</w:t>
      </w:r>
      <w:r>
        <w:rPr>
          <w:b/>
          <w:color w:val="EC5A4F"/>
          <w:spacing w:val="-11"/>
          <w:sz w:val="96"/>
          <w:shd w:fill="FFFFFF" w:color="auto" w:val="clear"/>
        </w:rPr>
        <w:tab/>
      </w:r>
    </w:p>
    <w:p>
      <w:pPr>
        <w:pStyle w:val="BodyText"/>
        <w:rPr>
          <w:b/>
          <w:sz w:val="20"/>
        </w:rPr>
      </w:pPr>
    </w:p>
    <w:p>
      <w:pPr>
        <w:pStyle w:val="BodyText"/>
        <w:rPr>
          <w:b/>
          <w:sz w:val="20"/>
        </w:rPr>
      </w:pPr>
    </w:p>
    <w:p>
      <w:pPr>
        <w:pStyle w:val="BodyText"/>
        <w:spacing w:before="1"/>
        <w:rPr>
          <w:b/>
          <w:sz w:val="24"/>
        </w:rPr>
      </w:pPr>
    </w:p>
    <w:p>
      <w:pPr>
        <w:pStyle w:val="ListParagraph"/>
        <w:numPr>
          <w:ilvl w:val="0"/>
          <w:numId w:val="21"/>
        </w:numPr>
        <w:tabs>
          <w:tab w:pos="1984" w:val="left" w:leader="none"/>
          <w:tab w:pos="1985" w:val="left" w:leader="none"/>
        </w:tabs>
        <w:spacing w:line="240" w:lineRule="auto" w:before="99" w:after="0"/>
        <w:ind w:left="1984" w:right="0" w:hanging="567"/>
        <w:jc w:val="left"/>
        <w:rPr>
          <w:b/>
          <w:sz w:val="24"/>
        </w:rPr>
      </w:pPr>
      <w:r>
        <w:rPr/>
        <w:pict>
          <v:line style="position:absolute;mso-position-horizontal-relative:page;mso-position-vertical-relative:paragraph;z-index:-688;mso-wrap-distance-left:0;mso-wrap-distance-right:0" from="70.866096pt,23.04508pt" to="96.378096pt,23.04508pt" stroked="true" strokeweight="2pt" strokecolor="#ffffff">
            <v:stroke dashstyle="solid"/>
            <w10:wrap type="topAndBottom"/>
          </v:line>
        </w:pict>
      </w:r>
      <w:r>
        <w:rPr>
          <w:b/>
          <w:spacing w:val="-4"/>
          <w:w w:val="115"/>
          <w:sz w:val="24"/>
        </w:rPr>
        <w:t>Terms </w:t>
      </w:r>
      <w:r>
        <w:rPr>
          <w:b/>
          <w:w w:val="115"/>
          <w:sz w:val="24"/>
        </w:rPr>
        <w:t>of</w:t>
      </w:r>
      <w:r>
        <w:rPr>
          <w:b/>
          <w:spacing w:val="10"/>
          <w:w w:val="115"/>
          <w:sz w:val="24"/>
        </w:rPr>
        <w:t> </w:t>
      </w:r>
      <w:r>
        <w:rPr>
          <w:b/>
          <w:w w:val="115"/>
          <w:sz w:val="24"/>
        </w:rPr>
        <w:t>reference</w:t>
      </w:r>
    </w:p>
    <w:p>
      <w:pPr>
        <w:pStyle w:val="ListParagraph"/>
        <w:numPr>
          <w:ilvl w:val="0"/>
          <w:numId w:val="21"/>
        </w:numPr>
        <w:tabs>
          <w:tab w:pos="1984" w:val="left" w:leader="none"/>
          <w:tab w:pos="1985" w:val="left" w:leader="none"/>
        </w:tabs>
        <w:spacing w:line="240" w:lineRule="auto" w:before="62" w:after="49"/>
        <w:ind w:left="1984" w:right="0" w:hanging="567"/>
        <w:jc w:val="left"/>
        <w:rPr>
          <w:b/>
          <w:sz w:val="24"/>
        </w:rPr>
      </w:pPr>
      <w:r>
        <w:rPr>
          <w:b/>
          <w:w w:val="110"/>
          <w:sz w:val="24"/>
        </w:rPr>
        <w:t>The Commission’s</w:t>
      </w:r>
      <w:r>
        <w:rPr>
          <w:b/>
          <w:spacing w:val="13"/>
          <w:w w:val="110"/>
          <w:sz w:val="24"/>
        </w:rPr>
        <w:t> </w:t>
      </w:r>
      <w:r>
        <w:rPr>
          <w:b/>
          <w:w w:val="110"/>
          <w:sz w:val="24"/>
        </w:rPr>
        <w:t>process</w:t>
      </w:r>
    </w:p>
    <w:p>
      <w:pPr>
        <w:pStyle w:val="BodyText"/>
        <w:spacing w:line="40" w:lineRule="exact"/>
        <w:ind w:left="1397"/>
        <w:rPr>
          <w:sz w:val="4"/>
        </w:rPr>
      </w:pPr>
      <w:r>
        <w:rPr>
          <w:position w:val="0"/>
          <w:sz w:val="4"/>
        </w:rPr>
        <w:pict>
          <v:group style="width:25.55pt;height:2pt;mso-position-horizontal-relative:char;mso-position-vertical-relative:line" coordorigin="0,0" coordsize="511,40">
            <v:line style="position:absolute" from="0,20" to="510,20" stroked="true" strokeweight="2pt" strokecolor="#ffffff">
              <v:stroke dashstyle="solid"/>
            </v:line>
          </v:group>
        </w:pict>
      </w:r>
      <w:r>
        <w:rPr>
          <w:position w:val="0"/>
          <w:sz w:val="4"/>
        </w:rPr>
      </w:r>
    </w:p>
    <w:p>
      <w:pPr>
        <w:pStyle w:val="ListParagraph"/>
        <w:numPr>
          <w:ilvl w:val="0"/>
          <w:numId w:val="21"/>
        </w:numPr>
        <w:tabs>
          <w:tab w:pos="1984" w:val="left" w:leader="none"/>
          <w:tab w:pos="1985" w:val="left" w:leader="none"/>
        </w:tabs>
        <w:spacing w:line="240" w:lineRule="auto" w:before="91" w:after="0"/>
        <w:ind w:left="1984" w:right="0" w:hanging="567"/>
        <w:jc w:val="left"/>
        <w:rPr>
          <w:b/>
          <w:sz w:val="24"/>
        </w:rPr>
      </w:pPr>
      <w:r>
        <w:rPr/>
        <w:pict>
          <v:line style="position:absolute;mso-position-horizontal-relative:page;mso-position-vertical-relative:paragraph;z-index:-640;mso-wrap-distance-left:0;mso-wrap-distance-right:0" from="70.866096pt,22.655577pt" to="96.378096pt,22.655577pt" stroked="true" strokeweight="2pt" strokecolor="#ffffff">
            <v:stroke dashstyle="solid"/>
            <w10:wrap type="topAndBottom"/>
          </v:line>
        </w:pict>
      </w:r>
      <w:r>
        <w:rPr>
          <w:b/>
          <w:w w:val="110"/>
          <w:sz w:val="24"/>
        </w:rPr>
        <w:t>The Commission’s approach to the</w:t>
      </w:r>
      <w:r>
        <w:rPr>
          <w:b/>
          <w:spacing w:val="36"/>
          <w:w w:val="110"/>
          <w:sz w:val="24"/>
        </w:rPr>
        <w:t> </w:t>
      </w:r>
      <w:r>
        <w:rPr>
          <w:b/>
          <w:w w:val="110"/>
          <w:sz w:val="24"/>
        </w:rPr>
        <w:t>issues</w:t>
      </w:r>
    </w:p>
    <w:p>
      <w:pPr>
        <w:tabs>
          <w:tab w:pos="1984" w:val="left" w:leader="none"/>
        </w:tabs>
        <w:spacing w:before="62" w:after="49"/>
        <w:ind w:left="1417" w:right="0" w:firstLine="0"/>
        <w:jc w:val="left"/>
        <w:rPr>
          <w:b/>
          <w:sz w:val="24"/>
        </w:rPr>
      </w:pPr>
      <w:r>
        <w:rPr>
          <w:b/>
          <w:w w:val="110"/>
          <w:sz w:val="24"/>
        </w:rPr>
        <w:t>4</w:t>
        <w:tab/>
        <w:t>Structure of this</w:t>
      </w:r>
      <w:r>
        <w:rPr>
          <w:b/>
          <w:spacing w:val="20"/>
          <w:w w:val="110"/>
          <w:sz w:val="24"/>
        </w:rPr>
        <w:t> </w:t>
      </w:r>
      <w:r>
        <w:rPr>
          <w:b/>
          <w:w w:val="110"/>
          <w:sz w:val="24"/>
        </w:rPr>
        <w:t>report</w:t>
      </w:r>
    </w:p>
    <w:p>
      <w:pPr>
        <w:pStyle w:val="BodyText"/>
        <w:spacing w:line="40" w:lineRule="exact"/>
        <w:ind w:left="1397"/>
        <w:rPr>
          <w:sz w:val="4"/>
        </w:rPr>
      </w:pPr>
      <w:r>
        <w:rPr>
          <w:position w:val="0"/>
          <w:sz w:val="4"/>
        </w:rPr>
        <w:pict>
          <v:group style="width:25.55pt;height:2pt;mso-position-horizontal-relative:char;mso-position-vertical-relative:line" coordorigin="0,0" coordsize="511,40">
            <v:line style="position:absolute" from="0,20" to="510,20" stroked="true" strokeweight="2pt" strokecolor="#ffffff">
              <v:stroke dashstyle="solid"/>
            </v:line>
          </v:group>
        </w:pict>
      </w:r>
      <w:r>
        <w:rPr>
          <w:position w:val="0"/>
          <w:sz w:val="4"/>
        </w:rPr>
      </w:r>
    </w:p>
    <w:p>
      <w:pPr>
        <w:spacing w:after="0" w:line="40" w:lineRule="exact"/>
        <w:rPr>
          <w:sz w:val="4"/>
        </w:rPr>
        <w:sectPr>
          <w:headerReference w:type="default" r:id="rId17"/>
          <w:headerReference w:type="even" r:id="rId18"/>
          <w:pgSz w:w="11910" w:h="16840"/>
          <w:pgMar w:header="0" w:footer="0" w:top="700" w:bottom="280" w:left="0" w:right="0"/>
        </w:sectPr>
      </w:pPr>
    </w:p>
    <w:p>
      <w:pPr>
        <w:pStyle w:val="BodyText"/>
        <w:spacing w:before="1"/>
        <w:rPr>
          <w:b/>
        </w:rPr>
      </w:pPr>
    </w:p>
    <w:p>
      <w:pPr>
        <w:pStyle w:val="ListParagraph"/>
        <w:numPr>
          <w:ilvl w:val="0"/>
          <w:numId w:val="22"/>
        </w:numPr>
        <w:tabs>
          <w:tab w:pos="1042" w:val="left" w:leader="none"/>
        </w:tabs>
        <w:spacing w:line="240" w:lineRule="auto" w:before="98" w:after="0"/>
        <w:ind w:left="1041" w:right="0" w:hanging="475"/>
        <w:jc w:val="left"/>
        <w:rPr>
          <w:b/>
          <w:sz w:val="44"/>
        </w:rPr>
      </w:pPr>
      <w:bookmarkStart w:name="1. Introduction" w:id="7"/>
      <w:bookmarkEnd w:id="7"/>
      <w:r>
        <w:rPr/>
      </w:r>
      <w:bookmarkStart w:name="Terms of reference" w:id="8"/>
      <w:bookmarkEnd w:id="8"/>
      <w:r>
        <w:rPr/>
      </w:r>
      <w:bookmarkStart w:name="Terms of reference" w:id="9"/>
      <w:bookmarkEnd w:id="9"/>
      <w:r>
        <w:rPr>
          <w:b/>
          <w:color w:val="EC5A4F"/>
          <w:spacing w:val="-3"/>
          <w:w w:val="110"/>
          <w:sz w:val="44"/>
        </w:rPr>
        <w:t>I</w:t>
      </w:r>
      <w:r>
        <w:rPr>
          <w:b/>
          <w:color w:val="EC5A4F"/>
          <w:spacing w:val="-3"/>
          <w:w w:val="110"/>
          <w:sz w:val="44"/>
        </w:rPr>
        <w:t>ntroduction</w:t>
      </w:r>
    </w:p>
    <w:p>
      <w:pPr>
        <w:pStyle w:val="BodyText"/>
        <w:rPr>
          <w:b/>
          <w:sz w:val="52"/>
        </w:rPr>
      </w:pPr>
    </w:p>
    <w:p>
      <w:pPr>
        <w:pStyle w:val="BodyText"/>
        <w:rPr>
          <w:b/>
          <w:sz w:val="52"/>
        </w:rPr>
      </w:pPr>
    </w:p>
    <w:p>
      <w:pPr>
        <w:pStyle w:val="BodyText"/>
        <w:rPr>
          <w:b/>
          <w:sz w:val="52"/>
        </w:rPr>
      </w:pPr>
    </w:p>
    <w:p>
      <w:pPr>
        <w:pStyle w:val="BodyText"/>
        <w:rPr>
          <w:b/>
          <w:sz w:val="52"/>
        </w:rPr>
      </w:pPr>
    </w:p>
    <w:p>
      <w:pPr>
        <w:pStyle w:val="BodyText"/>
        <w:spacing w:before="6"/>
        <w:rPr>
          <w:b/>
          <w:sz w:val="45"/>
        </w:rPr>
      </w:pPr>
    </w:p>
    <w:p>
      <w:pPr>
        <w:spacing w:before="0"/>
        <w:ind w:left="1587" w:right="0" w:firstLine="0"/>
        <w:jc w:val="left"/>
        <w:rPr>
          <w:b/>
          <w:sz w:val="28"/>
        </w:rPr>
      </w:pPr>
      <w:r>
        <w:rPr>
          <w:b/>
          <w:color w:val="EC5A4F"/>
          <w:w w:val="115"/>
          <w:sz w:val="28"/>
        </w:rPr>
        <w:t>Terms of reference</w:t>
      </w:r>
    </w:p>
    <w:p>
      <w:pPr>
        <w:pStyle w:val="ListParagraph"/>
        <w:numPr>
          <w:ilvl w:val="1"/>
          <w:numId w:val="22"/>
        </w:numPr>
        <w:tabs>
          <w:tab w:pos="2381" w:val="left" w:leader="none"/>
          <w:tab w:pos="2382" w:val="left" w:leader="none"/>
        </w:tabs>
        <w:spacing w:line="242" w:lineRule="auto" w:before="155" w:after="0"/>
        <w:ind w:left="2381" w:right="1998" w:hanging="794"/>
        <w:jc w:val="left"/>
        <w:rPr>
          <w:sz w:val="21"/>
        </w:rPr>
      </w:pPr>
      <w:r>
        <w:rPr>
          <w:w w:val="105"/>
          <w:sz w:val="21"/>
        </w:rPr>
        <w:t>On 1 </w:t>
      </w:r>
      <w:r>
        <w:rPr>
          <w:spacing w:val="-3"/>
          <w:w w:val="105"/>
          <w:sz w:val="21"/>
        </w:rPr>
        <w:t>March </w:t>
      </w:r>
      <w:r>
        <w:rPr>
          <w:spacing w:val="-8"/>
          <w:w w:val="105"/>
          <w:sz w:val="21"/>
        </w:rPr>
        <w:t>2012, </w:t>
      </w:r>
      <w:r>
        <w:rPr>
          <w:w w:val="105"/>
          <w:sz w:val="21"/>
        </w:rPr>
        <w:t>the Attorney-General </w:t>
      </w:r>
      <w:r>
        <w:rPr>
          <w:spacing w:val="-3"/>
          <w:w w:val="105"/>
          <w:sz w:val="21"/>
        </w:rPr>
        <w:t>asked </w:t>
      </w:r>
      <w:r>
        <w:rPr>
          <w:w w:val="105"/>
          <w:sz w:val="21"/>
        </w:rPr>
        <w:t>the Victorian Law </w:t>
      </w:r>
      <w:r>
        <w:rPr>
          <w:spacing w:val="-3"/>
          <w:w w:val="105"/>
          <w:sz w:val="21"/>
        </w:rPr>
        <w:t>Reform Commission to </w:t>
      </w:r>
      <w:r>
        <w:rPr>
          <w:w w:val="105"/>
          <w:sz w:val="21"/>
        </w:rPr>
        <w:t>report on a number of </w:t>
      </w:r>
      <w:r>
        <w:rPr>
          <w:spacing w:val="-3"/>
          <w:w w:val="105"/>
          <w:sz w:val="21"/>
        </w:rPr>
        <w:t>succession </w:t>
      </w:r>
      <w:r>
        <w:rPr>
          <w:w w:val="105"/>
          <w:sz w:val="21"/>
        </w:rPr>
        <w:t>law matters by 1 September </w:t>
      </w:r>
      <w:r>
        <w:rPr>
          <w:spacing w:val="-8"/>
          <w:w w:val="105"/>
          <w:sz w:val="21"/>
        </w:rPr>
        <w:t>2013. </w:t>
      </w:r>
      <w:r>
        <w:rPr>
          <w:w w:val="105"/>
          <w:sz w:val="21"/>
        </w:rPr>
        <w:t>The </w:t>
      </w:r>
      <w:r>
        <w:rPr>
          <w:spacing w:val="-3"/>
          <w:w w:val="105"/>
          <w:sz w:val="21"/>
        </w:rPr>
        <w:t>terms </w:t>
      </w:r>
      <w:r>
        <w:rPr>
          <w:w w:val="105"/>
          <w:sz w:val="21"/>
        </w:rPr>
        <w:t>of </w:t>
      </w:r>
      <w:r>
        <w:rPr>
          <w:spacing w:val="-3"/>
          <w:w w:val="105"/>
          <w:sz w:val="21"/>
        </w:rPr>
        <w:t>reference are </w:t>
      </w:r>
      <w:r>
        <w:rPr>
          <w:w w:val="105"/>
          <w:sz w:val="21"/>
        </w:rPr>
        <w:t>on page</w:t>
      </w:r>
      <w:r>
        <w:rPr>
          <w:spacing w:val="27"/>
          <w:w w:val="105"/>
          <w:sz w:val="21"/>
        </w:rPr>
        <w:t> </w:t>
      </w:r>
      <w:r>
        <w:rPr>
          <w:w w:val="105"/>
          <w:sz w:val="21"/>
        </w:rPr>
        <w:t>x.</w:t>
      </w:r>
    </w:p>
    <w:p>
      <w:pPr>
        <w:pStyle w:val="ListParagraph"/>
        <w:numPr>
          <w:ilvl w:val="1"/>
          <w:numId w:val="22"/>
        </w:numPr>
        <w:tabs>
          <w:tab w:pos="2380" w:val="left" w:leader="none"/>
          <w:tab w:pos="2381" w:val="left" w:leader="none"/>
        </w:tabs>
        <w:spacing w:line="242" w:lineRule="auto" w:before="123" w:after="0"/>
        <w:ind w:left="2381" w:right="1955" w:hanging="794"/>
        <w:jc w:val="left"/>
        <w:rPr>
          <w:sz w:val="21"/>
        </w:rPr>
      </w:pPr>
      <w:r>
        <w:rPr>
          <w:spacing w:val="-3"/>
          <w:sz w:val="21"/>
        </w:rPr>
        <w:t>Succession </w:t>
      </w:r>
      <w:r>
        <w:rPr>
          <w:sz w:val="21"/>
        </w:rPr>
        <w:t>laws </w:t>
      </w:r>
      <w:r>
        <w:rPr>
          <w:spacing w:val="-3"/>
          <w:sz w:val="21"/>
        </w:rPr>
        <w:t>regulate </w:t>
      </w:r>
      <w:r>
        <w:rPr>
          <w:sz w:val="21"/>
        </w:rPr>
        <w:t>how property is </w:t>
      </w:r>
      <w:r>
        <w:rPr>
          <w:spacing w:val="-3"/>
          <w:sz w:val="21"/>
        </w:rPr>
        <w:t>administered </w:t>
      </w:r>
      <w:r>
        <w:rPr>
          <w:sz w:val="21"/>
        </w:rPr>
        <w:t>and </w:t>
      </w:r>
      <w:r>
        <w:rPr>
          <w:spacing w:val="-3"/>
          <w:sz w:val="21"/>
        </w:rPr>
        <w:t>distributed </w:t>
      </w:r>
      <w:r>
        <w:rPr>
          <w:sz w:val="21"/>
        </w:rPr>
        <w:t>on the </w:t>
      </w:r>
      <w:r>
        <w:rPr>
          <w:spacing w:val="-3"/>
          <w:sz w:val="21"/>
        </w:rPr>
        <w:t>owner’s death.</w:t>
      </w:r>
      <w:r>
        <w:rPr>
          <w:spacing w:val="10"/>
          <w:sz w:val="21"/>
        </w:rPr>
        <w:t> </w:t>
      </w:r>
      <w:r>
        <w:rPr>
          <w:sz w:val="21"/>
        </w:rPr>
        <w:t>Most</w:t>
      </w:r>
      <w:r>
        <w:rPr>
          <w:spacing w:val="11"/>
          <w:sz w:val="21"/>
        </w:rPr>
        <w:t> </w:t>
      </w:r>
      <w:r>
        <w:rPr>
          <w:sz w:val="21"/>
        </w:rPr>
        <w:t>of</w:t>
      </w:r>
      <w:r>
        <w:rPr>
          <w:spacing w:val="11"/>
          <w:sz w:val="21"/>
        </w:rPr>
        <w:t> </w:t>
      </w:r>
      <w:r>
        <w:rPr>
          <w:spacing w:val="-3"/>
          <w:sz w:val="21"/>
        </w:rPr>
        <w:t>Victoria’s</w:t>
      </w:r>
      <w:r>
        <w:rPr>
          <w:spacing w:val="10"/>
          <w:sz w:val="21"/>
        </w:rPr>
        <w:t> </w:t>
      </w:r>
      <w:r>
        <w:rPr>
          <w:spacing w:val="-3"/>
          <w:sz w:val="21"/>
        </w:rPr>
        <w:t>succession</w:t>
      </w:r>
      <w:r>
        <w:rPr>
          <w:spacing w:val="11"/>
          <w:sz w:val="21"/>
        </w:rPr>
        <w:t> </w:t>
      </w:r>
      <w:r>
        <w:rPr>
          <w:sz w:val="21"/>
        </w:rPr>
        <w:t>laws</w:t>
      </w:r>
      <w:r>
        <w:rPr>
          <w:spacing w:val="11"/>
          <w:sz w:val="21"/>
        </w:rPr>
        <w:t> </w:t>
      </w:r>
      <w:r>
        <w:rPr>
          <w:spacing w:val="-3"/>
          <w:sz w:val="21"/>
        </w:rPr>
        <w:t>are</w:t>
      </w:r>
      <w:r>
        <w:rPr>
          <w:spacing w:val="10"/>
          <w:sz w:val="21"/>
        </w:rPr>
        <w:t> </w:t>
      </w:r>
      <w:r>
        <w:rPr>
          <w:spacing w:val="-3"/>
          <w:sz w:val="21"/>
        </w:rPr>
        <w:t>found</w:t>
      </w:r>
      <w:r>
        <w:rPr>
          <w:spacing w:val="11"/>
          <w:sz w:val="21"/>
        </w:rPr>
        <w:t> </w:t>
      </w:r>
      <w:r>
        <w:rPr>
          <w:sz w:val="21"/>
        </w:rPr>
        <w:t>in:</w:t>
      </w:r>
    </w:p>
    <w:p>
      <w:pPr>
        <w:pStyle w:val="ListParagraph"/>
        <w:numPr>
          <w:ilvl w:val="2"/>
          <w:numId w:val="22"/>
        </w:numPr>
        <w:tabs>
          <w:tab w:pos="2721" w:val="left" w:leader="none"/>
          <w:tab w:pos="2722" w:val="left" w:leader="none"/>
        </w:tabs>
        <w:spacing w:line="242" w:lineRule="auto" w:before="122" w:after="0"/>
        <w:ind w:left="2721" w:right="2131" w:hanging="340"/>
        <w:jc w:val="left"/>
        <w:rPr>
          <w:sz w:val="21"/>
        </w:rPr>
      </w:pPr>
      <w:r>
        <w:rPr>
          <w:w w:val="105"/>
          <w:sz w:val="21"/>
        </w:rPr>
        <w:t>the</w:t>
      </w:r>
      <w:r>
        <w:rPr>
          <w:spacing w:val="-8"/>
          <w:w w:val="105"/>
          <w:sz w:val="21"/>
        </w:rPr>
        <w:t> </w:t>
      </w:r>
      <w:r>
        <w:rPr>
          <w:i/>
          <w:w w:val="105"/>
          <w:sz w:val="21"/>
        </w:rPr>
        <w:t>Wills</w:t>
      </w:r>
      <w:r>
        <w:rPr>
          <w:i/>
          <w:spacing w:val="-8"/>
          <w:w w:val="105"/>
          <w:sz w:val="21"/>
        </w:rPr>
        <w:t> </w:t>
      </w:r>
      <w:r>
        <w:rPr>
          <w:i/>
          <w:w w:val="105"/>
          <w:sz w:val="21"/>
        </w:rPr>
        <w:t>Act</w:t>
      </w:r>
      <w:r>
        <w:rPr>
          <w:i/>
          <w:spacing w:val="-7"/>
          <w:w w:val="105"/>
          <w:sz w:val="21"/>
        </w:rPr>
        <w:t> </w:t>
      </w:r>
      <w:r>
        <w:rPr>
          <w:i/>
          <w:spacing w:val="-8"/>
          <w:w w:val="105"/>
          <w:sz w:val="21"/>
        </w:rPr>
        <w:t>1997 </w:t>
      </w:r>
      <w:r>
        <w:rPr>
          <w:w w:val="105"/>
          <w:sz w:val="21"/>
        </w:rPr>
        <w:t>(Vic)</w:t>
      </w:r>
      <w:r>
        <w:rPr>
          <w:spacing w:val="-8"/>
          <w:w w:val="105"/>
          <w:sz w:val="21"/>
        </w:rPr>
        <w:t> </w:t>
      </w:r>
      <w:r>
        <w:rPr>
          <w:w w:val="105"/>
          <w:sz w:val="21"/>
        </w:rPr>
        <w:t>and</w:t>
      </w:r>
      <w:r>
        <w:rPr>
          <w:spacing w:val="-7"/>
          <w:w w:val="105"/>
          <w:sz w:val="21"/>
        </w:rPr>
        <w:t> </w:t>
      </w:r>
      <w:r>
        <w:rPr>
          <w:w w:val="105"/>
          <w:sz w:val="21"/>
        </w:rPr>
        <w:t>associated</w:t>
      </w:r>
      <w:r>
        <w:rPr>
          <w:spacing w:val="-8"/>
          <w:w w:val="105"/>
          <w:sz w:val="21"/>
        </w:rPr>
        <w:t> </w:t>
      </w:r>
      <w:r>
        <w:rPr>
          <w:w w:val="105"/>
          <w:sz w:val="21"/>
        </w:rPr>
        <w:t>case</w:t>
      </w:r>
      <w:r>
        <w:rPr>
          <w:spacing w:val="-8"/>
          <w:w w:val="105"/>
          <w:sz w:val="21"/>
        </w:rPr>
        <w:t> </w:t>
      </w:r>
      <w:r>
        <w:rPr>
          <w:w w:val="105"/>
          <w:sz w:val="21"/>
        </w:rPr>
        <w:t>law</w:t>
      </w:r>
      <w:r>
        <w:rPr>
          <w:spacing w:val="-7"/>
          <w:w w:val="105"/>
          <w:sz w:val="21"/>
        </w:rPr>
        <w:t> </w:t>
      </w:r>
      <w:r>
        <w:rPr>
          <w:w w:val="105"/>
          <w:sz w:val="21"/>
        </w:rPr>
        <w:t>on</w:t>
      </w:r>
      <w:r>
        <w:rPr>
          <w:spacing w:val="-8"/>
          <w:w w:val="105"/>
          <w:sz w:val="21"/>
        </w:rPr>
        <w:t> </w:t>
      </w:r>
      <w:r>
        <w:rPr>
          <w:w w:val="105"/>
          <w:sz w:val="21"/>
        </w:rPr>
        <w:t>the</w:t>
      </w:r>
      <w:r>
        <w:rPr>
          <w:spacing w:val="-8"/>
          <w:w w:val="105"/>
          <w:sz w:val="21"/>
        </w:rPr>
        <w:t> </w:t>
      </w:r>
      <w:r>
        <w:rPr>
          <w:w w:val="105"/>
          <w:sz w:val="21"/>
        </w:rPr>
        <w:t>construction</w:t>
      </w:r>
      <w:r>
        <w:rPr>
          <w:spacing w:val="-7"/>
          <w:w w:val="105"/>
          <w:sz w:val="21"/>
        </w:rPr>
        <w:t> </w:t>
      </w:r>
      <w:r>
        <w:rPr>
          <w:w w:val="105"/>
          <w:sz w:val="21"/>
        </w:rPr>
        <w:t>and</w:t>
      </w:r>
      <w:r>
        <w:rPr>
          <w:spacing w:val="-8"/>
          <w:w w:val="105"/>
          <w:sz w:val="21"/>
        </w:rPr>
        <w:t> </w:t>
      </w:r>
      <w:r>
        <w:rPr>
          <w:w w:val="105"/>
          <w:sz w:val="21"/>
        </w:rPr>
        <w:t>validity of</w:t>
      </w:r>
      <w:r>
        <w:rPr>
          <w:spacing w:val="5"/>
          <w:w w:val="105"/>
          <w:sz w:val="21"/>
        </w:rPr>
        <w:t> </w:t>
      </w:r>
      <w:r>
        <w:rPr>
          <w:spacing w:val="-3"/>
          <w:w w:val="105"/>
          <w:sz w:val="21"/>
        </w:rPr>
        <w:t>wills</w:t>
      </w:r>
    </w:p>
    <w:p>
      <w:pPr>
        <w:pStyle w:val="ListParagraph"/>
        <w:numPr>
          <w:ilvl w:val="2"/>
          <w:numId w:val="22"/>
        </w:numPr>
        <w:tabs>
          <w:tab w:pos="2721" w:val="left" w:leader="none"/>
          <w:tab w:pos="2722" w:val="left" w:leader="none"/>
        </w:tabs>
        <w:spacing w:line="242" w:lineRule="auto" w:before="123" w:after="0"/>
        <w:ind w:left="2721" w:right="2264" w:hanging="340"/>
        <w:jc w:val="left"/>
        <w:rPr>
          <w:sz w:val="21"/>
        </w:rPr>
      </w:pPr>
      <w:r>
        <w:rPr>
          <w:w w:val="105"/>
          <w:sz w:val="21"/>
        </w:rPr>
        <w:t>the </w:t>
      </w:r>
      <w:r>
        <w:rPr>
          <w:i/>
          <w:spacing w:val="-3"/>
          <w:w w:val="105"/>
          <w:sz w:val="21"/>
        </w:rPr>
        <w:t>Administration </w:t>
      </w:r>
      <w:r>
        <w:rPr>
          <w:i/>
          <w:w w:val="105"/>
          <w:sz w:val="21"/>
        </w:rPr>
        <w:t>and Probate Act </w:t>
      </w:r>
      <w:r>
        <w:rPr>
          <w:i/>
          <w:spacing w:val="-6"/>
          <w:w w:val="105"/>
          <w:sz w:val="21"/>
        </w:rPr>
        <w:t>1958 </w:t>
      </w:r>
      <w:r>
        <w:rPr>
          <w:w w:val="105"/>
          <w:sz w:val="21"/>
        </w:rPr>
        <w:t>(Vic) and associated case law </w:t>
      </w:r>
      <w:r>
        <w:rPr>
          <w:spacing w:val="-3"/>
          <w:w w:val="105"/>
          <w:sz w:val="21"/>
        </w:rPr>
        <w:t>dealing </w:t>
      </w:r>
      <w:r>
        <w:rPr>
          <w:w w:val="105"/>
          <w:sz w:val="21"/>
        </w:rPr>
        <w:t>with the </w:t>
      </w:r>
      <w:r>
        <w:rPr>
          <w:spacing w:val="-3"/>
          <w:w w:val="105"/>
          <w:sz w:val="21"/>
        </w:rPr>
        <w:t>administration </w:t>
      </w:r>
      <w:r>
        <w:rPr>
          <w:w w:val="105"/>
          <w:sz w:val="21"/>
        </w:rPr>
        <w:t>and </w:t>
      </w:r>
      <w:r>
        <w:rPr>
          <w:spacing w:val="-2"/>
          <w:w w:val="105"/>
          <w:sz w:val="21"/>
        </w:rPr>
        <w:t>distribution </w:t>
      </w:r>
      <w:r>
        <w:rPr>
          <w:w w:val="105"/>
          <w:sz w:val="21"/>
        </w:rPr>
        <w:t>of</w:t>
      </w:r>
      <w:r>
        <w:rPr>
          <w:spacing w:val="27"/>
          <w:w w:val="105"/>
          <w:sz w:val="21"/>
        </w:rPr>
        <w:t> </w:t>
      </w:r>
      <w:r>
        <w:rPr>
          <w:w w:val="105"/>
          <w:sz w:val="21"/>
        </w:rPr>
        <w:t>assets.</w:t>
      </w:r>
    </w:p>
    <w:p>
      <w:pPr>
        <w:pStyle w:val="ListParagraph"/>
        <w:numPr>
          <w:ilvl w:val="1"/>
          <w:numId w:val="22"/>
        </w:numPr>
        <w:tabs>
          <w:tab w:pos="2380" w:val="left" w:leader="none"/>
          <w:tab w:pos="2381" w:val="left" w:leader="none"/>
        </w:tabs>
        <w:spacing w:line="242" w:lineRule="auto" w:before="122" w:after="0"/>
        <w:ind w:left="2381" w:right="1942" w:hanging="794"/>
        <w:jc w:val="left"/>
        <w:rPr>
          <w:sz w:val="21"/>
        </w:rPr>
      </w:pPr>
      <w:r>
        <w:rPr>
          <w:w w:val="105"/>
          <w:sz w:val="21"/>
        </w:rPr>
        <w:t>The</w:t>
      </w:r>
      <w:r>
        <w:rPr>
          <w:spacing w:val="-11"/>
          <w:w w:val="105"/>
          <w:sz w:val="21"/>
        </w:rPr>
        <w:t> </w:t>
      </w:r>
      <w:r>
        <w:rPr>
          <w:spacing w:val="-3"/>
          <w:w w:val="105"/>
          <w:sz w:val="21"/>
        </w:rPr>
        <w:t>Wills</w:t>
      </w:r>
      <w:r>
        <w:rPr>
          <w:spacing w:val="-10"/>
          <w:w w:val="105"/>
          <w:sz w:val="21"/>
        </w:rPr>
        <w:t> </w:t>
      </w:r>
      <w:r>
        <w:rPr>
          <w:w w:val="105"/>
          <w:sz w:val="21"/>
        </w:rPr>
        <w:t>Act</w:t>
      </w:r>
      <w:r>
        <w:rPr>
          <w:spacing w:val="-10"/>
          <w:w w:val="105"/>
          <w:sz w:val="21"/>
        </w:rPr>
        <w:t> </w:t>
      </w:r>
      <w:r>
        <w:rPr>
          <w:w w:val="105"/>
          <w:sz w:val="21"/>
        </w:rPr>
        <w:t>is</w:t>
      </w:r>
      <w:r>
        <w:rPr>
          <w:spacing w:val="-10"/>
          <w:w w:val="105"/>
          <w:sz w:val="21"/>
        </w:rPr>
        <w:t> </w:t>
      </w:r>
      <w:r>
        <w:rPr>
          <w:w w:val="105"/>
          <w:sz w:val="21"/>
        </w:rPr>
        <w:t>the</w:t>
      </w:r>
      <w:r>
        <w:rPr>
          <w:spacing w:val="-10"/>
          <w:w w:val="105"/>
          <w:sz w:val="21"/>
        </w:rPr>
        <w:t> </w:t>
      </w:r>
      <w:r>
        <w:rPr>
          <w:w w:val="105"/>
          <w:sz w:val="21"/>
        </w:rPr>
        <w:t>product</w:t>
      </w:r>
      <w:r>
        <w:rPr>
          <w:spacing w:val="-10"/>
          <w:w w:val="105"/>
          <w:sz w:val="21"/>
        </w:rPr>
        <w:t> </w:t>
      </w:r>
      <w:r>
        <w:rPr>
          <w:w w:val="105"/>
          <w:sz w:val="21"/>
        </w:rPr>
        <w:t>of</w:t>
      </w:r>
      <w:r>
        <w:rPr>
          <w:spacing w:val="-10"/>
          <w:w w:val="105"/>
          <w:sz w:val="21"/>
        </w:rPr>
        <w:t> </w:t>
      </w:r>
      <w:r>
        <w:rPr>
          <w:w w:val="105"/>
          <w:sz w:val="21"/>
        </w:rPr>
        <w:t>extensive</w:t>
      </w:r>
      <w:r>
        <w:rPr>
          <w:spacing w:val="-10"/>
          <w:w w:val="105"/>
          <w:sz w:val="21"/>
        </w:rPr>
        <w:t> </w:t>
      </w:r>
      <w:r>
        <w:rPr>
          <w:w w:val="105"/>
          <w:sz w:val="21"/>
        </w:rPr>
        <w:t>and</w:t>
      </w:r>
      <w:r>
        <w:rPr>
          <w:spacing w:val="-10"/>
          <w:w w:val="105"/>
          <w:sz w:val="21"/>
        </w:rPr>
        <w:t> </w:t>
      </w:r>
      <w:r>
        <w:rPr>
          <w:w w:val="105"/>
          <w:sz w:val="21"/>
        </w:rPr>
        <w:t>detailed</w:t>
      </w:r>
      <w:r>
        <w:rPr>
          <w:spacing w:val="-10"/>
          <w:w w:val="105"/>
          <w:sz w:val="21"/>
        </w:rPr>
        <w:t> </w:t>
      </w:r>
      <w:r>
        <w:rPr>
          <w:w w:val="105"/>
          <w:sz w:val="21"/>
        </w:rPr>
        <w:t>reviews</w:t>
      </w:r>
      <w:r>
        <w:rPr>
          <w:spacing w:val="-10"/>
          <w:w w:val="105"/>
          <w:sz w:val="21"/>
        </w:rPr>
        <w:t> </w:t>
      </w:r>
      <w:r>
        <w:rPr>
          <w:w w:val="105"/>
          <w:sz w:val="21"/>
        </w:rPr>
        <w:t>in</w:t>
      </w:r>
      <w:r>
        <w:rPr>
          <w:spacing w:val="-10"/>
          <w:w w:val="105"/>
          <w:sz w:val="21"/>
        </w:rPr>
        <w:t> </w:t>
      </w:r>
      <w:r>
        <w:rPr>
          <w:w w:val="105"/>
          <w:sz w:val="21"/>
        </w:rPr>
        <w:t>Victoria</w:t>
      </w:r>
      <w:r>
        <w:rPr>
          <w:spacing w:val="-10"/>
          <w:w w:val="105"/>
          <w:sz w:val="21"/>
        </w:rPr>
        <w:t> </w:t>
      </w:r>
      <w:r>
        <w:rPr>
          <w:w w:val="105"/>
          <w:sz w:val="21"/>
        </w:rPr>
        <w:t>over</w:t>
      </w:r>
      <w:r>
        <w:rPr>
          <w:spacing w:val="-10"/>
          <w:w w:val="105"/>
          <w:sz w:val="21"/>
        </w:rPr>
        <w:t> </w:t>
      </w:r>
      <w:r>
        <w:rPr>
          <w:w w:val="105"/>
          <w:sz w:val="21"/>
        </w:rPr>
        <w:t>a</w:t>
      </w:r>
      <w:r>
        <w:rPr>
          <w:spacing w:val="-10"/>
          <w:w w:val="105"/>
          <w:sz w:val="21"/>
        </w:rPr>
        <w:t> </w:t>
      </w:r>
      <w:r>
        <w:rPr>
          <w:w w:val="105"/>
          <w:sz w:val="21"/>
        </w:rPr>
        <w:t>period of </w:t>
      </w:r>
      <w:r>
        <w:rPr>
          <w:spacing w:val="-6"/>
          <w:w w:val="105"/>
          <w:sz w:val="21"/>
        </w:rPr>
        <w:t>10 </w:t>
      </w:r>
      <w:r>
        <w:rPr>
          <w:w w:val="105"/>
          <w:sz w:val="21"/>
        </w:rPr>
        <w:t>years, first by a </w:t>
      </w:r>
      <w:r>
        <w:rPr>
          <w:spacing w:val="-3"/>
          <w:w w:val="105"/>
          <w:sz w:val="21"/>
        </w:rPr>
        <w:t>government working </w:t>
      </w:r>
      <w:r>
        <w:rPr>
          <w:w w:val="105"/>
          <w:sz w:val="21"/>
        </w:rPr>
        <w:t>party</w:t>
      </w:r>
      <w:r>
        <w:rPr>
          <w:w w:val="105"/>
          <w:position w:val="7"/>
          <w:sz w:val="12"/>
        </w:rPr>
        <w:t>1 </w:t>
      </w:r>
      <w:r>
        <w:rPr>
          <w:w w:val="105"/>
          <w:sz w:val="21"/>
        </w:rPr>
        <w:t>and </w:t>
      </w:r>
      <w:r>
        <w:rPr>
          <w:spacing w:val="-3"/>
          <w:w w:val="105"/>
          <w:sz w:val="21"/>
        </w:rPr>
        <w:t>later </w:t>
      </w:r>
      <w:r>
        <w:rPr>
          <w:w w:val="105"/>
          <w:sz w:val="21"/>
        </w:rPr>
        <w:t>by the Victorian </w:t>
      </w:r>
      <w:r>
        <w:rPr>
          <w:spacing w:val="-3"/>
          <w:w w:val="105"/>
          <w:sz w:val="21"/>
        </w:rPr>
        <w:t>Parliament </w:t>
      </w:r>
      <w:r>
        <w:rPr>
          <w:w w:val="105"/>
          <w:sz w:val="21"/>
        </w:rPr>
        <w:t>Law </w:t>
      </w:r>
      <w:r>
        <w:rPr>
          <w:spacing w:val="-3"/>
          <w:w w:val="105"/>
          <w:sz w:val="21"/>
        </w:rPr>
        <w:t>Reform Committee.</w:t>
      </w:r>
      <w:r>
        <w:rPr>
          <w:spacing w:val="-3"/>
          <w:w w:val="105"/>
          <w:position w:val="7"/>
          <w:sz w:val="12"/>
        </w:rPr>
        <w:t>2 </w:t>
      </w:r>
      <w:r>
        <w:rPr>
          <w:w w:val="105"/>
          <w:sz w:val="21"/>
        </w:rPr>
        <w:t>The </w:t>
      </w:r>
      <w:r>
        <w:rPr>
          <w:spacing w:val="-3"/>
          <w:w w:val="105"/>
          <w:sz w:val="21"/>
        </w:rPr>
        <w:t>Commission </w:t>
      </w:r>
      <w:r>
        <w:rPr>
          <w:w w:val="105"/>
          <w:sz w:val="21"/>
        </w:rPr>
        <w:t>was </w:t>
      </w:r>
      <w:r>
        <w:rPr>
          <w:spacing w:val="-3"/>
          <w:w w:val="105"/>
          <w:sz w:val="21"/>
        </w:rPr>
        <w:t>asked to </w:t>
      </w:r>
      <w:r>
        <w:rPr>
          <w:w w:val="105"/>
          <w:sz w:val="21"/>
        </w:rPr>
        <w:t>report on only three issues </w:t>
      </w:r>
      <w:r>
        <w:rPr>
          <w:spacing w:val="-3"/>
          <w:w w:val="105"/>
          <w:sz w:val="21"/>
        </w:rPr>
        <w:t>concerning</w:t>
      </w:r>
      <w:r>
        <w:rPr>
          <w:spacing w:val="5"/>
          <w:w w:val="105"/>
          <w:sz w:val="21"/>
        </w:rPr>
        <w:t> </w:t>
      </w:r>
      <w:r>
        <w:rPr>
          <w:w w:val="105"/>
          <w:sz w:val="21"/>
        </w:rPr>
        <w:t>wills:</w:t>
      </w:r>
    </w:p>
    <w:p>
      <w:pPr>
        <w:pStyle w:val="ListParagraph"/>
        <w:numPr>
          <w:ilvl w:val="2"/>
          <w:numId w:val="22"/>
        </w:numPr>
        <w:tabs>
          <w:tab w:pos="2721" w:val="left" w:leader="none"/>
          <w:tab w:pos="2722" w:val="left" w:leader="none"/>
        </w:tabs>
        <w:spacing w:line="240" w:lineRule="auto" w:before="124" w:after="0"/>
        <w:ind w:left="2721" w:right="0" w:hanging="340"/>
        <w:jc w:val="left"/>
        <w:rPr>
          <w:sz w:val="21"/>
        </w:rPr>
      </w:pPr>
      <w:r>
        <w:rPr>
          <w:w w:val="105"/>
          <w:sz w:val="21"/>
        </w:rPr>
        <w:t>witnessing </w:t>
      </w:r>
      <w:r>
        <w:rPr>
          <w:spacing w:val="-3"/>
          <w:w w:val="105"/>
          <w:sz w:val="21"/>
        </w:rPr>
        <w:t>wills </w:t>
      </w:r>
      <w:r>
        <w:rPr>
          <w:w w:val="105"/>
          <w:sz w:val="21"/>
        </w:rPr>
        <w:t>and </w:t>
      </w:r>
      <w:r>
        <w:rPr>
          <w:spacing w:val="-3"/>
          <w:w w:val="105"/>
          <w:sz w:val="21"/>
        </w:rPr>
        <w:t>undue</w:t>
      </w:r>
      <w:r>
        <w:rPr>
          <w:spacing w:val="24"/>
          <w:w w:val="105"/>
          <w:sz w:val="21"/>
        </w:rPr>
        <w:t> </w:t>
      </w:r>
      <w:r>
        <w:rPr>
          <w:spacing w:val="-3"/>
          <w:w w:val="105"/>
          <w:sz w:val="21"/>
        </w:rPr>
        <w:t>influence</w:t>
      </w:r>
    </w:p>
    <w:p>
      <w:pPr>
        <w:pStyle w:val="ListParagraph"/>
        <w:numPr>
          <w:ilvl w:val="2"/>
          <w:numId w:val="22"/>
        </w:numPr>
        <w:tabs>
          <w:tab w:pos="2721" w:val="left" w:leader="none"/>
          <w:tab w:pos="2722" w:val="left" w:leader="none"/>
        </w:tabs>
        <w:spacing w:line="240" w:lineRule="auto" w:before="124" w:after="0"/>
        <w:ind w:left="2721" w:right="0" w:hanging="340"/>
        <w:jc w:val="left"/>
        <w:rPr>
          <w:sz w:val="21"/>
        </w:rPr>
      </w:pPr>
      <w:r>
        <w:rPr>
          <w:sz w:val="21"/>
        </w:rPr>
        <w:t>statutory</w:t>
      </w:r>
      <w:r>
        <w:rPr>
          <w:spacing w:val="8"/>
          <w:sz w:val="21"/>
        </w:rPr>
        <w:t> </w:t>
      </w:r>
      <w:r>
        <w:rPr>
          <w:spacing w:val="-3"/>
          <w:sz w:val="21"/>
        </w:rPr>
        <w:t>wills</w:t>
      </w:r>
    </w:p>
    <w:p>
      <w:pPr>
        <w:pStyle w:val="ListParagraph"/>
        <w:numPr>
          <w:ilvl w:val="2"/>
          <w:numId w:val="22"/>
        </w:numPr>
        <w:tabs>
          <w:tab w:pos="2721" w:val="left" w:leader="none"/>
          <w:tab w:pos="2722" w:val="left" w:leader="none"/>
        </w:tabs>
        <w:spacing w:line="240" w:lineRule="auto" w:before="124" w:after="0"/>
        <w:ind w:left="2721" w:right="0" w:hanging="340"/>
        <w:jc w:val="left"/>
        <w:rPr>
          <w:sz w:val="21"/>
        </w:rPr>
      </w:pPr>
      <w:r>
        <w:rPr>
          <w:w w:val="105"/>
          <w:sz w:val="21"/>
        </w:rPr>
        <w:t>ademption.</w:t>
      </w:r>
    </w:p>
    <w:p>
      <w:pPr>
        <w:pStyle w:val="ListParagraph"/>
        <w:numPr>
          <w:ilvl w:val="1"/>
          <w:numId w:val="22"/>
        </w:numPr>
        <w:tabs>
          <w:tab w:pos="2381" w:val="left" w:leader="none"/>
          <w:tab w:pos="2382" w:val="left" w:leader="none"/>
        </w:tabs>
        <w:spacing w:line="242" w:lineRule="auto" w:before="123" w:after="0"/>
        <w:ind w:left="2381" w:right="1673" w:hanging="794"/>
        <w:jc w:val="left"/>
        <w:rPr>
          <w:sz w:val="21"/>
        </w:rPr>
      </w:pPr>
      <w:r>
        <w:rPr>
          <w:spacing w:val="-4"/>
          <w:sz w:val="21"/>
        </w:rPr>
        <w:t>Unlike </w:t>
      </w:r>
      <w:r>
        <w:rPr>
          <w:sz w:val="21"/>
        </w:rPr>
        <w:t>the </w:t>
      </w:r>
      <w:r>
        <w:rPr>
          <w:spacing w:val="-3"/>
          <w:sz w:val="21"/>
        </w:rPr>
        <w:t>Wills </w:t>
      </w:r>
      <w:r>
        <w:rPr>
          <w:sz w:val="21"/>
        </w:rPr>
        <w:t>Act, the </w:t>
      </w:r>
      <w:r>
        <w:rPr>
          <w:spacing w:val="-3"/>
          <w:sz w:val="21"/>
        </w:rPr>
        <w:t>Administration </w:t>
      </w:r>
      <w:r>
        <w:rPr>
          <w:sz w:val="21"/>
        </w:rPr>
        <w:t>and </w:t>
      </w:r>
      <w:r>
        <w:rPr>
          <w:spacing w:val="-3"/>
          <w:sz w:val="21"/>
        </w:rPr>
        <w:t>Probate </w:t>
      </w:r>
      <w:r>
        <w:rPr>
          <w:sz w:val="21"/>
        </w:rPr>
        <w:t>Act </w:t>
      </w:r>
      <w:r>
        <w:rPr>
          <w:spacing w:val="-2"/>
          <w:sz w:val="21"/>
        </w:rPr>
        <w:t>has </w:t>
      </w:r>
      <w:r>
        <w:rPr>
          <w:sz w:val="21"/>
        </w:rPr>
        <w:t>never been </w:t>
      </w:r>
      <w:r>
        <w:rPr>
          <w:spacing w:val="-3"/>
          <w:sz w:val="21"/>
        </w:rPr>
        <w:t>comprehensively reviewed. </w:t>
      </w:r>
      <w:r>
        <w:rPr>
          <w:sz w:val="21"/>
        </w:rPr>
        <w:t>While </w:t>
      </w:r>
      <w:r>
        <w:rPr>
          <w:spacing w:val="-2"/>
          <w:sz w:val="21"/>
        </w:rPr>
        <w:t>not </w:t>
      </w:r>
      <w:r>
        <w:rPr>
          <w:spacing w:val="-3"/>
          <w:sz w:val="21"/>
        </w:rPr>
        <w:t>requiring </w:t>
      </w:r>
      <w:r>
        <w:rPr>
          <w:sz w:val="21"/>
        </w:rPr>
        <w:t>the whole Act </w:t>
      </w:r>
      <w:r>
        <w:rPr>
          <w:spacing w:val="-3"/>
          <w:sz w:val="21"/>
        </w:rPr>
        <w:t>to </w:t>
      </w:r>
      <w:r>
        <w:rPr>
          <w:sz w:val="21"/>
        </w:rPr>
        <w:t>be </w:t>
      </w:r>
      <w:r>
        <w:rPr>
          <w:spacing w:val="-3"/>
          <w:sz w:val="21"/>
        </w:rPr>
        <w:t>examined, </w:t>
      </w:r>
      <w:r>
        <w:rPr>
          <w:sz w:val="21"/>
        </w:rPr>
        <w:t>the </w:t>
      </w:r>
      <w:r>
        <w:rPr>
          <w:spacing w:val="-4"/>
          <w:sz w:val="21"/>
        </w:rPr>
        <w:t>Commission’s</w:t>
      </w:r>
      <w:r>
        <w:rPr>
          <w:spacing w:val="5"/>
          <w:sz w:val="21"/>
        </w:rPr>
        <w:t> </w:t>
      </w:r>
      <w:r>
        <w:rPr>
          <w:spacing w:val="-3"/>
          <w:sz w:val="21"/>
        </w:rPr>
        <w:t>terms</w:t>
      </w:r>
    </w:p>
    <w:p>
      <w:pPr>
        <w:pStyle w:val="BodyText"/>
        <w:spacing w:line="242" w:lineRule="auto" w:before="3"/>
        <w:ind w:left="2381" w:right="1619"/>
      </w:pPr>
      <w:r>
        <w:rPr>
          <w:w w:val="105"/>
        </w:rPr>
        <w:t>of </w:t>
      </w:r>
      <w:r>
        <w:rPr>
          <w:spacing w:val="-3"/>
          <w:w w:val="105"/>
        </w:rPr>
        <w:t>reference </w:t>
      </w:r>
      <w:r>
        <w:rPr>
          <w:w w:val="105"/>
        </w:rPr>
        <w:t>extend </w:t>
      </w:r>
      <w:r>
        <w:rPr>
          <w:spacing w:val="-3"/>
          <w:w w:val="105"/>
        </w:rPr>
        <w:t>to many </w:t>
      </w:r>
      <w:r>
        <w:rPr>
          <w:w w:val="105"/>
        </w:rPr>
        <w:t>of the </w:t>
      </w:r>
      <w:r>
        <w:rPr>
          <w:spacing w:val="-4"/>
          <w:w w:val="105"/>
        </w:rPr>
        <w:t>key </w:t>
      </w:r>
      <w:r>
        <w:rPr>
          <w:spacing w:val="-3"/>
          <w:w w:val="105"/>
        </w:rPr>
        <w:t>provisions, including </w:t>
      </w:r>
      <w:r>
        <w:rPr>
          <w:w w:val="105"/>
        </w:rPr>
        <w:t>those </w:t>
      </w:r>
      <w:r>
        <w:rPr>
          <w:spacing w:val="-3"/>
          <w:w w:val="105"/>
        </w:rPr>
        <w:t>that </w:t>
      </w:r>
      <w:r>
        <w:rPr>
          <w:w w:val="105"/>
        </w:rPr>
        <w:t>address the </w:t>
      </w:r>
      <w:r>
        <w:rPr>
          <w:spacing w:val="-3"/>
          <w:w w:val="105"/>
        </w:rPr>
        <w:t>following </w:t>
      </w:r>
      <w:r>
        <w:rPr>
          <w:w w:val="105"/>
        </w:rPr>
        <w:t>issues:</w:t>
      </w:r>
    </w:p>
    <w:p>
      <w:pPr>
        <w:pStyle w:val="ListParagraph"/>
        <w:numPr>
          <w:ilvl w:val="2"/>
          <w:numId w:val="22"/>
        </w:numPr>
        <w:tabs>
          <w:tab w:pos="2721" w:val="left" w:leader="none"/>
          <w:tab w:pos="2722" w:val="left" w:leader="none"/>
        </w:tabs>
        <w:spacing w:line="240" w:lineRule="auto" w:before="122" w:after="0"/>
        <w:ind w:left="2721" w:right="0" w:hanging="340"/>
        <w:jc w:val="left"/>
        <w:rPr>
          <w:sz w:val="21"/>
        </w:rPr>
      </w:pPr>
      <w:r>
        <w:rPr>
          <w:spacing w:val="-3"/>
          <w:sz w:val="21"/>
        </w:rPr>
        <w:t>executor’s commission for </w:t>
      </w:r>
      <w:r>
        <w:rPr>
          <w:sz w:val="21"/>
        </w:rPr>
        <w:t>their time and</w:t>
      </w:r>
      <w:r>
        <w:rPr>
          <w:spacing w:val="15"/>
          <w:sz w:val="21"/>
        </w:rPr>
        <w:t> </w:t>
      </w:r>
      <w:r>
        <w:rPr>
          <w:spacing w:val="-3"/>
          <w:sz w:val="21"/>
        </w:rPr>
        <w:t>trouble</w:t>
      </w:r>
    </w:p>
    <w:p>
      <w:pPr>
        <w:pStyle w:val="ListParagraph"/>
        <w:numPr>
          <w:ilvl w:val="2"/>
          <w:numId w:val="22"/>
        </w:numPr>
        <w:tabs>
          <w:tab w:pos="2721" w:val="left" w:leader="none"/>
          <w:tab w:pos="2722" w:val="left" w:leader="none"/>
        </w:tabs>
        <w:spacing w:line="240" w:lineRule="auto" w:before="124" w:after="0"/>
        <w:ind w:left="2721" w:right="0" w:hanging="340"/>
        <w:jc w:val="left"/>
        <w:rPr>
          <w:sz w:val="21"/>
        </w:rPr>
      </w:pPr>
      <w:r>
        <w:rPr>
          <w:w w:val="105"/>
          <w:sz w:val="21"/>
        </w:rPr>
        <w:t>applying assets </w:t>
      </w:r>
      <w:r>
        <w:rPr>
          <w:spacing w:val="-3"/>
          <w:w w:val="105"/>
          <w:sz w:val="21"/>
        </w:rPr>
        <w:t>to </w:t>
      </w:r>
      <w:r>
        <w:rPr>
          <w:w w:val="105"/>
          <w:sz w:val="21"/>
        </w:rPr>
        <w:t>the payment of</w:t>
      </w:r>
      <w:r>
        <w:rPr>
          <w:spacing w:val="31"/>
          <w:w w:val="105"/>
          <w:sz w:val="21"/>
        </w:rPr>
        <w:t> </w:t>
      </w:r>
      <w:r>
        <w:rPr>
          <w:w w:val="105"/>
          <w:sz w:val="21"/>
        </w:rPr>
        <w:t>debts</w:t>
      </w:r>
    </w:p>
    <w:p>
      <w:pPr>
        <w:pStyle w:val="ListParagraph"/>
        <w:numPr>
          <w:ilvl w:val="2"/>
          <w:numId w:val="22"/>
        </w:numPr>
        <w:tabs>
          <w:tab w:pos="2721" w:val="left" w:leader="none"/>
          <w:tab w:pos="2722" w:val="left" w:leader="none"/>
        </w:tabs>
        <w:spacing w:line="242" w:lineRule="auto" w:before="123" w:after="0"/>
        <w:ind w:left="2721" w:right="1956" w:hanging="340"/>
        <w:jc w:val="left"/>
        <w:rPr>
          <w:sz w:val="21"/>
        </w:rPr>
      </w:pPr>
      <w:r>
        <w:rPr>
          <w:w w:val="105"/>
          <w:sz w:val="21"/>
        </w:rPr>
        <w:t>the</w:t>
      </w:r>
      <w:r>
        <w:rPr>
          <w:spacing w:val="-8"/>
          <w:w w:val="105"/>
          <w:sz w:val="21"/>
        </w:rPr>
        <w:t> </w:t>
      </w:r>
      <w:r>
        <w:rPr>
          <w:w w:val="105"/>
          <w:sz w:val="21"/>
        </w:rPr>
        <w:t>intestacy</w:t>
      </w:r>
      <w:r>
        <w:rPr>
          <w:spacing w:val="-8"/>
          <w:w w:val="105"/>
          <w:sz w:val="21"/>
        </w:rPr>
        <w:t> </w:t>
      </w:r>
      <w:r>
        <w:rPr>
          <w:w w:val="105"/>
          <w:sz w:val="21"/>
        </w:rPr>
        <w:t>scheme</w:t>
      </w:r>
      <w:r>
        <w:rPr>
          <w:spacing w:val="-8"/>
          <w:w w:val="105"/>
          <w:sz w:val="21"/>
        </w:rPr>
        <w:t> </w:t>
      </w:r>
      <w:r>
        <w:rPr>
          <w:spacing w:val="-3"/>
          <w:w w:val="105"/>
          <w:sz w:val="21"/>
        </w:rPr>
        <w:t>for</w:t>
      </w:r>
      <w:r>
        <w:rPr>
          <w:spacing w:val="-7"/>
          <w:w w:val="105"/>
          <w:sz w:val="21"/>
        </w:rPr>
        <w:t> </w:t>
      </w:r>
      <w:r>
        <w:rPr>
          <w:spacing w:val="-3"/>
          <w:w w:val="105"/>
          <w:sz w:val="21"/>
        </w:rPr>
        <w:t>distributing</w:t>
      </w:r>
      <w:r>
        <w:rPr>
          <w:spacing w:val="-8"/>
          <w:w w:val="105"/>
          <w:sz w:val="21"/>
        </w:rPr>
        <w:t> </w:t>
      </w:r>
      <w:r>
        <w:rPr>
          <w:w w:val="105"/>
          <w:sz w:val="21"/>
        </w:rPr>
        <w:t>the</w:t>
      </w:r>
      <w:r>
        <w:rPr>
          <w:spacing w:val="-8"/>
          <w:w w:val="105"/>
          <w:sz w:val="21"/>
        </w:rPr>
        <w:t> </w:t>
      </w:r>
      <w:r>
        <w:rPr>
          <w:w w:val="105"/>
          <w:sz w:val="21"/>
        </w:rPr>
        <w:t>assets</w:t>
      </w:r>
      <w:r>
        <w:rPr>
          <w:spacing w:val="-7"/>
          <w:w w:val="105"/>
          <w:sz w:val="21"/>
        </w:rPr>
        <w:t> </w:t>
      </w:r>
      <w:r>
        <w:rPr>
          <w:w w:val="105"/>
          <w:sz w:val="21"/>
        </w:rPr>
        <w:t>of</w:t>
      </w:r>
      <w:r>
        <w:rPr>
          <w:spacing w:val="-8"/>
          <w:w w:val="105"/>
          <w:sz w:val="21"/>
        </w:rPr>
        <w:t> </w:t>
      </w:r>
      <w:r>
        <w:rPr>
          <w:w w:val="105"/>
          <w:sz w:val="21"/>
        </w:rPr>
        <w:t>someone</w:t>
      </w:r>
      <w:r>
        <w:rPr>
          <w:spacing w:val="-8"/>
          <w:w w:val="105"/>
          <w:sz w:val="21"/>
        </w:rPr>
        <w:t> </w:t>
      </w:r>
      <w:r>
        <w:rPr>
          <w:w w:val="105"/>
          <w:sz w:val="21"/>
        </w:rPr>
        <w:t>who</w:t>
      </w:r>
      <w:r>
        <w:rPr>
          <w:spacing w:val="-7"/>
          <w:w w:val="105"/>
          <w:sz w:val="21"/>
        </w:rPr>
        <w:t> </w:t>
      </w:r>
      <w:r>
        <w:rPr>
          <w:spacing w:val="-2"/>
          <w:w w:val="105"/>
          <w:sz w:val="21"/>
        </w:rPr>
        <w:t>has</w:t>
      </w:r>
      <w:r>
        <w:rPr>
          <w:spacing w:val="-8"/>
          <w:w w:val="105"/>
          <w:sz w:val="21"/>
        </w:rPr>
        <w:t> </w:t>
      </w:r>
      <w:r>
        <w:rPr>
          <w:w w:val="105"/>
          <w:sz w:val="21"/>
        </w:rPr>
        <w:t>died</w:t>
      </w:r>
      <w:r>
        <w:rPr>
          <w:spacing w:val="-8"/>
          <w:w w:val="105"/>
          <w:sz w:val="21"/>
        </w:rPr>
        <w:t> </w:t>
      </w:r>
      <w:r>
        <w:rPr>
          <w:w w:val="105"/>
          <w:sz w:val="21"/>
        </w:rPr>
        <w:t>without </w:t>
      </w:r>
      <w:r>
        <w:rPr>
          <w:spacing w:val="-3"/>
          <w:w w:val="105"/>
          <w:sz w:val="21"/>
        </w:rPr>
        <w:t>making </w:t>
      </w:r>
      <w:r>
        <w:rPr>
          <w:w w:val="105"/>
          <w:sz w:val="21"/>
        </w:rPr>
        <w:t>a</w:t>
      </w:r>
      <w:r>
        <w:rPr>
          <w:spacing w:val="14"/>
          <w:w w:val="105"/>
          <w:sz w:val="21"/>
        </w:rPr>
        <w:t> </w:t>
      </w:r>
      <w:r>
        <w:rPr>
          <w:spacing w:val="-4"/>
          <w:w w:val="105"/>
          <w:sz w:val="21"/>
        </w:rPr>
        <w:t>will</w:t>
      </w:r>
    </w:p>
    <w:p>
      <w:pPr>
        <w:pStyle w:val="ListParagraph"/>
        <w:numPr>
          <w:ilvl w:val="2"/>
          <w:numId w:val="22"/>
        </w:numPr>
        <w:tabs>
          <w:tab w:pos="2721" w:val="left" w:leader="none"/>
          <w:tab w:pos="2722" w:val="left" w:leader="none"/>
        </w:tabs>
        <w:spacing w:line="240" w:lineRule="auto" w:before="123" w:after="0"/>
        <w:ind w:left="2721" w:right="0" w:hanging="340"/>
        <w:jc w:val="left"/>
        <w:rPr>
          <w:sz w:val="21"/>
        </w:rPr>
      </w:pPr>
      <w:r>
        <w:rPr>
          <w:sz w:val="21"/>
        </w:rPr>
        <w:t>special </w:t>
      </w:r>
      <w:r>
        <w:rPr>
          <w:spacing w:val="-3"/>
          <w:sz w:val="21"/>
        </w:rPr>
        <w:t>procedures for administering small</w:t>
      </w:r>
      <w:r>
        <w:rPr>
          <w:spacing w:val="9"/>
          <w:sz w:val="21"/>
        </w:rPr>
        <w:t> </w:t>
      </w:r>
      <w:r>
        <w:rPr>
          <w:sz w:val="21"/>
        </w:rPr>
        <w:t>estates</w:t>
      </w:r>
    </w:p>
    <w:p>
      <w:pPr>
        <w:pStyle w:val="ListParagraph"/>
        <w:numPr>
          <w:ilvl w:val="2"/>
          <w:numId w:val="22"/>
        </w:numPr>
        <w:tabs>
          <w:tab w:pos="2721" w:val="left" w:leader="none"/>
          <w:tab w:pos="2722" w:val="left" w:leader="none"/>
        </w:tabs>
        <w:spacing w:line="240" w:lineRule="auto" w:before="123" w:after="0"/>
        <w:ind w:left="2721" w:right="0" w:hanging="340"/>
        <w:jc w:val="left"/>
        <w:rPr>
          <w:sz w:val="21"/>
        </w:rPr>
      </w:pPr>
      <w:r>
        <w:rPr>
          <w:spacing w:val="-3"/>
          <w:sz w:val="21"/>
        </w:rPr>
        <w:t>family</w:t>
      </w:r>
      <w:r>
        <w:rPr>
          <w:spacing w:val="8"/>
          <w:sz w:val="21"/>
        </w:rPr>
        <w:t> </w:t>
      </w:r>
      <w:r>
        <w:rPr>
          <w:spacing w:val="-3"/>
          <w:sz w:val="21"/>
        </w:rPr>
        <w:t>provision.</w:t>
      </w:r>
    </w:p>
    <w:p>
      <w:pPr>
        <w:pStyle w:val="BodyText"/>
        <w:rPr>
          <w:sz w:val="20"/>
        </w:rPr>
      </w:pPr>
    </w:p>
    <w:p>
      <w:pPr>
        <w:pStyle w:val="BodyText"/>
        <w:rPr>
          <w:sz w:val="20"/>
        </w:rPr>
      </w:pPr>
    </w:p>
    <w:p>
      <w:pPr>
        <w:pStyle w:val="BodyText"/>
        <w:rPr>
          <w:sz w:val="20"/>
        </w:rPr>
      </w:pPr>
    </w:p>
    <w:p>
      <w:pPr>
        <w:pStyle w:val="BodyText"/>
        <w:spacing w:before="1"/>
        <w:rPr>
          <w:sz w:val="16"/>
        </w:rPr>
      </w:pPr>
      <w:r>
        <w:rPr/>
        <w:pict>
          <v:line style="position:absolute;mso-position-horizontal-relative:page;mso-position-vertical-relative:paragraph;z-index:-568;mso-wrap-distance-left:0;mso-wrap-distance-right:0" from="79.370102pt,12.28951pt" to="515.905102pt,12.28951pt" stroked="true" strokeweight="1pt" strokecolor="#f9ceca">
            <v:stroke dashstyle="solid"/>
            <w10:wrap type="topAndBottom"/>
          </v:line>
        </w:pict>
      </w:r>
    </w:p>
    <w:p>
      <w:pPr>
        <w:pStyle w:val="ListParagraph"/>
        <w:numPr>
          <w:ilvl w:val="0"/>
          <w:numId w:val="23"/>
        </w:numPr>
        <w:tabs>
          <w:tab w:pos="2380" w:val="left" w:leader="none"/>
          <w:tab w:pos="2382" w:val="left" w:leader="none"/>
        </w:tabs>
        <w:spacing w:line="240" w:lineRule="auto" w:before="117" w:after="0"/>
        <w:ind w:left="2381" w:right="1781" w:hanging="794"/>
        <w:jc w:val="left"/>
        <w:rPr>
          <w:sz w:val="13"/>
        </w:rPr>
      </w:pPr>
      <w:r>
        <w:rPr>
          <w:w w:val="105"/>
          <w:sz w:val="13"/>
        </w:rPr>
        <w:t>In 1984, the Attorney-General established a working </w:t>
      </w:r>
      <w:r>
        <w:rPr>
          <w:spacing w:val="2"/>
          <w:w w:val="105"/>
          <w:sz w:val="13"/>
        </w:rPr>
        <w:t>party </w:t>
      </w:r>
      <w:r>
        <w:rPr>
          <w:w w:val="105"/>
          <w:sz w:val="13"/>
        </w:rPr>
        <w:t>to review the </w:t>
      </w:r>
      <w:r>
        <w:rPr>
          <w:i/>
          <w:w w:val="105"/>
          <w:sz w:val="13"/>
        </w:rPr>
        <w:t>Wills Act 1958 </w:t>
      </w:r>
      <w:r>
        <w:rPr>
          <w:spacing w:val="2"/>
          <w:w w:val="105"/>
          <w:sz w:val="13"/>
        </w:rPr>
        <w:t>(Vic). </w:t>
      </w:r>
      <w:r>
        <w:rPr>
          <w:w w:val="105"/>
          <w:sz w:val="13"/>
        </w:rPr>
        <w:t>It comprised representatives of the Law Department, the Probate Office, the Law Faculty of the University of Melbourne, the Law Institute of Victoria and the Victorian Bar. </w:t>
      </w:r>
      <w:r>
        <w:rPr>
          <w:spacing w:val="2"/>
          <w:w w:val="105"/>
          <w:sz w:val="13"/>
        </w:rPr>
        <w:t>Its </w:t>
      </w:r>
      <w:r>
        <w:rPr>
          <w:w w:val="105"/>
          <w:sz w:val="13"/>
        </w:rPr>
        <w:t>report was presented to the Attorney-General in 1986 but not published. Work then began on drafting a Wills Act. The eighth draft was referred to the Parliamentary Law Reform Committee in</w:t>
      </w:r>
      <w:r>
        <w:rPr>
          <w:spacing w:val="5"/>
          <w:w w:val="105"/>
          <w:sz w:val="13"/>
        </w:rPr>
        <w:t> </w:t>
      </w:r>
      <w:r>
        <w:rPr>
          <w:w w:val="105"/>
          <w:sz w:val="13"/>
        </w:rPr>
        <w:t>1991.</w:t>
      </w:r>
    </w:p>
    <w:p>
      <w:pPr>
        <w:pStyle w:val="ListParagraph"/>
        <w:numPr>
          <w:ilvl w:val="0"/>
          <w:numId w:val="23"/>
        </w:numPr>
        <w:tabs>
          <w:tab w:pos="2380" w:val="left" w:leader="none"/>
          <w:tab w:pos="2382" w:val="left" w:leader="none"/>
        </w:tabs>
        <w:spacing w:line="240" w:lineRule="auto" w:before="5" w:after="0"/>
        <w:ind w:left="2381" w:right="0" w:hanging="794"/>
        <w:jc w:val="left"/>
        <w:rPr>
          <w:sz w:val="13"/>
        </w:rPr>
      </w:pPr>
      <w:r>
        <w:rPr/>
        <w:pict>
          <v:shape style="position:absolute;margin-left:36pt;margin-top:-4.197536pt;width:6.7pt;height:14.25pt;mso-position-horizontal-relative:page;mso-position-vertical-relative:paragraph;z-index:1504" type="#_x0000_t202" filled="false" stroked="false">
            <v:textbox inset="0,0,0,0">
              <w:txbxContent>
                <w:p>
                  <w:pPr>
                    <w:spacing w:line="284" w:lineRule="exact" w:before="0"/>
                    <w:ind w:left="0" w:right="0" w:firstLine="0"/>
                    <w:jc w:val="left"/>
                    <w:rPr>
                      <w:b/>
                      <w:sz w:val="24"/>
                    </w:rPr>
                  </w:pPr>
                  <w:r>
                    <w:rPr>
                      <w:b/>
                      <w:color w:val="EC5A4F"/>
                      <w:w w:val="109"/>
                      <w:sz w:val="24"/>
                    </w:rPr>
                    <w:t>2</w:t>
                  </w:r>
                </w:p>
              </w:txbxContent>
            </v:textbox>
            <w10:wrap type="none"/>
          </v:shape>
        </w:pict>
      </w:r>
      <w:r>
        <w:rPr>
          <w:w w:val="105"/>
          <w:sz w:val="13"/>
        </w:rPr>
        <w:t>Law</w:t>
      </w:r>
      <w:r>
        <w:rPr>
          <w:spacing w:val="4"/>
          <w:w w:val="105"/>
          <w:sz w:val="13"/>
        </w:rPr>
        <w:t> </w:t>
      </w:r>
      <w:r>
        <w:rPr>
          <w:w w:val="105"/>
          <w:sz w:val="13"/>
        </w:rPr>
        <w:t>Reform</w:t>
      </w:r>
      <w:r>
        <w:rPr>
          <w:spacing w:val="5"/>
          <w:w w:val="105"/>
          <w:sz w:val="13"/>
        </w:rPr>
        <w:t> </w:t>
      </w:r>
      <w:r>
        <w:rPr>
          <w:w w:val="105"/>
          <w:sz w:val="13"/>
        </w:rPr>
        <w:t>Committee,</w:t>
      </w:r>
      <w:r>
        <w:rPr>
          <w:spacing w:val="5"/>
          <w:w w:val="105"/>
          <w:sz w:val="13"/>
        </w:rPr>
        <w:t> </w:t>
      </w:r>
      <w:r>
        <w:rPr>
          <w:w w:val="105"/>
          <w:sz w:val="13"/>
        </w:rPr>
        <w:t>Parliament</w:t>
      </w:r>
      <w:r>
        <w:rPr>
          <w:spacing w:val="4"/>
          <w:w w:val="105"/>
          <w:sz w:val="13"/>
        </w:rPr>
        <w:t> </w:t>
      </w:r>
      <w:r>
        <w:rPr>
          <w:w w:val="105"/>
          <w:sz w:val="13"/>
        </w:rPr>
        <w:t>of</w:t>
      </w:r>
      <w:r>
        <w:rPr>
          <w:spacing w:val="5"/>
          <w:w w:val="105"/>
          <w:sz w:val="13"/>
        </w:rPr>
        <w:t> </w:t>
      </w:r>
      <w:r>
        <w:rPr>
          <w:w w:val="105"/>
          <w:sz w:val="13"/>
        </w:rPr>
        <w:t>Victoria,</w:t>
      </w:r>
      <w:r>
        <w:rPr>
          <w:spacing w:val="5"/>
          <w:w w:val="105"/>
          <w:sz w:val="13"/>
        </w:rPr>
        <w:t> </w:t>
      </w:r>
      <w:r>
        <w:rPr>
          <w:i/>
          <w:w w:val="105"/>
          <w:sz w:val="13"/>
        </w:rPr>
        <w:t>Reforming</w:t>
      </w:r>
      <w:r>
        <w:rPr>
          <w:i/>
          <w:spacing w:val="4"/>
          <w:w w:val="105"/>
          <w:sz w:val="13"/>
        </w:rPr>
        <w:t> </w:t>
      </w:r>
      <w:r>
        <w:rPr>
          <w:i/>
          <w:w w:val="105"/>
          <w:sz w:val="13"/>
        </w:rPr>
        <w:t>the</w:t>
      </w:r>
      <w:r>
        <w:rPr>
          <w:i/>
          <w:spacing w:val="3"/>
          <w:w w:val="105"/>
          <w:sz w:val="13"/>
        </w:rPr>
        <w:t> </w:t>
      </w:r>
      <w:r>
        <w:rPr>
          <w:i/>
          <w:w w:val="105"/>
          <w:sz w:val="13"/>
        </w:rPr>
        <w:t>Law</w:t>
      </w:r>
      <w:r>
        <w:rPr>
          <w:i/>
          <w:spacing w:val="4"/>
          <w:w w:val="105"/>
          <w:sz w:val="13"/>
        </w:rPr>
        <w:t> </w:t>
      </w:r>
      <w:r>
        <w:rPr>
          <w:i/>
          <w:w w:val="105"/>
          <w:sz w:val="13"/>
        </w:rPr>
        <w:t>of</w:t>
      </w:r>
      <w:r>
        <w:rPr>
          <w:i/>
          <w:spacing w:val="4"/>
          <w:w w:val="105"/>
          <w:sz w:val="13"/>
        </w:rPr>
        <w:t> </w:t>
      </w:r>
      <w:r>
        <w:rPr>
          <w:i/>
          <w:w w:val="105"/>
          <w:sz w:val="13"/>
        </w:rPr>
        <w:t>Wills</w:t>
      </w:r>
      <w:r>
        <w:rPr>
          <w:i/>
          <w:spacing w:val="4"/>
          <w:w w:val="105"/>
          <w:sz w:val="13"/>
        </w:rPr>
        <w:t> </w:t>
      </w:r>
      <w:r>
        <w:rPr>
          <w:w w:val="105"/>
          <w:sz w:val="13"/>
        </w:rPr>
        <w:t>(1994).</w:t>
      </w:r>
    </w:p>
    <w:p>
      <w:pPr>
        <w:spacing w:after="0" w:line="240" w:lineRule="auto"/>
        <w:jc w:val="left"/>
        <w:rPr>
          <w:sz w:val="13"/>
        </w:rPr>
        <w:sectPr>
          <w:pgSz w:w="11910" w:h="16840"/>
          <w:pgMar w:header="550" w:footer="0" w:top="1560" w:bottom="280" w:left="0" w:right="0"/>
        </w:sectPr>
      </w:pPr>
    </w:p>
    <w:p>
      <w:pPr>
        <w:pStyle w:val="Heading1"/>
        <w:tabs>
          <w:tab w:pos="1417" w:val="left" w:leader="none"/>
        </w:tabs>
        <w:jc w:val="right"/>
      </w:pPr>
      <w:bookmarkStart w:name="The Commission’s process" w:id="10"/>
      <w:bookmarkEnd w:id="10"/>
      <w:r>
        <w:rPr>
          <w:b w:val="0"/>
        </w:rPr>
      </w:r>
      <w:r>
        <w:rPr>
          <w:color w:val="FFFFFF"/>
          <w:w w:val="122"/>
          <w:shd w:fill="EC5A4F" w:color="auto" w:val="clear"/>
        </w:rPr>
        <w:t> </w:t>
      </w:r>
      <w:r>
        <w:rPr>
          <w:color w:val="FFFFFF"/>
          <w:spacing w:val="41"/>
          <w:shd w:fill="EC5A4F" w:color="auto" w:val="clear"/>
        </w:rPr>
        <w:t> </w:t>
      </w:r>
      <w:r>
        <w:rPr>
          <w:color w:val="FFFFFF"/>
          <w:w w:val="105"/>
          <w:shd w:fill="EC5A4F" w:color="auto" w:val="clear"/>
        </w:rPr>
        <w:t>1</w:t>
      </w:r>
      <w:r>
        <w:rPr>
          <w:color w:val="FFFFFF"/>
          <w:shd w:fill="EC5A4F" w:color="auto" w:val="clear"/>
        </w:rPr>
        <w:tab/>
      </w:r>
    </w:p>
    <w:p>
      <w:pPr>
        <w:pStyle w:val="BodyText"/>
        <w:rPr>
          <w:b/>
          <w:sz w:val="20"/>
        </w:rPr>
      </w:pPr>
    </w:p>
    <w:p>
      <w:pPr>
        <w:pStyle w:val="BodyText"/>
        <w:spacing w:before="11"/>
        <w:rPr>
          <w:b/>
          <w:sz w:val="16"/>
        </w:rPr>
      </w:pPr>
    </w:p>
    <w:p>
      <w:pPr>
        <w:pStyle w:val="Heading5"/>
        <w:spacing w:before="99"/>
      </w:pPr>
      <w:r>
        <w:rPr>
          <w:w w:val="115"/>
        </w:rPr>
        <w:t>The National Uniform Succession Laws project</w:t>
      </w:r>
    </w:p>
    <w:p>
      <w:pPr>
        <w:pStyle w:val="ListParagraph"/>
        <w:numPr>
          <w:ilvl w:val="1"/>
          <w:numId w:val="22"/>
        </w:numPr>
        <w:tabs>
          <w:tab w:pos="2380" w:val="left" w:leader="none"/>
          <w:tab w:pos="2381" w:val="left" w:leader="none"/>
        </w:tabs>
        <w:spacing w:line="242" w:lineRule="auto" w:before="137" w:after="0"/>
        <w:ind w:left="2381" w:right="1668" w:hanging="794"/>
        <w:jc w:val="left"/>
        <w:rPr>
          <w:sz w:val="21"/>
        </w:rPr>
      </w:pPr>
      <w:r>
        <w:rPr>
          <w:w w:val="105"/>
          <w:sz w:val="21"/>
        </w:rPr>
        <w:t>In </w:t>
      </w:r>
      <w:r>
        <w:rPr>
          <w:spacing w:val="-3"/>
          <w:w w:val="105"/>
          <w:sz w:val="21"/>
        </w:rPr>
        <w:t>conducting </w:t>
      </w:r>
      <w:r>
        <w:rPr>
          <w:w w:val="105"/>
          <w:sz w:val="21"/>
        </w:rPr>
        <w:t>the </w:t>
      </w:r>
      <w:r>
        <w:rPr>
          <w:spacing w:val="-5"/>
          <w:w w:val="105"/>
          <w:sz w:val="21"/>
        </w:rPr>
        <w:t>review, </w:t>
      </w:r>
      <w:r>
        <w:rPr>
          <w:w w:val="105"/>
          <w:sz w:val="21"/>
        </w:rPr>
        <w:t>the </w:t>
      </w:r>
      <w:r>
        <w:rPr>
          <w:spacing w:val="-4"/>
          <w:w w:val="105"/>
          <w:sz w:val="21"/>
        </w:rPr>
        <w:t>Commission </w:t>
      </w:r>
      <w:r>
        <w:rPr>
          <w:w w:val="105"/>
          <w:sz w:val="21"/>
        </w:rPr>
        <w:t>is </w:t>
      </w:r>
      <w:r>
        <w:rPr>
          <w:spacing w:val="-4"/>
          <w:w w:val="105"/>
          <w:sz w:val="21"/>
        </w:rPr>
        <w:t>required </w:t>
      </w:r>
      <w:r>
        <w:rPr>
          <w:spacing w:val="-3"/>
          <w:w w:val="105"/>
          <w:sz w:val="21"/>
        </w:rPr>
        <w:t>by </w:t>
      </w:r>
      <w:r>
        <w:rPr>
          <w:w w:val="105"/>
          <w:sz w:val="21"/>
        </w:rPr>
        <w:t>the </w:t>
      </w:r>
      <w:r>
        <w:rPr>
          <w:spacing w:val="-3"/>
          <w:w w:val="105"/>
          <w:sz w:val="21"/>
        </w:rPr>
        <w:t>terms of </w:t>
      </w:r>
      <w:r>
        <w:rPr>
          <w:spacing w:val="-4"/>
          <w:w w:val="105"/>
          <w:sz w:val="21"/>
        </w:rPr>
        <w:t>reference </w:t>
      </w:r>
      <w:r>
        <w:rPr>
          <w:spacing w:val="-3"/>
          <w:w w:val="105"/>
          <w:sz w:val="21"/>
        </w:rPr>
        <w:t>to </w:t>
      </w:r>
      <w:r>
        <w:rPr>
          <w:spacing w:val="-4"/>
          <w:w w:val="105"/>
          <w:sz w:val="21"/>
        </w:rPr>
        <w:t>take account </w:t>
      </w:r>
      <w:r>
        <w:rPr>
          <w:spacing w:val="-3"/>
          <w:w w:val="105"/>
          <w:sz w:val="21"/>
        </w:rPr>
        <w:t>of </w:t>
      </w:r>
      <w:r>
        <w:rPr>
          <w:spacing w:val="-4"/>
          <w:w w:val="105"/>
          <w:sz w:val="21"/>
        </w:rPr>
        <w:t>recommendations </w:t>
      </w:r>
      <w:r>
        <w:rPr>
          <w:spacing w:val="-3"/>
          <w:w w:val="105"/>
          <w:sz w:val="21"/>
        </w:rPr>
        <w:t>made by </w:t>
      </w:r>
      <w:r>
        <w:rPr>
          <w:w w:val="105"/>
          <w:sz w:val="21"/>
        </w:rPr>
        <w:t>the </w:t>
      </w:r>
      <w:r>
        <w:rPr>
          <w:spacing w:val="-3"/>
          <w:w w:val="105"/>
          <w:sz w:val="21"/>
        </w:rPr>
        <w:t>National </w:t>
      </w:r>
      <w:r>
        <w:rPr>
          <w:spacing w:val="-4"/>
          <w:w w:val="105"/>
          <w:sz w:val="21"/>
        </w:rPr>
        <w:t>Committee </w:t>
      </w:r>
      <w:r>
        <w:rPr>
          <w:spacing w:val="-3"/>
          <w:w w:val="105"/>
          <w:sz w:val="21"/>
        </w:rPr>
        <w:t>for </w:t>
      </w:r>
      <w:r>
        <w:rPr>
          <w:spacing w:val="-4"/>
          <w:w w:val="105"/>
          <w:sz w:val="21"/>
        </w:rPr>
        <w:t>Uniform Succession </w:t>
      </w:r>
      <w:r>
        <w:rPr>
          <w:w w:val="105"/>
          <w:sz w:val="21"/>
        </w:rPr>
        <w:t>Laws. The </w:t>
      </w:r>
      <w:r>
        <w:rPr>
          <w:spacing w:val="-3"/>
          <w:w w:val="105"/>
          <w:sz w:val="21"/>
        </w:rPr>
        <w:t>National </w:t>
      </w:r>
      <w:r>
        <w:rPr>
          <w:spacing w:val="-4"/>
          <w:w w:val="105"/>
          <w:sz w:val="21"/>
        </w:rPr>
        <w:t>Committee </w:t>
      </w:r>
      <w:r>
        <w:rPr>
          <w:spacing w:val="-3"/>
          <w:w w:val="105"/>
          <w:sz w:val="21"/>
        </w:rPr>
        <w:t>guided </w:t>
      </w:r>
      <w:r>
        <w:rPr>
          <w:w w:val="105"/>
          <w:sz w:val="21"/>
        </w:rPr>
        <w:t>the </w:t>
      </w:r>
      <w:r>
        <w:rPr>
          <w:spacing w:val="-3"/>
          <w:w w:val="105"/>
          <w:sz w:val="21"/>
        </w:rPr>
        <w:t>National </w:t>
      </w:r>
      <w:r>
        <w:rPr>
          <w:spacing w:val="-4"/>
          <w:w w:val="105"/>
          <w:sz w:val="21"/>
        </w:rPr>
        <w:t>Uniform Succession </w:t>
      </w:r>
      <w:r>
        <w:rPr>
          <w:w w:val="105"/>
          <w:sz w:val="21"/>
        </w:rPr>
        <w:t>Laws </w:t>
      </w:r>
      <w:r>
        <w:rPr>
          <w:spacing w:val="-3"/>
          <w:w w:val="105"/>
          <w:sz w:val="21"/>
        </w:rPr>
        <w:t>project, which was </w:t>
      </w:r>
      <w:r>
        <w:rPr>
          <w:w w:val="105"/>
          <w:sz w:val="21"/>
        </w:rPr>
        <w:t>an </w:t>
      </w:r>
      <w:r>
        <w:rPr>
          <w:spacing w:val="-4"/>
          <w:w w:val="105"/>
          <w:sz w:val="21"/>
        </w:rPr>
        <w:t>initiative </w:t>
      </w:r>
      <w:r>
        <w:rPr>
          <w:spacing w:val="-3"/>
          <w:w w:val="105"/>
          <w:sz w:val="21"/>
        </w:rPr>
        <w:t>of </w:t>
      </w:r>
      <w:r>
        <w:rPr>
          <w:w w:val="105"/>
          <w:sz w:val="21"/>
        </w:rPr>
        <w:t>the </w:t>
      </w:r>
      <w:r>
        <w:rPr>
          <w:spacing w:val="-3"/>
          <w:w w:val="105"/>
          <w:sz w:val="21"/>
        </w:rPr>
        <w:t>former </w:t>
      </w:r>
      <w:r>
        <w:rPr>
          <w:spacing w:val="-4"/>
          <w:w w:val="105"/>
          <w:sz w:val="21"/>
        </w:rPr>
        <w:t>Standing Committee </w:t>
      </w:r>
      <w:r>
        <w:rPr>
          <w:spacing w:val="-3"/>
          <w:w w:val="105"/>
          <w:sz w:val="21"/>
        </w:rPr>
        <w:t>of Attorneys-General </w:t>
      </w:r>
      <w:r>
        <w:rPr>
          <w:w w:val="105"/>
          <w:sz w:val="21"/>
        </w:rPr>
        <w:t>(SCAG).</w:t>
      </w:r>
      <w:r>
        <w:rPr>
          <w:w w:val="105"/>
          <w:position w:val="7"/>
          <w:sz w:val="12"/>
        </w:rPr>
        <w:t>3</w:t>
      </w:r>
      <w:r>
        <w:rPr>
          <w:w w:val="105"/>
          <w:sz w:val="12"/>
        </w:rPr>
        <w:t> </w:t>
      </w:r>
      <w:r>
        <w:rPr>
          <w:spacing w:val="-2"/>
          <w:w w:val="105"/>
          <w:sz w:val="21"/>
        </w:rPr>
        <w:t>The </w:t>
      </w:r>
      <w:r>
        <w:rPr>
          <w:spacing w:val="-4"/>
          <w:w w:val="105"/>
          <w:sz w:val="21"/>
        </w:rPr>
        <w:t>aim </w:t>
      </w:r>
      <w:r>
        <w:rPr>
          <w:spacing w:val="-3"/>
          <w:w w:val="105"/>
          <w:sz w:val="21"/>
        </w:rPr>
        <w:t>of the project was </w:t>
      </w:r>
      <w:r>
        <w:rPr>
          <w:spacing w:val="-4"/>
          <w:w w:val="105"/>
          <w:sz w:val="21"/>
        </w:rPr>
        <w:t>to develop </w:t>
      </w:r>
      <w:r>
        <w:rPr>
          <w:spacing w:val="-5"/>
          <w:w w:val="105"/>
          <w:sz w:val="21"/>
        </w:rPr>
        <w:t>uniform succession </w:t>
      </w:r>
      <w:r>
        <w:rPr>
          <w:spacing w:val="-4"/>
          <w:w w:val="105"/>
          <w:sz w:val="21"/>
        </w:rPr>
        <w:t>law and practice across</w:t>
      </w:r>
      <w:r>
        <w:rPr>
          <w:spacing w:val="-16"/>
          <w:w w:val="105"/>
          <w:sz w:val="21"/>
        </w:rPr>
        <w:t> </w:t>
      </w:r>
      <w:r>
        <w:rPr>
          <w:spacing w:val="-5"/>
          <w:w w:val="105"/>
          <w:sz w:val="21"/>
        </w:rPr>
        <w:t>Australia.</w:t>
      </w:r>
    </w:p>
    <w:p>
      <w:pPr>
        <w:pStyle w:val="ListParagraph"/>
        <w:numPr>
          <w:ilvl w:val="1"/>
          <w:numId w:val="22"/>
        </w:numPr>
        <w:tabs>
          <w:tab w:pos="2380" w:val="left" w:leader="none"/>
          <w:tab w:pos="2381" w:val="left" w:leader="none"/>
        </w:tabs>
        <w:spacing w:line="242" w:lineRule="auto" w:before="126" w:after="0"/>
        <w:ind w:left="2380" w:right="2063" w:hanging="793"/>
        <w:jc w:val="left"/>
        <w:rPr>
          <w:sz w:val="21"/>
        </w:rPr>
      </w:pPr>
      <w:r>
        <w:rPr>
          <w:w w:val="105"/>
          <w:sz w:val="21"/>
        </w:rPr>
        <w:t>The</w:t>
      </w:r>
      <w:r>
        <w:rPr>
          <w:spacing w:val="-11"/>
          <w:w w:val="105"/>
          <w:sz w:val="21"/>
        </w:rPr>
        <w:t> </w:t>
      </w:r>
      <w:r>
        <w:rPr>
          <w:spacing w:val="-3"/>
          <w:w w:val="105"/>
          <w:sz w:val="21"/>
        </w:rPr>
        <w:t>National</w:t>
      </w:r>
      <w:r>
        <w:rPr>
          <w:spacing w:val="-10"/>
          <w:w w:val="105"/>
          <w:sz w:val="21"/>
        </w:rPr>
        <w:t> </w:t>
      </w:r>
      <w:r>
        <w:rPr>
          <w:spacing w:val="-3"/>
          <w:w w:val="105"/>
          <w:sz w:val="21"/>
        </w:rPr>
        <w:t>Committee</w:t>
      </w:r>
      <w:r>
        <w:rPr>
          <w:spacing w:val="-10"/>
          <w:w w:val="105"/>
          <w:sz w:val="21"/>
        </w:rPr>
        <w:t> </w:t>
      </w:r>
      <w:r>
        <w:rPr>
          <w:w w:val="105"/>
          <w:sz w:val="21"/>
        </w:rPr>
        <w:t>conducted</w:t>
      </w:r>
      <w:r>
        <w:rPr>
          <w:spacing w:val="-10"/>
          <w:w w:val="105"/>
          <w:sz w:val="21"/>
        </w:rPr>
        <w:t> </w:t>
      </w:r>
      <w:r>
        <w:rPr>
          <w:w w:val="105"/>
          <w:sz w:val="21"/>
        </w:rPr>
        <w:t>extensive</w:t>
      </w:r>
      <w:r>
        <w:rPr>
          <w:spacing w:val="-10"/>
          <w:w w:val="105"/>
          <w:sz w:val="21"/>
        </w:rPr>
        <w:t> </w:t>
      </w:r>
      <w:r>
        <w:rPr>
          <w:spacing w:val="-3"/>
          <w:w w:val="105"/>
          <w:sz w:val="21"/>
        </w:rPr>
        <w:t>research</w:t>
      </w:r>
      <w:r>
        <w:rPr>
          <w:spacing w:val="-10"/>
          <w:w w:val="105"/>
          <w:sz w:val="21"/>
        </w:rPr>
        <w:t> </w:t>
      </w:r>
      <w:r>
        <w:rPr>
          <w:w w:val="105"/>
          <w:sz w:val="21"/>
        </w:rPr>
        <w:t>in</w:t>
      </w:r>
      <w:r>
        <w:rPr>
          <w:spacing w:val="-11"/>
          <w:w w:val="105"/>
          <w:sz w:val="21"/>
        </w:rPr>
        <w:t> </w:t>
      </w:r>
      <w:r>
        <w:rPr>
          <w:w w:val="105"/>
          <w:sz w:val="21"/>
        </w:rPr>
        <w:t>conjunction</w:t>
      </w:r>
      <w:r>
        <w:rPr>
          <w:spacing w:val="-10"/>
          <w:w w:val="105"/>
          <w:sz w:val="21"/>
        </w:rPr>
        <w:t> </w:t>
      </w:r>
      <w:r>
        <w:rPr>
          <w:w w:val="105"/>
          <w:sz w:val="21"/>
        </w:rPr>
        <w:t>with</w:t>
      </w:r>
      <w:r>
        <w:rPr>
          <w:spacing w:val="-10"/>
          <w:w w:val="105"/>
          <w:sz w:val="21"/>
        </w:rPr>
        <w:t> </w:t>
      </w:r>
      <w:r>
        <w:rPr>
          <w:w w:val="105"/>
          <w:sz w:val="21"/>
        </w:rPr>
        <w:t>a</w:t>
      </w:r>
      <w:r>
        <w:rPr>
          <w:spacing w:val="-10"/>
          <w:w w:val="105"/>
          <w:sz w:val="21"/>
        </w:rPr>
        <w:t> </w:t>
      </w:r>
      <w:r>
        <w:rPr>
          <w:w w:val="105"/>
          <w:sz w:val="21"/>
        </w:rPr>
        <w:t>number of law </w:t>
      </w:r>
      <w:r>
        <w:rPr>
          <w:spacing w:val="-3"/>
          <w:w w:val="105"/>
          <w:sz w:val="21"/>
        </w:rPr>
        <w:t>reform </w:t>
      </w:r>
      <w:r>
        <w:rPr>
          <w:w w:val="105"/>
          <w:sz w:val="21"/>
        </w:rPr>
        <w:t>bodies over a period of </w:t>
      </w:r>
      <w:r>
        <w:rPr>
          <w:spacing w:val="-7"/>
          <w:w w:val="105"/>
          <w:sz w:val="21"/>
        </w:rPr>
        <w:t>14 </w:t>
      </w:r>
      <w:r>
        <w:rPr>
          <w:w w:val="105"/>
          <w:sz w:val="21"/>
        </w:rPr>
        <w:t>years and </w:t>
      </w:r>
      <w:r>
        <w:rPr>
          <w:spacing w:val="-3"/>
          <w:w w:val="105"/>
          <w:sz w:val="21"/>
        </w:rPr>
        <w:t>published </w:t>
      </w:r>
      <w:r>
        <w:rPr>
          <w:w w:val="105"/>
          <w:sz w:val="21"/>
        </w:rPr>
        <w:t>reports on the</w:t>
      </w:r>
      <w:r>
        <w:rPr>
          <w:spacing w:val="-9"/>
          <w:w w:val="105"/>
          <w:sz w:val="21"/>
        </w:rPr>
        <w:t> </w:t>
      </w:r>
      <w:r>
        <w:rPr>
          <w:w w:val="105"/>
          <w:sz w:val="21"/>
        </w:rPr>
        <w:t>law</w:t>
      </w:r>
    </w:p>
    <w:p>
      <w:pPr>
        <w:pStyle w:val="BodyText"/>
        <w:spacing w:line="242" w:lineRule="auto" w:before="2"/>
        <w:ind w:left="2380" w:right="1711"/>
      </w:pPr>
      <w:r>
        <w:rPr>
          <w:w w:val="105"/>
        </w:rPr>
        <w:t>of </w:t>
      </w:r>
      <w:r>
        <w:rPr>
          <w:spacing w:val="-3"/>
          <w:w w:val="105"/>
        </w:rPr>
        <w:t>wills </w:t>
      </w:r>
      <w:r>
        <w:rPr>
          <w:spacing w:val="-5"/>
          <w:w w:val="105"/>
        </w:rPr>
        <w:t>(1997), </w:t>
      </w:r>
      <w:r>
        <w:rPr>
          <w:spacing w:val="-3"/>
          <w:w w:val="105"/>
        </w:rPr>
        <w:t>family provision </w:t>
      </w:r>
      <w:r>
        <w:rPr>
          <w:spacing w:val="-6"/>
          <w:w w:val="105"/>
        </w:rPr>
        <w:t>(1997 </w:t>
      </w:r>
      <w:r>
        <w:rPr>
          <w:w w:val="105"/>
        </w:rPr>
        <w:t>and 2004), intestacy </w:t>
      </w:r>
      <w:r>
        <w:rPr>
          <w:spacing w:val="-3"/>
          <w:w w:val="105"/>
        </w:rPr>
        <w:t>(2007) </w:t>
      </w:r>
      <w:r>
        <w:rPr>
          <w:w w:val="105"/>
        </w:rPr>
        <w:t>and the </w:t>
      </w:r>
      <w:r>
        <w:rPr>
          <w:spacing w:val="-3"/>
          <w:w w:val="105"/>
        </w:rPr>
        <w:t>administration </w:t>
      </w:r>
      <w:r>
        <w:rPr>
          <w:w w:val="105"/>
        </w:rPr>
        <w:t>of deceased estates (2009).</w:t>
      </w:r>
    </w:p>
    <w:p>
      <w:pPr>
        <w:pStyle w:val="BodyText"/>
        <w:spacing w:before="9"/>
      </w:pPr>
    </w:p>
    <w:p>
      <w:pPr>
        <w:spacing w:before="0"/>
        <w:ind w:left="1587" w:right="0" w:firstLine="0"/>
        <w:jc w:val="left"/>
        <w:rPr>
          <w:b/>
          <w:sz w:val="28"/>
        </w:rPr>
      </w:pPr>
      <w:r>
        <w:rPr>
          <w:b/>
          <w:color w:val="EC5A4F"/>
          <w:w w:val="110"/>
          <w:sz w:val="28"/>
        </w:rPr>
        <w:t>The Commission’s process</w:t>
      </w:r>
    </w:p>
    <w:p>
      <w:pPr>
        <w:pStyle w:val="ListParagraph"/>
        <w:numPr>
          <w:ilvl w:val="1"/>
          <w:numId w:val="22"/>
        </w:numPr>
        <w:tabs>
          <w:tab w:pos="2380" w:val="left" w:leader="none"/>
          <w:tab w:pos="2381" w:val="left" w:leader="none"/>
        </w:tabs>
        <w:spacing w:line="242" w:lineRule="auto" w:before="155" w:after="0"/>
        <w:ind w:left="2381" w:right="1937" w:hanging="794"/>
        <w:jc w:val="left"/>
        <w:rPr>
          <w:sz w:val="21"/>
        </w:rPr>
      </w:pPr>
      <w:r>
        <w:rPr>
          <w:w w:val="105"/>
          <w:sz w:val="21"/>
        </w:rPr>
        <w:t>The </w:t>
      </w:r>
      <w:r>
        <w:rPr>
          <w:spacing w:val="-4"/>
          <w:w w:val="105"/>
          <w:sz w:val="21"/>
        </w:rPr>
        <w:t>Commission’s </w:t>
      </w:r>
      <w:r>
        <w:rPr>
          <w:w w:val="105"/>
          <w:sz w:val="21"/>
        </w:rPr>
        <w:t>review was led by Dr Ian </w:t>
      </w:r>
      <w:r>
        <w:rPr>
          <w:spacing w:val="-3"/>
          <w:w w:val="105"/>
          <w:sz w:val="21"/>
        </w:rPr>
        <w:t>Hardingham </w:t>
      </w:r>
      <w:r>
        <w:rPr>
          <w:w w:val="105"/>
          <w:sz w:val="21"/>
        </w:rPr>
        <w:t>QC and guided by a Division </w:t>
      </w:r>
      <w:r>
        <w:rPr>
          <w:spacing w:val="-3"/>
          <w:w w:val="105"/>
          <w:sz w:val="21"/>
        </w:rPr>
        <w:t>chaired</w:t>
      </w:r>
      <w:r>
        <w:rPr>
          <w:spacing w:val="-5"/>
          <w:w w:val="105"/>
          <w:sz w:val="21"/>
        </w:rPr>
        <w:t> </w:t>
      </w:r>
      <w:r>
        <w:rPr>
          <w:w w:val="105"/>
          <w:sz w:val="21"/>
        </w:rPr>
        <w:t>by</w:t>
      </w:r>
      <w:r>
        <w:rPr>
          <w:spacing w:val="-5"/>
          <w:w w:val="105"/>
          <w:sz w:val="21"/>
        </w:rPr>
        <w:t> </w:t>
      </w:r>
      <w:r>
        <w:rPr>
          <w:w w:val="105"/>
          <w:sz w:val="21"/>
        </w:rPr>
        <w:t>the</w:t>
      </w:r>
      <w:r>
        <w:rPr>
          <w:spacing w:val="-5"/>
          <w:w w:val="105"/>
          <w:sz w:val="21"/>
        </w:rPr>
        <w:t> </w:t>
      </w:r>
      <w:r>
        <w:rPr>
          <w:w w:val="105"/>
          <w:sz w:val="21"/>
        </w:rPr>
        <w:t>Hon.</w:t>
      </w:r>
      <w:r>
        <w:rPr>
          <w:spacing w:val="-5"/>
          <w:w w:val="105"/>
          <w:sz w:val="21"/>
        </w:rPr>
        <w:t> </w:t>
      </w:r>
      <w:r>
        <w:rPr>
          <w:spacing w:val="-3"/>
          <w:w w:val="105"/>
          <w:sz w:val="21"/>
        </w:rPr>
        <w:t>Philip</w:t>
      </w:r>
      <w:r>
        <w:rPr>
          <w:spacing w:val="-5"/>
          <w:w w:val="105"/>
          <w:sz w:val="21"/>
        </w:rPr>
        <w:t> </w:t>
      </w:r>
      <w:r>
        <w:rPr>
          <w:spacing w:val="-4"/>
          <w:w w:val="105"/>
          <w:sz w:val="21"/>
        </w:rPr>
        <w:t>Cummins.</w:t>
      </w:r>
      <w:r>
        <w:rPr>
          <w:spacing w:val="-5"/>
          <w:w w:val="105"/>
          <w:sz w:val="21"/>
        </w:rPr>
        <w:t> </w:t>
      </w:r>
      <w:r>
        <w:rPr>
          <w:w w:val="105"/>
          <w:sz w:val="21"/>
        </w:rPr>
        <w:t>The</w:t>
      </w:r>
      <w:r>
        <w:rPr>
          <w:spacing w:val="-4"/>
          <w:w w:val="105"/>
          <w:sz w:val="21"/>
        </w:rPr>
        <w:t> </w:t>
      </w:r>
      <w:r>
        <w:rPr>
          <w:w w:val="105"/>
          <w:sz w:val="21"/>
        </w:rPr>
        <w:t>other</w:t>
      </w:r>
      <w:r>
        <w:rPr>
          <w:spacing w:val="-5"/>
          <w:w w:val="105"/>
          <w:sz w:val="21"/>
        </w:rPr>
        <w:t> </w:t>
      </w:r>
      <w:r>
        <w:rPr>
          <w:w w:val="105"/>
          <w:sz w:val="21"/>
        </w:rPr>
        <w:t>Division</w:t>
      </w:r>
      <w:r>
        <w:rPr>
          <w:spacing w:val="-5"/>
          <w:w w:val="105"/>
          <w:sz w:val="21"/>
        </w:rPr>
        <w:t> </w:t>
      </w:r>
      <w:r>
        <w:rPr>
          <w:w w:val="105"/>
          <w:sz w:val="21"/>
        </w:rPr>
        <w:t>members</w:t>
      </w:r>
      <w:r>
        <w:rPr>
          <w:spacing w:val="-5"/>
          <w:w w:val="105"/>
          <w:sz w:val="21"/>
        </w:rPr>
        <w:t> </w:t>
      </w:r>
      <w:r>
        <w:rPr>
          <w:spacing w:val="-3"/>
          <w:w w:val="105"/>
          <w:sz w:val="21"/>
        </w:rPr>
        <w:t>were</w:t>
      </w:r>
      <w:r>
        <w:rPr>
          <w:spacing w:val="-5"/>
          <w:w w:val="105"/>
          <w:sz w:val="21"/>
        </w:rPr>
        <w:t> </w:t>
      </w:r>
      <w:r>
        <w:rPr>
          <w:w w:val="105"/>
          <w:sz w:val="21"/>
        </w:rPr>
        <w:t>the</w:t>
      </w:r>
      <w:r>
        <w:rPr>
          <w:spacing w:val="-5"/>
          <w:w w:val="105"/>
          <w:sz w:val="21"/>
        </w:rPr>
        <w:t> </w:t>
      </w:r>
      <w:r>
        <w:rPr>
          <w:w w:val="105"/>
          <w:sz w:val="21"/>
        </w:rPr>
        <w:t>Hon.</w:t>
      </w:r>
      <w:r>
        <w:rPr>
          <w:spacing w:val="-5"/>
          <w:w w:val="105"/>
          <w:sz w:val="21"/>
        </w:rPr>
        <w:t> </w:t>
      </w:r>
      <w:r>
        <w:rPr>
          <w:spacing w:val="-3"/>
          <w:w w:val="105"/>
          <w:sz w:val="21"/>
        </w:rPr>
        <w:t>David </w:t>
      </w:r>
      <w:r>
        <w:rPr>
          <w:w w:val="105"/>
          <w:sz w:val="21"/>
        </w:rPr>
        <w:t>Jones AM and </w:t>
      </w:r>
      <w:r>
        <w:rPr>
          <w:spacing w:val="-2"/>
          <w:w w:val="105"/>
          <w:sz w:val="21"/>
        </w:rPr>
        <w:t>Eamonn </w:t>
      </w:r>
      <w:r>
        <w:rPr>
          <w:w w:val="105"/>
          <w:sz w:val="21"/>
        </w:rPr>
        <w:t>Moran PSM</w:t>
      </w:r>
      <w:r>
        <w:rPr>
          <w:spacing w:val="35"/>
          <w:w w:val="105"/>
          <w:sz w:val="21"/>
        </w:rPr>
        <w:t> </w:t>
      </w:r>
      <w:r>
        <w:rPr>
          <w:spacing w:val="-4"/>
          <w:w w:val="105"/>
          <w:sz w:val="21"/>
        </w:rPr>
        <w:t>QC.</w:t>
      </w:r>
    </w:p>
    <w:p>
      <w:pPr>
        <w:pStyle w:val="ListParagraph"/>
        <w:numPr>
          <w:ilvl w:val="1"/>
          <w:numId w:val="22"/>
        </w:numPr>
        <w:tabs>
          <w:tab w:pos="2380" w:val="left" w:leader="none"/>
          <w:tab w:pos="2381" w:val="left" w:leader="none"/>
        </w:tabs>
        <w:spacing w:line="242" w:lineRule="auto" w:before="124" w:after="0"/>
        <w:ind w:left="2381" w:right="1805" w:hanging="794"/>
        <w:jc w:val="left"/>
        <w:rPr>
          <w:sz w:val="21"/>
        </w:rPr>
      </w:pPr>
      <w:r>
        <w:rPr>
          <w:w w:val="105"/>
          <w:sz w:val="21"/>
        </w:rPr>
        <w:t>Shortly after Dr </w:t>
      </w:r>
      <w:r>
        <w:rPr>
          <w:spacing w:val="-4"/>
          <w:w w:val="105"/>
          <w:sz w:val="21"/>
        </w:rPr>
        <w:t>Hardingham’s </w:t>
      </w:r>
      <w:r>
        <w:rPr>
          <w:spacing w:val="-3"/>
          <w:w w:val="105"/>
          <w:sz w:val="21"/>
        </w:rPr>
        <w:t>appointment, </w:t>
      </w:r>
      <w:r>
        <w:rPr>
          <w:w w:val="105"/>
          <w:sz w:val="21"/>
        </w:rPr>
        <w:t>the </w:t>
      </w:r>
      <w:r>
        <w:rPr>
          <w:spacing w:val="-3"/>
          <w:w w:val="105"/>
          <w:sz w:val="21"/>
        </w:rPr>
        <w:t>Commission </w:t>
      </w:r>
      <w:r>
        <w:rPr>
          <w:w w:val="105"/>
          <w:sz w:val="21"/>
        </w:rPr>
        <w:t>formed an advisory committee</w:t>
      </w:r>
      <w:r>
        <w:rPr>
          <w:spacing w:val="-8"/>
          <w:w w:val="105"/>
          <w:sz w:val="21"/>
        </w:rPr>
        <w:t> </w:t>
      </w:r>
      <w:r>
        <w:rPr>
          <w:w w:val="105"/>
          <w:sz w:val="21"/>
        </w:rPr>
        <w:t>of</w:t>
      </w:r>
      <w:r>
        <w:rPr>
          <w:spacing w:val="-8"/>
          <w:w w:val="105"/>
          <w:sz w:val="21"/>
        </w:rPr>
        <w:t> </w:t>
      </w:r>
      <w:r>
        <w:rPr>
          <w:w w:val="105"/>
          <w:sz w:val="21"/>
        </w:rPr>
        <w:t>experts</w:t>
      </w:r>
      <w:r>
        <w:rPr>
          <w:spacing w:val="-8"/>
          <w:w w:val="105"/>
          <w:sz w:val="21"/>
        </w:rPr>
        <w:t> </w:t>
      </w:r>
      <w:r>
        <w:rPr>
          <w:spacing w:val="-3"/>
          <w:w w:val="105"/>
          <w:sz w:val="21"/>
        </w:rPr>
        <w:t>to</w:t>
      </w:r>
      <w:r>
        <w:rPr>
          <w:spacing w:val="-7"/>
          <w:w w:val="105"/>
          <w:sz w:val="21"/>
        </w:rPr>
        <w:t> </w:t>
      </w:r>
      <w:r>
        <w:rPr>
          <w:w w:val="105"/>
          <w:sz w:val="21"/>
        </w:rPr>
        <w:t>provide</w:t>
      </w:r>
      <w:r>
        <w:rPr>
          <w:spacing w:val="-8"/>
          <w:w w:val="105"/>
          <w:sz w:val="21"/>
        </w:rPr>
        <w:t> </w:t>
      </w:r>
      <w:r>
        <w:rPr>
          <w:spacing w:val="-3"/>
          <w:w w:val="105"/>
          <w:sz w:val="21"/>
        </w:rPr>
        <w:t>insights</w:t>
      </w:r>
      <w:r>
        <w:rPr>
          <w:spacing w:val="-8"/>
          <w:w w:val="105"/>
          <w:sz w:val="21"/>
        </w:rPr>
        <w:t> </w:t>
      </w:r>
      <w:r>
        <w:rPr>
          <w:spacing w:val="-4"/>
          <w:w w:val="105"/>
          <w:sz w:val="21"/>
        </w:rPr>
        <w:t>into</w:t>
      </w:r>
      <w:r>
        <w:rPr>
          <w:spacing w:val="-7"/>
          <w:w w:val="105"/>
          <w:sz w:val="21"/>
        </w:rPr>
        <w:t> </w:t>
      </w:r>
      <w:r>
        <w:rPr>
          <w:w w:val="105"/>
          <w:sz w:val="21"/>
        </w:rPr>
        <w:t>how</w:t>
      </w:r>
      <w:r>
        <w:rPr>
          <w:spacing w:val="-8"/>
          <w:w w:val="105"/>
          <w:sz w:val="21"/>
        </w:rPr>
        <w:t> </w:t>
      </w:r>
      <w:r>
        <w:rPr>
          <w:w w:val="105"/>
          <w:sz w:val="21"/>
        </w:rPr>
        <w:t>the</w:t>
      </w:r>
      <w:r>
        <w:rPr>
          <w:spacing w:val="-8"/>
          <w:w w:val="105"/>
          <w:sz w:val="21"/>
        </w:rPr>
        <w:t> </w:t>
      </w:r>
      <w:r>
        <w:rPr>
          <w:w w:val="105"/>
          <w:sz w:val="21"/>
        </w:rPr>
        <w:t>law</w:t>
      </w:r>
      <w:r>
        <w:rPr>
          <w:spacing w:val="-7"/>
          <w:w w:val="105"/>
          <w:sz w:val="21"/>
        </w:rPr>
        <w:t> </w:t>
      </w:r>
      <w:r>
        <w:rPr>
          <w:w w:val="105"/>
          <w:sz w:val="21"/>
        </w:rPr>
        <w:t>works</w:t>
      </w:r>
      <w:r>
        <w:rPr>
          <w:spacing w:val="-8"/>
          <w:w w:val="105"/>
          <w:sz w:val="21"/>
        </w:rPr>
        <w:t> </w:t>
      </w:r>
      <w:r>
        <w:rPr>
          <w:w w:val="105"/>
          <w:sz w:val="21"/>
        </w:rPr>
        <w:t>in</w:t>
      </w:r>
      <w:r>
        <w:rPr>
          <w:spacing w:val="-8"/>
          <w:w w:val="105"/>
          <w:sz w:val="21"/>
        </w:rPr>
        <w:t> </w:t>
      </w:r>
      <w:r>
        <w:rPr>
          <w:w w:val="105"/>
          <w:sz w:val="21"/>
        </w:rPr>
        <w:t>practice</w:t>
      </w:r>
      <w:r>
        <w:rPr>
          <w:spacing w:val="-7"/>
          <w:w w:val="105"/>
          <w:sz w:val="21"/>
        </w:rPr>
        <w:t> </w:t>
      </w:r>
      <w:r>
        <w:rPr>
          <w:w w:val="105"/>
          <w:sz w:val="21"/>
        </w:rPr>
        <w:t>and</w:t>
      </w:r>
      <w:r>
        <w:rPr>
          <w:spacing w:val="-8"/>
          <w:w w:val="105"/>
          <w:sz w:val="21"/>
        </w:rPr>
        <w:t> </w:t>
      </w:r>
      <w:r>
        <w:rPr>
          <w:w w:val="105"/>
          <w:sz w:val="21"/>
        </w:rPr>
        <w:t>discuss issues and options </w:t>
      </w:r>
      <w:r>
        <w:rPr>
          <w:spacing w:val="-3"/>
          <w:w w:val="105"/>
          <w:sz w:val="21"/>
        </w:rPr>
        <w:t>for reform. </w:t>
      </w:r>
      <w:r>
        <w:rPr>
          <w:w w:val="105"/>
          <w:sz w:val="21"/>
        </w:rPr>
        <w:t>The members </w:t>
      </w:r>
      <w:r>
        <w:rPr>
          <w:spacing w:val="-3"/>
          <w:w w:val="105"/>
          <w:sz w:val="21"/>
        </w:rPr>
        <w:t>were asked to bring </w:t>
      </w:r>
      <w:r>
        <w:rPr>
          <w:w w:val="105"/>
          <w:sz w:val="21"/>
        </w:rPr>
        <w:t>their expertise </w:t>
      </w:r>
      <w:r>
        <w:rPr>
          <w:spacing w:val="-3"/>
          <w:w w:val="105"/>
          <w:sz w:val="21"/>
        </w:rPr>
        <w:t>to </w:t>
      </w:r>
      <w:r>
        <w:rPr>
          <w:w w:val="105"/>
          <w:sz w:val="21"/>
        </w:rPr>
        <w:t>the issues</w:t>
      </w:r>
      <w:r>
        <w:rPr>
          <w:spacing w:val="-10"/>
          <w:w w:val="105"/>
          <w:sz w:val="21"/>
        </w:rPr>
        <w:t> </w:t>
      </w:r>
      <w:r>
        <w:rPr>
          <w:w w:val="105"/>
          <w:sz w:val="21"/>
        </w:rPr>
        <w:t>discussed</w:t>
      </w:r>
      <w:r>
        <w:rPr>
          <w:spacing w:val="-9"/>
          <w:w w:val="105"/>
          <w:sz w:val="21"/>
        </w:rPr>
        <w:t> </w:t>
      </w:r>
      <w:r>
        <w:rPr>
          <w:w w:val="105"/>
          <w:sz w:val="21"/>
        </w:rPr>
        <w:t>and</w:t>
      </w:r>
      <w:r>
        <w:rPr>
          <w:spacing w:val="-10"/>
          <w:w w:val="105"/>
          <w:sz w:val="21"/>
        </w:rPr>
        <w:t> </w:t>
      </w:r>
      <w:r>
        <w:rPr>
          <w:spacing w:val="-2"/>
          <w:w w:val="105"/>
          <w:sz w:val="21"/>
        </w:rPr>
        <w:t>not</w:t>
      </w:r>
      <w:r>
        <w:rPr>
          <w:spacing w:val="-9"/>
          <w:w w:val="105"/>
          <w:sz w:val="21"/>
        </w:rPr>
        <w:t> </w:t>
      </w:r>
      <w:r>
        <w:rPr>
          <w:w w:val="105"/>
          <w:sz w:val="21"/>
        </w:rPr>
        <w:t>necessarily</w:t>
      </w:r>
      <w:r>
        <w:rPr>
          <w:spacing w:val="-10"/>
          <w:w w:val="105"/>
          <w:sz w:val="21"/>
        </w:rPr>
        <w:t> </w:t>
      </w:r>
      <w:r>
        <w:rPr>
          <w:spacing w:val="-3"/>
          <w:w w:val="105"/>
          <w:sz w:val="21"/>
        </w:rPr>
        <w:t>represent</w:t>
      </w:r>
      <w:r>
        <w:rPr>
          <w:spacing w:val="-9"/>
          <w:w w:val="105"/>
          <w:sz w:val="21"/>
        </w:rPr>
        <w:t> </w:t>
      </w:r>
      <w:r>
        <w:rPr>
          <w:w w:val="105"/>
          <w:sz w:val="21"/>
        </w:rPr>
        <w:t>the</w:t>
      </w:r>
      <w:r>
        <w:rPr>
          <w:spacing w:val="-10"/>
          <w:w w:val="105"/>
          <w:sz w:val="21"/>
        </w:rPr>
        <w:t> </w:t>
      </w:r>
      <w:r>
        <w:rPr>
          <w:w w:val="105"/>
          <w:sz w:val="21"/>
        </w:rPr>
        <w:t>views</w:t>
      </w:r>
      <w:r>
        <w:rPr>
          <w:spacing w:val="-9"/>
          <w:w w:val="105"/>
          <w:sz w:val="21"/>
        </w:rPr>
        <w:t> </w:t>
      </w:r>
      <w:r>
        <w:rPr>
          <w:w w:val="105"/>
          <w:sz w:val="21"/>
        </w:rPr>
        <w:t>of</w:t>
      </w:r>
      <w:r>
        <w:rPr>
          <w:spacing w:val="-10"/>
          <w:w w:val="105"/>
          <w:sz w:val="21"/>
        </w:rPr>
        <w:t> </w:t>
      </w:r>
      <w:r>
        <w:rPr>
          <w:spacing w:val="-3"/>
          <w:w w:val="105"/>
          <w:sz w:val="21"/>
        </w:rPr>
        <w:t>any</w:t>
      </w:r>
      <w:r>
        <w:rPr>
          <w:spacing w:val="-9"/>
          <w:w w:val="105"/>
          <w:sz w:val="21"/>
        </w:rPr>
        <w:t> </w:t>
      </w:r>
      <w:r>
        <w:rPr>
          <w:spacing w:val="-3"/>
          <w:w w:val="105"/>
          <w:sz w:val="21"/>
        </w:rPr>
        <w:t>organisation</w:t>
      </w:r>
      <w:r>
        <w:rPr>
          <w:spacing w:val="-10"/>
          <w:w w:val="105"/>
          <w:sz w:val="21"/>
        </w:rPr>
        <w:t> </w:t>
      </w:r>
      <w:r>
        <w:rPr>
          <w:w w:val="105"/>
          <w:sz w:val="21"/>
        </w:rPr>
        <w:t>with</w:t>
      </w:r>
      <w:r>
        <w:rPr>
          <w:spacing w:val="-9"/>
          <w:w w:val="105"/>
          <w:sz w:val="21"/>
        </w:rPr>
        <w:t> </w:t>
      </w:r>
      <w:r>
        <w:rPr>
          <w:w w:val="105"/>
          <w:sz w:val="21"/>
        </w:rPr>
        <w:t>which they</w:t>
      </w:r>
      <w:r>
        <w:rPr>
          <w:spacing w:val="-7"/>
          <w:w w:val="105"/>
          <w:sz w:val="21"/>
        </w:rPr>
        <w:t> </w:t>
      </w:r>
      <w:r>
        <w:rPr>
          <w:w w:val="105"/>
          <w:sz w:val="21"/>
        </w:rPr>
        <w:t>work</w:t>
      </w:r>
      <w:r>
        <w:rPr>
          <w:spacing w:val="-7"/>
          <w:w w:val="105"/>
          <w:sz w:val="21"/>
        </w:rPr>
        <w:t> </w:t>
      </w:r>
      <w:r>
        <w:rPr>
          <w:w w:val="105"/>
          <w:sz w:val="21"/>
        </w:rPr>
        <w:t>or</w:t>
      </w:r>
      <w:r>
        <w:rPr>
          <w:spacing w:val="-6"/>
          <w:w w:val="105"/>
          <w:sz w:val="21"/>
        </w:rPr>
        <w:t> </w:t>
      </w:r>
      <w:r>
        <w:rPr>
          <w:spacing w:val="-3"/>
          <w:w w:val="105"/>
          <w:sz w:val="21"/>
        </w:rPr>
        <w:t>are</w:t>
      </w:r>
      <w:r>
        <w:rPr>
          <w:spacing w:val="-7"/>
          <w:w w:val="105"/>
          <w:sz w:val="21"/>
        </w:rPr>
        <w:t> </w:t>
      </w:r>
      <w:r>
        <w:rPr>
          <w:w w:val="105"/>
          <w:sz w:val="21"/>
        </w:rPr>
        <w:t>affiliated.</w:t>
      </w:r>
      <w:r>
        <w:rPr>
          <w:spacing w:val="-7"/>
          <w:w w:val="105"/>
          <w:sz w:val="21"/>
        </w:rPr>
        <w:t> </w:t>
      </w:r>
      <w:r>
        <w:rPr>
          <w:w w:val="105"/>
          <w:sz w:val="21"/>
        </w:rPr>
        <w:t>The</w:t>
      </w:r>
      <w:r>
        <w:rPr>
          <w:spacing w:val="-6"/>
          <w:w w:val="105"/>
          <w:sz w:val="21"/>
        </w:rPr>
        <w:t> </w:t>
      </w:r>
      <w:r>
        <w:rPr>
          <w:w w:val="105"/>
          <w:sz w:val="21"/>
        </w:rPr>
        <w:t>advisory</w:t>
      </w:r>
      <w:r>
        <w:rPr>
          <w:spacing w:val="-7"/>
          <w:w w:val="105"/>
          <w:sz w:val="21"/>
        </w:rPr>
        <w:t> </w:t>
      </w:r>
      <w:r>
        <w:rPr>
          <w:w w:val="105"/>
          <w:sz w:val="21"/>
        </w:rPr>
        <w:t>committee</w:t>
      </w:r>
      <w:r>
        <w:rPr>
          <w:spacing w:val="-7"/>
          <w:w w:val="105"/>
          <w:sz w:val="21"/>
        </w:rPr>
        <w:t> </w:t>
      </w:r>
      <w:r>
        <w:rPr>
          <w:w w:val="105"/>
          <w:sz w:val="21"/>
        </w:rPr>
        <w:t>met</w:t>
      </w:r>
      <w:r>
        <w:rPr>
          <w:spacing w:val="-6"/>
          <w:w w:val="105"/>
          <w:sz w:val="21"/>
        </w:rPr>
        <w:t> </w:t>
      </w:r>
      <w:r>
        <w:rPr>
          <w:spacing w:val="-3"/>
          <w:w w:val="105"/>
          <w:sz w:val="21"/>
        </w:rPr>
        <w:t>four</w:t>
      </w:r>
      <w:r>
        <w:rPr>
          <w:spacing w:val="-7"/>
          <w:w w:val="105"/>
          <w:sz w:val="21"/>
        </w:rPr>
        <w:t> </w:t>
      </w:r>
      <w:r>
        <w:rPr>
          <w:w w:val="105"/>
          <w:sz w:val="21"/>
        </w:rPr>
        <w:t>times</w:t>
      </w:r>
      <w:r>
        <w:rPr>
          <w:spacing w:val="-6"/>
          <w:w w:val="105"/>
          <w:sz w:val="21"/>
        </w:rPr>
        <w:t> </w:t>
      </w:r>
      <w:r>
        <w:rPr>
          <w:w w:val="105"/>
          <w:sz w:val="21"/>
        </w:rPr>
        <w:t>and</w:t>
      </w:r>
      <w:r>
        <w:rPr>
          <w:spacing w:val="-7"/>
          <w:w w:val="105"/>
          <w:sz w:val="21"/>
        </w:rPr>
        <w:t> </w:t>
      </w:r>
      <w:r>
        <w:rPr>
          <w:w w:val="105"/>
          <w:sz w:val="21"/>
        </w:rPr>
        <w:t>its</w:t>
      </w:r>
      <w:r>
        <w:rPr>
          <w:spacing w:val="-7"/>
          <w:w w:val="105"/>
          <w:sz w:val="21"/>
        </w:rPr>
        <w:t> </w:t>
      </w:r>
      <w:r>
        <w:rPr>
          <w:w w:val="105"/>
          <w:sz w:val="21"/>
        </w:rPr>
        <w:t>members</w:t>
      </w:r>
    </w:p>
    <w:p>
      <w:pPr>
        <w:pStyle w:val="BodyText"/>
        <w:spacing w:before="1"/>
        <w:ind w:left="2380"/>
      </w:pPr>
      <w:r>
        <w:rPr/>
        <w:t>are listed at </w:t>
      </w:r>
      <w:r>
        <w:rPr>
          <w:rFonts w:ascii="Lucida Sans"/>
          <w:b/>
        </w:rPr>
        <w:t>Appendix A</w:t>
      </w:r>
      <w:r>
        <w:rPr/>
        <w:t>.</w:t>
      </w:r>
    </w:p>
    <w:p>
      <w:pPr>
        <w:pStyle w:val="ListParagraph"/>
        <w:numPr>
          <w:ilvl w:val="1"/>
          <w:numId w:val="22"/>
        </w:numPr>
        <w:tabs>
          <w:tab w:pos="2380" w:val="left" w:leader="none"/>
          <w:tab w:pos="2381" w:val="left" w:leader="none"/>
        </w:tabs>
        <w:spacing w:line="242" w:lineRule="auto" w:before="123" w:after="0"/>
        <w:ind w:left="2380" w:right="2086" w:hanging="793"/>
        <w:jc w:val="left"/>
        <w:rPr>
          <w:sz w:val="21"/>
        </w:rPr>
      </w:pPr>
      <w:r>
        <w:rPr>
          <w:w w:val="105"/>
          <w:sz w:val="21"/>
        </w:rPr>
        <w:t>When conducting a </w:t>
      </w:r>
      <w:r>
        <w:rPr>
          <w:spacing w:val="-4"/>
          <w:w w:val="105"/>
          <w:sz w:val="21"/>
        </w:rPr>
        <w:t>review, </w:t>
      </w:r>
      <w:r>
        <w:rPr>
          <w:w w:val="105"/>
          <w:sz w:val="21"/>
        </w:rPr>
        <w:t>the </w:t>
      </w:r>
      <w:r>
        <w:rPr>
          <w:spacing w:val="-3"/>
          <w:w w:val="105"/>
          <w:sz w:val="21"/>
        </w:rPr>
        <w:t>Commission usually publishes </w:t>
      </w:r>
      <w:r>
        <w:rPr>
          <w:w w:val="105"/>
          <w:sz w:val="21"/>
        </w:rPr>
        <w:t>a </w:t>
      </w:r>
      <w:r>
        <w:rPr>
          <w:spacing w:val="-3"/>
          <w:w w:val="105"/>
          <w:sz w:val="21"/>
        </w:rPr>
        <w:t>consultation </w:t>
      </w:r>
      <w:r>
        <w:rPr>
          <w:w w:val="105"/>
          <w:sz w:val="21"/>
        </w:rPr>
        <w:t>paper </w:t>
      </w:r>
      <w:r>
        <w:rPr>
          <w:spacing w:val="-3"/>
          <w:w w:val="105"/>
          <w:sz w:val="21"/>
        </w:rPr>
        <w:t>addressing all </w:t>
      </w:r>
      <w:r>
        <w:rPr>
          <w:w w:val="105"/>
          <w:sz w:val="21"/>
        </w:rPr>
        <w:t>of the issues </w:t>
      </w:r>
      <w:r>
        <w:rPr>
          <w:spacing w:val="-3"/>
          <w:w w:val="105"/>
          <w:sz w:val="21"/>
        </w:rPr>
        <w:t>arising from </w:t>
      </w:r>
      <w:r>
        <w:rPr>
          <w:w w:val="105"/>
          <w:sz w:val="21"/>
        </w:rPr>
        <w:t>the </w:t>
      </w:r>
      <w:r>
        <w:rPr>
          <w:spacing w:val="-3"/>
          <w:w w:val="105"/>
          <w:sz w:val="21"/>
        </w:rPr>
        <w:t>terms </w:t>
      </w:r>
      <w:r>
        <w:rPr>
          <w:w w:val="105"/>
          <w:sz w:val="21"/>
        </w:rPr>
        <w:t>of </w:t>
      </w:r>
      <w:r>
        <w:rPr>
          <w:spacing w:val="-3"/>
          <w:w w:val="105"/>
          <w:sz w:val="21"/>
        </w:rPr>
        <w:t>reference </w:t>
      </w:r>
      <w:r>
        <w:rPr>
          <w:w w:val="105"/>
          <w:sz w:val="21"/>
        </w:rPr>
        <w:t>and seeking written </w:t>
      </w:r>
      <w:r>
        <w:rPr>
          <w:spacing w:val="-3"/>
          <w:w w:val="105"/>
          <w:sz w:val="21"/>
        </w:rPr>
        <w:t>submissions</w:t>
      </w:r>
      <w:r>
        <w:rPr>
          <w:spacing w:val="-10"/>
          <w:w w:val="105"/>
          <w:sz w:val="21"/>
        </w:rPr>
        <w:t> </w:t>
      </w:r>
      <w:r>
        <w:rPr>
          <w:w w:val="105"/>
          <w:sz w:val="21"/>
        </w:rPr>
        <w:t>on</w:t>
      </w:r>
      <w:r>
        <w:rPr>
          <w:spacing w:val="-10"/>
          <w:w w:val="105"/>
          <w:sz w:val="21"/>
        </w:rPr>
        <w:t> </w:t>
      </w:r>
      <w:r>
        <w:rPr>
          <w:w w:val="105"/>
          <w:sz w:val="21"/>
        </w:rPr>
        <w:t>possible</w:t>
      </w:r>
      <w:r>
        <w:rPr>
          <w:spacing w:val="-10"/>
          <w:w w:val="105"/>
          <w:sz w:val="21"/>
        </w:rPr>
        <w:t> </w:t>
      </w:r>
      <w:r>
        <w:rPr>
          <w:spacing w:val="-3"/>
          <w:w w:val="105"/>
          <w:sz w:val="21"/>
        </w:rPr>
        <w:t>reforms.</w:t>
      </w:r>
      <w:r>
        <w:rPr>
          <w:spacing w:val="-10"/>
          <w:w w:val="105"/>
          <w:sz w:val="21"/>
        </w:rPr>
        <w:t> </w:t>
      </w:r>
      <w:r>
        <w:rPr>
          <w:w w:val="105"/>
          <w:sz w:val="21"/>
        </w:rPr>
        <w:t>Because</w:t>
      </w:r>
      <w:r>
        <w:rPr>
          <w:spacing w:val="-10"/>
          <w:w w:val="105"/>
          <w:sz w:val="21"/>
        </w:rPr>
        <w:t> </w:t>
      </w:r>
      <w:r>
        <w:rPr>
          <w:w w:val="105"/>
          <w:sz w:val="21"/>
        </w:rPr>
        <w:t>the</w:t>
      </w:r>
      <w:r>
        <w:rPr>
          <w:spacing w:val="-10"/>
          <w:w w:val="105"/>
          <w:sz w:val="21"/>
        </w:rPr>
        <w:t> </w:t>
      </w:r>
      <w:r>
        <w:rPr>
          <w:spacing w:val="-3"/>
          <w:w w:val="105"/>
          <w:sz w:val="21"/>
        </w:rPr>
        <w:t>terms</w:t>
      </w:r>
      <w:r>
        <w:rPr>
          <w:spacing w:val="-10"/>
          <w:w w:val="105"/>
          <w:sz w:val="21"/>
        </w:rPr>
        <w:t> </w:t>
      </w:r>
      <w:r>
        <w:rPr>
          <w:w w:val="105"/>
          <w:sz w:val="21"/>
        </w:rPr>
        <w:t>of</w:t>
      </w:r>
      <w:r>
        <w:rPr>
          <w:spacing w:val="-10"/>
          <w:w w:val="105"/>
          <w:sz w:val="21"/>
        </w:rPr>
        <w:t> </w:t>
      </w:r>
      <w:r>
        <w:rPr>
          <w:spacing w:val="-3"/>
          <w:w w:val="105"/>
          <w:sz w:val="21"/>
        </w:rPr>
        <w:t>reference</w:t>
      </w:r>
      <w:r>
        <w:rPr>
          <w:spacing w:val="-10"/>
          <w:w w:val="105"/>
          <w:sz w:val="21"/>
        </w:rPr>
        <w:t> </w:t>
      </w:r>
      <w:r>
        <w:rPr>
          <w:w w:val="105"/>
          <w:sz w:val="21"/>
        </w:rPr>
        <w:t>in</w:t>
      </w:r>
      <w:r>
        <w:rPr>
          <w:spacing w:val="-10"/>
          <w:w w:val="105"/>
          <w:sz w:val="21"/>
        </w:rPr>
        <w:t> </w:t>
      </w:r>
      <w:r>
        <w:rPr>
          <w:w w:val="105"/>
          <w:sz w:val="21"/>
        </w:rPr>
        <w:t>this</w:t>
      </w:r>
      <w:r>
        <w:rPr>
          <w:spacing w:val="-10"/>
          <w:w w:val="105"/>
          <w:sz w:val="21"/>
        </w:rPr>
        <w:t> </w:t>
      </w:r>
      <w:r>
        <w:rPr>
          <w:w w:val="105"/>
          <w:sz w:val="21"/>
        </w:rPr>
        <w:t>case</w:t>
      </w:r>
      <w:r>
        <w:rPr>
          <w:spacing w:val="-10"/>
          <w:w w:val="105"/>
          <w:sz w:val="21"/>
        </w:rPr>
        <w:t> </w:t>
      </w:r>
      <w:r>
        <w:rPr>
          <w:spacing w:val="-3"/>
          <w:w w:val="105"/>
          <w:sz w:val="21"/>
        </w:rPr>
        <w:t>covered </w:t>
      </w:r>
      <w:r>
        <w:rPr>
          <w:w w:val="105"/>
          <w:sz w:val="21"/>
        </w:rPr>
        <w:t>a</w:t>
      </w:r>
      <w:r>
        <w:rPr>
          <w:spacing w:val="-7"/>
          <w:w w:val="105"/>
          <w:sz w:val="21"/>
        </w:rPr>
        <w:t> </w:t>
      </w:r>
      <w:r>
        <w:rPr>
          <w:spacing w:val="-3"/>
          <w:w w:val="105"/>
          <w:sz w:val="21"/>
        </w:rPr>
        <w:t>range</w:t>
      </w:r>
      <w:r>
        <w:rPr>
          <w:spacing w:val="-7"/>
          <w:w w:val="105"/>
          <w:sz w:val="21"/>
        </w:rPr>
        <w:t> </w:t>
      </w:r>
      <w:r>
        <w:rPr>
          <w:w w:val="105"/>
          <w:sz w:val="21"/>
        </w:rPr>
        <w:t>of</w:t>
      </w:r>
      <w:r>
        <w:rPr>
          <w:spacing w:val="-7"/>
          <w:w w:val="105"/>
          <w:sz w:val="21"/>
        </w:rPr>
        <w:t> </w:t>
      </w:r>
      <w:r>
        <w:rPr>
          <w:spacing w:val="-3"/>
          <w:w w:val="105"/>
          <w:sz w:val="21"/>
        </w:rPr>
        <w:t>disparate</w:t>
      </w:r>
      <w:r>
        <w:rPr>
          <w:spacing w:val="-6"/>
          <w:w w:val="105"/>
          <w:sz w:val="21"/>
        </w:rPr>
        <w:t> </w:t>
      </w:r>
      <w:r>
        <w:rPr>
          <w:w w:val="105"/>
          <w:sz w:val="21"/>
        </w:rPr>
        <w:t>subjects,</w:t>
      </w:r>
      <w:r>
        <w:rPr>
          <w:spacing w:val="-7"/>
          <w:w w:val="105"/>
          <w:sz w:val="21"/>
        </w:rPr>
        <w:t> </w:t>
      </w:r>
      <w:r>
        <w:rPr>
          <w:w w:val="105"/>
          <w:sz w:val="21"/>
        </w:rPr>
        <w:t>the</w:t>
      </w:r>
      <w:r>
        <w:rPr>
          <w:spacing w:val="-7"/>
          <w:w w:val="105"/>
          <w:sz w:val="21"/>
        </w:rPr>
        <w:t> </w:t>
      </w:r>
      <w:r>
        <w:rPr>
          <w:spacing w:val="-3"/>
          <w:w w:val="105"/>
          <w:sz w:val="21"/>
        </w:rPr>
        <w:t>Commission</w:t>
      </w:r>
      <w:r>
        <w:rPr>
          <w:spacing w:val="-6"/>
          <w:w w:val="105"/>
          <w:sz w:val="21"/>
        </w:rPr>
        <w:t> </w:t>
      </w:r>
      <w:r>
        <w:rPr>
          <w:spacing w:val="-3"/>
          <w:w w:val="105"/>
          <w:sz w:val="21"/>
        </w:rPr>
        <w:t>instead</w:t>
      </w:r>
      <w:r>
        <w:rPr>
          <w:spacing w:val="-7"/>
          <w:w w:val="105"/>
          <w:sz w:val="21"/>
        </w:rPr>
        <w:t> </w:t>
      </w:r>
      <w:r>
        <w:rPr>
          <w:w w:val="105"/>
          <w:sz w:val="21"/>
        </w:rPr>
        <w:t>released</w:t>
      </w:r>
      <w:r>
        <w:rPr>
          <w:spacing w:val="-7"/>
          <w:w w:val="105"/>
          <w:sz w:val="21"/>
        </w:rPr>
        <w:t> </w:t>
      </w:r>
      <w:r>
        <w:rPr>
          <w:w w:val="105"/>
          <w:sz w:val="21"/>
        </w:rPr>
        <w:t>six</w:t>
      </w:r>
      <w:r>
        <w:rPr>
          <w:spacing w:val="-6"/>
          <w:w w:val="105"/>
          <w:sz w:val="21"/>
        </w:rPr>
        <w:t> </w:t>
      </w:r>
      <w:r>
        <w:rPr>
          <w:w w:val="105"/>
          <w:sz w:val="21"/>
        </w:rPr>
        <w:t>short</w:t>
      </w:r>
      <w:r>
        <w:rPr>
          <w:spacing w:val="-7"/>
          <w:w w:val="105"/>
          <w:sz w:val="21"/>
        </w:rPr>
        <w:t> </w:t>
      </w:r>
      <w:r>
        <w:rPr>
          <w:spacing w:val="-3"/>
          <w:w w:val="105"/>
          <w:sz w:val="21"/>
        </w:rPr>
        <w:t>consultation </w:t>
      </w:r>
      <w:r>
        <w:rPr>
          <w:w w:val="105"/>
          <w:sz w:val="21"/>
        </w:rPr>
        <w:t>papers. Each focussed on one or more </w:t>
      </w:r>
      <w:r>
        <w:rPr>
          <w:spacing w:val="-4"/>
          <w:w w:val="105"/>
          <w:sz w:val="21"/>
        </w:rPr>
        <w:t>key </w:t>
      </w:r>
      <w:r>
        <w:rPr>
          <w:w w:val="105"/>
          <w:sz w:val="21"/>
        </w:rPr>
        <w:t>topics as</w:t>
      </w:r>
      <w:r>
        <w:rPr>
          <w:spacing w:val="32"/>
          <w:w w:val="105"/>
          <w:sz w:val="21"/>
        </w:rPr>
        <w:t> </w:t>
      </w:r>
      <w:r>
        <w:rPr>
          <w:w w:val="105"/>
          <w:sz w:val="21"/>
        </w:rPr>
        <w:t>follows:</w:t>
      </w:r>
    </w:p>
    <w:p>
      <w:pPr>
        <w:pStyle w:val="ListParagraph"/>
        <w:numPr>
          <w:ilvl w:val="2"/>
          <w:numId w:val="22"/>
        </w:numPr>
        <w:tabs>
          <w:tab w:pos="2720" w:val="left" w:leader="none"/>
          <w:tab w:pos="2721" w:val="left" w:leader="none"/>
        </w:tabs>
        <w:spacing w:line="242" w:lineRule="auto" w:before="126" w:after="0"/>
        <w:ind w:left="2720" w:right="1736" w:hanging="340"/>
        <w:jc w:val="left"/>
        <w:rPr>
          <w:sz w:val="21"/>
        </w:rPr>
      </w:pPr>
      <w:r>
        <w:rPr>
          <w:sz w:val="21"/>
        </w:rPr>
        <w:t>Wills—whether there is a need </w:t>
      </w:r>
      <w:r>
        <w:rPr>
          <w:spacing w:val="-3"/>
          <w:sz w:val="21"/>
        </w:rPr>
        <w:t>to </w:t>
      </w:r>
      <w:r>
        <w:rPr>
          <w:sz w:val="21"/>
        </w:rPr>
        <w:t>revise the law on witnessing </w:t>
      </w:r>
      <w:r>
        <w:rPr>
          <w:spacing w:val="-3"/>
          <w:sz w:val="21"/>
        </w:rPr>
        <w:t>wills to </w:t>
      </w:r>
      <w:r>
        <w:rPr>
          <w:sz w:val="21"/>
        </w:rPr>
        <w:t>better protect elderly and </w:t>
      </w:r>
      <w:r>
        <w:rPr>
          <w:spacing w:val="-3"/>
          <w:sz w:val="21"/>
        </w:rPr>
        <w:t>vulnerable </w:t>
      </w:r>
      <w:r>
        <w:rPr>
          <w:sz w:val="21"/>
        </w:rPr>
        <w:t>will-makers </w:t>
      </w:r>
      <w:r>
        <w:rPr>
          <w:spacing w:val="-3"/>
          <w:sz w:val="21"/>
        </w:rPr>
        <w:t>from undue</w:t>
      </w:r>
      <w:r>
        <w:rPr>
          <w:spacing w:val="6"/>
          <w:sz w:val="21"/>
        </w:rPr>
        <w:t> </w:t>
      </w:r>
      <w:r>
        <w:rPr>
          <w:sz w:val="21"/>
        </w:rPr>
        <w:t>influence; statutory wills;</w:t>
      </w:r>
    </w:p>
    <w:p>
      <w:pPr>
        <w:pStyle w:val="BodyText"/>
        <w:spacing w:before="2"/>
        <w:ind w:left="2720"/>
      </w:pPr>
      <w:r>
        <w:rPr>
          <w:w w:val="105"/>
        </w:rPr>
        <w:t>and ademption.</w:t>
      </w:r>
    </w:p>
    <w:p>
      <w:pPr>
        <w:pStyle w:val="ListParagraph"/>
        <w:numPr>
          <w:ilvl w:val="2"/>
          <w:numId w:val="22"/>
        </w:numPr>
        <w:tabs>
          <w:tab w:pos="2720" w:val="left" w:leader="none"/>
          <w:tab w:pos="2721" w:val="left" w:leader="none"/>
        </w:tabs>
        <w:spacing w:line="242" w:lineRule="auto" w:before="124" w:after="0"/>
        <w:ind w:left="2720" w:right="1660" w:hanging="340"/>
        <w:jc w:val="left"/>
        <w:rPr>
          <w:sz w:val="21"/>
        </w:rPr>
      </w:pPr>
      <w:r>
        <w:rPr>
          <w:spacing w:val="-4"/>
          <w:sz w:val="21"/>
        </w:rPr>
        <w:t>Family </w:t>
      </w:r>
      <w:r>
        <w:rPr>
          <w:sz w:val="21"/>
        </w:rPr>
        <w:t>provision—whether the law is </w:t>
      </w:r>
      <w:r>
        <w:rPr>
          <w:spacing w:val="-3"/>
          <w:sz w:val="21"/>
        </w:rPr>
        <w:t>achieving  </w:t>
      </w:r>
      <w:r>
        <w:rPr>
          <w:sz w:val="21"/>
        </w:rPr>
        <w:t>its objective of </w:t>
      </w:r>
      <w:r>
        <w:rPr>
          <w:spacing w:val="-3"/>
          <w:sz w:val="21"/>
        </w:rPr>
        <w:t>ensuring</w:t>
      </w:r>
      <w:r>
        <w:rPr>
          <w:spacing w:val="41"/>
          <w:sz w:val="21"/>
        </w:rPr>
        <w:t> </w:t>
      </w:r>
      <w:r>
        <w:rPr>
          <w:spacing w:val="-3"/>
          <w:sz w:val="21"/>
        </w:rPr>
        <w:t>that  provision  </w:t>
      </w:r>
      <w:r>
        <w:rPr>
          <w:sz w:val="21"/>
        </w:rPr>
        <w:t>is made </w:t>
      </w:r>
      <w:r>
        <w:rPr>
          <w:spacing w:val="-3"/>
          <w:sz w:val="21"/>
        </w:rPr>
        <w:t>for </w:t>
      </w:r>
      <w:r>
        <w:rPr>
          <w:sz w:val="21"/>
        </w:rPr>
        <w:t>people </w:t>
      </w:r>
      <w:r>
        <w:rPr>
          <w:spacing w:val="-3"/>
          <w:sz w:val="21"/>
        </w:rPr>
        <w:t>for </w:t>
      </w:r>
      <w:r>
        <w:rPr>
          <w:sz w:val="21"/>
        </w:rPr>
        <w:t>whom the deceased person </w:t>
      </w:r>
      <w:r>
        <w:rPr>
          <w:spacing w:val="-2"/>
          <w:sz w:val="21"/>
        </w:rPr>
        <w:t>had </w:t>
      </w:r>
      <w:r>
        <w:rPr>
          <w:sz w:val="21"/>
        </w:rPr>
        <w:t>a </w:t>
      </w:r>
      <w:r>
        <w:rPr>
          <w:spacing w:val="-3"/>
          <w:sz w:val="21"/>
        </w:rPr>
        <w:t>responsibility to</w:t>
      </w:r>
      <w:r>
        <w:rPr>
          <w:spacing w:val="4"/>
          <w:sz w:val="21"/>
        </w:rPr>
        <w:t> </w:t>
      </w:r>
      <w:r>
        <w:rPr>
          <w:spacing w:val="-3"/>
          <w:sz w:val="21"/>
        </w:rPr>
        <w:t>provide.</w:t>
      </w:r>
    </w:p>
    <w:p>
      <w:pPr>
        <w:pStyle w:val="ListParagraph"/>
        <w:numPr>
          <w:ilvl w:val="2"/>
          <w:numId w:val="22"/>
        </w:numPr>
        <w:tabs>
          <w:tab w:pos="2720" w:val="left" w:leader="none"/>
          <w:tab w:pos="2721" w:val="left" w:leader="none"/>
        </w:tabs>
        <w:spacing w:line="242" w:lineRule="auto" w:before="122" w:after="0"/>
        <w:ind w:left="2720" w:right="2131" w:hanging="340"/>
        <w:jc w:val="left"/>
        <w:rPr>
          <w:sz w:val="21"/>
        </w:rPr>
      </w:pPr>
      <w:r>
        <w:rPr>
          <w:sz w:val="21"/>
        </w:rPr>
        <w:t>Intestacy—whether the law is </w:t>
      </w:r>
      <w:r>
        <w:rPr>
          <w:spacing w:val="-3"/>
          <w:sz w:val="21"/>
        </w:rPr>
        <w:t>operating </w:t>
      </w:r>
      <w:r>
        <w:rPr>
          <w:sz w:val="21"/>
        </w:rPr>
        <w:t>effectively </w:t>
      </w:r>
      <w:r>
        <w:rPr>
          <w:spacing w:val="-3"/>
          <w:sz w:val="21"/>
        </w:rPr>
        <w:t>to achieve </w:t>
      </w:r>
      <w:r>
        <w:rPr>
          <w:sz w:val="21"/>
        </w:rPr>
        <w:t>just and equitable </w:t>
      </w:r>
      <w:r>
        <w:rPr>
          <w:spacing w:val="-3"/>
          <w:sz w:val="21"/>
        </w:rPr>
        <w:t>outcomes.</w:t>
      </w:r>
    </w:p>
    <w:p>
      <w:pPr>
        <w:pStyle w:val="ListParagraph"/>
        <w:numPr>
          <w:ilvl w:val="2"/>
          <w:numId w:val="22"/>
        </w:numPr>
        <w:tabs>
          <w:tab w:pos="2720" w:val="left" w:leader="none"/>
          <w:tab w:pos="2721" w:val="left" w:leader="none"/>
        </w:tabs>
        <w:spacing w:line="242" w:lineRule="auto" w:before="122" w:after="0"/>
        <w:ind w:left="2720" w:right="2097" w:hanging="340"/>
        <w:jc w:val="left"/>
        <w:rPr>
          <w:sz w:val="21"/>
        </w:rPr>
      </w:pPr>
      <w:r>
        <w:rPr>
          <w:w w:val="105"/>
          <w:sz w:val="21"/>
        </w:rPr>
        <w:t>Executors—whether</w:t>
      </w:r>
      <w:r>
        <w:rPr>
          <w:spacing w:val="-21"/>
          <w:w w:val="105"/>
          <w:sz w:val="21"/>
        </w:rPr>
        <w:t> </w:t>
      </w:r>
      <w:r>
        <w:rPr>
          <w:w w:val="105"/>
          <w:sz w:val="21"/>
        </w:rPr>
        <w:t>there</w:t>
      </w:r>
      <w:r>
        <w:rPr>
          <w:spacing w:val="-21"/>
          <w:w w:val="105"/>
          <w:sz w:val="21"/>
        </w:rPr>
        <w:t> </w:t>
      </w:r>
      <w:r>
        <w:rPr>
          <w:w w:val="105"/>
          <w:sz w:val="21"/>
        </w:rPr>
        <w:t>should</w:t>
      </w:r>
      <w:r>
        <w:rPr>
          <w:spacing w:val="-20"/>
          <w:w w:val="105"/>
          <w:sz w:val="21"/>
        </w:rPr>
        <w:t> </w:t>
      </w:r>
      <w:r>
        <w:rPr>
          <w:w w:val="105"/>
          <w:sz w:val="21"/>
        </w:rPr>
        <w:t>be</w:t>
      </w:r>
      <w:r>
        <w:rPr>
          <w:spacing w:val="-21"/>
          <w:w w:val="105"/>
          <w:sz w:val="21"/>
        </w:rPr>
        <w:t> </w:t>
      </w:r>
      <w:r>
        <w:rPr>
          <w:w w:val="105"/>
          <w:sz w:val="21"/>
        </w:rPr>
        <w:t>special</w:t>
      </w:r>
      <w:r>
        <w:rPr>
          <w:spacing w:val="-20"/>
          <w:w w:val="105"/>
          <w:sz w:val="21"/>
        </w:rPr>
        <w:t> </w:t>
      </w:r>
      <w:r>
        <w:rPr>
          <w:w w:val="105"/>
          <w:sz w:val="21"/>
        </w:rPr>
        <w:t>rules</w:t>
      </w:r>
      <w:r>
        <w:rPr>
          <w:spacing w:val="-21"/>
          <w:w w:val="105"/>
          <w:sz w:val="21"/>
        </w:rPr>
        <w:t> </w:t>
      </w:r>
      <w:r>
        <w:rPr>
          <w:spacing w:val="-3"/>
          <w:w w:val="105"/>
          <w:sz w:val="21"/>
        </w:rPr>
        <w:t>for</w:t>
      </w:r>
      <w:r>
        <w:rPr>
          <w:spacing w:val="-20"/>
          <w:w w:val="105"/>
          <w:sz w:val="21"/>
        </w:rPr>
        <w:t> </w:t>
      </w:r>
      <w:r>
        <w:rPr>
          <w:w w:val="105"/>
          <w:sz w:val="21"/>
        </w:rPr>
        <w:t>legal</w:t>
      </w:r>
      <w:r>
        <w:rPr>
          <w:spacing w:val="-21"/>
          <w:w w:val="105"/>
          <w:sz w:val="21"/>
        </w:rPr>
        <w:t> </w:t>
      </w:r>
      <w:r>
        <w:rPr>
          <w:w w:val="105"/>
          <w:sz w:val="21"/>
        </w:rPr>
        <w:t>practitioner</w:t>
      </w:r>
      <w:r>
        <w:rPr>
          <w:spacing w:val="-20"/>
          <w:w w:val="105"/>
          <w:sz w:val="21"/>
        </w:rPr>
        <w:t> </w:t>
      </w:r>
      <w:r>
        <w:rPr>
          <w:w w:val="105"/>
          <w:sz w:val="21"/>
        </w:rPr>
        <w:t>executors and</w:t>
      </w:r>
      <w:r>
        <w:rPr>
          <w:spacing w:val="-10"/>
          <w:w w:val="105"/>
          <w:sz w:val="21"/>
        </w:rPr>
        <w:t> </w:t>
      </w:r>
      <w:r>
        <w:rPr>
          <w:w w:val="105"/>
          <w:sz w:val="21"/>
        </w:rPr>
        <w:t>whether</w:t>
      </w:r>
      <w:r>
        <w:rPr>
          <w:spacing w:val="-9"/>
          <w:w w:val="105"/>
          <w:sz w:val="21"/>
        </w:rPr>
        <w:t> </w:t>
      </w:r>
      <w:r>
        <w:rPr>
          <w:w w:val="105"/>
          <w:sz w:val="21"/>
        </w:rPr>
        <w:t>a</w:t>
      </w:r>
      <w:r>
        <w:rPr>
          <w:spacing w:val="-10"/>
          <w:w w:val="105"/>
          <w:sz w:val="21"/>
        </w:rPr>
        <w:t> </w:t>
      </w:r>
      <w:r>
        <w:rPr>
          <w:w w:val="105"/>
          <w:sz w:val="21"/>
        </w:rPr>
        <w:t>court</w:t>
      </w:r>
      <w:r>
        <w:rPr>
          <w:spacing w:val="-9"/>
          <w:w w:val="105"/>
          <w:sz w:val="21"/>
        </w:rPr>
        <w:t> </w:t>
      </w:r>
      <w:r>
        <w:rPr>
          <w:w w:val="105"/>
          <w:sz w:val="21"/>
        </w:rPr>
        <w:t>should</w:t>
      </w:r>
      <w:r>
        <w:rPr>
          <w:spacing w:val="-9"/>
          <w:w w:val="105"/>
          <w:sz w:val="21"/>
        </w:rPr>
        <w:t> </w:t>
      </w:r>
      <w:r>
        <w:rPr>
          <w:w w:val="105"/>
          <w:sz w:val="21"/>
        </w:rPr>
        <w:t>be</w:t>
      </w:r>
      <w:r>
        <w:rPr>
          <w:spacing w:val="-10"/>
          <w:w w:val="105"/>
          <w:sz w:val="21"/>
        </w:rPr>
        <w:t> </w:t>
      </w:r>
      <w:r>
        <w:rPr>
          <w:w w:val="105"/>
          <w:sz w:val="21"/>
        </w:rPr>
        <w:t>able</w:t>
      </w:r>
      <w:r>
        <w:rPr>
          <w:spacing w:val="-9"/>
          <w:w w:val="105"/>
          <w:sz w:val="21"/>
        </w:rPr>
        <w:t> </w:t>
      </w:r>
      <w:r>
        <w:rPr>
          <w:spacing w:val="-3"/>
          <w:w w:val="105"/>
          <w:sz w:val="21"/>
        </w:rPr>
        <w:t>to</w:t>
      </w:r>
      <w:r>
        <w:rPr>
          <w:spacing w:val="-10"/>
          <w:w w:val="105"/>
          <w:sz w:val="21"/>
        </w:rPr>
        <w:t> </w:t>
      </w:r>
      <w:r>
        <w:rPr>
          <w:w w:val="105"/>
          <w:sz w:val="21"/>
        </w:rPr>
        <w:t>review</w:t>
      </w:r>
      <w:r>
        <w:rPr>
          <w:spacing w:val="-9"/>
          <w:w w:val="105"/>
          <w:sz w:val="21"/>
        </w:rPr>
        <w:t> </w:t>
      </w:r>
      <w:r>
        <w:rPr>
          <w:w w:val="105"/>
          <w:sz w:val="21"/>
        </w:rPr>
        <w:t>executors’</w:t>
      </w:r>
      <w:r>
        <w:rPr>
          <w:spacing w:val="-9"/>
          <w:w w:val="105"/>
          <w:sz w:val="21"/>
        </w:rPr>
        <w:t> </w:t>
      </w:r>
      <w:r>
        <w:rPr>
          <w:w w:val="105"/>
          <w:sz w:val="21"/>
        </w:rPr>
        <w:t>costs</w:t>
      </w:r>
      <w:r>
        <w:rPr>
          <w:spacing w:val="-10"/>
          <w:w w:val="105"/>
          <w:sz w:val="21"/>
        </w:rPr>
        <w:t> </w:t>
      </w:r>
      <w:r>
        <w:rPr>
          <w:w w:val="105"/>
          <w:sz w:val="21"/>
        </w:rPr>
        <w:t>and</w:t>
      </w:r>
      <w:r>
        <w:rPr>
          <w:spacing w:val="-9"/>
          <w:w w:val="105"/>
          <w:sz w:val="21"/>
        </w:rPr>
        <w:t> </w:t>
      </w:r>
      <w:r>
        <w:rPr>
          <w:spacing w:val="-3"/>
          <w:w w:val="105"/>
          <w:sz w:val="21"/>
        </w:rPr>
        <w:t>commissions.</w:t>
      </w:r>
    </w:p>
    <w:p>
      <w:pPr>
        <w:pStyle w:val="ListParagraph"/>
        <w:numPr>
          <w:ilvl w:val="2"/>
          <w:numId w:val="22"/>
        </w:numPr>
        <w:tabs>
          <w:tab w:pos="2720" w:val="left" w:leader="none"/>
          <w:tab w:pos="2721" w:val="left" w:leader="none"/>
        </w:tabs>
        <w:spacing w:line="242" w:lineRule="auto" w:before="123" w:after="0"/>
        <w:ind w:left="2720" w:right="2209" w:hanging="340"/>
        <w:jc w:val="left"/>
        <w:rPr>
          <w:sz w:val="21"/>
        </w:rPr>
      </w:pPr>
      <w:r>
        <w:rPr>
          <w:w w:val="105"/>
          <w:sz w:val="21"/>
        </w:rPr>
        <w:t>Debts—whether</w:t>
      </w:r>
      <w:r>
        <w:rPr>
          <w:spacing w:val="-8"/>
          <w:w w:val="105"/>
          <w:sz w:val="21"/>
        </w:rPr>
        <w:t> </w:t>
      </w:r>
      <w:r>
        <w:rPr>
          <w:w w:val="105"/>
          <w:sz w:val="21"/>
        </w:rPr>
        <w:t>the</w:t>
      </w:r>
      <w:r>
        <w:rPr>
          <w:spacing w:val="-8"/>
          <w:w w:val="105"/>
          <w:sz w:val="21"/>
        </w:rPr>
        <w:t> </w:t>
      </w:r>
      <w:r>
        <w:rPr>
          <w:w w:val="105"/>
          <w:sz w:val="21"/>
        </w:rPr>
        <w:t>law</w:t>
      </w:r>
      <w:r>
        <w:rPr>
          <w:spacing w:val="-8"/>
          <w:w w:val="105"/>
          <w:sz w:val="21"/>
        </w:rPr>
        <w:t> </w:t>
      </w:r>
      <w:r>
        <w:rPr>
          <w:spacing w:val="-3"/>
          <w:w w:val="105"/>
          <w:sz w:val="21"/>
        </w:rPr>
        <w:t>governing</w:t>
      </w:r>
      <w:r>
        <w:rPr>
          <w:spacing w:val="-7"/>
          <w:w w:val="105"/>
          <w:sz w:val="21"/>
        </w:rPr>
        <w:t> </w:t>
      </w:r>
      <w:r>
        <w:rPr>
          <w:w w:val="105"/>
          <w:sz w:val="21"/>
        </w:rPr>
        <w:t>how</w:t>
      </w:r>
      <w:r>
        <w:rPr>
          <w:spacing w:val="-8"/>
          <w:w w:val="105"/>
          <w:sz w:val="21"/>
        </w:rPr>
        <w:t> </w:t>
      </w:r>
      <w:r>
        <w:rPr>
          <w:w w:val="105"/>
          <w:sz w:val="21"/>
        </w:rPr>
        <w:t>a</w:t>
      </w:r>
      <w:r>
        <w:rPr>
          <w:spacing w:val="-8"/>
          <w:w w:val="105"/>
          <w:sz w:val="21"/>
        </w:rPr>
        <w:t> </w:t>
      </w:r>
      <w:r>
        <w:rPr>
          <w:w w:val="105"/>
          <w:sz w:val="21"/>
        </w:rPr>
        <w:t>deceased</w:t>
      </w:r>
      <w:r>
        <w:rPr>
          <w:spacing w:val="-8"/>
          <w:w w:val="105"/>
          <w:sz w:val="21"/>
        </w:rPr>
        <w:t> </w:t>
      </w:r>
      <w:r>
        <w:rPr>
          <w:spacing w:val="-3"/>
          <w:w w:val="105"/>
          <w:sz w:val="21"/>
        </w:rPr>
        <w:t>estate’s</w:t>
      </w:r>
      <w:r>
        <w:rPr>
          <w:spacing w:val="-7"/>
          <w:w w:val="105"/>
          <w:sz w:val="21"/>
        </w:rPr>
        <w:t> </w:t>
      </w:r>
      <w:r>
        <w:rPr>
          <w:w w:val="105"/>
          <w:sz w:val="21"/>
        </w:rPr>
        <w:t>assets</w:t>
      </w:r>
      <w:r>
        <w:rPr>
          <w:spacing w:val="-8"/>
          <w:w w:val="105"/>
          <w:sz w:val="21"/>
        </w:rPr>
        <w:t> </w:t>
      </w:r>
      <w:r>
        <w:rPr>
          <w:spacing w:val="-3"/>
          <w:w w:val="105"/>
          <w:sz w:val="21"/>
        </w:rPr>
        <w:t>are</w:t>
      </w:r>
      <w:r>
        <w:rPr>
          <w:spacing w:val="-8"/>
          <w:w w:val="105"/>
          <w:sz w:val="21"/>
        </w:rPr>
        <w:t> </w:t>
      </w:r>
      <w:r>
        <w:rPr>
          <w:w w:val="105"/>
          <w:sz w:val="21"/>
        </w:rPr>
        <w:t>ordered </w:t>
      </w:r>
      <w:r>
        <w:rPr>
          <w:spacing w:val="-3"/>
          <w:w w:val="105"/>
          <w:sz w:val="21"/>
        </w:rPr>
        <w:t>to </w:t>
      </w:r>
      <w:r>
        <w:rPr>
          <w:spacing w:val="-2"/>
          <w:w w:val="105"/>
          <w:sz w:val="21"/>
        </w:rPr>
        <w:t>pay </w:t>
      </w:r>
      <w:r>
        <w:rPr>
          <w:w w:val="105"/>
          <w:sz w:val="21"/>
        </w:rPr>
        <w:t>its debts can be</w:t>
      </w:r>
      <w:r>
        <w:rPr>
          <w:spacing w:val="32"/>
          <w:w w:val="105"/>
          <w:sz w:val="21"/>
        </w:rPr>
        <w:t> </w:t>
      </w:r>
      <w:r>
        <w:rPr>
          <w:w w:val="105"/>
          <w:sz w:val="21"/>
        </w:rPr>
        <w:t>simplified.</w:t>
      </w:r>
    </w:p>
    <w:p>
      <w:pPr>
        <w:pStyle w:val="ListParagraph"/>
        <w:numPr>
          <w:ilvl w:val="2"/>
          <w:numId w:val="22"/>
        </w:numPr>
        <w:tabs>
          <w:tab w:pos="2720" w:val="left" w:leader="none"/>
          <w:tab w:pos="2721" w:val="left" w:leader="none"/>
        </w:tabs>
        <w:spacing w:line="240" w:lineRule="auto" w:before="122" w:after="0"/>
        <w:ind w:left="2720" w:right="0" w:hanging="340"/>
        <w:jc w:val="left"/>
        <w:rPr>
          <w:sz w:val="21"/>
        </w:rPr>
      </w:pPr>
      <w:r>
        <w:rPr>
          <w:spacing w:val="-3"/>
          <w:sz w:val="21"/>
        </w:rPr>
        <w:t>Small </w:t>
      </w:r>
      <w:r>
        <w:rPr>
          <w:sz w:val="21"/>
        </w:rPr>
        <w:t>estates—whether there </w:t>
      </w:r>
      <w:r>
        <w:rPr>
          <w:spacing w:val="-3"/>
          <w:sz w:val="21"/>
        </w:rPr>
        <w:t>are </w:t>
      </w:r>
      <w:r>
        <w:rPr>
          <w:sz w:val="21"/>
        </w:rPr>
        <w:t>more efficient ways of </w:t>
      </w:r>
      <w:r>
        <w:rPr>
          <w:spacing w:val="-3"/>
          <w:sz w:val="21"/>
        </w:rPr>
        <w:t>dealing </w:t>
      </w:r>
      <w:r>
        <w:rPr>
          <w:sz w:val="21"/>
        </w:rPr>
        <w:t>with </w:t>
      </w:r>
      <w:r>
        <w:rPr>
          <w:spacing w:val="-3"/>
          <w:sz w:val="21"/>
        </w:rPr>
        <w:t>small</w:t>
      </w:r>
      <w:r>
        <w:rPr>
          <w:spacing w:val="-5"/>
          <w:sz w:val="21"/>
        </w:rPr>
        <w:t> </w:t>
      </w:r>
      <w:r>
        <w:rPr>
          <w:sz w:val="21"/>
        </w:rPr>
        <w:t>estates.</w:t>
      </w:r>
    </w:p>
    <w:p>
      <w:pPr>
        <w:pStyle w:val="ListParagraph"/>
        <w:numPr>
          <w:ilvl w:val="1"/>
          <w:numId w:val="22"/>
        </w:numPr>
        <w:tabs>
          <w:tab w:pos="2380" w:val="left" w:leader="none"/>
          <w:tab w:pos="2381" w:val="left" w:leader="none"/>
        </w:tabs>
        <w:spacing w:line="242" w:lineRule="auto" w:before="124" w:after="0"/>
        <w:ind w:left="2380" w:right="2385" w:hanging="793"/>
        <w:jc w:val="left"/>
        <w:rPr>
          <w:sz w:val="21"/>
        </w:rPr>
      </w:pPr>
      <w:r>
        <w:rPr>
          <w:spacing w:val="-3"/>
          <w:sz w:val="21"/>
        </w:rPr>
        <w:t>Submissions were invited </w:t>
      </w:r>
      <w:r>
        <w:rPr>
          <w:sz w:val="21"/>
        </w:rPr>
        <w:t>by </w:t>
      </w:r>
      <w:r>
        <w:rPr>
          <w:spacing w:val="-3"/>
          <w:sz w:val="21"/>
        </w:rPr>
        <w:t>28 March </w:t>
      </w:r>
      <w:r>
        <w:rPr>
          <w:spacing w:val="-8"/>
          <w:sz w:val="21"/>
        </w:rPr>
        <w:t>2013, </w:t>
      </w:r>
      <w:r>
        <w:rPr>
          <w:sz w:val="21"/>
        </w:rPr>
        <w:t>though the </w:t>
      </w:r>
      <w:r>
        <w:rPr>
          <w:spacing w:val="-3"/>
          <w:sz w:val="21"/>
        </w:rPr>
        <w:t>Commission accepted contributions </w:t>
      </w:r>
      <w:r>
        <w:rPr>
          <w:sz w:val="21"/>
        </w:rPr>
        <w:t>after </w:t>
      </w:r>
      <w:r>
        <w:rPr>
          <w:spacing w:val="-3"/>
          <w:sz w:val="21"/>
        </w:rPr>
        <w:t>that </w:t>
      </w:r>
      <w:r>
        <w:rPr>
          <w:spacing w:val="-4"/>
          <w:sz w:val="21"/>
        </w:rPr>
        <w:t>date. </w:t>
      </w:r>
      <w:r>
        <w:rPr>
          <w:sz w:val="21"/>
        </w:rPr>
        <w:t>Most of the </w:t>
      </w:r>
      <w:r>
        <w:rPr>
          <w:spacing w:val="-3"/>
          <w:sz w:val="21"/>
        </w:rPr>
        <w:t>submissions  are  public  </w:t>
      </w:r>
      <w:r>
        <w:rPr>
          <w:sz w:val="21"/>
        </w:rPr>
        <w:t>and can be seen on the </w:t>
      </w:r>
      <w:r>
        <w:rPr>
          <w:spacing w:val="-4"/>
          <w:sz w:val="21"/>
        </w:rPr>
        <w:t>Commission’s </w:t>
      </w:r>
      <w:r>
        <w:rPr>
          <w:spacing w:val="-3"/>
          <w:sz w:val="21"/>
        </w:rPr>
        <w:t>website.</w:t>
      </w:r>
      <w:r>
        <w:rPr>
          <w:spacing w:val="-3"/>
          <w:position w:val="7"/>
          <w:sz w:val="12"/>
        </w:rPr>
        <w:t>4 </w:t>
      </w:r>
      <w:r>
        <w:rPr>
          <w:sz w:val="21"/>
        </w:rPr>
        <w:t>They </w:t>
      </w:r>
      <w:r>
        <w:rPr>
          <w:spacing w:val="-3"/>
          <w:sz w:val="21"/>
        </w:rPr>
        <w:t>are </w:t>
      </w:r>
      <w:r>
        <w:rPr>
          <w:spacing w:val="-2"/>
          <w:sz w:val="21"/>
        </w:rPr>
        <w:t>listed </w:t>
      </w:r>
      <w:r>
        <w:rPr>
          <w:sz w:val="21"/>
        </w:rPr>
        <w:t>at </w:t>
      </w:r>
      <w:r>
        <w:rPr>
          <w:rFonts w:ascii="Lucida Sans" w:hAnsi="Lucida Sans"/>
          <w:b/>
          <w:sz w:val="21"/>
        </w:rPr>
        <w:t>Appendix</w:t>
      </w:r>
      <w:r>
        <w:rPr>
          <w:rFonts w:ascii="Lucida Sans" w:hAnsi="Lucida Sans"/>
          <w:b/>
          <w:spacing w:val="5"/>
          <w:sz w:val="21"/>
        </w:rPr>
        <w:t> </w:t>
      </w:r>
      <w:r>
        <w:rPr>
          <w:rFonts w:ascii="Lucida Sans" w:hAnsi="Lucida Sans"/>
          <w:b/>
          <w:spacing w:val="-3"/>
          <w:sz w:val="21"/>
        </w:rPr>
        <w:t>B</w:t>
      </w:r>
      <w:r>
        <w:rPr>
          <w:spacing w:val="-3"/>
          <w:sz w:val="21"/>
        </w:rPr>
        <w:t>.</w:t>
      </w:r>
    </w:p>
    <w:p>
      <w:pPr>
        <w:pStyle w:val="ListParagraph"/>
        <w:numPr>
          <w:ilvl w:val="1"/>
          <w:numId w:val="22"/>
        </w:numPr>
        <w:tabs>
          <w:tab w:pos="2380" w:val="left" w:leader="none"/>
          <w:tab w:pos="2381" w:val="left" w:leader="none"/>
        </w:tabs>
        <w:spacing w:line="242" w:lineRule="auto" w:before="118" w:after="0"/>
        <w:ind w:left="2380" w:right="1846" w:hanging="793"/>
        <w:jc w:val="left"/>
        <w:rPr>
          <w:sz w:val="21"/>
        </w:rPr>
      </w:pPr>
      <w:r>
        <w:rPr>
          <w:spacing w:val="-3"/>
          <w:w w:val="105"/>
          <w:sz w:val="21"/>
        </w:rPr>
        <w:t>Throughout</w:t>
      </w:r>
      <w:r>
        <w:rPr>
          <w:spacing w:val="-9"/>
          <w:w w:val="105"/>
          <w:sz w:val="21"/>
        </w:rPr>
        <w:t> </w:t>
      </w:r>
      <w:r>
        <w:rPr>
          <w:w w:val="105"/>
          <w:sz w:val="21"/>
        </w:rPr>
        <w:t>the</w:t>
      </w:r>
      <w:r>
        <w:rPr>
          <w:spacing w:val="-9"/>
          <w:w w:val="105"/>
          <w:sz w:val="21"/>
        </w:rPr>
        <w:t> </w:t>
      </w:r>
      <w:r>
        <w:rPr>
          <w:spacing w:val="-4"/>
          <w:w w:val="105"/>
          <w:sz w:val="21"/>
        </w:rPr>
        <w:t>reference,</w:t>
      </w:r>
      <w:r>
        <w:rPr>
          <w:spacing w:val="-9"/>
          <w:w w:val="105"/>
          <w:sz w:val="21"/>
        </w:rPr>
        <w:t> </w:t>
      </w:r>
      <w:r>
        <w:rPr>
          <w:w w:val="105"/>
          <w:sz w:val="21"/>
        </w:rPr>
        <w:t>and</w:t>
      </w:r>
      <w:r>
        <w:rPr>
          <w:spacing w:val="-9"/>
          <w:w w:val="105"/>
          <w:sz w:val="21"/>
        </w:rPr>
        <w:t> </w:t>
      </w:r>
      <w:r>
        <w:rPr>
          <w:w w:val="105"/>
          <w:sz w:val="21"/>
        </w:rPr>
        <w:t>particularly</w:t>
      </w:r>
      <w:r>
        <w:rPr>
          <w:spacing w:val="-9"/>
          <w:w w:val="105"/>
          <w:sz w:val="21"/>
        </w:rPr>
        <w:t> </w:t>
      </w:r>
      <w:r>
        <w:rPr>
          <w:w w:val="105"/>
          <w:sz w:val="21"/>
        </w:rPr>
        <w:t>after</w:t>
      </w:r>
      <w:r>
        <w:rPr>
          <w:spacing w:val="-9"/>
          <w:w w:val="105"/>
          <w:sz w:val="21"/>
        </w:rPr>
        <w:t> </w:t>
      </w:r>
      <w:r>
        <w:rPr>
          <w:w w:val="105"/>
          <w:sz w:val="21"/>
        </w:rPr>
        <w:t>the</w:t>
      </w:r>
      <w:r>
        <w:rPr>
          <w:spacing w:val="-9"/>
          <w:w w:val="105"/>
          <w:sz w:val="21"/>
        </w:rPr>
        <w:t> </w:t>
      </w:r>
      <w:r>
        <w:rPr>
          <w:spacing w:val="-3"/>
          <w:w w:val="105"/>
          <w:sz w:val="21"/>
        </w:rPr>
        <w:t>consultation</w:t>
      </w:r>
      <w:r>
        <w:rPr>
          <w:spacing w:val="-9"/>
          <w:w w:val="105"/>
          <w:sz w:val="21"/>
        </w:rPr>
        <w:t> </w:t>
      </w:r>
      <w:r>
        <w:rPr>
          <w:w w:val="105"/>
          <w:sz w:val="21"/>
        </w:rPr>
        <w:t>papers</w:t>
      </w:r>
      <w:r>
        <w:rPr>
          <w:spacing w:val="-9"/>
          <w:w w:val="105"/>
          <w:sz w:val="21"/>
        </w:rPr>
        <w:t> </w:t>
      </w:r>
      <w:r>
        <w:rPr>
          <w:spacing w:val="-3"/>
          <w:w w:val="105"/>
          <w:sz w:val="21"/>
        </w:rPr>
        <w:t>were</w:t>
      </w:r>
      <w:r>
        <w:rPr>
          <w:spacing w:val="-9"/>
          <w:w w:val="105"/>
          <w:sz w:val="21"/>
        </w:rPr>
        <w:t> </w:t>
      </w:r>
      <w:r>
        <w:rPr>
          <w:spacing w:val="-3"/>
          <w:w w:val="105"/>
          <w:sz w:val="21"/>
        </w:rPr>
        <w:t>released, </w:t>
      </w:r>
      <w:r>
        <w:rPr>
          <w:w w:val="105"/>
          <w:sz w:val="21"/>
        </w:rPr>
        <w:t>the</w:t>
      </w:r>
      <w:r>
        <w:rPr>
          <w:spacing w:val="-5"/>
          <w:w w:val="105"/>
          <w:sz w:val="21"/>
        </w:rPr>
        <w:t> </w:t>
      </w:r>
      <w:r>
        <w:rPr>
          <w:spacing w:val="-3"/>
          <w:w w:val="105"/>
          <w:sz w:val="21"/>
        </w:rPr>
        <w:t>Commission</w:t>
      </w:r>
      <w:r>
        <w:rPr>
          <w:spacing w:val="-5"/>
          <w:w w:val="105"/>
          <w:sz w:val="21"/>
        </w:rPr>
        <w:t> </w:t>
      </w:r>
      <w:r>
        <w:rPr>
          <w:spacing w:val="-3"/>
          <w:w w:val="105"/>
          <w:sz w:val="21"/>
        </w:rPr>
        <w:t>consulted</w:t>
      </w:r>
      <w:r>
        <w:rPr>
          <w:spacing w:val="-5"/>
          <w:w w:val="105"/>
          <w:sz w:val="21"/>
        </w:rPr>
        <w:t> </w:t>
      </w:r>
      <w:r>
        <w:rPr>
          <w:spacing w:val="-3"/>
          <w:w w:val="105"/>
          <w:sz w:val="21"/>
        </w:rPr>
        <w:t>widely.</w:t>
      </w:r>
      <w:r>
        <w:rPr>
          <w:spacing w:val="-4"/>
          <w:w w:val="105"/>
          <w:sz w:val="21"/>
        </w:rPr>
        <w:t> </w:t>
      </w:r>
      <w:r>
        <w:rPr>
          <w:w w:val="105"/>
          <w:sz w:val="21"/>
        </w:rPr>
        <w:t>Meetings</w:t>
      </w:r>
      <w:r>
        <w:rPr>
          <w:spacing w:val="-5"/>
          <w:w w:val="105"/>
          <w:sz w:val="21"/>
        </w:rPr>
        <w:t> </w:t>
      </w:r>
      <w:r>
        <w:rPr>
          <w:w w:val="105"/>
          <w:sz w:val="21"/>
        </w:rPr>
        <w:t>with</w:t>
      </w:r>
      <w:r>
        <w:rPr>
          <w:spacing w:val="-5"/>
          <w:w w:val="105"/>
          <w:sz w:val="21"/>
        </w:rPr>
        <w:t> </w:t>
      </w:r>
      <w:r>
        <w:rPr>
          <w:w w:val="105"/>
          <w:sz w:val="21"/>
        </w:rPr>
        <w:t>legal</w:t>
      </w:r>
      <w:r>
        <w:rPr>
          <w:spacing w:val="-5"/>
          <w:w w:val="105"/>
          <w:sz w:val="21"/>
        </w:rPr>
        <w:t> </w:t>
      </w:r>
      <w:r>
        <w:rPr>
          <w:w w:val="105"/>
          <w:sz w:val="21"/>
        </w:rPr>
        <w:t>practitioners</w:t>
      </w:r>
      <w:r>
        <w:rPr>
          <w:spacing w:val="-4"/>
          <w:w w:val="105"/>
          <w:sz w:val="21"/>
        </w:rPr>
        <w:t> </w:t>
      </w:r>
      <w:r>
        <w:rPr>
          <w:spacing w:val="-3"/>
          <w:w w:val="105"/>
          <w:sz w:val="21"/>
        </w:rPr>
        <w:t>were</w:t>
      </w:r>
      <w:r>
        <w:rPr>
          <w:spacing w:val="-5"/>
          <w:w w:val="105"/>
          <w:sz w:val="21"/>
        </w:rPr>
        <w:t> </w:t>
      </w:r>
      <w:r>
        <w:rPr>
          <w:w w:val="105"/>
          <w:sz w:val="21"/>
        </w:rPr>
        <w:t>held</w:t>
      </w:r>
      <w:r>
        <w:rPr>
          <w:spacing w:val="-5"/>
          <w:w w:val="105"/>
          <w:sz w:val="21"/>
        </w:rPr>
        <w:t> </w:t>
      </w:r>
      <w:r>
        <w:rPr>
          <w:w w:val="105"/>
          <w:sz w:val="21"/>
        </w:rPr>
        <w:t>in</w:t>
      </w:r>
      <w:r>
        <w:rPr>
          <w:spacing w:val="-5"/>
          <w:w w:val="105"/>
          <w:sz w:val="21"/>
        </w:rPr>
        <w:t> </w:t>
      </w:r>
      <w:r>
        <w:rPr>
          <w:spacing w:val="-4"/>
          <w:w w:val="105"/>
          <w:sz w:val="21"/>
        </w:rPr>
        <w:t>Colac, </w:t>
      </w:r>
      <w:r>
        <w:rPr>
          <w:w w:val="105"/>
          <w:sz w:val="21"/>
        </w:rPr>
        <w:t>Shepparton and </w:t>
      </w:r>
      <w:r>
        <w:rPr>
          <w:spacing w:val="-3"/>
          <w:w w:val="105"/>
          <w:sz w:val="21"/>
        </w:rPr>
        <w:t>Wodonga </w:t>
      </w:r>
      <w:r>
        <w:rPr>
          <w:w w:val="105"/>
          <w:sz w:val="21"/>
        </w:rPr>
        <w:t>as </w:t>
      </w:r>
      <w:r>
        <w:rPr>
          <w:spacing w:val="-3"/>
          <w:w w:val="105"/>
          <w:sz w:val="21"/>
        </w:rPr>
        <w:t>well </w:t>
      </w:r>
      <w:r>
        <w:rPr>
          <w:w w:val="105"/>
          <w:sz w:val="21"/>
        </w:rPr>
        <w:t>as in </w:t>
      </w:r>
      <w:r>
        <w:rPr>
          <w:spacing w:val="-3"/>
          <w:w w:val="105"/>
          <w:sz w:val="21"/>
        </w:rPr>
        <w:t>Melbourne. </w:t>
      </w:r>
      <w:r>
        <w:rPr>
          <w:w w:val="105"/>
          <w:sz w:val="21"/>
        </w:rPr>
        <w:t>An open </w:t>
      </w:r>
      <w:r>
        <w:rPr>
          <w:spacing w:val="-3"/>
          <w:w w:val="105"/>
          <w:sz w:val="21"/>
        </w:rPr>
        <w:t>day </w:t>
      </w:r>
      <w:r>
        <w:rPr>
          <w:w w:val="105"/>
          <w:sz w:val="21"/>
        </w:rPr>
        <w:t>was held </w:t>
      </w:r>
      <w:r>
        <w:rPr>
          <w:spacing w:val="-3"/>
          <w:w w:val="105"/>
          <w:sz w:val="21"/>
        </w:rPr>
        <w:t>to </w:t>
      </w:r>
      <w:r>
        <w:rPr>
          <w:w w:val="105"/>
          <w:sz w:val="21"/>
        </w:rPr>
        <w:t>provide an opportunity </w:t>
      </w:r>
      <w:r>
        <w:rPr>
          <w:spacing w:val="-3"/>
          <w:w w:val="105"/>
          <w:sz w:val="21"/>
        </w:rPr>
        <w:t>for </w:t>
      </w:r>
      <w:r>
        <w:rPr>
          <w:w w:val="105"/>
          <w:sz w:val="21"/>
        </w:rPr>
        <w:t>members of the </w:t>
      </w:r>
      <w:r>
        <w:rPr>
          <w:spacing w:val="-3"/>
          <w:w w:val="105"/>
          <w:sz w:val="21"/>
        </w:rPr>
        <w:t>public to </w:t>
      </w:r>
      <w:r>
        <w:rPr>
          <w:w w:val="105"/>
          <w:sz w:val="21"/>
        </w:rPr>
        <w:t>meet with </w:t>
      </w:r>
      <w:r>
        <w:rPr>
          <w:spacing w:val="-3"/>
          <w:w w:val="105"/>
          <w:sz w:val="21"/>
        </w:rPr>
        <w:t>Commission </w:t>
      </w:r>
      <w:r>
        <w:rPr>
          <w:w w:val="105"/>
          <w:sz w:val="21"/>
        </w:rPr>
        <w:t>staff </w:t>
      </w:r>
      <w:r>
        <w:rPr>
          <w:spacing w:val="-3"/>
          <w:w w:val="105"/>
          <w:sz w:val="21"/>
        </w:rPr>
        <w:t>to</w:t>
      </w:r>
      <w:r>
        <w:rPr>
          <w:spacing w:val="-6"/>
          <w:w w:val="105"/>
          <w:sz w:val="21"/>
        </w:rPr>
        <w:t> </w:t>
      </w:r>
      <w:r>
        <w:rPr>
          <w:w w:val="105"/>
          <w:sz w:val="21"/>
        </w:rPr>
        <w:t>discuss</w:t>
      </w:r>
    </w:p>
    <w:p>
      <w:pPr>
        <w:pStyle w:val="BodyText"/>
        <w:spacing w:before="1"/>
      </w:pPr>
      <w:r>
        <w:rPr/>
        <w:pict>
          <v:line style="position:absolute;mso-position-horizontal-relative:page;mso-position-vertical-relative:paragraph;z-index:-520;mso-wrap-distance-left:0;mso-wrap-distance-right:0" from="79.370102pt,15.318883pt" to="515.905102pt,15.318883pt" stroked="true" strokeweight="1pt" strokecolor="#f9ceca">
            <v:stroke dashstyle="solid"/>
            <w10:wrap type="topAndBottom"/>
          </v:line>
        </w:pict>
      </w:r>
    </w:p>
    <w:p>
      <w:pPr>
        <w:pStyle w:val="ListParagraph"/>
        <w:numPr>
          <w:ilvl w:val="0"/>
          <w:numId w:val="23"/>
        </w:numPr>
        <w:tabs>
          <w:tab w:pos="2380" w:val="left" w:leader="none"/>
          <w:tab w:pos="2382" w:val="left" w:leader="none"/>
        </w:tabs>
        <w:spacing w:line="240" w:lineRule="auto" w:before="117" w:after="0"/>
        <w:ind w:left="2381" w:right="2189" w:hanging="794"/>
        <w:jc w:val="left"/>
        <w:rPr>
          <w:sz w:val="13"/>
        </w:rPr>
      </w:pPr>
      <w:r>
        <w:rPr>
          <w:w w:val="105"/>
          <w:sz w:val="13"/>
        </w:rPr>
        <w:t>Now known, since September </w:t>
      </w:r>
      <w:r>
        <w:rPr>
          <w:spacing w:val="-5"/>
          <w:w w:val="105"/>
          <w:sz w:val="13"/>
        </w:rPr>
        <w:t>2011, </w:t>
      </w:r>
      <w:r>
        <w:rPr>
          <w:w w:val="105"/>
          <w:sz w:val="13"/>
        </w:rPr>
        <w:t>as the Standing Council on Law and Justice. It comprises Commonwealth, State and Territory Attorneys-General and the New Zealand Minister for</w:t>
      </w:r>
      <w:r>
        <w:rPr>
          <w:spacing w:val="1"/>
          <w:w w:val="105"/>
          <w:sz w:val="13"/>
        </w:rPr>
        <w:t> </w:t>
      </w:r>
      <w:r>
        <w:rPr>
          <w:w w:val="105"/>
          <w:sz w:val="13"/>
        </w:rPr>
        <w:t>Justice.</w:t>
      </w:r>
    </w:p>
    <w:p>
      <w:pPr>
        <w:pStyle w:val="ListParagraph"/>
        <w:numPr>
          <w:ilvl w:val="0"/>
          <w:numId w:val="23"/>
        </w:numPr>
        <w:tabs>
          <w:tab w:pos="2380" w:val="left" w:leader="none"/>
          <w:tab w:pos="2382" w:val="left" w:leader="none"/>
        </w:tabs>
        <w:spacing w:line="240" w:lineRule="auto" w:before="3" w:after="0"/>
        <w:ind w:left="2381" w:right="0" w:hanging="794"/>
        <w:jc w:val="left"/>
        <w:rPr>
          <w:sz w:val="13"/>
        </w:rPr>
      </w:pPr>
      <w:r>
        <w:rPr/>
        <w:pict>
          <v:shape style="position:absolute;margin-left:552.254517pt;margin-top:-5.028036pt;width:6.7pt;height:14.25pt;mso-position-horizontal-relative:page;mso-position-vertical-relative:paragraph;z-index:1552" type="#_x0000_t202" filled="false" stroked="false">
            <v:textbox inset="0,0,0,0">
              <w:txbxContent>
                <w:p>
                  <w:pPr>
                    <w:spacing w:line="284" w:lineRule="exact" w:before="0"/>
                    <w:ind w:left="0" w:right="0" w:firstLine="0"/>
                    <w:jc w:val="left"/>
                    <w:rPr>
                      <w:b/>
                      <w:sz w:val="24"/>
                    </w:rPr>
                  </w:pPr>
                  <w:r>
                    <w:rPr>
                      <w:b/>
                      <w:color w:val="EC5A4F"/>
                      <w:w w:val="109"/>
                      <w:sz w:val="24"/>
                    </w:rPr>
                    <w:t>3</w:t>
                  </w:r>
                </w:p>
              </w:txbxContent>
            </v:textbox>
            <w10:wrap type="none"/>
          </v:shape>
        </w:pict>
      </w:r>
      <w:r>
        <w:rPr>
          <w:w w:val="105"/>
          <w:sz w:val="13"/>
        </w:rPr>
        <w:t>Victorian Law Reform Commission, </w:t>
      </w:r>
      <w:r>
        <w:rPr>
          <w:i/>
          <w:w w:val="105"/>
          <w:sz w:val="13"/>
        </w:rPr>
        <w:t>Succession Laws </w:t>
      </w:r>
      <w:r>
        <w:rPr>
          <w:spacing w:val="-3"/>
          <w:w w:val="105"/>
          <w:sz w:val="13"/>
        </w:rPr>
        <w:t>(15 </w:t>
      </w:r>
      <w:r>
        <w:rPr>
          <w:w w:val="105"/>
          <w:sz w:val="13"/>
        </w:rPr>
        <w:t>July 2013)</w:t>
      </w:r>
      <w:r>
        <w:rPr>
          <w:spacing w:val="25"/>
          <w:w w:val="105"/>
          <w:sz w:val="13"/>
        </w:rPr>
        <w:t> </w:t>
      </w:r>
      <w:r>
        <w:rPr>
          <w:w w:val="105"/>
          <w:sz w:val="13"/>
        </w:rPr>
        <w:t>&lt;</w:t>
      </w:r>
      <w:hyperlink r:id="rId20">
        <w:r>
          <w:rPr>
            <w:w w:val="105"/>
            <w:sz w:val="13"/>
          </w:rPr>
          <w:t>http://www.lawreform.vic.gov.au/inquiries/succession-laws</w:t>
        </w:r>
      </w:hyperlink>
      <w:r>
        <w:rPr>
          <w:w w:val="105"/>
          <w:sz w:val="13"/>
        </w:rPr>
        <w:t>&gt;.</w:t>
      </w:r>
    </w:p>
    <w:p>
      <w:pPr>
        <w:spacing w:after="0" w:line="240" w:lineRule="auto"/>
        <w:jc w:val="left"/>
        <w:rPr>
          <w:sz w:val="13"/>
        </w:rPr>
        <w:sectPr>
          <w:headerReference w:type="default" r:id="rId19"/>
          <w:pgSz w:w="11910" w:h="16840"/>
          <w:pgMar w:header="0" w:footer="0" w:top="700" w:bottom="280" w:left="0" w:right="0"/>
        </w:sectPr>
      </w:pPr>
    </w:p>
    <w:p>
      <w:pPr>
        <w:pStyle w:val="BodyText"/>
        <w:spacing w:before="9"/>
        <w:rPr>
          <w:sz w:val="22"/>
        </w:rPr>
      </w:pPr>
    </w:p>
    <w:p>
      <w:pPr>
        <w:pStyle w:val="BodyText"/>
        <w:spacing w:line="242" w:lineRule="auto" w:before="92"/>
        <w:ind w:left="2381" w:right="1732"/>
      </w:pPr>
      <w:bookmarkStart w:name="The Commission’s approach to the issues" w:id="11"/>
      <w:bookmarkEnd w:id="11"/>
      <w:r>
        <w:rPr/>
      </w:r>
      <w:bookmarkStart w:name="Structure of this report" w:id="12"/>
      <w:bookmarkEnd w:id="12"/>
      <w:r>
        <w:rPr/>
      </w:r>
      <w:r>
        <w:rPr>
          <w:w w:val="105"/>
        </w:rPr>
        <w:t>their response </w:t>
      </w:r>
      <w:r>
        <w:rPr>
          <w:spacing w:val="-3"/>
          <w:w w:val="105"/>
        </w:rPr>
        <w:t>to </w:t>
      </w:r>
      <w:r>
        <w:rPr>
          <w:w w:val="105"/>
        </w:rPr>
        <w:t>the questions </w:t>
      </w:r>
      <w:r>
        <w:rPr>
          <w:spacing w:val="-2"/>
          <w:w w:val="105"/>
        </w:rPr>
        <w:t>raised </w:t>
      </w:r>
      <w:r>
        <w:rPr>
          <w:w w:val="105"/>
        </w:rPr>
        <w:t>in the </w:t>
      </w:r>
      <w:r>
        <w:rPr>
          <w:spacing w:val="-3"/>
          <w:w w:val="105"/>
        </w:rPr>
        <w:t>consultation </w:t>
      </w:r>
      <w:r>
        <w:rPr>
          <w:w w:val="105"/>
        </w:rPr>
        <w:t>papers. The </w:t>
      </w:r>
      <w:r>
        <w:rPr>
          <w:spacing w:val="-3"/>
          <w:w w:val="105"/>
        </w:rPr>
        <w:t>Commission </w:t>
      </w:r>
      <w:r>
        <w:rPr>
          <w:w w:val="105"/>
        </w:rPr>
        <w:t>held a roundtable on </w:t>
      </w:r>
      <w:r>
        <w:rPr>
          <w:spacing w:val="-3"/>
          <w:w w:val="105"/>
        </w:rPr>
        <w:t>wills, </w:t>
      </w:r>
      <w:r>
        <w:rPr>
          <w:w w:val="105"/>
        </w:rPr>
        <w:t>which was attended by representatives of community </w:t>
      </w:r>
      <w:r>
        <w:rPr>
          <w:spacing w:val="-3"/>
          <w:w w:val="105"/>
        </w:rPr>
        <w:t>groups, </w:t>
      </w:r>
      <w:r>
        <w:rPr>
          <w:w w:val="105"/>
        </w:rPr>
        <w:t>legal practitioners, academics, </w:t>
      </w:r>
      <w:r>
        <w:rPr>
          <w:spacing w:val="-3"/>
          <w:w w:val="105"/>
        </w:rPr>
        <w:t>State </w:t>
      </w:r>
      <w:r>
        <w:rPr>
          <w:spacing w:val="-4"/>
          <w:w w:val="105"/>
        </w:rPr>
        <w:t>Trustees </w:t>
      </w:r>
      <w:r>
        <w:rPr>
          <w:w w:val="105"/>
        </w:rPr>
        <w:t>and the Victorian </w:t>
      </w:r>
      <w:r>
        <w:rPr>
          <w:spacing w:val="-3"/>
          <w:w w:val="105"/>
        </w:rPr>
        <w:t>Civil </w:t>
      </w:r>
      <w:r>
        <w:rPr>
          <w:w w:val="105"/>
        </w:rPr>
        <w:t>and </w:t>
      </w:r>
      <w:r>
        <w:rPr>
          <w:spacing w:val="-3"/>
          <w:w w:val="105"/>
        </w:rPr>
        <w:t>Administrative </w:t>
      </w:r>
      <w:r>
        <w:rPr>
          <w:spacing w:val="-5"/>
          <w:w w:val="105"/>
        </w:rPr>
        <w:t>Tribunal. </w:t>
      </w:r>
      <w:r>
        <w:rPr>
          <w:w w:val="105"/>
        </w:rPr>
        <w:t>Meetings </w:t>
      </w:r>
      <w:r>
        <w:rPr>
          <w:spacing w:val="-3"/>
          <w:w w:val="105"/>
        </w:rPr>
        <w:t>were </w:t>
      </w:r>
      <w:r>
        <w:rPr>
          <w:w w:val="105"/>
        </w:rPr>
        <w:t>held with members of the Law </w:t>
      </w:r>
      <w:r>
        <w:rPr>
          <w:spacing w:val="-3"/>
          <w:w w:val="105"/>
        </w:rPr>
        <w:t>Institute </w:t>
      </w:r>
      <w:r>
        <w:rPr>
          <w:w w:val="105"/>
        </w:rPr>
        <w:t>of Victoria, judges and associate judges of the </w:t>
      </w:r>
      <w:r>
        <w:rPr>
          <w:spacing w:val="-3"/>
          <w:w w:val="105"/>
        </w:rPr>
        <w:t>Supreme Court, </w:t>
      </w:r>
      <w:r>
        <w:rPr>
          <w:w w:val="105"/>
        </w:rPr>
        <w:t>judges of the </w:t>
      </w:r>
      <w:r>
        <w:rPr>
          <w:spacing w:val="-3"/>
          <w:w w:val="105"/>
        </w:rPr>
        <w:t>County Court, </w:t>
      </w:r>
      <w:r>
        <w:rPr>
          <w:w w:val="105"/>
        </w:rPr>
        <w:t>and representatives of </w:t>
      </w:r>
      <w:r>
        <w:rPr>
          <w:spacing w:val="-3"/>
          <w:w w:val="105"/>
        </w:rPr>
        <w:t>private </w:t>
      </w:r>
      <w:r>
        <w:rPr>
          <w:w w:val="105"/>
        </w:rPr>
        <w:t>trustee </w:t>
      </w:r>
      <w:r>
        <w:rPr>
          <w:spacing w:val="-3"/>
          <w:w w:val="105"/>
        </w:rPr>
        <w:t>companies.</w:t>
      </w:r>
    </w:p>
    <w:p>
      <w:pPr>
        <w:pStyle w:val="ListParagraph"/>
        <w:numPr>
          <w:ilvl w:val="1"/>
          <w:numId w:val="22"/>
        </w:numPr>
        <w:tabs>
          <w:tab w:pos="2380" w:val="left" w:leader="none"/>
          <w:tab w:pos="2381" w:val="left" w:leader="none"/>
        </w:tabs>
        <w:spacing w:line="242" w:lineRule="auto" w:before="126" w:after="0"/>
        <w:ind w:left="2380" w:right="1815" w:hanging="793"/>
        <w:jc w:val="left"/>
        <w:rPr>
          <w:sz w:val="21"/>
        </w:rPr>
      </w:pPr>
      <w:r>
        <w:rPr>
          <w:w w:val="105"/>
          <w:sz w:val="21"/>
        </w:rPr>
        <w:t>As a number of the law </w:t>
      </w:r>
      <w:r>
        <w:rPr>
          <w:spacing w:val="-3"/>
          <w:w w:val="105"/>
          <w:sz w:val="21"/>
        </w:rPr>
        <w:t>reform </w:t>
      </w:r>
      <w:r>
        <w:rPr>
          <w:w w:val="105"/>
          <w:sz w:val="21"/>
        </w:rPr>
        <w:t>options being </w:t>
      </w:r>
      <w:r>
        <w:rPr>
          <w:spacing w:val="-3"/>
          <w:w w:val="105"/>
          <w:sz w:val="21"/>
        </w:rPr>
        <w:t>considered </w:t>
      </w:r>
      <w:r>
        <w:rPr>
          <w:w w:val="105"/>
          <w:sz w:val="21"/>
        </w:rPr>
        <w:t>by the </w:t>
      </w:r>
      <w:r>
        <w:rPr>
          <w:spacing w:val="-3"/>
          <w:w w:val="105"/>
          <w:sz w:val="21"/>
        </w:rPr>
        <w:t>Commission drew </w:t>
      </w:r>
      <w:r>
        <w:rPr>
          <w:w w:val="105"/>
          <w:sz w:val="21"/>
        </w:rPr>
        <w:t>on New South </w:t>
      </w:r>
      <w:r>
        <w:rPr>
          <w:spacing w:val="-3"/>
          <w:w w:val="105"/>
          <w:sz w:val="21"/>
        </w:rPr>
        <w:t>Wales legislation </w:t>
      </w:r>
      <w:r>
        <w:rPr>
          <w:w w:val="105"/>
          <w:sz w:val="21"/>
        </w:rPr>
        <w:t>and </w:t>
      </w:r>
      <w:r>
        <w:rPr>
          <w:spacing w:val="-3"/>
          <w:w w:val="105"/>
          <w:sz w:val="21"/>
        </w:rPr>
        <w:t>practice, </w:t>
      </w:r>
      <w:r>
        <w:rPr>
          <w:w w:val="105"/>
          <w:sz w:val="21"/>
        </w:rPr>
        <w:t>Dr </w:t>
      </w:r>
      <w:r>
        <w:rPr>
          <w:spacing w:val="-3"/>
          <w:w w:val="105"/>
          <w:sz w:val="21"/>
        </w:rPr>
        <w:t>Hardingham </w:t>
      </w:r>
      <w:r>
        <w:rPr>
          <w:w w:val="105"/>
          <w:sz w:val="21"/>
        </w:rPr>
        <w:t>held </w:t>
      </w:r>
      <w:r>
        <w:rPr>
          <w:spacing w:val="-3"/>
          <w:w w:val="105"/>
          <w:sz w:val="21"/>
        </w:rPr>
        <w:t>discussions </w:t>
      </w:r>
      <w:r>
        <w:rPr>
          <w:w w:val="105"/>
          <w:sz w:val="21"/>
        </w:rPr>
        <w:t>in </w:t>
      </w:r>
      <w:r>
        <w:rPr>
          <w:spacing w:val="-4"/>
          <w:w w:val="105"/>
          <w:sz w:val="21"/>
        </w:rPr>
        <w:t>Sydney </w:t>
      </w:r>
      <w:r>
        <w:rPr>
          <w:w w:val="105"/>
          <w:sz w:val="21"/>
        </w:rPr>
        <w:t>with members and staff of the New South </w:t>
      </w:r>
      <w:r>
        <w:rPr>
          <w:spacing w:val="-3"/>
          <w:w w:val="105"/>
          <w:sz w:val="21"/>
        </w:rPr>
        <w:t>Wales Supreme Court </w:t>
      </w:r>
      <w:r>
        <w:rPr>
          <w:w w:val="105"/>
          <w:sz w:val="21"/>
        </w:rPr>
        <w:t>and other </w:t>
      </w:r>
      <w:r>
        <w:rPr>
          <w:spacing w:val="-3"/>
          <w:w w:val="105"/>
          <w:sz w:val="21"/>
        </w:rPr>
        <w:t>individuals </w:t>
      </w:r>
      <w:r>
        <w:rPr>
          <w:w w:val="105"/>
          <w:sz w:val="21"/>
        </w:rPr>
        <w:t>and</w:t>
      </w:r>
      <w:r>
        <w:rPr>
          <w:spacing w:val="-6"/>
          <w:w w:val="105"/>
          <w:sz w:val="21"/>
        </w:rPr>
        <w:t> </w:t>
      </w:r>
      <w:r>
        <w:rPr>
          <w:spacing w:val="-3"/>
          <w:w w:val="105"/>
          <w:sz w:val="21"/>
        </w:rPr>
        <w:t>organisations</w:t>
      </w:r>
      <w:r>
        <w:rPr>
          <w:spacing w:val="-6"/>
          <w:w w:val="105"/>
          <w:sz w:val="21"/>
        </w:rPr>
        <w:t> </w:t>
      </w:r>
      <w:r>
        <w:rPr>
          <w:w w:val="105"/>
          <w:sz w:val="21"/>
        </w:rPr>
        <w:t>with</w:t>
      </w:r>
      <w:r>
        <w:rPr>
          <w:spacing w:val="-6"/>
          <w:w w:val="105"/>
          <w:sz w:val="21"/>
        </w:rPr>
        <w:t> </w:t>
      </w:r>
      <w:r>
        <w:rPr>
          <w:w w:val="105"/>
          <w:sz w:val="21"/>
        </w:rPr>
        <w:t>expertise</w:t>
      </w:r>
      <w:r>
        <w:rPr>
          <w:spacing w:val="-5"/>
          <w:w w:val="105"/>
          <w:sz w:val="21"/>
        </w:rPr>
        <w:t> </w:t>
      </w:r>
      <w:r>
        <w:rPr>
          <w:w w:val="105"/>
          <w:sz w:val="21"/>
        </w:rPr>
        <w:t>in</w:t>
      </w:r>
      <w:r>
        <w:rPr>
          <w:spacing w:val="-6"/>
          <w:w w:val="105"/>
          <w:sz w:val="21"/>
        </w:rPr>
        <w:t> </w:t>
      </w:r>
      <w:r>
        <w:rPr>
          <w:w w:val="105"/>
          <w:sz w:val="21"/>
        </w:rPr>
        <w:t>this</w:t>
      </w:r>
      <w:r>
        <w:rPr>
          <w:spacing w:val="-6"/>
          <w:w w:val="105"/>
          <w:sz w:val="21"/>
        </w:rPr>
        <w:t> </w:t>
      </w:r>
      <w:r>
        <w:rPr>
          <w:spacing w:val="-3"/>
          <w:w w:val="105"/>
          <w:sz w:val="21"/>
        </w:rPr>
        <w:t>area</w:t>
      </w:r>
      <w:r>
        <w:rPr>
          <w:spacing w:val="-6"/>
          <w:w w:val="105"/>
          <w:sz w:val="21"/>
        </w:rPr>
        <w:t> </w:t>
      </w:r>
      <w:r>
        <w:rPr>
          <w:w w:val="105"/>
          <w:sz w:val="21"/>
        </w:rPr>
        <w:t>of</w:t>
      </w:r>
      <w:r>
        <w:rPr>
          <w:spacing w:val="-5"/>
          <w:w w:val="105"/>
          <w:sz w:val="21"/>
        </w:rPr>
        <w:t> </w:t>
      </w:r>
      <w:r>
        <w:rPr>
          <w:w w:val="105"/>
          <w:sz w:val="21"/>
        </w:rPr>
        <w:t>the</w:t>
      </w:r>
      <w:r>
        <w:rPr>
          <w:spacing w:val="-6"/>
          <w:w w:val="105"/>
          <w:sz w:val="21"/>
        </w:rPr>
        <w:t> </w:t>
      </w:r>
      <w:r>
        <w:rPr>
          <w:spacing w:val="-5"/>
          <w:w w:val="105"/>
          <w:sz w:val="21"/>
        </w:rPr>
        <w:t>law.</w:t>
      </w:r>
      <w:r>
        <w:rPr>
          <w:spacing w:val="-6"/>
          <w:w w:val="105"/>
          <w:sz w:val="21"/>
        </w:rPr>
        <w:t> </w:t>
      </w:r>
      <w:r>
        <w:rPr>
          <w:w w:val="105"/>
          <w:sz w:val="21"/>
        </w:rPr>
        <w:t>The</w:t>
      </w:r>
      <w:r>
        <w:rPr>
          <w:spacing w:val="-5"/>
          <w:w w:val="105"/>
          <w:sz w:val="21"/>
        </w:rPr>
        <w:t> </w:t>
      </w:r>
      <w:r>
        <w:rPr>
          <w:spacing w:val="-3"/>
          <w:w w:val="105"/>
          <w:sz w:val="21"/>
        </w:rPr>
        <w:t>consultations</w:t>
      </w:r>
      <w:r>
        <w:rPr>
          <w:spacing w:val="-6"/>
          <w:w w:val="105"/>
          <w:sz w:val="21"/>
        </w:rPr>
        <w:t> </w:t>
      </w:r>
      <w:r>
        <w:rPr>
          <w:w w:val="105"/>
          <w:sz w:val="21"/>
        </w:rPr>
        <w:t>held</w:t>
      </w:r>
      <w:r>
        <w:rPr>
          <w:spacing w:val="-6"/>
          <w:w w:val="105"/>
          <w:sz w:val="21"/>
        </w:rPr>
        <w:t> </w:t>
      </w:r>
      <w:r>
        <w:rPr>
          <w:w w:val="105"/>
          <w:sz w:val="21"/>
        </w:rPr>
        <w:t>after</w:t>
      </w:r>
      <w:r>
        <w:rPr>
          <w:spacing w:val="-6"/>
          <w:w w:val="105"/>
          <w:sz w:val="21"/>
        </w:rPr>
        <w:t> </w:t>
      </w:r>
      <w:r>
        <w:rPr>
          <w:w w:val="105"/>
          <w:sz w:val="21"/>
        </w:rPr>
        <w:t>the </w:t>
      </w:r>
      <w:r>
        <w:rPr>
          <w:spacing w:val="-3"/>
          <w:w w:val="105"/>
          <w:sz w:val="21"/>
        </w:rPr>
        <w:t>consultation </w:t>
      </w:r>
      <w:r>
        <w:rPr>
          <w:w w:val="105"/>
          <w:sz w:val="21"/>
        </w:rPr>
        <w:t>papers </w:t>
      </w:r>
      <w:r>
        <w:rPr>
          <w:spacing w:val="-3"/>
          <w:w w:val="105"/>
          <w:sz w:val="21"/>
        </w:rPr>
        <w:t>were </w:t>
      </w:r>
      <w:r>
        <w:rPr>
          <w:w w:val="105"/>
          <w:sz w:val="21"/>
        </w:rPr>
        <w:t>released </w:t>
      </w:r>
      <w:r>
        <w:rPr>
          <w:spacing w:val="-3"/>
          <w:w w:val="105"/>
          <w:sz w:val="21"/>
        </w:rPr>
        <w:t>are </w:t>
      </w:r>
      <w:r>
        <w:rPr>
          <w:spacing w:val="-2"/>
          <w:w w:val="105"/>
          <w:sz w:val="21"/>
        </w:rPr>
        <w:t>listed </w:t>
      </w:r>
      <w:r>
        <w:rPr>
          <w:w w:val="105"/>
          <w:sz w:val="21"/>
        </w:rPr>
        <w:t>at </w:t>
      </w:r>
      <w:r>
        <w:rPr>
          <w:rFonts w:ascii="Lucida Sans"/>
          <w:b/>
          <w:w w:val="105"/>
          <w:sz w:val="21"/>
        </w:rPr>
        <w:t>Appendix</w:t>
      </w:r>
      <w:r>
        <w:rPr>
          <w:rFonts w:ascii="Lucida Sans"/>
          <w:b/>
          <w:spacing w:val="-6"/>
          <w:w w:val="105"/>
          <w:sz w:val="21"/>
        </w:rPr>
        <w:t> </w:t>
      </w:r>
      <w:r>
        <w:rPr>
          <w:rFonts w:ascii="Lucida Sans"/>
          <w:b/>
          <w:w w:val="105"/>
          <w:sz w:val="21"/>
        </w:rPr>
        <w:t>C</w:t>
      </w:r>
      <w:r>
        <w:rPr>
          <w:w w:val="105"/>
          <w:sz w:val="21"/>
        </w:rPr>
        <w:t>.</w:t>
      </w:r>
    </w:p>
    <w:p>
      <w:pPr>
        <w:pStyle w:val="ListParagraph"/>
        <w:numPr>
          <w:ilvl w:val="1"/>
          <w:numId w:val="22"/>
        </w:numPr>
        <w:tabs>
          <w:tab w:pos="2380" w:val="left" w:leader="none"/>
          <w:tab w:pos="2381" w:val="left" w:leader="none"/>
        </w:tabs>
        <w:spacing w:line="242" w:lineRule="auto" w:before="121" w:after="0"/>
        <w:ind w:left="2380" w:right="1804" w:hanging="793"/>
        <w:jc w:val="left"/>
        <w:rPr>
          <w:sz w:val="21"/>
        </w:rPr>
      </w:pPr>
      <w:r>
        <w:rPr>
          <w:w w:val="105"/>
          <w:sz w:val="21"/>
        </w:rPr>
        <w:t>In</w:t>
      </w:r>
      <w:r>
        <w:rPr>
          <w:spacing w:val="-7"/>
          <w:w w:val="105"/>
          <w:sz w:val="21"/>
        </w:rPr>
        <w:t> </w:t>
      </w:r>
      <w:r>
        <w:rPr>
          <w:w w:val="105"/>
          <w:sz w:val="21"/>
        </w:rPr>
        <w:t>addition</w:t>
      </w:r>
      <w:r>
        <w:rPr>
          <w:spacing w:val="-7"/>
          <w:w w:val="105"/>
          <w:sz w:val="21"/>
        </w:rPr>
        <w:t> </w:t>
      </w:r>
      <w:r>
        <w:rPr>
          <w:spacing w:val="-3"/>
          <w:w w:val="105"/>
          <w:sz w:val="21"/>
        </w:rPr>
        <w:t>to</w:t>
      </w:r>
      <w:r>
        <w:rPr>
          <w:spacing w:val="-7"/>
          <w:w w:val="105"/>
          <w:sz w:val="21"/>
        </w:rPr>
        <w:t> </w:t>
      </w:r>
      <w:r>
        <w:rPr>
          <w:w w:val="105"/>
          <w:sz w:val="21"/>
        </w:rPr>
        <w:t>the</w:t>
      </w:r>
      <w:r>
        <w:rPr>
          <w:spacing w:val="-7"/>
          <w:w w:val="105"/>
          <w:sz w:val="21"/>
        </w:rPr>
        <w:t> </w:t>
      </w:r>
      <w:r>
        <w:rPr>
          <w:spacing w:val="-3"/>
          <w:w w:val="105"/>
          <w:sz w:val="21"/>
        </w:rPr>
        <w:t>planned</w:t>
      </w:r>
      <w:r>
        <w:rPr>
          <w:spacing w:val="-7"/>
          <w:w w:val="105"/>
          <w:sz w:val="21"/>
        </w:rPr>
        <w:t> </w:t>
      </w:r>
      <w:r>
        <w:rPr>
          <w:spacing w:val="-3"/>
          <w:w w:val="105"/>
          <w:sz w:val="21"/>
        </w:rPr>
        <w:t>consultations,</w:t>
      </w:r>
      <w:r>
        <w:rPr>
          <w:spacing w:val="-7"/>
          <w:w w:val="105"/>
          <w:sz w:val="21"/>
        </w:rPr>
        <w:t> </w:t>
      </w:r>
      <w:r>
        <w:rPr>
          <w:w w:val="105"/>
          <w:sz w:val="21"/>
        </w:rPr>
        <w:t>the</w:t>
      </w:r>
      <w:r>
        <w:rPr>
          <w:spacing w:val="-7"/>
          <w:w w:val="105"/>
          <w:sz w:val="21"/>
        </w:rPr>
        <w:t> </w:t>
      </w:r>
      <w:r>
        <w:rPr>
          <w:spacing w:val="-3"/>
          <w:w w:val="105"/>
          <w:sz w:val="21"/>
        </w:rPr>
        <w:t>Commission</w:t>
      </w:r>
      <w:r>
        <w:rPr>
          <w:spacing w:val="-7"/>
          <w:w w:val="105"/>
          <w:sz w:val="21"/>
        </w:rPr>
        <w:t> </w:t>
      </w:r>
      <w:r>
        <w:rPr>
          <w:w w:val="105"/>
          <w:sz w:val="21"/>
        </w:rPr>
        <w:t>received</w:t>
      </w:r>
      <w:r>
        <w:rPr>
          <w:spacing w:val="-7"/>
          <w:w w:val="105"/>
          <w:sz w:val="21"/>
        </w:rPr>
        <w:t> </w:t>
      </w:r>
      <w:r>
        <w:rPr>
          <w:spacing w:val="-3"/>
          <w:w w:val="105"/>
          <w:sz w:val="21"/>
        </w:rPr>
        <w:t>many</w:t>
      </w:r>
      <w:r>
        <w:rPr>
          <w:spacing w:val="-7"/>
          <w:w w:val="105"/>
          <w:sz w:val="21"/>
        </w:rPr>
        <w:t> </w:t>
      </w:r>
      <w:r>
        <w:rPr>
          <w:w w:val="105"/>
          <w:sz w:val="21"/>
        </w:rPr>
        <w:t>comments</w:t>
      </w:r>
      <w:r>
        <w:rPr>
          <w:spacing w:val="-7"/>
          <w:w w:val="105"/>
          <w:sz w:val="21"/>
        </w:rPr>
        <w:t> </w:t>
      </w:r>
      <w:r>
        <w:rPr>
          <w:w w:val="105"/>
          <w:sz w:val="21"/>
        </w:rPr>
        <w:t>and further </w:t>
      </w:r>
      <w:r>
        <w:rPr>
          <w:spacing w:val="-3"/>
          <w:w w:val="105"/>
          <w:sz w:val="21"/>
        </w:rPr>
        <w:t>information informally from interested </w:t>
      </w:r>
      <w:r>
        <w:rPr>
          <w:w w:val="105"/>
          <w:sz w:val="21"/>
        </w:rPr>
        <w:t>members of the </w:t>
      </w:r>
      <w:r>
        <w:rPr>
          <w:spacing w:val="-3"/>
          <w:w w:val="105"/>
          <w:sz w:val="21"/>
        </w:rPr>
        <w:t>public </w:t>
      </w:r>
      <w:r>
        <w:rPr>
          <w:w w:val="105"/>
          <w:sz w:val="21"/>
        </w:rPr>
        <w:t>as </w:t>
      </w:r>
      <w:r>
        <w:rPr>
          <w:spacing w:val="-3"/>
          <w:w w:val="105"/>
          <w:sz w:val="21"/>
        </w:rPr>
        <w:t>well </w:t>
      </w:r>
      <w:r>
        <w:rPr>
          <w:w w:val="105"/>
          <w:sz w:val="21"/>
        </w:rPr>
        <w:t>as </w:t>
      </w:r>
      <w:r>
        <w:rPr>
          <w:spacing w:val="-3"/>
          <w:w w:val="105"/>
          <w:sz w:val="21"/>
        </w:rPr>
        <w:t>from individuals </w:t>
      </w:r>
      <w:r>
        <w:rPr>
          <w:w w:val="105"/>
          <w:sz w:val="21"/>
        </w:rPr>
        <w:t>with specialist knowledge and</w:t>
      </w:r>
      <w:r>
        <w:rPr>
          <w:spacing w:val="21"/>
          <w:w w:val="105"/>
          <w:sz w:val="21"/>
        </w:rPr>
        <w:t> </w:t>
      </w:r>
      <w:r>
        <w:rPr>
          <w:w w:val="105"/>
          <w:sz w:val="21"/>
        </w:rPr>
        <w:t>expertise.</w:t>
      </w:r>
    </w:p>
    <w:p>
      <w:pPr>
        <w:pStyle w:val="BodyText"/>
        <w:spacing w:before="4"/>
      </w:pPr>
    </w:p>
    <w:p>
      <w:pPr>
        <w:pStyle w:val="Heading4"/>
      </w:pPr>
      <w:r>
        <w:rPr>
          <w:color w:val="EC5A4F"/>
          <w:w w:val="110"/>
        </w:rPr>
        <w:t>The Commission’s approach to the issues</w:t>
      </w:r>
    </w:p>
    <w:p>
      <w:pPr>
        <w:pStyle w:val="ListParagraph"/>
        <w:numPr>
          <w:ilvl w:val="1"/>
          <w:numId w:val="22"/>
        </w:numPr>
        <w:tabs>
          <w:tab w:pos="2380" w:val="left" w:leader="none"/>
          <w:tab w:pos="2381" w:val="left" w:leader="none"/>
        </w:tabs>
        <w:spacing w:line="242" w:lineRule="auto" w:before="155" w:after="0"/>
        <w:ind w:left="2381" w:right="1670" w:hanging="794"/>
        <w:jc w:val="left"/>
        <w:rPr>
          <w:sz w:val="21"/>
        </w:rPr>
      </w:pPr>
      <w:r>
        <w:rPr>
          <w:sz w:val="21"/>
        </w:rPr>
        <w:t>In </w:t>
      </w:r>
      <w:r>
        <w:rPr>
          <w:spacing w:val="-3"/>
          <w:sz w:val="21"/>
        </w:rPr>
        <w:t>considering </w:t>
      </w:r>
      <w:r>
        <w:rPr>
          <w:sz w:val="21"/>
        </w:rPr>
        <w:t>the issues </w:t>
      </w:r>
      <w:r>
        <w:rPr>
          <w:spacing w:val="-3"/>
          <w:sz w:val="21"/>
        </w:rPr>
        <w:t>arising from </w:t>
      </w:r>
      <w:r>
        <w:rPr>
          <w:sz w:val="21"/>
        </w:rPr>
        <w:t>the </w:t>
      </w:r>
      <w:r>
        <w:rPr>
          <w:spacing w:val="-3"/>
          <w:sz w:val="21"/>
        </w:rPr>
        <w:t>terms  </w:t>
      </w:r>
      <w:r>
        <w:rPr>
          <w:sz w:val="21"/>
        </w:rPr>
        <w:t>of </w:t>
      </w:r>
      <w:r>
        <w:rPr>
          <w:spacing w:val="-3"/>
          <w:sz w:val="21"/>
        </w:rPr>
        <w:t>reference</w:t>
      </w:r>
      <w:r>
        <w:rPr>
          <w:spacing w:val="41"/>
          <w:sz w:val="21"/>
        </w:rPr>
        <w:t> </w:t>
      </w:r>
      <w:r>
        <w:rPr>
          <w:sz w:val="21"/>
        </w:rPr>
        <w:t>the </w:t>
      </w:r>
      <w:r>
        <w:rPr>
          <w:spacing w:val="-3"/>
          <w:sz w:val="21"/>
        </w:rPr>
        <w:t>Commission  </w:t>
      </w:r>
      <w:r>
        <w:rPr>
          <w:sz w:val="21"/>
        </w:rPr>
        <w:t>was </w:t>
      </w:r>
      <w:r>
        <w:rPr>
          <w:spacing w:val="-3"/>
          <w:sz w:val="21"/>
        </w:rPr>
        <w:t>mindful  </w:t>
      </w:r>
      <w:r>
        <w:rPr>
          <w:sz w:val="21"/>
        </w:rPr>
        <w:t>of the stated objectives of the </w:t>
      </w:r>
      <w:r>
        <w:rPr>
          <w:spacing w:val="-4"/>
          <w:sz w:val="21"/>
        </w:rPr>
        <w:t>review. </w:t>
      </w:r>
      <w:r>
        <w:rPr>
          <w:sz w:val="21"/>
        </w:rPr>
        <w:t>It </w:t>
      </w:r>
      <w:r>
        <w:rPr>
          <w:spacing w:val="-3"/>
          <w:sz w:val="21"/>
        </w:rPr>
        <w:t>noted </w:t>
      </w:r>
      <w:r>
        <w:rPr>
          <w:sz w:val="21"/>
        </w:rPr>
        <w:t>in particular </w:t>
      </w:r>
      <w:r>
        <w:rPr>
          <w:spacing w:val="-3"/>
          <w:sz w:val="21"/>
        </w:rPr>
        <w:t>that </w:t>
      </w:r>
      <w:r>
        <w:rPr>
          <w:sz w:val="21"/>
        </w:rPr>
        <w:t>state and territory  ministers </w:t>
      </w:r>
      <w:r>
        <w:rPr>
          <w:spacing w:val="-3"/>
          <w:sz w:val="21"/>
        </w:rPr>
        <w:t>have </w:t>
      </w:r>
      <w:r>
        <w:rPr>
          <w:sz w:val="21"/>
        </w:rPr>
        <w:t>agreed </w:t>
      </w:r>
      <w:r>
        <w:rPr>
          <w:spacing w:val="-3"/>
          <w:sz w:val="21"/>
        </w:rPr>
        <w:t>to  </w:t>
      </w:r>
      <w:r>
        <w:rPr>
          <w:sz w:val="21"/>
        </w:rPr>
        <w:t>adopt the </w:t>
      </w:r>
      <w:r>
        <w:rPr>
          <w:spacing w:val="-3"/>
          <w:sz w:val="21"/>
        </w:rPr>
        <w:t>National</w:t>
      </w:r>
      <w:r>
        <w:rPr>
          <w:spacing w:val="41"/>
          <w:sz w:val="21"/>
        </w:rPr>
        <w:t> </w:t>
      </w:r>
      <w:r>
        <w:rPr>
          <w:spacing w:val="-4"/>
          <w:sz w:val="21"/>
        </w:rPr>
        <w:t>Committee’s  </w:t>
      </w:r>
      <w:r>
        <w:rPr>
          <w:spacing w:val="-3"/>
          <w:sz w:val="21"/>
        </w:rPr>
        <w:t>recommendations  </w:t>
      </w:r>
      <w:r>
        <w:rPr>
          <w:sz w:val="21"/>
        </w:rPr>
        <w:t>as the basis </w:t>
      </w:r>
      <w:r>
        <w:rPr>
          <w:spacing w:val="-3"/>
          <w:sz w:val="21"/>
        </w:rPr>
        <w:t>for</w:t>
      </w:r>
      <w:r>
        <w:rPr>
          <w:spacing w:val="16"/>
          <w:sz w:val="21"/>
        </w:rPr>
        <w:t> </w:t>
      </w:r>
      <w:r>
        <w:rPr>
          <w:spacing w:val="-3"/>
          <w:sz w:val="21"/>
        </w:rPr>
        <w:t>reforming</w:t>
      </w:r>
      <w:r>
        <w:rPr>
          <w:spacing w:val="17"/>
          <w:sz w:val="21"/>
        </w:rPr>
        <w:t> </w:t>
      </w:r>
      <w:r>
        <w:rPr>
          <w:spacing w:val="-3"/>
          <w:sz w:val="21"/>
        </w:rPr>
        <w:t>succession</w:t>
      </w:r>
      <w:r>
        <w:rPr>
          <w:spacing w:val="17"/>
          <w:sz w:val="21"/>
        </w:rPr>
        <w:t> </w:t>
      </w:r>
      <w:r>
        <w:rPr>
          <w:sz w:val="21"/>
        </w:rPr>
        <w:t>laws,</w:t>
      </w:r>
      <w:r>
        <w:rPr>
          <w:spacing w:val="17"/>
          <w:sz w:val="21"/>
        </w:rPr>
        <w:t> </w:t>
      </w:r>
      <w:r>
        <w:rPr>
          <w:sz w:val="21"/>
        </w:rPr>
        <w:t>with</w:t>
      </w:r>
      <w:r>
        <w:rPr>
          <w:spacing w:val="16"/>
          <w:sz w:val="21"/>
        </w:rPr>
        <w:t> </w:t>
      </w:r>
      <w:r>
        <w:rPr>
          <w:sz w:val="21"/>
        </w:rPr>
        <w:t>the</w:t>
      </w:r>
      <w:r>
        <w:rPr>
          <w:spacing w:val="17"/>
          <w:sz w:val="21"/>
        </w:rPr>
        <w:t> </w:t>
      </w:r>
      <w:r>
        <w:rPr>
          <w:spacing w:val="-3"/>
          <w:sz w:val="21"/>
        </w:rPr>
        <w:t>aim</w:t>
      </w:r>
      <w:r>
        <w:rPr>
          <w:spacing w:val="17"/>
          <w:sz w:val="21"/>
        </w:rPr>
        <w:t> </w:t>
      </w:r>
      <w:r>
        <w:rPr>
          <w:sz w:val="21"/>
        </w:rPr>
        <w:t>of</w:t>
      </w:r>
      <w:r>
        <w:rPr>
          <w:spacing w:val="17"/>
          <w:sz w:val="21"/>
        </w:rPr>
        <w:t> </w:t>
      </w:r>
      <w:r>
        <w:rPr>
          <w:spacing w:val="-3"/>
          <w:sz w:val="21"/>
        </w:rPr>
        <w:t>maximising</w:t>
      </w:r>
      <w:r>
        <w:rPr>
          <w:spacing w:val="16"/>
          <w:sz w:val="21"/>
        </w:rPr>
        <w:t> </w:t>
      </w:r>
      <w:r>
        <w:rPr>
          <w:spacing w:val="-3"/>
          <w:sz w:val="21"/>
        </w:rPr>
        <w:t>national</w:t>
      </w:r>
      <w:r>
        <w:rPr>
          <w:spacing w:val="17"/>
          <w:sz w:val="21"/>
        </w:rPr>
        <w:t> </w:t>
      </w:r>
      <w:r>
        <w:rPr>
          <w:spacing w:val="-3"/>
          <w:sz w:val="21"/>
        </w:rPr>
        <w:t>consistency.</w:t>
      </w:r>
    </w:p>
    <w:p>
      <w:pPr>
        <w:pStyle w:val="ListParagraph"/>
        <w:numPr>
          <w:ilvl w:val="1"/>
          <w:numId w:val="22"/>
        </w:numPr>
        <w:tabs>
          <w:tab w:pos="2380" w:val="left" w:leader="none"/>
          <w:tab w:pos="2381" w:val="left" w:leader="none"/>
        </w:tabs>
        <w:spacing w:line="242" w:lineRule="auto" w:before="124" w:after="0"/>
        <w:ind w:left="2381" w:right="1652" w:hanging="794"/>
        <w:jc w:val="left"/>
        <w:rPr>
          <w:sz w:val="21"/>
        </w:rPr>
      </w:pPr>
      <w:r>
        <w:rPr>
          <w:sz w:val="21"/>
        </w:rPr>
        <w:t>The </w:t>
      </w:r>
      <w:r>
        <w:rPr>
          <w:spacing w:val="-4"/>
          <w:sz w:val="21"/>
        </w:rPr>
        <w:t>Commission’s </w:t>
      </w:r>
      <w:r>
        <w:rPr>
          <w:spacing w:val="-3"/>
          <w:sz w:val="21"/>
        </w:rPr>
        <w:t>guiding  principle  </w:t>
      </w:r>
      <w:r>
        <w:rPr>
          <w:sz w:val="21"/>
        </w:rPr>
        <w:t>was  </w:t>
      </w:r>
      <w:r>
        <w:rPr>
          <w:spacing w:val="-3"/>
          <w:sz w:val="21"/>
        </w:rPr>
        <w:t>that  national  </w:t>
      </w:r>
      <w:r>
        <w:rPr>
          <w:sz w:val="21"/>
        </w:rPr>
        <w:t>consistency  is  </w:t>
      </w:r>
      <w:r>
        <w:rPr>
          <w:spacing w:val="-3"/>
          <w:sz w:val="21"/>
        </w:rPr>
        <w:t>to  </w:t>
      </w:r>
      <w:r>
        <w:rPr>
          <w:sz w:val="21"/>
        </w:rPr>
        <w:t>be  </w:t>
      </w:r>
      <w:r>
        <w:rPr>
          <w:spacing w:val="-3"/>
          <w:sz w:val="21"/>
        </w:rPr>
        <w:t>preferred </w:t>
      </w:r>
      <w:r>
        <w:rPr>
          <w:sz w:val="21"/>
        </w:rPr>
        <w:t>where Victorian law or processes </w:t>
      </w:r>
      <w:r>
        <w:rPr>
          <w:spacing w:val="-3"/>
          <w:sz w:val="21"/>
        </w:rPr>
        <w:t>are </w:t>
      </w:r>
      <w:r>
        <w:rPr>
          <w:spacing w:val="-2"/>
          <w:sz w:val="21"/>
        </w:rPr>
        <w:t>not </w:t>
      </w:r>
      <w:r>
        <w:rPr>
          <w:sz w:val="21"/>
        </w:rPr>
        <w:t>demonstrably </w:t>
      </w:r>
      <w:r>
        <w:rPr>
          <w:spacing w:val="-4"/>
          <w:sz w:val="21"/>
        </w:rPr>
        <w:t>fairer </w:t>
      </w:r>
      <w:r>
        <w:rPr>
          <w:sz w:val="21"/>
        </w:rPr>
        <w:t>or more efficient. </w:t>
      </w:r>
      <w:r>
        <w:rPr>
          <w:spacing w:val="-4"/>
          <w:sz w:val="21"/>
        </w:rPr>
        <w:t>However, </w:t>
      </w:r>
      <w:r>
        <w:rPr>
          <w:spacing w:val="-3"/>
          <w:sz w:val="21"/>
        </w:rPr>
        <w:t>national </w:t>
      </w:r>
      <w:r>
        <w:rPr>
          <w:sz w:val="21"/>
        </w:rPr>
        <w:t>consistency is </w:t>
      </w:r>
      <w:r>
        <w:rPr>
          <w:spacing w:val="-2"/>
          <w:sz w:val="21"/>
        </w:rPr>
        <w:t>not </w:t>
      </w:r>
      <w:r>
        <w:rPr>
          <w:sz w:val="21"/>
        </w:rPr>
        <w:t>always advanced by adopting the </w:t>
      </w:r>
      <w:r>
        <w:rPr>
          <w:spacing w:val="-3"/>
          <w:sz w:val="21"/>
        </w:rPr>
        <w:t>recommendations </w:t>
      </w:r>
      <w:r>
        <w:rPr>
          <w:sz w:val="21"/>
        </w:rPr>
        <w:t>of the </w:t>
      </w:r>
      <w:r>
        <w:rPr>
          <w:spacing w:val="-3"/>
          <w:sz w:val="21"/>
        </w:rPr>
        <w:t>National Committee for Uniform Succession </w:t>
      </w:r>
      <w:r>
        <w:rPr>
          <w:sz w:val="21"/>
        </w:rPr>
        <w:t>Laws. For </w:t>
      </w:r>
      <w:r>
        <w:rPr>
          <w:spacing w:val="-3"/>
          <w:sz w:val="21"/>
        </w:rPr>
        <w:t>example,  Victoria’s  family  provision </w:t>
      </w:r>
      <w:r>
        <w:rPr>
          <w:sz w:val="21"/>
        </w:rPr>
        <w:t>law </w:t>
      </w:r>
      <w:r>
        <w:rPr>
          <w:spacing w:val="-3"/>
          <w:sz w:val="21"/>
        </w:rPr>
        <w:t>already </w:t>
      </w:r>
      <w:r>
        <w:rPr>
          <w:sz w:val="21"/>
        </w:rPr>
        <w:t>largely </w:t>
      </w:r>
      <w:r>
        <w:rPr>
          <w:spacing w:val="-3"/>
          <w:sz w:val="21"/>
        </w:rPr>
        <w:t>aligns </w:t>
      </w:r>
      <w:r>
        <w:rPr>
          <w:sz w:val="21"/>
        </w:rPr>
        <w:t>with the  </w:t>
      </w:r>
      <w:r>
        <w:rPr>
          <w:spacing w:val="-3"/>
          <w:sz w:val="21"/>
        </w:rPr>
        <w:t>National  </w:t>
      </w:r>
      <w:r>
        <w:rPr>
          <w:spacing w:val="-4"/>
          <w:sz w:val="21"/>
        </w:rPr>
        <w:t>Committee’s  </w:t>
      </w:r>
      <w:r>
        <w:rPr>
          <w:sz w:val="21"/>
        </w:rPr>
        <w:t>proposed  model  </w:t>
      </w:r>
      <w:r>
        <w:rPr>
          <w:spacing w:val="-3"/>
          <w:sz w:val="21"/>
        </w:rPr>
        <w:t>legislation  </w:t>
      </w:r>
      <w:r>
        <w:rPr>
          <w:sz w:val="21"/>
        </w:rPr>
        <w:t>but no other states or </w:t>
      </w:r>
      <w:r>
        <w:rPr>
          <w:spacing w:val="-3"/>
          <w:sz w:val="21"/>
        </w:rPr>
        <w:t>territories have</w:t>
      </w:r>
      <w:r>
        <w:rPr>
          <w:spacing w:val="17"/>
          <w:sz w:val="21"/>
        </w:rPr>
        <w:t> </w:t>
      </w:r>
      <w:r>
        <w:rPr>
          <w:sz w:val="21"/>
        </w:rPr>
        <w:t>adopted it.</w:t>
      </w:r>
    </w:p>
    <w:p>
      <w:pPr>
        <w:pStyle w:val="ListParagraph"/>
        <w:numPr>
          <w:ilvl w:val="1"/>
          <w:numId w:val="22"/>
        </w:numPr>
        <w:tabs>
          <w:tab w:pos="2380" w:val="left" w:leader="none"/>
          <w:tab w:pos="2381" w:val="left" w:leader="none"/>
        </w:tabs>
        <w:spacing w:line="242" w:lineRule="auto" w:before="127" w:after="0"/>
        <w:ind w:left="2381" w:right="1624" w:hanging="794"/>
        <w:jc w:val="left"/>
        <w:rPr>
          <w:sz w:val="21"/>
        </w:rPr>
      </w:pPr>
      <w:r>
        <w:rPr>
          <w:spacing w:val="-4"/>
          <w:w w:val="105"/>
          <w:sz w:val="21"/>
        </w:rPr>
        <w:t>Other </w:t>
      </w:r>
      <w:r>
        <w:rPr>
          <w:spacing w:val="-6"/>
          <w:w w:val="105"/>
          <w:sz w:val="21"/>
        </w:rPr>
        <w:t>features </w:t>
      </w:r>
      <w:r>
        <w:rPr>
          <w:spacing w:val="-4"/>
          <w:w w:val="105"/>
          <w:sz w:val="21"/>
        </w:rPr>
        <w:t>of the </w:t>
      </w:r>
      <w:r>
        <w:rPr>
          <w:spacing w:val="-5"/>
          <w:w w:val="105"/>
          <w:sz w:val="21"/>
        </w:rPr>
        <w:t>National </w:t>
      </w:r>
      <w:r>
        <w:rPr>
          <w:spacing w:val="-7"/>
          <w:w w:val="105"/>
          <w:sz w:val="21"/>
        </w:rPr>
        <w:t>Committee’s </w:t>
      </w:r>
      <w:r>
        <w:rPr>
          <w:spacing w:val="-5"/>
          <w:w w:val="105"/>
          <w:sz w:val="21"/>
        </w:rPr>
        <w:t>proposed </w:t>
      </w:r>
      <w:r>
        <w:rPr>
          <w:spacing w:val="-4"/>
          <w:w w:val="105"/>
          <w:sz w:val="21"/>
        </w:rPr>
        <w:t>model </w:t>
      </w:r>
      <w:r>
        <w:rPr>
          <w:spacing w:val="-5"/>
          <w:w w:val="105"/>
          <w:sz w:val="21"/>
        </w:rPr>
        <w:t>legislation are </w:t>
      </w:r>
      <w:r>
        <w:rPr>
          <w:spacing w:val="-4"/>
          <w:w w:val="105"/>
          <w:sz w:val="21"/>
        </w:rPr>
        <w:t>not </w:t>
      </w:r>
      <w:r>
        <w:rPr>
          <w:spacing w:val="-6"/>
          <w:w w:val="105"/>
          <w:sz w:val="21"/>
        </w:rPr>
        <w:t>controversial </w:t>
      </w:r>
      <w:r>
        <w:rPr>
          <w:spacing w:val="-4"/>
          <w:w w:val="105"/>
          <w:sz w:val="21"/>
        </w:rPr>
        <w:t>and the </w:t>
      </w:r>
      <w:r>
        <w:rPr>
          <w:spacing w:val="-6"/>
          <w:w w:val="105"/>
          <w:sz w:val="21"/>
        </w:rPr>
        <w:t>Commission </w:t>
      </w:r>
      <w:r>
        <w:rPr>
          <w:spacing w:val="-4"/>
          <w:w w:val="105"/>
          <w:sz w:val="21"/>
        </w:rPr>
        <w:t>has </w:t>
      </w:r>
      <w:r>
        <w:rPr>
          <w:spacing w:val="-5"/>
          <w:w w:val="105"/>
          <w:sz w:val="21"/>
        </w:rPr>
        <w:t>found </w:t>
      </w:r>
      <w:r>
        <w:rPr>
          <w:spacing w:val="-3"/>
          <w:w w:val="105"/>
          <w:sz w:val="21"/>
        </w:rPr>
        <w:t>no </w:t>
      </w:r>
      <w:r>
        <w:rPr>
          <w:spacing w:val="-4"/>
          <w:w w:val="105"/>
          <w:sz w:val="21"/>
        </w:rPr>
        <w:t>policy </w:t>
      </w:r>
      <w:r>
        <w:rPr>
          <w:spacing w:val="-5"/>
          <w:w w:val="105"/>
          <w:sz w:val="21"/>
        </w:rPr>
        <w:t>reason </w:t>
      </w:r>
      <w:r>
        <w:rPr>
          <w:spacing w:val="-4"/>
          <w:w w:val="105"/>
          <w:sz w:val="21"/>
        </w:rPr>
        <w:t>to depart </w:t>
      </w:r>
      <w:r>
        <w:rPr>
          <w:spacing w:val="-5"/>
          <w:w w:val="105"/>
          <w:sz w:val="21"/>
        </w:rPr>
        <w:t>from them. </w:t>
      </w:r>
      <w:r>
        <w:rPr>
          <w:spacing w:val="-3"/>
          <w:w w:val="105"/>
          <w:sz w:val="21"/>
        </w:rPr>
        <w:t>For </w:t>
      </w:r>
      <w:r>
        <w:rPr>
          <w:spacing w:val="-5"/>
          <w:w w:val="105"/>
          <w:sz w:val="21"/>
        </w:rPr>
        <w:t>example, </w:t>
      </w:r>
      <w:r>
        <w:rPr>
          <w:spacing w:val="-4"/>
          <w:w w:val="105"/>
          <w:sz w:val="21"/>
        </w:rPr>
        <w:t>the </w:t>
      </w:r>
      <w:r>
        <w:rPr>
          <w:spacing w:val="-7"/>
          <w:w w:val="105"/>
          <w:sz w:val="21"/>
        </w:rPr>
        <w:t>Commission’s </w:t>
      </w:r>
      <w:r>
        <w:rPr>
          <w:spacing w:val="-6"/>
          <w:w w:val="105"/>
          <w:sz w:val="21"/>
        </w:rPr>
        <w:t>recommendations </w:t>
      </w:r>
      <w:r>
        <w:rPr>
          <w:spacing w:val="-5"/>
          <w:w w:val="105"/>
          <w:sz w:val="21"/>
        </w:rPr>
        <w:t>for </w:t>
      </w:r>
      <w:r>
        <w:rPr>
          <w:spacing w:val="-6"/>
          <w:w w:val="105"/>
          <w:sz w:val="21"/>
        </w:rPr>
        <w:t>reform </w:t>
      </w:r>
      <w:r>
        <w:rPr>
          <w:spacing w:val="-4"/>
          <w:w w:val="105"/>
          <w:sz w:val="21"/>
        </w:rPr>
        <w:t>of the intestacy scheme </w:t>
      </w:r>
      <w:r>
        <w:rPr>
          <w:spacing w:val="-6"/>
          <w:w w:val="105"/>
          <w:sz w:val="21"/>
        </w:rPr>
        <w:t>follow </w:t>
      </w:r>
      <w:r>
        <w:rPr>
          <w:spacing w:val="-4"/>
          <w:w w:val="105"/>
          <w:sz w:val="21"/>
        </w:rPr>
        <w:t>the model</w:t>
      </w:r>
      <w:r>
        <w:rPr>
          <w:spacing w:val="-36"/>
          <w:w w:val="105"/>
          <w:sz w:val="21"/>
        </w:rPr>
        <w:t> </w:t>
      </w:r>
      <w:r>
        <w:rPr>
          <w:spacing w:val="-6"/>
          <w:w w:val="105"/>
          <w:sz w:val="21"/>
        </w:rPr>
        <w:t>closely.</w:t>
      </w:r>
    </w:p>
    <w:p>
      <w:pPr>
        <w:pStyle w:val="BodyText"/>
        <w:spacing w:before="3"/>
      </w:pPr>
    </w:p>
    <w:p>
      <w:pPr>
        <w:pStyle w:val="Heading4"/>
        <w:spacing w:before="1"/>
      </w:pPr>
      <w:r>
        <w:rPr>
          <w:color w:val="EC5A4F"/>
          <w:w w:val="115"/>
        </w:rPr>
        <w:t>Structure of this report</w:t>
      </w:r>
    </w:p>
    <w:p>
      <w:pPr>
        <w:pStyle w:val="ListParagraph"/>
        <w:numPr>
          <w:ilvl w:val="1"/>
          <w:numId w:val="22"/>
        </w:numPr>
        <w:tabs>
          <w:tab w:pos="2380" w:val="left" w:leader="none"/>
          <w:tab w:pos="2381" w:val="left" w:leader="none"/>
        </w:tabs>
        <w:spacing w:line="242" w:lineRule="auto" w:before="155" w:after="0"/>
        <w:ind w:left="2381" w:right="1826" w:hanging="794"/>
        <w:jc w:val="left"/>
        <w:rPr>
          <w:sz w:val="21"/>
        </w:rPr>
      </w:pPr>
      <w:r>
        <w:rPr>
          <w:sz w:val="21"/>
        </w:rPr>
        <w:t>The structure of this report broadly </w:t>
      </w:r>
      <w:r>
        <w:rPr>
          <w:spacing w:val="-3"/>
          <w:sz w:val="21"/>
        </w:rPr>
        <w:t>follows </w:t>
      </w:r>
      <w:r>
        <w:rPr>
          <w:sz w:val="21"/>
        </w:rPr>
        <w:t>the </w:t>
      </w:r>
      <w:r>
        <w:rPr>
          <w:spacing w:val="-3"/>
          <w:sz w:val="21"/>
        </w:rPr>
        <w:t>terms </w:t>
      </w:r>
      <w:r>
        <w:rPr>
          <w:sz w:val="21"/>
        </w:rPr>
        <w:t>of </w:t>
      </w:r>
      <w:r>
        <w:rPr>
          <w:spacing w:val="-4"/>
          <w:sz w:val="21"/>
        </w:rPr>
        <w:t>reference.  </w:t>
      </w:r>
      <w:r>
        <w:rPr>
          <w:sz w:val="21"/>
        </w:rPr>
        <w:t>The first three topics  in the </w:t>
      </w:r>
      <w:r>
        <w:rPr>
          <w:spacing w:val="-3"/>
          <w:sz w:val="21"/>
        </w:rPr>
        <w:t>terms </w:t>
      </w:r>
      <w:r>
        <w:rPr>
          <w:sz w:val="21"/>
        </w:rPr>
        <w:t>of </w:t>
      </w:r>
      <w:r>
        <w:rPr>
          <w:spacing w:val="-3"/>
          <w:sz w:val="21"/>
        </w:rPr>
        <w:t>reference concern wills, </w:t>
      </w:r>
      <w:r>
        <w:rPr>
          <w:sz w:val="21"/>
        </w:rPr>
        <w:t>and they </w:t>
      </w:r>
      <w:r>
        <w:rPr>
          <w:spacing w:val="-3"/>
          <w:sz w:val="21"/>
        </w:rPr>
        <w:t>are </w:t>
      </w:r>
      <w:r>
        <w:rPr>
          <w:sz w:val="21"/>
        </w:rPr>
        <w:t>discussed in </w:t>
      </w:r>
      <w:r>
        <w:rPr>
          <w:spacing w:val="-3"/>
          <w:sz w:val="21"/>
        </w:rPr>
        <w:t>Chapters</w:t>
      </w:r>
      <w:r>
        <w:rPr>
          <w:spacing w:val="-21"/>
          <w:sz w:val="21"/>
        </w:rPr>
        <w:t> </w:t>
      </w:r>
      <w:r>
        <w:rPr>
          <w:sz w:val="21"/>
        </w:rPr>
        <w:t>2–4.</w:t>
      </w:r>
    </w:p>
    <w:p>
      <w:pPr>
        <w:pStyle w:val="ListParagraph"/>
        <w:numPr>
          <w:ilvl w:val="1"/>
          <w:numId w:val="22"/>
        </w:numPr>
        <w:tabs>
          <w:tab w:pos="2380" w:val="left" w:leader="none"/>
          <w:tab w:pos="2381" w:val="left" w:leader="none"/>
        </w:tabs>
        <w:spacing w:line="242" w:lineRule="auto" w:before="122" w:after="0"/>
        <w:ind w:left="2381" w:right="1905" w:hanging="794"/>
        <w:jc w:val="left"/>
        <w:rPr>
          <w:sz w:val="21"/>
        </w:rPr>
      </w:pPr>
      <w:r>
        <w:rPr>
          <w:w w:val="105"/>
          <w:sz w:val="21"/>
        </w:rPr>
        <w:t>The </w:t>
      </w:r>
      <w:r>
        <w:rPr>
          <w:spacing w:val="-3"/>
          <w:w w:val="105"/>
          <w:sz w:val="21"/>
        </w:rPr>
        <w:t>focus </w:t>
      </w:r>
      <w:r>
        <w:rPr>
          <w:w w:val="105"/>
          <w:sz w:val="21"/>
        </w:rPr>
        <w:t>of the report then </w:t>
      </w:r>
      <w:r>
        <w:rPr>
          <w:spacing w:val="-3"/>
          <w:w w:val="105"/>
          <w:sz w:val="21"/>
        </w:rPr>
        <w:t>turns to </w:t>
      </w:r>
      <w:r>
        <w:rPr>
          <w:w w:val="105"/>
          <w:sz w:val="21"/>
        </w:rPr>
        <w:t>two schemes established by the </w:t>
      </w:r>
      <w:r>
        <w:rPr>
          <w:spacing w:val="-3"/>
          <w:w w:val="105"/>
          <w:sz w:val="21"/>
        </w:rPr>
        <w:t>Administration </w:t>
      </w:r>
      <w:r>
        <w:rPr>
          <w:w w:val="105"/>
          <w:sz w:val="21"/>
        </w:rPr>
        <w:t>and </w:t>
      </w:r>
      <w:r>
        <w:rPr>
          <w:spacing w:val="-3"/>
          <w:w w:val="105"/>
          <w:sz w:val="21"/>
        </w:rPr>
        <w:t>Probate </w:t>
      </w:r>
      <w:r>
        <w:rPr>
          <w:w w:val="105"/>
          <w:sz w:val="21"/>
        </w:rPr>
        <w:t>Act </w:t>
      </w:r>
      <w:r>
        <w:rPr>
          <w:spacing w:val="-3"/>
          <w:w w:val="105"/>
          <w:sz w:val="21"/>
        </w:rPr>
        <w:t>that </w:t>
      </w:r>
      <w:r>
        <w:rPr>
          <w:w w:val="105"/>
          <w:sz w:val="21"/>
        </w:rPr>
        <w:t>affect how the assets of a person </w:t>
      </w:r>
      <w:r>
        <w:rPr>
          <w:spacing w:val="-3"/>
          <w:w w:val="105"/>
          <w:sz w:val="21"/>
        </w:rPr>
        <w:t>are distributed </w:t>
      </w:r>
      <w:r>
        <w:rPr>
          <w:w w:val="105"/>
          <w:sz w:val="21"/>
        </w:rPr>
        <w:t>after they</w:t>
      </w:r>
      <w:r>
        <w:rPr>
          <w:spacing w:val="-29"/>
          <w:w w:val="105"/>
          <w:sz w:val="21"/>
        </w:rPr>
        <w:t> </w:t>
      </w:r>
      <w:r>
        <w:rPr>
          <w:spacing w:val="-3"/>
          <w:w w:val="105"/>
          <w:sz w:val="21"/>
        </w:rPr>
        <w:t>die.</w:t>
      </w:r>
    </w:p>
    <w:p>
      <w:pPr>
        <w:pStyle w:val="BodyText"/>
        <w:spacing w:line="242" w:lineRule="auto" w:before="2"/>
        <w:ind w:left="2380" w:right="1826"/>
      </w:pPr>
      <w:r>
        <w:rPr>
          <w:spacing w:val="-4"/>
        </w:rPr>
        <w:t>Chapter </w:t>
      </w:r>
      <w:r>
        <w:rPr/>
        <w:t>5 </w:t>
      </w:r>
      <w:r>
        <w:rPr>
          <w:spacing w:val="-3"/>
        </w:rPr>
        <w:t>concerns </w:t>
      </w:r>
      <w:r>
        <w:rPr/>
        <w:t>the </w:t>
      </w:r>
      <w:r>
        <w:rPr>
          <w:spacing w:val="-2"/>
        </w:rPr>
        <w:t>distribution </w:t>
      </w:r>
      <w:r>
        <w:rPr/>
        <w:t>of assets on </w:t>
      </w:r>
      <w:r>
        <w:rPr>
          <w:spacing w:val="-3"/>
        </w:rPr>
        <w:t>intestacy, </w:t>
      </w:r>
      <w:r>
        <w:rPr/>
        <w:t>when a person dies  without </w:t>
      </w:r>
      <w:r>
        <w:rPr>
          <w:spacing w:val="-3"/>
        </w:rPr>
        <w:t>making </w:t>
      </w:r>
      <w:r>
        <w:rPr/>
        <w:t>a </w:t>
      </w:r>
      <w:r>
        <w:rPr>
          <w:spacing w:val="-3"/>
        </w:rPr>
        <w:t>valid will </w:t>
      </w:r>
      <w:r>
        <w:rPr/>
        <w:t>or their </w:t>
      </w:r>
      <w:r>
        <w:rPr>
          <w:spacing w:val="-3"/>
        </w:rPr>
        <w:t>will </w:t>
      </w:r>
      <w:r>
        <w:rPr/>
        <w:t>does </w:t>
      </w:r>
      <w:r>
        <w:rPr>
          <w:spacing w:val="-2"/>
        </w:rPr>
        <w:t>not </w:t>
      </w:r>
      <w:r>
        <w:rPr/>
        <w:t>dispose of </w:t>
      </w:r>
      <w:r>
        <w:rPr>
          <w:spacing w:val="-3"/>
        </w:rPr>
        <w:t>all  </w:t>
      </w:r>
      <w:r>
        <w:rPr/>
        <w:t>of their property. </w:t>
      </w:r>
      <w:r>
        <w:rPr>
          <w:spacing w:val="-4"/>
        </w:rPr>
        <w:t>Chapter  </w:t>
      </w:r>
      <w:r>
        <w:rPr/>
        <w:t>6 reviews the </w:t>
      </w:r>
      <w:r>
        <w:rPr>
          <w:spacing w:val="-3"/>
        </w:rPr>
        <w:t>family provision </w:t>
      </w:r>
      <w:r>
        <w:rPr/>
        <w:t>law under which someone </w:t>
      </w:r>
      <w:r>
        <w:rPr>
          <w:spacing w:val="-3"/>
        </w:rPr>
        <w:t>for </w:t>
      </w:r>
      <w:r>
        <w:rPr/>
        <w:t>whom the deceased person </w:t>
      </w:r>
      <w:r>
        <w:rPr>
          <w:spacing w:val="-2"/>
        </w:rPr>
        <w:t>had </w:t>
      </w:r>
      <w:r>
        <w:rPr/>
        <w:t>a </w:t>
      </w:r>
      <w:r>
        <w:rPr>
          <w:spacing w:val="-3"/>
        </w:rPr>
        <w:t>responsibility</w:t>
      </w:r>
      <w:r>
        <w:rPr>
          <w:spacing w:val="16"/>
        </w:rPr>
        <w:t> </w:t>
      </w:r>
      <w:r>
        <w:rPr>
          <w:spacing w:val="-3"/>
        </w:rPr>
        <w:t>to</w:t>
      </w:r>
      <w:r>
        <w:rPr>
          <w:spacing w:val="16"/>
        </w:rPr>
        <w:t> </w:t>
      </w:r>
      <w:r>
        <w:rPr>
          <w:spacing w:val="-3"/>
        </w:rPr>
        <w:t>provide,</w:t>
      </w:r>
      <w:r>
        <w:rPr>
          <w:spacing w:val="17"/>
        </w:rPr>
        <w:t> </w:t>
      </w:r>
      <w:r>
        <w:rPr/>
        <w:t>but</w:t>
      </w:r>
      <w:r>
        <w:rPr>
          <w:spacing w:val="16"/>
        </w:rPr>
        <w:t> </w:t>
      </w:r>
      <w:r>
        <w:rPr/>
        <w:t>who</w:t>
      </w:r>
      <w:r>
        <w:rPr>
          <w:spacing w:val="17"/>
        </w:rPr>
        <w:t> </w:t>
      </w:r>
      <w:r>
        <w:rPr/>
        <w:t>was</w:t>
      </w:r>
      <w:r>
        <w:rPr>
          <w:spacing w:val="16"/>
        </w:rPr>
        <w:t> </w:t>
      </w:r>
      <w:r>
        <w:rPr>
          <w:spacing w:val="-2"/>
        </w:rPr>
        <w:t>not</w:t>
      </w:r>
      <w:r>
        <w:rPr>
          <w:spacing w:val="17"/>
        </w:rPr>
        <w:t> </w:t>
      </w:r>
      <w:r>
        <w:rPr/>
        <w:t>adequately</w:t>
      </w:r>
      <w:r>
        <w:rPr>
          <w:spacing w:val="16"/>
        </w:rPr>
        <w:t> </w:t>
      </w:r>
      <w:r>
        <w:rPr/>
        <w:t>provided</w:t>
      </w:r>
      <w:r>
        <w:rPr>
          <w:spacing w:val="17"/>
        </w:rPr>
        <w:t> </w:t>
      </w:r>
      <w:r>
        <w:rPr>
          <w:spacing w:val="-6"/>
        </w:rPr>
        <w:t>for,</w:t>
      </w:r>
      <w:r>
        <w:rPr>
          <w:spacing w:val="16"/>
        </w:rPr>
        <w:t> </w:t>
      </w:r>
      <w:r>
        <w:rPr>
          <w:spacing w:val="-3"/>
        </w:rPr>
        <w:t>may</w:t>
      </w:r>
      <w:r>
        <w:rPr>
          <w:spacing w:val="17"/>
        </w:rPr>
        <w:t> </w:t>
      </w:r>
      <w:r>
        <w:rPr/>
        <w:t>apply</w:t>
      </w:r>
      <w:r>
        <w:rPr>
          <w:spacing w:val="16"/>
        </w:rPr>
        <w:t> </w:t>
      </w:r>
      <w:r>
        <w:rPr>
          <w:spacing w:val="-3"/>
        </w:rPr>
        <w:t>to</w:t>
      </w:r>
      <w:r>
        <w:rPr>
          <w:spacing w:val="16"/>
        </w:rPr>
        <w:t> </w:t>
      </w:r>
      <w:r>
        <w:rPr>
          <w:spacing w:val="-3"/>
        </w:rPr>
        <w:t>have</w:t>
      </w:r>
    </w:p>
    <w:p>
      <w:pPr>
        <w:pStyle w:val="BodyText"/>
        <w:spacing w:before="4"/>
        <w:ind w:left="2380"/>
      </w:pPr>
      <w:r>
        <w:rPr/>
        <w:t>the assets redistributed in their favour.</w:t>
      </w:r>
    </w:p>
    <w:p>
      <w:pPr>
        <w:pStyle w:val="ListParagraph"/>
        <w:numPr>
          <w:ilvl w:val="1"/>
          <w:numId w:val="22"/>
        </w:numPr>
        <w:tabs>
          <w:tab w:pos="2380" w:val="left" w:leader="none"/>
          <w:tab w:pos="2381" w:val="left" w:leader="none"/>
        </w:tabs>
        <w:spacing w:line="242" w:lineRule="auto" w:before="124" w:after="0"/>
        <w:ind w:left="2381" w:right="1981" w:hanging="794"/>
        <w:jc w:val="left"/>
        <w:rPr>
          <w:sz w:val="21"/>
        </w:rPr>
      </w:pPr>
      <w:r>
        <w:rPr>
          <w:spacing w:val="-4"/>
          <w:sz w:val="21"/>
        </w:rPr>
        <w:t>Chapter </w:t>
      </w:r>
      <w:r>
        <w:rPr>
          <w:sz w:val="21"/>
        </w:rPr>
        <w:t>7 discusses two of the topics in the </w:t>
      </w:r>
      <w:r>
        <w:rPr>
          <w:spacing w:val="-3"/>
          <w:sz w:val="21"/>
        </w:rPr>
        <w:t>terms </w:t>
      </w:r>
      <w:r>
        <w:rPr>
          <w:sz w:val="21"/>
        </w:rPr>
        <w:t>of </w:t>
      </w:r>
      <w:r>
        <w:rPr>
          <w:spacing w:val="-3"/>
          <w:sz w:val="21"/>
        </w:rPr>
        <w:t>reference </w:t>
      </w:r>
      <w:r>
        <w:rPr>
          <w:sz w:val="21"/>
        </w:rPr>
        <w:t>together because they both </w:t>
      </w:r>
      <w:r>
        <w:rPr>
          <w:spacing w:val="-3"/>
          <w:sz w:val="21"/>
        </w:rPr>
        <w:t>concern </w:t>
      </w:r>
      <w:r>
        <w:rPr>
          <w:sz w:val="21"/>
        </w:rPr>
        <w:t>executors: whether there should be special rules </w:t>
      </w:r>
      <w:r>
        <w:rPr>
          <w:spacing w:val="-3"/>
          <w:sz w:val="21"/>
        </w:rPr>
        <w:t>for </w:t>
      </w:r>
      <w:r>
        <w:rPr>
          <w:sz w:val="21"/>
        </w:rPr>
        <w:t>legal practitioner executors, and whether a court should </w:t>
      </w:r>
      <w:r>
        <w:rPr>
          <w:spacing w:val="-3"/>
          <w:sz w:val="21"/>
        </w:rPr>
        <w:t>have </w:t>
      </w:r>
      <w:r>
        <w:rPr>
          <w:sz w:val="21"/>
        </w:rPr>
        <w:t>the power </w:t>
      </w:r>
      <w:r>
        <w:rPr>
          <w:spacing w:val="-3"/>
          <w:sz w:val="21"/>
        </w:rPr>
        <w:t>to </w:t>
      </w:r>
      <w:r>
        <w:rPr>
          <w:sz w:val="21"/>
        </w:rPr>
        <w:t>review and vary costs and </w:t>
      </w:r>
      <w:r>
        <w:rPr>
          <w:spacing w:val="-3"/>
          <w:sz w:val="21"/>
        </w:rPr>
        <w:t>commission that </w:t>
      </w:r>
      <w:r>
        <w:rPr>
          <w:sz w:val="21"/>
        </w:rPr>
        <w:t>executors</w:t>
      </w:r>
      <w:r>
        <w:rPr>
          <w:spacing w:val="33"/>
          <w:sz w:val="21"/>
        </w:rPr>
        <w:t> </w:t>
      </w:r>
      <w:r>
        <w:rPr>
          <w:spacing w:val="-3"/>
          <w:sz w:val="21"/>
        </w:rPr>
        <w:t>charge.</w:t>
      </w:r>
    </w:p>
    <w:p>
      <w:pPr>
        <w:pStyle w:val="ListParagraph"/>
        <w:numPr>
          <w:ilvl w:val="1"/>
          <w:numId w:val="22"/>
        </w:numPr>
        <w:tabs>
          <w:tab w:pos="2381" w:val="left" w:leader="none"/>
        </w:tabs>
        <w:spacing w:line="242" w:lineRule="auto" w:before="124" w:after="0"/>
        <w:ind w:left="2380" w:right="1879" w:hanging="793"/>
        <w:jc w:val="both"/>
        <w:rPr>
          <w:sz w:val="21"/>
        </w:rPr>
      </w:pPr>
      <w:r>
        <w:rPr>
          <w:sz w:val="21"/>
        </w:rPr>
        <w:t>In </w:t>
      </w:r>
      <w:r>
        <w:rPr>
          <w:spacing w:val="-4"/>
          <w:sz w:val="21"/>
        </w:rPr>
        <w:t>Chapter  </w:t>
      </w:r>
      <w:r>
        <w:rPr>
          <w:sz w:val="21"/>
        </w:rPr>
        <w:t>8, the question of how assets </w:t>
      </w:r>
      <w:r>
        <w:rPr>
          <w:spacing w:val="-3"/>
          <w:sz w:val="21"/>
        </w:rPr>
        <w:t>are  designated  to  </w:t>
      </w:r>
      <w:r>
        <w:rPr>
          <w:spacing w:val="-2"/>
          <w:sz w:val="21"/>
        </w:rPr>
        <w:t>pay  </w:t>
      </w:r>
      <w:r>
        <w:rPr>
          <w:sz w:val="21"/>
        </w:rPr>
        <w:t>the debts of an estate    is explored. </w:t>
      </w:r>
      <w:r>
        <w:rPr>
          <w:spacing w:val="-4"/>
          <w:sz w:val="21"/>
        </w:rPr>
        <w:t>Chapter </w:t>
      </w:r>
      <w:r>
        <w:rPr>
          <w:sz w:val="21"/>
        </w:rPr>
        <w:t>9 considers the </w:t>
      </w:r>
      <w:r>
        <w:rPr>
          <w:spacing w:val="-3"/>
          <w:sz w:val="21"/>
        </w:rPr>
        <w:t>way  </w:t>
      </w:r>
      <w:r>
        <w:rPr>
          <w:sz w:val="21"/>
        </w:rPr>
        <w:t>in which Victorian law and practice assists in  the </w:t>
      </w:r>
      <w:r>
        <w:rPr>
          <w:spacing w:val="-3"/>
          <w:sz w:val="21"/>
        </w:rPr>
        <w:t>administration </w:t>
      </w:r>
      <w:r>
        <w:rPr>
          <w:sz w:val="21"/>
        </w:rPr>
        <w:t>of </w:t>
      </w:r>
      <w:r>
        <w:rPr>
          <w:spacing w:val="-3"/>
          <w:sz w:val="21"/>
        </w:rPr>
        <w:t>small </w:t>
      </w:r>
      <w:r>
        <w:rPr>
          <w:sz w:val="21"/>
        </w:rPr>
        <w:t>estates. </w:t>
      </w:r>
      <w:r>
        <w:rPr>
          <w:spacing w:val="-4"/>
          <w:sz w:val="21"/>
        </w:rPr>
        <w:t>Chapter </w:t>
      </w:r>
      <w:r>
        <w:rPr>
          <w:spacing w:val="-6"/>
          <w:sz w:val="21"/>
        </w:rPr>
        <w:t>10 </w:t>
      </w:r>
      <w:r>
        <w:rPr>
          <w:sz w:val="21"/>
        </w:rPr>
        <w:t>sets out in general </w:t>
      </w:r>
      <w:r>
        <w:rPr>
          <w:spacing w:val="-3"/>
          <w:sz w:val="21"/>
        </w:rPr>
        <w:t>terms </w:t>
      </w:r>
      <w:r>
        <w:rPr>
          <w:sz w:val="21"/>
        </w:rPr>
        <w:t>the costs</w:t>
      </w:r>
      <w:r>
        <w:rPr>
          <w:spacing w:val="9"/>
          <w:sz w:val="21"/>
        </w:rPr>
        <w:t> </w:t>
      </w:r>
      <w:r>
        <w:rPr>
          <w:sz w:val="21"/>
        </w:rPr>
        <w:t>rules</w:t>
      </w:r>
    </w:p>
    <w:p>
      <w:pPr>
        <w:pStyle w:val="BodyText"/>
        <w:spacing w:line="242" w:lineRule="auto" w:before="4"/>
        <w:ind w:left="2380" w:right="1826"/>
      </w:pPr>
      <w:r>
        <w:rPr/>
        <w:t>and </w:t>
      </w:r>
      <w:r>
        <w:rPr>
          <w:spacing w:val="-3"/>
        </w:rPr>
        <w:t>principles that are </w:t>
      </w:r>
      <w:r>
        <w:rPr/>
        <w:t>applied in </w:t>
      </w:r>
      <w:r>
        <w:rPr>
          <w:spacing w:val="-3"/>
        </w:rPr>
        <w:t>succession proceedings. </w:t>
      </w:r>
      <w:r>
        <w:rPr/>
        <w:t>The costs rules </w:t>
      </w:r>
      <w:r>
        <w:rPr>
          <w:spacing w:val="-3"/>
        </w:rPr>
        <w:t>that  </w:t>
      </w:r>
      <w:r>
        <w:rPr/>
        <w:t>apply when the court authorises statutory </w:t>
      </w:r>
      <w:r>
        <w:rPr>
          <w:spacing w:val="-3"/>
        </w:rPr>
        <w:t>wills, </w:t>
      </w:r>
      <w:r>
        <w:rPr/>
        <w:t>and in </w:t>
      </w:r>
      <w:r>
        <w:rPr>
          <w:spacing w:val="-3"/>
        </w:rPr>
        <w:t>family provision proceedings, are </w:t>
      </w:r>
      <w:r>
        <w:rPr/>
        <w:t>discussed</w:t>
      </w:r>
      <w:r>
        <w:rPr>
          <w:spacing w:val="3"/>
        </w:rPr>
        <w:t> </w:t>
      </w:r>
      <w:r>
        <w:rPr/>
        <w:t>in</w:t>
      </w:r>
    </w:p>
    <w:p>
      <w:pPr>
        <w:pStyle w:val="BodyText"/>
        <w:tabs>
          <w:tab w:pos="2380" w:val="left" w:leader="none"/>
        </w:tabs>
        <w:spacing w:before="2"/>
        <w:ind w:left="720"/>
      </w:pPr>
      <w:r>
        <w:rPr>
          <w:b/>
          <w:color w:val="EC5A4F"/>
          <w:w w:val="105"/>
          <w:position w:val="-9"/>
          <w:sz w:val="24"/>
        </w:rPr>
        <w:t>4</w:t>
        <w:tab/>
      </w:r>
      <w:r>
        <w:rPr>
          <w:spacing w:val="-3"/>
          <w:w w:val="105"/>
        </w:rPr>
        <w:t>Chapters </w:t>
      </w:r>
      <w:r>
        <w:rPr>
          <w:w w:val="105"/>
        </w:rPr>
        <w:t>3 and 6</w:t>
      </w:r>
      <w:r>
        <w:rPr>
          <w:spacing w:val="23"/>
          <w:w w:val="105"/>
        </w:rPr>
        <w:t> </w:t>
      </w:r>
      <w:r>
        <w:rPr>
          <w:w w:val="105"/>
        </w:rPr>
        <w:t>respectively.</w:t>
      </w:r>
    </w:p>
    <w:p>
      <w:pPr>
        <w:spacing w:after="0"/>
        <w:sectPr>
          <w:headerReference w:type="even" r:id="rId21"/>
          <w:pgSz w:w="11910" w:h="16840"/>
          <w:pgMar w:header="550" w:footer="0" w:top="1560" w:bottom="280" w:left="0" w:right="0"/>
        </w:sectPr>
      </w:pPr>
    </w:p>
    <w:p>
      <w:pPr>
        <w:pStyle w:val="Heading1"/>
        <w:tabs>
          <w:tab w:pos="1417" w:val="left" w:leader="none"/>
        </w:tabs>
        <w:jc w:val="right"/>
      </w:pPr>
      <w:r>
        <w:rPr/>
        <w:pict>
          <v:rect style="position:absolute;margin-left:0pt;margin-top:0pt;width:595.276001pt;height:841.890015pt;mso-position-horizontal-relative:page;mso-position-vertical-relative:page;z-index:-306760" filled="true" fillcolor="#fdefed" stroked="false">
            <v:fill type="solid"/>
            <w10:wrap type="none"/>
          </v:rect>
        </w:pict>
      </w:r>
      <w:r>
        <w:rPr>
          <w:color w:val="FFFFFF"/>
          <w:w w:val="122"/>
          <w:shd w:fill="EC5A4F" w:color="auto" w:val="clear"/>
        </w:rPr>
        <w:t> </w:t>
      </w:r>
      <w:r>
        <w:rPr>
          <w:color w:val="FFFFFF"/>
          <w:spacing w:val="41"/>
          <w:shd w:fill="EC5A4F" w:color="auto" w:val="clear"/>
        </w:rPr>
        <w:t> </w:t>
      </w:r>
      <w:r>
        <w:rPr>
          <w:color w:val="FFFFFF"/>
          <w:w w:val="105"/>
          <w:shd w:fill="EC5A4F" w:color="auto" w:val="clear"/>
        </w:rPr>
        <w:t>2</w:t>
      </w:r>
      <w:r>
        <w:rPr>
          <w:color w:val="FFFFFF"/>
          <w:shd w:fill="EC5A4F" w:color="auto" w:val="clear"/>
        </w:rPr>
        <w:tab/>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28"/>
        </w:rPr>
      </w:pPr>
    </w:p>
    <w:p>
      <w:pPr>
        <w:tabs>
          <w:tab w:pos="1417" w:val="left" w:leader="none"/>
          <w:tab w:pos="8890" w:val="left" w:leader="none"/>
        </w:tabs>
        <w:spacing w:line="1146" w:lineRule="exact" w:before="95"/>
        <w:ind w:left="0" w:right="0" w:firstLine="0"/>
        <w:jc w:val="left"/>
        <w:rPr>
          <w:b/>
          <w:sz w:val="96"/>
        </w:rPr>
      </w:pPr>
      <w:r>
        <w:rPr>
          <w:b/>
          <w:color w:val="EC5A4F"/>
          <w:w w:val="122"/>
          <w:sz w:val="96"/>
          <w:shd w:fill="FFFFFF" w:color="auto" w:val="clear"/>
        </w:rPr>
        <w:t> </w:t>
      </w:r>
      <w:r>
        <w:rPr>
          <w:b/>
          <w:color w:val="EC5A4F"/>
          <w:sz w:val="96"/>
          <w:shd w:fill="FFFFFF" w:color="auto" w:val="clear"/>
        </w:rPr>
        <w:tab/>
      </w:r>
      <w:r>
        <w:rPr>
          <w:b/>
          <w:color w:val="EC5A4F"/>
          <w:spacing w:val="-12"/>
          <w:w w:val="115"/>
          <w:sz w:val="96"/>
          <w:shd w:fill="FFFFFF" w:color="auto" w:val="clear"/>
        </w:rPr>
        <w:t>Witnessing</w:t>
      </w:r>
      <w:r>
        <w:rPr>
          <w:b/>
          <w:color w:val="EC5A4F"/>
          <w:spacing w:val="-29"/>
          <w:w w:val="115"/>
          <w:sz w:val="96"/>
          <w:shd w:fill="FFFFFF" w:color="auto" w:val="clear"/>
        </w:rPr>
        <w:t> </w:t>
      </w:r>
      <w:r>
        <w:rPr>
          <w:b/>
          <w:color w:val="EC5A4F"/>
          <w:spacing w:val="-13"/>
          <w:w w:val="115"/>
          <w:sz w:val="96"/>
          <w:shd w:fill="FFFFFF" w:color="auto" w:val="clear"/>
        </w:rPr>
        <w:t>wills</w:t>
      </w:r>
      <w:r>
        <w:rPr>
          <w:b/>
          <w:color w:val="EC5A4F"/>
          <w:spacing w:val="-13"/>
          <w:sz w:val="96"/>
          <w:shd w:fill="FFFFFF" w:color="auto" w:val="clear"/>
        </w:rPr>
        <w:tab/>
      </w:r>
    </w:p>
    <w:p>
      <w:pPr>
        <w:tabs>
          <w:tab w:pos="1417" w:val="left" w:leader="none"/>
          <w:tab w:pos="10771" w:val="left" w:leader="none"/>
        </w:tabs>
        <w:spacing w:line="1146" w:lineRule="exact" w:before="0"/>
        <w:ind w:left="0" w:right="0" w:firstLine="0"/>
        <w:jc w:val="left"/>
        <w:rPr>
          <w:b/>
          <w:sz w:val="96"/>
        </w:rPr>
      </w:pPr>
      <w:r>
        <w:rPr>
          <w:b/>
          <w:color w:val="EC5A4F"/>
          <w:w w:val="122"/>
          <w:sz w:val="96"/>
          <w:shd w:fill="FFFFFF" w:color="auto" w:val="clear"/>
        </w:rPr>
        <w:t> </w:t>
      </w:r>
      <w:r>
        <w:rPr>
          <w:b/>
          <w:color w:val="EC5A4F"/>
          <w:sz w:val="96"/>
          <w:shd w:fill="FFFFFF" w:color="auto" w:val="clear"/>
        </w:rPr>
        <w:tab/>
      </w:r>
      <w:r>
        <w:rPr>
          <w:b/>
          <w:color w:val="EC5A4F"/>
          <w:spacing w:val="-8"/>
          <w:w w:val="115"/>
          <w:sz w:val="96"/>
          <w:shd w:fill="FFFFFF" w:color="auto" w:val="clear"/>
        </w:rPr>
        <w:t>and </w:t>
      </w:r>
      <w:r>
        <w:rPr>
          <w:b/>
          <w:color w:val="EC5A4F"/>
          <w:spacing w:val="-11"/>
          <w:w w:val="115"/>
          <w:sz w:val="96"/>
          <w:shd w:fill="FFFFFF" w:color="auto" w:val="clear"/>
        </w:rPr>
        <w:t>undue</w:t>
      </w:r>
      <w:r>
        <w:rPr>
          <w:b/>
          <w:color w:val="EC5A4F"/>
          <w:spacing w:val="-147"/>
          <w:w w:val="115"/>
          <w:sz w:val="96"/>
          <w:shd w:fill="FFFFFF" w:color="auto" w:val="clear"/>
        </w:rPr>
        <w:t> </w:t>
      </w:r>
      <w:r>
        <w:rPr>
          <w:b/>
          <w:color w:val="EC5A4F"/>
          <w:spacing w:val="-11"/>
          <w:w w:val="115"/>
          <w:sz w:val="96"/>
          <w:shd w:fill="FFFFFF" w:color="auto" w:val="clear"/>
        </w:rPr>
        <w:t>influence</w:t>
      </w:r>
      <w:r>
        <w:rPr>
          <w:b/>
          <w:color w:val="EC5A4F"/>
          <w:spacing w:val="-11"/>
          <w:sz w:val="96"/>
          <w:shd w:fill="FFFFFF" w:color="auto" w:val="clear"/>
        </w:rPr>
        <w:tab/>
      </w:r>
    </w:p>
    <w:p>
      <w:pPr>
        <w:pStyle w:val="BodyText"/>
        <w:rPr>
          <w:b/>
          <w:sz w:val="20"/>
        </w:rPr>
      </w:pPr>
    </w:p>
    <w:p>
      <w:pPr>
        <w:pStyle w:val="BodyText"/>
        <w:rPr>
          <w:b/>
          <w:sz w:val="20"/>
        </w:rPr>
      </w:pPr>
    </w:p>
    <w:p>
      <w:pPr>
        <w:pStyle w:val="BodyText"/>
        <w:spacing w:before="1"/>
        <w:rPr>
          <w:b/>
          <w:sz w:val="24"/>
        </w:rPr>
      </w:pPr>
    </w:p>
    <w:p>
      <w:pPr>
        <w:pStyle w:val="Heading5"/>
        <w:tabs>
          <w:tab w:pos="1984" w:val="left" w:leader="none"/>
        </w:tabs>
        <w:spacing w:before="99"/>
        <w:ind w:left="1417"/>
      </w:pPr>
      <w:r>
        <w:rPr/>
        <w:pict>
          <v:line style="position:absolute;mso-position-horizontal-relative:page;mso-position-vertical-relative:paragraph;z-index:-472;mso-wrap-distance-left:0;mso-wrap-distance-right:0" from="70.866096pt,23.04508pt" to="96.378096pt,23.04508pt" stroked="true" strokeweight="2pt" strokecolor="#ffffff">
            <v:stroke dashstyle="solid"/>
            <w10:wrap type="topAndBottom"/>
          </v:line>
        </w:pict>
      </w:r>
      <w:r>
        <w:rPr>
          <w:w w:val="110"/>
        </w:rPr>
        <w:t>6</w:t>
        <w:tab/>
        <w:t>Introduction</w:t>
      </w:r>
    </w:p>
    <w:p>
      <w:pPr>
        <w:tabs>
          <w:tab w:pos="1984" w:val="left" w:leader="none"/>
        </w:tabs>
        <w:spacing w:before="62" w:after="49"/>
        <w:ind w:left="1417" w:right="0" w:firstLine="0"/>
        <w:jc w:val="left"/>
        <w:rPr>
          <w:b/>
          <w:sz w:val="24"/>
        </w:rPr>
      </w:pPr>
      <w:r>
        <w:rPr>
          <w:b/>
          <w:w w:val="115"/>
          <w:sz w:val="24"/>
        </w:rPr>
        <w:t>6</w:t>
        <w:tab/>
        <w:t>Requirements for witnessing a</w:t>
      </w:r>
      <w:r>
        <w:rPr>
          <w:b/>
          <w:spacing w:val="12"/>
          <w:w w:val="115"/>
          <w:sz w:val="24"/>
        </w:rPr>
        <w:t> </w:t>
      </w:r>
      <w:r>
        <w:rPr>
          <w:b/>
          <w:w w:val="115"/>
          <w:sz w:val="24"/>
        </w:rPr>
        <w:t>will</w:t>
      </w:r>
    </w:p>
    <w:p>
      <w:pPr>
        <w:pStyle w:val="BodyText"/>
        <w:spacing w:line="40" w:lineRule="exact"/>
        <w:ind w:left="1397"/>
        <w:rPr>
          <w:sz w:val="4"/>
        </w:rPr>
      </w:pPr>
      <w:r>
        <w:rPr>
          <w:position w:val="0"/>
          <w:sz w:val="4"/>
        </w:rPr>
        <w:pict>
          <v:group style="width:25.55pt;height:2pt;mso-position-horizontal-relative:char;mso-position-vertical-relative:line" coordorigin="0,0" coordsize="511,40">
            <v:line style="position:absolute" from="0,20" to="510,20" stroked="true" strokeweight="2pt" strokecolor="#ffffff">
              <v:stroke dashstyle="solid"/>
            </v:line>
          </v:group>
        </w:pict>
      </w:r>
      <w:r>
        <w:rPr>
          <w:position w:val="0"/>
          <w:sz w:val="4"/>
        </w:rPr>
      </w:r>
    </w:p>
    <w:p>
      <w:pPr>
        <w:tabs>
          <w:tab w:pos="1984" w:val="left" w:leader="none"/>
        </w:tabs>
        <w:spacing w:line="295" w:lineRule="auto" w:before="91"/>
        <w:ind w:left="1984" w:right="3128" w:hanging="567"/>
        <w:jc w:val="left"/>
        <w:rPr>
          <w:b/>
          <w:sz w:val="24"/>
        </w:rPr>
      </w:pPr>
      <w:r>
        <w:rPr>
          <w:b/>
          <w:spacing w:val="-5"/>
          <w:w w:val="115"/>
          <w:sz w:val="24"/>
        </w:rPr>
        <w:t>13</w:t>
        <w:tab/>
      </w:r>
      <w:r>
        <w:rPr>
          <w:b/>
          <w:spacing w:val="-2"/>
          <w:w w:val="115"/>
          <w:sz w:val="24"/>
        </w:rPr>
        <w:t>Prevention</w:t>
      </w:r>
      <w:r>
        <w:rPr>
          <w:b/>
          <w:spacing w:val="-12"/>
          <w:w w:val="115"/>
          <w:sz w:val="24"/>
        </w:rPr>
        <w:t> </w:t>
      </w:r>
      <w:r>
        <w:rPr>
          <w:b/>
          <w:w w:val="115"/>
          <w:sz w:val="24"/>
        </w:rPr>
        <w:t>of</w:t>
      </w:r>
      <w:r>
        <w:rPr>
          <w:b/>
          <w:spacing w:val="-12"/>
          <w:w w:val="115"/>
          <w:sz w:val="24"/>
        </w:rPr>
        <w:t> </w:t>
      </w:r>
      <w:r>
        <w:rPr>
          <w:b/>
          <w:w w:val="115"/>
          <w:sz w:val="24"/>
        </w:rPr>
        <w:t>undue</w:t>
      </w:r>
      <w:r>
        <w:rPr>
          <w:b/>
          <w:spacing w:val="-11"/>
          <w:w w:val="115"/>
          <w:sz w:val="24"/>
        </w:rPr>
        <w:t> </w:t>
      </w:r>
      <w:r>
        <w:rPr>
          <w:b/>
          <w:w w:val="115"/>
          <w:sz w:val="24"/>
        </w:rPr>
        <w:t>influence</w:t>
      </w:r>
      <w:r>
        <w:rPr>
          <w:b/>
          <w:spacing w:val="-12"/>
          <w:w w:val="115"/>
          <w:sz w:val="24"/>
        </w:rPr>
        <w:t> </w:t>
      </w:r>
      <w:r>
        <w:rPr>
          <w:b/>
          <w:w w:val="115"/>
          <w:sz w:val="24"/>
        </w:rPr>
        <w:t>through</w:t>
      </w:r>
      <w:r>
        <w:rPr>
          <w:b/>
          <w:spacing w:val="-12"/>
          <w:w w:val="115"/>
          <w:sz w:val="24"/>
        </w:rPr>
        <w:t> </w:t>
      </w:r>
      <w:r>
        <w:rPr>
          <w:b/>
          <w:w w:val="115"/>
          <w:sz w:val="24"/>
        </w:rPr>
        <w:t>other</w:t>
      </w:r>
      <w:r>
        <w:rPr>
          <w:b/>
          <w:spacing w:val="-11"/>
          <w:w w:val="115"/>
          <w:sz w:val="24"/>
        </w:rPr>
        <w:t> </w:t>
      </w:r>
      <w:r>
        <w:rPr>
          <w:b/>
          <w:w w:val="115"/>
          <w:sz w:val="24"/>
        </w:rPr>
        <w:t>changes</w:t>
      </w:r>
      <w:r>
        <w:rPr>
          <w:b/>
          <w:spacing w:val="-12"/>
          <w:w w:val="115"/>
          <w:sz w:val="24"/>
        </w:rPr>
        <w:t> </w:t>
      </w:r>
      <w:r>
        <w:rPr>
          <w:b/>
          <w:w w:val="115"/>
          <w:sz w:val="24"/>
        </w:rPr>
        <w:t>to</w:t>
      </w:r>
      <w:r>
        <w:rPr>
          <w:b/>
          <w:spacing w:val="-12"/>
          <w:w w:val="115"/>
          <w:sz w:val="24"/>
        </w:rPr>
        <w:t> </w:t>
      </w:r>
      <w:r>
        <w:rPr>
          <w:b/>
          <w:w w:val="115"/>
          <w:sz w:val="24"/>
        </w:rPr>
        <w:t>the will-making</w:t>
      </w:r>
      <w:r>
        <w:rPr>
          <w:b/>
          <w:spacing w:val="3"/>
          <w:w w:val="115"/>
          <w:sz w:val="24"/>
        </w:rPr>
        <w:t> </w:t>
      </w:r>
      <w:r>
        <w:rPr>
          <w:b/>
          <w:w w:val="115"/>
          <w:sz w:val="24"/>
        </w:rPr>
        <w:t>process</w:t>
      </w:r>
    </w:p>
    <w:p>
      <w:pPr>
        <w:pStyle w:val="BodyText"/>
        <w:spacing w:line="40" w:lineRule="exact"/>
        <w:ind w:left="1397"/>
        <w:rPr>
          <w:sz w:val="4"/>
        </w:rPr>
      </w:pPr>
      <w:r>
        <w:rPr>
          <w:position w:val="0"/>
          <w:sz w:val="4"/>
        </w:rPr>
        <w:pict>
          <v:group style="width:25.55pt;height:2pt;mso-position-horizontal-relative:char;mso-position-vertical-relative:line" coordorigin="0,0" coordsize="511,40">
            <v:line style="position:absolute" from="0,20" to="510,20" stroked="true" strokeweight="2pt" strokecolor="#ffffff">
              <v:stroke dashstyle="solid"/>
            </v:line>
          </v:group>
        </w:pict>
      </w:r>
      <w:r>
        <w:rPr>
          <w:position w:val="0"/>
          <w:sz w:val="4"/>
        </w:rPr>
      </w:r>
    </w:p>
    <w:p>
      <w:pPr>
        <w:tabs>
          <w:tab w:pos="1984" w:val="left" w:leader="none"/>
        </w:tabs>
        <w:spacing w:before="73"/>
        <w:ind w:left="1417" w:right="0" w:firstLine="0"/>
        <w:jc w:val="left"/>
        <w:rPr>
          <w:b/>
          <w:sz w:val="24"/>
        </w:rPr>
      </w:pPr>
      <w:r>
        <w:rPr/>
        <w:pict>
          <v:line style="position:absolute;mso-position-horizontal-relative:page;mso-position-vertical-relative:paragraph;z-index:-400;mso-wrap-distance-left:0;mso-wrap-distance-right:0" from="70.866096pt,21.760876pt" to="96.378096pt,21.760876pt" stroked="true" strokeweight="2pt" strokecolor="#ffffff">
            <v:stroke dashstyle="solid"/>
            <w10:wrap type="topAndBottom"/>
          </v:line>
        </w:pict>
      </w:r>
      <w:r>
        <w:rPr>
          <w:b/>
          <w:spacing w:val="-5"/>
          <w:w w:val="115"/>
          <w:sz w:val="24"/>
        </w:rPr>
        <w:t>15</w:t>
        <w:tab/>
      </w:r>
      <w:r>
        <w:rPr>
          <w:b/>
          <w:w w:val="115"/>
          <w:sz w:val="24"/>
        </w:rPr>
        <w:t>Doctrine of undue</w:t>
      </w:r>
      <w:r>
        <w:rPr>
          <w:b/>
          <w:spacing w:val="9"/>
          <w:w w:val="115"/>
          <w:sz w:val="24"/>
        </w:rPr>
        <w:t> </w:t>
      </w:r>
      <w:r>
        <w:rPr>
          <w:b/>
          <w:w w:val="115"/>
          <w:sz w:val="24"/>
        </w:rPr>
        <w:t>influence</w:t>
      </w:r>
    </w:p>
    <w:p>
      <w:pPr>
        <w:tabs>
          <w:tab w:pos="1984" w:val="left" w:leader="none"/>
        </w:tabs>
        <w:spacing w:before="62" w:after="49"/>
        <w:ind w:left="1417" w:right="0" w:firstLine="0"/>
        <w:jc w:val="left"/>
        <w:rPr>
          <w:b/>
          <w:sz w:val="24"/>
        </w:rPr>
      </w:pPr>
      <w:r>
        <w:rPr>
          <w:b/>
          <w:w w:val="110"/>
          <w:sz w:val="24"/>
        </w:rPr>
        <w:t>20</w:t>
        <w:tab/>
        <w:t>Other common </w:t>
      </w:r>
      <w:r>
        <w:rPr>
          <w:b/>
          <w:spacing w:val="-2"/>
          <w:w w:val="110"/>
          <w:sz w:val="24"/>
        </w:rPr>
        <w:t>law </w:t>
      </w:r>
      <w:r>
        <w:rPr>
          <w:b/>
          <w:w w:val="110"/>
          <w:sz w:val="24"/>
        </w:rPr>
        <w:t>rules related to undue</w:t>
      </w:r>
      <w:r>
        <w:rPr>
          <w:b/>
          <w:spacing w:val="56"/>
          <w:w w:val="110"/>
          <w:sz w:val="24"/>
        </w:rPr>
        <w:t> </w:t>
      </w:r>
      <w:r>
        <w:rPr>
          <w:b/>
          <w:w w:val="110"/>
          <w:sz w:val="24"/>
        </w:rPr>
        <w:t>influence</w:t>
      </w:r>
    </w:p>
    <w:p>
      <w:pPr>
        <w:pStyle w:val="BodyText"/>
        <w:spacing w:line="40" w:lineRule="exact"/>
        <w:ind w:left="1397"/>
        <w:rPr>
          <w:sz w:val="4"/>
        </w:rPr>
      </w:pPr>
      <w:r>
        <w:rPr>
          <w:position w:val="0"/>
          <w:sz w:val="4"/>
        </w:rPr>
        <w:pict>
          <v:group style="width:25.55pt;height:2pt;mso-position-horizontal-relative:char;mso-position-vertical-relative:line" coordorigin="0,0" coordsize="511,40">
            <v:line style="position:absolute" from="0,20" to="510,20" stroked="true" strokeweight="2pt" strokecolor="#ffffff">
              <v:stroke dashstyle="solid"/>
            </v:line>
          </v:group>
        </w:pict>
      </w:r>
      <w:r>
        <w:rPr>
          <w:position w:val="0"/>
          <w:sz w:val="4"/>
        </w:rPr>
      </w:r>
    </w:p>
    <w:p>
      <w:pPr>
        <w:spacing w:after="0" w:line="40" w:lineRule="exact"/>
        <w:rPr>
          <w:sz w:val="4"/>
        </w:rPr>
        <w:sectPr>
          <w:headerReference w:type="default" r:id="rId22"/>
          <w:headerReference w:type="even" r:id="rId23"/>
          <w:pgSz w:w="11910" w:h="16840"/>
          <w:pgMar w:header="0" w:footer="0" w:top="700" w:bottom="280" w:left="0" w:right="0"/>
        </w:sectPr>
      </w:pPr>
    </w:p>
    <w:p>
      <w:pPr>
        <w:pStyle w:val="BodyText"/>
        <w:spacing w:before="10"/>
        <w:rPr>
          <w:b/>
          <w:sz w:val="18"/>
        </w:rPr>
      </w:pPr>
    </w:p>
    <w:p>
      <w:pPr>
        <w:pStyle w:val="ListParagraph"/>
        <w:numPr>
          <w:ilvl w:val="0"/>
          <w:numId w:val="22"/>
        </w:numPr>
        <w:tabs>
          <w:tab w:pos="1063" w:val="left" w:leader="none"/>
        </w:tabs>
        <w:spacing w:line="240" w:lineRule="auto" w:before="98" w:after="0"/>
        <w:ind w:left="1062" w:right="0" w:hanging="496"/>
        <w:jc w:val="left"/>
        <w:rPr>
          <w:b/>
          <w:sz w:val="44"/>
        </w:rPr>
      </w:pPr>
      <w:bookmarkStart w:name="2. Witnessing wills and undue influence" w:id="13"/>
      <w:bookmarkEnd w:id="13"/>
      <w:r>
        <w:rPr/>
      </w:r>
      <w:bookmarkStart w:name="Introduction" w:id="14"/>
      <w:bookmarkEnd w:id="14"/>
      <w:r>
        <w:rPr/>
      </w:r>
      <w:bookmarkStart w:name="Requirements for witnessing a will" w:id="15"/>
      <w:bookmarkEnd w:id="15"/>
      <w:r>
        <w:rPr/>
      </w:r>
      <w:bookmarkStart w:name="Requirements for witnessing a will" w:id="16"/>
      <w:bookmarkEnd w:id="16"/>
      <w:r>
        <w:rPr>
          <w:b/>
          <w:color w:val="EC5A4F"/>
          <w:spacing w:val="-3"/>
          <w:w w:val="115"/>
          <w:sz w:val="44"/>
        </w:rPr>
        <w:t>W</w:t>
      </w:r>
      <w:r>
        <w:rPr>
          <w:b/>
          <w:color w:val="EC5A4F"/>
          <w:spacing w:val="-3"/>
          <w:w w:val="115"/>
          <w:sz w:val="44"/>
        </w:rPr>
        <w:t>itnessing </w:t>
      </w:r>
      <w:r>
        <w:rPr>
          <w:b/>
          <w:color w:val="EC5A4F"/>
          <w:spacing w:val="-4"/>
          <w:w w:val="115"/>
          <w:sz w:val="44"/>
        </w:rPr>
        <w:t>wills </w:t>
      </w:r>
      <w:r>
        <w:rPr>
          <w:b/>
          <w:color w:val="EC5A4F"/>
          <w:w w:val="115"/>
          <w:sz w:val="44"/>
        </w:rPr>
        <w:t>and </w:t>
      </w:r>
      <w:r>
        <w:rPr>
          <w:b/>
          <w:color w:val="EC5A4F"/>
          <w:spacing w:val="-3"/>
          <w:w w:val="115"/>
          <w:sz w:val="44"/>
        </w:rPr>
        <w:t>undue</w:t>
      </w:r>
      <w:r>
        <w:rPr>
          <w:b/>
          <w:color w:val="EC5A4F"/>
          <w:spacing w:val="24"/>
          <w:w w:val="115"/>
          <w:sz w:val="44"/>
        </w:rPr>
        <w:t> </w:t>
      </w:r>
      <w:r>
        <w:rPr>
          <w:b/>
          <w:color w:val="EC5A4F"/>
          <w:spacing w:val="-3"/>
          <w:w w:val="115"/>
          <w:sz w:val="44"/>
        </w:rPr>
        <w:t>influence</w:t>
      </w:r>
    </w:p>
    <w:p>
      <w:pPr>
        <w:pStyle w:val="BodyText"/>
        <w:rPr>
          <w:b/>
          <w:sz w:val="52"/>
        </w:rPr>
      </w:pPr>
    </w:p>
    <w:p>
      <w:pPr>
        <w:pStyle w:val="BodyText"/>
        <w:rPr>
          <w:b/>
          <w:sz w:val="52"/>
        </w:rPr>
      </w:pPr>
    </w:p>
    <w:p>
      <w:pPr>
        <w:pStyle w:val="BodyText"/>
        <w:rPr>
          <w:b/>
          <w:sz w:val="52"/>
        </w:rPr>
      </w:pPr>
    </w:p>
    <w:p>
      <w:pPr>
        <w:pStyle w:val="BodyText"/>
        <w:rPr>
          <w:b/>
          <w:sz w:val="52"/>
        </w:rPr>
      </w:pPr>
    </w:p>
    <w:p>
      <w:pPr>
        <w:pStyle w:val="BodyText"/>
        <w:spacing w:before="9"/>
        <w:rPr>
          <w:b/>
          <w:sz w:val="47"/>
        </w:rPr>
      </w:pPr>
    </w:p>
    <w:p>
      <w:pPr>
        <w:spacing w:before="0"/>
        <w:ind w:left="1587" w:right="0" w:firstLine="0"/>
        <w:jc w:val="left"/>
        <w:rPr>
          <w:b/>
          <w:sz w:val="28"/>
        </w:rPr>
      </w:pPr>
      <w:r>
        <w:rPr>
          <w:b/>
          <w:color w:val="EC5A4F"/>
          <w:w w:val="110"/>
          <w:sz w:val="28"/>
        </w:rPr>
        <w:t>Introduction</w:t>
      </w:r>
    </w:p>
    <w:p>
      <w:pPr>
        <w:pStyle w:val="ListParagraph"/>
        <w:numPr>
          <w:ilvl w:val="1"/>
          <w:numId w:val="22"/>
        </w:numPr>
        <w:tabs>
          <w:tab w:pos="2381" w:val="left" w:leader="none"/>
          <w:tab w:pos="2382" w:val="left" w:leader="none"/>
        </w:tabs>
        <w:spacing w:line="242" w:lineRule="auto" w:before="155" w:after="0"/>
        <w:ind w:left="2381" w:right="1680" w:hanging="794"/>
        <w:jc w:val="left"/>
        <w:rPr>
          <w:sz w:val="21"/>
        </w:rPr>
      </w:pPr>
      <w:r>
        <w:rPr>
          <w:sz w:val="21"/>
        </w:rPr>
        <w:t>The </w:t>
      </w:r>
      <w:r>
        <w:rPr>
          <w:spacing w:val="-3"/>
          <w:sz w:val="21"/>
        </w:rPr>
        <w:t>Commission </w:t>
      </w:r>
      <w:r>
        <w:rPr>
          <w:spacing w:val="-2"/>
          <w:sz w:val="21"/>
        </w:rPr>
        <w:t>has  </w:t>
      </w:r>
      <w:r>
        <w:rPr>
          <w:sz w:val="21"/>
        </w:rPr>
        <w:t>been </w:t>
      </w:r>
      <w:r>
        <w:rPr>
          <w:spacing w:val="-3"/>
          <w:sz w:val="21"/>
        </w:rPr>
        <w:t>asked  to  </w:t>
      </w:r>
      <w:r>
        <w:rPr>
          <w:sz w:val="21"/>
        </w:rPr>
        <w:t>review and report on ‘whether the </w:t>
      </w:r>
      <w:r>
        <w:rPr>
          <w:spacing w:val="-3"/>
          <w:sz w:val="21"/>
        </w:rPr>
        <w:t>current requirements for </w:t>
      </w:r>
      <w:r>
        <w:rPr>
          <w:sz w:val="21"/>
        </w:rPr>
        <w:t>witnessing </w:t>
      </w:r>
      <w:r>
        <w:rPr>
          <w:spacing w:val="-3"/>
          <w:sz w:val="21"/>
        </w:rPr>
        <w:t>wills </w:t>
      </w:r>
      <w:r>
        <w:rPr>
          <w:sz w:val="21"/>
        </w:rPr>
        <w:t>should be revised </w:t>
      </w:r>
      <w:r>
        <w:rPr>
          <w:spacing w:val="-3"/>
          <w:sz w:val="21"/>
        </w:rPr>
        <w:t>to </w:t>
      </w:r>
      <w:r>
        <w:rPr>
          <w:sz w:val="21"/>
        </w:rPr>
        <w:t>better protect older and </w:t>
      </w:r>
      <w:r>
        <w:rPr>
          <w:spacing w:val="-3"/>
          <w:sz w:val="21"/>
        </w:rPr>
        <w:t>vulnerable </w:t>
      </w:r>
      <w:r>
        <w:rPr>
          <w:sz w:val="21"/>
        </w:rPr>
        <w:t>will-makers</w:t>
      </w:r>
      <w:r>
        <w:rPr>
          <w:spacing w:val="11"/>
          <w:sz w:val="21"/>
        </w:rPr>
        <w:t> </w:t>
      </w:r>
      <w:r>
        <w:rPr>
          <w:spacing w:val="-3"/>
          <w:sz w:val="21"/>
        </w:rPr>
        <w:t>from</w:t>
      </w:r>
      <w:r>
        <w:rPr>
          <w:spacing w:val="12"/>
          <w:sz w:val="21"/>
        </w:rPr>
        <w:t> </w:t>
      </w:r>
      <w:r>
        <w:rPr>
          <w:spacing w:val="-3"/>
          <w:sz w:val="21"/>
        </w:rPr>
        <w:t>undue</w:t>
      </w:r>
      <w:r>
        <w:rPr>
          <w:spacing w:val="12"/>
          <w:sz w:val="21"/>
        </w:rPr>
        <w:t> </w:t>
      </w:r>
      <w:r>
        <w:rPr>
          <w:spacing w:val="-3"/>
          <w:sz w:val="21"/>
        </w:rPr>
        <w:t>influence</w:t>
      </w:r>
      <w:r>
        <w:rPr>
          <w:spacing w:val="11"/>
          <w:sz w:val="21"/>
        </w:rPr>
        <w:t> </w:t>
      </w:r>
      <w:r>
        <w:rPr>
          <w:sz w:val="21"/>
        </w:rPr>
        <w:t>by</w:t>
      </w:r>
      <w:r>
        <w:rPr>
          <w:spacing w:val="12"/>
          <w:sz w:val="21"/>
        </w:rPr>
        <w:t> </w:t>
      </w:r>
      <w:r>
        <w:rPr>
          <w:spacing w:val="-3"/>
          <w:sz w:val="21"/>
        </w:rPr>
        <w:t>potential</w:t>
      </w:r>
      <w:r>
        <w:rPr>
          <w:spacing w:val="12"/>
          <w:sz w:val="21"/>
        </w:rPr>
        <w:t> </w:t>
      </w:r>
      <w:r>
        <w:rPr>
          <w:sz w:val="21"/>
        </w:rPr>
        <w:t>beneficiaries</w:t>
      </w:r>
      <w:r>
        <w:rPr>
          <w:spacing w:val="11"/>
          <w:sz w:val="21"/>
        </w:rPr>
        <w:t> </w:t>
      </w:r>
      <w:r>
        <w:rPr>
          <w:sz w:val="21"/>
        </w:rPr>
        <w:t>or</w:t>
      </w:r>
      <w:r>
        <w:rPr>
          <w:spacing w:val="12"/>
          <w:sz w:val="21"/>
        </w:rPr>
        <w:t> </w:t>
      </w:r>
      <w:r>
        <w:rPr>
          <w:spacing w:val="-5"/>
          <w:sz w:val="21"/>
        </w:rPr>
        <w:t>others’.</w:t>
      </w:r>
    </w:p>
    <w:p>
      <w:pPr>
        <w:pStyle w:val="ListParagraph"/>
        <w:numPr>
          <w:ilvl w:val="1"/>
          <w:numId w:val="22"/>
        </w:numPr>
        <w:tabs>
          <w:tab w:pos="2380" w:val="left" w:leader="none"/>
          <w:tab w:pos="2381" w:val="left" w:leader="none"/>
        </w:tabs>
        <w:spacing w:line="242" w:lineRule="auto" w:before="123" w:after="0"/>
        <w:ind w:left="2381" w:right="2293" w:hanging="794"/>
        <w:jc w:val="left"/>
        <w:rPr>
          <w:sz w:val="21"/>
        </w:rPr>
      </w:pPr>
      <w:r>
        <w:rPr>
          <w:sz w:val="21"/>
        </w:rPr>
        <w:t>The </w:t>
      </w:r>
      <w:r>
        <w:rPr>
          <w:spacing w:val="-4"/>
          <w:sz w:val="21"/>
        </w:rPr>
        <w:t>Commission’s </w:t>
      </w:r>
      <w:r>
        <w:rPr>
          <w:spacing w:val="-3"/>
          <w:sz w:val="21"/>
        </w:rPr>
        <w:t>consultation </w:t>
      </w:r>
      <w:r>
        <w:rPr>
          <w:sz w:val="21"/>
        </w:rPr>
        <w:t>paper on </w:t>
      </w:r>
      <w:r>
        <w:rPr>
          <w:spacing w:val="-3"/>
          <w:sz w:val="21"/>
        </w:rPr>
        <w:t>wills </w:t>
      </w:r>
      <w:r>
        <w:rPr>
          <w:sz w:val="21"/>
        </w:rPr>
        <w:t>set out </w:t>
      </w:r>
      <w:r>
        <w:rPr>
          <w:spacing w:val="-3"/>
          <w:sz w:val="21"/>
        </w:rPr>
        <w:t>various </w:t>
      </w:r>
      <w:r>
        <w:rPr>
          <w:sz w:val="21"/>
        </w:rPr>
        <w:t>ways in which the </w:t>
      </w:r>
      <w:r>
        <w:rPr>
          <w:spacing w:val="-3"/>
          <w:sz w:val="21"/>
        </w:rPr>
        <w:t>requirements for </w:t>
      </w:r>
      <w:r>
        <w:rPr>
          <w:sz w:val="21"/>
        </w:rPr>
        <w:t>witnessing a </w:t>
      </w:r>
      <w:r>
        <w:rPr>
          <w:spacing w:val="-3"/>
          <w:sz w:val="21"/>
        </w:rPr>
        <w:t>will could </w:t>
      </w:r>
      <w:r>
        <w:rPr>
          <w:sz w:val="21"/>
        </w:rPr>
        <w:t>be </w:t>
      </w:r>
      <w:r>
        <w:rPr>
          <w:spacing w:val="-3"/>
          <w:sz w:val="21"/>
        </w:rPr>
        <w:t>changed </w:t>
      </w:r>
      <w:r>
        <w:rPr>
          <w:sz w:val="21"/>
        </w:rPr>
        <w:t>in order </w:t>
      </w:r>
      <w:r>
        <w:rPr>
          <w:spacing w:val="-3"/>
          <w:sz w:val="21"/>
        </w:rPr>
        <w:t>to </w:t>
      </w:r>
      <w:r>
        <w:rPr>
          <w:sz w:val="21"/>
        </w:rPr>
        <w:t>protect</w:t>
      </w:r>
      <w:r>
        <w:rPr>
          <w:spacing w:val="27"/>
          <w:sz w:val="21"/>
        </w:rPr>
        <w:t> </w:t>
      </w:r>
      <w:r>
        <w:rPr>
          <w:spacing w:val="-3"/>
          <w:sz w:val="21"/>
        </w:rPr>
        <w:t>vulnerable</w:t>
      </w:r>
    </w:p>
    <w:p>
      <w:pPr>
        <w:pStyle w:val="BodyText"/>
        <w:spacing w:line="242" w:lineRule="auto" w:before="2"/>
        <w:ind w:left="2380" w:right="1711"/>
      </w:pPr>
      <w:r>
        <w:rPr/>
        <w:t>will-makers </w:t>
      </w:r>
      <w:r>
        <w:rPr>
          <w:spacing w:val="-3"/>
        </w:rPr>
        <w:t>from undue influence.  </w:t>
      </w:r>
      <w:r>
        <w:rPr>
          <w:spacing w:val="-4"/>
        </w:rPr>
        <w:t>However,  </w:t>
      </w:r>
      <w:r>
        <w:rPr>
          <w:spacing w:val="-3"/>
        </w:rPr>
        <w:t>although  </w:t>
      </w:r>
      <w:r>
        <w:rPr/>
        <w:t>widespread </w:t>
      </w:r>
      <w:r>
        <w:rPr>
          <w:spacing w:val="-3"/>
        </w:rPr>
        <w:t>concern</w:t>
      </w:r>
      <w:r>
        <w:rPr>
          <w:spacing w:val="41"/>
        </w:rPr>
        <w:t> </w:t>
      </w:r>
      <w:r>
        <w:rPr/>
        <w:t>was expressed in </w:t>
      </w:r>
      <w:r>
        <w:rPr>
          <w:spacing w:val="-3"/>
        </w:rPr>
        <w:t>submissions </w:t>
      </w:r>
      <w:r>
        <w:rPr/>
        <w:t>and </w:t>
      </w:r>
      <w:r>
        <w:rPr>
          <w:spacing w:val="-3"/>
        </w:rPr>
        <w:t>consultations </w:t>
      </w:r>
      <w:r>
        <w:rPr/>
        <w:t>about </w:t>
      </w:r>
      <w:r>
        <w:rPr>
          <w:spacing w:val="-3"/>
        </w:rPr>
        <w:t>potential </w:t>
      </w:r>
      <w:r>
        <w:rPr/>
        <w:t>beneficiaries improperly </w:t>
      </w:r>
      <w:r>
        <w:rPr>
          <w:spacing w:val="-3"/>
        </w:rPr>
        <w:t>prevailing </w:t>
      </w:r>
      <w:r>
        <w:rPr/>
        <w:t>upon </w:t>
      </w:r>
      <w:r>
        <w:rPr>
          <w:spacing w:val="-3"/>
        </w:rPr>
        <w:t>vulnerable </w:t>
      </w:r>
      <w:r>
        <w:rPr/>
        <w:t>will-makers </w:t>
      </w:r>
      <w:r>
        <w:rPr>
          <w:spacing w:val="-3"/>
        </w:rPr>
        <w:t>to </w:t>
      </w:r>
      <w:r>
        <w:rPr>
          <w:spacing w:val="-4"/>
        </w:rPr>
        <w:t>make </w:t>
      </w:r>
      <w:r>
        <w:rPr>
          <w:spacing w:val="-3"/>
        </w:rPr>
        <w:t>wills  that  </w:t>
      </w:r>
      <w:r>
        <w:rPr/>
        <w:t>do </w:t>
      </w:r>
      <w:r>
        <w:rPr>
          <w:spacing w:val="-2"/>
        </w:rPr>
        <w:t>not</w:t>
      </w:r>
      <w:r>
        <w:rPr>
          <w:spacing w:val="43"/>
        </w:rPr>
        <w:t> </w:t>
      </w:r>
      <w:r>
        <w:rPr/>
        <w:t>reflect their wishes, there was little support </w:t>
      </w:r>
      <w:r>
        <w:rPr>
          <w:spacing w:val="-3"/>
        </w:rPr>
        <w:t>for </w:t>
      </w:r>
      <w:r>
        <w:rPr/>
        <w:t>the view </w:t>
      </w:r>
      <w:r>
        <w:rPr>
          <w:spacing w:val="-3"/>
        </w:rPr>
        <w:t>that changing </w:t>
      </w:r>
      <w:r>
        <w:rPr/>
        <w:t>the witnessing </w:t>
      </w:r>
      <w:r>
        <w:rPr>
          <w:spacing w:val="-3"/>
        </w:rPr>
        <w:t>requirements </w:t>
      </w:r>
      <w:r>
        <w:rPr/>
        <w:t>would deal</w:t>
      </w:r>
      <w:r>
        <w:rPr>
          <w:spacing w:val="5"/>
        </w:rPr>
        <w:t> </w:t>
      </w:r>
      <w:r>
        <w:rPr/>
        <w:t>with</w:t>
      </w:r>
    </w:p>
    <w:p>
      <w:pPr>
        <w:pStyle w:val="BodyText"/>
        <w:spacing w:before="5"/>
        <w:ind w:left="2380"/>
      </w:pPr>
      <w:r>
        <w:rPr/>
        <w:t>this problem.</w:t>
      </w:r>
    </w:p>
    <w:p>
      <w:pPr>
        <w:pStyle w:val="ListParagraph"/>
        <w:numPr>
          <w:ilvl w:val="1"/>
          <w:numId w:val="22"/>
        </w:numPr>
        <w:tabs>
          <w:tab w:pos="2380" w:val="left" w:leader="none"/>
          <w:tab w:pos="2381" w:val="left" w:leader="none"/>
        </w:tabs>
        <w:spacing w:line="242" w:lineRule="auto" w:before="124" w:after="0"/>
        <w:ind w:left="2381" w:right="1675" w:hanging="794"/>
        <w:jc w:val="left"/>
        <w:rPr>
          <w:sz w:val="21"/>
        </w:rPr>
      </w:pPr>
      <w:r>
        <w:rPr>
          <w:w w:val="105"/>
          <w:sz w:val="21"/>
        </w:rPr>
        <w:t>The </w:t>
      </w:r>
      <w:r>
        <w:rPr>
          <w:spacing w:val="-3"/>
          <w:w w:val="105"/>
          <w:sz w:val="21"/>
        </w:rPr>
        <w:t>Commission </w:t>
      </w:r>
      <w:r>
        <w:rPr>
          <w:spacing w:val="-2"/>
          <w:w w:val="105"/>
          <w:sz w:val="21"/>
        </w:rPr>
        <w:t>has </w:t>
      </w:r>
      <w:r>
        <w:rPr>
          <w:spacing w:val="-3"/>
          <w:w w:val="105"/>
          <w:sz w:val="21"/>
        </w:rPr>
        <w:t>concluded that </w:t>
      </w:r>
      <w:r>
        <w:rPr>
          <w:w w:val="105"/>
          <w:sz w:val="21"/>
        </w:rPr>
        <w:t>no </w:t>
      </w:r>
      <w:r>
        <w:rPr>
          <w:spacing w:val="-3"/>
          <w:w w:val="105"/>
          <w:sz w:val="21"/>
        </w:rPr>
        <w:t>changes to </w:t>
      </w:r>
      <w:r>
        <w:rPr>
          <w:w w:val="105"/>
          <w:sz w:val="21"/>
        </w:rPr>
        <w:t>the witnessing </w:t>
      </w:r>
      <w:r>
        <w:rPr>
          <w:spacing w:val="-3"/>
          <w:w w:val="105"/>
          <w:sz w:val="21"/>
        </w:rPr>
        <w:t>requirements for wills are</w:t>
      </w:r>
      <w:r>
        <w:rPr>
          <w:spacing w:val="-10"/>
          <w:w w:val="105"/>
          <w:sz w:val="21"/>
        </w:rPr>
        <w:t> </w:t>
      </w:r>
      <w:r>
        <w:rPr>
          <w:w w:val="105"/>
          <w:sz w:val="21"/>
        </w:rPr>
        <w:t>necessary.</w:t>
      </w:r>
      <w:r>
        <w:rPr>
          <w:spacing w:val="-9"/>
          <w:w w:val="105"/>
          <w:sz w:val="21"/>
        </w:rPr>
        <w:t> </w:t>
      </w:r>
      <w:r>
        <w:rPr>
          <w:w w:val="105"/>
          <w:sz w:val="21"/>
        </w:rPr>
        <w:t>This</w:t>
      </w:r>
      <w:r>
        <w:rPr>
          <w:spacing w:val="-9"/>
          <w:w w:val="105"/>
          <w:sz w:val="21"/>
        </w:rPr>
        <w:t> </w:t>
      </w:r>
      <w:r>
        <w:rPr>
          <w:w w:val="105"/>
          <w:sz w:val="21"/>
        </w:rPr>
        <w:t>is</w:t>
      </w:r>
      <w:r>
        <w:rPr>
          <w:spacing w:val="-9"/>
          <w:w w:val="105"/>
          <w:sz w:val="21"/>
        </w:rPr>
        <w:t> </w:t>
      </w:r>
      <w:r>
        <w:rPr>
          <w:w w:val="105"/>
          <w:sz w:val="21"/>
        </w:rPr>
        <w:t>because</w:t>
      </w:r>
      <w:r>
        <w:rPr>
          <w:spacing w:val="-9"/>
          <w:w w:val="105"/>
          <w:sz w:val="21"/>
        </w:rPr>
        <w:t> </w:t>
      </w:r>
      <w:r>
        <w:rPr>
          <w:spacing w:val="-3"/>
          <w:w w:val="105"/>
          <w:sz w:val="21"/>
        </w:rPr>
        <w:t>changing</w:t>
      </w:r>
      <w:r>
        <w:rPr>
          <w:spacing w:val="-10"/>
          <w:w w:val="105"/>
          <w:sz w:val="21"/>
        </w:rPr>
        <w:t> </w:t>
      </w:r>
      <w:r>
        <w:rPr>
          <w:w w:val="105"/>
          <w:sz w:val="21"/>
        </w:rPr>
        <w:t>the</w:t>
      </w:r>
      <w:r>
        <w:rPr>
          <w:spacing w:val="-9"/>
          <w:w w:val="105"/>
          <w:sz w:val="21"/>
        </w:rPr>
        <w:t> </w:t>
      </w:r>
      <w:r>
        <w:rPr>
          <w:w w:val="105"/>
          <w:sz w:val="21"/>
        </w:rPr>
        <w:t>witnessing</w:t>
      </w:r>
      <w:r>
        <w:rPr>
          <w:spacing w:val="-9"/>
          <w:w w:val="105"/>
          <w:sz w:val="21"/>
        </w:rPr>
        <w:t> </w:t>
      </w:r>
      <w:r>
        <w:rPr>
          <w:spacing w:val="-3"/>
          <w:w w:val="105"/>
          <w:sz w:val="21"/>
        </w:rPr>
        <w:t>requirements</w:t>
      </w:r>
      <w:r>
        <w:rPr>
          <w:spacing w:val="-9"/>
          <w:w w:val="105"/>
          <w:sz w:val="21"/>
        </w:rPr>
        <w:t> </w:t>
      </w:r>
      <w:r>
        <w:rPr>
          <w:w w:val="105"/>
          <w:sz w:val="21"/>
        </w:rPr>
        <w:t>is</w:t>
      </w:r>
      <w:r>
        <w:rPr>
          <w:spacing w:val="-9"/>
          <w:w w:val="105"/>
          <w:sz w:val="21"/>
        </w:rPr>
        <w:t> </w:t>
      </w:r>
      <w:r>
        <w:rPr>
          <w:spacing w:val="-4"/>
          <w:w w:val="105"/>
          <w:sz w:val="21"/>
        </w:rPr>
        <w:t>unlikely</w:t>
      </w:r>
      <w:r>
        <w:rPr>
          <w:spacing w:val="-9"/>
          <w:w w:val="105"/>
          <w:sz w:val="21"/>
        </w:rPr>
        <w:t> </w:t>
      </w:r>
      <w:r>
        <w:rPr>
          <w:spacing w:val="-3"/>
          <w:w w:val="105"/>
          <w:sz w:val="21"/>
        </w:rPr>
        <w:t>to</w:t>
      </w:r>
      <w:r>
        <w:rPr>
          <w:spacing w:val="-10"/>
          <w:w w:val="105"/>
          <w:sz w:val="21"/>
        </w:rPr>
        <w:t> </w:t>
      </w:r>
      <w:r>
        <w:rPr>
          <w:spacing w:val="-3"/>
          <w:w w:val="105"/>
          <w:sz w:val="21"/>
        </w:rPr>
        <w:t>prevent undue influence, </w:t>
      </w:r>
      <w:r>
        <w:rPr>
          <w:w w:val="105"/>
          <w:sz w:val="21"/>
        </w:rPr>
        <w:t>and some </w:t>
      </w:r>
      <w:r>
        <w:rPr>
          <w:spacing w:val="-3"/>
          <w:w w:val="105"/>
          <w:sz w:val="21"/>
        </w:rPr>
        <w:t>changes may have </w:t>
      </w:r>
      <w:r>
        <w:rPr>
          <w:w w:val="105"/>
          <w:sz w:val="21"/>
        </w:rPr>
        <w:t>other negative </w:t>
      </w:r>
      <w:r>
        <w:rPr>
          <w:spacing w:val="-3"/>
          <w:w w:val="105"/>
          <w:sz w:val="21"/>
        </w:rPr>
        <w:t>consequences.</w:t>
      </w:r>
      <w:r>
        <w:rPr>
          <w:spacing w:val="17"/>
          <w:w w:val="105"/>
          <w:sz w:val="21"/>
        </w:rPr>
        <w:t> </w:t>
      </w:r>
      <w:r>
        <w:rPr>
          <w:spacing w:val="-3"/>
          <w:w w:val="105"/>
          <w:sz w:val="21"/>
        </w:rPr>
        <w:t>Instead,</w:t>
      </w:r>
    </w:p>
    <w:p>
      <w:pPr>
        <w:pStyle w:val="BodyText"/>
        <w:spacing w:line="242" w:lineRule="auto" w:before="3"/>
        <w:ind w:left="2380" w:right="1823"/>
      </w:pPr>
      <w:r>
        <w:rPr>
          <w:w w:val="105"/>
        </w:rPr>
        <w:t>the</w:t>
      </w:r>
      <w:r>
        <w:rPr>
          <w:spacing w:val="-6"/>
          <w:w w:val="105"/>
        </w:rPr>
        <w:t> </w:t>
      </w:r>
      <w:r>
        <w:rPr>
          <w:spacing w:val="-3"/>
          <w:w w:val="105"/>
        </w:rPr>
        <w:t>Commission</w:t>
      </w:r>
      <w:r>
        <w:rPr>
          <w:spacing w:val="-5"/>
          <w:w w:val="105"/>
        </w:rPr>
        <w:t> </w:t>
      </w:r>
      <w:r>
        <w:rPr>
          <w:w w:val="105"/>
        </w:rPr>
        <w:t>sees</w:t>
      </w:r>
      <w:r>
        <w:rPr>
          <w:spacing w:val="-5"/>
          <w:w w:val="105"/>
        </w:rPr>
        <w:t> </w:t>
      </w:r>
      <w:r>
        <w:rPr>
          <w:w w:val="105"/>
        </w:rPr>
        <w:t>a</w:t>
      </w:r>
      <w:r>
        <w:rPr>
          <w:spacing w:val="-5"/>
          <w:w w:val="105"/>
        </w:rPr>
        <w:t> </w:t>
      </w:r>
      <w:r>
        <w:rPr>
          <w:w w:val="105"/>
        </w:rPr>
        <w:t>need</w:t>
      </w:r>
      <w:r>
        <w:rPr>
          <w:spacing w:val="-5"/>
          <w:w w:val="105"/>
        </w:rPr>
        <w:t> </w:t>
      </w:r>
      <w:r>
        <w:rPr>
          <w:spacing w:val="-3"/>
          <w:w w:val="105"/>
        </w:rPr>
        <w:t>to</w:t>
      </w:r>
      <w:r>
        <w:rPr>
          <w:spacing w:val="-5"/>
          <w:w w:val="105"/>
        </w:rPr>
        <w:t> </w:t>
      </w:r>
      <w:r>
        <w:rPr>
          <w:w w:val="105"/>
        </w:rPr>
        <w:t>give</w:t>
      </w:r>
      <w:r>
        <w:rPr>
          <w:spacing w:val="-5"/>
          <w:w w:val="105"/>
        </w:rPr>
        <w:t> </w:t>
      </w:r>
      <w:r>
        <w:rPr>
          <w:w w:val="105"/>
        </w:rPr>
        <w:t>legal</w:t>
      </w:r>
      <w:r>
        <w:rPr>
          <w:spacing w:val="-5"/>
          <w:w w:val="105"/>
        </w:rPr>
        <w:t> </w:t>
      </w:r>
      <w:r>
        <w:rPr>
          <w:w w:val="105"/>
        </w:rPr>
        <w:t>practitioners</w:t>
      </w:r>
      <w:r>
        <w:rPr>
          <w:spacing w:val="-5"/>
          <w:w w:val="105"/>
        </w:rPr>
        <w:t> </w:t>
      </w:r>
      <w:r>
        <w:rPr>
          <w:w w:val="105"/>
        </w:rPr>
        <w:t>more</w:t>
      </w:r>
      <w:r>
        <w:rPr>
          <w:spacing w:val="-5"/>
          <w:w w:val="105"/>
        </w:rPr>
        <w:t> </w:t>
      </w:r>
      <w:r>
        <w:rPr>
          <w:spacing w:val="-3"/>
          <w:w w:val="105"/>
        </w:rPr>
        <w:t>guidance</w:t>
      </w:r>
      <w:r>
        <w:rPr>
          <w:spacing w:val="-6"/>
          <w:w w:val="105"/>
        </w:rPr>
        <w:t> </w:t>
      </w:r>
      <w:r>
        <w:rPr>
          <w:w w:val="105"/>
        </w:rPr>
        <w:t>on</w:t>
      </w:r>
      <w:r>
        <w:rPr>
          <w:spacing w:val="-5"/>
          <w:w w:val="105"/>
        </w:rPr>
        <w:t> </w:t>
      </w:r>
      <w:r>
        <w:rPr>
          <w:w w:val="105"/>
        </w:rPr>
        <w:t>detecting</w:t>
      </w:r>
      <w:r>
        <w:rPr>
          <w:spacing w:val="-5"/>
          <w:w w:val="105"/>
        </w:rPr>
        <w:t> </w:t>
      </w:r>
      <w:r>
        <w:rPr>
          <w:w w:val="105"/>
        </w:rPr>
        <w:t>and </w:t>
      </w:r>
      <w:r>
        <w:rPr>
          <w:spacing w:val="-3"/>
          <w:w w:val="105"/>
        </w:rPr>
        <w:t>preventing undue influence </w:t>
      </w:r>
      <w:r>
        <w:rPr>
          <w:w w:val="105"/>
        </w:rPr>
        <w:t>when </w:t>
      </w:r>
      <w:r>
        <w:rPr>
          <w:spacing w:val="-3"/>
          <w:w w:val="105"/>
        </w:rPr>
        <w:t>preparing </w:t>
      </w:r>
      <w:r>
        <w:rPr>
          <w:w w:val="105"/>
        </w:rPr>
        <w:t>a </w:t>
      </w:r>
      <w:r>
        <w:rPr>
          <w:spacing w:val="-3"/>
          <w:w w:val="105"/>
        </w:rPr>
        <w:t>will, </w:t>
      </w:r>
      <w:r>
        <w:rPr>
          <w:w w:val="105"/>
        </w:rPr>
        <w:t>and </w:t>
      </w:r>
      <w:r>
        <w:rPr>
          <w:spacing w:val="-3"/>
          <w:w w:val="105"/>
        </w:rPr>
        <w:t>to monitor </w:t>
      </w:r>
      <w:r>
        <w:rPr>
          <w:w w:val="105"/>
        </w:rPr>
        <w:t>the application of  the doctrine of </w:t>
      </w:r>
      <w:r>
        <w:rPr>
          <w:spacing w:val="-3"/>
          <w:w w:val="105"/>
        </w:rPr>
        <w:t>undue influence to probate </w:t>
      </w:r>
      <w:r>
        <w:rPr>
          <w:w w:val="105"/>
        </w:rPr>
        <w:t>matters in </w:t>
      </w:r>
      <w:r>
        <w:rPr>
          <w:spacing w:val="-3"/>
          <w:w w:val="105"/>
        </w:rPr>
        <w:t>Canada.</w:t>
      </w:r>
    </w:p>
    <w:p>
      <w:pPr>
        <w:pStyle w:val="ListParagraph"/>
        <w:numPr>
          <w:ilvl w:val="1"/>
          <w:numId w:val="22"/>
        </w:numPr>
        <w:tabs>
          <w:tab w:pos="2380" w:val="left" w:leader="none"/>
          <w:tab w:pos="2381" w:val="left" w:leader="none"/>
        </w:tabs>
        <w:spacing w:line="242" w:lineRule="auto" w:before="123" w:after="0"/>
        <w:ind w:left="2381" w:right="2391" w:hanging="794"/>
        <w:jc w:val="both"/>
        <w:rPr>
          <w:sz w:val="21"/>
        </w:rPr>
      </w:pPr>
      <w:r>
        <w:rPr>
          <w:sz w:val="21"/>
        </w:rPr>
        <w:t>The next section </w:t>
      </w:r>
      <w:r>
        <w:rPr>
          <w:spacing w:val="-3"/>
          <w:sz w:val="21"/>
        </w:rPr>
        <w:t>outlines </w:t>
      </w:r>
      <w:r>
        <w:rPr>
          <w:sz w:val="21"/>
        </w:rPr>
        <w:t>the </w:t>
      </w:r>
      <w:r>
        <w:rPr>
          <w:spacing w:val="-3"/>
          <w:sz w:val="21"/>
        </w:rPr>
        <w:t>requirements for </w:t>
      </w:r>
      <w:r>
        <w:rPr>
          <w:sz w:val="21"/>
        </w:rPr>
        <w:t>witnessing a </w:t>
      </w:r>
      <w:r>
        <w:rPr>
          <w:spacing w:val="-3"/>
          <w:sz w:val="21"/>
        </w:rPr>
        <w:t>will, </w:t>
      </w:r>
      <w:r>
        <w:rPr>
          <w:sz w:val="21"/>
        </w:rPr>
        <w:t>the </w:t>
      </w:r>
      <w:r>
        <w:rPr>
          <w:spacing w:val="-3"/>
          <w:sz w:val="21"/>
        </w:rPr>
        <w:t>reform </w:t>
      </w:r>
      <w:r>
        <w:rPr>
          <w:sz w:val="21"/>
        </w:rPr>
        <w:t>ideas canvassed in the </w:t>
      </w:r>
      <w:r>
        <w:rPr>
          <w:spacing w:val="-3"/>
          <w:sz w:val="21"/>
        </w:rPr>
        <w:t>consultation </w:t>
      </w:r>
      <w:r>
        <w:rPr>
          <w:spacing w:val="-4"/>
          <w:sz w:val="21"/>
        </w:rPr>
        <w:t>paper, </w:t>
      </w:r>
      <w:r>
        <w:rPr>
          <w:sz w:val="21"/>
        </w:rPr>
        <w:t>comments made about those ideas, and the </w:t>
      </w:r>
      <w:r>
        <w:rPr>
          <w:spacing w:val="-4"/>
          <w:sz w:val="21"/>
        </w:rPr>
        <w:t>Commission’s </w:t>
      </w:r>
      <w:r>
        <w:rPr>
          <w:spacing w:val="-3"/>
          <w:sz w:val="21"/>
        </w:rPr>
        <w:t>conclusions </w:t>
      </w:r>
      <w:r>
        <w:rPr>
          <w:sz w:val="21"/>
        </w:rPr>
        <w:t>in </w:t>
      </w:r>
      <w:r>
        <w:rPr>
          <w:spacing w:val="-3"/>
          <w:sz w:val="21"/>
        </w:rPr>
        <w:t>relation to </w:t>
      </w:r>
      <w:r>
        <w:rPr>
          <w:sz w:val="21"/>
        </w:rPr>
        <w:t>each possible</w:t>
      </w:r>
      <w:r>
        <w:rPr>
          <w:spacing w:val="11"/>
          <w:sz w:val="21"/>
        </w:rPr>
        <w:t> </w:t>
      </w:r>
      <w:r>
        <w:rPr>
          <w:spacing w:val="-3"/>
          <w:sz w:val="21"/>
        </w:rPr>
        <w:t>change.</w:t>
      </w:r>
    </w:p>
    <w:p>
      <w:pPr>
        <w:pStyle w:val="BodyText"/>
        <w:spacing w:before="10"/>
      </w:pPr>
    </w:p>
    <w:p>
      <w:pPr>
        <w:spacing w:before="0"/>
        <w:ind w:left="1587" w:right="0" w:firstLine="0"/>
        <w:jc w:val="left"/>
        <w:rPr>
          <w:b/>
          <w:sz w:val="28"/>
        </w:rPr>
      </w:pPr>
      <w:r>
        <w:rPr>
          <w:b/>
          <w:color w:val="EC5A4F"/>
          <w:w w:val="115"/>
          <w:sz w:val="28"/>
        </w:rPr>
        <w:t>Requirements for witnessing a will</w:t>
      </w:r>
    </w:p>
    <w:p>
      <w:pPr>
        <w:pStyle w:val="ListParagraph"/>
        <w:numPr>
          <w:ilvl w:val="1"/>
          <w:numId w:val="22"/>
        </w:numPr>
        <w:tabs>
          <w:tab w:pos="2380" w:val="left" w:leader="none"/>
          <w:tab w:pos="2381" w:val="left" w:leader="none"/>
        </w:tabs>
        <w:spacing w:line="242" w:lineRule="auto" w:before="155" w:after="0"/>
        <w:ind w:left="2381" w:right="1977" w:hanging="794"/>
        <w:jc w:val="both"/>
        <w:rPr>
          <w:sz w:val="12"/>
        </w:rPr>
      </w:pPr>
      <w:r>
        <w:rPr>
          <w:w w:val="105"/>
          <w:sz w:val="21"/>
        </w:rPr>
        <w:t>In order </w:t>
      </w:r>
      <w:r>
        <w:rPr>
          <w:spacing w:val="-3"/>
          <w:w w:val="105"/>
          <w:sz w:val="21"/>
        </w:rPr>
        <w:t>to </w:t>
      </w:r>
      <w:r>
        <w:rPr>
          <w:spacing w:val="-4"/>
          <w:w w:val="105"/>
          <w:sz w:val="21"/>
        </w:rPr>
        <w:t>make </w:t>
      </w:r>
      <w:r>
        <w:rPr>
          <w:w w:val="105"/>
          <w:sz w:val="21"/>
        </w:rPr>
        <w:t>a </w:t>
      </w:r>
      <w:r>
        <w:rPr>
          <w:spacing w:val="-3"/>
          <w:w w:val="105"/>
          <w:sz w:val="21"/>
        </w:rPr>
        <w:t>valid will, </w:t>
      </w:r>
      <w:r>
        <w:rPr>
          <w:w w:val="105"/>
          <w:sz w:val="21"/>
        </w:rPr>
        <w:t>the document must be in writing and signed by the will- </w:t>
      </w:r>
      <w:r>
        <w:rPr>
          <w:spacing w:val="-4"/>
          <w:w w:val="105"/>
          <w:sz w:val="21"/>
        </w:rPr>
        <w:t>maker </w:t>
      </w:r>
      <w:r>
        <w:rPr>
          <w:w w:val="105"/>
          <w:sz w:val="21"/>
        </w:rPr>
        <w:t>in the presence of two witnesses. Both witnesses must witness the </w:t>
      </w:r>
      <w:r>
        <w:rPr>
          <w:spacing w:val="-3"/>
          <w:w w:val="105"/>
          <w:sz w:val="21"/>
        </w:rPr>
        <w:t>will-maker signing</w:t>
      </w:r>
      <w:r>
        <w:rPr>
          <w:spacing w:val="-5"/>
          <w:w w:val="105"/>
          <w:sz w:val="21"/>
        </w:rPr>
        <w:t> </w:t>
      </w:r>
      <w:r>
        <w:rPr>
          <w:w w:val="105"/>
          <w:sz w:val="21"/>
        </w:rPr>
        <w:t>the</w:t>
      </w:r>
      <w:r>
        <w:rPr>
          <w:spacing w:val="-4"/>
          <w:w w:val="105"/>
          <w:sz w:val="21"/>
        </w:rPr>
        <w:t> </w:t>
      </w:r>
      <w:r>
        <w:rPr>
          <w:spacing w:val="-3"/>
          <w:w w:val="105"/>
          <w:sz w:val="21"/>
        </w:rPr>
        <w:t>will,</w:t>
      </w:r>
      <w:r>
        <w:rPr>
          <w:spacing w:val="-4"/>
          <w:w w:val="105"/>
          <w:sz w:val="21"/>
        </w:rPr>
        <w:t> </w:t>
      </w:r>
      <w:r>
        <w:rPr>
          <w:w w:val="105"/>
          <w:sz w:val="21"/>
        </w:rPr>
        <w:t>in</w:t>
      </w:r>
      <w:r>
        <w:rPr>
          <w:spacing w:val="-5"/>
          <w:w w:val="105"/>
          <w:sz w:val="21"/>
        </w:rPr>
        <w:t> </w:t>
      </w:r>
      <w:r>
        <w:rPr>
          <w:w w:val="105"/>
          <w:sz w:val="21"/>
        </w:rPr>
        <w:t>each</w:t>
      </w:r>
      <w:r>
        <w:rPr>
          <w:spacing w:val="-4"/>
          <w:w w:val="105"/>
          <w:sz w:val="21"/>
        </w:rPr>
        <w:t> </w:t>
      </w:r>
      <w:r>
        <w:rPr>
          <w:spacing w:val="-3"/>
          <w:w w:val="105"/>
          <w:sz w:val="21"/>
        </w:rPr>
        <w:t>other’s</w:t>
      </w:r>
      <w:r>
        <w:rPr>
          <w:spacing w:val="-4"/>
          <w:w w:val="105"/>
          <w:sz w:val="21"/>
        </w:rPr>
        <w:t> </w:t>
      </w:r>
      <w:r>
        <w:rPr>
          <w:spacing w:val="-3"/>
          <w:w w:val="105"/>
          <w:sz w:val="21"/>
        </w:rPr>
        <w:t>presence.</w:t>
      </w:r>
      <w:r>
        <w:rPr>
          <w:spacing w:val="-4"/>
          <w:w w:val="105"/>
          <w:sz w:val="21"/>
        </w:rPr>
        <w:t> </w:t>
      </w:r>
      <w:r>
        <w:rPr>
          <w:w w:val="105"/>
          <w:sz w:val="21"/>
        </w:rPr>
        <w:t>They</w:t>
      </w:r>
      <w:r>
        <w:rPr>
          <w:spacing w:val="-5"/>
          <w:w w:val="105"/>
          <w:sz w:val="21"/>
        </w:rPr>
        <w:t> </w:t>
      </w:r>
      <w:r>
        <w:rPr>
          <w:w w:val="105"/>
          <w:sz w:val="21"/>
        </w:rPr>
        <w:t>must</w:t>
      </w:r>
      <w:r>
        <w:rPr>
          <w:spacing w:val="-4"/>
          <w:w w:val="105"/>
          <w:sz w:val="21"/>
        </w:rPr>
        <w:t> </w:t>
      </w:r>
      <w:r>
        <w:rPr>
          <w:w w:val="105"/>
          <w:sz w:val="21"/>
        </w:rPr>
        <w:t>then</w:t>
      </w:r>
      <w:r>
        <w:rPr>
          <w:spacing w:val="-4"/>
          <w:w w:val="105"/>
          <w:sz w:val="21"/>
        </w:rPr>
        <w:t> </w:t>
      </w:r>
      <w:r>
        <w:rPr>
          <w:spacing w:val="-3"/>
          <w:w w:val="105"/>
          <w:sz w:val="21"/>
        </w:rPr>
        <w:t>sign</w:t>
      </w:r>
      <w:r>
        <w:rPr>
          <w:spacing w:val="-4"/>
          <w:w w:val="105"/>
          <w:sz w:val="21"/>
        </w:rPr>
        <w:t> </w:t>
      </w:r>
      <w:r>
        <w:rPr>
          <w:w w:val="105"/>
          <w:sz w:val="21"/>
        </w:rPr>
        <w:t>the</w:t>
      </w:r>
      <w:r>
        <w:rPr>
          <w:spacing w:val="-5"/>
          <w:w w:val="105"/>
          <w:sz w:val="21"/>
        </w:rPr>
        <w:t> </w:t>
      </w:r>
      <w:r>
        <w:rPr>
          <w:spacing w:val="-3"/>
          <w:w w:val="105"/>
          <w:sz w:val="21"/>
        </w:rPr>
        <w:t>will</w:t>
      </w:r>
      <w:r>
        <w:rPr>
          <w:spacing w:val="-4"/>
          <w:w w:val="105"/>
          <w:sz w:val="21"/>
        </w:rPr>
        <w:t> </w:t>
      </w:r>
      <w:r>
        <w:rPr>
          <w:w w:val="105"/>
          <w:sz w:val="21"/>
        </w:rPr>
        <w:t>in</w:t>
      </w:r>
      <w:r>
        <w:rPr>
          <w:spacing w:val="-4"/>
          <w:w w:val="105"/>
          <w:sz w:val="21"/>
        </w:rPr>
        <w:t> </w:t>
      </w:r>
      <w:r>
        <w:rPr>
          <w:w w:val="105"/>
          <w:sz w:val="21"/>
        </w:rPr>
        <w:t>the</w:t>
      </w:r>
      <w:r>
        <w:rPr>
          <w:spacing w:val="-4"/>
          <w:w w:val="105"/>
          <w:sz w:val="21"/>
        </w:rPr>
        <w:t> </w:t>
      </w:r>
      <w:r>
        <w:rPr>
          <w:w w:val="105"/>
          <w:sz w:val="21"/>
        </w:rPr>
        <w:t>presence of the </w:t>
      </w:r>
      <w:r>
        <w:rPr>
          <w:spacing w:val="-4"/>
          <w:w w:val="105"/>
          <w:sz w:val="21"/>
        </w:rPr>
        <w:t>will-maker, </w:t>
      </w:r>
      <w:r>
        <w:rPr>
          <w:w w:val="105"/>
          <w:sz w:val="21"/>
        </w:rPr>
        <w:t>but </w:t>
      </w:r>
      <w:r>
        <w:rPr>
          <w:spacing w:val="-2"/>
          <w:w w:val="105"/>
          <w:sz w:val="21"/>
        </w:rPr>
        <w:t>not </w:t>
      </w:r>
      <w:r>
        <w:rPr>
          <w:w w:val="105"/>
          <w:sz w:val="21"/>
        </w:rPr>
        <w:t>necessarily in each </w:t>
      </w:r>
      <w:r>
        <w:rPr>
          <w:spacing w:val="-3"/>
          <w:w w:val="105"/>
          <w:sz w:val="21"/>
        </w:rPr>
        <w:t>other’s</w:t>
      </w:r>
      <w:r>
        <w:rPr>
          <w:spacing w:val="31"/>
          <w:w w:val="105"/>
          <w:sz w:val="21"/>
        </w:rPr>
        <w:t> </w:t>
      </w:r>
      <w:r>
        <w:rPr>
          <w:spacing w:val="-5"/>
          <w:w w:val="105"/>
          <w:sz w:val="21"/>
        </w:rPr>
        <w:t>presence.</w:t>
      </w:r>
      <w:r>
        <w:rPr>
          <w:spacing w:val="-5"/>
          <w:w w:val="105"/>
          <w:position w:val="7"/>
          <w:sz w:val="12"/>
        </w:rPr>
        <w:t>1</w:t>
      </w:r>
    </w:p>
    <w:p>
      <w:pPr>
        <w:pStyle w:val="ListParagraph"/>
        <w:numPr>
          <w:ilvl w:val="1"/>
          <w:numId w:val="22"/>
        </w:numPr>
        <w:tabs>
          <w:tab w:pos="2380" w:val="left" w:leader="none"/>
          <w:tab w:pos="2381" w:val="left" w:leader="none"/>
        </w:tabs>
        <w:spacing w:line="242" w:lineRule="auto" w:before="125" w:after="0"/>
        <w:ind w:left="2381" w:right="1848" w:hanging="794"/>
        <w:jc w:val="left"/>
        <w:rPr>
          <w:sz w:val="21"/>
        </w:rPr>
      </w:pPr>
      <w:r>
        <w:rPr>
          <w:w w:val="105"/>
          <w:sz w:val="21"/>
        </w:rPr>
        <w:t>The witness must be able </w:t>
      </w:r>
      <w:r>
        <w:rPr>
          <w:spacing w:val="-3"/>
          <w:w w:val="105"/>
          <w:sz w:val="21"/>
        </w:rPr>
        <w:t>to </w:t>
      </w:r>
      <w:r>
        <w:rPr>
          <w:w w:val="105"/>
          <w:sz w:val="21"/>
        </w:rPr>
        <w:t>see the </w:t>
      </w:r>
      <w:r>
        <w:rPr>
          <w:spacing w:val="-3"/>
          <w:w w:val="105"/>
          <w:sz w:val="21"/>
        </w:rPr>
        <w:t>will-maker sign </w:t>
      </w:r>
      <w:r>
        <w:rPr>
          <w:w w:val="105"/>
          <w:sz w:val="21"/>
        </w:rPr>
        <w:t>the document, but does </w:t>
      </w:r>
      <w:r>
        <w:rPr>
          <w:spacing w:val="-2"/>
          <w:w w:val="105"/>
          <w:sz w:val="21"/>
        </w:rPr>
        <w:t>not </w:t>
      </w:r>
      <w:r>
        <w:rPr>
          <w:w w:val="105"/>
          <w:sz w:val="21"/>
        </w:rPr>
        <w:t>need </w:t>
      </w:r>
      <w:r>
        <w:rPr>
          <w:spacing w:val="-3"/>
          <w:w w:val="105"/>
          <w:sz w:val="21"/>
        </w:rPr>
        <w:t>to </w:t>
      </w:r>
      <w:r>
        <w:rPr>
          <w:w w:val="105"/>
          <w:sz w:val="21"/>
        </w:rPr>
        <w:t>know </w:t>
      </w:r>
      <w:r>
        <w:rPr>
          <w:spacing w:val="-3"/>
          <w:w w:val="105"/>
          <w:sz w:val="21"/>
        </w:rPr>
        <w:t>that </w:t>
      </w:r>
      <w:r>
        <w:rPr>
          <w:w w:val="105"/>
          <w:sz w:val="21"/>
        </w:rPr>
        <w:t>the document is a </w:t>
      </w:r>
      <w:r>
        <w:rPr>
          <w:spacing w:val="-3"/>
          <w:w w:val="105"/>
          <w:sz w:val="21"/>
        </w:rPr>
        <w:t>will.</w:t>
      </w:r>
      <w:r>
        <w:rPr>
          <w:spacing w:val="-3"/>
          <w:w w:val="105"/>
          <w:position w:val="7"/>
          <w:sz w:val="12"/>
        </w:rPr>
        <w:t>2 </w:t>
      </w:r>
      <w:r>
        <w:rPr>
          <w:w w:val="105"/>
          <w:sz w:val="21"/>
        </w:rPr>
        <w:t>A witness can be </w:t>
      </w:r>
      <w:r>
        <w:rPr>
          <w:spacing w:val="-3"/>
          <w:w w:val="105"/>
          <w:sz w:val="21"/>
        </w:rPr>
        <w:t>any competent adult </w:t>
      </w:r>
      <w:r>
        <w:rPr>
          <w:w w:val="105"/>
          <w:sz w:val="21"/>
        </w:rPr>
        <w:t>capable</w:t>
      </w:r>
      <w:r>
        <w:rPr>
          <w:spacing w:val="11"/>
          <w:w w:val="105"/>
          <w:sz w:val="21"/>
        </w:rPr>
        <w:t> </w:t>
      </w:r>
      <w:r>
        <w:rPr>
          <w:w w:val="105"/>
          <w:sz w:val="21"/>
        </w:rPr>
        <w:t>of</w:t>
      </w:r>
    </w:p>
    <w:p>
      <w:pPr>
        <w:pStyle w:val="BodyText"/>
        <w:spacing w:before="2"/>
        <w:ind w:left="2381"/>
        <w:rPr>
          <w:sz w:val="12"/>
        </w:rPr>
      </w:pPr>
      <w:r>
        <w:rPr>
          <w:w w:val="105"/>
        </w:rPr>
        <w:t>sight, including a beneficiary under the will, and no particular qualifications are required.</w:t>
      </w:r>
      <w:r>
        <w:rPr>
          <w:w w:val="105"/>
          <w:position w:val="7"/>
          <w:sz w:val="12"/>
        </w:rPr>
        <w:t>3</w:t>
      </w:r>
    </w:p>
    <w:p>
      <w:pPr>
        <w:pStyle w:val="ListParagraph"/>
        <w:numPr>
          <w:ilvl w:val="1"/>
          <w:numId w:val="22"/>
        </w:numPr>
        <w:tabs>
          <w:tab w:pos="2380" w:val="left" w:leader="none"/>
          <w:tab w:pos="2381" w:val="left" w:leader="none"/>
        </w:tabs>
        <w:spacing w:line="242" w:lineRule="auto" w:before="124" w:after="0"/>
        <w:ind w:left="2381" w:right="1804" w:hanging="794"/>
        <w:jc w:val="left"/>
        <w:rPr>
          <w:sz w:val="21"/>
        </w:rPr>
      </w:pPr>
      <w:r>
        <w:rPr>
          <w:spacing w:val="-3"/>
          <w:sz w:val="21"/>
        </w:rPr>
        <w:t>Even </w:t>
      </w:r>
      <w:r>
        <w:rPr>
          <w:sz w:val="21"/>
        </w:rPr>
        <w:t>if the </w:t>
      </w:r>
      <w:r>
        <w:rPr>
          <w:spacing w:val="-3"/>
          <w:sz w:val="21"/>
        </w:rPr>
        <w:t>will-maker </w:t>
      </w:r>
      <w:r>
        <w:rPr>
          <w:sz w:val="21"/>
        </w:rPr>
        <w:t>does </w:t>
      </w:r>
      <w:r>
        <w:rPr>
          <w:spacing w:val="-2"/>
          <w:sz w:val="21"/>
        </w:rPr>
        <w:t>not </w:t>
      </w:r>
      <w:r>
        <w:rPr>
          <w:spacing w:val="-3"/>
          <w:sz w:val="21"/>
        </w:rPr>
        <w:t>follow </w:t>
      </w:r>
      <w:r>
        <w:rPr>
          <w:sz w:val="21"/>
        </w:rPr>
        <w:t>these </w:t>
      </w:r>
      <w:r>
        <w:rPr>
          <w:spacing w:val="-3"/>
          <w:sz w:val="21"/>
        </w:rPr>
        <w:t>formalities, </w:t>
      </w:r>
      <w:r>
        <w:rPr>
          <w:sz w:val="21"/>
        </w:rPr>
        <w:t>the </w:t>
      </w:r>
      <w:r>
        <w:rPr>
          <w:spacing w:val="-3"/>
          <w:sz w:val="21"/>
        </w:rPr>
        <w:t>will may </w:t>
      </w:r>
      <w:r>
        <w:rPr>
          <w:sz w:val="21"/>
        </w:rPr>
        <w:t>still be admitted </w:t>
      </w:r>
      <w:r>
        <w:rPr>
          <w:spacing w:val="-3"/>
          <w:sz w:val="21"/>
        </w:rPr>
        <w:t>to probate </w:t>
      </w:r>
      <w:r>
        <w:rPr>
          <w:sz w:val="21"/>
        </w:rPr>
        <w:t>where the </w:t>
      </w:r>
      <w:r>
        <w:rPr>
          <w:spacing w:val="-3"/>
          <w:sz w:val="21"/>
        </w:rPr>
        <w:t>Supreme Court </w:t>
      </w:r>
      <w:r>
        <w:rPr>
          <w:sz w:val="21"/>
        </w:rPr>
        <w:t>is satisfied </w:t>
      </w:r>
      <w:r>
        <w:rPr>
          <w:spacing w:val="-3"/>
          <w:sz w:val="21"/>
        </w:rPr>
        <w:t>that </w:t>
      </w:r>
      <w:r>
        <w:rPr>
          <w:sz w:val="21"/>
        </w:rPr>
        <w:t>the person </w:t>
      </w:r>
      <w:r>
        <w:rPr>
          <w:spacing w:val="-3"/>
          <w:sz w:val="21"/>
        </w:rPr>
        <w:t>‘intended </w:t>
      </w:r>
      <w:r>
        <w:rPr>
          <w:sz w:val="21"/>
        </w:rPr>
        <w:t>the</w:t>
      </w:r>
      <w:r>
        <w:rPr>
          <w:spacing w:val="43"/>
          <w:sz w:val="21"/>
        </w:rPr>
        <w:t> </w:t>
      </w:r>
      <w:r>
        <w:rPr>
          <w:sz w:val="21"/>
        </w:rPr>
        <w:t>document</w:t>
      </w:r>
    </w:p>
    <w:p>
      <w:pPr>
        <w:pStyle w:val="BodyText"/>
        <w:spacing w:line="242" w:lineRule="auto" w:before="2"/>
        <w:ind w:left="2381" w:right="1826" w:hanging="1"/>
      </w:pPr>
      <w:r>
        <w:rPr>
          <w:spacing w:val="-3"/>
        </w:rPr>
        <w:t>to </w:t>
      </w:r>
      <w:r>
        <w:rPr/>
        <w:t>be his or her </w:t>
      </w:r>
      <w:r>
        <w:rPr>
          <w:spacing w:val="-5"/>
        </w:rPr>
        <w:t>will’.</w:t>
      </w:r>
      <w:r>
        <w:rPr>
          <w:spacing w:val="-5"/>
          <w:position w:val="7"/>
          <w:sz w:val="12"/>
        </w:rPr>
        <w:t>4 </w:t>
      </w:r>
      <w:r>
        <w:rPr/>
        <w:t>This is </w:t>
      </w:r>
      <w:r>
        <w:rPr>
          <w:spacing w:val="-3"/>
        </w:rPr>
        <w:t>referred to </w:t>
      </w:r>
      <w:r>
        <w:rPr/>
        <w:t>as a </w:t>
      </w:r>
      <w:r>
        <w:rPr>
          <w:spacing w:val="-3"/>
        </w:rPr>
        <w:t>dispensing </w:t>
      </w:r>
      <w:r>
        <w:rPr>
          <w:spacing w:val="-5"/>
        </w:rPr>
        <w:t>power, </w:t>
      </w:r>
      <w:r>
        <w:rPr/>
        <w:t>as the </w:t>
      </w:r>
      <w:r>
        <w:rPr>
          <w:spacing w:val="-3"/>
        </w:rPr>
        <w:t>Court may  </w:t>
      </w:r>
      <w:r>
        <w:rPr/>
        <w:t>dispense with the </w:t>
      </w:r>
      <w:r>
        <w:rPr>
          <w:spacing w:val="-3"/>
        </w:rPr>
        <w:t>formal requirements </w:t>
      </w:r>
      <w:r>
        <w:rPr/>
        <w:t>which otherwise apply in the </w:t>
      </w:r>
      <w:r>
        <w:rPr>
          <w:spacing w:val="-3"/>
        </w:rPr>
        <w:t>making </w:t>
      </w:r>
      <w:r>
        <w:rPr/>
        <w:t>of a</w:t>
      </w:r>
      <w:r>
        <w:rPr>
          <w:spacing w:val="35"/>
        </w:rPr>
        <w:t> </w:t>
      </w:r>
      <w:r>
        <w:rPr>
          <w:spacing w:val="-3"/>
        </w:rPr>
        <w:t>will.</w:t>
      </w:r>
    </w:p>
    <w:p>
      <w:pPr>
        <w:pStyle w:val="BodyText"/>
        <w:spacing w:before="3"/>
        <w:rPr>
          <w:sz w:val="20"/>
        </w:rPr>
      </w:pPr>
      <w:r>
        <w:rPr/>
        <w:pict>
          <v:line style="position:absolute;mso-position-horizontal-relative:page;mso-position-vertical-relative:paragraph;z-index:-328;mso-wrap-distance-left:0;mso-wrap-distance-right:0" from="79.370102pt,14.840632pt" to="515.905102pt,14.840632pt" stroked="true" strokeweight="1pt" strokecolor="#f9ceca">
            <v:stroke dashstyle="solid"/>
            <w10:wrap type="topAndBottom"/>
          </v:line>
        </w:pict>
      </w:r>
    </w:p>
    <w:p>
      <w:pPr>
        <w:pStyle w:val="ListParagraph"/>
        <w:numPr>
          <w:ilvl w:val="0"/>
          <w:numId w:val="24"/>
        </w:numPr>
        <w:tabs>
          <w:tab w:pos="2380" w:val="left" w:leader="none"/>
          <w:tab w:pos="2382" w:val="left" w:leader="none"/>
        </w:tabs>
        <w:spacing w:line="240" w:lineRule="auto" w:before="117" w:after="0"/>
        <w:ind w:left="2381" w:right="0" w:hanging="794"/>
        <w:jc w:val="left"/>
        <w:rPr>
          <w:sz w:val="13"/>
        </w:rPr>
      </w:pPr>
      <w:r>
        <w:rPr>
          <w:i/>
          <w:w w:val="105"/>
          <w:sz w:val="13"/>
        </w:rPr>
        <w:t>Wills Act </w:t>
      </w:r>
      <w:r>
        <w:rPr>
          <w:i/>
          <w:spacing w:val="-3"/>
          <w:w w:val="105"/>
          <w:sz w:val="13"/>
        </w:rPr>
        <w:t>1997 </w:t>
      </w:r>
      <w:r>
        <w:rPr>
          <w:spacing w:val="2"/>
          <w:w w:val="105"/>
          <w:sz w:val="13"/>
        </w:rPr>
        <w:t>(Vic) </w:t>
      </w:r>
      <w:r>
        <w:rPr>
          <w:w w:val="105"/>
          <w:sz w:val="13"/>
        </w:rPr>
        <w:t>s</w:t>
      </w:r>
      <w:r>
        <w:rPr>
          <w:spacing w:val="21"/>
          <w:w w:val="105"/>
          <w:sz w:val="13"/>
        </w:rPr>
        <w:t> </w:t>
      </w:r>
      <w:r>
        <w:rPr>
          <w:spacing w:val="-5"/>
          <w:w w:val="105"/>
          <w:sz w:val="13"/>
        </w:rPr>
        <w:t>7.</w:t>
      </w:r>
    </w:p>
    <w:p>
      <w:pPr>
        <w:pStyle w:val="ListParagraph"/>
        <w:numPr>
          <w:ilvl w:val="0"/>
          <w:numId w:val="24"/>
        </w:numPr>
        <w:tabs>
          <w:tab w:pos="2380" w:val="left" w:leader="none"/>
          <w:tab w:pos="2382" w:val="left" w:leader="none"/>
        </w:tabs>
        <w:spacing w:line="240" w:lineRule="auto" w:before="1" w:after="0"/>
        <w:ind w:left="2381" w:right="0" w:hanging="794"/>
        <w:jc w:val="left"/>
        <w:rPr>
          <w:sz w:val="13"/>
        </w:rPr>
      </w:pPr>
      <w:r>
        <w:rPr>
          <w:w w:val="105"/>
          <w:sz w:val="13"/>
        </w:rPr>
        <w:t>Ibid ss 8,</w:t>
      </w:r>
      <w:r>
        <w:rPr>
          <w:spacing w:val="13"/>
          <w:w w:val="105"/>
          <w:sz w:val="13"/>
        </w:rPr>
        <w:t> </w:t>
      </w:r>
      <w:r>
        <w:rPr>
          <w:w w:val="105"/>
          <w:sz w:val="13"/>
        </w:rPr>
        <w:t>10.</w:t>
      </w:r>
    </w:p>
    <w:p>
      <w:pPr>
        <w:pStyle w:val="ListParagraph"/>
        <w:numPr>
          <w:ilvl w:val="0"/>
          <w:numId w:val="24"/>
        </w:numPr>
        <w:tabs>
          <w:tab w:pos="2380" w:val="left" w:leader="none"/>
          <w:tab w:pos="2382" w:val="left" w:leader="none"/>
        </w:tabs>
        <w:spacing w:line="240" w:lineRule="auto" w:before="2" w:after="0"/>
        <w:ind w:left="2381" w:right="0" w:hanging="794"/>
        <w:jc w:val="left"/>
        <w:rPr>
          <w:sz w:val="13"/>
        </w:rPr>
      </w:pPr>
      <w:r>
        <w:rPr/>
        <w:pict>
          <v:shape style="position:absolute;margin-left:36pt;margin-top:3.655463pt;width:6.7pt;height:14.25pt;mso-position-horizontal-relative:page;mso-position-vertical-relative:paragraph;z-index:1744" type="#_x0000_t202" filled="false" stroked="false">
            <v:textbox inset="0,0,0,0">
              <w:txbxContent>
                <w:p>
                  <w:pPr>
                    <w:spacing w:line="284" w:lineRule="exact" w:before="0"/>
                    <w:ind w:left="0" w:right="0" w:firstLine="0"/>
                    <w:jc w:val="left"/>
                    <w:rPr>
                      <w:b/>
                      <w:sz w:val="24"/>
                    </w:rPr>
                  </w:pPr>
                  <w:r>
                    <w:rPr>
                      <w:b/>
                      <w:color w:val="EC5A4F"/>
                      <w:w w:val="109"/>
                      <w:sz w:val="24"/>
                    </w:rPr>
                    <w:t>6</w:t>
                  </w:r>
                </w:p>
              </w:txbxContent>
            </v:textbox>
            <w10:wrap type="none"/>
          </v:shape>
        </w:pict>
      </w:r>
      <w:r>
        <w:rPr>
          <w:w w:val="105"/>
          <w:sz w:val="13"/>
        </w:rPr>
        <w:t>Ibid ss</w:t>
      </w:r>
      <w:r>
        <w:rPr>
          <w:spacing w:val="9"/>
          <w:w w:val="105"/>
          <w:sz w:val="13"/>
        </w:rPr>
        <w:t> </w:t>
      </w:r>
      <w:r>
        <w:rPr>
          <w:spacing w:val="-3"/>
          <w:w w:val="105"/>
          <w:sz w:val="13"/>
        </w:rPr>
        <w:t>10–11.</w:t>
      </w:r>
    </w:p>
    <w:p>
      <w:pPr>
        <w:pStyle w:val="ListParagraph"/>
        <w:numPr>
          <w:ilvl w:val="0"/>
          <w:numId w:val="24"/>
        </w:numPr>
        <w:tabs>
          <w:tab w:pos="2380" w:val="left" w:leader="none"/>
          <w:tab w:pos="2382" w:val="left" w:leader="none"/>
        </w:tabs>
        <w:spacing w:line="240" w:lineRule="auto" w:before="1" w:after="0"/>
        <w:ind w:left="2381" w:right="0" w:hanging="794"/>
        <w:jc w:val="left"/>
        <w:rPr>
          <w:sz w:val="13"/>
        </w:rPr>
      </w:pPr>
      <w:r>
        <w:rPr>
          <w:sz w:val="13"/>
        </w:rPr>
        <w:t>Ibid s</w:t>
      </w:r>
      <w:r>
        <w:rPr>
          <w:spacing w:val="12"/>
          <w:sz w:val="13"/>
        </w:rPr>
        <w:t> </w:t>
      </w:r>
      <w:r>
        <w:rPr>
          <w:sz w:val="13"/>
        </w:rPr>
        <w:t>9.</w:t>
      </w:r>
    </w:p>
    <w:p>
      <w:pPr>
        <w:spacing w:after="0" w:line="240" w:lineRule="auto"/>
        <w:jc w:val="left"/>
        <w:rPr>
          <w:sz w:val="13"/>
        </w:rPr>
        <w:sectPr>
          <w:pgSz w:w="11910" w:h="16840"/>
          <w:pgMar w:header="550" w:footer="0" w:top="1560" w:bottom="280" w:left="0" w:right="0"/>
        </w:sectPr>
      </w:pPr>
    </w:p>
    <w:p>
      <w:pPr>
        <w:pStyle w:val="BodyText"/>
        <w:rPr>
          <w:sz w:val="20"/>
        </w:rPr>
      </w:pPr>
    </w:p>
    <w:p>
      <w:pPr>
        <w:pStyle w:val="BodyText"/>
        <w:rPr>
          <w:sz w:val="19"/>
        </w:rPr>
      </w:pPr>
    </w:p>
    <w:p>
      <w:pPr>
        <w:pStyle w:val="ListParagraph"/>
        <w:numPr>
          <w:ilvl w:val="1"/>
          <w:numId w:val="22"/>
        </w:numPr>
        <w:tabs>
          <w:tab w:pos="2381" w:val="left" w:leader="none"/>
          <w:tab w:pos="2382" w:val="left" w:leader="none"/>
        </w:tabs>
        <w:spacing w:line="242" w:lineRule="auto" w:before="91" w:after="0"/>
        <w:ind w:left="2381" w:right="1879" w:hanging="794"/>
        <w:jc w:val="left"/>
        <w:rPr>
          <w:sz w:val="12"/>
        </w:rPr>
      </w:pPr>
      <w:r>
        <w:rPr>
          <w:sz w:val="21"/>
        </w:rPr>
        <w:t>Witnessing </w:t>
      </w:r>
      <w:r>
        <w:rPr>
          <w:spacing w:val="-3"/>
          <w:sz w:val="21"/>
        </w:rPr>
        <w:t>requirements </w:t>
      </w:r>
      <w:r>
        <w:rPr>
          <w:sz w:val="21"/>
        </w:rPr>
        <w:t>in Victorian law </w:t>
      </w:r>
      <w:r>
        <w:rPr>
          <w:spacing w:val="-3"/>
          <w:sz w:val="21"/>
        </w:rPr>
        <w:t>are  consistent  </w:t>
      </w:r>
      <w:r>
        <w:rPr>
          <w:sz w:val="21"/>
        </w:rPr>
        <w:t>with  the  </w:t>
      </w:r>
      <w:r>
        <w:rPr>
          <w:spacing w:val="-3"/>
          <w:sz w:val="21"/>
        </w:rPr>
        <w:t>National  Committee for Uniform Succession </w:t>
      </w:r>
      <w:r>
        <w:rPr>
          <w:sz w:val="21"/>
        </w:rPr>
        <w:t>Law’s </w:t>
      </w:r>
      <w:r>
        <w:rPr>
          <w:spacing w:val="-3"/>
          <w:sz w:val="21"/>
        </w:rPr>
        <w:t>recommendations,</w:t>
      </w:r>
      <w:r>
        <w:rPr>
          <w:spacing w:val="-3"/>
          <w:position w:val="7"/>
          <w:sz w:val="12"/>
        </w:rPr>
        <w:t>5 </w:t>
      </w:r>
      <w:r>
        <w:rPr>
          <w:sz w:val="21"/>
        </w:rPr>
        <w:t>as </w:t>
      </w:r>
      <w:r>
        <w:rPr>
          <w:spacing w:val="-3"/>
          <w:sz w:val="21"/>
        </w:rPr>
        <w:t>well </w:t>
      </w:r>
      <w:r>
        <w:rPr>
          <w:sz w:val="21"/>
        </w:rPr>
        <w:t>as the </w:t>
      </w:r>
      <w:r>
        <w:rPr>
          <w:spacing w:val="-3"/>
          <w:sz w:val="21"/>
        </w:rPr>
        <w:t>requirements </w:t>
      </w:r>
      <w:r>
        <w:rPr>
          <w:sz w:val="21"/>
        </w:rPr>
        <w:t>in </w:t>
      </w:r>
      <w:r>
        <w:rPr>
          <w:spacing w:val="-3"/>
          <w:sz w:val="21"/>
        </w:rPr>
        <w:t>other </w:t>
      </w:r>
      <w:r>
        <w:rPr>
          <w:sz w:val="21"/>
        </w:rPr>
        <w:t>states and </w:t>
      </w:r>
      <w:r>
        <w:rPr>
          <w:spacing w:val="-3"/>
          <w:sz w:val="21"/>
        </w:rPr>
        <w:t>territories.</w:t>
      </w:r>
      <w:r>
        <w:rPr>
          <w:spacing w:val="-3"/>
          <w:position w:val="7"/>
          <w:sz w:val="12"/>
        </w:rPr>
        <w:t>6 </w:t>
      </w:r>
      <w:r>
        <w:rPr>
          <w:sz w:val="21"/>
        </w:rPr>
        <w:t>The </w:t>
      </w:r>
      <w:r>
        <w:rPr>
          <w:spacing w:val="-3"/>
          <w:sz w:val="21"/>
        </w:rPr>
        <w:t>requirements </w:t>
      </w:r>
      <w:r>
        <w:rPr>
          <w:sz w:val="21"/>
        </w:rPr>
        <w:t>in </w:t>
      </w:r>
      <w:r>
        <w:rPr>
          <w:spacing w:val="-3"/>
          <w:sz w:val="21"/>
        </w:rPr>
        <w:t>all  Australian  </w:t>
      </w:r>
      <w:r>
        <w:rPr>
          <w:sz w:val="21"/>
        </w:rPr>
        <w:t>jurisdictions </w:t>
      </w:r>
      <w:r>
        <w:rPr>
          <w:spacing w:val="-3"/>
          <w:sz w:val="21"/>
        </w:rPr>
        <w:t>have</w:t>
      </w:r>
      <w:r>
        <w:rPr>
          <w:spacing w:val="41"/>
          <w:sz w:val="21"/>
        </w:rPr>
        <w:t> </w:t>
      </w:r>
      <w:r>
        <w:rPr>
          <w:sz w:val="21"/>
        </w:rPr>
        <w:t>been </w:t>
      </w:r>
      <w:r>
        <w:rPr>
          <w:spacing w:val="-2"/>
          <w:sz w:val="21"/>
        </w:rPr>
        <w:t>relaxed </w:t>
      </w:r>
      <w:r>
        <w:rPr>
          <w:sz w:val="21"/>
        </w:rPr>
        <w:t>in</w:t>
      </w:r>
      <w:r>
        <w:rPr>
          <w:spacing w:val="10"/>
          <w:sz w:val="21"/>
        </w:rPr>
        <w:t> </w:t>
      </w:r>
      <w:r>
        <w:rPr>
          <w:spacing w:val="-3"/>
          <w:sz w:val="21"/>
        </w:rPr>
        <w:t>recent</w:t>
      </w:r>
      <w:r>
        <w:rPr>
          <w:spacing w:val="10"/>
          <w:sz w:val="21"/>
        </w:rPr>
        <w:t> </w:t>
      </w:r>
      <w:r>
        <w:rPr>
          <w:sz w:val="21"/>
        </w:rPr>
        <w:t>years</w:t>
      </w:r>
      <w:r>
        <w:rPr>
          <w:spacing w:val="11"/>
          <w:sz w:val="21"/>
        </w:rPr>
        <w:t> </w:t>
      </w:r>
      <w:r>
        <w:rPr>
          <w:spacing w:val="-3"/>
          <w:sz w:val="21"/>
        </w:rPr>
        <w:t>to</w:t>
      </w:r>
      <w:r>
        <w:rPr>
          <w:spacing w:val="10"/>
          <w:sz w:val="21"/>
        </w:rPr>
        <w:t> </w:t>
      </w:r>
      <w:r>
        <w:rPr>
          <w:spacing w:val="-4"/>
          <w:sz w:val="21"/>
        </w:rPr>
        <w:t>make</w:t>
      </w:r>
      <w:r>
        <w:rPr>
          <w:spacing w:val="11"/>
          <w:sz w:val="21"/>
        </w:rPr>
        <w:t> </w:t>
      </w:r>
      <w:r>
        <w:rPr>
          <w:sz w:val="21"/>
        </w:rPr>
        <w:t>it</w:t>
      </w:r>
      <w:r>
        <w:rPr>
          <w:spacing w:val="10"/>
          <w:sz w:val="21"/>
        </w:rPr>
        <w:t> </w:t>
      </w:r>
      <w:r>
        <w:rPr>
          <w:spacing w:val="-2"/>
          <w:sz w:val="21"/>
        </w:rPr>
        <w:t>easier</w:t>
      </w:r>
      <w:r>
        <w:rPr>
          <w:spacing w:val="11"/>
          <w:sz w:val="21"/>
        </w:rPr>
        <w:t> </w:t>
      </w:r>
      <w:r>
        <w:rPr>
          <w:spacing w:val="-3"/>
          <w:sz w:val="21"/>
        </w:rPr>
        <w:t>for</w:t>
      </w:r>
      <w:r>
        <w:rPr>
          <w:spacing w:val="10"/>
          <w:sz w:val="21"/>
        </w:rPr>
        <w:t> </w:t>
      </w:r>
      <w:r>
        <w:rPr>
          <w:sz w:val="21"/>
        </w:rPr>
        <w:t>people</w:t>
      </w:r>
      <w:r>
        <w:rPr>
          <w:spacing w:val="10"/>
          <w:sz w:val="21"/>
        </w:rPr>
        <w:t> </w:t>
      </w:r>
      <w:r>
        <w:rPr>
          <w:spacing w:val="-3"/>
          <w:sz w:val="21"/>
        </w:rPr>
        <w:t>to</w:t>
      </w:r>
      <w:r>
        <w:rPr>
          <w:spacing w:val="11"/>
          <w:sz w:val="21"/>
        </w:rPr>
        <w:t> </w:t>
      </w:r>
      <w:r>
        <w:rPr>
          <w:spacing w:val="-4"/>
          <w:sz w:val="21"/>
        </w:rPr>
        <w:t>make</w:t>
      </w:r>
      <w:r>
        <w:rPr>
          <w:spacing w:val="10"/>
          <w:sz w:val="21"/>
        </w:rPr>
        <w:t> </w:t>
      </w:r>
      <w:r>
        <w:rPr>
          <w:sz w:val="21"/>
        </w:rPr>
        <w:t>a</w:t>
      </w:r>
      <w:r>
        <w:rPr>
          <w:spacing w:val="11"/>
          <w:sz w:val="21"/>
        </w:rPr>
        <w:t> </w:t>
      </w:r>
      <w:r>
        <w:rPr>
          <w:spacing w:val="-3"/>
          <w:sz w:val="21"/>
        </w:rPr>
        <w:t>valid</w:t>
      </w:r>
      <w:r>
        <w:rPr>
          <w:spacing w:val="10"/>
          <w:sz w:val="21"/>
        </w:rPr>
        <w:t> </w:t>
      </w:r>
      <w:r>
        <w:rPr>
          <w:spacing w:val="-5"/>
          <w:sz w:val="21"/>
        </w:rPr>
        <w:t>will.</w:t>
      </w:r>
      <w:r>
        <w:rPr>
          <w:spacing w:val="-5"/>
          <w:position w:val="7"/>
          <w:sz w:val="12"/>
        </w:rPr>
        <w:t>7</w:t>
      </w:r>
    </w:p>
    <w:p>
      <w:pPr>
        <w:pStyle w:val="BodyText"/>
        <w:spacing w:before="1"/>
        <w:rPr>
          <w:sz w:val="25"/>
        </w:rPr>
      </w:pPr>
    </w:p>
    <w:p>
      <w:pPr>
        <w:pStyle w:val="Heading5"/>
      </w:pPr>
      <w:r>
        <w:rPr>
          <w:w w:val="115"/>
        </w:rPr>
        <w:t>Additional qualifications or requirements for witnesses</w:t>
      </w:r>
    </w:p>
    <w:p>
      <w:pPr>
        <w:pStyle w:val="ListParagraph"/>
        <w:numPr>
          <w:ilvl w:val="1"/>
          <w:numId w:val="22"/>
        </w:numPr>
        <w:tabs>
          <w:tab w:pos="2380" w:val="left" w:leader="none"/>
          <w:tab w:pos="2381" w:val="left" w:leader="none"/>
        </w:tabs>
        <w:spacing w:line="242" w:lineRule="auto" w:before="137" w:after="0"/>
        <w:ind w:left="2381" w:right="1931" w:hanging="794"/>
        <w:jc w:val="left"/>
        <w:rPr>
          <w:sz w:val="21"/>
        </w:rPr>
      </w:pPr>
      <w:r>
        <w:rPr>
          <w:sz w:val="21"/>
        </w:rPr>
        <w:t>In the </w:t>
      </w:r>
      <w:r>
        <w:rPr>
          <w:spacing w:val="-3"/>
          <w:sz w:val="21"/>
        </w:rPr>
        <w:t>consultation </w:t>
      </w:r>
      <w:r>
        <w:rPr>
          <w:sz w:val="21"/>
        </w:rPr>
        <w:t>paper on </w:t>
      </w:r>
      <w:r>
        <w:rPr>
          <w:spacing w:val="-3"/>
          <w:sz w:val="21"/>
        </w:rPr>
        <w:t>wills, </w:t>
      </w:r>
      <w:r>
        <w:rPr>
          <w:sz w:val="21"/>
        </w:rPr>
        <w:t>the </w:t>
      </w:r>
      <w:r>
        <w:rPr>
          <w:spacing w:val="-3"/>
          <w:sz w:val="21"/>
        </w:rPr>
        <w:t>Commission </w:t>
      </w:r>
      <w:r>
        <w:rPr>
          <w:spacing w:val="-2"/>
          <w:sz w:val="21"/>
        </w:rPr>
        <w:t>raised </w:t>
      </w:r>
      <w:r>
        <w:rPr>
          <w:spacing w:val="-3"/>
          <w:sz w:val="21"/>
        </w:rPr>
        <w:t>various </w:t>
      </w:r>
      <w:r>
        <w:rPr>
          <w:sz w:val="21"/>
        </w:rPr>
        <w:t>ways </w:t>
      </w:r>
      <w:r>
        <w:rPr>
          <w:spacing w:val="-3"/>
          <w:sz w:val="21"/>
        </w:rPr>
        <w:t>that </w:t>
      </w:r>
      <w:r>
        <w:rPr>
          <w:sz w:val="21"/>
        </w:rPr>
        <w:t>witnessing </w:t>
      </w:r>
      <w:r>
        <w:rPr>
          <w:spacing w:val="-3"/>
          <w:sz w:val="21"/>
        </w:rPr>
        <w:t>requirements could </w:t>
      </w:r>
      <w:r>
        <w:rPr>
          <w:sz w:val="21"/>
        </w:rPr>
        <w:t>be made stricter in order </w:t>
      </w:r>
      <w:r>
        <w:rPr>
          <w:spacing w:val="-3"/>
          <w:sz w:val="21"/>
        </w:rPr>
        <w:t>to prevent undue influence,</w:t>
      </w:r>
      <w:r>
        <w:rPr>
          <w:spacing w:val="13"/>
          <w:sz w:val="21"/>
        </w:rPr>
        <w:t> </w:t>
      </w:r>
      <w:r>
        <w:rPr>
          <w:spacing w:val="-3"/>
          <w:sz w:val="21"/>
        </w:rPr>
        <w:t>including:</w:t>
      </w:r>
    </w:p>
    <w:p>
      <w:pPr>
        <w:pStyle w:val="ListParagraph"/>
        <w:numPr>
          <w:ilvl w:val="2"/>
          <w:numId w:val="22"/>
        </w:numPr>
        <w:tabs>
          <w:tab w:pos="2721" w:val="left" w:leader="none"/>
          <w:tab w:pos="2722" w:val="left" w:leader="none"/>
        </w:tabs>
        <w:spacing w:line="242" w:lineRule="auto" w:before="122" w:after="0"/>
        <w:ind w:left="2721" w:right="1600" w:hanging="340"/>
        <w:jc w:val="left"/>
        <w:rPr>
          <w:sz w:val="21"/>
        </w:rPr>
      </w:pPr>
      <w:r>
        <w:rPr>
          <w:spacing w:val="-3"/>
          <w:w w:val="105"/>
          <w:sz w:val="21"/>
        </w:rPr>
        <w:t>requiring</w:t>
      </w:r>
      <w:r>
        <w:rPr>
          <w:spacing w:val="-8"/>
          <w:w w:val="105"/>
          <w:sz w:val="21"/>
        </w:rPr>
        <w:t> </w:t>
      </w:r>
      <w:r>
        <w:rPr>
          <w:w w:val="105"/>
          <w:sz w:val="21"/>
        </w:rPr>
        <w:t>one</w:t>
      </w:r>
      <w:r>
        <w:rPr>
          <w:spacing w:val="-7"/>
          <w:w w:val="105"/>
          <w:sz w:val="21"/>
        </w:rPr>
        <w:t> </w:t>
      </w:r>
      <w:r>
        <w:rPr>
          <w:w w:val="105"/>
          <w:sz w:val="21"/>
        </w:rPr>
        <w:t>of</w:t>
      </w:r>
      <w:r>
        <w:rPr>
          <w:spacing w:val="-7"/>
          <w:w w:val="105"/>
          <w:sz w:val="21"/>
        </w:rPr>
        <w:t> </w:t>
      </w:r>
      <w:r>
        <w:rPr>
          <w:w w:val="105"/>
          <w:sz w:val="21"/>
        </w:rPr>
        <w:t>the</w:t>
      </w:r>
      <w:r>
        <w:rPr>
          <w:spacing w:val="-7"/>
          <w:w w:val="105"/>
          <w:sz w:val="21"/>
        </w:rPr>
        <w:t> </w:t>
      </w:r>
      <w:r>
        <w:rPr>
          <w:w w:val="105"/>
          <w:sz w:val="21"/>
        </w:rPr>
        <w:t>witnesses</w:t>
      </w:r>
      <w:r>
        <w:rPr>
          <w:spacing w:val="-7"/>
          <w:w w:val="105"/>
          <w:sz w:val="21"/>
        </w:rPr>
        <w:t> </w:t>
      </w:r>
      <w:r>
        <w:rPr>
          <w:spacing w:val="-3"/>
          <w:w w:val="105"/>
          <w:sz w:val="21"/>
        </w:rPr>
        <w:t>to</w:t>
      </w:r>
      <w:r>
        <w:rPr>
          <w:spacing w:val="-7"/>
          <w:w w:val="105"/>
          <w:sz w:val="21"/>
        </w:rPr>
        <w:t> </w:t>
      </w:r>
      <w:r>
        <w:rPr>
          <w:w w:val="105"/>
          <w:sz w:val="21"/>
        </w:rPr>
        <w:t>be</w:t>
      </w:r>
      <w:r>
        <w:rPr>
          <w:spacing w:val="-7"/>
          <w:w w:val="105"/>
          <w:sz w:val="21"/>
        </w:rPr>
        <w:t> </w:t>
      </w:r>
      <w:r>
        <w:rPr>
          <w:w w:val="105"/>
          <w:sz w:val="21"/>
        </w:rPr>
        <w:t>a</w:t>
      </w:r>
      <w:r>
        <w:rPr>
          <w:spacing w:val="-7"/>
          <w:w w:val="105"/>
          <w:sz w:val="21"/>
        </w:rPr>
        <w:t> </w:t>
      </w:r>
      <w:r>
        <w:rPr>
          <w:w w:val="105"/>
          <w:sz w:val="21"/>
        </w:rPr>
        <w:t>person</w:t>
      </w:r>
      <w:r>
        <w:rPr>
          <w:spacing w:val="-8"/>
          <w:w w:val="105"/>
          <w:sz w:val="21"/>
        </w:rPr>
        <w:t> </w:t>
      </w:r>
      <w:r>
        <w:rPr>
          <w:w w:val="105"/>
          <w:sz w:val="21"/>
        </w:rPr>
        <w:t>who</w:t>
      </w:r>
      <w:r>
        <w:rPr>
          <w:spacing w:val="-7"/>
          <w:w w:val="105"/>
          <w:sz w:val="21"/>
        </w:rPr>
        <w:t> </w:t>
      </w:r>
      <w:r>
        <w:rPr>
          <w:w w:val="105"/>
          <w:sz w:val="21"/>
        </w:rPr>
        <w:t>is</w:t>
      </w:r>
      <w:r>
        <w:rPr>
          <w:spacing w:val="-7"/>
          <w:w w:val="105"/>
          <w:sz w:val="21"/>
        </w:rPr>
        <w:t> </w:t>
      </w:r>
      <w:r>
        <w:rPr>
          <w:w w:val="105"/>
          <w:sz w:val="21"/>
        </w:rPr>
        <w:t>authorised</w:t>
      </w:r>
      <w:r>
        <w:rPr>
          <w:spacing w:val="-7"/>
          <w:w w:val="105"/>
          <w:sz w:val="21"/>
        </w:rPr>
        <w:t> </w:t>
      </w:r>
      <w:r>
        <w:rPr>
          <w:spacing w:val="-3"/>
          <w:w w:val="105"/>
          <w:sz w:val="21"/>
        </w:rPr>
        <w:t>to</w:t>
      </w:r>
      <w:r>
        <w:rPr>
          <w:spacing w:val="-7"/>
          <w:w w:val="105"/>
          <w:sz w:val="21"/>
        </w:rPr>
        <w:t> </w:t>
      </w:r>
      <w:r>
        <w:rPr>
          <w:w w:val="105"/>
          <w:sz w:val="21"/>
        </w:rPr>
        <w:t>witness</w:t>
      </w:r>
      <w:r>
        <w:rPr>
          <w:spacing w:val="-7"/>
          <w:w w:val="105"/>
          <w:sz w:val="21"/>
        </w:rPr>
        <w:t> </w:t>
      </w:r>
      <w:r>
        <w:rPr>
          <w:w w:val="105"/>
          <w:sz w:val="21"/>
        </w:rPr>
        <w:t>a</w:t>
      </w:r>
      <w:r>
        <w:rPr>
          <w:spacing w:val="-7"/>
          <w:w w:val="105"/>
          <w:sz w:val="21"/>
        </w:rPr>
        <w:t> </w:t>
      </w:r>
      <w:r>
        <w:rPr>
          <w:w w:val="105"/>
          <w:sz w:val="21"/>
        </w:rPr>
        <w:t>statutory </w:t>
      </w:r>
      <w:r>
        <w:rPr>
          <w:spacing w:val="-3"/>
          <w:w w:val="105"/>
          <w:sz w:val="21"/>
        </w:rPr>
        <w:t>declaration</w:t>
      </w:r>
    </w:p>
    <w:p>
      <w:pPr>
        <w:pStyle w:val="ListParagraph"/>
        <w:numPr>
          <w:ilvl w:val="2"/>
          <w:numId w:val="22"/>
        </w:numPr>
        <w:tabs>
          <w:tab w:pos="2721" w:val="left" w:leader="none"/>
          <w:tab w:pos="2722" w:val="left" w:leader="none"/>
        </w:tabs>
        <w:spacing w:line="242" w:lineRule="auto" w:before="123" w:after="0"/>
        <w:ind w:left="2721" w:right="2321" w:hanging="340"/>
        <w:jc w:val="left"/>
        <w:rPr>
          <w:sz w:val="21"/>
        </w:rPr>
      </w:pPr>
      <w:r>
        <w:rPr>
          <w:spacing w:val="-3"/>
          <w:sz w:val="21"/>
        </w:rPr>
        <w:t>requiring </w:t>
      </w:r>
      <w:r>
        <w:rPr>
          <w:sz w:val="21"/>
        </w:rPr>
        <w:t>the witness </w:t>
      </w:r>
      <w:r>
        <w:rPr>
          <w:spacing w:val="-3"/>
          <w:sz w:val="21"/>
        </w:rPr>
        <w:t>to </w:t>
      </w:r>
      <w:r>
        <w:rPr>
          <w:sz w:val="21"/>
        </w:rPr>
        <w:t>certify </w:t>
      </w:r>
      <w:r>
        <w:rPr>
          <w:spacing w:val="-3"/>
          <w:sz w:val="21"/>
        </w:rPr>
        <w:t>that </w:t>
      </w:r>
      <w:r>
        <w:rPr>
          <w:sz w:val="21"/>
        </w:rPr>
        <w:t>the </w:t>
      </w:r>
      <w:r>
        <w:rPr>
          <w:spacing w:val="-3"/>
          <w:sz w:val="21"/>
        </w:rPr>
        <w:t>will-maker </w:t>
      </w:r>
      <w:r>
        <w:rPr>
          <w:sz w:val="21"/>
        </w:rPr>
        <w:t>signed the </w:t>
      </w:r>
      <w:r>
        <w:rPr>
          <w:spacing w:val="-3"/>
          <w:sz w:val="21"/>
        </w:rPr>
        <w:t>will </w:t>
      </w:r>
      <w:r>
        <w:rPr>
          <w:sz w:val="21"/>
        </w:rPr>
        <w:t>freely and </w:t>
      </w:r>
      <w:r>
        <w:rPr>
          <w:spacing w:val="-3"/>
          <w:sz w:val="21"/>
        </w:rPr>
        <w:t>voluntarily </w:t>
      </w:r>
      <w:r>
        <w:rPr>
          <w:sz w:val="21"/>
        </w:rPr>
        <w:t>and appeared </w:t>
      </w:r>
      <w:r>
        <w:rPr>
          <w:spacing w:val="-3"/>
          <w:sz w:val="21"/>
        </w:rPr>
        <w:t>to have </w:t>
      </w:r>
      <w:r>
        <w:rPr>
          <w:sz w:val="21"/>
        </w:rPr>
        <w:t>the mental capacity necessary </w:t>
      </w:r>
      <w:r>
        <w:rPr>
          <w:spacing w:val="-3"/>
          <w:sz w:val="21"/>
        </w:rPr>
        <w:t>to </w:t>
      </w:r>
      <w:r>
        <w:rPr>
          <w:spacing w:val="-4"/>
          <w:sz w:val="21"/>
        </w:rPr>
        <w:t>make </w:t>
      </w:r>
      <w:r>
        <w:rPr>
          <w:sz w:val="21"/>
        </w:rPr>
        <w:t>a</w:t>
      </w:r>
      <w:r>
        <w:rPr>
          <w:spacing w:val="12"/>
          <w:sz w:val="21"/>
        </w:rPr>
        <w:t> </w:t>
      </w:r>
      <w:r>
        <w:rPr>
          <w:spacing w:val="-3"/>
          <w:sz w:val="21"/>
        </w:rPr>
        <w:t>will</w:t>
      </w:r>
    </w:p>
    <w:p>
      <w:pPr>
        <w:pStyle w:val="ListParagraph"/>
        <w:numPr>
          <w:ilvl w:val="2"/>
          <w:numId w:val="22"/>
        </w:numPr>
        <w:tabs>
          <w:tab w:pos="2721" w:val="left" w:leader="none"/>
          <w:tab w:pos="2722" w:val="left" w:leader="none"/>
        </w:tabs>
        <w:spacing w:line="242" w:lineRule="auto" w:before="122" w:after="0"/>
        <w:ind w:left="2721" w:right="2516" w:hanging="340"/>
        <w:jc w:val="left"/>
        <w:rPr>
          <w:sz w:val="21"/>
        </w:rPr>
      </w:pPr>
      <w:r>
        <w:rPr>
          <w:spacing w:val="-3"/>
          <w:w w:val="105"/>
          <w:sz w:val="21"/>
        </w:rPr>
        <w:t>requiring</w:t>
      </w:r>
      <w:r>
        <w:rPr>
          <w:spacing w:val="-9"/>
          <w:w w:val="105"/>
          <w:sz w:val="21"/>
        </w:rPr>
        <w:t> </w:t>
      </w:r>
      <w:r>
        <w:rPr>
          <w:w w:val="105"/>
          <w:sz w:val="21"/>
        </w:rPr>
        <w:t>one</w:t>
      </w:r>
      <w:r>
        <w:rPr>
          <w:spacing w:val="-9"/>
          <w:w w:val="105"/>
          <w:sz w:val="21"/>
        </w:rPr>
        <w:t> </w:t>
      </w:r>
      <w:r>
        <w:rPr>
          <w:w w:val="105"/>
          <w:sz w:val="21"/>
        </w:rPr>
        <w:t>of</w:t>
      </w:r>
      <w:r>
        <w:rPr>
          <w:spacing w:val="-9"/>
          <w:w w:val="105"/>
          <w:sz w:val="21"/>
        </w:rPr>
        <w:t> </w:t>
      </w:r>
      <w:r>
        <w:rPr>
          <w:w w:val="105"/>
          <w:sz w:val="21"/>
        </w:rPr>
        <w:t>the</w:t>
      </w:r>
      <w:r>
        <w:rPr>
          <w:spacing w:val="-9"/>
          <w:w w:val="105"/>
          <w:sz w:val="21"/>
        </w:rPr>
        <w:t> </w:t>
      </w:r>
      <w:r>
        <w:rPr>
          <w:w w:val="105"/>
          <w:sz w:val="21"/>
        </w:rPr>
        <w:t>witnesses</w:t>
      </w:r>
      <w:r>
        <w:rPr>
          <w:spacing w:val="-8"/>
          <w:w w:val="105"/>
          <w:sz w:val="21"/>
        </w:rPr>
        <w:t> </w:t>
      </w:r>
      <w:r>
        <w:rPr>
          <w:spacing w:val="-3"/>
          <w:w w:val="105"/>
          <w:sz w:val="21"/>
        </w:rPr>
        <w:t>to</w:t>
      </w:r>
      <w:r>
        <w:rPr>
          <w:spacing w:val="-9"/>
          <w:w w:val="105"/>
          <w:sz w:val="21"/>
        </w:rPr>
        <w:t> </w:t>
      </w:r>
      <w:r>
        <w:rPr>
          <w:w w:val="105"/>
          <w:sz w:val="21"/>
        </w:rPr>
        <w:t>be</w:t>
      </w:r>
      <w:r>
        <w:rPr>
          <w:spacing w:val="-9"/>
          <w:w w:val="105"/>
          <w:sz w:val="21"/>
        </w:rPr>
        <w:t> </w:t>
      </w:r>
      <w:r>
        <w:rPr>
          <w:w w:val="105"/>
          <w:sz w:val="21"/>
        </w:rPr>
        <w:t>a</w:t>
      </w:r>
      <w:r>
        <w:rPr>
          <w:spacing w:val="-9"/>
          <w:w w:val="105"/>
          <w:sz w:val="21"/>
        </w:rPr>
        <w:t> </w:t>
      </w:r>
      <w:r>
        <w:rPr>
          <w:w w:val="105"/>
          <w:sz w:val="21"/>
        </w:rPr>
        <w:t>medical</w:t>
      </w:r>
      <w:r>
        <w:rPr>
          <w:spacing w:val="-9"/>
          <w:w w:val="105"/>
          <w:sz w:val="21"/>
        </w:rPr>
        <w:t> </w:t>
      </w:r>
      <w:r>
        <w:rPr>
          <w:w w:val="105"/>
          <w:sz w:val="21"/>
        </w:rPr>
        <w:t>practitioner</w:t>
      </w:r>
      <w:r>
        <w:rPr>
          <w:spacing w:val="-8"/>
          <w:w w:val="105"/>
          <w:sz w:val="21"/>
        </w:rPr>
        <w:t> </w:t>
      </w:r>
      <w:r>
        <w:rPr>
          <w:w w:val="105"/>
          <w:sz w:val="21"/>
        </w:rPr>
        <w:t>who</w:t>
      </w:r>
      <w:r>
        <w:rPr>
          <w:spacing w:val="-9"/>
          <w:w w:val="105"/>
          <w:sz w:val="21"/>
        </w:rPr>
        <w:t> </w:t>
      </w:r>
      <w:r>
        <w:rPr>
          <w:w w:val="105"/>
          <w:sz w:val="21"/>
        </w:rPr>
        <w:t>provides</w:t>
      </w:r>
      <w:r>
        <w:rPr>
          <w:spacing w:val="-9"/>
          <w:w w:val="105"/>
          <w:sz w:val="21"/>
        </w:rPr>
        <w:t> </w:t>
      </w:r>
      <w:r>
        <w:rPr>
          <w:w w:val="105"/>
          <w:sz w:val="21"/>
        </w:rPr>
        <w:t>an assessment of the </w:t>
      </w:r>
      <w:r>
        <w:rPr>
          <w:spacing w:val="-3"/>
          <w:w w:val="105"/>
          <w:sz w:val="21"/>
        </w:rPr>
        <w:t>will-maker’s </w:t>
      </w:r>
      <w:r>
        <w:rPr>
          <w:w w:val="105"/>
          <w:sz w:val="21"/>
        </w:rPr>
        <w:t>capacity and freedom of</w:t>
      </w:r>
      <w:r>
        <w:rPr>
          <w:spacing w:val="18"/>
          <w:w w:val="105"/>
          <w:sz w:val="21"/>
        </w:rPr>
        <w:t> </w:t>
      </w:r>
      <w:r>
        <w:rPr>
          <w:spacing w:val="-3"/>
          <w:w w:val="105"/>
          <w:sz w:val="21"/>
        </w:rPr>
        <w:t>will</w:t>
      </w:r>
    </w:p>
    <w:p>
      <w:pPr>
        <w:pStyle w:val="ListParagraph"/>
        <w:numPr>
          <w:ilvl w:val="2"/>
          <w:numId w:val="22"/>
        </w:numPr>
        <w:tabs>
          <w:tab w:pos="2721" w:val="left" w:leader="none"/>
          <w:tab w:pos="2722" w:val="left" w:leader="none"/>
        </w:tabs>
        <w:spacing w:line="240" w:lineRule="auto" w:before="122" w:after="0"/>
        <w:ind w:left="2721" w:right="0" w:hanging="340"/>
        <w:jc w:val="left"/>
        <w:rPr>
          <w:sz w:val="12"/>
        </w:rPr>
      </w:pPr>
      <w:r>
        <w:rPr>
          <w:spacing w:val="-3"/>
          <w:w w:val="105"/>
          <w:sz w:val="21"/>
        </w:rPr>
        <w:t>requiring</w:t>
      </w:r>
      <w:r>
        <w:rPr>
          <w:spacing w:val="4"/>
          <w:w w:val="105"/>
          <w:sz w:val="21"/>
        </w:rPr>
        <w:t> </w:t>
      </w:r>
      <w:r>
        <w:rPr>
          <w:w w:val="105"/>
          <w:sz w:val="21"/>
        </w:rPr>
        <w:t>the</w:t>
      </w:r>
      <w:r>
        <w:rPr>
          <w:spacing w:val="5"/>
          <w:w w:val="105"/>
          <w:sz w:val="21"/>
        </w:rPr>
        <w:t> </w:t>
      </w:r>
      <w:r>
        <w:rPr>
          <w:w w:val="105"/>
          <w:sz w:val="21"/>
        </w:rPr>
        <w:t>witness</w:t>
      </w:r>
      <w:r>
        <w:rPr>
          <w:spacing w:val="5"/>
          <w:w w:val="105"/>
          <w:sz w:val="21"/>
        </w:rPr>
        <w:t> </w:t>
      </w:r>
      <w:r>
        <w:rPr>
          <w:spacing w:val="-3"/>
          <w:w w:val="105"/>
          <w:sz w:val="21"/>
        </w:rPr>
        <w:t>to</w:t>
      </w:r>
      <w:r>
        <w:rPr>
          <w:spacing w:val="4"/>
          <w:w w:val="105"/>
          <w:sz w:val="21"/>
        </w:rPr>
        <w:t> </w:t>
      </w:r>
      <w:r>
        <w:rPr>
          <w:w w:val="105"/>
          <w:sz w:val="21"/>
        </w:rPr>
        <w:t>be</w:t>
      </w:r>
      <w:r>
        <w:rPr>
          <w:spacing w:val="5"/>
          <w:w w:val="105"/>
          <w:sz w:val="21"/>
        </w:rPr>
        <w:t> </w:t>
      </w:r>
      <w:r>
        <w:rPr>
          <w:spacing w:val="-3"/>
          <w:w w:val="105"/>
          <w:sz w:val="21"/>
        </w:rPr>
        <w:t>aware</w:t>
      </w:r>
      <w:r>
        <w:rPr>
          <w:spacing w:val="5"/>
          <w:w w:val="105"/>
          <w:sz w:val="21"/>
        </w:rPr>
        <w:t> </w:t>
      </w:r>
      <w:r>
        <w:rPr>
          <w:spacing w:val="-3"/>
          <w:w w:val="105"/>
          <w:sz w:val="21"/>
        </w:rPr>
        <w:t>that</w:t>
      </w:r>
      <w:r>
        <w:rPr>
          <w:spacing w:val="5"/>
          <w:w w:val="105"/>
          <w:sz w:val="21"/>
        </w:rPr>
        <w:t> </w:t>
      </w:r>
      <w:r>
        <w:rPr>
          <w:w w:val="105"/>
          <w:sz w:val="21"/>
        </w:rPr>
        <w:t>they</w:t>
      </w:r>
      <w:r>
        <w:rPr>
          <w:spacing w:val="4"/>
          <w:w w:val="105"/>
          <w:sz w:val="21"/>
        </w:rPr>
        <w:t> </w:t>
      </w:r>
      <w:r>
        <w:rPr>
          <w:spacing w:val="-3"/>
          <w:w w:val="105"/>
          <w:sz w:val="21"/>
        </w:rPr>
        <w:t>are</w:t>
      </w:r>
      <w:r>
        <w:rPr>
          <w:spacing w:val="5"/>
          <w:w w:val="105"/>
          <w:sz w:val="21"/>
        </w:rPr>
        <w:t> </w:t>
      </w:r>
      <w:r>
        <w:rPr>
          <w:spacing w:val="-3"/>
          <w:w w:val="105"/>
          <w:sz w:val="21"/>
        </w:rPr>
        <w:t>signing</w:t>
      </w:r>
      <w:r>
        <w:rPr>
          <w:spacing w:val="5"/>
          <w:w w:val="105"/>
          <w:sz w:val="21"/>
        </w:rPr>
        <w:t> </w:t>
      </w:r>
      <w:r>
        <w:rPr>
          <w:w w:val="105"/>
          <w:sz w:val="21"/>
        </w:rPr>
        <w:t>a</w:t>
      </w:r>
      <w:r>
        <w:rPr>
          <w:spacing w:val="5"/>
          <w:w w:val="105"/>
          <w:sz w:val="21"/>
        </w:rPr>
        <w:t> </w:t>
      </w:r>
      <w:r>
        <w:rPr>
          <w:spacing w:val="-3"/>
          <w:w w:val="105"/>
          <w:sz w:val="21"/>
        </w:rPr>
        <w:t>will.</w:t>
      </w:r>
      <w:r>
        <w:rPr>
          <w:spacing w:val="-3"/>
          <w:w w:val="105"/>
          <w:position w:val="7"/>
          <w:sz w:val="12"/>
        </w:rPr>
        <w:t>8</w:t>
      </w:r>
    </w:p>
    <w:p>
      <w:pPr>
        <w:pStyle w:val="ListParagraph"/>
        <w:numPr>
          <w:ilvl w:val="1"/>
          <w:numId w:val="22"/>
        </w:numPr>
        <w:tabs>
          <w:tab w:pos="2380" w:val="left" w:leader="none"/>
          <w:tab w:pos="2381" w:val="left" w:leader="none"/>
        </w:tabs>
        <w:spacing w:line="242" w:lineRule="auto" w:before="124" w:after="0"/>
        <w:ind w:left="2381" w:right="2006" w:hanging="794"/>
        <w:jc w:val="left"/>
        <w:rPr>
          <w:sz w:val="21"/>
        </w:rPr>
      </w:pPr>
      <w:r>
        <w:rPr>
          <w:w w:val="105"/>
          <w:sz w:val="21"/>
        </w:rPr>
        <w:t>The</w:t>
      </w:r>
      <w:r>
        <w:rPr>
          <w:spacing w:val="-11"/>
          <w:w w:val="105"/>
          <w:sz w:val="21"/>
        </w:rPr>
        <w:t> </w:t>
      </w:r>
      <w:r>
        <w:rPr>
          <w:w w:val="105"/>
          <w:sz w:val="21"/>
        </w:rPr>
        <w:t>comments</w:t>
      </w:r>
      <w:r>
        <w:rPr>
          <w:spacing w:val="-11"/>
          <w:w w:val="105"/>
          <w:sz w:val="21"/>
        </w:rPr>
        <w:t> </w:t>
      </w:r>
      <w:r>
        <w:rPr>
          <w:w w:val="105"/>
          <w:sz w:val="21"/>
        </w:rPr>
        <w:t>received</w:t>
      </w:r>
      <w:r>
        <w:rPr>
          <w:spacing w:val="-11"/>
          <w:w w:val="105"/>
          <w:sz w:val="21"/>
        </w:rPr>
        <w:t> </w:t>
      </w:r>
      <w:r>
        <w:rPr>
          <w:w w:val="105"/>
          <w:sz w:val="21"/>
        </w:rPr>
        <w:t>about</w:t>
      </w:r>
      <w:r>
        <w:rPr>
          <w:spacing w:val="-11"/>
          <w:w w:val="105"/>
          <w:sz w:val="21"/>
        </w:rPr>
        <w:t> </w:t>
      </w:r>
      <w:r>
        <w:rPr>
          <w:w w:val="105"/>
          <w:sz w:val="21"/>
        </w:rPr>
        <w:t>each</w:t>
      </w:r>
      <w:r>
        <w:rPr>
          <w:spacing w:val="-11"/>
          <w:w w:val="105"/>
          <w:sz w:val="21"/>
        </w:rPr>
        <w:t> </w:t>
      </w:r>
      <w:r>
        <w:rPr>
          <w:w w:val="105"/>
          <w:sz w:val="21"/>
        </w:rPr>
        <w:t>of</w:t>
      </w:r>
      <w:r>
        <w:rPr>
          <w:spacing w:val="-11"/>
          <w:w w:val="105"/>
          <w:sz w:val="21"/>
        </w:rPr>
        <w:t> </w:t>
      </w:r>
      <w:r>
        <w:rPr>
          <w:w w:val="105"/>
          <w:sz w:val="21"/>
        </w:rPr>
        <w:t>these</w:t>
      </w:r>
      <w:r>
        <w:rPr>
          <w:spacing w:val="-11"/>
          <w:w w:val="105"/>
          <w:sz w:val="21"/>
        </w:rPr>
        <w:t> </w:t>
      </w:r>
      <w:r>
        <w:rPr>
          <w:w w:val="105"/>
          <w:sz w:val="21"/>
        </w:rPr>
        <w:t>proposals</w:t>
      </w:r>
      <w:r>
        <w:rPr>
          <w:spacing w:val="-11"/>
          <w:w w:val="105"/>
          <w:sz w:val="21"/>
        </w:rPr>
        <w:t> </w:t>
      </w:r>
      <w:r>
        <w:rPr>
          <w:spacing w:val="-3"/>
          <w:w w:val="105"/>
          <w:sz w:val="21"/>
        </w:rPr>
        <w:t>are</w:t>
      </w:r>
      <w:r>
        <w:rPr>
          <w:spacing w:val="-11"/>
          <w:w w:val="105"/>
          <w:sz w:val="21"/>
        </w:rPr>
        <w:t> </w:t>
      </w:r>
      <w:r>
        <w:rPr>
          <w:w w:val="105"/>
          <w:sz w:val="21"/>
        </w:rPr>
        <w:t>detailed</w:t>
      </w:r>
      <w:r>
        <w:rPr>
          <w:spacing w:val="-11"/>
          <w:w w:val="105"/>
          <w:sz w:val="21"/>
        </w:rPr>
        <w:t> </w:t>
      </w:r>
      <w:r>
        <w:rPr>
          <w:spacing w:val="-3"/>
          <w:w w:val="105"/>
          <w:sz w:val="21"/>
        </w:rPr>
        <w:t>below.</w:t>
      </w:r>
      <w:r>
        <w:rPr>
          <w:spacing w:val="-11"/>
          <w:w w:val="105"/>
          <w:sz w:val="21"/>
        </w:rPr>
        <w:t> </w:t>
      </w:r>
      <w:r>
        <w:rPr>
          <w:w w:val="105"/>
          <w:sz w:val="21"/>
        </w:rPr>
        <w:t>In</w:t>
      </w:r>
      <w:r>
        <w:rPr>
          <w:spacing w:val="-11"/>
          <w:w w:val="105"/>
          <w:sz w:val="21"/>
        </w:rPr>
        <w:t> </w:t>
      </w:r>
      <w:r>
        <w:rPr>
          <w:spacing w:val="-3"/>
          <w:w w:val="105"/>
          <w:sz w:val="21"/>
        </w:rPr>
        <w:t>general, </w:t>
      </w:r>
      <w:r>
        <w:rPr>
          <w:w w:val="105"/>
          <w:sz w:val="21"/>
        </w:rPr>
        <w:t>they </w:t>
      </w:r>
      <w:r>
        <w:rPr>
          <w:spacing w:val="-3"/>
          <w:w w:val="105"/>
          <w:sz w:val="21"/>
        </w:rPr>
        <w:t>conveyed </w:t>
      </w:r>
      <w:r>
        <w:rPr>
          <w:w w:val="105"/>
          <w:sz w:val="21"/>
        </w:rPr>
        <w:t>the view </w:t>
      </w:r>
      <w:r>
        <w:rPr>
          <w:spacing w:val="-3"/>
          <w:w w:val="105"/>
          <w:sz w:val="21"/>
        </w:rPr>
        <w:t>that </w:t>
      </w:r>
      <w:r>
        <w:rPr>
          <w:w w:val="105"/>
          <w:sz w:val="21"/>
        </w:rPr>
        <w:t>none of these </w:t>
      </w:r>
      <w:r>
        <w:rPr>
          <w:spacing w:val="-3"/>
          <w:w w:val="105"/>
          <w:sz w:val="21"/>
        </w:rPr>
        <w:t>potential changes </w:t>
      </w:r>
      <w:r>
        <w:rPr>
          <w:w w:val="105"/>
          <w:sz w:val="21"/>
        </w:rPr>
        <w:t>would be effective in </w:t>
      </w:r>
      <w:r>
        <w:rPr>
          <w:spacing w:val="-3"/>
          <w:w w:val="105"/>
          <w:sz w:val="21"/>
        </w:rPr>
        <w:t>preventing undue </w:t>
      </w:r>
      <w:r>
        <w:rPr>
          <w:spacing w:val="-4"/>
          <w:w w:val="105"/>
          <w:sz w:val="21"/>
        </w:rPr>
        <w:t>influence.</w:t>
      </w:r>
      <w:r>
        <w:rPr>
          <w:spacing w:val="-4"/>
          <w:w w:val="105"/>
          <w:position w:val="7"/>
          <w:sz w:val="12"/>
        </w:rPr>
        <w:t>9 </w:t>
      </w:r>
      <w:r>
        <w:rPr>
          <w:w w:val="105"/>
          <w:sz w:val="21"/>
        </w:rPr>
        <w:t>In addition </w:t>
      </w:r>
      <w:r>
        <w:rPr>
          <w:spacing w:val="-3"/>
          <w:w w:val="105"/>
          <w:sz w:val="21"/>
        </w:rPr>
        <w:t>to </w:t>
      </w:r>
      <w:r>
        <w:rPr>
          <w:w w:val="105"/>
          <w:sz w:val="21"/>
        </w:rPr>
        <w:t>this </w:t>
      </w:r>
      <w:r>
        <w:rPr>
          <w:spacing w:val="-4"/>
          <w:w w:val="105"/>
          <w:sz w:val="21"/>
        </w:rPr>
        <w:t>key </w:t>
      </w:r>
      <w:r>
        <w:rPr>
          <w:spacing w:val="-3"/>
          <w:w w:val="105"/>
          <w:sz w:val="21"/>
        </w:rPr>
        <w:t>concern, submissions </w:t>
      </w:r>
      <w:r>
        <w:rPr>
          <w:w w:val="105"/>
          <w:sz w:val="21"/>
        </w:rPr>
        <w:t>identified other negative </w:t>
      </w:r>
      <w:r>
        <w:rPr>
          <w:spacing w:val="-3"/>
          <w:w w:val="105"/>
          <w:sz w:val="21"/>
        </w:rPr>
        <w:t>consequences </w:t>
      </w:r>
      <w:r>
        <w:rPr>
          <w:w w:val="105"/>
          <w:sz w:val="21"/>
        </w:rPr>
        <w:t>of </w:t>
      </w:r>
      <w:r>
        <w:rPr>
          <w:spacing w:val="-3"/>
          <w:w w:val="105"/>
          <w:sz w:val="21"/>
        </w:rPr>
        <w:t>changing </w:t>
      </w:r>
      <w:r>
        <w:rPr>
          <w:w w:val="105"/>
          <w:sz w:val="21"/>
        </w:rPr>
        <w:t>the witnessing</w:t>
      </w:r>
      <w:r>
        <w:rPr>
          <w:spacing w:val="14"/>
          <w:w w:val="105"/>
          <w:sz w:val="21"/>
        </w:rPr>
        <w:t> </w:t>
      </w:r>
      <w:r>
        <w:rPr>
          <w:w w:val="105"/>
          <w:sz w:val="21"/>
        </w:rPr>
        <w:t>requirements:</w:t>
      </w:r>
    </w:p>
    <w:p>
      <w:pPr>
        <w:pStyle w:val="ListParagraph"/>
        <w:numPr>
          <w:ilvl w:val="2"/>
          <w:numId w:val="22"/>
        </w:numPr>
        <w:tabs>
          <w:tab w:pos="2721" w:val="left" w:leader="none"/>
          <w:tab w:pos="2722" w:val="left" w:leader="none"/>
        </w:tabs>
        <w:spacing w:line="242" w:lineRule="auto" w:before="124" w:after="0"/>
        <w:ind w:left="2721" w:right="2475" w:hanging="340"/>
        <w:jc w:val="left"/>
        <w:rPr>
          <w:sz w:val="12"/>
        </w:rPr>
      </w:pPr>
      <w:r>
        <w:rPr>
          <w:w w:val="105"/>
          <w:sz w:val="21"/>
        </w:rPr>
        <w:t>It</w:t>
      </w:r>
      <w:r>
        <w:rPr>
          <w:spacing w:val="-6"/>
          <w:w w:val="105"/>
          <w:sz w:val="21"/>
        </w:rPr>
        <w:t> </w:t>
      </w:r>
      <w:r>
        <w:rPr>
          <w:w w:val="105"/>
          <w:sz w:val="21"/>
        </w:rPr>
        <w:t>would</w:t>
      </w:r>
      <w:r>
        <w:rPr>
          <w:spacing w:val="-6"/>
          <w:w w:val="105"/>
          <w:sz w:val="21"/>
        </w:rPr>
        <w:t> </w:t>
      </w:r>
      <w:r>
        <w:rPr>
          <w:spacing w:val="-3"/>
          <w:w w:val="105"/>
          <w:sz w:val="21"/>
        </w:rPr>
        <w:t>undermine</w:t>
      </w:r>
      <w:r>
        <w:rPr>
          <w:spacing w:val="-6"/>
          <w:w w:val="105"/>
          <w:sz w:val="21"/>
        </w:rPr>
        <w:t> </w:t>
      </w:r>
      <w:r>
        <w:rPr>
          <w:spacing w:val="-3"/>
          <w:w w:val="105"/>
          <w:sz w:val="21"/>
        </w:rPr>
        <w:t>national</w:t>
      </w:r>
      <w:r>
        <w:rPr>
          <w:spacing w:val="-6"/>
          <w:w w:val="105"/>
          <w:sz w:val="21"/>
        </w:rPr>
        <w:t> </w:t>
      </w:r>
      <w:r>
        <w:rPr>
          <w:w w:val="105"/>
          <w:sz w:val="21"/>
        </w:rPr>
        <w:t>consistency</w:t>
      </w:r>
      <w:r>
        <w:rPr>
          <w:spacing w:val="-6"/>
          <w:w w:val="105"/>
          <w:sz w:val="21"/>
        </w:rPr>
        <w:t> </w:t>
      </w:r>
      <w:r>
        <w:rPr>
          <w:w w:val="105"/>
          <w:sz w:val="21"/>
        </w:rPr>
        <w:t>in</w:t>
      </w:r>
      <w:r>
        <w:rPr>
          <w:spacing w:val="-6"/>
          <w:w w:val="105"/>
          <w:sz w:val="21"/>
        </w:rPr>
        <w:t> </w:t>
      </w:r>
      <w:r>
        <w:rPr>
          <w:w w:val="105"/>
          <w:sz w:val="21"/>
        </w:rPr>
        <w:t>one</w:t>
      </w:r>
      <w:r>
        <w:rPr>
          <w:spacing w:val="-6"/>
          <w:w w:val="105"/>
          <w:sz w:val="21"/>
        </w:rPr>
        <w:t> </w:t>
      </w:r>
      <w:r>
        <w:rPr>
          <w:w w:val="105"/>
          <w:sz w:val="21"/>
        </w:rPr>
        <w:t>of</w:t>
      </w:r>
      <w:r>
        <w:rPr>
          <w:spacing w:val="-6"/>
          <w:w w:val="105"/>
          <w:sz w:val="21"/>
        </w:rPr>
        <w:t> </w:t>
      </w:r>
      <w:r>
        <w:rPr>
          <w:w w:val="105"/>
          <w:sz w:val="21"/>
        </w:rPr>
        <w:t>the</w:t>
      </w:r>
      <w:r>
        <w:rPr>
          <w:spacing w:val="-6"/>
          <w:w w:val="105"/>
          <w:sz w:val="21"/>
        </w:rPr>
        <w:t> </w:t>
      </w:r>
      <w:r>
        <w:rPr>
          <w:spacing w:val="-3"/>
          <w:w w:val="105"/>
          <w:sz w:val="21"/>
        </w:rPr>
        <w:t>few</w:t>
      </w:r>
      <w:r>
        <w:rPr>
          <w:spacing w:val="-5"/>
          <w:w w:val="105"/>
          <w:sz w:val="21"/>
        </w:rPr>
        <w:t> </w:t>
      </w:r>
      <w:r>
        <w:rPr>
          <w:spacing w:val="-3"/>
          <w:w w:val="105"/>
          <w:sz w:val="21"/>
        </w:rPr>
        <w:t>areas</w:t>
      </w:r>
      <w:r>
        <w:rPr>
          <w:spacing w:val="-6"/>
          <w:w w:val="105"/>
          <w:sz w:val="21"/>
        </w:rPr>
        <w:t> </w:t>
      </w:r>
      <w:r>
        <w:rPr>
          <w:w w:val="105"/>
          <w:sz w:val="21"/>
        </w:rPr>
        <w:t>where</w:t>
      </w:r>
      <w:r>
        <w:rPr>
          <w:spacing w:val="-6"/>
          <w:w w:val="105"/>
          <w:sz w:val="21"/>
        </w:rPr>
        <w:t> </w:t>
      </w:r>
      <w:r>
        <w:rPr>
          <w:w w:val="105"/>
          <w:sz w:val="21"/>
        </w:rPr>
        <w:t>laws </w:t>
      </w:r>
      <w:r>
        <w:rPr>
          <w:spacing w:val="-3"/>
          <w:w w:val="105"/>
          <w:sz w:val="21"/>
        </w:rPr>
        <w:t>are currently</w:t>
      </w:r>
      <w:r>
        <w:rPr>
          <w:spacing w:val="13"/>
          <w:w w:val="105"/>
          <w:sz w:val="21"/>
        </w:rPr>
        <w:t> </w:t>
      </w:r>
      <w:r>
        <w:rPr>
          <w:spacing w:val="-5"/>
          <w:w w:val="105"/>
          <w:sz w:val="21"/>
        </w:rPr>
        <w:t>consistent.</w:t>
      </w:r>
      <w:r>
        <w:rPr>
          <w:spacing w:val="-5"/>
          <w:w w:val="105"/>
          <w:position w:val="7"/>
          <w:sz w:val="12"/>
        </w:rPr>
        <w:t>10</w:t>
      </w:r>
    </w:p>
    <w:p>
      <w:pPr>
        <w:pStyle w:val="ListParagraph"/>
        <w:numPr>
          <w:ilvl w:val="2"/>
          <w:numId w:val="22"/>
        </w:numPr>
        <w:tabs>
          <w:tab w:pos="2721" w:val="left" w:leader="none"/>
          <w:tab w:pos="2722" w:val="left" w:leader="none"/>
        </w:tabs>
        <w:spacing w:line="242" w:lineRule="auto" w:before="122" w:after="0"/>
        <w:ind w:left="2721" w:right="1995" w:hanging="340"/>
        <w:jc w:val="left"/>
        <w:rPr>
          <w:sz w:val="12"/>
        </w:rPr>
      </w:pPr>
      <w:r>
        <w:rPr>
          <w:w w:val="105"/>
          <w:sz w:val="21"/>
        </w:rPr>
        <w:t>It </w:t>
      </w:r>
      <w:r>
        <w:rPr>
          <w:spacing w:val="-3"/>
          <w:w w:val="105"/>
          <w:sz w:val="21"/>
        </w:rPr>
        <w:t>would, </w:t>
      </w:r>
      <w:r>
        <w:rPr>
          <w:w w:val="105"/>
          <w:sz w:val="21"/>
        </w:rPr>
        <w:t>subject </w:t>
      </w:r>
      <w:r>
        <w:rPr>
          <w:spacing w:val="-3"/>
          <w:w w:val="105"/>
          <w:sz w:val="21"/>
        </w:rPr>
        <w:t>to any </w:t>
      </w:r>
      <w:r>
        <w:rPr>
          <w:w w:val="105"/>
          <w:sz w:val="21"/>
        </w:rPr>
        <w:t>application of the </w:t>
      </w:r>
      <w:r>
        <w:rPr>
          <w:spacing w:val="-3"/>
          <w:w w:val="105"/>
          <w:sz w:val="21"/>
        </w:rPr>
        <w:t>dispensing </w:t>
      </w:r>
      <w:r>
        <w:rPr>
          <w:spacing w:val="-5"/>
          <w:w w:val="105"/>
          <w:sz w:val="21"/>
        </w:rPr>
        <w:t>power, </w:t>
      </w:r>
      <w:r>
        <w:rPr>
          <w:w w:val="105"/>
          <w:sz w:val="21"/>
        </w:rPr>
        <w:t>lead </w:t>
      </w:r>
      <w:r>
        <w:rPr>
          <w:spacing w:val="-3"/>
          <w:w w:val="105"/>
          <w:sz w:val="21"/>
        </w:rPr>
        <w:t>to </w:t>
      </w:r>
      <w:r>
        <w:rPr>
          <w:w w:val="105"/>
          <w:sz w:val="21"/>
        </w:rPr>
        <w:t>an </w:t>
      </w:r>
      <w:r>
        <w:rPr>
          <w:spacing w:val="-3"/>
          <w:w w:val="105"/>
          <w:sz w:val="21"/>
        </w:rPr>
        <w:t>increasing </w:t>
      </w:r>
      <w:r>
        <w:rPr>
          <w:w w:val="105"/>
          <w:sz w:val="21"/>
        </w:rPr>
        <w:t>number of </w:t>
      </w:r>
      <w:r>
        <w:rPr>
          <w:spacing w:val="-3"/>
          <w:w w:val="105"/>
          <w:sz w:val="21"/>
        </w:rPr>
        <w:t>wills </w:t>
      </w:r>
      <w:r>
        <w:rPr>
          <w:w w:val="105"/>
          <w:sz w:val="21"/>
        </w:rPr>
        <w:t>being </w:t>
      </w:r>
      <w:r>
        <w:rPr>
          <w:spacing w:val="-3"/>
          <w:w w:val="105"/>
          <w:sz w:val="21"/>
        </w:rPr>
        <w:t>found invalid </w:t>
      </w:r>
      <w:r>
        <w:rPr>
          <w:w w:val="105"/>
          <w:sz w:val="21"/>
        </w:rPr>
        <w:t>and the </w:t>
      </w:r>
      <w:r>
        <w:rPr>
          <w:spacing w:val="-3"/>
          <w:w w:val="105"/>
          <w:sz w:val="21"/>
        </w:rPr>
        <w:t>will-maker’s intentions therefore </w:t>
      </w:r>
      <w:r>
        <w:rPr>
          <w:spacing w:val="-2"/>
          <w:w w:val="105"/>
          <w:sz w:val="21"/>
        </w:rPr>
        <w:t>not </w:t>
      </w:r>
      <w:r>
        <w:rPr>
          <w:w w:val="105"/>
          <w:sz w:val="21"/>
        </w:rPr>
        <w:t>being</w:t>
      </w:r>
      <w:r>
        <w:rPr>
          <w:spacing w:val="5"/>
          <w:w w:val="105"/>
          <w:sz w:val="21"/>
        </w:rPr>
        <w:t> </w:t>
      </w:r>
      <w:r>
        <w:rPr>
          <w:spacing w:val="-7"/>
          <w:w w:val="105"/>
          <w:sz w:val="21"/>
        </w:rPr>
        <w:t>upheld.</w:t>
      </w:r>
      <w:r>
        <w:rPr>
          <w:spacing w:val="-7"/>
          <w:w w:val="105"/>
          <w:position w:val="7"/>
          <w:sz w:val="12"/>
        </w:rPr>
        <w:t>11</w:t>
      </w:r>
    </w:p>
    <w:p>
      <w:pPr>
        <w:pStyle w:val="ListParagraph"/>
        <w:numPr>
          <w:ilvl w:val="2"/>
          <w:numId w:val="22"/>
        </w:numPr>
        <w:tabs>
          <w:tab w:pos="2721" w:val="left" w:leader="none"/>
          <w:tab w:pos="2722" w:val="left" w:leader="none"/>
        </w:tabs>
        <w:spacing w:line="242" w:lineRule="auto" w:before="123" w:after="0"/>
        <w:ind w:left="2721" w:right="2180" w:hanging="340"/>
        <w:jc w:val="left"/>
        <w:rPr>
          <w:sz w:val="12"/>
        </w:rPr>
      </w:pPr>
      <w:r>
        <w:rPr>
          <w:w w:val="105"/>
          <w:sz w:val="21"/>
        </w:rPr>
        <w:t>It </w:t>
      </w:r>
      <w:r>
        <w:rPr>
          <w:spacing w:val="-3"/>
          <w:w w:val="105"/>
          <w:sz w:val="21"/>
        </w:rPr>
        <w:t>may increase </w:t>
      </w:r>
      <w:r>
        <w:rPr>
          <w:w w:val="105"/>
          <w:sz w:val="21"/>
        </w:rPr>
        <w:t>the cost of </w:t>
      </w:r>
      <w:r>
        <w:rPr>
          <w:spacing w:val="-3"/>
          <w:w w:val="105"/>
          <w:sz w:val="21"/>
        </w:rPr>
        <w:t>making </w:t>
      </w:r>
      <w:r>
        <w:rPr>
          <w:w w:val="105"/>
          <w:sz w:val="21"/>
        </w:rPr>
        <w:t>a </w:t>
      </w:r>
      <w:r>
        <w:rPr>
          <w:spacing w:val="-3"/>
          <w:w w:val="105"/>
          <w:sz w:val="21"/>
        </w:rPr>
        <w:t>will </w:t>
      </w:r>
      <w:r>
        <w:rPr>
          <w:w w:val="105"/>
          <w:sz w:val="21"/>
        </w:rPr>
        <w:t>or </w:t>
      </w:r>
      <w:r>
        <w:rPr>
          <w:spacing w:val="-4"/>
          <w:w w:val="105"/>
          <w:sz w:val="21"/>
        </w:rPr>
        <w:t>make </w:t>
      </w:r>
      <w:r>
        <w:rPr>
          <w:w w:val="105"/>
          <w:sz w:val="21"/>
        </w:rPr>
        <w:t>it more difficult </w:t>
      </w:r>
      <w:r>
        <w:rPr>
          <w:spacing w:val="-3"/>
          <w:w w:val="105"/>
          <w:sz w:val="21"/>
        </w:rPr>
        <w:t>to </w:t>
      </w:r>
      <w:r>
        <w:rPr>
          <w:spacing w:val="-4"/>
          <w:w w:val="105"/>
          <w:sz w:val="21"/>
        </w:rPr>
        <w:t>make </w:t>
      </w:r>
      <w:r>
        <w:rPr>
          <w:w w:val="105"/>
          <w:sz w:val="21"/>
        </w:rPr>
        <w:t>a </w:t>
      </w:r>
      <w:r>
        <w:rPr>
          <w:spacing w:val="-3"/>
          <w:w w:val="105"/>
          <w:sz w:val="21"/>
        </w:rPr>
        <w:t>will </w:t>
      </w:r>
      <w:r>
        <w:rPr>
          <w:w w:val="105"/>
          <w:sz w:val="21"/>
        </w:rPr>
        <w:t>without the assistance of a legal</w:t>
      </w:r>
      <w:r>
        <w:rPr>
          <w:spacing w:val="23"/>
          <w:w w:val="105"/>
          <w:sz w:val="21"/>
        </w:rPr>
        <w:t> </w:t>
      </w:r>
      <w:r>
        <w:rPr>
          <w:spacing w:val="-5"/>
          <w:w w:val="105"/>
          <w:sz w:val="21"/>
        </w:rPr>
        <w:t>practitioner.</w:t>
      </w:r>
      <w:r>
        <w:rPr>
          <w:spacing w:val="-5"/>
          <w:w w:val="105"/>
          <w:position w:val="7"/>
          <w:sz w:val="12"/>
        </w:rPr>
        <w:t>12</w:t>
      </w:r>
    </w:p>
    <w:p>
      <w:pPr>
        <w:pStyle w:val="ListParagraph"/>
        <w:numPr>
          <w:ilvl w:val="2"/>
          <w:numId w:val="22"/>
        </w:numPr>
        <w:tabs>
          <w:tab w:pos="2721" w:val="left" w:leader="none"/>
          <w:tab w:pos="2722" w:val="left" w:leader="none"/>
        </w:tabs>
        <w:spacing w:line="240" w:lineRule="auto" w:before="123" w:after="0"/>
        <w:ind w:left="2721" w:right="0" w:hanging="340"/>
        <w:jc w:val="left"/>
        <w:rPr>
          <w:sz w:val="12"/>
        </w:rPr>
      </w:pPr>
      <w:r>
        <w:rPr>
          <w:sz w:val="21"/>
        </w:rPr>
        <w:t>It would </w:t>
      </w:r>
      <w:r>
        <w:rPr>
          <w:spacing w:val="-3"/>
          <w:sz w:val="21"/>
        </w:rPr>
        <w:t>undermine </w:t>
      </w:r>
      <w:r>
        <w:rPr>
          <w:sz w:val="21"/>
        </w:rPr>
        <w:t>the important civil </w:t>
      </w:r>
      <w:r>
        <w:rPr>
          <w:spacing w:val="-3"/>
          <w:sz w:val="21"/>
        </w:rPr>
        <w:t>right to </w:t>
      </w:r>
      <w:r>
        <w:rPr>
          <w:spacing w:val="-4"/>
          <w:sz w:val="21"/>
        </w:rPr>
        <w:t>make </w:t>
      </w:r>
      <w:r>
        <w:rPr>
          <w:sz w:val="21"/>
        </w:rPr>
        <w:t>a</w:t>
      </w:r>
      <w:r>
        <w:rPr>
          <w:spacing w:val="19"/>
          <w:sz w:val="21"/>
        </w:rPr>
        <w:t> </w:t>
      </w:r>
      <w:r>
        <w:rPr>
          <w:spacing w:val="-7"/>
          <w:sz w:val="21"/>
        </w:rPr>
        <w:t>will.</w:t>
      </w:r>
      <w:r>
        <w:rPr>
          <w:spacing w:val="-7"/>
          <w:position w:val="7"/>
          <w:sz w:val="12"/>
        </w:rPr>
        <w:t>13</w:t>
      </w:r>
    </w:p>
    <w:p>
      <w:pPr>
        <w:pStyle w:val="ListParagraph"/>
        <w:numPr>
          <w:ilvl w:val="1"/>
          <w:numId w:val="22"/>
        </w:numPr>
        <w:tabs>
          <w:tab w:pos="2380" w:val="left" w:leader="none"/>
          <w:tab w:pos="2381" w:val="left" w:leader="none"/>
        </w:tabs>
        <w:spacing w:line="242" w:lineRule="auto" w:before="123" w:after="0"/>
        <w:ind w:left="2381" w:right="2243" w:hanging="794"/>
        <w:jc w:val="left"/>
        <w:rPr>
          <w:sz w:val="21"/>
        </w:rPr>
      </w:pPr>
      <w:r>
        <w:rPr>
          <w:spacing w:val="-3"/>
          <w:sz w:val="21"/>
        </w:rPr>
        <w:t>Comments were </w:t>
      </w:r>
      <w:r>
        <w:rPr>
          <w:sz w:val="21"/>
        </w:rPr>
        <w:t>also </w:t>
      </w:r>
      <w:r>
        <w:rPr>
          <w:spacing w:val="-3"/>
          <w:sz w:val="21"/>
        </w:rPr>
        <w:t>sought  </w:t>
      </w:r>
      <w:r>
        <w:rPr>
          <w:sz w:val="21"/>
        </w:rPr>
        <w:t>on  whether  special  witnessing  </w:t>
      </w:r>
      <w:r>
        <w:rPr>
          <w:spacing w:val="-3"/>
          <w:sz w:val="21"/>
        </w:rPr>
        <w:t>requirements  should </w:t>
      </w:r>
      <w:r>
        <w:rPr>
          <w:sz w:val="21"/>
        </w:rPr>
        <w:t>be </w:t>
      </w:r>
      <w:r>
        <w:rPr>
          <w:spacing w:val="-3"/>
          <w:sz w:val="21"/>
        </w:rPr>
        <w:t>introduced </w:t>
      </w:r>
      <w:r>
        <w:rPr>
          <w:sz w:val="21"/>
        </w:rPr>
        <w:t>only </w:t>
      </w:r>
      <w:r>
        <w:rPr>
          <w:spacing w:val="-3"/>
          <w:sz w:val="21"/>
        </w:rPr>
        <w:t>for </w:t>
      </w:r>
      <w:r>
        <w:rPr>
          <w:sz w:val="21"/>
        </w:rPr>
        <w:t>will-makers over a certain </w:t>
      </w:r>
      <w:r>
        <w:rPr>
          <w:spacing w:val="-3"/>
          <w:sz w:val="21"/>
        </w:rPr>
        <w:t>age. </w:t>
      </w:r>
      <w:r>
        <w:rPr>
          <w:sz w:val="21"/>
        </w:rPr>
        <w:t>The majority did</w:t>
      </w:r>
      <w:r>
        <w:rPr>
          <w:spacing w:val="11"/>
          <w:sz w:val="21"/>
        </w:rPr>
        <w:t> </w:t>
      </w:r>
      <w:r>
        <w:rPr>
          <w:spacing w:val="-2"/>
          <w:sz w:val="21"/>
        </w:rPr>
        <w:t>not </w:t>
      </w:r>
      <w:r>
        <w:rPr>
          <w:sz w:val="21"/>
        </w:rPr>
        <w:t>support</w:t>
      </w:r>
    </w:p>
    <w:p>
      <w:pPr>
        <w:pStyle w:val="BodyText"/>
        <w:spacing w:line="242" w:lineRule="auto" w:before="2"/>
        <w:ind w:left="2381" w:right="1619" w:hanging="1"/>
        <w:rPr>
          <w:sz w:val="12"/>
        </w:rPr>
      </w:pPr>
      <w:r>
        <w:rPr/>
        <w:t>the idea.</w:t>
      </w:r>
      <w:r>
        <w:rPr>
          <w:position w:val="7"/>
          <w:sz w:val="12"/>
        </w:rPr>
        <w:t>14 </w:t>
      </w:r>
      <w:r>
        <w:rPr/>
        <w:t>Most felt it would be arbitrary and discriminatory, as well as ineffective in preventing undue influence.</w:t>
      </w:r>
      <w:r>
        <w:rPr>
          <w:position w:val="7"/>
          <w:sz w:val="12"/>
        </w:rPr>
        <w:t>15</w:t>
      </w:r>
    </w:p>
    <w:p>
      <w:pPr>
        <w:pStyle w:val="ListParagraph"/>
        <w:numPr>
          <w:ilvl w:val="1"/>
          <w:numId w:val="22"/>
        </w:numPr>
        <w:tabs>
          <w:tab w:pos="2381" w:val="left" w:leader="none"/>
          <w:tab w:pos="2382" w:val="left" w:leader="none"/>
        </w:tabs>
        <w:spacing w:line="242" w:lineRule="auto" w:before="123" w:after="0"/>
        <w:ind w:left="2381" w:right="1886" w:hanging="794"/>
        <w:jc w:val="left"/>
        <w:rPr>
          <w:sz w:val="12"/>
        </w:rPr>
      </w:pPr>
      <w:r>
        <w:rPr>
          <w:w w:val="105"/>
          <w:sz w:val="21"/>
        </w:rPr>
        <w:t>In </w:t>
      </w:r>
      <w:r>
        <w:rPr>
          <w:spacing w:val="-3"/>
          <w:w w:val="105"/>
          <w:sz w:val="21"/>
        </w:rPr>
        <w:t>balancing </w:t>
      </w:r>
      <w:r>
        <w:rPr>
          <w:w w:val="105"/>
          <w:sz w:val="21"/>
        </w:rPr>
        <w:t>the risk of abuse with the ability of persons </w:t>
      </w:r>
      <w:r>
        <w:rPr>
          <w:spacing w:val="-3"/>
          <w:w w:val="105"/>
          <w:sz w:val="21"/>
        </w:rPr>
        <w:t>to </w:t>
      </w:r>
      <w:r>
        <w:rPr>
          <w:spacing w:val="-4"/>
          <w:w w:val="105"/>
          <w:sz w:val="21"/>
        </w:rPr>
        <w:t>make </w:t>
      </w:r>
      <w:r>
        <w:rPr>
          <w:w w:val="105"/>
          <w:sz w:val="21"/>
        </w:rPr>
        <w:t>their own </w:t>
      </w:r>
      <w:r>
        <w:rPr>
          <w:spacing w:val="-3"/>
          <w:w w:val="105"/>
          <w:sz w:val="21"/>
        </w:rPr>
        <w:t>will </w:t>
      </w:r>
      <w:r>
        <w:rPr>
          <w:spacing w:val="-4"/>
          <w:w w:val="105"/>
          <w:sz w:val="21"/>
        </w:rPr>
        <w:t>easily, </w:t>
      </w:r>
      <w:r>
        <w:rPr>
          <w:w w:val="105"/>
          <w:sz w:val="21"/>
        </w:rPr>
        <w:t>most</w:t>
      </w:r>
      <w:r>
        <w:rPr>
          <w:spacing w:val="-7"/>
          <w:w w:val="105"/>
          <w:sz w:val="21"/>
        </w:rPr>
        <w:t> </w:t>
      </w:r>
      <w:r>
        <w:rPr>
          <w:spacing w:val="-3"/>
          <w:w w:val="105"/>
          <w:sz w:val="21"/>
        </w:rPr>
        <w:t>felt</w:t>
      </w:r>
      <w:r>
        <w:rPr>
          <w:spacing w:val="-6"/>
          <w:w w:val="105"/>
          <w:sz w:val="21"/>
        </w:rPr>
        <w:t> </w:t>
      </w:r>
      <w:r>
        <w:rPr>
          <w:spacing w:val="-3"/>
          <w:w w:val="105"/>
          <w:sz w:val="21"/>
        </w:rPr>
        <w:t>that</w:t>
      </w:r>
      <w:r>
        <w:rPr>
          <w:spacing w:val="-6"/>
          <w:w w:val="105"/>
          <w:sz w:val="21"/>
        </w:rPr>
        <w:t> </w:t>
      </w:r>
      <w:r>
        <w:rPr>
          <w:w w:val="105"/>
          <w:sz w:val="21"/>
        </w:rPr>
        <w:t>the</w:t>
      </w:r>
      <w:r>
        <w:rPr>
          <w:spacing w:val="-6"/>
          <w:w w:val="105"/>
          <w:sz w:val="21"/>
        </w:rPr>
        <w:t> </w:t>
      </w:r>
      <w:r>
        <w:rPr>
          <w:w w:val="105"/>
          <w:sz w:val="21"/>
        </w:rPr>
        <w:t>law</w:t>
      </w:r>
      <w:r>
        <w:rPr>
          <w:spacing w:val="-6"/>
          <w:w w:val="105"/>
          <w:sz w:val="21"/>
        </w:rPr>
        <w:t> </w:t>
      </w:r>
      <w:r>
        <w:rPr>
          <w:w w:val="105"/>
          <w:sz w:val="21"/>
        </w:rPr>
        <w:t>should</w:t>
      </w:r>
      <w:r>
        <w:rPr>
          <w:spacing w:val="-7"/>
          <w:w w:val="105"/>
          <w:sz w:val="21"/>
        </w:rPr>
        <w:t> </w:t>
      </w:r>
      <w:r>
        <w:rPr>
          <w:spacing w:val="-3"/>
          <w:w w:val="105"/>
          <w:sz w:val="21"/>
        </w:rPr>
        <w:t>facilitate</w:t>
      </w:r>
      <w:r>
        <w:rPr>
          <w:spacing w:val="-6"/>
          <w:w w:val="105"/>
          <w:sz w:val="21"/>
        </w:rPr>
        <w:t> </w:t>
      </w:r>
      <w:r>
        <w:rPr>
          <w:w w:val="105"/>
          <w:sz w:val="21"/>
        </w:rPr>
        <w:t>will-making</w:t>
      </w:r>
      <w:r>
        <w:rPr>
          <w:spacing w:val="-6"/>
          <w:w w:val="105"/>
          <w:sz w:val="21"/>
        </w:rPr>
        <w:t> </w:t>
      </w:r>
      <w:r>
        <w:rPr>
          <w:spacing w:val="-3"/>
          <w:w w:val="105"/>
          <w:sz w:val="21"/>
        </w:rPr>
        <w:t>rather</w:t>
      </w:r>
      <w:r>
        <w:rPr>
          <w:spacing w:val="-6"/>
          <w:w w:val="105"/>
          <w:sz w:val="21"/>
        </w:rPr>
        <w:t> </w:t>
      </w:r>
      <w:r>
        <w:rPr>
          <w:spacing w:val="-3"/>
          <w:w w:val="105"/>
          <w:sz w:val="21"/>
        </w:rPr>
        <w:t>than</w:t>
      </w:r>
      <w:r>
        <w:rPr>
          <w:spacing w:val="-6"/>
          <w:w w:val="105"/>
          <w:sz w:val="21"/>
        </w:rPr>
        <w:t> </w:t>
      </w:r>
      <w:r>
        <w:rPr>
          <w:w w:val="105"/>
          <w:sz w:val="21"/>
        </w:rPr>
        <w:t>add</w:t>
      </w:r>
      <w:r>
        <w:rPr>
          <w:spacing w:val="-6"/>
          <w:w w:val="105"/>
          <w:sz w:val="21"/>
        </w:rPr>
        <w:t> </w:t>
      </w:r>
      <w:r>
        <w:rPr>
          <w:spacing w:val="-3"/>
          <w:w w:val="105"/>
          <w:sz w:val="21"/>
        </w:rPr>
        <w:t>additional</w:t>
      </w:r>
      <w:r>
        <w:rPr>
          <w:spacing w:val="-7"/>
          <w:w w:val="105"/>
          <w:sz w:val="21"/>
        </w:rPr>
        <w:t> </w:t>
      </w:r>
      <w:r>
        <w:rPr>
          <w:w w:val="105"/>
          <w:sz w:val="21"/>
        </w:rPr>
        <w:t>obstacles </w:t>
      </w:r>
      <w:r>
        <w:rPr>
          <w:spacing w:val="-3"/>
          <w:w w:val="105"/>
          <w:sz w:val="21"/>
        </w:rPr>
        <w:t>to </w:t>
      </w:r>
      <w:r>
        <w:rPr>
          <w:w w:val="105"/>
          <w:sz w:val="21"/>
        </w:rPr>
        <w:t>the</w:t>
      </w:r>
      <w:r>
        <w:rPr>
          <w:spacing w:val="14"/>
          <w:w w:val="105"/>
          <w:sz w:val="21"/>
        </w:rPr>
        <w:t> </w:t>
      </w:r>
      <w:r>
        <w:rPr>
          <w:spacing w:val="-5"/>
          <w:w w:val="105"/>
          <w:sz w:val="21"/>
        </w:rPr>
        <w:t>process.</w:t>
      </w:r>
      <w:r>
        <w:rPr>
          <w:spacing w:val="-5"/>
          <w:w w:val="105"/>
          <w:position w:val="7"/>
          <w:sz w:val="12"/>
        </w:rPr>
        <w:t>16</w:t>
      </w:r>
    </w:p>
    <w:p>
      <w:pPr>
        <w:pStyle w:val="BodyText"/>
        <w:spacing w:before="1"/>
        <w:rPr>
          <w:sz w:val="9"/>
        </w:rPr>
      </w:pPr>
      <w:r>
        <w:rPr/>
        <w:pict>
          <v:line style="position:absolute;mso-position-horizontal-relative:page;mso-position-vertical-relative:paragraph;z-index:-280;mso-wrap-distance-left:0;mso-wrap-distance-right:0" from="79.370102pt,8.016798pt" to="515.905102pt,8.016798pt" stroked="true" strokeweight="1pt" strokecolor="#f9ceca">
            <v:stroke dashstyle="solid"/>
            <w10:wrap type="topAndBottom"/>
          </v:line>
        </w:pict>
      </w:r>
    </w:p>
    <w:p>
      <w:pPr>
        <w:pStyle w:val="ListParagraph"/>
        <w:numPr>
          <w:ilvl w:val="0"/>
          <w:numId w:val="24"/>
        </w:numPr>
        <w:tabs>
          <w:tab w:pos="2380" w:val="left" w:leader="none"/>
          <w:tab w:pos="2382" w:val="left" w:leader="none"/>
        </w:tabs>
        <w:spacing w:line="240" w:lineRule="auto" w:before="117" w:after="0"/>
        <w:ind w:left="2381" w:right="1919" w:hanging="794"/>
        <w:jc w:val="both"/>
        <w:rPr>
          <w:sz w:val="13"/>
        </w:rPr>
      </w:pPr>
      <w:r>
        <w:rPr>
          <w:w w:val="105"/>
          <w:sz w:val="13"/>
        </w:rPr>
        <w:t>National Committee for Uniform Succession Laws, </w:t>
      </w:r>
      <w:r>
        <w:rPr>
          <w:i/>
          <w:w w:val="105"/>
          <w:sz w:val="13"/>
        </w:rPr>
        <w:t>Consolidated Report to the Standing Committee of Attorneys General on the Law of </w:t>
      </w:r>
      <w:r>
        <w:rPr>
          <w:i/>
          <w:w w:val="105"/>
          <w:sz w:val="13"/>
        </w:rPr>
        <w:t>Wills</w:t>
      </w:r>
      <w:r>
        <w:rPr>
          <w:w w:val="105"/>
          <w:sz w:val="13"/>
        </w:rPr>
        <w:t>, Queensland Law Reform Commission Miscellaneous Paper No 29 (1997) 10–12. Victorian law is not consistent with the National Committee’s recommendation on the witness-beneficiary rule: see</w:t>
      </w:r>
      <w:r>
        <w:rPr>
          <w:spacing w:val="2"/>
          <w:w w:val="105"/>
          <w:sz w:val="13"/>
        </w:rPr>
        <w:t> </w:t>
      </w:r>
      <w:r>
        <w:rPr>
          <w:spacing w:val="3"/>
          <w:w w:val="105"/>
          <w:sz w:val="13"/>
        </w:rPr>
        <w:t>[2.30]–[2.44].</w:t>
      </w:r>
    </w:p>
    <w:p>
      <w:pPr>
        <w:pStyle w:val="ListParagraph"/>
        <w:numPr>
          <w:ilvl w:val="0"/>
          <w:numId w:val="24"/>
        </w:numPr>
        <w:tabs>
          <w:tab w:pos="2380" w:val="left" w:leader="none"/>
          <w:tab w:pos="2382" w:val="left" w:leader="none"/>
        </w:tabs>
        <w:spacing w:line="240" w:lineRule="auto" w:before="4" w:after="0"/>
        <w:ind w:left="2381" w:right="0" w:hanging="794"/>
        <w:jc w:val="left"/>
        <w:rPr>
          <w:sz w:val="13"/>
        </w:rPr>
      </w:pPr>
      <w:r>
        <w:rPr>
          <w:i/>
          <w:w w:val="105"/>
          <w:sz w:val="13"/>
        </w:rPr>
        <w:t>Succession</w:t>
      </w:r>
      <w:r>
        <w:rPr>
          <w:i/>
          <w:spacing w:val="4"/>
          <w:w w:val="105"/>
          <w:sz w:val="13"/>
        </w:rPr>
        <w:t> </w:t>
      </w:r>
      <w:r>
        <w:rPr>
          <w:i/>
          <w:w w:val="105"/>
          <w:sz w:val="13"/>
        </w:rPr>
        <w:t>Act</w:t>
      </w:r>
      <w:r>
        <w:rPr>
          <w:i/>
          <w:spacing w:val="5"/>
          <w:w w:val="105"/>
          <w:sz w:val="13"/>
        </w:rPr>
        <w:t> </w:t>
      </w:r>
      <w:r>
        <w:rPr>
          <w:i/>
          <w:w w:val="105"/>
          <w:sz w:val="13"/>
        </w:rPr>
        <w:t>2006</w:t>
      </w:r>
      <w:r>
        <w:rPr>
          <w:i/>
          <w:spacing w:val="6"/>
          <w:w w:val="105"/>
          <w:sz w:val="13"/>
        </w:rPr>
        <w:t> </w:t>
      </w:r>
      <w:r>
        <w:rPr>
          <w:spacing w:val="3"/>
          <w:w w:val="105"/>
          <w:sz w:val="13"/>
        </w:rPr>
        <w:t>(NSW)</w:t>
      </w:r>
      <w:r>
        <w:rPr>
          <w:spacing w:val="6"/>
          <w:w w:val="105"/>
          <w:sz w:val="13"/>
        </w:rPr>
        <w:t> </w:t>
      </w:r>
      <w:r>
        <w:rPr>
          <w:w w:val="105"/>
          <w:sz w:val="13"/>
        </w:rPr>
        <w:t>s</w:t>
      </w:r>
      <w:r>
        <w:rPr>
          <w:spacing w:val="6"/>
          <w:w w:val="105"/>
          <w:sz w:val="13"/>
        </w:rPr>
        <w:t> </w:t>
      </w:r>
      <w:r>
        <w:rPr>
          <w:spacing w:val="2"/>
          <w:w w:val="105"/>
          <w:sz w:val="13"/>
        </w:rPr>
        <w:t>6;</w:t>
      </w:r>
      <w:r>
        <w:rPr>
          <w:spacing w:val="6"/>
          <w:w w:val="105"/>
          <w:sz w:val="13"/>
        </w:rPr>
        <w:t> </w:t>
      </w:r>
      <w:r>
        <w:rPr>
          <w:i/>
          <w:w w:val="105"/>
          <w:sz w:val="13"/>
        </w:rPr>
        <w:t>Succession</w:t>
      </w:r>
      <w:r>
        <w:rPr>
          <w:i/>
          <w:spacing w:val="5"/>
          <w:w w:val="105"/>
          <w:sz w:val="13"/>
        </w:rPr>
        <w:t> </w:t>
      </w:r>
      <w:r>
        <w:rPr>
          <w:i/>
          <w:w w:val="105"/>
          <w:sz w:val="13"/>
        </w:rPr>
        <w:t>Act</w:t>
      </w:r>
      <w:r>
        <w:rPr>
          <w:i/>
          <w:spacing w:val="5"/>
          <w:w w:val="105"/>
          <w:sz w:val="13"/>
        </w:rPr>
        <w:t> </w:t>
      </w:r>
      <w:r>
        <w:rPr>
          <w:i/>
          <w:spacing w:val="-3"/>
          <w:w w:val="105"/>
          <w:sz w:val="13"/>
        </w:rPr>
        <w:t>1981</w:t>
      </w:r>
      <w:r>
        <w:rPr>
          <w:i/>
          <w:spacing w:val="6"/>
          <w:w w:val="105"/>
          <w:sz w:val="13"/>
        </w:rPr>
        <w:t> </w:t>
      </w:r>
      <w:r>
        <w:rPr>
          <w:spacing w:val="2"/>
          <w:w w:val="105"/>
          <w:sz w:val="13"/>
        </w:rPr>
        <w:t>(Qld)</w:t>
      </w:r>
      <w:r>
        <w:rPr>
          <w:spacing w:val="6"/>
          <w:w w:val="105"/>
          <w:sz w:val="13"/>
        </w:rPr>
        <w:t> </w:t>
      </w:r>
      <w:r>
        <w:rPr>
          <w:w w:val="105"/>
          <w:sz w:val="13"/>
        </w:rPr>
        <w:t>s</w:t>
      </w:r>
      <w:r>
        <w:rPr>
          <w:spacing w:val="5"/>
          <w:w w:val="105"/>
          <w:sz w:val="13"/>
        </w:rPr>
        <w:t> </w:t>
      </w:r>
      <w:r>
        <w:rPr>
          <w:w w:val="105"/>
          <w:sz w:val="13"/>
        </w:rPr>
        <w:t>10;</w:t>
      </w:r>
      <w:r>
        <w:rPr>
          <w:spacing w:val="6"/>
          <w:w w:val="105"/>
          <w:sz w:val="13"/>
        </w:rPr>
        <w:t> </w:t>
      </w:r>
      <w:r>
        <w:rPr>
          <w:i/>
          <w:w w:val="105"/>
          <w:sz w:val="13"/>
        </w:rPr>
        <w:t>Wills</w:t>
      </w:r>
      <w:r>
        <w:rPr>
          <w:i/>
          <w:spacing w:val="5"/>
          <w:w w:val="105"/>
          <w:sz w:val="13"/>
        </w:rPr>
        <w:t> </w:t>
      </w:r>
      <w:r>
        <w:rPr>
          <w:i/>
          <w:w w:val="105"/>
          <w:sz w:val="13"/>
        </w:rPr>
        <w:t>Act</w:t>
      </w:r>
      <w:r>
        <w:rPr>
          <w:i/>
          <w:spacing w:val="5"/>
          <w:w w:val="105"/>
          <w:sz w:val="13"/>
        </w:rPr>
        <w:t> </w:t>
      </w:r>
      <w:r>
        <w:rPr>
          <w:i/>
          <w:spacing w:val="-4"/>
          <w:w w:val="105"/>
          <w:sz w:val="13"/>
        </w:rPr>
        <w:t>1970</w:t>
      </w:r>
      <w:r>
        <w:rPr>
          <w:i/>
          <w:spacing w:val="6"/>
          <w:w w:val="105"/>
          <w:sz w:val="13"/>
        </w:rPr>
        <w:t> </w:t>
      </w:r>
      <w:r>
        <w:rPr>
          <w:w w:val="105"/>
          <w:sz w:val="13"/>
        </w:rPr>
        <w:t>(WA)</w:t>
      </w:r>
      <w:r>
        <w:rPr>
          <w:spacing w:val="6"/>
          <w:w w:val="105"/>
          <w:sz w:val="13"/>
        </w:rPr>
        <w:t> </w:t>
      </w:r>
      <w:r>
        <w:rPr>
          <w:w w:val="105"/>
          <w:sz w:val="13"/>
        </w:rPr>
        <w:t>s</w:t>
      </w:r>
      <w:r>
        <w:rPr>
          <w:spacing w:val="6"/>
          <w:w w:val="105"/>
          <w:sz w:val="13"/>
        </w:rPr>
        <w:t> </w:t>
      </w:r>
      <w:r>
        <w:rPr>
          <w:spacing w:val="3"/>
          <w:w w:val="105"/>
          <w:sz w:val="13"/>
        </w:rPr>
        <w:t>8;</w:t>
      </w:r>
      <w:r>
        <w:rPr>
          <w:spacing w:val="6"/>
          <w:w w:val="105"/>
          <w:sz w:val="13"/>
        </w:rPr>
        <w:t> </w:t>
      </w:r>
      <w:r>
        <w:rPr>
          <w:i/>
          <w:w w:val="105"/>
          <w:sz w:val="13"/>
        </w:rPr>
        <w:t>Wills</w:t>
      </w:r>
      <w:r>
        <w:rPr>
          <w:i/>
          <w:spacing w:val="5"/>
          <w:w w:val="105"/>
          <w:sz w:val="13"/>
        </w:rPr>
        <w:t> </w:t>
      </w:r>
      <w:r>
        <w:rPr>
          <w:i/>
          <w:w w:val="105"/>
          <w:sz w:val="13"/>
        </w:rPr>
        <w:t>Act</w:t>
      </w:r>
      <w:r>
        <w:rPr>
          <w:i/>
          <w:spacing w:val="5"/>
          <w:w w:val="105"/>
          <w:sz w:val="13"/>
        </w:rPr>
        <w:t> </w:t>
      </w:r>
      <w:r>
        <w:rPr>
          <w:i/>
          <w:w w:val="105"/>
          <w:sz w:val="13"/>
        </w:rPr>
        <w:t>1936</w:t>
      </w:r>
      <w:r>
        <w:rPr>
          <w:i/>
          <w:spacing w:val="6"/>
          <w:w w:val="105"/>
          <w:sz w:val="13"/>
        </w:rPr>
        <w:t> </w:t>
      </w:r>
      <w:r>
        <w:rPr>
          <w:spacing w:val="2"/>
          <w:w w:val="105"/>
          <w:sz w:val="13"/>
        </w:rPr>
        <w:t>(SA)</w:t>
      </w:r>
      <w:r>
        <w:rPr>
          <w:spacing w:val="5"/>
          <w:w w:val="105"/>
          <w:sz w:val="13"/>
        </w:rPr>
        <w:t> </w:t>
      </w:r>
      <w:r>
        <w:rPr>
          <w:w w:val="105"/>
          <w:sz w:val="13"/>
        </w:rPr>
        <w:t>s</w:t>
      </w:r>
      <w:r>
        <w:rPr>
          <w:spacing w:val="6"/>
          <w:w w:val="105"/>
          <w:sz w:val="13"/>
        </w:rPr>
        <w:t> </w:t>
      </w:r>
      <w:r>
        <w:rPr>
          <w:spacing w:val="3"/>
          <w:w w:val="105"/>
          <w:sz w:val="13"/>
        </w:rPr>
        <w:t>8;</w:t>
      </w:r>
      <w:r>
        <w:rPr>
          <w:spacing w:val="6"/>
          <w:w w:val="105"/>
          <w:sz w:val="13"/>
        </w:rPr>
        <w:t> </w:t>
      </w:r>
      <w:r>
        <w:rPr>
          <w:i/>
          <w:w w:val="105"/>
          <w:sz w:val="13"/>
        </w:rPr>
        <w:t>Wills</w:t>
      </w:r>
      <w:r>
        <w:rPr>
          <w:i/>
          <w:spacing w:val="5"/>
          <w:w w:val="105"/>
          <w:sz w:val="13"/>
        </w:rPr>
        <w:t> </w:t>
      </w:r>
      <w:r>
        <w:rPr>
          <w:i/>
          <w:w w:val="105"/>
          <w:sz w:val="13"/>
        </w:rPr>
        <w:t>Act</w:t>
      </w:r>
      <w:r>
        <w:rPr>
          <w:i/>
          <w:spacing w:val="5"/>
          <w:w w:val="105"/>
          <w:sz w:val="13"/>
        </w:rPr>
        <w:t> </w:t>
      </w:r>
      <w:r>
        <w:rPr>
          <w:i/>
          <w:w w:val="105"/>
          <w:sz w:val="13"/>
        </w:rPr>
        <w:t>1968</w:t>
      </w:r>
      <w:r>
        <w:rPr>
          <w:i/>
          <w:spacing w:val="6"/>
          <w:w w:val="105"/>
          <w:sz w:val="13"/>
        </w:rPr>
        <w:t> </w:t>
      </w:r>
      <w:r>
        <w:rPr>
          <w:spacing w:val="2"/>
          <w:w w:val="105"/>
          <w:sz w:val="13"/>
        </w:rPr>
        <w:t>(ACT)</w:t>
      </w:r>
      <w:r>
        <w:rPr>
          <w:spacing w:val="6"/>
          <w:w w:val="105"/>
          <w:sz w:val="13"/>
        </w:rPr>
        <w:t> </w:t>
      </w:r>
      <w:r>
        <w:rPr>
          <w:w w:val="105"/>
          <w:sz w:val="13"/>
        </w:rPr>
        <w:t>s</w:t>
      </w:r>
      <w:r>
        <w:rPr>
          <w:spacing w:val="6"/>
          <w:w w:val="105"/>
          <w:sz w:val="13"/>
        </w:rPr>
        <w:t> </w:t>
      </w:r>
      <w:r>
        <w:rPr>
          <w:spacing w:val="2"/>
          <w:w w:val="105"/>
          <w:sz w:val="13"/>
        </w:rPr>
        <w:t>9;</w:t>
      </w:r>
    </w:p>
    <w:p>
      <w:pPr>
        <w:spacing w:before="1"/>
        <w:ind w:left="2381" w:right="0" w:firstLine="0"/>
        <w:jc w:val="left"/>
        <w:rPr>
          <w:sz w:val="13"/>
        </w:rPr>
      </w:pPr>
      <w:r>
        <w:rPr>
          <w:i/>
          <w:sz w:val="13"/>
        </w:rPr>
        <w:t>Wills Act </w:t>
      </w:r>
      <w:r>
        <w:rPr>
          <w:sz w:val="13"/>
        </w:rPr>
        <w:t>(NT) ss 8–9; </w:t>
      </w:r>
      <w:r>
        <w:rPr>
          <w:i/>
          <w:sz w:val="13"/>
        </w:rPr>
        <w:t>Wills Act 2008 </w:t>
      </w:r>
      <w:r>
        <w:rPr>
          <w:sz w:val="13"/>
        </w:rPr>
        <w:t>(Tas) ss 8–9.</w:t>
      </w:r>
    </w:p>
    <w:p>
      <w:pPr>
        <w:pStyle w:val="ListParagraph"/>
        <w:numPr>
          <w:ilvl w:val="0"/>
          <w:numId w:val="24"/>
        </w:numPr>
        <w:tabs>
          <w:tab w:pos="2380" w:val="left" w:leader="none"/>
          <w:tab w:pos="2382" w:val="left" w:leader="none"/>
        </w:tabs>
        <w:spacing w:line="240" w:lineRule="auto" w:before="2" w:after="0"/>
        <w:ind w:left="2381" w:right="1717" w:hanging="794"/>
        <w:jc w:val="left"/>
        <w:rPr>
          <w:sz w:val="13"/>
        </w:rPr>
      </w:pPr>
      <w:r>
        <w:rPr>
          <w:sz w:val="13"/>
        </w:rPr>
        <w:t>The dispensing power mentioned in [2.7] is one example. Another is the abolition of the requirement that the will be signed at the ‘foot                   or end’ by the will-maker: </w:t>
      </w:r>
      <w:r>
        <w:rPr>
          <w:i/>
          <w:sz w:val="13"/>
        </w:rPr>
        <w:t>Wills Act </w:t>
      </w:r>
      <w:r>
        <w:rPr>
          <w:i/>
          <w:spacing w:val="-3"/>
          <w:sz w:val="13"/>
        </w:rPr>
        <w:t>1997  </w:t>
      </w:r>
      <w:r>
        <w:rPr>
          <w:spacing w:val="2"/>
          <w:sz w:val="13"/>
        </w:rPr>
        <w:t>(Vic) </w:t>
      </w:r>
      <w:r>
        <w:rPr>
          <w:sz w:val="13"/>
        </w:rPr>
        <w:t>s </w:t>
      </w:r>
      <w:r>
        <w:rPr>
          <w:spacing w:val="2"/>
          <w:sz w:val="13"/>
        </w:rPr>
        <w:t>7(1)(b). </w:t>
      </w:r>
      <w:r>
        <w:rPr>
          <w:sz w:val="13"/>
        </w:rPr>
        <w:t>Law Reform Committee, Parliament of Victoria, </w:t>
      </w:r>
      <w:r>
        <w:rPr>
          <w:i/>
          <w:sz w:val="13"/>
        </w:rPr>
        <w:t>Reforming the Law of Wills </w:t>
      </w:r>
      <w:r>
        <w:rPr>
          <w:sz w:val="13"/>
        </w:rPr>
        <w:t>(1994)     </w:t>
      </w:r>
      <w:r>
        <w:rPr>
          <w:spacing w:val="3"/>
          <w:sz w:val="13"/>
        </w:rPr>
        <w:t>53–66.</w:t>
      </w:r>
    </w:p>
    <w:p>
      <w:pPr>
        <w:pStyle w:val="ListParagraph"/>
        <w:numPr>
          <w:ilvl w:val="0"/>
          <w:numId w:val="24"/>
        </w:numPr>
        <w:tabs>
          <w:tab w:pos="2380" w:val="left" w:leader="none"/>
          <w:tab w:pos="2382" w:val="left" w:leader="none"/>
        </w:tabs>
        <w:spacing w:line="240" w:lineRule="auto" w:before="4" w:after="0"/>
        <w:ind w:left="2381" w:right="0" w:hanging="794"/>
        <w:jc w:val="left"/>
        <w:rPr>
          <w:sz w:val="13"/>
        </w:rPr>
      </w:pPr>
      <w:r>
        <w:rPr>
          <w:w w:val="105"/>
          <w:sz w:val="13"/>
        </w:rPr>
        <w:t>Victorian Law Reform Commission, </w:t>
      </w:r>
      <w:r>
        <w:rPr>
          <w:i/>
          <w:w w:val="105"/>
          <w:sz w:val="13"/>
        </w:rPr>
        <w:t>Succession Laws: Wills</w:t>
      </w:r>
      <w:r>
        <w:rPr>
          <w:w w:val="105"/>
          <w:sz w:val="13"/>
        </w:rPr>
        <w:t>, Consultation Paper No </w:t>
      </w:r>
      <w:r>
        <w:rPr>
          <w:spacing w:val="-6"/>
          <w:w w:val="105"/>
          <w:sz w:val="13"/>
        </w:rPr>
        <w:t>11 </w:t>
      </w:r>
      <w:r>
        <w:rPr>
          <w:w w:val="105"/>
          <w:sz w:val="13"/>
        </w:rPr>
        <w:t>(2012)</w:t>
      </w:r>
      <w:r>
        <w:rPr>
          <w:spacing w:val="7"/>
          <w:w w:val="105"/>
          <w:sz w:val="13"/>
        </w:rPr>
        <w:t> </w:t>
      </w:r>
      <w:r>
        <w:rPr>
          <w:w w:val="105"/>
          <w:sz w:val="13"/>
        </w:rPr>
        <w:t>18.</w:t>
      </w:r>
    </w:p>
    <w:p>
      <w:pPr>
        <w:pStyle w:val="ListParagraph"/>
        <w:numPr>
          <w:ilvl w:val="0"/>
          <w:numId w:val="24"/>
        </w:numPr>
        <w:tabs>
          <w:tab w:pos="2380" w:val="left" w:leader="none"/>
          <w:tab w:pos="2382" w:val="left" w:leader="none"/>
        </w:tabs>
        <w:spacing w:line="240" w:lineRule="auto" w:before="1" w:after="0"/>
        <w:ind w:left="2381" w:right="1724" w:hanging="794"/>
        <w:jc w:val="left"/>
        <w:rPr>
          <w:sz w:val="13"/>
        </w:rPr>
      </w:pPr>
      <w:r>
        <w:rPr>
          <w:w w:val="105"/>
          <w:sz w:val="13"/>
        </w:rPr>
        <w:t>Consultation 1 (Wills roundtable). Submissions 25 </w:t>
      </w:r>
      <w:r>
        <w:rPr>
          <w:spacing w:val="2"/>
          <w:w w:val="105"/>
          <w:sz w:val="13"/>
        </w:rPr>
        <w:t>(Moores </w:t>
      </w:r>
      <w:r>
        <w:rPr>
          <w:w w:val="105"/>
          <w:sz w:val="13"/>
        </w:rPr>
        <w:t>Legal); 30a </w:t>
      </w:r>
      <w:r>
        <w:rPr>
          <w:spacing w:val="3"/>
          <w:w w:val="105"/>
          <w:sz w:val="13"/>
        </w:rPr>
        <w:t>(Law </w:t>
      </w:r>
      <w:r>
        <w:rPr>
          <w:w w:val="105"/>
          <w:sz w:val="13"/>
        </w:rPr>
        <w:t>Institute of </w:t>
      </w:r>
      <w:r>
        <w:rPr>
          <w:spacing w:val="2"/>
          <w:w w:val="105"/>
          <w:sz w:val="13"/>
        </w:rPr>
        <w:t>Victoria); </w:t>
      </w:r>
      <w:r>
        <w:rPr>
          <w:w w:val="105"/>
          <w:sz w:val="13"/>
        </w:rPr>
        <w:t>33 (State Trustees Limited); 35 (Andrew Verspaandonk).</w:t>
      </w:r>
    </w:p>
    <w:p>
      <w:pPr>
        <w:pStyle w:val="ListParagraph"/>
        <w:numPr>
          <w:ilvl w:val="0"/>
          <w:numId w:val="24"/>
        </w:numPr>
        <w:tabs>
          <w:tab w:pos="2380" w:val="left" w:leader="none"/>
          <w:tab w:pos="2382" w:val="left" w:leader="none"/>
        </w:tabs>
        <w:spacing w:line="240" w:lineRule="auto" w:before="3" w:after="0"/>
        <w:ind w:left="2381" w:right="0" w:hanging="794"/>
        <w:jc w:val="left"/>
        <w:rPr>
          <w:sz w:val="13"/>
        </w:rPr>
      </w:pPr>
      <w:r>
        <w:rPr>
          <w:w w:val="105"/>
          <w:sz w:val="13"/>
        </w:rPr>
        <w:t>Consultation 1 (Wills</w:t>
      </w:r>
      <w:r>
        <w:rPr>
          <w:spacing w:val="13"/>
          <w:w w:val="105"/>
          <w:sz w:val="13"/>
        </w:rPr>
        <w:t> </w:t>
      </w:r>
      <w:r>
        <w:rPr>
          <w:w w:val="105"/>
          <w:sz w:val="13"/>
        </w:rPr>
        <w:t>roundtable).</w:t>
      </w:r>
    </w:p>
    <w:p>
      <w:pPr>
        <w:pStyle w:val="ListParagraph"/>
        <w:numPr>
          <w:ilvl w:val="0"/>
          <w:numId w:val="24"/>
        </w:numPr>
        <w:tabs>
          <w:tab w:pos="2381" w:val="left" w:leader="none"/>
          <w:tab w:pos="2382" w:val="left" w:leader="none"/>
        </w:tabs>
        <w:spacing w:line="240" w:lineRule="auto" w:before="1" w:after="0"/>
        <w:ind w:left="2381" w:right="0" w:hanging="794"/>
        <w:jc w:val="left"/>
        <w:rPr>
          <w:sz w:val="13"/>
        </w:rPr>
      </w:pPr>
      <w:r>
        <w:rPr>
          <w:sz w:val="13"/>
        </w:rPr>
        <w:t>Ibid.</w:t>
      </w:r>
    </w:p>
    <w:p>
      <w:pPr>
        <w:pStyle w:val="ListParagraph"/>
        <w:numPr>
          <w:ilvl w:val="0"/>
          <w:numId w:val="24"/>
        </w:numPr>
        <w:tabs>
          <w:tab w:pos="2381" w:val="left" w:leader="none"/>
          <w:tab w:pos="2382" w:val="left" w:leader="none"/>
        </w:tabs>
        <w:spacing w:line="240" w:lineRule="auto" w:before="1" w:after="0"/>
        <w:ind w:left="2381" w:right="1927" w:hanging="794"/>
        <w:jc w:val="left"/>
        <w:rPr>
          <w:sz w:val="13"/>
        </w:rPr>
      </w:pPr>
      <w:r>
        <w:rPr>
          <w:w w:val="105"/>
          <w:sz w:val="13"/>
        </w:rPr>
        <w:t>Consultations 1 (Wills roundtable); 4 </w:t>
      </w:r>
      <w:r>
        <w:rPr>
          <w:spacing w:val="2"/>
          <w:w w:val="105"/>
          <w:sz w:val="13"/>
        </w:rPr>
        <w:t>(Legal </w:t>
      </w:r>
      <w:r>
        <w:rPr>
          <w:w w:val="105"/>
          <w:sz w:val="13"/>
        </w:rPr>
        <w:t>practitioners from the  Goulburn  Valley  and  Loddon  Campaspe  Community  Legal Centres). Submissions 8 (Patricia Strachan); 25 </w:t>
      </w:r>
      <w:r>
        <w:rPr>
          <w:spacing w:val="2"/>
          <w:w w:val="105"/>
          <w:sz w:val="13"/>
        </w:rPr>
        <w:t>(Moores </w:t>
      </w:r>
      <w:r>
        <w:rPr>
          <w:w w:val="105"/>
          <w:sz w:val="13"/>
        </w:rPr>
        <w:t>Legal); 30a </w:t>
      </w:r>
      <w:r>
        <w:rPr>
          <w:spacing w:val="3"/>
          <w:w w:val="105"/>
          <w:sz w:val="13"/>
        </w:rPr>
        <w:t>(Law </w:t>
      </w:r>
      <w:r>
        <w:rPr>
          <w:w w:val="105"/>
          <w:sz w:val="13"/>
        </w:rPr>
        <w:t>Institute of </w:t>
      </w:r>
      <w:r>
        <w:rPr>
          <w:spacing w:val="2"/>
          <w:w w:val="105"/>
          <w:sz w:val="13"/>
        </w:rPr>
        <w:t>Victoria); </w:t>
      </w:r>
      <w:r>
        <w:rPr>
          <w:w w:val="105"/>
          <w:sz w:val="13"/>
        </w:rPr>
        <w:t>33 (State Trustees Limited); 35 (Andrew Verspaandonk).</w:t>
      </w:r>
    </w:p>
    <w:p>
      <w:pPr>
        <w:pStyle w:val="ListParagraph"/>
        <w:numPr>
          <w:ilvl w:val="0"/>
          <w:numId w:val="24"/>
        </w:numPr>
        <w:tabs>
          <w:tab w:pos="2381" w:val="left" w:leader="none"/>
          <w:tab w:pos="2382" w:val="left" w:leader="none"/>
        </w:tabs>
        <w:spacing w:line="240" w:lineRule="auto" w:before="4" w:after="0"/>
        <w:ind w:left="2381" w:right="0" w:hanging="794"/>
        <w:jc w:val="left"/>
        <w:rPr>
          <w:sz w:val="13"/>
        </w:rPr>
      </w:pPr>
      <w:r>
        <w:rPr>
          <w:w w:val="105"/>
          <w:sz w:val="13"/>
        </w:rPr>
        <w:t>Submissions</w:t>
      </w:r>
      <w:r>
        <w:rPr>
          <w:spacing w:val="4"/>
          <w:w w:val="105"/>
          <w:sz w:val="13"/>
        </w:rPr>
        <w:t> </w:t>
      </w:r>
      <w:r>
        <w:rPr>
          <w:w w:val="105"/>
          <w:sz w:val="13"/>
        </w:rPr>
        <w:t>30a</w:t>
      </w:r>
      <w:r>
        <w:rPr>
          <w:spacing w:val="5"/>
          <w:w w:val="105"/>
          <w:sz w:val="13"/>
        </w:rPr>
        <w:t> </w:t>
      </w:r>
      <w:r>
        <w:rPr>
          <w:spacing w:val="3"/>
          <w:w w:val="105"/>
          <w:sz w:val="13"/>
        </w:rPr>
        <w:t>(Law</w:t>
      </w:r>
      <w:r>
        <w:rPr>
          <w:spacing w:val="4"/>
          <w:w w:val="105"/>
          <w:sz w:val="13"/>
        </w:rPr>
        <w:t> </w:t>
      </w:r>
      <w:r>
        <w:rPr>
          <w:w w:val="105"/>
          <w:sz w:val="13"/>
        </w:rPr>
        <w:t>Institute</w:t>
      </w:r>
      <w:r>
        <w:rPr>
          <w:spacing w:val="5"/>
          <w:w w:val="105"/>
          <w:sz w:val="13"/>
        </w:rPr>
        <w:t> </w:t>
      </w:r>
      <w:r>
        <w:rPr>
          <w:w w:val="105"/>
          <w:sz w:val="13"/>
        </w:rPr>
        <w:t>of</w:t>
      </w:r>
      <w:r>
        <w:rPr>
          <w:spacing w:val="5"/>
          <w:w w:val="105"/>
          <w:sz w:val="13"/>
        </w:rPr>
        <w:t> </w:t>
      </w:r>
      <w:r>
        <w:rPr>
          <w:spacing w:val="2"/>
          <w:w w:val="105"/>
          <w:sz w:val="13"/>
        </w:rPr>
        <w:t>Victoria);</w:t>
      </w:r>
      <w:r>
        <w:rPr>
          <w:spacing w:val="4"/>
          <w:w w:val="105"/>
          <w:sz w:val="13"/>
        </w:rPr>
        <w:t> </w:t>
      </w:r>
      <w:r>
        <w:rPr>
          <w:w w:val="105"/>
          <w:sz w:val="13"/>
        </w:rPr>
        <w:t>36</w:t>
      </w:r>
      <w:r>
        <w:rPr>
          <w:spacing w:val="5"/>
          <w:w w:val="105"/>
          <w:sz w:val="13"/>
        </w:rPr>
        <w:t> </w:t>
      </w:r>
      <w:r>
        <w:rPr>
          <w:spacing w:val="3"/>
          <w:w w:val="105"/>
          <w:sz w:val="13"/>
        </w:rPr>
        <w:t>(Law</w:t>
      </w:r>
      <w:r>
        <w:rPr>
          <w:spacing w:val="5"/>
          <w:w w:val="105"/>
          <w:sz w:val="13"/>
        </w:rPr>
        <w:t> </w:t>
      </w:r>
      <w:r>
        <w:rPr>
          <w:w w:val="105"/>
          <w:sz w:val="13"/>
        </w:rPr>
        <w:t>Society</w:t>
      </w:r>
      <w:r>
        <w:rPr>
          <w:spacing w:val="4"/>
          <w:w w:val="105"/>
          <w:sz w:val="13"/>
        </w:rPr>
        <w:t> </w:t>
      </w:r>
      <w:r>
        <w:rPr>
          <w:w w:val="105"/>
          <w:sz w:val="13"/>
        </w:rPr>
        <w:t>of</w:t>
      </w:r>
      <w:r>
        <w:rPr>
          <w:spacing w:val="5"/>
          <w:w w:val="105"/>
          <w:sz w:val="13"/>
        </w:rPr>
        <w:t> </w:t>
      </w:r>
      <w:r>
        <w:rPr>
          <w:w w:val="105"/>
          <w:sz w:val="13"/>
        </w:rPr>
        <w:t>New</w:t>
      </w:r>
      <w:r>
        <w:rPr>
          <w:spacing w:val="5"/>
          <w:w w:val="105"/>
          <w:sz w:val="13"/>
        </w:rPr>
        <w:t> </w:t>
      </w:r>
      <w:r>
        <w:rPr>
          <w:w w:val="105"/>
          <w:sz w:val="13"/>
        </w:rPr>
        <w:t>South</w:t>
      </w:r>
      <w:r>
        <w:rPr>
          <w:spacing w:val="4"/>
          <w:w w:val="105"/>
          <w:sz w:val="13"/>
        </w:rPr>
        <w:t> </w:t>
      </w:r>
      <w:r>
        <w:rPr>
          <w:w w:val="105"/>
          <w:sz w:val="13"/>
        </w:rPr>
        <w:t>Wales).</w:t>
      </w:r>
    </w:p>
    <w:p>
      <w:pPr>
        <w:pStyle w:val="ListParagraph"/>
        <w:numPr>
          <w:ilvl w:val="0"/>
          <w:numId w:val="24"/>
        </w:numPr>
        <w:tabs>
          <w:tab w:pos="2381" w:val="left" w:leader="none"/>
          <w:tab w:pos="2382" w:val="left" w:leader="none"/>
        </w:tabs>
        <w:spacing w:line="240" w:lineRule="auto" w:before="2" w:after="0"/>
        <w:ind w:left="2381" w:right="1604" w:hanging="794"/>
        <w:jc w:val="left"/>
        <w:rPr>
          <w:sz w:val="13"/>
        </w:rPr>
      </w:pPr>
      <w:r>
        <w:rPr>
          <w:w w:val="105"/>
          <w:sz w:val="13"/>
        </w:rPr>
        <w:t>Consultation 1 (Wills roundtable). Submissions 8 (Patricia Strachan); 21 </w:t>
      </w:r>
      <w:r>
        <w:rPr>
          <w:spacing w:val="2"/>
          <w:w w:val="105"/>
          <w:sz w:val="13"/>
        </w:rPr>
        <w:t>(Office </w:t>
      </w:r>
      <w:r>
        <w:rPr>
          <w:w w:val="105"/>
          <w:sz w:val="13"/>
        </w:rPr>
        <w:t>of the Public Advocate); 25 </w:t>
      </w:r>
      <w:r>
        <w:rPr>
          <w:spacing w:val="2"/>
          <w:w w:val="105"/>
          <w:sz w:val="13"/>
        </w:rPr>
        <w:t>(Moores </w:t>
      </w:r>
      <w:r>
        <w:rPr>
          <w:w w:val="105"/>
          <w:sz w:val="13"/>
        </w:rPr>
        <w:t>Legal); 26 </w:t>
      </w:r>
      <w:r>
        <w:rPr>
          <w:spacing w:val="2"/>
          <w:w w:val="105"/>
          <w:sz w:val="13"/>
        </w:rPr>
        <w:t>(Rigby </w:t>
      </w:r>
      <w:r>
        <w:rPr>
          <w:w w:val="105"/>
          <w:sz w:val="13"/>
        </w:rPr>
        <w:t>Cooke </w:t>
      </w:r>
      <w:r>
        <w:rPr>
          <w:spacing w:val="2"/>
          <w:w w:val="105"/>
          <w:sz w:val="13"/>
        </w:rPr>
        <w:t>Lawyers); </w:t>
      </w:r>
      <w:r>
        <w:rPr>
          <w:w w:val="105"/>
          <w:sz w:val="13"/>
        </w:rPr>
        <w:t>30a </w:t>
      </w:r>
      <w:r>
        <w:rPr>
          <w:spacing w:val="3"/>
          <w:w w:val="105"/>
          <w:sz w:val="13"/>
        </w:rPr>
        <w:t>(Law </w:t>
      </w:r>
      <w:r>
        <w:rPr>
          <w:w w:val="105"/>
          <w:sz w:val="13"/>
        </w:rPr>
        <w:t>Institute of </w:t>
      </w:r>
      <w:r>
        <w:rPr>
          <w:spacing w:val="2"/>
          <w:w w:val="105"/>
          <w:sz w:val="13"/>
        </w:rPr>
        <w:t>Victoria); </w:t>
      </w:r>
      <w:r>
        <w:rPr>
          <w:w w:val="105"/>
          <w:sz w:val="13"/>
        </w:rPr>
        <w:t>31 (Seniors Rights</w:t>
      </w:r>
      <w:r>
        <w:rPr>
          <w:spacing w:val="1"/>
          <w:w w:val="105"/>
          <w:sz w:val="13"/>
        </w:rPr>
        <w:t> </w:t>
      </w:r>
      <w:r>
        <w:rPr>
          <w:spacing w:val="2"/>
          <w:w w:val="105"/>
          <w:sz w:val="13"/>
        </w:rPr>
        <w:t>Victoria).</w:t>
      </w:r>
    </w:p>
    <w:p>
      <w:pPr>
        <w:pStyle w:val="ListParagraph"/>
        <w:numPr>
          <w:ilvl w:val="0"/>
          <w:numId w:val="24"/>
        </w:numPr>
        <w:tabs>
          <w:tab w:pos="2381" w:val="left" w:leader="none"/>
          <w:tab w:pos="2382" w:val="left" w:leader="none"/>
        </w:tabs>
        <w:spacing w:line="240" w:lineRule="auto" w:before="2" w:after="0"/>
        <w:ind w:left="2381" w:right="1913" w:hanging="794"/>
        <w:jc w:val="left"/>
        <w:rPr>
          <w:sz w:val="13"/>
        </w:rPr>
      </w:pPr>
      <w:r>
        <w:rPr/>
        <w:pict>
          <v:shape style="position:absolute;margin-left:552.254517pt;margin-top:18.896467pt;width:6.7pt;height:14.25pt;mso-position-horizontal-relative:page;mso-position-vertical-relative:paragraph;z-index:1792" type="#_x0000_t202" filled="false" stroked="false">
            <v:textbox inset="0,0,0,0">
              <w:txbxContent>
                <w:p>
                  <w:pPr>
                    <w:spacing w:line="284" w:lineRule="exact" w:before="0"/>
                    <w:ind w:left="0" w:right="0" w:firstLine="0"/>
                    <w:jc w:val="left"/>
                    <w:rPr>
                      <w:b/>
                      <w:sz w:val="24"/>
                    </w:rPr>
                  </w:pPr>
                  <w:r>
                    <w:rPr>
                      <w:b/>
                      <w:color w:val="EC5A4F"/>
                      <w:w w:val="109"/>
                      <w:sz w:val="24"/>
                    </w:rPr>
                    <w:t>7</w:t>
                  </w:r>
                </w:p>
              </w:txbxContent>
            </v:textbox>
            <w10:wrap type="none"/>
          </v:shape>
        </w:pict>
      </w:r>
      <w:r>
        <w:rPr>
          <w:w w:val="105"/>
          <w:sz w:val="13"/>
        </w:rPr>
        <w:t>Consultations 1 (Wills roundtable); 4 </w:t>
      </w:r>
      <w:r>
        <w:rPr>
          <w:spacing w:val="2"/>
          <w:w w:val="105"/>
          <w:sz w:val="13"/>
        </w:rPr>
        <w:t>(Legal </w:t>
      </w:r>
      <w:r>
        <w:rPr>
          <w:w w:val="105"/>
          <w:sz w:val="13"/>
        </w:rPr>
        <w:t>practitioners from the Goulburn Valley and Loddon Campaspe Community Legal Centres). Submissions 8 (Patricia Strachan); 25 </w:t>
      </w:r>
      <w:r>
        <w:rPr>
          <w:spacing w:val="2"/>
          <w:w w:val="105"/>
          <w:sz w:val="13"/>
        </w:rPr>
        <w:t>(Moores </w:t>
      </w:r>
      <w:r>
        <w:rPr>
          <w:w w:val="105"/>
          <w:sz w:val="13"/>
        </w:rPr>
        <w:t>Legal); 30a </w:t>
      </w:r>
      <w:r>
        <w:rPr>
          <w:spacing w:val="3"/>
          <w:w w:val="105"/>
          <w:sz w:val="13"/>
        </w:rPr>
        <w:t>(Law </w:t>
      </w:r>
      <w:r>
        <w:rPr>
          <w:w w:val="105"/>
          <w:sz w:val="13"/>
        </w:rPr>
        <w:t>Institute of </w:t>
      </w:r>
      <w:r>
        <w:rPr>
          <w:spacing w:val="2"/>
          <w:w w:val="105"/>
          <w:sz w:val="13"/>
        </w:rPr>
        <w:t>Victoria); </w:t>
      </w:r>
      <w:r>
        <w:rPr>
          <w:w w:val="105"/>
          <w:sz w:val="13"/>
        </w:rPr>
        <w:t>31 (Seniors Rights </w:t>
      </w:r>
      <w:r>
        <w:rPr>
          <w:spacing w:val="2"/>
          <w:w w:val="105"/>
          <w:sz w:val="13"/>
        </w:rPr>
        <w:t>Victoria); </w:t>
      </w:r>
      <w:r>
        <w:rPr>
          <w:w w:val="105"/>
          <w:sz w:val="13"/>
        </w:rPr>
        <w:t>33 (State Trustees Limited).</w:t>
      </w:r>
    </w:p>
    <w:p>
      <w:pPr>
        <w:pStyle w:val="ListParagraph"/>
        <w:numPr>
          <w:ilvl w:val="0"/>
          <w:numId w:val="24"/>
        </w:numPr>
        <w:tabs>
          <w:tab w:pos="2381" w:val="left" w:leader="none"/>
          <w:tab w:pos="2382" w:val="left" w:leader="none"/>
        </w:tabs>
        <w:spacing w:line="240" w:lineRule="auto" w:before="4" w:after="0"/>
        <w:ind w:left="2381" w:right="0" w:hanging="794"/>
        <w:jc w:val="left"/>
        <w:rPr>
          <w:sz w:val="13"/>
        </w:rPr>
      </w:pPr>
      <w:r>
        <w:rPr>
          <w:w w:val="105"/>
          <w:sz w:val="13"/>
        </w:rPr>
        <w:t>See,</w:t>
      </w:r>
      <w:r>
        <w:rPr>
          <w:spacing w:val="5"/>
          <w:w w:val="105"/>
          <w:sz w:val="13"/>
        </w:rPr>
        <w:t> </w:t>
      </w:r>
      <w:r>
        <w:rPr>
          <w:w w:val="105"/>
          <w:sz w:val="13"/>
        </w:rPr>
        <w:t>eg,</w:t>
      </w:r>
      <w:r>
        <w:rPr>
          <w:spacing w:val="5"/>
          <w:w w:val="105"/>
          <w:sz w:val="13"/>
        </w:rPr>
        <w:t> </w:t>
      </w:r>
      <w:r>
        <w:rPr>
          <w:w w:val="105"/>
          <w:sz w:val="13"/>
        </w:rPr>
        <w:t>submissions</w:t>
      </w:r>
      <w:r>
        <w:rPr>
          <w:spacing w:val="5"/>
          <w:w w:val="105"/>
          <w:sz w:val="13"/>
        </w:rPr>
        <w:t> </w:t>
      </w:r>
      <w:r>
        <w:rPr>
          <w:w w:val="105"/>
          <w:sz w:val="13"/>
        </w:rPr>
        <w:t>30a</w:t>
      </w:r>
      <w:r>
        <w:rPr>
          <w:spacing w:val="5"/>
          <w:w w:val="105"/>
          <w:sz w:val="13"/>
        </w:rPr>
        <w:t> </w:t>
      </w:r>
      <w:r>
        <w:rPr>
          <w:spacing w:val="3"/>
          <w:w w:val="105"/>
          <w:sz w:val="13"/>
        </w:rPr>
        <w:t>(Law</w:t>
      </w:r>
      <w:r>
        <w:rPr>
          <w:spacing w:val="5"/>
          <w:w w:val="105"/>
          <w:sz w:val="13"/>
        </w:rPr>
        <w:t> </w:t>
      </w:r>
      <w:r>
        <w:rPr>
          <w:w w:val="105"/>
          <w:sz w:val="13"/>
        </w:rPr>
        <w:t>Institute</w:t>
      </w:r>
      <w:r>
        <w:rPr>
          <w:spacing w:val="5"/>
          <w:w w:val="105"/>
          <w:sz w:val="13"/>
        </w:rPr>
        <w:t> </w:t>
      </w:r>
      <w:r>
        <w:rPr>
          <w:w w:val="105"/>
          <w:sz w:val="13"/>
        </w:rPr>
        <w:t>of</w:t>
      </w:r>
      <w:r>
        <w:rPr>
          <w:spacing w:val="5"/>
          <w:w w:val="105"/>
          <w:sz w:val="13"/>
        </w:rPr>
        <w:t> </w:t>
      </w:r>
      <w:r>
        <w:rPr>
          <w:spacing w:val="2"/>
          <w:w w:val="105"/>
          <w:sz w:val="13"/>
        </w:rPr>
        <w:t>Victoria);</w:t>
      </w:r>
      <w:r>
        <w:rPr>
          <w:spacing w:val="5"/>
          <w:w w:val="105"/>
          <w:sz w:val="13"/>
        </w:rPr>
        <w:t> </w:t>
      </w:r>
      <w:r>
        <w:rPr>
          <w:w w:val="105"/>
          <w:sz w:val="13"/>
        </w:rPr>
        <w:t>35</w:t>
      </w:r>
      <w:r>
        <w:rPr>
          <w:spacing w:val="5"/>
          <w:w w:val="105"/>
          <w:sz w:val="13"/>
        </w:rPr>
        <w:t> </w:t>
      </w:r>
      <w:r>
        <w:rPr>
          <w:w w:val="105"/>
          <w:sz w:val="13"/>
        </w:rPr>
        <w:t>(Andrew</w:t>
      </w:r>
      <w:r>
        <w:rPr>
          <w:spacing w:val="5"/>
          <w:w w:val="105"/>
          <w:sz w:val="13"/>
        </w:rPr>
        <w:t> </w:t>
      </w:r>
      <w:r>
        <w:rPr>
          <w:w w:val="105"/>
          <w:sz w:val="13"/>
        </w:rPr>
        <w:t>Verspaandonk);</w:t>
      </w:r>
      <w:r>
        <w:rPr>
          <w:spacing w:val="5"/>
          <w:w w:val="105"/>
          <w:sz w:val="13"/>
        </w:rPr>
        <w:t> </w:t>
      </w:r>
      <w:r>
        <w:rPr>
          <w:w w:val="105"/>
          <w:sz w:val="13"/>
        </w:rPr>
        <w:t>39</w:t>
      </w:r>
      <w:r>
        <w:rPr>
          <w:spacing w:val="5"/>
          <w:w w:val="105"/>
          <w:sz w:val="13"/>
        </w:rPr>
        <w:t> </w:t>
      </w:r>
      <w:r>
        <w:rPr>
          <w:w w:val="105"/>
          <w:sz w:val="13"/>
        </w:rPr>
        <w:t>(Carolyn</w:t>
      </w:r>
      <w:r>
        <w:rPr>
          <w:spacing w:val="5"/>
          <w:w w:val="105"/>
          <w:sz w:val="13"/>
        </w:rPr>
        <w:t> </w:t>
      </w:r>
      <w:r>
        <w:rPr>
          <w:w w:val="105"/>
          <w:sz w:val="13"/>
        </w:rPr>
        <w:t>Sparke</w:t>
      </w:r>
      <w:r>
        <w:rPr>
          <w:spacing w:val="6"/>
          <w:w w:val="105"/>
          <w:sz w:val="13"/>
        </w:rPr>
        <w:t> </w:t>
      </w:r>
      <w:r>
        <w:rPr>
          <w:w w:val="105"/>
          <w:sz w:val="13"/>
        </w:rPr>
        <w:t>SC).</w:t>
      </w:r>
    </w:p>
    <w:p>
      <w:pPr>
        <w:spacing w:after="0" w:line="240" w:lineRule="auto"/>
        <w:jc w:val="left"/>
        <w:rPr>
          <w:sz w:val="13"/>
        </w:rPr>
        <w:sectPr>
          <w:headerReference w:type="default" r:id="rId24"/>
          <w:headerReference w:type="even" r:id="rId25"/>
          <w:pgSz w:w="11910" w:h="16840"/>
          <w:pgMar w:header="805" w:footer="0" w:top="1360" w:bottom="280" w:left="0" w:right="0"/>
        </w:sectPr>
      </w:pPr>
    </w:p>
    <w:p>
      <w:pPr>
        <w:pStyle w:val="BodyText"/>
        <w:spacing w:before="9"/>
        <w:rPr>
          <w:sz w:val="22"/>
        </w:rPr>
      </w:pPr>
    </w:p>
    <w:p>
      <w:pPr>
        <w:pStyle w:val="ListParagraph"/>
        <w:numPr>
          <w:ilvl w:val="1"/>
          <w:numId w:val="22"/>
        </w:numPr>
        <w:tabs>
          <w:tab w:pos="2381" w:val="left" w:leader="none"/>
          <w:tab w:pos="2382" w:val="left" w:leader="none"/>
        </w:tabs>
        <w:spacing w:line="242" w:lineRule="auto" w:before="92" w:after="0"/>
        <w:ind w:left="2381" w:right="2188" w:hanging="794"/>
        <w:jc w:val="left"/>
        <w:rPr>
          <w:sz w:val="12"/>
        </w:rPr>
      </w:pPr>
      <w:r>
        <w:rPr>
          <w:w w:val="105"/>
          <w:sz w:val="21"/>
        </w:rPr>
        <w:t>Some </w:t>
      </w:r>
      <w:r>
        <w:rPr>
          <w:spacing w:val="-3"/>
          <w:w w:val="105"/>
          <w:sz w:val="21"/>
        </w:rPr>
        <w:t>submissions </w:t>
      </w:r>
      <w:r>
        <w:rPr>
          <w:w w:val="105"/>
          <w:sz w:val="21"/>
        </w:rPr>
        <w:t>supported </w:t>
      </w:r>
      <w:r>
        <w:rPr>
          <w:spacing w:val="-3"/>
          <w:w w:val="105"/>
          <w:sz w:val="21"/>
        </w:rPr>
        <w:t>introducing </w:t>
      </w:r>
      <w:r>
        <w:rPr>
          <w:w w:val="105"/>
          <w:sz w:val="21"/>
        </w:rPr>
        <w:t>witnessing </w:t>
      </w:r>
      <w:r>
        <w:rPr>
          <w:spacing w:val="-3"/>
          <w:w w:val="105"/>
          <w:sz w:val="21"/>
        </w:rPr>
        <w:t>requirements that are similar to </w:t>
      </w:r>
      <w:r>
        <w:rPr>
          <w:w w:val="105"/>
          <w:sz w:val="21"/>
        </w:rPr>
        <w:t>those </w:t>
      </w:r>
      <w:r>
        <w:rPr>
          <w:spacing w:val="-3"/>
          <w:w w:val="105"/>
          <w:sz w:val="21"/>
        </w:rPr>
        <w:t>for executing </w:t>
      </w:r>
      <w:r>
        <w:rPr>
          <w:w w:val="105"/>
          <w:sz w:val="21"/>
        </w:rPr>
        <w:t>a power of </w:t>
      </w:r>
      <w:r>
        <w:rPr>
          <w:spacing w:val="-6"/>
          <w:w w:val="105"/>
          <w:sz w:val="21"/>
        </w:rPr>
        <w:t>attorney.</w:t>
      </w:r>
      <w:r>
        <w:rPr>
          <w:spacing w:val="-6"/>
          <w:w w:val="105"/>
          <w:position w:val="7"/>
          <w:sz w:val="12"/>
        </w:rPr>
        <w:t>17 </w:t>
      </w:r>
      <w:r>
        <w:rPr>
          <w:spacing w:val="-4"/>
          <w:w w:val="105"/>
          <w:sz w:val="21"/>
        </w:rPr>
        <w:t>However, </w:t>
      </w:r>
      <w:r>
        <w:rPr>
          <w:w w:val="105"/>
          <w:sz w:val="21"/>
        </w:rPr>
        <w:t>others </w:t>
      </w:r>
      <w:r>
        <w:rPr>
          <w:spacing w:val="-3"/>
          <w:w w:val="105"/>
          <w:sz w:val="21"/>
        </w:rPr>
        <w:t>noted that </w:t>
      </w:r>
      <w:r>
        <w:rPr>
          <w:w w:val="105"/>
          <w:sz w:val="21"/>
        </w:rPr>
        <w:t>this is a </w:t>
      </w:r>
      <w:r>
        <w:rPr>
          <w:spacing w:val="-3"/>
          <w:w w:val="105"/>
          <w:sz w:val="21"/>
        </w:rPr>
        <w:t>fundamentally</w:t>
      </w:r>
      <w:r>
        <w:rPr>
          <w:spacing w:val="-6"/>
          <w:w w:val="105"/>
          <w:sz w:val="21"/>
        </w:rPr>
        <w:t> </w:t>
      </w:r>
      <w:r>
        <w:rPr>
          <w:spacing w:val="-3"/>
          <w:w w:val="105"/>
          <w:sz w:val="21"/>
        </w:rPr>
        <w:t>different</w:t>
      </w:r>
      <w:r>
        <w:rPr>
          <w:spacing w:val="-6"/>
          <w:w w:val="105"/>
          <w:sz w:val="21"/>
        </w:rPr>
        <w:t> </w:t>
      </w:r>
      <w:r>
        <w:rPr>
          <w:w w:val="105"/>
          <w:sz w:val="21"/>
        </w:rPr>
        <w:t>type</w:t>
      </w:r>
      <w:r>
        <w:rPr>
          <w:spacing w:val="-6"/>
          <w:w w:val="105"/>
          <w:sz w:val="21"/>
        </w:rPr>
        <w:t> </w:t>
      </w:r>
      <w:r>
        <w:rPr>
          <w:w w:val="105"/>
          <w:sz w:val="21"/>
        </w:rPr>
        <w:t>of</w:t>
      </w:r>
      <w:r>
        <w:rPr>
          <w:spacing w:val="-5"/>
          <w:w w:val="105"/>
          <w:sz w:val="21"/>
        </w:rPr>
        <w:t> </w:t>
      </w:r>
      <w:r>
        <w:rPr>
          <w:w w:val="105"/>
          <w:sz w:val="21"/>
        </w:rPr>
        <w:t>document,</w:t>
      </w:r>
      <w:r>
        <w:rPr>
          <w:spacing w:val="-6"/>
          <w:w w:val="105"/>
          <w:sz w:val="21"/>
        </w:rPr>
        <w:t> </w:t>
      </w:r>
      <w:r>
        <w:rPr>
          <w:w w:val="105"/>
          <w:sz w:val="21"/>
        </w:rPr>
        <w:t>where</w:t>
      </w:r>
      <w:r>
        <w:rPr>
          <w:spacing w:val="-6"/>
          <w:w w:val="105"/>
          <w:sz w:val="21"/>
        </w:rPr>
        <w:t> </w:t>
      </w:r>
      <w:r>
        <w:rPr>
          <w:w w:val="105"/>
          <w:sz w:val="21"/>
        </w:rPr>
        <w:t>the</w:t>
      </w:r>
      <w:r>
        <w:rPr>
          <w:spacing w:val="-5"/>
          <w:w w:val="105"/>
          <w:sz w:val="21"/>
        </w:rPr>
        <w:t> </w:t>
      </w:r>
      <w:r>
        <w:rPr>
          <w:w w:val="105"/>
          <w:sz w:val="21"/>
        </w:rPr>
        <w:t>person</w:t>
      </w:r>
      <w:r>
        <w:rPr>
          <w:spacing w:val="-6"/>
          <w:w w:val="105"/>
          <w:sz w:val="21"/>
        </w:rPr>
        <w:t> </w:t>
      </w:r>
      <w:r>
        <w:rPr>
          <w:spacing w:val="-3"/>
          <w:w w:val="105"/>
          <w:sz w:val="21"/>
        </w:rPr>
        <w:t>appointed</w:t>
      </w:r>
      <w:r>
        <w:rPr>
          <w:spacing w:val="-6"/>
          <w:w w:val="105"/>
          <w:sz w:val="21"/>
        </w:rPr>
        <w:t> </w:t>
      </w:r>
      <w:r>
        <w:rPr>
          <w:spacing w:val="-3"/>
          <w:w w:val="105"/>
          <w:sz w:val="21"/>
        </w:rPr>
        <w:t>usually</w:t>
      </w:r>
      <w:r>
        <w:rPr>
          <w:spacing w:val="-5"/>
          <w:w w:val="105"/>
          <w:sz w:val="21"/>
        </w:rPr>
        <w:t> </w:t>
      </w:r>
      <w:r>
        <w:rPr>
          <w:spacing w:val="-2"/>
          <w:w w:val="105"/>
          <w:sz w:val="21"/>
        </w:rPr>
        <w:t>has </w:t>
      </w:r>
      <w:r>
        <w:rPr>
          <w:w w:val="105"/>
          <w:sz w:val="21"/>
        </w:rPr>
        <w:t>power over </w:t>
      </w:r>
      <w:r>
        <w:rPr>
          <w:spacing w:val="-3"/>
          <w:w w:val="105"/>
          <w:sz w:val="21"/>
        </w:rPr>
        <w:t>all </w:t>
      </w:r>
      <w:r>
        <w:rPr>
          <w:w w:val="105"/>
          <w:sz w:val="21"/>
        </w:rPr>
        <w:t>of the </w:t>
      </w:r>
      <w:r>
        <w:rPr>
          <w:spacing w:val="-3"/>
          <w:w w:val="105"/>
          <w:sz w:val="21"/>
        </w:rPr>
        <w:t>donor’s </w:t>
      </w:r>
      <w:r>
        <w:rPr>
          <w:w w:val="105"/>
          <w:sz w:val="21"/>
        </w:rPr>
        <w:t>assets while the donor is</w:t>
      </w:r>
      <w:r>
        <w:rPr>
          <w:spacing w:val="34"/>
          <w:w w:val="105"/>
          <w:sz w:val="21"/>
        </w:rPr>
        <w:t> </w:t>
      </w:r>
      <w:r>
        <w:rPr>
          <w:spacing w:val="-6"/>
          <w:w w:val="105"/>
          <w:sz w:val="21"/>
        </w:rPr>
        <w:t>alive.</w:t>
      </w:r>
      <w:r>
        <w:rPr>
          <w:spacing w:val="-6"/>
          <w:w w:val="105"/>
          <w:position w:val="7"/>
          <w:sz w:val="12"/>
        </w:rPr>
        <w:t>18</w:t>
      </w:r>
    </w:p>
    <w:p>
      <w:pPr>
        <w:pStyle w:val="ListParagraph"/>
        <w:numPr>
          <w:ilvl w:val="1"/>
          <w:numId w:val="22"/>
        </w:numPr>
        <w:tabs>
          <w:tab w:pos="2380" w:val="left" w:leader="none"/>
          <w:tab w:pos="2382" w:val="left" w:leader="none"/>
        </w:tabs>
        <w:spacing w:line="242" w:lineRule="auto" w:before="124" w:after="0"/>
        <w:ind w:left="2381" w:right="1670" w:hanging="794"/>
        <w:jc w:val="left"/>
        <w:rPr>
          <w:sz w:val="21"/>
        </w:rPr>
      </w:pPr>
      <w:r>
        <w:rPr>
          <w:sz w:val="21"/>
        </w:rPr>
        <w:t>The </w:t>
      </w:r>
      <w:r>
        <w:rPr>
          <w:spacing w:val="-3"/>
          <w:sz w:val="21"/>
        </w:rPr>
        <w:t>Commission </w:t>
      </w:r>
      <w:r>
        <w:rPr>
          <w:sz w:val="21"/>
        </w:rPr>
        <w:t>is of the view </w:t>
      </w:r>
      <w:r>
        <w:rPr>
          <w:spacing w:val="-3"/>
          <w:sz w:val="21"/>
        </w:rPr>
        <w:t>that </w:t>
      </w:r>
      <w:r>
        <w:rPr>
          <w:sz w:val="21"/>
        </w:rPr>
        <w:t>none of these possible </w:t>
      </w:r>
      <w:r>
        <w:rPr>
          <w:spacing w:val="-3"/>
          <w:sz w:val="21"/>
        </w:rPr>
        <w:t>changes to </w:t>
      </w:r>
      <w:r>
        <w:rPr>
          <w:sz w:val="21"/>
        </w:rPr>
        <w:t>the witnessing </w:t>
      </w:r>
      <w:r>
        <w:rPr>
          <w:spacing w:val="-3"/>
          <w:sz w:val="21"/>
        </w:rPr>
        <w:t>requirements </w:t>
      </w:r>
      <w:r>
        <w:rPr>
          <w:sz w:val="21"/>
        </w:rPr>
        <w:t>should be </w:t>
      </w:r>
      <w:r>
        <w:rPr>
          <w:spacing w:val="-3"/>
          <w:sz w:val="21"/>
        </w:rPr>
        <w:t>made. </w:t>
      </w:r>
      <w:r>
        <w:rPr>
          <w:sz w:val="21"/>
        </w:rPr>
        <w:t>Apart </w:t>
      </w:r>
      <w:r>
        <w:rPr>
          <w:spacing w:val="-3"/>
          <w:sz w:val="21"/>
        </w:rPr>
        <w:t>from </w:t>
      </w:r>
      <w:r>
        <w:rPr>
          <w:sz w:val="21"/>
        </w:rPr>
        <w:t>the </w:t>
      </w:r>
      <w:r>
        <w:rPr>
          <w:spacing w:val="-3"/>
          <w:sz w:val="21"/>
        </w:rPr>
        <w:t>reasons outlined above, any change to </w:t>
      </w:r>
      <w:r>
        <w:rPr>
          <w:sz w:val="21"/>
        </w:rPr>
        <w:t>the witnessing </w:t>
      </w:r>
      <w:r>
        <w:rPr>
          <w:spacing w:val="-3"/>
          <w:sz w:val="21"/>
        </w:rPr>
        <w:t>requirements could </w:t>
      </w:r>
      <w:r>
        <w:rPr>
          <w:sz w:val="21"/>
        </w:rPr>
        <w:t>be ineffective  because  the  </w:t>
      </w:r>
      <w:r>
        <w:rPr>
          <w:spacing w:val="-3"/>
          <w:sz w:val="21"/>
        </w:rPr>
        <w:t>Court  may  exercise  </w:t>
      </w:r>
      <w:r>
        <w:rPr>
          <w:sz w:val="21"/>
        </w:rPr>
        <w:t>its  power </w:t>
      </w:r>
      <w:r>
        <w:rPr>
          <w:spacing w:val="-3"/>
          <w:sz w:val="21"/>
        </w:rPr>
        <w:t>to</w:t>
      </w:r>
      <w:r>
        <w:rPr>
          <w:spacing w:val="19"/>
          <w:sz w:val="21"/>
        </w:rPr>
        <w:t> </w:t>
      </w:r>
      <w:r>
        <w:rPr>
          <w:sz w:val="21"/>
        </w:rPr>
        <w:t>dispense</w:t>
      </w:r>
      <w:r>
        <w:rPr>
          <w:spacing w:val="19"/>
          <w:sz w:val="21"/>
        </w:rPr>
        <w:t> </w:t>
      </w:r>
      <w:r>
        <w:rPr>
          <w:sz w:val="21"/>
        </w:rPr>
        <w:t>with</w:t>
      </w:r>
      <w:r>
        <w:rPr>
          <w:spacing w:val="20"/>
          <w:sz w:val="21"/>
        </w:rPr>
        <w:t> </w:t>
      </w:r>
      <w:r>
        <w:rPr>
          <w:sz w:val="21"/>
        </w:rPr>
        <w:t>the</w:t>
      </w:r>
      <w:r>
        <w:rPr>
          <w:spacing w:val="19"/>
          <w:sz w:val="21"/>
        </w:rPr>
        <w:t> </w:t>
      </w:r>
      <w:r>
        <w:rPr>
          <w:spacing w:val="-3"/>
          <w:sz w:val="21"/>
        </w:rPr>
        <w:t>formal</w:t>
      </w:r>
      <w:r>
        <w:rPr>
          <w:spacing w:val="19"/>
          <w:sz w:val="21"/>
        </w:rPr>
        <w:t> </w:t>
      </w:r>
      <w:r>
        <w:rPr>
          <w:spacing w:val="-3"/>
          <w:sz w:val="21"/>
        </w:rPr>
        <w:t>requirements</w:t>
      </w:r>
      <w:r>
        <w:rPr>
          <w:spacing w:val="20"/>
          <w:sz w:val="21"/>
        </w:rPr>
        <w:t> </w:t>
      </w:r>
      <w:r>
        <w:rPr>
          <w:sz w:val="21"/>
        </w:rPr>
        <w:t>which</w:t>
      </w:r>
      <w:r>
        <w:rPr>
          <w:spacing w:val="19"/>
          <w:sz w:val="21"/>
        </w:rPr>
        <w:t> </w:t>
      </w:r>
      <w:r>
        <w:rPr>
          <w:sz w:val="21"/>
        </w:rPr>
        <w:t>otherwise</w:t>
      </w:r>
      <w:r>
        <w:rPr>
          <w:spacing w:val="19"/>
          <w:sz w:val="21"/>
        </w:rPr>
        <w:t> </w:t>
      </w:r>
      <w:r>
        <w:rPr>
          <w:sz w:val="21"/>
        </w:rPr>
        <w:t>apply</w:t>
      </w:r>
      <w:r>
        <w:rPr>
          <w:spacing w:val="20"/>
          <w:sz w:val="21"/>
        </w:rPr>
        <w:t> </w:t>
      </w:r>
      <w:r>
        <w:rPr>
          <w:sz w:val="21"/>
        </w:rPr>
        <w:t>in</w:t>
      </w:r>
      <w:r>
        <w:rPr>
          <w:spacing w:val="19"/>
          <w:sz w:val="21"/>
        </w:rPr>
        <w:t> </w:t>
      </w:r>
      <w:r>
        <w:rPr>
          <w:sz w:val="21"/>
        </w:rPr>
        <w:t>the</w:t>
      </w:r>
      <w:r>
        <w:rPr>
          <w:spacing w:val="19"/>
          <w:sz w:val="21"/>
        </w:rPr>
        <w:t> </w:t>
      </w:r>
      <w:r>
        <w:rPr>
          <w:spacing w:val="-3"/>
          <w:sz w:val="21"/>
        </w:rPr>
        <w:t>making</w:t>
      </w:r>
      <w:r>
        <w:rPr>
          <w:spacing w:val="20"/>
          <w:sz w:val="21"/>
        </w:rPr>
        <w:t> </w:t>
      </w:r>
      <w:r>
        <w:rPr>
          <w:sz w:val="21"/>
        </w:rPr>
        <w:t>of</w:t>
      </w:r>
      <w:r>
        <w:rPr>
          <w:spacing w:val="19"/>
          <w:sz w:val="21"/>
        </w:rPr>
        <w:t> </w:t>
      </w:r>
      <w:r>
        <w:rPr>
          <w:sz w:val="21"/>
        </w:rPr>
        <w:t>a</w:t>
      </w:r>
      <w:r>
        <w:rPr>
          <w:spacing w:val="19"/>
          <w:sz w:val="21"/>
        </w:rPr>
        <w:t> </w:t>
      </w:r>
      <w:r>
        <w:rPr>
          <w:spacing w:val="-3"/>
          <w:sz w:val="21"/>
        </w:rPr>
        <w:t>will.</w:t>
      </w:r>
    </w:p>
    <w:p>
      <w:pPr>
        <w:pStyle w:val="BodyText"/>
        <w:spacing w:line="242" w:lineRule="auto" w:before="4"/>
        <w:ind w:left="2381" w:right="1619"/>
      </w:pPr>
      <w:r>
        <w:rPr/>
        <w:t>A </w:t>
      </w:r>
      <w:r>
        <w:rPr>
          <w:spacing w:val="-3"/>
        </w:rPr>
        <w:t>will </w:t>
      </w:r>
      <w:r>
        <w:rPr/>
        <w:t>without </w:t>
      </w:r>
      <w:r>
        <w:rPr>
          <w:spacing w:val="-3"/>
        </w:rPr>
        <w:t>any </w:t>
      </w:r>
      <w:r>
        <w:rPr/>
        <w:t>witnesses </w:t>
      </w:r>
      <w:r>
        <w:rPr>
          <w:spacing w:val="-3"/>
        </w:rPr>
        <w:t>could </w:t>
      </w:r>
      <w:r>
        <w:rPr/>
        <w:t>still be upheld by a  court  </w:t>
      </w:r>
      <w:r>
        <w:rPr>
          <w:spacing w:val="-3"/>
        </w:rPr>
        <w:t>exercising  </w:t>
      </w:r>
      <w:r>
        <w:rPr/>
        <w:t>the  </w:t>
      </w:r>
      <w:r>
        <w:rPr>
          <w:spacing w:val="-3"/>
        </w:rPr>
        <w:t>dispensing </w:t>
      </w:r>
      <w:r>
        <w:rPr>
          <w:spacing w:val="-5"/>
        </w:rPr>
        <w:t>power, </w:t>
      </w:r>
      <w:r>
        <w:rPr/>
        <w:t>and a </w:t>
      </w:r>
      <w:r>
        <w:rPr>
          <w:spacing w:val="-3"/>
        </w:rPr>
        <w:t>will that </w:t>
      </w:r>
      <w:r>
        <w:rPr/>
        <w:t>did </w:t>
      </w:r>
      <w:r>
        <w:rPr>
          <w:spacing w:val="-2"/>
        </w:rPr>
        <w:t>not </w:t>
      </w:r>
      <w:r>
        <w:rPr/>
        <w:t>meet </w:t>
      </w:r>
      <w:r>
        <w:rPr>
          <w:spacing w:val="-3"/>
        </w:rPr>
        <w:t>any </w:t>
      </w:r>
      <w:r>
        <w:rPr/>
        <w:t>new witnessing </w:t>
      </w:r>
      <w:r>
        <w:rPr>
          <w:spacing w:val="-3"/>
        </w:rPr>
        <w:t>requirement could </w:t>
      </w:r>
      <w:r>
        <w:rPr/>
        <w:t>also be upheld under this</w:t>
      </w:r>
      <w:r>
        <w:rPr>
          <w:spacing w:val="16"/>
        </w:rPr>
        <w:t> </w:t>
      </w:r>
      <w:r>
        <w:rPr>
          <w:spacing w:val="-5"/>
        </w:rPr>
        <w:t>power.</w:t>
      </w:r>
    </w:p>
    <w:p>
      <w:pPr>
        <w:pStyle w:val="BodyText"/>
        <w:spacing w:before="12"/>
        <w:rPr>
          <w:sz w:val="26"/>
        </w:rPr>
      </w:pPr>
    </w:p>
    <w:p>
      <w:pPr>
        <w:pStyle w:val="Heading6"/>
        <w:spacing w:line="283" w:lineRule="auto"/>
        <w:ind w:right="1619"/>
      </w:pPr>
      <w:r>
        <w:rPr>
          <w:w w:val="120"/>
        </w:rPr>
        <w:t>Requiring</w:t>
      </w:r>
      <w:r>
        <w:rPr>
          <w:spacing w:val="-33"/>
          <w:w w:val="120"/>
        </w:rPr>
        <w:t> </w:t>
      </w:r>
      <w:r>
        <w:rPr>
          <w:w w:val="120"/>
        </w:rPr>
        <w:t>that</w:t>
      </w:r>
      <w:r>
        <w:rPr>
          <w:spacing w:val="-33"/>
          <w:w w:val="120"/>
        </w:rPr>
        <w:t> </w:t>
      </w:r>
      <w:r>
        <w:rPr>
          <w:w w:val="120"/>
        </w:rPr>
        <w:t>one</w:t>
      </w:r>
      <w:r>
        <w:rPr>
          <w:spacing w:val="-33"/>
          <w:w w:val="120"/>
        </w:rPr>
        <w:t> </w:t>
      </w:r>
      <w:r>
        <w:rPr>
          <w:w w:val="120"/>
        </w:rPr>
        <w:t>of</w:t>
      </w:r>
      <w:r>
        <w:rPr>
          <w:spacing w:val="-32"/>
          <w:w w:val="120"/>
        </w:rPr>
        <w:t> </w:t>
      </w:r>
      <w:r>
        <w:rPr>
          <w:w w:val="120"/>
        </w:rPr>
        <w:t>the</w:t>
      </w:r>
      <w:r>
        <w:rPr>
          <w:spacing w:val="-33"/>
          <w:w w:val="120"/>
        </w:rPr>
        <w:t> </w:t>
      </w:r>
      <w:r>
        <w:rPr>
          <w:w w:val="120"/>
        </w:rPr>
        <w:t>witnesses</w:t>
      </w:r>
      <w:r>
        <w:rPr>
          <w:spacing w:val="-33"/>
          <w:w w:val="120"/>
        </w:rPr>
        <w:t> </w:t>
      </w:r>
      <w:r>
        <w:rPr>
          <w:w w:val="120"/>
        </w:rPr>
        <w:t>be</w:t>
      </w:r>
      <w:r>
        <w:rPr>
          <w:spacing w:val="-32"/>
          <w:w w:val="120"/>
        </w:rPr>
        <w:t> </w:t>
      </w:r>
      <w:r>
        <w:rPr>
          <w:w w:val="120"/>
        </w:rPr>
        <w:t>authorised</w:t>
      </w:r>
      <w:r>
        <w:rPr>
          <w:spacing w:val="-33"/>
          <w:w w:val="120"/>
        </w:rPr>
        <w:t> </w:t>
      </w:r>
      <w:r>
        <w:rPr>
          <w:w w:val="120"/>
        </w:rPr>
        <w:t>to</w:t>
      </w:r>
      <w:r>
        <w:rPr>
          <w:spacing w:val="-33"/>
          <w:w w:val="120"/>
        </w:rPr>
        <w:t> </w:t>
      </w:r>
      <w:r>
        <w:rPr>
          <w:w w:val="120"/>
        </w:rPr>
        <w:t>witness</w:t>
      </w:r>
      <w:r>
        <w:rPr>
          <w:spacing w:val="-32"/>
          <w:w w:val="120"/>
        </w:rPr>
        <w:t> </w:t>
      </w:r>
      <w:r>
        <w:rPr>
          <w:w w:val="120"/>
        </w:rPr>
        <w:t>a</w:t>
      </w:r>
      <w:r>
        <w:rPr>
          <w:spacing w:val="-33"/>
          <w:w w:val="120"/>
        </w:rPr>
        <w:t> </w:t>
      </w:r>
      <w:r>
        <w:rPr>
          <w:w w:val="120"/>
        </w:rPr>
        <w:t>statutory</w:t>
      </w:r>
      <w:r>
        <w:rPr>
          <w:spacing w:val="-33"/>
          <w:w w:val="120"/>
        </w:rPr>
        <w:t> </w:t>
      </w:r>
      <w:r>
        <w:rPr>
          <w:w w:val="120"/>
        </w:rPr>
        <w:t>declaration or</w:t>
      </w:r>
      <w:r>
        <w:rPr>
          <w:spacing w:val="-13"/>
          <w:w w:val="120"/>
        </w:rPr>
        <w:t> </w:t>
      </w:r>
      <w:r>
        <w:rPr>
          <w:w w:val="120"/>
        </w:rPr>
        <w:t>affidavit</w:t>
      </w:r>
    </w:p>
    <w:p>
      <w:pPr>
        <w:pStyle w:val="ListParagraph"/>
        <w:numPr>
          <w:ilvl w:val="1"/>
          <w:numId w:val="22"/>
        </w:numPr>
        <w:tabs>
          <w:tab w:pos="2381" w:val="left" w:leader="none"/>
          <w:tab w:pos="2382" w:val="left" w:leader="none"/>
        </w:tabs>
        <w:spacing w:line="242" w:lineRule="auto" w:before="104" w:after="0"/>
        <w:ind w:left="2381" w:right="1922" w:hanging="794"/>
        <w:jc w:val="left"/>
        <w:rPr>
          <w:sz w:val="21"/>
        </w:rPr>
      </w:pPr>
      <w:r>
        <w:rPr>
          <w:spacing w:val="-4"/>
          <w:w w:val="105"/>
          <w:sz w:val="21"/>
        </w:rPr>
        <w:t>Currently</w:t>
      </w:r>
      <w:r>
        <w:rPr>
          <w:spacing w:val="-6"/>
          <w:w w:val="105"/>
          <w:sz w:val="21"/>
        </w:rPr>
        <w:t> </w:t>
      </w:r>
      <w:r>
        <w:rPr>
          <w:w w:val="105"/>
          <w:sz w:val="21"/>
        </w:rPr>
        <w:t>in</w:t>
      </w:r>
      <w:r>
        <w:rPr>
          <w:spacing w:val="-6"/>
          <w:w w:val="105"/>
          <w:sz w:val="21"/>
        </w:rPr>
        <w:t> </w:t>
      </w:r>
      <w:r>
        <w:rPr>
          <w:w w:val="105"/>
          <w:sz w:val="21"/>
        </w:rPr>
        <w:t>Victoria,</w:t>
      </w:r>
      <w:r>
        <w:rPr>
          <w:spacing w:val="-6"/>
          <w:w w:val="105"/>
          <w:sz w:val="21"/>
        </w:rPr>
        <w:t> </w:t>
      </w:r>
      <w:r>
        <w:rPr>
          <w:w w:val="105"/>
          <w:sz w:val="21"/>
        </w:rPr>
        <w:t>an</w:t>
      </w:r>
      <w:r>
        <w:rPr>
          <w:spacing w:val="-6"/>
          <w:w w:val="105"/>
          <w:sz w:val="21"/>
        </w:rPr>
        <w:t> </w:t>
      </w:r>
      <w:r>
        <w:rPr>
          <w:spacing w:val="-3"/>
          <w:w w:val="105"/>
          <w:sz w:val="21"/>
        </w:rPr>
        <w:t>enduring</w:t>
      </w:r>
      <w:r>
        <w:rPr>
          <w:spacing w:val="-6"/>
          <w:w w:val="105"/>
          <w:sz w:val="21"/>
        </w:rPr>
        <w:t> </w:t>
      </w:r>
      <w:r>
        <w:rPr>
          <w:w w:val="105"/>
          <w:sz w:val="21"/>
        </w:rPr>
        <w:t>power</w:t>
      </w:r>
      <w:r>
        <w:rPr>
          <w:spacing w:val="-6"/>
          <w:w w:val="105"/>
          <w:sz w:val="21"/>
        </w:rPr>
        <w:t> </w:t>
      </w:r>
      <w:r>
        <w:rPr>
          <w:w w:val="105"/>
          <w:sz w:val="21"/>
        </w:rPr>
        <w:t>of</w:t>
      </w:r>
      <w:r>
        <w:rPr>
          <w:spacing w:val="-6"/>
          <w:w w:val="105"/>
          <w:sz w:val="21"/>
        </w:rPr>
        <w:t> </w:t>
      </w:r>
      <w:r>
        <w:rPr>
          <w:w w:val="105"/>
          <w:sz w:val="21"/>
        </w:rPr>
        <w:t>attorney</w:t>
      </w:r>
      <w:r>
        <w:rPr>
          <w:spacing w:val="-6"/>
          <w:w w:val="105"/>
          <w:sz w:val="21"/>
        </w:rPr>
        <w:t> </w:t>
      </w:r>
      <w:r>
        <w:rPr>
          <w:w w:val="105"/>
          <w:sz w:val="21"/>
        </w:rPr>
        <w:t>must</w:t>
      </w:r>
      <w:r>
        <w:rPr>
          <w:spacing w:val="-6"/>
          <w:w w:val="105"/>
          <w:sz w:val="21"/>
        </w:rPr>
        <w:t> </w:t>
      </w:r>
      <w:r>
        <w:rPr>
          <w:w w:val="105"/>
          <w:sz w:val="21"/>
        </w:rPr>
        <w:t>be</w:t>
      </w:r>
      <w:r>
        <w:rPr>
          <w:spacing w:val="-6"/>
          <w:w w:val="105"/>
          <w:sz w:val="21"/>
        </w:rPr>
        <w:t> </w:t>
      </w:r>
      <w:r>
        <w:rPr>
          <w:w w:val="105"/>
          <w:sz w:val="21"/>
        </w:rPr>
        <w:t>witnessed</w:t>
      </w:r>
      <w:r>
        <w:rPr>
          <w:spacing w:val="-6"/>
          <w:w w:val="105"/>
          <w:sz w:val="21"/>
        </w:rPr>
        <w:t> </w:t>
      </w:r>
      <w:r>
        <w:rPr>
          <w:w w:val="105"/>
          <w:sz w:val="21"/>
        </w:rPr>
        <w:t>by</w:t>
      </w:r>
      <w:r>
        <w:rPr>
          <w:spacing w:val="-6"/>
          <w:w w:val="105"/>
          <w:sz w:val="21"/>
        </w:rPr>
        <w:t> </w:t>
      </w:r>
      <w:r>
        <w:rPr>
          <w:w w:val="105"/>
          <w:sz w:val="21"/>
        </w:rPr>
        <w:t>two</w:t>
      </w:r>
      <w:r>
        <w:rPr>
          <w:spacing w:val="-6"/>
          <w:w w:val="105"/>
          <w:sz w:val="21"/>
        </w:rPr>
        <w:t> </w:t>
      </w:r>
      <w:r>
        <w:rPr>
          <w:w w:val="105"/>
          <w:sz w:val="21"/>
        </w:rPr>
        <w:t>adults, one of whom is authorised </w:t>
      </w:r>
      <w:r>
        <w:rPr>
          <w:spacing w:val="-3"/>
          <w:w w:val="105"/>
          <w:sz w:val="21"/>
        </w:rPr>
        <w:t>to </w:t>
      </w:r>
      <w:r>
        <w:rPr>
          <w:w w:val="105"/>
          <w:sz w:val="21"/>
        </w:rPr>
        <w:t>witness a statutory </w:t>
      </w:r>
      <w:r>
        <w:rPr>
          <w:spacing w:val="-4"/>
          <w:w w:val="105"/>
          <w:sz w:val="21"/>
        </w:rPr>
        <w:t>declaration.</w:t>
      </w:r>
      <w:r>
        <w:rPr>
          <w:spacing w:val="-4"/>
          <w:w w:val="105"/>
          <w:position w:val="7"/>
          <w:sz w:val="12"/>
        </w:rPr>
        <w:t>19 </w:t>
      </w:r>
      <w:r>
        <w:rPr>
          <w:w w:val="105"/>
          <w:sz w:val="21"/>
        </w:rPr>
        <w:t>This </w:t>
      </w:r>
      <w:r>
        <w:rPr>
          <w:spacing w:val="-3"/>
          <w:w w:val="105"/>
          <w:sz w:val="21"/>
        </w:rPr>
        <w:t>includes </w:t>
      </w:r>
      <w:r>
        <w:rPr>
          <w:w w:val="105"/>
          <w:sz w:val="21"/>
        </w:rPr>
        <w:t>lawyers, </w:t>
      </w:r>
      <w:r>
        <w:rPr>
          <w:spacing w:val="-3"/>
          <w:w w:val="105"/>
          <w:sz w:val="21"/>
        </w:rPr>
        <w:t>police, </w:t>
      </w:r>
      <w:r>
        <w:rPr>
          <w:w w:val="105"/>
          <w:sz w:val="21"/>
        </w:rPr>
        <w:t>medical practitioners, dentists, pharmacists, bank managers, </w:t>
      </w:r>
      <w:r>
        <w:rPr>
          <w:spacing w:val="-3"/>
          <w:w w:val="105"/>
          <w:sz w:val="21"/>
        </w:rPr>
        <w:t>accountants </w:t>
      </w:r>
      <w:r>
        <w:rPr>
          <w:w w:val="105"/>
          <w:sz w:val="21"/>
        </w:rPr>
        <w:t>and school principals.</w:t>
      </w:r>
      <w:r>
        <w:rPr>
          <w:w w:val="105"/>
          <w:position w:val="7"/>
          <w:sz w:val="12"/>
        </w:rPr>
        <w:t>20 </w:t>
      </w:r>
      <w:r>
        <w:rPr>
          <w:w w:val="105"/>
          <w:sz w:val="21"/>
        </w:rPr>
        <w:t>The Victorian </w:t>
      </w:r>
      <w:r>
        <w:rPr>
          <w:spacing w:val="-3"/>
          <w:w w:val="105"/>
          <w:sz w:val="21"/>
        </w:rPr>
        <w:t>Parliament </w:t>
      </w:r>
      <w:r>
        <w:rPr>
          <w:w w:val="105"/>
          <w:sz w:val="21"/>
        </w:rPr>
        <w:t>Law </w:t>
      </w:r>
      <w:r>
        <w:rPr>
          <w:spacing w:val="-3"/>
          <w:w w:val="105"/>
          <w:sz w:val="21"/>
        </w:rPr>
        <w:t>Reform Committee</w:t>
      </w:r>
      <w:r>
        <w:rPr>
          <w:spacing w:val="-19"/>
          <w:w w:val="105"/>
          <w:sz w:val="21"/>
        </w:rPr>
        <w:t> </w:t>
      </w:r>
      <w:r>
        <w:rPr>
          <w:w w:val="105"/>
          <w:sz w:val="21"/>
        </w:rPr>
        <w:t>recommended</w:t>
      </w:r>
    </w:p>
    <w:p>
      <w:pPr>
        <w:pStyle w:val="BodyText"/>
        <w:spacing w:line="242" w:lineRule="auto" w:before="4"/>
        <w:ind w:left="2381" w:right="1751"/>
        <w:rPr>
          <w:sz w:val="12"/>
        </w:rPr>
      </w:pPr>
      <w:r>
        <w:rPr>
          <w:w w:val="105"/>
        </w:rPr>
        <w:t>in its </w:t>
      </w:r>
      <w:r>
        <w:rPr>
          <w:spacing w:val="-7"/>
          <w:w w:val="105"/>
        </w:rPr>
        <w:t>2010 </w:t>
      </w:r>
      <w:r>
        <w:rPr>
          <w:w w:val="105"/>
        </w:rPr>
        <w:t>report on powers of attorney </w:t>
      </w:r>
      <w:r>
        <w:rPr>
          <w:spacing w:val="-3"/>
          <w:w w:val="105"/>
        </w:rPr>
        <w:t>that </w:t>
      </w:r>
      <w:r>
        <w:rPr>
          <w:w w:val="105"/>
        </w:rPr>
        <w:t>the witnessing </w:t>
      </w:r>
      <w:r>
        <w:rPr>
          <w:spacing w:val="-3"/>
          <w:w w:val="105"/>
        </w:rPr>
        <w:t>requirements </w:t>
      </w:r>
      <w:r>
        <w:rPr>
          <w:w w:val="105"/>
        </w:rPr>
        <w:t>should be strengthened and </w:t>
      </w:r>
      <w:r>
        <w:rPr>
          <w:spacing w:val="-3"/>
          <w:w w:val="105"/>
        </w:rPr>
        <w:t>that </w:t>
      </w:r>
      <w:r>
        <w:rPr>
          <w:w w:val="105"/>
        </w:rPr>
        <w:t>one of the two witnesses should </w:t>
      </w:r>
      <w:r>
        <w:rPr>
          <w:spacing w:val="-3"/>
          <w:w w:val="105"/>
        </w:rPr>
        <w:t>instead </w:t>
      </w:r>
      <w:r>
        <w:rPr>
          <w:w w:val="105"/>
        </w:rPr>
        <w:t>be either a person who is authorised </w:t>
      </w:r>
      <w:r>
        <w:rPr>
          <w:spacing w:val="-3"/>
          <w:w w:val="105"/>
        </w:rPr>
        <w:t>to </w:t>
      </w:r>
      <w:r>
        <w:rPr>
          <w:w w:val="105"/>
        </w:rPr>
        <w:t>witness an affidavit or a medical </w:t>
      </w:r>
      <w:r>
        <w:rPr>
          <w:spacing w:val="-3"/>
          <w:w w:val="105"/>
        </w:rPr>
        <w:t>practitioner.</w:t>
      </w:r>
      <w:r>
        <w:rPr>
          <w:spacing w:val="-3"/>
          <w:w w:val="105"/>
          <w:position w:val="7"/>
          <w:sz w:val="12"/>
        </w:rPr>
        <w:t>21</w:t>
      </w:r>
    </w:p>
    <w:p>
      <w:pPr>
        <w:pStyle w:val="ListParagraph"/>
        <w:numPr>
          <w:ilvl w:val="1"/>
          <w:numId w:val="22"/>
        </w:numPr>
        <w:tabs>
          <w:tab w:pos="2381" w:val="left" w:leader="none"/>
          <w:tab w:pos="2382" w:val="left" w:leader="none"/>
        </w:tabs>
        <w:spacing w:line="242" w:lineRule="auto" w:before="124" w:after="0"/>
        <w:ind w:left="2381" w:right="1691" w:hanging="794"/>
        <w:jc w:val="left"/>
        <w:rPr>
          <w:sz w:val="12"/>
        </w:rPr>
      </w:pPr>
      <w:r>
        <w:rPr>
          <w:spacing w:val="-3"/>
          <w:sz w:val="21"/>
        </w:rPr>
        <w:t>Drawing </w:t>
      </w:r>
      <w:r>
        <w:rPr>
          <w:sz w:val="21"/>
        </w:rPr>
        <w:t>on the </w:t>
      </w:r>
      <w:r>
        <w:rPr>
          <w:spacing w:val="-3"/>
          <w:sz w:val="21"/>
        </w:rPr>
        <w:t>current </w:t>
      </w:r>
      <w:r>
        <w:rPr>
          <w:sz w:val="21"/>
        </w:rPr>
        <w:t>and proposed </w:t>
      </w:r>
      <w:r>
        <w:rPr>
          <w:spacing w:val="-3"/>
          <w:sz w:val="21"/>
        </w:rPr>
        <w:t>requirements for </w:t>
      </w:r>
      <w:r>
        <w:rPr>
          <w:sz w:val="21"/>
        </w:rPr>
        <w:t>witnessing an </w:t>
      </w:r>
      <w:r>
        <w:rPr>
          <w:spacing w:val="-3"/>
          <w:sz w:val="21"/>
        </w:rPr>
        <w:t>enduring </w:t>
      </w:r>
      <w:r>
        <w:rPr>
          <w:sz w:val="21"/>
        </w:rPr>
        <w:t>power of </w:t>
      </w:r>
      <w:r>
        <w:rPr>
          <w:spacing w:val="-4"/>
          <w:sz w:val="21"/>
        </w:rPr>
        <w:t>attorney, </w:t>
      </w:r>
      <w:r>
        <w:rPr>
          <w:sz w:val="21"/>
        </w:rPr>
        <w:t>the </w:t>
      </w:r>
      <w:r>
        <w:rPr>
          <w:spacing w:val="-3"/>
          <w:sz w:val="21"/>
        </w:rPr>
        <w:t>consultation </w:t>
      </w:r>
      <w:r>
        <w:rPr>
          <w:sz w:val="21"/>
        </w:rPr>
        <w:t>paper put forward the idea </w:t>
      </w:r>
      <w:r>
        <w:rPr>
          <w:spacing w:val="-3"/>
          <w:sz w:val="21"/>
        </w:rPr>
        <w:t>that </w:t>
      </w:r>
      <w:r>
        <w:rPr>
          <w:sz w:val="21"/>
        </w:rPr>
        <w:t>one of the witnesses </w:t>
      </w:r>
      <w:r>
        <w:rPr>
          <w:spacing w:val="-3"/>
          <w:sz w:val="21"/>
        </w:rPr>
        <w:t>to </w:t>
      </w:r>
      <w:r>
        <w:rPr>
          <w:sz w:val="21"/>
        </w:rPr>
        <w:t>a </w:t>
      </w:r>
      <w:r>
        <w:rPr>
          <w:spacing w:val="-3"/>
          <w:sz w:val="21"/>
        </w:rPr>
        <w:t>will </w:t>
      </w:r>
      <w:r>
        <w:rPr>
          <w:sz w:val="21"/>
        </w:rPr>
        <w:t>should be a person who is authorised </w:t>
      </w:r>
      <w:r>
        <w:rPr>
          <w:spacing w:val="-3"/>
          <w:sz w:val="21"/>
        </w:rPr>
        <w:t>to </w:t>
      </w:r>
      <w:r>
        <w:rPr>
          <w:sz w:val="21"/>
        </w:rPr>
        <w:t>witness a statutory </w:t>
      </w:r>
      <w:r>
        <w:rPr>
          <w:spacing w:val="-3"/>
          <w:sz w:val="21"/>
        </w:rPr>
        <w:t>declaration </w:t>
      </w:r>
      <w:r>
        <w:rPr>
          <w:sz w:val="21"/>
        </w:rPr>
        <w:t>or an affidavit. </w:t>
      </w:r>
      <w:r>
        <w:rPr>
          <w:spacing w:val="-3"/>
          <w:sz w:val="21"/>
        </w:rPr>
        <w:t>Rigby </w:t>
      </w:r>
      <w:r>
        <w:rPr>
          <w:spacing w:val="-4"/>
          <w:sz w:val="21"/>
        </w:rPr>
        <w:t>Cooke </w:t>
      </w:r>
      <w:r>
        <w:rPr>
          <w:sz w:val="21"/>
        </w:rPr>
        <w:t>Lawyers and  Seniors  Rights  Victoria  supported  the  idea.</w:t>
      </w:r>
      <w:r>
        <w:rPr>
          <w:position w:val="7"/>
          <w:sz w:val="12"/>
        </w:rPr>
        <w:t>22  </w:t>
      </w:r>
      <w:r>
        <w:rPr>
          <w:sz w:val="21"/>
        </w:rPr>
        <w:t>In  </w:t>
      </w:r>
      <w:r>
        <w:rPr>
          <w:spacing w:val="-3"/>
          <w:sz w:val="21"/>
        </w:rPr>
        <w:t>particular, Rigby </w:t>
      </w:r>
      <w:r>
        <w:rPr>
          <w:spacing w:val="-4"/>
          <w:sz w:val="21"/>
        </w:rPr>
        <w:t>Cooke </w:t>
      </w:r>
      <w:r>
        <w:rPr>
          <w:sz w:val="21"/>
        </w:rPr>
        <w:t>Lawyers </w:t>
      </w:r>
      <w:r>
        <w:rPr>
          <w:spacing w:val="-3"/>
          <w:sz w:val="21"/>
        </w:rPr>
        <w:t>pointed </w:t>
      </w:r>
      <w:r>
        <w:rPr>
          <w:sz w:val="21"/>
        </w:rPr>
        <w:t>out </w:t>
      </w:r>
      <w:r>
        <w:rPr>
          <w:spacing w:val="-3"/>
          <w:sz w:val="21"/>
        </w:rPr>
        <w:t>that </w:t>
      </w:r>
      <w:r>
        <w:rPr>
          <w:sz w:val="21"/>
        </w:rPr>
        <w:t>it would be </w:t>
      </w:r>
      <w:r>
        <w:rPr>
          <w:spacing w:val="-3"/>
          <w:sz w:val="21"/>
        </w:rPr>
        <w:t>consistent </w:t>
      </w:r>
      <w:r>
        <w:rPr>
          <w:sz w:val="21"/>
        </w:rPr>
        <w:t>with the </w:t>
      </w:r>
      <w:r>
        <w:rPr>
          <w:spacing w:val="-3"/>
          <w:sz w:val="21"/>
        </w:rPr>
        <w:t>requirement for executing </w:t>
      </w:r>
      <w:r>
        <w:rPr>
          <w:sz w:val="21"/>
        </w:rPr>
        <w:t>an </w:t>
      </w:r>
      <w:r>
        <w:rPr>
          <w:spacing w:val="-3"/>
          <w:sz w:val="21"/>
        </w:rPr>
        <w:t>international</w:t>
      </w:r>
      <w:r>
        <w:rPr>
          <w:spacing w:val="30"/>
          <w:sz w:val="21"/>
        </w:rPr>
        <w:t> </w:t>
      </w:r>
      <w:r>
        <w:rPr>
          <w:sz w:val="21"/>
        </w:rPr>
        <w:t>will.</w:t>
      </w:r>
      <w:r>
        <w:rPr>
          <w:position w:val="7"/>
          <w:sz w:val="12"/>
        </w:rPr>
        <w:t>23</w:t>
      </w:r>
    </w:p>
    <w:p>
      <w:pPr>
        <w:pStyle w:val="ListParagraph"/>
        <w:numPr>
          <w:ilvl w:val="1"/>
          <w:numId w:val="22"/>
        </w:numPr>
        <w:tabs>
          <w:tab w:pos="2380" w:val="left" w:leader="none"/>
          <w:tab w:pos="2381" w:val="left" w:leader="none"/>
        </w:tabs>
        <w:spacing w:line="242" w:lineRule="auto" w:before="126" w:after="0"/>
        <w:ind w:left="2380" w:right="1823" w:hanging="793"/>
        <w:jc w:val="left"/>
        <w:rPr>
          <w:sz w:val="21"/>
        </w:rPr>
      </w:pPr>
      <w:r>
        <w:rPr>
          <w:spacing w:val="-4"/>
          <w:w w:val="105"/>
          <w:sz w:val="21"/>
        </w:rPr>
        <w:t>However,</w:t>
      </w:r>
      <w:r>
        <w:rPr>
          <w:spacing w:val="-5"/>
          <w:w w:val="105"/>
          <w:sz w:val="21"/>
        </w:rPr>
        <w:t> </w:t>
      </w:r>
      <w:r>
        <w:rPr>
          <w:w w:val="105"/>
          <w:sz w:val="21"/>
        </w:rPr>
        <w:t>others</w:t>
      </w:r>
      <w:r>
        <w:rPr>
          <w:spacing w:val="-4"/>
          <w:w w:val="105"/>
          <w:sz w:val="21"/>
        </w:rPr>
        <w:t> </w:t>
      </w:r>
      <w:r>
        <w:rPr>
          <w:w w:val="105"/>
          <w:sz w:val="21"/>
        </w:rPr>
        <w:t>did</w:t>
      </w:r>
      <w:r>
        <w:rPr>
          <w:spacing w:val="-4"/>
          <w:w w:val="105"/>
          <w:sz w:val="21"/>
        </w:rPr>
        <w:t> </w:t>
      </w:r>
      <w:r>
        <w:rPr>
          <w:spacing w:val="-2"/>
          <w:w w:val="105"/>
          <w:sz w:val="21"/>
        </w:rPr>
        <w:t>not</w:t>
      </w:r>
      <w:r>
        <w:rPr>
          <w:spacing w:val="-4"/>
          <w:w w:val="105"/>
          <w:sz w:val="21"/>
        </w:rPr>
        <w:t> </w:t>
      </w:r>
      <w:r>
        <w:rPr>
          <w:w w:val="105"/>
          <w:sz w:val="21"/>
        </w:rPr>
        <w:t>believe</w:t>
      </w:r>
      <w:r>
        <w:rPr>
          <w:spacing w:val="-4"/>
          <w:w w:val="105"/>
          <w:sz w:val="21"/>
        </w:rPr>
        <w:t> </w:t>
      </w:r>
      <w:r>
        <w:rPr>
          <w:w w:val="105"/>
          <w:sz w:val="21"/>
        </w:rPr>
        <w:t>it</w:t>
      </w:r>
      <w:r>
        <w:rPr>
          <w:spacing w:val="-4"/>
          <w:w w:val="105"/>
          <w:sz w:val="21"/>
        </w:rPr>
        <w:t> </w:t>
      </w:r>
      <w:r>
        <w:rPr>
          <w:w w:val="105"/>
          <w:sz w:val="21"/>
        </w:rPr>
        <w:t>would</w:t>
      </w:r>
      <w:r>
        <w:rPr>
          <w:spacing w:val="-5"/>
          <w:w w:val="105"/>
          <w:sz w:val="21"/>
        </w:rPr>
        <w:t> </w:t>
      </w:r>
      <w:r>
        <w:rPr>
          <w:spacing w:val="-4"/>
          <w:w w:val="105"/>
          <w:sz w:val="21"/>
        </w:rPr>
        <w:t>make </w:t>
      </w:r>
      <w:r>
        <w:rPr>
          <w:spacing w:val="-3"/>
          <w:w w:val="105"/>
          <w:sz w:val="21"/>
        </w:rPr>
        <w:t>any</w:t>
      </w:r>
      <w:r>
        <w:rPr>
          <w:spacing w:val="-4"/>
          <w:w w:val="105"/>
          <w:sz w:val="21"/>
        </w:rPr>
        <w:t> </w:t>
      </w:r>
      <w:r>
        <w:rPr>
          <w:spacing w:val="-3"/>
          <w:w w:val="105"/>
          <w:sz w:val="21"/>
        </w:rPr>
        <w:t>difference</w:t>
      </w:r>
      <w:r>
        <w:rPr>
          <w:spacing w:val="-4"/>
          <w:w w:val="105"/>
          <w:sz w:val="21"/>
        </w:rPr>
        <w:t> </w:t>
      </w:r>
      <w:r>
        <w:rPr>
          <w:w w:val="105"/>
          <w:sz w:val="21"/>
        </w:rPr>
        <w:t>in</w:t>
      </w:r>
      <w:r>
        <w:rPr>
          <w:spacing w:val="-4"/>
          <w:w w:val="105"/>
          <w:sz w:val="21"/>
        </w:rPr>
        <w:t> </w:t>
      </w:r>
      <w:r>
        <w:rPr>
          <w:w w:val="105"/>
          <w:sz w:val="21"/>
        </w:rPr>
        <w:t>the</w:t>
      </w:r>
      <w:r>
        <w:rPr>
          <w:spacing w:val="-4"/>
          <w:w w:val="105"/>
          <w:sz w:val="21"/>
        </w:rPr>
        <w:t> </w:t>
      </w:r>
      <w:r>
        <w:rPr>
          <w:spacing w:val="-3"/>
          <w:w w:val="105"/>
          <w:sz w:val="21"/>
        </w:rPr>
        <w:t>incidence</w:t>
      </w:r>
      <w:r>
        <w:rPr>
          <w:spacing w:val="-5"/>
          <w:w w:val="105"/>
          <w:sz w:val="21"/>
        </w:rPr>
        <w:t> </w:t>
      </w:r>
      <w:r>
        <w:rPr>
          <w:w w:val="105"/>
          <w:sz w:val="21"/>
        </w:rPr>
        <w:t>of</w:t>
      </w:r>
      <w:r>
        <w:rPr>
          <w:spacing w:val="-4"/>
          <w:w w:val="105"/>
          <w:sz w:val="21"/>
        </w:rPr>
        <w:t> </w:t>
      </w:r>
      <w:r>
        <w:rPr>
          <w:spacing w:val="-3"/>
          <w:w w:val="105"/>
          <w:sz w:val="21"/>
        </w:rPr>
        <w:t>undue influence.</w:t>
      </w:r>
      <w:r>
        <w:rPr>
          <w:spacing w:val="-3"/>
          <w:w w:val="105"/>
          <w:position w:val="7"/>
          <w:sz w:val="12"/>
        </w:rPr>
        <w:t>24 </w:t>
      </w:r>
      <w:r>
        <w:rPr>
          <w:w w:val="105"/>
          <w:sz w:val="21"/>
        </w:rPr>
        <w:t>Moores Legal </w:t>
      </w:r>
      <w:r>
        <w:rPr>
          <w:spacing w:val="-3"/>
          <w:w w:val="105"/>
          <w:sz w:val="21"/>
        </w:rPr>
        <w:t>noted</w:t>
      </w:r>
      <w:r>
        <w:rPr>
          <w:spacing w:val="20"/>
          <w:w w:val="105"/>
          <w:sz w:val="21"/>
        </w:rPr>
        <w:t> </w:t>
      </w:r>
      <w:r>
        <w:rPr>
          <w:w w:val="105"/>
          <w:sz w:val="21"/>
        </w:rPr>
        <w:t>that:</w:t>
      </w:r>
    </w:p>
    <w:p>
      <w:pPr>
        <w:spacing w:line="254" w:lineRule="auto" w:before="132"/>
        <w:ind w:left="2721" w:right="1913" w:firstLine="0"/>
        <w:jc w:val="both"/>
        <w:rPr>
          <w:sz w:val="11"/>
        </w:rPr>
      </w:pPr>
      <w:r>
        <w:rPr>
          <w:w w:val="105"/>
          <w:sz w:val="20"/>
        </w:rPr>
        <w:t>unless</w:t>
      </w:r>
      <w:r>
        <w:rPr>
          <w:spacing w:val="-8"/>
          <w:w w:val="105"/>
          <w:sz w:val="20"/>
        </w:rPr>
        <w:t> </w:t>
      </w:r>
      <w:r>
        <w:rPr>
          <w:w w:val="105"/>
          <w:sz w:val="20"/>
        </w:rPr>
        <w:t>the</w:t>
      </w:r>
      <w:r>
        <w:rPr>
          <w:spacing w:val="-8"/>
          <w:w w:val="105"/>
          <w:sz w:val="20"/>
        </w:rPr>
        <w:t> </w:t>
      </w:r>
      <w:r>
        <w:rPr>
          <w:w w:val="105"/>
          <w:sz w:val="20"/>
        </w:rPr>
        <w:t>will-maker</w:t>
      </w:r>
      <w:r>
        <w:rPr>
          <w:spacing w:val="-8"/>
          <w:w w:val="105"/>
          <w:sz w:val="20"/>
        </w:rPr>
        <w:t> </w:t>
      </w:r>
      <w:r>
        <w:rPr>
          <w:w w:val="105"/>
          <w:sz w:val="20"/>
        </w:rPr>
        <w:t>is</w:t>
      </w:r>
      <w:r>
        <w:rPr>
          <w:spacing w:val="-8"/>
          <w:w w:val="105"/>
          <w:sz w:val="20"/>
        </w:rPr>
        <w:t> </w:t>
      </w:r>
      <w:r>
        <w:rPr>
          <w:w w:val="105"/>
          <w:sz w:val="20"/>
        </w:rPr>
        <w:t>well</w:t>
      </w:r>
      <w:r>
        <w:rPr>
          <w:spacing w:val="-7"/>
          <w:w w:val="105"/>
          <w:sz w:val="20"/>
        </w:rPr>
        <w:t> </w:t>
      </w:r>
      <w:r>
        <w:rPr>
          <w:w w:val="105"/>
          <w:sz w:val="20"/>
        </w:rPr>
        <w:t>known</w:t>
      </w:r>
      <w:r>
        <w:rPr>
          <w:spacing w:val="-8"/>
          <w:w w:val="105"/>
          <w:sz w:val="20"/>
        </w:rPr>
        <w:t> </w:t>
      </w:r>
      <w:r>
        <w:rPr>
          <w:w w:val="105"/>
          <w:sz w:val="20"/>
        </w:rPr>
        <w:t>to</w:t>
      </w:r>
      <w:r>
        <w:rPr>
          <w:spacing w:val="-8"/>
          <w:w w:val="105"/>
          <w:sz w:val="20"/>
        </w:rPr>
        <w:t> </w:t>
      </w:r>
      <w:r>
        <w:rPr>
          <w:w w:val="105"/>
          <w:sz w:val="20"/>
        </w:rPr>
        <w:t>the</w:t>
      </w:r>
      <w:r>
        <w:rPr>
          <w:spacing w:val="-8"/>
          <w:w w:val="105"/>
          <w:sz w:val="20"/>
        </w:rPr>
        <w:t> </w:t>
      </w:r>
      <w:r>
        <w:rPr>
          <w:w w:val="105"/>
          <w:sz w:val="20"/>
        </w:rPr>
        <w:t>witness</w:t>
      </w:r>
      <w:r>
        <w:rPr>
          <w:spacing w:val="-8"/>
          <w:w w:val="105"/>
          <w:sz w:val="20"/>
        </w:rPr>
        <w:t> </w:t>
      </w:r>
      <w:r>
        <w:rPr>
          <w:w w:val="105"/>
          <w:sz w:val="20"/>
        </w:rPr>
        <w:t>or</w:t>
      </w:r>
      <w:r>
        <w:rPr>
          <w:spacing w:val="-7"/>
          <w:w w:val="105"/>
          <w:sz w:val="20"/>
        </w:rPr>
        <w:t> </w:t>
      </w:r>
      <w:r>
        <w:rPr>
          <w:w w:val="105"/>
          <w:sz w:val="20"/>
        </w:rPr>
        <w:t>the</w:t>
      </w:r>
      <w:r>
        <w:rPr>
          <w:spacing w:val="-8"/>
          <w:w w:val="105"/>
          <w:sz w:val="20"/>
        </w:rPr>
        <w:t> </w:t>
      </w:r>
      <w:r>
        <w:rPr>
          <w:w w:val="105"/>
          <w:sz w:val="20"/>
        </w:rPr>
        <w:t>witness</w:t>
      </w:r>
      <w:r>
        <w:rPr>
          <w:spacing w:val="-8"/>
          <w:w w:val="105"/>
          <w:sz w:val="20"/>
        </w:rPr>
        <w:t> </w:t>
      </w:r>
      <w:r>
        <w:rPr>
          <w:w w:val="105"/>
          <w:sz w:val="20"/>
        </w:rPr>
        <w:t>is</w:t>
      </w:r>
      <w:r>
        <w:rPr>
          <w:spacing w:val="-8"/>
          <w:w w:val="105"/>
          <w:sz w:val="20"/>
        </w:rPr>
        <w:t> </w:t>
      </w:r>
      <w:r>
        <w:rPr>
          <w:w w:val="105"/>
          <w:sz w:val="20"/>
        </w:rPr>
        <w:t>instructed</w:t>
      </w:r>
      <w:r>
        <w:rPr>
          <w:spacing w:val="-8"/>
          <w:w w:val="105"/>
          <w:sz w:val="20"/>
        </w:rPr>
        <w:t> </w:t>
      </w:r>
      <w:r>
        <w:rPr>
          <w:w w:val="105"/>
          <w:sz w:val="20"/>
        </w:rPr>
        <w:t>to</w:t>
      </w:r>
      <w:r>
        <w:rPr>
          <w:spacing w:val="-7"/>
          <w:w w:val="105"/>
          <w:sz w:val="20"/>
        </w:rPr>
        <w:t> </w:t>
      </w:r>
      <w:r>
        <w:rPr>
          <w:spacing w:val="-3"/>
          <w:w w:val="105"/>
          <w:sz w:val="20"/>
        </w:rPr>
        <w:t>make </w:t>
      </w:r>
      <w:r>
        <w:rPr>
          <w:w w:val="105"/>
          <w:sz w:val="20"/>
        </w:rPr>
        <w:t>an</w:t>
      </w:r>
      <w:r>
        <w:rPr>
          <w:spacing w:val="-8"/>
          <w:w w:val="105"/>
          <w:sz w:val="20"/>
        </w:rPr>
        <w:t> </w:t>
      </w:r>
      <w:r>
        <w:rPr>
          <w:w w:val="105"/>
          <w:sz w:val="20"/>
        </w:rPr>
        <w:t>assessment</w:t>
      </w:r>
      <w:r>
        <w:rPr>
          <w:spacing w:val="-8"/>
          <w:w w:val="105"/>
          <w:sz w:val="20"/>
        </w:rPr>
        <w:t> </w:t>
      </w:r>
      <w:r>
        <w:rPr>
          <w:w w:val="105"/>
          <w:sz w:val="20"/>
        </w:rPr>
        <w:t>of</w:t>
      </w:r>
      <w:r>
        <w:rPr>
          <w:spacing w:val="-8"/>
          <w:w w:val="105"/>
          <w:sz w:val="20"/>
        </w:rPr>
        <w:t> </w:t>
      </w:r>
      <w:r>
        <w:rPr>
          <w:w w:val="105"/>
          <w:sz w:val="20"/>
        </w:rPr>
        <w:t>the</w:t>
      </w:r>
      <w:r>
        <w:rPr>
          <w:spacing w:val="-8"/>
          <w:w w:val="105"/>
          <w:sz w:val="20"/>
        </w:rPr>
        <w:t> </w:t>
      </w:r>
      <w:r>
        <w:rPr>
          <w:spacing w:val="-3"/>
          <w:w w:val="105"/>
          <w:sz w:val="20"/>
        </w:rPr>
        <w:t>situation,</w:t>
      </w:r>
      <w:r>
        <w:rPr>
          <w:spacing w:val="-8"/>
          <w:w w:val="105"/>
          <w:sz w:val="20"/>
        </w:rPr>
        <w:t> </w:t>
      </w:r>
      <w:r>
        <w:rPr>
          <w:w w:val="105"/>
          <w:sz w:val="20"/>
        </w:rPr>
        <w:t>the</w:t>
      </w:r>
      <w:r>
        <w:rPr>
          <w:spacing w:val="-8"/>
          <w:w w:val="105"/>
          <w:sz w:val="20"/>
        </w:rPr>
        <w:t> </w:t>
      </w:r>
      <w:r>
        <w:rPr>
          <w:w w:val="105"/>
          <w:sz w:val="20"/>
        </w:rPr>
        <w:t>reality</w:t>
      </w:r>
      <w:r>
        <w:rPr>
          <w:spacing w:val="-8"/>
          <w:w w:val="105"/>
          <w:sz w:val="20"/>
        </w:rPr>
        <w:t> </w:t>
      </w:r>
      <w:r>
        <w:rPr>
          <w:w w:val="105"/>
          <w:sz w:val="20"/>
        </w:rPr>
        <w:t>is</w:t>
      </w:r>
      <w:r>
        <w:rPr>
          <w:spacing w:val="-8"/>
          <w:w w:val="105"/>
          <w:sz w:val="20"/>
        </w:rPr>
        <w:t> </w:t>
      </w:r>
      <w:r>
        <w:rPr>
          <w:w w:val="105"/>
          <w:sz w:val="20"/>
        </w:rPr>
        <w:t>that</w:t>
      </w:r>
      <w:r>
        <w:rPr>
          <w:spacing w:val="-8"/>
          <w:w w:val="105"/>
          <w:sz w:val="20"/>
        </w:rPr>
        <w:t> </w:t>
      </w:r>
      <w:r>
        <w:rPr>
          <w:w w:val="105"/>
          <w:sz w:val="20"/>
        </w:rPr>
        <w:t>the</w:t>
      </w:r>
      <w:r>
        <w:rPr>
          <w:spacing w:val="-8"/>
          <w:w w:val="105"/>
          <w:sz w:val="20"/>
        </w:rPr>
        <w:t> </w:t>
      </w:r>
      <w:r>
        <w:rPr>
          <w:w w:val="105"/>
          <w:sz w:val="20"/>
        </w:rPr>
        <w:t>witness</w:t>
      </w:r>
      <w:r>
        <w:rPr>
          <w:spacing w:val="-8"/>
          <w:w w:val="105"/>
          <w:sz w:val="20"/>
        </w:rPr>
        <w:t> </w:t>
      </w:r>
      <w:r>
        <w:rPr>
          <w:w w:val="105"/>
          <w:sz w:val="20"/>
        </w:rPr>
        <w:t>is</w:t>
      </w:r>
      <w:r>
        <w:rPr>
          <w:spacing w:val="-7"/>
          <w:w w:val="105"/>
          <w:sz w:val="20"/>
        </w:rPr>
        <w:t> </w:t>
      </w:r>
      <w:r>
        <w:rPr>
          <w:spacing w:val="-3"/>
          <w:w w:val="105"/>
          <w:sz w:val="20"/>
        </w:rPr>
        <w:t>likely</w:t>
      </w:r>
      <w:r>
        <w:rPr>
          <w:spacing w:val="-8"/>
          <w:w w:val="105"/>
          <w:sz w:val="20"/>
        </w:rPr>
        <w:t> </w:t>
      </w:r>
      <w:r>
        <w:rPr>
          <w:w w:val="105"/>
          <w:sz w:val="20"/>
        </w:rPr>
        <w:t>to</w:t>
      </w:r>
      <w:r>
        <w:rPr>
          <w:spacing w:val="-8"/>
          <w:w w:val="105"/>
          <w:sz w:val="20"/>
        </w:rPr>
        <w:t> </w:t>
      </w:r>
      <w:r>
        <w:rPr>
          <w:w w:val="105"/>
          <w:sz w:val="20"/>
        </w:rPr>
        <w:t>simply</w:t>
      </w:r>
      <w:r>
        <w:rPr>
          <w:spacing w:val="-8"/>
          <w:w w:val="105"/>
          <w:sz w:val="20"/>
        </w:rPr>
        <w:t> </w:t>
      </w:r>
      <w:r>
        <w:rPr>
          <w:w w:val="105"/>
          <w:sz w:val="20"/>
        </w:rPr>
        <w:t>sign</w:t>
      </w:r>
      <w:r>
        <w:rPr>
          <w:spacing w:val="-8"/>
          <w:w w:val="105"/>
          <w:sz w:val="20"/>
        </w:rPr>
        <w:t> </w:t>
      </w:r>
      <w:r>
        <w:rPr>
          <w:w w:val="105"/>
          <w:sz w:val="20"/>
        </w:rPr>
        <w:t>the document without </w:t>
      </w:r>
      <w:r>
        <w:rPr>
          <w:spacing w:val="-2"/>
          <w:w w:val="105"/>
          <w:sz w:val="20"/>
        </w:rPr>
        <w:t>any </w:t>
      </w:r>
      <w:r>
        <w:rPr>
          <w:w w:val="105"/>
          <w:sz w:val="20"/>
        </w:rPr>
        <w:t>detailed</w:t>
      </w:r>
      <w:r>
        <w:rPr>
          <w:spacing w:val="19"/>
          <w:w w:val="105"/>
          <w:sz w:val="20"/>
        </w:rPr>
        <w:t> </w:t>
      </w:r>
      <w:r>
        <w:rPr>
          <w:w w:val="105"/>
          <w:sz w:val="20"/>
        </w:rPr>
        <w:t>assessment.</w:t>
      </w:r>
      <w:r>
        <w:rPr>
          <w:w w:val="105"/>
          <w:position w:val="7"/>
          <w:sz w:val="11"/>
        </w:rPr>
        <w:t>25</w:t>
      </w:r>
    </w:p>
    <w:p>
      <w:pPr>
        <w:pStyle w:val="ListParagraph"/>
        <w:numPr>
          <w:ilvl w:val="1"/>
          <w:numId w:val="22"/>
        </w:numPr>
        <w:tabs>
          <w:tab w:pos="2381" w:val="left" w:leader="none"/>
          <w:tab w:pos="2382" w:val="left" w:leader="none"/>
        </w:tabs>
        <w:spacing w:line="242" w:lineRule="auto" w:before="114" w:after="0"/>
        <w:ind w:left="2381" w:right="1958" w:hanging="794"/>
        <w:jc w:val="left"/>
        <w:rPr>
          <w:sz w:val="21"/>
        </w:rPr>
      </w:pPr>
      <w:r>
        <w:rPr>
          <w:sz w:val="21"/>
        </w:rPr>
        <w:t>The </w:t>
      </w:r>
      <w:r>
        <w:rPr>
          <w:spacing w:val="-3"/>
          <w:sz w:val="21"/>
        </w:rPr>
        <w:t>Commission </w:t>
      </w:r>
      <w:r>
        <w:rPr>
          <w:sz w:val="21"/>
        </w:rPr>
        <w:t>agrees </w:t>
      </w:r>
      <w:r>
        <w:rPr>
          <w:spacing w:val="-3"/>
          <w:sz w:val="21"/>
        </w:rPr>
        <w:t>that requiring  </w:t>
      </w:r>
      <w:r>
        <w:rPr>
          <w:sz w:val="21"/>
        </w:rPr>
        <w:t>a </w:t>
      </w:r>
      <w:r>
        <w:rPr>
          <w:spacing w:val="-3"/>
          <w:sz w:val="21"/>
        </w:rPr>
        <w:t>professional</w:t>
      </w:r>
      <w:r>
        <w:rPr>
          <w:spacing w:val="41"/>
          <w:sz w:val="21"/>
        </w:rPr>
        <w:t> </w:t>
      </w:r>
      <w:r>
        <w:rPr>
          <w:sz w:val="21"/>
        </w:rPr>
        <w:t>witness </w:t>
      </w:r>
      <w:r>
        <w:rPr>
          <w:spacing w:val="-3"/>
          <w:sz w:val="21"/>
        </w:rPr>
        <w:t>to  sign  </w:t>
      </w:r>
      <w:r>
        <w:rPr>
          <w:sz w:val="21"/>
        </w:rPr>
        <w:t>the </w:t>
      </w:r>
      <w:r>
        <w:rPr>
          <w:spacing w:val="-3"/>
          <w:sz w:val="21"/>
        </w:rPr>
        <w:t>will  </w:t>
      </w:r>
      <w:r>
        <w:rPr>
          <w:sz w:val="21"/>
        </w:rPr>
        <w:t>is </w:t>
      </w:r>
      <w:r>
        <w:rPr>
          <w:spacing w:val="-4"/>
          <w:sz w:val="21"/>
        </w:rPr>
        <w:t>unlikely </w:t>
      </w:r>
      <w:r>
        <w:rPr>
          <w:spacing w:val="-3"/>
          <w:sz w:val="21"/>
        </w:rPr>
        <w:t>to bring </w:t>
      </w:r>
      <w:r>
        <w:rPr>
          <w:sz w:val="21"/>
        </w:rPr>
        <w:t>about the detection or </w:t>
      </w:r>
      <w:r>
        <w:rPr>
          <w:spacing w:val="-3"/>
          <w:sz w:val="21"/>
        </w:rPr>
        <w:t>prevention </w:t>
      </w:r>
      <w:r>
        <w:rPr>
          <w:sz w:val="21"/>
        </w:rPr>
        <w:t>of </w:t>
      </w:r>
      <w:r>
        <w:rPr>
          <w:spacing w:val="-3"/>
          <w:sz w:val="21"/>
        </w:rPr>
        <w:t>undue influence. </w:t>
      </w:r>
      <w:r>
        <w:rPr>
          <w:sz w:val="21"/>
        </w:rPr>
        <w:t>Assessing whether the </w:t>
      </w:r>
      <w:r>
        <w:rPr>
          <w:spacing w:val="-3"/>
          <w:sz w:val="21"/>
        </w:rPr>
        <w:t>will-maker </w:t>
      </w:r>
      <w:r>
        <w:rPr>
          <w:spacing w:val="-2"/>
          <w:sz w:val="21"/>
        </w:rPr>
        <w:t>has </w:t>
      </w:r>
      <w:r>
        <w:rPr>
          <w:sz w:val="21"/>
        </w:rPr>
        <w:t>the necessary capacity and is </w:t>
      </w:r>
      <w:r>
        <w:rPr>
          <w:spacing w:val="-3"/>
          <w:sz w:val="21"/>
        </w:rPr>
        <w:t>signing </w:t>
      </w:r>
      <w:r>
        <w:rPr>
          <w:sz w:val="21"/>
        </w:rPr>
        <w:t>the </w:t>
      </w:r>
      <w:r>
        <w:rPr>
          <w:spacing w:val="-3"/>
          <w:sz w:val="21"/>
        </w:rPr>
        <w:t>will </w:t>
      </w:r>
      <w:r>
        <w:rPr>
          <w:sz w:val="21"/>
        </w:rPr>
        <w:t>freely and </w:t>
      </w:r>
      <w:r>
        <w:rPr>
          <w:spacing w:val="-3"/>
          <w:sz w:val="21"/>
        </w:rPr>
        <w:t>voluntarily </w:t>
      </w:r>
      <w:r>
        <w:rPr>
          <w:sz w:val="21"/>
        </w:rPr>
        <w:t>is a complex task, and it is </w:t>
      </w:r>
      <w:r>
        <w:rPr>
          <w:spacing w:val="-4"/>
          <w:sz w:val="21"/>
        </w:rPr>
        <w:t>unlikely </w:t>
      </w:r>
      <w:r>
        <w:rPr>
          <w:spacing w:val="-3"/>
          <w:sz w:val="21"/>
        </w:rPr>
        <w:t>that </w:t>
      </w:r>
      <w:r>
        <w:rPr>
          <w:sz w:val="21"/>
        </w:rPr>
        <w:t>this </w:t>
      </w:r>
      <w:r>
        <w:rPr>
          <w:spacing w:val="-3"/>
          <w:sz w:val="21"/>
        </w:rPr>
        <w:t>change </w:t>
      </w:r>
      <w:r>
        <w:rPr>
          <w:sz w:val="21"/>
        </w:rPr>
        <w:t>would assist. In </w:t>
      </w:r>
      <w:r>
        <w:rPr>
          <w:spacing w:val="-3"/>
          <w:sz w:val="21"/>
        </w:rPr>
        <w:t>addition, </w:t>
      </w:r>
      <w:r>
        <w:rPr>
          <w:sz w:val="21"/>
        </w:rPr>
        <w:t>this </w:t>
      </w:r>
      <w:r>
        <w:rPr>
          <w:spacing w:val="-3"/>
          <w:sz w:val="21"/>
        </w:rPr>
        <w:t>change </w:t>
      </w:r>
      <w:r>
        <w:rPr>
          <w:sz w:val="21"/>
        </w:rPr>
        <w:t>would </w:t>
      </w:r>
      <w:r>
        <w:rPr>
          <w:spacing w:val="-4"/>
          <w:sz w:val="21"/>
        </w:rPr>
        <w:t>make </w:t>
      </w:r>
      <w:r>
        <w:rPr>
          <w:sz w:val="21"/>
        </w:rPr>
        <w:t>it more difficult </w:t>
      </w:r>
      <w:r>
        <w:rPr>
          <w:spacing w:val="-3"/>
          <w:sz w:val="21"/>
        </w:rPr>
        <w:t>to have  </w:t>
      </w:r>
      <w:r>
        <w:rPr>
          <w:sz w:val="21"/>
        </w:rPr>
        <w:t>a </w:t>
      </w:r>
      <w:r>
        <w:rPr>
          <w:spacing w:val="-3"/>
          <w:sz w:val="21"/>
        </w:rPr>
        <w:t>will</w:t>
      </w:r>
      <w:r>
        <w:rPr>
          <w:spacing w:val="41"/>
          <w:sz w:val="21"/>
        </w:rPr>
        <w:t> </w:t>
      </w:r>
      <w:r>
        <w:rPr>
          <w:spacing w:val="-3"/>
          <w:sz w:val="21"/>
        </w:rPr>
        <w:t>validly  executed,  </w:t>
      </w:r>
      <w:r>
        <w:rPr>
          <w:sz w:val="21"/>
        </w:rPr>
        <w:t>particularly where the </w:t>
      </w:r>
      <w:r>
        <w:rPr>
          <w:spacing w:val="-3"/>
          <w:sz w:val="21"/>
        </w:rPr>
        <w:t>will </w:t>
      </w:r>
      <w:r>
        <w:rPr>
          <w:sz w:val="21"/>
        </w:rPr>
        <w:t>is</w:t>
      </w:r>
      <w:r>
        <w:rPr>
          <w:spacing w:val="9"/>
          <w:sz w:val="21"/>
        </w:rPr>
        <w:t> </w:t>
      </w:r>
      <w:r>
        <w:rPr>
          <w:spacing w:val="-3"/>
          <w:sz w:val="21"/>
        </w:rPr>
        <w:t>prepared</w:t>
      </w:r>
      <w:r>
        <w:rPr>
          <w:spacing w:val="10"/>
          <w:sz w:val="21"/>
        </w:rPr>
        <w:t> </w:t>
      </w:r>
      <w:r>
        <w:rPr>
          <w:sz w:val="21"/>
        </w:rPr>
        <w:t>without</w:t>
      </w:r>
      <w:r>
        <w:rPr>
          <w:spacing w:val="9"/>
          <w:sz w:val="21"/>
        </w:rPr>
        <w:t> </w:t>
      </w:r>
      <w:r>
        <w:rPr>
          <w:sz w:val="21"/>
        </w:rPr>
        <w:t>the</w:t>
      </w:r>
      <w:r>
        <w:rPr>
          <w:spacing w:val="10"/>
          <w:sz w:val="21"/>
        </w:rPr>
        <w:t> </w:t>
      </w:r>
      <w:r>
        <w:rPr>
          <w:sz w:val="21"/>
        </w:rPr>
        <w:t>assistance</w:t>
      </w:r>
      <w:r>
        <w:rPr>
          <w:spacing w:val="10"/>
          <w:sz w:val="21"/>
        </w:rPr>
        <w:t> </w:t>
      </w:r>
      <w:r>
        <w:rPr>
          <w:sz w:val="21"/>
        </w:rPr>
        <w:t>of</w:t>
      </w:r>
      <w:r>
        <w:rPr>
          <w:spacing w:val="9"/>
          <w:sz w:val="21"/>
        </w:rPr>
        <w:t> </w:t>
      </w:r>
      <w:r>
        <w:rPr>
          <w:sz w:val="21"/>
        </w:rPr>
        <w:t>a</w:t>
      </w:r>
      <w:r>
        <w:rPr>
          <w:spacing w:val="10"/>
          <w:sz w:val="21"/>
        </w:rPr>
        <w:t> </w:t>
      </w:r>
      <w:r>
        <w:rPr>
          <w:sz w:val="21"/>
        </w:rPr>
        <w:t>legal</w:t>
      </w:r>
      <w:r>
        <w:rPr>
          <w:spacing w:val="9"/>
          <w:sz w:val="21"/>
        </w:rPr>
        <w:t> </w:t>
      </w:r>
      <w:r>
        <w:rPr>
          <w:spacing w:val="-3"/>
          <w:sz w:val="21"/>
        </w:rPr>
        <w:t>practitioner.</w:t>
      </w:r>
    </w:p>
    <w:p>
      <w:pPr>
        <w:pStyle w:val="BodyText"/>
        <w:rPr>
          <w:sz w:val="20"/>
        </w:rPr>
      </w:pPr>
    </w:p>
    <w:p>
      <w:pPr>
        <w:pStyle w:val="BodyText"/>
        <w:rPr>
          <w:sz w:val="20"/>
        </w:rPr>
      </w:pPr>
    </w:p>
    <w:p>
      <w:pPr>
        <w:pStyle w:val="BodyText"/>
        <w:rPr>
          <w:sz w:val="20"/>
        </w:rPr>
      </w:pPr>
    </w:p>
    <w:p>
      <w:pPr>
        <w:pStyle w:val="BodyText"/>
        <w:spacing w:before="9"/>
        <w:rPr>
          <w:sz w:val="24"/>
        </w:rPr>
      </w:pPr>
      <w:r>
        <w:rPr/>
        <w:pict>
          <v:line style="position:absolute;mso-position-horizontal-relative:page;mso-position-vertical-relative:paragraph;z-index:-232;mso-wrap-distance-left:0;mso-wrap-distance-right:0" from="79.370003pt,17.580479pt" to="515.905003pt,17.580479pt" stroked="true" strokeweight="1pt" strokecolor="#f9ceca">
            <v:stroke dashstyle="solid"/>
            <w10:wrap type="topAndBottom"/>
          </v:line>
        </w:pict>
      </w:r>
    </w:p>
    <w:p>
      <w:pPr>
        <w:pStyle w:val="ListParagraph"/>
        <w:numPr>
          <w:ilvl w:val="0"/>
          <w:numId w:val="24"/>
        </w:numPr>
        <w:tabs>
          <w:tab w:pos="2380" w:val="left" w:leader="none"/>
          <w:tab w:pos="2382" w:val="left" w:leader="none"/>
        </w:tabs>
        <w:spacing w:line="240" w:lineRule="auto" w:before="117" w:after="0"/>
        <w:ind w:left="2381" w:right="1913" w:hanging="794"/>
        <w:jc w:val="left"/>
        <w:rPr>
          <w:sz w:val="13"/>
        </w:rPr>
      </w:pPr>
      <w:r>
        <w:rPr>
          <w:w w:val="105"/>
          <w:sz w:val="13"/>
        </w:rPr>
        <w:t>Consultations 1 (Wills roundtable); 4 </w:t>
      </w:r>
      <w:r>
        <w:rPr>
          <w:spacing w:val="2"/>
          <w:w w:val="105"/>
          <w:sz w:val="13"/>
        </w:rPr>
        <w:t>(Legal </w:t>
      </w:r>
      <w:r>
        <w:rPr>
          <w:w w:val="105"/>
          <w:sz w:val="13"/>
        </w:rPr>
        <w:t>practitioners from the Goulburn Valley and Loddon Campaspe Community Legal Centres);   26 </w:t>
      </w:r>
      <w:r>
        <w:rPr>
          <w:spacing w:val="2"/>
          <w:w w:val="105"/>
          <w:sz w:val="13"/>
        </w:rPr>
        <w:t>(Rigby </w:t>
      </w:r>
      <w:r>
        <w:rPr>
          <w:w w:val="105"/>
          <w:sz w:val="13"/>
        </w:rPr>
        <w:t>Cooke </w:t>
      </w:r>
      <w:r>
        <w:rPr>
          <w:spacing w:val="2"/>
          <w:w w:val="105"/>
          <w:sz w:val="13"/>
        </w:rPr>
        <w:t>Lawyers); </w:t>
      </w:r>
      <w:r>
        <w:rPr>
          <w:w w:val="105"/>
          <w:sz w:val="13"/>
        </w:rPr>
        <w:t>31 (Seniors Rights</w:t>
      </w:r>
      <w:r>
        <w:rPr>
          <w:spacing w:val="27"/>
          <w:w w:val="105"/>
          <w:sz w:val="13"/>
        </w:rPr>
        <w:t> </w:t>
      </w:r>
      <w:r>
        <w:rPr>
          <w:spacing w:val="2"/>
          <w:w w:val="105"/>
          <w:sz w:val="13"/>
        </w:rPr>
        <w:t>Victoria).</w:t>
      </w:r>
    </w:p>
    <w:p>
      <w:pPr>
        <w:pStyle w:val="ListParagraph"/>
        <w:numPr>
          <w:ilvl w:val="0"/>
          <w:numId w:val="24"/>
        </w:numPr>
        <w:tabs>
          <w:tab w:pos="2381" w:val="left" w:leader="none"/>
          <w:tab w:pos="2382" w:val="left" w:leader="none"/>
        </w:tabs>
        <w:spacing w:line="240" w:lineRule="auto" w:before="3" w:after="0"/>
        <w:ind w:left="2381" w:right="0" w:hanging="794"/>
        <w:jc w:val="left"/>
        <w:rPr>
          <w:sz w:val="13"/>
        </w:rPr>
      </w:pPr>
      <w:r>
        <w:rPr>
          <w:w w:val="105"/>
          <w:sz w:val="13"/>
        </w:rPr>
        <w:t>Consultation 1 (Wills roundtable). Submission 39 (Carolyn Sparke</w:t>
      </w:r>
      <w:r>
        <w:rPr>
          <w:spacing w:val="8"/>
          <w:w w:val="105"/>
          <w:sz w:val="13"/>
        </w:rPr>
        <w:t> </w:t>
      </w:r>
      <w:r>
        <w:rPr>
          <w:w w:val="105"/>
          <w:sz w:val="13"/>
        </w:rPr>
        <w:t>SC).</w:t>
      </w:r>
    </w:p>
    <w:p>
      <w:pPr>
        <w:pStyle w:val="ListParagraph"/>
        <w:numPr>
          <w:ilvl w:val="0"/>
          <w:numId w:val="24"/>
        </w:numPr>
        <w:tabs>
          <w:tab w:pos="2381" w:val="left" w:leader="none"/>
          <w:tab w:pos="2382" w:val="left" w:leader="none"/>
        </w:tabs>
        <w:spacing w:line="240" w:lineRule="auto" w:before="1" w:after="0"/>
        <w:ind w:left="2381" w:right="1670" w:hanging="794"/>
        <w:jc w:val="left"/>
        <w:rPr>
          <w:sz w:val="13"/>
        </w:rPr>
      </w:pPr>
      <w:r>
        <w:rPr>
          <w:i/>
          <w:sz w:val="13"/>
        </w:rPr>
        <w:t>Instruments Act 1958 </w:t>
      </w:r>
      <w:r>
        <w:rPr>
          <w:spacing w:val="2"/>
          <w:sz w:val="13"/>
        </w:rPr>
        <w:t>(Vic) </w:t>
      </w:r>
      <w:r>
        <w:rPr>
          <w:sz w:val="13"/>
        </w:rPr>
        <w:t>s 125(3). In addition, only one witness is permitted to be a relative of either the donor of the power or a person           who</w:t>
      </w:r>
      <w:r>
        <w:rPr>
          <w:spacing w:val="6"/>
          <w:sz w:val="13"/>
        </w:rPr>
        <w:t> </w:t>
      </w:r>
      <w:r>
        <w:rPr>
          <w:sz w:val="13"/>
        </w:rPr>
        <w:t>will</w:t>
      </w:r>
      <w:r>
        <w:rPr>
          <w:spacing w:val="7"/>
          <w:sz w:val="13"/>
        </w:rPr>
        <w:t> </w:t>
      </w:r>
      <w:r>
        <w:rPr>
          <w:sz w:val="13"/>
        </w:rPr>
        <w:t>be</w:t>
      </w:r>
      <w:r>
        <w:rPr>
          <w:spacing w:val="6"/>
          <w:sz w:val="13"/>
        </w:rPr>
        <w:t> </w:t>
      </w:r>
      <w:r>
        <w:rPr>
          <w:sz w:val="13"/>
        </w:rPr>
        <w:t>authorised</w:t>
      </w:r>
      <w:r>
        <w:rPr>
          <w:spacing w:val="7"/>
          <w:sz w:val="13"/>
        </w:rPr>
        <w:t> </w:t>
      </w:r>
      <w:r>
        <w:rPr>
          <w:sz w:val="13"/>
        </w:rPr>
        <w:t>to</w:t>
      </w:r>
      <w:r>
        <w:rPr>
          <w:spacing w:val="7"/>
          <w:sz w:val="13"/>
        </w:rPr>
        <w:t> </w:t>
      </w:r>
      <w:r>
        <w:rPr>
          <w:sz w:val="13"/>
        </w:rPr>
        <w:t>exercise</w:t>
      </w:r>
      <w:r>
        <w:rPr>
          <w:spacing w:val="6"/>
          <w:sz w:val="13"/>
        </w:rPr>
        <w:t> </w:t>
      </w:r>
      <w:r>
        <w:rPr>
          <w:sz w:val="13"/>
        </w:rPr>
        <w:t>the</w:t>
      </w:r>
      <w:r>
        <w:rPr>
          <w:spacing w:val="7"/>
          <w:sz w:val="13"/>
        </w:rPr>
        <w:t> </w:t>
      </w:r>
      <w:r>
        <w:rPr>
          <w:sz w:val="13"/>
        </w:rPr>
        <w:t>power.</w:t>
      </w:r>
    </w:p>
    <w:p>
      <w:pPr>
        <w:pStyle w:val="ListParagraph"/>
        <w:numPr>
          <w:ilvl w:val="0"/>
          <w:numId w:val="24"/>
        </w:numPr>
        <w:tabs>
          <w:tab w:pos="2381" w:val="left" w:leader="none"/>
          <w:tab w:pos="2382" w:val="left" w:leader="none"/>
        </w:tabs>
        <w:spacing w:line="240" w:lineRule="auto" w:before="3" w:after="0"/>
        <w:ind w:left="2381" w:right="0" w:hanging="794"/>
        <w:jc w:val="left"/>
        <w:rPr>
          <w:sz w:val="13"/>
        </w:rPr>
      </w:pPr>
      <w:r>
        <w:rPr>
          <w:i/>
          <w:w w:val="105"/>
          <w:sz w:val="13"/>
        </w:rPr>
        <w:t>Evidence (Miscellaneous Provisions) Act 1958 </w:t>
      </w:r>
      <w:r>
        <w:rPr>
          <w:spacing w:val="2"/>
          <w:w w:val="105"/>
          <w:sz w:val="13"/>
        </w:rPr>
        <w:t>(Vic) </w:t>
      </w:r>
      <w:r>
        <w:rPr>
          <w:w w:val="105"/>
          <w:sz w:val="13"/>
        </w:rPr>
        <w:t>s</w:t>
      </w:r>
      <w:r>
        <w:rPr>
          <w:spacing w:val="25"/>
          <w:w w:val="105"/>
          <w:sz w:val="13"/>
        </w:rPr>
        <w:t> </w:t>
      </w:r>
      <w:r>
        <w:rPr>
          <w:w w:val="105"/>
          <w:sz w:val="13"/>
        </w:rPr>
        <w:t>107A(1).</w:t>
      </w:r>
    </w:p>
    <w:p>
      <w:pPr>
        <w:pStyle w:val="ListParagraph"/>
        <w:numPr>
          <w:ilvl w:val="0"/>
          <w:numId w:val="24"/>
        </w:numPr>
        <w:tabs>
          <w:tab w:pos="2381" w:val="left" w:leader="none"/>
          <w:tab w:pos="2382" w:val="left" w:leader="none"/>
        </w:tabs>
        <w:spacing w:line="240" w:lineRule="auto" w:before="1" w:after="0"/>
        <w:ind w:left="2381" w:right="2041" w:hanging="794"/>
        <w:jc w:val="left"/>
        <w:rPr>
          <w:sz w:val="13"/>
        </w:rPr>
      </w:pPr>
      <w:r>
        <w:rPr>
          <w:sz w:val="13"/>
        </w:rPr>
        <w:t>Law Reform Committee, Parliament of Victoria, </w:t>
      </w:r>
      <w:r>
        <w:rPr>
          <w:i/>
          <w:sz w:val="13"/>
        </w:rPr>
        <w:t>Inquiry into Powers of Attorney </w:t>
      </w:r>
      <w:r>
        <w:rPr>
          <w:sz w:val="13"/>
        </w:rPr>
        <w:t>(2010) </w:t>
      </w:r>
      <w:r>
        <w:rPr>
          <w:spacing w:val="-3"/>
          <w:sz w:val="13"/>
        </w:rPr>
        <w:t>77. </w:t>
      </w:r>
      <w:r>
        <w:rPr>
          <w:sz w:val="13"/>
        </w:rPr>
        <w:t>Persons authorised to witness  an  affidavit  include: a judge, a justice of the peace, a member of parliament, a legal practitioner, a public servant or police officer: </w:t>
      </w:r>
      <w:r>
        <w:rPr>
          <w:i/>
          <w:sz w:val="13"/>
        </w:rPr>
        <w:t>Evidence </w:t>
      </w:r>
      <w:r>
        <w:rPr>
          <w:i/>
          <w:sz w:val="13"/>
        </w:rPr>
        <w:t>(Miscellaneous Provisions) Act 1958 </w:t>
      </w:r>
      <w:r>
        <w:rPr>
          <w:spacing w:val="2"/>
          <w:sz w:val="13"/>
        </w:rPr>
        <w:t>(Vic) </w:t>
      </w:r>
      <w:r>
        <w:rPr>
          <w:sz w:val="13"/>
        </w:rPr>
        <w:t>s</w:t>
      </w:r>
      <w:r>
        <w:rPr>
          <w:spacing w:val="6"/>
          <w:sz w:val="13"/>
        </w:rPr>
        <w:t> </w:t>
      </w:r>
      <w:r>
        <w:rPr>
          <w:sz w:val="13"/>
        </w:rPr>
        <w:t>123C.</w:t>
      </w:r>
    </w:p>
    <w:p>
      <w:pPr>
        <w:pStyle w:val="ListParagraph"/>
        <w:numPr>
          <w:ilvl w:val="0"/>
          <w:numId w:val="24"/>
        </w:numPr>
        <w:tabs>
          <w:tab w:pos="2381" w:val="left" w:leader="none"/>
          <w:tab w:pos="2382" w:val="left" w:leader="none"/>
        </w:tabs>
        <w:spacing w:line="240" w:lineRule="auto" w:before="4" w:after="0"/>
        <w:ind w:left="2381" w:right="0" w:hanging="794"/>
        <w:jc w:val="left"/>
        <w:rPr>
          <w:sz w:val="13"/>
        </w:rPr>
      </w:pPr>
      <w:r>
        <w:rPr>
          <w:w w:val="105"/>
          <w:sz w:val="13"/>
        </w:rPr>
        <w:t>Submissions 26 </w:t>
      </w:r>
      <w:r>
        <w:rPr>
          <w:spacing w:val="2"/>
          <w:w w:val="105"/>
          <w:sz w:val="13"/>
        </w:rPr>
        <w:t>(Rigby </w:t>
      </w:r>
      <w:r>
        <w:rPr>
          <w:w w:val="105"/>
          <w:sz w:val="13"/>
        </w:rPr>
        <w:t>Cooke </w:t>
      </w:r>
      <w:r>
        <w:rPr>
          <w:spacing w:val="2"/>
          <w:w w:val="105"/>
          <w:sz w:val="13"/>
        </w:rPr>
        <w:t>Lawyers); </w:t>
      </w:r>
      <w:r>
        <w:rPr>
          <w:w w:val="105"/>
          <w:sz w:val="13"/>
        </w:rPr>
        <w:t>31 (Seniors Rights</w:t>
      </w:r>
      <w:r>
        <w:rPr>
          <w:spacing w:val="1"/>
          <w:w w:val="105"/>
          <w:sz w:val="13"/>
        </w:rPr>
        <w:t> </w:t>
      </w:r>
      <w:r>
        <w:rPr>
          <w:spacing w:val="2"/>
          <w:w w:val="105"/>
          <w:sz w:val="13"/>
        </w:rPr>
        <w:t>Victoria).</w:t>
      </w:r>
    </w:p>
    <w:p>
      <w:pPr>
        <w:pStyle w:val="ListParagraph"/>
        <w:numPr>
          <w:ilvl w:val="0"/>
          <w:numId w:val="24"/>
        </w:numPr>
        <w:tabs>
          <w:tab w:pos="2381" w:val="left" w:leader="none"/>
          <w:tab w:pos="2382" w:val="left" w:leader="none"/>
        </w:tabs>
        <w:spacing w:line="240" w:lineRule="auto" w:before="1" w:after="0"/>
        <w:ind w:left="2381" w:right="1592" w:hanging="794"/>
        <w:jc w:val="left"/>
        <w:rPr>
          <w:sz w:val="13"/>
        </w:rPr>
      </w:pPr>
      <w:r>
        <w:rPr>
          <w:sz w:val="13"/>
        </w:rPr>
        <w:t>Submission 26 </w:t>
      </w:r>
      <w:r>
        <w:rPr>
          <w:spacing w:val="2"/>
          <w:sz w:val="13"/>
        </w:rPr>
        <w:t>(Rigby </w:t>
      </w:r>
      <w:r>
        <w:rPr>
          <w:sz w:val="13"/>
        </w:rPr>
        <w:t>Cooke </w:t>
      </w:r>
      <w:r>
        <w:rPr>
          <w:spacing w:val="2"/>
          <w:sz w:val="13"/>
        </w:rPr>
        <w:t>Lawyers). </w:t>
      </w:r>
      <w:r>
        <w:rPr>
          <w:sz w:val="13"/>
        </w:rPr>
        <w:t>An international will requires two witnesses as well as an authorised person, who  must  be  a  legal practitioner or public </w:t>
      </w:r>
      <w:r>
        <w:rPr>
          <w:spacing w:val="2"/>
          <w:sz w:val="13"/>
        </w:rPr>
        <w:t>notary </w:t>
      </w:r>
      <w:r>
        <w:rPr>
          <w:sz w:val="13"/>
        </w:rPr>
        <w:t>in an Australian jurisdiction: </w:t>
      </w:r>
      <w:r>
        <w:rPr>
          <w:i/>
          <w:sz w:val="13"/>
        </w:rPr>
        <w:t>Wills Amendment (International Wills) Act </w:t>
      </w:r>
      <w:r>
        <w:rPr>
          <w:i/>
          <w:spacing w:val="-4"/>
          <w:sz w:val="13"/>
        </w:rPr>
        <w:t>2012 </w:t>
      </w:r>
      <w:r>
        <w:rPr>
          <w:spacing w:val="2"/>
          <w:sz w:val="13"/>
        </w:rPr>
        <w:t>(Vic) </w:t>
      </w:r>
      <w:r>
        <w:rPr>
          <w:sz w:val="13"/>
        </w:rPr>
        <w:t>s  5.  This  provision  is  not  yet  in force.</w:t>
      </w:r>
    </w:p>
    <w:p>
      <w:pPr>
        <w:pStyle w:val="ListParagraph"/>
        <w:numPr>
          <w:ilvl w:val="0"/>
          <w:numId w:val="24"/>
        </w:numPr>
        <w:tabs>
          <w:tab w:pos="2381" w:val="left" w:leader="none"/>
          <w:tab w:pos="2382" w:val="left" w:leader="none"/>
        </w:tabs>
        <w:spacing w:line="240" w:lineRule="auto" w:before="4" w:after="0"/>
        <w:ind w:left="2381" w:right="0" w:hanging="794"/>
        <w:jc w:val="left"/>
        <w:rPr>
          <w:sz w:val="13"/>
        </w:rPr>
      </w:pPr>
      <w:r>
        <w:rPr/>
        <w:pict>
          <v:shape style="position:absolute;margin-left:36pt;margin-top:3.738865pt;width:6.7pt;height:14.25pt;mso-position-horizontal-relative:page;mso-position-vertical-relative:paragraph;z-index:1840" type="#_x0000_t202" filled="false" stroked="false">
            <v:textbox inset="0,0,0,0">
              <w:txbxContent>
                <w:p>
                  <w:pPr>
                    <w:spacing w:line="284" w:lineRule="exact" w:before="0"/>
                    <w:ind w:left="0" w:right="0" w:firstLine="0"/>
                    <w:jc w:val="left"/>
                    <w:rPr>
                      <w:b/>
                      <w:sz w:val="24"/>
                    </w:rPr>
                  </w:pPr>
                  <w:r>
                    <w:rPr>
                      <w:b/>
                      <w:color w:val="EC5A4F"/>
                      <w:w w:val="109"/>
                      <w:sz w:val="24"/>
                    </w:rPr>
                    <w:t>8</w:t>
                  </w:r>
                </w:p>
              </w:txbxContent>
            </v:textbox>
            <w10:wrap type="none"/>
          </v:shape>
        </w:pict>
      </w:r>
      <w:r>
        <w:rPr>
          <w:w w:val="105"/>
          <w:sz w:val="13"/>
        </w:rPr>
        <w:t>Submissions 25 </w:t>
      </w:r>
      <w:r>
        <w:rPr>
          <w:spacing w:val="2"/>
          <w:w w:val="105"/>
          <w:sz w:val="13"/>
        </w:rPr>
        <w:t>(Moores </w:t>
      </w:r>
      <w:r>
        <w:rPr>
          <w:w w:val="105"/>
          <w:sz w:val="13"/>
        </w:rPr>
        <w:t>Legal); 35 (Andrew</w:t>
      </w:r>
      <w:r>
        <w:rPr>
          <w:spacing w:val="26"/>
          <w:w w:val="105"/>
          <w:sz w:val="13"/>
        </w:rPr>
        <w:t> </w:t>
      </w:r>
      <w:r>
        <w:rPr>
          <w:w w:val="105"/>
          <w:sz w:val="13"/>
        </w:rPr>
        <w:t>Verspaandonk).</w:t>
      </w:r>
    </w:p>
    <w:p>
      <w:pPr>
        <w:pStyle w:val="ListParagraph"/>
        <w:numPr>
          <w:ilvl w:val="0"/>
          <w:numId w:val="24"/>
        </w:numPr>
        <w:tabs>
          <w:tab w:pos="2381" w:val="left" w:leader="none"/>
          <w:tab w:pos="2382" w:val="left" w:leader="none"/>
        </w:tabs>
        <w:spacing w:line="240" w:lineRule="auto" w:before="2" w:after="0"/>
        <w:ind w:left="2381" w:right="0" w:hanging="794"/>
        <w:jc w:val="left"/>
        <w:rPr>
          <w:sz w:val="13"/>
        </w:rPr>
      </w:pPr>
      <w:r>
        <w:rPr>
          <w:w w:val="105"/>
          <w:sz w:val="13"/>
        </w:rPr>
        <w:t>Submission 25 </w:t>
      </w:r>
      <w:r>
        <w:rPr>
          <w:spacing w:val="2"/>
          <w:w w:val="105"/>
          <w:sz w:val="13"/>
        </w:rPr>
        <w:t>(Moores</w:t>
      </w:r>
      <w:r>
        <w:rPr>
          <w:spacing w:val="13"/>
          <w:w w:val="105"/>
          <w:sz w:val="13"/>
        </w:rPr>
        <w:t> </w:t>
      </w:r>
      <w:r>
        <w:rPr>
          <w:w w:val="105"/>
          <w:sz w:val="13"/>
        </w:rPr>
        <w:t>Legal).</w:t>
      </w:r>
    </w:p>
    <w:p>
      <w:pPr>
        <w:spacing w:after="0" w:line="240" w:lineRule="auto"/>
        <w:jc w:val="left"/>
        <w:rPr>
          <w:sz w:val="13"/>
        </w:rPr>
        <w:sectPr>
          <w:pgSz w:w="11910" w:h="16840"/>
          <w:pgMar w:header="550" w:footer="0" w:top="1560" w:bottom="280" w:left="0" w:right="0"/>
        </w:sectPr>
      </w:pPr>
    </w:p>
    <w:p>
      <w:pPr>
        <w:pStyle w:val="BodyText"/>
        <w:rPr>
          <w:sz w:val="20"/>
        </w:rPr>
      </w:pPr>
    </w:p>
    <w:p>
      <w:pPr>
        <w:pStyle w:val="BodyText"/>
        <w:spacing w:before="12"/>
        <w:rPr>
          <w:sz w:val="18"/>
        </w:rPr>
      </w:pPr>
    </w:p>
    <w:p>
      <w:pPr>
        <w:pStyle w:val="Heading6"/>
        <w:spacing w:line="283" w:lineRule="auto" w:before="100"/>
        <w:ind w:right="1619"/>
      </w:pPr>
      <w:r>
        <w:rPr>
          <w:w w:val="120"/>
        </w:rPr>
        <w:t>Requiring</w:t>
      </w:r>
      <w:r>
        <w:rPr>
          <w:spacing w:val="-28"/>
          <w:w w:val="120"/>
        </w:rPr>
        <w:t> </w:t>
      </w:r>
      <w:r>
        <w:rPr>
          <w:w w:val="120"/>
        </w:rPr>
        <w:t>the</w:t>
      </w:r>
      <w:r>
        <w:rPr>
          <w:spacing w:val="-27"/>
          <w:w w:val="120"/>
        </w:rPr>
        <w:t> </w:t>
      </w:r>
      <w:r>
        <w:rPr>
          <w:w w:val="120"/>
        </w:rPr>
        <w:t>witness</w:t>
      </w:r>
      <w:r>
        <w:rPr>
          <w:spacing w:val="-27"/>
          <w:w w:val="120"/>
        </w:rPr>
        <w:t> </w:t>
      </w:r>
      <w:r>
        <w:rPr>
          <w:w w:val="120"/>
        </w:rPr>
        <w:t>to</w:t>
      </w:r>
      <w:r>
        <w:rPr>
          <w:spacing w:val="-27"/>
          <w:w w:val="120"/>
        </w:rPr>
        <w:t> </w:t>
      </w:r>
      <w:r>
        <w:rPr>
          <w:w w:val="120"/>
        </w:rPr>
        <w:t>certify</w:t>
      </w:r>
      <w:r>
        <w:rPr>
          <w:spacing w:val="-27"/>
          <w:w w:val="120"/>
        </w:rPr>
        <w:t> </w:t>
      </w:r>
      <w:r>
        <w:rPr>
          <w:w w:val="120"/>
        </w:rPr>
        <w:t>that</w:t>
      </w:r>
      <w:r>
        <w:rPr>
          <w:spacing w:val="-28"/>
          <w:w w:val="120"/>
        </w:rPr>
        <w:t> </w:t>
      </w:r>
      <w:r>
        <w:rPr>
          <w:w w:val="120"/>
        </w:rPr>
        <w:t>the</w:t>
      </w:r>
      <w:r>
        <w:rPr>
          <w:spacing w:val="-27"/>
          <w:w w:val="120"/>
        </w:rPr>
        <w:t> </w:t>
      </w:r>
      <w:r>
        <w:rPr>
          <w:w w:val="120"/>
        </w:rPr>
        <w:t>will-maker</w:t>
      </w:r>
      <w:r>
        <w:rPr>
          <w:spacing w:val="-27"/>
          <w:w w:val="120"/>
        </w:rPr>
        <w:t> </w:t>
      </w:r>
      <w:r>
        <w:rPr>
          <w:w w:val="120"/>
        </w:rPr>
        <w:t>appeared</w:t>
      </w:r>
      <w:r>
        <w:rPr>
          <w:spacing w:val="-27"/>
          <w:w w:val="120"/>
        </w:rPr>
        <w:t> </w:t>
      </w:r>
      <w:r>
        <w:rPr>
          <w:w w:val="120"/>
        </w:rPr>
        <w:t>to</w:t>
      </w:r>
      <w:r>
        <w:rPr>
          <w:spacing w:val="-27"/>
          <w:w w:val="120"/>
        </w:rPr>
        <w:t> </w:t>
      </w:r>
      <w:r>
        <w:rPr>
          <w:w w:val="120"/>
        </w:rPr>
        <w:t>have</w:t>
      </w:r>
      <w:r>
        <w:rPr>
          <w:spacing w:val="-27"/>
          <w:w w:val="120"/>
        </w:rPr>
        <w:t> </w:t>
      </w:r>
      <w:r>
        <w:rPr>
          <w:w w:val="120"/>
        </w:rPr>
        <w:t>capacity</w:t>
      </w:r>
      <w:r>
        <w:rPr>
          <w:spacing w:val="-28"/>
          <w:w w:val="120"/>
        </w:rPr>
        <w:t> </w:t>
      </w:r>
      <w:r>
        <w:rPr>
          <w:w w:val="120"/>
        </w:rPr>
        <w:t>and signed freely and</w:t>
      </w:r>
      <w:r>
        <w:rPr>
          <w:spacing w:val="-38"/>
          <w:w w:val="120"/>
        </w:rPr>
        <w:t> </w:t>
      </w:r>
      <w:r>
        <w:rPr>
          <w:w w:val="120"/>
        </w:rPr>
        <w:t>voluntarily</w:t>
      </w:r>
    </w:p>
    <w:p>
      <w:pPr>
        <w:pStyle w:val="ListParagraph"/>
        <w:numPr>
          <w:ilvl w:val="1"/>
          <w:numId w:val="22"/>
        </w:numPr>
        <w:tabs>
          <w:tab w:pos="2380" w:val="left" w:leader="none"/>
          <w:tab w:pos="2381" w:val="left" w:leader="none"/>
        </w:tabs>
        <w:spacing w:line="242" w:lineRule="auto" w:before="104" w:after="0"/>
        <w:ind w:left="2381" w:right="1662" w:hanging="794"/>
        <w:jc w:val="left"/>
        <w:rPr>
          <w:sz w:val="21"/>
        </w:rPr>
      </w:pPr>
      <w:r>
        <w:rPr>
          <w:sz w:val="21"/>
        </w:rPr>
        <w:t>The </w:t>
      </w:r>
      <w:r>
        <w:rPr>
          <w:spacing w:val="-4"/>
          <w:sz w:val="21"/>
        </w:rPr>
        <w:t>Commission’s </w:t>
      </w:r>
      <w:r>
        <w:rPr>
          <w:spacing w:val="-3"/>
          <w:sz w:val="21"/>
        </w:rPr>
        <w:t>consultation  </w:t>
      </w:r>
      <w:r>
        <w:rPr>
          <w:sz w:val="21"/>
        </w:rPr>
        <w:t>paper on </w:t>
      </w:r>
      <w:r>
        <w:rPr>
          <w:spacing w:val="-3"/>
          <w:sz w:val="21"/>
        </w:rPr>
        <w:t>wills</w:t>
      </w:r>
      <w:r>
        <w:rPr>
          <w:spacing w:val="41"/>
          <w:sz w:val="21"/>
        </w:rPr>
        <w:t> </w:t>
      </w:r>
      <w:r>
        <w:rPr>
          <w:spacing w:val="-2"/>
          <w:sz w:val="21"/>
        </w:rPr>
        <w:t>raised  </w:t>
      </w:r>
      <w:r>
        <w:rPr>
          <w:sz w:val="21"/>
        </w:rPr>
        <w:t>the possibility of </w:t>
      </w:r>
      <w:r>
        <w:rPr>
          <w:spacing w:val="-3"/>
          <w:sz w:val="21"/>
        </w:rPr>
        <w:t>requiring  </w:t>
      </w:r>
      <w:r>
        <w:rPr>
          <w:sz w:val="21"/>
        </w:rPr>
        <w:t>a witness  </w:t>
      </w:r>
      <w:r>
        <w:rPr>
          <w:spacing w:val="-3"/>
          <w:sz w:val="21"/>
        </w:rPr>
        <w:t>to </w:t>
      </w:r>
      <w:r>
        <w:rPr>
          <w:sz w:val="21"/>
        </w:rPr>
        <w:t>a </w:t>
      </w:r>
      <w:r>
        <w:rPr>
          <w:spacing w:val="-3"/>
          <w:sz w:val="21"/>
        </w:rPr>
        <w:t>will to </w:t>
      </w:r>
      <w:r>
        <w:rPr>
          <w:sz w:val="21"/>
        </w:rPr>
        <w:t>certify </w:t>
      </w:r>
      <w:r>
        <w:rPr>
          <w:spacing w:val="-3"/>
          <w:sz w:val="21"/>
        </w:rPr>
        <w:t>that </w:t>
      </w:r>
      <w:r>
        <w:rPr>
          <w:sz w:val="21"/>
        </w:rPr>
        <w:t>the </w:t>
      </w:r>
      <w:r>
        <w:rPr>
          <w:spacing w:val="-3"/>
          <w:sz w:val="21"/>
        </w:rPr>
        <w:t>will-maker </w:t>
      </w:r>
      <w:r>
        <w:rPr>
          <w:spacing w:val="-2"/>
          <w:sz w:val="21"/>
        </w:rPr>
        <w:t>had </w:t>
      </w:r>
      <w:r>
        <w:rPr>
          <w:sz w:val="21"/>
        </w:rPr>
        <w:t>the necessary mental capacity </w:t>
      </w:r>
      <w:r>
        <w:rPr>
          <w:spacing w:val="-3"/>
          <w:sz w:val="21"/>
        </w:rPr>
        <w:t>to sign  </w:t>
      </w:r>
      <w:r>
        <w:rPr>
          <w:sz w:val="21"/>
        </w:rPr>
        <w:t>their </w:t>
      </w:r>
      <w:r>
        <w:rPr>
          <w:spacing w:val="-3"/>
          <w:sz w:val="21"/>
        </w:rPr>
        <w:t>will, </w:t>
      </w:r>
      <w:r>
        <w:rPr>
          <w:sz w:val="21"/>
        </w:rPr>
        <w:t>and signed the </w:t>
      </w:r>
      <w:r>
        <w:rPr>
          <w:spacing w:val="-3"/>
          <w:sz w:val="21"/>
        </w:rPr>
        <w:t>will </w:t>
      </w:r>
      <w:r>
        <w:rPr>
          <w:sz w:val="21"/>
        </w:rPr>
        <w:t>freely and</w:t>
      </w:r>
      <w:r>
        <w:rPr>
          <w:spacing w:val="8"/>
          <w:sz w:val="21"/>
        </w:rPr>
        <w:t> </w:t>
      </w:r>
      <w:r>
        <w:rPr>
          <w:spacing w:val="-4"/>
          <w:sz w:val="21"/>
        </w:rPr>
        <w:t>voluntarily.</w:t>
      </w:r>
    </w:p>
    <w:p>
      <w:pPr>
        <w:pStyle w:val="ListParagraph"/>
        <w:numPr>
          <w:ilvl w:val="1"/>
          <w:numId w:val="22"/>
        </w:numPr>
        <w:tabs>
          <w:tab w:pos="2380" w:val="left" w:leader="none"/>
          <w:tab w:pos="2381" w:val="left" w:leader="none"/>
        </w:tabs>
        <w:spacing w:line="242" w:lineRule="auto" w:before="123" w:after="0"/>
        <w:ind w:left="2380" w:right="1733" w:hanging="793"/>
        <w:jc w:val="left"/>
        <w:rPr>
          <w:sz w:val="12"/>
        </w:rPr>
      </w:pPr>
      <w:r>
        <w:rPr>
          <w:w w:val="105"/>
          <w:sz w:val="21"/>
        </w:rPr>
        <w:t>This is </w:t>
      </w:r>
      <w:r>
        <w:rPr>
          <w:spacing w:val="-3"/>
          <w:w w:val="105"/>
          <w:sz w:val="21"/>
        </w:rPr>
        <w:t>another </w:t>
      </w:r>
      <w:r>
        <w:rPr>
          <w:w w:val="105"/>
          <w:sz w:val="21"/>
        </w:rPr>
        <w:t>proposal based on a </w:t>
      </w:r>
      <w:r>
        <w:rPr>
          <w:spacing w:val="-3"/>
          <w:w w:val="105"/>
          <w:sz w:val="21"/>
        </w:rPr>
        <w:t>requirement that </w:t>
      </w:r>
      <w:r>
        <w:rPr>
          <w:w w:val="105"/>
          <w:sz w:val="21"/>
        </w:rPr>
        <w:t>applies when witnessing an </w:t>
      </w:r>
      <w:r>
        <w:rPr>
          <w:spacing w:val="-3"/>
          <w:w w:val="105"/>
          <w:sz w:val="21"/>
        </w:rPr>
        <w:t>enduring</w:t>
      </w:r>
      <w:r>
        <w:rPr>
          <w:spacing w:val="-6"/>
          <w:w w:val="105"/>
          <w:sz w:val="21"/>
        </w:rPr>
        <w:t> </w:t>
      </w:r>
      <w:r>
        <w:rPr>
          <w:w w:val="105"/>
          <w:sz w:val="21"/>
        </w:rPr>
        <w:t>power</w:t>
      </w:r>
      <w:r>
        <w:rPr>
          <w:spacing w:val="-5"/>
          <w:w w:val="105"/>
          <w:sz w:val="21"/>
        </w:rPr>
        <w:t> </w:t>
      </w:r>
      <w:r>
        <w:rPr>
          <w:w w:val="105"/>
          <w:sz w:val="21"/>
        </w:rPr>
        <w:t>of</w:t>
      </w:r>
      <w:r>
        <w:rPr>
          <w:spacing w:val="-5"/>
          <w:w w:val="105"/>
          <w:sz w:val="21"/>
        </w:rPr>
        <w:t> </w:t>
      </w:r>
      <w:r>
        <w:rPr>
          <w:spacing w:val="-4"/>
          <w:w w:val="105"/>
          <w:sz w:val="21"/>
        </w:rPr>
        <w:t>attorney.</w:t>
      </w:r>
      <w:r>
        <w:rPr>
          <w:spacing w:val="-6"/>
          <w:w w:val="105"/>
          <w:sz w:val="21"/>
        </w:rPr>
        <w:t> </w:t>
      </w:r>
      <w:r>
        <w:rPr>
          <w:w w:val="105"/>
          <w:sz w:val="21"/>
        </w:rPr>
        <w:t>Each</w:t>
      </w:r>
      <w:r>
        <w:rPr>
          <w:spacing w:val="-5"/>
          <w:w w:val="105"/>
          <w:sz w:val="21"/>
        </w:rPr>
        <w:t> </w:t>
      </w:r>
      <w:r>
        <w:rPr>
          <w:w w:val="105"/>
          <w:sz w:val="21"/>
        </w:rPr>
        <w:t>witness</w:t>
      </w:r>
      <w:r>
        <w:rPr>
          <w:spacing w:val="-5"/>
          <w:w w:val="105"/>
          <w:sz w:val="21"/>
        </w:rPr>
        <w:t> </w:t>
      </w:r>
      <w:r>
        <w:rPr>
          <w:spacing w:val="-3"/>
          <w:w w:val="105"/>
          <w:sz w:val="21"/>
        </w:rPr>
        <w:t>to</w:t>
      </w:r>
      <w:r>
        <w:rPr>
          <w:spacing w:val="-6"/>
          <w:w w:val="105"/>
          <w:sz w:val="21"/>
        </w:rPr>
        <w:t> </w:t>
      </w:r>
      <w:r>
        <w:rPr>
          <w:w w:val="105"/>
          <w:sz w:val="21"/>
        </w:rPr>
        <w:t>an</w:t>
      </w:r>
      <w:r>
        <w:rPr>
          <w:spacing w:val="-5"/>
          <w:w w:val="105"/>
          <w:sz w:val="21"/>
        </w:rPr>
        <w:t> </w:t>
      </w:r>
      <w:r>
        <w:rPr>
          <w:spacing w:val="-3"/>
          <w:w w:val="105"/>
          <w:sz w:val="21"/>
        </w:rPr>
        <w:t>enduring</w:t>
      </w:r>
      <w:r>
        <w:rPr>
          <w:spacing w:val="-5"/>
          <w:w w:val="105"/>
          <w:sz w:val="21"/>
        </w:rPr>
        <w:t> </w:t>
      </w:r>
      <w:r>
        <w:rPr>
          <w:w w:val="105"/>
          <w:sz w:val="21"/>
        </w:rPr>
        <w:t>power</w:t>
      </w:r>
      <w:r>
        <w:rPr>
          <w:spacing w:val="-6"/>
          <w:w w:val="105"/>
          <w:sz w:val="21"/>
        </w:rPr>
        <w:t> </w:t>
      </w:r>
      <w:r>
        <w:rPr>
          <w:w w:val="105"/>
          <w:sz w:val="21"/>
        </w:rPr>
        <w:t>of</w:t>
      </w:r>
      <w:r>
        <w:rPr>
          <w:spacing w:val="-5"/>
          <w:w w:val="105"/>
          <w:sz w:val="21"/>
        </w:rPr>
        <w:t> </w:t>
      </w:r>
      <w:r>
        <w:rPr>
          <w:w w:val="105"/>
          <w:sz w:val="21"/>
        </w:rPr>
        <w:t>attorney</w:t>
      </w:r>
      <w:r>
        <w:rPr>
          <w:spacing w:val="-5"/>
          <w:w w:val="105"/>
          <w:sz w:val="21"/>
        </w:rPr>
        <w:t> </w:t>
      </w:r>
      <w:r>
        <w:rPr>
          <w:w w:val="105"/>
          <w:sz w:val="21"/>
        </w:rPr>
        <w:t>must</w:t>
      </w:r>
      <w:r>
        <w:rPr>
          <w:spacing w:val="-6"/>
          <w:w w:val="105"/>
          <w:sz w:val="21"/>
        </w:rPr>
        <w:t> </w:t>
      </w:r>
      <w:r>
        <w:rPr>
          <w:w w:val="105"/>
          <w:sz w:val="21"/>
        </w:rPr>
        <w:t>certify </w:t>
      </w:r>
      <w:r>
        <w:rPr>
          <w:spacing w:val="-3"/>
          <w:w w:val="105"/>
          <w:sz w:val="21"/>
        </w:rPr>
        <w:t>that </w:t>
      </w:r>
      <w:r>
        <w:rPr>
          <w:w w:val="105"/>
          <w:sz w:val="21"/>
        </w:rPr>
        <w:t>the donor signed the document freely and </w:t>
      </w:r>
      <w:r>
        <w:rPr>
          <w:spacing w:val="-3"/>
          <w:w w:val="105"/>
          <w:sz w:val="21"/>
        </w:rPr>
        <w:t>voluntarily </w:t>
      </w:r>
      <w:r>
        <w:rPr>
          <w:w w:val="105"/>
          <w:sz w:val="21"/>
        </w:rPr>
        <w:t>and appeared </w:t>
      </w:r>
      <w:r>
        <w:rPr>
          <w:spacing w:val="-3"/>
          <w:w w:val="105"/>
          <w:sz w:val="21"/>
        </w:rPr>
        <w:t>to have </w:t>
      </w:r>
      <w:r>
        <w:rPr>
          <w:w w:val="105"/>
          <w:sz w:val="21"/>
        </w:rPr>
        <w:t>the capacity necessary </w:t>
      </w:r>
      <w:r>
        <w:rPr>
          <w:spacing w:val="-3"/>
          <w:w w:val="105"/>
          <w:sz w:val="21"/>
        </w:rPr>
        <w:t>to </w:t>
      </w:r>
      <w:r>
        <w:rPr>
          <w:spacing w:val="-4"/>
          <w:w w:val="105"/>
          <w:sz w:val="21"/>
        </w:rPr>
        <w:t>make </w:t>
      </w:r>
      <w:r>
        <w:rPr>
          <w:w w:val="105"/>
          <w:sz w:val="21"/>
        </w:rPr>
        <w:t>the </w:t>
      </w:r>
      <w:r>
        <w:rPr>
          <w:spacing w:val="-3"/>
          <w:w w:val="105"/>
          <w:sz w:val="21"/>
        </w:rPr>
        <w:t>enduring </w:t>
      </w:r>
      <w:r>
        <w:rPr>
          <w:w w:val="105"/>
          <w:sz w:val="21"/>
        </w:rPr>
        <w:t>power of</w:t>
      </w:r>
      <w:r>
        <w:rPr>
          <w:spacing w:val="39"/>
          <w:w w:val="105"/>
          <w:sz w:val="21"/>
        </w:rPr>
        <w:t> </w:t>
      </w:r>
      <w:r>
        <w:rPr>
          <w:spacing w:val="-3"/>
          <w:w w:val="105"/>
          <w:sz w:val="21"/>
        </w:rPr>
        <w:t>attorney.</w:t>
      </w:r>
      <w:r>
        <w:rPr>
          <w:spacing w:val="-3"/>
          <w:w w:val="105"/>
          <w:position w:val="7"/>
          <w:sz w:val="12"/>
        </w:rPr>
        <w:t>26</w:t>
      </w:r>
    </w:p>
    <w:p>
      <w:pPr>
        <w:pStyle w:val="ListParagraph"/>
        <w:numPr>
          <w:ilvl w:val="1"/>
          <w:numId w:val="22"/>
        </w:numPr>
        <w:tabs>
          <w:tab w:pos="2381" w:val="left" w:leader="none"/>
          <w:tab w:pos="2382" w:val="left" w:leader="none"/>
        </w:tabs>
        <w:spacing w:line="242" w:lineRule="auto" w:before="124" w:after="0"/>
        <w:ind w:left="2381" w:right="1631" w:hanging="794"/>
        <w:jc w:val="left"/>
        <w:rPr>
          <w:sz w:val="12"/>
        </w:rPr>
      </w:pPr>
      <w:r>
        <w:rPr>
          <w:w w:val="105"/>
          <w:sz w:val="21"/>
        </w:rPr>
        <w:t>While</w:t>
      </w:r>
      <w:r>
        <w:rPr>
          <w:spacing w:val="-8"/>
          <w:w w:val="105"/>
          <w:sz w:val="21"/>
        </w:rPr>
        <w:t> </w:t>
      </w:r>
      <w:r>
        <w:rPr>
          <w:w w:val="105"/>
          <w:sz w:val="21"/>
        </w:rPr>
        <w:t>some</w:t>
      </w:r>
      <w:r>
        <w:rPr>
          <w:spacing w:val="-8"/>
          <w:w w:val="105"/>
          <w:sz w:val="21"/>
        </w:rPr>
        <w:t> </w:t>
      </w:r>
      <w:r>
        <w:rPr>
          <w:spacing w:val="-3"/>
          <w:w w:val="105"/>
          <w:sz w:val="21"/>
        </w:rPr>
        <w:t>submissions</w:t>
      </w:r>
      <w:r>
        <w:rPr>
          <w:spacing w:val="-7"/>
          <w:w w:val="105"/>
          <w:sz w:val="21"/>
        </w:rPr>
        <w:t> </w:t>
      </w:r>
      <w:r>
        <w:rPr>
          <w:w w:val="105"/>
          <w:sz w:val="21"/>
        </w:rPr>
        <w:t>supported</w:t>
      </w:r>
      <w:r>
        <w:rPr>
          <w:spacing w:val="-8"/>
          <w:w w:val="105"/>
          <w:sz w:val="21"/>
        </w:rPr>
        <w:t> </w:t>
      </w:r>
      <w:r>
        <w:rPr>
          <w:w w:val="105"/>
          <w:sz w:val="21"/>
        </w:rPr>
        <w:t>the</w:t>
      </w:r>
      <w:r>
        <w:rPr>
          <w:spacing w:val="-7"/>
          <w:w w:val="105"/>
          <w:sz w:val="21"/>
        </w:rPr>
        <w:t> </w:t>
      </w:r>
      <w:r>
        <w:rPr>
          <w:w w:val="105"/>
          <w:sz w:val="21"/>
        </w:rPr>
        <w:t>idea,</w:t>
      </w:r>
      <w:r>
        <w:rPr>
          <w:w w:val="105"/>
          <w:position w:val="7"/>
          <w:sz w:val="12"/>
        </w:rPr>
        <w:t>27</w:t>
      </w:r>
      <w:r>
        <w:rPr>
          <w:spacing w:val="14"/>
          <w:w w:val="105"/>
          <w:position w:val="7"/>
          <w:sz w:val="12"/>
        </w:rPr>
        <w:t> </w:t>
      </w:r>
      <w:r>
        <w:rPr>
          <w:w w:val="105"/>
          <w:sz w:val="21"/>
        </w:rPr>
        <w:t>others</w:t>
      </w:r>
      <w:r>
        <w:rPr>
          <w:spacing w:val="-7"/>
          <w:w w:val="105"/>
          <w:sz w:val="21"/>
        </w:rPr>
        <w:t> </w:t>
      </w:r>
      <w:r>
        <w:rPr>
          <w:spacing w:val="-3"/>
          <w:w w:val="105"/>
          <w:sz w:val="21"/>
        </w:rPr>
        <w:t>noted</w:t>
      </w:r>
      <w:r>
        <w:rPr>
          <w:spacing w:val="-8"/>
          <w:w w:val="105"/>
          <w:sz w:val="21"/>
        </w:rPr>
        <w:t> </w:t>
      </w:r>
      <w:r>
        <w:rPr>
          <w:spacing w:val="-3"/>
          <w:w w:val="105"/>
          <w:sz w:val="21"/>
        </w:rPr>
        <w:t>that</w:t>
      </w:r>
      <w:r>
        <w:rPr>
          <w:spacing w:val="-7"/>
          <w:w w:val="105"/>
          <w:sz w:val="21"/>
        </w:rPr>
        <w:t> </w:t>
      </w:r>
      <w:r>
        <w:rPr>
          <w:w w:val="105"/>
          <w:sz w:val="21"/>
        </w:rPr>
        <w:t>this</w:t>
      </w:r>
      <w:r>
        <w:rPr>
          <w:spacing w:val="-8"/>
          <w:w w:val="105"/>
          <w:sz w:val="21"/>
        </w:rPr>
        <w:t> </w:t>
      </w:r>
      <w:r>
        <w:rPr>
          <w:w w:val="105"/>
          <w:sz w:val="21"/>
        </w:rPr>
        <w:t>is</w:t>
      </w:r>
      <w:r>
        <w:rPr>
          <w:spacing w:val="-8"/>
          <w:w w:val="105"/>
          <w:sz w:val="21"/>
        </w:rPr>
        <w:t> </w:t>
      </w:r>
      <w:r>
        <w:rPr>
          <w:w w:val="105"/>
          <w:sz w:val="21"/>
        </w:rPr>
        <w:t>a</w:t>
      </w:r>
      <w:r>
        <w:rPr>
          <w:spacing w:val="-7"/>
          <w:w w:val="105"/>
          <w:sz w:val="21"/>
        </w:rPr>
        <w:t> </w:t>
      </w:r>
      <w:r>
        <w:rPr>
          <w:spacing w:val="-3"/>
          <w:w w:val="105"/>
          <w:sz w:val="21"/>
        </w:rPr>
        <w:t>complicated</w:t>
      </w:r>
      <w:r>
        <w:rPr>
          <w:spacing w:val="-8"/>
          <w:w w:val="105"/>
          <w:sz w:val="21"/>
        </w:rPr>
        <w:t> </w:t>
      </w:r>
      <w:r>
        <w:rPr>
          <w:w w:val="105"/>
          <w:sz w:val="21"/>
        </w:rPr>
        <w:t>task and would be beyond the experience of </w:t>
      </w:r>
      <w:r>
        <w:rPr>
          <w:spacing w:val="-3"/>
          <w:w w:val="105"/>
          <w:sz w:val="21"/>
        </w:rPr>
        <w:t>many </w:t>
      </w:r>
      <w:r>
        <w:rPr>
          <w:w w:val="105"/>
          <w:sz w:val="21"/>
        </w:rPr>
        <w:t>witnesses.</w:t>
      </w:r>
      <w:r>
        <w:rPr>
          <w:w w:val="105"/>
          <w:position w:val="7"/>
          <w:sz w:val="12"/>
        </w:rPr>
        <w:t>28 </w:t>
      </w:r>
      <w:r>
        <w:rPr>
          <w:w w:val="105"/>
          <w:sz w:val="21"/>
        </w:rPr>
        <w:t>Some questioned the </w:t>
      </w:r>
      <w:r>
        <w:rPr>
          <w:spacing w:val="-3"/>
          <w:w w:val="105"/>
          <w:sz w:val="21"/>
        </w:rPr>
        <w:t>value that </w:t>
      </w:r>
      <w:r>
        <w:rPr>
          <w:w w:val="105"/>
          <w:sz w:val="21"/>
        </w:rPr>
        <w:t>a court would </w:t>
      </w:r>
      <w:r>
        <w:rPr>
          <w:spacing w:val="-3"/>
          <w:w w:val="105"/>
          <w:sz w:val="21"/>
        </w:rPr>
        <w:t>place </w:t>
      </w:r>
      <w:r>
        <w:rPr>
          <w:w w:val="105"/>
          <w:sz w:val="21"/>
        </w:rPr>
        <w:t>on </w:t>
      </w:r>
      <w:r>
        <w:rPr>
          <w:spacing w:val="-3"/>
          <w:w w:val="105"/>
          <w:sz w:val="21"/>
        </w:rPr>
        <w:t>such </w:t>
      </w:r>
      <w:r>
        <w:rPr>
          <w:w w:val="105"/>
          <w:sz w:val="21"/>
        </w:rPr>
        <w:t>an assessment provided by a person without expertise in issues of capacity and</w:t>
      </w:r>
      <w:r>
        <w:rPr>
          <w:spacing w:val="23"/>
          <w:w w:val="105"/>
          <w:sz w:val="21"/>
        </w:rPr>
        <w:t> </w:t>
      </w:r>
      <w:r>
        <w:rPr>
          <w:w w:val="105"/>
          <w:sz w:val="21"/>
        </w:rPr>
        <w:t>coercion.</w:t>
      </w:r>
      <w:r>
        <w:rPr>
          <w:w w:val="105"/>
          <w:position w:val="7"/>
          <w:sz w:val="12"/>
        </w:rPr>
        <w:t>29</w:t>
      </w:r>
    </w:p>
    <w:p>
      <w:pPr>
        <w:pStyle w:val="ListParagraph"/>
        <w:numPr>
          <w:ilvl w:val="1"/>
          <w:numId w:val="22"/>
        </w:numPr>
        <w:tabs>
          <w:tab w:pos="2380" w:val="left" w:leader="none"/>
          <w:tab w:pos="2381" w:val="left" w:leader="none"/>
        </w:tabs>
        <w:spacing w:line="242" w:lineRule="auto" w:before="125" w:after="0"/>
        <w:ind w:left="2380" w:right="1817" w:hanging="793"/>
        <w:jc w:val="left"/>
        <w:rPr>
          <w:sz w:val="12"/>
        </w:rPr>
      </w:pPr>
      <w:r>
        <w:rPr>
          <w:sz w:val="21"/>
        </w:rPr>
        <w:t>The Law </w:t>
      </w:r>
      <w:r>
        <w:rPr>
          <w:spacing w:val="-3"/>
          <w:sz w:val="21"/>
        </w:rPr>
        <w:t>Institute </w:t>
      </w:r>
      <w:r>
        <w:rPr>
          <w:sz w:val="21"/>
        </w:rPr>
        <w:t>of Victoria </w:t>
      </w:r>
      <w:r>
        <w:rPr>
          <w:spacing w:val="-3"/>
          <w:sz w:val="21"/>
        </w:rPr>
        <w:t>noted that </w:t>
      </w:r>
      <w:r>
        <w:rPr>
          <w:sz w:val="21"/>
        </w:rPr>
        <w:t>there is still </w:t>
      </w:r>
      <w:r>
        <w:rPr>
          <w:spacing w:val="-3"/>
          <w:sz w:val="21"/>
        </w:rPr>
        <w:t>confusion </w:t>
      </w:r>
      <w:r>
        <w:rPr>
          <w:sz w:val="21"/>
        </w:rPr>
        <w:t>among legal practitioners about the level of capacity </w:t>
      </w:r>
      <w:r>
        <w:rPr>
          <w:spacing w:val="-3"/>
          <w:sz w:val="21"/>
        </w:rPr>
        <w:t>required, although </w:t>
      </w:r>
      <w:r>
        <w:rPr>
          <w:sz w:val="21"/>
        </w:rPr>
        <w:t>the </w:t>
      </w:r>
      <w:r>
        <w:rPr>
          <w:spacing w:val="-3"/>
          <w:sz w:val="21"/>
        </w:rPr>
        <w:t>culture </w:t>
      </w:r>
      <w:r>
        <w:rPr>
          <w:sz w:val="21"/>
        </w:rPr>
        <w:t>and practice </w:t>
      </w:r>
      <w:r>
        <w:rPr>
          <w:spacing w:val="-3"/>
          <w:sz w:val="21"/>
        </w:rPr>
        <w:t>surrounding </w:t>
      </w:r>
      <w:r>
        <w:rPr>
          <w:sz w:val="21"/>
        </w:rPr>
        <w:t>witnessing powers of attorney </w:t>
      </w:r>
      <w:r>
        <w:rPr>
          <w:spacing w:val="-2"/>
          <w:sz w:val="21"/>
        </w:rPr>
        <w:t>has </w:t>
      </w:r>
      <w:r>
        <w:rPr>
          <w:sz w:val="21"/>
        </w:rPr>
        <w:t>reportedly </w:t>
      </w:r>
      <w:r>
        <w:rPr>
          <w:spacing w:val="-3"/>
          <w:sz w:val="21"/>
        </w:rPr>
        <w:t>improved since </w:t>
      </w:r>
      <w:r>
        <w:rPr>
          <w:sz w:val="21"/>
        </w:rPr>
        <w:t>witnesses </w:t>
      </w:r>
      <w:r>
        <w:rPr>
          <w:spacing w:val="-3"/>
          <w:sz w:val="21"/>
        </w:rPr>
        <w:t>have </w:t>
      </w:r>
      <w:r>
        <w:rPr>
          <w:sz w:val="21"/>
        </w:rPr>
        <w:t>been </w:t>
      </w:r>
      <w:r>
        <w:rPr>
          <w:spacing w:val="-3"/>
          <w:sz w:val="21"/>
        </w:rPr>
        <w:t>required to </w:t>
      </w:r>
      <w:r>
        <w:rPr>
          <w:sz w:val="21"/>
        </w:rPr>
        <w:t>certify </w:t>
      </w:r>
      <w:r>
        <w:rPr>
          <w:spacing w:val="-3"/>
          <w:sz w:val="21"/>
        </w:rPr>
        <w:t>capacity.</w:t>
      </w:r>
      <w:r>
        <w:rPr>
          <w:spacing w:val="-3"/>
          <w:position w:val="7"/>
          <w:sz w:val="12"/>
        </w:rPr>
        <w:t>30 </w:t>
      </w:r>
      <w:r>
        <w:rPr>
          <w:sz w:val="21"/>
        </w:rPr>
        <w:t>It is </w:t>
      </w:r>
      <w:r>
        <w:rPr>
          <w:spacing w:val="-3"/>
          <w:sz w:val="21"/>
        </w:rPr>
        <w:t>therefore </w:t>
      </w:r>
      <w:r>
        <w:rPr>
          <w:sz w:val="21"/>
        </w:rPr>
        <w:t>difficult </w:t>
      </w:r>
      <w:r>
        <w:rPr>
          <w:spacing w:val="-3"/>
          <w:sz w:val="21"/>
        </w:rPr>
        <w:t>for any </w:t>
      </w:r>
      <w:r>
        <w:rPr>
          <w:sz w:val="21"/>
        </w:rPr>
        <w:t>non-legal or non-medical witness</w:t>
      </w:r>
      <w:r>
        <w:rPr>
          <w:spacing w:val="10"/>
          <w:sz w:val="21"/>
        </w:rPr>
        <w:t> </w:t>
      </w:r>
      <w:r>
        <w:rPr>
          <w:spacing w:val="-3"/>
          <w:sz w:val="21"/>
        </w:rPr>
        <w:t>to</w:t>
      </w:r>
      <w:r>
        <w:rPr>
          <w:spacing w:val="10"/>
          <w:sz w:val="21"/>
        </w:rPr>
        <w:t> </w:t>
      </w:r>
      <w:r>
        <w:rPr>
          <w:sz w:val="21"/>
        </w:rPr>
        <w:t>certify</w:t>
      </w:r>
      <w:r>
        <w:rPr>
          <w:spacing w:val="10"/>
          <w:sz w:val="21"/>
        </w:rPr>
        <w:t> </w:t>
      </w:r>
      <w:r>
        <w:rPr>
          <w:spacing w:val="-3"/>
          <w:sz w:val="21"/>
        </w:rPr>
        <w:t>that</w:t>
      </w:r>
      <w:r>
        <w:rPr>
          <w:spacing w:val="11"/>
          <w:sz w:val="21"/>
        </w:rPr>
        <w:t> </w:t>
      </w:r>
      <w:r>
        <w:rPr>
          <w:sz w:val="21"/>
        </w:rPr>
        <w:t>the</w:t>
      </w:r>
      <w:r>
        <w:rPr>
          <w:spacing w:val="10"/>
          <w:sz w:val="21"/>
        </w:rPr>
        <w:t> </w:t>
      </w:r>
      <w:r>
        <w:rPr>
          <w:sz w:val="21"/>
        </w:rPr>
        <w:t>person</w:t>
      </w:r>
      <w:r>
        <w:rPr>
          <w:spacing w:val="10"/>
          <w:sz w:val="21"/>
        </w:rPr>
        <w:t> </w:t>
      </w:r>
      <w:r>
        <w:rPr>
          <w:sz w:val="21"/>
        </w:rPr>
        <w:t>appeared</w:t>
      </w:r>
      <w:r>
        <w:rPr>
          <w:spacing w:val="10"/>
          <w:sz w:val="21"/>
        </w:rPr>
        <w:t> </w:t>
      </w:r>
      <w:r>
        <w:rPr>
          <w:spacing w:val="-3"/>
          <w:sz w:val="21"/>
        </w:rPr>
        <w:t>to</w:t>
      </w:r>
      <w:r>
        <w:rPr>
          <w:spacing w:val="11"/>
          <w:sz w:val="21"/>
        </w:rPr>
        <w:t> </w:t>
      </w:r>
      <w:r>
        <w:rPr>
          <w:spacing w:val="-3"/>
          <w:sz w:val="21"/>
        </w:rPr>
        <w:t>have</w:t>
      </w:r>
      <w:r>
        <w:rPr>
          <w:spacing w:val="10"/>
          <w:sz w:val="21"/>
        </w:rPr>
        <w:t> </w:t>
      </w:r>
      <w:r>
        <w:rPr>
          <w:spacing w:val="-3"/>
          <w:sz w:val="21"/>
        </w:rPr>
        <w:t>capacity.</w:t>
      </w:r>
      <w:r>
        <w:rPr>
          <w:spacing w:val="-3"/>
          <w:position w:val="7"/>
          <w:sz w:val="12"/>
        </w:rPr>
        <w:t>31</w:t>
      </w:r>
    </w:p>
    <w:p>
      <w:pPr>
        <w:pStyle w:val="ListParagraph"/>
        <w:numPr>
          <w:ilvl w:val="1"/>
          <w:numId w:val="22"/>
        </w:numPr>
        <w:tabs>
          <w:tab w:pos="2380" w:val="left" w:leader="none"/>
          <w:tab w:pos="2381" w:val="left" w:leader="none"/>
        </w:tabs>
        <w:spacing w:line="242" w:lineRule="auto" w:before="125" w:after="0"/>
        <w:ind w:left="2381" w:right="1752" w:hanging="794"/>
        <w:jc w:val="left"/>
        <w:rPr>
          <w:sz w:val="21"/>
        </w:rPr>
      </w:pPr>
      <w:r>
        <w:rPr>
          <w:w w:val="105"/>
          <w:sz w:val="21"/>
        </w:rPr>
        <w:t>The </w:t>
      </w:r>
      <w:r>
        <w:rPr>
          <w:spacing w:val="-3"/>
          <w:w w:val="105"/>
          <w:sz w:val="21"/>
        </w:rPr>
        <w:t>Commission </w:t>
      </w:r>
      <w:r>
        <w:rPr>
          <w:w w:val="105"/>
          <w:sz w:val="21"/>
        </w:rPr>
        <w:t>does </w:t>
      </w:r>
      <w:r>
        <w:rPr>
          <w:spacing w:val="-2"/>
          <w:w w:val="105"/>
          <w:sz w:val="21"/>
        </w:rPr>
        <w:t>not </w:t>
      </w:r>
      <w:r>
        <w:rPr>
          <w:w w:val="105"/>
          <w:sz w:val="21"/>
        </w:rPr>
        <w:t>believe </w:t>
      </w:r>
      <w:r>
        <w:rPr>
          <w:spacing w:val="-3"/>
          <w:w w:val="105"/>
          <w:sz w:val="21"/>
        </w:rPr>
        <w:t>that such </w:t>
      </w:r>
      <w:r>
        <w:rPr>
          <w:w w:val="105"/>
          <w:sz w:val="21"/>
        </w:rPr>
        <w:t>a </w:t>
      </w:r>
      <w:r>
        <w:rPr>
          <w:spacing w:val="-3"/>
          <w:w w:val="105"/>
          <w:sz w:val="21"/>
        </w:rPr>
        <w:t>change to </w:t>
      </w:r>
      <w:r>
        <w:rPr>
          <w:w w:val="105"/>
          <w:sz w:val="21"/>
        </w:rPr>
        <w:t>the </w:t>
      </w:r>
      <w:r>
        <w:rPr>
          <w:spacing w:val="-3"/>
          <w:w w:val="105"/>
          <w:sz w:val="21"/>
        </w:rPr>
        <w:t>requirements for </w:t>
      </w:r>
      <w:r>
        <w:rPr>
          <w:w w:val="105"/>
          <w:sz w:val="21"/>
        </w:rPr>
        <w:t>witnessing </w:t>
      </w:r>
      <w:r>
        <w:rPr>
          <w:spacing w:val="-3"/>
          <w:w w:val="105"/>
          <w:sz w:val="21"/>
        </w:rPr>
        <w:t>wills </w:t>
      </w:r>
      <w:r>
        <w:rPr>
          <w:w w:val="105"/>
          <w:sz w:val="21"/>
        </w:rPr>
        <w:t>would be </w:t>
      </w:r>
      <w:r>
        <w:rPr>
          <w:spacing w:val="-3"/>
          <w:w w:val="105"/>
          <w:sz w:val="21"/>
        </w:rPr>
        <w:t>useful </w:t>
      </w:r>
      <w:r>
        <w:rPr>
          <w:w w:val="105"/>
          <w:sz w:val="21"/>
        </w:rPr>
        <w:t>in </w:t>
      </w:r>
      <w:r>
        <w:rPr>
          <w:spacing w:val="-3"/>
          <w:w w:val="105"/>
          <w:sz w:val="21"/>
        </w:rPr>
        <w:t>preventing undue influence. </w:t>
      </w:r>
      <w:r>
        <w:rPr>
          <w:w w:val="105"/>
          <w:sz w:val="21"/>
        </w:rPr>
        <w:t>Where a </w:t>
      </w:r>
      <w:r>
        <w:rPr>
          <w:spacing w:val="-3"/>
          <w:w w:val="105"/>
          <w:sz w:val="21"/>
        </w:rPr>
        <w:t>will-maker’s </w:t>
      </w:r>
      <w:r>
        <w:rPr>
          <w:w w:val="105"/>
          <w:sz w:val="21"/>
        </w:rPr>
        <w:t>capacity</w:t>
      </w:r>
      <w:r>
        <w:rPr>
          <w:spacing w:val="14"/>
          <w:w w:val="105"/>
          <w:sz w:val="21"/>
        </w:rPr>
        <w:t> </w:t>
      </w:r>
      <w:r>
        <w:rPr>
          <w:w w:val="105"/>
          <w:sz w:val="21"/>
        </w:rPr>
        <w:t>is</w:t>
      </w:r>
    </w:p>
    <w:p>
      <w:pPr>
        <w:pStyle w:val="BodyText"/>
        <w:spacing w:line="242" w:lineRule="auto" w:before="2"/>
        <w:ind w:left="2380" w:right="1619"/>
      </w:pPr>
      <w:r>
        <w:rPr>
          <w:w w:val="105"/>
        </w:rPr>
        <w:t>in doubt, a </w:t>
      </w:r>
      <w:r>
        <w:rPr>
          <w:spacing w:val="-3"/>
          <w:w w:val="105"/>
        </w:rPr>
        <w:t>professional </w:t>
      </w:r>
      <w:r>
        <w:rPr>
          <w:w w:val="105"/>
        </w:rPr>
        <w:t>report would be more </w:t>
      </w:r>
      <w:r>
        <w:rPr>
          <w:spacing w:val="-3"/>
          <w:w w:val="105"/>
        </w:rPr>
        <w:t>useful to </w:t>
      </w:r>
      <w:r>
        <w:rPr>
          <w:w w:val="105"/>
        </w:rPr>
        <w:t>the </w:t>
      </w:r>
      <w:r>
        <w:rPr>
          <w:spacing w:val="-3"/>
          <w:w w:val="105"/>
        </w:rPr>
        <w:t>Court </w:t>
      </w:r>
      <w:r>
        <w:rPr>
          <w:w w:val="105"/>
        </w:rPr>
        <w:t>on a </w:t>
      </w:r>
      <w:r>
        <w:rPr>
          <w:spacing w:val="-3"/>
          <w:w w:val="105"/>
        </w:rPr>
        <w:t>subsequent challenge to </w:t>
      </w:r>
      <w:r>
        <w:rPr>
          <w:w w:val="105"/>
        </w:rPr>
        <w:t>the </w:t>
      </w:r>
      <w:r>
        <w:rPr>
          <w:spacing w:val="-3"/>
          <w:w w:val="105"/>
        </w:rPr>
        <w:t>will than </w:t>
      </w:r>
      <w:r>
        <w:rPr>
          <w:w w:val="105"/>
        </w:rPr>
        <w:t>the view of an unqualified </w:t>
      </w:r>
      <w:r>
        <w:rPr>
          <w:spacing w:val="-3"/>
          <w:w w:val="105"/>
        </w:rPr>
        <w:t>lay </w:t>
      </w:r>
      <w:r>
        <w:rPr>
          <w:w w:val="105"/>
        </w:rPr>
        <w:t>witness.</w:t>
      </w:r>
    </w:p>
    <w:p>
      <w:pPr>
        <w:pStyle w:val="BodyText"/>
        <w:spacing w:before="11"/>
        <w:rPr>
          <w:sz w:val="26"/>
        </w:rPr>
      </w:pPr>
    </w:p>
    <w:p>
      <w:pPr>
        <w:pStyle w:val="Heading6"/>
      </w:pPr>
      <w:r>
        <w:rPr>
          <w:w w:val="115"/>
        </w:rPr>
        <w:t>Requiring a medical practitioner to witness and assess the person’s capacity</w:t>
      </w:r>
    </w:p>
    <w:p>
      <w:pPr>
        <w:pStyle w:val="ListParagraph"/>
        <w:numPr>
          <w:ilvl w:val="1"/>
          <w:numId w:val="22"/>
        </w:numPr>
        <w:tabs>
          <w:tab w:pos="2380" w:val="left" w:leader="none"/>
          <w:tab w:pos="2381" w:val="left" w:leader="none"/>
        </w:tabs>
        <w:spacing w:line="242" w:lineRule="auto" w:before="151" w:after="0"/>
        <w:ind w:left="2381" w:right="1830" w:hanging="794"/>
        <w:jc w:val="left"/>
        <w:rPr>
          <w:sz w:val="12"/>
        </w:rPr>
      </w:pPr>
      <w:r>
        <w:rPr>
          <w:sz w:val="21"/>
        </w:rPr>
        <w:t>Most </w:t>
      </w:r>
      <w:r>
        <w:rPr>
          <w:spacing w:val="-3"/>
          <w:sz w:val="21"/>
        </w:rPr>
        <w:t>submissions  </w:t>
      </w:r>
      <w:r>
        <w:rPr>
          <w:sz w:val="21"/>
        </w:rPr>
        <w:t>opposed the idea of </w:t>
      </w:r>
      <w:r>
        <w:rPr>
          <w:spacing w:val="-3"/>
          <w:sz w:val="21"/>
        </w:rPr>
        <w:t>requiring</w:t>
      </w:r>
      <w:r>
        <w:rPr>
          <w:spacing w:val="41"/>
          <w:sz w:val="21"/>
        </w:rPr>
        <w:t> </w:t>
      </w:r>
      <w:r>
        <w:rPr>
          <w:sz w:val="21"/>
        </w:rPr>
        <w:t>one of the witnesses </w:t>
      </w:r>
      <w:r>
        <w:rPr>
          <w:spacing w:val="-3"/>
          <w:sz w:val="21"/>
        </w:rPr>
        <w:t>to  </w:t>
      </w:r>
      <w:r>
        <w:rPr>
          <w:sz w:val="21"/>
        </w:rPr>
        <w:t>the </w:t>
      </w:r>
      <w:r>
        <w:rPr>
          <w:spacing w:val="-3"/>
          <w:sz w:val="21"/>
        </w:rPr>
        <w:t>will  to  </w:t>
      </w:r>
      <w:r>
        <w:rPr>
          <w:sz w:val="21"/>
        </w:rPr>
        <w:t>be    a medical practitioner who would provide an assessment of the </w:t>
      </w:r>
      <w:r>
        <w:rPr>
          <w:spacing w:val="-3"/>
          <w:sz w:val="21"/>
        </w:rPr>
        <w:t>will-maker’s  </w:t>
      </w:r>
      <w:r>
        <w:rPr>
          <w:sz w:val="21"/>
        </w:rPr>
        <w:t>capacity   and freedom of </w:t>
      </w:r>
      <w:r>
        <w:rPr>
          <w:spacing w:val="-3"/>
          <w:sz w:val="21"/>
        </w:rPr>
        <w:t>will.</w:t>
      </w:r>
      <w:r>
        <w:rPr>
          <w:spacing w:val="-3"/>
          <w:position w:val="7"/>
          <w:sz w:val="12"/>
        </w:rPr>
        <w:t>32 </w:t>
      </w:r>
      <w:r>
        <w:rPr>
          <w:sz w:val="21"/>
        </w:rPr>
        <w:t>Some </w:t>
      </w:r>
      <w:r>
        <w:rPr>
          <w:spacing w:val="-3"/>
          <w:sz w:val="21"/>
        </w:rPr>
        <w:t>noted that </w:t>
      </w:r>
      <w:r>
        <w:rPr>
          <w:sz w:val="21"/>
        </w:rPr>
        <w:t>this would impose an </w:t>
      </w:r>
      <w:r>
        <w:rPr>
          <w:spacing w:val="-3"/>
          <w:sz w:val="21"/>
        </w:rPr>
        <w:t>unreasonable </w:t>
      </w:r>
      <w:r>
        <w:rPr>
          <w:sz w:val="21"/>
        </w:rPr>
        <w:t>burden on medical practitioners </w:t>
      </w:r>
      <w:r>
        <w:rPr>
          <w:spacing w:val="-3"/>
          <w:sz w:val="21"/>
        </w:rPr>
        <w:t>for </w:t>
      </w:r>
      <w:r>
        <w:rPr>
          <w:sz w:val="21"/>
        </w:rPr>
        <w:t>little benefit.</w:t>
      </w:r>
      <w:r>
        <w:rPr>
          <w:position w:val="7"/>
          <w:sz w:val="12"/>
        </w:rPr>
        <w:t>33 </w:t>
      </w:r>
      <w:r>
        <w:rPr>
          <w:sz w:val="21"/>
        </w:rPr>
        <w:t>In </w:t>
      </w:r>
      <w:r>
        <w:rPr>
          <w:spacing w:val="-3"/>
          <w:sz w:val="21"/>
        </w:rPr>
        <w:t>addition, </w:t>
      </w:r>
      <w:r>
        <w:rPr>
          <w:sz w:val="21"/>
        </w:rPr>
        <w:t>issues of </w:t>
      </w:r>
      <w:r>
        <w:rPr>
          <w:spacing w:val="-3"/>
          <w:sz w:val="21"/>
        </w:rPr>
        <w:t>coercion </w:t>
      </w:r>
      <w:r>
        <w:rPr>
          <w:sz w:val="21"/>
        </w:rPr>
        <w:t>and </w:t>
      </w:r>
      <w:r>
        <w:rPr>
          <w:spacing w:val="-3"/>
          <w:sz w:val="21"/>
        </w:rPr>
        <w:t>voluntariness are </w:t>
      </w:r>
      <w:r>
        <w:rPr>
          <w:spacing w:val="-2"/>
          <w:sz w:val="21"/>
        </w:rPr>
        <w:t>not </w:t>
      </w:r>
      <w:r>
        <w:rPr>
          <w:sz w:val="21"/>
        </w:rPr>
        <w:t>necessarily medical issues and </w:t>
      </w:r>
      <w:r>
        <w:rPr>
          <w:spacing w:val="-3"/>
          <w:sz w:val="21"/>
        </w:rPr>
        <w:t>may require </w:t>
      </w:r>
      <w:r>
        <w:rPr>
          <w:sz w:val="21"/>
        </w:rPr>
        <w:t>further </w:t>
      </w:r>
      <w:r>
        <w:rPr>
          <w:spacing w:val="-3"/>
          <w:sz w:val="21"/>
        </w:rPr>
        <w:t>investigation </w:t>
      </w:r>
      <w:r>
        <w:rPr>
          <w:sz w:val="21"/>
        </w:rPr>
        <w:t>where </w:t>
      </w:r>
      <w:r>
        <w:rPr>
          <w:spacing w:val="-3"/>
          <w:sz w:val="21"/>
        </w:rPr>
        <w:t>undue influence </w:t>
      </w:r>
      <w:r>
        <w:rPr>
          <w:sz w:val="21"/>
        </w:rPr>
        <w:t>is</w:t>
      </w:r>
      <w:r>
        <w:rPr>
          <w:spacing w:val="20"/>
          <w:sz w:val="21"/>
        </w:rPr>
        <w:t> </w:t>
      </w:r>
      <w:r>
        <w:rPr>
          <w:sz w:val="21"/>
        </w:rPr>
        <w:t>suspected.</w:t>
      </w:r>
      <w:r>
        <w:rPr>
          <w:position w:val="7"/>
          <w:sz w:val="12"/>
        </w:rPr>
        <w:t>34</w:t>
      </w:r>
    </w:p>
    <w:p>
      <w:pPr>
        <w:pStyle w:val="ListParagraph"/>
        <w:numPr>
          <w:ilvl w:val="1"/>
          <w:numId w:val="22"/>
        </w:numPr>
        <w:tabs>
          <w:tab w:pos="2381" w:val="left" w:leader="none"/>
          <w:tab w:pos="2382" w:val="left" w:leader="none"/>
        </w:tabs>
        <w:spacing w:line="242" w:lineRule="auto" w:before="126" w:after="0"/>
        <w:ind w:left="2381" w:right="2007" w:hanging="794"/>
        <w:jc w:val="left"/>
        <w:rPr>
          <w:sz w:val="12"/>
        </w:rPr>
      </w:pPr>
      <w:r>
        <w:rPr>
          <w:sz w:val="21"/>
        </w:rPr>
        <w:t>The view was also put </w:t>
      </w:r>
      <w:r>
        <w:rPr>
          <w:spacing w:val="-3"/>
          <w:sz w:val="21"/>
        </w:rPr>
        <w:t>that  </w:t>
      </w:r>
      <w:r>
        <w:rPr>
          <w:sz w:val="21"/>
        </w:rPr>
        <w:t>a specialist report on capacity at the time the </w:t>
      </w:r>
      <w:r>
        <w:rPr>
          <w:spacing w:val="-3"/>
          <w:sz w:val="21"/>
        </w:rPr>
        <w:t>will</w:t>
      </w:r>
      <w:r>
        <w:rPr>
          <w:spacing w:val="41"/>
          <w:sz w:val="21"/>
        </w:rPr>
        <w:t> </w:t>
      </w:r>
      <w:r>
        <w:rPr>
          <w:sz w:val="21"/>
        </w:rPr>
        <w:t>is made   is more </w:t>
      </w:r>
      <w:r>
        <w:rPr>
          <w:spacing w:val="-3"/>
          <w:sz w:val="21"/>
        </w:rPr>
        <w:t>useful than having </w:t>
      </w:r>
      <w:r>
        <w:rPr>
          <w:sz w:val="21"/>
        </w:rPr>
        <w:t>a medical practitioner witness it being </w:t>
      </w:r>
      <w:r>
        <w:rPr>
          <w:spacing w:val="-3"/>
          <w:sz w:val="21"/>
        </w:rPr>
        <w:t>signed.</w:t>
      </w:r>
      <w:r>
        <w:rPr>
          <w:spacing w:val="-3"/>
          <w:position w:val="7"/>
          <w:sz w:val="12"/>
        </w:rPr>
        <w:t>35 </w:t>
      </w:r>
      <w:r>
        <w:rPr>
          <w:spacing w:val="-3"/>
          <w:sz w:val="21"/>
        </w:rPr>
        <w:t>Legal </w:t>
      </w:r>
      <w:r>
        <w:rPr>
          <w:sz w:val="21"/>
        </w:rPr>
        <w:t>practitioners </w:t>
      </w:r>
      <w:r>
        <w:rPr>
          <w:spacing w:val="-3"/>
          <w:sz w:val="21"/>
        </w:rPr>
        <w:t>already consider </w:t>
      </w:r>
      <w:r>
        <w:rPr>
          <w:sz w:val="21"/>
        </w:rPr>
        <w:t>it good practice </w:t>
      </w:r>
      <w:r>
        <w:rPr>
          <w:spacing w:val="-3"/>
          <w:sz w:val="21"/>
        </w:rPr>
        <w:t>to </w:t>
      </w:r>
      <w:r>
        <w:rPr>
          <w:sz w:val="21"/>
        </w:rPr>
        <w:t>obtain </w:t>
      </w:r>
      <w:r>
        <w:rPr>
          <w:spacing w:val="-3"/>
          <w:sz w:val="21"/>
        </w:rPr>
        <w:t>such </w:t>
      </w:r>
      <w:r>
        <w:rPr>
          <w:sz w:val="21"/>
        </w:rPr>
        <w:t>a report where a </w:t>
      </w:r>
      <w:r>
        <w:rPr>
          <w:spacing w:val="-3"/>
          <w:sz w:val="21"/>
        </w:rPr>
        <w:t>client’s </w:t>
      </w:r>
      <w:r>
        <w:rPr>
          <w:sz w:val="21"/>
        </w:rPr>
        <w:t>capacity is in</w:t>
      </w:r>
      <w:r>
        <w:rPr>
          <w:spacing w:val="25"/>
          <w:sz w:val="21"/>
        </w:rPr>
        <w:t> </w:t>
      </w:r>
      <w:r>
        <w:rPr>
          <w:sz w:val="21"/>
        </w:rPr>
        <w:t>doubt.</w:t>
      </w:r>
      <w:r>
        <w:rPr>
          <w:position w:val="7"/>
          <w:sz w:val="12"/>
        </w:rPr>
        <w:t>36</w:t>
      </w:r>
    </w:p>
    <w:p>
      <w:pPr>
        <w:pStyle w:val="ListParagraph"/>
        <w:numPr>
          <w:ilvl w:val="1"/>
          <w:numId w:val="22"/>
        </w:numPr>
        <w:tabs>
          <w:tab w:pos="2380" w:val="left" w:leader="none"/>
          <w:tab w:pos="2381" w:val="left" w:leader="none"/>
        </w:tabs>
        <w:spacing w:line="242" w:lineRule="auto" w:before="125" w:after="0"/>
        <w:ind w:left="2381" w:right="1588" w:hanging="794"/>
        <w:jc w:val="left"/>
        <w:rPr>
          <w:sz w:val="21"/>
        </w:rPr>
      </w:pPr>
      <w:r>
        <w:rPr>
          <w:spacing w:val="-3"/>
          <w:w w:val="105"/>
          <w:sz w:val="21"/>
        </w:rPr>
        <w:t>The </w:t>
      </w:r>
      <w:r>
        <w:rPr>
          <w:spacing w:val="-6"/>
          <w:w w:val="105"/>
          <w:sz w:val="21"/>
        </w:rPr>
        <w:t>Commission </w:t>
      </w:r>
      <w:r>
        <w:rPr>
          <w:spacing w:val="-4"/>
          <w:w w:val="105"/>
          <w:sz w:val="21"/>
        </w:rPr>
        <w:t>agrees </w:t>
      </w:r>
      <w:r>
        <w:rPr>
          <w:spacing w:val="-5"/>
          <w:w w:val="105"/>
          <w:sz w:val="21"/>
        </w:rPr>
        <w:t>that requiring </w:t>
      </w:r>
      <w:r>
        <w:rPr>
          <w:w w:val="105"/>
          <w:sz w:val="21"/>
        </w:rPr>
        <w:t>a </w:t>
      </w:r>
      <w:r>
        <w:rPr>
          <w:spacing w:val="-4"/>
          <w:w w:val="105"/>
          <w:sz w:val="21"/>
        </w:rPr>
        <w:t>medical </w:t>
      </w:r>
      <w:r>
        <w:rPr>
          <w:spacing w:val="-5"/>
          <w:w w:val="105"/>
          <w:sz w:val="21"/>
        </w:rPr>
        <w:t>practitioner </w:t>
      </w:r>
      <w:r>
        <w:rPr>
          <w:spacing w:val="-4"/>
          <w:w w:val="105"/>
          <w:sz w:val="21"/>
        </w:rPr>
        <w:t>to witness </w:t>
      </w:r>
      <w:r>
        <w:rPr>
          <w:w w:val="105"/>
          <w:sz w:val="21"/>
        </w:rPr>
        <w:t>a </w:t>
      </w:r>
      <w:r>
        <w:rPr>
          <w:spacing w:val="-4"/>
          <w:w w:val="105"/>
          <w:sz w:val="21"/>
        </w:rPr>
        <w:t>will </w:t>
      </w:r>
      <w:r>
        <w:rPr>
          <w:spacing w:val="-5"/>
          <w:w w:val="105"/>
          <w:sz w:val="21"/>
        </w:rPr>
        <w:t>would </w:t>
      </w:r>
      <w:r>
        <w:rPr>
          <w:w w:val="105"/>
          <w:sz w:val="21"/>
        </w:rPr>
        <w:t>be </w:t>
      </w:r>
      <w:r>
        <w:rPr>
          <w:spacing w:val="-4"/>
          <w:w w:val="105"/>
          <w:sz w:val="21"/>
        </w:rPr>
        <w:t>ineffective </w:t>
      </w:r>
      <w:r>
        <w:rPr>
          <w:spacing w:val="-3"/>
          <w:w w:val="105"/>
          <w:sz w:val="21"/>
        </w:rPr>
        <w:t>in </w:t>
      </w:r>
      <w:r>
        <w:rPr>
          <w:spacing w:val="-6"/>
          <w:w w:val="105"/>
          <w:sz w:val="21"/>
        </w:rPr>
        <w:t>preventing </w:t>
      </w:r>
      <w:r>
        <w:rPr>
          <w:spacing w:val="-5"/>
          <w:w w:val="105"/>
          <w:sz w:val="21"/>
        </w:rPr>
        <w:t>undue influence. </w:t>
      </w:r>
      <w:r>
        <w:rPr>
          <w:w w:val="105"/>
          <w:sz w:val="21"/>
        </w:rPr>
        <w:t>It </w:t>
      </w:r>
      <w:r>
        <w:rPr>
          <w:spacing w:val="-5"/>
          <w:w w:val="105"/>
          <w:sz w:val="21"/>
        </w:rPr>
        <w:t>would </w:t>
      </w:r>
      <w:r>
        <w:rPr>
          <w:spacing w:val="-4"/>
          <w:w w:val="105"/>
          <w:sz w:val="21"/>
        </w:rPr>
        <w:t>also </w:t>
      </w:r>
      <w:r>
        <w:rPr>
          <w:spacing w:val="-5"/>
          <w:w w:val="105"/>
          <w:sz w:val="21"/>
        </w:rPr>
        <w:t>place </w:t>
      </w:r>
      <w:r>
        <w:rPr>
          <w:spacing w:val="-3"/>
          <w:w w:val="105"/>
          <w:sz w:val="21"/>
        </w:rPr>
        <w:t>an </w:t>
      </w:r>
      <w:r>
        <w:rPr>
          <w:spacing w:val="-5"/>
          <w:w w:val="105"/>
          <w:sz w:val="21"/>
        </w:rPr>
        <w:t>unreasonable burden </w:t>
      </w:r>
      <w:r>
        <w:rPr>
          <w:spacing w:val="-3"/>
          <w:w w:val="105"/>
          <w:sz w:val="21"/>
        </w:rPr>
        <w:t>on </w:t>
      </w:r>
      <w:r>
        <w:rPr>
          <w:spacing w:val="-4"/>
          <w:w w:val="105"/>
          <w:sz w:val="21"/>
        </w:rPr>
        <w:t>medical practitioners and </w:t>
      </w:r>
      <w:r>
        <w:rPr>
          <w:spacing w:val="-5"/>
          <w:w w:val="105"/>
          <w:sz w:val="21"/>
        </w:rPr>
        <w:t>would </w:t>
      </w:r>
      <w:r>
        <w:rPr>
          <w:spacing w:val="-6"/>
          <w:w w:val="105"/>
          <w:sz w:val="21"/>
        </w:rPr>
        <w:t>make </w:t>
      </w:r>
      <w:r>
        <w:rPr>
          <w:spacing w:val="-4"/>
          <w:w w:val="105"/>
          <w:sz w:val="21"/>
        </w:rPr>
        <w:t>the process </w:t>
      </w:r>
      <w:r>
        <w:rPr>
          <w:spacing w:val="-3"/>
          <w:w w:val="105"/>
          <w:sz w:val="21"/>
        </w:rPr>
        <w:t>of </w:t>
      </w:r>
      <w:r>
        <w:rPr>
          <w:spacing w:val="-5"/>
          <w:w w:val="105"/>
          <w:sz w:val="21"/>
        </w:rPr>
        <w:t>executing </w:t>
      </w:r>
      <w:r>
        <w:rPr>
          <w:w w:val="105"/>
          <w:sz w:val="21"/>
        </w:rPr>
        <w:t>a </w:t>
      </w:r>
      <w:r>
        <w:rPr>
          <w:spacing w:val="-5"/>
          <w:w w:val="105"/>
          <w:sz w:val="21"/>
        </w:rPr>
        <w:t>valid </w:t>
      </w:r>
      <w:r>
        <w:rPr>
          <w:spacing w:val="-4"/>
          <w:w w:val="105"/>
          <w:sz w:val="21"/>
        </w:rPr>
        <w:t>will more difficult. </w:t>
      </w:r>
      <w:r>
        <w:rPr>
          <w:spacing w:val="-6"/>
          <w:w w:val="105"/>
          <w:sz w:val="21"/>
        </w:rPr>
        <w:t>Further, </w:t>
      </w:r>
      <w:r>
        <w:rPr>
          <w:spacing w:val="-3"/>
          <w:w w:val="105"/>
          <w:sz w:val="21"/>
        </w:rPr>
        <w:t>it </w:t>
      </w:r>
      <w:r>
        <w:rPr>
          <w:spacing w:val="-5"/>
          <w:w w:val="105"/>
          <w:sz w:val="21"/>
        </w:rPr>
        <w:t>would </w:t>
      </w:r>
      <w:r>
        <w:rPr>
          <w:w w:val="105"/>
          <w:sz w:val="21"/>
        </w:rPr>
        <w:t>be </w:t>
      </w:r>
      <w:r>
        <w:rPr>
          <w:spacing w:val="-4"/>
          <w:w w:val="105"/>
          <w:sz w:val="21"/>
        </w:rPr>
        <w:t>unnecessary to apply </w:t>
      </w:r>
      <w:r>
        <w:rPr>
          <w:spacing w:val="-5"/>
          <w:w w:val="105"/>
          <w:sz w:val="21"/>
        </w:rPr>
        <w:t>such </w:t>
      </w:r>
      <w:r>
        <w:rPr>
          <w:w w:val="105"/>
          <w:sz w:val="21"/>
        </w:rPr>
        <w:t>a </w:t>
      </w:r>
      <w:r>
        <w:rPr>
          <w:spacing w:val="-5"/>
          <w:w w:val="105"/>
          <w:sz w:val="21"/>
        </w:rPr>
        <w:t>measure </w:t>
      </w:r>
      <w:r>
        <w:rPr>
          <w:spacing w:val="-4"/>
          <w:w w:val="105"/>
          <w:sz w:val="21"/>
        </w:rPr>
        <w:t>to all </w:t>
      </w:r>
      <w:r>
        <w:rPr>
          <w:spacing w:val="-5"/>
          <w:w w:val="105"/>
          <w:sz w:val="21"/>
        </w:rPr>
        <w:t>will-makers, </w:t>
      </w:r>
      <w:r>
        <w:rPr>
          <w:spacing w:val="-3"/>
          <w:w w:val="105"/>
          <w:sz w:val="21"/>
        </w:rPr>
        <w:t>as </w:t>
      </w:r>
      <w:r>
        <w:rPr>
          <w:spacing w:val="-4"/>
          <w:w w:val="105"/>
          <w:sz w:val="21"/>
        </w:rPr>
        <w:t>capacity </w:t>
      </w:r>
      <w:r>
        <w:rPr>
          <w:spacing w:val="-3"/>
          <w:w w:val="105"/>
          <w:sz w:val="21"/>
        </w:rPr>
        <w:t>is </w:t>
      </w:r>
      <w:r>
        <w:rPr>
          <w:spacing w:val="-4"/>
          <w:w w:val="105"/>
          <w:sz w:val="21"/>
        </w:rPr>
        <w:t>not </w:t>
      </w:r>
      <w:r>
        <w:rPr>
          <w:spacing w:val="-3"/>
          <w:w w:val="105"/>
          <w:sz w:val="21"/>
        </w:rPr>
        <w:t>in </w:t>
      </w:r>
      <w:r>
        <w:rPr>
          <w:spacing w:val="-4"/>
          <w:w w:val="105"/>
          <w:sz w:val="21"/>
        </w:rPr>
        <w:t>issue </w:t>
      </w:r>
      <w:r>
        <w:rPr>
          <w:spacing w:val="-5"/>
          <w:w w:val="105"/>
          <w:sz w:val="21"/>
        </w:rPr>
        <w:t>for </w:t>
      </w:r>
      <w:r>
        <w:rPr>
          <w:spacing w:val="-3"/>
          <w:w w:val="105"/>
          <w:sz w:val="21"/>
        </w:rPr>
        <w:t>most </w:t>
      </w:r>
      <w:r>
        <w:rPr>
          <w:spacing w:val="-5"/>
          <w:w w:val="105"/>
          <w:sz w:val="21"/>
        </w:rPr>
        <w:t>will-makers, </w:t>
      </w:r>
      <w:r>
        <w:rPr>
          <w:spacing w:val="-4"/>
          <w:w w:val="105"/>
          <w:sz w:val="21"/>
        </w:rPr>
        <w:t>but </w:t>
      </w:r>
      <w:r>
        <w:rPr>
          <w:spacing w:val="-5"/>
          <w:w w:val="105"/>
          <w:sz w:val="21"/>
        </w:rPr>
        <w:t>applying </w:t>
      </w:r>
      <w:r>
        <w:rPr>
          <w:spacing w:val="-4"/>
          <w:w w:val="105"/>
          <w:sz w:val="21"/>
        </w:rPr>
        <w:t>the </w:t>
      </w:r>
      <w:r>
        <w:rPr>
          <w:spacing w:val="-5"/>
          <w:w w:val="105"/>
          <w:sz w:val="21"/>
        </w:rPr>
        <w:t>measure </w:t>
      </w:r>
      <w:r>
        <w:rPr>
          <w:spacing w:val="-4"/>
          <w:w w:val="105"/>
          <w:sz w:val="21"/>
        </w:rPr>
        <w:t>only to certain </w:t>
      </w:r>
      <w:r>
        <w:rPr>
          <w:spacing w:val="-5"/>
          <w:w w:val="105"/>
          <w:sz w:val="21"/>
        </w:rPr>
        <w:t>categories </w:t>
      </w:r>
      <w:r>
        <w:rPr>
          <w:spacing w:val="-3"/>
          <w:w w:val="105"/>
          <w:sz w:val="21"/>
        </w:rPr>
        <w:t>of </w:t>
      </w:r>
      <w:r>
        <w:rPr>
          <w:spacing w:val="-4"/>
          <w:w w:val="105"/>
          <w:sz w:val="21"/>
        </w:rPr>
        <w:t>will- </w:t>
      </w:r>
      <w:r>
        <w:rPr>
          <w:spacing w:val="-6"/>
          <w:w w:val="105"/>
          <w:sz w:val="21"/>
        </w:rPr>
        <w:t>maker </w:t>
      </w:r>
      <w:r>
        <w:rPr>
          <w:spacing w:val="-5"/>
          <w:w w:val="105"/>
          <w:sz w:val="21"/>
        </w:rPr>
        <w:t>would require </w:t>
      </w:r>
      <w:r>
        <w:rPr>
          <w:spacing w:val="-4"/>
          <w:w w:val="105"/>
          <w:sz w:val="21"/>
        </w:rPr>
        <w:t>arbitrary </w:t>
      </w:r>
      <w:r>
        <w:rPr>
          <w:spacing w:val="-5"/>
          <w:w w:val="105"/>
          <w:sz w:val="21"/>
        </w:rPr>
        <w:t>distinctions </w:t>
      </w:r>
      <w:r>
        <w:rPr>
          <w:spacing w:val="-4"/>
          <w:w w:val="105"/>
          <w:sz w:val="21"/>
        </w:rPr>
        <w:t>to </w:t>
      </w:r>
      <w:r>
        <w:rPr>
          <w:w w:val="105"/>
          <w:sz w:val="21"/>
        </w:rPr>
        <w:t>be </w:t>
      </w:r>
      <w:r>
        <w:rPr>
          <w:spacing w:val="-4"/>
          <w:w w:val="105"/>
          <w:sz w:val="21"/>
        </w:rPr>
        <w:t>made </w:t>
      </w:r>
      <w:r>
        <w:rPr>
          <w:spacing w:val="-3"/>
          <w:w w:val="105"/>
          <w:sz w:val="21"/>
        </w:rPr>
        <w:t>(by age or </w:t>
      </w:r>
      <w:r>
        <w:rPr>
          <w:spacing w:val="-4"/>
          <w:w w:val="105"/>
          <w:sz w:val="21"/>
        </w:rPr>
        <w:t>whether the </w:t>
      </w:r>
      <w:r>
        <w:rPr>
          <w:spacing w:val="-5"/>
          <w:w w:val="105"/>
          <w:sz w:val="21"/>
        </w:rPr>
        <w:t>will-maker </w:t>
      </w:r>
      <w:r>
        <w:rPr>
          <w:spacing w:val="-3"/>
          <w:w w:val="105"/>
          <w:sz w:val="21"/>
        </w:rPr>
        <w:t>is in </w:t>
      </w:r>
      <w:r>
        <w:rPr>
          <w:spacing w:val="-5"/>
          <w:w w:val="105"/>
          <w:sz w:val="21"/>
        </w:rPr>
        <w:t>hospital, for </w:t>
      </w:r>
      <w:r>
        <w:rPr>
          <w:spacing w:val="-4"/>
          <w:w w:val="105"/>
          <w:sz w:val="21"/>
        </w:rPr>
        <w:t>example). </w:t>
      </w:r>
      <w:r>
        <w:rPr>
          <w:spacing w:val="-5"/>
          <w:w w:val="105"/>
          <w:sz w:val="21"/>
        </w:rPr>
        <w:t>Such distinctions would risk </w:t>
      </w:r>
      <w:r>
        <w:rPr>
          <w:spacing w:val="-4"/>
          <w:w w:val="105"/>
          <w:sz w:val="21"/>
        </w:rPr>
        <w:t>being </w:t>
      </w:r>
      <w:r>
        <w:rPr>
          <w:spacing w:val="-5"/>
          <w:w w:val="105"/>
          <w:sz w:val="21"/>
        </w:rPr>
        <w:t>discriminatory </w:t>
      </w:r>
      <w:r>
        <w:rPr>
          <w:spacing w:val="-4"/>
          <w:w w:val="105"/>
          <w:sz w:val="21"/>
        </w:rPr>
        <w:t>and not </w:t>
      </w:r>
      <w:r>
        <w:rPr>
          <w:spacing w:val="-5"/>
          <w:w w:val="105"/>
          <w:sz w:val="21"/>
        </w:rPr>
        <w:t>targeting </w:t>
      </w:r>
      <w:r>
        <w:rPr>
          <w:spacing w:val="-4"/>
          <w:w w:val="105"/>
          <w:sz w:val="21"/>
        </w:rPr>
        <w:t>the </w:t>
      </w:r>
      <w:r>
        <w:rPr>
          <w:spacing w:val="-5"/>
          <w:w w:val="105"/>
          <w:sz w:val="21"/>
        </w:rPr>
        <w:t>problem </w:t>
      </w:r>
      <w:r>
        <w:rPr>
          <w:spacing w:val="-3"/>
          <w:w w:val="105"/>
          <w:sz w:val="21"/>
        </w:rPr>
        <w:t>of </w:t>
      </w:r>
      <w:r>
        <w:rPr>
          <w:spacing w:val="-5"/>
          <w:w w:val="105"/>
          <w:sz w:val="21"/>
        </w:rPr>
        <w:t>undue influence. </w:t>
      </w:r>
      <w:r>
        <w:rPr>
          <w:spacing w:val="-3"/>
          <w:w w:val="105"/>
          <w:sz w:val="21"/>
        </w:rPr>
        <w:t>The </w:t>
      </w:r>
      <w:r>
        <w:rPr>
          <w:spacing w:val="-6"/>
          <w:w w:val="105"/>
          <w:sz w:val="21"/>
        </w:rPr>
        <w:t>Commission </w:t>
      </w:r>
      <w:r>
        <w:rPr>
          <w:spacing w:val="-5"/>
          <w:w w:val="105"/>
          <w:sz w:val="21"/>
        </w:rPr>
        <w:t>therefore </w:t>
      </w:r>
      <w:r>
        <w:rPr>
          <w:spacing w:val="-3"/>
          <w:w w:val="105"/>
          <w:sz w:val="21"/>
        </w:rPr>
        <w:t>does </w:t>
      </w:r>
      <w:r>
        <w:rPr>
          <w:spacing w:val="-4"/>
          <w:w w:val="105"/>
          <w:sz w:val="21"/>
        </w:rPr>
        <w:t>not support </w:t>
      </w:r>
      <w:r>
        <w:rPr>
          <w:spacing w:val="-5"/>
          <w:w w:val="105"/>
          <w:sz w:val="21"/>
        </w:rPr>
        <w:t>such </w:t>
      </w:r>
      <w:r>
        <w:rPr>
          <w:w w:val="105"/>
          <w:sz w:val="21"/>
        </w:rPr>
        <w:t>a</w:t>
      </w:r>
      <w:r>
        <w:rPr>
          <w:spacing w:val="25"/>
          <w:w w:val="105"/>
          <w:sz w:val="21"/>
        </w:rPr>
        <w:t> </w:t>
      </w:r>
      <w:r>
        <w:rPr>
          <w:spacing w:val="-6"/>
          <w:w w:val="105"/>
          <w:sz w:val="21"/>
        </w:rPr>
        <w:t>change.</w:t>
      </w:r>
    </w:p>
    <w:p>
      <w:pPr>
        <w:pStyle w:val="BodyText"/>
        <w:spacing w:before="7"/>
        <w:rPr>
          <w:sz w:val="16"/>
        </w:rPr>
      </w:pPr>
      <w:r>
        <w:rPr/>
        <w:pict>
          <v:line style="position:absolute;mso-position-horizontal-relative:page;mso-position-vertical-relative:paragraph;z-index:-184;mso-wrap-distance-left:0;mso-wrap-distance-right:0" from="79.370102pt,12.57422pt" to="515.905102pt,12.57422pt" stroked="true" strokeweight="1pt" strokecolor="#f9ceca">
            <v:stroke dashstyle="solid"/>
            <w10:wrap type="topAndBottom"/>
          </v:line>
        </w:pict>
      </w:r>
    </w:p>
    <w:p>
      <w:pPr>
        <w:pStyle w:val="ListParagraph"/>
        <w:numPr>
          <w:ilvl w:val="0"/>
          <w:numId w:val="24"/>
        </w:numPr>
        <w:tabs>
          <w:tab w:pos="2381" w:val="left" w:leader="none"/>
          <w:tab w:pos="2382" w:val="left" w:leader="none"/>
        </w:tabs>
        <w:spacing w:line="240" w:lineRule="auto" w:before="117" w:after="0"/>
        <w:ind w:left="2381" w:right="0" w:hanging="794"/>
        <w:jc w:val="left"/>
        <w:rPr>
          <w:sz w:val="13"/>
        </w:rPr>
      </w:pPr>
      <w:r>
        <w:rPr>
          <w:i/>
          <w:w w:val="105"/>
          <w:sz w:val="13"/>
        </w:rPr>
        <w:t>Instruments Act 1958 </w:t>
      </w:r>
      <w:r>
        <w:rPr>
          <w:spacing w:val="2"/>
          <w:w w:val="105"/>
          <w:sz w:val="13"/>
        </w:rPr>
        <w:t>(Vic) </w:t>
      </w:r>
      <w:r>
        <w:rPr>
          <w:w w:val="105"/>
          <w:sz w:val="13"/>
        </w:rPr>
        <w:t>s</w:t>
      </w:r>
      <w:r>
        <w:rPr>
          <w:spacing w:val="18"/>
          <w:w w:val="105"/>
          <w:sz w:val="13"/>
        </w:rPr>
        <w:t> </w:t>
      </w:r>
      <w:r>
        <w:rPr>
          <w:w w:val="105"/>
          <w:sz w:val="13"/>
        </w:rPr>
        <w:t>125A(1).</w:t>
      </w:r>
    </w:p>
    <w:p>
      <w:pPr>
        <w:pStyle w:val="ListParagraph"/>
        <w:numPr>
          <w:ilvl w:val="0"/>
          <w:numId w:val="24"/>
        </w:numPr>
        <w:tabs>
          <w:tab w:pos="2381" w:val="left" w:leader="none"/>
          <w:tab w:pos="2382" w:val="left" w:leader="none"/>
        </w:tabs>
        <w:spacing w:line="240" w:lineRule="auto" w:before="1" w:after="0"/>
        <w:ind w:left="2381" w:right="0" w:hanging="794"/>
        <w:jc w:val="left"/>
        <w:rPr>
          <w:sz w:val="13"/>
        </w:rPr>
      </w:pPr>
      <w:r>
        <w:rPr>
          <w:w w:val="105"/>
          <w:sz w:val="13"/>
        </w:rPr>
        <w:t>Submissions 1 </w:t>
      </w:r>
      <w:r>
        <w:rPr>
          <w:spacing w:val="2"/>
          <w:w w:val="105"/>
          <w:sz w:val="13"/>
        </w:rPr>
        <w:t>(Legal </w:t>
      </w:r>
      <w:r>
        <w:rPr>
          <w:w w:val="105"/>
          <w:sz w:val="13"/>
        </w:rPr>
        <w:t>Services Commissioner); 38 </w:t>
      </w:r>
      <w:r>
        <w:rPr>
          <w:spacing w:val="2"/>
          <w:w w:val="105"/>
          <w:sz w:val="13"/>
        </w:rPr>
        <w:t>(Liz</w:t>
      </w:r>
      <w:r>
        <w:rPr>
          <w:spacing w:val="30"/>
          <w:w w:val="105"/>
          <w:sz w:val="13"/>
        </w:rPr>
        <w:t> </w:t>
      </w:r>
      <w:r>
        <w:rPr>
          <w:w w:val="105"/>
          <w:sz w:val="13"/>
        </w:rPr>
        <w:t>Burton).</w:t>
      </w:r>
    </w:p>
    <w:p>
      <w:pPr>
        <w:pStyle w:val="ListParagraph"/>
        <w:numPr>
          <w:ilvl w:val="0"/>
          <w:numId w:val="24"/>
        </w:numPr>
        <w:tabs>
          <w:tab w:pos="2381" w:val="left" w:leader="none"/>
          <w:tab w:pos="2382" w:val="left" w:leader="none"/>
        </w:tabs>
        <w:spacing w:line="240" w:lineRule="auto" w:before="2" w:after="0"/>
        <w:ind w:left="2381" w:right="0" w:hanging="794"/>
        <w:jc w:val="left"/>
        <w:rPr>
          <w:sz w:val="13"/>
        </w:rPr>
      </w:pPr>
      <w:r>
        <w:rPr>
          <w:w w:val="105"/>
          <w:sz w:val="13"/>
        </w:rPr>
        <w:t>Submission 35 (Andrew</w:t>
      </w:r>
      <w:r>
        <w:rPr>
          <w:spacing w:val="14"/>
          <w:w w:val="105"/>
          <w:sz w:val="13"/>
        </w:rPr>
        <w:t> </w:t>
      </w:r>
      <w:r>
        <w:rPr>
          <w:w w:val="105"/>
          <w:sz w:val="13"/>
        </w:rPr>
        <w:t>Verspaandonk).</w:t>
      </w:r>
    </w:p>
    <w:p>
      <w:pPr>
        <w:pStyle w:val="ListParagraph"/>
        <w:numPr>
          <w:ilvl w:val="0"/>
          <w:numId w:val="24"/>
        </w:numPr>
        <w:tabs>
          <w:tab w:pos="2381" w:val="left" w:leader="none"/>
          <w:tab w:pos="2382" w:val="left" w:leader="none"/>
        </w:tabs>
        <w:spacing w:line="240" w:lineRule="auto" w:before="1" w:after="0"/>
        <w:ind w:left="2381" w:right="0" w:hanging="794"/>
        <w:jc w:val="left"/>
        <w:rPr>
          <w:sz w:val="13"/>
        </w:rPr>
      </w:pPr>
      <w:r>
        <w:rPr>
          <w:w w:val="105"/>
          <w:sz w:val="13"/>
        </w:rPr>
        <w:t>Consultation 1 (Wills</w:t>
      </w:r>
      <w:r>
        <w:rPr>
          <w:spacing w:val="13"/>
          <w:w w:val="105"/>
          <w:sz w:val="13"/>
        </w:rPr>
        <w:t> </w:t>
      </w:r>
      <w:r>
        <w:rPr>
          <w:w w:val="105"/>
          <w:sz w:val="13"/>
        </w:rPr>
        <w:t>roundtable).</w:t>
      </w:r>
    </w:p>
    <w:p>
      <w:pPr>
        <w:pStyle w:val="ListParagraph"/>
        <w:numPr>
          <w:ilvl w:val="0"/>
          <w:numId w:val="24"/>
        </w:numPr>
        <w:tabs>
          <w:tab w:pos="2381" w:val="left" w:leader="none"/>
          <w:tab w:pos="2382" w:val="left" w:leader="none"/>
        </w:tabs>
        <w:spacing w:line="240" w:lineRule="auto" w:before="1" w:after="0"/>
        <w:ind w:left="2381" w:right="0" w:hanging="794"/>
        <w:jc w:val="left"/>
        <w:rPr>
          <w:sz w:val="13"/>
        </w:rPr>
      </w:pPr>
      <w:r>
        <w:rPr>
          <w:w w:val="105"/>
          <w:sz w:val="13"/>
        </w:rPr>
        <w:t>Submission 30a </w:t>
      </w:r>
      <w:r>
        <w:rPr>
          <w:spacing w:val="3"/>
          <w:w w:val="105"/>
          <w:sz w:val="13"/>
        </w:rPr>
        <w:t>(Law </w:t>
      </w:r>
      <w:r>
        <w:rPr>
          <w:w w:val="105"/>
          <w:sz w:val="13"/>
        </w:rPr>
        <w:t>Institute of</w:t>
      </w:r>
      <w:r>
        <w:rPr>
          <w:spacing w:val="19"/>
          <w:w w:val="105"/>
          <w:sz w:val="13"/>
        </w:rPr>
        <w:t> </w:t>
      </w:r>
      <w:r>
        <w:rPr>
          <w:spacing w:val="2"/>
          <w:w w:val="105"/>
          <w:sz w:val="13"/>
        </w:rPr>
        <w:t>Victoria).</w:t>
      </w:r>
    </w:p>
    <w:p>
      <w:pPr>
        <w:pStyle w:val="ListParagraph"/>
        <w:numPr>
          <w:ilvl w:val="0"/>
          <w:numId w:val="24"/>
        </w:numPr>
        <w:tabs>
          <w:tab w:pos="2381" w:val="left" w:leader="none"/>
          <w:tab w:pos="2382" w:val="left" w:leader="none"/>
        </w:tabs>
        <w:spacing w:line="240" w:lineRule="auto" w:before="2" w:after="0"/>
        <w:ind w:left="2381" w:right="0" w:hanging="794"/>
        <w:jc w:val="left"/>
        <w:rPr>
          <w:sz w:val="13"/>
        </w:rPr>
      </w:pPr>
      <w:r>
        <w:rPr>
          <w:sz w:val="13"/>
        </w:rPr>
        <w:t>Ibid.</w:t>
      </w:r>
    </w:p>
    <w:p>
      <w:pPr>
        <w:pStyle w:val="ListParagraph"/>
        <w:numPr>
          <w:ilvl w:val="0"/>
          <w:numId w:val="24"/>
        </w:numPr>
        <w:tabs>
          <w:tab w:pos="2381" w:val="left" w:leader="none"/>
          <w:tab w:pos="2382" w:val="left" w:leader="none"/>
        </w:tabs>
        <w:spacing w:line="240" w:lineRule="auto" w:before="1" w:after="0"/>
        <w:ind w:left="2381" w:right="0" w:hanging="794"/>
        <w:jc w:val="left"/>
        <w:rPr>
          <w:sz w:val="13"/>
        </w:rPr>
      </w:pPr>
      <w:r>
        <w:rPr>
          <w:w w:val="105"/>
          <w:sz w:val="13"/>
        </w:rPr>
        <w:t>Submissions</w:t>
      </w:r>
      <w:r>
        <w:rPr>
          <w:spacing w:val="4"/>
          <w:w w:val="105"/>
          <w:sz w:val="13"/>
        </w:rPr>
        <w:t> </w:t>
      </w:r>
      <w:r>
        <w:rPr>
          <w:w w:val="105"/>
          <w:sz w:val="13"/>
        </w:rPr>
        <w:t>4</w:t>
      </w:r>
      <w:r>
        <w:rPr>
          <w:spacing w:val="5"/>
          <w:w w:val="105"/>
          <w:sz w:val="13"/>
        </w:rPr>
        <w:t> </w:t>
      </w:r>
      <w:r>
        <w:rPr>
          <w:spacing w:val="2"/>
          <w:w w:val="105"/>
          <w:sz w:val="13"/>
        </w:rPr>
        <w:t>(Name</w:t>
      </w:r>
      <w:r>
        <w:rPr>
          <w:spacing w:val="5"/>
          <w:w w:val="105"/>
          <w:sz w:val="13"/>
        </w:rPr>
        <w:t> </w:t>
      </w:r>
      <w:r>
        <w:rPr>
          <w:w w:val="105"/>
          <w:sz w:val="13"/>
        </w:rPr>
        <w:t>withheld);</w:t>
      </w:r>
      <w:r>
        <w:rPr>
          <w:spacing w:val="5"/>
          <w:w w:val="105"/>
          <w:sz w:val="13"/>
        </w:rPr>
        <w:t> </w:t>
      </w:r>
      <w:r>
        <w:rPr>
          <w:w w:val="105"/>
          <w:sz w:val="13"/>
        </w:rPr>
        <w:t>26</w:t>
      </w:r>
      <w:r>
        <w:rPr>
          <w:spacing w:val="4"/>
          <w:w w:val="105"/>
          <w:sz w:val="13"/>
        </w:rPr>
        <w:t> </w:t>
      </w:r>
      <w:r>
        <w:rPr>
          <w:spacing w:val="2"/>
          <w:w w:val="105"/>
          <w:sz w:val="13"/>
        </w:rPr>
        <w:t>(Rigby</w:t>
      </w:r>
      <w:r>
        <w:rPr>
          <w:spacing w:val="5"/>
          <w:w w:val="105"/>
          <w:sz w:val="13"/>
        </w:rPr>
        <w:t> </w:t>
      </w:r>
      <w:r>
        <w:rPr>
          <w:w w:val="105"/>
          <w:sz w:val="13"/>
        </w:rPr>
        <w:t>Cooke</w:t>
      </w:r>
      <w:r>
        <w:rPr>
          <w:spacing w:val="5"/>
          <w:w w:val="105"/>
          <w:sz w:val="13"/>
        </w:rPr>
        <w:t> </w:t>
      </w:r>
      <w:r>
        <w:rPr>
          <w:spacing w:val="2"/>
          <w:w w:val="105"/>
          <w:sz w:val="13"/>
        </w:rPr>
        <w:t>Lawyers);</w:t>
      </w:r>
      <w:r>
        <w:rPr>
          <w:spacing w:val="5"/>
          <w:w w:val="105"/>
          <w:sz w:val="13"/>
        </w:rPr>
        <w:t> </w:t>
      </w:r>
      <w:r>
        <w:rPr>
          <w:w w:val="105"/>
          <w:sz w:val="13"/>
        </w:rPr>
        <w:t>35</w:t>
      </w:r>
      <w:r>
        <w:rPr>
          <w:spacing w:val="5"/>
          <w:w w:val="105"/>
          <w:sz w:val="13"/>
        </w:rPr>
        <w:t> </w:t>
      </w:r>
      <w:r>
        <w:rPr>
          <w:w w:val="105"/>
          <w:sz w:val="13"/>
        </w:rPr>
        <w:t>(Andrew</w:t>
      </w:r>
      <w:r>
        <w:rPr>
          <w:spacing w:val="4"/>
          <w:w w:val="105"/>
          <w:sz w:val="13"/>
        </w:rPr>
        <w:t> </w:t>
      </w:r>
      <w:r>
        <w:rPr>
          <w:w w:val="105"/>
          <w:sz w:val="13"/>
        </w:rPr>
        <w:t>Verspaandonk).</w:t>
      </w:r>
    </w:p>
    <w:p>
      <w:pPr>
        <w:pStyle w:val="ListParagraph"/>
        <w:numPr>
          <w:ilvl w:val="0"/>
          <w:numId w:val="24"/>
        </w:numPr>
        <w:tabs>
          <w:tab w:pos="2381" w:val="left" w:leader="none"/>
          <w:tab w:pos="2382" w:val="left" w:leader="none"/>
        </w:tabs>
        <w:spacing w:line="240" w:lineRule="auto" w:before="1" w:after="0"/>
        <w:ind w:left="2381" w:right="0" w:hanging="794"/>
        <w:jc w:val="left"/>
        <w:rPr>
          <w:sz w:val="13"/>
        </w:rPr>
      </w:pPr>
      <w:r>
        <w:rPr>
          <w:w w:val="105"/>
          <w:sz w:val="13"/>
        </w:rPr>
        <w:t>Submissions 26 </w:t>
      </w:r>
      <w:r>
        <w:rPr>
          <w:spacing w:val="2"/>
          <w:w w:val="105"/>
          <w:sz w:val="13"/>
        </w:rPr>
        <w:t>(Rigby </w:t>
      </w:r>
      <w:r>
        <w:rPr>
          <w:w w:val="105"/>
          <w:sz w:val="13"/>
        </w:rPr>
        <w:t>Cooke </w:t>
      </w:r>
      <w:r>
        <w:rPr>
          <w:spacing w:val="2"/>
          <w:w w:val="105"/>
          <w:sz w:val="13"/>
        </w:rPr>
        <w:t>Lawyers); </w:t>
      </w:r>
      <w:r>
        <w:rPr>
          <w:w w:val="105"/>
          <w:sz w:val="13"/>
        </w:rPr>
        <w:t>35 (Andrew</w:t>
      </w:r>
      <w:r>
        <w:rPr>
          <w:spacing w:val="29"/>
          <w:w w:val="105"/>
          <w:sz w:val="13"/>
        </w:rPr>
        <w:t> </w:t>
      </w:r>
      <w:r>
        <w:rPr>
          <w:w w:val="105"/>
          <w:sz w:val="13"/>
        </w:rPr>
        <w:t>Verspaandonk).</w:t>
      </w:r>
    </w:p>
    <w:p>
      <w:pPr>
        <w:pStyle w:val="ListParagraph"/>
        <w:numPr>
          <w:ilvl w:val="0"/>
          <w:numId w:val="24"/>
        </w:numPr>
        <w:tabs>
          <w:tab w:pos="2381" w:val="left" w:leader="none"/>
          <w:tab w:pos="2382" w:val="left" w:leader="none"/>
        </w:tabs>
        <w:spacing w:line="240" w:lineRule="auto" w:before="2" w:after="0"/>
        <w:ind w:left="2381" w:right="0" w:hanging="794"/>
        <w:jc w:val="left"/>
        <w:rPr>
          <w:sz w:val="13"/>
        </w:rPr>
      </w:pPr>
      <w:r>
        <w:rPr>
          <w:w w:val="105"/>
          <w:sz w:val="13"/>
        </w:rPr>
        <w:t>Submission 35 (Andrew</w:t>
      </w:r>
      <w:r>
        <w:rPr>
          <w:spacing w:val="14"/>
          <w:w w:val="105"/>
          <w:sz w:val="13"/>
        </w:rPr>
        <w:t> </w:t>
      </w:r>
      <w:r>
        <w:rPr>
          <w:w w:val="105"/>
          <w:sz w:val="13"/>
        </w:rPr>
        <w:t>Verspaandonk).</w:t>
      </w:r>
    </w:p>
    <w:p>
      <w:pPr>
        <w:pStyle w:val="ListParagraph"/>
        <w:numPr>
          <w:ilvl w:val="0"/>
          <w:numId w:val="24"/>
        </w:numPr>
        <w:tabs>
          <w:tab w:pos="2381" w:val="left" w:leader="none"/>
          <w:tab w:pos="2382" w:val="left" w:leader="none"/>
        </w:tabs>
        <w:spacing w:line="240" w:lineRule="auto" w:before="1" w:after="0"/>
        <w:ind w:left="2381" w:right="0" w:hanging="794"/>
        <w:jc w:val="left"/>
        <w:rPr>
          <w:sz w:val="13"/>
        </w:rPr>
      </w:pPr>
      <w:r>
        <w:rPr>
          <w:w w:val="105"/>
          <w:sz w:val="13"/>
        </w:rPr>
        <w:t>Consultation</w:t>
      </w:r>
      <w:r>
        <w:rPr>
          <w:spacing w:val="4"/>
          <w:w w:val="105"/>
          <w:sz w:val="13"/>
        </w:rPr>
        <w:t> </w:t>
      </w:r>
      <w:r>
        <w:rPr>
          <w:w w:val="105"/>
          <w:sz w:val="13"/>
        </w:rPr>
        <w:t>3</w:t>
      </w:r>
      <w:r>
        <w:rPr>
          <w:spacing w:val="5"/>
          <w:w w:val="105"/>
          <w:sz w:val="13"/>
        </w:rPr>
        <w:t> </w:t>
      </w:r>
      <w:r>
        <w:rPr>
          <w:spacing w:val="2"/>
          <w:w w:val="105"/>
          <w:sz w:val="13"/>
        </w:rPr>
        <w:t>(Legal</w:t>
      </w:r>
      <w:r>
        <w:rPr>
          <w:spacing w:val="5"/>
          <w:w w:val="105"/>
          <w:sz w:val="13"/>
        </w:rPr>
        <w:t> </w:t>
      </w:r>
      <w:r>
        <w:rPr>
          <w:w w:val="105"/>
          <w:sz w:val="13"/>
        </w:rPr>
        <w:t>practitioners</w:t>
      </w:r>
      <w:r>
        <w:rPr>
          <w:spacing w:val="5"/>
          <w:w w:val="105"/>
          <w:sz w:val="13"/>
        </w:rPr>
        <w:t> </w:t>
      </w:r>
      <w:r>
        <w:rPr>
          <w:w w:val="105"/>
          <w:sz w:val="13"/>
        </w:rPr>
        <w:t>in</w:t>
      </w:r>
      <w:r>
        <w:rPr>
          <w:spacing w:val="4"/>
          <w:w w:val="105"/>
          <w:sz w:val="13"/>
        </w:rPr>
        <w:t> </w:t>
      </w:r>
      <w:r>
        <w:rPr>
          <w:w w:val="105"/>
          <w:sz w:val="13"/>
        </w:rPr>
        <w:t>the</w:t>
      </w:r>
      <w:r>
        <w:rPr>
          <w:spacing w:val="5"/>
          <w:w w:val="105"/>
          <w:sz w:val="13"/>
        </w:rPr>
        <w:t> </w:t>
      </w:r>
      <w:r>
        <w:rPr>
          <w:w w:val="105"/>
          <w:sz w:val="13"/>
        </w:rPr>
        <w:t>Goulburn</w:t>
      </w:r>
      <w:r>
        <w:rPr>
          <w:spacing w:val="5"/>
          <w:w w:val="105"/>
          <w:sz w:val="13"/>
        </w:rPr>
        <w:t> </w:t>
      </w:r>
      <w:r>
        <w:rPr>
          <w:w w:val="105"/>
          <w:sz w:val="13"/>
        </w:rPr>
        <w:t>Valley</w:t>
      </w:r>
      <w:r>
        <w:rPr>
          <w:spacing w:val="5"/>
          <w:w w:val="105"/>
          <w:sz w:val="13"/>
        </w:rPr>
        <w:t> </w:t>
      </w:r>
      <w:r>
        <w:rPr>
          <w:w w:val="105"/>
          <w:sz w:val="13"/>
        </w:rPr>
        <w:t>region).</w:t>
      </w:r>
      <w:r>
        <w:rPr>
          <w:spacing w:val="5"/>
          <w:w w:val="105"/>
          <w:sz w:val="13"/>
        </w:rPr>
        <w:t> </w:t>
      </w:r>
      <w:r>
        <w:rPr>
          <w:w w:val="105"/>
          <w:sz w:val="13"/>
        </w:rPr>
        <w:t>Submission</w:t>
      </w:r>
      <w:r>
        <w:rPr>
          <w:spacing w:val="4"/>
          <w:w w:val="105"/>
          <w:sz w:val="13"/>
        </w:rPr>
        <w:t> </w:t>
      </w:r>
      <w:r>
        <w:rPr>
          <w:w w:val="105"/>
          <w:sz w:val="13"/>
        </w:rPr>
        <w:t>4</w:t>
      </w:r>
      <w:r>
        <w:rPr>
          <w:spacing w:val="5"/>
          <w:w w:val="105"/>
          <w:sz w:val="13"/>
        </w:rPr>
        <w:t> </w:t>
      </w:r>
      <w:r>
        <w:rPr>
          <w:spacing w:val="2"/>
          <w:w w:val="105"/>
          <w:sz w:val="13"/>
        </w:rPr>
        <w:t>(Name</w:t>
      </w:r>
      <w:r>
        <w:rPr>
          <w:spacing w:val="5"/>
          <w:w w:val="105"/>
          <w:sz w:val="13"/>
        </w:rPr>
        <w:t> </w:t>
      </w:r>
      <w:r>
        <w:rPr>
          <w:w w:val="105"/>
          <w:sz w:val="13"/>
        </w:rPr>
        <w:t>withheld).</w:t>
      </w:r>
    </w:p>
    <w:p>
      <w:pPr>
        <w:pStyle w:val="ListParagraph"/>
        <w:numPr>
          <w:ilvl w:val="0"/>
          <w:numId w:val="24"/>
        </w:numPr>
        <w:tabs>
          <w:tab w:pos="2381" w:val="left" w:leader="none"/>
          <w:tab w:pos="2382" w:val="left" w:leader="none"/>
        </w:tabs>
        <w:spacing w:line="240" w:lineRule="auto" w:before="1" w:after="0"/>
        <w:ind w:left="2381" w:right="2557" w:hanging="794"/>
        <w:jc w:val="left"/>
        <w:rPr>
          <w:sz w:val="13"/>
        </w:rPr>
      </w:pPr>
      <w:r>
        <w:rPr/>
        <w:pict>
          <v:shape style="position:absolute;margin-left:552.254517pt;margin-top:2.859967pt;width:6.7pt;height:14.25pt;mso-position-horizontal-relative:page;mso-position-vertical-relative:paragraph;z-index:1888" type="#_x0000_t202" filled="false" stroked="false">
            <v:textbox inset="0,0,0,0">
              <w:txbxContent>
                <w:p>
                  <w:pPr>
                    <w:spacing w:line="284" w:lineRule="exact" w:before="0"/>
                    <w:ind w:left="0" w:right="0" w:firstLine="0"/>
                    <w:jc w:val="left"/>
                    <w:rPr>
                      <w:b/>
                      <w:sz w:val="24"/>
                    </w:rPr>
                  </w:pPr>
                  <w:r>
                    <w:rPr>
                      <w:b/>
                      <w:color w:val="EC5A4F"/>
                      <w:w w:val="109"/>
                      <w:sz w:val="24"/>
                    </w:rPr>
                    <w:t>9</w:t>
                  </w:r>
                </w:p>
              </w:txbxContent>
            </v:textbox>
            <w10:wrap type="none"/>
          </v:shape>
        </w:pict>
      </w:r>
      <w:r>
        <w:rPr>
          <w:w w:val="105"/>
          <w:sz w:val="13"/>
        </w:rPr>
        <w:t>Submissions 8 (Patricia Strachan); 26 </w:t>
      </w:r>
      <w:r>
        <w:rPr>
          <w:spacing w:val="2"/>
          <w:w w:val="105"/>
          <w:sz w:val="13"/>
        </w:rPr>
        <w:t>(Rigby </w:t>
      </w:r>
      <w:r>
        <w:rPr>
          <w:w w:val="105"/>
          <w:sz w:val="13"/>
        </w:rPr>
        <w:t>Cooke </w:t>
      </w:r>
      <w:r>
        <w:rPr>
          <w:spacing w:val="2"/>
          <w:w w:val="105"/>
          <w:sz w:val="13"/>
        </w:rPr>
        <w:t>Lawyers); </w:t>
      </w:r>
      <w:r>
        <w:rPr>
          <w:w w:val="105"/>
          <w:sz w:val="13"/>
        </w:rPr>
        <w:t>35 (Andrew Verspaandonk). See also </w:t>
      </w:r>
      <w:r>
        <w:rPr>
          <w:i/>
          <w:w w:val="105"/>
          <w:sz w:val="13"/>
        </w:rPr>
        <w:t>Dickman v Holley </w:t>
      </w:r>
      <w:r>
        <w:rPr>
          <w:w w:val="105"/>
          <w:sz w:val="13"/>
        </w:rPr>
        <w:t>[2013] NSWSC 18 (31 January 2013)</w:t>
      </w:r>
      <w:r>
        <w:rPr>
          <w:spacing w:val="24"/>
          <w:w w:val="105"/>
          <w:sz w:val="13"/>
        </w:rPr>
        <w:t> </w:t>
      </w:r>
      <w:r>
        <w:rPr>
          <w:w w:val="105"/>
          <w:sz w:val="13"/>
        </w:rPr>
        <w:t>[164].</w:t>
      </w:r>
    </w:p>
    <w:p>
      <w:pPr>
        <w:spacing w:after="0" w:line="240" w:lineRule="auto"/>
        <w:jc w:val="left"/>
        <w:rPr>
          <w:sz w:val="13"/>
        </w:rPr>
        <w:sectPr>
          <w:pgSz w:w="11910" w:h="16840"/>
          <w:pgMar w:header="805" w:footer="0" w:top="1360" w:bottom="280" w:left="0" w:right="0"/>
        </w:sectPr>
      </w:pPr>
    </w:p>
    <w:p>
      <w:pPr>
        <w:pStyle w:val="BodyText"/>
        <w:spacing w:before="9"/>
        <w:rPr>
          <w:sz w:val="22"/>
        </w:rPr>
      </w:pPr>
    </w:p>
    <w:p>
      <w:pPr>
        <w:pStyle w:val="Heading6"/>
        <w:spacing w:before="100"/>
      </w:pPr>
      <w:r>
        <w:rPr>
          <w:w w:val="120"/>
        </w:rPr>
        <w:t>Requiring the witness to be aware that the document is a will</w:t>
      </w:r>
    </w:p>
    <w:p>
      <w:pPr>
        <w:pStyle w:val="ListParagraph"/>
        <w:numPr>
          <w:ilvl w:val="1"/>
          <w:numId w:val="22"/>
        </w:numPr>
        <w:tabs>
          <w:tab w:pos="2380" w:val="left" w:leader="none"/>
          <w:tab w:pos="2381" w:val="left" w:leader="none"/>
        </w:tabs>
        <w:spacing w:line="242" w:lineRule="auto" w:before="151" w:after="0"/>
        <w:ind w:left="2381" w:right="1681" w:hanging="794"/>
        <w:jc w:val="left"/>
        <w:rPr>
          <w:sz w:val="12"/>
        </w:rPr>
      </w:pPr>
      <w:r>
        <w:rPr>
          <w:w w:val="105"/>
          <w:sz w:val="21"/>
        </w:rPr>
        <w:t>Section 8 of the </w:t>
      </w:r>
      <w:r>
        <w:rPr>
          <w:spacing w:val="-3"/>
          <w:w w:val="105"/>
          <w:sz w:val="21"/>
        </w:rPr>
        <w:t>Wills </w:t>
      </w:r>
      <w:r>
        <w:rPr>
          <w:w w:val="105"/>
          <w:sz w:val="21"/>
        </w:rPr>
        <w:t>Act states </w:t>
      </w:r>
      <w:r>
        <w:rPr>
          <w:spacing w:val="-3"/>
          <w:w w:val="105"/>
          <w:sz w:val="21"/>
        </w:rPr>
        <w:t>that </w:t>
      </w:r>
      <w:r>
        <w:rPr>
          <w:w w:val="105"/>
          <w:sz w:val="21"/>
        </w:rPr>
        <w:t>a witness need </w:t>
      </w:r>
      <w:r>
        <w:rPr>
          <w:spacing w:val="-2"/>
          <w:w w:val="105"/>
          <w:sz w:val="21"/>
        </w:rPr>
        <w:t>not </w:t>
      </w:r>
      <w:r>
        <w:rPr>
          <w:w w:val="105"/>
          <w:sz w:val="21"/>
        </w:rPr>
        <w:t>be </w:t>
      </w:r>
      <w:r>
        <w:rPr>
          <w:spacing w:val="-3"/>
          <w:w w:val="105"/>
          <w:sz w:val="21"/>
        </w:rPr>
        <w:t>aware that </w:t>
      </w:r>
      <w:r>
        <w:rPr>
          <w:w w:val="105"/>
          <w:sz w:val="21"/>
        </w:rPr>
        <w:t>the document they </w:t>
      </w:r>
      <w:r>
        <w:rPr>
          <w:spacing w:val="-3"/>
          <w:w w:val="105"/>
          <w:sz w:val="21"/>
        </w:rPr>
        <w:t>are signing </w:t>
      </w:r>
      <w:r>
        <w:rPr>
          <w:w w:val="105"/>
          <w:sz w:val="21"/>
        </w:rPr>
        <w:t>is a </w:t>
      </w:r>
      <w:r>
        <w:rPr>
          <w:spacing w:val="-3"/>
          <w:w w:val="105"/>
          <w:sz w:val="21"/>
        </w:rPr>
        <w:t>will. </w:t>
      </w:r>
      <w:r>
        <w:rPr>
          <w:w w:val="105"/>
          <w:sz w:val="21"/>
        </w:rPr>
        <w:t>In the </w:t>
      </w:r>
      <w:r>
        <w:rPr>
          <w:spacing w:val="-3"/>
          <w:w w:val="105"/>
          <w:sz w:val="21"/>
        </w:rPr>
        <w:t>consultation </w:t>
      </w:r>
      <w:r>
        <w:rPr>
          <w:w w:val="105"/>
          <w:sz w:val="21"/>
        </w:rPr>
        <w:t>paper on </w:t>
      </w:r>
      <w:r>
        <w:rPr>
          <w:spacing w:val="-3"/>
          <w:w w:val="105"/>
          <w:sz w:val="21"/>
        </w:rPr>
        <w:t>wills </w:t>
      </w:r>
      <w:r>
        <w:rPr>
          <w:w w:val="105"/>
          <w:sz w:val="21"/>
        </w:rPr>
        <w:t>the </w:t>
      </w:r>
      <w:r>
        <w:rPr>
          <w:spacing w:val="-3"/>
          <w:w w:val="105"/>
          <w:sz w:val="21"/>
        </w:rPr>
        <w:t>Commission asked </w:t>
      </w:r>
      <w:r>
        <w:rPr>
          <w:w w:val="105"/>
          <w:sz w:val="21"/>
        </w:rPr>
        <w:t>whether</w:t>
      </w:r>
      <w:r>
        <w:rPr>
          <w:spacing w:val="-9"/>
          <w:w w:val="105"/>
          <w:sz w:val="21"/>
        </w:rPr>
        <w:t> </w:t>
      </w:r>
      <w:r>
        <w:rPr>
          <w:w w:val="105"/>
          <w:sz w:val="21"/>
        </w:rPr>
        <w:t>this</w:t>
      </w:r>
      <w:r>
        <w:rPr>
          <w:spacing w:val="-9"/>
          <w:w w:val="105"/>
          <w:sz w:val="21"/>
        </w:rPr>
        <w:t> </w:t>
      </w:r>
      <w:r>
        <w:rPr>
          <w:w w:val="105"/>
          <w:sz w:val="21"/>
        </w:rPr>
        <w:t>section</w:t>
      </w:r>
      <w:r>
        <w:rPr>
          <w:spacing w:val="-9"/>
          <w:w w:val="105"/>
          <w:sz w:val="21"/>
        </w:rPr>
        <w:t> </w:t>
      </w:r>
      <w:r>
        <w:rPr>
          <w:w w:val="105"/>
          <w:sz w:val="21"/>
        </w:rPr>
        <w:t>should</w:t>
      </w:r>
      <w:r>
        <w:rPr>
          <w:spacing w:val="-9"/>
          <w:w w:val="105"/>
          <w:sz w:val="21"/>
        </w:rPr>
        <w:t> </w:t>
      </w:r>
      <w:r>
        <w:rPr>
          <w:w w:val="105"/>
          <w:sz w:val="21"/>
        </w:rPr>
        <w:t>be</w:t>
      </w:r>
      <w:r>
        <w:rPr>
          <w:spacing w:val="-9"/>
          <w:w w:val="105"/>
          <w:sz w:val="21"/>
        </w:rPr>
        <w:t> </w:t>
      </w:r>
      <w:r>
        <w:rPr>
          <w:w w:val="105"/>
          <w:sz w:val="21"/>
        </w:rPr>
        <w:t>amended</w:t>
      </w:r>
      <w:r>
        <w:rPr>
          <w:spacing w:val="-9"/>
          <w:w w:val="105"/>
          <w:sz w:val="21"/>
        </w:rPr>
        <w:t> </w:t>
      </w:r>
      <w:r>
        <w:rPr>
          <w:spacing w:val="-3"/>
          <w:w w:val="105"/>
          <w:sz w:val="21"/>
        </w:rPr>
        <w:t>to</w:t>
      </w:r>
      <w:r>
        <w:rPr>
          <w:spacing w:val="-9"/>
          <w:w w:val="105"/>
          <w:sz w:val="21"/>
        </w:rPr>
        <w:t> </w:t>
      </w:r>
      <w:r>
        <w:rPr>
          <w:w w:val="105"/>
          <w:sz w:val="21"/>
        </w:rPr>
        <w:t>provide</w:t>
      </w:r>
      <w:r>
        <w:rPr>
          <w:spacing w:val="-8"/>
          <w:w w:val="105"/>
          <w:sz w:val="21"/>
        </w:rPr>
        <w:t> </w:t>
      </w:r>
      <w:r>
        <w:rPr>
          <w:spacing w:val="-3"/>
          <w:w w:val="105"/>
          <w:sz w:val="21"/>
        </w:rPr>
        <w:t>that</w:t>
      </w:r>
      <w:r>
        <w:rPr>
          <w:spacing w:val="-9"/>
          <w:w w:val="105"/>
          <w:sz w:val="21"/>
        </w:rPr>
        <w:t> </w:t>
      </w:r>
      <w:r>
        <w:rPr>
          <w:w w:val="105"/>
          <w:sz w:val="21"/>
        </w:rPr>
        <w:t>a</w:t>
      </w:r>
      <w:r>
        <w:rPr>
          <w:spacing w:val="-9"/>
          <w:w w:val="105"/>
          <w:sz w:val="21"/>
        </w:rPr>
        <w:t> </w:t>
      </w:r>
      <w:r>
        <w:rPr>
          <w:w w:val="105"/>
          <w:sz w:val="21"/>
        </w:rPr>
        <w:t>witness</w:t>
      </w:r>
      <w:r>
        <w:rPr>
          <w:spacing w:val="-9"/>
          <w:w w:val="105"/>
          <w:sz w:val="21"/>
        </w:rPr>
        <w:t> </w:t>
      </w:r>
      <w:r>
        <w:rPr>
          <w:w w:val="105"/>
          <w:sz w:val="21"/>
        </w:rPr>
        <w:t>must</w:t>
      </w:r>
      <w:r>
        <w:rPr>
          <w:spacing w:val="-9"/>
          <w:w w:val="105"/>
          <w:sz w:val="21"/>
        </w:rPr>
        <w:t> </w:t>
      </w:r>
      <w:r>
        <w:rPr>
          <w:w w:val="105"/>
          <w:sz w:val="21"/>
        </w:rPr>
        <w:t>always</w:t>
      </w:r>
      <w:r>
        <w:rPr>
          <w:spacing w:val="-9"/>
          <w:w w:val="105"/>
          <w:sz w:val="21"/>
        </w:rPr>
        <w:t> </w:t>
      </w:r>
      <w:r>
        <w:rPr>
          <w:w w:val="105"/>
          <w:sz w:val="21"/>
        </w:rPr>
        <w:t>be</w:t>
      </w:r>
      <w:r>
        <w:rPr>
          <w:spacing w:val="-9"/>
          <w:w w:val="105"/>
          <w:sz w:val="21"/>
        </w:rPr>
        <w:t> </w:t>
      </w:r>
      <w:r>
        <w:rPr>
          <w:spacing w:val="-3"/>
          <w:w w:val="105"/>
          <w:sz w:val="21"/>
        </w:rPr>
        <w:t>aware </w:t>
      </w:r>
      <w:r>
        <w:rPr>
          <w:w w:val="105"/>
          <w:sz w:val="21"/>
        </w:rPr>
        <w:t>they </w:t>
      </w:r>
      <w:r>
        <w:rPr>
          <w:spacing w:val="-3"/>
          <w:w w:val="105"/>
          <w:sz w:val="21"/>
        </w:rPr>
        <w:t>are </w:t>
      </w:r>
      <w:r>
        <w:rPr>
          <w:w w:val="105"/>
          <w:sz w:val="21"/>
        </w:rPr>
        <w:t>witnessing a</w:t>
      </w:r>
      <w:r>
        <w:rPr>
          <w:spacing w:val="23"/>
          <w:w w:val="105"/>
          <w:sz w:val="21"/>
        </w:rPr>
        <w:t> </w:t>
      </w:r>
      <w:r>
        <w:rPr>
          <w:spacing w:val="-3"/>
          <w:w w:val="105"/>
          <w:sz w:val="21"/>
        </w:rPr>
        <w:t>will.</w:t>
      </w:r>
      <w:r>
        <w:rPr>
          <w:spacing w:val="-3"/>
          <w:w w:val="105"/>
          <w:position w:val="7"/>
          <w:sz w:val="12"/>
        </w:rPr>
        <w:t>37</w:t>
      </w:r>
    </w:p>
    <w:p>
      <w:pPr>
        <w:pStyle w:val="ListParagraph"/>
        <w:numPr>
          <w:ilvl w:val="1"/>
          <w:numId w:val="22"/>
        </w:numPr>
        <w:tabs>
          <w:tab w:pos="2380" w:val="left" w:leader="none"/>
          <w:tab w:pos="2381" w:val="left" w:leader="none"/>
        </w:tabs>
        <w:spacing w:line="242" w:lineRule="auto" w:before="125" w:after="0"/>
        <w:ind w:left="2380" w:right="1806" w:hanging="793"/>
        <w:jc w:val="left"/>
        <w:rPr>
          <w:sz w:val="12"/>
        </w:rPr>
      </w:pPr>
      <w:r>
        <w:rPr>
          <w:w w:val="105"/>
          <w:sz w:val="21"/>
        </w:rPr>
        <w:t>Views expressed in </w:t>
      </w:r>
      <w:r>
        <w:rPr>
          <w:spacing w:val="-3"/>
          <w:w w:val="105"/>
          <w:sz w:val="21"/>
        </w:rPr>
        <w:t>submissions were mixed. </w:t>
      </w:r>
      <w:r>
        <w:rPr>
          <w:w w:val="105"/>
          <w:sz w:val="21"/>
        </w:rPr>
        <w:t>While some </w:t>
      </w:r>
      <w:r>
        <w:rPr>
          <w:spacing w:val="-3"/>
          <w:w w:val="105"/>
          <w:sz w:val="21"/>
        </w:rPr>
        <w:t>were </w:t>
      </w:r>
      <w:r>
        <w:rPr>
          <w:w w:val="105"/>
          <w:sz w:val="21"/>
        </w:rPr>
        <w:t>in </w:t>
      </w:r>
      <w:r>
        <w:rPr>
          <w:spacing w:val="-3"/>
          <w:w w:val="105"/>
          <w:sz w:val="21"/>
        </w:rPr>
        <w:t>favour </w:t>
      </w:r>
      <w:r>
        <w:rPr>
          <w:w w:val="105"/>
          <w:sz w:val="21"/>
        </w:rPr>
        <w:t>of </w:t>
      </w:r>
      <w:r>
        <w:rPr>
          <w:spacing w:val="-3"/>
          <w:w w:val="105"/>
          <w:sz w:val="21"/>
        </w:rPr>
        <w:t>such </w:t>
      </w:r>
      <w:r>
        <w:rPr>
          <w:w w:val="105"/>
          <w:sz w:val="21"/>
        </w:rPr>
        <w:t>a </w:t>
      </w:r>
      <w:r>
        <w:rPr>
          <w:spacing w:val="-3"/>
          <w:w w:val="105"/>
          <w:sz w:val="21"/>
        </w:rPr>
        <w:t>change,</w:t>
      </w:r>
      <w:r>
        <w:rPr>
          <w:spacing w:val="-3"/>
          <w:w w:val="105"/>
          <w:position w:val="7"/>
          <w:sz w:val="12"/>
        </w:rPr>
        <w:t>38 </w:t>
      </w:r>
      <w:r>
        <w:rPr>
          <w:w w:val="105"/>
          <w:sz w:val="21"/>
        </w:rPr>
        <w:t>others </w:t>
      </w:r>
      <w:r>
        <w:rPr>
          <w:spacing w:val="-3"/>
          <w:w w:val="105"/>
          <w:sz w:val="21"/>
        </w:rPr>
        <w:t>were </w:t>
      </w:r>
      <w:r>
        <w:rPr>
          <w:spacing w:val="-2"/>
          <w:w w:val="105"/>
          <w:sz w:val="21"/>
        </w:rPr>
        <w:t>not </w:t>
      </w:r>
      <w:r>
        <w:rPr>
          <w:w w:val="105"/>
          <w:sz w:val="21"/>
        </w:rPr>
        <w:t>and </w:t>
      </w:r>
      <w:r>
        <w:rPr>
          <w:spacing w:val="-3"/>
          <w:w w:val="105"/>
          <w:sz w:val="21"/>
        </w:rPr>
        <w:t>highlighted </w:t>
      </w:r>
      <w:r>
        <w:rPr>
          <w:w w:val="105"/>
          <w:sz w:val="21"/>
        </w:rPr>
        <w:t>disadvantages. </w:t>
      </w:r>
      <w:r>
        <w:rPr>
          <w:w w:val="105"/>
          <w:position w:val="7"/>
          <w:sz w:val="12"/>
        </w:rPr>
        <w:t>39 </w:t>
      </w:r>
      <w:r>
        <w:rPr>
          <w:w w:val="105"/>
          <w:sz w:val="21"/>
        </w:rPr>
        <w:t>In </w:t>
      </w:r>
      <w:r>
        <w:rPr>
          <w:spacing w:val="-3"/>
          <w:w w:val="105"/>
          <w:sz w:val="21"/>
        </w:rPr>
        <w:t>particular, </w:t>
      </w:r>
      <w:r>
        <w:rPr>
          <w:w w:val="105"/>
          <w:sz w:val="21"/>
        </w:rPr>
        <w:t>Moores </w:t>
      </w:r>
      <w:r>
        <w:rPr>
          <w:spacing w:val="-3"/>
          <w:w w:val="105"/>
          <w:sz w:val="21"/>
        </w:rPr>
        <w:t>Legal noted</w:t>
      </w:r>
      <w:r>
        <w:rPr>
          <w:spacing w:val="-6"/>
          <w:w w:val="105"/>
          <w:sz w:val="21"/>
        </w:rPr>
        <w:t> </w:t>
      </w:r>
      <w:r>
        <w:rPr>
          <w:spacing w:val="-3"/>
          <w:w w:val="105"/>
          <w:sz w:val="21"/>
        </w:rPr>
        <w:t>that,</w:t>
      </w:r>
      <w:r>
        <w:rPr>
          <w:spacing w:val="-6"/>
          <w:w w:val="105"/>
          <w:sz w:val="21"/>
        </w:rPr>
        <w:t> </w:t>
      </w:r>
      <w:r>
        <w:rPr>
          <w:w w:val="105"/>
          <w:sz w:val="21"/>
        </w:rPr>
        <w:t>under</w:t>
      </w:r>
      <w:r>
        <w:rPr>
          <w:spacing w:val="-6"/>
          <w:w w:val="105"/>
          <w:sz w:val="21"/>
        </w:rPr>
        <w:t> </w:t>
      </w:r>
      <w:r>
        <w:rPr>
          <w:w w:val="105"/>
          <w:sz w:val="21"/>
        </w:rPr>
        <w:t>the</w:t>
      </w:r>
      <w:r>
        <w:rPr>
          <w:spacing w:val="-6"/>
          <w:w w:val="105"/>
          <w:sz w:val="21"/>
        </w:rPr>
        <w:t> </w:t>
      </w:r>
      <w:r>
        <w:rPr>
          <w:spacing w:val="-3"/>
          <w:w w:val="105"/>
          <w:sz w:val="21"/>
        </w:rPr>
        <w:t>current</w:t>
      </w:r>
      <w:r>
        <w:rPr>
          <w:spacing w:val="-6"/>
          <w:w w:val="105"/>
          <w:sz w:val="21"/>
        </w:rPr>
        <w:t> </w:t>
      </w:r>
      <w:r>
        <w:rPr>
          <w:spacing w:val="-5"/>
          <w:w w:val="105"/>
          <w:sz w:val="21"/>
        </w:rPr>
        <w:t>law, </w:t>
      </w:r>
      <w:r>
        <w:rPr>
          <w:w w:val="105"/>
          <w:sz w:val="21"/>
        </w:rPr>
        <w:t>the</w:t>
      </w:r>
      <w:r>
        <w:rPr>
          <w:spacing w:val="-6"/>
          <w:w w:val="105"/>
          <w:sz w:val="21"/>
        </w:rPr>
        <w:t> </w:t>
      </w:r>
      <w:r>
        <w:rPr>
          <w:w w:val="105"/>
          <w:sz w:val="21"/>
        </w:rPr>
        <w:t>role</w:t>
      </w:r>
      <w:r>
        <w:rPr>
          <w:spacing w:val="-6"/>
          <w:w w:val="105"/>
          <w:sz w:val="21"/>
        </w:rPr>
        <w:t> </w:t>
      </w:r>
      <w:r>
        <w:rPr>
          <w:w w:val="105"/>
          <w:sz w:val="21"/>
        </w:rPr>
        <w:t>of</w:t>
      </w:r>
      <w:r>
        <w:rPr>
          <w:spacing w:val="-6"/>
          <w:w w:val="105"/>
          <w:sz w:val="21"/>
        </w:rPr>
        <w:t> </w:t>
      </w:r>
      <w:r>
        <w:rPr>
          <w:w w:val="105"/>
          <w:sz w:val="21"/>
        </w:rPr>
        <w:t>the</w:t>
      </w:r>
      <w:r>
        <w:rPr>
          <w:spacing w:val="-6"/>
          <w:w w:val="105"/>
          <w:sz w:val="21"/>
        </w:rPr>
        <w:t> </w:t>
      </w:r>
      <w:r>
        <w:rPr>
          <w:w w:val="105"/>
          <w:sz w:val="21"/>
        </w:rPr>
        <w:t>witness</w:t>
      </w:r>
      <w:r>
        <w:rPr>
          <w:spacing w:val="-5"/>
          <w:w w:val="105"/>
          <w:sz w:val="21"/>
        </w:rPr>
        <w:t> </w:t>
      </w:r>
      <w:r>
        <w:rPr>
          <w:w w:val="105"/>
          <w:sz w:val="21"/>
        </w:rPr>
        <w:t>is</w:t>
      </w:r>
      <w:r>
        <w:rPr>
          <w:spacing w:val="-6"/>
          <w:w w:val="105"/>
          <w:sz w:val="21"/>
        </w:rPr>
        <w:t> </w:t>
      </w:r>
      <w:r>
        <w:rPr>
          <w:spacing w:val="-3"/>
          <w:w w:val="105"/>
          <w:sz w:val="21"/>
        </w:rPr>
        <w:t>to</w:t>
      </w:r>
      <w:r>
        <w:rPr>
          <w:spacing w:val="-6"/>
          <w:w w:val="105"/>
          <w:sz w:val="21"/>
        </w:rPr>
        <w:t> </w:t>
      </w:r>
      <w:r>
        <w:rPr>
          <w:w w:val="105"/>
          <w:sz w:val="21"/>
        </w:rPr>
        <w:t>attest</w:t>
      </w:r>
      <w:r>
        <w:rPr>
          <w:spacing w:val="-6"/>
          <w:w w:val="105"/>
          <w:sz w:val="21"/>
        </w:rPr>
        <w:t> </w:t>
      </w:r>
      <w:r>
        <w:rPr>
          <w:spacing w:val="-3"/>
          <w:w w:val="105"/>
          <w:sz w:val="21"/>
        </w:rPr>
        <w:t>that</w:t>
      </w:r>
      <w:r>
        <w:rPr>
          <w:spacing w:val="-6"/>
          <w:w w:val="105"/>
          <w:sz w:val="21"/>
        </w:rPr>
        <w:t> </w:t>
      </w:r>
      <w:r>
        <w:rPr>
          <w:w w:val="105"/>
          <w:sz w:val="21"/>
        </w:rPr>
        <w:t>the</w:t>
      </w:r>
      <w:r>
        <w:rPr>
          <w:spacing w:val="-6"/>
          <w:w w:val="105"/>
          <w:sz w:val="21"/>
        </w:rPr>
        <w:t> </w:t>
      </w:r>
      <w:r>
        <w:rPr>
          <w:w w:val="105"/>
          <w:sz w:val="21"/>
        </w:rPr>
        <w:t>document was executed in their </w:t>
      </w:r>
      <w:r>
        <w:rPr>
          <w:spacing w:val="-3"/>
          <w:w w:val="105"/>
          <w:sz w:val="21"/>
        </w:rPr>
        <w:t>presence, </w:t>
      </w:r>
      <w:r>
        <w:rPr>
          <w:spacing w:val="-2"/>
          <w:w w:val="105"/>
          <w:sz w:val="21"/>
        </w:rPr>
        <w:t>not </w:t>
      </w:r>
      <w:r>
        <w:rPr>
          <w:spacing w:val="-3"/>
          <w:w w:val="105"/>
          <w:sz w:val="21"/>
        </w:rPr>
        <w:t>that </w:t>
      </w:r>
      <w:r>
        <w:rPr>
          <w:w w:val="105"/>
          <w:sz w:val="21"/>
        </w:rPr>
        <w:t>the document is valid.</w:t>
      </w:r>
      <w:r>
        <w:rPr>
          <w:w w:val="105"/>
          <w:position w:val="7"/>
          <w:sz w:val="12"/>
        </w:rPr>
        <w:t>40 </w:t>
      </w:r>
      <w:r>
        <w:rPr>
          <w:w w:val="105"/>
          <w:sz w:val="21"/>
        </w:rPr>
        <w:t>In </w:t>
      </w:r>
      <w:r>
        <w:rPr>
          <w:spacing w:val="-3"/>
          <w:w w:val="105"/>
          <w:sz w:val="21"/>
        </w:rPr>
        <w:t>addition, </w:t>
      </w:r>
      <w:r>
        <w:rPr>
          <w:w w:val="105"/>
          <w:sz w:val="21"/>
        </w:rPr>
        <w:t>most witnesses would </w:t>
      </w:r>
      <w:r>
        <w:rPr>
          <w:spacing w:val="-3"/>
          <w:w w:val="105"/>
          <w:sz w:val="21"/>
        </w:rPr>
        <w:t>already </w:t>
      </w:r>
      <w:r>
        <w:rPr>
          <w:w w:val="105"/>
          <w:sz w:val="21"/>
        </w:rPr>
        <w:t>be </w:t>
      </w:r>
      <w:r>
        <w:rPr>
          <w:spacing w:val="-3"/>
          <w:w w:val="105"/>
          <w:sz w:val="21"/>
        </w:rPr>
        <w:t>aware that </w:t>
      </w:r>
      <w:r>
        <w:rPr>
          <w:w w:val="105"/>
          <w:sz w:val="21"/>
        </w:rPr>
        <w:t>they </w:t>
      </w:r>
      <w:r>
        <w:rPr>
          <w:spacing w:val="-3"/>
          <w:w w:val="105"/>
          <w:sz w:val="21"/>
        </w:rPr>
        <w:t>are </w:t>
      </w:r>
      <w:r>
        <w:rPr>
          <w:w w:val="105"/>
          <w:sz w:val="21"/>
        </w:rPr>
        <w:t>witnessing a </w:t>
      </w:r>
      <w:r>
        <w:rPr>
          <w:spacing w:val="-4"/>
          <w:w w:val="105"/>
          <w:sz w:val="21"/>
        </w:rPr>
        <w:t>will.</w:t>
      </w:r>
      <w:r>
        <w:rPr>
          <w:spacing w:val="-4"/>
          <w:w w:val="105"/>
          <w:position w:val="7"/>
          <w:sz w:val="12"/>
        </w:rPr>
        <w:t>41 </w:t>
      </w:r>
      <w:r>
        <w:rPr>
          <w:spacing w:val="-3"/>
          <w:w w:val="105"/>
          <w:sz w:val="21"/>
        </w:rPr>
        <w:t>Requiring </w:t>
      </w:r>
      <w:r>
        <w:rPr>
          <w:w w:val="105"/>
          <w:sz w:val="21"/>
        </w:rPr>
        <w:t>witnesses </w:t>
      </w:r>
      <w:r>
        <w:rPr>
          <w:spacing w:val="-3"/>
          <w:w w:val="105"/>
          <w:sz w:val="21"/>
        </w:rPr>
        <w:t>to </w:t>
      </w:r>
      <w:r>
        <w:rPr>
          <w:w w:val="105"/>
          <w:sz w:val="21"/>
        </w:rPr>
        <w:t>be </w:t>
      </w:r>
      <w:r>
        <w:rPr>
          <w:spacing w:val="-3"/>
          <w:w w:val="105"/>
          <w:sz w:val="21"/>
        </w:rPr>
        <w:t>aware that </w:t>
      </w:r>
      <w:r>
        <w:rPr>
          <w:w w:val="105"/>
          <w:sz w:val="21"/>
        </w:rPr>
        <w:t>a </w:t>
      </w:r>
      <w:r>
        <w:rPr>
          <w:spacing w:val="-3"/>
          <w:w w:val="105"/>
          <w:sz w:val="21"/>
        </w:rPr>
        <w:t>will </w:t>
      </w:r>
      <w:r>
        <w:rPr>
          <w:w w:val="105"/>
          <w:sz w:val="21"/>
        </w:rPr>
        <w:t>is being executed would </w:t>
      </w:r>
      <w:r>
        <w:rPr>
          <w:spacing w:val="-2"/>
          <w:w w:val="105"/>
          <w:sz w:val="21"/>
        </w:rPr>
        <w:t>not </w:t>
      </w:r>
      <w:r>
        <w:rPr>
          <w:spacing w:val="-4"/>
          <w:w w:val="105"/>
          <w:sz w:val="21"/>
        </w:rPr>
        <w:t>make </w:t>
      </w:r>
      <w:r>
        <w:rPr>
          <w:w w:val="105"/>
          <w:sz w:val="21"/>
        </w:rPr>
        <w:t>a </w:t>
      </w:r>
      <w:r>
        <w:rPr>
          <w:spacing w:val="-3"/>
          <w:w w:val="105"/>
          <w:sz w:val="21"/>
        </w:rPr>
        <w:t>difference to </w:t>
      </w:r>
      <w:r>
        <w:rPr>
          <w:w w:val="105"/>
          <w:sz w:val="21"/>
        </w:rPr>
        <w:t>the possibility of a </w:t>
      </w:r>
      <w:r>
        <w:rPr>
          <w:spacing w:val="-3"/>
          <w:w w:val="105"/>
          <w:sz w:val="21"/>
        </w:rPr>
        <w:t>will-maker </w:t>
      </w:r>
      <w:r>
        <w:rPr>
          <w:w w:val="105"/>
          <w:sz w:val="21"/>
        </w:rPr>
        <w:t>being subject </w:t>
      </w:r>
      <w:r>
        <w:rPr>
          <w:spacing w:val="-3"/>
          <w:w w:val="105"/>
          <w:sz w:val="21"/>
        </w:rPr>
        <w:t>to undue influence.</w:t>
      </w:r>
      <w:r>
        <w:rPr>
          <w:spacing w:val="-3"/>
          <w:w w:val="105"/>
          <w:position w:val="7"/>
          <w:sz w:val="12"/>
        </w:rPr>
        <w:t>42 </w:t>
      </w:r>
      <w:r>
        <w:rPr>
          <w:w w:val="105"/>
          <w:sz w:val="21"/>
        </w:rPr>
        <w:t>It would also be </w:t>
      </w:r>
      <w:r>
        <w:rPr>
          <w:spacing w:val="-3"/>
          <w:w w:val="105"/>
          <w:sz w:val="21"/>
        </w:rPr>
        <w:t>inconsistent </w:t>
      </w:r>
      <w:r>
        <w:rPr>
          <w:w w:val="105"/>
          <w:sz w:val="21"/>
        </w:rPr>
        <w:t>with </w:t>
      </w:r>
      <w:r>
        <w:rPr>
          <w:spacing w:val="-3"/>
          <w:w w:val="105"/>
          <w:sz w:val="21"/>
        </w:rPr>
        <w:t>provisions </w:t>
      </w:r>
      <w:r>
        <w:rPr>
          <w:w w:val="105"/>
          <w:sz w:val="21"/>
        </w:rPr>
        <w:t>in other states and</w:t>
      </w:r>
      <w:r>
        <w:rPr>
          <w:spacing w:val="23"/>
          <w:w w:val="105"/>
          <w:sz w:val="21"/>
        </w:rPr>
        <w:t> </w:t>
      </w:r>
      <w:r>
        <w:rPr>
          <w:spacing w:val="-3"/>
          <w:w w:val="105"/>
          <w:sz w:val="21"/>
        </w:rPr>
        <w:t>territories.</w:t>
      </w:r>
      <w:r>
        <w:rPr>
          <w:spacing w:val="-3"/>
          <w:w w:val="105"/>
          <w:position w:val="7"/>
          <w:sz w:val="12"/>
        </w:rPr>
        <w:t>43</w:t>
      </w:r>
    </w:p>
    <w:p>
      <w:pPr>
        <w:pStyle w:val="ListParagraph"/>
        <w:numPr>
          <w:ilvl w:val="1"/>
          <w:numId w:val="22"/>
        </w:numPr>
        <w:tabs>
          <w:tab w:pos="2381" w:val="left" w:leader="none"/>
          <w:tab w:pos="2382" w:val="left" w:leader="none"/>
        </w:tabs>
        <w:spacing w:line="240" w:lineRule="auto" w:before="128" w:after="0"/>
        <w:ind w:left="2381" w:right="0" w:hanging="794"/>
        <w:jc w:val="left"/>
        <w:rPr>
          <w:sz w:val="21"/>
        </w:rPr>
      </w:pPr>
      <w:r>
        <w:rPr>
          <w:w w:val="105"/>
          <w:sz w:val="21"/>
        </w:rPr>
        <w:t>The</w:t>
      </w:r>
      <w:r>
        <w:rPr>
          <w:spacing w:val="3"/>
          <w:w w:val="105"/>
          <w:sz w:val="21"/>
        </w:rPr>
        <w:t> </w:t>
      </w:r>
      <w:r>
        <w:rPr>
          <w:spacing w:val="-3"/>
          <w:w w:val="105"/>
          <w:sz w:val="21"/>
        </w:rPr>
        <w:t>Commission</w:t>
      </w:r>
      <w:r>
        <w:rPr>
          <w:spacing w:val="4"/>
          <w:w w:val="105"/>
          <w:sz w:val="21"/>
        </w:rPr>
        <w:t> </w:t>
      </w:r>
      <w:r>
        <w:rPr>
          <w:w w:val="105"/>
          <w:sz w:val="21"/>
        </w:rPr>
        <w:t>agrees</w:t>
      </w:r>
      <w:r>
        <w:rPr>
          <w:spacing w:val="3"/>
          <w:w w:val="105"/>
          <w:sz w:val="21"/>
        </w:rPr>
        <w:t> </w:t>
      </w:r>
      <w:r>
        <w:rPr>
          <w:spacing w:val="-3"/>
          <w:w w:val="105"/>
          <w:sz w:val="21"/>
        </w:rPr>
        <w:t>that</w:t>
      </w:r>
      <w:r>
        <w:rPr>
          <w:spacing w:val="4"/>
          <w:w w:val="105"/>
          <w:sz w:val="21"/>
        </w:rPr>
        <w:t> </w:t>
      </w:r>
      <w:r>
        <w:rPr>
          <w:spacing w:val="-3"/>
          <w:w w:val="105"/>
          <w:sz w:val="21"/>
        </w:rPr>
        <w:t>amending</w:t>
      </w:r>
      <w:r>
        <w:rPr>
          <w:spacing w:val="3"/>
          <w:w w:val="105"/>
          <w:sz w:val="21"/>
        </w:rPr>
        <w:t> </w:t>
      </w:r>
      <w:r>
        <w:rPr>
          <w:w w:val="105"/>
          <w:sz w:val="21"/>
        </w:rPr>
        <w:t>section</w:t>
      </w:r>
      <w:r>
        <w:rPr>
          <w:spacing w:val="4"/>
          <w:w w:val="105"/>
          <w:sz w:val="21"/>
        </w:rPr>
        <w:t> </w:t>
      </w:r>
      <w:r>
        <w:rPr>
          <w:w w:val="105"/>
          <w:sz w:val="21"/>
        </w:rPr>
        <w:t>8</w:t>
      </w:r>
      <w:r>
        <w:rPr>
          <w:spacing w:val="3"/>
          <w:w w:val="105"/>
          <w:sz w:val="21"/>
        </w:rPr>
        <w:t> </w:t>
      </w:r>
      <w:r>
        <w:rPr>
          <w:w w:val="105"/>
          <w:sz w:val="21"/>
        </w:rPr>
        <w:t>of</w:t>
      </w:r>
      <w:r>
        <w:rPr>
          <w:spacing w:val="4"/>
          <w:w w:val="105"/>
          <w:sz w:val="21"/>
        </w:rPr>
        <w:t> </w:t>
      </w:r>
      <w:r>
        <w:rPr>
          <w:w w:val="105"/>
          <w:sz w:val="21"/>
        </w:rPr>
        <w:t>the</w:t>
      </w:r>
      <w:r>
        <w:rPr>
          <w:spacing w:val="3"/>
          <w:w w:val="105"/>
          <w:sz w:val="21"/>
        </w:rPr>
        <w:t> </w:t>
      </w:r>
      <w:r>
        <w:rPr>
          <w:spacing w:val="-3"/>
          <w:w w:val="105"/>
          <w:sz w:val="21"/>
        </w:rPr>
        <w:t>Wills</w:t>
      </w:r>
      <w:r>
        <w:rPr>
          <w:spacing w:val="4"/>
          <w:w w:val="105"/>
          <w:sz w:val="21"/>
        </w:rPr>
        <w:t> </w:t>
      </w:r>
      <w:r>
        <w:rPr>
          <w:w w:val="105"/>
          <w:sz w:val="21"/>
        </w:rPr>
        <w:t>Act,</w:t>
      </w:r>
      <w:r>
        <w:rPr>
          <w:spacing w:val="3"/>
          <w:w w:val="105"/>
          <w:sz w:val="21"/>
        </w:rPr>
        <w:t> </w:t>
      </w:r>
      <w:r>
        <w:rPr>
          <w:spacing w:val="-3"/>
          <w:w w:val="105"/>
          <w:sz w:val="21"/>
        </w:rPr>
        <w:t>to</w:t>
      </w:r>
      <w:r>
        <w:rPr>
          <w:spacing w:val="4"/>
          <w:w w:val="105"/>
          <w:sz w:val="21"/>
        </w:rPr>
        <w:t> </w:t>
      </w:r>
      <w:r>
        <w:rPr>
          <w:spacing w:val="-3"/>
          <w:w w:val="105"/>
          <w:sz w:val="21"/>
        </w:rPr>
        <w:t>require</w:t>
      </w:r>
      <w:r>
        <w:rPr>
          <w:spacing w:val="3"/>
          <w:w w:val="105"/>
          <w:sz w:val="21"/>
        </w:rPr>
        <w:t> </w:t>
      </w:r>
      <w:r>
        <w:rPr>
          <w:w w:val="105"/>
          <w:sz w:val="21"/>
        </w:rPr>
        <w:t>witnesses</w:t>
      </w:r>
    </w:p>
    <w:p>
      <w:pPr>
        <w:pStyle w:val="BodyText"/>
        <w:spacing w:line="242" w:lineRule="auto" w:before="4"/>
        <w:ind w:left="2381" w:right="1564"/>
      </w:pPr>
      <w:r>
        <w:rPr>
          <w:spacing w:val="-3"/>
          <w:w w:val="105"/>
        </w:rPr>
        <w:t>to </w:t>
      </w:r>
      <w:r>
        <w:rPr>
          <w:w w:val="105"/>
        </w:rPr>
        <w:t>know they </w:t>
      </w:r>
      <w:r>
        <w:rPr>
          <w:spacing w:val="-3"/>
          <w:w w:val="105"/>
        </w:rPr>
        <w:t>are </w:t>
      </w:r>
      <w:r>
        <w:rPr>
          <w:w w:val="105"/>
        </w:rPr>
        <w:t>witnessing a </w:t>
      </w:r>
      <w:r>
        <w:rPr>
          <w:spacing w:val="-3"/>
          <w:w w:val="105"/>
        </w:rPr>
        <w:t>will, </w:t>
      </w:r>
      <w:r>
        <w:rPr>
          <w:w w:val="105"/>
        </w:rPr>
        <w:t>would </w:t>
      </w:r>
      <w:r>
        <w:rPr>
          <w:spacing w:val="-2"/>
          <w:w w:val="105"/>
        </w:rPr>
        <w:t>not </w:t>
      </w:r>
      <w:r>
        <w:rPr>
          <w:w w:val="105"/>
        </w:rPr>
        <w:t>provide will-makers with </w:t>
      </w:r>
      <w:r>
        <w:rPr>
          <w:spacing w:val="-3"/>
          <w:w w:val="105"/>
        </w:rPr>
        <w:t>greater </w:t>
      </w:r>
      <w:r>
        <w:rPr>
          <w:w w:val="105"/>
        </w:rPr>
        <w:t>protection </w:t>
      </w:r>
      <w:r>
        <w:rPr>
          <w:spacing w:val="-3"/>
          <w:w w:val="105"/>
        </w:rPr>
        <w:t>from undue influence. </w:t>
      </w:r>
      <w:r>
        <w:rPr>
          <w:w w:val="105"/>
        </w:rPr>
        <w:t>In </w:t>
      </w:r>
      <w:r>
        <w:rPr>
          <w:spacing w:val="-3"/>
          <w:w w:val="105"/>
        </w:rPr>
        <w:t>addition, </w:t>
      </w:r>
      <w:r>
        <w:rPr>
          <w:w w:val="105"/>
        </w:rPr>
        <w:t>most other states and </w:t>
      </w:r>
      <w:r>
        <w:rPr>
          <w:spacing w:val="-3"/>
          <w:w w:val="105"/>
        </w:rPr>
        <w:t>territories have </w:t>
      </w:r>
      <w:r>
        <w:rPr>
          <w:w w:val="105"/>
        </w:rPr>
        <w:t>a </w:t>
      </w:r>
      <w:r>
        <w:rPr>
          <w:spacing w:val="-3"/>
          <w:w w:val="105"/>
        </w:rPr>
        <w:t>similar </w:t>
      </w:r>
      <w:r>
        <w:rPr>
          <w:w w:val="105"/>
        </w:rPr>
        <w:t>provision,</w:t>
      </w:r>
      <w:r>
        <w:rPr>
          <w:w w:val="105"/>
          <w:position w:val="7"/>
          <w:sz w:val="12"/>
        </w:rPr>
        <w:t>44 </w:t>
      </w:r>
      <w:r>
        <w:rPr>
          <w:w w:val="105"/>
        </w:rPr>
        <w:t>so an </w:t>
      </w:r>
      <w:r>
        <w:rPr>
          <w:spacing w:val="-3"/>
          <w:w w:val="105"/>
        </w:rPr>
        <w:t>amendment </w:t>
      </w:r>
      <w:r>
        <w:rPr>
          <w:w w:val="105"/>
        </w:rPr>
        <w:t>of this </w:t>
      </w:r>
      <w:r>
        <w:rPr>
          <w:spacing w:val="-3"/>
          <w:w w:val="105"/>
        </w:rPr>
        <w:t>nature </w:t>
      </w:r>
      <w:r>
        <w:rPr>
          <w:w w:val="105"/>
        </w:rPr>
        <w:t>would </w:t>
      </w:r>
      <w:r>
        <w:rPr>
          <w:spacing w:val="-3"/>
          <w:w w:val="105"/>
        </w:rPr>
        <w:t>undermine national consistency.</w:t>
      </w:r>
    </w:p>
    <w:p>
      <w:pPr>
        <w:pStyle w:val="BodyText"/>
        <w:spacing w:before="5"/>
        <w:rPr>
          <w:sz w:val="24"/>
        </w:rPr>
      </w:pPr>
    </w:p>
    <w:p>
      <w:pPr>
        <w:pStyle w:val="Heading5"/>
      </w:pPr>
      <w:r>
        <w:rPr>
          <w:w w:val="110"/>
        </w:rPr>
        <w:t>The witness-beneficiary rule</w:t>
      </w:r>
    </w:p>
    <w:p>
      <w:pPr>
        <w:pStyle w:val="Heading6"/>
        <w:spacing w:before="201"/>
      </w:pPr>
      <w:r>
        <w:rPr>
          <w:w w:val="115"/>
        </w:rPr>
        <w:t>Current law</w:t>
      </w:r>
    </w:p>
    <w:p>
      <w:pPr>
        <w:pStyle w:val="ListParagraph"/>
        <w:numPr>
          <w:ilvl w:val="1"/>
          <w:numId w:val="22"/>
        </w:numPr>
        <w:tabs>
          <w:tab w:pos="2381" w:val="left" w:leader="none"/>
          <w:tab w:pos="2382" w:val="left" w:leader="none"/>
        </w:tabs>
        <w:spacing w:line="242" w:lineRule="auto" w:before="151" w:after="0"/>
        <w:ind w:left="2381" w:right="2187" w:hanging="794"/>
        <w:jc w:val="left"/>
        <w:rPr>
          <w:sz w:val="12"/>
        </w:rPr>
      </w:pPr>
      <w:r>
        <w:rPr>
          <w:sz w:val="21"/>
        </w:rPr>
        <w:t>The witness-beneficiary </w:t>
      </w:r>
      <w:r>
        <w:rPr>
          <w:spacing w:val="-3"/>
          <w:sz w:val="21"/>
        </w:rPr>
        <w:t>rule, </w:t>
      </w:r>
      <w:r>
        <w:rPr>
          <w:sz w:val="21"/>
        </w:rPr>
        <w:t>also called the </w:t>
      </w:r>
      <w:r>
        <w:rPr>
          <w:spacing w:val="-3"/>
          <w:sz w:val="21"/>
        </w:rPr>
        <w:t>interested </w:t>
      </w:r>
      <w:r>
        <w:rPr>
          <w:sz w:val="21"/>
        </w:rPr>
        <w:t>witness </w:t>
      </w:r>
      <w:r>
        <w:rPr>
          <w:spacing w:val="-3"/>
          <w:sz w:val="21"/>
        </w:rPr>
        <w:t>rule,</w:t>
      </w:r>
      <w:r>
        <w:rPr>
          <w:spacing w:val="-3"/>
          <w:position w:val="7"/>
          <w:sz w:val="12"/>
        </w:rPr>
        <w:t>45  </w:t>
      </w:r>
      <w:r>
        <w:rPr>
          <w:sz w:val="21"/>
        </w:rPr>
        <w:t>was abolished  in Victoria in</w:t>
      </w:r>
      <w:r>
        <w:rPr>
          <w:spacing w:val="26"/>
          <w:sz w:val="21"/>
        </w:rPr>
        <w:t> </w:t>
      </w:r>
      <w:r>
        <w:rPr>
          <w:spacing w:val="-6"/>
          <w:sz w:val="21"/>
        </w:rPr>
        <w:t>1997.</w:t>
      </w:r>
      <w:r>
        <w:rPr>
          <w:spacing w:val="-6"/>
          <w:position w:val="7"/>
          <w:sz w:val="12"/>
        </w:rPr>
        <w:t>46</w:t>
      </w:r>
    </w:p>
    <w:p>
      <w:pPr>
        <w:pStyle w:val="ListParagraph"/>
        <w:numPr>
          <w:ilvl w:val="1"/>
          <w:numId w:val="22"/>
        </w:numPr>
        <w:tabs>
          <w:tab w:pos="2380" w:val="left" w:leader="none"/>
          <w:tab w:pos="2381" w:val="left" w:leader="none"/>
        </w:tabs>
        <w:spacing w:line="242" w:lineRule="auto" w:before="123" w:after="0"/>
        <w:ind w:left="2380" w:right="1603" w:hanging="793"/>
        <w:jc w:val="left"/>
        <w:rPr>
          <w:sz w:val="12"/>
        </w:rPr>
      </w:pPr>
      <w:r>
        <w:rPr>
          <w:sz w:val="21"/>
        </w:rPr>
        <w:t>It </w:t>
      </w:r>
      <w:r>
        <w:rPr>
          <w:spacing w:val="-5"/>
          <w:sz w:val="21"/>
        </w:rPr>
        <w:t>originated </w:t>
      </w:r>
      <w:r>
        <w:rPr>
          <w:spacing w:val="-3"/>
          <w:sz w:val="21"/>
        </w:rPr>
        <w:t>in </w:t>
      </w:r>
      <w:r>
        <w:rPr>
          <w:spacing w:val="-10"/>
          <w:sz w:val="21"/>
        </w:rPr>
        <w:t>1752 </w:t>
      </w:r>
      <w:r>
        <w:rPr>
          <w:spacing w:val="-3"/>
          <w:sz w:val="21"/>
        </w:rPr>
        <w:t>in </w:t>
      </w:r>
      <w:r>
        <w:rPr>
          <w:spacing w:val="-6"/>
          <w:sz w:val="21"/>
        </w:rPr>
        <w:t>England, </w:t>
      </w:r>
      <w:r>
        <w:rPr>
          <w:spacing w:val="-3"/>
          <w:sz w:val="21"/>
        </w:rPr>
        <w:t>as part of </w:t>
      </w:r>
      <w:r>
        <w:rPr>
          <w:spacing w:val="-4"/>
          <w:sz w:val="21"/>
        </w:rPr>
        <w:t>the </w:t>
      </w:r>
      <w:r>
        <w:rPr>
          <w:spacing w:val="-5"/>
          <w:sz w:val="21"/>
        </w:rPr>
        <w:t>general evidentiary principle that </w:t>
      </w:r>
      <w:r>
        <w:rPr>
          <w:spacing w:val="-3"/>
          <w:sz w:val="21"/>
        </w:rPr>
        <w:t>an </w:t>
      </w:r>
      <w:r>
        <w:rPr>
          <w:spacing w:val="-5"/>
          <w:sz w:val="21"/>
        </w:rPr>
        <w:t>interested </w:t>
      </w:r>
      <w:r>
        <w:rPr>
          <w:spacing w:val="-4"/>
          <w:sz w:val="21"/>
        </w:rPr>
        <w:t>witness </w:t>
      </w:r>
      <w:r>
        <w:rPr>
          <w:spacing w:val="-3"/>
          <w:sz w:val="21"/>
        </w:rPr>
        <w:t>is </w:t>
      </w:r>
      <w:r>
        <w:rPr>
          <w:spacing w:val="-4"/>
          <w:sz w:val="21"/>
        </w:rPr>
        <w:t>not </w:t>
      </w:r>
      <w:r>
        <w:rPr>
          <w:sz w:val="21"/>
        </w:rPr>
        <w:t>a </w:t>
      </w:r>
      <w:r>
        <w:rPr>
          <w:spacing w:val="-5"/>
          <w:sz w:val="21"/>
        </w:rPr>
        <w:t>credible </w:t>
      </w:r>
      <w:r>
        <w:rPr>
          <w:spacing w:val="-4"/>
          <w:sz w:val="21"/>
        </w:rPr>
        <w:t>witness.</w:t>
      </w:r>
      <w:r>
        <w:rPr>
          <w:spacing w:val="-4"/>
          <w:position w:val="7"/>
          <w:sz w:val="12"/>
        </w:rPr>
        <w:t>47 </w:t>
      </w:r>
      <w:r>
        <w:rPr>
          <w:spacing w:val="-4"/>
          <w:sz w:val="21"/>
        </w:rPr>
        <w:t>While the rules </w:t>
      </w:r>
      <w:r>
        <w:rPr>
          <w:spacing w:val="-3"/>
          <w:sz w:val="21"/>
        </w:rPr>
        <w:t>of </w:t>
      </w:r>
      <w:r>
        <w:rPr>
          <w:spacing w:val="-5"/>
          <w:sz w:val="21"/>
        </w:rPr>
        <w:t>evidence later changed </w:t>
      </w:r>
      <w:r>
        <w:rPr>
          <w:spacing w:val="-4"/>
          <w:sz w:val="21"/>
        </w:rPr>
        <w:t>to </w:t>
      </w:r>
      <w:r>
        <w:rPr>
          <w:spacing w:val="-5"/>
          <w:sz w:val="21"/>
        </w:rPr>
        <w:t>enable </w:t>
      </w:r>
      <w:r>
        <w:rPr>
          <w:spacing w:val="-3"/>
          <w:sz w:val="21"/>
        </w:rPr>
        <w:t>an </w:t>
      </w:r>
      <w:r>
        <w:rPr>
          <w:spacing w:val="-5"/>
          <w:sz w:val="21"/>
        </w:rPr>
        <w:t>interested </w:t>
      </w:r>
      <w:r>
        <w:rPr>
          <w:spacing w:val="-4"/>
          <w:sz w:val="21"/>
        </w:rPr>
        <w:t>witness to give </w:t>
      </w:r>
      <w:r>
        <w:rPr>
          <w:spacing w:val="-5"/>
          <w:sz w:val="21"/>
        </w:rPr>
        <w:t>evidence, </w:t>
      </w:r>
      <w:r>
        <w:rPr>
          <w:spacing w:val="-4"/>
          <w:sz w:val="21"/>
        </w:rPr>
        <w:t>the witness-beneficiary  rule  survived  </w:t>
      </w:r>
      <w:r>
        <w:rPr>
          <w:spacing w:val="-3"/>
          <w:sz w:val="21"/>
        </w:rPr>
        <w:t>in  </w:t>
      </w:r>
      <w:r>
        <w:rPr>
          <w:spacing w:val="-5"/>
          <w:sz w:val="21"/>
        </w:rPr>
        <w:t>succession  </w:t>
      </w:r>
      <w:r>
        <w:rPr>
          <w:spacing w:val="-7"/>
          <w:sz w:val="21"/>
        </w:rPr>
        <w:t>law. </w:t>
      </w:r>
      <w:r>
        <w:rPr>
          <w:spacing w:val="-3"/>
          <w:sz w:val="21"/>
        </w:rPr>
        <w:t>The</w:t>
      </w:r>
      <w:r>
        <w:rPr>
          <w:spacing w:val="9"/>
          <w:sz w:val="21"/>
        </w:rPr>
        <w:t> </w:t>
      </w:r>
      <w:r>
        <w:rPr>
          <w:spacing w:val="-4"/>
          <w:sz w:val="21"/>
        </w:rPr>
        <w:t>justification</w:t>
      </w:r>
      <w:r>
        <w:rPr>
          <w:spacing w:val="10"/>
          <w:sz w:val="21"/>
        </w:rPr>
        <w:t> </w:t>
      </w:r>
      <w:r>
        <w:rPr>
          <w:spacing w:val="-5"/>
          <w:sz w:val="21"/>
        </w:rPr>
        <w:t>for</w:t>
      </w:r>
      <w:r>
        <w:rPr>
          <w:spacing w:val="9"/>
          <w:sz w:val="21"/>
        </w:rPr>
        <w:t> </w:t>
      </w:r>
      <w:r>
        <w:rPr>
          <w:spacing w:val="-4"/>
          <w:sz w:val="21"/>
        </w:rPr>
        <w:t>the</w:t>
      </w:r>
      <w:r>
        <w:rPr>
          <w:spacing w:val="10"/>
          <w:sz w:val="21"/>
        </w:rPr>
        <w:t> </w:t>
      </w:r>
      <w:r>
        <w:rPr>
          <w:spacing w:val="-4"/>
          <w:sz w:val="21"/>
        </w:rPr>
        <w:t>rule</w:t>
      </w:r>
      <w:r>
        <w:rPr>
          <w:spacing w:val="9"/>
          <w:sz w:val="21"/>
        </w:rPr>
        <w:t> </w:t>
      </w:r>
      <w:r>
        <w:rPr>
          <w:spacing w:val="-4"/>
          <w:sz w:val="21"/>
        </w:rPr>
        <w:t>then</w:t>
      </w:r>
      <w:r>
        <w:rPr>
          <w:spacing w:val="10"/>
          <w:sz w:val="21"/>
        </w:rPr>
        <w:t> </w:t>
      </w:r>
      <w:r>
        <w:rPr>
          <w:spacing w:val="-4"/>
          <w:sz w:val="21"/>
        </w:rPr>
        <w:t>became</w:t>
      </w:r>
      <w:r>
        <w:rPr>
          <w:spacing w:val="10"/>
          <w:sz w:val="21"/>
        </w:rPr>
        <w:t> </w:t>
      </w:r>
      <w:r>
        <w:rPr>
          <w:spacing w:val="-4"/>
          <w:sz w:val="21"/>
        </w:rPr>
        <w:t>the</w:t>
      </w:r>
      <w:r>
        <w:rPr>
          <w:spacing w:val="9"/>
          <w:sz w:val="21"/>
        </w:rPr>
        <w:t> </w:t>
      </w:r>
      <w:r>
        <w:rPr>
          <w:spacing w:val="-6"/>
          <w:sz w:val="21"/>
        </w:rPr>
        <w:t>avoidance</w:t>
      </w:r>
      <w:r>
        <w:rPr>
          <w:spacing w:val="10"/>
          <w:sz w:val="21"/>
        </w:rPr>
        <w:t> </w:t>
      </w:r>
      <w:r>
        <w:rPr>
          <w:spacing w:val="-3"/>
          <w:sz w:val="21"/>
        </w:rPr>
        <w:t>of</w:t>
      </w:r>
      <w:r>
        <w:rPr>
          <w:spacing w:val="9"/>
          <w:sz w:val="21"/>
        </w:rPr>
        <w:t> </w:t>
      </w:r>
      <w:r>
        <w:rPr>
          <w:spacing w:val="-5"/>
          <w:sz w:val="21"/>
        </w:rPr>
        <w:t>undue</w:t>
      </w:r>
      <w:r>
        <w:rPr>
          <w:spacing w:val="10"/>
          <w:sz w:val="21"/>
        </w:rPr>
        <w:t> </w:t>
      </w:r>
      <w:r>
        <w:rPr>
          <w:spacing w:val="-5"/>
          <w:sz w:val="21"/>
        </w:rPr>
        <w:t>influence.</w:t>
      </w:r>
      <w:r>
        <w:rPr>
          <w:spacing w:val="-5"/>
          <w:position w:val="7"/>
          <w:sz w:val="12"/>
        </w:rPr>
        <w:t>48</w:t>
      </w:r>
    </w:p>
    <w:p>
      <w:pPr>
        <w:pStyle w:val="ListParagraph"/>
        <w:numPr>
          <w:ilvl w:val="1"/>
          <w:numId w:val="22"/>
        </w:numPr>
        <w:tabs>
          <w:tab w:pos="2380" w:val="left" w:leader="none"/>
          <w:tab w:pos="2381" w:val="left" w:leader="none"/>
        </w:tabs>
        <w:spacing w:line="242" w:lineRule="auto" w:before="124" w:after="0"/>
        <w:ind w:left="2380" w:right="1995" w:hanging="793"/>
        <w:jc w:val="left"/>
        <w:rPr>
          <w:sz w:val="21"/>
        </w:rPr>
      </w:pPr>
      <w:r>
        <w:rPr>
          <w:w w:val="105"/>
          <w:sz w:val="21"/>
        </w:rPr>
        <w:t>In Victoria, the rule </w:t>
      </w:r>
      <w:r>
        <w:rPr>
          <w:spacing w:val="-3"/>
          <w:w w:val="105"/>
          <w:sz w:val="21"/>
        </w:rPr>
        <w:t>originally prevented </w:t>
      </w:r>
      <w:r>
        <w:rPr>
          <w:w w:val="105"/>
          <w:sz w:val="21"/>
        </w:rPr>
        <w:t>a witness or their spouse </w:t>
      </w:r>
      <w:r>
        <w:rPr>
          <w:spacing w:val="-3"/>
          <w:w w:val="105"/>
          <w:sz w:val="21"/>
        </w:rPr>
        <w:t>from </w:t>
      </w:r>
      <w:r>
        <w:rPr>
          <w:w w:val="105"/>
          <w:sz w:val="21"/>
        </w:rPr>
        <w:t>taking a benefit under a </w:t>
      </w:r>
      <w:r>
        <w:rPr>
          <w:spacing w:val="-3"/>
          <w:w w:val="105"/>
          <w:sz w:val="21"/>
        </w:rPr>
        <w:t>will </w:t>
      </w:r>
      <w:r>
        <w:rPr>
          <w:w w:val="105"/>
          <w:sz w:val="21"/>
        </w:rPr>
        <w:t>they </w:t>
      </w:r>
      <w:r>
        <w:rPr>
          <w:spacing w:val="-2"/>
          <w:w w:val="105"/>
          <w:sz w:val="21"/>
        </w:rPr>
        <w:t>had </w:t>
      </w:r>
      <w:r>
        <w:rPr>
          <w:w w:val="105"/>
          <w:sz w:val="21"/>
        </w:rPr>
        <w:t>witnessed.</w:t>
      </w:r>
      <w:r>
        <w:rPr>
          <w:w w:val="105"/>
          <w:position w:val="7"/>
          <w:sz w:val="12"/>
        </w:rPr>
        <w:t>49 </w:t>
      </w:r>
      <w:r>
        <w:rPr>
          <w:w w:val="105"/>
          <w:sz w:val="21"/>
        </w:rPr>
        <w:t>In </w:t>
      </w:r>
      <w:r>
        <w:rPr>
          <w:spacing w:val="-10"/>
          <w:w w:val="105"/>
          <w:sz w:val="21"/>
        </w:rPr>
        <w:t>1977, </w:t>
      </w:r>
      <w:r>
        <w:rPr>
          <w:w w:val="105"/>
          <w:sz w:val="21"/>
        </w:rPr>
        <w:t>certain </w:t>
      </w:r>
      <w:r>
        <w:rPr>
          <w:spacing w:val="-3"/>
          <w:w w:val="105"/>
          <w:sz w:val="21"/>
        </w:rPr>
        <w:t>exceptions to </w:t>
      </w:r>
      <w:r>
        <w:rPr>
          <w:w w:val="105"/>
          <w:sz w:val="21"/>
        </w:rPr>
        <w:t>the rule</w:t>
      </w:r>
      <w:r>
        <w:rPr>
          <w:spacing w:val="-26"/>
          <w:w w:val="105"/>
          <w:sz w:val="21"/>
        </w:rPr>
        <w:t> </w:t>
      </w:r>
      <w:r>
        <w:rPr>
          <w:spacing w:val="-3"/>
          <w:w w:val="105"/>
          <w:sz w:val="21"/>
        </w:rPr>
        <w:t>were</w:t>
      </w:r>
    </w:p>
    <w:p>
      <w:pPr>
        <w:pStyle w:val="BodyText"/>
        <w:spacing w:line="230" w:lineRule="auto" w:before="10"/>
        <w:ind w:left="2381" w:right="1619"/>
        <w:rPr>
          <w:sz w:val="14"/>
        </w:rPr>
      </w:pPr>
      <w:r>
        <w:rPr>
          <w:spacing w:val="-3"/>
          <w:w w:val="105"/>
        </w:rPr>
        <w:t>introduced,</w:t>
      </w:r>
      <w:r>
        <w:rPr>
          <w:spacing w:val="-3"/>
          <w:w w:val="105"/>
          <w:position w:val="7"/>
          <w:sz w:val="12"/>
        </w:rPr>
        <w:t>50 </w:t>
      </w:r>
      <w:r>
        <w:rPr>
          <w:w w:val="105"/>
        </w:rPr>
        <w:t>but the rule was </w:t>
      </w:r>
      <w:r>
        <w:rPr>
          <w:spacing w:val="-3"/>
          <w:w w:val="105"/>
        </w:rPr>
        <w:t>ultimately </w:t>
      </w:r>
      <w:r>
        <w:rPr>
          <w:w w:val="105"/>
        </w:rPr>
        <w:t>abolished in Victoria by the </w:t>
      </w:r>
      <w:r>
        <w:rPr>
          <w:i/>
          <w:w w:val="105"/>
        </w:rPr>
        <w:t>Wills Act </w:t>
      </w:r>
      <w:r>
        <w:rPr>
          <w:i/>
          <w:spacing w:val="-8"/>
          <w:w w:val="105"/>
        </w:rPr>
        <w:t>1997 </w:t>
      </w:r>
      <w:r>
        <w:rPr>
          <w:w w:val="105"/>
        </w:rPr>
        <w:t>(Vic) on the </w:t>
      </w:r>
      <w:r>
        <w:rPr>
          <w:spacing w:val="-3"/>
          <w:w w:val="105"/>
        </w:rPr>
        <w:t>recommendation </w:t>
      </w:r>
      <w:r>
        <w:rPr>
          <w:w w:val="105"/>
        </w:rPr>
        <w:t>of the Victorian </w:t>
      </w:r>
      <w:r>
        <w:rPr>
          <w:spacing w:val="-3"/>
          <w:w w:val="105"/>
        </w:rPr>
        <w:t>Parliament </w:t>
      </w:r>
      <w:r>
        <w:rPr>
          <w:w w:val="105"/>
        </w:rPr>
        <w:t>Law </w:t>
      </w:r>
      <w:r>
        <w:rPr>
          <w:spacing w:val="-3"/>
          <w:w w:val="105"/>
        </w:rPr>
        <w:t>Reform Committee. </w:t>
      </w:r>
      <w:r>
        <w:rPr>
          <w:spacing w:val="-5"/>
          <w:w w:val="105"/>
          <w:position w:val="8"/>
          <w:sz w:val="14"/>
        </w:rPr>
        <w:t>51</w:t>
      </w:r>
    </w:p>
    <w:p>
      <w:pPr>
        <w:pStyle w:val="ListParagraph"/>
        <w:numPr>
          <w:ilvl w:val="1"/>
          <w:numId w:val="22"/>
        </w:numPr>
        <w:tabs>
          <w:tab w:pos="2381" w:val="left" w:leader="none"/>
          <w:tab w:pos="2382" w:val="left" w:leader="none"/>
        </w:tabs>
        <w:spacing w:line="242" w:lineRule="auto" w:before="126" w:after="0"/>
        <w:ind w:left="2381" w:right="1926" w:hanging="794"/>
        <w:jc w:val="left"/>
        <w:rPr>
          <w:sz w:val="12"/>
        </w:rPr>
      </w:pPr>
      <w:r>
        <w:rPr>
          <w:w w:val="105"/>
          <w:sz w:val="21"/>
        </w:rPr>
        <w:t>The </w:t>
      </w:r>
      <w:r>
        <w:rPr>
          <w:spacing w:val="-3"/>
          <w:w w:val="105"/>
          <w:sz w:val="21"/>
        </w:rPr>
        <w:t>Committee </w:t>
      </w:r>
      <w:r>
        <w:rPr>
          <w:w w:val="105"/>
          <w:sz w:val="21"/>
        </w:rPr>
        <w:t>criticised the effect of the rule and </w:t>
      </w:r>
      <w:r>
        <w:rPr>
          <w:spacing w:val="-3"/>
          <w:w w:val="105"/>
          <w:sz w:val="21"/>
        </w:rPr>
        <w:t>concluded that anyone </w:t>
      </w:r>
      <w:r>
        <w:rPr>
          <w:w w:val="105"/>
          <w:sz w:val="21"/>
        </w:rPr>
        <w:t>objecting </w:t>
      </w:r>
      <w:r>
        <w:rPr>
          <w:spacing w:val="-3"/>
          <w:w w:val="105"/>
          <w:sz w:val="21"/>
        </w:rPr>
        <w:t>to </w:t>
      </w:r>
      <w:r>
        <w:rPr>
          <w:w w:val="105"/>
          <w:sz w:val="21"/>
        </w:rPr>
        <w:t>a benefit given </w:t>
      </w:r>
      <w:r>
        <w:rPr>
          <w:spacing w:val="-3"/>
          <w:w w:val="105"/>
          <w:sz w:val="21"/>
        </w:rPr>
        <w:t>to </w:t>
      </w:r>
      <w:r>
        <w:rPr>
          <w:w w:val="105"/>
          <w:sz w:val="21"/>
        </w:rPr>
        <w:t>a witness </w:t>
      </w:r>
      <w:r>
        <w:rPr>
          <w:spacing w:val="-3"/>
          <w:w w:val="105"/>
          <w:sz w:val="21"/>
        </w:rPr>
        <w:t>to </w:t>
      </w:r>
      <w:r>
        <w:rPr>
          <w:w w:val="105"/>
          <w:sz w:val="21"/>
        </w:rPr>
        <w:t>the </w:t>
      </w:r>
      <w:r>
        <w:rPr>
          <w:spacing w:val="-3"/>
          <w:w w:val="105"/>
          <w:sz w:val="21"/>
        </w:rPr>
        <w:t>will could challenge </w:t>
      </w:r>
      <w:r>
        <w:rPr>
          <w:w w:val="105"/>
          <w:sz w:val="21"/>
        </w:rPr>
        <w:t>the </w:t>
      </w:r>
      <w:r>
        <w:rPr>
          <w:spacing w:val="-3"/>
          <w:w w:val="105"/>
          <w:sz w:val="21"/>
        </w:rPr>
        <w:t>will </w:t>
      </w:r>
      <w:r>
        <w:rPr>
          <w:w w:val="105"/>
          <w:sz w:val="21"/>
        </w:rPr>
        <w:t>on the basis </w:t>
      </w:r>
      <w:r>
        <w:rPr>
          <w:spacing w:val="-3"/>
          <w:w w:val="105"/>
          <w:sz w:val="21"/>
        </w:rPr>
        <w:t>that </w:t>
      </w:r>
      <w:r>
        <w:rPr>
          <w:w w:val="105"/>
          <w:sz w:val="21"/>
        </w:rPr>
        <w:t>the </w:t>
      </w:r>
      <w:r>
        <w:rPr>
          <w:spacing w:val="-3"/>
          <w:w w:val="105"/>
          <w:sz w:val="21"/>
        </w:rPr>
        <w:t>will-maker </w:t>
      </w:r>
      <w:r>
        <w:rPr>
          <w:w w:val="105"/>
          <w:sz w:val="21"/>
        </w:rPr>
        <w:t>acted under </w:t>
      </w:r>
      <w:r>
        <w:rPr>
          <w:spacing w:val="-3"/>
          <w:w w:val="105"/>
          <w:sz w:val="21"/>
        </w:rPr>
        <w:t>undue influence, </w:t>
      </w:r>
      <w:r>
        <w:rPr>
          <w:w w:val="105"/>
          <w:sz w:val="21"/>
        </w:rPr>
        <w:t>or </w:t>
      </w:r>
      <w:r>
        <w:rPr>
          <w:spacing w:val="-3"/>
          <w:w w:val="105"/>
          <w:sz w:val="21"/>
        </w:rPr>
        <w:t>that </w:t>
      </w:r>
      <w:r>
        <w:rPr>
          <w:w w:val="105"/>
          <w:sz w:val="21"/>
        </w:rPr>
        <w:t>they </w:t>
      </w:r>
      <w:r>
        <w:rPr>
          <w:spacing w:val="-3"/>
          <w:w w:val="105"/>
          <w:sz w:val="21"/>
        </w:rPr>
        <w:t>lacked </w:t>
      </w:r>
      <w:r>
        <w:rPr>
          <w:w w:val="105"/>
          <w:sz w:val="21"/>
        </w:rPr>
        <w:t>knowledge </w:t>
      </w:r>
      <w:r>
        <w:rPr>
          <w:spacing w:val="-6"/>
          <w:w w:val="105"/>
          <w:sz w:val="21"/>
        </w:rPr>
        <w:t>of, </w:t>
      </w:r>
      <w:r>
        <w:rPr>
          <w:w w:val="105"/>
          <w:sz w:val="21"/>
        </w:rPr>
        <w:t>or did </w:t>
      </w:r>
      <w:r>
        <w:rPr>
          <w:spacing w:val="-2"/>
          <w:w w:val="105"/>
          <w:sz w:val="21"/>
        </w:rPr>
        <w:t>not </w:t>
      </w:r>
      <w:r>
        <w:rPr>
          <w:spacing w:val="-3"/>
          <w:w w:val="105"/>
          <w:sz w:val="21"/>
        </w:rPr>
        <w:t>approve, </w:t>
      </w:r>
      <w:r>
        <w:rPr>
          <w:w w:val="105"/>
          <w:sz w:val="21"/>
        </w:rPr>
        <w:t>the </w:t>
      </w:r>
      <w:r>
        <w:rPr>
          <w:spacing w:val="-3"/>
          <w:w w:val="105"/>
          <w:sz w:val="21"/>
        </w:rPr>
        <w:t>contents </w:t>
      </w:r>
      <w:r>
        <w:rPr>
          <w:w w:val="105"/>
          <w:sz w:val="21"/>
        </w:rPr>
        <w:t>of the</w:t>
      </w:r>
      <w:r>
        <w:rPr>
          <w:spacing w:val="31"/>
          <w:w w:val="105"/>
          <w:sz w:val="21"/>
        </w:rPr>
        <w:t> </w:t>
      </w:r>
      <w:r>
        <w:rPr>
          <w:spacing w:val="-3"/>
          <w:w w:val="105"/>
          <w:sz w:val="21"/>
        </w:rPr>
        <w:t>will.</w:t>
      </w:r>
      <w:r>
        <w:rPr>
          <w:spacing w:val="-3"/>
          <w:w w:val="105"/>
          <w:position w:val="7"/>
          <w:sz w:val="12"/>
        </w:rPr>
        <w:t>52</w:t>
      </w:r>
    </w:p>
    <w:p>
      <w:pPr>
        <w:pStyle w:val="ListParagraph"/>
        <w:numPr>
          <w:ilvl w:val="1"/>
          <w:numId w:val="22"/>
        </w:numPr>
        <w:tabs>
          <w:tab w:pos="2381" w:val="left" w:leader="none"/>
          <w:tab w:pos="2382" w:val="left" w:leader="none"/>
        </w:tabs>
        <w:spacing w:line="242" w:lineRule="auto" w:before="125" w:after="0"/>
        <w:ind w:left="2381" w:right="2113" w:hanging="794"/>
        <w:jc w:val="left"/>
        <w:rPr>
          <w:sz w:val="12"/>
        </w:rPr>
      </w:pPr>
      <w:r>
        <w:rPr>
          <w:w w:val="105"/>
          <w:sz w:val="21"/>
        </w:rPr>
        <w:t>Despite</w:t>
      </w:r>
      <w:r>
        <w:rPr>
          <w:spacing w:val="-10"/>
          <w:w w:val="105"/>
          <w:sz w:val="21"/>
        </w:rPr>
        <w:t> </w:t>
      </w:r>
      <w:r>
        <w:rPr>
          <w:w w:val="105"/>
          <w:sz w:val="21"/>
        </w:rPr>
        <w:t>the</w:t>
      </w:r>
      <w:r>
        <w:rPr>
          <w:spacing w:val="-10"/>
          <w:w w:val="105"/>
          <w:sz w:val="21"/>
        </w:rPr>
        <w:t> </w:t>
      </w:r>
      <w:r>
        <w:rPr>
          <w:w w:val="105"/>
          <w:sz w:val="21"/>
        </w:rPr>
        <w:t>abolition</w:t>
      </w:r>
      <w:r>
        <w:rPr>
          <w:spacing w:val="-9"/>
          <w:w w:val="105"/>
          <w:sz w:val="21"/>
        </w:rPr>
        <w:t> </w:t>
      </w:r>
      <w:r>
        <w:rPr>
          <w:w w:val="105"/>
          <w:sz w:val="21"/>
        </w:rPr>
        <w:t>of</w:t>
      </w:r>
      <w:r>
        <w:rPr>
          <w:spacing w:val="-10"/>
          <w:w w:val="105"/>
          <w:sz w:val="21"/>
        </w:rPr>
        <w:t> </w:t>
      </w:r>
      <w:r>
        <w:rPr>
          <w:w w:val="105"/>
          <w:sz w:val="21"/>
        </w:rPr>
        <w:t>the</w:t>
      </w:r>
      <w:r>
        <w:rPr>
          <w:spacing w:val="-9"/>
          <w:w w:val="105"/>
          <w:sz w:val="21"/>
        </w:rPr>
        <w:t> </w:t>
      </w:r>
      <w:r>
        <w:rPr>
          <w:w w:val="105"/>
          <w:sz w:val="21"/>
        </w:rPr>
        <w:t>rule</w:t>
      </w:r>
      <w:r>
        <w:rPr>
          <w:spacing w:val="-10"/>
          <w:w w:val="105"/>
          <w:sz w:val="21"/>
        </w:rPr>
        <w:t> </w:t>
      </w:r>
      <w:r>
        <w:rPr>
          <w:w w:val="105"/>
          <w:sz w:val="21"/>
        </w:rPr>
        <w:t>in</w:t>
      </w:r>
      <w:r>
        <w:rPr>
          <w:spacing w:val="-9"/>
          <w:w w:val="105"/>
          <w:sz w:val="21"/>
        </w:rPr>
        <w:t> 1997,</w:t>
      </w:r>
      <w:r>
        <w:rPr>
          <w:spacing w:val="-10"/>
          <w:w w:val="105"/>
          <w:sz w:val="21"/>
        </w:rPr>
        <w:t> </w:t>
      </w:r>
      <w:r>
        <w:rPr>
          <w:w w:val="105"/>
          <w:sz w:val="21"/>
        </w:rPr>
        <w:t>Victorian</w:t>
      </w:r>
      <w:r>
        <w:rPr>
          <w:spacing w:val="-9"/>
          <w:w w:val="105"/>
          <w:sz w:val="21"/>
        </w:rPr>
        <w:t> </w:t>
      </w:r>
      <w:r>
        <w:rPr>
          <w:w w:val="105"/>
          <w:sz w:val="21"/>
        </w:rPr>
        <w:t>legal</w:t>
      </w:r>
      <w:r>
        <w:rPr>
          <w:spacing w:val="-10"/>
          <w:w w:val="105"/>
          <w:sz w:val="21"/>
        </w:rPr>
        <w:t> </w:t>
      </w:r>
      <w:r>
        <w:rPr>
          <w:w w:val="105"/>
          <w:sz w:val="21"/>
        </w:rPr>
        <w:t>practitioners</w:t>
      </w:r>
      <w:r>
        <w:rPr>
          <w:spacing w:val="-9"/>
          <w:w w:val="105"/>
          <w:sz w:val="21"/>
        </w:rPr>
        <w:t> </w:t>
      </w:r>
      <w:r>
        <w:rPr>
          <w:w w:val="105"/>
          <w:sz w:val="21"/>
        </w:rPr>
        <w:t>still</w:t>
      </w:r>
      <w:r>
        <w:rPr>
          <w:spacing w:val="-10"/>
          <w:w w:val="105"/>
          <w:sz w:val="21"/>
        </w:rPr>
        <w:t> </w:t>
      </w:r>
      <w:r>
        <w:rPr>
          <w:spacing w:val="-3"/>
          <w:w w:val="105"/>
          <w:sz w:val="21"/>
        </w:rPr>
        <w:t>consider</w:t>
      </w:r>
      <w:r>
        <w:rPr>
          <w:spacing w:val="-10"/>
          <w:w w:val="105"/>
          <w:sz w:val="21"/>
        </w:rPr>
        <w:t> </w:t>
      </w:r>
      <w:r>
        <w:rPr>
          <w:w w:val="105"/>
          <w:sz w:val="21"/>
        </w:rPr>
        <w:t>it good practice </w:t>
      </w:r>
      <w:r>
        <w:rPr>
          <w:spacing w:val="-2"/>
          <w:w w:val="105"/>
          <w:sz w:val="21"/>
        </w:rPr>
        <w:t>not </w:t>
      </w:r>
      <w:r>
        <w:rPr>
          <w:spacing w:val="-3"/>
          <w:w w:val="105"/>
          <w:sz w:val="21"/>
        </w:rPr>
        <w:t>to </w:t>
      </w:r>
      <w:r>
        <w:rPr>
          <w:w w:val="105"/>
          <w:sz w:val="21"/>
        </w:rPr>
        <w:t>use a beneficiary as a witness </w:t>
      </w:r>
      <w:r>
        <w:rPr>
          <w:spacing w:val="-3"/>
          <w:w w:val="105"/>
          <w:sz w:val="21"/>
        </w:rPr>
        <w:t>to </w:t>
      </w:r>
      <w:r>
        <w:rPr>
          <w:w w:val="105"/>
          <w:sz w:val="21"/>
        </w:rPr>
        <w:t>a </w:t>
      </w:r>
      <w:r>
        <w:rPr>
          <w:spacing w:val="-3"/>
          <w:w w:val="105"/>
          <w:sz w:val="21"/>
        </w:rPr>
        <w:t>will, to </w:t>
      </w:r>
      <w:r>
        <w:rPr>
          <w:w w:val="105"/>
          <w:sz w:val="21"/>
        </w:rPr>
        <w:t>avoid </w:t>
      </w:r>
      <w:r>
        <w:rPr>
          <w:spacing w:val="-3"/>
          <w:w w:val="105"/>
          <w:sz w:val="21"/>
        </w:rPr>
        <w:t>any </w:t>
      </w:r>
      <w:r>
        <w:rPr>
          <w:w w:val="105"/>
          <w:sz w:val="21"/>
        </w:rPr>
        <w:t>suggestion of</w:t>
      </w:r>
      <w:r>
        <w:rPr>
          <w:spacing w:val="5"/>
          <w:w w:val="105"/>
          <w:sz w:val="21"/>
        </w:rPr>
        <w:t> </w:t>
      </w:r>
      <w:r>
        <w:rPr>
          <w:spacing w:val="-3"/>
          <w:w w:val="105"/>
          <w:sz w:val="21"/>
        </w:rPr>
        <w:t>impropriety.</w:t>
      </w:r>
      <w:r>
        <w:rPr>
          <w:spacing w:val="-3"/>
          <w:w w:val="105"/>
          <w:position w:val="7"/>
          <w:sz w:val="12"/>
        </w:rPr>
        <w:t>53</w:t>
      </w:r>
    </w:p>
    <w:p>
      <w:pPr>
        <w:pStyle w:val="BodyText"/>
        <w:spacing w:before="4"/>
        <w:rPr>
          <w:sz w:val="11"/>
        </w:rPr>
      </w:pPr>
      <w:r>
        <w:rPr/>
        <w:pict>
          <v:line style="position:absolute;mso-position-horizontal-relative:page;mso-position-vertical-relative:paragraph;z-index:-136;mso-wrap-distance-left:0;mso-wrap-distance-right:0" from="79.370003pt,9.383358pt" to="515.905003pt,9.383358pt" stroked="true" strokeweight="1pt" strokecolor="#f9ceca">
            <v:stroke dashstyle="solid"/>
            <w10:wrap type="topAndBottom"/>
          </v:line>
        </w:pict>
      </w:r>
    </w:p>
    <w:p>
      <w:pPr>
        <w:pStyle w:val="ListParagraph"/>
        <w:numPr>
          <w:ilvl w:val="0"/>
          <w:numId w:val="24"/>
        </w:numPr>
        <w:tabs>
          <w:tab w:pos="2380" w:val="left" w:leader="none"/>
          <w:tab w:pos="2382" w:val="left" w:leader="none"/>
        </w:tabs>
        <w:spacing w:line="240" w:lineRule="auto" w:before="117" w:after="0"/>
        <w:ind w:left="2381" w:right="0" w:hanging="794"/>
        <w:jc w:val="left"/>
        <w:rPr>
          <w:sz w:val="13"/>
        </w:rPr>
      </w:pPr>
      <w:r>
        <w:rPr>
          <w:w w:val="105"/>
          <w:sz w:val="13"/>
        </w:rPr>
        <w:t>Victorian Law Reform Commission, above n 8,</w:t>
      </w:r>
      <w:r>
        <w:rPr>
          <w:spacing w:val="2"/>
          <w:w w:val="105"/>
          <w:sz w:val="13"/>
        </w:rPr>
        <w:t> </w:t>
      </w:r>
      <w:r>
        <w:rPr>
          <w:w w:val="105"/>
          <w:sz w:val="13"/>
        </w:rPr>
        <w:t>19.</w:t>
      </w:r>
    </w:p>
    <w:p>
      <w:pPr>
        <w:pStyle w:val="ListParagraph"/>
        <w:numPr>
          <w:ilvl w:val="0"/>
          <w:numId w:val="24"/>
        </w:numPr>
        <w:tabs>
          <w:tab w:pos="2380" w:val="left" w:leader="none"/>
          <w:tab w:pos="2382" w:val="left" w:leader="none"/>
        </w:tabs>
        <w:spacing w:line="240" w:lineRule="auto" w:before="1" w:after="0"/>
        <w:ind w:left="2381" w:right="1794" w:hanging="794"/>
        <w:jc w:val="left"/>
        <w:rPr>
          <w:sz w:val="13"/>
        </w:rPr>
      </w:pPr>
      <w:r>
        <w:rPr>
          <w:w w:val="105"/>
          <w:sz w:val="13"/>
        </w:rPr>
        <w:t>Submissions 4 (name withheld); </w:t>
      </w:r>
      <w:r>
        <w:rPr>
          <w:spacing w:val="-3"/>
          <w:w w:val="105"/>
          <w:sz w:val="13"/>
        </w:rPr>
        <w:t>19 </w:t>
      </w:r>
      <w:r>
        <w:rPr>
          <w:w w:val="105"/>
          <w:sz w:val="13"/>
        </w:rPr>
        <w:t>(Association of Independent Retirees); 21 </w:t>
      </w:r>
      <w:r>
        <w:rPr>
          <w:spacing w:val="2"/>
          <w:w w:val="105"/>
          <w:sz w:val="13"/>
        </w:rPr>
        <w:t>(Office </w:t>
      </w:r>
      <w:r>
        <w:rPr>
          <w:w w:val="105"/>
          <w:sz w:val="13"/>
        </w:rPr>
        <w:t>of the Public Advocate); 26 </w:t>
      </w:r>
      <w:r>
        <w:rPr>
          <w:spacing w:val="2"/>
          <w:w w:val="105"/>
          <w:sz w:val="13"/>
        </w:rPr>
        <w:t>(Rigby </w:t>
      </w:r>
      <w:r>
        <w:rPr>
          <w:w w:val="105"/>
          <w:sz w:val="13"/>
        </w:rPr>
        <w:t>Cooke </w:t>
      </w:r>
      <w:r>
        <w:rPr>
          <w:spacing w:val="2"/>
          <w:w w:val="105"/>
          <w:sz w:val="13"/>
        </w:rPr>
        <w:t>Lawyers);  </w:t>
      </w:r>
      <w:r>
        <w:rPr>
          <w:w w:val="105"/>
          <w:sz w:val="13"/>
        </w:rPr>
        <w:t>31</w:t>
      </w:r>
      <w:r>
        <w:rPr>
          <w:spacing w:val="5"/>
          <w:w w:val="105"/>
          <w:sz w:val="13"/>
        </w:rPr>
        <w:t> </w:t>
      </w:r>
      <w:r>
        <w:rPr>
          <w:w w:val="105"/>
          <w:sz w:val="13"/>
        </w:rPr>
        <w:t>(Seniors</w:t>
      </w:r>
      <w:r>
        <w:rPr>
          <w:spacing w:val="5"/>
          <w:w w:val="105"/>
          <w:sz w:val="13"/>
        </w:rPr>
        <w:t> </w:t>
      </w:r>
      <w:r>
        <w:rPr>
          <w:w w:val="105"/>
          <w:sz w:val="13"/>
        </w:rPr>
        <w:t>Rights</w:t>
      </w:r>
      <w:r>
        <w:rPr>
          <w:spacing w:val="5"/>
          <w:w w:val="105"/>
          <w:sz w:val="13"/>
        </w:rPr>
        <w:t> </w:t>
      </w:r>
      <w:r>
        <w:rPr>
          <w:spacing w:val="2"/>
          <w:w w:val="105"/>
          <w:sz w:val="13"/>
        </w:rPr>
        <w:t>Victoria);</w:t>
      </w:r>
      <w:r>
        <w:rPr>
          <w:spacing w:val="5"/>
          <w:w w:val="105"/>
          <w:sz w:val="13"/>
        </w:rPr>
        <w:t> </w:t>
      </w:r>
      <w:r>
        <w:rPr>
          <w:w w:val="105"/>
          <w:sz w:val="13"/>
        </w:rPr>
        <w:t>38</w:t>
      </w:r>
      <w:r>
        <w:rPr>
          <w:spacing w:val="5"/>
          <w:w w:val="105"/>
          <w:sz w:val="13"/>
        </w:rPr>
        <w:t> </w:t>
      </w:r>
      <w:r>
        <w:rPr>
          <w:spacing w:val="2"/>
          <w:w w:val="105"/>
          <w:sz w:val="13"/>
        </w:rPr>
        <w:t>(Liz</w:t>
      </w:r>
      <w:r>
        <w:rPr>
          <w:spacing w:val="5"/>
          <w:w w:val="105"/>
          <w:sz w:val="13"/>
        </w:rPr>
        <w:t> </w:t>
      </w:r>
      <w:r>
        <w:rPr>
          <w:spacing w:val="2"/>
          <w:w w:val="105"/>
          <w:sz w:val="13"/>
        </w:rPr>
        <w:t>Burton);</w:t>
      </w:r>
      <w:r>
        <w:rPr>
          <w:spacing w:val="5"/>
          <w:w w:val="105"/>
          <w:sz w:val="13"/>
        </w:rPr>
        <w:t> </w:t>
      </w:r>
      <w:r>
        <w:rPr>
          <w:w w:val="105"/>
          <w:sz w:val="13"/>
        </w:rPr>
        <w:t>39</w:t>
      </w:r>
      <w:r>
        <w:rPr>
          <w:spacing w:val="5"/>
          <w:w w:val="105"/>
          <w:sz w:val="13"/>
        </w:rPr>
        <w:t> </w:t>
      </w:r>
      <w:r>
        <w:rPr>
          <w:w w:val="105"/>
          <w:sz w:val="13"/>
        </w:rPr>
        <w:t>(Carolyn</w:t>
      </w:r>
      <w:r>
        <w:rPr>
          <w:spacing w:val="5"/>
          <w:w w:val="105"/>
          <w:sz w:val="13"/>
        </w:rPr>
        <w:t> </w:t>
      </w:r>
      <w:r>
        <w:rPr>
          <w:w w:val="105"/>
          <w:sz w:val="13"/>
        </w:rPr>
        <w:t>Sparke</w:t>
      </w:r>
      <w:r>
        <w:rPr>
          <w:spacing w:val="5"/>
          <w:w w:val="105"/>
          <w:sz w:val="13"/>
        </w:rPr>
        <w:t> </w:t>
      </w:r>
      <w:r>
        <w:rPr>
          <w:w w:val="105"/>
          <w:sz w:val="13"/>
        </w:rPr>
        <w:t>SC);</w:t>
      </w:r>
      <w:r>
        <w:rPr>
          <w:spacing w:val="5"/>
          <w:w w:val="105"/>
          <w:sz w:val="13"/>
        </w:rPr>
        <w:t> </w:t>
      </w:r>
      <w:r>
        <w:rPr>
          <w:w w:val="105"/>
          <w:sz w:val="13"/>
        </w:rPr>
        <w:t>40</w:t>
      </w:r>
      <w:r>
        <w:rPr>
          <w:spacing w:val="6"/>
          <w:w w:val="105"/>
          <w:sz w:val="13"/>
        </w:rPr>
        <w:t> </w:t>
      </w:r>
      <w:r>
        <w:rPr>
          <w:w w:val="105"/>
          <w:sz w:val="13"/>
        </w:rPr>
        <w:t>(Janice</w:t>
      </w:r>
      <w:r>
        <w:rPr>
          <w:spacing w:val="5"/>
          <w:w w:val="105"/>
          <w:sz w:val="13"/>
        </w:rPr>
        <w:t> </w:t>
      </w:r>
      <w:r>
        <w:rPr>
          <w:w w:val="105"/>
          <w:sz w:val="13"/>
        </w:rPr>
        <w:t>Brownfoot).</w:t>
      </w:r>
    </w:p>
    <w:p>
      <w:pPr>
        <w:pStyle w:val="ListParagraph"/>
        <w:numPr>
          <w:ilvl w:val="0"/>
          <w:numId w:val="24"/>
        </w:numPr>
        <w:tabs>
          <w:tab w:pos="2381" w:val="left" w:leader="none"/>
          <w:tab w:pos="2382" w:val="left" w:leader="none"/>
        </w:tabs>
        <w:spacing w:line="240" w:lineRule="auto" w:before="3" w:after="0"/>
        <w:ind w:left="2381" w:right="1908" w:hanging="794"/>
        <w:jc w:val="left"/>
        <w:rPr>
          <w:sz w:val="13"/>
        </w:rPr>
      </w:pPr>
      <w:r>
        <w:rPr>
          <w:w w:val="105"/>
          <w:sz w:val="13"/>
        </w:rPr>
        <w:t>Submissions 8 (Patricia Strachan); </w:t>
      </w:r>
      <w:r>
        <w:rPr>
          <w:spacing w:val="-3"/>
          <w:w w:val="105"/>
          <w:sz w:val="13"/>
        </w:rPr>
        <w:t>14 </w:t>
      </w:r>
      <w:r>
        <w:rPr>
          <w:w w:val="105"/>
          <w:sz w:val="13"/>
        </w:rPr>
        <w:t>(Commercial Bar </w:t>
      </w:r>
      <w:r>
        <w:rPr>
          <w:spacing w:val="2"/>
          <w:w w:val="105"/>
          <w:sz w:val="13"/>
        </w:rPr>
        <w:t>Association); </w:t>
      </w:r>
      <w:r>
        <w:rPr>
          <w:w w:val="105"/>
          <w:sz w:val="13"/>
        </w:rPr>
        <w:t>25 </w:t>
      </w:r>
      <w:r>
        <w:rPr>
          <w:spacing w:val="2"/>
          <w:w w:val="105"/>
          <w:sz w:val="13"/>
        </w:rPr>
        <w:t>(Moores </w:t>
      </w:r>
      <w:r>
        <w:rPr>
          <w:w w:val="105"/>
          <w:sz w:val="13"/>
        </w:rPr>
        <w:t>Legal); 32 </w:t>
      </w:r>
      <w:r>
        <w:rPr>
          <w:spacing w:val="2"/>
          <w:w w:val="105"/>
          <w:sz w:val="13"/>
        </w:rPr>
        <w:t>(The </w:t>
      </w:r>
      <w:r>
        <w:rPr>
          <w:w w:val="105"/>
          <w:sz w:val="13"/>
        </w:rPr>
        <w:t>Institute of Legal Executives); 33 (State Trustees Limited); 35 (Andrew</w:t>
      </w:r>
      <w:r>
        <w:rPr>
          <w:spacing w:val="18"/>
          <w:w w:val="105"/>
          <w:sz w:val="13"/>
        </w:rPr>
        <w:t> </w:t>
      </w:r>
      <w:r>
        <w:rPr>
          <w:w w:val="105"/>
          <w:sz w:val="13"/>
        </w:rPr>
        <w:t>Verspaandonk).</w:t>
      </w:r>
    </w:p>
    <w:p>
      <w:pPr>
        <w:pStyle w:val="ListParagraph"/>
        <w:numPr>
          <w:ilvl w:val="0"/>
          <w:numId w:val="24"/>
        </w:numPr>
        <w:tabs>
          <w:tab w:pos="2381" w:val="left" w:leader="none"/>
          <w:tab w:pos="2382" w:val="left" w:leader="none"/>
        </w:tabs>
        <w:spacing w:line="240" w:lineRule="auto" w:before="3" w:after="0"/>
        <w:ind w:left="2381" w:right="0" w:hanging="794"/>
        <w:jc w:val="left"/>
        <w:rPr>
          <w:sz w:val="13"/>
        </w:rPr>
      </w:pPr>
      <w:r>
        <w:rPr>
          <w:w w:val="105"/>
          <w:sz w:val="13"/>
        </w:rPr>
        <w:t>Submission 25 </w:t>
      </w:r>
      <w:r>
        <w:rPr>
          <w:spacing w:val="2"/>
          <w:w w:val="105"/>
          <w:sz w:val="13"/>
        </w:rPr>
        <w:t>(Moores</w:t>
      </w:r>
      <w:r>
        <w:rPr>
          <w:spacing w:val="13"/>
          <w:w w:val="105"/>
          <w:sz w:val="13"/>
        </w:rPr>
        <w:t> </w:t>
      </w:r>
      <w:r>
        <w:rPr>
          <w:w w:val="105"/>
          <w:sz w:val="13"/>
        </w:rPr>
        <w:t>Legal).</w:t>
      </w:r>
    </w:p>
    <w:p>
      <w:pPr>
        <w:pStyle w:val="ListParagraph"/>
        <w:numPr>
          <w:ilvl w:val="0"/>
          <w:numId w:val="24"/>
        </w:numPr>
        <w:tabs>
          <w:tab w:pos="2381" w:val="left" w:leader="none"/>
          <w:tab w:pos="2382" w:val="left" w:leader="none"/>
        </w:tabs>
        <w:spacing w:line="240" w:lineRule="auto" w:before="1" w:after="0"/>
        <w:ind w:left="2381" w:right="0" w:hanging="794"/>
        <w:jc w:val="left"/>
        <w:rPr>
          <w:sz w:val="13"/>
        </w:rPr>
      </w:pPr>
      <w:r>
        <w:rPr>
          <w:w w:val="105"/>
          <w:sz w:val="13"/>
        </w:rPr>
        <w:t>Submissions</w:t>
      </w:r>
      <w:r>
        <w:rPr>
          <w:spacing w:val="4"/>
          <w:w w:val="105"/>
          <w:sz w:val="13"/>
        </w:rPr>
        <w:t> </w:t>
      </w:r>
      <w:r>
        <w:rPr>
          <w:w w:val="105"/>
          <w:sz w:val="13"/>
        </w:rPr>
        <w:t>25</w:t>
      </w:r>
      <w:r>
        <w:rPr>
          <w:spacing w:val="5"/>
          <w:w w:val="105"/>
          <w:sz w:val="13"/>
        </w:rPr>
        <w:t> </w:t>
      </w:r>
      <w:r>
        <w:rPr>
          <w:spacing w:val="2"/>
          <w:w w:val="105"/>
          <w:sz w:val="13"/>
        </w:rPr>
        <w:t>(Moores</w:t>
      </w:r>
      <w:r>
        <w:rPr>
          <w:spacing w:val="5"/>
          <w:w w:val="105"/>
          <w:sz w:val="13"/>
        </w:rPr>
        <w:t> </w:t>
      </w:r>
      <w:r>
        <w:rPr>
          <w:w w:val="105"/>
          <w:sz w:val="13"/>
        </w:rPr>
        <w:t>Legal);</w:t>
      </w:r>
      <w:r>
        <w:rPr>
          <w:spacing w:val="4"/>
          <w:w w:val="105"/>
          <w:sz w:val="13"/>
        </w:rPr>
        <w:t> </w:t>
      </w:r>
      <w:r>
        <w:rPr>
          <w:w w:val="105"/>
          <w:sz w:val="13"/>
        </w:rPr>
        <w:t>30a</w:t>
      </w:r>
      <w:r>
        <w:rPr>
          <w:spacing w:val="5"/>
          <w:w w:val="105"/>
          <w:sz w:val="13"/>
        </w:rPr>
        <w:t> </w:t>
      </w:r>
      <w:r>
        <w:rPr>
          <w:spacing w:val="3"/>
          <w:w w:val="105"/>
          <w:sz w:val="13"/>
        </w:rPr>
        <w:t>(Law</w:t>
      </w:r>
      <w:r>
        <w:rPr>
          <w:spacing w:val="5"/>
          <w:w w:val="105"/>
          <w:sz w:val="13"/>
        </w:rPr>
        <w:t> </w:t>
      </w:r>
      <w:r>
        <w:rPr>
          <w:w w:val="105"/>
          <w:sz w:val="13"/>
        </w:rPr>
        <w:t>Institute</w:t>
      </w:r>
      <w:r>
        <w:rPr>
          <w:spacing w:val="4"/>
          <w:w w:val="105"/>
          <w:sz w:val="13"/>
        </w:rPr>
        <w:t> </w:t>
      </w:r>
      <w:r>
        <w:rPr>
          <w:w w:val="105"/>
          <w:sz w:val="13"/>
        </w:rPr>
        <w:t>of</w:t>
      </w:r>
      <w:r>
        <w:rPr>
          <w:spacing w:val="5"/>
          <w:w w:val="105"/>
          <w:sz w:val="13"/>
        </w:rPr>
        <w:t> </w:t>
      </w:r>
      <w:r>
        <w:rPr>
          <w:spacing w:val="2"/>
          <w:w w:val="105"/>
          <w:sz w:val="13"/>
        </w:rPr>
        <w:t>Victoria);</w:t>
      </w:r>
      <w:r>
        <w:rPr>
          <w:spacing w:val="5"/>
          <w:w w:val="105"/>
          <w:sz w:val="13"/>
        </w:rPr>
        <w:t> </w:t>
      </w:r>
      <w:r>
        <w:rPr>
          <w:w w:val="105"/>
          <w:sz w:val="13"/>
        </w:rPr>
        <w:t>35</w:t>
      </w:r>
      <w:r>
        <w:rPr>
          <w:spacing w:val="4"/>
          <w:w w:val="105"/>
          <w:sz w:val="13"/>
        </w:rPr>
        <w:t> </w:t>
      </w:r>
      <w:r>
        <w:rPr>
          <w:w w:val="105"/>
          <w:sz w:val="13"/>
        </w:rPr>
        <w:t>(Andrew</w:t>
      </w:r>
      <w:r>
        <w:rPr>
          <w:spacing w:val="5"/>
          <w:w w:val="105"/>
          <w:sz w:val="13"/>
        </w:rPr>
        <w:t> </w:t>
      </w:r>
      <w:r>
        <w:rPr>
          <w:w w:val="105"/>
          <w:sz w:val="13"/>
        </w:rPr>
        <w:t>Verspaandonk).</w:t>
      </w:r>
    </w:p>
    <w:p>
      <w:pPr>
        <w:pStyle w:val="ListParagraph"/>
        <w:numPr>
          <w:ilvl w:val="0"/>
          <w:numId w:val="24"/>
        </w:numPr>
        <w:tabs>
          <w:tab w:pos="2381" w:val="left" w:leader="none"/>
          <w:tab w:pos="2382" w:val="left" w:leader="none"/>
        </w:tabs>
        <w:spacing w:line="240" w:lineRule="auto" w:before="1" w:after="0"/>
        <w:ind w:left="2381" w:right="0" w:hanging="794"/>
        <w:jc w:val="left"/>
        <w:rPr>
          <w:sz w:val="13"/>
        </w:rPr>
      </w:pPr>
      <w:r>
        <w:rPr>
          <w:w w:val="105"/>
          <w:sz w:val="13"/>
        </w:rPr>
        <w:t>Submissions 33 (State Trustees Limited); 35 (Andrew</w:t>
      </w:r>
      <w:r>
        <w:rPr>
          <w:spacing w:val="1"/>
          <w:w w:val="105"/>
          <w:sz w:val="13"/>
        </w:rPr>
        <w:t> </w:t>
      </w:r>
      <w:r>
        <w:rPr>
          <w:w w:val="105"/>
          <w:sz w:val="13"/>
        </w:rPr>
        <w:t>Verspaandonk).</w:t>
      </w:r>
    </w:p>
    <w:p>
      <w:pPr>
        <w:pStyle w:val="ListParagraph"/>
        <w:numPr>
          <w:ilvl w:val="0"/>
          <w:numId w:val="24"/>
        </w:numPr>
        <w:tabs>
          <w:tab w:pos="2381" w:val="left" w:leader="none"/>
          <w:tab w:pos="2382" w:val="left" w:leader="none"/>
        </w:tabs>
        <w:spacing w:line="240" w:lineRule="auto" w:before="2" w:after="0"/>
        <w:ind w:left="2381" w:right="0" w:hanging="794"/>
        <w:jc w:val="left"/>
        <w:rPr>
          <w:sz w:val="13"/>
        </w:rPr>
      </w:pPr>
      <w:r>
        <w:rPr>
          <w:w w:val="105"/>
          <w:sz w:val="13"/>
        </w:rPr>
        <w:t>Submission 36 </w:t>
      </w:r>
      <w:r>
        <w:rPr>
          <w:spacing w:val="3"/>
          <w:w w:val="105"/>
          <w:sz w:val="13"/>
        </w:rPr>
        <w:t>(Law </w:t>
      </w:r>
      <w:r>
        <w:rPr>
          <w:w w:val="105"/>
          <w:sz w:val="13"/>
        </w:rPr>
        <w:t>Society of New South</w:t>
      </w:r>
      <w:r>
        <w:rPr>
          <w:spacing w:val="29"/>
          <w:w w:val="105"/>
          <w:sz w:val="13"/>
        </w:rPr>
        <w:t> </w:t>
      </w:r>
      <w:r>
        <w:rPr>
          <w:w w:val="105"/>
          <w:sz w:val="13"/>
        </w:rPr>
        <w:t>Wales).</w:t>
      </w:r>
    </w:p>
    <w:p>
      <w:pPr>
        <w:pStyle w:val="ListParagraph"/>
        <w:numPr>
          <w:ilvl w:val="0"/>
          <w:numId w:val="24"/>
        </w:numPr>
        <w:tabs>
          <w:tab w:pos="2381" w:val="left" w:leader="none"/>
          <w:tab w:pos="2382" w:val="left" w:leader="none"/>
        </w:tabs>
        <w:spacing w:line="240" w:lineRule="auto" w:before="1" w:after="0"/>
        <w:ind w:left="2381" w:right="0" w:hanging="794"/>
        <w:jc w:val="left"/>
        <w:rPr>
          <w:sz w:val="13"/>
        </w:rPr>
      </w:pPr>
      <w:r>
        <w:rPr>
          <w:i/>
          <w:w w:val="105"/>
          <w:sz w:val="13"/>
        </w:rPr>
        <w:t>Wills</w:t>
      </w:r>
      <w:r>
        <w:rPr>
          <w:i/>
          <w:spacing w:val="4"/>
          <w:w w:val="105"/>
          <w:sz w:val="13"/>
        </w:rPr>
        <w:t> </w:t>
      </w:r>
      <w:r>
        <w:rPr>
          <w:i/>
          <w:w w:val="105"/>
          <w:sz w:val="13"/>
        </w:rPr>
        <w:t>Act</w:t>
      </w:r>
      <w:r>
        <w:rPr>
          <w:i/>
          <w:spacing w:val="4"/>
          <w:w w:val="105"/>
          <w:sz w:val="13"/>
        </w:rPr>
        <w:t> </w:t>
      </w:r>
      <w:r>
        <w:rPr>
          <w:i/>
          <w:w w:val="105"/>
          <w:sz w:val="13"/>
        </w:rPr>
        <w:t>1968</w:t>
      </w:r>
      <w:r>
        <w:rPr>
          <w:i/>
          <w:spacing w:val="6"/>
          <w:w w:val="105"/>
          <w:sz w:val="13"/>
        </w:rPr>
        <w:t> </w:t>
      </w:r>
      <w:r>
        <w:rPr>
          <w:w w:val="105"/>
          <w:sz w:val="13"/>
        </w:rPr>
        <w:t>(ACT)</w:t>
      </w:r>
      <w:r>
        <w:rPr>
          <w:spacing w:val="5"/>
          <w:w w:val="105"/>
          <w:sz w:val="13"/>
        </w:rPr>
        <w:t> </w:t>
      </w:r>
      <w:r>
        <w:rPr>
          <w:w w:val="105"/>
          <w:sz w:val="13"/>
        </w:rPr>
        <w:t>s</w:t>
      </w:r>
      <w:r>
        <w:rPr>
          <w:spacing w:val="6"/>
          <w:w w:val="105"/>
          <w:sz w:val="13"/>
        </w:rPr>
        <w:t> </w:t>
      </w:r>
      <w:r>
        <w:rPr>
          <w:w w:val="105"/>
          <w:sz w:val="13"/>
        </w:rPr>
        <w:t>13;</w:t>
      </w:r>
      <w:r>
        <w:rPr>
          <w:spacing w:val="5"/>
          <w:w w:val="105"/>
          <w:sz w:val="13"/>
        </w:rPr>
        <w:t> </w:t>
      </w:r>
      <w:r>
        <w:rPr>
          <w:i/>
          <w:w w:val="105"/>
          <w:sz w:val="13"/>
        </w:rPr>
        <w:t>Succession</w:t>
      </w:r>
      <w:r>
        <w:rPr>
          <w:i/>
          <w:spacing w:val="5"/>
          <w:w w:val="105"/>
          <w:sz w:val="13"/>
        </w:rPr>
        <w:t> </w:t>
      </w:r>
      <w:r>
        <w:rPr>
          <w:i/>
          <w:w w:val="105"/>
          <w:sz w:val="13"/>
        </w:rPr>
        <w:t>Act</w:t>
      </w:r>
      <w:r>
        <w:rPr>
          <w:i/>
          <w:spacing w:val="4"/>
          <w:w w:val="105"/>
          <w:sz w:val="13"/>
        </w:rPr>
        <w:t> </w:t>
      </w:r>
      <w:r>
        <w:rPr>
          <w:i/>
          <w:w w:val="105"/>
          <w:sz w:val="13"/>
        </w:rPr>
        <w:t>2006</w:t>
      </w:r>
      <w:r>
        <w:rPr>
          <w:i/>
          <w:spacing w:val="6"/>
          <w:w w:val="105"/>
          <w:sz w:val="13"/>
        </w:rPr>
        <w:t> </w:t>
      </w:r>
      <w:r>
        <w:rPr>
          <w:spacing w:val="3"/>
          <w:w w:val="105"/>
          <w:sz w:val="13"/>
        </w:rPr>
        <w:t>(NSW)</w:t>
      </w:r>
      <w:r>
        <w:rPr>
          <w:spacing w:val="5"/>
          <w:w w:val="105"/>
          <w:sz w:val="13"/>
        </w:rPr>
        <w:t> </w:t>
      </w:r>
      <w:r>
        <w:rPr>
          <w:w w:val="105"/>
          <w:sz w:val="13"/>
        </w:rPr>
        <w:t>s</w:t>
      </w:r>
      <w:r>
        <w:rPr>
          <w:spacing w:val="6"/>
          <w:w w:val="105"/>
          <w:sz w:val="13"/>
        </w:rPr>
        <w:t> </w:t>
      </w:r>
      <w:r>
        <w:rPr>
          <w:w w:val="105"/>
          <w:sz w:val="13"/>
        </w:rPr>
        <w:t>7;</w:t>
      </w:r>
      <w:r>
        <w:rPr>
          <w:spacing w:val="5"/>
          <w:w w:val="105"/>
          <w:sz w:val="13"/>
        </w:rPr>
        <w:t> </w:t>
      </w:r>
      <w:r>
        <w:rPr>
          <w:i/>
          <w:w w:val="105"/>
          <w:sz w:val="13"/>
        </w:rPr>
        <w:t>Wills</w:t>
      </w:r>
      <w:r>
        <w:rPr>
          <w:i/>
          <w:spacing w:val="5"/>
          <w:w w:val="105"/>
          <w:sz w:val="13"/>
        </w:rPr>
        <w:t> </w:t>
      </w:r>
      <w:r>
        <w:rPr>
          <w:i/>
          <w:w w:val="105"/>
          <w:sz w:val="13"/>
        </w:rPr>
        <w:t>Act</w:t>
      </w:r>
      <w:r>
        <w:rPr>
          <w:i/>
          <w:spacing w:val="5"/>
          <w:w w:val="105"/>
          <w:sz w:val="13"/>
        </w:rPr>
        <w:t> </w:t>
      </w:r>
      <w:r>
        <w:rPr>
          <w:spacing w:val="4"/>
          <w:w w:val="105"/>
          <w:sz w:val="13"/>
        </w:rPr>
        <w:t>(NT)</w:t>
      </w:r>
      <w:r>
        <w:rPr>
          <w:spacing w:val="5"/>
          <w:w w:val="105"/>
          <w:sz w:val="13"/>
        </w:rPr>
        <w:t> </w:t>
      </w:r>
      <w:r>
        <w:rPr>
          <w:w w:val="105"/>
          <w:sz w:val="13"/>
        </w:rPr>
        <w:t>s</w:t>
      </w:r>
      <w:r>
        <w:rPr>
          <w:spacing w:val="6"/>
          <w:w w:val="105"/>
          <w:sz w:val="13"/>
        </w:rPr>
        <w:t> </w:t>
      </w:r>
      <w:r>
        <w:rPr>
          <w:spacing w:val="2"/>
          <w:w w:val="105"/>
          <w:sz w:val="13"/>
        </w:rPr>
        <w:t>9;</w:t>
      </w:r>
      <w:r>
        <w:rPr>
          <w:spacing w:val="5"/>
          <w:w w:val="105"/>
          <w:sz w:val="13"/>
        </w:rPr>
        <w:t> </w:t>
      </w:r>
      <w:r>
        <w:rPr>
          <w:i/>
          <w:w w:val="105"/>
          <w:sz w:val="13"/>
        </w:rPr>
        <w:t>Succession</w:t>
      </w:r>
      <w:r>
        <w:rPr>
          <w:i/>
          <w:spacing w:val="5"/>
          <w:w w:val="105"/>
          <w:sz w:val="13"/>
        </w:rPr>
        <w:t> </w:t>
      </w:r>
      <w:r>
        <w:rPr>
          <w:i/>
          <w:w w:val="105"/>
          <w:sz w:val="13"/>
        </w:rPr>
        <w:t>Act</w:t>
      </w:r>
      <w:r>
        <w:rPr>
          <w:i/>
          <w:spacing w:val="4"/>
          <w:w w:val="105"/>
          <w:sz w:val="13"/>
        </w:rPr>
        <w:t> </w:t>
      </w:r>
      <w:r>
        <w:rPr>
          <w:i/>
          <w:spacing w:val="-3"/>
          <w:w w:val="105"/>
          <w:sz w:val="13"/>
        </w:rPr>
        <w:t>1981</w:t>
      </w:r>
      <w:r>
        <w:rPr>
          <w:i/>
          <w:spacing w:val="6"/>
          <w:w w:val="105"/>
          <w:sz w:val="13"/>
        </w:rPr>
        <w:t> </w:t>
      </w:r>
      <w:r>
        <w:rPr>
          <w:spacing w:val="2"/>
          <w:w w:val="105"/>
          <w:sz w:val="13"/>
        </w:rPr>
        <w:t>(Qld)</w:t>
      </w:r>
      <w:r>
        <w:rPr>
          <w:spacing w:val="5"/>
          <w:w w:val="105"/>
          <w:sz w:val="13"/>
        </w:rPr>
        <w:t> </w:t>
      </w:r>
      <w:r>
        <w:rPr>
          <w:w w:val="105"/>
          <w:sz w:val="13"/>
        </w:rPr>
        <w:t>s</w:t>
      </w:r>
      <w:r>
        <w:rPr>
          <w:spacing w:val="6"/>
          <w:w w:val="105"/>
          <w:sz w:val="13"/>
        </w:rPr>
        <w:t> </w:t>
      </w:r>
      <w:r>
        <w:rPr>
          <w:spacing w:val="3"/>
          <w:w w:val="105"/>
          <w:sz w:val="13"/>
        </w:rPr>
        <w:t>10(5);</w:t>
      </w:r>
      <w:r>
        <w:rPr>
          <w:spacing w:val="5"/>
          <w:w w:val="105"/>
          <w:sz w:val="13"/>
        </w:rPr>
        <w:t> </w:t>
      </w:r>
      <w:r>
        <w:rPr>
          <w:i/>
          <w:w w:val="105"/>
          <w:sz w:val="13"/>
        </w:rPr>
        <w:t>Wills</w:t>
      </w:r>
      <w:r>
        <w:rPr>
          <w:i/>
          <w:spacing w:val="5"/>
          <w:w w:val="105"/>
          <w:sz w:val="13"/>
        </w:rPr>
        <w:t> </w:t>
      </w:r>
      <w:r>
        <w:rPr>
          <w:i/>
          <w:w w:val="105"/>
          <w:sz w:val="13"/>
        </w:rPr>
        <w:t>Act</w:t>
      </w:r>
      <w:r>
        <w:rPr>
          <w:i/>
          <w:spacing w:val="4"/>
          <w:w w:val="105"/>
          <w:sz w:val="13"/>
        </w:rPr>
        <w:t> </w:t>
      </w:r>
      <w:r>
        <w:rPr>
          <w:i/>
          <w:w w:val="105"/>
          <w:sz w:val="13"/>
        </w:rPr>
        <w:t>2008</w:t>
      </w:r>
      <w:r>
        <w:rPr>
          <w:i/>
          <w:spacing w:val="6"/>
          <w:w w:val="105"/>
          <w:sz w:val="13"/>
        </w:rPr>
        <w:t> </w:t>
      </w:r>
      <w:r>
        <w:rPr>
          <w:w w:val="105"/>
          <w:sz w:val="13"/>
        </w:rPr>
        <w:t>(Tas)</w:t>
      </w:r>
      <w:r>
        <w:rPr>
          <w:spacing w:val="5"/>
          <w:w w:val="105"/>
          <w:sz w:val="13"/>
        </w:rPr>
        <w:t> </w:t>
      </w:r>
      <w:r>
        <w:rPr>
          <w:w w:val="105"/>
          <w:sz w:val="13"/>
        </w:rPr>
        <w:t>s</w:t>
      </w:r>
      <w:r>
        <w:rPr>
          <w:spacing w:val="6"/>
          <w:w w:val="105"/>
          <w:sz w:val="13"/>
        </w:rPr>
        <w:t> </w:t>
      </w:r>
      <w:r>
        <w:rPr>
          <w:w w:val="105"/>
          <w:sz w:val="13"/>
        </w:rPr>
        <w:t>9.</w:t>
      </w:r>
    </w:p>
    <w:p>
      <w:pPr>
        <w:pStyle w:val="ListParagraph"/>
        <w:numPr>
          <w:ilvl w:val="0"/>
          <w:numId w:val="24"/>
        </w:numPr>
        <w:tabs>
          <w:tab w:pos="2381" w:val="left" w:leader="none"/>
          <w:tab w:pos="2382" w:val="left" w:leader="none"/>
        </w:tabs>
        <w:spacing w:line="240" w:lineRule="auto" w:before="1" w:after="0"/>
        <w:ind w:left="2381" w:right="0" w:hanging="794"/>
        <w:jc w:val="left"/>
        <w:rPr>
          <w:sz w:val="13"/>
        </w:rPr>
      </w:pPr>
      <w:r>
        <w:rPr>
          <w:sz w:val="13"/>
        </w:rPr>
        <w:t>In</w:t>
      </w:r>
      <w:r>
        <w:rPr>
          <w:spacing w:val="7"/>
          <w:sz w:val="13"/>
        </w:rPr>
        <w:t> </w:t>
      </w:r>
      <w:r>
        <w:rPr>
          <w:sz w:val="13"/>
        </w:rPr>
        <w:t>this</w:t>
      </w:r>
      <w:r>
        <w:rPr>
          <w:spacing w:val="7"/>
          <w:sz w:val="13"/>
        </w:rPr>
        <w:t> </w:t>
      </w:r>
      <w:r>
        <w:rPr>
          <w:sz w:val="13"/>
        </w:rPr>
        <w:t>report,</w:t>
      </w:r>
      <w:r>
        <w:rPr>
          <w:spacing w:val="7"/>
          <w:sz w:val="13"/>
        </w:rPr>
        <w:t> </w:t>
      </w:r>
      <w:r>
        <w:rPr>
          <w:sz w:val="13"/>
        </w:rPr>
        <w:t>the</w:t>
      </w:r>
      <w:r>
        <w:rPr>
          <w:spacing w:val="7"/>
          <w:sz w:val="13"/>
        </w:rPr>
        <w:t> </w:t>
      </w:r>
      <w:r>
        <w:rPr>
          <w:sz w:val="13"/>
        </w:rPr>
        <w:t>Commission</w:t>
      </w:r>
      <w:r>
        <w:rPr>
          <w:spacing w:val="7"/>
          <w:sz w:val="13"/>
        </w:rPr>
        <w:t> </w:t>
      </w:r>
      <w:r>
        <w:rPr>
          <w:sz w:val="13"/>
        </w:rPr>
        <w:t>uses</w:t>
      </w:r>
      <w:r>
        <w:rPr>
          <w:spacing w:val="7"/>
          <w:sz w:val="13"/>
        </w:rPr>
        <w:t> </w:t>
      </w:r>
      <w:r>
        <w:rPr>
          <w:sz w:val="13"/>
        </w:rPr>
        <w:t>the</w:t>
      </w:r>
      <w:r>
        <w:rPr>
          <w:spacing w:val="7"/>
          <w:sz w:val="13"/>
        </w:rPr>
        <w:t> </w:t>
      </w:r>
      <w:r>
        <w:rPr>
          <w:sz w:val="13"/>
        </w:rPr>
        <w:t>term</w:t>
      </w:r>
      <w:r>
        <w:rPr>
          <w:spacing w:val="7"/>
          <w:sz w:val="13"/>
        </w:rPr>
        <w:t> </w:t>
      </w:r>
      <w:r>
        <w:rPr>
          <w:sz w:val="13"/>
        </w:rPr>
        <w:t>witness-beneficiary</w:t>
      </w:r>
      <w:r>
        <w:rPr>
          <w:spacing w:val="7"/>
          <w:sz w:val="13"/>
        </w:rPr>
        <w:t> </w:t>
      </w:r>
      <w:r>
        <w:rPr>
          <w:sz w:val="13"/>
        </w:rPr>
        <w:t>rule.</w:t>
      </w:r>
    </w:p>
    <w:p>
      <w:pPr>
        <w:pStyle w:val="ListParagraph"/>
        <w:numPr>
          <w:ilvl w:val="0"/>
          <w:numId w:val="24"/>
        </w:numPr>
        <w:tabs>
          <w:tab w:pos="2381" w:val="left" w:leader="none"/>
          <w:tab w:pos="2382" w:val="left" w:leader="none"/>
        </w:tabs>
        <w:spacing w:line="240" w:lineRule="auto" w:before="2" w:after="0"/>
        <w:ind w:left="2381" w:right="0" w:hanging="794"/>
        <w:jc w:val="left"/>
        <w:rPr>
          <w:sz w:val="13"/>
        </w:rPr>
      </w:pPr>
      <w:r>
        <w:rPr>
          <w:i/>
          <w:w w:val="105"/>
          <w:sz w:val="13"/>
        </w:rPr>
        <w:t>Wills Act </w:t>
      </w:r>
      <w:r>
        <w:rPr>
          <w:i/>
          <w:spacing w:val="-3"/>
          <w:w w:val="105"/>
          <w:sz w:val="13"/>
        </w:rPr>
        <w:t>1997 </w:t>
      </w:r>
      <w:r>
        <w:rPr>
          <w:spacing w:val="2"/>
          <w:w w:val="105"/>
          <w:sz w:val="13"/>
        </w:rPr>
        <w:t>(Vic) </w:t>
      </w:r>
      <w:r>
        <w:rPr>
          <w:w w:val="105"/>
          <w:sz w:val="13"/>
        </w:rPr>
        <w:t>s</w:t>
      </w:r>
      <w:r>
        <w:rPr>
          <w:spacing w:val="21"/>
          <w:w w:val="105"/>
          <w:sz w:val="13"/>
        </w:rPr>
        <w:t> </w:t>
      </w:r>
      <w:r>
        <w:rPr>
          <w:spacing w:val="-6"/>
          <w:w w:val="105"/>
          <w:sz w:val="13"/>
        </w:rPr>
        <w:t>11.</w:t>
      </w:r>
    </w:p>
    <w:p>
      <w:pPr>
        <w:pStyle w:val="ListParagraph"/>
        <w:numPr>
          <w:ilvl w:val="0"/>
          <w:numId w:val="24"/>
        </w:numPr>
        <w:tabs>
          <w:tab w:pos="2381" w:val="left" w:leader="none"/>
          <w:tab w:pos="2382" w:val="left" w:leader="none"/>
        </w:tabs>
        <w:spacing w:line="240" w:lineRule="auto" w:before="1" w:after="0"/>
        <w:ind w:left="2381" w:right="0" w:hanging="794"/>
        <w:jc w:val="left"/>
        <w:rPr>
          <w:sz w:val="13"/>
        </w:rPr>
      </w:pPr>
      <w:r>
        <w:rPr>
          <w:w w:val="105"/>
          <w:sz w:val="13"/>
        </w:rPr>
        <w:t>Law Reform Committee, </w:t>
      </w:r>
      <w:r>
        <w:rPr>
          <w:i/>
          <w:w w:val="105"/>
          <w:sz w:val="13"/>
        </w:rPr>
        <w:t>Reforming the Law of Wills</w:t>
      </w:r>
      <w:r>
        <w:rPr>
          <w:w w:val="105"/>
          <w:sz w:val="13"/>
        </w:rPr>
        <w:t>, above n</w:t>
      </w:r>
      <w:r>
        <w:rPr>
          <w:spacing w:val="28"/>
          <w:w w:val="105"/>
          <w:sz w:val="13"/>
        </w:rPr>
        <w:t> </w:t>
      </w:r>
      <w:r>
        <w:rPr>
          <w:spacing w:val="-6"/>
          <w:w w:val="105"/>
          <w:sz w:val="13"/>
        </w:rPr>
        <w:t>7, </w:t>
      </w:r>
      <w:r>
        <w:rPr>
          <w:w w:val="105"/>
          <w:sz w:val="13"/>
        </w:rPr>
        <w:t>84–7.</w:t>
      </w:r>
    </w:p>
    <w:p>
      <w:pPr>
        <w:pStyle w:val="ListParagraph"/>
        <w:numPr>
          <w:ilvl w:val="0"/>
          <w:numId w:val="24"/>
        </w:numPr>
        <w:tabs>
          <w:tab w:pos="2381" w:val="left" w:leader="none"/>
          <w:tab w:pos="2382" w:val="left" w:leader="none"/>
        </w:tabs>
        <w:spacing w:line="240" w:lineRule="auto" w:before="1" w:after="0"/>
        <w:ind w:left="2381" w:right="1660" w:hanging="794"/>
        <w:jc w:val="left"/>
        <w:rPr>
          <w:sz w:val="13"/>
        </w:rPr>
      </w:pPr>
      <w:r>
        <w:rPr>
          <w:w w:val="105"/>
          <w:sz w:val="13"/>
        </w:rPr>
        <w:t>National Committee for Uniform Succession Laws, above n 5, 18; Law Reform Committee, above n </w:t>
      </w:r>
      <w:r>
        <w:rPr>
          <w:spacing w:val="-6"/>
          <w:w w:val="105"/>
          <w:sz w:val="13"/>
        </w:rPr>
        <w:t>7, </w:t>
      </w:r>
      <w:r>
        <w:rPr>
          <w:w w:val="105"/>
          <w:sz w:val="13"/>
        </w:rPr>
        <w:t>87; D E C Yale, ‘Witnessing Wills and Losing Legacies’ (1984) 100 </w:t>
      </w:r>
      <w:r>
        <w:rPr>
          <w:i/>
          <w:w w:val="105"/>
          <w:sz w:val="13"/>
        </w:rPr>
        <w:t>Law Quarterly Review </w:t>
      </w:r>
      <w:r>
        <w:rPr>
          <w:w w:val="105"/>
          <w:sz w:val="13"/>
        </w:rPr>
        <w:t>453,</w:t>
      </w:r>
      <w:r>
        <w:rPr>
          <w:spacing w:val="7"/>
          <w:w w:val="105"/>
          <w:sz w:val="13"/>
        </w:rPr>
        <w:t> </w:t>
      </w:r>
      <w:r>
        <w:rPr>
          <w:w w:val="105"/>
          <w:sz w:val="13"/>
        </w:rPr>
        <w:t>462.</w:t>
      </w:r>
    </w:p>
    <w:p>
      <w:pPr>
        <w:pStyle w:val="ListParagraph"/>
        <w:numPr>
          <w:ilvl w:val="0"/>
          <w:numId w:val="24"/>
        </w:numPr>
        <w:tabs>
          <w:tab w:pos="2381" w:val="left" w:leader="none"/>
          <w:tab w:pos="2382" w:val="left" w:leader="none"/>
        </w:tabs>
        <w:spacing w:line="240" w:lineRule="auto" w:before="3" w:after="0"/>
        <w:ind w:left="2381" w:right="0" w:hanging="794"/>
        <w:jc w:val="left"/>
        <w:rPr>
          <w:sz w:val="13"/>
        </w:rPr>
      </w:pPr>
      <w:r>
        <w:rPr>
          <w:i/>
          <w:w w:val="105"/>
          <w:sz w:val="13"/>
        </w:rPr>
        <w:t>Wills Act 1958 </w:t>
      </w:r>
      <w:r>
        <w:rPr>
          <w:spacing w:val="2"/>
          <w:w w:val="105"/>
          <w:sz w:val="13"/>
        </w:rPr>
        <w:t>(Vic) </w:t>
      </w:r>
      <w:r>
        <w:rPr>
          <w:w w:val="105"/>
          <w:sz w:val="13"/>
        </w:rPr>
        <w:t>s </w:t>
      </w:r>
      <w:r>
        <w:rPr>
          <w:spacing w:val="-3"/>
          <w:w w:val="105"/>
          <w:sz w:val="13"/>
        </w:rPr>
        <w:t>13, </w:t>
      </w:r>
      <w:r>
        <w:rPr>
          <w:w w:val="105"/>
          <w:sz w:val="13"/>
        </w:rPr>
        <w:t>as enacted.</w:t>
      </w:r>
    </w:p>
    <w:p>
      <w:pPr>
        <w:pStyle w:val="ListParagraph"/>
        <w:numPr>
          <w:ilvl w:val="0"/>
          <w:numId w:val="24"/>
        </w:numPr>
        <w:tabs>
          <w:tab w:pos="2381" w:val="left" w:leader="none"/>
          <w:tab w:pos="2382" w:val="left" w:leader="none"/>
        </w:tabs>
        <w:spacing w:line="240" w:lineRule="auto" w:before="1" w:after="0"/>
        <w:ind w:left="2381" w:right="0" w:hanging="794"/>
        <w:jc w:val="left"/>
        <w:rPr>
          <w:sz w:val="13"/>
        </w:rPr>
      </w:pPr>
      <w:r>
        <w:rPr>
          <w:i/>
          <w:w w:val="105"/>
          <w:sz w:val="13"/>
        </w:rPr>
        <w:t>Wills</w:t>
      </w:r>
      <w:r>
        <w:rPr>
          <w:i/>
          <w:spacing w:val="3"/>
          <w:w w:val="105"/>
          <w:sz w:val="13"/>
        </w:rPr>
        <w:t> </w:t>
      </w:r>
      <w:r>
        <w:rPr>
          <w:i/>
          <w:w w:val="105"/>
          <w:sz w:val="13"/>
        </w:rPr>
        <w:t>Act</w:t>
      </w:r>
      <w:r>
        <w:rPr>
          <w:i/>
          <w:spacing w:val="4"/>
          <w:w w:val="105"/>
          <w:sz w:val="13"/>
        </w:rPr>
        <w:t> </w:t>
      </w:r>
      <w:r>
        <w:rPr>
          <w:i/>
          <w:w w:val="105"/>
          <w:sz w:val="13"/>
        </w:rPr>
        <w:t>1958</w:t>
      </w:r>
      <w:r>
        <w:rPr>
          <w:i/>
          <w:spacing w:val="4"/>
          <w:w w:val="105"/>
          <w:sz w:val="13"/>
        </w:rPr>
        <w:t> </w:t>
      </w:r>
      <w:r>
        <w:rPr>
          <w:spacing w:val="2"/>
          <w:w w:val="105"/>
          <w:sz w:val="13"/>
        </w:rPr>
        <w:t>(Vic)</w:t>
      </w:r>
      <w:r>
        <w:rPr>
          <w:spacing w:val="5"/>
          <w:w w:val="105"/>
          <w:sz w:val="13"/>
        </w:rPr>
        <w:t> </w:t>
      </w:r>
      <w:r>
        <w:rPr>
          <w:w w:val="105"/>
          <w:sz w:val="13"/>
        </w:rPr>
        <w:t>s</w:t>
      </w:r>
      <w:r>
        <w:rPr>
          <w:spacing w:val="4"/>
          <w:w w:val="105"/>
          <w:sz w:val="13"/>
        </w:rPr>
        <w:t> </w:t>
      </w:r>
      <w:r>
        <w:rPr>
          <w:spacing w:val="2"/>
          <w:w w:val="105"/>
          <w:sz w:val="13"/>
        </w:rPr>
        <w:t>13(3),</w:t>
      </w:r>
      <w:r>
        <w:rPr>
          <w:spacing w:val="5"/>
          <w:w w:val="105"/>
          <w:sz w:val="13"/>
        </w:rPr>
        <w:t> </w:t>
      </w:r>
      <w:r>
        <w:rPr>
          <w:w w:val="105"/>
          <w:sz w:val="13"/>
        </w:rPr>
        <w:t>as</w:t>
      </w:r>
      <w:r>
        <w:rPr>
          <w:spacing w:val="4"/>
          <w:w w:val="105"/>
          <w:sz w:val="13"/>
        </w:rPr>
        <w:t> </w:t>
      </w:r>
      <w:r>
        <w:rPr>
          <w:w w:val="105"/>
          <w:sz w:val="13"/>
        </w:rPr>
        <w:t>amended;</w:t>
      </w:r>
      <w:r>
        <w:rPr>
          <w:spacing w:val="5"/>
          <w:w w:val="105"/>
          <w:sz w:val="13"/>
        </w:rPr>
        <w:t> </w:t>
      </w:r>
      <w:r>
        <w:rPr>
          <w:i/>
          <w:w w:val="105"/>
          <w:sz w:val="13"/>
        </w:rPr>
        <w:t>Administration</w:t>
      </w:r>
      <w:r>
        <w:rPr>
          <w:i/>
          <w:spacing w:val="3"/>
          <w:w w:val="105"/>
          <w:sz w:val="13"/>
        </w:rPr>
        <w:t> </w:t>
      </w:r>
      <w:r>
        <w:rPr>
          <w:i/>
          <w:w w:val="105"/>
          <w:sz w:val="13"/>
        </w:rPr>
        <w:t>and</w:t>
      </w:r>
      <w:r>
        <w:rPr>
          <w:i/>
          <w:spacing w:val="4"/>
          <w:w w:val="105"/>
          <w:sz w:val="13"/>
        </w:rPr>
        <w:t> </w:t>
      </w:r>
      <w:r>
        <w:rPr>
          <w:i/>
          <w:w w:val="105"/>
          <w:sz w:val="13"/>
        </w:rPr>
        <w:t>Probate</w:t>
      </w:r>
      <w:r>
        <w:rPr>
          <w:i/>
          <w:spacing w:val="3"/>
          <w:w w:val="105"/>
          <w:sz w:val="13"/>
        </w:rPr>
        <w:t> </w:t>
      </w:r>
      <w:r>
        <w:rPr>
          <w:i/>
          <w:w w:val="105"/>
          <w:sz w:val="13"/>
        </w:rPr>
        <w:t>Act</w:t>
      </w:r>
      <w:r>
        <w:rPr>
          <w:i/>
          <w:spacing w:val="4"/>
          <w:w w:val="105"/>
          <w:sz w:val="13"/>
        </w:rPr>
        <w:t> </w:t>
      </w:r>
      <w:r>
        <w:rPr>
          <w:i/>
          <w:w w:val="105"/>
          <w:sz w:val="13"/>
        </w:rPr>
        <w:t>1958</w:t>
      </w:r>
      <w:r>
        <w:rPr>
          <w:i/>
          <w:spacing w:val="4"/>
          <w:w w:val="105"/>
          <w:sz w:val="13"/>
        </w:rPr>
        <w:t> </w:t>
      </w:r>
      <w:r>
        <w:rPr>
          <w:spacing w:val="2"/>
          <w:w w:val="105"/>
          <w:sz w:val="13"/>
        </w:rPr>
        <w:t>(Vic)</w:t>
      </w:r>
      <w:r>
        <w:rPr>
          <w:spacing w:val="5"/>
          <w:w w:val="105"/>
          <w:sz w:val="13"/>
        </w:rPr>
        <w:t> </w:t>
      </w:r>
      <w:r>
        <w:rPr>
          <w:w w:val="105"/>
          <w:sz w:val="13"/>
        </w:rPr>
        <w:t>pt</w:t>
      </w:r>
      <w:r>
        <w:rPr>
          <w:spacing w:val="4"/>
          <w:w w:val="105"/>
          <w:sz w:val="13"/>
        </w:rPr>
        <w:t> </w:t>
      </w:r>
      <w:r>
        <w:rPr>
          <w:spacing w:val="-4"/>
          <w:w w:val="105"/>
          <w:sz w:val="13"/>
        </w:rPr>
        <w:t>V.</w:t>
      </w:r>
    </w:p>
    <w:p>
      <w:pPr>
        <w:pStyle w:val="ListParagraph"/>
        <w:numPr>
          <w:ilvl w:val="0"/>
          <w:numId w:val="24"/>
        </w:numPr>
        <w:tabs>
          <w:tab w:pos="2381" w:val="left" w:leader="none"/>
          <w:tab w:pos="2382" w:val="left" w:leader="none"/>
        </w:tabs>
        <w:spacing w:line="240" w:lineRule="auto" w:before="2" w:after="0"/>
        <w:ind w:left="1587" w:right="5710" w:firstLine="0"/>
        <w:jc w:val="left"/>
        <w:rPr>
          <w:sz w:val="13"/>
        </w:rPr>
      </w:pPr>
      <w:r>
        <w:rPr/>
        <w:pict>
          <v:shape style="position:absolute;margin-left:36pt;margin-top:7.380866pt;width:12.8pt;height:14.25pt;mso-position-horizontal-relative:page;mso-position-vertical-relative:paragraph;z-index:1936" type="#_x0000_t202" filled="false" stroked="false">
            <v:textbox inset="0,0,0,0">
              <w:txbxContent>
                <w:p>
                  <w:pPr>
                    <w:spacing w:line="284" w:lineRule="exact" w:before="0"/>
                    <w:ind w:left="0" w:right="0" w:firstLine="0"/>
                    <w:jc w:val="left"/>
                    <w:rPr>
                      <w:b/>
                      <w:sz w:val="24"/>
                    </w:rPr>
                  </w:pPr>
                  <w:r>
                    <w:rPr>
                      <w:b/>
                      <w:color w:val="EC5A4F"/>
                      <w:spacing w:val="-6"/>
                      <w:w w:val="110"/>
                      <w:sz w:val="24"/>
                    </w:rPr>
                    <w:t>10</w:t>
                  </w:r>
                </w:p>
              </w:txbxContent>
            </v:textbox>
            <w10:wrap type="none"/>
          </v:shape>
        </w:pict>
      </w:r>
      <w:r>
        <w:rPr>
          <w:w w:val="105"/>
          <w:sz w:val="13"/>
        </w:rPr>
        <w:t>Law Reform Committee, </w:t>
      </w:r>
      <w:r>
        <w:rPr>
          <w:i/>
          <w:w w:val="105"/>
          <w:sz w:val="13"/>
        </w:rPr>
        <w:t>Reforming the Law of Wills</w:t>
      </w:r>
      <w:r>
        <w:rPr>
          <w:w w:val="105"/>
          <w:sz w:val="13"/>
        </w:rPr>
        <w:t>, above n </w:t>
      </w:r>
      <w:r>
        <w:rPr>
          <w:spacing w:val="-6"/>
          <w:w w:val="105"/>
          <w:sz w:val="13"/>
        </w:rPr>
        <w:t>7, </w:t>
      </w:r>
      <w:r>
        <w:rPr>
          <w:spacing w:val="2"/>
          <w:w w:val="105"/>
          <w:sz w:val="13"/>
        </w:rPr>
        <w:t>94. </w:t>
      </w:r>
      <w:r>
        <w:rPr>
          <w:w w:val="105"/>
          <w:sz w:val="13"/>
        </w:rPr>
        <w:t>52</w:t>
        <w:tab/>
        <w:t>Ibid </w:t>
      </w:r>
      <w:r>
        <w:rPr>
          <w:spacing w:val="3"/>
          <w:w w:val="105"/>
          <w:sz w:val="13"/>
        </w:rPr>
        <w:t>88–9,</w:t>
      </w:r>
      <w:r>
        <w:rPr>
          <w:spacing w:val="9"/>
          <w:w w:val="105"/>
          <w:sz w:val="13"/>
        </w:rPr>
        <w:t> </w:t>
      </w:r>
      <w:r>
        <w:rPr>
          <w:w w:val="105"/>
          <w:sz w:val="13"/>
        </w:rPr>
        <w:t>92.</w:t>
      </w:r>
    </w:p>
    <w:p>
      <w:pPr>
        <w:pStyle w:val="ListParagraph"/>
        <w:numPr>
          <w:ilvl w:val="0"/>
          <w:numId w:val="25"/>
        </w:numPr>
        <w:tabs>
          <w:tab w:pos="2381" w:val="left" w:leader="none"/>
          <w:tab w:pos="2382" w:val="left" w:leader="none"/>
        </w:tabs>
        <w:spacing w:line="240" w:lineRule="auto" w:before="2" w:after="0"/>
        <w:ind w:left="2381" w:right="0" w:hanging="794"/>
        <w:jc w:val="left"/>
        <w:rPr>
          <w:sz w:val="13"/>
        </w:rPr>
      </w:pPr>
      <w:r>
        <w:rPr>
          <w:w w:val="105"/>
          <w:sz w:val="13"/>
        </w:rPr>
        <w:t>Submissions 25 </w:t>
      </w:r>
      <w:r>
        <w:rPr>
          <w:spacing w:val="2"/>
          <w:w w:val="105"/>
          <w:sz w:val="13"/>
        </w:rPr>
        <w:t>(Moores </w:t>
      </w:r>
      <w:r>
        <w:rPr>
          <w:w w:val="105"/>
          <w:sz w:val="13"/>
        </w:rPr>
        <w:t>Legal); 26 </w:t>
      </w:r>
      <w:r>
        <w:rPr>
          <w:spacing w:val="2"/>
          <w:w w:val="105"/>
          <w:sz w:val="13"/>
        </w:rPr>
        <w:t>(Rigby </w:t>
      </w:r>
      <w:r>
        <w:rPr>
          <w:w w:val="105"/>
          <w:sz w:val="13"/>
        </w:rPr>
        <w:t>Cooke</w:t>
      </w:r>
      <w:r>
        <w:rPr>
          <w:spacing w:val="28"/>
          <w:w w:val="105"/>
          <w:sz w:val="13"/>
        </w:rPr>
        <w:t> </w:t>
      </w:r>
      <w:r>
        <w:rPr>
          <w:spacing w:val="2"/>
          <w:w w:val="105"/>
          <w:sz w:val="13"/>
        </w:rPr>
        <w:t>Lawyers).</w:t>
      </w:r>
    </w:p>
    <w:p>
      <w:pPr>
        <w:spacing w:after="0" w:line="240" w:lineRule="auto"/>
        <w:jc w:val="left"/>
        <w:rPr>
          <w:sz w:val="13"/>
        </w:rPr>
        <w:sectPr>
          <w:pgSz w:w="11910" w:h="16840"/>
          <w:pgMar w:header="550" w:footer="0" w:top="1560" w:bottom="280" w:left="0" w:right="0"/>
        </w:sectPr>
      </w:pPr>
    </w:p>
    <w:p>
      <w:pPr>
        <w:pStyle w:val="BodyText"/>
        <w:rPr>
          <w:sz w:val="20"/>
        </w:rPr>
      </w:pPr>
    </w:p>
    <w:p>
      <w:pPr>
        <w:pStyle w:val="BodyText"/>
        <w:spacing w:before="12"/>
        <w:rPr>
          <w:sz w:val="18"/>
        </w:rPr>
      </w:pPr>
    </w:p>
    <w:p>
      <w:pPr>
        <w:pStyle w:val="Heading6"/>
        <w:spacing w:before="100"/>
      </w:pPr>
      <w:r>
        <w:rPr>
          <w:w w:val="115"/>
        </w:rPr>
        <w:t>National Committee for Uniform Succession</w:t>
      </w:r>
      <w:r>
        <w:rPr>
          <w:spacing w:val="-52"/>
          <w:w w:val="115"/>
        </w:rPr>
        <w:t> </w:t>
      </w:r>
      <w:r>
        <w:rPr>
          <w:w w:val="115"/>
        </w:rPr>
        <w:t>Laws</w:t>
      </w:r>
    </w:p>
    <w:p>
      <w:pPr>
        <w:pStyle w:val="ListParagraph"/>
        <w:numPr>
          <w:ilvl w:val="1"/>
          <w:numId w:val="22"/>
        </w:numPr>
        <w:tabs>
          <w:tab w:pos="2380" w:val="left" w:leader="none"/>
          <w:tab w:pos="2381" w:val="left" w:leader="none"/>
        </w:tabs>
        <w:spacing w:line="242" w:lineRule="auto" w:before="151" w:after="0"/>
        <w:ind w:left="2381" w:right="1884" w:hanging="794"/>
        <w:jc w:val="left"/>
        <w:rPr>
          <w:sz w:val="12"/>
        </w:rPr>
      </w:pPr>
      <w:r>
        <w:rPr>
          <w:spacing w:val="-4"/>
          <w:sz w:val="21"/>
        </w:rPr>
        <w:t>At </w:t>
      </w:r>
      <w:r>
        <w:rPr>
          <w:sz w:val="21"/>
        </w:rPr>
        <w:t>the time </w:t>
      </w:r>
      <w:r>
        <w:rPr>
          <w:spacing w:val="-3"/>
          <w:sz w:val="21"/>
        </w:rPr>
        <w:t>that </w:t>
      </w:r>
      <w:r>
        <w:rPr>
          <w:sz w:val="21"/>
        </w:rPr>
        <w:t>the </w:t>
      </w:r>
      <w:r>
        <w:rPr>
          <w:spacing w:val="-3"/>
          <w:sz w:val="21"/>
        </w:rPr>
        <w:t>National Committee for Uniform Succession </w:t>
      </w:r>
      <w:r>
        <w:rPr>
          <w:sz w:val="21"/>
        </w:rPr>
        <w:t>Laws </w:t>
      </w:r>
      <w:r>
        <w:rPr>
          <w:spacing w:val="-3"/>
          <w:sz w:val="21"/>
        </w:rPr>
        <w:t>considered </w:t>
      </w:r>
      <w:r>
        <w:rPr>
          <w:sz w:val="21"/>
        </w:rPr>
        <w:t>the witness-beneficiary </w:t>
      </w:r>
      <w:r>
        <w:rPr>
          <w:spacing w:val="-3"/>
          <w:sz w:val="21"/>
        </w:rPr>
        <w:t>rule, </w:t>
      </w:r>
      <w:r>
        <w:rPr>
          <w:sz w:val="21"/>
        </w:rPr>
        <w:t>two </w:t>
      </w:r>
      <w:r>
        <w:rPr>
          <w:spacing w:val="-3"/>
          <w:sz w:val="21"/>
        </w:rPr>
        <w:t>Australian </w:t>
      </w:r>
      <w:r>
        <w:rPr>
          <w:sz w:val="21"/>
        </w:rPr>
        <w:t>jurisdictions </w:t>
      </w:r>
      <w:r>
        <w:rPr>
          <w:spacing w:val="-2"/>
          <w:sz w:val="21"/>
        </w:rPr>
        <w:t>had </w:t>
      </w:r>
      <w:r>
        <w:rPr>
          <w:sz w:val="21"/>
        </w:rPr>
        <w:t>abolished the rule </w:t>
      </w:r>
      <w:r>
        <w:rPr>
          <w:position w:val="7"/>
          <w:sz w:val="12"/>
        </w:rPr>
        <w:t>54 </w:t>
      </w:r>
      <w:r>
        <w:rPr>
          <w:sz w:val="21"/>
        </w:rPr>
        <w:t>and most others </w:t>
      </w:r>
      <w:r>
        <w:rPr>
          <w:spacing w:val="-2"/>
          <w:sz w:val="21"/>
        </w:rPr>
        <w:t>had </w:t>
      </w:r>
      <w:r>
        <w:rPr>
          <w:sz w:val="21"/>
        </w:rPr>
        <w:t>a modified version of the rule </w:t>
      </w:r>
      <w:r>
        <w:rPr>
          <w:spacing w:val="-3"/>
          <w:sz w:val="21"/>
        </w:rPr>
        <w:t>that allowed for </w:t>
      </w:r>
      <w:r>
        <w:rPr>
          <w:sz w:val="21"/>
        </w:rPr>
        <w:t>some</w:t>
      </w:r>
      <w:r>
        <w:rPr>
          <w:spacing w:val="-6"/>
          <w:sz w:val="21"/>
        </w:rPr>
        <w:t> </w:t>
      </w:r>
      <w:r>
        <w:rPr>
          <w:spacing w:val="-3"/>
          <w:sz w:val="21"/>
        </w:rPr>
        <w:t>exceptions.</w:t>
      </w:r>
      <w:r>
        <w:rPr>
          <w:spacing w:val="-3"/>
          <w:position w:val="7"/>
          <w:sz w:val="12"/>
        </w:rPr>
        <w:t>55</w:t>
      </w:r>
    </w:p>
    <w:p>
      <w:pPr>
        <w:pStyle w:val="ListParagraph"/>
        <w:numPr>
          <w:ilvl w:val="1"/>
          <w:numId w:val="22"/>
        </w:numPr>
        <w:tabs>
          <w:tab w:pos="2381" w:val="left" w:leader="none"/>
          <w:tab w:pos="2382" w:val="left" w:leader="none"/>
        </w:tabs>
        <w:spacing w:line="242" w:lineRule="auto" w:before="123" w:after="0"/>
        <w:ind w:left="2381" w:right="2370" w:hanging="794"/>
        <w:jc w:val="left"/>
        <w:rPr>
          <w:sz w:val="12"/>
        </w:rPr>
      </w:pPr>
      <w:r>
        <w:rPr>
          <w:w w:val="105"/>
          <w:sz w:val="21"/>
        </w:rPr>
        <w:t>While the </w:t>
      </w:r>
      <w:r>
        <w:rPr>
          <w:spacing w:val="-3"/>
          <w:w w:val="105"/>
          <w:sz w:val="21"/>
        </w:rPr>
        <w:t>National Committee </w:t>
      </w:r>
      <w:r>
        <w:rPr>
          <w:w w:val="105"/>
          <w:sz w:val="21"/>
        </w:rPr>
        <w:t>acknowledged some disadvantages of the </w:t>
      </w:r>
      <w:r>
        <w:rPr>
          <w:spacing w:val="-3"/>
          <w:w w:val="105"/>
          <w:sz w:val="21"/>
        </w:rPr>
        <w:t>rule, </w:t>
      </w:r>
      <w:r>
        <w:rPr>
          <w:w w:val="105"/>
          <w:sz w:val="21"/>
        </w:rPr>
        <w:t>it recommended </w:t>
      </w:r>
      <w:r>
        <w:rPr>
          <w:spacing w:val="-3"/>
          <w:w w:val="105"/>
          <w:sz w:val="21"/>
        </w:rPr>
        <w:t>retaining </w:t>
      </w:r>
      <w:r>
        <w:rPr>
          <w:w w:val="105"/>
          <w:sz w:val="21"/>
        </w:rPr>
        <w:t>it in a modified </w:t>
      </w:r>
      <w:r>
        <w:rPr>
          <w:spacing w:val="-3"/>
          <w:w w:val="105"/>
          <w:sz w:val="21"/>
        </w:rPr>
        <w:t>form that allowed for </w:t>
      </w:r>
      <w:r>
        <w:rPr>
          <w:w w:val="105"/>
          <w:sz w:val="21"/>
        </w:rPr>
        <w:t>some</w:t>
      </w:r>
      <w:r>
        <w:rPr>
          <w:spacing w:val="-31"/>
          <w:w w:val="105"/>
          <w:sz w:val="21"/>
        </w:rPr>
        <w:t> </w:t>
      </w:r>
      <w:r>
        <w:rPr>
          <w:spacing w:val="-3"/>
          <w:w w:val="105"/>
          <w:sz w:val="21"/>
        </w:rPr>
        <w:t>exceptions.</w:t>
      </w:r>
      <w:r>
        <w:rPr>
          <w:spacing w:val="-3"/>
          <w:w w:val="105"/>
          <w:position w:val="7"/>
          <w:sz w:val="12"/>
        </w:rPr>
        <w:t>56</w:t>
      </w:r>
    </w:p>
    <w:p>
      <w:pPr>
        <w:pStyle w:val="BodyText"/>
        <w:spacing w:before="2"/>
        <w:ind w:left="2381"/>
      </w:pPr>
      <w:r>
        <w:rPr>
          <w:w w:val="105"/>
        </w:rPr>
        <w:t>It recommended </w:t>
      </w:r>
      <w:r>
        <w:rPr>
          <w:spacing w:val="-3"/>
          <w:w w:val="105"/>
        </w:rPr>
        <w:t>that </w:t>
      </w:r>
      <w:r>
        <w:rPr>
          <w:w w:val="105"/>
        </w:rPr>
        <w:t>a gift </w:t>
      </w:r>
      <w:r>
        <w:rPr>
          <w:spacing w:val="-3"/>
          <w:w w:val="105"/>
        </w:rPr>
        <w:t>to </w:t>
      </w:r>
      <w:r>
        <w:rPr>
          <w:w w:val="105"/>
        </w:rPr>
        <w:t>a witness should </w:t>
      </w:r>
      <w:r>
        <w:rPr>
          <w:spacing w:val="-2"/>
          <w:w w:val="105"/>
        </w:rPr>
        <w:t>not </w:t>
      </w:r>
      <w:r>
        <w:rPr>
          <w:spacing w:val="-4"/>
          <w:w w:val="105"/>
        </w:rPr>
        <w:t>fail </w:t>
      </w:r>
      <w:r>
        <w:rPr>
          <w:w w:val="105"/>
        </w:rPr>
        <w:t>in </w:t>
      </w:r>
      <w:r>
        <w:rPr>
          <w:spacing w:val="-3"/>
          <w:w w:val="105"/>
        </w:rPr>
        <w:t>any </w:t>
      </w:r>
      <w:r>
        <w:rPr>
          <w:w w:val="105"/>
        </w:rPr>
        <w:t>of the </w:t>
      </w:r>
      <w:r>
        <w:rPr>
          <w:spacing w:val="-3"/>
          <w:w w:val="105"/>
        </w:rPr>
        <w:t>following</w:t>
      </w:r>
      <w:r>
        <w:rPr>
          <w:spacing w:val="-30"/>
          <w:w w:val="105"/>
        </w:rPr>
        <w:t> </w:t>
      </w:r>
      <w:r>
        <w:rPr>
          <w:w w:val="105"/>
        </w:rPr>
        <w:t>cases:</w:t>
      </w:r>
    </w:p>
    <w:p>
      <w:pPr>
        <w:pStyle w:val="ListParagraph"/>
        <w:numPr>
          <w:ilvl w:val="2"/>
          <w:numId w:val="22"/>
        </w:numPr>
        <w:tabs>
          <w:tab w:pos="2721" w:val="left" w:leader="none"/>
          <w:tab w:pos="2722" w:val="left" w:leader="none"/>
        </w:tabs>
        <w:spacing w:line="240" w:lineRule="auto" w:before="124" w:after="0"/>
        <w:ind w:left="2721" w:right="0" w:hanging="340"/>
        <w:jc w:val="left"/>
        <w:rPr>
          <w:sz w:val="21"/>
        </w:rPr>
      </w:pPr>
      <w:r>
        <w:rPr>
          <w:sz w:val="21"/>
        </w:rPr>
        <w:t>at least two of the witnesses </w:t>
      </w:r>
      <w:r>
        <w:rPr>
          <w:spacing w:val="-3"/>
          <w:sz w:val="21"/>
        </w:rPr>
        <w:t>are  </w:t>
      </w:r>
      <w:r>
        <w:rPr>
          <w:spacing w:val="-2"/>
          <w:sz w:val="21"/>
        </w:rPr>
        <w:t>not </w:t>
      </w:r>
      <w:r>
        <w:rPr>
          <w:spacing w:val="25"/>
          <w:sz w:val="21"/>
        </w:rPr>
        <w:t> </w:t>
      </w:r>
      <w:r>
        <w:rPr>
          <w:sz w:val="21"/>
        </w:rPr>
        <w:t>beneficiaries</w:t>
      </w:r>
    </w:p>
    <w:p>
      <w:pPr>
        <w:pStyle w:val="ListParagraph"/>
        <w:numPr>
          <w:ilvl w:val="2"/>
          <w:numId w:val="22"/>
        </w:numPr>
        <w:tabs>
          <w:tab w:pos="2721" w:val="left" w:leader="none"/>
          <w:tab w:pos="2722" w:val="left" w:leader="none"/>
        </w:tabs>
        <w:spacing w:line="242" w:lineRule="auto" w:before="103" w:after="0"/>
        <w:ind w:left="2721" w:right="2265" w:hanging="340"/>
        <w:jc w:val="left"/>
        <w:rPr>
          <w:sz w:val="21"/>
        </w:rPr>
      </w:pPr>
      <w:r>
        <w:rPr>
          <w:w w:val="105"/>
          <w:sz w:val="21"/>
        </w:rPr>
        <w:t>everyone</w:t>
      </w:r>
      <w:r>
        <w:rPr>
          <w:spacing w:val="-5"/>
          <w:w w:val="105"/>
          <w:sz w:val="21"/>
        </w:rPr>
        <w:t> </w:t>
      </w:r>
      <w:r>
        <w:rPr>
          <w:w w:val="105"/>
          <w:sz w:val="21"/>
        </w:rPr>
        <w:t>who</w:t>
      </w:r>
      <w:r>
        <w:rPr>
          <w:spacing w:val="-5"/>
          <w:w w:val="105"/>
          <w:sz w:val="21"/>
        </w:rPr>
        <w:t> </w:t>
      </w:r>
      <w:r>
        <w:rPr>
          <w:w w:val="105"/>
          <w:sz w:val="21"/>
        </w:rPr>
        <w:t>would</w:t>
      </w:r>
      <w:r>
        <w:rPr>
          <w:spacing w:val="-4"/>
          <w:w w:val="105"/>
          <w:sz w:val="21"/>
        </w:rPr>
        <w:t> </w:t>
      </w:r>
      <w:r>
        <w:rPr>
          <w:w w:val="105"/>
          <w:sz w:val="21"/>
        </w:rPr>
        <w:t>benefit</w:t>
      </w:r>
      <w:r>
        <w:rPr>
          <w:spacing w:val="-5"/>
          <w:w w:val="105"/>
          <w:sz w:val="21"/>
        </w:rPr>
        <w:t> </w:t>
      </w:r>
      <w:r>
        <w:rPr>
          <w:spacing w:val="-3"/>
          <w:w w:val="105"/>
          <w:sz w:val="21"/>
        </w:rPr>
        <w:t>from</w:t>
      </w:r>
      <w:r>
        <w:rPr>
          <w:spacing w:val="-4"/>
          <w:w w:val="105"/>
          <w:sz w:val="21"/>
        </w:rPr>
        <w:t> </w:t>
      </w:r>
      <w:r>
        <w:rPr>
          <w:w w:val="105"/>
          <w:sz w:val="21"/>
        </w:rPr>
        <w:t>the</w:t>
      </w:r>
      <w:r>
        <w:rPr>
          <w:spacing w:val="-5"/>
          <w:w w:val="105"/>
          <w:sz w:val="21"/>
        </w:rPr>
        <w:t> </w:t>
      </w:r>
      <w:r>
        <w:rPr>
          <w:spacing w:val="-3"/>
          <w:w w:val="105"/>
          <w:sz w:val="21"/>
        </w:rPr>
        <w:t>failed</w:t>
      </w:r>
      <w:r>
        <w:rPr>
          <w:spacing w:val="-5"/>
          <w:w w:val="105"/>
          <w:sz w:val="21"/>
        </w:rPr>
        <w:t> </w:t>
      </w:r>
      <w:r>
        <w:rPr>
          <w:w w:val="105"/>
          <w:sz w:val="21"/>
        </w:rPr>
        <w:t>gift</w:t>
      </w:r>
      <w:r>
        <w:rPr>
          <w:spacing w:val="-4"/>
          <w:w w:val="105"/>
          <w:sz w:val="21"/>
        </w:rPr>
        <w:t> </w:t>
      </w:r>
      <w:r>
        <w:rPr>
          <w:w w:val="105"/>
          <w:sz w:val="21"/>
        </w:rPr>
        <w:t>consents</w:t>
      </w:r>
      <w:r>
        <w:rPr>
          <w:spacing w:val="-5"/>
          <w:w w:val="105"/>
          <w:sz w:val="21"/>
        </w:rPr>
        <w:t> </w:t>
      </w:r>
      <w:r>
        <w:rPr>
          <w:w w:val="105"/>
          <w:sz w:val="21"/>
        </w:rPr>
        <w:t>in</w:t>
      </w:r>
      <w:r>
        <w:rPr>
          <w:spacing w:val="-4"/>
          <w:w w:val="105"/>
          <w:sz w:val="21"/>
        </w:rPr>
        <w:t> </w:t>
      </w:r>
      <w:r>
        <w:rPr>
          <w:w w:val="105"/>
          <w:sz w:val="21"/>
        </w:rPr>
        <w:t>writing</w:t>
      </w:r>
      <w:r>
        <w:rPr>
          <w:spacing w:val="-5"/>
          <w:w w:val="105"/>
          <w:sz w:val="21"/>
        </w:rPr>
        <w:t> </w:t>
      </w:r>
      <w:r>
        <w:rPr>
          <w:spacing w:val="-3"/>
          <w:w w:val="105"/>
          <w:sz w:val="21"/>
        </w:rPr>
        <w:t>to</w:t>
      </w:r>
      <w:r>
        <w:rPr>
          <w:spacing w:val="-5"/>
          <w:w w:val="105"/>
          <w:sz w:val="21"/>
        </w:rPr>
        <w:t> </w:t>
      </w:r>
      <w:r>
        <w:rPr>
          <w:w w:val="105"/>
          <w:sz w:val="21"/>
        </w:rPr>
        <w:t>the</w:t>
      </w:r>
      <w:r>
        <w:rPr>
          <w:spacing w:val="-4"/>
          <w:w w:val="105"/>
          <w:sz w:val="21"/>
        </w:rPr>
        <w:t> </w:t>
      </w:r>
      <w:r>
        <w:rPr>
          <w:w w:val="105"/>
          <w:sz w:val="21"/>
        </w:rPr>
        <w:t>gift </w:t>
      </w:r>
      <w:r>
        <w:rPr>
          <w:spacing w:val="-2"/>
          <w:w w:val="105"/>
          <w:sz w:val="21"/>
        </w:rPr>
        <w:t>not</w:t>
      </w:r>
      <w:r>
        <w:rPr>
          <w:spacing w:val="5"/>
          <w:w w:val="105"/>
          <w:sz w:val="21"/>
        </w:rPr>
        <w:t> </w:t>
      </w:r>
      <w:r>
        <w:rPr>
          <w:spacing w:val="-4"/>
          <w:w w:val="105"/>
          <w:sz w:val="21"/>
        </w:rPr>
        <w:t>failing</w:t>
      </w:r>
    </w:p>
    <w:p>
      <w:pPr>
        <w:pStyle w:val="ListParagraph"/>
        <w:numPr>
          <w:ilvl w:val="2"/>
          <w:numId w:val="22"/>
        </w:numPr>
        <w:tabs>
          <w:tab w:pos="2721" w:val="left" w:leader="none"/>
          <w:tab w:pos="2722" w:val="left" w:leader="none"/>
        </w:tabs>
        <w:spacing w:line="242" w:lineRule="auto" w:before="101" w:after="0"/>
        <w:ind w:left="2721" w:right="2135" w:hanging="340"/>
        <w:jc w:val="left"/>
        <w:rPr>
          <w:sz w:val="12"/>
        </w:rPr>
      </w:pPr>
      <w:r>
        <w:rPr>
          <w:w w:val="105"/>
          <w:sz w:val="21"/>
        </w:rPr>
        <w:t>the court is satisfied </w:t>
      </w:r>
      <w:r>
        <w:rPr>
          <w:spacing w:val="-3"/>
          <w:w w:val="105"/>
          <w:sz w:val="21"/>
        </w:rPr>
        <w:t>that </w:t>
      </w:r>
      <w:r>
        <w:rPr>
          <w:w w:val="105"/>
          <w:sz w:val="21"/>
        </w:rPr>
        <w:t>the </w:t>
      </w:r>
      <w:r>
        <w:rPr>
          <w:spacing w:val="-3"/>
          <w:w w:val="105"/>
          <w:sz w:val="21"/>
        </w:rPr>
        <w:t>will-maker </w:t>
      </w:r>
      <w:r>
        <w:rPr>
          <w:w w:val="105"/>
          <w:sz w:val="21"/>
        </w:rPr>
        <w:t>knew and </w:t>
      </w:r>
      <w:r>
        <w:rPr>
          <w:spacing w:val="-3"/>
          <w:w w:val="105"/>
          <w:sz w:val="21"/>
        </w:rPr>
        <w:t>approved </w:t>
      </w:r>
      <w:r>
        <w:rPr>
          <w:w w:val="105"/>
          <w:sz w:val="21"/>
        </w:rPr>
        <w:t>of the gift and </w:t>
      </w:r>
      <w:r>
        <w:rPr>
          <w:spacing w:val="-3"/>
          <w:w w:val="105"/>
          <w:sz w:val="21"/>
        </w:rPr>
        <w:t>that </w:t>
      </w:r>
      <w:r>
        <w:rPr>
          <w:w w:val="105"/>
          <w:sz w:val="21"/>
        </w:rPr>
        <w:t>it was made freely and </w:t>
      </w:r>
      <w:r>
        <w:rPr>
          <w:spacing w:val="-3"/>
          <w:w w:val="105"/>
          <w:sz w:val="21"/>
        </w:rPr>
        <w:t>voluntarily </w:t>
      </w:r>
      <w:r>
        <w:rPr>
          <w:w w:val="105"/>
          <w:sz w:val="21"/>
        </w:rPr>
        <w:t>by the</w:t>
      </w:r>
      <w:r>
        <w:rPr>
          <w:spacing w:val="30"/>
          <w:w w:val="105"/>
          <w:sz w:val="21"/>
        </w:rPr>
        <w:t> </w:t>
      </w:r>
      <w:r>
        <w:rPr>
          <w:spacing w:val="-4"/>
          <w:w w:val="105"/>
          <w:sz w:val="21"/>
        </w:rPr>
        <w:t>will-maker.</w:t>
      </w:r>
      <w:r>
        <w:rPr>
          <w:spacing w:val="-4"/>
          <w:w w:val="105"/>
          <w:position w:val="7"/>
          <w:sz w:val="12"/>
        </w:rPr>
        <w:t>57</w:t>
      </w:r>
    </w:p>
    <w:p>
      <w:pPr>
        <w:pStyle w:val="BodyText"/>
        <w:spacing w:before="2"/>
        <w:rPr>
          <w:sz w:val="25"/>
        </w:rPr>
      </w:pPr>
    </w:p>
    <w:p>
      <w:pPr>
        <w:pStyle w:val="Heading6"/>
      </w:pPr>
      <w:r>
        <w:rPr>
          <w:w w:val="110"/>
        </w:rPr>
        <w:t>Other jurisdictions</w:t>
      </w:r>
    </w:p>
    <w:p>
      <w:pPr>
        <w:pStyle w:val="ListParagraph"/>
        <w:numPr>
          <w:ilvl w:val="1"/>
          <w:numId w:val="22"/>
        </w:numPr>
        <w:tabs>
          <w:tab w:pos="2381" w:val="left" w:leader="none"/>
          <w:tab w:pos="2382" w:val="left" w:leader="none"/>
        </w:tabs>
        <w:spacing w:line="242" w:lineRule="auto" w:before="151" w:after="0"/>
        <w:ind w:left="2381" w:right="1629" w:hanging="794"/>
        <w:jc w:val="left"/>
        <w:rPr>
          <w:sz w:val="12"/>
        </w:rPr>
      </w:pPr>
      <w:r>
        <w:rPr>
          <w:spacing w:val="-3"/>
          <w:w w:val="105"/>
          <w:sz w:val="21"/>
        </w:rPr>
        <w:t>South </w:t>
      </w:r>
      <w:r>
        <w:rPr>
          <w:spacing w:val="-4"/>
          <w:w w:val="105"/>
          <w:sz w:val="21"/>
        </w:rPr>
        <w:t>Australia, </w:t>
      </w:r>
      <w:r>
        <w:rPr>
          <w:spacing w:val="-3"/>
          <w:w w:val="105"/>
          <w:sz w:val="21"/>
        </w:rPr>
        <w:t>Western </w:t>
      </w:r>
      <w:r>
        <w:rPr>
          <w:spacing w:val="-4"/>
          <w:w w:val="105"/>
          <w:sz w:val="21"/>
        </w:rPr>
        <w:t>Australia </w:t>
      </w:r>
      <w:r>
        <w:rPr>
          <w:spacing w:val="-3"/>
          <w:w w:val="105"/>
          <w:sz w:val="21"/>
        </w:rPr>
        <w:t>and </w:t>
      </w:r>
      <w:r>
        <w:rPr>
          <w:w w:val="105"/>
          <w:sz w:val="21"/>
        </w:rPr>
        <w:t>the </w:t>
      </w:r>
      <w:r>
        <w:rPr>
          <w:spacing w:val="-4"/>
          <w:w w:val="105"/>
          <w:sz w:val="21"/>
        </w:rPr>
        <w:t>Australian Capital Territory have </w:t>
      </w:r>
      <w:r>
        <w:rPr>
          <w:spacing w:val="-3"/>
          <w:w w:val="105"/>
          <w:sz w:val="21"/>
        </w:rPr>
        <w:t>also abolished </w:t>
      </w:r>
      <w:r>
        <w:rPr>
          <w:w w:val="105"/>
          <w:sz w:val="21"/>
        </w:rPr>
        <w:t>the</w:t>
      </w:r>
      <w:r>
        <w:rPr>
          <w:spacing w:val="-8"/>
          <w:w w:val="105"/>
          <w:sz w:val="21"/>
        </w:rPr>
        <w:t> </w:t>
      </w:r>
      <w:r>
        <w:rPr>
          <w:w w:val="105"/>
          <w:sz w:val="21"/>
        </w:rPr>
        <w:t>witness-beneficiary</w:t>
      </w:r>
      <w:r>
        <w:rPr>
          <w:spacing w:val="-8"/>
          <w:w w:val="105"/>
          <w:sz w:val="21"/>
        </w:rPr>
        <w:t> </w:t>
      </w:r>
      <w:r>
        <w:rPr>
          <w:spacing w:val="-4"/>
          <w:w w:val="105"/>
          <w:sz w:val="21"/>
        </w:rPr>
        <w:t>rule,</w:t>
      </w:r>
      <w:r>
        <w:rPr>
          <w:spacing w:val="-8"/>
          <w:w w:val="105"/>
          <w:sz w:val="21"/>
        </w:rPr>
        <w:t> </w:t>
      </w:r>
      <w:r>
        <w:rPr>
          <w:spacing w:val="-4"/>
          <w:w w:val="105"/>
          <w:sz w:val="21"/>
        </w:rPr>
        <w:t>bringing</w:t>
      </w:r>
      <w:r>
        <w:rPr>
          <w:spacing w:val="-7"/>
          <w:w w:val="105"/>
          <w:sz w:val="21"/>
        </w:rPr>
        <w:t> </w:t>
      </w:r>
      <w:r>
        <w:rPr>
          <w:w w:val="105"/>
          <w:sz w:val="21"/>
        </w:rPr>
        <w:t>the</w:t>
      </w:r>
      <w:r>
        <w:rPr>
          <w:spacing w:val="-8"/>
          <w:w w:val="105"/>
          <w:sz w:val="21"/>
        </w:rPr>
        <w:t> </w:t>
      </w:r>
      <w:r>
        <w:rPr>
          <w:spacing w:val="-3"/>
          <w:w w:val="105"/>
          <w:sz w:val="21"/>
        </w:rPr>
        <w:t>number</w:t>
      </w:r>
      <w:r>
        <w:rPr>
          <w:spacing w:val="-8"/>
          <w:w w:val="105"/>
          <w:sz w:val="21"/>
        </w:rPr>
        <w:t> </w:t>
      </w:r>
      <w:r>
        <w:rPr>
          <w:spacing w:val="-3"/>
          <w:w w:val="105"/>
          <w:sz w:val="21"/>
        </w:rPr>
        <w:t>of</w:t>
      </w:r>
      <w:r>
        <w:rPr>
          <w:spacing w:val="-7"/>
          <w:w w:val="105"/>
          <w:sz w:val="21"/>
        </w:rPr>
        <w:t> </w:t>
      </w:r>
      <w:r>
        <w:rPr>
          <w:spacing w:val="-3"/>
          <w:w w:val="105"/>
          <w:sz w:val="21"/>
        </w:rPr>
        <w:t>jurisdictions</w:t>
      </w:r>
      <w:r>
        <w:rPr>
          <w:spacing w:val="-8"/>
          <w:w w:val="105"/>
          <w:sz w:val="21"/>
        </w:rPr>
        <w:t> </w:t>
      </w:r>
      <w:r>
        <w:rPr>
          <w:spacing w:val="-3"/>
          <w:w w:val="105"/>
          <w:sz w:val="21"/>
        </w:rPr>
        <w:t>to</w:t>
      </w:r>
      <w:r>
        <w:rPr>
          <w:spacing w:val="-8"/>
          <w:w w:val="105"/>
          <w:sz w:val="21"/>
        </w:rPr>
        <w:t> </w:t>
      </w:r>
      <w:r>
        <w:rPr>
          <w:spacing w:val="-4"/>
          <w:w w:val="105"/>
          <w:sz w:val="21"/>
        </w:rPr>
        <w:t>have</w:t>
      </w:r>
      <w:r>
        <w:rPr>
          <w:spacing w:val="-7"/>
          <w:w w:val="105"/>
          <w:sz w:val="21"/>
        </w:rPr>
        <w:t> </w:t>
      </w:r>
      <w:r>
        <w:rPr>
          <w:w w:val="105"/>
          <w:sz w:val="21"/>
        </w:rPr>
        <w:t>done</w:t>
      </w:r>
      <w:r>
        <w:rPr>
          <w:spacing w:val="-8"/>
          <w:w w:val="105"/>
          <w:sz w:val="21"/>
        </w:rPr>
        <w:t> </w:t>
      </w:r>
      <w:r>
        <w:rPr>
          <w:w w:val="105"/>
          <w:sz w:val="21"/>
        </w:rPr>
        <w:t>so</w:t>
      </w:r>
      <w:r>
        <w:rPr>
          <w:spacing w:val="-8"/>
          <w:w w:val="105"/>
          <w:sz w:val="21"/>
        </w:rPr>
        <w:t> </w:t>
      </w:r>
      <w:r>
        <w:rPr>
          <w:spacing w:val="-3"/>
          <w:w w:val="105"/>
          <w:sz w:val="21"/>
        </w:rPr>
        <w:t>to</w:t>
      </w:r>
      <w:r>
        <w:rPr>
          <w:spacing w:val="-8"/>
          <w:w w:val="105"/>
          <w:sz w:val="21"/>
        </w:rPr>
        <w:t> </w:t>
      </w:r>
      <w:r>
        <w:rPr>
          <w:spacing w:val="-5"/>
          <w:w w:val="105"/>
          <w:sz w:val="21"/>
        </w:rPr>
        <w:t>four.</w:t>
      </w:r>
      <w:r>
        <w:rPr>
          <w:spacing w:val="-5"/>
          <w:w w:val="105"/>
          <w:position w:val="7"/>
          <w:sz w:val="12"/>
        </w:rPr>
        <w:t>58</w:t>
      </w:r>
    </w:p>
    <w:p>
      <w:pPr>
        <w:pStyle w:val="ListParagraph"/>
        <w:numPr>
          <w:ilvl w:val="1"/>
          <w:numId w:val="22"/>
        </w:numPr>
        <w:tabs>
          <w:tab w:pos="2381" w:val="left" w:leader="none"/>
          <w:tab w:pos="2382" w:val="left" w:leader="none"/>
        </w:tabs>
        <w:spacing w:line="242" w:lineRule="auto" w:before="122" w:after="0"/>
        <w:ind w:left="2381" w:right="1876" w:hanging="794"/>
        <w:jc w:val="left"/>
        <w:rPr>
          <w:sz w:val="12"/>
        </w:rPr>
      </w:pPr>
      <w:r>
        <w:rPr>
          <w:sz w:val="21"/>
        </w:rPr>
        <w:t>In the other </w:t>
      </w:r>
      <w:r>
        <w:rPr>
          <w:spacing w:val="-3"/>
          <w:sz w:val="21"/>
        </w:rPr>
        <w:t>four  Australian  </w:t>
      </w:r>
      <w:r>
        <w:rPr>
          <w:sz w:val="21"/>
        </w:rPr>
        <w:t>jurisdictions, the rule exists in the </w:t>
      </w:r>
      <w:r>
        <w:rPr>
          <w:spacing w:val="-3"/>
          <w:sz w:val="21"/>
        </w:rPr>
        <w:t>form</w:t>
      </w:r>
      <w:r>
        <w:rPr>
          <w:spacing w:val="41"/>
          <w:sz w:val="21"/>
        </w:rPr>
        <w:t> </w:t>
      </w:r>
      <w:r>
        <w:rPr>
          <w:sz w:val="21"/>
        </w:rPr>
        <w:t>recommended by the </w:t>
      </w:r>
      <w:r>
        <w:rPr>
          <w:spacing w:val="-3"/>
          <w:sz w:val="21"/>
        </w:rPr>
        <w:t>National Committee for Uniform Succession </w:t>
      </w:r>
      <w:r>
        <w:rPr>
          <w:sz w:val="21"/>
        </w:rPr>
        <w:t>Laws.</w:t>
      </w:r>
      <w:r>
        <w:rPr>
          <w:position w:val="7"/>
          <w:sz w:val="12"/>
        </w:rPr>
        <w:t>59 </w:t>
      </w:r>
      <w:r>
        <w:rPr>
          <w:sz w:val="21"/>
        </w:rPr>
        <w:t>In a number of cases in those jurisdictions, a witness-beneficiary </w:t>
      </w:r>
      <w:r>
        <w:rPr>
          <w:spacing w:val="-2"/>
          <w:sz w:val="21"/>
        </w:rPr>
        <w:t>has </w:t>
      </w:r>
      <w:r>
        <w:rPr>
          <w:sz w:val="21"/>
        </w:rPr>
        <w:t>been able </w:t>
      </w:r>
      <w:r>
        <w:rPr>
          <w:spacing w:val="-3"/>
          <w:sz w:val="21"/>
        </w:rPr>
        <w:t>to keep </w:t>
      </w:r>
      <w:r>
        <w:rPr>
          <w:sz w:val="21"/>
        </w:rPr>
        <w:t>a gift under a </w:t>
      </w:r>
      <w:r>
        <w:rPr>
          <w:spacing w:val="-3"/>
          <w:sz w:val="21"/>
        </w:rPr>
        <w:t>will </w:t>
      </w:r>
      <w:r>
        <w:rPr>
          <w:sz w:val="21"/>
        </w:rPr>
        <w:t>where they </w:t>
      </w:r>
      <w:r>
        <w:rPr>
          <w:spacing w:val="-3"/>
          <w:sz w:val="21"/>
        </w:rPr>
        <w:t>have </w:t>
      </w:r>
      <w:r>
        <w:rPr>
          <w:sz w:val="21"/>
        </w:rPr>
        <w:t>been able </w:t>
      </w:r>
      <w:r>
        <w:rPr>
          <w:spacing w:val="-3"/>
          <w:sz w:val="21"/>
        </w:rPr>
        <w:t>to demonstrate that </w:t>
      </w:r>
      <w:r>
        <w:rPr>
          <w:sz w:val="21"/>
        </w:rPr>
        <w:t>the </w:t>
      </w:r>
      <w:r>
        <w:rPr>
          <w:spacing w:val="-3"/>
          <w:sz w:val="21"/>
        </w:rPr>
        <w:t>will-maker </w:t>
      </w:r>
      <w:r>
        <w:rPr>
          <w:sz w:val="21"/>
        </w:rPr>
        <w:t>knew and </w:t>
      </w:r>
      <w:r>
        <w:rPr>
          <w:spacing w:val="-3"/>
          <w:sz w:val="21"/>
        </w:rPr>
        <w:t>approved  </w:t>
      </w:r>
      <w:r>
        <w:rPr>
          <w:sz w:val="21"/>
        </w:rPr>
        <w:t>of the gift and  </w:t>
      </w:r>
      <w:r>
        <w:rPr>
          <w:spacing w:val="-3"/>
          <w:sz w:val="21"/>
        </w:rPr>
        <w:t>that </w:t>
      </w:r>
      <w:r>
        <w:rPr>
          <w:sz w:val="21"/>
        </w:rPr>
        <w:t>it was made freely and</w:t>
      </w:r>
      <w:r>
        <w:rPr>
          <w:spacing w:val="8"/>
          <w:sz w:val="21"/>
        </w:rPr>
        <w:t> </w:t>
      </w:r>
      <w:r>
        <w:rPr>
          <w:spacing w:val="-3"/>
          <w:sz w:val="21"/>
        </w:rPr>
        <w:t>voluntarily.</w:t>
      </w:r>
      <w:r>
        <w:rPr>
          <w:spacing w:val="-3"/>
          <w:position w:val="7"/>
          <w:sz w:val="12"/>
        </w:rPr>
        <w:t>60</w:t>
      </w:r>
    </w:p>
    <w:p>
      <w:pPr>
        <w:pStyle w:val="BodyText"/>
        <w:spacing w:before="7"/>
        <w:rPr>
          <w:sz w:val="26"/>
        </w:rPr>
      </w:pPr>
    </w:p>
    <w:p>
      <w:pPr>
        <w:pStyle w:val="Heading6"/>
      </w:pPr>
      <w:r>
        <w:rPr>
          <w:w w:val="115"/>
        </w:rPr>
        <w:t>Views and conclusions</w:t>
      </w:r>
    </w:p>
    <w:p>
      <w:pPr>
        <w:pStyle w:val="ListParagraph"/>
        <w:numPr>
          <w:ilvl w:val="1"/>
          <w:numId w:val="22"/>
        </w:numPr>
        <w:tabs>
          <w:tab w:pos="2381" w:val="left" w:leader="none"/>
        </w:tabs>
        <w:spacing w:line="242" w:lineRule="auto" w:before="151" w:after="0"/>
        <w:ind w:left="2381" w:right="1695" w:hanging="794"/>
        <w:jc w:val="both"/>
        <w:rPr>
          <w:sz w:val="21"/>
        </w:rPr>
      </w:pPr>
      <w:r>
        <w:rPr>
          <w:w w:val="105"/>
          <w:sz w:val="21"/>
        </w:rPr>
        <w:t>The</w:t>
      </w:r>
      <w:r>
        <w:rPr>
          <w:spacing w:val="-8"/>
          <w:w w:val="105"/>
          <w:sz w:val="21"/>
        </w:rPr>
        <w:t> </w:t>
      </w:r>
      <w:r>
        <w:rPr>
          <w:spacing w:val="-4"/>
          <w:w w:val="105"/>
          <w:sz w:val="21"/>
        </w:rPr>
        <w:t>Commission’s</w:t>
      </w:r>
      <w:r>
        <w:rPr>
          <w:spacing w:val="-8"/>
          <w:w w:val="105"/>
          <w:sz w:val="21"/>
        </w:rPr>
        <w:t> </w:t>
      </w:r>
      <w:r>
        <w:rPr>
          <w:spacing w:val="-3"/>
          <w:w w:val="105"/>
          <w:sz w:val="21"/>
        </w:rPr>
        <w:t>consultation</w:t>
      </w:r>
      <w:r>
        <w:rPr>
          <w:spacing w:val="-8"/>
          <w:w w:val="105"/>
          <w:sz w:val="21"/>
        </w:rPr>
        <w:t> </w:t>
      </w:r>
      <w:r>
        <w:rPr>
          <w:w w:val="105"/>
          <w:sz w:val="21"/>
        </w:rPr>
        <w:t>paper</w:t>
      </w:r>
      <w:r>
        <w:rPr>
          <w:spacing w:val="-8"/>
          <w:w w:val="105"/>
          <w:sz w:val="21"/>
        </w:rPr>
        <w:t> </w:t>
      </w:r>
      <w:r>
        <w:rPr>
          <w:w w:val="105"/>
          <w:sz w:val="21"/>
        </w:rPr>
        <w:t>on</w:t>
      </w:r>
      <w:r>
        <w:rPr>
          <w:spacing w:val="-8"/>
          <w:w w:val="105"/>
          <w:sz w:val="21"/>
        </w:rPr>
        <w:t> </w:t>
      </w:r>
      <w:r>
        <w:rPr>
          <w:spacing w:val="-3"/>
          <w:w w:val="105"/>
          <w:sz w:val="21"/>
        </w:rPr>
        <w:t>wills</w:t>
      </w:r>
      <w:r>
        <w:rPr>
          <w:spacing w:val="-8"/>
          <w:w w:val="105"/>
          <w:sz w:val="21"/>
        </w:rPr>
        <w:t> </w:t>
      </w:r>
      <w:r>
        <w:rPr>
          <w:spacing w:val="-3"/>
          <w:w w:val="105"/>
          <w:sz w:val="21"/>
        </w:rPr>
        <w:t>asked</w:t>
      </w:r>
      <w:r>
        <w:rPr>
          <w:spacing w:val="-8"/>
          <w:w w:val="105"/>
          <w:sz w:val="21"/>
        </w:rPr>
        <w:t> </w:t>
      </w:r>
      <w:r>
        <w:rPr>
          <w:w w:val="105"/>
          <w:sz w:val="21"/>
        </w:rPr>
        <w:t>whether</w:t>
      </w:r>
      <w:r>
        <w:rPr>
          <w:spacing w:val="-8"/>
          <w:w w:val="105"/>
          <w:sz w:val="21"/>
        </w:rPr>
        <w:t> </w:t>
      </w:r>
      <w:r>
        <w:rPr>
          <w:w w:val="105"/>
          <w:sz w:val="21"/>
        </w:rPr>
        <w:t>the</w:t>
      </w:r>
      <w:r>
        <w:rPr>
          <w:spacing w:val="-8"/>
          <w:w w:val="105"/>
          <w:sz w:val="21"/>
        </w:rPr>
        <w:t> </w:t>
      </w:r>
      <w:r>
        <w:rPr>
          <w:w w:val="105"/>
          <w:sz w:val="21"/>
        </w:rPr>
        <w:t>witness-beneficiary</w:t>
      </w:r>
      <w:r>
        <w:rPr>
          <w:spacing w:val="-8"/>
          <w:w w:val="105"/>
          <w:sz w:val="21"/>
        </w:rPr>
        <w:t> </w:t>
      </w:r>
      <w:r>
        <w:rPr>
          <w:spacing w:val="-3"/>
          <w:w w:val="105"/>
          <w:sz w:val="21"/>
        </w:rPr>
        <w:t>rule </w:t>
      </w:r>
      <w:r>
        <w:rPr>
          <w:w w:val="105"/>
          <w:sz w:val="21"/>
        </w:rPr>
        <w:t>should</w:t>
      </w:r>
      <w:r>
        <w:rPr>
          <w:spacing w:val="-7"/>
          <w:w w:val="105"/>
          <w:sz w:val="21"/>
        </w:rPr>
        <w:t> </w:t>
      </w:r>
      <w:r>
        <w:rPr>
          <w:w w:val="105"/>
          <w:sz w:val="21"/>
        </w:rPr>
        <w:t>be</w:t>
      </w:r>
      <w:r>
        <w:rPr>
          <w:spacing w:val="-7"/>
          <w:w w:val="105"/>
          <w:sz w:val="21"/>
        </w:rPr>
        <w:t> </w:t>
      </w:r>
      <w:r>
        <w:rPr>
          <w:spacing w:val="-3"/>
          <w:w w:val="105"/>
          <w:sz w:val="21"/>
        </w:rPr>
        <w:t>reintroduced</w:t>
      </w:r>
      <w:r>
        <w:rPr>
          <w:spacing w:val="-6"/>
          <w:w w:val="105"/>
          <w:sz w:val="21"/>
        </w:rPr>
        <w:t> </w:t>
      </w:r>
      <w:r>
        <w:rPr>
          <w:w w:val="105"/>
          <w:sz w:val="21"/>
        </w:rPr>
        <w:t>in</w:t>
      </w:r>
      <w:r>
        <w:rPr>
          <w:spacing w:val="-7"/>
          <w:w w:val="105"/>
          <w:sz w:val="21"/>
        </w:rPr>
        <w:t> </w:t>
      </w:r>
      <w:r>
        <w:rPr>
          <w:w w:val="105"/>
          <w:sz w:val="21"/>
        </w:rPr>
        <w:t>Victoria</w:t>
      </w:r>
      <w:r>
        <w:rPr>
          <w:spacing w:val="-6"/>
          <w:w w:val="105"/>
          <w:sz w:val="21"/>
        </w:rPr>
        <w:t> </w:t>
      </w:r>
      <w:r>
        <w:rPr>
          <w:w w:val="105"/>
          <w:sz w:val="21"/>
        </w:rPr>
        <w:t>in</w:t>
      </w:r>
      <w:r>
        <w:rPr>
          <w:spacing w:val="-7"/>
          <w:w w:val="105"/>
          <w:sz w:val="21"/>
        </w:rPr>
        <w:t> </w:t>
      </w:r>
      <w:r>
        <w:rPr>
          <w:w w:val="105"/>
          <w:sz w:val="21"/>
        </w:rPr>
        <w:t>the</w:t>
      </w:r>
      <w:r>
        <w:rPr>
          <w:spacing w:val="-6"/>
          <w:w w:val="105"/>
          <w:sz w:val="21"/>
        </w:rPr>
        <w:t> </w:t>
      </w:r>
      <w:r>
        <w:rPr>
          <w:spacing w:val="-3"/>
          <w:w w:val="105"/>
          <w:sz w:val="21"/>
        </w:rPr>
        <w:t>form</w:t>
      </w:r>
      <w:r>
        <w:rPr>
          <w:spacing w:val="-7"/>
          <w:w w:val="105"/>
          <w:sz w:val="21"/>
        </w:rPr>
        <w:t> </w:t>
      </w:r>
      <w:r>
        <w:rPr>
          <w:w w:val="105"/>
          <w:sz w:val="21"/>
        </w:rPr>
        <w:t>recommended</w:t>
      </w:r>
      <w:r>
        <w:rPr>
          <w:spacing w:val="-7"/>
          <w:w w:val="105"/>
          <w:sz w:val="21"/>
        </w:rPr>
        <w:t> </w:t>
      </w:r>
      <w:r>
        <w:rPr>
          <w:w w:val="105"/>
          <w:sz w:val="21"/>
        </w:rPr>
        <w:t>by</w:t>
      </w:r>
      <w:r>
        <w:rPr>
          <w:spacing w:val="-6"/>
          <w:w w:val="105"/>
          <w:sz w:val="21"/>
        </w:rPr>
        <w:t> </w:t>
      </w:r>
      <w:r>
        <w:rPr>
          <w:w w:val="105"/>
          <w:sz w:val="21"/>
        </w:rPr>
        <w:t>the</w:t>
      </w:r>
      <w:r>
        <w:rPr>
          <w:spacing w:val="-7"/>
          <w:w w:val="105"/>
          <w:sz w:val="21"/>
        </w:rPr>
        <w:t> </w:t>
      </w:r>
      <w:r>
        <w:rPr>
          <w:spacing w:val="-3"/>
          <w:w w:val="105"/>
          <w:sz w:val="21"/>
        </w:rPr>
        <w:t>National</w:t>
      </w:r>
      <w:r>
        <w:rPr>
          <w:spacing w:val="-6"/>
          <w:w w:val="105"/>
          <w:sz w:val="21"/>
        </w:rPr>
        <w:t> </w:t>
      </w:r>
      <w:r>
        <w:rPr>
          <w:spacing w:val="-3"/>
          <w:w w:val="105"/>
          <w:sz w:val="21"/>
        </w:rPr>
        <w:t>Committee for Uniform Succession</w:t>
      </w:r>
      <w:r>
        <w:rPr>
          <w:spacing w:val="22"/>
          <w:w w:val="105"/>
          <w:sz w:val="21"/>
        </w:rPr>
        <w:t> </w:t>
      </w:r>
      <w:r>
        <w:rPr>
          <w:w w:val="105"/>
          <w:sz w:val="21"/>
        </w:rPr>
        <w:t>Laws.</w:t>
      </w:r>
    </w:p>
    <w:p>
      <w:pPr>
        <w:pStyle w:val="ListParagraph"/>
        <w:numPr>
          <w:ilvl w:val="1"/>
          <w:numId w:val="22"/>
        </w:numPr>
        <w:tabs>
          <w:tab w:pos="2380" w:val="left" w:leader="none"/>
          <w:tab w:pos="2381" w:val="left" w:leader="none"/>
        </w:tabs>
        <w:spacing w:line="242" w:lineRule="auto" w:before="124" w:after="0"/>
        <w:ind w:left="2381" w:right="1801" w:hanging="794"/>
        <w:jc w:val="left"/>
        <w:rPr>
          <w:sz w:val="21"/>
        </w:rPr>
      </w:pPr>
      <w:r>
        <w:rPr>
          <w:w w:val="105"/>
          <w:sz w:val="21"/>
        </w:rPr>
        <w:t>The </w:t>
      </w:r>
      <w:r>
        <w:rPr>
          <w:spacing w:val="-3"/>
          <w:w w:val="105"/>
          <w:sz w:val="21"/>
        </w:rPr>
        <w:t>Commission </w:t>
      </w:r>
      <w:r>
        <w:rPr>
          <w:w w:val="105"/>
          <w:sz w:val="21"/>
        </w:rPr>
        <w:t>received mixed views on the </w:t>
      </w:r>
      <w:r>
        <w:rPr>
          <w:spacing w:val="-3"/>
          <w:w w:val="105"/>
          <w:sz w:val="21"/>
        </w:rPr>
        <w:t>desirability </w:t>
      </w:r>
      <w:r>
        <w:rPr>
          <w:w w:val="105"/>
          <w:sz w:val="21"/>
        </w:rPr>
        <w:t>of this </w:t>
      </w:r>
      <w:r>
        <w:rPr>
          <w:spacing w:val="-4"/>
          <w:w w:val="105"/>
          <w:sz w:val="21"/>
        </w:rPr>
        <w:t>change.</w:t>
      </w:r>
      <w:r>
        <w:rPr>
          <w:spacing w:val="-4"/>
          <w:w w:val="105"/>
          <w:position w:val="7"/>
          <w:sz w:val="12"/>
        </w:rPr>
        <w:t>61 </w:t>
      </w:r>
      <w:r>
        <w:rPr>
          <w:w w:val="105"/>
          <w:sz w:val="21"/>
        </w:rPr>
        <w:t>The </w:t>
      </w:r>
      <w:r>
        <w:rPr>
          <w:spacing w:val="-3"/>
          <w:w w:val="105"/>
          <w:sz w:val="21"/>
        </w:rPr>
        <w:t>following reasons were </w:t>
      </w:r>
      <w:r>
        <w:rPr>
          <w:w w:val="105"/>
          <w:sz w:val="21"/>
        </w:rPr>
        <w:t>given in </w:t>
      </w:r>
      <w:r>
        <w:rPr>
          <w:spacing w:val="-3"/>
          <w:w w:val="105"/>
          <w:sz w:val="21"/>
        </w:rPr>
        <w:t>favour </w:t>
      </w:r>
      <w:r>
        <w:rPr>
          <w:w w:val="105"/>
          <w:sz w:val="21"/>
        </w:rPr>
        <w:t>of</w:t>
      </w:r>
      <w:r>
        <w:rPr>
          <w:spacing w:val="33"/>
          <w:w w:val="105"/>
          <w:sz w:val="21"/>
        </w:rPr>
        <w:t> </w:t>
      </w:r>
      <w:r>
        <w:rPr>
          <w:w w:val="105"/>
          <w:sz w:val="21"/>
        </w:rPr>
        <w:t>reintroduction:</w:t>
      </w:r>
    </w:p>
    <w:p>
      <w:pPr>
        <w:pStyle w:val="ListParagraph"/>
        <w:numPr>
          <w:ilvl w:val="2"/>
          <w:numId w:val="22"/>
        </w:numPr>
        <w:tabs>
          <w:tab w:pos="2721" w:val="left" w:leader="none"/>
          <w:tab w:pos="2722" w:val="left" w:leader="none"/>
        </w:tabs>
        <w:spacing w:line="240" w:lineRule="auto" w:before="122" w:after="0"/>
        <w:ind w:left="2721" w:right="0" w:hanging="340"/>
        <w:jc w:val="left"/>
        <w:rPr>
          <w:sz w:val="12"/>
        </w:rPr>
      </w:pPr>
      <w:r>
        <w:rPr>
          <w:spacing w:val="-3"/>
          <w:w w:val="105"/>
          <w:sz w:val="21"/>
        </w:rPr>
        <w:t>Reintroducing </w:t>
      </w:r>
      <w:r>
        <w:rPr>
          <w:w w:val="105"/>
          <w:sz w:val="21"/>
        </w:rPr>
        <w:t>the rule </w:t>
      </w:r>
      <w:r>
        <w:rPr>
          <w:spacing w:val="-3"/>
          <w:w w:val="105"/>
          <w:sz w:val="21"/>
        </w:rPr>
        <w:t>could minimise </w:t>
      </w:r>
      <w:r>
        <w:rPr>
          <w:w w:val="105"/>
          <w:sz w:val="21"/>
        </w:rPr>
        <w:t>the risk of </w:t>
      </w:r>
      <w:r>
        <w:rPr>
          <w:spacing w:val="-3"/>
          <w:w w:val="105"/>
          <w:sz w:val="21"/>
        </w:rPr>
        <w:t>undue</w:t>
      </w:r>
      <w:r>
        <w:rPr>
          <w:spacing w:val="2"/>
          <w:w w:val="105"/>
          <w:sz w:val="21"/>
        </w:rPr>
        <w:t> </w:t>
      </w:r>
      <w:r>
        <w:rPr>
          <w:spacing w:val="-3"/>
          <w:w w:val="105"/>
          <w:sz w:val="21"/>
        </w:rPr>
        <w:t>influence.</w:t>
      </w:r>
      <w:r>
        <w:rPr>
          <w:spacing w:val="-3"/>
          <w:w w:val="105"/>
          <w:position w:val="7"/>
          <w:sz w:val="12"/>
        </w:rPr>
        <w:t>62</w:t>
      </w:r>
    </w:p>
    <w:p>
      <w:pPr>
        <w:pStyle w:val="ListParagraph"/>
        <w:numPr>
          <w:ilvl w:val="2"/>
          <w:numId w:val="22"/>
        </w:numPr>
        <w:tabs>
          <w:tab w:pos="2721" w:val="left" w:leader="none"/>
          <w:tab w:pos="2722" w:val="left" w:leader="none"/>
        </w:tabs>
        <w:spacing w:line="242" w:lineRule="auto" w:before="103" w:after="0"/>
        <w:ind w:left="2721" w:right="2157" w:hanging="340"/>
        <w:jc w:val="left"/>
        <w:rPr>
          <w:sz w:val="12"/>
        </w:rPr>
      </w:pPr>
      <w:r>
        <w:rPr>
          <w:spacing w:val="-3"/>
          <w:w w:val="105"/>
          <w:sz w:val="21"/>
        </w:rPr>
        <w:t>Smaller </w:t>
      </w:r>
      <w:r>
        <w:rPr>
          <w:w w:val="105"/>
          <w:sz w:val="21"/>
        </w:rPr>
        <w:t>estates </w:t>
      </w:r>
      <w:r>
        <w:rPr>
          <w:spacing w:val="-3"/>
          <w:w w:val="105"/>
          <w:sz w:val="21"/>
        </w:rPr>
        <w:t>cannot </w:t>
      </w:r>
      <w:r>
        <w:rPr>
          <w:w w:val="105"/>
          <w:sz w:val="21"/>
        </w:rPr>
        <w:t>bear the cost of a </w:t>
      </w:r>
      <w:r>
        <w:rPr>
          <w:spacing w:val="-3"/>
          <w:w w:val="105"/>
          <w:sz w:val="21"/>
        </w:rPr>
        <w:t>challenge to </w:t>
      </w:r>
      <w:r>
        <w:rPr>
          <w:w w:val="105"/>
          <w:sz w:val="21"/>
        </w:rPr>
        <w:t>a </w:t>
      </w:r>
      <w:r>
        <w:rPr>
          <w:spacing w:val="-3"/>
          <w:w w:val="105"/>
          <w:sz w:val="21"/>
        </w:rPr>
        <w:t>will </w:t>
      </w:r>
      <w:r>
        <w:rPr>
          <w:w w:val="105"/>
          <w:sz w:val="21"/>
        </w:rPr>
        <w:t>based on </w:t>
      </w:r>
      <w:r>
        <w:rPr>
          <w:spacing w:val="-3"/>
          <w:w w:val="105"/>
          <w:sz w:val="21"/>
        </w:rPr>
        <w:t>suspicious circumstances </w:t>
      </w:r>
      <w:r>
        <w:rPr>
          <w:w w:val="105"/>
          <w:sz w:val="21"/>
        </w:rPr>
        <w:t>or </w:t>
      </w:r>
      <w:r>
        <w:rPr>
          <w:spacing w:val="-3"/>
          <w:w w:val="105"/>
          <w:sz w:val="21"/>
        </w:rPr>
        <w:t>undue</w:t>
      </w:r>
      <w:r>
        <w:rPr>
          <w:spacing w:val="19"/>
          <w:w w:val="105"/>
          <w:sz w:val="21"/>
        </w:rPr>
        <w:t> </w:t>
      </w:r>
      <w:r>
        <w:rPr>
          <w:spacing w:val="-3"/>
          <w:w w:val="105"/>
          <w:sz w:val="21"/>
        </w:rPr>
        <w:t>influence.</w:t>
      </w:r>
      <w:r>
        <w:rPr>
          <w:spacing w:val="-3"/>
          <w:w w:val="105"/>
          <w:position w:val="7"/>
          <w:sz w:val="12"/>
        </w:rPr>
        <w:t>63</w:t>
      </w:r>
    </w:p>
    <w:p>
      <w:pPr>
        <w:pStyle w:val="ListParagraph"/>
        <w:numPr>
          <w:ilvl w:val="2"/>
          <w:numId w:val="22"/>
        </w:numPr>
        <w:tabs>
          <w:tab w:pos="2721" w:val="left" w:leader="none"/>
          <w:tab w:pos="2722" w:val="left" w:leader="none"/>
        </w:tabs>
        <w:spacing w:line="240" w:lineRule="auto" w:before="101" w:after="0"/>
        <w:ind w:left="2721" w:right="0" w:hanging="340"/>
        <w:jc w:val="left"/>
        <w:rPr>
          <w:sz w:val="12"/>
        </w:rPr>
      </w:pPr>
      <w:r>
        <w:rPr>
          <w:spacing w:val="-4"/>
          <w:w w:val="105"/>
          <w:sz w:val="21"/>
        </w:rPr>
        <w:t>Other legal documents </w:t>
      </w:r>
      <w:r>
        <w:rPr>
          <w:spacing w:val="-5"/>
          <w:w w:val="105"/>
          <w:sz w:val="21"/>
        </w:rPr>
        <w:t>require independent </w:t>
      </w:r>
      <w:r>
        <w:rPr>
          <w:spacing w:val="-4"/>
          <w:w w:val="105"/>
          <w:sz w:val="21"/>
        </w:rPr>
        <w:t>witnesses, </w:t>
      </w:r>
      <w:r>
        <w:rPr>
          <w:spacing w:val="-3"/>
          <w:w w:val="105"/>
          <w:sz w:val="21"/>
        </w:rPr>
        <w:t>in </w:t>
      </w:r>
      <w:r>
        <w:rPr>
          <w:spacing w:val="-5"/>
          <w:w w:val="105"/>
          <w:sz w:val="21"/>
        </w:rPr>
        <w:t>particular </w:t>
      </w:r>
      <w:r>
        <w:rPr>
          <w:spacing w:val="-4"/>
          <w:w w:val="105"/>
          <w:sz w:val="21"/>
        </w:rPr>
        <w:t>powers </w:t>
      </w:r>
      <w:r>
        <w:rPr>
          <w:spacing w:val="-3"/>
          <w:w w:val="105"/>
          <w:sz w:val="21"/>
        </w:rPr>
        <w:t>of</w:t>
      </w:r>
      <w:r>
        <w:rPr>
          <w:spacing w:val="11"/>
          <w:w w:val="105"/>
          <w:sz w:val="21"/>
        </w:rPr>
        <w:t> </w:t>
      </w:r>
      <w:r>
        <w:rPr>
          <w:spacing w:val="-5"/>
          <w:w w:val="105"/>
          <w:sz w:val="21"/>
        </w:rPr>
        <w:t>attorney.</w:t>
      </w:r>
      <w:r>
        <w:rPr>
          <w:spacing w:val="-5"/>
          <w:w w:val="105"/>
          <w:position w:val="7"/>
          <w:sz w:val="12"/>
        </w:rPr>
        <w:t>64</w:t>
      </w:r>
    </w:p>
    <w:p>
      <w:pPr>
        <w:pStyle w:val="ListParagraph"/>
        <w:numPr>
          <w:ilvl w:val="2"/>
          <w:numId w:val="22"/>
        </w:numPr>
        <w:tabs>
          <w:tab w:pos="2721" w:val="left" w:leader="none"/>
          <w:tab w:pos="2722" w:val="left" w:leader="none"/>
        </w:tabs>
        <w:spacing w:line="240" w:lineRule="auto" w:before="103" w:after="0"/>
        <w:ind w:left="2721" w:right="0" w:hanging="340"/>
        <w:jc w:val="left"/>
        <w:rPr>
          <w:sz w:val="12"/>
        </w:rPr>
      </w:pPr>
      <w:r>
        <w:rPr>
          <w:spacing w:val="-3"/>
          <w:w w:val="105"/>
          <w:sz w:val="21"/>
        </w:rPr>
        <w:t>Reintroducing </w:t>
      </w:r>
      <w:r>
        <w:rPr>
          <w:w w:val="105"/>
          <w:sz w:val="21"/>
        </w:rPr>
        <w:t>the rule would </w:t>
      </w:r>
      <w:r>
        <w:rPr>
          <w:spacing w:val="-3"/>
          <w:w w:val="105"/>
          <w:sz w:val="21"/>
        </w:rPr>
        <w:t>promote national</w:t>
      </w:r>
      <w:r>
        <w:rPr>
          <w:spacing w:val="33"/>
          <w:w w:val="105"/>
          <w:sz w:val="21"/>
        </w:rPr>
        <w:t> </w:t>
      </w:r>
      <w:r>
        <w:rPr>
          <w:spacing w:val="-3"/>
          <w:w w:val="105"/>
          <w:sz w:val="21"/>
        </w:rPr>
        <w:t>consistency.</w:t>
      </w:r>
      <w:r>
        <w:rPr>
          <w:spacing w:val="-3"/>
          <w:w w:val="105"/>
          <w:position w:val="7"/>
          <w:sz w:val="12"/>
        </w:rPr>
        <w:t>65</w:t>
      </w:r>
    </w:p>
    <w:p>
      <w:pPr>
        <w:pStyle w:val="ListParagraph"/>
        <w:numPr>
          <w:ilvl w:val="2"/>
          <w:numId w:val="22"/>
        </w:numPr>
        <w:tabs>
          <w:tab w:pos="2721" w:val="left" w:leader="none"/>
          <w:tab w:pos="2722" w:val="left" w:leader="none"/>
        </w:tabs>
        <w:spacing w:line="242" w:lineRule="auto" w:before="103" w:after="0"/>
        <w:ind w:left="2721" w:right="2095" w:hanging="340"/>
        <w:jc w:val="left"/>
        <w:rPr>
          <w:sz w:val="12"/>
        </w:rPr>
      </w:pPr>
      <w:r>
        <w:rPr>
          <w:w w:val="105"/>
          <w:sz w:val="21"/>
        </w:rPr>
        <w:t>There</w:t>
      </w:r>
      <w:r>
        <w:rPr>
          <w:spacing w:val="-10"/>
          <w:w w:val="105"/>
          <w:sz w:val="21"/>
        </w:rPr>
        <w:t> </w:t>
      </w:r>
      <w:r>
        <w:rPr>
          <w:w w:val="105"/>
          <w:sz w:val="21"/>
        </w:rPr>
        <w:t>would</w:t>
      </w:r>
      <w:r>
        <w:rPr>
          <w:spacing w:val="-10"/>
          <w:w w:val="105"/>
          <w:sz w:val="21"/>
        </w:rPr>
        <w:t> </w:t>
      </w:r>
      <w:r>
        <w:rPr>
          <w:w w:val="105"/>
          <w:sz w:val="21"/>
        </w:rPr>
        <w:t>be</w:t>
      </w:r>
      <w:r>
        <w:rPr>
          <w:spacing w:val="-10"/>
          <w:w w:val="105"/>
          <w:sz w:val="21"/>
        </w:rPr>
        <w:t> </w:t>
      </w:r>
      <w:r>
        <w:rPr>
          <w:w w:val="105"/>
          <w:sz w:val="21"/>
        </w:rPr>
        <w:t>more</w:t>
      </w:r>
      <w:r>
        <w:rPr>
          <w:spacing w:val="-10"/>
          <w:w w:val="105"/>
          <w:sz w:val="21"/>
        </w:rPr>
        <w:t> </w:t>
      </w:r>
      <w:r>
        <w:rPr>
          <w:w w:val="105"/>
          <w:sz w:val="21"/>
        </w:rPr>
        <w:t>opportunity</w:t>
      </w:r>
      <w:r>
        <w:rPr>
          <w:spacing w:val="-10"/>
          <w:w w:val="105"/>
          <w:sz w:val="21"/>
        </w:rPr>
        <w:t> </w:t>
      </w:r>
      <w:r>
        <w:rPr>
          <w:spacing w:val="-3"/>
          <w:w w:val="105"/>
          <w:sz w:val="21"/>
        </w:rPr>
        <w:t>for</w:t>
      </w:r>
      <w:r>
        <w:rPr>
          <w:spacing w:val="-10"/>
          <w:w w:val="105"/>
          <w:sz w:val="21"/>
        </w:rPr>
        <w:t> </w:t>
      </w:r>
      <w:r>
        <w:rPr>
          <w:w w:val="105"/>
          <w:sz w:val="21"/>
        </w:rPr>
        <w:t>independent</w:t>
      </w:r>
      <w:r>
        <w:rPr>
          <w:spacing w:val="-10"/>
          <w:w w:val="105"/>
          <w:sz w:val="21"/>
        </w:rPr>
        <w:t> </w:t>
      </w:r>
      <w:r>
        <w:rPr>
          <w:spacing w:val="-3"/>
          <w:w w:val="105"/>
          <w:sz w:val="21"/>
        </w:rPr>
        <w:t>scrutiny</w:t>
      </w:r>
      <w:r>
        <w:rPr>
          <w:spacing w:val="-10"/>
          <w:w w:val="105"/>
          <w:sz w:val="21"/>
        </w:rPr>
        <w:t> </w:t>
      </w:r>
      <w:r>
        <w:rPr>
          <w:w w:val="105"/>
          <w:sz w:val="21"/>
        </w:rPr>
        <w:t>of</w:t>
      </w:r>
      <w:r>
        <w:rPr>
          <w:spacing w:val="-10"/>
          <w:w w:val="105"/>
          <w:sz w:val="21"/>
        </w:rPr>
        <w:t> </w:t>
      </w:r>
      <w:r>
        <w:rPr>
          <w:w w:val="105"/>
          <w:sz w:val="21"/>
        </w:rPr>
        <w:t>a</w:t>
      </w:r>
      <w:r>
        <w:rPr>
          <w:spacing w:val="-10"/>
          <w:w w:val="105"/>
          <w:sz w:val="21"/>
        </w:rPr>
        <w:t> </w:t>
      </w:r>
      <w:r>
        <w:rPr>
          <w:spacing w:val="-3"/>
          <w:w w:val="105"/>
          <w:sz w:val="21"/>
        </w:rPr>
        <w:t>will</w:t>
      </w:r>
      <w:r>
        <w:rPr>
          <w:spacing w:val="-9"/>
          <w:w w:val="105"/>
          <w:sz w:val="21"/>
        </w:rPr>
        <w:t> </w:t>
      </w:r>
      <w:r>
        <w:rPr>
          <w:w w:val="105"/>
          <w:sz w:val="21"/>
        </w:rPr>
        <w:t>where</w:t>
      </w:r>
      <w:r>
        <w:rPr>
          <w:spacing w:val="-10"/>
          <w:w w:val="105"/>
          <w:sz w:val="21"/>
        </w:rPr>
        <w:t> </w:t>
      </w:r>
      <w:r>
        <w:rPr>
          <w:w w:val="105"/>
          <w:sz w:val="21"/>
        </w:rPr>
        <w:t>there </w:t>
      </w:r>
      <w:r>
        <w:rPr>
          <w:spacing w:val="-3"/>
          <w:w w:val="105"/>
          <w:sz w:val="21"/>
        </w:rPr>
        <w:t>are </w:t>
      </w:r>
      <w:r>
        <w:rPr>
          <w:w w:val="105"/>
          <w:sz w:val="21"/>
        </w:rPr>
        <w:t>two independent</w:t>
      </w:r>
      <w:r>
        <w:rPr>
          <w:spacing w:val="17"/>
          <w:w w:val="105"/>
          <w:sz w:val="21"/>
        </w:rPr>
        <w:t> </w:t>
      </w:r>
      <w:r>
        <w:rPr>
          <w:w w:val="105"/>
          <w:sz w:val="21"/>
        </w:rPr>
        <w:t>witnesses.</w:t>
      </w:r>
      <w:r>
        <w:rPr>
          <w:w w:val="105"/>
          <w:position w:val="7"/>
          <w:sz w:val="12"/>
        </w:rPr>
        <w:t>66</w:t>
      </w:r>
    </w:p>
    <w:p>
      <w:pPr>
        <w:pStyle w:val="ListParagraph"/>
        <w:numPr>
          <w:ilvl w:val="2"/>
          <w:numId w:val="22"/>
        </w:numPr>
        <w:tabs>
          <w:tab w:pos="2721" w:val="left" w:leader="none"/>
          <w:tab w:pos="2722" w:val="left" w:leader="none"/>
        </w:tabs>
        <w:spacing w:line="242" w:lineRule="auto" w:before="101" w:after="0"/>
        <w:ind w:left="2721" w:right="1734" w:hanging="340"/>
        <w:jc w:val="left"/>
        <w:rPr>
          <w:sz w:val="12"/>
        </w:rPr>
      </w:pPr>
      <w:r>
        <w:rPr>
          <w:sz w:val="21"/>
        </w:rPr>
        <w:t>Due </w:t>
      </w:r>
      <w:r>
        <w:rPr>
          <w:spacing w:val="-3"/>
          <w:sz w:val="21"/>
        </w:rPr>
        <w:t>to </w:t>
      </w:r>
      <w:r>
        <w:rPr>
          <w:sz w:val="21"/>
        </w:rPr>
        <w:t>the </w:t>
      </w:r>
      <w:r>
        <w:rPr>
          <w:spacing w:val="-3"/>
          <w:sz w:val="21"/>
        </w:rPr>
        <w:t>exceptions to </w:t>
      </w:r>
      <w:r>
        <w:rPr>
          <w:sz w:val="21"/>
        </w:rPr>
        <w:t>the </w:t>
      </w:r>
      <w:r>
        <w:rPr>
          <w:spacing w:val="-3"/>
          <w:sz w:val="21"/>
        </w:rPr>
        <w:t>rule, </w:t>
      </w:r>
      <w:r>
        <w:rPr>
          <w:sz w:val="21"/>
        </w:rPr>
        <w:t>where a witness is properly left a gift it </w:t>
      </w:r>
      <w:r>
        <w:rPr>
          <w:spacing w:val="-3"/>
          <w:sz w:val="21"/>
        </w:rPr>
        <w:t>will </w:t>
      </w:r>
      <w:r>
        <w:rPr>
          <w:sz w:val="21"/>
        </w:rPr>
        <w:t>survive either</w:t>
      </w:r>
      <w:r>
        <w:rPr>
          <w:spacing w:val="9"/>
          <w:sz w:val="21"/>
        </w:rPr>
        <w:t> </w:t>
      </w:r>
      <w:r>
        <w:rPr>
          <w:sz w:val="21"/>
        </w:rPr>
        <w:t>by</w:t>
      </w:r>
      <w:r>
        <w:rPr>
          <w:spacing w:val="10"/>
          <w:sz w:val="21"/>
        </w:rPr>
        <w:t> </w:t>
      </w:r>
      <w:r>
        <w:rPr>
          <w:spacing w:val="-3"/>
          <w:sz w:val="21"/>
        </w:rPr>
        <w:t>consent</w:t>
      </w:r>
      <w:r>
        <w:rPr>
          <w:spacing w:val="9"/>
          <w:sz w:val="21"/>
        </w:rPr>
        <w:t> </w:t>
      </w:r>
      <w:r>
        <w:rPr>
          <w:sz w:val="21"/>
        </w:rPr>
        <w:t>of</w:t>
      </w:r>
      <w:r>
        <w:rPr>
          <w:spacing w:val="10"/>
          <w:sz w:val="21"/>
        </w:rPr>
        <w:t> </w:t>
      </w:r>
      <w:r>
        <w:rPr>
          <w:sz w:val="21"/>
        </w:rPr>
        <w:t>the</w:t>
      </w:r>
      <w:r>
        <w:rPr>
          <w:spacing w:val="9"/>
          <w:sz w:val="21"/>
        </w:rPr>
        <w:t> </w:t>
      </w:r>
      <w:r>
        <w:rPr>
          <w:sz w:val="21"/>
        </w:rPr>
        <w:t>other</w:t>
      </w:r>
      <w:r>
        <w:rPr>
          <w:spacing w:val="10"/>
          <w:sz w:val="21"/>
        </w:rPr>
        <w:t> </w:t>
      </w:r>
      <w:r>
        <w:rPr>
          <w:sz w:val="21"/>
        </w:rPr>
        <w:t>beneficiaries</w:t>
      </w:r>
      <w:r>
        <w:rPr>
          <w:spacing w:val="9"/>
          <w:sz w:val="21"/>
        </w:rPr>
        <w:t> </w:t>
      </w:r>
      <w:r>
        <w:rPr>
          <w:sz w:val="21"/>
        </w:rPr>
        <w:t>or</w:t>
      </w:r>
      <w:r>
        <w:rPr>
          <w:spacing w:val="10"/>
          <w:sz w:val="21"/>
        </w:rPr>
        <w:t> </w:t>
      </w:r>
      <w:r>
        <w:rPr>
          <w:sz w:val="21"/>
        </w:rPr>
        <w:t>by</w:t>
      </w:r>
      <w:r>
        <w:rPr>
          <w:spacing w:val="9"/>
          <w:sz w:val="21"/>
        </w:rPr>
        <w:t> </w:t>
      </w:r>
      <w:r>
        <w:rPr>
          <w:sz w:val="21"/>
        </w:rPr>
        <w:t>court</w:t>
      </w:r>
      <w:r>
        <w:rPr>
          <w:spacing w:val="10"/>
          <w:sz w:val="21"/>
        </w:rPr>
        <w:t> </w:t>
      </w:r>
      <w:r>
        <w:rPr>
          <w:spacing w:val="-4"/>
          <w:sz w:val="21"/>
        </w:rPr>
        <w:t>order.</w:t>
      </w:r>
      <w:r>
        <w:rPr>
          <w:spacing w:val="-4"/>
          <w:position w:val="7"/>
          <w:sz w:val="12"/>
        </w:rPr>
        <w:t>67</w:t>
      </w:r>
    </w:p>
    <w:p>
      <w:pPr>
        <w:pStyle w:val="BodyText"/>
        <w:spacing w:before="11"/>
        <w:rPr>
          <w:sz w:val="15"/>
        </w:rPr>
      </w:pPr>
      <w:r>
        <w:rPr/>
        <w:pict>
          <v:line style="position:absolute;mso-position-horizontal-relative:page;mso-position-vertical-relative:paragraph;z-index:-88;mso-wrap-distance-left:0;mso-wrap-distance-right:0" from="79.370102pt,12.156525pt" to="515.905102pt,12.156525pt" stroked="true" strokeweight="1pt" strokecolor="#f9ceca">
            <v:stroke dashstyle="solid"/>
            <w10:wrap type="topAndBottom"/>
          </v:line>
        </w:pict>
      </w:r>
    </w:p>
    <w:p>
      <w:pPr>
        <w:pStyle w:val="ListParagraph"/>
        <w:numPr>
          <w:ilvl w:val="0"/>
          <w:numId w:val="25"/>
        </w:numPr>
        <w:tabs>
          <w:tab w:pos="2381" w:val="left" w:leader="none"/>
          <w:tab w:pos="2382" w:val="left" w:leader="none"/>
        </w:tabs>
        <w:spacing w:line="240" w:lineRule="auto" w:before="117" w:after="0"/>
        <w:ind w:left="2381" w:right="0" w:hanging="794"/>
        <w:jc w:val="left"/>
        <w:rPr>
          <w:sz w:val="13"/>
        </w:rPr>
      </w:pPr>
      <w:r>
        <w:rPr>
          <w:w w:val="105"/>
          <w:sz w:val="13"/>
        </w:rPr>
        <w:t>South</w:t>
      </w:r>
      <w:r>
        <w:rPr>
          <w:spacing w:val="5"/>
          <w:w w:val="105"/>
          <w:sz w:val="13"/>
        </w:rPr>
        <w:t> </w:t>
      </w:r>
      <w:r>
        <w:rPr>
          <w:w w:val="105"/>
          <w:sz w:val="13"/>
        </w:rPr>
        <w:t>Australia</w:t>
      </w:r>
      <w:r>
        <w:rPr>
          <w:spacing w:val="5"/>
          <w:w w:val="105"/>
          <w:sz w:val="13"/>
        </w:rPr>
        <w:t> </w:t>
      </w:r>
      <w:r>
        <w:rPr>
          <w:w w:val="105"/>
          <w:sz w:val="13"/>
        </w:rPr>
        <w:t>and</w:t>
      </w:r>
      <w:r>
        <w:rPr>
          <w:spacing w:val="5"/>
          <w:w w:val="105"/>
          <w:sz w:val="13"/>
        </w:rPr>
        <w:t> </w:t>
      </w:r>
      <w:r>
        <w:rPr>
          <w:w w:val="105"/>
          <w:sz w:val="13"/>
        </w:rPr>
        <w:t>the</w:t>
      </w:r>
      <w:r>
        <w:rPr>
          <w:spacing w:val="5"/>
          <w:w w:val="105"/>
          <w:sz w:val="13"/>
        </w:rPr>
        <w:t> </w:t>
      </w:r>
      <w:r>
        <w:rPr>
          <w:w w:val="105"/>
          <w:sz w:val="13"/>
        </w:rPr>
        <w:t>Australian</w:t>
      </w:r>
      <w:r>
        <w:rPr>
          <w:spacing w:val="5"/>
          <w:w w:val="105"/>
          <w:sz w:val="13"/>
        </w:rPr>
        <w:t> </w:t>
      </w:r>
      <w:r>
        <w:rPr>
          <w:w w:val="105"/>
          <w:sz w:val="13"/>
        </w:rPr>
        <w:t>Capital</w:t>
      </w:r>
      <w:r>
        <w:rPr>
          <w:spacing w:val="5"/>
          <w:w w:val="105"/>
          <w:sz w:val="13"/>
        </w:rPr>
        <w:t> </w:t>
      </w:r>
      <w:r>
        <w:rPr>
          <w:w w:val="105"/>
          <w:sz w:val="13"/>
        </w:rPr>
        <w:t>Territory:</w:t>
      </w:r>
      <w:r>
        <w:rPr>
          <w:spacing w:val="5"/>
          <w:w w:val="105"/>
          <w:sz w:val="13"/>
        </w:rPr>
        <w:t> </w:t>
      </w:r>
      <w:r>
        <w:rPr>
          <w:w w:val="105"/>
          <w:sz w:val="13"/>
        </w:rPr>
        <w:t>National</w:t>
      </w:r>
      <w:r>
        <w:rPr>
          <w:spacing w:val="4"/>
          <w:w w:val="105"/>
          <w:sz w:val="13"/>
        </w:rPr>
        <w:t> </w:t>
      </w:r>
      <w:r>
        <w:rPr>
          <w:w w:val="105"/>
          <w:sz w:val="13"/>
        </w:rPr>
        <w:t>Committee</w:t>
      </w:r>
      <w:r>
        <w:rPr>
          <w:spacing w:val="5"/>
          <w:w w:val="105"/>
          <w:sz w:val="13"/>
        </w:rPr>
        <w:t> </w:t>
      </w:r>
      <w:r>
        <w:rPr>
          <w:w w:val="105"/>
          <w:sz w:val="13"/>
        </w:rPr>
        <w:t>for</w:t>
      </w:r>
      <w:r>
        <w:rPr>
          <w:spacing w:val="5"/>
          <w:w w:val="105"/>
          <w:sz w:val="13"/>
        </w:rPr>
        <w:t> </w:t>
      </w:r>
      <w:r>
        <w:rPr>
          <w:w w:val="105"/>
          <w:sz w:val="13"/>
        </w:rPr>
        <w:t>Uniform</w:t>
      </w:r>
      <w:r>
        <w:rPr>
          <w:spacing w:val="5"/>
          <w:w w:val="105"/>
          <w:sz w:val="13"/>
        </w:rPr>
        <w:t> </w:t>
      </w:r>
      <w:r>
        <w:rPr>
          <w:w w:val="105"/>
          <w:sz w:val="13"/>
        </w:rPr>
        <w:t>Succession</w:t>
      </w:r>
      <w:r>
        <w:rPr>
          <w:spacing w:val="5"/>
          <w:w w:val="105"/>
          <w:sz w:val="13"/>
        </w:rPr>
        <w:t> </w:t>
      </w:r>
      <w:r>
        <w:rPr>
          <w:w w:val="105"/>
          <w:sz w:val="13"/>
        </w:rPr>
        <w:t>Laws,</w:t>
      </w:r>
      <w:r>
        <w:rPr>
          <w:spacing w:val="5"/>
          <w:w w:val="105"/>
          <w:sz w:val="13"/>
        </w:rPr>
        <w:t> </w:t>
      </w:r>
      <w:r>
        <w:rPr>
          <w:w w:val="105"/>
          <w:sz w:val="13"/>
        </w:rPr>
        <w:t>above</w:t>
      </w:r>
      <w:r>
        <w:rPr>
          <w:spacing w:val="5"/>
          <w:w w:val="105"/>
          <w:sz w:val="13"/>
        </w:rPr>
        <w:t> </w:t>
      </w:r>
      <w:r>
        <w:rPr>
          <w:w w:val="105"/>
          <w:sz w:val="13"/>
        </w:rPr>
        <w:t>n</w:t>
      </w:r>
      <w:r>
        <w:rPr>
          <w:spacing w:val="5"/>
          <w:w w:val="105"/>
          <w:sz w:val="13"/>
        </w:rPr>
        <w:t> </w:t>
      </w:r>
      <w:r>
        <w:rPr>
          <w:w w:val="105"/>
          <w:sz w:val="13"/>
        </w:rPr>
        <w:t>5,</w:t>
      </w:r>
      <w:r>
        <w:rPr>
          <w:spacing w:val="5"/>
          <w:w w:val="105"/>
          <w:sz w:val="13"/>
        </w:rPr>
        <w:t> </w:t>
      </w:r>
      <w:r>
        <w:rPr>
          <w:w w:val="105"/>
          <w:sz w:val="13"/>
        </w:rPr>
        <w:t>19.</w:t>
      </w:r>
    </w:p>
    <w:p>
      <w:pPr>
        <w:pStyle w:val="ListParagraph"/>
        <w:numPr>
          <w:ilvl w:val="0"/>
          <w:numId w:val="25"/>
        </w:numPr>
        <w:tabs>
          <w:tab w:pos="2381" w:val="left" w:leader="none"/>
          <w:tab w:pos="2382" w:val="left" w:leader="none"/>
        </w:tabs>
        <w:spacing w:line="240" w:lineRule="auto" w:before="1" w:after="0"/>
        <w:ind w:left="2381" w:right="0" w:hanging="794"/>
        <w:jc w:val="left"/>
        <w:rPr>
          <w:sz w:val="13"/>
        </w:rPr>
      </w:pPr>
      <w:r>
        <w:rPr>
          <w:w w:val="105"/>
          <w:sz w:val="13"/>
        </w:rPr>
        <w:t>National</w:t>
      </w:r>
      <w:r>
        <w:rPr>
          <w:spacing w:val="4"/>
          <w:w w:val="105"/>
          <w:sz w:val="13"/>
        </w:rPr>
        <w:t> </w:t>
      </w:r>
      <w:r>
        <w:rPr>
          <w:w w:val="105"/>
          <w:sz w:val="13"/>
        </w:rPr>
        <w:t>Committee</w:t>
      </w:r>
      <w:r>
        <w:rPr>
          <w:spacing w:val="5"/>
          <w:w w:val="105"/>
          <w:sz w:val="13"/>
        </w:rPr>
        <w:t> </w:t>
      </w:r>
      <w:r>
        <w:rPr>
          <w:w w:val="105"/>
          <w:sz w:val="13"/>
        </w:rPr>
        <w:t>for</w:t>
      </w:r>
      <w:r>
        <w:rPr>
          <w:spacing w:val="5"/>
          <w:w w:val="105"/>
          <w:sz w:val="13"/>
        </w:rPr>
        <w:t> </w:t>
      </w:r>
      <w:r>
        <w:rPr>
          <w:w w:val="105"/>
          <w:sz w:val="13"/>
        </w:rPr>
        <w:t>Uniform</w:t>
      </w:r>
      <w:r>
        <w:rPr>
          <w:spacing w:val="4"/>
          <w:w w:val="105"/>
          <w:sz w:val="13"/>
        </w:rPr>
        <w:t> </w:t>
      </w:r>
      <w:r>
        <w:rPr>
          <w:w w:val="105"/>
          <w:sz w:val="13"/>
        </w:rPr>
        <w:t>Succession</w:t>
      </w:r>
      <w:r>
        <w:rPr>
          <w:spacing w:val="5"/>
          <w:w w:val="105"/>
          <w:sz w:val="13"/>
        </w:rPr>
        <w:t> </w:t>
      </w:r>
      <w:r>
        <w:rPr>
          <w:w w:val="105"/>
          <w:sz w:val="13"/>
        </w:rPr>
        <w:t>Laws,</w:t>
      </w:r>
      <w:r>
        <w:rPr>
          <w:spacing w:val="5"/>
          <w:w w:val="105"/>
          <w:sz w:val="13"/>
        </w:rPr>
        <w:t> </w:t>
      </w:r>
      <w:r>
        <w:rPr>
          <w:w w:val="105"/>
          <w:sz w:val="13"/>
        </w:rPr>
        <w:t>above</w:t>
      </w:r>
      <w:r>
        <w:rPr>
          <w:spacing w:val="5"/>
          <w:w w:val="105"/>
          <w:sz w:val="13"/>
        </w:rPr>
        <w:t> </w:t>
      </w:r>
      <w:r>
        <w:rPr>
          <w:w w:val="105"/>
          <w:sz w:val="13"/>
        </w:rPr>
        <w:t>n</w:t>
      </w:r>
      <w:r>
        <w:rPr>
          <w:spacing w:val="4"/>
          <w:w w:val="105"/>
          <w:sz w:val="13"/>
        </w:rPr>
        <w:t> </w:t>
      </w:r>
      <w:r>
        <w:rPr>
          <w:w w:val="105"/>
          <w:sz w:val="13"/>
        </w:rPr>
        <w:t>5,</w:t>
      </w:r>
      <w:r>
        <w:rPr>
          <w:spacing w:val="5"/>
          <w:w w:val="105"/>
          <w:sz w:val="13"/>
        </w:rPr>
        <w:t> </w:t>
      </w:r>
      <w:r>
        <w:rPr>
          <w:w w:val="105"/>
          <w:sz w:val="13"/>
        </w:rPr>
        <w:t>19.</w:t>
      </w:r>
    </w:p>
    <w:p>
      <w:pPr>
        <w:pStyle w:val="ListParagraph"/>
        <w:numPr>
          <w:ilvl w:val="0"/>
          <w:numId w:val="25"/>
        </w:numPr>
        <w:tabs>
          <w:tab w:pos="2381" w:val="left" w:leader="none"/>
          <w:tab w:pos="2382" w:val="left" w:leader="none"/>
        </w:tabs>
        <w:spacing w:line="240" w:lineRule="auto" w:before="2" w:after="0"/>
        <w:ind w:left="2381" w:right="0" w:hanging="794"/>
        <w:jc w:val="left"/>
        <w:rPr>
          <w:sz w:val="13"/>
        </w:rPr>
      </w:pPr>
      <w:r>
        <w:rPr>
          <w:w w:val="105"/>
          <w:sz w:val="13"/>
        </w:rPr>
        <w:t>Ibid</w:t>
      </w:r>
      <w:r>
        <w:rPr>
          <w:spacing w:val="4"/>
          <w:w w:val="105"/>
          <w:sz w:val="13"/>
        </w:rPr>
        <w:t> </w:t>
      </w:r>
      <w:r>
        <w:rPr>
          <w:w w:val="105"/>
          <w:sz w:val="13"/>
        </w:rPr>
        <w:t>22.</w:t>
      </w:r>
    </w:p>
    <w:p>
      <w:pPr>
        <w:pStyle w:val="ListParagraph"/>
        <w:numPr>
          <w:ilvl w:val="0"/>
          <w:numId w:val="25"/>
        </w:numPr>
        <w:tabs>
          <w:tab w:pos="2381" w:val="left" w:leader="none"/>
          <w:tab w:pos="2382" w:val="left" w:leader="none"/>
        </w:tabs>
        <w:spacing w:line="240" w:lineRule="auto" w:before="1" w:after="0"/>
        <w:ind w:left="2381" w:right="0" w:hanging="794"/>
        <w:jc w:val="left"/>
        <w:rPr>
          <w:sz w:val="13"/>
        </w:rPr>
      </w:pPr>
      <w:r>
        <w:rPr>
          <w:sz w:val="13"/>
        </w:rPr>
        <w:t>Ibid.</w:t>
      </w:r>
    </w:p>
    <w:p>
      <w:pPr>
        <w:pStyle w:val="ListParagraph"/>
        <w:numPr>
          <w:ilvl w:val="0"/>
          <w:numId w:val="25"/>
        </w:numPr>
        <w:tabs>
          <w:tab w:pos="2381" w:val="left" w:leader="none"/>
          <w:tab w:pos="2382" w:val="left" w:leader="none"/>
        </w:tabs>
        <w:spacing w:line="240" w:lineRule="auto" w:before="1" w:after="0"/>
        <w:ind w:left="2381" w:right="0" w:hanging="794"/>
        <w:jc w:val="left"/>
        <w:rPr>
          <w:sz w:val="13"/>
        </w:rPr>
      </w:pPr>
      <w:r>
        <w:rPr>
          <w:i/>
          <w:w w:val="105"/>
          <w:sz w:val="13"/>
        </w:rPr>
        <w:t>Wills</w:t>
      </w:r>
      <w:r>
        <w:rPr>
          <w:i/>
          <w:spacing w:val="4"/>
          <w:w w:val="105"/>
          <w:sz w:val="13"/>
        </w:rPr>
        <w:t> </w:t>
      </w:r>
      <w:r>
        <w:rPr>
          <w:i/>
          <w:w w:val="105"/>
          <w:sz w:val="13"/>
        </w:rPr>
        <w:t>Act</w:t>
      </w:r>
      <w:r>
        <w:rPr>
          <w:i/>
          <w:spacing w:val="4"/>
          <w:w w:val="105"/>
          <w:sz w:val="13"/>
        </w:rPr>
        <w:t> </w:t>
      </w:r>
      <w:r>
        <w:rPr>
          <w:i/>
          <w:w w:val="105"/>
          <w:sz w:val="13"/>
        </w:rPr>
        <w:t>1936</w:t>
      </w:r>
      <w:r>
        <w:rPr>
          <w:i/>
          <w:spacing w:val="5"/>
          <w:w w:val="105"/>
          <w:sz w:val="13"/>
        </w:rPr>
        <w:t> </w:t>
      </w:r>
      <w:r>
        <w:rPr>
          <w:spacing w:val="2"/>
          <w:w w:val="105"/>
          <w:sz w:val="13"/>
        </w:rPr>
        <w:t>(SA)</w:t>
      </w:r>
      <w:r>
        <w:rPr>
          <w:spacing w:val="6"/>
          <w:w w:val="105"/>
          <w:sz w:val="13"/>
        </w:rPr>
        <w:t> </w:t>
      </w:r>
      <w:r>
        <w:rPr>
          <w:w w:val="105"/>
          <w:sz w:val="13"/>
        </w:rPr>
        <w:t>s</w:t>
      </w:r>
      <w:r>
        <w:rPr>
          <w:spacing w:val="5"/>
          <w:w w:val="105"/>
          <w:sz w:val="13"/>
        </w:rPr>
        <w:t> </w:t>
      </w:r>
      <w:r>
        <w:rPr>
          <w:spacing w:val="-4"/>
          <w:w w:val="105"/>
          <w:sz w:val="13"/>
        </w:rPr>
        <w:t>17;</w:t>
      </w:r>
      <w:r>
        <w:rPr>
          <w:spacing w:val="5"/>
          <w:w w:val="105"/>
          <w:sz w:val="13"/>
        </w:rPr>
        <w:t> </w:t>
      </w:r>
      <w:r>
        <w:rPr>
          <w:i/>
          <w:w w:val="105"/>
          <w:sz w:val="13"/>
        </w:rPr>
        <w:t>Wills</w:t>
      </w:r>
      <w:r>
        <w:rPr>
          <w:i/>
          <w:spacing w:val="4"/>
          <w:w w:val="105"/>
          <w:sz w:val="13"/>
        </w:rPr>
        <w:t> </w:t>
      </w:r>
      <w:r>
        <w:rPr>
          <w:i/>
          <w:w w:val="105"/>
          <w:sz w:val="13"/>
        </w:rPr>
        <w:t>Act</w:t>
      </w:r>
      <w:r>
        <w:rPr>
          <w:i/>
          <w:spacing w:val="5"/>
          <w:w w:val="105"/>
          <w:sz w:val="13"/>
        </w:rPr>
        <w:t> </w:t>
      </w:r>
      <w:r>
        <w:rPr>
          <w:i/>
          <w:w w:val="105"/>
          <w:sz w:val="13"/>
        </w:rPr>
        <w:t>1968</w:t>
      </w:r>
      <w:r>
        <w:rPr>
          <w:i/>
          <w:spacing w:val="5"/>
          <w:w w:val="105"/>
          <w:sz w:val="13"/>
        </w:rPr>
        <w:t> </w:t>
      </w:r>
      <w:r>
        <w:rPr>
          <w:spacing w:val="2"/>
          <w:w w:val="105"/>
          <w:sz w:val="13"/>
        </w:rPr>
        <w:t>(ACT)</w:t>
      </w:r>
      <w:r>
        <w:rPr>
          <w:spacing w:val="5"/>
          <w:w w:val="105"/>
          <w:sz w:val="13"/>
        </w:rPr>
        <w:t> </w:t>
      </w:r>
      <w:r>
        <w:rPr>
          <w:w w:val="105"/>
          <w:sz w:val="13"/>
        </w:rPr>
        <w:t>s</w:t>
      </w:r>
      <w:r>
        <w:rPr>
          <w:spacing w:val="5"/>
          <w:w w:val="105"/>
          <w:sz w:val="13"/>
        </w:rPr>
        <w:t> </w:t>
      </w:r>
      <w:r>
        <w:rPr>
          <w:w w:val="105"/>
          <w:sz w:val="13"/>
        </w:rPr>
        <w:t>15.</w:t>
      </w:r>
      <w:r>
        <w:rPr>
          <w:spacing w:val="6"/>
          <w:w w:val="105"/>
          <w:sz w:val="13"/>
        </w:rPr>
        <w:t> </w:t>
      </w:r>
      <w:r>
        <w:rPr>
          <w:w w:val="105"/>
          <w:sz w:val="13"/>
        </w:rPr>
        <w:t>Section</w:t>
      </w:r>
      <w:r>
        <w:rPr>
          <w:spacing w:val="5"/>
          <w:w w:val="105"/>
          <w:sz w:val="13"/>
        </w:rPr>
        <w:t> </w:t>
      </w:r>
      <w:r>
        <w:rPr>
          <w:spacing w:val="-4"/>
          <w:w w:val="105"/>
          <w:sz w:val="13"/>
        </w:rPr>
        <w:t>13</w:t>
      </w:r>
      <w:r>
        <w:rPr>
          <w:spacing w:val="5"/>
          <w:w w:val="105"/>
          <w:sz w:val="13"/>
        </w:rPr>
        <w:t> </w:t>
      </w:r>
      <w:r>
        <w:rPr>
          <w:w w:val="105"/>
          <w:sz w:val="13"/>
        </w:rPr>
        <w:t>of</w:t>
      </w:r>
      <w:r>
        <w:rPr>
          <w:spacing w:val="6"/>
          <w:w w:val="105"/>
          <w:sz w:val="13"/>
        </w:rPr>
        <w:t> </w:t>
      </w:r>
      <w:r>
        <w:rPr>
          <w:w w:val="105"/>
          <w:sz w:val="13"/>
        </w:rPr>
        <w:t>the</w:t>
      </w:r>
      <w:r>
        <w:rPr>
          <w:spacing w:val="5"/>
          <w:w w:val="105"/>
          <w:sz w:val="13"/>
        </w:rPr>
        <w:t> </w:t>
      </w:r>
      <w:r>
        <w:rPr>
          <w:i/>
          <w:w w:val="105"/>
          <w:sz w:val="13"/>
        </w:rPr>
        <w:t>Wills</w:t>
      </w:r>
      <w:r>
        <w:rPr>
          <w:i/>
          <w:spacing w:val="4"/>
          <w:w w:val="105"/>
          <w:sz w:val="13"/>
        </w:rPr>
        <w:t> </w:t>
      </w:r>
      <w:r>
        <w:rPr>
          <w:i/>
          <w:w w:val="105"/>
          <w:sz w:val="13"/>
        </w:rPr>
        <w:t>Act</w:t>
      </w:r>
      <w:r>
        <w:rPr>
          <w:i/>
          <w:spacing w:val="4"/>
          <w:w w:val="105"/>
          <w:sz w:val="13"/>
        </w:rPr>
        <w:t> </w:t>
      </w:r>
      <w:r>
        <w:rPr>
          <w:i/>
          <w:spacing w:val="-4"/>
          <w:w w:val="105"/>
          <w:sz w:val="13"/>
        </w:rPr>
        <w:t>1970</w:t>
      </w:r>
      <w:r>
        <w:rPr>
          <w:i/>
          <w:spacing w:val="6"/>
          <w:w w:val="105"/>
          <w:sz w:val="13"/>
        </w:rPr>
        <w:t> </w:t>
      </w:r>
      <w:r>
        <w:rPr>
          <w:w w:val="105"/>
          <w:sz w:val="13"/>
        </w:rPr>
        <w:t>(WA)</w:t>
      </w:r>
      <w:r>
        <w:rPr>
          <w:spacing w:val="5"/>
          <w:w w:val="105"/>
          <w:sz w:val="13"/>
        </w:rPr>
        <w:t> </w:t>
      </w:r>
      <w:r>
        <w:rPr>
          <w:w w:val="105"/>
          <w:sz w:val="13"/>
        </w:rPr>
        <w:t>was</w:t>
      </w:r>
      <w:r>
        <w:rPr>
          <w:spacing w:val="5"/>
          <w:w w:val="105"/>
          <w:sz w:val="13"/>
        </w:rPr>
        <w:t> </w:t>
      </w:r>
      <w:r>
        <w:rPr>
          <w:w w:val="105"/>
          <w:sz w:val="13"/>
        </w:rPr>
        <w:t>repealed</w:t>
      </w:r>
      <w:r>
        <w:rPr>
          <w:spacing w:val="5"/>
          <w:w w:val="105"/>
          <w:sz w:val="13"/>
        </w:rPr>
        <w:t> </w:t>
      </w:r>
      <w:r>
        <w:rPr>
          <w:w w:val="105"/>
          <w:sz w:val="13"/>
        </w:rPr>
        <w:t>in</w:t>
      </w:r>
      <w:r>
        <w:rPr>
          <w:spacing w:val="6"/>
          <w:w w:val="105"/>
          <w:sz w:val="13"/>
        </w:rPr>
        <w:t> </w:t>
      </w:r>
      <w:r>
        <w:rPr>
          <w:w w:val="105"/>
          <w:sz w:val="13"/>
        </w:rPr>
        <w:t>2003.</w:t>
      </w:r>
    </w:p>
    <w:p>
      <w:pPr>
        <w:pStyle w:val="ListParagraph"/>
        <w:numPr>
          <w:ilvl w:val="0"/>
          <w:numId w:val="25"/>
        </w:numPr>
        <w:tabs>
          <w:tab w:pos="2381" w:val="left" w:leader="none"/>
          <w:tab w:pos="2382" w:val="left" w:leader="none"/>
        </w:tabs>
        <w:spacing w:line="240" w:lineRule="auto" w:before="2" w:after="0"/>
        <w:ind w:left="2381" w:right="0" w:hanging="794"/>
        <w:jc w:val="left"/>
        <w:rPr>
          <w:sz w:val="13"/>
        </w:rPr>
      </w:pPr>
      <w:r>
        <w:rPr>
          <w:i/>
          <w:w w:val="105"/>
          <w:sz w:val="13"/>
        </w:rPr>
        <w:t>Succession</w:t>
      </w:r>
      <w:r>
        <w:rPr>
          <w:i/>
          <w:spacing w:val="4"/>
          <w:w w:val="105"/>
          <w:sz w:val="13"/>
        </w:rPr>
        <w:t> </w:t>
      </w:r>
      <w:r>
        <w:rPr>
          <w:i/>
          <w:w w:val="105"/>
          <w:sz w:val="13"/>
        </w:rPr>
        <w:t>Act</w:t>
      </w:r>
      <w:r>
        <w:rPr>
          <w:i/>
          <w:spacing w:val="4"/>
          <w:w w:val="105"/>
          <w:sz w:val="13"/>
        </w:rPr>
        <w:t> </w:t>
      </w:r>
      <w:r>
        <w:rPr>
          <w:i/>
          <w:w w:val="105"/>
          <w:sz w:val="13"/>
        </w:rPr>
        <w:t>2006</w:t>
      </w:r>
      <w:r>
        <w:rPr>
          <w:i/>
          <w:spacing w:val="6"/>
          <w:w w:val="105"/>
          <w:sz w:val="13"/>
        </w:rPr>
        <w:t> </w:t>
      </w:r>
      <w:r>
        <w:rPr>
          <w:spacing w:val="3"/>
          <w:w w:val="105"/>
          <w:sz w:val="13"/>
        </w:rPr>
        <w:t>(NSW)</w:t>
      </w:r>
      <w:r>
        <w:rPr>
          <w:spacing w:val="5"/>
          <w:w w:val="105"/>
          <w:sz w:val="13"/>
        </w:rPr>
        <w:t> </w:t>
      </w:r>
      <w:r>
        <w:rPr>
          <w:w w:val="105"/>
          <w:sz w:val="13"/>
        </w:rPr>
        <w:t>s</w:t>
      </w:r>
      <w:r>
        <w:rPr>
          <w:spacing w:val="5"/>
          <w:w w:val="105"/>
          <w:sz w:val="13"/>
        </w:rPr>
        <w:t> </w:t>
      </w:r>
      <w:r>
        <w:rPr>
          <w:w w:val="105"/>
          <w:sz w:val="13"/>
        </w:rPr>
        <w:t>10;</w:t>
      </w:r>
      <w:r>
        <w:rPr>
          <w:spacing w:val="6"/>
          <w:w w:val="105"/>
          <w:sz w:val="13"/>
        </w:rPr>
        <w:t> </w:t>
      </w:r>
      <w:r>
        <w:rPr>
          <w:i/>
          <w:w w:val="105"/>
          <w:sz w:val="13"/>
        </w:rPr>
        <w:t>Succession</w:t>
      </w:r>
      <w:r>
        <w:rPr>
          <w:i/>
          <w:spacing w:val="4"/>
          <w:w w:val="105"/>
          <w:sz w:val="13"/>
        </w:rPr>
        <w:t> </w:t>
      </w:r>
      <w:r>
        <w:rPr>
          <w:i/>
          <w:w w:val="105"/>
          <w:sz w:val="13"/>
        </w:rPr>
        <w:t>Act</w:t>
      </w:r>
      <w:r>
        <w:rPr>
          <w:i/>
          <w:spacing w:val="4"/>
          <w:w w:val="105"/>
          <w:sz w:val="13"/>
        </w:rPr>
        <w:t> </w:t>
      </w:r>
      <w:r>
        <w:rPr>
          <w:i/>
          <w:w w:val="105"/>
          <w:sz w:val="13"/>
        </w:rPr>
        <w:t>2006</w:t>
      </w:r>
      <w:r>
        <w:rPr>
          <w:i/>
          <w:spacing w:val="6"/>
          <w:w w:val="105"/>
          <w:sz w:val="13"/>
        </w:rPr>
        <w:t> </w:t>
      </w:r>
      <w:r>
        <w:rPr>
          <w:spacing w:val="2"/>
          <w:w w:val="105"/>
          <w:sz w:val="13"/>
        </w:rPr>
        <w:t>(Qld)</w:t>
      </w:r>
      <w:r>
        <w:rPr>
          <w:spacing w:val="5"/>
          <w:w w:val="105"/>
          <w:sz w:val="13"/>
        </w:rPr>
        <w:t> </w:t>
      </w:r>
      <w:r>
        <w:rPr>
          <w:w w:val="105"/>
          <w:sz w:val="13"/>
        </w:rPr>
        <w:t>s</w:t>
      </w:r>
      <w:r>
        <w:rPr>
          <w:spacing w:val="5"/>
          <w:w w:val="105"/>
          <w:sz w:val="13"/>
        </w:rPr>
        <w:t> </w:t>
      </w:r>
      <w:r>
        <w:rPr>
          <w:spacing w:val="-5"/>
          <w:w w:val="105"/>
          <w:sz w:val="13"/>
        </w:rPr>
        <w:t>11;</w:t>
      </w:r>
      <w:r>
        <w:rPr>
          <w:spacing w:val="6"/>
          <w:w w:val="105"/>
          <w:sz w:val="13"/>
        </w:rPr>
        <w:t> </w:t>
      </w:r>
      <w:r>
        <w:rPr>
          <w:i/>
          <w:w w:val="105"/>
          <w:sz w:val="13"/>
        </w:rPr>
        <w:t>Wills</w:t>
      </w:r>
      <w:r>
        <w:rPr>
          <w:i/>
          <w:spacing w:val="4"/>
          <w:w w:val="105"/>
          <w:sz w:val="13"/>
        </w:rPr>
        <w:t> </w:t>
      </w:r>
      <w:r>
        <w:rPr>
          <w:i/>
          <w:w w:val="105"/>
          <w:sz w:val="13"/>
        </w:rPr>
        <w:t>Act</w:t>
      </w:r>
      <w:r>
        <w:rPr>
          <w:i/>
          <w:spacing w:val="4"/>
          <w:w w:val="105"/>
          <w:sz w:val="13"/>
        </w:rPr>
        <w:t> </w:t>
      </w:r>
      <w:r>
        <w:rPr>
          <w:i/>
          <w:w w:val="105"/>
          <w:sz w:val="13"/>
        </w:rPr>
        <w:t>2000</w:t>
      </w:r>
      <w:r>
        <w:rPr>
          <w:i/>
          <w:spacing w:val="6"/>
          <w:w w:val="105"/>
          <w:sz w:val="13"/>
        </w:rPr>
        <w:t> </w:t>
      </w:r>
      <w:r>
        <w:rPr>
          <w:spacing w:val="4"/>
          <w:w w:val="105"/>
          <w:sz w:val="13"/>
        </w:rPr>
        <w:t>(NT)</w:t>
      </w:r>
      <w:r>
        <w:rPr>
          <w:spacing w:val="5"/>
          <w:w w:val="105"/>
          <w:sz w:val="13"/>
        </w:rPr>
        <w:t> </w:t>
      </w:r>
      <w:r>
        <w:rPr>
          <w:w w:val="105"/>
          <w:sz w:val="13"/>
        </w:rPr>
        <w:t>s</w:t>
      </w:r>
      <w:r>
        <w:rPr>
          <w:spacing w:val="6"/>
          <w:w w:val="105"/>
          <w:sz w:val="13"/>
        </w:rPr>
        <w:t> </w:t>
      </w:r>
      <w:r>
        <w:rPr>
          <w:spacing w:val="-3"/>
          <w:w w:val="105"/>
          <w:sz w:val="13"/>
        </w:rPr>
        <w:t>12;</w:t>
      </w:r>
      <w:r>
        <w:rPr>
          <w:spacing w:val="5"/>
          <w:w w:val="105"/>
          <w:sz w:val="13"/>
        </w:rPr>
        <w:t> </w:t>
      </w:r>
      <w:r>
        <w:rPr>
          <w:i/>
          <w:w w:val="105"/>
          <w:sz w:val="13"/>
        </w:rPr>
        <w:t>Wills</w:t>
      </w:r>
      <w:r>
        <w:rPr>
          <w:i/>
          <w:spacing w:val="4"/>
          <w:w w:val="105"/>
          <w:sz w:val="13"/>
        </w:rPr>
        <w:t> </w:t>
      </w:r>
      <w:r>
        <w:rPr>
          <w:i/>
          <w:w w:val="105"/>
          <w:sz w:val="13"/>
        </w:rPr>
        <w:t>Act</w:t>
      </w:r>
      <w:r>
        <w:rPr>
          <w:i/>
          <w:spacing w:val="5"/>
          <w:w w:val="105"/>
          <w:sz w:val="13"/>
        </w:rPr>
        <w:t> </w:t>
      </w:r>
      <w:r>
        <w:rPr>
          <w:i/>
          <w:w w:val="105"/>
          <w:sz w:val="13"/>
        </w:rPr>
        <w:t>2008</w:t>
      </w:r>
      <w:r>
        <w:rPr>
          <w:i/>
          <w:spacing w:val="5"/>
          <w:w w:val="105"/>
          <w:sz w:val="13"/>
        </w:rPr>
        <w:t> </w:t>
      </w:r>
      <w:r>
        <w:rPr>
          <w:w w:val="105"/>
          <w:sz w:val="13"/>
        </w:rPr>
        <w:t>(Tas)</w:t>
      </w:r>
      <w:r>
        <w:rPr>
          <w:spacing w:val="5"/>
          <w:w w:val="105"/>
          <w:sz w:val="13"/>
        </w:rPr>
        <w:t> </w:t>
      </w:r>
      <w:r>
        <w:rPr>
          <w:w w:val="105"/>
          <w:sz w:val="13"/>
        </w:rPr>
        <w:t>s</w:t>
      </w:r>
      <w:r>
        <w:rPr>
          <w:spacing w:val="6"/>
          <w:w w:val="105"/>
          <w:sz w:val="13"/>
        </w:rPr>
        <w:t> </w:t>
      </w:r>
      <w:r>
        <w:rPr>
          <w:spacing w:val="-3"/>
          <w:w w:val="105"/>
          <w:sz w:val="13"/>
        </w:rPr>
        <w:t>12.</w:t>
      </w:r>
    </w:p>
    <w:p>
      <w:pPr>
        <w:pStyle w:val="ListParagraph"/>
        <w:numPr>
          <w:ilvl w:val="0"/>
          <w:numId w:val="25"/>
        </w:numPr>
        <w:tabs>
          <w:tab w:pos="2381" w:val="left" w:leader="none"/>
          <w:tab w:pos="2382" w:val="left" w:leader="none"/>
        </w:tabs>
        <w:spacing w:line="240" w:lineRule="auto" w:before="1" w:after="0"/>
        <w:ind w:left="2381" w:right="0" w:hanging="794"/>
        <w:jc w:val="left"/>
        <w:rPr>
          <w:sz w:val="13"/>
        </w:rPr>
      </w:pPr>
      <w:r>
        <w:rPr>
          <w:w w:val="105"/>
          <w:sz w:val="13"/>
        </w:rPr>
        <w:t>See</w:t>
      </w:r>
      <w:r>
        <w:rPr>
          <w:spacing w:val="5"/>
          <w:w w:val="105"/>
          <w:sz w:val="13"/>
        </w:rPr>
        <w:t> </w:t>
      </w:r>
      <w:r>
        <w:rPr>
          <w:i/>
          <w:w w:val="105"/>
          <w:sz w:val="13"/>
        </w:rPr>
        <w:t>Tonkiss</w:t>
      </w:r>
      <w:r>
        <w:rPr>
          <w:i/>
          <w:spacing w:val="5"/>
          <w:w w:val="105"/>
          <w:sz w:val="13"/>
        </w:rPr>
        <w:t> </w:t>
      </w:r>
      <w:r>
        <w:rPr>
          <w:i/>
          <w:w w:val="105"/>
          <w:sz w:val="13"/>
        </w:rPr>
        <w:t>v</w:t>
      </w:r>
      <w:r>
        <w:rPr>
          <w:i/>
          <w:spacing w:val="4"/>
          <w:w w:val="105"/>
          <w:sz w:val="13"/>
        </w:rPr>
        <w:t> </w:t>
      </w:r>
      <w:r>
        <w:rPr>
          <w:i/>
          <w:w w:val="105"/>
          <w:sz w:val="13"/>
        </w:rPr>
        <w:t>Graham</w:t>
      </w:r>
      <w:r>
        <w:rPr>
          <w:i/>
          <w:spacing w:val="6"/>
          <w:w w:val="105"/>
          <w:sz w:val="13"/>
        </w:rPr>
        <w:t> </w:t>
      </w:r>
      <w:r>
        <w:rPr>
          <w:w w:val="105"/>
          <w:sz w:val="13"/>
        </w:rPr>
        <w:t>[2002]</w:t>
      </w:r>
      <w:r>
        <w:rPr>
          <w:spacing w:val="5"/>
          <w:w w:val="105"/>
          <w:sz w:val="13"/>
        </w:rPr>
        <w:t> </w:t>
      </w:r>
      <w:r>
        <w:rPr>
          <w:w w:val="105"/>
          <w:sz w:val="13"/>
        </w:rPr>
        <w:t>NSWSC</w:t>
      </w:r>
      <w:r>
        <w:rPr>
          <w:spacing w:val="6"/>
          <w:w w:val="105"/>
          <w:sz w:val="13"/>
        </w:rPr>
        <w:t> </w:t>
      </w:r>
      <w:r>
        <w:rPr>
          <w:w w:val="105"/>
          <w:sz w:val="13"/>
        </w:rPr>
        <w:t>891</w:t>
      </w:r>
      <w:r>
        <w:rPr>
          <w:spacing w:val="5"/>
          <w:w w:val="105"/>
          <w:sz w:val="13"/>
        </w:rPr>
        <w:t> </w:t>
      </w:r>
      <w:r>
        <w:rPr>
          <w:w w:val="105"/>
          <w:sz w:val="13"/>
        </w:rPr>
        <w:t>(4</w:t>
      </w:r>
      <w:r>
        <w:rPr>
          <w:spacing w:val="6"/>
          <w:w w:val="105"/>
          <w:sz w:val="13"/>
        </w:rPr>
        <w:t> </w:t>
      </w:r>
      <w:r>
        <w:rPr>
          <w:w w:val="105"/>
          <w:sz w:val="13"/>
        </w:rPr>
        <w:t>October</w:t>
      </w:r>
      <w:r>
        <w:rPr>
          <w:spacing w:val="5"/>
          <w:w w:val="105"/>
          <w:sz w:val="13"/>
        </w:rPr>
        <w:t> </w:t>
      </w:r>
      <w:r>
        <w:rPr>
          <w:w w:val="105"/>
          <w:sz w:val="13"/>
        </w:rPr>
        <w:t>2002);</w:t>
      </w:r>
      <w:r>
        <w:rPr>
          <w:spacing w:val="6"/>
          <w:w w:val="105"/>
          <w:sz w:val="13"/>
        </w:rPr>
        <w:t> </w:t>
      </w:r>
      <w:r>
        <w:rPr>
          <w:i/>
          <w:w w:val="105"/>
          <w:sz w:val="13"/>
        </w:rPr>
        <w:t>Miller</w:t>
      </w:r>
      <w:r>
        <w:rPr>
          <w:i/>
          <w:spacing w:val="4"/>
          <w:w w:val="105"/>
          <w:sz w:val="13"/>
        </w:rPr>
        <w:t> </w:t>
      </w:r>
      <w:r>
        <w:rPr>
          <w:i/>
          <w:w w:val="105"/>
          <w:sz w:val="13"/>
        </w:rPr>
        <w:t>v</w:t>
      </w:r>
      <w:r>
        <w:rPr>
          <w:i/>
          <w:spacing w:val="5"/>
          <w:w w:val="105"/>
          <w:sz w:val="13"/>
        </w:rPr>
        <w:t> </w:t>
      </w:r>
      <w:r>
        <w:rPr>
          <w:i/>
          <w:w w:val="105"/>
          <w:sz w:val="13"/>
        </w:rPr>
        <w:t>Miller</w:t>
      </w:r>
      <w:r>
        <w:rPr>
          <w:i/>
          <w:spacing w:val="5"/>
          <w:w w:val="105"/>
          <w:sz w:val="13"/>
        </w:rPr>
        <w:t> </w:t>
      </w:r>
      <w:r>
        <w:rPr>
          <w:spacing w:val="2"/>
          <w:w w:val="105"/>
          <w:sz w:val="13"/>
        </w:rPr>
        <w:t>[2000]</w:t>
      </w:r>
      <w:r>
        <w:rPr>
          <w:spacing w:val="6"/>
          <w:w w:val="105"/>
          <w:sz w:val="13"/>
        </w:rPr>
        <w:t> </w:t>
      </w:r>
      <w:r>
        <w:rPr>
          <w:w w:val="105"/>
          <w:sz w:val="13"/>
        </w:rPr>
        <w:t>NSWSC</w:t>
      </w:r>
      <w:r>
        <w:rPr>
          <w:spacing w:val="6"/>
          <w:w w:val="105"/>
          <w:sz w:val="13"/>
        </w:rPr>
        <w:t> </w:t>
      </w:r>
      <w:r>
        <w:rPr>
          <w:w w:val="105"/>
          <w:sz w:val="13"/>
        </w:rPr>
        <w:t>767</w:t>
      </w:r>
      <w:r>
        <w:rPr>
          <w:spacing w:val="5"/>
          <w:w w:val="105"/>
          <w:sz w:val="13"/>
        </w:rPr>
        <w:t> </w:t>
      </w:r>
      <w:r>
        <w:rPr>
          <w:w w:val="105"/>
          <w:sz w:val="13"/>
        </w:rPr>
        <w:t>(2</w:t>
      </w:r>
      <w:r>
        <w:rPr>
          <w:spacing w:val="6"/>
          <w:w w:val="105"/>
          <w:sz w:val="13"/>
        </w:rPr>
        <w:t> </w:t>
      </w:r>
      <w:r>
        <w:rPr>
          <w:w w:val="105"/>
          <w:sz w:val="13"/>
        </w:rPr>
        <w:t>August</w:t>
      </w:r>
      <w:r>
        <w:rPr>
          <w:spacing w:val="5"/>
          <w:w w:val="105"/>
          <w:sz w:val="13"/>
        </w:rPr>
        <w:t> </w:t>
      </w:r>
      <w:r>
        <w:rPr>
          <w:spacing w:val="3"/>
          <w:w w:val="105"/>
          <w:sz w:val="13"/>
        </w:rPr>
        <w:t>2000).</w:t>
      </w:r>
    </w:p>
    <w:p>
      <w:pPr>
        <w:pStyle w:val="ListParagraph"/>
        <w:numPr>
          <w:ilvl w:val="0"/>
          <w:numId w:val="25"/>
        </w:numPr>
        <w:tabs>
          <w:tab w:pos="2381" w:val="left" w:leader="none"/>
          <w:tab w:pos="2382" w:val="left" w:leader="none"/>
        </w:tabs>
        <w:spacing w:line="240" w:lineRule="auto" w:before="1" w:after="0"/>
        <w:ind w:left="2381" w:right="1755" w:hanging="794"/>
        <w:jc w:val="left"/>
        <w:rPr>
          <w:sz w:val="13"/>
        </w:rPr>
      </w:pPr>
      <w:r>
        <w:rPr>
          <w:w w:val="105"/>
          <w:sz w:val="13"/>
        </w:rPr>
        <w:t>Submissions 21 </w:t>
      </w:r>
      <w:r>
        <w:rPr>
          <w:spacing w:val="2"/>
          <w:w w:val="105"/>
          <w:sz w:val="13"/>
        </w:rPr>
        <w:t>(Office </w:t>
      </w:r>
      <w:r>
        <w:rPr>
          <w:w w:val="105"/>
          <w:sz w:val="13"/>
        </w:rPr>
        <w:t>of the Public Advocate); 25 </w:t>
      </w:r>
      <w:r>
        <w:rPr>
          <w:spacing w:val="2"/>
          <w:w w:val="105"/>
          <w:sz w:val="13"/>
        </w:rPr>
        <w:t>(Moores </w:t>
      </w:r>
      <w:r>
        <w:rPr>
          <w:w w:val="105"/>
          <w:sz w:val="13"/>
        </w:rPr>
        <w:t>Legal); 26 </w:t>
      </w:r>
      <w:r>
        <w:rPr>
          <w:spacing w:val="2"/>
          <w:w w:val="105"/>
          <w:sz w:val="13"/>
        </w:rPr>
        <w:t>(Rigby </w:t>
      </w:r>
      <w:r>
        <w:rPr>
          <w:w w:val="105"/>
          <w:sz w:val="13"/>
        </w:rPr>
        <w:t>Cooke </w:t>
      </w:r>
      <w:r>
        <w:rPr>
          <w:spacing w:val="2"/>
          <w:w w:val="105"/>
          <w:sz w:val="13"/>
        </w:rPr>
        <w:t>Lawyers); </w:t>
      </w:r>
      <w:r>
        <w:rPr>
          <w:w w:val="105"/>
          <w:sz w:val="13"/>
        </w:rPr>
        <w:t>30a </w:t>
      </w:r>
      <w:r>
        <w:rPr>
          <w:spacing w:val="3"/>
          <w:w w:val="105"/>
          <w:sz w:val="13"/>
        </w:rPr>
        <w:t>(Law </w:t>
      </w:r>
      <w:r>
        <w:rPr>
          <w:w w:val="105"/>
          <w:sz w:val="13"/>
        </w:rPr>
        <w:t>Institute of </w:t>
      </w:r>
      <w:r>
        <w:rPr>
          <w:spacing w:val="2"/>
          <w:w w:val="105"/>
          <w:sz w:val="13"/>
        </w:rPr>
        <w:t>Victoria); </w:t>
      </w:r>
      <w:r>
        <w:rPr>
          <w:w w:val="105"/>
          <w:sz w:val="13"/>
        </w:rPr>
        <w:t>31 (Seniors Rights </w:t>
      </w:r>
      <w:r>
        <w:rPr>
          <w:spacing w:val="2"/>
          <w:w w:val="105"/>
          <w:sz w:val="13"/>
        </w:rPr>
        <w:t>Victoria); </w:t>
      </w:r>
      <w:r>
        <w:rPr>
          <w:w w:val="105"/>
          <w:sz w:val="13"/>
        </w:rPr>
        <w:t>36 </w:t>
      </w:r>
      <w:r>
        <w:rPr>
          <w:spacing w:val="3"/>
          <w:w w:val="105"/>
          <w:sz w:val="13"/>
        </w:rPr>
        <w:t>(Law </w:t>
      </w:r>
      <w:r>
        <w:rPr>
          <w:w w:val="105"/>
          <w:sz w:val="13"/>
        </w:rPr>
        <w:t>Society of New South Wales); 38 </w:t>
      </w:r>
      <w:r>
        <w:rPr>
          <w:spacing w:val="2"/>
          <w:w w:val="105"/>
          <w:sz w:val="13"/>
        </w:rPr>
        <w:t>(Liz </w:t>
      </w:r>
      <w:r>
        <w:rPr>
          <w:w w:val="105"/>
          <w:sz w:val="13"/>
        </w:rPr>
        <w:t>Burton). Some members of the Commission’s succession laws </w:t>
      </w:r>
      <w:r>
        <w:rPr>
          <w:spacing w:val="2"/>
          <w:w w:val="105"/>
          <w:sz w:val="13"/>
        </w:rPr>
        <w:t>advisory </w:t>
      </w:r>
      <w:r>
        <w:rPr>
          <w:w w:val="105"/>
          <w:sz w:val="13"/>
        </w:rPr>
        <w:t>committee</w:t>
      </w:r>
      <w:r>
        <w:rPr>
          <w:spacing w:val="5"/>
          <w:w w:val="105"/>
          <w:sz w:val="13"/>
        </w:rPr>
        <w:t> </w:t>
      </w:r>
      <w:r>
        <w:rPr>
          <w:w w:val="105"/>
          <w:sz w:val="13"/>
        </w:rPr>
        <w:t>supported</w:t>
      </w:r>
      <w:r>
        <w:rPr>
          <w:spacing w:val="6"/>
          <w:w w:val="105"/>
          <w:sz w:val="13"/>
        </w:rPr>
        <w:t> </w:t>
      </w:r>
      <w:r>
        <w:rPr>
          <w:w w:val="105"/>
          <w:sz w:val="13"/>
        </w:rPr>
        <w:t>reintroduction</w:t>
      </w:r>
      <w:r>
        <w:rPr>
          <w:spacing w:val="6"/>
          <w:w w:val="105"/>
          <w:sz w:val="13"/>
        </w:rPr>
        <w:t> </w:t>
      </w:r>
      <w:r>
        <w:rPr>
          <w:w w:val="105"/>
          <w:sz w:val="13"/>
        </w:rPr>
        <w:t>of</w:t>
      </w:r>
      <w:r>
        <w:rPr>
          <w:spacing w:val="6"/>
          <w:w w:val="105"/>
          <w:sz w:val="13"/>
        </w:rPr>
        <w:t> </w:t>
      </w:r>
      <w:r>
        <w:rPr>
          <w:w w:val="105"/>
          <w:sz w:val="13"/>
        </w:rPr>
        <w:t>the</w:t>
      </w:r>
      <w:r>
        <w:rPr>
          <w:spacing w:val="6"/>
          <w:w w:val="105"/>
          <w:sz w:val="13"/>
        </w:rPr>
        <w:t> </w:t>
      </w:r>
      <w:r>
        <w:rPr>
          <w:w w:val="105"/>
          <w:sz w:val="13"/>
        </w:rPr>
        <w:t>witness-beneficiary</w:t>
      </w:r>
      <w:r>
        <w:rPr>
          <w:spacing w:val="6"/>
          <w:w w:val="105"/>
          <w:sz w:val="13"/>
        </w:rPr>
        <w:t> </w:t>
      </w:r>
      <w:r>
        <w:rPr>
          <w:w w:val="105"/>
          <w:sz w:val="13"/>
        </w:rPr>
        <w:t>rule,</w:t>
      </w:r>
      <w:r>
        <w:rPr>
          <w:spacing w:val="6"/>
          <w:w w:val="105"/>
          <w:sz w:val="13"/>
        </w:rPr>
        <w:t> </w:t>
      </w:r>
      <w:r>
        <w:rPr>
          <w:w w:val="105"/>
          <w:sz w:val="13"/>
        </w:rPr>
        <w:t>but</w:t>
      </w:r>
      <w:r>
        <w:rPr>
          <w:spacing w:val="6"/>
          <w:w w:val="105"/>
          <w:sz w:val="13"/>
        </w:rPr>
        <w:t> </w:t>
      </w:r>
      <w:r>
        <w:rPr>
          <w:w w:val="105"/>
          <w:sz w:val="13"/>
        </w:rPr>
        <w:t>most</w:t>
      </w:r>
      <w:r>
        <w:rPr>
          <w:spacing w:val="6"/>
          <w:w w:val="105"/>
          <w:sz w:val="13"/>
        </w:rPr>
        <w:t> </w:t>
      </w:r>
      <w:r>
        <w:rPr>
          <w:w w:val="105"/>
          <w:sz w:val="13"/>
        </w:rPr>
        <w:t>were</w:t>
      </w:r>
      <w:r>
        <w:rPr>
          <w:spacing w:val="6"/>
          <w:w w:val="105"/>
          <w:sz w:val="13"/>
        </w:rPr>
        <w:t> </w:t>
      </w:r>
      <w:r>
        <w:rPr>
          <w:w w:val="105"/>
          <w:sz w:val="13"/>
        </w:rPr>
        <w:t>opposed</w:t>
      </w:r>
      <w:r>
        <w:rPr>
          <w:spacing w:val="6"/>
          <w:w w:val="105"/>
          <w:sz w:val="13"/>
        </w:rPr>
        <w:t> </w:t>
      </w:r>
      <w:r>
        <w:rPr>
          <w:w w:val="105"/>
          <w:sz w:val="13"/>
        </w:rPr>
        <w:t>to</w:t>
      </w:r>
      <w:r>
        <w:rPr>
          <w:spacing w:val="6"/>
          <w:w w:val="105"/>
          <w:sz w:val="13"/>
        </w:rPr>
        <w:t> </w:t>
      </w:r>
      <w:r>
        <w:rPr>
          <w:w w:val="105"/>
          <w:sz w:val="13"/>
        </w:rPr>
        <w:t>it:</w:t>
      </w:r>
      <w:r>
        <w:rPr>
          <w:spacing w:val="6"/>
          <w:w w:val="105"/>
          <w:sz w:val="13"/>
        </w:rPr>
        <w:t> </w:t>
      </w:r>
      <w:r>
        <w:rPr>
          <w:w w:val="105"/>
          <w:sz w:val="13"/>
        </w:rPr>
        <w:t>Advisory</w:t>
      </w:r>
      <w:r>
        <w:rPr>
          <w:spacing w:val="6"/>
          <w:w w:val="105"/>
          <w:sz w:val="13"/>
        </w:rPr>
        <w:t> </w:t>
      </w:r>
      <w:r>
        <w:rPr>
          <w:w w:val="105"/>
          <w:sz w:val="13"/>
        </w:rPr>
        <w:t>Committee</w:t>
      </w:r>
      <w:r>
        <w:rPr>
          <w:spacing w:val="6"/>
          <w:w w:val="105"/>
          <w:sz w:val="13"/>
        </w:rPr>
        <w:t> </w:t>
      </w:r>
      <w:r>
        <w:rPr>
          <w:w w:val="105"/>
          <w:sz w:val="13"/>
        </w:rPr>
        <w:t>(Meeting</w:t>
      </w:r>
      <w:r>
        <w:rPr>
          <w:spacing w:val="6"/>
          <w:w w:val="105"/>
          <w:sz w:val="13"/>
        </w:rPr>
        <w:t> </w:t>
      </w:r>
      <w:r>
        <w:rPr>
          <w:spacing w:val="2"/>
          <w:w w:val="105"/>
          <w:sz w:val="13"/>
        </w:rPr>
        <w:t>2).</w:t>
      </w:r>
    </w:p>
    <w:p>
      <w:pPr>
        <w:pStyle w:val="ListParagraph"/>
        <w:numPr>
          <w:ilvl w:val="0"/>
          <w:numId w:val="25"/>
        </w:numPr>
        <w:tabs>
          <w:tab w:pos="2381" w:val="left" w:leader="none"/>
          <w:tab w:pos="2382" w:val="left" w:leader="none"/>
        </w:tabs>
        <w:spacing w:line="240" w:lineRule="auto" w:before="4" w:after="0"/>
        <w:ind w:left="2381" w:right="0" w:hanging="794"/>
        <w:jc w:val="left"/>
        <w:rPr>
          <w:sz w:val="13"/>
        </w:rPr>
      </w:pPr>
      <w:r>
        <w:rPr>
          <w:w w:val="105"/>
          <w:sz w:val="13"/>
        </w:rPr>
        <w:t>Submissions</w:t>
      </w:r>
      <w:r>
        <w:rPr>
          <w:spacing w:val="4"/>
          <w:w w:val="105"/>
          <w:sz w:val="13"/>
        </w:rPr>
        <w:t> </w:t>
      </w:r>
      <w:r>
        <w:rPr>
          <w:w w:val="105"/>
          <w:sz w:val="13"/>
        </w:rPr>
        <w:t>21</w:t>
      </w:r>
      <w:r>
        <w:rPr>
          <w:spacing w:val="5"/>
          <w:w w:val="105"/>
          <w:sz w:val="13"/>
        </w:rPr>
        <w:t> </w:t>
      </w:r>
      <w:r>
        <w:rPr>
          <w:spacing w:val="2"/>
          <w:w w:val="105"/>
          <w:sz w:val="13"/>
        </w:rPr>
        <w:t>(Office</w:t>
      </w:r>
      <w:r>
        <w:rPr>
          <w:spacing w:val="5"/>
          <w:w w:val="105"/>
          <w:sz w:val="13"/>
        </w:rPr>
        <w:t> </w:t>
      </w:r>
      <w:r>
        <w:rPr>
          <w:w w:val="105"/>
          <w:sz w:val="13"/>
        </w:rPr>
        <w:t>of</w:t>
      </w:r>
      <w:r>
        <w:rPr>
          <w:spacing w:val="4"/>
          <w:w w:val="105"/>
          <w:sz w:val="13"/>
        </w:rPr>
        <w:t> </w:t>
      </w:r>
      <w:r>
        <w:rPr>
          <w:w w:val="105"/>
          <w:sz w:val="13"/>
        </w:rPr>
        <w:t>the</w:t>
      </w:r>
      <w:r>
        <w:rPr>
          <w:spacing w:val="5"/>
          <w:w w:val="105"/>
          <w:sz w:val="13"/>
        </w:rPr>
        <w:t> </w:t>
      </w:r>
      <w:r>
        <w:rPr>
          <w:w w:val="105"/>
          <w:sz w:val="13"/>
        </w:rPr>
        <w:t>Public</w:t>
      </w:r>
      <w:r>
        <w:rPr>
          <w:spacing w:val="5"/>
          <w:w w:val="105"/>
          <w:sz w:val="13"/>
        </w:rPr>
        <w:t> </w:t>
      </w:r>
      <w:r>
        <w:rPr>
          <w:w w:val="105"/>
          <w:sz w:val="13"/>
        </w:rPr>
        <w:t>Advocate);</w:t>
      </w:r>
      <w:r>
        <w:rPr>
          <w:spacing w:val="4"/>
          <w:w w:val="105"/>
          <w:sz w:val="13"/>
        </w:rPr>
        <w:t> </w:t>
      </w:r>
      <w:r>
        <w:rPr>
          <w:w w:val="105"/>
          <w:sz w:val="13"/>
        </w:rPr>
        <w:t>26</w:t>
      </w:r>
      <w:r>
        <w:rPr>
          <w:spacing w:val="5"/>
          <w:w w:val="105"/>
          <w:sz w:val="13"/>
        </w:rPr>
        <w:t> </w:t>
      </w:r>
      <w:r>
        <w:rPr>
          <w:spacing w:val="2"/>
          <w:w w:val="105"/>
          <w:sz w:val="13"/>
        </w:rPr>
        <w:t>(Rigby</w:t>
      </w:r>
      <w:r>
        <w:rPr>
          <w:spacing w:val="5"/>
          <w:w w:val="105"/>
          <w:sz w:val="13"/>
        </w:rPr>
        <w:t> </w:t>
      </w:r>
      <w:r>
        <w:rPr>
          <w:w w:val="105"/>
          <w:sz w:val="13"/>
        </w:rPr>
        <w:t>Cooke</w:t>
      </w:r>
      <w:r>
        <w:rPr>
          <w:spacing w:val="4"/>
          <w:w w:val="105"/>
          <w:sz w:val="13"/>
        </w:rPr>
        <w:t> </w:t>
      </w:r>
      <w:r>
        <w:rPr>
          <w:spacing w:val="2"/>
          <w:w w:val="105"/>
          <w:sz w:val="13"/>
        </w:rPr>
        <w:t>Lawyers);</w:t>
      </w:r>
      <w:r>
        <w:rPr>
          <w:spacing w:val="5"/>
          <w:w w:val="105"/>
          <w:sz w:val="13"/>
        </w:rPr>
        <w:t> </w:t>
      </w:r>
      <w:r>
        <w:rPr>
          <w:w w:val="105"/>
          <w:sz w:val="13"/>
        </w:rPr>
        <w:t>31</w:t>
      </w:r>
      <w:r>
        <w:rPr>
          <w:spacing w:val="5"/>
          <w:w w:val="105"/>
          <w:sz w:val="13"/>
        </w:rPr>
        <w:t> </w:t>
      </w:r>
      <w:r>
        <w:rPr>
          <w:w w:val="105"/>
          <w:sz w:val="13"/>
        </w:rPr>
        <w:t>(Seniors</w:t>
      </w:r>
      <w:r>
        <w:rPr>
          <w:spacing w:val="5"/>
          <w:w w:val="105"/>
          <w:sz w:val="13"/>
        </w:rPr>
        <w:t> </w:t>
      </w:r>
      <w:r>
        <w:rPr>
          <w:w w:val="105"/>
          <w:sz w:val="13"/>
        </w:rPr>
        <w:t>Rights</w:t>
      </w:r>
      <w:r>
        <w:rPr>
          <w:spacing w:val="4"/>
          <w:w w:val="105"/>
          <w:sz w:val="13"/>
        </w:rPr>
        <w:t> </w:t>
      </w:r>
      <w:r>
        <w:rPr>
          <w:spacing w:val="2"/>
          <w:w w:val="105"/>
          <w:sz w:val="13"/>
        </w:rPr>
        <w:t>Victoria).</w:t>
      </w:r>
    </w:p>
    <w:p>
      <w:pPr>
        <w:pStyle w:val="ListParagraph"/>
        <w:numPr>
          <w:ilvl w:val="0"/>
          <w:numId w:val="25"/>
        </w:numPr>
        <w:tabs>
          <w:tab w:pos="2381" w:val="left" w:leader="none"/>
          <w:tab w:pos="2382" w:val="left" w:leader="none"/>
        </w:tabs>
        <w:spacing w:line="240" w:lineRule="auto" w:before="2" w:after="0"/>
        <w:ind w:left="2381" w:right="0" w:hanging="794"/>
        <w:jc w:val="left"/>
        <w:rPr>
          <w:sz w:val="13"/>
        </w:rPr>
      </w:pPr>
      <w:r>
        <w:rPr>
          <w:w w:val="105"/>
          <w:sz w:val="13"/>
        </w:rPr>
        <w:t>Advisory Committee (Meeting</w:t>
      </w:r>
      <w:r>
        <w:rPr>
          <w:spacing w:val="13"/>
          <w:w w:val="105"/>
          <w:sz w:val="13"/>
        </w:rPr>
        <w:t> </w:t>
      </w:r>
      <w:r>
        <w:rPr>
          <w:spacing w:val="2"/>
          <w:w w:val="105"/>
          <w:sz w:val="13"/>
        </w:rPr>
        <w:t>2).</w:t>
      </w:r>
    </w:p>
    <w:p>
      <w:pPr>
        <w:pStyle w:val="ListParagraph"/>
        <w:numPr>
          <w:ilvl w:val="0"/>
          <w:numId w:val="25"/>
        </w:numPr>
        <w:tabs>
          <w:tab w:pos="2381" w:val="left" w:leader="none"/>
          <w:tab w:pos="2382" w:val="left" w:leader="none"/>
        </w:tabs>
        <w:spacing w:line="240" w:lineRule="auto" w:before="1" w:after="0"/>
        <w:ind w:left="2381" w:right="0" w:hanging="794"/>
        <w:jc w:val="left"/>
        <w:rPr>
          <w:sz w:val="13"/>
        </w:rPr>
      </w:pPr>
      <w:r>
        <w:rPr>
          <w:sz w:val="13"/>
        </w:rPr>
        <w:t>Ibid.</w:t>
      </w:r>
    </w:p>
    <w:p>
      <w:pPr>
        <w:pStyle w:val="ListParagraph"/>
        <w:numPr>
          <w:ilvl w:val="0"/>
          <w:numId w:val="25"/>
        </w:numPr>
        <w:tabs>
          <w:tab w:pos="2381" w:val="left" w:leader="none"/>
          <w:tab w:pos="2382" w:val="left" w:leader="none"/>
        </w:tabs>
        <w:spacing w:line="240" w:lineRule="auto" w:before="1" w:after="0"/>
        <w:ind w:left="2381" w:right="0" w:hanging="794"/>
        <w:jc w:val="left"/>
        <w:rPr>
          <w:sz w:val="13"/>
        </w:rPr>
      </w:pPr>
      <w:r>
        <w:rPr>
          <w:w w:val="105"/>
          <w:sz w:val="13"/>
        </w:rPr>
        <w:t>Submissions 25 </w:t>
      </w:r>
      <w:r>
        <w:rPr>
          <w:spacing w:val="2"/>
          <w:w w:val="105"/>
          <w:sz w:val="13"/>
        </w:rPr>
        <w:t>(Moores </w:t>
      </w:r>
      <w:r>
        <w:rPr>
          <w:w w:val="105"/>
          <w:sz w:val="13"/>
        </w:rPr>
        <w:t>Legal); 26 </w:t>
      </w:r>
      <w:r>
        <w:rPr>
          <w:spacing w:val="2"/>
          <w:w w:val="105"/>
          <w:sz w:val="13"/>
        </w:rPr>
        <w:t>(Rigby </w:t>
      </w:r>
      <w:r>
        <w:rPr>
          <w:w w:val="105"/>
          <w:sz w:val="13"/>
        </w:rPr>
        <w:t>Cooke</w:t>
      </w:r>
      <w:r>
        <w:rPr>
          <w:spacing w:val="28"/>
          <w:w w:val="105"/>
          <w:sz w:val="13"/>
        </w:rPr>
        <w:t> </w:t>
      </w:r>
      <w:r>
        <w:rPr>
          <w:spacing w:val="2"/>
          <w:w w:val="105"/>
          <w:sz w:val="13"/>
        </w:rPr>
        <w:t>Lawyers).</w:t>
      </w:r>
    </w:p>
    <w:p>
      <w:pPr>
        <w:pStyle w:val="ListParagraph"/>
        <w:numPr>
          <w:ilvl w:val="0"/>
          <w:numId w:val="25"/>
        </w:numPr>
        <w:tabs>
          <w:tab w:pos="2381" w:val="left" w:leader="none"/>
          <w:tab w:pos="2382" w:val="left" w:leader="none"/>
        </w:tabs>
        <w:spacing w:line="240" w:lineRule="auto" w:before="2" w:after="0"/>
        <w:ind w:left="2381" w:right="0" w:hanging="794"/>
        <w:jc w:val="left"/>
        <w:rPr>
          <w:sz w:val="13"/>
        </w:rPr>
      </w:pPr>
      <w:r>
        <w:rPr/>
        <w:pict>
          <v:shape style="position:absolute;margin-left:549.329529pt;margin-top:.069364pt;width:12.55pt;height:14.25pt;mso-position-horizontal-relative:page;mso-position-vertical-relative:paragraph;z-index:1984" type="#_x0000_t202" filled="false" stroked="false">
            <v:textbox inset="0,0,0,0">
              <w:txbxContent>
                <w:p>
                  <w:pPr>
                    <w:spacing w:line="284" w:lineRule="exact" w:before="0"/>
                    <w:ind w:left="0" w:right="0" w:firstLine="0"/>
                    <w:jc w:val="left"/>
                    <w:rPr>
                      <w:b/>
                      <w:sz w:val="24"/>
                    </w:rPr>
                  </w:pPr>
                  <w:r>
                    <w:rPr>
                      <w:b/>
                      <w:color w:val="EC5A4F"/>
                      <w:spacing w:val="-9"/>
                      <w:w w:val="110"/>
                      <w:sz w:val="24"/>
                    </w:rPr>
                    <w:t>11</w:t>
                  </w:r>
                </w:p>
              </w:txbxContent>
            </v:textbox>
            <w10:wrap type="none"/>
          </v:shape>
        </w:pict>
      </w:r>
      <w:r>
        <w:rPr>
          <w:w w:val="105"/>
          <w:sz w:val="13"/>
        </w:rPr>
        <w:t>Submission 25 </w:t>
      </w:r>
      <w:r>
        <w:rPr>
          <w:spacing w:val="2"/>
          <w:w w:val="105"/>
          <w:sz w:val="13"/>
        </w:rPr>
        <w:t>(Moores</w:t>
      </w:r>
      <w:r>
        <w:rPr>
          <w:spacing w:val="13"/>
          <w:w w:val="105"/>
          <w:sz w:val="13"/>
        </w:rPr>
        <w:t> </w:t>
      </w:r>
      <w:r>
        <w:rPr>
          <w:w w:val="105"/>
          <w:sz w:val="13"/>
        </w:rPr>
        <w:t>Legal).</w:t>
      </w:r>
    </w:p>
    <w:p>
      <w:pPr>
        <w:pStyle w:val="ListParagraph"/>
        <w:numPr>
          <w:ilvl w:val="0"/>
          <w:numId w:val="25"/>
        </w:numPr>
        <w:tabs>
          <w:tab w:pos="2381" w:val="left" w:leader="none"/>
          <w:tab w:pos="2382" w:val="left" w:leader="none"/>
        </w:tabs>
        <w:spacing w:line="240" w:lineRule="auto" w:before="1" w:after="0"/>
        <w:ind w:left="2381" w:right="0" w:hanging="794"/>
        <w:jc w:val="left"/>
        <w:rPr>
          <w:sz w:val="13"/>
        </w:rPr>
      </w:pPr>
      <w:r>
        <w:rPr>
          <w:sz w:val="13"/>
        </w:rPr>
        <w:t>Ibid.</w:t>
      </w:r>
    </w:p>
    <w:p>
      <w:pPr>
        <w:spacing w:after="0" w:line="240" w:lineRule="auto"/>
        <w:jc w:val="left"/>
        <w:rPr>
          <w:sz w:val="13"/>
        </w:rPr>
        <w:sectPr>
          <w:pgSz w:w="11910" w:h="16840"/>
          <w:pgMar w:header="805" w:footer="0" w:top="1360" w:bottom="280" w:left="0" w:right="0"/>
        </w:sectPr>
      </w:pPr>
    </w:p>
    <w:p>
      <w:pPr>
        <w:pStyle w:val="BodyText"/>
        <w:spacing w:before="9"/>
        <w:rPr>
          <w:sz w:val="22"/>
        </w:rPr>
      </w:pPr>
    </w:p>
    <w:p>
      <w:pPr>
        <w:pStyle w:val="ListParagraph"/>
        <w:numPr>
          <w:ilvl w:val="1"/>
          <w:numId w:val="22"/>
        </w:numPr>
        <w:tabs>
          <w:tab w:pos="2381" w:val="left" w:leader="none"/>
          <w:tab w:pos="2382" w:val="left" w:leader="none"/>
        </w:tabs>
        <w:spacing w:line="240" w:lineRule="auto" w:before="92" w:after="0"/>
        <w:ind w:left="2381" w:right="0" w:hanging="794"/>
        <w:jc w:val="left"/>
        <w:rPr>
          <w:sz w:val="21"/>
        </w:rPr>
      </w:pPr>
      <w:r>
        <w:rPr>
          <w:sz w:val="21"/>
        </w:rPr>
        <w:t>Others opposed the </w:t>
      </w:r>
      <w:r>
        <w:rPr>
          <w:spacing w:val="-3"/>
          <w:sz w:val="21"/>
        </w:rPr>
        <w:t>reintroduction </w:t>
      </w:r>
      <w:r>
        <w:rPr>
          <w:sz w:val="21"/>
        </w:rPr>
        <w:t>of the rule in </w:t>
      </w:r>
      <w:r>
        <w:rPr>
          <w:spacing w:val="-3"/>
          <w:sz w:val="21"/>
        </w:rPr>
        <w:t>any form </w:t>
      </w:r>
      <w:r>
        <w:rPr>
          <w:sz w:val="21"/>
        </w:rPr>
        <w:t>in Victoria.</w:t>
      </w:r>
      <w:r>
        <w:rPr>
          <w:position w:val="7"/>
          <w:sz w:val="12"/>
        </w:rPr>
        <w:t>68 </w:t>
      </w:r>
      <w:r>
        <w:rPr>
          <w:sz w:val="21"/>
        </w:rPr>
        <w:t>They </w:t>
      </w:r>
      <w:r>
        <w:rPr>
          <w:spacing w:val="-3"/>
          <w:sz w:val="21"/>
        </w:rPr>
        <w:t>noted</w:t>
      </w:r>
      <w:r>
        <w:rPr>
          <w:spacing w:val="32"/>
          <w:sz w:val="21"/>
        </w:rPr>
        <w:t> </w:t>
      </w:r>
      <w:r>
        <w:rPr>
          <w:sz w:val="21"/>
        </w:rPr>
        <w:t>that:</w:t>
      </w:r>
    </w:p>
    <w:p>
      <w:pPr>
        <w:pStyle w:val="ListParagraph"/>
        <w:numPr>
          <w:ilvl w:val="2"/>
          <w:numId w:val="22"/>
        </w:numPr>
        <w:tabs>
          <w:tab w:pos="2721" w:val="left" w:leader="none"/>
          <w:tab w:pos="2722" w:val="left" w:leader="none"/>
        </w:tabs>
        <w:spacing w:line="242" w:lineRule="auto" w:before="123" w:after="0"/>
        <w:ind w:left="2721" w:right="1953" w:hanging="340"/>
        <w:jc w:val="left"/>
        <w:rPr>
          <w:sz w:val="12"/>
        </w:rPr>
      </w:pPr>
      <w:r>
        <w:rPr>
          <w:w w:val="105"/>
          <w:sz w:val="21"/>
        </w:rPr>
        <w:t>The</w:t>
      </w:r>
      <w:r>
        <w:rPr>
          <w:spacing w:val="-6"/>
          <w:w w:val="105"/>
          <w:sz w:val="21"/>
        </w:rPr>
        <w:t> </w:t>
      </w:r>
      <w:r>
        <w:rPr>
          <w:w w:val="105"/>
          <w:sz w:val="21"/>
        </w:rPr>
        <w:t>person</w:t>
      </w:r>
      <w:r>
        <w:rPr>
          <w:spacing w:val="-6"/>
          <w:w w:val="105"/>
          <w:sz w:val="21"/>
        </w:rPr>
        <w:t> </w:t>
      </w:r>
      <w:r>
        <w:rPr>
          <w:w w:val="105"/>
          <w:sz w:val="21"/>
        </w:rPr>
        <w:t>trying</w:t>
      </w:r>
      <w:r>
        <w:rPr>
          <w:spacing w:val="-6"/>
          <w:w w:val="105"/>
          <w:sz w:val="21"/>
        </w:rPr>
        <w:t> </w:t>
      </w:r>
      <w:r>
        <w:rPr>
          <w:spacing w:val="-3"/>
          <w:w w:val="105"/>
          <w:sz w:val="21"/>
        </w:rPr>
        <w:t>to</w:t>
      </w:r>
      <w:r>
        <w:rPr>
          <w:spacing w:val="-6"/>
          <w:w w:val="105"/>
          <w:sz w:val="21"/>
        </w:rPr>
        <w:t> </w:t>
      </w:r>
      <w:r>
        <w:rPr>
          <w:w w:val="105"/>
          <w:sz w:val="21"/>
        </w:rPr>
        <w:t>persuade</w:t>
      </w:r>
      <w:r>
        <w:rPr>
          <w:spacing w:val="-6"/>
          <w:w w:val="105"/>
          <w:sz w:val="21"/>
        </w:rPr>
        <w:t> </w:t>
      </w:r>
      <w:r>
        <w:rPr>
          <w:w w:val="105"/>
          <w:sz w:val="21"/>
        </w:rPr>
        <w:t>the</w:t>
      </w:r>
      <w:r>
        <w:rPr>
          <w:spacing w:val="-6"/>
          <w:w w:val="105"/>
          <w:sz w:val="21"/>
        </w:rPr>
        <w:t> </w:t>
      </w:r>
      <w:r>
        <w:rPr>
          <w:spacing w:val="-3"/>
          <w:w w:val="105"/>
          <w:sz w:val="21"/>
        </w:rPr>
        <w:t>will-maker</w:t>
      </w:r>
      <w:r>
        <w:rPr>
          <w:spacing w:val="-6"/>
          <w:w w:val="105"/>
          <w:sz w:val="21"/>
        </w:rPr>
        <w:t> </w:t>
      </w:r>
      <w:r>
        <w:rPr>
          <w:spacing w:val="-3"/>
          <w:w w:val="105"/>
          <w:sz w:val="21"/>
        </w:rPr>
        <w:t>to</w:t>
      </w:r>
      <w:r>
        <w:rPr>
          <w:spacing w:val="-6"/>
          <w:w w:val="105"/>
          <w:sz w:val="21"/>
        </w:rPr>
        <w:t> </w:t>
      </w:r>
      <w:r>
        <w:rPr>
          <w:spacing w:val="-4"/>
          <w:w w:val="105"/>
          <w:sz w:val="21"/>
        </w:rPr>
        <w:t>make</w:t>
      </w:r>
      <w:r>
        <w:rPr>
          <w:spacing w:val="-6"/>
          <w:w w:val="105"/>
          <w:sz w:val="21"/>
        </w:rPr>
        <w:t> </w:t>
      </w:r>
      <w:r>
        <w:rPr>
          <w:w w:val="105"/>
          <w:sz w:val="21"/>
        </w:rPr>
        <w:t>their</w:t>
      </w:r>
      <w:r>
        <w:rPr>
          <w:spacing w:val="-6"/>
          <w:w w:val="105"/>
          <w:sz w:val="21"/>
        </w:rPr>
        <w:t> </w:t>
      </w:r>
      <w:r>
        <w:rPr>
          <w:spacing w:val="-3"/>
          <w:w w:val="105"/>
          <w:sz w:val="21"/>
        </w:rPr>
        <w:t>will</w:t>
      </w:r>
      <w:r>
        <w:rPr>
          <w:spacing w:val="-6"/>
          <w:w w:val="105"/>
          <w:sz w:val="21"/>
        </w:rPr>
        <w:t> </w:t>
      </w:r>
      <w:r>
        <w:rPr>
          <w:w w:val="105"/>
          <w:sz w:val="21"/>
        </w:rPr>
        <w:t>in</w:t>
      </w:r>
      <w:r>
        <w:rPr>
          <w:spacing w:val="-6"/>
          <w:w w:val="105"/>
          <w:sz w:val="21"/>
        </w:rPr>
        <w:t> </w:t>
      </w:r>
      <w:r>
        <w:rPr>
          <w:w w:val="105"/>
          <w:sz w:val="21"/>
        </w:rPr>
        <w:t>a</w:t>
      </w:r>
      <w:r>
        <w:rPr>
          <w:spacing w:val="-6"/>
          <w:w w:val="105"/>
          <w:sz w:val="21"/>
        </w:rPr>
        <w:t> </w:t>
      </w:r>
      <w:r>
        <w:rPr>
          <w:w w:val="105"/>
          <w:sz w:val="21"/>
        </w:rPr>
        <w:t>particular</w:t>
      </w:r>
      <w:r>
        <w:rPr>
          <w:spacing w:val="-6"/>
          <w:w w:val="105"/>
          <w:sz w:val="21"/>
        </w:rPr>
        <w:t> </w:t>
      </w:r>
      <w:r>
        <w:rPr>
          <w:spacing w:val="-3"/>
          <w:w w:val="105"/>
          <w:sz w:val="21"/>
        </w:rPr>
        <w:t>way </w:t>
      </w:r>
      <w:r>
        <w:rPr>
          <w:w w:val="105"/>
          <w:sz w:val="21"/>
        </w:rPr>
        <w:t>is more </w:t>
      </w:r>
      <w:r>
        <w:rPr>
          <w:spacing w:val="-4"/>
          <w:w w:val="105"/>
          <w:sz w:val="21"/>
        </w:rPr>
        <w:t>likely </w:t>
      </w:r>
      <w:r>
        <w:rPr>
          <w:spacing w:val="-3"/>
          <w:w w:val="105"/>
          <w:sz w:val="21"/>
        </w:rPr>
        <w:t>than </w:t>
      </w:r>
      <w:r>
        <w:rPr>
          <w:w w:val="105"/>
          <w:sz w:val="21"/>
        </w:rPr>
        <w:t>a witness </w:t>
      </w:r>
      <w:r>
        <w:rPr>
          <w:spacing w:val="-3"/>
          <w:w w:val="105"/>
          <w:sz w:val="21"/>
        </w:rPr>
        <w:t>to </w:t>
      </w:r>
      <w:r>
        <w:rPr>
          <w:w w:val="105"/>
          <w:sz w:val="21"/>
        </w:rPr>
        <w:t>subject the </w:t>
      </w:r>
      <w:r>
        <w:rPr>
          <w:spacing w:val="-3"/>
          <w:w w:val="105"/>
          <w:sz w:val="21"/>
        </w:rPr>
        <w:t>will-maker to undue</w:t>
      </w:r>
      <w:r>
        <w:rPr>
          <w:spacing w:val="29"/>
          <w:w w:val="105"/>
          <w:sz w:val="21"/>
        </w:rPr>
        <w:t> </w:t>
      </w:r>
      <w:r>
        <w:rPr>
          <w:spacing w:val="-3"/>
          <w:w w:val="105"/>
          <w:sz w:val="21"/>
        </w:rPr>
        <w:t>influence.</w:t>
      </w:r>
      <w:r>
        <w:rPr>
          <w:spacing w:val="-3"/>
          <w:w w:val="105"/>
          <w:position w:val="7"/>
          <w:sz w:val="12"/>
        </w:rPr>
        <w:t>69</w:t>
      </w:r>
    </w:p>
    <w:p>
      <w:pPr>
        <w:pStyle w:val="ListParagraph"/>
        <w:numPr>
          <w:ilvl w:val="2"/>
          <w:numId w:val="22"/>
        </w:numPr>
        <w:tabs>
          <w:tab w:pos="2721" w:val="left" w:leader="none"/>
          <w:tab w:pos="2722" w:val="left" w:leader="none"/>
        </w:tabs>
        <w:spacing w:line="242" w:lineRule="auto" w:before="123" w:after="0"/>
        <w:ind w:left="2721" w:right="1661" w:hanging="340"/>
        <w:jc w:val="left"/>
        <w:rPr>
          <w:sz w:val="12"/>
        </w:rPr>
      </w:pPr>
      <w:r>
        <w:rPr>
          <w:w w:val="105"/>
          <w:sz w:val="21"/>
        </w:rPr>
        <w:t>The rule can </w:t>
      </w:r>
      <w:r>
        <w:rPr>
          <w:spacing w:val="-3"/>
          <w:w w:val="105"/>
          <w:sz w:val="21"/>
        </w:rPr>
        <w:t>produce injustice </w:t>
      </w:r>
      <w:r>
        <w:rPr>
          <w:w w:val="105"/>
          <w:sz w:val="21"/>
        </w:rPr>
        <w:t>in </w:t>
      </w:r>
      <w:r>
        <w:rPr>
          <w:spacing w:val="-3"/>
          <w:w w:val="105"/>
          <w:sz w:val="21"/>
        </w:rPr>
        <w:t>innocent situations </w:t>
      </w:r>
      <w:r>
        <w:rPr>
          <w:w w:val="105"/>
          <w:position w:val="7"/>
          <w:sz w:val="12"/>
        </w:rPr>
        <w:t>70 </w:t>
      </w:r>
      <w:r>
        <w:rPr>
          <w:w w:val="105"/>
          <w:sz w:val="21"/>
        </w:rPr>
        <w:t>and </w:t>
      </w:r>
      <w:r>
        <w:rPr>
          <w:spacing w:val="-3"/>
          <w:w w:val="105"/>
          <w:sz w:val="21"/>
        </w:rPr>
        <w:t>may interfere </w:t>
      </w:r>
      <w:r>
        <w:rPr>
          <w:w w:val="105"/>
          <w:sz w:val="21"/>
        </w:rPr>
        <w:t>with the freedom</w:t>
      </w:r>
      <w:r>
        <w:rPr>
          <w:spacing w:val="-5"/>
          <w:w w:val="105"/>
          <w:sz w:val="21"/>
        </w:rPr>
        <w:t> </w:t>
      </w:r>
      <w:r>
        <w:rPr>
          <w:spacing w:val="-3"/>
          <w:w w:val="105"/>
          <w:sz w:val="21"/>
        </w:rPr>
        <w:t>to</w:t>
      </w:r>
      <w:r>
        <w:rPr>
          <w:spacing w:val="-5"/>
          <w:w w:val="105"/>
          <w:sz w:val="21"/>
        </w:rPr>
        <w:t> </w:t>
      </w:r>
      <w:r>
        <w:rPr>
          <w:spacing w:val="-4"/>
          <w:w w:val="105"/>
          <w:sz w:val="21"/>
        </w:rPr>
        <w:t>make</w:t>
      </w:r>
      <w:r>
        <w:rPr>
          <w:spacing w:val="-5"/>
          <w:w w:val="105"/>
          <w:sz w:val="21"/>
        </w:rPr>
        <w:t> </w:t>
      </w:r>
      <w:r>
        <w:rPr>
          <w:w w:val="105"/>
          <w:sz w:val="21"/>
        </w:rPr>
        <w:t>a</w:t>
      </w:r>
      <w:r>
        <w:rPr>
          <w:spacing w:val="-5"/>
          <w:w w:val="105"/>
          <w:sz w:val="21"/>
        </w:rPr>
        <w:t> </w:t>
      </w:r>
      <w:r>
        <w:rPr>
          <w:spacing w:val="-3"/>
          <w:w w:val="105"/>
          <w:sz w:val="21"/>
        </w:rPr>
        <w:t>will,</w:t>
      </w:r>
      <w:r>
        <w:rPr>
          <w:spacing w:val="-5"/>
          <w:w w:val="105"/>
          <w:sz w:val="21"/>
        </w:rPr>
        <w:t> </w:t>
      </w:r>
      <w:r>
        <w:rPr>
          <w:spacing w:val="-3"/>
          <w:w w:val="105"/>
          <w:sz w:val="21"/>
        </w:rPr>
        <w:t>defeating</w:t>
      </w:r>
      <w:r>
        <w:rPr>
          <w:spacing w:val="-4"/>
          <w:w w:val="105"/>
          <w:sz w:val="21"/>
        </w:rPr>
        <w:t> </w:t>
      </w:r>
      <w:r>
        <w:rPr>
          <w:w w:val="105"/>
          <w:sz w:val="21"/>
        </w:rPr>
        <w:t>the</w:t>
      </w:r>
      <w:r>
        <w:rPr>
          <w:spacing w:val="-5"/>
          <w:w w:val="105"/>
          <w:sz w:val="21"/>
        </w:rPr>
        <w:t> </w:t>
      </w:r>
      <w:r>
        <w:rPr>
          <w:spacing w:val="-3"/>
          <w:w w:val="105"/>
          <w:sz w:val="21"/>
        </w:rPr>
        <w:t>will-maker’s</w:t>
      </w:r>
      <w:r>
        <w:rPr>
          <w:spacing w:val="-5"/>
          <w:w w:val="105"/>
          <w:sz w:val="21"/>
        </w:rPr>
        <w:t> </w:t>
      </w:r>
      <w:r>
        <w:rPr>
          <w:w w:val="105"/>
          <w:sz w:val="21"/>
        </w:rPr>
        <w:t>wishes</w:t>
      </w:r>
      <w:r>
        <w:rPr>
          <w:spacing w:val="-5"/>
          <w:w w:val="105"/>
          <w:sz w:val="21"/>
        </w:rPr>
        <w:t> </w:t>
      </w:r>
      <w:r>
        <w:rPr>
          <w:w w:val="105"/>
          <w:sz w:val="21"/>
        </w:rPr>
        <w:t>where</w:t>
      </w:r>
      <w:r>
        <w:rPr>
          <w:spacing w:val="-5"/>
          <w:w w:val="105"/>
          <w:sz w:val="21"/>
        </w:rPr>
        <w:t> </w:t>
      </w:r>
      <w:r>
        <w:rPr>
          <w:w w:val="105"/>
          <w:sz w:val="21"/>
        </w:rPr>
        <w:t>there</w:t>
      </w:r>
      <w:r>
        <w:rPr>
          <w:spacing w:val="-5"/>
          <w:w w:val="105"/>
          <w:sz w:val="21"/>
        </w:rPr>
        <w:t> </w:t>
      </w:r>
      <w:r>
        <w:rPr>
          <w:w w:val="105"/>
          <w:sz w:val="21"/>
        </w:rPr>
        <w:t>is</w:t>
      </w:r>
      <w:r>
        <w:rPr>
          <w:spacing w:val="-4"/>
          <w:w w:val="105"/>
          <w:sz w:val="21"/>
        </w:rPr>
        <w:t> </w:t>
      </w:r>
      <w:r>
        <w:rPr>
          <w:w w:val="105"/>
          <w:sz w:val="21"/>
        </w:rPr>
        <w:t>no</w:t>
      </w:r>
      <w:r>
        <w:rPr>
          <w:spacing w:val="-5"/>
          <w:w w:val="105"/>
          <w:sz w:val="21"/>
        </w:rPr>
        <w:t> </w:t>
      </w:r>
      <w:r>
        <w:rPr>
          <w:spacing w:val="-3"/>
          <w:w w:val="105"/>
          <w:sz w:val="21"/>
        </w:rPr>
        <w:t>real</w:t>
      </w:r>
      <w:r>
        <w:rPr>
          <w:spacing w:val="-5"/>
          <w:w w:val="105"/>
          <w:sz w:val="21"/>
        </w:rPr>
        <w:t> </w:t>
      </w:r>
      <w:r>
        <w:rPr>
          <w:spacing w:val="-3"/>
          <w:w w:val="105"/>
          <w:sz w:val="21"/>
        </w:rPr>
        <w:t>issue </w:t>
      </w:r>
      <w:r>
        <w:rPr>
          <w:w w:val="105"/>
          <w:sz w:val="21"/>
        </w:rPr>
        <w:t>of</w:t>
      </w:r>
      <w:r>
        <w:rPr>
          <w:spacing w:val="5"/>
          <w:w w:val="105"/>
          <w:sz w:val="21"/>
        </w:rPr>
        <w:t> </w:t>
      </w:r>
      <w:r>
        <w:rPr>
          <w:spacing w:val="-4"/>
          <w:w w:val="105"/>
          <w:sz w:val="21"/>
        </w:rPr>
        <w:t>impropriety.</w:t>
      </w:r>
      <w:r>
        <w:rPr>
          <w:spacing w:val="-4"/>
          <w:w w:val="105"/>
          <w:position w:val="7"/>
          <w:sz w:val="12"/>
        </w:rPr>
        <w:t>71</w:t>
      </w:r>
    </w:p>
    <w:p>
      <w:pPr>
        <w:pStyle w:val="ListParagraph"/>
        <w:numPr>
          <w:ilvl w:val="2"/>
          <w:numId w:val="22"/>
        </w:numPr>
        <w:tabs>
          <w:tab w:pos="2721" w:val="left" w:leader="none"/>
          <w:tab w:pos="2722" w:val="left" w:leader="none"/>
        </w:tabs>
        <w:spacing w:line="240" w:lineRule="auto" w:before="123" w:after="0"/>
        <w:ind w:left="2721" w:right="0" w:hanging="340"/>
        <w:jc w:val="left"/>
        <w:rPr>
          <w:sz w:val="12"/>
        </w:rPr>
      </w:pPr>
      <w:r>
        <w:rPr>
          <w:sz w:val="21"/>
        </w:rPr>
        <w:t>The</w:t>
      </w:r>
      <w:r>
        <w:rPr>
          <w:spacing w:val="11"/>
          <w:sz w:val="21"/>
        </w:rPr>
        <w:t> </w:t>
      </w:r>
      <w:r>
        <w:rPr>
          <w:spacing w:val="-3"/>
          <w:sz w:val="21"/>
        </w:rPr>
        <w:t>rule</w:t>
      </w:r>
      <w:r>
        <w:rPr>
          <w:spacing w:val="11"/>
          <w:sz w:val="21"/>
        </w:rPr>
        <w:t> </w:t>
      </w:r>
      <w:r>
        <w:rPr>
          <w:spacing w:val="-3"/>
          <w:sz w:val="21"/>
        </w:rPr>
        <w:t>may</w:t>
      </w:r>
      <w:r>
        <w:rPr>
          <w:spacing w:val="11"/>
          <w:sz w:val="21"/>
        </w:rPr>
        <w:t> </w:t>
      </w:r>
      <w:r>
        <w:rPr>
          <w:spacing w:val="-4"/>
          <w:sz w:val="21"/>
        </w:rPr>
        <w:t>result</w:t>
      </w:r>
      <w:r>
        <w:rPr>
          <w:spacing w:val="11"/>
          <w:sz w:val="21"/>
        </w:rPr>
        <w:t> </w:t>
      </w:r>
      <w:r>
        <w:rPr>
          <w:spacing w:val="-3"/>
          <w:sz w:val="21"/>
        </w:rPr>
        <w:t>in</w:t>
      </w:r>
      <w:r>
        <w:rPr>
          <w:spacing w:val="11"/>
          <w:sz w:val="21"/>
        </w:rPr>
        <w:t> </w:t>
      </w:r>
      <w:r>
        <w:rPr>
          <w:spacing w:val="-4"/>
          <w:sz w:val="21"/>
        </w:rPr>
        <w:t>increased</w:t>
      </w:r>
      <w:r>
        <w:rPr>
          <w:spacing w:val="11"/>
          <w:sz w:val="21"/>
        </w:rPr>
        <w:t> </w:t>
      </w:r>
      <w:r>
        <w:rPr>
          <w:spacing w:val="-4"/>
          <w:sz w:val="21"/>
        </w:rPr>
        <w:t>litigation</w:t>
      </w:r>
      <w:r>
        <w:rPr>
          <w:spacing w:val="11"/>
          <w:sz w:val="21"/>
        </w:rPr>
        <w:t> </w:t>
      </w:r>
      <w:r>
        <w:rPr>
          <w:spacing w:val="-3"/>
          <w:sz w:val="21"/>
        </w:rPr>
        <w:t>to</w:t>
      </w:r>
      <w:r>
        <w:rPr>
          <w:spacing w:val="11"/>
          <w:sz w:val="21"/>
        </w:rPr>
        <w:t> </w:t>
      </w:r>
      <w:r>
        <w:rPr>
          <w:spacing w:val="-4"/>
          <w:sz w:val="21"/>
        </w:rPr>
        <w:t>determine</w:t>
      </w:r>
      <w:r>
        <w:rPr>
          <w:spacing w:val="11"/>
          <w:sz w:val="21"/>
        </w:rPr>
        <w:t> </w:t>
      </w:r>
      <w:r>
        <w:rPr>
          <w:spacing w:val="-3"/>
          <w:sz w:val="21"/>
        </w:rPr>
        <w:t>whether</w:t>
      </w:r>
      <w:r>
        <w:rPr>
          <w:spacing w:val="11"/>
          <w:sz w:val="21"/>
        </w:rPr>
        <w:t> </w:t>
      </w:r>
      <w:r>
        <w:rPr>
          <w:sz w:val="21"/>
        </w:rPr>
        <w:t>an</w:t>
      </w:r>
      <w:r>
        <w:rPr>
          <w:spacing w:val="11"/>
          <w:sz w:val="21"/>
        </w:rPr>
        <w:t> </w:t>
      </w:r>
      <w:r>
        <w:rPr>
          <w:spacing w:val="-4"/>
          <w:sz w:val="21"/>
        </w:rPr>
        <w:t>exception</w:t>
      </w:r>
      <w:r>
        <w:rPr>
          <w:spacing w:val="11"/>
          <w:sz w:val="21"/>
        </w:rPr>
        <w:t> </w:t>
      </w:r>
      <w:r>
        <w:rPr>
          <w:spacing w:val="-4"/>
          <w:sz w:val="21"/>
        </w:rPr>
        <w:t>applies.</w:t>
      </w:r>
      <w:r>
        <w:rPr>
          <w:spacing w:val="-4"/>
          <w:position w:val="7"/>
          <w:sz w:val="12"/>
        </w:rPr>
        <w:t>72</w:t>
      </w:r>
    </w:p>
    <w:p>
      <w:pPr>
        <w:pStyle w:val="ListParagraph"/>
        <w:numPr>
          <w:ilvl w:val="2"/>
          <w:numId w:val="22"/>
        </w:numPr>
        <w:tabs>
          <w:tab w:pos="2721" w:val="left" w:leader="none"/>
          <w:tab w:pos="2722" w:val="left" w:leader="none"/>
        </w:tabs>
        <w:spacing w:line="242" w:lineRule="auto" w:before="123" w:after="0"/>
        <w:ind w:left="2721" w:right="1852" w:hanging="340"/>
        <w:jc w:val="left"/>
        <w:rPr>
          <w:sz w:val="12"/>
        </w:rPr>
      </w:pPr>
      <w:r>
        <w:rPr>
          <w:w w:val="105"/>
          <w:sz w:val="21"/>
        </w:rPr>
        <w:t>Reintroduction</w:t>
      </w:r>
      <w:r>
        <w:rPr>
          <w:spacing w:val="-10"/>
          <w:w w:val="105"/>
          <w:sz w:val="21"/>
        </w:rPr>
        <w:t> </w:t>
      </w:r>
      <w:r>
        <w:rPr>
          <w:w w:val="105"/>
          <w:sz w:val="21"/>
        </w:rPr>
        <w:t>of</w:t>
      </w:r>
      <w:r>
        <w:rPr>
          <w:spacing w:val="-10"/>
          <w:w w:val="105"/>
          <w:sz w:val="21"/>
        </w:rPr>
        <w:t> </w:t>
      </w:r>
      <w:r>
        <w:rPr>
          <w:w w:val="105"/>
          <w:sz w:val="21"/>
        </w:rPr>
        <w:t>the</w:t>
      </w:r>
      <w:r>
        <w:rPr>
          <w:spacing w:val="-10"/>
          <w:w w:val="105"/>
          <w:sz w:val="21"/>
        </w:rPr>
        <w:t> </w:t>
      </w:r>
      <w:r>
        <w:rPr>
          <w:w w:val="105"/>
          <w:sz w:val="21"/>
        </w:rPr>
        <w:t>rule</w:t>
      </w:r>
      <w:r>
        <w:rPr>
          <w:spacing w:val="-10"/>
          <w:w w:val="105"/>
          <w:sz w:val="21"/>
        </w:rPr>
        <w:t> </w:t>
      </w:r>
      <w:r>
        <w:rPr>
          <w:w w:val="105"/>
          <w:sz w:val="21"/>
        </w:rPr>
        <w:t>would</w:t>
      </w:r>
      <w:r>
        <w:rPr>
          <w:spacing w:val="-9"/>
          <w:w w:val="105"/>
          <w:sz w:val="21"/>
        </w:rPr>
        <w:t> </w:t>
      </w:r>
      <w:r>
        <w:rPr>
          <w:spacing w:val="-2"/>
          <w:w w:val="105"/>
          <w:sz w:val="21"/>
        </w:rPr>
        <w:t>not</w:t>
      </w:r>
      <w:r>
        <w:rPr>
          <w:spacing w:val="-10"/>
          <w:w w:val="105"/>
          <w:sz w:val="21"/>
        </w:rPr>
        <w:t> </w:t>
      </w:r>
      <w:r>
        <w:rPr>
          <w:w w:val="105"/>
          <w:sz w:val="21"/>
        </w:rPr>
        <w:t>advance</w:t>
      </w:r>
      <w:r>
        <w:rPr>
          <w:spacing w:val="-10"/>
          <w:w w:val="105"/>
          <w:sz w:val="21"/>
        </w:rPr>
        <w:t> </w:t>
      </w:r>
      <w:r>
        <w:rPr>
          <w:spacing w:val="-3"/>
          <w:w w:val="105"/>
          <w:sz w:val="21"/>
        </w:rPr>
        <w:t>national</w:t>
      </w:r>
      <w:r>
        <w:rPr>
          <w:spacing w:val="-10"/>
          <w:w w:val="105"/>
          <w:sz w:val="21"/>
        </w:rPr>
        <w:t> </w:t>
      </w:r>
      <w:r>
        <w:rPr>
          <w:spacing w:val="-3"/>
          <w:w w:val="105"/>
          <w:sz w:val="21"/>
        </w:rPr>
        <w:t>consistency,</w:t>
      </w:r>
      <w:r>
        <w:rPr>
          <w:spacing w:val="-10"/>
          <w:w w:val="105"/>
          <w:sz w:val="21"/>
        </w:rPr>
        <w:t> </w:t>
      </w:r>
      <w:r>
        <w:rPr>
          <w:w w:val="105"/>
          <w:sz w:val="21"/>
        </w:rPr>
        <w:t>as</w:t>
      </w:r>
      <w:r>
        <w:rPr>
          <w:spacing w:val="-9"/>
          <w:w w:val="105"/>
          <w:sz w:val="21"/>
        </w:rPr>
        <w:t> </w:t>
      </w:r>
      <w:r>
        <w:rPr>
          <w:w w:val="105"/>
          <w:sz w:val="21"/>
        </w:rPr>
        <w:t>the</w:t>
      </w:r>
      <w:r>
        <w:rPr>
          <w:spacing w:val="-10"/>
          <w:w w:val="105"/>
          <w:sz w:val="21"/>
        </w:rPr>
        <w:t> </w:t>
      </w:r>
      <w:r>
        <w:rPr>
          <w:w w:val="105"/>
          <w:sz w:val="21"/>
        </w:rPr>
        <w:t>rule</w:t>
      </w:r>
      <w:r>
        <w:rPr>
          <w:spacing w:val="-10"/>
          <w:w w:val="105"/>
          <w:sz w:val="21"/>
        </w:rPr>
        <w:t> </w:t>
      </w:r>
      <w:r>
        <w:rPr>
          <w:w w:val="105"/>
          <w:sz w:val="21"/>
        </w:rPr>
        <w:t>does </w:t>
      </w:r>
      <w:r>
        <w:rPr>
          <w:spacing w:val="-2"/>
          <w:w w:val="105"/>
          <w:sz w:val="21"/>
        </w:rPr>
        <w:t>not </w:t>
      </w:r>
      <w:r>
        <w:rPr>
          <w:w w:val="105"/>
          <w:sz w:val="21"/>
        </w:rPr>
        <w:t>apply in </w:t>
      </w:r>
      <w:r>
        <w:rPr>
          <w:spacing w:val="-3"/>
          <w:w w:val="105"/>
          <w:sz w:val="21"/>
        </w:rPr>
        <w:t>four</w:t>
      </w:r>
      <w:r>
        <w:rPr>
          <w:spacing w:val="22"/>
          <w:w w:val="105"/>
          <w:sz w:val="21"/>
        </w:rPr>
        <w:t> </w:t>
      </w:r>
      <w:r>
        <w:rPr>
          <w:spacing w:val="-3"/>
          <w:w w:val="105"/>
          <w:sz w:val="21"/>
        </w:rPr>
        <w:t>jurisdictions.</w:t>
      </w:r>
      <w:r>
        <w:rPr>
          <w:spacing w:val="-3"/>
          <w:w w:val="105"/>
          <w:position w:val="7"/>
          <w:sz w:val="12"/>
        </w:rPr>
        <w:t>73</w:t>
      </w:r>
    </w:p>
    <w:p>
      <w:pPr>
        <w:pStyle w:val="ListParagraph"/>
        <w:numPr>
          <w:ilvl w:val="2"/>
          <w:numId w:val="22"/>
        </w:numPr>
        <w:tabs>
          <w:tab w:pos="2721" w:val="left" w:leader="none"/>
          <w:tab w:pos="2722" w:val="left" w:leader="none"/>
        </w:tabs>
        <w:spacing w:line="242" w:lineRule="auto" w:before="123" w:after="0"/>
        <w:ind w:left="2721" w:right="1938" w:hanging="340"/>
        <w:jc w:val="left"/>
        <w:rPr>
          <w:sz w:val="12"/>
        </w:rPr>
      </w:pPr>
      <w:r>
        <w:rPr>
          <w:w w:val="105"/>
          <w:sz w:val="21"/>
        </w:rPr>
        <w:t>The existence of a witness-beneficiary </w:t>
      </w:r>
      <w:r>
        <w:rPr>
          <w:spacing w:val="-3"/>
          <w:w w:val="105"/>
          <w:sz w:val="21"/>
        </w:rPr>
        <w:t>may </w:t>
      </w:r>
      <w:r>
        <w:rPr>
          <w:w w:val="105"/>
          <w:sz w:val="21"/>
        </w:rPr>
        <w:t>provide some evidence of </w:t>
      </w:r>
      <w:r>
        <w:rPr>
          <w:spacing w:val="-3"/>
          <w:w w:val="105"/>
          <w:sz w:val="21"/>
        </w:rPr>
        <w:t>suspicious circumstances </w:t>
      </w:r>
      <w:r>
        <w:rPr>
          <w:w w:val="105"/>
          <w:sz w:val="21"/>
        </w:rPr>
        <w:t>or </w:t>
      </w:r>
      <w:r>
        <w:rPr>
          <w:spacing w:val="-3"/>
          <w:w w:val="105"/>
          <w:sz w:val="21"/>
        </w:rPr>
        <w:t>undue influence, </w:t>
      </w:r>
      <w:r>
        <w:rPr>
          <w:w w:val="105"/>
          <w:sz w:val="21"/>
        </w:rPr>
        <w:t>so a </w:t>
      </w:r>
      <w:r>
        <w:rPr>
          <w:spacing w:val="-3"/>
          <w:w w:val="105"/>
          <w:sz w:val="21"/>
        </w:rPr>
        <w:t>will could </w:t>
      </w:r>
      <w:r>
        <w:rPr>
          <w:w w:val="105"/>
          <w:sz w:val="21"/>
        </w:rPr>
        <w:t>still be </w:t>
      </w:r>
      <w:r>
        <w:rPr>
          <w:spacing w:val="-3"/>
          <w:w w:val="105"/>
          <w:sz w:val="21"/>
        </w:rPr>
        <w:t>challenged </w:t>
      </w:r>
      <w:r>
        <w:rPr>
          <w:w w:val="105"/>
          <w:sz w:val="21"/>
        </w:rPr>
        <w:t>by these other </w:t>
      </w:r>
      <w:r>
        <w:rPr>
          <w:spacing w:val="-5"/>
          <w:w w:val="105"/>
          <w:sz w:val="21"/>
        </w:rPr>
        <w:t>means.</w:t>
      </w:r>
      <w:r>
        <w:rPr>
          <w:spacing w:val="-5"/>
          <w:w w:val="105"/>
          <w:position w:val="7"/>
          <w:sz w:val="12"/>
        </w:rPr>
        <w:t>74</w:t>
      </w:r>
    </w:p>
    <w:p>
      <w:pPr>
        <w:pStyle w:val="ListParagraph"/>
        <w:numPr>
          <w:ilvl w:val="1"/>
          <w:numId w:val="22"/>
        </w:numPr>
        <w:tabs>
          <w:tab w:pos="2380" w:val="left" w:leader="none"/>
          <w:tab w:pos="2381" w:val="left" w:leader="none"/>
        </w:tabs>
        <w:spacing w:line="242" w:lineRule="auto" w:before="123" w:after="0"/>
        <w:ind w:left="2381" w:right="1903" w:hanging="794"/>
        <w:jc w:val="left"/>
        <w:rPr>
          <w:sz w:val="21"/>
        </w:rPr>
      </w:pPr>
      <w:r>
        <w:rPr>
          <w:sz w:val="21"/>
        </w:rPr>
        <w:t>The </w:t>
      </w:r>
      <w:r>
        <w:rPr>
          <w:spacing w:val="-3"/>
          <w:sz w:val="21"/>
        </w:rPr>
        <w:t>Commission </w:t>
      </w:r>
      <w:r>
        <w:rPr>
          <w:sz w:val="21"/>
        </w:rPr>
        <w:t>agrees </w:t>
      </w:r>
      <w:r>
        <w:rPr>
          <w:spacing w:val="-3"/>
          <w:sz w:val="21"/>
        </w:rPr>
        <w:t>that </w:t>
      </w:r>
      <w:r>
        <w:rPr>
          <w:sz w:val="21"/>
        </w:rPr>
        <w:t>there </w:t>
      </w:r>
      <w:r>
        <w:rPr>
          <w:spacing w:val="-3"/>
          <w:sz w:val="21"/>
        </w:rPr>
        <w:t>are compelling </w:t>
      </w:r>
      <w:r>
        <w:rPr>
          <w:sz w:val="21"/>
        </w:rPr>
        <w:t>arguments </w:t>
      </w:r>
      <w:r>
        <w:rPr>
          <w:spacing w:val="-3"/>
          <w:sz w:val="21"/>
        </w:rPr>
        <w:t>against reintroducing </w:t>
      </w:r>
      <w:r>
        <w:rPr>
          <w:sz w:val="21"/>
        </w:rPr>
        <w:t>the witness-beneficiary </w:t>
      </w:r>
      <w:r>
        <w:rPr>
          <w:spacing w:val="-3"/>
          <w:sz w:val="21"/>
        </w:rPr>
        <w:t>rule. </w:t>
      </w:r>
      <w:r>
        <w:rPr>
          <w:sz w:val="21"/>
        </w:rPr>
        <w:t>In </w:t>
      </w:r>
      <w:r>
        <w:rPr>
          <w:spacing w:val="-3"/>
          <w:sz w:val="21"/>
        </w:rPr>
        <w:t>particular, </w:t>
      </w:r>
      <w:r>
        <w:rPr>
          <w:sz w:val="21"/>
        </w:rPr>
        <w:t>the </w:t>
      </w:r>
      <w:r>
        <w:rPr>
          <w:spacing w:val="-3"/>
          <w:sz w:val="21"/>
        </w:rPr>
        <w:t>Commission </w:t>
      </w:r>
      <w:r>
        <w:rPr>
          <w:sz w:val="21"/>
        </w:rPr>
        <w:t>does </w:t>
      </w:r>
      <w:r>
        <w:rPr>
          <w:spacing w:val="-2"/>
          <w:sz w:val="21"/>
        </w:rPr>
        <w:t>not </w:t>
      </w:r>
      <w:r>
        <w:rPr>
          <w:sz w:val="21"/>
        </w:rPr>
        <w:t>believe </w:t>
      </w:r>
      <w:r>
        <w:rPr>
          <w:spacing w:val="-3"/>
          <w:sz w:val="21"/>
        </w:rPr>
        <w:t>that </w:t>
      </w:r>
      <w:r>
        <w:rPr>
          <w:sz w:val="21"/>
        </w:rPr>
        <w:t>the</w:t>
      </w:r>
      <w:r>
        <w:rPr>
          <w:spacing w:val="-21"/>
          <w:sz w:val="21"/>
        </w:rPr>
        <w:t> </w:t>
      </w:r>
      <w:r>
        <w:rPr>
          <w:spacing w:val="-3"/>
          <w:sz w:val="21"/>
        </w:rPr>
        <w:t>rule</w:t>
      </w:r>
    </w:p>
    <w:p>
      <w:pPr>
        <w:pStyle w:val="BodyText"/>
        <w:spacing w:line="242" w:lineRule="auto" w:before="2"/>
        <w:ind w:left="2380" w:right="2142"/>
      </w:pPr>
      <w:r>
        <w:rPr/>
        <w:t>is an effective </w:t>
      </w:r>
      <w:r>
        <w:rPr>
          <w:spacing w:val="-3"/>
        </w:rPr>
        <w:t>measure to  prevent  </w:t>
      </w:r>
      <w:r>
        <w:rPr/>
        <w:t>or remedy </w:t>
      </w:r>
      <w:r>
        <w:rPr>
          <w:spacing w:val="-3"/>
        </w:rPr>
        <w:t>undue</w:t>
      </w:r>
      <w:r>
        <w:rPr>
          <w:spacing w:val="41"/>
        </w:rPr>
        <w:t> </w:t>
      </w:r>
      <w:r>
        <w:rPr>
          <w:spacing w:val="-3"/>
        </w:rPr>
        <w:t>influence.  </w:t>
      </w:r>
      <w:r>
        <w:rPr/>
        <w:t>Most of those seeking </w:t>
      </w:r>
      <w:r>
        <w:rPr>
          <w:spacing w:val="-3"/>
        </w:rPr>
        <w:t>to exercise undue influence take </w:t>
      </w:r>
      <w:r>
        <w:rPr/>
        <w:t>steps </w:t>
      </w:r>
      <w:r>
        <w:rPr>
          <w:spacing w:val="-3"/>
        </w:rPr>
        <w:t>to disguise </w:t>
      </w:r>
      <w:r>
        <w:rPr/>
        <w:t>their </w:t>
      </w:r>
      <w:r>
        <w:rPr>
          <w:spacing w:val="-3"/>
        </w:rPr>
        <w:t>involvement </w:t>
      </w:r>
      <w:r>
        <w:rPr/>
        <w:t>in the will-making process, </w:t>
      </w:r>
      <w:r>
        <w:rPr>
          <w:spacing w:val="-3"/>
        </w:rPr>
        <w:t>including </w:t>
      </w:r>
      <w:r>
        <w:rPr/>
        <w:t>by </w:t>
      </w:r>
      <w:r>
        <w:rPr>
          <w:spacing w:val="-3"/>
        </w:rPr>
        <w:t>refraining from </w:t>
      </w:r>
      <w:r>
        <w:rPr/>
        <w:t>acting as a witness </w:t>
      </w:r>
      <w:r>
        <w:rPr>
          <w:spacing w:val="-3"/>
        </w:rPr>
        <w:t>to </w:t>
      </w:r>
      <w:r>
        <w:rPr/>
        <w:t>the </w:t>
      </w:r>
      <w:r>
        <w:rPr>
          <w:spacing w:val="-4"/>
        </w:rPr>
        <w:t>will.</w:t>
      </w:r>
      <w:r>
        <w:rPr>
          <w:spacing w:val="-4"/>
          <w:position w:val="7"/>
          <w:sz w:val="12"/>
        </w:rPr>
        <w:t>75 </w:t>
      </w:r>
      <w:r>
        <w:rPr/>
        <w:t>There </w:t>
      </w:r>
      <w:r>
        <w:rPr>
          <w:spacing w:val="-3"/>
        </w:rPr>
        <w:t>were</w:t>
      </w:r>
      <w:r>
        <w:rPr>
          <w:spacing w:val="38"/>
        </w:rPr>
        <w:t> </w:t>
      </w:r>
      <w:r>
        <w:rPr/>
        <w:t>no</w:t>
      </w:r>
    </w:p>
    <w:p>
      <w:pPr>
        <w:pStyle w:val="BodyText"/>
        <w:spacing w:line="242" w:lineRule="auto" w:before="3"/>
        <w:ind w:left="2381" w:right="1711"/>
      </w:pPr>
      <w:r>
        <w:rPr/>
        <w:t>witness-beneficiaries in </w:t>
      </w:r>
      <w:r>
        <w:rPr>
          <w:spacing w:val="-3"/>
        </w:rPr>
        <w:t>any </w:t>
      </w:r>
      <w:r>
        <w:rPr/>
        <w:t>of the </w:t>
      </w:r>
      <w:r>
        <w:rPr>
          <w:spacing w:val="-3"/>
        </w:rPr>
        <w:t>recent </w:t>
      </w:r>
      <w:r>
        <w:rPr/>
        <w:t>cases where the </w:t>
      </w:r>
      <w:r>
        <w:rPr>
          <w:spacing w:val="-3"/>
        </w:rPr>
        <w:t>Court found undue </w:t>
      </w:r>
      <w:r>
        <w:rPr>
          <w:spacing w:val="-4"/>
        </w:rPr>
        <w:t>influence.</w:t>
      </w:r>
      <w:r>
        <w:rPr>
          <w:spacing w:val="-4"/>
          <w:position w:val="7"/>
          <w:sz w:val="12"/>
        </w:rPr>
        <w:t>76 </w:t>
      </w:r>
      <w:r>
        <w:rPr>
          <w:spacing w:val="-3"/>
        </w:rPr>
        <w:t>Even </w:t>
      </w:r>
      <w:r>
        <w:rPr/>
        <w:t>if the rule </w:t>
      </w:r>
      <w:r>
        <w:rPr>
          <w:spacing w:val="-3"/>
        </w:rPr>
        <w:t>could prevent undue influence,  </w:t>
      </w:r>
      <w:r>
        <w:rPr/>
        <w:t>it would </w:t>
      </w:r>
      <w:r>
        <w:rPr>
          <w:spacing w:val="-3"/>
        </w:rPr>
        <w:t>constitute</w:t>
      </w:r>
      <w:r>
        <w:rPr>
          <w:spacing w:val="41"/>
        </w:rPr>
        <w:t> </w:t>
      </w:r>
      <w:r>
        <w:rPr/>
        <w:t>a </w:t>
      </w:r>
      <w:r>
        <w:rPr>
          <w:spacing w:val="-3"/>
        </w:rPr>
        <w:t>blunt  instrument  for </w:t>
      </w:r>
      <w:r>
        <w:rPr/>
        <w:t>the protection of </w:t>
      </w:r>
      <w:r>
        <w:rPr>
          <w:spacing w:val="-3"/>
        </w:rPr>
        <w:t>vulnerable </w:t>
      </w:r>
      <w:r>
        <w:rPr>
          <w:spacing w:val="-2"/>
        </w:rPr>
        <w:t>will-makers,  </w:t>
      </w:r>
      <w:r>
        <w:rPr/>
        <w:t>given </w:t>
      </w:r>
      <w:r>
        <w:rPr>
          <w:spacing w:val="-3"/>
        </w:rPr>
        <w:t>that  </w:t>
      </w:r>
      <w:r>
        <w:rPr/>
        <w:t>it would apply </w:t>
      </w:r>
      <w:r>
        <w:rPr>
          <w:spacing w:val="-3"/>
        </w:rPr>
        <w:t>to  all  wills  </w:t>
      </w:r>
      <w:r>
        <w:rPr/>
        <w:t>under which a witness receives a</w:t>
      </w:r>
      <w:r>
        <w:rPr>
          <w:spacing w:val="32"/>
        </w:rPr>
        <w:t> </w:t>
      </w:r>
      <w:r>
        <w:rPr/>
        <w:t>benefit.</w:t>
      </w:r>
    </w:p>
    <w:p>
      <w:pPr>
        <w:pStyle w:val="ListParagraph"/>
        <w:numPr>
          <w:ilvl w:val="1"/>
          <w:numId w:val="22"/>
        </w:numPr>
        <w:tabs>
          <w:tab w:pos="2380" w:val="left" w:leader="none"/>
          <w:tab w:pos="2382" w:val="left" w:leader="none"/>
        </w:tabs>
        <w:spacing w:line="242" w:lineRule="auto" w:before="125" w:after="0"/>
        <w:ind w:left="2381" w:right="1690" w:hanging="794"/>
        <w:jc w:val="left"/>
        <w:rPr>
          <w:sz w:val="21"/>
        </w:rPr>
      </w:pPr>
      <w:r>
        <w:rPr>
          <w:spacing w:val="-4"/>
          <w:sz w:val="21"/>
        </w:rPr>
        <w:t>Further, </w:t>
      </w:r>
      <w:r>
        <w:rPr>
          <w:sz w:val="21"/>
        </w:rPr>
        <w:t>the rule particularly disadvantages people who </w:t>
      </w:r>
      <w:r>
        <w:rPr>
          <w:spacing w:val="-4"/>
          <w:sz w:val="21"/>
        </w:rPr>
        <w:t>make </w:t>
      </w:r>
      <w:r>
        <w:rPr>
          <w:sz w:val="21"/>
        </w:rPr>
        <w:t>a </w:t>
      </w:r>
      <w:r>
        <w:rPr>
          <w:spacing w:val="-3"/>
          <w:sz w:val="21"/>
        </w:rPr>
        <w:t>will </w:t>
      </w:r>
      <w:r>
        <w:rPr>
          <w:sz w:val="21"/>
        </w:rPr>
        <w:t>themselves (a home- made will) without the assistance of a legal </w:t>
      </w:r>
      <w:r>
        <w:rPr>
          <w:spacing w:val="-3"/>
          <w:sz w:val="21"/>
        </w:rPr>
        <w:t>practitioner.</w:t>
      </w:r>
      <w:r>
        <w:rPr>
          <w:spacing w:val="-3"/>
          <w:position w:val="7"/>
          <w:sz w:val="12"/>
        </w:rPr>
        <w:t>77 </w:t>
      </w:r>
      <w:r>
        <w:rPr>
          <w:sz w:val="21"/>
        </w:rPr>
        <w:t>In the </w:t>
      </w:r>
      <w:r>
        <w:rPr>
          <w:spacing w:val="-4"/>
          <w:sz w:val="21"/>
        </w:rPr>
        <w:t>Commission’s view, </w:t>
      </w:r>
      <w:r>
        <w:rPr>
          <w:sz w:val="21"/>
        </w:rPr>
        <w:t>the will-making process should </w:t>
      </w:r>
      <w:r>
        <w:rPr>
          <w:spacing w:val="-2"/>
          <w:sz w:val="21"/>
        </w:rPr>
        <w:t>not </w:t>
      </w:r>
      <w:r>
        <w:rPr>
          <w:sz w:val="21"/>
        </w:rPr>
        <w:t>be made </w:t>
      </w:r>
      <w:r>
        <w:rPr>
          <w:spacing w:val="-2"/>
          <w:sz w:val="21"/>
        </w:rPr>
        <w:t>significantly  </w:t>
      </w:r>
      <w:r>
        <w:rPr>
          <w:sz w:val="21"/>
        </w:rPr>
        <w:t>more difficult, and people should  </w:t>
      </w:r>
      <w:r>
        <w:rPr>
          <w:spacing w:val="-3"/>
          <w:sz w:val="21"/>
        </w:rPr>
        <w:t>have </w:t>
      </w:r>
      <w:r>
        <w:rPr>
          <w:sz w:val="21"/>
        </w:rPr>
        <w:t>the </w:t>
      </w:r>
      <w:r>
        <w:rPr>
          <w:spacing w:val="-2"/>
          <w:sz w:val="21"/>
        </w:rPr>
        <w:t>choice </w:t>
      </w:r>
      <w:r>
        <w:rPr>
          <w:spacing w:val="-3"/>
          <w:sz w:val="21"/>
        </w:rPr>
        <w:t>to </w:t>
      </w:r>
      <w:r>
        <w:rPr>
          <w:spacing w:val="-4"/>
          <w:sz w:val="21"/>
        </w:rPr>
        <w:t>make </w:t>
      </w:r>
      <w:r>
        <w:rPr>
          <w:sz w:val="21"/>
        </w:rPr>
        <w:t>their </w:t>
      </w:r>
      <w:r>
        <w:rPr>
          <w:spacing w:val="-3"/>
          <w:sz w:val="21"/>
        </w:rPr>
        <w:t>wills </w:t>
      </w:r>
      <w:r>
        <w:rPr>
          <w:sz w:val="21"/>
        </w:rPr>
        <w:t>at home without the assistance of a legal </w:t>
      </w:r>
      <w:r>
        <w:rPr>
          <w:spacing w:val="-3"/>
          <w:sz w:val="21"/>
        </w:rPr>
        <w:t>practitioner. </w:t>
      </w:r>
      <w:r>
        <w:rPr>
          <w:sz w:val="21"/>
        </w:rPr>
        <w:t>The </w:t>
      </w:r>
      <w:r>
        <w:rPr>
          <w:spacing w:val="-3"/>
          <w:sz w:val="21"/>
        </w:rPr>
        <w:t>Commission </w:t>
      </w:r>
      <w:r>
        <w:rPr>
          <w:sz w:val="21"/>
        </w:rPr>
        <w:t>agrees </w:t>
      </w:r>
      <w:r>
        <w:rPr>
          <w:spacing w:val="-3"/>
          <w:sz w:val="21"/>
        </w:rPr>
        <w:t>that </w:t>
      </w:r>
      <w:r>
        <w:rPr>
          <w:sz w:val="21"/>
        </w:rPr>
        <w:t>the rule </w:t>
      </w:r>
      <w:r>
        <w:rPr>
          <w:spacing w:val="-2"/>
          <w:sz w:val="21"/>
        </w:rPr>
        <w:t>has </w:t>
      </w:r>
      <w:r>
        <w:rPr>
          <w:sz w:val="21"/>
        </w:rPr>
        <w:t>the </w:t>
      </w:r>
      <w:r>
        <w:rPr>
          <w:spacing w:val="-3"/>
          <w:sz w:val="21"/>
        </w:rPr>
        <w:t>potential to undermine </w:t>
      </w:r>
      <w:r>
        <w:rPr>
          <w:sz w:val="21"/>
        </w:rPr>
        <w:t>the </w:t>
      </w:r>
      <w:r>
        <w:rPr>
          <w:spacing w:val="-3"/>
          <w:sz w:val="21"/>
        </w:rPr>
        <w:t>will-maker’s intentions, </w:t>
      </w:r>
      <w:r>
        <w:rPr>
          <w:sz w:val="21"/>
        </w:rPr>
        <w:t>particularly where the witness-beneficiary </w:t>
      </w:r>
      <w:r>
        <w:rPr>
          <w:spacing w:val="-2"/>
          <w:sz w:val="21"/>
        </w:rPr>
        <w:t>has </w:t>
      </w:r>
      <w:r>
        <w:rPr>
          <w:sz w:val="21"/>
        </w:rPr>
        <w:t>insufficient </w:t>
      </w:r>
      <w:r>
        <w:rPr>
          <w:spacing w:val="-3"/>
          <w:sz w:val="21"/>
        </w:rPr>
        <w:t>funds to</w:t>
      </w:r>
      <w:r>
        <w:rPr>
          <w:spacing w:val="10"/>
          <w:sz w:val="21"/>
        </w:rPr>
        <w:t> </w:t>
      </w:r>
      <w:r>
        <w:rPr>
          <w:spacing w:val="-3"/>
          <w:sz w:val="21"/>
        </w:rPr>
        <w:t>bring</w:t>
      </w:r>
    </w:p>
    <w:p>
      <w:pPr>
        <w:pStyle w:val="BodyText"/>
        <w:spacing w:before="6"/>
        <w:ind w:left="2381"/>
      </w:pPr>
      <w:r>
        <w:rPr>
          <w:w w:val="105"/>
        </w:rPr>
        <w:t>a court case arguing that an exception applies.</w:t>
      </w:r>
    </w:p>
    <w:p>
      <w:pPr>
        <w:pStyle w:val="ListParagraph"/>
        <w:numPr>
          <w:ilvl w:val="1"/>
          <w:numId w:val="22"/>
        </w:numPr>
        <w:tabs>
          <w:tab w:pos="2380" w:val="left" w:leader="none"/>
          <w:tab w:pos="2382" w:val="left" w:leader="none"/>
        </w:tabs>
        <w:spacing w:line="242" w:lineRule="auto" w:before="124" w:after="0"/>
        <w:ind w:left="2381" w:right="1874" w:hanging="794"/>
        <w:jc w:val="left"/>
        <w:rPr>
          <w:sz w:val="21"/>
        </w:rPr>
      </w:pPr>
      <w:r>
        <w:rPr>
          <w:spacing w:val="-3"/>
          <w:sz w:val="21"/>
        </w:rPr>
        <w:t>Therefore, </w:t>
      </w:r>
      <w:r>
        <w:rPr>
          <w:sz w:val="21"/>
        </w:rPr>
        <w:t>the </w:t>
      </w:r>
      <w:r>
        <w:rPr>
          <w:spacing w:val="-3"/>
          <w:sz w:val="21"/>
        </w:rPr>
        <w:t>Commission </w:t>
      </w:r>
      <w:r>
        <w:rPr>
          <w:sz w:val="21"/>
        </w:rPr>
        <w:t>does </w:t>
      </w:r>
      <w:r>
        <w:rPr>
          <w:spacing w:val="-2"/>
          <w:sz w:val="21"/>
        </w:rPr>
        <w:t>not </w:t>
      </w:r>
      <w:r>
        <w:rPr>
          <w:spacing w:val="-3"/>
          <w:sz w:val="21"/>
        </w:rPr>
        <w:t>recommend reintroduction </w:t>
      </w:r>
      <w:r>
        <w:rPr>
          <w:sz w:val="21"/>
        </w:rPr>
        <w:t>of the  witness- beneficiary </w:t>
      </w:r>
      <w:r>
        <w:rPr>
          <w:spacing w:val="-3"/>
          <w:sz w:val="21"/>
        </w:rPr>
        <w:t>rule. </w:t>
      </w:r>
      <w:r>
        <w:rPr>
          <w:sz w:val="21"/>
        </w:rPr>
        <w:t>In the </w:t>
      </w:r>
      <w:r>
        <w:rPr>
          <w:spacing w:val="-4"/>
          <w:sz w:val="21"/>
        </w:rPr>
        <w:t>Commission’s view, </w:t>
      </w:r>
      <w:r>
        <w:rPr>
          <w:spacing w:val="-3"/>
          <w:sz w:val="21"/>
        </w:rPr>
        <w:t>changes that focus </w:t>
      </w:r>
      <w:r>
        <w:rPr>
          <w:sz w:val="21"/>
        </w:rPr>
        <w:t>on </w:t>
      </w:r>
      <w:r>
        <w:rPr>
          <w:spacing w:val="-3"/>
          <w:sz w:val="21"/>
        </w:rPr>
        <w:t>preventing undue influence,  </w:t>
      </w:r>
      <w:r>
        <w:rPr>
          <w:sz w:val="21"/>
        </w:rPr>
        <w:t>and possibly also redefining the existing doctrine of </w:t>
      </w:r>
      <w:r>
        <w:rPr>
          <w:spacing w:val="-3"/>
          <w:sz w:val="21"/>
        </w:rPr>
        <w:t>undue</w:t>
      </w:r>
      <w:r>
        <w:rPr>
          <w:spacing w:val="41"/>
          <w:sz w:val="21"/>
        </w:rPr>
        <w:t> </w:t>
      </w:r>
      <w:r>
        <w:rPr>
          <w:spacing w:val="-3"/>
          <w:sz w:val="21"/>
        </w:rPr>
        <w:t>influence,  </w:t>
      </w:r>
      <w:r>
        <w:rPr>
          <w:sz w:val="21"/>
        </w:rPr>
        <w:t>would  be</w:t>
      </w:r>
      <w:r>
        <w:rPr>
          <w:spacing w:val="22"/>
          <w:sz w:val="21"/>
        </w:rPr>
        <w:t> </w:t>
      </w:r>
      <w:r>
        <w:rPr>
          <w:sz w:val="21"/>
        </w:rPr>
        <w:t>more</w:t>
      </w:r>
      <w:r>
        <w:rPr>
          <w:spacing w:val="22"/>
          <w:sz w:val="21"/>
        </w:rPr>
        <w:t> </w:t>
      </w:r>
      <w:r>
        <w:rPr>
          <w:sz w:val="21"/>
        </w:rPr>
        <w:t>effective</w:t>
      </w:r>
      <w:r>
        <w:rPr>
          <w:spacing w:val="22"/>
          <w:sz w:val="21"/>
        </w:rPr>
        <w:t> </w:t>
      </w:r>
      <w:r>
        <w:rPr>
          <w:sz w:val="21"/>
        </w:rPr>
        <w:t>in</w:t>
      </w:r>
      <w:r>
        <w:rPr>
          <w:spacing w:val="22"/>
          <w:sz w:val="21"/>
        </w:rPr>
        <w:t> </w:t>
      </w:r>
      <w:r>
        <w:rPr>
          <w:sz w:val="21"/>
        </w:rPr>
        <w:t>protecting</w:t>
      </w:r>
      <w:r>
        <w:rPr>
          <w:spacing w:val="22"/>
          <w:sz w:val="21"/>
        </w:rPr>
        <w:t> </w:t>
      </w:r>
      <w:r>
        <w:rPr>
          <w:sz w:val="21"/>
        </w:rPr>
        <w:t>older</w:t>
      </w:r>
      <w:r>
        <w:rPr>
          <w:spacing w:val="22"/>
          <w:sz w:val="21"/>
        </w:rPr>
        <w:t> </w:t>
      </w:r>
      <w:r>
        <w:rPr>
          <w:sz w:val="21"/>
        </w:rPr>
        <w:t>and</w:t>
      </w:r>
      <w:r>
        <w:rPr>
          <w:spacing w:val="22"/>
          <w:sz w:val="21"/>
        </w:rPr>
        <w:t> </w:t>
      </w:r>
      <w:r>
        <w:rPr>
          <w:spacing w:val="-3"/>
          <w:sz w:val="21"/>
        </w:rPr>
        <w:t>vulnerable</w:t>
      </w:r>
      <w:r>
        <w:rPr>
          <w:spacing w:val="22"/>
          <w:sz w:val="21"/>
        </w:rPr>
        <w:t> </w:t>
      </w:r>
      <w:r>
        <w:rPr>
          <w:sz w:val="21"/>
        </w:rPr>
        <w:t>will-makers</w:t>
      </w:r>
      <w:r>
        <w:rPr>
          <w:spacing w:val="22"/>
          <w:sz w:val="21"/>
        </w:rPr>
        <w:t> </w:t>
      </w:r>
      <w:r>
        <w:rPr>
          <w:spacing w:val="-3"/>
          <w:sz w:val="21"/>
        </w:rPr>
        <w:t>from</w:t>
      </w:r>
      <w:r>
        <w:rPr>
          <w:spacing w:val="22"/>
          <w:sz w:val="21"/>
        </w:rPr>
        <w:t> </w:t>
      </w:r>
      <w:r>
        <w:rPr>
          <w:spacing w:val="-3"/>
          <w:sz w:val="21"/>
        </w:rPr>
        <w:t>undue</w:t>
      </w:r>
      <w:r>
        <w:rPr>
          <w:spacing w:val="22"/>
          <w:sz w:val="21"/>
        </w:rPr>
        <w:t> </w:t>
      </w:r>
      <w:r>
        <w:rPr>
          <w:spacing w:val="-3"/>
          <w:sz w:val="21"/>
        </w:rPr>
        <w:t>influence.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1"/>
        </w:rPr>
      </w:pPr>
      <w:r>
        <w:rPr/>
        <w:pict>
          <v:line style="position:absolute;mso-position-horizontal-relative:page;mso-position-vertical-relative:paragraph;z-index:-40;mso-wrap-distance-left:0;mso-wrap-distance-right:0" from="79.370003pt,9.229356pt" to="515.905003pt,9.229356pt" stroked="true" strokeweight="1pt" strokecolor="#f9ceca">
            <v:stroke dashstyle="solid"/>
            <w10:wrap type="topAndBottom"/>
          </v:line>
        </w:pict>
      </w:r>
    </w:p>
    <w:p>
      <w:pPr>
        <w:pStyle w:val="ListParagraph"/>
        <w:numPr>
          <w:ilvl w:val="0"/>
          <w:numId w:val="25"/>
        </w:numPr>
        <w:tabs>
          <w:tab w:pos="2380" w:val="left" w:leader="none"/>
          <w:tab w:pos="2382" w:val="left" w:leader="none"/>
        </w:tabs>
        <w:spacing w:line="240" w:lineRule="auto" w:before="117" w:after="0"/>
        <w:ind w:left="2381" w:right="1854" w:hanging="794"/>
        <w:jc w:val="left"/>
        <w:rPr>
          <w:sz w:val="13"/>
        </w:rPr>
      </w:pPr>
      <w:r>
        <w:rPr>
          <w:w w:val="105"/>
          <w:sz w:val="13"/>
        </w:rPr>
        <w:t>Consultation 4 </w:t>
      </w:r>
      <w:r>
        <w:rPr>
          <w:spacing w:val="2"/>
          <w:w w:val="105"/>
          <w:sz w:val="13"/>
        </w:rPr>
        <w:t>(Legal </w:t>
      </w:r>
      <w:r>
        <w:rPr>
          <w:w w:val="105"/>
          <w:sz w:val="13"/>
        </w:rPr>
        <w:t>practitioners from the Goulburn Valley and Loddon Campaspe Community Legal Centres). Submissions 4 (name withheld);</w:t>
      </w:r>
      <w:r>
        <w:rPr>
          <w:spacing w:val="8"/>
          <w:w w:val="105"/>
          <w:sz w:val="13"/>
        </w:rPr>
        <w:t> </w:t>
      </w:r>
      <w:r>
        <w:rPr>
          <w:spacing w:val="-3"/>
          <w:w w:val="105"/>
          <w:sz w:val="13"/>
        </w:rPr>
        <w:t>14</w:t>
      </w:r>
      <w:r>
        <w:rPr>
          <w:spacing w:val="8"/>
          <w:w w:val="105"/>
          <w:sz w:val="13"/>
        </w:rPr>
        <w:t> </w:t>
      </w:r>
      <w:r>
        <w:rPr>
          <w:w w:val="105"/>
          <w:sz w:val="13"/>
        </w:rPr>
        <w:t>(Commercial</w:t>
      </w:r>
      <w:r>
        <w:rPr>
          <w:spacing w:val="8"/>
          <w:w w:val="105"/>
          <w:sz w:val="13"/>
        </w:rPr>
        <w:t> </w:t>
      </w:r>
      <w:r>
        <w:rPr>
          <w:w w:val="105"/>
          <w:sz w:val="13"/>
        </w:rPr>
        <w:t>Bar</w:t>
      </w:r>
      <w:r>
        <w:rPr>
          <w:spacing w:val="8"/>
          <w:w w:val="105"/>
          <w:sz w:val="13"/>
        </w:rPr>
        <w:t> </w:t>
      </w:r>
      <w:r>
        <w:rPr>
          <w:spacing w:val="2"/>
          <w:w w:val="105"/>
          <w:sz w:val="13"/>
        </w:rPr>
        <w:t>Association);</w:t>
      </w:r>
      <w:r>
        <w:rPr>
          <w:spacing w:val="9"/>
          <w:w w:val="105"/>
          <w:sz w:val="13"/>
        </w:rPr>
        <w:t> </w:t>
      </w:r>
      <w:r>
        <w:rPr>
          <w:w w:val="105"/>
          <w:sz w:val="13"/>
        </w:rPr>
        <w:t>32</w:t>
      </w:r>
      <w:r>
        <w:rPr>
          <w:spacing w:val="8"/>
          <w:w w:val="105"/>
          <w:sz w:val="13"/>
        </w:rPr>
        <w:t> </w:t>
      </w:r>
      <w:r>
        <w:rPr>
          <w:spacing w:val="2"/>
          <w:w w:val="105"/>
          <w:sz w:val="13"/>
        </w:rPr>
        <w:t>(The</w:t>
      </w:r>
      <w:r>
        <w:rPr>
          <w:spacing w:val="8"/>
          <w:w w:val="105"/>
          <w:sz w:val="13"/>
        </w:rPr>
        <w:t> </w:t>
      </w:r>
      <w:r>
        <w:rPr>
          <w:w w:val="105"/>
          <w:sz w:val="13"/>
        </w:rPr>
        <w:t>Institute</w:t>
      </w:r>
      <w:r>
        <w:rPr>
          <w:spacing w:val="8"/>
          <w:w w:val="105"/>
          <w:sz w:val="13"/>
        </w:rPr>
        <w:t> </w:t>
      </w:r>
      <w:r>
        <w:rPr>
          <w:w w:val="105"/>
          <w:sz w:val="13"/>
        </w:rPr>
        <w:t>of</w:t>
      </w:r>
      <w:r>
        <w:rPr>
          <w:spacing w:val="9"/>
          <w:w w:val="105"/>
          <w:sz w:val="13"/>
        </w:rPr>
        <w:t> </w:t>
      </w:r>
      <w:r>
        <w:rPr>
          <w:w w:val="105"/>
          <w:sz w:val="13"/>
        </w:rPr>
        <w:t>Legal</w:t>
      </w:r>
      <w:r>
        <w:rPr>
          <w:spacing w:val="8"/>
          <w:w w:val="105"/>
          <w:sz w:val="13"/>
        </w:rPr>
        <w:t> </w:t>
      </w:r>
      <w:r>
        <w:rPr>
          <w:w w:val="105"/>
          <w:sz w:val="13"/>
        </w:rPr>
        <w:t>Executives);</w:t>
      </w:r>
      <w:r>
        <w:rPr>
          <w:spacing w:val="8"/>
          <w:w w:val="105"/>
          <w:sz w:val="13"/>
        </w:rPr>
        <w:t> </w:t>
      </w:r>
      <w:r>
        <w:rPr>
          <w:w w:val="105"/>
          <w:sz w:val="13"/>
        </w:rPr>
        <w:t>35</w:t>
      </w:r>
      <w:r>
        <w:rPr>
          <w:spacing w:val="8"/>
          <w:w w:val="105"/>
          <w:sz w:val="13"/>
        </w:rPr>
        <w:t> </w:t>
      </w:r>
      <w:r>
        <w:rPr>
          <w:w w:val="105"/>
          <w:sz w:val="13"/>
        </w:rPr>
        <w:t>(Andrew</w:t>
      </w:r>
      <w:r>
        <w:rPr>
          <w:spacing w:val="9"/>
          <w:w w:val="105"/>
          <w:sz w:val="13"/>
        </w:rPr>
        <w:t> </w:t>
      </w:r>
      <w:r>
        <w:rPr>
          <w:w w:val="105"/>
          <w:sz w:val="13"/>
        </w:rPr>
        <w:t>Verspaandonk);</w:t>
      </w:r>
      <w:r>
        <w:rPr>
          <w:spacing w:val="8"/>
          <w:w w:val="105"/>
          <w:sz w:val="13"/>
        </w:rPr>
        <w:t> </w:t>
      </w:r>
      <w:r>
        <w:rPr>
          <w:w w:val="105"/>
          <w:sz w:val="13"/>
        </w:rPr>
        <w:t>39</w:t>
      </w:r>
      <w:r>
        <w:rPr>
          <w:spacing w:val="8"/>
          <w:w w:val="105"/>
          <w:sz w:val="13"/>
        </w:rPr>
        <w:t> </w:t>
      </w:r>
      <w:r>
        <w:rPr>
          <w:w w:val="105"/>
          <w:sz w:val="13"/>
        </w:rPr>
        <w:t>(Carolyn</w:t>
      </w:r>
      <w:r>
        <w:rPr>
          <w:spacing w:val="8"/>
          <w:w w:val="105"/>
          <w:sz w:val="13"/>
        </w:rPr>
        <w:t> </w:t>
      </w:r>
      <w:r>
        <w:rPr>
          <w:w w:val="105"/>
          <w:sz w:val="13"/>
        </w:rPr>
        <w:t>Sparke</w:t>
      </w:r>
      <w:r>
        <w:rPr>
          <w:spacing w:val="9"/>
          <w:w w:val="105"/>
          <w:sz w:val="13"/>
        </w:rPr>
        <w:t> </w:t>
      </w:r>
      <w:r>
        <w:rPr>
          <w:w w:val="105"/>
          <w:sz w:val="13"/>
        </w:rPr>
        <w:t>SC).</w:t>
      </w:r>
    </w:p>
    <w:p>
      <w:pPr>
        <w:pStyle w:val="ListParagraph"/>
        <w:numPr>
          <w:ilvl w:val="0"/>
          <w:numId w:val="25"/>
        </w:numPr>
        <w:tabs>
          <w:tab w:pos="2380" w:val="left" w:leader="none"/>
          <w:tab w:pos="2382" w:val="left" w:leader="none"/>
        </w:tabs>
        <w:spacing w:line="240" w:lineRule="auto" w:before="3" w:after="0"/>
        <w:ind w:left="2381" w:right="1760" w:hanging="794"/>
        <w:jc w:val="left"/>
        <w:rPr>
          <w:sz w:val="13"/>
        </w:rPr>
      </w:pPr>
      <w:r>
        <w:rPr>
          <w:w w:val="105"/>
          <w:sz w:val="13"/>
        </w:rPr>
        <w:t>Submission 35 (Andrew Verspaandonk); consultation 4 </w:t>
      </w:r>
      <w:r>
        <w:rPr>
          <w:spacing w:val="2"/>
          <w:w w:val="105"/>
          <w:sz w:val="13"/>
        </w:rPr>
        <w:t>(Legal </w:t>
      </w:r>
      <w:r>
        <w:rPr>
          <w:w w:val="105"/>
          <w:sz w:val="13"/>
        </w:rPr>
        <w:t>practitioners from the Goulburn Valley and Loddon Campaspe Community Legal Centres); Advisory Committee (Meeting</w:t>
      </w:r>
      <w:r>
        <w:rPr>
          <w:spacing w:val="23"/>
          <w:w w:val="105"/>
          <w:sz w:val="13"/>
        </w:rPr>
        <w:t> </w:t>
      </w:r>
      <w:r>
        <w:rPr>
          <w:spacing w:val="2"/>
          <w:w w:val="105"/>
          <w:sz w:val="13"/>
        </w:rPr>
        <w:t>2).</w:t>
      </w:r>
    </w:p>
    <w:p>
      <w:pPr>
        <w:pStyle w:val="ListParagraph"/>
        <w:numPr>
          <w:ilvl w:val="0"/>
          <w:numId w:val="25"/>
        </w:numPr>
        <w:tabs>
          <w:tab w:pos="2381" w:val="left" w:leader="none"/>
          <w:tab w:pos="2382" w:val="left" w:leader="none"/>
        </w:tabs>
        <w:spacing w:line="240" w:lineRule="auto" w:before="2" w:after="0"/>
        <w:ind w:left="2381" w:right="1775" w:hanging="794"/>
        <w:jc w:val="left"/>
        <w:rPr>
          <w:sz w:val="13"/>
        </w:rPr>
      </w:pPr>
      <w:r>
        <w:rPr>
          <w:w w:val="105"/>
          <w:sz w:val="13"/>
        </w:rPr>
        <w:t>Submissions 32 </w:t>
      </w:r>
      <w:r>
        <w:rPr>
          <w:spacing w:val="2"/>
          <w:w w:val="105"/>
          <w:sz w:val="13"/>
        </w:rPr>
        <w:t>(The </w:t>
      </w:r>
      <w:r>
        <w:rPr>
          <w:w w:val="105"/>
          <w:sz w:val="13"/>
        </w:rPr>
        <w:t>Institute of Legal Executives); 39 (Carolyn Sparke SC). Some members of the Commission’s succession laws </w:t>
      </w:r>
      <w:r>
        <w:rPr>
          <w:spacing w:val="2"/>
          <w:w w:val="105"/>
          <w:sz w:val="13"/>
        </w:rPr>
        <w:t>advisory </w:t>
      </w:r>
      <w:r>
        <w:rPr>
          <w:w w:val="105"/>
          <w:sz w:val="13"/>
        </w:rPr>
        <w:t>committee also expressed this view: Advisory Committee (Meeting</w:t>
      </w:r>
      <w:r>
        <w:rPr>
          <w:spacing w:val="6"/>
          <w:w w:val="105"/>
          <w:sz w:val="13"/>
        </w:rPr>
        <w:t> </w:t>
      </w:r>
      <w:r>
        <w:rPr>
          <w:spacing w:val="2"/>
          <w:w w:val="105"/>
          <w:sz w:val="13"/>
        </w:rPr>
        <w:t>2).</w:t>
      </w:r>
    </w:p>
    <w:p>
      <w:pPr>
        <w:pStyle w:val="ListParagraph"/>
        <w:numPr>
          <w:ilvl w:val="0"/>
          <w:numId w:val="25"/>
        </w:numPr>
        <w:tabs>
          <w:tab w:pos="2381" w:val="left" w:leader="none"/>
          <w:tab w:pos="2382" w:val="left" w:leader="none"/>
        </w:tabs>
        <w:spacing w:line="240" w:lineRule="auto" w:before="3" w:after="0"/>
        <w:ind w:left="2381" w:right="1708" w:hanging="794"/>
        <w:jc w:val="left"/>
        <w:rPr>
          <w:sz w:val="13"/>
        </w:rPr>
      </w:pPr>
      <w:r>
        <w:rPr>
          <w:w w:val="105"/>
          <w:sz w:val="13"/>
        </w:rPr>
        <w:t>Submission 32 </w:t>
      </w:r>
      <w:r>
        <w:rPr>
          <w:spacing w:val="2"/>
          <w:w w:val="105"/>
          <w:sz w:val="13"/>
        </w:rPr>
        <w:t>(The </w:t>
      </w:r>
      <w:r>
        <w:rPr>
          <w:w w:val="105"/>
          <w:sz w:val="13"/>
        </w:rPr>
        <w:t>Institute of Legal Executives). Some members of the Commission’s succession laws </w:t>
      </w:r>
      <w:r>
        <w:rPr>
          <w:spacing w:val="2"/>
          <w:w w:val="105"/>
          <w:sz w:val="13"/>
        </w:rPr>
        <w:t>advisory </w:t>
      </w:r>
      <w:r>
        <w:rPr>
          <w:w w:val="105"/>
          <w:sz w:val="13"/>
        </w:rPr>
        <w:t>committee also expressed this view: Advisory Committee (Meeting</w:t>
      </w:r>
      <w:r>
        <w:rPr>
          <w:spacing w:val="23"/>
          <w:w w:val="105"/>
          <w:sz w:val="13"/>
        </w:rPr>
        <w:t> </w:t>
      </w:r>
      <w:r>
        <w:rPr>
          <w:spacing w:val="2"/>
          <w:w w:val="105"/>
          <w:sz w:val="13"/>
        </w:rPr>
        <w:t>2).</w:t>
      </w:r>
    </w:p>
    <w:p>
      <w:pPr>
        <w:pStyle w:val="ListParagraph"/>
        <w:numPr>
          <w:ilvl w:val="0"/>
          <w:numId w:val="25"/>
        </w:numPr>
        <w:tabs>
          <w:tab w:pos="2381" w:val="left" w:leader="none"/>
          <w:tab w:pos="2382" w:val="left" w:leader="none"/>
        </w:tabs>
        <w:spacing w:line="240" w:lineRule="auto" w:before="3" w:after="0"/>
        <w:ind w:left="2381" w:right="0" w:hanging="794"/>
        <w:jc w:val="left"/>
        <w:rPr>
          <w:sz w:val="13"/>
        </w:rPr>
      </w:pPr>
      <w:r>
        <w:rPr>
          <w:w w:val="105"/>
          <w:sz w:val="13"/>
        </w:rPr>
        <w:t>Submissions </w:t>
      </w:r>
      <w:r>
        <w:rPr>
          <w:spacing w:val="-3"/>
          <w:w w:val="105"/>
          <w:sz w:val="13"/>
        </w:rPr>
        <w:t>14 </w:t>
      </w:r>
      <w:r>
        <w:rPr>
          <w:w w:val="105"/>
          <w:sz w:val="13"/>
        </w:rPr>
        <w:t>(Commercial Bar </w:t>
      </w:r>
      <w:r>
        <w:rPr>
          <w:spacing w:val="2"/>
          <w:w w:val="105"/>
          <w:sz w:val="13"/>
        </w:rPr>
        <w:t>Association); </w:t>
      </w:r>
      <w:r>
        <w:rPr>
          <w:w w:val="105"/>
          <w:sz w:val="13"/>
        </w:rPr>
        <w:t>35 (Andrew</w:t>
      </w:r>
      <w:r>
        <w:rPr>
          <w:spacing w:val="3"/>
          <w:w w:val="105"/>
          <w:sz w:val="13"/>
        </w:rPr>
        <w:t> </w:t>
      </w:r>
      <w:r>
        <w:rPr>
          <w:w w:val="105"/>
          <w:sz w:val="13"/>
        </w:rPr>
        <w:t>Verspaandonk).</w:t>
      </w:r>
    </w:p>
    <w:p>
      <w:pPr>
        <w:pStyle w:val="ListParagraph"/>
        <w:numPr>
          <w:ilvl w:val="0"/>
          <w:numId w:val="25"/>
        </w:numPr>
        <w:tabs>
          <w:tab w:pos="2381" w:val="left" w:leader="none"/>
          <w:tab w:pos="2382" w:val="left" w:leader="none"/>
        </w:tabs>
        <w:spacing w:line="240" w:lineRule="auto" w:before="1" w:after="0"/>
        <w:ind w:left="2381" w:right="0" w:hanging="794"/>
        <w:jc w:val="left"/>
        <w:rPr>
          <w:sz w:val="13"/>
        </w:rPr>
      </w:pPr>
      <w:r>
        <w:rPr>
          <w:w w:val="105"/>
          <w:sz w:val="13"/>
        </w:rPr>
        <w:t>Submission </w:t>
      </w:r>
      <w:r>
        <w:rPr>
          <w:spacing w:val="-3"/>
          <w:w w:val="105"/>
          <w:sz w:val="13"/>
        </w:rPr>
        <w:t>14 </w:t>
      </w:r>
      <w:r>
        <w:rPr>
          <w:w w:val="105"/>
          <w:sz w:val="13"/>
        </w:rPr>
        <w:t>(Commercial Bar</w:t>
      </w:r>
      <w:r>
        <w:rPr>
          <w:spacing w:val="21"/>
          <w:w w:val="105"/>
          <w:sz w:val="13"/>
        </w:rPr>
        <w:t> </w:t>
      </w:r>
      <w:r>
        <w:rPr>
          <w:spacing w:val="2"/>
          <w:w w:val="105"/>
          <w:sz w:val="13"/>
        </w:rPr>
        <w:t>Association).</w:t>
      </w:r>
    </w:p>
    <w:p>
      <w:pPr>
        <w:pStyle w:val="ListParagraph"/>
        <w:numPr>
          <w:ilvl w:val="0"/>
          <w:numId w:val="25"/>
        </w:numPr>
        <w:tabs>
          <w:tab w:pos="2381" w:val="left" w:leader="none"/>
          <w:tab w:pos="2382" w:val="left" w:leader="none"/>
        </w:tabs>
        <w:spacing w:line="240" w:lineRule="auto" w:before="1" w:after="0"/>
        <w:ind w:left="2381" w:right="1652" w:hanging="794"/>
        <w:jc w:val="left"/>
        <w:rPr>
          <w:sz w:val="13"/>
        </w:rPr>
      </w:pPr>
      <w:r>
        <w:rPr>
          <w:w w:val="105"/>
          <w:sz w:val="13"/>
        </w:rPr>
        <w:t>Submission 35 (Andrew Verspaandonk). Some members of the Commission’s succession laws </w:t>
      </w:r>
      <w:r>
        <w:rPr>
          <w:spacing w:val="2"/>
          <w:w w:val="105"/>
          <w:sz w:val="13"/>
        </w:rPr>
        <w:t>advisory </w:t>
      </w:r>
      <w:r>
        <w:rPr>
          <w:w w:val="105"/>
          <w:sz w:val="13"/>
        </w:rPr>
        <w:t>committee also expressed this view: Advisory Committee (Meeting</w:t>
      </w:r>
      <w:r>
        <w:rPr>
          <w:spacing w:val="13"/>
          <w:w w:val="105"/>
          <w:sz w:val="13"/>
        </w:rPr>
        <w:t> </w:t>
      </w:r>
      <w:r>
        <w:rPr>
          <w:spacing w:val="2"/>
          <w:w w:val="105"/>
          <w:sz w:val="13"/>
        </w:rPr>
        <w:t>2).</w:t>
      </w:r>
    </w:p>
    <w:p>
      <w:pPr>
        <w:pStyle w:val="ListParagraph"/>
        <w:numPr>
          <w:ilvl w:val="0"/>
          <w:numId w:val="25"/>
        </w:numPr>
        <w:tabs>
          <w:tab w:pos="2381" w:val="left" w:leader="none"/>
          <w:tab w:pos="2382" w:val="left" w:leader="none"/>
        </w:tabs>
        <w:spacing w:line="240" w:lineRule="auto" w:before="3" w:after="0"/>
        <w:ind w:left="2381" w:right="1651" w:hanging="794"/>
        <w:jc w:val="left"/>
        <w:rPr>
          <w:sz w:val="13"/>
        </w:rPr>
      </w:pPr>
      <w:r>
        <w:rPr>
          <w:w w:val="105"/>
          <w:sz w:val="13"/>
        </w:rPr>
        <w:t>Neville Crago, ‘Reform of the Law of Wills’ (1995) 25 </w:t>
      </w:r>
      <w:r>
        <w:rPr>
          <w:i/>
          <w:w w:val="105"/>
          <w:sz w:val="13"/>
        </w:rPr>
        <w:t>University of Western Australia Law Review </w:t>
      </w:r>
      <w:r>
        <w:rPr>
          <w:w w:val="105"/>
          <w:sz w:val="13"/>
        </w:rPr>
        <w:t>255, 262; Law Reform Committee, </w:t>
      </w:r>
      <w:r>
        <w:rPr>
          <w:i/>
          <w:w w:val="105"/>
          <w:sz w:val="13"/>
        </w:rPr>
        <w:t>Inquiry </w:t>
      </w:r>
      <w:r>
        <w:rPr>
          <w:i/>
          <w:w w:val="105"/>
          <w:sz w:val="13"/>
        </w:rPr>
        <w:t>into Powers of Attorney</w:t>
      </w:r>
      <w:r>
        <w:rPr>
          <w:w w:val="105"/>
          <w:sz w:val="13"/>
        </w:rPr>
        <w:t>, above n </w:t>
      </w:r>
      <w:r>
        <w:rPr>
          <w:spacing w:val="-4"/>
          <w:w w:val="105"/>
          <w:sz w:val="13"/>
        </w:rPr>
        <w:t>21,</w:t>
      </w:r>
      <w:r>
        <w:rPr>
          <w:spacing w:val="2"/>
          <w:w w:val="105"/>
          <w:sz w:val="13"/>
        </w:rPr>
        <w:t> 88.</w:t>
      </w:r>
    </w:p>
    <w:p>
      <w:pPr>
        <w:pStyle w:val="ListParagraph"/>
        <w:numPr>
          <w:ilvl w:val="0"/>
          <w:numId w:val="25"/>
        </w:numPr>
        <w:tabs>
          <w:tab w:pos="2381" w:val="left" w:leader="none"/>
          <w:tab w:pos="2382" w:val="left" w:leader="none"/>
        </w:tabs>
        <w:spacing w:line="240" w:lineRule="auto" w:before="3" w:after="0"/>
        <w:ind w:left="2381" w:right="2083" w:hanging="794"/>
        <w:jc w:val="left"/>
        <w:rPr>
          <w:sz w:val="13"/>
        </w:rPr>
      </w:pPr>
      <w:r>
        <w:rPr>
          <w:w w:val="105"/>
          <w:sz w:val="13"/>
        </w:rPr>
        <w:t>See </w:t>
      </w:r>
      <w:r>
        <w:rPr>
          <w:i/>
          <w:w w:val="105"/>
          <w:sz w:val="13"/>
        </w:rPr>
        <w:t>Nicholson v Knaggs </w:t>
      </w:r>
      <w:r>
        <w:rPr>
          <w:spacing w:val="2"/>
          <w:w w:val="105"/>
          <w:sz w:val="13"/>
        </w:rPr>
        <w:t>[2009] </w:t>
      </w:r>
      <w:r>
        <w:rPr>
          <w:w w:val="105"/>
          <w:sz w:val="13"/>
        </w:rPr>
        <w:t>VSC </w:t>
      </w:r>
      <w:r>
        <w:rPr>
          <w:spacing w:val="2"/>
          <w:w w:val="105"/>
          <w:sz w:val="13"/>
        </w:rPr>
        <w:t>64 </w:t>
      </w:r>
      <w:r>
        <w:rPr>
          <w:w w:val="105"/>
          <w:sz w:val="13"/>
        </w:rPr>
        <w:t>(27 February </w:t>
      </w:r>
      <w:r>
        <w:rPr>
          <w:spacing w:val="3"/>
          <w:w w:val="105"/>
          <w:sz w:val="13"/>
        </w:rPr>
        <w:t>2009); </w:t>
      </w:r>
      <w:r>
        <w:rPr>
          <w:i/>
          <w:w w:val="105"/>
          <w:sz w:val="13"/>
        </w:rPr>
        <w:t>Dickman v Holley </w:t>
      </w:r>
      <w:r>
        <w:rPr>
          <w:w w:val="105"/>
          <w:sz w:val="13"/>
        </w:rPr>
        <w:t>[2013] NSWSC 18 (31 January 2013); </w:t>
      </w:r>
      <w:r>
        <w:rPr>
          <w:i/>
          <w:w w:val="105"/>
          <w:sz w:val="13"/>
        </w:rPr>
        <w:t>Brown v Wade </w:t>
      </w:r>
      <w:r>
        <w:rPr>
          <w:w w:val="105"/>
          <w:sz w:val="13"/>
        </w:rPr>
        <w:t>[2010] WASC 367 </w:t>
      </w:r>
      <w:r>
        <w:rPr>
          <w:spacing w:val="2"/>
          <w:w w:val="105"/>
          <w:sz w:val="13"/>
        </w:rPr>
        <w:t>(9 </w:t>
      </w:r>
      <w:r>
        <w:rPr>
          <w:w w:val="105"/>
          <w:sz w:val="13"/>
        </w:rPr>
        <w:t>December 2010); </w:t>
      </w:r>
      <w:r>
        <w:rPr>
          <w:i/>
          <w:w w:val="105"/>
          <w:sz w:val="13"/>
        </w:rPr>
        <w:t>Petrovski v Nasev </w:t>
      </w:r>
      <w:r>
        <w:rPr>
          <w:spacing w:val="-3"/>
          <w:w w:val="105"/>
          <w:sz w:val="13"/>
        </w:rPr>
        <w:t>[2011] </w:t>
      </w:r>
      <w:r>
        <w:rPr>
          <w:w w:val="105"/>
          <w:sz w:val="13"/>
        </w:rPr>
        <w:t>NSWSC </w:t>
      </w:r>
      <w:r>
        <w:rPr>
          <w:spacing w:val="-3"/>
          <w:w w:val="105"/>
          <w:sz w:val="13"/>
        </w:rPr>
        <w:t>(17 </w:t>
      </w:r>
      <w:r>
        <w:rPr>
          <w:w w:val="105"/>
          <w:sz w:val="13"/>
        </w:rPr>
        <w:t>November </w:t>
      </w:r>
      <w:r>
        <w:rPr>
          <w:spacing w:val="-4"/>
          <w:w w:val="105"/>
          <w:sz w:val="13"/>
        </w:rPr>
        <w:t>2011) </w:t>
      </w:r>
      <w:r>
        <w:rPr>
          <w:w w:val="105"/>
          <w:sz w:val="13"/>
        </w:rPr>
        <w:t>1275. See also submission 35 (Andrew Verspaandonk).</w:t>
      </w:r>
    </w:p>
    <w:p>
      <w:pPr>
        <w:pStyle w:val="ListParagraph"/>
        <w:numPr>
          <w:ilvl w:val="0"/>
          <w:numId w:val="25"/>
        </w:numPr>
        <w:tabs>
          <w:tab w:pos="2381" w:val="left" w:leader="none"/>
          <w:tab w:pos="2382" w:val="left" w:leader="none"/>
        </w:tabs>
        <w:spacing w:line="240" w:lineRule="auto" w:before="4" w:after="0"/>
        <w:ind w:left="2381" w:right="1625" w:hanging="794"/>
        <w:jc w:val="left"/>
        <w:rPr>
          <w:sz w:val="13"/>
        </w:rPr>
      </w:pPr>
      <w:r>
        <w:rPr/>
        <w:pict>
          <v:shape style="position:absolute;margin-left:36pt;margin-top:3.732865pt;width:12.4pt;height:14.25pt;mso-position-horizontal-relative:page;mso-position-vertical-relative:paragraph;z-index:2032" type="#_x0000_t202" filled="false" stroked="false">
            <v:textbox inset="0,0,0,0">
              <w:txbxContent>
                <w:p>
                  <w:pPr>
                    <w:spacing w:line="284" w:lineRule="exact" w:before="0"/>
                    <w:ind w:left="0" w:right="0" w:firstLine="0"/>
                    <w:jc w:val="left"/>
                    <w:rPr>
                      <w:b/>
                      <w:sz w:val="24"/>
                    </w:rPr>
                  </w:pPr>
                  <w:r>
                    <w:rPr>
                      <w:b/>
                      <w:color w:val="EC5A4F"/>
                      <w:spacing w:val="-10"/>
                      <w:w w:val="110"/>
                      <w:sz w:val="24"/>
                    </w:rPr>
                    <w:t>12</w:t>
                  </w:r>
                </w:p>
              </w:txbxContent>
            </v:textbox>
            <w10:wrap type="none"/>
          </v:shape>
        </w:pict>
      </w:r>
      <w:r>
        <w:rPr>
          <w:w w:val="105"/>
          <w:sz w:val="13"/>
        </w:rPr>
        <w:t>Law Reform Committee, </w:t>
      </w:r>
      <w:r>
        <w:rPr>
          <w:i/>
          <w:w w:val="105"/>
          <w:sz w:val="13"/>
        </w:rPr>
        <w:t>Inquiry into Powers of Attorney</w:t>
      </w:r>
      <w:r>
        <w:rPr>
          <w:w w:val="105"/>
          <w:sz w:val="13"/>
        </w:rPr>
        <w:t>, above n </w:t>
      </w:r>
      <w:r>
        <w:rPr>
          <w:spacing w:val="-4"/>
          <w:w w:val="105"/>
          <w:sz w:val="13"/>
        </w:rPr>
        <w:t>21,  </w:t>
      </w:r>
      <w:r>
        <w:rPr>
          <w:w w:val="105"/>
          <w:sz w:val="13"/>
        </w:rPr>
        <w:t>91; Law Reform Advisory Committee for </w:t>
      </w:r>
      <w:r>
        <w:rPr>
          <w:spacing w:val="2"/>
          <w:w w:val="105"/>
          <w:sz w:val="13"/>
        </w:rPr>
        <w:t>Northern </w:t>
      </w:r>
      <w:r>
        <w:rPr>
          <w:w w:val="105"/>
          <w:sz w:val="13"/>
        </w:rPr>
        <w:t>Ireland, </w:t>
      </w:r>
      <w:r>
        <w:rPr>
          <w:i/>
          <w:w w:val="105"/>
          <w:sz w:val="13"/>
        </w:rPr>
        <w:t>Attestation</w:t>
      </w:r>
      <w:r>
        <w:rPr>
          <w:i/>
          <w:spacing w:val="30"/>
          <w:w w:val="105"/>
          <w:sz w:val="13"/>
        </w:rPr>
        <w:t> </w:t>
      </w:r>
      <w:r>
        <w:rPr>
          <w:i/>
          <w:w w:val="105"/>
          <w:sz w:val="13"/>
        </w:rPr>
        <w:t>of Wills</w:t>
      </w:r>
      <w:r>
        <w:rPr>
          <w:w w:val="105"/>
          <w:sz w:val="13"/>
        </w:rPr>
        <w:t>, Discussion Paper No </w:t>
      </w:r>
      <w:r>
        <w:rPr>
          <w:spacing w:val="-4"/>
          <w:w w:val="105"/>
          <w:sz w:val="13"/>
        </w:rPr>
        <w:t>12 </w:t>
      </w:r>
      <w:r>
        <w:rPr>
          <w:w w:val="105"/>
          <w:sz w:val="13"/>
        </w:rPr>
        <w:t>(2005)</w:t>
      </w:r>
      <w:r>
        <w:rPr>
          <w:spacing w:val="8"/>
          <w:w w:val="105"/>
          <w:sz w:val="13"/>
        </w:rPr>
        <w:t> </w:t>
      </w:r>
      <w:r>
        <w:rPr>
          <w:w w:val="105"/>
          <w:sz w:val="13"/>
        </w:rPr>
        <w:t>9.</w:t>
      </w:r>
    </w:p>
    <w:p>
      <w:pPr>
        <w:spacing w:after="0" w:line="240" w:lineRule="auto"/>
        <w:jc w:val="left"/>
        <w:rPr>
          <w:sz w:val="13"/>
        </w:rPr>
        <w:sectPr>
          <w:pgSz w:w="11910" w:h="16840"/>
          <w:pgMar w:header="550" w:footer="0" w:top="1560" w:bottom="280" w:left="0" w:right="0"/>
        </w:sectPr>
      </w:pPr>
    </w:p>
    <w:p>
      <w:pPr>
        <w:pStyle w:val="BodyText"/>
        <w:rPr>
          <w:sz w:val="20"/>
        </w:rPr>
      </w:pPr>
    </w:p>
    <w:p>
      <w:pPr>
        <w:pStyle w:val="BodyText"/>
        <w:spacing w:before="6"/>
        <w:rPr>
          <w:sz w:val="17"/>
        </w:rPr>
      </w:pPr>
    </w:p>
    <w:p>
      <w:pPr>
        <w:pStyle w:val="Heading4"/>
        <w:spacing w:line="211" w:lineRule="auto" w:before="131"/>
        <w:ind w:right="2401"/>
      </w:pPr>
      <w:bookmarkStart w:name="Prevention of undue influence through ot" w:id="17"/>
      <w:bookmarkEnd w:id="17"/>
      <w:r>
        <w:rPr>
          <w:b w:val="0"/>
        </w:rPr>
      </w:r>
      <w:r>
        <w:rPr>
          <w:color w:val="EC5A4F"/>
          <w:spacing w:val="-3"/>
          <w:w w:val="115"/>
        </w:rPr>
        <w:t>Prevention</w:t>
      </w:r>
      <w:r>
        <w:rPr>
          <w:color w:val="EC5A4F"/>
          <w:spacing w:val="-14"/>
          <w:w w:val="115"/>
        </w:rPr>
        <w:t> </w:t>
      </w:r>
      <w:r>
        <w:rPr>
          <w:color w:val="EC5A4F"/>
          <w:w w:val="115"/>
        </w:rPr>
        <w:t>of</w:t>
      </w:r>
      <w:r>
        <w:rPr>
          <w:color w:val="EC5A4F"/>
          <w:spacing w:val="-13"/>
          <w:w w:val="115"/>
        </w:rPr>
        <w:t> </w:t>
      </w:r>
      <w:r>
        <w:rPr>
          <w:color w:val="EC5A4F"/>
          <w:w w:val="115"/>
        </w:rPr>
        <w:t>undue</w:t>
      </w:r>
      <w:r>
        <w:rPr>
          <w:color w:val="EC5A4F"/>
          <w:spacing w:val="-13"/>
          <w:w w:val="115"/>
        </w:rPr>
        <w:t> </w:t>
      </w:r>
      <w:r>
        <w:rPr>
          <w:color w:val="EC5A4F"/>
          <w:w w:val="115"/>
        </w:rPr>
        <w:t>influence</w:t>
      </w:r>
      <w:r>
        <w:rPr>
          <w:color w:val="EC5A4F"/>
          <w:spacing w:val="-13"/>
          <w:w w:val="115"/>
        </w:rPr>
        <w:t> </w:t>
      </w:r>
      <w:r>
        <w:rPr>
          <w:color w:val="EC5A4F"/>
          <w:w w:val="115"/>
        </w:rPr>
        <w:t>through</w:t>
      </w:r>
      <w:r>
        <w:rPr>
          <w:color w:val="EC5A4F"/>
          <w:spacing w:val="-14"/>
          <w:w w:val="115"/>
        </w:rPr>
        <w:t> </w:t>
      </w:r>
      <w:r>
        <w:rPr>
          <w:color w:val="EC5A4F"/>
          <w:w w:val="115"/>
        </w:rPr>
        <w:t>other</w:t>
      </w:r>
      <w:r>
        <w:rPr>
          <w:color w:val="EC5A4F"/>
          <w:spacing w:val="-13"/>
          <w:w w:val="115"/>
        </w:rPr>
        <w:t> </w:t>
      </w:r>
      <w:r>
        <w:rPr>
          <w:color w:val="EC5A4F"/>
          <w:w w:val="115"/>
        </w:rPr>
        <w:t>changes</w:t>
      </w:r>
      <w:r>
        <w:rPr>
          <w:color w:val="EC5A4F"/>
          <w:spacing w:val="-13"/>
          <w:w w:val="115"/>
        </w:rPr>
        <w:t> </w:t>
      </w:r>
      <w:r>
        <w:rPr>
          <w:color w:val="EC5A4F"/>
          <w:w w:val="115"/>
        </w:rPr>
        <w:t>to</w:t>
      </w:r>
      <w:r>
        <w:rPr>
          <w:color w:val="EC5A4F"/>
          <w:spacing w:val="-13"/>
          <w:w w:val="115"/>
        </w:rPr>
        <w:t> </w:t>
      </w:r>
      <w:r>
        <w:rPr>
          <w:color w:val="EC5A4F"/>
          <w:w w:val="115"/>
        </w:rPr>
        <w:t>the will-making</w:t>
      </w:r>
      <w:r>
        <w:rPr>
          <w:color w:val="EC5A4F"/>
          <w:spacing w:val="3"/>
          <w:w w:val="115"/>
        </w:rPr>
        <w:t> </w:t>
      </w:r>
      <w:r>
        <w:rPr>
          <w:color w:val="EC5A4F"/>
          <w:w w:val="115"/>
        </w:rPr>
        <w:t>process</w:t>
      </w:r>
    </w:p>
    <w:p>
      <w:pPr>
        <w:pStyle w:val="ListParagraph"/>
        <w:numPr>
          <w:ilvl w:val="1"/>
          <w:numId w:val="22"/>
        </w:numPr>
        <w:tabs>
          <w:tab w:pos="2380" w:val="left" w:leader="none"/>
          <w:tab w:pos="2381" w:val="left" w:leader="none"/>
        </w:tabs>
        <w:spacing w:line="242" w:lineRule="auto" w:before="163" w:after="0"/>
        <w:ind w:left="2381" w:right="1648" w:hanging="794"/>
        <w:jc w:val="left"/>
        <w:rPr>
          <w:sz w:val="21"/>
        </w:rPr>
      </w:pPr>
      <w:r>
        <w:rPr>
          <w:w w:val="105"/>
          <w:sz w:val="21"/>
        </w:rPr>
        <w:t>The </w:t>
      </w:r>
      <w:r>
        <w:rPr>
          <w:spacing w:val="-3"/>
          <w:w w:val="105"/>
          <w:sz w:val="21"/>
        </w:rPr>
        <w:t>formalities for making </w:t>
      </w:r>
      <w:r>
        <w:rPr>
          <w:w w:val="105"/>
          <w:sz w:val="21"/>
        </w:rPr>
        <w:t>a </w:t>
      </w:r>
      <w:r>
        <w:rPr>
          <w:spacing w:val="-3"/>
          <w:w w:val="105"/>
          <w:sz w:val="21"/>
        </w:rPr>
        <w:t>valid will, including </w:t>
      </w:r>
      <w:r>
        <w:rPr>
          <w:w w:val="105"/>
          <w:sz w:val="21"/>
        </w:rPr>
        <w:t>the witnessing </w:t>
      </w:r>
      <w:r>
        <w:rPr>
          <w:spacing w:val="-3"/>
          <w:w w:val="105"/>
          <w:sz w:val="21"/>
        </w:rPr>
        <w:t>requirements </w:t>
      </w:r>
      <w:r>
        <w:rPr>
          <w:w w:val="105"/>
          <w:sz w:val="21"/>
        </w:rPr>
        <w:t>discussed </w:t>
      </w:r>
      <w:r>
        <w:rPr>
          <w:spacing w:val="-3"/>
          <w:w w:val="105"/>
          <w:sz w:val="21"/>
        </w:rPr>
        <w:t>above, are intended to reduce </w:t>
      </w:r>
      <w:r>
        <w:rPr>
          <w:w w:val="105"/>
          <w:sz w:val="21"/>
        </w:rPr>
        <w:t>the risk of </w:t>
      </w:r>
      <w:r>
        <w:rPr>
          <w:spacing w:val="-3"/>
          <w:w w:val="105"/>
          <w:sz w:val="21"/>
        </w:rPr>
        <w:t>undue influence </w:t>
      </w:r>
      <w:r>
        <w:rPr>
          <w:w w:val="105"/>
          <w:sz w:val="21"/>
        </w:rPr>
        <w:t>and </w:t>
      </w:r>
      <w:r>
        <w:rPr>
          <w:spacing w:val="-3"/>
          <w:w w:val="105"/>
          <w:sz w:val="21"/>
        </w:rPr>
        <w:t>fraud </w:t>
      </w:r>
      <w:r>
        <w:rPr>
          <w:w w:val="105"/>
          <w:sz w:val="21"/>
        </w:rPr>
        <w:t>when a </w:t>
      </w:r>
      <w:r>
        <w:rPr>
          <w:spacing w:val="-3"/>
          <w:w w:val="105"/>
          <w:sz w:val="21"/>
        </w:rPr>
        <w:t>will </w:t>
      </w:r>
      <w:r>
        <w:rPr>
          <w:w w:val="105"/>
          <w:sz w:val="21"/>
        </w:rPr>
        <w:t>is being </w:t>
      </w:r>
      <w:r>
        <w:rPr>
          <w:spacing w:val="-3"/>
          <w:w w:val="105"/>
          <w:sz w:val="21"/>
        </w:rPr>
        <w:t>made. </w:t>
      </w:r>
      <w:r>
        <w:rPr>
          <w:spacing w:val="-4"/>
          <w:w w:val="105"/>
          <w:sz w:val="21"/>
        </w:rPr>
        <w:t>However, </w:t>
      </w:r>
      <w:r>
        <w:rPr>
          <w:spacing w:val="-3"/>
          <w:w w:val="105"/>
          <w:sz w:val="21"/>
        </w:rPr>
        <w:t>increasing concern that </w:t>
      </w:r>
      <w:r>
        <w:rPr>
          <w:w w:val="105"/>
          <w:sz w:val="21"/>
        </w:rPr>
        <w:t>older and </w:t>
      </w:r>
      <w:r>
        <w:rPr>
          <w:spacing w:val="-3"/>
          <w:w w:val="105"/>
          <w:sz w:val="21"/>
        </w:rPr>
        <w:t>vulnerable </w:t>
      </w:r>
      <w:r>
        <w:rPr>
          <w:w w:val="105"/>
          <w:sz w:val="21"/>
        </w:rPr>
        <w:t>will-makers </w:t>
      </w:r>
      <w:r>
        <w:rPr>
          <w:spacing w:val="-3"/>
          <w:w w:val="105"/>
          <w:sz w:val="21"/>
        </w:rPr>
        <w:t>are </w:t>
      </w:r>
      <w:r>
        <w:rPr>
          <w:w w:val="105"/>
          <w:sz w:val="21"/>
        </w:rPr>
        <w:t>being subjected</w:t>
      </w:r>
      <w:r>
        <w:rPr>
          <w:spacing w:val="-7"/>
          <w:w w:val="105"/>
          <w:sz w:val="21"/>
        </w:rPr>
        <w:t> </w:t>
      </w:r>
      <w:r>
        <w:rPr>
          <w:spacing w:val="-3"/>
          <w:w w:val="105"/>
          <w:sz w:val="21"/>
        </w:rPr>
        <w:t>to</w:t>
      </w:r>
      <w:r>
        <w:rPr>
          <w:spacing w:val="-7"/>
          <w:w w:val="105"/>
          <w:sz w:val="21"/>
        </w:rPr>
        <w:t> </w:t>
      </w:r>
      <w:r>
        <w:rPr>
          <w:spacing w:val="-3"/>
          <w:w w:val="105"/>
          <w:sz w:val="21"/>
        </w:rPr>
        <w:t>pressure</w:t>
      </w:r>
      <w:r>
        <w:rPr>
          <w:spacing w:val="-6"/>
          <w:w w:val="105"/>
          <w:sz w:val="21"/>
        </w:rPr>
        <w:t> </w:t>
      </w:r>
      <w:r>
        <w:rPr>
          <w:w w:val="105"/>
          <w:sz w:val="21"/>
        </w:rPr>
        <w:t>about</w:t>
      </w:r>
      <w:r>
        <w:rPr>
          <w:spacing w:val="-7"/>
          <w:w w:val="105"/>
          <w:sz w:val="21"/>
        </w:rPr>
        <w:t> </w:t>
      </w:r>
      <w:r>
        <w:rPr>
          <w:w w:val="105"/>
          <w:sz w:val="21"/>
        </w:rPr>
        <w:t>their</w:t>
      </w:r>
      <w:r>
        <w:rPr>
          <w:spacing w:val="-6"/>
          <w:w w:val="105"/>
          <w:sz w:val="21"/>
        </w:rPr>
        <w:t> </w:t>
      </w:r>
      <w:r>
        <w:rPr>
          <w:spacing w:val="-3"/>
          <w:w w:val="105"/>
          <w:sz w:val="21"/>
        </w:rPr>
        <w:t>wills</w:t>
      </w:r>
      <w:r>
        <w:rPr>
          <w:spacing w:val="-7"/>
          <w:w w:val="105"/>
          <w:sz w:val="21"/>
        </w:rPr>
        <w:t> </w:t>
      </w:r>
      <w:r>
        <w:rPr>
          <w:spacing w:val="-2"/>
          <w:w w:val="105"/>
          <w:sz w:val="21"/>
        </w:rPr>
        <w:t>has</w:t>
      </w:r>
      <w:r>
        <w:rPr>
          <w:spacing w:val="-6"/>
          <w:w w:val="105"/>
          <w:sz w:val="21"/>
        </w:rPr>
        <w:t> </w:t>
      </w:r>
      <w:r>
        <w:rPr>
          <w:w w:val="105"/>
          <w:sz w:val="21"/>
        </w:rPr>
        <w:t>led</w:t>
      </w:r>
      <w:r>
        <w:rPr>
          <w:spacing w:val="-7"/>
          <w:w w:val="105"/>
          <w:sz w:val="21"/>
        </w:rPr>
        <w:t> </w:t>
      </w:r>
      <w:r>
        <w:rPr>
          <w:w w:val="105"/>
          <w:sz w:val="21"/>
        </w:rPr>
        <w:t>some</w:t>
      </w:r>
      <w:r>
        <w:rPr>
          <w:spacing w:val="-7"/>
          <w:w w:val="105"/>
          <w:sz w:val="21"/>
        </w:rPr>
        <w:t> </w:t>
      </w:r>
      <w:r>
        <w:rPr>
          <w:w w:val="105"/>
          <w:sz w:val="21"/>
        </w:rPr>
        <w:t>judges</w:t>
      </w:r>
      <w:r>
        <w:rPr>
          <w:spacing w:val="-6"/>
          <w:w w:val="105"/>
          <w:sz w:val="21"/>
        </w:rPr>
        <w:t> </w:t>
      </w:r>
      <w:r>
        <w:rPr>
          <w:w w:val="105"/>
          <w:sz w:val="21"/>
        </w:rPr>
        <w:t>and</w:t>
      </w:r>
      <w:r>
        <w:rPr>
          <w:spacing w:val="-7"/>
          <w:w w:val="105"/>
          <w:sz w:val="21"/>
        </w:rPr>
        <w:t> </w:t>
      </w:r>
      <w:r>
        <w:rPr>
          <w:spacing w:val="-3"/>
          <w:w w:val="105"/>
          <w:sz w:val="21"/>
        </w:rPr>
        <w:t>commentators</w:t>
      </w:r>
      <w:r>
        <w:rPr>
          <w:spacing w:val="-6"/>
          <w:w w:val="105"/>
          <w:sz w:val="21"/>
        </w:rPr>
        <w:t> </w:t>
      </w:r>
      <w:r>
        <w:rPr>
          <w:spacing w:val="-3"/>
          <w:w w:val="105"/>
          <w:sz w:val="21"/>
        </w:rPr>
        <w:t>to</w:t>
      </w:r>
      <w:r>
        <w:rPr>
          <w:spacing w:val="-7"/>
          <w:w w:val="105"/>
          <w:sz w:val="21"/>
        </w:rPr>
        <w:t> </w:t>
      </w:r>
      <w:r>
        <w:rPr>
          <w:w w:val="105"/>
          <w:sz w:val="21"/>
        </w:rPr>
        <w:t>suggest other ways of </w:t>
      </w:r>
      <w:r>
        <w:rPr>
          <w:spacing w:val="-3"/>
          <w:w w:val="105"/>
          <w:sz w:val="21"/>
        </w:rPr>
        <w:t>reducing </w:t>
      </w:r>
      <w:r>
        <w:rPr>
          <w:w w:val="105"/>
          <w:sz w:val="21"/>
        </w:rPr>
        <w:t>the risk of </w:t>
      </w:r>
      <w:r>
        <w:rPr>
          <w:spacing w:val="-3"/>
          <w:w w:val="105"/>
          <w:sz w:val="21"/>
        </w:rPr>
        <w:t>undue influence </w:t>
      </w:r>
      <w:r>
        <w:rPr>
          <w:w w:val="105"/>
          <w:sz w:val="21"/>
        </w:rPr>
        <w:t>in the will-making </w:t>
      </w:r>
      <w:r>
        <w:rPr>
          <w:spacing w:val="-3"/>
          <w:w w:val="105"/>
          <w:sz w:val="21"/>
        </w:rPr>
        <w:t>process.</w:t>
      </w:r>
      <w:r>
        <w:rPr>
          <w:spacing w:val="-3"/>
          <w:w w:val="105"/>
          <w:position w:val="7"/>
          <w:sz w:val="12"/>
        </w:rPr>
        <w:t>78 </w:t>
      </w:r>
      <w:r>
        <w:rPr>
          <w:w w:val="105"/>
          <w:sz w:val="21"/>
        </w:rPr>
        <w:t>The </w:t>
      </w:r>
      <w:r>
        <w:rPr>
          <w:spacing w:val="-4"/>
          <w:w w:val="105"/>
          <w:sz w:val="21"/>
        </w:rPr>
        <w:t>key </w:t>
      </w:r>
      <w:r>
        <w:rPr>
          <w:w w:val="105"/>
          <w:sz w:val="21"/>
        </w:rPr>
        <w:t>suggestion</w:t>
      </w:r>
      <w:r>
        <w:rPr>
          <w:spacing w:val="-8"/>
          <w:w w:val="105"/>
          <w:sz w:val="21"/>
        </w:rPr>
        <w:t> </w:t>
      </w:r>
      <w:r>
        <w:rPr>
          <w:w w:val="105"/>
          <w:sz w:val="21"/>
        </w:rPr>
        <w:t>in</w:t>
      </w:r>
      <w:r>
        <w:rPr>
          <w:spacing w:val="-8"/>
          <w:w w:val="105"/>
          <w:sz w:val="21"/>
        </w:rPr>
        <w:t> </w:t>
      </w:r>
      <w:r>
        <w:rPr>
          <w:w w:val="105"/>
          <w:sz w:val="21"/>
        </w:rPr>
        <w:t>this</w:t>
      </w:r>
      <w:r>
        <w:rPr>
          <w:spacing w:val="-7"/>
          <w:w w:val="105"/>
          <w:sz w:val="21"/>
        </w:rPr>
        <w:t> </w:t>
      </w:r>
      <w:r>
        <w:rPr>
          <w:spacing w:val="-3"/>
          <w:w w:val="105"/>
          <w:sz w:val="21"/>
        </w:rPr>
        <w:t>area</w:t>
      </w:r>
      <w:r>
        <w:rPr>
          <w:spacing w:val="-8"/>
          <w:w w:val="105"/>
          <w:sz w:val="21"/>
        </w:rPr>
        <w:t> </w:t>
      </w:r>
      <w:r>
        <w:rPr>
          <w:w w:val="105"/>
          <w:sz w:val="21"/>
        </w:rPr>
        <w:t>of</w:t>
      </w:r>
      <w:r>
        <w:rPr>
          <w:spacing w:val="-8"/>
          <w:w w:val="105"/>
          <w:sz w:val="21"/>
        </w:rPr>
        <w:t> </w:t>
      </w:r>
      <w:r>
        <w:rPr>
          <w:spacing w:val="-3"/>
          <w:w w:val="105"/>
          <w:sz w:val="21"/>
        </w:rPr>
        <w:t>prevention</w:t>
      </w:r>
      <w:r>
        <w:rPr>
          <w:spacing w:val="-7"/>
          <w:w w:val="105"/>
          <w:sz w:val="21"/>
        </w:rPr>
        <w:t> </w:t>
      </w:r>
      <w:r>
        <w:rPr>
          <w:w w:val="105"/>
          <w:sz w:val="21"/>
        </w:rPr>
        <w:t>is</w:t>
      </w:r>
      <w:r>
        <w:rPr>
          <w:spacing w:val="-8"/>
          <w:w w:val="105"/>
          <w:sz w:val="21"/>
        </w:rPr>
        <w:t> </w:t>
      </w:r>
      <w:r>
        <w:rPr>
          <w:spacing w:val="-3"/>
          <w:w w:val="105"/>
          <w:sz w:val="21"/>
        </w:rPr>
        <w:t>to</w:t>
      </w:r>
      <w:r>
        <w:rPr>
          <w:spacing w:val="-7"/>
          <w:w w:val="105"/>
          <w:sz w:val="21"/>
        </w:rPr>
        <w:t> </w:t>
      </w:r>
      <w:r>
        <w:rPr>
          <w:spacing w:val="-3"/>
          <w:w w:val="105"/>
          <w:sz w:val="21"/>
        </w:rPr>
        <w:t>ensure</w:t>
      </w:r>
      <w:r>
        <w:rPr>
          <w:spacing w:val="-8"/>
          <w:w w:val="105"/>
          <w:sz w:val="21"/>
        </w:rPr>
        <w:t> </w:t>
      </w:r>
      <w:r>
        <w:rPr>
          <w:spacing w:val="-3"/>
          <w:w w:val="105"/>
          <w:sz w:val="21"/>
        </w:rPr>
        <w:t>that</w:t>
      </w:r>
      <w:r>
        <w:rPr>
          <w:spacing w:val="-8"/>
          <w:w w:val="105"/>
          <w:sz w:val="21"/>
        </w:rPr>
        <w:t> </w:t>
      </w:r>
      <w:r>
        <w:rPr>
          <w:w w:val="105"/>
          <w:sz w:val="21"/>
        </w:rPr>
        <w:t>legal</w:t>
      </w:r>
      <w:r>
        <w:rPr>
          <w:spacing w:val="-7"/>
          <w:w w:val="105"/>
          <w:sz w:val="21"/>
        </w:rPr>
        <w:t> </w:t>
      </w:r>
      <w:r>
        <w:rPr>
          <w:w w:val="105"/>
          <w:sz w:val="21"/>
        </w:rPr>
        <w:t>practitioners</w:t>
      </w:r>
      <w:r>
        <w:rPr>
          <w:spacing w:val="-8"/>
          <w:w w:val="105"/>
          <w:sz w:val="21"/>
        </w:rPr>
        <w:t> </w:t>
      </w:r>
      <w:r>
        <w:rPr>
          <w:spacing w:val="-3"/>
          <w:w w:val="105"/>
          <w:sz w:val="21"/>
        </w:rPr>
        <w:t>take</w:t>
      </w:r>
      <w:r>
        <w:rPr>
          <w:spacing w:val="-8"/>
          <w:w w:val="105"/>
          <w:sz w:val="21"/>
        </w:rPr>
        <w:t> </w:t>
      </w:r>
      <w:r>
        <w:rPr>
          <w:spacing w:val="-3"/>
          <w:w w:val="105"/>
          <w:sz w:val="21"/>
        </w:rPr>
        <w:t>greater</w:t>
      </w:r>
      <w:r>
        <w:rPr>
          <w:spacing w:val="-7"/>
          <w:w w:val="105"/>
          <w:sz w:val="21"/>
        </w:rPr>
        <w:t> </w:t>
      </w:r>
      <w:r>
        <w:rPr>
          <w:w w:val="105"/>
          <w:sz w:val="21"/>
        </w:rPr>
        <w:t>care when </w:t>
      </w:r>
      <w:r>
        <w:rPr>
          <w:spacing w:val="-3"/>
          <w:w w:val="105"/>
          <w:sz w:val="21"/>
        </w:rPr>
        <w:t>making</w:t>
      </w:r>
      <w:r>
        <w:rPr>
          <w:spacing w:val="11"/>
          <w:w w:val="105"/>
          <w:sz w:val="21"/>
        </w:rPr>
        <w:t> </w:t>
      </w:r>
      <w:r>
        <w:rPr>
          <w:spacing w:val="-3"/>
          <w:w w:val="105"/>
          <w:sz w:val="21"/>
        </w:rPr>
        <w:t>wills.</w:t>
      </w:r>
    </w:p>
    <w:p>
      <w:pPr>
        <w:pStyle w:val="ListParagraph"/>
        <w:numPr>
          <w:ilvl w:val="1"/>
          <w:numId w:val="22"/>
        </w:numPr>
        <w:tabs>
          <w:tab w:pos="2380" w:val="left" w:leader="none"/>
          <w:tab w:pos="2381" w:val="left" w:leader="none"/>
        </w:tabs>
        <w:spacing w:line="242" w:lineRule="auto" w:before="128" w:after="0"/>
        <w:ind w:left="2380" w:right="1693" w:hanging="793"/>
        <w:jc w:val="left"/>
        <w:rPr>
          <w:sz w:val="12"/>
        </w:rPr>
      </w:pPr>
      <w:r>
        <w:rPr>
          <w:sz w:val="21"/>
        </w:rPr>
        <w:t>In Victoria, legal practitioners must comply with </w:t>
      </w:r>
      <w:r>
        <w:rPr>
          <w:spacing w:val="-3"/>
          <w:sz w:val="21"/>
        </w:rPr>
        <w:t>professional </w:t>
      </w:r>
      <w:r>
        <w:rPr>
          <w:sz w:val="21"/>
        </w:rPr>
        <w:t>conduct and practice rules. </w:t>
      </w:r>
      <w:r>
        <w:rPr>
          <w:spacing w:val="-3"/>
          <w:sz w:val="21"/>
        </w:rPr>
        <w:t>Rule </w:t>
      </w:r>
      <w:r>
        <w:rPr>
          <w:spacing w:val="-6"/>
          <w:sz w:val="21"/>
        </w:rPr>
        <w:t>10 </w:t>
      </w:r>
      <w:r>
        <w:rPr>
          <w:sz w:val="21"/>
        </w:rPr>
        <w:t>of the </w:t>
      </w:r>
      <w:r>
        <w:rPr>
          <w:i/>
          <w:sz w:val="21"/>
        </w:rPr>
        <w:t>Professional Conduct and Practice Rules </w:t>
      </w:r>
      <w:r>
        <w:rPr>
          <w:sz w:val="21"/>
        </w:rPr>
        <w:t>is the only rule </w:t>
      </w:r>
      <w:r>
        <w:rPr>
          <w:spacing w:val="-3"/>
          <w:sz w:val="21"/>
        </w:rPr>
        <w:t>that </w:t>
      </w:r>
      <w:r>
        <w:rPr>
          <w:sz w:val="21"/>
        </w:rPr>
        <w:t>specifically applies </w:t>
      </w:r>
      <w:r>
        <w:rPr>
          <w:spacing w:val="-3"/>
          <w:sz w:val="21"/>
        </w:rPr>
        <w:t>to </w:t>
      </w:r>
      <w:r>
        <w:rPr>
          <w:sz w:val="21"/>
        </w:rPr>
        <w:t>the </w:t>
      </w:r>
      <w:r>
        <w:rPr>
          <w:spacing w:val="-3"/>
          <w:sz w:val="21"/>
        </w:rPr>
        <w:t>drafting </w:t>
      </w:r>
      <w:r>
        <w:rPr>
          <w:sz w:val="21"/>
        </w:rPr>
        <w:t>of a </w:t>
      </w:r>
      <w:r>
        <w:rPr>
          <w:spacing w:val="-3"/>
          <w:sz w:val="21"/>
        </w:rPr>
        <w:t>will. </w:t>
      </w:r>
      <w:r>
        <w:rPr>
          <w:sz w:val="21"/>
        </w:rPr>
        <w:t>The rule only deals with legal practitioners who receive a benefit under a </w:t>
      </w:r>
      <w:r>
        <w:rPr>
          <w:spacing w:val="-3"/>
          <w:sz w:val="21"/>
        </w:rPr>
        <w:t>will (for example, </w:t>
      </w:r>
      <w:r>
        <w:rPr>
          <w:sz w:val="21"/>
        </w:rPr>
        <w:t>an </w:t>
      </w:r>
      <w:r>
        <w:rPr>
          <w:spacing w:val="-3"/>
          <w:sz w:val="21"/>
        </w:rPr>
        <w:t>entitlement to professional remuneration </w:t>
      </w:r>
      <w:r>
        <w:rPr>
          <w:sz w:val="21"/>
        </w:rPr>
        <w:t>where the legal practitioner is </w:t>
      </w:r>
      <w:r>
        <w:rPr>
          <w:spacing w:val="-3"/>
          <w:sz w:val="21"/>
        </w:rPr>
        <w:t>appointed </w:t>
      </w:r>
      <w:r>
        <w:rPr>
          <w:sz w:val="21"/>
        </w:rPr>
        <w:t>as </w:t>
      </w:r>
      <w:r>
        <w:rPr>
          <w:spacing w:val="-3"/>
          <w:sz w:val="21"/>
        </w:rPr>
        <w:t>executor) </w:t>
      </w:r>
      <w:r>
        <w:rPr>
          <w:sz w:val="21"/>
        </w:rPr>
        <w:t>and does </w:t>
      </w:r>
      <w:r>
        <w:rPr>
          <w:spacing w:val="-2"/>
          <w:sz w:val="21"/>
        </w:rPr>
        <w:t>not </w:t>
      </w:r>
      <w:r>
        <w:rPr>
          <w:sz w:val="21"/>
        </w:rPr>
        <w:t>impose </w:t>
      </w:r>
      <w:r>
        <w:rPr>
          <w:spacing w:val="-3"/>
          <w:sz w:val="21"/>
        </w:rPr>
        <w:t>any </w:t>
      </w:r>
      <w:r>
        <w:rPr>
          <w:sz w:val="21"/>
        </w:rPr>
        <w:t>other </w:t>
      </w:r>
      <w:r>
        <w:rPr>
          <w:spacing w:val="-3"/>
          <w:sz w:val="21"/>
        </w:rPr>
        <w:t>obligations </w:t>
      </w:r>
      <w:r>
        <w:rPr>
          <w:sz w:val="21"/>
        </w:rPr>
        <w:t>on legal practitioners </w:t>
      </w:r>
      <w:r>
        <w:rPr>
          <w:spacing w:val="-3"/>
          <w:sz w:val="21"/>
        </w:rPr>
        <w:t>drafting</w:t>
      </w:r>
      <w:r>
        <w:rPr>
          <w:spacing w:val="26"/>
          <w:sz w:val="21"/>
        </w:rPr>
        <w:t> </w:t>
      </w:r>
      <w:r>
        <w:rPr>
          <w:spacing w:val="-4"/>
          <w:sz w:val="21"/>
        </w:rPr>
        <w:t>wills.</w:t>
      </w:r>
      <w:r>
        <w:rPr>
          <w:spacing w:val="-4"/>
          <w:position w:val="7"/>
          <w:sz w:val="12"/>
        </w:rPr>
        <w:t>79</w:t>
      </w:r>
    </w:p>
    <w:p>
      <w:pPr>
        <w:pStyle w:val="ListParagraph"/>
        <w:numPr>
          <w:ilvl w:val="1"/>
          <w:numId w:val="22"/>
        </w:numPr>
        <w:tabs>
          <w:tab w:pos="2381" w:val="left" w:leader="none"/>
          <w:tab w:pos="2382" w:val="left" w:leader="none"/>
        </w:tabs>
        <w:spacing w:line="242" w:lineRule="auto" w:before="126" w:after="0"/>
        <w:ind w:left="2381" w:right="1713" w:hanging="794"/>
        <w:jc w:val="left"/>
        <w:rPr>
          <w:sz w:val="21"/>
        </w:rPr>
      </w:pPr>
      <w:r>
        <w:rPr>
          <w:sz w:val="21"/>
        </w:rPr>
        <w:t>In the </w:t>
      </w:r>
      <w:r>
        <w:rPr>
          <w:spacing w:val="-3"/>
          <w:sz w:val="21"/>
        </w:rPr>
        <w:t>consultation </w:t>
      </w:r>
      <w:r>
        <w:rPr>
          <w:sz w:val="21"/>
        </w:rPr>
        <w:t>paper on </w:t>
      </w:r>
      <w:r>
        <w:rPr>
          <w:spacing w:val="-3"/>
          <w:sz w:val="21"/>
        </w:rPr>
        <w:t>wills, </w:t>
      </w:r>
      <w:r>
        <w:rPr>
          <w:sz w:val="21"/>
        </w:rPr>
        <w:t>the </w:t>
      </w:r>
      <w:r>
        <w:rPr>
          <w:spacing w:val="-3"/>
          <w:sz w:val="21"/>
        </w:rPr>
        <w:t>Commission </w:t>
      </w:r>
      <w:r>
        <w:rPr>
          <w:spacing w:val="-2"/>
          <w:sz w:val="21"/>
        </w:rPr>
        <w:t>raised </w:t>
      </w:r>
      <w:r>
        <w:rPr>
          <w:spacing w:val="-3"/>
          <w:sz w:val="21"/>
        </w:rPr>
        <w:t>various </w:t>
      </w:r>
      <w:r>
        <w:rPr>
          <w:sz w:val="21"/>
        </w:rPr>
        <w:t>ways </w:t>
      </w:r>
      <w:r>
        <w:rPr>
          <w:spacing w:val="-3"/>
          <w:sz w:val="21"/>
        </w:rPr>
        <w:t>that  </w:t>
      </w:r>
      <w:r>
        <w:rPr>
          <w:sz w:val="21"/>
        </w:rPr>
        <w:t>the rules </w:t>
      </w:r>
      <w:r>
        <w:rPr>
          <w:spacing w:val="-3"/>
          <w:sz w:val="21"/>
        </w:rPr>
        <w:t>for </w:t>
      </w:r>
      <w:r>
        <w:rPr>
          <w:sz w:val="21"/>
        </w:rPr>
        <w:t>legal practitioners </w:t>
      </w:r>
      <w:r>
        <w:rPr>
          <w:spacing w:val="-3"/>
          <w:sz w:val="21"/>
        </w:rPr>
        <w:t>drafting wills could </w:t>
      </w:r>
      <w:r>
        <w:rPr>
          <w:sz w:val="21"/>
        </w:rPr>
        <w:t>be strengthened. This section </w:t>
      </w:r>
      <w:r>
        <w:rPr>
          <w:spacing w:val="-3"/>
          <w:sz w:val="21"/>
        </w:rPr>
        <w:t>outlines </w:t>
      </w:r>
      <w:r>
        <w:rPr>
          <w:sz w:val="21"/>
        </w:rPr>
        <w:t>the views of those </w:t>
      </w:r>
      <w:r>
        <w:rPr>
          <w:spacing w:val="-3"/>
          <w:sz w:val="21"/>
        </w:rPr>
        <w:t>consulted </w:t>
      </w:r>
      <w:r>
        <w:rPr>
          <w:sz w:val="21"/>
        </w:rPr>
        <w:t>by the </w:t>
      </w:r>
      <w:r>
        <w:rPr>
          <w:spacing w:val="-3"/>
          <w:sz w:val="21"/>
        </w:rPr>
        <w:t>Commission </w:t>
      </w:r>
      <w:r>
        <w:rPr>
          <w:sz w:val="21"/>
        </w:rPr>
        <w:t>and the </w:t>
      </w:r>
      <w:r>
        <w:rPr>
          <w:spacing w:val="-4"/>
          <w:sz w:val="21"/>
        </w:rPr>
        <w:t>Commission’s </w:t>
      </w:r>
      <w:r>
        <w:rPr>
          <w:spacing w:val="-3"/>
          <w:sz w:val="21"/>
        </w:rPr>
        <w:t>recommendations  to  improve  </w:t>
      </w:r>
      <w:r>
        <w:rPr>
          <w:sz w:val="21"/>
        </w:rPr>
        <w:t>the will-drafting process in order </w:t>
      </w:r>
      <w:r>
        <w:rPr>
          <w:spacing w:val="-3"/>
          <w:sz w:val="21"/>
        </w:rPr>
        <w:t>to reduce </w:t>
      </w:r>
      <w:r>
        <w:rPr>
          <w:sz w:val="21"/>
        </w:rPr>
        <w:t>the risk of </w:t>
      </w:r>
      <w:r>
        <w:rPr>
          <w:spacing w:val="-3"/>
          <w:sz w:val="21"/>
        </w:rPr>
        <w:t>undue</w:t>
      </w:r>
      <w:r>
        <w:rPr>
          <w:spacing w:val="40"/>
          <w:sz w:val="21"/>
        </w:rPr>
        <w:t> </w:t>
      </w:r>
      <w:r>
        <w:rPr>
          <w:spacing w:val="-3"/>
          <w:sz w:val="21"/>
        </w:rPr>
        <w:t>influence.</w:t>
      </w:r>
    </w:p>
    <w:p>
      <w:pPr>
        <w:pStyle w:val="BodyText"/>
        <w:spacing w:before="1"/>
        <w:rPr>
          <w:sz w:val="25"/>
        </w:rPr>
      </w:pPr>
    </w:p>
    <w:p>
      <w:pPr>
        <w:pStyle w:val="Heading5"/>
      </w:pPr>
      <w:r>
        <w:rPr>
          <w:w w:val="110"/>
        </w:rPr>
        <w:t>Requirement to obtain a medical capacity assessment</w:t>
      </w:r>
    </w:p>
    <w:p>
      <w:pPr>
        <w:pStyle w:val="ListParagraph"/>
        <w:numPr>
          <w:ilvl w:val="1"/>
          <w:numId w:val="22"/>
        </w:numPr>
        <w:tabs>
          <w:tab w:pos="2381" w:val="left" w:leader="none"/>
          <w:tab w:pos="2382" w:val="left" w:leader="none"/>
        </w:tabs>
        <w:spacing w:line="242" w:lineRule="auto" w:before="137" w:after="0"/>
        <w:ind w:left="2381" w:right="1694" w:hanging="794"/>
        <w:jc w:val="left"/>
        <w:rPr>
          <w:sz w:val="21"/>
        </w:rPr>
      </w:pPr>
      <w:r>
        <w:rPr>
          <w:sz w:val="21"/>
        </w:rPr>
        <w:t>In the </w:t>
      </w:r>
      <w:r>
        <w:rPr>
          <w:spacing w:val="-3"/>
          <w:sz w:val="21"/>
        </w:rPr>
        <w:t>consultation </w:t>
      </w:r>
      <w:r>
        <w:rPr>
          <w:sz w:val="21"/>
        </w:rPr>
        <w:t>paper on </w:t>
      </w:r>
      <w:r>
        <w:rPr>
          <w:spacing w:val="-3"/>
          <w:sz w:val="21"/>
        </w:rPr>
        <w:t>wills, </w:t>
      </w:r>
      <w:r>
        <w:rPr>
          <w:sz w:val="21"/>
        </w:rPr>
        <w:t>the  </w:t>
      </w:r>
      <w:r>
        <w:rPr>
          <w:spacing w:val="-3"/>
          <w:sz w:val="21"/>
        </w:rPr>
        <w:t>Commission  asked  </w:t>
      </w:r>
      <w:r>
        <w:rPr>
          <w:sz w:val="21"/>
        </w:rPr>
        <w:t>whether  a  legal  practitioner who is </w:t>
      </w:r>
      <w:r>
        <w:rPr>
          <w:spacing w:val="-3"/>
          <w:sz w:val="21"/>
        </w:rPr>
        <w:t>asked to </w:t>
      </w:r>
      <w:r>
        <w:rPr>
          <w:sz w:val="21"/>
        </w:rPr>
        <w:t>draft a </w:t>
      </w:r>
      <w:r>
        <w:rPr>
          <w:spacing w:val="-3"/>
          <w:sz w:val="21"/>
        </w:rPr>
        <w:t>will </w:t>
      </w:r>
      <w:r>
        <w:rPr>
          <w:sz w:val="21"/>
        </w:rPr>
        <w:t>by a </w:t>
      </w:r>
      <w:r>
        <w:rPr>
          <w:spacing w:val="-3"/>
          <w:sz w:val="21"/>
        </w:rPr>
        <w:t>client  </w:t>
      </w:r>
      <w:r>
        <w:rPr>
          <w:sz w:val="21"/>
        </w:rPr>
        <w:t>should be </w:t>
      </w:r>
      <w:r>
        <w:rPr>
          <w:spacing w:val="-3"/>
          <w:sz w:val="21"/>
        </w:rPr>
        <w:t>required</w:t>
      </w:r>
      <w:r>
        <w:rPr>
          <w:spacing w:val="41"/>
          <w:sz w:val="21"/>
        </w:rPr>
        <w:t> </w:t>
      </w:r>
      <w:r>
        <w:rPr>
          <w:spacing w:val="-3"/>
          <w:sz w:val="21"/>
        </w:rPr>
        <w:t>to  </w:t>
      </w:r>
      <w:r>
        <w:rPr>
          <w:sz w:val="21"/>
        </w:rPr>
        <w:t>obtain a medical assessment of the </w:t>
      </w:r>
      <w:r>
        <w:rPr>
          <w:spacing w:val="-3"/>
          <w:sz w:val="21"/>
        </w:rPr>
        <w:t>client’s </w:t>
      </w:r>
      <w:r>
        <w:rPr>
          <w:sz w:val="21"/>
        </w:rPr>
        <w:t>capacity in particular</w:t>
      </w:r>
      <w:r>
        <w:rPr>
          <w:spacing w:val="10"/>
          <w:sz w:val="21"/>
        </w:rPr>
        <w:t> </w:t>
      </w:r>
      <w:r>
        <w:rPr>
          <w:spacing w:val="-3"/>
          <w:sz w:val="21"/>
        </w:rPr>
        <w:t>circumstances.</w:t>
      </w:r>
    </w:p>
    <w:p>
      <w:pPr>
        <w:pStyle w:val="ListParagraph"/>
        <w:numPr>
          <w:ilvl w:val="1"/>
          <w:numId w:val="22"/>
        </w:numPr>
        <w:tabs>
          <w:tab w:pos="2381" w:val="left" w:leader="none"/>
          <w:tab w:pos="2382" w:val="left" w:leader="none"/>
        </w:tabs>
        <w:spacing w:line="242" w:lineRule="auto" w:before="123" w:after="0"/>
        <w:ind w:left="2381" w:right="1696" w:hanging="794"/>
        <w:jc w:val="left"/>
        <w:rPr>
          <w:sz w:val="12"/>
        </w:rPr>
      </w:pPr>
      <w:r>
        <w:rPr>
          <w:w w:val="105"/>
          <w:sz w:val="21"/>
        </w:rPr>
        <w:t>Some</w:t>
      </w:r>
      <w:r>
        <w:rPr>
          <w:spacing w:val="-5"/>
          <w:w w:val="105"/>
          <w:sz w:val="21"/>
        </w:rPr>
        <w:t> </w:t>
      </w:r>
      <w:r>
        <w:rPr>
          <w:w w:val="105"/>
          <w:sz w:val="21"/>
        </w:rPr>
        <w:t>of</w:t>
      </w:r>
      <w:r>
        <w:rPr>
          <w:spacing w:val="-4"/>
          <w:w w:val="105"/>
          <w:sz w:val="21"/>
        </w:rPr>
        <w:t> </w:t>
      </w:r>
      <w:r>
        <w:rPr>
          <w:w w:val="105"/>
          <w:sz w:val="21"/>
        </w:rPr>
        <w:t>the</w:t>
      </w:r>
      <w:r>
        <w:rPr>
          <w:spacing w:val="-4"/>
          <w:w w:val="105"/>
          <w:sz w:val="21"/>
        </w:rPr>
        <w:t> </w:t>
      </w:r>
      <w:r>
        <w:rPr>
          <w:w w:val="105"/>
          <w:sz w:val="21"/>
        </w:rPr>
        <w:t>responses</w:t>
      </w:r>
      <w:r>
        <w:rPr>
          <w:spacing w:val="-4"/>
          <w:w w:val="105"/>
          <w:sz w:val="21"/>
        </w:rPr>
        <w:t> </w:t>
      </w:r>
      <w:r>
        <w:rPr>
          <w:w w:val="105"/>
          <w:sz w:val="21"/>
        </w:rPr>
        <w:t>suggested</w:t>
      </w:r>
      <w:r>
        <w:rPr>
          <w:spacing w:val="-5"/>
          <w:w w:val="105"/>
          <w:sz w:val="21"/>
        </w:rPr>
        <w:t> </w:t>
      </w:r>
      <w:r>
        <w:rPr>
          <w:spacing w:val="-3"/>
          <w:w w:val="105"/>
          <w:sz w:val="21"/>
        </w:rPr>
        <w:t>that</w:t>
      </w:r>
      <w:r>
        <w:rPr>
          <w:spacing w:val="-4"/>
          <w:w w:val="105"/>
          <w:sz w:val="21"/>
        </w:rPr>
        <w:t> </w:t>
      </w:r>
      <w:r>
        <w:rPr>
          <w:w w:val="105"/>
          <w:sz w:val="21"/>
        </w:rPr>
        <w:t>this</w:t>
      </w:r>
      <w:r>
        <w:rPr>
          <w:spacing w:val="-4"/>
          <w:w w:val="105"/>
          <w:sz w:val="21"/>
        </w:rPr>
        <w:t> </w:t>
      </w:r>
      <w:r>
        <w:rPr>
          <w:w w:val="105"/>
          <w:sz w:val="21"/>
        </w:rPr>
        <w:t>would</w:t>
      </w:r>
      <w:r>
        <w:rPr>
          <w:spacing w:val="-4"/>
          <w:w w:val="105"/>
          <w:sz w:val="21"/>
        </w:rPr>
        <w:t> </w:t>
      </w:r>
      <w:r>
        <w:rPr>
          <w:w w:val="105"/>
          <w:sz w:val="21"/>
        </w:rPr>
        <w:t>be</w:t>
      </w:r>
      <w:r>
        <w:rPr>
          <w:spacing w:val="-5"/>
          <w:w w:val="105"/>
          <w:sz w:val="21"/>
        </w:rPr>
        <w:t> </w:t>
      </w:r>
      <w:r>
        <w:rPr>
          <w:w w:val="105"/>
          <w:sz w:val="21"/>
        </w:rPr>
        <w:t>a</w:t>
      </w:r>
      <w:r>
        <w:rPr>
          <w:spacing w:val="-4"/>
          <w:w w:val="105"/>
          <w:sz w:val="21"/>
        </w:rPr>
        <w:t> </w:t>
      </w:r>
      <w:r>
        <w:rPr>
          <w:spacing w:val="-3"/>
          <w:w w:val="105"/>
          <w:sz w:val="21"/>
        </w:rPr>
        <w:t>useful</w:t>
      </w:r>
      <w:r>
        <w:rPr>
          <w:spacing w:val="-4"/>
          <w:w w:val="105"/>
          <w:sz w:val="21"/>
        </w:rPr>
        <w:t> </w:t>
      </w:r>
      <w:r>
        <w:rPr>
          <w:spacing w:val="-3"/>
          <w:w w:val="105"/>
          <w:sz w:val="21"/>
        </w:rPr>
        <w:t>change,</w:t>
      </w:r>
      <w:r>
        <w:rPr>
          <w:spacing w:val="-4"/>
          <w:w w:val="105"/>
          <w:sz w:val="21"/>
        </w:rPr>
        <w:t> </w:t>
      </w:r>
      <w:r>
        <w:rPr>
          <w:spacing w:val="-3"/>
          <w:w w:val="105"/>
          <w:sz w:val="21"/>
        </w:rPr>
        <w:t>for</w:t>
      </w:r>
      <w:r>
        <w:rPr>
          <w:spacing w:val="-4"/>
          <w:w w:val="105"/>
          <w:sz w:val="21"/>
        </w:rPr>
        <w:t> </w:t>
      </w:r>
      <w:r>
        <w:rPr>
          <w:w w:val="105"/>
          <w:sz w:val="21"/>
        </w:rPr>
        <w:t>example</w:t>
      </w:r>
      <w:r>
        <w:rPr>
          <w:spacing w:val="-5"/>
          <w:w w:val="105"/>
          <w:sz w:val="21"/>
        </w:rPr>
        <w:t> </w:t>
      </w:r>
      <w:r>
        <w:rPr>
          <w:w w:val="105"/>
          <w:sz w:val="21"/>
        </w:rPr>
        <w:t>where the </w:t>
      </w:r>
      <w:r>
        <w:rPr>
          <w:spacing w:val="-3"/>
          <w:w w:val="105"/>
          <w:sz w:val="21"/>
        </w:rPr>
        <w:t>will-maker </w:t>
      </w:r>
      <w:r>
        <w:rPr>
          <w:w w:val="105"/>
          <w:sz w:val="21"/>
        </w:rPr>
        <w:t>is over a particular age </w:t>
      </w:r>
      <w:r>
        <w:rPr>
          <w:spacing w:val="2"/>
          <w:w w:val="105"/>
          <w:sz w:val="21"/>
        </w:rPr>
        <w:t>(80 </w:t>
      </w:r>
      <w:r>
        <w:rPr>
          <w:w w:val="105"/>
          <w:sz w:val="21"/>
        </w:rPr>
        <w:t>or </w:t>
      </w:r>
      <w:r>
        <w:rPr>
          <w:spacing w:val="2"/>
          <w:w w:val="105"/>
          <w:sz w:val="21"/>
        </w:rPr>
        <w:t>85)</w:t>
      </w:r>
      <w:r>
        <w:rPr>
          <w:spacing w:val="2"/>
          <w:w w:val="105"/>
          <w:position w:val="7"/>
          <w:sz w:val="12"/>
        </w:rPr>
        <w:t>80 </w:t>
      </w:r>
      <w:r>
        <w:rPr>
          <w:w w:val="105"/>
          <w:sz w:val="21"/>
        </w:rPr>
        <w:t>or where the </w:t>
      </w:r>
      <w:r>
        <w:rPr>
          <w:spacing w:val="-3"/>
          <w:w w:val="105"/>
          <w:sz w:val="21"/>
        </w:rPr>
        <w:t>will-maker </w:t>
      </w:r>
      <w:r>
        <w:rPr>
          <w:spacing w:val="-2"/>
          <w:w w:val="105"/>
          <w:sz w:val="21"/>
        </w:rPr>
        <w:t>has </w:t>
      </w:r>
      <w:r>
        <w:rPr>
          <w:spacing w:val="-3"/>
          <w:w w:val="105"/>
          <w:sz w:val="21"/>
        </w:rPr>
        <w:t>another </w:t>
      </w:r>
      <w:r>
        <w:rPr>
          <w:w w:val="105"/>
          <w:sz w:val="21"/>
        </w:rPr>
        <w:t>known </w:t>
      </w:r>
      <w:r>
        <w:rPr>
          <w:spacing w:val="-3"/>
          <w:w w:val="105"/>
          <w:sz w:val="21"/>
        </w:rPr>
        <w:t>vulnerability such </w:t>
      </w:r>
      <w:r>
        <w:rPr>
          <w:w w:val="105"/>
          <w:sz w:val="21"/>
        </w:rPr>
        <w:t>as being in a medical </w:t>
      </w:r>
      <w:r>
        <w:rPr>
          <w:spacing w:val="-3"/>
          <w:w w:val="105"/>
          <w:sz w:val="21"/>
        </w:rPr>
        <w:t>facility </w:t>
      </w:r>
      <w:r>
        <w:rPr>
          <w:w w:val="105"/>
          <w:sz w:val="21"/>
        </w:rPr>
        <w:t>or taking medication </w:t>
      </w:r>
      <w:r>
        <w:rPr>
          <w:spacing w:val="-3"/>
          <w:w w:val="105"/>
          <w:sz w:val="21"/>
        </w:rPr>
        <w:t>that </w:t>
      </w:r>
      <w:r>
        <w:rPr>
          <w:w w:val="105"/>
          <w:sz w:val="21"/>
        </w:rPr>
        <w:t>affects decision-making.</w:t>
      </w:r>
      <w:r>
        <w:rPr>
          <w:w w:val="105"/>
          <w:position w:val="7"/>
          <w:sz w:val="12"/>
        </w:rPr>
        <w:t>81</w:t>
      </w:r>
    </w:p>
    <w:p>
      <w:pPr>
        <w:pStyle w:val="ListParagraph"/>
        <w:numPr>
          <w:ilvl w:val="1"/>
          <w:numId w:val="22"/>
        </w:numPr>
        <w:tabs>
          <w:tab w:pos="2380" w:val="left" w:leader="none"/>
          <w:tab w:pos="2381" w:val="left" w:leader="none"/>
        </w:tabs>
        <w:spacing w:line="242" w:lineRule="auto" w:before="125" w:after="0"/>
        <w:ind w:left="2381" w:right="1674" w:hanging="794"/>
        <w:jc w:val="left"/>
        <w:rPr>
          <w:sz w:val="21"/>
        </w:rPr>
      </w:pPr>
      <w:r>
        <w:rPr>
          <w:w w:val="105"/>
          <w:sz w:val="21"/>
        </w:rPr>
        <w:t>Others</w:t>
      </w:r>
      <w:r>
        <w:rPr>
          <w:spacing w:val="-13"/>
          <w:w w:val="105"/>
          <w:sz w:val="21"/>
        </w:rPr>
        <w:t> </w:t>
      </w:r>
      <w:r>
        <w:rPr>
          <w:w w:val="105"/>
          <w:sz w:val="21"/>
        </w:rPr>
        <w:t>put</w:t>
      </w:r>
      <w:r>
        <w:rPr>
          <w:spacing w:val="-13"/>
          <w:w w:val="105"/>
          <w:sz w:val="21"/>
        </w:rPr>
        <w:t> </w:t>
      </w:r>
      <w:r>
        <w:rPr>
          <w:w w:val="105"/>
          <w:sz w:val="21"/>
        </w:rPr>
        <w:t>the</w:t>
      </w:r>
      <w:r>
        <w:rPr>
          <w:spacing w:val="-12"/>
          <w:w w:val="105"/>
          <w:sz w:val="21"/>
        </w:rPr>
        <w:t> </w:t>
      </w:r>
      <w:r>
        <w:rPr>
          <w:w w:val="105"/>
          <w:sz w:val="21"/>
        </w:rPr>
        <w:t>view</w:t>
      </w:r>
      <w:r>
        <w:rPr>
          <w:spacing w:val="-13"/>
          <w:w w:val="105"/>
          <w:sz w:val="21"/>
        </w:rPr>
        <w:t> </w:t>
      </w:r>
      <w:r>
        <w:rPr>
          <w:w w:val="105"/>
          <w:sz w:val="21"/>
        </w:rPr>
        <w:t>that</w:t>
      </w:r>
      <w:r>
        <w:rPr>
          <w:spacing w:val="-12"/>
          <w:w w:val="105"/>
          <w:sz w:val="21"/>
        </w:rPr>
        <w:t> </w:t>
      </w:r>
      <w:r>
        <w:rPr>
          <w:w w:val="105"/>
          <w:sz w:val="21"/>
        </w:rPr>
        <w:t>this</w:t>
      </w:r>
      <w:r>
        <w:rPr>
          <w:spacing w:val="-13"/>
          <w:w w:val="105"/>
          <w:sz w:val="21"/>
        </w:rPr>
        <w:t> </w:t>
      </w:r>
      <w:r>
        <w:rPr>
          <w:w w:val="105"/>
          <w:sz w:val="21"/>
        </w:rPr>
        <w:t>additional</w:t>
      </w:r>
      <w:r>
        <w:rPr>
          <w:spacing w:val="-12"/>
          <w:w w:val="105"/>
          <w:sz w:val="21"/>
        </w:rPr>
        <w:t> </w:t>
      </w:r>
      <w:r>
        <w:rPr>
          <w:w w:val="105"/>
          <w:sz w:val="21"/>
        </w:rPr>
        <w:t>requirement</w:t>
      </w:r>
      <w:r>
        <w:rPr>
          <w:spacing w:val="-13"/>
          <w:w w:val="105"/>
          <w:sz w:val="21"/>
        </w:rPr>
        <w:t> </w:t>
      </w:r>
      <w:r>
        <w:rPr>
          <w:w w:val="105"/>
          <w:sz w:val="21"/>
        </w:rPr>
        <w:t>would</w:t>
      </w:r>
      <w:r>
        <w:rPr>
          <w:spacing w:val="-12"/>
          <w:w w:val="105"/>
          <w:sz w:val="21"/>
        </w:rPr>
        <w:t> </w:t>
      </w:r>
      <w:r>
        <w:rPr>
          <w:w w:val="105"/>
          <w:sz w:val="21"/>
        </w:rPr>
        <w:t>unnecessarily</w:t>
      </w:r>
      <w:r>
        <w:rPr>
          <w:spacing w:val="-13"/>
          <w:w w:val="105"/>
          <w:sz w:val="21"/>
        </w:rPr>
        <w:t> </w:t>
      </w:r>
      <w:r>
        <w:rPr>
          <w:w w:val="105"/>
          <w:sz w:val="21"/>
        </w:rPr>
        <w:t>complicate</w:t>
      </w:r>
      <w:r>
        <w:rPr>
          <w:spacing w:val="-13"/>
          <w:w w:val="105"/>
          <w:sz w:val="21"/>
        </w:rPr>
        <w:t> </w:t>
      </w:r>
      <w:r>
        <w:rPr>
          <w:w w:val="105"/>
          <w:sz w:val="21"/>
        </w:rPr>
        <w:t>the process of getting a will made by a legal practitioner.</w:t>
      </w:r>
      <w:r>
        <w:rPr>
          <w:w w:val="105"/>
          <w:position w:val="7"/>
          <w:sz w:val="12"/>
        </w:rPr>
        <w:t>82 </w:t>
      </w:r>
      <w:r>
        <w:rPr>
          <w:w w:val="105"/>
          <w:sz w:val="21"/>
        </w:rPr>
        <w:t>It may </w:t>
      </w:r>
      <w:r>
        <w:rPr>
          <w:spacing w:val="-3"/>
          <w:w w:val="105"/>
          <w:sz w:val="21"/>
        </w:rPr>
        <w:t>make </w:t>
      </w:r>
      <w:r>
        <w:rPr>
          <w:w w:val="105"/>
          <w:sz w:val="21"/>
        </w:rPr>
        <w:t>it more </w:t>
      </w:r>
      <w:r>
        <w:rPr>
          <w:spacing w:val="-3"/>
          <w:w w:val="105"/>
          <w:sz w:val="21"/>
        </w:rPr>
        <w:t>likely</w:t>
      </w:r>
      <w:r>
        <w:rPr>
          <w:spacing w:val="-13"/>
          <w:w w:val="105"/>
          <w:sz w:val="21"/>
        </w:rPr>
        <w:t> </w:t>
      </w:r>
      <w:r>
        <w:rPr>
          <w:w w:val="105"/>
          <w:sz w:val="21"/>
        </w:rPr>
        <w:t>that</w:t>
      </w:r>
    </w:p>
    <w:p>
      <w:pPr>
        <w:pStyle w:val="BodyText"/>
        <w:spacing w:line="242" w:lineRule="auto" w:before="2"/>
        <w:ind w:left="2380" w:right="1865"/>
      </w:pPr>
      <w:r>
        <w:rPr>
          <w:w w:val="105"/>
        </w:rPr>
        <w:t>a person makes a home-made will without the scrutiny of a legal practitioner.</w:t>
      </w:r>
      <w:r>
        <w:rPr>
          <w:w w:val="105"/>
          <w:position w:val="7"/>
          <w:sz w:val="12"/>
        </w:rPr>
        <w:t>83 </w:t>
      </w:r>
      <w:r>
        <w:rPr>
          <w:w w:val="105"/>
        </w:rPr>
        <w:t>It also undermines the presumption that people have capacity and may act as a disincentive to having a will made at all.</w:t>
      </w:r>
      <w:r>
        <w:rPr>
          <w:w w:val="105"/>
          <w:position w:val="7"/>
          <w:sz w:val="12"/>
        </w:rPr>
        <w:t>84 </w:t>
      </w:r>
      <w:r>
        <w:rPr>
          <w:w w:val="105"/>
        </w:rPr>
        <w:t>Some also questioned whether medical practitioners</w:t>
      </w:r>
    </w:p>
    <w:p>
      <w:pPr>
        <w:pStyle w:val="BodyText"/>
        <w:spacing w:line="242" w:lineRule="auto" w:before="3"/>
        <w:ind w:left="2381" w:right="1532"/>
        <w:rPr>
          <w:sz w:val="12"/>
        </w:rPr>
      </w:pPr>
      <w:r>
        <w:rPr>
          <w:w w:val="105"/>
        </w:rPr>
        <w:t>would be prepared to undertake this work and what the costs associated with the report would be.</w:t>
      </w:r>
      <w:r>
        <w:rPr>
          <w:w w:val="105"/>
          <w:position w:val="7"/>
          <w:sz w:val="12"/>
        </w:rPr>
        <w:t>85</w:t>
      </w:r>
    </w:p>
    <w:p>
      <w:pPr>
        <w:pStyle w:val="ListParagraph"/>
        <w:numPr>
          <w:ilvl w:val="1"/>
          <w:numId w:val="22"/>
        </w:numPr>
        <w:tabs>
          <w:tab w:pos="2380" w:val="left" w:leader="none"/>
          <w:tab w:pos="2381" w:val="left" w:leader="none"/>
        </w:tabs>
        <w:spacing w:line="242" w:lineRule="auto" w:before="122" w:after="0"/>
        <w:ind w:left="2381" w:right="1868" w:hanging="794"/>
        <w:jc w:val="left"/>
        <w:rPr>
          <w:sz w:val="12"/>
        </w:rPr>
      </w:pPr>
      <w:r>
        <w:rPr>
          <w:w w:val="105"/>
          <w:sz w:val="21"/>
        </w:rPr>
        <w:t>The</w:t>
      </w:r>
      <w:r>
        <w:rPr>
          <w:spacing w:val="-9"/>
          <w:w w:val="105"/>
          <w:sz w:val="21"/>
        </w:rPr>
        <w:t> </w:t>
      </w:r>
      <w:r>
        <w:rPr>
          <w:w w:val="105"/>
          <w:sz w:val="21"/>
        </w:rPr>
        <w:t>observation</w:t>
      </w:r>
      <w:r>
        <w:rPr>
          <w:spacing w:val="-8"/>
          <w:w w:val="105"/>
          <w:sz w:val="21"/>
        </w:rPr>
        <w:t> </w:t>
      </w:r>
      <w:r>
        <w:rPr>
          <w:w w:val="105"/>
          <w:sz w:val="21"/>
        </w:rPr>
        <w:t>was</w:t>
      </w:r>
      <w:r>
        <w:rPr>
          <w:spacing w:val="-9"/>
          <w:w w:val="105"/>
          <w:sz w:val="21"/>
        </w:rPr>
        <w:t> </w:t>
      </w:r>
      <w:r>
        <w:rPr>
          <w:w w:val="105"/>
          <w:sz w:val="21"/>
        </w:rPr>
        <w:t>also</w:t>
      </w:r>
      <w:r>
        <w:rPr>
          <w:spacing w:val="-8"/>
          <w:w w:val="105"/>
          <w:sz w:val="21"/>
        </w:rPr>
        <w:t> </w:t>
      </w:r>
      <w:r>
        <w:rPr>
          <w:w w:val="105"/>
          <w:sz w:val="21"/>
        </w:rPr>
        <w:t>made</w:t>
      </w:r>
      <w:r>
        <w:rPr>
          <w:spacing w:val="-8"/>
          <w:w w:val="105"/>
          <w:sz w:val="21"/>
        </w:rPr>
        <w:t> </w:t>
      </w:r>
      <w:r>
        <w:rPr>
          <w:spacing w:val="-3"/>
          <w:w w:val="105"/>
          <w:sz w:val="21"/>
        </w:rPr>
        <w:t>that</w:t>
      </w:r>
      <w:r>
        <w:rPr>
          <w:spacing w:val="-9"/>
          <w:w w:val="105"/>
          <w:sz w:val="21"/>
        </w:rPr>
        <w:t> </w:t>
      </w:r>
      <w:r>
        <w:rPr>
          <w:w w:val="105"/>
          <w:sz w:val="21"/>
        </w:rPr>
        <w:t>a</w:t>
      </w:r>
      <w:r>
        <w:rPr>
          <w:spacing w:val="-8"/>
          <w:w w:val="105"/>
          <w:sz w:val="21"/>
        </w:rPr>
        <w:t> </w:t>
      </w:r>
      <w:r>
        <w:rPr>
          <w:w w:val="105"/>
          <w:sz w:val="21"/>
        </w:rPr>
        <w:t>capacity</w:t>
      </w:r>
      <w:r>
        <w:rPr>
          <w:spacing w:val="-9"/>
          <w:w w:val="105"/>
          <w:sz w:val="21"/>
        </w:rPr>
        <w:t> </w:t>
      </w:r>
      <w:r>
        <w:rPr>
          <w:w w:val="105"/>
          <w:sz w:val="21"/>
        </w:rPr>
        <w:t>assessment</w:t>
      </w:r>
      <w:r>
        <w:rPr>
          <w:spacing w:val="-8"/>
          <w:w w:val="105"/>
          <w:sz w:val="21"/>
        </w:rPr>
        <w:t> </w:t>
      </w:r>
      <w:r>
        <w:rPr>
          <w:w w:val="105"/>
          <w:sz w:val="21"/>
        </w:rPr>
        <w:t>is</w:t>
      </w:r>
      <w:r>
        <w:rPr>
          <w:spacing w:val="-8"/>
          <w:w w:val="105"/>
          <w:sz w:val="21"/>
        </w:rPr>
        <w:t> </w:t>
      </w:r>
      <w:r>
        <w:rPr>
          <w:spacing w:val="-2"/>
          <w:w w:val="105"/>
          <w:sz w:val="21"/>
        </w:rPr>
        <w:t>not</w:t>
      </w:r>
      <w:r>
        <w:rPr>
          <w:spacing w:val="-9"/>
          <w:w w:val="105"/>
          <w:sz w:val="21"/>
        </w:rPr>
        <w:t> </w:t>
      </w:r>
      <w:r>
        <w:rPr>
          <w:spacing w:val="-4"/>
          <w:w w:val="105"/>
          <w:sz w:val="21"/>
        </w:rPr>
        <w:t>likely</w:t>
      </w:r>
      <w:r>
        <w:rPr>
          <w:spacing w:val="-8"/>
          <w:w w:val="105"/>
          <w:sz w:val="21"/>
        </w:rPr>
        <w:t> </w:t>
      </w:r>
      <w:r>
        <w:rPr>
          <w:spacing w:val="-3"/>
          <w:w w:val="105"/>
          <w:sz w:val="21"/>
        </w:rPr>
        <w:t>to</w:t>
      </w:r>
      <w:r>
        <w:rPr>
          <w:spacing w:val="-8"/>
          <w:w w:val="105"/>
          <w:sz w:val="21"/>
        </w:rPr>
        <w:t> </w:t>
      </w:r>
      <w:r>
        <w:rPr>
          <w:w w:val="105"/>
          <w:sz w:val="21"/>
        </w:rPr>
        <w:t>detect</w:t>
      </w:r>
      <w:r>
        <w:rPr>
          <w:spacing w:val="-9"/>
          <w:w w:val="105"/>
          <w:sz w:val="21"/>
        </w:rPr>
        <w:t> </w:t>
      </w:r>
      <w:r>
        <w:rPr>
          <w:spacing w:val="-3"/>
          <w:w w:val="105"/>
          <w:sz w:val="21"/>
        </w:rPr>
        <w:t>undue influence, </w:t>
      </w:r>
      <w:r>
        <w:rPr>
          <w:w w:val="105"/>
          <w:sz w:val="21"/>
        </w:rPr>
        <w:t>which can </w:t>
      </w:r>
      <w:r>
        <w:rPr>
          <w:spacing w:val="-3"/>
          <w:w w:val="105"/>
          <w:sz w:val="21"/>
        </w:rPr>
        <w:t>occur </w:t>
      </w:r>
      <w:r>
        <w:rPr>
          <w:w w:val="105"/>
          <w:sz w:val="21"/>
        </w:rPr>
        <w:t>where a </w:t>
      </w:r>
      <w:r>
        <w:rPr>
          <w:spacing w:val="-3"/>
          <w:w w:val="105"/>
          <w:sz w:val="21"/>
        </w:rPr>
        <w:t>will-maker </w:t>
      </w:r>
      <w:r>
        <w:rPr>
          <w:w w:val="105"/>
          <w:sz w:val="21"/>
        </w:rPr>
        <w:t>clearly </w:t>
      </w:r>
      <w:r>
        <w:rPr>
          <w:spacing w:val="-2"/>
          <w:w w:val="105"/>
          <w:sz w:val="21"/>
        </w:rPr>
        <w:t>has </w:t>
      </w:r>
      <w:r>
        <w:rPr>
          <w:w w:val="105"/>
          <w:sz w:val="21"/>
        </w:rPr>
        <w:t>testamentary capacity.</w:t>
      </w:r>
      <w:r>
        <w:rPr>
          <w:w w:val="105"/>
          <w:position w:val="7"/>
          <w:sz w:val="12"/>
        </w:rPr>
        <w:t>86</w:t>
      </w:r>
      <w:r>
        <w:rPr>
          <w:w w:val="105"/>
          <w:sz w:val="12"/>
        </w:rPr>
        <w:t> </w:t>
      </w:r>
      <w:r>
        <w:rPr>
          <w:spacing w:val="-3"/>
          <w:w w:val="105"/>
          <w:sz w:val="21"/>
        </w:rPr>
        <w:t>Susceptibility to undue influence </w:t>
      </w:r>
      <w:r>
        <w:rPr>
          <w:w w:val="105"/>
          <w:sz w:val="21"/>
        </w:rPr>
        <w:t>is </w:t>
      </w:r>
      <w:r>
        <w:rPr>
          <w:spacing w:val="-2"/>
          <w:w w:val="105"/>
          <w:sz w:val="21"/>
        </w:rPr>
        <w:t>not </w:t>
      </w:r>
      <w:r>
        <w:rPr>
          <w:w w:val="105"/>
          <w:sz w:val="21"/>
        </w:rPr>
        <w:t>necessarily a medical </w:t>
      </w:r>
      <w:r>
        <w:rPr>
          <w:spacing w:val="-3"/>
          <w:w w:val="105"/>
          <w:sz w:val="21"/>
        </w:rPr>
        <w:t>issue.</w:t>
      </w:r>
      <w:r>
        <w:rPr>
          <w:spacing w:val="-3"/>
          <w:w w:val="105"/>
          <w:position w:val="7"/>
          <w:sz w:val="12"/>
        </w:rPr>
        <w:t>87 </w:t>
      </w:r>
      <w:r>
        <w:rPr>
          <w:spacing w:val="-4"/>
          <w:w w:val="105"/>
          <w:sz w:val="21"/>
        </w:rPr>
        <w:t>Further, </w:t>
      </w:r>
      <w:r>
        <w:rPr>
          <w:w w:val="105"/>
          <w:sz w:val="21"/>
        </w:rPr>
        <w:t>the </w:t>
      </w:r>
      <w:r>
        <w:rPr>
          <w:spacing w:val="-3"/>
          <w:w w:val="105"/>
          <w:sz w:val="21"/>
        </w:rPr>
        <w:t>requirement </w:t>
      </w:r>
      <w:r>
        <w:rPr>
          <w:w w:val="105"/>
          <w:sz w:val="21"/>
        </w:rPr>
        <w:t>would provide no protection </w:t>
      </w:r>
      <w:r>
        <w:rPr>
          <w:spacing w:val="-3"/>
          <w:w w:val="105"/>
          <w:sz w:val="21"/>
        </w:rPr>
        <w:t>to </w:t>
      </w:r>
      <w:r>
        <w:rPr>
          <w:w w:val="105"/>
          <w:sz w:val="21"/>
        </w:rPr>
        <w:t>will-makers who do </w:t>
      </w:r>
      <w:r>
        <w:rPr>
          <w:spacing w:val="-2"/>
          <w:w w:val="105"/>
          <w:sz w:val="21"/>
        </w:rPr>
        <w:t>not </w:t>
      </w:r>
      <w:r>
        <w:rPr>
          <w:spacing w:val="-3"/>
          <w:w w:val="105"/>
          <w:sz w:val="21"/>
        </w:rPr>
        <w:t>consult </w:t>
      </w:r>
      <w:r>
        <w:rPr>
          <w:w w:val="105"/>
          <w:sz w:val="21"/>
        </w:rPr>
        <w:t>a legal </w:t>
      </w:r>
      <w:r>
        <w:rPr>
          <w:spacing w:val="-3"/>
          <w:w w:val="105"/>
          <w:sz w:val="21"/>
        </w:rPr>
        <w:t>practitioner.</w:t>
      </w:r>
      <w:r>
        <w:rPr>
          <w:spacing w:val="-3"/>
          <w:w w:val="105"/>
          <w:position w:val="7"/>
          <w:sz w:val="12"/>
        </w:rPr>
        <w:t>88</w:t>
      </w:r>
    </w:p>
    <w:p>
      <w:pPr>
        <w:pStyle w:val="BodyText"/>
        <w:spacing w:before="7"/>
        <w:rPr>
          <w:sz w:val="23"/>
        </w:rPr>
      </w:pPr>
      <w:r>
        <w:rPr/>
        <w:pict>
          <v:line style="position:absolute;mso-position-horizontal-relative:page;mso-position-vertical-relative:paragraph;z-index:8;mso-wrap-distance-left:0;mso-wrap-distance-right:0" from="79.370003pt,16.870802pt" to="515.905003pt,16.870802pt" stroked="true" strokeweight="1pt" strokecolor="#f9ceca">
            <v:stroke dashstyle="solid"/>
            <w10:wrap type="topAndBottom"/>
          </v:line>
        </w:pict>
      </w:r>
    </w:p>
    <w:p>
      <w:pPr>
        <w:pStyle w:val="ListParagraph"/>
        <w:numPr>
          <w:ilvl w:val="0"/>
          <w:numId w:val="25"/>
        </w:numPr>
        <w:tabs>
          <w:tab w:pos="2380" w:val="left" w:leader="none"/>
          <w:tab w:pos="2382" w:val="left" w:leader="none"/>
        </w:tabs>
        <w:spacing w:line="240" w:lineRule="auto" w:before="117" w:after="0"/>
        <w:ind w:left="2381" w:right="1752" w:hanging="794"/>
        <w:jc w:val="left"/>
        <w:rPr>
          <w:sz w:val="13"/>
        </w:rPr>
      </w:pPr>
      <w:r>
        <w:rPr>
          <w:w w:val="105"/>
          <w:sz w:val="13"/>
        </w:rPr>
        <w:t>See, eg, </w:t>
      </w:r>
      <w:r>
        <w:rPr>
          <w:i/>
          <w:w w:val="105"/>
          <w:sz w:val="13"/>
        </w:rPr>
        <w:t>Pates v Craig </w:t>
      </w:r>
      <w:r>
        <w:rPr>
          <w:w w:val="105"/>
          <w:sz w:val="13"/>
        </w:rPr>
        <w:t>(Unreported, Supreme Court of New South Wales, Santow J, 28 August 1995); Roger Kerridge, ‘Wills Made in Suspicious Circumstances: The Problem of the Vulnerable Testator’ </w:t>
      </w:r>
      <w:r>
        <w:rPr>
          <w:spacing w:val="2"/>
          <w:w w:val="105"/>
          <w:sz w:val="13"/>
        </w:rPr>
        <w:t>(2000) 59(2) </w:t>
      </w:r>
      <w:r>
        <w:rPr>
          <w:i/>
          <w:w w:val="105"/>
          <w:sz w:val="13"/>
        </w:rPr>
        <w:t>Cambridge Law Journal </w:t>
      </w:r>
      <w:r>
        <w:rPr>
          <w:w w:val="105"/>
          <w:sz w:val="13"/>
        </w:rPr>
        <w:t>310, 333; Fiona R Burns, ‘Elders and Testamentary Undue Influence in Australia’ (2005) 28 </w:t>
      </w:r>
      <w:r>
        <w:rPr>
          <w:i/>
          <w:w w:val="105"/>
          <w:sz w:val="13"/>
        </w:rPr>
        <w:t>University of New South Wales Law Journal </w:t>
      </w:r>
      <w:r>
        <w:rPr>
          <w:w w:val="105"/>
          <w:sz w:val="13"/>
        </w:rPr>
        <w:t>145, </w:t>
      </w:r>
      <w:r>
        <w:rPr>
          <w:spacing w:val="-5"/>
          <w:w w:val="105"/>
          <w:sz w:val="13"/>
        </w:rPr>
        <w:t>174 </w:t>
      </w:r>
      <w:r>
        <w:rPr>
          <w:w w:val="105"/>
          <w:sz w:val="13"/>
        </w:rPr>
        <w:t>(‘Elders and Testamentary Undue</w:t>
      </w:r>
      <w:r>
        <w:rPr>
          <w:spacing w:val="4"/>
          <w:w w:val="105"/>
          <w:sz w:val="13"/>
        </w:rPr>
        <w:t> </w:t>
      </w:r>
      <w:r>
        <w:rPr>
          <w:w w:val="105"/>
          <w:sz w:val="13"/>
        </w:rPr>
        <w:t>Influence’).</w:t>
      </w:r>
    </w:p>
    <w:p>
      <w:pPr>
        <w:pStyle w:val="ListParagraph"/>
        <w:numPr>
          <w:ilvl w:val="0"/>
          <w:numId w:val="25"/>
        </w:numPr>
        <w:tabs>
          <w:tab w:pos="2380" w:val="left" w:leader="none"/>
          <w:tab w:pos="2382" w:val="left" w:leader="none"/>
        </w:tabs>
        <w:spacing w:line="240" w:lineRule="auto" w:before="5" w:after="0"/>
        <w:ind w:left="2381" w:right="0" w:hanging="794"/>
        <w:jc w:val="left"/>
        <w:rPr>
          <w:sz w:val="13"/>
        </w:rPr>
      </w:pPr>
      <w:r>
        <w:rPr>
          <w:w w:val="105"/>
          <w:sz w:val="13"/>
        </w:rPr>
        <w:t>Law</w:t>
      </w:r>
      <w:r>
        <w:rPr>
          <w:spacing w:val="4"/>
          <w:w w:val="105"/>
          <w:sz w:val="13"/>
        </w:rPr>
        <w:t> </w:t>
      </w:r>
      <w:r>
        <w:rPr>
          <w:w w:val="105"/>
          <w:sz w:val="13"/>
        </w:rPr>
        <w:t>Institute</w:t>
      </w:r>
      <w:r>
        <w:rPr>
          <w:spacing w:val="5"/>
          <w:w w:val="105"/>
          <w:sz w:val="13"/>
        </w:rPr>
        <w:t> </w:t>
      </w:r>
      <w:r>
        <w:rPr>
          <w:w w:val="105"/>
          <w:sz w:val="13"/>
        </w:rPr>
        <w:t>of</w:t>
      </w:r>
      <w:r>
        <w:rPr>
          <w:spacing w:val="5"/>
          <w:w w:val="105"/>
          <w:sz w:val="13"/>
        </w:rPr>
        <w:t> </w:t>
      </w:r>
      <w:r>
        <w:rPr>
          <w:w w:val="105"/>
          <w:sz w:val="13"/>
        </w:rPr>
        <w:t>Victoria,</w:t>
      </w:r>
      <w:r>
        <w:rPr>
          <w:spacing w:val="4"/>
          <w:w w:val="105"/>
          <w:sz w:val="13"/>
        </w:rPr>
        <w:t> </w:t>
      </w:r>
      <w:r>
        <w:rPr>
          <w:i/>
          <w:w w:val="105"/>
          <w:sz w:val="13"/>
        </w:rPr>
        <w:t>Professional</w:t>
      </w:r>
      <w:r>
        <w:rPr>
          <w:i/>
          <w:spacing w:val="4"/>
          <w:w w:val="105"/>
          <w:sz w:val="13"/>
        </w:rPr>
        <w:t> </w:t>
      </w:r>
      <w:r>
        <w:rPr>
          <w:i/>
          <w:w w:val="105"/>
          <w:sz w:val="13"/>
        </w:rPr>
        <w:t>Conduct</w:t>
      </w:r>
      <w:r>
        <w:rPr>
          <w:i/>
          <w:spacing w:val="4"/>
          <w:w w:val="105"/>
          <w:sz w:val="13"/>
        </w:rPr>
        <w:t> </w:t>
      </w:r>
      <w:r>
        <w:rPr>
          <w:i/>
          <w:w w:val="105"/>
          <w:sz w:val="13"/>
        </w:rPr>
        <w:t>and</w:t>
      </w:r>
      <w:r>
        <w:rPr>
          <w:i/>
          <w:spacing w:val="4"/>
          <w:w w:val="105"/>
          <w:sz w:val="13"/>
        </w:rPr>
        <w:t> </w:t>
      </w:r>
      <w:r>
        <w:rPr>
          <w:i/>
          <w:w w:val="105"/>
          <w:sz w:val="13"/>
        </w:rPr>
        <w:t>Practice</w:t>
      </w:r>
      <w:r>
        <w:rPr>
          <w:i/>
          <w:spacing w:val="3"/>
          <w:w w:val="105"/>
          <w:sz w:val="13"/>
        </w:rPr>
        <w:t> </w:t>
      </w:r>
      <w:r>
        <w:rPr>
          <w:i/>
          <w:w w:val="105"/>
          <w:sz w:val="13"/>
        </w:rPr>
        <w:t>Rules</w:t>
      </w:r>
      <w:r>
        <w:rPr>
          <w:i/>
          <w:spacing w:val="5"/>
          <w:w w:val="105"/>
          <w:sz w:val="13"/>
        </w:rPr>
        <w:t> </w:t>
      </w:r>
      <w:r>
        <w:rPr>
          <w:w w:val="105"/>
          <w:sz w:val="13"/>
        </w:rPr>
        <w:t>(at</w:t>
      </w:r>
      <w:r>
        <w:rPr>
          <w:spacing w:val="5"/>
          <w:w w:val="105"/>
          <w:sz w:val="13"/>
        </w:rPr>
        <w:t> </w:t>
      </w:r>
      <w:r>
        <w:rPr>
          <w:w w:val="105"/>
          <w:sz w:val="13"/>
        </w:rPr>
        <w:t>30</w:t>
      </w:r>
      <w:r>
        <w:rPr>
          <w:spacing w:val="5"/>
          <w:w w:val="105"/>
          <w:sz w:val="13"/>
        </w:rPr>
        <w:t> </w:t>
      </w:r>
      <w:r>
        <w:rPr>
          <w:w w:val="105"/>
          <w:sz w:val="13"/>
        </w:rPr>
        <w:t>June</w:t>
      </w:r>
      <w:r>
        <w:rPr>
          <w:spacing w:val="4"/>
          <w:w w:val="105"/>
          <w:sz w:val="13"/>
        </w:rPr>
        <w:t> </w:t>
      </w:r>
      <w:r>
        <w:rPr>
          <w:w w:val="105"/>
          <w:sz w:val="13"/>
        </w:rPr>
        <w:t>2005)</w:t>
      </w:r>
      <w:r>
        <w:rPr>
          <w:spacing w:val="5"/>
          <w:w w:val="105"/>
          <w:sz w:val="13"/>
        </w:rPr>
        <w:t> </w:t>
      </w:r>
      <w:r>
        <w:rPr>
          <w:w w:val="105"/>
          <w:sz w:val="13"/>
        </w:rPr>
        <w:t>r</w:t>
      </w:r>
      <w:r>
        <w:rPr>
          <w:spacing w:val="5"/>
          <w:w w:val="105"/>
          <w:sz w:val="13"/>
        </w:rPr>
        <w:t> </w:t>
      </w:r>
      <w:r>
        <w:rPr>
          <w:w w:val="105"/>
          <w:sz w:val="13"/>
        </w:rPr>
        <w:t>10.</w:t>
      </w:r>
    </w:p>
    <w:p>
      <w:pPr>
        <w:pStyle w:val="ListParagraph"/>
        <w:numPr>
          <w:ilvl w:val="0"/>
          <w:numId w:val="25"/>
        </w:numPr>
        <w:tabs>
          <w:tab w:pos="2380" w:val="left" w:leader="none"/>
          <w:tab w:pos="2382" w:val="left" w:leader="none"/>
        </w:tabs>
        <w:spacing w:line="240" w:lineRule="auto" w:before="2" w:after="0"/>
        <w:ind w:left="2381" w:right="0" w:hanging="794"/>
        <w:jc w:val="left"/>
        <w:rPr>
          <w:sz w:val="13"/>
        </w:rPr>
      </w:pPr>
      <w:r>
        <w:rPr>
          <w:sz w:val="13"/>
        </w:rPr>
        <w:t>But</w:t>
      </w:r>
      <w:r>
        <w:rPr>
          <w:spacing w:val="8"/>
          <w:sz w:val="13"/>
        </w:rPr>
        <w:t> </w:t>
      </w:r>
      <w:r>
        <w:rPr>
          <w:sz w:val="13"/>
        </w:rPr>
        <w:t>note</w:t>
      </w:r>
      <w:r>
        <w:rPr>
          <w:spacing w:val="8"/>
          <w:sz w:val="13"/>
        </w:rPr>
        <w:t> </w:t>
      </w:r>
      <w:r>
        <w:rPr>
          <w:sz w:val="13"/>
        </w:rPr>
        <w:t>discussion</w:t>
      </w:r>
      <w:r>
        <w:rPr>
          <w:spacing w:val="8"/>
          <w:sz w:val="13"/>
        </w:rPr>
        <w:t> </w:t>
      </w:r>
      <w:r>
        <w:rPr>
          <w:sz w:val="13"/>
        </w:rPr>
        <w:t>of</w:t>
      </w:r>
      <w:r>
        <w:rPr>
          <w:spacing w:val="9"/>
          <w:sz w:val="13"/>
        </w:rPr>
        <w:t> </w:t>
      </w:r>
      <w:r>
        <w:rPr>
          <w:sz w:val="13"/>
        </w:rPr>
        <w:t>introducing</w:t>
      </w:r>
      <w:r>
        <w:rPr>
          <w:spacing w:val="8"/>
          <w:sz w:val="13"/>
        </w:rPr>
        <w:t> </w:t>
      </w:r>
      <w:r>
        <w:rPr>
          <w:sz w:val="13"/>
        </w:rPr>
        <w:t>special</w:t>
      </w:r>
      <w:r>
        <w:rPr>
          <w:spacing w:val="8"/>
          <w:sz w:val="13"/>
        </w:rPr>
        <w:t> </w:t>
      </w:r>
      <w:r>
        <w:rPr>
          <w:sz w:val="13"/>
        </w:rPr>
        <w:t>requirements</w:t>
      </w:r>
      <w:r>
        <w:rPr>
          <w:spacing w:val="8"/>
          <w:sz w:val="13"/>
        </w:rPr>
        <w:t> </w:t>
      </w:r>
      <w:r>
        <w:rPr>
          <w:sz w:val="13"/>
        </w:rPr>
        <w:t>where</w:t>
      </w:r>
      <w:r>
        <w:rPr>
          <w:spacing w:val="9"/>
          <w:sz w:val="13"/>
        </w:rPr>
        <w:t> </w:t>
      </w:r>
      <w:r>
        <w:rPr>
          <w:sz w:val="13"/>
        </w:rPr>
        <w:t>the</w:t>
      </w:r>
      <w:r>
        <w:rPr>
          <w:spacing w:val="8"/>
          <w:sz w:val="13"/>
        </w:rPr>
        <w:t> </w:t>
      </w:r>
      <w:r>
        <w:rPr>
          <w:sz w:val="13"/>
        </w:rPr>
        <w:t>will-maker</w:t>
      </w:r>
      <w:r>
        <w:rPr>
          <w:spacing w:val="8"/>
          <w:sz w:val="13"/>
        </w:rPr>
        <w:t> </w:t>
      </w:r>
      <w:r>
        <w:rPr>
          <w:sz w:val="13"/>
        </w:rPr>
        <w:t>is</w:t>
      </w:r>
      <w:r>
        <w:rPr>
          <w:spacing w:val="9"/>
          <w:sz w:val="13"/>
        </w:rPr>
        <w:t> </w:t>
      </w:r>
      <w:r>
        <w:rPr>
          <w:sz w:val="13"/>
        </w:rPr>
        <w:t>over</w:t>
      </w:r>
      <w:r>
        <w:rPr>
          <w:spacing w:val="8"/>
          <w:sz w:val="13"/>
        </w:rPr>
        <w:t> </w:t>
      </w:r>
      <w:r>
        <w:rPr>
          <w:sz w:val="13"/>
        </w:rPr>
        <w:t>a</w:t>
      </w:r>
      <w:r>
        <w:rPr>
          <w:spacing w:val="8"/>
          <w:sz w:val="13"/>
        </w:rPr>
        <w:t> </w:t>
      </w:r>
      <w:r>
        <w:rPr>
          <w:sz w:val="13"/>
        </w:rPr>
        <w:t>certain</w:t>
      </w:r>
      <w:r>
        <w:rPr>
          <w:spacing w:val="8"/>
          <w:sz w:val="13"/>
        </w:rPr>
        <w:t> </w:t>
      </w:r>
      <w:r>
        <w:rPr>
          <w:sz w:val="13"/>
        </w:rPr>
        <w:t>age</w:t>
      </w:r>
      <w:r>
        <w:rPr>
          <w:spacing w:val="9"/>
          <w:sz w:val="13"/>
        </w:rPr>
        <w:t> </w:t>
      </w:r>
      <w:r>
        <w:rPr>
          <w:sz w:val="13"/>
        </w:rPr>
        <w:t>at</w:t>
      </w:r>
      <w:r>
        <w:rPr>
          <w:spacing w:val="8"/>
          <w:sz w:val="13"/>
        </w:rPr>
        <w:t> </w:t>
      </w:r>
      <w:r>
        <w:rPr>
          <w:spacing w:val="-3"/>
          <w:sz w:val="13"/>
        </w:rPr>
        <w:t>[2.11].</w:t>
      </w:r>
    </w:p>
    <w:p>
      <w:pPr>
        <w:pStyle w:val="ListParagraph"/>
        <w:numPr>
          <w:ilvl w:val="0"/>
          <w:numId w:val="25"/>
        </w:numPr>
        <w:tabs>
          <w:tab w:pos="2380" w:val="left" w:leader="none"/>
          <w:tab w:pos="2382" w:val="left" w:leader="none"/>
        </w:tabs>
        <w:spacing w:line="240" w:lineRule="auto" w:before="1" w:after="0"/>
        <w:ind w:left="2381" w:right="0" w:hanging="794"/>
        <w:jc w:val="left"/>
        <w:rPr>
          <w:sz w:val="13"/>
        </w:rPr>
      </w:pPr>
      <w:r>
        <w:rPr>
          <w:w w:val="105"/>
          <w:sz w:val="13"/>
        </w:rPr>
        <w:t>Submissions </w:t>
      </w:r>
      <w:r>
        <w:rPr>
          <w:spacing w:val="-3"/>
          <w:w w:val="105"/>
          <w:sz w:val="13"/>
        </w:rPr>
        <w:t>14 </w:t>
      </w:r>
      <w:r>
        <w:rPr>
          <w:w w:val="105"/>
          <w:sz w:val="13"/>
        </w:rPr>
        <w:t>(Commercial Bar </w:t>
      </w:r>
      <w:r>
        <w:rPr>
          <w:spacing w:val="2"/>
          <w:w w:val="105"/>
          <w:sz w:val="13"/>
        </w:rPr>
        <w:t>Association); </w:t>
      </w:r>
      <w:r>
        <w:rPr>
          <w:w w:val="105"/>
          <w:sz w:val="13"/>
        </w:rPr>
        <w:t>26 </w:t>
      </w:r>
      <w:r>
        <w:rPr>
          <w:spacing w:val="2"/>
          <w:w w:val="105"/>
          <w:sz w:val="13"/>
        </w:rPr>
        <w:t>(Rigby </w:t>
      </w:r>
      <w:r>
        <w:rPr>
          <w:w w:val="105"/>
          <w:sz w:val="13"/>
        </w:rPr>
        <w:t>Cooke</w:t>
      </w:r>
      <w:r>
        <w:rPr>
          <w:spacing w:val="4"/>
          <w:w w:val="105"/>
          <w:sz w:val="13"/>
        </w:rPr>
        <w:t> </w:t>
      </w:r>
      <w:r>
        <w:rPr>
          <w:spacing w:val="2"/>
          <w:w w:val="105"/>
          <w:sz w:val="13"/>
        </w:rPr>
        <w:t>Lawyers).</w:t>
      </w:r>
    </w:p>
    <w:p>
      <w:pPr>
        <w:pStyle w:val="ListParagraph"/>
        <w:numPr>
          <w:ilvl w:val="0"/>
          <w:numId w:val="25"/>
        </w:numPr>
        <w:tabs>
          <w:tab w:pos="2380" w:val="left" w:leader="none"/>
          <w:tab w:pos="2382" w:val="left" w:leader="none"/>
        </w:tabs>
        <w:spacing w:line="240" w:lineRule="auto" w:before="1" w:after="0"/>
        <w:ind w:left="2381" w:right="0" w:hanging="794"/>
        <w:jc w:val="left"/>
        <w:rPr>
          <w:sz w:val="13"/>
        </w:rPr>
      </w:pPr>
      <w:r>
        <w:rPr>
          <w:w w:val="105"/>
          <w:sz w:val="13"/>
        </w:rPr>
        <w:t>Submissions</w:t>
      </w:r>
      <w:r>
        <w:rPr>
          <w:spacing w:val="4"/>
          <w:w w:val="105"/>
          <w:sz w:val="13"/>
        </w:rPr>
        <w:t> </w:t>
      </w:r>
      <w:r>
        <w:rPr>
          <w:w w:val="105"/>
          <w:sz w:val="13"/>
        </w:rPr>
        <w:t>25</w:t>
      </w:r>
      <w:r>
        <w:rPr>
          <w:spacing w:val="4"/>
          <w:w w:val="105"/>
          <w:sz w:val="13"/>
        </w:rPr>
        <w:t> </w:t>
      </w:r>
      <w:r>
        <w:rPr>
          <w:spacing w:val="2"/>
          <w:w w:val="105"/>
          <w:sz w:val="13"/>
        </w:rPr>
        <w:t>(Moores</w:t>
      </w:r>
      <w:r>
        <w:rPr>
          <w:spacing w:val="5"/>
          <w:w w:val="105"/>
          <w:sz w:val="13"/>
        </w:rPr>
        <w:t> </w:t>
      </w:r>
      <w:r>
        <w:rPr>
          <w:w w:val="105"/>
          <w:sz w:val="13"/>
        </w:rPr>
        <w:t>Legal);</w:t>
      </w:r>
      <w:r>
        <w:rPr>
          <w:spacing w:val="4"/>
          <w:w w:val="105"/>
          <w:sz w:val="13"/>
        </w:rPr>
        <w:t> </w:t>
      </w:r>
      <w:r>
        <w:rPr>
          <w:w w:val="105"/>
          <w:sz w:val="13"/>
        </w:rPr>
        <w:t>30a</w:t>
      </w:r>
      <w:r>
        <w:rPr>
          <w:spacing w:val="5"/>
          <w:w w:val="105"/>
          <w:sz w:val="13"/>
        </w:rPr>
        <w:t> </w:t>
      </w:r>
      <w:r>
        <w:rPr>
          <w:spacing w:val="3"/>
          <w:w w:val="105"/>
          <w:sz w:val="13"/>
        </w:rPr>
        <w:t>(Law</w:t>
      </w:r>
      <w:r>
        <w:rPr>
          <w:spacing w:val="4"/>
          <w:w w:val="105"/>
          <w:sz w:val="13"/>
        </w:rPr>
        <w:t> </w:t>
      </w:r>
      <w:r>
        <w:rPr>
          <w:w w:val="105"/>
          <w:sz w:val="13"/>
        </w:rPr>
        <w:t>Institute</w:t>
      </w:r>
      <w:r>
        <w:rPr>
          <w:spacing w:val="5"/>
          <w:w w:val="105"/>
          <w:sz w:val="13"/>
        </w:rPr>
        <w:t> </w:t>
      </w:r>
      <w:r>
        <w:rPr>
          <w:w w:val="105"/>
          <w:sz w:val="13"/>
        </w:rPr>
        <w:t>of</w:t>
      </w:r>
      <w:r>
        <w:rPr>
          <w:spacing w:val="4"/>
          <w:w w:val="105"/>
          <w:sz w:val="13"/>
        </w:rPr>
        <w:t> </w:t>
      </w:r>
      <w:r>
        <w:rPr>
          <w:spacing w:val="2"/>
          <w:w w:val="105"/>
          <w:sz w:val="13"/>
        </w:rPr>
        <w:t>Victoria);</w:t>
      </w:r>
      <w:r>
        <w:rPr>
          <w:spacing w:val="5"/>
          <w:w w:val="105"/>
          <w:sz w:val="13"/>
        </w:rPr>
        <w:t> </w:t>
      </w:r>
      <w:r>
        <w:rPr>
          <w:w w:val="105"/>
          <w:sz w:val="13"/>
        </w:rPr>
        <w:t>32</w:t>
      </w:r>
      <w:r>
        <w:rPr>
          <w:spacing w:val="4"/>
          <w:w w:val="105"/>
          <w:sz w:val="13"/>
        </w:rPr>
        <w:t> </w:t>
      </w:r>
      <w:r>
        <w:rPr>
          <w:spacing w:val="2"/>
          <w:w w:val="105"/>
          <w:sz w:val="13"/>
        </w:rPr>
        <w:t>(The</w:t>
      </w:r>
      <w:r>
        <w:rPr>
          <w:spacing w:val="5"/>
          <w:w w:val="105"/>
          <w:sz w:val="13"/>
        </w:rPr>
        <w:t> </w:t>
      </w:r>
      <w:r>
        <w:rPr>
          <w:w w:val="105"/>
          <w:sz w:val="13"/>
        </w:rPr>
        <w:t>Institute</w:t>
      </w:r>
      <w:r>
        <w:rPr>
          <w:spacing w:val="4"/>
          <w:w w:val="105"/>
          <w:sz w:val="13"/>
        </w:rPr>
        <w:t> </w:t>
      </w:r>
      <w:r>
        <w:rPr>
          <w:w w:val="105"/>
          <w:sz w:val="13"/>
        </w:rPr>
        <w:t>of</w:t>
      </w:r>
      <w:r>
        <w:rPr>
          <w:spacing w:val="5"/>
          <w:w w:val="105"/>
          <w:sz w:val="13"/>
        </w:rPr>
        <w:t> </w:t>
      </w:r>
      <w:r>
        <w:rPr>
          <w:w w:val="105"/>
          <w:sz w:val="13"/>
        </w:rPr>
        <w:t>Legal</w:t>
      </w:r>
      <w:r>
        <w:rPr>
          <w:spacing w:val="4"/>
          <w:w w:val="105"/>
          <w:sz w:val="13"/>
        </w:rPr>
        <w:t> </w:t>
      </w:r>
      <w:r>
        <w:rPr>
          <w:w w:val="105"/>
          <w:sz w:val="13"/>
        </w:rPr>
        <w:t>Executives).</w:t>
      </w:r>
    </w:p>
    <w:p>
      <w:pPr>
        <w:pStyle w:val="ListParagraph"/>
        <w:numPr>
          <w:ilvl w:val="0"/>
          <w:numId w:val="25"/>
        </w:numPr>
        <w:tabs>
          <w:tab w:pos="2380" w:val="left" w:leader="none"/>
          <w:tab w:pos="2382" w:val="left" w:leader="none"/>
        </w:tabs>
        <w:spacing w:line="240" w:lineRule="auto" w:before="2" w:after="0"/>
        <w:ind w:left="2381" w:right="0" w:hanging="794"/>
        <w:jc w:val="left"/>
        <w:rPr>
          <w:sz w:val="13"/>
        </w:rPr>
      </w:pPr>
      <w:r>
        <w:rPr>
          <w:w w:val="105"/>
          <w:sz w:val="13"/>
        </w:rPr>
        <w:t>Submission 8 (Patricia</w:t>
      </w:r>
      <w:r>
        <w:rPr>
          <w:spacing w:val="13"/>
          <w:w w:val="105"/>
          <w:sz w:val="13"/>
        </w:rPr>
        <w:t> </w:t>
      </w:r>
      <w:r>
        <w:rPr>
          <w:w w:val="105"/>
          <w:sz w:val="13"/>
        </w:rPr>
        <w:t>Strachan).</w:t>
      </w:r>
    </w:p>
    <w:p>
      <w:pPr>
        <w:pStyle w:val="ListParagraph"/>
        <w:numPr>
          <w:ilvl w:val="0"/>
          <w:numId w:val="25"/>
        </w:numPr>
        <w:tabs>
          <w:tab w:pos="2380" w:val="left" w:leader="none"/>
          <w:tab w:pos="2382" w:val="left" w:leader="none"/>
        </w:tabs>
        <w:spacing w:line="240" w:lineRule="auto" w:before="1" w:after="0"/>
        <w:ind w:left="2381" w:right="0" w:hanging="794"/>
        <w:jc w:val="left"/>
        <w:rPr>
          <w:sz w:val="13"/>
        </w:rPr>
      </w:pPr>
      <w:r>
        <w:rPr>
          <w:sz w:val="13"/>
        </w:rPr>
        <w:t>Submissions</w:t>
      </w:r>
      <w:r>
        <w:rPr>
          <w:spacing w:val="8"/>
          <w:sz w:val="13"/>
        </w:rPr>
        <w:t> </w:t>
      </w:r>
      <w:r>
        <w:rPr>
          <w:sz w:val="13"/>
        </w:rPr>
        <w:t>21</w:t>
      </w:r>
      <w:r>
        <w:rPr>
          <w:spacing w:val="9"/>
          <w:sz w:val="13"/>
        </w:rPr>
        <w:t> </w:t>
      </w:r>
      <w:r>
        <w:rPr>
          <w:spacing w:val="2"/>
          <w:sz w:val="13"/>
        </w:rPr>
        <w:t>(Office</w:t>
      </w:r>
      <w:r>
        <w:rPr>
          <w:spacing w:val="8"/>
          <w:sz w:val="13"/>
        </w:rPr>
        <w:t> </w:t>
      </w:r>
      <w:r>
        <w:rPr>
          <w:sz w:val="13"/>
        </w:rPr>
        <w:t>of</w:t>
      </w:r>
      <w:r>
        <w:rPr>
          <w:spacing w:val="9"/>
          <w:sz w:val="13"/>
        </w:rPr>
        <w:t> </w:t>
      </w:r>
      <w:r>
        <w:rPr>
          <w:sz w:val="13"/>
        </w:rPr>
        <w:t>the</w:t>
      </w:r>
      <w:r>
        <w:rPr>
          <w:spacing w:val="9"/>
          <w:sz w:val="13"/>
        </w:rPr>
        <w:t> </w:t>
      </w:r>
      <w:r>
        <w:rPr>
          <w:sz w:val="13"/>
        </w:rPr>
        <w:t>Public</w:t>
      </w:r>
      <w:r>
        <w:rPr>
          <w:spacing w:val="8"/>
          <w:sz w:val="13"/>
        </w:rPr>
        <w:t> </w:t>
      </w:r>
      <w:r>
        <w:rPr>
          <w:sz w:val="13"/>
        </w:rPr>
        <w:t>Advocate);</w:t>
      </w:r>
      <w:r>
        <w:rPr>
          <w:spacing w:val="9"/>
          <w:sz w:val="13"/>
        </w:rPr>
        <w:t> </w:t>
      </w:r>
      <w:r>
        <w:rPr>
          <w:sz w:val="13"/>
        </w:rPr>
        <w:t>32</w:t>
      </w:r>
      <w:r>
        <w:rPr>
          <w:spacing w:val="8"/>
          <w:sz w:val="13"/>
        </w:rPr>
        <w:t> </w:t>
      </w:r>
      <w:r>
        <w:rPr>
          <w:spacing w:val="2"/>
          <w:sz w:val="13"/>
        </w:rPr>
        <w:t>(The</w:t>
      </w:r>
      <w:r>
        <w:rPr>
          <w:spacing w:val="9"/>
          <w:sz w:val="13"/>
        </w:rPr>
        <w:t> </w:t>
      </w:r>
      <w:r>
        <w:rPr>
          <w:sz w:val="13"/>
        </w:rPr>
        <w:t>Institute</w:t>
      </w:r>
      <w:r>
        <w:rPr>
          <w:spacing w:val="9"/>
          <w:sz w:val="13"/>
        </w:rPr>
        <w:t> </w:t>
      </w:r>
      <w:r>
        <w:rPr>
          <w:sz w:val="13"/>
        </w:rPr>
        <w:t>of</w:t>
      </w:r>
      <w:r>
        <w:rPr>
          <w:spacing w:val="8"/>
          <w:sz w:val="13"/>
        </w:rPr>
        <w:t> </w:t>
      </w:r>
      <w:r>
        <w:rPr>
          <w:sz w:val="13"/>
        </w:rPr>
        <w:t>Legal</w:t>
      </w:r>
      <w:r>
        <w:rPr>
          <w:spacing w:val="9"/>
          <w:sz w:val="13"/>
        </w:rPr>
        <w:t> </w:t>
      </w:r>
      <w:r>
        <w:rPr>
          <w:sz w:val="13"/>
        </w:rPr>
        <w:t>Executives);</w:t>
      </w:r>
      <w:r>
        <w:rPr>
          <w:spacing w:val="9"/>
          <w:sz w:val="13"/>
        </w:rPr>
        <w:t> </w:t>
      </w:r>
      <w:r>
        <w:rPr>
          <w:sz w:val="13"/>
        </w:rPr>
        <w:t>33</w:t>
      </w:r>
      <w:r>
        <w:rPr>
          <w:spacing w:val="8"/>
          <w:sz w:val="13"/>
        </w:rPr>
        <w:t> </w:t>
      </w:r>
      <w:r>
        <w:rPr>
          <w:sz w:val="13"/>
        </w:rPr>
        <w:t>(State</w:t>
      </w:r>
      <w:r>
        <w:rPr>
          <w:spacing w:val="9"/>
          <w:sz w:val="13"/>
        </w:rPr>
        <w:t> </w:t>
      </w:r>
      <w:r>
        <w:rPr>
          <w:sz w:val="13"/>
        </w:rPr>
        <w:t>Trustees</w:t>
      </w:r>
      <w:r>
        <w:rPr>
          <w:spacing w:val="8"/>
          <w:sz w:val="13"/>
        </w:rPr>
        <w:t> </w:t>
      </w:r>
      <w:r>
        <w:rPr>
          <w:sz w:val="13"/>
        </w:rPr>
        <w:t>Limited).</w:t>
      </w:r>
    </w:p>
    <w:p>
      <w:pPr>
        <w:pStyle w:val="ListParagraph"/>
        <w:numPr>
          <w:ilvl w:val="0"/>
          <w:numId w:val="25"/>
        </w:numPr>
        <w:tabs>
          <w:tab w:pos="2380" w:val="left" w:leader="none"/>
          <w:tab w:pos="2382" w:val="left" w:leader="none"/>
        </w:tabs>
        <w:spacing w:line="240" w:lineRule="auto" w:before="1" w:after="0"/>
        <w:ind w:left="2381" w:right="2205" w:hanging="794"/>
        <w:jc w:val="left"/>
        <w:rPr>
          <w:sz w:val="13"/>
        </w:rPr>
      </w:pPr>
      <w:r>
        <w:rPr>
          <w:w w:val="105"/>
          <w:sz w:val="13"/>
        </w:rPr>
        <w:t>Submissions 25 </w:t>
      </w:r>
      <w:r>
        <w:rPr>
          <w:spacing w:val="2"/>
          <w:w w:val="105"/>
          <w:sz w:val="13"/>
        </w:rPr>
        <w:t>(Moores </w:t>
      </w:r>
      <w:r>
        <w:rPr>
          <w:w w:val="105"/>
          <w:sz w:val="13"/>
        </w:rPr>
        <w:t>Legal); 30a </w:t>
      </w:r>
      <w:r>
        <w:rPr>
          <w:spacing w:val="3"/>
          <w:w w:val="105"/>
          <w:sz w:val="13"/>
        </w:rPr>
        <w:t>(Law </w:t>
      </w:r>
      <w:r>
        <w:rPr>
          <w:w w:val="105"/>
          <w:sz w:val="13"/>
        </w:rPr>
        <w:t>Institute of </w:t>
      </w:r>
      <w:r>
        <w:rPr>
          <w:spacing w:val="2"/>
          <w:w w:val="105"/>
          <w:sz w:val="13"/>
        </w:rPr>
        <w:t>Victoria); </w:t>
      </w:r>
      <w:r>
        <w:rPr>
          <w:w w:val="105"/>
          <w:sz w:val="13"/>
        </w:rPr>
        <w:t>31 (Seniors Rights </w:t>
      </w:r>
      <w:r>
        <w:rPr>
          <w:spacing w:val="2"/>
          <w:w w:val="105"/>
          <w:sz w:val="13"/>
        </w:rPr>
        <w:t>Victoria); </w:t>
      </w:r>
      <w:r>
        <w:rPr>
          <w:w w:val="105"/>
          <w:sz w:val="13"/>
        </w:rPr>
        <w:t>32 </w:t>
      </w:r>
      <w:r>
        <w:rPr>
          <w:spacing w:val="2"/>
          <w:w w:val="105"/>
          <w:sz w:val="13"/>
        </w:rPr>
        <w:t>(The </w:t>
      </w:r>
      <w:r>
        <w:rPr>
          <w:w w:val="105"/>
          <w:sz w:val="13"/>
        </w:rPr>
        <w:t>Institute of Legal Executives); 35 (Andrew Verspaandonk); 40 (Janice</w:t>
      </w:r>
      <w:r>
        <w:rPr>
          <w:spacing w:val="24"/>
          <w:w w:val="105"/>
          <w:sz w:val="13"/>
        </w:rPr>
        <w:t> </w:t>
      </w:r>
      <w:r>
        <w:rPr>
          <w:w w:val="105"/>
          <w:sz w:val="13"/>
        </w:rPr>
        <w:t>Brownfoot).</w:t>
      </w:r>
    </w:p>
    <w:p>
      <w:pPr>
        <w:pStyle w:val="ListParagraph"/>
        <w:numPr>
          <w:ilvl w:val="0"/>
          <w:numId w:val="25"/>
        </w:numPr>
        <w:tabs>
          <w:tab w:pos="2380" w:val="left" w:leader="none"/>
          <w:tab w:pos="2382" w:val="left" w:leader="none"/>
        </w:tabs>
        <w:spacing w:line="240" w:lineRule="auto" w:before="3" w:after="0"/>
        <w:ind w:left="2381" w:right="0" w:hanging="794"/>
        <w:jc w:val="left"/>
        <w:rPr>
          <w:sz w:val="13"/>
        </w:rPr>
      </w:pPr>
      <w:r>
        <w:rPr>
          <w:w w:val="105"/>
          <w:sz w:val="13"/>
        </w:rPr>
        <w:t>Submissions</w:t>
      </w:r>
      <w:r>
        <w:rPr>
          <w:spacing w:val="4"/>
          <w:w w:val="105"/>
          <w:sz w:val="13"/>
        </w:rPr>
        <w:t> </w:t>
      </w:r>
      <w:r>
        <w:rPr>
          <w:w w:val="105"/>
          <w:sz w:val="13"/>
        </w:rPr>
        <w:t>25</w:t>
      </w:r>
      <w:r>
        <w:rPr>
          <w:spacing w:val="5"/>
          <w:w w:val="105"/>
          <w:sz w:val="13"/>
        </w:rPr>
        <w:t> </w:t>
      </w:r>
      <w:r>
        <w:rPr>
          <w:spacing w:val="2"/>
          <w:w w:val="105"/>
          <w:sz w:val="13"/>
        </w:rPr>
        <w:t>(Moores</w:t>
      </w:r>
      <w:r>
        <w:rPr>
          <w:spacing w:val="5"/>
          <w:w w:val="105"/>
          <w:sz w:val="13"/>
        </w:rPr>
        <w:t> </w:t>
      </w:r>
      <w:r>
        <w:rPr>
          <w:w w:val="105"/>
          <w:sz w:val="13"/>
        </w:rPr>
        <w:t>Legal);</w:t>
      </w:r>
      <w:r>
        <w:rPr>
          <w:spacing w:val="5"/>
          <w:w w:val="105"/>
          <w:sz w:val="13"/>
        </w:rPr>
        <w:t> </w:t>
      </w:r>
      <w:r>
        <w:rPr>
          <w:w w:val="105"/>
          <w:sz w:val="13"/>
        </w:rPr>
        <w:t>26</w:t>
      </w:r>
      <w:r>
        <w:rPr>
          <w:spacing w:val="5"/>
          <w:w w:val="105"/>
          <w:sz w:val="13"/>
        </w:rPr>
        <w:t> </w:t>
      </w:r>
      <w:r>
        <w:rPr>
          <w:spacing w:val="2"/>
          <w:w w:val="105"/>
          <w:sz w:val="13"/>
        </w:rPr>
        <w:t>(Rigby</w:t>
      </w:r>
      <w:r>
        <w:rPr>
          <w:spacing w:val="5"/>
          <w:w w:val="105"/>
          <w:sz w:val="13"/>
        </w:rPr>
        <w:t> </w:t>
      </w:r>
      <w:r>
        <w:rPr>
          <w:w w:val="105"/>
          <w:sz w:val="13"/>
        </w:rPr>
        <w:t>Cooke</w:t>
      </w:r>
      <w:r>
        <w:rPr>
          <w:spacing w:val="5"/>
          <w:w w:val="105"/>
          <w:sz w:val="13"/>
        </w:rPr>
        <w:t> </w:t>
      </w:r>
      <w:r>
        <w:rPr>
          <w:spacing w:val="2"/>
          <w:w w:val="105"/>
          <w:sz w:val="13"/>
        </w:rPr>
        <w:t>Lawyers);</w:t>
      </w:r>
      <w:r>
        <w:rPr>
          <w:spacing w:val="5"/>
          <w:w w:val="105"/>
          <w:sz w:val="13"/>
        </w:rPr>
        <w:t> </w:t>
      </w:r>
      <w:r>
        <w:rPr>
          <w:w w:val="105"/>
          <w:sz w:val="13"/>
        </w:rPr>
        <w:t>32</w:t>
      </w:r>
      <w:r>
        <w:rPr>
          <w:spacing w:val="5"/>
          <w:w w:val="105"/>
          <w:sz w:val="13"/>
        </w:rPr>
        <w:t> </w:t>
      </w:r>
      <w:r>
        <w:rPr>
          <w:spacing w:val="2"/>
          <w:w w:val="105"/>
          <w:sz w:val="13"/>
        </w:rPr>
        <w:t>(The</w:t>
      </w:r>
      <w:r>
        <w:rPr>
          <w:spacing w:val="5"/>
          <w:w w:val="105"/>
          <w:sz w:val="13"/>
        </w:rPr>
        <w:t> </w:t>
      </w:r>
      <w:r>
        <w:rPr>
          <w:w w:val="105"/>
          <w:sz w:val="13"/>
        </w:rPr>
        <w:t>Institute</w:t>
      </w:r>
      <w:r>
        <w:rPr>
          <w:spacing w:val="5"/>
          <w:w w:val="105"/>
          <w:sz w:val="13"/>
        </w:rPr>
        <w:t> </w:t>
      </w:r>
      <w:r>
        <w:rPr>
          <w:w w:val="105"/>
          <w:sz w:val="13"/>
        </w:rPr>
        <w:t>of</w:t>
      </w:r>
      <w:r>
        <w:rPr>
          <w:spacing w:val="5"/>
          <w:w w:val="105"/>
          <w:sz w:val="13"/>
        </w:rPr>
        <w:t> </w:t>
      </w:r>
      <w:r>
        <w:rPr>
          <w:w w:val="105"/>
          <w:sz w:val="13"/>
        </w:rPr>
        <w:t>Legal</w:t>
      </w:r>
      <w:r>
        <w:rPr>
          <w:spacing w:val="5"/>
          <w:w w:val="105"/>
          <w:sz w:val="13"/>
        </w:rPr>
        <w:t> </w:t>
      </w:r>
      <w:r>
        <w:rPr>
          <w:w w:val="105"/>
          <w:sz w:val="13"/>
        </w:rPr>
        <w:t>Executives);</w:t>
      </w:r>
      <w:r>
        <w:rPr>
          <w:spacing w:val="5"/>
          <w:w w:val="105"/>
          <w:sz w:val="13"/>
        </w:rPr>
        <w:t> </w:t>
      </w:r>
      <w:r>
        <w:rPr>
          <w:w w:val="105"/>
          <w:sz w:val="13"/>
        </w:rPr>
        <w:t>35</w:t>
      </w:r>
      <w:r>
        <w:rPr>
          <w:spacing w:val="5"/>
          <w:w w:val="105"/>
          <w:sz w:val="13"/>
        </w:rPr>
        <w:t> </w:t>
      </w:r>
      <w:r>
        <w:rPr>
          <w:w w:val="105"/>
          <w:sz w:val="13"/>
        </w:rPr>
        <w:t>(Andrew</w:t>
      </w:r>
      <w:r>
        <w:rPr>
          <w:spacing w:val="5"/>
          <w:w w:val="105"/>
          <w:sz w:val="13"/>
        </w:rPr>
        <w:t> </w:t>
      </w:r>
      <w:r>
        <w:rPr>
          <w:w w:val="105"/>
          <w:sz w:val="13"/>
        </w:rPr>
        <w:t>Verspaandonk).</w:t>
      </w:r>
    </w:p>
    <w:p>
      <w:pPr>
        <w:pStyle w:val="ListParagraph"/>
        <w:numPr>
          <w:ilvl w:val="0"/>
          <w:numId w:val="25"/>
        </w:numPr>
        <w:tabs>
          <w:tab w:pos="2380" w:val="left" w:leader="none"/>
          <w:tab w:pos="2382" w:val="left" w:leader="none"/>
        </w:tabs>
        <w:spacing w:line="240" w:lineRule="auto" w:before="1" w:after="0"/>
        <w:ind w:left="2381" w:right="0" w:hanging="794"/>
        <w:jc w:val="left"/>
        <w:rPr>
          <w:sz w:val="13"/>
        </w:rPr>
      </w:pPr>
      <w:r>
        <w:rPr/>
        <w:pict>
          <v:shape style="position:absolute;margin-left:549.156677pt;margin-top:2.855465pt;width:12.4pt;height:14.25pt;mso-position-horizontal-relative:page;mso-position-vertical-relative:paragraph;z-index:2080" type="#_x0000_t202" filled="false" stroked="false">
            <v:textbox inset="0,0,0,0">
              <w:txbxContent>
                <w:p>
                  <w:pPr>
                    <w:spacing w:line="284" w:lineRule="exact" w:before="0"/>
                    <w:ind w:left="0" w:right="0" w:firstLine="0"/>
                    <w:jc w:val="left"/>
                    <w:rPr>
                      <w:b/>
                      <w:sz w:val="24"/>
                    </w:rPr>
                  </w:pPr>
                  <w:r>
                    <w:rPr>
                      <w:b/>
                      <w:color w:val="EC5A4F"/>
                      <w:spacing w:val="-10"/>
                      <w:w w:val="110"/>
                      <w:sz w:val="24"/>
                    </w:rPr>
                    <w:t>13</w:t>
                  </w:r>
                </w:p>
              </w:txbxContent>
            </v:textbox>
            <w10:wrap type="none"/>
          </v:shape>
        </w:pict>
      </w:r>
      <w:r>
        <w:rPr>
          <w:w w:val="105"/>
          <w:sz w:val="13"/>
        </w:rPr>
        <w:t>Submission 35 (Andrew</w:t>
      </w:r>
      <w:r>
        <w:rPr>
          <w:spacing w:val="14"/>
          <w:w w:val="105"/>
          <w:sz w:val="13"/>
        </w:rPr>
        <w:t> </w:t>
      </w:r>
      <w:r>
        <w:rPr>
          <w:w w:val="105"/>
          <w:sz w:val="13"/>
        </w:rPr>
        <w:t>Verspaandonk).</w:t>
      </w:r>
    </w:p>
    <w:p>
      <w:pPr>
        <w:pStyle w:val="ListParagraph"/>
        <w:numPr>
          <w:ilvl w:val="0"/>
          <w:numId w:val="25"/>
        </w:numPr>
        <w:tabs>
          <w:tab w:pos="2380" w:val="left" w:leader="none"/>
          <w:tab w:pos="2382" w:val="left" w:leader="none"/>
        </w:tabs>
        <w:spacing w:line="240" w:lineRule="auto" w:before="2" w:after="0"/>
        <w:ind w:left="2381" w:right="0" w:hanging="794"/>
        <w:jc w:val="left"/>
        <w:rPr>
          <w:sz w:val="13"/>
        </w:rPr>
      </w:pPr>
      <w:r>
        <w:rPr>
          <w:w w:val="105"/>
          <w:sz w:val="13"/>
        </w:rPr>
        <w:t>Submissions 30a </w:t>
      </w:r>
      <w:r>
        <w:rPr>
          <w:spacing w:val="3"/>
          <w:w w:val="105"/>
          <w:sz w:val="13"/>
        </w:rPr>
        <w:t>(Law </w:t>
      </w:r>
      <w:r>
        <w:rPr>
          <w:w w:val="105"/>
          <w:sz w:val="13"/>
        </w:rPr>
        <w:t>Institute of </w:t>
      </w:r>
      <w:r>
        <w:rPr>
          <w:spacing w:val="2"/>
          <w:w w:val="105"/>
          <w:sz w:val="13"/>
        </w:rPr>
        <w:t>Victoria); </w:t>
      </w:r>
      <w:r>
        <w:rPr>
          <w:w w:val="105"/>
          <w:sz w:val="13"/>
        </w:rPr>
        <w:t>31 (Seniors Rights</w:t>
      </w:r>
      <w:r>
        <w:rPr>
          <w:spacing w:val="4"/>
          <w:w w:val="105"/>
          <w:sz w:val="13"/>
        </w:rPr>
        <w:t> </w:t>
      </w:r>
      <w:r>
        <w:rPr>
          <w:spacing w:val="2"/>
          <w:w w:val="105"/>
          <w:sz w:val="13"/>
        </w:rPr>
        <w:t>Victoria).</w:t>
      </w:r>
    </w:p>
    <w:p>
      <w:pPr>
        <w:spacing w:after="0" w:line="240" w:lineRule="auto"/>
        <w:jc w:val="left"/>
        <w:rPr>
          <w:sz w:val="13"/>
        </w:rPr>
        <w:sectPr>
          <w:pgSz w:w="11910" w:h="16840"/>
          <w:pgMar w:header="805" w:footer="0" w:top="1360" w:bottom="280" w:left="0" w:right="0"/>
        </w:sectPr>
      </w:pPr>
    </w:p>
    <w:p>
      <w:pPr>
        <w:pStyle w:val="BodyText"/>
        <w:spacing w:before="9"/>
        <w:rPr>
          <w:sz w:val="22"/>
        </w:rPr>
      </w:pPr>
    </w:p>
    <w:p>
      <w:pPr>
        <w:pStyle w:val="ListParagraph"/>
        <w:numPr>
          <w:ilvl w:val="1"/>
          <w:numId w:val="22"/>
        </w:numPr>
        <w:tabs>
          <w:tab w:pos="2380" w:val="left" w:leader="none"/>
          <w:tab w:pos="2381" w:val="left" w:leader="none"/>
        </w:tabs>
        <w:spacing w:line="242" w:lineRule="auto" w:before="92" w:after="0"/>
        <w:ind w:left="2381" w:right="1665" w:hanging="794"/>
        <w:jc w:val="left"/>
        <w:rPr>
          <w:sz w:val="21"/>
        </w:rPr>
      </w:pPr>
      <w:r>
        <w:rPr>
          <w:spacing w:val="-3"/>
          <w:sz w:val="21"/>
        </w:rPr>
        <w:t>Submissions </w:t>
      </w:r>
      <w:r>
        <w:rPr>
          <w:sz w:val="21"/>
        </w:rPr>
        <w:t>recognised </w:t>
      </w:r>
      <w:r>
        <w:rPr>
          <w:spacing w:val="-3"/>
          <w:sz w:val="21"/>
        </w:rPr>
        <w:t>that </w:t>
      </w:r>
      <w:r>
        <w:rPr>
          <w:sz w:val="21"/>
        </w:rPr>
        <w:t>Victorian legal practitioners </w:t>
      </w:r>
      <w:r>
        <w:rPr>
          <w:spacing w:val="-3"/>
          <w:sz w:val="21"/>
        </w:rPr>
        <w:t>already consider  </w:t>
      </w:r>
      <w:r>
        <w:rPr>
          <w:sz w:val="21"/>
        </w:rPr>
        <w:t>it good practice  </w:t>
      </w:r>
      <w:r>
        <w:rPr>
          <w:spacing w:val="-3"/>
          <w:sz w:val="21"/>
        </w:rPr>
        <w:t>to </w:t>
      </w:r>
      <w:r>
        <w:rPr>
          <w:sz w:val="21"/>
        </w:rPr>
        <w:t>obtain a medical capacity assessment where a </w:t>
      </w:r>
      <w:r>
        <w:rPr>
          <w:spacing w:val="-3"/>
          <w:sz w:val="21"/>
        </w:rPr>
        <w:t>client’s </w:t>
      </w:r>
      <w:r>
        <w:rPr>
          <w:sz w:val="21"/>
        </w:rPr>
        <w:t>capacity is in doubt.</w:t>
      </w:r>
      <w:r>
        <w:rPr>
          <w:position w:val="7"/>
          <w:sz w:val="12"/>
        </w:rPr>
        <w:t>89 </w:t>
      </w:r>
      <w:r>
        <w:rPr>
          <w:sz w:val="21"/>
        </w:rPr>
        <w:t>The </w:t>
      </w:r>
      <w:r>
        <w:rPr>
          <w:spacing w:val="-3"/>
          <w:sz w:val="21"/>
        </w:rPr>
        <w:t>Commission </w:t>
      </w:r>
      <w:r>
        <w:rPr>
          <w:sz w:val="21"/>
        </w:rPr>
        <w:t>agrees, and </w:t>
      </w:r>
      <w:r>
        <w:rPr>
          <w:spacing w:val="-3"/>
          <w:sz w:val="21"/>
        </w:rPr>
        <w:t>notes that </w:t>
      </w:r>
      <w:r>
        <w:rPr>
          <w:sz w:val="21"/>
        </w:rPr>
        <w:t>the Law  </w:t>
      </w:r>
      <w:r>
        <w:rPr>
          <w:spacing w:val="-3"/>
          <w:sz w:val="21"/>
        </w:rPr>
        <w:t>Institute  </w:t>
      </w:r>
      <w:r>
        <w:rPr>
          <w:sz w:val="21"/>
        </w:rPr>
        <w:t>of  Victoria  is  </w:t>
      </w:r>
      <w:r>
        <w:rPr>
          <w:spacing w:val="-3"/>
          <w:sz w:val="21"/>
        </w:rPr>
        <w:t>preparing  guidelines that will </w:t>
      </w:r>
      <w:r>
        <w:rPr>
          <w:sz w:val="21"/>
        </w:rPr>
        <w:t>assist legal practitioners in </w:t>
      </w:r>
      <w:r>
        <w:rPr>
          <w:spacing w:val="-2"/>
          <w:sz w:val="21"/>
        </w:rPr>
        <w:t>deciding </w:t>
      </w:r>
      <w:r>
        <w:rPr>
          <w:sz w:val="21"/>
        </w:rPr>
        <w:t>what </w:t>
      </w:r>
      <w:r>
        <w:rPr>
          <w:spacing w:val="-3"/>
          <w:sz w:val="21"/>
        </w:rPr>
        <w:t>to </w:t>
      </w:r>
      <w:r>
        <w:rPr>
          <w:sz w:val="21"/>
        </w:rPr>
        <w:t>do in these </w:t>
      </w:r>
      <w:r>
        <w:rPr>
          <w:spacing w:val="-3"/>
          <w:sz w:val="21"/>
        </w:rPr>
        <w:t>circumstances. </w:t>
      </w:r>
      <w:r>
        <w:rPr>
          <w:sz w:val="21"/>
        </w:rPr>
        <w:t>The </w:t>
      </w:r>
      <w:r>
        <w:rPr>
          <w:spacing w:val="-3"/>
          <w:sz w:val="21"/>
        </w:rPr>
        <w:t>Commission therefore </w:t>
      </w:r>
      <w:r>
        <w:rPr>
          <w:sz w:val="21"/>
        </w:rPr>
        <w:t>does </w:t>
      </w:r>
      <w:r>
        <w:rPr>
          <w:spacing w:val="-2"/>
          <w:sz w:val="21"/>
        </w:rPr>
        <w:t>not </w:t>
      </w:r>
      <w:r>
        <w:rPr>
          <w:spacing w:val="-3"/>
          <w:sz w:val="21"/>
        </w:rPr>
        <w:t>recommend introducing </w:t>
      </w:r>
      <w:r>
        <w:rPr>
          <w:sz w:val="21"/>
        </w:rPr>
        <w:t>an </w:t>
      </w:r>
      <w:r>
        <w:rPr>
          <w:spacing w:val="-3"/>
          <w:sz w:val="21"/>
        </w:rPr>
        <w:t>additional requirement</w:t>
      </w:r>
      <w:r>
        <w:rPr>
          <w:spacing w:val="10"/>
          <w:sz w:val="21"/>
        </w:rPr>
        <w:t> </w:t>
      </w:r>
      <w:r>
        <w:rPr>
          <w:spacing w:val="-3"/>
          <w:sz w:val="21"/>
        </w:rPr>
        <w:t>that</w:t>
      </w:r>
    </w:p>
    <w:p>
      <w:pPr>
        <w:pStyle w:val="BodyText"/>
        <w:spacing w:before="5"/>
        <w:ind w:left="2381"/>
      </w:pPr>
      <w:r>
        <w:rPr>
          <w:w w:val="105"/>
        </w:rPr>
        <w:t>a medical assessment of capacity be obtained for all will-makers in a particular category.</w:t>
      </w:r>
    </w:p>
    <w:p>
      <w:pPr>
        <w:pStyle w:val="BodyText"/>
        <w:rPr>
          <w:sz w:val="25"/>
        </w:rPr>
      </w:pPr>
    </w:p>
    <w:p>
      <w:pPr>
        <w:pStyle w:val="Heading5"/>
      </w:pPr>
      <w:r>
        <w:rPr>
          <w:w w:val="115"/>
        </w:rPr>
        <w:t>Guidelines on minimising undue influence</w:t>
      </w:r>
    </w:p>
    <w:p>
      <w:pPr>
        <w:pStyle w:val="ListParagraph"/>
        <w:numPr>
          <w:ilvl w:val="1"/>
          <w:numId w:val="22"/>
        </w:numPr>
        <w:tabs>
          <w:tab w:pos="2380" w:val="left" w:leader="none"/>
          <w:tab w:pos="2381" w:val="left" w:leader="none"/>
        </w:tabs>
        <w:spacing w:line="242" w:lineRule="auto" w:before="137" w:after="0"/>
        <w:ind w:left="2381" w:right="1786" w:hanging="794"/>
        <w:jc w:val="left"/>
        <w:rPr>
          <w:sz w:val="21"/>
        </w:rPr>
      </w:pPr>
      <w:r>
        <w:rPr>
          <w:w w:val="105"/>
          <w:sz w:val="21"/>
        </w:rPr>
        <w:t>The</w:t>
      </w:r>
      <w:r>
        <w:rPr>
          <w:spacing w:val="-6"/>
          <w:w w:val="105"/>
          <w:sz w:val="21"/>
        </w:rPr>
        <w:t> </w:t>
      </w:r>
      <w:r>
        <w:rPr>
          <w:spacing w:val="-3"/>
          <w:w w:val="105"/>
          <w:sz w:val="21"/>
        </w:rPr>
        <w:t>Commission</w:t>
      </w:r>
      <w:r>
        <w:rPr>
          <w:spacing w:val="-5"/>
          <w:w w:val="105"/>
          <w:sz w:val="21"/>
        </w:rPr>
        <w:t> </w:t>
      </w:r>
      <w:r>
        <w:rPr>
          <w:w w:val="105"/>
          <w:sz w:val="21"/>
        </w:rPr>
        <w:t>also</w:t>
      </w:r>
      <w:r>
        <w:rPr>
          <w:spacing w:val="-5"/>
          <w:w w:val="105"/>
          <w:sz w:val="21"/>
        </w:rPr>
        <w:t> </w:t>
      </w:r>
      <w:r>
        <w:rPr>
          <w:spacing w:val="-3"/>
          <w:w w:val="105"/>
          <w:sz w:val="21"/>
        </w:rPr>
        <w:t>sought</w:t>
      </w:r>
      <w:r>
        <w:rPr>
          <w:spacing w:val="-6"/>
          <w:w w:val="105"/>
          <w:sz w:val="21"/>
        </w:rPr>
        <w:t> </w:t>
      </w:r>
      <w:r>
        <w:rPr>
          <w:w w:val="105"/>
          <w:sz w:val="21"/>
        </w:rPr>
        <w:t>comments</w:t>
      </w:r>
      <w:r>
        <w:rPr>
          <w:spacing w:val="-5"/>
          <w:w w:val="105"/>
          <w:sz w:val="21"/>
        </w:rPr>
        <w:t> </w:t>
      </w:r>
      <w:r>
        <w:rPr>
          <w:w w:val="105"/>
          <w:sz w:val="21"/>
        </w:rPr>
        <w:t>on</w:t>
      </w:r>
      <w:r>
        <w:rPr>
          <w:spacing w:val="-5"/>
          <w:w w:val="105"/>
          <w:sz w:val="21"/>
        </w:rPr>
        <w:t> </w:t>
      </w:r>
      <w:r>
        <w:rPr>
          <w:w w:val="105"/>
          <w:sz w:val="21"/>
        </w:rPr>
        <w:t>whether</w:t>
      </w:r>
      <w:r>
        <w:rPr>
          <w:spacing w:val="-5"/>
          <w:w w:val="105"/>
          <w:sz w:val="21"/>
        </w:rPr>
        <w:t> </w:t>
      </w:r>
      <w:r>
        <w:rPr>
          <w:spacing w:val="-3"/>
          <w:w w:val="105"/>
          <w:sz w:val="21"/>
        </w:rPr>
        <w:t>guidelines</w:t>
      </w:r>
      <w:r>
        <w:rPr>
          <w:spacing w:val="-6"/>
          <w:w w:val="105"/>
          <w:sz w:val="21"/>
        </w:rPr>
        <w:t> </w:t>
      </w:r>
      <w:r>
        <w:rPr>
          <w:spacing w:val="-3"/>
          <w:w w:val="105"/>
          <w:sz w:val="21"/>
        </w:rPr>
        <w:t>for</w:t>
      </w:r>
      <w:r>
        <w:rPr>
          <w:spacing w:val="-5"/>
          <w:w w:val="105"/>
          <w:sz w:val="21"/>
        </w:rPr>
        <w:t> </w:t>
      </w:r>
      <w:r>
        <w:rPr>
          <w:w w:val="105"/>
          <w:sz w:val="21"/>
        </w:rPr>
        <w:t>legal</w:t>
      </w:r>
      <w:r>
        <w:rPr>
          <w:spacing w:val="-5"/>
          <w:w w:val="105"/>
          <w:sz w:val="21"/>
        </w:rPr>
        <w:t> </w:t>
      </w:r>
      <w:r>
        <w:rPr>
          <w:w w:val="105"/>
          <w:sz w:val="21"/>
        </w:rPr>
        <w:t>practitioners</w:t>
      </w:r>
      <w:r>
        <w:rPr>
          <w:spacing w:val="-5"/>
          <w:w w:val="105"/>
          <w:sz w:val="21"/>
        </w:rPr>
        <w:t> </w:t>
      </w:r>
      <w:r>
        <w:rPr>
          <w:w w:val="105"/>
          <w:sz w:val="21"/>
        </w:rPr>
        <w:t>on </w:t>
      </w:r>
      <w:r>
        <w:rPr>
          <w:spacing w:val="-3"/>
          <w:w w:val="105"/>
          <w:sz w:val="21"/>
        </w:rPr>
        <w:t>minimising </w:t>
      </w:r>
      <w:r>
        <w:rPr>
          <w:w w:val="105"/>
          <w:sz w:val="21"/>
        </w:rPr>
        <w:t>the risk of </w:t>
      </w:r>
      <w:r>
        <w:rPr>
          <w:spacing w:val="-3"/>
          <w:w w:val="105"/>
          <w:sz w:val="21"/>
        </w:rPr>
        <w:t>undue influence </w:t>
      </w:r>
      <w:r>
        <w:rPr>
          <w:w w:val="105"/>
          <w:sz w:val="21"/>
        </w:rPr>
        <w:t>would be</w:t>
      </w:r>
      <w:r>
        <w:rPr>
          <w:spacing w:val="46"/>
          <w:w w:val="105"/>
          <w:sz w:val="21"/>
        </w:rPr>
        <w:t> </w:t>
      </w:r>
      <w:r>
        <w:rPr>
          <w:spacing w:val="-3"/>
          <w:w w:val="105"/>
          <w:sz w:val="21"/>
        </w:rPr>
        <w:t>useful.</w:t>
      </w:r>
    </w:p>
    <w:p>
      <w:pPr>
        <w:pStyle w:val="ListParagraph"/>
        <w:numPr>
          <w:ilvl w:val="1"/>
          <w:numId w:val="22"/>
        </w:numPr>
        <w:tabs>
          <w:tab w:pos="2380" w:val="left" w:leader="none"/>
          <w:tab w:pos="2381" w:val="left" w:leader="none"/>
        </w:tabs>
        <w:spacing w:line="242" w:lineRule="auto" w:before="123" w:after="0"/>
        <w:ind w:left="2381" w:right="1742" w:hanging="794"/>
        <w:jc w:val="left"/>
        <w:rPr>
          <w:sz w:val="21"/>
        </w:rPr>
      </w:pPr>
      <w:r>
        <w:rPr>
          <w:w w:val="105"/>
          <w:sz w:val="21"/>
        </w:rPr>
        <w:t>There</w:t>
      </w:r>
      <w:r>
        <w:rPr>
          <w:spacing w:val="-7"/>
          <w:w w:val="105"/>
          <w:sz w:val="21"/>
        </w:rPr>
        <w:t> </w:t>
      </w:r>
      <w:r>
        <w:rPr>
          <w:w w:val="105"/>
          <w:sz w:val="21"/>
        </w:rPr>
        <w:t>is</w:t>
      </w:r>
      <w:r>
        <w:rPr>
          <w:spacing w:val="-7"/>
          <w:w w:val="105"/>
          <w:sz w:val="21"/>
        </w:rPr>
        <w:t> </w:t>
      </w:r>
      <w:r>
        <w:rPr>
          <w:w w:val="105"/>
          <w:sz w:val="21"/>
        </w:rPr>
        <w:t>general</w:t>
      </w:r>
      <w:r>
        <w:rPr>
          <w:spacing w:val="-7"/>
          <w:w w:val="105"/>
          <w:sz w:val="21"/>
        </w:rPr>
        <w:t> </w:t>
      </w:r>
      <w:r>
        <w:rPr>
          <w:w w:val="105"/>
          <w:sz w:val="21"/>
        </w:rPr>
        <w:t>support</w:t>
      </w:r>
      <w:r>
        <w:rPr>
          <w:spacing w:val="-7"/>
          <w:w w:val="105"/>
          <w:sz w:val="21"/>
        </w:rPr>
        <w:t> </w:t>
      </w:r>
      <w:r>
        <w:rPr>
          <w:spacing w:val="-3"/>
          <w:w w:val="105"/>
          <w:sz w:val="21"/>
        </w:rPr>
        <w:t>for</w:t>
      </w:r>
      <w:r>
        <w:rPr>
          <w:spacing w:val="-7"/>
          <w:w w:val="105"/>
          <w:sz w:val="21"/>
        </w:rPr>
        <w:t> </w:t>
      </w:r>
      <w:r>
        <w:rPr>
          <w:w w:val="105"/>
          <w:sz w:val="21"/>
        </w:rPr>
        <w:t>the</w:t>
      </w:r>
      <w:r>
        <w:rPr>
          <w:spacing w:val="-7"/>
          <w:w w:val="105"/>
          <w:sz w:val="21"/>
        </w:rPr>
        <w:t> </w:t>
      </w:r>
      <w:r>
        <w:rPr>
          <w:w w:val="105"/>
          <w:sz w:val="21"/>
        </w:rPr>
        <w:t>idea.</w:t>
      </w:r>
      <w:r>
        <w:rPr>
          <w:w w:val="105"/>
          <w:position w:val="7"/>
          <w:sz w:val="12"/>
        </w:rPr>
        <w:t>90</w:t>
      </w:r>
      <w:r>
        <w:rPr>
          <w:spacing w:val="15"/>
          <w:w w:val="105"/>
          <w:position w:val="7"/>
          <w:sz w:val="12"/>
        </w:rPr>
        <w:t> </w:t>
      </w:r>
      <w:r>
        <w:rPr>
          <w:spacing w:val="-3"/>
          <w:w w:val="105"/>
          <w:sz w:val="21"/>
        </w:rPr>
        <w:t>Submissions</w:t>
      </w:r>
      <w:r>
        <w:rPr>
          <w:spacing w:val="-7"/>
          <w:w w:val="105"/>
          <w:sz w:val="21"/>
        </w:rPr>
        <w:t> </w:t>
      </w:r>
      <w:r>
        <w:rPr>
          <w:w w:val="105"/>
          <w:sz w:val="21"/>
        </w:rPr>
        <w:t>made</w:t>
      </w:r>
      <w:r>
        <w:rPr>
          <w:spacing w:val="-7"/>
          <w:w w:val="105"/>
          <w:sz w:val="21"/>
        </w:rPr>
        <w:t> </w:t>
      </w:r>
      <w:r>
        <w:rPr>
          <w:spacing w:val="-3"/>
          <w:w w:val="105"/>
          <w:sz w:val="21"/>
        </w:rPr>
        <w:t>many</w:t>
      </w:r>
      <w:r>
        <w:rPr>
          <w:spacing w:val="-7"/>
          <w:w w:val="105"/>
          <w:sz w:val="21"/>
        </w:rPr>
        <w:t> </w:t>
      </w:r>
      <w:r>
        <w:rPr>
          <w:w w:val="105"/>
          <w:sz w:val="21"/>
        </w:rPr>
        <w:t>suggestions</w:t>
      </w:r>
      <w:r>
        <w:rPr>
          <w:spacing w:val="-7"/>
          <w:w w:val="105"/>
          <w:sz w:val="21"/>
        </w:rPr>
        <w:t> </w:t>
      </w:r>
      <w:r>
        <w:rPr>
          <w:w w:val="105"/>
          <w:sz w:val="21"/>
        </w:rPr>
        <w:t>about</w:t>
      </w:r>
      <w:r>
        <w:rPr>
          <w:spacing w:val="-7"/>
          <w:w w:val="105"/>
          <w:sz w:val="21"/>
        </w:rPr>
        <w:t> </w:t>
      </w:r>
      <w:r>
        <w:rPr>
          <w:w w:val="105"/>
          <w:sz w:val="21"/>
        </w:rPr>
        <w:t>what </w:t>
      </w:r>
      <w:r>
        <w:rPr>
          <w:spacing w:val="-3"/>
          <w:w w:val="105"/>
          <w:sz w:val="21"/>
        </w:rPr>
        <w:t>professional guidelines </w:t>
      </w:r>
      <w:r>
        <w:rPr>
          <w:w w:val="105"/>
          <w:sz w:val="21"/>
        </w:rPr>
        <w:t>on </w:t>
      </w:r>
      <w:r>
        <w:rPr>
          <w:spacing w:val="-3"/>
          <w:w w:val="105"/>
          <w:sz w:val="21"/>
        </w:rPr>
        <w:t>undue influence </w:t>
      </w:r>
      <w:r>
        <w:rPr>
          <w:w w:val="105"/>
          <w:sz w:val="21"/>
        </w:rPr>
        <w:t>should </w:t>
      </w:r>
      <w:r>
        <w:rPr>
          <w:spacing w:val="-3"/>
          <w:w w:val="105"/>
          <w:sz w:val="21"/>
        </w:rPr>
        <w:t>contain,</w:t>
      </w:r>
      <w:r>
        <w:rPr>
          <w:spacing w:val="-1"/>
          <w:w w:val="105"/>
          <w:sz w:val="21"/>
        </w:rPr>
        <w:t> </w:t>
      </w:r>
      <w:r>
        <w:rPr>
          <w:spacing w:val="-3"/>
          <w:w w:val="105"/>
          <w:sz w:val="21"/>
        </w:rPr>
        <w:t>including:</w:t>
      </w:r>
    </w:p>
    <w:p>
      <w:pPr>
        <w:pStyle w:val="ListParagraph"/>
        <w:numPr>
          <w:ilvl w:val="2"/>
          <w:numId w:val="22"/>
        </w:numPr>
        <w:tabs>
          <w:tab w:pos="2721" w:val="left" w:leader="none"/>
          <w:tab w:pos="2722" w:val="left" w:leader="none"/>
        </w:tabs>
        <w:spacing w:line="240" w:lineRule="auto" w:before="122" w:after="0"/>
        <w:ind w:left="2721" w:right="0" w:hanging="340"/>
        <w:jc w:val="left"/>
        <w:rPr>
          <w:sz w:val="12"/>
        </w:rPr>
      </w:pPr>
      <w:r>
        <w:rPr>
          <w:sz w:val="21"/>
        </w:rPr>
        <w:t>the importance of taking instructions </w:t>
      </w:r>
      <w:r>
        <w:rPr>
          <w:spacing w:val="-3"/>
          <w:sz w:val="21"/>
        </w:rPr>
        <w:t>from </w:t>
      </w:r>
      <w:r>
        <w:rPr>
          <w:sz w:val="21"/>
        </w:rPr>
        <w:t>the </w:t>
      </w:r>
      <w:r>
        <w:rPr>
          <w:spacing w:val="-3"/>
          <w:sz w:val="21"/>
        </w:rPr>
        <w:t>will-maker</w:t>
      </w:r>
      <w:r>
        <w:rPr>
          <w:spacing w:val="20"/>
          <w:sz w:val="21"/>
        </w:rPr>
        <w:t> </w:t>
      </w:r>
      <w:r>
        <w:rPr>
          <w:sz w:val="21"/>
        </w:rPr>
        <w:t>alone </w:t>
      </w:r>
      <w:r>
        <w:rPr>
          <w:spacing w:val="-3"/>
          <w:position w:val="7"/>
          <w:sz w:val="12"/>
        </w:rPr>
        <w:t>91</w:t>
      </w:r>
    </w:p>
    <w:p>
      <w:pPr>
        <w:pStyle w:val="ListParagraph"/>
        <w:numPr>
          <w:ilvl w:val="2"/>
          <w:numId w:val="22"/>
        </w:numPr>
        <w:tabs>
          <w:tab w:pos="2721" w:val="left" w:leader="none"/>
          <w:tab w:pos="2722" w:val="left" w:leader="none"/>
        </w:tabs>
        <w:spacing w:line="240" w:lineRule="auto" w:before="123" w:after="0"/>
        <w:ind w:left="2721" w:right="0" w:hanging="340"/>
        <w:jc w:val="left"/>
        <w:rPr>
          <w:sz w:val="12"/>
        </w:rPr>
      </w:pPr>
      <w:r>
        <w:rPr>
          <w:spacing w:val="-2"/>
          <w:sz w:val="21"/>
        </w:rPr>
        <w:t>common </w:t>
      </w:r>
      <w:r>
        <w:rPr>
          <w:sz w:val="21"/>
        </w:rPr>
        <w:t>characteristics of how a person subject </w:t>
      </w:r>
      <w:r>
        <w:rPr>
          <w:spacing w:val="-3"/>
          <w:sz w:val="21"/>
        </w:rPr>
        <w:t>to undue influence may</w:t>
      </w:r>
      <w:r>
        <w:rPr>
          <w:spacing w:val="-1"/>
          <w:sz w:val="21"/>
        </w:rPr>
        <w:t> </w:t>
      </w:r>
      <w:r>
        <w:rPr>
          <w:sz w:val="21"/>
        </w:rPr>
        <w:t>present </w:t>
      </w:r>
      <w:r>
        <w:rPr>
          <w:position w:val="7"/>
          <w:sz w:val="12"/>
        </w:rPr>
        <w:t>92</w:t>
      </w:r>
    </w:p>
    <w:p>
      <w:pPr>
        <w:pStyle w:val="ListParagraph"/>
        <w:numPr>
          <w:ilvl w:val="2"/>
          <w:numId w:val="22"/>
        </w:numPr>
        <w:tabs>
          <w:tab w:pos="2721" w:val="left" w:leader="none"/>
          <w:tab w:pos="2722" w:val="left" w:leader="none"/>
        </w:tabs>
        <w:spacing w:line="242" w:lineRule="auto" w:before="124" w:after="0"/>
        <w:ind w:left="2721" w:right="2483" w:hanging="340"/>
        <w:jc w:val="left"/>
        <w:rPr>
          <w:sz w:val="12"/>
        </w:rPr>
      </w:pPr>
      <w:r>
        <w:rPr>
          <w:spacing w:val="-2"/>
          <w:w w:val="105"/>
          <w:sz w:val="21"/>
        </w:rPr>
        <w:t>common </w:t>
      </w:r>
      <w:r>
        <w:rPr>
          <w:spacing w:val="-3"/>
          <w:w w:val="105"/>
          <w:sz w:val="21"/>
        </w:rPr>
        <w:t>warning signs </w:t>
      </w:r>
      <w:r>
        <w:rPr>
          <w:w w:val="105"/>
          <w:sz w:val="21"/>
        </w:rPr>
        <w:t>of </w:t>
      </w:r>
      <w:r>
        <w:rPr>
          <w:spacing w:val="-3"/>
          <w:w w:val="105"/>
          <w:sz w:val="21"/>
        </w:rPr>
        <w:t>undue influence, for </w:t>
      </w:r>
      <w:r>
        <w:rPr>
          <w:w w:val="105"/>
          <w:sz w:val="21"/>
        </w:rPr>
        <w:t>example a sudden </w:t>
      </w:r>
      <w:r>
        <w:rPr>
          <w:spacing w:val="-3"/>
          <w:w w:val="105"/>
          <w:sz w:val="21"/>
        </w:rPr>
        <w:t>change </w:t>
      </w:r>
      <w:r>
        <w:rPr>
          <w:w w:val="105"/>
          <w:sz w:val="21"/>
        </w:rPr>
        <w:t>in beneficiary </w:t>
      </w:r>
      <w:r>
        <w:rPr>
          <w:spacing w:val="-3"/>
          <w:w w:val="105"/>
          <w:sz w:val="21"/>
        </w:rPr>
        <w:t>from </w:t>
      </w:r>
      <w:r>
        <w:rPr>
          <w:w w:val="105"/>
          <w:sz w:val="21"/>
        </w:rPr>
        <w:t>close </w:t>
      </w:r>
      <w:r>
        <w:rPr>
          <w:spacing w:val="-3"/>
          <w:w w:val="105"/>
          <w:sz w:val="21"/>
        </w:rPr>
        <w:t>family </w:t>
      </w:r>
      <w:r>
        <w:rPr>
          <w:w w:val="105"/>
          <w:sz w:val="21"/>
        </w:rPr>
        <w:t>member </w:t>
      </w:r>
      <w:r>
        <w:rPr>
          <w:spacing w:val="-3"/>
          <w:w w:val="105"/>
          <w:sz w:val="21"/>
        </w:rPr>
        <w:t>to recent acquaintance</w:t>
      </w:r>
      <w:r>
        <w:rPr>
          <w:w w:val="105"/>
          <w:sz w:val="21"/>
        </w:rPr>
        <w:t> </w:t>
      </w:r>
      <w:r>
        <w:rPr>
          <w:w w:val="105"/>
          <w:position w:val="7"/>
          <w:sz w:val="12"/>
        </w:rPr>
        <w:t>93</w:t>
      </w:r>
    </w:p>
    <w:p>
      <w:pPr>
        <w:pStyle w:val="ListParagraph"/>
        <w:numPr>
          <w:ilvl w:val="2"/>
          <w:numId w:val="22"/>
        </w:numPr>
        <w:tabs>
          <w:tab w:pos="2721" w:val="left" w:leader="none"/>
          <w:tab w:pos="2722" w:val="left" w:leader="none"/>
        </w:tabs>
        <w:spacing w:line="240" w:lineRule="auto" w:before="122" w:after="0"/>
        <w:ind w:left="2721" w:right="0" w:hanging="340"/>
        <w:jc w:val="left"/>
        <w:rPr>
          <w:sz w:val="12"/>
        </w:rPr>
      </w:pPr>
      <w:r>
        <w:rPr>
          <w:w w:val="105"/>
          <w:sz w:val="21"/>
        </w:rPr>
        <w:t>the role of </w:t>
      </w:r>
      <w:r>
        <w:rPr>
          <w:spacing w:val="-3"/>
          <w:w w:val="105"/>
          <w:sz w:val="21"/>
        </w:rPr>
        <w:t>interpreters </w:t>
      </w:r>
      <w:r>
        <w:rPr>
          <w:w w:val="105"/>
          <w:sz w:val="21"/>
        </w:rPr>
        <w:t>who </w:t>
      </w:r>
      <w:r>
        <w:rPr>
          <w:spacing w:val="-3"/>
          <w:w w:val="105"/>
          <w:sz w:val="21"/>
        </w:rPr>
        <w:t>accompany </w:t>
      </w:r>
      <w:r>
        <w:rPr>
          <w:w w:val="105"/>
          <w:sz w:val="21"/>
        </w:rPr>
        <w:t>the </w:t>
      </w:r>
      <w:r>
        <w:rPr>
          <w:spacing w:val="-3"/>
          <w:w w:val="105"/>
          <w:sz w:val="21"/>
        </w:rPr>
        <w:t>will-maker</w:t>
      </w:r>
      <w:r>
        <w:rPr>
          <w:spacing w:val="17"/>
          <w:w w:val="105"/>
          <w:sz w:val="21"/>
        </w:rPr>
        <w:t> </w:t>
      </w:r>
      <w:r>
        <w:rPr>
          <w:spacing w:val="3"/>
          <w:w w:val="105"/>
          <w:position w:val="7"/>
          <w:sz w:val="12"/>
        </w:rPr>
        <w:t>94</w:t>
      </w:r>
    </w:p>
    <w:p>
      <w:pPr>
        <w:pStyle w:val="ListParagraph"/>
        <w:numPr>
          <w:ilvl w:val="2"/>
          <w:numId w:val="22"/>
        </w:numPr>
        <w:tabs>
          <w:tab w:pos="2721" w:val="left" w:leader="none"/>
          <w:tab w:pos="2722" w:val="left" w:leader="none"/>
        </w:tabs>
        <w:spacing w:line="242" w:lineRule="auto" w:before="124" w:after="0"/>
        <w:ind w:left="2721" w:right="2152" w:hanging="340"/>
        <w:jc w:val="left"/>
        <w:rPr>
          <w:sz w:val="12"/>
        </w:rPr>
      </w:pPr>
      <w:r>
        <w:rPr>
          <w:w w:val="105"/>
          <w:sz w:val="21"/>
        </w:rPr>
        <w:t>the importance of </w:t>
      </w:r>
      <w:r>
        <w:rPr>
          <w:spacing w:val="-3"/>
          <w:w w:val="105"/>
          <w:sz w:val="21"/>
        </w:rPr>
        <w:t>making enquiries </w:t>
      </w:r>
      <w:r>
        <w:rPr>
          <w:w w:val="105"/>
          <w:sz w:val="21"/>
        </w:rPr>
        <w:t>about </w:t>
      </w:r>
      <w:r>
        <w:rPr>
          <w:spacing w:val="-3"/>
          <w:w w:val="105"/>
          <w:sz w:val="21"/>
        </w:rPr>
        <w:t>previous wills, </w:t>
      </w:r>
      <w:r>
        <w:rPr>
          <w:w w:val="105"/>
          <w:sz w:val="21"/>
        </w:rPr>
        <w:t>and possibly </w:t>
      </w:r>
      <w:r>
        <w:rPr>
          <w:spacing w:val="-3"/>
          <w:w w:val="105"/>
          <w:sz w:val="21"/>
        </w:rPr>
        <w:t>obtaining previous wills</w:t>
      </w:r>
      <w:r>
        <w:rPr>
          <w:spacing w:val="-12"/>
          <w:w w:val="105"/>
          <w:sz w:val="21"/>
        </w:rPr>
        <w:t> </w:t>
      </w:r>
      <w:r>
        <w:rPr>
          <w:w w:val="105"/>
          <w:position w:val="7"/>
          <w:sz w:val="12"/>
        </w:rPr>
        <w:t>95</w:t>
      </w:r>
    </w:p>
    <w:p>
      <w:pPr>
        <w:pStyle w:val="ListParagraph"/>
        <w:numPr>
          <w:ilvl w:val="2"/>
          <w:numId w:val="22"/>
        </w:numPr>
        <w:tabs>
          <w:tab w:pos="2721" w:val="left" w:leader="none"/>
          <w:tab w:pos="2722" w:val="left" w:leader="none"/>
        </w:tabs>
        <w:spacing w:line="240" w:lineRule="auto" w:before="122" w:after="0"/>
        <w:ind w:left="2721" w:right="0" w:hanging="340"/>
        <w:jc w:val="left"/>
        <w:rPr>
          <w:sz w:val="12"/>
        </w:rPr>
      </w:pPr>
      <w:r>
        <w:rPr>
          <w:w w:val="105"/>
          <w:sz w:val="21"/>
        </w:rPr>
        <w:t>the</w:t>
      </w:r>
      <w:r>
        <w:rPr>
          <w:spacing w:val="2"/>
          <w:w w:val="105"/>
          <w:sz w:val="21"/>
        </w:rPr>
        <w:t> </w:t>
      </w:r>
      <w:r>
        <w:rPr>
          <w:w w:val="105"/>
          <w:sz w:val="21"/>
        </w:rPr>
        <w:t>need</w:t>
      </w:r>
      <w:r>
        <w:rPr>
          <w:spacing w:val="3"/>
          <w:w w:val="105"/>
          <w:sz w:val="21"/>
        </w:rPr>
        <w:t> </w:t>
      </w:r>
      <w:r>
        <w:rPr>
          <w:spacing w:val="-3"/>
          <w:w w:val="105"/>
          <w:sz w:val="21"/>
        </w:rPr>
        <w:t>to</w:t>
      </w:r>
      <w:r>
        <w:rPr>
          <w:spacing w:val="3"/>
          <w:w w:val="105"/>
          <w:sz w:val="21"/>
        </w:rPr>
        <w:t> </w:t>
      </w:r>
      <w:r>
        <w:rPr>
          <w:spacing w:val="-3"/>
          <w:w w:val="105"/>
          <w:sz w:val="21"/>
        </w:rPr>
        <w:t>take</w:t>
      </w:r>
      <w:r>
        <w:rPr>
          <w:spacing w:val="2"/>
          <w:w w:val="105"/>
          <w:sz w:val="21"/>
        </w:rPr>
        <w:t> </w:t>
      </w:r>
      <w:r>
        <w:rPr>
          <w:w w:val="105"/>
          <w:sz w:val="21"/>
        </w:rPr>
        <w:t>and</w:t>
      </w:r>
      <w:r>
        <w:rPr>
          <w:spacing w:val="3"/>
          <w:w w:val="105"/>
          <w:sz w:val="21"/>
        </w:rPr>
        <w:t> </w:t>
      </w:r>
      <w:r>
        <w:rPr>
          <w:spacing w:val="-3"/>
          <w:w w:val="105"/>
          <w:sz w:val="21"/>
        </w:rPr>
        <w:t>retain</w:t>
      </w:r>
      <w:r>
        <w:rPr>
          <w:spacing w:val="3"/>
          <w:w w:val="105"/>
          <w:sz w:val="21"/>
        </w:rPr>
        <w:t> </w:t>
      </w:r>
      <w:r>
        <w:rPr>
          <w:w w:val="105"/>
          <w:sz w:val="21"/>
        </w:rPr>
        <w:t>detailed</w:t>
      </w:r>
      <w:r>
        <w:rPr>
          <w:spacing w:val="2"/>
          <w:w w:val="105"/>
          <w:sz w:val="21"/>
        </w:rPr>
        <w:t> </w:t>
      </w:r>
      <w:r>
        <w:rPr>
          <w:w w:val="105"/>
          <w:sz w:val="21"/>
        </w:rPr>
        <w:t>file</w:t>
      </w:r>
      <w:r>
        <w:rPr>
          <w:spacing w:val="3"/>
          <w:w w:val="105"/>
          <w:sz w:val="21"/>
        </w:rPr>
        <w:t> </w:t>
      </w:r>
      <w:r>
        <w:rPr>
          <w:spacing w:val="-3"/>
          <w:w w:val="105"/>
          <w:sz w:val="21"/>
        </w:rPr>
        <w:t>notes</w:t>
      </w:r>
      <w:r>
        <w:rPr>
          <w:spacing w:val="3"/>
          <w:w w:val="105"/>
          <w:sz w:val="21"/>
        </w:rPr>
        <w:t> </w:t>
      </w:r>
      <w:r>
        <w:rPr>
          <w:w w:val="105"/>
          <w:sz w:val="21"/>
        </w:rPr>
        <w:t>in</w:t>
      </w:r>
      <w:r>
        <w:rPr>
          <w:spacing w:val="2"/>
          <w:w w:val="105"/>
          <w:sz w:val="21"/>
        </w:rPr>
        <w:t> </w:t>
      </w:r>
      <w:r>
        <w:rPr>
          <w:w w:val="105"/>
          <w:sz w:val="21"/>
        </w:rPr>
        <w:t>the</w:t>
      </w:r>
      <w:r>
        <w:rPr>
          <w:spacing w:val="3"/>
          <w:w w:val="105"/>
          <w:sz w:val="21"/>
        </w:rPr>
        <w:t> </w:t>
      </w:r>
      <w:r>
        <w:rPr>
          <w:spacing w:val="-3"/>
          <w:w w:val="105"/>
          <w:sz w:val="21"/>
        </w:rPr>
        <w:t>event</w:t>
      </w:r>
      <w:r>
        <w:rPr>
          <w:spacing w:val="3"/>
          <w:w w:val="105"/>
          <w:sz w:val="21"/>
        </w:rPr>
        <w:t> </w:t>
      </w:r>
      <w:r>
        <w:rPr>
          <w:spacing w:val="-3"/>
          <w:w w:val="105"/>
          <w:sz w:val="21"/>
        </w:rPr>
        <w:t>that</w:t>
      </w:r>
      <w:r>
        <w:rPr>
          <w:spacing w:val="2"/>
          <w:w w:val="105"/>
          <w:sz w:val="21"/>
        </w:rPr>
        <w:t> </w:t>
      </w:r>
      <w:r>
        <w:rPr>
          <w:w w:val="105"/>
          <w:sz w:val="21"/>
        </w:rPr>
        <w:t>a</w:t>
      </w:r>
      <w:r>
        <w:rPr>
          <w:spacing w:val="3"/>
          <w:w w:val="105"/>
          <w:sz w:val="21"/>
        </w:rPr>
        <w:t> </w:t>
      </w:r>
      <w:r>
        <w:rPr>
          <w:spacing w:val="-3"/>
          <w:w w:val="105"/>
          <w:sz w:val="21"/>
        </w:rPr>
        <w:t>will</w:t>
      </w:r>
      <w:r>
        <w:rPr>
          <w:spacing w:val="3"/>
          <w:w w:val="105"/>
          <w:sz w:val="21"/>
        </w:rPr>
        <w:t> </w:t>
      </w:r>
      <w:r>
        <w:rPr>
          <w:w w:val="105"/>
          <w:sz w:val="21"/>
        </w:rPr>
        <w:t>is</w:t>
      </w:r>
      <w:r>
        <w:rPr>
          <w:spacing w:val="2"/>
          <w:w w:val="105"/>
          <w:sz w:val="21"/>
        </w:rPr>
        <w:t> </w:t>
      </w:r>
      <w:r>
        <w:rPr>
          <w:spacing w:val="-3"/>
          <w:w w:val="105"/>
          <w:sz w:val="21"/>
        </w:rPr>
        <w:t>challenged.</w:t>
      </w:r>
      <w:r>
        <w:rPr>
          <w:spacing w:val="-3"/>
          <w:w w:val="105"/>
          <w:position w:val="7"/>
          <w:sz w:val="12"/>
        </w:rPr>
        <w:t>96</w:t>
      </w:r>
    </w:p>
    <w:p>
      <w:pPr>
        <w:pStyle w:val="ListParagraph"/>
        <w:numPr>
          <w:ilvl w:val="1"/>
          <w:numId w:val="22"/>
        </w:numPr>
        <w:tabs>
          <w:tab w:pos="2380" w:val="left" w:leader="none"/>
          <w:tab w:pos="2381" w:val="left" w:leader="none"/>
        </w:tabs>
        <w:spacing w:line="242" w:lineRule="auto" w:before="124" w:after="0"/>
        <w:ind w:left="2381" w:right="2437" w:hanging="794"/>
        <w:jc w:val="left"/>
        <w:rPr>
          <w:sz w:val="12"/>
        </w:rPr>
      </w:pPr>
      <w:r>
        <w:rPr>
          <w:spacing w:val="-3"/>
          <w:w w:val="105"/>
          <w:sz w:val="21"/>
        </w:rPr>
        <w:t>Submissions </w:t>
      </w:r>
      <w:r>
        <w:rPr>
          <w:w w:val="105"/>
          <w:sz w:val="21"/>
        </w:rPr>
        <w:t>also </w:t>
      </w:r>
      <w:r>
        <w:rPr>
          <w:spacing w:val="-3"/>
          <w:w w:val="105"/>
          <w:sz w:val="21"/>
        </w:rPr>
        <w:t>highlighted </w:t>
      </w:r>
      <w:r>
        <w:rPr>
          <w:w w:val="105"/>
          <w:sz w:val="21"/>
        </w:rPr>
        <w:t>the need </w:t>
      </w:r>
      <w:r>
        <w:rPr>
          <w:spacing w:val="-3"/>
          <w:w w:val="105"/>
          <w:sz w:val="21"/>
        </w:rPr>
        <w:t>for </w:t>
      </w:r>
      <w:r>
        <w:rPr>
          <w:w w:val="105"/>
          <w:sz w:val="21"/>
        </w:rPr>
        <w:t>further education and </w:t>
      </w:r>
      <w:r>
        <w:rPr>
          <w:spacing w:val="-3"/>
          <w:w w:val="105"/>
          <w:sz w:val="21"/>
        </w:rPr>
        <w:t>training </w:t>
      </w:r>
      <w:r>
        <w:rPr>
          <w:w w:val="105"/>
          <w:sz w:val="21"/>
        </w:rPr>
        <w:t>of legal practitioners in this</w:t>
      </w:r>
      <w:r>
        <w:rPr>
          <w:spacing w:val="14"/>
          <w:w w:val="105"/>
          <w:sz w:val="21"/>
        </w:rPr>
        <w:t> </w:t>
      </w:r>
      <w:r>
        <w:rPr>
          <w:spacing w:val="-4"/>
          <w:w w:val="105"/>
          <w:sz w:val="21"/>
        </w:rPr>
        <w:t>area.</w:t>
      </w:r>
      <w:r>
        <w:rPr>
          <w:spacing w:val="-4"/>
          <w:w w:val="105"/>
          <w:position w:val="7"/>
          <w:sz w:val="12"/>
        </w:rPr>
        <w:t>97</w:t>
      </w:r>
    </w:p>
    <w:p>
      <w:pPr>
        <w:pStyle w:val="ListParagraph"/>
        <w:numPr>
          <w:ilvl w:val="1"/>
          <w:numId w:val="22"/>
        </w:numPr>
        <w:tabs>
          <w:tab w:pos="2381" w:val="left" w:leader="none"/>
          <w:tab w:pos="2382" w:val="left" w:leader="none"/>
        </w:tabs>
        <w:spacing w:line="242" w:lineRule="auto" w:before="122" w:after="0"/>
        <w:ind w:left="2381" w:right="1598" w:hanging="794"/>
        <w:jc w:val="left"/>
        <w:rPr>
          <w:sz w:val="21"/>
        </w:rPr>
      </w:pPr>
      <w:r>
        <w:rPr>
          <w:sz w:val="21"/>
        </w:rPr>
        <w:t>Although the Law </w:t>
      </w:r>
      <w:r>
        <w:rPr>
          <w:spacing w:val="-3"/>
          <w:sz w:val="21"/>
        </w:rPr>
        <w:t>Institute </w:t>
      </w:r>
      <w:r>
        <w:rPr>
          <w:sz w:val="21"/>
        </w:rPr>
        <w:t>of Victoria is </w:t>
      </w:r>
      <w:r>
        <w:rPr>
          <w:spacing w:val="-3"/>
          <w:sz w:val="21"/>
        </w:rPr>
        <w:t>preparing guidelines for </w:t>
      </w:r>
      <w:r>
        <w:rPr>
          <w:sz w:val="21"/>
        </w:rPr>
        <w:t>legal practitioners on assessing a </w:t>
      </w:r>
      <w:r>
        <w:rPr>
          <w:spacing w:val="-3"/>
          <w:sz w:val="21"/>
        </w:rPr>
        <w:t>client’s </w:t>
      </w:r>
      <w:r>
        <w:rPr>
          <w:sz w:val="21"/>
        </w:rPr>
        <w:t>capacity when it is in doubt,</w:t>
      </w:r>
      <w:r>
        <w:rPr>
          <w:position w:val="7"/>
          <w:sz w:val="12"/>
        </w:rPr>
        <w:t>98 </w:t>
      </w:r>
      <w:r>
        <w:rPr>
          <w:sz w:val="21"/>
        </w:rPr>
        <w:t>they </w:t>
      </w:r>
      <w:r>
        <w:rPr>
          <w:spacing w:val="-3"/>
          <w:sz w:val="21"/>
        </w:rPr>
        <w:t>will </w:t>
      </w:r>
      <w:r>
        <w:rPr>
          <w:spacing w:val="-2"/>
          <w:sz w:val="21"/>
        </w:rPr>
        <w:t>not </w:t>
      </w:r>
      <w:r>
        <w:rPr>
          <w:sz w:val="21"/>
        </w:rPr>
        <w:t>specifically deal with </w:t>
      </w:r>
      <w:r>
        <w:rPr>
          <w:spacing w:val="-3"/>
          <w:sz w:val="21"/>
        </w:rPr>
        <w:t>undue influence.</w:t>
      </w:r>
    </w:p>
    <w:p>
      <w:pPr>
        <w:pStyle w:val="ListParagraph"/>
        <w:numPr>
          <w:ilvl w:val="1"/>
          <w:numId w:val="22"/>
        </w:numPr>
        <w:tabs>
          <w:tab w:pos="2381" w:val="left" w:leader="none"/>
          <w:tab w:pos="2382" w:val="left" w:leader="none"/>
        </w:tabs>
        <w:spacing w:line="242" w:lineRule="auto" w:before="123" w:after="0"/>
        <w:ind w:left="2381" w:right="1928" w:hanging="794"/>
        <w:jc w:val="left"/>
        <w:rPr>
          <w:sz w:val="21"/>
        </w:rPr>
      </w:pPr>
      <w:r>
        <w:rPr>
          <w:sz w:val="21"/>
        </w:rPr>
        <w:t>The </w:t>
      </w:r>
      <w:r>
        <w:rPr>
          <w:spacing w:val="-3"/>
          <w:sz w:val="21"/>
        </w:rPr>
        <w:t>Commission therefore recommends that </w:t>
      </w:r>
      <w:r>
        <w:rPr>
          <w:sz w:val="21"/>
        </w:rPr>
        <w:t>the Law </w:t>
      </w:r>
      <w:r>
        <w:rPr>
          <w:spacing w:val="-3"/>
          <w:sz w:val="21"/>
        </w:rPr>
        <w:t>Institute </w:t>
      </w:r>
      <w:r>
        <w:rPr>
          <w:sz w:val="21"/>
        </w:rPr>
        <w:t>of Victoria </w:t>
      </w:r>
      <w:r>
        <w:rPr>
          <w:spacing w:val="-3"/>
          <w:sz w:val="21"/>
        </w:rPr>
        <w:t>prepare </w:t>
      </w:r>
      <w:r>
        <w:rPr>
          <w:sz w:val="21"/>
        </w:rPr>
        <w:t>best practice </w:t>
      </w:r>
      <w:r>
        <w:rPr>
          <w:spacing w:val="-3"/>
          <w:sz w:val="21"/>
        </w:rPr>
        <w:t>guidelines for </w:t>
      </w:r>
      <w:r>
        <w:rPr>
          <w:sz w:val="21"/>
        </w:rPr>
        <w:t>legal practitioners </w:t>
      </w:r>
      <w:r>
        <w:rPr>
          <w:spacing w:val="-3"/>
          <w:sz w:val="21"/>
        </w:rPr>
        <w:t>that are </w:t>
      </w:r>
      <w:r>
        <w:rPr>
          <w:sz w:val="21"/>
        </w:rPr>
        <w:t>designed </w:t>
      </w:r>
      <w:r>
        <w:rPr>
          <w:spacing w:val="-3"/>
          <w:sz w:val="21"/>
        </w:rPr>
        <w:t>to reduce </w:t>
      </w:r>
      <w:r>
        <w:rPr>
          <w:sz w:val="21"/>
        </w:rPr>
        <w:t>the risk of </w:t>
      </w:r>
      <w:r>
        <w:rPr>
          <w:spacing w:val="-3"/>
          <w:sz w:val="21"/>
        </w:rPr>
        <w:t>undue influence. </w:t>
      </w:r>
      <w:r>
        <w:rPr>
          <w:sz w:val="21"/>
        </w:rPr>
        <w:t>These </w:t>
      </w:r>
      <w:r>
        <w:rPr>
          <w:spacing w:val="-3"/>
          <w:sz w:val="21"/>
        </w:rPr>
        <w:t>guidelines </w:t>
      </w:r>
      <w:r>
        <w:rPr>
          <w:sz w:val="21"/>
        </w:rPr>
        <w:t>would be in addition </w:t>
      </w:r>
      <w:r>
        <w:rPr>
          <w:spacing w:val="-3"/>
          <w:sz w:val="21"/>
        </w:rPr>
        <w:t>to </w:t>
      </w:r>
      <w:r>
        <w:rPr>
          <w:sz w:val="21"/>
        </w:rPr>
        <w:t>the </w:t>
      </w:r>
      <w:r>
        <w:rPr>
          <w:spacing w:val="-3"/>
          <w:sz w:val="21"/>
        </w:rPr>
        <w:t>forthcoming guidelines  </w:t>
      </w:r>
      <w:r>
        <w:rPr>
          <w:sz w:val="21"/>
        </w:rPr>
        <w:t>on capacity and should </w:t>
      </w:r>
      <w:r>
        <w:rPr>
          <w:spacing w:val="-4"/>
          <w:sz w:val="21"/>
        </w:rPr>
        <w:t>cover,among </w:t>
      </w:r>
      <w:r>
        <w:rPr>
          <w:sz w:val="21"/>
        </w:rPr>
        <w:t>other</w:t>
      </w:r>
      <w:r>
        <w:rPr>
          <w:spacing w:val="8"/>
          <w:sz w:val="21"/>
        </w:rPr>
        <w:t> </w:t>
      </w:r>
      <w:r>
        <w:rPr>
          <w:sz w:val="21"/>
        </w:rPr>
        <w:t>things:</w:t>
      </w:r>
    </w:p>
    <w:p>
      <w:pPr>
        <w:pStyle w:val="ListParagraph"/>
        <w:numPr>
          <w:ilvl w:val="2"/>
          <w:numId w:val="22"/>
        </w:numPr>
        <w:tabs>
          <w:tab w:pos="2721" w:val="left" w:leader="none"/>
          <w:tab w:pos="2722" w:val="left" w:leader="none"/>
        </w:tabs>
        <w:spacing w:line="240" w:lineRule="auto" w:before="125" w:after="0"/>
        <w:ind w:left="2721" w:right="0" w:hanging="340"/>
        <w:jc w:val="left"/>
        <w:rPr>
          <w:sz w:val="21"/>
        </w:rPr>
      </w:pPr>
      <w:r>
        <w:rPr>
          <w:w w:val="105"/>
          <w:sz w:val="21"/>
        </w:rPr>
        <w:t>the importance of taking detailed instructions </w:t>
      </w:r>
      <w:r>
        <w:rPr>
          <w:spacing w:val="-3"/>
          <w:w w:val="105"/>
          <w:sz w:val="21"/>
        </w:rPr>
        <w:t>from </w:t>
      </w:r>
      <w:r>
        <w:rPr>
          <w:w w:val="105"/>
          <w:sz w:val="21"/>
        </w:rPr>
        <w:t>the </w:t>
      </w:r>
      <w:r>
        <w:rPr>
          <w:spacing w:val="-3"/>
          <w:w w:val="105"/>
          <w:sz w:val="21"/>
        </w:rPr>
        <w:t>will-maker</w:t>
      </w:r>
      <w:r>
        <w:rPr>
          <w:spacing w:val="28"/>
          <w:w w:val="105"/>
          <w:sz w:val="21"/>
        </w:rPr>
        <w:t> </w:t>
      </w:r>
      <w:r>
        <w:rPr>
          <w:w w:val="105"/>
          <w:sz w:val="21"/>
        </w:rPr>
        <w:t>alone</w:t>
      </w:r>
    </w:p>
    <w:p>
      <w:pPr>
        <w:pStyle w:val="ListParagraph"/>
        <w:numPr>
          <w:ilvl w:val="2"/>
          <w:numId w:val="22"/>
        </w:numPr>
        <w:tabs>
          <w:tab w:pos="2721" w:val="left" w:leader="none"/>
          <w:tab w:pos="2722" w:val="left" w:leader="none"/>
        </w:tabs>
        <w:spacing w:line="240" w:lineRule="auto" w:before="123" w:after="0"/>
        <w:ind w:left="2721" w:right="0" w:hanging="340"/>
        <w:jc w:val="left"/>
        <w:rPr>
          <w:sz w:val="21"/>
        </w:rPr>
      </w:pPr>
      <w:r>
        <w:rPr>
          <w:spacing w:val="-2"/>
          <w:w w:val="105"/>
          <w:sz w:val="21"/>
        </w:rPr>
        <w:t>common </w:t>
      </w:r>
      <w:r>
        <w:rPr>
          <w:w w:val="105"/>
          <w:sz w:val="21"/>
        </w:rPr>
        <w:t>risk factors associated with </w:t>
      </w:r>
      <w:r>
        <w:rPr>
          <w:spacing w:val="-3"/>
          <w:w w:val="105"/>
          <w:sz w:val="21"/>
        </w:rPr>
        <w:t>undue</w:t>
      </w:r>
      <w:r>
        <w:rPr>
          <w:spacing w:val="29"/>
          <w:w w:val="105"/>
          <w:sz w:val="21"/>
        </w:rPr>
        <w:t> </w:t>
      </w:r>
      <w:r>
        <w:rPr>
          <w:spacing w:val="-3"/>
          <w:w w:val="105"/>
          <w:sz w:val="21"/>
        </w:rPr>
        <w:t>influence</w:t>
      </w:r>
    </w:p>
    <w:p>
      <w:pPr>
        <w:pStyle w:val="ListParagraph"/>
        <w:numPr>
          <w:ilvl w:val="2"/>
          <w:numId w:val="22"/>
        </w:numPr>
        <w:tabs>
          <w:tab w:pos="2721" w:val="left" w:leader="none"/>
          <w:tab w:pos="2722" w:val="left" w:leader="none"/>
        </w:tabs>
        <w:spacing w:line="240" w:lineRule="auto" w:before="124" w:after="0"/>
        <w:ind w:left="2721" w:right="0" w:hanging="340"/>
        <w:jc w:val="left"/>
        <w:rPr>
          <w:sz w:val="21"/>
        </w:rPr>
      </w:pPr>
      <w:r>
        <w:rPr>
          <w:w w:val="105"/>
          <w:sz w:val="21"/>
        </w:rPr>
        <w:t>the</w:t>
      </w:r>
      <w:r>
        <w:rPr>
          <w:spacing w:val="3"/>
          <w:w w:val="105"/>
          <w:sz w:val="21"/>
        </w:rPr>
        <w:t> </w:t>
      </w:r>
      <w:r>
        <w:rPr>
          <w:w w:val="105"/>
          <w:sz w:val="21"/>
        </w:rPr>
        <w:t>need</w:t>
      </w:r>
      <w:r>
        <w:rPr>
          <w:spacing w:val="3"/>
          <w:w w:val="105"/>
          <w:sz w:val="21"/>
        </w:rPr>
        <w:t> </w:t>
      </w:r>
      <w:r>
        <w:rPr>
          <w:spacing w:val="-3"/>
          <w:w w:val="105"/>
          <w:sz w:val="21"/>
        </w:rPr>
        <w:t>to</w:t>
      </w:r>
      <w:r>
        <w:rPr>
          <w:spacing w:val="3"/>
          <w:w w:val="105"/>
          <w:sz w:val="21"/>
        </w:rPr>
        <w:t> </w:t>
      </w:r>
      <w:r>
        <w:rPr>
          <w:spacing w:val="-3"/>
          <w:w w:val="105"/>
          <w:sz w:val="21"/>
        </w:rPr>
        <w:t>keep</w:t>
      </w:r>
      <w:r>
        <w:rPr>
          <w:spacing w:val="3"/>
          <w:w w:val="105"/>
          <w:sz w:val="21"/>
        </w:rPr>
        <w:t> </w:t>
      </w:r>
      <w:r>
        <w:rPr>
          <w:w w:val="105"/>
          <w:sz w:val="21"/>
        </w:rPr>
        <w:t>detailed</w:t>
      </w:r>
      <w:r>
        <w:rPr>
          <w:spacing w:val="4"/>
          <w:w w:val="105"/>
          <w:sz w:val="21"/>
        </w:rPr>
        <w:t> </w:t>
      </w:r>
      <w:r>
        <w:rPr>
          <w:w w:val="105"/>
          <w:sz w:val="21"/>
        </w:rPr>
        <w:t>file</w:t>
      </w:r>
      <w:r>
        <w:rPr>
          <w:spacing w:val="3"/>
          <w:w w:val="105"/>
          <w:sz w:val="21"/>
        </w:rPr>
        <w:t> </w:t>
      </w:r>
      <w:r>
        <w:rPr>
          <w:spacing w:val="-3"/>
          <w:w w:val="105"/>
          <w:sz w:val="21"/>
        </w:rPr>
        <w:t>notes</w:t>
      </w:r>
      <w:r>
        <w:rPr>
          <w:spacing w:val="3"/>
          <w:w w:val="105"/>
          <w:sz w:val="21"/>
        </w:rPr>
        <w:t> </w:t>
      </w:r>
      <w:r>
        <w:rPr>
          <w:w w:val="105"/>
          <w:sz w:val="21"/>
        </w:rPr>
        <w:t>and</w:t>
      </w:r>
      <w:r>
        <w:rPr>
          <w:spacing w:val="3"/>
          <w:w w:val="105"/>
          <w:sz w:val="21"/>
        </w:rPr>
        <w:t> </w:t>
      </w:r>
      <w:r>
        <w:rPr>
          <w:spacing w:val="-4"/>
          <w:w w:val="105"/>
          <w:sz w:val="21"/>
        </w:rPr>
        <w:t>make</w:t>
      </w:r>
      <w:r>
        <w:rPr>
          <w:spacing w:val="4"/>
          <w:w w:val="105"/>
          <w:sz w:val="21"/>
        </w:rPr>
        <w:t> </w:t>
      </w:r>
      <w:r>
        <w:rPr>
          <w:spacing w:val="-3"/>
          <w:w w:val="105"/>
          <w:sz w:val="21"/>
        </w:rPr>
        <w:t>enquiries</w:t>
      </w:r>
      <w:r>
        <w:rPr>
          <w:spacing w:val="3"/>
          <w:w w:val="105"/>
          <w:sz w:val="21"/>
        </w:rPr>
        <w:t> </w:t>
      </w:r>
      <w:r>
        <w:rPr>
          <w:spacing w:val="-3"/>
          <w:w w:val="105"/>
          <w:sz w:val="21"/>
        </w:rPr>
        <w:t>regarding</w:t>
      </w:r>
      <w:r>
        <w:rPr>
          <w:spacing w:val="3"/>
          <w:w w:val="105"/>
          <w:sz w:val="21"/>
        </w:rPr>
        <w:t> </w:t>
      </w:r>
      <w:r>
        <w:rPr>
          <w:spacing w:val="-3"/>
          <w:w w:val="105"/>
          <w:sz w:val="21"/>
        </w:rPr>
        <w:t>previous</w:t>
      </w:r>
      <w:r>
        <w:rPr>
          <w:spacing w:val="3"/>
          <w:w w:val="105"/>
          <w:sz w:val="21"/>
        </w:rPr>
        <w:t> </w:t>
      </w:r>
      <w:r>
        <w:rPr>
          <w:spacing w:val="-3"/>
          <w:w w:val="105"/>
          <w:sz w:val="21"/>
        </w:rPr>
        <w:t>wills.</w:t>
      </w:r>
    </w:p>
    <w:p>
      <w:pPr>
        <w:pStyle w:val="ListParagraph"/>
        <w:numPr>
          <w:ilvl w:val="1"/>
          <w:numId w:val="22"/>
        </w:numPr>
        <w:tabs>
          <w:tab w:pos="2381" w:val="left" w:leader="none"/>
          <w:tab w:pos="2382" w:val="left" w:leader="none"/>
        </w:tabs>
        <w:spacing w:line="242" w:lineRule="auto" w:before="124" w:after="0"/>
        <w:ind w:left="2381" w:right="1808" w:hanging="794"/>
        <w:jc w:val="left"/>
        <w:rPr>
          <w:sz w:val="12"/>
        </w:rPr>
      </w:pPr>
      <w:r>
        <w:rPr>
          <w:sz w:val="21"/>
        </w:rPr>
        <w:t>In </w:t>
      </w:r>
      <w:r>
        <w:rPr>
          <w:spacing w:val="-3"/>
          <w:sz w:val="21"/>
        </w:rPr>
        <w:t>preparing </w:t>
      </w:r>
      <w:r>
        <w:rPr>
          <w:sz w:val="21"/>
        </w:rPr>
        <w:t>the </w:t>
      </w:r>
      <w:r>
        <w:rPr>
          <w:spacing w:val="-3"/>
          <w:sz w:val="21"/>
        </w:rPr>
        <w:t>guidelines </w:t>
      </w:r>
      <w:r>
        <w:rPr>
          <w:sz w:val="21"/>
        </w:rPr>
        <w:t>on </w:t>
      </w:r>
      <w:r>
        <w:rPr>
          <w:spacing w:val="-3"/>
          <w:sz w:val="21"/>
        </w:rPr>
        <w:t>undue  influence,  </w:t>
      </w:r>
      <w:r>
        <w:rPr>
          <w:sz w:val="21"/>
        </w:rPr>
        <w:t>the Law </w:t>
      </w:r>
      <w:r>
        <w:rPr>
          <w:spacing w:val="-3"/>
          <w:sz w:val="21"/>
        </w:rPr>
        <w:t>Institute</w:t>
      </w:r>
      <w:r>
        <w:rPr>
          <w:spacing w:val="41"/>
          <w:sz w:val="21"/>
        </w:rPr>
        <w:t> </w:t>
      </w:r>
      <w:r>
        <w:rPr>
          <w:sz w:val="21"/>
        </w:rPr>
        <w:t>of Victoria </w:t>
      </w:r>
      <w:r>
        <w:rPr>
          <w:spacing w:val="-3"/>
          <w:sz w:val="21"/>
        </w:rPr>
        <w:t>will  </w:t>
      </w:r>
      <w:r>
        <w:rPr>
          <w:sz w:val="21"/>
        </w:rPr>
        <w:t>be able  </w:t>
      </w:r>
      <w:r>
        <w:rPr>
          <w:spacing w:val="-3"/>
          <w:sz w:val="21"/>
        </w:rPr>
        <w:t>to draw from </w:t>
      </w:r>
      <w:r>
        <w:rPr>
          <w:sz w:val="21"/>
        </w:rPr>
        <w:t>existing guides and </w:t>
      </w:r>
      <w:r>
        <w:rPr>
          <w:spacing w:val="-3"/>
          <w:sz w:val="21"/>
        </w:rPr>
        <w:t>resources that </w:t>
      </w:r>
      <w:r>
        <w:rPr>
          <w:sz w:val="21"/>
        </w:rPr>
        <w:t>document best practice when taking instructions </w:t>
      </w:r>
      <w:r>
        <w:rPr>
          <w:spacing w:val="-3"/>
          <w:sz w:val="21"/>
        </w:rPr>
        <w:t>for </w:t>
      </w:r>
      <w:r>
        <w:rPr>
          <w:sz w:val="21"/>
        </w:rPr>
        <w:t>a</w:t>
      </w:r>
      <w:r>
        <w:rPr>
          <w:spacing w:val="28"/>
          <w:sz w:val="21"/>
        </w:rPr>
        <w:t> </w:t>
      </w:r>
      <w:r>
        <w:rPr>
          <w:spacing w:val="-3"/>
          <w:sz w:val="21"/>
        </w:rPr>
        <w:t>will.</w:t>
      </w:r>
      <w:r>
        <w:rPr>
          <w:spacing w:val="-3"/>
          <w:position w:val="7"/>
          <w:sz w:val="12"/>
        </w:rPr>
        <w:t>99</w:t>
      </w:r>
    </w:p>
    <w:p>
      <w:pPr>
        <w:pStyle w:val="BodyText"/>
        <w:spacing w:before="10"/>
        <w:rPr>
          <w:sz w:val="23"/>
        </w:rPr>
      </w:pPr>
      <w:r>
        <w:rPr/>
        <w:pict>
          <v:line style="position:absolute;mso-position-horizontal-relative:page;mso-position-vertical-relative:paragraph;z-index:56;mso-wrap-distance-left:0;mso-wrap-distance-right:0" from="79.370003pt,17.016661pt" to="515.905003pt,17.016661pt" stroked="true" strokeweight="1pt" strokecolor="#f9ceca">
            <v:stroke dashstyle="solid"/>
            <w10:wrap type="topAndBottom"/>
          </v:line>
        </w:pict>
      </w:r>
    </w:p>
    <w:p>
      <w:pPr>
        <w:pStyle w:val="ListParagraph"/>
        <w:numPr>
          <w:ilvl w:val="0"/>
          <w:numId w:val="25"/>
        </w:numPr>
        <w:tabs>
          <w:tab w:pos="2381" w:val="left" w:leader="none"/>
          <w:tab w:pos="2382" w:val="left" w:leader="none"/>
        </w:tabs>
        <w:spacing w:line="240" w:lineRule="auto" w:before="117" w:after="0"/>
        <w:ind w:left="2381" w:right="2421" w:hanging="794"/>
        <w:jc w:val="left"/>
        <w:rPr>
          <w:sz w:val="13"/>
        </w:rPr>
      </w:pPr>
      <w:r>
        <w:rPr>
          <w:w w:val="105"/>
          <w:sz w:val="13"/>
        </w:rPr>
        <w:t>Submissions 21 </w:t>
      </w:r>
      <w:r>
        <w:rPr>
          <w:spacing w:val="2"/>
          <w:w w:val="105"/>
          <w:sz w:val="13"/>
        </w:rPr>
        <w:t>(Office </w:t>
      </w:r>
      <w:r>
        <w:rPr>
          <w:w w:val="105"/>
          <w:sz w:val="13"/>
        </w:rPr>
        <w:t>of the Public Advocate); 25 </w:t>
      </w:r>
      <w:r>
        <w:rPr>
          <w:spacing w:val="2"/>
          <w:w w:val="105"/>
          <w:sz w:val="13"/>
        </w:rPr>
        <w:t>(Moores </w:t>
      </w:r>
      <w:r>
        <w:rPr>
          <w:w w:val="105"/>
          <w:sz w:val="13"/>
        </w:rPr>
        <w:t>Legal); 26 </w:t>
      </w:r>
      <w:r>
        <w:rPr>
          <w:spacing w:val="2"/>
          <w:w w:val="105"/>
          <w:sz w:val="13"/>
        </w:rPr>
        <w:t>(Rigby </w:t>
      </w:r>
      <w:r>
        <w:rPr>
          <w:w w:val="105"/>
          <w:sz w:val="13"/>
        </w:rPr>
        <w:t>Cooke </w:t>
      </w:r>
      <w:r>
        <w:rPr>
          <w:spacing w:val="2"/>
          <w:w w:val="105"/>
          <w:sz w:val="13"/>
        </w:rPr>
        <w:t>Lawyers); </w:t>
      </w:r>
      <w:r>
        <w:rPr>
          <w:w w:val="105"/>
          <w:sz w:val="13"/>
        </w:rPr>
        <w:t>30a </w:t>
      </w:r>
      <w:r>
        <w:rPr>
          <w:spacing w:val="3"/>
          <w:w w:val="105"/>
          <w:sz w:val="13"/>
        </w:rPr>
        <w:t>(Law </w:t>
      </w:r>
      <w:r>
        <w:rPr>
          <w:w w:val="105"/>
          <w:sz w:val="13"/>
        </w:rPr>
        <w:t>Institute of </w:t>
      </w:r>
      <w:r>
        <w:rPr>
          <w:spacing w:val="2"/>
          <w:w w:val="105"/>
          <w:sz w:val="13"/>
        </w:rPr>
        <w:t>Victoria); </w:t>
      </w:r>
      <w:r>
        <w:rPr>
          <w:w w:val="105"/>
          <w:sz w:val="13"/>
        </w:rPr>
        <w:t>32</w:t>
      </w:r>
      <w:r>
        <w:rPr>
          <w:spacing w:val="5"/>
          <w:w w:val="105"/>
          <w:sz w:val="13"/>
        </w:rPr>
        <w:t> </w:t>
      </w:r>
      <w:r>
        <w:rPr>
          <w:spacing w:val="2"/>
          <w:w w:val="105"/>
          <w:sz w:val="13"/>
        </w:rPr>
        <w:t>(The</w:t>
      </w:r>
      <w:r>
        <w:rPr>
          <w:spacing w:val="5"/>
          <w:w w:val="105"/>
          <w:sz w:val="13"/>
        </w:rPr>
        <w:t> </w:t>
      </w:r>
      <w:r>
        <w:rPr>
          <w:w w:val="105"/>
          <w:sz w:val="13"/>
        </w:rPr>
        <w:t>Institute</w:t>
      </w:r>
      <w:r>
        <w:rPr>
          <w:spacing w:val="5"/>
          <w:w w:val="105"/>
          <w:sz w:val="13"/>
        </w:rPr>
        <w:t> </w:t>
      </w:r>
      <w:r>
        <w:rPr>
          <w:w w:val="105"/>
          <w:sz w:val="13"/>
        </w:rPr>
        <w:t>of</w:t>
      </w:r>
      <w:r>
        <w:rPr>
          <w:spacing w:val="6"/>
          <w:w w:val="105"/>
          <w:sz w:val="13"/>
        </w:rPr>
        <w:t> </w:t>
      </w:r>
      <w:r>
        <w:rPr>
          <w:w w:val="105"/>
          <w:sz w:val="13"/>
        </w:rPr>
        <w:t>Legal</w:t>
      </w:r>
      <w:r>
        <w:rPr>
          <w:spacing w:val="5"/>
          <w:w w:val="105"/>
          <w:sz w:val="13"/>
        </w:rPr>
        <w:t> </w:t>
      </w:r>
      <w:r>
        <w:rPr>
          <w:w w:val="105"/>
          <w:sz w:val="13"/>
        </w:rPr>
        <w:t>Executives).</w:t>
      </w:r>
      <w:r>
        <w:rPr>
          <w:spacing w:val="5"/>
          <w:w w:val="105"/>
          <w:sz w:val="13"/>
        </w:rPr>
        <w:t> </w:t>
      </w:r>
      <w:r>
        <w:rPr>
          <w:w w:val="105"/>
          <w:sz w:val="13"/>
        </w:rPr>
        <w:t>See</w:t>
      </w:r>
      <w:r>
        <w:rPr>
          <w:spacing w:val="5"/>
          <w:w w:val="105"/>
          <w:sz w:val="13"/>
        </w:rPr>
        <w:t> </w:t>
      </w:r>
      <w:r>
        <w:rPr>
          <w:w w:val="105"/>
          <w:sz w:val="13"/>
        </w:rPr>
        <w:t>also</w:t>
      </w:r>
      <w:r>
        <w:rPr>
          <w:spacing w:val="6"/>
          <w:w w:val="105"/>
          <w:sz w:val="13"/>
        </w:rPr>
        <w:t> </w:t>
      </w:r>
      <w:r>
        <w:rPr>
          <w:i/>
          <w:w w:val="105"/>
          <w:sz w:val="13"/>
        </w:rPr>
        <w:t>Dickman</w:t>
      </w:r>
      <w:r>
        <w:rPr>
          <w:i/>
          <w:spacing w:val="4"/>
          <w:w w:val="105"/>
          <w:sz w:val="13"/>
        </w:rPr>
        <w:t> </w:t>
      </w:r>
      <w:r>
        <w:rPr>
          <w:i/>
          <w:w w:val="105"/>
          <w:sz w:val="13"/>
        </w:rPr>
        <w:t>v</w:t>
      </w:r>
      <w:r>
        <w:rPr>
          <w:i/>
          <w:spacing w:val="4"/>
          <w:w w:val="105"/>
          <w:sz w:val="13"/>
        </w:rPr>
        <w:t> </w:t>
      </w:r>
      <w:r>
        <w:rPr>
          <w:i/>
          <w:w w:val="105"/>
          <w:sz w:val="13"/>
        </w:rPr>
        <w:t>Holley</w:t>
      </w:r>
      <w:r>
        <w:rPr>
          <w:i/>
          <w:spacing w:val="5"/>
          <w:w w:val="105"/>
          <w:sz w:val="13"/>
        </w:rPr>
        <w:t> </w:t>
      </w:r>
      <w:r>
        <w:rPr>
          <w:w w:val="105"/>
          <w:sz w:val="13"/>
        </w:rPr>
        <w:t>[2013]</w:t>
      </w:r>
      <w:r>
        <w:rPr>
          <w:spacing w:val="6"/>
          <w:w w:val="105"/>
          <w:sz w:val="13"/>
        </w:rPr>
        <w:t> </w:t>
      </w:r>
      <w:r>
        <w:rPr>
          <w:w w:val="105"/>
          <w:sz w:val="13"/>
        </w:rPr>
        <w:t>NSWSC</w:t>
      </w:r>
      <w:r>
        <w:rPr>
          <w:spacing w:val="5"/>
          <w:w w:val="105"/>
          <w:sz w:val="13"/>
        </w:rPr>
        <w:t> </w:t>
      </w:r>
      <w:r>
        <w:rPr>
          <w:w w:val="105"/>
          <w:sz w:val="13"/>
        </w:rPr>
        <w:t>18</w:t>
      </w:r>
      <w:r>
        <w:rPr>
          <w:spacing w:val="5"/>
          <w:w w:val="105"/>
          <w:sz w:val="13"/>
        </w:rPr>
        <w:t> </w:t>
      </w:r>
      <w:r>
        <w:rPr>
          <w:w w:val="105"/>
          <w:sz w:val="13"/>
        </w:rPr>
        <w:t>(31</w:t>
      </w:r>
      <w:r>
        <w:rPr>
          <w:spacing w:val="5"/>
          <w:w w:val="105"/>
          <w:sz w:val="13"/>
        </w:rPr>
        <w:t> </w:t>
      </w:r>
      <w:r>
        <w:rPr>
          <w:w w:val="105"/>
          <w:sz w:val="13"/>
        </w:rPr>
        <w:t>January</w:t>
      </w:r>
      <w:r>
        <w:rPr>
          <w:spacing w:val="6"/>
          <w:w w:val="105"/>
          <w:sz w:val="13"/>
        </w:rPr>
        <w:t> </w:t>
      </w:r>
      <w:r>
        <w:rPr>
          <w:w w:val="105"/>
          <w:sz w:val="13"/>
        </w:rPr>
        <w:t>2013)</w:t>
      </w:r>
      <w:r>
        <w:rPr>
          <w:spacing w:val="5"/>
          <w:w w:val="105"/>
          <w:sz w:val="13"/>
        </w:rPr>
        <w:t> </w:t>
      </w:r>
      <w:r>
        <w:rPr>
          <w:w w:val="105"/>
          <w:sz w:val="13"/>
        </w:rPr>
        <w:t>[164].</w:t>
      </w:r>
    </w:p>
    <w:p>
      <w:pPr>
        <w:pStyle w:val="ListParagraph"/>
        <w:numPr>
          <w:ilvl w:val="0"/>
          <w:numId w:val="25"/>
        </w:numPr>
        <w:tabs>
          <w:tab w:pos="2381" w:val="left" w:leader="none"/>
          <w:tab w:pos="2382" w:val="left" w:leader="none"/>
        </w:tabs>
        <w:spacing w:line="240" w:lineRule="auto" w:before="3" w:after="0"/>
        <w:ind w:left="2381" w:right="1600" w:hanging="794"/>
        <w:jc w:val="left"/>
        <w:rPr>
          <w:sz w:val="13"/>
        </w:rPr>
      </w:pPr>
      <w:r>
        <w:rPr>
          <w:w w:val="105"/>
          <w:sz w:val="13"/>
        </w:rPr>
        <w:t>Submissions </w:t>
      </w:r>
      <w:r>
        <w:rPr>
          <w:spacing w:val="-3"/>
          <w:w w:val="105"/>
          <w:sz w:val="13"/>
        </w:rPr>
        <w:t>14 </w:t>
      </w:r>
      <w:r>
        <w:rPr>
          <w:w w:val="105"/>
          <w:sz w:val="13"/>
        </w:rPr>
        <w:t>(Commercial Bar </w:t>
      </w:r>
      <w:r>
        <w:rPr>
          <w:spacing w:val="2"/>
          <w:w w:val="105"/>
          <w:sz w:val="13"/>
        </w:rPr>
        <w:t>Association); </w:t>
      </w:r>
      <w:r>
        <w:rPr>
          <w:w w:val="105"/>
          <w:sz w:val="13"/>
        </w:rPr>
        <w:t>21 </w:t>
      </w:r>
      <w:r>
        <w:rPr>
          <w:spacing w:val="2"/>
          <w:w w:val="105"/>
          <w:sz w:val="13"/>
        </w:rPr>
        <w:t>(Office </w:t>
      </w:r>
      <w:r>
        <w:rPr>
          <w:w w:val="105"/>
          <w:sz w:val="13"/>
        </w:rPr>
        <w:t>of the Public Advocate); 25 </w:t>
      </w:r>
      <w:r>
        <w:rPr>
          <w:spacing w:val="2"/>
          <w:w w:val="105"/>
          <w:sz w:val="13"/>
        </w:rPr>
        <w:t>(Moores </w:t>
      </w:r>
      <w:r>
        <w:rPr>
          <w:w w:val="105"/>
          <w:sz w:val="13"/>
        </w:rPr>
        <w:t>Legal); 26 </w:t>
      </w:r>
      <w:r>
        <w:rPr>
          <w:spacing w:val="2"/>
          <w:w w:val="105"/>
          <w:sz w:val="13"/>
        </w:rPr>
        <w:t>(Rigby </w:t>
      </w:r>
      <w:r>
        <w:rPr>
          <w:w w:val="105"/>
          <w:sz w:val="13"/>
        </w:rPr>
        <w:t>Cooke </w:t>
      </w:r>
      <w:r>
        <w:rPr>
          <w:spacing w:val="2"/>
          <w:w w:val="105"/>
          <w:sz w:val="13"/>
        </w:rPr>
        <w:t>Lawyers); </w:t>
      </w:r>
      <w:r>
        <w:rPr>
          <w:w w:val="105"/>
          <w:sz w:val="13"/>
        </w:rPr>
        <w:t>31 (Seniors Rights</w:t>
      </w:r>
      <w:r>
        <w:rPr>
          <w:spacing w:val="5"/>
          <w:w w:val="105"/>
          <w:sz w:val="13"/>
        </w:rPr>
        <w:t> </w:t>
      </w:r>
      <w:r>
        <w:rPr>
          <w:spacing w:val="2"/>
          <w:w w:val="105"/>
          <w:sz w:val="13"/>
        </w:rPr>
        <w:t>Victoria);</w:t>
      </w:r>
      <w:r>
        <w:rPr>
          <w:spacing w:val="5"/>
          <w:w w:val="105"/>
          <w:sz w:val="13"/>
        </w:rPr>
        <w:t> </w:t>
      </w:r>
      <w:r>
        <w:rPr>
          <w:w w:val="105"/>
          <w:sz w:val="13"/>
        </w:rPr>
        <w:t>32</w:t>
      </w:r>
      <w:r>
        <w:rPr>
          <w:spacing w:val="5"/>
          <w:w w:val="105"/>
          <w:sz w:val="13"/>
        </w:rPr>
        <w:t> </w:t>
      </w:r>
      <w:r>
        <w:rPr>
          <w:spacing w:val="2"/>
          <w:w w:val="105"/>
          <w:sz w:val="13"/>
        </w:rPr>
        <w:t>(The</w:t>
      </w:r>
      <w:r>
        <w:rPr>
          <w:spacing w:val="5"/>
          <w:w w:val="105"/>
          <w:sz w:val="13"/>
        </w:rPr>
        <w:t> </w:t>
      </w:r>
      <w:r>
        <w:rPr>
          <w:w w:val="105"/>
          <w:sz w:val="13"/>
        </w:rPr>
        <w:t>Institute</w:t>
      </w:r>
      <w:r>
        <w:rPr>
          <w:spacing w:val="5"/>
          <w:w w:val="105"/>
          <w:sz w:val="13"/>
        </w:rPr>
        <w:t> </w:t>
      </w:r>
      <w:r>
        <w:rPr>
          <w:w w:val="105"/>
          <w:sz w:val="13"/>
        </w:rPr>
        <w:t>of</w:t>
      </w:r>
      <w:r>
        <w:rPr>
          <w:spacing w:val="5"/>
          <w:w w:val="105"/>
          <w:sz w:val="13"/>
        </w:rPr>
        <w:t> </w:t>
      </w:r>
      <w:r>
        <w:rPr>
          <w:w w:val="105"/>
          <w:sz w:val="13"/>
        </w:rPr>
        <w:t>Legal</w:t>
      </w:r>
      <w:r>
        <w:rPr>
          <w:spacing w:val="5"/>
          <w:w w:val="105"/>
          <w:sz w:val="13"/>
        </w:rPr>
        <w:t> </w:t>
      </w:r>
      <w:r>
        <w:rPr>
          <w:w w:val="105"/>
          <w:sz w:val="13"/>
        </w:rPr>
        <w:t>Executives);</w:t>
      </w:r>
      <w:r>
        <w:rPr>
          <w:spacing w:val="5"/>
          <w:w w:val="105"/>
          <w:sz w:val="13"/>
        </w:rPr>
        <w:t> </w:t>
      </w:r>
      <w:r>
        <w:rPr>
          <w:w w:val="105"/>
          <w:sz w:val="13"/>
        </w:rPr>
        <w:t>35</w:t>
      </w:r>
      <w:r>
        <w:rPr>
          <w:spacing w:val="5"/>
          <w:w w:val="105"/>
          <w:sz w:val="13"/>
        </w:rPr>
        <w:t> </w:t>
      </w:r>
      <w:r>
        <w:rPr>
          <w:w w:val="105"/>
          <w:sz w:val="13"/>
        </w:rPr>
        <w:t>(Andrew</w:t>
      </w:r>
      <w:r>
        <w:rPr>
          <w:spacing w:val="5"/>
          <w:w w:val="105"/>
          <w:sz w:val="13"/>
        </w:rPr>
        <w:t> </w:t>
      </w:r>
      <w:r>
        <w:rPr>
          <w:w w:val="105"/>
          <w:sz w:val="13"/>
        </w:rPr>
        <w:t>Verspaandonk);</w:t>
      </w:r>
      <w:r>
        <w:rPr>
          <w:spacing w:val="5"/>
          <w:w w:val="105"/>
          <w:sz w:val="13"/>
        </w:rPr>
        <w:t> </w:t>
      </w:r>
      <w:r>
        <w:rPr>
          <w:w w:val="105"/>
          <w:sz w:val="13"/>
        </w:rPr>
        <w:t>40</w:t>
      </w:r>
      <w:r>
        <w:rPr>
          <w:spacing w:val="5"/>
          <w:w w:val="105"/>
          <w:sz w:val="13"/>
        </w:rPr>
        <w:t> </w:t>
      </w:r>
      <w:r>
        <w:rPr>
          <w:w w:val="105"/>
          <w:sz w:val="13"/>
        </w:rPr>
        <w:t>(Janice</w:t>
      </w:r>
      <w:r>
        <w:rPr>
          <w:spacing w:val="5"/>
          <w:w w:val="105"/>
          <w:sz w:val="13"/>
        </w:rPr>
        <w:t> </w:t>
      </w:r>
      <w:r>
        <w:rPr>
          <w:w w:val="105"/>
          <w:sz w:val="13"/>
        </w:rPr>
        <w:t>Brownfoot).</w:t>
      </w:r>
    </w:p>
    <w:p>
      <w:pPr>
        <w:pStyle w:val="ListParagraph"/>
        <w:numPr>
          <w:ilvl w:val="0"/>
          <w:numId w:val="25"/>
        </w:numPr>
        <w:tabs>
          <w:tab w:pos="2381" w:val="left" w:leader="none"/>
          <w:tab w:pos="2382" w:val="left" w:leader="none"/>
        </w:tabs>
        <w:spacing w:line="240" w:lineRule="auto" w:before="2" w:after="0"/>
        <w:ind w:left="2381" w:right="1921" w:hanging="794"/>
        <w:jc w:val="left"/>
        <w:rPr>
          <w:sz w:val="13"/>
        </w:rPr>
      </w:pPr>
      <w:r>
        <w:rPr>
          <w:w w:val="105"/>
          <w:sz w:val="13"/>
        </w:rPr>
        <w:t>Submissions 1 </w:t>
      </w:r>
      <w:r>
        <w:rPr>
          <w:spacing w:val="2"/>
          <w:w w:val="105"/>
          <w:sz w:val="13"/>
        </w:rPr>
        <w:t>(Legal </w:t>
      </w:r>
      <w:r>
        <w:rPr>
          <w:w w:val="105"/>
          <w:sz w:val="13"/>
        </w:rPr>
        <w:t>Services Commissioner); </w:t>
      </w:r>
      <w:r>
        <w:rPr>
          <w:spacing w:val="-3"/>
          <w:w w:val="105"/>
          <w:sz w:val="13"/>
        </w:rPr>
        <w:t>14 </w:t>
      </w:r>
      <w:r>
        <w:rPr>
          <w:w w:val="105"/>
          <w:sz w:val="13"/>
        </w:rPr>
        <w:t>(Commercial Bar </w:t>
      </w:r>
      <w:r>
        <w:rPr>
          <w:spacing w:val="2"/>
          <w:w w:val="105"/>
          <w:sz w:val="13"/>
        </w:rPr>
        <w:t>Association); </w:t>
      </w:r>
      <w:r>
        <w:rPr>
          <w:w w:val="105"/>
          <w:sz w:val="13"/>
        </w:rPr>
        <w:t>21 </w:t>
      </w:r>
      <w:r>
        <w:rPr>
          <w:spacing w:val="2"/>
          <w:w w:val="105"/>
          <w:sz w:val="13"/>
        </w:rPr>
        <w:t>(Office </w:t>
      </w:r>
      <w:r>
        <w:rPr>
          <w:w w:val="105"/>
          <w:sz w:val="13"/>
        </w:rPr>
        <w:t>of the Public Advocate); 25 </w:t>
      </w:r>
      <w:r>
        <w:rPr>
          <w:spacing w:val="2"/>
          <w:w w:val="105"/>
          <w:sz w:val="13"/>
        </w:rPr>
        <w:t>(Moores </w:t>
      </w:r>
      <w:r>
        <w:rPr>
          <w:w w:val="105"/>
          <w:sz w:val="13"/>
        </w:rPr>
        <w:t>Legal); 26 </w:t>
      </w:r>
      <w:r>
        <w:rPr>
          <w:spacing w:val="2"/>
          <w:w w:val="105"/>
          <w:sz w:val="13"/>
        </w:rPr>
        <w:t>(Rigby </w:t>
      </w:r>
      <w:r>
        <w:rPr>
          <w:w w:val="105"/>
          <w:sz w:val="13"/>
        </w:rPr>
        <w:t>Cooke </w:t>
      </w:r>
      <w:r>
        <w:rPr>
          <w:spacing w:val="2"/>
          <w:w w:val="105"/>
          <w:sz w:val="13"/>
        </w:rPr>
        <w:t>Lawyers); </w:t>
      </w:r>
      <w:r>
        <w:rPr>
          <w:w w:val="105"/>
          <w:sz w:val="13"/>
        </w:rPr>
        <w:t>31 (Seniors Rights</w:t>
      </w:r>
      <w:r>
        <w:rPr>
          <w:spacing w:val="27"/>
          <w:w w:val="105"/>
          <w:sz w:val="13"/>
        </w:rPr>
        <w:t> </w:t>
      </w:r>
      <w:r>
        <w:rPr>
          <w:spacing w:val="2"/>
          <w:w w:val="105"/>
          <w:sz w:val="13"/>
        </w:rPr>
        <w:t>Victoria).</w:t>
      </w:r>
    </w:p>
    <w:p>
      <w:pPr>
        <w:pStyle w:val="ListParagraph"/>
        <w:numPr>
          <w:ilvl w:val="0"/>
          <w:numId w:val="25"/>
        </w:numPr>
        <w:tabs>
          <w:tab w:pos="2381" w:val="left" w:leader="none"/>
          <w:tab w:pos="2382" w:val="left" w:leader="none"/>
        </w:tabs>
        <w:spacing w:line="240" w:lineRule="auto" w:before="3" w:after="0"/>
        <w:ind w:left="2381" w:right="0" w:hanging="794"/>
        <w:jc w:val="left"/>
        <w:rPr>
          <w:sz w:val="13"/>
        </w:rPr>
      </w:pPr>
      <w:r>
        <w:rPr>
          <w:w w:val="105"/>
          <w:sz w:val="13"/>
        </w:rPr>
        <w:t>Submissions </w:t>
      </w:r>
      <w:r>
        <w:rPr>
          <w:spacing w:val="-3"/>
          <w:w w:val="105"/>
          <w:sz w:val="13"/>
        </w:rPr>
        <w:t>14 </w:t>
      </w:r>
      <w:r>
        <w:rPr>
          <w:w w:val="105"/>
          <w:sz w:val="13"/>
        </w:rPr>
        <w:t>(Commercial Bar </w:t>
      </w:r>
      <w:r>
        <w:rPr>
          <w:spacing w:val="2"/>
          <w:w w:val="105"/>
          <w:sz w:val="13"/>
        </w:rPr>
        <w:t>Association); </w:t>
      </w:r>
      <w:r>
        <w:rPr>
          <w:w w:val="105"/>
          <w:sz w:val="13"/>
        </w:rPr>
        <w:t>26 </w:t>
      </w:r>
      <w:r>
        <w:rPr>
          <w:spacing w:val="2"/>
          <w:w w:val="105"/>
          <w:sz w:val="13"/>
        </w:rPr>
        <w:t>(Rigby </w:t>
      </w:r>
      <w:r>
        <w:rPr>
          <w:w w:val="105"/>
          <w:sz w:val="13"/>
        </w:rPr>
        <w:t>Cooke</w:t>
      </w:r>
      <w:r>
        <w:rPr>
          <w:spacing w:val="4"/>
          <w:w w:val="105"/>
          <w:sz w:val="13"/>
        </w:rPr>
        <w:t> </w:t>
      </w:r>
      <w:r>
        <w:rPr>
          <w:spacing w:val="2"/>
          <w:w w:val="105"/>
          <w:sz w:val="13"/>
        </w:rPr>
        <w:t>Lawyers).</w:t>
      </w:r>
    </w:p>
    <w:p>
      <w:pPr>
        <w:pStyle w:val="ListParagraph"/>
        <w:numPr>
          <w:ilvl w:val="0"/>
          <w:numId w:val="25"/>
        </w:numPr>
        <w:tabs>
          <w:tab w:pos="2381" w:val="left" w:leader="none"/>
          <w:tab w:pos="2382" w:val="left" w:leader="none"/>
        </w:tabs>
        <w:spacing w:line="240" w:lineRule="auto" w:before="1" w:after="0"/>
        <w:ind w:left="2381" w:right="0" w:hanging="794"/>
        <w:jc w:val="left"/>
        <w:rPr>
          <w:sz w:val="13"/>
        </w:rPr>
      </w:pPr>
      <w:r>
        <w:rPr>
          <w:w w:val="105"/>
          <w:sz w:val="13"/>
        </w:rPr>
        <w:t>Submissions</w:t>
      </w:r>
      <w:r>
        <w:rPr>
          <w:spacing w:val="4"/>
          <w:w w:val="105"/>
          <w:sz w:val="13"/>
        </w:rPr>
        <w:t> </w:t>
      </w:r>
      <w:r>
        <w:rPr>
          <w:spacing w:val="-3"/>
          <w:w w:val="105"/>
          <w:sz w:val="13"/>
        </w:rPr>
        <w:t>14</w:t>
      </w:r>
      <w:r>
        <w:rPr>
          <w:spacing w:val="5"/>
          <w:w w:val="105"/>
          <w:sz w:val="13"/>
        </w:rPr>
        <w:t> </w:t>
      </w:r>
      <w:r>
        <w:rPr>
          <w:w w:val="105"/>
          <w:sz w:val="13"/>
        </w:rPr>
        <w:t>(Commercial</w:t>
      </w:r>
      <w:r>
        <w:rPr>
          <w:spacing w:val="5"/>
          <w:w w:val="105"/>
          <w:sz w:val="13"/>
        </w:rPr>
        <w:t> </w:t>
      </w:r>
      <w:r>
        <w:rPr>
          <w:w w:val="105"/>
          <w:sz w:val="13"/>
        </w:rPr>
        <w:t>Bar</w:t>
      </w:r>
      <w:r>
        <w:rPr>
          <w:spacing w:val="4"/>
          <w:w w:val="105"/>
          <w:sz w:val="13"/>
        </w:rPr>
        <w:t> </w:t>
      </w:r>
      <w:r>
        <w:rPr>
          <w:spacing w:val="2"/>
          <w:w w:val="105"/>
          <w:sz w:val="13"/>
        </w:rPr>
        <w:t>Association);</w:t>
      </w:r>
      <w:r>
        <w:rPr>
          <w:spacing w:val="5"/>
          <w:w w:val="105"/>
          <w:sz w:val="13"/>
        </w:rPr>
        <w:t> </w:t>
      </w:r>
      <w:r>
        <w:rPr>
          <w:w w:val="105"/>
          <w:sz w:val="13"/>
        </w:rPr>
        <w:t>32</w:t>
      </w:r>
      <w:r>
        <w:rPr>
          <w:spacing w:val="5"/>
          <w:w w:val="105"/>
          <w:sz w:val="13"/>
        </w:rPr>
        <w:t> </w:t>
      </w:r>
      <w:r>
        <w:rPr>
          <w:spacing w:val="2"/>
          <w:w w:val="105"/>
          <w:sz w:val="13"/>
        </w:rPr>
        <w:t>(The</w:t>
      </w:r>
      <w:r>
        <w:rPr>
          <w:spacing w:val="5"/>
          <w:w w:val="105"/>
          <w:sz w:val="13"/>
        </w:rPr>
        <w:t> </w:t>
      </w:r>
      <w:r>
        <w:rPr>
          <w:w w:val="105"/>
          <w:sz w:val="13"/>
        </w:rPr>
        <w:t>Institute</w:t>
      </w:r>
      <w:r>
        <w:rPr>
          <w:spacing w:val="4"/>
          <w:w w:val="105"/>
          <w:sz w:val="13"/>
        </w:rPr>
        <w:t> </w:t>
      </w:r>
      <w:r>
        <w:rPr>
          <w:w w:val="105"/>
          <w:sz w:val="13"/>
        </w:rPr>
        <w:t>of</w:t>
      </w:r>
      <w:r>
        <w:rPr>
          <w:spacing w:val="5"/>
          <w:w w:val="105"/>
          <w:sz w:val="13"/>
        </w:rPr>
        <w:t> </w:t>
      </w:r>
      <w:r>
        <w:rPr>
          <w:w w:val="105"/>
          <w:sz w:val="13"/>
        </w:rPr>
        <w:t>Legal</w:t>
      </w:r>
      <w:r>
        <w:rPr>
          <w:spacing w:val="5"/>
          <w:w w:val="105"/>
          <w:sz w:val="13"/>
        </w:rPr>
        <w:t> </w:t>
      </w:r>
      <w:r>
        <w:rPr>
          <w:w w:val="105"/>
          <w:sz w:val="13"/>
        </w:rPr>
        <w:t>Executives);</w:t>
      </w:r>
      <w:r>
        <w:rPr>
          <w:spacing w:val="4"/>
          <w:w w:val="105"/>
          <w:sz w:val="13"/>
        </w:rPr>
        <w:t> </w:t>
      </w:r>
      <w:r>
        <w:rPr>
          <w:w w:val="105"/>
          <w:sz w:val="13"/>
        </w:rPr>
        <w:t>40</w:t>
      </w:r>
      <w:r>
        <w:rPr>
          <w:spacing w:val="5"/>
          <w:w w:val="105"/>
          <w:sz w:val="13"/>
        </w:rPr>
        <w:t> </w:t>
      </w:r>
      <w:r>
        <w:rPr>
          <w:w w:val="105"/>
          <w:sz w:val="13"/>
        </w:rPr>
        <w:t>(Janice</w:t>
      </w:r>
      <w:r>
        <w:rPr>
          <w:spacing w:val="5"/>
          <w:w w:val="105"/>
          <w:sz w:val="13"/>
        </w:rPr>
        <w:t> </w:t>
      </w:r>
      <w:r>
        <w:rPr>
          <w:w w:val="105"/>
          <w:sz w:val="13"/>
        </w:rPr>
        <w:t>Brownfoot).</w:t>
      </w:r>
    </w:p>
    <w:p>
      <w:pPr>
        <w:pStyle w:val="ListParagraph"/>
        <w:numPr>
          <w:ilvl w:val="0"/>
          <w:numId w:val="25"/>
        </w:numPr>
        <w:tabs>
          <w:tab w:pos="2381" w:val="left" w:leader="none"/>
          <w:tab w:pos="2382" w:val="left" w:leader="none"/>
        </w:tabs>
        <w:spacing w:line="240" w:lineRule="auto" w:before="2" w:after="0"/>
        <w:ind w:left="2381" w:right="0" w:hanging="794"/>
        <w:jc w:val="left"/>
        <w:rPr>
          <w:sz w:val="13"/>
        </w:rPr>
      </w:pPr>
      <w:r>
        <w:rPr>
          <w:w w:val="105"/>
          <w:sz w:val="13"/>
        </w:rPr>
        <w:t>Submission </w:t>
      </w:r>
      <w:r>
        <w:rPr>
          <w:spacing w:val="-3"/>
          <w:w w:val="105"/>
          <w:sz w:val="13"/>
        </w:rPr>
        <w:t>14 </w:t>
      </w:r>
      <w:r>
        <w:rPr>
          <w:w w:val="105"/>
          <w:sz w:val="13"/>
        </w:rPr>
        <w:t>(Commercial Bar</w:t>
      </w:r>
      <w:r>
        <w:rPr>
          <w:spacing w:val="21"/>
          <w:w w:val="105"/>
          <w:sz w:val="13"/>
        </w:rPr>
        <w:t> </w:t>
      </w:r>
      <w:r>
        <w:rPr>
          <w:spacing w:val="2"/>
          <w:w w:val="105"/>
          <w:sz w:val="13"/>
        </w:rPr>
        <w:t>Association).</w:t>
      </w:r>
    </w:p>
    <w:p>
      <w:pPr>
        <w:pStyle w:val="ListParagraph"/>
        <w:numPr>
          <w:ilvl w:val="0"/>
          <w:numId w:val="25"/>
        </w:numPr>
        <w:tabs>
          <w:tab w:pos="2381" w:val="left" w:leader="none"/>
          <w:tab w:pos="2382" w:val="left" w:leader="none"/>
        </w:tabs>
        <w:spacing w:line="240" w:lineRule="auto" w:before="1" w:after="0"/>
        <w:ind w:left="2381" w:right="0" w:hanging="794"/>
        <w:jc w:val="left"/>
        <w:rPr>
          <w:sz w:val="13"/>
        </w:rPr>
      </w:pPr>
      <w:r>
        <w:rPr>
          <w:w w:val="105"/>
          <w:sz w:val="13"/>
        </w:rPr>
        <w:t>Submissions</w:t>
      </w:r>
      <w:r>
        <w:rPr>
          <w:spacing w:val="4"/>
          <w:w w:val="105"/>
          <w:sz w:val="13"/>
        </w:rPr>
        <w:t> </w:t>
      </w:r>
      <w:r>
        <w:rPr>
          <w:w w:val="105"/>
          <w:sz w:val="13"/>
        </w:rPr>
        <w:t>21</w:t>
      </w:r>
      <w:r>
        <w:rPr>
          <w:spacing w:val="5"/>
          <w:w w:val="105"/>
          <w:sz w:val="13"/>
        </w:rPr>
        <w:t> </w:t>
      </w:r>
      <w:r>
        <w:rPr>
          <w:spacing w:val="2"/>
          <w:w w:val="105"/>
          <w:sz w:val="13"/>
        </w:rPr>
        <w:t>(Office</w:t>
      </w:r>
      <w:r>
        <w:rPr>
          <w:spacing w:val="5"/>
          <w:w w:val="105"/>
          <w:sz w:val="13"/>
        </w:rPr>
        <w:t> </w:t>
      </w:r>
      <w:r>
        <w:rPr>
          <w:w w:val="105"/>
          <w:sz w:val="13"/>
        </w:rPr>
        <w:t>of</w:t>
      </w:r>
      <w:r>
        <w:rPr>
          <w:spacing w:val="4"/>
          <w:w w:val="105"/>
          <w:sz w:val="13"/>
        </w:rPr>
        <w:t> </w:t>
      </w:r>
      <w:r>
        <w:rPr>
          <w:w w:val="105"/>
          <w:sz w:val="13"/>
        </w:rPr>
        <w:t>the</w:t>
      </w:r>
      <w:r>
        <w:rPr>
          <w:spacing w:val="5"/>
          <w:w w:val="105"/>
          <w:sz w:val="13"/>
        </w:rPr>
        <w:t> </w:t>
      </w:r>
      <w:r>
        <w:rPr>
          <w:w w:val="105"/>
          <w:sz w:val="13"/>
        </w:rPr>
        <w:t>Public</w:t>
      </w:r>
      <w:r>
        <w:rPr>
          <w:spacing w:val="5"/>
          <w:w w:val="105"/>
          <w:sz w:val="13"/>
        </w:rPr>
        <w:t> </w:t>
      </w:r>
      <w:r>
        <w:rPr>
          <w:w w:val="105"/>
          <w:sz w:val="13"/>
        </w:rPr>
        <w:t>Advocate);</w:t>
      </w:r>
      <w:r>
        <w:rPr>
          <w:spacing w:val="5"/>
          <w:w w:val="105"/>
          <w:sz w:val="13"/>
        </w:rPr>
        <w:t> </w:t>
      </w:r>
      <w:r>
        <w:rPr>
          <w:w w:val="105"/>
          <w:sz w:val="13"/>
        </w:rPr>
        <w:t>25</w:t>
      </w:r>
      <w:r>
        <w:rPr>
          <w:spacing w:val="4"/>
          <w:w w:val="105"/>
          <w:sz w:val="13"/>
        </w:rPr>
        <w:t> </w:t>
      </w:r>
      <w:r>
        <w:rPr>
          <w:spacing w:val="2"/>
          <w:w w:val="105"/>
          <w:sz w:val="13"/>
        </w:rPr>
        <w:t>(Moores</w:t>
      </w:r>
      <w:r>
        <w:rPr>
          <w:spacing w:val="5"/>
          <w:w w:val="105"/>
          <w:sz w:val="13"/>
        </w:rPr>
        <w:t> </w:t>
      </w:r>
      <w:r>
        <w:rPr>
          <w:w w:val="105"/>
          <w:sz w:val="13"/>
        </w:rPr>
        <w:t>Legal);</w:t>
      </w:r>
      <w:r>
        <w:rPr>
          <w:spacing w:val="5"/>
          <w:w w:val="105"/>
          <w:sz w:val="13"/>
        </w:rPr>
        <w:t> </w:t>
      </w:r>
      <w:r>
        <w:rPr>
          <w:w w:val="105"/>
          <w:sz w:val="13"/>
        </w:rPr>
        <w:t>26</w:t>
      </w:r>
      <w:r>
        <w:rPr>
          <w:spacing w:val="4"/>
          <w:w w:val="105"/>
          <w:sz w:val="13"/>
        </w:rPr>
        <w:t> </w:t>
      </w:r>
      <w:r>
        <w:rPr>
          <w:spacing w:val="2"/>
          <w:w w:val="105"/>
          <w:sz w:val="13"/>
        </w:rPr>
        <w:t>(Rigby</w:t>
      </w:r>
      <w:r>
        <w:rPr>
          <w:spacing w:val="5"/>
          <w:w w:val="105"/>
          <w:sz w:val="13"/>
        </w:rPr>
        <w:t> </w:t>
      </w:r>
      <w:r>
        <w:rPr>
          <w:w w:val="105"/>
          <w:sz w:val="13"/>
        </w:rPr>
        <w:t>Cooke</w:t>
      </w:r>
      <w:r>
        <w:rPr>
          <w:spacing w:val="5"/>
          <w:w w:val="105"/>
          <w:sz w:val="13"/>
        </w:rPr>
        <w:t> </w:t>
      </w:r>
      <w:r>
        <w:rPr>
          <w:spacing w:val="2"/>
          <w:w w:val="105"/>
          <w:sz w:val="13"/>
        </w:rPr>
        <w:t>Lawyers).</w:t>
      </w:r>
    </w:p>
    <w:p>
      <w:pPr>
        <w:pStyle w:val="ListParagraph"/>
        <w:numPr>
          <w:ilvl w:val="0"/>
          <w:numId w:val="25"/>
        </w:numPr>
        <w:tabs>
          <w:tab w:pos="2381" w:val="left" w:leader="none"/>
          <w:tab w:pos="2382" w:val="left" w:leader="none"/>
        </w:tabs>
        <w:spacing w:line="240" w:lineRule="auto" w:before="1" w:after="0"/>
        <w:ind w:left="2381" w:right="0" w:hanging="794"/>
        <w:jc w:val="left"/>
        <w:rPr>
          <w:sz w:val="13"/>
        </w:rPr>
      </w:pPr>
      <w:r>
        <w:rPr>
          <w:w w:val="105"/>
          <w:sz w:val="13"/>
        </w:rPr>
        <w:t>Submissions 1 </w:t>
      </w:r>
      <w:r>
        <w:rPr>
          <w:spacing w:val="2"/>
          <w:w w:val="105"/>
          <w:sz w:val="13"/>
        </w:rPr>
        <w:t>(Legal </w:t>
      </w:r>
      <w:r>
        <w:rPr>
          <w:w w:val="105"/>
          <w:sz w:val="13"/>
        </w:rPr>
        <w:t>Services Commissioner); 25 </w:t>
      </w:r>
      <w:r>
        <w:rPr>
          <w:spacing w:val="2"/>
          <w:w w:val="105"/>
          <w:sz w:val="13"/>
        </w:rPr>
        <w:t>(Moores</w:t>
      </w:r>
      <w:r>
        <w:rPr>
          <w:spacing w:val="30"/>
          <w:w w:val="105"/>
          <w:sz w:val="13"/>
        </w:rPr>
        <w:t> </w:t>
      </w:r>
      <w:r>
        <w:rPr>
          <w:w w:val="105"/>
          <w:sz w:val="13"/>
        </w:rPr>
        <w:t>Legal).</w:t>
      </w:r>
    </w:p>
    <w:p>
      <w:pPr>
        <w:pStyle w:val="ListParagraph"/>
        <w:numPr>
          <w:ilvl w:val="0"/>
          <w:numId w:val="25"/>
        </w:numPr>
        <w:tabs>
          <w:tab w:pos="2381" w:val="left" w:leader="none"/>
          <w:tab w:pos="2382" w:val="left" w:leader="none"/>
        </w:tabs>
        <w:spacing w:line="240" w:lineRule="auto" w:before="2" w:after="0"/>
        <w:ind w:left="2381" w:right="1801" w:hanging="794"/>
        <w:jc w:val="left"/>
        <w:rPr>
          <w:sz w:val="13"/>
        </w:rPr>
      </w:pPr>
      <w:r>
        <w:rPr>
          <w:w w:val="105"/>
          <w:sz w:val="13"/>
        </w:rPr>
        <w:t>Submissions 31 (Seniors Rights </w:t>
      </w:r>
      <w:r>
        <w:rPr>
          <w:spacing w:val="2"/>
          <w:w w:val="105"/>
          <w:sz w:val="13"/>
        </w:rPr>
        <w:t>Victoria); </w:t>
      </w:r>
      <w:r>
        <w:rPr>
          <w:w w:val="105"/>
          <w:sz w:val="13"/>
        </w:rPr>
        <w:t>33 (State Trustees Limited); 40 (Janice Brownfoot). This point was also made by some members</w:t>
      </w:r>
      <w:r>
        <w:rPr>
          <w:spacing w:val="30"/>
          <w:w w:val="105"/>
          <w:sz w:val="13"/>
        </w:rPr>
        <w:t> </w:t>
      </w:r>
      <w:r>
        <w:rPr>
          <w:w w:val="105"/>
          <w:sz w:val="13"/>
        </w:rPr>
        <w:t>of</w:t>
      </w:r>
      <w:r>
        <w:rPr>
          <w:spacing w:val="4"/>
          <w:w w:val="105"/>
          <w:sz w:val="13"/>
        </w:rPr>
        <w:t> </w:t>
      </w:r>
      <w:r>
        <w:rPr>
          <w:w w:val="105"/>
          <w:sz w:val="13"/>
        </w:rPr>
        <w:t>the</w:t>
      </w:r>
      <w:r>
        <w:rPr>
          <w:spacing w:val="5"/>
          <w:w w:val="105"/>
          <w:sz w:val="13"/>
        </w:rPr>
        <w:t> </w:t>
      </w:r>
      <w:r>
        <w:rPr>
          <w:w w:val="105"/>
          <w:sz w:val="13"/>
        </w:rPr>
        <w:t>Commission’s</w:t>
      </w:r>
      <w:r>
        <w:rPr>
          <w:spacing w:val="5"/>
          <w:w w:val="105"/>
          <w:sz w:val="13"/>
        </w:rPr>
        <w:t> </w:t>
      </w:r>
      <w:r>
        <w:rPr>
          <w:w w:val="105"/>
          <w:sz w:val="13"/>
        </w:rPr>
        <w:t>succession</w:t>
      </w:r>
      <w:r>
        <w:rPr>
          <w:spacing w:val="4"/>
          <w:w w:val="105"/>
          <w:sz w:val="13"/>
        </w:rPr>
        <w:t> </w:t>
      </w:r>
      <w:r>
        <w:rPr>
          <w:w w:val="105"/>
          <w:sz w:val="13"/>
        </w:rPr>
        <w:t>laws</w:t>
      </w:r>
      <w:r>
        <w:rPr>
          <w:spacing w:val="5"/>
          <w:w w:val="105"/>
          <w:sz w:val="13"/>
        </w:rPr>
        <w:t> </w:t>
      </w:r>
      <w:r>
        <w:rPr>
          <w:spacing w:val="2"/>
          <w:w w:val="105"/>
          <w:sz w:val="13"/>
        </w:rPr>
        <w:t>advisory</w:t>
      </w:r>
      <w:r>
        <w:rPr>
          <w:spacing w:val="5"/>
          <w:w w:val="105"/>
          <w:sz w:val="13"/>
        </w:rPr>
        <w:t> </w:t>
      </w:r>
      <w:r>
        <w:rPr>
          <w:w w:val="105"/>
          <w:sz w:val="13"/>
        </w:rPr>
        <w:t>committee:</w:t>
      </w:r>
      <w:r>
        <w:rPr>
          <w:spacing w:val="5"/>
          <w:w w:val="105"/>
          <w:sz w:val="13"/>
        </w:rPr>
        <w:t> </w:t>
      </w:r>
      <w:r>
        <w:rPr>
          <w:w w:val="105"/>
          <w:sz w:val="13"/>
        </w:rPr>
        <w:t>Advisory</w:t>
      </w:r>
      <w:r>
        <w:rPr>
          <w:spacing w:val="4"/>
          <w:w w:val="105"/>
          <w:sz w:val="13"/>
        </w:rPr>
        <w:t> </w:t>
      </w:r>
      <w:r>
        <w:rPr>
          <w:w w:val="105"/>
          <w:sz w:val="13"/>
        </w:rPr>
        <w:t>Committee</w:t>
      </w:r>
      <w:r>
        <w:rPr>
          <w:spacing w:val="5"/>
          <w:w w:val="105"/>
          <w:sz w:val="13"/>
        </w:rPr>
        <w:t> </w:t>
      </w:r>
      <w:r>
        <w:rPr>
          <w:w w:val="105"/>
          <w:sz w:val="13"/>
        </w:rPr>
        <w:t>(Meeting</w:t>
      </w:r>
      <w:r>
        <w:rPr>
          <w:spacing w:val="5"/>
          <w:w w:val="105"/>
          <w:sz w:val="13"/>
        </w:rPr>
        <w:t> </w:t>
      </w:r>
      <w:r>
        <w:rPr>
          <w:spacing w:val="2"/>
          <w:w w:val="105"/>
          <w:sz w:val="13"/>
        </w:rPr>
        <w:t>2).</w:t>
      </w:r>
    </w:p>
    <w:p>
      <w:pPr>
        <w:pStyle w:val="ListParagraph"/>
        <w:numPr>
          <w:ilvl w:val="0"/>
          <w:numId w:val="25"/>
        </w:numPr>
        <w:tabs>
          <w:tab w:pos="2381" w:val="left" w:leader="none"/>
          <w:tab w:pos="2382" w:val="left" w:leader="none"/>
        </w:tabs>
        <w:spacing w:line="240" w:lineRule="auto" w:before="2" w:after="0"/>
        <w:ind w:left="2381" w:right="0" w:hanging="794"/>
        <w:jc w:val="left"/>
        <w:rPr>
          <w:sz w:val="13"/>
        </w:rPr>
      </w:pPr>
      <w:r>
        <w:rPr>
          <w:w w:val="105"/>
          <w:sz w:val="13"/>
        </w:rPr>
        <w:t>Submission 30a </w:t>
      </w:r>
      <w:r>
        <w:rPr>
          <w:spacing w:val="3"/>
          <w:w w:val="105"/>
          <w:sz w:val="13"/>
        </w:rPr>
        <w:t>(Law </w:t>
      </w:r>
      <w:r>
        <w:rPr>
          <w:w w:val="105"/>
          <w:sz w:val="13"/>
        </w:rPr>
        <w:t>Institute of</w:t>
      </w:r>
      <w:r>
        <w:rPr>
          <w:spacing w:val="19"/>
          <w:w w:val="105"/>
          <w:sz w:val="13"/>
        </w:rPr>
        <w:t> </w:t>
      </w:r>
      <w:r>
        <w:rPr>
          <w:spacing w:val="2"/>
          <w:w w:val="105"/>
          <w:sz w:val="13"/>
        </w:rPr>
        <w:t>Victoria).</w:t>
      </w:r>
    </w:p>
    <w:p>
      <w:pPr>
        <w:pStyle w:val="ListParagraph"/>
        <w:numPr>
          <w:ilvl w:val="0"/>
          <w:numId w:val="25"/>
        </w:numPr>
        <w:tabs>
          <w:tab w:pos="2381" w:val="left" w:leader="none"/>
          <w:tab w:pos="2382" w:val="left" w:leader="none"/>
        </w:tabs>
        <w:spacing w:line="240" w:lineRule="auto" w:before="2" w:after="0"/>
        <w:ind w:left="2381" w:right="1839" w:hanging="794"/>
        <w:jc w:val="left"/>
        <w:rPr>
          <w:sz w:val="13"/>
        </w:rPr>
      </w:pPr>
      <w:r>
        <w:rPr/>
        <w:pict>
          <v:shape style="position:absolute;margin-left:36pt;margin-top:19.637365pt;width:12.5pt;height:14.25pt;mso-position-horizontal-relative:page;mso-position-vertical-relative:paragraph;z-index:2128" type="#_x0000_t202" filled="false" stroked="false">
            <v:textbox inset="0,0,0,0">
              <w:txbxContent>
                <w:p>
                  <w:pPr>
                    <w:spacing w:line="284" w:lineRule="exact" w:before="0"/>
                    <w:ind w:left="0" w:right="0" w:firstLine="0"/>
                    <w:jc w:val="left"/>
                    <w:rPr>
                      <w:b/>
                      <w:sz w:val="24"/>
                    </w:rPr>
                  </w:pPr>
                  <w:r>
                    <w:rPr>
                      <w:b/>
                      <w:color w:val="EC5A4F"/>
                      <w:spacing w:val="-9"/>
                      <w:w w:val="110"/>
                      <w:sz w:val="24"/>
                    </w:rPr>
                    <w:t>14</w:t>
                  </w:r>
                </w:p>
              </w:txbxContent>
            </v:textbox>
            <w10:wrap type="none"/>
          </v:shape>
        </w:pict>
      </w:r>
      <w:r>
        <w:rPr>
          <w:w w:val="105"/>
          <w:sz w:val="13"/>
        </w:rPr>
        <w:t>See, eg, British Columbia Law Institute, </w:t>
      </w:r>
      <w:r>
        <w:rPr>
          <w:i/>
          <w:w w:val="105"/>
          <w:sz w:val="13"/>
        </w:rPr>
        <w:t>Recommended Practices for Wills Practitioners Relating to Potential Undue Influence: A Guide</w:t>
      </w:r>
      <w:r>
        <w:rPr>
          <w:w w:val="105"/>
          <w:sz w:val="13"/>
        </w:rPr>
        <w:t>, </w:t>
      </w:r>
      <w:r>
        <w:rPr>
          <w:spacing w:val="2"/>
          <w:w w:val="105"/>
          <w:sz w:val="13"/>
        </w:rPr>
        <w:t>Report </w:t>
      </w:r>
      <w:r>
        <w:rPr>
          <w:w w:val="105"/>
          <w:sz w:val="13"/>
        </w:rPr>
        <w:t>No </w:t>
      </w:r>
      <w:r>
        <w:rPr>
          <w:spacing w:val="-3"/>
          <w:w w:val="105"/>
          <w:sz w:val="13"/>
        </w:rPr>
        <w:t>61 </w:t>
      </w:r>
      <w:r>
        <w:rPr>
          <w:w w:val="105"/>
          <w:sz w:val="13"/>
        </w:rPr>
        <w:t>(2011); Nick O’Neill and Carmel Peisah, </w:t>
      </w:r>
      <w:r>
        <w:rPr>
          <w:i/>
          <w:w w:val="105"/>
          <w:sz w:val="13"/>
        </w:rPr>
        <w:t>Capacity and the Law </w:t>
      </w:r>
      <w:r>
        <w:rPr>
          <w:w w:val="105"/>
          <w:sz w:val="13"/>
        </w:rPr>
        <w:t>(Sydney University Press in Co-operation with the Australian Legal Information Institute </w:t>
      </w:r>
      <w:r>
        <w:rPr>
          <w:spacing w:val="2"/>
          <w:w w:val="105"/>
          <w:sz w:val="13"/>
        </w:rPr>
        <w:t>(AustLII), </w:t>
      </w:r>
      <w:r>
        <w:rPr>
          <w:spacing w:val="-4"/>
          <w:w w:val="105"/>
          <w:sz w:val="13"/>
        </w:rPr>
        <w:t>2011) </w:t>
      </w:r>
      <w:r>
        <w:rPr>
          <w:w w:val="105"/>
          <w:sz w:val="13"/>
        </w:rPr>
        <w:t>ch </w:t>
      </w:r>
      <w:r>
        <w:rPr>
          <w:spacing w:val="2"/>
          <w:w w:val="105"/>
          <w:sz w:val="13"/>
        </w:rPr>
        <w:t>4; </w:t>
      </w:r>
      <w:r>
        <w:rPr>
          <w:w w:val="105"/>
          <w:sz w:val="13"/>
        </w:rPr>
        <w:t>Kenneth Shulman et al, ‘Assessment of Testamentary Capacity and Vulnerability to</w:t>
      </w:r>
      <w:r>
        <w:rPr>
          <w:spacing w:val="30"/>
          <w:w w:val="105"/>
          <w:sz w:val="13"/>
        </w:rPr>
        <w:t> </w:t>
      </w:r>
      <w:r>
        <w:rPr>
          <w:w w:val="105"/>
          <w:sz w:val="13"/>
        </w:rPr>
        <w:t>Undue Influence’ (2007) </w:t>
      </w:r>
      <w:r>
        <w:rPr>
          <w:spacing w:val="2"/>
          <w:w w:val="105"/>
          <w:sz w:val="13"/>
        </w:rPr>
        <w:t>164(5) </w:t>
      </w:r>
      <w:r>
        <w:rPr>
          <w:i/>
          <w:w w:val="105"/>
          <w:sz w:val="13"/>
        </w:rPr>
        <w:t>American Journal of Psychiatry</w:t>
      </w:r>
      <w:r>
        <w:rPr>
          <w:i/>
          <w:spacing w:val="1"/>
          <w:w w:val="105"/>
          <w:sz w:val="13"/>
        </w:rPr>
        <w:t> </w:t>
      </w:r>
      <w:r>
        <w:rPr>
          <w:w w:val="105"/>
          <w:sz w:val="13"/>
        </w:rPr>
        <w:t>725.</w:t>
      </w:r>
    </w:p>
    <w:p>
      <w:pPr>
        <w:spacing w:after="0" w:line="240" w:lineRule="auto"/>
        <w:jc w:val="left"/>
        <w:rPr>
          <w:sz w:val="13"/>
        </w:rPr>
        <w:sectPr>
          <w:pgSz w:w="11910" w:h="16840"/>
          <w:pgMar w:header="550" w:footer="0" w:top="1560" w:bottom="280" w:left="0" w:right="0"/>
        </w:sectPr>
      </w:pPr>
    </w:p>
    <w:p>
      <w:pPr>
        <w:pStyle w:val="BodyText"/>
        <w:rPr>
          <w:sz w:val="20"/>
        </w:rPr>
      </w:pPr>
    </w:p>
    <w:p>
      <w:pPr>
        <w:pStyle w:val="BodyText"/>
        <w:spacing w:before="11" w:after="1"/>
        <w:rPr>
          <w:sz w:val="29"/>
        </w:rPr>
      </w:pPr>
    </w:p>
    <w:p>
      <w:pPr>
        <w:pStyle w:val="BodyText"/>
        <w:ind w:left="1222"/>
        <w:rPr>
          <w:sz w:val="20"/>
        </w:rPr>
      </w:pPr>
      <w:r>
        <w:rPr>
          <w:sz w:val="20"/>
        </w:rPr>
        <w:pict>
          <v:group style="width:479.1pt;height:166.55pt;mso-position-horizontal-relative:char;mso-position-vertical-relative:line" coordorigin="0,0" coordsize="9582,3331">
            <v:rect style="position:absolute;left:340;top:0;width:8731;height:3331" filled="true" fillcolor="#fdebea" stroked="false">
              <v:fill type="solid"/>
            </v:rect>
            <v:line style="position:absolute" from="0,751" to="9581,751" stroked="true" strokeweight="2.5pt" strokecolor="#ffffff">
              <v:stroke dashstyle="solid"/>
            </v:line>
            <v:shape style="position:absolute;left:1133;top:987;width:7450;height:2170" type="#_x0000_t202" filled="false" stroked="false">
              <v:textbox inset="0,0,0,0">
                <w:txbxContent>
                  <w:p>
                    <w:pPr>
                      <w:spacing w:line="242" w:lineRule="auto" w:before="0"/>
                      <w:ind w:left="0" w:right="10" w:firstLine="0"/>
                      <w:jc w:val="left"/>
                      <w:rPr>
                        <w:sz w:val="21"/>
                      </w:rPr>
                    </w:pPr>
                    <w:bookmarkStart w:name="Doctrine of undue influence" w:id="18"/>
                    <w:bookmarkEnd w:id="18"/>
                    <w:r>
                      <w:rPr/>
                    </w:r>
                    <w:r>
                      <w:rPr>
                        <w:w w:val="115"/>
                        <w:sz w:val="21"/>
                      </w:rPr>
                      <w:t>The Law Institute of Victoria should prepare best practice guidelines for legal practitioners on the detection and prevention of undue influence when preparing a will. These guidelines should cover such matters as:</w:t>
                    </w:r>
                  </w:p>
                  <w:p>
                    <w:pPr>
                      <w:numPr>
                        <w:ilvl w:val="0"/>
                        <w:numId w:val="26"/>
                      </w:numPr>
                      <w:tabs>
                        <w:tab w:pos="341" w:val="left" w:leader="none"/>
                      </w:tabs>
                      <w:spacing w:before="119"/>
                      <w:ind w:left="340" w:right="0" w:hanging="340"/>
                      <w:jc w:val="left"/>
                      <w:rPr>
                        <w:sz w:val="21"/>
                      </w:rPr>
                    </w:pPr>
                    <w:r>
                      <w:rPr>
                        <w:w w:val="115"/>
                        <w:sz w:val="21"/>
                      </w:rPr>
                      <w:t>the</w:t>
                    </w:r>
                    <w:r>
                      <w:rPr>
                        <w:spacing w:val="-5"/>
                        <w:w w:val="115"/>
                        <w:sz w:val="21"/>
                      </w:rPr>
                      <w:t> </w:t>
                    </w:r>
                    <w:r>
                      <w:rPr>
                        <w:w w:val="115"/>
                        <w:sz w:val="21"/>
                      </w:rPr>
                      <w:t>importance</w:t>
                    </w:r>
                    <w:r>
                      <w:rPr>
                        <w:spacing w:val="-4"/>
                        <w:w w:val="115"/>
                        <w:sz w:val="21"/>
                      </w:rPr>
                      <w:t> </w:t>
                    </w:r>
                    <w:r>
                      <w:rPr>
                        <w:w w:val="115"/>
                        <w:sz w:val="21"/>
                      </w:rPr>
                      <w:t>of</w:t>
                    </w:r>
                    <w:r>
                      <w:rPr>
                        <w:spacing w:val="-5"/>
                        <w:w w:val="115"/>
                        <w:sz w:val="21"/>
                      </w:rPr>
                      <w:t> </w:t>
                    </w:r>
                    <w:r>
                      <w:rPr>
                        <w:w w:val="115"/>
                        <w:sz w:val="21"/>
                      </w:rPr>
                      <w:t>taking</w:t>
                    </w:r>
                    <w:r>
                      <w:rPr>
                        <w:spacing w:val="-4"/>
                        <w:w w:val="115"/>
                        <w:sz w:val="21"/>
                      </w:rPr>
                      <w:t> </w:t>
                    </w:r>
                    <w:r>
                      <w:rPr>
                        <w:w w:val="115"/>
                        <w:sz w:val="21"/>
                      </w:rPr>
                      <w:t>detailed</w:t>
                    </w:r>
                    <w:r>
                      <w:rPr>
                        <w:spacing w:val="-5"/>
                        <w:w w:val="115"/>
                        <w:sz w:val="21"/>
                      </w:rPr>
                      <w:t> </w:t>
                    </w:r>
                    <w:r>
                      <w:rPr>
                        <w:w w:val="115"/>
                        <w:sz w:val="21"/>
                      </w:rPr>
                      <w:t>instructions</w:t>
                    </w:r>
                    <w:r>
                      <w:rPr>
                        <w:spacing w:val="-5"/>
                        <w:w w:val="115"/>
                        <w:sz w:val="21"/>
                      </w:rPr>
                      <w:t> </w:t>
                    </w:r>
                    <w:r>
                      <w:rPr>
                        <w:w w:val="115"/>
                        <w:sz w:val="21"/>
                      </w:rPr>
                      <w:t>from</w:t>
                    </w:r>
                    <w:r>
                      <w:rPr>
                        <w:spacing w:val="-4"/>
                        <w:w w:val="115"/>
                        <w:sz w:val="21"/>
                      </w:rPr>
                      <w:t> </w:t>
                    </w:r>
                    <w:r>
                      <w:rPr>
                        <w:w w:val="115"/>
                        <w:sz w:val="21"/>
                      </w:rPr>
                      <w:t>the</w:t>
                    </w:r>
                    <w:r>
                      <w:rPr>
                        <w:spacing w:val="-5"/>
                        <w:w w:val="115"/>
                        <w:sz w:val="21"/>
                      </w:rPr>
                      <w:t> </w:t>
                    </w:r>
                    <w:r>
                      <w:rPr>
                        <w:w w:val="115"/>
                        <w:sz w:val="21"/>
                      </w:rPr>
                      <w:t>will-maker</w:t>
                    </w:r>
                    <w:r>
                      <w:rPr>
                        <w:spacing w:val="-4"/>
                        <w:w w:val="115"/>
                        <w:sz w:val="21"/>
                      </w:rPr>
                      <w:t> </w:t>
                    </w:r>
                    <w:r>
                      <w:rPr>
                        <w:w w:val="115"/>
                        <w:sz w:val="21"/>
                      </w:rPr>
                      <w:t>alone</w:t>
                    </w:r>
                  </w:p>
                  <w:p>
                    <w:pPr>
                      <w:numPr>
                        <w:ilvl w:val="0"/>
                        <w:numId w:val="26"/>
                      </w:numPr>
                      <w:tabs>
                        <w:tab w:pos="341" w:val="left" w:leader="none"/>
                      </w:tabs>
                      <w:spacing w:before="124"/>
                      <w:ind w:left="340" w:right="0" w:hanging="340"/>
                      <w:jc w:val="left"/>
                      <w:rPr>
                        <w:sz w:val="21"/>
                      </w:rPr>
                    </w:pPr>
                    <w:r>
                      <w:rPr>
                        <w:w w:val="115"/>
                        <w:sz w:val="21"/>
                      </w:rPr>
                      <w:t>common risk factors associated with undue</w:t>
                    </w:r>
                    <w:r>
                      <w:rPr>
                        <w:spacing w:val="-9"/>
                        <w:w w:val="115"/>
                        <w:sz w:val="21"/>
                      </w:rPr>
                      <w:t> </w:t>
                    </w:r>
                    <w:r>
                      <w:rPr>
                        <w:w w:val="115"/>
                        <w:sz w:val="21"/>
                      </w:rPr>
                      <w:t>influence</w:t>
                    </w:r>
                  </w:p>
                  <w:p>
                    <w:pPr>
                      <w:numPr>
                        <w:ilvl w:val="0"/>
                        <w:numId w:val="26"/>
                      </w:numPr>
                      <w:tabs>
                        <w:tab w:pos="341" w:val="left" w:leader="none"/>
                      </w:tabs>
                      <w:spacing w:line="242" w:lineRule="auto" w:before="124"/>
                      <w:ind w:left="340" w:right="713" w:hanging="340"/>
                      <w:jc w:val="left"/>
                      <w:rPr>
                        <w:sz w:val="21"/>
                      </w:rPr>
                    </w:pPr>
                    <w:r>
                      <w:rPr>
                        <w:w w:val="115"/>
                        <w:sz w:val="21"/>
                      </w:rPr>
                      <w:t>the need to </w:t>
                    </w:r>
                    <w:r>
                      <w:rPr>
                        <w:spacing w:val="-3"/>
                        <w:w w:val="115"/>
                        <w:sz w:val="21"/>
                      </w:rPr>
                      <w:t>keep </w:t>
                    </w:r>
                    <w:r>
                      <w:rPr>
                        <w:w w:val="115"/>
                        <w:sz w:val="21"/>
                      </w:rPr>
                      <w:t>detailed file notes and </w:t>
                    </w:r>
                    <w:r>
                      <w:rPr>
                        <w:spacing w:val="-3"/>
                        <w:w w:val="115"/>
                        <w:sz w:val="21"/>
                      </w:rPr>
                      <w:t>make </w:t>
                    </w:r>
                    <w:r>
                      <w:rPr>
                        <w:w w:val="115"/>
                        <w:sz w:val="21"/>
                      </w:rPr>
                      <w:t>inquiries regarding previous wills.</w:t>
                    </w:r>
                  </w:p>
                </w:txbxContent>
              </v:textbox>
              <w10:wrap type="none"/>
            </v:shape>
            <v:shape style="position:absolute;left:566;top:987;width:137;height:249" type="#_x0000_t202" filled="false" stroked="false">
              <v:textbox inset="0,0,0,0">
                <w:txbxContent>
                  <w:p>
                    <w:pPr>
                      <w:spacing w:line="249" w:lineRule="exact" w:before="0"/>
                      <w:ind w:left="0" w:right="0" w:firstLine="0"/>
                      <w:jc w:val="left"/>
                      <w:rPr>
                        <w:sz w:val="21"/>
                      </w:rPr>
                    </w:pPr>
                    <w:r>
                      <w:rPr>
                        <w:w w:val="109"/>
                        <w:sz w:val="21"/>
                      </w:rPr>
                      <w:t>1</w:t>
                    </w:r>
                  </w:p>
                </w:txbxContent>
              </v:textbox>
              <w10:wrap type="none"/>
            </v:shape>
            <v:shape style="position:absolute;left:340;top:0;width:8731;height:726" type="#_x0000_t202" filled="true" fillcolor="#fdebea" stroked="false">
              <v:textbox inset="0,0,0,0">
                <w:txbxContent>
                  <w:p>
                    <w:pPr>
                      <w:spacing w:before="166"/>
                      <w:ind w:left="226" w:right="0" w:firstLine="0"/>
                      <w:jc w:val="left"/>
                      <w:rPr>
                        <w:b/>
                        <w:sz w:val="32"/>
                      </w:rPr>
                    </w:pPr>
                    <w:r>
                      <w:rPr>
                        <w:b/>
                        <w:color w:val="EC5A4F"/>
                        <w:w w:val="110"/>
                        <w:sz w:val="32"/>
                      </w:rPr>
                      <w:t>Recommendation</w:t>
                    </w:r>
                  </w:p>
                </w:txbxContent>
              </v:textbox>
              <v:fill type="solid"/>
              <w10:wrap type="none"/>
            </v:shape>
          </v:group>
        </w:pict>
      </w:r>
      <w:r>
        <w:rPr>
          <w:sz w:val="20"/>
        </w:rPr>
      </w:r>
    </w:p>
    <w:p>
      <w:pPr>
        <w:pStyle w:val="BodyText"/>
        <w:rPr>
          <w:sz w:val="16"/>
        </w:rPr>
      </w:pPr>
    </w:p>
    <w:p>
      <w:pPr>
        <w:pStyle w:val="Heading4"/>
        <w:spacing w:before="99"/>
      </w:pPr>
      <w:r>
        <w:rPr>
          <w:color w:val="EC5A4F"/>
          <w:w w:val="115"/>
        </w:rPr>
        <w:t>Doctrine of undue influence</w:t>
      </w:r>
    </w:p>
    <w:p>
      <w:pPr>
        <w:pStyle w:val="ListParagraph"/>
        <w:numPr>
          <w:ilvl w:val="1"/>
          <w:numId w:val="22"/>
        </w:numPr>
        <w:tabs>
          <w:tab w:pos="2382" w:val="left" w:leader="none"/>
        </w:tabs>
        <w:spacing w:line="242" w:lineRule="auto" w:before="155" w:after="0"/>
        <w:ind w:left="2381" w:right="1632" w:hanging="794"/>
        <w:jc w:val="both"/>
        <w:rPr>
          <w:sz w:val="21"/>
        </w:rPr>
      </w:pPr>
      <w:r>
        <w:rPr>
          <w:spacing w:val="-3"/>
          <w:w w:val="105"/>
          <w:sz w:val="21"/>
        </w:rPr>
        <w:t>According to </w:t>
      </w:r>
      <w:r>
        <w:rPr>
          <w:w w:val="105"/>
          <w:sz w:val="21"/>
        </w:rPr>
        <w:t>the doctrine of </w:t>
      </w:r>
      <w:r>
        <w:rPr>
          <w:spacing w:val="-3"/>
          <w:w w:val="105"/>
          <w:sz w:val="21"/>
        </w:rPr>
        <w:t>undue influence that </w:t>
      </w:r>
      <w:r>
        <w:rPr>
          <w:w w:val="105"/>
          <w:sz w:val="21"/>
        </w:rPr>
        <w:t>applies in </w:t>
      </w:r>
      <w:r>
        <w:rPr>
          <w:spacing w:val="-3"/>
          <w:w w:val="105"/>
          <w:sz w:val="21"/>
        </w:rPr>
        <w:t>probate proceedings, undue influence involves </w:t>
      </w:r>
      <w:r>
        <w:rPr>
          <w:w w:val="105"/>
          <w:sz w:val="21"/>
        </w:rPr>
        <w:t>the </w:t>
      </w:r>
      <w:r>
        <w:rPr>
          <w:spacing w:val="-3"/>
          <w:w w:val="105"/>
          <w:sz w:val="21"/>
        </w:rPr>
        <w:t>imposition </w:t>
      </w:r>
      <w:r>
        <w:rPr>
          <w:w w:val="105"/>
          <w:sz w:val="21"/>
        </w:rPr>
        <w:t>of </w:t>
      </w:r>
      <w:r>
        <w:rPr>
          <w:spacing w:val="-3"/>
          <w:w w:val="105"/>
          <w:sz w:val="21"/>
        </w:rPr>
        <w:t>pressure </w:t>
      </w:r>
      <w:r>
        <w:rPr>
          <w:w w:val="105"/>
          <w:sz w:val="21"/>
        </w:rPr>
        <w:t>on a person </w:t>
      </w:r>
      <w:r>
        <w:rPr>
          <w:spacing w:val="-3"/>
          <w:w w:val="105"/>
          <w:sz w:val="21"/>
        </w:rPr>
        <w:t>that </w:t>
      </w:r>
      <w:r>
        <w:rPr>
          <w:w w:val="105"/>
          <w:sz w:val="21"/>
        </w:rPr>
        <w:t>causes them </w:t>
      </w:r>
      <w:r>
        <w:rPr>
          <w:spacing w:val="-3"/>
          <w:w w:val="105"/>
          <w:sz w:val="21"/>
        </w:rPr>
        <w:t>to </w:t>
      </w:r>
      <w:r>
        <w:rPr>
          <w:spacing w:val="-4"/>
          <w:w w:val="105"/>
          <w:sz w:val="21"/>
        </w:rPr>
        <w:t>make </w:t>
      </w:r>
      <w:r>
        <w:rPr>
          <w:w w:val="105"/>
          <w:sz w:val="21"/>
        </w:rPr>
        <w:t>a </w:t>
      </w:r>
      <w:r>
        <w:rPr>
          <w:spacing w:val="-3"/>
          <w:w w:val="105"/>
          <w:sz w:val="21"/>
        </w:rPr>
        <w:t>will that</w:t>
      </w:r>
      <w:r>
        <w:rPr>
          <w:spacing w:val="-6"/>
          <w:w w:val="105"/>
          <w:sz w:val="21"/>
        </w:rPr>
        <w:t> </w:t>
      </w:r>
      <w:r>
        <w:rPr>
          <w:w w:val="105"/>
          <w:sz w:val="21"/>
        </w:rPr>
        <w:t>does</w:t>
      </w:r>
      <w:r>
        <w:rPr>
          <w:spacing w:val="-6"/>
          <w:w w:val="105"/>
          <w:sz w:val="21"/>
        </w:rPr>
        <w:t> </w:t>
      </w:r>
      <w:r>
        <w:rPr>
          <w:spacing w:val="-2"/>
          <w:w w:val="105"/>
          <w:sz w:val="21"/>
        </w:rPr>
        <w:t>not</w:t>
      </w:r>
      <w:r>
        <w:rPr>
          <w:spacing w:val="-5"/>
          <w:w w:val="105"/>
          <w:sz w:val="21"/>
        </w:rPr>
        <w:t> </w:t>
      </w:r>
      <w:r>
        <w:rPr>
          <w:w w:val="105"/>
          <w:sz w:val="21"/>
        </w:rPr>
        <w:t>reflect</w:t>
      </w:r>
      <w:r>
        <w:rPr>
          <w:spacing w:val="-6"/>
          <w:w w:val="105"/>
          <w:sz w:val="21"/>
        </w:rPr>
        <w:t> </w:t>
      </w:r>
      <w:r>
        <w:rPr>
          <w:w w:val="105"/>
          <w:sz w:val="21"/>
        </w:rPr>
        <w:t>their</w:t>
      </w:r>
      <w:r>
        <w:rPr>
          <w:spacing w:val="-5"/>
          <w:w w:val="105"/>
          <w:sz w:val="21"/>
        </w:rPr>
        <w:t> </w:t>
      </w:r>
      <w:r>
        <w:rPr>
          <w:w w:val="105"/>
          <w:sz w:val="21"/>
        </w:rPr>
        <w:t>true</w:t>
      </w:r>
      <w:r>
        <w:rPr>
          <w:spacing w:val="-6"/>
          <w:w w:val="105"/>
          <w:sz w:val="21"/>
        </w:rPr>
        <w:t> </w:t>
      </w:r>
      <w:r>
        <w:rPr>
          <w:w w:val="105"/>
          <w:sz w:val="21"/>
        </w:rPr>
        <w:t>wishes.</w:t>
      </w:r>
      <w:r>
        <w:rPr>
          <w:spacing w:val="-5"/>
          <w:w w:val="105"/>
          <w:sz w:val="21"/>
        </w:rPr>
        <w:t> </w:t>
      </w:r>
      <w:r>
        <w:rPr>
          <w:w w:val="105"/>
          <w:sz w:val="21"/>
        </w:rPr>
        <w:t>In</w:t>
      </w:r>
      <w:r>
        <w:rPr>
          <w:spacing w:val="-6"/>
          <w:w w:val="105"/>
          <w:sz w:val="21"/>
        </w:rPr>
        <w:t> </w:t>
      </w:r>
      <w:r>
        <w:rPr>
          <w:w w:val="105"/>
          <w:sz w:val="21"/>
        </w:rPr>
        <w:t>the</w:t>
      </w:r>
      <w:r>
        <w:rPr>
          <w:spacing w:val="-5"/>
          <w:w w:val="105"/>
          <w:sz w:val="21"/>
        </w:rPr>
        <w:t> </w:t>
      </w:r>
      <w:r>
        <w:rPr>
          <w:spacing w:val="-3"/>
          <w:w w:val="105"/>
          <w:sz w:val="21"/>
        </w:rPr>
        <w:t>consultation</w:t>
      </w:r>
      <w:r>
        <w:rPr>
          <w:spacing w:val="-6"/>
          <w:w w:val="105"/>
          <w:sz w:val="21"/>
        </w:rPr>
        <w:t> </w:t>
      </w:r>
      <w:r>
        <w:rPr>
          <w:w w:val="105"/>
          <w:sz w:val="21"/>
        </w:rPr>
        <w:t>paper</w:t>
      </w:r>
      <w:r>
        <w:rPr>
          <w:spacing w:val="-5"/>
          <w:w w:val="105"/>
          <w:sz w:val="21"/>
        </w:rPr>
        <w:t> </w:t>
      </w:r>
      <w:r>
        <w:rPr>
          <w:w w:val="105"/>
          <w:sz w:val="21"/>
        </w:rPr>
        <w:t>on</w:t>
      </w:r>
      <w:r>
        <w:rPr>
          <w:spacing w:val="-6"/>
          <w:w w:val="105"/>
          <w:sz w:val="21"/>
        </w:rPr>
        <w:t> </w:t>
      </w:r>
      <w:r>
        <w:rPr>
          <w:spacing w:val="-3"/>
          <w:w w:val="105"/>
          <w:sz w:val="21"/>
        </w:rPr>
        <w:t>wills,</w:t>
      </w:r>
      <w:r>
        <w:rPr>
          <w:spacing w:val="-5"/>
          <w:w w:val="105"/>
          <w:sz w:val="21"/>
        </w:rPr>
        <w:t> </w:t>
      </w:r>
      <w:r>
        <w:rPr>
          <w:w w:val="105"/>
          <w:sz w:val="21"/>
        </w:rPr>
        <w:t>the</w:t>
      </w:r>
      <w:r>
        <w:rPr>
          <w:spacing w:val="-6"/>
          <w:w w:val="105"/>
          <w:sz w:val="21"/>
        </w:rPr>
        <w:t> </w:t>
      </w:r>
      <w:r>
        <w:rPr>
          <w:spacing w:val="-3"/>
          <w:w w:val="105"/>
          <w:sz w:val="21"/>
        </w:rPr>
        <w:t>Commission asked</w:t>
      </w:r>
      <w:r>
        <w:rPr>
          <w:spacing w:val="-6"/>
          <w:w w:val="105"/>
          <w:sz w:val="21"/>
        </w:rPr>
        <w:t> </w:t>
      </w:r>
      <w:r>
        <w:rPr>
          <w:w w:val="105"/>
          <w:sz w:val="21"/>
        </w:rPr>
        <w:t>whether</w:t>
      </w:r>
      <w:r>
        <w:rPr>
          <w:spacing w:val="-5"/>
          <w:w w:val="105"/>
          <w:sz w:val="21"/>
        </w:rPr>
        <w:t> </w:t>
      </w:r>
      <w:r>
        <w:rPr>
          <w:w w:val="105"/>
          <w:sz w:val="21"/>
        </w:rPr>
        <w:t>this</w:t>
      </w:r>
      <w:r>
        <w:rPr>
          <w:spacing w:val="-5"/>
          <w:w w:val="105"/>
          <w:sz w:val="21"/>
        </w:rPr>
        <w:t> </w:t>
      </w:r>
      <w:r>
        <w:rPr>
          <w:spacing w:val="-2"/>
          <w:w w:val="105"/>
          <w:sz w:val="21"/>
        </w:rPr>
        <w:t>common</w:t>
      </w:r>
      <w:r>
        <w:rPr>
          <w:spacing w:val="-6"/>
          <w:w w:val="105"/>
          <w:sz w:val="21"/>
        </w:rPr>
        <w:t> </w:t>
      </w:r>
      <w:r>
        <w:rPr>
          <w:w w:val="105"/>
          <w:sz w:val="21"/>
        </w:rPr>
        <w:t>law</w:t>
      </w:r>
      <w:r>
        <w:rPr>
          <w:spacing w:val="-5"/>
          <w:w w:val="105"/>
          <w:sz w:val="21"/>
        </w:rPr>
        <w:t> </w:t>
      </w:r>
      <w:r>
        <w:rPr>
          <w:w w:val="105"/>
          <w:sz w:val="21"/>
        </w:rPr>
        <w:t>doctrine</w:t>
      </w:r>
      <w:r>
        <w:rPr>
          <w:spacing w:val="-5"/>
          <w:w w:val="105"/>
          <w:sz w:val="21"/>
        </w:rPr>
        <w:t> </w:t>
      </w:r>
      <w:r>
        <w:rPr>
          <w:spacing w:val="-3"/>
          <w:w w:val="105"/>
          <w:sz w:val="21"/>
        </w:rPr>
        <w:t>(‘probate</w:t>
      </w:r>
      <w:r>
        <w:rPr>
          <w:spacing w:val="-6"/>
          <w:w w:val="105"/>
          <w:sz w:val="21"/>
        </w:rPr>
        <w:t> </w:t>
      </w:r>
      <w:r>
        <w:rPr>
          <w:spacing w:val="-3"/>
          <w:w w:val="105"/>
          <w:sz w:val="21"/>
        </w:rPr>
        <w:t>undue</w:t>
      </w:r>
      <w:r>
        <w:rPr>
          <w:spacing w:val="-5"/>
          <w:w w:val="105"/>
          <w:sz w:val="21"/>
        </w:rPr>
        <w:t> </w:t>
      </w:r>
      <w:r>
        <w:rPr>
          <w:w w:val="105"/>
          <w:sz w:val="21"/>
        </w:rPr>
        <w:t>influence’)</w:t>
      </w:r>
      <w:r>
        <w:rPr>
          <w:spacing w:val="-5"/>
          <w:w w:val="105"/>
          <w:sz w:val="21"/>
        </w:rPr>
        <w:t> </w:t>
      </w:r>
      <w:r>
        <w:rPr>
          <w:w w:val="105"/>
          <w:sz w:val="21"/>
        </w:rPr>
        <w:t>should</w:t>
      </w:r>
      <w:r>
        <w:rPr>
          <w:spacing w:val="-6"/>
          <w:w w:val="105"/>
          <w:sz w:val="21"/>
        </w:rPr>
        <w:t> </w:t>
      </w:r>
      <w:r>
        <w:rPr>
          <w:w w:val="105"/>
          <w:sz w:val="21"/>
        </w:rPr>
        <w:t>be</w:t>
      </w:r>
      <w:r>
        <w:rPr>
          <w:spacing w:val="-5"/>
          <w:w w:val="105"/>
          <w:sz w:val="21"/>
        </w:rPr>
        <w:t> </w:t>
      </w:r>
      <w:r>
        <w:rPr>
          <w:spacing w:val="-3"/>
          <w:w w:val="105"/>
          <w:sz w:val="21"/>
        </w:rPr>
        <w:t>changed.</w:t>
      </w:r>
    </w:p>
    <w:p>
      <w:pPr>
        <w:pStyle w:val="ListParagraph"/>
        <w:numPr>
          <w:ilvl w:val="1"/>
          <w:numId w:val="22"/>
        </w:numPr>
        <w:tabs>
          <w:tab w:pos="2380" w:val="left" w:leader="none"/>
          <w:tab w:pos="2381" w:val="left" w:leader="none"/>
        </w:tabs>
        <w:spacing w:line="242" w:lineRule="auto" w:before="124" w:after="0"/>
        <w:ind w:left="2381" w:right="2125" w:hanging="794"/>
        <w:jc w:val="left"/>
        <w:rPr>
          <w:sz w:val="21"/>
        </w:rPr>
      </w:pPr>
      <w:r>
        <w:rPr>
          <w:w w:val="105"/>
          <w:sz w:val="21"/>
        </w:rPr>
        <w:t>The </w:t>
      </w:r>
      <w:r>
        <w:rPr>
          <w:spacing w:val="-3"/>
          <w:w w:val="105"/>
          <w:sz w:val="21"/>
        </w:rPr>
        <w:t>main </w:t>
      </w:r>
      <w:r>
        <w:rPr>
          <w:w w:val="105"/>
          <w:sz w:val="21"/>
        </w:rPr>
        <w:t>problem with </w:t>
      </w:r>
      <w:r>
        <w:rPr>
          <w:spacing w:val="-3"/>
          <w:w w:val="105"/>
          <w:sz w:val="21"/>
        </w:rPr>
        <w:t>probate undue influence </w:t>
      </w:r>
      <w:r>
        <w:rPr>
          <w:w w:val="105"/>
          <w:sz w:val="21"/>
        </w:rPr>
        <w:t>is </w:t>
      </w:r>
      <w:r>
        <w:rPr>
          <w:spacing w:val="-3"/>
          <w:w w:val="105"/>
          <w:sz w:val="21"/>
        </w:rPr>
        <w:t>that </w:t>
      </w:r>
      <w:r>
        <w:rPr>
          <w:w w:val="105"/>
          <w:sz w:val="21"/>
        </w:rPr>
        <w:t>it </w:t>
      </w:r>
      <w:r>
        <w:rPr>
          <w:spacing w:val="-2"/>
          <w:w w:val="105"/>
          <w:sz w:val="21"/>
        </w:rPr>
        <w:t>has </w:t>
      </w:r>
      <w:r>
        <w:rPr>
          <w:w w:val="105"/>
          <w:sz w:val="21"/>
        </w:rPr>
        <w:t>been too difficult </w:t>
      </w:r>
      <w:r>
        <w:rPr>
          <w:spacing w:val="-3"/>
          <w:w w:val="105"/>
          <w:sz w:val="21"/>
        </w:rPr>
        <w:t>to </w:t>
      </w:r>
      <w:r>
        <w:rPr>
          <w:spacing w:val="-5"/>
          <w:w w:val="105"/>
          <w:sz w:val="21"/>
        </w:rPr>
        <w:t>prove.</w:t>
      </w:r>
      <w:r>
        <w:rPr>
          <w:spacing w:val="-5"/>
          <w:w w:val="105"/>
          <w:position w:val="7"/>
          <w:sz w:val="12"/>
        </w:rPr>
        <w:t>100 </w:t>
      </w:r>
      <w:r>
        <w:rPr>
          <w:w w:val="105"/>
          <w:sz w:val="21"/>
        </w:rPr>
        <w:t>This </w:t>
      </w:r>
      <w:r>
        <w:rPr>
          <w:spacing w:val="-3"/>
          <w:w w:val="105"/>
          <w:sz w:val="21"/>
        </w:rPr>
        <w:t>may </w:t>
      </w:r>
      <w:r>
        <w:rPr>
          <w:w w:val="105"/>
          <w:sz w:val="21"/>
        </w:rPr>
        <w:t>lead </w:t>
      </w:r>
      <w:r>
        <w:rPr>
          <w:spacing w:val="-3"/>
          <w:w w:val="105"/>
          <w:sz w:val="21"/>
        </w:rPr>
        <w:t>to </w:t>
      </w:r>
      <w:r>
        <w:rPr>
          <w:w w:val="105"/>
          <w:sz w:val="21"/>
        </w:rPr>
        <w:t>the </w:t>
      </w:r>
      <w:r>
        <w:rPr>
          <w:spacing w:val="-3"/>
          <w:w w:val="105"/>
          <w:sz w:val="21"/>
        </w:rPr>
        <w:t>Court upholding </w:t>
      </w:r>
      <w:r>
        <w:rPr>
          <w:w w:val="105"/>
          <w:sz w:val="21"/>
        </w:rPr>
        <w:t>a </w:t>
      </w:r>
      <w:r>
        <w:rPr>
          <w:spacing w:val="-3"/>
          <w:w w:val="105"/>
          <w:sz w:val="21"/>
        </w:rPr>
        <w:t>will that </w:t>
      </w:r>
      <w:r>
        <w:rPr>
          <w:w w:val="105"/>
          <w:sz w:val="21"/>
        </w:rPr>
        <w:t>does </w:t>
      </w:r>
      <w:r>
        <w:rPr>
          <w:spacing w:val="-2"/>
          <w:w w:val="105"/>
          <w:sz w:val="21"/>
        </w:rPr>
        <w:t>not </w:t>
      </w:r>
      <w:r>
        <w:rPr>
          <w:w w:val="105"/>
          <w:sz w:val="21"/>
        </w:rPr>
        <w:t>in fact reflect</w:t>
      </w:r>
      <w:r>
        <w:rPr>
          <w:spacing w:val="32"/>
          <w:w w:val="105"/>
          <w:sz w:val="21"/>
        </w:rPr>
        <w:t> </w:t>
      </w:r>
      <w:r>
        <w:rPr>
          <w:w w:val="105"/>
          <w:sz w:val="21"/>
        </w:rPr>
        <w:t>the</w:t>
      </w:r>
    </w:p>
    <w:p>
      <w:pPr>
        <w:pStyle w:val="BodyText"/>
        <w:spacing w:line="242" w:lineRule="auto" w:before="2"/>
        <w:ind w:left="2381" w:right="1619" w:hanging="1"/>
        <w:rPr>
          <w:sz w:val="12"/>
        </w:rPr>
      </w:pPr>
      <w:r>
        <w:rPr>
          <w:spacing w:val="-3"/>
          <w:w w:val="105"/>
        </w:rPr>
        <w:t>will-maker’s </w:t>
      </w:r>
      <w:r>
        <w:rPr>
          <w:w w:val="105"/>
        </w:rPr>
        <w:t>true </w:t>
      </w:r>
      <w:r>
        <w:rPr>
          <w:spacing w:val="-5"/>
          <w:w w:val="105"/>
        </w:rPr>
        <w:t>intentions.</w:t>
      </w:r>
      <w:r>
        <w:rPr>
          <w:spacing w:val="-5"/>
          <w:w w:val="105"/>
          <w:position w:val="7"/>
          <w:sz w:val="12"/>
        </w:rPr>
        <w:t>101 </w:t>
      </w:r>
      <w:r>
        <w:rPr>
          <w:w w:val="105"/>
        </w:rPr>
        <w:t>This is particularly </w:t>
      </w:r>
      <w:r>
        <w:rPr>
          <w:spacing w:val="-3"/>
          <w:w w:val="105"/>
        </w:rPr>
        <w:t>concerning </w:t>
      </w:r>
      <w:r>
        <w:rPr>
          <w:w w:val="105"/>
        </w:rPr>
        <w:t>given the ageing population and </w:t>
      </w:r>
      <w:r>
        <w:rPr>
          <w:spacing w:val="-3"/>
          <w:w w:val="105"/>
        </w:rPr>
        <w:t>increasing vulnerability </w:t>
      </w:r>
      <w:r>
        <w:rPr>
          <w:w w:val="105"/>
        </w:rPr>
        <w:t>of older people </w:t>
      </w:r>
      <w:r>
        <w:rPr>
          <w:spacing w:val="-3"/>
          <w:w w:val="105"/>
        </w:rPr>
        <w:t>making wills. </w:t>
      </w:r>
      <w:r>
        <w:rPr>
          <w:w w:val="105"/>
        </w:rPr>
        <w:t>As the population ages, there </w:t>
      </w:r>
      <w:r>
        <w:rPr>
          <w:spacing w:val="-3"/>
          <w:w w:val="105"/>
        </w:rPr>
        <w:t>may </w:t>
      </w:r>
      <w:r>
        <w:rPr>
          <w:w w:val="105"/>
        </w:rPr>
        <w:t>be an </w:t>
      </w:r>
      <w:r>
        <w:rPr>
          <w:spacing w:val="-3"/>
          <w:w w:val="105"/>
        </w:rPr>
        <w:t>increasing </w:t>
      </w:r>
      <w:r>
        <w:rPr>
          <w:w w:val="105"/>
        </w:rPr>
        <w:t>number of people </w:t>
      </w:r>
      <w:r>
        <w:rPr>
          <w:spacing w:val="-3"/>
          <w:w w:val="105"/>
        </w:rPr>
        <w:t>who, </w:t>
      </w:r>
      <w:r>
        <w:rPr>
          <w:w w:val="105"/>
        </w:rPr>
        <w:t>despite </w:t>
      </w:r>
      <w:r>
        <w:rPr>
          <w:spacing w:val="-3"/>
          <w:w w:val="105"/>
        </w:rPr>
        <w:t>having </w:t>
      </w:r>
      <w:r>
        <w:rPr>
          <w:w w:val="105"/>
        </w:rPr>
        <w:t>testamentary </w:t>
      </w:r>
      <w:r>
        <w:rPr>
          <w:spacing w:val="-3"/>
          <w:w w:val="105"/>
        </w:rPr>
        <w:t>capacity, are vulnerable to pressure from relatives, </w:t>
      </w:r>
      <w:r>
        <w:rPr>
          <w:w w:val="105"/>
        </w:rPr>
        <w:t>caregivers and </w:t>
      </w:r>
      <w:r>
        <w:rPr>
          <w:spacing w:val="-4"/>
          <w:w w:val="105"/>
        </w:rPr>
        <w:t>others.</w:t>
      </w:r>
      <w:r>
        <w:rPr>
          <w:spacing w:val="-4"/>
          <w:w w:val="105"/>
          <w:position w:val="7"/>
          <w:sz w:val="12"/>
        </w:rPr>
        <w:t>102</w:t>
      </w:r>
    </w:p>
    <w:p>
      <w:pPr>
        <w:pStyle w:val="ListParagraph"/>
        <w:numPr>
          <w:ilvl w:val="1"/>
          <w:numId w:val="22"/>
        </w:numPr>
        <w:tabs>
          <w:tab w:pos="2381" w:val="left" w:leader="none"/>
          <w:tab w:pos="2382" w:val="left" w:leader="none"/>
        </w:tabs>
        <w:spacing w:line="242" w:lineRule="auto" w:before="125" w:after="0"/>
        <w:ind w:left="2381" w:right="2040" w:hanging="794"/>
        <w:jc w:val="left"/>
        <w:rPr>
          <w:sz w:val="21"/>
        </w:rPr>
      </w:pPr>
      <w:r>
        <w:rPr>
          <w:w w:val="105"/>
          <w:sz w:val="21"/>
        </w:rPr>
        <w:t>Undue</w:t>
      </w:r>
      <w:r>
        <w:rPr>
          <w:spacing w:val="-7"/>
          <w:w w:val="105"/>
          <w:sz w:val="21"/>
        </w:rPr>
        <w:t> </w:t>
      </w:r>
      <w:r>
        <w:rPr>
          <w:spacing w:val="-3"/>
          <w:w w:val="105"/>
          <w:sz w:val="21"/>
        </w:rPr>
        <w:t>influence</w:t>
      </w:r>
      <w:r>
        <w:rPr>
          <w:spacing w:val="-7"/>
          <w:w w:val="105"/>
          <w:sz w:val="21"/>
        </w:rPr>
        <w:t> </w:t>
      </w:r>
      <w:r>
        <w:rPr>
          <w:w w:val="105"/>
          <w:sz w:val="21"/>
        </w:rPr>
        <w:t>is</w:t>
      </w:r>
      <w:r>
        <w:rPr>
          <w:spacing w:val="-7"/>
          <w:w w:val="105"/>
          <w:sz w:val="21"/>
        </w:rPr>
        <w:t> </w:t>
      </w:r>
      <w:r>
        <w:rPr>
          <w:w w:val="105"/>
          <w:sz w:val="21"/>
        </w:rPr>
        <w:t>defined</w:t>
      </w:r>
      <w:r>
        <w:rPr>
          <w:spacing w:val="-7"/>
          <w:w w:val="105"/>
          <w:sz w:val="21"/>
        </w:rPr>
        <w:t> </w:t>
      </w:r>
      <w:r>
        <w:rPr>
          <w:w w:val="105"/>
          <w:sz w:val="21"/>
        </w:rPr>
        <w:t>differently</w:t>
      </w:r>
      <w:r>
        <w:rPr>
          <w:spacing w:val="-7"/>
          <w:w w:val="105"/>
          <w:sz w:val="21"/>
        </w:rPr>
        <w:t> </w:t>
      </w:r>
      <w:r>
        <w:rPr>
          <w:w w:val="105"/>
          <w:sz w:val="21"/>
        </w:rPr>
        <w:t>in</w:t>
      </w:r>
      <w:r>
        <w:rPr>
          <w:spacing w:val="-7"/>
          <w:w w:val="105"/>
          <w:sz w:val="21"/>
        </w:rPr>
        <w:t> </w:t>
      </w:r>
      <w:r>
        <w:rPr>
          <w:w w:val="105"/>
          <w:sz w:val="21"/>
        </w:rPr>
        <w:t>equity</w:t>
      </w:r>
      <w:r>
        <w:rPr>
          <w:spacing w:val="-27"/>
          <w:w w:val="105"/>
          <w:sz w:val="21"/>
        </w:rPr>
        <w:t> </w:t>
      </w:r>
      <w:r>
        <w:rPr>
          <w:w w:val="105"/>
          <w:position w:val="7"/>
          <w:sz w:val="12"/>
        </w:rPr>
        <w:t>103</w:t>
      </w:r>
      <w:r>
        <w:rPr>
          <w:spacing w:val="15"/>
          <w:w w:val="105"/>
          <w:position w:val="7"/>
          <w:sz w:val="12"/>
        </w:rPr>
        <w:t> </w:t>
      </w:r>
      <w:r>
        <w:rPr>
          <w:w w:val="105"/>
          <w:sz w:val="21"/>
        </w:rPr>
        <w:t>and</w:t>
      </w:r>
      <w:r>
        <w:rPr>
          <w:spacing w:val="-7"/>
          <w:w w:val="105"/>
          <w:sz w:val="21"/>
        </w:rPr>
        <w:t> </w:t>
      </w:r>
      <w:r>
        <w:rPr>
          <w:w w:val="105"/>
          <w:sz w:val="21"/>
        </w:rPr>
        <w:t>is</w:t>
      </w:r>
      <w:r>
        <w:rPr>
          <w:spacing w:val="-7"/>
          <w:w w:val="105"/>
          <w:sz w:val="21"/>
        </w:rPr>
        <w:t> </w:t>
      </w:r>
      <w:r>
        <w:rPr>
          <w:spacing w:val="-2"/>
          <w:w w:val="105"/>
          <w:sz w:val="21"/>
        </w:rPr>
        <w:t>not</w:t>
      </w:r>
      <w:r>
        <w:rPr>
          <w:spacing w:val="-7"/>
          <w:w w:val="105"/>
          <w:sz w:val="21"/>
        </w:rPr>
        <w:t> </w:t>
      </w:r>
      <w:r>
        <w:rPr>
          <w:w w:val="105"/>
          <w:sz w:val="21"/>
        </w:rPr>
        <w:t>as</w:t>
      </w:r>
      <w:r>
        <w:rPr>
          <w:spacing w:val="-7"/>
          <w:w w:val="105"/>
          <w:sz w:val="21"/>
        </w:rPr>
        <w:t> </w:t>
      </w:r>
      <w:r>
        <w:rPr>
          <w:w w:val="105"/>
          <w:sz w:val="21"/>
        </w:rPr>
        <w:t>difficult</w:t>
      </w:r>
      <w:r>
        <w:rPr>
          <w:spacing w:val="-7"/>
          <w:w w:val="105"/>
          <w:sz w:val="21"/>
        </w:rPr>
        <w:t> </w:t>
      </w:r>
      <w:r>
        <w:rPr>
          <w:spacing w:val="-3"/>
          <w:w w:val="105"/>
          <w:sz w:val="21"/>
        </w:rPr>
        <w:t>to</w:t>
      </w:r>
      <w:r>
        <w:rPr>
          <w:spacing w:val="-7"/>
          <w:w w:val="105"/>
          <w:sz w:val="21"/>
        </w:rPr>
        <w:t> </w:t>
      </w:r>
      <w:r>
        <w:rPr>
          <w:spacing w:val="-4"/>
          <w:w w:val="105"/>
          <w:sz w:val="21"/>
        </w:rPr>
        <w:t>prove.</w:t>
      </w:r>
      <w:r>
        <w:rPr>
          <w:spacing w:val="-7"/>
          <w:w w:val="105"/>
          <w:sz w:val="21"/>
        </w:rPr>
        <w:t> </w:t>
      </w:r>
      <w:r>
        <w:rPr>
          <w:w w:val="105"/>
          <w:sz w:val="21"/>
        </w:rPr>
        <w:t>This section </w:t>
      </w:r>
      <w:r>
        <w:rPr>
          <w:spacing w:val="-3"/>
          <w:w w:val="105"/>
          <w:sz w:val="21"/>
        </w:rPr>
        <w:t>outlines </w:t>
      </w:r>
      <w:r>
        <w:rPr>
          <w:w w:val="105"/>
          <w:sz w:val="21"/>
        </w:rPr>
        <w:t>the legal definition of </w:t>
      </w:r>
      <w:r>
        <w:rPr>
          <w:spacing w:val="-3"/>
          <w:w w:val="105"/>
          <w:sz w:val="21"/>
        </w:rPr>
        <w:t>undue influence </w:t>
      </w:r>
      <w:r>
        <w:rPr>
          <w:w w:val="105"/>
          <w:sz w:val="21"/>
        </w:rPr>
        <w:t>in both </w:t>
      </w:r>
      <w:r>
        <w:rPr>
          <w:spacing w:val="-3"/>
          <w:w w:val="105"/>
          <w:sz w:val="21"/>
        </w:rPr>
        <w:t>probate </w:t>
      </w:r>
      <w:r>
        <w:rPr>
          <w:w w:val="105"/>
          <w:sz w:val="21"/>
        </w:rPr>
        <w:t>and </w:t>
      </w:r>
      <w:r>
        <w:rPr>
          <w:spacing w:val="-3"/>
          <w:w w:val="105"/>
          <w:sz w:val="21"/>
        </w:rPr>
        <w:t>equity, </w:t>
      </w:r>
      <w:r>
        <w:rPr>
          <w:w w:val="105"/>
          <w:sz w:val="21"/>
        </w:rPr>
        <w:t>the</w:t>
      </w:r>
      <w:r>
        <w:rPr>
          <w:spacing w:val="-8"/>
          <w:w w:val="105"/>
          <w:sz w:val="21"/>
        </w:rPr>
        <w:t> </w:t>
      </w:r>
      <w:r>
        <w:rPr>
          <w:w w:val="105"/>
          <w:sz w:val="21"/>
        </w:rPr>
        <w:t>law</w:t>
      </w:r>
      <w:r>
        <w:rPr>
          <w:spacing w:val="-7"/>
          <w:w w:val="105"/>
          <w:sz w:val="21"/>
        </w:rPr>
        <w:t> </w:t>
      </w:r>
      <w:r>
        <w:rPr>
          <w:w w:val="105"/>
          <w:sz w:val="21"/>
        </w:rPr>
        <w:t>in</w:t>
      </w:r>
      <w:r>
        <w:rPr>
          <w:spacing w:val="-7"/>
          <w:w w:val="105"/>
          <w:sz w:val="21"/>
        </w:rPr>
        <w:t> </w:t>
      </w:r>
      <w:r>
        <w:rPr>
          <w:w w:val="105"/>
          <w:sz w:val="21"/>
        </w:rPr>
        <w:t>other</w:t>
      </w:r>
      <w:r>
        <w:rPr>
          <w:spacing w:val="-7"/>
          <w:w w:val="105"/>
          <w:sz w:val="21"/>
        </w:rPr>
        <w:t> </w:t>
      </w:r>
      <w:r>
        <w:rPr>
          <w:w w:val="105"/>
          <w:sz w:val="21"/>
        </w:rPr>
        <w:t>jurisdictions</w:t>
      </w:r>
      <w:r>
        <w:rPr>
          <w:spacing w:val="-7"/>
          <w:w w:val="105"/>
          <w:sz w:val="21"/>
        </w:rPr>
        <w:t> </w:t>
      </w:r>
      <w:r>
        <w:rPr>
          <w:w w:val="105"/>
          <w:sz w:val="21"/>
        </w:rPr>
        <w:t>and</w:t>
      </w:r>
      <w:r>
        <w:rPr>
          <w:spacing w:val="-7"/>
          <w:w w:val="105"/>
          <w:sz w:val="21"/>
        </w:rPr>
        <w:t> </w:t>
      </w:r>
      <w:r>
        <w:rPr>
          <w:w w:val="105"/>
          <w:sz w:val="21"/>
        </w:rPr>
        <w:t>the</w:t>
      </w:r>
      <w:r>
        <w:rPr>
          <w:spacing w:val="-7"/>
          <w:w w:val="105"/>
          <w:sz w:val="21"/>
        </w:rPr>
        <w:t> </w:t>
      </w:r>
      <w:r>
        <w:rPr>
          <w:w w:val="105"/>
          <w:sz w:val="21"/>
        </w:rPr>
        <w:t>views</w:t>
      </w:r>
      <w:r>
        <w:rPr>
          <w:spacing w:val="-7"/>
          <w:w w:val="105"/>
          <w:sz w:val="21"/>
        </w:rPr>
        <w:t> </w:t>
      </w:r>
      <w:r>
        <w:rPr>
          <w:w w:val="105"/>
          <w:sz w:val="21"/>
        </w:rPr>
        <w:t>of</w:t>
      </w:r>
      <w:r>
        <w:rPr>
          <w:spacing w:val="-7"/>
          <w:w w:val="105"/>
          <w:sz w:val="21"/>
        </w:rPr>
        <w:t> </w:t>
      </w:r>
      <w:r>
        <w:rPr>
          <w:w w:val="105"/>
          <w:sz w:val="21"/>
        </w:rPr>
        <w:t>those</w:t>
      </w:r>
      <w:r>
        <w:rPr>
          <w:spacing w:val="-7"/>
          <w:w w:val="105"/>
          <w:sz w:val="21"/>
        </w:rPr>
        <w:t> </w:t>
      </w:r>
      <w:r>
        <w:rPr>
          <w:spacing w:val="-3"/>
          <w:w w:val="105"/>
          <w:sz w:val="21"/>
        </w:rPr>
        <w:t>consulted</w:t>
      </w:r>
      <w:r>
        <w:rPr>
          <w:spacing w:val="-7"/>
          <w:w w:val="105"/>
          <w:sz w:val="21"/>
        </w:rPr>
        <w:t> </w:t>
      </w:r>
      <w:r>
        <w:rPr>
          <w:w w:val="105"/>
          <w:sz w:val="21"/>
        </w:rPr>
        <w:t>by</w:t>
      </w:r>
      <w:r>
        <w:rPr>
          <w:spacing w:val="-7"/>
          <w:w w:val="105"/>
          <w:sz w:val="21"/>
        </w:rPr>
        <w:t> </w:t>
      </w:r>
      <w:r>
        <w:rPr>
          <w:w w:val="105"/>
          <w:sz w:val="21"/>
        </w:rPr>
        <w:t>the</w:t>
      </w:r>
      <w:r>
        <w:rPr>
          <w:spacing w:val="-7"/>
          <w:w w:val="105"/>
          <w:sz w:val="21"/>
        </w:rPr>
        <w:t> </w:t>
      </w:r>
      <w:r>
        <w:rPr>
          <w:spacing w:val="-3"/>
          <w:w w:val="105"/>
          <w:sz w:val="21"/>
        </w:rPr>
        <w:t>Commission</w:t>
      </w:r>
      <w:r>
        <w:rPr>
          <w:spacing w:val="-7"/>
          <w:w w:val="105"/>
          <w:sz w:val="21"/>
        </w:rPr>
        <w:t> </w:t>
      </w:r>
      <w:r>
        <w:rPr>
          <w:w w:val="105"/>
          <w:sz w:val="21"/>
        </w:rPr>
        <w:t>on </w:t>
      </w:r>
      <w:r>
        <w:rPr>
          <w:spacing w:val="-3"/>
          <w:w w:val="105"/>
          <w:sz w:val="21"/>
        </w:rPr>
        <w:t>Victoria’s undue influence </w:t>
      </w:r>
      <w:r>
        <w:rPr>
          <w:spacing w:val="-5"/>
          <w:w w:val="105"/>
          <w:sz w:val="21"/>
        </w:rPr>
        <w:t>law. </w:t>
      </w:r>
      <w:r>
        <w:rPr>
          <w:w w:val="105"/>
          <w:sz w:val="21"/>
        </w:rPr>
        <w:t>It also </w:t>
      </w:r>
      <w:r>
        <w:rPr>
          <w:spacing w:val="-3"/>
          <w:w w:val="105"/>
          <w:sz w:val="21"/>
        </w:rPr>
        <w:t>outlines </w:t>
      </w:r>
      <w:r>
        <w:rPr>
          <w:w w:val="105"/>
          <w:sz w:val="21"/>
        </w:rPr>
        <w:t>the </w:t>
      </w:r>
      <w:r>
        <w:rPr>
          <w:spacing w:val="-4"/>
          <w:w w:val="105"/>
          <w:sz w:val="21"/>
        </w:rPr>
        <w:t>Commission’s </w:t>
      </w:r>
      <w:r>
        <w:rPr>
          <w:w w:val="105"/>
          <w:sz w:val="21"/>
        </w:rPr>
        <w:t>views on </w:t>
      </w:r>
      <w:r>
        <w:rPr>
          <w:spacing w:val="-3"/>
          <w:w w:val="105"/>
          <w:sz w:val="21"/>
        </w:rPr>
        <w:t>making </w:t>
      </w:r>
      <w:r>
        <w:rPr>
          <w:w w:val="105"/>
          <w:sz w:val="21"/>
        </w:rPr>
        <w:t>it </w:t>
      </w:r>
      <w:r>
        <w:rPr>
          <w:spacing w:val="-2"/>
          <w:w w:val="105"/>
          <w:sz w:val="21"/>
        </w:rPr>
        <w:t>easier</w:t>
      </w:r>
      <w:r>
        <w:rPr>
          <w:spacing w:val="4"/>
          <w:w w:val="105"/>
          <w:sz w:val="21"/>
        </w:rPr>
        <w:t> </w:t>
      </w:r>
      <w:r>
        <w:rPr>
          <w:spacing w:val="-3"/>
          <w:w w:val="105"/>
          <w:sz w:val="21"/>
        </w:rPr>
        <w:t>for</w:t>
      </w:r>
      <w:r>
        <w:rPr>
          <w:spacing w:val="4"/>
          <w:w w:val="105"/>
          <w:sz w:val="21"/>
        </w:rPr>
        <w:t> </w:t>
      </w:r>
      <w:r>
        <w:rPr>
          <w:w w:val="105"/>
          <w:sz w:val="21"/>
        </w:rPr>
        <w:t>a</w:t>
      </w:r>
      <w:r>
        <w:rPr>
          <w:spacing w:val="4"/>
          <w:w w:val="105"/>
          <w:sz w:val="21"/>
        </w:rPr>
        <w:t> </w:t>
      </w:r>
      <w:r>
        <w:rPr>
          <w:w w:val="105"/>
          <w:sz w:val="21"/>
        </w:rPr>
        <w:t>person</w:t>
      </w:r>
      <w:r>
        <w:rPr>
          <w:spacing w:val="4"/>
          <w:w w:val="105"/>
          <w:sz w:val="21"/>
        </w:rPr>
        <w:t> </w:t>
      </w:r>
      <w:r>
        <w:rPr>
          <w:spacing w:val="-3"/>
          <w:w w:val="105"/>
          <w:sz w:val="21"/>
        </w:rPr>
        <w:t>to</w:t>
      </w:r>
      <w:r>
        <w:rPr>
          <w:spacing w:val="4"/>
          <w:w w:val="105"/>
          <w:sz w:val="21"/>
        </w:rPr>
        <w:t> </w:t>
      </w:r>
      <w:r>
        <w:rPr>
          <w:spacing w:val="-3"/>
          <w:w w:val="105"/>
          <w:sz w:val="21"/>
        </w:rPr>
        <w:t>challenge</w:t>
      </w:r>
      <w:r>
        <w:rPr>
          <w:spacing w:val="4"/>
          <w:w w:val="105"/>
          <w:sz w:val="21"/>
        </w:rPr>
        <w:t> </w:t>
      </w:r>
      <w:r>
        <w:rPr>
          <w:w w:val="105"/>
          <w:sz w:val="21"/>
        </w:rPr>
        <w:t>a</w:t>
      </w:r>
      <w:r>
        <w:rPr>
          <w:spacing w:val="4"/>
          <w:w w:val="105"/>
          <w:sz w:val="21"/>
        </w:rPr>
        <w:t> </w:t>
      </w:r>
      <w:r>
        <w:rPr>
          <w:spacing w:val="-3"/>
          <w:w w:val="105"/>
          <w:sz w:val="21"/>
        </w:rPr>
        <w:t>will</w:t>
      </w:r>
      <w:r>
        <w:rPr>
          <w:spacing w:val="4"/>
          <w:w w:val="105"/>
          <w:sz w:val="21"/>
        </w:rPr>
        <w:t> </w:t>
      </w:r>
      <w:r>
        <w:rPr>
          <w:w w:val="105"/>
          <w:sz w:val="21"/>
        </w:rPr>
        <w:t>based</w:t>
      </w:r>
      <w:r>
        <w:rPr>
          <w:spacing w:val="4"/>
          <w:w w:val="105"/>
          <w:sz w:val="21"/>
        </w:rPr>
        <w:t> </w:t>
      </w:r>
      <w:r>
        <w:rPr>
          <w:w w:val="105"/>
          <w:sz w:val="21"/>
        </w:rPr>
        <w:t>on</w:t>
      </w:r>
      <w:r>
        <w:rPr>
          <w:spacing w:val="4"/>
          <w:w w:val="105"/>
          <w:sz w:val="21"/>
        </w:rPr>
        <w:t> </w:t>
      </w:r>
      <w:r>
        <w:rPr>
          <w:spacing w:val="-3"/>
          <w:w w:val="105"/>
          <w:sz w:val="21"/>
        </w:rPr>
        <w:t>undue</w:t>
      </w:r>
      <w:r>
        <w:rPr>
          <w:spacing w:val="4"/>
          <w:w w:val="105"/>
          <w:sz w:val="21"/>
        </w:rPr>
        <w:t> </w:t>
      </w:r>
      <w:r>
        <w:rPr>
          <w:spacing w:val="-3"/>
          <w:w w:val="105"/>
          <w:sz w:val="21"/>
        </w:rPr>
        <w:t>influence.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0"/>
        </w:rPr>
      </w:pPr>
      <w:r>
        <w:rPr/>
        <w:pict>
          <v:line style="position:absolute;mso-position-horizontal-relative:page;mso-position-vertical-relative:paragraph;z-index:200;mso-wrap-distance-left:0;mso-wrap-distance-right:0" from="79.370102pt,14.936313pt" to="515.905102pt,14.936313pt" stroked="true" strokeweight="1pt" strokecolor="#f9ceca">
            <v:stroke dashstyle="solid"/>
            <w10:wrap type="topAndBottom"/>
          </v:line>
        </w:pict>
      </w:r>
    </w:p>
    <w:p>
      <w:pPr>
        <w:pStyle w:val="ListParagraph"/>
        <w:numPr>
          <w:ilvl w:val="0"/>
          <w:numId w:val="25"/>
        </w:numPr>
        <w:tabs>
          <w:tab w:pos="2380" w:val="left" w:leader="none"/>
          <w:tab w:pos="2382" w:val="left" w:leader="none"/>
        </w:tabs>
        <w:spacing w:line="240" w:lineRule="auto" w:before="117" w:after="0"/>
        <w:ind w:left="2381" w:right="1607" w:hanging="794"/>
        <w:jc w:val="left"/>
        <w:rPr>
          <w:sz w:val="13"/>
        </w:rPr>
      </w:pPr>
      <w:r>
        <w:rPr>
          <w:w w:val="105"/>
          <w:sz w:val="13"/>
        </w:rPr>
        <w:t>Matthew Tyson, ‘An Analysis of the Differences Between the Doctrine of Undue Influence with Respect to Testamentary and Inter Vivos Dispositions’ (1997) 5 </w:t>
      </w:r>
      <w:r>
        <w:rPr>
          <w:i/>
          <w:w w:val="105"/>
          <w:sz w:val="13"/>
        </w:rPr>
        <w:t>Australian Property Law Journal </w:t>
      </w:r>
      <w:r>
        <w:rPr>
          <w:spacing w:val="-3"/>
          <w:w w:val="105"/>
          <w:sz w:val="13"/>
        </w:rPr>
        <w:t>1, </w:t>
      </w:r>
      <w:r>
        <w:rPr>
          <w:w w:val="105"/>
          <w:sz w:val="13"/>
        </w:rPr>
        <w:t>7; Pauline Ridge, ‘Equitable Undue Influence and Wills’ </w:t>
      </w:r>
      <w:r>
        <w:rPr>
          <w:spacing w:val="2"/>
          <w:w w:val="105"/>
          <w:sz w:val="13"/>
        </w:rPr>
        <w:t>(2004) </w:t>
      </w:r>
      <w:r>
        <w:rPr>
          <w:spacing w:val="-3"/>
          <w:w w:val="105"/>
          <w:sz w:val="13"/>
        </w:rPr>
        <w:t>120 </w:t>
      </w:r>
      <w:r>
        <w:rPr>
          <w:i/>
          <w:w w:val="105"/>
          <w:sz w:val="13"/>
        </w:rPr>
        <w:t>Law Quarterly </w:t>
      </w:r>
      <w:r>
        <w:rPr>
          <w:i/>
          <w:w w:val="105"/>
          <w:sz w:val="13"/>
        </w:rPr>
        <w:t>Review </w:t>
      </w:r>
      <w:r>
        <w:rPr>
          <w:spacing w:val="-6"/>
          <w:w w:val="105"/>
          <w:sz w:val="13"/>
        </w:rPr>
        <w:t>617, </w:t>
      </w:r>
      <w:r>
        <w:rPr>
          <w:w w:val="105"/>
          <w:sz w:val="13"/>
        </w:rPr>
        <w:t>625; John Meredith, ‘Miami Advice or California Dreaming: A Statutory Presumption of Testamentary Undue Influence in Australia?’ </w:t>
      </w:r>
      <w:r>
        <w:rPr>
          <w:spacing w:val="-3"/>
          <w:w w:val="105"/>
          <w:sz w:val="13"/>
        </w:rPr>
        <w:t>(2011) </w:t>
      </w:r>
      <w:r>
        <w:rPr>
          <w:w w:val="105"/>
          <w:sz w:val="13"/>
        </w:rPr>
        <w:t>31 </w:t>
      </w:r>
      <w:r>
        <w:rPr>
          <w:i/>
          <w:w w:val="105"/>
          <w:sz w:val="13"/>
        </w:rPr>
        <w:t>Queensland Lawyer </w:t>
      </w:r>
      <w:r>
        <w:rPr>
          <w:spacing w:val="-3"/>
          <w:w w:val="105"/>
          <w:sz w:val="13"/>
        </w:rPr>
        <w:t>170, </w:t>
      </w:r>
      <w:r>
        <w:rPr>
          <w:w w:val="105"/>
          <w:sz w:val="13"/>
        </w:rPr>
        <w:t>170; Barbara Hamilton, </w:t>
      </w:r>
      <w:r>
        <w:rPr>
          <w:spacing w:val="2"/>
          <w:w w:val="105"/>
          <w:sz w:val="13"/>
        </w:rPr>
        <w:t>‘The </w:t>
      </w:r>
      <w:r>
        <w:rPr>
          <w:w w:val="105"/>
          <w:sz w:val="13"/>
        </w:rPr>
        <w:t>Doctrine of Unconscionable Bargains in Equity: Potent Sword for Estate</w:t>
      </w:r>
      <w:r>
        <w:rPr>
          <w:spacing w:val="5"/>
          <w:w w:val="105"/>
          <w:sz w:val="13"/>
        </w:rPr>
        <w:t> </w:t>
      </w:r>
      <w:r>
        <w:rPr>
          <w:spacing w:val="2"/>
          <w:w w:val="105"/>
          <w:sz w:val="13"/>
        </w:rPr>
        <w:t>Lawyers’</w:t>
      </w:r>
      <w:r>
        <w:rPr>
          <w:spacing w:val="5"/>
          <w:w w:val="105"/>
          <w:sz w:val="13"/>
        </w:rPr>
        <w:t> </w:t>
      </w:r>
      <w:r>
        <w:rPr>
          <w:w w:val="105"/>
          <w:sz w:val="13"/>
        </w:rPr>
        <w:t>(2007)</w:t>
      </w:r>
      <w:r>
        <w:rPr>
          <w:spacing w:val="5"/>
          <w:w w:val="105"/>
          <w:sz w:val="13"/>
        </w:rPr>
        <w:t> </w:t>
      </w:r>
      <w:r>
        <w:rPr>
          <w:w w:val="105"/>
          <w:sz w:val="13"/>
        </w:rPr>
        <w:t>27</w:t>
      </w:r>
      <w:r>
        <w:rPr>
          <w:spacing w:val="5"/>
          <w:w w:val="105"/>
          <w:sz w:val="13"/>
        </w:rPr>
        <w:t> </w:t>
      </w:r>
      <w:r>
        <w:rPr>
          <w:i/>
          <w:w w:val="105"/>
          <w:sz w:val="13"/>
        </w:rPr>
        <w:t>Queensland</w:t>
      </w:r>
      <w:r>
        <w:rPr>
          <w:i/>
          <w:spacing w:val="4"/>
          <w:w w:val="105"/>
          <w:sz w:val="13"/>
        </w:rPr>
        <w:t> </w:t>
      </w:r>
      <w:r>
        <w:rPr>
          <w:i/>
          <w:w w:val="105"/>
          <w:sz w:val="13"/>
        </w:rPr>
        <w:t>Lawyer</w:t>
      </w:r>
      <w:r>
        <w:rPr>
          <w:i/>
          <w:spacing w:val="6"/>
          <w:w w:val="105"/>
          <w:sz w:val="13"/>
        </w:rPr>
        <w:t> </w:t>
      </w:r>
      <w:r>
        <w:rPr>
          <w:w w:val="105"/>
          <w:sz w:val="13"/>
        </w:rPr>
        <w:t>180,187;</w:t>
      </w:r>
      <w:r>
        <w:rPr>
          <w:spacing w:val="5"/>
          <w:w w:val="105"/>
          <w:sz w:val="13"/>
        </w:rPr>
        <w:t> </w:t>
      </w:r>
      <w:r>
        <w:rPr>
          <w:w w:val="105"/>
          <w:sz w:val="13"/>
        </w:rPr>
        <w:t>Burns,</w:t>
      </w:r>
      <w:r>
        <w:rPr>
          <w:spacing w:val="5"/>
          <w:w w:val="105"/>
          <w:sz w:val="13"/>
        </w:rPr>
        <w:t> </w:t>
      </w:r>
      <w:r>
        <w:rPr>
          <w:w w:val="105"/>
          <w:sz w:val="13"/>
        </w:rPr>
        <w:t>‘</w:t>
      </w:r>
      <w:r>
        <w:rPr>
          <w:i/>
          <w:w w:val="105"/>
          <w:sz w:val="13"/>
        </w:rPr>
        <w:t>Elders</w:t>
      </w:r>
      <w:r>
        <w:rPr>
          <w:i/>
          <w:spacing w:val="4"/>
          <w:w w:val="105"/>
          <w:sz w:val="13"/>
        </w:rPr>
        <w:t> </w:t>
      </w:r>
      <w:r>
        <w:rPr>
          <w:i/>
          <w:w w:val="105"/>
          <w:sz w:val="13"/>
        </w:rPr>
        <w:t>and</w:t>
      </w:r>
      <w:r>
        <w:rPr>
          <w:i/>
          <w:spacing w:val="4"/>
          <w:w w:val="105"/>
          <w:sz w:val="13"/>
        </w:rPr>
        <w:t> </w:t>
      </w:r>
      <w:r>
        <w:rPr>
          <w:i/>
          <w:w w:val="105"/>
          <w:sz w:val="13"/>
        </w:rPr>
        <w:t>Testamentary</w:t>
      </w:r>
      <w:r>
        <w:rPr>
          <w:i/>
          <w:spacing w:val="4"/>
          <w:w w:val="105"/>
          <w:sz w:val="13"/>
        </w:rPr>
        <w:t> </w:t>
      </w:r>
      <w:r>
        <w:rPr>
          <w:i/>
          <w:w w:val="105"/>
          <w:sz w:val="13"/>
        </w:rPr>
        <w:t>Undue</w:t>
      </w:r>
      <w:r>
        <w:rPr>
          <w:i/>
          <w:spacing w:val="5"/>
          <w:w w:val="105"/>
          <w:sz w:val="13"/>
        </w:rPr>
        <w:t> </w:t>
      </w:r>
      <w:r>
        <w:rPr>
          <w:i/>
          <w:w w:val="105"/>
          <w:sz w:val="13"/>
        </w:rPr>
        <w:t>Influence</w:t>
      </w:r>
      <w:r>
        <w:rPr>
          <w:w w:val="105"/>
          <w:sz w:val="13"/>
        </w:rPr>
        <w:t>’,</w:t>
      </w:r>
      <w:r>
        <w:rPr>
          <w:spacing w:val="5"/>
          <w:w w:val="105"/>
          <w:sz w:val="13"/>
        </w:rPr>
        <w:t> </w:t>
      </w:r>
      <w:r>
        <w:rPr>
          <w:w w:val="105"/>
          <w:sz w:val="13"/>
        </w:rPr>
        <w:t>above</w:t>
      </w:r>
      <w:r>
        <w:rPr>
          <w:spacing w:val="5"/>
          <w:w w:val="105"/>
          <w:sz w:val="13"/>
        </w:rPr>
        <w:t> </w:t>
      </w:r>
      <w:r>
        <w:rPr>
          <w:w w:val="105"/>
          <w:sz w:val="13"/>
        </w:rPr>
        <w:t>n</w:t>
      </w:r>
      <w:r>
        <w:rPr>
          <w:spacing w:val="5"/>
          <w:w w:val="105"/>
          <w:sz w:val="13"/>
        </w:rPr>
        <w:t> </w:t>
      </w:r>
      <w:r>
        <w:rPr>
          <w:w w:val="105"/>
          <w:sz w:val="13"/>
        </w:rPr>
        <w:t>78,</w:t>
      </w:r>
      <w:r>
        <w:rPr>
          <w:spacing w:val="5"/>
          <w:w w:val="105"/>
          <w:sz w:val="13"/>
        </w:rPr>
        <w:t> </w:t>
      </w:r>
      <w:r>
        <w:rPr>
          <w:w w:val="105"/>
          <w:sz w:val="13"/>
        </w:rPr>
        <w:t>184.</w:t>
      </w:r>
    </w:p>
    <w:p>
      <w:pPr>
        <w:pStyle w:val="ListParagraph"/>
        <w:numPr>
          <w:ilvl w:val="0"/>
          <w:numId w:val="25"/>
        </w:numPr>
        <w:tabs>
          <w:tab w:pos="2380" w:val="left" w:leader="none"/>
          <w:tab w:pos="2382" w:val="left" w:leader="none"/>
        </w:tabs>
        <w:spacing w:line="240" w:lineRule="auto" w:before="7" w:after="0"/>
        <w:ind w:left="2381" w:right="1774" w:hanging="794"/>
        <w:jc w:val="left"/>
        <w:rPr>
          <w:sz w:val="13"/>
        </w:rPr>
      </w:pPr>
      <w:r>
        <w:rPr>
          <w:w w:val="105"/>
          <w:sz w:val="13"/>
        </w:rPr>
        <w:t>Kerridge, above n 78, 310; Pauline Ridge, ‘Equitable Undue Influence and Wills’ </w:t>
      </w:r>
      <w:r>
        <w:rPr>
          <w:spacing w:val="2"/>
          <w:w w:val="105"/>
          <w:sz w:val="13"/>
        </w:rPr>
        <w:t>(2004) </w:t>
      </w:r>
      <w:r>
        <w:rPr>
          <w:spacing w:val="-3"/>
          <w:w w:val="105"/>
          <w:sz w:val="13"/>
        </w:rPr>
        <w:t>120 </w:t>
      </w:r>
      <w:r>
        <w:rPr>
          <w:i/>
          <w:w w:val="105"/>
          <w:sz w:val="13"/>
        </w:rPr>
        <w:t>Law Quarterly Review </w:t>
      </w:r>
      <w:r>
        <w:rPr>
          <w:spacing w:val="-4"/>
          <w:w w:val="105"/>
          <w:sz w:val="13"/>
        </w:rPr>
        <w:t>617; </w:t>
      </w:r>
      <w:r>
        <w:rPr>
          <w:w w:val="105"/>
          <w:sz w:val="13"/>
        </w:rPr>
        <w:t>Burns, ‘Elders and Testamentary</w:t>
      </w:r>
      <w:r>
        <w:rPr>
          <w:spacing w:val="4"/>
          <w:w w:val="105"/>
          <w:sz w:val="13"/>
        </w:rPr>
        <w:t> </w:t>
      </w:r>
      <w:r>
        <w:rPr>
          <w:w w:val="105"/>
          <w:sz w:val="13"/>
        </w:rPr>
        <w:t>Undue</w:t>
      </w:r>
      <w:r>
        <w:rPr>
          <w:spacing w:val="5"/>
          <w:w w:val="105"/>
          <w:sz w:val="13"/>
        </w:rPr>
        <w:t> </w:t>
      </w:r>
      <w:r>
        <w:rPr>
          <w:w w:val="105"/>
          <w:sz w:val="13"/>
        </w:rPr>
        <w:t>Influence’,</w:t>
      </w:r>
      <w:r>
        <w:rPr>
          <w:spacing w:val="5"/>
          <w:w w:val="105"/>
          <w:sz w:val="13"/>
        </w:rPr>
        <w:t> </w:t>
      </w:r>
      <w:r>
        <w:rPr>
          <w:w w:val="105"/>
          <w:sz w:val="13"/>
        </w:rPr>
        <w:t>above</w:t>
      </w:r>
      <w:r>
        <w:rPr>
          <w:spacing w:val="5"/>
          <w:w w:val="105"/>
          <w:sz w:val="13"/>
        </w:rPr>
        <w:t> </w:t>
      </w:r>
      <w:r>
        <w:rPr>
          <w:w w:val="105"/>
          <w:sz w:val="13"/>
        </w:rPr>
        <w:t>n</w:t>
      </w:r>
      <w:r>
        <w:rPr>
          <w:spacing w:val="5"/>
          <w:w w:val="105"/>
          <w:sz w:val="13"/>
        </w:rPr>
        <w:t> </w:t>
      </w:r>
      <w:r>
        <w:rPr>
          <w:w w:val="105"/>
          <w:sz w:val="13"/>
        </w:rPr>
        <w:t>78,</w:t>
      </w:r>
      <w:r>
        <w:rPr>
          <w:spacing w:val="4"/>
          <w:w w:val="105"/>
          <w:sz w:val="13"/>
        </w:rPr>
        <w:t> </w:t>
      </w:r>
      <w:r>
        <w:rPr>
          <w:w w:val="105"/>
          <w:sz w:val="13"/>
        </w:rPr>
        <w:t>145;</w:t>
      </w:r>
      <w:r>
        <w:rPr>
          <w:spacing w:val="5"/>
          <w:w w:val="105"/>
          <w:sz w:val="13"/>
        </w:rPr>
        <w:t> </w:t>
      </w:r>
      <w:r>
        <w:rPr>
          <w:w w:val="105"/>
          <w:sz w:val="13"/>
        </w:rPr>
        <w:t>O’Neill</w:t>
      </w:r>
      <w:r>
        <w:rPr>
          <w:spacing w:val="5"/>
          <w:w w:val="105"/>
          <w:sz w:val="13"/>
        </w:rPr>
        <w:t> </w:t>
      </w:r>
      <w:r>
        <w:rPr>
          <w:w w:val="105"/>
          <w:sz w:val="13"/>
        </w:rPr>
        <w:t>and</w:t>
      </w:r>
      <w:r>
        <w:rPr>
          <w:spacing w:val="5"/>
          <w:w w:val="105"/>
          <w:sz w:val="13"/>
        </w:rPr>
        <w:t> </w:t>
      </w:r>
      <w:r>
        <w:rPr>
          <w:w w:val="105"/>
          <w:sz w:val="13"/>
        </w:rPr>
        <w:t>Peisah,</w:t>
      </w:r>
      <w:r>
        <w:rPr>
          <w:spacing w:val="4"/>
          <w:w w:val="105"/>
          <w:sz w:val="13"/>
        </w:rPr>
        <w:t> </w:t>
      </w:r>
      <w:r>
        <w:rPr>
          <w:w w:val="105"/>
          <w:sz w:val="13"/>
        </w:rPr>
        <w:t>above</w:t>
      </w:r>
      <w:r>
        <w:rPr>
          <w:spacing w:val="5"/>
          <w:w w:val="105"/>
          <w:sz w:val="13"/>
        </w:rPr>
        <w:t> </w:t>
      </w:r>
      <w:r>
        <w:rPr>
          <w:w w:val="105"/>
          <w:sz w:val="13"/>
        </w:rPr>
        <w:t>n</w:t>
      </w:r>
      <w:r>
        <w:rPr>
          <w:spacing w:val="5"/>
          <w:w w:val="105"/>
          <w:sz w:val="13"/>
        </w:rPr>
        <w:t> </w:t>
      </w:r>
      <w:r>
        <w:rPr>
          <w:w w:val="105"/>
          <w:sz w:val="13"/>
        </w:rPr>
        <w:t>99,</w:t>
      </w:r>
      <w:r>
        <w:rPr>
          <w:spacing w:val="5"/>
          <w:w w:val="105"/>
          <w:sz w:val="13"/>
        </w:rPr>
        <w:t> </w:t>
      </w:r>
      <w:r>
        <w:rPr>
          <w:w w:val="105"/>
          <w:sz w:val="13"/>
        </w:rPr>
        <w:t>ch</w:t>
      </w:r>
      <w:r>
        <w:rPr>
          <w:spacing w:val="5"/>
          <w:w w:val="105"/>
          <w:sz w:val="13"/>
        </w:rPr>
        <w:t> </w:t>
      </w:r>
      <w:r>
        <w:rPr>
          <w:w w:val="105"/>
          <w:sz w:val="13"/>
        </w:rPr>
        <w:t>4.</w:t>
      </w:r>
    </w:p>
    <w:p>
      <w:pPr>
        <w:pStyle w:val="ListParagraph"/>
        <w:numPr>
          <w:ilvl w:val="0"/>
          <w:numId w:val="25"/>
        </w:numPr>
        <w:tabs>
          <w:tab w:pos="2380" w:val="left" w:leader="none"/>
          <w:tab w:pos="2382" w:val="left" w:leader="none"/>
        </w:tabs>
        <w:spacing w:line="240" w:lineRule="auto" w:before="2" w:after="0"/>
        <w:ind w:left="2381" w:right="0" w:hanging="794"/>
        <w:jc w:val="left"/>
        <w:rPr>
          <w:sz w:val="13"/>
        </w:rPr>
      </w:pPr>
      <w:r>
        <w:rPr>
          <w:w w:val="105"/>
          <w:sz w:val="13"/>
        </w:rPr>
        <w:t>Burns,</w:t>
      </w:r>
      <w:r>
        <w:rPr>
          <w:spacing w:val="4"/>
          <w:w w:val="105"/>
          <w:sz w:val="13"/>
        </w:rPr>
        <w:t> </w:t>
      </w:r>
      <w:r>
        <w:rPr>
          <w:w w:val="105"/>
          <w:sz w:val="13"/>
        </w:rPr>
        <w:t>‘Elders</w:t>
      </w:r>
      <w:r>
        <w:rPr>
          <w:spacing w:val="5"/>
          <w:w w:val="105"/>
          <w:sz w:val="13"/>
        </w:rPr>
        <w:t> </w:t>
      </w:r>
      <w:r>
        <w:rPr>
          <w:w w:val="105"/>
          <w:sz w:val="13"/>
        </w:rPr>
        <w:t>and</w:t>
      </w:r>
      <w:r>
        <w:rPr>
          <w:spacing w:val="4"/>
          <w:w w:val="105"/>
          <w:sz w:val="13"/>
        </w:rPr>
        <w:t> </w:t>
      </w:r>
      <w:r>
        <w:rPr>
          <w:w w:val="105"/>
          <w:sz w:val="13"/>
        </w:rPr>
        <w:t>Testamentary</w:t>
      </w:r>
      <w:r>
        <w:rPr>
          <w:spacing w:val="5"/>
          <w:w w:val="105"/>
          <w:sz w:val="13"/>
        </w:rPr>
        <w:t> </w:t>
      </w:r>
      <w:r>
        <w:rPr>
          <w:w w:val="105"/>
          <w:sz w:val="13"/>
        </w:rPr>
        <w:t>Undue</w:t>
      </w:r>
      <w:r>
        <w:rPr>
          <w:spacing w:val="5"/>
          <w:w w:val="105"/>
          <w:sz w:val="13"/>
        </w:rPr>
        <w:t> </w:t>
      </w:r>
      <w:r>
        <w:rPr>
          <w:w w:val="105"/>
          <w:sz w:val="13"/>
        </w:rPr>
        <w:t>Influence’,</w:t>
      </w:r>
      <w:r>
        <w:rPr>
          <w:spacing w:val="4"/>
          <w:w w:val="105"/>
          <w:sz w:val="13"/>
        </w:rPr>
        <w:t> </w:t>
      </w:r>
      <w:r>
        <w:rPr>
          <w:w w:val="105"/>
          <w:sz w:val="13"/>
        </w:rPr>
        <w:t>above</w:t>
      </w:r>
      <w:r>
        <w:rPr>
          <w:spacing w:val="5"/>
          <w:w w:val="105"/>
          <w:sz w:val="13"/>
        </w:rPr>
        <w:t> </w:t>
      </w:r>
      <w:r>
        <w:rPr>
          <w:w w:val="105"/>
          <w:sz w:val="13"/>
        </w:rPr>
        <w:t>n</w:t>
      </w:r>
      <w:r>
        <w:rPr>
          <w:spacing w:val="4"/>
          <w:w w:val="105"/>
          <w:sz w:val="13"/>
        </w:rPr>
        <w:t> </w:t>
      </w:r>
      <w:r>
        <w:rPr>
          <w:w w:val="105"/>
          <w:sz w:val="13"/>
        </w:rPr>
        <w:t>78,</w:t>
      </w:r>
      <w:r>
        <w:rPr>
          <w:spacing w:val="5"/>
          <w:w w:val="105"/>
          <w:sz w:val="13"/>
        </w:rPr>
        <w:t> </w:t>
      </w:r>
      <w:r>
        <w:rPr>
          <w:w w:val="105"/>
          <w:sz w:val="13"/>
        </w:rPr>
        <w:t>184.</w:t>
      </w:r>
    </w:p>
    <w:p>
      <w:pPr>
        <w:pStyle w:val="ListParagraph"/>
        <w:numPr>
          <w:ilvl w:val="0"/>
          <w:numId w:val="25"/>
        </w:numPr>
        <w:tabs>
          <w:tab w:pos="2380" w:val="left" w:leader="none"/>
          <w:tab w:pos="2382" w:val="left" w:leader="none"/>
        </w:tabs>
        <w:spacing w:line="240" w:lineRule="auto" w:before="2" w:after="0"/>
        <w:ind w:left="2381" w:right="1851" w:hanging="794"/>
        <w:jc w:val="left"/>
        <w:rPr>
          <w:sz w:val="13"/>
        </w:rPr>
      </w:pPr>
      <w:r>
        <w:rPr>
          <w:w w:val="105"/>
          <w:sz w:val="13"/>
        </w:rPr>
        <w:t>Equity is the system of law, separate from common law, which ‘supplements, corrects, and controls the rules of common law’: Peter    Butt</w:t>
      </w:r>
      <w:r>
        <w:rPr>
          <w:spacing w:val="2"/>
          <w:w w:val="105"/>
          <w:sz w:val="13"/>
        </w:rPr>
        <w:t> </w:t>
      </w:r>
      <w:r>
        <w:rPr>
          <w:w w:val="105"/>
          <w:sz w:val="13"/>
        </w:rPr>
        <w:t>and</w:t>
      </w:r>
      <w:r>
        <w:rPr>
          <w:spacing w:val="3"/>
          <w:w w:val="105"/>
          <w:sz w:val="13"/>
        </w:rPr>
        <w:t> </w:t>
      </w:r>
      <w:r>
        <w:rPr>
          <w:w w:val="105"/>
          <w:sz w:val="13"/>
        </w:rPr>
        <w:t>Peter</w:t>
      </w:r>
      <w:r>
        <w:rPr>
          <w:spacing w:val="3"/>
          <w:w w:val="105"/>
          <w:sz w:val="13"/>
        </w:rPr>
        <w:t> </w:t>
      </w:r>
      <w:r>
        <w:rPr>
          <w:w w:val="105"/>
          <w:sz w:val="13"/>
        </w:rPr>
        <w:t>Nygh</w:t>
      </w:r>
      <w:r>
        <w:rPr>
          <w:spacing w:val="3"/>
          <w:w w:val="105"/>
          <w:sz w:val="13"/>
        </w:rPr>
        <w:t> </w:t>
      </w:r>
      <w:r>
        <w:rPr>
          <w:spacing w:val="2"/>
          <w:w w:val="105"/>
          <w:sz w:val="13"/>
        </w:rPr>
        <w:t>(eds),</w:t>
      </w:r>
      <w:r>
        <w:rPr>
          <w:spacing w:val="3"/>
          <w:w w:val="105"/>
          <w:sz w:val="13"/>
        </w:rPr>
        <w:t> </w:t>
      </w:r>
      <w:r>
        <w:rPr>
          <w:i/>
          <w:w w:val="105"/>
          <w:sz w:val="13"/>
        </w:rPr>
        <w:t>Encyclopaedic</w:t>
      </w:r>
      <w:r>
        <w:rPr>
          <w:i/>
          <w:spacing w:val="2"/>
          <w:w w:val="105"/>
          <w:sz w:val="13"/>
        </w:rPr>
        <w:t> </w:t>
      </w:r>
      <w:r>
        <w:rPr>
          <w:i/>
          <w:w w:val="105"/>
          <w:sz w:val="13"/>
        </w:rPr>
        <w:t>Australian</w:t>
      </w:r>
      <w:r>
        <w:rPr>
          <w:i/>
          <w:spacing w:val="2"/>
          <w:w w:val="105"/>
          <w:sz w:val="13"/>
        </w:rPr>
        <w:t> </w:t>
      </w:r>
      <w:r>
        <w:rPr>
          <w:i/>
          <w:w w:val="105"/>
          <w:sz w:val="13"/>
        </w:rPr>
        <w:t>Legal</w:t>
      </w:r>
      <w:r>
        <w:rPr>
          <w:i/>
          <w:spacing w:val="2"/>
          <w:w w:val="105"/>
          <w:sz w:val="13"/>
        </w:rPr>
        <w:t> </w:t>
      </w:r>
      <w:r>
        <w:rPr>
          <w:i/>
          <w:w w:val="105"/>
          <w:sz w:val="13"/>
        </w:rPr>
        <w:t>Dictionary</w:t>
      </w:r>
      <w:r>
        <w:rPr>
          <w:i/>
          <w:spacing w:val="2"/>
          <w:w w:val="105"/>
          <w:sz w:val="13"/>
        </w:rPr>
        <w:t> </w:t>
      </w:r>
      <w:r>
        <w:rPr>
          <w:i/>
          <w:w w:val="105"/>
          <w:sz w:val="13"/>
        </w:rPr>
        <w:t>(online)</w:t>
      </w:r>
      <w:r>
        <w:rPr>
          <w:i/>
          <w:spacing w:val="2"/>
          <w:w w:val="105"/>
          <w:sz w:val="13"/>
        </w:rPr>
        <w:t> </w:t>
      </w:r>
      <w:r>
        <w:rPr>
          <w:spacing w:val="2"/>
          <w:w w:val="105"/>
          <w:sz w:val="13"/>
        </w:rPr>
        <w:t>(LexisNexis</w:t>
      </w:r>
      <w:r>
        <w:rPr>
          <w:spacing w:val="3"/>
          <w:w w:val="105"/>
          <w:sz w:val="13"/>
        </w:rPr>
        <w:t> </w:t>
      </w:r>
      <w:r>
        <w:rPr>
          <w:w w:val="105"/>
          <w:sz w:val="13"/>
        </w:rPr>
        <w:t>Butterworths,</w:t>
      </w:r>
      <w:r>
        <w:rPr>
          <w:spacing w:val="3"/>
          <w:w w:val="105"/>
          <w:sz w:val="13"/>
        </w:rPr>
        <w:t> </w:t>
      </w:r>
      <w:r>
        <w:rPr>
          <w:w w:val="105"/>
          <w:sz w:val="13"/>
        </w:rPr>
        <w:t>at</w:t>
      </w:r>
      <w:r>
        <w:rPr>
          <w:spacing w:val="3"/>
          <w:w w:val="105"/>
          <w:sz w:val="13"/>
        </w:rPr>
        <w:t> </w:t>
      </w:r>
      <w:r>
        <w:rPr>
          <w:w w:val="105"/>
          <w:sz w:val="13"/>
        </w:rPr>
        <w:t>20</w:t>
      </w:r>
      <w:r>
        <w:rPr>
          <w:spacing w:val="3"/>
          <w:w w:val="105"/>
          <w:sz w:val="13"/>
        </w:rPr>
        <w:t> </w:t>
      </w:r>
      <w:r>
        <w:rPr>
          <w:w w:val="105"/>
          <w:sz w:val="13"/>
        </w:rPr>
        <w:t>March</w:t>
      </w:r>
      <w:r>
        <w:rPr>
          <w:spacing w:val="3"/>
          <w:w w:val="105"/>
          <w:sz w:val="13"/>
        </w:rPr>
        <w:t> </w:t>
      </w:r>
      <w:r>
        <w:rPr>
          <w:w w:val="105"/>
          <w:sz w:val="13"/>
        </w:rPr>
        <w:t>2012).</w:t>
      </w:r>
      <w:r>
        <w:rPr>
          <w:spacing w:val="3"/>
          <w:w w:val="105"/>
          <w:sz w:val="13"/>
        </w:rPr>
        <w:t> </w:t>
      </w:r>
      <w:r>
        <w:rPr>
          <w:w w:val="105"/>
          <w:sz w:val="13"/>
        </w:rPr>
        <w:t>In</w:t>
      </w:r>
      <w:r>
        <w:rPr>
          <w:spacing w:val="3"/>
          <w:w w:val="105"/>
          <w:sz w:val="13"/>
        </w:rPr>
        <w:t> </w:t>
      </w:r>
      <w:r>
        <w:rPr>
          <w:w w:val="105"/>
          <w:sz w:val="13"/>
        </w:rPr>
        <w:t>this</w:t>
      </w:r>
      <w:r>
        <w:rPr>
          <w:spacing w:val="3"/>
          <w:w w:val="105"/>
          <w:sz w:val="13"/>
        </w:rPr>
        <w:t> </w:t>
      </w:r>
      <w:r>
        <w:rPr>
          <w:w w:val="105"/>
          <w:sz w:val="13"/>
        </w:rPr>
        <w:t>sense,</w:t>
      </w:r>
    </w:p>
    <w:p>
      <w:pPr>
        <w:spacing w:before="2"/>
        <w:ind w:left="2381" w:right="0" w:firstLine="0"/>
        <w:jc w:val="left"/>
        <w:rPr>
          <w:i/>
          <w:sz w:val="13"/>
        </w:rPr>
      </w:pPr>
      <w:r>
        <w:rPr/>
        <w:pict>
          <v:shape style="position:absolute;margin-left:549.148926pt;margin-top:2.909967pt;width:12.45pt;height:14.25pt;mso-position-horizontal-relative:page;mso-position-vertical-relative:paragraph;z-index:2272" type="#_x0000_t202" filled="false" stroked="false">
            <v:textbox inset="0,0,0,0">
              <w:txbxContent>
                <w:p>
                  <w:pPr>
                    <w:spacing w:line="284" w:lineRule="exact" w:before="0"/>
                    <w:ind w:left="0" w:right="0" w:firstLine="0"/>
                    <w:jc w:val="left"/>
                    <w:rPr>
                      <w:b/>
                      <w:sz w:val="24"/>
                    </w:rPr>
                  </w:pPr>
                  <w:r>
                    <w:rPr>
                      <w:b/>
                      <w:color w:val="EC5A4F"/>
                      <w:spacing w:val="-10"/>
                      <w:w w:val="110"/>
                      <w:sz w:val="24"/>
                    </w:rPr>
                    <w:t>15</w:t>
                  </w:r>
                </w:p>
              </w:txbxContent>
            </v:textbox>
            <w10:wrap type="none"/>
          </v:shape>
        </w:pict>
      </w:r>
      <w:r>
        <w:rPr>
          <w:w w:val="105"/>
          <w:sz w:val="13"/>
        </w:rPr>
        <w:t>‘common law’ refers to ‘the law laid down by the common law courts’: Trischa Mann and Audrey Blunden (eds), </w:t>
      </w:r>
      <w:r>
        <w:rPr>
          <w:i/>
          <w:w w:val="105"/>
          <w:sz w:val="13"/>
        </w:rPr>
        <w:t>Australian Law Dictionary</w:t>
      </w:r>
    </w:p>
    <w:p>
      <w:pPr>
        <w:spacing w:before="2"/>
        <w:ind w:left="2381" w:right="0" w:firstLine="0"/>
        <w:jc w:val="left"/>
        <w:rPr>
          <w:sz w:val="13"/>
        </w:rPr>
      </w:pPr>
      <w:r>
        <w:rPr>
          <w:w w:val="105"/>
          <w:sz w:val="13"/>
        </w:rPr>
        <w:t>(Oxford, 2010).</w:t>
      </w:r>
    </w:p>
    <w:p>
      <w:pPr>
        <w:spacing w:after="0"/>
        <w:jc w:val="left"/>
        <w:rPr>
          <w:sz w:val="13"/>
        </w:rPr>
        <w:sectPr>
          <w:pgSz w:w="11910" w:h="16840"/>
          <w:pgMar w:header="805" w:footer="0" w:top="1360" w:bottom="280" w:left="0" w:right="0"/>
        </w:sectPr>
      </w:pPr>
    </w:p>
    <w:p>
      <w:pPr>
        <w:pStyle w:val="BodyText"/>
        <w:spacing w:before="11"/>
      </w:pPr>
    </w:p>
    <w:p>
      <w:pPr>
        <w:pStyle w:val="Heading5"/>
        <w:spacing w:before="99"/>
      </w:pPr>
      <w:r>
        <w:rPr>
          <w:w w:val="115"/>
        </w:rPr>
        <w:t>Probate undue influence</w:t>
      </w:r>
    </w:p>
    <w:p>
      <w:pPr>
        <w:pStyle w:val="ListParagraph"/>
        <w:numPr>
          <w:ilvl w:val="1"/>
          <w:numId w:val="22"/>
        </w:numPr>
        <w:tabs>
          <w:tab w:pos="2380" w:val="left" w:leader="none"/>
          <w:tab w:pos="2381" w:val="left" w:leader="none"/>
        </w:tabs>
        <w:spacing w:line="242" w:lineRule="auto" w:before="137" w:after="0"/>
        <w:ind w:left="2381" w:right="1626" w:hanging="794"/>
        <w:jc w:val="left"/>
        <w:rPr>
          <w:sz w:val="21"/>
        </w:rPr>
      </w:pPr>
      <w:r>
        <w:rPr>
          <w:sz w:val="21"/>
        </w:rPr>
        <w:t>In Victoria, a </w:t>
      </w:r>
      <w:r>
        <w:rPr>
          <w:spacing w:val="-3"/>
          <w:sz w:val="21"/>
        </w:rPr>
        <w:t>will </w:t>
      </w:r>
      <w:r>
        <w:rPr>
          <w:sz w:val="21"/>
        </w:rPr>
        <w:t>or part of a </w:t>
      </w:r>
      <w:r>
        <w:rPr>
          <w:spacing w:val="-3"/>
          <w:sz w:val="21"/>
        </w:rPr>
        <w:t>will may </w:t>
      </w:r>
      <w:r>
        <w:rPr>
          <w:sz w:val="21"/>
        </w:rPr>
        <w:t>be </w:t>
      </w:r>
      <w:r>
        <w:rPr>
          <w:spacing w:val="-3"/>
          <w:sz w:val="21"/>
        </w:rPr>
        <w:t>invalid  </w:t>
      </w:r>
      <w:r>
        <w:rPr>
          <w:sz w:val="21"/>
        </w:rPr>
        <w:t>because of </w:t>
      </w:r>
      <w:r>
        <w:rPr>
          <w:spacing w:val="-3"/>
          <w:sz w:val="21"/>
        </w:rPr>
        <w:t>undue</w:t>
      </w:r>
      <w:r>
        <w:rPr>
          <w:spacing w:val="41"/>
          <w:sz w:val="21"/>
        </w:rPr>
        <w:t> </w:t>
      </w:r>
      <w:r>
        <w:rPr>
          <w:spacing w:val="-3"/>
          <w:sz w:val="21"/>
        </w:rPr>
        <w:t>influence.  </w:t>
      </w:r>
      <w:r>
        <w:rPr>
          <w:sz w:val="21"/>
        </w:rPr>
        <w:t>The doctrine  of </w:t>
      </w:r>
      <w:r>
        <w:rPr>
          <w:spacing w:val="-3"/>
          <w:sz w:val="21"/>
        </w:rPr>
        <w:t>undue influence </w:t>
      </w:r>
      <w:r>
        <w:rPr>
          <w:sz w:val="21"/>
        </w:rPr>
        <w:t>is part of the </w:t>
      </w:r>
      <w:r>
        <w:rPr>
          <w:spacing w:val="-2"/>
          <w:sz w:val="21"/>
        </w:rPr>
        <w:t>common </w:t>
      </w:r>
      <w:r>
        <w:rPr>
          <w:sz w:val="21"/>
        </w:rPr>
        <w:t>law and is </w:t>
      </w:r>
      <w:r>
        <w:rPr>
          <w:spacing w:val="-2"/>
          <w:sz w:val="21"/>
        </w:rPr>
        <w:t>not </w:t>
      </w:r>
      <w:r>
        <w:rPr>
          <w:spacing w:val="-3"/>
          <w:sz w:val="21"/>
        </w:rPr>
        <w:t>referred to </w:t>
      </w:r>
      <w:r>
        <w:rPr>
          <w:sz w:val="21"/>
        </w:rPr>
        <w:t>in  </w:t>
      </w:r>
      <w:r>
        <w:rPr>
          <w:spacing w:val="-3"/>
          <w:sz w:val="21"/>
        </w:rPr>
        <w:t>legislation. </w:t>
      </w:r>
      <w:r>
        <w:rPr>
          <w:spacing w:val="-5"/>
          <w:sz w:val="21"/>
        </w:rPr>
        <w:t>Traditionally, </w:t>
      </w:r>
      <w:r>
        <w:rPr>
          <w:spacing w:val="-3"/>
          <w:sz w:val="21"/>
        </w:rPr>
        <w:t>undue influence </w:t>
      </w:r>
      <w:r>
        <w:rPr>
          <w:spacing w:val="-2"/>
          <w:sz w:val="21"/>
        </w:rPr>
        <w:t>has </w:t>
      </w:r>
      <w:r>
        <w:rPr>
          <w:sz w:val="21"/>
        </w:rPr>
        <w:t>been  </w:t>
      </w:r>
      <w:r>
        <w:rPr>
          <w:spacing w:val="-3"/>
          <w:sz w:val="21"/>
        </w:rPr>
        <w:t>considered  </w:t>
      </w:r>
      <w:r>
        <w:rPr>
          <w:sz w:val="21"/>
        </w:rPr>
        <w:t>difficult  </w:t>
      </w:r>
      <w:r>
        <w:rPr>
          <w:spacing w:val="-3"/>
          <w:sz w:val="21"/>
        </w:rPr>
        <w:t>to  prove </w:t>
      </w:r>
      <w:r>
        <w:rPr>
          <w:position w:val="7"/>
          <w:sz w:val="12"/>
        </w:rPr>
        <w:t>104</w:t>
      </w:r>
      <w:r>
        <w:rPr>
          <w:spacing w:val="27"/>
          <w:position w:val="7"/>
          <w:sz w:val="12"/>
        </w:rPr>
        <w:t> </w:t>
      </w:r>
      <w:r>
        <w:rPr>
          <w:sz w:val="21"/>
        </w:rPr>
        <w:t>and  ‘virtually  a dead letter’ in </w:t>
      </w:r>
      <w:r>
        <w:rPr>
          <w:spacing w:val="-3"/>
          <w:sz w:val="21"/>
        </w:rPr>
        <w:t>probate </w:t>
      </w:r>
      <w:r>
        <w:rPr>
          <w:spacing w:val="-6"/>
          <w:sz w:val="21"/>
        </w:rPr>
        <w:t>law.</w:t>
      </w:r>
      <w:r>
        <w:rPr>
          <w:spacing w:val="-6"/>
          <w:position w:val="7"/>
          <w:sz w:val="12"/>
        </w:rPr>
        <w:t>105 </w:t>
      </w:r>
      <w:r>
        <w:rPr>
          <w:spacing w:val="-3"/>
          <w:sz w:val="21"/>
        </w:rPr>
        <w:t>Until </w:t>
      </w:r>
      <w:r>
        <w:rPr>
          <w:sz w:val="21"/>
        </w:rPr>
        <w:t>the  Victorian  case  of  </w:t>
      </w:r>
      <w:r>
        <w:rPr>
          <w:i/>
          <w:spacing w:val="-3"/>
          <w:sz w:val="21"/>
        </w:rPr>
        <w:t>Nicholson  </w:t>
      </w:r>
      <w:r>
        <w:rPr>
          <w:i/>
          <w:sz w:val="21"/>
        </w:rPr>
        <w:t>v  Knaggs  </w:t>
      </w:r>
      <w:r>
        <w:rPr>
          <w:sz w:val="21"/>
        </w:rPr>
        <w:t>in  2009, there </w:t>
      </w:r>
      <w:r>
        <w:rPr>
          <w:spacing w:val="-2"/>
          <w:sz w:val="21"/>
        </w:rPr>
        <w:t>had </w:t>
      </w:r>
      <w:r>
        <w:rPr>
          <w:sz w:val="21"/>
        </w:rPr>
        <w:t>been only three </w:t>
      </w:r>
      <w:r>
        <w:rPr>
          <w:spacing w:val="-3"/>
          <w:sz w:val="21"/>
        </w:rPr>
        <w:t>successful </w:t>
      </w:r>
      <w:r>
        <w:rPr>
          <w:sz w:val="21"/>
        </w:rPr>
        <w:t>cases of </w:t>
      </w:r>
      <w:r>
        <w:rPr>
          <w:spacing w:val="-3"/>
          <w:sz w:val="21"/>
        </w:rPr>
        <w:t>undue influence </w:t>
      </w:r>
      <w:r>
        <w:rPr>
          <w:sz w:val="21"/>
        </w:rPr>
        <w:t>in </w:t>
      </w:r>
      <w:r>
        <w:rPr>
          <w:spacing w:val="-3"/>
          <w:sz w:val="21"/>
        </w:rPr>
        <w:t>relation to wills </w:t>
      </w:r>
      <w:r>
        <w:rPr>
          <w:sz w:val="21"/>
        </w:rPr>
        <w:t>in Australia—all</w:t>
      </w:r>
      <w:r>
        <w:rPr>
          <w:spacing w:val="16"/>
          <w:sz w:val="21"/>
        </w:rPr>
        <w:t> </w:t>
      </w:r>
      <w:r>
        <w:rPr>
          <w:sz w:val="21"/>
        </w:rPr>
        <w:t>in</w:t>
      </w:r>
      <w:r>
        <w:rPr>
          <w:spacing w:val="17"/>
          <w:sz w:val="21"/>
        </w:rPr>
        <w:t> </w:t>
      </w:r>
      <w:r>
        <w:rPr>
          <w:sz w:val="21"/>
        </w:rPr>
        <w:t>the</w:t>
      </w:r>
      <w:r>
        <w:rPr>
          <w:spacing w:val="16"/>
          <w:sz w:val="21"/>
        </w:rPr>
        <w:t> </w:t>
      </w:r>
      <w:r>
        <w:rPr>
          <w:spacing w:val="-4"/>
          <w:sz w:val="21"/>
        </w:rPr>
        <w:t>1800s.</w:t>
      </w:r>
      <w:r>
        <w:rPr>
          <w:spacing w:val="-4"/>
          <w:position w:val="7"/>
          <w:sz w:val="12"/>
        </w:rPr>
        <w:t>106</w:t>
      </w:r>
      <w:r>
        <w:rPr>
          <w:spacing w:val="15"/>
          <w:position w:val="7"/>
          <w:sz w:val="12"/>
        </w:rPr>
        <w:t> </w:t>
      </w:r>
      <w:r>
        <w:rPr>
          <w:spacing w:val="-3"/>
          <w:sz w:val="21"/>
        </w:rPr>
        <w:t>Since</w:t>
      </w:r>
      <w:r>
        <w:rPr>
          <w:spacing w:val="17"/>
          <w:sz w:val="21"/>
        </w:rPr>
        <w:t> </w:t>
      </w:r>
      <w:r>
        <w:rPr>
          <w:sz w:val="21"/>
        </w:rPr>
        <w:t>the</w:t>
      </w:r>
      <w:r>
        <w:rPr>
          <w:spacing w:val="16"/>
          <w:sz w:val="21"/>
        </w:rPr>
        <w:t> </w:t>
      </w:r>
      <w:r>
        <w:rPr>
          <w:sz w:val="21"/>
        </w:rPr>
        <w:t>decision</w:t>
      </w:r>
      <w:r>
        <w:rPr>
          <w:spacing w:val="17"/>
          <w:sz w:val="21"/>
        </w:rPr>
        <w:t> </w:t>
      </w:r>
      <w:r>
        <w:rPr>
          <w:sz w:val="21"/>
        </w:rPr>
        <w:t>in</w:t>
      </w:r>
      <w:r>
        <w:rPr>
          <w:spacing w:val="16"/>
          <w:sz w:val="21"/>
        </w:rPr>
        <w:t> </w:t>
      </w:r>
      <w:r>
        <w:rPr>
          <w:i/>
          <w:spacing w:val="-3"/>
          <w:sz w:val="21"/>
        </w:rPr>
        <w:t>Nicholson</w:t>
      </w:r>
      <w:r>
        <w:rPr>
          <w:i/>
          <w:spacing w:val="17"/>
          <w:sz w:val="21"/>
        </w:rPr>
        <w:t> </w:t>
      </w:r>
      <w:r>
        <w:rPr>
          <w:i/>
          <w:sz w:val="21"/>
        </w:rPr>
        <w:t>v</w:t>
      </w:r>
      <w:r>
        <w:rPr>
          <w:i/>
          <w:spacing w:val="16"/>
          <w:sz w:val="21"/>
        </w:rPr>
        <w:t> </w:t>
      </w:r>
      <w:r>
        <w:rPr>
          <w:i/>
          <w:sz w:val="21"/>
        </w:rPr>
        <w:t>Knaggs</w:t>
      </w:r>
      <w:r>
        <w:rPr>
          <w:i/>
          <w:spacing w:val="17"/>
          <w:sz w:val="21"/>
        </w:rPr>
        <w:t> </w:t>
      </w:r>
      <w:r>
        <w:rPr>
          <w:sz w:val="21"/>
        </w:rPr>
        <w:t>there</w:t>
      </w:r>
      <w:r>
        <w:rPr>
          <w:spacing w:val="17"/>
          <w:sz w:val="21"/>
        </w:rPr>
        <w:t> </w:t>
      </w:r>
      <w:r>
        <w:rPr>
          <w:spacing w:val="-3"/>
          <w:sz w:val="21"/>
        </w:rPr>
        <w:t>have</w:t>
      </w:r>
    </w:p>
    <w:p>
      <w:pPr>
        <w:pStyle w:val="BodyText"/>
        <w:spacing w:line="242" w:lineRule="auto" w:before="7"/>
        <w:ind w:left="2381" w:right="2120"/>
        <w:rPr>
          <w:sz w:val="12"/>
        </w:rPr>
      </w:pPr>
      <w:r>
        <w:rPr>
          <w:w w:val="105"/>
        </w:rPr>
        <w:t>been three further</w:t>
      </w:r>
      <w:r>
        <w:rPr>
          <w:spacing w:val="-3"/>
          <w:w w:val="105"/>
        </w:rPr>
        <w:t> successful </w:t>
      </w:r>
      <w:r>
        <w:rPr>
          <w:w w:val="105"/>
        </w:rPr>
        <w:t>cases of</w:t>
      </w:r>
      <w:r>
        <w:rPr>
          <w:spacing w:val="-3"/>
          <w:w w:val="105"/>
        </w:rPr>
        <w:t> undue influence </w:t>
      </w:r>
      <w:r>
        <w:rPr>
          <w:w w:val="105"/>
        </w:rPr>
        <w:t>in</w:t>
      </w:r>
      <w:r>
        <w:rPr>
          <w:spacing w:val="-3"/>
          <w:w w:val="105"/>
        </w:rPr>
        <w:t> Australia </w:t>
      </w:r>
      <w:r>
        <w:rPr>
          <w:spacing w:val="-2"/>
          <w:w w:val="105"/>
          <w:position w:val="7"/>
          <w:sz w:val="12"/>
        </w:rPr>
        <w:t>107 </w:t>
      </w:r>
      <w:r>
        <w:rPr>
          <w:w w:val="105"/>
        </w:rPr>
        <w:t>and one in the </w:t>
      </w:r>
      <w:r>
        <w:rPr>
          <w:spacing w:val="-3"/>
          <w:w w:val="105"/>
        </w:rPr>
        <w:t>United </w:t>
      </w:r>
      <w:r>
        <w:rPr>
          <w:spacing w:val="-4"/>
          <w:w w:val="105"/>
        </w:rPr>
        <w:t>Kingdom.</w:t>
      </w:r>
      <w:r>
        <w:rPr>
          <w:spacing w:val="-4"/>
          <w:w w:val="105"/>
          <w:position w:val="7"/>
          <w:sz w:val="12"/>
        </w:rPr>
        <w:t>108</w:t>
      </w:r>
    </w:p>
    <w:p>
      <w:pPr>
        <w:pStyle w:val="ListParagraph"/>
        <w:numPr>
          <w:ilvl w:val="1"/>
          <w:numId w:val="22"/>
        </w:numPr>
        <w:tabs>
          <w:tab w:pos="2380" w:val="left" w:leader="none"/>
          <w:tab w:pos="2381" w:val="left" w:leader="none"/>
        </w:tabs>
        <w:spacing w:line="242" w:lineRule="auto" w:before="122" w:after="0"/>
        <w:ind w:left="2381" w:right="1664" w:hanging="794"/>
        <w:jc w:val="left"/>
        <w:rPr>
          <w:sz w:val="21"/>
        </w:rPr>
      </w:pPr>
      <w:r>
        <w:rPr>
          <w:sz w:val="21"/>
        </w:rPr>
        <w:t>Undue </w:t>
      </w:r>
      <w:r>
        <w:rPr>
          <w:spacing w:val="-3"/>
          <w:sz w:val="21"/>
        </w:rPr>
        <w:t>influence </w:t>
      </w:r>
      <w:r>
        <w:rPr>
          <w:sz w:val="21"/>
        </w:rPr>
        <w:t>as a legal </w:t>
      </w:r>
      <w:r>
        <w:rPr>
          <w:spacing w:val="-3"/>
          <w:sz w:val="21"/>
        </w:rPr>
        <w:t>concept </w:t>
      </w:r>
      <w:r>
        <w:rPr>
          <w:sz w:val="21"/>
        </w:rPr>
        <w:t>is distinct </w:t>
      </w:r>
      <w:r>
        <w:rPr>
          <w:spacing w:val="-3"/>
          <w:sz w:val="21"/>
        </w:rPr>
        <w:t>from want  </w:t>
      </w:r>
      <w:r>
        <w:rPr>
          <w:sz w:val="21"/>
        </w:rPr>
        <w:t>of  testamentary  capacity  and </w:t>
      </w:r>
      <w:r>
        <w:rPr>
          <w:spacing w:val="-3"/>
          <w:sz w:val="21"/>
        </w:rPr>
        <w:t>want </w:t>
      </w:r>
      <w:r>
        <w:rPr>
          <w:sz w:val="21"/>
        </w:rPr>
        <w:t>of knowledge and </w:t>
      </w:r>
      <w:r>
        <w:rPr>
          <w:spacing w:val="-3"/>
          <w:sz w:val="21"/>
        </w:rPr>
        <w:t>approval, although </w:t>
      </w:r>
      <w:r>
        <w:rPr>
          <w:sz w:val="21"/>
        </w:rPr>
        <w:t>the party </w:t>
      </w:r>
      <w:r>
        <w:rPr>
          <w:spacing w:val="-3"/>
          <w:sz w:val="21"/>
        </w:rPr>
        <w:t>challenging </w:t>
      </w:r>
      <w:r>
        <w:rPr>
          <w:sz w:val="21"/>
        </w:rPr>
        <w:t>a </w:t>
      </w:r>
      <w:r>
        <w:rPr>
          <w:spacing w:val="-3"/>
          <w:sz w:val="21"/>
        </w:rPr>
        <w:t>will </w:t>
      </w:r>
      <w:r>
        <w:rPr>
          <w:sz w:val="21"/>
        </w:rPr>
        <w:t>often </w:t>
      </w:r>
      <w:r>
        <w:rPr>
          <w:spacing w:val="-2"/>
          <w:sz w:val="21"/>
        </w:rPr>
        <w:t>raises </w:t>
      </w:r>
      <w:r>
        <w:rPr>
          <w:sz w:val="21"/>
        </w:rPr>
        <w:t>these issues </w:t>
      </w:r>
      <w:r>
        <w:rPr>
          <w:spacing w:val="-5"/>
          <w:sz w:val="21"/>
        </w:rPr>
        <w:t>together.</w:t>
      </w:r>
      <w:r>
        <w:rPr>
          <w:spacing w:val="-5"/>
          <w:position w:val="7"/>
          <w:sz w:val="12"/>
        </w:rPr>
        <w:t>109 </w:t>
      </w:r>
      <w:r>
        <w:rPr>
          <w:sz w:val="21"/>
        </w:rPr>
        <w:t>A </w:t>
      </w:r>
      <w:r>
        <w:rPr>
          <w:spacing w:val="-3"/>
          <w:sz w:val="21"/>
        </w:rPr>
        <w:t>will-maker </w:t>
      </w:r>
      <w:r>
        <w:rPr>
          <w:sz w:val="21"/>
        </w:rPr>
        <w:t>must </w:t>
      </w:r>
      <w:r>
        <w:rPr>
          <w:spacing w:val="-3"/>
          <w:sz w:val="21"/>
        </w:rPr>
        <w:t>have </w:t>
      </w:r>
      <w:r>
        <w:rPr>
          <w:sz w:val="21"/>
        </w:rPr>
        <w:t>testamentary capacity in order </w:t>
      </w:r>
      <w:r>
        <w:rPr>
          <w:spacing w:val="-3"/>
          <w:sz w:val="21"/>
        </w:rPr>
        <w:t>to </w:t>
      </w:r>
      <w:r>
        <w:rPr>
          <w:sz w:val="21"/>
        </w:rPr>
        <w:t>be</w:t>
      </w:r>
      <w:r>
        <w:rPr>
          <w:spacing w:val="17"/>
          <w:sz w:val="21"/>
        </w:rPr>
        <w:t> </w:t>
      </w:r>
      <w:r>
        <w:rPr>
          <w:sz w:val="21"/>
        </w:rPr>
        <w:t>subject</w:t>
      </w:r>
    </w:p>
    <w:p>
      <w:pPr>
        <w:pStyle w:val="BodyText"/>
        <w:spacing w:line="242" w:lineRule="auto" w:before="3"/>
        <w:ind w:left="2381" w:right="2010"/>
      </w:pPr>
      <w:r>
        <w:rPr>
          <w:spacing w:val="-3"/>
        </w:rPr>
        <w:t>to undue  influence.  </w:t>
      </w:r>
      <w:r>
        <w:rPr/>
        <w:t>If the </w:t>
      </w:r>
      <w:r>
        <w:rPr>
          <w:spacing w:val="-3"/>
        </w:rPr>
        <w:t>will-maker</w:t>
      </w:r>
      <w:r>
        <w:rPr>
          <w:spacing w:val="41"/>
        </w:rPr>
        <w:t> </w:t>
      </w:r>
      <w:r>
        <w:rPr/>
        <w:t>does </w:t>
      </w:r>
      <w:r>
        <w:rPr>
          <w:spacing w:val="-2"/>
        </w:rPr>
        <w:t>not </w:t>
      </w:r>
      <w:r>
        <w:rPr>
          <w:spacing w:val="-3"/>
        </w:rPr>
        <w:t>have  </w:t>
      </w:r>
      <w:r>
        <w:rPr/>
        <w:t>testamentary capacity then the </w:t>
      </w:r>
      <w:r>
        <w:rPr>
          <w:spacing w:val="-3"/>
        </w:rPr>
        <w:t>will  </w:t>
      </w:r>
      <w:r>
        <w:rPr/>
        <w:t>is </w:t>
      </w:r>
      <w:r>
        <w:rPr>
          <w:spacing w:val="-3"/>
        </w:rPr>
        <w:t>invalid </w:t>
      </w:r>
      <w:r>
        <w:rPr/>
        <w:t>in </w:t>
      </w:r>
      <w:r>
        <w:rPr>
          <w:spacing w:val="-3"/>
        </w:rPr>
        <w:t>any</w:t>
      </w:r>
      <w:r>
        <w:rPr>
          <w:spacing w:val="36"/>
        </w:rPr>
        <w:t> </w:t>
      </w:r>
      <w:r>
        <w:rPr>
          <w:spacing w:val="-3"/>
        </w:rPr>
        <w:t>event.</w:t>
      </w:r>
    </w:p>
    <w:p>
      <w:pPr>
        <w:pStyle w:val="BodyText"/>
        <w:spacing w:before="10"/>
        <w:rPr>
          <w:sz w:val="26"/>
        </w:rPr>
      </w:pPr>
    </w:p>
    <w:p>
      <w:pPr>
        <w:pStyle w:val="Heading6"/>
      </w:pPr>
      <w:r>
        <w:rPr>
          <w:w w:val="125"/>
        </w:rPr>
        <w:t>Definition of undue influence</w:t>
      </w:r>
    </w:p>
    <w:p>
      <w:pPr>
        <w:pStyle w:val="ListParagraph"/>
        <w:numPr>
          <w:ilvl w:val="1"/>
          <w:numId w:val="22"/>
        </w:numPr>
        <w:tabs>
          <w:tab w:pos="2380" w:val="left" w:leader="none"/>
          <w:tab w:pos="2381" w:val="left" w:leader="none"/>
        </w:tabs>
        <w:spacing w:line="242" w:lineRule="auto" w:before="151" w:after="0"/>
        <w:ind w:left="2381" w:right="1626" w:hanging="794"/>
        <w:jc w:val="left"/>
        <w:rPr>
          <w:sz w:val="12"/>
        </w:rPr>
      </w:pPr>
      <w:r>
        <w:rPr>
          <w:spacing w:val="-5"/>
          <w:w w:val="105"/>
          <w:sz w:val="21"/>
        </w:rPr>
        <w:t>Traditionally, </w:t>
      </w:r>
      <w:r>
        <w:rPr>
          <w:w w:val="105"/>
          <w:sz w:val="21"/>
        </w:rPr>
        <w:t>a party seeking </w:t>
      </w:r>
      <w:r>
        <w:rPr>
          <w:spacing w:val="-3"/>
          <w:w w:val="105"/>
          <w:sz w:val="21"/>
        </w:rPr>
        <w:t>to prove probate undue influence </w:t>
      </w:r>
      <w:r>
        <w:rPr>
          <w:w w:val="105"/>
          <w:sz w:val="21"/>
        </w:rPr>
        <w:t>needs </w:t>
      </w:r>
      <w:r>
        <w:rPr>
          <w:spacing w:val="-3"/>
          <w:w w:val="105"/>
          <w:sz w:val="21"/>
        </w:rPr>
        <w:t>to demonstrate that coercion </w:t>
      </w:r>
      <w:r>
        <w:rPr>
          <w:spacing w:val="-5"/>
          <w:w w:val="105"/>
          <w:sz w:val="21"/>
        </w:rPr>
        <w:t>occurred.</w:t>
      </w:r>
      <w:r>
        <w:rPr>
          <w:spacing w:val="-5"/>
          <w:w w:val="105"/>
          <w:position w:val="7"/>
          <w:sz w:val="12"/>
        </w:rPr>
        <w:t>110 </w:t>
      </w:r>
      <w:r>
        <w:rPr>
          <w:w w:val="105"/>
          <w:sz w:val="21"/>
        </w:rPr>
        <w:t>The </w:t>
      </w:r>
      <w:r>
        <w:rPr>
          <w:spacing w:val="-3"/>
          <w:w w:val="105"/>
          <w:sz w:val="21"/>
        </w:rPr>
        <w:t>influencer </w:t>
      </w:r>
      <w:r>
        <w:rPr>
          <w:w w:val="105"/>
          <w:sz w:val="21"/>
        </w:rPr>
        <w:t>must </w:t>
      </w:r>
      <w:r>
        <w:rPr>
          <w:spacing w:val="-3"/>
          <w:w w:val="105"/>
          <w:sz w:val="21"/>
        </w:rPr>
        <w:t>have </w:t>
      </w:r>
      <w:r>
        <w:rPr>
          <w:w w:val="105"/>
          <w:sz w:val="21"/>
        </w:rPr>
        <w:t>overborne the free </w:t>
      </w:r>
      <w:r>
        <w:rPr>
          <w:spacing w:val="-3"/>
          <w:w w:val="105"/>
          <w:sz w:val="21"/>
        </w:rPr>
        <w:t>will </w:t>
      </w:r>
      <w:r>
        <w:rPr>
          <w:w w:val="105"/>
          <w:sz w:val="21"/>
        </w:rPr>
        <w:t>of the </w:t>
      </w:r>
      <w:r>
        <w:rPr>
          <w:spacing w:val="-3"/>
          <w:w w:val="105"/>
          <w:sz w:val="21"/>
        </w:rPr>
        <w:t>will-maker </w:t>
      </w:r>
      <w:r>
        <w:rPr>
          <w:w w:val="105"/>
          <w:sz w:val="21"/>
        </w:rPr>
        <w:t>so </w:t>
      </w:r>
      <w:r>
        <w:rPr>
          <w:spacing w:val="-3"/>
          <w:w w:val="105"/>
          <w:sz w:val="21"/>
        </w:rPr>
        <w:t>that </w:t>
      </w:r>
      <w:r>
        <w:rPr>
          <w:w w:val="105"/>
          <w:sz w:val="21"/>
        </w:rPr>
        <w:t>the </w:t>
      </w:r>
      <w:r>
        <w:rPr>
          <w:spacing w:val="-3"/>
          <w:w w:val="105"/>
          <w:sz w:val="21"/>
        </w:rPr>
        <w:t>will-maker </w:t>
      </w:r>
      <w:r>
        <w:rPr>
          <w:w w:val="105"/>
          <w:sz w:val="21"/>
        </w:rPr>
        <w:t>was </w:t>
      </w:r>
      <w:r>
        <w:rPr>
          <w:spacing w:val="-3"/>
          <w:w w:val="105"/>
          <w:sz w:val="21"/>
        </w:rPr>
        <w:t>coerced </w:t>
      </w:r>
      <w:r>
        <w:rPr>
          <w:spacing w:val="-4"/>
          <w:w w:val="105"/>
          <w:sz w:val="21"/>
        </w:rPr>
        <w:t>into </w:t>
      </w:r>
      <w:r>
        <w:rPr>
          <w:w w:val="105"/>
          <w:sz w:val="21"/>
        </w:rPr>
        <w:t>doing </w:t>
      </w:r>
      <w:r>
        <w:rPr>
          <w:spacing w:val="-3"/>
          <w:w w:val="105"/>
          <w:sz w:val="21"/>
        </w:rPr>
        <w:t>something </w:t>
      </w:r>
      <w:r>
        <w:rPr>
          <w:w w:val="105"/>
          <w:sz w:val="21"/>
        </w:rPr>
        <w:t>they did </w:t>
      </w:r>
      <w:r>
        <w:rPr>
          <w:spacing w:val="-2"/>
          <w:w w:val="105"/>
          <w:sz w:val="21"/>
        </w:rPr>
        <w:t>not </w:t>
      </w:r>
      <w:r>
        <w:rPr>
          <w:w w:val="105"/>
          <w:sz w:val="21"/>
        </w:rPr>
        <w:t>wish </w:t>
      </w:r>
      <w:r>
        <w:rPr>
          <w:spacing w:val="-3"/>
          <w:w w:val="105"/>
          <w:sz w:val="21"/>
        </w:rPr>
        <w:t>to </w:t>
      </w:r>
      <w:r>
        <w:rPr>
          <w:spacing w:val="-10"/>
          <w:w w:val="105"/>
          <w:sz w:val="21"/>
        </w:rPr>
        <w:t>do.</w:t>
      </w:r>
      <w:r>
        <w:rPr>
          <w:spacing w:val="-10"/>
          <w:w w:val="105"/>
          <w:position w:val="7"/>
          <w:sz w:val="12"/>
        </w:rPr>
        <w:t>111  </w:t>
      </w:r>
      <w:r>
        <w:rPr>
          <w:spacing w:val="-10"/>
          <w:w w:val="105"/>
          <w:sz w:val="12"/>
        </w:rPr>
        <w:t>    </w:t>
      </w:r>
      <w:r>
        <w:rPr>
          <w:w w:val="105"/>
          <w:sz w:val="21"/>
        </w:rPr>
        <w:t>Power </w:t>
      </w:r>
      <w:r>
        <w:rPr>
          <w:spacing w:val="-3"/>
          <w:w w:val="105"/>
          <w:sz w:val="21"/>
        </w:rPr>
        <w:t>to control </w:t>
      </w:r>
      <w:r>
        <w:rPr>
          <w:w w:val="105"/>
          <w:sz w:val="21"/>
        </w:rPr>
        <w:t>the </w:t>
      </w:r>
      <w:r>
        <w:rPr>
          <w:spacing w:val="-3"/>
          <w:w w:val="105"/>
          <w:sz w:val="21"/>
        </w:rPr>
        <w:t>will-maker </w:t>
      </w:r>
      <w:r>
        <w:rPr>
          <w:w w:val="105"/>
          <w:sz w:val="21"/>
        </w:rPr>
        <w:t>is </w:t>
      </w:r>
      <w:r>
        <w:rPr>
          <w:spacing w:val="-2"/>
          <w:w w:val="105"/>
          <w:sz w:val="21"/>
        </w:rPr>
        <w:t>not </w:t>
      </w:r>
      <w:r>
        <w:rPr>
          <w:w w:val="105"/>
          <w:sz w:val="21"/>
        </w:rPr>
        <w:t>enough </w:t>
      </w:r>
      <w:r>
        <w:rPr>
          <w:spacing w:val="-3"/>
          <w:w w:val="105"/>
          <w:sz w:val="21"/>
        </w:rPr>
        <w:t>to </w:t>
      </w:r>
      <w:r>
        <w:rPr>
          <w:w w:val="105"/>
          <w:sz w:val="21"/>
        </w:rPr>
        <w:t>establish </w:t>
      </w:r>
      <w:r>
        <w:rPr>
          <w:spacing w:val="-5"/>
          <w:w w:val="105"/>
          <w:sz w:val="21"/>
        </w:rPr>
        <w:t>coercion.</w:t>
      </w:r>
      <w:r>
        <w:rPr>
          <w:spacing w:val="-5"/>
          <w:w w:val="105"/>
          <w:position w:val="7"/>
          <w:sz w:val="12"/>
        </w:rPr>
        <w:t>112 </w:t>
      </w:r>
      <w:r>
        <w:rPr>
          <w:w w:val="105"/>
          <w:sz w:val="21"/>
        </w:rPr>
        <w:t>This led some </w:t>
      </w:r>
      <w:r>
        <w:rPr>
          <w:spacing w:val="-3"/>
          <w:w w:val="105"/>
          <w:sz w:val="21"/>
        </w:rPr>
        <w:t>to </w:t>
      </w:r>
      <w:r>
        <w:rPr>
          <w:w w:val="105"/>
          <w:sz w:val="21"/>
        </w:rPr>
        <w:t>observe </w:t>
      </w:r>
      <w:r>
        <w:rPr>
          <w:spacing w:val="-3"/>
          <w:w w:val="105"/>
          <w:sz w:val="21"/>
        </w:rPr>
        <w:t>that </w:t>
      </w:r>
      <w:r>
        <w:rPr>
          <w:w w:val="105"/>
          <w:sz w:val="21"/>
        </w:rPr>
        <w:t>the law permitted or even </w:t>
      </w:r>
      <w:r>
        <w:rPr>
          <w:spacing w:val="-3"/>
          <w:w w:val="105"/>
          <w:sz w:val="21"/>
        </w:rPr>
        <w:t>encouraged </w:t>
      </w:r>
      <w:r>
        <w:rPr>
          <w:w w:val="105"/>
          <w:sz w:val="21"/>
        </w:rPr>
        <w:t>some </w:t>
      </w:r>
      <w:r>
        <w:rPr>
          <w:spacing w:val="-3"/>
          <w:w w:val="105"/>
          <w:sz w:val="21"/>
        </w:rPr>
        <w:t>form </w:t>
      </w:r>
      <w:r>
        <w:rPr>
          <w:w w:val="105"/>
          <w:sz w:val="21"/>
        </w:rPr>
        <w:t>of </w:t>
      </w:r>
      <w:r>
        <w:rPr>
          <w:spacing w:val="-3"/>
          <w:w w:val="105"/>
          <w:sz w:val="21"/>
        </w:rPr>
        <w:t>manipulative </w:t>
      </w:r>
      <w:r>
        <w:rPr>
          <w:w w:val="105"/>
          <w:sz w:val="21"/>
        </w:rPr>
        <w:t>conduct by </w:t>
      </w:r>
      <w:r>
        <w:rPr>
          <w:spacing w:val="-3"/>
          <w:w w:val="105"/>
          <w:sz w:val="21"/>
        </w:rPr>
        <w:t>potential</w:t>
      </w:r>
      <w:r>
        <w:rPr>
          <w:spacing w:val="10"/>
          <w:w w:val="105"/>
          <w:sz w:val="21"/>
        </w:rPr>
        <w:t> </w:t>
      </w:r>
      <w:r>
        <w:rPr>
          <w:spacing w:val="-4"/>
          <w:w w:val="105"/>
          <w:sz w:val="21"/>
        </w:rPr>
        <w:t>beneficiaries.</w:t>
      </w:r>
      <w:r>
        <w:rPr>
          <w:spacing w:val="-4"/>
          <w:w w:val="105"/>
          <w:position w:val="7"/>
          <w:sz w:val="12"/>
        </w:rPr>
        <w:t>113</w:t>
      </w:r>
    </w:p>
    <w:p>
      <w:pPr>
        <w:pStyle w:val="ListParagraph"/>
        <w:numPr>
          <w:ilvl w:val="1"/>
          <w:numId w:val="22"/>
        </w:numPr>
        <w:tabs>
          <w:tab w:pos="2380" w:val="left" w:leader="none"/>
          <w:tab w:pos="2381" w:val="left" w:leader="none"/>
        </w:tabs>
        <w:spacing w:line="240" w:lineRule="auto" w:before="127" w:after="0"/>
        <w:ind w:left="2380" w:right="0" w:hanging="793"/>
        <w:jc w:val="left"/>
        <w:rPr>
          <w:sz w:val="21"/>
        </w:rPr>
      </w:pPr>
      <w:r>
        <w:rPr>
          <w:w w:val="105"/>
          <w:sz w:val="21"/>
        </w:rPr>
        <w:t>In </w:t>
      </w:r>
      <w:r>
        <w:rPr>
          <w:i/>
          <w:spacing w:val="-3"/>
          <w:w w:val="105"/>
          <w:sz w:val="21"/>
        </w:rPr>
        <w:t>Nicholson </w:t>
      </w:r>
      <w:r>
        <w:rPr>
          <w:i/>
          <w:w w:val="105"/>
          <w:sz w:val="21"/>
        </w:rPr>
        <w:t>v </w:t>
      </w:r>
      <w:r>
        <w:rPr>
          <w:i/>
          <w:spacing w:val="-3"/>
          <w:w w:val="105"/>
          <w:sz w:val="21"/>
        </w:rPr>
        <w:t>Knaggs</w:t>
      </w:r>
      <w:r>
        <w:rPr>
          <w:spacing w:val="-3"/>
          <w:w w:val="105"/>
          <w:sz w:val="21"/>
        </w:rPr>
        <w:t>, </w:t>
      </w:r>
      <w:r>
        <w:rPr>
          <w:w w:val="105"/>
          <w:sz w:val="21"/>
        </w:rPr>
        <w:t>Justice Vickery defined </w:t>
      </w:r>
      <w:r>
        <w:rPr>
          <w:spacing w:val="-4"/>
          <w:w w:val="105"/>
          <w:sz w:val="21"/>
        </w:rPr>
        <w:t>‘undue </w:t>
      </w:r>
      <w:r>
        <w:rPr>
          <w:spacing w:val="-3"/>
          <w:w w:val="105"/>
          <w:sz w:val="21"/>
        </w:rPr>
        <w:t>influence’ </w:t>
      </w:r>
      <w:r>
        <w:rPr>
          <w:w w:val="105"/>
          <w:sz w:val="21"/>
        </w:rPr>
        <w:t>by </w:t>
      </w:r>
      <w:r>
        <w:rPr>
          <w:spacing w:val="-3"/>
          <w:w w:val="105"/>
          <w:sz w:val="21"/>
        </w:rPr>
        <w:t>emphasising</w:t>
      </w:r>
      <w:r>
        <w:rPr>
          <w:spacing w:val="9"/>
          <w:w w:val="105"/>
          <w:sz w:val="21"/>
        </w:rPr>
        <w:t> </w:t>
      </w:r>
      <w:r>
        <w:rPr>
          <w:w w:val="105"/>
          <w:sz w:val="21"/>
        </w:rPr>
        <w:t>that:</w:t>
      </w:r>
    </w:p>
    <w:p>
      <w:pPr>
        <w:spacing w:line="254" w:lineRule="auto" w:before="133"/>
        <w:ind w:left="2721" w:right="2010" w:firstLine="0"/>
        <w:jc w:val="left"/>
        <w:rPr>
          <w:sz w:val="11"/>
        </w:rPr>
      </w:pPr>
      <w:r>
        <w:rPr>
          <w:w w:val="105"/>
          <w:sz w:val="20"/>
        </w:rPr>
        <w:t>The </w:t>
      </w:r>
      <w:r>
        <w:rPr>
          <w:spacing w:val="-3"/>
          <w:w w:val="105"/>
          <w:sz w:val="20"/>
        </w:rPr>
        <w:t>key </w:t>
      </w:r>
      <w:r>
        <w:rPr>
          <w:w w:val="105"/>
          <w:sz w:val="20"/>
        </w:rPr>
        <w:t>concept is that of </w:t>
      </w:r>
      <w:r>
        <w:rPr>
          <w:spacing w:val="-4"/>
          <w:w w:val="105"/>
          <w:sz w:val="20"/>
        </w:rPr>
        <w:t>‘influence’. </w:t>
      </w:r>
      <w:r>
        <w:rPr>
          <w:w w:val="105"/>
          <w:sz w:val="20"/>
        </w:rPr>
        <w:t>The influence moves from being benign and becomes undue at the point where it can no longer be said that in making the testamentary</w:t>
      </w:r>
      <w:r>
        <w:rPr>
          <w:spacing w:val="-24"/>
          <w:w w:val="105"/>
          <w:sz w:val="20"/>
        </w:rPr>
        <w:t> </w:t>
      </w:r>
      <w:r>
        <w:rPr>
          <w:w w:val="105"/>
          <w:sz w:val="20"/>
        </w:rPr>
        <w:t>instrument</w:t>
      </w:r>
      <w:r>
        <w:rPr>
          <w:spacing w:val="-23"/>
          <w:w w:val="105"/>
          <w:sz w:val="20"/>
        </w:rPr>
        <w:t> </w:t>
      </w:r>
      <w:r>
        <w:rPr>
          <w:w w:val="105"/>
          <w:sz w:val="20"/>
        </w:rPr>
        <w:t>the</w:t>
      </w:r>
      <w:r>
        <w:rPr>
          <w:spacing w:val="-24"/>
          <w:w w:val="105"/>
          <w:sz w:val="20"/>
        </w:rPr>
        <w:t> </w:t>
      </w:r>
      <w:r>
        <w:rPr>
          <w:w w:val="105"/>
          <w:sz w:val="20"/>
        </w:rPr>
        <w:t>exercise</w:t>
      </w:r>
      <w:r>
        <w:rPr>
          <w:spacing w:val="-23"/>
          <w:w w:val="105"/>
          <w:sz w:val="20"/>
        </w:rPr>
        <w:t> </w:t>
      </w:r>
      <w:r>
        <w:rPr>
          <w:w w:val="105"/>
          <w:sz w:val="20"/>
        </w:rPr>
        <w:t>represents</w:t>
      </w:r>
      <w:r>
        <w:rPr>
          <w:spacing w:val="-24"/>
          <w:w w:val="105"/>
          <w:sz w:val="20"/>
        </w:rPr>
        <w:t> </w:t>
      </w:r>
      <w:r>
        <w:rPr>
          <w:w w:val="105"/>
          <w:sz w:val="20"/>
        </w:rPr>
        <w:t>the</w:t>
      </w:r>
      <w:r>
        <w:rPr>
          <w:spacing w:val="-23"/>
          <w:w w:val="105"/>
          <w:sz w:val="20"/>
        </w:rPr>
        <w:t> </w:t>
      </w:r>
      <w:r>
        <w:rPr>
          <w:spacing w:val="-3"/>
          <w:w w:val="105"/>
          <w:sz w:val="20"/>
        </w:rPr>
        <w:t>free,</w:t>
      </w:r>
      <w:r>
        <w:rPr>
          <w:spacing w:val="-24"/>
          <w:w w:val="105"/>
          <w:sz w:val="20"/>
        </w:rPr>
        <w:t> </w:t>
      </w:r>
      <w:r>
        <w:rPr>
          <w:w w:val="105"/>
          <w:sz w:val="20"/>
        </w:rPr>
        <w:t>independent</w:t>
      </w:r>
      <w:r>
        <w:rPr>
          <w:spacing w:val="-23"/>
          <w:w w:val="105"/>
          <w:sz w:val="20"/>
        </w:rPr>
        <w:t> </w:t>
      </w:r>
      <w:r>
        <w:rPr>
          <w:w w:val="105"/>
          <w:sz w:val="20"/>
        </w:rPr>
        <w:t>and</w:t>
      </w:r>
      <w:r>
        <w:rPr>
          <w:spacing w:val="-23"/>
          <w:w w:val="105"/>
          <w:sz w:val="20"/>
        </w:rPr>
        <w:t> </w:t>
      </w:r>
      <w:r>
        <w:rPr>
          <w:w w:val="105"/>
          <w:sz w:val="20"/>
        </w:rPr>
        <w:t>voluntary will of the [will-maker]. It is the effect rather than the means which is the focus of the</w:t>
      </w:r>
      <w:r>
        <w:rPr>
          <w:spacing w:val="5"/>
          <w:w w:val="105"/>
          <w:sz w:val="20"/>
        </w:rPr>
        <w:t> </w:t>
      </w:r>
      <w:r>
        <w:rPr>
          <w:spacing w:val="-5"/>
          <w:w w:val="105"/>
          <w:sz w:val="20"/>
        </w:rPr>
        <w:t>principle.</w:t>
      </w:r>
      <w:r>
        <w:rPr>
          <w:spacing w:val="-5"/>
          <w:w w:val="105"/>
          <w:position w:val="7"/>
          <w:sz w:val="11"/>
        </w:rPr>
        <w:t>114</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8"/>
        </w:rPr>
      </w:pPr>
      <w:r>
        <w:rPr/>
        <w:pict>
          <v:line style="position:absolute;mso-position-horizontal-relative:page;mso-position-vertical-relative:paragraph;z-index:248;mso-wrap-distance-left:0;mso-wrap-distance-right:0" from="79.370102pt,20.115879pt" to="515.905102pt,20.115879pt" stroked="true" strokeweight="1pt" strokecolor="#f9ceca">
            <v:stroke dashstyle="solid"/>
            <w10:wrap type="topAndBottom"/>
          </v:line>
        </w:pict>
      </w:r>
    </w:p>
    <w:p>
      <w:pPr>
        <w:pStyle w:val="ListParagraph"/>
        <w:numPr>
          <w:ilvl w:val="0"/>
          <w:numId w:val="25"/>
        </w:numPr>
        <w:tabs>
          <w:tab w:pos="2380" w:val="left" w:leader="none"/>
          <w:tab w:pos="2382" w:val="left" w:leader="none"/>
        </w:tabs>
        <w:spacing w:line="240" w:lineRule="auto" w:before="117" w:after="0"/>
        <w:ind w:left="2381" w:right="1797" w:hanging="794"/>
        <w:jc w:val="left"/>
        <w:rPr>
          <w:sz w:val="13"/>
        </w:rPr>
      </w:pPr>
      <w:r>
        <w:rPr>
          <w:i/>
          <w:w w:val="105"/>
          <w:sz w:val="13"/>
        </w:rPr>
        <w:t>Revie v Druitt </w:t>
      </w:r>
      <w:r>
        <w:rPr>
          <w:w w:val="105"/>
          <w:sz w:val="13"/>
        </w:rPr>
        <w:t>[2005] NSWSC 902 </w:t>
      </w:r>
      <w:r>
        <w:rPr>
          <w:spacing w:val="3"/>
          <w:w w:val="105"/>
          <w:sz w:val="13"/>
        </w:rPr>
        <w:t>(8 </w:t>
      </w:r>
      <w:r>
        <w:rPr>
          <w:w w:val="105"/>
          <w:sz w:val="13"/>
        </w:rPr>
        <w:t>September 2005) </w:t>
      </w:r>
      <w:r>
        <w:rPr>
          <w:spacing w:val="3"/>
          <w:w w:val="105"/>
          <w:sz w:val="13"/>
        </w:rPr>
        <w:t>[54]; </w:t>
      </w:r>
      <w:r>
        <w:rPr>
          <w:i/>
          <w:w w:val="105"/>
          <w:sz w:val="13"/>
        </w:rPr>
        <w:t>Trustee for the Salvation Army </w:t>
      </w:r>
      <w:r>
        <w:rPr>
          <w:i/>
          <w:spacing w:val="3"/>
          <w:w w:val="105"/>
          <w:sz w:val="13"/>
        </w:rPr>
        <w:t>(NSW) </w:t>
      </w:r>
      <w:r>
        <w:rPr>
          <w:i/>
          <w:w w:val="105"/>
          <w:sz w:val="13"/>
        </w:rPr>
        <w:t>Property Trust v Becker </w:t>
      </w:r>
      <w:r>
        <w:rPr>
          <w:w w:val="105"/>
          <w:sz w:val="13"/>
        </w:rPr>
        <w:t>[2007] NSWCA 136 </w:t>
      </w:r>
      <w:r>
        <w:rPr>
          <w:spacing w:val="-3"/>
          <w:w w:val="105"/>
          <w:sz w:val="13"/>
        </w:rPr>
        <w:t>(15 </w:t>
      </w:r>
      <w:r>
        <w:rPr>
          <w:w w:val="105"/>
          <w:sz w:val="13"/>
        </w:rPr>
        <w:t>June 2007) [70]; New South Wales Law Reform Commission, </w:t>
      </w:r>
      <w:r>
        <w:rPr>
          <w:i/>
          <w:w w:val="105"/>
          <w:sz w:val="13"/>
        </w:rPr>
        <w:t>Wills: Execution and Revocation</w:t>
      </w:r>
      <w:r>
        <w:rPr>
          <w:w w:val="105"/>
          <w:sz w:val="13"/>
        </w:rPr>
        <w:t>, </w:t>
      </w:r>
      <w:r>
        <w:rPr>
          <w:spacing w:val="2"/>
          <w:w w:val="105"/>
          <w:sz w:val="13"/>
        </w:rPr>
        <w:t>Report </w:t>
      </w:r>
      <w:r>
        <w:rPr>
          <w:w w:val="105"/>
          <w:sz w:val="13"/>
        </w:rPr>
        <w:t>No 47 (1986) </w:t>
      </w:r>
      <w:r>
        <w:rPr>
          <w:spacing w:val="3"/>
          <w:w w:val="105"/>
          <w:sz w:val="13"/>
        </w:rPr>
        <w:t>[8.34]; </w:t>
      </w:r>
      <w:r>
        <w:rPr>
          <w:w w:val="105"/>
          <w:sz w:val="13"/>
        </w:rPr>
        <w:t>Prue Vines,</w:t>
      </w:r>
      <w:r>
        <w:rPr>
          <w:spacing w:val="6"/>
          <w:w w:val="105"/>
          <w:sz w:val="13"/>
        </w:rPr>
        <w:t> </w:t>
      </w:r>
      <w:r>
        <w:rPr>
          <w:w w:val="105"/>
          <w:sz w:val="13"/>
        </w:rPr>
        <w:t>‘Challenging</w:t>
      </w:r>
      <w:r>
        <w:rPr>
          <w:spacing w:val="7"/>
          <w:w w:val="105"/>
          <w:sz w:val="13"/>
        </w:rPr>
        <w:t> </w:t>
      </w:r>
      <w:r>
        <w:rPr>
          <w:w w:val="105"/>
          <w:sz w:val="13"/>
        </w:rPr>
        <w:t>the</w:t>
      </w:r>
      <w:r>
        <w:rPr>
          <w:spacing w:val="7"/>
          <w:w w:val="105"/>
          <w:sz w:val="13"/>
        </w:rPr>
        <w:t> </w:t>
      </w:r>
      <w:r>
        <w:rPr>
          <w:w w:val="105"/>
          <w:sz w:val="13"/>
        </w:rPr>
        <w:t>Testator’s</w:t>
      </w:r>
      <w:r>
        <w:rPr>
          <w:spacing w:val="7"/>
          <w:w w:val="105"/>
          <w:sz w:val="13"/>
        </w:rPr>
        <w:t> </w:t>
      </w:r>
      <w:r>
        <w:rPr>
          <w:w w:val="105"/>
          <w:sz w:val="13"/>
        </w:rPr>
        <w:t>Mind</w:t>
      </w:r>
      <w:r>
        <w:rPr>
          <w:spacing w:val="7"/>
          <w:w w:val="105"/>
          <w:sz w:val="13"/>
        </w:rPr>
        <w:t> </w:t>
      </w:r>
      <w:r>
        <w:rPr>
          <w:w w:val="105"/>
          <w:sz w:val="13"/>
        </w:rPr>
        <w:t>by</w:t>
      </w:r>
      <w:r>
        <w:rPr>
          <w:spacing w:val="7"/>
          <w:w w:val="105"/>
          <w:sz w:val="13"/>
        </w:rPr>
        <w:t> </w:t>
      </w:r>
      <w:r>
        <w:rPr>
          <w:w w:val="105"/>
          <w:sz w:val="13"/>
        </w:rPr>
        <w:t>Challenging</w:t>
      </w:r>
      <w:r>
        <w:rPr>
          <w:spacing w:val="7"/>
          <w:w w:val="105"/>
          <w:sz w:val="13"/>
        </w:rPr>
        <w:t> </w:t>
      </w:r>
      <w:r>
        <w:rPr>
          <w:w w:val="105"/>
          <w:sz w:val="13"/>
        </w:rPr>
        <w:t>Lifetime</w:t>
      </w:r>
      <w:r>
        <w:rPr>
          <w:spacing w:val="7"/>
          <w:w w:val="105"/>
          <w:sz w:val="13"/>
        </w:rPr>
        <w:t> </w:t>
      </w:r>
      <w:r>
        <w:rPr>
          <w:w w:val="105"/>
          <w:sz w:val="13"/>
        </w:rPr>
        <w:t>Transactions:</w:t>
      </w:r>
      <w:r>
        <w:rPr>
          <w:spacing w:val="6"/>
          <w:w w:val="105"/>
          <w:sz w:val="13"/>
        </w:rPr>
        <w:t> </w:t>
      </w:r>
      <w:r>
        <w:rPr>
          <w:i/>
          <w:w w:val="105"/>
          <w:sz w:val="13"/>
        </w:rPr>
        <w:t>Bridgewater</w:t>
      </w:r>
      <w:r>
        <w:rPr>
          <w:i/>
          <w:spacing w:val="6"/>
          <w:w w:val="105"/>
          <w:sz w:val="13"/>
        </w:rPr>
        <w:t> </w:t>
      </w:r>
      <w:r>
        <w:rPr>
          <w:i/>
          <w:w w:val="105"/>
          <w:sz w:val="13"/>
        </w:rPr>
        <w:t>v</w:t>
      </w:r>
      <w:r>
        <w:rPr>
          <w:i/>
          <w:spacing w:val="6"/>
          <w:w w:val="105"/>
          <w:sz w:val="13"/>
        </w:rPr>
        <w:t> </w:t>
      </w:r>
      <w:r>
        <w:rPr>
          <w:i/>
          <w:w w:val="105"/>
          <w:sz w:val="13"/>
        </w:rPr>
        <w:t>Leahy</w:t>
      </w:r>
      <w:r>
        <w:rPr>
          <w:i/>
          <w:spacing w:val="7"/>
          <w:w w:val="105"/>
          <w:sz w:val="13"/>
        </w:rPr>
        <w:t> </w:t>
      </w:r>
      <w:r>
        <w:rPr>
          <w:w w:val="105"/>
          <w:sz w:val="13"/>
        </w:rPr>
        <w:t>as</w:t>
      </w:r>
      <w:r>
        <w:rPr>
          <w:spacing w:val="7"/>
          <w:w w:val="105"/>
          <w:sz w:val="13"/>
        </w:rPr>
        <w:t> </w:t>
      </w:r>
      <w:r>
        <w:rPr>
          <w:w w:val="105"/>
          <w:sz w:val="13"/>
        </w:rPr>
        <w:t>Backdoor</w:t>
      </w:r>
      <w:r>
        <w:rPr>
          <w:spacing w:val="7"/>
          <w:w w:val="105"/>
          <w:sz w:val="13"/>
        </w:rPr>
        <w:t> </w:t>
      </w:r>
      <w:r>
        <w:rPr>
          <w:w w:val="105"/>
          <w:sz w:val="13"/>
        </w:rPr>
        <w:t>Probate</w:t>
      </w:r>
      <w:r>
        <w:rPr>
          <w:spacing w:val="7"/>
          <w:w w:val="105"/>
          <w:sz w:val="13"/>
        </w:rPr>
        <w:t> </w:t>
      </w:r>
      <w:r>
        <w:rPr>
          <w:spacing w:val="2"/>
          <w:w w:val="105"/>
          <w:sz w:val="13"/>
        </w:rPr>
        <w:t>Law?’</w:t>
      </w:r>
      <w:r>
        <w:rPr>
          <w:spacing w:val="7"/>
          <w:w w:val="105"/>
          <w:sz w:val="13"/>
        </w:rPr>
        <w:t> </w:t>
      </w:r>
      <w:r>
        <w:rPr>
          <w:w w:val="105"/>
          <w:sz w:val="13"/>
        </w:rPr>
        <w:t>(2003)</w:t>
      </w:r>
    </w:p>
    <w:p>
      <w:pPr>
        <w:spacing w:before="4"/>
        <w:ind w:left="2381" w:right="1826" w:firstLine="0"/>
        <w:jc w:val="left"/>
        <w:rPr>
          <w:sz w:val="13"/>
        </w:rPr>
      </w:pPr>
      <w:r>
        <w:rPr>
          <w:w w:val="105"/>
          <w:sz w:val="13"/>
        </w:rPr>
        <w:t>2 </w:t>
      </w:r>
      <w:r>
        <w:rPr>
          <w:i/>
          <w:w w:val="105"/>
          <w:sz w:val="13"/>
        </w:rPr>
        <w:t>Australian Property Law Journal </w:t>
      </w:r>
      <w:r>
        <w:rPr>
          <w:w w:val="105"/>
          <w:sz w:val="13"/>
        </w:rPr>
        <w:t>1, 2; Barbara Hamilton, ‘The Doctrine of Unconscionable Bargains in Equity: Potent Sword for Estate Lawyers’ (2007) 27 </w:t>
      </w:r>
      <w:r>
        <w:rPr>
          <w:i/>
          <w:w w:val="105"/>
          <w:sz w:val="13"/>
        </w:rPr>
        <w:t>Queensland Lawyer </w:t>
      </w:r>
      <w:r>
        <w:rPr>
          <w:w w:val="105"/>
          <w:sz w:val="13"/>
        </w:rPr>
        <w:t>180,180.</w:t>
      </w:r>
    </w:p>
    <w:p>
      <w:pPr>
        <w:pStyle w:val="ListParagraph"/>
        <w:numPr>
          <w:ilvl w:val="0"/>
          <w:numId w:val="25"/>
        </w:numPr>
        <w:tabs>
          <w:tab w:pos="2380" w:val="left" w:leader="none"/>
          <w:tab w:pos="2382" w:val="left" w:leader="none"/>
        </w:tabs>
        <w:spacing w:line="240" w:lineRule="auto" w:before="3" w:after="0"/>
        <w:ind w:left="2381" w:right="1726" w:hanging="794"/>
        <w:jc w:val="left"/>
        <w:rPr>
          <w:sz w:val="13"/>
        </w:rPr>
      </w:pPr>
      <w:r>
        <w:rPr>
          <w:w w:val="105"/>
          <w:sz w:val="13"/>
        </w:rPr>
        <w:t>New South Wales Law Reform Commission, </w:t>
      </w:r>
      <w:r>
        <w:rPr>
          <w:i/>
          <w:w w:val="105"/>
          <w:sz w:val="13"/>
        </w:rPr>
        <w:t>Wills: Execution and Revocation</w:t>
      </w:r>
      <w:r>
        <w:rPr>
          <w:w w:val="105"/>
          <w:sz w:val="13"/>
        </w:rPr>
        <w:t>, </w:t>
      </w:r>
      <w:r>
        <w:rPr>
          <w:spacing w:val="2"/>
          <w:w w:val="105"/>
          <w:sz w:val="13"/>
        </w:rPr>
        <w:t>Report </w:t>
      </w:r>
      <w:r>
        <w:rPr>
          <w:w w:val="105"/>
          <w:sz w:val="13"/>
        </w:rPr>
        <w:t>No 47 (1986) </w:t>
      </w:r>
      <w:r>
        <w:rPr>
          <w:spacing w:val="2"/>
          <w:w w:val="105"/>
          <w:sz w:val="13"/>
        </w:rPr>
        <w:t>[8.32]; </w:t>
      </w:r>
      <w:r>
        <w:rPr>
          <w:w w:val="105"/>
          <w:sz w:val="13"/>
        </w:rPr>
        <w:t>Pauline Ridge, ‘Equitable Undue Influence and Wills’ </w:t>
      </w:r>
      <w:r>
        <w:rPr>
          <w:spacing w:val="2"/>
          <w:w w:val="105"/>
          <w:sz w:val="13"/>
        </w:rPr>
        <w:t>(2004) </w:t>
      </w:r>
      <w:r>
        <w:rPr>
          <w:spacing w:val="-3"/>
          <w:w w:val="105"/>
          <w:sz w:val="13"/>
        </w:rPr>
        <w:t>120 </w:t>
      </w:r>
      <w:r>
        <w:rPr>
          <w:i/>
          <w:w w:val="105"/>
          <w:sz w:val="13"/>
        </w:rPr>
        <w:t>Law Quarterly Review</w:t>
      </w:r>
      <w:r>
        <w:rPr>
          <w:i/>
          <w:spacing w:val="23"/>
          <w:w w:val="105"/>
          <w:sz w:val="13"/>
        </w:rPr>
        <w:t> </w:t>
      </w:r>
      <w:r>
        <w:rPr>
          <w:spacing w:val="-6"/>
          <w:w w:val="105"/>
          <w:sz w:val="13"/>
        </w:rPr>
        <w:t>617, </w:t>
      </w:r>
      <w:r>
        <w:rPr>
          <w:w w:val="105"/>
          <w:sz w:val="13"/>
        </w:rPr>
        <w:t>622.</w:t>
      </w:r>
    </w:p>
    <w:p>
      <w:pPr>
        <w:pStyle w:val="ListParagraph"/>
        <w:numPr>
          <w:ilvl w:val="0"/>
          <w:numId w:val="25"/>
        </w:numPr>
        <w:tabs>
          <w:tab w:pos="2380" w:val="left" w:leader="none"/>
          <w:tab w:pos="2382" w:val="left" w:leader="none"/>
        </w:tabs>
        <w:spacing w:line="240" w:lineRule="auto" w:before="2" w:after="0"/>
        <w:ind w:left="2381" w:right="0" w:hanging="794"/>
        <w:jc w:val="left"/>
        <w:rPr>
          <w:sz w:val="13"/>
        </w:rPr>
      </w:pPr>
      <w:r>
        <w:rPr>
          <w:i/>
          <w:w w:val="105"/>
          <w:sz w:val="13"/>
        </w:rPr>
        <w:t>Callaghan</w:t>
      </w:r>
      <w:r>
        <w:rPr>
          <w:i/>
          <w:spacing w:val="3"/>
          <w:w w:val="105"/>
          <w:sz w:val="13"/>
        </w:rPr>
        <w:t> </w:t>
      </w:r>
      <w:r>
        <w:rPr>
          <w:i/>
          <w:w w:val="105"/>
          <w:sz w:val="13"/>
        </w:rPr>
        <w:t>v</w:t>
      </w:r>
      <w:r>
        <w:rPr>
          <w:i/>
          <w:spacing w:val="4"/>
          <w:w w:val="105"/>
          <w:sz w:val="13"/>
        </w:rPr>
        <w:t> </w:t>
      </w:r>
      <w:r>
        <w:rPr>
          <w:i/>
          <w:w w:val="105"/>
          <w:sz w:val="13"/>
        </w:rPr>
        <w:t>Myers</w:t>
      </w:r>
      <w:r>
        <w:rPr>
          <w:i/>
          <w:spacing w:val="5"/>
          <w:w w:val="105"/>
          <w:sz w:val="13"/>
        </w:rPr>
        <w:t> </w:t>
      </w:r>
      <w:r>
        <w:rPr>
          <w:w w:val="105"/>
          <w:sz w:val="13"/>
        </w:rPr>
        <w:t>(1880)</w:t>
      </w:r>
      <w:r>
        <w:rPr>
          <w:spacing w:val="5"/>
          <w:w w:val="105"/>
          <w:sz w:val="13"/>
        </w:rPr>
        <w:t> </w:t>
      </w:r>
      <w:r>
        <w:rPr>
          <w:w w:val="105"/>
          <w:sz w:val="13"/>
        </w:rPr>
        <w:t>1</w:t>
      </w:r>
      <w:r>
        <w:rPr>
          <w:spacing w:val="5"/>
          <w:w w:val="105"/>
          <w:sz w:val="13"/>
        </w:rPr>
        <w:t> </w:t>
      </w:r>
      <w:r>
        <w:rPr>
          <w:w w:val="105"/>
          <w:sz w:val="13"/>
        </w:rPr>
        <w:t>NSWR</w:t>
      </w:r>
      <w:r>
        <w:rPr>
          <w:spacing w:val="5"/>
          <w:w w:val="105"/>
          <w:sz w:val="13"/>
        </w:rPr>
        <w:t> </w:t>
      </w:r>
      <w:r>
        <w:rPr>
          <w:spacing w:val="-3"/>
          <w:w w:val="105"/>
          <w:sz w:val="13"/>
        </w:rPr>
        <w:t>351;</w:t>
      </w:r>
      <w:r>
        <w:rPr>
          <w:spacing w:val="5"/>
          <w:w w:val="105"/>
          <w:sz w:val="13"/>
        </w:rPr>
        <w:t> </w:t>
      </w:r>
      <w:r>
        <w:rPr>
          <w:i/>
          <w:w w:val="105"/>
          <w:sz w:val="13"/>
        </w:rPr>
        <w:t>Buckley</w:t>
      </w:r>
      <w:r>
        <w:rPr>
          <w:i/>
          <w:spacing w:val="4"/>
          <w:w w:val="105"/>
          <w:sz w:val="13"/>
        </w:rPr>
        <w:t> </w:t>
      </w:r>
      <w:r>
        <w:rPr>
          <w:i/>
          <w:w w:val="105"/>
          <w:sz w:val="13"/>
        </w:rPr>
        <w:t>v</w:t>
      </w:r>
      <w:r>
        <w:rPr>
          <w:i/>
          <w:spacing w:val="4"/>
          <w:w w:val="105"/>
          <w:sz w:val="13"/>
        </w:rPr>
        <w:t> </w:t>
      </w:r>
      <w:r>
        <w:rPr>
          <w:i/>
          <w:w w:val="105"/>
          <w:sz w:val="13"/>
        </w:rPr>
        <w:t>Millar</w:t>
      </w:r>
      <w:r>
        <w:rPr>
          <w:i/>
          <w:spacing w:val="5"/>
          <w:w w:val="105"/>
          <w:sz w:val="13"/>
        </w:rPr>
        <w:t> </w:t>
      </w:r>
      <w:r>
        <w:rPr>
          <w:w w:val="105"/>
          <w:sz w:val="13"/>
        </w:rPr>
        <w:t>(1869)</w:t>
      </w:r>
      <w:r>
        <w:rPr>
          <w:spacing w:val="5"/>
          <w:w w:val="105"/>
          <w:sz w:val="13"/>
        </w:rPr>
        <w:t> </w:t>
      </w:r>
      <w:r>
        <w:rPr>
          <w:w w:val="105"/>
          <w:sz w:val="13"/>
        </w:rPr>
        <w:t>NSWSCR</w:t>
      </w:r>
      <w:r>
        <w:rPr>
          <w:spacing w:val="5"/>
          <w:w w:val="105"/>
          <w:sz w:val="13"/>
        </w:rPr>
        <w:t> </w:t>
      </w:r>
      <w:r>
        <w:rPr>
          <w:w w:val="105"/>
          <w:sz w:val="13"/>
        </w:rPr>
        <w:t>74;</w:t>
      </w:r>
      <w:r>
        <w:rPr>
          <w:spacing w:val="5"/>
          <w:w w:val="105"/>
          <w:sz w:val="13"/>
        </w:rPr>
        <w:t> </w:t>
      </w:r>
      <w:r>
        <w:rPr>
          <w:i/>
          <w:w w:val="105"/>
          <w:sz w:val="13"/>
        </w:rPr>
        <w:t>In</w:t>
      </w:r>
      <w:r>
        <w:rPr>
          <w:i/>
          <w:spacing w:val="4"/>
          <w:w w:val="105"/>
          <w:sz w:val="13"/>
        </w:rPr>
        <w:t> </w:t>
      </w:r>
      <w:r>
        <w:rPr>
          <w:i/>
          <w:w w:val="105"/>
          <w:sz w:val="13"/>
        </w:rPr>
        <w:t>the</w:t>
      </w:r>
      <w:r>
        <w:rPr>
          <w:i/>
          <w:spacing w:val="4"/>
          <w:w w:val="105"/>
          <w:sz w:val="13"/>
        </w:rPr>
        <w:t> </w:t>
      </w:r>
      <w:r>
        <w:rPr>
          <w:i/>
          <w:w w:val="105"/>
          <w:sz w:val="13"/>
        </w:rPr>
        <w:t>Estate</w:t>
      </w:r>
      <w:r>
        <w:rPr>
          <w:i/>
          <w:spacing w:val="4"/>
          <w:w w:val="105"/>
          <w:sz w:val="13"/>
        </w:rPr>
        <w:t> </w:t>
      </w:r>
      <w:r>
        <w:rPr>
          <w:i/>
          <w:w w:val="105"/>
          <w:sz w:val="13"/>
        </w:rPr>
        <w:t>of</w:t>
      </w:r>
      <w:r>
        <w:rPr>
          <w:i/>
          <w:spacing w:val="4"/>
          <w:w w:val="105"/>
          <w:sz w:val="13"/>
        </w:rPr>
        <w:t> </w:t>
      </w:r>
      <w:r>
        <w:rPr>
          <w:i/>
          <w:w w:val="105"/>
          <w:sz w:val="13"/>
        </w:rPr>
        <w:t>White</w:t>
      </w:r>
      <w:r>
        <w:rPr>
          <w:i/>
          <w:spacing w:val="5"/>
          <w:w w:val="105"/>
          <w:sz w:val="13"/>
        </w:rPr>
        <w:t> </w:t>
      </w:r>
      <w:r>
        <w:rPr>
          <w:w w:val="105"/>
          <w:sz w:val="13"/>
        </w:rPr>
        <w:t>(1892)</w:t>
      </w:r>
      <w:r>
        <w:rPr>
          <w:spacing w:val="5"/>
          <w:w w:val="105"/>
          <w:sz w:val="13"/>
        </w:rPr>
        <w:t> </w:t>
      </w:r>
      <w:r>
        <w:rPr>
          <w:w w:val="105"/>
          <w:sz w:val="13"/>
        </w:rPr>
        <w:t>18</w:t>
      </w:r>
      <w:r>
        <w:rPr>
          <w:spacing w:val="5"/>
          <w:w w:val="105"/>
          <w:sz w:val="13"/>
        </w:rPr>
        <w:t> </w:t>
      </w:r>
      <w:r>
        <w:rPr>
          <w:spacing w:val="2"/>
          <w:w w:val="105"/>
          <w:sz w:val="13"/>
        </w:rPr>
        <w:t>VLR</w:t>
      </w:r>
      <w:r>
        <w:rPr>
          <w:spacing w:val="5"/>
          <w:w w:val="105"/>
          <w:sz w:val="13"/>
        </w:rPr>
        <w:t> </w:t>
      </w:r>
      <w:r>
        <w:rPr>
          <w:spacing w:val="-3"/>
          <w:w w:val="105"/>
          <w:sz w:val="13"/>
        </w:rPr>
        <w:t>715.</w:t>
      </w:r>
    </w:p>
    <w:p>
      <w:pPr>
        <w:pStyle w:val="ListParagraph"/>
        <w:numPr>
          <w:ilvl w:val="0"/>
          <w:numId w:val="25"/>
        </w:numPr>
        <w:tabs>
          <w:tab w:pos="2380" w:val="left" w:leader="none"/>
          <w:tab w:pos="2382" w:val="left" w:leader="none"/>
        </w:tabs>
        <w:spacing w:line="240" w:lineRule="auto" w:before="2" w:after="0"/>
        <w:ind w:left="2381" w:right="1966" w:hanging="794"/>
        <w:jc w:val="left"/>
        <w:rPr>
          <w:sz w:val="13"/>
        </w:rPr>
      </w:pPr>
      <w:r>
        <w:rPr>
          <w:i/>
          <w:w w:val="105"/>
          <w:sz w:val="13"/>
        </w:rPr>
        <w:t>Dickman v Holley </w:t>
      </w:r>
      <w:r>
        <w:rPr>
          <w:w w:val="105"/>
          <w:sz w:val="13"/>
        </w:rPr>
        <w:t>[2013] NSWSC 18 (31 January 2013); </w:t>
      </w:r>
      <w:r>
        <w:rPr>
          <w:i/>
          <w:w w:val="105"/>
          <w:sz w:val="13"/>
        </w:rPr>
        <w:t>Brown v Wade </w:t>
      </w:r>
      <w:r>
        <w:rPr>
          <w:w w:val="105"/>
          <w:sz w:val="13"/>
        </w:rPr>
        <w:t>[2010] WASC 367 </w:t>
      </w:r>
      <w:r>
        <w:rPr>
          <w:spacing w:val="2"/>
          <w:w w:val="105"/>
          <w:sz w:val="13"/>
        </w:rPr>
        <w:t>(9 </w:t>
      </w:r>
      <w:r>
        <w:rPr>
          <w:w w:val="105"/>
          <w:sz w:val="13"/>
        </w:rPr>
        <w:t>December 2010); </w:t>
      </w:r>
      <w:r>
        <w:rPr>
          <w:i/>
          <w:w w:val="105"/>
          <w:sz w:val="13"/>
        </w:rPr>
        <w:t>Petrovski v Nasev </w:t>
      </w:r>
      <w:r>
        <w:rPr>
          <w:spacing w:val="-3"/>
          <w:w w:val="105"/>
          <w:sz w:val="13"/>
        </w:rPr>
        <w:t>[2011] </w:t>
      </w:r>
      <w:r>
        <w:rPr>
          <w:w w:val="105"/>
          <w:sz w:val="13"/>
        </w:rPr>
        <w:t>NSWSC </w:t>
      </w:r>
      <w:r>
        <w:rPr>
          <w:spacing w:val="-3"/>
          <w:w w:val="105"/>
          <w:sz w:val="13"/>
        </w:rPr>
        <w:t>(17 </w:t>
      </w:r>
      <w:r>
        <w:rPr>
          <w:w w:val="105"/>
          <w:sz w:val="13"/>
        </w:rPr>
        <w:t>November </w:t>
      </w:r>
      <w:r>
        <w:rPr>
          <w:spacing w:val="-4"/>
          <w:w w:val="105"/>
          <w:sz w:val="13"/>
        </w:rPr>
        <w:t>2011)</w:t>
      </w:r>
      <w:r>
        <w:rPr>
          <w:spacing w:val="22"/>
          <w:w w:val="105"/>
          <w:sz w:val="13"/>
        </w:rPr>
        <w:t> </w:t>
      </w:r>
      <w:r>
        <w:rPr>
          <w:w w:val="105"/>
          <w:sz w:val="13"/>
        </w:rPr>
        <w:t>1275.</w:t>
      </w:r>
    </w:p>
    <w:p>
      <w:pPr>
        <w:pStyle w:val="ListParagraph"/>
        <w:numPr>
          <w:ilvl w:val="0"/>
          <w:numId w:val="25"/>
        </w:numPr>
        <w:tabs>
          <w:tab w:pos="2380" w:val="left" w:leader="none"/>
          <w:tab w:pos="2382" w:val="left" w:leader="none"/>
        </w:tabs>
        <w:spacing w:line="240" w:lineRule="auto" w:before="2" w:after="0"/>
        <w:ind w:left="2381" w:right="0" w:hanging="794"/>
        <w:jc w:val="left"/>
        <w:rPr>
          <w:sz w:val="13"/>
        </w:rPr>
      </w:pPr>
      <w:r>
        <w:rPr>
          <w:i/>
          <w:w w:val="105"/>
          <w:sz w:val="13"/>
        </w:rPr>
        <w:t>Schrader v Schrader </w:t>
      </w:r>
      <w:r>
        <w:rPr>
          <w:w w:val="105"/>
          <w:sz w:val="13"/>
        </w:rPr>
        <w:t>[2013] </w:t>
      </w:r>
      <w:r>
        <w:rPr>
          <w:spacing w:val="2"/>
          <w:w w:val="105"/>
          <w:sz w:val="13"/>
        </w:rPr>
        <w:t>EWHC 466</w:t>
      </w:r>
      <w:r>
        <w:rPr>
          <w:spacing w:val="24"/>
          <w:w w:val="105"/>
          <w:sz w:val="13"/>
        </w:rPr>
        <w:t> </w:t>
      </w:r>
      <w:r>
        <w:rPr>
          <w:w w:val="105"/>
          <w:sz w:val="13"/>
        </w:rPr>
        <w:t>(Ch).</w:t>
      </w:r>
    </w:p>
    <w:p>
      <w:pPr>
        <w:pStyle w:val="ListParagraph"/>
        <w:numPr>
          <w:ilvl w:val="0"/>
          <w:numId w:val="25"/>
        </w:numPr>
        <w:tabs>
          <w:tab w:pos="2380" w:val="left" w:leader="none"/>
          <w:tab w:pos="2382" w:val="left" w:leader="none"/>
        </w:tabs>
        <w:spacing w:line="240" w:lineRule="auto" w:before="2" w:after="0"/>
        <w:ind w:left="2381" w:right="1826" w:hanging="794"/>
        <w:jc w:val="left"/>
        <w:rPr>
          <w:sz w:val="13"/>
        </w:rPr>
      </w:pPr>
      <w:r>
        <w:rPr>
          <w:w w:val="105"/>
          <w:sz w:val="13"/>
        </w:rPr>
        <w:t>See, eg, </w:t>
      </w:r>
      <w:r>
        <w:rPr>
          <w:i/>
          <w:w w:val="105"/>
          <w:sz w:val="13"/>
        </w:rPr>
        <w:t>Nicholson v Knaggs </w:t>
      </w:r>
      <w:r>
        <w:rPr>
          <w:spacing w:val="2"/>
          <w:w w:val="105"/>
          <w:sz w:val="13"/>
        </w:rPr>
        <w:t>[2009] </w:t>
      </w:r>
      <w:r>
        <w:rPr>
          <w:w w:val="105"/>
          <w:sz w:val="13"/>
        </w:rPr>
        <w:t>VSC </w:t>
      </w:r>
      <w:r>
        <w:rPr>
          <w:spacing w:val="2"/>
          <w:w w:val="105"/>
          <w:sz w:val="13"/>
        </w:rPr>
        <w:t>64 </w:t>
      </w:r>
      <w:r>
        <w:rPr>
          <w:w w:val="105"/>
          <w:sz w:val="13"/>
        </w:rPr>
        <w:t>(27 February </w:t>
      </w:r>
      <w:r>
        <w:rPr>
          <w:spacing w:val="3"/>
          <w:w w:val="105"/>
          <w:sz w:val="13"/>
        </w:rPr>
        <w:t>2009); </w:t>
      </w:r>
      <w:r>
        <w:rPr>
          <w:i/>
          <w:w w:val="105"/>
          <w:sz w:val="13"/>
        </w:rPr>
        <w:t>Tobin v Ezekiel </w:t>
      </w:r>
      <w:r>
        <w:rPr>
          <w:spacing w:val="-3"/>
          <w:w w:val="105"/>
          <w:sz w:val="13"/>
        </w:rPr>
        <w:t>[2011] </w:t>
      </w:r>
      <w:r>
        <w:rPr>
          <w:w w:val="105"/>
          <w:sz w:val="13"/>
        </w:rPr>
        <w:t>NSWSC 81 (1 March 2011); </w:t>
      </w:r>
      <w:r>
        <w:rPr>
          <w:i/>
          <w:w w:val="105"/>
          <w:sz w:val="13"/>
        </w:rPr>
        <w:t>Brown v Wade </w:t>
      </w:r>
      <w:r>
        <w:rPr>
          <w:w w:val="105"/>
          <w:sz w:val="13"/>
        </w:rPr>
        <w:t>[2010] WASC</w:t>
      </w:r>
      <w:r>
        <w:rPr>
          <w:spacing w:val="6"/>
          <w:w w:val="105"/>
          <w:sz w:val="13"/>
        </w:rPr>
        <w:t> </w:t>
      </w:r>
      <w:r>
        <w:rPr>
          <w:w w:val="105"/>
          <w:sz w:val="13"/>
        </w:rPr>
        <w:t>367</w:t>
      </w:r>
      <w:r>
        <w:rPr>
          <w:spacing w:val="7"/>
          <w:w w:val="105"/>
          <w:sz w:val="13"/>
        </w:rPr>
        <w:t> </w:t>
      </w:r>
      <w:r>
        <w:rPr>
          <w:spacing w:val="2"/>
          <w:w w:val="105"/>
          <w:sz w:val="13"/>
        </w:rPr>
        <w:t>(9</w:t>
      </w:r>
      <w:r>
        <w:rPr>
          <w:spacing w:val="6"/>
          <w:w w:val="105"/>
          <w:sz w:val="13"/>
        </w:rPr>
        <w:t> </w:t>
      </w:r>
      <w:r>
        <w:rPr>
          <w:w w:val="105"/>
          <w:sz w:val="13"/>
        </w:rPr>
        <w:t>December</w:t>
      </w:r>
      <w:r>
        <w:rPr>
          <w:spacing w:val="7"/>
          <w:w w:val="105"/>
          <w:sz w:val="13"/>
        </w:rPr>
        <w:t> </w:t>
      </w:r>
      <w:r>
        <w:rPr>
          <w:w w:val="105"/>
          <w:sz w:val="13"/>
        </w:rPr>
        <w:t>2010);</w:t>
      </w:r>
      <w:r>
        <w:rPr>
          <w:spacing w:val="6"/>
          <w:w w:val="105"/>
          <w:sz w:val="13"/>
        </w:rPr>
        <w:t> </w:t>
      </w:r>
      <w:r>
        <w:rPr>
          <w:i/>
          <w:w w:val="105"/>
          <w:sz w:val="13"/>
        </w:rPr>
        <w:t>Brand</w:t>
      </w:r>
      <w:r>
        <w:rPr>
          <w:i/>
          <w:spacing w:val="6"/>
          <w:w w:val="105"/>
          <w:sz w:val="13"/>
        </w:rPr>
        <w:t> </w:t>
      </w:r>
      <w:r>
        <w:rPr>
          <w:i/>
          <w:w w:val="105"/>
          <w:sz w:val="13"/>
        </w:rPr>
        <w:t>v</w:t>
      </w:r>
      <w:r>
        <w:rPr>
          <w:i/>
          <w:spacing w:val="5"/>
          <w:w w:val="105"/>
          <w:sz w:val="13"/>
        </w:rPr>
        <w:t> </w:t>
      </w:r>
      <w:r>
        <w:rPr>
          <w:i/>
          <w:w w:val="105"/>
          <w:sz w:val="13"/>
        </w:rPr>
        <w:t>Brand</w:t>
      </w:r>
      <w:r>
        <w:rPr>
          <w:i/>
          <w:spacing w:val="7"/>
          <w:w w:val="105"/>
          <w:sz w:val="13"/>
        </w:rPr>
        <w:t> </w:t>
      </w:r>
      <w:r>
        <w:rPr>
          <w:w w:val="105"/>
          <w:sz w:val="13"/>
        </w:rPr>
        <w:t>(Unreported,</w:t>
      </w:r>
      <w:r>
        <w:rPr>
          <w:spacing w:val="6"/>
          <w:w w:val="105"/>
          <w:sz w:val="13"/>
        </w:rPr>
        <w:t> </w:t>
      </w:r>
      <w:r>
        <w:rPr>
          <w:w w:val="105"/>
          <w:sz w:val="13"/>
        </w:rPr>
        <w:t>Supreme</w:t>
      </w:r>
      <w:r>
        <w:rPr>
          <w:spacing w:val="7"/>
          <w:w w:val="105"/>
          <w:sz w:val="13"/>
        </w:rPr>
        <w:t> </w:t>
      </w:r>
      <w:r>
        <w:rPr>
          <w:w w:val="105"/>
          <w:sz w:val="13"/>
        </w:rPr>
        <w:t>Court</w:t>
      </w:r>
      <w:r>
        <w:rPr>
          <w:spacing w:val="6"/>
          <w:w w:val="105"/>
          <w:sz w:val="13"/>
        </w:rPr>
        <w:t> </w:t>
      </w:r>
      <w:r>
        <w:rPr>
          <w:w w:val="105"/>
          <w:sz w:val="13"/>
        </w:rPr>
        <w:t>of</w:t>
      </w:r>
      <w:r>
        <w:rPr>
          <w:spacing w:val="7"/>
          <w:w w:val="105"/>
          <w:sz w:val="13"/>
        </w:rPr>
        <w:t> </w:t>
      </w:r>
      <w:r>
        <w:rPr>
          <w:w w:val="105"/>
          <w:sz w:val="13"/>
        </w:rPr>
        <w:t>New</w:t>
      </w:r>
      <w:r>
        <w:rPr>
          <w:spacing w:val="7"/>
          <w:w w:val="105"/>
          <w:sz w:val="13"/>
        </w:rPr>
        <w:t> </w:t>
      </w:r>
      <w:r>
        <w:rPr>
          <w:w w:val="105"/>
          <w:sz w:val="13"/>
        </w:rPr>
        <w:t>South</w:t>
      </w:r>
      <w:r>
        <w:rPr>
          <w:spacing w:val="6"/>
          <w:w w:val="105"/>
          <w:sz w:val="13"/>
        </w:rPr>
        <w:t> </w:t>
      </w:r>
      <w:r>
        <w:rPr>
          <w:w w:val="105"/>
          <w:sz w:val="13"/>
        </w:rPr>
        <w:t>Wales,</w:t>
      </w:r>
      <w:r>
        <w:rPr>
          <w:spacing w:val="7"/>
          <w:w w:val="105"/>
          <w:sz w:val="13"/>
        </w:rPr>
        <w:t> </w:t>
      </w:r>
      <w:r>
        <w:rPr>
          <w:w w:val="105"/>
          <w:sz w:val="13"/>
        </w:rPr>
        <w:t>Rolfe</w:t>
      </w:r>
      <w:r>
        <w:rPr>
          <w:spacing w:val="6"/>
          <w:w w:val="105"/>
          <w:sz w:val="13"/>
        </w:rPr>
        <w:t> </w:t>
      </w:r>
      <w:r>
        <w:rPr>
          <w:w w:val="105"/>
          <w:sz w:val="13"/>
        </w:rPr>
        <w:t>J,</w:t>
      </w:r>
      <w:r>
        <w:rPr>
          <w:spacing w:val="7"/>
          <w:w w:val="105"/>
          <w:sz w:val="13"/>
        </w:rPr>
        <w:t> </w:t>
      </w:r>
      <w:r>
        <w:rPr>
          <w:w w:val="105"/>
          <w:sz w:val="13"/>
        </w:rPr>
        <w:t>10</w:t>
      </w:r>
      <w:r>
        <w:rPr>
          <w:spacing w:val="6"/>
          <w:w w:val="105"/>
          <w:sz w:val="13"/>
        </w:rPr>
        <w:t> </w:t>
      </w:r>
      <w:r>
        <w:rPr>
          <w:w w:val="105"/>
          <w:sz w:val="13"/>
        </w:rPr>
        <w:t>December</w:t>
      </w:r>
      <w:r>
        <w:rPr>
          <w:spacing w:val="7"/>
          <w:w w:val="105"/>
          <w:sz w:val="13"/>
        </w:rPr>
        <w:t> </w:t>
      </w:r>
      <w:r>
        <w:rPr>
          <w:w w:val="105"/>
          <w:sz w:val="13"/>
        </w:rPr>
        <w:t>1991).</w:t>
      </w:r>
    </w:p>
    <w:p>
      <w:pPr>
        <w:pStyle w:val="ListParagraph"/>
        <w:numPr>
          <w:ilvl w:val="0"/>
          <w:numId w:val="25"/>
        </w:numPr>
        <w:tabs>
          <w:tab w:pos="2380" w:val="left" w:leader="none"/>
          <w:tab w:pos="2382" w:val="left" w:leader="none"/>
        </w:tabs>
        <w:spacing w:line="240" w:lineRule="auto" w:before="2" w:after="0"/>
        <w:ind w:left="2381" w:right="1797" w:hanging="794"/>
        <w:jc w:val="left"/>
        <w:rPr>
          <w:sz w:val="13"/>
        </w:rPr>
      </w:pPr>
      <w:r>
        <w:rPr>
          <w:i/>
          <w:sz w:val="13"/>
        </w:rPr>
        <w:t>Boyse v Rossborough </w:t>
      </w:r>
      <w:r>
        <w:rPr>
          <w:sz w:val="13"/>
        </w:rPr>
        <w:t>(1857) VI H.L.C. </w:t>
      </w:r>
      <w:r>
        <w:rPr>
          <w:spacing w:val="-4"/>
          <w:sz w:val="13"/>
        </w:rPr>
        <w:t>1192, </w:t>
      </w:r>
      <w:r>
        <w:rPr>
          <w:spacing w:val="-5"/>
          <w:sz w:val="13"/>
        </w:rPr>
        <w:t>1211; </w:t>
      </w:r>
      <w:r>
        <w:rPr>
          <w:i/>
          <w:sz w:val="13"/>
        </w:rPr>
        <w:t>Wingrove v Wingrove  </w:t>
      </w:r>
      <w:r>
        <w:rPr>
          <w:sz w:val="13"/>
        </w:rPr>
        <w:t>(1885)  </w:t>
      </w:r>
      <w:r>
        <w:rPr>
          <w:spacing w:val="-6"/>
          <w:sz w:val="13"/>
        </w:rPr>
        <w:t>11  </w:t>
      </w:r>
      <w:r>
        <w:rPr>
          <w:sz w:val="13"/>
        </w:rPr>
        <w:t>PD  </w:t>
      </w:r>
      <w:r>
        <w:rPr>
          <w:spacing w:val="-3"/>
          <w:sz w:val="13"/>
        </w:rPr>
        <w:t>81,  </w:t>
      </w:r>
      <w:r>
        <w:rPr>
          <w:sz w:val="13"/>
        </w:rPr>
        <w:t>82;  </w:t>
      </w:r>
      <w:r>
        <w:rPr>
          <w:i/>
          <w:sz w:val="13"/>
        </w:rPr>
        <w:t>Parfitt v Lawless  </w:t>
      </w:r>
      <w:r>
        <w:rPr>
          <w:sz w:val="13"/>
        </w:rPr>
        <w:t>(1872)  LR  2  </w:t>
      </w:r>
      <w:r>
        <w:rPr>
          <w:spacing w:val="4"/>
          <w:sz w:val="13"/>
        </w:rPr>
        <w:t>P&amp;D </w:t>
      </w:r>
      <w:r>
        <w:rPr>
          <w:sz w:val="13"/>
        </w:rPr>
        <w:t>462,  470;  </w:t>
      </w:r>
      <w:r>
        <w:rPr>
          <w:i/>
          <w:sz w:val="13"/>
        </w:rPr>
        <w:t>Craig v Lamoureux </w:t>
      </w:r>
      <w:r>
        <w:rPr>
          <w:sz w:val="13"/>
        </w:rPr>
        <w:t>[1920] AC 349, 357; </w:t>
      </w:r>
      <w:r>
        <w:rPr>
          <w:i/>
          <w:sz w:val="13"/>
        </w:rPr>
        <w:t>Petrovski v Nasev </w:t>
      </w:r>
      <w:r>
        <w:rPr>
          <w:spacing w:val="-3"/>
          <w:sz w:val="13"/>
        </w:rPr>
        <w:t>[2011] </w:t>
      </w:r>
      <w:r>
        <w:rPr>
          <w:sz w:val="13"/>
        </w:rPr>
        <w:t>NSWSC  </w:t>
      </w:r>
      <w:r>
        <w:rPr>
          <w:spacing w:val="-3"/>
          <w:sz w:val="13"/>
        </w:rPr>
        <w:t>1275  (17  </w:t>
      </w:r>
      <w:r>
        <w:rPr>
          <w:sz w:val="13"/>
        </w:rPr>
        <w:t>November  </w:t>
      </w:r>
      <w:r>
        <w:rPr>
          <w:spacing w:val="-4"/>
          <w:sz w:val="13"/>
        </w:rPr>
        <w:t>2011)  </w:t>
      </w:r>
      <w:r>
        <w:rPr>
          <w:spacing w:val="2"/>
          <w:sz w:val="13"/>
        </w:rPr>
        <w:t>[264].  </w:t>
      </w:r>
      <w:r>
        <w:rPr>
          <w:sz w:val="13"/>
        </w:rPr>
        <w:t>Fiona  Burns  notes  that  some colonial cases from the 1800s went beyond coercive conduct only and looked at all the circumstances of the case, but this position was             later</w:t>
      </w:r>
      <w:r>
        <w:rPr>
          <w:spacing w:val="8"/>
          <w:sz w:val="13"/>
        </w:rPr>
        <w:t> </w:t>
      </w:r>
      <w:r>
        <w:rPr>
          <w:sz w:val="13"/>
        </w:rPr>
        <w:t>rejected</w:t>
      </w:r>
      <w:r>
        <w:rPr>
          <w:spacing w:val="9"/>
          <w:sz w:val="13"/>
        </w:rPr>
        <w:t> </w:t>
      </w:r>
      <w:r>
        <w:rPr>
          <w:sz w:val="13"/>
        </w:rPr>
        <w:t>in</w:t>
      </w:r>
      <w:r>
        <w:rPr>
          <w:spacing w:val="9"/>
          <w:sz w:val="13"/>
        </w:rPr>
        <w:t> </w:t>
      </w:r>
      <w:r>
        <w:rPr>
          <w:sz w:val="13"/>
        </w:rPr>
        <w:t>Australia:</w:t>
      </w:r>
      <w:r>
        <w:rPr>
          <w:spacing w:val="8"/>
          <w:sz w:val="13"/>
        </w:rPr>
        <w:t> </w:t>
      </w:r>
      <w:r>
        <w:rPr>
          <w:sz w:val="13"/>
        </w:rPr>
        <w:t>Burns,</w:t>
      </w:r>
      <w:r>
        <w:rPr>
          <w:spacing w:val="9"/>
          <w:sz w:val="13"/>
        </w:rPr>
        <w:t> </w:t>
      </w:r>
      <w:r>
        <w:rPr>
          <w:sz w:val="13"/>
        </w:rPr>
        <w:t>‘Elders</w:t>
      </w:r>
      <w:r>
        <w:rPr>
          <w:spacing w:val="9"/>
          <w:sz w:val="13"/>
        </w:rPr>
        <w:t> </w:t>
      </w:r>
      <w:r>
        <w:rPr>
          <w:sz w:val="13"/>
        </w:rPr>
        <w:t>and</w:t>
      </w:r>
      <w:r>
        <w:rPr>
          <w:spacing w:val="9"/>
          <w:sz w:val="13"/>
        </w:rPr>
        <w:t> </w:t>
      </w:r>
      <w:r>
        <w:rPr>
          <w:sz w:val="13"/>
        </w:rPr>
        <w:t>Testamentary</w:t>
      </w:r>
      <w:r>
        <w:rPr>
          <w:spacing w:val="8"/>
          <w:sz w:val="13"/>
        </w:rPr>
        <w:t> </w:t>
      </w:r>
      <w:r>
        <w:rPr>
          <w:sz w:val="13"/>
        </w:rPr>
        <w:t>Undue</w:t>
      </w:r>
      <w:r>
        <w:rPr>
          <w:spacing w:val="9"/>
          <w:sz w:val="13"/>
        </w:rPr>
        <w:t> </w:t>
      </w:r>
      <w:r>
        <w:rPr>
          <w:sz w:val="13"/>
        </w:rPr>
        <w:t>Influence’,</w:t>
      </w:r>
      <w:r>
        <w:rPr>
          <w:spacing w:val="9"/>
          <w:sz w:val="13"/>
        </w:rPr>
        <w:t> </w:t>
      </w:r>
      <w:r>
        <w:rPr>
          <w:sz w:val="13"/>
        </w:rPr>
        <w:t>above</w:t>
      </w:r>
      <w:r>
        <w:rPr>
          <w:spacing w:val="8"/>
          <w:sz w:val="13"/>
        </w:rPr>
        <w:t> </w:t>
      </w:r>
      <w:r>
        <w:rPr>
          <w:sz w:val="13"/>
        </w:rPr>
        <w:t>n</w:t>
      </w:r>
      <w:r>
        <w:rPr>
          <w:spacing w:val="9"/>
          <w:sz w:val="13"/>
        </w:rPr>
        <w:t> </w:t>
      </w:r>
      <w:r>
        <w:rPr>
          <w:sz w:val="13"/>
        </w:rPr>
        <w:t>78,</w:t>
      </w:r>
      <w:r>
        <w:rPr>
          <w:spacing w:val="9"/>
          <w:sz w:val="13"/>
        </w:rPr>
        <w:t> </w:t>
      </w:r>
      <w:r>
        <w:rPr>
          <w:sz w:val="13"/>
        </w:rPr>
        <w:t>175.</w:t>
      </w:r>
    </w:p>
    <w:p>
      <w:pPr>
        <w:pStyle w:val="ListParagraph"/>
        <w:numPr>
          <w:ilvl w:val="0"/>
          <w:numId w:val="25"/>
        </w:numPr>
        <w:tabs>
          <w:tab w:pos="2380" w:val="left" w:leader="none"/>
          <w:tab w:pos="2382" w:val="left" w:leader="none"/>
        </w:tabs>
        <w:spacing w:line="240" w:lineRule="auto" w:before="6" w:after="0"/>
        <w:ind w:left="2381" w:right="1714" w:hanging="794"/>
        <w:jc w:val="left"/>
        <w:rPr>
          <w:sz w:val="13"/>
        </w:rPr>
      </w:pPr>
      <w:r>
        <w:rPr>
          <w:i/>
          <w:w w:val="105"/>
          <w:sz w:val="13"/>
        </w:rPr>
        <w:t>Hall v Hall </w:t>
      </w:r>
      <w:r>
        <w:rPr>
          <w:w w:val="105"/>
          <w:sz w:val="13"/>
        </w:rPr>
        <w:t>(1868) LR 1 </w:t>
      </w:r>
      <w:r>
        <w:rPr>
          <w:spacing w:val="4"/>
          <w:w w:val="105"/>
          <w:sz w:val="13"/>
        </w:rPr>
        <w:t>P&amp;D </w:t>
      </w:r>
      <w:r>
        <w:rPr>
          <w:w w:val="105"/>
          <w:sz w:val="13"/>
        </w:rPr>
        <w:t>481, 482; </w:t>
      </w:r>
      <w:r>
        <w:rPr>
          <w:i/>
          <w:w w:val="105"/>
          <w:sz w:val="13"/>
        </w:rPr>
        <w:t>Wingrove v Wingrove </w:t>
      </w:r>
      <w:r>
        <w:rPr>
          <w:w w:val="105"/>
          <w:sz w:val="13"/>
        </w:rPr>
        <w:t>(1885) </w:t>
      </w:r>
      <w:r>
        <w:rPr>
          <w:spacing w:val="-6"/>
          <w:w w:val="105"/>
          <w:sz w:val="13"/>
        </w:rPr>
        <w:t>11 </w:t>
      </w:r>
      <w:r>
        <w:rPr>
          <w:w w:val="105"/>
          <w:sz w:val="13"/>
        </w:rPr>
        <w:t>PD </w:t>
      </w:r>
      <w:r>
        <w:rPr>
          <w:spacing w:val="-3"/>
          <w:w w:val="105"/>
          <w:sz w:val="13"/>
        </w:rPr>
        <w:t>81, </w:t>
      </w:r>
      <w:r>
        <w:rPr>
          <w:w w:val="105"/>
          <w:sz w:val="13"/>
        </w:rPr>
        <w:t>82; </w:t>
      </w:r>
      <w:r>
        <w:rPr>
          <w:i/>
          <w:w w:val="105"/>
          <w:sz w:val="13"/>
        </w:rPr>
        <w:t>In the will of Wilson </w:t>
      </w:r>
      <w:r>
        <w:rPr>
          <w:w w:val="105"/>
          <w:sz w:val="13"/>
        </w:rPr>
        <w:t>(1897) 23 </w:t>
      </w:r>
      <w:r>
        <w:rPr>
          <w:spacing w:val="2"/>
          <w:w w:val="105"/>
          <w:sz w:val="13"/>
        </w:rPr>
        <w:t>VLR </w:t>
      </w:r>
      <w:r>
        <w:rPr>
          <w:spacing w:val="-5"/>
          <w:w w:val="105"/>
          <w:sz w:val="13"/>
        </w:rPr>
        <w:t>197,  </w:t>
      </w:r>
      <w:r>
        <w:rPr>
          <w:spacing w:val="2"/>
          <w:w w:val="105"/>
          <w:sz w:val="13"/>
        </w:rPr>
        <w:t>198–9; </w:t>
      </w:r>
      <w:r>
        <w:rPr>
          <w:i/>
          <w:w w:val="105"/>
          <w:sz w:val="13"/>
        </w:rPr>
        <w:t>Revie v</w:t>
      </w:r>
      <w:r>
        <w:rPr>
          <w:i/>
          <w:spacing w:val="30"/>
          <w:w w:val="105"/>
          <w:sz w:val="13"/>
        </w:rPr>
        <w:t> </w:t>
      </w:r>
      <w:r>
        <w:rPr>
          <w:i/>
          <w:w w:val="105"/>
          <w:sz w:val="13"/>
        </w:rPr>
        <w:t>Druitt </w:t>
      </w:r>
      <w:r>
        <w:rPr>
          <w:w w:val="105"/>
          <w:sz w:val="13"/>
        </w:rPr>
        <w:t>[2005] NSWSC 902 </w:t>
      </w:r>
      <w:r>
        <w:rPr>
          <w:spacing w:val="3"/>
          <w:w w:val="105"/>
          <w:sz w:val="13"/>
        </w:rPr>
        <w:t>(8 </w:t>
      </w:r>
      <w:r>
        <w:rPr>
          <w:w w:val="105"/>
          <w:sz w:val="13"/>
        </w:rPr>
        <w:t>September 2005) [51]; </w:t>
      </w:r>
      <w:r>
        <w:rPr>
          <w:i/>
          <w:w w:val="105"/>
          <w:sz w:val="13"/>
        </w:rPr>
        <w:t>Roebuck v Smoje </w:t>
      </w:r>
      <w:r>
        <w:rPr>
          <w:spacing w:val="2"/>
          <w:w w:val="105"/>
          <w:sz w:val="13"/>
        </w:rPr>
        <w:t>[2000] </w:t>
      </w:r>
      <w:r>
        <w:rPr>
          <w:w w:val="105"/>
          <w:sz w:val="13"/>
        </w:rPr>
        <w:t>WASC </w:t>
      </w:r>
      <w:r>
        <w:rPr>
          <w:spacing w:val="-4"/>
          <w:w w:val="105"/>
          <w:sz w:val="13"/>
        </w:rPr>
        <w:t>312  </w:t>
      </w:r>
      <w:r>
        <w:rPr>
          <w:w w:val="105"/>
          <w:sz w:val="13"/>
        </w:rPr>
        <w:t>(20 December </w:t>
      </w:r>
      <w:r>
        <w:rPr>
          <w:spacing w:val="3"/>
          <w:w w:val="105"/>
          <w:sz w:val="13"/>
        </w:rPr>
        <w:t>2000) </w:t>
      </w:r>
      <w:r>
        <w:rPr>
          <w:w w:val="105"/>
          <w:sz w:val="13"/>
        </w:rPr>
        <w:t>[127]; </w:t>
      </w:r>
      <w:r>
        <w:rPr>
          <w:i/>
          <w:w w:val="105"/>
          <w:sz w:val="13"/>
        </w:rPr>
        <w:t>Re Smallwood </w:t>
      </w:r>
      <w:r>
        <w:rPr>
          <w:spacing w:val="2"/>
          <w:w w:val="105"/>
          <w:sz w:val="13"/>
        </w:rPr>
        <w:t>[2008]  </w:t>
      </w:r>
      <w:r>
        <w:rPr>
          <w:w w:val="105"/>
          <w:sz w:val="13"/>
        </w:rPr>
        <w:t>VSC </w:t>
      </w:r>
      <w:r>
        <w:rPr>
          <w:spacing w:val="-3"/>
          <w:w w:val="105"/>
          <w:sz w:val="13"/>
        </w:rPr>
        <w:t>74 </w:t>
      </w:r>
      <w:r>
        <w:rPr>
          <w:spacing w:val="-2"/>
          <w:w w:val="105"/>
          <w:sz w:val="13"/>
        </w:rPr>
        <w:t>(18 </w:t>
      </w:r>
      <w:r>
        <w:rPr>
          <w:w w:val="105"/>
          <w:sz w:val="13"/>
        </w:rPr>
        <w:t>March </w:t>
      </w:r>
      <w:r>
        <w:rPr>
          <w:spacing w:val="2"/>
          <w:w w:val="105"/>
          <w:sz w:val="13"/>
        </w:rPr>
        <w:t>2008)</w:t>
      </w:r>
      <w:r>
        <w:rPr>
          <w:spacing w:val="28"/>
          <w:w w:val="105"/>
          <w:sz w:val="13"/>
        </w:rPr>
        <w:t> </w:t>
      </w:r>
      <w:r>
        <w:rPr>
          <w:spacing w:val="4"/>
          <w:w w:val="105"/>
          <w:sz w:val="13"/>
        </w:rPr>
        <w:t>[8].</w:t>
      </w:r>
    </w:p>
    <w:p>
      <w:pPr>
        <w:pStyle w:val="ListParagraph"/>
        <w:numPr>
          <w:ilvl w:val="0"/>
          <w:numId w:val="25"/>
        </w:numPr>
        <w:tabs>
          <w:tab w:pos="2380" w:val="left" w:leader="none"/>
          <w:tab w:pos="2382" w:val="left" w:leader="none"/>
        </w:tabs>
        <w:spacing w:line="240" w:lineRule="auto" w:before="4" w:after="0"/>
        <w:ind w:left="2381" w:right="2188" w:hanging="794"/>
        <w:jc w:val="left"/>
        <w:rPr>
          <w:sz w:val="13"/>
        </w:rPr>
      </w:pPr>
      <w:r>
        <w:rPr>
          <w:i/>
          <w:w w:val="105"/>
          <w:sz w:val="13"/>
        </w:rPr>
        <w:t>Revie v Druitt </w:t>
      </w:r>
      <w:r>
        <w:rPr>
          <w:w w:val="105"/>
          <w:sz w:val="13"/>
        </w:rPr>
        <w:t>[2005] NSWSC 902 </w:t>
      </w:r>
      <w:r>
        <w:rPr>
          <w:spacing w:val="3"/>
          <w:w w:val="105"/>
          <w:sz w:val="13"/>
        </w:rPr>
        <w:t>(8 </w:t>
      </w:r>
      <w:r>
        <w:rPr>
          <w:w w:val="105"/>
          <w:sz w:val="13"/>
        </w:rPr>
        <w:t>September 2005) </w:t>
      </w:r>
      <w:r>
        <w:rPr>
          <w:spacing w:val="2"/>
          <w:w w:val="105"/>
          <w:sz w:val="13"/>
        </w:rPr>
        <w:t>[53]; </w:t>
      </w:r>
      <w:r>
        <w:rPr>
          <w:i/>
          <w:w w:val="105"/>
          <w:sz w:val="13"/>
        </w:rPr>
        <w:t>De Bruin v De Bruin </w:t>
      </w:r>
      <w:r>
        <w:rPr>
          <w:spacing w:val="2"/>
          <w:w w:val="105"/>
          <w:sz w:val="13"/>
        </w:rPr>
        <w:t>[2004] </w:t>
      </w:r>
      <w:r>
        <w:rPr>
          <w:w w:val="105"/>
          <w:sz w:val="13"/>
        </w:rPr>
        <w:t>WASC 20 (20 February </w:t>
      </w:r>
      <w:r>
        <w:rPr>
          <w:spacing w:val="2"/>
          <w:w w:val="105"/>
          <w:sz w:val="13"/>
        </w:rPr>
        <w:t>2004) </w:t>
      </w:r>
      <w:r>
        <w:rPr>
          <w:w w:val="105"/>
          <w:sz w:val="13"/>
        </w:rPr>
        <w:t>[17]; </w:t>
      </w:r>
      <w:r>
        <w:rPr>
          <w:i/>
          <w:w w:val="105"/>
          <w:sz w:val="13"/>
        </w:rPr>
        <w:t>Craig v </w:t>
      </w:r>
      <w:r>
        <w:rPr>
          <w:i/>
          <w:w w:val="105"/>
          <w:sz w:val="13"/>
        </w:rPr>
        <w:t>Lamoureux</w:t>
      </w:r>
      <w:r>
        <w:rPr>
          <w:i/>
          <w:spacing w:val="5"/>
          <w:w w:val="105"/>
          <w:sz w:val="13"/>
        </w:rPr>
        <w:t> </w:t>
      </w:r>
      <w:r>
        <w:rPr>
          <w:w w:val="105"/>
          <w:sz w:val="13"/>
        </w:rPr>
        <w:t>[1920]</w:t>
      </w:r>
      <w:r>
        <w:rPr>
          <w:spacing w:val="5"/>
          <w:w w:val="105"/>
          <w:sz w:val="13"/>
        </w:rPr>
        <w:t> </w:t>
      </w:r>
      <w:r>
        <w:rPr>
          <w:w w:val="105"/>
          <w:sz w:val="13"/>
        </w:rPr>
        <w:t>AC</w:t>
      </w:r>
      <w:r>
        <w:rPr>
          <w:spacing w:val="5"/>
          <w:w w:val="105"/>
          <w:sz w:val="13"/>
        </w:rPr>
        <w:t> </w:t>
      </w:r>
      <w:r>
        <w:rPr>
          <w:w w:val="105"/>
          <w:sz w:val="13"/>
        </w:rPr>
        <w:t>349,</w:t>
      </w:r>
      <w:r>
        <w:rPr>
          <w:spacing w:val="6"/>
          <w:w w:val="105"/>
          <w:sz w:val="13"/>
        </w:rPr>
        <w:t> </w:t>
      </w:r>
      <w:r>
        <w:rPr>
          <w:w w:val="105"/>
          <w:sz w:val="13"/>
        </w:rPr>
        <w:t>357;</w:t>
      </w:r>
      <w:r>
        <w:rPr>
          <w:spacing w:val="5"/>
          <w:w w:val="105"/>
          <w:sz w:val="13"/>
        </w:rPr>
        <w:t> </w:t>
      </w:r>
      <w:r>
        <w:rPr>
          <w:i/>
          <w:w w:val="105"/>
          <w:sz w:val="13"/>
        </w:rPr>
        <w:t>Wingrove</w:t>
      </w:r>
      <w:r>
        <w:rPr>
          <w:i/>
          <w:spacing w:val="4"/>
          <w:w w:val="105"/>
          <w:sz w:val="13"/>
        </w:rPr>
        <w:t> </w:t>
      </w:r>
      <w:r>
        <w:rPr>
          <w:i/>
          <w:w w:val="105"/>
          <w:sz w:val="13"/>
        </w:rPr>
        <w:t>v</w:t>
      </w:r>
      <w:r>
        <w:rPr>
          <w:i/>
          <w:spacing w:val="4"/>
          <w:w w:val="105"/>
          <w:sz w:val="13"/>
        </w:rPr>
        <w:t> </w:t>
      </w:r>
      <w:r>
        <w:rPr>
          <w:i/>
          <w:w w:val="105"/>
          <w:sz w:val="13"/>
        </w:rPr>
        <w:t>Wingrove</w:t>
      </w:r>
      <w:r>
        <w:rPr>
          <w:i/>
          <w:spacing w:val="6"/>
          <w:w w:val="105"/>
          <w:sz w:val="13"/>
        </w:rPr>
        <w:t> </w:t>
      </w:r>
      <w:r>
        <w:rPr>
          <w:w w:val="105"/>
          <w:sz w:val="13"/>
        </w:rPr>
        <w:t>(1885)</w:t>
      </w:r>
      <w:r>
        <w:rPr>
          <w:spacing w:val="5"/>
          <w:w w:val="105"/>
          <w:sz w:val="13"/>
        </w:rPr>
        <w:t> </w:t>
      </w:r>
      <w:r>
        <w:rPr>
          <w:spacing w:val="-6"/>
          <w:w w:val="105"/>
          <w:sz w:val="13"/>
        </w:rPr>
        <w:t>11</w:t>
      </w:r>
      <w:r>
        <w:rPr>
          <w:spacing w:val="5"/>
          <w:w w:val="105"/>
          <w:sz w:val="13"/>
        </w:rPr>
        <w:t> </w:t>
      </w:r>
      <w:r>
        <w:rPr>
          <w:w w:val="105"/>
          <w:sz w:val="13"/>
        </w:rPr>
        <w:t>PD</w:t>
      </w:r>
      <w:r>
        <w:rPr>
          <w:spacing w:val="5"/>
          <w:w w:val="105"/>
          <w:sz w:val="13"/>
        </w:rPr>
        <w:t> </w:t>
      </w:r>
      <w:r>
        <w:rPr>
          <w:spacing w:val="-3"/>
          <w:w w:val="105"/>
          <w:sz w:val="13"/>
        </w:rPr>
        <w:t>81,</w:t>
      </w:r>
      <w:r>
        <w:rPr>
          <w:spacing w:val="6"/>
          <w:w w:val="105"/>
          <w:sz w:val="13"/>
        </w:rPr>
        <w:t> </w:t>
      </w:r>
      <w:r>
        <w:rPr>
          <w:w w:val="105"/>
          <w:sz w:val="13"/>
        </w:rPr>
        <w:t>82.</w:t>
      </w:r>
    </w:p>
    <w:p>
      <w:pPr>
        <w:pStyle w:val="ListParagraph"/>
        <w:numPr>
          <w:ilvl w:val="0"/>
          <w:numId w:val="25"/>
        </w:numPr>
        <w:tabs>
          <w:tab w:pos="2380" w:val="left" w:leader="none"/>
          <w:tab w:pos="2382" w:val="left" w:leader="none"/>
        </w:tabs>
        <w:spacing w:line="240" w:lineRule="auto" w:before="2" w:after="0"/>
        <w:ind w:left="2381" w:right="1684" w:hanging="794"/>
        <w:jc w:val="left"/>
        <w:rPr>
          <w:sz w:val="13"/>
        </w:rPr>
      </w:pPr>
      <w:r>
        <w:rPr>
          <w:w w:val="105"/>
          <w:sz w:val="13"/>
        </w:rPr>
        <w:t>New South Wales Law Reform Commission, above n 105, </w:t>
      </w:r>
      <w:r>
        <w:rPr>
          <w:spacing w:val="3"/>
          <w:w w:val="105"/>
          <w:sz w:val="13"/>
        </w:rPr>
        <w:t>[8.34]; </w:t>
      </w:r>
      <w:r>
        <w:rPr>
          <w:w w:val="105"/>
          <w:sz w:val="13"/>
        </w:rPr>
        <w:t>Richard Boaden, ‘Undue Influence in Relation to Wills’ (1994) 68 </w:t>
      </w:r>
      <w:r>
        <w:rPr>
          <w:i/>
          <w:w w:val="105"/>
          <w:sz w:val="13"/>
        </w:rPr>
        <w:t>Law </w:t>
      </w:r>
      <w:r>
        <w:rPr>
          <w:i/>
          <w:w w:val="105"/>
          <w:sz w:val="13"/>
        </w:rPr>
        <w:t>Institute Journal </w:t>
      </w:r>
      <w:r>
        <w:rPr>
          <w:w w:val="105"/>
          <w:sz w:val="13"/>
        </w:rPr>
        <w:t>56, 57; Kerridge, above n 78, 328; </w:t>
      </w:r>
      <w:r>
        <w:rPr>
          <w:i/>
          <w:w w:val="105"/>
          <w:sz w:val="13"/>
        </w:rPr>
        <w:t>Brand v Brand </w:t>
      </w:r>
      <w:r>
        <w:rPr>
          <w:w w:val="105"/>
          <w:sz w:val="13"/>
        </w:rPr>
        <w:t>(Unreported, Supreme Court of New South Wales, Rolfe J, 10 December 1991)</w:t>
      </w:r>
      <w:r>
        <w:rPr>
          <w:spacing w:val="4"/>
          <w:w w:val="105"/>
          <w:sz w:val="13"/>
        </w:rPr>
        <w:t> </w:t>
      </w:r>
      <w:r>
        <w:rPr>
          <w:spacing w:val="-7"/>
          <w:w w:val="105"/>
          <w:sz w:val="13"/>
        </w:rPr>
        <w:t>117.</w:t>
      </w:r>
    </w:p>
    <w:p>
      <w:pPr>
        <w:pStyle w:val="ListParagraph"/>
        <w:numPr>
          <w:ilvl w:val="0"/>
          <w:numId w:val="25"/>
        </w:numPr>
        <w:tabs>
          <w:tab w:pos="2380" w:val="left" w:leader="none"/>
          <w:tab w:pos="2382" w:val="left" w:leader="none"/>
        </w:tabs>
        <w:spacing w:line="240" w:lineRule="auto" w:before="4" w:after="0"/>
        <w:ind w:left="2381" w:right="1983" w:hanging="794"/>
        <w:jc w:val="left"/>
        <w:rPr>
          <w:sz w:val="13"/>
        </w:rPr>
      </w:pPr>
      <w:r>
        <w:rPr/>
        <w:pict>
          <v:shape style="position:absolute;margin-left:36pt;margin-top:3.720864pt;width:12.7pt;height:14.25pt;mso-position-horizontal-relative:page;mso-position-vertical-relative:paragraph;z-index:2320" type="#_x0000_t202" filled="false" stroked="false">
            <v:textbox inset="0,0,0,0">
              <w:txbxContent>
                <w:p>
                  <w:pPr>
                    <w:spacing w:line="284" w:lineRule="exact" w:before="0"/>
                    <w:ind w:left="0" w:right="0" w:firstLine="0"/>
                    <w:jc w:val="left"/>
                    <w:rPr>
                      <w:b/>
                      <w:sz w:val="24"/>
                    </w:rPr>
                  </w:pPr>
                  <w:r>
                    <w:rPr>
                      <w:b/>
                      <w:color w:val="EC5A4F"/>
                      <w:spacing w:val="-7"/>
                      <w:w w:val="110"/>
                      <w:sz w:val="24"/>
                    </w:rPr>
                    <w:t>16</w:t>
                  </w:r>
                </w:p>
              </w:txbxContent>
            </v:textbox>
            <w10:wrap type="none"/>
          </v:shape>
        </w:pict>
      </w:r>
      <w:r>
        <w:rPr>
          <w:i/>
          <w:w w:val="105"/>
          <w:sz w:val="13"/>
        </w:rPr>
        <w:t>Nicholson v Knaggs </w:t>
      </w:r>
      <w:r>
        <w:rPr>
          <w:spacing w:val="2"/>
          <w:w w:val="105"/>
          <w:sz w:val="13"/>
        </w:rPr>
        <w:t>[2009] </w:t>
      </w:r>
      <w:r>
        <w:rPr>
          <w:w w:val="105"/>
          <w:sz w:val="13"/>
        </w:rPr>
        <w:t>VSC </w:t>
      </w:r>
      <w:r>
        <w:rPr>
          <w:spacing w:val="2"/>
          <w:w w:val="105"/>
          <w:sz w:val="13"/>
        </w:rPr>
        <w:t>64 </w:t>
      </w:r>
      <w:r>
        <w:rPr>
          <w:w w:val="105"/>
          <w:sz w:val="13"/>
        </w:rPr>
        <w:t>(27 February </w:t>
      </w:r>
      <w:r>
        <w:rPr>
          <w:spacing w:val="2"/>
          <w:w w:val="105"/>
          <w:sz w:val="13"/>
        </w:rPr>
        <w:t>2009) </w:t>
      </w:r>
      <w:r>
        <w:rPr>
          <w:w w:val="105"/>
          <w:sz w:val="13"/>
        </w:rPr>
        <w:t>[150]. This passage has been cited with approval in </w:t>
      </w:r>
      <w:r>
        <w:rPr>
          <w:i/>
          <w:w w:val="105"/>
          <w:sz w:val="13"/>
        </w:rPr>
        <w:t>Birt v The Public Trustee of </w:t>
      </w:r>
      <w:r>
        <w:rPr>
          <w:i/>
          <w:w w:val="105"/>
          <w:sz w:val="13"/>
        </w:rPr>
        <w:t>Queensland </w:t>
      </w:r>
      <w:r>
        <w:rPr>
          <w:w w:val="105"/>
          <w:sz w:val="13"/>
        </w:rPr>
        <w:t>[2013] QSC </w:t>
      </w:r>
      <w:r>
        <w:rPr>
          <w:spacing w:val="-4"/>
          <w:w w:val="105"/>
          <w:sz w:val="13"/>
        </w:rPr>
        <w:t>13 </w:t>
      </w:r>
      <w:r>
        <w:rPr>
          <w:spacing w:val="-5"/>
          <w:w w:val="105"/>
          <w:sz w:val="13"/>
        </w:rPr>
        <w:t>(11 </w:t>
      </w:r>
      <w:r>
        <w:rPr>
          <w:w w:val="105"/>
          <w:sz w:val="13"/>
        </w:rPr>
        <w:t>February 2013)</w:t>
      </w:r>
      <w:r>
        <w:rPr>
          <w:spacing w:val="-11"/>
          <w:w w:val="105"/>
          <w:sz w:val="13"/>
        </w:rPr>
        <w:t> </w:t>
      </w:r>
      <w:r>
        <w:rPr>
          <w:w w:val="105"/>
          <w:sz w:val="13"/>
        </w:rPr>
        <w:t>[97].</w:t>
      </w:r>
    </w:p>
    <w:p>
      <w:pPr>
        <w:spacing w:after="0" w:line="240" w:lineRule="auto"/>
        <w:jc w:val="left"/>
        <w:rPr>
          <w:sz w:val="13"/>
        </w:rPr>
        <w:sectPr>
          <w:pgSz w:w="11910" w:h="16840"/>
          <w:pgMar w:header="550" w:footer="0" w:top="1560" w:bottom="280" w:left="0" w:right="0"/>
        </w:sectPr>
      </w:pPr>
    </w:p>
    <w:p>
      <w:pPr>
        <w:pStyle w:val="BodyText"/>
        <w:rPr>
          <w:sz w:val="20"/>
        </w:rPr>
      </w:pPr>
    </w:p>
    <w:p>
      <w:pPr>
        <w:pStyle w:val="BodyText"/>
        <w:spacing w:before="12"/>
        <w:rPr>
          <w:sz w:val="18"/>
        </w:rPr>
      </w:pPr>
    </w:p>
    <w:p>
      <w:pPr>
        <w:pStyle w:val="Heading6"/>
        <w:spacing w:before="100"/>
      </w:pPr>
      <w:r>
        <w:rPr>
          <w:w w:val="120"/>
        </w:rPr>
        <w:t>Standard of proof</w:t>
      </w:r>
    </w:p>
    <w:p>
      <w:pPr>
        <w:pStyle w:val="ListParagraph"/>
        <w:numPr>
          <w:ilvl w:val="1"/>
          <w:numId w:val="22"/>
        </w:numPr>
        <w:tabs>
          <w:tab w:pos="2381" w:val="left" w:leader="none"/>
          <w:tab w:pos="2382" w:val="left" w:leader="none"/>
        </w:tabs>
        <w:spacing w:line="242" w:lineRule="auto" w:before="151" w:after="0"/>
        <w:ind w:left="2381" w:right="1683" w:hanging="794"/>
        <w:jc w:val="left"/>
        <w:rPr>
          <w:i/>
          <w:sz w:val="21"/>
        </w:rPr>
      </w:pPr>
      <w:r>
        <w:rPr>
          <w:sz w:val="21"/>
        </w:rPr>
        <w:t>The </w:t>
      </w:r>
      <w:r>
        <w:rPr>
          <w:spacing w:val="-3"/>
          <w:sz w:val="21"/>
        </w:rPr>
        <w:t>traditional </w:t>
      </w:r>
      <w:r>
        <w:rPr>
          <w:sz w:val="21"/>
        </w:rPr>
        <w:t>position </w:t>
      </w:r>
      <w:r>
        <w:rPr>
          <w:spacing w:val="-2"/>
          <w:sz w:val="21"/>
        </w:rPr>
        <w:t>has </w:t>
      </w:r>
      <w:r>
        <w:rPr>
          <w:sz w:val="21"/>
        </w:rPr>
        <w:t>been </w:t>
      </w:r>
      <w:r>
        <w:rPr>
          <w:spacing w:val="-3"/>
          <w:sz w:val="21"/>
        </w:rPr>
        <w:t>that, </w:t>
      </w:r>
      <w:r>
        <w:rPr>
          <w:sz w:val="21"/>
        </w:rPr>
        <w:t>where there is only </w:t>
      </w:r>
      <w:r>
        <w:rPr>
          <w:spacing w:val="-3"/>
          <w:sz w:val="21"/>
        </w:rPr>
        <w:t>circumstantial evidence, undue influence </w:t>
      </w:r>
      <w:r>
        <w:rPr>
          <w:sz w:val="21"/>
        </w:rPr>
        <w:t>must be the only </w:t>
      </w:r>
      <w:r>
        <w:rPr>
          <w:spacing w:val="-2"/>
          <w:sz w:val="21"/>
        </w:rPr>
        <w:t>explanation </w:t>
      </w:r>
      <w:r>
        <w:rPr>
          <w:spacing w:val="-3"/>
          <w:sz w:val="21"/>
        </w:rPr>
        <w:t>for </w:t>
      </w:r>
      <w:r>
        <w:rPr>
          <w:sz w:val="21"/>
        </w:rPr>
        <w:t>the existence of the </w:t>
      </w:r>
      <w:r>
        <w:rPr>
          <w:spacing w:val="-7"/>
          <w:sz w:val="21"/>
        </w:rPr>
        <w:t>will.</w:t>
      </w:r>
      <w:r>
        <w:rPr>
          <w:spacing w:val="-7"/>
          <w:position w:val="7"/>
          <w:sz w:val="12"/>
        </w:rPr>
        <w:t>115 </w:t>
      </w:r>
      <w:r>
        <w:rPr>
          <w:sz w:val="21"/>
        </w:rPr>
        <w:t>In</w:t>
      </w:r>
      <w:r>
        <w:rPr>
          <w:spacing w:val="20"/>
          <w:sz w:val="21"/>
        </w:rPr>
        <w:t> </w:t>
      </w:r>
      <w:r>
        <w:rPr>
          <w:i/>
          <w:spacing w:val="-3"/>
          <w:sz w:val="21"/>
        </w:rPr>
        <w:t>Nicholson</w:t>
      </w:r>
    </w:p>
    <w:p>
      <w:pPr>
        <w:pStyle w:val="BodyText"/>
        <w:spacing w:line="242" w:lineRule="auto" w:before="2"/>
        <w:ind w:left="2381" w:right="1826"/>
      </w:pPr>
      <w:r>
        <w:rPr>
          <w:i/>
        </w:rPr>
        <w:t>v Knaggs</w:t>
      </w:r>
      <w:r>
        <w:rPr/>
        <w:t>, Justice Vickery noted that this standard is much higher than the usual civil standard of proof. He held that the correct test is:</w:t>
      </w:r>
    </w:p>
    <w:p>
      <w:pPr>
        <w:pStyle w:val="ListParagraph"/>
        <w:numPr>
          <w:ilvl w:val="2"/>
          <w:numId w:val="22"/>
        </w:numPr>
        <w:tabs>
          <w:tab w:pos="2721" w:val="left" w:leader="none"/>
          <w:tab w:pos="2722" w:val="left" w:leader="none"/>
        </w:tabs>
        <w:spacing w:line="242" w:lineRule="auto" w:before="122" w:after="0"/>
        <w:ind w:left="2721" w:right="1975" w:hanging="340"/>
        <w:jc w:val="left"/>
        <w:rPr>
          <w:sz w:val="21"/>
        </w:rPr>
      </w:pPr>
      <w:r>
        <w:rPr>
          <w:sz w:val="21"/>
        </w:rPr>
        <w:t>Where there is direct evidence: </w:t>
      </w:r>
      <w:r>
        <w:rPr>
          <w:spacing w:val="-4"/>
          <w:sz w:val="21"/>
        </w:rPr>
        <w:t>whether,  </w:t>
      </w:r>
      <w:r>
        <w:rPr>
          <w:sz w:val="21"/>
        </w:rPr>
        <w:t>on the </w:t>
      </w:r>
      <w:r>
        <w:rPr>
          <w:spacing w:val="-3"/>
          <w:sz w:val="21"/>
        </w:rPr>
        <w:t>balance  </w:t>
      </w:r>
      <w:r>
        <w:rPr>
          <w:sz w:val="21"/>
        </w:rPr>
        <w:t>of </w:t>
      </w:r>
      <w:r>
        <w:rPr>
          <w:spacing w:val="-3"/>
          <w:sz w:val="21"/>
        </w:rPr>
        <w:t>probabilities,</w:t>
      </w:r>
      <w:r>
        <w:rPr>
          <w:spacing w:val="41"/>
          <w:sz w:val="21"/>
        </w:rPr>
        <w:t> </w:t>
      </w:r>
      <w:r>
        <w:rPr>
          <w:sz w:val="21"/>
        </w:rPr>
        <w:t>the </w:t>
      </w:r>
      <w:r>
        <w:rPr>
          <w:spacing w:val="-3"/>
          <w:sz w:val="21"/>
        </w:rPr>
        <w:t>will    </w:t>
      </w:r>
      <w:r>
        <w:rPr>
          <w:sz w:val="21"/>
        </w:rPr>
        <w:t>of the </w:t>
      </w:r>
      <w:r>
        <w:rPr>
          <w:spacing w:val="-3"/>
          <w:sz w:val="21"/>
        </w:rPr>
        <w:t>will-maker </w:t>
      </w:r>
      <w:r>
        <w:rPr>
          <w:sz w:val="21"/>
        </w:rPr>
        <w:t>was overborne </w:t>
      </w:r>
      <w:r>
        <w:rPr>
          <w:spacing w:val="-3"/>
          <w:sz w:val="21"/>
        </w:rPr>
        <w:t>to </w:t>
      </w:r>
      <w:r>
        <w:rPr>
          <w:sz w:val="21"/>
        </w:rPr>
        <w:t>the </w:t>
      </w:r>
      <w:r>
        <w:rPr>
          <w:spacing w:val="-3"/>
          <w:sz w:val="21"/>
        </w:rPr>
        <w:t>requisite </w:t>
      </w:r>
      <w:r>
        <w:rPr>
          <w:sz w:val="21"/>
        </w:rPr>
        <w:t>degree by conduct </w:t>
      </w:r>
      <w:r>
        <w:rPr>
          <w:spacing w:val="-3"/>
          <w:sz w:val="21"/>
        </w:rPr>
        <w:t>proven </w:t>
      </w:r>
      <w:r>
        <w:rPr>
          <w:sz w:val="21"/>
        </w:rPr>
        <w:t>by the direct</w:t>
      </w:r>
      <w:r>
        <w:rPr>
          <w:spacing w:val="8"/>
          <w:sz w:val="21"/>
        </w:rPr>
        <w:t> </w:t>
      </w:r>
      <w:r>
        <w:rPr>
          <w:spacing w:val="-3"/>
          <w:sz w:val="21"/>
        </w:rPr>
        <w:t>evidence.</w:t>
      </w:r>
    </w:p>
    <w:p>
      <w:pPr>
        <w:pStyle w:val="ListParagraph"/>
        <w:numPr>
          <w:ilvl w:val="2"/>
          <w:numId w:val="22"/>
        </w:numPr>
        <w:tabs>
          <w:tab w:pos="2721" w:val="left" w:leader="none"/>
          <w:tab w:pos="2722" w:val="left" w:leader="none"/>
        </w:tabs>
        <w:spacing w:line="242" w:lineRule="auto" w:before="123" w:after="0"/>
        <w:ind w:left="2721" w:right="1730" w:hanging="340"/>
        <w:jc w:val="left"/>
        <w:rPr>
          <w:sz w:val="12"/>
        </w:rPr>
      </w:pPr>
      <w:r>
        <w:rPr>
          <w:sz w:val="21"/>
        </w:rPr>
        <w:t>Where there is </w:t>
      </w:r>
      <w:r>
        <w:rPr>
          <w:spacing w:val="-3"/>
          <w:sz w:val="21"/>
        </w:rPr>
        <w:t>circumstantial </w:t>
      </w:r>
      <w:r>
        <w:rPr>
          <w:sz w:val="21"/>
        </w:rPr>
        <w:t>evidence: whether the </w:t>
      </w:r>
      <w:r>
        <w:rPr>
          <w:spacing w:val="-3"/>
          <w:sz w:val="21"/>
        </w:rPr>
        <w:t>circumstances raise </w:t>
      </w:r>
      <w:r>
        <w:rPr>
          <w:sz w:val="21"/>
        </w:rPr>
        <w:t>a more probable </w:t>
      </w:r>
      <w:r>
        <w:rPr>
          <w:spacing w:val="-3"/>
          <w:sz w:val="21"/>
        </w:rPr>
        <w:t>inference </w:t>
      </w:r>
      <w:r>
        <w:rPr>
          <w:sz w:val="21"/>
        </w:rPr>
        <w:t>in </w:t>
      </w:r>
      <w:r>
        <w:rPr>
          <w:spacing w:val="-3"/>
          <w:sz w:val="21"/>
        </w:rPr>
        <w:t>favour </w:t>
      </w:r>
      <w:r>
        <w:rPr>
          <w:sz w:val="21"/>
        </w:rPr>
        <w:t>of what is alleged </w:t>
      </w:r>
      <w:r>
        <w:rPr>
          <w:spacing w:val="-3"/>
          <w:sz w:val="21"/>
        </w:rPr>
        <w:t>than </w:t>
      </w:r>
      <w:r>
        <w:rPr>
          <w:sz w:val="21"/>
        </w:rPr>
        <w:t>not, after the evidence </w:t>
      </w:r>
      <w:r>
        <w:rPr>
          <w:spacing w:val="-2"/>
          <w:sz w:val="21"/>
        </w:rPr>
        <w:t>has </w:t>
      </w:r>
      <w:r>
        <w:rPr>
          <w:sz w:val="21"/>
        </w:rPr>
        <w:t>been </w:t>
      </w:r>
      <w:r>
        <w:rPr>
          <w:spacing w:val="-3"/>
          <w:sz w:val="21"/>
        </w:rPr>
        <w:t>evaluated </w:t>
      </w:r>
      <w:r>
        <w:rPr>
          <w:sz w:val="21"/>
        </w:rPr>
        <w:t>as a</w:t>
      </w:r>
      <w:r>
        <w:rPr>
          <w:spacing w:val="29"/>
          <w:sz w:val="21"/>
        </w:rPr>
        <w:t> </w:t>
      </w:r>
      <w:r>
        <w:rPr>
          <w:spacing w:val="-6"/>
          <w:sz w:val="21"/>
        </w:rPr>
        <w:t>whole.</w:t>
      </w:r>
      <w:r>
        <w:rPr>
          <w:spacing w:val="-6"/>
          <w:position w:val="7"/>
          <w:sz w:val="12"/>
        </w:rPr>
        <w:t>116</w:t>
      </w:r>
    </w:p>
    <w:p>
      <w:pPr>
        <w:pStyle w:val="ListParagraph"/>
        <w:numPr>
          <w:ilvl w:val="1"/>
          <w:numId w:val="22"/>
        </w:numPr>
        <w:tabs>
          <w:tab w:pos="2381" w:val="left" w:leader="none"/>
          <w:tab w:pos="2382" w:val="left" w:leader="none"/>
        </w:tabs>
        <w:spacing w:line="242" w:lineRule="auto" w:before="124" w:after="0"/>
        <w:ind w:left="2381" w:right="2123" w:hanging="794"/>
        <w:jc w:val="left"/>
        <w:rPr>
          <w:sz w:val="12"/>
        </w:rPr>
      </w:pPr>
      <w:r>
        <w:rPr>
          <w:w w:val="105"/>
          <w:sz w:val="21"/>
        </w:rPr>
        <w:t>Following </w:t>
      </w:r>
      <w:r>
        <w:rPr>
          <w:i/>
          <w:spacing w:val="-3"/>
          <w:w w:val="105"/>
          <w:sz w:val="21"/>
        </w:rPr>
        <w:t>Nicholson </w:t>
      </w:r>
      <w:r>
        <w:rPr>
          <w:i/>
          <w:w w:val="105"/>
          <w:sz w:val="21"/>
        </w:rPr>
        <w:t>v </w:t>
      </w:r>
      <w:r>
        <w:rPr>
          <w:i/>
          <w:spacing w:val="-3"/>
          <w:w w:val="105"/>
          <w:sz w:val="21"/>
        </w:rPr>
        <w:t>Knaggs</w:t>
      </w:r>
      <w:r>
        <w:rPr>
          <w:spacing w:val="-3"/>
          <w:w w:val="105"/>
          <w:sz w:val="21"/>
        </w:rPr>
        <w:t>, probate undue influence may </w:t>
      </w:r>
      <w:r>
        <w:rPr>
          <w:w w:val="105"/>
          <w:sz w:val="21"/>
        </w:rPr>
        <w:t>now be </w:t>
      </w:r>
      <w:r>
        <w:rPr>
          <w:spacing w:val="-2"/>
          <w:w w:val="105"/>
          <w:sz w:val="21"/>
        </w:rPr>
        <w:t>easier </w:t>
      </w:r>
      <w:r>
        <w:rPr>
          <w:spacing w:val="-3"/>
          <w:w w:val="105"/>
          <w:sz w:val="21"/>
        </w:rPr>
        <w:t>to prove </w:t>
      </w:r>
      <w:r>
        <w:rPr>
          <w:w w:val="105"/>
          <w:sz w:val="21"/>
        </w:rPr>
        <w:t>in</w:t>
      </w:r>
      <w:r>
        <w:rPr>
          <w:spacing w:val="5"/>
          <w:w w:val="105"/>
          <w:sz w:val="21"/>
        </w:rPr>
        <w:t> </w:t>
      </w:r>
      <w:r>
        <w:rPr>
          <w:spacing w:val="-5"/>
          <w:w w:val="105"/>
          <w:sz w:val="21"/>
        </w:rPr>
        <w:t>Victoria.</w:t>
      </w:r>
      <w:r>
        <w:rPr>
          <w:spacing w:val="-5"/>
          <w:w w:val="105"/>
          <w:position w:val="7"/>
          <w:sz w:val="12"/>
        </w:rPr>
        <w:t>117</w:t>
      </w:r>
    </w:p>
    <w:p>
      <w:pPr>
        <w:pStyle w:val="BodyText"/>
        <w:spacing w:before="10"/>
        <w:rPr>
          <w:sz w:val="26"/>
        </w:rPr>
      </w:pPr>
    </w:p>
    <w:p>
      <w:pPr>
        <w:pStyle w:val="Heading6"/>
      </w:pPr>
      <w:r>
        <w:rPr>
          <w:w w:val="120"/>
        </w:rPr>
        <w:t>Burden of proof</w:t>
      </w:r>
    </w:p>
    <w:p>
      <w:pPr>
        <w:pStyle w:val="ListParagraph"/>
        <w:numPr>
          <w:ilvl w:val="1"/>
          <w:numId w:val="22"/>
        </w:numPr>
        <w:tabs>
          <w:tab w:pos="2381" w:val="left" w:leader="none"/>
          <w:tab w:pos="2382" w:val="left" w:leader="none"/>
        </w:tabs>
        <w:spacing w:line="242" w:lineRule="auto" w:before="151" w:after="0"/>
        <w:ind w:left="2381" w:right="1643" w:hanging="794"/>
        <w:jc w:val="left"/>
        <w:rPr>
          <w:sz w:val="21"/>
        </w:rPr>
      </w:pPr>
      <w:r>
        <w:rPr>
          <w:w w:val="105"/>
          <w:sz w:val="21"/>
        </w:rPr>
        <w:t>The burden of proof is on the person </w:t>
      </w:r>
      <w:r>
        <w:rPr>
          <w:spacing w:val="-3"/>
          <w:w w:val="105"/>
          <w:sz w:val="21"/>
        </w:rPr>
        <w:t>alleging undue </w:t>
      </w:r>
      <w:r>
        <w:rPr>
          <w:spacing w:val="-5"/>
          <w:w w:val="105"/>
          <w:sz w:val="21"/>
        </w:rPr>
        <w:t>influence.</w:t>
      </w:r>
      <w:r>
        <w:rPr>
          <w:spacing w:val="-5"/>
          <w:w w:val="105"/>
          <w:position w:val="7"/>
          <w:sz w:val="12"/>
        </w:rPr>
        <w:t>118 </w:t>
      </w:r>
      <w:r>
        <w:rPr>
          <w:w w:val="105"/>
          <w:sz w:val="21"/>
        </w:rPr>
        <w:t>This is in </w:t>
      </w:r>
      <w:r>
        <w:rPr>
          <w:spacing w:val="-3"/>
          <w:w w:val="105"/>
          <w:sz w:val="21"/>
        </w:rPr>
        <w:t>contrast to want </w:t>
      </w:r>
      <w:r>
        <w:rPr>
          <w:w w:val="105"/>
          <w:sz w:val="21"/>
        </w:rPr>
        <w:t>of knowledge and </w:t>
      </w:r>
      <w:r>
        <w:rPr>
          <w:spacing w:val="-3"/>
          <w:w w:val="105"/>
          <w:sz w:val="21"/>
        </w:rPr>
        <w:t>approval, </w:t>
      </w:r>
      <w:r>
        <w:rPr>
          <w:w w:val="105"/>
          <w:sz w:val="21"/>
        </w:rPr>
        <w:t>where the burden of proof is on the person seeking </w:t>
      </w:r>
      <w:r>
        <w:rPr>
          <w:spacing w:val="-3"/>
          <w:w w:val="105"/>
          <w:sz w:val="21"/>
        </w:rPr>
        <w:t>to </w:t>
      </w:r>
      <w:r>
        <w:rPr>
          <w:w w:val="105"/>
          <w:sz w:val="21"/>
        </w:rPr>
        <w:t>uphold</w:t>
      </w:r>
      <w:r>
        <w:rPr>
          <w:spacing w:val="-8"/>
          <w:w w:val="105"/>
          <w:sz w:val="21"/>
        </w:rPr>
        <w:t> </w:t>
      </w:r>
      <w:r>
        <w:rPr>
          <w:w w:val="105"/>
          <w:sz w:val="21"/>
        </w:rPr>
        <w:t>the</w:t>
      </w:r>
      <w:r>
        <w:rPr>
          <w:spacing w:val="-7"/>
          <w:w w:val="105"/>
          <w:sz w:val="21"/>
        </w:rPr>
        <w:t> </w:t>
      </w:r>
      <w:r>
        <w:rPr>
          <w:spacing w:val="-3"/>
          <w:w w:val="105"/>
          <w:sz w:val="21"/>
        </w:rPr>
        <w:t>will.</w:t>
      </w:r>
      <w:r>
        <w:rPr>
          <w:spacing w:val="-8"/>
          <w:w w:val="105"/>
          <w:sz w:val="21"/>
        </w:rPr>
        <w:t> </w:t>
      </w:r>
      <w:r>
        <w:rPr>
          <w:w w:val="105"/>
          <w:sz w:val="21"/>
        </w:rPr>
        <w:t>It</w:t>
      </w:r>
      <w:r>
        <w:rPr>
          <w:spacing w:val="-7"/>
          <w:w w:val="105"/>
          <w:sz w:val="21"/>
        </w:rPr>
        <w:t> </w:t>
      </w:r>
      <w:r>
        <w:rPr>
          <w:w w:val="105"/>
          <w:sz w:val="21"/>
        </w:rPr>
        <w:t>is</w:t>
      </w:r>
      <w:r>
        <w:rPr>
          <w:spacing w:val="-7"/>
          <w:w w:val="105"/>
          <w:sz w:val="21"/>
        </w:rPr>
        <w:t> </w:t>
      </w:r>
      <w:r>
        <w:rPr>
          <w:w w:val="105"/>
          <w:sz w:val="21"/>
        </w:rPr>
        <w:t>also</w:t>
      </w:r>
      <w:r>
        <w:rPr>
          <w:spacing w:val="-8"/>
          <w:w w:val="105"/>
          <w:sz w:val="21"/>
        </w:rPr>
        <w:t> </w:t>
      </w:r>
      <w:r>
        <w:rPr>
          <w:w w:val="105"/>
          <w:sz w:val="21"/>
        </w:rPr>
        <w:t>in</w:t>
      </w:r>
      <w:r>
        <w:rPr>
          <w:spacing w:val="-7"/>
          <w:w w:val="105"/>
          <w:sz w:val="21"/>
        </w:rPr>
        <w:t> </w:t>
      </w:r>
      <w:r>
        <w:rPr>
          <w:spacing w:val="-3"/>
          <w:w w:val="105"/>
          <w:sz w:val="21"/>
        </w:rPr>
        <w:t>contrast</w:t>
      </w:r>
      <w:r>
        <w:rPr>
          <w:spacing w:val="-8"/>
          <w:w w:val="105"/>
          <w:sz w:val="21"/>
        </w:rPr>
        <w:t> </w:t>
      </w:r>
      <w:r>
        <w:rPr>
          <w:spacing w:val="-3"/>
          <w:w w:val="105"/>
          <w:sz w:val="21"/>
        </w:rPr>
        <w:t>to</w:t>
      </w:r>
      <w:r>
        <w:rPr>
          <w:spacing w:val="-7"/>
          <w:w w:val="105"/>
          <w:sz w:val="21"/>
        </w:rPr>
        <w:t> </w:t>
      </w:r>
      <w:r>
        <w:rPr>
          <w:w w:val="105"/>
          <w:sz w:val="21"/>
        </w:rPr>
        <w:t>equitable</w:t>
      </w:r>
      <w:r>
        <w:rPr>
          <w:spacing w:val="-7"/>
          <w:w w:val="105"/>
          <w:sz w:val="21"/>
        </w:rPr>
        <w:t> </w:t>
      </w:r>
      <w:r>
        <w:rPr>
          <w:spacing w:val="-3"/>
          <w:w w:val="105"/>
          <w:sz w:val="21"/>
        </w:rPr>
        <w:t>undue</w:t>
      </w:r>
      <w:r>
        <w:rPr>
          <w:spacing w:val="-8"/>
          <w:w w:val="105"/>
          <w:sz w:val="21"/>
        </w:rPr>
        <w:t> </w:t>
      </w:r>
      <w:r>
        <w:rPr>
          <w:spacing w:val="-3"/>
          <w:w w:val="105"/>
          <w:sz w:val="21"/>
        </w:rPr>
        <w:t>influence</w:t>
      </w:r>
      <w:r>
        <w:rPr>
          <w:spacing w:val="-7"/>
          <w:w w:val="105"/>
          <w:sz w:val="21"/>
        </w:rPr>
        <w:t> </w:t>
      </w:r>
      <w:r>
        <w:rPr>
          <w:spacing w:val="-3"/>
          <w:w w:val="105"/>
          <w:sz w:val="21"/>
        </w:rPr>
        <w:t>for</w:t>
      </w:r>
      <w:r>
        <w:rPr>
          <w:spacing w:val="-8"/>
          <w:w w:val="105"/>
          <w:sz w:val="21"/>
        </w:rPr>
        <w:t> </w:t>
      </w:r>
      <w:r>
        <w:rPr>
          <w:spacing w:val="-3"/>
          <w:w w:val="105"/>
          <w:sz w:val="21"/>
        </w:rPr>
        <w:t>lifetime</w:t>
      </w:r>
      <w:r>
        <w:rPr>
          <w:spacing w:val="-7"/>
          <w:w w:val="105"/>
          <w:sz w:val="21"/>
        </w:rPr>
        <w:t> </w:t>
      </w:r>
      <w:r>
        <w:rPr>
          <w:w w:val="105"/>
          <w:sz w:val="21"/>
        </w:rPr>
        <w:t>transactions, where the burden of proof is on the person seeking </w:t>
      </w:r>
      <w:r>
        <w:rPr>
          <w:spacing w:val="-3"/>
          <w:w w:val="105"/>
          <w:sz w:val="21"/>
        </w:rPr>
        <w:t>to retain </w:t>
      </w:r>
      <w:r>
        <w:rPr>
          <w:w w:val="105"/>
          <w:sz w:val="21"/>
        </w:rPr>
        <w:t>the</w:t>
      </w:r>
      <w:r>
        <w:rPr>
          <w:spacing w:val="38"/>
          <w:w w:val="105"/>
          <w:sz w:val="21"/>
        </w:rPr>
        <w:t> </w:t>
      </w:r>
      <w:r>
        <w:rPr>
          <w:w w:val="105"/>
          <w:sz w:val="21"/>
        </w:rPr>
        <w:t>gift.</w:t>
      </w:r>
    </w:p>
    <w:p>
      <w:pPr>
        <w:pStyle w:val="BodyText"/>
        <w:spacing w:before="1"/>
        <w:rPr>
          <w:sz w:val="25"/>
        </w:rPr>
      </w:pPr>
    </w:p>
    <w:p>
      <w:pPr>
        <w:pStyle w:val="Heading5"/>
      </w:pPr>
      <w:r>
        <w:rPr>
          <w:w w:val="115"/>
        </w:rPr>
        <w:t>Equitable undue influence</w:t>
      </w:r>
    </w:p>
    <w:p>
      <w:pPr>
        <w:pStyle w:val="ListParagraph"/>
        <w:numPr>
          <w:ilvl w:val="1"/>
          <w:numId w:val="22"/>
        </w:numPr>
        <w:tabs>
          <w:tab w:pos="2380" w:val="left" w:leader="none"/>
          <w:tab w:pos="2381" w:val="left" w:leader="none"/>
        </w:tabs>
        <w:spacing w:line="242" w:lineRule="auto" w:before="137" w:after="0"/>
        <w:ind w:left="2381" w:right="1919" w:hanging="794"/>
        <w:jc w:val="left"/>
        <w:rPr>
          <w:sz w:val="12"/>
        </w:rPr>
      </w:pPr>
      <w:r>
        <w:rPr>
          <w:sz w:val="21"/>
        </w:rPr>
        <w:t>While </w:t>
      </w:r>
      <w:r>
        <w:rPr>
          <w:spacing w:val="-3"/>
          <w:sz w:val="21"/>
        </w:rPr>
        <w:t>sharing </w:t>
      </w:r>
      <w:r>
        <w:rPr>
          <w:sz w:val="21"/>
        </w:rPr>
        <w:t>a </w:t>
      </w:r>
      <w:r>
        <w:rPr>
          <w:spacing w:val="-2"/>
          <w:sz w:val="21"/>
        </w:rPr>
        <w:t>common </w:t>
      </w:r>
      <w:r>
        <w:rPr>
          <w:spacing w:val="-3"/>
          <w:sz w:val="21"/>
        </w:rPr>
        <w:t>title, </w:t>
      </w:r>
      <w:r>
        <w:rPr>
          <w:sz w:val="21"/>
        </w:rPr>
        <w:t>the doctrines of </w:t>
      </w:r>
      <w:r>
        <w:rPr>
          <w:spacing w:val="-3"/>
          <w:sz w:val="21"/>
        </w:rPr>
        <w:t>undue influence </w:t>
      </w:r>
      <w:r>
        <w:rPr>
          <w:sz w:val="21"/>
        </w:rPr>
        <w:t>in equity and </w:t>
      </w:r>
      <w:r>
        <w:rPr>
          <w:spacing w:val="-3"/>
          <w:sz w:val="21"/>
        </w:rPr>
        <w:t>undue influence </w:t>
      </w:r>
      <w:r>
        <w:rPr>
          <w:sz w:val="21"/>
        </w:rPr>
        <w:t>in </w:t>
      </w:r>
      <w:r>
        <w:rPr>
          <w:spacing w:val="-3"/>
          <w:sz w:val="21"/>
        </w:rPr>
        <w:t>probate are </w:t>
      </w:r>
      <w:r>
        <w:rPr>
          <w:sz w:val="21"/>
        </w:rPr>
        <w:t>based on </w:t>
      </w:r>
      <w:r>
        <w:rPr>
          <w:spacing w:val="-3"/>
          <w:sz w:val="21"/>
        </w:rPr>
        <w:t>different principles. </w:t>
      </w:r>
      <w:r>
        <w:rPr>
          <w:sz w:val="21"/>
        </w:rPr>
        <w:t>The equitable doctrine of </w:t>
      </w:r>
      <w:r>
        <w:rPr>
          <w:spacing w:val="-3"/>
          <w:sz w:val="21"/>
        </w:rPr>
        <w:t>undue influence </w:t>
      </w:r>
      <w:r>
        <w:rPr>
          <w:sz w:val="21"/>
        </w:rPr>
        <w:t>applies </w:t>
      </w:r>
      <w:r>
        <w:rPr>
          <w:spacing w:val="-3"/>
          <w:sz w:val="21"/>
        </w:rPr>
        <w:t>to </w:t>
      </w:r>
      <w:r>
        <w:rPr>
          <w:sz w:val="21"/>
        </w:rPr>
        <w:t>transactions </w:t>
      </w:r>
      <w:r>
        <w:rPr>
          <w:spacing w:val="-3"/>
          <w:sz w:val="21"/>
        </w:rPr>
        <w:t>that occur during </w:t>
      </w:r>
      <w:r>
        <w:rPr>
          <w:sz w:val="21"/>
        </w:rPr>
        <w:t>a </w:t>
      </w:r>
      <w:r>
        <w:rPr>
          <w:spacing w:val="-3"/>
          <w:sz w:val="21"/>
        </w:rPr>
        <w:t>person’s </w:t>
      </w:r>
      <w:r>
        <w:rPr>
          <w:spacing w:val="-4"/>
          <w:sz w:val="21"/>
        </w:rPr>
        <w:t>lifetime. </w:t>
      </w:r>
      <w:r>
        <w:rPr>
          <w:sz w:val="21"/>
        </w:rPr>
        <w:t>A </w:t>
      </w:r>
      <w:r>
        <w:rPr>
          <w:spacing w:val="-2"/>
          <w:sz w:val="21"/>
        </w:rPr>
        <w:t>common </w:t>
      </w:r>
      <w:r>
        <w:rPr>
          <w:sz w:val="21"/>
        </w:rPr>
        <w:t>suggestion </w:t>
      </w:r>
      <w:r>
        <w:rPr>
          <w:spacing w:val="-3"/>
          <w:sz w:val="21"/>
        </w:rPr>
        <w:t>for reform </w:t>
      </w:r>
      <w:r>
        <w:rPr>
          <w:sz w:val="21"/>
        </w:rPr>
        <w:t>is </w:t>
      </w:r>
      <w:r>
        <w:rPr>
          <w:spacing w:val="-3"/>
          <w:sz w:val="21"/>
        </w:rPr>
        <w:t>that </w:t>
      </w:r>
      <w:r>
        <w:rPr>
          <w:sz w:val="21"/>
        </w:rPr>
        <w:t>this equitable doctrine should also apply </w:t>
      </w:r>
      <w:r>
        <w:rPr>
          <w:spacing w:val="-3"/>
          <w:sz w:val="21"/>
        </w:rPr>
        <w:t>to</w:t>
      </w:r>
      <w:r>
        <w:rPr>
          <w:spacing w:val="1"/>
          <w:sz w:val="21"/>
        </w:rPr>
        <w:t> </w:t>
      </w:r>
      <w:r>
        <w:rPr>
          <w:spacing w:val="-6"/>
          <w:sz w:val="21"/>
        </w:rPr>
        <w:t>wills.</w:t>
      </w:r>
      <w:r>
        <w:rPr>
          <w:spacing w:val="-6"/>
          <w:position w:val="7"/>
          <w:sz w:val="12"/>
        </w:rPr>
        <w:t>119</w:t>
      </w:r>
    </w:p>
    <w:p>
      <w:pPr>
        <w:pStyle w:val="BodyText"/>
        <w:spacing w:before="4"/>
        <w:ind w:left="2381"/>
      </w:pPr>
      <w:r>
        <w:rPr>
          <w:w w:val="105"/>
        </w:rPr>
        <w:t>This section outlines the equitable doctrine of undue influence.</w:t>
      </w:r>
    </w:p>
    <w:p>
      <w:pPr>
        <w:pStyle w:val="BodyText"/>
        <w:rPr>
          <w:sz w:val="27"/>
        </w:rPr>
      </w:pPr>
    </w:p>
    <w:p>
      <w:pPr>
        <w:pStyle w:val="Heading6"/>
      </w:pPr>
      <w:r>
        <w:rPr>
          <w:w w:val="125"/>
        </w:rPr>
        <w:t>Definition of undue influence</w:t>
      </w:r>
    </w:p>
    <w:p>
      <w:pPr>
        <w:pStyle w:val="ListParagraph"/>
        <w:numPr>
          <w:ilvl w:val="1"/>
          <w:numId w:val="22"/>
        </w:numPr>
        <w:tabs>
          <w:tab w:pos="2380" w:val="left" w:leader="none"/>
          <w:tab w:pos="2381" w:val="left" w:leader="none"/>
        </w:tabs>
        <w:spacing w:line="242" w:lineRule="auto" w:before="151" w:after="0"/>
        <w:ind w:left="2381" w:right="1763" w:hanging="794"/>
        <w:jc w:val="left"/>
        <w:rPr>
          <w:sz w:val="21"/>
        </w:rPr>
      </w:pPr>
      <w:r>
        <w:rPr>
          <w:w w:val="105"/>
          <w:sz w:val="21"/>
        </w:rPr>
        <w:t>The equitable doctrine of </w:t>
      </w:r>
      <w:r>
        <w:rPr>
          <w:spacing w:val="-3"/>
          <w:w w:val="105"/>
          <w:sz w:val="21"/>
        </w:rPr>
        <w:t>undue influence </w:t>
      </w:r>
      <w:r>
        <w:rPr>
          <w:w w:val="105"/>
          <w:sz w:val="21"/>
        </w:rPr>
        <w:t>allows a </w:t>
      </w:r>
      <w:r>
        <w:rPr>
          <w:spacing w:val="-3"/>
          <w:w w:val="105"/>
          <w:sz w:val="21"/>
        </w:rPr>
        <w:t>lifetime </w:t>
      </w:r>
      <w:r>
        <w:rPr>
          <w:w w:val="105"/>
          <w:sz w:val="21"/>
        </w:rPr>
        <w:t>gift or transaction </w:t>
      </w:r>
      <w:r>
        <w:rPr>
          <w:spacing w:val="-3"/>
          <w:w w:val="105"/>
          <w:sz w:val="21"/>
        </w:rPr>
        <w:t>to </w:t>
      </w:r>
      <w:r>
        <w:rPr>
          <w:w w:val="105"/>
          <w:sz w:val="21"/>
        </w:rPr>
        <w:t>be set aside</w:t>
      </w:r>
      <w:r>
        <w:rPr>
          <w:spacing w:val="-7"/>
          <w:w w:val="105"/>
          <w:sz w:val="21"/>
        </w:rPr>
        <w:t> </w:t>
      </w:r>
      <w:r>
        <w:rPr>
          <w:w w:val="105"/>
          <w:sz w:val="21"/>
        </w:rPr>
        <w:t>where</w:t>
      </w:r>
      <w:r>
        <w:rPr>
          <w:spacing w:val="-6"/>
          <w:w w:val="105"/>
          <w:sz w:val="21"/>
        </w:rPr>
        <w:t> </w:t>
      </w:r>
      <w:r>
        <w:rPr>
          <w:w w:val="105"/>
          <w:sz w:val="21"/>
        </w:rPr>
        <w:t>a</w:t>
      </w:r>
      <w:r>
        <w:rPr>
          <w:spacing w:val="-6"/>
          <w:w w:val="105"/>
          <w:sz w:val="21"/>
        </w:rPr>
        <w:t> </w:t>
      </w:r>
      <w:r>
        <w:rPr>
          <w:w w:val="105"/>
          <w:sz w:val="21"/>
        </w:rPr>
        <w:t>person</w:t>
      </w:r>
      <w:r>
        <w:rPr>
          <w:spacing w:val="-6"/>
          <w:w w:val="105"/>
          <w:sz w:val="21"/>
        </w:rPr>
        <w:t> </w:t>
      </w:r>
      <w:r>
        <w:rPr>
          <w:w w:val="105"/>
          <w:sz w:val="21"/>
        </w:rPr>
        <w:t>is</w:t>
      </w:r>
      <w:r>
        <w:rPr>
          <w:spacing w:val="-7"/>
          <w:w w:val="105"/>
          <w:sz w:val="21"/>
        </w:rPr>
        <w:t> </w:t>
      </w:r>
      <w:r>
        <w:rPr>
          <w:w w:val="105"/>
          <w:sz w:val="21"/>
        </w:rPr>
        <w:t>in</w:t>
      </w:r>
      <w:r>
        <w:rPr>
          <w:spacing w:val="-6"/>
          <w:w w:val="105"/>
          <w:sz w:val="21"/>
        </w:rPr>
        <w:t> </w:t>
      </w:r>
      <w:r>
        <w:rPr>
          <w:w w:val="105"/>
          <w:sz w:val="21"/>
        </w:rPr>
        <w:t>a</w:t>
      </w:r>
      <w:r>
        <w:rPr>
          <w:spacing w:val="-6"/>
          <w:w w:val="105"/>
          <w:sz w:val="21"/>
        </w:rPr>
        <w:t> </w:t>
      </w:r>
      <w:r>
        <w:rPr>
          <w:w w:val="105"/>
          <w:sz w:val="21"/>
        </w:rPr>
        <w:t>position</w:t>
      </w:r>
      <w:r>
        <w:rPr>
          <w:spacing w:val="-6"/>
          <w:w w:val="105"/>
          <w:sz w:val="21"/>
        </w:rPr>
        <w:t> </w:t>
      </w:r>
      <w:r>
        <w:rPr>
          <w:w w:val="105"/>
          <w:sz w:val="21"/>
        </w:rPr>
        <w:t>of</w:t>
      </w:r>
      <w:r>
        <w:rPr>
          <w:spacing w:val="-7"/>
          <w:w w:val="105"/>
          <w:sz w:val="21"/>
        </w:rPr>
        <w:t> </w:t>
      </w:r>
      <w:r>
        <w:rPr>
          <w:spacing w:val="-3"/>
          <w:w w:val="105"/>
          <w:sz w:val="21"/>
        </w:rPr>
        <w:t>influence</w:t>
      </w:r>
      <w:r>
        <w:rPr>
          <w:spacing w:val="-6"/>
          <w:w w:val="105"/>
          <w:sz w:val="21"/>
        </w:rPr>
        <w:t> </w:t>
      </w:r>
      <w:r>
        <w:rPr>
          <w:w w:val="105"/>
          <w:sz w:val="21"/>
        </w:rPr>
        <w:t>over</w:t>
      </w:r>
      <w:r>
        <w:rPr>
          <w:spacing w:val="-6"/>
          <w:w w:val="105"/>
          <w:sz w:val="21"/>
        </w:rPr>
        <w:t> </w:t>
      </w:r>
      <w:r>
        <w:rPr>
          <w:w w:val="105"/>
          <w:sz w:val="21"/>
        </w:rPr>
        <w:t>the</w:t>
      </w:r>
      <w:r>
        <w:rPr>
          <w:spacing w:val="-6"/>
          <w:w w:val="105"/>
          <w:sz w:val="21"/>
        </w:rPr>
        <w:t> </w:t>
      </w:r>
      <w:r>
        <w:rPr>
          <w:spacing w:val="-4"/>
          <w:w w:val="105"/>
          <w:sz w:val="21"/>
        </w:rPr>
        <w:t>donor,</w:t>
      </w:r>
      <w:r>
        <w:rPr>
          <w:spacing w:val="-6"/>
          <w:w w:val="105"/>
          <w:sz w:val="21"/>
        </w:rPr>
        <w:t> </w:t>
      </w:r>
      <w:r>
        <w:rPr>
          <w:w w:val="105"/>
          <w:sz w:val="21"/>
        </w:rPr>
        <w:t>unless</w:t>
      </w:r>
      <w:r>
        <w:rPr>
          <w:spacing w:val="-7"/>
          <w:w w:val="105"/>
          <w:sz w:val="21"/>
        </w:rPr>
        <w:t> </w:t>
      </w:r>
      <w:r>
        <w:rPr>
          <w:w w:val="105"/>
          <w:sz w:val="21"/>
        </w:rPr>
        <w:t>the</w:t>
      </w:r>
      <w:r>
        <w:rPr>
          <w:spacing w:val="-6"/>
          <w:w w:val="105"/>
          <w:sz w:val="21"/>
        </w:rPr>
        <w:t> </w:t>
      </w:r>
      <w:r>
        <w:rPr>
          <w:w w:val="105"/>
          <w:sz w:val="21"/>
        </w:rPr>
        <w:t>person</w:t>
      </w:r>
      <w:r>
        <w:rPr>
          <w:spacing w:val="-6"/>
          <w:w w:val="105"/>
          <w:sz w:val="21"/>
        </w:rPr>
        <w:t> </w:t>
      </w:r>
      <w:r>
        <w:rPr>
          <w:w w:val="105"/>
          <w:sz w:val="21"/>
        </w:rPr>
        <w:t>who benefits can satisfy the </w:t>
      </w:r>
      <w:r>
        <w:rPr>
          <w:spacing w:val="-3"/>
          <w:w w:val="105"/>
          <w:sz w:val="21"/>
        </w:rPr>
        <w:t>Court that </w:t>
      </w:r>
      <w:r>
        <w:rPr>
          <w:w w:val="105"/>
          <w:sz w:val="21"/>
        </w:rPr>
        <w:t>no </w:t>
      </w:r>
      <w:r>
        <w:rPr>
          <w:spacing w:val="-3"/>
          <w:w w:val="105"/>
          <w:sz w:val="21"/>
        </w:rPr>
        <w:t>undue influence </w:t>
      </w:r>
      <w:r>
        <w:rPr>
          <w:w w:val="105"/>
          <w:sz w:val="21"/>
        </w:rPr>
        <w:t>was</w:t>
      </w:r>
      <w:r>
        <w:rPr>
          <w:spacing w:val="3"/>
          <w:w w:val="105"/>
          <w:sz w:val="21"/>
        </w:rPr>
        <w:t> </w:t>
      </w:r>
      <w:r>
        <w:rPr>
          <w:w w:val="105"/>
          <w:sz w:val="21"/>
        </w:rPr>
        <w:t>used.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9"/>
        </w:rPr>
      </w:pPr>
      <w:r>
        <w:rPr/>
        <w:pict>
          <v:line style="position:absolute;mso-position-horizontal-relative:page;mso-position-vertical-relative:paragraph;z-index:296;mso-wrap-distance-left:0;mso-wrap-distance-right:0" from="79.370102pt,20.282471pt" to="515.905102pt,20.282471pt" stroked="true" strokeweight="1pt" strokecolor="#f9ceca">
            <v:stroke dashstyle="solid"/>
            <w10:wrap type="topAndBottom"/>
          </v:line>
        </w:pict>
      </w:r>
    </w:p>
    <w:p>
      <w:pPr>
        <w:pStyle w:val="ListParagraph"/>
        <w:numPr>
          <w:ilvl w:val="0"/>
          <w:numId w:val="25"/>
        </w:numPr>
        <w:tabs>
          <w:tab w:pos="2380" w:val="left" w:leader="none"/>
          <w:tab w:pos="2382" w:val="left" w:leader="none"/>
        </w:tabs>
        <w:spacing w:line="240" w:lineRule="auto" w:before="117" w:after="0"/>
        <w:ind w:left="2381" w:right="1624" w:hanging="794"/>
        <w:jc w:val="left"/>
        <w:rPr>
          <w:sz w:val="13"/>
        </w:rPr>
      </w:pPr>
      <w:r>
        <w:rPr>
          <w:sz w:val="13"/>
        </w:rPr>
        <w:t>‘It is not sufficient to show that the circumstances attending [the will’s]  execution  are  consistent  with  the  hypothesis  of  its  having  been obtained by undue influence. It must be shown that they are inconsistent with a contrary hypothesis’: </w:t>
      </w:r>
      <w:r>
        <w:rPr>
          <w:i/>
          <w:sz w:val="13"/>
        </w:rPr>
        <w:t>Boyse v Rossborough </w:t>
      </w:r>
      <w:r>
        <w:rPr>
          <w:sz w:val="13"/>
        </w:rPr>
        <w:t>(1857) VI H.L.C.          </w:t>
      </w:r>
      <w:r>
        <w:rPr>
          <w:spacing w:val="-4"/>
          <w:sz w:val="13"/>
        </w:rPr>
        <w:t>1192, 1212;  </w:t>
      </w:r>
      <w:r>
        <w:rPr>
          <w:sz w:val="13"/>
        </w:rPr>
        <w:t>10  ER  </w:t>
      </w:r>
      <w:r>
        <w:rPr>
          <w:spacing w:val="-4"/>
          <w:sz w:val="13"/>
        </w:rPr>
        <w:t>1192,  1212.  </w:t>
      </w:r>
      <w:r>
        <w:rPr>
          <w:sz w:val="13"/>
        </w:rPr>
        <w:t>Followed  in:  </w:t>
      </w:r>
      <w:r>
        <w:rPr>
          <w:i/>
          <w:sz w:val="13"/>
        </w:rPr>
        <w:t>In  the  will  of  Boyd  </w:t>
      </w:r>
      <w:r>
        <w:rPr>
          <w:sz w:val="13"/>
        </w:rPr>
        <w:t>(1872)  </w:t>
      </w:r>
      <w:r>
        <w:rPr>
          <w:spacing w:val="2"/>
          <w:sz w:val="13"/>
        </w:rPr>
        <w:t>VLR </w:t>
      </w:r>
      <w:r>
        <w:rPr>
          <w:spacing w:val="3"/>
          <w:sz w:val="13"/>
        </w:rPr>
        <w:t>(I, </w:t>
      </w:r>
      <w:r>
        <w:rPr>
          <w:sz w:val="13"/>
        </w:rPr>
        <w:t>E  &amp;  </w:t>
      </w:r>
      <w:r>
        <w:rPr>
          <w:spacing w:val="3"/>
          <w:sz w:val="13"/>
        </w:rPr>
        <w:t>M) </w:t>
      </w:r>
      <w:r>
        <w:rPr>
          <w:sz w:val="13"/>
        </w:rPr>
        <w:t>46,  </w:t>
      </w:r>
      <w:r>
        <w:rPr>
          <w:spacing w:val="3"/>
          <w:sz w:val="13"/>
        </w:rPr>
        <w:t>48; </w:t>
      </w:r>
      <w:r>
        <w:rPr>
          <w:i/>
          <w:sz w:val="13"/>
        </w:rPr>
        <w:t>Craig  v  Lamoureux  </w:t>
      </w:r>
      <w:r>
        <w:rPr>
          <w:sz w:val="13"/>
        </w:rPr>
        <w:t>[1920]  AC  349,  357;  </w:t>
      </w:r>
      <w:r>
        <w:rPr>
          <w:i/>
          <w:sz w:val="13"/>
        </w:rPr>
        <w:t>Winter </w:t>
      </w:r>
      <w:r>
        <w:rPr>
          <w:i/>
          <w:sz w:val="13"/>
        </w:rPr>
        <w:t>v Crichton </w:t>
      </w:r>
      <w:r>
        <w:rPr>
          <w:sz w:val="13"/>
        </w:rPr>
        <w:t>(1991) 23 </w:t>
      </w:r>
      <w:r>
        <w:rPr>
          <w:spacing w:val="2"/>
          <w:sz w:val="13"/>
        </w:rPr>
        <w:t>NSWLR </w:t>
      </w:r>
      <w:r>
        <w:rPr>
          <w:spacing w:val="-4"/>
          <w:sz w:val="13"/>
        </w:rPr>
        <w:t>116, 121. </w:t>
      </w:r>
      <w:r>
        <w:rPr>
          <w:sz w:val="13"/>
        </w:rPr>
        <w:t>Fiona Burns  has  noted  that  some  colonial  cases  from  the  1800s  held  that  undue  influence  was  ‘the most</w:t>
      </w:r>
      <w:r>
        <w:rPr>
          <w:spacing w:val="12"/>
          <w:sz w:val="13"/>
        </w:rPr>
        <w:t> </w:t>
      </w:r>
      <w:r>
        <w:rPr>
          <w:sz w:val="13"/>
        </w:rPr>
        <w:t>likely</w:t>
      </w:r>
      <w:r>
        <w:rPr>
          <w:spacing w:val="11"/>
          <w:sz w:val="13"/>
        </w:rPr>
        <w:t> </w:t>
      </w:r>
      <w:r>
        <w:rPr>
          <w:sz w:val="13"/>
        </w:rPr>
        <w:t>explanation’</w:t>
      </w:r>
      <w:r>
        <w:rPr>
          <w:spacing w:val="12"/>
          <w:sz w:val="13"/>
        </w:rPr>
        <w:t> </w:t>
      </w:r>
      <w:r>
        <w:rPr>
          <w:sz w:val="13"/>
        </w:rPr>
        <w:t>for</w:t>
      </w:r>
      <w:r>
        <w:rPr>
          <w:spacing w:val="12"/>
          <w:sz w:val="13"/>
        </w:rPr>
        <w:t> </w:t>
      </w:r>
      <w:r>
        <w:rPr>
          <w:sz w:val="13"/>
        </w:rPr>
        <w:t>the</w:t>
      </w:r>
      <w:r>
        <w:rPr>
          <w:spacing w:val="12"/>
          <w:sz w:val="13"/>
        </w:rPr>
        <w:t> </w:t>
      </w:r>
      <w:r>
        <w:rPr>
          <w:sz w:val="13"/>
        </w:rPr>
        <w:t>existence</w:t>
      </w:r>
      <w:r>
        <w:rPr>
          <w:spacing w:val="12"/>
          <w:sz w:val="13"/>
        </w:rPr>
        <w:t> </w:t>
      </w:r>
      <w:r>
        <w:rPr>
          <w:sz w:val="13"/>
        </w:rPr>
        <w:t>of</w:t>
      </w:r>
      <w:r>
        <w:rPr>
          <w:spacing w:val="12"/>
          <w:sz w:val="13"/>
        </w:rPr>
        <w:t> </w:t>
      </w:r>
      <w:r>
        <w:rPr>
          <w:sz w:val="13"/>
        </w:rPr>
        <w:t>the</w:t>
      </w:r>
      <w:r>
        <w:rPr>
          <w:spacing w:val="12"/>
          <w:sz w:val="13"/>
        </w:rPr>
        <w:t> </w:t>
      </w:r>
      <w:r>
        <w:rPr>
          <w:sz w:val="13"/>
        </w:rPr>
        <w:t>will:</w:t>
      </w:r>
      <w:r>
        <w:rPr>
          <w:spacing w:val="12"/>
          <w:sz w:val="13"/>
        </w:rPr>
        <w:t> </w:t>
      </w:r>
      <w:r>
        <w:rPr>
          <w:sz w:val="13"/>
        </w:rPr>
        <w:t>Burns,</w:t>
      </w:r>
      <w:r>
        <w:rPr>
          <w:spacing w:val="12"/>
          <w:sz w:val="13"/>
        </w:rPr>
        <w:t> </w:t>
      </w:r>
      <w:r>
        <w:rPr>
          <w:sz w:val="13"/>
        </w:rPr>
        <w:t>‘Elders</w:t>
      </w:r>
      <w:r>
        <w:rPr>
          <w:spacing w:val="12"/>
          <w:sz w:val="13"/>
        </w:rPr>
        <w:t> </w:t>
      </w:r>
      <w:r>
        <w:rPr>
          <w:sz w:val="13"/>
        </w:rPr>
        <w:t>and</w:t>
      </w:r>
      <w:r>
        <w:rPr>
          <w:spacing w:val="12"/>
          <w:sz w:val="13"/>
        </w:rPr>
        <w:t> </w:t>
      </w:r>
      <w:r>
        <w:rPr>
          <w:sz w:val="13"/>
        </w:rPr>
        <w:t>Testamentary</w:t>
      </w:r>
      <w:r>
        <w:rPr>
          <w:spacing w:val="12"/>
          <w:sz w:val="13"/>
        </w:rPr>
        <w:t> </w:t>
      </w:r>
      <w:r>
        <w:rPr>
          <w:sz w:val="13"/>
        </w:rPr>
        <w:t>Undue</w:t>
      </w:r>
      <w:r>
        <w:rPr>
          <w:spacing w:val="12"/>
          <w:sz w:val="13"/>
        </w:rPr>
        <w:t> </w:t>
      </w:r>
      <w:r>
        <w:rPr>
          <w:sz w:val="13"/>
        </w:rPr>
        <w:t>Influence’,</w:t>
      </w:r>
      <w:r>
        <w:rPr>
          <w:spacing w:val="12"/>
          <w:sz w:val="13"/>
        </w:rPr>
        <w:t> </w:t>
      </w:r>
      <w:r>
        <w:rPr>
          <w:sz w:val="13"/>
        </w:rPr>
        <w:t>above</w:t>
      </w:r>
      <w:r>
        <w:rPr>
          <w:spacing w:val="12"/>
          <w:sz w:val="13"/>
        </w:rPr>
        <w:t> </w:t>
      </w:r>
      <w:r>
        <w:rPr>
          <w:sz w:val="13"/>
        </w:rPr>
        <w:t>n</w:t>
      </w:r>
      <w:r>
        <w:rPr>
          <w:spacing w:val="12"/>
          <w:sz w:val="13"/>
        </w:rPr>
        <w:t> </w:t>
      </w:r>
      <w:r>
        <w:rPr>
          <w:sz w:val="13"/>
        </w:rPr>
        <w:t>78,</w:t>
      </w:r>
      <w:r>
        <w:rPr>
          <w:spacing w:val="12"/>
          <w:sz w:val="13"/>
        </w:rPr>
        <w:t> </w:t>
      </w:r>
      <w:r>
        <w:rPr>
          <w:sz w:val="13"/>
        </w:rPr>
        <w:t>154.</w:t>
      </w:r>
    </w:p>
    <w:p>
      <w:pPr>
        <w:pStyle w:val="ListParagraph"/>
        <w:numPr>
          <w:ilvl w:val="0"/>
          <w:numId w:val="25"/>
        </w:numPr>
        <w:tabs>
          <w:tab w:pos="2380" w:val="left" w:leader="none"/>
          <w:tab w:pos="2382" w:val="left" w:leader="none"/>
        </w:tabs>
        <w:spacing w:line="240" w:lineRule="auto" w:before="7" w:after="0"/>
        <w:ind w:left="2381" w:right="1954" w:hanging="794"/>
        <w:jc w:val="left"/>
        <w:rPr>
          <w:sz w:val="13"/>
        </w:rPr>
      </w:pPr>
      <w:r>
        <w:rPr>
          <w:i/>
          <w:w w:val="105"/>
          <w:sz w:val="13"/>
        </w:rPr>
        <w:t>Nicholson v Knaggs </w:t>
      </w:r>
      <w:r>
        <w:rPr>
          <w:spacing w:val="2"/>
          <w:w w:val="105"/>
          <w:sz w:val="13"/>
        </w:rPr>
        <w:t>[2009] </w:t>
      </w:r>
      <w:r>
        <w:rPr>
          <w:w w:val="105"/>
          <w:sz w:val="13"/>
        </w:rPr>
        <w:t>VSC </w:t>
      </w:r>
      <w:r>
        <w:rPr>
          <w:spacing w:val="2"/>
          <w:w w:val="105"/>
          <w:sz w:val="13"/>
        </w:rPr>
        <w:t>64 </w:t>
      </w:r>
      <w:r>
        <w:rPr>
          <w:w w:val="105"/>
          <w:sz w:val="13"/>
        </w:rPr>
        <w:t>(27 February </w:t>
      </w:r>
      <w:r>
        <w:rPr>
          <w:spacing w:val="2"/>
          <w:w w:val="105"/>
          <w:sz w:val="13"/>
        </w:rPr>
        <w:t>2009) </w:t>
      </w:r>
      <w:r>
        <w:rPr>
          <w:w w:val="105"/>
          <w:sz w:val="13"/>
        </w:rPr>
        <w:t>[116], [127]. The decision in the Victorian case of </w:t>
      </w:r>
      <w:r>
        <w:rPr>
          <w:i/>
          <w:w w:val="105"/>
          <w:sz w:val="13"/>
        </w:rPr>
        <w:t>Nicholson v Knaggs </w:t>
      </w:r>
      <w:r>
        <w:rPr>
          <w:w w:val="105"/>
          <w:sz w:val="13"/>
        </w:rPr>
        <w:t>has been applied</w:t>
      </w:r>
      <w:r>
        <w:rPr>
          <w:spacing w:val="5"/>
          <w:w w:val="105"/>
          <w:sz w:val="13"/>
        </w:rPr>
        <w:t> </w:t>
      </w:r>
      <w:r>
        <w:rPr>
          <w:w w:val="105"/>
          <w:sz w:val="13"/>
        </w:rPr>
        <w:t>in</w:t>
      </w:r>
      <w:r>
        <w:rPr>
          <w:spacing w:val="5"/>
          <w:w w:val="105"/>
          <w:sz w:val="13"/>
        </w:rPr>
        <w:t> </w:t>
      </w:r>
      <w:r>
        <w:rPr>
          <w:w w:val="105"/>
          <w:sz w:val="13"/>
        </w:rPr>
        <w:t>Western</w:t>
      </w:r>
      <w:r>
        <w:rPr>
          <w:spacing w:val="5"/>
          <w:w w:val="105"/>
          <w:sz w:val="13"/>
        </w:rPr>
        <w:t> </w:t>
      </w:r>
      <w:r>
        <w:rPr>
          <w:w w:val="105"/>
          <w:sz w:val="13"/>
        </w:rPr>
        <w:t>Australia:</w:t>
      </w:r>
      <w:r>
        <w:rPr>
          <w:spacing w:val="5"/>
          <w:w w:val="105"/>
          <w:sz w:val="13"/>
        </w:rPr>
        <w:t> </w:t>
      </w:r>
      <w:r>
        <w:rPr>
          <w:i/>
          <w:w w:val="105"/>
          <w:sz w:val="13"/>
        </w:rPr>
        <w:t>Brown</w:t>
      </w:r>
      <w:r>
        <w:rPr>
          <w:i/>
          <w:spacing w:val="4"/>
          <w:w w:val="105"/>
          <w:sz w:val="13"/>
        </w:rPr>
        <w:t> </w:t>
      </w:r>
      <w:r>
        <w:rPr>
          <w:i/>
          <w:w w:val="105"/>
          <w:sz w:val="13"/>
        </w:rPr>
        <w:t>v</w:t>
      </w:r>
      <w:r>
        <w:rPr>
          <w:i/>
          <w:spacing w:val="4"/>
          <w:w w:val="105"/>
          <w:sz w:val="13"/>
        </w:rPr>
        <w:t> </w:t>
      </w:r>
      <w:r>
        <w:rPr>
          <w:i/>
          <w:w w:val="105"/>
          <w:sz w:val="13"/>
        </w:rPr>
        <w:t>Wade</w:t>
      </w:r>
      <w:r>
        <w:rPr>
          <w:i/>
          <w:spacing w:val="5"/>
          <w:w w:val="105"/>
          <w:sz w:val="13"/>
        </w:rPr>
        <w:t> </w:t>
      </w:r>
      <w:r>
        <w:rPr>
          <w:w w:val="105"/>
          <w:sz w:val="13"/>
        </w:rPr>
        <w:t>[2010]</w:t>
      </w:r>
      <w:r>
        <w:rPr>
          <w:spacing w:val="5"/>
          <w:w w:val="105"/>
          <w:sz w:val="13"/>
        </w:rPr>
        <w:t> </w:t>
      </w:r>
      <w:r>
        <w:rPr>
          <w:w w:val="105"/>
          <w:sz w:val="13"/>
        </w:rPr>
        <w:t>WASC</w:t>
      </w:r>
      <w:r>
        <w:rPr>
          <w:spacing w:val="5"/>
          <w:w w:val="105"/>
          <w:sz w:val="13"/>
        </w:rPr>
        <w:t> </w:t>
      </w:r>
      <w:r>
        <w:rPr>
          <w:w w:val="105"/>
          <w:sz w:val="13"/>
        </w:rPr>
        <w:t>367</w:t>
      </w:r>
      <w:r>
        <w:rPr>
          <w:spacing w:val="6"/>
          <w:w w:val="105"/>
          <w:sz w:val="13"/>
        </w:rPr>
        <w:t> </w:t>
      </w:r>
      <w:r>
        <w:rPr>
          <w:spacing w:val="2"/>
          <w:w w:val="105"/>
          <w:sz w:val="13"/>
        </w:rPr>
        <w:t>(9</w:t>
      </w:r>
      <w:r>
        <w:rPr>
          <w:spacing w:val="5"/>
          <w:w w:val="105"/>
          <w:sz w:val="13"/>
        </w:rPr>
        <w:t> </w:t>
      </w:r>
      <w:r>
        <w:rPr>
          <w:w w:val="105"/>
          <w:sz w:val="13"/>
        </w:rPr>
        <w:t>December</w:t>
      </w:r>
      <w:r>
        <w:rPr>
          <w:spacing w:val="5"/>
          <w:w w:val="105"/>
          <w:sz w:val="13"/>
        </w:rPr>
        <w:t> </w:t>
      </w:r>
      <w:r>
        <w:rPr>
          <w:w w:val="105"/>
          <w:sz w:val="13"/>
        </w:rPr>
        <w:t>2010).</w:t>
      </w:r>
    </w:p>
    <w:p>
      <w:pPr>
        <w:pStyle w:val="ListParagraph"/>
        <w:numPr>
          <w:ilvl w:val="0"/>
          <w:numId w:val="25"/>
        </w:numPr>
        <w:tabs>
          <w:tab w:pos="2380" w:val="left" w:leader="none"/>
          <w:tab w:pos="2382" w:val="left" w:leader="none"/>
        </w:tabs>
        <w:spacing w:line="240" w:lineRule="auto" w:before="2" w:after="0"/>
        <w:ind w:left="2381" w:right="1624" w:hanging="794"/>
        <w:jc w:val="left"/>
        <w:rPr>
          <w:sz w:val="13"/>
        </w:rPr>
      </w:pPr>
      <w:r>
        <w:rPr>
          <w:w w:val="105"/>
          <w:sz w:val="13"/>
        </w:rPr>
        <w:t>See, eg, Andrew Verspaandonk, ‘Testamentary Undue Influence: Back to the Future’ (Paper presented at the Third Annual Wills and Estates Disputes</w:t>
      </w:r>
      <w:r>
        <w:rPr>
          <w:spacing w:val="5"/>
          <w:w w:val="105"/>
          <w:sz w:val="13"/>
        </w:rPr>
        <w:t> </w:t>
      </w:r>
      <w:r>
        <w:rPr>
          <w:w w:val="105"/>
          <w:sz w:val="13"/>
        </w:rPr>
        <w:t>Intensive:</w:t>
      </w:r>
      <w:r>
        <w:rPr>
          <w:spacing w:val="5"/>
          <w:w w:val="105"/>
          <w:sz w:val="13"/>
        </w:rPr>
        <w:t> </w:t>
      </w:r>
      <w:r>
        <w:rPr>
          <w:w w:val="105"/>
          <w:sz w:val="13"/>
        </w:rPr>
        <w:t>A</w:t>
      </w:r>
      <w:r>
        <w:rPr>
          <w:spacing w:val="5"/>
          <w:w w:val="105"/>
          <w:sz w:val="13"/>
        </w:rPr>
        <w:t> </w:t>
      </w:r>
      <w:r>
        <w:rPr>
          <w:w w:val="105"/>
          <w:sz w:val="13"/>
        </w:rPr>
        <w:t>Conference</w:t>
      </w:r>
      <w:r>
        <w:rPr>
          <w:spacing w:val="6"/>
          <w:w w:val="105"/>
          <w:sz w:val="13"/>
        </w:rPr>
        <w:t> </w:t>
      </w:r>
      <w:r>
        <w:rPr>
          <w:w w:val="105"/>
          <w:sz w:val="13"/>
        </w:rPr>
        <w:t>by</w:t>
      </w:r>
      <w:r>
        <w:rPr>
          <w:spacing w:val="5"/>
          <w:w w:val="105"/>
          <w:sz w:val="13"/>
        </w:rPr>
        <w:t> </w:t>
      </w:r>
      <w:r>
        <w:rPr>
          <w:w w:val="105"/>
          <w:sz w:val="13"/>
        </w:rPr>
        <w:t>Television</w:t>
      </w:r>
      <w:r>
        <w:rPr>
          <w:spacing w:val="5"/>
          <w:w w:val="105"/>
          <w:sz w:val="13"/>
        </w:rPr>
        <w:t> </w:t>
      </w:r>
      <w:r>
        <w:rPr>
          <w:w w:val="105"/>
          <w:sz w:val="13"/>
        </w:rPr>
        <w:t>Education</w:t>
      </w:r>
      <w:r>
        <w:rPr>
          <w:spacing w:val="6"/>
          <w:w w:val="105"/>
          <w:sz w:val="13"/>
        </w:rPr>
        <w:t> </w:t>
      </w:r>
      <w:r>
        <w:rPr>
          <w:spacing w:val="2"/>
          <w:w w:val="105"/>
          <w:sz w:val="13"/>
        </w:rPr>
        <w:t>Network,</w:t>
      </w:r>
      <w:r>
        <w:rPr>
          <w:spacing w:val="5"/>
          <w:w w:val="105"/>
          <w:sz w:val="13"/>
        </w:rPr>
        <w:t> </w:t>
      </w:r>
      <w:r>
        <w:rPr>
          <w:w w:val="105"/>
          <w:sz w:val="13"/>
        </w:rPr>
        <w:t>Gold</w:t>
      </w:r>
      <w:r>
        <w:rPr>
          <w:spacing w:val="5"/>
          <w:w w:val="105"/>
          <w:sz w:val="13"/>
        </w:rPr>
        <w:t> </w:t>
      </w:r>
      <w:r>
        <w:rPr>
          <w:w w:val="105"/>
          <w:sz w:val="13"/>
        </w:rPr>
        <w:t>Coast,</w:t>
      </w:r>
      <w:r>
        <w:rPr>
          <w:spacing w:val="5"/>
          <w:w w:val="105"/>
          <w:sz w:val="13"/>
        </w:rPr>
        <w:t> </w:t>
      </w:r>
      <w:r>
        <w:rPr>
          <w:w w:val="105"/>
          <w:sz w:val="13"/>
        </w:rPr>
        <w:t>Queensland,</w:t>
      </w:r>
      <w:r>
        <w:rPr>
          <w:spacing w:val="6"/>
          <w:w w:val="105"/>
          <w:sz w:val="13"/>
        </w:rPr>
        <w:t> </w:t>
      </w:r>
      <w:r>
        <w:rPr>
          <w:w w:val="105"/>
          <w:sz w:val="13"/>
        </w:rPr>
        <w:t>24</w:t>
      </w:r>
      <w:r>
        <w:rPr>
          <w:spacing w:val="5"/>
          <w:w w:val="105"/>
          <w:sz w:val="13"/>
        </w:rPr>
        <w:t> </w:t>
      </w:r>
      <w:r>
        <w:rPr>
          <w:w w:val="105"/>
          <w:sz w:val="13"/>
        </w:rPr>
        <w:t>March</w:t>
      </w:r>
      <w:r>
        <w:rPr>
          <w:spacing w:val="5"/>
          <w:w w:val="105"/>
          <w:sz w:val="13"/>
        </w:rPr>
        <w:t> </w:t>
      </w:r>
      <w:r>
        <w:rPr>
          <w:w w:val="105"/>
          <w:sz w:val="13"/>
        </w:rPr>
        <w:t>2010)</w:t>
      </w:r>
      <w:r>
        <w:rPr>
          <w:spacing w:val="6"/>
          <w:w w:val="105"/>
          <w:sz w:val="13"/>
        </w:rPr>
        <w:t> </w:t>
      </w:r>
      <w:r>
        <w:rPr>
          <w:spacing w:val="-4"/>
          <w:w w:val="105"/>
          <w:sz w:val="13"/>
        </w:rPr>
        <w:t>61.</w:t>
      </w:r>
    </w:p>
    <w:p>
      <w:pPr>
        <w:pStyle w:val="ListParagraph"/>
        <w:numPr>
          <w:ilvl w:val="0"/>
          <w:numId w:val="25"/>
        </w:numPr>
        <w:tabs>
          <w:tab w:pos="2380" w:val="left" w:leader="none"/>
          <w:tab w:pos="2382" w:val="left" w:leader="none"/>
        </w:tabs>
        <w:spacing w:line="240" w:lineRule="auto" w:before="3" w:after="0"/>
        <w:ind w:left="2381" w:right="1658" w:hanging="794"/>
        <w:jc w:val="left"/>
        <w:rPr>
          <w:sz w:val="13"/>
        </w:rPr>
      </w:pPr>
      <w:r>
        <w:rPr>
          <w:i/>
          <w:w w:val="105"/>
          <w:sz w:val="13"/>
        </w:rPr>
        <w:t>Revie v Druitt </w:t>
      </w:r>
      <w:r>
        <w:rPr>
          <w:w w:val="105"/>
          <w:sz w:val="13"/>
        </w:rPr>
        <w:t>[2005] NSWSC 902 </w:t>
      </w:r>
      <w:r>
        <w:rPr>
          <w:spacing w:val="3"/>
          <w:w w:val="105"/>
          <w:sz w:val="13"/>
        </w:rPr>
        <w:t>(8 </w:t>
      </w:r>
      <w:r>
        <w:rPr>
          <w:w w:val="105"/>
          <w:sz w:val="13"/>
        </w:rPr>
        <w:t>September 2005) [51]; </w:t>
      </w:r>
      <w:r>
        <w:rPr>
          <w:i/>
          <w:w w:val="105"/>
          <w:sz w:val="13"/>
        </w:rPr>
        <w:t>Winter v Crichton </w:t>
      </w:r>
      <w:r>
        <w:rPr>
          <w:w w:val="105"/>
          <w:sz w:val="13"/>
        </w:rPr>
        <w:t>(1991) 23 </w:t>
      </w:r>
      <w:r>
        <w:rPr>
          <w:spacing w:val="2"/>
          <w:w w:val="105"/>
          <w:sz w:val="13"/>
        </w:rPr>
        <w:t>NSWLR </w:t>
      </w:r>
      <w:r>
        <w:rPr>
          <w:spacing w:val="-4"/>
          <w:w w:val="105"/>
          <w:sz w:val="13"/>
        </w:rPr>
        <w:t>116, 121; </w:t>
      </w:r>
      <w:r>
        <w:rPr>
          <w:i/>
          <w:w w:val="105"/>
          <w:sz w:val="13"/>
        </w:rPr>
        <w:t>Re Smallwood </w:t>
      </w:r>
      <w:r>
        <w:rPr>
          <w:spacing w:val="2"/>
          <w:w w:val="105"/>
          <w:sz w:val="13"/>
        </w:rPr>
        <w:t>[2008] </w:t>
      </w:r>
      <w:r>
        <w:rPr>
          <w:w w:val="105"/>
          <w:sz w:val="13"/>
        </w:rPr>
        <w:t>VSC </w:t>
      </w:r>
      <w:r>
        <w:rPr>
          <w:spacing w:val="-3"/>
          <w:w w:val="105"/>
          <w:sz w:val="13"/>
        </w:rPr>
        <w:t>74 </w:t>
      </w:r>
      <w:r>
        <w:rPr>
          <w:spacing w:val="-2"/>
          <w:w w:val="105"/>
          <w:sz w:val="13"/>
        </w:rPr>
        <w:t>(18 </w:t>
      </w:r>
      <w:r>
        <w:rPr>
          <w:w w:val="105"/>
          <w:sz w:val="13"/>
        </w:rPr>
        <w:t>March </w:t>
      </w:r>
      <w:r>
        <w:rPr>
          <w:spacing w:val="2"/>
          <w:w w:val="105"/>
          <w:sz w:val="13"/>
        </w:rPr>
        <w:t>2008) </w:t>
      </w:r>
      <w:r>
        <w:rPr>
          <w:spacing w:val="3"/>
          <w:w w:val="105"/>
          <w:sz w:val="13"/>
        </w:rPr>
        <w:t>[9]; </w:t>
      </w:r>
      <w:r>
        <w:rPr>
          <w:i/>
          <w:w w:val="105"/>
          <w:sz w:val="13"/>
        </w:rPr>
        <w:t>Brand v Brand </w:t>
      </w:r>
      <w:r>
        <w:rPr>
          <w:w w:val="105"/>
          <w:sz w:val="13"/>
        </w:rPr>
        <w:t>(Unreported, Supreme Court of New South Wales, Rolfe J, 10 December 1991) </w:t>
      </w:r>
      <w:r>
        <w:rPr>
          <w:spacing w:val="-3"/>
          <w:w w:val="105"/>
          <w:sz w:val="13"/>
        </w:rPr>
        <w:t>118; </w:t>
      </w:r>
      <w:r>
        <w:rPr>
          <w:i/>
          <w:w w:val="105"/>
          <w:sz w:val="13"/>
        </w:rPr>
        <w:t>Nicholson v Knaggs </w:t>
      </w:r>
      <w:r>
        <w:rPr>
          <w:spacing w:val="2"/>
          <w:w w:val="105"/>
          <w:sz w:val="13"/>
        </w:rPr>
        <w:t>[2009]</w:t>
      </w:r>
      <w:r>
        <w:rPr>
          <w:spacing w:val="5"/>
          <w:w w:val="105"/>
          <w:sz w:val="13"/>
        </w:rPr>
        <w:t> </w:t>
      </w:r>
      <w:r>
        <w:rPr>
          <w:w w:val="105"/>
          <w:sz w:val="13"/>
        </w:rPr>
        <w:t>VSC</w:t>
      </w:r>
      <w:r>
        <w:rPr>
          <w:spacing w:val="5"/>
          <w:w w:val="105"/>
          <w:sz w:val="13"/>
        </w:rPr>
        <w:t> </w:t>
      </w:r>
      <w:r>
        <w:rPr>
          <w:spacing w:val="2"/>
          <w:w w:val="105"/>
          <w:sz w:val="13"/>
        </w:rPr>
        <w:t>64</w:t>
      </w:r>
      <w:r>
        <w:rPr>
          <w:spacing w:val="4"/>
          <w:w w:val="105"/>
          <w:sz w:val="13"/>
        </w:rPr>
        <w:t> </w:t>
      </w:r>
      <w:r>
        <w:rPr>
          <w:w w:val="105"/>
          <w:sz w:val="13"/>
        </w:rPr>
        <w:t>(27</w:t>
      </w:r>
      <w:r>
        <w:rPr>
          <w:spacing w:val="5"/>
          <w:w w:val="105"/>
          <w:sz w:val="13"/>
        </w:rPr>
        <w:t> </w:t>
      </w:r>
      <w:r>
        <w:rPr>
          <w:w w:val="105"/>
          <w:sz w:val="13"/>
        </w:rPr>
        <w:t>February</w:t>
      </w:r>
      <w:r>
        <w:rPr>
          <w:spacing w:val="5"/>
          <w:w w:val="105"/>
          <w:sz w:val="13"/>
        </w:rPr>
        <w:t> </w:t>
      </w:r>
      <w:r>
        <w:rPr>
          <w:spacing w:val="2"/>
          <w:w w:val="105"/>
          <w:sz w:val="13"/>
        </w:rPr>
        <w:t>2009)</w:t>
      </w:r>
      <w:r>
        <w:rPr>
          <w:spacing w:val="5"/>
          <w:w w:val="105"/>
          <w:sz w:val="13"/>
        </w:rPr>
        <w:t> </w:t>
      </w:r>
      <w:r>
        <w:rPr>
          <w:w w:val="105"/>
          <w:sz w:val="13"/>
        </w:rPr>
        <w:t>[108];</w:t>
      </w:r>
      <w:r>
        <w:rPr>
          <w:spacing w:val="5"/>
          <w:w w:val="105"/>
          <w:sz w:val="13"/>
        </w:rPr>
        <w:t> </w:t>
      </w:r>
      <w:r>
        <w:rPr>
          <w:i/>
          <w:w w:val="105"/>
          <w:sz w:val="13"/>
        </w:rPr>
        <w:t>Parfitt</w:t>
      </w:r>
      <w:r>
        <w:rPr>
          <w:i/>
          <w:spacing w:val="4"/>
          <w:w w:val="105"/>
          <w:sz w:val="13"/>
        </w:rPr>
        <w:t> </w:t>
      </w:r>
      <w:r>
        <w:rPr>
          <w:i/>
          <w:w w:val="105"/>
          <w:sz w:val="13"/>
        </w:rPr>
        <w:t>v</w:t>
      </w:r>
      <w:r>
        <w:rPr>
          <w:i/>
          <w:spacing w:val="4"/>
          <w:w w:val="105"/>
          <w:sz w:val="13"/>
        </w:rPr>
        <w:t> </w:t>
      </w:r>
      <w:r>
        <w:rPr>
          <w:i/>
          <w:w w:val="105"/>
          <w:sz w:val="13"/>
        </w:rPr>
        <w:t>Lawless</w:t>
      </w:r>
      <w:r>
        <w:rPr>
          <w:i/>
          <w:spacing w:val="5"/>
          <w:w w:val="105"/>
          <w:sz w:val="13"/>
        </w:rPr>
        <w:t> </w:t>
      </w:r>
      <w:r>
        <w:rPr>
          <w:w w:val="105"/>
          <w:sz w:val="13"/>
        </w:rPr>
        <w:t>(1872)</w:t>
      </w:r>
      <w:r>
        <w:rPr>
          <w:spacing w:val="5"/>
          <w:w w:val="105"/>
          <w:sz w:val="13"/>
        </w:rPr>
        <w:t> </w:t>
      </w:r>
      <w:r>
        <w:rPr>
          <w:w w:val="105"/>
          <w:sz w:val="13"/>
        </w:rPr>
        <w:t>LR</w:t>
      </w:r>
      <w:r>
        <w:rPr>
          <w:spacing w:val="5"/>
          <w:w w:val="105"/>
          <w:sz w:val="13"/>
        </w:rPr>
        <w:t> </w:t>
      </w:r>
      <w:r>
        <w:rPr>
          <w:w w:val="105"/>
          <w:sz w:val="13"/>
        </w:rPr>
        <w:t>2</w:t>
      </w:r>
      <w:r>
        <w:rPr>
          <w:spacing w:val="5"/>
          <w:w w:val="105"/>
          <w:sz w:val="13"/>
        </w:rPr>
        <w:t> </w:t>
      </w:r>
      <w:r>
        <w:rPr>
          <w:spacing w:val="4"/>
          <w:w w:val="105"/>
          <w:sz w:val="13"/>
        </w:rPr>
        <w:t>P&amp;D</w:t>
      </w:r>
      <w:r>
        <w:rPr>
          <w:spacing w:val="5"/>
          <w:w w:val="105"/>
          <w:sz w:val="13"/>
        </w:rPr>
        <w:t> </w:t>
      </w:r>
      <w:r>
        <w:rPr>
          <w:w w:val="105"/>
          <w:sz w:val="13"/>
        </w:rPr>
        <w:t>462,</w:t>
      </w:r>
      <w:r>
        <w:rPr>
          <w:spacing w:val="5"/>
          <w:w w:val="105"/>
          <w:sz w:val="13"/>
        </w:rPr>
        <w:t> </w:t>
      </w:r>
      <w:r>
        <w:rPr>
          <w:w w:val="105"/>
          <w:sz w:val="13"/>
        </w:rPr>
        <w:t>470.</w:t>
      </w:r>
    </w:p>
    <w:p>
      <w:pPr>
        <w:pStyle w:val="ListParagraph"/>
        <w:numPr>
          <w:ilvl w:val="0"/>
          <w:numId w:val="25"/>
        </w:numPr>
        <w:tabs>
          <w:tab w:pos="2381" w:val="left" w:leader="none"/>
          <w:tab w:pos="2382" w:val="left" w:leader="none"/>
        </w:tabs>
        <w:spacing w:line="240" w:lineRule="auto" w:before="4" w:after="0"/>
        <w:ind w:left="2381" w:right="1717" w:hanging="794"/>
        <w:jc w:val="both"/>
        <w:rPr>
          <w:sz w:val="13"/>
        </w:rPr>
      </w:pPr>
      <w:r>
        <w:rPr/>
        <w:pict>
          <v:shape style="position:absolute;margin-left:549.242493pt;margin-top:11.006965pt;width:12.05pt;height:14.25pt;mso-position-horizontal-relative:page;mso-position-vertical-relative:paragraph;z-index:2368" type="#_x0000_t202" filled="false" stroked="false">
            <v:textbox inset="0,0,0,0">
              <w:txbxContent>
                <w:p>
                  <w:pPr>
                    <w:spacing w:line="284" w:lineRule="exact" w:before="0"/>
                    <w:ind w:left="0" w:right="0" w:firstLine="0"/>
                    <w:jc w:val="left"/>
                    <w:rPr>
                      <w:b/>
                      <w:sz w:val="24"/>
                    </w:rPr>
                  </w:pPr>
                  <w:r>
                    <w:rPr>
                      <w:b/>
                      <w:color w:val="EC5A4F"/>
                      <w:spacing w:val="-13"/>
                      <w:w w:val="105"/>
                      <w:sz w:val="24"/>
                    </w:rPr>
                    <w:t>17</w:t>
                  </w:r>
                </w:p>
              </w:txbxContent>
            </v:textbox>
            <w10:wrap type="none"/>
          </v:shape>
        </w:pict>
      </w:r>
      <w:r>
        <w:rPr>
          <w:w w:val="105"/>
          <w:sz w:val="13"/>
        </w:rPr>
        <w:t>New South Wales Law Reform Commission, above n 105, </w:t>
      </w:r>
      <w:r>
        <w:rPr>
          <w:spacing w:val="3"/>
          <w:w w:val="105"/>
          <w:sz w:val="13"/>
        </w:rPr>
        <w:t>[8.34]; </w:t>
      </w:r>
      <w:r>
        <w:rPr>
          <w:w w:val="105"/>
          <w:sz w:val="13"/>
        </w:rPr>
        <w:t>Ridge, above n 105; Barbara Hamilton, </w:t>
      </w:r>
      <w:r>
        <w:rPr>
          <w:spacing w:val="2"/>
          <w:w w:val="105"/>
          <w:sz w:val="13"/>
        </w:rPr>
        <w:t>‘The </w:t>
      </w:r>
      <w:r>
        <w:rPr>
          <w:w w:val="105"/>
          <w:sz w:val="13"/>
        </w:rPr>
        <w:t>Doctrine of Unconscionable Bargains in Equity: Potent Sword for Estate </w:t>
      </w:r>
      <w:r>
        <w:rPr>
          <w:spacing w:val="2"/>
          <w:w w:val="105"/>
          <w:sz w:val="13"/>
        </w:rPr>
        <w:t>Lawyers’ </w:t>
      </w:r>
      <w:r>
        <w:rPr>
          <w:w w:val="105"/>
          <w:sz w:val="13"/>
        </w:rPr>
        <w:t>(2007) 27 </w:t>
      </w:r>
      <w:r>
        <w:rPr>
          <w:i/>
          <w:w w:val="105"/>
          <w:sz w:val="13"/>
        </w:rPr>
        <w:t>Queensland Lawyer </w:t>
      </w:r>
      <w:r>
        <w:rPr>
          <w:w w:val="105"/>
          <w:sz w:val="13"/>
        </w:rPr>
        <w:t>180, 187; British Columbia Law Institute, </w:t>
      </w:r>
      <w:r>
        <w:rPr>
          <w:i/>
          <w:w w:val="105"/>
          <w:sz w:val="13"/>
        </w:rPr>
        <w:t>Wills, Estates </w:t>
      </w:r>
      <w:r>
        <w:rPr>
          <w:i/>
          <w:w w:val="105"/>
          <w:sz w:val="13"/>
        </w:rPr>
        <w:t>and Succession: A Modern Legal Framework</w:t>
      </w:r>
      <w:r>
        <w:rPr>
          <w:w w:val="105"/>
          <w:sz w:val="13"/>
        </w:rPr>
        <w:t>, </w:t>
      </w:r>
      <w:r>
        <w:rPr>
          <w:spacing w:val="2"/>
          <w:w w:val="105"/>
          <w:sz w:val="13"/>
        </w:rPr>
        <w:t>Report </w:t>
      </w:r>
      <w:r>
        <w:rPr>
          <w:w w:val="105"/>
          <w:sz w:val="13"/>
        </w:rPr>
        <w:t>No 45</w:t>
      </w:r>
      <w:r>
        <w:rPr>
          <w:spacing w:val="8"/>
          <w:w w:val="105"/>
          <w:sz w:val="13"/>
        </w:rPr>
        <w:t> </w:t>
      </w:r>
      <w:r>
        <w:rPr>
          <w:spacing w:val="2"/>
          <w:w w:val="105"/>
          <w:sz w:val="13"/>
        </w:rPr>
        <w:t>(2006) </w:t>
      </w:r>
      <w:r>
        <w:rPr>
          <w:spacing w:val="3"/>
          <w:w w:val="105"/>
          <w:sz w:val="13"/>
        </w:rPr>
        <w:t>53–4.</w:t>
      </w:r>
    </w:p>
    <w:p>
      <w:pPr>
        <w:spacing w:after="0" w:line="240" w:lineRule="auto"/>
        <w:jc w:val="both"/>
        <w:rPr>
          <w:sz w:val="13"/>
        </w:rPr>
        <w:sectPr>
          <w:pgSz w:w="11910" w:h="16840"/>
          <w:pgMar w:header="805" w:footer="0" w:top="1360" w:bottom="280" w:left="0" w:right="0"/>
        </w:sectPr>
      </w:pPr>
    </w:p>
    <w:p>
      <w:pPr>
        <w:pStyle w:val="BodyText"/>
        <w:spacing w:before="9"/>
        <w:rPr>
          <w:sz w:val="22"/>
        </w:rPr>
      </w:pPr>
    </w:p>
    <w:p>
      <w:pPr>
        <w:pStyle w:val="ListParagraph"/>
        <w:numPr>
          <w:ilvl w:val="1"/>
          <w:numId w:val="22"/>
        </w:numPr>
        <w:tabs>
          <w:tab w:pos="2380" w:val="left" w:leader="none"/>
          <w:tab w:pos="2381" w:val="left" w:leader="none"/>
        </w:tabs>
        <w:spacing w:line="240" w:lineRule="auto" w:before="92" w:after="0"/>
        <w:ind w:left="2381" w:right="0" w:hanging="794"/>
        <w:jc w:val="left"/>
        <w:rPr>
          <w:sz w:val="21"/>
        </w:rPr>
      </w:pPr>
      <w:r>
        <w:rPr>
          <w:w w:val="105"/>
          <w:sz w:val="21"/>
        </w:rPr>
        <w:t>A position of </w:t>
      </w:r>
      <w:r>
        <w:rPr>
          <w:spacing w:val="-3"/>
          <w:w w:val="105"/>
          <w:sz w:val="21"/>
        </w:rPr>
        <w:t>influence</w:t>
      </w:r>
      <w:r>
        <w:rPr>
          <w:spacing w:val="20"/>
          <w:w w:val="105"/>
          <w:sz w:val="21"/>
        </w:rPr>
        <w:t> </w:t>
      </w:r>
      <w:r>
        <w:rPr>
          <w:w w:val="105"/>
          <w:sz w:val="21"/>
        </w:rPr>
        <w:t>includes:</w:t>
      </w:r>
    </w:p>
    <w:p>
      <w:pPr>
        <w:pStyle w:val="ListParagraph"/>
        <w:numPr>
          <w:ilvl w:val="2"/>
          <w:numId w:val="22"/>
        </w:numPr>
        <w:tabs>
          <w:tab w:pos="2721" w:val="left" w:leader="none"/>
          <w:tab w:pos="2722" w:val="left" w:leader="none"/>
        </w:tabs>
        <w:spacing w:line="242" w:lineRule="auto" w:before="123" w:after="0"/>
        <w:ind w:left="2721" w:right="1696" w:hanging="340"/>
        <w:jc w:val="left"/>
        <w:rPr>
          <w:sz w:val="12"/>
        </w:rPr>
      </w:pPr>
      <w:r>
        <w:rPr>
          <w:spacing w:val="-3"/>
          <w:w w:val="105"/>
          <w:sz w:val="21"/>
        </w:rPr>
        <w:t>Categories </w:t>
      </w:r>
      <w:r>
        <w:rPr>
          <w:w w:val="105"/>
          <w:sz w:val="21"/>
        </w:rPr>
        <w:t>of </w:t>
      </w:r>
      <w:r>
        <w:rPr>
          <w:spacing w:val="-2"/>
          <w:w w:val="105"/>
          <w:sz w:val="21"/>
        </w:rPr>
        <w:t>presumed </w:t>
      </w:r>
      <w:r>
        <w:rPr>
          <w:spacing w:val="-3"/>
          <w:w w:val="105"/>
          <w:sz w:val="21"/>
        </w:rPr>
        <w:t>influence </w:t>
      </w:r>
      <w:r>
        <w:rPr>
          <w:w w:val="105"/>
          <w:sz w:val="21"/>
        </w:rPr>
        <w:t>of one person over the </w:t>
      </w:r>
      <w:r>
        <w:rPr>
          <w:spacing w:val="-5"/>
          <w:w w:val="105"/>
          <w:sz w:val="21"/>
        </w:rPr>
        <w:t>other. </w:t>
      </w:r>
      <w:r>
        <w:rPr>
          <w:w w:val="105"/>
          <w:sz w:val="21"/>
        </w:rPr>
        <w:t>These </w:t>
      </w:r>
      <w:r>
        <w:rPr>
          <w:spacing w:val="-3"/>
          <w:w w:val="105"/>
          <w:sz w:val="21"/>
        </w:rPr>
        <w:t>include parent </w:t>
      </w:r>
      <w:r>
        <w:rPr>
          <w:w w:val="105"/>
          <w:sz w:val="21"/>
        </w:rPr>
        <w:t>and </w:t>
      </w:r>
      <w:r>
        <w:rPr>
          <w:spacing w:val="-3"/>
          <w:w w:val="105"/>
          <w:sz w:val="21"/>
        </w:rPr>
        <w:t>minor child, </w:t>
      </w:r>
      <w:r>
        <w:rPr>
          <w:w w:val="105"/>
          <w:sz w:val="21"/>
        </w:rPr>
        <w:t>doctor and </w:t>
      </w:r>
      <w:r>
        <w:rPr>
          <w:spacing w:val="-3"/>
          <w:w w:val="105"/>
          <w:sz w:val="21"/>
        </w:rPr>
        <w:t>patient, </w:t>
      </w:r>
      <w:r>
        <w:rPr>
          <w:w w:val="105"/>
          <w:sz w:val="21"/>
        </w:rPr>
        <w:t>legal practitioner and</w:t>
      </w:r>
      <w:r>
        <w:rPr>
          <w:spacing w:val="36"/>
          <w:w w:val="105"/>
          <w:sz w:val="21"/>
        </w:rPr>
        <w:t> </w:t>
      </w:r>
      <w:r>
        <w:rPr>
          <w:spacing w:val="-5"/>
          <w:w w:val="105"/>
          <w:sz w:val="21"/>
        </w:rPr>
        <w:t>client.</w:t>
      </w:r>
      <w:r>
        <w:rPr>
          <w:spacing w:val="-5"/>
          <w:w w:val="105"/>
          <w:position w:val="7"/>
          <w:sz w:val="12"/>
        </w:rPr>
        <w:t>120</w:t>
      </w:r>
    </w:p>
    <w:p>
      <w:pPr>
        <w:pStyle w:val="ListParagraph"/>
        <w:numPr>
          <w:ilvl w:val="2"/>
          <w:numId w:val="22"/>
        </w:numPr>
        <w:tabs>
          <w:tab w:pos="2721" w:val="left" w:leader="none"/>
          <w:tab w:pos="2722" w:val="left" w:leader="none"/>
        </w:tabs>
        <w:spacing w:line="242" w:lineRule="auto" w:before="123" w:after="0"/>
        <w:ind w:left="2721" w:right="1889" w:hanging="340"/>
        <w:jc w:val="left"/>
        <w:rPr>
          <w:sz w:val="12"/>
        </w:rPr>
      </w:pPr>
      <w:r>
        <w:rPr>
          <w:w w:val="105"/>
          <w:sz w:val="21"/>
        </w:rPr>
        <w:t>A </w:t>
      </w:r>
      <w:r>
        <w:rPr>
          <w:spacing w:val="-3"/>
          <w:w w:val="105"/>
          <w:sz w:val="21"/>
        </w:rPr>
        <w:t>relationship that </w:t>
      </w:r>
      <w:r>
        <w:rPr>
          <w:w w:val="105"/>
          <w:sz w:val="21"/>
        </w:rPr>
        <w:t>is </w:t>
      </w:r>
      <w:r>
        <w:rPr>
          <w:spacing w:val="-3"/>
          <w:w w:val="105"/>
          <w:sz w:val="21"/>
        </w:rPr>
        <w:t>proved to </w:t>
      </w:r>
      <w:r>
        <w:rPr>
          <w:w w:val="105"/>
          <w:sz w:val="21"/>
        </w:rPr>
        <w:t>be one of </w:t>
      </w:r>
      <w:r>
        <w:rPr>
          <w:spacing w:val="-3"/>
          <w:w w:val="105"/>
          <w:sz w:val="21"/>
        </w:rPr>
        <w:t>ascendancy, </w:t>
      </w:r>
      <w:r>
        <w:rPr>
          <w:w w:val="105"/>
          <w:sz w:val="21"/>
        </w:rPr>
        <w:t>power or </w:t>
      </w:r>
      <w:r>
        <w:rPr>
          <w:spacing w:val="-3"/>
          <w:w w:val="105"/>
          <w:sz w:val="21"/>
        </w:rPr>
        <w:t>domination </w:t>
      </w:r>
      <w:r>
        <w:rPr>
          <w:w w:val="105"/>
          <w:sz w:val="21"/>
        </w:rPr>
        <w:t>on the one </w:t>
      </w:r>
      <w:r>
        <w:rPr>
          <w:spacing w:val="-3"/>
          <w:w w:val="105"/>
          <w:sz w:val="21"/>
        </w:rPr>
        <w:t>hand, </w:t>
      </w:r>
      <w:r>
        <w:rPr>
          <w:w w:val="105"/>
          <w:sz w:val="21"/>
        </w:rPr>
        <w:t>and dependence or subjection on the</w:t>
      </w:r>
      <w:r>
        <w:rPr>
          <w:spacing w:val="34"/>
          <w:w w:val="105"/>
          <w:sz w:val="21"/>
        </w:rPr>
        <w:t> </w:t>
      </w:r>
      <w:r>
        <w:rPr>
          <w:spacing w:val="-7"/>
          <w:w w:val="105"/>
          <w:sz w:val="21"/>
        </w:rPr>
        <w:t>other.</w:t>
      </w:r>
      <w:r>
        <w:rPr>
          <w:spacing w:val="-7"/>
          <w:w w:val="105"/>
          <w:position w:val="7"/>
          <w:sz w:val="12"/>
        </w:rPr>
        <w:t>121</w:t>
      </w:r>
    </w:p>
    <w:p>
      <w:pPr>
        <w:pStyle w:val="ListParagraph"/>
        <w:numPr>
          <w:ilvl w:val="1"/>
          <w:numId w:val="22"/>
        </w:numPr>
        <w:tabs>
          <w:tab w:pos="2381" w:val="left" w:leader="none"/>
          <w:tab w:pos="2382" w:val="left" w:leader="none"/>
        </w:tabs>
        <w:spacing w:line="242" w:lineRule="auto" w:before="122" w:after="0"/>
        <w:ind w:left="2381" w:right="1591" w:hanging="794"/>
        <w:jc w:val="left"/>
        <w:rPr>
          <w:sz w:val="12"/>
        </w:rPr>
      </w:pPr>
      <w:r>
        <w:rPr>
          <w:w w:val="105"/>
          <w:sz w:val="21"/>
        </w:rPr>
        <w:t>There is no need </w:t>
      </w:r>
      <w:r>
        <w:rPr>
          <w:spacing w:val="-3"/>
          <w:w w:val="105"/>
          <w:sz w:val="21"/>
        </w:rPr>
        <w:t>for </w:t>
      </w:r>
      <w:r>
        <w:rPr>
          <w:w w:val="105"/>
          <w:sz w:val="21"/>
        </w:rPr>
        <w:t>the </w:t>
      </w:r>
      <w:r>
        <w:rPr>
          <w:spacing w:val="-4"/>
          <w:w w:val="105"/>
          <w:sz w:val="21"/>
        </w:rPr>
        <w:t>weaker </w:t>
      </w:r>
      <w:r>
        <w:rPr>
          <w:w w:val="105"/>
          <w:sz w:val="21"/>
        </w:rPr>
        <w:t>party </w:t>
      </w:r>
      <w:r>
        <w:rPr>
          <w:spacing w:val="-3"/>
          <w:w w:val="105"/>
          <w:sz w:val="21"/>
        </w:rPr>
        <w:t>to </w:t>
      </w:r>
      <w:r>
        <w:rPr>
          <w:w w:val="105"/>
          <w:sz w:val="21"/>
        </w:rPr>
        <w:t>show </w:t>
      </w:r>
      <w:r>
        <w:rPr>
          <w:spacing w:val="-3"/>
          <w:w w:val="105"/>
          <w:sz w:val="21"/>
        </w:rPr>
        <w:t>any wrongful </w:t>
      </w:r>
      <w:r>
        <w:rPr>
          <w:w w:val="105"/>
          <w:sz w:val="21"/>
        </w:rPr>
        <w:t>act or </w:t>
      </w:r>
      <w:r>
        <w:rPr>
          <w:spacing w:val="-3"/>
          <w:w w:val="105"/>
          <w:sz w:val="21"/>
        </w:rPr>
        <w:t>threat </w:t>
      </w:r>
      <w:r>
        <w:rPr>
          <w:w w:val="105"/>
          <w:sz w:val="21"/>
        </w:rPr>
        <w:t>or even </w:t>
      </w:r>
      <w:r>
        <w:rPr>
          <w:spacing w:val="-3"/>
          <w:w w:val="105"/>
          <w:sz w:val="21"/>
        </w:rPr>
        <w:t>that </w:t>
      </w:r>
      <w:r>
        <w:rPr>
          <w:w w:val="105"/>
          <w:sz w:val="21"/>
        </w:rPr>
        <w:t>the stronger party did in fact </w:t>
      </w:r>
      <w:r>
        <w:rPr>
          <w:spacing w:val="-3"/>
          <w:w w:val="105"/>
          <w:sz w:val="21"/>
        </w:rPr>
        <w:t>dominate </w:t>
      </w:r>
      <w:r>
        <w:rPr>
          <w:w w:val="105"/>
          <w:sz w:val="21"/>
        </w:rPr>
        <w:t>the </w:t>
      </w:r>
      <w:r>
        <w:rPr>
          <w:spacing w:val="-4"/>
          <w:w w:val="105"/>
          <w:sz w:val="21"/>
        </w:rPr>
        <w:t>weaker</w:t>
      </w:r>
      <w:r>
        <w:rPr>
          <w:spacing w:val="37"/>
          <w:w w:val="105"/>
          <w:sz w:val="21"/>
        </w:rPr>
        <w:t> </w:t>
      </w:r>
      <w:r>
        <w:rPr>
          <w:spacing w:val="-5"/>
          <w:w w:val="105"/>
          <w:sz w:val="21"/>
        </w:rPr>
        <w:t>party.</w:t>
      </w:r>
      <w:r>
        <w:rPr>
          <w:spacing w:val="-5"/>
          <w:w w:val="105"/>
          <w:position w:val="7"/>
          <w:sz w:val="12"/>
        </w:rPr>
        <w:t>122</w:t>
      </w:r>
    </w:p>
    <w:p>
      <w:pPr>
        <w:pStyle w:val="BodyText"/>
        <w:spacing w:before="10"/>
        <w:rPr>
          <w:sz w:val="26"/>
        </w:rPr>
      </w:pPr>
    </w:p>
    <w:p>
      <w:pPr>
        <w:pStyle w:val="Heading6"/>
      </w:pPr>
      <w:r>
        <w:rPr>
          <w:w w:val="120"/>
        </w:rPr>
        <w:t>Burden of proof</w:t>
      </w:r>
    </w:p>
    <w:p>
      <w:pPr>
        <w:pStyle w:val="ListParagraph"/>
        <w:numPr>
          <w:ilvl w:val="1"/>
          <w:numId w:val="22"/>
        </w:numPr>
        <w:tabs>
          <w:tab w:pos="2381" w:val="left" w:leader="none"/>
          <w:tab w:pos="2382" w:val="left" w:leader="none"/>
        </w:tabs>
        <w:spacing w:line="242" w:lineRule="auto" w:before="151" w:after="0"/>
        <w:ind w:left="2381" w:right="1728" w:hanging="794"/>
        <w:jc w:val="left"/>
        <w:rPr>
          <w:sz w:val="21"/>
        </w:rPr>
      </w:pPr>
      <w:r>
        <w:rPr>
          <w:sz w:val="21"/>
        </w:rPr>
        <w:t>Where the </w:t>
      </w:r>
      <w:r>
        <w:rPr>
          <w:spacing w:val="-4"/>
          <w:sz w:val="21"/>
        </w:rPr>
        <w:t>weaker  </w:t>
      </w:r>
      <w:r>
        <w:rPr>
          <w:sz w:val="21"/>
        </w:rPr>
        <w:t>party </w:t>
      </w:r>
      <w:r>
        <w:rPr>
          <w:spacing w:val="-2"/>
          <w:sz w:val="21"/>
        </w:rPr>
        <w:t>has  </w:t>
      </w:r>
      <w:r>
        <w:rPr>
          <w:sz w:val="21"/>
        </w:rPr>
        <w:t>established </w:t>
      </w:r>
      <w:r>
        <w:rPr>
          <w:spacing w:val="-3"/>
          <w:sz w:val="21"/>
        </w:rPr>
        <w:t>that  </w:t>
      </w:r>
      <w:r>
        <w:rPr>
          <w:sz w:val="21"/>
        </w:rPr>
        <w:t>there is a </w:t>
      </w:r>
      <w:r>
        <w:rPr>
          <w:spacing w:val="-3"/>
          <w:sz w:val="21"/>
        </w:rPr>
        <w:t>relationship  </w:t>
      </w:r>
      <w:r>
        <w:rPr>
          <w:sz w:val="21"/>
        </w:rPr>
        <w:t>of </w:t>
      </w:r>
      <w:r>
        <w:rPr>
          <w:spacing w:val="-3"/>
          <w:sz w:val="21"/>
        </w:rPr>
        <w:t>influence,  </w:t>
      </w:r>
      <w:r>
        <w:rPr>
          <w:sz w:val="21"/>
        </w:rPr>
        <w:t>it </w:t>
      </w:r>
      <w:r>
        <w:rPr>
          <w:spacing w:val="-3"/>
          <w:sz w:val="21"/>
        </w:rPr>
        <w:t>will    </w:t>
      </w:r>
      <w:r>
        <w:rPr>
          <w:sz w:val="21"/>
        </w:rPr>
        <w:t>be </w:t>
      </w:r>
      <w:r>
        <w:rPr>
          <w:spacing w:val="-2"/>
          <w:sz w:val="21"/>
        </w:rPr>
        <w:t>presumed </w:t>
      </w:r>
      <w:r>
        <w:rPr>
          <w:spacing w:val="-3"/>
          <w:sz w:val="21"/>
        </w:rPr>
        <w:t>that undue influence </w:t>
      </w:r>
      <w:r>
        <w:rPr>
          <w:sz w:val="21"/>
        </w:rPr>
        <w:t>was applied by the stronger party. The stronger party must</w:t>
      </w:r>
      <w:r>
        <w:rPr>
          <w:spacing w:val="14"/>
          <w:sz w:val="21"/>
        </w:rPr>
        <w:t> </w:t>
      </w:r>
      <w:r>
        <w:rPr>
          <w:sz w:val="21"/>
        </w:rPr>
        <w:t>then</w:t>
      </w:r>
      <w:r>
        <w:rPr>
          <w:spacing w:val="15"/>
          <w:sz w:val="21"/>
        </w:rPr>
        <w:t> </w:t>
      </w:r>
      <w:r>
        <w:rPr>
          <w:sz w:val="21"/>
        </w:rPr>
        <w:t>satisfy</w:t>
      </w:r>
      <w:r>
        <w:rPr>
          <w:spacing w:val="15"/>
          <w:sz w:val="21"/>
        </w:rPr>
        <w:t> </w:t>
      </w:r>
      <w:r>
        <w:rPr>
          <w:sz w:val="21"/>
        </w:rPr>
        <w:t>the</w:t>
      </w:r>
      <w:r>
        <w:rPr>
          <w:spacing w:val="15"/>
          <w:sz w:val="21"/>
        </w:rPr>
        <w:t> </w:t>
      </w:r>
      <w:r>
        <w:rPr>
          <w:spacing w:val="-3"/>
          <w:sz w:val="21"/>
        </w:rPr>
        <w:t>Court</w:t>
      </w:r>
      <w:r>
        <w:rPr>
          <w:spacing w:val="14"/>
          <w:sz w:val="21"/>
        </w:rPr>
        <w:t> </w:t>
      </w:r>
      <w:r>
        <w:rPr>
          <w:spacing w:val="-3"/>
          <w:sz w:val="21"/>
        </w:rPr>
        <w:t>that</w:t>
      </w:r>
      <w:r>
        <w:rPr>
          <w:spacing w:val="15"/>
          <w:sz w:val="21"/>
        </w:rPr>
        <w:t> </w:t>
      </w:r>
      <w:r>
        <w:rPr>
          <w:sz w:val="21"/>
        </w:rPr>
        <w:t>the</w:t>
      </w:r>
      <w:r>
        <w:rPr>
          <w:spacing w:val="15"/>
          <w:sz w:val="21"/>
        </w:rPr>
        <w:t> </w:t>
      </w:r>
      <w:r>
        <w:rPr>
          <w:sz w:val="21"/>
        </w:rPr>
        <w:t>transaction</w:t>
      </w:r>
      <w:r>
        <w:rPr>
          <w:spacing w:val="15"/>
          <w:sz w:val="21"/>
        </w:rPr>
        <w:t> </w:t>
      </w:r>
      <w:r>
        <w:rPr>
          <w:sz w:val="21"/>
        </w:rPr>
        <w:t>was</w:t>
      </w:r>
      <w:r>
        <w:rPr>
          <w:spacing w:val="14"/>
          <w:sz w:val="21"/>
        </w:rPr>
        <w:t> </w:t>
      </w:r>
      <w:r>
        <w:rPr>
          <w:sz w:val="21"/>
        </w:rPr>
        <w:t>the</w:t>
      </w:r>
      <w:r>
        <w:rPr>
          <w:spacing w:val="15"/>
          <w:sz w:val="21"/>
        </w:rPr>
        <w:t> </w:t>
      </w:r>
      <w:r>
        <w:rPr>
          <w:sz w:val="21"/>
        </w:rPr>
        <w:t>free</w:t>
      </w:r>
      <w:r>
        <w:rPr>
          <w:spacing w:val="15"/>
          <w:sz w:val="21"/>
        </w:rPr>
        <w:t> </w:t>
      </w:r>
      <w:r>
        <w:rPr>
          <w:sz w:val="21"/>
        </w:rPr>
        <w:t>and</w:t>
      </w:r>
      <w:r>
        <w:rPr>
          <w:spacing w:val="15"/>
          <w:sz w:val="21"/>
        </w:rPr>
        <w:t> </w:t>
      </w:r>
      <w:r>
        <w:rPr>
          <w:sz w:val="21"/>
        </w:rPr>
        <w:t>independent</w:t>
      </w:r>
      <w:r>
        <w:rPr>
          <w:spacing w:val="14"/>
          <w:sz w:val="21"/>
        </w:rPr>
        <w:t> </w:t>
      </w:r>
      <w:r>
        <w:rPr>
          <w:sz w:val="21"/>
        </w:rPr>
        <w:t>act</w:t>
      </w:r>
      <w:r>
        <w:rPr>
          <w:spacing w:val="15"/>
          <w:sz w:val="21"/>
        </w:rPr>
        <w:t> </w:t>
      </w:r>
      <w:r>
        <w:rPr>
          <w:sz w:val="21"/>
        </w:rPr>
        <w:t>of</w:t>
      </w:r>
    </w:p>
    <w:p>
      <w:pPr>
        <w:pStyle w:val="BodyText"/>
        <w:spacing w:line="242" w:lineRule="auto" w:before="3"/>
        <w:ind w:left="2381" w:right="1619"/>
        <w:rPr>
          <w:sz w:val="12"/>
        </w:rPr>
      </w:pPr>
      <w:r>
        <w:rPr>
          <w:w w:val="105"/>
        </w:rPr>
        <w:t>a person </w:t>
      </w:r>
      <w:r>
        <w:rPr>
          <w:spacing w:val="-3"/>
          <w:w w:val="105"/>
        </w:rPr>
        <w:t>exercising judgment, </w:t>
      </w:r>
      <w:r>
        <w:rPr>
          <w:w w:val="105"/>
        </w:rPr>
        <w:t>in order </w:t>
      </w:r>
      <w:r>
        <w:rPr>
          <w:spacing w:val="-3"/>
          <w:w w:val="105"/>
        </w:rPr>
        <w:t>to </w:t>
      </w:r>
      <w:r>
        <w:rPr>
          <w:w w:val="105"/>
        </w:rPr>
        <w:t>rebut the </w:t>
      </w:r>
      <w:r>
        <w:rPr>
          <w:spacing w:val="-3"/>
          <w:w w:val="105"/>
        </w:rPr>
        <w:t>presumption </w:t>
      </w:r>
      <w:r>
        <w:rPr>
          <w:w w:val="105"/>
        </w:rPr>
        <w:t>of </w:t>
      </w:r>
      <w:r>
        <w:rPr>
          <w:spacing w:val="-3"/>
          <w:w w:val="105"/>
        </w:rPr>
        <w:t>undue </w:t>
      </w:r>
      <w:r>
        <w:rPr>
          <w:spacing w:val="-5"/>
          <w:w w:val="105"/>
        </w:rPr>
        <w:t>influence.</w:t>
      </w:r>
      <w:r>
        <w:rPr>
          <w:spacing w:val="-5"/>
          <w:w w:val="105"/>
          <w:position w:val="7"/>
          <w:sz w:val="12"/>
        </w:rPr>
        <w:t>123 </w:t>
      </w:r>
      <w:r>
        <w:rPr>
          <w:w w:val="105"/>
        </w:rPr>
        <w:t>Evidence </w:t>
      </w:r>
      <w:r>
        <w:rPr>
          <w:spacing w:val="-3"/>
          <w:w w:val="105"/>
        </w:rPr>
        <w:t>that </w:t>
      </w:r>
      <w:r>
        <w:rPr>
          <w:w w:val="105"/>
        </w:rPr>
        <w:t>the person received independent advice is one </w:t>
      </w:r>
      <w:r>
        <w:rPr>
          <w:spacing w:val="-3"/>
          <w:w w:val="105"/>
        </w:rPr>
        <w:t>way </w:t>
      </w:r>
      <w:r>
        <w:rPr>
          <w:w w:val="105"/>
        </w:rPr>
        <w:t>of </w:t>
      </w:r>
      <w:r>
        <w:rPr>
          <w:spacing w:val="-3"/>
          <w:w w:val="105"/>
        </w:rPr>
        <w:t>proving </w:t>
      </w:r>
      <w:r>
        <w:rPr>
          <w:spacing w:val="-6"/>
          <w:w w:val="105"/>
        </w:rPr>
        <w:t>this.</w:t>
      </w:r>
      <w:r>
        <w:rPr>
          <w:spacing w:val="-6"/>
          <w:w w:val="105"/>
          <w:position w:val="7"/>
          <w:sz w:val="12"/>
        </w:rPr>
        <w:t>124</w:t>
      </w:r>
    </w:p>
    <w:p>
      <w:pPr>
        <w:pStyle w:val="ListParagraph"/>
        <w:numPr>
          <w:ilvl w:val="1"/>
          <w:numId w:val="22"/>
        </w:numPr>
        <w:tabs>
          <w:tab w:pos="2381" w:val="left" w:leader="none"/>
          <w:tab w:pos="2382" w:val="left" w:leader="none"/>
        </w:tabs>
        <w:spacing w:line="242" w:lineRule="auto" w:before="123" w:after="0"/>
        <w:ind w:left="2381" w:right="2426" w:hanging="794"/>
        <w:jc w:val="left"/>
        <w:rPr>
          <w:sz w:val="12"/>
        </w:rPr>
      </w:pPr>
      <w:r>
        <w:rPr>
          <w:sz w:val="21"/>
        </w:rPr>
        <w:t>Undue </w:t>
      </w:r>
      <w:r>
        <w:rPr>
          <w:spacing w:val="-3"/>
          <w:sz w:val="21"/>
        </w:rPr>
        <w:t>influence may </w:t>
      </w:r>
      <w:r>
        <w:rPr>
          <w:sz w:val="21"/>
        </w:rPr>
        <w:t>be </w:t>
      </w:r>
      <w:r>
        <w:rPr>
          <w:spacing w:val="-2"/>
          <w:sz w:val="21"/>
        </w:rPr>
        <w:t>presumed </w:t>
      </w:r>
      <w:r>
        <w:rPr>
          <w:sz w:val="21"/>
        </w:rPr>
        <w:t>even where the </w:t>
      </w:r>
      <w:r>
        <w:rPr>
          <w:spacing w:val="-4"/>
          <w:sz w:val="21"/>
        </w:rPr>
        <w:t>weaker </w:t>
      </w:r>
      <w:r>
        <w:rPr>
          <w:sz w:val="21"/>
        </w:rPr>
        <w:t>party is eager </w:t>
      </w:r>
      <w:r>
        <w:rPr>
          <w:spacing w:val="-3"/>
          <w:sz w:val="21"/>
        </w:rPr>
        <w:t>for </w:t>
      </w:r>
      <w:r>
        <w:rPr>
          <w:sz w:val="21"/>
        </w:rPr>
        <w:t>the transaction </w:t>
      </w:r>
      <w:r>
        <w:rPr>
          <w:spacing w:val="-3"/>
          <w:sz w:val="21"/>
        </w:rPr>
        <w:t>to</w:t>
      </w:r>
      <w:r>
        <w:rPr>
          <w:spacing w:val="17"/>
          <w:sz w:val="21"/>
        </w:rPr>
        <w:t> </w:t>
      </w:r>
      <w:r>
        <w:rPr>
          <w:spacing w:val="-7"/>
          <w:sz w:val="21"/>
        </w:rPr>
        <w:t>occur.</w:t>
      </w:r>
      <w:r>
        <w:rPr>
          <w:spacing w:val="-7"/>
          <w:position w:val="7"/>
          <w:sz w:val="12"/>
        </w:rPr>
        <w:t>125</w:t>
      </w:r>
    </w:p>
    <w:p>
      <w:pPr>
        <w:pStyle w:val="BodyText"/>
        <w:spacing w:before="10"/>
        <w:rPr>
          <w:sz w:val="24"/>
        </w:rPr>
      </w:pPr>
    </w:p>
    <w:p>
      <w:pPr>
        <w:pStyle w:val="Heading5"/>
      </w:pPr>
      <w:r>
        <w:rPr>
          <w:w w:val="115"/>
        </w:rPr>
        <w:t>Adoption of equitable undue influence in probate in British Columbia</w:t>
      </w:r>
    </w:p>
    <w:p>
      <w:pPr>
        <w:pStyle w:val="ListParagraph"/>
        <w:numPr>
          <w:ilvl w:val="1"/>
          <w:numId w:val="22"/>
        </w:numPr>
        <w:tabs>
          <w:tab w:pos="2380" w:val="left" w:leader="none"/>
          <w:tab w:pos="2381" w:val="left" w:leader="none"/>
        </w:tabs>
        <w:spacing w:line="242" w:lineRule="auto" w:before="138" w:after="0"/>
        <w:ind w:left="2381" w:right="1696" w:hanging="794"/>
        <w:jc w:val="left"/>
        <w:rPr>
          <w:sz w:val="21"/>
        </w:rPr>
      </w:pPr>
      <w:r>
        <w:rPr>
          <w:spacing w:val="-7"/>
          <w:sz w:val="21"/>
        </w:rPr>
        <w:t>To </w:t>
      </w:r>
      <w:r>
        <w:rPr>
          <w:spacing w:val="-3"/>
          <w:sz w:val="21"/>
        </w:rPr>
        <w:t>overcome </w:t>
      </w:r>
      <w:r>
        <w:rPr>
          <w:sz w:val="21"/>
        </w:rPr>
        <w:t>the inflexibility of </w:t>
      </w:r>
      <w:r>
        <w:rPr>
          <w:spacing w:val="-3"/>
          <w:sz w:val="21"/>
        </w:rPr>
        <w:t>probate undue influence, </w:t>
      </w:r>
      <w:r>
        <w:rPr>
          <w:sz w:val="21"/>
        </w:rPr>
        <w:t>the </w:t>
      </w:r>
      <w:r>
        <w:rPr>
          <w:spacing w:val="-3"/>
          <w:sz w:val="21"/>
        </w:rPr>
        <w:t>Canadian province </w:t>
      </w:r>
      <w:r>
        <w:rPr>
          <w:sz w:val="21"/>
        </w:rPr>
        <w:t>of </w:t>
      </w:r>
      <w:r>
        <w:rPr>
          <w:spacing w:val="-3"/>
          <w:sz w:val="21"/>
        </w:rPr>
        <w:t>British </w:t>
      </w:r>
      <w:r>
        <w:rPr>
          <w:spacing w:val="-4"/>
          <w:sz w:val="21"/>
        </w:rPr>
        <w:t>Columbia </w:t>
      </w:r>
      <w:r>
        <w:rPr>
          <w:spacing w:val="-2"/>
          <w:sz w:val="21"/>
        </w:rPr>
        <w:t>has </w:t>
      </w:r>
      <w:r>
        <w:rPr>
          <w:sz w:val="21"/>
        </w:rPr>
        <w:t>passed </w:t>
      </w:r>
      <w:r>
        <w:rPr>
          <w:spacing w:val="-3"/>
          <w:sz w:val="21"/>
        </w:rPr>
        <w:t>legislation that will introduce </w:t>
      </w:r>
      <w:r>
        <w:rPr>
          <w:sz w:val="21"/>
        </w:rPr>
        <w:t>the equitable  doctrine  of  </w:t>
      </w:r>
      <w:r>
        <w:rPr>
          <w:spacing w:val="-3"/>
          <w:sz w:val="21"/>
        </w:rPr>
        <w:t>undue influence </w:t>
      </w:r>
      <w:r>
        <w:rPr>
          <w:spacing w:val="-4"/>
          <w:sz w:val="21"/>
        </w:rPr>
        <w:t>into </w:t>
      </w:r>
      <w:r>
        <w:rPr>
          <w:sz w:val="21"/>
        </w:rPr>
        <w:t>the </w:t>
      </w:r>
      <w:r>
        <w:rPr>
          <w:spacing w:val="-3"/>
          <w:sz w:val="21"/>
        </w:rPr>
        <w:t>probate </w:t>
      </w:r>
      <w:r>
        <w:rPr>
          <w:spacing w:val="-5"/>
          <w:sz w:val="21"/>
        </w:rPr>
        <w:t>context.</w:t>
      </w:r>
      <w:r>
        <w:rPr>
          <w:spacing w:val="-5"/>
          <w:position w:val="7"/>
          <w:sz w:val="12"/>
        </w:rPr>
        <w:t>126 </w:t>
      </w:r>
      <w:r>
        <w:rPr>
          <w:sz w:val="21"/>
        </w:rPr>
        <w:t>The new  </w:t>
      </w:r>
      <w:r>
        <w:rPr>
          <w:spacing w:val="-3"/>
          <w:sz w:val="21"/>
        </w:rPr>
        <w:t>legislation  will  </w:t>
      </w:r>
      <w:r>
        <w:rPr>
          <w:sz w:val="21"/>
        </w:rPr>
        <w:t>come  </w:t>
      </w:r>
      <w:r>
        <w:rPr>
          <w:spacing w:val="-4"/>
          <w:sz w:val="21"/>
        </w:rPr>
        <w:t>into  </w:t>
      </w:r>
      <w:r>
        <w:rPr>
          <w:spacing w:val="-3"/>
          <w:sz w:val="21"/>
        </w:rPr>
        <w:t>force  </w:t>
      </w:r>
      <w:r>
        <w:rPr>
          <w:sz w:val="21"/>
        </w:rPr>
        <w:t>in  </w:t>
      </w:r>
      <w:r>
        <w:rPr>
          <w:spacing w:val="-8"/>
          <w:sz w:val="21"/>
        </w:rPr>
        <w:t>2014 </w:t>
      </w:r>
      <w:r>
        <w:rPr>
          <w:spacing w:val="-3"/>
          <w:position w:val="7"/>
          <w:sz w:val="12"/>
        </w:rPr>
        <w:t>127</w:t>
      </w:r>
      <w:r>
        <w:rPr>
          <w:spacing w:val="-3"/>
          <w:sz w:val="12"/>
        </w:rPr>
        <w:t> </w:t>
      </w:r>
      <w:r>
        <w:rPr>
          <w:sz w:val="21"/>
        </w:rPr>
        <w:t>and provides</w:t>
      </w:r>
      <w:r>
        <w:rPr>
          <w:spacing w:val="16"/>
          <w:sz w:val="21"/>
        </w:rPr>
        <w:t> </w:t>
      </w:r>
      <w:r>
        <w:rPr>
          <w:sz w:val="21"/>
        </w:rPr>
        <w:t>that:</w:t>
      </w:r>
    </w:p>
    <w:p>
      <w:pPr>
        <w:spacing w:line="254" w:lineRule="auto" w:before="134"/>
        <w:ind w:left="3027" w:right="1619" w:hanging="307"/>
        <w:jc w:val="left"/>
        <w:rPr>
          <w:sz w:val="20"/>
        </w:rPr>
      </w:pPr>
      <w:r>
        <w:rPr>
          <w:sz w:val="20"/>
        </w:rPr>
        <w:t>52 In an action, if a person claims that a will or any provision of it resulted from another person</w:t>
      </w:r>
    </w:p>
    <w:p>
      <w:pPr>
        <w:pStyle w:val="ListParagraph"/>
        <w:numPr>
          <w:ilvl w:val="1"/>
          <w:numId w:val="25"/>
        </w:numPr>
        <w:tabs>
          <w:tab w:pos="3402" w:val="left" w:leader="none"/>
        </w:tabs>
        <w:spacing w:line="254" w:lineRule="auto" w:before="122" w:after="0"/>
        <w:ind w:left="3401" w:right="2048" w:hanging="340"/>
        <w:jc w:val="left"/>
        <w:rPr>
          <w:sz w:val="20"/>
        </w:rPr>
      </w:pPr>
      <w:r>
        <w:rPr>
          <w:w w:val="105"/>
          <w:sz w:val="20"/>
        </w:rPr>
        <w:t>being</w:t>
      </w:r>
      <w:r>
        <w:rPr>
          <w:spacing w:val="-6"/>
          <w:w w:val="105"/>
          <w:sz w:val="20"/>
        </w:rPr>
        <w:t> </w:t>
      </w:r>
      <w:r>
        <w:rPr>
          <w:w w:val="105"/>
          <w:sz w:val="20"/>
        </w:rPr>
        <w:t>in</w:t>
      </w:r>
      <w:r>
        <w:rPr>
          <w:spacing w:val="-6"/>
          <w:w w:val="105"/>
          <w:sz w:val="20"/>
        </w:rPr>
        <w:t> </w:t>
      </w:r>
      <w:r>
        <w:rPr>
          <w:w w:val="105"/>
          <w:sz w:val="20"/>
        </w:rPr>
        <w:t>a</w:t>
      </w:r>
      <w:r>
        <w:rPr>
          <w:spacing w:val="-6"/>
          <w:w w:val="105"/>
          <w:sz w:val="20"/>
        </w:rPr>
        <w:t> </w:t>
      </w:r>
      <w:r>
        <w:rPr>
          <w:w w:val="105"/>
          <w:sz w:val="20"/>
        </w:rPr>
        <w:t>position</w:t>
      </w:r>
      <w:r>
        <w:rPr>
          <w:spacing w:val="-5"/>
          <w:w w:val="105"/>
          <w:sz w:val="20"/>
        </w:rPr>
        <w:t> </w:t>
      </w:r>
      <w:r>
        <w:rPr>
          <w:w w:val="105"/>
          <w:sz w:val="20"/>
        </w:rPr>
        <w:t>where</w:t>
      </w:r>
      <w:r>
        <w:rPr>
          <w:spacing w:val="-6"/>
          <w:w w:val="105"/>
          <w:sz w:val="20"/>
        </w:rPr>
        <w:t> </w:t>
      </w:r>
      <w:r>
        <w:rPr>
          <w:w w:val="105"/>
          <w:sz w:val="20"/>
        </w:rPr>
        <w:t>the</w:t>
      </w:r>
      <w:r>
        <w:rPr>
          <w:spacing w:val="-6"/>
          <w:w w:val="105"/>
          <w:sz w:val="20"/>
        </w:rPr>
        <w:t> </w:t>
      </w:r>
      <w:r>
        <w:rPr>
          <w:spacing w:val="-3"/>
          <w:w w:val="105"/>
          <w:sz w:val="20"/>
        </w:rPr>
        <w:t>potential</w:t>
      </w:r>
      <w:r>
        <w:rPr>
          <w:spacing w:val="-6"/>
          <w:w w:val="105"/>
          <w:sz w:val="20"/>
        </w:rPr>
        <w:t> </w:t>
      </w:r>
      <w:r>
        <w:rPr>
          <w:w w:val="105"/>
          <w:sz w:val="20"/>
        </w:rPr>
        <w:t>for</w:t>
      </w:r>
      <w:r>
        <w:rPr>
          <w:spacing w:val="-5"/>
          <w:w w:val="105"/>
          <w:sz w:val="20"/>
        </w:rPr>
        <w:t> </w:t>
      </w:r>
      <w:r>
        <w:rPr>
          <w:w w:val="105"/>
          <w:sz w:val="20"/>
        </w:rPr>
        <w:t>dependence</w:t>
      </w:r>
      <w:r>
        <w:rPr>
          <w:spacing w:val="-6"/>
          <w:w w:val="105"/>
          <w:sz w:val="20"/>
        </w:rPr>
        <w:t> </w:t>
      </w:r>
      <w:r>
        <w:rPr>
          <w:w w:val="105"/>
          <w:sz w:val="20"/>
        </w:rPr>
        <w:t>or</w:t>
      </w:r>
      <w:r>
        <w:rPr>
          <w:spacing w:val="-6"/>
          <w:w w:val="105"/>
          <w:sz w:val="20"/>
        </w:rPr>
        <w:t> </w:t>
      </w:r>
      <w:r>
        <w:rPr>
          <w:w w:val="105"/>
          <w:sz w:val="20"/>
        </w:rPr>
        <w:t>domination</w:t>
      </w:r>
      <w:r>
        <w:rPr>
          <w:spacing w:val="-6"/>
          <w:w w:val="105"/>
          <w:sz w:val="20"/>
        </w:rPr>
        <w:t> </w:t>
      </w:r>
      <w:r>
        <w:rPr>
          <w:w w:val="105"/>
          <w:sz w:val="20"/>
        </w:rPr>
        <w:t>of</w:t>
      </w:r>
      <w:r>
        <w:rPr>
          <w:spacing w:val="-5"/>
          <w:w w:val="105"/>
          <w:sz w:val="20"/>
        </w:rPr>
        <w:t> </w:t>
      </w:r>
      <w:r>
        <w:rPr>
          <w:w w:val="105"/>
          <w:sz w:val="20"/>
        </w:rPr>
        <w:t>the will-maker was present,</w:t>
      </w:r>
      <w:r>
        <w:rPr>
          <w:spacing w:val="14"/>
          <w:w w:val="105"/>
          <w:sz w:val="20"/>
        </w:rPr>
        <w:t> </w:t>
      </w:r>
      <w:r>
        <w:rPr>
          <w:w w:val="105"/>
          <w:sz w:val="20"/>
        </w:rPr>
        <w:t>and</w:t>
      </w:r>
    </w:p>
    <w:p>
      <w:pPr>
        <w:pStyle w:val="ListParagraph"/>
        <w:numPr>
          <w:ilvl w:val="1"/>
          <w:numId w:val="25"/>
        </w:numPr>
        <w:tabs>
          <w:tab w:pos="3402" w:val="left" w:leader="none"/>
        </w:tabs>
        <w:spacing w:line="254" w:lineRule="auto" w:before="122" w:after="0"/>
        <w:ind w:left="3401" w:right="2046" w:hanging="340"/>
        <w:jc w:val="left"/>
        <w:rPr>
          <w:sz w:val="20"/>
        </w:rPr>
      </w:pPr>
      <w:r>
        <w:rPr>
          <w:sz w:val="20"/>
        </w:rPr>
        <w:t>using that position to unduly influence the will-maker to </w:t>
      </w:r>
      <w:r>
        <w:rPr>
          <w:spacing w:val="-3"/>
          <w:sz w:val="20"/>
        </w:rPr>
        <w:t>make </w:t>
      </w:r>
      <w:r>
        <w:rPr>
          <w:sz w:val="20"/>
        </w:rPr>
        <w:t>the will or the provision of it that is</w:t>
      </w:r>
      <w:r>
        <w:rPr>
          <w:spacing w:val="41"/>
          <w:sz w:val="20"/>
        </w:rPr>
        <w:t> </w:t>
      </w:r>
      <w:r>
        <w:rPr>
          <w:sz w:val="20"/>
        </w:rPr>
        <w:t>challenged,</w:t>
      </w:r>
    </w:p>
    <w:p>
      <w:pPr>
        <w:spacing w:line="254" w:lineRule="auto" w:before="123"/>
        <w:ind w:left="3401" w:right="1841" w:firstLine="0"/>
        <w:jc w:val="left"/>
        <w:rPr>
          <w:sz w:val="20"/>
        </w:rPr>
      </w:pPr>
      <w:r>
        <w:rPr>
          <w:sz w:val="20"/>
        </w:rPr>
        <w:t>and establishes that the other person was in a position where the </w:t>
      </w:r>
      <w:r>
        <w:rPr>
          <w:spacing w:val="-3"/>
          <w:sz w:val="20"/>
        </w:rPr>
        <w:t>potential </w:t>
      </w:r>
      <w:r>
        <w:rPr>
          <w:sz w:val="20"/>
        </w:rPr>
        <w:t>for dependence or domination of the will-maker was present, the party seeking to defend the will or the provision of it that is challenged or to uphold the gift has   the onus of establishing that the person in the position where the </w:t>
      </w:r>
      <w:r>
        <w:rPr>
          <w:spacing w:val="-3"/>
          <w:sz w:val="20"/>
        </w:rPr>
        <w:t>potential </w:t>
      </w:r>
      <w:r>
        <w:rPr>
          <w:sz w:val="20"/>
        </w:rPr>
        <w:t>for dependence or domination of the will-maker was present did not exercise undue influence</w:t>
      </w:r>
      <w:r>
        <w:rPr>
          <w:spacing w:val="10"/>
          <w:sz w:val="20"/>
        </w:rPr>
        <w:t> </w:t>
      </w:r>
      <w:r>
        <w:rPr>
          <w:sz w:val="20"/>
        </w:rPr>
        <w:t>over</w:t>
      </w:r>
      <w:r>
        <w:rPr>
          <w:spacing w:val="11"/>
          <w:sz w:val="20"/>
        </w:rPr>
        <w:t> </w:t>
      </w:r>
      <w:r>
        <w:rPr>
          <w:sz w:val="20"/>
        </w:rPr>
        <w:t>the</w:t>
      </w:r>
      <w:r>
        <w:rPr>
          <w:spacing w:val="11"/>
          <w:sz w:val="20"/>
        </w:rPr>
        <w:t> </w:t>
      </w:r>
      <w:r>
        <w:rPr>
          <w:sz w:val="20"/>
        </w:rPr>
        <w:t>will-maker</w:t>
      </w:r>
      <w:r>
        <w:rPr>
          <w:spacing w:val="11"/>
          <w:sz w:val="20"/>
        </w:rPr>
        <w:t> </w:t>
      </w:r>
      <w:r>
        <w:rPr>
          <w:sz w:val="20"/>
        </w:rPr>
        <w:t>with</w:t>
      </w:r>
      <w:r>
        <w:rPr>
          <w:spacing w:val="11"/>
          <w:sz w:val="20"/>
        </w:rPr>
        <w:t> </w:t>
      </w:r>
      <w:r>
        <w:rPr>
          <w:sz w:val="20"/>
        </w:rPr>
        <w:t>respect</w:t>
      </w:r>
      <w:r>
        <w:rPr>
          <w:spacing w:val="11"/>
          <w:sz w:val="20"/>
        </w:rPr>
        <w:t> </w:t>
      </w:r>
      <w:r>
        <w:rPr>
          <w:sz w:val="20"/>
        </w:rPr>
        <w:t>to</w:t>
      </w:r>
      <w:r>
        <w:rPr>
          <w:spacing w:val="10"/>
          <w:sz w:val="20"/>
        </w:rPr>
        <w:t> </w:t>
      </w:r>
      <w:r>
        <w:rPr>
          <w:sz w:val="20"/>
        </w:rPr>
        <w:t>the</w:t>
      </w:r>
      <w:r>
        <w:rPr>
          <w:spacing w:val="11"/>
          <w:sz w:val="20"/>
        </w:rPr>
        <w:t> </w:t>
      </w:r>
      <w:r>
        <w:rPr>
          <w:sz w:val="20"/>
        </w:rPr>
        <w:t>will</w:t>
      </w:r>
      <w:r>
        <w:rPr>
          <w:spacing w:val="11"/>
          <w:sz w:val="20"/>
        </w:rPr>
        <w:t> </w:t>
      </w:r>
      <w:r>
        <w:rPr>
          <w:sz w:val="20"/>
        </w:rPr>
        <w:t>or</w:t>
      </w:r>
      <w:r>
        <w:rPr>
          <w:spacing w:val="11"/>
          <w:sz w:val="20"/>
        </w:rPr>
        <w:t> </w:t>
      </w:r>
      <w:r>
        <w:rPr>
          <w:sz w:val="20"/>
        </w:rPr>
        <w:t>the</w:t>
      </w:r>
      <w:r>
        <w:rPr>
          <w:spacing w:val="11"/>
          <w:sz w:val="20"/>
        </w:rPr>
        <w:t> </w:t>
      </w:r>
      <w:r>
        <w:rPr>
          <w:sz w:val="20"/>
        </w:rPr>
        <w:t>provision</w:t>
      </w:r>
      <w:r>
        <w:rPr>
          <w:spacing w:val="11"/>
          <w:sz w:val="20"/>
        </w:rPr>
        <w:t> </w:t>
      </w:r>
      <w:r>
        <w:rPr>
          <w:sz w:val="20"/>
        </w:rPr>
        <w:t>of</w:t>
      </w:r>
      <w:r>
        <w:rPr>
          <w:spacing w:val="11"/>
          <w:sz w:val="20"/>
        </w:rPr>
        <w:t> </w:t>
      </w:r>
      <w:r>
        <w:rPr>
          <w:sz w:val="20"/>
        </w:rPr>
        <w:t>it</w:t>
      </w:r>
      <w:r>
        <w:rPr>
          <w:spacing w:val="10"/>
          <w:sz w:val="20"/>
        </w:rPr>
        <w:t> </w:t>
      </w:r>
      <w:r>
        <w:rPr>
          <w:sz w:val="20"/>
        </w:rPr>
        <w:t>that</w:t>
      </w:r>
    </w:p>
    <w:p>
      <w:pPr>
        <w:spacing w:before="7"/>
        <w:ind w:left="3401" w:right="0" w:firstLine="0"/>
        <w:jc w:val="left"/>
        <w:rPr>
          <w:sz w:val="11"/>
        </w:rPr>
      </w:pPr>
      <w:r>
        <w:rPr>
          <w:w w:val="105"/>
          <w:sz w:val="20"/>
        </w:rPr>
        <w:t>is challenged.</w:t>
      </w:r>
      <w:r>
        <w:rPr>
          <w:w w:val="105"/>
          <w:position w:val="7"/>
          <w:sz w:val="11"/>
        </w:rPr>
        <w:t>128</w:t>
      </w:r>
    </w:p>
    <w:p>
      <w:pPr>
        <w:pStyle w:val="BodyText"/>
        <w:rPr>
          <w:sz w:val="20"/>
        </w:rPr>
      </w:pPr>
    </w:p>
    <w:p>
      <w:pPr>
        <w:pStyle w:val="BodyText"/>
        <w:rPr>
          <w:sz w:val="20"/>
        </w:rPr>
      </w:pPr>
    </w:p>
    <w:p>
      <w:pPr>
        <w:pStyle w:val="BodyText"/>
        <w:rPr>
          <w:sz w:val="20"/>
        </w:rPr>
      </w:pPr>
    </w:p>
    <w:p>
      <w:pPr>
        <w:pStyle w:val="BodyText"/>
        <w:spacing w:before="11"/>
        <w:rPr>
          <w:sz w:val="18"/>
        </w:rPr>
      </w:pPr>
      <w:r>
        <w:rPr/>
        <w:pict>
          <v:line style="position:absolute;mso-position-horizontal-relative:page;mso-position-vertical-relative:paragraph;z-index:344;mso-wrap-distance-left:0;mso-wrap-distance-right:0" from="79.370102pt,13.986094pt" to="515.905102pt,13.986094pt" stroked="true" strokeweight="1pt" strokecolor="#f9ceca">
            <v:stroke dashstyle="solid"/>
            <w10:wrap type="topAndBottom"/>
          </v:line>
        </w:pict>
      </w:r>
    </w:p>
    <w:p>
      <w:pPr>
        <w:pStyle w:val="ListParagraph"/>
        <w:numPr>
          <w:ilvl w:val="0"/>
          <w:numId w:val="25"/>
        </w:numPr>
        <w:tabs>
          <w:tab w:pos="2381" w:val="left" w:leader="none"/>
          <w:tab w:pos="2382" w:val="left" w:leader="none"/>
        </w:tabs>
        <w:spacing w:line="240" w:lineRule="auto" w:before="117" w:after="0"/>
        <w:ind w:left="2381" w:right="1589" w:hanging="794"/>
        <w:jc w:val="both"/>
        <w:rPr>
          <w:sz w:val="13"/>
        </w:rPr>
      </w:pPr>
      <w:r>
        <w:rPr>
          <w:i/>
          <w:w w:val="105"/>
          <w:sz w:val="13"/>
        </w:rPr>
        <w:t>Anderson v Anderson </w:t>
      </w:r>
      <w:r>
        <w:rPr>
          <w:w w:val="105"/>
          <w:sz w:val="13"/>
        </w:rPr>
        <w:t>[2013] QSC </w:t>
      </w:r>
      <w:r>
        <w:rPr>
          <w:spacing w:val="3"/>
          <w:w w:val="105"/>
          <w:sz w:val="13"/>
        </w:rPr>
        <w:t>008 </w:t>
      </w:r>
      <w:r>
        <w:rPr>
          <w:w w:val="105"/>
          <w:sz w:val="13"/>
        </w:rPr>
        <w:t>(22 February 2013) [55]; </w:t>
      </w:r>
      <w:r>
        <w:rPr>
          <w:i/>
          <w:w w:val="105"/>
          <w:sz w:val="13"/>
        </w:rPr>
        <w:t>McIvor v Westpac Banking Corporation </w:t>
      </w:r>
      <w:r>
        <w:rPr>
          <w:w w:val="105"/>
          <w:sz w:val="13"/>
        </w:rPr>
        <w:t>[2012] QSC </w:t>
      </w:r>
      <w:r>
        <w:rPr>
          <w:spacing w:val="2"/>
          <w:w w:val="105"/>
          <w:sz w:val="13"/>
        </w:rPr>
        <w:t>404 </w:t>
      </w:r>
      <w:r>
        <w:rPr>
          <w:spacing w:val="-3"/>
          <w:w w:val="105"/>
          <w:sz w:val="13"/>
        </w:rPr>
        <w:t>(14 </w:t>
      </w:r>
      <w:r>
        <w:rPr>
          <w:w w:val="105"/>
          <w:sz w:val="13"/>
        </w:rPr>
        <w:t>December 2012) [14]; </w:t>
      </w:r>
      <w:r>
        <w:rPr>
          <w:i/>
          <w:w w:val="105"/>
          <w:sz w:val="13"/>
        </w:rPr>
        <w:t>Courtney v Powell </w:t>
      </w:r>
      <w:r>
        <w:rPr>
          <w:w w:val="105"/>
          <w:sz w:val="13"/>
        </w:rPr>
        <w:t>[2012] NSWSC </w:t>
      </w:r>
      <w:r>
        <w:rPr>
          <w:spacing w:val="2"/>
          <w:w w:val="105"/>
          <w:sz w:val="13"/>
        </w:rPr>
        <w:t>460 [38] </w:t>
      </w:r>
      <w:r>
        <w:rPr>
          <w:spacing w:val="-5"/>
          <w:w w:val="105"/>
          <w:sz w:val="13"/>
        </w:rPr>
        <w:t>(11 </w:t>
      </w:r>
      <w:r>
        <w:rPr>
          <w:w w:val="105"/>
          <w:sz w:val="13"/>
        </w:rPr>
        <w:t>May 2012); G E Dal Pont, </w:t>
      </w:r>
      <w:r>
        <w:rPr>
          <w:i/>
          <w:w w:val="105"/>
          <w:sz w:val="13"/>
        </w:rPr>
        <w:t>Equity and Trusts in Australia </w:t>
      </w:r>
      <w:r>
        <w:rPr>
          <w:spacing w:val="2"/>
          <w:w w:val="105"/>
          <w:sz w:val="13"/>
        </w:rPr>
        <w:t>(Thomson </w:t>
      </w:r>
      <w:r>
        <w:rPr>
          <w:w w:val="105"/>
          <w:sz w:val="13"/>
        </w:rPr>
        <w:t>Reuters, 5th ed, </w:t>
      </w:r>
      <w:r>
        <w:rPr>
          <w:spacing w:val="-4"/>
          <w:w w:val="105"/>
          <w:sz w:val="13"/>
        </w:rPr>
        <w:t>2011) 221.</w:t>
      </w:r>
    </w:p>
    <w:p>
      <w:pPr>
        <w:pStyle w:val="ListParagraph"/>
        <w:numPr>
          <w:ilvl w:val="0"/>
          <w:numId w:val="25"/>
        </w:numPr>
        <w:tabs>
          <w:tab w:pos="2381" w:val="left" w:leader="none"/>
          <w:tab w:pos="2382" w:val="left" w:leader="none"/>
        </w:tabs>
        <w:spacing w:line="240" w:lineRule="auto" w:before="4" w:after="0"/>
        <w:ind w:left="2381" w:right="1755" w:hanging="794"/>
        <w:jc w:val="left"/>
        <w:rPr>
          <w:sz w:val="13"/>
        </w:rPr>
      </w:pPr>
      <w:r>
        <w:rPr>
          <w:i/>
          <w:w w:val="105"/>
          <w:sz w:val="13"/>
        </w:rPr>
        <w:t>Anderson v Anderson </w:t>
      </w:r>
      <w:r>
        <w:rPr>
          <w:w w:val="105"/>
          <w:sz w:val="13"/>
        </w:rPr>
        <w:t>[2013] QSC </w:t>
      </w:r>
      <w:r>
        <w:rPr>
          <w:spacing w:val="3"/>
          <w:w w:val="105"/>
          <w:sz w:val="13"/>
        </w:rPr>
        <w:t>008 </w:t>
      </w:r>
      <w:r>
        <w:rPr>
          <w:w w:val="105"/>
          <w:sz w:val="13"/>
        </w:rPr>
        <w:t>(22 February 2013) </w:t>
      </w:r>
      <w:r>
        <w:rPr>
          <w:spacing w:val="3"/>
          <w:w w:val="105"/>
          <w:sz w:val="13"/>
        </w:rPr>
        <w:t>[54]; </w:t>
      </w:r>
      <w:r>
        <w:rPr>
          <w:w w:val="105"/>
          <w:sz w:val="13"/>
        </w:rPr>
        <w:t>‘confidence, control, domination or influence’: </w:t>
      </w:r>
      <w:r>
        <w:rPr>
          <w:i/>
          <w:w w:val="105"/>
          <w:sz w:val="13"/>
        </w:rPr>
        <w:t>McIvor v Westpac Banking </w:t>
      </w:r>
      <w:r>
        <w:rPr>
          <w:i/>
          <w:w w:val="105"/>
          <w:sz w:val="13"/>
        </w:rPr>
        <w:t>Corporation </w:t>
      </w:r>
      <w:r>
        <w:rPr>
          <w:w w:val="105"/>
          <w:sz w:val="13"/>
        </w:rPr>
        <w:t>[2012] QSC </w:t>
      </w:r>
      <w:r>
        <w:rPr>
          <w:spacing w:val="2"/>
          <w:w w:val="105"/>
          <w:sz w:val="13"/>
        </w:rPr>
        <w:t>404 </w:t>
      </w:r>
      <w:r>
        <w:rPr>
          <w:spacing w:val="-3"/>
          <w:w w:val="105"/>
          <w:sz w:val="13"/>
        </w:rPr>
        <w:t>(14  </w:t>
      </w:r>
      <w:r>
        <w:rPr>
          <w:w w:val="105"/>
          <w:sz w:val="13"/>
        </w:rPr>
        <w:t>December 2012) </w:t>
      </w:r>
      <w:r>
        <w:rPr>
          <w:spacing w:val="2"/>
          <w:w w:val="105"/>
          <w:sz w:val="13"/>
        </w:rPr>
        <w:t>[36]; </w:t>
      </w:r>
      <w:r>
        <w:rPr>
          <w:i/>
          <w:w w:val="105"/>
          <w:sz w:val="13"/>
        </w:rPr>
        <w:t>Anderson v McPherson </w:t>
      </w:r>
      <w:r>
        <w:rPr>
          <w:i/>
          <w:spacing w:val="3"/>
          <w:w w:val="105"/>
          <w:sz w:val="13"/>
        </w:rPr>
        <w:t>(No </w:t>
      </w:r>
      <w:r>
        <w:rPr>
          <w:i/>
          <w:w w:val="105"/>
          <w:sz w:val="13"/>
        </w:rPr>
        <w:t>2) </w:t>
      </w:r>
      <w:r>
        <w:rPr>
          <w:w w:val="105"/>
          <w:sz w:val="13"/>
        </w:rPr>
        <w:t>[2012] WASC </w:t>
      </w:r>
      <w:r>
        <w:rPr>
          <w:spacing w:val="-3"/>
          <w:w w:val="105"/>
          <w:sz w:val="13"/>
        </w:rPr>
        <w:t>19  </w:t>
      </w:r>
      <w:r>
        <w:rPr>
          <w:w w:val="105"/>
          <w:sz w:val="13"/>
        </w:rPr>
        <w:t>(25 January 2012) </w:t>
      </w:r>
      <w:r>
        <w:rPr>
          <w:spacing w:val="3"/>
          <w:w w:val="105"/>
          <w:sz w:val="13"/>
        </w:rPr>
        <w:t>[247]–[248]; </w:t>
      </w:r>
      <w:r>
        <w:rPr>
          <w:w w:val="105"/>
          <w:sz w:val="13"/>
        </w:rPr>
        <w:t>R      P Meagher, J D Heydon and M J Leeming, </w:t>
      </w:r>
      <w:r>
        <w:rPr>
          <w:i/>
          <w:w w:val="105"/>
          <w:sz w:val="13"/>
        </w:rPr>
        <w:t>Equity, Doctrines and Remedies </w:t>
      </w:r>
      <w:r>
        <w:rPr>
          <w:spacing w:val="2"/>
          <w:w w:val="105"/>
          <w:sz w:val="13"/>
        </w:rPr>
        <w:t>(Butterworths </w:t>
      </w:r>
      <w:r>
        <w:rPr>
          <w:w w:val="105"/>
          <w:sz w:val="13"/>
        </w:rPr>
        <w:t>LexisNexis, 2002) 514; G E Dal Pont, </w:t>
      </w:r>
      <w:r>
        <w:rPr>
          <w:i/>
          <w:w w:val="105"/>
          <w:sz w:val="13"/>
        </w:rPr>
        <w:t>Equity and </w:t>
      </w:r>
      <w:r>
        <w:rPr>
          <w:i/>
          <w:w w:val="105"/>
          <w:sz w:val="13"/>
        </w:rPr>
        <w:t>Trusts in Australia </w:t>
      </w:r>
      <w:r>
        <w:rPr>
          <w:spacing w:val="2"/>
          <w:w w:val="105"/>
          <w:sz w:val="13"/>
        </w:rPr>
        <w:t>(Thomson </w:t>
      </w:r>
      <w:r>
        <w:rPr>
          <w:w w:val="105"/>
          <w:sz w:val="13"/>
        </w:rPr>
        <w:t>Reuters, 5th ed, </w:t>
      </w:r>
      <w:r>
        <w:rPr>
          <w:spacing w:val="-4"/>
          <w:w w:val="105"/>
          <w:sz w:val="13"/>
        </w:rPr>
        <w:t>2011)</w:t>
      </w:r>
      <w:r>
        <w:rPr>
          <w:spacing w:val="4"/>
          <w:w w:val="105"/>
          <w:sz w:val="13"/>
        </w:rPr>
        <w:t> </w:t>
      </w:r>
      <w:r>
        <w:rPr>
          <w:w w:val="105"/>
          <w:sz w:val="13"/>
        </w:rPr>
        <w:t>221.</w:t>
      </w:r>
    </w:p>
    <w:p>
      <w:pPr>
        <w:pStyle w:val="ListParagraph"/>
        <w:numPr>
          <w:ilvl w:val="0"/>
          <w:numId w:val="25"/>
        </w:numPr>
        <w:tabs>
          <w:tab w:pos="2381" w:val="left" w:leader="none"/>
          <w:tab w:pos="2382" w:val="left" w:leader="none"/>
        </w:tabs>
        <w:spacing w:line="240" w:lineRule="auto" w:before="5" w:after="0"/>
        <w:ind w:left="2381" w:right="1882" w:hanging="794"/>
        <w:jc w:val="left"/>
        <w:rPr>
          <w:sz w:val="13"/>
        </w:rPr>
      </w:pPr>
      <w:r>
        <w:rPr>
          <w:sz w:val="13"/>
        </w:rPr>
        <w:t>Matthew Tyson,  ‘An  Analysis  of  the  Differences  Between  the  Doctrine  of  Undue  Influence  with  Respect  to  Testamentary  and  Inter Vivos Dispositions’ (1997) 5 </w:t>
      </w:r>
      <w:r>
        <w:rPr>
          <w:i/>
          <w:sz w:val="13"/>
        </w:rPr>
        <w:t>Australian Property Law Journal </w:t>
      </w:r>
      <w:r>
        <w:rPr>
          <w:spacing w:val="-3"/>
          <w:sz w:val="13"/>
        </w:rPr>
        <w:t>1, </w:t>
      </w:r>
      <w:r>
        <w:rPr>
          <w:sz w:val="13"/>
        </w:rPr>
        <w:t>3; Fiona R Burns, ‘Undue Influence Inter Vivos and the Elderly’ (2002) 26 </w:t>
      </w:r>
      <w:r>
        <w:rPr>
          <w:i/>
          <w:sz w:val="13"/>
        </w:rPr>
        <w:t>Melbourne</w:t>
      </w:r>
      <w:r>
        <w:rPr>
          <w:i/>
          <w:spacing w:val="13"/>
          <w:sz w:val="13"/>
        </w:rPr>
        <w:t> </w:t>
      </w:r>
      <w:r>
        <w:rPr>
          <w:i/>
          <w:sz w:val="13"/>
        </w:rPr>
        <w:t>University</w:t>
      </w:r>
      <w:r>
        <w:rPr>
          <w:i/>
          <w:spacing w:val="13"/>
          <w:sz w:val="13"/>
        </w:rPr>
        <w:t> </w:t>
      </w:r>
      <w:r>
        <w:rPr>
          <w:i/>
          <w:sz w:val="13"/>
        </w:rPr>
        <w:t>Law</w:t>
      </w:r>
      <w:r>
        <w:rPr>
          <w:i/>
          <w:spacing w:val="14"/>
          <w:sz w:val="13"/>
        </w:rPr>
        <w:t> </w:t>
      </w:r>
      <w:r>
        <w:rPr>
          <w:i/>
          <w:sz w:val="13"/>
        </w:rPr>
        <w:t>Review</w:t>
      </w:r>
      <w:r>
        <w:rPr>
          <w:i/>
          <w:spacing w:val="13"/>
          <w:sz w:val="13"/>
        </w:rPr>
        <w:t> </w:t>
      </w:r>
      <w:r>
        <w:rPr>
          <w:sz w:val="13"/>
        </w:rPr>
        <w:t>499,</w:t>
      </w:r>
      <w:r>
        <w:rPr>
          <w:spacing w:val="15"/>
          <w:sz w:val="13"/>
        </w:rPr>
        <w:t> </w:t>
      </w:r>
      <w:r>
        <w:rPr>
          <w:sz w:val="13"/>
        </w:rPr>
        <w:t>507;</w:t>
      </w:r>
      <w:r>
        <w:rPr>
          <w:spacing w:val="14"/>
          <w:sz w:val="13"/>
        </w:rPr>
        <w:t> </w:t>
      </w:r>
      <w:r>
        <w:rPr>
          <w:sz w:val="13"/>
        </w:rPr>
        <w:t>G</w:t>
      </w:r>
      <w:r>
        <w:rPr>
          <w:spacing w:val="15"/>
          <w:sz w:val="13"/>
        </w:rPr>
        <w:t> </w:t>
      </w:r>
      <w:r>
        <w:rPr>
          <w:sz w:val="13"/>
        </w:rPr>
        <w:t>E</w:t>
      </w:r>
      <w:r>
        <w:rPr>
          <w:spacing w:val="14"/>
          <w:sz w:val="13"/>
        </w:rPr>
        <w:t> </w:t>
      </w:r>
      <w:r>
        <w:rPr>
          <w:sz w:val="13"/>
        </w:rPr>
        <w:t>Dal</w:t>
      </w:r>
      <w:r>
        <w:rPr>
          <w:spacing w:val="15"/>
          <w:sz w:val="13"/>
        </w:rPr>
        <w:t> </w:t>
      </w:r>
      <w:r>
        <w:rPr>
          <w:sz w:val="13"/>
        </w:rPr>
        <w:t>Pont,</w:t>
      </w:r>
      <w:r>
        <w:rPr>
          <w:spacing w:val="15"/>
          <w:sz w:val="13"/>
        </w:rPr>
        <w:t> </w:t>
      </w:r>
      <w:r>
        <w:rPr>
          <w:i/>
          <w:sz w:val="13"/>
        </w:rPr>
        <w:t>Equity</w:t>
      </w:r>
      <w:r>
        <w:rPr>
          <w:i/>
          <w:spacing w:val="13"/>
          <w:sz w:val="13"/>
        </w:rPr>
        <w:t> </w:t>
      </w:r>
      <w:r>
        <w:rPr>
          <w:i/>
          <w:sz w:val="13"/>
        </w:rPr>
        <w:t>and</w:t>
      </w:r>
      <w:r>
        <w:rPr>
          <w:i/>
          <w:spacing w:val="13"/>
          <w:sz w:val="13"/>
        </w:rPr>
        <w:t> </w:t>
      </w:r>
      <w:r>
        <w:rPr>
          <w:i/>
          <w:sz w:val="13"/>
        </w:rPr>
        <w:t>Trusts</w:t>
      </w:r>
      <w:r>
        <w:rPr>
          <w:i/>
          <w:spacing w:val="14"/>
          <w:sz w:val="13"/>
        </w:rPr>
        <w:t> </w:t>
      </w:r>
      <w:r>
        <w:rPr>
          <w:i/>
          <w:sz w:val="13"/>
        </w:rPr>
        <w:t>in</w:t>
      </w:r>
      <w:r>
        <w:rPr>
          <w:i/>
          <w:spacing w:val="13"/>
          <w:sz w:val="13"/>
        </w:rPr>
        <w:t> </w:t>
      </w:r>
      <w:r>
        <w:rPr>
          <w:i/>
          <w:sz w:val="13"/>
        </w:rPr>
        <w:t>Australia</w:t>
      </w:r>
      <w:r>
        <w:rPr>
          <w:i/>
          <w:spacing w:val="15"/>
          <w:sz w:val="13"/>
        </w:rPr>
        <w:t> </w:t>
      </w:r>
      <w:r>
        <w:rPr>
          <w:spacing w:val="2"/>
          <w:sz w:val="13"/>
        </w:rPr>
        <w:t>(Thomson</w:t>
      </w:r>
      <w:r>
        <w:rPr>
          <w:spacing w:val="14"/>
          <w:sz w:val="13"/>
        </w:rPr>
        <w:t> </w:t>
      </w:r>
      <w:r>
        <w:rPr>
          <w:sz w:val="13"/>
        </w:rPr>
        <w:t>Reuters,</w:t>
      </w:r>
      <w:r>
        <w:rPr>
          <w:spacing w:val="15"/>
          <w:sz w:val="13"/>
        </w:rPr>
        <w:t> </w:t>
      </w:r>
      <w:r>
        <w:rPr>
          <w:sz w:val="13"/>
        </w:rPr>
        <w:t>5th</w:t>
      </w:r>
      <w:r>
        <w:rPr>
          <w:spacing w:val="14"/>
          <w:sz w:val="13"/>
        </w:rPr>
        <w:t> </w:t>
      </w:r>
      <w:r>
        <w:rPr>
          <w:sz w:val="13"/>
        </w:rPr>
        <w:t>ed,</w:t>
      </w:r>
      <w:r>
        <w:rPr>
          <w:spacing w:val="15"/>
          <w:sz w:val="13"/>
        </w:rPr>
        <w:t> </w:t>
      </w:r>
      <w:r>
        <w:rPr>
          <w:spacing w:val="-4"/>
          <w:sz w:val="13"/>
        </w:rPr>
        <w:t>2011)</w:t>
      </w:r>
      <w:r>
        <w:rPr>
          <w:spacing w:val="15"/>
          <w:sz w:val="13"/>
        </w:rPr>
        <w:t> </w:t>
      </w:r>
      <w:r>
        <w:rPr>
          <w:spacing w:val="-6"/>
          <w:sz w:val="13"/>
        </w:rPr>
        <w:t>217.</w:t>
      </w:r>
    </w:p>
    <w:p>
      <w:pPr>
        <w:pStyle w:val="ListParagraph"/>
        <w:numPr>
          <w:ilvl w:val="0"/>
          <w:numId w:val="25"/>
        </w:numPr>
        <w:tabs>
          <w:tab w:pos="2381" w:val="left" w:leader="none"/>
          <w:tab w:pos="2382" w:val="left" w:leader="none"/>
        </w:tabs>
        <w:spacing w:line="240" w:lineRule="auto" w:before="4" w:after="0"/>
        <w:ind w:left="2381" w:right="0" w:hanging="794"/>
        <w:jc w:val="left"/>
        <w:rPr>
          <w:sz w:val="13"/>
        </w:rPr>
      </w:pPr>
      <w:r>
        <w:rPr>
          <w:w w:val="105"/>
          <w:sz w:val="13"/>
        </w:rPr>
        <w:t>Peter</w:t>
      </w:r>
      <w:r>
        <w:rPr>
          <w:spacing w:val="4"/>
          <w:w w:val="105"/>
          <w:sz w:val="13"/>
        </w:rPr>
        <w:t> </w:t>
      </w:r>
      <w:r>
        <w:rPr>
          <w:w w:val="105"/>
          <w:sz w:val="13"/>
        </w:rPr>
        <w:t>Radan</w:t>
      </w:r>
      <w:r>
        <w:rPr>
          <w:spacing w:val="4"/>
          <w:w w:val="105"/>
          <w:sz w:val="13"/>
        </w:rPr>
        <w:t> </w:t>
      </w:r>
      <w:r>
        <w:rPr>
          <w:w w:val="105"/>
          <w:sz w:val="13"/>
        </w:rPr>
        <w:t>and</w:t>
      </w:r>
      <w:r>
        <w:rPr>
          <w:spacing w:val="5"/>
          <w:w w:val="105"/>
          <w:sz w:val="13"/>
        </w:rPr>
        <w:t> </w:t>
      </w:r>
      <w:r>
        <w:rPr>
          <w:w w:val="105"/>
          <w:sz w:val="13"/>
        </w:rPr>
        <w:t>Cameron</w:t>
      </w:r>
      <w:r>
        <w:rPr>
          <w:spacing w:val="4"/>
          <w:w w:val="105"/>
          <w:sz w:val="13"/>
        </w:rPr>
        <w:t> </w:t>
      </w:r>
      <w:r>
        <w:rPr>
          <w:w w:val="105"/>
          <w:sz w:val="13"/>
        </w:rPr>
        <w:t>Stewart,</w:t>
      </w:r>
      <w:r>
        <w:rPr>
          <w:spacing w:val="4"/>
          <w:w w:val="105"/>
          <w:sz w:val="13"/>
        </w:rPr>
        <w:t> </w:t>
      </w:r>
      <w:r>
        <w:rPr>
          <w:i/>
          <w:w w:val="105"/>
          <w:sz w:val="13"/>
        </w:rPr>
        <w:t>Principles</w:t>
      </w:r>
      <w:r>
        <w:rPr>
          <w:i/>
          <w:spacing w:val="4"/>
          <w:w w:val="105"/>
          <w:sz w:val="13"/>
        </w:rPr>
        <w:t> </w:t>
      </w:r>
      <w:r>
        <w:rPr>
          <w:i/>
          <w:w w:val="105"/>
          <w:sz w:val="13"/>
        </w:rPr>
        <w:t>of</w:t>
      </w:r>
      <w:r>
        <w:rPr>
          <w:i/>
          <w:spacing w:val="3"/>
          <w:w w:val="105"/>
          <w:sz w:val="13"/>
        </w:rPr>
        <w:t> </w:t>
      </w:r>
      <w:r>
        <w:rPr>
          <w:i/>
          <w:w w:val="105"/>
          <w:sz w:val="13"/>
        </w:rPr>
        <w:t>Australian</w:t>
      </w:r>
      <w:r>
        <w:rPr>
          <w:i/>
          <w:spacing w:val="3"/>
          <w:w w:val="105"/>
          <w:sz w:val="13"/>
        </w:rPr>
        <w:t> </w:t>
      </w:r>
      <w:r>
        <w:rPr>
          <w:i/>
          <w:w w:val="105"/>
          <w:sz w:val="13"/>
        </w:rPr>
        <w:t>Equity</w:t>
      </w:r>
      <w:r>
        <w:rPr>
          <w:i/>
          <w:spacing w:val="4"/>
          <w:w w:val="105"/>
          <w:sz w:val="13"/>
        </w:rPr>
        <w:t> </w:t>
      </w:r>
      <w:r>
        <w:rPr>
          <w:i/>
          <w:w w:val="105"/>
          <w:sz w:val="13"/>
        </w:rPr>
        <w:t>and</w:t>
      </w:r>
      <w:r>
        <w:rPr>
          <w:i/>
          <w:spacing w:val="3"/>
          <w:w w:val="105"/>
          <w:sz w:val="13"/>
        </w:rPr>
        <w:t> </w:t>
      </w:r>
      <w:r>
        <w:rPr>
          <w:i/>
          <w:w w:val="105"/>
          <w:sz w:val="13"/>
        </w:rPr>
        <w:t>Trusts</w:t>
      </w:r>
      <w:r>
        <w:rPr>
          <w:i/>
          <w:spacing w:val="4"/>
          <w:w w:val="105"/>
          <w:sz w:val="13"/>
        </w:rPr>
        <w:t> </w:t>
      </w:r>
      <w:r>
        <w:rPr>
          <w:spacing w:val="2"/>
          <w:w w:val="105"/>
          <w:sz w:val="13"/>
        </w:rPr>
        <w:t>(LexisNexis</w:t>
      </w:r>
      <w:r>
        <w:rPr>
          <w:spacing w:val="5"/>
          <w:w w:val="105"/>
          <w:sz w:val="13"/>
        </w:rPr>
        <w:t> </w:t>
      </w:r>
      <w:r>
        <w:rPr>
          <w:w w:val="105"/>
          <w:sz w:val="13"/>
        </w:rPr>
        <w:t>Butterworths,</w:t>
      </w:r>
      <w:r>
        <w:rPr>
          <w:spacing w:val="4"/>
          <w:w w:val="105"/>
          <w:sz w:val="13"/>
        </w:rPr>
        <w:t> </w:t>
      </w:r>
      <w:r>
        <w:rPr>
          <w:w w:val="105"/>
          <w:sz w:val="13"/>
        </w:rPr>
        <w:t>2nd</w:t>
      </w:r>
      <w:r>
        <w:rPr>
          <w:spacing w:val="4"/>
          <w:w w:val="105"/>
          <w:sz w:val="13"/>
        </w:rPr>
        <w:t> </w:t>
      </w:r>
      <w:r>
        <w:rPr>
          <w:w w:val="105"/>
          <w:sz w:val="13"/>
        </w:rPr>
        <w:t>ed,</w:t>
      </w:r>
      <w:r>
        <w:rPr>
          <w:spacing w:val="5"/>
          <w:w w:val="105"/>
          <w:sz w:val="13"/>
        </w:rPr>
        <w:t> </w:t>
      </w:r>
      <w:r>
        <w:rPr>
          <w:w w:val="105"/>
          <w:sz w:val="13"/>
        </w:rPr>
        <w:t>2013)</w:t>
      </w:r>
      <w:r>
        <w:rPr>
          <w:spacing w:val="4"/>
          <w:w w:val="105"/>
          <w:sz w:val="13"/>
        </w:rPr>
        <w:t> </w:t>
      </w:r>
      <w:r>
        <w:rPr>
          <w:w w:val="105"/>
          <w:sz w:val="13"/>
        </w:rPr>
        <w:t>231.</w:t>
      </w:r>
    </w:p>
    <w:p>
      <w:pPr>
        <w:pStyle w:val="ListParagraph"/>
        <w:numPr>
          <w:ilvl w:val="0"/>
          <w:numId w:val="25"/>
        </w:numPr>
        <w:tabs>
          <w:tab w:pos="2381" w:val="left" w:leader="none"/>
          <w:tab w:pos="2382" w:val="left" w:leader="none"/>
        </w:tabs>
        <w:spacing w:line="240" w:lineRule="auto" w:before="2" w:after="0"/>
        <w:ind w:left="2381" w:right="1785" w:hanging="794"/>
        <w:jc w:val="left"/>
        <w:rPr>
          <w:sz w:val="13"/>
        </w:rPr>
      </w:pPr>
      <w:r>
        <w:rPr>
          <w:i/>
          <w:w w:val="105"/>
          <w:sz w:val="13"/>
        </w:rPr>
        <w:t>McIvor v Westpac Banking Corporation </w:t>
      </w:r>
      <w:r>
        <w:rPr>
          <w:w w:val="105"/>
          <w:sz w:val="13"/>
        </w:rPr>
        <w:t>[2012] QSC </w:t>
      </w:r>
      <w:r>
        <w:rPr>
          <w:spacing w:val="2"/>
          <w:w w:val="105"/>
          <w:sz w:val="13"/>
        </w:rPr>
        <w:t>404 [20]; </w:t>
      </w:r>
      <w:r>
        <w:rPr>
          <w:w w:val="105"/>
          <w:sz w:val="13"/>
        </w:rPr>
        <w:t>G E Dal Pont, above n 122, </w:t>
      </w:r>
      <w:r>
        <w:rPr>
          <w:spacing w:val="3"/>
          <w:w w:val="105"/>
          <w:sz w:val="13"/>
        </w:rPr>
        <w:t>225–6; </w:t>
      </w:r>
      <w:r>
        <w:rPr>
          <w:w w:val="105"/>
          <w:sz w:val="13"/>
        </w:rPr>
        <w:t>Michael Evans and Bradley Jones, </w:t>
      </w:r>
      <w:r>
        <w:rPr>
          <w:i/>
          <w:w w:val="105"/>
          <w:sz w:val="13"/>
        </w:rPr>
        <w:t>Equity </w:t>
      </w:r>
      <w:r>
        <w:rPr>
          <w:i/>
          <w:w w:val="105"/>
          <w:sz w:val="13"/>
        </w:rPr>
        <w:t>and Trusts </w:t>
      </w:r>
      <w:r>
        <w:rPr>
          <w:spacing w:val="2"/>
          <w:w w:val="105"/>
          <w:sz w:val="13"/>
        </w:rPr>
        <w:t>(LexisNexis </w:t>
      </w:r>
      <w:r>
        <w:rPr>
          <w:w w:val="105"/>
          <w:sz w:val="13"/>
        </w:rPr>
        <w:t>Butterworths, 3rd ed, </w:t>
      </w:r>
      <w:r>
        <w:rPr>
          <w:spacing w:val="-4"/>
          <w:w w:val="105"/>
          <w:sz w:val="13"/>
        </w:rPr>
        <w:t>2011)</w:t>
      </w:r>
      <w:r>
        <w:rPr>
          <w:spacing w:val="1"/>
          <w:w w:val="105"/>
          <w:sz w:val="13"/>
        </w:rPr>
        <w:t> </w:t>
      </w:r>
      <w:r>
        <w:rPr>
          <w:w w:val="105"/>
          <w:sz w:val="13"/>
        </w:rPr>
        <w:t>[15.21].</w:t>
      </w:r>
    </w:p>
    <w:p>
      <w:pPr>
        <w:pStyle w:val="ListParagraph"/>
        <w:numPr>
          <w:ilvl w:val="0"/>
          <w:numId w:val="25"/>
        </w:numPr>
        <w:tabs>
          <w:tab w:pos="2381" w:val="left" w:leader="none"/>
          <w:tab w:pos="2382" w:val="left" w:leader="none"/>
        </w:tabs>
        <w:spacing w:line="240" w:lineRule="auto" w:before="2" w:after="0"/>
        <w:ind w:left="2381" w:right="0" w:hanging="794"/>
        <w:jc w:val="left"/>
        <w:rPr>
          <w:sz w:val="13"/>
        </w:rPr>
      </w:pPr>
      <w:r>
        <w:rPr>
          <w:w w:val="105"/>
          <w:sz w:val="13"/>
        </w:rPr>
        <w:t>Ridge, above n 105,</w:t>
      </w:r>
      <w:r>
        <w:rPr>
          <w:spacing w:val="18"/>
          <w:w w:val="105"/>
          <w:sz w:val="13"/>
        </w:rPr>
        <w:t> </w:t>
      </w:r>
      <w:r>
        <w:rPr>
          <w:w w:val="105"/>
          <w:sz w:val="13"/>
        </w:rPr>
        <w:t>621.</w:t>
      </w:r>
    </w:p>
    <w:p>
      <w:pPr>
        <w:pStyle w:val="ListParagraph"/>
        <w:numPr>
          <w:ilvl w:val="0"/>
          <w:numId w:val="25"/>
        </w:numPr>
        <w:tabs>
          <w:tab w:pos="2381" w:val="left" w:leader="none"/>
          <w:tab w:pos="2382" w:val="left" w:leader="none"/>
        </w:tabs>
        <w:spacing w:line="240" w:lineRule="auto" w:before="2" w:after="0"/>
        <w:ind w:left="2381" w:right="0" w:hanging="794"/>
        <w:jc w:val="left"/>
        <w:rPr>
          <w:sz w:val="13"/>
        </w:rPr>
      </w:pPr>
      <w:r>
        <w:rPr>
          <w:i/>
          <w:w w:val="105"/>
          <w:sz w:val="13"/>
        </w:rPr>
        <w:t>Wills, Estates and Succession Act</w:t>
      </w:r>
      <w:r>
        <w:rPr>
          <w:w w:val="105"/>
          <w:sz w:val="13"/>
        </w:rPr>
        <w:t>, SBC 2009, c</w:t>
      </w:r>
      <w:r>
        <w:rPr>
          <w:spacing w:val="3"/>
          <w:w w:val="105"/>
          <w:sz w:val="13"/>
        </w:rPr>
        <w:t> </w:t>
      </w:r>
      <w:r>
        <w:rPr>
          <w:spacing w:val="-3"/>
          <w:w w:val="105"/>
          <w:sz w:val="13"/>
        </w:rPr>
        <w:t>13.</w:t>
      </w:r>
    </w:p>
    <w:p>
      <w:pPr>
        <w:pStyle w:val="ListParagraph"/>
        <w:numPr>
          <w:ilvl w:val="0"/>
          <w:numId w:val="25"/>
        </w:numPr>
        <w:tabs>
          <w:tab w:pos="2381" w:val="left" w:leader="none"/>
          <w:tab w:pos="2382" w:val="left" w:leader="none"/>
        </w:tabs>
        <w:spacing w:line="240" w:lineRule="auto" w:before="1" w:after="0"/>
        <w:ind w:left="2381" w:right="0" w:hanging="794"/>
        <w:jc w:val="left"/>
        <w:rPr>
          <w:sz w:val="13"/>
        </w:rPr>
      </w:pPr>
      <w:r>
        <w:rPr/>
        <w:pict>
          <v:shape style="position:absolute;margin-left:36pt;margin-top:3.585863pt;width:13.05pt;height:14.25pt;mso-position-horizontal-relative:page;mso-position-vertical-relative:paragraph;z-index:2416" type="#_x0000_t202" filled="false" stroked="false">
            <v:textbox inset="0,0,0,0">
              <w:txbxContent>
                <w:p>
                  <w:pPr>
                    <w:spacing w:line="284" w:lineRule="exact" w:before="0"/>
                    <w:ind w:left="0" w:right="0" w:firstLine="0"/>
                    <w:jc w:val="left"/>
                    <w:rPr>
                      <w:b/>
                      <w:sz w:val="24"/>
                    </w:rPr>
                  </w:pPr>
                  <w:r>
                    <w:rPr>
                      <w:b/>
                      <w:color w:val="EC5A4F"/>
                      <w:spacing w:val="-4"/>
                      <w:w w:val="110"/>
                      <w:sz w:val="24"/>
                    </w:rPr>
                    <w:t>18</w:t>
                  </w:r>
                </w:p>
              </w:txbxContent>
            </v:textbox>
            <w10:wrap type="none"/>
          </v:shape>
        </w:pict>
      </w:r>
      <w:r>
        <w:rPr>
          <w:w w:val="105"/>
          <w:sz w:val="13"/>
        </w:rPr>
        <w:t>Ministry</w:t>
      </w:r>
      <w:r>
        <w:rPr>
          <w:spacing w:val="4"/>
          <w:w w:val="105"/>
          <w:sz w:val="13"/>
        </w:rPr>
        <w:t> </w:t>
      </w:r>
      <w:r>
        <w:rPr>
          <w:w w:val="105"/>
          <w:sz w:val="13"/>
        </w:rPr>
        <w:t>of</w:t>
      </w:r>
      <w:r>
        <w:rPr>
          <w:spacing w:val="5"/>
          <w:w w:val="105"/>
          <w:sz w:val="13"/>
        </w:rPr>
        <w:t> </w:t>
      </w:r>
      <w:r>
        <w:rPr>
          <w:w w:val="105"/>
          <w:sz w:val="13"/>
        </w:rPr>
        <w:t>Justice</w:t>
      </w:r>
      <w:r>
        <w:rPr>
          <w:spacing w:val="5"/>
          <w:w w:val="105"/>
          <w:sz w:val="13"/>
        </w:rPr>
        <w:t> </w:t>
      </w:r>
      <w:r>
        <w:rPr>
          <w:w w:val="105"/>
          <w:sz w:val="13"/>
        </w:rPr>
        <w:t>(British</w:t>
      </w:r>
      <w:r>
        <w:rPr>
          <w:spacing w:val="5"/>
          <w:w w:val="105"/>
          <w:sz w:val="13"/>
        </w:rPr>
        <w:t> </w:t>
      </w:r>
      <w:r>
        <w:rPr>
          <w:w w:val="105"/>
          <w:sz w:val="13"/>
        </w:rPr>
        <w:t>Columbia),</w:t>
      </w:r>
      <w:r>
        <w:rPr>
          <w:spacing w:val="4"/>
          <w:w w:val="105"/>
          <w:sz w:val="13"/>
        </w:rPr>
        <w:t> </w:t>
      </w:r>
      <w:r>
        <w:rPr>
          <w:w w:val="105"/>
          <w:sz w:val="13"/>
        </w:rPr>
        <w:t>‘Date</w:t>
      </w:r>
      <w:r>
        <w:rPr>
          <w:spacing w:val="5"/>
          <w:w w:val="105"/>
          <w:sz w:val="13"/>
        </w:rPr>
        <w:t> </w:t>
      </w:r>
      <w:r>
        <w:rPr>
          <w:w w:val="105"/>
          <w:sz w:val="13"/>
        </w:rPr>
        <w:t>Set</w:t>
      </w:r>
      <w:r>
        <w:rPr>
          <w:spacing w:val="5"/>
          <w:w w:val="105"/>
          <w:sz w:val="13"/>
        </w:rPr>
        <w:t> </w:t>
      </w:r>
      <w:r>
        <w:rPr>
          <w:w w:val="105"/>
          <w:sz w:val="13"/>
        </w:rPr>
        <w:t>for</w:t>
      </w:r>
      <w:r>
        <w:rPr>
          <w:spacing w:val="5"/>
          <w:w w:val="105"/>
          <w:sz w:val="13"/>
        </w:rPr>
        <w:t> </w:t>
      </w:r>
      <w:r>
        <w:rPr>
          <w:w w:val="105"/>
          <w:sz w:val="13"/>
        </w:rPr>
        <w:t>Modernized</w:t>
      </w:r>
      <w:r>
        <w:rPr>
          <w:spacing w:val="5"/>
          <w:w w:val="105"/>
          <w:sz w:val="13"/>
        </w:rPr>
        <w:t> </w:t>
      </w:r>
      <w:r>
        <w:rPr>
          <w:w w:val="105"/>
          <w:sz w:val="13"/>
        </w:rPr>
        <w:t>Wills</w:t>
      </w:r>
      <w:r>
        <w:rPr>
          <w:spacing w:val="4"/>
          <w:w w:val="105"/>
          <w:sz w:val="13"/>
        </w:rPr>
        <w:t> </w:t>
      </w:r>
      <w:r>
        <w:rPr>
          <w:w w:val="105"/>
          <w:sz w:val="13"/>
        </w:rPr>
        <w:t>and</w:t>
      </w:r>
      <w:r>
        <w:rPr>
          <w:spacing w:val="5"/>
          <w:w w:val="105"/>
          <w:sz w:val="13"/>
        </w:rPr>
        <w:t> </w:t>
      </w:r>
      <w:r>
        <w:rPr>
          <w:w w:val="105"/>
          <w:sz w:val="13"/>
        </w:rPr>
        <w:t>Estate</w:t>
      </w:r>
      <w:r>
        <w:rPr>
          <w:spacing w:val="5"/>
          <w:w w:val="105"/>
          <w:sz w:val="13"/>
        </w:rPr>
        <w:t> </w:t>
      </w:r>
      <w:r>
        <w:rPr>
          <w:w w:val="105"/>
          <w:sz w:val="13"/>
        </w:rPr>
        <w:t>Law’</w:t>
      </w:r>
      <w:r>
        <w:rPr>
          <w:spacing w:val="5"/>
          <w:w w:val="105"/>
          <w:sz w:val="13"/>
        </w:rPr>
        <w:t> </w:t>
      </w:r>
      <w:r>
        <w:rPr>
          <w:spacing w:val="2"/>
          <w:w w:val="105"/>
          <w:sz w:val="13"/>
        </w:rPr>
        <w:t>(Media</w:t>
      </w:r>
      <w:r>
        <w:rPr>
          <w:spacing w:val="5"/>
          <w:w w:val="105"/>
          <w:sz w:val="13"/>
        </w:rPr>
        <w:t> </w:t>
      </w:r>
      <w:r>
        <w:rPr>
          <w:w w:val="105"/>
          <w:sz w:val="13"/>
        </w:rPr>
        <w:t>Release,</w:t>
      </w:r>
      <w:r>
        <w:rPr>
          <w:spacing w:val="4"/>
          <w:w w:val="105"/>
          <w:sz w:val="13"/>
        </w:rPr>
        <w:t> </w:t>
      </w:r>
      <w:r>
        <w:rPr>
          <w:w w:val="105"/>
          <w:sz w:val="13"/>
        </w:rPr>
        <w:t>28</w:t>
      </w:r>
      <w:r>
        <w:rPr>
          <w:spacing w:val="5"/>
          <w:w w:val="105"/>
          <w:sz w:val="13"/>
        </w:rPr>
        <w:t> </w:t>
      </w:r>
      <w:r>
        <w:rPr>
          <w:w w:val="105"/>
          <w:sz w:val="13"/>
        </w:rPr>
        <w:t>March</w:t>
      </w:r>
      <w:r>
        <w:rPr>
          <w:spacing w:val="5"/>
          <w:w w:val="105"/>
          <w:sz w:val="13"/>
        </w:rPr>
        <w:t> </w:t>
      </w:r>
      <w:r>
        <w:rPr>
          <w:w w:val="105"/>
          <w:sz w:val="13"/>
        </w:rPr>
        <w:t>2013).</w:t>
      </w:r>
    </w:p>
    <w:p>
      <w:pPr>
        <w:pStyle w:val="ListParagraph"/>
        <w:numPr>
          <w:ilvl w:val="0"/>
          <w:numId w:val="25"/>
        </w:numPr>
        <w:tabs>
          <w:tab w:pos="2381" w:val="left" w:leader="none"/>
          <w:tab w:pos="2382" w:val="left" w:leader="none"/>
        </w:tabs>
        <w:spacing w:line="240" w:lineRule="auto" w:before="1" w:after="0"/>
        <w:ind w:left="2381" w:right="0" w:hanging="794"/>
        <w:jc w:val="left"/>
        <w:rPr>
          <w:sz w:val="13"/>
        </w:rPr>
      </w:pPr>
      <w:r>
        <w:rPr>
          <w:i/>
          <w:w w:val="105"/>
          <w:sz w:val="13"/>
        </w:rPr>
        <w:t>Wills,</w:t>
      </w:r>
      <w:r>
        <w:rPr>
          <w:i/>
          <w:spacing w:val="3"/>
          <w:w w:val="105"/>
          <w:sz w:val="13"/>
        </w:rPr>
        <w:t> </w:t>
      </w:r>
      <w:r>
        <w:rPr>
          <w:i/>
          <w:w w:val="105"/>
          <w:sz w:val="13"/>
        </w:rPr>
        <w:t>Estates</w:t>
      </w:r>
      <w:r>
        <w:rPr>
          <w:i/>
          <w:spacing w:val="4"/>
          <w:w w:val="105"/>
          <w:sz w:val="13"/>
        </w:rPr>
        <w:t> </w:t>
      </w:r>
      <w:r>
        <w:rPr>
          <w:i/>
          <w:w w:val="105"/>
          <w:sz w:val="13"/>
        </w:rPr>
        <w:t>and</w:t>
      </w:r>
      <w:r>
        <w:rPr>
          <w:i/>
          <w:spacing w:val="4"/>
          <w:w w:val="105"/>
          <w:sz w:val="13"/>
        </w:rPr>
        <w:t> </w:t>
      </w:r>
      <w:r>
        <w:rPr>
          <w:i/>
          <w:w w:val="105"/>
          <w:sz w:val="13"/>
        </w:rPr>
        <w:t>Succession</w:t>
      </w:r>
      <w:r>
        <w:rPr>
          <w:i/>
          <w:spacing w:val="4"/>
          <w:w w:val="105"/>
          <w:sz w:val="13"/>
        </w:rPr>
        <w:t> </w:t>
      </w:r>
      <w:r>
        <w:rPr>
          <w:i/>
          <w:w w:val="105"/>
          <w:sz w:val="13"/>
        </w:rPr>
        <w:t>Act</w:t>
      </w:r>
      <w:r>
        <w:rPr>
          <w:w w:val="105"/>
          <w:sz w:val="13"/>
        </w:rPr>
        <w:t>,</w:t>
      </w:r>
      <w:r>
        <w:rPr>
          <w:spacing w:val="4"/>
          <w:w w:val="105"/>
          <w:sz w:val="13"/>
        </w:rPr>
        <w:t> </w:t>
      </w:r>
      <w:r>
        <w:rPr>
          <w:w w:val="105"/>
          <w:sz w:val="13"/>
        </w:rPr>
        <w:t>SBC</w:t>
      </w:r>
      <w:r>
        <w:rPr>
          <w:spacing w:val="5"/>
          <w:w w:val="105"/>
          <w:sz w:val="13"/>
        </w:rPr>
        <w:t> </w:t>
      </w:r>
      <w:r>
        <w:rPr>
          <w:w w:val="105"/>
          <w:sz w:val="13"/>
        </w:rPr>
        <w:t>2009,</w:t>
      </w:r>
      <w:r>
        <w:rPr>
          <w:spacing w:val="5"/>
          <w:w w:val="105"/>
          <w:sz w:val="13"/>
        </w:rPr>
        <w:t> </w:t>
      </w:r>
      <w:r>
        <w:rPr>
          <w:w w:val="105"/>
          <w:sz w:val="13"/>
        </w:rPr>
        <w:t>c</w:t>
      </w:r>
      <w:r>
        <w:rPr>
          <w:spacing w:val="5"/>
          <w:w w:val="105"/>
          <w:sz w:val="13"/>
        </w:rPr>
        <w:t> </w:t>
      </w:r>
      <w:r>
        <w:rPr>
          <w:spacing w:val="-3"/>
          <w:w w:val="105"/>
          <w:sz w:val="13"/>
        </w:rPr>
        <w:t>13,</w:t>
      </w:r>
      <w:r>
        <w:rPr>
          <w:spacing w:val="5"/>
          <w:w w:val="105"/>
          <w:sz w:val="13"/>
        </w:rPr>
        <w:t> </w:t>
      </w:r>
      <w:r>
        <w:rPr>
          <w:w w:val="105"/>
          <w:sz w:val="13"/>
        </w:rPr>
        <w:t>s</w:t>
      </w:r>
      <w:r>
        <w:rPr>
          <w:spacing w:val="4"/>
          <w:w w:val="105"/>
          <w:sz w:val="13"/>
        </w:rPr>
        <w:t> </w:t>
      </w:r>
      <w:r>
        <w:rPr>
          <w:w w:val="105"/>
          <w:sz w:val="13"/>
        </w:rPr>
        <w:t>52.</w:t>
      </w:r>
    </w:p>
    <w:p>
      <w:pPr>
        <w:spacing w:after="0" w:line="240" w:lineRule="auto"/>
        <w:jc w:val="left"/>
        <w:rPr>
          <w:sz w:val="13"/>
        </w:rPr>
        <w:sectPr>
          <w:pgSz w:w="11910" w:h="16840"/>
          <w:pgMar w:header="550" w:footer="0" w:top="1560" w:bottom="280" w:left="0" w:right="0"/>
        </w:sectPr>
      </w:pPr>
    </w:p>
    <w:p>
      <w:pPr>
        <w:pStyle w:val="BodyText"/>
        <w:rPr>
          <w:sz w:val="20"/>
        </w:rPr>
      </w:pPr>
    </w:p>
    <w:p>
      <w:pPr>
        <w:pStyle w:val="BodyText"/>
        <w:spacing w:before="1"/>
        <w:rPr>
          <w:sz w:val="18"/>
        </w:rPr>
      </w:pPr>
    </w:p>
    <w:p>
      <w:pPr>
        <w:pStyle w:val="Heading5"/>
        <w:spacing w:before="99"/>
      </w:pPr>
      <w:r>
        <w:rPr>
          <w:w w:val="115"/>
        </w:rPr>
        <w:t>Views and conclusions</w:t>
      </w:r>
    </w:p>
    <w:p>
      <w:pPr>
        <w:pStyle w:val="ListParagraph"/>
        <w:numPr>
          <w:ilvl w:val="1"/>
          <w:numId w:val="22"/>
        </w:numPr>
        <w:tabs>
          <w:tab w:pos="2380" w:val="left" w:leader="none"/>
          <w:tab w:pos="2381" w:val="left" w:leader="none"/>
        </w:tabs>
        <w:spacing w:line="242" w:lineRule="auto" w:before="137" w:after="0"/>
        <w:ind w:left="2381" w:right="1876" w:hanging="794"/>
        <w:jc w:val="left"/>
        <w:rPr>
          <w:sz w:val="21"/>
        </w:rPr>
      </w:pPr>
      <w:r>
        <w:rPr>
          <w:w w:val="105"/>
          <w:sz w:val="21"/>
        </w:rPr>
        <w:t>Views expressed in </w:t>
      </w:r>
      <w:r>
        <w:rPr>
          <w:spacing w:val="-3"/>
          <w:w w:val="105"/>
          <w:sz w:val="21"/>
        </w:rPr>
        <w:t>submissions </w:t>
      </w:r>
      <w:r>
        <w:rPr>
          <w:w w:val="105"/>
          <w:sz w:val="21"/>
        </w:rPr>
        <w:t>and </w:t>
      </w:r>
      <w:r>
        <w:rPr>
          <w:spacing w:val="-3"/>
          <w:w w:val="105"/>
          <w:sz w:val="21"/>
        </w:rPr>
        <w:t>consultations were </w:t>
      </w:r>
      <w:r>
        <w:rPr>
          <w:w w:val="105"/>
          <w:sz w:val="21"/>
        </w:rPr>
        <w:t>divided on the question of whether</w:t>
      </w:r>
      <w:r>
        <w:rPr>
          <w:spacing w:val="-8"/>
          <w:w w:val="105"/>
          <w:sz w:val="21"/>
        </w:rPr>
        <w:t> </w:t>
      </w:r>
      <w:r>
        <w:rPr>
          <w:w w:val="105"/>
          <w:sz w:val="21"/>
        </w:rPr>
        <w:t>the</w:t>
      </w:r>
      <w:r>
        <w:rPr>
          <w:spacing w:val="-7"/>
          <w:w w:val="105"/>
          <w:sz w:val="21"/>
        </w:rPr>
        <w:t> </w:t>
      </w:r>
      <w:r>
        <w:rPr>
          <w:w w:val="105"/>
          <w:sz w:val="21"/>
        </w:rPr>
        <w:t>equitable</w:t>
      </w:r>
      <w:r>
        <w:rPr>
          <w:spacing w:val="-8"/>
          <w:w w:val="105"/>
          <w:sz w:val="21"/>
        </w:rPr>
        <w:t> </w:t>
      </w:r>
      <w:r>
        <w:rPr>
          <w:w w:val="105"/>
          <w:sz w:val="21"/>
        </w:rPr>
        <w:t>doctrine</w:t>
      </w:r>
      <w:r>
        <w:rPr>
          <w:spacing w:val="-7"/>
          <w:w w:val="105"/>
          <w:sz w:val="21"/>
        </w:rPr>
        <w:t> </w:t>
      </w:r>
      <w:r>
        <w:rPr>
          <w:w w:val="105"/>
          <w:sz w:val="21"/>
        </w:rPr>
        <w:t>of</w:t>
      </w:r>
      <w:r>
        <w:rPr>
          <w:spacing w:val="-8"/>
          <w:w w:val="105"/>
          <w:sz w:val="21"/>
        </w:rPr>
        <w:t> </w:t>
      </w:r>
      <w:r>
        <w:rPr>
          <w:spacing w:val="-3"/>
          <w:w w:val="105"/>
          <w:sz w:val="21"/>
        </w:rPr>
        <w:t>undue</w:t>
      </w:r>
      <w:r>
        <w:rPr>
          <w:spacing w:val="-7"/>
          <w:w w:val="105"/>
          <w:sz w:val="21"/>
        </w:rPr>
        <w:t> </w:t>
      </w:r>
      <w:r>
        <w:rPr>
          <w:spacing w:val="-3"/>
          <w:w w:val="105"/>
          <w:sz w:val="21"/>
        </w:rPr>
        <w:t>influence</w:t>
      </w:r>
      <w:r>
        <w:rPr>
          <w:spacing w:val="-7"/>
          <w:w w:val="105"/>
          <w:sz w:val="21"/>
        </w:rPr>
        <w:t> </w:t>
      </w:r>
      <w:r>
        <w:rPr>
          <w:w w:val="105"/>
          <w:sz w:val="21"/>
        </w:rPr>
        <w:t>should</w:t>
      </w:r>
      <w:r>
        <w:rPr>
          <w:spacing w:val="-8"/>
          <w:w w:val="105"/>
          <w:sz w:val="21"/>
        </w:rPr>
        <w:t> </w:t>
      </w:r>
      <w:r>
        <w:rPr>
          <w:w w:val="105"/>
          <w:sz w:val="21"/>
        </w:rPr>
        <w:t>be</w:t>
      </w:r>
      <w:r>
        <w:rPr>
          <w:spacing w:val="-7"/>
          <w:w w:val="105"/>
          <w:sz w:val="21"/>
        </w:rPr>
        <w:t> </w:t>
      </w:r>
      <w:r>
        <w:rPr>
          <w:w w:val="105"/>
          <w:sz w:val="21"/>
        </w:rPr>
        <w:t>applied</w:t>
      </w:r>
      <w:r>
        <w:rPr>
          <w:spacing w:val="-8"/>
          <w:w w:val="105"/>
          <w:sz w:val="21"/>
        </w:rPr>
        <w:t> </w:t>
      </w:r>
      <w:r>
        <w:rPr>
          <w:w w:val="105"/>
          <w:sz w:val="21"/>
        </w:rPr>
        <w:t>in</w:t>
      </w:r>
      <w:r>
        <w:rPr>
          <w:spacing w:val="-7"/>
          <w:w w:val="105"/>
          <w:sz w:val="21"/>
        </w:rPr>
        <w:t> </w:t>
      </w:r>
      <w:r>
        <w:rPr>
          <w:spacing w:val="-3"/>
          <w:w w:val="105"/>
          <w:sz w:val="21"/>
        </w:rPr>
        <w:t>probate.</w:t>
      </w:r>
      <w:r>
        <w:rPr>
          <w:spacing w:val="-7"/>
          <w:w w:val="105"/>
          <w:sz w:val="21"/>
        </w:rPr>
        <w:t> </w:t>
      </w:r>
      <w:r>
        <w:rPr>
          <w:w w:val="105"/>
          <w:sz w:val="21"/>
        </w:rPr>
        <w:t>Some saw advantages in </w:t>
      </w:r>
      <w:r>
        <w:rPr>
          <w:spacing w:val="-3"/>
          <w:w w:val="105"/>
          <w:sz w:val="21"/>
        </w:rPr>
        <w:t>such </w:t>
      </w:r>
      <w:r>
        <w:rPr>
          <w:w w:val="105"/>
          <w:sz w:val="21"/>
        </w:rPr>
        <w:t>a </w:t>
      </w:r>
      <w:r>
        <w:rPr>
          <w:spacing w:val="-3"/>
          <w:w w:val="105"/>
          <w:sz w:val="21"/>
        </w:rPr>
        <w:t>change, </w:t>
      </w:r>
      <w:r>
        <w:rPr>
          <w:w w:val="105"/>
          <w:sz w:val="21"/>
        </w:rPr>
        <w:t>while others </w:t>
      </w:r>
      <w:r>
        <w:rPr>
          <w:spacing w:val="-3"/>
          <w:w w:val="105"/>
          <w:sz w:val="21"/>
        </w:rPr>
        <w:t>were concerned that </w:t>
      </w:r>
      <w:r>
        <w:rPr>
          <w:w w:val="105"/>
          <w:sz w:val="21"/>
        </w:rPr>
        <w:t>the equitable doctrine is </w:t>
      </w:r>
      <w:r>
        <w:rPr>
          <w:spacing w:val="-2"/>
          <w:w w:val="105"/>
          <w:sz w:val="21"/>
        </w:rPr>
        <w:t>not </w:t>
      </w:r>
      <w:r>
        <w:rPr>
          <w:spacing w:val="-3"/>
          <w:w w:val="105"/>
          <w:sz w:val="21"/>
        </w:rPr>
        <w:t>appropriate to </w:t>
      </w:r>
      <w:r>
        <w:rPr>
          <w:w w:val="105"/>
          <w:sz w:val="21"/>
        </w:rPr>
        <w:t>the </w:t>
      </w:r>
      <w:r>
        <w:rPr>
          <w:spacing w:val="-3"/>
          <w:w w:val="105"/>
          <w:sz w:val="21"/>
        </w:rPr>
        <w:t>probate</w:t>
      </w:r>
      <w:r>
        <w:rPr>
          <w:spacing w:val="36"/>
          <w:w w:val="105"/>
          <w:sz w:val="21"/>
        </w:rPr>
        <w:t> </w:t>
      </w:r>
      <w:r>
        <w:rPr>
          <w:w w:val="105"/>
          <w:sz w:val="21"/>
        </w:rPr>
        <w:t>context.</w:t>
      </w:r>
    </w:p>
    <w:p>
      <w:pPr>
        <w:pStyle w:val="ListParagraph"/>
        <w:numPr>
          <w:ilvl w:val="1"/>
          <w:numId w:val="22"/>
        </w:numPr>
        <w:tabs>
          <w:tab w:pos="2380" w:val="left" w:leader="none"/>
          <w:tab w:pos="2381" w:val="left" w:leader="none"/>
        </w:tabs>
        <w:spacing w:line="242" w:lineRule="auto" w:before="125" w:after="0"/>
        <w:ind w:left="2381" w:right="1776" w:hanging="794"/>
        <w:jc w:val="left"/>
        <w:rPr>
          <w:sz w:val="21"/>
        </w:rPr>
      </w:pPr>
      <w:r>
        <w:rPr>
          <w:w w:val="105"/>
          <w:sz w:val="21"/>
        </w:rPr>
        <w:t>Those</w:t>
      </w:r>
      <w:r>
        <w:rPr>
          <w:spacing w:val="-6"/>
          <w:w w:val="105"/>
          <w:sz w:val="21"/>
        </w:rPr>
        <w:t> </w:t>
      </w:r>
      <w:r>
        <w:rPr>
          <w:w w:val="105"/>
          <w:sz w:val="21"/>
        </w:rPr>
        <w:t>who</w:t>
      </w:r>
      <w:r>
        <w:rPr>
          <w:spacing w:val="-6"/>
          <w:w w:val="105"/>
          <w:sz w:val="21"/>
        </w:rPr>
        <w:t> </w:t>
      </w:r>
      <w:r>
        <w:rPr>
          <w:w w:val="105"/>
          <w:sz w:val="21"/>
        </w:rPr>
        <w:t>opposed</w:t>
      </w:r>
      <w:r>
        <w:rPr>
          <w:spacing w:val="-6"/>
          <w:w w:val="105"/>
          <w:sz w:val="21"/>
        </w:rPr>
        <w:t> </w:t>
      </w:r>
      <w:r>
        <w:rPr>
          <w:w w:val="105"/>
          <w:sz w:val="21"/>
        </w:rPr>
        <w:t>the</w:t>
      </w:r>
      <w:r>
        <w:rPr>
          <w:spacing w:val="-6"/>
          <w:w w:val="105"/>
          <w:sz w:val="21"/>
        </w:rPr>
        <w:t> </w:t>
      </w:r>
      <w:r>
        <w:rPr>
          <w:w w:val="105"/>
          <w:sz w:val="21"/>
        </w:rPr>
        <w:t>idea</w:t>
      </w:r>
      <w:r>
        <w:rPr>
          <w:spacing w:val="-6"/>
          <w:w w:val="105"/>
          <w:sz w:val="21"/>
        </w:rPr>
        <w:t> </w:t>
      </w:r>
      <w:r>
        <w:rPr>
          <w:spacing w:val="-3"/>
          <w:w w:val="105"/>
          <w:sz w:val="21"/>
        </w:rPr>
        <w:t>drew</w:t>
      </w:r>
      <w:r>
        <w:rPr>
          <w:spacing w:val="-6"/>
          <w:w w:val="105"/>
          <w:sz w:val="21"/>
        </w:rPr>
        <w:t> </w:t>
      </w:r>
      <w:r>
        <w:rPr>
          <w:w w:val="105"/>
          <w:sz w:val="21"/>
        </w:rPr>
        <w:t>attention</w:t>
      </w:r>
      <w:r>
        <w:rPr>
          <w:spacing w:val="-6"/>
          <w:w w:val="105"/>
          <w:sz w:val="21"/>
        </w:rPr>
        <w:t> </w:t>
      </w:r>
      <w:r>
        <w:rPr>
          <w:spacing w:val="-3"/>
          <w:w w:val="105"/>
          <w:sz w:val="21"/>
        </w:rPr>
        <w:t>to</w:t>
      </w:r>
      <w:r>
        <w:rPr>
          <w:spacing w:val="-6"/>
          <w:w w:val="105"/>
          <w:sz w:val="21"/>
        </w:rPr>
        <w:t> </w:t>
      </w:r>
      <w:r>
        <w:rPr>
          <w:w w:val="105"/>
          <w:sz w:val="21"/>
        </w:rPr>
        <w:t>the</w:t>
      </w:r>
      <w:r>
        <w:rPr>
          <w:spacing w:val="-6"/>
          <w:w w:val="105"/>
          <w:sz w:val="21"/>
        </w:rPr>
        <w:t> </w:t>
      </w:r>
      <w:r>
        <w:rPr>
          <w:spacing w:val="-3"/>
          <w:w w:val="105"/>
          <w:sz w:val="21"/>
        </w:rPr>
        <w:t>different</w:t>
      </w:r>
      <w:r>
        <w:rPr>
          <w:spacing w:val="-6"/>
          <w:w w:val="105"/>
          <w:sz w:val="21"/>
        </w:rPr>
        <w:t> </w:t>
      </w:r>
      <w:r>
        <w:rPr>
          <w:w w:val="105"/>
          <w:sz w:val="21"/>
        </w:rPr>
        <w:t>contexts</w:t>
      </w:r>
      <w:r>
        <w:rPr>
          <w:spacing w:val="-6"/>
          <w:w w:val="105"/>
          <w:sz w:val="21"/>
        </w:rPr>
        <w:t> </w:t>
      </w:r>
      <w:r>
        <w:rPr>
          <w:w w:val="105"/>
          <w:sz w:val="21"/>
        </w:rPr>
        <w:t>in</w:t>
      </w:r>
      <w:r>
        <w:rPr>
          <w:spacing w:val="-6"/>
          <w:w w:val="105"/>
          <w:sz w:val="21"/>
        </w:rPr>
        <w:t> </w:t>
      </w:r>
      <w:r>
        <w:rPr>
          <w:w w:val="105"/>
          <w:sz w:val="21"/>
        </w:rPr>
        <w:t>which</w:t>
      </w:r>
      <w:r>
        <w:rPr>
          <w:spacing w:val="-6"/>
          <w:w w:val="105"/>
          <w:sz w:val="21"/>
        </w:rPr>
        <w:t> </w:t>
      </w:r>
      <w:r>
        <w:rPr>
          <w:w w:val="105"/>
          <w:sz w:val="21"/>
        </w:rPr>
        <w:t>a</w:t>
      </w:r>
      <w:r>
        <w:rPr>
          <w:spacing w:val="-6"/>
          <w:w w:val="105"/>
          <w:sz w:val="21"/>
        </w:rPr>
        <w:t> </w:t>
      </w:r>
      <w:r>
        <w:rPr>
          <w:w w:val="105"/>
          <w:sz w:val="21"/>
        </w:rPr>
        <w:t>person gives a gift </w:t>
      </w:r>
      <w:r>
        <w:rPr>
          <w:spacing w:val="-3"/>
          <w:w w:val="105"/>
          <w:sz w:val="21"/>
        </w:rPr>
        <w:t>during </w:t>
      </w:r>
      <w:r>
        <w:rPr>
          <w:w w:val="105"/>
          <w:sz w:val="21"/>
        </w:rPr>
        <w:t>their </w:t>
      </w:r>
      <w:r>
        <w:rPr>
          <w:spacing w:val="-3"/>
          <w:w w:val="105"/>
          <w:sz w:val="21"/>
        </w:rPr>
        <w:t>lifetime </w:t>
      </w:r>
      <w:r>
        <w:rPr>
          <w:w w:val="105"/>
          <w:sz w:val="21"/>
        </w:rPr>
        <w:t>and </w:t>
      </w:r>
      <w:r>
        <w:rPr>
          <w:spacing w:val="-3"/>
          <w:w w:val="105"/>
          <w:sz w:val="21"/>
        </w:rPr>
        <w:t>makes </w:t>
      </w:r>
      <w:r>
        <w:rPr>
          <w:w w:val="105"/>
          <w:sz w:val="21"/>
        </w:rPr>
        <w:t>a </w:t>
      </w:r>
      <w:r>
        <w:rPr>
          <w:spacing w:val="-3"/>
          <w:w w:val="105"/>
          <w:sz w:val="21"/>
        </w:rPr>
        <w:t>will that leaves </w:t>
      </w:r>
      <w:r>
        <w:rPr>
          <w:w w:val="105"/>
          <w:sz w:val="21"/>
        </w:rPr>
        <w:t>a gift after they</w:t>
      </w:r>
      <w:r>
        <w:rPr>
          <w:spacing w:val="30"/>
          <w:w w:val="105"/>
          <w:sz w:val="21"/>
        </w:rPr>
        <w:t> </w:t>
      </w:r>
      <w:r>
        <w:rPr>
          <w:w w:val="105"/>
          <w:sz w:val="21"/>
        </w:rPr>
        <w:t>die:</w:t>
      </w:r>
    </w:p>
    <w:p>
      <w:pPr>
        <w:pStyle w:val="ListParagraph"/>
        <w:numPr>
          <w:ilvl w:val="2"/>
          <w:numId w:val="22"/>
        </w:numPr>
        <w:tabs>
          <w:tab w:pos="2721" w:val="left" w:leader="none"/>
          <w:tab w:pos="2722" w:val="left" w:leader="none"/>
        </w:tabs>
        <w:spacing w:line="242" w:lineRule="auto" w:before="122" w:after="0"/>
        <w:ind w:left="2721" w:right="1609" w:hanging="340"/>
        <w:jc w:val="left"/>
        <w:rPr>
          <w:sz w:val="12"/>
        </w:rPr>
      </w:pPr>
      <w:r>
        <w:rPr>
          <w:sz w:val="21"/>
        </w:rPr>
        <w:t>A </w:t>
      </w:r>
      <w:r>
        <w:rPr>
          <w:spacing w:val="-3"/>
          <w:sz w:val="21"/>
        </w:rPr>
        <w:t>presumption </w:t>
      </w:r>
      <w:r>
        <w:rPr>
          <w:sz w:val="21"/>
        </w:rPr>
        <w:t>of </w:t>
      </w:r>
      <w:r>
        <w:rPr>
          <w:spacing w:val="-3"/>
          <w:sz w:val="21"/>
        </w:rPr>
        <w:t>influence  </w:t>
      </w:r>
      <w:r>
        <w:rPr>
          <w:sz w:val="21"/>
        </w:rPr>
        <w:t>is less </w:t>
      </w:r>
      <w:r>
        <w:rPr>
          <w:spacing w:val="-3"/>
          <w:sz w:val="21"/>
        </w:rPr>
        <w:t>relevant</w:t>
      </w:r>
      <w:r>
        <w:rPr>
          <w:spacing w:val="41"/>
          <w:sz w:val="21"/>
        </w:rPr>
        <w:t> </w:t>
      </w:r>
      <w:r>
        <w:rPr>
          <w:spacing w:val="-3"/>
          <w:sz w:val="21"/>
        </w:rPr>
        <w:t>to  </w:t>
      </w:r>
      <w:r>
        <w:rPr>
          <w:sz w:val="21"/>
        </w:rPr>
        <w:t>a gift in a </w:t>
      </w:r>
      <w:r>
        <w:rPr>
          <w:spacing w:val="-3"/>
          <w:sz w:val="21"/>
        </w:rPr>
        <w:t>will,  </w:t>
      </w:r>
      <w:r>
        <w:rPr>
          <w:sz w:val="21"/>
        </w:rPr>
        <w:t>as a person must </w:t>
      </w:r>
      <w:r>
        <w:rPr>
          <w:spacing w:val="-3"/>
          <w:sz w:val="21"/>
        </w:rPr>
        <w:t>leave  </w:t>
      </w:r>
      <w:r>
        <w:rPr>
          <w:sz w:val="21"/>
        </w:rPr>
        <w:t>their property </w:t>
      </w:r>
      <w:r>
        <w:rPr>
          <w:spacing w:val="-3"/>
          <w:sz w:val="21"/>
        </w:rPr>
        <w:t>to </w:t>
      </w:r>
      <w:r>
        <w:rPr>
          <w:sz w:val="21"/>
        </w:rPr>
        <w:t>someone at the end of their </w:t>
      </w:r>
      <w:r>
        <w:rPr>
          <w:spacing w:val="-4"/>
          <w:sz w:val="21"/>
        </w:rPr>
        <w:t>life. </w:t>
      </w:r>
      <w:r>
        <w:rPr>
          <w:sz w:val="21"/>
        </w:rPr>
        <w:t>In </w:t>
      </w:r>
      <w:r>
        <w:rPr>
          <w:spacing w:val="-3"/>
          <w:sz w:val="21"/>
        </w:rPr>
        <w:t>contrast, </w:t>
      </w:r>
      <w:r>
        <w:rPr>
          <w:sz w:val="21"/>
        </w:rPr>
        <w:t>there is </w:t>
      </w:r>
      <w:r>
        <w:rPr>
          <w:spacing w:val="-3"/>
          <w:sz w:val="21"/>
        </w:rPr>
        <w:t>usually </w:t>
      </w:r>
      <w:r>
        <w:rPr>
          <w:sz w:val="21"/>
        </w:rPr>
        <w:t>no </w:t>
      </w:r>
      <w:r>
        <w:rPr>
          <w:spacing w:val="-3"/>
          <w:sz w:val="21"/>
        </w:rPr>
        <w:t>clear </w:t>
      </w:r>
      <w:r>
        <w:rPr>
          <w:sz w:val="21"/>
        </w:rPr>
        <w:t>benefit or reason </w:t>
      </w:r>
      <w:r>
        <w:rPr>
          <w:spacing w:val="-3"/>
          <w:sz w:val="21"/>
        </w:rPr>
        <w:t>to </w:t>
      </w:r>
      <w:r>
        <w:rPr>
          <w:sz w:val="21"/>
        </w:rPr>
        <w:t>give </w:t>
      </w:r>
      <w:r>
        <w:rPr>
          <w:spacing w:val="-3"/>
          <w:sz w:val="21"/>
        </w:rPr>
        <w:t>away </w:t>
      </w:r>
      <w:r>
        <w:rPr>
          <w:sz w:val="21"/>
        </w:rPr>
        <w:t>assets </w:t>
      </w:r>
      <w:r>
        <w:rPr>
          <w:spacing w:val="-3"/>
          <w:sz w:val="21"/>
        </w:rPr>
        <w:t>during </w:t>
      </w:r>
      <w:r>
        <w:rPr>
          <w:sz w:val="21"/>
        </w:rPr>
        <w:t>a </w:t>
      </w:r>
      <w:r>
        <w:rPr>
          <w:spacing w:val="-3"/>
          <w:sz w:val="21"/>
        </w:rPr>
        <w:t>person’s lifetime  </w:t>
      </w:r>
      <w:r>
        <w:rPr>
          <w:sz w:val="21"/>
        </w:rPr>
        <w:t>where the person </w:t>
      </w:r>
      <w:r>
        <w:rPr>
          <w:spacing w:val="-3"/>
          <w:sz w:val="21"/>
        </w:rPr>
        <w:t>may</w:t>
      </w:r>
      <w:r>
        <w:rPr>
          <w:spacing w:val="41"/>
          <w:sz w:val="21"/>
        </w:rPr>
        <w:t> </w:t>
      </w:r>
      <w:r>
        <w:rPr>
          <w:sz w:val="21"/>
        </w:rPr>
        <w:t>be left in need as a</w:t>
      </w:r>
      <w:r>
        <w:rPr>
          <w:spacing w:val="4"/>
          <w:sz w:val="21"/>
        </w:rPr>
        <w:t> </w:t>
      </w:r>
      <w:r>
        <w:rPr>
          <w:spacing w:val="-5"/>
          <w:sz w:val="21"/>
        </w:rPr>
        <w:t>result.</w:t>
      </w:r>
      <w:r>
        <w:rPr>
          <w:spacing w:val="-5"/>
          <w:position w:val="7"/>
          <w:sz w:val="12"/>
        </w:rPr>
        <w:t>129</w:t>
      </w:r>
    </w:p>
    <w:p>
      <w:pPr>
        <w:pStyle w:val="ListParagraph"/>
        <w:numPr>
          <w:ilvl w:val="2"/>
          <w:numId w:val="22"/>
        </w:numPr>
        <w:tabs>
          <w:tab w:pos="2721" w:val="left" w:leader="none"/>
          <w:tab w:pos="2722" w:val="left" w:leader="none"/>
        </w:tabs>
        <w:spacing w:line="242" w:lineRule="auto" w:before="124" w:after="0"/>
        <w:ind w:left="2721" w:right="1589" w:hanging="340"/>
        <w:jc w:val="left"/>
        <w:rPr>
          <w:sz w:val="12"/>
        </w:rPr>
      </w:pPr>
      <w:r>
        <w:rPr>
          <w:sz w:val="21"/>
        </w:rPr>
        <w:t>Beneficiaries </w:t>
      </w:r>
      <w:r>
        <w:rPr>
          <w:spacing w:val="-3"/>
          <w:sz w:val="21"/>
        </w:rPr>
        <w:t>will </w:t>
      </w:r>
      <w:r>
        <w:rPr>
          <w:sz w:val="21"/>
        </w:rPr>
        <w:t>often </w:t>
      </w:r>
      <w:r>
        <w:rPr>
          <w:spacing w:val="-3"/>
          <w:sz w:val="21"/>
        </w:rPr>
        <w:t>legitimately have influence </w:t>
      </w:r>
      <w:r>
        <w:rPr>
          <w:sz w:val="21"/>
        </w:rPr>
        <w:t>over a </w:t>
      </w:r>
      <w:r>
        <w:rPr>
          <w:spacing w:val="-4"/>
          <w:sz w:val="21"/>
        </w:rPr>
        <w:t>will-maker, </w:t>
      </w:r>
      <w:r>
        <w:rPr>
          <w:sz w:val="21"/>
        </w:rPr>
        <w:t>particularly if they </w:t>
      </w:r>
      <w:r>
        <w:rPr>
          <w:spacing w:val="-3"/>
          <w:sz w:val="21"/>
        </w:rPr>
        <w:t>are caring for </w:t>
      </w:r>
      <w:r>
        <w:rPr>
          <w:sz w:val="21"/>
        </w:rPr>
        <w:t>them in the last years of their </w:t>
      </w:r>
      <w:r>
        <w:rPr>
          <w:spacing w:val="-4"/>
          <w:sz w:val="21"/>
        </w:rPr>
        <w:t>life. </w:t>
      </w:r>
      <w:r>
        <w:rPr>
          <w:sz w:val="21"/>
        </w:rPr>
        <w:t>A </w:t>
      </w:r>
      <w:r>
        <w:rPr>
          <w:spacing w:val="-3"/>
          <w:sz w:val="21"/>
        </w:rPr>
        <w:t>presumption  </w:t>
      </w:r>
      <w:r>
        <w:rPr>
          <w:sz w:val="21"/>
        </w:rPr>
        <w:t>of  </w:t>
      </w:r>
      <w:r>
        <w:rPr>
          <w:spacing w:val="-3"/>
          <w:sz w:val="21"/>
        </w:rPr>
        <w:t>undue  influence arising </w:t>
      </w:r>
      <w:r>
        <w:rPr>
          <w:sz w:val="21"/>
        </w:rPr>
        <w:t>out of these </w:t>
      </w:r>
      <w:r>
        <w:rPr>
          <w:spacing w:val="-3"/>
          <w:sz w:val="21"/>
        </w:rPr>
        <w:t>relationships may disturb legitimate </w:t>
      </w:r>
      <w:r>
        <w:rPr>
          <w:sz w:val="21"/>
        </w:rPr>
        <w:t>gifts and </w:t>
      </w:r>
      <w:r>
        <w:rPr>
          <w:spacing w:val="-3"/>
          <w:sz w:val="21"/>
        </w:rPr>
        <w:t>interfere </w:t>
      </w:r>
      <w:r>
        <w:rPr>
          <w:sz w:val="21"/>
        </w:rPr>
        <w:t>with testamentary</w:t>
      </w:r>
      <w:r>
        <w:rPr>
          <w:spacing w:val="8"/>
          <w:sz w:val="21"/>
        </w:rPr>
        <w:t> </w:t>
      </w:r>
      <w:r>
        <w:rPr>
          <w:spacing w:val="-4"/>
          <w:sz w:val="21"/>
        </w:rPr>
        <w:t>freedom.</w:t>
      </w:r>
      <w:r>
        <w:rPr>
          <w:spacing w:val="-4"/>
          <w:position w:val="7"/>
          <w:sz w:val="12"/>
        </w:rPr>
        <w:t>130</w:t>
      </w:r>
    </w:p>
    <w:p>
      <w:pPr>
        <w:pStyle w:val="ListParagraph"/>
        <w:numPr>
          <w:ilvl w:val="2"/>
          <w:numId w:val="22"/>
        </w:numPr>
        <w:tabs>
          <w:tab w:pos="2721" w:val="left" w:leader="none"/>
          <w:tab w:pos="2722" w:val="left" w:leader="none"/>
        </w:tabs>
        <w:spacing w:line="242" w:lineRule="auto" w:before="125" w:after="0"/>
        <w:ind w:left="2721" w:right="1586" w:hanging="340"/>
        <w:jc w:val="left"/>
        <w:rPr>
          <w:sz w:val="12"/>
        </w:rPr>
      </w:pPr>
      <w:r>
        <w:rPr>
          <w:w w:val="105"/>
          <w:sz w:val="21"/>
        </w:rPr>
        <w:t>In</w:t>
      </w:r>
      <w:r>
        <w:rPr>
          <w:spacing w:val="-9"/>
          <w:w w:val="105"/>
          <w:sz w:val="21"/>
        </w:rPr>
        <w:t> </w:t>
      </w:r>
      <w:r>
        <w:rPr>
          <w:w w:val="105"/>
          <w:sz w:val="21"/>
        </w:rPr>
        <w:t>the</w:t>
      </w:r>
      <w:r>
        <w:rPr>
          <w:spacing w:val="-9"/>
          <w:w w:val="105"/>
          <w:sz w:val="21"/>
        </w:rPr>
        <w:t> </w:t>
      </w:r>
      <w:r>
        <w:rPr>
          <w:w w:val="105"/>
          <w:sz w:val="21"/>
        </w:rPr>
        <w:t>case</w:t>
      </w:r>
      <w:r>
        <w:rPr>
          <w:spacing w:val="-9"/>
          <w:w w:val="105"/>
          <w:sz w:val="21"/>
        </w:rPr>
        <w:t> </w:t>
      </w:r>
      <w:r>
        <w:rPr>
          <w:w w:val="105"/>
          <w:sz w:val="21"/>
        </w:rPr>
        <w:t>of</w:t>
      </w:r>
      <w:r>
        <w:rPr>
          <w:spacing w:val="-9"/>
          <w:w w:val="105"/>
          <w:sz w:val="21"/>
        </w:rPr>
        <w:t> </w:t>
      </w:r>
      <w:r>
        <w:rPr>
          <w:w w:val="105"/>
          <w:sz w:val="21"/>
        </w:rPr>
        <w:t>a</w:t>
      </w:r>
      <w:r>
        <w:rPr>
          <w:spacing w:val="-9"/>
          <w:w w:val="105"/>
          <w:sz w:val="21"/>
        </w:rPr>
        <w:t> </w:t>
      </w:r>
      <w:r>
        <w:rPr>
          <w:spacing w:val="-3"/>
          <w:w w:val="105"/>
          <w:sz w:val="21"/>
        </w:rPr>
        <w:t>lifetime</w:t>
      </w:r>
      <w:r>
        <w:rPr>
          <w:spacing w:val="-9"/>
          <w:w w:val="105"/>
          <w:sz w:val="21"/>
        </w:rPr>
        <w:t> </w:t>
      </w:r>
      <w:r>
        <w:rPr>
          <w:w w:val="105"/>
          <w:sz w:val="21"/>
        </w:rPr>
        <w:t>transaction,</w:t>
      </w:r>
      <w:r>
        <w:rPr>
          <w:spacing w:val="-9"/>
          <w:w w:val="105"/>
          <w:sz w:val="21"/>
        </w:rPr>
        <w:t> </w:t>
      </w:r>
      <w:r>
        <w:rPr>
          <w:w w:val="105"/>
          <w:sz w:val="21"/>
        </w:rPr>
        <w:t>the</w:t>
      </w:r>
      <w:r>
        <w:rPr>
          <w:spacing w:val="-9"/>
          <w:w w:val="105"/>
          <w:sz w:val="21"/>
        </w:rPr>
        <w:t> </w:t>
      </w:r>
      <w:r>
        <w:rPr>
          <w:spacing w:val="-4"/>
          <w:w w:val="105"/>
          <w:sz w:val="21"/>
        </w:rPr>
        <w:t>weaker</w:t>
      </w:r>
      <w:r>
        <w:rPr>
          <w:spacing w:val="-9"/>
          <w:w w:val="105"/>
          <w:sz w:val="21"/>
        </w:rPr>
        <w:t> </w:t>
      </w:r>
      <w:r>
        <w:rPr>
          <w:w w:val="105"/>
          <w:sz w:val="21"/>
        </w:rPr>
        <w:t>party</w:t>
      </w:r>
      <w:r>
        <w:rPr>
          <w:spacing w:val="-9"/>
          <w:w w:val="105"/>
          <w:sz w:val="21"/>
        </w:rPr>
        <w:t> </w:t>
      </w:r>
      <w:r>
        <w:rPr>
          <w:w w:val="105"/>
          <w:sz w:val="21"/>
        </w:rPr>
        <w:t>can</w:t>
      </w:r>
      <w:r>
        <w:rPr>
          <w:spacing w:val="-9"/>
          <w:w w:val="105"/>
          <w:sz w:val="21"/>
        </w:rPr>
        <w:t> </w:t>
      </w:r>
      <w:r>
        <w:rPr>
          <w:spacing w:val="-3"/>
          <w:w w:val="105"/>
          <w:sz w:val="21"/>
        </w:rPr>
        <w:t>usually</w:t>
      </w:r>
      <w:r>
        <w:rPr>
          <w:spacing w:val="-9"/>
          <w:w w:val="105"/>
          <w:sz w:val="21"/>
        </w:rPr>
        <w:t> </w:t>
      </w:r>
      <w:r>
        <w:rPr>
          <w:w w:val="105"/>
          <w:sz w:val="21"/>
        </w:rPr>
        <w:t>speak</w:t>
      </w:r>
      <w:r>
        <w:rPr>
          <w:spacing w:val="-9"/>
          <w:w w:val="105"/>
          <w:sz w:val="21"/>
        </w:rPr>
        <w:t> </w:t>
      </w:r>
      <w:r>
        <w:rPr>
          <w:spacing w:val="-3"/>
          <w:w w:val="105"/>
          <w:sz w:val="21"/>
        </w:rPr>
        <w:t>for</w:t>
      </w:r>
      <w:r>
        <w:rPr>
          <w:spacing w:val="-9"/>
          <w:w w:val="105"/>
          <w:sz w:val="21"/>
        </w:rPr>
        <w:t> </w:t>
      </w:r>
      <w:r>
        <w:rPr>
          <w:w w:val="105"/>
          <w:sz w:val="21"/>
        </w:rPr>
        <w:t>themselves </w:t>
      </w:r>
      <w:r>
        <w:rPr>
          <w:spacing w:val="-3"/>
          <w:w w:val="105"/>
          <w:sz w:val="21"/>
        </w:rPr>
        <w:t>regarding </w:t>
      </w:r>
      <w:r>
        <w:rPr>
          <w:w w:val="105"/>
          <w:sz w:val="21"/>
        </w:rPr>
        <w:t>the </w:t>
      </w:r>
      <w:r>
        <w:rPr>
          <w:spacing w:val="-3"/>
          <w:w w:val="105"/>
          <w:sz w:val="21"/>
        </w:rPr>
        <w:t>pressure that </w:t>
      </w:r>
      <w:r>
        <w:rPr>
          <w:w w:val="105"/>
          <w:sz w:val="21"/>
        </w:rPr>
        <w:t>was </w:t>
      </w:r>
      <w:r>
        <w:rPr>
          <w:spacing w:val="-2"/>
          <w:w w:val="105"/>
          <w:sz w:val="21"/>
        </w:rPr>
        <w:t>placed </w:t>
      </w:r>
      <w:r>
        <w:rPr>
          <w:w w:val="105"/>
          <w:sz w:val="21"/>
        </w:rPr>
        <w:t>on them </w:t>
      </w:r>
      <w:r>
        <w:rPr>
          <w:spacing w:val="-3"/>
          <w:w w:val="105"/>
          <w:sz w:val="21"/>
        </w:rPr>
        <w:t>to enter </w:t>
      </w:r>
      <w:r>
        <w:rPr>
          <w:spacing w:val="-4"/>
          <w:w w:val="105"/>
          <w:sz w:val="21"/>
        </w:rPr>
        <w:t>into </w:t>
      </w:r>
      <w:r>
        <w:rPr>
          <w:w w:val="105"/>
          <w:sz w:val="21"/>
        </w:rPr>
        <w:t>a transaction. The will- </w:t>
      </w:r>
      <w:r>
        <w:rPr>
          <w:spacing w:val="-4"/>
          <w:w w:val="105"/>
          <w:sz w:val="21"/>
        </w:rPr>
        <w:t>maker </w:t>
      </w:r>
      <w:r>
        <w:rPr>
          <w:spacing w:val="-3"/>
          <w:w w:val="105"/>
          <w:sz w:val="21"/>
        </w:rPr>
        <w:t>will </w:t>
      </w:r>
      <w:r>
        <w:rPr>
          <w:spacing w:val="-2"/>
          <w:w w:val="105"/>
          <w:sz w:val="21"/>
        </w:rPr>
        <w:t>not </w:t>
      </w:r>
      <w:r>
        <w:rPr>
          <w:w w:val="105"/>
          <w:sz w:val="21"/>
        </w:rPr>
        <w:t>be able </w:t>
      </w:r>
      <w:r>
        <w:rPr>
          <w:spacing w:val="-3"/>
          <w:w w:val="105"/>
          <w:sz w:val="21"/>
        </w:rPr>
        <w:t>to </w:t>
      </w:r>
      <w:r>
        <w:rPr>
          <w:w w:val="105"/>
          <w:sz w:val="21"/>
        </w:rPr>
        <w:t>provide evidence of their </w:t>
      </w:r>
      <w:r>
        <w:rPr>
          <w:spacing w:val="-3"/>
          <w:w w:val="105"/>
          <w:sz w:val="21"/>
        </w:rPr>
        <w:t>intention </w:t>
      </w:r>
      <w:r>
        <w:rPr>
          <w:w w:val="105"/>
          <w:sz w:val="21"/>
        </w:rPr>
        <w:t>or motivation by </w:t>
      </w:r>
      <w:r>
        <w:rPr>
          <w:spacing w:val="-3"/>
          <w:w w:val="105"/>
          <w:sz w:val="21"/>
        </w:rPr>
        <w:t>way </w:t>
      </w:r>
      <w:r>
        <w:rPr>
          <w:w w:val="105"/>
          <w:sz w:val="21"/>
        </w:rPr>
        <w:t>of rebuttal of the</w:t>
      </w:r>
      <w:r>
        <w:rPr>
          <w:spacing w:val="15"/>
          <w:w w:val="105"/>
          <w:sz w:val="21"/>
        </w:rPr>
        <w:t> </w:t>
      </w:r>
      <w:r>
        <w:rPr>
          <w:spacing w:val="-4"/>
          <w:w w:val="105"/>
          <w:sz w:val="21"/>
        </w:rPr>
        <w:t>presumption.</w:t>
      </w:r>
      <w:r>
        <w:rPr>
          <w:spacing w:val="-4"/>
          <w:w w:val="105"/>
          <w:position w:val="7"/>
          <w:sz w:val="12"/>
        </w:rPr>
        <w:t>131</w:t>
      </w:r>
    </w:p>
    <w:p>
      <w:pPr>
        <w:pStyle w:val="ListParagraph"/>
        <w:numPr>
          <w:ilvl w:val="2"/>
          <w:numId w:val="22"/>
        </w:numPr>
        <w:tabs>
          <w:tab w:pos="2721" w:val="left" w:leader="none"/>
          <w:tab w:pos="2722" w:val="left" w:leader="none"/>
        </w:tabs>
        <w:spacing w:line="242" w:lineRule="auto" w:before="124" w:after="0"/>
        <w:ind w:left="2721" w:right="1634" w:hanging="340"/>
        <w:jc w:val="left"/>
        <w:rPr>
          <w:sz w:val="12"/>
        </w:rPr>
      </w:pPr>
      <w:r>
        <w:rPr>
          <w:sz w:val="21"/>
        </w:rPr>
        <w:t>The equitable doctrine does </w:t>
      </w:r>
      <w:r>
        <w:rPr>
          <w:spacing w:val="-2"/>
          <w:sz w:val="21"/>
        </w:rPr>
        <w:t>not </w:t>
      </w:r>
      <w:r>
        <w:rPr>
          <w:spacing w:val="-3"/>
          <w:sz w:val="21"/>
        </w:rPr>
        <w:t>focus </w:t>
      </w:r>
      <w:r>
        <w:rPr>
          <w:sz w:val="21"/>
        </w:rPr>
        <w:t>on improper </w:t>
      </w:r>
      <w:r>
        <w:rPr>
          <w:spacing w:val="-3"/>
          <w:sz w:val="21"/>
        </w:rPr>
        <w:t>influence, </w:t>
      </w:r>
      <w:r>
        <w:rPr>
          <w:sz w:val="21"/>
        </w:rPr>
        <w:t>but looks </w:t>
      </w:r>
      <w:r>
        <w:rPr>
          <w:spacing w:val="-3"/>
          <w:sz w:val="21"/>
        </w:rPr>
        <w:t>instead to </w:t>
      </w:r>
      <w:r>
        <w:rPr>
          <w:sz w:val="21"/>
        </w:rPr>
        <w:t>the </w:t>
      </w:r>
      <w:r>
        <w:rPr>
          <w:spacing w:val="-3"/>
          <w:sz w:val="21"/>
        </w:rPr>
        <w:t>conscience  </w:t>
      </w:r>
      <w:r>
        <w:rPr>
          <w:sz w:val="21"/>
        </w:rPr>
        <w:t>of the stronger party. A carer </w:t>
      </w:r>
      <w:r>
        <w:rPr>
          <w:spacing w:val="-3"/>
          <w:sz w:val="21"/>
        </w:rPr>
        <w:t>may</w:t>
      </w:r>
      <w:r>
        <w:rPr>
          <w:spacing w:val="41"/>
          <w:sz w:val="21"/>
        </w:rPr>
        <w:t> </w:t>
      </w:r>
      <w:r>
        <w:rPr>
          <w:spacing w:val="-3"/>
          <w:sz w:val="21"/>
        </w:rPr>
        <w:t>exercise  influence  </w:t>
      </w:r>
      <w:r>
        <w:rPr>
          <w:sz w:val="21"/>
        </w:rPr>
        <w:t>over the </w:t>
      </w:r>
      <w:r>
        <w:rPr>
          <w:spacing w:val="-3"/>
          <w:sz w:val="21"/>
        </w:rPr>
        <w:t>will-maker    to have </w:t>
      </w:r>
      <w:r>
        <w:rPr>
          <w:sz w:val="21"/>
        </w:rPr>
        <w:t>a </w:t>
      </w:r>
      <w:r>
        <w:rPr>
          <w:spacing w:val="-3"/>
          <w:sz w:val="21"/>
        </w:rPr>
        <w:t>will </w:t>
      </w:r>
      <w:r>
        <w:rPr>
          <w:sz w:val="21"/>
        </w:rPr>
        <w:t>made but </w:t>
      </w:r>
      <w:r>
        <w:rPr>
          <w:spacing w:val="-2"/>
          <w:sz w:val="21"/>
        </w:rPr>
        <w:t>not </w:t>
      </w:r>
      <w:r>
        <w:rPr>
          <w:spacing w:val="-3"/>
          <w:sz w:val="21"/>
        </w:rPr>
        <w:t>to have </w:t>
      </w:r>
      <w:r>
        <w:rPr>
          <w:sz w:val="21"/>
        </w:rPr>
        <w:t>the </w:t>
      </w:r>
      <w:r>
        <w:rPr>
          <w:spacing w:val="-3"/>
          <w:sz w:val="21"/>
        </w:rPr>
        <w:t>will include </w:t>
      </w:r>
      <w:r>
        <w:rPr>
          <w:sz w:val="21"/>
        </w:rPr>
        <w:t>particular </w:t>
      </w:r>
      <w:r>
        <w:rPr>
          <w:spacing w:val="-3"/>
          <w:sz w:val="21"/>
        </w:rPr>
        <w:t>provisions. </w:t>
      </w:r>
      <w:r>
        <w:rPr>
          <w:sz w:val="21"/>
        </w:rPr>
        <w:t>This is </w:t>
      </w:r>
      <w:r>
        <w:rPr>
          <w:spacing w:val="-2"/>
          <w:sz w:val="21"/>
        </w:rPr>
        <w:t>not </w:t>
      </w:r>
      <w:r>
        <w:rPr>
          <w:sz w:val="21"/>
        </w:rPr>
        <w:t>improper</w:t>
      </w:r>
      <w:r>
        <w:rPr>
          <w:spacing w:val="13"/>
          <w:sz w:val="21"/>
        </w:rPr>
        <w:t> </w:t>
      </w:r>
      <w:r>
        <w:rPr>
          <w:sz w:val="21"/>
        </w:rPr>
        <w:t>but</w:t>
      </w:r>
      <w:r>
        <w:rPr>
          <w:spacing w:val="13"/>
          <w:sz w:val="21"/>
        </w:rPr>
        <w:t> </w:t>
      </w:r>
      <w:r>
        <w:rPr>
          <w:spacing w:val="-3"/>
          <w:sz w:val="21"/>
        </w:rPr>
        <w:t>may</w:t>
      </w:r>
      <w:r>
        <w:rPr>
          <w:spacing w:val="13"/>
          <w:sz w:val="21"/>
        </w:rPr>
        <w:t> </w:t>
      </w:r>
      <w:r>
        <w:rPr>
          <w:spacing w:val="-3"/>
          <w:sz w:val="21"/>
        </w:rPr>
        <w:t>raise</w:t>
      </w:r>
      <w:r>
        <w:rPr>
          <w:spacing w:val="13"/>
          <w:sz w:val="21"/>
        </w:rPr>
        <w:t> </w:t>
      </w:r>
      <w:r>
        <w:rPr>
          <w:sz w:val="21"/>
        </w:rPr>
        <w:t>a</w:t>
      </w:r>
      <w:r>
        <w:rPr>
          <w:spacing w:val="13"/>
          <w:sz w:val="21"/>
        </w:rPr>
        <w:t> </w:t>
      </w:r>
      <w:r>
        <w:rPr>
          <w:spacing w:val="-3"/>
          <w:sz w:val="21"/>
        </w:rPr>
        <w:t>presumption</w:t>
      </w:r>
      <w:r>
        <w:rPr>
          <w:spacing w:val="13"/>
          <w:sz w:val="21"/>
        </w:rPr>
        <w:t> </w:t>
      </w:r>
      <w:r>
        <w:rPr>
          <w:sz w:val="21"/>
        </w:rPr>
        <w:t>of</w:t>
      </w:r>
      <w:r>
        <w:rPr>
          <w:spacing w:val="13"/>
          <w:sz w:val="21"/>
        </w:rPr>
        <w:t> </w:t>
      </w:r>
      <w:r>
        <w:rPr>
          <w:spacing w:val="-3"/>
          <w:sz w:val="21"/>
        </w:rPr>
        <w:t>undue</w:t>
      </w:r>
      <w:r>
        <w:rPr>
          <w:spacing w:val="13"/>
          <w:sz w:val="21"/>
        </w:rPr>
        <w:t> </w:t>
      </w:r>
      <w:r>
        <w:rPr>
          <w:spacing w:val="-3"/>
          <w:sz w:val="21"/>
        </w:rPr>
        <w:t>influence</w:t>
      </w:r>
      <w:r>
        <w:rPr>
          <w:spacing w:val="13"/>
          <w:sz w:val="21"/>
        </w:rPr>
        <w:t> </w:t>
      </w:r>
      <w:r>
        <w:rPr>
          <w:sz w:val="21"/>
        </w:rPr>
        <w:t>in</w:t>
      </w:r>
      <w:r>
        <w:rPr>
          <w:spacing w:val="13"/>
          <w:sz w:val="21"/>
        </w:rPr>
        <w:t> </w:t>
      </w:r>
      <w:r>
        <w:rPr>
          <w:spacing w:val="-5"/>
          <w:sz w:val="21"/>
        </w:rPr>
        <w:t>equity.</w:t>
      </w:r>
      <w:r>
        <w:rPr>
          <w:spacing w:val="-5"/>
          <w:position w:val="7"/>
          <w:sz w:val="12"/>
        </w:rPr>
        <w:t>132</w:t>
      </w:r>
    </w:p>
    <w:p>
      <w:pPr>
        <w:pStyle w:val="ListParagraph"/>
        <w:numPr>
          <w:ilvl w:val="2"/>
          <w:numId w:val="22"/>
        </w:numPr>
        <w:tabs>
          <w:tab w:pos="2721" w:val="left" w:leader="none"/>
          <w:tab w:pos="2722" w:val="left" w:leader="none"/>
        </w:tabs>
        <w:spacing w:line="242" w:lineRule="auto" w:before="125" w:after="0"/>
        <w:ind w:left="2721" w:right="1774" w:hanging="340"/>
        <w:jc w:val="left"/>
        <w:rPr>
          <w:sz w:val="12"/>
        </w:rPr>
      </w:pPr>
      <w:r>
        <w:rPr>
          <w:spacing w:val="-2"/>
          <w:w w:val="105"/>
          <w:sz w:val="21"/>
        </w:rPr>
        <w:t>Recent </w:t>
      </w:r>
      <w:r>
        <w:rPr>
          <w:w w:val="105"/>
          <w:sz w:val="21"/>
        </w:rPr>
        <w:t>decisions suggest </w:t>
      </w:r>
      <w:r>
        <w:rPr>
          <w:spacing w:val="-3"/>
          <w:w w:val="105"/>
          <w:sz w:val="21"/>
        </w:rPr>
        <w:t>that probate undue influence </w:t>
      </w:r>
      <w:r>
        <w:rPr>
          <w:w w:val="105"/>
          <w:sz w:val="21"/>
        </w:rPr>
        <w:t>is no longer so difficult </w:t>
      </w:r>
      <w:r>
        <w:rPr>
          <w:spacing w:val="-3"/>
          <w:w w:val="105"/>
          <w:sz w:val="21"/>
        </w:rPr>
        <w:t>to prove</w:t>
      </w:r>
      <w:r>
        <w:rPr>
          <w:spacing w:val="-7"/>
          <w:w w:val="105"/>
          <w:sz w:val="21"/>
        </w:rPr>
        <w:t> </w:t>
      </w:r>
      <w:r>
        <w:rPr>
          <w:w w:val="105"/>
          <w:sz w:val="21"/>
        </w:rPr>
        <w:t>and</w:t>
      </w:r>
      <w:r>
        <w:rPr>
          <w:spacing w:val="-7"/>
          <w:w w:val="105"/>
          <w:sz w:val="21"/>
        </w:rPr>
        <w:t> </w:t>
      </w:r>
      <w:r>
        <w:rPr>
          <w:spacing w:val="-3"/>
          <w:w w:val="105"/>
          <w:sz w:val="21"/>
        </w:rPr>
        <w:t>that</w:t>
      </w:r>
      <w:r>
        <w:rPr>
          <w:spacing w:val="-7"/>
          <w:w w:val="105"/>
          <w:sz w:val="21"/>
        </w:rPr>
        <w:t> </w:t>
      </w:r>
      <w:r>
        <w:rPr>
          <w:w w:val="105"/>
          <w:sz w:val="21"/>
        </w:rPr>
        <w:t>the</w:t>
      </w:r>
      <w:r>
        <w:rPr>
          <w:spacing w:val="-7"/>
          <w:w w:val="105"/>
          <w:sz w:val="21"/>
        </w:rPr>
        <w:t> </w:t>
      </w:r>
      <w:r>
        <w:rPr>
          <w:spacing w:val="-2"/>
          <w:w w:val="105"/>
          <w:sz w:val="21"/>
        </w:rPr>
        <w:t>common</w:t>
      </w:r>
      <w:r>
        <w:rPr>
          <w:spacing w:val="-7"/>
          <w:w w:val="105"/>
          <w:sz w:val="21"/>
        </w:rPr>
        <w:t> </w:t>
      </w:r>
      <w:r>
        <w:rPr>
          <w:w w:val="105"/>
          <w:sz w:val="21"/>
        </w:rPr>
        <w:t>law</w:t>
      </w:r>
      <w:r>
        <w:rPr>
          <w:spacing w:val="-7"/>
          <w:w w:val="105"/>
          <w:sz w:val="21"/>
        </w:rPr>
        <w:t> </w:t>
      </w:r>
      <w:r>
        <w:rPr>
          <w:w w:val="105"/>
          <w:sz w:val="21"/>
        </w:rPr>
        <w:t>is</w:t>
      </w:r>
      <w:r>
        <w:rPr>
          <w:spacing w:val="-7"/>
          <w:w w:val="105"/>
          <w:sz w:val="21"/>
        </w:rPr>
        <w:t> </w:t>
      </w:r>
      <w:r>
        <w:rPr>
          <w:spacing w:val="-3"/>
          <w:w w:val="105"/>
          <w:sz w:val="21"/>
        </w:rPr>
        <w:t>already</w:t>
      </w:r>
      <w:r>
        <w:rPr>
          <w:spacing w:val="-7"/>
          <w:w w:val="105"/>
          <w:sz w:val="21"/>
        </w:rPr>
        <w:t> </w:t>
      </w:r>
      <w:r>
        <w:rPr>
          <w:spacing w:val="-3"/>
          <w:w w:val="105"/>
          <w:sz w:val="21"/>
        </w:rPr>
        <w:t>providing</w:t>
      </w:r>
      <w:r>
        <w:rPr>
          <w:spacing w:val="-7"/>
          <w:w w:val="105"/>
          <w:sz w:val="21"/>
        </w:rPr>
        <w:t> </w:t>
      </w:r>
      <w:r>
        <w:rPr>
          <w:w w:val="105"/>
          <w:sz w:val="21"/>
        </w:rPr>
        <w:t>better</w:t>
      </w:r>
      <w:r>
        <w:rPr>
          <w:spacing w:val="-7"/>
          <w:w w:val="105"/>
          <w:sz w:val="21"/>
        </w:rPr>
        <w:t> </w:t>
      </w:r>
      <w:r>
        <w:rPr>
          <w:w w:val="105"/>
          <w:sz w:val="21"/>
        </w:rPr>
        <w:t>protection</w:t>
      </w:r>
      <w:r>
        <w:rPr>
          <w:spacing w:val="-7"/>
          <w:w w:val="105"/>
          <w:sz w:val="21"/>
        </w:rPr>
        <w:t> </w:t>
      </w:r>
      <w:r>
        <w:rPr>
          <w:spacing w:val="-3"/>
          <w:w w:val="105"/>
          <w:sz w:val="21"/>
        </w:rPr>
        <w:t>for</w:t>
      </w:r>
      <w:r>
        <w:rPr>
          <w:spacing w:val="-7"/>
          <w:w w:val="105"/>
          <w:sz w:val="21"/>
        </w:rPr>
        <w:t> </w:t>
      </w:r>
      <w:r>
        <w:rPr>
          <w:spacing w:val="-3"/>
          <w:w w:val="105"/>
          <w:sz w:val="21"/>
        </w:rPr>
        <w:t>vulnerable </w:t>
      </w:r>
      <w:r>
        <w:rPr>
          <w:spacing w:val="-4"/>
          <w:w w:val="105"/>
          <w:sz w:val="21"/>
        </w:rPr>
        <w:t>will-makers.</w:t>
      </w:r>
      <w:r>
        <w:rPr>
          <w:spacing w:val="-4"/>
          <w:w w:val="105"/>
          <w:position w:val="7"/>
          <w:sz w:val="12"/>
        </w:rPr>
        <w:t>133</w:t>
      </w:r>
    </w:p>
    <w:p>
      <w:pPr>
        <w:pStyle w:val="ListParagraph"/>
        <w:numPr>
          <w:ilvl w:val="1"/>
          <w:numId w:val="22"/>
        </w:numPr>
        <w:tabs>
          <w:tab w:pos="2380" w:val="left" w:leader="none"/>
          <w:tab w:pos="2381" w:val="left" w:leader="none"/>
        </w:tabs>
        <w:spacing w:line="242" w:lineRule="auto" w:before="123" w:after="0"/>
        <w:ind w:left="2381" w:right="2224" w:hanging="794"/>
        <w:jc w:val="left"/>
        <w:rPr>
          <w:sz w:val="21"/>
        </w:rPr>
      </w:pPr>
      <w:r>
        <w:rPr>
          <w:w w:val="105"/>
          <w:sz w:val="21"/>
        </w:rPr>
        <w:t>Others</w:t>
      </w:r>
      <w:r>
        <w:rPr>
          <w:spacing w:val="-9"/>
          <w:w w:val="105"/>
          <w:sz w:val="21"/>
        </w:rPr>
        <w:t> </w:t>
      </w:r>
      <w:r>
        <w:rPr>
          <w:spacing w:val="-3"/>
          <w:w w:val="105"/>
          <w:sz w:val="21"/>
        </w:rPr>
        <w:t>noted</w:t>
      </w:r>
      <w:r>
        <w:rPr>
          <w:spacing w:val="-9"/>
          <w:w w:val="105"/>
          <w:sz w:val="21"/>
        </w:rPr>
        <w:t> </w:t>
      </w:r>
      <w:r>
        <w:rPr>
          <w:spacing w:val="-3"/>
          <w:w w:val="105"/>
          <w:sz w:val="21"/>
        </w:rPr>
        <w:t>that</w:t>
      </w:r>
      <w:r>
        <w:rPr>
          <w:spacing w:val="-9"/>
          <w:w w:val="105"/>
          <w:sz w:val="21"/>
        </w:rPr>
        <w:t> </w:t>
      </w:r>
      <w:r>
        <w:rPr>
          <w:w w:val="105"/>
          <w:sz w:val="21"/>
        </w:rPr>
        <w:t>there</w:t>
      </w:r>
      <w:r>
        <w:rPr>
          <w:spacing w:val="-8"/>
          <w:w w:val="105"/>
          <w:sz w:val="21"/>
        </w:rPr>
        <w:t> </w:t>
      </w:r>
      <w:r>
        <w:rPr>
          <w:w w:val="105"/>
          <w:sz w:val="21"/>
        </w:rPr>
        <w:t>would</w:t>
      </w:r>
      <w:r>
        <w:rPr>
          <w:spacing w:val="-9"/>
          <w:w w:val="105"/>
          <w:sz w:val="21"/>
        </w:rPr>
        <w:t> </w:t>
      </w:r>
      <w:r>
        <w:rPr>
          <w:w w:val="105"/>
          <w:sz w:val="21"/>
        </w:rPr>
        <w:t>be</w:t>
      </w:r>
      <w:r>
        <w:rPr>
          <w:spacing w:val="-9"/>
          <w:w w:val="105"/>
          <w:sz w:val="21"/>
        </w:rPr>
        <w:t> </w:t>
      </w:r>
      <w:r>
        <w:rPr>
          <w:w w:val="105"/>
          <w:sz w:val="21"/>
        </w:rPr>
        <w:t>advantages</w:t>
      </w:r>
      <w:r>
        <w:rPr>
          <w:spacing w:val="-8"/>
          <w:w w:val="105"/>
          <w:sz w:val="21"/>
        </w:rPr>
        <w:t> </w:t>
      </w:r>
      <w:r>
        <w:rPr>
          <w:w w:val="105"/>
          <w:sz w:val="21"/>
        </w:rPr>
        <w:t>in</w:t>
      </w:r>
      <w:r>
        <w:rPr>
          <w:spacing w:val="-9"/>
          <w:w w:val="105"/>
          <w:sz w:val="21"/>
        </w:rPr>
        <w:t> </w:t>
      </w:r>
      <w:r>
        <w:rPr>
          <w:w w:val="105"/>
          <w:sz w:val="21"/>
        </w:rPr>
        <w:t>applying</w:t>
      </w:r>
      <w:r>
        <w:rPr>
          <w:spacing w:val="-9"/>
          <w:w w:val="105"/>
          <w:sz w:val="21"/>
        </w:rPr>
        <w:t> </w:t>
      </w:r>
      <w:r>
        <w:rPr>
          <w:w w:val="105"/>
          <w:sz w:val="21"/>
        </w:rPr>
        <w:t>the</w:t>
      </w:r>
      <w:r>
        <w:rPr>
          <w:spacing w:val="-8"/>
          <w:w w:val="105"/>
          <w:sz w:val="21"/>
        </w:rPr>
        <w:t> </w:t>
      </w:r>
      <w:r>
        <w:rPr>
          <w:w w:val="105"/>
          <w:sz w:val="21"/>
        </w:rPr>
        <w:t>equitable</w:t>
      </w:r>
      <w:r>
        <w:rPr>
          <w:spacing w:val="-9"/>
          <w:w w:val="105"/>
          <w:sz w:val="21"/>
        </w:rPr>
        <w:t> </w:t>
      </w:r>
      <w:r>
        <w:rPr>
          <w:w w:val="105"/>
          <w:sz w:val="21"/>
        </w:rPr>
        <w:t>doctrine</w:t>
      </w:r>
      <w:r>
        <w:rPr>
          <w:spacing w:val="-9"/>
          <w:w w:val="105"/>
          <w:sz w:val="21"/>
        </w:rPr>
        <w:t> </w:t>
      </w:r>
      <w:r>
        <w:rPr>
          <w:spacing w:val="-3"/>
          <w:w w:val="105"/>
          <w:sz w:val="21"/>
        </w:rPr>
        <w:t>to </w:t>
      </w:r>
      <w:r>
        <w:rPr>
          <w:w w:val="105"/>
          <w:sz w:val="21"/>
        </w:rPr>
        <w:t>probate:</w:t>
      </w:r>
    </w:p>
    <w:p>
      <w:pPr>
        <w:pStyle w:val="ListParagraph"/>
        <w:numPr>
          <w:ilvl w:val="2"/>
          <w:numId w:val="22"/>
        </w:numPr>
        <w:tabs>
          <w:tab w:pos="2721" w:val="left" w:leader="none"/>
          <w:tab w:pos="2722" w:val="left" w:leader="none"/>
        </w:tabs>
        <w:spacing w:line="242" w:lineRule="auto" w:before="122" w:after="0"/>
        <w:ind w:left="2721" w:right="1663" w:hanging="340"/>
        <w:jc w:val="left"/>
        <w:rPr>
          <w:sz w:val="12"/>
        </w:rPr>
      </w:pPr>
      <w:r>
        <w:rPr>
          <w:w w:val="105"/>
          <w:sz w:val="21"/>
        </w:rPr>
        <w:t>It would </w:t>
      </w:r>
      <w:r>
        <w:rPr>
          <w:spacing w:val="-3"/>
          <w:w w:val="105"/>
          <w:sz w:val="21"/>
        </w:rPr>
        <w:t>allow for greater scrutiny </w:t>
      </w:r>
      <w:r>
        <w:rPr>
          <w:w w:val="105"/>
          <w:sz w:val="21"/>
        </w:rPr>
        <w:t>of </w:t>
      </w:r>
      <w:r>
        <w:rPr>
          <w:spacing w:val="-3"/>
          <w:w w:val="105"/>
          <w:sz w:val="21"/>
        </w:rPr>
        <w:t>wills </w:t>
      </w:r>
      <w:r>
        <w:rPr>
          <w:w w:val="105"/>
          <w:sz w:val="21"/>
        </w:rPr>
        <w:t>and </w:t>
      </w:r>
      <w:r>
        <w:rPr>
          <w:spacing w:val="-3"/>
          <w:w w:val="105"/>
          <w:sz w:val="21"/>
        </w:rPr>
        <w:t>may </w:t>
      </w:r>
      <w:r>
        <w:rPr>
          <w:w w:val="105"/>
          <w:sz w:val="21"/>
        </w:rPr>
        <w:t>deter </w:t>
      </w:r>
      <w:r>
        <w:rPr>
          <w:spacing w:val="-3"/>
          <w:w w:val="105"/>
          <w:sz w:val="21"/>
        </w:rPr>
        <w:t>undue influence, </w:t>
      </w:r>
      <w:r>
        <w:rPr>
          <w:w w:val="105"/>
          <w:sz w:val="21"/>
        </w:rPr>
        <w:t>as it would be </w:t>
      </w:r>
      <w:r>
        <w:rPr>
          <w:spacing w:val="-2"/>
          <w:w w:val="105"/>
          <w:sz w:val="21"/>
        </w:rPr>
        <w:t>easier </w:t>
      </w:r>
      <w:r>
        <w:rPr>
          <w:spacing w:val="-3"/>
          <w:w w:val="105"/>
          <w:sz w:val="21"/>
        </w:rPr>
        <w:t>to</w:t>
      </w:r>
      <w:r>
        <w:rPr>
          <w:spacing w:val="17"/>
          <w:w w:val="105"/>
          <w:sz w:val="21"/>
        </w:rPr>
        <w:t> </w:t>
      </w:r>
      <w:r>
        <w:rPr>
          <w:spacing w:val="-5"/>
          <w:w w:val="105"/>
          <w:sz w:val="21"/>
        </w:rPr>
        <w:t>prove.</w:t>
      </w:r>
      <w:r>
        <w:rPr>
          <w:spacing w:val="-5"/>
          <w:w w:val="105"/>
          <w:position w:val="7"/>
          <w:sz w:val="12"/>
        </w:rPr>
        <w:t>134</w:t>
      </w:r>
    </w:p>
    <w:p>
      <w:pPr>
        <w:pStyle w:val="ListParagraph"/>
        <w:numPr>
          <w:ilvl w:val="2"/>
          <w:numId w:val="22"/>
        </w:numPr>
        <w:tabs>
          <w:tab w:pos="2721" w:val="left" w:leader="none"/>
          <w:tab w:pos="2722" w:val="left" w:leader="none"/>
        </w:tabs>
        <w:spacing w:line="240" w:lineRule="auto" w:before="122" w:after="0"/>
        <w:ind w:left="2721" w:right="0" w:hanging="340"/>
        <w:jc w:val="left"/>
        <w:rPr>
          <w:sz w:val="12"/>
        </w:rPr>
      </w:pPr>
      <w:r>
        <w:rPr>
          <w:w w:val="105"/>
          <w:sz w:val="21"/>
        </w:rPr>
        <w:t>It would </w:t>
      </w:r>
      <w:r>
        <w:rPr>
          <w:spacing w:val="-3"/>
          <w:w w:val="105"/>
          <w:sz w:val="21"/>
        </w:rPr>
        <w:t>encourage </w:t>
      </w:r>
      <w:r>
        <w:rPr>
          <w:w w:val="105"/>
          <w:sz w:val="21"/>
        </w:rPr>
        <w:t>the use of independent advisors in the </w:t>
      </w:r>
      <w:r>
        <w:rPr>
          <w:spacing w:val="-3"/>
          <w:w w:val="105"/>
          <w:sz w:val="21"/>
        </w:rPr>
        <w:t>making </w:t>
      </w:r>
      <w:r>
        <w:rPr>
          <w:w w:val="105"/>
          <w:sz w:val="21"/>
        </w:rPr>
        <w:t>of </w:t>
      </w:r>
      <w:r>
        <w:rPr>
          <w:spacing w:val="-5"/>
          <w:w w:val="105"/>
          <w:sz w:val="21"/>
        </w:rPr>
        <w:t>wills.</w:t>
      </w:r>
      <w:r>
        <w:rPr>
          <w:spacing w:val="-5"/>
          <w:w w:val="105"/>
          <w:position w:val="7"/>
          <w:sz w:val="12"/>
        </w:rPr>
        <w:t>135</w:t>
      </w:r>
    </w:p>
    <w:p>
      <w:pPr>
        <w:pStyle w:val="ListParagraph"/>
        <w:numPr>
          <w:ilvl w:val="2"/>
          <w:numId w:val="22"/>
        </w:numPr>
        <w:tabs>
          <w:tab w:pos="2721" w:val="left" w:leader="none"/>
          <w:tab w:pos="2722" w:val="left" w:leader="none"/>
        </w:tabs>
        <w:spacing w:line="242" w:lineRule="auto" w:before="124" w:after="0"/>
        <w:ind w:left="2721" w:right="1947" w:hanging="340"/>
        <w:jc w:val="left"/>
        <w:rPr>
          <w:sz w:val="12"/>
        </w:rPr>
      </w:pPr>
      <w:r>
        <w:rPr>
          <w:sz w:val="21"/>
        </w:rPr>
        <w:t>It would </w:t>
      </w:r>
      <w:r>
        <w:rPr>
          <w:spacing w:val="-3"/>
          <w:sz w:val="21"/>
        </w:rPr>
        <w:t>promote </w:t>
      </w:r>
      <w:r>
        <w:rPr>
          <w:sz w:val="21"/>
        </w:rPr>
        <w:t>consistency in the </w:t>
      </w:r>
      <w:r>
        <w:rPr>
          <w:spacing w:val="-5"/>
          <w:sz w:val="21"/>
        </w:rPr>
        <w:t>law, </w:t>
      </w:r>
      <w:r>
        <w:rPr>
          <w:sz w:val="21"/>
        </w:rPr>
        <w:t>particularly where property is given </w:t>
      </w:r>
      <w:r>
        <w:rPr>
          <w:spacing w:val="-3"/>
          <w:sz w:val="21"/>
        </w:rPr>
        <w:t>away </w:t>
      </w:r>
      <w:r>
        <w:rPr>
          <w:sz w:val="21"/>
        </w:rPr>
        <w:t>close </w:t>
      </w:r>
      <w:r>
        <w:rPr>
          <w:spacing w:val="-3"/>
          <w:sz w:val="21"/>
        </w:rPr>
        <w:t>to</w:t>
      </w:r>
      <w:r>
        <w:rPr>
          <w:spacing w:val="17"/>
          <w:sz w:val="21"/>
        </w:rPr>
        <w:t> </w:t>
      </w:r>
      <w:r>
        <w:rPr>
          <w:spacing w:val="-5"/>
          <w:sz w:val="21"/>
        </w:rPr>
        <w:t>death.</w:t>
      </w:r>
      <w:r>
        <w:rPr>
          <w:spacing w:val="-5"/>
          <w:position w:val="7"/>
          <w:sz w:val="12"/>
        </w:rPr>
        <w:t>136</w:t>
      </w:r>
    </w:p>
    <w:p>
      <w:pPr>
        <w:pStyle w:val="ListParagraph"/>
        <w:numPr>
          <w:ilvl w:val="2"/>
          <w:numId w:val="22"/>
        </w:numPr>
        <w:tabs>
          <w:tab w:pos="2721" w:val="left" w:leader="none"/>
          <w:tab w:pos="2722" w:val="left" w:leader="none"/>
        </w:tabs>
        <w:spacing w:line="242" w:lineRule="auto" w:before="122" w:after="0"/>
        <w:ind w:left="2721" w:right="1869" w:hanging="340"/>
        <w:jc w:val="left"/>
        <w:rPr>
          <w:sz w:val="12"/>
        </w:rPr>
      </w:pPr>
      <w:r>
        <w:rPr>
          <w:w w:val="105"/>
          <w:sz w:val="21"/>
        </w:rPr>
        <w:t>It</w:t>
      </w:r>
      <w:r>
        <w:rPr>
          <w:spacing w:val="-5"/>
          <w:w w:val="105"/>
          <w:sz w:val="21"/>
        </w:rPr>
        <w:t> </w:t>
      </w:r>
      <w:r>
        <w:rPr>
          <w:w w:val="105"/>
          <w:sz w:val="21"/>
        </w:rPr>
        <w:t>would</w:t>
      </w:r>
      <w:r>
        <w:rPr>
          <w:spacing w:val="-4"/>
          <w:w w:val="105"/>
          <w:sz w:val="21"/>
        </w:rPr>
        <w:t> </w:t>
      </w:r>
      <w:r>
        <w:rPr>
          <w:spacing w:val="-3"/>
          <w:w w:val="105"/>
          <w:sz w:val="21"/>
        </w:rPr>
        <w:t>align</w:t>
      </w:r>
      <w:r>
        <w:rPr>
          <w:spacing w:val="-4"/>
          <w:w w:val="105"/>
          <w:sz w:val="21"/>
        </w:rPr>
        <w:t> </w:t>
      </w:r>
      <w:r>
        <w:rPr>
          <w:w w:val="105"/>
          <w:sz w:val="21"/>
        </w:rPr>
        <w:t>with</w:t>
      </w:r>
      <w:r>
        <w:rPr>
          <w:spacing w:val="-5"/>
          <w:w w:val="105"/>
          <w:sz w:val="21"/>
        </w:rPr>
        <w:t> </w:t>
      </w:r>
      <w:r>
        <w:rPr>
          <w:w w:val="105"/>
          <w:sz w:val="21"/>
        </w:rPr>
        <w:t>the</w:t>
      </w:r>
      <w:r>
        <w:rPr>
          <w:spacing w:val="-4"/>
          <w:w w:val="105"/>
          <w:sz w:val="21"/>
        </w:rPr>
        <w:t> </w:t>
      </w:r>
      <w:r>
        <w:rPr>
          <w:spacing w:val="-3"/>
          <w:w w:val="105"/>
          <w:sz w:val="21"/>
        </w:rPr>
        <w:t>separate</w:t>
      </w:r>
      <w:r>
        <w:rPr>
          <w:spacing w:val="-4"/>
          <w:w w:val="105"/>
          <w:sz w:val="21"/>
        </w:rPr>
        <w:t> </w:t>
      </w:r>
      <w:r>
        <w:rPr>
          <w:w w:val="105"/>
          <w:sz w:val="21"/>
        </w:rPr>
        <w:t>but</w:t>
      </w:r>
      <w:r>
        <w:rPr>
          <w:spacing w:val="-5"/>
          <w:w w:val="105"/>
          <w:sz w:val="21"/>
        </w:rPr>
        <w:t> </w:t>
      </w:r>
      <w:r>
        <w:rPr>
          <w:w w:val="105"/>
          <w:sz w:val="21"/>
        </w:rPr>
        <w:t>associated</w:t>
      </w:r>
      <w:r>
        <w:rPr>
          <w:spacing w:val="-4"/>
          <w:w w:val="105"/>
          <w:sz w:val="21"/>
        </w:rPr>
        <w:t> </w:t>
      </w:r>
      <w:r>
        <w:rPr>
          <w:w w:val="105"/>
          <w:sz w:val="21"/>
        </w:rPr>
        <w:t>doctrine</w:t>
      </w:r>
      <w:r>
        <w:rPr>
          <w:spacing w:val="-4"/>
          <w:w w:val="105"/>
          <w:sz w:val="21"/>
        </w:rPr>
        <w:t> </w:t>
      </w:r>
      <w:r>
        <w:rPr>
          <w:w w:val="105"/>
          <w:sz w:val="21"/>
        </w:rPr>
        <w:t>of</w:t>
      </w:r>
      <w:r>
        <w:rPr>
          <w:spacing w:val="-5"/>
          <w:w w:val="105"/>
          <w:sz w:val="21"/>
        </w:rPr>
        <w:t> </w:t>
      </w:r>
      <w:r>
        <w:rPr>
          <w:spacing w:val="-3"/>
          <w:w w:val="105"/>
          <w:sz w:val="21"/>
        </w:rPr>
        <w:t>unconscionable</w:t>
      </w:r>
      <w:r>
        <w:rPr>
          <w:spacing w:val="-4"/>
          <w:w w:val="105"/>
          <w:sz w:val="21"/>
        </w:rPr>
        <w:t> </w:t>
      </w:r>
      <w:r>
        <w:rPr>
          <w:spacing w:val="-3"/>
          <w:w w:val="105"/>
          <w:sz w:val="21"/>
        </w:rPr>
        <w:t>dealing, </w:t>
      </w:r>
      <w:r>
        <w:rPr>
          <w:w w:val="105"/>
          <w:sz w:val="21"/>
        </w:rPr>
        <w:t>which </w:t>
      </w:r>
      <w:r>
        <w:rPr>
          <w:spacing w:val="-3"/>
          <w:w w:val="105"/>
          <w:sz w:val="21"/>
        </w:rPr>
        <w:t>arguably </w:t>
      </w:r>
      <w:r>
        <w:rPr>
          <w:w w:val="105"/>
          <w:sz w:val="21"/>
        </w:rPr>
        <w:t>applies in the </w:t>
      </w:r>
      <w:r>
        <w:rPr>
          <w:spacing w:val="-3"/>
          <w:w w:val="105"/>
          <w:sz w:val="21"/>
        </w:rPr>
        <w:t>probate</w:t>
      </w:r>
      <w:r>
        <w:rPr>
          <w:spacing w:val="31"/>
          <w:w w:val="105"/>
          <w:sz w:val="21"/>
        </w:rPr>
        <w:t> </w:t>
      </w:r>
      <w:r>
        <w:rPr>
          <w:spacing w:val="-4"/>
          <w:w w:val="105"/>
          <w:sz w:val="21"/>
        </w:rPr>
        <w:t>context.</w:t>
      </w:r>
      <w:r>
        <w:rPr>
          <w:spacing w:val="-4"/>
          <w:w w:val="105"/>
          <w:position w:val="7"/>
          <w:sz w:val="12"/>
        </w:rPr>
        <w:t>137</w:t>
      </w:r>
    </w:p>
    <w:p>
      <w:pPr>
        <w:pStyle w:val="BodyText"/>
        <w:rPr>
          <w:sz w:val="20"/>
        </w:rPr>
      </w:pPr>
    </w:p>
    <w:p>
      <w:pPr>
        <w:pStyle w:val="BodyText"/>
        <w:rPr>
          <w:sz w:val="20"/>
        </w:rPr>
      </w:pPr>
    </w:p>
    <w:p>
      <w:pPr>
        <w:pStyle w:val="BodyText"/>
        <w:rPr>
          <w:sz w:val="20"/>
        </w:rPr>
      </w:pPr>
    </w:p>
    <w:p>
      <w:pPr>
        <w:pStyle w:val="BodyText"/>
        <w:spacing w:before="2"/>
        <w:rPr>
          <w:sz w:val="23"/>
        </w:rPr>
      </w:pPr>
      <w:r>
        <w:rPr/>
        <w:pict>
          <v:line style="position:absolute;mso-position-horizontal-relative:page;mso-position-vertical-relative:paragraph;z-index:392;mso-wrap-distance-left:0;mso-wrap-distance-right:0" from="79.370102pt,16.595558pt" to="515.905102pt,16.595558pt" stroked="true" strokeweight="1pt" strokecolor="#f9ceca">
            <v:stroke dashstyle="solid"/>
            <w10:wrap type="topAndBottom"/>
          </v:line>
        </w:pict>
      </w:r>
    </w:p>
    <w:p>
      <w:pPr>
        <w:pStyle w:val="ListParagraph"/>
        <w:numPr>
          <w:ilvl w:val="0"/>
          <w:numId w:val="25"/>
        </w:numPr>
        <w:tabs>
          <w:tab w:pos="2381" w:val="left" w:leader="none"/>
          <w:tab w:pos="2382" w:val="left" w:leader="none"/>
        </w:tabs>
        <w:spacing w:line="240" w:lineRule="auto" w:before="117" w:after="0"/>
        <w:ind w:left="2381" w:right="1591" w:hanging="794"/>
        <w:jc w:val="left"/>
        <w:rPr>
          <w:sz w:val="13"/>
        </w:rPr>
      </w:pPr>
      <w:r>
        <w:rPr>
          <w:w w:val="105"/>
          <w:sz w:val="13"/>
        </w:rPr>
        <w:t>Consultation 1 (Wills roundtable). Submissions 35 (Andrew Verspaandonk); 39 (Carolyn Sparke SC). See also Tyson, above n 122, 10; Burns, ‘Elders and Testamentary Undue Influence’, above n 78,</w:t>
      </w:r>
      <w:r>
        <w:rPr>
          <w:spacing w:val="5"/>
          <w:w w:val="105"/>
          <w:sz w:val="13"/>
        </w:rPr>
        <w:t> </w:t>
      </w:r>
      <w:r>
        <w:rPr>
          <w:w w:val="105"/>
          <w:sz w:val="13"/>
        </w:rPr>
        <w:t>153.</w:t>
      </w:r>
    </w:p>
    <w:p>
      <w:pPr>
        <w:pStyle w:val="ListParagraph"/>
        <w:numPr>
          <w:ilvl w:val="0"/>
          <w:numId w:val="25"/>
        </w:numPr>
        <w:tabs>
          <w:tab w:pos="2381" w:val="left" w:leader="none"/>
          <w:tab w:pos="2382" w:val="left" w:leader="none"/>
        </w:tabs>
        <w:spacing w:line="240" w:lineRule="auto" w:before="3" w:after="0"/>
        <w:ind w:left="2381" w:right="1605" w:hanging="794"/>
        <w:jc w:val="left"/>
        <w:rPr>
          <w:sz w:val="13"/>
        </w:rPr>
      </w:pPr>
      <w:r>
        <w:rPr>
          <w:w w:val="105"/>
          <w:sz w:val="13"/>
        </w:rPr>
        <w:t>Advisory Committee (Meeting </w:t>
      </w:r>
      <w:r>
        <w:rPr>
          <w:spacing w:val="2"/>
          <w:w w:val="105"/>
          <w:sz w:val="13"/>
        </w:rPr>
        <w:t>2). </w:t>
      </w:r>
      <w:r>
        <w:rPr>
          <w:w w:val="105"/>
          <w:sz w:val="13"/>
        </w:rPr>
        <w:t>Submissions 33 (State Trustees Limited); 35 (Andrew Verspaandonk); 39 (Carolyn Sparke SC). See also     Fiona R Burns, ‘Reforming Testamentary Undue Influence in Canadian and English Law’ </w:t>
      </w:r>
      <w:r>
        <w:rPr>
          <w:spacing w:val="2"/>
          <w:w w:val="105"/>
          <w:sz w:val="13"/>
        </w:rPr>
        <w:t>(2006) </w:t>
      </w:r>
      <w:r>
        <w:rPr>
          <w:w w:val="105"/>
          <w:sz w:val="13"/>
        </w:rPr>
        <w:t>29 </w:t>
      </w:r>
      <w:r>
        <w:rPr>
          <w:i/>
          <w:w w:val="105"/>
          <w:sz w:val="13"/>
        </w:rPr>
        <w:t>Dalhousie Law Journal </w:t>
      </w:r>
      <w:r>
        <w:rPr>
          <w:w w:val="105"/>
          <w:sz w:val="13"/>
        </w:rPr>
        <w:t>455, 469, 473;       Prue Vines, ‘Challenging the Testator’s Mind by Challenging Lifetime Transactions: </w:t>
      </w:r>
      <w:r>
        <w:rPr>
          <w:i/>
          <w:w w:val="105"/>
          <w:sz w:val="13"/>
        </w:rPr>
        <w:t>Bridgewater v Leahy </w:t>
      </w:r>
      <w:r>
        <w:rPr>
          <w:w w:val="105"/>
          <w:sz w:val="13"/>
        </w:rPr>
        <w:t>as Backdoor Probate </w:t>
      </w:r>
      <w:r>
        <w:rPr>
          <w:spacing w:val="2"/>
          <w:w w:val="105"/>
          <w:sz w:val="13"/>
        </w:rPr>
        <w:t>Law?’ </w:t>
      </w:r>
      <w:r>
        <w:rPr>
          <w:w w:val="105"/>
          <w:sz w:val="13"/>
        </w:rPr>
        <w:t>(2003) 2 </w:t>
      </w:r>
      <w:r>
        <w:rPr>
          <w:i/>
          <w:w w:val="105"/>
          <w:sz w:val="13"/>
        </w:rPr>
        <w:t>Australian</w:t>
      </w:r>
      <w:r>
        <w:rPr>
          <w:i/>
          <w:spacing w:val="3"/>
          <w:w w:val="105"/>
          <w:sz w:val="13"/>
        </w:rPr>
        <w:t> </w:t>
      </w:r>
      <w:r>
        <w:rPr>
          <w:i/>
          <w:w w:val="105"/>
          <w:sz w:val="13"/>
        </w:rPr>
        <w:t>Property</w:t>
      </w:r>
      <w:r>
        <w:rPr>
          <w:i/>
          <w:spacing w:val="4"/>
          <w:w w:val="105"/>
          <w:sz w:val="13"/>
        </w:rPr>
        <w:t> </w:t>
      </w:r>
      <w:r>
        <w:rPr>
          <w:i/>
          <w:w w:val="105"/>
          <w:sz w:val="13"/>
        </w:rPr>
        <w:t>Law</w:t>
      </w:r>
      <w:r>
        <w:rPr>
          <w:i/>
          <w:spacing w:val="3"/>
          <w:w w:val="105"/>
          <w:sz w:val="13"/>
        </w:rPr>
        <w:t> </w:t>
      </w:r>
      <w:r>
        <w:rPr>
          <w:i/>
          <w:w w:val="105"/>
          <w:sz w:val="13"/>
        </w:rPr>
        <w:t>Journal</w:t>
      </w:r>
      <w:r>
        <w:rPr>
          <w:i/>
          <w:spacing w:val="4"/>
          <w:w w:val="105"/>
          <w:sz w:val="13"/>
        </w:rPr>
        <w:t> </w:t>
      </w:r>
      <w:r>
        <w:rPr>
          <w:spacing w:val="-3"/>
          <w:w w:val="105"/>
          <w:sz w:val="13"/>
        </w:rPr>
        <w:t>1,</w:t>
      </w:r>
      <w:r>
        <w:rPr>
          <w:spacing w:val="5"/>
          <w:w w:val="105"/>
          <w:sz w:val="13"/>
        </w:rPr>
        <w:t> </w:t>
      </w:r>
      <w:r>
        <w:rPr>
          <w:spacing w:val="-5"/>
          <w:w w:val="105"/>
          <w:sz w:val="13"/>
        </w:rPr>
        <w:t>11;</w:t>
      </w:r>
      <w:r>
        <w:rPr>
          <w:spacing w:val="4"/>
          <w:w w:val="105"/>
          <w:sz w:val="13"/>
        </w:rPr>
        <w:t> </w:t>
      </w:r>
      <w:r>
        <w:rPr>
          <w:w w:val="105"/>
          <w:sz w:val="13"/>
        </w:rPr>
        <w:t>Burns,</w:t>
      </w:r>
      <w:r>
        <w:rPr>
          <w:spacing w:val="5"/>
          <w:w w:val="105"/>
          <w:sz w:val="13"/>
        </w:rPr>
        <w:t> </w:t>
      </w:r>
      <w:r>
        <w:rPr>
          <w:w w:val="105"/>
          <w:sz w:val="13"/>
        </w:rPr>
        <w:t>‘Elders</w:t>
      </w:r>
      <w:r>
        <w:rPr>
          <w:spacing w:val="5"/>
          <w:w w:val="105"/>
          <w:sz w:val="13"/>
        </w:rPr>
        <w:t> </w:t>
      </w:r>
      <w:r>
        <w:rPr>
          <w:w w:val="105"/>
          <w:sz w:val="13"/>
        </w:rPr>
        <w:t>and</w:t>
      </w:r>
      <w:r>
        <w:rPr>
          <w:spacing w:val="4"/>
          <w:w w:val="105"/>
          <w:sz w:val="13"/>
        </w:rPr>
        <w:t> </w:t>
      </w:r>
      <w:r>
        <w:rPr>
          <w:w w:val="105"/>
          <w:sz w:val="13"/>
        </w:rPr>
        <w:t>Testamentary</w:t>
      </w:r>
      <w:r>
        <w:rPr>
          <w:spacing w:val="5"/>
          <w:w w:val="105"/>
          <w:sz w:val="13"/>
        </w:rPr>
        <w:t> </w:t>
      </w:r>
      <w:r>
        <w:rPr>
          <w:w w:val="105"/>
          <w:sz w:val="13"/>
        </w:rPr>
        <w:t>Undue</w:t>
      </w:r>
      <w:r>
        <w:rPr>
          <w:spacing w:val="4"/>
          <w:w w:val="105"/>
          <w:sz w:val="13"/>
        </w:rPr>
        <w:t> </w:t>
      </w:r>
      <w:r>
        <w:rPr>
          <w:w w:val="105"/>
          <w:sz w:val="13"/>
        </w:rPr>
        <w:t>Influence’,</w:t>
      </w:r>
      <w:r>
        <w:rPr>
          <w:spacing w:val="5"/>
          <w:w w:val="105"/>
          <w:sz w:val="13"/>
        </w:rPr>
        <w:t> </w:t>
      </w:r>
      <w:r>
        <w:rPr>
          <w:w w:val="105"/>
          <w:sz w:val="13"/>
        </w:rPr>
        <w:t>above</w:t>
      </w:r>
      <w:r>
        <w:rPr>
          <w:spacing w:val="5"/>
          <w:w w:val="105"/>
          <w:sz w:val="13"/>
        </w:rPr>
        <w:t> </w:t>
      </w:r>
      <w:r>
        <w:rPr>
          <w:w w:val="105"/>
          <w:sz w:val="13"/>
        </w:rPr>
        <w:t>n</w:t>
      </w:r>
      <w:r>
        <w:rPr>
          <w:spacing w:val="4"/>
          <w:w w:val="105"/>
          <w:sz w:val="13"/>
        </w:rPr>
        <w:t> </w:t>
      </w:r>
      <w:r>
        <w:rPr>
          <w:w w:val="105"/>
          <w:sz w:val="13"/>
        </w:rPr>
        <w:t>78,</w:t>
      </w:r>
      <w:r>
        <w:rPr>
          <w:spacing w:val="5"/>
          <w:w w:val="105"/>
          <w:sz w:val="13"/>
        </w:rPr>
        <w:t> </w:t>
      </w:r>
      <w:r>
        <w:rPr>
          <w:w w:val="105"/>
          <w:sz w:val="13"/>
        </w:rPr>
        <w:t>152.</w:t>
      </w:r>
    </w:p>
    <w:p>
      <w:pPr>
        <w:pStyle w:val="ListParagraph"/>
        <w:numPr>
          <w:ilvl w:val="0"/>
          <w:numId w:val="25"/>
        </w:numPr>
        <w:tabs>
          <w:tab w:pos="2381" w:val="left" w:leader="none"/>
          <w:tab w:pos="2382" w:val="left" w:leader="none"/>
        </w:tabs>
        <w:spacing w:line="240" w:lineRule="auto" w:before="5" w:after="0"/>
        <w:ind w:left="2381" w:right="1671" w:hanging="794"/>
        <w:jc w:val="left"/>
        <w:rPr>
          <w:sz w:val="13"/>
        </w:rPr>
      </w:pPr>
      <w:r>
        <w:rPr>
          <w:sz w:val="13"/>
        </w:rPr>
        <w:t>See, eg, </w:t>
      </w:r>
      <w:r>
        <w:rPr>
          <w:i/>
          <w:sz w:val="13"/>
        </w:rPr>
        <w:t>Craig v Lamoureux </w:t>
      </w:r>
      <w:r>
        <w:rPr>
          <w:sz w:val="13"/>
        </w:rPr>
        <w:t>[1920] AC 349,  356;  Fiona  R  Burns,  ‘Reforming  Testamentary  Undue  Influence  in  Canadian  and  English  Law’ </w:t>
      </w:r>
      <w:r>
        <w:rPr>
          <w:spacing w:val="2"/>
          <w:sz w:val="13"/>
        </w:rPr>
        <w:t>(2006)  </w:t>
      </w:r>
      <w:r>
        <w:rPr>
          <w:sz w:val="13"/>
        </w:rPr>
        <w:t>29  </w:t>
      </w:r>
      <w:r>
        <w:rPr>
          <w:i/>
          <w:sz w:val="13"/>
        </w:rPr>
        <w:t>Dalhousie  Law  Journal  </w:t>
      </w:r>
      <w:r>
        <w:rPr>
          <w:sz w:val="13"/>
        </w:rPr>
        <w:t>455,  </w:t>
      </w:r>
      <w:r>
        <w:rPr>
          <w:spacing w:val="2"/>
          <w:sz w:val="13"/>
        </w:rPr>
        <w:t>469;  </w:t>
      </w:r>
      <w:r>
        <w:rPr>
          <w:sz w:val="13"/>
        </w:rPr>
        <w:t>Prue  Vines,  ‘Challenging  the  Testator’s  Mind  by  Challenging  Lifetime  Transactions:  </w:t>
      </w:r>
      <w:r>
        <w:rPr>
          <w:i/>
          <w:sz w:val="13"/>
        </w:rPr>
        <w:t>Bridgewater </w:t>
      </w:r>
      <w:r>
        <w:rPr>
          <w:i/>
          <w:sz w:val="13"/>
        </w:rPr>
        <w:t>v</w:t>
      </w:r>
      <w:r>
        <w:rPr>
          <w:i/>
          <w:spacing w:val="7"/>
          <w:sz w:val="13"/>
        </w:rPr>
        <w:t> </w:t>
      </w:r>
      <w:r>
        <w:rPr>
          <w:i/>
          <w:sz w:val="13"/>
        </w:rPr>
        <w:t>Leahy</w:t>
      </w:r>
      <w:r>
        <w:rPr>
          <w:i/>
          <w:spacing w:val="8"/>
          <w:sz w:val="13"/>
        </w:rPr>
        <w:t> </w:t>
      </w:r>
      <w:r>
        <w:rPr>
          <w:sz w:val="13"/>
        </w:rPr>
        <w:t>as</w:t>
      </w:r>
      <w:r>
        <w:rPr>
          <w:spacing w:val="8"/>
          <w:sz w:val="13"/>
        </w:rPr>
        <w:t> </w:t>
      </w:r>
      <w:r>
        <w:rPr>
          <w:sz w:val="13"/>
        </w:rPr>
        <w:t>Backdoor</w:t>
      </w:r>
      <w:r>
        <w:rPr>
          <w:spacing w:val="8"/>
          <w:sz w:val="13"/>
        </w:rPr>
        <w:t> </w:t>
      </w:r>
      <w:r>
        <w:rPr>
          <w:sz w:val="13"/>
        </w:rPr>
        <w:t>Probate</w:t>
      </w:r>
      <w:r>
        <w:rPr>
          <w:spacing w:val="8"/>
          <w:sz w:val="13"/>
        </w:rPr>
        <w:t> </w:t>
      </w:r>
      <w:r>
        <w:rPr>
          <w:spacing w:val="2"/>
          <w:sz w:val="13"/>
        </w:rPr>
        <w:t>Law?’</w:t>
      </w:r>
      <w:r>
        <w:rPr>
          <w:spacing w:val="8"/>
          <w:sz w:val="13"/>
        </w:rPr>
        <w:t> </w:t>
      </w:r>
      <w:r>
        <w:rPr>
          <w:sz w:val="13"/>
        </w:rPr>
        <w:t>(2003)</w:t>
      </w:r>
      <w:r>
        <w:rPr>
          <w:spacing w:val="8"/>
          <w:sz w:val="13"/>
        </w:rPr>
        <w:t> </w:t>
      </w:r>
      <w:r>
        <w:rPr>
          <w:sz w:val="13"/>
        </w:rPr>
        <w:t>2</w:t>
      </w:r>
      <w:r>
        <w:rPr>
          <w:spacing w:val="8"/>
          <w:sz w:val="13"/>
        </w:rPr>
        <w:t> </w:t>
      </w:r>
      <w:r>
        <w:rPr>
          <w:i/>
          <w:sz w:val="13"/>
        </w:rPr>
        <w:t>Australian</w:t>
      </w:r>
      <w:r>
        <w:rPr>
          <w:i/>
          <w:spacing w:val="8"/>
          <w:sz w:val="13"/>
        </w:rPr>
        <w:t> </w:t>
      </w:r>
      <w:r>
        <w:rPr>
          <w:i/>
          <w:sz w:val="13"/>
        </w:rPr>
        <w:t>Property</w:t>
      </w:r>
      <w:r>
        <w:rPr>
          <w:i/>
          <w:spacing w:val="7"/>
          <w:sz w:val="13"/>
        </w:rPr>
        <w:t> </w:t>
      </w:r>
      <w:r>
        <w:rPr>
          <w:i/>
          <w:sz w:val="13"/>
        </w:rPr>
        <w:t>Law</w:t>
      </w:r>
      <w:r>
        <w:rPr>
          <w:i/>
          <w:spacing w:val="7"/>
          <w:sz w:val="13"/>
        </w:rPr>
        <w:t> </w:t>
      </w:r>
      <w:r>
        <w:rPr>
          <w:i/>
          <w:sz w:val="13"/>
        </w:rPr>
        <w:t>Journal</w:t>
      </w:r>
      <w:r>
        <w:rPr>
          <w:i/>
          <w:spacing w:val="8"/>
          <w:sz w:val="13"/>
        </w:rPr>
        <w:t> </w:t>
      </w:r>
      <w:r>
        <w:rPr>
          <w:spacing w:val="-3"/>
          <w:sz w:val="13"/>
        </w:rPr>
        <w:t>1,</w:t>
      </w:r>
      <w:r>
        <w:rPr>
          <w:spacing w:val="8"/>
          <w:sz w:val="13"/>
        </w:rPr>
        <w:t> </w:t>
      </w:r>
      <w:r>
        <w:rPr>
          <w:spacing w:val="-6"/>
          <w:sz w:val="13"/>
        </w:rPr>
        <w:t>11.</w:t>
      </w:r>
    </w:p>
    <w:p>
      <w:pPr>
        <w:pStyle w:val="ListParagraph"/>
        <w:numPr>
          <w:ilvl w:val="0"/>
          <w:numId w:val="25"/>
        </w:numPr>
        <w:tabs>
          <w:tab w:pos="2381" w:val="left" w:leader="none"/>
          <w:tab w:pos="2382" w:val="left" w:leader="none"/>
        </w:tabs>
        <w:spacing w:line="240" w:lineRule="auto" w:before="4" w:after="0"/>
        <w:ind w:left="2381" w:right="0" w:hanging="794"/>
        <w:jc w:val="left"/>
        <w:rPr>
          <w:sz w:val="13"/>
        </w:rPr>
      </w:pPr>
      <w:r>
        <w:rPr>
          <w:w w:val="105"/>
          <w:sz w:val="13"/>
        </w:rPr>
        <w:t>Consultation 1 (Wills roundtable); submission 35 (Andrew</w:t>
      </w:r>
      <w:r>
        <w:rPr>
          <w:spacing w:val="3"/>
          <w:w w:val="105"/>
          <w:sz w:val="13"/>
        </w:rPr>
        <w:t> </w:t>
      </w:r>
      <w:r>
        <w:rPr>
          <w:w w:val="105"/>
          <w:sz w:val="13"/>
        </w:rPr>
        <w:t>Verspaandonk).</w:t>
      </w:r>
    </w:p>
    <w:p>
      <w:pPr>
        <w:pStyle w:val="ListParagraph"/>
        <w:numPr>
          <w:ilvl w:val="0"/>
          <w:numId w:val="25"/>
        </w:numPr>
        <w:tabs>
          <w:tab w:pos="2381" w:val="left" w:leader="none"/>
          <w:tab w:pos="2382" w:val="left" w:leader="none"/>
        </w:tabs>
        <w:spacing w:line="240" w:lineRule="auto" w:before="1" w:after="0"/>
        <w:ind w:left="2381" w:right="0" w:hanging="794"/>
        <w:jc w:val="left"/>
        <w:rPr>
          <w:sz w:val="13"/>
        </w:rPr>
      </w:pPr>
      <w:r>
        <w:rPr>
          <w:w w:val="105"/>
          <w:sz w:val="13"/>
        </w:rPr>
        <w:t>Submissions 35 (Andrew Verspaandonk); 39 (Carolyn Sparke</w:t>
      </w:r>
      <w:r>
        <w:rPr>
          <w:spacing w:val="3"/>
          <w:w w:val="105"/>
          <w:sz w:val="13"/>
        </w:rPr>
        <w:t> </w:t>
      </w:r>
      <w:r>
        <w:rPr>
          <w:w w:val="105"/>
          <w:sz w:val="13"/>
        </w:rPr>
        <w:t>SC).</w:t>
      </w:r>
    </w:p>
    <w:p>
      <w:pPr>
        <w:pStyle w:val="ListParagraph"/>
        <w:numPr>
          <w:ilvl w:val="0"/>
          <w:numId w:val="25"/>
        </w:numPr>
        <w:tabs>
          <w:tab w:pos="2381" w:val="left" w:leader="none"/>
          <w:tab w:pos="2382" w:val="left" w:leader="none"/>
        </w:tabs>
        <w:spacing w:line="240" w:lineRule="auto" w:before="2" w:after="0"/>
        <w:ind w:left="2381" w:right="0" w:hanging="794"/>
        <w:jc w:val="left"/>
        <w:rPr>
          <w:sz w:val="13"/>
        </w:rPr>
      </w:pPr>
      <w:r>
        <w:rPr>
          <w:w w:val="105"/>
          <w:sz w:val="13"/>
        </w:rPr>
        <w:t>Consultation</w:t>
      </w:r>
      <w:r>
        <w:rPr>
          <w:spacing w:val="4"/>
          <w:w w:val="105"/>
          <w:sz w:val="13"/>
        </w:rPr>
        <w:t> </w:t>
      </w:r>
      <w:r>
        <w:rPr>
          <w:w w:val="105"/>
          <w:sz w:val="13"/>
        </w:rPr>
        <w:t>1</w:t>
      </w:r>
      <w:r>
        <w:rPr>
          <w:spacing w:val="5"/>
          <w:w w:val="105"/>
          <w:sz w:val="13"/>
        </w:rPr>
        <w:t> </w:t>
      </w:r>
      <w:r>
        <w:rPr>
          <w:w w:val="105"/>
          <w:sz w:val="13"/>
        </w:rPr>
        <w:t>(Wills</w:t>
      </w:r>
      <w:r>
        <w:rPr>
          <w:spacing w:val="5"/>
          <w:w w:val="105"/>
          <w:sz w:val="13"/>
        </w:rPr>
        <w:t> </w:t>
      </w:r>
      <w:r>
        <w:rPr>
          <w:w w:val="105"/>
          <w:sz w:val="13"/>
        </w:rPr>
        <w:t>roundtable).</w:t>
      </w:r>
      <w:r>
        <w:rPr>
          <w:spacing w:val="5"/>
          <w:w w:val="105"/>
          <w:sz w:val="13"/>
        </w:rPr>
        <w:t> </w:t>
      </w:r>
      <w:r>
        <w:rPr>
          <w:w w:val="105"/>
          <w:sz w:val="13"/>
        </w:rPr>
        <w:t>Submissions</w:t>
      </w:r>
      <w:r>
        <w:rPr>
          <w:spacing w:val="4"/>
          <w:w w:val="105"/>
          <w:sz w:val="13"/>
        </w:rPr>
        <w:t> </w:t>
      </w:r>
      <w:r>
        <w:rPr>
          <w:w w:val="105"/>
          <w:sz w:val="13"/>
        </w:rPr>
        <w:t>26</w:t>
      </w:r>
      <w:r>
        <w:rPr>
          <w:spacing w:val="5"/>
          <w:w w:val="105"/>
          <w:sz w:val="13"/>
        </w:rPr>
        <w:t> </w:t>
      </w:r>
      <w:r>
        <w:rPr>
          <w:spacing w:val="2"/>
          <w:w w:val="105"/>
          <w:sz w:val="13"/>
        </w:rPr>
        <w:t>(Rigby</w:t>
      </w:r>
      <w:r>
        <w:rPr>
          <w:spacing w:val="5"/>
          <w:w w:val="105"/>
          <w:sz w:val="13"/>
        </w:rPr>
        <w:t> </w:t>
      </w:r>
      <w:r>
        <w:rPr>
          <w:w w:val="105"/>
          <w:sz w:val="13"/>
        </w:rPr>
        <w:t>Cooke</w:t>
      </w:r>
      <w:r>
        <w:rPr>
          <w:spacing w:val="5"/>
          <w:w w:val="105"/>
          <w:sz w:val="13"/>
        </w:rPr>
        <w:t> </w:t>
      </w:r>
      <w:r>
        <w:rPr>
          <w:spacing w:val="2"/>
          <w:w w:val="105"/>
          <w:sz w:val="13"/>
        </w:rPr>
        <w:t>Lawyers);</w:t>
      </w:r>
      <w:r>
        <w:rPr>
          <w:spacing w:val="5"/>
          <w:w w:val="105"/>
          <w:sz w:val="13"/>
        </w:rPr>
        <w:t> </w:t>
      </w:r>
      <w:r>
        <w:rPr>
          <w:w w:val="105"/>
          <w:sz w:val="13"/>
        </w:rPr>
        <w:t>30a</w:t>
      </w:r>
      <w:r>
        <w:rPr>
          <w:spacing w:val="4"/>
          <w:w w:val="105"/>
          <w:sz w:val="13"/>
        </w:rPr>
        <w:t> </w:t>
      </w:r>
      <w:r>
        <w:rPr>
          <w:spacing w:val="3"/>
          <w:w w:val="105"/>
          <w:sz w:val="13"/>
        </w:rPr>
        <w:t>(Law</w:t>
      </w:r>
      <w:r>
        <w:rPr>
          <w:spacing w:val="5"/>
          <w:w w:val="105"/>
          <w:sz w:val="13"/>
        </w:rPr>
        <w:t> </w:t>
      </w:r>
      <w:r>
        <w:rPr>
          <w:w w:val="105"/>
          <w:sz w:val="13"/>
        </w:rPr>
        <w:t>Institute</w:t>
      </w:r>
      <w:r>
        <w:rPr>
          <w:spacing w:val="5"/>
          <w:w w:val="105"/>
          <w:sz w:val="13"/>
        </w:rPr>
        <w:t> </w:t>
      </w:r>
      <w:r>
        <w:rPr>
          <w:w w:val="105"/>
          <w:sz w:val="13"/>
        </w:rPr>
        <w:t>of</w:t>
      </w:r>
      <w:r>
        <w:rPr>
          <w:spacing w:val="5"/>
          <w:w w:val="105"/>
          <w:sz w:val="13"/>
        </w:rPr>
        <w:t> </w:t>
      </w:r>
      <w:r>
        <w:rPr>
          <w:spacing w:val="2"/>
          <w:w w:val="105"/>
          <w:sz w:val="13"/>
        </w:rPr>
        <w:t>Victoria);</w:t>
      </w:r>
      <w:r>
        <w:rPr>
          <w:spacing w:val="4"/>
          <w:w w:val="105"/>
          <w:sz w:val="13"/>
        </w:rPr>
        <w:t> </w:t>
      </w:r>
      <w:r>
        <w:rPr>
          <w:w w:val="105"/>
          <w:sz w:val="13"/>
        </w:rPr>
        <w:t>31</w:t>
      </w:r>
      <w:r>
        <w:rPr>
          <w:spacing w:val="5"/>
          <w:w w:val="105"/>
          <w:sz w:val="13"/>
        </w:rPr>
        <w:t> </w:t>
      </w:r>
      <w:r>
        <w:rPr>
          <w:w w:val="105"/>
          <w:sz w:val="13"/>
        </w:rPr>
        <w:t>(Seniors</w:t>
      </w:r>
      <w:r>
        <w:rPr>
          <w:spacing w:val="5"/>
          <w:w w:val="105"/>
          <w:sz w:val="13"/>
        </w:rPr>
        <w:t> </w:t>
      </w:r>
      <w:r>
        <w:rPr>
          <w:w w:val="105"/>
          <w:sz w:val="13"/>
        </w:rPr>
        <w:t>Rights</w:t>
      </w:r>
      <w:r>
        <w:rPr>
          <w:spacing w:val="5"/>
          <w:w w:val="105"/>
          <w:sz w:val="13"/>
        </w:rPr>
        <w:t> </w:t>
      </w:r>
      <w:r>
        <w:rPr>
          <w:spacing w:val="2"/>
          <w:w w:val="105"/>
          <w:sz w:val="13"/>
        </w:rPr>
        <w:t>Victoria).</w:t>
      </w:r>
    </w:p>
    <w:p>
      <w:pPr>
        <w:pStyle w:val="ListParagraph"/>
        <w:numPr>
          <w:ilvl w:val="0"/>
          <w:numId w:val="25"/>
        </w:numPr>
        <w:tabs>
          <w:tab w:pos="2381" w:val="left" w:leader="none"/>
          <w:tab w:pos="2382" w:val="left" w:leader="none"/>
        </w:tabs>
        <w:spacing w:line="240" w:lineRule="auto" w:before="1" w:after="0"/>
        <w:ind w:left="1587" w:right="3418" w:firstLine="0"/>
        <w:jc w:val="left"/>
        <w:rPr>
          <w:sz w:val="13"/>
        </w:rPr>
      </w:pPr>
      <w:r>
        <w:rPr>
          <w:w w:val="105"/>
          <w:sz w:val="13"/>
        </w:rPr>
        <w:t>New South Wales Law Reform Commission, above n 105, </w:t>
      </w:r>
      <w:r>
        <w:rPr>
          <w:spacing w:val="3"/>
          <w:w w:val="105"/>
          <w:sz w:val="13"/>
        </w:rPr>
        <w:t>[8.34]; </w:t>
      </w:r>
      <w:r>
        <w:rPr>
          <w:w w:val="105"/>
          <w:sz w:val="13"/>
        </w:rPr>
        <w:t>submission 30a </w:t>
      </w:r>
      <w:r>
        <w:rPr>
          <w:spacing w:val="3"/>
          <w:w w:val="105"/>
          <w:sz w:val="13"/>
        </w:rPr>
        <w:t>(Law </w:t>
      </w:r>
      <w:r>
        <w:rPr>
          <w:w w:val="105"/>
          <w:sz w:val="13"/>
        </w:rPr>
        <w:t>Institute of </w:t>
      </w:r>
      <w:r>
        <w:rPr>
          <w:spacing w:val="2"/>
          <w:w w:val="105"/>
          <w:sz w:val="13"/>
        </w:rPr>
        <w:t>Victoria). </w:t>
      </w:r>
      <w:r>
        <w:rPr>
          <w:w w:val="105"/>
          <w:sz w:val="13"/>
        </w:rPr>
        <w:t>136</w:t>
        <w:tab/>
        <w:t>Ridge, above n 105, </w:t>
      </w:r>
      <w:r>
        <w:rPr>
          <w:spacing w:val="-4"/>
          <w:w w:val="105"/>
          <w:sz w:val="13"/>
        </w:rPr>
        <w:t>617; </w:t>
      </w:r>
      <w:r>
        <w:rPr>
          <w:w w:val="105"/>
          <w:sz w:val="13"/>
        </w:rPr>
        <w:t>submission 25 </w:t>
      </w:r>
      <w:r>
        <w:rPr>
          <w:spacing w:val="2"/>
          <w:w w:val="105"/>
          <w:sz w:val="13"/>
        </w:rPr>
        <w:t>(Moores</w:t>
      </w:r>
      <w:r>
        <w:rPr>
          <w:spacing w:val="16"/>
          <w:w w:val="105"/>
          <w:sz w:val="13"/>
        </w:rPr>
        <w:t> </w:t>
      </w:r>
      <w:r>
        <w:rPr>
          <w:w w:val="105"/>
          <w:sz w:val="13"/>
        </w:rPr>
        <w:t>Legal).</w:t>
      </w:r>
    </w:p>
    <w:p>
      <w:pPr>
        <w:pStyle w:val="ListParagraph"/>
        <w:numPr>
          <w:ilvl w:val="0"/>
          <w:numId w:val="27"/>
        </w:numPr>
        <w:tabs>
          <w:tab w:pos="2381" w:val="left" w:leader="none"/>
          <w:tab w:pos="2382" w:val="left" w:leader="none"/>
        </w:tabs>
        <w:spacing w:line="240" w:lineRule="auto" w:before="3" w:after="0"/>
        <w:ind w:left="2381" w:right="1931" w:hanging="794"/>
        <w:jc w:val="left"/>
        <w:rPr>
          <w:sz w:val="13"/>
        </w:rPr>
      </w:pPr>
      <w:r>
        <w:rPr/>
        <w:pict>
          <v:shape style="position:absolute;margin-left:549.118896pt;margin-top:2.953966pt;width:12.6pt;height:14.25pt;mso-position-horizontal-relative:page;mso-position-vertical-relative:paragraph;z-index:2464" type="#_x0000_t202" filled="false" stroked="false">
            <v:textbox inset="0,0,0,0">
              <w:txbxContent>
                <w:p>
                  <w:pPr>
                    <w:spacing w:line="284" w:lineRule="exact" w:before="0"/>
                    <w:ind w:left="0" w:right="0" w:firstLine="0"/>
                    <w:jc w:val="left"/>
                    <w:rPr>
                      <w:b/>
                      <w:sz w:val="24"/>
                    </w:rPr>
                  </w:pPr>
                  <w:r>
                    <w:rPr>
                      <w:b/>
                      <w:color w:val="EC5A4F"/>
                      <w:spacing w:val="-8"/>
                      <w:w w:val="110"/>
                      <w:sz w:val="24"/>
                    </w:rPr>
                    <w:t>19</w:t>
                  </w:r>
                </w:p>
              </w:txbxContent>
            </v:textbox>
            <w10:wrap type="none"/>
          </v:shape>
        </w:pict>
      </w:r>
      <w:r>
        <w:rPr>
          <w:w w:val="105"/>
          <w:sz w:val="13"/>
        </w:rPr>
        <w:t>Advisory Committee (Meeting </w:t>
      </w:r>
      <w:r>
        <w:rPr>
          <w:spacing w:val="2"/>
          <w:w w:val="105"/>
          <w:sz w:val="13"/>
        </w:rPr>
        <w:t>2). </w:t>
      </w:r>
      <w:r>
        <w:rPr>
          <w:w w:val="105"/>
          <w:sz w:val="13"/>
        </w:rPr>
        <w:t>See also </w:t>
      </w:r>
      <w:r>
        <w:rPr>
          <w:i/>
          <w:w w:val="105"/>
          <w:sz w:val="13"/>
        </w:rPr>
        <w:t>Commonwealth Bank of Australia Ltd v Amadio </w:t>
      </w:r>
      <w:r>
        <w:rPr>
          <w:w w:val="105"/>
          <w:sz w:val="13"/>
        </w:rPr>
        <w:t>(1983) </w:t>
      </w:r>
      <w:r>
        <w:rPr>
          <w:spacing w:val="-5"/>
          <w:w w:val="105"/>
          <w:sz w:val="13"/>
        </w:rPr>
        <w:t>151 </w:t>
      </w:r>
      <w:r>
        <w:rPr>
          <w:w w:val="105"/>
          <w:sz w:val="13"/>
        </w:rPr>
        <w:t>CLR 447; </w:t>
      </w:r>
      <w:r>
        <w:rPr>
          <w:i/>
          <w:w w:val="105"/>
          <w:sz w:val="13"/>
        </w:rPr>
        <w:t>Louth v Diprose </w:t>
      </w:r>
      <w:r>
        <w:rPr>
          <w:w w:val="105"/>
          <w:sz w:val="13"/>
        </w:rPr>
        <w:t>(1992) </w:t>
      </w:r>
      <w:r>
        <w:rPr>
          <w:spacing w:val="-3"/>
          <w:w w:val="105"/>
          <w:sz w:val="13"/>
        </w:rPr>
        <w:t>175</w:t>
      </w:r>
      <w:r>
        <w:rPr>
          <w:spacing w:val="6"/>
          <w:w w:val="105"/>
          <w:sz w:val="13"/>
        </w:rPr>
        <w:t> </w:t>
      </w:r>
      <w:r>
        <w:rPr>
          <w:w w:val="105"/>
          <w:sz w:val="13"/>
        </w:rPr>
        <w:t>CLR</w:t>
      </w:r>
      <w:r>
        <w:rPr>
          <w:spacing w:val="7"/>
          <w:w w:val="105"/>
          <w:sz w:val="13"/>
        </w:rPr>
        <w:t> </w:t>
      </w:r>
      <w:r>
        <w:rPr>
          <w:w w:val="105"/>
          <w:sz w:val="13"/>
        </w:rPr>
        <w:t>621</w:t>
      </w:r>
      <w:r>
        <w:rPr>
          <w:spacing w:val="7"/>
          <w:w w:val="105"/>
          <w:sz w:val="13"/>
        </w:rPr>
        <w:t> </w:t>
      </w:r>
      <w:r>
        <w:rPr>
          <w:w w:val="105"/>
          <w:sz w:val="13"/>
        </w:rPr>
        <w:t>and,</w:t>
      </w:r>
      <w:r>
        <w:rPr>
          <w:spacing w:val="7"/>
          <w:w w:val="105"/>
          <w:sz w:val="13"/>
        </w:rPr>
        <w:t> </w:t>
      </w:r>
      <w:r>
        <w:rPr>
          <w:w w:val="105"/>
          <w:sz w:val="13"/>
        </w:rPr>
        <w:t>most</w:t>
      </w:r>
      <w:r>
        <w:rPr>
          <w:spacing w:val="7"/>
          <w:w w:val="105"/>
          <w:sz w:val="13"/>
        </w:rPr>
        <w:t> </w:t>
      </w:r>
      <w:r>
        <w:rPr>
          <w:w w:val="105"/>
          <w:sz w:val="13"/>
        </w:rPr>
        <w:t>recently,</w:t>
      </w:r>
      <w:r>
        <w:rPr>
          <w:spacing w:val="7"/>
          <w:w w:val="105"/>
          <w:sz w:val="13"/>
        </w:rPr>
        <w:t> </w:t>
      </w:r>
      <w:r>
        <w:rPr>
          <w:i/>
          <w:w w:val="105"/>
          <w:sz w:val="13"/>
        </w:rPr>
        <w:t>Kakavas</w:t>
      </w:r>
      <w:r>
        <w:rPr>
          <w:i/>
          <w:spacing w:val="5"/>
          <w:w w:val="105"/>
          <w:sz w:val="13"/>
        </w:rPr>
        <w:t> </w:t>
      </w:r>
      <w:r>
        <w:rPr>
          <w:i/>
          <w:w w:val="105"/>
          <w:sz w:val="13"/>
        </w:rPr>
        <w:t>v</w:t>
      </w:r>
      <w:r>
        <w:rPr>
          <w:i/>
          <w:spacing w:val="6"/>
          <w:w w:val="105"/>
          <w:sz w:val="13"/>
        </w:rPr>
        <w:t> </w:t>
      </w:r>
      <w:r>
        <w:rPr>
          <w:i/>
          <w:w w:val="105"/>
          <w:sz w:val="13"/>
        </w:rPr>
        <w:t>Crown</w:t>
      </w:r>
      <w:r>
        <w:rPr>
          <w:i/>
          <w:spacing w:val="6"/>
          <w:w w:val="105"/>
          <w:sz w:val="13"/>
        </w:rPr>
        <w:t> </w:t>
      </w:r>
      <w:r>
        <w:rPr>
          <w:i/>
          <w:w w:val="105"/>
          <w:sz w:val="13"/>
        </w:rPr>
        <w:t>Melbourne</w:t>
      </w:r>
      <w:r>
        <w:rPr>
          <w:i/>
          <w:spacing w:val="6"/>
          <w:w w:val="105"/>
          <w:sz w:val="13"/>
        </w:rPr>
        <w:t> </w:t>
      </w:r>
      <w:r>
        <w:rPr>
          <w:i/>
          <w:w w:val="105"/>
          <w:sz w:val="13"/>
        </w:rPr>
        <w:t>Ltd</w:t>
      </w:r>
      <w:r>
        <w:rPr>
          <w:i/>
          <w:spacing w:val="5"/>
          <w:w w:val="105"/>
          <w:sz w:val="13"/>
        </w:rPr>
        <w:t> </w:t>
      </w:r>
      <w:r>
        <w:rPr>
          <w:w w:val="105"/>
          <w:sz w:val="13"/>
        </w:rPr>
        <w:t>[2013]</w:t>
      </w:r>
      <w:r>
        <w:rPr>
          <w:spacing w:val="7"/>
          <w:w w:val="105"/>
          <w:sz w:val="13"/>
        </w:rPr>
        <w:t> </w:t>
      </w:r>
      <w:r>
        <w:rPr>
          <w:w w:val="105"/>
          <w:sz w:val="13"/>
        </w:rPr>
        <w:t>HCA</w:t>
      </w:r>
      <w:r>
        <w:rPr>
          <w:spacing w:val="7"/>
          <w:w w:val="105"/>
          <w:sz w:val="13"/>
        </w:rPr>
        <w:t> </w:t>
      </w:r>
      <w:r>
        <w:rPr>
          <w:w w:val="105"/>
          <w:sz w:val="13"/>
        </w:rPr>
        <w:t>25</w:t>
      </w:r>
      <w:r>
        <w:rPr>
          <w:spacing w:val="7"/>
          <w:w w:val="105"/>
          <w:sz w:val="13"/>
        </w:rPr>
        <w:t> </w:t>
      </w:r>
      <w:r>
        <w:rPr>
          <w:w w:val="105"/>
          <w:sz w:val="13"/>
        </w:rPr>
        <w:t>(5</w:t>
      </w:r>
      <w:r>
        <w:rPr>
          <w:spacing w:val="7"/>
          <w:w w:val="105"/>
          <w:sz w:val="13"/>
        </w:rPr>
        <w:t> </w:t>
      </w:r>
      <w:r>
        <w:rPr>
          <w:w w:val="105"/>
          <w:sz w:val="13"/>
        </w:rPr>
        <w:t>June</w:t>
      </w:r>
      <w:r>
        <w:rPr>
          <w:spacing w:val="7"/>
          <w:w w:val="105"/>
          <w:sz w:val="13"/>
        </w:rPr>
        <w:t> </w:t>
      </w:r>
      <w:r>
        <w:rPr>
          <w:w w:val="105"/>
          <w:sz w:val="13"/>
        </w:rPr>
        <w:t>2013)</w:t>
      </w:r>
      <w:r>
        <w:rPr>
          <w:spacing w:val="7"/>
          <w:w w:val="105"/>
          <w:sz w:val="13"/>
        </w:rPr>
        <w:t> </w:t>
      </w:r>
      <w:r>
        <w:rPr>
          <w:w w:val="105"/>
          <w:sz w:val="13"/>
        </w:rPr>
        <w:t>and</w:t>
      </w:r>
      <w:r>
        <w:rPr>
          <w:spacing w:val="6"/>
          <w:w w:val="105"/>
          <w:sz w:val="13"/>
        </w:rPr>
        <w:t> </w:t>
      </w:r>
      <w:r>
        <w:rPr>
          <w:w w:val="105"/>
          <w:sz w:val="13"/>
        </w:rPr>
        <w:t>the</w:t>
      </w:r>
      <w:r>
        <w:rPr>
          <w:spacing w:val="7"/>
          <w:w w:val="105"/>
          <w:sz w:val="13"/>
        </w:rPr>
        <w:t> </w:t>
      </w:r>
      <w:r>
        <w:rPr>
          <w:w w:val="105"/>
          <w:sz w:val="13"/>
        </w:rPr>
        <w:t>authorities</w:t>
      </w:r>
      <w:r>
        <w:rPr>
          <w:spacing w:val="7"/>
          <w:w w:val="105"/>
          <w:sz w:val="13"/>
        </w:rPr>
        <w:t> </w:t>
      </w:r>
      <w:r>
        <w:rPr>
          <w:w w:val="105"/>
          <w:sz w:val="13"/>
        </w:rPr>
        <w:t>discussed</w:t>
      </w:r>
      <w:r>
        <w:rPr>
          <w:spacing w:val="7"/>
          <w:w w:val="105"/>
          <w:sz w:val="13"/>
        </w:rPr>
        <w:t> </w:t>
      </w:r>
      <w:r>
        <w:rPr>
          <w:w w:val="105"/>
          <w:sz w:val="13"/>
        </w:rPr>
        <w:t>therein.</w:t>
      </w:r>
    </w:p>
    <w:p>
      <w:pPr>
        <w:spacing w:after="0" w:line="240" w:lineRule="auto"/>
        <w:jc w:val="left"/>
        <w:rPr>
          <w:sz w:val="13"/>
        </w:rPr>
        <w:sectPr>
          <w:pgSz w:w="11910" w:h="16840"/>
          <w:pgMar w:header="805" w:footer="0" w:top="1360" w:bottom="280" w:left="0" w:right="0"/>
        </w:sectPr>
      </w:pPr>
    </w:p>
    <w:p>
      <w:pPr>
        <w:pStyle w:val="BodyText"/>
        <w:spacing w:before="9"/>
        <w:rPr>
          <w:sz w:val="22"/>
        </w:rPr>
      </w:pPr>
    </w:p>
    <w:p>
      <w:pPr>
        <w:pStyle w:val="ListParagraph"/>
        <w:numPr>
          <w:ilvl w:val="1"/>
          <w:numId w:val="22"/>
        </w:numPr>
        <w:tabs>
          <w:tab w:pos="2381" w:val="left" w:leader="none"/>
          <w:tab w:pos="2382" w:val="left" w:leader="none"/>
        </w:tabs>
        <w:spacing w:line="242" w:lineRule="auto" w:before="92" w:after="0"/>
        <w:ind w:left="2381" w:right="1726" w:hanging="794"/>
        <w:jc w:val="left"/>
        <w:rPr>
          <w:sz w:val="12"/>
        </w:rPr>
      </w:pPr>
      <w:bookmarkStart w:name="Other common law rules related to undue " w:id="19"/>
      <w:bookmarkEnd w:id="19"/>
      <w:r>
        <w:rPr/>
      </w:r>
      <w:bookmarkStart w:name="Other common law rules related to undue " w:id="20"/>
      <w:bookmarkEnd w:id="20"/>
      <w:r>
        <w:rPr>
          <w:w w:val="105"/>
          <w:sz w:val="21"/>
        </w:rPr>
        <w:t>M</w:t>
      </w:r>
      <w:r>
        <w:rPr>
          <w:w w:val="105"/>
          <w:sz w:val="21"/>
        </w:rPr>
        <w:t>oores Legal proposed </w:t>
      </w:r>
      <w:r>
        <w:rPr>
          <w:spacing w:val="-3"/>
          <w:w w:val="105"/>
          <w:sz w:val="21"/>
        </w:rPr>
        <w:t>that </w:t>
      </w:r>
      <w:r>
        <w:rPr>
          <w:w w:val="105"/>
          <w:sz w:val="21"/>
        </w:rPr>
        <w:t>an </w:t>
      </w:r>
      <w:r>
        <w:rPr>
          <w:spacing w:val="-3"/>
          <w:w w:val="105"/>
          <w:sz w:val="21"/>
        </w:rPr>
        <w:t>exception to any presumption </w:t>
      </w:r>
      <w:r>
        <w:rPr>
          <w:w w:val="105"/>
          <w:sz w:val="21"/>
        </w:rPr>
        <w:t>of </w:t>
      </w:r>
      <w:r>
        <w:rPr>
          <w:spacing w:val="-3"/>
          <w:w w:val="105"/>
          <w:sz w:val="21"/>
        </w:rPr>
        <w:t>undue influence </w:t>
      </w:r>
      <w:r>
        <w:rPr>
          <w:w w:val="105"/>
          <w:sz w:val="21"/>
        </w:rPr>
        <w:t>should apply where a </w:t>
      </w:r>
      <w:r>
        <w:rPr>
          <w:spacing w:val="-3"/>
          <w:w w:val="105"/>
          <w:sz w:val="21"/>
        </w:rPr>
        <w:t>will makes </w:t>
      </w:r>
      <w:r>
        <w:rPr>
          <w:w w:val="105"/>
          <w:sz w:val="21"/>
        </w:rPr>
        <w:t>a </w:t>
      </w:r>
      <w:r>
        <w:rPr>
          <w:spacing w:val="-3"/>
          <w:w w:val="105"/>
          <w:sz w:val="21"/>
        </w:rPr>
        <w:t>‘regular’ </w:t>
      </w:r>
      <w:r>
        <w:rPr>
          <w:spacing w:val="-4"/>
          <w:w w:val="105"/>
          <w:sz w:val="21"/>
        </w:rPr>
        <w:t>gift.</w:t>
      </w:r>
      <w:r>
        <w:rPr>
          <w:spacing w:val="-4"/>
          <w:w w:val="105"/>
          <w:position w:val="7"/>
          <w:sz w:val="12"/>
        </w:rPr>
        <w:t>138 </w:t>
      </w:r>
      <w:r>
        <w:rPr>
          <w:w w:val="105"/>
          <w:sz w:val="21"/>
        </w:rPr>
        <w:t>For </w:t>
      </w:r>
      <w:r>
        <w:rPr>
          <w:spacing w:val="-3"/>
          <w:w w:val="105"/>
          <w:sz w:val="21"/>
        </w:rPr>
        <w:t>example, </w:t>
      </w:r>
      <w:r>
        <w:rPr>
          <w:w w:val="105"/>
          <w:sz w:val="21"/>
        </w:rPr>
        <w:t>where a person divides their estate </w:t>
      </w:r>
      <w:r>
        <w:rPr>
          <w:spacing w:val="-3"/>
          <w:w w:val="105"/>
          <w:sz w:val="21"/>
        </w:rPr>
        <w:t>equally </w:t>
      </w:r>
      <w:r>
        <w:rPr>
          <w:w w:val="105"/>
          <w:sz w:val="21"/>
        </w:rPr>
        <w:t>between </w:t>
      </w:r>
      <w:r>
        <w:rPr>
          <w:spacing w:val="-3"/>
          <w:w w:val="105"/>
          <w:sz w:val="21"/>
        </w:rPr>
        <w:t>multiple children, </w:t>
      </w:r>
      <w:r>
        <w:rPr>
          <w:w w:val="105"/>
          <w:sz w:val="21"/>
        </w:rPr>
        <w:t>the person </w:t>
      </w:r>
      <w:r>
        <w:rPr>
          <w:spacing w:val="-3"/>
          <w:w w:val="105"/>
          <w:sz w:val="21"/>
        </w:rPr>
        <w:t>alleging undue influence </w:t>
      </w:r>
      <w:r>
        <w:rPr>
          <w:w w:val="105"/>
          <w:sz w:val="21"/>
        </w:rPr>
        <w:t>would be </w:t>
      </w:r>
      <w:r>
        <w:rPr>
          <w:spacing w:val="-3"/>
          <w:w w:val="105"/>
          <w:sz w:val="21"/>
        </w:rPr>
        <w:t>required to prove probate undue</w:t>
      </w:r>
      <w:r>
        <w:rPr>
          <w:spacing w:val="38"/>
          <w:w w:val="105"/>
          <w:sz w:val="21"/>
        </w:rPr>
        <w:t> </w:t>
      </w:r>
      <w:r>
        <w:rPr>
          <w:spacing w:val="-5"/>
          <w:w w:val="105"/>
          <w:sz w:val="21"/>
        </w:rPr>
        <w:t>influence.</w:t>
      </w:r>
      <w:r>
        <w:rPr>
          <w:spacing w:val="-5"/>
          <w:w w:val="105"/>
          <w:position w:val="7"/>
          <w:sz w:val="12"/>
        </w:rPr>
        <w:t>139</w:t>
      </w:r>
    </w:p>
    <w:p>
      <w:pPr>
        <w:pStyle w:val="ListParagraph"/>
        <w:numPr>
          <w:ilvl w:val="1"/>
          <w:numId w:val="22"/>
        </w:numPr>
        <w:tabs>
          <w:tab w:pos="2380" w:val="left" w:leader="none"/>
          <w:tab w:pos="2381" w:val="left" w:leader="none"/>
        </w:tabs>
        <w:spacing w:line="242" w:lineRule="auto" w:before="124" w:after="0"/>
        <w:ind w:left="2381" w:right="1686" w:hanging="794"/>
        <w:jc w:val="left"/>
        <w:rPr>
          <w:sz w:val="12"/>
        </w:rPr>
      </w:pPr>
      <w:r>
        <w:rPr>
          <w:w w:val="105"/>
          <w:sz w:val="21"/>
        </w:rPr>
        <w:t>There</w:t>
      </w:r>
      <w:r>
        <w:rPr>
          <w:spacing w:val="-8"/>
          <w:w w:val="105"/>
          <w:sz w:val="21"/>
        </w:rPr>
        <w:t> </w:t>
      </w:r>
      <w:r>
        <w:rPr>
          <w:w w:val="105"/>
          <w:sz w:val="21"/>
        </w:rPr>
        <w:t>was</w:t>
      </w:r>
      <w:r>
        <w:rPr>
          <w:spacing w:val="-7"/>
          <w:w w:val="105"/>
          <w:sz w:val="21"/>
        </w:rPr>
        <w:t> </w:t>
      </w:r>
      <w:r>
        <w:rPr>
          <w:w w:val="105"/>
          <w:sz w:val="21"/>
        </w:rPr>
        <w:t>also</w:t>
      </w:r>
      <w:r>
        <w:rPr>
          <w:spacing w:val="-7"/>
          <w:w w:val="105"/>
          <w:sz w:val="21"/>
        </w:rPr>
        <w:t> </w:t>
      </w:r>
      <w:r>
        <w:rPr>
          <w:w w:val="105"/>
          <w:sz w:val="21"/>
        </w:rPr>
        <w:t>some</w:t>
      </w:r>
      <w:r>
        <w:rPr>
          <w:spacing w:val="-7"/>
          <w:w w:val="105"/>
          <w:sz w:val="21"/>
        </w:rPr>
        <w:t> </w:t>
      </w:r>
      <w:r>
        <w:rPr>
          <w:w w:val="105"/>
          <w:sz w:val="21"/>
        </w:rPr>
        <w:t>support</w:t>
      </w:r>
      <w:r>
        <w:rPr>
          <w:spacing w:val="-8"/>
          <w:w w:val="105"/>
          <w:sz w:val="21"/>
        </w:rPr>
        <w:t> </w:t>
      </w:r>
      <w:r>
        <w:rPr>
          <w:spacing w:val="-3"/>
          <w:w w:val="105"/>
          <w:sz w:val="21"/>
        </w:rPr>
        <w:t>for</w:t>
      </w:r>
      <w:r>
        <w:rPr>
          <w:spacing w:val="-7"/>
          <w:w w:val="105"/>
          <w:sz w:val="21"/>
        </w:rPr>
        <w:t> </w:t>
      </w:r>
      <w:r>
        <w:rPr>
          <w:spacing w:val="-3"/>
          <w:w w:val="105"/>
          <w:sz w:val="21"/>
        </w:rPr>
        <w:t>having</w:t>
      </w:r>
      <w:r>
        <w:rPr>
          <w:spacing w:val="-7"/>
          <w:w w:val="105"/>
          <w:sz w:val="21"/>
        </w:rPr>
        <w:t> </w:t>
      </w:r>
      <w:r>
        <w:rPr>
          <w:w w:val="105"/>
          <w:sz w:val="21"/>
        </w:rPr>
        <w:t>the</w:t>
      </w:r>
      <w:r>
        <w:rPr>
          <w:spacing w:val="-7"/>
          <w:w w:val="105"/>
          <w:sz w:val="21"/>
        </w:rPr>
        <w:t> </w:t>
      </w:r>
      <w:r>
        <w:rPr>
          <w:w w:val="105"/>
          <w:sz w:val="21"/>
        </w:rPr>
        <w:t>tests</w:t>
      </w:r>
      <w:r>
        <w:rPr>
          <w:spacing w:val="-7"/>
          <w:w w:val="105"/>
          <w:sz w:val="21"/>
        </w:rPr>
        <w:t> </w:t>
      </w:r>
      <w:r>
        <w:rPr>
          <w:w w:val="105"/>
          <w:sz w:val="21"/>
        </w:rPr>
        <w:t>adopted</w:t>
      </w:r>
      <w:r>
        <w:rPr>
          <w:spacing w:val="-8"/>
          <w:w w:val="105"/>
          <w:sz w:val="21"/>
        </w:rPr>
        <w:t> </w:t>
      </w:r>
      <w:r>
        <w:rPr>
          <w:w w:val="105"/>
          <w:sz w:val="21"/>
        </w:rPr>
        <w:t>by</w:t>
      </w:r>
      <w:r>
        <w:rPr>
          <w:spacing w:val="-7"/>
          <w:w w:val="105"/>
          <w:sz w:val="21"/>
        </w:rPr>
        <w:t> </w:t>
      </w:r>
      <w:r>
        <w:rPr>
          <w:w w:val="105"/>
          <w:sz w:val="21"/>
        </w:rPr>
        <w:t>Justice</w:t>
      </w:r>
      <w:r>
        <w:rPr>
          <w:spacing w:val="-7"/>
          <w:w w:val="105"/>
          <w:sz w:val="21"/>
        </w:rPr>
        <w:t> </w:t>
      </w:r>
      <w:r>
        <w:rPr>
          <w:w w:val="105"/>
          <w:sz w:val="21"/>
        </w:rPr>
        <w:t>Vickery</w:t>
      </w:r>
      <w:r>
        <w:rPr>
          <w:spacing w:val="-7"/>
          <w:w w:val="105"/>
          <w:sz w:val="21"/>
        </w:rPr>
        <w:t> </w:t>
      </w:r>
      <w:r>
        <w:rPr>
          <w:w w:val="105"/>
          <w:sz w:val="21"/>
        </w:rPr>
        <w:t>in</w:t>
      </w:r>
      <w:r>
        <w:rPr>
          <w:spacing w:val="-7"/>
          <w:w w:val="105"/>
          <w:sz w:val="21"/>
        </w:rPr>
        <w:t> </w:t>
      </w:r>
      <w:r>
        <w:rPr>
          <w:i/>
          <w:spacing w:val="-3"/>
          <w:w w:val="105"/>
          <w:sz w:val="21"/>
        </w:rPr>
        <w:t>Nicholson </w:t>
      </w:r>
      <w:r>
        <w:rPr>
          <w:i/>
          <w:w w:val="105"/>
          <w:sz w:val="21"/>
        </w:rPr>
        <w:t>v Knaggs </w:t>
      </w:r>
      <w:r>
        <w:rPr>
          <w:spacing w:val="-3"/>
          <w:w w:val="105"/>
          <w:sz w:val="21"/>
        </w:rPr>
        <w:t>included </w:t>
      </w:r>
      <w:r>
        <w:rPr>
          <w:w w:val="105"/>
          <w:sz w:val="21"/>
        </w:rPr>
        <w:t>in </w:t>
      </w:r>
      <w:r>
        <w:rPr>
          <w:spacing w:val="-3"/>
          <w:w w:val="105"/>
          <w:sz w:val="21"/>
        </w:rPr>
        <w:t>legislation </w:t>
      </w:r>
      <w:r>
        <w:rPr>
          <w:w w:val="105"/>
          <w:position w:val="7"/>
          <w:sz w:val="12"/>
        </w:rPr>
        <w:t>140 </w:t>
      </w:r>
      <w:r>
        <w:rPr>
          <w:w w:val="105"/>
          <w:sz w:val="21"/>
        </w:rPr>
        <w:t>or </w:t>
      </w:r>
      <w:r>
        <w:rPr>
          <w:spacing w:val="-3"/>
          <w:w w:val="105"/>
          <w:sz w:val="21"/>
        </w:rPr>
        <w:t>for </w:t>
      </w:r>
      <w:r>
        <w:rPr>
          <w:w w:val="105"/>
          <w:sz w:val="21"/>
        </w:rPr>
        <w:t>otherwise </w:t>
      </w:r>
      <w:r>
        <w:rPr>
          <w:spacing w:val="-3"/>
          <w:w w:val="105"/>
          <w:sz w:val="21"/>
        </w:rPr>
        <w:t>relaxing </w:t>
      </w:r>
      <w:r>
        <w:rPr>
          <w:w w:val="105"/>
          <w:sz w:val="21"/>
        </w:rPr>
        <w:t>the </w:t>
      </w:r>
      <w:r>
        <w:rPr>
          <w:spacing w:val="-3"/>
          <w:w w:val="105"/>
          <w:sz w:val="21"/>
        </w:rPr>
        <w:t>probate</w:t>
      </w:r>
      <w:r>
        <w:rPr>
          <w:w w:val="105"/>
          <w:sz w:val="21"/>
        </w:rPr>
        <w:t> </w:t>
      </w:r>
      <w:r>
        <w:rPr>
          <w:spacing w:val="-4"/>
          <w:w w:val="105"/>
          <w:sz w:val="21"/>
        </w:rPr>
        <w:t>doctrine.</w:t>
      </w:r>
      <w:r>
        <w:rPr>
          <w:spacing w:val="-4"/>
          <w:w w:val="105"/>
          <w:position w:val="7"/>
          <w:sz w:val="12"/>
        </w:rPr>
        <w:t>141</w:t>
      </w:r>
    </w:p>
    <w:p>
      <w:pPr>
        <w:pStyle w:val="ListParagraph"/>
        <w:numPr>
          <w:ilvl w:val="1"/>
          <w:numId w:val="22"/>
        </w:numPr>
        <w:tabs>
          <w:tab w:pos="2381" w:val="left" w:leader="none"/>
          <w:tab w:pos="2382" w:val="left" w:leader="none"/>
        </w:tabs>
        <w:spacing w:line="242" w:lineRule="auto" w:before="122" w:after="0"/>
        <w:ind w:left="2381" w:right="1822" w:hanging="794"/>
        <w:jc w:val="left"/>
        <w:rPr>
          <w:sz w:val="21"/>
        </w:rPr>
      </w:pPr>
      <w:r>
        <w:rPr>
          <w:sz w:val="21"/>
        </w:rPr>
        <w:t>While the </w:t>
      </w:r>
      <w:r>
        <w:rPr>
          <w:spacing w:val="-3"/>
          <w:sz w:val="21"/>
        </w:rPr>
        <w:t>Commission </w:t>
      </w:r>
      <w:r>
        <w:rPr>
          <w:sz w:val="21"/>
        </w:rPr>
        <w:t>can see some merit in passing </w:t>
      </w:r>
      <w:r>
        <w:rPr>
          <w:spacing w:val="-3"/>
          <w:sz w:val="21"/>
        </w:rPr>
        <w:t>legislation that makes undue influence </w:t>
      </w:r>
      <w:r>
        <w:rPr>
          <w:spacing w:val="-2"/>
          <w:sz w:val="21"/>
        </w:rPr>
        <w:t>easier </w:t>
      </w:r>
      <w:r>
        <w:rPr>
          <w:spacing w:val="-3"/>
          <w:sz w:val="21"/>
        </w:rPr>
        <w:t>to </w:t>
      </w:r>
      <w:r>
        <w:rPr>
          <w:spacing w:val="-4"/>
          <w:sz w:val="21"/>
        </w:rPr>
        <w:t>prove, </w:t>
      </w:r>
      <w:r>
        <w:rPr>
          <w:sz w:val="21"/>
        </w:rPr>
        <w:t>either by giving statutory </w:t>
      </w:r>
      <w:r>
        <w:rPr>
          <w:spacing w:val="-3"/>
          <w:sz w:val="21"/>
        </w:rPr>
        <w:t>backing to </w:t>
      </w:r>
      <w:r>
        <w:rPr>
          <w:sz w:val="21"/>
        </w:rPr>
        <w:t>the tests in </w:t>
      </w:r>
      <w:r>
        <w:rPr>
          <w:i/>
          <w:spacing w:val="-3"/>
          <w:sz w:val="21"/>
        </w:rPr>
        <w:t>Nicholson </w:t>
      </w:r>
      <w:r>
        <w:rPr>
          <w:i/>
          <w:sz w:val="21"/>
        </w:rPr>
        <w:t>v </w:t>
      </w:r>
      <w:r>
        <w:rPr>
          <w:i/>
          <w:sz w:val="21"/>
        </w:rPr>
        <w:t>Knaggs </w:t>
      </w:r>
      <w:r>
        <w:rPr>
          <w:position w:val="7"/>
          <w:sz w:val="12"/>
        </w:rPr>
        <w:t>142 </w:t>
      </w:r>
      <w:r>
        <w:rPr>
          <w:sz w:val="21"/>
        </w:rPr>
        <w:t>or by </w:t>
      </w:r>
      <w:r>
        <w:rPr>
          <w:spacing w:val="-3"/>
          <w:sz w:val="21"/>
        </w:rPr>
        <w:t>introducing </w:t>
      </w:r>
      <w:r>
        <w:rPr>
          <w:sz w:val="21"/>
        </w:rPr>
        <w:t>the equitable doctrine </w:t>
      </w:r>
      <w:r>
        <w:rPr>
          <w:spacing w:val="-4"/>
          <w:sz w:val="21"/>
        </w:rPr>
        <w:t>into </w:t>
      </w:r>
      <w:r>
        <w:rPr>
          <w:sz w:val="21"/>
        </w:rPr>
        <w:t>the </w:t>
      </w:r>
      <w:r>
        <w:rPr>
          <w:spacing w:val="-3"/>
          <w:sz w:val="21"/>
        </w:rPr>
        <w:t>probate </w:t>
      </w:r>
      <w:r>
        <w:rPr>
          <w:sz w:val="21"/>
        </w:rPr>
        <w:t>context, it does </w:t>
      </w:r>
      <w:r>
        <w:rPr>
          <w:spacing w:val="-2"/>
          <w:sz w:val="21"/>
        </w:rPr>
        <w:t>not </w:t>
      </w:r>
      <w:r>
        <w:rPr>
          <w:spacing w:val="-3"/>
          <w:sz w:val="21"/>
        </w:rPr>
        <w:t>recommend legislative change </w:t>
      </w:r>
      <w:r>
        <w:rPr>
          <w:sz w:val="21"/>
        </w:rPr>
        <w:t>at this </w:t>
      </w:r>
      <w:r>
        <w:rPr>
          <w:spacing w:val="-3"/>
          <w:sz w:val="21"/>
        </w:rPr>
        <w:t>time. </w:t>
      </w:r>
      <w:r>
        <w:rPr>
          <w:sz w:val="21"/>
        </w:rPr>
        <w:t>As the </w:t>
      </w:r>
      <w:r>
        <w:rPr>
          <w:spacing w:val="-3"/>
          <w:sz w:val="21"/>
        </w:rPr>
        <w:t>recent  </w:t>
      </w:r>
      <w:r>
        <w:rPr>
          <w:sz w:val="21"/>
        </w:rPr>
        <w:t>developments in the </w:t>
      </w:r>
      <w:r>
        <w:rPr>
          <w:spacing w:val="-2"/>
          <w:sz w:val="21"/>
        </w:rPr>
        <w:t>common</w:t>
      </w:r>
      <w:r>
        <w:rPr>
          <w:spacing w:val="43"/>
          <w:sz w:val="21"/>
        </w:rPr>
        <w:t> </w:t>
      </w:r>
      <w:r>
        <w:rPr>
          <w:sz w:val="21"/>
        </w:rPr>
        <w:t>law </w:t>
      </w:r>
      <w:r>
        <w:rPr>
          <w:spacing w:val="-3"/>
          <w:sz w:val="21"/>
        </w:rPr>
        <w:t>probate </w:t>
      </w:r>
      <w:r>
        <w:rPr>
          <w:sz w:val="21"/>
        </w:rPr>
        <w:t>doctrine appear </w:t>
      </w:r>
      <w:r>
        <w:rPr>
          <w:spacing w:val="-3"/>
          <w:sz w:val="21"/>
        </w:rPr>
        <w:t>to have </w:t>
      </w:r>
      <w:r>
        <w:rPr>
          <w:sz w:val="21"/>
        </w:rPr>
        <w:t>made </w:t>
      </w:r>
      <w:r>
        <w:rPr>
          <w:spacing w:val="-3"/>
          <w:sz w:val="21"/>
        </w:rPr>
        <w:t>undue influence </w:t>
      </w:r>
      <w:r>
        <w:rPr>
          <w:spacing w:val="-2"/>
          <w:sz w:val="21"/>
        </w:rPr>
        <w:t>easier </w:t>
      </w:r>
      <w:r>
        <w:rPr>
          <w:spacing w:val="-3"/>
          <w:sz w:val="21"/>
        </w:rPr>
        <w:t>to </w:t>
      </w:r>
      <w:r>
        <w:rPr>
          <w:spacing w:val="-4"/>
          <w:sz w:val="21"/>
        </w:rPr>
        <w:t>prove, </w:t>
      </w:r>
      <w:r>
        <w:rPr>
          <w:sz w:val="21"/>
        </w:rPr>
        <w:t>it is </w:t>
      </w:r>
      <w:r>
        <w:rPr>
          <w:spacing w:val="-2"/>
          <w:sz w:val="21"/>
        </w:rPr>
        <w:t>not </w:t>
      </w:r>
      <w:r>
        <w:rPr>
          <w:sz w:val="21"/>
        </w:rPr>
        <w:t>necessary </w:t>
      </w:r>
      <w:r>
        <w:rPr>
          <w:spacing w:val="-3"/>
          <w:sz w:val="21"/>
        </w:rPr>
        <w:t>to enshrine </w:t>
      </w:r>
      <w:r>
        <w:rPr>
          <w:sz w:val="21"/>
        </w:rPr>
        <w:t>it in </w:t>
      </w:r>
      <w:r>
        <w:rPr>
          <w:spacing w:val="-3"/>
          <w:sz w:val="21"/>
        </w:rPr>
        <w:t>legislation. </w:t>
      </w:r>
      <w:r>
        <w:rPr>
          <w:sz w:val="21"/>
        </w:rPr>
        <w:t>Any statutory </w:t>
      </w:r>
      <w:r>
        <w:rPr>
          <w:spacing w:val="-3"/>
          <w:sz w:val="21"/>
        </w:rPr>
        <w:t>provision  that  </w:t>
      </w:r>
      <w:r>
        <w:rPr>
          <w:sz w:val="21"/>
        </w:rPr>
        <w:t>applies  equitable </w:t>
      </w:r>
      <w:r>
        <w:rPr>
          <w:spacing w:val="-3"/>
          <w:sz w:val="21"/>
        </w:rPr>
        <w:t>undue influence to probate </w:t>
      </w:r>
      <w:r>
        <w:rPr>
          <w:sz w:val="21"/>
        </w:rPr>
        <w:t>matters would need </w:t>
      </w:r>
      <w:r>
        <w:rPr>
          <w:spacing w:val="-3"/>
          <w:sz w:val="21"/>
        </w:rPr>
        <w:t>to </w:t>
      </w:r>
      <w:r>
        <w:rPr>
          <w:sz w:val="21"/>
        </w:rPr>
        <w:t>modify the doctrine in order </w:t>
      </w:r>
      <w:r>
        <w:rPr>
          <w:spacing w:val="-3"/>
          <w:sz w:val="21"/>
        </w:rPr>
        <w:t>to accommodate </w:t>
      </w:r>
      <w:r>
        <w:rPr>
          <w:sz w:val="21"/>
        </w:rPr>
        <w:t>the context </w:t>
      </w:r>
      <w:r>
        <w:rPr>
          <w:spacing w:val="-3"/>
          <w:sz w:val="21"/>
        </w:rPr>
        <w:t>within </w:t>
      </w:r>
      <w:r>
        <w:rPr>
          <w:sz w:val="21"/>
        </w:rPr>
        <w:t>which a </w:t>
      </w:r>
      <w:r>
        <w:rPr>
          <w:spacing w:val="-3"/>
          <w:sz w:val="21"/>
        </w:rPr>
        <w:t>will</w:t>
      </w:r>
      <w:r>
        <w:rPr>
          <w:sz w:val="21"/>
        </w:rPr>
        <w:t> is </w:t>
      </w:r>
      <w:r>
        <w:rPr>
          <w:spacing w:val="-3"/>
          <w:sz w:val="21"/>
        </w:rPr>
        <w:t>made.</w:t>
      </w:r>
    </w:p>
    <w:p>
      <w:pPr>
        <w:pStyle w:val="ListParagraph"/>
        <w:numPr>
          <w:ilvl w:val="1"/>
          <w:numId w:val="22"/>
        </w:numPr>
        <w:tabs>
          <w:tab w:pos="2380" w:val="left" w:leader="none"/>
          <w:tab w:pos="2381" w:val="left" w:leader="none"/>
        </w:tabs>
        <w:spacing w:line="242" w:lineRule="auto" w:before="129" w:after="0"/>
        <w:ind w:left="2380" w:right="2074" w:hanging="793"/>
        <w:jc w:val="left"/>
        <w:rPr>
          <w:sz w:val="21"/>
        </w:rPr>
      </w:pPr>
      <w:r>
        <w:rPr>
          <w:w w:val="105"/>
          <w:sz w:val="21"/>
        </w:rPr>
        <w:t>The </w:t>
      </w:r>
      <w:r>
        <w:rPr>
          <w:spacing w:val="-3"/>
          <w:w w:val="105"/>
          <w:sz w:val="21"/>
        </w:rPr>
        <w:t>British </w:t>
      </w:r>
      <w:r>
        <w:rPr>
          <w:spacing w:val="-4"/>
          <w:w w:val="105"/>
          <w:sz w:val="21"/>
        </w:rPr>
        <w:t>Columbia </w:t>
      </w:r>
      <w:r>
        <w:rPr>
          <w:spacing w:val="-3"/>
          <w:w w:val="105"/>
          <w:sz w:val="21"/>
        </w:rPr>
        <w:t>reform </w:t>
      </w:r>
      <w:r>
        <w:rPr>
          <w:w w:val="105"/>
          <w:sz w:val="21"/>
        </w:rPr>
        <w:t>is </w:t>
      </w:r>
      <w:r>
        <w:rPr>
          <w:spacing w:val="-3"/>
          <w:w w:val="105"/>
          <w:sz w:val="21"/>
        </w:rPr>
        <w:t>groundbreaking </w:t>
      </w:r>
      <w:r>
        <w:rPr>
          <w:w w:val="105"/>
          <w:sz w:val="21"/>
        </w:rPr>
        <w:t>and </w:t>
      </w:r>
      <w:r>
        <w:rPr>
          <w:spacing w:val="-3"/>
          <w:w w:val="105"/>
          <w:sz w:val="21"/>
        </w:rPr>
        <w:t>could signal </w:t>
      </w:r>
      <w:r>
        <w:rPr>
          <w:w w:val="105"/>
          <w:sz w:val="21"/>
        </w:rPr>
        <w:t>a direction in the development</w:t>
      </w:r>
      <w:r>
        <w:rPr>
          <w:spacing w:val="-10"/>
          <w:w w:val="105"/>
          <w:sz w:val="21"/>
        </w:rPr>
        <w:t> </w:t>
      </w:r>
      <w:r>
        <w:rPr>
          <w:w w:val="105"/>
          <w:sz w:val="21"/>
        </w:rPr>
        <w:t>of</w:t>
      </w:r>
      <w:r>
        <w:rPr>
          <w:spacing w:val="-10"/>
          <w:w w:val="105"/>
          <w:sz w:val="21"/>
        </w:rPr>
        <w:t> </w:t>
      </w:r>
      <w:r>
        <w:rPr>
          <w:w w:val="105"/>
          <w:sz w:val="21"/>
        </w:rPr>
        <w:t>the</w:t>
      </w:r>
      <w:r>
        <w:rPr>
          <w:spacing w:val="-9"/>
          <w:w w:val="105"/>
          <w:sz w:val="21"/>
        </w:rPr>
        <w:t> </w:t>
      </w:r>
      <w:r>
        <w:rPr>
          <w:w w:val="105"/>
          <w:sz w:val="21"/>
        </w:rPr>
        <w:t>law</w:t>
      </w:r>
      <w:r>
        <w:rPr>
          <w:spacing w:val="-10"/>
          <w:w w:val="105"/>
          <w:sz w:val="21"/>
        </w:rPr>
        <w:t> </w:t>
      </w:r>
      <w:r>
        <w:rPr>
          <w:spacing w:val="-3"/>
          <w:w w:val="105"/>
          <w:sz w:val="21"/>
        </w:rPr>
        <w:t>that</w:t>
      </w:r>
      <w:r>
        <w:rPr>
          <w:spacing w:val="-10"/>
          <w:w w:val="105"/>
          <w:sz w:val="21"/>
        </w:rPr>
        <w:t> </w:t>
      </w:r>
      <w:r>
        <w:rPr>
          <w:w w:val="105"/>
          <w:sz w:val="21"/>
        </w:rPr>
        <w:t>Victoria,</w:t>
      </w:r>
      <w:r>
        <w:rPr>
          <w:spacing w:val="-9"/>
          <w:w w:val="105"/>
          <w:sz w:val="21"/>
        </w:rPr>
        <w:t> </w:t>
      </w:r>
      <w:r>
        <w:rPr>
          <w:w w:val="105"/>
          <w:sz w:val="21"/>
        </w:rPr>
        <w:t>and</w:t>
      </w:r>
      <w:r>
        <w:rPr>
          <w:spacing w:val="-10"/>
          <w:w w:val="105"/>
          <w:sz w:val="21"/>
        </w:rPr>
        <w:t> </w:t>
      </w:r>
      <w:r>
        <w:rPr>
          <w:w w:val="105"/>
          <w:sz w:val="21"/>
        </w:rPr>
        <w:t>other</w:t>
      </w:r>
      <w:r>
        <w:rPr>
          <w:spacing w:val="-9"/>
          <w:w w:val="105"/>
          <w:sz w:val="21"/>
        </w:rPr>
        <w:t> </w:t>
      </w:r>
      <w:r>
        <w:rPr>
          <w:spacing w:val="-3"/>
          <w:w w:val="105"/>
          <w:sz w:val="21"/>
        </w:rPr>
        <w:t>Australian</w:t>
      </w:r>
      <w:r>
        <w:rPr>
          <w:spacing w:val="-10"/>
          <w:w w:val="105"/>
          <w:sz w:val="21"/>
        </w:rPr>
        <w:t> </w:t>
      </w:r>
      <w:r>
        <w:rPr>
          <w:w w:val="105"/>
          <w:sz w:val="21"/>
        </w:rPr>
        <w:t>jurisdictions,</w:t>
      </w:r>
      <w:r>
        <w:rPr>
          <w:spacing w:val="-10"/>
          <w:w w:val="105"/>
          <w:sz w:val="21"/>
        </w:rPr>
        <w:t> </w:t>
      </w:r>
      <w:r>
        <w:rPr>
          <w:spacing w:val="-3"/>
          <w:w w:val="105"/>
          <w:sz w:val="21"/>
        </w:rPr>
        <w:t>may</w:t>
      </w:r>
      <w:r>
        <w:rPr>
          <w:spacing w:val="-9"/>
          <w:w w:val="105"/>
          <w:sz w:val="21"/>
        </w:rPr>
        <w:t> </w:t>
      </w:r>
      <w:r>
        <w:rPr>
          <w:spacing w:val="-3"/>
          <w:w w:val="105"/>
          <w:sz w:val="21"/>
        </w:rPr>
        <w:t>want</w:t>
      </w:r>
      <w:r>
        <w:rPr>
          <w:spacing w:val="-10"/>
          <w:w w:val="105"/>
          <w:sz w:val="21"/>
        </w:rPr>
        <w:t> </w:t>
      </w:r>
      <w:r>
        <w:rPr>
          <w:spacing w:val="-3"/>
          <w:w w:val="105"/>
          <w:sz w:val="21"/>
        </w:rPr>
        <w:t>to </w:t>
      </w:r>
      <w:r>
        <w:rPr>
          <w:spacing w:val="-4"/>
          <w:w w:val="105"/>
          <w:sz w:val="21"/>
        </w:rPr>
        <w:t>follow. </w:t>
      </w:r>
      <w:r>
        <w:rPr>
          <w:w w:val="105"/>
          <w:sz w:val="21"/>
        </w:rPr>
        <w:t>For this </w:t>
      </w:r>
      <w:r>
        <w:rPr>
          <w:spacing w:val="-3"/>
          <w:w w:val="105"/>
          <w:sz w:val="21"/>
        </w:rPr>
        <w:t>reason, </w:t>
      </w:r>
      <w:r>
        <w:rPr>
          <w:w w:val="105"/>
          <w:sz w:val="21"/>
        </w:rPr>
        <w:t>the </w:t>
      </w:r>
      <w:r>
        <w:rPr>
          <w:spacing w:val="-3"/>
          <w:w w:val="105"/>
          <w:sz w:val="21"/>
        </w:rPr>
        <w:t>Commission </w:t>
      </w:r>
      <w:r>
        <w:rPr>
          <w:w w:val="105"/>
          <w:sz w:val="21"/>
        </w:rPr>
        <w:t>considers </w:t>
      </w:r>
      <w:r>
        <w:rPr>
          <w:spacing w:val="-3"/>
          <w:w w:val="105"/>
          <w:sz w:val="21"/>
        </w:rPr>
        <w:t>that, </w:t>
      </w:r>
      <w:r>
        <w:rPr>
          <w:w w:val="105"/>
          <w:sz w:val="21"/>
        </w:rPr>
        <w:t>after it </w:t>
      </w:r>
      <w:r>
        <w:rPr>
          <w:spacing w:val="-2"/>
          <w:w w:val="105"/>
          <w:sz w:val="21"/>
        </w:rPr>
        <w:t>has </w:t>
      </w:r>
      <w:r>
        <w:rPr>
          <w:w w:val="105"/>
          <w:sz w:val="21"/>
        </w:rPr>
        <w:t>been in effect </w:t>
      </w:r>
      <w:r>
        <w:rPr>
          <w:spacing w:val="-3"/>
          <w:w w:val="105"/>
          <w:sz w:val="21"/>
        </w:rPr>
        <w:t>for four </w:t>
      </w:r>
      <w:r>
        <w:rPr>
          <w:w w:val="105"/>
          <w:sz w:val="21"/>
        </w:rPr>
        <w:t>years, the Attorney-General should be advised</w:t>
      </w:r>
      <w:r>
        <w:rPr>
          <w:spacing w:val="21"/>
          <w:w w:val="105"/>
          <w:sz w:val="21"/>
        </w:rPr>
        <w:t> </w:t>
      </w:r>
      <w:r>
        <w:rPr>
          <w:w w:val="105"/>
          <w:sz w:val="21"/>
        </w:rPr>
        <w:t>about:</w:t>
      </w:r>
    </w:p>
    <w:p>
      <w:pPr>
        <w:pStyle w:val="ListParagraph"/>
        <w:numPr>
          <w:ilvl w:val="2"/>
          <w:numId w:val="22"/>
        </w:numPr>
        <w:tabs>
          <w:tab w:pos="2721" w:val="left" w:leader="none"/>
          <w:tab w:pos="2722" w:val="left" w:leader="none"/>
        </w:tabs>
        <w:spacing w:line="242" w:lineRule="auto" w:before="124" w:after="0"/>
        <w:ind w:left="2721" w:right="1765" w:hanging="341"/>
        <w:jc w:val="left"/>
        <w:rPr>
          <w:sz w:val="21"/>
        </w:rPr>
      </w:pPr>
      <w:r>
        <w:rPr>
          <w:w w:val="105"/>
          <w:sz w:val="21"/>
        </w:rPr>
        <w:t>the effect </w:t>
      </w:r>
      <w:r>
        <w:rPr>
          <w:spacing w:val="-3"/>
          <w:w w:val="105"/>
          <w:sz w:val="21"/>
        </w:rPr>
        <w:t>that </w:t>
      </w:r>
      <w:r>
        <w:rPr>
          <w:w w:val="105"/>
          <w:sz w:val="21"/>
        </w:rPr>
        <w:t>the new </w:t>
      </w:r>
      <w:r>
        <w:rPr>
          <w:spacing w:val="-3"/>
          <w:w w:val="105"/>
          <w:sz w:val="21"/>
        </w:rPr>
        <w:t>legislation </w:t>
      </w:r>
      <w:r>
        <w:rPr>
          <w:w w:val="105"/>
          <w:sz w:val="21"/>
        </w:rPr>
        <w:t>is </w:t>
      </w:r>
      <w:r>
        <w:rPr>
          <w:spacing w:val="-3"/>
          <w:w w:val="105"/>
          <w:sz w:val="21"/>
        </w:rPr>
        <w:t>having </w:t>
      </w:r>
      <w:r>
        <w:rPr>
          <w:w w:val="105"/>
          <w:sz w:val="21"/>
        </w:rPr>
        <w:t>on protecting will-makers </w:t>
      </w:r>
      <w:r>
        <w:rPr>
          <w:spacing w:val="-3"/>
          <w:w w:val="105"/>
          <w:sz w:val="21"/>
        </w:rPr>
        <w:t>against undue influence</w:t>
      </w:r>
    </w:p>
    <w:p>
      <w:pPr>
        <w:pStyle w:val="ListParagraph"/>
        <w:numPr>
          <w:ilvl w:val="2"/>
          <w:numId w:val="22"/>
        </w:numPr>
        <w:tabs>
          <w:tab w:pos="2721" w:val="left" w:leader="none"/>
          <w:tab w:pos="2722" w:val="left" w:leader="none"/>
        </w:tabs>
        <w:spacing w:line="242" w:lineRule="auto" w:before="123" w:after="0"/>
        <w:ind w:left="2721" w:right="2012" w:hanging="341"/>
        <w:jc w:val="left"/>
        <w:rPr>
          <w:sz w:val="21"/>
        </w:rPr>
      </w:pPr>
      <w:r>
        <w:rPr>
          <w:spacing w:val="-4"/>
          <w:w w:val="105"/>
          <w:sz w:val="21"/>
        </w:rPr>
        <w:t>whether, </w:t>
      </w:r>
      <w:r>
        <w:rPr>
          <w:w w:val="105"/>
          <w:sz w:val="21"/>
        </w:rPr>
        <w:t>in view of the development of the </w:t>
      </w:r>
      <w:r>
        <w:rPr>
          <w:spacing w:val="-2"/>
          <w:w w:val="105"/>
          <w:sz w:val="21"/>
        </w:rPr>
        <w:t>common </w:t>
      </w:r>
      <w:r>
        <w:rPr>
          <w:w w:val="105"/>
          <w:sz w:val="21"/>
        </w:rPr>
        <w:t>law doctrine in </w:t>
      </w:r>
      <w:r>
        <w:rPr>
          <w:spacing w:val="-3"/>
          <w:w w:val="105"/>
          <w:sz w:val="21"/>
        </w:rPr>
        <w:t>Australia </w:t>
      </w:r>
      <w:r>
        <w:rPr>
          <w:w w:val="105"/>
          <w:sz w:val="21"/>
        </w:rPr>
        <w:t>as </w:t>
      </w:r>
      <w:r>
        <w:rPr>
          <w:spacing w:val="-3"/>
          <w:w w:val="105"/>
          <w:sz w:val="21"/>
        </w:rPr>
        <w:t>well </w:t>
      </w:r>
      <w:r>
        <w:rPr>
          <w:w w:val="105"/>
          <w:sz w:val="21"/>
        </w:rPr>
        <w:t>as the operation of the </w:t>
      </w:r>
      <w:r>
        <w:rPr>
          <w:spacing w:val="-3"/>
          <w:w w:val="105"/>
          <w:sz w:val="21"/>
        </w:rPr>
        <w:t>British </w:t>
      </w:r>
      <w:r>
        <w:rPr>
          <w:spacing w:val="-4"/>
          <w:w w:val="105"/>
          <w:sz w:val="21"/>
        </w:rPr>
        <w:t>Columbia </w:t>
      </w:r>
      <w:r>
        <w:rPr>
          <w:spacing w:val="-3"/>
          <w:w w:val="105"/>
          <w:sz w:val="21"/>
        </w:rPr>
        <w:t>legislation, </w:t>
      </w:r>
      <w:r>
        <w:rPr>
          <w:w w:val="105"/>
          <w:sz w:val="21"/>
        </w:rPr>
        <w:t>a</w:t>
      </w:r>
      <w:r>
        <w:rPr>
          <w:spacing w:val="-36"/>
          <w:w w:val="105"/>
          <w:sz w:val="21"/>
        </w:rPr>
        <w:t> </w:t>
      </w:r>
      <w:r>
        <w:rPr>
          <w:spacing w:val="-3"/>
          <w:w w:val="105"/>
          <w:sz w:val="21"/>
        </w:rPr>
        <w:t>similar provision </w:t>
      </w:r>
      <w:r>
        <w:rPr>
          <w:w w:val="105"/>
          <w:sz w:val="21"/>
        </w:rPr>
        <w:t>should be adopted in</w:t>
      </w:r>
      <w:r>
        <w:rPr>
          <w:spacing w:val="15"/>
          <w:w w:val="105"/>
          <w:sz w:val="21"/>
        </w:rPr>
        <w:t> </w:t>
      </w:r>
      <w:r>
        <w:rPr>
          <w:w w:val="105"/>
          <w:sz w:val="21"/>
        </w:rPr>
        <w:t>Victoria.</w:t>
      </w:r>
    </w:p>
    <w:p>
      <w:pPr>
        <w:pStyle w:val="ListParagraph"/>
        <w:numPr>
          <w:ilvl w:val="1"/>
          <w:numId w:val="22"/>
        </w:numPr>
        <w:tabs>
          <w:tab w:pos="2380" w:val="left" w:leader="none"/>
          <w:tab w:pos="2381" w:val="left" w:leader="none"/>
        </w:tabs>
        <w:spacing w:line="242" w:lineRule="auto" w:before="123" w:after="0"/>
        <w:ind w:left="2380" w:right="1602" w:hanging="793"/>
        <w:jc w:val="left"/>
        <w:rPr>
          <w:sz w:val="21"/>
        </w:rPr>
      </w:pPr>
      <w:r>
        <w:rPr>
          <w:w w:val="105"/>
          <w:sz w:val="21"/>
        </w:rPr>
        <w:t>The</w:t>
      </w:r>
      <w:r>
        <w:rPr>
          <w:spacing w:val="-6"/>
          <w:w w:val="105"/>
          <w:sz w:val="21"/>
        </w:rPr>
        <w:t> </w:t>
      </w:r>
      <w:r>
        <w:rPr>
          <w:spacing w:val="-3"/>
          <w:w w:val="105"/>
          <w:sz w:val="21"/>
        </w:rPr>
        <w:t>Commission</w:t>
      </w:r>
      <w:r>
        <w:rPr>
          <w:spacing w:val="-5"/>
          <w:w w:val="105"/>
          <w:sz w:val="21"/>
        </w:rPr>
        <w:t> </w:t>
      </w:r>
      <w:r>
        <w:rPr>
          <w:w w:val="105"/>
          <w:sz w:val="21"/>
        </w:rPr>
        <w:t>expects</w:t>
      </w:r>
      <w:r>
        <w:rPr>
          <w:spacing w:val="-5"/>
          <w:w w:val="105"/>
          <w:sz w:val="21"/>
        </w:rPr>
        <w:t> </w:t>
      </w:r>
      <w:r>
        <w:rPr>
          <w:spacing w:val="-3"/>
          <w:w w:val="105"/>
          <w:sz w:val="21"/>
        </w:rPr>
        <w:t>that</w:t>
      </w:r>
      <w:r>
        <w:rPr>
          <w:spacing w:val="-5"/>
          <w:w w:val="105"/>
          <w:sz w:val="21"/>
        </w:rPr>
        <w:t> </w:t>
      </w:r>
      <w:r>
        <w:rPr>
          <w:w w:val="105"/>
          <w:sz w:val="21"/>
        </w:rPr>
        <w:t>the</w:t>
      </w:r>
      <w:r>
        <w:rPr>
          <w:spacing w:val="-6"/>
          <w:w w:val="105"/>
          <w:sz w:val="21"/>
        </w:rPr>
        <w:t> </w:t>
      </w:r>
      <w:r>
        <w:rPr>
          <w:w w:val="105"/>
          <w:sz w:val="21"/>
        </w:rPr>
        <w:t>Department</w:t>
      </w:r>
      <w:r>
        <w:rPr>
          <w:spacing w:val="-5"/>
          <w:w w:val="105"/>
          <w:sz w:val="21"/>
        </w:rPr>
        <w:t> </w:t>
      </w:r>
      <w:r>
        <w:rPr>
          <w:w w:val="105"/>
          <w:sz w:val="21"/>
        </w:rPr>
        <w:t>of</w:t>
      </w:r>
      <w:r>
        <w:rPr>
          <w:spacing w:val="-5"/>
          <w:w w:val="105"/>
          <w:sz w:val="21"/>
        </w:rPr>
        <w:t> </w:t>
      </w:r>
      <w:r>
        <w:rPr>
          <w:w w:val="105"/>
          <w:sz w:val="21"/>
        </w:rPr>
        <w:t>Justice</w:t>
      </w:r>
      <w:r>
        <w:rPr>
          <w:spacing w:val="-5"/>
          <w:w w:val="105"/>
          <w:sz w:val="21"/>
        </w:rPr>
        <w:t> </w:t>
      </w:r>
      <w:r>
        <w:rPr>
          <w:w w:val="105"/>
          <w:sz w:val="21"/>
        </w:rPr>
        <w:t>would</w:t>
      </w:r>
      <w:r>
        <w:rPr>
          <w:spacing w:val="-5"/>
          <w:w w:val="105"/>
          <w:sz w:val="21"/>
        </w:rPr>
        <w:t> </w:t>
      </w:r>
      <w:r>
        <w:rPr>
          <w:w w:val="105"/>
          <w:sz w:val="21"/>
        </w:rPr>
        <w:t>be</w:t>
      </w:r>
      <w:r>
        <w:rPr>
          <w:spacing w:val="-6"/>
          <w:w w:val="105"/>
          <w:sz w:val="21"/>
        </w:rPr>
        <w:t> </w:t>
      </w:r>
      <w:r>
        <w:rPr>
          <w:w w:val="105"/>
          <w:sz w:val="21"/>
        </w:rPr>
        <w:t>in</w:t>
      </w:r>
      <w:r>
        <w:rPr>
          <w:spacing w:val="-5"/>
          <w:w w:val="105"/>
          <w:sz w:val="21"/>
        </w:rPr>
        <w:t> </w:t>
      </w:r>
      <w:r>
        <w:rPr>
          <w:w w:val="105"/>
          <w:sz w:val="21"/>
        </w:rPr>
        <w:t>a</w:t>
      </w:r>
      <w:r>
        <w:rPr>
          <w:spacing w:val="-5"/>
          <w:w w:val="105"/>
          <w:sz w:val="21"/>
        </w:rPr>
        <w:t> </w:t>
      </w:r>
      <w:r>
        <w:rPr>
          <w:w w:val="105"/>
          <w:sz w:val="21"/>
        </w:rPr>
        <w:t>position</w:t>
      </w:r>
      <w:r>
        <w:rPr>
          <w:spacing w:val="-5"/>
          <w:w w:val="105"/>
          <w:sz w:val="21"/>
        </w:rPr>
        <w:t> </w:t>
      </w:r>
      <w:r>
        <w:rPr>
          <w:spacing w:val="-3"/>
          <w:w w:val="105"/>
          <w:sz w:val="21"/>
        </w:rPr>
        <w:t>to</w:t>
      </w:r>
      <w:r>
        <w:rPr>
          <w:spacing w:val="-5"/>
          <w:w w:val="105"/>
          <w:sz w:val="21"/>
        </w:rPr>
        <w:t> </w:t>
      </w:r>
      <w:r>
        <w:rPr>
          <w:spacing w:val="-3"/>
          <w:w w:val="105"/>
          <w:sz w:val="21"/>
        </w:rPr>
        <w:t>prepare such</w:t>
      </w:r>
      <w:r>
        <w:rPr>
          <w:spacing w:val="5"/>
          <w:w w:val="105"/>
          <w:sz w:val="21"/>
        </w:rPr>
        <w:t> </w:t>
      </w:r>
      <w:r>
        <w:rPr>
          <w:spacing w:val="-3"/>
          <w:w w:val="105"/>
          <w:sz w:val="21"/>
        </w:rPr>
        <w:t>advice.</w:t>
      </w:r>
    </w:p>
    <w:p>
      <w:pPr>
        <w:pStyle w:val="BodyText"/>
        <w:spacing w:before="10"/>
        <w:rPr>
          <w:sz w:val="13"/>
        </w:rPr>
      </w:pPr>
      <w:r>
        <w:rPr/>
        <w:pict>
          <v:group style="position:absolute;margin-left:62.362202pt;margin-top:10.401350pt;width:479.1pt;height:134.550pt;mso-position-horizontal-relative:page;mso-position-vertical-relative:paragraph;z-index:512;mso-wrap-distance-left:0;mso-wrap-distance-right:0" coordorigin="1247,208" coordsize="9582,2691">
            <v:rect style="position:absolute;left:1587;top:208;width:8731;height:2691" filled="true" fillcolor="#fdebea" stroked="false">
              <v:fill type="solid"/>
            </v:rect>
            <v:line style="position:absolute" from="1247,959" to="10828,959" stroked="true" strokeweight="2.5pt" strokecolor="#ffffff">
              <v:stroke dashstyle="solid"/>
            </v:line>
            <v:shape style="position:absolute;left:2381;top:1195;width:7651;height:1530" type="#_x0000_t202" filled="false" stroked="false">
              <v:textbox inset="0,0,0,0">
                <w:txbxContent>
                  <w:p>
                    <w:pPr>
                      <w:spacing w:line="242" w:lineRule="auto" w:before="0"/>
                      <w:ind w:left="0" w:right="0" w:firstLine="0"/>
                      <w:jc w:val="left"/>
                      <w:rPr>
                        <w:sz w:val="21"/>
                      </w:rPr>
                    </w:pPr>
                    <w:r>
                      <w:rPr>
                        <w:w w:val="115"/>
                        <w:sz w:val="21"/>
                      </w:rPr>
                      <w:t>Four</w:t>
                    </w:r>
                    <w:r>
                      <w:rPr>
                        <w:spacing w:val="-9"/>
                        <w:w w:val="115"/>
                        <w:sz w:val="21"/>
                      </w:rPr>
                      <w:t> </w:t>
                    </w:r>
                    <w:r>
                      <w:rPr>
                        <w:w w:val="115"/>
                        <w:sz w:val="21"/>
                      </w:rPr>
                      <w:t>years</w:t>
                    </w:r>
                    <w:r>
                      <w:rPr>
                        <w:spacing w:val="-9"/>
                        <w:w w:val="115"/>
                        <w:sz w:val="21"/>
                      </w:rPr>
                      <w:t> </w:t>
                    </w:r>
                    <w:r>
                      <w:rPr>
                        <w:w w:val="115"/>
                        <w:sz w:val="21"/>
                      </w:rPr>
                      <w:t>after</w:t>
                    </w:r>
                    <w:r>
                      <w:rPr>
                        <w:spacing w:val="-9"/>
                        <w:w w:val="115"/>
                        <w:sz w:val="21"/>
                      </w:rPr>
                      <w:t> </w:t>
                    </w:r>
                    <w:r>
                      <w:rPr>
                        <w:w w:val="115"/>
                        <w:sz w:val="21"/>
                      </w:rPr>
                      <w:t>the</w:t>
                    </w:r>
                    <w:r>
                      <w:rPr>
                        <w:spacing w:val="-9"/>
                        <w:w w:val="115"/>
                        <w:sz w:val="21"/>
                      </w:rPr>
                      <w:t> </w:t>
                    </w:r>
                    <w:r>
                      <w:rPr>
                        <w:w w:val="115"/>
                        <w:sz w:val="21"/>
                      </w:rPr>
                      <w:t>legislation</w:t>
                    </w:r>
                    <w:r>
                      <w:rPr>
                        <w:spacing w:val="-9"/>
                        <w:w w:val="115"/>
                        <w:sz w:val="21"/>
                      </w:rPr>
                      <w:t> </w:t>
                    </w:r>
                    <w:r>
                      <w:rPr>
                        <w:w w:val="115"/>
                        <w:sz w:val="21"/>
                      </w:rPr>
                      <w:t>comes</w:t>
                    </w:r>
                    <w:r>
                      <w:rPr>
                        <w:spacing w:val="-9"/>
                        <w:w w:val="115"/>
                        <w:sz w:val="21"/>
                      </w:rPr>
                      <w:t> </w:t>
                    </w:r>
                    <w:r>
                      <w:rPr>
                        <w:w w:val="115"/>
                        <w:sz w:val="21"/>
                      </w:rPr>
                      <w:t>into</w:t>
                    </w:r>
                    <w:r>
                      <w:rPr>
                        <w:spacing w:val="-9"/>
                        <w:w w:val="115"/>
                        <w:sz w:val="21"/>
                      </w:rPr>
                      <w:t> </w:t>
                    </w:r>
                    <w:r>
                      <w:rPr>
                        <w:w w:val="115"/>
                        <w:sz w:val="21"/>
                      </w:rPr>
                      <w:t>effect,</w:t>
                    </w:r>
                    <w:r>
                      <w:rPr>
                        <w:spacing w:val="-8"/>
                        <w:w w:val="115"/>
                        <w:sz w:val="21"/>
                      </w:rPr>
                      <w:t> </w:t>
                    </w:r>
                    <w:r>
                      <w:rPr>
                        <w:w w:val="115"/>
                        <w:sz w:val="21"/>
                      </w:rPr>
                      <w:t>the</w:t>
                    </w:r>
                    <w:r>
                      <w:rPr>
                        <w:spacing w:val="-9"/>
                        <w:w w:val="115"/>
                        <w:sz w:val="21"/>
                      </w:rPr>
                      <w:t> </w:t>
                    </w:r>
                    <w:r>
                      <w:rPr>
                        <w:w w:val="115"/>
                        <w:sz w:val="21"/>
                      </w:rPr>
                      <w:t>Attorney-General</w:t>
                    </w:r>
                    <w:r>
                      <w:rPr>
                        <w:spacing w:val="-9"/>
                        <w:w w:val="115"/>
                        <w:sz w:val="21"/>
                      </w:rPr>
                      <w:t> </w:t>
                    </w:r>
                    <w:r>
                      <w:rPr>
                        <w:w w:val="115"/>
                        <w:sz w:val="21"/>
                      </w:rPr>
                      <w:t>should cause a report to be prepared</w:t>
                    </w:r>
                    <w:r>
                      <w:rPr>
                        <w:spacing w:val="2"/>
                        <w:w w:val="115"/>
                        <w:sz w:val="21"/>
                      </w:rPr>
                      <w:t> </w:t>
                    </w:r>
                    <w:r>
                      <w:rPr>
                        <w:w w:val="115"/>
                        <w:sz w:val="21"/>
                      </w:rPr>
                      <w:t>on:</w:t>
                    </w:r>
                  </w:p>
                  <w:p>
                    <w:pPr>
                      <w:numPr>
                        <w:ilvl w:val="0"/>
                        <w:numId w:val="28"/>
                      </w:numPr>
                      <w:tabs>
                        <w:tab w:pos="341" w:val="left" w:leader="none"/>
                      </w:tabs>
                      <w:spacing w:line="242" w:lineRule="auto" w:before="118"/>
                      <w:ind w:left="340" w:right="631" w:hanging="340"/>
                      <w:jc w:val="left"/>
                      <w:rPr>
                        <w:sz w:val="21"/>
                      </w:rPr>
                    </w:pPr>
                    <w:r>
                      <w:rPr>
                        <w:w w:val="115"/>
                        <w:sz w:val="21"/>
                      </w:rPr>
                      <w:t>the</w:t>
                    </w:r>
                    <w:r>
                      <w:rPr>
                        <w:spacing w:val="-5"/>
                        <w:w w:val="115"/>
                        <w:sz w:val="21"/>
                      </w:rPr>
                      <w:t> </w:t>
                    </w:r>
                    <w:r>
                      <w:rPr>
                        <w:w w:val="115"/>
                        <w:sz w:val="21"/>
                      </w:rPr>
                      <w:t>operation</w:t>
                    </w:r>
                    <w:r>
                      <w:rPr>
                        <w:spacing w:val="-5"/>
                        <w:w w:val="115"/>
                        <w:sz w:val="21"/>
                      </w:rPr>
                      <w:t> </w:t>
                    </w:r>
                    <w:r>
                      <w:rPr>
                        <w:w w:val="115"/>
                        <w:sz w:val="21"/>
                      </w:rPr>
                      <w:t>of</w:t>
                    </w:r>
                    <w:r>
                      <w:rPr>
                        <w:spacing w:val="-5"/>
                        <w:w w:val="115"/>
                        <w:sz w:val="21"/>
                      </w:rPr>
                      <w:t> </w:t>
                    </w:r>
                    <w:r>
                      <w:rPr>
                        <w:w w:val="115"/>
                        <w:sz w:val="21"/>
                      </w:rPr>
                      <w:t>new</w:t>
                    </w:r>
                    <w:r>
                      <w:rPr>
                        <w:spacing w:val="-4"/>
                        <w:w w:val="115"/>
                        <w:sz w:val="21"/>
                      </w:rPr>
                      <w:t> </w:t>
                    </w:r>
                    <w:r>
                      <w:rPr>
                        <w:w w:val="115"/>
                        <w:sz w:val="21"/>
                      </w:rPr>
                      <w:t>legislation</w:t>
                    </w:r>
                    <w:r>
                      <w:rPr>
                        <w:spacing w:val="-5"/>
                        <w:w w:val="115"/>
                        <w:sz w:val="21"/>
                      </w:rPr>
                      <w:t> </w:t>
                    </w:r>
                    <w:r>
                      <w:rPr>
                        <w:w w:val="115"/>
                        <w:sz w:val="21"/>
                      </w:rPr>
                      <w:t>in</w:t>
                    </w:r>
                    <w:r>
                      <w:rPr>
                        <w:spacing w:val="-5"/>
                        <w:w w:val="115"/>
                        <w:sz w:val="21"/>
                      </w:rPr>
                      <w:t> </w:t>
                    </w:r>
                    <w:r>
                      <w:rPr>
                        <w:w w:val="115"/>
                        <w:sz w:val="21"/>
                      </w:rPr>
                      <w:t>British</w:t>
                    </w:r>
                    <w:r>
                      <w:rPr>
                        <w:spacing w:val="-5"/>
                        <w:w w:val="115"/>
                        <w:sz w:val="21"/>
                      </w:rPr>
                      <w:t> </w:t>
                    </w:r>
                    <w:r>
                      <w:rPr>
                        <w:w w:val="115"/>
                        <w:sz w:val="21"/>
                      </w:rPr>
                      <w:t>Columbia</w:t>
                    </w:r>
                    <w:r>
                      <w:rPr>
                        <w:spacing w:val="-4"/>
                        <w:w w:val="115"/>
                        <w:sz w:val="21"/>
                      </w:rPr>
                      <w:t> </w:t>
                    </w:r>
                    <w:r>
                      <w:rPr>
                        <w:w w:val="115"/>
                        <w:sz w:val="21"/>
                      </w:rPr>
                      <w:t>that</w:t>
                    </w:r>
                    <w:r>
                      <w:rPr>
                        <w:spacing w:val="-5"/>
                        <w:w w:val="115"/>
                        <w:sz w:val="21"/>
                      </w:rPr>
                      <w:t> </w:t>
                    </w:r>
                    <w:r>
                      <w:rPr>
                        <w:w w:val="115"/>
                        <w:sz w:val="21"/>
                      </w:rPr>
                      <w:t>imports</w:t>
                    </w:r>
                    <w:r>
                      <w:rPr>
                        <w:spacing w:val="-5"/>
                        <w:w w:val="115"/>
                        <w:sz w:val="21"/>
                      </w:rPr>
                      <w:t> </w:t>
                    </w:r>
                    <w:r>
                      <w:rPr>
                        <w:w w:val="115"/>
                        <w:sz w:val="21"/>
                      </w:rPr>
                      <w:t>the equitable doctrine of undue influence into the probate context,</w:t>
                    </w:r>
                    <w:r>
                      <w:rPr>
                        <w:spacing w:val="-33"/>
                        <w:w w:val="115"/>
                        <w:sz w:val="21"/>
                      </w:rPr>
                      <w:t> </w:t>
                    </w:r>
                    <w:r>
                      <w:rPr>
                        <w:w w:val="115"/>
                        <w:sz w:val="21"/>
                      </w:rPr>
                      <w:t>and</w:t>
                    </w:r>
                  </w:p>
                  <w:p>
                    <w:pPr>
                      <w:numPr>
                        <w:ilvl w:val="0"/>
                        <w:numId w:val="28"/>
                      </w:numPr>
                      <w:tabs>
                        <w:tab w:pos="341" w:val="left" w:leader="none"/>
                      </w:tabs>
                      <w:spacing w:line="252" w:lineRule="exact" w:before="123"/>
                      <w:ind w:left="340" w:right="0" w:hanging="340"/>
                      <w:jc w:val="left"/>
                      <w:rPr>
                        <w:sz w:val="21"/>
                      </w:rPr>
                    </w:pPr>
                    <w:r>
                      <w:rPr>
                        <w:w w:val="115"/>
                        <w:sz w:val="21"/>
                      </w:rPr>
                      <w:t>whether a </w:t>
                    </w:r>
                    <w:r>
                      <w:rPr>
                        <w:spacing w:val="-3"/>
                        <w:w w:val="115"/>
                        <w:sz w:val="21"/>
                      </w:rPr>
                      <w:t>similar </w:t>
                    </w:r>
                    <w:r>
                      <w:rPr>
                        <w:w w:val="115"/>
                        <w:sz w:val="21"/>
                      </w:rPr>
                      <w:t>provision should be adopted in</w:t>
                    </w:r>
                    <w:r>
                      <w:rPr>
                        <w:spacing w:val="-3"/>
                        <w:w w:val="115"/>
                        <w:sz w:val="21"/>
                      </w:rPr>
                      <w:t> </w:t>
                    </w:r>
                    <w:r>
                      <w:rPr>
                        <w:w w:val="115"/>
                        <w:sz w:val="21"/>
                      </w:rPr>
                      <w:t>Victoria.</w:t>
                    </w:r>
                  </w:p>
                </w:txbxContent>
              </v:textbox>
              <w10:wrap type="none"/>
            </v:shape>
            <v:shape style="position:absolute;left:1814;top:1195;width:137;height:249" type="#_x0000_t202" filled="false" stroked="false">
              <v:textbox inset="0,0,0,0">
                <w:txbxContent>
                  <w:p>
                    <w:pPr>
                      <w:spacing w:line="249" w:lineRule="exact" w:before="0"/>
                      <w:ind w:left="0" w:right="0" w:firstLine="0"/>
                      <w:jc w:val="left"/>
                      <w:rPr>
                        <w:sz w:val="21"/>
                      </w:rPr>
                    </w:pPr>
                    <w:r>
                      <w:rPr>
                        <w:w w:val="109"/>
                        <w:sz w:val="21"/>
                      </w:rPr>
                      <w:t>2</w:t>
                    </w:r>
                  </w:p>
                </w:txbxContent>
              </v:textbox>
              <w10:wrap type="none"/>
            </v:shape>
            <v:shape style="position:absolute;left:1587;top:208;width:8731;height:726" type="#_x0000_t202" filled="true" fillcolor="#fdebea" stroked="false">
              <v:textbox inset="0,0,0,0">
                <w:txbxContent>
                  <w:p>
                    <w:pPr>
                      <w:spacing w:before="166"/>
                      <w:ind w:left="226" w:right="0" w:firstLine="0"/>
                      <w:jc w:val="left"/>
                      <w:rPr>
                        <w:b/>
                        <w:sz w:val="32"/>
                      </w:rPr>
                    </w:pPr>
                    <w:r>
                      <w:rPr>
                        <w:b/>
                        <w:color w:val="EC5A4F"/>
                        <w:w w:val="110"/>
                        <w:sz w:val="32"/>
                      </w:rPr>
                      <w:t>Recommendation</w:t>
                    </w:r>
                  </w:p>
                </w:txbxContent>
              </v:textbox>
              <v:fill type="solid"/>
              <w10:wrap type="none"/>
            </v:shape>
            <w10:wrap type="topAndBottom"/>
          </v:group>
        </w:pict>
      </w:r>
    </w:p>
    <w:p>
      <w:pPr>
        <w:pStyle w:val="BodyText"/>
        <w:spacing w:before="2"/>
        <w:rPr>
          <w:sz w:val="12"/>
        </w:rPr>
      </w:pPr>
    </w:p>
    <w:p>
      <w:pPr>
        <w:pStyle w:val="Heading4"/>
        <w:spacing w:before="99"/>
      </w:pPr>
      <w:r>
        <w:rPr>
          <w:color w:val="EC5A4F"/>
          <w:w w:val="115"/>
        </w:rPr>
        <w:t>Other common law rules related to undue influence</w:t>
      </w:r>
    </w:p>
    <w:p>
      <w:pPr>
        <w:pStyle w:val="ListParagraph"/>
        <w:numPr>
          <w:ilvl w:val="1"/>
          <w:numId w:val="22"/>
        </w:numPr>
        <w:tabs>
          <w:tab w:pos="2382" w:val="left" w:leader="none"/>
        </w:tabs>
        <w:spacing w:line="242" w:lineRule="auto" w:before="155" w:after="0"/>
        <w:ind w:left="2381" w:right="1913" w:hanging="794"/>
        <w:jc w:val="both"/>
        <w:rPr>
          <w:sz w:val="21"/>
        </w:rPr>
      </w:pPr>
      <w:r>
        <w:rPr>
          <w:sz w:val="21"/>
        </w:rPr>
        <w:t>In the </w:t>
      </w:r>
      <w:r>
        <w:rPr>
          <w:spacing w:val="-3"/>
          <w:sz w:val="21"/>
        </w:rPr>
        <w:t>consultation </w:t>
      </w:r>
      <w:r>
        <w:rPr>
          <w:sz w:val="21"/>
        </w:rPr>
        <w:t>paper on </w:t>
      </w:r>
      <w:r>
        <w:rPr>
          <w:spacing w:val="-3"/>
          <w:sz w:val="21"/>
        </w:rPr>
        <w:t>wills, </w:t>
      </w:r>
      <w:r>
        <w:rPr>
          <w:sz w:val="21"/>
        </w:rPr>
        <w:t>the </w:t>
      </w:r>
      <w:r>
        <w:rPr>
          <w:spacing w:val="-3"/>
          <w:sz w:val="21"/>
        </w:rPr>
        <w:t>Commission outlined </w:t>
      </w:r>
      <w:r>
        <w:rPr>
          <w:sz w:val="21"/>
        </w:rPr>
        <w:t>other </w:t>
      </w:r>
      <w:r>
        <w:rPr>
          <w:spacing w:val="-3"/>
          <w:sz w:val="21"/>
        </w:rPr>
        <w:t>claims that </w:t>
      </w:r>
      <w:r>
        <w:rPr>
          <w:sz w:val="21"/>
        </w:rPr>
        <w:t>a person  </w:t>
      </w:r>
      <w:r>
        <w:rPr>
          <w:spacing w:val="-3"/>
          <w:sz w:val="21"/>
        </w:rPr>
        <w:t>may raise concerning </w:t>
      </w:r>
      <w:r>
        <w:rPr>
          <w:sz w:val="21"/>
        </w:rPr>
        <w:t>the </w:t>
      </w:r>
      <w:r>
        <w:rPr>
          <w:spacing w:val="-3"/>
          <w:sz w:val="21"/>
        </w:rPr>
        <w:t>will </w:t>
      </w:r>
      <w:r>
        <w:rPr>
          <w:sz w:val="21"/>
        </w:rPr>
        <w:t>of an older or </w:t>
      </w:r>
      <w:r>
        <w:rPr>
          <w:spacing w:val="-3"/>
          <w:sz w:val="21"/>
        </w:rPr>
        <w:t>vulnerable </w:t>
      </w:r>
      <w:r>
        <w:rPr>
          <w:spacing w:val="-4"/>
          <w:sz w:val="21"/>
        </w:rPr>
        <w:t>will-maker. </w:t>
      </w:r>
      <w:r>
        <w:rPr>
          <w:sz w:val="21"/>
        </w:rPr>
        <w:t>Apart </w:t>
      </w:r>
      <w:r>
        <w:rPr>
          <w:spacing w:val="-3"/>
          <w:sz w:val="21"/>
        </w:rPr>
        <w:t>from claiming undue</w:t>
      </w:r>
      <w:r>
        <w:rPr>
          <w:spacing w:val="9"/>
          <w:sz w:val="21"/>
        </w:rPr>
        <w:t> </w:t>
      </w:r>
      <w:r>
        <w:rPr>
          <w:spacing w:val="-3"/>
          <w:sz w:val="21"/>
        </w:rPr>
        <w:t>influence,</w:t>
      </w:r>
      <w:r>
        <w:rPr>
          <w:spacing w:val="10"/>
          <w:sz w:val="21"/>
        </w:rPr>
        <w:t> </w:t>
      </w:r>
      <w:r>
        <w:rPr>
          <w:sz w:val="21"/>
        </w:rPr>
        <w:t>a</w:t>
      </w:r>
      <w:r>
        <w:rPr>
          <w:spacing w:val="10"/>
          <w:sz w:val="21"/>
        </w:rPr>
        <w:t> </w:t>
      </w:r>
      <w:r>
        <w:rPr>
          <w:sz w:val="21"/>
        </w:rPr>
        <w:t>person</w:t>
      </w:r>
      <w:r>
        <w:rPr>
          <w:spacing w:val="10"/>
          <w:sz w:val="21"/>
        </w:rPr>
        <w:t> </w:t>
      </w:r>
      <w:r>
        <w:rPr>
          <w:spacing w:val="-3"/>
          <w:sz w:val="21"/>
        </w:rPr>
        <w:t>may</w:t>
      </w:r>
      <w:r>
        <w:rPr>
          <w:spacing w:val="9"/>
          <w:sz w:val="21"/>
        </w:rPr>
        <w:t> </w:t>
      </w:r>
      <w:r>
        <w:rPr>
          <w:spacing w:val="-3"/>
          <w:sz w:val="21"/>
        </w:rPr>
        <w:t>raise</w:t>
      </w:r>
      <w:r>
        <w:rPr>
          <w:spacing w:val="10"/>
          <w:sz w:val="21"/>
        </w:rPr>
        <w:t> </w:t>
      </w:r>
      <w:r>
        <w:rPr>
          <w:sz w:val="21"/>
        </w:rPr>
        <w:t>a</w:t>
      </w:r>
      <w:r>
        <w:rPr>
          <w:spacing w:val="10"/>
          <w:sz w:val="21"/>
        </w:rPr>
        <w:t> </w:t>
      </w:r>
      <w:r>
        <w:rPr>
          <w:spacing w:val="-3"/>
          <w:sz w:val="21"/>
        </w:rPr>
        <w:t>claim</w:t>
      </w:r>
      <w:r>
        <w:rPr>
          <w:spacing w:val="10"/>
          <w:sz w:val="21"/>
        </w:rPr>
        <w:t> </w:t>
      </w:r>
      <w:r>
        <w:rPr>
          <w:sz w:val="21"/>
        </w:rPr>
        <w:t>that:</w:t>
      </w:r>
    </w:p>
    <w:p>
      <w:pPr>
        <w:pStyle w:val="ListParagraph"/>
        <w:numPr>
          <w:ilvl w:val="2"/>
          <w:numId w:val="22"/>
        </w:numPr>
        <w:tabs>
          <w:tab w:pos="2721" w:val="left" w:leader="none"/>
          <w:tab w:pos="2722" w:val="left" w:leader="none"/>
        </w:tabs>
        <w:spacing w:line="240" w:lineRule="auto" w:before="123" w:after="0"/>
        <w:ind w:left="2721" w:right="0" w:hanging="340"/>
        <w:jc w:val="left"/>
        <w:rPr>
          <w:sz w:val="21"/>
        </w:rPr>
      </w:pPr>
      <w:r>
        <w:rPr>
          <w:sz w:val="21"/>
        </w:rPr>
        <w:t>the </w:t>
      </w:r>
      <w:r>
        <w:rPr>
          <w:spacing w:val="-3"/>
          <w:sz w:val="21"/>
        </w:rPr>
        <w:t>will-maker </w:t>
      </w:r>
      <w:r>
        <w:rPr>
          <w:sz w:val="21"/>
        </w:rPr>
        <w:t>did </w:t>
      </w:r>
      <w:r>
        <w:rPr>
          <w:spacing w:val="-2"/>
          <w:sz w:val="21"/>
        </w:rPr>
        <w:t>not </w:t>
      </w:r>
      <w:r>
        <w:rPr>
          <w:spacing w:val="-3"/>
          <w:sz w:val="21"/>
        </w:rPr>
        <w:t>have </w:t>
      </w:r>
      <w:r>
        <w:rPr>
          <w:sz w:val="21"/>
        </w:rPr>
        <w:t>testamentary</w:t>
      </w:r>
      <w:r>
        <w:rPr>
          <w:spacing w:val="14"/>
          <w:sz w:val="21"/>
        </w:rPr>
        <w:t> </w:t>
      </w:r>
      <w:r>
        <w:rPr>
          <w:sz w:val="21"/>
        </w:rPr>
        <w:t>capacity</w:t>
      </w:r>
    </w:p>
    <w:p>
      <w:pPr>
        <w:pStyle w:val="ListParagraph"/>
        <w:numPr>
          <w:ilvl w:val="2"/>
          <w:numId w:val="22"/>
        </w:numPr>
        <w:tabs>
          <w:tab w:pos="2721" w:val="left" w:leader="none"/>
          <w:tab w:pos="2722" w:val="left" w:leader="none"/>
        </w:tabs>
        <w:spacing w:line="240" w:lineRule="auto" w:before="124" w:after="0"/>
        <w:ind w:left="2721" w:right="0" w:hanging="340"/>
        <w:jc w:val="left"/>
        <w:rPr>
          <w:sz w:val="21"/>
        </w:rPr>
      </w:pPr>
      <w:r>
        <w:rPr>
          <w:w w:val="105"/>
          <w:sz w:val="21"/>
        </w:rPr>
        <w:t>the </w:t>
      </w:r>
      <w:r>
        <w:rPr>
          <w:spacing w:val="-3"/>
          <w:w w:val="105"/>
          <w:sz w:val="21"/>
        </w:rPr>
        <w:t>will-maker </w:t>
      </w:r>
      <w:r>
        <w:rPr>
          <w:w w:val="105"/>
          <w:sz w:val="21"/>
        </w:rPr>
        <w:t>did </w:t>
      </w:r>
      <w:r>
        <w:rPr>
          <w:spacing w:val="-2"/>
          <w:w w:val="105"/>
          <w:sz w:val="21"/>
        </w:rPr>
        <w:t>not </w:t>
      </w:r>
      <w:r>
        <w:rPr>
          <w:w w:val="105"/>
          <w:sz w:val="21"/>
        </w:rPr>
        <w:t>know and </w:t>
      </w:r>
      <w:r>
        <w:rPr>
          <w:spacing w:val="-3"/>
          <w:w w:val="105"/>
          <w:sz w:val="21"/>
        </w:rPr>
        <w:t>approve </w:t>
      </w:r>
      <w:r>
        <w:rPr>
          <w:w w:val="105"/>
          <w:sz w:val="21"/>
        </w:rPr>
        <w:t>the </w:t>
      </w:r>
      <w:r>
        <w:rPr>
          <w:spacing w:val="-3"/>
          <w:w w:val="105"/>
          <w:sz w:val="21"/>
        </w:rPr>
        <w:t>contents</w:t>
      </w:r>
      <w:r>
        <w:rPr>
          <w:spacing w:val="11"/>
          <w:w w:val="105"/>
          <w:sz w:val="21"/>
        </w:rPr>
        <w:t> </w:t>
      </w:r>
      <w:r>
        <w:rPr>
          <w:w w:val="105"/>
          <w:sz w:val="21"/>
        </w:rPr>
        <w:t>of the </w:t>
      </w:r>
      <w:r>
        <w:rPr>
          <w:spacing w:val="-3"/>
          <w:w w:val="105"/>
          <w:sz w:val="21"/>
        </w:rPr>
        <w:t>will</w:t>
      </w:r>
    </w:p>
    <w:p>
      <w:pPr>
        <w:pStyle w:val="ListParagraph"/>
        <w:numPr>
          <w:ilvl w:val="2"/>
          <w:numId w:val="22"/>
        </w:numPr>
        <w:tabs>
          <w:tab w:pos="2721" w:val="left" w:leader="none"/>
          <w:tab w:pos="2722" w:val="left" w:leader="none"/>
        </w:tabs>
        <w:spacing w:line="240" w:lineRule="auto" w:before="124" w:after="0"/>
        <w:ind w:left="2721" w:right="0" w:hanging="340"/>
        <w:jc w:val="left"/>
        <w:rPr>
          <w:sz w:val="21"/>
        </w:rPr>
      </w:pPr>
      <w:r>
        <w:rPr>
          <w:w w:val="105"/>
          <w:sz w:val="21"/>
        </w:rPr>
        <w:t>the </w:t>
      </w:r>
      <w:r>
        <w:rPr>
          <w:spacing w:val="-3"/>
          <w:w w:val="105"/>
          <w:sz w:val="21"/>
        </w:rPr>
        <w:t>will </w:t>
      </w:r>
      <w:r>
        <w:rPr>
          <w:w w:val="105"/>
          <w:sz w:val="21"/>
        </w:rPr>
        <w:t>was </w:t>
      </w:r>
      <w:r>
        <w:rPr>
          <w:spacing w:val="-3"/>
          <w:w w:val="105"/>
          <w:sz w:val="21"/>
        </w:rPr>
        <w:t>brought </w:t>
      </w:r>
      <w:r>
        <w:rPr>
          <w:w w:val="105"/>
          <w:sz w:val="21"/>
        </w:rPr>
        <w:t>about by </w:t>
      </w:r>
      <w:r>
        <w:rPr>
          <w:spacing w:val="-3"/>
          <w:w w:val="105"/>
          <w:sz w:val="21"/>
        </w:rPr>
        <w:t>fraud </w:t>
      </w:r>
      <w:r>
        <w:rPr>
          <w:w w:val="105"/>
          <w:sz w:val="21"/>
        </w:rPr>
        <w:t>or is a</w:t>
      </w:r>
      <w:r>
        <w:rPr>
          <w:spacing w:val="9"/>
          <w:w w:val="105"/>
          <w:sz w:val="21"/>
        </w:rPr>
        <w:t> </w:t>
      </w:r>
      <w:r>
        <w:rPr>
          <w:spacing w:val="-3"/>
          <w:w w:val="105"/>
          <w:sz w:val="21"/>
        </w:rPr>
        <w:t>forgery.</w:t>
      </w:r>
    </w:p>
    <w:p>
      <w:pPr>
        <w:pStyle w:val="BodyText"/>
        <w:rPr>
          <w:sz w:val="20"/>
        </w:rPr>
      </w:pPr>
    </w:p>
    <w:p>
      <w:pPr>
        <w:pStyle w:val="BodyText"/>
        <w:spacing w:before="3"/>
        <w:rPr>
          <w:sz w:val="25"/>
        </w:rPr>
      </w:pPr>
      <w:r>
        <w:rPr/>
        <w:pict>
          <v:line style="position:absolute;mso-position-horizontal-relative:page;mso-position-vertical-relative:paragraph;z-index:536;mso-wrap-distance-left:0;mso-wrap-distance-right:0" from="79.370102pt,17.905687pt" to="515.905102pt,17.905687pt" stroked="true" strokeweight="1pt" strokecolor="#f9ceca">
            <v:stroke dashstyle="solid"/>
            <w10:wrap type="topAndBottom"/>
          </v:line>
        </w:pict>
      </w:r>
    </w:p>
    <w:p>
      <w:pPr>
        <w:pStyle w:val="ListParagraph"/>
        <w:numPr>
          <w:ilvl w:val="0"/>
          <w:numId w:val="27"/>
        </w:numPr>
        <w:tabs>
          <w:tab w:pos="2380" w:val="left" w:leader="none"/>
          <w:tab w:pos="2382" w:val="left" w:leader="none"/>
        </w:tabs>
        <w:spacing w:line="240" w:lineRule="auto" w:before="117" w:after="0"/>
        <w:ind w:left="2381" w:right="0" w:hanging="794"/>
        <w:jc w:val="left"/>
        <w:rPr>
          <w:sz w:val="13"/>
        </w:rPr>
      </w:pPr>
      <w:r>
        <w:rPr>
          <w:w w:val="105"/>
          <w:sz w:val="13"/>
        </w:rPr>
        <w:t>Submission 25 </w:t>
      </w:r>
      <w:r>
        <w:rPr>
          <w:spacing w:val="2"/>
          <w:w w:val="105"/>
          <w:sz w:val="13"/>
        </w:rPr>
        <w:t>(Moores</w:t>
      </w:r>
      <w:r>
        <w:rPr>
          <w:spacing w:val="13"/>
          <w:w w:val="105"/>
          <w:sz w:val="13"/>
        </w:rPr>
        <w:t> </w:t>
      </w:r>
      <w:r>
        <w:rPr>
          <w:w w:val="105"/>
          <w:sz w:val="13"/>
        </w:rPr>
        <w:t>Legal).</w:t>
      </w:r>
    </w:p>
    <w:p>
      <w:pPr>
        <w:pStyle w:val="ListParagraph"/>
        <w:numPr>
          <w:ilvl w:val="0"/>
          <w:numId w:val="27"/>
        </w:numPr>
        <w:tabs>
          <w:tab w:pos="2380" w:val="left" w:leader="none"/>
          <w:tab w:pos="2382" w:val="left" w:leader="none"/>
        </w:tabs>
        <w:spacing w:line="240" w:lineRule="auto" w:before="1" w:after="0"/>
        <w:ind w:left="2381" w:right="0" w:hanging="794"/>
        <w:jc w:val="left"/>
        <w:rPr>
          <w:sz w:val="13"/>
        </w:rPr>
      </w:pPr>
      <w:r>
        <w:rPr>
          <w:sz w:val="13"/>
        </w:rPr>
        <w:t>Ibid.</w:t>
      </w:r>
    </w:p>
    <w:p>
      <w:pPr>
        <w:pStyle w:val="ListParagraph"/>
        <w:numPr>
          <w:ilvl w:val="0"/>
          <w:numId w:val="27"/>
        </w:numPr>
        <w:tabs>
          <w:tab w:pos="2380" w:val="left" w:leader="none"/>
          <w:tab w:pos="2382" w:val="left" w:leader="none"/>
        </w:tabs>
        <w:spacing w:line="240" w:lineRule="auto" w:before="2" w:after="0"/>
        <w:ind w:left="2381" w:right="0" w:hanging="794"/>
        <w:jc w:val="left"/>
        <w:rPr>
          <w:sz w:val="13"/>
        </w:rPr>
      </w:pPr>
      <w:r>
        <w:rPr>
          <w:w w:val="105"/>
          <w:sz w:val="13"/>
        </w:rPr>
        <w:t>Submissions 25 </w:t>
      </w:r>
      <w:r>
        <w:rPr>
          <w:spacing w:val="2"/>
          <w:w w:val="105"/>
          <w:sz w:val="13"/>
        </w:rPr>
        <w:t>(Moores </w:t>
      </w:r>
      <w:r>
        <w:rPr>
          <w:w w:val="105"/>
          <w:sz w:val="13"/>
        </w:rPr>
        <w:t>Legal); 26 </w:t>
      </w:r>
      <w:r>
        <w:rPr>
          <w:spacing w:val="2"/>
          <w:w w:val="105"/>
          <w:sz w:val="13"/>
        </w:rPr>
        <w:t>(Rigby </w:t>
      </w:r>
      <w:r>
        <w:rPr>
          <w:w w:val="105"/>
          <w:sz w:val="13"/>
        </w:rPr>
        <w:t>Cooke</w:t>
      </w:r>
      <w:r>
        <w:rPr>
          <w:spacing w:val="28"/>
          <w:w w:val="105"/>
          <w:sz w:val="13"/>
        </w:rPr>
        <w:t> </w:t>
      </w:r>
      <w:r>
        <w:rPr>
          <w:spacing w:val="2"/>
          <w:w w:val="105"/>
          <w:sz w:val="13"/>
        </w:rPr>
        <w:t>Lawyers).</w:t>
      </w:r>
    </w:p>
    <w:p>
      <w:pPr>
        <w:pStyle w:val="ListParagraph"/>
        <w:numPr>
          <w:ilvl w:val="0"/>
          <w:numId w:val="27"/>
        </w:numPr>
        <w:tabs>
          <w:tab w:pos="2380" w:val="left" w:leader="none"/>
          <w:tab w:pos="2382" w:val="left" w:leader="none"/>
        </w:tabs>
        <w:spacing w:line="240" w:lineRule="auto" w:before="1" w:after="0"/>
        <w:ind w:left="2381" w:right="0" w:hanging="794"/>
        <w:jc w:val="left"/>
        <w:rPr>
          <w:sz w:val="13"/>
        </w:rPr>
      </w:pPr>
      <w:r>
        <w:rPr/>
        <w:pict>
          <v:shape style="position:absolute;margin-left:36pt;margin-top:3.603865pt;width:13.35pt;height:14.25pt;mso-position-horizontal-relative:page;mso-position-vertical-relative:paragraph;z-index:2608" type="#_x0000_t202" filled="false" stroked="false">
            <v:textbox inset="0,0,0,0">
              <w:txbxContent>
                <w:p>
                  <w:pPr>
                    <w:spacing w:line="284" w:lineRule="exact" w:before="0"/>
                    <w:ind w:left="0" w:right="0" w:firstLine="0"/>
                    <w:jc w:val="left"/>
                    <w:rPr>
                      <w:b/>
                      <w:sz w:val="24"/>
                    </w:rPr>
                  </w:pPr>
                  <w:r>
                    <w:rPr>
                      <w:b/>
                      <w:color w:val="EC5A4F"/>
                      <w:w w:val="105"/>
                      <w:sz w:val="24"/>
                    </w:rPr>
                    <w:t>20</w:t>
                  </w:r>
                </w:p>
              </w:txbxContent>
            </v:textbox>
            <w10:wrap type="none"/>
          </v:shape>
        </w:pict>
      </w:r>
      <w:r>
        <w:rPr>
          <w:w w:val="105"/>
          <w:sz w:val="13"/>
        </w:rPr>
        <w:t>Submission 30a </w:t>
      </w:r>
      <w:r>
        <w:rPr>
          <w:spacing w:val="3"/>
          <w:w w:val="105"/>
          <w:sz w:val="13"/>
        </w:rPr>
        <w:t>(Law </w:t>
      </w:r>
      <w:r>
        <w:rPr>
          <w:w w:val="105"/>
          <w:sz w:val="13"/>
        </w:rPr>
        <w:t>Institute of</w:t>
      </w:r>
      <w:r>
        <w:rPr>
          <w:spacing w:val="19"/>
          <w:w w:val="105"/>
          <w:sz w:val="13"/>
        </w:rPr>
        <w:t> </w:t>
      </w:r>
      <w:r>
        <w:rPr>
          <w:spacing w:val="2"/>
          <w:w w:val="105"/>
          <w:sz w:val="13"/>
        </w:rPr>
        <w:t>Victoria).</w:t>
      </w:r>
    </w:p>
    <w:p>
      <w:pPr>
        <w:pStyle w:val="ListParagraph"/>
        <w:numPr>
          <w:ilvl w:val="0"/>
          <w:numId w:val="27"/>
        </w:numPr>
        <w:tabs>
          <w:tab w:pos="2380" w:val="left" w:leader="none"/>
          <w:tab w:pos="2382" w:val="left" w:leader="none"/>
        </w:tabs>
        <w:spacing w:line="240" w:lineRule="auto" w:before="1" w:after="0"/>
        <w:ind w:left="2381" w:right="0" w:hanging="794"/>
        <w:jc w:val="left"/>
        <w:rPr>
          <w:sz w:val="13"/>
        </w:rPr>
      </w:pPr>
      <w:r>
        <w:rPr>
          <w:w w:val="105"/>
          <w:sz w:val="13"/>
        </w:rPr>
        <w:t>Submissions 25 </w:t>
      </w:r>
      <w:r>
        <w:rPr>
          <w:spacing w:val="2"/>
          <w:w w:val="105"/>
          <w:sz w:val="13"/>
        </w:rPr>
        <w:t>(Moores </w:t>
      </w:r>
      <w:r>
        <w:rPr>
          <w:w w:val="105"/>
          <w:sz w:val="13"/>
        </w:rPr>
        <w:t>Legal); 26 </w:t>
      </w:r>
      <w:r>
        <w:rPr>
          <w:spacing w:val="2"/>
          <w:w w:val="105"/>
          <w:sz w:val="13"/>
        </w:rPr>
        <w:t>(Rigby </w:t>
      </w:r>
      <w:r>
        <w:rPr>
          <w:w w:val="105"/>
          <w:sz w:val="13"/>
        </w:rPr>
        <w:t>Cooke</w:t>
      </w:r>
      <w:r>
        <w:rPr>
          <w:spacing w:val="28"/>
          <w:w w:val="105"/>
          <w:sz w:val="13"/>
        </w:rPr>
        <w:t> </w:t>
      </w:r>
      <w:r>
        <w:rPr>
          <w:spacing w:val="2"/>
          <w:w w:val="105"/>
          <w:sz w:val="13"/>
        </w:rPr>
        <w:t>Lawyers).</w:t>
      </w:r>
    </w:p>
    <w:p>
      <w:pPr>
        <w:spacing w:after="0" w:line="240" w:lineRule="auto"/>
        <w:jc w:val="left"/>
        <w:rPr>
          <w:sz w:val="13"/>
        </w:rPr>
        <w:sectPr>
          <w:pgSz w:w="11910" w:h="16840"/>
          <w:pgMar w:header="550" w:footer="0" w:top="1560" w:bottom="280" w:left="0" w:right="0"/>
        </w:sectPr>
      </w:pPr>
    </w:p>
    <w:p>
      <w:pPr>
        <w:pStyle w:val="BodyText"/>
        <w:rPr>
          <w:sz w:val="20"/>
        </w:rPr>
      </w:pPr>
    </w:p>
    <w:p>
      <w:pPr>
        <w:pStyle w:val="BodyText"/>
        <w:rPr>
          <w:sz w:val="19"/>
        </w:rPr>
      </w:pPr>
    </w:p>
    <w:p>
      <w:pPr>
        <w:pStyle w:val="ListParagraph"/>
        <w:numPr>
          <w:ilvl w:val="1"/>
          <w:numId w:val="22"/>
        </w:numPr>
        <w:tabs>
          <w:tab w:pos="2380" w:val="left" w:leader="none"/>
          <w:tab w:pos="2381" w:val="left" w:leader="none"/>
        </w:tabs>
        <w:spacing w:line="242" w:lineRule="auto" w:before="91" w:after="0"/>
        <w:ind w:left="2381" w:right="1915" w:hanging="794"/>
        <w:jc w:val="left"/>
        <w:rPr>
          <w:sz w:val="21"/>
        </w:rPr>
      </w:pPr>
      <w:r>
        <w:rPr>
          <w:w w:val="105"/>
          <w:sz w:val="21"/>
        </w:rPr>
        <w:t>The </w:t>
      </w:r>
      <w:r>
        <w:rPr>
          <w:spacing w:val="-3"/>
          <w:w w:val="105"/>
          <w:sz w:val="21"/>
        </w:rPr>
        <w:t>Commission asked </w:t>
      </w:r>
      <w:r>
        <w:rPr>
          <w:w w:val="105"/>
          <w:sz w:val="21"/>
        </w:rPr>
        <w:t>whether </w:t>
      </w:r>
      <w:r>
        <w:rPr>
          <w:spacing w:val="-3"/>
          <w:w w:val="105"/>
          <w:sz w:val="21"/>
        </w:rPr>
        <w:t>changes to any </w:t>
      </w:r>
      <w:r>
        <w:rPr>
          <w:w w:val="105"/>
          <w:sz w:val="21"/>
        </w:rPr>
        <w:t>of the </w:t>
      </w:r>
      <w:r>
        <w:rPr>
          <w:spacing w:val="-3"/>
          <w:w w:val="105"/>
          <w:sz w:val="21"/>
        </w:rPr>
        <w:t>relevant </w:t>
      </w:r>
      <w:r>
        <w:rPr>
          <w:w w:val="105"/>
          <w:sz w:val="21"/>
        </w:rPr>
        <w:t>rules would assist in </w:t>
      </w:r>
      <w:r>
        <w:rPr>
          <w:spacing w:val="-3"/>
          <w:w w:val="105"/>
          <w:sz w:val="21"/>
        </w:rPr>
        <w:t>reducing</w:t>
      </w:r>
      <w:r>
        <w:rPr>
          <w:spacing w:val="-6"/>
          <w:w w:val="105"/>
          <w:sz w:val="21"/>
        </w:rPr>
        <w:t> </w:t>
      </w:r>
      <w:r>
        <w:rPr>
          <w:w w:val="105"/>
          <w:sz w:val="21"/>
        </w:rPr>
        <w:t>the</w:t>
      </w:r>
      <w:r>
        <w:rPr>
          <w:spacing w:val="-6"/>
          <w:w w:val="105"/>
          <w:sz w:val="21"/>
        </w:rPr>
        <w:t> </w:t>
      </w:r>
      <w:r>
        <w:rPr>
          <w:w w:val="105"/>
          <w:sz w:val="21"/>
        </w:rPr>
        <w:t>application</w:t>
      </w:r>
      <w:r>
        <w:rPr>
          <w:spacing w:val="-6"/>
          <w:w w:val="105"/>
          <w:sz w:val="21"/>
        </w:rPr>
        <w:t> </w:t>
      </w:r>
      <w:r>
        <w:rPr>
          <w:w w:val="105"/>
          <w:sz w:val="21"/>
        </w:rPr>
        <w:t>of</w:t>
      </w:r>
      <w:r>
        <w:rPr>
          <w:spacing w:val="-5"/>
          <w:w w:val="105"/>
          <w:sz w:val="21"/>
        </w:rPr>
        <w:t> </w:t>
      </w:r>
      <w:r>
        <w:rPr>
          <w:spacing w:val="-3"/>
          <w:w w:val="105"/>
          <w:sz w:val="21"/>
        </w:rPr>
        <w:t>undue</w:t>
      </w:r>
      <w:r>
        <w:rPr>
          <w:spacing w:val="-6"/>
          <w:w w:val="105"/>
          <w:sz w:val="21"/>
        </w:rPr>
        <w:t> </w:t>
      </w:r>
      <w:r>
        <w:rPr>
          <w:spacing w:val="-3"/>
          <w:w w:val="105"/>
          <w:sz w:val="21"/>
        </w:rPr>
        <w:t>influence</w:t>
      </w:r>
      <w:r>
        <w:rPr>
          <w:spacing w:val="-6"/>
          <w:w w:val="105"/>
          <w:sz w:val="21"/>
        </w:rPr>
        <w:t> </w:t>
      </w:r>
      <w:r>
        <w:rPr>
          <w:spacing w:val="-3"/>
          <w:w w:val="105"/>
          <w:sz w:val="21"/>
        </w:rPr>
        <w:t>to</w:t>
      </w:r>
      <w:r>
        <w:rPr>
          <w:spacing w:val="-5"/>
          <w:w w:val="105"/>
          <w:sz w:val="21"/>
        </w:rPr>
        <w:t> </w:t>
      </w:r>
      <w:r>
        <w:rPr>
          <w:w w:val="105"/>
          <w:sz w:val="21"/>
        </w:rPr>
        <w:t>older</w:t>
      </w:r>
      <w:r>
        <w:rPr>
          <w:spacing w:val="-6"/>
          <w:w w:val="105"/>
          <w:sz w:val="21"/>
        </w:rPr>
        <w:t> </w:t>
      </w:r>
      <w:r>
        <w:rPr>
          <w:w w:val="105"/>
          <w:sz w:val="21"/>
        </w:rPr>
        <w:t>and</w:t>
      </w:r>
      <w:r>
        <w:rPr>
          <w:spacing w:val="-6"/>
          <w:w w:val="105"/>
          <w:sz w:val="21"/>
        </w:rPr>
        <w:t> </w:t>
      </w:r>
      <w:r>
        <w:rPr>
          <w:spacing w:val="-3"/>
          <w:w w:val="105"/>
          <w:sz w:val="21"/>
        </w:rPr>
        <w:t>vulnerable</w:t>
      </w:r>
      <w:r>
        <w:rPr>
          <w:spacing w:val="-5"/>
          <w:w w:val="105"/>
          <w:sz w:val="21"/>
        </w:rPr>
        <w:t> </w:t>
      </w:r>
      <w:r>
        <w:rPr>
          <w:spacing w:val="-2"/>
          <w:w w:val="105"/>
          <w:sz w:val="21"/>
        </w:rPr>
        <w:t>will-makers.</w:t>
      </w:r>
      <w:r>
        <w:rPr>
          <w:spacing w:val="-6"/>
          <w:w w:val="105"/>
          <w:sz w:val="21"/>
        </w:rPr>
        <w:t> </w:t>
      </w:r>
      <w:r>
        <w:rPr>
          <w:w w:val="105"/>
          <w:sz w:val="21"/>
        </w:rPr>
        <w:t>There was </w:t>
      </w:r>
      <w:r>
        <w:rPr>
          <w:spacing w:val="-3"/>
          <w:w w:val="105"/>
          <w:sz w:val="21"/>
        </w:rPr>
        <w:t>generally </w:t>
      </w:r>
      <w:r>
        <w:rPr>
          <w:w w:val="105"/>
          <w:sz w:val="21"/>
        </w:rPr>
        <w:t>little support </w:t>
      </w:r>
      <w:r>
        <w:rPr>
          <w:spacing w:val="-3"/>
          <w:w w:val="105"/>
          <w:sz w:val="21"/>
        </w:rPr>
        <w:t>for any changes to </w:t>
      </w:r>
      <w:r>
        <w:rPr>
          <w:w w:val="105"/>
          <w:sz w:val="21"/>
        </w:rPr>
        <w:t>these rules. This section </w:t>
      </w:r>
      <w:r>
        <w:rPr>
          <w:spacing w:val="-3"/>
          <w:w w:val="105"/>
          <w:sz w:val="21"/>
        </w:rPr>
        <w:t>outlines </w:t>
      </w:r>
      <w:r>
        <w:rPr>
          <w:w w:val="105"/>
          <w:sz w:val="21"/>
        </w:rPr>
        <w:t>the comments received and the </w:t>
      </w:r>
      <w:r>
        <w:rPr>
          <w:spacing w:val="-4"/>
          <w:w w:val="105"/>
          <w:sz w:val="21"/>
        </w:rPr>
        <w:t>Commission’s </w:t>
      </w:r>
      <w:r>
        <w:rPr>
          <w:w w:val="105"/>
          <w:sz w:val="21"/>
        </w:rPr>
        <w:t>views on each</w:t>
      </w:r>
      <w:r>
        <w:rPr>
          <w:spacing w:val="28"/>
          <w:w w:val="105"/>
          <w:sz w:val="21"/>
        </w:rPr>
        <w:t> </w:t>
      </w:r>
      <w:r>
        <w:rPr>
          <w:spacing w:val="-3"/>
          <w:w w:val="105"/>
          <w:sz w:val="21"/>
        </w:rPr>
        <w:t>rule.</w:t>
      </w:r>
    </w:p>
    <w:p>
      <w:pPr>
        <w:pStyle w:val="BodyText"/>
        <w:spacing w:before="1"/>
        <w:rPr>
          <w:sz w:val="25"/>
        </w:rPr>
      </w:pPr>
    </w:p>
    <w:p>
      <w:pPr>
        <w:pStyle w:val="Heading5"/>
      </w:pPr>
      <w:r>
        <w:rPr>
          <w:w w:val="110"/>
        </w:rPr>
        <w:t>Testamentary capacity</w:t>
      </w:r>
    </w:p>
    <w:p>
      <w:pPr>
        <w:pStyle w:val="ListParagraph"/>
        <w:numPr>
          <w:ilvl w:val="1"/>
          <w:numId w:val="22"/>
        </w:numPr>
        <w:tabs>
          <w:tab w:pos="2381" w:val="left" w:leader="none"/>
          <w:tab w:pos="2382" w:val="left" w:leader="none"/>
        </w:tabs>
        <w:spacing w:line="240" w:lineRule="auto" w:before="137" w:after="0"/>
        <w:ind w:left="2381" w:right="0" w:hanging="794"/>
        <w:jc w:val="left"/>
        <w:rPr>
          <w:sz w:val="21"/>
        </w:rPr>
      </w:pPr>
      <w:r>
        <w:rPr>
          <w:sz w:val="21"/>
        </w:rPr>
        <w:t>In</w:t>
      </w:r>
      <w:r>
        <w:rPr>
          <w:spacing w:val="10"/>
          <w:sz w:val="21"/>
        </w:rPr>
        <w:t> </w:t>
      </w:r>
      <w:r>
        <w:rPr>
          <w:sz w:val="21"/>
        </w:rPr>
        <w:t>order</w:t>
      </w:r>
      <w:r>
        <w:rPr>
          <w:spacing w:val="11"/>
          <w:sz w:val="21"/>
        </w:rPr>
        <w:t> </w:t>
      </w:r>
      <w:r>
        <w:rPr>
          <w:spacing w:val="-3"/>
          <w:sz w:val="21"/>
        </w:rPr>
        <w:t>for</w:t>
      </w:r>
      <w:r>
        <w:rPr>
          <w:spacing w:val="11"/>
          <w:sz w:val="21"/>
        </w:rPr>
        <w:t> </w:t>
      </w:r>
      <w:r>
        <w:rPr>
          <w:sz w:val="21"/>
        </w:rPr>
        <w:t>a</w:t>
      </w:r>
      <w:r>
        <w:rPr>
          <w:spacing w:val="10"/>
          <w:sz w:val="21"/>
        </w:rPr>
        <w:t> </w:t>
      </w:r>
      <w:r>
        <w:rPr>
          <w:spacing w:val="-3"/>
          <w:sz w:val="21"/>
        </w:rPr>
        <w:t>will</w:t>
      </w:r>
      <w:r>
        <w:rPr>
          <w:spacing w:val="11"/>
          <w:sz w:val="21"/>
        </w:rPr>
        <w:t> </w:t>
      </w:r>
      <w:r>
        <w:rPr>
          <w:spacing w:val="-3"/>
          <w:sz w:val="21"/>
        </w:rPr>
        <w:t>to</w:t>
      </w:r>
      <w:r>
        <w:rPr>
          <w:spacing w:val="11"/>
          <w:sz w:val="21"/>
        </w:rPr>
        <w:t> </w:t>
      </w:r>
      <w:r>
        <w:rPr>
          <w:sz w:val="21"/>
        </w:rPr>
        <w:t>be</w:t>
      </w:r>
      <w:r>
        <w:rPr>
          <w:spacing w:val="10"/>
          <w:sz w:val="21"/>
        </w:rPr>
        <w:t> </w:t>
      </w:r>
      <w:r>
        <w:rPr>
          <w:spacing w:val="-3"/>
          <w:sz w:val="21"/>
        </w:rPr>
        <w:t>valid,</w:t>
      </w:r>
      <w:r>
        <w:rPr>
          <w:spacing w:val="11"/>
          <w:sz w:val="21"/>
        </w:rPr>
        <w:t> </w:t>
      </w:r>
      <w:r>
        <w:rPr>
          <w:sz w:val="21"/>
        </w:rPr>
        <w:t>the</w:t>
      </w:r>
      <w:r>
        <w:rPr>
          <w:spacing w:val="11"/>
          <w:sz w:val="21"/>
        </w:rPr>
        <w:t> </w:t>
      </w:r>
      <w:r>
        <w:rPr>
          <w:spacing w:val="-3"/>
          <w:sz w:val="21"/>
        </w:rPr>
        <w:t>will-maker</w:t>
      </w:r>
      <w:r>
        <w:rPr>
          <w:spacing w:val="10"/>
          <w:sz w:val="21"/>
        </w:rPr>
        <w:t> </w:t>
      </w:r>
      <w:r>
        <w:rPr>
          <w:sz w:val="21"/>
        </w:rPr>
        <w:t>must</w:t>
      </w:r>
      <w:r>
        <w:rPr>
          <w:spacing w:val="11"/>
          <w:sz w:val="21"/>
        </w:rPr>
        <w:t> </w:t>
      </w:r>
      <w:r>
        <w:rPr>
          <w:spacing w:val="-3"/>
          <w:sz w:val="21"/>
        </w:rPr>
        <w:t>have</w:t>
      </w:r>
      <w:r>
        <w:rPr>
          <w:spacing w:val="11"/>
          <w:sz w:val="21"/>
        </w:rPr>
        <w:t> </w:t>
      </w:r>
      <w:r>
        <w:rPr>
          <w:spacing w:val="-2"/>
          <w:sz w:val="21"/>
        </w:rPr>
        <w:t>had</w:t>
      </w:r>
      <w:r>
        <w:rPr>
          <w:spacing w:val="10"/>
          <w:sz w:val="21"/>
        </w:rPr>
        <w:t> </w:t>
      </w:r>
      <w:r>
        <w:rPr>
          <w:sz w:val="21"/>
        </w:rPr>
        <w:t>testamentary</w:t>
      </w:r>
      <w:r>
        <w:rPr>
          <w:spacing w:val="11"/>
          <w:sz w:val="21"/>
        </w:rPr>
        <w:t> </w:t>
      </w:r>
      <w:r>
        <w:rPr>
          <w:sz w:val="21"/>
        </w:rPr>
        <w:t>capacity</w:t>
      </w:r>
      <w:r>
        <w:rPr>
          <w:spacing w:val="11"/>
          <w:sz w:val="21"/>
        </w:rPr>
        <w:t> </w:t>
      </w:r>
      <w:r>
        <w:rPr>
          <w:sz w:val="21"/>
        </w:rPr>
        <w:t>at</w:t>
      </w:r>
    </w:p>
    <w:p>
      <w:pPr>
        <w:pStyle w:val="BodyText"/>
        <w:spacing w:line="242" w:lineRule="auto" w:before="4"/>
        <w:ind w:left="2381" w:right="1619"/>
      </w:pPr>
      <w:r>
        <w:rPr>
          <w:w w:val="105"/>
        </w:rPr>
        <w:t>the</w:t>
      </w:r>
      <w:r>
        <w:rPr>
          <w:spacing w:val="-11"/>
          <w:w w:val="105"/>
        </w:rPr>
        <w:t> </w:t>
      </w:r>
      <w:r>
        <w:rPr>
          <w:w w:val="105"/>
        </w:rPr>
        <w:t>time</w:t>
      </w:r>
      <w:r>
        <w:rPr>
          <w:spacing w:val="-10"/>
          <w:w w:val="105"/>
        </w:rPr>
        <w:t> </w:t>
      </w:r>
      <w:r>
        <w:rPr>
          <w:w w:val="105"/>
        </w:rPr>
        <w:t>it</w:t>
      </w:r>
      <w:r>
        <w:rPr>
          <w:spacing w:val="-10"/>
          <w:w w:val="105"/>
        </w:rPr>
        <w:t> </w:t>
      </w:r>
      <w:r>
        <w:rPr>
          <w:w w:val="105"/>
        </w:rPr>
        <w:t>was</w:t>
      </w:r>
      <w:r>
        <w:rPr>
          <w:spacing w:val="-11"/>
          <w:w w:val="105"/>
        </w:rPr>
        <w:t> </w:t>
      </w:r>
      <w:r>
        <w:rPr>
          <w:spacing w:val="-3"/>
          <w:w w:val="105"/>
        </w:rPr>
        <w:t>made.</w:t>
      </w:r>
      <w:r>
        <w:rPr>
          <w:spacing w:val="-10"/>
          <w:w w:val="105"/>
        </w:rPr>
        <w:t> </w:t>
      </w:r>
      <w:r>
        <w:rPr>
          <w:w w:val="105"/>
        </w:rPr>
        <w:t>The</w:t>
      </w:r>
      <w:r>
        <w:rPr>
          <w:spacing w:val="-10"/>
          <w:w w:val="105"/>
        </w:rPr>
        <w:t> </w:t>
      </w:r>
      <w:r>
        <w:rPr>
          <w:w w:val="105"/>
        </w:rPr>
        <w:t>test</w:t>
      </w:r>
      <w:r>
        <w:rPr>
          <w:spacing w:val="-11"/>
          <w:w w:val="105"/>
        </w:rPr>
        <w:t> </w:t>
      </w:r>
      <w:r>
        <w:rPr>
          <w:spacing w:val="-3"/>
          <w:w w:val="105"/>
        </w:rPr>
        <w:t>for</w:t>
      </w:r>
      <w:r>
        <w:rPr>
          <w:spacing w:val="-10"/>
          <w:w w:val="105"/>
        </w:rPr>
        <w:t> </w:t>
      </w:r>
      <w:r>
        <w:rPr>
          <w:w w:val="105"/>
        </w:rPr>
        <w:t>testamentary</w:t>
      </w:r>
      <w:r>
        <w:rPr>
          <w:spacing w:val="-10"/>
          <w:w w:val="105"/>
        </w:rPr>
        <w:t> </w:t>
      </w:r>
      <w:r>
        <w:rPr>
          <w:w w:val="105"/>
        </w:rPr>
        <w:t>capacity</w:t>
      </w:r>
      <w:r>
        <w:rPr>
          <w:spacing w:val="-11"/>
          <w:w w:val="105"/>
        </w:rPr>
        <w:t> </w:t>
      </w:r>
      <w:r>
        <w:rPr>
          <w:w w:val="105"/>
        </w:rPr>
        <w:t>is</w:t>
      </w:r>
      <w:r>
        <w:rPr>
          <w:spacing w:val="-10"/>
          <w:w w:val="105"/>
        </w:rPr>
        <w:t> </w:t>
      </w:r>
      <w:r>
        <w:rPr>
          <w:w w:val="105"/>
        </w:rPr>
        <w:t>a</w:t>
      </w:r>
      <w:r>
        <w:rPr>
          <w:spacing w:val="-10"/>
          <w:w w:val="105"/>
        </w:rPr>
        <w:t> </w:t>
      </w:r>
      <w:r>
        <w:rPr>
          <w:spacing w:val="-2"/>
          <w:w w:val="105"/>
        </w:rPr>
        <w:t>common</w:t>
      </w:r>
      <w:r>
        <w:rPr>
          <w:spacing w:val="-11"/>
          <w:w w:val="105"/>
        </w:rPr>
        <w:t> </w:t>
      </w:r>
      <w:r>
        <w:rPr>
          <w:w w:val="105"/>
        </w:rPr>
        <w:t>law</w:t>
      </w:r>
      <w:r>
        <w:rPr>
          <w:spacing w:val="-10"/>
          <w:w w:val="105"/>
        </w:rPr>
        <w:t> </w:t>
      </w:r>
      <w:r>
        <w:rPr>
          <w:w w:val="105"/>
        </w:rPr>
        <w:t>test,</w:t>
      </w:r>
      <w:r>
        <w:rPr>
          <w:spacing w:val="-10"/>
          <w:w w:val="105"/>
        </w:rPr>
        <w:t> </w:t>
      </w:r>
      <w:r>
        <w:rPr>
          <w:w w:val="105"/>
        </w:rPr>
        <w:t>classically stated in the </w:t>
      </w:r>
      <w:r>
        <w:rPr>
          <w:spacing w:val="-7"/>
          <w:w w:val="105"/>
        </w:rPr>
        <w:t>1870 </w:t>
      </w:r>
      <w:r>
        <w:rPr>
          <w:spacing w:val="-3"/>
          <w:w w:val="105"/>
        </w:rPr>
        <w:t>United </w:t>
      </w:r>
      <w:r>
        <w:rPr>
          <w:w w:val="105"/>
        </w:rPr>
        <w:t>Kingdom case of </w:t>
      </w:r>
      <w:r>
        <w:rPr>
          <w:i/>
          <w:w w:val="105"/>
        </w:rPr>
        <w:t>Banks v </w:t>
      </w:r>
      <w:r>
        <w:rPr>
          <w:i/>
          <w:spacing w:val="-5"/>
          <w:w w:val="105"/>
        </w:rPr>
        <w:t>Goodfellow</w:t>
      </w:r>
      <w:r>
        <w:rPr>
          <w:spacing w:val="-5"/>
          <w:w w:val="105"/>
        </w:rPr>
        <w:t>.</w:t>
      </w:r>
      <w:r>
        <w:rPr>
          <w:spacing w:val="-5"/>
          <w:w w:val="105"/>
          <w:position w:val="7"/>
          <w:sz w:val="12"/>
        </w:rPr>
        <w:t>143 </w:t>
      </w:r>
      <w:r>
        <w:rPr>
          <w:w w:val="105"/>
        </w:rPr>
        <w:t>A person must</w:t>
      </w:r>
      <w:r>
        <w:rPr>
          <w:spacing w:val="5"/>
          <w:w w:val="105"/>
        </w:rPr>
        <w:t> </w:t>
      </w:r>
      <w:r>
        <w:rPr>
          <w:w w:val="105"/>
        </w:rPr>
        <w:t>be</w:t>
      </w:r>
    </w:p>
    <w:p>
      <w:pPr>
        <w:pStyle w:val="BodyText"/>
        <w:spacing w:line="242" w:lineRule="auto" w:before="2"/>
        <w:ind w:left="2381" w:right="1564"/>
      </w:pPr>
      <w:r>
        <w:rPr>
          <w:w w:val="105"/>
        </w:rPr>
        <w:t>of sound </w:t>
      </w:r>
      <w:r>
        <w:rPr>
          <w:spacing w:val="-3"/>
          <w:w w:val="105"/>
        </w:rPr>
        <w:t>mind, </w:t>
      </w:r>
      <w:r>
        <w:rPr>
          <w:w w:val="105"/>
        </w:rPr>
        <w:t>memory and understanding </w:t>
      </w:r>
      <w:r>
        <w:rPr>
          <w:spacing w:val="-3"/>
          <w:w w:val="105"/>
        </w:rPr>
        <w:t>to </w:t>
      </w:r>
      <w:r>
        <w:rPr>
          <w:spacing w:val="-4"/>
          <w:w w:val="105"/>
        </w:rPr>
        <w:t>make </w:t>
      </w:r>
      <w:r>
        <w:rPr>
          <w:w w:val="105"/>
        </w:rPr>
        <w:t>a </w:t>
      </w:r>
      <w:r>
        <w:rPr>
          <w:spacing w:val="-3"/>
          <w:w w:val="105"/>
        </w:rPr>
        <w:t>will. </w:t>
      </w:r>
      <w:r>
        <w:rPr>
          <w:spacing w:val="-4"/>
          <w:w w:val="105"/>
        </w:rPr>
        <w:t>However, </w:t>
      </w:r>
      <w:r>
        <w:rPr>
          <w:w w:val="105"/>
        </w:rPr>
        <w:t>a </w:t>
      </w:r>
      <w:r>
        <w:rPr>
          <w:spacing w:val="-3"/>
          <w:w w:val="105"/>
        </w:rPr>
        <w:t>will-maker </w:t>
      </w:r>
      <w:r>
        <w:rPr>
          <w:w w:val="105"/>
        </w:rPr>
        <w:t>is assumed </w:t>
      </w:r>
      <w:r>
        <w:rPr>
          <w:spacing w:val="-3"/>
          <w:w w:val="105"/>
        </w:rPr>
        <w:t>to have </w:t>
      </w:r>
      <w:r>
        <w:rPr>
          <w:w w:val="105"/>
        </w:rPr>
        <w:t>been of sound </w:t>
      </w:r>
      <w:r>
        <w:rPr>
          <w:spacing w:val="-3"/>
          <w:w w:val="105"/>
        </w:rPr>
        <w:t>mind </w:t>
      </w:r>
      <w:r>
        <w:rPr>
          <w:w w:val="105"/>
        </w:rPr>
        <w:t>unless evidence is </w:t>
      </w:r>
      <w:r>
        <w:rPr>
          <w:spacing w:val="-3"/>
          <w:w w:val="105"/>
        </w:rPr>
        <w:t>presented that calls </w:t>
      </w:r>
      <w:r>
        <w:rPr>
          <w:spacing w:val="-4"/>
          <w:w w:val="105"/>
        </w:rPr>
        <w:t>into </w:t>
      </w:r>
      <w:r>
        <w:rPr>
          <w:w w:val="105"/>
        </w:rPr>
        <w:t>question the </w:t>
      </w:r>
      <w:r>
        <w:rPr>
          <w:spacing w:val="-3"/>
          <w:w w:val="105"/>
        </w:rPr>
        <w:t>person’s capacity. </w:t>
      </w:r>
      <w:r>
        <w:rPr>
          <w:w w:val="105"/>
        </w:rPr>
        <w:t>If </w:t>
      </w:r>
      <w:r>
        <w:rPr>
          <w:spacing w:val="-3"/>
          <w:w w:val="105"/>
        </w:rPr>
        <w:t>such </w:t>
      </w:r>
      <w:r>
        <w:rPr>
          <w:w w:val="105"/>
        </w:rPr>
        <w:t>evidence is </w:t>
      </w:r>
      <w:r>
        <w:rPr>
          <w:spacing w:val="-3"/>
          <w:w w:val="105"/>
        </w:rPr>
        <w:t>presented, </w:t>
      </w:r>
      <w:r>
        <w:rPr>
          <w:w w:val="105"/>
        </w:rPr>
        <w:t>then the person seeking </w:t>
      </w:r>
      <w:r>
        <w:rPr>
          <w:spacing w:val="-3"/>
          <w:w w:val="105"/>
        </w:rPr>
        <w:t>to </w:t>
      </w:r>
      <w:r>
        <w:rPr>
          <w:w w:val="105"/>
        </w:rPr>
        <w:t>uphold the </w:t>
      </w:r>
      <w:r>
        <w:rPr>
          <w:spacing w:val="-3"/>
          <w:w w:val="105"/>
        </w:rPr>
        <w:t>will </w:t>
      </w:r>
      <w:r>
        <w:rPr>
          <w:w w:val="105"/>
        </w:rPr>
        <w:t>must establish </w:t>
      </w:r>
      <w:r>
        <w:rPr>
          <w:spacing w:val="-3"/>
          <w:w w:val="105"/>
        </w:rPr>
        <w:t>that </w:t>
      </w:r>
      <w:r>
        <w:rPr>
          <w:w w:val="105"/>
        </w:rPr>
        <w:t>the </w:t>
      </w:r>
      <w:r>
        <w:rPr>
          <w:spacing w:val="-3"/>
          <w:w w:val="105"/>
        </w:rPr>
        <w:t>will-maker </w:t>
      </w:r>
      <w:r>
        <w:rPr>
          <w:spacing w:val="-2"/>
          <w:w w:val="105"/>
        </w:rPr>
        <w:t>had </w:t>
      </w:r>
      <w:r>
        <w:rPr>
          <w:w w:val="105"/>
        </w:rPr>
        <w:t>capacity </w:t>
      </w:r>
      <w:r>
        <w:rPr>
          <w:spacing w:val="-3"/>
          <w:w w:val="105"/>
        </w:rPr>
        <w:t>to </w:t>
      </w:r>
      <w:r>
        <w:rPr>
          <w:spacing w:val="-4"/>
          <w:w w:val="105"/>
        </w:rPr>
        <w:t>make </w:t>
      </w:r>
      <w:r>
        <w:rPr>
          <w:w w:val="105"/>
        </w:rPr>
        <w:t>the </w:t>
      </w:r>
      <w:r>
        <w:rPr>
          <w:spacing w:val="-3"/>
          <w:w w:val="105"/>
        </w:rPr>
        <w:t>will.</w:t>
      </w:r>
    </w:p>
    <w:p>
      <w:pPr>
        <w:pStyle w:val="ListParagraph"/>
        <w:numPr>
          <w:ilvl w:val="1"/>
          <w:numId w:val="22"/>
        </w:numPr>
        <w:tabs>
          <w:tab w:pos="2380" w:val="left" w:leader="none"/>
          <w:tab w:pos="2381" w:val="left" w:leader="none"/>
        </w:tabs>
        <w:spacing w:line="242" w:lineRule="auto" w:before="124" w:after="0"/>
        <w:ind w:left="2380" w:right="1766" w:hanging="793"/>
        <w:jc w:val="left"/>
        <w:rPr>
          <w:sz w:val="21"/>
        </w:rPr>
      </w:pPr>
      <w:r>
        <w:rPr>
          <w:spacing w:val="-3"/>
          <w:w w:val="105"/>
          <w:sz w:val="21"/>
        </w:rPr>
        <w:t>According to </w:t>
      </w:r>
      <w:r>
        <w:rPr>
          <w:i/>
          <w:w w:val="105"/>
          <w:sz w:val="21"/>
        </w:rPr>
        <w:t>Banks v </w:t>
      </w:r>
      <w:r>
        <w:rPr>
          <w:i/>
          <w:spacing w:val="-4"/>
          <w:w w:val="105"/>
          <w:sz w:val="21"/>
        </w:rPr>
        <w:t>Goodfellow</w:t>
      </w:r>
      <w:r>
        <w:rPr>
          <w:spacing w:val="-4"/>
          <w:w w:val="105"/>
          <w:sz w:val="21"/>
        </w:rPr>
        <w:t>, </w:t>
      </w:r>
      <w:r>
        <w:rPr>
          <w:w w:val="105"/>
          <w:sz w:val="21"/>
        </w:rPr>
        <w:t>in order </w:t>
      </w:r>
      <w:r>
        <w:rPr>
          <w:spacing w:val="-3"/>
          <w:w w:val="105"/>
          <w:sz w:val="21"/>
        </w:rPr>
        <w:t>to have </w:t>
      </w:r>
      <w:r>
        <w:rPr>
          <w:w w:val="105"/>
          <w:sz w:val="21"/>
        </w:rPr>
        <w:t>the necessary soundness of </w:t>
      </w:r>
      <w:r>
        <w:rPr>
          <w:spacing w:val="-3"/>
          <w:w w:val="105"/>
          <w:sz w:val="21"/>
        </w:rPr>
        <w:t>mind </w:t>
      </w:r>
      <w:r>
        <w:rPr>
          <w:w w:val="105"/>
          <w:sz w:val="21"/>
        </w:rPr>
        <w:t>the person</w:t>
      </w:r>
      <w:r>
        <w:rPr>
          <w:spacing w:val="5"/>
          <w:w w:val="105"/>
          <w:sz w:val="21"/>
        </w:rPr>
        <w:t> </w:t>
      </w:r>
      <w:r>
        <w:rPr>
          <w:w w:val="105"/>
          <w:sz w:val="21"/>
        </w:rPr>
        <w:t>must:</w:t>
      </w:r>
    </w:p>
    <w:p>
      <w:pPr>
        <w:pStyle w:val="ListParagraph"/>
        <w:numPr>
          <w:ilvl w:val="2"/>
          <w:numId w:val="22"/>
        </w:numPr>
        <w:tabs>
          <w:tab w:pos="2721" w:val="left" w:leader="none"/>
          <w:tab w:pos="2722" w:val="left" w:leader="none"/>
        </w:tabs>
        <w:spacing w:line="240" w:lineRule="auto" w:before="123" w:after="0"/>
        <w:ind w:left="2721" w:right="0" w:hanging="341"/>
        <w:jc w:val="left"/>
        <w:rPr>
          <w:sz w:val="21"/>
        </w:rPr>
      </w:pPr>
      <w:r>
        <w:rPr>
          <w:w w:val="105"/>
          <w:sz w:val="21"/>
        </w:rPr>
        <w:t>understand the </w:t>
      </w:r>
      <w:r>
        <w:rPr>
          <w:spacing w:val="-3"/>
          <w:w w:val="105"/>
          <w:sz w:val="21"/>
        </w:rPr>
        <w:t>nature </w:t>
      </w:r>
      <w:r>
        <w:rPr>
          <w:w w:val="105"/>
          <w:sz w:val="21"/>
        </w:rPr>
        <w:t>and effect of a</w:t>
      </w:r>
      <w:r>
        <w:rPr>
          <w:spacing w:val="37"/>
          <w:w w:val="105"/>
          <w:sz w:val="21"/>
        </w:rPr>
        <w:t> </w:t>
      </w:r>
      <w:r>
        <w:rPr>
          <w:spacing w:val="-3"/>
          <w:w w:val="105"/>
          <w:sz w:val="21"/>
        </w:rPr>
        <w:t>will</w:t>
      </w:r>
    </w:p>
    <w:p>
      <w:pPr>
        <w:pStyle w:val="ListParagraph"/>
        <w:numPr>
          <w:ilvl w:val="2"/>
          <w:numId w:val="22"/>
        </w:numPr>
        <w:tabs>
          <w:tab w:pos="2721" w:val="left" w:leader="none"/>
          <w:tab w:pos="2722" w:val="left" w:leader="none"/>
        </w:tabs>
        <w:spacing w:line="240" w:lineRule="auto" w:before="123" w:after="0"/>
        <w:ind w:left="2721" w:right="0" w:hanging="341"/>
        <w:jc w:val="left"/>
        <w:rPr>
          <w:sz w:val="21"/>
        </w:rPr>
      </w:pPr>
      <w:r>
        <w:rPr>
          <w:w w:val="105"/>
          <w:sz w:val="21"/>
        </w:rPr>
        <w:t>understand the </w:t>
      </w:r>
      <w:r>
        <w:rPr>
          <w:spacing w:val="-3"/>
          <w:w w:val="105"/>
          <w:sz w:val="21"/>
        </w:rPr>
        <w:t>nature </w:t>
      </w:r>
      <w:r>
        <w:rPr>
          <w:w w:val="105"/>
          <w:sz w:val="21"/>
        </w:rPr>
        <w:t>and extent of their</w:t>
      </w:r>
      <w:r>
        <w:rPr>
          <w:spacing w:val="31"/>
          <w:w w:val="105"/>
          <w:sz w:val="21"/>
        </w:rPr>
        <w:t> </w:t>
      </w:r>
      <w:r>
        <w:rPr>
          <w:w w:val="105"/>
          <w:sz w:val="21"/>
        </w:rPr>
        <w:t>property</w:t>
      </w:r>
    </w:p>
    <w:p>
      <w:pPr>
        <w:pStyle w:val="ListParagraph"/>
        <w:numPr>
          <w:ilvl w:val="2"/>
          <w:numId w:val="22"/>
        </w:numPr>
        <w:tabs>
          <w:tab w:pos="2721" w:val="left" w:leader="none"/>
          <w:tab w:pos="2722" w:val="left" w:leader="none"/>
        </w:tabs>
        <w:spacing w:line="240" w:lineRule="auto" w:before="124" w:after="0"/>
        <w:ind w:left="2721" w:right="0" w:hanging="341"/>
        <w:jc w:val="left"/>
        <w:rPr>
          <w:sz w:val="21"/>
        </w:rPr>
      </w:pPr>
      <w:r>
        <w:rPr>
          <w:spacing w:val="-3"/>
          <w:w w:val="105"/>
          <w:sz w:val="21"/>
        </w:rPr>
        <w:t>comprehend</w:t>
      </w:r>
      <w:r>
        <w:rPr>
          <w:spacing w:val="4"/>
          <w:w w:val="105"/>
          <w:sz w:val="21"/>
        </w:rPr>
        <w:t> </w:t>
      </w:r>
      <w:r>
        <w:rPr>
          <w:w w:val="105"/>
          <w:sz w:val="21"/>
        </w:rPr>
        <w:t>and</w:t>
      </w:r>
      <w:r>
        <w:rPr>
          <w:spacing w:val="4"/>
          <w:w w:val="105"/>
          <w:sz w:val="21"/>
        </w:rPr>
        <w:t> </w:t>
      </w:r>
      <w:r>
        <w:rPr>
          <w:spacing w:val="-3"/>
          <w:w w:val="105"/>
          <w:sz w:val="21"/>
        </w:rPr>
        <w:t>appreciate</w:t>
      </w:r>
      <w:r>
        <w:rPr>
          <w:spacing w:val="4"/>
          <w:w w:val="105"/>
          <w:sz w:val="21"/>
        </w:rPr>
        <w:t> </w:t>
      </w:r>
      <w:r>
        <w:rPr>
          <w:w w:val="105"/>
          <w:sz w:val="21"/>
        </w:rPr>
        <w:t>the</w:t>
      </w:r>
      <w:r>
        <w:rPr>
          <w:spacing w:val="4"/>
          <w:w w:val="105"/>
          <w:sz w:val="21"/>
        </w:rPr>
        <w:t> </w:t>
      </w:r>
      <w:r>
        <w:rPr>
          <w:spacing w:val="-3"/>
          <w:w w:val="105"/>
          <w:sz w:val="21"/>
        </w:rPr>
        <w:t>claims</w:t>
      </w:r>
      <w:r>
        <w:rPr>
          <w:spacing w:val="4"/>
          <w:w w:val="105"/>
          <w:sz w:val="21"/>
        </w:rPr>
        <w:t> </w:t>
      </w:r>
      <w:r>
        <w:rPr>
          <w:spacing w:val="-3"/>
          <w:w w:val="105"/>
          <w:sz w:val="21"/>
        </w:rPr>
        <w:t>to</w:t>
      </w:r>
      <w:r>
        <w:rPr>
          <w:spacing w:val="5"/>
          <w:w w:val="105"/>
          <w:sz w:val="21"/>
        </w:rPr>
        <w:t> </w:t>
      </w:r>
      <w:r>
        <w:rPr>
          <w:w w:val="105"/>
          <w:sz w:val="21"/>
        </w:rPr>
        <w:t>which</w:t>
      </w:r>
      <w:r>
        <w:rPr>
          <w:spacing w:val="4"/>
          <w:w w:val="105"/>
          <w:sz w:val="21"/>
        </w:rPr>
        <w:t> </w:t>
      </w:r>
      <w:r>
        <w:rPr>
          <w:w w:val="105"/>
          <w:sz w:val="21"/>
        </w:rPr>
        <w:t>they</w:t>
      </w:r>
      <w:r>
        <w:rPr>
          <w:spacing w:val="4"/>
          <w:w w:val="105"/>
          <w:sz w:val="21"/>
        </w:rPr>
        <w:t> </w:t>
      </w:r>
      <w:r>
        <w:rPr>
          <w:spacing w:val="-3"/>
          <w:w w:val="105"/>
          <w:sz w:val="21"/>
        </w:rPr>
        <w:t>ought</w:t>
      </w:r>
      <w:r>
        <w:rPr>
          <w:spacing w:val="4"/>
          <w:w w:val="105"/>
          <w:sz w:val="21"/>
        </w:rPr>
        <w:t> </w:t>
      </w:r>
      <w:r>
        <w:rPr>
          <w:spacing w:val="-3"/>
          <w:w w:val="105"/>
          <w:sz w:val="21"/>
        </w:rPr>
        <w:t>to</w:t>
      </w:r>
      <w:r>
        <w:rPr>
          <w:spacing w:val="4"/>
          <w:w w:val="105"/>
          <w:sz w:val="21"/>
        </w:rPr>
        <w:t> </w:t>
      </w:r>
      <w:r>
        <w:rPr>
          <w:w w:val="105"/>
          <w:sz w:val="21"/>
        </w:rPr>
        <w:t>give</w:t>
      </w:r>
      <w:r>
        <w:rPr>
          <w:spacing w:val="4"/>
          <w:w w:val="105"/>
          <w:sz w:val="21"/>
        </w:rPr>
        <w:t> </w:t>
      </w:r>
      <w:r>
        <w:rPr>
          <w:w w:val="105"/>
          <w:sz w:val="21"/>
        </w:rPr>
        <w:t>effect</w:t>
      </w:r>
    </w:p>
    <w:p>
      <w:pPr>
        <w:pStyle w:val="ListParagraph"/>
        <w:numPr>
          <w:ilvl w:val="2"/>
          <w:numId w:val="22"/>
        </w:numPr>
        <w:tabs>
          <w:tab w:pos="2721" w:val="left" w:leader="none"/>
          <w:tab w:pos="2722" w:val="left" w:leader="none"/>
        </w:tabs>
        <w:spacing w:line="242" w:lineRule="auto" w:before="124" w:after="0"/>
        <w:ind w:left="2721" w:right="1805" w:hanging="341"/>
        <w:jc w:val="left"/>
        <w:rPr>
          <w:sz w:val="12"/>
        </w:rPr>
      </w:pPr>
      <w:r>
        <w:rPr>
          <w:w w:val="105"/>
          <w:sz w:val="21"/>
        </w:rPr>
        <w:t>be </w:t>
      </w:r>
      <w:r>
        <w:rPr>
          <w:spacing w:val="-3"/>
          <w:w w:val="105"/>
          <w:sz w:val="21"/>
        </w:rPr>
        <w:t>suffering from </w:t>
      </w:r>
      <w:r>
        <w:rPr>
          <w:w w:val="105"/>
          <w:sz w:val="21"/>
        </w:rPr>
        <w:t>no disorder of the </w:t>
      </w:r>
      <w:r>
        <w:rPr>
          <w:spacing w:val="-3"/>
          <w:w w:val="105"/>
          <w:sz w:val="21"/>
        </w:rPr>
        <w:t>mind </w:t>
      </w:r>
      <w:r>
        <w:rPr>
          <w:w w:val="105"/>
          <w:sz w:val="21"/>
        </w:rPr>
        <w:t>or </w:t>
      </w:r>
      <w:r>
        <w:rPr>
          <w:spacing w:val="-3"/>
          <w:w w:val="105"/>
          <w:sz w:val="21"/>
        </w:rPr>
        <w:t>insane delusion that </w:t>
      </w:r>
      <w:r>
        <w:rPr>
          <w:w w:val="105"/>
          <w:sz w:val="21"/>
        </w:rPr>
        <w:t>would </w:t>
      </w:r>
      <w:r>
        <w:rPr>
          <w:spacing w:val="-3"/>
          <w:w w:val="105"/>
          <w:sz w:val="21"/>
        </w:rPr>
        <w:t>result </w:t>
      </w:r>
      <w:r>
        <w:rPr>
          <w:w w:val="105"/>
          <w:sz w:val="21"/>
        </w:rPr>
        <w:t>in an </w:t>
      </w:r>
      <w:r>
        <w:rPr>
          <w:spacing w:val="-3"/>
          <w:w w:val="105"/>
          <w:sz w:val="21"/>
        </w:rPr>
        <w:t>unwanted</w:t>
      </w:r>
      <w:r>
        <w:rPr>
          <w:spacing w:val="5"/>
          <w:w w:val="105"/>
          <w:sz w:val="21"/>
        </w:rPr>
        <w:t> </w:t>
      </w:r>
      <w:r>
        <w:rPr>
          <w:spacing w:val="-4"/>
          <w:w w:val="105"/>
          <w:sz w:val="21"/>
        </w:rPr>
        <w:t>disposition.</w:t>
      </w:r>
      <w:r>
        <w:rPr>
          <w:spacing w:val="-4"/>
          <w:w w:val="105"/>
          <w:position w:val="7"/>
          <w:sz w:val="12"/>
        </w:rPr>
        <w:t>144</w:t>
      </w:r>
    </w:p>
    <w:p>
      <w:pPr>
        <w:pStyle w:val="ListParagraph"/>
        <w:numPr>
          <w:ilvl w:val="1"/>
          <w:numId w:val="22"/>
        </w:numPr>
        <w:tabs>
          <w:tab w:pos="2380" w:val="left" w:leader="none"/>
          <w:tab w:pos="2381" w:val="left" w:leader="none"/>
        </w:tabs>
        <w:spacing w:line="242" w:lineRule="auto" w:before="122" w:after="0"/>
        <w:ind w:left="2381" w:right="1814" w:hanging="794"/>
        <w:jc w:val="left"/>
        <w:rPr>
          <w:sz w:val="12"/>
        </w:rPr>
      </w:pPr>
      <w:r>
        <w:rPr>
          <w:spacing w:val="-3"/>
          <w:w w:val="105"/>
          <w:sz w:val="21"/>
        </w:rPr>
        <w:t>Submissions</w:t>
      </w:r>
      <w:r>
        <w:rPr>
          <w:spacing w:val="-7"/>
          <w:w w:val="105"/>
          <w:sz w:val="21"/>
        </w:rPr>
        <w:t> </w:t>
      </w:r>
      <w:r>
        <w:rPr>
          <w:spacing w:val="-3"/>
          <w:w w:val="105"/>
          <w:sz w:val="21"/>
        </w:rPr>
        <w:t>noted</w:t>
      </w:r>
      <w:r>
        <w:rPr>
          <w:spacing w:val="-7"/>
          <w:w w:val="105"/>
          <w:sz w:val="21"/>
        </w:rPr>
        <w:t> </w:t>
      </w:r>
      <w:r>
        <w:rPr>
          <w:spacing w:val="-3"/>
          <w:w w:val="105"/>
          <w:sz w:val="21"/>
        </w:rPr>
        <w:t>that</w:t>
      </w:r>
      <w:r>
        <w:rPr>
          <w:spacing w:val="-7"/>
          <w:w w:val="105"/>
          <w:sz w:val="21"/>
        </w:rPr>
        <w:t> </w:t>
      </w:r>
      <w:r>
        <w:rPr>
          <w:w w:val="105"/>
          <w:sz w:val="21"/>
        </w:rPr>
        <w:t>medical</w:t>
      </w:r>
      <w:r>
        <w:rPr>
          <w:spacing w:val="-7"/>
          <w:w w:val="105"/>
          <w:sz w:val="21"/>
        </w:rPr>
        <w:t> </w:t>
      </w:r>
      <w:r>
        <w:rPr>
          <w:w w:val="105"/>
          <w:sz w:val="21"/>
        </w:rPr>
        <w:t>practitioners</w:t>
      </w:r>
      <w:r>
        <w:rPr>
          <w:spacing w:val="-7"/>
          <w:w w:val="105"/>
          <w:sz w:val="21"/>
        </w:rPr>
        <w:t> </w:t>
      </w:r>
      <w:r>
        <w:rPr>
          <w:w w:val="105"/>
          <w:sz w:val="21"/>
        </w:rPr>
        <w:t>do</w:t>
      </w:r>
      <w:r>
        <w:rPr>
          <w:spacing w:val="-7"/>
          <w:w w:val="105"/>
          <w:sz w:val="21"/>
        </w:rPr>
        <w:t> </w:t>
      </w:r>
      <w:r>
        <w:rPr>
          <w:spacing w:val="-2"/>
          <w:w w:val="105"/>
          <w:sz w:val="21"/>
        </w:rPr>
        <w:t>not</w:t>
      </w:r>
      <w:r>
        <w:rPr>
          <w:spacing w:val="-7"/>
          <w:w w:val="105"/>
          <w:sz w:val="21"/>
        </w:rPr>
        <w:t> </w:t>
      </w:r>
      <w:r>
        <w:rPr>
          <w:w w:val="105"/>
          <w:sz w:val="21"/>
        </w:rPr>
        <w:t>always</w:t>
      </w:r>
      <w:r>
        <w:rPr>
          <w:spacing w:val="-6"/>
          <w:w w:val="105"/>
          <w:sz w:val="21"/>
        </w:rPr>
        <w:t> </w:t>
      </w:r>
      <w:r>
        <w:rPr>
          <w:spacing w:val="-3"/>
          <w:w w:val="105"/>
          <w:sz w:val="21"/>
        </w:rPr>
        <w:t>have</w:t>
      </w:r>
      <w:r>
        <w:rPr>
          <w:spacing w:val="-7"/>
          <w:w w:val="105"/>
          <w:sz w:val="21"/>
        </w:rPr>
        <w:t> </w:t>
      </w:r>
      <w:r>
        <w:rPr>
          <w:w w:val="105"/>
          <w:sz w:val="21"/>
        </w:rPr>
        <w:t>a</w:t>
      </w:r>
      <w:r>
        <w:rPr>
          <w:spacing w:val="-7"/>
          <w:w w:val="105"/>
          <w:sz w:val="21"/>
        </w:rPr>
        <w:t> </w:t>
      </w:r>
      <w:r>
        <w:rPr>
          <w:w w:val="105"/>
          <w:sz w:val="21"/>
        </w:rPr>
        <w:t>good</w:t>
      </w:r>
      <w:r>
        <w:rPr>
          <w:spacing w:val="-7"/>
          <w:w w:val="105"/>
          <w:sz w:val="21"/>
        </w:rPr>
        <w:t> </w:t>
      </w:r>
      <w:r>
        <w:rPr>
          <w:w w:val="105"/>
          <w:sz w:val="21"/>
        </w:rPr>
        <w:t>understanding of this test when </w:t>
      </w:r>
      <w:r>
        <w:rPr>
          <w:spacing w:val="-3"/>
          <w:w w:val="105"/>
          <w:sz w:val="21"/>
        </w:rPr>
        <w:t>asked to </w:t>
      </w:r>
      <w:r>
        <w:rPr>
          <w:w w:val="105"/>
          <w:sz w:val="21"/>
        </w:rPr>
        <w:t>provide an assessment of a </w:t>
      </w:r>
      <w:r>
        <w:rPr>
          <w:spacing w:val="-3"/>
          <w:w w:val="105"/>
          <w:sz w:val="21"/>
        </w:rPr>
        <w:t>person’s </w:t>
      </w:r>
      <w:r>
        <w:rPr>
          <w:spacing w:val="-5"/>
          <w:w w:val="105"/>
          <w:sz w:val="21"/>
        </w:rPr>
        <w:t>capacity.</w:t>
      </w:r>
      <w:r>
        <w:rPr>
          <w:spacing w:val="-5"/>
          <w:w w:val="105"/>
          <w:position w:val="7"/>
          <w:sz w:val="12"/>
        </w:rPr>
        <w:t>145 </w:t>
      </w:r>
      <w:r>
        <w:rPr>
          <w:spacing w:val="-3"/>
          <w:w w:val="105"/>
          <w:sz w:val="21"/>
        </w:rPr>
        <w:t>Submissions from </w:t>
      </w:r>
      <w:r>
        <w:rPr>
          <w:w w:val="105"/>
          <w:sz w:val="21"/>
        </w:rPr>
        <w:t>two barristers supported further </w:t>
      </w:r>
      <w:r>
        <w:rPr>
          <w:spacing w:val="-3"/>
          <w:w w:val="105"/>
          <w:sz w:val="21"/>
        </w:rPr>
        <w:t>interdisciplinary training </w:t>
      </w:r>
      <w:r>
        <w:rPr>
          <w:w w:val="105"/>
          <w:sz w:val="21"/>
        </w:rPr>
        <w:t>on the test </w:t>
      </w:r>
      <w:r>
        <w:rPr>
          <w:spacing w:val="-3"/>
          <w:w w:val="105"/>
          <w:sz w:val="21"/>
        </w:rPr>
        <w:t>for </w:t>
      </w:r>
      <w:r>
        <w:rPr>
          <w:w w:val="105"/>
          <w:sz w:val="21"/>
        </w:rPr>
        <w:t>testamentary</w:t>
      </w:r>
      <w:r>
        <w:rPr>
          <w:spacing w:val="5"/>
          <w:w w:val="105"/>
          <w:sz w:val="21"/>
        </w:rPr>
        <w:t> </w:t>
      </w:r>
      <w:r>
        <w:rPr>
          <w:spacing w:val="-4"/>
          <w:w w:val="105"/>
          <w:sz w:val="21"/>
        </w:rPr>
        <w:t>capacity.</w:t>
      </w:r>
      <w:r>
        <w:rPr>
          <w:spacing w:val="-4"/>
          <w:w w:val="105"/>
          <w:position w:val="7"/>
          <w:sz w:val="12"/>
        </w:rPr>
        <w:t>146</w:t>
      </w:r>
    </w:p>
    <w:p>
      <w:pPr>
        <w:pStyle w:val="ListParagraph"/>
        <w:numPr>
          <w:ilvl w:val="1"/>
          <w:numId w:val="22"/>
        </w:numPr>
        <w:tabs>
          <w:tab w:pos="2382" w:val="left" w:leader="none"/>
        </w:tabs>
        <w:spacing w:line="242" w:lineRule="auto" w:before="124" w:after="0"/>
        <w:ind w:left="2381" w:right="1928" w:hanging="794"/>
        <w:jc w:val="both"/>
        <w:rPr>
          <w:sz w:val="12"/>
        </w:rPr>
      </w:pPr>
      <w:r>
        <w:rPr>
          <w:w w:val="105"/>
          <w:sz w:val="21"/>
        </w:rPr>
        <w:t>Some</w:t>
      </w:r>
      <w:r>
        <w:rPr>
          <w:spacing w:val="-11"/>
          <w:w w:val="105"/>
          <w:sz w:val="21"/>
        </w:rPr>
        <w:t> </w:t>
      </w:r>
      <w:r>
        <w:rPr>
          <w:spacing w:val="-3"/>
          <w:w w:val="105"/>
          <w:sz w:val="21"/>
        </w:rPr>
        <w:t>submissions</w:t>
      </w:r>
      <w:r>
        <w:rPr>
          <w:spacing w:val="-11"/>
          <w:w w:val="105"/>
          <w:sz w:val="21"/>
        </w:rPr>
        <w:t> </w:t>
      </w:r>
      <w:r>
        <w:rPr>
          <w:spacing w:val="-3"/>
          <w:w w:val="105"/>
          <w:sz w:val="21"/>
        </w:rPr>
        <w:t>noted</w:t>
      </w:r>
      <w:r>
        <w:rPr>
          <w:spacing w:val="-10"/>
          <w:w w:val="105"/>
          <w:sz w:val="21"/>
        </w:rPr>
        <w:t> </w:t>
      </w:r>
      <w:r>
        <w:rPr>
          <w:spacing w:val="-3"/>
          <w:w w:val="105"/>
          <w:sz w:val="21"/>
        </w:rPr>
        <w:t>that</w:t>
      </w:r>
      <w:r>
        <w:rPr>
          <w:spacing w:val="-11"/>
          <w:w w:val="105"/>
          <w:sz w:val="21"/>
        </w:rPr>
        <w:t> </w:t>
      </w:r>
      <w:r>
        <w:rPr>
          <w:w w:val="105"/>
          <w:sz w:val="21"/>
        </w:rPr>
        <w:t>a</w:t>
      </w:r>
      <w:r>
        <w:rPr>
          <w:spacing w:val="-10"/>
          <w:w w:val="105"/>
          <w:sz w:val="21"/>
        </w:rPr>
        <w:t> </w:t>
      </w:r>
      <w:r>
        <w:rPr>
          <w:w w:val="105"/>
          <w:sz w:val="21"/>
        </w:rPr>
        <w:t>statutory</w:t>
      </w:r>
      <w:r>
        <w:rPr>
          <w:spacing w:val="-11"/>
          <w:w w:val="105"/>
          <w:sz w:val="21"/>
        </w:rPr>
        <w:t> </w:t>
      </w:r>
      <w:r>
        <w:rPr>
          <w:w w:val="105"/>
          <w:sz w:val="21"/>
        </w:rPr>
        <w:t>definition</w:t>
      </w:r>
      <w:r>
        <w:rPr>
          <w:spacing w:val="-10"/>
          <w:w w:val="105"/>
          <w:sz w:val="21"/>
        </w:rPr>
        <w:t> </w:t>
      </w:r>
      <w:r>
        <w:rPr>
          <w:w w:val="105"/>
          <w:sz w:val="21"/>
        </w:rPr>
        <w:t>of</w:t>
      </w:r>
      <w:r>
        <w:rPr>
          <w:spacing w:val="-11"/>
          <w:w w:val="105"/>
          <w:sz w:val="21"/>
        </w:rPr>
        <w:t> </w:t>
      </w:r>
      <w:r>
        <w:rPr>
          <w:w w:val="105"/>
          <w:sz w:val="21"/>
        </w:rPr>
        <w:t>testamentary</w:t>
      </w:r>
      <w:r>
        <w:rPr>
          <w:spacing w:val="-10"/>
          <w:w w:val="105"/>
          <w:sz w:val="21"/>
        </w:rPr>
        <w:t> </w:t>
      </w:r>
      <w:r>
        <w:rPr>
          <w:w w:val="105"/>
          <w:sz w:val="21"/>
        </w:rPr>
        <w:t>capacity</w:t>
      </w:r>
      <w:r>
        <w:rPr>
          <w:spacing w:val="-11"/>
          <w:w w:val="105"/>
          <w:sz w:val="21"/>
        </w:rPr>
        <w:t> </w:t>
      </w:r>
      <w:r>
        <w:rPr>
          <w:w w:val="105"/>
          <w:sz w:val="21"/>
        </w:rPr>
        <w:t>would</w:t>
      </w:r>
      <w:r>
        <w:rPr>
          <w:spacing w:val="-10"/>
          <w:w w:val="105"/>
          <w:sz w:val="21"/>
        </w:rPr>
        <w:t> </w:t>
      </w:r>
      <w:r>
        <w:rPr>
          <w:w w:val="105"/>
          <w:sz w:val="21"/>
        </w:rPr>
        <w:t>be </w:t>
      </w:r>
      <w:r>
        <w:rPr>
          <w:spacing w:val="-3"/>
          <w:w w:val="105"/>
          <w:sz w:val="21"/>
        </w:rPr>
        <w:t>helpful</w:t>
      </w:r>
      <w:r>
        <w:rPr>
          <w:spacing w:val="-9"/>
          <w:w w:val="105"/>
          <w:sz w:val="21"/>
        </w:rPr>
        <w:t> </w:t>
      </w:r>
      <w:r>
        <w:rPr>
          <w:spacing w:val="-3"/>
          <w:w w:val="105"/>
          <w:sz w:val="21"/>
        </w:rPr>
        <w:t>to</w:t>
      </w:r>
      <w:r>
        <w:rPr>
          <w:spacing w:val="-9"/>
          <w:w w:val="105"/>
          <w:sz w:val="21"/>
        </w:rPr>
        <w:t> </w:t>
      </w:r>
      <w:r>
        <w:rPr>
          <w:w w:val="105"/>
          <w:sz w:val="21"/>
        </w:rPr>
        <w:t>legal</w:t>
      </w:r>
      <w:r>
        <w:rPr>
          <w:spacing w:val="-9"/>
          <w:w w:val="105"/>
          <w:sz w:val="21"/>
        </w:rPr>
        <w:t> </w:t>
      </w:r>
      <w:r>
        <w:rPr>
          <w:w w:val="105"/>
          <w:sz w:val="21"/>
        </w:rPr>
        <w:t>and</w:t>
      </w:r>
      <w:r>
        <w:rPr>
          <w:spacing w:val="-8"/>
          <w:w w:val="105"/>
          <w:sz w:val="21"/>
        </w:rPr>
        <w:t> </w:t>
      </w:r>
      <w:r>
        <w:rPr>
          <w:w w:val="105"/>
          <w:sz w:val="21"/>
        </w:rPr>
        <w:t>medical</w:t>
      </w:r>
      <w:r>
        <w:rPr>
          <w:spacing w:val="-9"/>
          <w:w w:val="105"/>
          <w:sz w:val="21"/>
        </w:rPr>
        <w:t> </w:t>
      </w:r>
      <w:r>
        <w:rPr>
          <w:spacing w:val="-3"/>
          <w:w w:val="105"/>
          <w:sz w:val="21"/>
        </w:rPr>
        <w:t>practitioners.</w:t>
      </w:r>
      <w:r>
        <w:rPr>
          <w:spacing w:val="-3"/>
          <w:w w:val="105"/>
          <w:position w:val="7"/>
          <w:sz w:val="12"/>
        </w:rPr>
        <w:t>147</w:t>
      </w:r>
      <w:r>
        <w:rPr>
          <w:spacing w:val="13"/>
          <w:w w:val="105"/>
          <w:position w:val="7"/>
          <w:sz w:val="12"/>
        </w:rPr>
        <w:t> </w:t>
      </w:r>
      <w:r>
        <w:rPr>
          <w:w w:val="105"/>
          <w:sz w:val="21"/>
        </w:rPr>
        <w:t>Others</w:t>
      </w:r>
      <w:r>
        <w:rPr>
          <w:spacing w:val="-8"/>
          <w:w w:val="105"/>
          <w:sz w:val="21"/>
        </w:rPr>
        <w:t> </w:t>
      </w:r>
      <w:r>
        <w:rPr>
          <w:w w:val="105"/>
          <w:sz w:val="21"/>
        </w:rPr>
        <w:t>also</w:t>
      </w:r>
      <w:r>
        <w:rPr>
          <w:spacing w:val="-9"/>
          <w:w w:val="105"/>
          <w:sz w:val="21"/>
        </w:rPr>
        <w:t> </w:t>
      </w:r>
      <w:r>
        <w:rPr>
          <w:w w:val="105"/>
          <w:sz w:val="21"/>
        </w:rPr>
        <w:t>supported</w:t>
      </w:r>
      <w:r>
        <w:rPr>
          <w:spacing w:val="-9"/>
          <w:w w:val="105"/>
          <w:sz w:val="21"/>
        </w:rPr>
        <w:t> </w:t>
      </w:r>
      <w:r>
        <w:rPr>
          <w:w w:val="105"/>
          <w:sz w:val="21"/>
        </w:rPr>
        <w:t>the</w:t>
      </w:r>
      <w:r>
        <w:rPr>
          <w:spacing w:val="-8"/>
          <w:w w:val="105"/>
          <w:sz w:val="21"/>
        </w:rPr>
        <w:t> </w:t>
      </w:r>
      <w:r>
        <w:rPr>
          <w:w w:val="105"/>
          <w:sz w:val="21"/>
        </w:rPr>
        <w:t>introduction</w:t>
      </w:r>
      <w:r>
        <w:rPr>
          <w:spacing w:val="-9"/>
          <w:w w:val="105"/>
          <w:sz w:val="21"/>
        </w:rPr>
        <w:t> </w:t>
      </w:r>
      <w:r>
        <w:rPr>
          <w:w w:val="105"/>
          <w:sz w:val="21"/>
        </w:rPr>
        <w:t>of </w:t>
      </w:r>
      <w:r>
        <w:rPr>
          <w:spacing w:val="-3"/>
          <w:w w:val="105"/>
          <w:sz w:val="21"/>
        </w:rPr>
        <w:t>guidelines</w:t>
      </w:r>
      <w:r>
        <w:rPr>
          <w:spacing w:val="-12"/>
          <w:w w:val="105"/>
          <w:sz w:val="21"/>
        </w:rPr>
        <w:t> </w:t>
      </w:r>
      <w:r>
        <w:rPr>
          <w:w w:val="105"/>
          <w:sz w:val="21"/>
        </w:rPr>
        <w:t>on</w:t>
      </w:r>
      <w:r>
        <w:rPr>
          <w:spacing w:val="-11"/>
          <w:w w:val="105"/>
          <w:sz w:val="21"/>
        </w:rPr>
        <w:t> </w:t>
      </w:r>
      <w:r>
        <w:rPr>
          <w:w w:val="105"/>
          <w:sz w:val="21"/>
        </w:rPr>
        <w:t>assessing</w:t>
      </w:r>
      <w:r>
        <w:rPr>
          <w:spacing w:val="-11"/>
          <w:w w:val="105"/>
          <w:sz w:val="21"/>
        </w:rPr>
        <w:t> </w:t>
      </w:r>
      <w:r>
        <w:rPr>
          <w:w w:val="105"/>
          <w:sz w:val="21"/>
        </w:rPr>
        <w:t>testamentary</w:t>
      </w:r>
      <w:r>
        <w:rPr>
          <w:spacing w:val="-11"/>
          <w:w w:val="105"/>
          <w:sz w:val="21"/>
        </w:rPr>
        <w:t> </w:t>
      </w:r>
      <w:r>
        <w:rPr>
          <w:spacing w:val="-4"/>
          <w:w w:val="105"/>
          <w:sz w:val="21"/>
        </w:rPr>
        <w:t>capacity.</w:t>
      </w:r>
      <w:r>
        <w:rPr>
          <w:spacing w:val="-4"/>
          <w:w w:val="105"/>
          <w:position w:val="7"/>
          <w:sz w:val="12"/>
        </w:rPr>
        <w:t>148</w:t>
      </w:r>
      <w:r>
        <w:rPr>
          <w:spacing w:val="10"/>
          <w:w w:val="105"/>
          <w:position w:val="7"/>
          <w:sz w:val="12"/>
        </w:rPr>
        <w:t> </w:t>
      </w:r>
      <w:r>
        <w:rPr>
          <w:w w:val="105"/>
          <w:sz w:val="21"/>
        </w:rPr>
        <w:t>Most</w:t>
      </w:r>
      <w:r>
        <w:rPr>
          <w:spacing w:val="-11"/>
          <w:w w:val="105"/>
          <w:sz w:val="21"/>
        </w:rPr>
        <w:t> </w:t>
      </w:r>
      <w:r>
        <w:rPr>
          <w:spacing w:val="-3"/>
          <w:w w:val="105"/>
          <w:sz w:val="21"/>
        </w:rPr>
        <w:t>submissions</w:t>
      </w:r>
      <w:r>
        <w:rPr>
          <w:spacing w:val="-11"/>
          <w:w w:val="105"/>
          <w:sz w:val="21"/>
        </w:rPr>
        <w:t> </w:t>
      </w:r>
      <w:r>
        <w:rPr>
          <w:spacing w:val="-3"/>
          <w:w w:val="105"/>
          <w:sz w:val="21"/>
        </w:rPr>
        <w:t>that</w:t>
      </w:r>
      <w:r>
        <w:rPr>
          <w:spacing w:val="-12"/>
          <w:w w:val="105"/>
          <w:sz w:val="21"/>
        </w:rPr>
        <w:t> </w:t>
      </w:r>
      <w:r>
        <w:rPr>
          <w:w w:val="105"/>
          <w:sz w:val="21"/>
        </w:rPr>
        <w:t>addressed</w:t>
      </w:r>
      <w:r>
        <w:rPr>
          <w:spacing w:val="-11"/>
          <w:w w:val="105"/>
          <w:sz w:val="21"/>
        </w:rPr>
        <w:t> </w:t>
      </w:r>
      <w:r>
        <w:rPr>
          <w:w w:val="105"/>
          <w:sz w:val="21"/>
        </w:rPr>
        <w:t>this issue</w:t>
      </w:r>
      <w:r>
        <w:rPr>
          <w:spacing w:val="-5"/>
          <w:w w:val="105"/>
          <w:sz w:val="21"/>
        </w:rPr>
        <w:t> </w:t>
      </w:r>
      <w:r>
        <w:rPr>
          <w:spacing w:val="-3"/>
          <w:w w:val="105"/>
          <w:sz w:val="21"/>
        </w:rPr>
        <w:t>conveyed</w:t>
      </w:r>
      <w:r>
        <w:rPr>
          <w:spacing w:val="-5"/>
          <w:w w:val="105"/>
          <w:sz w:val="21"/>
        </w:rPr>
        <w:t> </w:t>
      </w:r>
      <w:r>
        <w:rPr>
          <w:w w:val="105"/>
          <w:sz w:val="21"/>
        </w:rPr>
        <w:t>the</w:t>
      </w:r>
      <w:r>
        <w:rPr>
          <w:spacing w:val="-5"/>
          <w:w w:val="105"/>
          <w:sz w:val="21"/>
        </w:rPr>
        <w:t> </w:t>
      </w:r>
      <w:r>
        <w:rPr>
          <w:w w:val="105"/>
          <w:sz w:val="21"/>
        </w:rPr>
        <w:t>view</w:t>
      </w:r>
      <w:r>
        <w:rPr>
          <w:spacing w:val="-5"/>
          <w:w w:val="105"/>
          <w:sz w:val="21"/>
        </w:rPr>
        <w:t> </w:t>
      </w:r>
      <w:r>
        <w:rPr>
          <w:spacing w:val="-3"/>
          <w:w w:val="105"/>
          <w:sz w:val="21"/>
        </w:rPr>
        <w:t>that</w:t>
      </w:r>
      <w:r>
        <w:rPr>
          <w:spacing w:val="-5"/>
          <w:w w:val="105"/>
          <w:sz w:val="21"/>
        </w:rPr>
        <w:t> </w:t>
      </w:r>
      <w:r>
        <w:rPr>
          <w:w w:val="105"/>
          <w:sz w:val="21"/>
        </w:rPr>
        <w:t>no</w:t>
      </w:r>
      <w:r>
        <w:rPr>
          <w:spacing w:val="-5"/>
          <w:w w:val="105"/>
          <w:sz w:val="21"/>
        </w:rPr>
        <w:t> </w:t>
      </w:r>
      <w:r>
        <w:rPr>
          <w:spacing w:val="-3"/>
          <w:w w:val="105"/>
          <w:sz w:val="21"/>
        </w:rPr>
        <w:t>change</w:t>
      </w:r>
      <w:r>
        <w:rPr>
          <w:spacing w:val="-4"/>
          <w:w w:val="105"/>
          <w:sz w:val="21"/>
        </w:rPr>
        <w:t> </w:t>
      </w:r>
      <w:r>
        <w:rPr>
          <w:spacing w:val="-3"/>
          <w:w w:val="105"/>
          <w:sz w:val="21"/>
        </w:rPr>
        <w:t>to</w:t>
      </w:r>
      <w:r>
        <w:rPr>
          <w:spacing w:val="-5"/>
          <w:w w:val="105"/>
          <w:sz w:val="21"/>
        </w:rPr>
        <w:t> </w:t>
      </w:r>
      <w:r>
        <w:rPr>
          <w:w w:val="105"/>
          <w:sz w:val="21"/>
        </w:rPr>
        <w:t>the</w:t>
      </w:r>
      <w:r>
        <w:rPr>
          <w:spacing w:val="-5"/>
          <w:w w:val="105"/>
          <w:sz w:val="21"/>
        </w:rPr>
        <w:t> </w:t>
      </w:r>
      <w:r>
        <w:rPr>
          <w:spacing w:val="-3"/>
          <w:w w:val="105"/>
          <w:sz w:val="21"/>
        </w:rPr>
        <w:t>current</w:t>
      </w:r>
      <w:r>
        <w:rPr>
          <w:spacing w:val="-5"/>
          <w:w w:val="105"/>
          <w:sz w:val="21"/>
        </w:rPr>
        <w:t> </w:t>
      </w:r>
      <w:r>
        <w:rPr>
          <w:w w:val="105"/>
          <w:sz w:val="21"/>
        </w:rPr>
        <w:t>law</w:t>
      </w:r>
      <w:r>
        <w:rPr>
          <w:spacing w:val="-5"/>
          <w:w w:val="105"/>
          <w:sz w:val="21"/>
        </w:rPr>
        <w:t> </w:t>
      </w:r>
      <w:r>
        <w:rPr>
          <w:w w:val="105"/>
          <w:sz w:val="21"/>
        </w:rPr>
        <w:t>is</w:t>
      </w:r>
      <w:r>
        <w:rPr>
          <w:spacing w:val="-5"/>
          <w:w w:val="105"/>
          <w:sz w:val="21"/>
        </w:rPr>
        <w:t> </w:t>
      </w:r>
      <w:r>
        <w:rPr>
          <w:w w:val="105"/>
          <w:sz w:val="21"/>
        </w:rPr>
        <w:t>necessary</w:t>
      </w:r>
      <w:r>
        <w:rPr>
          <w:spacing w:val="-4"/>
          <w:w w:val="105"/>
          <w:sz w:val="21"/>
        </w:rPr>
        <w:t> </w:t>
      </w:r>
      <w:r>
        <w:rPr>
          <w:w w:val="105"/>
          <w:sz w:val="21"/>
        </w:rPr>
        <w:t>or</w:t>
      </w:r>
      <w:r>
        <w:rPr>
          <w:spacing w:val="-5"/>
          <w:w w:val="105"/>
          <w:sz w:val="21"/>
        </w:rPr>
        <w:t> </w:t>
      </w:r>
      <w:r>
        <w:rPr>
          <w:spacing w:val="-4"/>
          <w:w w:val="105"/>
          <w:sz w:val="21"/>
        </w:rPr>
        <w:t>desirable.</w:t>
      </w:r>
      <w:r>
        <w:rPr>
          <w:spacing w:val="-4"/>
          <w:w w:val="105"/>
          <w:position w:val="7"/>
          <w:sz w:val="12"/>
        </w:rPr>
        <w:t>149</w:t>
      </w:r>
    </w:p>
    <w:p>
      <w:pPr>
        <w:pStyle w:val="ListParagraph"/>
        <w:numPr>
          <w:ilvl w:val="1"/>
          <w:numId w:val="22"/>
        </w:numPr>
        <w:tabs>
          <w:tab w:pos="2380" w:val="left" w:leader="none"/>
          <w:tab w:pos="2382" w:val="left" w:leader="none"/>
        </w:tabs>
        <w:spacing w:line="242" w:lineRule="auto" w:before="124" w:after="0"/>
        <w:ind w:left="2381" w:right="1719" w:hanging="794"/>
        <w:jc w:val="left"/>
        <w:rPr>
          <w:sz w:val="21"/>
        </w:rPr>
      </w:pPr>
      <w:r>
        <w:rPr>
          <w:sz w:val="21"/>
        </w:rPr>
        <w:t>The </w:t>
      </w:r>
      <w:r>
        <w:rPr>
          <w:spacing w:val="-3"/>
          <w:sz w:val="21"/>
        </w:rPr>
        <w:t>Commission </w:t>
      </w:r>
      <w:r>
        <w:rPr>
          <w:sz w:val="21"/>
        </w:rPr>
        <w:t>agrees </w:t>
      </w:r>
      <w:r>
        <w:rPr>
          <w:spacing w:val="-3"/>
          <w:sz w:val="21"/>
        </w:rPr>
        <w:t>that </w:t>
      </w:r>
      <w:r>
        <w:rPr>
          <w:sz w:val="21"/>
        </w:rPr>
        <w:t>there is no need </w:t>
      </w:r>
      <w:r>
        <w:rPr>
          <w:spacing w:val="-3"/>
          <w:sz w:val="21"/>
        </w:rPr>
        <w:t>to change </w:t>
      </w:r>
      <w:r>
        <w:rPr>
          <w:sz w:val="21"/>
        </w:rPr>
        <w:t>the </w:t>
      </w:r>
      <w:r>
        <w:rPr>
          <w:spacing w:val="-2"/>
          <w:sz w:val="21"/>
        </w:rPr>
        <w:t>common </w:t>
      </w:r>
      <w:r>
        <w:rPr>
          <w:sz w:val="21"/>
        </w:rPr>
        <w:t>law test </w:t>
      </w:r>
      <w:r>
        <w:rPr>
          <w:spacing w:val="-3"/>
          <w:sz w:val="21"/>
        </w:rPr>
        <w:t>for </w:t>
      </w:r>
      <w:r>
        <w:rPr>
          <w:sz w:val="21"/>
        </w:rPr>
        <w:t>testamentary </w:t>
      </w:r>
      <w:r>
        <w:rPr>
          <w:spacing w:val="-3"/>
          <w:sz w:val="21"/>
        </w:rPr>
        <w:t>capacity. </w:t>
      </w:r>
      <w:r>
        <w:rPr>
          <w:sz w:val="21"/>
        </w:rPr>
        <w:t>The </w:t>
      </w:r>
      <w:r>
        <w:rPr>
          <w:spacing w:val="-3"/>
          <w:sz w:val="21"/>
        </w:rPr>
        <w:t>forthcoming guidelines </w:t>
      </w:r>
      <w:r>
        <w:rPr>
          <w:sz w:val="21"/>
        </w:rPr>
        <w:t>by the Law </w:t>
      </w:r>
      <w:r>
        <w:rPr>
          <w:spacing w:val="-3"/>
          <w:sz w:val="21"/>
        </w:rPr>
        <w:t>Institute </w:t>
      </w:r>
      <w:r>
        <w:rPr>
          <w:sz w:val="21"/>
        </w:rPr>
        <w:t>of Victoria on capacity assessment, as </w:t>
      </w:r>
      <w:r>
        <w:rPr>
          <w:spacing w:val="-3"/>
          <w:sz w:val="21"/>
        </w:rPr>
        <w:t>well </w:t>
      </w:r>
      <w:r>
        <w:rPr>
          <w:sz w:val="21"/>
        </w:rPr>
        <w:t>as further </w:t>
      </w:r>
      <w:r>
        <w:rPr>
          <w:spacing w:val="-3"/>
          <w:sz w:val="21"/>
        </w:rPr>
        <w:t>interdisciplinary training  </w:t>
      </w:r>
      <w:r>
        <w:rPr>
          <w:sz w:val="21"/>
        </w:rPr>
        <w:t>in this </w:t>
      </w:r>
      <w:r>
        <w:rPr>
          <w:spacing w:val="-3"/>
          <w:sz w:val="21"/>
        </w:rPr>
        <w:t>area,</w:t>
      </w:r>
      <w:r>
        <w:rPr>
          <w:spacing w:val="41"/>
          <w:sz w:val="21"/>
        </w:rPr>
        <w:t> </w:t>
      </w:r>
      <w:r>
        <w:rPr>
          <w:spacing w:val="-3"/>
          <w:sz w:val="21"/>
        </w:rPr>
        <w:t>will  </w:t>
      </w:r>
      <w:r>
        <w:rPr>
          <w:sz w:val="21"/>
        </w:rPr>
        <w:t>be </w:t>
      </w:r>
      <w:r>
        <w:rPr>
          <w:spacing w:val="-3"/>
          <w:sz w:val="21"/>
        </w:rPr>
        <w:t>useful </w:t>
      </w:r>
      <w:r>
        <w:rPr>
          <w:sz w:val="21"/>
        </w:rPr>
        <w:t>in </w:t>
      </w:r>
      <w:r>
        <w:rPr>
          <w:spacing w:val="-3"/>
          <w:sz w:val="21"/>
        </w:rPr>
        <w:t>ensuring professionals </w:t>
      </w:r>
      <w:r>
        <w:rPr>
          <w:sz w:val="21"/>
        </w:rPr>
        <w:t>understand the </w:t>
      </w:r>
      <w:r>
        <w:rPr>
          <w:spacing w:val="-3"/>
          <w:sz w:val="21"/>
        </w:rPr>
        <w:t>requirements for</w:t>
      </w:r>
      <w:r>
        <w:rPr>
          <w:spacing w:val="1"/>
          <w:sz w:val="21"/>
        </w:rPr>
        <w:t> </w:t>
      </w:r>
      <w:r>
        <w:rPr>
          <w:sz w:val="21"/>
        </w:rPr>
        <w:t>testamentary </w:t>
      </w:r>
      <w:r>
        <w:rPr>
          <w:spacing w:val="-3"/>
          <w:sz w:val="21"/>
        </w:rPr>
        <w:t>capacity.</w:t>
      </w:r>
    </w:p>
    <w:p>
      <w:pPr>
        <w:pStyle w:val="BodyText"/>
        <w:spacing w:before="1"/>
        <w:rPr>
          <w:sz w:val="25"/>
        </w:rPr>
      </w:pPr>
    </w:p>
    <w:p>
      <w:pPr>
        <w:pStyle w:val="Heading5"/>
      </w:pPr>
      <w:r>
        <w:rPr>
          <w:w w:val="115"/>
        </w:rPr>
        <w:t>Knowledge and approval and suspicious circumstances</w:t>
      </w:r>
    </w:p>
    <w:p>
      <w:pPr>
        <w:pStyle w:val="ListParagraph"/>
        <w:numPr>
          <w:ilvl w:val="1"/>
          <w:numId w:val="22"/>
        </w:numPr>
        <w:tabs>
          <w:tab w:pos="2380" w:val="left" w:leader="none"/>
          <w:tab w:pos="2381" w:val="left" w:leader="none"/>
        </w:tabs>
        <w:spacing w:line="242" w:lineRule="auto" w:before="137" w:after="0"/>
        <w:ind w:left="2381" w:right="1890" w:hanging="794"/>
        <w:jc w:val="left"/>
        <w:rPr>
          <w:sz w:val="12"/>
        </w:rPr>
      </w:pPr>
      <w:r>
        <w:rPr>
          <w:sz w:val="21"/>
        </w:rPr>
        <w:t>In order </w:t>
      </w:r>
      <w:r>
        <w:rPr>
          <w:spacing w:val="-3"/>
          <w:sz w:val="21"/>
        </w:rPr>
        <w:t>for  </w:t>
      </w:r>
      <w:r>
        <w:rPr>
          <w:sz w:val="21"/>
        </w:rPr>
        <w:t>a </w:t>
      </w:r>
      <w:r>
        <w:rPr>
          <w:spacing w:val="-3"/>
          <w:sz w:val="21"/>
        </w:rPr>
        <w:t>will</w:t>
      </w:r>
      <w:r>
        <w:rPr>
          <w:spacing w:val="41"/>
          <w:sz w:val="21"/>
        </w:rPr>
        <w:t> </w:t>
      </w:r>
      <w:r>
        <w:rPr>
          <w:spacing w:val="-3"/>
          <w:sz w:val="21"/>
        </w:rPr>
        <w:t>to  </w:t>
      </w:r>
      <w:r>
        <w:rPr>
          <w:sz w:val="21"/>
        </w:rPr>
        <w:t>be </w:t>
      </w:r>
      <w:r>
        <w:rPr>
          <w:spacing w:val="-3"/>
          <w:sz w:val="21"/>
        </w:rPr>
        <w:t>valid,  </w:t>
      </w:r>
      <w:r>
        <w:rPr>
          <w:sz w:val="21"/>
        </w:rPr>
        <w:t>it is necessary </w:t>
      </w:r>
      <w:r>
        <w:rPr>
          <w:spacing w:val="-3"/>
          <w:sz w:val="21"/>
        </w:rPr>
        <w:t>for  </w:t>
      </w:r>
      <w:r>
        <w:rPr>
          <w:sz w:val="21"/>
        </w:rPr>
        <w:t>the person seeking a </w:t>
      </w:r>
      <w:r>
        <w:rPr>
          <w:spacing w:val="-3"/>
          <w:sz w:val="21"/>
        </w:rPr>
        <w:t>grant  </w:t>
      </w:r>
      <w:r>
        <w:rPr>
          <w:sz w:val="21"/>
        </w:rPr>
        <w:t>of </w:t>
      </w:r>
      <w:r>
        <w:rPr>
          <w:spacing w:val="-3"/>
          <w:sz w:val="21"/>
        </w:rPr>
        <w:t>probate  to </w:t>
      </w:r>
      <w:r>
        <w:rPr>
          <w:sz w:val="21"/>
        </w:rPr>
        <w:t>establish </w:t>
      </w:r>
      <w:r>
        <w:rPr>
          <w:spacing w:val="-3"/>
          <w:sz w:val="21"/>
        </w:rPr>
        <w:t>that </w:t>
      </w:r>
      <w:r>
        <w:rPr>
          <w:sz w:val="21"/>
        </w:rPr>
        <w:t>the </w:t>
      </w:r>
      <w:r>
        <w:rPr>
          <w:spacing w:val="-3"/>
          <w:sz w:val="21"/>
        </w:rPr>
        <w:t>will-maker </w:t>
      </w:r>
      <w:r>
        <w:rPr>
          <w:spacing w:val="-2"/>
          <w:sz w:val="21"/>
        </w:rPr>
        <w:t>had  </w:t>
      </w:r>
      <w:r>
        <w:rPr>
          <w:sz w:val="21"/>
        </w:rPr>
        <w:t>knowledge of and </w:t>
      </w:r>
      <w:r>
        <w:rPr>
          <w:spacing w:val="-3"/>
          <w:sz w:val="21"/>
        </w:rPr>
        <w:t>approved  </w:t>
      </w:r>
      <w:r>
        <w:rPr>
          <w:sz w:val="21"/>
        </w:rPr>
        <w:t>the </w:t>
      </w:r>
      <w:r>
        <w:rPr>
          <w:spacing w:val="-3"/>
          <w:sz w:val="21"/>
        </w:rPr>
        <w:t>contents  </w:t>
      </w:r>
      <w:r>
        <w:rPr>
          <w:sz w:val="21"/>
        </w:rPr>
        <w:t>of their </w:t>
      </w:r>
      <w:r>
        <w:rPr>
          <w:spacing w:val="-3"/>
          <w:sz w:val="21"/>
        </w:rPr>
        <w:t>will. Complying </w:t>
      </w:r>
      <w:r>
        <w:rPr>
          <w:sz w:val="21"/>
        </w:rPr>
        <w:t>with the </w:t>
      </w:r>
      <w:r>
        <w:rPr>
          <w:spacing w:val="-3"/>
          <w:sz w:val="21"/>
        </w:rPr>
        <w:t>formal requirements for </w:t>
      </w:r>
      <w:r>
        <w:rPr>
          <w:sz w:val="21"/>
        </w:rPr>
        <w:t>validity </w:t>
      </w:r>
      <w:r>
        <w:rPr>
          <w:spacing w:val="-3"/>
          <w:sz w:val="21"/>
        </w:rPr>
        <w:t>(for example, </w:t>
      </w:r>
      <w:r>
        <w:rPr>
          <w:sz w:val="21"/>
        </w:rPr>
        <w:t>the witnessing requirements) and </w:t>
      </w:r>
      <w:r>
        <w:rPr>
          <w:spacing w:val="-3"/>
          <w:sz w:val="21"/>
        </w:rPr>
        <w:t>having </w:t>
      </w:r>
      <w:r>
        <w:rPr>
          <w:sz w:val="21"/>
        </w:rPr>
        <w:t>proof of testamentary capacity is </w:t>
      </w:r>
      <w:r>
        <w:rPr>
          <w:spacing w:val="-3"/>
          <w:sz w:val="21"/>
        </w:rPr>
        <w:t>usually </w:t>
      </w:r>
      <w:r>
        <w:rPr>
          <w:sz w:val="21"/>
        </w:rPr>
        <w:t>enough </w:t>
      </w:r>
      <w:r>
        <w:rPr>
          <w:spacing w:val="-3"/>
          <w:sz w:val="21"/>
        </w:rPr>
        <w:t>to </w:t>
      </w:r>
      <w:r>
        <w:rPr>
          <w:sz w:val="21"/>
        </w:rPr>
        <w:t>establish knowledge and</w:t>
      </w:r>
      <w:r>
        <w:rPr>
          <w:spacing w:val="18"/>
          <w:sz w:val="21"/>
        </w:rPr>
        <w:t> </w:t>
      </w:r>
      <w:r>
        <w:rPr>
          <w:spacing w:val="-5"/>
          <w:sz w:val="21"/>
        </w:rPr>
        <w:t>approval.</w:t>
      </w:r>
      <w:r>
        <w:rPr>
          <w:spacing w:val="-5"/>
          <w:position w:val="7"/>
          <w:sz w:val="12"/>
        </w:rPr>
        <w:t>150</w:t>
      </w:r>
    </w:p>
    <w:p>
      <w:pPr>
        <w:pStyle w:val="BodyText"/>
        <w:rPr>
          <w:sz w:val="20"/>
        </w:rPr>
      </w:pPr>
    </w:p>
    <w:p>
      <w:pPr>
        <w:pStyle w:val="BodyText"/>
        <w:rPr>
          <w:sz w:val="20"/>
        </w:rPr>
      </w:pPr>
    </w:p>
    <w:p>
      <w:pPr>
        <w:pStyle w:val="BodyText"/>
        <w:spacing w:before="2"/>
        <w:rPr>
          <w:sz w:val="19"/>
        </w:rPr>
      </w:pPr>
      <w:r>
        <w:rPr/>
        <w:pict>
          <v:line style="position:absolute;mso-position-horizontal-relative:page;mso-position-vertical-relative:paragraph;z-index:584;mso-wrap-distance-left:0;mso-wrap-distance-right:0" from="79.370003pt,14.165186pt" to="515.905003pt,14.165186pt" stroked="true" strokeweight="1pt" strokecolor="#f9ceca">
            <v:stroke dashstyle="solid"/>
            <w10:wrap type="topAndBottom"/>
          </v:line>
        </w:pict>
      </w:r>
    </w:p>
    <w:p>
      <w:pPr>
        <w:tabs>
          <w:tab w:pos="2380" w:val="left" w:leader="none"/>
        </w:tabs>
        <w:spacing w:before="117"/>
        <w:ind w:left="1587" w:right="0" w:firstLine="0"/>
        <w:jc w:val="left"/>
        <w:rPr>
          <w:sz w:val="13"/>
        </w:rPr>
      </w:pPr>
      <w:r>
        <w:rPr>
          <w:w w:val="105"/>
          <w:sz w:val="13"/>
        </w:rPr>
        <w:t>143</w:t>
        <w:tab/>
        <w:t>(1870) LR 5 QB 549, 565 (Cockburn</w:t>
      </w:r>
      <w:r>
        <w:rPr>
          <w:spacing w:val="3"/>
          <w:w w:val="105"/>
          <w:sz w:val="13"/>
        </w:rPr>
        <w:t> CJ).</w:t>
      </w:r>
    </w:p>
    <w:p>
      <w:pPr>
        <w:tabs>
          <w:tab w:pos="2380" w:val="left" w:leader="none"/>
        </w:tabs>
        <w:spacing w:before="1"/>
        <w:ind w:left="1587" w:right="0" w:firstLine="0"/>
        <w:jc w:val="left"/>
        <w:rPr>
          <w:sz w:val="13"/>
        </w:rPr>
      </w:pPr>
      <w:r>
        <w:rPr>
          <w:w w:val="105"/>
          <w:sz w:val="13"/>
        </w:rPr>
        <w:t>144</w:t>
        <w:tab/>
        <w:t>Ibid.</w:t>
      </w:r>
    </w:p>
    <w:p>
      <w:pPr>
        <w:tabs>
          <w:tab w:pos="2380" w:val="left" w:leader="none"/>
        </w:tabs>
        <w:spacing w:before="2"/>
        <w:ind w:left="1587" w:right="5816" w:firstLine="0"/>
        <w:jc w:val="left"/>
        <w:rPr>
          <w:sz w:val="13"/>
        </w:rPr>
      </w:pPr>
      <w:r>
        <w:rPr>
          <w:w w:val="105"/>
          <w:sz w:val="13"/>
        </w:rPr>
        <w:t>145</w:t>
        <w:tab/>
        <w:t>Submissions 35 (Andrew Verspaandonk); 39 (Carolyn Sparke SC). 146</w:t>
        <w:tab/>
        <w:t>Ibid.</w:t>
      </w:r>
    </w:p>
    <w:p>
      <w:pPr>
        <w:pStyle w:val="ListParagraph"/>
        <w:numPr>
          <w:ilvl w:val="0"/>
          <w:numId w:val="29"/>
        </w:numPr>
        <w:tabs>
          <w:tab w:pos="2381" w:val="left" w:leader="none"/>
          <w:tab w:pos="2382" w:val="left" w:leader="none"/>
        </w:tabs>
        <w:spacing w:line="240" w:lineRule="auto" w:before="2" w:after="0"/>
        <w:ind w:left="2381" w:right="1640" w:hanging="794"/>
        <w:jc w:val="left"/>
        <w:rPr>
          <w:sz w:val="13"/>
        </w:rPr>
      </w:pPr>
      <w:r>
        <w:rPr>
          <w:sz w:val="13"/>
        </w:rPr>
        <w:t>Submissions </w:t>
      </w:r>
      <w:r>
        <w:rPr>
          <w:spacing w:val="-3"/>
          <w:sz w:val="13"/>
        </w:rPr>
        <w:t>14  </w:t>
      </w:r>
      <w:r>
        <w:rPr>
          <w:sz w:val="13"/>
        </w:rPr>
        <w:t>(Commercial  Bar  </w:t>
      </w:r>
      <w:r>
        <w:rPr>
          <w:spacing w:val="2"/>
          <w:sz w:val="13"/>
        </w:rPr>
        <w:t>Association); </w:t>
      </w:r>
      <w:r>
        <w:rPr>
          <w:sz w:val="13"/>
        </w:rPr>
        <w:t>25  </w:t>
      </w:r>
      <w:r>
        <w:rPr>
          <w:spacing w:val="2"/>
          <w:sz w:val="13"/>
        </w:rPr>
        <w:t>(Moores </w:t>
      </w:r>
      <w:r>
        <w:rPr>
          <w:sz w:val="13"/>
        </w:rPr>
        <w:t>Legal);  32  </w:t>
      </w:r>
      <w:r>
        <w:rPr>
          <w:spacing w:val="2"/>
          <w:sz w:val="13"/>
        </w:rPr>
        <w:t>(The </w:t>
      </w:r>
      <w:r>
        <w:rPr>
          <w:sz w:val="13"/>
        </w:rPr>
        <w:t>Institute  of  Legal  Executives).  This  was  also  raised  in  consultation 4</w:t>
      </w:r>
      <w:r>
        <w:rPr>
          <w:spacing w:val="9"/>
          <w:sz w:val="13"/>
        </w:rPr>
        <w:t> </w:t>
      </w:r>
      <w:r>
        <w:rPr>
          <w:spacing w:val="2"/>
          <w:sz w:val="13"/>
        </w:rPr>
        <w:t>(Legal</w:t>
      </w:r>
      <w:r>
        <w:rPr>
          <w:spacing w:val="10"/>
          <w:sz w:val="13"/>
        </w:rPr>
        <w:t> </w:t>
      </w:r>
      <w:r>
        <w:rPr>
          <w:sz w:val="13"/>
        </w:rPr>
        <w:t>practitioners</w:t>
      </w:r>
      <w:r>
        <w:rPr>
          <w:spacing w:val="10"/>
          <w:sz w:val="13"/>
        </w:rPr>
        <w:t> </w:t>
      </w:r>
      <w:r>
        <w:rPr>
          <w:sz w:val="13"/>
        </w:rPr>
        <w:t>from</w:t>
      </w:r>
      <w:r>
        <w:rPr>
          <w:spacing w:val="10"/>
          <w:sz w:val="13"/>
        </w:rPr>
        <w:t> </w:t>
      </w:r>
      <w:r>
        <w:rPr>
          <w:sz w:val="13"/>
        </w:rPr>
        <w:t>the</w:t>
      </w:r>
      <w:r>
        <w:rPr>
          <w:spacing w:val="10"/>
          <w:sz w:val="13"/>
        </w:rPr>
        <w:t> </w:t>
      </w:r>
      <w:r>
        <w:rPr>
          <w:sz w:val="13"/>
        </w:rPr>
        <w:t>Goulburn</w:t>
      </w:r>
      <w:r>
        <w:rPr>
          <w:spacing w:val="10"/>
          <w:sz w:val="13"/>
        </w:rPr>
        <w:t> </w:t>
      </w:r>
      <w:r>
        <w:rPr>
          <w:sz w:val="13"/>
        </w:rPr>
        <w:t>Valley</w:t>
      </w:r>
      <w:r>
        <w:rPr>
          <w:spacing w:val="10"/>
          <w:sz w:val="13"/>
        </w:rPr>
        <w:t> </w:t>
      </w:r>
      <w:r>
        <w:rPr>
          <w:sz w:val="13"/>
        </w:rPr>
        <w:t>and</w:t>
      </w:r>
      <w:r>
        <w:rPr>
          <w:spacing w:val="9"/>
          <w:sz w:val="13"/>
        </w:rPr>
        <w:t> </w:t>
      </w:r>
      <w:r>
        <w:rPr>
          <w:sz w:val="13"/>
        </w:rPr>
        <w:t>Loddon</w:t>
      </w:r>
      <w:r>
        <w:rPr>
          <w:spacing w:val="10"/>
          <w:sz w:val="13"/>
        </w:rPr>
        <w:t> </w:t>
      </w:r>
      <w:r>
        <w:rPr>
          <w:sz w:val="13"/>
        </w:rPr>
        <w:t>Campaspe</w:t>
      </w:r>
      <w:r>
        <w:rPr>
          <w:spacing w:val="10"/>
          <w:sz w:val="13"/>
        </w:rPr>
        <w:t> </w:t>
      </w:r>
      <w:r>
        <w:rPr>
          <w:sz w:val="13"/>
        </w:rPr>
        <w:t>Community</w:t>
      </w:r>
      <w:r>
        <w:rPr>
          <w:spacing w:val="10"/>
          <w:sz w:val="13"/>
        </w:rPr>
        <w:t> </w:t>
      </w:r>
      <w:r>
        <w:rPr>
          <w:sz w:val="13"/>
        </w:rPr>
        <w:t>Legal</w:t>
      </w:r>
      <w:r>
        <w:rPr>
          <w:spacing w:val="10"/>
          <w:sz w:val="13"/>
        </w:rPr>
        <w:t> </w:t>
      </w:r>
      <w:r>
        <w:rPr>
          <w:sz w:val="13"/>
        </w:rPr>
        <w:t>Centres).</w:t>
      </w:r>
    </w:p>
    <w:p>
      <w:pPr>
        <w:pStyle w:val="ListParagraph"/>
        <w:numPr>
          <w:ilvl w:val="0"/>
          <w:numId w:val="29"/>
        </w:numPr>
        <w:tabs>
          <w:tab w:pos="2381" w:val="left" w:leader="none"/>
          <w:tab w:pos="2382" w:val="left" w:leader="none"/>
        </w:tabs>
        <w:spacing w:line="240" w:lineRule="auto" w:before="3" w:after="0"/>
        <w:ind w:left="2381" w:right="1765" w:hanging="794"/>
        <w:jc w:val="left"/>
        <w:rPr>
          <w:sz w:val="13"/>
        </w:rPr>
      </w:pPr>
      <w:r>
        <w:rPr>
          <w:w w:val="105"/>
          <w:sz w:val="13"/>
        </w:rPr>
        <w:t>Submissions 25 </w:t>
      </w:r>
      <w:r>
        <w:rPr>
          <w:spacing w:val="2"/>
          <w:w w:val="105"/>
          <w:sz w:val="13"/>
        </w:rPr>
        <w:t>(Moores </w:t>
      </w:r>
      <w:r>
        <w:rPr>
          <w:w w:val="105"/>
          <w:sz w:val="13"/>
        </w:rPr>
        <w:t>Legal); 32 </w:t>
      </w:r>
      <w:r>
        <w:rPr>
          <w:spacing w:val="2"/>
          <w:w w:val="105"/>
          <w:sz w:val="13"/>
        </w:rPr>
        <w:t>(The </w:t>
      </w:r>
      <w:r>
        <w:rPr>
          <w:w w:val="105"/>
          <w:sz w:val="13"/>
        </w:rPr>
        <w:t>Institute of Legal Executives); 35 (Andrew Verspaandonk). See also discussion on obtaining a medical capacity assessment at </w:t>
      </w:r>
      <w:r>
        <w:rPr>
          <w:spacing w:val="3"/>
          <w:w w:val="105"/>
          <w:sz w:val="13"/>
        </w:rPr>
        <w:t>[2.48]–[2.52] </w:t>
      </w:r>
      <w:r>
        <w:rPr>
          <w:w w:val="105"/>
          <w:sz w:val="13"/>
        </w:rPr>
        <w:t>above, and guidelines being prepared for legal practitioners by the Law Institute of Victoria</w:t>
      </w:r>
      <w:r>
        <w:rPr>
          <w:spacing w:val="30"/>
          <w:w w:val="105"/>
          <w:sz w:val="13"/>
        </w:rPr>
        <w:t> </w:t>
      </w:r>
      <w:r>
        <w:rPr>
          <w:w w:val="105"/>
          <w:sz w:val="13"/>
        </w:rPr>
        <w:t>at [2.56]</w:t>
      </w:r>
      <w:r>
        <w:rPr>
          <w:spacing w:val="-14"/>
          <w:w w:val="105"/>
          <w:sz w:val="13"/>
        </w:rPr>
        <w:t> </w:t>
      </w:r>
      <w:r>
        <w:rPr>
          <w:spacing w:val="2"/>
          <w:w w:val="105"/>
          <w:sz w:val="13"/>
        </w:rPr>
        <w:t>–[2.57].</w:t>
      </w:r>
    </w:p>
    <w:p>
      <w:pPr>
        <w:pStyle w:val="ListParagraph"/>
        <w:numPr>
          <w:ilvl w:val="0"/>
          <w:numId w:val="29"/>
        </w:numPr>
        <w:tabs>
          <w:tab w:pos="2381" w:val="left" w:leader="none"/>
          <w:tab w:pos="2382" w:val="left" w:leader="none"/>
        </w:tabs>
        <w:spacing w:line="240" w:lineRule="auto" w:before="4" w:after="0"/>
        <w:ind w:left="2381" w:right="1876" w:hanging="794"/>
        <w:jc w:val="left"/>
        <w:rPr>
          <w:sz w:val="13"/>
        </w:rPr>
      </w:pPr>
      <w:r>
        <w:rPr/>
        <w:pict>
          <v:shape style="position:absolute;margin-left:549.098511pt;margin-top:11.011466pt;width:12.65pt;height:14.25pt;mso-position-horizontal-relative:page;mso-position-vertical-relative:paragraph;z-index:2656" type="#_x0000_t202" filled="false" stroked="false">
            <v:textbox inset="0,0,0,0">
              <w:txbxContent>
                <w:p>
                  <w:pPr>
                    <w:spacing w:line="284" w:lineRule="exact" w:before="0"/>
                    <w:ind w:left="0" w:right="0" w:firstLine="0"/>
                    <w:jc w:val="left"/>
                    <w:rPr>
                      <w:b/>
                      <w:sz w:val="24"/>
                    </w:rPr>
                  </w:pPr>
                  <w:r>
                    <w:rPr>
                      <w:b/>
                      <w:color w:val="EC5A4F"/>
                      <w:spacing w:val="-8"/>
                      <w:w w:val="110"/>
                      <w:sz w:val="24"/>
                    </w:rPr>
                    <w:t>21</w:t>
                  </w:r>
                </w:p>
              </w:txbxContent>
            </v:textbox>
            <w10:wrap type="none"/>
          </v:shape>
        </w:pict>
      </w:r>
      <w:r>
        <w:rPr>
          <w:w w:val="105"/>
          <w:sz w:val="13"/>
        </w:rPr>
        <w:t>Submissions 8 (Patricia Strachan); </w:t>
      </w:r>
      <w:r>
        <w:rPr>
          <w:spacing w:val="-3"/>
          <w:w w:val="105"/>
          <w:sz w:val="13"/>
        </w:rPr>
        <w:t>19 </w:t>
      </w:r>
      <w:r>
        <w:rPr>
          <w:spacing w:val="2"/>
          <w:w w:val="105"/>
          <w:sz w:val="13"/>
        </w:rPr>
        <w:t>(Association </w:t>
      </w:r>
      <w:r>
        <w:rPr>
          <w:w w:val="105"/>
          <w:sz w:val="13"/>
        </w:rPr>
        <w:t>of Independent Retirees); 30a </w:t>
      </w:r>
      <w:r>
        <w:rPr>
          <w:spacing w:val="3"/>
          <w:w w:val="105"/>
          <w:sz w:val="13"/>
        </w:rPr>
        <w:t>(Law </w:t>
      </w:r>
      <w:r>
        <w:rPr>
          <w:w w:val="105"/>
          <w:sz w:val="13"/>
        </w:rPr>
        <w:t>Institute of </w:t>
      </w:r>
      <w:r>
        <w:rPr>
          <w:spacing w:val="2"/>
          <w:w w:val="105"/>
          <w:sz w:val="13"/>
        </w:rPr>
        <w:t>Victoria); </w:t>
      </w:r>
      <w:r>
        <w:rPr>
          <w:w w:val="105"/>
          <w:sz w:val="13"/>
        </w:rPr>
        <w:t>31 (Seniors Rights </w:t>
      </w:r>
      <w:r>
        <w:rPr>
          <w:spacing w:val="2"/>
          <w:w w:val="105"/>
          <w:sz w:val="13"/>
        </w:rPr>
        <w:t>Victoria); </w:t>
      </w:r>
      <w:r>
        <w:rPr>
          <w:w w:val="105"/>
          <w:sz w:val="13"/>
        </w:rPr>
        <w:t>33</w:t>
      </w:r>
      <w:r>
        <w:rPr>
          <w:spacing w:val="6"/>
          <w:w w:val="105"/>
          <w:sz w:val="13"/>
        </w:rPr>
        <w:t> </w:t>
      </w:r>
      <w:r>
        <w:rPr>
          <w:w w:val="105"/>
          <w:sz w:val="13"/>
        </w:rPr>
        <w:t>(State</w:t>
      </w:r>
      <w:r>
        <w:rPr>
          <w:spacing w:val="6"/>
          <w:w w:val="105"/>
          <w:sz w:val="13"/>
        </w:rPr>
        <w:t> </w:t>
      </w:r>
      <w:r>
        <w:rPr>
          <w:w w:val="105"/>
          <w:sz w:val="13"/>
        </w:rPr>
        <w:t>Trustees</w:t>
      </w:r>
      <w:r>
        <w:rPr>
          <w:spacing w:val="6"/>
          <w:w w:val="105"/>
          <w:sz w:val="13"/>
        </w:rPr>
        <w:t> </w:t>
      </w:r>
      <w:r>
        <w:rPr>
          <w:w w:val="105"/>
          <w:sz w:val="13"/>
        </w:rPr>
        <w:t>Limited);</w:t>
      </w:r>
      <w:r>
        <w:rPr>
          <w:spacing w:val="7"/>
          <w:w w:val="105"/>
          <w:sz w:val="13"/>
        </w:rPr>
        <w:t> </w:t>
      </w:r>
      <w:r>
        <w:rPr>
          <w:w w:val="105"/>
          <w:sz w:val="13"/>
        </w:rPr>
        <w:t>35</w:t>
      </w:r>
      <w:r>
        <w:rPr>
          <w:spacing w:val="6"/>
          <w:w w:val="105"/>
          <w:sz w:val="13"/>
        </w:rPr>
        <w:t> </w:t>
      </w:r>
      <w:r>
        <w:rPr>
          <w:w w:val="105"/>
          <w:sz w:val="13"/>
        </w:rPr>
        <w:t>(Andrew</w:t>
      </w:r>
      <w:r>
        <w:rPr>
          <w:spacing w:val="6"/>
          <w:w w:val="105"/>
          <w:sz w:val="13"/>
        </w:rPr>
        <w:t> </w:t>
      </w:r>
      <w:r>
        <w:rPr>
          <w:w w:val="105"/>
          <w:sz w:val="13"/>
        </w:rPr>
        <w:t>Verspaandonk);</w:t>
      </w:r>
      <w:r>
        <w:rPr>
          <w:spacing w:val="6"/>
          <w:w w:val="105"/>
          <w:sz w:val="13"/>
        </w:rPr>
        <w:t> </w:t>
      </w:r>
      <w:r>
        <w:rPr>
          <w:w w:val="105"/>
          <w:sz w:val="13"/>
        </w:rPr>
        <w:t>36</w:t>
      </w:r>
      <w:r>
        <w:rPr>
          <w:spacing w:val="7"/>
          <w:w w:val="105"/>
          <w:sz w:val="13"/>
        </w:rPr>
        <w:t> </w:t>
      </w:r>
      <w:r>
        <w:rPr>
          <w:spacing w:val="3"/>
          <w:w w:val="105"/>
          <w:sz w:val="13"/>
        </w:rPr>
        <w:t>(Law</w:t>
      </w:r>
      <w:r>
        <w:rPr>
          <w:spacing w:val="6"/>
          <w:w w:val="105"/>
          <w:sz w:val="13"/>
        </w:rPr>
        <w:t> </w:t>
      </w:r>
      <w:r>
        <w:rPr>
          <w:w w:val="105"/>
          <w:sz w:val="13"/>
        </w:rPr>
        <w:t>Society</w:t>
      </w:r>
      <w:r>
        <w:rPr>
          <w:spacing w:val="6"/>
          <w:w w:val="105"/>
          <w:sz w:val="13"/>
        </w:rPr>
        <w:t> </w:t>
      </w:r>
      <w:r>
        <w:rPr>
          <w:w w:val="105"/>
          <w:sz w:val="13"/>
        </w:rPr>
        <w:t>of</w:t>
      </w:r>
      <w:r>
        <w:rPr>
          <w:spacing w:val="6"/>
          <w:w w:val="105"/>
          <w:sz w:val="13"/>
        </w:rPr>
        <w:t> </w:t>
      </w:r>
      <w:r>
        <w:rPr>
          <w:w w:val="105"/>
          <w:sz w:val="13"/>
        </w:rPr>
        <w:t>New</w:t>
      </w:r>
      <w:r>
        <w:rPr>
          <w:spacing w:val="7"/>
          <w:w w:val="105"/>
          <w:sz w:val="13"/>
        </w:rPr>
        <w:t> </w:t>
      </w:r>
      <w:r>
        <w:rPr>
          <w:w w:val="105"/>
          <w:sz w:val="13"/>
        </w:rPr>
        <w:t>South</w:t>
      </w:r>
      <w:r>
        <w:rPr>
          <w:spacing w:val="6"/>
          <w:w w:val="105"/>
          <w:sz w:val="13"/>
        </w:rPr>
        <w:t> </w:t>
      </w:r>
      <w:r>
        <w:rPr>
          <w:w w:val="105"/>
          <w:sz w:val="13"/>
        </w:rPr>
        <w:t>Wales);</w:t>
      </w:r>
      <w:r>
        <w:rPr>
          <w:spacing w:val="6"/>
          <w:w w:val="105"/>
          <w:sz w:val="13"/>
        </w:rPr>
        <w:t> </w:t>
      </w:r>
      <w:r>
        <w:rPr>
          <w:w w:val="105"/>
          <w:sz w:val="13"/>
        </w:rPr>
        <w:t>39</w:t>
      </w:r>
      <w:r>
        <w:rPr>
          <w:spacing w:val="6"/>
          <w:w w:val="105"/>
          <w:sz w:val="13"/>
        </w:rPr>
        <w:t> </w:t>
      </w:r>
      <w:r>
        <w:rPr>
          <w:w w:val="105"/>
          <w:sz w:val="13"/>
        </w:rPr>
        <w:t>(Carolyn</w:t>
      </w:r>
      <w:r>
        <w:rPr>
          <w:spacing w:val="7"/>
          <w:w w:val="105"/>
          <w:sz w:val="13"/>
        </w:rPr>
        <w:t> </w:t>
      </w:r>
      <w:r>
        <w:rPr>
          <w:w w:val="105"/>
          <w:sz w:val="13"/>
        </w:rPr>
        <w:t>Sparke</w:t>
      </w:r>
      <w:r>
        <w:rPr>
          <w:spacing w:val="6"/>
          <w:w w:val="105"/>
          <w:sz w:val="13"/>
        </w:rPr>
        <w:t> </w:t>
      </w:r>
      <w:r>
        <w:rPr>
          <w:w w:val="105"/>
          <w:sz w:val="13"/>
        </w:rPr>
        <w:t>SC).</w:t>
      </w:r>
    </w:p>
    <w:p>
      <w:pPr>
        <w:tabs>
          <w:tab w:pos="2381" w:val="left" w:leader="none"/>
        </w:tabs>
        <w:spacing w:before="3"/>
        <w:ind w:left="1587" w:right="0" w:firstLine="0"/>
        <w:jc w:val="left"/>
        <w:rPr>
          <w:sz w:val="13"/>
        </w:rPr>
      </w:pPr>
      <w:r>
        <w:rPr>
          <w:w w:val="105"/>
          <w:sz w:val="13"/>
        </w:rPr>
        <w:t>150</w:t>
        <w:tab/>
      </w:r>
      <w:r>
        <w:rPr>
          <w:i/>
          <w:w w:val="105"/>
          <w:sz w:val="13"/>
        </w:rPr>
        <w:t>Nock</w:t>
      </w:r>
      <w:r>
        <w:rPr>
          <w:i/>
          <w:spacing w:val="10"/>
          <w:w w:val="105"/>
          <w:sz w:val="13"/>
        </w:rPr>
        <w:t> </w:t>
      </w:r>
      <w:r>
        <w:rPr>
          <w:i/>
          <w:w w:val="105"/>
          <w:sz w:val="13"/>
        </w:rPr>
        <w:t>v</w:t>
      </w:r>
      <w:r>
        <w:rPr>
          <w:i/>
          <w:spacing w:val="11"/>
          <w:w w:val="105"/>
          <w:sz w:val="13"/>
        </w:rPr>
        <w:t> </w:t>
      </w:r>
      <w:r>
        <w:rPr>
          <w:i/>
          <w:w w:val="105"/>
          <w:sz w:val="13"/>
        </w:rPr>
        <w:t>Austin</w:t>
      </w:r>
      <w:r>
        <w:rPr>
          <w:i/>
          <w:spacing w:val="12"/>
          <w:w w:val="105"/>
          <w:sz w:val="13"/>
        </w:rPr>
        <w:t> </w:t>
      </w:r>
      <w:r>
        <w:rPr>
          <w:w w:val="105"/>
          <w:sz w:val="13"/>
        </w:rPr>
        <w:t>(1918)</w:t>
      </w:r>
      <w:r>
        <w:rPr>
          <w:spacing w:val="12"/>
          <w:w w:val="105"/>
          <w:sz w:val="13"/>
        </w:rPr>
        <w:t> </w:t>
      </w:r>
      <w:r>
        <w:rPr>
          <w:w w:val="105"/>
          <w:sz w:val="13"/>
        </w:rPr>
        <w:t>25</w:t>
      </w:r>
      <w:r>
        <w:rPr>
          <w:spacing w:val="12"/>
          <w:w w:val="105"/>
          <w:sz w:val="13"/>
        </w:rPr>
        <w:t> </w:t>
      </w:r>
      <w:r>
        <w:rPr>
          <w:w w:val="105"/>
          <w:sz w:val="13"/>
        </w:rPr>
        <w:t>CLR</w:t>
      </w:r>
      <w:r>
        <w:rPr>
          <w:spacing w:val="11"/>
          <w:w w:val="105"/>
          <w:sz w:val="13"/>
        </w:rPr>
        <w:t> </w:t>
      </w:r>
      <w:r>
        <w:rPr>
          <w:spacing w:val="-4"/>
          <w:w w:val="105"/>
          <w:sz w:val="13"/>
        </w:rPr>
        <w:t>519,</w:t>
      </w:r>
      <w:r>
        <w:rPr>
          <w:spacing w:val="12"/>
          <w:w w:val="105"/>
          <w:sz w:val="13"/>
        </w:rPr>
        <w:t> </w:t>
      </w:r>
      <w:r>
        <w:rPr>
          <w:w w:val="105"/>
          <w:sz w:val="13"/>
        </w:rPr>
        <w:t>528.</w:t>
      </w:r>
    </w:p>
    <w:p>
      <w:pPr>
        <w:spacing w:after="0"/>
        <w:jc w:val="left"/>
        <w:rPr>
          <w:sz w:val="13"/>
        </w:rPr>
        <w:sectPr>
          <w:pgSz w:w="11910" w:h="16840"/>
          <w:pgMar w:header="805" w:footer="0" w:top="1360" w:bottom="280" w:left="0" w:right="0"/>
        </w:sectPr>
      </w:pPr>
    </w:p>
    <w:p>
      <w:pPr>
        <w:pStyle w:val="BodyText"/>
        <w:spacing w:before="9"/>
        <w:rPr>
          <w:sz w:val="22"/>
        </w:rPr>
      </w:pPr>
    </w:p>
    <w:p>
      <w:pPr>
        <w:pStyle w:val="ListParagraph"/>
        <w:numPr>
          <w:ilvl w:val="1"/>
          <w:numId w:val="22"/>
        </w:numPr>
        <w:tabs>
          <w:tab w:pos="2381" w:val="left" w:leader="none"/>
          <w:tab w:pos="2382" w:val="left" w:leader="none"/>
        </w:tabs>
        <w:spacing w:line="242" w:lineRule="auto" w:before="92" w:after="0"/>
        <w:ind w:left="2381" w:right="1606" w:hanging="794"/>
        <w:jc w:val="left"/>
        <w:rPr>
          <w:sz w:val="12"/>
        </w:rPr>
      </w:pPr>
      <w:r>
        <w:rPr>
          <w:spacing w:val="-4"/>
          <w:sz w:val="21"/>
        </w:rPr>
        <w:t>However, </w:t>
      </w:r>
      <w:r>
        <w:rPr>
          <w:sz w:val="21"/>
        </w:rPr>
        <w:t>where a </w:t>
      </w:r>
      <w:r>
        <w:rPr>
          <w:spacing w:val="-3"/>
          <w:sz w:val="21"/>
        </w:rPr>
        <w:t>suspicious circumstance </w:t>
      </w:r>
      <w:r>
        <w:rPr>
          <w:sz w:val="21"/>
        </w:rPr>
        <w:t>exists, the person seeking </w:t>
      </w:r>
      <w:r>
        <w:rPr>
          <w:spacing w:val="-3"/>
          <w:sz w:val="21"/>
        </w:rPr>
        <w:t>to  </w:t>
      </w:r>
      <w:r>
        <w:rPr>
          <w:sz w:val="21"/>
        </w:rPr>
        <w:t>uphold  the  </w:t>
      </w:r>
      <w:r>
        <w:rPr>
          <w:spacing w:val="-3"/>
          <w:sz w:val="21"/>
        </w:rPr>
        <w:t>will </w:t>
      </w:r>
      <w:r>
        <w:rPr>
          <w:sz w:val="21"/>
        </w:rPr>
        <w:t>must affirmatively </w:t>
      </w:r>
      <w:r>
        <w:rPr>
          <w:spacing w:val="-3"/>
          <w:sz w:val="21"/>
        </w:rPr>
        <w:t>prove that </w:t>
      </w:r>
      <w:r>
        <w:rPr>
          <w:sz w:val="21"/>
        </w:rPr>
        <w:t>there was knowledge and </w:t>
      </w:r>
      <w:r>
        <w:rPr>
          <w:spacing w:val="-3"/>
          <w:sz w:val="21"/>
        </w:rPr>
        <w:t>approval  </w:t>
      </w:r>
      <w:r>
        <w:rPr>
          <w:sz w:val="21"/>
        </w:rPr>
        <w:t>of its </w:t>
      </w:r>
      <w:r>
        <w:rPr>
          <w:spacing w:val="-3"/>
          <w:sz w:val="21"/>
        </w:rPr>
        <w:t>contents.</w:t>
      </w:r>
      <w:r>
        <w:rPr>
          <w:spacing w:val="41"/>
          <w:sz w:val="21"/>
        </w:rPr>
        <w:t> </w:t>
      </w:r>
      <w:r>
        <w:rPr>
          <w:sz w:val="21"/>
        </w:rPr>
        <w:t>The </w:t>
      </w:r>
      <w:r>
        <w:rPr>
          <w:spacing w:val="-3"/>
          <w:sz w:val="21"/>
        </w:rPr>
        <w:t>onus  </w:t>
      </w:r>
      <w:r>
        <w:rPr>
          <w:sz w:val="21"/>
        </w:rPr>
        <w:t>of proof is on </w:t>
      </w:r>
      <w:r>
        <w:rPr>
          <w:spacing w:val="-3"/>
          <w:sz w:val="21"/>
        </w:rPr>
        <w:t>that </w:t>
      </w:r>
      <w:r>
        <w:rPr>
          <w:sz w:val="21"/>
        </w:rPr>
        <w:t>person, </w:t>
      </w:r>
      <w:r>
        <w:rPr>
          <w:spacing w:val="-2"/>
          <w:sz w:val="21"/>
        </w:rPr>
        <w:t>not </w:t>
      </w:r>
      <w:r>
        <w:rPr>
          <w:sz w:val="21"/>
        </w:rPr>
        <w:t>the person </w:t>
      </w:r>
      <w:r>
        <w:rPr>
          <w:spacing w:val="-3"/>
          <w:sz w:val="21"/>
        </w:rPr>
        <w:t>challenging </w:t>
      </w:r>
      <w:r>
        <w:rPr>
          <w:sz w:val="21"/>
        </w:rPr>
        <w:t>the</w:t>
      </w:r>
      <w:r>
        <w:rPr>
          <w:spacing w:val="44"/>
          <w:sz w:val="21"/>
        </w:rPr>
        <w:t> </w:t>
      </w:r>
      <w:r>
        <w:rPr>
          <w:spacing w:val="-7"/>
          <w:sz w:val="21"/>
        </w:rPr>
        <w:t>will.</w:t>
      </w:r>
      <w:r>
        <w:rPr>
          <w:spacing w:val="-7"/>
          <w:position w:val="7"/>
          <w:sz w:val="12"/>
        </w:rPr>
        <w:t>151</w:t>
      </w:r>
    </w:p>
    <w:p>
      <w:pPr>
        <w:pStyle w:val="ListParagraph"/>
        <w:numPr>
          <w:ilvl w:val="1"/>
          <w:numId w:val="22"/>
        </w:numPr>
        <w:tabs>
          <w:tab w:pos="2381" w:val="left" w:leader="none"/>
          <w:tab w:pos="2382" w:val="left" w:leader="none"/>
        </w:tabs>
        <w:spacing w:line="242" w:lineRule="auto" w:before="123" w:after="0"/>
        <w:ind w:left="2381" w:right="1750" w:hanging="794"/>
        <w:jc w:val="left"/>
        <w:rPr>
          <w:sz w:val="21"/>
        </w:rPr>
      </w:pPr>
      <w:r>
        <w:rPr>
          <w:spacing w:val="-3"/>
          <w:w w:val="105"/>
          <w:sz w:val="21"/>
        </w:rPr>
        <w:t>The</w:t>
      </w:r>
      <w:r>
        <w:rPr>
          <w:spacing w:val="-10"/>
          <w:w w:val="105"/>
          <w:sz w:val="21"/>
        </w:rPr>
        <w:t> </w:t>
      </w:r>
      <w:r>
        <w:rPr>
          <w:spacing w:val="-4"/>
          <w:w w:val="105"/>
          <w:sz w:val="21"/>
        </w:rPr>
        <w:t>courts</w:t>
      </w:r>
      <w:r>
        <w:rPr>
          <w:spacing w:val="-9"/>
          <w:w w:val="105"/>
          <w:sz w:val="21"/>
        </w:rPr>
        <w:t> </w:t>
      </w:r>
      <w:r>
        <w:rPr>
          <w:spacing w:val="-5"/>
          <w:w w:val="105"/>
          <w:sz w:val="21"/>
        </w:rPr>
        <w:t>have</w:t>
      </w:r>
      <w:r>
        <w:rPr>
          <w:spacing w:val="-9"/>
          <w:w w:val="105"/>
          <w:sz w:val="21"/>
        </w:rPr>
        <w:t> </w:t>
      </w:r>
      <w:r>
        <w:rPr>
          <w:spacing w:val="-4"/>
          <w:w w:val="105"/>
          <w:sz w:val="21"/>
        </w:rPr>
        <w:t>not</w:t>
      </w:r>
      <w:r>
        <w:rPr>
          <w:spacing w:val="-9"/>
          <w:w w:val="105"/>
          <w:sz w:val="21"/>
        </w:rPr>
        <w:t> </w:t>
      </w:r>
      <w:r>
        <w:rPr>
          <w:spacing w:val="-6"/>
          <w:w w:val="105"/>
          <w:sz w:val="21"/>
        </w:rPr>
        <w:t>limited</w:t>
      </w:r>
      <w:r>
        <w:rPr>
          <w:spacing w:val="-9"/>
          <w:w w:val="105"/>
          <w:sz w:val="21"/>
        </w:rPr>
        <w:t> </w:t>
      </w:r>
      <w:r>
        <w:rPr>
          <w:spacing w:val="-5"/>
          <w:w w:val="105"/>
          <w:sz w:val="21"/>
        </w:rPr>
        <w:t>what</w:t>
      </w:r>
      <w:r>
        <w:rPr>
          <w:spacing w:val="-9"/>
          <w:w w:val="105"/>
          <w:sz w:val="21"/>
        </w:rPr>
        <w:t> </w:t>
      </w:r>
      <w:r>
        <w:rPr>
          <w:spacing w:val="-6"/>
          <w:w w:val="105"/>
          <w:sz w:val="21"/>
        </w:rPr>
        <w:t>situations</w:t>
      </w:r>
      <w:r>
        <w:rPr>
          <w:spacing w:val="-9"/>
          <w:w w:val="105"/>
          <w:sz w:val="21"/>
        </w:rPr>
        <w:t> </w:t>
      </w:r>
      <w:r>
        <w:rPr>
          <w:spacing w:val="-5"/>
          <w:w w:val="105"/>
          <w:sz w:val="21"/>
        </w:rPr>
        <w:t>may</w:t>
      </w:r>
      <w:r>
        <w:rPr>
          <w:spacing w:val="-9"/>
          <w:w w:val="105"/>
          <w:sz w:val="21"/>
        </w:rPr>
        <w:t> </w:t>
      </w:r>
      <w:r>
        <w:rPr>
          <w:spacing w:val="-6"/>
          <w:w w:val="105"/>
          <w:sz w:val="21"/>
        </w:rPr>
        <w:t>constitute</w:t>
      </w:r>
      <w:r>
        <w:rPr>
          <w:spacing w:val="-9"/>
          <w:w w:val="105"/>
          <w:sz w:val="21"/>
        </w:rPr>
        <w:t> </w:t>
      </w:r>
      <w:r>
        <w:rPr>
          <w:spacing w:val="-5"/>
          <w:w w:val="105"/>
          <w:sz w:val="21"/>
        </w:rPr>
        <w:t>suspicious</w:t>
      </w:r>
      <w:r>
        <w:rPr>
          <w:spacing w:val="-9"/>
          <w:w w:val="105"/>
          <w:sz w:val="21"/>
        </w:rPr>
        <w:t> </w:t>
      </w:r>
      <w:r>
        <w:rPr>
          <w:spacing w:val="-6"/>
          <w:w w:val="105"/>
          <w:sz w:val="21"/>
        </w:rPr>
        <w:t>circumstances.</w:t>
      </w:r>
      <w:r>
        <w:rPr>
          <w:spacing w:val="-9"/>
          <w:w w:val="105"/>
          <w:sz w:val="21"/>
        </w:rPr>
        <w:t> </w:t>
      </w:r>
      <w:r>
        <w:rPr>
          <w:spacing w:val="-4"/>
          <w:w w:val="105"/>
          <w:sz w:val="21"/>
        </w:rPr>
        <w:t>Courts </w:t>
      </w:r>
      <w:r>
        <w:rPr>
          <w:spacing w:val="-5"/>
          <w:w w:val="105"/>
          <w:sz w:val="21"/>
        </w:rPr>
        <w:t>have </w:t>
      </w:r>
      <w:r>
        <w:rPr>
          <w:spacing w:val="-4"/>
          <w:w w:val="105"/>
          <w:sz w:val="21"/>
        </w:rPr>
        <w:t>held the </w:t>
      </w:r>
      <w:r>
        <w:rPr>
          <w:spacing w:val="-6"/>
          <w:w w:val="105"/>
          <w:sz w:val="21"/>
        </w:rPr>
        <w:t>following circumstances </w:t>
      </w:r>
      <w:r>
        <w:rPr>
          <w:spacing w:val="-4"/>
          <w:w w:val="105"/>
          <w:sz w:val="21"/>
        </w:rPr>
        <w:t>to </w:t>
      </w:r>
      <w:r>
        <w:rPr>
          <w:w w:val="105"/>
          <w:sz w:val="21"/>
        </w:rPr>
        <w:t>be </w:t>
      </w:r>
      <w:r>
        <w:rPr>
          <w:spacing w:val="-6"/>
          <w:w w:val="105"/>
          <w:sz w:val="21"/>
        </w:rPr>
        <w:t>suspicious, </w:t>
      </w:r>
      <w:r>
        <w:rPr>
          <w:spacing w:val="-5"/>
          <w:w w:val="105"/>
          <w:sz w:val="21"/>
        </w:rPr>
        <w:t>thus </w:t>
      </w:r>
      <w:r>
        <w:rPr>
          <w:spacing w:val="-6"/>
          <w:w w:val="105"/>
          <w:sz w:val="21"/>
        </w:rPr>
        <w:t>requiring </w:t>
      </w:r>
      <w:r>
        <w:rPr>
          <w:spacing w:val="-4"/>
          <w:w w:val="105"/>
          <w:sz w:val="21"/>
        </w:rPr>
        <w:t>further </w:t>
      </w:r>
      <w:r>
        <w:rPr>
          <w:spacing w:val="-6"/>
          <w:w w:val="105"/>
          <w:sz w:val="21"/>
        </w:rPr>
        <w:t>investigation </w:t>
      </w:r>
      <w:r>
        <w:rPr>
          <w:spacing w:val="-4"/>
          <w:w w:val="105"/>
          <w:sz w:val="21"/>
        </w:rPr>
        <w:t>of ‘the </w:t>
      </w:r>
      <w:r>
        <w:rPr>
          <w:spacing w:val="-5"/>
          <w:w w:val="105"/>
          <w:sz w:val="21"/>
        </w:rPr>
        <w:t>righteousness </w:t>
      </w:r>
      <w:r>
        <w:rPr>
          <w:spacing w:val="-4"/>
          <w:w w:val="105"/>
          <w:sz w:val="21"/>
        </w:rPr>
        <w:t>of the </w:t>
      </w:r>
      <w:r>
        <w:rPr>
          <w:spacing w:val="-7"/>
          <w:w w:val="105"/>
          <w:sz w:val="21"/>
        </w:rPr>
        <w:t>transaction’, </w:t>
      </w:r>
      <w:r>
        <w:rPr>
          <w:spacing w:val="-5"/>
          <w:w w:val="105"/>
          <w:sz w:val="21"/>
        </w:rPr>
        <w:t>that </w:t>
      </w:r>
      <w:r>
        <w:rPr>
          <w:spacing w:val="-3"/>
          <w:w w:val="105"/>
          <w:sz w:val="21"/>
        </w:rPr>
        <w:t>is </w:t>
      </w:r>
      <w:r>
        <w:rPr>
          <w:spacing w:val="-4"/>
          <w:w w:val="105"/>
          <w:sz w:val="21"/>
        </w:rPr>
        <w:t>to </w:t>
      </w:r>
      <w:r>
        <w:rPr>
          <w:spacing w:val="-7"/>
          <w:w w:val="105"/>
          <w:sz w:val="21"/>
        </w:rPr>
        <w:t>say, </w:t>
      </w:r>
      <w:r>
        <w:rPr>
          <w:spacing w:val="-4"/>
          <w:w w:val="105"/>
          <w:sz w:val="21"/>
        </w:rPr>
        <w:t>of the </w:t>
      </w:r>
      <w:r>
        <w:rPr>
          <w:spacing w:val="-5"/>
          <w:w w:val="105"/>
          <w:sz w:val="21"/>
        </w:rPr>
        <w:t>validity </w:t>
      </w:r>
      <w:r>
        <w:rPr>
          <w:spacing w:val="-4"/>
          <w:w w:val="105"/>
          <w:sz w:val="21"/>
        </w:rPr>
        <w:t>of the</w:t>
      </w:r>
      <w:r>
        <w:rPr>
          <w:spacing w:val="22"/>
          <w:w w:val="105"/>
          <w:sz w:val="21"/>
        </w:rPr>
        <w:t> </w:t>
      </w:r>
      <w:r>
        <w:rPr>
          <w:spacing w:val="-4"/>
          <w:w w:val="105"/>
          <w:sz w:val="21"/>
        </w:rPr>
        <w:t>will:</w:t>
      </w:r>
    </w:p>
    <w:p>
      <w:pPr>
        <w:pStyle w:val="ListParagraph"/>
        <w:numPr>
          <w:ilvl w:val="2"/>
          <w:numId w:val="22"/>
        </w:numPr>
        <w:tabs>
          <w:tab w:pos="2721" w:val="left" w:leader="none"/>
          <w:tab w:pos="2722" w:val="left" w:leader="none"/>
        </w:tabs>
        <w:spacing w:line="242" w:lineRule="auto" w:before="123" w:after="0"/>
        <w:ind w:left="2721" w:right="1810" w:hanging="340"/>
        <w:jc w:val="left"/>
        <w:rPr>
          <w:sz w:val="12"/>
        </w:rPr>
      </w:pPr>
      <w:r>
        <w:rPr>
          <w:w w:val="105"/>
          <w:sz w:val="21"/>
        </w:rPr>
        <w:t>A beneficiary is </w:t>
      </w:r>
      <w:r>
        <w:rPr>
          <w:spacing w:val="-3"/>
          <w:w w:val="105"/>
          <w:sz w:val="21"/>
        </w:rPr>
        <w:t>involved </w:t>
      </w:r>
      <w:r>
        <w:rPr>
          <w:w w:val="105"/>
          <w:sz w:val="21"/>
        </w:rPr>
        <w:t>in the will-making process, </w:t>
      </w:r>
      <w:r>
        <w:rPr>
          <w:spacing w:val="-3"/>
          <w:w w:val="105"/>
          <w:sz w:val="21"/>
        </w:rPr>
        <w:t>for </w:t>
      </w:r>
      <w:r>
        <w:rPr>
          <w:w w:val="105"/>
          <w:sz w:val="21"/>
        </w:rPr>
        <w:t>example by witnessing the </w:t>
      </w:r>
      <w:r>
        <w:rPr>
          <w:spacing w:val="-6"/>
          <w:w w:val="105"/>
          <w:sz w:val="21"/>
        </w:rPr>
        <w:t>will,</w:t>
      </w:r>
      <w:r>
        <w:rPr>
          <w:spacing w:val="-6"/>
          <w:w w:val="105"/>
          <w:position w:val="7"/>
          <w:sz w:val="12"/>
        </w:rPr>
        <w:t>152 </w:t>
      </w:r>
      <w:r>
        <w:rPr>
          <w:w w:val="105"/>
          <w:sz w:val="21"/>
        </w:rPr>
        <w:t>writing or </w:t>
      </w:r>
      <w:r>
        <w:rPr>
          <w:spacing w:val="-3"/>
          <w:w w:val="105"/>
          <w:sz w:val="21"/>
        </w:rPr>
        <w:t>preparing </w:t>
      </w:r>
      <w:r>
        <w:rPr>
          <w:w w:val="105"/>
          <w:sz w:val="21"/>
        </w:rPr>
        <w:t>the </w:t>
      </w:r>
      <w:r>
        <w:rPr>
          <w:spacing w:val="-3"/>
          <w:w w:val="105"/>
          <w:sz w:val="21"/>
        </w:rPr>
        <w:t>will </w:t>
      </w:r>
      <w:r>
        <w:rPr>
          <w:w w:val="105"/>
          <w:sz w:val="21"/>
        </w:rPr>
        <w:t>or taking the </w:t>
      </w:r>
      <w:r>
        <w:rPr>
          <w:spacing w:val="-3"/>
          <w:w w:val="105"/>
          <w:sz w:val="21"/>
        </w:rPr>
        <w:t>will-maker to </w:t>
      </w:r>
      <w:r>
        <w:rPr>
          <w:w w:val="105"/>
          <w:sz w:val="21"/>
        </w:rPr>
        <w:t>a legal</w:t>
      </w:r>
      <w:r>
        <w:rPr>
          <w:spacing w:val="17"/>
          <w:w w:val="105"/>
          <w:sz w:val="21"/>
        </w:rPr>
        <w:t> </w:t>
      </w:r>
      <w:r>
        <w:rPr>
          <w:spacing w:val="-4"/>
          <w:w w:val="105"/>
          <w:sz w:val="21"/>
        </w:rPr>
        <w:t>practitioner.</w:t>
      </w:r>
      <w:r>
        <w:rPr>
          <w:spacing w:val="-4"/>
          <w:w w:val="105"/>
          <w:position w:val="7"/>
          <w:sz w:val="12"/>
        </w:rPr>
        <w:t>153</w:t>
      </w:r>
    </w:p>
    <w:p>
      <w:pPr>
        <w:pStyle w:val="ListParagraph"/>
        <w:numPr>
          <w:ilvl w:val="2"/>
          <w:numId w:val="22"/>
        </w:numPr>
        <w:tabs>
          <w:tab w:pos="2721" w:val="left" w:leader="none"/>
          <w:tab w:pos="2722" w:val="left" w:leader="none"/>
        </w:tabs>
        <w:spacing w:line="240" w:lineRule="auto" w:before="122" w:after="0"/>
        <w:ind w:left="2721" w:right="0" w:hanging="340"/>
        <w:jc w:val="left"/>
        <w:rPr>
          <w:sz w:val="12"/>
        </w:rPr>
      </w:pPr>
      <w:r>
        <w:rPr>
          <w:w w:val="105"/>
          <w:sz w:val="21"/>
        </w:rPr>
        <w:t>The</w:t>
      </w:r>
      <w:r>
        <w:rPr>
          <w:spacing w:val="-8"/>
          <w:w w:val="105"/>
          <w:sz w:val="21"/>
        </w:rPr>
        <w:t> </w:t>
      </w:r>
      <w:r>
        <w:rPr>
          <w:spacing w:val="-3"/>
          <w:w w:val="105"/>
          <w:sz w:val="21"/>
        </w:rPr>
        <w:t>will-maker</w:t>
      </w:r>
      <w:r>
        <w:rPr>
          <w:spacing w:val="-7"/>
          <w:w w:val="105"/>
          <w:sz w:val="21"/>
        </w:rPr>
        <w:t> </w:t>
      </w:r>
      <w:r>
        <w:rPr>
          <w:w w:val="105"/>
          <w:sz w:val="21"/>
        </w:rPr>
        <w:t>is</w:t>
      </w:r>
      <w:r>
        <w:rPr>
          <w:spacing w:val="-8"/>
          <w:w w:val="105"/>
          <w:sz w:val="21"/>
        </w:rPr>
        <w:t> </w:t>
      </w:r>
      <w:r>
        <w:rPr>
          <w:spacing w:val="-4"/>
          <w:w w:val="105"/>
          <w:sz w:val="21"/>
        </w:rPr>
        <w:t>‘blind,</w:t>
      </w:r>
      <w:r>
        <w:rPr>
          <w:spacing w:val="-7"/>
          <w:w w:val="105"/>
          <w:sz w:val="21"/>
        </w:rPr>
        <w:t> </w:t>
      </w:r>
      <w:r>
        <w:rPr>
          <w:spacing w:val="-4"/>
          <w:w w:val="105"/>
          <w:sz w:val="21"/>
        </w:rPr>
        <w:t>illiterate</w:t>
      </w:r>
      <w:r>
        <w:rPr>
          <w:spacing w:val="-8"/>
          <w:w w:val="105"/>
          <w:sz w:val="21"/>
        </w:rPr>
        <w:t> </w:t>
      </w:r>
      <w:r>
        <w:rPr>
          <w:w w:val="105"/>
          <w:sz w:val="21"/>
        </w:rPr>
        <w:t>or</w:t>
      </w:r>
      <w:r>
        <w:rPr>
          <w:spacing w:val="-7"/>
          <w:w w:val="105"/>
          <w:sz w:val="21"/>
        </w:rPr>
        <w:t> </w:t>
      </w:r>
      <w:r>
        <w:rPr>
          <w:w w:val="105"/>
          <w:sz w:val="21"/>
        </w:rPr>
        <w:t>mentally</w:t>
      </w:r>
      <w:r>
        <w:rPr>
          <w:spacing w:val="-8"/>
          <w:w w:val="105"/>
          <w:sz w:val="21"/>
        </w:rPr>
        <w:t> </w:t>
      </w:r>
      <w:r>
        <w:rPr>
          <w:w w:val="105"/>
          <w:sz w:val="21"/>
        </w:rPr>
        <w:t>or</w:t>
      </w:r>
      <w:r>
        <w:rPr>
          <w:spacing w:val="-7"/>
          <w:w w:val="105"/>
          <w:sz w:val="21"/>
        </w:rPr>
        <w:t> </w:t>
      </w:r>
      <w:r>
        <w:rPr>
          <w:spacing w:val="-3"/>
          <w:w w:val="105"/>
          <w:sz w:val="21"/>
        </w:rPr>
        <w:t>physically</w:t>
      </w:r>
      <w:r>
        <w:rPr>
          <w:spacing w:val="-8"/>
          <w:w w:val="105"/>
          <w:sz w:val="21"/>
        </w:rPr>
        <w:t> </w:t>
      </w:r>
      <w:r>
        <w:rPr>
          <w:spacing w:val="-5"/>
          <w:w w:val="105"/>
          <w:sz w:val="21"/>
        </w:rPr>
        <w:t>enfeebled’.</w:t>
      </w:r>
      <w:r>
        <w:rPr>
          <w:spacing w:val="-5"/>
          <w:w w:val="105"/>
          <w:position w:val="7"/>
          <w:sz w:val="12"/>
        </w:rPr>
        <w:t>154</w:t>
      </w:r>
    </w:p>
    <w:p>
      <w:pPr>
        <w:pStyle w:val="ListParagraph"/>
        <w:numPr>
          <w:ilvl w:val="2"/>
          <w:numId w:val="22"/>
        </w:numPr>
        <w:tabs>
          <w:tab w:pos="2721" w:val="left" w:leader="none"/>
          <w:tab w:pos="2722" w:val="left" w:leader="none"/>
        </w:tabs>
        <w:spacing w:line="240" w:lineRule="auto" w:before="124" w:after="0"/>
        <w:ind w:left="2721" w:right="0" w:hanging="340"/>
        <w:jc w:val="left"/>
        <w:rPr>
          <w:sz w:val="12"/>
        </w:rPr>
      </w:pPr>
      <w:r>
        <w:rPr>
          <w:w w:val="105"/>
          <w:sz w:val="21"/>
        </w:rPr>
        <w:t>The </w:t>
      </w:r>
      <w:r>
        <w:rPr>
          <w:spacing w:val="-3"/>
          <w:w w:val="105"/>
          <w:sz w:val="21"/>
        </w:rPr>
        <w:t>will </w:t>
      </w:r>
      <w:r>
        <w:rPr>
          <w:w w:val="105"/>
          <w:sz w:val="21"/>
        </w:rPr>
        <w:t>was </w:t>
      </w:r>
      <w:r>
        <w:rPr>
          <w:spacing w:val="-2"/>
          <w:w w:val="105"/>
          <w:sz w:val="21"/>
        </w:rPr>
        <w:t>not </w:t>
      </w:r>
      <w:r>
        <w:rPr>
          <w:spacing w:val="-3"/>
          <w:w w:val="105"/>
          <w:sz w:val="21"/>
        </w:rPr>
        <w:t>read to </w:t>
      </w:r>
      <w:r>
        <w:rPr>
          <w:w w:val="105"/>
          <w:sz w:val="21"/>
        </w:rPr>
        <w:t>or by the </w:t>
      </w:r>
      <w:r>
        <w:rPr>
          <w:spacing w:val="-3"/>
          <w:w w:val="105"/>
          <w:sz w:val="21"/>
        </w:rPr>
        <w:t>will-maker before </w:t>
      </w:r>
      <w:r>
        <w:rPr>
          <w:w w:val="105"/>
          <w:sz w:val="21"/>
        </w:rPr>
        <w:t>it was</w:t>
      </w:r>
      <w:r>
        <w:rPr>
          <w:spacing w:val="-1"/>
          <w:w w:val="105"/>
          <w:sz w:val="21"/>
        </w:rPr>
        <w:t> </w:t>
      </w:r>
      <w:r>
        <w:rPr>
          <w:spacing w:val="-4"/>
          <w:w w:val="105"/>
          <w:sz w:val="21"/>
        </w:rPr>
        <w:t>executed.</w:t>
      </w:r>
      <w:r>
        <w:rPr>
          <w:spacing w:val="-4"/>
          <w:w w:val="105"/>
          <w:position w:val="7"/>
          <w:sz w:val="12"/>
        </w:rPr>
        <w:t>155</w:t>
      </w:r>
    </w:p>
    <w:p>
      <w:pPr>
        <w:pStyle w:val="ListParagraph"/>
        <w:numPr>
          <w:ilvl w:val="2"/>
          <w:numId w:val="22"/>
        </w:numPr>
        <w:tabs>
          <w:tab w:pos="2721" w:val="left" w:leader="none"/>
          <w:tab w:pos="2722" w:val="left" w:leader="none"/>
        </w:tabs>
        <w:spacing w:line="242" w:lineRule="auto" w:before="124" w:after="0"/>
        <w:ind w:left="2721" w:right="2180" w:hanging="340"/>
        <w:jc w:val="left"/>
        <w:rPr>
          <w:sz w:val="12"/>
        </w:rPr>
      </w:pPr>
      <w:r>
        <w:rPr>
          <w:w w:val="105"/>
          <w:sz w:val="21"/>
        </w:rPr>
        <w:t>The</w:t>
      </w:r>
      <w:r>
        <w:rPr>
          <w:spacing w:val="-6"/>
          <w:w w:val="105"/>
          <w:sz w:val="21"/>
        </w:rPr>
        <w:t> </w:t>
      </w:r>
      <w:r>
        <w:rPr>
          <w:spacing w:val="-3"/>
          <w:w w:val="105"/>
          <w:sz w:val="21"/>
        </w:rPr>
        <w:t>will</w:t>
      </w:r>
      <w:r>
        <w:rPr>
          <w:spacing w:val="-5"/>
          <w:w w:val="105"/>
          <w:sz w:val="21"/>
        </w:rPr>
        <w:t> </w:t>
      </w:r>
      <w:r>
        <w:rPr>
          <w:spacing w:val="-3"/>
          <w:w w:val="105"/>
          <w:sz w:val="21"/>
        </w:rPr>
        <w:t>changes</w:t>
      </w:r>
      <w:r>
        <w:rPr>
          <w:spacing w:val="-5"/>
          <w:w w:val="105"/>
          <w:sz w:val="21"/>
        </w:rPr>
        <w:t> </w:t>
      </w:r>
      <w:r>
        <w:rPr>
          <w:w w:val="105"/>
          <w:sz w:val="21"/>
        </w:rPr>
        <w:t>a</w:t>
      </w:r>
      <w:r>
        <w:rPr>
          <w:spacing w:val="-6"/>
          <w:w w:val="105"/>
          <w:sz w:val="21"/>
        </w:rPr>
        <w:t> </w:t>
      </w:r>
      <w:r>
        <w:rPr>
          <w:w w:val="105"/>
          <w:sz w:val="21"/>
        </w:rPr>
        <w:t>pattern</w:t>
      </w:r>
      <w:r>
        <w:rPr>
          <w:spacing w:val="-5"/>
          <w:w w:val="105"/>
          <w:sz w:val="21"/>
        </w:rPr>
        <w:t> </w:t>
      </w:r>
      <w:r>
        <w:rPr>
          <w:w w:val="105"/>
          <w:sz w:val="21"/>
        </w:rPr>
        <w:t>of</w:t>
      </w:r>
      <w:r>
        <w:rPr>
          <w:spacing w:val="-5"/>
          <w:w w:val="105"/>
          <w:sz w:val="21"/>
        </w:rPr>
        <w:t> </w:t>
      </w:r>
      <w:r>
        <w:rPr>
          <w:spacing w:val="-3"/>
          <w:w w:val="105"/>
          <w:sz w:val="21"/>
        </w:rPr>
        <w:t>previous</w:t>
      </w:r>
      <w:r>
        <w:rPr>
          <w:spacing w:val="-6"/>
          <w:w w:val="105"/>
          <w:sz w:val="21"/>
        </w:rPr>
        <w:t> </w:t>
      </w:r>
      <w:r>
        <w:rPr>
          <w:spacing w:val="-3"/>
          <w:w w:val="105"/>
          <w:sz w:val="21"/>
        </w:rPr>
        <w:t>wills</w:t>
      </w:r>
      <w:r>
        <w:rPr>
          <w:spacing w:val="-5"/>
          <w:w w:val="105"/>
          <w:sz w:val="21"/>
        </w:rPr>
        <w:t> </w:t>
      </w:r>
      <w:r>
        <w:rPr>
          <w:w w:val="105"/>
          <w:sz w:val="21"/>
        </w:rPr>
        <w:t>by</w:t>
      </w:r>
      <w:r>
        <w:rPr>
          <w:spacing w:val="-5"/>
          <w:w w:val="105"/>
          <w:sz w:val="21"/>
        </w:rPr>
        <w:t> </w:t>
      </w:r>
      <w:r>
        <w:rPr>
          <w:w w:val="105"/>
          <w:sz w:val="21"/>
        </w:rPr>
        <w:t>cutting</w:t>
      </w:r>
      <w:r>
        <w:rPr>
          <w:spacing w:val="-6"/>
          <w:w w:val="105"/>
          <w:sz w:val="21"/>
        </w:rPr>
        <w:t> </w:t>
      </w:r>
      <w:r>
        <w:rPr>
          <w:w w:val="105"/>
          <w:sz w:val="21"/>
        </w:rPr>
        <w:t>out</w:t>
      </w:r>
      <w:r>
        <w:rPr>
          <w:spacing w:val="-5"/>
          <w:w w:val="105"/>
          <w:sz w:val="21"/>
        </w:rPr>
        <w:t> </w:t>
      </w:r>
      <w:r>
        <w:rPr>
          <w:spacing w:val="-4"/>
          <w:w w:val="105"/>
          <w:sz w:val="21"/>
        </w:rPr>
        <w:t>‘natural’</w:t>
      </w:r>
      <w:r>
        <w:rPr>
          <w:spacing w:val="-5"/>
          <w:w w:val="105"/>
          <w:sz w:val="21"/>
        </w:rPr>
        <w:t> </w:t>
      </w:r>
      <w:r>
        <w:rPr>
          <w:w w:val="105"/>
          <w:sz w:val="21"/>
        </w:rPr>
        <w:t>beneficiaries and </w:t>
      </w:r>
      <w:r>
        <w:rPr>
          <w:spacing w:val="-3"/>
          <w:w w:val="105"/>
          <w:sz w:val="21"/>
        </w:rPr>
        <w:t>replacing </w:t>
      </w:r>
      <w:r>
        <w:rPr>
          <w:w w:val="105"/>
          <w:sz w:val="21"/>
        </w:rPr>
        <w:t>them with </w:t>
      </w:r>
      <w:r>
        <w:rPr>
          <w:spacing w:val="-3"/>
          <w:w w:val="105"/>
          <w:sz w:val="21"/>
        </w:rPr>
        <w:t>recent</w:t>
      </w:r>
      <w:r>
        <w:rPr>
          <w:spacing w:val="27"/>
          <w:w w:val="105"/>
          <w:sz w:val="21"/>
        </w:rPr>
        <w:t> </w:t>
      </w:r>
      <w:r>
        <w:rPr>
          <w:spacing w:val="-4"/>
          <w:w w:val="105"/>
          <w:sz w:val="21"/>
        </w:rPr>
        <w:t>acquaintances.</w:t>
      </w:r>
      <w:r>
        <w:rPr>
          <w:spacing w:val="-4"/>
          <w:w w:val="105"/>
          <w:position w:val="7"/>
          <w:sz w:val="12"/>
        </w:rPr>
        <w:t>156</w:t>
      </w:r>
    </w:p>
    <w:p>
      <w:pPr>
        <w:pStyle w:val="ListParagraph"/>
        <w:numPr>
          <w:ilvl w:val="1"/>
          <w:numId w:val="22"/>
        </w:numPr>
        <w:tabs>
          <w:tab w:pos="2381" w:val="left" w:leader="none"/>
          <w:tab w:pos="2382" w:val="left" w:leader="none"/>
        </w:tabs>
        <w:spacing w:line="242" w:lineRule="auto" w:before="122" w:after="0"/>
        <w:ind w:left="2381" w:right="1804" w:hanging="794"/>
        <w:jc w:val="left"/>
        <w:rPr>
          <w:sz w:val="12"/>
        </w:rPr>
      </w:pPr>
      <w:r>
        <w:rPr>
          <w:spacing w:val="-3"/>
          <w:w w:val="105"/>
          <w:sz w:val="21"/>
        </w:rPr>
        <w:t>Submissions that </w:t>
      </w:r>
      <w:r>
        <w:rPr>
          <w:w w:val="105"/>
          <w:sz w:val="21"/>
        </w:rPr>
        <w:t>addressed this issue </w:t>
      </w:r>
      <w:r>
        <w:rPr>
          <w:spacing w:val="-3"/>
          <w:w w:val="105"/>
          <w:sz w:val="21"/>
        </w:rPr>
        <w:t>generally </w:t>
      </w:r>
      <w:r>
        <w:rPr>
          <w:w w:val="105"/>
          <w:sz w:val="21"/>
        </w:rPr>
        <w:t>agreed </w:t>
      </w:r>
      <w:r>
        <w:rPr>
          <w:spacing w:val="-3"/>
          <w:w w:val="105"/>
          <w:sz w:val="21"/>
        </w:rPr>
        <w:t>that </w:t>
      </w:r>
      <w:r>
        <w:rPr>
          <w:w w:val="105"/>
          <w:sz w:val="21"/>
        </w:rPr>
        <w:t>no </w:t>
      </w:r>
      <w:r>
        <w:rPr>
          <w:spacing w:val="-3"/>
          <w:w w:val="105"/>
          <w:sz w:val="21"/>
        </w:rPr>
        <w:t>changes are </w:t>
      </w:r>
      <w:r>
        <w:rPr>
          <w:w w:val="105"/>
          <w:sz w:val="21"/>
        </w:rPr>
        <w:t>necessary </w:t>
      </w:r>
      <w:r>
        <w:rPr>
          <w:spacing w:val="-3"/>
          <w:w w:val="105"/>
          <w:sz w:val="21"/>
        </w:rPr>
        <w:t>to </w:t>
      </w:r>
      <w:r>
        <w:rPr>
          <w:w w:val="105"/>
          <w:sz w:val="21"/>
        </w:rPr>
        <w:t>this </w:t>
      </w:r>
      <w:r>
        <w:rPr>
          <w:spacing w:val="-3"/>
          <w:w w:val="105"/>
          <w:sz w:val="21"/>
        </w:rPr>
        <w:t>area </w:t>
      </w:r>
      <w:r>
        <w:rPr>
          <w:w w:val="105"/>
          <w:sz w:val="21"/>
        </w:rPr>
        <w:t>of the </w:t>
      </w:r>
      <w:r>
        <w:rPr>
          <w:spacing w:val="-7"/>
          <w:w w:val="105"/>
          <w:sz w:val="21"/>
        </w:rPr>
        <w:t>law.</w:t>
      </w:r>
      <w:r>
        <w:rPr>
          <w:spacing w:val="-7"/>
          <w:w w:val="105"/>
          <w:position w:val="7"/>
          <w:sz w:val="12"/>
        </w:rPr>
        <w:t>157 </w:t>
      </w:r>
      <w:r>
        <w:rPr>
          <w:spacing w:val="-4"/>
          <w:w w:val="105"/>
          <w:sz w:val="21"/>
        </w:rPr>
        <w:t>However, </w:t>
      </w:r>
      <w:r>
        <w:rPr>
          <w:w w:val="105"/>
          <w:sz w:val="21"/>
        </w:rPr>
        <w:t>some </w:t>
      </w:r>
      <w:r>
        <w:rPr>
          <w:spacing w:val="-3"/>
          <w:w w:val="105"/>
          <w:sz w:val="21"/>
        </w:rPr>
        <w:t>noted that guidelines covering </w:t>
      </w:r>
      <w:r>
        <w:rPr>
          <w:w w:val="105"/>
          <w:sz w:val="21"/>
        </w:rPr>
        <w:t>knowledge and </w:t>
      </w:r>
      <w:r>
        <w:rPr>
          <w:spacing w:val="-3"/>
          <w:w w:val="105"/>
          <w:sz w:val="21"/>
        </w:rPr>
        <w:t>approval </w:t>
      </w:r>
      <w:r>
        <w:rPr>
          <w:w w:val="105"/>
          <w:sz w:val="21"/>
        </w:rPr>
        <w:t>would be </w:t>
      </w:r>
      <w:r>
        <w:rPr>
          <w:spacing w:val="-3"/>
          <w:w w:val="105"/>
          <w:sz w:val="21"/>
        </w:rPr>
        <w:t>useful for</w:t>
      </w:r>
      <w:r>
        <w:rPr>
          <w:spacing w:val="31"/>
          <w:w w:val="105"/>
          <w:sz w:val="21"/>
        </w:rPr>
        <w:t> </w:t>
      </w:r>
      <w:r>
        <w:rPr>
          <w:spacing w:val="-3"/>
          <w:w w:val="105"/>
          <w:sz w:val="21"/>
        </w:rPr>
        <w:t>practitioners.</w:t>
      </w:r>
      <w:r>
        <w:rPr>
          <w:spacing w:val="-3"/>
          <w:w w:val="105"/>
          <w:position w:val="7"/>
          <w:sz w:val="12"/>
        </w:rPr>
        <w:t>158</w:t>
      </w:r>
    </w:p>
    <w:p>
      <w:pPr>
        <w:pStyle w:val="ListParagraph"/>
        <w:numPr>
          <w:ilvl w:val="1"/>
          <w:numId w:val="22"/>
        </w:numPr>
        <w:tabs>
          <w:tab w:pos="2382" w:val="left" w:leader="none"/>
        </w:tabs>
        <w:spacing w:line="242" w:lineRule="auto" w:before="123" w:after="0"/>
        <w:ind w:left="2381" w:right="1600" w:hanging="794"/>
        <w:jc w:val="both"/>
        <w:rPr>
          <w:sz w:val="21"/>
        </w:rPr>
      </w:pPr>
      <w:r>
        <w:rPr>
          <w:w w:val="105"/>
          <w:sz w:val="21"/>
        </w:rPr>
        <w:t>The </w:t>
      </w:r>
      <w:r>
        <w:rPr>
          <w:spacing w:val="-4"/>
          <w:w w:val="105"/>
          <w:sz w:val="21"/>
        </w:rPr>
        <w:t>Commission </w:t>
      </w:r>
      <w:r>
        <w:rPr>
          <w:spacing w:val="-3"/>
          <w:w w:val="105"/>
          <w:sz w:val="21"/>
        </w:rPr>
        <w:t>agrees that </w:t>
      </w:r>
      <w:r>
        <w:rPr>
          <w:w w:val="105"/>
          <w:sz w:val="21"/>
        </w:rPr>
        <w:t>no </w:t>
      </w:r>
      <w:r>
        <w:rPr>
          <w:spacing w:val="-3"/>
          <w:w w:val="105"/>
          <w:sz w:val="21"/>
        </w:rPr>
        <w:t>changes are </w:t>
      </w:r>
      <w:r>
        <w:rPr>
          <w:w w:val="105"/>
          <w:sz w:val="21"/>
        </w:rPr>
        <w:t>necessary </w:t>
      </w:r>
      <w:r>
        <w:rPr>
          <w:spacing w:val="-3"/>
          <w:w w:val="105"/>
          <w:sz w:val="21"/>
        </w:rPr>
        <w:t>to this well </w:t>
      </w:r>
      <w:r>
        <w:rPr>
          <w:w w:val="105"/>
          <w:sz w:val="21"/>
        </w:rPr>
        <w:t>settled </w:t>
      </w:r>
      <w:r>
        <w:rPr>
          <w:spacing w:val="-4"/>
          <w:w w:val="105"/>
          <w:sz w:val="21"/>
        </w:rPr>
        <w:t>area </w:t>
      </w:r>
      <w:r>
        <w:rPr>
          <w:spacing w:val="-3"/>
          <w:w w:val="105"/>
          <w:sz w:val="21"/>
        </w:rPr>
        <w:t>of </w:t>
      </w:r>
      <w:r>
        <w:rPr>
          <w:w w:val="105"/>
          <w:sz w:val="21"/>
        </w:rPr>
        <w:t>the </w:t>
      </w:r>
      <w:r>
        <w:rPr>
          <w:spacing w:val="-5"/>
          <w:w w:val="105"/>
          <w:sz w:val="21"/>
        </w:rPr>
        <w:t>law. </w:t>
      </w:r>
      <w:r>
        <w:rPr>
          <w:w w:val="105"/>
          <w:sz w:val="21"/>
        </w:rPr>
        <w:t>It </w:t>
      </w:r>
      <w:r>
        <w:rPr>
          <w:spacing w:val="-3"/>
          <w:w w:val="105"/>
          <w:sz w:val="21"/>
        </w:rPr>
        <w:t>would </w:t>
      </w:r>
      <w:r>
        <w:rPr>
          <w:w w:val="105"/>
          <w:sz w:val="21"/>
        </w:rPr>
        <w:t>be </w:t>
      </w:r>
      <w:r>
        <w:rPr>
          <w:spacing w:val="-3"/>
          <w:w w:val="105"/>
          <w:sz w:val="21"/>
        </w:rPr>
        <w:t>useful for </w:t>
      </w:r>
      <w:r>
        <w:rPr>
          <w:w w:val="105"/>
          <w:sz w:val="21"/>
        </w:rPr>
        <w:t>the Law </w:t>
      </w:r>
      <w:r>
        <w:rPr>
          <w:spacing w:val="-4"/>
          <w:w w:val="105"/>
          <w:sz w:val="21"/>
        </w:rPr>
        <w:t>Institute </w:t>
      </w:r>
      <w:r>
        <w:rPr>
          <w:spacing w:val="-3"/>
          <w:w w:val="105"/>
          <w:sz w:val="21"/>
        </w:rPr>
        <w:t>of Victoria to </w:t>
      </w:r>
      <w:r>
        <w:rPr>
          <w:spacing w:val="-4"/>
          <w:w w:val="105"/>
          <w:sz w:val="21"/>
        </w:rPr>
        <w:t>include </w:t>
      </w:r>
      <w:r>
        <w:rPr>
          <w:spacing w:val="-3"/>
          <w:w w:val="105"/>
          <w:sz w:val="21"/>
        </w:rPr>
        <w:t>discussion of knowledge and </w:t>
      </w:r>
      <w:r>
        <w:rPr>
          <w:spacing w:val="-4"/>
          <w:w w:val="105"/>
          <w:sz w:val="21"/>
        </w:rPr>
        <w:t>approval </w:t>
      </w:r>
      <w:r>
        <w:rPr>
          <w:spacing w:val="-3"/>
          <w:w w:val="105"/>
          <w:sz w:val="21"/>
        </w:rPr>
        <w:t>and </w:t>
      </w:r>
      <w:r>
        <w:rPr>
          <w:spacing w:val="-4"/>
          <w:w w:val="105"/>
          <w:sz w:val="21"/>
        </w:rPr>
        <w:t>suspicious circumstances </w:t>
      </w:r>
      <w:r>
        <w:rPr>
          <w:spacing w:val="-3"/>
          <w:w w:val="105"/>
          <w:sz w:val="21"/>
        </w:rPr>
        <w:t>in </w:t>
      </w:r>
      <w:r>
        <w:rPr>
          <w:w w:val="105"/>
          <w:sz w:val="21"/>
        </w:rPr>
        <w:t>the </w:t>
      </w:r>
      <w:r>
        <w:rPr>
          <w:spacing w:val="-3"/>
          <w:w w:val="105"/>
          <w:sz w:val="21"/>
        </w:rPr>
        <w:t>recommended </w:t>
      </w:r>
      <w:r>
        <w:rPr>
          <w:spacing w:val="-4"/>
          <w:w w:val="105"/>
          <w:sz w:val="21"/>
        </w:rPr>
        <w:t>guidelines </w:t>
      </w:r>
      <w:r>
        <w:rPr>
          <w:w w:val="105"/>
          <w:sz w:val="21"/>
        </w:rPr>
        <w:t>on </w:t>
      </w:r>
      <w:r>
        <w:rPr>
          <w:spacing w:val="-3"/>
          <w:w w:val="105"/>
          <w:sz w:val="21"/>
        </w:rPr>
        <w:t>undue</w:t>
      </w:r>
      <w:r>
        <w:rPr>
          <w:spacing w:val="-14"/>
          <w:w w:val="105"/>
          <w:sz w:val="21"/>
        </w:rPr>
        <w:t> </w:t>
      </w:r>
      <w:r>
        <w:rPr>
          <w:spacing w:val="-4"/>
          <w:w w:val="105"/>
          <w:sz w:val="21"/>
        </w:rPr>
        <w:t>influence.</w:t>
      </w:r>
    </w:p>
    <w:p>
      <w:pPr>
        <w:pStyle w:val="BodyText"/>
        <w:rPr>
          <w:sz w:val="25"/>
        </w:rPr>
      </w:pPr>
    </w:p>
    <w:p>
      <w:pPr>
        <w:pStyle w:val="Heading5"/>
      </w:pPr>
      <w:r>
        <w:rPr>
          <w:w w:val="115"/>
        </w:rPr>
        <w:t>Fraud and forgery</w:t>
      </w:r>
    </w:p>
    <w:p>
      <w:pPr>
        <w:pStyle w:val="ListParagraph"/>
        <w:numPr>
          <w:ilvl w:val="1"/>
          <w:numId w:val="22"/>
        </w:numPr>
        <w:tabs>
          <w:tab w:pos="2380" w:val="left" w:leader="none"/>
          <w:tab w:pos="2381" w:val="left" w:leader="none"/>
        </w:tabs>
        <w:spacing w:line="242" w:lineRule="auto" w:before="137" w:after="0"/>
        <w:ind w:left="2381" w:right="1770" w:hanging="794"/>
        <w:jc w:val="left"/>
        <w:rPr>
          <w:sz w:val="12"/>
        </w:rPr>
      </w:pPr>
      <w:r>
        <w:rPr>
          <w:w w:val="105"/>
          <w:sz w:val="21"/>
        </w:rPr>
        <w:t>A less </w:t>
      </w:r>
      <w:r>
        <w:rPr>
          <w:spacing w:val="-2"/>
          <w:w w:val="105"/>
          <w:sz w:val="21"/>
        </w:rPr>
        <w:t>common </w:t>
      </w:r>
      <w:r>
        <w:rPr>
          <w:w w:val="105"/>
          <w:sz w:val="21"/>
        </w:rPr>
        <w:t>basis </w:t>
      </w:r>
      <w:r>
        <w:rPr>
          <w:spacing w:val="-3"/>
          <w:w w:val="105"/>
          <w:sz w:val="21"/>
        </w:rPr>
        <w:t>for challenging </w:t>
      </w:r>
      <w:r>
        <w:rPr>
          <w:w w:val="105"/>
          <w:sz w:val="21"/>
        </w:rPr>
        <w:t>a </w:t>
      </w:r>
      <w:r>
        <w:rPr>
          <w:spacing w:val="-3"/>
          <w:w w:val="105"/>
          <w:sz w:val="21"/>
        </w:rPr>
        <w:t>will </w:t>
      </w:r>
      <w:r>
        <w:rPr>
          <w:w w:val="105"/>
          <w:sz w:val="21"/>
        </w:rPr>
        <w:t>is </w:t>
      </w:r>
      <w:r>
        <w:rPr>
          <w:spacing w:val="-3"/>
          <w:w w:val="105"/>
          <w:sz w:val="21"/>
        </w:rPr>
        <w:t>to claim that </w:t>
      </w:r>
      <w:r>
        <w:rPr>
          <w:w w:val="105"/>
          <w:sz w:val="21"/>
        </w:rPr>
        <w:t>it was </w:t>
      </w:r>
      <w:r>
        <w:rPr>
          <w:spacing w:val="-3"/>
          <w:w w:val="105"/>
          <w:sz w:val="21"/>
        </w:rPr>
        <w:t>brought </w:t>
      </w:r>
      <w:r>
        <w:rPr>
          <w:w w:val="105"/>
          <w:sz w:val="21"/>
        </w:rPr>
        <w:t>about by </w:t>
      </w:r>
      <w:r>
        <w:rPr>
          <w:spacing w:val="-3"/>
          <w:w w:val="105"/>
          <w:sz w:val="21"/>
        </w:rPr>
        <w:t>fraud </w:t>
      </w:r>
      <w:r>
        <w:rPr>
          <w:w w:val="105"/>
          <w:sz w:val="21"/>
        </w:rPr>
        <w:t>or </w:t>
      </w:r>
      <w:r>
        <w:rPr>
          <w:spacing w:val="-3"/>
          <w:w w:val="105"/>
          <w:sz w:val="21"/>
        </w:rPr>
        <w:t>that </w:t>
      </w:r>
      <w:r>
        <w:rPr>
          <w:w w:val="105"/>
          <w:sz w:val="21"/>
        </w:rPr>
        <w:t>it is a </w:t>
      </w:r>
      <w:r>
        <w:rPr>
          <w:spacing w:val="-3"/>
          <w:w w:val="105"/>
          <w:sz w:val="21"/>
        </w:rPr>
        <w:t>forgery. </w:t>
      </w:r>
      <w:r>
        <w:rPr>
          <w:w w:val="105"/>
          <w:sz w:val="21"/>
        </w:rPr>
        <w:t>In the case of </w:t>
      </w:r>
      <w:r>
        <w:rPr>
          <w:spacing w:val="-3"/>
          <w:w w:val="105"/>
          <w:sz w:val="21"/>
        </w:rPr>
        <w:t>fraud, </w:t>
      </w:r>
      <w:r>
        <w:rPr>
          <w:w w:val="105"/>
          <w:sz w:val="21"/>
        </w:rPr>
        <w:t>the person </w:t>
      </w:r>
      <w:r>
        <w:rPr>
          <w:spacing w:val="-3"/>
          <w:w w:val="105"/>
          <w:sz w:val="21"/>
        </w:rPr>
        <w:t>challenging </w:t>
      </w:r>
      <w:r>
        <w:rPr>
          <w:w w:val="105"/>
          <w:sz w:val="21"/>
        </w:rPr>
        <w:t>the </w:t>
      </w:r>
      <w:r>
        <w:rPr>
          <w:spacing w:val="-3"/>
          <w:w w:val="105"/>
          <w:sz w:val="21"/>
        </w:rPr>
        <w:t>will </w:t>
      </w:r>
      <w:r>
        <w:rPr>
          <w:w w:val="105"/>
          <w:sz w:val="21"/>
        </w:rPr>
        <w:t>must show </w:t>
      </w:r>
      <w:r>
        <w:rPr>
          <w:spacing w:val="-3"/>
          <w:w w:val="105"/>
          <w:sz w:val="21"/>
        </w:rPr>
        <w:t>that another </w:t>
      </w:r>
      <w:r>
        <w:rPr>
          <w:w w:val="105"/>
          <w:sz w:val="21"/>
        </w:rPr>
        <w:t>person deceived or misled the </w:t>
      </w:r>
      <w:r>
        <w:rPr>
          <w:spacing w:val="-5"/>
          <w:w w:val="105"/>
          <w:sz w:val="21"/>
        </w:rPr>
        <w:t>will-maker.</w:t>
      </w:r>
      <w:r>
        <w:rPr>
          <w:spacing w:val="-5"/>
          <w:w w:val="105"/>
          <w:position w:val="7"/>
          <w:sz w:val="12"/>
        </w:rPr>
        <w:t>159 </w:t>
      </w:r>
      <w:r>
        <w:rPr>
          <w:w w:val="105"/>
          <w:sz w:val="21"/>
        </w:rPr>
        <w:t>For </w:t>
      </w:r>
      <w:r>
        <w:rPr>
          <w:spacing w:val="-3"/>
          <w:w w:val="105"/>
          <w:sz w:val="21"/>
        </w:rPr>
        <w:t>example, </w:t>
      </w:r>
      <w:r>
        <w:rPr>
          <w:w w:val="105"/>
          <w:sz w:val="21"/>
        </w:rPr>
        <w:t>a person </w:t>
      </w:r>
      <w:r>
        <w:rPr>
          <w:spacing w:val="-3"/>
          <w:w w:val="105"/>
          <w:sz w:val="21"/>
        </w:rPr>
        <w:t>may encourage </w:t>
      </w:r>
      <w:r>
        <w:rPr>
          <w:w w:val="105"/>
          <w:sz w:val="21"/>
        </w:rPr>
        <w:t>the </w:t>
      </w:r>
      <w:r>
        <w:rPr>
          <w:spacing w:val="-3"/>
          <w:w w:val="105"/>
          <w:sz w:val="21"/>
        </w:rPr>
        <w:t>will-maker to take </w:t>
      </w:r>
      <w:r>
        <w:rPr>
          <w:w w:val="105"/>
          <w:sz w:val="21"/>
        </w:rPr>
        <w:t>a </w:t>
      </w:r>
      <w:r>
        <w:rPr>
          <w:spacing w:val="-3"/>
          <w:w w:val="105"/>
          <w:sz w:val="21"/>
        </w:rPr>
        <w:t>false </w:t>
      </w:r>
      <w:r>
        <w:rPr>
          <w:w w:val="105"/>
          <w:sz w:val="21"/>
        </w:rPr>
        <w:t>view of a </w:t>
      </w:r>
      <w:r>
        <w:rPr>
          <w:spacing w:val="-3"/>
          <w:w w:val="105"/>
          <w:sz w:val="21"/>
        </w:rPr>
        <w:t>potential </w:t>
      </w:r>
      <w:r>
        <w:rPr>
          <w:w w:val="105"/>
          <w:sz w:val="21"/>
        </w:rPr>
        <w:t>beneficiary or </w:t>
      </w:r>
      <w:r>
        <w:rPr>
          <w:spacing w:val="-3"/>
          <w:w w:val="105"/>
          <w:sz w:val="21"/>
        </w:rPr>
        <w:t>mislead </w:t>
      </w:r>
      <w:r>
        <w:rPr>
          <w:w w:val="105"/>
          <w:sz w:val="21"/>
        </w:rPr>
        <w:t>the </w:t>
      </w:r>
      <w:r>
        <w:rPr>
          <w:spacing w:val="-3"/>
          <w:w w:val="105"/>
          <w:sz w:val="21"/>
        </w:rPr>
        <w:t>will-maker </w:t>
      </w:r>
      <w:r>
        <w:rPr>
          <w:w w:val="105"/>
          <w:sz w:val="21"/>
        </w:rPr>
        <w:t>as </w:t>
      </w:r>
      <w:r>
        <w:rPr>
          <w:spacing w:val="-3"/>
          <w:w w:val="105"/>
          <w:sz w:val="21"/>
        </w:rPr>
        <w:t>to </w:t>
      </w:r>
      <w:r>
        <w:rPr>
          <w:w w:val="105"/>
          <w:sz w:val="21"/>
        </w:rPr>
        <w:t>the </w:t>
      </w:r>
      <w:r>
        <w:rPr>
          <w:spacing w:val="-3"/>
          <w:w w:val="105"/>
          <w:sz w:val="21"/>
        </w:rPr>
        <w:t>nature </w:t>
      </w:r>
      <w:r>
        <w:rPr>
          <w:w w:val="105"/>
          <w:sz w:val="21"/>
        </w:rPr>
        <w:t>of their </w:t>
      </w:r>
      <w:r>
        <w:rPr>
          <w:spacing w:val="-3"/>
          <w:w w:val="105"/>
          <w:sz w:val="21"/>
        </w:rPr>
        <w:t>relationship </w:t>
      </w:r>
      <w:r>
        <w:rPr>
          <w:w w:val="105"/>
          <w:sz w:val="21"/>
        </w:rPr>
        <w:t>with a person. </w:t>
      </w:r>
      <w:r>
        <w:rPr>
          <w:spacing w:val="-4"/>
          <w:w w:val="105"/>
          <w:sz w:val="21"/>
        </w:rPr>
        <w:t>Unlike </w:t>
      </w:r>
      <w:r>
        <w:rPr>
          <w:spacing w:val="-3"/>
          <w:w w:val="105"/>
          <w:sz w:val="21"/>
        </w:rPr>
        <w:t>undue influence, </w:t>
      </w:r>
      <w:r>
        <w:rPr>
          <w:w w:val="105"/>
          <w:sz w:val="21"/>
        </w:rPr>
        <w:t>the </w:t>
      </w:r>
      <w:r>
        <w:rPr>
          <w:spacing w:val="-3"/>
          <w:w w:val="105"/>
          <w:sz w:val="21"/>
        </w:rPr>
        <w:t>will-maker’s will </w:t>
      </w:r>
      <w:r>
        <w:rPr>
          <w:w w:val="105"/>
          <w:sz w:val="21"/>
        </w:rPr>
        <w:t>is </w:t>
      </w:r>
      <w:r>
        <w:rPr>
          <w:spacing w:val="-2"/>
          <w:w w:val="105"/>
          <w:sz w:val="21"/>
        </w:rPr>
        <w:t>not </w:t>
      </w:r>
      <w:r>
        <w:rPr>
          <w:w w:val="105"/>
          <w:sz w:val="21"/>
        </w:rPr>
        <w:t>overborne; </w:t>
      </w:r>
      <w:r>
        <w:rPr>
          <w:spacing w:val="-5"/>
          <w:w w:val="105"/>
          <w:sz w:val="21"/>
        </w:rPr>
        <w:t>rather, </w:t>
      </w:r>
      <w:r>
        <w:rPr>
          <w:w w:val="105"/>
          <w:sz w:val="21"/>
        </w:rPr>
        <w:t>the </w:t>
      </w:r>
      <w:r>
        <w:rPr>
          <w:spacing w:val="-3"/>
          <w:w w:val="105"/>
          <w:sz w:val="21"/>
        </w:rPr>
        <w:t>will-maker </w:t>
      </w:r>
      <w:r>
        <w:rPr>
          <w:w w:val="105"/>
          <w:sz w:val="21"/>
        </w:rPr>
        <w:t>is deceived or</w:t>
      </w:r>
      <w:r>
        <w:rPr>
          <w:spacing w:val="-17"/>
          <w:w w:val="105"/>
          <w:sz w:val="21"/>
        </w:rPr>
        <w:t> </w:t>
      </w:r>
      <w:r>
        <w:rPr>
          <w:spacing w:val="-4"/>
          <w:w w:val="105"/>
          <w:sz w:val="21"/>
        </w:rPr>
        <w:t>misled.</w:t>
      </w:r>
      <w:r>
        <w:rPr>
          <w:spacing w:val="-4"/>
          <w:w w:val="105"/>
          <w:position w:val="7"/>
          <w:sz w:val="12"/>
        </w:rPr>
        <w:t>160</w:t>
      </w:r>
    </w:p>
    <w:p>
      <w:pPr>
        <w:pStyle w:val="ListParagraph"/>
        <w:numPr>
          <w:ilvl w:val="1"/>
          <w:numId w:val="22"/>
        </w:numPr>
        <w:tabs>
          <w:tab w:pos="2381" w:val="left" w:leader="none"/>
          <w:tab w:pos="2382" w:val="left" w:leader="none"/>
        </w:tabs>
        <w:spacing w:line="242" w:lineRule="auto" w:before="127" w:after="0"/>
        <w:ind w:left="2381" w:right="1654" w:hanging="794"/>
        <w:jc w:val="left"/>
        <w:rPr>
          <w:sz w:val="12"/>
        </w:rPr>
      </w:pPr>
      <w:r>
        <w:rPr>
          <w:w w:val="105"/>
          <w:sz w:val="21"/>
        </w:rPr>
        <w:t>Where a person </w:t>
      </w:r>
      <w:r>
        <w:rPr>
          <w:spacing w:val="-3"/>
          <w:w w:val="105"/>
          <w:sz w:val="21"/>
        </w:rPr>
        <w:t>challenging </w:t>
      </w:r>
      <w:r>
        <w:rPr>
          <w:w w:val="105"/>
          <w:sz w:val="21"/>
        </w:rPr>
        <w:t>a </w:t>
      </w:r>
      <w:r>
        <w:rPr>
          <w:spacing w:val="-3"/>
          <w:w w:val="105"/>
          <w:sz w:val="21"/>
        </w:rPr>
        <w:t>will </w:t>
      </w:r>
      <w:r>
        <w:rPr>
          <w:spacing w:val="-2"/>
          <w:w w:val="105"/>
          <w:sz w:val="21"/>
        </w:rPr>
        <w:t>raises </w:t>
      </w:r>
      <w:r>
        <w:rPr>
          <w:w w:val="105"/>
          <w:sz w:val="21"/>
        </w:rPr>
        <w:t>the possibility </w:t>
      </w:r>
      <w:r>
        <w:rPr>
          <w:spacing w:val="-3"/>
          <w:w w:val="105"/>
          <w:sz w:val="21"/>
        </w:rPr>
        <w:t>that </w:t>
      </w:r>
      <w:r>
        <w:rPr>
          <w:w w:val="105"/>
          <w:sz w:val="21"/>
        </w:rPr>
        <w:t>the </w:t>
      </w:r>
      <w:r>
        <w:rPr>
          <w:spacing w:val="-3"/>
          <w:w w:val="105"/>
          <w:sz w:val="21"/>
        </w:rPr>
        <w:t>will </w:t>
      </w:r>
      <w:r>
        <w:rPr>
          <w:w w:val="105"/>
          <w:sz w:val="21"/>
        </w:rPr>
        <w:t>is a </w:t>
      </w:r>
      <w:r>
        <w:rPr>
          <w:spacing w:val="-3"/>
          <w:w w:val="105"/>
          <w:sz w:val="21"/>
        </w:rPr>
        <w:t>forgery, </w:t>
      </w:r>
      <w:r>
        <w:rPr>
          <w:w w:val="105"/>
          <w:sz w:val="21"/>
        </w:rPr>
        <w:t>the </w:t>
      </w:r>
      <w:r>
        <w:rPr>
          <w:spacing w:val="-3"/>
          <w:w w:val="105"/>
          <w:sz w:val="21"/>
        </w:rPr>
        <w:t>Court </w:t>
      </w:r>
      <w:r>
        <w:rPr>
          <w:w w:val="105"/>
          <w:sz w:val="21"/>
        </w:rPr>
        <w:t>must</w:t>
      </w:r>
      <w:r>
        <w:rPr>
          <w:spacing w:val="-4"/>
          <w:w w:val="105"/>
          <w:sz w:val="21"/>
        </w:rPr>
        <w:t> </w:t>
      </w:r>
      <w:r>
        <w:rPr>
          <w:w w:val="105"/>
          <w:sz w:val="21"/>
        </w:rPr>
        <w:t>be</w:t>
      </w:r>
      <w:r>
        <w:rPr>
          <w:spacing w:val="-3"/>
          <w:w w:val="105"/>
          <w:sz w:val="21"/>
        </w:rPr>
        <w:t> </w:t>
      </w:r>
      <w:r>
        <w:rPr>
          <w:w w:val="105"/>
          <w:sz w:val="21"/>
        </w:rPr>
        <w:t>satisfied</w:t>
      </w:r>
      <w:r>
        <w:rPr>
          <w:spacing w:val="-3"/>
          <w:w w:val="105"/>
          <w:sz w:val="21"/>
        </w:rPr>
        <w:t> that </w:t>
      </w:r>
      <w:r>
        <w:rPr>
          <w:w w:val="105"/>
          <w:sz w:val="21"/>
        </w:rPr>
        <w:t>the</w:t>
      </w:r>
      <w:r>
        <w:rPr>
          <w:spacing w:val="-3"/>
          <w:w w:val="105"/>
          <w:sz w:val="21"/>
        </w:rPr>
        <w:t> </w:t>
      </w:r>
      <w:r>
        <w:rPr>
          <w:w w:val="105"/>
          <w:sz w:val="21"/>
        </w:rPr>
        <w:t>document</w:t>
      </w:r>
      <w:r>
        <w:rPr>
          <w:spacing w:val="-3"/>
          <w:w w:val="105"/>
          <w:sz w:val="21"/>
        </w:rPr>
        <w:t> </w:t>
      </w:r>
      <w:r>
        <w:rPr>
          <w:w w:val="105"/>
          <w:sz w:val="21"/>
        </w:rPr>
        <w:t>is</w:t>
      </w:r>
      <w:r>
        <w:rPr>
          <w:spacing w:val="-3"/>
          <w:w w:val="105"/>
          <w:sz w:val="21"/>
        </w:rPr>
        <w:t> </w:t>
      </w:r>
      <w:r>
        <w:rPr>
          <w:spacing w:val="-2"/>
          <w:w w:val="105"/>
          <w:sz w:val="21"/>
        </w:rPr>
        <w:t>not</w:t>
      </w:r>
      <w:r>
        <w:rPr>
          <w:spacing w:val="-3"/>
          <w:w w:val="105"/>
          <w:sz w:val="21"/>
        </w:rPr>
        <w:t> </w:t>
      </w:r>
      <w:r>
        <w:rPr>
          <w:w w:val="105"/>
          <w:sz w:val="21"/>
        </w:rPr>
        <w:t>a</w:t>
      </w:r>
      <w:r>
        <w:rPr>
          <w:spacing w:val="-3"/>
          <w:w w:val="105"/>
          <w:sz w:val="21"/>
        </w:rPr>
        <w:t> </w:t>
      </w:r>
      <w:r>
        <w:rPr>
          <w:w w:val="105"/>
          <w:sz w:val="21"/>
        </w:rPr>
        <w:t>forgery</w:t>
      </w:r>
      <w:r>
        <w:rPr>
          <w:spacing w:val="-3"/>
          <w:w w:val="105"/>
          <w:sz w:val="21"/>
        </w:rPr>
        <w:t> </w:t>
      </w:r>
      <w:r>
        <w:rPr>
          <w:w w:val="105"/>
          <w:sz w:val="21"/>
        </w:rPr>
        <w:t>and</w:t>
      </w:r>
      <w:r>
        <w:rPr>
          <w:spacing w:val="-3"/>
          <w:w w:val="105"/>
          <w:sz w:val="21"/>
        </w:rPr>
        <w:t> </w:t>
      </w:r>
      <w:r>
        <w:rPr>
          <w:w w:val="105"/>
          <w:sz w:val="21"/>
        </w:rPr>
        <w:t>was</w:t>
      </w:r>
      <w:r>
        <w:rPr>
          <w:spacing w:val="-3"/>
          <w:w w:val="105"/>
          <w:sz w:val="21"/>
        </w:rPr>
        <w:t> </w:t>
      </w:r>
      <w:r>
        <w:rPr>
          <w:w w:val="105"/>
          <w:sz w:val="21"/>
        </w:rPr>
        <w:t>signed</w:t>
      </w:r>
      <w:r>
        <w:rPr>
          <w:spacing w:val="-3"/>
          <w:w w:val="105"/>
          <w:sz w:val="21"/>
        </w:rPr>
        <w:t> </w:t>
      </w:r>
      <w:r>
        <w:rPr>
          <w:w w:val="105"/>
          <w:sz w:val="21"/>
        </w:rPr>
        <w:t>by</w:t>
      </w:r>
      <w:r>
        <w:rPr>
          <w:spacing w:val="-3"/>
          <w:w w:val="105"/>
          <w:sz w:val="21"/>
        </w:rPr>
        <w:t> </w:t>
      </w:r>
      <w:r>
        <w:rPr>
          <w:w w:val="105"/>
          <w:sz w:val="21"/>
        </w:rPr>
        <w:t>the</w:t>
      </w:r>
      <w:r>
        <w:rPr>
          <w:spacing w:val="-3"/>
          <w:w w:val="105"/>
          <w:sz w:val="21"/>
        </w:rPr>
        <w:t> </w:t>
      </w:r>
      <w:r>
        <w:rPr>
          <w:spacing w:val="-6"/>
          <w:w w:val="105"/>
          <w:sz w:val="21"/>
        </w:rPr>
        <w:t>will-maker.</w:t>
      </w:r>
      <w:r>
        <w:rPr>
          <w:spacing w:val="-6"/>
          <w:w w:val="105"/>
          <w:position w:val="7"/>
          <w:sz w:val="12"/>
        </w:rPr>
        <w:t>161</w:t>
      </w:r>
    </w:p>
    <w:p>
      <w:pPr>
        <w:pStyle w:val="ListParagraph"/>
        <w:numPr>
          <w:ilvl w:val="1"/>
          <w:numId w:val="22"/>
        </w:numPr>
        <w:tabs>
          <w:tab w:pos="2380" w:val="left" w:leader="none"/>
          <w:tab w:pos="2382" w:val="left" w:leader="none"/>
        </w:tabs>
        <w:spacing w:line="242" w:lineRule="auto" w:before="122" w:after="0"/>
        <w:ind w:left="2381" w:right="2009" w:hanging="794"/>
        <w:jc w:val="left"/>
        <w:rPr>
          <w:sz w:val="12"/>
        </w:rPr>
      </w:pPr>
      <w:r>
        <w:rPr>
          <w:spacing w:val="-3"/>
          <w:w w:val="105"/>
          <w:sz w:val="21"/>
        </w:rPr>
        <w:t>Submissions</w:t>
      </w:r>
      <w:r>
        <w:rPr>
          <w:spacing w:val="-9"/>
          <w:w w:val="105"/>
          <w:sz w:val="21"/>
        </w:rPr>
        <w:t> </w:t>
      </w:r>
      <w:r>
        <w:rPr>
          <w:spacing w:val="-3"/>
          <w:w w:val="105"/>
          <w:sz w:val="21"/>
        </w:rPr>
        <w:t>that</w:t>
      </w:r>
      <w:r>
        <w:rPr>
          <w:spacing w:val="-8"/>
          <w:w w:val="105"/>
          <w:sz w:val="21"/>
        </w:rPr>
        <w:t> </w:t>
      </w:r>
      <w:r>
        <w:rPr>
          <w:w w:val="105"/>
          <w:sz w:val="21"/>
        </w:rPr>
        <w:t>addressed</w:t>
      </w:r>
      <w:r>
        <w:rPr>
          <w:spacing w:val="-8"/>
          <w:w w:val="105"/>
          <w:sz w:val="21"/>
        </w:rPr>
        <w:t> </w:t>
      </w:r>
      <w:r>
        <w:rPr>
          <w:w w:val="105"/>
          <w:sz w:val="21"/>
        </w:rPr>
        <w:t>this</w:t>
      </w:r>
      <w:r>
        <w:rPr>
          <w:spacing w:val="-8"/>
          <w:w w:val="105"/>
          <w:sz w:val="21"/>
        </w:rPr>
        <w:t> </w:t>
      </w:r>
      <w:r>
        <w:rPr>
          <w:w w:val="105"/>
          <w:sz w:val="21"/>
        </w:rPr>
        <w:t>issue</w:t>
      </w:r>
      <w:r>
        <w:rPr>
          <w:spacing w:val="-8"/>
          <w:w w:val="105"/>
          <w:sz w:val="21"/>
        </w:rPr>
        <w:t> </w:t>
      </w:r>
      <w:r>
        <w:rPr>
          <w:spacing w:val="-3"/>
          <w:w w:val="105"/>
          <w:sz w:val="21"/>
        </w:rPr>
        <w:t>generally</w:t>
      </w:r>
      <w:r>
        <w:rPr>
          <w:spacing w:val="-8"/>
          <w:w w:val="105"/>
          <w:sz w:val="21"/>
        </w:rPr>
        <w:t> </w:t>
      </w:r>
      <w:r>
        <w:rPr>
          <w:w w:val="105"/>
          <w:sz w:val="21"/>
        </w:rPr>
        <w:t>agreed</w:t>
      </w:r>
      <w:r>
        <w:rPr>
          <w:spacing w:val="-8"/>
          <w:w w:val="105"/>
          <w:sz w:val="21"/>
        </w:rPr>
        <w:t> </w:t>
      </w:r>
      <w:r>
        <w:rPr>
          <w:spacing w:val="-3"/>
          <w:w w:val="105"/>
          <w:sz w:val="21"/>
        </w:rPr>
        <w:t>that</w:t>
      </w:r>
      <w:r>
        <w:rPr>
          <w:spacing w:val="-8"/>
          <w:w w:val="105"/>
          <w:sz w:val="21"/>
        </w:rPr>
        <w:t> </w:t>
      </w:r>
      <w:r>
        <w:rPr>
          <w:w w:val="105"/>
          <w:sz w:val="21"/>
        </w:rPr>
        <w:t>these</w:t>
      </w:r>
      <w:r>
        <w:rPr>
          <w:spacing w:val="-8"/>
          <w:w w:val="105"/>
          <w:sz w:val="21"/>
        </w:rPr>
        <w:t> </w:t>
      </w:r>
      <w:r>
        <w:rPr>
          <w:spacing w:val="-3"/>
          <w:w w:val="105"/>
          <w:sz w:val="21"/>
        </w:rPr>
        <w:t>areas</w:t>
      </w:r>
      <w:r>
        <w:rPr>
          <w:spacing w:val="-8"/>
          <w:w w:val="105"/>
          <w:sz w:val="21"/>
        </w:rPr>
        <w:t> </w:t>
      </w:r>
      <w:r>
        <w:rPr>
          <w:w w:val="105"/>
          <w:sz w:val="21"/>
        </w:rPr>
        <w:t>of</w:t>
      </w:r>
      <w:r>
        <w:rPr>
          <w:spacing w:val="-8"/>
          <w:w w:val="105"/>
          <w:sz w:val="21"/>
        </w:rPr>
        <w:t> </w:t>
      </w:r>
      <w:r>
        <w:rPr>
          <w:w w:val="105"/>
          <w:sz w:val="21"/>
        </w:rPr>
        <w:t>the</w:t>
      </w:r>
      <w:r>
        <w:rPr>
          <w:spacing w:val="-8"/>
          <w:w w:val="105"/>
          <w:sz w:val="21"/>
        </w:rPr>
        <w:t> </w:t>
      </w:r>
      <w:r>
        <w:rPr>
          <w:w w:val="105"/>
          <w:sz w:val="21"/>
        </w:rPr>
        <w:t>law</w:t>
      </w:r>
      <w:r>
        <w:rPr>
          <w:spacing w:val="-8"/>
          <w:w w:val="105"/>
          <w:sz w:val="21"/>
        </w:rPr>
        <w:t> </w:t>
      </w:r>
      <w:r>
        <w:rPr>
          <w:spacing w:val="-3"/>
          <w:w w:val="105"/>
          <w:sz w:val="21"/>
        </w:rPr>
        <w:t>are well </w:t>
      </w:r>
      <w:r>
        <w:rPr>
          <w:w w:val="105"/>
          <w:sz w:val="21"/>
        </w:rPr>
        <w:t>settled and do </w:t>
      </w:r>
      <w:r>
        <w:rPr>
          <w:spacing w:val="-2"/>
          <w:w w:val="105"/>
          <w:sz w:val="21"/>
        </w:rPr>
        <w:t>not </w:t>
      </w:r>
      <w:r>
        <w:rPr>
          <w:spacing w:val="-3"/>
          <w:w w:val="105"/>
          <w:sz w:val="21"/>
        </w:rPr>
        <w:t>require any</w:t>
      </w:r>
      <w:r>
        <w:rPr>
          <w:spacing w:val="43"/>
          <w:w w:val="105"/>
          <w:sz w:val="21"/>
        </w:rPr>
        <w:t> </w:t>
      </w:r>
      <w:r>
        <w:rPr>
          <w:spacing w:val="-5"/>
          <w:w w:val="105"/>
          <w:sz w:val="21"/>
        </w:rPr>
        <w:t>change.</w:t>
      </w:r>
      <w:r>
        <w:rPr>
          <w:spacing w:val="-5"/>
          <w:w w:val="105"/>
          <w:position w:val="7"/>
          <w:sz w:val="12"/>
        </w:rPr>
        <w:t>162</w:t>
      </w:r>
    </w:p>
    <w:p>
      <w:pPr>
        <w:pStyle w:val="ListParagraph"/>
        <w:numPr>
          <w:ilvl w:val="1"/>
          <w:numId w:val="22"/>
        </w:numPr>
        <w:tabs>
          <w:tab w:pos="2381" w:val="left" w:leader="none"/>
          <w:tab w:pos="2382" w:val="left" w:leader="none"/>
        </w:tabs>
        <w:spacing w:line="242" w:lineRule="auto" w:before="122" w:after="0"/>
        <w:ind w:left="2381" w:right="1880" w:hanging="794"/>
        <w:jc w:val="left"/>
        <w:rPr>
          <w:sz w:val="21"/>
        </w:rPr>
      </w:pPr>
      <w:r>
        <w:rPr>
          <w:w w:val="105"/>
          <w:sz w:val="21"/>
        </w:rPr>
        <w:t>The </w:t>
      </w:r>
      <w:r>
        <w:rPr>
          <w:spacing w:val="-3"/>
          <w:w w:val="105"/>
          <w:sz w:val="21"/>
        </w:rPr>
        <w:t>Commission </w:t>
      </w:r>
      <w:r>
        <w:rPr>
          <w:w w:val="105"/>
          <w:sz w:val="21"/>
        </w:rPr>
        <w:t>agrees </w:t>
      </w:r>
      <w:r>
        <w:rPr>
          <w:spacing w:val="-3"/>
          <w:w w:val="105"/>
          <w:sz w:val="21"/>
        </w:rPr>
        <w:t>that </w:t>
      </w:r>
      <w:r>
        <w:rPr>
          <w:w w:val="105"/>
          <w:sz w:val="21"/>
        </w:rPr>
        <w:t>no </w:t>
      </w:r>
      <w:r>
        <w:rPr>
          <w:spacing w:val="-3"/>
          <w:w w:val="105"/>
          <w:sz w:val="21"/>
        </w:rPr>
        <w:t>changes to </w:t>
      </w:r>
      <w:r>
        <w:rPr>
          <w:w w:val="105"/>
          <w:sz w:val="21"/>
        </w:rPr>
        <w:t>these </w:t>
      </w:r>
      <w:r>
        <w:rPr>
          <w:spacing w:val="-3"/>
          <w:w w:val="105"/>
          <w:sz w:val="21"/>
        </w:rPr>
        <w:t>areas </w:t>
      </w:r>
      <w:r>
        <w:rPr>
          <w:w w:val="105"/>
          <w:sz w:val="21"/>
        </w:rPr>
        <w:t>of law </w:t>
      </w:r>
      <w:r>
        <w:rPr>
          <w:spacing w:val="-3"/>
          <w:w w:val="105"/>
          <w:sz w:val="21"/>
        </w:rPr>
        <w:t>are </w:t>
      </w:r>
      <w:r>
        <w:rPr>
          <w:w w:val="105"/>
          <w:sz w:val="21"/>
        </w:rPr>
        <w:t>necessary </w:t>
      </w:r>
      <w:r>
        <w:rPr>
          <w:spacing w:val="-3"/>
          <w:w w:val="105"/>
          <w:sz w:val="21"/>
        </w:rPr>
        <w:t>to </w:t>
      </w:r>
      <w:r>
        <w:rPr>
          <w:w w:val="105"/>
          <w:sz w:val="21"/>
        </w:rPr>
        <w:t>provide better protection </w:t>
      </w:r>
      <w:r>
        <w:rPr>
          <w:spacing w:val="-3"/>
          <w:w w:val="105"/>
          <w:sz w:val="21"/>
        </w:rPr>
        <w:t>for </w:t>
      </w:r>
      <w:r>
        <w:rPr>
          <w:w w:val="105"/>
          <w:sz w:val="21"/>
        </w:rPr>
        <w:t>older and </w:t>
      </w:r>
      <w:r>
        <w:rPr>
          <w:spacing w:val="-3"/>
          <w:w w:val="105"/>
          <w:sz w:val="21"/>
        </w:rPr>
        <w:t>vulnerable </w:t>
      </w:r>
      <w:r>
        <w:rPr>
          <w:w w:val="105"/>
          <w:sz w:val="21"/>
        </w:rPr>
        <w:t>will-makers </w:t>
      </w:r>
      <w:r>
        <w:rPr>
          <w:spacing w:val="-3"/>
          <w:w w:val="105"/>
          <w:sz w:val="21"/>
        </w:rPr>
        <w:t>from undue</w:t>
      </w:r>
      <w:r>
        <w:rPr>
          <w:spacing w:val="5"/>
          <w:w w:val="105"/>
          <w:sz w:val="21"/>
        </w:rPr>
        <w:t> </w:t>
      </w:r>
      <w:r>
        <w:rPr>
          <w:spacing w:val="-3"/>
          <w:w w:val="105"/>
          <w:sz w:val="21"/>
        </w:rPr>
        <w:t>influence.</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0"/>
        </w:rPr>
      </w:pPr>
      <w:r>
        <w:rPr/>
        <w:pict>
          <v:line style="position:absolute;mso-position-horizontal-relative:page;mso-position-vertical-relative:paragraph;z-index:632;mso-wrap-distance-left:0;mso-wrap-distance-right:0" from="79.370102pt,15.156162pt" to="515.905102pt,15.156162pt" stroked="true" strokeweight="1pt" strokecolor="#f9ceca">
            <v:stroke dashstyle="solid"/>
            <w10:wrap type="topAndBottom"/>
          </v:line>
        </w:pict>
      </w:r>
    </w:p>
    <w:p>
      <w:pPr>
        <w:pStyle w:val="ListParagraph"/>
        <w:numPr>
          <w:ilvl w:val="0"/>
          <w:numId w:val="30"/>
        </w:numPr>
        <w:tabs>
          <w:tab w:pos="2380" w:val="left" w:leader="none"/>
          <w:tab w:pos="2382" w:val="left" w:leader="none"/>
        </w:tabs>
        <w:spacing w:line="240" w:lineRule="auto" w:before="117" w:after="0"/>
        <w:ind w:left="2381" w:right="1597" w:hanging="794"/>
        <w:jc w:val="left"/>
        <w:rPr>
          <w:sz w:val="13"/>
        </w:rPr>
      </w:pPr>
      <w:r>
        <w:rPr>
          <w:w w:val="105"/>
          <w:sz w:val="13"/>
        </w:rPr>
        <w:t>Ibid; </w:t>
      </w:r>
      <w:r>
        <w:rPr>
          <w:i/>
          <w:w w:val="105"/>
          <w:sz w:val="13"/>
        </w:rPr>
        <w:t>Carney v Hall </w:t>
      </w:r>
      <w:r>
        <w:rPr>
          <w:spacing w:val="-3"/>
          <w:w w:val="105"/>
          <w:sz w:val="13"/>
        </w:rPr>
        <w:t>[2011]  </w:t>
      </w:r>
      <w:r>
        <w:rPr>
          <w:w w:val="105"/>
          <w:sz w:val="13"/>
        </w:rPr>
        <w:t>SASC 207 (30 November </w:t>
      </w:r>
      <w:r>
        <w:rPr>
          <w:spacing w:val="-4"/>
          <w:w w:val="105"/>
          <w:sz w:val="13"/>
        </w:rPr>
        <w:t>2011)  </w:t>
      </w:r>
      <w:r>
        <w:rPr>
          <w:w w:val="105"/>
          <w:sz w:val="13"/>
        </w:rPr>
        <w:t>[13]; </w:t>
      </w:r>
      <w:r>
        <w:rPr>
          <w:i/>
          <w:w w:val="105"/>
          <w:sz w:val="13"/>
        </w:rPr>
        <w:t>Able Australia Services v Yammas </w:t>
      </w:r>
      <w:r>
        <w:rPr>
          <w:w w:val="105"/>
          <w:sz w:val="13"/>
        </w:rPr>
        <w:t>[2010] VSC 237 (3 June 2010) [7]; </w:t>
      </w:r>
      <w:r>
        <w:rPr>
          <w:i/>
          <w:w w:val="105"/>
          <w:sz w:val="13"/>
        </w:rPr>
        <w:t>Nicholson     </w:t>
      </w:r>
      <w:r>
        <w:rPr>
          <w:i/>
          <w:w w:val="105"/>
          <w:sz w:val="13"/>
        </w:rPr>
        <w:t>v</w:t>
      </w:r>
      <w:r>
        <w:rPr>
          <w:i/>
          <w:spacing w:val="4"/>
          <w:w w:val="105"/>
          <w:sz w:val="13"/>
        </w:rPr>
        <w:t> </w:t>
      </w:r>
      <w:r>
        <w:rPr>
          <w:i/>
          <w:w w:val="105"/>
          <w:sz w:val="13"/>
        </w:rPr>
        <w:t>Knaggs</w:t>
      </w:r>
      <w:r>
        <w:rPr>
          <w:i/>
          <w:spacing w:val="6"/>
          <w:w w:val="105"/>
          <w:sz w:val="13"/>
        </w:rPr>
        <w:t> </w:t>
      </w:r>
      <w:r>
        <w:rPr>
          <w:spacing w:val="2"/>
          <w:w w:val="105"/>
          <w:sz w:val="13"/>
        </w:rPr>
        <w:t>[2009]</w:t>
      </w:r>
      <w:r>
        <w:rPr>
          <w:spacing w:val="6"/>
          <w:w w:val="105"/>
          <w:sz w:val="13"/>
        </w:rPr>
        <w:t> </w:t>
      </w:r>
      <w:r>
        <w:rPr>
          <w:w w:val="105"/>
          <w:sz w:val="13"/>
        </w:rPr>
        <w:t>VSC</w:t>
      </w:r>
      <w:r>
        <w:rPr>
          <w:spacing w:val="6"/>
          <w:w w:val="105"/>
          <w:sz w:val="13"/>
        </w:rPr>
        <w:t> </w:t>
      </w:r>
      <w:r>
        <w:rPr>
          <w:spacing w:val="2"/>
          <w:w w:val="105"/>
          <w:sz w:val="13"/>
        </w:rPr>
        <w:t>64</w:t>
      </w:r>
      <w:r>
        <w:rPr>
          <w:spacing w:val="6"/>
          <w:w w:val="105"/>
          <w:sz w:val="13"/>
        </w:rPr>
        <w:t> </w:t>
      </w:r>
      <w:r>
        <w:rPr>
          <w:w w:val="105"/>
          <w:sz w:val="13"/>
        </w:rPr>
        <w:t>(27</w:t>
      </w:r>
      <w:r>
        <w:rPr>
          <w:spacing w:val="5"/>
          <w:w w:val="105"/>
          <w:sz w:val="13"/>
        </w:rPr>
        <w:t> </w:t>
      </w:r>
      <w:r>
        <w:rPr>
          <w:w w:val="105"/>
          <w:sz w:val="13"/>
        </w:rPr>
        <w:t>February</w:t>
      </w:r>
      <w:r>
        <w:rPr>
          <w:spacing w:val="6"/>
          <w:w w:val="105"/>
          <w:sz w:val="13"/>
        </w:rPr>
        <w:t> </w:t>
      </w:r>
      <w:r>
        <w:rPr>
          <w:spacing w:val="2"/>
          <w:w w:val="105"/>
          <w:sz w:val="13"/>
        </w:rPr>
        <w:t>2009)</w:t>
      </w:r>
      <w:r>
        <w:rPr>
          <w:spacing w:val="6"/>
          <w:w w:val="105"/>
          <w:sz w:val="13"/>
        </w:rPr>
        <w:t> </w:t>
      </w:r>
      <w:r>
        <w:rPr>
          <w:w w:val="105"/>
          <w:sz w:val="13"/>
        </w:rPr>
        <w:t>[152];</w:t>
      </w:r>
      <w:r>
        <w:rPr>
          <w:spacing w:val="6"/>
          <w:w w:val="105"/>
          <w:sz w:val="13"/>
        </w:rPr>
        <w:t> </w:t>
      </w:r>
      <w:r>
        <w:rPr>
          <w:i/>
          <w:w w:val="105"/>
          <w:sz w:val="13"/>
        </w:rPr>
        <w:t>Brown</w:t>
      </w:r>
      <w:r>
        <w:rPr>
          <w:i/>
          <w:spacing w:val="5"/>
          <w:w w:val="105"/>
          <w:sz w:val="13"/>
        </w:rPr>
        <w:t> </w:t>
      </w:r>
      <w:r>
        <w:rPr>
          <w:i/>
          <w:w w:val="105"/>
          <w:sz w:val="13"/>
        </w:rPr>
        <w:t>v</w:t>
      </w:r>
      <w:r>
        <w:rPr>
          <w:i/>
          <w:spacing w:val="5"/>
          <w:w w:val="105"/>
          <w:sz w:val="13"/>
        </w:rPr>
        <w:t> </w:t>
      </w:r>
      <w:r>
        <w:rPr>
          <w:i/>
          <w:w w:val="105"/>
          <w:sz w:val="13"/>
        </w:rPr>
        <w:t>Wade</w:t>
      </w:r>
      <w:r>
        <w:rPr>
          <w:i/>
          <w:spacing w:val="5"/>
          <w:w w:val="105"/>
          <w:sz w:val="13"/>
        </w:rPr>
        <w:t> </w:t>
      </w:r>
      <w:r>
        <w:rPr>
          <w:w w:val="105"/>
          <w:sz w:val="13"/>
        </w:rPr>
        <w:t>[2010]</w:t>
      </w:r>
      <w:r>
        <w:rPr>
          <w:spacing w:val="6"/>
          <w:w w:val="105"/>
          <w:sz w:val="13"/>
        </w:rPr>
        <w:t> </w:t>
      </w:r>
      <w:r>
        <w:rPr>
          <w:w w:val="105"/>
          <w:sz w:val="13"/>
        </w:rPr>
        <w:t>WASC</w:t>
      </w:r>
      <w:r>
        <w:rPr>
          <w:spacing w:val="6"/>
          <w:w w:val="105"/>
          <w:sz w:val="13"/>
        </w:rPr>
        <w:t> </w:t>
      </w:r>
      <w:r>
        <w:rPr>
          <w:w w:val="105"/>
          <w:sz w:val="13"/>
        </w:rPr>
        <w:t>367</w:t>
      </w:r>
      <w:r>
        <w:rPr>
          <w:spacing w:val="6"/>
          <w:w w:val="105"/>
          <w:sz w:val="13"/>
        </w:rPr>
        <w:t> </w:t>
      </w:r>
      <w:r>
        <w:rPr>
          <w:spacing w:val="2"/>
          <w:w w:val="105"/>
          <w:sz w:val="13"/>
        </w:rPr>
        <w:t>(9</w:t>
      </w:r>
      <w:r>
        <w:rPr>
          <w:spacing w:val="6"/>
          <w:w w:val="105"/>
          <w:sz w:val="13"/>
        </w:rPr>
        <w:t> </w:t>
      </w:r>
      <w:r>
        <w:rPr>
          <w:w w:val="105"/>
          <w:sz w:val="13"/>
        </w:rPr>
        <w:t>December</w:t>
      </w:r>
      <w:r>
        <w:rPr>
          <w:spacing w:val="5"/>
          <w:w w:val="105"/>
          <w:sz w:val="13"/>
        </w:rPr>
        <w:t> </w:t>
      </w:r>
      <w:r>
        <w:rPr>
          <w:w w:val="105"/>
          <w:sz w:val="13"/>
        </w:rPr>
        <w:t>2010)</w:t>
      </w:r>
      <w:r>
        <w:rPr>
          <w:spacing w:val="6"/>
          <w:w w:val="105"/>
          <w:sz w:val="13"/>
        </w:rPr>
        <w:t> </w:t>
      </w:r>
      <w:r>
        <w:rPr>
          <w:w w:val="105"/>
          <w:sz w:val="13"/>
        </w:rPr>
        <w:t>[321].</w:t>
      </w:r>
    </w:p>
    <w:p>
      <w:pPr>
        <w:pStyle w:val="ListParagraph"/>
        <w:numPr>
          <w:ilvl w:val="0"/>
          <w:numId w:val="30"/>
        </w:numPr>
        <w:tabs>
          <w:tab w:pos="2381" w:val="left" w:leader="none"/>
          <w:tab w:pos="2382" w:val="left" w:leader="none"/>
        </w:tabs>
        <w:spacing w:line="240" w:lineRule="auto" w:before="3" w:after="0"/>
        <w:ind w:left="2381" w:right="0" w:hanging="794"/>
        <w:jc w:val="left"/>
        <w:rPr>
          <w:sz w:val="13"/>
        </w:rPr>
      </w:pPr>
      <w:r>
        <w:rPr>
          <w:i/>
          <w:spacing w:val="-3"/>
          <w:w w:val="105"/>
          <w:sz w:val="13"/>
        </w:rPr>
        <w:t>Tonkiss </w:t>
      </w:r>
      <w:r>
        <w:rPr>
          <w:i/>
          <w:w w:val="105"/>
          <w:sz w:val="13"/>
        </w:rPr>
        <w:t>v Graham </w:t>
      </w:r>
      <w:r>
        <w:rPr>
          <w:w w:val="105"/>
          <w:sz w:val="13"/>
        </w:rPr>
        <w:t>[2002] NSWSC 891 (4 October 2002) [104]; </w:t>
      </w:r>
      <w:r>
        <w:rPr>
          <w:i/>
          <w:w w:val="105"/>
          <w:sz w:val="13"/>
        </w:rPr>
        <w:t>Re Emanuel </w:t>
      </w:r>
      <w:r>
        <w:rPr>
          <w:spacing w:val="-4"/>
          <w:w w:val="105"/>
          <w:sz w:val="13"/>
        </w:rPr>
        <w:t>[1981] </w:t>
      </w:r>
      <w:r>
        <w:rPr>
          <w:w w:val="105"/>
          <w:sz w:val="13"/>
        </w:rPr>
        <w:t>VR </w:t>
      </w:r>
      <w:r>
        <w:rPr>
          <w:spacing w:val="-6"/>
          <w:w w:val="105"/>
          <w:sz w:val="13"/>
        </w:rPr>
        <w:t>113; </w:t>
      </w:r>
      <w:r>
        <w:rPr>
          <w:i/>
          <w:w w:val="105"/>
          <w:sz w:val="13"/>
        </w:rPr>
        <w:t>Miller v Miller </w:t>
      </w:r>
      <w:r>
        <w:rPr>
          <w:w w:val="105"/>
          <w:sz w:val="13"/>
        </w:rPr>
        <w:t>[2000] NSWSC 767 (2 August 2000)</w:t>
      </w:r>
      <w:r>
        <w:rPr>
          <w:spacing w:val="-3"/>
          <w:w w:val="105"/>
          <w:sz w:val="13"/>
        </w:rPr>
        <w:t> </w:t>
      </w:r>
      <w:r>
        <w:rPr>
          <w:w w:val="105"/>
          <w:sz w:val="13"/>
        </w:rPr>
        <w:t>[33].</w:t>
      </w:r>
    </w:p>
    <w:p>
      <w:pPr>
        <w:pStyle w:val="ListParagraph"/>
        <w:numPr>
          <w:ilvl w:val="0"/>
          <w:numId w:val="30"/>
        </w:numPr>
        <w:tabs>
          <w:tab w:pos="2380" w:val="left" w:leader="none"/>
          <w:tab w:pos="2382" w:val="left" w:leader="none"/>
        </w:tabs>
        <w:spacing w:line="240" w:lineRule="auto" w:before="1" w:after="0"/>
        <w:ind w:left="2381" w:right="1632" w:hanging="794"/>
        <w:jc w:val="left"/>
        <w:rPr>
          <w:sz w:val="13"/>
        </w:rPr>
      </w:pPr>
      <w:r>
        <w:rPr>
          <w:i/>
          <w:w w:val="105"/>
          <w:sz w:val="13"/>
        </w:rPr>
        <w:t>Nock v Austin </w:t>
      </w:r>
      <w:r>
        <w:rPr>
          <w:w w:val="105"/>
          <w:sz w:val="13"/>
        </w:rPr>
        <w:t>(1918) 25 CLR 519; </w:t>
      </w:r>
      <w:r>
        <w:rPr>
          <w:i/>
          <w:w w:val="105"/>
          <w:sz w:val="13"/>
        </w:rPr>
        <w:t>Re Emanuel </w:t>
      </w:r>
      <w:r>
        <w:rPr>
          <w:w w:val="105"/>
          <w:sz w:val="13"/>
        </w:rPr>
        <w:t>[1981] VR </w:t>
      </w:r>
      <w:r>
        <w:rPr>
          <w:spacing w:val="-4"/>
          <w:w w:val="105"/>
          <w:sz w:val="13"/>
        </w:rPr>
        <w:t>113;  </w:t>
      </w:r>
      <w:r>
        <w:rPr>
          <w:i/>
          <w:w w:val="105"/>
          <w:sz w:val="13"/>
        </w:rPr>
        <w:t>Able Australia Services v Yammas </w:t>
      </w:r>
      <w:r>
        <w:rPr>
          <w:w w:val="105"/>
          <w:sz w:val="13"/>
        </w:rPr>
        <w:t>[2010] VSC 237 (3 June 2010) [97]; </w:t>
      </w:r>
      <w:r>
        <w:rPr>
          <w:i/>
          <w:w w:val="105"/>
          <w:sz w:val="13"/>
        </w:rPr>
        <w:t>Roebuck      </w:t>
      </w:r>
      <w:r>
        <w:rPr>
          <w:i/>
          <w:w w:val="105"/>
          <w:sz w:val="13"/>
        </w:rPr>
        <w:t>v Smoje </w:t>
      </w:r>
      <w:r>
        <w:rPr>
          <w:spacing w:val="2"/>
          <w:w w:val="105"/>
          <w:sz w:val="13"/>
        </w:rPr>
        <w:t>[2000] </w:t>
      </w:r>
      <w:r>
        <w:rPr>
          <w:w w:val="105"/>
          <w:sz w:val="13"/>
        </w:rPr>
        <w:t>WASC </w:t>
      </w:r>
      <w:r>
        <w:rPr>
          <w:spacing w:val="-4"/>
          <w:w w:val="105"/>
          <w:sz w:val="13"/>
        </w:rPr>
        <w:t>312  </w:t>
      </w:r>
      <w:r>
        <w:rPr>
          <w:w w:val="105"/>
          <w:sz w:val="13"/>
        </w:rPr>
        <w:t>(20 December </w:t>
      </w:r>
      <w:r>
        <w:rPr>
          <w:spacing w:val="3"/>
          <w:w w:val="105"/>
          <w:sz w:val="13"/>
        </w:rPr>
        <w:t>2000) [94]; </w:t>
      </w:r>
      <w:r>
        <w:rPr>
          <w:i/>
          <w:w w:val="105"/>
          <w:sz w:val="13"/>
        </w:rPr>
        <w:t>Barry v Butlin </w:t>
      </w:r>
      <w:r>
        <w:rPr>
          <w:w w:val="105"/>
          <w:sz w:val="13"/>
        </w:rPr>
        <w:t>(1838) II Moore </w:t>
      </w:r>
      <w:r>
        <w:rPr>
          <w:spacing w:val="2"/>
          <w:w w:val="105"/>
          <w:sz w:val="13"/>
        </w:rPr>
        <w:t>480, </w:t>
      </w:r>
      <w:r>
        <w:rPr>
          <w:w w:val="105"/>
          <w:sz w:val="13"/>
        </w:rPr>
        <w:t>481; </w:t>
      </w:r>
      <w:r>
        <w:rPr>
          <w:spacing w:val="-4"/>
          <w:w w:val="105"/>
          <w:sz w:val="13"/>
        </w:rPr>
        <w:t>12  </w:t>
      </w:r>
      <w:r>
        <w:rPr>
          <w:w w:val="105"/>
          <w:sz w:val="13"/>
        </w:rPr>
        <w:t>ER 1089; </w:t>
      </w:r>
      <w:r>
        <w:rPr>
          <w:i/>
          <w:w w:val="105"/>
          <w:sz w:val="13"/>
        </w:rPr>
        <w:t>Tyrell v Painton </w:t>
      </w:r>
      <w:r>
        <w:rPr>
          <w:w w:val="105"/>
          <w:sz w:val="13"/>
        </w:rPr>
        <w:t>[1894] P </w:t>
      </w:r>
      <w:r>
        <w:rPr>
          <w:spacing w:val="-5"/>
          <w:w w:val="105"/>
          <w:sz w:val="13"/>
        </w:rPr>
        <w:t>151</w:t>
      </w:r>
      <w:r>
        <w:rPr>
          <w:spacing w:val="20"/>
          <w:w w:val="105"/>
          <w:sz w:val="13"/>
        </w:rPr>
        <w:t> </w:t>
      </w:r>
      <w:r>
        <w:rPr>
          <w:w w:val="105"/>
          <w:sz w:val="13"/>
        </w:rPr>
        <w:t>(where the beneficiary’s son wrote and attested the</w:t>
      </w:r>
      <w:r>
        <w:rPr>
          <w:spacing w:val="5"/>
          <w:w w:val="105"/>
          <w:sz w:val="13"/>
        </w:rPr>
        <w:t> </w:t>
      </w:r>
      <w:r>
        <w:rPr>
          <w:w w:val="105"/>
          <w:sz w:val="13"/>
        </w:rPr>
        <w:t>will).</w:t>
      </w:r>
    </w:p>
    <w:p>
      <w:pPr>
        <w:pStyle w:val="ListParagraph"/>
        <w:numPr>
          <w:ilvl w:val="0"/>
          <w:numId w:val="30"/>
        </w:numPr>
        <w:tabs>
          <w:tab w:pos="2380" w:val="left" w:leader="none"/>
          <w:tab w:pos="2382" w:val="left" w:leader="none"/>
        </w:tabs>
        <w:spacing w:line="240" w:lineRule="auto" w:before="4" w:after="0"/>
        <w:ind w:left="2381" w:right="0" w:hanging="794"/>
        <w:jc w:val="left"/>
        <w:rPr>
          <w:i/>
          <w:sz w:val="13"/>
        </w:rPr>
      </w:pPr>
      <w:r>
        <w:rPr>
          <w:i/>
          <w:w w:val="105"/>
          <w:sz w:val="13"/>
        </w:rPr>
        <w:t>Roebuck</w:t>
      </w:r>
      <w:r>
        <w:rPr>
          <w:i/>
          <w:spacing w:val="5"/>
          <w:w w:val="105"/>
          <w:sz w:val="13"/>
        </w:rPr>
        <w:t> </w:t>
      </w:r>
      <w:r>
        <w:rPr>
          <w:i/>
          <w:w w:val="105"/>
          <w:sz w:val="13"/>
        </w:rPr>
        <w:t>v</w:t>
      </w:r>
      <w:r>
        <w:rPr>
          <w:i/>
          <w:spacing w:val="5"/>
          <w:w w:val="105"/>
          <w:sz w:val="13"/>
        </w:rPr>
        <w:t> </w:t>
      </w:r>
      <w:r>
        <w:rPr>
          <w:i/>
          <w:w w:val="105"/>
          <w:sz w:val="13"/>
        </w:rPr>
        <w:t>Smoje</w:t>
      </w:r>
      <w:r>
        <w:rPr>
          <w:i/>
          <w:spacing w:val="6"/>
          <w:w w:val="105"/>
          <w:sz w:val="13"/>
        </w:rPr>
        <w:t> </w:t>
      </w:r>
      <w:r>
        <w:rPr>
          <w:spacing w:val="2"/>
          <w:w w:val="105"/>
          <w:sz w:val="13"/>
        </w:rPr>
        <w:t>[2000]</w:t>
      </w:r>
      <w:r>
        <w:rPr>
          <w:spacing w:val="6"/>
          <w:w w:val="105"/>
          <w:sz w:val="13"/>
        </w:rPr>
        <w:t> </w:t>
      </w:r>
      <w:r>
        <w:rPr>
          <w:w w:val="105"/>
          <w:sz w:val="13"/>
        </w:rPr>
        <w:t>WASC</w:t>
      </w:r>
      <w:r>
        <w:rPr>
          <w:spacing w:val="6"/>
          <w:w w:val="105"/>
          <w:sz w:val="13"/>
        </w:rPr>
        <w:t> </w:t>
      </w:r>
      <w:r>
        <w:rPr>
          <w:spacing w:val="-4"/>
          <w:w w:val="105"/>
          <w:sz w:val="13"/>
        </w:rPr>
        <w:t>312</w:t>
      </w:r>
      <w:r>
        <w:rPr>
          <w:spacing w:val="6"/>
          <w:w w:val="105"/>
          <w:sz w:val="13"/>
        </w:rPr>
        <w:t> </w:t>
      </w:r>
      <w:r>
        <w:rPr>
          <w:w w:val="105"/>
          <w:sz w:val="13"/>
        </w:rPr>
        <w:t>(20</w:t>
      </w:r>
      <w:r>
        <w:rPr>
          <w:spacing w:val="6"/>
          <w:w w:val="105"/>
          <w:sz w:val="13"/>
        </w:rPr>
        <w:t> </w:t>
      </w:r>
      <w:r>
        <w:rPr>
          <w:w w:val="105"/>
          <w:sz w:val="13"/>
        </w:rPr>
        <w:t>December</w:t>
      </w:r>
      <w:r>
        <w:rPr>
          <w:spacing w:val="7"/>
          <w:w w:val="105"/>
          <w:sz w:val="13"/>
        </w:rPr>
        <w:t> </w:t>
      </w:r>
      <w:r>
        <w:rPr>
          <w:spacing w:val="3"/>
          <w:w w:val="105"/>
          <w:sz w:val="13"/>
        </w:rPr>
        <w:t>2000)</w:t>
      </w:r>
      <w:r>
        <w:rPr>
          <w:spacing w:val="6"/>
          <w:w w:val="105"/>
          <w:sz w:val="13"/>
        </w:rPr>
        <w:t> </w:t>
      </w:r>
      <w:r>
        <w:rPr>
          <w:spacing w:val="3"/>
          <w:w w:val="105"/>
          <w:sz w:val="13"/>
        </w:rPr>
        <w:t>[94];</w:t>
      </w:r>
      <w:r>
        <w:rPr>
          <w:spacing w:val="6"/>
          <w:w w:val="105"/>
          <w:sz w:val="13"/>
        </w:rPr>
        <w:t> </w:t>
      </w:r>
      <w:r>
        <w:rPr>
          <w:i/>
          <w:w w:val="105"/>
          <w:sz w:val="13"/>
        </w:rPr>
        <w:t>Able</w:t>
      </w:r>
      <w:r>
        <w:rPr>
          <w:i/>
          <w:spacing w:val="5"/>
          <w:w w:val="105"/>
          <w:sz w:val="13"/>
        </w:rPr>
        <w:t> </w:t>
      </w:r>
      <w:r>
        <w:rPr>
          <w:i/>
          <w:w w:val="105"/>
          <w:sz w:val="13"/>
        </w:rPr>
        <w:t>Australia</w:t>
      </w:r>
      <w:r>
        <w:rPr>
          <w:i/>
          <w:spacing w:val="5"/>
          <w:w w:val="105"/>
          <w:sz w:val="13"/>
        </w:rPr>
        <w:t> </w:t>
      </w:r>
      <w:r>
        <w:rPr>
          <w:i/>
          <w:w w:val="105"/>
          <w:sz w:val="13"/>
        </w:rPr>
        <w:t>Services</w:t>
      </w:r>
      <w:r>
        <w:rPr>
          <w:i/>
          <w:spacing w:val="5"/>
          <w:w w:val="105"/>
          <w:sz w:val="13"/>
        </w:rPr>
        <w:t> </w:t>
      </w:r>
      <w:r>
        <w:rPr>
          <w:i/>
          <w:w w:val="105"/>
          <w:sz w:val="13"/>
        </w:rPr>
        <w:t>v</w:t>
      </w:r>
      <w:r>
        <w:rPr>
          <w:i/>
          <w:spacing w:val="5"/>
          <w:w w:val="105"/>
          <w:sz w:val="13"/>
        </w:rPr>
        <w:t> </w:t>
      </w:r>
      <w:r>
        <w:rPr>
          <w:i/>
          <w:w w:val="105"/>
          <w:sz w:val="13"/>
        </w:rPr>
        <w:t>Yammas</w:t>
      </w:r>
      <w:r>
        <w:rPr>
          <w:i/>
          <w:spacing w:val="6"/>
          <w:w w:val="105"/>
          <w:sz w:val="13"/>
        </w:rPr>
        <w:t> </w:t>
      </w:r>
      <w:r>
        <w:rPr>
          <w:w w:val="105"/>
          <w:sz w:val="13"/>
        </w:rPr>
        <w:t>[2010]</w:t>
      </w:r>
      <w:r>
        <w:rPr>
          <w:spacing w:val="7"/>
          <w:w w:val="105"/>
          <w:sz w:val="13"/>
        </w:rPr>
        <w:t> </w:t>
      </w:r>
      <w:r>
        <w:rPr>
          <w:w w:val="105"/>
          <w:sz w:val="13"/>
        </w:rPr>
        <w:t>VSC</w:t>
      </w:r>
      <w:r>
        <w:rPr>
          <w:spacing w:val="6"/>
          <w:w w:val="105"/>
          <w:sz w:val="13"/>
        </w:rPr>
        <w:t> </w:t>
      </w:r>
      <w:r>
        <w:rPr>
          <w:w w:val="105"/>
          <w:sz w:val="13"/>
        </w:rPr>
        <w:t>237</w:t>
      </w:r>
      <w:r>
        <w:rPr>
          <w:spacing w:val="6"/>
          <w:w w:val="105"/>
          <w:sz w:val="13"/>
        </w:rPr>
        <w:t> </w:t>
      </w:r>
      <w:r>
        <w:rPr>
          <w:w w:val="105"/>
          <w:sz w:val="13"/>
        </w:rPr>
        <w:t>(3</w:t>
      </w:r>
      <w:r>
        <w:rPr>
          <w:spacing w:val="6"/>
          <w:w w:val="105"/>
          <w:sz w:val="13"/>
        </w:rPr>
        <w:t> </w:t>
      </w:r>
      <w:r>
        <w:rPr>
          <w:w w:val="105"/>
          <w:sz w:val="13"/>
        </w:rPr>
        <w:t>June</w:t>
      </w:r>
      <w:r>
        <w:rPr>
          <w:spacing w:val="6"/>
          <w:w w:val="105"/>
          <w:sz w:val="13"/>
        </w:rPr>
        <w:t> </w:t>
      </w:r>
      <w:r>
        <w:rPr>
          <w:w w:val="105"/>
          <w:sz w:val="13"/>
        </w:rPr>
        <w:t>2010)</w:t>
      </w:r>
      <w:r>
        <w:rPr>
          <w:spacing w:val="6"/>
          <w:w w:val="105"/>
          <w:sz w:val="13"/>
        </w:rPr>
        <w:t> </w:t>
      </w:r>
      <w:r>
        <w:rPr>
          <w:w w:val="105"/>
          <w:sz w:val="13"/>
        </w:rPr>
        <w:t>[97];</w:t>
      </w:r>
      <w:r>
        <w:rPr>
          <w:spacing w:val="6"/>
          <w:w w:val="105"/>
          <w:sz w:val="13"/>
        </w:rPr>
        <w:t> </w:t>
      </w:r>
      <w:r>
        <w:rPr>
          <w:i/>
          <w:w w:val="105"/>
          <w:sz w:val="13"/>
        </w:rPr>
        <w:t>Shorter</w:t>
      </w:r>
    </w:p>
    <w:p>
      <w:pPr>
        <w:spacing w:before="1"/>
        <w:ind w:left="2381" w:right="0" w:firstLine="0"/>
        <w:jc w:val="left"/>
        <w:rPr>
          <w:sz w:val="13"/>
        </w:rPr>
      </w:pPr>
      <w:r>
        <w:rPr>
          <w:i/>
          <w:w w:val="105"/>
          <w:sz w:val="13"/>
        </w:rPr>
        <w:t>v Hodges </w:t>
      </w:r>
      <w:r>
        <w:rPr>
          <w:w w:val="105"/>
          <w:sz w:val="13"/>
        </w:rPr>
        <w:t>(1988) 14 NSWLR 698, 705.</w:t>
      </w:r>
    </w:p>
    <w:p>
      <w:pPr>
        <w:pStyle w:val="ListParagraph"/>
        <w:numPr>
          <w:ilvl w:val="0"/>
          <w:numId w:val="30"/>
        </w:numPr>
        <w:tabs>
          <w:tab w:pos="2381" w:val="left" w:leader="none"/>
          <w:tab w:pos="2382" w:val="left" w:leader="none"/>
        </w:tabs>
        <w:spacing w:line="240" w:lineRule="auto" w:before="2" w:after="0"/>
        <w:ind w:left="2381" w:right="1786" w:hanging="794"/>
        <w:jc w:val="left"/>
        <w:rPr>
          <w:sz w:val="13"/>
        </w:rPr>
      </w:pPr>
      <w:r>
        <w:rPr>
          <w:i/>
          <w:w w:val="105"/>
          <w:sz w:val="13"/>
        </w:rPr>
        <w:t>Able Australia Services v Yammas </w:t>
      </w:r>
      <w:r>
        <w:rPr>
          <w:w w:val="105"/>
          <w:sz w:val="13"/>
        </w:rPr>
        <w:t>[2010] VSC 237 (3 June 2010) [97]; </w:t>
      </w:r>
      <w:r>
        <w:rPr>
          <w:i/>
          <w:w w:val="105"/>
          <w:sz w:val="13"/>
        </w:rPr>
        <w:t>Roos v Kapernkow </w:t>
      </w:r>
      <w:r>
        <w:rPr>
          <w:w w:val="105"/>
          <w:sz w:val="13"/>
        </w:rPr>
        <w:t>(Unreported, Supreme Court of South Australia, Doyle CJ, 21 July 1998)</w:t>
      </w:r>
      <w:r>
        <w:rPr>
          <w:spacing w:val="23"/>
          <w:w w:val="105"/>
          <w:sz w:val="13"/>
        </w:rPr>
        <w:t> </w:t>
      </w:r>
      <w:r>
        <w:rPr>
          <w:w w:val="105"/>
          <w:sz w:val="13"/>
        </w:rPr>
        <w:t>15.</w:t>
      </w:r>
    </w:p>
    <w:p>
      <w:pPr>
        <w:pStyle w:val="ListParagraph"/>
        <w:numPr>
          <w:ilvl w:val="0"/>
          <w:numId w:val="30"/>
        </w:numPr>
        <w:tabs>
          <w:tab w:pos="2381" w:val="left" w:leader="none"/>
          <w:tab w:pos="2382" w:val="left" w:leader="none"/>
        </w:tabs>
        <w:spacing w:line="240" w:lineRule="auto" w:before="2" w:after="0"/>
        <w:ind w:left="2381" w:right="0" w:hanging="794"/>
        <w:jc w:val="left"/>
        <w:rPr>
          <w:sz w:val="13"/>
        </w:rPr>
      </w:pPr>
      <w:r>
        <w:rPr>
          <w:i/>
          <w:w w:val="105"/>
          <w:sz w:val="13"/>
        </w:rPr>
        <w:t>Petrovski v Nasev </w:t>
      </w:r>
      <w:r>
        <w:rPr>
          <w:spacing w:val="-3"/>
          <w:w w:val="105"/>
          <w:sz w:val="13"/>
        </w:rPr>
        <w:t>[2011] </w:t>
      </w:r>
      <w:r>
        <w:rPr>
          <w:w w:val="105"/>
          <w:sz w:val="13"/>
        </w:rPr>
        <w:t>NSWSC </w:t>
      </w:r>
      <w:r>
        <w:rPr>
          <w:spacing w:val="-3"/>
          <w:w w:val="105"/>
          <w:sz w:val="13"/>
        </w:rPr>
        <w:t>1275 (17 </w:t>
      </w:r>
      <w:r>
        <w:rPr>
          <w:w w:val="105"/>
          <w:sz w:val="13"/>
        </w:rPr>
        <w:t>November</w:t>
      </w:r>
      <w:r>
        <w:rPr>
          <w:spacing w:val="27"/>
          <w:w w:val="105"/>
          <w:sz w:val="13"/>
        </w:rPr>
        <w:t> </w:t>
      </w:r>
      <w:r>
        <w:rPr>
          <w:spacing w:val="-4"/>
          <w:w w:val="105"/>
          <w:sz w:val="13"/>
        </w:rPr>
        <w:t>2011) </w:t>
      </w:r>
      <w:r>
        <w:rPr>
          <w:w w:val="105"/>
          <w:sz w:val="13"/>
        </w:rPr>
        <w:t>[259].</w:t>
      </w:r>
    </w:p>
    <w:p>
      <w:pPr>
        <w:pStyle w:val="ListParagraph"/>
        <w:numPr>
          <w:ilvl w:val="0"/>
          <w:numId w:val="30"/>
        </w:numPr>
        <w:tabs>
          <w:tab w:pos="2380" w:val="left" w:leader="none"/>
          <w:tab w:pos="2382" w:val="left" w:leader="none"/>
        </w:tabs>
        <w:spacing w:line="240" w:lineRule="auto" w:before="2" w:after="0"/>
        <w:ind w:left="2381" w:right="1906" w:hanging="794"/>
        <w:jc w:val="left"/>
        <w:rPr>
          <w:sz w:val="13"/>
        </w:rPr>
      </w:pPr>
      <w:r>
        <w:rPr>
          <w:w w:val="105"/>
          <w:sz w:val="13"/>
        </w:rPr>
        <w:t>Submissions 8 (Patricia Strachan); </w:t>
      </w:r>
      <w:r>
        <w:rPr>
          <w:spacing w:val="-3"/>
          <w:w w:val="105"/>
          <w:sz w:val="13"/>
        </w:rPr>
        <w:t>19 </w:t>
      </w:r>
      <w:r>
        <w:rPr>
          <w:spacing w:val="2"/>
          <w:w w:val="105"/>
          <w:sz w:val="13"/>
        </w:rPr>
        <w:t>(Association </w:t>
      </w:r>
      <w:r>
        <w:rPr>
          <w:w w:val="105"/>
          <w:sz w:val="13"/>
        </w:rPr>
        <w:t>of Independent Retirees); 30a </w:t>
      </w:r>
      <w:r>
        <w:rPr>
          <w:spacing w:val="3"/>
          <w:w w:val="105"/>
          <w:sz w:val="13"/>
        </w:rPr>
        <w:t>(Law </w:t>
      </w:r>
      <w:r>
        <w:rPr>
          <w:w w:val="105"/>
          <w:sz w:val="13"/>
        </w:rPr>
        <w:t>Institute of </w:t>
      </w:r>
      <w:r>
        <w:rPr>
          <w:spacing w:val="2"/>
          <w:w w:val="105"/>
          <w:sz w:val="13"/>
        </w:rPr>
        <w:t>Victoria); </w:t>
      </w:r>
      <w:r>
        <w:rPr>
          <w:w w:val="105"/>
          <w:sz w:val="13"/>
        </w:rPr>
        <w:t>33 (State Trustees Limited); 35</w:t>
      </w:r>
      <w:r>
        <w:rPr>
          <w:spacing w:val="5"/>
          <w:w w:val="105"/>
          <w:sz w:val="13"/>
        </w:rPr>
        <w:t> </w:t>
      </w:r>
      <w:r>
        <w:rPr>
          <w:w w:val="105"/>
          <w:sz w:val="13"/>
        </w:rPr>
        <w:t>(Andrew</w:t>
      </w:r>
      <w:r>
        <w:rPr>
          <w:spacing w:val="6"/>
          <w:w w:val="105"/>
          <w:sz w:val="13"/>
        </w:rPr>
        <w:t> </w:t>
      </w:r>
      <w:r>
        <w:rPr>
          <w:w w:val="105"/>
          <w:sz w:val="13"/>
        </w:rPr>
        <w:t>Verspaandonk);</w:t>
      </w:r>
      <w:r>
        <w:rPr>
          <w:spacing w:val="5"/>
          <w:w w:val="105"/>
          <w:sz w:val="13"/>
        </w:rPr>
        <w:t> </w:t>
      </w:r>
      <w:r>
        <w:rPr>
          <w:w w:val="105"/>
          <w:sz w:val="13"/>
        </w:rPr>
        <w:t>36</w:t>
      </w:r>
      <w:r>
        <w:rPr>
          <w:spacing w:val="6"/>
          <w:w w:val="105"/>
          <w:sz w:val="13"/>
        </w:rPr>
        <w:t> </w:t>
      </w:r>
      <w:r>
        <w:rPr>
          <w:spacing w:val="3"/>
          <w:w w:val="105"/>
          <w:sz w:val="13"/>
        </w:rPr>
        <w:t>(Law</w:t>
      </w:r>
      <w:r>
        <w:rPr>
          <w:spacing w:val="5"/>
          <w:w w:val="105"/>
          <w:sz w:val="13"/>
        </w:rPr>
        <w:t> </w:t>
      </w:r>
      <w:r>
        <w:rPr>
          <w:w w:val="105"/>
          <w:sz w:val="13"/>
        </w:rPr>
        <w:t>Society</w:t>
      </w:r>
      <w:r>
        <w:rPr>
          <w:spacing w:val="6"/>
          <w:w w:val="105"/>
          <w:sz w:val="13"/>
        </w:rPr>
        <w:t> </w:t>
      </w:r>
      <w:r>
        <w:rPr>
          <w:w w:val="105"/>
          <w:sz w:val="13"/>
        </w:rPr>
        <w:t>of</w:t>
      </w:r>
      <w:r>
        <w:rPr>
          <w:spacing w:val="6"/>
          <w:w w:val="105"/>
          <w:sz w:val="13"/>
        </w:rPr>
        <w:t> </w:t>
      </w:r>
      <w:r>
        <w:rPr>
          <w:w w:val="105"/>
          <w:sz w:val="13"/>
        </w:rPr>
        <w:t>New</w:t>
      </w:r>
      <w:r>
        <w:rPr>
          <w:spacing w:val="5"/>
          <w:w w:val="105"/>
          <w:sz w:val="13"/>
        </w:rPr>
        <w:t> </w:t>
      </w:r>
      <w:r>
        <w:rPr>
          <w:w w:val="105"/>
          <w:sz w:val="13"/>
        </w:rPr>
        <w:t>South</w:t>
      </w:r>
      <w:r>
        <w:rPr>
          <w:spacing w:val="6"/>
          <w:w w:val="105"/>
          <w:sz w:val="13"/>
        </w:rPr>
        <w:t> </w:t>
      </w:r>
      <w:r>
        <w:rPr>
          <w:w w:val="105"/>
          <w:sz w:val="13"/>
        </w:rPr>
        <w:t>Wales);</w:t>
      </w:r>
      <w:r>
        <w:rPr>
          <w:spacing w:val="5"/>
          <w:w w:val="105"/>
          <w:sz w:val="13"/>
        </w:rPr>
        <w:t> </w:t>
      </w:r>
      <w:r>
        <w:rPr>
          <w:w w:val="105"/>
          <w:sz w:val="13"/>
        </w:rPr>
        <w:t>39</w:t>
      </w:r>
      <w:r>
        <w:rPr>
          <w:spacing w:val="6"/>
          <w:w w:val="105"/>
          <w:sz w:val="13"/>
        </w:rPr>
        <w:t> </w:t>
      </w:r>
      <w:r>
        <w:rPr>
          <w:w w:val="105"/>
          <w:sz w:val="13"/>
        </w:rPr>
        <w:t>(Carolyn</w:t>
      </w:r>
      <w:r>
        <w:rPr>
          <w:spacing w:val="6"/>
          <w:w w:val="105"/>
          <w:sz w:val="13"/>
        </w:rPr>
        <w:t> </w:t>
      </w:r>
      <w:r>
        <w:rPr>
          <w:w w:val="105"/>
          <w:sz w:val="13"/>
        </w:rPr>
        <w:t>Sparke</w:t>
      </w:r>
      <w:r>
        <w:rPr>
          <w:spacing w:val="5"/>
          <w:w w:val="105"/>
          <w:sz w:val="13"/>
        </w:rPr>
        <w:t> </w:t>
      </w:r>
      <w:r>
        <w:rPr>
          <w:w w:val="105"/>
          <w:sz w:val="13"/>
        </w:rPr>
        <w:t>SC).</w:t>
      </w:r>
    </w:p>
    <w:p>
      <w:pPr>
        <w:pStyle w:val="ListParagraph"/>
        <w:numPr>
          <w:ilvl w:val="0"/>
          <w:numId w:val="30"/>
        </w:numPr>
        <w:tabs>
          <w:tab w:pos="2380" w:val="left" w:leader="none"/>
          <w:tab w:pos="2382" w:val="left" w:leader="none"/>
        </w:tabs>
        <w:spacing w:line="240" w:lineRule="auto" w:before="2" w:after="0"/>
        <w:ind w:left="2381" w:right="0" w:hanging="794"/>
        <w:jc w:val="left"/>
        <w:rPr>
          <w:sz w:val="13"/>
        </w:rPr>
      </w:pPr>
      <w:r>
        <w:rPr>
          <w:w w:val="105"/>
          <w:sz w:val="13"/>
        </w:rPr>
        <w:t>Submissions</w:t>
      </w:r>
      <w:r>
        <w:rPr>
          <w:spacing w:val="4"/>
          <w:w w:val="105"/>
          <w:sz w:val="13"/>
        </w:rPr>
        <w:t> </w:t>
      </w:r>
      <w:r>
        <w:rPr>
          <w:spacing w:val="-3"/>
          <w:w w:val="105"/>
          <w:sz w:val="13"/>
        </w:rPr>
        <w:t>14</w:t>
      </w:r>
      <w:r>
        <w:rPr>
          <w:spacing w:val="5"/>
          <w:w w:val="105"/>
          <w:sz w:val="13"/>
        </w:rPr>
        <w:t> </w:t>
      </w:r>
      <w:r>
        <w:rPr>
          <w:w w:val="105"/>
          <w:sz w:val="13"/>
        </w:rPr>
        <w:t>(Commercial</w:t>
      </w:r>
      <w:r>
        <w:rPr>
          <w:spacing w:val="4"/>
          <w:w w:val="105"/>
          <w:sz w:val="13"/>
        </w:rPr>
        <w:t> </w:t>
      </w:r>
      <w:r>
        <w:rPr>
          <w:w w:val="105"/>
          <w:sz w:val="13"/>
        </w:rPr>
        <w:t>Bar</w:t>
      </w:r>
      <w:r>
        <w:rPr>
          <w:spacing w:val="5"/>
          <w:w w:val="105"/>
          <w:sz w:val="13"/>
        </w:rPr>
        <w:t> </w:t>
      </w:r>
      <w:r>
        <w:rPr>
          <w:spacing w:val="2"/>
          <w:w w:val="105"/>
          <w:sz w:val="13"/>
        </w:rPr>
        <w:t>Association);</w:t>
      </w:r>
      <w:r>
        <w:rPr>
          <w:spacing w:val="4"/>
          <w:w w:val="105"/>
          <w:sz w:val="13"/>
        </w:rPr>
        <w:t> </w:t>
      </w:r>
      <w:r>
        <w:rPr>
          <w:w w:val="105"/>
          <w:sz w:val="13"/>
        </w:rPr>
        <w:t>25</w:t>
      </w:r>
      <w:r>
        <w:rPr>
          <w:spacing w:val="5"/>
          <w:w w:val="105"/>
          <w:sz w:val="13"/>
        </w:rPr>
        <w:t> </w:t>
      </w:r>
      <w:r>
        <w:rPr>
          <w:spacing w:val="2"/>
          <w:w w:val="105"/>
          <w:sz w:val="13"/>
        </w:rPr>
        <w:t>(Moores</w:t>
      </w:r>
      <w:r>
        <w:rPr>
          <w:spacing w:val="5"/>
          <w:w w:val="105"/>
          <w:sz w:val="13"/>
        </w:rPr>
        <w:t> </w:t>
      </w:r>
      <w:r>
        <w:rPr>
          <w:w w:val="105"/>
          <w:sz w:val="13"/>
        </w:rPr>
        <w:t>Legal);</w:t>
      </w:r>
      <w:r>
        <w:rPr>
          <w:spacing w:val="4"/>
          <w:w w:val="105"/>
          <w:sz w:val="13"/>
        </w:rPr>
        <w:t> </w:t>
      </w:r>
      <w:r>
        <w:rPr>
          <w:w w:val="105"/>
          <w:sz w:val="13"/>
        </w:rPr>
        <w:t>31</w:t>
      </w:r>
      <w:r>
        <w:rPr>
          <w:spacing w:val="5"/>
          <w:w w:val="105"/>
          <w:sz w:val="13"/>
        </w:rPr>
        <w:t> </w:t>
      </w:r>
      <w:r>
        <w:rPr>
          <w:w w:val="105"/>
          <w:sz w:val="13"/>
        </w:rPr>
        <w:t>(Seniors</w:t>
      </w:r>
      <w:r>
        <w:rPr>
          <w:spacing w:val="4"/>
          <w:w w:val="105"/>
          <w:sz w:val="13"/>
        </w:rPr>
        <w:t> </w:t>
      </w:r>
      <w:r>
        <w:rPr>
          <w:w w:val="105"/>
          <w:sz w:val="13"/>
        </w:rPr>
        <w:t>Rights</w:t>
      </w:r>
      <w:r>
        <w:rPr>
          <w:spacing w:val="5"/>
          <w:w w:val="105"/>
          <w:sz w:val="13"/>
        </w:rPr>
        <w:t> </w:t>
      </w:r>
      <w:r>
        <w:rPr>
          <w:spacing w:val="2"/>
          <w:w w:val="105"/>
          <w:sz w:val="13"/>
        </w:rPr>
        <w:t>Victoria).</w:t>
      </w:r>
    </w:p>
    <w:p>
      <w:pPr>
        <w:pStyle w:val="ListParagraph"/>
        <w:numPr>
          <w:ilvl w:val="0"/>
          <w:numId w:val="30"/>
        </w:numPr>
        <w:tabs>
          <w:tab w:pos="2381" w:val="left" w:leader="none"/>
          <w:tab w:pos="2382" w:val="left" w:leader="none"/>
        </w:tabs>
        <w:spacing w:line="240" w:lineRule="auto" w:before="2" w:after="0"/>
        <w:ind w:left="2381" w:right="0" w:hanging="794"/>
        <w:jc w:val="left"/>
        <w:rPr>
          <w:sz w:val="13"/>
        </w:rPr>
      </w:pPr>
      <w:r>
        <w:rPr>
          <w:i/>
          <w:sz w:val="13"/>
        </w:rPr>
        <w:t>Trustee</w:t>
      </w:r>
      <w:r>
        <w:rPr>
          <w:i/>
          <w:spacing w:val="7"/>
          <w:sz w:val="13"/>
        </w:rPr>
        <w:t> </w:t>
      </w:r>
      <w:r>
        <w:rPr>
          <w:i/>
          <w:sz w:val="13"/>
        </w:rPr>
        <w:t>for</w:t>
      </w:r>
      <w:r>
        <w:rPr>
          <w:i/>
          <w:spacing w:val="7"/>
          <w:sz w:val="13"/>
        </w:rPr>
        <w:t> </w:t>
      </w:r>
      <w:r>
        <w:rPr>
          <w:i/>
          <w:sz w:val="13"/>
        </w:rPr>
        <w:t>the</w:t>
      </w:r>
      <w:r>
        <w:rPr>
          <w:i/>
          <w:spacing w:val="7"/>
          <w:sz w:val="13"/>
        </w:rPr>
        <w:t> </w:t>
      </w:r>
      <w:r>
        <w:rPr>
          <w:i/>
          <w:sz w:val="13"/>
        </w:rPr>
        <w:t>Salvation</w:t>
      </w:r>
      <w:r>
        <w:rPr>
          <w:i/>
          <w:spacing w:val="8"/>
          <w:sz w:val="13"/>
        </w:rPr>
        <w:t> </w:t>
      </w:r>
      <w:r>
        <w:rPr>
          <w:i/>
          <w:sz w:val="13"/>
        </w:rPr>
        <w:t>Army</w:t>
      </w:r>
      <w:r>
        <w:rPr>
          <w:i/>
          <w:spacing w:val="7"/>
          <w:sz w:val="13"/>
        </w:rPr>
        <w:t> </w:t>
      </w:r>
      <w:r>
        <w:rPr>
          <w:i/>
          <w:spacing w:val="3"/>
          <w:sz w:val="13"/>
        </w:rPr>
        <w:t>(NSW)</w:t>
      </w:r>
      <w:r>
        <w:rPr>
          <w:i/>
          <w:spacing w:val="7"/>
          <w:sz w:val="13"/>
        </w:rPr>
        <w:t> </w:t>
      </w:r>
      <w:r>
        <w:rPr>
          <w:i/>
          <w:sz w:val="13"/>
        </w:rPr>
        <w:t>Property</w:t>
      </w:r>
      <w:r>
        <w:rPr>
          <w:i/>
          <w:spacing w:val="8"/>
          <w:sz w:val="13"/>
        </w:rPr>
        <w:t> </w:t>
      </w:r>
      <w:r>
        <w:rPr>
          <w:i/>
          <w:sz w:val="13"/>
        </w:rPr>
        <w:t>Trust</w:t>
      </w:r>
      <w:r>
        <w:rPr>
          <w:i/>
          <w:spacing w:val="7"/>
          <w:sz w:val="13"/>
        </w:rPr>
        <w:t> </w:t>
      </w:r>
      <w:r>
        <w:rPr>
          <w:i/>
          <w:sz w:val="13"/>
        </w:rPr>
        <w:t>v</w:t>
      </w:r>
      <w:r>
        <w:rPr>
          <w:i/>
          <w:spacing w:val="7"/>
          <w:sz w:val="13"/>
        </w:rPr>
        <w:t> </w:t>
      </w:r>
      <w:r>
        <w:rPr>
          <w:i/>
          <w:sz w:val="13"/>
        </w:rPr>
        <w:t>Becker</w:t>
      </w:r>
      <w:r>
        <w:rPr>
          <w:i/>
          <w:spacing w:val="9"/>
          <w:sz w:val="13"/>
        </w:rPr>
        <w:t> </w:t>
      </w:r>
      <w:r>
        <w:rPr>
          <w:sz w:val="13"/>
        </w:rPr>
        <w:t>[2007]</w:t>
      </w:r>
      <w:r>
        <w:rPr>
          <w:spacing w:val="8"/>
          <w:sz w:val="13"/>
        </w:rPr>
        <w:t> </w:t>
      </w:r>
      <w:r>
        <w:rPr>
          <w:sz w:val="13"/>
        </w:rPr>
        <w:t>NSWCA</w:t>
      </w:r>
      <w:r>
        <w:rPr>
          <w:spacing w:val="9"/>
          <w:sz w:val="13"/>
        </w:rPr>
        <w:t> </w:t>
      </w:r>
      <w:r>
        <w:rPr>
          <w:sz w:val="13"/>
        </w:rPr>
        <w:t>136</w:t>
      </w:r>
      <w:r>
        <w:rPr>
          <w:spacing w:val="8"/>
          <w:sz w:val="13"/>
        </w:rPr>
        <w:t> </w:t>
      </w:r>
      <w:r>
        <w:rPr>
          <w:spacing w:val="-3"/>
          <w:sz w:val="13"/>
        </w:rPr>
        <w:t>(15</w:t>
      </w:r>
      <w:r>
        <w:rPr>
          <w:spacing w:val="8"/>
          <w:sz w:val="13"/>
        </w:rPr>
        <w:t> </w:t>
      </w:r>
      <w:r>
        <w:rPr>
          <w:sz w:val="13"/>
        </w:rPr>
        <w:t>June</w:t>
      </w:r>
      <w:r>
        <w:rPr>
          <w:spacing w:val="9"/>
          <w:sz w:val="13"/>
        </w:rPr>
        <w:t> </w:t>
      </w:r>
      <w:r>
        <w:rPr>
          <w:sz w:val="13"/>
        </w:rPr>
        <w:t>2007)</w:t>
      </w:r>
      <w:r>
        <w:rPr>
          <w:spacing w:val="8"/>
          <w:sz w:val="13"/>
        </w:rPr>
        <w:t> </w:t>
      </w:r>
      <w:r>
        <w:rPr>
          <w:spacing w:val="3"/>
          <w:sz w:val="13"/>
        </w:rPr>
        <w:t>[61]–[65].</w:t>
      </w:r>
    </w:p>
    <w:p>
      <w:pPr>
        <w:pStyle w:val="ListParagraph"/>
        <w:numPr>
          <w:ilvl w:val="0"/>
          <w:numId w:val="30"/>
        </w:numPr>
        <w:tabs>
          <w:tab w:pos="2381" w:val="left" w:leader="none"/>
          <w:tab w:pos="2382" w:val="left" w:leader="none"/>
        </w:tabs>
        <w:spacing w:line="240" w:lineRule="auto" w:before="1" w:after="0"/>
        <w:ind w:left="2381" w:right="0" w:hanging="794"/>
        <w:jc w:val="left"/>
        <w:rPr>
          <w:sz w:val="13"/>
        </w:rPr>
      </w:pPr>
      <w:r>
        <w:rPr>
          <w:w w:val="105"/>
          <w:sz w:val="13"/>
        </w:rPr>
        <w:t>See, eg, </w:t>
      </w:r>
      <w:r>
        <w:rPr>
          <w:i/>
          <w:w w:val="105"/>
          <w:sz w:val="13"/>
        </w:rPr>
        <w:t>Robertson v Smith </w:t>
      </w:r>
      <w:r>
        <w:rPr>
          <w:w w:val="105"/>
          <w:sz w:val="13"/>
        </w:rPr>
        <w:t>[1998] 4 VR</w:t>
      </w:r>
      <w:r>
        <w:rPr>
          <w:spacing w:val="4"/>
          <w:w w:val="105"/>
          <w:sz w:val="13"/>
        </w:rPr>
        <w:t> </w:t>
      </w:r>
      <w:r>
        <w:rPr>
          <w:w w:val="105"/>
          <w:sz w:val="13"/>
        </w:rPr>
        <w:t>165.</w:t>
      </w:r>
    </w:p>
    <w:p>
      <w:pPr>
        <w:pStyle w:val="ListParagraph"/>
        <w:numPr>
          <w:ilvl w:val="0"/>
          <w:numId w:val="30"/>
        </w:numPr>
        <w:tabs>
          <w:tab w:pos="2381" w:val="left" w:leader="none"/>
          <w:tab w:pos="2382" w:val="left" w:leader="none"/>
        </w:tabs>
        <w:spacing w:line="240" w:lineRule="auto" w:before="1" w:after="0"/>
        <w:ind w:left="2381" w:right="0" w:hanging="794"/>
        <w:jc w:val="left"/>
        <w:rPr>
          <w:sz w:val="13"/>
        </w:rPr>
      </w:pPr>
      <w:r>
        <w:rPr>
          <w:w w:val="105"/>
          <w:sz w:val="13"/>
        </w:rPr>
        <w:t>For</w:t>
      </w:r>
      <w:r>
        <w:rPr>
          <w:spacing w:val="4"/>
          <w:w w:val="105"/>
          <w:sz w:val="13"/>
        </w:rPr>
        <w:t> </w:t>
      </w:r>
      <w:r>
        <w:rPr>
          <w:w w:val="105"/>
          <w:sz w:val="13"/>
        </w:rPr>
        <w:t>more</w:t>
      </w:r>
      <w:r>
        <w:rPr>
          <w:spacing w:val="5"/>
          <w:w w:val="105"/>
          <w:sz w:val="13"/>
        </w:rPr>
        <w:t> </w:t>
      </w:r>
      <w:r>
        <w:rPr>
          <w:w w:val="105"/>
          <w:sz w:val="13"/>
        </w:rPr>
        <w:t>information</w:t>
      </w:r>
      <w:r>
        <w:rPr>
          <w:spacing w:val="5"/>
          <w:w w:val="105"/>
          <w:sz w:val="13"/>
        </w:rPr>
        <w:t> </w:t>
      </w:r>
      <w:r>
        <w:rPr>
          <w:w w:val="105"/>
          <w:sz w:val="13"/>
        </w:rPr>
        <w:t>on</w:t>
      </w:r>
      <w:r>
        <w:rPr>
          <w:spacing w:val="5"/>
          <w:w w:val="105"/>
          <w:sz w:val="13"/>
        </w:rPr>
        <w:t> </w:t>
      </w:r>
      <w:r>
        <w:rPr>
          <w:w w:val="105"/>
          <w:sz w:val="13"/>
        </w:rPr>
        <w:t>forgery</w:t>
      </w:r>
      <w:r>
        <w:rPr>
          <w:spacing w:val="5"/>
          <w:w w:val="105"/>
          <w:sz w:val="13"/>
        </w:rPr>
        <w:t> </w:t>
      </w:r>
      <w:r>
        <w:rPr>
          <w:w w:val="105"/>
          <w:sz w:val="13"/>
        </w:rPr>
        <w:t>see</w:t>
      </w:r>
      <w:r>
        <w:rPr>
          <w:spacing w:val="5"/>
          <w:w w:val="105"/>
          <w:sz w:val="13"/>
        </w:rPr>
        <w:t> </w:t>
      </w:r>
      <w:r>
        <w:rPr>
          <w:w w:val="105"/>
          <w:sz w:val="13"/>
        </w:rPr>
        <w:t>Rosalind</w:t>
      </w:r>
      <w:r>
        <w:rPr>
          <w:spacing w:val="5"/>
          <w:w w:val="105"/>
          <w:sz w:val="13"/>
        </w:rPr>
        <w:t> </w:t>
      </w:r>
      <w:r>
        <w:rPr>
          <w:w w:val="105"/>
          <w:sz w:val="13"/>
        </w:rPr>
        <w:t>Croucher</w:t>
      </w:r>
      <w:r>
        <w:rPr>
          <w:spacing w:val="5"/>
          <w:w w:val="105"/>
          <w:sz w:val="13"/>
        </w:rPr>
        <w:t> </w:t>
      </w:r>
      <w:r>
        <w:rPr>
          <w:w w:val="105"/>
          <w:sz w:val="13"/>
        </w:rPr>
        <w:t>and</w:t>
      </w:r>
      <w:r>
        <w:rPr>
          <w:spacing w:val="5"/>
          <w:w w:val="105"/>
          <w:sz w:val="13"/>
        </w:rPr>
        <w:t> </w:t>
      </w:r>
      <w:r>
        <w:rPr>
          <w:w w:val="105"/>
          <w:sz w:val="13"/>
        </w:rPr>
        <w:t>John</w:t>
      </w:r>
      <w:r>
        <w:rPr>
          <w:spacing w:val="5"/>
          <w:w w:val="105"/>
          <w:sz w:val="13"/>
        </w:rPr>
        <w:t> </w:t>
      </w:r>
      <w:r>
        <w:rPr>
          <w:w w:val="105"/>
          <w:sz w:val="13"/>
        </w:rPr>
        <w:t>Croucher,</w:t>
      </w:r>
      <w:r>
        <w:rPr>
          <w:spacing w:val="5"/>
          <w:w w:val="105"/>
          <w:sz w:val="13"/>
        </w:rPr>
        <w:t> </w:t>
      </w:r>
      <w:r>
        <w:rPr>
          <w:w w:val="105"/>
          <w:sz w:val="13"/>
        </w:rPr>
        <w:t>‘Forgeries</w:t>
      </w:r>
      <w:r>
        <w:rPr>
          <w:spacing w:val="5"/>
          <w:w w:val="105"/>
          <w:sz w:val="13"/>
        </w:rPr>
        <w:t> </w:t>
      </w:r>
      <w:r>
        <w:rPr>
          <w:w w:val="105"/>
          <w:sz w:val="13"/>
        </w:rPr>
        <w:t>and</w:t>
      </w:r>
      <w:r>
        <w:rPr>
          <w:spacing w:val="5"/>
          <w:w w:val="105"/>
          <w:sz w:val="13"/>
        </w:rPr>
        <w:t> </w:t>
      </w:r>
      <w:r>
        <w:rPr>
          <w:spacing w:val="2"/>
          <w:w w:val="105"/>
          <w:sz w:val="13"/>
        </w:rPr>
        <w:t>Wills—A</w:t>
      </w:r>
      <w:r>
        <w:rPr>
          <w:spacing w:val="5"/>
          <w:w w:val="105"/>
          <w:sz w:val="13"/>
        </w:rPr>
        <w:t> </w:t>
      </w:r>
      <w:r>
        <w:rPr>
          <w:w w:val="105"/>
          <w:sz w:val="13"/>
        </w:rPr>
        <w:t>Probate</w:t>
      </w:r>
      <w:r>
        <w:rPr>
          <w:spacing w:val="5"/>
          <w:w w:val="105"/>
          <w:sz w:val="13"/>
        </w:rPr>
        <w:t> </w:t>
      </w:r>
      <w:r>
        <w:rPr>
          <w:w w:val="105"/>
          <w:sz w:val="13"/>
        </w:rPr>
        <w:t>Problem’</w:t>
      </w:r>
      <w:r>
        <w:rPr>
          <w:spacing w:val="5"/>
          <w:w w:val="105"/>
          <w:sz w:val="13"/>
        </w:rPr>
        <w:t> </w:t>
      </w:r>
      <w:r>
        <w:rPr>
          <w:w w:val="105"/>
          <w:sz w:val="13"/>
        </w:rPr>
        <w:t>(2010)</w:t>
      </w:r>
      <w:r>
        <w:rPr>
          <w:spacing w:val="5"/>
          <w:w w:val="105"/>
          <w:sz w:val="13"/>
        </w:rPr>
        <w:t> </w:t>
      </w:r>
      <w:r>
        <w:rPr>
          <w:w w:val="105"/>
          <w:sz w:val="13"/>
        </w:rPr>
        <w:t>18(1)</w:t>
      </w:r>
    </w:p>
    <w:p>
      <w:pPr>
        <w:spacing w:before="2"/>
        <w:ind w:left="2381" w:right="0" w:firstLine="0"/>
        <w:jc w:val="left"/>
        <w:rPr>
          <w:sz w:val="13"/>
        </w:rPr>
      </w:pPr>
      <w:r>
        <w:rPr>
          <w:i/>
          <w:w w:val="105"/>
          <w:sz w:val="13"/>
        </w:rPr>
        <w:t>Australian Property Law Journal </w:t>
      </w:r>
      <w:r>
        <w:rPr>
          <w:w w:val="105"/>
          <w:sz w:val="13"/>
        </w:rPr>
        <w:t>1.</w:t>
      </w:r>
    </w:p>
    <w:p>
      <w:pPr>
        <w:pStyle w:val="ListParagraph"/>
        <w:numPr>
          <w:ilvl w:val="0"/>
          <w:numId w:val="30"/>
        </w:numPr>
        <w:tabs>
          <w:tab w:pos="2381" w:val="left" w:leader="none"/>
          <w:tab w:pos="2382" w:val="left" w:leader="none"/>
        </w:tabs>
        <w:spacing w:line="240" w:lineRule="auto" w:before="1" w:after="0"/>
        <w:ind w:left="2381" w:right="2475" w:hanging="794"/>
        <w:jc w:val="left"/>
        <w:rPr>
          <w:sz w:val="13"/>
        </w:rPr>
      </w:pPr>
      <w:r>
        <w:rPr/>
        <w:pict>
          <v:shape style="position:absolute;margin-left:36pt;margin-top:3.581366pt;width:13.35pt;height:14.25pt;mso-position-horizontal-relative:page;mso-position-vertical-relative:paragraph;z-index:2704" type="#_x0000_t202" filled="false" stroked="false">
            <v:textbox inset="0,0,0,0">
              <w:txbxContent>
                <w:p>
                  <w:pPr>
                    <w:spacing w:line="284" w:lineRule="exact" w:before="0"/>
                    <w:ind w:left="0" w:right="0" w:firstLine="0"/>
                    <w:jc w:val="left"/>
                    <w:rPr>
                      <w:b/>
                      <w:sz w:val="24"/>
                    </w:rPr>
                  </w:pPr>
                  <w:r>
                    <w:rPr>
                      <w:b/>
                      <w:color w:val="EC5A4F"/>
                      <w:w w:val="105"/>
                      <w:sz w:val="24"/>
                    </w:rPr>
                    <w:t>22</w:t>
                  </w:r>
                </w:p>
              </w:txbxContent>
            </v:textbox>
            <w10:wrap type="none"/>
          </v:shape>
        </w:pict>
      </w:r>
      <w:r>
        <w:rPr>
          <w:w w:val="105"/>
          <w:sz w:val="13"/>
        </w:rPr>
        <w:t>Submissions 8 (Patricia Strachan); 25 </w:t>
      </w:r>
      <w:r>
        <w:rPr>
          <w:spacing w:val="2"/>
          <w:w w:val="105"/>
          <w:sz w:val="13"/>
        </w:rPr>
        <w:t>(Moores </w:t>
      </w:r>
      <w:r>
        <w:rPr>
          <w:w w:val="105"/>
          <w:sz w:val="13"/>
        </w:rPr>
        <w:t>Legal); 30a </w:t>
      </w:r>
      <w:r>
        <w:rPr>
          <w:spacing w:val="3"/>
          <w:w w:val="105"/>
          <w:sz w:val="13"/>
        </w:rPr>
        <w:t>(Law </w:t>
      </w:r>
      <w:r>
        <w:rPr>
          <w:w w:val="105"/>
          <w:sz w:val="13"/>
        </w:rPr>
        <w:t>Institute of </w:t>
      </w:r>
      <w:r>
        <w:rPr>
          <w:spacing w:val="2"/>
          <w:w w:val="105"/>
          <w:sz w:val="13"/>
        </w:rPr>
        <w:t>Victoria); </w:t>
      </w:r>
      <w:r>
        <w:rPr>
          <w:w w:val="105"/>
          <w:sz w:val="13"/>
        </w:rPr>
        <w:t>33 (State Trustees Limited); 35 (Andrew Verspaandonk);</w:t>
      </w:r>
      <w:r>
        <w:rPr>
          <w:spacing w:val="5"/>
          <w:w w:val="105"/>
          <w:sz w:val="13"/>
        </w:rPr>
        <w:t> </w:t>
      </w:r>
      <w:r>
        <w:rPr>
          <w:w w:val="105"/>
          <w:sz w:val="13"/>
        </w:rPr>
        <w:t>36</w:t>
      </w:r>
      <w:r>
        <w:rPr>
          <w:spacing w:val="5"/>
          <w:w w:val="105"/>
          <w:sz w:val="13"/>
        </w:rPr>
        <w:t> </w:t>
      </w:r>
      <w:r>
        <w:rPr>
          <w:spacing w:val="3"/>
          <w:w w:val="105"/>
          <w:sz w:val="13"/>
        </w:rPr>
        <w:t>(Law</w:t>
      </w:r>
      <w:r>
        <w:rPr>
          <w:spacing w:val="6"/>
          <w:w w:val="105"/>
          <w:sz w:val="13"/>
        </w:rPr>
        <w:t> </w:t>
      </w:r>
      <w:r>
        <w:rPr>
          <w:w w:val="105"/>
          <w:sz w:val="13"/>
        </w:rPr>
        <w:t>Society</w:t>
      </w:r>
      <w:r>
        <w:rPr>
          <w:spacing w:val="5"/>
          <w:w w:val="105"/>
          <w:sz w:val="13"/>
        </w:rPr>
        <w:t> </w:t>
      </w:r>
      <w:r>
        <w:rPr>
          <w:w w:val="105"/>
          <w:sz w:val="13"/>
        </w:rPr>
        <w:t>of</w:t>
      </w:r>
      <w:r>
        <w:rPr>
          <w:spacing w:val="5"/>
          <w:w w:val="105"/>
          <w:sz w:val="13"/>
        </w:rPr>
        <w:t> </w:t>
      </w:r>
      <w:r>
        <w:rPr>
          <w:w w:val="105"/>
          <w:sz w:val="13"/>
        </w:rPr>
        <w:t>New</w:t>
      </w:r>
      <w:r>
        <w:rPr>
          <w:spacing w:val="6"/>
          <w:w w:val="105"/>
          <w:sz w:val="13"/>
        </w:rPr>
        <w:t> </w:t>
      </w:r>
      <w:r>
        <w:rPr>
          <w:w w:val="105"/>
          <w:sz w:val="13"/>
        </w:rPr>
        <w:t>South</w:t>
      </w:r>
      <w:r>
        <w:rPr>
          <w:spacing w:val="5"/>
          <w:w w:val="105"/>
          <w:sz w:val="13"/>
        </w:rPr>
        <w:t> </w:t>
      </w:r>
      <w:r>
        <w:rPr>
          <w:w w:val="105"/>
          <w:sz w:val="13"/>
        </w:rPr>
        <w:t>Wales);</w:t>
      </w:r>
      <w:r>
        <w:rPr>
          <w:spacing w:val="5"/>
          <w:w w:val="105"/>
          <w:sz w:val="13"/>
        </w:rPr>
        <w:t> </w:t>
      </w:r>
      <w:r>
        <w:rPr>
          <w:w w:val="105"/>
          <w:sz w:val="13"/>
        </w:rPr>
        <w:t>39</w:t>
      </w:r>
      <w:r>
        <w:rPr>
          <w:spacing w:val="6"/>
          <w:w w:val="105"/>
          <w:sz w:val="13"/>
        </w:rPr>
        <w:t> </w:t>
      </w:r>
      <w:r>
        <w:rPr>
          <w:w w:val="105"/>
          <w:sz w:val="13"/>
        </w:rPr>
        <w:t>(Carolyn</w:t>
      </w:r>
      <w:r>
        <w:rPr>
          <w:spacing w:val="5"/>
          <w:w w:val="105"/>
          <w:sz w:val="13"/>
        </w:rPr>
        <w:t> </w:t>
      </w:r>
      <w:r>
        <w:rPr>
          <w:w w:val="105"/>
          <w:sz w:val="13"/>
        </w:rPr>
        <w:t>Sparke</w:t>
      </w:r>
      <w:r>
        <w:rPr>
          <w:spacing w:val="6"/>
          <w:w w:val="105"/>
          <w:sz w:val="13"/>
        </w:rPr>
        <w:t> </w:t>
      </w:r>
      <w:r>
        <w:rPr>
          <w:w w:val="105"/>
          <w:sz w:val="13"/>
        </w:rPr>
        <w:t>SC).</w:t>
      </w:r>
    </w:p>
    <w:p>
      <w:pPr>
        <w:spacing w:after="0" w:line="240" w:lineRule="auto"/>
        <w:jc w:val="left"/>
        <w:rPr>
          <w:sz w:val="13"/>
        </w:rPr>
        <w:sectPr>
          <w:pgSz w:w="11910" w:h="16840"/>
          <w:pgMar w:header="550" w:footer="0" w:top="1560" w:bottom="280" w:left="0" w:right="0"/>
        </w:sectPr>
      </w:pPr>
    </w:p>
    <w:p>
      <w:pPr>
        <w:pStyle w:val="Heading1"/>
        <w:tabs>
          <w:tab w:pos="1417" w:val="left" w:leader="none"/>
        </w:tabs>
        <w:jc w:val="right"/>
      </w:pPr>
      <w:r>
        <w:rPr/>
        <w:pict>
          <v:rect style="position:absolute;margin-left:0pt;margin-top:0pt;width:595.276001pt;height:841.890015pt;mso-position-horizontal-relative:page;mso-position-vertical-relative:page;z-index:-305632" filled="true" fillcolor="#fdefed" stroked="false">
            <v:fill type="solid"/>
            <w10:wrap type="none"/>
          </v:rect>
        </w:pict>
      </w:r>
      <w:r>
        <w:rPr>
          <w:color w:val="FFFFFF"/>
          <w:w w:val="122"/>
          <w:shd w:fill="EC5A4F" w:color="auto" w:val="clear"/>
        </w:rPr>
        <w:t> </w:t>
      </w:r>
      <w:r>
        <w:rPr>
          <w:color w:val="FFFFFF"/>
          <w:spacing w:val="41"/>
          <w:shd w:fill="EC5A4F" w:color="auto" w:val="clear"/>
        </w:rPr>
        <w:t> </w:t>
      </w:r>
      <w:r>
        <w:rPr>
          <w:color w:val="FFFFFF"/>
          <w:w w:val="105"/>
          <w:shd w:fill="EC5A4F" w:color="auto" w:val="clear"/>
        </w:rPr>
        <w:t>3</w:t>
      </w:r>
      <w:r>
        <w:rPr>
          <w:color w:val="FFFFFF"/>
          <w:shd w:fill="EC5A4F" w:color="auto" w:val="clear"/>
        </w:rPr>
        <w:tab/>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1"/>
        <w:rPr>
          <w:b/>
          <w:sz w:val="19"/>
        </w:rPr>
      </w:pPr>
    </w:p>
    <w:p>
      <w:pPr>
        <w:tabs>
          <w:tab w:pos="1417" w:val="left" w:leader="none"/>
          <w:tab w:pos="8143" w:val="left" w:leader="none"/>
        </w:tabs>
        <w:spacing w:before="95"/>
        <w:ind w:left="0" w:right="0" w:firstLine="0"/>
        <w:jc w:val="left"/>
        <w:rPr>
          <w:b/>
          <w:sz w:val="96"/>
        </w:rPr>
      </w:pPr>
      <w:r>
        <w:rPr>
          <w:b/>
          <w:color w:val="EC5A4F"/>
          <w:w w:val="122"/>
          <w:sz w:val="96"/>
          <w:shd w:fill="FFFFFF" w:color="auto" w:val="clear"/>
        </w:rPr>
        <w:t> </w:t>
      </w:r>
      <w:r>
        <w:rPr>
          <w:b/>
          <w:color w:val="EC5A4F"/>
          <w:sz w:val="96"/>
          <w:shd w:fill="FFFFFF" w:color="auto" w:val="clear"/>
        </w:rPr>
        <w:tab/>
      </w:r>
      <w:r>
        <w:rPr>
          <w:b/>
          <w:color w:val="EC5A4F"/>
          <w:spacing w:val="-14"/>
          <w:w w:val="115"/>
          <w:sz w:val="96"/>
          <w:shd w:fill="FFFFFF" w:color="auto" w:val="clear"/>
        </w:rPr>
        <w:t>Statutory</w:t>
      </w:r>
      <w:r>
        <w:rPr>
          <w:b/>
          <w:color w:val="EC5A4F"/>
          <w:spacing w:val="-18"/>
          <w:w w:val="115"/>
          <w:sz w:val="96"/>
          <w:shd w:fill="FFFFFF" w:color="auto" w:val="clear"/>
        </w:rPr>
        <w:t> </w:t>
      </w:r>
      <w:r>
        <w:rPr>
          <w:b/>
          <w:color w:val="EC5A4F"/>
          <w:spacing w:val="-13"/>
          <w:w w:val="115"/>
          <w:sz w:val="96"/>
          <w:shd w:fill="FFFFFF" w:color="auto" w:val="clear"/>
        </w:rPr>
        <w:t>wills</w:t>
      </w:r>
      <w:r>
        <w:rPr>
          <w:b/>
          <w:color w:val="EC5A4F"/>
          <w:spacing w:val="-13"/>
          <w:sz w:val="96"/>
          <w:shd w:fill="FFFFFF" w:color="auto" w:val="clear"/>
        </w:rPr>
        <w:tab/>
      </w:r>
    </w:p>
    <w:p>
      <w:pPr>
        <w:pStyle w:val="BodyText"/>
        <w:rPr>
          <w:b/>
          <w:sz w:val="20"/>
        </w:rPr>
      </w:pPr>
    </w:p>
    <w:p>
      <w:pPr>
        <w:pStyle w:val="BodyText"/>
        <w:rPr>
          <w:b/>
          <w:sz w:val="20"/>
        </w:rPr>
      </w:pPr>
    </w:p>
    <w:p>
      <w:pPr>
        <w:pStyle w:val="BodyText"/>
        <w:spacing w:before="1"/>
        <w:rPr>
          <w:b/>
          <w:sz w:val="24"/>
        </w:rPr>
      </w:pPr>
    </w:p>
    <w:p>
      <w:pPr>
        <w:pStyle w:val="Heading5"/>
        <w:numPr>
          <w:ilvl w:val="0"/>
          <w:numId w:val="31"/>
        </w:numPr>
        <w:tabs>
          <w:tab w:pos="1984" w:val="left" w:leader="none"/>
          <w:tab w:pos="1985" w:val="left" w:leader="none"/>
        </w:tabs>
        <w:spacing w:line="240" w:lineRule="auto" w:before="99" w:after="0"/>
        <w:ind w:left="1984" w:right="0" w:hanging="567"/>
        <w:jc w:val="left"/>
      </w:pPr>
      <w:r>
        <w:rPr/>
        <w:pict>
          <v:line style="position:absolute;mso-position-horizontal-relative:page;mso-position-vertical-relative:paragraph;z-index:680;mso-wrap-distance-left:0;mso-wrap-distance-right:0" from="70.866096pt,23.04508pt" to="96.378096pt,23.04508pt" stroked="true" strokeweight="2pt" strokecolor="#ffffff">
            <v:stroke dashstyle="solid"/>
            <w10:wrap type="topAndBottom"/>
          </v:line>
        </w:pict>
      </w:r>
      <w:r>
        <w:rPr>
          <w:w w:val="110"/>
        </w:rPr>
        <w:t>Introduction</w:t>
      </w:r>
    </w:p>
    <w:p>
      <w:pPr>
        <w:pStyle w:val="ListParagraph"/>
        <w:numPr>
          <w:ilvl w:val="0"/>
          <w:numId w:val="31"/>
        </w:numPr>
        <w:tabs>
          <w:tab w:pos="1984" w:val="left" w:leader="none"/>
          <w:tab w:pos="1985" w:val="left" w:leader="none"/>
        </w:tabs>
        <w:spacing w:line="240" w:lineRule="auto" w:before="62" w:after="49"/>
        <w:ind w:left="1984" w:right="0" w:hanging="567"/>
        <w:jc w:val="left"/>
        <w:rPr>
          <w:b/>
          <w:sz w:val="24"/>
        </w:rPr>
      </w:pPr>
      <w:r>
        <w:rPr>
          <w:b/>
          <w:w w:val="115"/>
          <w:sz w:val="24"/>
        </w:rPr>
        <w:t>Determining the intentions of the incapacitated</w:t>
      </w:r>
      <w:r>
        <w:rPr>
          <w:b/>
          <w:spacing w:val="7"/>
          <w:w w:val="115"/>
          <w:sz w:val="24"/>
        </w:rPr>
        <w:t> </w:t>
      </w:r>
      <w:r>
        <w:rPr>
          <w:b/>
          <w:w w:val="115"/>
          <w:sz w:val="24"/>
        </w:rPr>
        <w:t>person</w:t>
      </w:r>
    </w:p>
    <w:p>
      <w:pPr>
        <w:pStyle w:val="BodyText"/>
        <w:spacing w:line="40" w:lineRule="exact"/>
        <w:ind w:left="1397"/>
        <w:rPr>
          <w:sz w:val="4"/>
        </w:rPr>
      </w:pPr>
      <w:r>
        <w:rPr>
          <w:position w:val="0"/>
          <w:sz w:val="4"/>
        </w:rPr>
        <w:pict>
          <v:group style="width:25.55pt;height:2pt;mso-position-horizontal-relative:char;mso-position-vertical-relative:line" coordorigin="0,0" coordsize="511,40">
            <v:line style="position:absolute" from="0,20" to="510,20" stroked="true" strokeweight="2pt" strokecolor="#ffffff">
              <v:stroke dashstyle="solid"/>
            </v:line>
          </v:group>
        </w:pict>
      </w:r>
      <w:r>
        <w:rPr>
          <w:position w:val="0"/>
          <w:sz w:val="4"/>
        </w:rPr>
      </w:r>
    </w:p>
    <w:p>
      <w:pPr>
        <w:pStyle w:val="ListParagraph"/>
        <w:numPr>
          <w:ilvl w:val="0"/>
          <w:numId w:val="31"/>
        </w:numPr>
        <w:tabs>
          <w:tab w:pos="1984" w:val="left" w:leader="none"/>
          <w:tab w:pos="1985" w:val="left" w:leader="none"/>
        </w:tabs>
        <w:spacing w:line="240" w:lineRule="auto" w:before="91" w:after="0"/>
        <w:ind w:left="1984" w:right="0" w:hanging="567"/>
        <w:jc w:val="left"/>
        <w:rPr>
          <w:b/>
          <w:sz w:val="24"/>
        </w:rPr>
      </w:pPr>
      <w:r>
        <w:rPr/>
        <w:pict>
          <v:line style="position:absolute;mso-position-horizontal-relative:page;mso-position-vertical-relative:paragraph;z-index:728;mso-wrap-distance-left:0;mso-wrap-distance-right:0" from="70.866096pt,22.655577pt" to="96.378096pt,22.655577pt" stroked="true" strokeweight="2pt" strokecolor="#ffffff">
            <v:stroke dashstyle="solid"/>
            <w10:wrap type="topAndBottom"/>
          </v:line>
        </w:pict>
      </w:r>
      <w:r>
        <w:rPr>
          <w:b/>
          <w:spacing w:val="-3"/>
          <w:w w:val="115"/>
          <w:sz w:val="24"/>
        </w:rPr>
        <w:t>Involvement </w:t>
      </w:r>
      <w:r>
        <w:rPr>
          <w:b/>
          <w:w w:val="115"/>
          <w:sz w:val="24"/>
        </w:rPr>
        <w:t>of the incapacitated person in the</w:t>
      </w:r>
      <w:r>
        <w:rPr>
          <w:b/>
          <w:spacing w:val="13"/>
          <w:w w:val="115"/>
          <w:sz w:val="24"/>
        </w:rPr>
        <w:t> </w:t>
      </w:r>
      <w:r>
        <w:rPr>
          <w:b/>
          <w:w w:val="115"/>
          <w:sz w:val="24"/>
        </w:rPr>
        <w:t>decision</w:t>
      </w:r>
    </w:p>
    <w:p>
      <w:pPr>
        <w:tabs>
          <w:tab w:pos="1984" w:val="left" w:leader="none"/>
        </w:tabs>
        <w:spacing w:before="62" w:after="49"/>
        <w:ind w:left="1417" w:right="0" w:firstLine="0"/>
        <w:jc w:val="left"/>
        <w:rPr>
          <w:b/>
          <w:sz w:val="24"/>
        </w:rPr>
      </w:pPr>
      <w:r>
        <w:rPr>
          <w:b/>
          <w:w w:val="115"/>
          <w:sz w:val="24"/>
        </w:rPr>
        <w:t>28</w:t>
        <w:tab/>
        <w:t>Accessibility of the statutory wills</w:t>
      </w:r>
      <w:r>
        <w:rPr>
          <w:b/>
          <w:spacing w:val="12"/>
          <w:w w:val="115"/>
          <w:sz w:val="24"/>
        </w:rPr>
        <w:t> </w:t>
      </w:r>
      <w:r>
        <w:rPr>
          <w:b/>
          <w:w w:val="115"/>
          <w:sz w:val="24"/>
        </w:rPr>
        <w:t>process</w:t>
      </w:r>
    </w:p>
    <w:p>
      <w:pPr>
        <w:pStyle w:val="BodyText"/>
        <w:spacing w:line="40" w:lineRule="exact"/>
        <w:ind w:left="1397"/>
        <w:rPr>
          <w:sz w:val="4"/>
        </w:rPr>
      </w:pPr>
      <w:r>
        <w:rPr>
          <w:position w:val="0"/>
          <w:sz w:val="4"/>
        </w:rPr>
        <w:pict>
          <v:group style="width:25.55pt;height:2pt;mso-position-horizontal-relative:char;mso-position-vertical-relative:line" coordorigin="0,0" coordsize="511,40">
            <v:line style="position:absolute" from="0,20" to="510,20" stroked="true" strokeweight="2pt" strokecolor="#ffffff">
              <v:stroke dashstyle="solid"/>
            </v:line>
          </v:group>
        </w:pict>
      </w:r>
      <w:r>
        <w:rPr>
          <w:position w:val="0"/>
          <w:sz w:val="4"/>
        </w:rPr>
      </w:r>
    </w:p>
    <w:p>
      <w:pPr>
        <w:spacing w:after="0" w:line="40" w:lineRule="exact"/>
        <w:rPr>
          <w:sz w:val="4"/>
        </w:rPr>
        <w:sectPr>
          <w:headerReference w:type="default" r:id="rId26"/>
          <w:headerReference w:type="even" r:id="rId27"/>
          <w:pgSz w:w="11910" w:h="16840"/>
          <w:pgMar w:header="0" w:footer="0" w:top="700" w:bottom="280" w:left="0" w:right="0"/>
        </w:sectPr>
      </w:pPr>
    </w:p>
    <w:p>
      <w:pPr>
        <w:pStyle w:val="BodyText"/>
        <w:spacing w:before="10"/>
        <w:rPr>
          <w:b/>
          <w:sz w:val="18"/>
        </w:rPr>
      </w:pPr>
    </w:p>
    <w:p>
      <w:pPr>
        <w:pStyle w:val="ListParagraph"/>
        <w:numPr>
          <w:ilvl w:val="0"/>
          <w:numId w:val="22"/>
        </w:numPr>
        <w:tabs>
          <w:tab w:pos="1055" w:val="left" w:leader="none"/>
        </w:tabs>
        <w:spacing w:line="240" w:lineRule="auto" w:before="98" w:after="0"/>
        <w:ind w:left="1054" w:right="0" w:hanging="488"/>
        <w:jc w:val="left"/>
        <w:rPr>
          <w:b/>
          <w:sz w:val="44"/>
        </w:rPr>
      </w:pPr>
      <w:bookmarkStart w:name="3. Statutory wills" w:id="21"/>
      <w:bookmarkEnd w:id="21"/>
      <w:r>
        <w:rPr/>
      </w:r>
      <w:bookmarkStart w:name="Introduction" w:id="22"/>
      <w:bookmarkEnd w:id="22"/>
      <w:r>
        <w:rPr/>
      </w:r>
      <w:bookmarkStart w:name="Introduction" w:id="23"/>
      <w:bookmarkEnd w:id="23"/>
      <w:r>
        <w:rPr>
          <w:b/>
          <w:color w:val="EC5A4F"/>
          <w:spacing w:val="-4"/>
          <w:w w:val="115"/>
          <w:sz w:val="44"/>
        </w:rPr>
        <w:t>S</w:t>
      </w:r>
      <w:r>
        <w:rPr>
          <w:b/>
          <w:color w:val="EC5A4F"/>
          <w:spacing w:val="-4"/>
          <w:w w:val="115"/>
          <w:sz w:val="44"/>
        </w:rPr>
        <w:t>tatutory</w:t>
      </w:r>
      <w:r>
        <w:rPr>
          <w:b/>
          <w:color w:val="EC5A4F"/>
          <w:spacing w:val="6"/>
          <w:w w:val="115"/>
          <w:sz w:val="44"/>
        </w:rPr>
        <w:t> </w:t>
      </w:r>
      <w:r>
        <w:rPr>
          <w:b/>
          <w:color w:val="EC5A4F"/>
          <w:spacing w:val="-4"/>
          <w:w w:val="115"/>
          <w:sz w:val="44"/>
        </w:rPr>
        <w:t>wills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27"/>
        </w:rPr>
      </w:pPr>
    </w:p>
    <w:p>
      <w:pPr>
        <w:spacing w:before="99"/>
        <w:ind w:left="1587" w:right="0" w:firstLine="0"/>
        <w:jc w:val="left"/>
        <w:rPr>
          <w:b/>
          <w:sz w:val="28"/>
        </w:rPr>
      </w:pPr>
      <w:r>
        <w:rPr>
          <w:b/>
          <w:color w:val="EC5A4F"/>
          <w:w w:val="110"/>
          <w:sz w:val="28"/>
        </w:rPr>
        <w:t>Introduction</w:t>
      </w:r>
    </w:p>
    <w:p>
      <w:pPr>
        <w:pStyle w:val="ListParagraph"/>
        <w:numPr>
          <w:ilvl w:val="1"/>
          <w:numId w:val="22"/>
        </w:numPr>
        <w:tabs>
          <w:tab w:pos="2380" w:val="left" w:leader="none"/>
          <w:tab w:pos="2381" w:val="left" w:leader="none"/>
        </w:tabs>
        <w:spacing w:line="242" w:lineRule="auto" w:before="155" w:after="0"/>
        <w:ind w:left="2381" w:right="2002" w:hanging="794"/>
        <w:jc w:val="left"/>
        <w:rPr>
          <w:sz w:val="21"/>
        </w:rPr>
      </w:pPr>
      <w:r>
        <w:rPr>
          <w:w w:val="105"/>
          <w:sz w:val="21"/>
        </w:rPr>
        <w:t>The </w:t>
      </w:r>
      <w:r>
        <w:rPr>
          <w:spacing w:val="-3"/>
          <w:w w:val="105"/>
          <w:sz w:val="21"/>
        </w:rPr>
        <w:t>Commission </w:t>
      </w:r>
      <w:r>
        <w:rPr>
          <w:spacing w:val="-2"/>
          <w:w w:val="105"/>
          <w:sz w:val="21"/>
        </w:rPr>
        <w:t>has </w:t>
      </w:r>
      <w:r>
        <w:rPr>
          <w:w w:val="105"/>
          <w:sz w:val="21"/>
        </w:rPr>
        <w:t>been </w:t>
      </w:r>
      <w:r>
        <w:rPr>
          <w:spacing w:val="-3"/>
          <w:w w:val="105"/>
          <w:sz w:val="21"/>
        </w:rPr>
        <w:t>asked to </w:t>
      </w:r>
      <w:r>
        <w:rPr>
          <w:w w:val="105"/>
          <w:sz w:val="21"/>
        </w:rPr>
        <w:t>review and report on ‘whether the </w:t>
      </w:r>
      <w:r>
        <w:rPr>
          <w:spacing w:val="-3"/>
          <w:w w:val="105"/>
          <w:sz w:val="21"/>
        </w:rPr>
        <w:t>current requirements that allow </w:t>
      </w:r>
      <w:r>
        <w:rPr>
          <w:w w:val="105"/>
          <w:sz w:val="21"/>
        </w:rPr>
        <w:t>the </w:t>
      </w:r>
      <w:r>
        <w:rPr>
          <w:spacing w:val="-3"/>
          <w:w w:val="105"/>
          <w:sz w:val="21"/>
        </w:rPr>
        <w:t>Supreme Court to </w:t>
      </w:r>
      <w:r>
        <w:rPr>
          <w:w w:val="105"/>
          <w:sz w:val="21"/>
        </w:rPr>
        <w:t>authorise </w:t>
      </w:r>
      <w:r>
        <w:rPr>
          <w:spacing w:val="-3"/>
          <w:w w:val="105"/>
          <w:sz w:val="21"/>
        </w:rPr>
        <w:t>wills for </w:t>
      </w:r>
      <w:r>
        <w:rPr>
          <w:w w:val="105"/>
          <w:sz w:val="21"/>
        </w:rPr>
        <w:t>persons who do </w:t>
      </w:r>
      <w:r>
        <w:rPr>
          <w:spacing w:val="-2"/>
          <w:w w:val="105"/>
          <w:sz w:val="21"/>
        </w:rPr>
        <w:t>not </w:t>
      </w:r>
      <w:r>
        <w:rPr>
          <w:spacing w:val="-3"/>
          <w:w w:val="105"/>
          <w:sz w:val="21"/>
        </w:rPr>
        <w:t>have </w:t>
      </w:r>
      <w:r>
        <w:rPr>
          <w:w w:val="105"/>
          <w:sz w:val="21"/>
        </w:rPr>
        <w:t>testamentary capacity should be</w:t>
      </w:r>
      <w:r>
        <w:rPr>
          <w:spacing w:val="21"/>
          <w:w w:val="105"/>
          <w:sz w:val="21"/>
        </w:rPr>
        <w:t> </w:t>
      </w:r>
      <w:r>
        <w:rPr>
          <w:spacing w:val="-4"/>
          <w:w w:val="105"/>
          <w:sz w:val="21"/>
        </w:rPr>
        <w:t>revised’.</w:t>
      </w:r>
    </w:p>
    <w:p>
      <w:pPr>
        <w:pStyle w:val="ListParagraph"/>
        <w:numPr>
          <w:ilvl w:val="1"/>
          <w:numId w:val="22"/>
        </w:numPr>
        <w:tabs>
          <w:tab w:pos="2380" w:val="left" w:leader="none"/>
          <w:tab w:pos="2381" w:val="left" w:leader="none"/>
        </w:tabs>
        <w:spacing w:line="242" w:lineRule="auto" w:before="123" w:after="0"/>
        <w:ind w:left="2381" w:right="1598" w:hanging="794"/>
        <w:jc w:val="left"/>
        <w:rPr>
          <w:sz w:val="21"/>
        </w:rPr>
      </w:pPr>
      <w:r>
        <w:rPr>
          <w:spacing w:val="-3"/>
          <w:sz w:val="21"/>
        </w:rPr>
        <w:t>Since </w:t>
      </w:r>
      <w:r>
        <w:rPr>
          <w:spacing w:val="-9"/>
          <w:sz w:val="21"/>
        </w:rPr>
        <w:t>1997, </w:t>
      </w:r>
      <w:r>
        <w:rPr>
          <w:sz w:val="21"/>
        </w:rPr>
        <w:t>the </w:t>
      </w:r>
      <w:r>
        <w:rPr>
          <w:spacing w:val="-3"/>
          <w:sz w:val="21"/>
        </w:rPr>
        <w:t>Supreme Court </w:t>
      </w:r>
      <w:r>
        <w:rPr>
          <w:spacing w:val="-2"/>
          <w:sz w:val="21"/>
        </w:rPr>
        <w:t>has had  </w:t>
      </w:r>
      <w:r>
        <w:rPr>
          <w:sz w:val="21"/>
        </w:rPr>
        <w:t>the  power  under  Part  3  of  the  </w:t>
      </w:r>
      <w:r>
        <w:rPr>
          <w:i/>
          <w:sz w:val="21"/>
        </w:rPr>
        <w:t>Wills  Act  </w:t>
      </w:r>
      <w:r>
        <w:rPr>
          <w:i/>
          <w:spacing w:val="-8"/>
          <w:sz w:val="21"/>
        </w:rPr>
        <w:t>1997 </w:t>
      </w:r>
      <w:r>
        <w:rPr>
          <w:sz w:val="21"/>
        </w:rPr>
        <w:t>(Vic) </w:t>
      </w:r>
      <w:r>
        <w:rPr>
          <w:spacing w:val="-3"/>
          <w:sz w:val="21"/>
        </w:rPr>
        <w:t>to </w:t>
      </w:r>
      <w:r>
        <w:rPr>
          <w:sz w:val="21"/>
        </w:rPr>
        <w:t>authorise a </w:t>
      </w:r>
      <w:r>
        <w:rPr>
          <w:spacing w:val="-3"/>
          <w:sz w:val="21"/>
        </w:rPr>
        <w:t>will for </w:t>
      </w:r>
      <w:r>
        <w:rPr>
          <w:sz w:val="21"/>
        </w:rPr>
        <w:t>a person who lacks testamentary </w:t>
      </w:r>
      <w:r>
        <w:rPr>
          <w:spacing w:val="-3"/>
          <w:sz w:val="21"/>
        </w:rPr>
        <w:t>capacity. </w:t>
      </w:r>
      <w:r>
        <w:rPr>
          <w:sz w:val="21"/>
        </w:rPr>
        <w:t>The </w:t>
      </w:r>
      <w:r>
        <w:rPr>
          <w:spacing w:val="-3"/>
          <w:sz w:val="21"/>
        </w:rPr>
        <w:t>Court </w:t>
      </w:r>
      <w:r>
        <w:rPr>
          <w:sz w:val="21"/>
        </w:rPr>
        <w:t>does </w:t>
      </w:r>
      <w:r>
        <w:rPr>
          <w:spacing w:val="-2"/>
          <w:sz w:val="21"/>
        </w:rPr>
        <w:t>not </w:t>
      </w:r>
      <w:r>
        <w:rPr>
          <w:spacing w:val="-4"/>
          <w:sz w:val="21"/>
        </w:rPr>
        <w:t>make </w:t>
      </w:r>
      <w:r>
        <w:rPr>
          <w:sz w:val="21"/>
        </w:rPr>
        <w:t>a will: it </w:t>
      </w:r>
      <w:r>
        <w:rPr>
          <w:spacing w:val="-3"/>
          <w:sz w:val="21"/>
        </w:rPr>
        <w:t>determines </w:t>
      </w:r>
      <w:r>
        <w:rPr>
          <w:sz w:val="21"/>
        </w:rPr>
        <w:t>whether </w:t>
      </w:r>
      <w:r>
        <w:rPr>
          <w:spacing w:val="-3"/>
          <w:sz w:val="21"/>
        </w:rPr>
        <w:t>to </w:t>
      </w:r>
      <w:r>
        <w:rPr>
          <w:sz w:val="21"/>
        </w:rPr>
        <w:t>authorise a </w:t>
      </w:r>
      <w:r>
        <w:rPr>
          <w:spacing w:val="-3"/>
          <w:sz w:val="21"/>
        </w:rPr>
        <w:t>will </w:t>
      </w:r>
      <w:r>
        <w:rPr>
          <w:sz w:val="21"/>
        </w:rPr>
        <w:t>proposed by the </w:t>
      </w:r>
      <w:r>
        <w:rPr>
          <w:spacing w:val="-3"/>
          <w:sz w:val="21"/>
        </w:rPr>
        <w:t>applicant. </w:t>
      </w:r>
      <w:r>
        <w:rPr>
          <w:sz w:val="21"/>
        </w:rPr>
        <w:t>However these</w:t>
      </w:r>
      <w:r>
        <w:rPr>
          <w:spacing w:val="9"/>
          <w:sz w:val="21"/>
        </w:rPr>
        <w:t> </w:t>
      </w:r>
      <w:r>
        <w:rPr>
          <w:spacing w:val="-3"/>
          <w:sz w:val="21"/>
        </w:rPr>
        <w:t>wills</w:t>
      </w:r>
      <w:r>
        <w:rPr>
          <w:spacing w:val="9"/>
          <w:sz w:val="21"/>
        </w:rPr>
        <w:t> </w:t>
      </w:r>
      <w:r>
        <w:rPr>
          <w:spacing w:val="-3"/>
          <w:sz w:val="21"/>
        </w:rPr>
        <w:t>are</w:t>
      </w:r>
      <w:r>
        <w:rPr>
          <w:spacing w:val="10"/>
          <w:sz w:val="21"/>
        </w:rPr>
        <w:t> </w:t>
      </w:r>
      <w:r>
        <w:rPr>
          <w:spacing w:val="-2"/>
          <w:sz w:val="21"/>
        </w:rPr>
        <w:t>commonly</w:t>
      </w:r>
      <w:r>
        <w:rPr>
          <w:spacing w:val="9"/>
          <w:sz w:val="21"/>
        </w:rPr>
        <w:t> </w:t>
      </w:r>
      <w:r>
        <w:rPr>
          <w:spacing w:val="-3"/>
          <w:sz w:val="21"/>
        </w:rPr>
        <w:t>referred</w:t>
      </w:r>
      <w:r>
        <w:rPr>
          <w:spacing w:val="10"/>
          <w:sz w:val="21"/>
        </w:rPr>
        <w:t> </w:t>
      </w:r>
      <w:r>
        <w:rPr>
          <w:spacing w:val="-3"/>
          <w:sz w:val="21"/>
        </w:rPr>
        <w:t>to</w:t>
      </w:r>
      <w:r>
        <w:rPr>
          <w:spacing w:val="9"/>
          <w:sz w:val="21"/>
        </w:rPr>
        <w:t> </w:t>
      </w:r>
      <w:r>
        <w:rPr>
          <w:sz w:val="21"/>
        </w:rPr>
        <w:t>as</w:t>
      </w:r>
      <w:r>
        <w:rPr>
          <w:spacing w:val="9"/>
          <w:sz w:val="21"/>
        </w:rPr>
        <w:t> </w:t>
      </w:r>
      <w:r>
        <w:rPr>
          <w:sz w:val="21"/>
        </w:rPr>
        <w:t>‘statutory</w:t>
      </w:r>
      <w:r>
        <w:rPr>
          <w:spacing w:val="10"/>
          <w:sz w:val="21"/>
        </w:rPr>
        <w:t> </w:t>
      </w:r>
      <w:r>
        <w:rPr>
          <w:spacing w:val="-6"/>
          <w:sz w:val="21"/>
        </w:rPr>
        <w:t>wills’.</w:t>
      </w:r>
    </w:p>
    <w:p>
      <w:pPr>
        <w:pStyle w:val="ListParagraph"/>
        <w:numPr>
          <w:ilvl w:val="1"/>
          <w:numId w:val="22"/>
        </w:numPr>
        <w:tabs>
          <w:tab w:pos="2380" w:val="left" w:leader="none"/>
          <w:tab w:pos="2381" w:val="left" w:leader="none"/>
        </w:tabs>
        <w:spacing w:line="242" w:lineRule="auto" w:before="124" w:after="0"/>
        <w:ind w:left="2380" w:right="1862" w:hanging="793"/>
        <w:jc w:val="left"/>
        <w:rPr>
          <w:sz w:val="12"/>
        </w:rPr>
      </w:pPr>
      <w:r>
        <w:rPr>
          <w:sz w:val="21"/>
        </w:rPr>
        <w:t>The </w:t>
      </w:r>
      <w:r>
        <w:rPr>
          <w:spacing w:val="-3"/>
          <w:sz w:val="21"/>
        </w:rPr>
        <w:t>National Committee for Uniform Succession </w:t>
      </w:r>
      <w:r>
        <w:rPr>
          <w:sz w:val="21"/>
        </w:rPr>
        <w:t>Laws recommended a statutory </w:t>
      </w:r>
      <w:r>
        <w:rPr>
          <w:spacing w:val="-3"/>
          <w:sz w:val="21"/>
        </w:rPr>
        <w:t>wills regime that </w:t>
      </w:r>
      <w:r>
        <w:rPr>
          <w:sz w:val="21"/>
        </w:rPr>
        <w:t>is very </w:t>
      </w:r>
      <w:r>
        <w:rPr>
          <w:spacing w:val="-3"/>
          <w:sz w:val="21"/>
        </w:rPr>
        <w:t>similar to Victoria’s </w:t>
      </w:r>
      <w:r>
        <w:rPr>
          <w:spacing w:val="-5"/>
          <w:sz w:val="21"/>
        </w:rPr>
        <w:t>scheme.</w:t>
      </w:r>
      <w:r>
        <w:rPr>
          <w:spacing w:val="-5"/>
          <w:position w:val="7"/>
          <w:sz w:val="12"/>
        </w:rPr>
        <w:t>1 </w:t>
      </w:r>
      <w:r>
        <w:rPr>
          <w:sz w:val="21"/>
        </w:rPr>
        <w:t>All </w:t>
      </w:r>
      <w:r>
        <w:rPr>
          <w:spacing w:val="-3"/>
          <w:sz w:val="21"/>
        </w:rPr>
        <w:t>Australian </w:t>
      </w:r>
      <w:r>
        <w:rPr>
          <w:sz w:val="21"/>
        </w:rPr>
        <w:t>states and </w:t>
      </w:r>
      <w:r>
        <w:rPr>
          <w:spacing w:val="-3"/>
          <w:sz w:val="21"/>
        </w:rPr>
        <w:t>territories </w:t>
      </w:r>
      <w:r>
        <w:rPr>
          <w:sz w:val="21"/>
        </w:rPr>
        <w:t>now </w:t>
      </w:r>
      <w:r>
        <w:rPr>
          <w:spacing w:val="-3"/>
          <w:sz w:val="21"/>
        </w:rPr>
        <w:t>have</w:t>
      </w:r>
      <w:r>
        <w:rPr>
          <w:spacing w:val="9"/>
          <w:sz w:val="21"/>
        </w:rPr>
        <w:t> </w:t>
      </w:r>
      <w:r>
        <w:rPr>
          <w:sz w:val="21"/>
        </w:rPr>
        <w:t>a</w:t>
      </w:r>
      <w:r>
        <w:rPr>
          <w:spacing w:val="10"/>
          <w:sz w:val="21"/>
        </w:rPr>
        <w:t> </w:t>
      </w:r>
      <w:r>
        <w:rPr>
          <w:spacing w:val="-3"/>
          <w:sz w:val="21"/>
        </w:rPr>
        <w:t>similar</w:t>
      </w:r>
      <w:r>
        <w:rPr>
          <w:spacing w:val="10"/>
          <w:sz w:val="21"/>
        </w:rPr>
        <w:t> </w:t>
      </w:r>
      <w:r>
        <w:rPr>
          <w:spacing w:val="-3"/>
          <w:sz w:val="21"/>
        </w:rPr>
        <w:t>regime</w:t>
      </w:r>
      <w:r>
        <w:rPr>
          <w:spacing w:val="10"/>
          <w:sz w:val="21"/>
        </w:rPr>
        <w:t> </w:t>
      </w:r>
      <w:r>
        <w:rPr>
          <w:sz w:val="21"/>
        </w:rPr>
        <w:t>in</w:t>
      </w:r>
      <w:r>
        <w:rPr>
          <w:spacing w:val="10"/>
          <w:sz w:val="21"/>
        </w:rPr>
        <w:t> </w:t>
      </w:r>
      <w:r>
        <w:rPr>
          <w:sz w:val="21"/>
        </w:rPr>
        <w:t>their</w:t>
      </w:r>
      <w:r>
        <w:rPr>
          <w:spacing w:val="10"/>
          <w:sz w:val="21"/>
        </w:rPr>
        <w:t> </w:t>
      </w:r>
      <w:r>
        <w:rPr>
          <w:spacing w:val="-3"/>
          <w:sz w:val="21"/>
        </w:rPr>
        <w:t>succession</w:t>
      </w:r>
      <w:r>
        <w:rPr>
          <w:spacing w:val="10"/>
          <w:sz w:val="21"/>
        </w:rPr>
        <w:t> </w:t>
      </w:r>
      <w:r>
        <w:rPr>
          <w:spacing w:val="-3"/>
          <w:sz w:val="21"/>
        </w:rPr>
        <w:t>legislation.</w:t>
      </w:r>
      <w:r>
        <w:rPr>
          <w:spacing w:val="-3"/>
          <w:position w:val="7"/>
          <w:sz w:val="12"/>
        </w:rPr>
        <w:t>2</w:t>
      </w:r>
    </w:p>
    <w:p>
      <w:pPr>
        <w:pStyle w:val="ListParagraph"/>
        <w:numPr>
          <w:ilvl w:val="1"/>
          <w:numId w:val="22"/>
        </w:numPr>
        <w:tabs>
          <w:tab w:pos="2380" w:val="left" w:leader="none"/>
          <w:tab w:pos="2382" w:val="left" w:leader="none"/>
        </w:tabs>
        <w:spacing w:line="242" w:lineRule="auto" w:before="124" w:after="0"/>
        <w:ind w:left="2381" w:right="1835" w:hanging="794"/>
        <w:jc w:val="left"/>
        <w:rPr>
          <w:sz w:val="21"/>
        </w:rPr>
      </w:pPr>
      <w:r>
        <w:rPr>
          <w:sz w:val="21"/>
        </w:rPr>
        <w:t>In the </w:t>
      </w:r>
      <w:r>
        <w:rPr>
          <w:spacing w:val="-3"/>
          <w:sz w:val="21"/>
        </w:rPr>
        <w:t>consultation </w:t>
      </w:r>
      <w:r>
        <w:rPr>
          <w:sz w:val="21"/>
        </w:rPr>
        <w:t>paper on </w:t>
      </w:r>
      <w:r>
        <w:rPr>
          <w:spacing w:val="-3"/>
          <w:sz w:val="21"/>
        </w:rPr>
        <w:t>wills, </w:t>
      </w:r>
      <w:r>
        <w:rPr>
          <w:sz w:val="21"/>
        </w:rPr>
        <w:t>the </w:t>
      </w:r>
      <w:r>
        <w:rPr>
          <w:spacing w:val="-3"/>
          <w:sz w:val="21"/>
        </w:rPr>
        <w:t>Commission </w:t>
      </w:r>
      <w:r>
        <w:rPr>
          <w:spacing w:val="-2"/>
          <w:sz w:val="21"/>
        </w:rPr>
        <w:t>examined </w:t>
      </w:r>
      <w:r>
        <w:rPr>
          <w:spacing w:val="-3"/>
          <w:sz w:val="21"/>
        </w:rPr>
        <w:t>Victoria’s </w:t>
      </w:r>
      <w:r>
        <w:rPr>
          <w:sz w:val="21"/>
        </w:rPr>
        <w:t>statutory </w:t>
      </w:r>
      <w:r>
        <w:rPr>
          <w:spacing w:val="-3"/>
          <w:sz w:val="21"/>
        </w:rPr>
        <w:t>wills </w:t>
      </w:r>
      <w:r>
        <w:rPr>
          <w:sz w:val="21"/>
        </w:rPr>
        <w:t>scheme in order </w:t>
      </w:r>
      <w:r>
        <w:rPr>
          <w:spacing w:val="-3"/>
          <w:sz w:val="21"/>
        </w:rPr>
        <w:t>to determine </w:t>
      </w:r>
      <w:r>
        <w:rPr>
          <w:sz w:val="21"/>
        </w:rPr>
        <w:t>if it is </w:t>
      </w:r>
      <w:r>
        <w:rPr>
          <w:spacing w:val="-3"/>
          <w:sz w:val="21"/>
        </w:rPr>
        <w:t>operating </w:t>
      </w:r>
      <w:r>
        <w:rPr>
          <w:spacing w:val="-4"/>
          <w:sz w:val="21"/>
        </w:rPr>
        <w:t>justly, </w:t>
      </w:r>
      <w:r>
        <w:rPr>
          <w:spacing w:val="-3"/>
          <w:sz w:val="21"/>
        </w:rPr>
        <w:t>fairly </w:t>
      </w:r>
      <w:r>
        <w:rPr>
          <w:sz w:val="21"/>
        </w:rPr>
        <w:t>and in </w:t>
      </w:r>
      <w:r>
        <w:rPr>
          <w:spacing w:val="-3"/>
          <w:sz w:val="21"/>
        </w:rPr>
        <w:t>accordance </w:t>
      </w:r>
      <w:r>
        <w:rPr>
          <w:sz w:val="21"/>
        </w:rPr>
        <w:t>with community expectations. It identified three </w:t>
      </w:r>
      <w:r>
        <w:rPr>
          <w:spacing w:val="-3"/>
          <w:sz w:val="21"/>
        </w:rPr>
        <w:t>significant  </w:t>
      </w:r>
      <w:r>
        <w:rPr>
          <w:sz w:val="21"/>
        </w:rPr>
        <w:t>matters at the outset. First, as    the </w:t>
      </w:r>
      <w:r>
        <w:rPr>
          <w:spacing w:val="-3"/>
          <w:sz w:val="21"/>
        </w:rPr>
        <w:t>Court </w:t>
      </w:r>
      <w:r>
        <w:rPr>
          <w:sz w:val="21"/>
        </w:rPr>
        <w:t>is being </w:t>
      </w:r>
      <w:r>
        <w:rPr>
          <w:spacing w:val="-3"/>
          <w:sz w:val="21"/>
        </w:rPr>
        <w:t>asked to </w:t>
      </w:r>
      <w:r>
        <w:rPr>
          <w:sz w:val="21"/>
        </w:rPr>
        <w:t>authorise a </w:t>
      </w:r>
      <w:r>
        <w:rPr>
          <w:spacing w:val="-3"/>
          <w:sz w:val="21"/>
        </w:rPr>
        <w:t>will for </w:t>
      </w:r>
      <w:r>
        <w:rPr>
          <w:sz w:val="21"/>
        </w:rPr>
        <w:t>a </w:t>
      </w:r>
      <w:r>
        <w:rPr>
          <w:spacing w:val="-3"/>
          <w:sz w:val="21"/>
        </w:rPr>
        <w:t>living </w:t>
      </w:r>
      <w:r>
        <w:rPr>
          <w:sz w:val="21"/>
        </w:rPr>
        <w:t>person, the test </w:t>
      </w:r>
      <w:r>
        <w:rPr>
          <w:spacing w:val="-3"/>
          <w:sz w:val="21"/>
        </w:rPr>
        <w:t>that </w:t>
      </w:r>
      <w:r>
        <w:rPr>
          <w:sz w:val="21"/>
        </w:rPr>
        <w:t>the </w:t>
      </w:r>
      <w:r>
        <w:rPr>
          <w:spacing w:val="-3"/>
          <w:sz w:val="21"/>
        </w:rPr>
        <w:t>Court </w:t>
      </w:r>
      <w:r>
        <w:rPr>
          <w:sz w:val="21"/>
        </w:rPr>
        <w:t>applies </w:t>
      </w:r>
      <w:r>
        <w:rPr>
          <w:spacing w:val="-3"/>
          <w:sz w:val="21"/>
        </w:rPr>
        <w:t>to determine </w:t>
      </w:r>
      <w:r>
        <w:rPr>
          <w:sz w:val="21"/>
        </w:rPr>
        <w:t>the </w:t>
      </w:r>
      <w:r>
        <w:rPr>
          <w:spacing w:val="-3"/>
          <w:sz w:val="21"/>
        </w:rPr>
        <w:t>person’s intentions </w:t>
      </w:r>
      <w:r>
        <w:rPr>
          <w:sz w:val="21"/>
        </w:rPr>
        <w:t>is of </w:t>
      </w:r>
      <w:r>
        <w:rPr>
          <w:spacing w:val="-3"/>
          <w:sz w:val="21"/>
        </w:rPr>
        <w:t>fundamental  </w:t>
      </w:r>
      <w:r>
        <w:rPr>
          <w:sz w:val="21"/>
        </w:rPr>
        <w:t>importance.  </w:t>
      </w:r>
      <w:r>
        <w:rPr>
          <w:spacing w:val="-3"/>
          <w:sz w:val="21"/>
        </w:rPr>
        <w:t>Secondly, </w:t>
      </w:r>
      <w:r>
        <w:rPr>
          <w:sz w:val="21"/>
        </w:rPr>
        <w:t>given </w:t>
      </w:r>
      <w:r>
        <w:rPr>
          <w:spacing w:val="-3"/>
          <w:sz w:val="21"/>
        </w:rPr>
        <w:t>that </w:t>
      </w:r>
      <w:r>
        <w:rPr>
          <w:sz w:val="21"/>
        </w:rPr>
        <w:t>capacity </w:t>
      </w:r>
      <w:r>
        <w:rPr>
          <w:spacing w:val="-3"/>
          <w:sz w:val="21"/>
        </w:rPr>
        <w:t>to </w:t>
      </w:r>
      <w:r>
        <w:rPr>
          <w:spacing w:val="-4"/>
          <w:sz w:val="21"/>
        </w:rPr>
        <w:t>make </w:t>
      </w:r>
      <w:r>
        <w:rPr>
          <w:sz w:val="21"/>
        </w:rPr>
        <w:t>decisions </w:t>
      </w:r>
      <w:r>
        <w:rPr>
          <w:spacing w:val="-2"/>
          <w:sz w:val="21"/>
        </w:rPr>
        <w:t>ranges </w:t>
      </w:r>
      <w:r>
        <w:rPr>
          <w:sz w:val="21"/>
        </w:rPr>
        <w:t>across a broad spectrum, the ability of</w:t>
      </w:r>
      <w:r>
        <w:rPr>
          <w:spacing w:val="21"/>
          <w:sz w:val="21"/>
        </w:rPr>
        <w:t> </w:t>
      </w:r>
      <w:r>
        <w:rPr>
          <w:sz w:val="21"/>
        </w:rPr>
        <w:t>the</w:t>
      </w:r>
    </w:p>
    <w:p>
      <w:pPr>
        <w:pStyle w:val="BodyText"/>
        <w:spacing w:line="242" w:lineRule="auto" w:before="6"/>
        <w:ind w:left="2381" w:right="1619"/>
      </w:pPr>
      <w:r>
        <w:rPr/>
        <w:t>person involved to give their views is a significant consideration. Thirdly, the statutory wills scheme is rarely used, so the Commission has examined its accessibility.</w:t>
      </w:r>
    </w:p>
    <w:p>
      <w:pPr>
        <w:pStyle w:val="ListParagraph"/>
        <w:numPr>
          <w:ilvl w:val="1"/>
          <w:numId w:val="22"/>
        </w:numPr>
        <w:tabs>
          <w:tab w:pos="2380" w:val="left" w:leader="none"/>
          <w:tab w:pos="2381" w:val="left" w:leader="none"/>
        </w:tabs>
        <w:spacing w:line="242" w:lineRule="auto" w:before="122" w:after="0"/>
        <w:ind w:left="2380" w:right="1732" w:hanging="793"/>
        <w:jc w:val="left"/>
        <w:rPr>
          <w:sz w:val="21"/>
        </w:rPr>
      </w:pPr>
      <w:r>
        <w:rPr>
          <w:sz w:val="21"/>
        </w:rPr>
        <w:t>Most of those who made </w:t>
      </w:r>
      <w:r>
        <w:rPr>
          <w:spacing w:val="-3"/>
          <w:sz w:val="21"/>
        </w:rPr>
        <w:t>submissions  </w:t>
      </w:r>
      <w:r>
        <w:rPr>
          <w:sz w:val="21"/>
        </w:rPr>
        <w:t>or  attended  </w:t>
      </w:r>
      <w:r>
        <w:rPr>
          <w:spacing w:val="-3"/>
          <w:sz w:val="21"/>
        </w:rPr>
        <w:t>consultations  </w:t>
      </w:r>
      <w:r>
        <w:rPr>
          <w:sz w:val="21"/>
        </w:rPr>
        <w:t>told  the  </w:t>
      </w:r>
      <w:r>
        <w:rPr>
          <w:spacing w:val="-3"/>
          <w:sz w:val="21"/>
        </w:rPr>
        <w:t>Commission that </w:t>
      </w:r>
      <w:r>
        <w:rPr>
          <w:sz w:val="21"/>
        </w:rPr>
        <w:t>the statutory </w:t>
      </w:r>
      <w:r>
        <w:rPr>
          <w:spacing w:val="-3"/>
          <w:sz w:val="21"/>
        </w:rPr>
        <w:t>wills </w:t>
      </w:r>
      <w:r>
        <w:rPr>
          <w:sz w:val="21"/>
        </w:rPr>
        <w:t>system is </w:t>
      </w:r>
      <w:r>
        <w:rPr>
          <w:spacing w:val="-3"/>
          <w:sz w:val="21"/>
        </w:rPr>
        <w:t>working  well  </w:t>
      </w:r>
      <w:r>
        <w:rPr>
          <w:sz w:val="21"/>
        </w:rPr>
        <w:t>and does </w:t>
      </w:r>
      <w:r>
        <w:rPr>
          <w:spacing w:val="-2"/>
          <w:sz w:val="21"/>
        </w:rPr>
        <w:t>not</w:t>
      </w:r>
      <w:r>
        <w:rPr>
          <w:spacing w:val="43"/>
          <w:sz w:val="21"/>
        </w:rPr>
        <w:t> </w:t>
      </w:r>
      <w:r>
        <w:rPr>
          <w:spacing w:val="-3"/>
          <w:sz w:val="21"/>
        </w:rPr>
        <w:t>require  any  </w:t>
      </w:r>
      <w:r>
        <w:rPr>
          <w:sz w:val="21"/>
        </w:rPr>
        <w:t>major </w:t>
      </w:r>
      <w:r>
        <w:rPr>
          <w:spacing w:val="-3"/>
          <w:sz w:val="21"/>
        </w:rPr>
        <w:t>reform. </w:t>
      </w:r>
      <w:r>
        <w:rPr>
          <w:sz w:val="21"/>
        </w:rPr>
        <w:t>One participant at the </w:t>
      </w:r>
      <w:r>
        <w:rPr>
          <w:spacing w:val="-3"/>
          <w:sz w:val="21"/>
        </w:rPr>
        <w:t>wills </w:t>
      </w:r>
      <w:r>
        <w:rPr>
          <w:sz w:val="21"/>
        </w:rPr>
        <w:t>roundtable suggested </w:t>
      </w:r>
      <w:r>
        <w:rPr>
          <w:spacing w:val="-3"/>
          <w:sz w:val="21"/>
        </w:rPr>
        <w:t>allowing applications to </w:t>
      </w:r>
      <w:r>
        <w:rPr>
          <w:sz w:val="21"/>
        </w:rPr>
        <w:t>be made </w:t>
      </w:r>
      <w:r>
        <w:rPr>
          <w:spacing w:val="-3"/>
          <w:sz w:val="21"/>
        </w:rPr>
        <w:t>for </w:t>
      </w:r>
      <w:r>
        <w:rPr>
          <w:sz w:val="21"/>
        </w:rPr>
        <w:t>a statutory </w:t>
      </w:r>
      <w:r>
        <w:rPr>
          <w:spacing w:val="-3"/>
          <w:sz w:val="21"/>
        </w:rPr>
        <w:t>will  </w:t>
      </w:r>
      <w:r>
        <w:rPr>
          <w:sz w:val="21"/>
        </w:rPr>
        <w:t>after the person </w:t>
      </w:r>
      <w:r>
        <w:rPr>
          <w:spacing w:val="-2"/>
          <w:sz w:val="21"/>
        </w:rPr>
        <w:t>has</w:t>
      </w:r>
      <w:r>
        <w:rPr>
          <w:spacing w:val="43"/>
          <w:sz w:val="21"/>
        </w:rPr>
        <w:t> </w:t>
      </w:r>
      <w:r>
        <w:rPr>
          <w:sz w:val="21"/>
        </w:rPr>
        <w:t>died.</w:t>
      </w:r>
      <w:r>
        <w:rPr>
          <w:position w:val="7"/>
          <w:sz w:val="12"/>
        </w:rPr>
        <w:t>3  </w:t>
      </w:r>
      <w:r>
        <w:rPr>
          <w:spacing w:val="-4"/>
          <w:sz w:val="21"/>
        </w:rPr>
        <w:t>However,  </w:t>
      </w:r>
      <w:r>
        <w:rPr>
          <w:sz w:val="21"/>
        </w:rPr>
        <w:t>the </w:t>
      </w:r>
      <w:r>
        <w:rPr>
          <w:spacing w:val="-3"/>
          <w:sz w:val="21"/>
        </w:rPr>
        <w:t>Commission  </w:t>
      </w:r>
      <w:r>
        <w:rPr>
          <w:sz w:val="21"/>
        </w:rPr>
        <w:t>does </w:t>
      </w:r>
      <w:r>
        <w:rPr>
          <w:spacing w:val="-2"/>
          <w:sz w:val="21"/>
        </w:rPr>
        <w:t>not  </w:t>
      </w:r>
      <w:r>
        <w:rPr>
          <w:spacing w:val="-3"/>
          <w:sz w:val="21"/>
        </w:rPr>
        <w:t>favour  such </w:t>
      </w:r>
      <w:r>
        <w:rPr>
          <w:sz w:val="21"/>
        </w:rPr>
        <w:t>a </w:t>
      </w:r>
      <w:r>
        <w:rPr>
          <w:spacing w:val="-3"/>
          <w:sz w:val="21"/>
        </w:rPr>
        <w:t>change, </w:t>
      </w:r>
      <w:r>
        <w:rPr>
          <w:sz w:val="21"/>
        </w:rPr>
        <w:t>as it would </w:t>
      </w:r>
      <w:r>
        <w:rPr>
          <w:spacing w:val="-3"/>
          <w:sz w:val="21"/>
        </w:rPr>
        <w:t>create </w:t>
      </w:r>
      <w:r>
        <w:rPr>
          <w:sz w:val="21"/>
        </w:rPr>
        <w:t>difficulties with </w:t>
      </w:r>
      <w:r>
        <w:rPr>
          <w:spacing w:val="-3"/>
          <w:sz w:val="21"/>
        </w:rPr>
        <w:t>overlapping family provision</w:t>
      </w:r>
      <w:r>
        <w:rPr>
          <w:spacing w:val="26"/>
          <w:sz w:val="21"/>
        </w:rPr>
        <w:t> </w:t>
      </w:r>
      <w:r>
        <w:rPr>
          <w:sz w:val="21"/>
        </w:rPr>
        <w:t>jurisdiction.</w:t>
      </w:r>
    </w:p>
    <w:p>
      <w:pPr>
        <w:pStyle w:val="ListParagraph"/>
        <w:numPr>
          <w:ilvl w:val="1"/>
          <w:numId w:val="22"/>
        </w:numPr>
        <w:tabs>
          <w:tab w:pos="2381" w:val="left" w:leader="none"/>
          <w:tab w:pos="2382" w:val="left" w:leader="none"/>
        </w:tabs>
        <w:spacing w:line="240" w:lineRule="auto" w:before="126" w:after="0"/>
        <w:ind w:left="2381" w:right="0" w:hanging="794"/>
        <w:jc w:val="left"/>
        <w:rPr>
          <w:sz w:val="21"/>
        </w:rPr>
      </w:pPr>
      <w:r>
        <w:rPr>
          <w:sz w:val="21"/>
        </w:rPr>
        <w:t>This </w:t>
      </w:r>
      <w:r>
        <w:rPr>
          <w:spacing w:val="-3"/>
          <w:sz w:val="21"/>
        </w:rPr>
        <w:t>chapter outlines </w:t>
      </w:r>
      <w:r>
        <w:rPr>
          <w:sz w:val="21"/>
        </w:rPr>
        <w:t>the </w:t>
      </w:r>
      <w:r>
        <w:rPr>
          <w:spacing w:val="-4"/>
          <w:sz w:val="21"/>
        </w:rPr>
        <w:t>Commission’s </w:t>
      </w:r>
      <w:r>
        <w:rPr>
          <w:sz w:val="21"/>
        </w:rPr>
        <w:t>views in </w:t>
      </w:r>
      <w:r>
        <w:rPr>
          <w:spacing w:val="-3"/>
          <w:sz w:val="21"/>
        </w:rPr>
        <w:t>relation</w:t>
      </w:r>
      <w:r>
        <w:rPr>
          <w:spacing w:val="-1"/>
          <w:sz w:val="21"/>
        </w:rPr>
        <w:t> </w:t>
      </w:r>
      <w:r>
        <w:rPr>
          <w:sz w:val="21"/>
        </w:rPr>
        <w:t>to:</w:t>
      </w:r>
    </w:p>
    <w:p>
      <w:pPr>
        <w:pStyle w:val="ListParagraph"/>
        <w:numPr>
          <w:ilvl w:val="2"/>
          <w:numId w:val="22"/>
        </w:numPr>
        <w:tabs>
          <w:tab w:pos="2721" w:val="left" w:leader="none"/>
          <w:tab w:pos="2722" w:val="left" w:leader="none"/>
        </w:tabs>
        <w:spacing w:line="240" w:lineRule="auto" w:before="124" w:after="0"/>
        <w:ind w:left="2721" w:right="0" w:hanging="340"/>
        <w:jc w:val="left"/>
        <w:rPr>
          <w:sz w:val="21"/>
        </w:rPr>
      </w:pPr>
      <w:r>
        <w:rPr>
          <w:spacing w:val="-3"/>
          <w:w w:val="105"/>
          <w:sz w:val="21"/>
        </w:rPr>
        <w:t>determining </w:t>
      </w:r>
      <w:r>
        <w:rPr>
          <w:w w:val="105"/>
          <w:sz w:val="21"/>
        </w:rPr>
        <w:t>the </w:t>
      </w:r>
      <w:r>
        <w:rPr>
          <w:spacing w:val="-3"/>
          <w:w w:val="105"/>
          <w:sz w:val="21"/>
        </w:rPr>
        <w:t>intentions </w:t>
      </w:r>
      <w:r>
        <w:rPr>
          <w:w w:val="105"/>
          <w:sz w:val="21"/>
        </w:rPr>
        <w:t>of the </w:t>
      </w:r>
      <w:r>
        <w:rPr>
          <w:spacing w:val="-3"/>
          <w:w w:val="105"/>
          <w:sz w:val="21"/>
        </w:rPr>
        <w:t>incapacitated</w:t>
      </w:r>
      <w:r>
        <w:rPr>
          <w:spacing w:val="34"/>
          <w:w w:val="105"/>
          <w:sz w:val="21"/>
        </w:rPr>
        <w:t> </w:t>
      </w:r>
      <w:r>
        <w:rPr>
          <w:w w:val="105"/>
          <w:sz w:val="21"/>
        </w:rPr>
        <w:t>person</w:t>
      </w:r>
    </w:p>
    <w:p>
      <w:pPr>
        <w:pStyle w:val="ListParagraph"/>
        <w:numPr>
          <w:ilvl w:val="2"/>
          <w:numId w:val="22"/>
        </w:numPr>
        <w:tabs>
          <w:tab w:pos="2721" w:val="left" w:leader="none"/>
          <w:tab w:pos="2722" w:val="left" w:leader="none"/>
        </w:tabs>
        <w:spacing w:line="240" w:lineRule="auto" w:before="123" w:after="0"/>
        <w:ind w:left="2721" w:right="0" w:hanging="340"/>
        <w:jc w:val="left"/>
        <w:rPr>
          <w:sz w:val="21"/>
        </w:rPr>
      </w:pPr>
      <w:r>
        <w:rPr>
          <w:spacing w:val="-3"/>
          <w:w w:val="105"/>
          <w:sz w:val="21"/>
        </w:rPr>
        <w:t>involvement </w:t>
      </w:r>
      <w:r>
        <w:rPr>
          <w:w w:val="105"/>
          <w:sz w:val="21"/>
        </w:rPr>
        <w:t>of the </w:t>
      </w:r>
      <w:r>
        <w:rPr>
          <w:spacing w:val="-3"/>
          <w:w w:val="105"/>
          <w:sz w:val="21"/>
        </w:rPr>
        <w:t>incapacitated </w:t>
      </w:r>
      <w:r>
        <w:rPr>
          <w:w w:val="105"/>
          <w:sz w:val="21"/>
        </w:rPr>
        <w:t>person in decision</w:t>
      </w:r>
      <w:r>
        <w:rPr>
          <w:spacing w:val="37"/>
          <w:w w:val="105"/>
          <w:sz w:val="21"/>
        </w:rPr>
        <w:t> </w:t>
      </w:r>
      <w:r>
        <w:rPr>
          <w:spacing w:val="-3"/>
          <w:w w:val="105"/>
          <w:sz w:val="21"/>
        </w:rPr>
        <w:t>making</w:t>
      </w:r>
    </w:p>
    <w:p>
      <w:pPr>
        <w:pStyle w:val="ListParagraph"/>
        <w:numPr>
          <w:ilvl w:val="2"/>
          <w:numId w:val="22"/>
        </w:numPr>
        <w:tabs>
          <w:tab w:pos="2721" w:val="left" w:leader="none"/>
          <w:tab w:pos="2722" w:val="left" w:leader="none"/>
        </w:tabs>
        <w:spacing w:line="240" w:lineRule="auto" w:before="124" w:after="0"/>
        <w:ind w:left="2721" w:right="0" w:hanging="340"/>
        <w:jc w:val="left"/>
        <w:rPr>
          <w:sz w:val="21"/>
        </w:rPr>
      </w:pPr>
      <w:r>
        <w:rPr>
          <w:spacing w:val="-3"/>
          <w:sz w:val="21"/>
        </w:rPr>
        <w:t>accessibility </w:t>
      </w:r>
      <w:r>
        <w:rPr>
          <w:sz w:val="21"/>
        </w:rPr>
        <w:t>of the statutory </w:t>
      </w:r>
      <w:r>
        <w:rPr>
          <w:spacing w:val="-3"/>
          <w:sz w:val="21"/>
        </w:rPr>
        <w:t>wills</w:t>
      </w:r>
      <w:r>
        <w:rPr>
          <w:spacing w:val="1"/>
          <w:sz w:val="21"/>
        </w:rPr>
        <w:t> </w:t>
      </w:r>
      <w:r>
        <w:rPr>
          <w:spacing w:val="-3"/>
          <w:sz w:val="21"/>
        </w:rPr>
        <w:t>scheme.</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0"/>
        </w:rPr>
      </w:pPr>
      <w:r>
        <w:rPr/>
        <w:pict>
          <v:line style="position:absolute;mso-position-horizontal-relative:page;mso-position-vertical-relative:paragraph;z-index:800;mso-wrap-distance-left:0;mso-wrap-distance-right:0" from="79.370102pt,9.095565pt" to="515.905102pt,9.095565pt" stroked="true" strokeweight="1pt" strokecolor="#f9ceca">
            <v:stroke dashstyle="solid"/>
            <w10:wrap type="topAndBottom"/>
          </v:line>
        </w:pict>
      </w:r>
    </w:p>
    <w:p>
      <w:pPr>
        <w:pStyle w:val="ListParagraph"/>
        <w:numPr>
          <w:ilvl w:val="0"/>
          <w:numId w:val="32"/>
        </w:numPr>
        <w:tabs>
          <w:tab w:pos="2380" w:val="left" w:leader="none"/>
          <w:tab w:pos="2382" w:val="left" w:leader="none"/>
        </w:tabs>
        <w:spacing w:line="240" w:lineRule="auto" w:before="117" w:after="0"/>
        <w:ind w:left="2381" w:right="1585" w:hanging="794"/>
        <w:jc w:val="left"/>
        <w:rPr>
          <w:sz w:val="13"/>
        </w:rPr>
      </w:pPr>
      <w:r>
        <w:rPr>
          <w:w w:val="105"/>
          <w:sz w:val="13"/>
        </w:rPr>
        <w:t>National Committee for Uniform Succession Laws, </w:t>
      </w:r>
      <w:r>
        <w:rPr>
          <w:i/>
          <w:w w:val="105"/>
          <w:sz w:val="13"/>
        </w:rPr>
        <w:t>Consolidated Report to the Standing Committee of Attorneys General on the Law of Wills</w:t>
      </w:r>
      <w:r>
        <w:rPr>
          <w:w w:val="105"/>
          <w:sz w:val="13"/>
        </w:rPr>
        <w:t>, Queensland</w:t>
      </w:r>
      <w:r>
        <w:rPr>
          <w:spacing w:val="4"/>
          <w:w w:val="105"/>
          <w:sz w:val="13"/>
        </w:rPr>
        <w:t> </w:t>
      </w:r>
      <w:r>
        <w:rPr>
          <w:w w:val="105"/>
          <w:sz w:val="13"/>
        </w:rPr>
        <w:t>Law</w:t>
      </w:r>
      <w:r>
        <w:rPr>
          <w:spacing w:val="5"/>
          <w:w w:val="105"/>
          <w:sz w:val="13"/>
        </w:rPr>
        <w:t> </w:t>
      </w:r>
      <w:r>
        <w:rPr>
          <w:w w:val="105"/>
          <w:sz w:val="13"/>
        </w:rPr>
        <w:t>Reform</w:t>
      </w:r>
      <w:r>
        <w:rPr>
          <w:spacing w:val="5"/>
          <w:w w:val="105"/>
          <w:sz w:val="13"/>
        </w:rPr>
        <w:t> </w:t>
      </w:r>
      <w:r>
        <w:rPr>
          <w:w w:val="105"/>
          <w:sz w:val="13"/>
        </w:rPr>
        <w:t>Commission</w:t>
      </w:r>
      <w:r>
        <w:rPr>
          <w:spacing w:val="5"/>
          <w:w w:val="105"/>
          <w:sz w:val="13"/>
        </w:rPr>
        <w:t> </w:t>
      </w:r>
      <w:r>
        <w:rPr>
          <w:w w:val="105"/>
          <w:sz w:val="13"/>
        </w:rPr>
        <w:t>Miscellaneous</w:t>
      </w:r>
      <w:r>
        <w:rPr>
          <w:spacing w:val="5"/>
          <w:w w:val="105"/>
          <w:sz w:val="13"/>
        </w:rPr>
        <w:t> </w:t>
      </w:r>
      <w:r>
        <w:rPr>
          <w:w w:val="105"/>
          <w:sz w:val="13"/>
        </w:rPr>
        <w:t>Paper</w:t>
      </w:r>
      <w:r>
        <w:rPr>
          <w:spacing w:val="5"/>
          <w:w w:val="105"/>
          <w:sz w:val="13"/>
        </w:rPr>
        <w:t> </w:t>
      </w:r>
      <w:r>
        <w:rPr>
          <w:w w:val="105"/>
          <w:sz w:val="13"/>
        </w:rPr>
        <w:t>No</w:t>
      </w:r>
      <w:r>
        <w:rPr>
          <w:spacing w:val="5"/>
          <w:w w:val="105"/>
          <w:sz w:val="13"/>
        </w:rPr>
        <w:t> </w:t>
      </w:r>
      <w:r>
        <w:rPr>
          <w:w w:val="105"/>
          <w:sz w:val="13"/>
        </w:rPr>
        <w:t>29</w:t>
      </w:r>
      <w:r>
        <w:rPr>
          <w:spacing w:val="4"/>
          <w:w w:val="105"/>
          <w:sz w:val="13"/>
        </w:rPr>
        <w:t> </w:t>
      </w:r>
      <w:r>
        <w:rPr>
          <w:w w:val="105"/>
          <w:sz w:val="13"/>
        </w:rPr>
        <w:t>(1997)</w:t>
      </w:r>
      <w:r>
        <w:rPr>
          <w:spacing w:val="5"/>
          <w:w w:val="105"/>
          <w:sz w:val="13"/>
        </w:rPr>
        <w:t> </w:t>
      </w:r>
      <w:r>
        <w:rPr>
          <w:spacing w:val="3"/>
          <w:w w:val="105"/>
          <w:sz w:val="13"/>
        </w:rPr>
        <w:t>40–58.</w:t>
      </w:r>
    </w:p>
    <w:p>
      <w:pPr>
        <w:pStyle w:val="ListParagraph"/>
        <w:numPr>
          <w:ilvl w:val="0"/>
          <w:numId w:val="32"/>
        </w:numPr>
        <w:tabs>
          <w:tab w:pos="2380" w:val="left" w:leader="none"/>
          <w:tab w:pos="2382" w:val="left" w:leader="none"/>
        </w:tabs>
        <w:spacing w:line="240" w:lineRule="auto" w:before="3" w:after="0"/>
        <w:ind w:left="2381" w:right="1655" w:hanging="794"/>
        <w:jc w:val="left"/>
        <w:rPr>
          <w:sz w:val="13"/>
        </w:rPr>
      </w:pPr>
      <w:r>
        <w:rPr>
          <w:i/>
          <w:w w:val="105"/>
          <w:sz w:val="13"/>
        </w:rPr>
        <w:t>Wills Act 2000 </w:t>
      </w:r>
      <w:r>
        <w:rPr>
          <w:spacing w:val="4"/>
          <w:w w:val="105"/>
          <w:sz w:val="13"/>
        </w:rPr>
        <w:t>(NT) </w:t>
      </w:r>
      <w:r>
        <w:rPr>
          <w:w w:val="105"/>
          <w:sz w:val="13"/>
        </w:rPr>
        <w:t>pt 3; </w:t>
      </w:r>
      <w:r>
        <w:rPr>
          <w:i/>
          <w:w w:val="105"/>
          <w:sz w:val="13"/>
        </w:rPr>
        <w:t>Succession Act </w:t>
      </w:r>
      <w:r>
        <w:rPr>
          <w:i/>
          <w:spacing w:val="-3"/>
          <w:w w:val="105"/>
          <w:sz w:val="13"/>
        </w:rPr>
        <w:t>1981  </w:t>
      </w:r>
      <w:r>
        <w:rPr>
          <w:spacing w:val="2"/>
          <w:w w:val="105"/>
          <w:sz w:val="13"/>
        </w:rPr>
        <w:t>(Qld) </w:t>
      </w:r>
      <w:r>
        <w:rPr>
          <w:w w:val="105"/>
          <w:sz w:val="13"/>
        </w:rPr>
        <w:t>pt 2 div 4 sub-div 3; </w:t>
      </w:r>
      <w:r>
        <w:rPr>
          <w:i/>
          <w:w w:val="105"/>
          <w:sz w:val="13"/>
        </w:rPr>
        <w:t>Succession Act 2006 </w:t>
      </w:r>
      <w:r>
        <w:rPr>
          <w:spacing w:val="3"/>
          <w:w w:val="105"/>
          <w:sz w:val="13"/>
        </w:rPr>
        <w:t>(NSW) </w:t>
      </w:r>
      <w:r>
        <w:rPr>
          <w:w w:val="105"/>
          <w:sz w:val="13"/>
        </w:rPr>
        <w:t>ch 2 pt 2.2 div 2; </w:t>
      </w:r>
      <w:r>
        <w:rPr>
          <w:i/>
          <w:w w:val="105"/>
          <w:sz w:val="13"/>
        </w:rPr>
        <w:t>Wills Act 1968 </w:t>
      </w:r>
      <w:r>
        <w:rPr>
          <w:spacing w:val="2"/>
          <w:w w:val="105"/>
          <w:sz w:val="13"/>
        </w:rPr>
        <w:t>(ACT)   </w:t>
      </w:r>
      <w:r>
        <w:rPr>
          <w:spacing w:val="34"/>
          <w:w w:val="105"/>
          <w:sz w:val="13"/>
        </w:rPr>
        <w:t> </w:t>
      </w:r>
      <w:r>
        <w:rPr>
          <w:w w:val="105"/>
          <w:sz w:val="13"/>
        </w:rPr>
        <w:t>pt</w:t>
      </w:r>
      <w:r>
        <w:rPr>
          <w:spacing w:val="5"/>
          <w:w w:val="105"/>
          <w:sz w:val="13"/>
        </w:rPr>
        <w:t> </w:t>
      </w:r>
      <w:r>
        <w:rPr>
          <w:w w:val="105"/>
          <w:sz w:val="13"/>
        </w:rPr>
        <w:t>3A;</w:t>
      </w:r>
      <w:r>
        <w:rPr>
          <w:spacing w:val="5"/>
          <w:w w:val="105"/>
          <w:sz w:val="13"/>
        </w:rPr>
        <w:t> </w:t>
      </w:r>
      <w:r>
        <w:rPr>
          <w:i/>
          <w:w w:val="105"/>
          <w:sz w:val="13"/>
        </w:rPr>
        <w:t>Wills</w:t>
      </w:r>
      <w:r>
        <w:rPr>
          <w:i/>
          <w:spacing w:val="4"/>
          <w:w w:val="105"/>
          <w:sz w:val="13"/>
        </w:rPr>
        <w:t> </w:t>
      </w:r>
      <w:r>
        <w:rPr>
          <w:i/>
          <w:w w:val="105"/>
          <w:sz w:val="13"/>
        </w:rPr>
        <w:t>Act</w:t>
      </w:r>
      <w:r>
        <w:rPr>
          <w:i/>
          <w:spacing w:val="4"/>
          <w:w w:val="105"/>
          <w:sz w:val="13"/>
        </w:rPr>
        <w:t> </w:t>
      </w:r>
      <w:r>
        <w:rPr>
          <w:i/>
          <w:w w:val="105"/>
          <w:sz w:val="13"/>
        </w:rPr>
        <w:t>2008</w:t>
      </w:r>
      <w:r>
        <w:rPr>
          <w:i/>
          <w:spacing w:val="5"/>
          <w:w w:val="105"/>
          <w:sz w:val="13"/>
        </w:rPr>
        <w:t> </w:t>
      </w:r>
      <w:r>
        <w:rPr>
          <w:w w:val="105"/>
          <w:sz w:val="13"/>
        </w:rPr>
        <w:t>(Tas)</w:t>
      </w:r>
      <w:r>
        <w:rPr>
          <w:spacing w:val="5"/>
          <w:w w:val="105"/>
          <w:sz w:val="13"/>
        </w:rPr>
        <w:t> </w:t>
      </w:r>
      <w:r>
        <w:rPr>
          <w:w w:val="105"/>
          <w:sz w:val="13"/>
        </w:rPr>
        <w:t>pt</w:t>
      </w:r>
      <w:r>
        <w:rPr>
          <w:spacing w:val="5"/>
          <w:w w:val="105"/>
          <w:sz w:val="13"/>
        </w:rPr>
        <w:t> </w:t>
      </w:r>
      <w:r>
        <w:rPr>
          <w:w w:val="105"/>
          <w:sz w:val="13"/>
        </w:rPr>
        <w:t>3;</w:t>
      </w:r>
      <w:r>
        <w:rPr>
          <w:spacing w:val="5"/>
          <w:w w:val="105"/>
          <w:sz w:val="13"/>
        </w:rPr>
        <w:t> </w:t>
      </w:r>
      <w:r>
        <w:rPr>
          <w:i/>
          <w:w w:val="105"/>
          <w:sz w:val="13"/>
        </w:rPr>
        <w:t>Wills</w:t>
      </w:r>
      <w:r>
        <w:rPr>
          <w:i/>
          <w:spacing w:val="4"/>
          <w:w w:val="105"/>
          <w:sz w:val="13"/>
        </w:rPr>
        <w:t> </w:t>
      </w:r>
      <w:r>
        <w:rPr>
          <w:i/>
          <w:w w:val="105"/>
          <w:sz w:val="13"/>
        </w:rPr>
        <w:t>Act</w:t>
      </w:r>
      <w:r>
        <w:rPr>
          <w:i/>
          <w:spacing w:val="4"/>
          <w:w w:val="105"/>
          <w:sz w:val="13"/>
        </w:rPr>
        <w:t> </w:t>
      </w:r>
      <w:r>
        <w:rPr>
          <w:i/>
          <w:spacing w:val="-4"/>
          <w:w w:val="105"/>
          <w:sz w:val="13"/>
        </w:rPr>
        <w:t>1970</w:t>
      </w:r>
      <w:r>
        <w:rPr>
          <w:i/>
          <w:spacing w:val="5"/>
          <w:w w:val="105"/>
          <w:sz w:val="13"/>
        </w:rPr>
        <w:t> </w:t>
      </w:r>
      <w:r>
        <w:rPr>
          <w:w w:val="105"/>
          <w:sz w:val="13"/>
        </w:rPr>
        <w:t>(WA)</w:t>
      </w:r>
      <w:r>
        <w:rPr>
          <w:spacing w:val="5"/>
          <w:w w:val="105"/>
          <w:sz w:val="13"/>
        </w:rPr>
        <w:t> </w:t>
      </w:r>
      <w:r>
        <w:rPr>
          <w:w w:val="105"/>
          <w:sz w:val="13"/>
        </w:rPr>
        <w:t>pt</w:t>
      </w:r>
      <w:r>
        <w:rPr>
          <w:spacing w:val="5"/>
          <w:w w:val="105"/>
          <w:sz w:val="13"/>
        </w:rPr>
        <w:t> </w:t>
      </w:r>
      <w:r>
        <w:rPr>
          <w:spacing w:val="3"/>
          <w:w w:val="105"/>
          <w:sz w:val="13"/>
        </w:rPr>
        <w:t>XI;</w:t>
      </w:r>
      <w:r>
        <w:rPr>
          <w:spacing w:val="5"/>
          <w:w w:val="105"/>
          <w:sz w:val="13"/>
        </w:rPr>
        <w:t> </w:t>
      </w:r>
      <w:r>
        <w:rPr>
          <w:i/>
          <w:w w:val="105"/>
          <w:sz w:val="13"/>
        </w:rPr>
        <w:t>Wills</w:t>
      </w:r>
      <w:r>
        <w:rPr>
          <w:i/>
          <w:spacing w:val="4"/>
          <w:w w:val="105"/>
          <w:sz w:val="13"/>
        </w:rPr>
        <w:t> </w:t>
      </w:r>
      <w:r>
        <w:rPr>
          <w:i/>
          <w:w w:val="105"/>
          <w:sz w:val="13"/>
        </w:rPr>
        <w:t>Act</w:t>
      </w:r>
      <w:r>
        <w:rPr>
          <w:i/>
          <w:spacing w:val="4"/>
          <w:w w:val="105"/>
          <w:sz w:val="13"/>
        </w:rPr>
        <w:t> </w:t>
      </w:r>
      <w:r>
        <w:rPr>
          <w:i/>
          <w:w w:val="105"/>
          <w:sz w:val="13"/>
        </w:rPr>
        <w:t>1936</w:t>
      </w:r>
      <w:r>
        <w:rPr>
          <w:i/>
          <w:spacing w:val="5"/>
          <w:w w:val="105"/>
          <w:sz w:val="13"/>
        </w:rPr>
        <w:t> </w:t>
      </w:r>
      <w:r>
        <w:rPr>
          <w:spacing w:val="2"/>
          <w:w w:val="105"/>
          <w:sz w:val="13"/>
        </w:rPr>
        <w:t>(SA)</w:t>
      </w:r>
      <w:r>
        <w:rPr>
          <w:spacing w:val="5"/>
          <w:w w:val="105"/>
          <w:sz w:val="13"/>
        </w:rPr>
        <w:t> </w:t>
      </w:r>
      <w:r>
        <w:rPr>
          <w:w w:val="105"/>
          <w:sz w:val="13"/>
        </w:rPr>
        <w:t>s</w:t>
      </w:r>
      <w:r>
        <w:rPr>
          <w:spacing w:val="5"/>
          <w:w w:val="105"/>
          <w:sz w:val="13"/>
        </w:rPr>
        <w:t> </w:t>
      </w:r>
      <w:r>
        <w:rPr>
          <w:spacing w:val="-5"/>
          <w:w w:val="105"/>
          <w:sz w:val="13"/>
        </w:rPr>
        <w:t>7.</w:t>
      </w:r>
    </w:p>
    <w:p>
      <w:pPr>
        <w:pStyle w:val="ListParagraph"/>
        <w:numPr>
          <w:ilvl w:val="0"/>
          <w:numId w:val="32"/>
        </w:numPr>
        <w:tabs>
          <w:tab w:pos="2380" w:val="left" w:leader="none"/>
          <w:tab w:pos="2382" w:val="left" w:leader="none"/>
        </w:tabs>
        <w:spacing w:line="240" w:lineRule="auto" w:before="2" w:after="0"/>
        <w:ind w:left="2381" w:right="0" w:hanging="794"/>
        <w:jc w:val="left"/>
        <w:rPr>
          <w:sz w:val="13"/>
        </w:rPr>
      </w:pPr>
      <w:r>
        <w:rPr/>
        <w:pict>
          <v:shape style="position:absolute;margin-left:36pt;margin-top:3.652465pt;width:13.4pt;height:14.25pt;mso-position-horizontal-relative:page;mso-position-vertical-relative:paragraph;z-index:2872" type="#_x0000_t202" filled="false" stroked="false">
            <v:textbox inset="0,0,0,0">
              <w:txbxContent>
                <w:p>
                  <w:pPr>
                    <w:spacing w:line="284" w:lineRule="exact" w:before="0"/>
                    <w:ind w:left="0" w:right="0" w:firstLine="0"/>
                    <w:jc w:val="left"/>
                    <w:rPr>
                      <w:b/>
                      <w:sz w:val="24"/>
                    </w:rPr>
                  </w:pPr>
                  <w:r>
                    <w:rPr>
                      <w:b/>
                      <w:color w:val="EC5A4F"/>
                      <w:w w:val="110"/>
                      <w:sz w:val="24"/>
                    </w:rPr>
                    <w:t>24</w:t>
                  </w:r>
                </w:p>
              </w:txbxContent>
            </v:textbox>
            <w10:wrap type="none"/>
          </v:shape>
        </w:pict>
      </w:r>
      <w:r>
        <w:rPr>
          <w:sz w:val="13"/>
        </w:rPr>
        <w:t>Consultation</w:t>
      </w:r>
      <w:r>
        <w:rPr>
          <w:spacing w:val="10"/>
          <w:sz w:val="13"/>
        </w:rPr>
        <w:t> </w:t>
      </w:r>
      <w:r>
        <w:rPr>
          <w:sz w:val="13"/>
        </w:rPr>
        <w:t>1</w:t>
      </w:r>
      <w:r>
        <w:rPr>
          <w:spacing w:val="11"/>
          <w:sz w:val="13"/>
        </w:rPr>
        <w:t> </w:t>
      </w:r>
      <w:r>
        <w:rPr>
          <w:sz w:val="13"/>
        </w:rPr>
        <w:t>(Wills</w:t>
      </w:r>
      <w:r>
        <w:rPr>
          <w:spacing w:val="11"/>
          <w:sz w:val="13"/>
        </w:rPr>
        <w:t> </w:t>
      </w:r>
      <w:r>
        <w:rPr>
          <w:sz w:val="13"/>
        </w:rPr>
        <w:t>roundtable).</w:t>
      </w:r>
      <w:r>
        <w:rPr>
          <w:spacing w:val="10"/>
          <w:sz w:val="13"/>
        </w:rPr>
        <w:t> </w:t>
      </w:r>
      <w:r>
        <w:rPr>
          <w:sz w:val="13"/>
        </w:rPr>
        <w:t>The</w:t>
      </w:r>
      <w:r>
        <w:rPr>
          <w:spacing w:val="11"/>
          <w:sz w:val="13"/>
        </w:rPr>
        <w:t> </w:t>
      </w:r>
      <w:r>
        <w:rPr>
          <w:sz w:val="13"/>
        </w:rPr>
        <w:t>current</w:t>
      </w:r>
      <w:r>
        <w:rPr>
          <w:spacing w:val="11"/>
          <w:sz w:val="13"/>
        </w:rPr>
        <w:t> </w:t>
      </w:r>
      <w:r>
        <w:rPr>
          <w:sz w:val="13"/>
        </w:rPr>
        <w:t>legislation</w:t>
      </w:r>
      <w:r>
        <w:rPr>
          <w:spacing w:val="11"/>
          <w:sz w:val="13"/>
        </w:rPr>
        <w:t> </w:t>
      </w:r>
      <w:r>
        <w:rPr>
          <w:sz w:val="13"/>
        </w:rPr>
        <w:t>requires</w:t>
      </w:r>
      <w:r>
        <w:rPr>
          <w:spacing w:val="10"/>
          <w:sz w:val="13"/>
        </w:rPr>
        <w:t> </w:t>
      </w:r>
      <w:r>
        <w:rPr>
          <w:sz w:val="13"/>
        </w:rPr>
        <w:t>that</w:t>
      </w:r>
      <w:r>
        <w:rPr>
          <w:spacing w:val="11"/>
          <w:sz w:val="13"/>
        </w:rPr>
        <w:t> </w:t>
      </w:r>
      <w:r>
        <w:rPr>
          <w:sz w:val="13"/>
        </w:rPr>
        <w:t>the</w:t>
      </w:r>
      <w:r>
        <w:rPr>
          <w:spacing w:val="11"/>
          <w:sz w:val="13"/>
        </w:rPr>
        <w:t> </w:t>
      </w:r>
      <w:r>
        <w:rPr>
          <w:sz w:val="13"/>
        </w:rPr>
        <w:t>person</w:t>
      </w:r>
      <w:r>
        <w:rPr>
          <w:spacing w:val="11"/>
          <w:sz w:val="13"/>
        </w:rPr>
        <w:t> </w:t>
      </w:r>
      <w:r>
        <w:rPr>
          <w:sz w:val="13"/>
        </w:rPr>
        <w:t>without</w:t>
      </w:r>
      <w:r>
        <w:rPr>
          <w:spacing w:val="10"/>
          <w:sz w:val="13"/>
        </w:rPr>
        <w:t> </w:t>
      </w:r>
      <w:r>
        <w:rPr>
          <w:sz w:val="13"/>
        </w:rPr>
        <w:t>capacity</w:t>
      </w:r>
      <w:r>
        <w:rPr>
          <w:spacing w:val="11"/>
          <w:sz w:val="13"/>
        </w:rPr>
        <w:t> </w:t>
      </w:r>
      <w:r>
        <w:rPr>
          <w:sz w:val="13"/>
        </w:rPr>
        <w:t>is</w:t>
      </w:r>
      <w:r>
        <w:rPr>
          <w:spacing w:val="11"/>
          <w:sz w:val="13"/>
        </w:rPr>
        <w:t> </w:t>
      </w:r>
      <w:r>
        <w:rPr>
          <w:sz w:val="13"/>
        </w:rPr>
        <w:t>alive</w:t>
      </w:r>
      <w:r>
        <w:rPr>
          <w:spacing w:val="11"/>
          <w:sz w:val="13"/>
        </w:rPr>
        <w:t> </w:t>
      </w:r>
      <w:r>
        <w:rPr>
          <w:sz w:val="13"/>
        </w:rPr>
        <w:t>at</w:t>
      </w:r>
      <w:r>
        <w:rPr>
          <w:spacing w:val="10"/>
          <w:sz w:val="13"/>
        </w:rPr>
        <w:t> </w:t>
      </w:r>
      <w:r>
        <w:rPr>
          <w:sz w:val="13"/>
        </w:rPr>
        <w:t>the</w:t>
      </w:r>
      <w:r>
        <w:rPr>
          <w:spacing w:val="11"/>
          <w:sz w:val="13"/>
        </w:rPr>
        <w:t> </w:t>
      </w:r>
      <w:r>
        <w:rPr>
          <w:sz w:val="13"/>
        </w:rPr>
        <w:t>time</w:t>
      </w:r>
      <w:r>
        <w:rPr>
          <w:spacing w:val="11"/>
          <w:sz w:val="13"/>
        </w:rPr>
        <w:t> </w:t>
      </w:r>
      <w:r>
        <w:rPr>
          <w:sz w:val="13"/>
        </w:rPr>
        <w:t>of</w:t>
      </w:r>
      <w:r>
        <w:rPr>
          <w:spacing w:val="11"/>
          <w:sz w:val="13"/>
        </w:rPr>
        <w:t> </w:t>
      </w:r>
      <w:r>
        <w:rPr>
          <w:sz w:val="13"/>
        </w:rPr>
        <w:t>the</w:t>
      </w:r>
      <w:r>
        <w:rPr>
          <w:spacing w:val="10"/>
          <w:sz w:val="13"/>
        </w:rPr>
        <w:t> </w:t>
      </w:r>
      <w:r>
        <w:rPr>
          <w:sz w:val="13"/>
        </w:rPr>
        <w:t>application:</w:t>
      </w:r>
    </w:p>
    <w:p>
      <w:pPr>
        <w:spacing w:before="2"/>
        <w:ind w:left="2381" w:right="0" w:firstLine="0"/>
        <w:jc w:val="left"/>
        <w:rPr>
          <w:sz w:val="13"/>
        </w:rPr>
      </w:pPr>
      <w:r>
        <w:rPr>
          <w:i/>
          <w:w w:val="105"/>
          <w:sz w:val="13"/>
        </w:rPr>
        <w:t>Wills Act 1997 </w:t>
      </w:r>
      <w:r>
        <w:rPr>
          <w:w w:val="105"/>
          <w:sz w:val="13"/>
        </w:rPr>
        <w:t>(Vic) s 21(3).</w:t>
      </w:r>
    </w:p>
    <w:p>
      <w:pPr>
        <w:spacing w:after="0"/>
        <w:jc w:val="left"/>
        <w:rPr>
          <w:sz w:val="13"/>
        </w:rPr>
        <w:sectPr>
          <w:pgSz w:w="11910" w:h="16840"/>
          <w:pgMar w:header="550" w:footer="0" w:top="1560" w:bottom="280" w:left="0" w:right="0"/>
        </w:sectPr>
      </w:pPr>
    </w:p>
    <w:p>
      <w:pPr>
        <w:pStyle w:val="BodyText"/>
        <w:rPr>
          <w:sz w:val="20"/>
        </w:rPr>
      </w:pPr>
    </w:p>
    <w:p>
      <w:pPr>
        <w:pStyle w:val="BodyText"/>
        <w:spacing w:before="6"/>
        <w:rPr>
          <w:sz w:val="17"/>
        </w:rPr>
      </w:pPr>
    </w:p>
    <w:p>
      <w:pPr>
        <w:spacing w:before="99"/>
        <w:ind w:left="1587" w:right="0" w:firstLine="0"/>
        <w:jc w:val="left"/>
        <w:rPr>
          <w:b/>
          <w:sz w:val="28"/>
        </w:rPr>
      </w:pPr>
      <w:bookmarkStart w:name="Determining the intentions of the incapa" w:id="24"/>
      <w:bookmarkEnd w:id="24"/>
      <w:r>
        <w:rPr/>
      </w:r>
      <w:r>
        <w:rPr>
          <w:b/>
          <w:color w:val="EC5A4F"/>
          <w:w w:val="115"/>
          <w:sz w:val="28"/>
        </w:rPr>
        <w:t>Determining the intentions of the incapacitated person</w:t>
      </w:r>
    </w:p>
    <w:p>
      <w:pPr>
        <w:pStyle w:val="ListParagraph"/>
        <w:numPr>
          <w:ilvl w:val="1"/>
          <w:numId w:val="22"/>
        </w:numPr>
        <w:tabs>
          <w:tab w:pos="2381" w:val="left" w:leader="none"/>
          <w:tab w:pos="2382" w:val="left" w:leader="none"/>
        </w:tabs>
        <w:spacing w:line="242" w:lineRule="auto" w:before="155" w:after="0"/>
        <w:ind w:left="2381" w:right="1697" w:hanging="794"/>
        <w:jc w:val="left"/>
        <w:rPr>
          <w:sz w:val="21"/>
        </w:rPr>
      </w:pPr>
      <w:r>
        <w:rPr>
          <w:w w:val="105"/>
          <w:sz w:val="21"/>
        </w:rPr>
        <w:t>When </w:t>
      </w:r>
      <w:r>
        <w:rPr>
          <w:spacing w:val="-3"/>
          <w:w w:val="105"/>
          <w:sz w:val="21"/>
        </w:rPr>
        <w:t>considering </w:t>
      </w:r>
      <w:r>
        <w:rPr>
          <w:w w:val="105"/>
          <w:sz w:val="21"/>
        </w:rPr>
        <w:t>whether </w:t>
      </w:r>
      <w:r>
        <w:rPr>
          <w:spacing w:val="-3"/>
          <w:w w:val="105"/>
          <w:sz w:val="21"/>
        </w:rPr>
        <w:t>to </w:t>
      </w:r>
      <w:r>
        <w:rPr>
          <w:w w:val="105"/>
          <w:sz w:val="21"/>
        </w:rPr>
        <w:t>authorise a </w:t>
      </w:r>
      <w:r>
        <w:rPr>
          <w:spacing w:val="-3"/>
          <w:w w:val="105"/>
          <w:sz w:val="21"/>
        </w:rPr>
        <w:t>will </w:t>
      </w:r>
      <w:r>
        <w:rPr>
          <w:w w:val="105"/>
          <w:sz w:val="21"/>
        </w:rPr>
        <w:t>proposed by the </w:t>
      </w:r>
      <w:r>
        <w:rPr>
          <w:spacing w:val="-3"/>
          <w:w w:val="105"/>
          <w:sz w:val="21"/>
        </w:rPr>
        <w:t>applicant, </w:t>
      </w:r>
      <w:r>
        <w:rPr>
          <w:w w:val="105"/>
          <w:sz w:val="21"/>
        </w:rPr>
        <w:t>the </w:t>
      </w:r>
      <w:r>
        <w:rPr>
          <w:spacing w:val="-3"/>
          <w:w w:val="105"/>
          <w:sz w:val="21"/>
        </w:rPr>
        <w:t>Court </w:t>
      </w:r>
      <w:r>
        <w:rPr>
          <w:w w:val="105"/>
          <w:sz w:val="21"/>
        </w:rPr>
        <w:t>must be satisfied</w:t>
      </w:r>
      <w:r>
        <w:rPr>
          <w:spacing w:val="10"/>
          <w:w w:val="105"/>
          <w:sz w:val="21"/>
        </w:rPr>
        <w:t> </w:t>
      </w:r>
      <w:r>
        <w:rPr>
          <w:w w:val="105"/>
          <w:sz w:val="21"/>
        </w:rPr>
        <w:t>that:</w:t>
      </w:r>
    </w:p>
    <w:p>
      <w:pPr>
        <w:pStyle w:val="ListParagraph"/>
        <w:numPr>
          <w:ilvl w:val="2"/>
          <w:numId w:val="22"/>
        </w:numPr>
        <w:tabs>
          <w:tab w:pos="2721" w:val="left" w:leader="none"/>
          <w:tab w:pos="2722" w:val="left" w:leader="none"/>
        </w:tabs>
        <w:spacing w:line="240" w:lineRule="auto" w:before="122" w:after="0"/>
        <w:ind w:left="2721" w:right="0" w:hanging="340"/>
        <w:jc w:val="left"/>
        <w:rPr>
          <w:sz w:val="21"/>
        </w:rPr>
      </w:pPr>
      <w:r>
        <w:rPr>
          <w:sz w:val="21"/>
        </w:rPr>
        <w:t>the person does </w:t>
      </w:r>
      <w:r>
        <w:rPr>
          <w:spacing w:val="-2"/>
          <w:sz w:val="21"/>
        </w:rPr>
        <w:t>not </w:t>
      </w:r>
      <w:r>
        <w:rPr>
          <w:spacing w:val="-3"/>
          <w:sz w:val="21"/>
        </w:rPr>
        <w:t>have </w:t>
      </w:r>
      <w:r>
        <w:rPr>
          <w:sz w:val="21"/>
        </w:rPr>
        <w:t>testamentary</w:t>
      </w:r>
      <w:r>
        <w:rPr>
          <w:spacing w:val="9"/>
          <w:sz w:val="21"/>
        </w:rPr>
        <w:t> </w:t>
      </w:r>
      <w:r>
        <w:rPr>
          <w:sz w:val="21"/>
        </w:rPr>
        <w:t>capacity</w:t>
      </w:r>
    </w:p>
    <w:p>
      <w:pPr>
        <w:pStyle w:val="ListParagraph"/>
        <w:numPr>
          <w:ilvl w:val="2"/>
          <w:numId w:val="22"/>
        </w:numPr>
        <w:tabs>
          <w:tab w:pos="2722" w:val="left" w:leader="none"/>
        </w:tabs>
        <w:spacing w:line="242" w:lineRule="auto" w:before="124" w:after="0"/>
        <w:ind w:left="2721" w:right="1999" w:hanging="340"/>
        <w:jc w:val="both"/>
        <w:rPr>
          <w:sz w:val="21"/>
        </w:rPr>
      </w:pPr>
      <w:r>
        <w:rPr>
          <w:sz w:val="21"/>
        </w:rPr>
        <w:t>the proposed </w:t>
      </w:r>
      <w:r>
        <w:rPr>
          <w:spacing w:val="-3"/>
          <w:sz w:val="21"/>
        </w:rPr>
        <w:t>will </w:t>
      </w:r>
      <w:r>
        <w:rPr>
          <w:sz w:val="21"/>
        </w:rPr>
        <w:t>reflects what the </w:t>
      </w:r>
      <w:r>
        <w:rPr>
          <w:spacing w:val="-3"/>
          <w:sz w:val="21"/>
        </w:rPr>
        <w:t>intentions </w:t>
      </w:r>
      <w:r>
        <w:rPr>
          <w:sz w:val="21"/>
        </w:rPr>
        <w:t>of the person would be </w:t>
      </w:r>
      <w:r>
        <w:rPr>
          <w:spacing w:val="-4"/>
          <w:sz w:val="21"/>
        </w:rPr>
        <w:t>likely  </w:t>
      </w:r>
      <w:r>
        <w:rPr>
          <w:spacing w:val="-3"/>
          <w:sz w:val="21"/>
        </w:rPr>
        <w:t>to  be,  </w:t>
      </w:r>
      <w:r>
        <w:rPr>
          <w:sz w:val="21"/>
        </w:rPr>
        <w:t>or what the </w:t>
      </w:r>
      <w:r>
        <w:rPr>
          <w:spacing w:val="-3"/>
          <w:sz w:val="21"/>
        </w:rPr>
        <w:t>intentions </w:t>
      </w:r>
      <w:r>
        <w:rPr>
          <w:sz w:val="21"/>
        </w:rPr>
        <w:t>of the person </w:t>
      </w:r>
      <w:r>
        <w:rPr>
          <w:spacing w:val="-3"/>
          <w:sz w:val="21"/>
        </w:rPr>
        <w:t>might reasonably </w:t>
      </w:r>
      <w:r>
        <w:rPr>
          <w:sz w:val="21"/>
        </w:rPr>
        <w:t>be expected </w:t>
      </w:r>
      <w:r>
        <w:rPr>
          <w:spacing w:val="-3"/>
          <w:sz w:val="21"/>
        </w:rPr>
        <w:t>to be, </w:t>
      </w:r>
      <w:r>
        <w:rPr>
          <w:sz w:val="21"/>
        </w:rPr>
        <w:t>if he or  she </w:t>
      </w:r>
      <w:r>
        <w:rPr>
          <w:spacing w:val="-2"/>
          <w:sz w:val="21"/>
        </w:rPr>
        <w:t>had </w:t>
      </w:r>
      <w:r>
        <w:rPr>
          <w:sz w:val="21"/>
        </w:rPr>
        <w:t>testamentary</w:t>
      </w:r>
      <w:r>
        <w:rPr>
          <w:spacing w:val="27"/>
          <w:sz w:val="21"/>
        </w:rPr>
        <w:t> </w:t>
      </w:r>
      <w:r>
        <w:rPr>
          <w:sz w:val="21"/>
        </w:rPr>
        <w:t>capacity</w:t>
      </w:r>
    </w:p>
    <w:p>
      <w:pPr>
        <w:pStyle w:val="ListParagraph"/>
        <w:numPr>
          <w:ilvl w:val="2"/>
          <w:numId w:val="22"/>
        </w:numPr>
        <w:tabs>
          <w:tab w:pos="2721" w:val="left" w:leader="none"/>
          <w:tab w:pos="2722" w:val="left" w:leader="none"/>
        </w:tabs>
        <w:spacing w:line="240" w:lineRule="auto" w:before="123" w:after="0"/>
        <w:ind w:left="2721" w:right="0" w:hanging="340"/>
        <w:jc w:val="left"/>
        <w:rPr>
          <w:sz w:val="12"/>
        </w:rPr>
      </w:pPr>
      <w:r>
        <w:rPr>
          <w:sz w:val="21"/>
        </w:rPr>
        <w:t>it</w:t>
      </w:r>
      <w:r>
        <w:rPr>
          <w:spacing w:val="10"/>
          <w:sz w:val="21"/>
        </w:rPr>
        <w:t> </w:t>
      </w:r>
      <w:r>
        <w:rPr>
          <w:sz w:val="21"/>
        </w:rPr>
        <w:t>is</w:t>
      </w:r>
      <w:r>
        <w:rPr>
          <w:spacing w:val="11"/>
          <w:sz w:val="21"/>
        </w:rPr>
        <w:t> </w:t>
      </w:r>
      <w:r>
        <w:rPr>
          <w:spacing w:val="-3"/>
          <w:sz w:val="21"/>
        </w:rPr>
        <w:t>reasonable</w:t>
      </w:r>
      <w:r>
        <w:rPr>
          <w:spacing w:val="10"/>
          <w:sz w:val="21"/>
        </w:rPr>
        <w:t> </w:t>
      </w:r>
      <w:r>
        <w:rPr>
          <w:sz w:val="21"/>
        </w:rPr>
        <w:t>in</w:t>
      </w:r>
      <w:r>
        <w:rPr>
          <w:spacing w:val="11"/>
          <w:sz w:val="21"/>
        </w:rPr>
        <w:t> </w:t>
      </w:r>
      <w:r>
        <w:rPr>
          <w:spacing w:val="-3"/>
          <w:sz w:val="21"/>
        </w:rPr>
        <w:t>all</w:t>
      </w:r>
      <w:r>
        <w:rPr>
          <w:spacing w:val="10"/>
          <w:sz w:val="21"/>
        </w:rPr>
        <w:t> </w:t>
      </w:r>
      <w:r>
        <w:rPr>
          <w:sz w:val="21"/>
        </w:rPr>
        <w:t>the</w:t>
      </w:r>
      <w:r>
        <w:rPr>
          <w:spacing w:val="11"/>
          <w:sz w:val="21"/>
        </w:rPr>
        <w:t> </w:t>
      </w:r>
      <w:r>
        <w:rPr>
          <w:spacing w:val="-3"/>
          <w:sz w:val="21"/>
        </w:rPr>
        <w:t>circumstances</w:t>
      </w:r>
      <w:r>
        <w:rPr>
          <w:spacing w:val="10"/>
          <w:sz w:val="21"/>
        </w:rPr>
        <w:t> </w:t>
      </w:r>
      <w:r>
        <w:rPr>
          <w:spacing w:val="-3"/>
          <w:sz w:val="21"/>
        </w:rPr>
        <w:t>for</w:t>
      </w:r>
      <w:r>
        <w:rPr>
          <w:spacing w:val="11"/>
          <w:sz w:val="21"/>
        </w:rPr>
        <w:t> </w:t>
      </w:r>
      <w:r>
        <w:rPr>
          <w:sz w:val="21"/>
        </w:rPr>
        <w:t>the</w:t>
      </w:r>
      <w:r>
        <w:rPr>
          <w:spacing w:val="10"/>
          <w:sz w:val="21"/>
        </w:rPr>
        <w:t> </w:t>
      </w:r>
      <w:r>
        <w:rPr>
          <w:spacing w:val="-3"/>
          <w:sz w:val="21"/>
        </w:rPr>
        <w:t>Court</w:t>
      </w:r>
      <w:r>
        <w:rPr>
          <w:spacing w:val="11"/>
          <w:sz w:val="21"/>
        </w:rPr>
        <w:t> </w:t>
      </w:r>
      <w:r>
        <w:rPr>
          <w:spacing w:val="-3"/>
          <w:sz w:val="21"/>
        </w:rPr>
        <w:t>to</w:t>
      </w:r>
      <w:r>
        <w:rPr>
          <w:spacing w:val="10"/>
          <w:sz w:val="21"/>
        </w:rPr>
        <w:t> </w:t>
      </w:r>
      <w:r>
        <w:rPr>
          <w:sz w:val="21"/>
        </w:rPr>
        <w:t>authorise</w:t>
      </w:r>
      <w:r>
        <w:rPr>
          <w:spacing w:val="11"/>
          <w:sz w:val="21"/>
        </w:rPr>
        <w:t> </w:t>
      </w:r>
      <w:r>
        <w:rPr>
          <w:sz w:val="21"/>
        </w:rPr>
        <w:t>the</w:t>
      </w:r>
      <w:r>
        <w:rPr>
          <w:spacing w:val="11"/>
          <w:sz w:val="21"/>
        </w:rPr>
        <w:t> </w:t>
      </w:r>
      <w:r>
        <w:rPr>
          <w:spacing w:val="-3"/>
          <w:sz w:val="21"/>
        </w:rPr>
        <w:t>will.</w:t>
      </w:r>
      <w:r>
        <w:rPr>
          <w:spacing w:val="-3"/>
          <w:position w:val="7"/>
          <w:sz w:val="12"/>
        </w:rPr>
        <w:t>4</w:t>
      </w:r>
    </w:p>
    <w:p>
      <w:pPr>
        <w:pStyle w:val="ListParagraph"/>
        <w:numPr>
          <w:ilvl w:val="1"/>
          <w:numId w:val="22"/>
        </w:numPr>
        <w:tabs>
          <w:tab w:pos="2381" w:val="left" w:leader="none"/>
          <w:tab w:pos="2382" w:val="left" w:leader="none"/>
        </w:tabs>
        <w:spacing w:line="242" w:lineRule="auto" w:before="124" w:after="0"/>
        <w:ind w:left="2381" w:right="1900" w:hanging="794"/>
        <w:jc w:val="left"/>
        <w:rPr>
          <w:sz w:val="21"/>
        </w:rPr>
      </w:pPr>
      <w:r>
        <w:rPr>
          <w:sz w:val="21"/>
        </w:rPr>
        <w:t>In order </w:t>
      </w:r>
      <w:r>
        <w:rPr>
          <w:spacing w:val="-3"/>
          <w:sz w:val="21"/>
        </w:rPr>
        <w:t>to determine </w:t>
      </w:r>
      <w:r>
        <w:rPr>
          <w:sz w:val="21"/>
        </w:rPr>
        <w:t>the </w:t>
      </w:r>
      <w:r>
        <w:rPr>
          <w:spacing w:val="-3"/>
          <w:sz w:val="21"/>
        </w:rPr>
        <w:t>incapacitated  person’s  </w:t>
      </w:r>
      <w:r>
        <w:rPr>
          <w:spacing w:val="-4"/>
          <w:sz w:val="21"/>
        </w:rPr>
        <w:t>likely  </w:t>
      </w:r>
      <w:r>
        <w:rPr>
          <w:spacing w:val="-3"/>
          <w:sz w:val="21"/>
        </w:rPr>
        <w:t>intentions,  </w:t>
      </w:r>
      <w:r>
        <w:rPr>
          <w:sz w:val="21"/>
        </w:rPr>
        <w:t>the </w:t>
      </w:r>
      <w:r>
        <w:rPr>
          <w:spacing w:val="-3"/>
          <w:sz w:val="21"/>
        </w:rPr>
        <w:t>Wills</w:t>
      </w:r>
      <w:r>
        <w:rPr>
          <w:spacing w:val="41"/>
          <w:sz w:val="21"/>
        </w:rPr>
        <w:t> </w:t>
      </w:r>
      <w:r>
        <w:rPr>
          <w:sz w:val="21"/>
        </w:rPr>
        <w:t>Act sets out a</w:t>
      </w:r>
      <w:r>
        <w:rPr>
          <w:spacing w:val="19"/>
          <w:sz w:val="21"/>
        </w:rPr>
        <w:t> </w:t>
      </w:r>
      <w:r>
        <w:rPr>
          <w:sz w:val="21"/>
        </w:rPr>
        <w:t>list</w:t>
      </w:r>
      <w:r>
        <w:rPr>
          <w:spacing w:val="20"/>
          <w:sz w:val="21"/>
        </w:rPr>
        <w:t> </w:t>
      </w:r>
      <w:r>
        <w:rPr>
          <w:sz w:val="21"/>
        </w:rPr>
        <w:t>of</w:t>
      </w:r>
      <w:r>
        <w:rPr>
          <w:spacing w:val="19"/>
          <w:sz w:val="21"/>
        </w:rPr>
        <w:t> </w:t>
      </w:r>
      <w:r>
        <w:rPr>
          <w:spacing w:val="-3"/>
          <w:sz w:val="21"/>
        </w:rPr>
        <w:t>information</w:t>
      </w:r>
      <w:r>
        <w:rPr>
          <w:spacing w:val="20"/>
          <w:sz w:val="21"/>
        </w:rPr>
        <w:t> </w:t>
      </w:r>
      <w:r>
        <w:rPr>
          <w:spacing w:val="-3"/>
          <w:sz w:val="21"/>
        </w:rPr>
        <w:t>that</w:t>
      </w:r>
      <w:r>
        <w:rPr>
          <w:spacing w:val="20"/>
          <w:sz w:val="21"/>
        </w:rPr>
        <w:t> </w:t>
      </w:r>
      <w:r>
        <w:rPr>
          <w:sz w:val="21"/>
        </w:rPr>
        <w:t>the</w:t>
      </w:r>
      <w:r>
        <w:rPr>
          <w:spacing w:val="19"/>
          <w:sz w:val="21"/>
        </w:rPr>
        <w:t> </w:t>
      </w:r>
      <w:r>
        <w:rPr>
          <w:spacing w:val="-3"/>
          <w:sz w:val="21"/>
        </w:rPr>
        <w:t>Court</w:t>
      </w:r>
      <w:r>
        <w:rPr>
          <w:spacing w:val="20"/>
          <w:sz w:val="21"/>
        </w:rPr>
        <w:t> </w:t>
      </w:r>
      <w:r>
        <w:rPr>
          <w:spacing w:val="-3"/>
          <w:sz w:val="21"/>
        </w:rPr>
        <w:t>may</w:t>
      </w:r>
      <w:r>
        <w:rPr>
          <w:spacing w:val="20"/>
          <w:sz w:val="21"/>
        </w:rPr>
        <w:t> </w:t>
      </w:r>
      <w:r>
        <w:rPr>
          <w:spacing w:val="-3"/>
          <w:sz w:val="21"/>
        </w:rPr>
        <w:t>require</w:t>
      </w:r>
      <w:r>
        <w:rPr>
          <w:spacing w:val="19"/>
          <w:sz w:val="21"/>
        </w:rPr>
        <w:t> </w:t>
      </w:r>
      <w:r>
        <w:rPr>
          <w:sz w:val="21"/>
        </w:rPr>
        <w:t>the</w:t>
      </w:r>
      <w:r>
        <w:rPr>
          <w:spacing w:val="20"/>
          <w:sz w:val="21"/>
        </w:rPr>
        <w:t> </w:t>
      </w:r>
      <w:r>
        <w:rPr>
          <w:spacing w:val="-3"/>
          <w:sz w:val="21"/>
        </w:rPr>
        <w:t>applicant</w:t>
      </w:r>
      <w:r>
        <w:rPr>
          <w:spacing w:val="20"/>
          <w:sz w:val="21"/>
        </w:rPr>
        <w:t> </w:t>
      </w:r>
      <w:r>
        <w:rPr>
          <w:spacing w:val="-3"/>
          <w:sz w:val="21"/>
        </w:rPr>
        <w:t>to</w:t>
      </w:r>
      <w:r>
        <w:rPr>
          <w:spacing w:val="19"/>
          <w:sz w:val="21"/>
        </w:rPr>
        <w:t> </w:t>
      </w:r>
      <w:r>
        <w:rPr>
          <w:spacing w:val="-3"/>
          <w:sz w:val="21"/>
        </w:rPr>
        <w:t>provide,</w:t>
      </w:r>
      <w:r>
        <w:rPr>
          <w:spacing w:val="20"/>
          <w:sz w:val="21"/>
        </w:rPr>
        <w:t> </w:t>
      </w:r>
      <w:r>
        <w:rPr>
          <w:spacing w:val="-3"/>
          <w:sz w:val="21"/>
        </w:rPr>
        <w:t>including:</w:t>
      </w:r>
    </w:p>
    <w:p>
      <w:pPr>
        <w:pStyle w:val="ListParagraph"/>
        <w:numPr>
          <w:ilvl w:val="2"/>
          <w:numId w:val="22"/>
        </w:numPr>
        <w:tabs>
          <w:tab w:pos="2721" w:val="left" w:leader="none"/>
          <w:tab w:pos="2722" w:val="left" w:leader="none"/>
        </w:tabs>
        <w:spacing w:line="240" w:lineRule="auto" w:before="122" w:after="0"/>
        <w:ind w:left="2721" w:right="0" w:hanging="340"/>
        <w:jc w:val="left"/>
        <w:rPr>
          <w:sz w:val="21"/>
        </w:rPr>
      </w:pPr>
      <w:r>
        <w:rPr>
          <w:w w:val="105"/>
          <w:sz w:val="21"/>
        </w:rPr>
        <w:t>a </w:t>
      </w:r>
      <w:r>
        <w:rPr>
          <w:spacing w:val="-3"/>
          <w:w w:val="105"/>
          <w:sz w:val="21"/>
        </w:rPr>
        <w:t>reasonable estimate </w:t>
      </w:r>
      <w:r>
        <w:rPr>
          <w:w w:val="105"/>
          <w:sz w:val="21"/>
        </w:rPr>
        <w:t>of the </w:t>
      </w:r>
      <w:r>
        <w:rPr>
          <w:spacing w:val="-3"/>
          <w:w w:val="105"/>
          <w:sz w:val="21"/>
        </w:rPr>
        <w:t>size </w:t>
      </w:r>
      <w:r>
        <w:rPr>
          <w:w w:val="105"/>
          <w:sz w:val="21"/>
        </w:rPr>
        <w:t>and </w:t>
      </w:r>
      <w:r>
        <w:rPr>
          <w:spacing w:val="-3"/>
          <w:w w:val="105"/>
          <w:sz w:val="21"/>
        </w:rPr>
        <w:t>character </w:t>
      </w:r>
      <w:r>
        <w:rPr>
          <w:w w:val="105"/>
          <w:sz w:val="21"/>
        </w:rPr>
        <w:t>of the</w:t>
      </w:r>
      <w:r>
        <w:rPr>
          <w:spacing w:val="3"/>
          <w:w w:val="105"/>
          <w:sz w:val="21"/>
        </w:rPr>
        <w:t> </w:t>
      </w:r>
      <w:r>
        <w:rPr>
          <w:w w:val="105"/>
          <w:sz w:val="21"/>
        </w:rPr>
        <w:t>estate</w:t>
      </w:r>
    </w:p>
    <w:p>
      <w:pPr>
        <w:pStyle w:val="ListParagraph"/>
        <w:numPr>
          <w:ilvl w:val="2"/>
          <w:numId w:val="22"/>
        </w:numPr>
        <w:tabs>
          <w:tab w:pos="2721" w:val="left" w:leader="none"/>
          <w:tab w:pos="2722" w:val="left" w:leader="none"/>
        </w:tabs>
        <w:spacing w:line="240" w:lineRule="auto" w:before="124" w:after="0"/>
        <w:ind w:left="2721" w:right="0" w:hanging="340"/>
        <w:jc w:val="left"/>
        <w:rPr>
          <w:sz w:val="21"/>
        </w:rPr>
      </w:pPr>
      <w:r>
        <w:rPr>
          <w:w w:val="105"/>
          <w:sz w:val="21"/>
        </w:rPr>
        <w:t>a draft of the proposed</w:t>
      </w:r>
      <w:r>
        <w:rPr>
          <w:spacing w:val="25"/>
          <w:w w:val="105"/>
          <w:sz w:val="21"/>
        </w:rPr>
        <w:t> </w:t>
      </w:r>
      <w:r>
        <w:rPr>
          <w:spacing w:val="-3"/>
          <w:w w:val="105"/>
          <w:sz w:val="21"/>
        </w:rPr>
        <w:t>will</w:t>
      </w:r>
    </w:p>
    <w:p>
      <w:pPr>
        <w:pStyle w:val="ListParagraph"/>
        <w:numPr>
          <w:ilvl w:val="2"/>
          <w:numId w:val="22"/>
        </w:numPr>
        <w:tabs>
          <w:tab w:pos="2721" w:val="left" w:leader="none"/>
          <w:tab w:pos="2722" w:val="left" w:leader="none"/>
        </w:tabs>
        <w:spacing w:line="240" w:lineRule="auto" w:before="123" w:after="0"/>
        <w:ind w:left="2721" w:right="0" w:hanging="340"/>
        <w:jc w:val="left"/>
        <w:rPr>
          <w:sz w:val="21"/>
        </w:rPr>
      </w:pPr>
      <w:r>
        <w:rPr>
          <w:spacing w:val="-3"/>
          <w:w w:val="105"/>
          <w:sz w:val="21"/>
        </w:rPr>
        <w:t>any </w:t>
      </w:r>
      <w:r>
        <w:rPr>
          <w:w w:val="105"/>
          <w:sz w:val="21"/>
        </w:rPr>
        <w:t>evidence of the wishes of the</w:t>
      </w:r>
      <w:r>
        <w:rPr>
          <w:spacing w:val="35"/>
          <w:w w:val="105"/>
          <w:sz w:val="21"/>
        </w:rPr>
        <w:t> </w:t>
      </w:r>
      <w:r>
        <w:rPr>
          <w:w w:val="105"/>
          <w:sz w:val="21"/>
        </w:rPr>
        <w:t>person</w:t>
      </w:r>
    </w:p>
    <w:p>
      <w:pPr>
        <w:pStyle w:val="ListParagraph"/>
        <w:numPr>
          <w:ilvl w:val="2"/>
          <w:numId w:val="22"/>
        </w:numPr>
        <w:tabs>
          <w:tab w:pos="2721" w:val="left" w:leader="none"/>
          <w:tab w:pos="2722" w:val="left" w:leader="none"/>
        </w:tabs>
        <w:spacing w:line="242" w:lineRule="auto" w:before="124" w:after="0"/>
        <w:ind w:left="2721" w:right="2260" w:hanging="340"/>
        <w:jc w:val="left"/>
        <w:rPr>
          <w:sz w:val="21"/>
        </w:rPr>
      </w:pPr>
      <w:r>
        <w:rPr>
          <w:spacing w:val="-3"/>
          <w:w w:val="105"/>
          <w:sz w:val="21"/>
        </w:rPr>
        <w:t>any </w:t>
      </w:r>
      <w:r>
        <w:rPr>
          <w:w w:val="105"/>
          <w:sz w:val="21"/>
        </w:rPr>
        <w:t>evidence of the </w:t>
      </w:r>
      <w:r>
        <w:rPr>
          <w:spacing w:val="-3"/>
          <w:w w:val="105"/>
          <w:sz w:val="21"/>
        </w:rPr>
        <w:t>likelihood </w:t>
      </w:r>
      <w:r>
        <w:rPr>
          <w:w w:val="105"/>
          <w:sz w:val="21"/>
        </w:rPr>
        <w:t>of the person </w:t>
      </w:r>
      <w:r>
        <w:rPr>
          <w:spacing w:val="-3"/>
          <w:w w:val="105"/>
          <w:sz w:val="21"/>
        </w:rPr>
        <w:t>acquiring </w:t>
      </w:r>
      <w:r>
        <w:rPr>
          <w:w w:val="105"/>
          <w:sz w:val="21"/>
        </w:rPr>
        <w:t>or </w:t>
      </w:r>
      <w:r>
        <w:rPr>
          <w:spacing w:val="-3"/>
          <w:w w:val="105"/>
          <w:sz w:val="21"/>
        </w:rPr>
        <w:t>regaining </w:t>
      </w:r>
      <w:r>
        <w:rPr>
          <w:w w:val="105"/>
          <w:sz w:val="21"/>
        </w:rPr>
        <w:t>will-making capacity</w:t>
      </w:r>
    </w:p>
    <w:p>
      <w:pPr>
        <w:pStyle w:val="ListParagraph"/>
        <w:numPr>
          <w:ilvl w:val="2"/>
          <w:numId w:val="22"/>
        </w:numPr>
        <w:tabs>
          <w:tab w:pos="2721" w:val="left" w:leader="none"/>
          <w:tab w:pos="2722" w:val="left" w:leader="none"/>
        </w:tabs>
        <w:spacing w:line="240" w:lineRule="auto" w:before="122" w:after="0"/>
        <w:ind w:left="2721" w:right="0" w:hanging="340"/>
        <w:jc w:val="left"/>
        <w:rPr>
          <w:sz w:val="21"/>
        </w:rPr>
      </w:pPr>
      <w:r>
        <w:rPr>
          <w:sz w:val="21"/>
        </w:rPr>
        <w:t>the</w:t>
      </w:r>
      <w:r>
        <w:rPr>
          <w:spacing w:val="8"/>
          <w:sz w:val="21"/>
        </w:rPr>
        <w:t> </w:t>
      </w:r>
      <w:r>
        <w:rPr>
          <w:spacing w:val="-3"/>
          <w:sz w:val="21"/>
        </w:rPr>
        <w:t>terms</w:t>
      </w:r>
      <w:r>
        <w:rPr>
          <w:spacing w:val="9"/>
          <w:sz w:val="21"/>
        </w:rPr>
        <w:t> </w:t>
      </w:r>
      <w:r>
        <w:rPr>
          <w:sz w:val="21"/>
        </w:rPr>
        <w:t>of</w:t>
      </w:r>
      <w:r>
        <w:rPr>
          <w:spacing w:val="9"/>
          <w:sz w:val="21"/>
        </w:rPr>
        <w:t> </w:t>
      </w:r>
      <w:r>
        <w:rPr>
          <w:spacing w:val="-3"/>
          <w:sz w:val="21"/>
        </w:rPr>
        <w:t>any</w:t>
      </w:r>
      <w:r>
        <w:rPr>
          <w:spacing w:val="9"/>
          <w:sz w:val="21"/>
        </w:rPr>
        <w:t> </w:t>
      </w:r>
      <w:r>
        <w:rPr>
          <w:spacing w:val="-3"/>
          <w:sz w:val="21"/>
        </w:rPr>
        <w:t>will</w:t>
      </w:r>
      <w:r>
        <w:rPr>
          <w:spacing w:val="9"/>
          <w:sz w:val="21"/>
        </w:rPr>
        <w:t> </w:t>
      </w:r>
      <w:r>
        <w:rPr>
          <w:spacing w:val="-3"/>
          <w:sz w:val="21"/>
        </w:rPr>
        <w:t>previously</w:t>
      </w:r>
      <w:r>
        <w:rPr>
          <w:spacing w:val="9"/>
          <w:sz w:val="21"/>
        </w:rPr>
        <w:t> </w:t>
      </w:r>
      <w:r>
        <w:rPr>
          <w:sz w:val="21"/>
        </w:rPr>
        <w:t>made</w:t>
      </w:r>
      <w:r>
        <w:rPr>
          <w:spacing w:val="9"/>
          <w:sz w:val="21"/>
        </w:rPr>
        <w:t> </w:t>
      </w:r>
      <w:r>
        <w:rPr>
          <w:sz w:val="21"/>
        </w:rPr>
        <w:t>by</w:t>
      </w:r>
      <w:r>
        <w:rPr>
          <w:spacing w:val="9"/>
          <w:sz w:val="21"/>
        </w:rPr>
        <w:t> </w:t>
      </w:r>
      <w:r>
        <w:rPr>
          <w:sz w:val="21"/>
        </w:rPr>
        <w:t>the</w:t>
      </w:r>
      <w:r>
        <w:rPr>
          <w:spacing w:val="9"/>
          <w:sz w:val="21"/>
        </w:rPr>
        <w:t> </w:t>
      </w:r>
      <w:r>
        <w:rPr>
          <w:sz w:val="21"/>
        </w:rPr>
        <w:t>person</w:t>
      </w:r>
    </w:p>
    <w:p>
      <w:pPr>
        <w:pStyle w:val="ListParagraph"/>
        <w:numPr>
          <w:ilvl w:val="2"/>
          <w:numId w:val="22"/>
        </w:numPr>
        <w:tabs>
          <w:tab w:pos="2721" w:val="left" w:leader="none"/>
          <w:tab w:pos="2722" w:val="left" w:leader="none"/>
        </w:tabs>
        <w:spacing w:line="242" w:lineRule="auto" w:before="124" w:after="0"/>
        <w:ind w:left="2721" w:right="2309" w:hanging="340"/>
        <w:jc w:val="left"/>
        <w:rPr>
          <w:sz w:val="21"/>
        </w:rPr>
      </w:pPr>
      <w:r>
        <w:rPr>
          <w:spacing w:val="-3"/>
          <w:w w:val="105"/>
          <w:sz w:val="21"/>
        </w:rPr>
        <w:t>any</w:t>
      </w:r>
      <w:r>
        <w:rPr>
          <w:spacing w:val="-6"/>
          <w:w w:val="105"/>
          <w:sz w:val="21"/>
        </w:rPr>
        <w:t> </w:t>
      </w:r>
      <w:r>
        <w:rPr>
          <w:w w:val="105"/>
          <w:sz w:val="21"/>
        </w:rPr>
        <w:t>evidence</w:t>
      </w:r>
      <w:r>
        <w:rPr>
          <w:spacing w:val="-5"/>
          <w:w w:val="105"/>
          <w:sz w:val="21"/>
        </w:rPr>
        <w:t> </w:t>
      </w:r>
      <w:r>
        <w:rPr>
          <w:w w:val="105"/>
          <w:sz w:val="21"/>
        </w:rPr>
        <w:t>of</w:t>
      </w:r>
      <w:r>
        <w:rPr>
          <w:spacing w:val="-6"/>
          <w:w w:val="105"/>
          <w:sz w:val="21"/>
        </w:rPr>
        <w:t> </w:t>
      </w:r>
      <w:r>
        <w:rPr>
          <w:w w:val="105"/>
          <w:sz w:val="21"/>
        </w:rPr>
        <w:t>the</w:t>
      </w:r>
      <w:r>
        <w:rPr>
          <w:spacing w:val="-5"/>
          <w:w w:val="105"/>
          <w:sz w:val="21"/>
        </w:rPr>
        <w:t> </w:t>
      </w:r>
      <w:r>
        <w:rPr>
          <w:spacing w:val="-3"/>
          <w:w w:val="105"/>
          <w:sz w:val="21"/>
        </w:rPr>
        <w:t>likelihood</w:t>
      </w:r>
      <w:r>
        <w:rPr>
          <w:spacing w:val="-6"/>
          <w:w w:val="105"/>
          <w:sz w:val="21"/>
        </w:rPr>
        <w:t> </w:t>
      </w:r>
      <w:r>
        <w:rPr>
          <w:w w:val="105"/>
          <w:sz w:val="21"/>
        </w:rPr>
        <w:t>of</w:t>
      </w:r>
      <w:r>
        <w:rPr>
          <w:spacing w:val="-5"/>
          <w:w w:val="105"/>
          <w:sz w:val="21"/>
        </w:rPr>
        <w:t> </w:t>
      </w:r>
      <w:r>
        <w:rPr>
          <w:w w:val="105"/>
          <w:sz w:val="21"/>
        </w:rPr>
        <w:t>a</w:t>
      </w:r>
      <w:r>
        <w:rPr>
          <w:spacing w:val="-5"/>
          <w:w w:val="105"/>
          <w:sz w:val="21"/>
        </w:rPr>
        <w:t> </w:t>
      </w:r>
      <w:r>
        <w:rPr>
          <w:spacing w:val="-3"/>
          <w:w w:val="105"/>
          <w:sz w:val="21"/>
        </w:rPr>
        <w:t>family</w:t>
      </w:r>
      <w:r>
        <w:rPr>
          <w:spacing w:val="-6"/>
          <w:w w:val="105"/>
          <w:sz w:val="21"/>
        </w:rPr>
        <w:t> </w:t>
      </w:r>
      <w:r>
        <w:rPr>
          <w:spacing w:val="-3"/>
          <w:w w:val="105"/>
          <w:sz w:val="21"/>
        </w:rPr>
        <w:t>provision</w:t>
      </w:r>
      <w:r>
        <w:rPr>
          <w:spacing w:val="-5"/>
          <w:w w:val="105"/>
          <w:sz w:val="21"/>
        </w:rPr>
        <w:t> </w:t>
      </w:r>
      <w:r>
        <w:rPr>
          <w:spacing w:val="-3"/>
          <w:w w:val="105"/>
          <w:sz w:val="21"/>
        </w:rPr>
        <w:t>claim</w:t>
      </w:r>
      <w:r>
        <w:rPr>
          <w:spacing w:val="-6"/>
          <w:w w:val="105"/>
          <w:sz w:val="21"/>
        </w:rPr>
        <w:t> </w:t>
      </w:r>
      <w:r>
        <w:rPr>
          <w:w w:val="105"/>
          <w:sz w:val="21"/>
        </w:rPr>
        <w:t>being</w:t>
      </w:r>
      <w:r>
        <w:rPr>
          <w:spacing w:val="-5"/>
          <w:w w:val="105"/>
          <w:sz w:val="21"/>
        </w:rPr>
        <w:t> </w:t>
      </w:r>
      <w:r>
        <w:rPr>
          <w:w w:val="105"/>
          <w:sz w:val="21"/>
        </w:rPr>
        <w:t>made</w:t>
      </w:r>
      <w:r>
        <w:rPr>
          <w:spacing w:val="-5"/>
          <w:w w:val="105"/>
          <w:sz w:val="21"/>
        </w:rPr>
        <w:t> </w:t>
      </w:r>
      <w:r>
        <w:rPr>
          <w:w w:val="105"/>
          <w:sz w:val="21"/>
        </w:rPr>
        <w:t>after</w:t>
      </w:r>
      <w:r>
        <w:rPr>
          <w:spacing w:val="-6"/>
          <w:w w:val="105"/>
          <w:sz w:val="21"/>
        </w:rPr>
        <w:t> </w:t>
      </w:r>
      <w:r>
        <w:rPr>
          <w:w w:val="105"/>
          <w:sz w:val="21"/>
        </w:rPr>
        <w:t>the </w:t>
      </w:r>
      <w:r>
        <w:rPr>
          <w:spacing w:val="-3"/>
          <w:w w:val="105"/>
          <w:sz w:val="21"/>
        </w:rPr>
        <w:t>person’s</w:t>
      </w:r>
      <w:r>
        <w:rPr>
          <w:spacing w:val="5"/>
          <w:w w:val="105"/>
          <w:sz w:val="21"/>
        </w:rPr>
        <w:t> </w:t>
      </w:r>
      <w:r>
        <w:rPr>
          <w:spacing w:val="-3"/>
          <w:w w:val="105"/>
          <w:sz w:val="21"/>
        </w:rPr>
        <w:t>death</w:t>
      </w:r>
    </w:p>
    <w:p>
      <w:pPr>
        <w:pStyle w:val="ListParagraph"/>
        <w:numPr>
          <w:ilvl w:val="2"/>
          <w:numId w:val="22"/>
        </w:numPr>
        <w:tabs>
          <w:tab w:pos="2721" w:val="left" w:leader="none"/>
          <w:tab w:pos="2722" w:val="left" w:leader="none"/>
        </w:tabs>
        <w:spacing w:line="242" w:lineRule="auto" w:before="122" w:after="0"/>
        <w:ind w:left="2721" w:right="1866" w:hanging="340"/>
        <w:jc w:val="left"/>
        <w:rPr>
          <w:sz w:val="21"/>
        </w:rPr>
      </w:pPr>
      <w:r>
        <w:rPr>
          <w:w w:val="105"/>
          <w:sz w:val="21"/>
        </w:rPr>
        <w:t>the </w:t>
      </w:r>
      <w:r>
        <w:rPr>
          <w:spacing w:val="-3"/>
          <w:w w:val="105"/>
          <w:sz w:val="21"/>
        </w:rPr>
        <w:t>circumstances </w:t>
      </w:r>
      <w:r>
        <w:rPr>
          <w:w w:val="105"/>
          <w:sz w:val="21"/>
        </w:rPr>
        <w:t>of </w:t>
      </w:r>
      <w:r>
        <w:rPr>
          <w:spacing w:val="-3"/>
          <w:w w:val="105"/>
          <w:sz w:val="21"/>
        </w:rPr>
        <w:t>any </w:t>
      </w:r>
      <w:r>
        <w:rPr>
          <w:w w:val="105"/>
          <w:sz w:val="21"/>
        </w:rPr>
        <w:t>person </w:t>
      </w:r>
      <w:r>
        <w:rPr>
          <w:spacing w:val="-3"/>
          <w:w w:val="105"/>
          <w:sz w:val="21"/>
        </w:rPr>
        <w:t>for </w:t>
      </w:r>
      <w:r>
        <w:rPr>
          <w:w w:val="105"/>
          <w:sz w:val="21"/>
        </w:rPr>
        <w:t>whom </w:t>
      </w:r>
      <w:r>
        <w:rPr>
          <w:spacing w:val="-3"/>
          <w:w w:val="105"/>
          <w:sz w:val="21"/>
        </w:rPr>
        <w:t>provision might reasonably </w:t>
      </w:r>
      <w:r>
        <w:rPr>
          <w:w w:val="105"/>
          <w:sz w:val="21"/>
        </w:rPr>
        <w:t>be expected </w:t>
      </w:r>
      <w:r>
        <w:rPr>
          <w:spacing w:val="-3"/>
          <w:w w:val="105"/>
          <w:sz w:val="21"/>
        </w:rPr>
        <w:t>to </w:t>
      </w:r>
      <w:r>
        <w:rPr>
          <w:w w:val="105"/>
          <w:sz w:val="21"/>
        </w:rPr>
        <w:t>be made under the</w:t>
      </w:r>
      <w:r>
        <w:rPr>
          <w:spacing w:val="28"/>
          <w:w w:val="105"/>
          <w:sz w:val="21"/>
        </w:rPr>
        <w:t> </w:t>
      </w:r>
      <w:r>
        <w:rPr>
          <w:spacing w:val="-3"/>
          <w:w w:val="105"/>
          <w:sz w:val="21"/>
        </w:rPr>
        <w:t>will</w:t>
      </w:r>
    </w:p>
    <w:p>
      <w:pPr>
        <w:pStyle w:val="ListParagraph"/>
        <w:numPr>
          <w:ilvl w:val="2"/>
          <w:numId w:val="22"/>
        </w:numPr>
        <w:tabs>
          <w:tab w:pos="2721" w:val="left" w:leader="none"/>
          <w:tab w:pos="2722" w:val="left" w:leader="none"/>
        </w:tabs>
        <w:spacing w:line="240" w:lineRule="auto" w:before="123" w:after="0"/>
        <w:ind w:left="2721" w:right="0" w:hanging="340"/>
        <w:jc w:val="left"/>
        <w:rPr>
          <w:sz w:val="21"/>
        </w:rPr>
      </w:pPr>
      <w:r>
        <w:rPr>
          <w:w w:val="105"/>
          <w:sz w:val="21"/>
        </w:rPr>
        <w:t>details of </w:t>
      </w:r>
      <w:r>
        <w:rPr>
          <w:spacing w:val="-3"/>
          <w:w w:val="105"/>
          <w:sz w:val="21"/>
        </w:rPr>
        <w:t>any </w:t>
      </w:r>
      <w:r>
        <w:rPr>
          <w:w w:val="105"/>
          <w:sz w:val="21"/>
        </w:rPr>
        <w:t>persons who </w:t>
      </w:r>
      <w:r>
        <w:rPr>
          <w:spacing w:val="-3"/>
          <w:w w:val="105"/>
          <w:sz w:val="21"/>
        </w:rPr>
        <w:t>may </w:t>
      </w:r>
      <w:r>
        <w:rPr>
          <w:w w:val="105"/>
          <w:sz w:val="21"/>
        </w:rPr>
        <w:t>be entitled </w:t>
      </w:r>
      <w:r>
        <w:rPr>
          <w:spacing w:val="-3"/>
          <w:w w:val="105"/>
          <w:sz w:val="21"/>
        </w:rPr>
        <w:t>to claim </w:t>
      </w:r>
      <w:r>
        <w:rPr>
          <w:w w:val="105"/>
          <w:sz w:val="21"/>
        </w:rPr>
        <w:t>on intestacy</w:t>
      </w:r>
    </w:p>
    <w:p>
      <w:pPr>
        <w:pStyle w:val="ListParagraph"/>
        <w:numPr>
          <w:ilvl w:val="2"/>
          <w:numId w:val="22"/>
        </w:numPr>
        <w:tabs>
          <w:tab w:pos="2721" w:val="left" w:leader="none"/>
          <w:tab w:pos="2722" w:val="left" w:leader="none"/>
        </w:tabs>
        <w:spacing w:line="242" w:lineRule="auto" w:before="123" w:after="0"/>
        <w:ind w:left="2721" w:right="2175" w:hanging="340"/>
        <w:jc w:val="left"/>
        <w:rPr>
          <w:sz w:val="12"/>
        </w:rPr>
      </w:pPr>
      <w:r>
        <w:rPr>
          <w:spacing w:val="-3"/>
          <w:w w:val="105"/>
          <w:sz w:val="21"/>
        </w:rPr>
        <w:t>any</w:t>
      </w:r>
      <w:r>
        <w:rPr>
          <w:spacing w:val="-5"/>
          <w:w w:val="105"/>
          <w:sz w:val="21"/>
        </w:rPr>
        <w:t> </w:t>
      </w:r>
      <w:r>
        <w:rPr>
          <w:w w:val="105"/>
          <w:sz w:val="21"/>
        </w:rPr>
        <w:t>evidence</w:t>
      </w:r>
      <w:r>
        <w:rPr>
          <w:spacing w:val="-4"/>
          <w:w w:val="105"/>
          <w:sz w:val="21"/>
        </w:rPr>
        <w:t> </w:t>
      </w:r>
      <w:r>
        <w:rPr>
          <w:w w:val="105"/>
          <w:sz w:val="21"/>
        </w:rPr>
        <w:t>of</w:t>
      </w:r>
      <w:r>
        <w:rPr>
          <w:spacing w:val="-4"/>
          <w:w w:val="105"/>
          <w:sz w:val="21"/>
        </w:rPr>
        <w:t> </w:t>
      </w:r>
      <w:r>
        <w:rPr>
          <w:spacing w:val="-3"/>
          <w:w w:val="105"/>
          <w:sz w:val="21"/>
        </w:rPr>
        <w:t>any</w:t>
      </w:r>
      <w:r>
        <w:rPr>
          <w:spacing w:val="-5"/>
          <w:w w:val="105"/>
          <w:sz w:val="21"/>
        </w:rPr>
        <w:t> </w:t>
      </w:r>
      <w:r>
        <w:rPr>
          <w:w w:val="105"/>
          <w:sz w:val="21"/>
        </w:rPr>
        <w:t>gift</w:t>
      </w:r>
      <w:r>
        <w:rPr>
          <w:spacing w:val="-4"/>
          <w:w w:val="105"/>
          <w:sz w:val="21"/>
        </w:rPr>
        <w:t> </w:t>
      </w:r>
      <w:r>
        <w:rPr>
          <w:spacing w:val="-3"/>
          <w:w w:val="105"/>
          <w:sz w:val="21"/>
        </w:rPr>
        <w:t>for</w:t>
      </w:r>
      <w:r>
        <w:rPr>
          <w:spacing w:val="-4"/>
          <w:w w:val="105"/>
          <w:sz w:val="21"/>
        </w:rPr>
        <w:t> </w:t>
      </w:r>
      <w:r>
        <w:rPr>
          <w:w w:val="105"/>
          <w:sz w:val="21"/>
        </w:rPr>
        <w:t>a</w:t>
      </w:r>
      <w:r>
        <w:rPr>
          <w:spacing w:val="-4"/>
          <w:w w:val="105"/>
          <w:sz w:val="21"/>
        </w:rPr>
        <w:t> </w:t>
      </w:r>
      <w:r>
        <w:rPr>
          <w:spacing w:val="-3"/>
          <w:w w:val="105"/>
          <w:sz w:val="21"/>
        </w:rPr>
        <w:t>charitable</w:t>
      </w:r>
      <w:r>
        <w:rPr>
          <w:spacing w:val="-5"/>
          <w:w w:val="105"/>
          <w:sz w:val="21"/>
        </w:rPr>
        <w:t> </w:t>
      </w:r>
      <w:r>
        <w:rPr>
          <w:w w:val="105"/>
          <w:sz w:val="21"/>
        </w:rPr>
        <w:t>or</w:t>
      </w:r>
      <w:r>
        <w:rPr>
          <w:spacing w:val="-4"/>
          <w:w w:val="105"/>
          <w:sz w:val="21"/>
        </w:rPr>
        <w:t> </w:t>
      </w:r>
      <w:r>
        <w:rPr>
          <w:w w:val="105"/>
          <w:sz w:val="21"/>
        </w:rPr>
        <w:t>other</w:t>
      </w:r>
      <w:r>
        <w:rPr>
          <w:spacing w:val="-4"/>
          <w:w w:val="105"/>
          <w:sz w:val="21"/>
        </w:rPr>
        <w:t> </w:t>
      </w:r>
      <w:r>
        <w:rPr>
          <w:w w:val="105"/>
          <w:sz w:val="21"/>
        </w:rPr>
        <w:t>purpose</w:t>
      </w:r>
      <w:r>
        <w:rPr>
          <w:spacing w:val="-5"/>
          <w:w w:val="105"/>
          <w:sz w:val="21"/>
        </w:rPr>
        <w:t> </w:t>
      </w:r>
      <w:r>
        <w:rPr>
          <w:spacing w:val="-3"/>
          <w:w w:val="105"/>
          <w:sz w:val="21"/>
        </w:rPr>
        <w:t>that</w:t>
      </w:r>
      <w:r>
        <w:rPr>
          <w:spacing w:val="-4"/>
          <w:w w:val="105"/>
          <w:sz w:val="21"/>
        </w:rPr>
        <w:t> </w:t>
      </w:r>
      <w:r>
        <w:rPr>
          <w:w w:val="105"/>
          <w:sz w:val="21"/>
        </w:rPr>
        <w:t>the</w:t>
      </w:r>
      <w:r>
        <w:rPr>
          <w:spacing w:val="-4"/>
          <w:w w:val="105"/>
          <w:sz w:val="21"/>
        </w:rPr>
        <w:t> </w:t>
      </w:r>
      <w:r>
        <w:rPr>
          <w:w w:val="105"/>
          <w:sz w:val="21"/>
        </w:rPr>
        <w:t>person</w:t>
      </w:r>
      <w:r>
        <w:rPr>
          <w:spacing w:val="-4"/>
          <w:w w:val="105"/>
          <w:sz w:val="21"/>
        </w:rPr>
        <w:t> </w:t>
      </w:r>
      <w:r>
        <w:rPr>
          <w:spacing w:val="-3"/>
          <w:w w:val="105"/>
          <w:sz w:val="21"/>
        </w:rPr>
        <w:t>might reasonably </w:t>
      </w:r>
      <w:r>
        <w:rPr>
          <w:w w:val="105"/>
          <w:sz w:val="21"/>
        </w:rPr>
        <w:t>be expected </w:t>
      </w:r>
      <w:r>
        <w:rPr>
          <w:spacing w:val="-3"/>
          <w:w w:val="105"/>
          <w:sz w:val="21"/>
        </w:rPr>
        <w:t>to </w:t>
      </w:r>
      <w:r>
        <w:rPr>
          <w:w w:val="105"/>
          <w:sz w:val="21"/>
        </w:rPr>
        <w:t>give or </w:t>
      </w:r>
      <w:r>
        <w:rPr>
          <w:spacing w:val="-4"/>
          <w:w w:val="105"/>
          <w:sz w:val="21"/>
        </w:rPr>
        <w:t>make </w:t>
      </w:r>
      <w:r>
        <w:rPr>
          <w:w w:val="105"/>
          <w:sz w:val="21"/>
        </w:rPr>
        <w:t>by</w:t>
      </w:r>
      <w:r>
        <w:rPr>
          <w:spacing w:val="46"/>
          <w:w w:val="105"/>
          <w:sz w:val="21"/>
        </w:rPr>
        <w:t> </w:t>
      </w:r>
      <w:r>
        <w:rPr>
          <w:spacing w:val="-4"/>
          <w:w w:val="105"/>
          <w:sz w:val="21"/>
        </w:rPr>
        <w:t>will.</w:t>
      </w:r>
      <w:r>
        <w:rPr>
          <w:spacing w:val="-4"/>
          <w:w w:val="105"/>
          <w:position w:val="7"/>
          <w:sz w:val="12"/>
        </w:rPr>
        <w:t>5</w:t>
      </w:r>
    </w:p>
    <w:p>
      <w:pPr>
        <w:pStyle w:val="ListParagraph"/>
        <w:numPr>
          <w:ilvl w:val="1"/>
          <w:numId w:val="22"/>
        </w:numPr>
        <w:tabs>
          <w:tab w:pos="2380" w:val="left" w:leader="none"/>
          <w:tab w:pos="2381" w:val="left" w:leader="none"/>
        </w:tabs>
        <w:spacing w:line="242" w:lineRule="auto" w:before="122" w:after="0"/>
        <w:ind w:left="2380" w:right="1861" w:hanging="793"/>
        <w:jc w:val="left"/>
        <w:rPr>
          <w:sz w:val="21"/>
        </w:rPr>
      </w:pPr>
      <w:r>
        <w:rPr>
          <w:sz w:val="21"/>
        </w:rPr>
        <w:t>The test </w:t>
      </w:r>
      <w:r>
        <w:rPr>
          <w:spacing w:val="-3"/>
          <w:sz w:val="21"/>
        </w:rPr>
        <w:t>for </w:t>
      </w:r>
      <w:r>
        <w:rPr>
          <w:sz w:val="21"/>
        </w:rPr>
        <w:t>a court </w:t>
      </w:r>
      <w:r>
        <w:rPr>
          <w:spacing w:val="-3"/>
          <w:sz w:val="21"/>
        </w:rPr>
        <w:t>to </w:t>
      </w:r>
      <w:r>
        <w:rPr>
          <w:sz w:val="21"/>
        </w:rPr>
        <w:t>authorise a statutory </w:t>
      </w:r>
      <w:r>
        <w:rPr>
          <w:spacing w:val="-3"/>
          <w:sz w:val="21"/>
        </w:rPr>
        <w:t>will </w:t>
      </w:r>
      <w:r>
        <w:rPr>
          <w:sz w:val="21"/>
        </w:rPr>
        <w:t>differs in </w:t>
      </w:r>
      <w:r>
        <w:rPr>
          <w:spacing w:val="-3"/>
          <w:sz w:val="21"/>
        </w:rPr>
        <w:t>all Australian </w:t>
      </w:r>
      <w:r>
        <w:rPr>
          <w:sz w:val="21"/>
        </w:rPr>
        <w:t>states and </w:t>
      </w:r>
      <w:r>
        <w:rPr>
          <w:spacing w:val="-3"/>
          <w:sz w:val="21"/>
        </w:rPr>
        <w:t>territories.</w:t>
      </w:r>
      <w:r>
        <w:rPr>
          <w:spacing w:val="-3"/>
          <w:position w:val="7"/>
          <w:sz w:val="12"/>
        </w:rPr>
        <w:t>6 </w:t>
      </w:r>
      <w:r>
        <w:rPr>
          <w:sz w:val="21"/>
        </w:rPr>
        <w:t>The </w:t>
      </w:r>
      <w:r>
        <w:rPr>
          <w:spacing w:val="-3"/>
          <w:sz w:val="21"/>
        </w:rPr>
        <w:t>Commission therefore asked </w:t>
      </w:r>
      <w:r>
        <w:rPr>
          <w:sz w:val="21"/>
        </w:rPr>
        <w:t>in the </w:t>
      </w:r>
      <w:r>
        <w:rPr>
          <w:spacing w:val="-3"/>
          <w:sz w:val="21"/>
        </w:rPr>
        <w:t>consultation </w:t>
      </w:r>
      <w:r>
        <w:rPr>
          <w:sz w:val="21"/>
        </w:rPr>
        <w:t>paper on </w:t>
      </w:r>
      <w:r>
        <w:rPr>
          <w:spacing w:val="-3"/>
          <w:sz w:val="21"/>
        </w:rPr>
        <w:t>wills  </w:t>
      </w:r>
      <w:r>
        <w:rPr>
          <w:sz w:val="21"/>
        </w:rPr>
        <w:t>whether  the </w:t>
      </w:r>
      <w:r>
        <w:rPr>
          <w:spacing w:val="-3"/>
          <w:sz w:val="21"/>
        </w:rPr>
        <w:t>National Committee for Uniform Succession </w:t>
      </w:r>
      <w:r>
        <w:rPr>
          <w:sz w:val="21"/>
        </w:rPr>
        <w:t>Laws’ proposal would be</w:t>
      </w:r>
      <w:r>
        <w:rPr>
          <w:spacing w:val="32"/>
          <w:sz w:val="21"/>
        </w:rPr>
        <w:t> </w:t>
      </w:r>
      <w:r>
        <w:rPr>
          <w:spacing w:val="-3"/>
          <w:sz w:val="21"/>
        </w:rPr>
        <w:t>preferable</w:t>
      </w:r>
    </w:p>
    <w:p>
      <w:pPr>
        <w:pStyle w:val="BodyText"/>
        <w:spacing w:before="3"/>
        <w:ind w:left="2381"/>
        <w:rPr>
          <w:sz w:val="12"/>
        </w:rPr>
      </w:pPr>
      <w:r>
        <w:rPr/>
        <w:t>to the Victorian test.</w:t>
      </w:r>
      <w:r>
        <w:rPr>
          <w:position w:val="7"/>
          <w:sz w:val="12"/>
        </w:rPr>
        <w:t>7</w:t>
      </w:r>
    </w:p>
    <w:p>
      <w:pPr>
        <w:pStyle w:val="ListParagraph"/>
        <w:numPr>
          <w:ilvl w:val="1"/>
          <w:numId w:val="22"/>
        </w:numPr>
        <w:tabs>
          <w:tab w:pos="2381" w:val="left" w:leader="none"/>
        </w:tabs>
        <w:spacing w:line="242" w:lineRule="auto" w:before="124" w:after="0"/>
        <w:ind w:left="2381" w:right="2205" w:hanging="794"/>
        <w:jc w:val="both"/>
        <w:rPr>
          <w:sz w:val="12"/>
        </w:rPr>
      </w:pPr>
      <w:r>
        <w:rPr>
          <w:sz w:val="21"/>
        </w:rPr>
        <w:t>The Victorian test </w:t>
      </w:r>
      <w:r>
        <w:rPr>
          <w:spacing w:val="-3"/>
          <w:sz w:val="21"/>
        </w:rPr>
        <w:t>requires that </w:t>
      </w:r>
      <w:r>
        <w:rPr>
          <w:sz w:val="21"/>
        </w:rPr>
        <w:t>the proposed </w:t>
      </w:r>
      <w:r>
        <w:rPr>
          <w:spacing w:val="-3"/>
          <w:sz w:val="21"/>
        </w:rPr>
        <w:t>will </w:t>
      </w:r>
      <w:r>
        <w:rPr>
          <w:sz w:val="21"/>
        </w:rPr>
        <w:t>reflect </w:t>
      </w:r>
      <w:r>
        <w:rPr>
          <w:spacing w:val="-3"/>
          <w:sz w:val="21"/>
        </w:rPr>
        <w:t>‘what </w:t>
      </w:r>
      <w:r>
        <w:rPr>
          <w:sz w:val="21"/>
        </w:rPr>
        <w:t>the </w:t>
      </w:r>
      <w:r>
        <w:rPr>
          <w:spacing w:val="-3"/>
          <w:sz w:val="21"/>
        </w:rPr>
        <w:t>intentions </w:t>
      </w:r>
      <w:r>
        <w:rPr>
          <w:sz w:val="21"/>
        </w:rPr>
        <w:t>of the person would be </w:t>
      </w:r>
      <w:r>
        <w:rPr>
          <w:spacing w:val="-4"/>
          <w:sz w:val="21"/>
        </w:rPr>
        <w:t>likely </w:t>
      </w:r>
      <w:r>
        <w:rPr>
          <w:spacing w:val="-3"/>
          <w:sz w:val="21"/>
        </w:rPr>
        <w:t>to </w:t>
      </w:r>
      <w:r>
        <w:rPr>
          <w:sz w:val="21"/>
        </w:rPr>
        <w:t>be or what the </w:t>
      </w:r>
      <w:r>
        <w:rPr>
          <w:spacing w:val="-3"/>
          <w:sz w:val="21"/>
        </w:rPr>
        <w:t>intentions  </w:t>
      </w:r>
      <w:r>
        <w:rPr>
          <w:sz w:val="21"/>
        </w:rPr>
        <w:t>of the person </w:t>
      </w:r>
      <w:r>
        <w:rPr>
          <w:spacing w:val="-3"/>
          <w:sz w:val="21"/>
        </w:rPr>
        <w:t>might</w:t>
      </w:r>
      <w:r>
        <w:rPr>
          <w:spacing w:val="41"/>
          <w:sz w:val="21"/>
        </w:rPr>
        <w:t> </w:t>
      </w:r>
      <w:r>
        <w:rPr>
          <w:spacing w:val="-3"/>
          <w:sz w:val="21"/>
        </w:rPr>
        <w:t>reasonably  </w:t>
      </w:r>
      <w:r>
        <w:rPr>
          <w:sz w:val="21"/>
        </w:rPr>
        <w:t>be expected </w:t>
      </w:r>
      <w:r>
        <w:rPr>
          <w:spacing w:val="-3"/>
          <w:sz w:val="21"/>
        </w:rPr>
        <w:t>to</w:t>
      </w:r>
      <w:r>
        <w:rPr>
          <w:spacing w:val="25"/>
          <w:sz w:val="21"/>
        </w:rPr>
        <w:t> </w:t>
      </w:r>
      <w:r>
        <w:rPr>
          <w:spacing w:val="-5"/>
          <w:sz w:val="21"/>
        </w:rPr>
        <w:t>be’.</w:t>
      </w:r>
      <w:r>
        <w:rPr>
          <w:spacing w:val="-5"/>
          <w:position w:val="7"/>
          <w:sz w:val="12"/>
        </w:rPr>
        <w:t>8</w:t>
      </w:r>
    </w:p>
    <w:p>
      <w:pPr>
        <w:pStyle w:val="ListParagraph"/>
        <w:numPr>
          <w:ilvl w:val="1"/>
          <w:numId w:val="22"/>
        </w:numPr>
        <w:tabs>
          <w:tab w:pos="2381" w:val="left" w:leader="none"/>
          <w:tab w:pos="2382" w:val="left" w:leader="none"/>
        </w:tabs>
        <w:spacing w:line="242" w:lineRule="auto" w:before="123" w:after="0"/>
        <w:ind w:left="2381" w:right="1810" w:hanging="794"/>
        <w:jc w:val="left"/>
        <w:rPr>
          <w:sz w:val="21"/>
        </w:rPr>
      </w:pPr>
      <w:r>
        <w:rPr>
          <w:sz w:val="21"/>
        </w:rPr>
        <w:t>This test is the </w:t>
      </w:r>
      <w:r>
        <w:rPr>
          <w:spacing w:val="-3"/>
          <w:sz w:val="21"/>
        </w:rPr>
        <w:t>result </w:t>
      </w:r>
      <w:r>
        <w:rPr>
          <w:sz w:val="21"/>
        </w:rPr>
        <w:t>of a </w:t>
      </w:r>
      <w:r>
        <w:rPr>
          <w:spacing w:val="-3"/>
          <w:sz w:val="21"/>
        </w:rPr>
        <w:t>2007 amendment  </w:t>
      </w:r>
      <w:r>
        <w:rPr>
          <w:sz w:val="21"/>
        </w:rPr>
        <w:t>made  in  response  </w:t>
      </w:r>
      <w:r>
        <w:rPr>
          <w:spacing w:val="-3"/>
          <w:sz w:val="21"/>
        </w:rPr>
        <w:t>to  </w:t>
      </w:r>
      <w:r>
        <w:rPr>
          <w:sz w:val="21"/>
        </w:rPr>
        <w:t>the  decision  in </w:t>
      </w:r>
      <w:r>
        <w:rPr>
          <w:i/>
          <w:sz w:val="21"/>
        </w:rPr>
        <w:t>Boulton v </w:t>
      </w:r>
      <w:r>
        <w:rPr>
          <w:i/>
          <w:spacing w:val="-3"/>
          <w:sz w:val="21"/>
        </w:rPr>
        <w:t>Sanders</w:t>
      </w:r>
      <w:r>
        <w:rPr>
          <w:spacing w:val="-3"/>
          <w:sz w:val="21"/>
        </w:rPr>
        <w:t>,</w:t>
      </w:r>
      <w:r>
        <w:rPr>
          <w:spacing w:val="-3"/>
          <w:position w:val="7"/>
          <w:sz w:val="12"/>
        </w:rPr>
        <w:t>9 </w:t>
      </w:r>
      <w:r>
        <w:rPr>
          <w:sz w:val="21"/>
        </w:rPr>
        <w:t>in which the Victorian </w:t>
      </w:r>
      <w:r>
        <w:rPr>
          <w:spacing w:val="-3"/>
          <w:sz w:val="21"/>
        </w:rPr>
        <w:t>Court </w:t>
      </w:r>
      <w:r>
        <w:rPr>
          <w:sz w:val="21"/>
        </w:rPr>
        <w:t>of Appeal </w:t>
      </w:r>
      <w:r>
        <w:rPr>
          <w:spacing w:val="-3"/>
          <w:sz w:val="21"/>
        </w:rPr>
        <w:t>interpreted </w:t>
      </w:r>
      <w:r>
        <w:rPr>
          <w:sz w:val="21"/>
        </w:rPr>
        <w:t>the </w:t>
      </w:r>
      <w:r>
        <w:rPr>
          <w:spacing w:val="-3"/>
          <w:sz w:val="21"/>
        </w:rPr>
        <w:t>previous </w:t>
      </w:r>
      <w:r>
        <w:rPr>
          <w:sz w:val="21"/>
        </w:rPr>
        <w:t>test </w:t>
      </w:r>
      <w:r>
        <w:rPr>
          <w:spacing w:val="-3"/>
          <w:sz w:val="21"/>
        </w:rPr>
        <w:t>restrictively</w:t>
      </w:r>
      <w:r>
        <w:rPr>
          <w:i/>
          <w:spacing w:val="-3"/>
          <w:sz w:val="21"/>
        </w:rPr>
        <w:t>. </w:t>
      </w:r>
      <w:r>
        <w:rPr>
          <w:sz w:val="21"/>
        </w:rPr>
        <w:t>The </w:t>
      </w:r>
      <w:r>
        <w:rPr>
          <w:spacing w:val="-3"/>
          <w:sz w:val="21"/>
        </w:rPr>
        <w:t>amendment </w:t>
      </w:r>
      <w:r>
        <w:rPr>
          <w:sz w:val="21"/>
        </w:rPr>
        <w:t>was designed </w:t>
      </w:r>
      <w:r>
        <w:rPr>
          <w:spacing w:val="-3"/>
          <w:sz w:val="21"/>
        </w:rPr>
        <w:t>to  allow  for  applications  </w:t>
      </w:r>
      <w:r>
        <w:rPr>
          <w:sz w:val="21"/>
        </w:rPr>
        <w:t>where the person </w:t>
      </w:r>
      <w:r>
        <w:rPr>
          <w:spacing w:val="-2"/>
          <w:sz w:val="21"/>
        </w:rPr>
        <w:t>has </w:t>
      </w:r>
      <w:r>
        <w:rPr>
          <w:sz w:val="21"/>
        </w:rPr>
        <w:t>never </w:t>
      </w:r>
      <w:r>
        <w:rPr>
          <w:spacing w:val="-2"/>
          <w:sz w:val="21"/>
        </w:rPr>
        <w:t>had  </w:t>
      </w:r>
      <w:r>
        <w:rPr>
          <w:spacing w:val="-3"/>
          <w:sz w:val="21"/>
        </w:rPr>
        <w:t>capacity,  </w:t>
      </w:r>
      <w:r>
        <w:rPr>
          <w:sz w:val="21"/>
        </w:rPr>
        <w:t>as </w:t>
      </w:r>
      <w:r>
        <w:rPr>
          <w:spacing w:val="-3"/>
          <w:sz w:val="21"/>
        </w:rPr>
        <w:t>well</w:t>
      </w:r>
      <w:r>
        <w:rPr>
          <w:spacing w:val="41"/>
          <w:sz w:val="21"/>
        </w:rPr>
        <w:t> </w:t>
      </w:r>
      <w:r>
        <w:rPr>
          <w:sz w:val="21"/>
        </w:rPr>
        <w:t>as where the person lost capacity </w:t>
      </w:r>
      <w:r>
        <w:rPr>
          <w:spacing w:val="-3"/>
          <w:sz w:val="21"/>
        </w:rPr>
        <w:t>later  </w:t>
      </w:r>
      <w:r>
        <w:rPr>
          <w:sz w:val="21"/>
        </w:rPr>
        <w:t>in </w:t>
      </w:r>
      <w:r>
        <w:rPr>
          <w:spacing w:val="-7"/>
          <w:sz w:val="21"/>
        </w:rPr>
        <w:t>life.</w:t>
      </w:r>
      <w:r>
        <w:rPr>
          <w:spacing w:val="-7"/>
          <w:position w:val="7"/>
          <w:sz w:val="12"/>
        </w:rPr>
        <w:t>10</w:t>
      </w:r>
      <w:r>
        <w:rPr>
          <w:spacing w:val="-7"/>
          <w:sz w:val="12"/>
        </w:rPr>
        <w:t> </w:t>
      </w:r>
      <w:r>
        <w:rPr>
          <w:spacing w:val="-4"/>
          <w:sz w:val="21"/>
        </w:rPr>
        <w:t>Accordingly, </w:t>
      </w:r>
      <w:r>
        <w:rPr>
          <w:sz w:val="21"/>
        </w:rPr>
        <w:t>the second </w:t>
      </w:r>
      <w:r>
        <w:rPr>
          <w:spacing w:val="-3"/>
          <w:sz w:val="21"/>
        </w:rPr>
        <w:t>limb </w:t>
      </w:r>
      <w:r>
        <w:rPr>
          <w:sz w:val="21"/>
        </w:rPr>
        <w:t>of the test (what the </w:t>
      </w:r>
      <w:r>
        <w:rPr>
          <w:spacing w:val="-3"/>
          <w:sz w:val="21"/>
        </w:rPr>
        <w:t>intentions </w:t>
      </w:r>
      <w:r>
        <w:rPr>
          <w:sz w:val="21"/>
        </w:rPr>
        <w:t>of the person </w:t>
      </w:r>
      <w:r>
        <w:rPr>
          <w:spacing w:val="-3"/>
          <w:sz w:val="21"/>
        </w:rPr>
        <w:t>might reasonably </w:t>
      </w:r>
      <w:r>
        <w:rPr>
          <w:sz w:val="21"/>
        </w:rPr>
        <w:t>be expected </w:t>
      </w:r>
      <w:r>
        <w:rPr>
          <w:spacing w:val="-3"/>
          <w:sz w:val="21"/>
        </w:rPr>
        <w:t>to </w:t>
      </w:r>
      <w:r>
        <w:rPr>
          <w:sz w:val="21"/>
        </w:rPr>
        <w:t>be) is expressed in more objective </w:t>
      </w:r>
      <w:r>
        <w:rPr>
          <w:spacing w:val="-3"/>
          <w:sz w:val="21"/>
        </w:rPr>
        <w:t>terms than </w:t>
      </w:r>
      <w:r>
        <w:rPr>
          <w:sz w:val="21"/>
        </w:rPr>
        <w:t>the first </w:t>
      </w:r>
      <w:r>
        <w:rPr>
          <w:spacing w:val="-3"/>
          <w:sz w:val="21"/>
        </w:rPr>
        <w:t>limb </w:t>
      </w:r>
      <w:r>
        <w:rPr>
          <w:sz w:val="21"/>
        </w:rPr>
        <w:t>(what the </w:t>
      </w:r>
      <w:r>
        <w:rPr>
          <w:spacing w:val="-3"/>
          <w:sz w:val="21"/>
        </w:rPr>
        <w:t>intentions </w:t>
      </w:r>
      <w:r>
        <w:rPr>
          <w:sz w:val="21"/>
        </w:rPr>
        <w:t>of the person would be </w:t>
      </w:r>
      <w:r>
        <w:rPr>
          <w:spacing w:val="-4"/>
          <w:sz w:val="21"/>
        </w:rPr>
        <w:t>likely </w:t>
      </w:r>
      <w:r>
        <w:rPr>
          <w:spacing w:val="-3"/>
          <w:sz w:val="21"/>
        </w:rPr>
        <w:t>to</w:t>
      </w:r>
      <w:r>
        <w:rPr>
          <w:spacing w:val="17"/>
          <w:sz w:val="21"/>
        </w:rPr>
        <w:t> </w:t>
      </w:r>
      <w:r>
        <w:rPr>
          <w:sz w:val="21"/>
        </w:rPr>
        <w:t>be).</w:t>
      </w:r>
    </w:p>
    <w:p>
      <w:pPr>
        <w:pStyle w:val="BodyText"/>
        <w:rPr>
          <w:sz w:val="20"/>
        </w:rPr>
      </w:pPr>
    </w:p>
    <w:p>
      <w:pPr>
        <w:pStyle w:val="BodyText"/>
        <w:rPr>
          <w:sz w:val="20"/>
        </w:rPr>
      </w:pPr>
    </w:p>
    <w:p>
      <w:pPr>
        <w:pStyle w:val="BodyText"/>
        <w:spacing w:before="7"/>
        <w:rPr>
          <w:sz w:val="12"/>
        </w:rPr>
      </w:pPr>
      <w:r>
        <w:rPr/>
        <w:pict>
          <v:line style="position:absolute;mso-position-horizontal-relative:page;mso-position-vertical-relative:paragraph;z-index:848;mso-wrap-distance-left:0;mso-wrap-distance-right:0" from="79.370102pt,10.127638pt" to="515.905102pt,10.127638pt" stroked="true" strokeweight="1pt" strokecolor="#f9ceca">
            <v:stroke dashstyle="solid"/>
            <w10:wrap type="topAndBottom"/>
          </v:line>
        </w:pict>
      </w:r>
    </w:p>
    <w:p>
      <w:pPr>
        <w:pStyle w:val="ListParagraph"/>
        <w:numPr>
          <w:ilvl w:val="0"/>
          <w:numId w:val="32"/>
        </w:numPr>
        <w:tabs>
          <w:tab w:pos="2380" w:val="left" w:leader="none"/>
          <w:tab w:pos="2382" w:val="left" w:leader="none"/>
        </w:tabs>
        <w:spacing w:line="240" w:lineRule="auto" w:before="117" w:after="0"/>
        <w:ind w:left="2381" w:right="2121" w:hanging="794"/>
        <w:jc w:val="left"/>
        <w:rPr>
          <w:sz w:val="13"/>
        </w:rPr>
      </w:pPr>
      <w:r>
        <w:rPr>
          <w:i/>
          <w:w w:val="105"/>
          <w:sz w:val="13"/>
        </w:rPr>
        <w:t>Wills Act </w:t>
      </w:r>
      <w:r>
        <w:rPr>
          <w:i/>
          <w:spacing w:val="-3"/>
          <w:w w:val="105"/>
          <w:sz w:val="13"/>
        </w:rPr>
        <w:t>1997 </w:t>
      </w:r>
      <w:r>
        <w:rPr>
          <w:spacing w:val="2"/>
          <w:w w:val="105"/>
          <w:sz w:val="13"/>
        </w:rPr>
        <w:t>(Vic) </w:t>
      </w:r>
      <w:r>
        <w:rPr>
          <w:w w:val="105"/>
          <w:sz w:val="13"/>
        </w:rPr>
        <w:t>s 26. Under s 26 the Court must be satisfied about these matters as a prerequisite to granting leave to apply as contemplated</w:t>
      </w:r>
      <w:r>
        <w:rPr>
          <w:spacing w:val="5"/>
          <w:w w:val="105"/>
          <w:sz w:val="13"/>
        </w:rPr>
        <w:t> </w:t>
      </w:r>
      <w:r>
        <w:rPr>
          <w:w w:val="105"/>
          <w:sz w:val="13"/>
        </w:rPr>
        <w:t>by</w:t>
      </w:r>
      <w:r>
        <w:rPr>
          <w:spacing w:val="5"/>
          <w:w w:val="105"/>
          <w:sz w:val="13"/>
        </w:rPr>
        <w:t> </w:t>
      </w:r>
      <w:r>
        <w:rPr>
          <w:w w:val="105"/>
          <w:sz w:val="13"/>
        </w:rPr>
        <w:t>s</w:t>
      </w:r>
      <w:r>
        <w:rPr>
          <w:spacing w:val="5"/>
          <w:w w:val="105"/>
          <w:sz w:val="13"/>
        </w:rPr>
        <w:t> </w:t>
      </w:r>
      <w:r>
        <w:rPr>
          <w:w w:val="105"/>
          <w:sz w:val="13"/>
        </w:rPr>
        <w:t>21(2).</w:t>
      </w:r>
      <w:r>
        <w:rPr>
          <w:spacing w:val="5"/>
          <w:w w:val="105"/>
          <w:sz w:val="13"/>
        </w:rPr>
        <w:t> </w:t>
      </w:r>
      <w:r>
        <w:rPr>
          <w:w w:val="105"/>
          <w:sz w:val="13"/>
        </w:rPr>
        <w:t>However,</w:t>
      </w:r>
      <w:r>
        <w:rPr>
          <w:spacing w:val="5"/>
          <w:w w:val="105"/>
          <w:sz w:val="13"/>
        </w:rPr>
        <w:t> </w:t>
      </w:r>
      <w:r>
        <w:rPr>
          <w:w w:val="105"/>
          <w:sz w:val="13"/>
        </w:rPr>
        <w:t>provided</w:t>
      </w:r>
      <w:r>
        <w:rPr>
          <w:spacing w:val="6"/>
          <w:w w:val="105"/>
          <w:sz w:val="13"/>
        </w:rPr>
        <w:t> </w:t>
      </w:r>
      <w:r>
        <w:rPr>
          <w:w w:val="105"/>
          <w:sz w:val="13"/>
        </w:rPr>
        <w:t>the</w:t>
      </w:r>
      <w:r>
        <w:rPr>
          <w:spacing w:val="5"/>
          <w:w w:val="105"/>
          <w:sz w:val="13"/>
        </w:rPr>
        <w:t> </w:t>
      </w:r>
      <w:r>
        <w:rPr>
          <w:w w:val="105"/>
          <w:sz w:val="13"/>
        </w:rPr>
        <w:t>Court</w:t>
      </w:r>
      <w:r>
        <w:rPr>
          <w:spacing w:val="5"/>
          <w:w w:val="105"/>
          <w:sz w:val="13"/>
        </w:rPr>
        <w:t> </w:t>
      </w:r>
      <w:r>
        <w:rPr>
          <w:w w:val="105"/>
          <w:sz w:val="13"/>
        </w:rPr>
        <w:t>is</w:t>
      </w:r>
      <w:r>
        <w:rPr>
          <w:spacing w:val="5"/>
          <w:w w:val="105"/>
          <w:sz w:val="13"/>
        </w:rPr>
        <w:t> </w:t>
      </w:r>
      <w:r>
        <w:rPr>
          <w:w w:val="105"/>
          <w:sz w:val="13"/>
        </w:rPr>
        <w:t>so</w:t>
      </w:r>
      <w:r>
        <w:rPr>
          <w:spacing w:val="5"/>
          <w:w w:val="105"/>
          <w:sz w:val="13"/>
        </w:rPr>
        <w:t> </w:t>
      </w:r>
      <w:r>
        <w:rPr>
          <w:w w:val="105"/>
          <w:sz w:val="13"/>
        </w:rPr>
        <w:t>satisfied,</w:t>
      </w:r>
      <w:r>
        <w:rPr>
          <w:spacing w:val="6"/>
          <w:w w:val="105"/>
          <w:sz w:val="13"/>
        </w:rPr>
        <w:t> </w:t>
      </w:r>
      <w:r>
        <w:rPr>
          <w:w w:val="105"/>
          <w:sz w:val="13"/>
        </w:rPr>
        <w:t>the</w:t>
      </w:r>
      <w:r>
        <w:rPr>
          <w:spacing w:val="5"/>
          <w:w w:val="105"/>
          <w:sz w:val="13"/>
        </w:rPr>
        <w:t> </w:t>
      </w:r>
      <w:r>
        <w:rPr>
          <w:w w:val="105"/>
          <w:sz w:val="13"/>
        </w:rPr>
        <w:t>Court</w:t>
      </w:r>
      <w:r>
        <w:rPr>
          <w:spacing w:val="5"/>
          <w:w w:val="105"/>
          <w:sz w:val="13"/>
        </w:rPr>
        <w:t> </w:t>
      </w:r>
      <w:r>
        <w:rPr>
          <w:w w:val="105"/>
          <w:sz w:val="13"/>
        </w:rPr>
        <w:t>may</w:t>
      </w:r>
      <w:r>
        <w:rPr>
          <w:spacing w:val="5"/>
          <w:w w:val="105"/>
          <w:sz w:val="13"/>
        </w:rPr>
        <w:t> </w:t>
      </w:r>
      <w:r>
        <w:rPr>
          <w:w w:val="105"/>
          <w:sz w:val="13"/>
        </w:rPr>
        <w:t>deal</w:t>
      </w:r>
      <w:r>
        <w:rPr>
          <w:spacing w:val="5"/>
          <w:w w:val="105"/>
          <w:sz w:val="13"/>
        </w:rPr>
        <w:t> </w:t>
      </w:r>
      <w:r>
        <w:rPr>
          <w:w w:val="105"/>
          <w:sz w:val="13"/>
        </w:rPr>
        <w:t>with</w:t>
      </w:r>
      <w:r>
        <w:rPr>
          <w:spacing w:val="6"/>
          <w:w w:val="105"/>
          <w:sz w:val="13"/>
        </w:rPr>
        <w:t> </w:t>
      </w:r>
      <w:r>
        <w:rPr>
          <w:w w:val="105"/>
          <w:sz w:val="13"/>
        </w:rPr>
        <w:t>the</w:t>
      </w:r>
      <w:r>
        <w:rPr>
          <w:spacing w:val="5"/>
          <w:w w:val="105"/>
          <w:sz w:val="13"/>
        </w:rPr>
        <w:t> </w:t>
      </w:r>
      <w:r>
        <w:rPr>
          <w:w w:val="105"/>
          <w:sz w:val="13"/>
        </w:rPr>
        <w:t>application</w:t>
      </w:r>
      <w:r>
        <w:rPr>
          <w:spacing w:val="5"/>
          <w:w w:val="105"/>
          <w:sz w:val="13"/>
        </w:rPr>
        <w:t> </w:t>
      </w:r>
      <w:r>
        <w:rPr>
          <w:w w:val="105"/>
          <w:sz w:val="13"/>
        </w:rPr>
        <w:t>directly:</w:t>
      </w:r>
      <w:r>
        <w:rPr>
          <w:spacing w:val="5"/>
          <w:w w:val="105"/>
          <w:sz w:val="13"/>
        </w:rPr>
        <w:t> </w:t>
      </w:r>
      <w:r>
        <w:rPr>
          <w:w w:val="105"/>
          <w:sz w:val="13"/>
        </w:rPr>
        <w:t>s</w:t>
      </w:r>
      <w:r>
        <w:rPr>
          <w:spacing w:val="5"/>
          <w:w w:val="105"/>
          <w:sz w:val="13"/>
        </w:rPr>
        <w:t> </w:t>
      </w:r>
      <w:r>
        <w:rPr>
          <w:w w:val="105"/>
          <w:sz w:val="13"/>
        </w:rPr>
        <w:t>27(2).</w:t>
      </w:r>
    </w:p>
    <w:p>
      <w:pPr>
        <w:pStyle w:val="ListParagraph"/>
        <w:numPr>
          <w:ilvl w:val="0"/>
          <w:numId w:val="32"/>
        </w:numPr>
        <w:tabs>
          <w:tab w:pos="2380" w:val="left" w:leader="none"/>
          <w:tab w:pos="2382" w:val="left" w:leader="none"/>
        </w:tabs>
        <w:spacing w:line="240" w:lineRule="auto" w:before="3" w:after="0"/>
        <w:ind w:left="2381" w:right="0" w:hanging="794"/>
        <w:jc w:val="left"/>
        <w:rPr>
          <w:sz w:val="13"/>
        </w:rPr>
      </w:pPr>
      <w:r>
        <w:rPr>
          <w:sz w:val="13"/>
        </w:rPr>
        <w:t>Ibid</w:t>
      </w:r>
      <w:r>
        <w:rPr>
          <w:spacing w:val="7"/>
          <w:sz w:val="13"/>
        </w:rPr>
        <w:t> </w:t>
      </w:r>
      <w:r>
        <w:rPr>
          <w:sz w:val="13"/>
        </w:rPr>
        <w:t>s</w:t>
      </w:r>
      <w:r>
        <w:rPr>
          <w:spacing w:val="8"/>
          <w:sz w:val="13"/>
        </w:rPr>
        <w:t> </w:t>
      </w:r>
      <w:r>
        <w:rPr>
          <w:sz w:val="13"/>
        </w:rPr>
        <w:t>28.</w:t>
      </w:r>
      <w:r>
        <w:rPr>
          <w:spacing w:val="8"/>
          <w:sz w:val="13"/>
        </w:rPr>
        <w:t> </w:t>
      </w:r>
      <w:r>
        <w:rPr>
          <w:sz w:val="13"/>
        </w:rPr>
        <w:t>This</w:t>
      </w:r>
      <w:r>
        <w:rPr>
          <w:spacing w:val="8"/>
          <w:sz w:val="13"/>
        </w:rPr>
        <w:t> </w:t>
      </w:r>
      <w:r>
        <w:rPr>
          <w:sz w:val="13"/>
        </w:rPr>
        <w:t>information</w:t>
      </w:r>
      <w:r>
        <w:rPr>
          <w:spacing w:val="8"/>
          <w:sz w:val="13"/>
        </w:rPr>
        <w:t> </w:t>
      </w:r>
      <w:r>
        <w:rPr>
          <w:sz w:val="13"/>
        </w:rPr>
        <w:t>is</w:t>
      </w:r>
      <w:r>
        <w:rPr>
          <w:spacing w:val="8"/>
          <w:sz w:val="13"/>
        </w:rPr>
        <w:t> </w:t>
      </w:r>
      <w:r>
        <w:rPr>
          <w:sz w:val="13"/>
        </w:rPr>
        <w:t>provided</w:t>
      </w:r>
      <w:r>
        <w:rPr>
          <w:spacing w:val="8"/>
          <w:sz w:val="13"/>
        </w:rPr>
        <w:t> </w:t>
      </w:r>
      <w:r>
        <w:rPr>
          <w:sz w:val="13"/>
        </w:rPr>
        <w:t>as</w:t>
      </w:r>
      <w:r>
        <w:rPr>
          <w:spacing w:val="7"/>
          <w:sz w:val="13"/>
        </w:rPr>
        <w:t> </w:t>
      </w:r>
      <w:r>
        <w:rPr>
          <w:sz w:val="13"/>
        </w:rPr>
        <w:t>part</w:t>
      </w:r>
      <w:r>
        <w:rPr>
          <w:spacing w:val="8"/>
          <w:sz w:val="13"/>
        </w:rPr>
        <w:t> </w:t>
      </w:r>
      <w:r>
        <w:rPr>
          <w:sz w:val="13"/>
        </w:rPr>
        <w:t>of</w:t>
      </w:r>
      <w:r>
        <w:rPr>
          <w:spacing w:val="8"/>
          <w:sz w:val="13"/>
        </w:rPr>
        <w:t> </w:t>
      </w:r>
      <w:r>
        <w:rPr>
          <w:sz w:val="13"/>
        </w:rPr>
        <w:t>the</w:t>
      </w:r>
      <w:r>
        <w:rPr>
          <w:spacing w:val="8"/>
          <w:sz w:val="13"/>
        </w:rPr>
        <w:t> </w:t>
      </w:r>
      <w:r>
        <w:rPr>
          <w:sz w:val="13"/>
        </w:rPr>
        <w:t>application</w:t>
      </w:r>
      <w:r>
        <w:rPr>
          <w:spacing w:val="8"/>
          <w:sz w:val="13"/>
        </w:rPr>
        <w:t> </w:t>
      </w:r>
      <w:r>
        <w:rPr>
          <w:sz w:val="13"/>
        </w:rPr>
        <w:t>for</w:t>
      </w:r>
      <w:r>
        <w:rPr>
          <w:spacing w:val="8"/>
          <w:sz w:val="13"/>
        </w:rPr>
        <w:t> </w:t>
      </w:r>
      <w:r>
        <w:rPr>
          <w:sz w:val="13"/>
        </w:rPr>
        <w:t>leave</w:t>
      </w:r>
      <w:r>
        <w:rPr>
          <w:spacing w:val="7"/>
          <w:sz w:val="13"/>
        </w:rPr>
        <w:t> </w:t>
      </w:r>
      <w:r>
        <w:rPr>
          <w:sz w:val="13"/>
        </w:rPr>
        <w:t>to</w:t>
      </w:r>
      <w:r>
        <w:rPr>
          <w:spacing w:val="8"/>
          <w:sz w:val="13"/>
        </w:rPr>
        <w:t> </w:t>
      </w:r>
      <w:r>
        <w:rPr>
          <w:sz w:val="13"/>
        </w:rPr>
        <w:t>apply</w:t>
      </w:r>
      <w:r>
        <w:rPr>
          <w:spacing w:val="8"/>
          <w:sz w:val="13"/>
        </w:rPr>
        <w:t> </w:t>
      </w:r>
      <w:r>
        <w:rPr>
          <w:sz w:val="13"/>
        </w:rPr>
        <w:t>for</w:t>
      </w:r>
      <w:r>
        <w:rPr>
          <w:spacing w:val="8"/>
          <w:sz w:val="13"/>
        </w:rPr>
        <w:t> </w:t>
      </w:r>
      <w:r>
        <w:rPr>
          <w:sz w:val="13"/>
        </w:rPr>
        <w:t>a</w:t>
      </w:r>
      <w:r>
        <w:rPr>
          <w:spacing w:val="8"/>
          <w:sz w:val="13"/>
        </w:rPr>
        <w:t> </w:t>
      </w:r>
      <w:r>
        <w:rPr>
          <w:sz w:val="13"/>
        </w:rPr>
        <w:t>statutory</w:t>
      </w:r>
      <w:r>
        <w:rPr>
          <w:spacing w:val="8"/>
          <w:sz w:val="13"/>
        </w:rPr>
        <w:t> </w:t>
      </w:r>
      <w:r>
        <w:rPr>
          <w:sz w:val="13"/>
        </w:rPr>
        <w:t>will.</w:t>
      </w:r>
    </w:p>
    <w:p>
      <w:pPr>
        <w:pStyle w:val="ListParagraph"/>
        <w:numPr>
          <w:ilvl w:val="0"/>
          <w:numId w:val="32"/>
        </w:numPr>
        <w:tabs>
          <w:tab w:pos="2380" w:val="left" w:leader="none"/>
          <w:tab w:pos="2382" w:val="left" w:leader="none"/>
        </w:tabs>
        <w:spacing w:line="240" w:lineRule="auto" w:before="1" w:after="0"/>
        <w:ind w:left="2381" w:right="1711" w:hanging="794"/>
        <w:jc w:val="left"/>
        <w:rPr>
          <w:sz w:val="13"/>
        </w:rPr>
      </w:pPr>
      <w:r>
        <w:rPr>
          <w:sz w:val="13"/>
        </w:rPr>
        <w:t>See: </w:t>
      </w:r>
      <w:r>
        <w:rPr>
          <w:i/>
          <w:sz w:val="13"/>
        </w:rPr>
        <w:t>Wills Act 2000 </w:t>
      </w:r>
      <w:r>
        <w:rPr>
          <w:spacing w:val="4"/>
          <w:sz w:val="13"/>
        </w:rPr>
        <w:t>(NT) </w:t>
      </w:r>
      <w:r>
        <w:rPr>
          <w:sz w:val="13"/>
        </w:rPr>
        <w:t>s 21(b); </w:t>
      </w:r>
      <w:r>
        <w:rPr>
          <w:i/>
          <w:sz w:val="13"/>
        </w:rPr>
        <w:t>Succession  Act  </w:t>
      </w:r>
      <w:r>
        <w:rPr>
          <w:i/>
          <w:spacing w:val="-3"/>
          <w:sz w:val="13"/>
        </w:rPr>
        <w:t>1981  </w:t>
      </w:r>
      <w:r>
        <w:rPr>
          <w:spacing w:val="2"/>
          <w:sz w:val="13"/>
        </w:rPr>
        <w:t>(Qld)  </w:t>
      </w:r>
      <w:r>
        <w:rPr>
          <w:sz w:val="13"/>
        </w:rPr>
        <w:t>s  </w:t>
      </w:r>
      <w:r>
        <w:rPr>
          <w:spacing w:val="3"/>
          <w:sz w:val="13"/>
        </w:rPr>
        <w:t>24(d);  </w:t>
      </w:r>
      <w:r>
        <w:rPr>
          <w:i/>
          <w:sz w:val="13"/>
        </w:rPr>
        <w:t>Succession  Act  2006  </w:t>
      </w:r>
      <w:r>
        <w:rPr>
          <w:spacing w:val="3"/>
          <w:sz w:val="13"/>
        </w:rPr>
        <w:t>(NSW)  </w:t>
      </w:r>
      <w:r>
        <w:rPr>
          <w:sz w:val="13"/>
        </w:rPr>
        <w:t>s  </w:t>
      </w:r>
      <w:r>
        <w:rPr>
          <w:spacing w:val="3"/>
          <w:sz w:val="13"/>
        </w:rPr>
        <w:t>22(b);  </w:t>
      </w:r>
      <w:r>
        <w:rPr>
          <w:i/>
          <w:sz w:val="13"/>
        </w:rPr>
        <w:t>Wills  Act  1968  </w:t>
      </w:r>
      <w:r>
        <w:rPr>
          <w:spacing w:val="2"/>
          <w:sz w:val="13"/>
        </w:rPr>
        <w:t>(ACT)  </w:t>
      </w:r>
      <w:r>
        <w:rPr>
          <w:sz w:val="13"/>
        </w:rPr>
        <w:t>s  </w:t>
      </w:r>
      <w:r>
        <w:rPr>
          <w:spacing w:val="2"/>
          <w:sz w:val="13"/>
        </w:rPr>
        <w:t>16E(b); </w:t>
      </w:r>
      <w:r>
        <w:rPr>
          <w:i/>
          <w:sz w:val="13"/>
        </w:rPr>
        <w:t>Wills Act 2008 </w:t>
      </w:r>
      <w:r>
        <w:rPr>
          <w:sz w:val="13"/>
        </w:rPr>
        <w:t>(Tas) s </w:t>
      </w:r>
      <w:r>
        <w:rPr>
          <w:spacing w:val="3"/>
          <w:sz w:val="13"/>
        </w:rPr>
        <w:t>24(b); </w:t>
      </w:r>
      <w:r>
        <w:rPr>
          <w:i/>
          <w:sz w:val="13"/>
        </w:rPr>
        <w:t>Wills Act </w:t>
      </w:r>
      <w:r>
        <w:rPr>
          <w:i/>
          <w:spacing w:val="-4"/>
          <w:sz w:val="13"/>
        </w:rPr>
        <w:t>1970 </w:t>
      </w:r>
      <w:r>
        <w:rPr>
          <w:sz w:val="13"/>
        </w:rPr>
        <w:t>(WA) s </w:t>
      </w:r>
      <w:r>
        <w:rPr>
          <w:spacing w:val="2"/>
          <w:sz w:val="13"/>
        </w:rPr>
        <w:t>42(1)(b); </w:t>
      </w:r>
      <w:r>
        <w:rPr>
          <w:i/>
          <w:sz w:val="13"/>
        </w:rPr>
        <w:t>Wills Act 1936 </w:t>
      </w:r>
      <w:r>
        <w:rPr>
          <w:spacing w:val="2"/>
          <w:sz w:val="13"/>
        </w:rPr>
        <w:t>(SA) </w:t>
      </w:r>
      <w:r>
        <w:rPr>
          <w:sz w:val="13"/>
        </w:rPr>
        <w:t>s </w:t>
      </w:r>
      <w:r>
        <w:rPr>
          <w:spacing w:val="3"/>
          <w:sz w:val="13"/>
        </w:rPr>
        <w:t>7(3)(b). </w:t>
      </w:r>
      <w:r>
        <w:rPr>
          <w:sz w:val="13"/>
        </w:rPr>
        <w:t>See also Rosalind Croucher, </w:t>
      </w:r>
      <w:r>
        <w:rPr>
          <w:spacing w:val="-3"/>
          <w:sz w:val="13"/>
        </w:rPr>
        <w:t>‘”An </w:t>
      </w:r>
      <w:r>
        <w:rPr>
          <w:sz w:val="13"/>
        </w:rPr>
        <w:t>Interventionist, Paternalistic Jurisdiction?” The Place of Statutory  Wills  in  Australian  Succession  Law’  </w:t>
      </w:r>
      <w:r>
        <w:rPr>
          <w:spacing w:val="2"/>
          <w:sz w:val="13"/>
        </w:rPr>
        <w:t>(2009)  32(3)  </w:t>
      </w:r>
      <w:r>
        <w:rPr>
          <w:i/>
          <w:sz w:val="13"/>
        </w:rPr>
        <w:t>University  of  New  South  Wales  Law </w:t>
      </w:r>
      <w:r>
        <w:rPr>
          <w:i/>
          <w:sz w:val="13"/>
        </w:rPr>
        <w:t>Journal </w:t>
      </w:r>
      <w:r>
        <w:rPr>
          <w:sz w:val="13"/>
        </w:rPr>
        <w:t>674,</w:t>
      </w:r>
      <w:r>
        <w:rPr>
          <w:spacing w:val="12"/>
          <w:sz w:val="13"/>
        </w:rPr>
        <w:t> </w:t>
      </w:r>
      <w:r>
        <w:rPr>
          <w:sz w:val="13"/>
        </w:rPr>
        <w:t>681.</w:t>
      </w:r>
    </w:p>
    <w:p>
      <w:pPr>
        <w:pStyle w:val="ListParagraph"/>
        <w:numPr>
          <w:ilvl w:val="0"/>
          <w:numId w:val="32"/>
        </w:numPr>
        <w:tabs>
          <w:tab w:pos="2380" w:val="left" w:leader="none"/>
          <w:tab w:pos="2381" w:val="left" w:leader="none"/>
        </w:tabs>
        <w:spacing w:line="240" w:lineRule="auto" w:before="5" w:after="0"/>
        <w:ind w:left="2380" w:right="0" w:hanging="793"/>
        <w:jc w:val="left"/>
        <w:rPr>
          <w:sz w:val="13"/>
        </w:rPr>
      </w:pPr>
      <w:r>
        <w:rPr>
          <w:w w:val="105"/>
          <w:sz w:val="13"/>
        </w:rPr>
        <w:t>Victorian</w:t>
      </w:r>
      <w:r>
        <w:rPr>
          <w:spacing w:val="5"/>
          <w:w w:val="105"/>
          <w:sz w:val="13"/>
        </w:rPr>
        <w:t> </w:t>
      </w:r>
      <w:r>
        <w:rPr>
          <w:w w:val="105"/>
          <w:sz w:val="13"/>
        </w:rPr>
        <w:t>Law</w:t>
      </w:r>
      <w:r>
        <w:rPr>
          <w:spacing w:val="4"/>
          <w:w w:val="105"/>
          <w:sz w:val="13"/>
        </w:rPr>
        <w:t> </w:t>
      </w:r>
      <w:r>
        <w:rPr>
          <w:w w:val="105"/>
          <w:sz w:val="13"/>
        </w:rPr>
        <w:t>Reform</w:t>
      </w:r>
      <w:r>
        <w:rPr>
          <w:spacing w:val="5"/>
          <w:w w:val="105"/>
          <w:sz w:val="13"/>
        </w:rPr>
        <w:t> </w:t>
      </w:r>
      <w:r>
        <w:rPr>
          <w:w w:val="105"/>
          <w:sz w:val="13"/>
        </w:rPr>
        <w:t>Commission,</w:t>
      </w:r>
      <w:r>
        <w:rPr>
          <w:spacing w:val="5"/>
          <w:w w:val="105"/>
          <w:sz w:val="13"/>
        </w:rPr>
        <w:t> </w:t>
      </w:r>
      <w:r>
        <w:rPr>
          <w:i/>
          <w:w w:val="105"/>
          <w:sz w:val="13"/>
        </w:rPr>
        <w:t>Succession</w:t>
      </w:r>
      <w:r>
        <w:rPr>
          <w:i/>
          <w:spacing w:val="4"/>
          <w:w w:val="105"/>
          <w:sz w:val="13"/>
        </w:rPr>
        <w:t> </w:t>
      </w:r>
      <w:r>
        <w:rPr>
          <w:i/>
          <w:w w:val="105"/>
          <w:sz w:val="13"/>
        </w:rPr>
        <w:t>Laws:</w:t>
      </w:r>
      <w:r>
        <w:rPr>
          <w:i/>
          <w:spacing w:val="4"/>
          <w:w w:val="105"/>
          <w:sz w:val="13"/>
        </w:rPr>
        <w:t> </w:t>
      </w:r>
      <w:r>
        <w:rPr>
          <w:i/>
          <w:w w:val="105"/>
          <w:sz w:val="13"/>
        </w:rPr>
        <w:t>Wills</w:t>
      </w:r>
      <w:r>
        <w:rPr>
          <w:w w:val="105"/>
          <w:sz w:val="13"/>
        </w:rPr>
        <w:t>,</w:t>
      </w:r>
      <w:r>
        <w:rPr>
          <w:spacing w:val="5"/>
          <w:w w:val="105"/>
          <w:sz w:val="13"/>
        </w:rPr>
        <w:t> </w:t>
      </w:r>
      <w:r>
        <w:rPr>
          <w:w w:val="105"/>
          <w:sz w:val="13"/>
        </w:rPr>
        <w:t>Consultation</w:t>
      </w:r>
      <w:r>
        <w:rPr>
          <w:spacing w:val="5"/>
          <w:w w:val="105"/>
          <w:sz w:val="13"/>
        </w:rPr>
        <w:t> </w:t>
      </w:r>
      <w:r>
        <w:rPr>
          <w:w w:val="105"/>
          <w:sz w:val="13"/>
        </w:rPr>
        <w:t>Paper</w:t>
      </w:r>
      <w:r>
        <w:rPr>
          <w:spacing w:val="5"/>
          <w:w w:val="105"/>
          <w:sz w:val="13"/>
        </w:rPr>
        <w:t> </w:t>
      </w:r>
      <w:r>
        <w:rPr>
          <w:w w:val="105"/>
          <w:sz w:val="13"/>
        </w:rPr>
        <w:t>No</w:t>
      </w:r>
      <w:r>
        <w:rPr>
          <w:spacing w:val="5"/>
          <w:w w:val="105"/>
          <w:sz w:val="13"/>
        </w:rPr>
        <w:t> </w:t>
      </w:r>
      <w:r>
        <w:rPr>
          <w:spacing w:val="-6"/>
          <w:w w:val="105"/>
          <w:sz w:val="13"/>
        </w:rPr>
        <w:t>11</w:t>
      </w:r>
      <w:r>
        <w:rPr>
          <w:spacing w:val="5"/>
          <w:w w:val="105"/>
          <w:sz w:val="13"/>
        </w:rPr>
        <w:t> </w:t>
      </w:r>
      <w:r>
        <w:rPr>
          <w:w w:val="105"/>
          <w:sz w:val="13"/>
        </w:rPr>
        <w:t>(2012)</w:t>
      </w:r>
      <w:r>
        <w:rPr>
          <w:spacing w:val="5"/>
          <w:w w:val="105"/>
          <w:sz w:val="13"/>
        </w:rPr>
        <w:t> </w:t>
      </w:r>
      <w:r>
        <w:rPr>
          <w:spacing w:val="3"/>
          <w:w w:val="105"/>
          <w:sz w:val="13"/>
        </w:rPr>
        <w:t>36–9</w:t>
      </w:r>
      <w:r>
        <w:rPr>
          <w:spacing w:val="5"/>
          <w:w w:val="105"/>
          <w:sz w:val="13"/>
        </w:rPr>
        <w:t> </w:t>
      </w:r>
      <w:r>
        <w:rPr>
          <w:w w:val="105"/>
          <w:sz w:val="13"/>
        </w:rPr>
        <w:t>(‘</w:t>
      </w:r>
      <w:r>
        <w:rPr>
          <w:i/>
          <w:w w:val="105"/>
          <w:sz w:val="13"/>
        </w:rPr>
        <w:t>Wills</w:t>
      </w:r>
      <w:r>
        <w:rPr>
          <w:i/>
          <w:spacing w:val="4"/>
          <w:w w:val="105"/>
          <w:sz w:val="13"/>
        </w:rPr>
        <w:t> </w:t>
      </w:r>
      <w:r>
        <w:rPr>
          <w:i/>
          <w:w w:val="105"/>
          <w:sz w:val="13"/>
        </w:rPr>
        <w:t>Consultation</w:t>
      </w:r>
      <w:r>
        <w:rPr>
          <w:i/>
          <w:spacing w:val="4"/>
          <w:w w:val="105"/>
          <w:sz w:val="13"/>
        </w:rPr>
        <w:t> </w:t>
      </w:r>
      <w:r>
        <w:rPr>
          <w:i/>
          <w:spacing w:val="2"/>
          <w:w w:val="105"/>
          <w:sz w:val="13"/>
        </w:rPr>
        <w:t>Paper</w:t>
      </w:r>
      <w:r>
        <w:rPr>
          <w:spacing w:val="2"/>
          <w:w w:val="105"/>
          <w:sz w:val="13"/>
        </w:rPr>
        <w:t>’).</w:t>
      </w:r>
    </w:p>
    <w:p>
      <w:pPr>
        <w:pStyle w:val="ListParagraph"/>
        <w:numPr>
          <w:ilvl w:val="0"/>
          <w:numId w:val="32"/>
        </w:numPr>
        <w:tabs>
          <w:tab w:pos="2380" w:val="left" w:leader="none"/>
          <w:tab w:pos="2381" w:val="left" w:leader="none"/>
        </w:tabs>
        <w:spacing w:line="240" w:lineRule="auto" w:before="2" w:after="0"/>
        <w:ind w:left="2380" w:right="0" w:hanging="793"/>
        <w:jc w:val="left"/>
        <w:rPr>
          <w:sz w:val="13"/>
        </w:rPr>
      </w:pPr>
      <w:r>
        <w:rPr>
          <w:i/>
          <w:w w:val="105"/>
          <w:sz w:val="13"/>
        </w:rPr>
        <w:t>Wills Act </w:t>
      </w:r>
      <w:r>
        <w:rPr>
          <w:i/>
          <w:spacing w:val="-3"/>
          <w:w w:val="105"/>
          <w:sz w:val="13"/>
        </w:rPr>
        <w:t>1997 </w:t>
      </w:r>
      <w:r>
        <w:rPr>
          <w:spacing w:val="2"/>
          <w:w w:val="105"/>
          <w:sz w:val="13"/>
        </w:rPr>
        <w:t>(Vic) </w:t>
      </w:r>
      <w:r>
        <w:rPr>
          <w:w w:val="105"/>
          <w:sz w:val="13"/>
        </w:rPr>
        <w:t>s</w:t>
      </w:r>
      <w:r>
        <w:rPr>
          <w:spacing w:val="21"/>
          <w:w w:val="105"/>
          <w:sz w:val="13"/>
        </w:rPr>
        <w:t> </w:t>
      </w:r>
      <w:r>
        <w:rPr>
          <w:spacing w:val="3"/>
          <w:w w:val="105"/>
          <w:sz w:val="13"/>
        </w:rPr>
        <w:t>26(b).</w:t>
      </w:r>
    </w:p>
    <w:p>
      <w:pPr>
        <w:tabs>
          <w:tab w:pos="2380" w:val="left" w:leader="none"/>
        </w:tabs>
        <w:spacing w:before="1"/>
        <w:ind w:left="1587" w:right="0" w:firstLine="0"/>
        <w:jc w:val="left"/>
        <w:rPr>
          <w:sz w:val="13"/>
        </w:rPr>
      </w:pPr>
      <w:r>
        <w:rPr/>
        <w:pict>
          <v:shape style="position:absolute;margin-left:548.967102pt;margin-top:2.861466pt;width:13.2pt;height:14.25pt;mso-position-horizontal-relative:page;mso-position-vertical-relative:paragraph;z-index:2920" type="#_x0000_t202" filled="false" stroked="false">
            <v:textbox inset="0,0,0,0">
              <w:txbxContent>
                <w:p>
                  <w:pPr>
                    <w:spacing w:line="284" w:lineRule="exact" w:before="0"/>
                    <w:ind w:left="0" w:right="0" w:firstLine="0"/>
                    <w:jc w:val="left"/>
                    <w:rPr>
                      <w:b/>
                      <w:sz w:val="24"/>
                    </w:rPr>
                  </w:pPr>
                  <w:r>
                    <w:rPr>
                      <w:b/>
                      <w:color w:val="EC5A4F"/>
                      <w:spacing w:val="-2"/>
                      <w:w w:val="110"/>
                      <w:sz w:val="24"/>
                    </w:rPr>
                    <w:t>25</w:t>
                  </w:r>
                </w:p>
              </w:txbxContent>
            </v:textbox>
            <w10:wrap type="none"/>
          </v:shape>
        </w:pict>
      </w:r>
      <w:r>
        <w:rPr>
          <w:w w:val="105"/>
          <w:sz w:val="13"/>
        </w:rPr>
        <w:t>9</w:t>
        <w:tab/>
      </w:r>
      <w:r>
        <w:rPr>
          <w:spacing w:val="2"/>
          <w:w w:val="105"/>
          <w:sz w:val="13"/>
        </w:rPr>
        <w:t>(2004) </w:t>
      </w:r>
      <w:r>
        <w:rPr>
          <w:w w:val="105"/>
          <w:sz w:val="13"/>
        </w:rPr>
        <w:t>9 VR</w:t>
      </w:r>
      <w:r>
        <w:rPr>
          <w:spacing w:val="11"/>
          <w:w w:val="105"/>
          <w:sz w:val="13"/>
        </w:rPr>
        <w:t> </w:t>
      </w:r>
      <w:r>
        <w:rPr>
          <w:w w:val="105"/>
          <w:sz w:val="13"/>
        </w:rPr>
        <w:t>495.</w:t>
      </w:r>
    </w:p>
    <w:p>
      <w:pPr>
        <w:pStyle w:val="ListParagraph"/>
        <w:numPr>
          <w:ilvl w:val="0"/>
          <w:numId w:val="33"/>
        </w:numPr>
        <w:tabs>
          <w:tab w:pos="2380" w:val="left" w:leader="none"/>
          <w:tab w:pos="2381" w:val="left" w:leader="none"/>
        </w:tabs>
        <w:spacing w:line="240" w:lineRule="auto" w:before="1" w:after="0"/>
        <w:ind w:left="2380" w:right="0" w:hanging="793"/>
        <w:jc w:val="left"/>
        <w:rPr>
          <w:sz w:val="13"/>
        </w:rPr>
      </w:pPr>
      <w:r>
        <w:rPr>
          <w:w w:val="105"/>
          <w:sz w:val="13"/>
        </w:rPr>
        <w:t>Victoria,</w:t>
      </w:r>
      <w:r>
        <w:rPr>
          <w:spacing w:val="4"/>
          <w:w w:val="105"/>
          <w:sz w:val="13"/>
        </w:rPr>
        <w:t> </w:t>
      </w:r>
      <w:r>
        <w:rPr>
          <w:i/>
          <w:w w:val="105"/>
          <w:sz w:val="13"/>
        </w:rPr>
        <w:t>Parliamentary</w:t>
      </w:r>
      <w:r>
        <w:rPr>
          <w:i/>
          <w:spacing w:val="4"/>
          <w:w w:val="105"/>
          <w:sz w:val="13"/>
        </w:rPr>
        <w:t> </w:t>
      </w:r>
      <w:r>
        <w:rPr>
          <w:i/>
          <w:w w:val="105"/>
          <w:sz w:val="13"/>
        </w:rPr>
        <w:t>Debates</w:t>
      </w:r>
      <w:r>
        <w:rPr>
          <w:w w:val="105"/>
          <w:sz w:val="13"/>
        </w:rPr>
        <w:t>,</w:t>
      </w:r>
      <w:r>
        <w:rPr>
          <w:spacing w:val="5"/>
          <w:w w:val="105"/>
          <w:sz w:val="13"/>
        </w:rPr>
        <w:t> </w:t>
      </w:r>
      <w:r>
        <w:rPr>
          <w:w w:val="105"/>
          <w:sz w:val="13"/>
        </w:rPr>
        <w:t>Legislative</w:t>
      </w:r>
      <w:r>
        <w:rPr>
          <w:spacing w:val="5"/>
          <w:w w:val="105"/>
          <w:sz w:val="13"/>
        </w:rPr>
        <w:t> </w:t>
      </w:r>
      <w:r>
        <w:rPr>
          <w:w w:val="105"/>
          <w:sz w:val="13"/>
        </w:rPr>
        <w:t>Assembly,</w:t>
      </w:r>
      <w:r>
        <w:rPr>
          <w:spacing w:val="4"/>
          <w:w w:val="105"/>
          <w:sz w:val="13"/>
        </w:rPr>
        <w:t> </w:t>
      </w:r>
      <w:r>
        <w:rPr>
          <w:w w:val="105"/>
          <w:sz w:val="13"/>
        </w:rPr>
        <w:t>23</w:t>
      </w:r>
      <w:r>
        <w:rPr>
          <w:spacing w:val="5"/>
          <w:w w:val="105"/>
          <w:sz w:val="13"/>
        </w:rPr>
        <w:t> </w:t>
      </w:r>
      <w:r>
        <w:rPr>
          <w:w w:val="105"/>
          <w:sz w:val="13"/>
        </w:rPr>
        <w:t>May</w:t>
      </w:r>
      <w:r>
        <w:rPr>
          <w:spacing w:val="5"/>
          <w:w w:val="105"/>
          <w:sz w:val="13"/>
        </w:rPr>
        <w:t> </w:t>
      </w:r>
      <w:r>
        <w:rPr>
          <w:w w:val="105"/>
          <w:sz w:val="13"/>
        </w:rPr>
        <w:t>2007,</w:t>
      </w:r>
      <w:r>
        <w:rPr>
          <w:spacing w:val="5"/>
          <w:w w:val="105"/>
          <w:sz w:val="13"/>
        </w:rPr>
        <w:t> </w:t>
      </w:r>
      <w:r>
        <w:rPr>
          <w:w w:val="105"/>
          <w:sz w:val="13"/>
        </w:rPr>
        <w:t>1600</w:t>
      </w:r>
      <w:r>
        <w:rPr>
          <w:spacing w:val="4"/>
          <w:w w:val="105"/>
          <w:sz w:val="13"/>
        </w:rPr>
        <w:t> </w:t>
      </w:r>
      <w:r>
        <w:rPr>
          <w:spacing w:val="2"/>
          <w:w w:val="105"/>
          <w:sz w:val="13"/>
        </w:rPr>
        <w:t>(Rob</w:t>
      </w:r>
      <w:r>
        <w:rPr>
          <w:spacing w:val="5"/>
          <w:w w:val="105"/>
          <w:sz w:val="13"/>
        </w:rPr>
        <w:t> </w:t>
      </w:r>
      <w:r>
        <w:rPr>
          <w:w w:val="105"/>
          <w:sz w:val="13"/>
        </w:rPr>
        <w:t>Hulls,</w:t>
      </w:r>
      <w:r>
        <w:rPr>
          <w:spacing w:val="5"/>
          <w:w w:val="105"/>
          <w:sz w:val="13"/>
        </w:rPr>
        <w:t> </w:t>
      </w:r>
      <w:r>
        <w:rPr>
          <w:w w:val="105"/>
          <w:sz w:val="13"/>
        </w:rPr>
        <w:t>Attorney-General).</w:t>
      </w:r>
    </w:p>
    <w:p>
      <w:pPr>
        <w:spacing w:after="0" w:line="240" w:lineRule="auto"/>
        <w:jc w:val="left"/>
        <w:rPr>
          <w:sz w:val="13"/>
        </w:rPr>
        <w:sectPr>
          <w:headerReference w:type="default" r:id="rId28"/>
          <w:headerReference w:type="even" r:id="rId29"/>
          <w:pgSz w:w="11910" w:h="16840"/>
          <w:pgMar w:header="805" w:footer="0" w:top="1360" w:bottom="280" w:left="0" w:right="0"/>
        </w:sectPr>
      </w:pPr>
    </w:p>
    <w:p>
      <w:pPr>
        <w:pStyle w:val="BodyText"/>
        <w:spacing w:before="9"/>
        <w:rPr>
          <w:sz w:val="22"/>
        </w:rPr>
      </w:pPr>
    </w:p>
    <w:p>
      <w:pPr>
        <w:pStyle w:val="ListParagraph"/>
        <w:numPr>
          <w:ilvl w:val="1"/>
          <w:numId w:val="22"/>
        </w:numPr>
        <w:tabs>
          <w:tab w:pos="2380" w:val="left" w:leader="none"/>
          <w:tab w:pos="2381" w:val="left" w:leader="none"/>
        </w:tabs>
        <w:spacing w:line="242" w:lineRule="auto" w:before="92" w:after="0"/>
        <w:ind w:left="2381" w:right="1758" w:hanging="794"/>
        <w:jc w:val="left"/>
        <w:rPr>
          <w:sz w:val="12"/>
        </w:rPr>
      </w:pPr>
      <w:bookmarkStart w:name="Involvement of the incapacitated person " w:id="25"/>
      <w:bookmarkEnd w:id="25"/>
      <w:r>
        <w:rPr/>
      </w:r>
      <w:bookmarkStart w:name="Involvement of the incapacitated person " w:id="26"/>
      <w:bookmarkEnd w:id="26"/>
      <w:r>
        <w:rPr>
          <w:w w:val="105"/>
          <w:sz w:val="21"/>
        </w:rPr>
        <w:t>I</w:t>
      </w:r>
      <w:r>
        <w:rPr>
          <w:w w:val="105"/>
          <w:sz w:val="21"/>
        </w:rPr>
        <w:t>n </w:t>
      </w:r>
      <w:r>
        <w:rPr>
          <w:spacing w:val="-3"/>
          <w:w w:val="105"/>
          <w:sz w:val="21"/>
        </w:rPr>
        <w:t>contrast, </w:t>
      </w:r>
      <w:r>
        <w:rPr>
          <w:w w:val="105"/>
          <w:sz w:val="21"/>
        </w:rPr>
        <w:t>the </w:t>
      </w:r>
      <w:r>
        <w:rPr>
          <w:spacing w:val="-3"/>
          <w:w w:val="105"/>
          <w:sz w:val="21"/>
        </w:rPr>
        <w:t>National Committee for Uniform Succession </w:t>
      </w:r>
      <w:r>
        <w:rPr>
          <w:w w:val="105"/>
          <w:sz w:val="21"/>
        </w:rPr>
        <w:t>Laws recommended </w:t>
      </w:r>
      <w:r>
        <w:rPr>
          <w:spacing w:val="-3"/>
          <w:w w:val="105"/>
          <w:sz w:val="21"/>
        </w:rPr>
        <w:t>that </w:t>
      </w:r>
      <w:r>
        <w:rPr>
          <w:w w:val="105"/>
          <w:sz w:val="21"/>
        </w:rPr>
        <w:t>the</w:t>
      </w:r>
      <w:r>
        <w:rPr>
          <w:spacing w:val="-5"/>
          <w:w w:val="105"/>
          <w:sz w:val="21"/>
        </w:rPr>
        <w:t> </w:t>
      </w:r>
      <w:r>
        <w:rPr>
          <w:w w:val="105"/>
          <w:sz w:val="21"/>
        </w:rPr>
        <w:t>court</w:t>
      </w:r>
      <w:r>
        <w:rPr>
          <w:spacing w:val="-5"/>
          <w:w w:val="105"/>
          <w:sz w:val="21"/>
        </w:rPr>
        <w:t> </w:t>
      </w:r>
      <w:r>
        <w:rPr>
          <w:w w:val="105"/>
          <w:sz w:val="21"/>
        </w:rPr>
        <w:t>should</w:t>
      </w:r>
      <w:r>
        <w:rPr>
          <w:spacing w:val="-4"/>
          <w:w w:val="105"/>
          <w:sz w:val="21"/>
        </w:rPr>
        <w:t> </w:t>
      </w:r>
      <w:r>
        <w:rPr>
          <w:w w:val="105"/>
          <w:sz w:val="21"/>
        </w:rPr>
        <w:t>be</w:t>
      </w:r>
      <w:r>
        <w:rPr>
          <w:spacing w:val="-5"/>
          <w:w w:val="105"/>
          <w:sz w:val="21"/>
        </w:rPr>
        <w:t> </w:t>
      </w:r>
      <w:r>
        <w:rPr>
          <w:w w:val="105"/>
          <w:sz w:val="21"/>
        </w:rPr>
        <w:t>able</w:t>
      </w:r>
      <w:r>
        <w:rPr>
          <w:spacing w:val="-4"/>
          <w:w w:val="105"/>
          <w:sz w:val="21"/>
        </w:rPr>
        <w:t> </w:t>
      </w:r>
      <w:r>
        <w:rPr>
          <w:spacing w:val="-3"/>
          <w:w w:val="105"/>
          <w:sz w:val="21"/>
        </w:rPr>
        <w:t>to</w:t>
      </w:r>
      <w:r>
        <w:rPr>
          <w:spacing w:val="-5"/>
          <w:w w:val="105"/>
          <w:sz w:val="21"/>
        </w:rPr>
        <w:t> </w:t>
      </w:r>
      <w:r>
        <w:rPr>
          <w:w w:val="105"/>
          <w:sz w:val="21"/>
        </w:rPr>
        <w:t>authorise</w:t>
      </w:r>
      <w:r>
        <w:rPr>
          <w:spacing w:val="-4"/>
          <w:w w:val="105"/>
          <w:sz w:val="21"/>
        </w:rPr>
        <w:t> </w:t>
      </w:r>
      <w:r>
        <w:rPr>
          <w:w w:val="105"/>
          <w:sz w:val="21"/>
        </w:rPr>
        <w:t>a</w:t>
      </w:r>
      <w:r>
        <w:rPr>
          <w:spacing w:val="-5"/>
          <w:w w:val="105"/>
          <w:sz w:val="21"/>
        </w:rPr>
        <w:t> </w:t>
      </w:r>
      <w:r>
        <w:rPr>
          <w:w w:val="105"/>
          <w:sz w:val="21"/>
        </w:rPr>
        <w:t>statutory</w:t>
      </w:r>
      <w:r>
        <w:rPr>
          <w:spacing w:val="-4"/>
          <w:w w:val="105"/>
          <w:sz w:val="21"/>
        </w:rPr>
        <w:t> </w:t>
      </w:r>
      <w:r>
        <w:rPr>
          <w:spacing w:val="-3"/>
          <w:w w:val="105"/>
          <w:sz w:val="21"/>
        </w:rPr>
        <w:t>will</w:t>
      </w:r>
      <w:r>
        <w:rPr>
          <w:spacing w:val="-5"/>
          <w:w w:val="105"/>
          <w:sz w:val="21"/>
        </w:rPr>
        <w:t> </w:t>
      </w:r>
      <w:r>
        <w:rPr>
          <w:spacing w:val="-3"/>
          <w:w w:val="105"/>
          <w:sz w:val="21"/>
        </w:rPr>
        <w:t>that</w:t>
      </w:r>
      <w:r>
        <w:rPr>
          <w:spacing w:val="-5"/>
          <w:w w:val="105"/>
          <w:sz w:val="21"/>
        </w:rPr>
        <w:t> </w:t>
      </w:r>
      <w:r>
        <w:rPr>
          <w:spacing w:val="-3"/>
          <w:w w:val="105"/>
          <w:sz w:val="21"/>
        </w:rPr>
        <w:t>‘is</w:t>
      </w:r>
      <w:r>
        <w:rPr>
          <w:spacing w:val="-4"/>
          <w:w w:val="105"/>
          <w:sz w:val="21"/>
        </w:rPr>
        <w:t> </w:t>
      </w:r>
      <w:r>
        <w:rPr>
          <w:w w:val="105"/>
          <w:sz w:val="21"/>
        </w:rPr>
        <w:t>or</w:t>
      </w:r>
      <w:r>
        <w:rPr>
          <w:spacing w:val="-5"/>
          <w:w w:val="105"/>
          <w:sz w:val="21"/>
        </w:rPr>
        <w:t> </w:t>
      </w:r>
      <w:r>
        <w:rPr>
          <w:spacing w:val="-3"/>
          <w:w w:val="105"/>
          <w:sz w:val="21"/>
        </w:rPr>
        <w:t>might</w:t>
      </w:r>
      <w:r>
        <w:rPr>
          <w:spacing w:val="-4"/>
          <w:w w:val="105"/>
          <w:sz w:val="21"/>
        </w:rPr>
        <w:t> </w:t>
      </w:r>
      <w:r>
        <w:rPr>
          <w:w w:val="105"/>
          <w:sz w:val="21"/>
        </w:rPr>
        <w:t>be</w:t>
      </w:r>
      <w:r>
        <w:rPr>
          <w:spacing w:val="-5"/>
          <w:w w:val="105"/>
          <w:sz w:val="21"/>
        </w:rPr>
        <w:t> </w:t>
      </w:r>
      <w:r>
        <w:rPr>
          <w:w w:val="105"/>
          <w:sz w:val="21"/>
        </w:rPr>
        <w:t>one</w:t>
      </w:r>
      <w:r>
        <w:rPr>
          <w:spacing w:val="-4"/>
          <w:w w:val="105"/>
          <w:sz w:val="21"/>
        </w:rPr>
        <w:t> </w:t>
      </w:r>
      <w:r>
        <w:rPr>
          <w:spacing w:val="-3"/>
          <w:w w:val="105"/>
          <w:sz w:val="21"/>
        </w:rPr>
        <w:t>that</w:t>
      </w:r>
      <w:r>
        <w:rPr>
          <w:spacing w:val="-5"/>
          <w:w w:val="105"/>
          <w:sz w:val="21"/>
        </w:rPr>
        <w:t> </w:t>
      </w:r>
      <w:r>
        <w:rPr>
          <w:w w:val="105"/>
          <w:sz w:val="21"/>
        </w:rPr>
        <w:t>would </w:t>
      </w:r>
      <w:r>
        <w:rPr>
          <w:spacing w:val="-3"/>
          <w:w w:val="105"/>
          <w:sz w:val="21"/>
        </w:rPr>
        <w:t>have </w:t>
      </w:r>
      <w:r>
        <w:rPr>
          <w:w w:val="105"/>
          <w:sz w:val="21"/>
        </w:rPr>
        <w:t>been made’ by the person if they </w:t>
      </w:r>
      <w:r>
        <w:rPr>
          <w:spacing w:val="-2"/>
          <w:w w:val="105"/>
          <w:sz w:val="21"/>
        </w:rPr>
        <w:t>had </w:t>
      </w:r>
      <w:r>
        <w:rPr>
          <w:spacing w:val="-5"/>
          <w:w w:val="105"/>
          <w:sz w:val="21"/>
        </w:rPr>
        <w:t>capacity.</w:t>
      </w:r>
      <w:r>
        <w:rPr>
          <w:spacing w:val="-5"/>
          <w:w w:val="105"/>
          <w:position w:val="7"/>
          <w:sz w:val="12"/>
        </w:rPr>
        <w:t>11 </w:t>
      </w:r>
      <w:r>
        <w:rPr>
          <w:w w:val="105"/>
          <w:sz w:val="21"/>
        </w:rPr>
        <w:t>This test </w:t>
      </w:r>
      <w:r>
        <w:rPr>
          <w:spacing w:val="-2"/>
          <w:w w:val="105"/>
          <w:sz w:val="21"/>
        </w:rPr>
        <w:t>has </w:t>
      </w:r>
      <w:r>
        <w:rPr>
          <w:w w:val="105"/>
          <w:sz w:val="21"/>
        </w:rPr>
        <w:t>been adopted in the Northern </w:t>
      </w:r>
      <w:r>
        <w:rPr>
          <w:spacing w:val="-3"/>
          <w:w w:val="105"/>
          <w:sz w:val="21"/>
        </w:rPr>
        <w:t>Territory </w:t>
      </w:r>
      <w:r>
        <w:rPr>
          <w:w w:val="105"/>
          <w:sz w:val="21"/>
        </w:rPr>
        <w:t>and</w:t>
      </w:r>
      <w:r>
        <w:rPr>
          <w:spacing w:val="17"/>
          <w:w w:val="105"/>
          <w:sz w:val="21"/>
        </w:rPr>
        <w:t> </w:t>
      </w:r>
      <w:r>
        <w:rPr>
          <w:spacing w:val="-5"/>
          <w:w w:val="105"/>
          <w:sz w:val="21"/>
        </w:rPr>
        <w:t>Queensland.</w:t>
      </w:r>
      <w:r>
        <w:rPr>
          <w:spacing w:val="-5"/>
          <w:w w:val="105"/>
          <w:position w:val="7"/>
          <w:sz w:val="12"/>
        </w:rPr>
        <w:t>12</w:t>
      </w:r>
    </w:p>
    <w:p>
      <w:pPr>
        <w:pStyle w:val="ListParagraph"/>
        <w:numPr>
          <w:ilvl w:val="1"/>
          <w:numId w:val="22"/>
        </w:numPr>
        <w:tabs>
          <w:tab w:pos="2380" w:val="left" w:leader="none"/>
          <w:tab w:pos="2381" w:val="left" w:leader="none"/>
        </w:tabs>
        <w:spacing w:line="242" w:lineRule="auto" w:before="124" w:after="0"/>
        <w:ind w:left="2381" w:right="2116" w:hanging="794"/>
        <w:jc w:val="left"/>
        <w:rPr>
          <w:sz w:val="12"/>
        </w:rPr>
      </w:pPr>
      <w:r>
        <w:rPr>
          <w:spacing w:val="-3"/>
          <w:w w:val="105"/>
          <w:sz w:val="21"/>
        </w:rPr>
        <w:t>Submissions </w:t>
      </w:r>
      <w:r>
        <w:rPr>
          <w:w w:val="105"/>
          <w:sz w:val="21"/>
        </w:rPr>
        <w:t>received by the </w:t>
      </w:r>
      <w:r>
        <w:rPr>
          <w:spacing w:val="-3"/>
          <w:w w:val="105"/>
          <w:sz w:val="21"/>
        </w:rPr>
        <w:t>Commission </w:t>
      </w:r>
      <w:r>
        <w:rPr>
          <w:w w:val="105"/>
          <w:sz w:val="21"/>
        </w:rPr>
        <w:t>overwhelmingly supported </w:t>
      </w:r>
      <w:r>
        <w:rPr>
          <w:spacing w:val="-3"/>
          <w:w w:val="105"/>
          <w:sz w:val="21"/>
        </w:rPr>
        <w:t>retaining </w:t>
      </w:r>
      <w:r>
        <w:rPr>
          <w:w w:val="105"/>
          <w:sz w:val="21"/>
        </w:rPr>
        <w:t>the Victorian</w:t>
      </w:r>
      <w:r>
        <w:rPr>
          <w:spacing w:val="-5"/>
          <w:w w:val="105"/>
          <w:sz w:val="21"/>
        </w:rPr>
        <w:t> </w:t>
      </w:r>
      <w:r>
        <w:rPr>
          <w:spacing w:val="-6"/>
          <w:w w:val="105"/>
          <w:sz w:val="21"/>
        </w:rPr>
        <w:t>test.</w:t>
      </w:r>
      <w:r>
        <w:rPr>
          <w:spacing w:val="-6"/>
          <w:w w:val="105"/>
          <w:position w:val="7"/>
          <w:sz w:val="12"/>
        </w:rPr>
        <w:t>13</w:t>
      </w:r>
      <w:r>
        <w:rPr>
          <w:spacing w:val="-4"/>
          <w:w w:val="105"/>
          <w:position w:val="7"/>
          <w:sz w:val="12"/>
        </w:rPr>
        <w:t> </w:t>
      </w:r>
      <w:r>
        <w:rPr>
          <w:w w:val="105"/>
          <w:sz w:val="21"/>
        </w:rPr>
        <w:t>There</w:t>
      </w:r>
      <w:r>
        <w:rPr>
          <w:spacing w:val="-4"/>
          <w:w w:val="105"/>
          <w:sz w:val="21"/>
        </w:rPr>
        <w:t> </w:t>
      </w:r>
      <w:r>
        <w:rPr>
          <w:w w:val="105"/>
          <w:sz w:val="21"/>
        </w:rPr>
        <w:t>was</w:t>
      </w:r>
      <w:r>
        <w:rPr>
          <w:spacing w:val="-4"/>
          <w:w w:val="105"/>
          <w:sz w:val="21"/>
        </w:rPr>
        <w:t> </w:t>
      </w:r>
      <w:r>
        <w:rPr>
          <w:spacing w:val="-3"/>
          <w:w w:val="105"/>
          <w:sz w:val="21"/>
        </w:rPr>
        <w:t>concern</w:t>
      </w:r>
      <w:r>
        <w:rPr>
          <w:spacing w:val="-4"/>
          <w:w w:val="105"/>
          <w:sz w:val="21"/>
        </w:rPr>
        <w:t> </w:t>
      </w:r>
      <w:r>
        <w:rPr>
          <w:spacing w:val="-3"/>
          <w:w w:val="105"/>
          <w:sz w:val="21"/>
        </w:rPr>
        <w:t>that</w:t>
      </w:r>
      <w:r>
        <w:rPr>
          <w:spacing w:val="-4"/>
          <w:w w:val="105"/>
          <w:sz w:val="21"/>
        </w:rPr>
        <w:t> </w:t>
      </w:r>
      <w:r>
        <w:rPr>
          <w:w w:val="105"/>
          <w:sz w:val="21"/>
        </w:rPr>
        <w:t>the</w:t>
      </w:r>
      <w:r>
        <w:rPr>
          <w:spacing w:val="-4"/>
          <w:w w:val="105"/>
          <w:sz w:val="21"/>
        </w:rPr>
        <w:t> </w:t>
      </w:r>
      <w:r>
        <w:rPr>
          <w:w w:val="105"/>
          <w:sz w:val="21"/>
        </w:rPr>
        <w:t>term</w:t>
      </w:r>
      <w:r>
        <w:rPr>
          <w:spacing w:val="-5"/>
          <w:w w:val="105"/>
          <w:sz w:val="21"/>
        </w:rPr>
        <w:t> </w:t>
      </w:r>
      <w:r>
        <w:rPr>
          <w:spacing w:val="-3"/>
          <w:w w:val="105"/>
          <w:sz w:val="21"/>
        </w:rPr>
        <w:t>‘might’</w:t>
      </w:r>
      <w:r>
        <w:rPr>
          <w:spacing w:val="-4"/>
          <w:w w:val="105"/>
          <w:sz w:val="21"/>
        </w:rPr>
        <w:t> </w:t>
      </w:r>
      <w:r>
        <w:rPr>
          <w:w w:val="105"/>
          <w:sz w:val="21"/>
        </w:rPr>
        <w:t>is</w:t>
      </w:r>
      <w:r>
        <w:rPr>
          <w:spacing w:val="-4"/>
          <w:w w:val="105"/>
          <w:sz w:val="21"/>
        </w:rPr>
        <w:t> </w:t>
      </w:r>
      <w:r>
        <w:rPr>
          <w:w w:val="105"/>
          <w:sz w:val="21"/>
        </w:rPr>
        <w:t>too</w:t>
      </w:r>
      <w:r>
        <w:rPr>
          <w:spacing w:val="-4"/>
          <w:w w:val="105"/>
          <w:sz w:val="21"/>
        </w:rPr>
        <w:t> </w:t>
      </w:r>
      <w:r>
        <w:rPr>
          <w:w w:val="105"/>
          <w:sz w:val="21"/>
        </w:rPr>
        <w:t>broad</w:t>
      </w:r>
      <w:r>
        <w:rPr>
          <w:spacing w:val="-4"/>
          <w:w w:val="105"/>
          <w:sz w:val="21"/>
        </w:rPr>
        <w:t> </w:t>
      </w:r>
      <w:r>
        <w:rPr>
          <w:w w:val="105"/>
          <w:sz w:val="21"/>
        </w:rPr>
        <w:t>and</w:t>
      </w:r>
      <w:r>
        <w:rPr>
          <w:spacing w:val="-4"/>
          <w:w w:val="105"/>
          <w:sz w:val="21"/>
        </w:rPr>
        <w:t> </w:t>
      </w:r>
      <w:r>
        <w:rPr>
          <w:spacing w:val="-3"/>
          <w:w w:val="105"/>
          <w:sz w:val="21"/>
        </w:rPr>
        <w:t>could</w:t>
      </w:r>
      <w:r>
        <w:rPr>
          <w:spacing w:val="-4"/>
          <w:w w:val="105"/>
          <w:sz w:val="21"/>
        </w:rPr>
        <w:t> </w:t>
      </w:r>
      <w:r>
        <w:rPr>
          <w:w w:val="105"/>
          <w:sz w:val="21"/>
        </w:rPr>
        <w:t>lead </w:t>
      </w:r>
      <w:r>
        <w:rPr>
          <w:spacing w:val="-3"/>
          <w:w w:val="105"/>
          <w:sz w:val="21"/>
        </w:rPr>
        <w:t>to wills </w:t>
      </w:r>
      <w:r>
        <w:rPr>
          <w:w w:val="105"/>
          <w:sz w:val="21"/>
        </w:rPr>
        <w:t>being authorised </w:t>
      </w:r>
      <w:r>
        <w:rPr>
          <w:spacing w:val="-3"/>
          <w:w w:val="105"/>
          <w:sz w:val="21"/>
        </w:rPr>
        <w:t>that </w:t>
      </w:r>
      <w:r>
        <w:rPr>
          <w:w w:val="105"/>
          <w:sz w:val="21"/>
        </w:rPr>
        <w:t>the </w:t>
      </w:r>
      <w:r>
        <w:rPr>
          <w:spacing w:val="-3"/>
          <w:w w:val="105"/>
          <w:sz w:val="21"/>
        </w:rPr>
        <w:t>incapacitated </w:t>
      </w:r>
      <w:r>
        <w:rPr>
          <w:w w:val="105"/>
          <w:sz w:val="21"/>
        </w:rPr>
        <w:t>person would </w:t>
      </w:r>
      <w:r>
        <w:rPr>
          <w:spacing w:val="-2"/>
          <w:w w:val="105"/>
          <w:sz w:val="21"/>
        </w:rPr>
        <w:t>not </w:t>
      </w:r>
      <w:r>
        <w:rPr>
          <w:spacing w:val="-3"/>
          <w:w w:val="105"/>
          <w:sz w:val="21"/>
        </w:rPr>
        <w:t>have</w:t>
      </w:r>
      <w:r>
        <w:rPr>
          <w:spacing w:val="12"/>
          <w:w w:val="105"/>
          <w:sz w:val="21"/>
        </w:rPr>
        <w:t> </w:t>
      </w:r>
      <w:r>
        <w:rPr>
          <w:spacing w:val="-6"/>
          <w:w w:val="105"/>
          <w:sz w:val="21"/>
        </w:rPr>
        <w:t>wanted.</w:t>
      </w:r>
      <w:r>
        <w:rPr>
          <w:spacing w:val="-6"/>
          <w:w w:val="105"/>
          <w:position w:val="7"/>
          <w:sz w:val="12"/>
        </w:rPr>
        <w:t>14</w:t>
      </w:r>
    </w:p>
    <w:p>
      <w:pPr>
        <w:pStyle w:val="ListParagraph"/>
        <w:numPr>
          <w:ilvl w:val="1"/>
          <w:numId w:val="22"/>
        </w:numPr>
        <w:tabs>
          <w:tab w:pos="2380" w:val="left" w:leader="none"/>
          <w:tab w:pos="2381" w:val="left" w:leader="none"/>
        </w:tabs>
        <w:spacing w:line="242" w:lineRule="auto" w:before="123" w:after="0"/>
        <w:ind w:left="2381" w:right="1945" w:hanging="794"/>
        <w:jc w:val="left"/>
        <w:rPr>
          <w:sz w:val="12"/>
        </w:rPr>
      </w:pPr>
      <w:r>
        <w:rPr>
          <w:sz w:val="21"/>
        </w:rPr>
        <w:t>The </w:t>
      </w:r>
      <w:r>
        <w:rPr>
          <w:spacing w:val="-3"/>
          <w:sz w:val="21"/>
        </w:rPr>
        <w:t>Commission </w:t>
      </w:r>
      <w:r>
        <w:rPr>
          <w:sz w:val="21"/>
        </w:rPr>
        <w:t>agrees </w:t>
      </w:r>
      <w:r>
        <w:rPr>
          <w:spacing w:val="-3"/>
          <w:sz w:val="21"/>
        </w:rPr>
        <w:t>that </w:t>
      </w:r>
      <w:r>
        <w:rPr>
          <w:sz w:val="21"/>
        </w:rPr>
        <w:t>the Victorian test should be </w:t>
      </w:r>
      <w:r>
        <w:rPr>
          <w:spacing w:val="-3"/>
          <w:sz w:val="21"/>
        </w:rPr>
        <w:t>retained. </w:t>
      </w:r>
      <w:r>
        <w:rPr>
          <w:sz w:val="21"/>
        </w:rPr>
        <w:t>While </w:t>
      </w:r>
      <w:r>
        <w:rPr>
          <w:spacing w:val="-3"/>
          <w:sz w:val="21"/>
        </w:rPr>
        <w:t>national </w:t>
      </w:r>
      <w:r>
        <w:rPr>
          <w:sz w:val="21"/>
        </w:rPr>
        <w:t>consistency should be </w:t>
      </w:r>
      <w:r>
        <w:rPr>
          <w:spacing w:val="-3"/>
          <w:sz w:val="21"/>
        </w:rPr>
        <w:t>promoted </w:t>
      </w:r>
      <w:r>
        <w:rPr>
          <w:sz w:val="21"/>
        </w:rPr>
        <w:t>in </w:t>
      </w:r>
      <w:r>
        <w:rPr>
          <w:spacing w:val="-3"/>
          <w:sz w:val="21"/>
        </w:rPr>
        <w:t>succession </w:t>
      </w:r>
      <w:r>
        <w:rPr>
          <w:sz w:val="21"/>
        </w:rPr>
        <w:t>law </w:t>
      </w:r>
      <w:r>
        <w:rPr>
          <w:spacing w:val="-4"/>
          <w:sz w:val="21"/>
        </w:rPr>
        <w:t>generally, </w:t>
      </w:r>
      <w:r>
        <w:rPr>
          <w:sz w:val="21"/>
        </w:rPr>
        <w:t>the Victorian test is </w:t>
      </w:r>
      <w:r>
        <w:rPr>
          <w:spacing w:val="-3"/>
          <w:sz w:val="21"/>
        </w:rPr>
        <w:t>preferable </w:t>
      </w:r>
      <w:r>
        <w:rPr>
          <w:sz w:val="21"/>
        </w:rPr>
        <w:t>because it is more closely </w:t>
      </w:r>
      <w:r>
        <w:rPr>
          <w:spacing w:val="-3"/>
          <w:sz w:val="21"/>
        </w:rPr>
        <w:t>aligned </w:t>
      </w:r>
      <w:r>
        <w:rPr>
          <w:sz w:val="21"/>
        </w:rPr>
        <w:t>with the wishes of a person who </w:t>
      </w:r>
      <w:r>
        <w:rPr>
          <w:spacing w:val="-2"/>
          <w:sz w:val="21"/>
        </w:rPr>
        <w:t>has </w:t>
      </w:r>
      <w:r>
        <w:rPr>
          <w:sz w:val="21"/>
        </w:rPr>
        <w:t>lost capacity and more clearly allows a </w:t>
      </w:r>
      <w:r>
        <w:rPr>
          <w:spacing w:val="-3"/>
          <w:sz w:val="21"/>
        </w:rPr>
        <w:t>will to </w:t>
      </w:r>
      <w:r>
        <w:rPr>
          <w:sz w:val="21"/>
        </w:rPr>
        <w:t>be authorised in </w:t>
      </w:r>
      <w:r>
        <w:rPr>
          <w:spacing w:val="-3"/>
          <w:sz w:val="21"/>
        </w:rPr>
        <w:t>situations </w:t>
      </w:r>
      <w:r>
        <w:rPr>
          <w:sz w:val="21"/>
        </w:rPr>
        <w:t>where the person </w:t>
      </w:r>
      <w:r>
        <w:rPr>
          <w:spacing w:val="-2"/>
          <w:sz w:val="21"/>
        </w:rPr>
        <w:t>has </w:t>
      </w:r>
      <w:r>
        <w:rPr>
          <w:sz w:val="21"/>
        </w:rPr>
        <w:t>never </w:t>
      </w:r>
      <w:r>
        <w:rPr>
          <w:spacing w:val="-2"/>
          <w:sz w:val="21"/>
        </w:rPr>
        <w:t>had</w:t>
      </w:r>
      <w:r>
        <w:rPr>
          <w:spacing w:val="28"/>
          <w:sz w:val="21"/>
        </w:rPr>
        <w:t> </w:t>
      </w:r>
      <w:r>
        <w:rPr>
          <w:spacing w:val="-6"/>
          <w:sz w:val="21"/>
        </w:rPr>
        <w:t>capacity.</w:t>
      </w:r>
      <w:r>
        <w:rPr>
          <w:spacing w:val="-6"/>
          <w:position w:val="7"/>
          <w:sz w:val="12"/>
        </w:rPr>
        <w:t>15</w:t>
      </w:r>
    </w:p>
    <w:p>
      <w:pPr>
        <w:pStyle w:val="ListParagraph"/>
        <w:numPr>
          <w:ilvl w:val="1"/>
          <w:numId w:val="22"/>
        </w:numPr>
        <w:tabs>
          <w:tab w:pos="2382" w:val="left" w:leader="none"/>
        </w:tabs>
        <w:spacing w:line="242" w:lineRule="auto" w:before="126" w:after="0"/>
        <w:ind w:left="2381" w:right="2198" w:hanging="794"/>
        <w:jc w:val="both"/>
        <w:rPr>
          <w:sz w:val="21"/>
        </w:rPr>
      </w:pPr>
      <w:r>
        <w:rPr>
          <w:spacing w:val="-4"/>
          <w:w w:val="105"/>
          <w:sz w:val="21"/>
        </w:rPr>
        <w:t>Further,</w:t>
      </w:r>
      <w:r>
        <w:rPr>
          <w:spacing w:val="-11"/>
          <w:w w:val="105"/>
          <w:sz w:val="21"/>
        </w:rPr>
        <w:t> </w:t>
      </w:r>
      <w:r>
        <w:rPr>
          <w:w w:val="105"/>
          <w:sz w:val="21"/>
        </w:rPr>
        <w:t>the</w:t>
      </w:r>
      <w:r>
        <w:rPr>
          <w:spacing w:val="-10"/>
          <w:w w:val="105"/>
          <w:sz w:val="21"/>
        </w:rPr>
        <w:t> </w:t>
      </w:r>
      <w:r>
        <w:rPr>
          <w:w w:val="105"/>
          <w:sz w:val="21"/>
        </w:rPr>
        <w:t>Victorian</w:t>
      </w:r>
      <w:r>
        <w:rPr>
          <w:spacing w:val="-10"/>
          <w:w w:val="105"/>
          <w:sz w:val="21"/>
        </w:rPr>
        <w:t> </w:t>
      </w:r>
      <w:r>
        <w:rPr>
          <w:w w:val="105"/>
          <w:sz w:val="21"/>
        </w:rPr>
        <w:t>test</w:t>
      </w:r>
      <w:r>
        <w:rPr>
          <w:spacing w:val="-10"/>
          <w:w w:val="105"/>
          <w:sz w:val="21"/>
        </w:rPr>
        <w:t> </w:t>
      </w:r>
      <w:r>
        <w:rPr>
          <w:w w:val="105"/>
          <w:sz w:val="21"/>
        </w:rPr>
        <w:t>was</w:t>
      </w:r>
      <w:r>
        <w:rPr>
          <w:spacing w:val="-11"/>
          <w:w w:val="105"/>
          <w:sz w:val="21"/>
        </w:rPr>
        <w:t> </w:t>
      </w:r>
      <w:r>
        <w:rPr>
          <w:w w:val="105"/>
          <w:sz w:val="21"/>
        </w:rPr>
        <w:t>developed</w:t>
      </w:r>
      <w:r>
        <w:rPr>
          <w:spacing w:val="-10"/>
          <w:w w:val="105"/>
          <w:sz w:val="21"/>
        </w:rPr>
        <w:t> </w:t>
      </w:r>
      <w:r>
        <w:rPr>
          <w:w w:val="105"/>
          <w:sz w:val="21"/>
        </w:rPr>
        <w:t>in</w:t>
      </w:r>
      <w:r>
        <w:rPr>
          <w:spacing w:val="-10"/>
          <w:w w:val="105"/>
          <w:sz w:val="21"/>
        </w:rPr>
        <w:t> </w:t>
      </w:r>
      <w:r>
        <w:rPr>
          <w:w w:val="105"/>
          <w:sz w:val="21"/>
        </w:rPr>
        <w:t>response</w:t>
      </w:r>
      <w:r>
        <w:rPr>
          <w:spacing w:val="-10"/>
          <w:w w:val="105"/>
          <w:sz w:val="21"/>
        </w:rPr>
        <w:t> </w:t>
      </w:r>
      <w:r>
        <w:rPr>
          <w:spacing w:val="-3"/>
          <w:w w:val="105"/>
          <w:sz w:val="21"/>
        </w:rPr>
        <w:t>to</w:t>
      </w:r>
      <w:r>
        <w:rPr>
          <w:spacing w:val="-11"/>
          <w:w w:val="105"/>
          <w:sz w:val="21"/>
        </w:rPr>
        <w:t> </w:t>
      </w:r>
      <w:r>
        <w:rPr>
          <w:w w:val="105"/>
          <w:sz w:val="21"/>
        </w:rPr>
        <w:t>Victorian</w:t>
      </w:r>
      <w:r>
        <w:rPr>
          <w:spacing w:val="-10"/>
          <w:w w:val="105"/>
          <w:sz w:val="21"/>
        </w:rPr>
        <w:t> </w:t>
      </w:r>
      <w:r>
        <w:rPr>
          <w:w w:val="105"/>
          <w:sz w:val="21"/>
        </w:rPr>
        <w:t>case</w:t>
      </w:r>
      <w:r>
        <w:rPr>
          <w:spacing w:val="-10"/>
          <w:w w:val="105"/>
          <w:sz w:val="21"/>
        </w:rPr>
        <w:t> </w:t>
      </w:r>
      <w:r>
        <w:rPr>
          <w:w w:val="105"/>
          <w:sz w:val="21"/>
        </w:rPr>
        <w:t>law</w:t>
      </w:r>
      <w:r>
        <w:rPr>
          <w:spacing w:val="-10"/>
          <w:w w:val="105"/>
          <w:sz w:val="21"/>
        </w:rPr>
        <w:t> </w:t>
      </w:r>
      <w:r>
        <w:rPr>
          <w:w w:val="105"/>
          <w:sz w:val="21"/>
        </w:rPr>
        <w:t>and</w:t>
      </w:r>
      <w:r>
        <w:rPr>
          <w:spacing w:val="-11"/>
          <w:w w:val="105"/>
          <w:sz w:val="21"/>
        </w:rPr>
        <w:t> </w:t>
      </w:r>
      <w:r>
        <w:rPr>
          <w:w w:val="105"/>
          <w:sz w:val="21"/>
        </w:rPr>
        <w:t>the particular</w:t>
      </w:r>
      <w:r>
        <w:rPr>
          <w:spacing w:val="-10"/>
          <w:w w:val="105"/>
          <w:sz w:val="21"/>
        </w:rPr>
        <w:t> </w:t>
      </w:r>
      <w:r>
        <w:rPr>
          <w:w w:val="105"/>
          <w:sz w:val="21"/>
        </w:rPr>
        <w:t>problem</w:t>
      </w:r>
      <w:r>
        <w:rPr>
          <w:spacing w:val="-10"/>
          <w:w w:val="105"/>
          <w:sz w:val="21"/>
        </w:rPr>
        <w:t> </w:t>
      </w:r>
      <w:r>
        <w:rPr>
          <w:w w:val="105"/>
          <w:sz w:val="21"/>
        </w:rPr>
        <w:t>identified</w:t>
      </w:r>
      <w:r>
        <w:rPr>
          <w:spacing w:val="-10"/>
          <w:w w:val="105"/>
          <w:sz w:val="21"/>
        </w:rPr>
        <w:t> </w:t>
      </w:r>
      <w:r>
        <w:rPr>
          <w:w w:val="105"/>
          <w:sz w:val="21"/>
        </w:rPr>
        <w:t>by</w:t>
      </w:r>
      <w:r>
        <w:rPr>
          <w:spacing w:val="-10"/>
          <w:w w:val="105"/>
          <w:sz w:val="21"/>
        </w:rPr>
        <w:t> </w:t>
      </w:r>
      <w:r>
        <w:rPr>
          <w:spacing w:val="-3"/>
          <w:w w:val="105"/>
          <w:sz w:val="21"/>
        </w:rPr>
        <w:t>that</w:t>
      </w:r>
      <w:r>
        <w:rPr>
          <w:spacing w:val="-10"/>
          <w:w w:val="105"/>
          <w:sz w:val="21"/>
        </w:rPr>
        <w:t> </w:t>
      </w:r>
      <w:r>
        <w:rPr>
          <w:w w:val="105"/>
          <w:sz w:val="21"/>
        </w:rPr>
        <w:t>case</w:t>
      </w:r>
      <w:r>
        <w:rPr>
          <w:spacing w:val="-10"/>
          <w:w w:val="105"/>
          <w:sz w:val="21"/>
        </w:rPr>
        <w:t> </w:t>
      </w:r>
      <w:r>
        <w:rPr>
          <w:spacing w:val="-5"/>
          <w:w w:val="105"/>
          <w:sz w:val="21"/>
        </w:rPr>
        <w:t>law.</w:t>
      </w:r>
      <w:r>
        <w:rPr>
          <w:spacing w:val="-10"/>
          <w:w w:val="105"/>
          <w:sz w:val="21"/>
        </w:rPr>
        <w:t> </w:t>
      </w:r>
      <w:r>
        <w:rPr>
          <w:w w:val="105"/>
          <w:sz w:val="21"/>
        </w:rPr>
        <w:t>The</w:t>
      </w:r>
      <w:r>
        <w:rPr>
          <w:spacing w:val="-10"/>
          <w:w w:val="105"/>
          <w:sz w:val="21"/>
        </w:rPr>
        <w:t> </w:t>
      </w:r>
      <w:r>
        <w:rPr>
          <w:w w:val="105"/>
          <w:sz w:val="21"/>
        </w:rPr>
        <w:t>test</w:t>
      </w:r>
      <w:r>
        <w:rPr>
          <w:spacing w:val="-10"/>
          <w:w w:val="105"/>
          <w:sz w:val="21"/>
        </w:rPr>
        <w:t> </w:t>
      </w:r>
      <w:r>
        <w:rPr>
          <w:spacing w:val="-3"/>
          <w:w w:val="105"/>
          <w:sz w:val="21"/>
        </w:rPr>
        <w:t>therefore</w:t>
      </w:r>
      <w:r>
        <w:rPr>
          <w:spacing w:val="-10"/>
          <w:w w:val="105"/>
          <w:sz w:val="21"/>
        </w:rPr>
        <w:t> </w:t>
      </w:r>
      <w:r>
        <w:rPr>
          <w:spacing w:val="-3"/>
          <w:w w:val="105"/>
          <w:sz w:val="21"/>
        </w:rPr>
        <w:t>achieves</w:t>
      </w:r>
      <w:r>
        <w:rPr>
          <w:spacing w:val="-10"/>
          <w:w w:val="105"/>
          <w:sz w:val="21"/>
        </w:rPr>
        <w:t> </w:t>
      </w:r>
      <w:r>
        <w:rPr>
          <w:w w:val="105"/>
          <w:sz w:val="21"/>
        </w:rPr>
        <w:t>a</w:t>
      </w:r>
      <w:r>
        <w:rPr>
          <w:spacing w:val="-10"/>
          <w:w w:val="105"/>
          <w:sz w:val="21"/>
        </w:rPr>
        <w:t> </w:t>
      </w:r>
      <w:r>
        <w:rPr>
          <w:w w:val="105"/>
          <w:sz w:val="21"/>
        </w:rPr>
        <w:t>degree of certainty </w:t>
      </w:r>
      <w:r>
        <w:rPr>
          <w:spacing w:val="-3"/>
          <w:w w:val="105"/>
          <w:sz w:val="21"/>
        </w:rPr>
        <w:t>that could </w:t>
      </w:r>
      <w:r>
        <w:rPr>
          <w:w w:val="105"/>
          <w:sz w:val="21"/>
        </w:rPr>
        <w:t>be </w:t>
      </w:r>
      <w:r>
        <w:rPr>
          <w:spacing w:val="-3"/>
          <w:w w:val="105"/>
          <w:sz w:val="21"/>
        </w:rPr>
        <w:t>lacking </w:t>
      </w:r>
      <w:r>
        <w:rPr>
          <w:w w:val="105"/>
          <w:sz w:val="21"/>
        </w:rPr>
        <w:t>if the </w:t>
      </w:r>
      <w:r>
        <w:rPr>
          <w:spacing w:val="-3"/>
          <w:w w:val="105"/>
          <w:sz w:val="21"/>
        </w:rPr>
        <w:t>National </w:t>
      </w:r>
      <w:r>
        <w:rPr>
          <w:spacing w:val="-4"/>
          <w:w w:val="105"/>
          <w:sz w:val="21"/>
        </w:rPr>
        <w:t>Committee’s </w:t>
      </w:r>
      <w:r>
        <w:rPr>
          <w:w w:val="105"/>
          <w:sz w:val="21"/>
        </w:rPr>
        <w:t>recommended model </w:t>
      </w:r>
      <w:r>
        <w:rPr>
          <w:spacing w:val="-3"/>
          <w:w w:val="105"/>
          <w:sz w:val="21"/>
        </w:rPr>
        <w:t>were</w:t>
      </w:r>
      <w:r>
        <w:rPr>
          <w:spacing w:val="5"/>
          <w:w w:val="105"/>
          <w:sz w:val="21"/>
        </w:rPr>
        <w:t> </w:t>
      </w:r>
      <w:r>
        <w:rPr>
          <w:spacing w:val="-3"/>
          <w:w w:val="105"/>
          <w:sz w:val="21"/>
        </w:rPr>
        <w:t>adopted.</w:t>
      </w:r>
    </w:p>
    <w:p>
      <w:pPr>
        <w:pStyle w:val="ListParagraph"/>
        <w:numPr>
          <w:ilvl w:val="1"/>
          <w:numId w:val="22"/>
        </w:numPr>
        <w:tabs>
          <w:tab w:pos="2382" w:val="left" w:leader="none"/>
        </w:tabs>
        <w:spacing w:line="242" w:lineRule="auto" w:before="124" w:after="0"/>
        <w:ind w:left="2381" w:right="2167" w:hanging="794"/>
        <w:jc w:val="both"/>
        <w:rPr>
          <w:sz w:val="21"/>
        </w:rPr>
      </w:pPr>
      <w:r>
        <w:rPr>
          <w:sz w:val="21"/>
        </w:rPr>
        <w:t>The </w:t>
      </w:r>
      <w:r>
        <w:rPr>
          <w:spacing w:val="-3"/>
          <w:sz w:val="21"/>
        </w:rPr>
        <w:t>current </w:t>
      </w:r>
      <w:r>
        <w:rPr>
          <w:sz w:val="21"/>
        </w:rPr>
        <w:t>Victorian test </w:t>
      </w:r>
      <w:r>
        <w:rPr>
          <w:spacing w:val="-2"/>
          <w:sz w:val="21"/>
        </w:rPr>
        <w:t>has </w:t>
      </w:r>
      <w:r>
        <w:rPr>
          <w:sz w:val="21"/>
        </w:rPr>
        <w:t>also </w:t>
      </w:r>
      <w:r>
        <w:rPr>
          <w:spacing w:val="-3"/>
          <w:sz w:val="21"/>
        </w:rPr>
        <w:t>found  favour  </w:t>
      </w:r>
      <w:r>
        <w:rPr>
          <w:sz w:val="21"/>
        </w:rPr>
        <w:t>in New South </w:t>
      </w:r>
      <w:r>
        <w:rPr>
          <w:spacing w:val="-3"/>
          <w:sz w:val="21"/>
        </w:rPr>
        <w:t>Wales.</w:t>
      </w:r>
      <w:r>
        <w:rPr>
          <w:spacing w:val="41"/>
          <w:sz w:val="21"/>
        </w:rPr>
        <w:t> </w:t>
      </w:r>
      <w:r>
        <w:rPr>
          <w:sz w:val="21"/>
        </w:rPr>
        <w:t>Justice </w:t>
      </w:r>
      <w:r>
        <w:rPr>
          <w:spacing w:val="-3"/>
          <w:sz w:val="21"/>
        </w:rPr>
        <w:t>Palmer </w:t>
      </w:r>
      <w:r>
        <w:rPr>
          <w:sz w:val="21"/>
        </w:rPr>
        <w:t>of the </w:t>
      </w:r>
      <w:r>
        <w:rPr>
          <w:spacing w:val="-3"/>
          <w:sz w:val="21"/>
        </w:rPr>
        <w:t>Supreme Court </w:t>
      </w:r>
      <w:r>
        <w:rPr>
          <w:sz w:val="21"/>
        </w:rPr>
        <w:t>of New South </w:t>
      </w:r>
      <w:r>
        <w:rPr>
          <w:spacing w:val="-3"/>
          <w:sz w:val="21"/>
        </w:rPr>
        <w:t>Wales  noted  </w:t>
      </w:r>
      <w:r>
        <w:rPr>
          <w:sz w:val="21"/>
        </w:rPr>
        <w:t>the </w:t>
      </w:r>
      <w:r>
        <w:rPr>
          <w:spacing w:val="-3"/>
          <w:sz w:val="21"/>
        </w:rPr>
        <w:t>similarity</w:t>
      </w:r>
      <w:r>
        <w:rPr>
          <w:spacing w:val="41"/>
          <w:sz w:val="21"/>
        </w:rPr>
        <w:t> </w:t>
      </w:r>
      <w:r>
        <w:rPr>
          <w:sz w:val="21"/>
        </w:rPr>
        <w:t>of the Victorian test  </w:t>
      </w:r>
      <w:r>
        <w:rPr>
          <w:spacing w:val="-3"/>
          <w:sz w:val="21"/>
        </w:rPr>
        <w:t>to </w:t>
      </w:r>
      <w:r>
        <w:rPr>
          <w:sz w:val="21"/>
        </w:rPr>
        <w:t>the New South </w:t>
      </w:r>
      <w:r>
        <w:rPr>
          <w:spacing w:val="-3"/>
          <w:sz w:val="21"/>
        </w:rPr>
        <w:t>Wales </w:t>
      </w:r>
      <w:r>
        <w:rPr>
          <w:sz w:val="21"/>
        </w:rPr>
        <w:t>test and observed </w:t>
      </w:r>
      <w:r>
        <w:rPr>
          <w:spacing w:val="-3"/>
          <w:sz w:val="21"/>
        </w:rPr>
        <w:t>that </w:t>
      </w:r>
      <w:r>
        <w:rPr>
          <w:sz w:val="21"/>
        </w:rPr>
        <w:t>the </w:t>
      </w:r>
      <w:r>
        <w:rPr>
          <w:spacing w:val="-3"/>
          <w:sz w:val="21"/>
        </w:rPr>
        <w:t>words </w:t>
      </w:r>
      <w:r>
        <w:rPr>
          <w:sz w:val="21"/>
        </w:rPr>
        <w:t>of the Victorian</w:t>
      </w:r>
      <w:r>
        <w:rPr>
          <w:spacing w:val="36"/>
          <w:sz w:val="21"/>
        </w:rPr>
        <w:t> </w:t>
      </w:r>
      <w:r>
        <w:rPr>
          <w:sz w:val="21"/>
        </w:rPr>
        <w:t>test:</w:t>
      </w:r>
    </w:p>
    <w:p>
      <w:pPr>
        <w:spacing w:line="254" w:lineRule="auto" w:before="133"/>
        <w:ind w:left="2721" w:right="1705" w:firstLine="0"/>
        <w:jc w:val="left"/>
        <w:rPr>
          <w:sz w:val="11"/>
        </w:rPr>
      </w:pPr>
      <w:r>
        <w:rPr>
          <w:w w:val="105"/>
          <w:sz w:val="20"/>
        </w:rPr>
        <w:t>[give] the court far more latitude in applying an objectively reasonable approach to identification of testamentary intention than did the words of the previous section. Indeed, the words of the new section 26(b) are very close in substance to the words of section 22(b) of the NSW Act [is, or is reasonably likely to be, one that would have been made by the person if he or she had testamentary capacity].</w:t>
      </w:r>
      <w:r>
        <w:rPr>
          <w:w w:val="105"/>
          <w:position w:val="7"/>
          <w:sz w:val="11"/>
        </w:rPr>
        <w:t>16</w:t>
      </w:r>
    </w:p>
    <w:p>
      <w:pPr>
        <w:pStyle w:val="BodyText"/>
        <w:spacing w:before="3"/>
      </w:pPr>
    </w:p>
    <w:p>
      <w:pPr>
        <w:pStyle w:val="Heading4"/>
      </w:pPr>
      <w:r>
        <w:rPr>
          <w:color w:val="EC5A4F"/>
          <w:w w:val="115"/>
        </w:rPr>
        <w:t>Involvement of the incapacitated person in the decision</w:t>
      </w:r>
    </w:p>
    <w:p>
      <w:pPr>
        <w:pStyle w:val="Heading5"/>
        <w:spacing w:before="167"/>
      </w:pPr>
      <w:r>
        <w:rPr>
          <w:w w:val="115"/>
        </w:rPr>
        <w:t>Current law</w:t>
      </w:r>
    </w:p>
    <w:p>
      <w:pPr>
        <w:pStyle w:val="ListParagraph"/>
        <w:numPr>
          <w:ilvl w:val="1"/>
          <w:numId w:val="22"/>
        </w:numPr>
        <w:tabs>
          <w:tab w:pos="2380" w:val="left" w:leader="none"/>
          <w:tab w:pos="2381" w:val="left" w:leader="none"/>
        </w:tabs>
        <w:spacing w:line="242" w:lineRule="auto" w:before="137" w:after="0"/>
        <w:ind w:left="2381" w:right="2294" w:hanging="794"/>
        <w:jc w:val="left"/>
        <w:rPr>
          <w:sz w:val="21"/>
        </w:rPr>
      </w:pPr>
      <w:r>
        <w:rPr>
          <w:w w:val="105"/>
          <w:sz w:val="21"/>
        </w:rPr>
        <w:t>The</w:t>
      </w:r>
      <w:r>
        <w:rPr>
          <w:spacing w:val="-5"/>
          <w:w w:val="105"/>
          <w:sz w:val="21"/>
        </w:rPr>
        <w:t> </w:t>
      </w:r>
      <w:r>
        <w:rPr>
          <w:spacing w:val="-3"/>
          <w:w w:val="105"/>
          <w:sz w:val="21"/>
        </w:rPr>
        <w:t>Wills</w:t>
      </w:r>
      <w:r>
        <w:rPr>
          <w:spacing w:val="-4"/>
          <w:w w:val="105"/>
          <w:sz w:val="21"/>
        </w:rPr>
        <w:t> </w:t>
      </w:r>
      <w:r>
        <w:rPr>
          <w:w w:val="105"/>
          <w:sz w:val="21"/>
        </w:rPr>
        <w:t>Act</w:t>
      </w:r>
      <w:r>
        <w:rPr>
          <w:spacing w:val="-5"/>
          <w:w w:val="105"/>
          <w:sz w:val="21"/>
        </w:rPr>
        <w:t> </w:t>
      </w:r>
      <w:r>
        <w:rPr>
          <w:w w:val="105"/>
          <w:sz w:val="21"/>
        </w:rPr>
        <w:t>states</w:t>
      </w:r>
      <w:r>
        <w:rPr>
          <w:spacing w:val="-4"/>
          <w:w w:val="105"/>
          <w:sz w:val="21"/>
        </w:rPr>
        <w:t> </w:t>
      </w:r>
      <w:r>
        <w:rPr>
          <w:spacing w:val="-3"/>
          <w:w w:val="105"/>
          <w:sz w:val="21"/>
        </w:rPr>
        <w:t>that</w:t>
      </w:r>
      <w:r>
        <w:rPr>
          <w:spacing w:val="-5"/>
          <w:w w:val="105"/>
          <w:sz w:val="21"/>
        </w:rPr>
        <w:t> </w:t>
      </w:r>
      <w:r>
        <w:rPr>
          <w:spacing w:val="-3"/>
          <w:w w:val="105"/>
          <w:sz w:val="21"/>
        </w:rPr>
        <w:t>any</w:t>
      </w:r>
      <w:r>
        <w:rPr>
          <w:spacing w:val="-4"/>
          <w:w w:val="105"/>
          <w:sz w:val="21"/>
        </w:rPr>
        <w:t> </w:t>
      </w:r>
      <w:r>
        <w:rPr>
          <w:w w:val="105"/>
          <w:sz w:val="21"/>
        </w:rPr>
        <w:t>person</w:t>
      </w:r>
      <w:r>
        <w:rPr>
          <w:spacing w:val="-5"/>
          <w:w w:val="105"/>
          <w:sz w:val="21"/>
        </w:rPr>
        <w:t> </w:t>
      </w:r>
      <w:r>
        <w:rPr>
          <w:spacing w:val="-3"/>
          <w:w w:val="105"/>
          <w:sz w:val="21"/>
        </w:rPr>
        <w:t>may</w:t>
      </w:r>
      <w:r>
        <w:rPr>
          <w:spacing w:val="-4"/>
          <w:w w:val="105"/>
          <w:sz w:val="21"/>
        </w:rPr>
        <w:t> make</w:t>
      </w:r>
      <w:r>
        <w:rPr>
          <w:spacing w:val="-5"/>
          <w:w w:val="105"/>
          <w:sz w:val="21"/>
        </w:rPr>
        <w:t> </w:t>
      </w:r>
      <w:r>
        <w:rPr>
          <w:w w:val="105"/>
          <w:sz w:val="21"/>
        </w:rPr>
        <w:t>an</w:t>
      </w:r>
      <w:r>
        <w:rPr>
          <w:spacing w:val="-4"/>
          <w:w w:val="105"/>
          <w:sz w:val="21"/>
        </w:rPr>
        <w:t> </w:t>
      </w:r>
      <w:r>
        <w:rPr>
          <w:w w:val="105"/>
          <w:sz w:val="21"/>
        </w:rPr>
        <w:t>application</w:t>
      </w:r>
      <w:r>
        <w:rPr>
          <w:spacing w:val="-5"/>
          <w:w w:val="105"/>
          <w:sz w:val="21"/>
        </w:rPr>
        <w:t> </w:t>
      </w:r>
      <w:r>
        <w:rPr>
          <w:spacing w:val="-3"/>
          <w:w w:val="105"/>
          <w:sz w:val="21"/>
        </w:rPr>
        <w:t>for</w:t>
      </w:r>
      <w:r>
        <w:rPr>
          <w:spacing w:val="-4"/>
          <w:w w:val="105"/>
          <w:sz w:val="21"/>
        </w:rPr>
        <w:t> </w:t>
      </w:r>
      <w:r>
        <w:rPr>
          <w:w w:val="105"/>
          <w:sz w:val="21"/>
        </w:rPr>
        <w:t>a</w:t>
      </w:r>
      <w:r>
        <w:rPr>
          <w:spacing w:val="-5"/>
          <w:w w:val="105"/>
          <w:sz w:val="21"/>
        </w:rPr>
        <w:t> </w:t>
      </w:r>
      <w:r>
        <w:rPr>
          <w:w w:val="105"/>
          <w:sz w:val="21"/>
        </w:rPr>
        <w:t>statutory</w:t>
      </w:r>
      <w:r>
        <w:rPr>
          <w:spacing w:val="-4"/>
          <w:w w:val="105"/>
          <w:sz w:val="21"/>
        </w:rPr>
        <w:t> </w:t>
      </w:r>
      <w:r>
        <w:rPr>
          <w:spacing w:val="-7"/>
          <w:w w:val="105"/>
          <w:sz w:val="21"/>
        </w:rPr>
        <w:t>will.</w:t>
      </w:r>
      <w:r>
        <w:rPr>
          <w:spacing w:val="-7"/>
          <w:w w:val="105"/>
          <w:position w:val="7"/>
          <w:sz w:val="12"/>
        </w:rPr>
        <w:t>17</w:t>
      </w:r>
      <w:r>
        <w:rPr>
          <w:spacing w:val="-7"/>
          <w:w w:val="105"/>
          <w:sz w:val="12"/>
        </w:rPr>
        <w:t> </w:t>
      </w:r>
      <w:r>
        <w:rPr>
          <w:w w:val="105"/>
          <w:sz w:val="21"/>
        </w:rPr>
        <w:t>Applications </w:t>
      </w:r>
      <w:r>
        <w:rPr>
          <w:spacing w:val="-3"/>
          <w:w w:val="105"/>
          <w:sz w:val="21"/>
        </w:rPr>
        <w:t>are usually </w:t>
      </w:r>
      <w:r>
        <w:rPr>
          <w:w w:val="105"/>
          <w:sz w:val="21"/>
        </w:rPr>
        <w:t>made</w:t>
      </w:r>
      <w:r>
        <w:rPr>
          <w:spacing w:val="24"/>
          <w:w w:val="105"/>
          <w:sz w:val="21"/>
        </w:rPr>
        <w:t> </w:t>
      </w:r>
      <w:r>
        <w:rPr>
          <w:w w:val="105"/>
          <w:sz w:val="21"/>
        </w:rPr>
        <w:t>by:</w:t>
      </w:r>
    </w:p>
    <w:p>
      <w:pPr>
        <w:pStyle w:val="ListParagraph"/>
        <w:numPr>
          <w:ilvl w:val="2"/>
          <w:numId w:val="22"/>
        </w:numPr>
        <w:tabs>
          <w:tab w:pos="2721" w:val="left" w:leader="none"/>
          <w:tab w:pos="2722" w:val="left" w:leader="none"/>
        </w:tabs>
        <w:spacing w:line="240" w:lineRule="auto" w:before="122" w:after="0"/>
        <w:ind w:left="2721" w:right="0" w:hanging="340"/>
        <w:jc w:val="left"/>
        <w:rPr>
          <w:sz w:val="21"/>
        </w:rPr>
      </w:pPr>
      <w:r>
        <w:rPr>
          <w:spacing w:val="-3"/>
          <w:sz w:val="21"/>
        </w:rPr>
        <w:t>family</w:t>
      </w:r>
      <w:r>
        <w:rPr>
          <w:spacing w:val="8"/>
          <w:sz w:val="21"/>
        </w:rPr>
        <w:t> </w:t>
      </w:r>
      <w:r>
        <w:rPr>
          <w:sz w:val="21"/>
        </w:rPr>
        <w:t>members</w:t>
      </w:r>
    </w:p>
    <w:p>
      <w:pPr>
        <w:pStyle w:val="ListParagraph"/>
        <w:numPr>
          <w:ilvl w:val="2"/>
          <w:numId w:val="22"/>
        </w:numPr>
        <w:tabs>
          <w:tab w:pos="2721" w:val="left" w:leader="none"/>
          <w:tab w:pos="2722" w:val="left" w:leader="none"/>
        </w:tabs>
        <w:spacing w:line="240" w:lineRule="auto" w:before="124" w:after="0"/>
        <w:ind w:left="2721" w:right="0" w:hanging="340"/>
        <w:jc w:val="left"/>
        <w:rPr>
          <w:sz w:val="21"/>
        </w:rPr>
      </w:pPr>
      <w:r>
        <w:rPr>
          <w:sz w:val="21"/>
        </w:rPr>
        <w:t>other </w:t>
      </w:r>
      <w:r>
        <w:rPr>
          <w:spacing w:val="-3"/>
          <w:sz w:val="21"/>
        </w:rPr>
        <w:t>potential </w:t>
      </w:r>
      <w:r>
        <w:rPr>
          <w:sz w:val="21"/>
        </w:rPr>
        <w:t>beneficiaries </w:t>
      </w:r>
      <w:r>
        <w:rPr>
          <w:spacing w:val="-3"/>
          <w:sz w:val="21"/>
        </w:rPr>
        <w:t>such</w:t>
      </w:r>
      <w:r>
        <w:rPr>
          <w:spacing w:val="19"/>
          <w:sz w:val="21"/>
        </w:rPr>
        <w:t> </w:t>
      </w:r>
      <w:r>
        <w:rPr>
          <w:sz w:val="21"/>
        </w:rPr>
        <w:t>as carers or </w:t>
      </w:r>
      <w:r>
        <w:rPr>
          <w:spacing w:val="-3"/>
          <w:sz w:val="21"/>
        </w:rPr>
        <w:t>friends</w:t>
      </w:r>
    </w:p>
    <w:p>
      <w:pPr>
        <w:pStyle w:val="ListParagraph"/>
        <w:numPr>
          <w:ilvl w:val="2"/>
          <w:numId w:val="22"/>
        </w:numPr>
        <w:tabs>
          <w:tab w:pos="2721" w:val="left" w:leader="none"/>
          <w:tab w:pos="2722" w:val="left" w:leader="none"/>
        </w:tabs>
        <w:spacing w:line="242" w:lineRule="auto" w:before="124" w:after="0"/>
        <w:ind w:left="2721" w:right="1759" w:hanging="340"/>
        <w:jc w:val="left"/>
        <w:rPr>
          <w:sz w:val="21"/>
        </w:rPr>
      </w:pPr>
      <w:r>
        <w:rPr>
          <w:spacing w:val="-3"/>
          <w:sz w:val="21"/>
        </w:rPr>
        <w:t>administrators, guardians </w:t>
      </w:r>
      <w:r>
        <w:rPr>
          <w:sz w:val="21"/>
        </w:rPr>
        <w:t>or legal practitioners </w:t>
      </w:r>
      <w:r>
        <w:rPr>
          <w:spacing w:val="-3"/>
          <w:sz w:val="21"/>
        </w:rPr>
        <w:t>involved </w:t>
      </w:r>
      <w:r>
        <w:rPr>
          <w:sz w:val="21"/>
        </w:rPr>
        <w:t>in the </w:t>
      </w:r>
      <w:r>
        <w:rPr>
          <w:spacing w:val="-3"/>
          <w:sz w:val="21"/>
        </w:rPr>
        <w:t>incapacitated person’s </w:t>
      </w:r>
      <w:r>
        <w:rPr>
          <w:sz w:val="21"/>
        </w:rPr>
        <w:t>affairs.</w:t>
      </w:r>
    </w:p>
    <w:p>
      <w:pPr>
        <w:pStyle w:val="ListParagraph"/>
        <w:numPr>
          <w:ilvl w:val="1"/>
          <w:numId w:val="22"/>
        </w:numPr>
        <w:tabs>
          <w:tab w:pos="2381" w:val="left" w:leader="none"/>
          <w:tab w:pos="2382" w:val="left" w:leader="none"/>
        </w:tabs>
        <w:spacing w:line="242" w:lineRule="auto" w:before="122" w:after="0"/>
        <w:ind w:left="2381" w:right="1612" w:hanging="794"/>
        <w:jc w:val="left"/>
        <w:rPr>
          <w:sz w:val="21"/>
        </w:rPr>
      </w:pPr>
      <w:r>
        <w:rPr>
          <w:w w:val="105"/>
          <w:sz w:val="21"/>
        </w:rPr>
        <w:t>It is </w:t>
      </w:r>
      <w:r>
        <w:rPr>
          <w:spacing w:val="-3"/>
          <w:w w:val="105"/>
          <w:sz w:val="21"/>
        </w:rPr>
        <w:t>legitimate for </w:t>
      </w:r>
      <w:r>
        <w:rPr>
          <w:w w:val="105"/>
          <w:sz w:val="21"/>
        </w:rPr>
        <w:t>a beneficiary </w:t>
      </w:r>
      <w:r>
        <w:rPr>
          <w:spacing w:val="-3"/>
          <w:w w:val="105"/>
          <w:sz w:val="21"/>
        </w:rPr>
        <w:t>to bring </w:t>
      </w:r>
      <w:r>
        <w:rPr>
          <w:w w:val="105"/>
          <w:sz w:val="21"/>
        </w:rPr>
        <w:t>an </w:t>
      </w:r>
      <w:r>
        <w:rPr>
          <w:spacing w:val="-3"/>
          <w:w w:val="105"/>
          <w:sz w:val="21"/>
        </w:rPr>
        <w:t>application for </w:t>
      </w:r>
      <w:r>
        <w:rPr>
          <w:w w:val="105"/>
          <w:sz w:val="21"/>
        </w:rPr>
        <w:t>a statutory </w:t>
      </w:r>
      <w:r>
        <w:rPr>
          <w:spacing w:val="-6"/>
          <w:w w:val="105"/>
          <w:sz w:val="21"/>
        </w:rPr>
        <w:t>will.</w:t>
      </w:r>
      <w:r>
        <w:rPr>
          <w:spacing w:val="-6"/>
          <w:w w:val="105"/>
          <w:position w:val="7"/>
          <w:sz w:val="12"/>
        </w:rPr>
        <w:t>18 </w:t>
      </w:r>
      <w:r>
        <w:rPr>
          <w:spacing w:val="-3"/>
          <w:w w:val="105"/>
          <w:sz w:val="21"/>
        </w:rPr>
        <w:t>Many </w:t>
      </w:r>
      <w:r>
        <w:rPr>
          <w:w w:val="105"/>
          <w:sz w:val="21"/>
        </w:rPr>
        <w:t>cases </w:t>
      </w:r>
      <w:r>
        <w:rPr>
          <w:spacing w:val="-3"/>
          <w:w w:val="105"/>
          <w:sz w:val="21"/>
        </w:rPr>
        <w:t>are brought </w:t>
      </w:r>
      <w:r>
        <w:rPr>
          <w:w w:val="105"/>
          <w:sz w:val="21"/>
        </w:rPr>
        <w:t>by people who </w:t>
      </w:r>
      <w:r>
        <w:rPr>
          <w:spacing w:val="-3"/>
          <w:w w:val="105"/>
          <w:sz w:val="21"/>
        </w:rPr>
        <w:t>are proposing </w:t>
      </w:r>
      <w:r>
        <w:rPr>
          <w:w w:val="105"/>
          <w:sz w:val="21"/>
        </w:rPr>
        <w:t>a </w:t>
      </w:r>
      <w:r>
        <w:rPr>
          <w:spacing w:val="-3"/>
          <w:w w:val="105"/>
          <w:sz w:val="21"/>
        </w:rPr>
        <w:t>will under which they would receive </w:t>
      </w:r>
      <w:r>
        <w:rPr>
          <w:w w:val="105"/>
          <w:sz w:val="21"/>
        </w:rPr>
        <w:t>a</w:t>
      </w:r>
      <w:r>
        <w:rPr>
          <w:spacing w:val="4"/>
          <w:w w:val="105"/>
          <w:sz w:val="21"/>
        </w:rPr>
        <w:t> </w:t>
      </w:r>
      <w:r>
        <w:rPr>
          <w:w w:val="105"/>
          <w:sz w:val="21"/>
        </w:rPr>
        <w:t>benefit.</w:t>
      </w:r>
    </w:p>
    <w:p>
      <w:pPr>
        <w:pStyle w:val="ListParagraph"/>
        <w:numPr>
          <w:ilvl w:val="1"/>
          <w:numId w:val="22"/>
        </w:numPr>
        <w:tabs>
          <w:tab w:pos="2380" w:val="left" w:leader="none"/>
          <w:tab w:pos="2382" w:val="left" w:leader="none"/>
        </w:tabs>
        <w:spacing w:line="242" w:lineRule="auto" w:before="122" w:after="0"/>
        <w:ind w:left="2381" w:right="1803" w:hanging="794"/>
        <w:jc w:val="left"/>
        <w:rPr>
          <w:sz w:val="21"/>
        </w:rPr>
      </w:pPr>
      <w:r>
        <w:rPr>
          <w:sz w:val="21"/>
        </w:rPr>
        <w:t>In Victoria, the person on whose behalf a statutory </w:t>
      </w:r>
      <w:r>
        <w:rPr>
          <w:spacing w:val="-3"/>
          <w:sz w:val="21"/>
        </w:rPr>
        <w:t>will </w:t>
      </w:r>
      <w:r>
        <w:rPr>
          <w:sz w:val="21"/>
        </w:rPr>
        <w:t>is proposed is entitled </w:t>
      </w:r>
      <w:r>
        <w:rPr>
          <w:spacing w:val="-3"/>
          <w:sz w:val="21"/>
        </w:rPr>
        <w:t>to </w:t>
      </w:r>
      <w:r>
        <w:rPr>
          <w:sz w:val="21"/>
        </w:rPr>
        <w:t>appear when the </w:t>
      </w:r>
      <w:r>
        <w:rPr>
          <w:spacing w:val="-3"/>
          <w:sz w:val="21"/>
        </w:rPr>
        <w:t>Court </w:t>
      </w:r>
      <w:r>
        <w:rPr>
          <w:sz w:val="21"/>
        </w:rPr>
        <w:t>considers the </w:t>
      </w:r>
      <w:r>
        <w:rPr>
          <w:spacing w:val="-4"/>
          <w:sz w:val="21"/>
        </w:rPr>
        <w:t>application.</w:t>
      </w:r>
      <w:r>
        <w:rPr>
          <w:spacing w:val="-4"/>
          <w:position w:val="7"/>
          <w:sz w:val="12"/>
        </w:rPr>
        <w:t>19 </w:t>
      </w:r>
      <w:r>
        <w:rPr>
          <w:spacing w:val="-4"/>
          <w:sz w:val="21"/>
        </w:rPr>
        <w:t>However, </w:t>
      </w:r>
      <w:r>
        <w:rPr>
          <w:sz w:val="21"/>
        </w:rPr>
        <w:t>there is no statutory </w:t>
      </w:r>
      <w:r>
        <w:rPr>
          <w:spacing w:val="-3"/>
          <w:sz w:val="21"/>
        </w:rPr>
        <w:t>requirement  that </w:t>
      </w:r>
      <w:r>
        <w:rPr>
          <w:sz w:val="21"/>
        </w:rPr>
        <w:t>the person be </w:t>
      </w:r>
      <w:r>
        <w:rPr>
          <w:spacing w:val="-3"/>
          <w:sz w:val="21"/>
        </w:rPr>
        <w:t>involved </w:t>
      </w:r>
      <w:r>
        <w:rPr>
          <w:sz w:val="21"/>
        </w:rPr>
        <w:t>in the </w:t>
      </w:r>
      <w:r>
        <w:rPr>
          <w:spacing w:val="-3"/>
          <w:sz w:val="21"/>
        </w:rPr>
        <w:t>proceedings </w:t>
      </w:r>
      <w:r>
        <w:rPr>
          <w:sz w:val="21"/>
        </w:rPr>
        <w:t>if </w:t>
      </w:r>
      <w:r>
        <w:rPr>
          <w:spacing w:val="-3"/>
          <w:sz w:val="21"/>
        </w:rPr>
        <w:t>possible, </w:t>
      </w:r>
      <w:r>
        <w:rPr>
          <w:sz w:val="21"/>
        </w:rPr>
        <w:t>or even </w:t>
      </w:r>
      <w:r>
        <w:rPr>
          <w:spacing w:val="-3"/>
          <w:sz w:val="21"/>
        </w:rPr>
        <w:t>informed </w:t>
      </w:r>
      <w:r>
        <w:rPr>
          <w:sz w:val="21"/>
        </w:rPr>
        <w:t>of the </w:t>
      </w:r>
      <w:r>
        <w:rPr>
          <w:spacing w:val="-3"/>
          <w:sz w:val="21"/>
        </w:rPr>
        <w:t>proceedings. </w:t>
      </w:r>
      <w:r>
        <w:rPr>
          <w:sz w:val="21"/>
        </w:rPr>
        <w:t>The </w:t>
      </w:r>
      <w:r>
        <w:rPr>
          <w:spacing w:val="-3"/>
          <w:sz w:val="21"/>
        </w:rPr>
        <w:t>legislation </w:t>
      </w:r>
      <w:r>
        <w:rPr>
          <w:sz w:val="21"/>
        </w:rPr>
        <w:t>imposes no </w:t>
      </w:r>
      <w:r>
        <w:rPr>
          <w:spacing w:val="-3"/>
          <w:sz w:val="21"/>
        </w:rPr>
        <w:t>obligation </w:t>
      </w:r>
      <w:r>
        <w:rPr>
          <w:sz w:val="21"/>
        </w:rPr>
        <w:t>on the </w:t>
      </w:r>
      <w:r>
        <w:rPr>
          <w:spacing w:val="-3"/>
          <w:sz w:val="21"/>
        </w:rPr>
        <w:t>applicant to </w:t>
      </w:r>
      <w:r>
        <w:rPr>
          <w:sz w:val="21"/>
        </w:rPr>
        <w:t>provide the </w:t>
      </w:r>
      <w:r>
        <w:rPr>
          <w:spacing w:val="-3"/>
          <w:sz w:val="21"/>
        </w:rPr>
        <w:t>incapacitated </w:t>
      </w:r>
      <w:r>
        <w:rPr>
          <w:sz w:val="21"/>
        </w:rPr>
        <w:t>person with </w:t>
      </w:r>
      <w:r>
        <w:rPr>
          <w:spacing w:val="-3"/>
          <w:sz w:val="21"/>
        </w:rPr>
        <w:t>information </w:t>
      </w:r>
      <w:r>
        <w:rPr>
          <w:sz w:val="21"/>
        </w:rPr>
        <w:t>or seek </w:t>
      </w:r>
      <w:r>
        <w:rPr>
          <w:spacing w:val="-3"/>
          <w:sz w:val="21"/>
        </w:rPr>
        <w:t>to involve </w:t>
      </w:r>
      <w:r>
        <w:rPr>
          <w:sz w:val="21"/>
        </w:rPr>
        <w:t>them in the</w:t>
      </w:r>
      <w:r>
        <w:rPr>
          <w:spacing w:val="-15"/>
          <w:sz w:val="21"/>
        </w:rPr>
        <w:t> </w:t>
      </w:r>
      <w:r>
        <w:rPr>
          <w:sz w:val="21"/>
        </w:rPr>
        <w:t>decision.</w:t>
      </w:r>
    </w:p>
    <w:p>
      <w:pPr>
        <w:pStyle w:val="BodyText"/>
        <w:spacing w:before="4"/>
        <w:rPr>
          <w:sz w:val="18"/>
        </w:rPr>
      </w:pPr>
      <w:r>
        <w:rPr/>
        <w:pict>
          <v:line style="position:absolute;mso-position-horizontal-relative:page;mso-position-vertical-relative:paragraph;z-index:896;mso-wrap-distance-left:0;mso-wrap-distance-right:0" from="79.370102pt,13.647471pt" to="515.905102pt,13.647471pt" stroked="true" strokeweight="1pt" strokecolor="#f9ceca">
            <v:stroke dashstyle="solid"/>
            <w10:wrap type="topAndBottom"/>
          </v:line>
        </w:pict>
      </w:r>
    </w:p>
    <w:p>
      <w:pPr>
        <w:pStyle w:val="ListParagraph"/>
        <w:numPr>
          <w:ilvl w:val="0"/>
          <w:numId w:val="33"/>
        </w:numPr>
        <w:tabs>
          <w:tab w:pos="2381" w:val="left" w:leader="none"/>
          <w:tab w:pos="2382" w:val="left" w:leader="none"/>
        </w:tabs>
        <w:spacing w:line="240" w:lineRule="auto" w:before="117" w:after="0"/>
        <w:ind w:left="2381" w:right="0" w:hanging="794"/>
        <w:jc w:val="left"/>
        <w:rPr>
          <w:sz w:val="13"/>
        </w:rPr>
      </w:pPr>
      <w:r>
        <w:rPr>
          <w:w w:val="105"/>
          <w:sz w:val="13"/>
        </w:rPr>
        <w:t>National</w:t>
      </w:r>
      <w:r>
        <w:rPr>
          <w:spacing w:val="4"/>
          <w:w w:val="105"/>
          <w:sz w:val="13"/>
        </w:rPr>
        <w:t> </w:t>
      </w:r>
      <w:r>
        <w:rPr>
          <w:w w:val="105"/>
          <w:sz w:val="13"/>
        </w:rPr>
        <w:t>Committee</w:t>
      </w:r>
      <w:r>
        <w:rPr>
          <w:spacing w:val="5"/>
          <w:w w:val="105"/>
          <w:sz w:val="13"/>
        </w:rPr>
        <w:t> </w:t>
      </w:r>
      <w:r>
        <w:rPr>
          <w:w w:val="105"/>
          <w:sz w:val="13"/>
        </w:rPr>
        <w:t>for</w:t>
      </w:r>
      <w:r>
        <w:rPr>
          <w:spacing w:val="5"/>
          <w:w w:val="105"/>
          <w:sz w:val="13"/>
        </w:rPr>
        <w:t> </w:t>
      </w:r>
      <w:r>
        <w:rPr>
          <w:w w:val="105"/>
          <w:sz w:val="13"/>
        </w:rPr>
        <w:t>Uniform</w:t>
      </w:r>
      <w:r>
        <w:rPr>
          <w:spacing w:val="5"/>
          <w:w w:val="105"/>
          <w:sz w:val="13"/>
        </w:rPr>
        <w:t> </w:t>
      </w:r>
      <w:r>
        <w:rPr>
          <w:w w:val="105"/>
          <w:sz w:val="13"/>
        </w:rPr>
        <w:t>Succession</w:t>
      </w:r>
      <w:r>
        <w:rPr>
          <w:spacing w:val="5"/>
          <w:w w:val="105"/>
          <w:sz w:val="13"/>
        </w:rPr>
        <w:t> </w:t>
      </w:r>
      <w:r>
        <w:rPr>
          <w:w w:val="105"/>
          <w:sz w:val="13"/>
        </w:rPr>
        <w:t>Laws,</w:t>
      </w:r>
      <w:r>
        <w:rPr>
          <w:spacing w:val="5"/>
          <w:w w:val="105"/>
          <w:sz w:val="13"/>
        </w:rPr>
        <w:t> </w:t>
      </w:r>
      <w:r>
        <w:rPr>
          <w:w w:val="105"/>
          <w:sz w:val="13"/>
        </w:rPr>
        <w:t>above</w:t>
      </w:r>
      <w:r>
        <w:rPr>
          <w:spacing w:val="5"/>
          <w:w w:val="105"/>
          <w:sz w:val="13"/>
        </w:rPr>
        <w:t> </w:t>
      </w:r>
      <w:r>
        <w:rPr>
          <w:w w:val="105"/>
          <w:sz w:val="13"/>
        </w:rPr>
        <w:t>n</w:t>
      </w:r>
      <w:r>
        <w:rPr>
          <w:spacing w:val="5"/>
          <w:w w:val="105"/>
          <w:sz w:val="13"/>
        </w:rPr>
        <w:t> </w:t>
      </w:r>
      <w:r>
        <w:rPr>
          <w:spacing w:val="-3"/>
          <w:w w:val="105"/>
          <w:sz w:val="13"/>
        </w:rPr>
        <w:t>1,</w:t>
      </w:r>
      <w:r>
        <w:rPr>
          <w:spacing w:val="5"/>
          <w:w w:val="105"/>
          <w:sz w:val="13"/>
        </w:rPr>
        <w:t> </w:t>
      </w:r>
      <w:r>
        <w:rPr>
          <w:spacing w:val="-4"/>
          <w:w w:val="105"/>
          <w:sz w:val="13"/>
        </w:rPr>
        <w:t>57,</w:t>
      </w:r>
      <w:r>
        <w:rPr>
          <w:spacing w:val="5"/>
          <w:w w:val="105"/>
          <w:sz w:val="13"/>
        </w:rPr>
        <w:t> </w:t>
      </w:r>
      <w:r>
        <w:rPr>
          <w:w w:val="105"/>
          <w:sz w:val="13"/>
        </w:rPr>
        <w:t>Draft</w:t>
      </w:r>
      <w:r>
        <w:rPr>
          <w:spacing w:val="5"/>
          <w:w w:val="105"/>
          <w:sz w:val="13"/>
        </w:rPr>
        <w:t> </w:t>
      </w:r>
      <w:r>
        <w:rPr>
          <w:w w:val="105"/>
          <w:sz w:val="13"/>
        </w:rPr>
        <w:t>Wills</w:t>
      </w:r>
      <w:r>
        <w:rPr>
          <w:spacing w:val="5"/>
          <w:w w:val="105"/>
          <w:sz w:val="13"/>
        </w:rPr>
        <w:t> </w:t>
      </w:r>
      <w:r>
        <w:rPr>
          <w:w w:val="105"/>
          <w:sz w:val="13"/>
        </w:rPr>
        <w:t>Bill</w:t>
      </w:r>
      <w:r>
        <w:rPr>
          <w:spacing w:val="4"/>
          <w:w w:val="105"/>
          <w:sz w:val="13"/>
        </w:rPr>
        <w:t> </w:t>
      </w:r>
      <w:r>
        <w:rPr>
          <w:w w:val="105"/>
          <w:sz w:val="13"/>
        </w:rPr>
        <w:t>1997</w:t>
      </w:r>
      <w:r>
        <w:rPr>
          <w:spacing w:val="5"/>
          <w:w w:val="105"/>
          <w:sz w:val="13"/>
        </w:rPr>
        <w:t> </w:t>
      </w:r>
      <w:r>
        <w:rPr>
          <w:w w:val="105"/>
          <w:sz w:val="13"/>
        </w:rPr>
        <w:t>cl</w:t>
      </w:r>
      <w:r>
        <w:rPr>
          <w:spacing w:val="5"/>
          <w:w w:val="105"/>
          <w:sz w:val="13"/>
        </w:rPr>
        <w:t> </w:t>
      </w:r>
      <w:r>
        <w:rPr>
          <w:w w:val="105"/>
          <w:sz w:val="13"/>
        </w:rPr>
        <w:t>21(b).</w:t>
      </w:r>
    </w:p>
    <w:p>
      <w:pPr>
        <w:pStyle w:val="ListParagraph"/>
        <w:numPr>
          <w:ilvl w:val="0"/>
          <w:numId w:val="33"/>
        </w:numPr>
        <w:tabs>
          <w:tab w:pos="2381" w:val="left" w:leader="none"/>
          <w:tab w:pos="2382" w:val="left" w:leader="none"/>
        </w:tabs>
        <w:spacing w:line="240" w:lineRule="auto" w:before="1" w:after="0"/>
        <w:ind w:left="2381" w:right="0" w:hanging="794"/>
        <w:jc w:val="left"/>
        <w:rPr>
          <w:sz w:val="13"/>
        </w:rPr>
      </w:pPr>
      <w:r>
        <w:rPr>
          <w:i/>
          <w:w w:val="105"/>
          <w:sz w:val="13"/>
        </w:rPr>
        <w:t>Wills</w:t>
      </w:r>
      <w:r>
        <w:rPr>
          <w:i/>
          <w:spacing w:val="3"/>
          <w:w w:val="105"/>
          <w:sz w:val="13"/>
        </w:rPr>
        <w:t> </w:t>
      </w:r>
      <w:r>
        <w:rPr>
          <w:i/>
          <w:w w:val="105"/>
          <w:sz w:val="13"/>
        </w:rPr>
        <w:t>Act</w:t>
      </w:r>
      <w:r>
        <w:rPr>
          <w:i/>
          <w:spacing w:val="4"/>
          <w:w w:val="105"/>
          <w:sz w:val="13"/>
        </w:rPr>
        <w:t> </w:t>
      </w:r>
      <w:r>
        <w:rPr>
          <w:i/>
          <w:w w:val="105"/>
          <w:sz w:val="13"/>
        </w:rPr>
        <w:t>2000</w:t>
      </w:r>
      <w:r>
        <w:rPr>
          <w:i/>
          <w:spacing w:val="5"/>
          <w:w w:val="105"/>
          <w:sz w:val="13"/>
        </w:rPr>
        <w:t> </w:t>
      </w:r>
      <w:r>
        <w:rPr>
          <w:spacing w:val="4"/>
          <w:w w:val="105"/>
          <w:sz w:val="13"/>
        </w:rPr>
        <w:t>(NT) </w:t>
      </w:r>
      <w:r>
        <w:rPr>
          <w:w w:val="105"/>
          <w:sz w:val="13"/>
        </w:rPr>
        <w:t>s</w:t>
      </w:r>
      <w:r>
        <w:rPr>
          <w:spacing w:val="5"/>
          <w:w w:val="105"/>
          <w:sz w:val="13"/>
        </w:rPr>
        <w:t> </w:t>
      </w:r>
      <w:r>
        <w:rPr>
          <w:w w:val="105"/>
          <w:sz w:val="13"/>
        </w:rPr>
        <w:t>21(b);</w:t>
      </w:r>
      <w:r>
        <w:rPr>
          <w:spacing w:val="5"/>
          <w:w w:val="105"/>
          <w:sz w:val="13"/>
        </w:rPr>
        <w:t> </w:t>
      </w:r>
      <w:r>
        <w:rPr>
          <w:i/>
          <w:w w:val="105"/>
          <w:sz w:val="13"/>
        </w:rPr>
        <w:t>Succession</w:t>
      </w:r>
      <w:r>
        <w:rPr>
          <w:i/>
          <w:spacing w:val="3"/>
          <w:w w:val="105"/>
          <w:sz w:val="13"/>
        </w:rPr>
        <w:t> </w:t>
      </w:r>
      <w:r>
        <w:rPr>
          <w:i/>
          <w:w w:val="105"/>
          <w:sz w:val="13"/>
        </w:rPr>
        <w:t>Act</w:t>
      </w:r>
      <w:r>
        <w:rPr>
          <w:i/>
          <w:spacing w:val="4"/>
          <w:w w:val="105"/>
          <w:sz w:val="13"/>
        </w:rPr>
        <w:t> </w:t>
      </w:r>
      <w:r>
        <w:rPr>
          <w:i/>
          <w:spacing w:val="-3"/>
          <w:w w:val="105"/>
          <w:sz w:val="13"/>
        </w:rPr>
        <w:t>1981</w:t>
      </w:r>
      <w:r>
        <w:rPr>
          <w:i/>
          <w:spacing w:val="5"/>
          <w:w w:val="105"/>
          <w:sz w:val="13"/>
        </w:rPr>
        <w:t> </w:t>
      </w:r>
      <w:r>
        <w:rPr>
          <w:spacing w:val="2"/>
          <w:w w:val="105"/>
          <w:sz w:val="13"/>
        </w:rPr>
        <w:t>(Qld)</w:t>
      </w:r>
      <w:r>
        <w:rPr>
          <w:spacing w:val="5"/>
          <w:w w:val="105"/>
          <w:sz w:val="13"/>
        </w:rPr>
        <w:t> </w:t>
      </w:r>
      <w:r>
        <w:rPr>
          <w:w w:val="105"/>
          <w:sz w:val="13"/>
        </w:rPr>
        <w:t>s</w:t>
      </w:r>
      <w:r>
        <w:rPr>
          <w:spacing w:val="4"/>
          <w:w w:val="105"/>
          <w:sz w:val="13"/>
        </w:rPr>
        <w:t> </w:t>
      </w:r>
      <w:r>
        <w:rPr>
          <w:spacing w:val="3"/>
          <w:w w:val="105"/>
          <w:sz w:val="13"/>
        </w:rPr>
        <w:t>24(d).</w:t>
      </w:r>
    </w:p>
    <w:p>
      <w:pPr>
        <w:pStyle w:val="ListParagraph"/>
        <w:numPr>
          <w:ilvl w:val="0"/>
          <w:numId w:val="33"/>
        </w:numPr>
        <w:tabs>
          <w:tab w:pos="2381" w:val="left" w:leader="none"/>
          <w:tab w:pos="2382" w:val="left" w:leader="none"/>
        </w:tabs>
        <w:spacing w:line="240" w:lineRule="auto" w:before="2" w:after="0"/>
        <w:ind w:left="2381" w:right="0" w:hanging="794"/>
        <w:jc w:val="left"/>
        <w:rPr>
          <w:sz w:val="13"/>
        </w:rPr>
      </w:pPr>
      <w:r>
        <w:rPr>
          <w:w w:val="105"/>
          <w:sz w:val="13"/>
        </w:rPr>
        <w:t>Submissions</w:t>
      </w:r>
      <w:r>
        <w:rPr>
          <w:spacing w:val="4"/>
          <w:w w:val="105"/>
          <w:sz w:val="13"/>
        </w:rPr>
        <w:t> </w:t>
      </w:r>
      <w:r>
        <w:rPr>
          <w:spacing w:val="-3"/>
          <w:w w:val="105"/>
          <w:sz w:val="13"/>
        </w:rPr>
        <w:t>14</w:t>
      </w:r>
      <w:r>
        <w:rPr>
          <w:spacing w:val="5"/>
          <w:w w:val="105"/>
          <w:sz w:val="13"/>
        </w:rPr>
        <w:t> </w:t>
      </w:r>
      <w:r>
        <w:rPr>
          <w:w w:val="105"/>
          <w:sz w:val="13"/>
        </w:rPr>
        <w:t>(Commercial</w:t>
      </w:r>
      <w:r>
        <w:rPr>
          <w:spacing w:val="5"/>
          <w:w w:val="105"/>
          <w:sz w:val="13"/>
        </w:rPr>
        <w:t> </w:t>
      </w:r>
      <w:r>
        <w:rPr>
          <w:w w:val="105"/>
          <w:sz w:val="13"/>
        </w:rPr>
        <w:t>Bar</w:t>
      </w:r>
      <w:r>
        <w:rPr>
          <w:spacing w:val="5"/>
          <w:w w:val="105"/>
          <w:sz w:val="13"/>
        </w:rPr>
        <w:t> </w:t>
      </w:r>
      <w:r>
        <w:rPr>
          <w:spacing w:val="2"/>
          <w:w w:val="105"/>
          <w:sz w:val="13"/>
        </w:rPr>
        <w:t>Association);</w:t>
      </w:r>
      <w:r>
        <w:rPr>
          <w:spacing w:val="5"/>
          <w:w w:val="105"/>
          <w:sz w:val="13"/>
        </w:rPr>
        <w:t> </w:t>
      </w:r>
      <w:r>
        <w:rPr>
          <w:w w:val="105"/>
          <w:sz w:val="13"/>
        </w:rPr>
        <w:t>21</w:t>
      </w:r>
      <w:r>
        <w:rPr>
          <w:spacing w:val="5"/>
          <w:w w:val="105"/>
          <w:sz w:val="13"/>
        </w:rPr>
        <w:t> </w:t>
      </w:r>
      <w:r>
        <w:rPr>
          <w:spacing w:val="2"/>
          <w:w w:val="105"/>
          <w:sz w:val="13"/>
        </w:rPr>
        <w:t>(Office</w:t>
      </w:r>
      <w:r>
        <w:rPr>
          <w:spacing w:val="4"/>
          <w:w w:val="105"/>
          <w:sz w:val="13"/>
        </w:rPr>
        <w:t> </w:t>
      </w:r>
      <w:r>
        <w:rPr>
          <w:w w:val="105"/>
          <w:sz w:val="13"/>
        </w:rPr>
        <w:t>of</w:t>
      </w:r>
      <w:r>
        <w:rPr>
          <w:spacing w:val="5"/>
          <w:w w:val="105"/>
          <w:sz w:val="13"/>
        </w:rPr>
        <w:t> </w:t>
      </w:r>
      <w:r>
        <w:rPr>
          <w:w w:val="105"/>
          <w:sz w:val="13"/>
        </w:rPr>
        <w:t>the</w:t>
      </w:r>
      <w:r>
        <w:rPr>
          <w:spacing w:val="5"/>
          <w:w w:val="105"/>
          <w:sz w:val="13"/>
        </w:rPr>
        <w:t> </w:t>
      </w:r>
      <w:r>
        <w:rPr>
          <w:w w:val="105"/>
          <w:sz w:val="13"/>
        </w:rPr>
        <w:t>Public</w:t>
      </w:r>
      <w:r>
        <w:rPr>
          <w:spacing w:val="5"/>
          <w:w w:val="105"/>
          <w:sz w:val="13"/>
        </w:rPr>
        <w:t> </w:t>
      </w:r>
      <w:r>
        <w:rPr>
          <w:w w:val="105"/>
          <w:sz w:val="13"/>
        </w:rPr>
        <w:t>Advocate);</w:t>
      </w:r>
      <w:r>
        <w:rPr>
          <w:spacing w:val="5"/>
          <w:w w:val="105"/>
          <w:sz w:val="13"/>
        </w:rPr>
        <w:t> </w:t>
      </w:r>
      <w:r>
        <w:rPr>
          <w:w w:val="105"/>
          <w:sz w:val="13"/>
        </w:rPr>
        <w:t>25</w:t>
      </w:r>
      <w:r>
        <w:rPr>
          <w:spacing w:val="5"/>
          <w:w w:val="105"/>
          <w:sz w:val="13"/>
        </w:rPr>
        <w:t> </w:t>
      </w:r>
      <w:r>
        <w:rPr>
          <w:spacing w:val="2"/>
          <w:w w:val="105"/>
          <w:sz w:val="13"/>
        </w:rPr>
        <w:t>(Moores</w:t>
      </w:r>
      <w:r>
        <w:rPr>
          <w:spacing w:val="4"/>
          <w:w w:val="105"/>
          <w:sz w:val="13"/>
        </w:rPr>
        <w:t> </w:t>
      </w:r>
      <w:r>
        <w:rPr>
          <w:w w:val="105"/>
          <w:sz w:val="13"/>
        </w:rPr>
        <w:t>Legal);</w:t>
      </w:r>
      <w:r>
        <w:rPr>
          <w:spacing w:val="5"/>
          <w:w w:val="105"/>
          <w:sz w:val="13"/>
        </w:rPr>
        <w:t> </w:t>
      </w:r>
      <w:r>
        <w:rPr>
          <w:w w:val="105"/>
          <w:sz w:val="13"/>
        </w:rPr>
        <w:t>26</w:t>
      </w:r>
      <w:r>
        <w:rPr>
          <w:spacing w:val="5"/>
          <w:w w:val="105"/>
          <w:sz w:val="13"/>
        </w:rPr>
        <w:t> </w:t>
      </w:r>
      <w:r>
        <w:rPr>
          <w:spacing w:val="2"/>
          <w:w w:val="105"/>
          <w:sz w:val="13"/>
        </w:rPr>
        <w:t>(Rigby</w:t>
      </w:r>
      <w:r>
        <w:rPr>
          <w:spacing w:val="5"/>
          <w:w w:val="105"/>
          <w:sz w:val="13"/>
        </w:rPr>
        <w:t> </w:t>
      </w:r>
      <w:r>
        <w:rPr>
          <w:w w:val="105"/>
          <w:sz w:val="13"/>
        </w:rPr>
        <w:t>Cooke</w:t>
      </w:r>
      <w:r>
        <w:rPr>
          <w:spacing w:val="5"/>
          <w:w w:val="105"/>
          <w:sz w:val="13"/>
        </w:rPr>
        <w:t> </w:t>
      </w:r>
      <w:r>
        <w:rPr>
          <w:spacing w:val="2"/>
          <w:w w:val="105"/>
          <w:sz w:val="13"/>
        </w:rPr>
        <w:t>Lawyers);</w:t>
      </w:r>
    </w:p>
    <w:p>
      <w:pPr>
        <w:spacing w:before="1"/>
        <w:ind w:left="2381" w:right="1865" w:firstLine="0"/>
        <w:jc w:val="left"/>
        <w:rPr>
          <w:sz w:val="13"/>
        </w:rPr>
      </w:pPr>
      <w:r>
        <w:rPr>
          <w:w w:val="105"/>
          <w:sz w:val="13"/>
        </w:rPr>
        <w:t>30a </w:t>
      </w:r>
      <w:r>
        <w:rPr>
          <w:spacing w:val="3"/>
          <w:w w:val="105"/>
          <w:sz w:val="13"/>
        </w:rPr>
        <w:t>(Law </w:t>
      </w:r>
      <w:r>
        <w:rPr>
          <w:w w:val="105"/>
          <w:sz w:val="13"/>
        </w:rPr>
        <w:t>Institute of </w:t>
      </w:r>
      <w:r>
        <w:rPr>
          <w:spacing w:val="2"/>
          <w:w w:val="105"/>
          <w:sz w:val="13"/>
        </w:rPr>
        <w:t>Victoria); </w:t>
      </w:r>
      <w:r>
        <w:rPr>
          <w:w w:val="105"/>
          <w:sz w:val="13"/>
        </w:rPr>
        <w:t>33 (State Trustees Limited); 35 (Andrew Verspaandonk); 39 (Carolyn Sparke SC); 40 (Janice Brownfoot).</w:t>
      </w:r>
      <w:r>
        <w:rPr>
          <w:spacing w:val="30"/>
          <w:w w:val="105"/>
          <w:sz w:val="13"/>
        </w:rPr>
        <w:t> </w:t>
      </w:r>
      <w:r>
        <w:rPr>
          <w:w w:val="105"/>
          <w:sz w:val="13"/>
        </w:rPr>
        <w:t>Two submissions supported the National Committee’s approach: submissions </w:t>
      </w:r>
      <w:r>
        <w:rPr>
          <w:spacing w:val="-3"/>
          <w:w w:val="105"/>
          <w:sz w:val="13"/>
        </w:rPr>
        <w:t>19 </w:t>
      </w:r>
      <w:r>
        <w:rPr>
          <w:spacing w:val="2"/>
          <w:w w:val="105"/>
          <w:sz w:val="13"/>
        </w:rPr>
        <w:t>(Association </w:t>
      </w:r>
      <w:r>
        <w:rPr>
          <w:w w:val="105"/>
          <w:sz w:val="13"/>
        </w:rPr>
        <w:t>of Independent Retirees); 32 </w:t>
      </w:r>
      <w:r>
        <w:rPr>
          <w:spacing w:val="2"/>
          <w:w w:val="105"/>
          <w:sz w:val="13"/>
        </w:rPr>
        <w:t>(The </w:t>
      </w:r>
      <w:r>
        <w:rPr>
          <w:w w:val="105"/>
          <w:sz w:val="13"/>
        </w:rPr>
        <w:t>Institute of Legal</w:t>
      </w:r>
      <w:r>
        <w:rPr>
          <w:spacing w:val="9"/>
          <w:w w:val="105"/>
          <w:sz w:val="13"/>
        </w:rPr>
        <w:t> </w:t>
      </w:r>
      <w:r>
        <w:rPr>
          <w:w w:val="105"/>
          <w:sz w:val="13"/>
        </w:rPr>
        <w:t>Executives).</w:t>
      </w:r>
    </w:p>
    <w:p>
      <w:pPr>
        <w:pStyle w:val="ListParagraph"/>
        <w:numPr>
          <w:ilvl w:val="0"/>
          <w:numId w:val="33"/>
        </w:numPr>
        <w:tabs>
          <w:tab w:pos="2381" w:val="left" w:leader="none"/>
          <w:tab w:pos="2382" w:val="left" w:leader="none"/>
        </w:tabs>
        <w:spacing w:line="240" w:lineRule="auto" w:before="4" w:after="0"/>
        <w:ind w:left="2381" w:right="0" w:hanging="794"/>
        <w:jc w:val="left"/>
        <w:rPr>
          <w:sz w:val="13"/>
        </w:rPr>
      </w:pPr>
      <w:r>
        <w:rPr>
          <w:w w:val="105"/>
          <w:sz w:val="13"/>
        </w:rPr>
        <w:t>Submissions</w:t>
      </w:r>
      <w:r>
        <w:rPr>
          <w:spacing w:val="5"/>
          <w:w w:val="105"/>
          <w:sz w:val="13"/>
        </w:rPr>
        <w:t> </w:t>
      </w:r>
      <w:r>
        <w:rPr>
          <w:spacing w:val="-3"/>
          <w:w w:val="105"/>
          <w:sz w:val="13"/>
        </w:rPr>
        <w:t>14</w:t>
      </w:r>
      <w:r>
        <w:rPr>
          <w:spacing w:val="5"/>
          <w:w w:val="105"/>
          <w:sz w:val="13"/>
        </w:rPr>
        <w:t> </w:t>
      </w:r>
      <w:r>
        <w:rPr>
          <w:w w:val="105"/>
          <w:sz w:val="13"/>
        </w:rPr>
        <w:t>(Commercial</w:t>
      </w:r>
      <w:r>
        <w:rPr>
          <w:spacing w:val="5"/>
          <w:w w:val="105"/>
          <w:sz w:val="13"/>
        </w:rPr>
        <w:t> </w:t>
      </w:r>
      <w:r>
        <w:rPr>
          <w:w w:val="105"/>
          <w:sz w:val="13"/>
        </w:rPr>
        <w:t>Bar</w:t>
      </w:r>
      <w:r>
        <w:rPr>
          <w:spacing w:val="5"/>
          <w:w w:val="105"/>
          <w:sz w:val="13"/>
        </w:rPr>
        <w:t> </w:t>
      </w:r>
      <w:r>
        <w:rPr>
          <w:spacing w:val="2"/>
          <w:w w:val="105"/>
          <w:sz w:val="13"/>
        </w:rPr>
        <w:t>Association);</w:t>
      </w:r>
      <w:r>
        <w:rPr>
          <w:spacing w:val="5"/>
          <w:w w:val="105"/>
          <w:sz w:val="13"/>
        </w:rPr>
        <w:t> </w:t>
      </w:r>
      <w:r>
        <w:rPr>
          <w:w w:val="105"/>
          <w:sz w:val="13"/>
        </w:rPr>
        <w:t>21</w:t>
      </w:r>
      <w:r>
        <w:rPr>
          <w:spacing w:val="5"/>
          <w:w w:val="105"/>
          <w:sz w:val="13"/>
        </w:rPr>
        <w:t> </w:t>
      </w:r>
      <w:r>
        <w:rPr>
          <w:spacing w:val="2"/>
          <w:w w:val="105"/>
          <w:sz w:val="13"/>
        </w:rPr>
        <w:t>(Office</w:t>
      </w:r>
      <w:r>
        <w:rPr>
          <w:spacing w:val="5"/>
          <w:w w:val="105"/>
          <w:sz w:val="13"/>
        </w:rPr>
        <w:t> </w:t>
      </w:r>
      <w:r>
        <w:rPr>
          <w:w w:val="105"/>
          <w:sz w:val="13"/>
        </w:rPr>
        <w:t>of</w:t>
      </w:r>
      <w:r>
        <w:rPr>
          <w:spacing w:val="5"/>
          <w:w w:val="105"/>
          <w:sz w:val="13"/>
        </w:rPr>
        <w:t> </w:t>
      </w:r>
      <w:r>
        <w:rPr>
          <w:w w:val="105"/>
          <w:sz w:val="13"/>
        </w:rPr>
        <w:t>the</w:t>
      </w:r>
      <w:r>
        <w:rPr>
          <w:spacing w:val="6"/>
          <w:w w:val="105"/>
          <w:sz w:val="13"/>
        </w:rPr>
        <w:t> </w:t>
      </w:r>
      <w:r>
        <w:rPr>
          <w:w w:val="105"/>
          <w:sz w:val="13"/>
        </w:rPr>
        <w:t>Public</w:t>
      </w:r>
      <w:r>
        <w:rPr>
          <w:spacing w:val="5"/>
          <w:w w:val="105"/>
          <w:sz w:val="13"/>
        </w:rPr>
        <w:t> </w:t>
      </w:r>
      <w:r>
        <w:rPr>
          <w:w w:val="105"/>
          <w:sz w:val="13"/>
        </w:rPr>
        <w:t>Advocate);</w:t>
      </w:r>
      <w:r>
        <w:rPr>
          <w:spacing w:val="5"/>
          <w:w w:val="105"/>
          <w:sz w:val="13"/>
        </w:rPr>
        <w:t> </w:t>
      </w:r>
      <w:r>
        <w:rPr>
          <w:w w:val="105"/>
          <w:sz w:val="13"/>
        </w:rPr>
        <w:t>33</w:t>
      </w:r>
      <w:r>
        <w:rPr>
          <w:spacing w:val="5"/>
          <w:w w:val="105"/>
          <w:sz w:val="13"/>
        </w:rPr>
        <w:t> </w:t>
      </w:r>
      <w:r>
        <w:rPr>
          <w:w w:val="105"/>
          <w:sz w:val="13"/>
        </w:rPr>
        <w:t>(State</w:t>
      </w:r>
      <w:r>
        <w:rPr>
          <w:spacing w:val="5"/>
          <w:w w:val="105"/>
          <w:sz w:val="13"/>
        </w:rPr>
        <w:t> </w:t>
      </w:r>
      <w:r>
        <w:rPr>
          <w:w w:val="105"/>
          <w:sz w:val="13"/>
        </w:rPr>
        <w:t>Trustees</w:t>
      </w:r>
      <w:r>
        <w:rPr>
          <w:spacing w:val="5"/>
          <w:w w:val="105"/>
          <w:sz w:val="13"/>
        </w:rPr>
        <w:t> </w:t>
      </w:r>
      <w:r>
        <w:rPr>
          <w:w w:val="105"/>
          <w:sz w:val="13"/>
        </w:rPr>
        <w:t>Limited);</w:t>
      </w:r>
      <w:r>
        <w:rPr>
          <w:spacing w:val="5"/>
          <w:w w:val="105"/>
          <w:sz w:val="13"/>
        </w:rPr>
        <w:t> </w:t>
      </w:r>
      <w:r>
        <w:rPr>
          <w:w w:val="105"/>
          <w:sz w:val="13"/>
        </w:rPr>
        <w:t>39</w:t>
      </w:r>
      <w:r>
        <w:rPr>
          <w:spacing w:val="5"/>
          <w:w w:val="105"/>
          <w:sz w:val="13"/>
        </w:rPr>
        <w:t> </w:t>
      </w:r>
      <w:r>
        <w:rPr>
          <w:w w:val="105"/>
          <w:sz w:val="13"/>
        </w:rPr>
        <w:t>(Carolyn</w:t>
      </w:r>
      <w:r>
        <w:rPr>
          <w:spacing w:val="6"/>
          <w:w w:val="105"/>
          <w:sz w:val="13"/>
        </w:rPr>
        <w:t> </w:t>
      </w:r>
      <w:r>
        <w:rPr>
          <w:w w:val="105"/>
          <w:sz w:val="13"/>
        </w:rPr>
        <w:t>Sparke</w:t>
      </w:r>
      <w:r>
        <w:rPr>
          <w:spacing w:val="5"/>
          <w:w w:val="105"/>
          <w:sz w:val="13"/>
        </w:rPr>
        <w:t> </w:t>
      </w:r>
      <w:r>
        <w:rPr>
          <w:w w:val="105"/>
          <w:sz w:val="13"/>
        </w:rPr>
        <w:t>SC).</w:t>
      </w:r>
    </w:p>
    <w:p>
      <w:pPr>
        <w:pStyle w:val="ListParagraph"/>
        <w:numPr>
          <w:ilvl w:val="0"/>
          <w:numId w:val="33"/>
        </w:numPr>
        <w:tabs>
          <w:tab w:pos="2381" w:val="left" w:leader="none"/>
          <w:tab w:pos="2382" w:val="left" w:leader="none"/>
        </w:tabs>
        <w:spacing w:line="240" w:lineRule="auto" w:before="1" w:after="0"/>
        <w:ind w:left="2381" w:right="0" w:hanging="794"/>
        <w:jc w:val="left"/>
        <w:rPr>
          <w:sz w:val="13"/>
        </w:rPr>
      </w:pPr>
      <w:r>
        <w:rPr>
          <w:w w:val="105"/>
          <w:sz w:val="13"/>
        </w:rPr>
        <w:t>See</w:t>
      </w:r>
      <w:r>
        <w:rPr>
          <w:spacing w:val="4"/>
          <w:w w:val="105"/>
          <w:sz w:val="13"/>
        </w:rPr>
        <w:t> </w:t>
      </w:r>
      <w:r>
        <w:rPr>
          <w:w w:val="105"/>
          <w:sz w:val="13"/>
        </w:rPr>
        <w:t>also</w:t>
      </w:r>
      <w:r>
        <w:rPr>
          <w:spacing w:val="5"/>
          <w:w w:val="105"/>
          <w:sz w:val="13"/>
        </w:rPr>
        <w:t> </w:t>
      </w:r>
      <w:r>
        <w:rPr>
          <w:w w:val="105"/>
          <w:sz w:val="13"/>
        </w:rPr>
        <w:t>submissions</w:t>
      </w:r>
      <w:r>
        <w:rPr>
          <w:spacing w:val="4"/>
          <w:w w:val="105"/>
          <w:sz w:val="13"/>
        </w:rPr>
        <w:t> </w:t>
      </w:r>
      <w:r>
        <w:rPr>
          <w:w w:val="105"/>
          <w:sz w:val="13"/>
        </w:rPr>
        <w:t>30a</w:t>
      </w:r>
      <w:r>
        <w:rPr>
          <w:spacing w:val="5"/>
          <w:w w:val="105"/>
          <w:sz w:val="13"/>
        </w:rPr>
        <w:t> </w:t>
      </w:r>
      <w:r>
        <w:rPr>
          <w:spacing w:val="3"/>
          <w:w w:val="105"/>
          <w:sz w:val="13"/>
        </w:rPr>
        <w:t>(Law</w:t>
      </w:r>
      <w:r>
        <w:rPr>
          <w:spacing w:val="5"/>
          <w:w w:val="105"/>
          <w:sz w:val="13"/>
        </w:rPr>
        <w:t> </w:t>
      </w:r>
      <w:r>
        <w:rPr>
          <w:w w:val="105"/>
          <w:sz w:val="13"/>
        </w:rPr>
        <w:t>Institute</w:t>
      </w:r>
      <w:r>
        <w:rPr>
          <w:spacing w:val="4"/>
          <w:w w:val="105"/>
          <w:sz w:val="13"/>
        </w:rPr>
        <w:t> </w:t>
      </w:r>
      <w:r>
        <w:rPr>
          <w:w w:val="105"/>
          <w:sz w:val="13"/>
        </w:rPr>
        <w:t>of</w:t>
      </w:r>
      <w:r>
        <w:rPr>
          <w:spacing w:val="5"/>
          <w:w w:val="105"/>
          <w:sz w:val="13"/>
        </w:rPr>
        <w:t> </w:t>
      </w:r>
      <w:r>
        <w:rPr>
          <w:spacing w:val="2"/>
          <w:w w:val="105"/>
          <w:sz w:val="13"/>
        </w:rPr>
        <w:t>Victoria);</w:t>
      </w:r>
      <w:r>
        <w:rPr>
          <w:spacing w:val="5"/>
          <w:w w:val="105"/>
          <w:sz w:val="13"/>
        </w:rPr>
        <w:t> </w:t>
      </w:r>
      <w:r>
        <w:rPr>
          <w:w w:val="105"/>
          <w:sz w:val="13"/>
        </w:rPr>
        <w:t>33</w:t>
      </w:r>
      <w:r>
        <w:rPr>
          <w:spacing w:val="4"/>
          <w:w w:val="105"/>
          <w:sz w:val="13"/>
        </w:rPr>
        <w:t> </w:t>
      </w:r>
      <w:r>
        <w:rPr>
          <w:w w:val="105"/>
          <w:sz w:val="13"/>
        </w:rPr>
        <w:t>(State</w:t>
      </w:r>
      <w:r>
        <w:rPr>
          <w:spacing w:val="5"/>
          <w:w w:val="105"/>
          <w:sz w:val="13"/>
        </w:rPr>
        <w:t> </w:t>
      </w:r>
      <w:r>
        <w:rPr>
          <w:w w:val="105"/>
          <w:sz w:val="13"/>
        </w:rPr>
        <w:t>Trustees</w:t>
      </w:r>
      <w:r>
        <w:rPr>
          <w:spacing w:val="4"/>
          <w:w w:val="105"/>
          <w:sz w:val="13"/>
        </w:rPr>
        <w:t> </w:t>
      </w:r>
      <w:r>
        <w:rPr>
          <w:w w:val="105"/>
          <w:sz w:val="13"/>
        </w:rPr>
        <w:t>Limited);</w:t>
      </w:r>
      <w:r>
        <w:rPr>
          <w:spacing w:val="5"/>
          <w:w w:val="105"/>
          <w:sz w:val="13"/>
        </w:rPr>
        <w:t> </w:t>
      </w:r>
      <w:r>
        <w:rPr>
          <w:w w:val="105"/>
          <w:sz w:val="13"/>
        </w:rPr>
        <w:t>39</w:t>
      </w:r>
      <w:r>
        <w:rPr>
          <w:spacing w:val="5"/>
          <w:w w:val="105"/>
          <w:sz w:val="13"/>
        </w:rPr>
        <w:t> </w:t>
      </w:r>
      <w:r>
        <w:rPr>
          <w:w w:val="105"/>
          <w:sz w:val="13"/>
        </w:rPr>
        <w:t>(Carolyn</w:t>
      </w:r>
      <w:r>
        <w:rPr>
          <w:spacing w:val="4"/>
          <w:w w:val="105"/>
          <w:sz w:val="13"/>
        </w:rPr>
        <w:t> </w:t>
      </w:r>
      <w:r>
        <w:rPr>
          <w:w w:val="105"/>
          <w:sz w:val="13"/>
        </w:rPr>
        <w:t>Sparke</w:t>
      </w:r>
      <w:r>
        <w:rPr>
          <w:spacing w:val="5"/>
          <w:w w:val="105"/>
          <w:sz w:val="13"/>
        </w:rPr>
        <w:t> </w:t>
      </w:r>
      <w:r>
        <w:rPr>
          <w:w w:val="105"/>
          <w:sz w:val="13"/>
        </w:rPr>
        <w:t>SC).</w:t>
      </w:r>
    </w:p>
    <w:p>
      <w:pPr>
        <w:pStyle w:val="ListParagraph"/>
        <w:numPr>
          <w:ilvl w:val="0"/>
          <w:numId w:val="33"/>
        </w:numPr>
        <w:tabs>
          <w:tab w:pos="2381" w:val="left" w:leader="none"/>
          <w:tab w:pos="2382" w:val="left" w:leader="none"/>
        </w:tabs>
        <w:spacing w:line="240" w:lineRule="auto" w:before="2" w:after="0"/>
        <w:ind w:left="2381" w:right="0" w:hanging="794"/>
        <w:jc w:val="left"/>
        <w:rPr>
          <w:sz w:val="13"/>
        </w:rPr>
      </w:pPr>
      <w:r>
        <w:rPr>
          <w:i/>
          <w:w w:val="105"/>
          <w:sz w:val="13"/>
        </w:rPr>
        <w:t>Re</w:t>
      </w:r>
      <w:r>
        <w:rPr>
          <w:i/>
          <w:spacing w:val="4"/>
          <w:w w:val="105"/>
          <w:sz w:val="13"/>
        </w:rPr>
        <w:t> </w:t>
      </w:r>
      <w:r>
        <w:rPr>
          <w:i/>
          <w:w w:val="105"/>
          <w:sz w:val="13"/>
        </w:rPr>
        <w:t>Fenwick</w:t>
      </w:r>
      <w:r>
        <w:rPr>
          <w:i/>
          <w:spacing w:val="5"/>
          <w:w w:val="105"/>
          <w:sz w:val="13"/>
        </w:rPr>
        <w:t> </w:t>
      </w:r>
      <w:r>
        <w:rPr>
          <w:spacing w:val="2"/>
          <w:w w:val="105"/>
          <w:sz w:val="13"/>
        </w:rPr>
        <w:t>[2009]</w:t>
      </w:r>
      <w:r>
        <w:rPr>
          <w:spacing w:val="6"/>
          <w:w w:val="105"/>
          <w:sz w:val="13"/>
        </w:rPr>
        <w:t> </w:t>
      </w:r>
      <w:r>
        <w:rPr>
          <w:w w:val="105"/>
          <w:sz w:val="13"/>
        </w:rPr>
        <w:t>NSWSC</w:t>
      </w:r>
      <w:r>
        <w:rPr>
          <w:spacing w:val="5"/>
          <w:w w:val="105"/>
          <w:sz w:val="13"/>
        </w:rPr>
        <w:t> </w:t>
      </w:r>
      <w:r>
        <w:rPr>
          <w:w w:val="105"/>
          <w:sz w:val="13"/>
        </w:rPr>
        <w:t>530</w:t>
      </w:r>
      <w:r>
        <w:rPr>
          <w:spacing w:val="6"/>
          <w:w w:val="105"/>
          <w:sz w:val="13"/>
        </w:rPr>
        <w:t> </w:t>
      </w:r>
      <w:r>
        <w:rPr>
          <w:spacing w:val="-3"/>
          <w:w w:val="105"/>
          <w:sz w:val="13"/>
        </w:rPr>
        <w:t>(12</w:t>
      </w:r>
      <w:r>
        <w:rPr>
          <w:spacing w:val="5"/>
          <w:w w:val="105"/>
          <w:sz w:val="13"/>
        </w:rPr>
        <w:t> </w:t>
      </w:r>
      <w:r>
        <w:rPr>
          <w:w w:val="105"/>
          <w:sz w:val="13"/>
        </w:rPr>
        <w:t>June</w:t>
      </w:r>
      <w:r>
        <w:rPr>
          <w:spacing w:val="5"/>
          <w:w w:val="105"/>
          <w:sz w:val="13"/>
        </w:rPr>
        <w:t> </w:t>
      </w:r>
      <w:r>
        <w:rPr>
          <w:spacing w:val="2"/>
          <w:w w:val="105"/>
          <w:sz w:val="13"/>
        </w:rPr>
        <w:t>2009)</w:t>
      </w:r>
      <w:r>
        <w:rPr>
          <w:spacing w:val="6"/>
          <w:w w:val="105"/>
          <w:sz w:val="13"/>
        </w:rPr>
        <w:t> </w:t>
      </w:r>
      <w:r>
        <w:rPr>
          <w:w w:val="105"/>
          <w:sz w:val="13"/>
        </w:rPr>
        <w:t>[147].</w:t>
      </w:r>
      <w:r>
        <w:rPr>
          <w:spacing w:val="5"/>
          <w:w w:val="105"/>
          <w:sz w:val="13"/>
        </w:rPr>
        <w:t> </w:t>
      </w:r>
      <w:r>
        <w:rPr>
          <w:w w:val="105"/>
          <w:sz w:val="13"/>
        </w:rPr>
        <w:t>See</w:t>
      </w:r>
      <w:r>
        <w:rPr>
          <w:spacing w:val="6"/>
          <w:w w:val="105"/>
          <w:sz w:val="13"/>
        </w:rPr>
        <w:t> </w:t>
      </w:r>
      <w:r>
        <w:rPr>
          <w:w w:val="105"/>
          <w:sz w:val="13"/>
        </w:rPr>
        <w:t>also</w:t>
      </w:r>
      <w:r>
        <w:rPr>
          <w:spacing w:val="5"/>
          <w:w w:val="105"/>
          <w:sz w:val="13"/>
        </w:rPr>
        <w:t> </w:t>
      </w:r>
      <w:r>
        <w:rPr>
          <w:i/>
          <w:w w:val="105"/>
          <w:sz w:val="13"/>
        </w:rPr>
        <w:t>Saunders</w:t>
      </w:r>
      <w:r>
        <w:rPr>
          <w:i/>
          <w:spacing w:val="4"/>
          <w:w w:val="105"/>
          <w:sz w:val="13"/>
        </w:rPr>
        <w:t> </w:t>
      </w:r>
      <w:r>
        <w:rPr>
          <w:i/>
          <w:w w:val="105"/>
          <w:sz w:val="13"/>
        </w:rPr>
        <w:t>v</w:t>
      </w:r>
      <w:r>
        <w:rPr>
          <w:i/>
          <w:spacing w:val="5"/>
          <w:w w:val="105"/>
          <w:sz w:val="13"/>
        </w:rPr>
        <w:t> </w:t>
      </w:r>
      <w:r>
        <w:rPr>
          <w:i/>
          <w:w w:val="105"/>
          <w:sz w:val="13"/>
        </w:rPr>
        <w:t>Pedemont</w:t>
      </w:r>
      <w:r>
        <w:rPr>
          <w:i/>
          <w:spacing w:val="5"/>
          <w:w w:val="105"/>
          <w:sz w:val="13"/>
        </w:rPr>
        <w:t> </w:t>
      </w:r>
      <w:r>
        <w:rPr>
          <w:w w:val="105"/>
          <w:sz w:val="13"/>
        </w:rPr>
        <w:t>[2012]</w:t>
      </w:r>
      <w:r>
        <w:rPr>
          <w:spacing w:val="6"/>
          <w:w w:val="105"/>
          <w:sz w:val="13"/>
        </w:rPr>
        <w:t> </w:t>
      </w:r>
      <w:r>
        <w:rPr>
          <w:w w:val="105"/>
          <w:sz w:val="13"/>
        </w:rPr>
        <w:t>VSC</w:t>
      </w:r>
      <w:r>
        <w:rPr>
          <w:spacing w:val="5"/>
          <w:w w:val="105"/>
          <w:sz w:val="13"/>
        </w:rPr>
        <w:t> </w:t>
      </w:r>
      <w:r>
        <w:rPr>
          <w:w w:val="105"/>
          <w:sz w:val="13"/>
        </w:rPr>
        <w:t>574</w:t>
      </w:r>
      <w:r>
        <w:rPr>
          <w:spacing w:val="5"/>
          <w:w w:val="105"/>
          <w:sz w:val="13"/>
        </w:rPr>
        <w:t> </w:t>
      </w:r>
      <w:r>
        <w:rPr>
          <w:w w:val="105"/>
          <w:sz w:val="13"/>
        </w:rPr>
        <w:t>(28</w:t>
      </w:r>
      <w:r>
        <w:rPr>
          <w:spacing w:val="6"/>
          <w:w w:val="105"/>
          <w:sz w:val="13"/>
        </w:rPr>
        <w:t> </w:t>
      </w:r>
      <w:r>
        <w:rPr>
          <w:w w:val="105"/>
          <w:sz w:val="13"/>
        </w:rPr>
        <w:t>November</w:t>
      </w:r>
      <w:r>
        <w:rPr>
          <w:spacing w:val="5"/>
          <w:w w:val="105"/>
          <w:sz w:val="13"/>
        </w:rPr>
        <w:t> </w:t>
      </w:r>
      <w:r>
        <w:rPr>
          <w:w w:val="105"/>
          <w:sz w:val="13"/>
        </w:rPr>
        <w:t>2012)</w:t>
      </w:r>
      <w:r>
        <w:rPr>
          <w:spacing w:val="6"/>
          <w:w w:val="105"/>
          <w:sz w:val="13"/>
        </w:rPr>
        <w:t> </w:t>
      </w:r>
      <w:r>
        <w:rPr>
          <w:spacing w:val="2"/>
          <w:w w:val="105"/>
          <w:sz w:val="13"/>
        </w:rPr>
        <w:t>[92].</w:t>
      </w:r>
    </w:p>
    <w:p>
      <w:pPr>
        <w:pStyle w:val="ListParagraph"/>
        <w:numPr>
          <w:ilvl w:val="0"/>
          <w:numId w:val="33"/>
        </w:numPr>
        <w:tabs>
          <w:tab w:pos="2381" w:val="left" w:leader="none"/>
          <w:tab w:pos="2382" w:val="left" w:leader="none"/>
        </w:tabs>
        <w:spacing w:line="240" w:lineRule="auto" w:before="1" w:after="0"/>
        <w:ind w:left="2381" w:right="0" w:hanging="793"/>
        <w:jc w:val="left"/>
        <w:rPr>
          <w:sz w:val="13"/>
        </w:rPr>
      </w:pPr>
      <w:r>
        <w:rPr>
          <w:i/>
          <w:w w:val="105"/>
          <w:sz w:val="13"/>
        </w:rPr>
        <w:t>Wills Act </w:t>
      </w:r>
      <w:r>
        <w:rPr>
          <w:i/>
          <w:spacing w:val="-3"/>
          <w:w w:val="105"/>
          <w:sz w:val="13"/>
        </w:rPr>
        <w:t>1997 </w:t>
      </w:r>
      <w:r>
        <w:rPr>
          <w:spacing w:val="2"/>
          <w:w w:val="105"/>
          <w:sz w:val="13"/>
        </w:rPr>
        <w:t>(Vic) </w:t>
      </w:r>
      <w:r>
        <w:rPr>
          <w:w w:val="105"/>
          <w:sz w:val="13"/>
        </w:rPr>
        <w:t>s</w:t>
      </w:r>
      <w:r>
        <w:rPr>
          <w:spacing w:val="21"/>
          <w:w w:val="105"/>
          <w:sz w:val="13"/>
        </w:rPr>
        <w:t> </w:t>
      </w:r>
      <w:r>
        <w:rPr>
          <w:w w:val="105"/>
          <w:sz w:val="13"/>
        </w:rPr>
        <w:t>21(2).</w:t>
      </w:r>
    </w:p>
    <w:p>
      <w:pPr>
        <w:tabs>
          <w:tab w:pos="2381" w:val="left" w:leader="none"/>
        </w:tabs>
        <w:spacing w:before="1"/>
        <w:ind w:left="1588" w:right="0" w:firstLine="0"/>
        <w:jc w:val="left"/>
        <w:rPr>
          <w:sz w:val="13"/>
        </w:rPr>
      </w:pPr>
      <w:r>
        <w:rPr/>
        <w:pict>
          <v:shape style="position:absolute;margin-left:36pt;margin-top:3.593367pt;width:13.2pt;height:14.25pt;mso-position-horizontal-relative:page;mso-position-vertical-relative:paragraph;z-index:2968" type="#_x0000_t202" filled="false" stroked="false">
            <v:textbox inset="0,0,0,0">
              <w:txbxContent>
                <w:p>
                  <w:pPr>
                    <w:spacing w:line="284" w:lineRule="exact" w:before="0"/>
                    <w:ind w:left="0" w:right="0" w:firstLine="0"/>
                    <w:jc w:val="left"/>
                    <w:rPr>
                      <w:b/>
                      <w:sz w:val="24"/>
                    </w:rPr>
                  </w:pPr>
                  <w:r>
                    <w:rPr>
                      <w:b/>
                      <w:color w:val="EC5A4F"/>
                      <w:spacing w:val="-2"/>
                      <w:w w:val="110"/>
                      <w:sz w:val="24"/>
                    </w:rPr>
                    <w:t>26</w:t>
                  </w:r>
                </w:p>
              </w:txbxContent>
            </v:textbox>
            <w10:wrap type="none"/>
          </v:shape>
        </w:pict>
      </w:r>
      <w:r>
        <w:rPr>
          <w:w w:val="105"/>
          <w:sz w:val="13"/>
        </w:rPr>
        <w:t>18</w:t>
        <w:tab/>
      </w:r>
      <w:r>
        <w:rPr>
          <w:i/>
          <w:w w:val="105"/>
          <w:sz w:val="13"/>
        </w:rPr>
        <w:t>AB</w:t>
      </w:r>
      <w:r>
        <w:rPr>
          <w:i/>
          <w:spacing w:val="4"/>
          <w:w w:val="105"/>
          <w:sz w:val="13"/>
        </w:rPr>
        <w:t> </w:t>
      </w:r>
      <w:r>
        <w:rPr>
          <w:i/>
          <w:w w:val="105"/>
          <w:sz w:val="13"/>
        </w:rPr>
        <w:t>v</w:t>
      </w:r>
      <w:r>
        <w:rPr>
          <w:i/>
          <w:spacing w:val="4"/>
          <w:w w:val="105"/>
          <w:sz w:val="13"/>
        </w:rPr>
        <w:t> </w:t>
      </w:r>
      <w:r>
        <w:rPr>
          <w:i/>
          <w:w w:val="105"/>
          <w:sz w:val="13"/>
        </w:rPr>
        <w:t>CB</w:t>
      </w:r>
      <w:r>
        <w:rPr>
          <w:i/>
          <w:spacing w:val="6"/>
          <w:w w:val="105"/>
          <w:sz w:val="13"/>
        </w:rPr>
        <w:t> </w:t>
      </w:r>
      <w:r>
        <w:rPr>
          <w:spacing w:val="2"/>
          <w:w w:val="105"/>
          <w:sz w:val="13"/>
        </w:rPr>
        <w:t>[2009]</w:t>
      </w:r>
      <w:r>
        <w:rPr>
          <w:spacing w:val="5"/>
          <w:w w:val="105"/>
          <w:sz w:val="13"/>
        </w:rPr>
        <w:t> </w:t>
      </w:r>
      <w:r>
        <w:rPr>
          <w:w w:val="105"/>
          <w:sz w:val="13"/>
        </w:rPr>
        <w:t>NSWSC</w:t>
      </w:r>
      <w:r>
        <w:rPr>
          <w:spacing w:val="5"/>
          <w:w w:val="105"/>
          <w:sz w:val="13"/>
        </w:rPr>
        <w:t> </w:t>
      </w:r>
      <w:r>
        <w:rPr>
          <w:spacing w:val="2"/>
          <w:w w:val="105"/>
          <w:sz w:val="13"/>
        </w:rPr>
        <w:t>680</w:t>
      </w:r>
      <w:r>
        <w:rPr>
          <w:spacing w:val="6"/>
          <w:w w:val="105"/>
          <w:sz w:val="13"/>
        </w:rPr>
        <w:t> </w:t>
      </w:r>
      <w:r>
        <w:rPr>
          <w:w w:val="105"/>
          <w:sz w:val="13"/>
        </w:rPr>
        <w:t>(20</w:t>
      </w:r>
      <w:r>
        <w:rPr>
          <w:spacing w:val="5"/>
          <w:w w:val="105"/>
          <w:sz w:val="13"/>
        </w:rPr>
        <w:t> </w:t>
      </w:r>
      <w:r>
        <w:rPr>
          <w:w w:val="105"/>
          <w:sz w:val="13"/>
        </w:rPr>
        <w:t>July</w:t>
      </w:r>
      <w:r>
        <w:rPr>
          <w:spacing w:val="5"/>
          <w:w w:val="105"/>
          <w:sz w:val="13"/>
        </w:rPr>
        <w:t> </w:t>
      </w:r>
      <w:r>
        <w:rPr>
          <w:spacing w:val="2"/>
          <w:w w:val="105"/>
          <w:sz w:val="13"/>
        </w:rPr>
        <w:t>2009)</w:t>
      </w:r>
      <w:r>
        <w:rPr>
          <w:spacing w:val="6"/>
          <w:w w:val="105"/>
          <w:sz w:val="13"/>
        </w:rPr>
        <w:t> </w:t>
      </w:r>
      <w:r>
        <w:rPr>
          <w:spacing w:val="2"/>
          <w:w w:val="105"/>
          <w:sz w:val="13"/>
        </w:rPr>
        <w:t>[23];</w:t>
      </w:r>
      <w:r>
        <w:rPr>
          <w:spacing w:val="5"/>
          <w:w w:val="105"/>
          <w:sz w:val="13"/>
        </w:rPr>
        <w:t> </w:t>
      </w:r>
      <w:r>
        <w:rPr>
          <w:i/>
          <w:w w:val="105"/>
          <w:sz w:val="13"/>
        </w:rPr>
        <w:t>Re</w:t>
      </w:r>
      <w:r>
        <w:rPr>
          <w:i/>
          <w:spacing w:val="4"/>
          <w:w w:val="105"/>
          <w:sz w:val="13"/>
        </w:rPr>
        <w:t> </w:t>
      </w:r>
      <w:r>
        <w:rPr>
          <w:i/>
          <w:w w:val="105"/>
          <w:sz w:val="13"/>
        </w:rPr>
        <w:t>Will</w:t>
      </w:r>
      <w:r>
        <w:rPr>
          <w:i/>
          <w:spacing w:val="5"/>
          <w:w w:val="105"/>
          <w:sz w:val="13"/>
        </w:rPr>
        <w:t> </w:t>
      </w:r>
      <w:r>
        <w:rPr>
          <w:i/>
          <w:w w:val="105"/>
          <w:sz w:val="13"/>
        </w:rPr>
        <w:t>of</w:t>
      </w:r>
      <w:r>
        <w:rPr>
          <w:i/>
          <w:spacing w:val="4"/>
          <w:w w:val="105"/>
          <w:sz w:val="13"/>
        </w:rPr>
        <w:t> </w:t>
      </w:r>
      <w:r>
        <w:rPr>
          <w:i/>
          <w:w w:val="105"/>
          <w:sz w:val="13"/>
        </w:rPr>
        <w:t>Jane</w:t>
      </w:r>
      <w:r>
        <w:rPr>
          <w:i/>
          <w:spacing w:val="5"/>
          <w:w w:val="105"/>
          <w:sz w:val="13"/>
        </w:rPr>
        <w:t> </w:t>
      </w:r>
      <w:r>
        <w:rPr>
          <w:spacing w:val="-3"/>
          <w:w w:val="105"/>
          <w:sz w:val="13"/>
        </w:rPr>
        <w:t>[2011]</w:t>
      </w:r>
      <w:r>
        <w:rPr>
          <w:spacing w:val="6"/>
          <w:w w:val="105"/>
          <w:sz w:val="13"/>
        </w:rPr>
        <w:t> </w:t>
      </w:r>
      <w:r>
        <w:rPr>
          <w:w w:val="105"/>
          <w:sz w:val="13"/>
        </w:rPr>
        <w:t>NSWSC</w:t>
      </w:r>
      <w:r>
        <w:rPr>
          <w:spacing w:val="5"/>
          <w:w w:val="105"/>
          <w:sz w:val="13"/>
        </w:rPr>
        <w:t> </w:t>
      </w:r>
      <w:r>
        <w:rPr>
          <w:w w:val="105"/>
          <w:sz w:val="13"/>
        </w:rPr>
        <w:t>624</w:t>
      </w:r>
      <w:r>
        <w:rPr>
          <w:spacing w:val="5"/>
          <w:w w:val="105"/>
          <w:sz w:val="13"/>
        </w:rPr>
        <w:t> </w:t>
      </w:r>
      <w:r>
        <w:rPr>
          <w:w w:val="105"/>
          <w:sz w:val="13"/>
        </w:rPr>
        <w:t>(20</w:t>
      </w:r>
      <w:r>
        <w:rPr>
          <w:spacing w:val="6"/>
          <w:w w:val="105"/>
          <w:sz w:val="13"/>
        </w:rPr>
        <w:t> </w:t>
      </w:r>
      <w:r>
        <w:rPr>
          <w:w w:val="105"/>
          <w:sz w:val="13"/>
        </w:rPr>
        <w:t>July</w:t>
      </w:r>
      <w:r>
        <w:rPr>
          <w:spacing w:val="5"/>
          <w:w w:val="105"/>
          <w:sz w:val="13"/>
        </w:rPr>
        <w:t> </w:t>
      </w:r>
      <w:r>
        <w:rPr>
          <w:spacing w:val="-4"/>
          <w:w w:val="105"/>
          <w:sz w:val="13"/>
        </w:rPr>
        <w:t>2011)</w:t>
      </w:r>
      <w:r>
        <w:rPr>
          <w:spacing w:val="5"/>
          <w:w w:val="105"/>
          <w:sz w:val="13"/>
        </w:rPr>
        <w:t> </w:t>
      </w:r>
      <w:r>
        <w:rPr>
          <w:spacing w:val="2"/>
          <w:w w:val="105"/>
          <w:sz w:val="13"/>
        </w:rPr>
        <w:t>[93].</w:t>
      </w:r>
    </w:p>
    <w:p>
      <w:pPr>
        <w:pStyle w:val="ListParagraph"/>
        <w:numPr>
          <w:ilvl w:val="0"/>
          <w:numId w:val="34"/>
        </w:numPr>
        <w:tabs>
          <w:tab w:pos="2381" w:val="left" w:leader="none"/>
          <w:tab w:pos="2382" w:val="left" w:leader="none"/>
        </w:tabs>
        <w:spacing w:line="240" w:lineRule="auto" w:before="2" w:after="0"/>
        <w:ind w:left="2381" w:right="0" w:hanging="793"/>
        <w:jc w:val="left"/>
        <w:rPr>
          <w:sz w:val="13"/>
        </w:rPr>
      </w:pPr>
      <w:r>
        <w:rPr>
          <w:i/>
          <w:w w:val="105"/>
          <w:sz w:val="13"/>
        </w:rPr>
        <w:t>Wills Act </w:t>
      </w:r>
      <w:r>
        <w:rPr>
          <w:i/>
          <w:spacing w:val="-3"/>
          <w:w w:val="105"/>
          <w:sz w:val="13"/>
        </w:rPr>
        <w:t>1997 </w:t>
      </w:r>
      <w:r>
        <w:rPr>
          <w:spacing w:val="2"/>
          <w:w w:val="105"/>
          <w:sz w:val="13"/>
        </w:rPr>
        <w:t>(Vic) </w:t>
      </w:r>
      <w:r>
        <w:rPr>
          <w:w w:val="105"/>
          <w:sz w:val="13"/>
        </w:rPr>
        <w:t>s</w:t>
      </w:r>
      <w:r>
        <w:rPr>
          <w:spacing w:val="21"/>
          <w:w w:val="105"/>
          <w:sz w:val="13"/>
        </w:rPr>
        <w:t> </w:t>
      </w:r>
      <w:r>
        <w:rPr>
          <w:spacing w:val="3"/>
          <w:w w:val="105"/>
          <w:sz w:val="13"/>
        </w:rPr>
        <w:t>29(a).</w:t>
      </w:r>
    </w:p>
    <w:p>
      <w:pPr>
        <w:spacing w:after="0" w:line="240" w:lineRule="auto"/>
        <w:jc w:val="left"/>
        <w:rPr>
          <w:sz w:val="13"/>
        </w:rPr>
        <w:sectPr>
          <w:pgSz w:w="11910" w:h="16840"/>
          <w:pgMar w:header="550" w:footer="0" w:top="1560" w:bottom="280" w:left="0" w:right="0"/>
        </w:sectPr>
      </w:pPr>
    </w:p>
    <w:p>
      <w:pPr>
        <w:pStyle w:val="BodyText"/>
        <w:rPr>
          <w:sz w:val="20"/>
        </w:rPr>
      </w:pPr>
    </w:p>
    <w:p>
      <w:pPr>
        <w:pStyle w:val="BodyText"/>
        <w:rPr>
          <w:sz w:val="19"/>
        </w:rPr>
      </w:pPr>
    </w:p>
    <w:p>
      <w:pPr>
        <w:pStyle w:val="ListParagraph"/>
        <w:numPr>
          <w:ilvl w:val="1"/>
          <w:numId w:val="22"/>
        </w:numPr>
        <w:tabs>
          <w:tab w:pos="2381" w:val="left" w:leader="none"/>
          <w:tab w:pos="2382" w:val="left" w:leader="none"/>
        </w:tabs>
        <w:spacing w:line="242" w:lineRule="auto" w:before="91" w:after="0"/>
        <w:ind w:left="2381" w:right="2157" w:hanging="794"/>
        <w:jc w:val="left"/>
        <w:rPr>
          <w:sz w:val="12"/>
        </w:rPr>
      </w:pPr>
      <w:r>
        <w:rPr>
          <w:w w:val="105"/>
          <w:sz w:val="21"/>
        </w:rPr>
        <w:t>In </w:t>
      </w:r>
      <w:r>
        <w:rPr>
          <w:spacing w:val="-3"/>
          <w:w w:val="105"/>
          <w:sz w:val="21"/>
        </w:rPr>
        <w:t>contrast, </w:t>
      </w:r>
      <w:r>
        <w:rPr>
          <w:w w:val="105"/>
          <w:sz w:val="21"/>
        </w:rPr>
        <w:t>the </w:t>
      </w:r>
      <w:r>
        <w:rPr>
          <w:spacing w:val="-3"/>
          <w:w w:val="105"/>
          <w:sz w:val="21"/>
        </w:rPr>
        <w:t>Commission </w:t>
      </w:r>
      <w:r>
        <w:rPr>
          <w:spacing w:val="-2"/>
          <w:w w:val="105"/>
          <w:sz w:val="21"/>
        </w:rPr>
        <w:t>has </w:t>
      </w:r>
      <w:r>
        <w:rPr>
          <w:spacing w:val="-3"/>
          <w:w w:val="105"/>
          <w:sz w:val="21"/>
        </w:rPr>
        <w:t>recently </w:t>
      </w:r>
      <w:r>
        <w:rPr>
          <w:w w:val="105"/>
          <w:sz w:val="21"/>
        </w:rPr>
        <w:t>recommended in </w:t>
      </w:r>
      <w:r>
        <w:rPr>
          <w:spacing w:val="-3"/>
          <w:w w:val="105"/>
          <w:sz w:val="21"/>
        </w:rPr>
        <w:t>relation to guardianship </w:t>
      </w:r>
      <w:r>
        <w:rPr>
          <w:w w:val="105"/>
          <w:sz w:val="21"/>
        </w:rPr>
        <w:t>laws </w:t>
      </w:r>
      <w:r>
        <w:rPr>
          <w:spacing w:val="-3"/>
          <w:w w:val="105"/>
          <w:sz w:val="21"/>
        </w:rPr>
        <w:t>that </w:t>
      </w:r>
      <w:r>
        <w:rPr>
          <w:w w:val="105"/>
          <w:sz w:val="21"/>
        </w:rPr>
        <w:t>those </w:t>
      </w:r>
      <w:r>
        <w:rPr>
          <w:spacing w:val="-3"/>
          <w:w w:val="105"/>
          <w:sz w:val="21"/>
        </w:rPr>
        <w:t>making </w:t>
      </w:r>
      <w:r>
        <w:rPr>
          <w:w w:val="105"/>
          <w:sz w:val="21"/>
        </w:rPr>
        <w:t>decisions on behalf of a person without capacity should use a </w:t>
      </w:r>
      <w:r>
        <w:rPr>
          <w:spacing w:val="-3"/>
          <w:w w:val="105"/>
          <w:sz w:val="21"/>
        </w:rPr>
        <w:t>‘substituted </w:t>
      </w:r>
      <w:r>
        <w:rPr>
          <w:w w:val="105"/>
          <w:sz w:val="21"/>
        </w:rPr>
        <w:t>judgment’ </w:t>
      </w:r>
      <w:r>
        <w:rPr>
          <w:spacing w:val="-3"/>
          <w:w w:val="105"/>
          <w:sz w:val="21"/>
        </w:rPr>
        <w:t>approach. </w:t>
      </w:r>
      <w:r>
        <w:rPr>
          <w:w w:val="105"/>
          <w:sz w:val="21"/>
        </w:rPr>
        <w:t>This </w:t>
      </w:r>
      <w:r>
        <w:rPr>
          <w:spacing w:val="-3"/>
          <w:w w:val="105"/>
          <w:sz w:val="21"/>
        </w:rPr>
        <w:t>includes, </w:t>
      </w:r>
      <w:r>
        <w:rPr>
          <w:w w:val="105"/>
          <w:sz w:val="21"/>
        </w:rPr>
        <w:t>among other </w:t>
      </w:r>
      <w:r>
        <w:rPr>
          <w:spacing w:val="-3"/>
          <w:w w:val="105"/>
          <w:sz w:val="21"/>
        </w:rPr>
        <w:t>things, </w:t>
      </w:r>
      <w:r>
        <w:rPr>
          <w:w w:val="105"/>
          <w:sz w:val="21"/>
        </w:rPr>
        <w:t>acting in </w:t>
      </w:r>
      <w:r>
        <w:rPr>
          <w:spacing w:val="-3"/>
          <w:w w:val="105"/>
          <w:sz w:val="21"/>
        </w:rPr>
        <w:t>consultation</w:t>
      </w:r>
      <w:r>
        <w:rPr>
          <w:spacing w:val="-8"/>
          <w:w w:val="105"/>
          <w:sz w:val="21"/>
        </w:rPr>
        <w:t> </w:t>
      </w:r>
      <w:r>
        <w:rPr>
          <w:w w:val="105"/>
          <w:sz w:val="21"/>
        </w:rPr>
        <w:t>with</w:t>
      </w:r>
      <w:r>
        <w:rPr>
          <w:spacing w:val="-8"/>
          <w:w w:val="105"/>
          <w:sz w:val="21"/>
        </w:rPr>
        <w:t> </w:t>
      </w:r>
      <w:r>
        <w:rPr>
          <w:w w:val="105"/>
          <w:sz w:val="21"/>
        </w:rPr>
        <w:t>the</w:t>
      </w:r>
      <w:r>
        <w:rPr>
          <w:spacing w:val="-8"/>
          <w:w w:val="105"/>
          <w:sz w:val="21"/>
        </w:rPr>
        <w:t> </w:t>
      </w:r>
      <w:r>
        <w:rPr>
          <w:w w:val="105"/>
          <w:sz w:val="21"/>
        </w:rPr>
        <w:t>person</w:t>
      </w:r>
      <w:r>
        <w:rPr>
          <w:spacing w:val="-8"/>
          <w:w w:val="105"/>
          <w:sz w:val="21"/>
        </w:rPr>
        <w:t> </w:t>
      </w:r>
      <w:r>
        <w:rPr>
          <w:w w:val="105"/>
          <w:sz w:val="21"/>
        </w:rPr>
        <w:t>and</w:t>
      </w:r>
      <w:r>
        <w:rPr>
          <w:spacing w:val="-7"/>
          <w:w w:val="105"/>
          <w:sz w:val="21"/>
        </w:rPr>
        <w:t> </w:t>
      </w:r>
      <w:r>
        <w:rPr>
          <w:spacing w:val="-3"/>
          <w:w w:val="105"/>
          <w:sz w:val="21"/>
        </w:rPr>
        <w:t>encouraging</w:t>
      </w:r>
      <w:r>
        <w:rPr>
          <w:spacing w:val="-8"/>
          <w:w w:val="105"/>
          <w:sz w:val="21"/>
        </w:rPr>
        <w:t> </w:t>
      </w:r>
      <w:r>
        <w:rPr>
          <w:w w:val="105"/>
          <w:sz w:val="21"/>
        </w:rPr>
        <w:t>the</w:t>
      </w:r>
      <w:r>
        <w:rPr>
          <w:spacing w:val="-8"/>
          <w:w w:val="105"/>
          <w:sz w:val="21"/>
        </w:rPr>
        <w:t> </w:t>
      </w:r>
      <w:r>
        <w:rPr>
          <w:w w:val="105"/>
          <w:sz w:val="21"/>
        </w:rPr>
        <w:t>person</w:t>
      </w:r>
      <w:r>
        <w:rPr>
          <w:spacing w:val="-8"/>
          <w:w w:val="105"/>
          <w:sz w:val="21"/>
        </w:rPr>
        <w:t> </w:t>
      </w:r>
      <w:r>
        <w:rPr>
          <w:spacing w:val="-3"/>
          <w:w w:val="105"/>
          <w:sz w:val="21"/>
        </w:rPr>
        <w:t>to</w:t>
      </w:r>
      <w:r>
        <w:rPr>
          <w:spacing w:val="-8"/>
          <w:w w:val="105"/>
          <w:sz w:val="21"/>
        </w:rPr>
        <w:t> </w:t>
      </w:r>
      <w:r>
        <w:rPr>
          <w:w w:val="105"/>
          <w:sz w:val="21"/>
        </w:rPr>
        <w:t>participate</w:t>
      </w:r>
      <w:r>
        <w:rPr>
          <w:spacing w:val="-7"/>
          <w:w w:val="105"/>
          <w:sz w:val="21"/>
        </w:rPr>
        <w:t> </w:t>
      </w:r>
      <w:r>
        <w:rPr>
          <w:w w:val="105"/>
          <w:sz w:val="21"/>
        </w:rPr>
        <w:t>in</w:t>
      </w:r>
      <w:r>
        <w:rPr>
          <w:spacing w:val="-8"/>
          <w:w w:val="105"/>
          <w:sz w:val="21"/>
        </w:rPr>
        <w:t> </w:t>
      </w:r>
      <w:r>
        <w:rPr>
          <w:w w:val="105"/>
          <w:sz w:val="21"/>
        </w:rPr>
        <w:t>decisions as </w:t>
      </w:r>
      <w:r>
        <w:rPr>
          <w:spacing w:val="-3"/>
          <w:w w:val="105"/>
          <w:sz w:val="21"/>
        </w:rPr>
        <w:t>far </w:t>
      </w:r>
      <w:r>
        <w:rPr>
          <w:w w:val="105"/>
          <w:sz w:val="21"/>
        </w:rPr>
        <w:t>as is </w:t>
      </w:r>
      <w:r>
        <w:rPr>
          <w:spacing w:val="-3"/>
          <w:w w:val="105"/>
          <w:sz w:val="21"/>
        </w:rPr>
        <w:t>reasonably</w:t>
      </w:r>
      <w:r>
        <w:rPr>
          <w:spacing w:val="26"/>
          <w:w w:val="105"/>
          <w:sz w:val="21"/>
        </w:rPr>
        <w:t> </w:t>
      </w:r>
      <w:r>
        <w:rPr>
          <w:w w:val="105"/>
          <w:sz w:val="21"/>
        </w:rPr>
        <w:t>possible.</w:t>
      </w:r>
      <w:r>
        <w:rPr>
          <w:w w:val="105"/>
          <w:position w:val="7"/>
          <w:sz w:val="12"/>
        </w:rPr>
        <w:t>20</w:t>
      </w:r>
    </w:p>
    <w:p>
      <w:pPr>
        <w:pStyle w:val="BodyText"/>
        <w:spacing w:before="3"/>
        <w:rPr>
          <w:sz w:val="22"/>
        </w:rPr>
      </w:pPr>
    </w:p>
    <w:p>
      <w:pPr>
        <w:pStyle w:val="Heading5"/>
        <w:spacing w:before="1"/>
      </w:pPr>
      <w:r>
        <w:rPr>
          <w:w w:val="110"/>
        </w:rPr>
        <w:t>Other jurisdictions</w:t>
      </w:r>
    </w:p>
    <w:p>
      <w:pPr>
        <w:pStyle w:val="ListParagraph"/>
        <w:numPr>
          <w:ilvl w:val="1"/>
          <w:numId w:val="22"/>
        </w:numPr>
        <w:tabs>
          <w:tab w:pos="2381" w:val="left" w:leader="none"/>
          <w:tab w:pos="2382" w:val="left" w:leader="none"/>
        </w:tabs>
        <w:spacing w:line="242" w:lineRule="auto" w:before="137" w:after="0"/>
        <w:ind w:left="2381" w:right="1768" w:hanging="794"/>
        <w:jc w:val="left"/>
        <w:rPr>
          <w:sz w:val="12"/>
        </w:rPr>
      </w:pPr>
      <w:r>
        <w:rPr>
          <w:spacing w:val="-3"/>
          <w:sz w:val="21"/>
        </w:rPr>
        <w:t>Comparable </w:t>
      </w:r>
      <w:r>
        <w:rPr>
          <w:sz w:val="21"/>
        </w:rPr>
        <w:t>statutory </w:t>
      </w:r>
      <w:r>
        <w:rPr>
          <w:spacing w:val="-3"/>
          <w:sz w:val="21"/>
        </w:rPr>
        <w:t>wills legislation </w:t>
      </w:r>
      <w:r>
        <w:rPr>
          <w:sz w:val="21"/>
        </w:rPr>
        <w:t>in New South </w:t>
      </w:r>
      <w:r>
        <w:rPr>
          <w:spacing w:val="-3"/>
          <w:sz w:val="21"/>
        </w:rPr>
        <w:t>Wales </w:t>
      </w:r>
      <w:r>
        <w:rPr>
          <w:sz w:val="21"/>
        </w:rPr>
        <w:t>and the </w:t>
      </w:r>
      <w:r>
        <w:rPr>
          <w:spacing w:val="-3"/>
          <w:sz w:val="21"/>
        </w:rPr>
        <w:t>Australian Capital Territory </w:t>
      </w:r>
      <w:r>
        <w:rPr>
          <w:sz w:val="21"/>
        </w:rPr>
        <w:t>specifies </w:t>
      </w:r>
      <w:r>
        <w:rPr>
          <w:spacing w:val="-3"/>
          <w:sz w:val="21"/>
        </w:rPr>
        <w:t>that </w:t>
      </w:r>
      <w:r>
        <w:rPr>
          <w:sz w:val="21"/>
        </w:rPr>
        <w:t>the court </w:t>
      </w:r>
      <w:r>
        <w:rPr>
          <w:spacing w:val="-3"/>
          <w:sz w:val="21"/>
        </w:rPr>
        <w:t>may </w:t>
      </w:r>
      <w:r>
        <w:rPr>
          <w:sz w:val="21"/>
        </w:rPr>
        <w:t>order </w:t>
      </w:r>
      <w:r>
        <w:rPr>
          <w:spacing w:val="-3"/>
          <w:sz w:val="21"/>
        </w:rPr>
        <w:t>separate </w:t>
      </w:r>
      <w:r>
        <w:rPr>
          <w:spacing w:val="-2"/>
          <w:sz w:val="21"/>
        </w:rPr>
        <w:t>representation </w:t>
      </w:r>
      <w:r>
        <w:rPr>
          <w:spacing w:val="-3"/>
          <w:sz w:val="21"/>
        </w:rPr>
        <w:t>for </w:t>
      </w:r>
      <w:r>
        <w:rPr>
          <w:sz w:val="21"/>
        </w:rPr>
        <w:t>the </w:t>
      </w:r>
      <w:r>
        <w:rPr>
          <w:spacing w:val="-3"/>
          <w:sz w:val="21"/>
        </w:rPr>
        <w:t>incapacitated </w:t>
      </w:r>
      <w:r>
        <w:rPr>
          <w:sz w:val="21"/>
        </w:rPr>
        <w:t>person.</w:t>
      </w:r>
      <w:r>
        <w:rPr>
          <w:position w:val="7"/>
          <w:sz w:val="12"/>
        </w:rPr>
        <w:t>21 </w:t>
      </w:r>
      <w:r>
        <w:rPr>
          <w:sz w:val="21"/>
        </w:rPr>
        <w:t>This </w:t>
      </w:r>
      <w:r>
        <w:rPr>
          <w:spacing w:val="-3"/>
          <w:sz w:val="21"/>
        </w:rPr>
        <w:t>may occur </w:t>
      </w:r>
      <w:r>
        <w:rPr>
          <w:sz w:val="21"/>
        </w:rPr>
        <w:t>where it appears </w:t>
      </w:r>
      <w:r>
        <w:rPr>
          <w:spacing w:val="-3"/>
          <w:sz w:val="21"/>
        </w:rPr>
        <w:t>that </w:t>
      </w:r>
      <w:r>
        <w:rPr>
          <w:sz w:val="21"/>
        </w:rPr>
        <w:t>the interests of the </w:t>
      </w:r>
      <w:r>
        <w:rPr>
          <w:spacing w:val="-3"/>
          <w:sz w:val="21"/>
        </w:rPr>
        <w:t>incapacitated </w:t>
      </w:r>
      <w:r>
        <w:rPr>
          <w:sz w:val="21"/>
        </w:rPr>
        <w:t>person  and the </w:t>
      </w:r>
      <w:r>
        <w:rPr>
          <w:spacing w:val="-3"/>
          <w:sz w:val="21"/>
        </w:rPr>
        <w:t>applicant are </w:t>
      </w:r>
      <w:r>
        <w:rPr>
          <w:sz w:val="21"/>
        </w:rPr>
        <w:t>in</w:t>
      </w:r>
      <w:r>
        <w:rPr>
          <w:spacing w:val="3"/>
          <w:sz w:val="21"/>
        </w:rPr>
        <w:t> </w:t>
      </w:r>
      <w:r>
        <w:rPr>
          <w:sz w:val="21"/>
        </w:rPr>
        <w:t>conflict.</w:t>
      </w:r>
      <w:r>
        <w:rPr>
          <w:position w:val="7"/>
          <w:sz w:val="12"/>
        </w:rPr>
        <w:t>22</w:t>
      </w:r>
    </w:p>
    <w:p>
      <w:pPr>
        <w:pStyle w:val="ListParagraph"/>
        <w:numPr>
          <w:ilvl w:val="1"/>
          <w:numId w:val="22"/>
        </w:numPr>
        <w:tabs>
          <w:tab w:pos="2381" w:val="left" w:leader="none"/>
          <w:tab w:pos="2382" w:val="left" w:leader="none"/>
        </w:tabs>
        <w:spacing w:line="242" w:lineRule="auto" w:before="118" w:after="0"/>
        <w:ind w:left="2381" w:right="2238" w:hanging="794"/>
        <w:jc w:val="left"/>
        <w:rPr>
          <w:sz w:val="12"/>
        </w:rPr>
      </w:pPr>
      <w:r>
        <w:rPr>
          <w:w w:val="105"/>
          <w:sz w:val="21"/>
        </w:rPr>
        <w:t>In</w:t>
      </w:r>
      <w:r>
        <w:rPr>
          <w:spacing w:val="-5"/>
          <w:w w:val="105"/>
          <w:sz w:val="21"/>
        </w:rPr>
        <w:t> </w:t>
      </w:r>
      <w:r>
        <w:rPr>
          <w:w w:val="105"/>
          <w:sz w:val="21"/>
        </w:rPr>
        <w:t>the</w:t>
      </w:r>
      <w:r>
        <w:rPr>
          <w:spacing w:val="-5"/>
          <w:w w:val="105"/>
          <w:sz w:val="21"/>
        </w:rPr>
        <w:t> </w:t>
      </w:r>
      <w:r>
        <w:rPr>
          <w:spacing w:val="-3"/>
          <w:w w:val="105"/>
          <w:sz w:val="21"/>
        </w:rPr>
        <w:t>United</w:t>
      </w:r>
      <w:r>
        <w:rPr>
          <w:spacing w:val="-4"/>
          <w:w w:val="105"/>
          <w:sz w:val="21"/>
        </w:rPr>
        <w:t> </w:t>
      </w:r>
      <w:r>
        <w:rPr>
          <w:w w:val="105"/>
          <w:sz w:val="21"/>
        </w:rPr>
        <w:t>Kingdom,</w:t>
      </w:r>
      <w:r>
        <w:rPr>
          <w:spacing w:val="-5"/>
          <w:w w:val="105"/>
          <w:sz w:val="21"/>
        </w:rPr>
        <w:t> </w:t>
      </w:r>
      <w:r>
        <w:rPr>
          <w:w w:val="105"/>
          <w:sz w:val="21"/>
        </w:rPr>
        <w:t>the</w:t>
      </w:r>
      <w:r>
        <w:rPr>
          <w:spacing w:val="-4"/>
          <w:w w:val="105"/>
          <w:sz w:val="21"/>
        </w:rPr>
        <w:t> </w:t>
      </w:r>
      <w:r>
        <w:rPr>
          <w:spacing w:val="-3"/>
          <w:w w:val="105"/>
          <w:sz w:val="21"/>
        </w:rPr>
        <w:t>incapacitated</w:t>
      </w:r>
      <w:r>
        <w:rPr>
          <w:spacing w:val="-5"/>
          <w:w w:val="105"/>
          <w:sz w:val="21"/>
        </w:rPr>
        <w:t> </w:t>
      </w:r>
      <w:r>
        <w:rPr>
          <w:w w:val="105"/>
          <w:sz w:val="21"/>
        </w:rPr>
        <w:t>person</w:t>
      </w:r>
      <w:r>
        <w:rPr>
          <w:spacing w:val="-4"/>
          <w:w w:val="105"/>
          <w:sz w:val="21"/>
        </w:rPr>
        <w:t> </w:t>
      </w:r>
      <w:r>
        <w:rPr>
          <w:w w:val="105"/>
          <w:sz w:val="21"/>
        </w:rPr>
        <w:t>must</w:t>
      </w:r>
      <w:r>
        <w:rPr>
          <w:spacing w:val="-5"/>
          <w:w w:val="105"/>
          <w:sz w:val="21"/>
        </w:rPr>
        <w:t> </w:t>
      </w:r>
      <w:r>
        <w:rPr>
          <w:w w:val="105"/>
          <w:sz w:val="21"/>
        </w:rPr>
        <w:t>be</w:t>
      </w:r>
      <w:r>
        <w:rPr>
          <w:spacing w:val="-4"/>
          <w:w w:val="105"/>
          <w:sz w:val="21"/>
        </w:rPr>
        <w:t> </w:t>
      </w:r>
      <w:r>
        <w:rPr>
          <w:w w:val="105"/>
          <w:sz w:val="21"/>
        </w:rPr>
        <w:t>given</w:t>
      </w:r>
      <w:r>
        <w:rPr>
          <w:spacing w:val="-5"/>
          <w:w w:val="105"/>
          <w:sz w:val="21"/>
        </w:rPr>
        <w:t> </w:t>
      </w:r>
      <w:r>
        <w:rPr>
          <w:w w:val="105"/>
          <w:sz w:val="21"/>
        </w:rPr>
        <w:t>the</w:t>
      </w:r>
      <w:r>
        <w:rPr>
          <w:spacing w:val="-4"/>
          <w:w w:val="105"/>
          <w:sz w:val="21"/>
        </w:rPr>
        <w:t> </w:t>
      </w:r>
      <w:r>
        <w:rPr>
          <w:w w:val="105"/>
          <w:sz w:val="21"/>
        </w:rPr>
        <w:t>opportunity</w:t>
      </w:r>
      <w:r>
        <w:rPr>
          <w:spacing w:val="-5"/>
          <w:w w:val="105"/>
          <w:sz w:val="21"/>
        </w:rPr>
        <w:t> </w:t>
      </w:r>
      <w:r>
        <w:rPr>
          <w:spacing w:val="-3"/>
          <w:w w:val="105"/>
          <w:sz w:val="21"/>
        </w:rPr>
        <w:t>to </w:t>
      </w:r>
      <w:r>
        <w:rPr>
          <w:w w:val="105"/>
          <w:sz w:val="21"/>
        </w:rPr>
        <w:t>participate in the decision if</w:t>
      </w:r>
      <w:r>
        <w:rPr>
          <w:spacing w:val="19"/>
          <w:w w:val="105"/>
          <w:sz w:val="21"/>
        </w:rPr>
        <w:t> </w:t>
      </w:r>
      <w:r>
        <w:rPr>
          <w:w w:val="105"/>
          <w:sz w:val="21"/>
        </w:rPr>
        <w:t>possible.</w:t>
      </w:r>
      <w:r>
        <w:rPr>
          <w:w w:val="105"/>
          <w:position w:val="7"/>
          <w:sz w:val="12"/>
        </w:rPr>
        <w:t>23</w:t>
      </w:r>
    </w:p>
    <w:p>
      <w:pPr>
        <w:pStyle w:val="BodyText"/>
        <w:rPr>
          <w:sz w:val="22"/>
        </w:rPr>
      </w:pPr>
    </w:p>
    <w:p>
      <w:pPr>
        <w:pStyle w:val="Heading5"/>
      </w:pPr>
      <w:r>
        <w:rPr>
          <w:w w:val="115"/>
        </w:rPr>
        <w:t>Views and conclusions</w:t>
      </w:r>
    </w:p>
    <w:p>
      <w:pPr>
        <w:pStyle w:val="ListParagraph"/>
        <w:numPr>
          <w:ilvl w:val="1"/>
          <w:numId w:val="22"/>
        </w:numPr>
        <w:tabs>
          <w:tab w:pos="2381" w:val="left" w:leader="none"/>
          <w:tab w:pos="2382" w:val="left" w:leader="none"/>
        </w:tabs>
        <w:spacing w:line="242" w:lineRule="auto" w:before="137" w:after="0"/>
        <w:ind w:left="2381" w:right="1590" w:hanging="794"/>
        <w:jc w:val="left"/>
        <w:rPr>
          <w:sz w:val="12"/>
        </w:rPr>
      </w:pPr>
      <w:r>
        <w:rPr>
          <w:spacing w:val="-3"/>
          <w:sz w:val="21"/>
        </w:rPr>
        <w:t>Submissions to </w:t>
      </w:r>
      <w:r>
        <w:rPr>
          <w:sz w:val="21"/>
        </w:rPr>
        <w:t>the </w:t>
      </w:r>
      <w:r>
        <w:rPr>
          <w:spacing w:val="-3"/>
          <w:sz w:val="21"/>
        </w:rPr>
        <w:t>Commission generally </w:t>
      </w:r>
      <w:r>
        <w:rPr>
          <w:sz w:val="21"/>
        </w:rPr>
        <w:t>agreed </w:t>
      </w:r>
      <w:r>
        <w:rPr>
          <w:spacing w:val="-3"/>
          <w:sz w:val="21"/>
        </w:rPr>
        <w:t>that </w:t>
      </w:r>
      <w:r>
        <w:rPr>
          <w:sz w:val="21"/>
        </w:rPr>
        <w:t>the </w:t>
      </w:r>
      <w:r>
        <w:rPr>
          <w:spacing w:val="-3"/>
          <w:sz w:val="21"/>
        </w:rPr>
        <w:t>Wills </w:t>
      </w:r>
      <w:r>
        <w:rPr>
          <w:sz w:val="21"/>
        </w:rPr>
        <w:t>Act should specify </w:t>
      </w:r>
      <w:r>
        <w:rPr>
          <w:spacing w:val="-3"/>
          <w:sz w:val="21"/>
        </w:rPr>
        <w:t>that </w:t>
      </w:r>
      <w:r>
        <w:rPr>
          <w:sz w:val="21"/>
        </w:rPr>
        <w:t>the </w:t>
      </w:r>
      <w:r>
        <w:rPr>
          <w:spacing w:val="-3"/>
          <w:sz w:val="21"/>
        </w:rPr>
        <w:t>Court may </w:t>
      </w:r>
      <w:r>
        <w:rPr>
          <w:sz w:val="21"/>
        </w:rPr>
        <w:t>order </w:t>
      </w:r>
      <w:r>
        <w:rPr>
          <w:spacing w:val="-3"/>
          <w:sz w:val="21"/>
        </w:rPr>
        <w:t>separate </w:t>
      </w:r>
      <w:r>
        <w:rPr>
          <w:spacing w:val="-2"/>
          <w:sz w:val="21"/>
        </w:rPr>
        <w:t>representation </w:t>
      </w:r>
      <w:r>
        <w:rPr>
          <w:spacing w:val="-3"/>
          <w:sz w:val="21"/>
        </w:rPr>
        <w:t>for  </w:t>
      </w:r>
      <w:r>
        <w:rPr>
          <w:sz w:val="21"/>
        </w:rPr>
        <w:t>the </w:t>
      </w:r>
      <w:r>
        <w:rPr>
          <w:spacing w:val="-3"/>
          <w:sz w:val="21"/>
        </w:rPr>
        <w:t>incapacitated</w:t>
      </w:r>
      <w:r>
        <w:rPr>
          <w:spacing w:val="41"/>
          <w:sz w:val="21"/>
        </w:rPr>
        <w:t> </w:t>
      </w:r>
      <w:r>
        <w:rPr>
          <w:sz w:val="21"/>
        </w:rPr>
        <w:t>person, as </w:t>
      </w:r>
      <w:r>
        <w:rPr>
          <w:spacing w:val="-3"/>
          <w:sz w:val="21"/>
        </w:rPr>
        <w:t>well  </w:t>
      </w:r>
      <w:r>
        <w:rPr>
          <w:sz w:val="21"/>
        </w:rPr>
        <w:t>as </w:t>
      </w:r>
      <w:r>
        <w:rPr>
          <w:spacing w:val="-3"/>
          <w:sz w:val="21"/>
        </w:rPr>
        <w:t>allowing </w:t>
      </w:r>
      <w:r>
        <w:rPr>
          <w:sz w:val="21"/>
        </w:rPr>
        <w:t>the person </w:t>
      </w:r>
      <w:r>
        <w:rPr>
          <w:spacing w:val="-3"/>
          <w:sz w:val="21"/>
        </w:rPr>
        <w:t>to </w:t>
      </w:r>
      <w:r>
        <w:rPr>
          <w:spacing w:val="-4"/>
          <w:sz w:val="21"/>
        </w:rPr>
        <w:t>appear.</w:t>
      </w:r>
      <w:r>
        <w:rPr>
          <w:spacing w:val="-4"/>
          <w:position w:val="7"/>
          <w:sz w:val="12"/>
        </w:rPr>
        <w:t>24 </w:t>
      </w:r>
      <w:r>
        <w:rPr>
          <w:sz w:val="21"/>
        </w:rPr>
        <w:t>It was </w:t>
      </w:r>
      <w:r>
        <w:rPr>
          <w:spacing w:val="-3"/>
          <w:sz w:val="21"/>
        </w:rPr>
        <w:t>noted that </w:t>
      </w:r>
      <w:r>
        <w:rPr>
          <w:sz w:val="21"/>
        </w:rPr>
        <w:t>this would support the rights of persons with </w:t>
      </w:r>
      <w:r>
        <w:rPr>
          <w:spacing w:val="-3"/>
          <w:sz w:val="21"/>
        </w:rPr>
        <w:t>disabilities to </w:t>
      </w:r>
      <w:r>
        <w:rPr>
          <w:sz w:val="21"/>
        </w:rPr>
        <w:t>participate in legal processes </w:t>
      </w:r>
      <w:r>
        <w:rPr>
          <w:position w:val="7"/>
          <w:sz w:val="12"/>
        </w:rPr>
        <w:t>25 </w:t>
      </w:r>
      <w:r>
        <w:rPr>
          <w:sz w:val="21"/>
        </w:rPr>
        <w:t>and </w:t>
      </w:r>
      <w:r>
        <w:rPr>
          <w:spacing w:val="-3"/>
          <w:sz w:val="21"/>
        </w:rPr>
        <w:t>enhance procedural</w:t>
      </w:r>
      <w:r>
        <w:rPr>
          <w:spacing w:val="-29"/>
          <w:sz w:val="21"/>
        </w:rPr>
        <w:t> </w:t>
      </w:r>
      <w:r>
        <w:rPr>
          <w:spacing w:val="-3"/>
          <w:sz w:val="21"/>
        </w:rPr>
        <w:t>fairness.</w:t>
      </w:r>
      <w:r>
        <w:rPr>
          <w:spacing w:val="-3"/>
          <w:position w:val="7"/>
          <w:sz w:val="12"/>
        </w:rPr>
        <w:t>26</w:t>
      </w:r>
    </w:p>
    <w:p>
      <w:pPr>
        <w:pStyle w:val="ListParagraph"/>
        <w:numPr>
          <w:ilvl w:val="1"/>
          <w:numId w:val="22"/>
        </w:numPr>
        <w:tabs>
          <w:tab w:pos="2380" w:val="left" w:leader="none"/>
          <w:tab w:pos="2381" w:val="left" w:leader="none"/>
        </w:tabs>
        <w:spacing w:line="242" w:lineRule="auto" w:before="118" w:after="0"/>
        <w:ind w:left="2380" w:right="1595" w:hanging="793"/>
        <w:jc w:val="left"/>
        <w:rPr>
          <w:sz w:val="12"/>
        </w:rPr>
      </w:pPr>
      <w:r>
        <w:rPr>
          <w:w w:val="105"/>
          <w:sz w:val="21"/>
        </w:rPr>
        <w:t>Other </w:t>
      </w:r>
      <w:r>
        <w:rPr>
          <w:spacing w:val="-3"/>
          <w:w w:val="105"/>
          <w:sz w:val="21"/>
        </w:rPr>
        <w:t>submissions conveyed </w:t>
      </w:r>
      <w:r>
        <w:rPr>
          <w:w w:val="105"/>
          <w:sz w:val="21"/>
        </w:rPr>
        <w:t>the view </w:t>
      </w:r>
      <w:r>
        <w:rPr>
          <w:spacing w:val="-3"/>
          <w:w w:val="105"/>
          <w:sz w:val="21"/>
        </w:rPr>
        <w:t>that </w:t>
      </w:r>
      <w:r>
        <w:rPr>
          <w:w w:val="105"/>
          <w:sz w:val="21"/>
        </w:rPr>
        <w:t>an </w:t>
      </w:r>
      <w:r>
        <w:rPr>
          <w:spacing w:val="-3"/>
          <w:w w:val="105"/>
          <w:sz w:val="21"/>
        </w:rPr>
        <w:t>additional </w:t>
      </w:r>
      <w:r>
        <w:rPr>
          <w:w w:val="105"/>
          <w:sz w:val="21"/>
        </w:rPr>
        <w:t>statutory </w:t>
      </w:r>
      <w:r>
        <w:rPr>
          <w:spacing w:val="-3"/>
          <w:w w:val="105"/>
          <w:sz w:val="21"/>
        </w:rPr>
        <w:t>provision allowing for separate </w:t>
      </w:r>
      <w:r>
        <w:rPr>
          <w:spacing w:val="-2"/>
          <w:w w:val="105"/>
          <w:sz w:val="21"/>
        </w:rPr>
        <w:t>representation </w:t>
      </w:r>
      <w:r>
        <w:rPr>
          <w:w w:val="105"/>
          <w:sz w:val="21"/>
        </w:rPr>
        <w:t>would </w:t>
      </w:r>
      <w:r>
        <w:rPr>
          <w:spacing w:val="-2"/>
          <w:w w:val="105"/>
          <w:sz w:val="21"/>
        </w:rPr>
        <w:t>not </w:t>
      </w:r>
      <w:r>
        <w:rPr>
          <w:w w:val="105"/>
          <w:sz w:val="21"/>
        </w:rPr>
        <w:t>offer </w:t>
      </w:r>
      <w:r>
        <w:rPr>
          <w:spacing w:val="-3"/>
          <w:w w:val="105"/>
          <w:sz w:val="21"/>
        </w:rPr>
        <w:t>any </w:t>
      </w:r>
      <w:r>
        <w:rPr>
          <w:w w:val="105"/>
          <w:sz w:val="21"/>
        </w:rPr>
        <w:t>advantage over the </w:t>
      </w:r>
      <w:r>
        <w:rPr>
          <w:spacing w:val="-3"/>
          <w:w w:val="105"/>
          <w:sz w:val="21"/>
        </w:rPr>
        <w:t>current </w:t>
      </w:r>
      <w:r>
        <w:rPr>
          <w:spacing w:val="-5"/>
          <w:w w:val="105"/>
          <w:sz w:val="21"/>
        </w:rPr>
        <w:t>law, </w:t>
      </w:r>
      <w:r>
        <w:rPr>
          <w:w w:val="105"/>
          <w:position w:val="7"/>
          <w:sz w:val="12"/>
        </w:rPr>
        <w:t>27 </w:t>
      </w:r>
      <w:r>
        <w:rPr>
          <w:w w:val="105"/>
          <w:sz w:val="21"/>
        </w:rPr>
        <w:t>and </w:t>
      </w:r>
      <w:r>
        <w:rPr>
          <w:spacing w:val="-3"/>
          <w:w w:val="105"/>
          <w:sz w:val="21"/>
        </w:rPr>
        <w:t>that </w:t>
      </w:r>
      <w:r>
        <w:rPr>
          <w:w w:val="105"/>
          <w:sz w:val="21"/>
        </w:rPr>
        <w:t>a </w:t>
      </w:r>
      <w:r>
        <w:rPr>
          <w:spacing w:val="-3"/>
          <w:w w:val="105"/>
          <w:sz w:val="21"/>
        </w:rPr>
        <w:t>requirement</w:t>
      </w:r>
      <w:r>
        <w:rPr>
          <w:spacing w:val="-7"/>
          <w:w w:val="105"/>
          <w:sz w:val="21"/>
        </w:rPr>
        <w:t> </w:t>
      </w:r>
      <w:r>
        <w:rPr>
          <w:spacing w:val="-3"/>
          <w:w w:val="105"/>
          <w:sz w:val="21"/>
        </w:rPr>
        <w:t>for</w:t>
      </w:r>
      <w:r>
        <w:rPr>
          <w:spacing w:val="-7"/>
          <w:w w:val="105"/>
          <w:sz w:val="21"/>
        </w:rPr>
        <w:t> </w:t>
      </w:r>
      <w:r>
        <w:rPr>
          <w:spacing w:val="-3"/>
          <w:w w:val="105"/>
          <w:sz w:val="21"/>
        </w:rPr>
        <w:t>separate</w:t>
      </w:r>
      <w:r>
        <w:rPr>
          <w:spacing w:val="-7"/>
          <w:w w:val="105"/>
          <w:sz w:val="21"/>
        </w:rPr>
        <w:t> </w:t>
      </w:r>
      <w:r>
        <w:rPr>
          <w:spacing w:val="-2"/>
          <w:w w:val="105"/>
          <w:sz w:val="21"/>
        </w:rPr>
        <w:t>representation</w:t>
      </w:r>
      <w:r>
        <w:rPr>
          <w:spacing w:val="-7"/>
          <w:w w:val="105"/>
          <w:sz w:val="21"/>
        </w:rPr>
        <w:t> </w:t>
      </w:r>
      <w:r>
        <w:rPr>
          <w:spacing w:val="-3"/>
          <w:w w:val="105"/>
          <w:sz w:val="21"/>
        </w:rPr>
        <w:t>may</w:t>
      </w:r>
      <w:r>
        <w:rPr>
          <w:spacing w:val="-6"/>
          <w:w w:val="105"/>
          <w:sz w:val="21"/>
        </w:rPr>
        <w:t> </w:t>
      </w:r>
      <w:r>
        <w:rPr>
          <w:w w:val="105"/>
          <w:sz w:val="21"/>
        </w:rPr>
        <w:t>lead</w:t>
      </w:r>
      <w:r>
        <w:rPr>
          <w:spacing w:val="-7"/>
          <w:w w:val="105"/>
          <w:sz w:val="21"/>
        </w:rPr>
        <w:t> </w:t>
      </w:r>
      <w:r>
        <w:rPr>
          <w:spacing w:val="-3"/>
          <w:w w:val="105"/>
          <w:sz w:val="21"/>
        </w:rPr>
        <w:t>to</w:t>
      </w:r>
      <w:r>
        <w:rPr>
          <w:spacing w:val="-7"/>
          <w:w w:val="105"/>
          <w:sz w:val="21"/>
        </w:rPr>
        <w:t> </w:t>
      </w:r>
      <w:r>
        <w:rPr>
          <w:spacing w:val="-3"/>
          <w:w w:val="105"/>
          <w:sz w:val="21"/>
        </w:rPr>
        <w:t>increased</w:t>
      </w:r>
      <w:r>
        <w:rPr>
          <w:spacing w:val="-7"/>
          <w:w w:val="105"/>
          <w:sz w:val="21"/>
        </w:rPr>
        <w:t> </w:t>
      </w:r>
      <w:r>
        <w:rPr>
          <w:w w:val="105"/>
          <w:sz w:val="21"/>
        </w:rPr>
        <w:t>costs</w:t>
      </w:r>
      <w:r>
        <w:rPr>
          <w:spacing w:val="-7"/>
          <w:w w:val="105"/>
          <w:sz w:val="21"/>
        </w:rPr>
        <w:t> </w:t>
      </w:r>
      <w:r>
        <w:rPr>
          <w:spacing w:val="-3"/>
          <w:w w:val="105"/>
          <w:sz w:val="21"/>
        </w:rPr>
        <w:t>for</w:t>
      </w:r>
      <w:r>
        <w:rPr>
          <w:spacing w:val="-6"/>
          <w:w w:val="105"/>
          <w:sz w:val="21"/>
        </w:rPr>
        <w:t> </w:t>
      </w:r>
      <w:r>
        <w:rPr>
          <w:w w:val="105"/>
          <w:sz w:val="21"/>
        </w:rPr>
        <w:t>no</w:t>
      </w:r>
      <w:r>
        <w:rPr>
          <w:spacing w:val="-7"/>
          <w:w w:val="105"/>
          <w:sz w:val="21"/>
        </w:rPr>
        <w:t> </w:t>
      </w:r>
      <w:r>
        <w:rPr>
          <w:w w:val="105"/>
          <w:sz w:val="21"/>
        </w:rPr>
        <w:t>good</w:t>
      </w:r>
      <w:r>
        <w:rPr>
          <w:spacing w:val="-7"/>
          <w:w w:val="105"/>
          <w:sz w:val="21"/>
        </w:rPr>
        <w:t> </w:t>
      </w:r>
      <w:r>
        <w:rPr>
          <w:w w:val="105"/>
          <w:sz w:val="21"/>
        </w:rPr>
        <w:t>reason.</w:t>
      </w:r>
      <w:r>
        <w:rPr>
          <w:w w:val="105"/>
          <w:position w:val="7"/>
          <w:sz w:val="12"/>
        </w:rPr>
        <w:t>28</w:t>
      </w:r>
      <w:r>
        <w:rPr>
          <w:w w:val="105"/>
          <w:sz w:val="12"/>
        </w:rPr>
        <w:t> </w:t>
      </w:r>
      <w:r>
        <w:rPr>
          <w:w w:val="105"/>
          <w:sz w:val="21"/>
        </w:rPr>
        <w:t>It was suggested </w:t>
      </w:r>
      <w:r>
        <w:rPr>
          <w:spacing w:val="-3"/>
          <w:w w:val="105"/>
          <w:sz w:val="21"/>
        </w:rPr>
        <w:t>that </w:t>
      </w:r>
      <w:r>
        <w:rPr>
          <w:w w:val="105"/>
          <w:sz w:val="21"/>
        </w:rPr>
        <w:t>the views of an </w:t>
      </w:r>
      <w:r>
        <w:rPr>
          <w:spacing w:val="-3"/>
          <w:w w:val="105"/>
          <w:sz w:val="21"/>
        </w:rPr>
        <w:t>incapacitated </w:t>
      </w:r>
      <w:r>
        <w:rPr>
          <w:w w:val="105"/>
          <w:sz w:val="21"/>
        </w:rPr>
        <w:t>person who is able </w:t>
      </w:r>
      <w:r>
        <w:rPr>
          <w:spacing w:val="-3"/>
          <w:w w:val="105"/>
          <w:sz w:val="21"/>
        </w:rPr>
        <w:t>to </w:t>
      </w:r>
      <w:r>
        <w:rPr>
          <w:w w:val="105"/>
          <w:sz w:val="21"/>
        </w:rPr>
        <w:t>express them </w:t>
      </w:r>
      <w:r>
        <w:rPr>
          <w:spacing w:val="-3"/>
          <w:w w:val="105"/>
          <w:sz w:val="21"/>
        </w:rPr>
        <w:t>could </w:t>
      </w:r>
      <w:r>
        <w:rPr>
          <w:w w:val="105"/>
          <w:sz w:val="21"/>
        </w:rPr>
        <w:t>be </w:t>
      </w:r>
      <w:r>
        <w:rPr>
          <w:spacing w:val="-3"/>
          <w:w w:val="105"/>
          <w:sz w:val="21"/>
        </w:rPr>
        <w:t>presented to </w:t>
      </w:r>
      <w:r>
        <w:rPr>
          <w:w w:val="105"/>
          <w:sz w:val="21"/>
        </w:rPr>
        <w:t>the </w:t>
      </w:r>
      <w:r>
        <w:rPr>
          <w:spacing w:val="-3"/>
          <w:w w:val="105"/>
          <w:sz w:val="21"/>
        </w:rPr>
        <w:t>Court </w:t>
      </w:r>
      <w:r>
        <w:rPr>
          <w:w w:val="105"/>
          <w:sz w:val="21"/>
        </w:rPr>
        <w:t>by</w:t>
      </w:r>
      <w:r>
        <w:rPr>
          <w:spacing w:val="47"/>
          <w:w w:val="105"/>
          <w:sz w:val="21"/>
        </w:rPr>
        <w:t> </w:t>
      </w:r>
      <w:r>
        <w:rPr>
          <w:w w:val="105"/>
          <w:sz w:val="21"/>
        </w:rPr>
        <w:t>affidavit.</w:t>
      </w:r>
      <w:r>
        <w:rPr>
          <w:w w:val="105"/>
          <w:position w:val="7"/>
          <w:sz w:val="12"/>
        </w:rPr>
        <w:t>29</w:t>
      </w:r>
    </w:p>
    <w:p>
      <w:pPr>
        <w:pStyle w:val="ListParagraph"/>
        <w:numPr>
          <w:ilvl w:val="1"/>
          <w:numId w:val="22"/>
        </w:numPr>
        <w:tabs>
          <w:tab w:pos="2380" w:val="left" w:leader="none"/>
          <w:tab w:pos="2381" w:val="left" w:leader="none"/>
        </w:tabs>
        <w:spacing w:line="242" w:lineRule="auto" w:before="119" w:after="0"/>
        <w:ind w:left="2381" w:right="1608" w:hanging="794"/>
        <w:jc w:val="left"/>
        <w:rPr>
          <w:sz w:val="21"/>
        </w:rPr>
      </w:pPr>
      <w:r>
        <w:rPr>
          <w:sz w:val="21"/>
        </w:rPr>
        <w:t>In the </w:t>
      </w:r>
      <w:r>
        <w:rPr>
          <w:spacing w:val="-4"/>
          <w:sz w:val="21"/>
        </w:rPr>
        <w:t>Commission’s view, </w:t>
      </w:r>
      <w:r>
        <w:rPr>
          <w:sz w:val="21"/>
        </w:rPr>
        <w:t>the </w:t>
      </w:r>
      <w:r>
        <w:rPr>
          <w:spacing w:val="-3"/>
          <w:sz w:val="21"/>
        </w:rPr>
        <w:t>Wills </w:t>
      </w:r>
      <w:r>
        <w:rPr>
          <w:sz w:val="21"/>
        </w:rPr>
        <w:t>Act should provide </w:t>
      </w:r>
      <w:r>
        <w:rPr>
          <w:spacing w:val="-3"/>
          <w:sz w:val="21"/>
        </w:rPr>
        <w:t>that </w:t>
      </w:r>
      <w:r>
        <w:rPr>
          <w:sz w:val="21"/>
        </w:rPr>
        <w:t>the </w:t>
      </w:r>
      <w:r>
        <w:rPr>
          <w:spacing w:val="-3"/>
          <w:sz w:val="21"/>
        </w:rPr>
        <w:t>Court may </w:t>
      </w:r>
      <w:r>
        <w:rPr>
          <w:sz w:val="21"/>
        </w:rPr>
        <w:t>order </w:t>
      </w:r>
      <w:r>
        <w:rPr>
          <w:spacing w:val="-3"/>
          <w:sz w:val="21"/>
        </w:rPr>
        <w:t>that </w:t>
      </w:r>
      <w:r>
        <w:rPr>
          <w:sz w:val="21"/>
        </w:rPr>
        <w:t>the </w:t>
      </w:r>
      <w:r>
        <w:rPr>
          <w:spacing w:val="-3"/>
          <w:sz w:val="21"/>
        </w:rPr>
        <w:t>incapacitated </w:t>
      </w:r>
      <w:r>
        <w:rPr>
          <w:sz w:val="21"/>
        </w:rPr>
        <w:t>person be </w:t>
      </w:r>
      <w:r>
        <w:rPr>
          <w:spacing w:val="-3"/>
          <w:sz w:val="21"/>
        </w:rPr>
        <w:t>separately represented. </w:t>
      </w:r>
      <w:r>
        <w:rPr>
          <w:sz w:val="21"/>
        </w:rPr>
        <w:t>While the </w:t>
      </w:r>
      <w:r>
        <w:rPr>
          <w:spacing w:val="-3"/>
          <w:sz w:val="21"/>
        </w:rPr>
        <w:t>Court already </w:t>
      </w:r>
      <w:r>
        <w:rPr>
          <w:spacing w:val="-2"/>
          <w:sz w:val="21"/>
        </w:rPr>
        <w:t>has </w:t>
      </w:r>
      <w:r>
        <w:rPr>
          <w:sz w:val="21"/>
        </w:rPr>
        <w:t>the power </w:t>
      </w:r>
      <w:r>
        <w:rPr>
          <w:spacing w:val="-3"/>
          <w:sz w:val="21"/>
        </w:rPr>
        <w:t>to </w:t>
      </w:r>
      <w:r>
        <w:rPr>
          <w:sz w:val="21"/>
        </w:rPr>
        <w:t>order this under its </w:t>
      </w:r>
      <w:r>
        <w:rPr>
          <w:spacing w:val="-3"/>
          <w:sz w:val="21"/>
        </w:rPr>
        <w:t>inherent jurisdiction, </w:t>
      </w:r>
      <w:r>
        <w:rPr>
          <w:sz w:val="21"/>
        </w:rPr>
        <w:t>explicit </w:t>
      </w:r>
      <w:r>
        <w:rPr>
          <w:spacing w:val="-3"/>
          <w:sz w:val="21"/>
        </w:rPr>
        <w:t>recognition </w:t>
      </w:r>
      <w:r>
        <w:rPr>
          <w:sz w:val="21"/>
        </w:rPr>
        <w:t>in the </w:t>
      </w:r>
      <w:r>
        <w:rPr>
          <w:spacing w:val="-3"/>
          <w:sz w:val="21"/>
        </w:rPr>
        <w:t>Wills </w:t>
      </w:r>
      <w:r>
        <w:rPr>
          <w:sz w:val="21"/>
        </w:rPr>
        <w:t>Act </w:t>
      </w:r>
      <w:r>
        <w:rPr>
          <w:spacing w:val="-3"/>
          <w:sz w:val="21"/>
        </w:rPr>
        <w:t>may </w:t>
      </w:r>
      <w:r>
        <w:rPr>
          <w:spacing w:val="-4"/>
          <w:sz w:val="21"/>
        </w:rPr>
        <w:t>make  </w:t>
      </w:r>
      <w:r>
        <w:rPr>
          <w:sz w:val="21"/>
        </w:rPr>
        <w:t>it more </w:t>
      </w:r>
      <w:r>
        <w:rPr>
          <w:spacing w:val="-4"/>
          <w:sz w:val="21"/>
        </w:rPr>
        <w:t>likely </w:t>
      </w:r>
      <w:r>
        <w:rPr>
          <w:spacing w:val="-3"/>
          <w:sz w:val="21"/>
        </w:rPr>
        <w:t>that </w:t>
      </w:r>
      <w:r>
        <w:rPr>
          <w:sz w:val="21"/>
        </w:rPr>
        <w:t>the </w:t>
      </w:r>
      <w:r>
        <w:rPr>
          <w:spacing w:val="-3"/>
          <w:sz w:val="21"/>
        </w:rPr>
        <w:t>incapacitated person’s </w:t>
      </w:r>
      <w:r>
        <w:rPr>
          <w:sz w:val="21"/>
        </w:rPr>
        <w:t>views </w:t>
      </w:r>
      <w:r>
        <w:rPr>
          <w:spacing w:val="-3"/>
          <w:sz w:val="21"/>
        </w:rPr>
        <w:t>are taken </w:t>
      </w:r>
      <w:r>
        <w:rPr>
          <w:spacing w:val="-4"/>
          <w:sz w:val="21"/>
        </w:rPr>
        <w:t>into </w:t>
      </w:r>
      <w:r>
        <w:rPr>
          <w:spacing w:val="-3"/>
          <w:sz w:val="21"/>
        </w:rPr>
        <w:t>account. </w:t>
      </w:r>
      <w:r>
        <w:rPr>
          <w:sz w:val="21"/>
        </w:rPr>
        <w:t>While the person subject </w:t>
      </w:r>
      <w:r>
        <w:rPr>
          <w:spacing w:val="-3"/>
          <w:sz w:val="21"/>
        </w:rPr>
        <w:t>to </w:t>
      </w:r>
      <w:r>
        <w:rPr>
          <w:sz w:val="21"/>
        </w:rPr>
        <w:t>the application does </w:t>
      </w:r>
      <w:r>
        <w:rPr>
          <w:spacing w:val="-2"/>
          <w:sz w:val="21"/>
        </w:rPr>
        <w:t>not </w:t>
      </w:r>
      <w:r>
        <w:rPr>
          <w:spacing w:val="-3"/>
          <w:sz w:val="21"/>
        </w:rPr>
        <w:t>have  </w:t>
      </w:r>
      <w:r>
        <w:rPr>
          <w:sz w:val="21"/>
        </w:rPr>
        <w:t>will-making </w:t>
      </w:r>
      <w:r>
        <w:rPr>
          <w:spacing w:val="-3"/>
          <w:sz w:val="21"/>
        </w:rPr>
        <w:t>capacity,</w:t>
      </w:r>
      <w:r>
        <w:rPr>
          <w:spacing w:val="41"/>
          <w:sz w:val="21"/>
        </w:rPr>
        <w:t> </w:t>
      </w:r>
      <w:r>
        <w:rPr>
          <w:sz w:val="21"/>
        </w:rPr>
        <w:t>the person </w:t>
      </w:r>
      <w:r>
        <w:rPr>
          <w:spacing w:val="-3"/>
          <w:sz w:val="21"/>
        </w:rPr>
        <w:t>may  </w:t>
      </w:r>
      <w:r>
        <w:rPr>
          <w:sz w:val="21"/>
        </w:rPr>
        <w:t>still be able </w:t>
      </w:r>
      <w:r>
        <w:rPr>
          <w:spacing w:val="-3"/>
          <w:sz w:val="21"/>
        </w:rPr>
        <w:t>to</w:t>
      </w:r>
      <w:r>
        <w:rPr>
          <w:spacing w:val="13"/>
          <w:sz w:val="21"/>
        </w:rPr>
        <w:t> </w:t>
      </w:r>
      <w:r>
        <w:rPr>
          <w:sz w:val="21"/>
        </w:rPr>
        <w:t>express</w:t>
      </w:r>
      <w:r>
        <w:rPr>
          <w:spacing w:val="14"/>
          <w:sz w:val="21"/>
        </w:rPr>
        <w:t> </w:t>
      </w:r>
      <w:r>
        <w:rPr>
          <w:sz w:val="21"/>
        </w:rPr>
        <w:t>some</w:t>
      </w:r>
      <w:r>
        <w:rPr>
          <w:spacing w:val="14"/>
          <w:sz w:val="21"/>
        </w:rPr>
        <w:t> </w:t>
      </w:r>
      <w:r>
        <w:rPr>
          <w:sz w:val="21"/>
        </w:rPr>
        <w:t>views</w:t>
      </w:r>
      <w:r>
        <w:rPr>
          <w:spacing w:val="13"/>
          <w:sz w:val="21"/>
        </w:rPr>
        <w:t> </w:t>
      </w:r>
      <w:r>
        <w:rPr>
          <w:sz w:val="21"/>
        </w:rPr>
        <w:t>or</w:t>
      </w:r>
      <w:r>
        <w:rPr>
          <w:spacing w:val="14"/>
          <w:sz w:val="21"/>
        </w:rPr>
        <w:t> </w:t>
      </w:r>
      <w:r>
        <w:rPr>
          <w:spacing w:val="-3"/>
          <w:sz w:val="21"/>
        </w:rPr>
        <w:t>preferences</w:t>
      </w:r>
      <w:r>
        <w:rPr>
          <w:spacing w:val="14"/>
          <w:sz w:val="21"/>
        </w:rPr>
        <w:t> </w:t>
      </w:r>
      <w:r>
        <w:rPr>
          <w:spacing w:val="-3"/>
          <w:sz w:val="21"/>
        </w:rPr>
        <w:t>that</w:t>
      </w:r>
      <w:r>
        <w:rPr>
          <w:spacing w:val="13"/>
          <w:sz w:val="21"/>
        </w:rPr>
        <w:t> </w:t>
      </w:r>
      <w:r>
        <w:rPr>
          <w:sz w:val="21"/>
        </w:rPr>
        <w:t>the</w:t>
      </w:r>
      <w:r>
        <w:rPr>
          <w:spacing w:val="14"/>
          <w:sz w:val="21"/>
        </w:rPr>
        <w:t> </w:t>
      </w:r>
      <w:r>
        <w:rPr>
          <w:spacing w:val="-3"/>
          <w:sz w:val="21"/>
        </w:rPr>
        <w:t>Court</w:t>
      </w:r>
      <w:r>
        <w:rPr>
          <w:spacing w:val="14"/>
          <w:sz w:val="21"/>
        </w:rPr>
        <w:t> </w:t>
      </w:r>
      <w:r>
        <w:rPr>
          <w:spacing w:val="-3"/>
          <w:sz w:val="21"/>
        </w:rPr>
        <w:t>could</w:t>
      </w:r>
      <w:r>
        <w:rPr>
          <w:spacing w:val="14"/>
          <w:sz w:val="21"/>
        </w:rPr>
        <w:t> </w:t>
      </w:r>
      <w:r>
        <w:rPr>
          <w:spacing w:val="-3"/>
          <w:sz w:val="21"/>
        </w:rPr>
        <w:t>take</w:t>
      </w:r>
      <w:r>
        <w:rPr>
          <w:spacing w:val="13"/>
          <w:sz w:val="21"/>
        </w:rPr>
        <w:t> </w:t>
      </w:r>
      <w:r>
        <w:rPr>
          <w:spacing w:val="-4"/>
          <w:sz w:val="21"/>
        </w:rPr>
        <w:t>into</w:t>
      </w:r>
      <w:r>
        <w:rPr>
          <w:spacing w:val="14"/>
          <w:sz w:val="21"/>
        </w:rPr>
        <w:t> </w:t>
      </w:r>
      <w:r>
        <w:rPr>
          <w:spacing w:val="-3"/>
          <w:sz w:val="21"/>
        </w:rPr>
        <w:t>account.</w:t>
      </w:r>
    </w:p>
    <w:p>
      <w:pPr>
        <w:pStyle w:val="ListParagraph"/>
        <w:numPr>
          <w:ilvl w:val="1"/>
          <w:numId w:val="22"/>
        </w:numPr>
        <w:tabs>
          <w:tab w:pos="2381" w:val="left" w:leader="none"/>
          <w:tab w:pos="2382" w:val="left" w:leader="none"/>
        </w:tabs>
        <w:spacing w:line="242" w:lineRule="auto" w:before="120" w:after="0"/>
        <w:ind w:left="2381" w:right="1744" w:hanging="794"/>
        <w:jc w:val="left"/>
        <w:rPr>
          <w:sz w:val="21"/>
        </w:rPr>
      </w:pPr>
      <w:r>
        <w:rPr>
          <w:spacing w:val="-5"/>
          <w:sz w:val="21"/>
        </w:rPr>
        <w:t>The </w:t>
      </w:r>
      <w:r>
        <w:rPr>
          <w:spacing w:val="-8"/>
          <w:sz w:val="21"/>
        </w:rPr>
        <w:t>Commission </w:t>
      </w:r>
      <w:r>
        <w:rPr>
          <w:spacing w:val="-7"/>
          <w:sz w:val="21"/>
        </w:rPr>
        <w:t>notes that ordering </w:t>
      </w:r>
      <w:r>
        <w:rPr>
          <w:spacing w:val="-8"/>
          <w:sz w:val="21"/>
        </w:rPr>
        <w:t>separate representation </w:t>
      </w:r>
      <w:r>
        <w:rPr>
          <w:spacing w:val="-7"/>
          <w:sz w:val="21"/>
        </w:rPr>
        <w:t>would </w:t>
      </w:r>
      <w:r>
        <w:rPr>
          <w:spacing w:val="-3"/>
          <w:sz w:val="21"/>
        </w:rPr>
        <w:t>be </w:t>
      </w:r>
      <w:r>
        <w:rPr>
          <w:spacing w:val="-5"/>
          <w:sz w:val="21"/>
        </w:rPr>
        <w:t>in </w:t>
      </w:r>
      <w:r>
        <w:rPr>
          <w:spacing w:val="-6"/>
          <w:sz w:val="21"/>
        </w:rPr>
        <w:t>the </w:t>
      </w:r>
      <w:r>
        <w:rPr>
          <w:spacing w:val="-8"/>
          <w:sz w:val="21"/>
        </w:rPr>
        <w:t>Court’s </w:t>
      </w:r>
      <w:r>
        <w:rPr>
          <w:spacing w:val="-7"/>
          <w:sz w:val="21"/>
        </w:rPr>
        <w:t>discretion </w:t>
      </w:r>
      <w:r>
        <w:rPr>
          <w:spacing w:val="-6"/>
          <w:sz w:val="21"/>
        </w:rPr>
        <w:t>and</w:t>
      </w:r>
      <w:r>
        <w:rPr>
          <w:spacing w:val="3"/>
          <w:sz w:val="21"/>
        </w:rPr>
        <w:t> </w:t>
      </w:r>
      <w:r>
        <w:rPr>
          <w:spacing w:val="-6"/>
          <w:sz w:val="21"/>
        </w:rPr>
        <w:t>often</w:t>
      </w:r>
      <w:r>
        <w:rPr>
          <w:spacing w:val="4"/>
          <w:sz w:val="21"/>
        </w:rPr>
        <w:t> </w:t>
      </w:r>
      <w:r>
        <w:rPr>
          <w:spacing w:val="-6"/>
          <w:sz w:val="21"/>
        </w:rPr>
        <w:t>may</w:t>
      </w:r>
      <w:r>
        <w:rPr>
          <w:spacing w:val="4"/>
          <w:sz w:val="21"/>
        </w:rPr>
        <w:t> </w:t>
      </w:r>
      <w:r>
        <w:rPr>
          <w:spacing w:val="-6"/>
          <w:sz w:val="21"/>
        </w:rPr>
        <w:t>not</w:t>
      </w:r>
      <w:r>
        <w:rPr>
          <w:spacing w:val="4"/>
          <w:sz w:val="21"/>
        </w:rPr>
        <w:t> </w:t>
      </w:r>
      <w:r>
        <w:rPr>
          <w:spacing w:val="-3"/>
          <w:sz w:val="21"/>
        </w:rPr>
        <w:t>be</w:t>
      </w:r>
      <w:r>
        <w:rPr>
          <w:spacing w:val="4"/>
          <w:sz w:val="21"/>
        </w:rPr>
        <w:t> </w:t>
      </w:r>
      <w:r>
        <w:rPr>
          <w:spacing w:val="-7"/>
          <w:sz w:val="21"/>
        </w:rPr>
        <w:t>necessary,</w:t>
      </w:r>
      <w:r>
        <w:rPr>
          <w:spacing w:val="4"/>
          <w:sz w:val="21"/>
        </w:rPr>
        <w:t> </w:t>
      </w:r>
      <w:r>
        <w:rPr>
          <w:spacing w:val="-7"/>
          <w:sz w:val="21"/>
        </w:rPr>
        <w:t>particularly</w:t>
      </w:r>
      <w:r>
        <w:rPr>
          <w:spacing w:val="4"/>
          <w:sz w:val="21"/>
        </w:rPr>
        <w:t> </w:t>
      </w:r>
      <w:r>
        <w:rPr>
          <w:spacing w:val="-7"/>
          <w:sz w:val="21"/>
        </w:rPr>
        <w:t>where</w:t>
      </w:r>
      <w:r>
        <w:rPr>
          <w:spacing w:val="4"/>
          <w:sz w:val="21"/>
        </w:rPr>
        <w:t> </w:t>
      </w:r>
      <w:r>
        <w:rPr>
          <w:spacing w:val="-6"/>
          <w:sz w:val="21"/>
        </w:rPr>
        <w:t>the</w:t>
      </w:r>
      <w:r>
        <w:rPr>
          <w:spacing w:val="4"/>
          <w:sz w:val="21"/>
        </w:rPr>
        <w:t> </w:t>
      </w:r>
      <w:r>
        <w:rPr>
          <w:spacing w:val="-6"/>
          <w:sz w:val="21"/>
        </w:rPr>
        <w:t>person</w:t>
      </w:r>
      <w:r>
        <w:rPr>
          <w:spacing w:val="3"/>
          <w:sz w:val="21"/>
        </w:rPr>
        <w:t> </w:t>
      </w:r>
      <w:r>
        <w:rPr>
          <w:spacing w:val="-5"/>
          <w:sz w:val="21"/>
        </w:rPr>
        <w:t>is</w:t>
      </w:r>
      <w:r>
        <w:rPr>
          <w:spacing w:val="4"/>
          <w:sz w:val="21"/>
        </w:rPr>
        <w:t> </w:t>
      </w:r>
      <w:r>
        <w:rPr>
          <w:spacing w:val="-6"/>
          <w:sz w:val="21"/>
        </w:rPr>
        <w:t>not</w:t>
      </w:r>
      <w:r>
        <w:rPr>
          <w:spacing w:val="4"/>
          <w:sz w:val="21"/>
        </w:rPr>
        <w:t> </w:t>
      </w:r>
      <w:r>
        <w:rPr>
          <w:spacing w:val="-7"/>
          <w:sz w:val="21"/>
        </w:rPr>
        <w:t>capable</w:t>
      </w:r>
      <w:r>
        <w:rPr>
          <w:spacing w:val="4"/>
          <w:sz w:val="21"/>
        </w:rPr>
        <w:t> </w:t>
      </w:r>
      <w:r>
        <w:rPr>
          <w:spacing w:val="-5"/>
          <w:sz w:val="21"/>
        </w:rPr>
        <w:t>of</w:t>
      </w:r>
      <w:r>
        <w:rPr>
          <w:spacing w:val="4"/>
          <w:sz w:val="21"/>
        </w:rPr>
        <w:t> </w:t>
      </w:r>
      <w:r>
        <w:rPr>
          <w:spacing w:val="-7"/>
          <w:sz w:val="21"/>
        </w:rPr>
        <w:t>expressing</w:t>
      </w:r>
    </w:p>
    <w:p>
      <w:pPr>
        <w:pStyle w:val="BodyText"/>
        <w:spacing w:line="242" w:lineRule="auto" w:before="2"/>
        <w:ind w:left="2381" w:right="1826"/>
      </w:pPr>
      <w:r>
        <w:rPr>
          <w:spacing w:val="-7"/>
        </w:rPr>
        <w:t>any </w:t>
      </w:r>
      <w:r>
        <w:rPr>
          <w:spacing w:val="-6"/>
        </w:rPr>
        <w:t>views </w:t>
      </w:r>
      <w:r>
        <w:rPr>
          <w:spacing w:val="-4"/>
        </w:rPr>
        <w:t>or </w:t>
      </w:r>
      <w:r>
        <w:rPr>
          <w:spacing w:val="-8"/>
        </w:rPr>
        <w:t>preferences. </w:t>
      </w:r>
      <w:r>
        <w:rPr>
          <w:spacing w:val="-9"/>
        </w:rPr>
        <w:t>However, </w:t>
      </w:r>
      <w:r>
        <w:rPr>
          <w:spacing w:val="-7"/>
        </w:rPr>
        <w:t>even </w:t>
      </w:r>
      <w:r>
        <w:rPr>
          <w:spacing w:val="-5"/>
        </w:rPr>
        <w:t>in </w:t>
      </w:r>
      <w:r>
        <w:rPr>
          <w:spacing w:val="-7"/>
        </w:rPr>
        <w:t>this </w:t>
      </w:r>
      <w:r>
        <w:rPr>
          <w:spacing w:val="-8"/>
        </w:rPr>
        <w:t>situation, representation </w:t>
      </w:r>
      <w:r>
        <w:rPr>
          <w:spacing w:val="-5"/>
        </w:rPr>
        <w:t>by one of </w:t>
      </w:r>
      <w:r>
        <w:rPr>
          <w:spacing w:val="-6"/>
        </w:rPr>
        <w:t>the </w:t>
      </w:r>
      <w:r>
        <w:rPr>
          <w:spacing w:val="-7"/>
        </w:rPr>
        <w:t>people entitled </w:t>
      </w:r>
      <w:r>
        <w:rPr>
          <w:spacing w:val="-5"/>
        </w:rPr>
        <w:t>to </w:t>
      </w:r>
      <w:r>
        <w:rPr>
          <w:spacing w:val="-7"/>
        </w:rPr>
        <w:t>appear </w:t>
      </w:r>
      <w:r>
        <w:rPr>
          <w:spacing w:val="-5"/>
        </w:rPr>
        <w:t>(an </w:t>
      </w:r>
      <w:r>
        <w:rPr>
          <w:spacing w:val="-8"/>
        </w:rPr>
        <w:t>attorney, guardian </w:t>
      </w:r>
      <w:r>
        <w:rPr>
          <w:spacing w:val="-4"/>
        </w:rPr>
        <w:t>or </w:t>
      </w:r>
      <w:r>
        <w:rPr>
          <w:spacing w:val="-8"/>
        </w:rPr>
        <w:t>administrator </w:t>
      </w:r>
      <w:r>
        <w:rPr>
          <w:spacing w:val="-4"/>
        </w:rPr>
        <w:t>or </w:t>
      </w:r>
      <w:r>
        <w:rPr>
          <w:spacing w:val="-6"/>
        </w:rPr>
        <w:t>legal </w:t>
      </w:r>
      <w:r>
        <w:rPr>
          <w:spacing w:val="-7"/>
        </w:rPr>
        <w:t>practitioner)</w:t>
      </w:r>
      <w:r>
        <w:rPr>
          <w:spacing w:val="-7"/>
          <w:position w:val="7"/>
          <w:sz w:val="12"/>
        </w:rPr>
        <w:t>30 </w:t>
      </w:r>
      <w:r>
        <w:rPr>
          <w:spacing w:val="-6"/>
        </w:rPr>
        <w:t>may </w:t>
      </w:r>
      <w:r>
        <w:rPr>
          <w:spacing w:val="-3"/>
        </w:rPr>
        <w:t>be </w:t>
      </w:r>
      <w:r>
        <w:rPr>
          <w:spacing w:val="-8"/>
        </w:rPr>
        <w:t>desirable  </w:t>
      </w:r>
      <w:r>
        <w:rPr>
          <w:spacing w:val="-5"/>
        </w:rPr>
        <w:t>to</w:t>
      </w:r>
      <w:r>
        <w:rPr>
          <w:spacing w:val="2"/>
        </w:rPr>
        <w:t> </w:t>
      </w:r>
      <w:r>
        <w:rPr>
          <w:spacing w:val="-7"/>
        </w:rPr>
        <w:t>defend</w:t>
      </w:r>
      <w:r>
        <w:rPr>
          <w:spacing w:val="3"/>
        </w:rPr>
        <w:t> </w:t>
      </w:r>
      <w:r>
        <w:rPr>
          <w:spacing w:val="-6"/>
        </w:rPr>
        <w:t>the</w:t>
      </w:r>
      <w:r>
        <w:rPr>
          <w:spacing w:val="2"/>
        </w:rPr>
        <w:t> </w:t>
      </w:r>
      <w:r>
        <w:rPr>
          <w:spacing w:val="-8"/>
        </w:rPr>
        <w:t>person’s</w:t>
      </w:r>
      <w:r>
        <w:rPr>
          <w:spacing w:val="3"/>
        </w:rPr>
        <w:t> </w:t>
      </w:r>
      <w:r>
        <w:rPr>
          <w:spacing w:val="-7"/>
        </w:rPr>
        <w:t>interests—for</w:t>
      </w:r>
      <w:r>
        <w:rPr>
          <w:spacing w:val="2"/>
        </w:rPr>
        <w:t> </w:t>
      </w:r>
      <w:r>
        <w:rPr>
          <w:spacing w:val="-8"/>
        </w:rPr>
        <w:t>example,</w:t>
      </w:r>
      <w:r>
        <w:rPr>
          <w:spacing w:val="3"/>
        </w:rPr>
        <w:t> </w:t>
      </w:r>
      <w:r>
        <w:rPr>
          <w:spacing w:val="-5"/>
        </w:rPr>
        <w:t>in</w:t>
      </w:r>
      <w:r>
        <w:rPr>
          <w:spacing w:val="2"/>
        </w:rPr>
        <w:t> </w:t>
      </w:r>
      <w:r>
        <w:rPr>
          <w:spacing w:val="-8"/>
        </w:rPr>
        <w:t>relation</w:t>
      </w:r>
      <w:r>
        <w:rPr>
          <w:spacing w:val="3"/>
        </w:rPr>
        <w:t> </w:t>
      </w:r>
      <w:r>
        <w:rPr>
          <w:spacing w:val="-5"/>
        </w:rPr>
        <w:t>to</w:t>
      </w:r>
      <w:r>
        <w:rPr>
          <w:spacing w:val="2"/>
        </w:rPr>
        <w:t> </w:t>
      </w:r>
      <w:r>
        <w:rPr>
          <w:spacing w:val="-6"/>
        </w:rPr>
        <w:t>the</w:t>
      </w:r>
      <w:r>
        <w:rPr>
          <w:spacing w:val="3"/>
        </w:rPr>
        <w:t> </w:t>
      </w:r>
      <w:r>
        <w:rPr>
          <w:spacing w:val="-7"/>
        </w:rPr>
        <w:t>burden</w:t>
      </w:r>
      <w:r>
        <w:rPr>
          <w:spacing w:val="2"/>
        </w:rPr>
        <w:t> </w:t>
      </w:r>
      <w:r>
        <w:rPr>
          <w:spacing w:val="-5"/>
        </w:rPr>
        <w:t>of</w:t>
      </w:r>
      <w:r>
        <w:rPr>
          <w:spacing w:val="3"/>
        </w:rPr>
        <w:t> </w:t>
      </w:r>
      <w:r>
        <w:rPr/>
        <w:t>a</w:t>
      </w:r>
      <w:r>
        <w:rPr>
          <w:spacing w:val="2"/>
        </w:rPr>
        <w:t> </w:t>
      </w:r>
      <w:r>
        <w:rPr>
          <w:spacing w:val="-6"/>
        </w:rPr>
        <w:t>costs</w:t>
      </w:r>
      <w:r>
        <w:rPr>
          <w:spacing w:val="3"/>
        </w:rPr>
        <w:t> </w:t>
      </w:r>
      <w:r>
        <w:rPr>
          <w:spacing w:val="-9"/>
        </w:rPr>
        <w:t>order.</w:t>
      </w:r>
    </w:p>
    <w:p>
      <w:pPr>
        <w:pStyle w:val="BodyText"/>
        <w:spacing w:before="2"/>
        <w:rPr>
          <w:sz w:val="8"/>
        </w:rPr>
      </w:pPr>
      <w:r>
        <w:rPr/>
        <w:pict>
          <v:group style="position:absolute;margin-left:62.362099pt;margin-top:6.980289pt;width:479.1pt;height:96.55pt;mso-position-horizontal-relative:page;mso-position-vertical-relative:paragraph;z-index:1016;mso-wrap-distance-left:0;mso-wrap-distance-right:0" coordorigin="1247,140" coordsize="9582,1931">
            <v:rect style="position:absolute;left:1587;top:139;width:8731;height:1931" filled="true" fillcolor="#fdebea" stroked="false">
              <v:fill type="solid"/>
            </v:rect>
            <v:line style="position:absolute" from="1247,890" to="10828,890" stroked="true" strokeweight="2.5pt" strokecolor="#ffffff">
              <v:stroke dashstyle="solid"/>
            </v:line>
            <v:shape style="position:absolute;left:2381;top:1127;width:7270;height:769" type="#_x0000_t202" filled="false" stroked="false">
              <v:textbox inset="0,0,0,0">
                <w:txbxContent>
                  <w:p>
                    <w:pPr>
                      <w:spacing w:line="242" w:lineRule="auto" w:before="0"/>
                      <w:ind w:left="0" w:right="18" w:firstLine="0"/>
                      <w:jc w:val="both"/>
                      <w:rPr>
                        <w:sz w:val="21"/>
                      </w:rPr>
                    </w:pPr>
                    <w:r>
                      <w:rPr>
                        <w:w w:val="110"/>
                        <w:sz w:val="21"/>
                      </w:rPr>
                      <w:t>The</w:t>
                    </w:r>
                    <w:r>
                      <w:rPr>
                        <w:spacing w:val="-3"/>
                        <w:w w:val="110"/>
                        <w:sz w:val="21"/>
                      </w:rPr>
                      <w:t> </w:t>
                    </w:r>
                    <w:r>
                      <w:rPr>
                        <w:rFonts w:ascii="Lucida Sans"/>
                        <w:i/>
                        <w:w w:val="110"/>
                        <w:sz w:val="21"/>
                      </w:rPr>
                      <w:t>Wills</w:t>
                    </w:r>
                    <w:r>
                      <w:rPr>
                        <w:rFonts w:ascii="Lucida Sans"/>
                        <w:i/>
                        <w:spacing w:val="-23"/>
                        <w:w w:val="110"/>
                        <w:sz w:val="21"/>
                      </w:rPr>
                      <w:t> </w:t>
                    </w:r>
                    <w:r>
                      <w:rPr>
                        <w:rFonts w:ascii="Lucida Sans"/>
                        <w:i/>
                        <w:w w:val="110"/>
                        <w:sz w:val="21"/>
                      </w:rPr>
                      <w:t>Act</w:t>
                    </w:r>
                    <w:r>
                      <w:rPr>
                        <w:rFonts w:ascii="Lucida Sans"/>
                        <w:i/>
                        <w:spacing w:val="-24"/>
                        <w:w w:val="110"/>
                        <w:sz w:val="21"/>
                      </w:rPr>
                      <w:t> </w:t>
                    </w:r>
                    <w:r>
                      <w:rPr>
                        <w:rFonts w:ascii="Lucida Sans"/>
                        <w:i/>
                        <w:spacing w:val="-5"/>
                        <w:w w:val="110"/>
                        <w:sz w:val="21"/>
                      </w:rPr>
                      <w:t>1997</w:t>
                    </w:r>
                    <w:r>
                      <w:rPr>
                        <w:rFonts w:ascii="Lucida Sans"/>
                        <w:i/>
                        <w:spacing w:val="-23"/>
                        <w:w w:val="110"/>
                        <w:sz w:val="21"/>
                      </w:rPr>
                      <w:t> </w:t>
                    </w:r>
                    <w:r>
                      <w:rPr>
                        <w:w w:val="110"/>
                        <w:sz w:val="21"/>
                      </w:rPr>
                      <w:t>(Vic)</w:t>
                    </w:r>
                    <w:r>
                      <w:rPr>
                        <w:spacing w:val="-3"/>
                        <w:w w:val="110"/>
                        <w:sz w:val="21"/>
                      </w:rPr>
                      <w:t> </w:t>
                    </w:r>
                    <w:r>
                      <w:rPr>
                        <w:w w:val="110"/>
                        <w:sz w:val="21"/>
                      </w:rPr>
                      <w:t>should</w:t>
                    </w:r>
                    <w:r>
                      <w:rPr>
                        <w:spacing w:val="-2"/>
                        <w:w w:val="110"/>
                        <w:sz w:val="21"/>
                      </w:rPr>
                      <w:t> </w:t>
                    </w:r>
                    <w:r>
                      <w:rPr>
                        <w:w w:val="110"/>
                        <w:sz w:val="21"/>
                      </w:rPr>
                      <w:t>expressly</w:t>
                    </w:r>
                    <w:r>
                      <w:rPr>
                        <w:spacing w:val="-3"/>
                        <w:w w:val="110"/>
                        <w:sz w:val="21"/>
                      </w:rPr>
                      <w:t> </w:t>
                    </w:r>
                    <w:r>
                      <w:rPr>
                        <w:w w:val="110"/>
                        <w:sz w:val="21"/>
                      </w:rPr>
                      <w:t>provide</w:t>
                    </w:r>
                    <w:r>
                      <w:rPr>
                        <w:spacing w:val="-2"/>
                        <w:w w:val="110"/>
                        <w:sz w:val="21"/>
                      </w:rPr>
                      <w:t> </w:t>
                    </w:r>
                    <w:r>
                      <w:rPr>
                        <w:w w:val="110"/>
                        <w:sz w:val="21"/>
                      </w:rPr>
                      <w:t>that</w:t>
                    </w:r>
                    <w:r>
                      <w:rPr>
                        <w:spacing w:val="-3"/>
                        <w:w w:val="110"/>
                        <w:sz w:val="21"/>
                      </w:rPr>
                      <w:t> </w:t>
                    </w:r>
                    <w:r>
                      <w:rPr>
                        <w:w w:val="110"/>
                        <w:sz w:val="21"/>
                      </w:rPr>
                      <w:t>the</w:t>
                    </w:r>
                    <w:r>
                      <w:rPr>
                        <w:spacing w:val="-2"/>
                        <w:w w:val="110"/>
                        <w:sz w:val="21"/>
                      </w:rPr>
                      <w:t> </w:t>
                    </w:r>
                    <w:r>
                      <w:rPr>
                        <w:w w:val="110"/>
                        <w:sz w:val="21"/>
                      </w:rPr>
                      <w:t>Court</w:t>
                    </w:r>
                    <w:r>
                      <w:rPr>
                        <w:spacing w:val="-3"/>
                        <w:w w:val="110"/>
                        <w:sz w:val="21"/>
                      </w:rPr>
                      <w:t> </w:t>
                    </w:r>
                    <w:r>
                      <w:rPr>
                        <w:w w:val="110"/>
                        <w:sz w:val="21"/>
                      </w:rPr>
                      <w:t>may</w:t>
                    </w:r>
                    <w:r>
                      <w:rPr>
                        <w:spacing w:val="-3"/>
                        <w:w w:val="110"/>
                        <w:sz w:val="21"/>
                      </w:rPr>
                      <w:t> </w:t>
                    </w:r>
                    <w:r>
                      <w:rPr>
                        <w:w w:val="110"/>
                        <w:sz w:val="21"/>
                      </w:rPr>
                      <w:t>order separate representation for the person on whose behalf an application for    a statutory </w:t>
                    </w:r>
                    <w:r>
                      <w:rPr>
                        <w:spacing w:val="-3"/>
                        <w:w w:val="110"/>
                        <w:sz w:val="21"/>
                      </w:rPr>
                      <w:t>will </w:t>
                    </w:r>
                    <w:r>
                      <w:rPr>
                        <w:w w:val="110"/>
                        <w:sz w:val="21"/>
                      </w:rPr>
                      <w:t>is</w:t>
                    </w:r>
                    <w:r>
                      <w:rPr>
                        <w:spacing w:val="18"/>
                        <w:w w:val="110"/>
                        <w:sz w:val="21"/>
                      </w:rPr>
                      <w:t> </w:t>
                    </w:r>
                    <w:r>
                      <w:rPr>
                        <w:w w:val="110"/>
                        <w:sz w:val="21"/>
                      </w:rPr>
                      <w:t>made.</w:t>
                    </w:r>
                  </w:p>
                </w:txbxContent>
              </v:textbox>
              <w10:wrap type="none"/>
            </v:shape>
            <v:shape style="position:absolute;left:1814;top:1127;width:137;height:249" type="#_x0000_t202" filled="false" stroked="false">
              <v:textbox inset="0,0,0,0">
                <w:txbxContent>
                  <w:p>
                    <w:pPr>
                      <w:spacing w:line="249" w:lineRule="exact" w:before="0"/>
                      <w:ind w:left="0" w:right="0" w:firstLine="0"/>
                      <w:jc w:val="left"/>
                      <w:rPr>
                        <w:sz w:val="21"/>
                      </w:rPr>
                    </w:pPr>
                    <w:r>
                      <w:rPr>
                        <w:w w:val="109"/>
                        <w:sz w:val="21"/>
                      </w:rPr>
                      <w:t>3</w:t>
                    </w:r>
                  </w:p>
                </w:txbxContent>
              </v:textbox>
              <w10:wrap type="none"/>
            </v:shape>
            <v:shape style="position:absolute;left:1587;top:139;width:8731;height:726" type="#_x0000_t202" filled="true" fillcolor="#fdebea" stroked="false">
              <v:textbox inset="0,0,0,0">
                <w:txbxContent>
                  <w:p>
                    <w:pPr>
                      <w:spacing w:before="166"/>
                      <w:ind w:left="226" w:right="0" w:firstLine="0"/>
                      <w:jc w:val="left"/>
                      <w:rPr>
                        <w:b/>
                        <w:sz w:val="32"/>
                      </w:rPr>
                    </w:pPr>
                    <w:r>
                      <w:rPr>
                        <w:b/>
                        <w:color w:val="EC5A4F"/>
                        <w:w w:val="110"/>
                        <w:sz w:val="32"/>
                      </w:rPr>
                      <w:t>Recommendation</w:t>
                    </w:r>
                  </w:p>
                </w:txbxContent>
              </v:textbox>
              <v:fill type="solid"/>
              <w10:wrap type="none"/>
            </v:shape>
            <w10:wrap type="topAndBottom"/>
          </v:group>
        </w:pict>
      </w:r>
      <w:r>
        <w:rPr/>
        <w:pict>
          <v:line style="position:absolute;mso-position-horizontal-relative:page;mso-position-vertical-relative:paragraph;z-index:1040;mso-wrap-distance-left:0;mso-wrap-distance-right:0" from="79.370003pt,111.260887pt" to="515.905003pt,111.260887pt" stroked="true" strokeweight="1pt" strokecolor="#f9ceca">
            <v:stroke dashstyle="solid"/>
            <w10:wrap type="topAndBottom"/>
          </v:line>
        </w:pict>
      </w:r>
    </w:p>
    <w:p>
      <w:pPr>
        <w:pStyle w:val="BodyText"/>
        <w:spacing w:before="3"/>
        <w:rPr>
          <w:sz w:val="6"/>
        </w:rPr>
      </w:pPr>
    </w:p>
    <w:p>
      <w:pPr>
        <w:pStyle w:val="ListParagraph"/>
        <w:numPr>
          <w:ilvl w:val="0"/>
          <w:numId w:val="34"/>
        </w:numPr>
        <w:tabs>
          <w:tab w:pos="2380" w:val="left" w:leader="none"/>
          <w:tab w:pos="2382" w:val="left" w:leader="none"/>
        </w:tabs>
        <w:spacing w:line="240" w:lineRule="auto" w:before="117" w:after="0"/>
        <w:ind w:left="2381" w:right="0" w:hanging="794"/>
        <w:jc w:val="left"/>
        <w:rPr>
          <w:sz w:val="13"/>
        </w:rPr>
      </w:pPr>
      <w:r>
        <w:rPr>
          <w:w w:val="105"/>
          <w:sz w:val="13"/>
        </w:rPr>
        <w:t>Victorian</w:t>
      </w:r>
      <w:r>
        <w:rPr>
          <w:spacing w:val="4"/>
          <w:w w:val="105"/>
          <w:sz w:val="13"/>
        </w:rPr>
        <w:t> </w:t>
      </w:r>
      <w:r>
        <w:rPr>
          <w:w w:val="105"/>
          <w:sz w:val="13"/>
        </w:rPr>
        <w:t>Law</w:t>
      </w:r>
      <w:r>
        <w:rPr>
          <w:spacing w:val="5"/>
          <w:w w:val="105"/>
          <w:sz w:val="13"/>
        </w:rPr>
        <w:t> </w:t>
      </w:r>
      <w:r>
        <w:rPr>
          <w:w w:val="105"/>
          <w:sz w:val="13"/>
        </w:rPr>
        <w:t>Reform</w:t>
      </w:r>
      <w:r>
        <w:rPr>
          <w:spacing w:val="5"/>
          <w:w w:val="105"/>
          <w:sz w:val="13"/>
        </w:rPr>
        <w:t> </w:t>
      </w:r>
      <w:r>
        <w:rPr>
          <w:w w:val="105"/>
          <w:sz w:val="13"/>
        </w:rPr>
        <w:t>Commission,</w:t>
      </w:r>
      <w:r>
        <w:rPr>
          <w:spacing w:val="5"/>
          <w:w w:val="105"/>
          <w:sz w:val="13"/>
        </w:rPr>
        <w:t> </w:t>
      </w:r>
      <w:r>
        <w:rPr>
          <w:i/>
          <w:w w:val="105"/>
          <w:sz w:val="13"/>
        </w:rPr>
        <w:t>Guardianship</w:t>
      </w:r>
      <w:r>
        <w:rPr>
          <w:w w:val="105"/>
          <w:sz w:val="13"/>
        </w:rPr>
        <w:t>,</w:t>
      </w:r>
      <w:r>
        <w:rPr>
          <w:spacing w:val="4"/>
          <w:w w:val="105"/>
          <w:sz w:val="13"/>
        </w:rPr>
        <w:t> </w:t>
      </w:r>
      <w:r>
        <w:rPr>
          <w:w w:val="105"/>
          <w:sz w:val="13"/>
        </w:rPr>
        <w:t>Final</w:t>
      </w:r>
      <w:r>
        <w:rPr>
          <w:spacing w:val="5"/>
          <w:w w:val="105"/>
          <w:sz w:val="13"/>
        </w:rPr>
        <w:t> </w:t>
      </w:r>
      <w:r>
        <w:rPr>
          <w:w w:val="105"/>
          <w:sz w:val="13"/>
        </w:rPr>
        <w:t>Report</w:t>
      </w:r>
      <w:r>
        <w:rPr>
          <w:spacing w:val="5"/>
          <w:w w:val="105"/>
          <w:sz w:val="13"/>
        </w:rPr>
        <w:t> </w:t>
      </w:r>
      <w:r>
        <w:rPr>
          <w:w w:val="105"/>
          <w:sz w:val="13"/>
        </w:rPr>
        <w:t>No</w:t>
      </w:r>
      <w:r>
        <w:rPr>
          <w:spacing w:val="5"/>
          <w:w w:val="105"/>
          <w:sz w:val="13"/>
        </w:rPr>
        <w:t> </w:t>
      </w:r>
      <w:r>
        <w:rPr>
          <w:w w:val="105"/>
          <w:sz w:val="13"/>
        </w:rPr>
        <w:t>24</w:t>
      </w:r>
      <w:r>
        <w:rPr>
          <w:spacing w:val="5"/>
          <w:w w:val="105"/>
          <w:sz w:val="13"/>
        </w:rPr>
        <w:t> </w:t>
      </w:r>
      <w:r>
        <w:rPr>
          <w:w w:val="105"/>
          <w:sz w:val="13"/>
        </w:rPr>
        <w:t>(2012)</w:t>
      </w:r>
      <w:r>
        <w:rPr>
          <w:spacing w:val="4"/>
          <w:w w:val="105"/>
          <w:sz w:val="13"/>
        </w:rPr>
        <w:t> </w:t>
      </w:r>
      <w:r>
        <w:rPr>
          <w:w w:val="105"/>
          <w:sz w:val="13"/>
        </w:rPr>
        <w:t>399.</w:t>
      </w:r>
    </w:p>
    <w:p>
      <w:pPr>
        <w:pStyle w:val="ListParagraph"/>
        <w:numPr>
          <w:ilvl w:val="0"/>
          <w:numId w:val="34"/>
        </w:numPr>
        <w:tabs>
          <w:tab w:pos="2380" w:val="left" w:leader="none"/>
          <w:tab w:pos="2381" w:val="left" w:leader="none"/>
        </w:tabs>
        <w:spacing w:line="240" w:lineRule="auto" w:before="1" w:after="0"/>
        <w:ind w:left="1587" w:right="6053" w:firstLine="0"/>
        <w:jc w:val="left"/>
        <w:rPr>
          <w:sz w:val="13"/>
        </w:rPr>
      </w:pPr>
      <w:r>
        <w:rPr>
          <w:i/>
          <w:w w:val="105"/>
          <w:sz w:val="13"/>
        </w:rPr>
        <w:t>Succession Act 2006 </w:t>
      </w:r>
      <w:r>
        <w:rPr>
          <w:spacing w:val="3"/>
          <w:w w:val="105"/>
          <w:sz w:val="13"/>
        </w:rPr>
        <w:t>(NSW) </w:t>
      </w:r>
      <w:r>
        <w:rPr>
          <w:w w:val="105"/>
          <w:sz w:val="13"/>
        </w:rPr>
        <w:t>s 25; </w:t>
      </w:r>
      <w:r>
        <w:rPr>
          <w:i/>
          <w:w w:val="105"/>
          <w:sz w:val="13"/>
        </w:rPr>
        <w:t>Wills Act 1968 </w:t>
      </w:r>
      <w:r>
        <w:rPr>
          <w:spacing w:val="2"/>
          <w:w w:val="105"/>
          <w:sz w:val="13"/>
        </w:rPr>
        <w:t>(ACT) </w:t>
      </w:r>
      <w:r>
        <w:rPr>
          <w:w w:val="105"/>
          <w:sz w:val="13"/>
        </w:rPr>
        <w:t>s 16H. 22</w:t>
        <w:tab/>
      </w:r>
      <w:r>
        <w:rPr>
          <w:i/>
          <w:w w:val="105"/>
          <w:sz w:val="13"/>
        </w:rPr>
        <w:t>AB</w:t>
      </w:r>
      <w:r>
        <w:rPr>
          <w:i/>
          <w:spacing w:val="5"/>
          <w:w w:val="105"/>
          <w:sz w:val="13"/>
        </w:rPr>
        <w:t> </w:t>
      </w:r>
      <w:r>
        <w:rPr>
          <w:i/>
          <w:w w:val="105"/>
          <w:sz w:val="13"/>
        </w:rPr>
        <w:t>v</w:t>
      </w:r>
      <w:r>
        <w:rPr>
          <w:i/>
          <w:spacing w:val="6"/>
          <w:w w:val="105"/>
          <w:sz w:val="13"/>
        </w:rPr>
        <w:t> </w:t>
      </w:r>
      <w:r>
        <w:rPr>
          <w:i/>
          <w:w w:val="105"/>
          <w:sz w:val="13"/>
        </w:rPr>
        <w:t>CB</w:t>
      </w:r>
      <w:r>
        <w:rPr>
          <w:i/>
          <w:spacing w:val="7"/>
          <w:w w:val="105"/>
          <w:sz w:val="13"/>
        </w:rPr>
        <w:t> </w:t>
      </w:r>
      <w:r>
        <w:rPr>
          <w:spacing w:val="2"/>
          <w:w w:val="105"/>
          <w:sz w:val="13"/>
        </w:rPr>
        <w:t>[2009]</w:t>
      </w:r>
      <w:r>
        <w:rPr>
          <w:spacing w:val="7"/>
          <w:w w:val="105"/>
          <w:sz w:val="13"/>
        </w:rPr>
        <w:t> </w:t>
      </w:r>
      <w:r>
        <w:rPr>
          <w:w w:val="105"/>
          <w:sz w:val="13"/>
        </w:rPr>
        <w:t>NSWSC</w:t>
      </w:r>
      <w:r>
        <w:rPr>
          <w:spacing w:val="7"/>
          <w:w w:val="105"/>
          <w:sz w:val="13"/>
        </w:rPr>
        <w:t> </w:t>
      </w:r>
      <w:r>
        <w:rPr>
          <w:spacing w:val="2"/>
          <w:w w:val="105"/>
          <w:sz w:val="13"/>
        </w:rPr>
        <w:t>680</w:t>
      </w:r>
      <w:r>
        <w:rPr>
          <w:spacing w:val="7"/>
          <w:w w:val="105"/>
          <w:sz w:val="13"/>
        </w:rPr>
        <w:t> </w:t>
      </w:r>
      <w:r>
        <w:rPr>
          <w:w w:val="105"/>
          <w:sz w:val="13"/>
        </w:rPr>
        <w:t>(20</w:t>
      </w:r>
      <w:r>
        <w:rPr>
          <w:spacing w:val="7"/>
          <w:w w:val="105"/>
          <w:sz w:val="13"/>
        </w:rPr>
        <w:t> </w:t>
      </w:r>
      <w:r>
        <w:rPr>
          <w:w w:val="105"/>
          <w:sz w:val="13"/>
        </w:rPr>
        <w:t>July</w:t>
      </w:r>
      <w:r>
        <w:rPr>
          <w:spacing w:val="7"/>
          <w:w w:val="105"/>
          <w:sz w:val="13"/>
        </w:rPr>
        <w:t> </w:t>
      </w:r>
      <w:r>
        <w:rPr>
          <w:spacing w:val="2"/>
          <w:w w:val="105"/>
          <w:sz w:val="13"/>
        </w:rPr>
        <w:t>2009)</w:t>
      </w:r>
      <w:r>
        <w:rPr>
          <w:spacing w:val="7"/>
          <w:w w:val="105"/>
          <w:sz w:val="13"/>
        </w:rPr>
        <w:t> </w:t>
      </w:r>
      <w:r>
        <w:rPr>
          <w:spacing w:val="2"/>
          <w:w w:val="105"/>
          <w:sz w:val="13"/>
        </w:rPr>
        <w:t>[13]–[14].</w:t>
      </w:r>
    </w:p>
    <w:p>
      <w:pPr>
        <w:pStyle w:val="ListParagraph"/>
        <w:numPr>
          <w:ilvl w:val="0"/>
          <w:numId w:val="35"/>
        </w:numPr>
        <w:tabs>
          <w:tab w:pos="2380" w:val="left" w:leader="none"/>
          <w:tab w:pos="2381" w:val="left" w:leader="none"/>
        </w:tabs>
        <w:spacing w:line="240" w:lineRule="auto" w:before="3" w:after="0"/>
        <w:ind w:left="2380" w:right="0" w:hanging="793"/>
        <w:jc w:val="left"/>
        <w:rPr>
          <w:sz w:val="13"/>
        </w:rPr>
      </w:pPr>
      <w:r>
        <w:rPr>
          <w:i/>
          <w:w w:val="105"/>
          <w:sz w:val="13"/>
        </w:rPr>
        <w:t>Mental Capacity Act 2005 </w:t>
      </w:r>
      <w:r>
        <w:rPr>
          <w:spacing w:val="3"/>
          <w:w w:val="105"/>
          <w:sz w:val="13"/>
        </w:rPr>
        <w:t>(UK) </w:t>
      </w:r>
      <w:r>
        <w:rPr>
          <w:w w:val="105"/>
          <w:sz w:val="13"/>
        </w:rPr>
        <w:t>c 9, s </w:t>
      </w:r>
      <w:r>
        <w:rPr>
          <w:spacing w:val="4"/>
          <w:w w:val="105"/>
          <w:sz w:val="13"/>
        </w:rPr>
        <w:t>4(4).</w:t>
      </w:r>
    </w:p>
    <w:p>
      <w:pPr>
        <w:pStyle w:val="ListParagraph"/>
        <w:numPr>
          <w:ilvl w:val="0"/>
          <w:numId w:val="35"/>
        </w:numPr>
        <w:tabs>
          <w:tab w:pos="2380" w:val="left" w:leader="none"/>
          <w:tab w:pos="2382" w:val="left" w:leader="none"/>
        </w:tabs>
        <w:spacing w:line="240" w:lineRule="auto" w:before="1" w:after="0"/>
        <w:ind w:left="2381" w:right="1639" w:hanging="794"/>
        <w:jc w:val="left"/>
        <w:rPr>
          <w:sz w:val="13"/>
        </w:rPr>
      </w:pPr>
      <w:r>
        <w:rPr>
          <w:w w:val="105"/>
          <w:sz w:val="13"/>
        </w:rPr>
        <w:t>Submissions 8 (Patricia Strachan); </w:t>
      </w:r>
      <w:r>
        <w:rPr>
          <w:spacing w:val="-3"/>
          <w:w w:val="105"/>
          <w:sz w:val="13"/>
        </w:rPr>
        <w:t>14 </w:t>
      </w:r>
      <w:r>
        <w:rPr>
          <w:w w:val="105"/>
          <w:sz w:val="13"/>
        </w:rPr>
        <w:t>(Commercial Bar </w:t>
      </w:r>
      <w:r>
        <w:rPr>
          <w:spacing w:val="2"/>
          <w:w w:val="105"/>
          <w:sz w:val="13"/>
        </w:rPr>
        <w:t>Association); </w:t>
      </w:r>
      <w:r>
        <w:rPr>
          <w:w w:val="105"/>
          <w:sz w:val="13"/>
        </w:rPr>
        <w:t>21 </w:t>
      </w:r>
      <w:r>
        <w:rPr>
          <w:spacing w:val="2"/>
          <w:w w:val="105"/>
          <w:sz w:val="13"/>
        </w:rPr>
        <w:t>(Office </w:t>
      </w:r>
      <w:r>
        <w:rPr>
          <w:w w:val="105"/>
          <w:sz w:val="13"/>
        </w:rPr>
        <w:t>of the Public Advocate); 25 </w:t>
      </w:r>
      <w:r>
        <w:rPr>
          <w:spacing w:val="2"/>
          <w:w w:val="105"/>
          <w:sz w:val="13"/>
        </w:rPr>
        <w:t>(Moores </w:t>
      </w:r>
      <w:r>
        <w:rPr>
          <w:w w:val="105"/>
          <w:sz w:val="13"/>
        </w:rPr>
        <w:t>Legal); 26 </w:t>
      </w:r>
      <w:r>
        <w:rPr>
          <w:spacing w:val="2"/>
          <w:w w:val="105"/>
          <w:sz w:val="13"/>
        </w:rPr>
        <w:t>(Rigby </w:t>
      </w:r>
      <w:r>
        <w:rPr>
          <w:w w:val="105"/>
          <w:sz w:val="13"/>
        </w:rPr>
        <w:t>Cooke </w:t>
      </w:r>
      <w:r>
        <w:rPr>
          <w:spacing w:val="2"/>
          <w:w w:val="105"/>
          <w:sz w:val="13"/>
        </w:rPr>
        <w:t>Lawyers);</w:t>
      </w:r>
      <w:r>
        <w:rPr>
          <w:spacing w:val="3"/>
          <w:w w:val="105"/>
          <w:sz w:val="13"/>
        </w:rPr>
        <w:t> </w:t>
      </w:r>
      <w:r>
        <w:rPr>
          <w:w w:val="105"/>
          <w:sz w:val="13"/>
        </w:rPr>
        <w:t>30a</w:t>
      </w:r>
      <w:r>
        <w:rPr>
          <w:spacing w:val="3"/>
          <w:w w:val="105"/>
          <w:sz w:val="13"/>
        </w:rPr>
        <w:t> (Law </w:t>
      </w:r>
      <w:r>
        <w:rPr>
          <w:w w:val="105"/>
          <w:sz w:val="13"/>
        </w:rPr>
        <w:t>Institute</w:t>
      </w:r>
      <w:r>
        <w:rPr>
          <w:spacing w:val="3"/>
          <w:w w:val="105"/>
          <w:sz w:val="13"/>
        </w:rPr>
        <w:t> </w:t>
      </w:r>
      <w:r>
        <w:rPr>
          <w:w w:val="105"/>
          <w:sz w:val="13"/>
        </w:rPr>
        <w:t>of</w:t>
      </w:r>
      <w:r>
        <w:rPr>
          <w:spacing w:val="4"/>
          <w:w w:val="105"/>
          <w:sz w:val="13"/>
        </w:rPr>
        <w:t> </w:t>
      </w:r>
      <w:r>
        <w:rPr>
          <w:spacing w:val="2"/>
          <w:w w:val="105"/>
          <w:sz w:val="13"/>
        </w:rPr>
        <w:t>Victoria);</w:t>
      </w:r>
      <w:r>
        <w:rPr>
          <w:spacing w:val="3"/>
          <w:w w:val="105"/>
          <w:sz w:val="13"/>
        </w:rPr>
        <w:t> </w:t>
      </w:r>
      <w:r>
        <w:rPr>
          <w:w w:val="105"/>
          <w:sz w:val="13"/>
        </w:rPr>
        <w:t>31</w:t>
      </w:r>
      <w:r>
        <w:rPr>
          <w:spacing w:val="3"/>
          <w:w w:val="105"/>
          <w:sz w:val="13"/>
        </w:rPr>
        <w:t> </w:t>
      </w:r>
      <w:r>
        <w:rPr>
          <w:w w:val="105"/>
          <w:sz w:val="13"/>
        </w:rPr>
        <w:t>(Seniors</w:t>
      </w:r>
      <w:r>
        <w:rPr>
          <w:spacing w:val="3"/>
          <w:w w:val="105"/>
          <w:sz w:val="13"/>
        </w:rPr>
        <w:t> </w:t>
      </w:r>
      <w:r>
        <w:rPr>
          <w:w w:val="105"/>
          <w:sz w:val="13"/>
        </w:rPr>
        <w:t>Rights</w:t>
      </w:r>
      <w:r>
        <w:rPr>
          <w:spacing w:val="4"/>
          <w:w w:val="105"/>
          <w:sz w:val="13"/>
        </w:rPr>
        <w:t> </w:t>
      </w:r>
      <w:r>
        <w:rPr>
          <w:spacing w:val="2"/>
          <w:w w:val="105"/>
          <w:sz w:val="13"/>
        </w:rPr>
        <w:t>Victoria);</w:t>
      </w:r>
      <w:r>
        <w:rPr>
          <w:spacing w:val="3"/>
          <w:w w:val="105"/>
          <w:sz w:val="13"/>
        </w:rPr>
        <w:t> </w:t>
      </w:r>
      <w:r>
        <w:rPr>
          <w:w w:val="105"/>
          <w:sz w:val="13"/>
        </w:rPr>
        <w:t>32</w:t>
      </w:r>
      <w:r>
        <w:rPr>
          <w:spacing w:val="3"/>
          <w:w w:val="105"/>
          <w:sz w:val="13"/>
        </w:rPr>
        <w:t> </w:t>
      </w:r>
      <w:r>
        <w:rPr>
          <w:spacing w:val="2"/>
          <w:w w:val="105"/>
          <w:sz w:val="13"/>
        </w:rPr>
        <w:t>(The</w:t>
      </w:r>
      <w:r>
        <w:rPr>
          <w:spacing w:val="3"/>
          <w:w w:val="105"/>
          <w:sz w:val="13"/>
        </w:rPr>
        <w:t> </w:t>
      </w:r>
      <w:r>
        <w:rPr>
          <w:w w:val="105"/>
          <w:sz w:val="13"/>
        </w:rPr>
        <w:t>Institute</w:t>
      </w:r>
      <w:r>
        <w:rPr>
          <w:spacing w:val="4"/>
          <w:w w:val="105"/>
          <w:sz w:val="13"/>
        </w:rPr>
        <w:t> </w:t>
      </w:r>
      <w:r>
        <w:rPr>
          <w:w w:val="105"/>
          <w:sz w:val="13"/>
        </w:rPr>
        <w:t>of</w:t>
      </w:r>
      <w:r>
        <w:rPr>
          <w:spacing w:val="3"/>
          <w:w w:val="105"/>
          <w:sz w:val="13"/>
        </w:rPr>
        <w:t> </w:t>
      </w:r>
      <w:r>
        <w:rPr>
          <w:w w:val="105"/>
          <w:sz w:val="13"/>
        </w:rPr>
        <w:t>Legal</w:t>
      </w:r>
      <w:r>
        <w:rPr>
          <w:spacing w:val="3"/>
          <w:w w:val="105"/>
          <w:sz w:val="13"/>
        </w:rPr>
        <w:t> </w:t>
      </w:r>
      <w:r>
        <w:rPr>
          <w:w w:val="105"/>
          <w:sz w:val="13"/>
        </w:rPr>
        <w:t>Executives);</w:t>
      </w:r>
      <w:r>
        <w:rPr>
          <w:spacing w:val="3"/>
          <w:w w:val="105"/>
          <w:sz w:val="13"/>
        </w:rPr>
        <w:t> </w:t>
      </w:r>
      <w:r>
        <w:rPr>
          <w:w w:val="105"/>
          <w:sz w:val="13"/>
        </w:rPr>
        <w:t>33</w:t>
      </w:r>
      <w:r>
        <w:rPr>
          <w:spacing w:val="4"/>
          <w:w w:val="105"/>
          <w:sz w:val="13"/>
        </w:rPr>
        <w:t> </w:t>
      </w:r>
      <w:r>
        <w:rPr>
          <w:w w:val="105"/>
          <w:sz w:val="13"/>
        </w:rPr>
        <w:t>(State</w:t>
      </w:r>
      <w:r>
        <w:rPr>
          <w:spacing w:val="3"/>
          <w:w w:val="105"/>
          <w:sz w:val="13"/>
        </w:rPr>
        <w:t> </w:t>
      </w:r>
      <w:r>
        <w:rPr>
          <w:w w:val="105"/>
          <w:sz w:val="13"/>
        </w:rPr>
        <w:t>Trustees</w:t>
      </w:r>
      <w:r>
        <w:rPr>
          <w:spacing w:val="3"/>
          <w:w w:val="105"/>
          <w:sz w:val="13"/>
        </w:rPr>
        <w:t> </w:t>
      </w:r>
      <w:r>
        <w:rPr>
          <w:w w:val="105"/>
          <w:sz w:val="13"/>
        </w:rPr>
        <w:t>Limited);</w:t>
      </w:r>
    </w:p>
    <w:p>
      <w:pPr>
        <w:spacing w:before="3"/>
        <w:ind w:left="2381" w:right="0" w:firstLine="0"/>
        <w:jc w:val="left"/>
        <w:rPr>
          <w:sz w:val="13"/>
        </w:rPr>
      </w:pPr>
      <w:r>
        <w:rPr>
          <w:w w:val="105"/>
          <w:sz w:val="13"/>
        </w:rPr>
        <w:t>40 (Janice Brownfoot).</w:t>
      </w:r>
    </w:p>
    <w:p>
      <w:pPr>
        <w:pStyle w:val="ListParagraph"/>
        <w:numPr>
          <w:ilvl w:val="0"/>
          <w:numId w:val="35"/>
        </w:numPr>
        <w:tabs>
          <w:tab w:pos="2380" w:val="left" w:leader="none"/>
          <w:tab w:pos="2382" w:val="left" w:leader="none"/>
        </w:tabs>
        <w:spacing w:line="240" w:lineRule="auto" w:before="1" w:after="0"/>
        <w:ind w:left="2381" w:right="0" w:hanging="794"/>
        <w:jc w:val="left"/>
        <w:rPr>
          <w:sz w:val="13"/>
        </w:rPr>
      </w:pPr>
      <w:r>
        <w:rPr>
          <w:w w:val="105"/>
          <w:sz w:val="13"/>
        </w:rPr>
        <w:t>Submissions</w:t>
      </w:r>
      <w:r>
        <w:rPr>
          <w:spacing w:val="4"/>
          <w:w w:val="105"/>
          <w:sz w:val="13"/>
        </w:rPr>
        <w:t> </w:t>
      </w:r>
      <w:r>
        <w:rPr>
          <w:w w:val="105"/>
          <w:sz w:val="13"/>
        </w:rPr>
        <w:t>21</w:t>
      </w:r>
      <w:r>
        <w:rPr>
          <w:spacing w:val="5"/>
          <w:w w:val="105"/>
          <w:sz w:val="13"/>
        </w:rPr>
        <w:t> </w:t>
      </w:r>
      <w:r>
        <w:rPr>
          <w:spacing w:val="2"/>
          <w:w w:val="105"/>
          <w:sz w:val="13"/>
        </w:rPr>
        <w:t>(Office</w:t>
      </w:r>
      <w:r>
        <w:rPr>
          <w:spacing w:val="4"/>
          <w:w w:val="105"/>
          <w:sz w:val="13"/>
        </w:rPr>
        <w:t> </w:t>
      </w:r>
      <w:r>
        <w:rPr>
          <w:w w:val="105"/>
          <w:sz w:val="13"/>
        </w:rPr>
        <w:t>of</w:t>
      </w:r>
      <w:r>
        <w:rPr>
          <w:spacing w:val="5"/>
          <w:w w:val="105"/>
          <w:sz w:val="13"/>
        </w:rPr>
        <w:t> </w:t>
      </w:r>
      <w:r>
        <w:rPr>
          <w:w w:val="105"/>
          <w:sz w:val="13"/>
        </w:rPr>
        <w:t>the</w:t>
      </w:r>
      <w:r>
        <w:rPr>
          <w:spacing w:val="4"/>
          <w:w w:val="105"/>
          <w:sz w:val="13"/>
        </w:rPr>
        <w:t> </w:t>
      </w:r>
      <w:r>
        <w:rPr>
          <w:w w:val="105"/>
          <w:sz w:val="13"/>
        </w:rPr>
        <w:t>Public</w:t>
      </w:r>
      <w:r>
        <w:rPr>
          <w:spacing w:val="5"/>
          <w:w w:val="105"/>
          <w:sz w:val="13"/>
        </w:rPr>
        <w:t> </w:t>
      </w:r>
      <w:r>
        <w:rPr>
          <w:w w:val="105"/>
          <w:sz w:val="13"/>
        </w:rPr>
        <w:t>Advocate);</w:t>
      </w:r>
      <w:r>
        <w:rPr>
          <w:spacing w:val="4"/>
          <w:w w:val="105"/>
          <w:sz w:val="13"/>
        </w:rPr>
        <w:t> </w:t>
      </w:r>
      <w:r>
        <w:rPr>
          <w:w w:val="105"/>
          <w:sz w:val="13"/>
        </w:rPr>
        <w:t>30a</w:t>
      </w:r>
      <w:r>
        <w:rPr>
          <w:spacing w:val="5"/>
          <w:w w:val="105"/>
          <w:sz w:val="13"/>
        </w:rPr>
        <w:t> </w:t>
      </w:r>
      <w:r>
        <w:rPr>
          <w:spacing w:val="3"/>
          <w:w w:val="105"/>
          <w:sz w:val="13"/>
        </w:rPr>
        <w:t>(Law</w:t>
      </w:r>
      <w:r>
        <w:rPr>
          <w:spacing w:val="5"/>
          <w:w w:val="105"/>
          <w:sz w:val="13"/>
        </w:rPr>
        <w:t> </w:t>
      </w:r>
      <w:r>
        <w:rPr>
          <w:w w:val="105"/>
          <w:sz w:val="13"/>
        </w:rPr>
        <w:t>Institute</w:t>
      </w:r>
      <w:r>
        <w:rPr>
          <w:spacing w:val="4"/>
          <w:w w:val="105"/>
          <w:sz w:val="13"/>
        </w:rPr>
        <w:t> </w:t>
      </w:r>
      <w:r>
        <w:rPr>
          <w:w w:val="105"/>
          <w:sz w:val="13"/>
        </w:rPr>
        <w:t>of</w:t>
      </w:r>
      <w:r>
        <w:rPr>
          <w:spacing w:val="5"/>
          <w:w w:val="105"/>
          <w:sz w:val="13"/>
        </w:rPr>
        <w:t> </w:t>
      </w:r>
      <w:r>
        <w:rPr>
          <w:spacing w:val="2"/>
          <w:w w:val="105"/>
          <w:sz w:val="13"/>
        </w:rPr>
        <w:t>Victoria).</w:t>
      </w:r>
    </w:p>
    <w:p>
      <w:pPr>
        <w:pStyle w:val="ListParagraph"/>
        <w:numPr>
          <w:ilvl w:val="0"/>
          <w:numId w:val="35"/>
        </w:numPr>
        <w:tabs>
          <w:tab w:pos="2381" w:val="left" w:leader="none"/>
          <w:tab w:pos="2382" w:val="left" w:leader="none"/>
        </w:tabs>
        <w:spacing w:line="240" w:lineRule="auto" w:before="2" w:after="0"/>
        <w:ind w:left="2381" w:right="0" w:hanging="794"/>
        <w:jc w:val="left"/>
        <w:rPr>
          <w:sz w:val="13"/>
        </w:rPr>
      </w:pPr>
      <w:r>
        <w:rPr>
          <w:w w:val="105"/>
          <w:sz w:val="13"/>
        </w:rPr>
        <w:t>Submission 26 </w:t>
      </w:r>
      <w:r>
        <w:rPr>
          <w:spacing w:val="2"/>
          <w:w w:val="105"/>
          <w:sz w:val="13"/>
        </w:rPr>
        <w:t>(Rigby </w:t>
      </w:r>
      <w:r>
        <w:rPr>
          <w:w w:val="105"/>
          <w:sz w:val="13"/>
        </w:rPr>
        <w:t>Cooke</w:t>
      </w:r>
      <w:r>
        <w:rPr>
          <w:spacing w:val="16"/>
          <w:w w:val="105"/>
          <w:sz w:val="13"/>
        </w:rPr>
        <w:t> </w:t>
      </w:r>
      <w:r>
        <w:rPr>
          <w:spacing w:val="2"/>
          <w:w w:val="105"/>
          <w:sz w:val="13"/>
        </w:rPr>
        <w:t>Lawyers).</w:t>
      </w:r>
    </w:p>
    <w:p>
      <w:pPr>
        <w:pStyle w:val="ListParagraph"/>
        <w:numPr>
          <w:ilvl w:val="0"/>
          <w:numId w:val="35"/>
        </w:numPr>
        <w:tabs>
          <w:tab w:pos="2381" w:val="left" w:leader="none"/>
          <w:tab w:pos="2382" w:val="left" w:leader="none"/>
        </w:tabs>
        <w:spacing w:line="240" w:lineRule="auto" w:before="1" w:after="0"/>
        <w:ind w:left="2381" w:right="0" w:hanging="794"/>
        <w:jc w:val="left"/>
        <w:rPr>
          <w:sz w:val="13"/>
        </w:rPr>
      </w:pPr>
      <w:r>
        <w:rPr>
          <w:w w:val="105"/>
          <w:sz w:val="13"/>
        </w:rPr>
        <w:t>Consultation 1 (Wills</w:t>
      </w:r>
      <w:r>
        <w:rPr>
          <w:spacing w:val="13"/>
          <w:w w:val="105"/>
          <w:sz w:val="13"/>
        </w:rPr>
        <w:t> </w:t>
      </w:r>
      <w:r>
        <w:rPr>
          <w:w w:val="105"/>
          <w:sz w:val="13"/>
        </w:rPr>
        <w:t>roundtable).</w:t>
      </w:r>
    </w:p>
    <w:p>
      <w:pPr>
        <w:pStyle w:val="ListParagraph"/>
        <w:numPr>
          <w:ilvl w:val="0"/>
          <w:numId w:val="35"/>
        </w:numPr>
        <w:tabs>
          <w:tab w:pos="2381" w:val="left" w:leader="none"/>
          <w:tab w:pos="2382" w:val="left" w:leader="none"/>
        </w:tabs>
        <w:spacing w:line="240" w:lineRule="auto" w:before="1" w:after="0"/>
        <w:ind w:left="2381" w:right="0" w:hanging="794"/>
        <w:jc w:val="left"/>
        <w:rPr>
          <w:sz w:val="13"/>
        </w:rPr>
      </w:pPr>
      <w:r>
        <w:rPr>
          <w:w w:val="105"/>
          <w:sz w:val="13"/>
        </w:rPr>
        <w:t>Submission 39 (Carolyn Sparke</w:t>
      </w:r>
      <w:r>
        <w:rPr>
          <w:spacing w:val="18"/>
          <w:w w:val="105"/>
          <w:sz w:val="13"/>
        </w:rPr>
        <w:t> </w:t>
      </w:r>
      <w:r>
        <w:rPr>
          <w:w w:val="105"/>
          <w:sz w:val="13"/>
        </w:rPr>
        <w:t>SC).</w:t>
      </w:r>
    </w:p>
    <w:p>
      <w:pPr>
        <w:pStyle w:val="ListParagraph"/>
        <w:numPr>
          <w:ilvl w:val="0"/>
          <w:numId w:val="35"/>
        </w:numPr>
        <w:tabs>
          <w:tab w:pos="2381" w:val="left" w:leader="none"/>
          <w:tab w:pos="2382" w:val="left" w:leader="none"/>
        </w:tabs>
        <w:spacing w:line="240" w:lineRule="auto" w:before="2" w:after="0"/>
        <w:ind w:left="2381" w:right="0" w:hanging="794"/>
        <w:jc w:val="left"/>
        <w:rPr>
          <w:sz w:val="13"/>
        </w:rPr>
      </w:pPr>
      <w:r>
        <w:rPr/>
        <w:pict>
          <v:shape style="position:absolute;margin-left:549.038513pt;margin-top:2.908464pt;width:12.9pt;height:14.25pt;mso-position-horizontal-relative:page;mso-position-vertical-relative:paragraph;z-index:3112" type="#_x0000_t202" filled="false" stroked="false">
            <v:textbox inset="0,0,0,0">
              <w:txbxContent>
                <w:p>
                  <w:pPr>
                    <w:spacing w:line="284" w:lineRule="exact" w:before="0"/>
                    <w:ind w:left="0" w:right="0" w:firstLine="0"/>
                    <w:jc w:val="left"/>
                    <w:rPr>
                      <w:b/>
                      <w:sz w:val="24"/>
                    </w:rPr>
                  </w:pPr>
                  <w:r>
                    <w:rPr>
                      <w:b/>
                      <w:color w:val="EC5A4F"/>
                      <w:spacing w:val="-5"/>
                      <w:w w:val="110"/>
                      <w:sz w:val="24"/>
                    </w:rPr>
                    <w:t>27</w:t>
                  </w:r>
                </w:p>
              </w:txbxContent>
            </v:textbox>
            <w10:wrap type="none"/>
          </v:shape>
        </w:pict>
      </w:r>
      <w:r>
        <w:rPr>
          <w:sz w:val="13"/>
        </w:rPr>
        <w:t>Ibid.</w:t>
      </w:r>
    </w:p>
    <w:p>
      <w:pPr>
        <w:pStyle w:val="ListParagraph"/>
        <w:numPr>
          <w:ilvl w:val="0"/>
          <w:numId w:val="35"/>
        </w:numPr>
        <w:tabs>
          <w:tab w:pos="2381" w:val="left" w:leader="none"/>
          <w:tab w:pos="2382" w:val="left" w:leader="none"/>
        </w:tabs>
        <w:spacing w:line="240" w:lineRule="auto" w:before="1" w:after="0"/>
        <w:ind w:left="2381" w:right="0" w:hanging="794"/>
        <w:jc w:val="left"/>
        <w:rPr>
          <w:sz w:val="13"/>
        </w:rPr>
      </w:pPr>
      <w:r>
        <w:rPr>
          <w:i/>
          <w:sz w:val="13"/>
        </w:rPr>
        <w:t>Wills Act </w:t>
      </w:r>
      <w:r>
        <w:rPr>
          <w:i/>
          <w:spacing w:val="-3"/>
          <w:sz w:val="13"/>
        </w:rPr>
        <w:t>1997 </w:t>
      </w:r>
      <w:r>
        <w:rPr>
          <w:spacing w:val="2"/>
          <w:sz w:val="13"/>
        </w:rPr>
        <w:t>(Vic) </w:t>
      </w:r>
      <w:r>
        <w:rPr>
          <w:sz w:val="13"/>
        </w:rPr>
        <w:t>ss</w:t>
      </w:r>
      <w:r>
        <w:rPr>
          <w:spacing w:val="5"/>
          <w:sz w:val="13"/>
        </w:rPr>
        <w:t> 29(b)–(d).</w:t>
      </w:r>
    </w:p>
    <w:p>
      <w:pPr>
        <w:spacing w:after="0" w:line="240" w:lineRule="auto"/>
        <w:jc w:val="left"/>
        <w:rPr>
          <w:sz w:val="13"/>
        </w:rPr>
        <w:sectPr>
          <w:pgSz w:w="11910" w:h="16840"/>
          <w:pgMar w:header="805" w:footer="0" w:top="1360" w:bottom="280" w:left="0" w:right="0"/>
        </w:sectPr>
      </w:pPr>
    </w:p>
    <w:p>
      <w:pPr>
        <w:pStyle w:val="BodyText"/>
        <w:spacing w:before="3"/>
      </w:pPr>
    </w:p>
    <w:p>
      <w:pPr>
        <w:pStyle w:val="Heading4"/>
        <w:spacing w:before="99"/>
      </w:pPr>
      <w:bookmarkStart w:name="Accessibility of the statutory wills pro" w:id="27"/>
      <w:bookmarkEnd w:id="27"/>
      <w:r>
        <w:rPr>
          <w:b w:val="0"/>
        </w:rPr>
      </w:r>
      <w:r>
        <w:rPr>
          <w:color w:val="EC5A4F"/>
          <w:w w:val="115"/>
        </w:rPr>
        <w:t>Accessibility of the statutory wills process</w:t>
      </w:r>
    </w:p>
    <w:p>
      <w:pPr>
        <w:pStyle w:val="ListParagraph"/>
        <w:numPr>
          <w:ilvl w:val="1"/>
          <w:numId w:val="22"/>
        </w:numPr>
        <w:tabs>
          <w:tab w:pos="2380" w:val="left" w:leader="none"/>
          <w:tab w:pos="2381" w:val="left" w:leader="none"/>
        </w:tabs>
        <w:spacing w:line="242" w:lineRule="auto" w:before="155" w:after="0"/>
        <w:ind w:left="2381" w:right="1764" w:hanging="794"/>
        <w:jc w:val="left"/>
        <w:rPr>
          <w:sz w:val="21"/>
        </w:rPr>
      </w:pPr>
      <w:r>
        <w:rPr>
          <w:spacing w:val="-3"/>
          <w:w w:val="105"/>
          <w:sz w:val="21"/>
        </w:rPr>
        <w:t>Since </w:t>
      </w:r>
      <w:r>
        <w:rPr>
          <w:w w:val="105"/>
          <w:sz w:val="21"/>
        </w:rPr>
        <w:t>being given the power </w:t>
      </w:r>
      <w:r>
        <w:rPr>
          <w:spacing w:val="-3"/>
          <w:w w:val="105"/>
          <w:sz w:val="21"/>
        </w:rPr>
        <w:t>to </w:t>
      </w:r>
      <w:r>
        <w:rPr>
          <w:w w:val="105"/>
          <w:sz w:val="21"/>
        </w:rPr>
        <w:t>do </w:t>
      </w:r>
      <w:r>
        <w:rPr>
          <w:spacing w:val="-3"/>
          <w:w w:val="105"/>
          <w:sz w:val="21"/>
        </w:rPr>
        <w:t>so, </w:t>
      </w:r>
      <w:r>
        <w:rPr>
          <w:w w:val="105"/>
          <w:sz w:val="21"/>
        </w:rPr>
        <w:t>the </w:t>
      </w:r>
      <w:r>
        <w:rPr>
          <w:spacing w:val="-3"/>
          <w:w w:val="105"/>
          <w:sz w:val="21"/>
        </w:rPr>
        <w:t>Supreme Court </w:t>
      </w:r>
      <w:r>
        <w:rPr>
          <w:spacing w:val="-2"/>
          <w:w w:val="105"/>
          <w:sz w:val="21"/>
        </w:rPr>
        <w:t>has </w:t>
      </w:r>
      <w:r>
        <w:rPr>
          <w:w w:val="105"/>
          <w:sz w:val="21"/>
        </w:rPr>
        <w:t>authorised </w:t>
      </w:r>
      <w:r>
        <w:rPr>
          <w:spacing w:val="-3"/>
          <w:w w:val="105"/>
          <w:sz w:val="21"/>
        </w:rPr>
        <w:t>approximately </w:t>
      </w:r>
      <w:r>
        <w:rPr>
          <w:spacing w:val="-4"/>
          <w:w w:val="105"/>
          <w:sz w:val="21"/>
        </w:rPr>
        <w:t>32</w:t>
      </w:r>
      <w:r>
        <w:rPr>
          <w:spacing w:val="-6"/>
          <w:w w:val="105"/>
          <w:sz w:val="21"/>
        </w:rPr>
        <w:t> </w:t>
      </w:r>
      <w:r>
        <w:rPr>
          <w:w w:val="105"/>
          <w:sz w:val="21"/>
        </w:rPr>
        <w:t>statutory</w:t>
      </w:r>
      <w:r>
        <w:rPr>
          <w:spacing w:val="-5"/>
          <w:w w:val="105"/>
          <w:sz w:val="21"/>
        </w:rPr>
        <w:t> </w:t>
      </w:r>
      <w:r>
        <w:rPr>
          <w:spacing w:val="-3"/>
          <w:w w:val="105"/>
          <w:sz w:val="21"/>
        </w:rPr>
        <w:t>wills</w:t>
      </w:r>
      <w:r>
        <w:rPr>
          <w:spacing w:val="-6"/>
          <w:w w:val="105"/>
          <w:sz w:val="21"/>
        </w:rPr>
        <w:t> </w:t>
      </w:r>
      <w:r>
        <w:rPr>
          <w:w w:val="105"/>
          <w:sz w:val="21"/>
        </w:rPr>
        <w:t>in</w:t>
      </w:r>
      <w:r>
        <w:rPr>
          <w:spacing w:val="-5"/>
          <w:w w:val="105"/>
          <w:sz w:val="21"/>
        </w:rPr>
        <w:t> </w:t>
      </w:r>
      <w:r>
        <w:rPr>
          <w:spacing w:val="-6"/>
          <w:w w:val="105"/>
          <w:sz w:val="21"/>
        </w:rPr>
        <w:t>16 </w:t>
      </w:r>
      <w:r>
        <w:rPr>
          <w:w w:val="105"/>
          <w:sz w:val="21"/>
        </w:rPr>
        <w:t>years.</w:t>
      </w:r>
      <w:r>
        <w:rPr>
          <w:spacing w:val="-5"/>
          <w:w w:val="105"/>
          <w:sz w:val="21"/>
        </w:rPr>
        <w:t> </w:t>
      </w:r>
      <w:r>
        <w:rPr>
          <w:spacing w:val="-3"/>
          <w:w w:val="105"/>
          <w:sz w:val="21"/>
        </w:rPr>
        <w:t>Wills</w:t>
      </w:r>
      <w:r>
        <w:rPr>
          <w:spacing w:val="-6"/>
          <w:w w:val="105"/>
          <w:sz w:val="21"/>
        </w:rPr>
        <w:t> </w:t>
      </w:r>
      <w:r>
        <w:rPr>
          <w:spacing w:val="-3"/>
          <w:w w:val="105"/>
          <w:sz w:val="21"/>
        </w:rPr>
        <w:t>have</w:t>
      </w:r>
      <w:r>
        <w:rPr>
          <w:spacing w:val="-5"/>
          <w:w w:val="105"/>
          <w:sz w:val="21"/>
        </w:rPr>
        <w:t> </w:t>
      </w:r>
      <w:r>
        <w:rPr>
          <w:w w:val="105"/>
          <w:sz w:val="21"/>
        </w:rPr>
        <w:t>been</w:t>
      </w:r>
      <w:r>
        <w:rPr>
          <w:spacing w:val="-5"/>
          <w:w w:val="105"/>
          <w:sz w:val="21"/>
        </w:rPr>
        <w:t> </w:t>
      </w:r>
      <w:r>
        <w:rPr>
          <w:w w:val="105"/>
          <w:sz w:val="21"/>
        </w:rPr>
        <w:t>authorised</w:t>
      </w:r>
      <w:r>
        <w:rPr>
          <w:spacing w:val="-6"/>
          <w:w w:val="105"/>
          <w:sz w:val="21"/>
        </w:rPr>
        <w:t> </w:t>
      </w:r>
      <w:r>
        <w:rPr>
          <w:w w:val="105"/>
          <w:sz w:val="21"/>
        </w:rPr>
        <w:t>in</w:t>
      </w:r>
      <w:r>
        <w:rPr>
          <w:spacing w:val="-5"/>
          <w:w w:val="105"/>
          <w:sz w:val="21"/>
        </w:rPr>
        <w:t> </w:t>
      </w:r>
      <w:r>
        <w:rPr>
          <w:w w:val="105"/>
          <w:sz w:val="21"/>
        </w:rPr>
        <w:t>the</w:t>
      </w:r>
      <w:r>
        <w:rPr>
          <w:spacing w:val="-6"/>
          <w:w w:val="105"/>
          <w:sz w:val="21"/>
        </w:rPr>
        <w:t> </w:t>
      </w:r>
      <w:r>
        <w:rPr>
          <w:spacing w:val="-3"/>
          <w:w w:val="105"/>
          <w:sz w:val="21"/>
        </w:rPr>
        <w:t>following</w:t>
      </w:r>
      <w:r>
        <w:rPr>
          <w:spacing w:val="-5"/>
          <w:w w:val="105"/>
          <w:sz w:val="21"/>
        </w:rPr>
        <w:t> </w:t>
      </w:r>
      <w:r>
        <w:rPr>
          <w:spacing w:val="-3"/>
          <w:w w:val="105"/>
          <w:sz w:val="21"/>
        </w:rPr>
        <w:t>circumstances:</w:t>
      </w:r>
    </w:p>
    <w:p>
      <w:pPr>
        <w:pStyle w:val="ListParagraph"/>
        <w:numPr>
          <w:ilvl w:val="2"/>
          <w:numId w:val="22"/>
        </w:numPr>
        <w:tabs>
          <w:tab w:pos="2721" w:val="left" w:leader="none"/>
          <w:tab w:pos="2722" w:val="left" w:leader="none"/>
        </w:tabs>
        <w:spacing w:line="242" w:lineRule="auto" w:before="122" w:after="0"/>
        <w:ind w:left="2721" w:right="1839" w:hanging="340"/>
        <w:jc w:val="left"/>
        <w:rPr>
          <w:sz w:val="12"/>
        </w:rPr>
      </w:pPr>
      <w:r>
        <w:rPr>
          <w:spacing w:val="-3"/>
          <w:sz w:val="21"/>
        </w:rPr>
        <w:t>removing </w:t>
      </w:r>
      <w:r>
        <w:rPr>
          <w:sz w:val="21"/>
        </w:rPr>
        <w:t>a de facto partner </w:t>
      </w:r>
      <w:r>
        <w:rPr>
          <w:spacing w:val="-3"/>
          <w:sz w:val="21"/>
        </w:rPr>
        <w:t>from </w:t>
      </w:r>
      <w:r>
        <w:rPr>
          <w:sz w:val="21"/>
        </w:rPr>
        <w:t>a </w:t>
      </w:r>
      <w:r>
        <w:rPr>
          <w:spacing w:val="-3"/>
          <w:sz w:val="21"/>
        </w:rPr>
        <w:t>previous will </w:t>
      </w:r>
      <w:r>
        <w:rPr>
          <w:sz w:val="21"/>
        </w:rPr>
        <w:t>where the </w:t>
      </w:r>
      <w:r>
        <w:rPr>
          <w:spacing w:val="-3"/>
          <w:sz w:val="21"/>
        </w:rPr>
        <w:t>relationship </w:t>
      </w:r>
      <w:r>
        <w:rPr>
          <w:spacing w:val="-2"/>
          <w:sz w:val="21"/>
        </w:rPr>
        <w:t>had </w:t>
      </w:r>
      <w:r>
        <w:rPr>
          <w:spacing w:val="-3"/>
          <w:sz w:val="21"/>
        </w:rPr>
        <w:t>broken </w:t>
      </w:r>
      <w:r>
        <w:rPr>
          <w:sz w:val="21"/>
        </w:rPr>
        <w:t>down</w:t>
      </w:r>
      <w:r>
        <w:rPr>
          <w:spacing w:val="-26"/>
          <w:sz w:val="21"/>
        </w:rPr>
        <w:t> </w:t>
      </w:r>
      <w:r>
        <w:rPr>
          <w:spacing w:val="-3"/>
          <w:position w:val="7"/>
          <w:sz w:val="12"/>
        </w:rPr>
        <w:t>31</w:t>
      </w:r>
    </w:p>
    <w:p>
      <w:pPr>
        <w:pStyle w:val="ListParagraph"/>
        <w:numPr>
          <w:ilvl w:val="2"/>
          <w:numId w:val="22"/>
        </w:numPr>
        <w:tabs>
          <w:tab w:pos="2721" w:val="left" w:leader="none"/>
          <w:tab w:pos="2722" w:val="left" w:leader="none"/>
        </w:tabs>
        <w:spacing w:line="242" w:lineRule="auto" w:before="122" w:after="0"/>
        <w:ind w:left="2721" w:right="1721" w:hanging="340"/>
        <w:jc w:val="left"/>
        <w:rPr>
          <w:sz w:val="12"/>
        </w:rPr>
      </w:pPr>
      <w:r>
        <w:rPr>
          <w:spacing w:val="-3"/>
          <w:w w:val="105"/>
          <w:sz w:val="21"/>
        </w:rPr>
        <w:t>removing from </w:t>
      </w:r>
      <w:r>
        <w:rPr>
          <w:w w:val="105"/>
          <w:sz w:val="21"/>
        </w:rPr>
        <w:t>a </w:t>
      </w:r>
      <w:r>
        <w:rPr>
          <w:spacing w:val="-3"/>
          <w:w w:val="105"/>
          <w:sz w:val="21"/>
        </w:rPr>
        <w:t>previous will </w:t>
      </w:r>
      <w:r>
        <w:rPr>
          <w:w w:val="105"/>
          <w:sz w:val="21"/>
        </w:rPr>
        <w:t>a </w:t>
      </w:r>
      <w:r>
        <w:rPr>
          <w:spacing w:val="-3"/>
          <w:w w:val="105"/>
          <w:sz w:val="21"/>
        </w:rPr>
        <w:t>husband </w:t>
      </w:r>
      <w:r>
        <w:rPr>
          <w:w w:val="105"/>
          <w:sz w:val="21"/>
        </w:rPr>
        <w:t>who </w:t>
      </w:r>
      <w:r>
        <w:rPr>
          <w:spacing w:val="-2"/>
          <w:w w:val="105"/>
          <w:sz w:val="21"/>
        </w:rPr>
        <w:t>had </w:t>
      </w:r>
      <w:r>
        <w:rPr>
          <w:w w:val="105"/>
          <w:sz w:val="21"/>
        </w:rPr>
        <w:t>been </w:t>
      </w:r>
      <w:r>
        <w:rPr>
          <w:spacing w:val="-3"/>
          <w:w w:val="105"/>
          <w:sz w:val="21"/>
        </w:rPr>
        <w:t>charged </w:t>
      </w:r>
      <w:r>
        <w:rPr>
          <w:w w:val="105"/>
          <w:sz w:val="21"/>
        </w:rPr>
        <w:t>with the attempted murder of the </w:t>
      </w:r>
      <w:r>
        <w:rPr>
          <w:spacing w:val="-3"/>
          <w:w w:val="105"/>
          <w:sz w:val="21"/>
        </w:rPr>
        <w:t>incapacitated </w:t>
      </w:r>
      <w:r>
        <w:rPr>
          <w:w w:val="105"/>
          <w:sz w:val="21"/>
        </w:rPr>
        <w:t>person</w:t>
      </w:r>
      <w:r>
        <w:rPr>
          <w:spacing w:val="-7"/>
          <w:w w:val="105"/>
          <w:sz w:val="21"/>
        </w:rPr>
        <w:t> </w:t>
      </w:r>
      <w:r>
        <w:rPr>
          <w:w w:val="105"/>
          <w:position w:val="7"/>
          <w:sz w:val="12"/>
        </w:rPr>
        <w:t>32</w:t>
      </w:r>
    </w:p>
    <w:p>
      <w:pPr>
        <w:pStyle w:val="ListParagraph"/>
        <w:numPr>
          <w:ilvl w:val="2"/>
          <w:numId w:val="22"/>
        </w:numPr>
        <w:tabs>
          <w:tab w:pos="2721" w:val="left" w:leader="none"/>
          <w:tab w:pos="2722" w:val="left" w:leader="none"/>
        </w:tabs>
        <w:spacing w:line="242" w:lineRule="auto" w:before="123" w:after="0"/>
        <w:ind w:left="2721" w:right="1669" w:hanging="340"/>
        <w:jc w:val="left"/>
        <w:rPr>
          <w:sz w:val="12"/>
        </w:rPr>
      </w:pPr>
      <w:r>
        <w:rPr>
          <w:spacing w:val="-3"/>
          <w:w w:val="105"/>
          <w:sz w:val="21"/>
        </w:rPr>
        <w:t>removing from </w:t>
      </w:r>
      <w:r>
        <w:rPr>
          <w:w w:val="105"/>
          <w:sz w:val="21"/>
        </w:rPr>
        <w:t>a </w:t>
      </w:r>
      <w:r>
        <w:rPr>
          <w:spacing w:val="-3"/>
          <w:w w:val="105"/>
          <w:sz w:val="21"/>
        </w:rPr>
        <w:t>previous will </w:t>
      </w:r>
      <w:r>
        <w:rPr>
          <w:w w:val="105"/>
          <w:sz w:val="21"/>
        </w:rPr>
        <w:t>a friend who </w:t>
      </w:r>
      <w:r>
        <w:rPr>
          <w:spacing w:val="-2"/>
          <w:w w:val="105"/>
          <w:sz w:val="21"/>
        </w:rPr>
        <w:t>had </w:t>
      </w:r>
      <w:r>
        <w:rPr>
          <w:spacing w:val="-3"/>
          <w:w w:val="105"/>
          <w:sz w:val="21"/>
        </w:rPr>
        <w:t>since misused </w:t>
      </w:r>
      <w:r>
        <w:rPr>
          <w:w w:val="105"/>
          <w:sz w:val="21"/>
        </w:rPr>
        <w:t>his position as </w:t>
      </w:r>
      <w:r>
        <w:rPr>
          <w:spacing w:val="-3"/>
          <w:w w:val="105"/>
          <w:sz w:val="21"/>
        </w:rPr>
        <w:t>administrator</w:t>
      </w:r>
      <w:r>
        <w:rPr>
          <w:spacing w:val="-6"/>
          <w:w w:val="105"/>
          <w:sz w:val="21"/>
        </w:rPr>
        <w:t> </w:t>
      </w:r>
      <w:r>
        <w:rPr>
          <w:w w:val="105"/>
          <w:sz w:val="21"/>
        </w:rPr>
        <w:t>by</w:t>
      </w:r>
      <w:r>
        <w:rPr>
          <w:spacing w:val="-6"/>
          <w:w w:val="105"/>
          <w:sz w:val="21"/>
        </w:rPr>
        <w:t> </w:t>
      </w:r>
      <w:r>
        <w:rPr>
          <w:spacing w:val="-3"/>
          <w:w w:val="105"/>
          <w:sz w:val="21"/>
        </w:rPr>
        <w:t>selling</w:t>
      </w:r>
      <w:r>
        <w:rPr>
          <w:spacing w:val="-6"/>
          <w:w w:val="105"/>
          <w:sz w:val="21"/>
        </w:rPr>
        <w:t> </w:t>
      </w:r>
      <w:r>
        <w:rPr>
          <w:w w:val="105"/>
          <w:sz w:val="21"/>
        </w:rPr>
        <w:t>off</w:t>
      </w:r>
      <w:r>
        <w:rPr>
          <w:spacing w:val="-6"/>
          <w:w w:val="105"/>
          <w:sz w:val="21"/>
        </w:rPr>
        <w:t> </w:t>
      </w:r>
      <w:r>
        <w:rPr>
          <w:w w:val="105"/>
          <w:sz w:val="21"/>
        </w:rPr>
        <w:t>the</w:t>
      </w:r>
      <w:r>
        <w:rPr>
          <w:spacing w:val="-6"/>
          <w:w w:val="105"/>
          <w:sz w:val="21"/>
        </w:rPr>
        <w:t> </w:t>
      </w:r>
      <w:r>
        <w:rPr>
          <w:spacing w:val="-3"/>
          <w:w w:val="105"/>
          <w:sz w:val="21"/>
        </w:rPr>
        <w:t>incapacitated</w:t>
      </w:r>
      <w:r>
        <w:rPr>
          <w:spacing w:val="-5"/>
          <w:w w:val="105"/>
          <w:sz w:val="21"/>
        </w:rPr>
        <w:t> </w:t>
      </w:r>
      <w:r>
        <w:rPr>
          <w:spacing w:val="-3"/>
          <w:w w:val="105"/>
          <w:sz w:val="21"/>
        </w:rPr>
        <w:t>person’s</w:t>
      </w:r>
      <w:r>
        <w:rPr>
          <w:spacing w:val="-6"/>
          <w:w w:val="105"/>
          <w:sz w:val="21"/>
        </w:rPr>
        <w:t> </w:t>
      </w:r>
      <w:r>
        <w:rPr>
          <w:w w:val="105"/>
          <w:sz w:val="21"/>
        </w:rPr>
        <w:t>property</w:t>
      </w:r>
      <w:r>
        <w:rPr>
          <w:spacing w:val="-6"/>
          <w:w w:val="105"/>
          <w:sz w:val="21"/>
        </w:rPr>
        <w:t> </w:t>
      </w:r>
      <w:r>
        <w:rPr>
          <w:w w:val="105"/>
          <w:sz w:val="21"/>
        </w:rPr>
        <w:t>and</w:t>
      </w:r>
      <w:r>
        <w:rPr>
          <w:spacing w:val="-6"/>
          <w:w w:val="105"/>
          <w:sz w:val="21"/>
        </w:rPr>
        <w:t> </w:t>
      </w:r>
      <w:r>
        <w:rPr>
          <w:w w:val="105"/>
          <w:sz w:val="21"/>
        </w:rPr>
        <w:t>taking</w:t>
      </w:r>
      <w:r>
        <w:rPr>
          <w:spacing w:val="-6"/>
          <w:w w:val="105"/>
          <w:sz w:val="21"/>
        </w:rPr>
        <w:t> </w:t>
      </w:r>
      <w:r>
        <w:rPr>
          <w:w w:val="105"/>
          <w:sz w:val="21"/>
        </w:rPr>
        <w:t>the</w:t>
      </w:r>
      <w:r>
        <w:rPr>
          <w:spacing w:val="-6"/>
          <w:w w:val="105"/>
          <w:sz w:val="21"/>
        </w:rPr>
        <w:t> </w:t>
      </w:r>
      <w:r>
        <w:rPr>
          <w:w w:val="105"/>
          <w:sz w:val="21"/>
        </w:rPr>
        <w:t>money as a loan </w:t>
      </w:r>
      <w:r>
        <w:rPr>
          <w:spacing w:val="-3"/>
          <w:w w:val="105"/>
          <w:sz w:val="21"/>
        </w:rPr>
        <w:t>to himself</w:t>
      </w:r>
      <w:r>
        <w:rPr>
          <w:spacing w:val="17"/>
          <w:w w:val="105"/>
          <w:sz w:val="21"/>
        </w:rPr>
        <w:t> </w:t>
      </w:r>
      <w:r>
        <w:rPr>
          <w:w w:val="105"/>
          <w:position w:val="7"/>
          <w:sz w:val="12"/>
        </w:rPr>
        <w:t>33</w:t>
      </w:r>
    </w:p>
    <w:p>
      <w:pPr>
        <w:pStyle w:val="ListParagraph"/>
        <w:numPr>
          <w:ilvl w:val="2"/>
          <w:numId w:val="22"/>
        </w:numPr>
        <w:tabs>
          <w:tab w:pos="2721" w:val="left" w:leader="none"/>
          <w:tab w:pos="2722" w:val="left" w:leader="none"/>
        </w:tabs>
        <w:spacing w:line="242" w:lineRule="auto" w:before="123" w:after="0"/>
        <w:ind w:left="2721" w:right="2525" w:hanging="340"/>
        <w:jc w:val="left"/>
        <w:rPr>
          <w:sz w:val="12"/>
        </w:rPr>
      </w:pPr>
      <w:r>
        <w:rPr>
          <w:spacing w:val="-3"/>
          <w:w w:val="105"/>
          <w:sz w:val="21"/>
        </w:rPr>
        <w:t>creating </w:t>
      </w:r>
      <w:r>
        <w:rPr>
          <w:w w:val="105"/>
          <w:sz w:val="21"/>
        </w:rPr>
        <w:t>a </w:t>
      </w:r>
      <w:r>
        <w:rPr>
          <w:spacing w:val="-3"/>
          <w:w w:val="105"/>
          <w:sz w:val="21"/>
        </w:rPr>
        <w:t>will for </w:t>
      </w:r>
      <w:r>
        <w:rPr>
          <w:w w:val="105"/>
          <w:sz w:val="21"/>
        </w:rPr>
        <w:t>an </w:t>
      </w:r>
      <w:r>
        <w:rPr>
          <w:spacing w:val="-3"/>
          <w:w w:val="105"/>
          <w:sz w:val="21"/>
        </w:rPr>
        <w:t>incapacitated </w:t>
      </w:r>
      <w:r>
        <w:rPr>
          <w:w w:val="105"/>
          <w:sz w:val="21"/>
        </w:rPr>
        <w:t>person </w:t>
      </w:r>
      <w:r>
        <w:rPr>
          <w:spacing w:val="-3"/>
          <w:w w:val="105"/>
          <w:sz w:val="21"/>
        </w:rPr>
        <w:t>leaving </w:t>
      </w:r>
      <w:r>
        <w:rPr>
          <w:w w:val="105"/>
          <w:sz w:val="21"/>
        </w:rPr>
        <w:t>more </w:t>
      </w:r>
      <w:r>
        <w:rPr>
          <w:spacing w:val="-3"/>
          <w:w w:val="105"/>
          <w:sz w:val="21"/>
        </w:rPr>
        <w:t>than half </w:t>
      </w:r>
      <w:r>
        <w:rPr>
          <w:w w:val="105"/>
          <w:sz w:val="21"/>
        </w:rPr>
        <w:t>the estate </w:t>
      </w:r>
      <w:r>
        <w:rPr>
          <w:spacing w:val="-3"/>
          <w:w w:val="105"/>
          <w:sz w:val="21"/>
        </w:rPr>
        <w:t>to </w:t>
      </w:r>
      <w:r>
        <w:rPr>
          <w:w w:val="105"/>
          <w:sz w:val="21"/>
        </w:rPr>
        <w:t>a nephew by marriage who was performing a </w:t>
      </w:r>
      <w:r>
        <w:rPr>
          <w:spacing w:val="-3"/>
          <w:w w:val="105"/>
          <w:sz w:val="21"/>
        </w:rPr>
        <w:t>carer’s </w:t>
      </w:r>
      <w:r>
        <w:rPr>
          <w:w w:val="105"/>
          <w:sz w:val="21"/>
        </w:rPr>
        <w:t>role</w:t>
      </w:r>
      <w:r>
        <w:rPr>
          <w:spacing w:val="21"/>
          <w:w w:val="105"/>
          <w:sz w:val="21"/>
        </w:rPr>
        <w:t> </w:t>
      </w:r>
      <w:r>
        <w:rPr>
          <w:w w:val="105"/>
          <w:position w:val="7"/>
          <w:sz w:val="12"/>
        </w:rPr>
        <w:t>34</w:t>
      </w:r>
    </w:p>
    <w:p>
      <w:pPr>
        <w:pStyle w:val="ListParagraph"/>
        <w:numPr>
          <w:ilvl w:val="2"/>
          <w:numId w:val="22"/>
        </w:numPr>
        <w:tabs>
          <w:tab w:pos="2721" w:val="left" w:leader="none"/>
          <w:tab w:pos="2722" w:val="left" w:leader="none"/>
        </w:tabs>
        <w:spacing w:line="242" w:lineRule="auto" w:before="122" w:after="0"/>
        <w:ind w:left="2721" w:right="1677" w:hanging="340"/>
        <w:jc w:val="left"/>
        <w:rPr>
          <w:sz w:val="12"/>
        </w:rPr>
      </w:pPr>
      <w:r>
        <w:rPr>
          <w:w w:val="105"/>
          <w:sz w:val="21"/>
        </w:rPr>
        <w:t>remedying</w:t>
      </w:r>
      <w:r>
        <w:rPr>
          <w:spacing w:val="-7"/>
          <w:w w:val="105"/>
          <w:sz w:val="21"/>
        </w:rPr>
        <w:t> </w:t>
      </w:r>
      <w:r>
        <w:rPr>
          <w:w w:val="105"/>
          <w:sz w:val="21"/>
        </w:rPr>
        <w:t>a</w:t>
      </w:r>
      <w:r>
        <w:rPr>
          <w:spacing w:val="-6"/>
          <w:w w:val="105"/>
          <w:sz w:val="21"/>
        </w:rPr>
        <w:t> </w:t>
      </w:r>
      <w:r>
        <w:rPr>
          <w:spacing w:val="-3"/>
          <w:w w:val="105"/>
          <w:sz w:val="21"/>
        </w:rPr>
        <w:t>current</w:t>
      </w:r>
      <w:r>
        <w:rPr>
          <w:spacing w:val="-6"/>
          <w:w w:val="105"/>
          <w:sz w:val="21"/>
        </w:rPr>
        <w:t> </w:t>
      </w:r>
      <w:r>
        <w:rPr>
          <w:spacing w:val="-3"/>
          <w:w w:val="105"/>
          <w:sz w:val="21"/>
        </w:rPr>
        <w:t>will</w:t>
      </w:r>
      <w:r>
        <w:rPr>
          <w:spacing w:val="-6"/>
          <w:w w:val="105"/>
          <w:sz w:val="21"/>
        </w:rPr>
        <w:t> </w:t>
      </w:r>
      <w:r>
        <w:rPr>
          <w:w w:val="105"/>
          <w:sz w:val="21"/>
        </w:rPr>
        <w:t>where</w:t>
      </w:r>
      <w:r>
        <w:rPr>
          <w:spacing w:val="-7"/>
          <w:w w:val="105"/>
          <w:sz w:val="21"/>
        </w:rPr>
        <w:t> </w:t>
      </w:r>
      <w:r>
        <w:rPr>
          <w:w w:val="105"/>
          <w:sz w:val="21"/>
        </w:rPr>
        <w:t>there</w:t>
      </w:r>
      <w:r>
        <w:rPr>
          <w:spacing w:val="-6"/>
          <w:w w:val="105"/>
          <w:sz w:val="21"/>
        </w:rPr>
        <w:t> </w:t>
      </w:r>
      <w:r>
        <w:rPr>
          <w:spacing w:val="-3"/>
          <w:w w:val="105"/>
          <w:sz w:val="21"/>
        </w:rPr>
        <w:t>may</w:t>
      </w:r>
      <w:r>
        <w:rPr>
          <w:spacing w:val="-6"/>
          <w:w w:val="105"/>
          <w:sz w:val="21"/>
        </w:rPr>
        <w:t> </w:t>
      </w:r>
      <w:r>
        <w:rPr>
          <w:spacing w:val="-3"/>
          <w:w w:val="105"/>
          <w:sz w:val="21"/>
        </w:rPr>
        <w:t>have</w:t>
      </w:r>
      <w:r>
        <w:rPr>
          <w:spacing w:val="-6"/>
          <w:w w:val="105"/>
          <w:sz w:val="21"/>
        </w:rPr>
        <w:t> </w:t>
      </w:r>
      <w:r>
        <w:rPr>
          <w:w w:val="105"/>
          <w:sz w:val="21"/>
        </w:rPr>
        <w:t>been</w:t>
      </w:r>
      <w:r>
        <w:rPr>
          <w:spacing w:val="-7"/>
          <w:w w:val="105"/>
          <w:sz w:val="21"/>
        </w:rPr>
        <w:t> </w:t>
      </w:r>
      <w:r>
        <w:rPr>
          <w:w w:val="105"/>
          <w:sz w:val="21"/>
        </w:rPr>
        <w:t>a</w:t>
      </w:r>
      <w:r>
        <w:rPr>
          <w:spacing w:val="-6"/>
          <w:w w:val="105"/>
          <w:sz w:val="21"/>
        </w:rPr>
        <w:t> </w:t>
      </w:r>
      <w:r>
        <w:rPr>
          <w:w w:val="105"/>
          <w:sz w:val="21"/>
        </w:rPr>
        <w:t>problem</w:t>
      </w:r>
      <w:r>
        <w:rPr>
          <w:spacing w:val="-6"/>
          <w:w w:val="105"/>
          <w:sz w:val="21"/>
        </w:rPr>
        <w:t> </w:t>
      </w:r>
      <w:r>
        <w:rPr>
          <w:w w:val="105"/>
          <w:sz w:val="21"/>
        </w:rPr>
        <w:t>with</w:t>
      </w:r>
      <w:r>
        <w:rPr>
          <w:spacing w:val="-6"/>
          <w:w w:val="105"/>
          <w:sz w:val="21"/>
        </w:rPr>
        <w:t> </w:t>
      </w:r>
      <w:r>
        <w:rPr>
          <w:w w:val="105"/>
          <w:sz w:val="21"/>
        </w:rPr>
        <w:t>lack</w:t>
      </w:r>
      <w:r>
        <w:rPr>
          <w:spacing w:val="-7"/>
          <w:w w:val="105"/>
          <w:sz w:val="21"/>
        </w:rPr>
        <w:t> </w:t>
      </w:r>
      <w:r>
        <w:rPr>
          <w:w w:val="105"/>
          <w:sz w:val="21"/>
        </w:rPr>
        <w:t>of</w:t>
      </w:r>
      <w:r>
        <w:rPr>
          <w:spacing w:val="-6"/>
          <w:w w:val="105"/>
          <w:sz w:val="21"/>
        </w:rPr>
        <w:t> </w:t>
      </w:r>
      <w:r>
        <w:rPr>
          <w:spacing w:val="-3"/>
          <w:w w:val="105"/>
          <w:sz w:val="21"/>
        </w:rPr>
        <w:t>capacity, valid </w:t>
      </w:r>
      <w:r>
        <w:rPr>
          <w:w w:val="105"/>
          <w:sz w:val="21"/>
        </w:rPr>
        <w:t>execution or</w:t>
      </w:r>
      <w:r>
        <w:rPr>
          <w:spacing w:val="18"/>
          <w:w w:val="105"/>
          <w:sz w:val="21"/>
        </w:rPr>
        <w:t> </w:t>
      </w:r>
      <w:r>
        <w:rPr>
          <w:spacing w:val="-3"/>
          <w:w w:val="105"/>
          <w:sz w:val="21"/>
        </w:rPr>
        <w:t>ademption.</w:t>
      </w:r>
      <w:r>
        <w:rPr>
          <w:spacing w:val="-3"/>
          <w:w w:val="105"/>
          <w:position w:val="7"/>
          <w:sz w:val="12"/>
        </w:rPr>
        <w:t>35</w:t>
      </w:r>
    </w:p>
    <w:p>
      <w:pPr>
        <w:pStyle w:val="ListParagraph"/>
        <w:numPr>
          <w:ilvl w:val="1"/>
          <w:numId w:val="22"/>
        </w:numPr>
        <w:tabs>
          <w:tab w:pos="2381" w:val="left" w:leader="none"/>
          <w:tab w:pos="2382" w:val="left" w:leader="none"/>
        </w:tabs>
        <w:spacing w:line="242" w:lineRule="auto" w:before="122" w:after="0"/>
        <w:ind w:left="2381" w:right="1785" w:hanging="794"/>
        <w:jc w:val="left"/>
        <w:rPr>
          <w:sz w:val="21"/>
        </w:rPr>
      </w:pPr>
      <w:r>
        <w:rPr>
          <w:sz w:val="21"/>
        </w:rPr>
        <w:t>The low number of </w:t>
      </w:r>
      <w:r>
        <w:rPr>
          <w:spacing w:val="-3"/>
          <w:sz w:val="21"/>
        </w:rPr>
        <w:t>applications for </w:t>
      </w:r>
      <w:r>
        <w:rPr>
          <w:sz w:val="21"/>
        </w:rPr>
        <w:t>statutory </w:t>
      </w:r>
      <w:r>
        <w:rPr>
          <w:spacing w:val="-3"/>
          <w:sz w:val="21"/>
        </w:rPr>
        <w:t>wills may indicate  that  </w:t>
      </w:r>
      <w:r>
        <w:rPr>
          <w:sz w:val="21"/>
        </w:rPr>
        <w:t>the system is </w:t>
      </w:r>
      <w:r>
        <w:rPr>
          <w:spacing w:val="-2"/>
          <w:sz w:val="21"/>
        </w:rPr>
        <w:t>not </w:t>
      </w:r>
      <w:r>
        <w:rPr>
          <w:sz w:val="21"/>
        </w:rPr>
        <w:t>being used by those whom it is </w:t>
      </w:r>
      <w:r>
        <w:rPr>
          <w:spacing w:val="-3"/>
          <w:sz w:val="21"/>
        </w:rPr>
        <w:t>intended to </w:t>
      </w:r>
      <w:r>
        <w:rPr>
          <w:sz w:val="21"/>
        </w:rPr>
        <w:t>assist, particularly given </w:t>
      </w:r>
      <w:r>
        <w:rPr>
          <w:spacing w:val="-3"/>
          <w:sz w:val="21"/>
        </w:rPr>
        <w:t>that </w:t>
      </w:r>
      <w:r>
        <w:rPr>
          <w:sz w:val="21"/>
        </w:rPr>
        <w:t>there </w:t>
      </w:r>
      <w:r>
        <w:rPr>
          <w:spacing w:val="-3"/>
          <w:sz w:val="21"/>
        </w:rPr>
        <w:t>are many </w:t>
      </w:r>
      <w:r>
        <w:rPr>
          <w:sz w:val="21"/>
        </w:rPr>
        <w:t>adults in Victoria who lack capacity </w:t>
      </w:r>
      <w:r>
        <w:rPr>
          <w:spacing w:val="-3"/>
          <w:sz w:val="21"/>
        </w:rPr>
        <w:t>to </w:t>
      </w:r>
      <w:r>
        <w:rPr>
          <w:spacing w:val="-4"/>
          <w:sz w:val="21"/>
        </w:rPr>
        <w:t>make </w:t>
      </w:r>
      <w:r>
        <w:rPr>
          <w:sz w:val="21"/>
        </w:rPr>
        <w:t>or </w:t>
      </w:r>
      <w:r>
        <w:rPr>
          <w:spacing w:val="-3"/>
          <w:sz w:val="21"/>
        </w:rPr>
        <w:t>change </w:t>
      </w:r>
      <w:r>
        <w:rPr>
          <w:sz w:val="21"/>
        </w:rPr>
        <w:t>a</w:t>
      </w:r>
      <w:r>
        <w:rPr>
          <w:spacing w:val="-4"/>
          <w:sz w:val="21"/>
        </w:rPr>
        <w:t> </w:t>
      </w:r>
      <w:r>
        <w:rPr>
          <w:spacing w:val="-3"/>
          <w:sz w:val="21"/>
        </w:rPr>
        <w:t>will.</w:t>
      </w:r>
    </w:p>
    <w:p>
      <w:pPr>
        <w:pStyle w:val="ListParagraph"/>
        <w:numPr>
          <w:ilvl w:val="1"/>
          <w:numId w:val="22"/>
        </w:numPr>
        <w:tabs>
          <w:tab w:pos="2381" w:val="left" w:leader="none"/>
          <w:tab w:pos="2382" w:val="left" w:leader="none"/>
        </w:tabs>
        <w:spacing w:line="242" w:lineRule="auto" w:before="124" w:after="0"/>
        <w:ind w:left="2381" w:right="1982" w:hanging="794"/>
        <w:jc w:val="left"/>
        <w:rPr>
          <w:sz w:val="21"/>
        </w:rPr>
      </w:pPr>
      <w:r>
        <w:rPr>
          <w:w w:val="105"/>
          <w:sz w:val="21"/>
        </w:rPr>
        <w:t>The </w:t>
      </w:r>
      <w:r>
        <w:rPr>
          <w:spacing w:val="-3"/>
          <w:w w:val="105"/>
          <w:sz w:val="21"/>
        </w:rPr>
        <w:t>Commission </w:t>
      </w:r>
      <w:r>
        <w:rPr>
          <w:w w:val="105"/>
          <w:sz w:val="21"/>
        </w:rPr>
        <w:t>was told of a number of </w:t>
      </w:r>
      <w:r>
        <w:rPr>
          <w:spacing w:val="-3"/>
          <w:w w:val="105"/>
          <w:sz w:val="21"/>
        </w:rPr>
        <w:t>reasons for </w:t>
      </w:r>
      <w:r>
        <w:rPr>
          <w:w w:val="105"/>
          <w:sz w:val="21"/>
        </w:rPr>
        <w:t>the low number of </w:t>
      </w:r>
      <w:r>
        <w:rPr>
          <w:spacing w:val="-3"/>
          <w:w w:val="105"/>
          <w:sz w:val="21"/>
        </w:rPr>
        <w:t>applications. </w:t>
      </w:r>
      <w:r>
        <w:rPr>
          <w:w w:val="105"/>
          <w:sz w:val="21"/>
        </w:rPr>
        <w:t>Some depend on the </w:t>
      </w:r>
      <w:r>
        <w:rPr>
          <w:spacing w:val="-3"/>
          <w:w w:val="105"/>
          <w:sz w:val="21"/>
        </w:rPr>
        <w:t>circumstances </w:t>
      </w:r>
      <w:r>
        <w:rPr>
          <w:w w:val="105"/>
          <w:sz w:val="21"/>
        </w:rPr>
        <w:t>of the</w:t>
      </w:r>
      <w:r>
        <w:rPr>
          <w:spacing w:val="30"/>
          <w:w w:val="105"/>
          <w:sz w:val="21"/>
        </w:rPr>
        <w:t> </w:t>
      </w:r>
      <w:r>
        <w:rPr>
          <w:w w:val="105"/>
          <w:sz w:val="21"/>
        </w:rPr>
        <w:t>individual:</w:t>
      </w:r>
    </w:p>
    <w:p>
      <w:pPr>
        <w:pStyle w:val="ListParagraph"/>
        <w:numPr>
          <w:ilvl w:val="2"/>
          <w:numId w:val="22"/>
        </w:numPr>
        <w:tabs>
          <w:tab w:pos="2721" w:val="left" w:leader="none"/>
          <w:tab w:pos="2722" w:val="left" w:leader="none"/>
        </w:tabs>
        <w:spacing w:line="242" w:lineRule="auto" w:before="122" w:after="0"/>
        <w:ind w:left="2721" w:right="2322" w:hanging="340"/>
        <w:jc w:val="left"/>
        <w:rPr>
          <w:sz w:val="12"/>
        </w:rPr>
      </w:pPr>
      <w:r>
        <w:rPr>
          <w:w w:val="105"/>
          <w:sz w:val="21"/>
        </w:rPr>
        <w:t>A</w:t>
      </w:r>
      <w:r>
        <w:rPr>
          <w:spacing w:val="-7"/>
          <w:w w:val="105"/>
          <w:sz w:val="21"/>
        </w:rPr>
        <w:t> </w:t>
      </w:r>
      <w:r>
        <w:rPr>
          <w:spacing w:val="-3"/>
          <w:w w:val="105"/>
          <w:sz w:val="21"/>
        </w:rPr>
        <w:t>person’s</w:t>
      </w:r>
      <w:r>
        <w:rPr>
          <w:spacing w:val="-7"/>
          <w:w w:val="105"/>
          <w:sz w:val="21"/>
        </w:rPr>
        <w:t> </w:t>
      </w:r>
      <w:r>
        <w:rPr>
          <w:w w:val="105"/>
          <w:sz w:val="21"/>
        </w:rPr>
        <w:t>existing</w:t>
      </w:r>
      <w:r>
        <w:rPr>
          <w:spacing w:val="-7"/>
          <w:w w:val="105"/>
          <w:sz w:val="21"/>
        </w:rPr>
        <w:t> </w:t>
      </w:r>
      <w:r>
        <w:rPr>
          <w:spacing w:val="-3"/>
          <w:w w:val="105"/>
          <w:sz w:val="21"/>
        </w:rPr>
        <w:t>will</w:t>
      </w:r>
      <w:r>
        <w:rPr>
          <w:spacing w:val="-7"/>
          <w:w w:val="105"/>
          <w:sz w:val="21"/>
        </w:rPr>
        <w:t> </w:t>
      </w:r>
      <w:r>
        <w:rPr>
          <w:w w:val="105"/>
          <w:sz w:val="21"/>
        </w:rPr>
        <w:t>or</w:t>
      </w:r>
      <w:r>
        <w:rPr>
          <w:spacing w:val="-6"/>
          <w:w w:val="105"/>
          <w:sz w:val="21"/>
        </w:rPr>
        <w:t> </w:t>
      </w:r>
      <w:r>
        <w:rPr>
          <w:w w:val="105"/>
          <w:sz w:val="21"/>
        </w:rPr>
        <w:t>the</w:t>
      </w:r>
      <w:r>
        <w:rPr>
          <w:spacing w:val="-7"/>
          <w:w w:val="105"/>
          <w:sz w:val="21"/>
        </w:rPr>
        <w:t> </w:t>
      </w:r>
      <w:r>
        <w:rPr>
          <w:w w:val="105"/>
          <w:sz w:val="21"/>
        </w:rPr>
        <w:t>intestacy</w:t>
      </w:r>
      <w:r>
        <w:rPr>
          <w:spacing w:val="-7"/>
          <w:w w:val="105"/>
          <w:sz w:val="21"/>
        </w:rPr>
        <w:t> </w:t>
      </w:r>
      <w:r>
        <w:rPr>
          <w:spacing w:val="-3"/>
          <w:w w:val="105"/>
          <w:sz w:val="21"/>
        </w:rPr>
        <w:t>provisions</w:t>
      </w:r>
      <w:r>
        <w:rPr>
          <w:spacing w:val="-7"/>
          <w:w w:val="105"/>
          <w:sz w:val="21"/>
        </w:rPr>
        <w:t> </w:t>
      </w:r>
      <w:r>
        <w:rPr>
          <w:spacing w:val="-3"/>
          <w:w w:val="105"/>
          <w:sz w:val="21"/>
        </w:rPr>
        <w:t>are</w:t>
      </w:r>
      <w:r>
        <w:rPr>
          <w:spacing w:val="-7"/>
          <w:w w:val="105"/>
          <w:sz w:val="21"/>
        </w:rPr>
        <w:t> </w:t>
      </w:r>
      <w:r>
        <w:rPr>
          <w:w w:val="105"/>
          <w:sz w:val="21"/>
        </w:rPr>
        <w:t>often</w:t>
      </w:r>
      <w:r>
        <w:rPr>
          <w:spacing w:val="-6"/>
          <w:w w:val="105"/>
          <w:sz w:val="21"/>
        </w:rPr>
        <w:t> </w:t>
      </w:r>
      <w:r>
        <w:rPr>
          <w:spacing w:val="-3"/>
          <w:w w:val="105"/>
          <w:sz w:val="21"/>
        </w:rPr>
        <w:t>appropriate</w:t>
      </w:r>
      <w:r>
        <w:rPr>
          <w:spacing w:val="-7"/>
          <w:w w:val="105"/>
          <w:sz w:val="21"/>
        </w:rPr>
        <w:t> </w:t>
      </w:r>
      <w:r>
        <w:rPr>
          <w:spacing w:val="-3"/>
          <w:w w:val="105"/>
          <w:sz w:val="21"/>
        </w:rPr>
        <w:t>to</w:t>
      </w:r>
      <w:r>
        <w:rPr>
          <w:spacing w:val="-7"/>
          <w:w w:val="105"/>
          <w:sz w:val="21"/>
        </w:rPr>
        <w:t> </w:t>
      </w:r>
      <w:r>
        <w:rPr>
          <w:w w:val="105"/>
          <w:sz w:val="21"/>
        </w:rPr>
        <w:t>the </w:t>
      </w:r>
      <w:r>
        <w:rPr>
          <w:spacing w:val="-3"/>
          <w:w w:val="105"/>
          <w:sz w:val="21"/>
        </w:rPr>
        <w:t>person’s</w:t>
      </w:r>
      <w:r>
        <w:rPr>
          <w:spacing w:val="5"/>
          <w:w w:val="105"/>
          <w:sz w:val="21"/>
        </w:rPr>
        <w:t> </w:t>
      </w:r>
      <w:r>
        <w:rPr>
          <w:spacing w:val="-3"/>
          <w:w w:val="105"/>
          <w:sz w:val="21"/>
        </w:rPr>
        <w:t>circumstances.</w:t>
      </w:r>
      <w:r>
        <w:rPr>
          <w:spacing w:val="-3"/>
          <w:w w:val="105"/>
          <w:position w:val="7"/>
          <w:sz w:val="12"/>
        </w:rPr>
        <w:t>36</w:t>
      </w:r>
    </w:p>
    <w:p>
      <w:pPr>
        <w:pStyle w:val="ListParagraph"/>
        <w:numPr>
          <w:ilvl w:val="2"/>
          <w:numId w:val="22"/>
        </w:numPr>
        <w:tabs>
          <w:tab w:pos="2721" w:val="left" w:leader="none"/>
          <w:tab w:pos="2722" w:val="left" w:leader="none"/>
        </w:tabs>
        <w:spacing w:line="242" w:lineRule="auto" w:before="122" w:after="0"/>
        <w:ind w:left="2721" w:right="1650" w:hanging="340"/>
        <w:jc w:val="left"/>
        <w:rPr>
          <w:sz w:val="12"/>
        </w:rPr>
      </w:pPr>
      <w:r>
        <w:rPr>
          <w:spacing w:val="-3"/>
          <w:sz w:val="21"/>
        </w:rPr>
        <w:t>Many potential </w:t>
      </w:r>
      <w:r>
        <w:rPr>
          <w:sz w:val="21"/>
        </w:rPr>
        <w:t>beneficiaries, particularly carers, would see it as </w:t>
      </w:r>
      <w:r>
        <w:rPr>
          <w:spacing w:val="-3"/>
          <w:sz w:val="21"/>
        </w:rPr>
        <w:t>inappropriate to  bring </w:t>
      </w:r>
      <w:r>
        <w:rPr>
          <w:sz w:val="21"/>
        </w:rPr>
        <w:t>an application </w:t>
      </w:r>
      <w:r>
        <w:rPr>
          <w:spacing w:val="-3"/>
          <w:sz w:val="21"/>
        </w:rPr>
        <w:t>during </w:t>
      </w:r>
      <w:r>
        <w:rPr>
          <w:sz w:val="21"/>
        </w:rPr>
        <w:t>the </w:t>
      </w:r>
      <w:r>
        <w:rPr>
          <w:spacing w:val="-3"/>
          <w:sz w:val="21"/>
        </w:rPr>
        <w:t>person’s</w:t>
      </w:r>
      <w:r>
        <w:rPr>
          <w:spacing w:val="6"/>
          <w:sz w:val="21"/>
        </w:rPr>
        <w:t> </w:t>
      </w:r>
      <w:r>
        <w:rPr>
          <w:spacing w:val="-3"/>
          <w:sz w:val="21"/>
        </w:rPr>
        <w:t>lifetime.</w:t>
      </w:r>
      <w:r>
        <w:rPr>
          <w:spacing w:val="-3"/>
          <w:position w:val="7"/>
          <w:sz w:val="12"/>
        </w:rPr>
        <w:t>37</w:t>
      </w:r>
    </w:p>
    <w:p>
      <w:pPr>
        <w:pStyle w:val="ListParagraph"/>
        <w:numPr>
          <w:ilvl w:val="2"/>
          <w:numId w:val="22"/>
        </w:numPr>
        <w:tabs>
          <w:tab w:pos="2721" w:val="left" w:leader="none"/>
          <w:tab w:pos="2722" w:val="left" w:leader="none"/>
        </w:tabs>
        <w:spacing w:line="242" w:lineRule="auto" w:before="122" w:after="0"/>
        <w:ind w:left="2721" w:right="1607" w:hanging="340"/>
        <w:jc w:val="left"/>
        <w:rPr>
          <w:sz w:val="12"/>
        </w:rPr>
      </w:pPr>
      <w:r>
        <w:rPr>
          <w:w w:val="105"/>
          <w:sz w:val="21"/>
        </w:rPr>
        <w:t>Prospective applicants </w:t>
      </w:r>
      <w:r>
        <w:rPr>
          <w:spacing w:val="-3"/>
          <w:w w:val="105"/>
          <w:sz w:val="21"/>
        </w:rPr>
        <w:t>may </w:t>
      </w:r>
      <w:r>
        <w:rPr>
          <w:spacing w:val="-2"/>
          <w:w w:val="105"/>
          <w:sz w:val="21"/>
        </w:rPr>
        <w:t>not </w:t>
      </w:r>
      <w:r>
        <w:rPr>
          <w:spacing w:val="-3"/>
          <w:w w:val="105"/>
          <w:sz w:val="21"/>
        </w:rPr>
        <w:t>have </w:t>
      </w:r>
      <w:r>
        <w:rPr>
          <w:spacing w:val="-2"/>
          <w:w w:val="105"/>
          <w:sz w:val="21"/>
        </w:rPr>
        <w:t>access </w:t>
      </w:r>
      <w:r>
        <w:rPr>
          <w:spacing w:val="-3"/>
          <w:w w:val="105"/>
          <w:sz w:val="21"/>
        </w:rPr>
        <w:t>to relevant information, for example, </w:t>
      </w:r>
      <w:r>
        <w:rPr>
          <w:w w:val="105"/>
          <w:sz w:val="21"/>
        </w:rPr>
        <w:t>the </w:t>
      </w:r>
      <w:r>
        <w:rPr>
          <w:spacing w:val="-3"/>
          <w:w w:val="105"/>
          <w:sz w:val="21"/>
        </w:rPr>
        <w:t>person’s</w:t>
      </w:r>
      <w:r>
        <w:rPr>
          <w:spacing w:val="-9"/>
          <w:w w:val="105"/>
          <w:sz w:val="21"/>
        </w:rPr>
        <w:t> </w:t>
      </w:r>
      <w:r>
        <w:rPr>
          <w:spacing w:val="-3"/>
          <w:w w:val="105"/>
          <w:sz w:val="21"/>
        </w:rPr>
        <w:t>current</w:t>
      </w:r>
      <w:r>
        <w:rPr>
          <w:spacing w:val="-9"/>
          <w:w w:val="105"/>
          <w:sz w:val="21"/>
        </w:rPr>
        <w:t> </w:t>
      </w:r>
      <w:r>
        <w:rPr>
          <w:spacing w:val="-3"/>
          <w:w w:val="105"/>
          <w:sz w:val="21"/>
        </w:rPr>
        <w:t>will,</w:t>
      </w:r>
      <w:r>
        <w:rPr>
          <w:spacing w:val="-8"/>
          <w:w w:val="105"/>
          <w:sz w:val="21"/>
        </w:rPr>
        <w:t> </w:t>
      </w:r>
      <w:r>
        <w:rPr>
          <w:w w:val="105"/>
          <w:sz w:val="21"/>
        </w:rPr>
        <w:t>details</w:t>
      </w:r>
      <w:r>
        <w:rPr>
          <w:spacing w:val="-9"/>
          <w:w w:val="105"/>
          <w:sz w:val="21"/>
        </w:rPr>
        <w:t> </w:t>
      </w:r>
      <w:r>
        <w:rPr>
          <w:w w:val="105"/>
          <w:sz w:val="21"/>
        </w:rPr>
        <w:t>of</w:t>
      </w:r>
      <w:r>
        <w:rPr>
          <w:spacing w:val="-9"/>
          <w:w w:val="105"/>
          <w:sz w:val="21"/>
        </w:rPr>
        <w:t> </w:t>
      </w:r>
      <w:r>
        <w:rPr>
          <w:spacing w:val="-3"/>
          <w:w w:val="105"/>
          <w:sz w:val="21"/>
        </w:rPr>
        <w:t>family</w:t>
      </w:r>
      <w:r>
        <w:rPr>
          <w:spacing w:val="-8"/>
          <w:w w:val="105"/>
          <w:sz w:val="21"/>
        </w:rPr>
        <w:t> </w:t>
      </w:r>
      <w:r>
        <w:rPr>
          <w:w w:val="105"/>
          <w:sz w:val="21"/>
        </w:rPr>
        <w:t>members</w:t>
      </w:r>
      <w:r>
        <w:rPr>
          <w:spacing w:val="-9"/>
          <w:w w:val="105"/>
          <w:sz w:val="21"/>
        </w:rPr>
        <w:t> </w:t>
      </w:r>
      <w:r>
        <w:rPr>
          <w:w w:val="105"/>
          <w:sz w:val="21"/>
        </w:rPr>
        <w:t>and</w:t>
      </w:r>
      <w:r>
        <w:rPr>
          <w:spacing w:val="-9"/>
          <w:w w:val="105"/>
          <w:sz w:val="21"/>
        </w:rPr>
        <w:t> </w:t>
      </w:r>
      <w:r>
        <w:rPr>
          <w:spacing w:val="-3"/>
          <w:w w:val="105"/>
          <w:sz w:val="21"/>
        </w:rPr>
        <w:t>relationships</w:t>
      </w:r>
      <w:r>
        <w:rPr>
          <w:spacing w:val="-8"/>
          <w:w w:val="105"/>
          <w:sz w:val="21"/>
        </w:rPr>
        <w:t> </w:t>
      </w:r>
      <w:r>
        <w:rPr>
          <w:w w:val="105"/>
          <w:sz w:val="21"/>
        </w:rPr>
        <w:t>or</w:t>
      </w:r>
      <w:r>
        <w:rPr>
          <w:spacing w:val="-9"/>
          <w:w w:val="105"/>
          <w:sz w:val="21"/>
        </w:rPr>
        <w:t> </w:t>
      </w:r>
      <w:r>
        <w:rPr>
          <w:spacing w:val="-3"/>
          <w:w w:val="105"/>
          <w:sz w:val="21"/>
        </w:rPr>
        <w:t>information</w:t>
      </w:r>
      <w:r>
        <w:rPr>
          <w:spacing w:val="-9"/>
          <w:w w:val="105"/>
          <w:sz w:val="21"/>
        </w:rPr>
        <w:t> </w:t>
      </w:r>
      <w:r>
        <w:rPr>
          <w:w w:val="105"/>
          <w:sz w:val="21"/>
        </w:rPr>
        <w:t>about the </w:t>
      </w:r>
      <w:r>
        <w:rPr>
          <w:spacing w:val="-3"/>
          <w:w w:val="105"/>
          <w:sz w:val="21"/>
        </w:rPr>
        <w:t>person’s</w:t>
      </w:r>
      <w:r>
        <w:rPr>
          <w:spacing w:val="10"/>
          <w:w w:val="105"/>
          <w:sz w:val="21"/>
        </w:rPr>
        <w:t> </w:t>
      </w:r>
      <w:r>
        <w:rPr>
          <w:w w:val="105"/>
          <w:sz w:val="21"/>
        </w:rPr>
        <w:t>assets.</w:t>
      </w:r>
      <w:r>
        <w:rPr>
          <w:w w:val="105"/>
          <w:position w:val="7"/>
          <w:sz w:val="12"/>
        </w:rPr>
        <w:t>38</w:t>
      </w:r>
    </w:p>
    <w:p>
      <w:pPr>
        <w:pStyle w:val="ListParagraph"/>
        <w:numPr>
          <w:ilvl w:val="1"/>
          <w:numId w:val="22"/>
        </w:numPr>
        <w:tabs>
          <w:tab w:pos="2380" w:val="left" w:leader="none"/>
          <w:tab w:pos="2381" w:val="left" w:leader="none"/>
        </w:tabs>
        <w:spacing w:line="242" w:lineRule="auto" w:before="123" w:after="0"/>
        <w:ind w:left="2381" w:right="1870" w:hanging="794"/>
        <w:jc w:val="left"/>
        <w:rPr>
          <w:sz w:val="21"/>
        </w:rPr>
      </w:pPr>
      <w:r>
        <w:rPr>
          <w:sz w:val="21"/>
        </w:rPr>
        <w:t>Other </w:t>
      </w:r>
      <w:r>
        <w:rPr>
          <w:spacing w:val="-3"/>
          <w:sz w:val="21"/>
        </w:rPr>
        <w:t>reasons for </w:t>
      </w:r>
      <w:r>
        <w:rPr>
          <w:sz w:val="21"/>
        </w:rPr>
        <w:t>low numbers of </w:t>
      </w:r>
      <w:r>
        <w:rPr>
          <w:spacing w:val="-3"/>
          <w:sz w:val="21"/>
        </w:rPr>
        <w:t>applications are </w:t>
      </w:r>
      <w:r>
        <w:rPr>
          <w:sz w:val="21"/>
        </w:rPr>
        <w:t>more closely </w:t>
      </w:r>
      <w:r>
        <w:rPr>
          <w:spacing w:val="-3"/>
          <w:sz w:val="21"/>
        </w:rPr>
        <w:t>related to </w:t>
      </w:r>
      <w:r>
        <w:rPr>
          <w:sz w:val="21"/>
        </w:rPr>
        <w:t>the statutory </w:t>
      </w:r>
      <w:r>
        <w:rPr>
          <w:spacing w:val="-3"/>
          <w:sz w:val="21"/>
        </w:rPr>
        <w:t>wills</w:t>
      </w:r>
      <w:r>
        <w:rPr>
          <w:spacing w:val="8"/>
          <w:sz w:val="21"/>
        </w:rPr>
        <w:t> </w:t>
      </w:r>
      <w:r>
        <w:rPr>
          <w:sz w:val="21"/>
        </w:rPr>
        <w:t>scheme:</w:t>
      </w:r>
    </w:p>
    <w:p>
      <w:pPr>
        <w:pStyle w:val="ListParagraph"/>
        <w:numPr>
          <w:ilvl w:val="2"/>
          <w:numId w:val="22"/>
        </w:numPr>
        <w:tabs>
          <w:tab w:pos="2721" w:val="left" w:leader="none"/>
          <w:tab w:pos="2722" w:val="left" w:leader="none"/>
        </w:tabs>
        <w:spacing w:line="242" w:lineRule="auto" w:before="123" w:after="0"/>
        <w:ind w:left="2721" w:right="2318" w:hanging="340"/>
        <w:jc w:val="left"/>
        <w:rPr>
          <w:sz w:val="12"/>
        </w:rPr>
      </w:pPr>
      <w:r>
        <w:rPr>
          <w:w w:val="105"/>
          <w:sz w:val="21"/>
        </w:rPr>
        <w:t>a</w:t>
      </w:r>
      <w:r>
        <w:rPr>
          <w:spacing w:val="-4"/>
          <w:w w:val="105"/>
          <w:sz w:val="21"/>
        </w:rPr>
        <w:t> </w:t>
      </w:r>
      <w:r>
        <w:rPr>
          <w:w w:val="105"/>
          <w:sz w:val="21"/>
        </w:rPr>
        <w:t>lack</w:t>
      </w:r>
      <w:r>
        <w:rPr>
          <w:spacing w:val="-3"/>
          <w:w w:val="105"/>
          <w:sz w:val="21"/>
        </w:rPr>
        <w:t> </w:t>
      </w:r>
      <w:r>
        <w:rPr>
          <w:w w:val="105"/>
          <w:sz w:val="21"/>
        </w:rPr>
        <w:t>of</w:t>
      </w:r>
      <w:r>
        <w:rPr>
          <w:spacing w:val="-3"/>
          <w:w w:val="105"/>
          <w:sz w:val="21"/>
        </w:rPr>
        <w:t> </w:t>
      </w:r>
      <w:r>
        <w:rPr>
          <w:w w:val="105"/>
          <w:sz w:val="21"/>
        </w:rPr>
        <w:t>knowledge</w:t>
      </w:r>
      <w:r>
        <w:rPr>
          <w:spacing w:val="-3"/>
          <w:w w:val="105"/>
          <w:sz w:val="21"/>
        </w:rPr>
        <w:t> </w:t>
      </w:r>
      <w:r>
        <w:rPr>
          <w:w w:val="105"/>
          <w:sz w:val="21"/>
        </w:rPr>
        <w:t>about</w:t>
      </w:r>
      <w:r>
        <w:rPr>
          <w:spacing w:val="-4"/>
          <w:w w:val="105"/>
          <w:sz w:val="21"/>
        </w:rPr>
        <w:t> </w:t>
      </w:r>
      <w:r>
        <w:rPr>
          <w:w w:val="105"/>
          <w:sz w:val="21"/>
        </w:rPr>
        <w:t>the</w:t>
      </w:r>
      <w:r>
        <w:rPr>
          <w:spacing w:val="-3"/>
          <w:w w:val="105"/>
          <w:sz w:val="21"/>
        </w:rPr>
        <w:t> scheme, </w:t>
      </w:r>
      <w:r>
        <w:rPr>
          <w:w w:val="105"/>
          <w:sz w:val="21"/>
        </w:rPr>
        <w:t>both</w:t>
      </w:r>
      <w:r>
        <w:rPr>
          <w:spacing w:val="-3"/>
          <w:w w:val="105"/>
          <w:sz w:val="21"/>
        </w:rPr>
        <w:t> </w:t>
      </w:r>
      <w:r>
        <w:rPr>
          <w:w w:val="105"/>
          <w:sz w:val="21"/>
        </w:rPr>
        <w:t>in</w:t>
      </w:r>
      <w:r>
        <w:rPr>
          <w:spacing w:val="-3"/>
          <w:w w:val="105"/>
          <w:sz w:val="21"/>
        </w:rPr>
        <w:t> </w:t>
      </w:r>
      <w:r>
        <w:rPr>
          <w:w w:val="105"/>
          <w:sz w:val="21"/>
        </w:rPr>
        <w:t>the</w:t>
      </w:r>
      <w:r>
        <w:rPr>
          <w:spacing w:val="-4"/>
          <w:w w:val="105"/>
          <w:sz w:val="21"/>
        </w:rPr>
        <w:t> </w:t>
      </w:r>
      <w:r>
        <w:rPr>
          <w:w w:val="105"/>
          <w:sz w:val="21"/>
        </w:rPr>
        <w:t>legal</w:t>
      </w:r>
      <w:r>
        <w:rPr>
          <w:spacing w:val="-3"/>
          <w:w w:val="105"/>
          <w:sz w:val="21"/>
        </w:rPr>
        <w:t> </w:t>
      </w:r>
      <w:r>
        <w:rPr>
          <w:w w:val="105"/>
          <w:sz w:val="21"/>
        </w:rPr>
        <w:t>sector</w:t>
      </w:r>
      <w:r>
        <w:rPr>
          <w:spacing w:val="-3"/>
          <w:w w:val="105"/>
          <w:sz w:val="21"/>
        </w:rPr>
        <w:t> </w:t>
      </w:r>
      <w:r>
        <w:rPr>
          <w:w w:val="105"/>
          <w:sz w:val="21"/>
        </w:rPr>
        <w:t>and</w:t>
      </w:r>
      <w:r>
        <w:rPr>
          <w:spacing w:val="-3"/>
          <w:w w:val="105"/>
          <w:sz w:val="21"/>
        </w:rPr>
        <w:t> </w:t>
      </w:r>
      <w:r>
        <w:rPr>
          <w:w w:val="105"/>
          <w:sz w:val="21"/>
        </w:rPr>
        <w:t>the</w:t>
      </w:r>
      <w:r>
        <w:rPr>
          <w:spacing w:val="-4"/>
          <w:w w:val="105"/>
          <w:sz w:val="21"/>
        </w:rPr>
        <w:t> </w:t>
      </w:r>
      <w:r>
        <w:rPr>
          <w:w w:val="105"/>
          <w:sz w:val="21"/>
        </w:rPr>
        <w:t>wider community</w:t>
      </w:r>
      <w:r>
        <w:rPr>
          <w:spacing w:val="-29"/>
          <w:w w:val="105"/>
          <w:sz w:val="21"/>
        </w:rPr>
        <w:t> </w:t>
      </w:r>
      <w:r>
        <w:rPr>
          <w:w w:val="105"/>
          <w:position w:val="7"/>
          <w:sz w:val="12"/>
        </w:rPr>
        <w:t>39</w:t>
      </w:r>
    </w:p>
    <w:p>
      <w:pPr>
        <w:pStyle w:val="ListParagraph"/>
        <w:numPr>
          <w:ilvl w:val="2"/>
          <w:numId w:val="22"/>
        </w:numPr>
        <w:tabs>
          <w:tab w:pos="2721" w:val="left" w:leader="none"/>
          <w:tab w:pos="2722" w:val="left" w:leader="none"/>
        </w:tabs>
        <w:spacing w:line="242" w:lineRule="auto" w:before="122" w:after="0"/>
        <w:ind w:left="2721" w:right="1685" w:hanging="340"/>
        <w:jc w:val="left"/>
        <w:rPr>
          <w:sz w:val="12"/>
        </w:rPr>
      </w:pPr>
      <w:r>
        <w:rPr>
          <w:sz w:val="21"/>
        </w:rPr>
        <w:t>uncertainty about how much an application </w:t>
      </w:r>
      <w:r>
        <w:rPr>
          <w:spacing w:val="-3"/>
          <w:sz w:val="21"/>
        </w:rPr>
        <w:t>will </w:t>
      </w:r>
      <w:r>
        <w:rPr>
          <w:sz w:val="21"/>
        </w:rPr>
        <w:t>cost and who </w:t>
      </w:r>
      <w:r>
        <w:rPr>
          <w:spacing w:val="-3"/>
          <w:sz w:val="21"/>
        </w:rPr>
        <w:t>will </w:t>
      </w:r>
      <w:r>
        <w:rPr>
          <w:sz w:val="21"/>
        </w:rPr>
        <w:t>be </w:t>
      </w:r>
      <w:r>
        <w:rPr>
          <w:spacing w:val="-3"/>
          <w:sz w:val="21"/>
        </w:rPr>
        <w:t>required to  </w:t>
      </w:r>
      <w:r>
        <w:rPr>
          <w:spacing w:val="-2"/>
          <w:sz w:val="21"/>
        </w:rPr>
        <w:t>pay</w:t>
      </w:r>
      <w:r>
        <w:rPr>
          <w:spacing w:val="43"/>
          <w:sz w:val="21"/>
        </w:rPr>
        <w:t> </w:t>
      </w:r>
      <w:r>
        <w:rPr>
          <w:spacing w:val="-3"/>
          <w:sz w:val="21"/>
        </w:rPr>
        <w:t>for </w:t>
      </w:r>
      <w:r>
        <w:rPr>
          <w:sz w:val="21"/>
        </w:rPr>
        <w:t>it</w:t>
      </w:r>
      <w:r>
        <w:rPr>
          <w:spacing w:val="-15"/>
          <w:sz w:val="21"/>
        </w:rPr>
        <w:t> </w:t>
      </w:r>
      <w:r>
        <w:rPr>
          <w:spacing w:val="3"/>
          <w:position w:val="7"/>
          <w:sz w:val="12"/>
        </w:rPr>
        <w:t>40</w:t>
      </w:r>
    </w:p>
    <w:p>
      <w:pPr>
        <w:pStyle w:val="ListParagraph"/>
        <w:numPr>
          <w:ilvl w:val="2"/>
          <w:numId w:val="22"/>
        </w:numPr>
        <w:tabs>
          <w:tab w:pos="2721" w:val="left" w:leader="none"/>
          <w:tab w:pos="2722" w:val="left" w:leader="none"/>
        </w:tabs>
        <w:spacing w:line="242" w:lineRule="auto" w:before="122" w:after="0"/>
        <w:ind w:left="2721" w:right="2848" w:hanging="340"/>
        <w:jc w:val="left"/>
        <w:rPr>
          <w:sz w:val="12"/>
        </w:rPr>
      </w:pPr>
      <w:r>
        <w:rPr>
          <w:w w:val="105"/>
          <w:sz w:val="21"/>
        </w:rPr>
        <w:t>the</w:t>
      </w:r>
      <w:r>
        <w:rPr>
          <w:spacing w:val="-7"/>
          <w:w w:val="105"/>
          <w:sz w:val="21"/>
        </w:rPr>
        <w:t> </w:t>
      </w:r>
      <w:r>
        <w:rPr>
          <w:spacing w:val="-3"/>
          <w:w w:val="105"/>
          <w:sz w:val="21"/>
        </w:rPr>
        <w:t>relatively</w:t>
      </w:r>
      <w:r>
        <w:rPr>
          <w:spacing w:val="-7"/>
          <w:w w:val="105"/>
          <w:sz w:val="21"/>
        </w:rPr>
        <w:t> </w:t>
      </w:r>
      <w:r>
        <w:rPr>
          <w:spacing w:val="-3"/>
          <w:w w:val="105"/>
          <w:sz w:val="21"/>
        </w:rPr>
        <w:t>small</w:t>
      </w:r>
      <w:r>
        <w:rPr>
          <w:spacing w:val="-7"/>
          <w:w w:val="105"/>
          <w:sz w:val="21"/>
        </w:rPr>
        <w:t> </w:t>
      </w:r>
      <w:r>
        <w:rPr>
          <w:spacing w:val="-3"/>
          <w:w w:val="105"/>
          <w:sz w:val="21"/>
        </w:rPr>
        <w:t>size</w:t>
      </w:r>
      <w:r>
        <w:rPr>
          <w:spacing w:val="-7"/>
          <w:w w:val="105"/>
          <w:sz w:val="21"/>
        </w:rPr>
        <w:t> </w:t>
      </w:r>
      <w:r>
        <w:rPr>
          <w:w w:val="105"/>
          <w:sz w:val="21"/>
        </w:rPr>
        <w:t>of</w:t>
      </w:r>
      <w:r>
        <w:rPr>
          <w:spacing w:val="-7"/>
          <w:w w:val="105"/>
          <w:sz w:val="21"/>
        </w:rPr>
        <w:t> </w:t>
      </w:r>
      <w:r>
        <w:rPr>
          <w:w w:val="105"/>
          <w:sz w:val="21"/>
        </w:rPr>
        <w:t>an</w:t>
      </w:r>
      <w:r>
        <w:rPr>
          <w:spacing w:val="-8"/>
          <w:w w:val="105"/>
          <w:sz w:val="21"/>
        </w:rPr>
        <w:t> </w:t>
      </w:r>
      <w:r>
        <w:rPr>
          <w:w w:val="105"/>
          <w:sz w:val="21"/>
        </w:rPr>
        <w:t>estate</w:t>
      </w:r>
      <w:r>
        <w:rPr>
          <w:spacing w:val="-7"/>
          <w:w w:val="105"/>
          <w:sz w:val="21"/>
        </w:rPr>
        <w:t> </w:t>
      </w:r>
      <w:r>
        <w:rPr>
          <w:spacing w:val="-3"/>
          <w:w w:val="105"/>
          <w:sz w:val="21"/>
        </w:rPr>
        <w:t>may</w:t>
      </w:r>
      <w:r>
        <w:rPr>
          <w:spacing w:val="-7"/>
          <w:w w:val="105"/>
          <w:sz w:val="21"/>
        </w:rPr>
        <w:t> </w:t>
      </w:r>
      <w:r>
        <w:rPr>
          <w:spacing w:val="-4"/>
          <w:w w:val="105"/>
          <w:sz w:val="21"/>
        </w:rPr>
        <w:t>make</w:t>
      </w:r>
      <w:r>
        <w:rPr>
          <w:spacing w:val="-7"/>
          <w:w w:val="105"/>
          <w:sz w:val="21"/>
        </w:rPr>
        <w:t> </w:t>
      </w:r>
      <w:r>
        <w:rPr>
          <w:w w:val="105"/>
          <w:sz w:val="21"/>
        </w:rPr>
        <w:t>the</w:t>
      </w:r>
      <w:r>
        <w:rPr>
          <w:spacing w:val="-7"/>
          <w:w w:val="105"/>
          <w:sz w:val="21"/>
        </w:rPr>
        <w:t> </w:t>
      </w:r>
      <w:r>
        <w:rPr>
          <w:w w:val="105"/>
          <w:sz w:val="21"/>
        </w:rPr>
        <w:t>cost</w:t>
      </w:r>
      <w:r>
        <w:rPr>
          <w:spacing w:val="-7"/>
          <w:w w:val="105"/>
          <w:sz w:val="21"/>
        </w:rPr>
        <w:t> </w:t>
      </w:r>
      <w:r>
        <w:rPr>
          <w:w w:val="105"/>
          <w:sz w:val="21"/>
        </w:rPr>
        <w:t>of</w:t>
      </w:r>
      <w:r>
        <w:rPr>
          <w:spacing w:val="-7"/>
          <w:w w:val="105"/>
          <w:sz w:val="21"/>
        </w:rPr>
        <w:t> </w:t>
      </w:r>
      <w:r>
        <w:rPr>
          <w:w w:val="105"/>
          <w:sz w:val="21"/>
        </w:rPr>
        <w:t>an</w:t>
      </w:r>
      <w:r>
        <w:rPr>
          <w:spacing w:val="-7"/>
          <w:w w:val="105"/>
          <w:sz w:val="21"/>
        </w:rPr>
        <w:t> </w:t>
      </w:r>
      <w:r>
        <w:rPr>
          <w:w w:val="105"/>
          <w:sz w:val="21"/>
        </w:rPr>
        <w:t>application </w:t>
      </w:r>
      <w:r>
        <w:rPr>
          <w:spacing w:val="-3"/>
          <w:w w:val="105"/>
          <w:sz w:val="21"/>
        </w:rPr>
        <w:t>unaffordable.</w:t>
      </w:r>
      <w:r>
        <w:rPr>
          <w:spacing w:val="-3"/>
          <w:w w:val="105"/>
          <w:position w:val="7"/>
          <w:sz w:val="12"/>
        </w:rPr>
        <w:t>41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5"/>
        </w:rPr>
      </w:pPr>
      <w:r>
        <w:rPr/>
        <w:pict>
          <v:line style="position:absolute;mso-position-horizontal-relative:page;mso-position-vertical-relative:paragraph;z-index:1088;mso-wrap-distance-left:0;mso-wrap-distance-right:0" from="79.370102pt,12.026816pt" to="515.905102pt,12.026816pt" stroked="true" strokeweight="1pt" strokecolor="#f9ceca">
            <v:stroke dashstyle="solid"/>
            <w10:wrap type="topAndBottom"/>
          </v:line>
        </w:pict>
      </w:r>
    </w:p>
    <w:p>
      <w:pPr>
        <w:pStyle w:val="ListParagraph"/>
        <w:numPr>
          <w:ilvl w:val="0"/>
          <w:numId w:val="35"/>
        </w:numPr>
        <w:tabs>
          <w:tab w:pos="2380" w:val="left" w:leader="none"/>
          <w:tab w:pos="2382" w:val="left" w:leader="none"/>
        </w:tabs>
        <w:spacing w:line="240" w:lineRule="auto" w:before="117" w:after="0"/>
        <w:ind w:left="2381" w:right="0" w:hanging="794"/>
        <w:jc w:val="left"/>
        <w:rPr>
          <w:sz w:val="13"/>
        </w:rPr>
      </w:pPr>
      <w:r>
        <w:rPr>
          <w:i/>
          <w:w w:val="105"/>
          <w:sz w:val="13"/>
        </w:rPr>
        <w:t>Plowright v Burge </w:t>
      </w:r>
      <w:r>
        <w:rPr>
          <w:w w:val="105"/>
          <w:sz w:val="13"/>
        </w:rPr>
        <w:t>[2005] VSC 490 </w:t>
      </w:r>
      <w:r>
        <w:rPr>
          <w:spacing w:val="-2"/>
          <w:w w:val="105"/>
          <w:sz w:val="13"/>
        </w:rPr>
        <w:t>(16 </w:t>
      </w:r>
      <w:r>
        <w:rPr>
          <w:w w:val="105"/>
          <w:sz w:val="13"/>
        </w:rPr>
        <w:t>December</w:t>
      </w:r>
      <w:r>
        <w:rPr>
          <w:spacing w:val="7"/>
          <w:w w:val="105"/>
          <w:sz w:val="13"/>
        </w:rPr>
        <w:t> </w:t>
      </w:r>
      <w:r>
        <w:rPr>
          <w:spacing w:val="2"/>
          <w:w w:val="105"/>
          <w:sz w:val="13"/>
        </w:rPr>
        <w:t>2005).</w:t>
      </w:r>
    </w:p>
    <w:p>
      <w:pPr>
        <w:pStyle w:val="ListParagraph"/>
        <w:numPr>
          <w:ilvl w:val="0"/>
          <w:numId w:val="35"/>
        </w:numPr>
        <w:tabs>
          <w:tab w:pos="2380" w:val="left" w:leader="none"/>
          <w:tab w:pos="2381" w:val="left" w:leader="none"/>
        </w:tabs>
        <w:spacing w:line="240" w:lineRule="auto" w:before="1" w:after="0"/>
        <w:ind w:left="2380" w:right="0" w:hanging="793"/>
        <w:jc w:val="left"/>
        <w:rPr>
          <w:sz w:val="13"/>
        </w:rPr>
      </w:pPr>
      <w:r>
        <w:rPr>
          <w:i/>
          <w:w w:val="105"/>
          <w:sz w:val="13"/>
        </w:rPr>
        <w:t>De</w:t>
      </w:r>
      <w:r>
        <w:rPr>
          <w:i/>
          <w:spacing w:val="3"/>
          <w:w w:val="105"/>
          <w:sz w:val="13"/>
        </w:rPr>
        <w:t> </w:t>
      </w:r>
      <w:r>
        <w:rPr>
          <w:i/>
          <w:w w:val="105"/>
          <w:sz w:val="13"/>
        </w:rPr>
        <w:t>Gois</w:t>
      </w:r>
      <w:r>
        <w:rPr>
          <w:i/>
          <w:spacing w:val="4"/>
          <w:w w:val="105"/>
          <w:sz w:val="13"/>
        </w:rPr>
        <w:t> </w:t>
      </w:r>
      <w:r>
        <w:rPr>
          <w:i/>
          <w:w w:val="105"/>
          <w:sz w:val="13"/>
        </w:rPr>
        <w:t>v</w:t>
      </w:r>
      <w:r>
        <w:rPr>
          <w:i/>
          <w:spacing w:val="4"/>
          <w:w w:val="105"/>
          <w:sz w:val="13"/>
        </w:rPr>
        <w:t> </w:t>
      </w:r>
      <w:r>
        <w:rPr>
          <w:i/>
          <w:w w:val="105"/>
          <w:sz w:val="13"/>
        </w:rPr>
        <w:t>Korp</w:t>
      </w:r>
      <w:r>
        <w:rPr>
          <w:i/>
          <w:spacing w:val="5"/>
          <w:w w:val="105"/>
          <w:sz w:val="13"/>
        </w:rPr>
        <w:t> </w:t>
      </w:r>
      <w:r>
        <w:rPr>
          <w:w w:val="105"/>
          <w:sz w:val="13"/>
        </w:rPr>
        <w:t>[2005]</w:t>
      </w:r>
      <w:r>
        <w:rPr>
          <w:spacing w:val="5"/>
          <w:w w:val="105"/>
          <w:sz w:val="13"/>
        </w:rPr>
        <w:t> </w:t>
      </w:r>
      <w:r>
        <w:rPr>
          <w:w w:val="105"/>
          <w:sz w:val="13"/>
        </w:rPr>
        <w:t>VSC</w:t>
      </w:r>
      <w:r>
        <w:rPr>
          <w:spacing w:val="5"/>
          <w:w w:val="105"/>
          <w:sz w:val="13"/>
        </w:rPr>
        <w:t> </w:t>
      </w:r>
      <w:r>
        <w:rPr>
          <w:w w:val="105"/>
          <w:sz w:val="13"/>
        </w:rPr>
        <w:t>326</w:t>
      </w:r>
      <w:r>
        <w:rPr>
          <w:spacing w:val="5"/>
          <w:w w:val="105"/>
          <w:sz w:val="13"/>
        </w:rPr>
        <w:t> </w:t>
      </w:r>
      <w:r>
        <w:rPr>
          <w:spacing w:val="-2"/>
          <w:w w:val="105"/>
          <w:sz w:val="13"/>
        </w:rPr>
        <w:t>(18</w:t>
      </w:r>
      <w:r>
        <w:rPr>
          <w:spacing w:val="5"/>
          <w:w w:val="105"/>
          <w:sz w:val="13"/>
        </w:rPr>
        <w:t> </w:t>
      </w:r>
      <w:r>
        <w:rPr>
          <w:w w:val="105"/>
          <w:sz w:val="13"/>
        </w:rPr>
        <w:t>August</w:t>
      </w:r>
      <w:r>
        <w:rPr>
          <w:spacing w:val="5"/>
          <w:w w:val="105"/>
          <w:sz w:val="13"/>
        </w:rPr>
        <w:t> </w:t>
      </w:r>
      <w:r>
        <w:rPr>
          <w:spacing w:val="2"/>
          <w:w w:val="105"/>
          <w:sz w:val="13"/>
        </w:rPr>
        <w:t>2005).</w:t>
      </w:r>
    </w:p>
    <w:p>
      <w:pPr>
        <w:pStyle w:val="ListParagraph"/>
        <w:numPr>
          <w:ilvl w:val="0"/>
          <w:numId w:val="35"/>
        </w:numPr>
        <w:tabs>
          <w:tab w:pos="2380" w:val="left" w:leader="none"/>
          <w:tab w:pos="2381" w:val="left" w:leader="none"/>
        </w:tabs>
        <w:spacing w:line="240" w:lineRule="auto" w:before="2" w:after="0"/>
        <w:ind w:left="2380" w:right="0" w:hanging="793"/>
        <w:jc w:val="left"/>
        <w:rPr>
          <w:sz w:val="13"/>
        </w:rPr>
      </w:pPr>
      <w:r>
        <w:rPr>
          <w:i/>
          <w:w w:val="105"/>
          <w:sz w:val="13"/>
        </w:rPr>
        <w:t>State Trustees Ltd v Hayden </w:t>
      </w:r>
      <w:r>
        <w:rPr>
          <w:w w:val="105"/>
          <w:sz w:val="13"/>
        </w:rPr>
        <w:t>(2002) 4 VR</w:t>
      </w:r>
      <w:r>
        <w:rPr>
          <w:spacing w:val="1"/>
          <w:w w:val="105"/>
          <w:sz w:val="13"/>
        </w:rPr>
        <w:t> </w:t>
      </w:r>
      <w:r>
        <w:rPr>
          <w:w w:val="105"/>
          <w:sz w:val="13"/>
        </w:rPr>
        <w:t>229.</w:t>
      </w:r>
    </w:p>
    <w:p>
      <w:pPr>
        <w:pStyle w:val="ListParagraph"/>
        <w:numPr>
          <w:ilvl w:val="0"/>
          <w:numId w:val="35"/>
        </w:numPr>
        <w:tabs>
          <w:tab w:pos="2380" w:val="left" w:leader="none"/>
          <w:tab w:pos="2382" w:val="left" w:leader="none"/>
        </w:tabs>
        <w:spacing w:line="240" w:lineRule="auto" w:before="1" w:after="0"/>
        <w:ind w:left="2381" w:right="0" w:hanging="794"/>
        <w:jc w:val="left"/>
        <w:rPr>
          <w:sz w:val="13"/>
        </w:rPr>
      </w:pPr>
      <w:r>
        <w:rPr>
          <w:i/>
          <w:w w:val="105"/>
          <w:sz w:val="13"/>
        </w:rPr>
        <w:t>Monger</w:t>
      </w:r>
      <w:r>
        <w:rPr>
          <w:i/>
          <w:spacing w:val="9"/>
          <w:w w:val="105"/>
          <w:sz w:val="13"/>
        </w:rPr>
        <w:t> </w:t>
      </w:r>
      <w:r>
        <w:rPr>
          <w:i/>
          <w:w w:val="105"/>
          <w:sz w:val="13"/>
        </w:rPr>
        <w:t>v</w:t>
      </w:r>
      <w:r>
        <w:rPr>
          <w:i/>
          <w:spacing w:val="10"/>
          <w:w w:val="105"/>
          <w:sz w:val="13"/>
        </w:rPr>
        <w:t> </w:t>
      </w:r>
      <w:r>
        <w:rPr>
          <w:i/>
          <w:w w:val="105"/>
          <w:sz w:val="13"/>
        </w:rPr>
        <w:t>Taylor</w:t>
      </w:r>
      <w:r>
        <w:rPr>
          <w:i/>
          <w:spacing w:val="11"/>
          <w:w w:val="105"/>
          <w:sz w:val="13"/>
        </w:rPr>
        <w:t> </w:t>
      </w:r>
      <w:r>
        <w:rPr>
          <w:spacing w:val="2"/>
          <w:w w:val="105"/>
          <w:sz w:val="13"/>
        </w:rPr>
        <w:t>[2000]</w:t>
      </w:r>
      <w:r>
        <w:rPr>
          <w:spacing w:val="11"/>
          <w:w w:val="105"/>
          <w:sz w:val="13"/>
        </w:rPr>
        <w:t> </w:t>
      </w:r>
      <w:r>
        <w:rPr>
          <w:w w:val="105"/>
          <w:sz w:val="13"/>
        </w:rPr>
        <w:t>VSC</w:t>
      </w:r>
      <w:r>
        <w:rPr>
          <w:spacing w:val="11"/>
          <w:w w:val="105"/>
          <w:sz w:val="13"/>
        </w:rPr>
        <w:t> </w:t>
      </w:r>
      <w:r>
        <w:rPr>
          <w:spacing w:val="2"/>
          <w:w w:val="105"/>
          <w:sz w:val="13"/>
        </w:rPr>
        <w:t>304</w:t>
      </w:r>
      <w:r>
        <w:rPr>
          <w:spacing w:val="11"/>
          <w:w w:val="105"/>
          <w:sz w:val="13"/>
        </w:rPr>
        <w:t> </w:t>
      </w:r>
      <w:r>
        <w:rPr>
          <w:w w:val="105"/>
          <w:sz w:val="13"/>
        </w:rPr>
        <w:t>(2</w:t>
      </w:r>
      <w:r>
        <w:rPr>
          <w:spacing w:val="11"/>
          <w:w w:val="105"/>
          <w:sz w:val="13"/>
        </w:rPr>
        <w:t> </w:t>
      </w:r>
      <w:r>
        <w:rPr>
          <w:w w:val="105"/>
          <w:sz w:val="13"/>
        </w:rPr>
        <w:t>August</w:t>
      </w:r>
      <w:r>
        <w:rPr>
          <w:spacing w:val="11"/>
          <w:w w:val="105"/>
          <w:sz w:val="13"/>
        </w:rPr>
        <w:t> </w:t>
      </w:r>
      <w:r>
        <w:rPr>
          <w:spacing w:val="3"/>
          <w:w w:val="105"/>
          <w:sz w:val="13"/>
        </w:rPr>
        <w:t>2000).</w:t>
      </w:r>
    </w:p>
    <w:p>
      <w:pPr>
        <w:pStyle w:val="ListParagraph"/>
        <w:numPr>
          <w:ilvl w:val="0"/>
          <w:numId w:val="35"/>
        </w:numPr>
        <w:tabs>
          <w:tab w:pos="2380" w:val="left" w:leader="none"/>
          <w:tab w:pos="2382" w:val="left" w:leader="none"/>
        </w:tabs>
        <w:spacing w:line="240" w:lineRule="auto" w:before="1" w:after="0"/>
        <w:ind w:left="2381" w:right="0" w:hanging="794"/>
        <w:jc w:val="left"/>
        <w:rPr>
          <w:sz w:val="13"/>
        </w:rPr>
      </w:pPr>
      <w:r>
        <w:rPr>
          <w:w w:val="105"/>
          <w:sz w:val="13"/>
        </w:rPr>
        <w:t>Ademption</w:t>
      </w:r>
      <w:r>
        <w:rPr>
          <w:spacing w:val="6"/>
          <w:w w:val="105"/>
          <w:sz w:val="13"/>
        </w:rPr>
        <w:t> </w:t>
      </w:r>
      <w:r>
        <w:rPr>
          <w:w w:val="105"/>
          <w:sz w:val="13"/>
        </w:rPr>
        <w:t>is</w:t>
      </w:r>
      <w:r>
        <w:rPr>
          <w:spacing w:val="7"/>
          <w:w w:val="105"/>
          <w:sz w:val="13"/>
        </w:rPr>
        <w:t> </w:t>
      </w:r>
      <w:r>
        <w:rPr>
          <w:w w:val="105"/>
          <w:sz w:val="13"/>
        </w:rPr>
        <w:t>discussed</w:t>
      </w:r>
      <w:r>
        <w:rPr>
          <w:spacing w:val="7"/>
          <w:w w:val="105"/>
          <w:sz w:val="13"/>
        </w:rPr>
        <w:t> </w:t>
      </w:r>
      <w:r>
        <w:rPr>
          <w:w w:val="105"/>
          <w:sz w:val="13"/>
        </w:rPr>
        <w:t>in</w:t>
      </w:r>
      <w:r>
        <w:rPr>
          <w:spacing w:val="7"/>
          <w:w w:val="105"/>
          <w:sz w:val="13"/>
        </w:rPr>
        <w:t> </w:t>
      </w:r>
      <w:r>
        <w:rPr>
          <w:w w:val="105"/>
          <w:sz w:val="13"/>
        </w:rPr>
        <w:t>Chapter</w:t>
      </w:r>
      <w:r>
        <w:rPr>
          <w:spacing w:val="7"/>
          <w:w w:val="105"/>
          <w:sz w:val="13"/>
        </w:rPr>
        <w:t> </w:t>
      </w:r>
      <w:r>
        <w:rPr>
          <w:w w:val="105"/>
          <w:sz w:val="13"/>
        </w:rPr>
        <w:t>4</w:t>
      </w:r>
      <w:r>
        <w:rPr>
          <w:spacing w:val="7"/>
          <w:w w:val="105"/>
          <w:sz w:val="13"/>
        </w:rPr>
        <w:t> </w:t>
      </w:r>
      <w:r>
        <w:rPr>
          <w:w w:val="105"/>
          <w:sz w:val="13"/>
        </w:rPr>
        <w:t>of</w:t>
      </w:r>
      <w:r>
        <w:rPr>
          <w:spacing w:val="7"/>
          <w:w w:val="105"/>
          <w:sz w:val="13"/>
        </w:rPr>
        <w:t> </w:t>
      </w:r>
      <w:r>
        <w:rPr>
          <w:w w:val="105"/>
          <w:sz w:val="13"/>
        </w:rPr>
        <w:t>this</w:t>
      </w:r>
      <w:r>
        <w:rPr>
          <w:spacing w:val="7"/>
          <w:w w:val="105"/>
          <w:sz w:val="13"/>
        </w:rPr>
        <w:t> </w:t>
      </w:r>
      <w:r>
        <w:rPr>
          <w:w w:val="105"/>
          <w:sz w:val="13"/>
        </w:rPr>
        <w:t>report.</w:t>
      </w:r>
    </w:p>
    <w:p>
      <w:pPr>
        <w:pStyle w:val="ListParagraph"/>
        <w:numPr>
          <w:ilvl w:val="0"/>
          <w:numId w:val="35"/>
        </w:numPr>
        <w:tabs>
          <w:tab w:pos="2380" w:val="left" w:leader="none"/>
          <w:tab w:pos="2382" w:val="left" w:leader="none"/>
        </w:tabs>
        <w:spacing w:line="240" w:lineRule="auto" w:before="2" w:after="0"/>
        <w:ind w:left="2381" w:right="0" w:hanging="794"/>
        <w:jc w:val="left"/>
        <w:rPr>
          <w:sz w:val="13"/>
        </w:rPr>
      </w:pPr>
      <w:r>
        <w:rPr>
          <w:w w:val="105"/>
          <w:sz w:val="13"/>
        </w:rPr>
        <w:t>Consultation 1 (Wills</w:t>
      </w:r>
      <w:r>
        <w:rPr>
          <w:spacing w:val="13"/>
          <w:w w:val="105"/>
          <w:sz w:val="13"/>
        </w:rPr>
        <w:t> </w:t>
      </w:r>
      <w:r>
        <w:rPr>
          <w:w w:val="105"/>
          <w:sz w:val="13"/>
        </w:rPr>
        <w:t>roundtable).</w:t>
      </w:r>
    </w:p>
    <w:p>
      <w:pPr>
        <w:pStyle w:val="ListParagraph"/>
        <w:numPr>
          <w:ilvl w:val="0"/>
          <w:numId w:val="35"/>
        </w:numPr>
        <w:tabs>
          <w:tab w:pos="2380" w:val="left" w:leader="none"/>
          <w:tab w:pos="2382" w:val="left" w:leader="none"/>
        </w:tabs>
        <w:spacing w:line="240" w:lineRule="auto" w:before="1" w:after="0"/>
        <w:ind w:left="2381" w:right="0" w:hanging="794"/>
        <w:jc w:val="left"/>
        <w:rPr>
          <w:sz w:val="13"/>
        </w:rPr>
      </w:pPr>
      <w:r>
        <w:rPr>
          <w:sz w:val="13"/>
        </w:rPr>
        <w:t>Ibid.</w:t>
      </w:r>
    </w:p>
    <w:p>
      <w:pPr>
        <w:pStyle w:val="ListParagraph"/>
        <w:numPr>
          <w:ilvl w:val="0"/>
          <w:numId w:val="35"/>
        </w:numPr>
        <w:tabs>
          <w:tab w:pos="2380" w:val="left" w:leader="none"/>
          <w:tab w:pos="2382" w:val="left" w:leader="none"/>
        </w:tabs>
        <w:spacing w:line="240" w:lineRule="auto" w:before="1" w:after="0"/>
        <w:ind w:left="2381" w:right="0" w:hanging="794"/>
        <w:jc w:val="left"/>
        <w:rPr>
          <w:sz w:val="13"/>
        </w:rPr>
      </w:pPr>
      <w:r>
        <w:rPr>
          <w:w w:val="105"/>
          <w:sz w:val="13"/>
        </w:rPr>
        <w:t>Advisory Committee (Meeting</w:t>
      </w:r>
      <w:r>
        <w:rPr>
          <w:spacing w:val="13"/>
          <w:w w:val="105"/>
          <w:sz w:val="13"/>
        </w:rPr>
        <w:t> </w:t>
      </w:r>
      <w:r>
        <w:rPr>
          <w:spacing w:val="2"/>
          <w:w w:val="105"/>
          <w:sz w:val="13"/>
        </w:rPr>
        <w:t>2).</w:t>
      </w:r>
    </w:p>
    <w:p>
      <w:pPr>
        <w:pStyle w:val="ListParagraph"/>
        <w:numPr>
          <w:ilvl w:val="0"/>
          <w:numId w:val="35"/>
        </w:numPr>
        <w:tabs>
          <w:tab w:pos="2381" w:val="left" w:leader="none"/>
          <w:tab w:pos="2382" w:val="left" w:leader="none"/>
        </w:tabs>
        <w:spacing w:line="240" w:lineRule="auto" w:before="2" w:after="0"/>
        <w:ind w:left="2381" w:right="0" w:hanging="794"/>
        <w:jc w:val="left"/>
        <w:rPr>
          <w:sz w:val="13"/>
        </w:rPr>
      </w:pPr>
      <w:r>
        <w:rPr>
          <w:w w:val="105"/>
          <w:sz w:val="13"/>
        </w:rPr>
        <w:t>Consultation 1 (Wills roundtable); submission 1 </w:t>
      </w:r>
      <w:r>
        <w:rPr>
          <w:spacing w:val="2"/>
          <w:w w:val="105"/>
          <w:sz w:val="13"/>
        </w:rPr>
        <w:t>(Legal </w:t>
      </w:r>
      <w:r>
        <w:rPr>
          <w:w w:val="105"/>
          <w:sz w:val="13"/>
        </w:rPr>
        <w:t>Services</w:t>
      </w:r>
      <w:r>
        <w:rPr>
          <w:spacing w:val="4"/>
          <w:w w:val="105"/>
          <w:sz w:val="13"/>
        </w:rPr>
        <w:t> </w:t>
      </w:r>
      <w:r>
        <w:rPr>
          <w:w w:val="105"/>
          <w:sz w:val="13"/>
        </w:rPr>
        <w:t>Commissioner).</w:t>
      </w:r>
    </w:p>
    <w:p>
      <w:pPr>
        <w:pStyle w:val="ListParagraph"/>
        <w:numPr>
          <w:ilvl w:val="0"/>
          <w:numId w:val="35"/>
        </w:numPr>
        <w:tabs>
          <w:tab w:pos="2381" w:val="left" w:leader="none"/>
          <w:tab w:pos="2382" w:val="left" w:leader="none"/>
        </w:tabs>
        <w:spacing w:line="240" w:lineRule="auto" w:before="1" w:after="0"/>
        <w:ind w:left="2381" w:right="0" w:hanging="794"/>
        <w:jc w:val="left"/>
        <w:rPr>
          <w:sz w:val="13"/>
        </w:rPr>
      </w:pPr>
      <w:r>
        <w:rPr/>
        <w:pict>
          <v:shape style="position:absolute;margin-left:36pt;margin-top:3.594866pt;width:13.35pt;height:14.25pt;mso-position-horizontal-relative:page;mso-position-vertical-relative:paragraph;z-index:3160" type="#_x0000_t202" filled="false" stroked="false">
            <v:textbox inset="0,0,0,0">
              <w:txbxContent>
                <w:p>
                  <w:pPr>
                    <w:spacing w:line="284" w:lineRule="exact" w:before="0"/>
                    <w:ind w:left="0" w:right="0" w:firstLine="0"/>
                    <w:jc w:val="left"/>
                    <w:rPr>
                      <w:b/>
                      <w:sz w:val="24"/>
                    </w:rPr>
                  </w:pPr>
                  <w:r>
                    <w:rPr>
                      <w:b/>
                      <w:color w:val="EC5A4F"/>
                      <w:w w:val="105"/>
                      <w:sz w:val="24"/>
                    </w:rPr>
                    <w:t>28</w:t>
                  </w:r>
                </w:p>
              </w:txbxContent>
            </v:textbox>
            <w10:wrap type="none"/>
          </v:shape>
        </w:pict>
      </w:r>
      <w:r>
        <w:rPr>
          <w:w w:val="105"/>
          <w:sz w:val="13"/>
        </w:rPr>
        <w:t>Consultation 1 (Wills</w:t>
      </w:r>
      <w:r>
        <w:rPr>
          <w:spacing w:val="13"/>
          <w:w w:val="105"/>
          <w:sz w:val="13"/>
        </w:rPr>
        <w:t> </w:t>
      </w:r>
      <w:r>
        <w:rPr>
          <w:w w:val="105"/>
          <w:sz w:val="13"/>
        </w:rPr>
        <w:t>roundtable).</w:t>
      </w:r>
    </w:p>
    <w:p>
      <w:pPr>
        <w:pStyle w:val="ListParagraph"/>
        <w:numPr>
          <w:ilvl w:val="0"/>
          <w:numId w:val="35"/>
        </w:numPr>
        <w:tabs>
          <w:tab w:pos="2381" w:val="left" w:leader="none"/>
          <w:tab w:pos="2382" w:val="left" w:leader="none"/>
        </w:tabs>
        <w:spacing w:line="240" w:lineRule="auto" w:before="1" w:after="0"/>
        <w:ind w:left="2381" w:right="0" w:hanging="794"/>
        <w:jc w:val="left"/>
        <w:rPr>
          <w:sz w:val="13"/>
        </w:rPr>
      </w:pPr>
      <w:r>
        <w:rPr>
          <w:sz w:val="13"/>
        </w:rPr>
        <w:t>Ibid.</w:t>
      </w:r>
    </w:p>
    <w:p>
      <w:pPr>
        <w:spacing w:after="0" w:line="240" w:lineRule="auto"/>
        <w:jc w:val="left"/>
        <w:rPr>
          <w:sz w:val="13"/>
        </w:rPr>
        <w:sectPr>
          <w:pgSz w:w="11910" w:h="16840"/>
          <w:pgMar w:header="550" w:footer="0" w:top="1560" w:bottom="280" w:left="0" w:right="0"/>
        </w:sectPr>
      </w:pPr>
    </w:p>
    <w:p>
      <w:pPr>
        <w:pStyle w:val="BodyText"/>
        <w:rPr>
          <w:sz w:val="20"/>
        </w:rPr>
      </w:pPr>
    </w:p>
    <w:p>
      <w:pPr>
        <w:pStyle w:val="BodyText"/>
        <w:spacing w:before="1"/>
        <w:rPr>
          <w:sz w:val="18"/>
        </w:rPr>
      </w:pPr>
    </w:p>
    <w:p>
      <w:pPr>
        <w:pStyle w:val="Heading5"/>
        <w:spacing w:before="99"/>
      </w:pPr>
      <w:r>
        <w:rPr>
          <w:w w:val="115"/>
        </w:rPr>
        <w:t>Removing the two-stage process for an application</w:t>
      </w:r>
    </w:p>
    <w:p>
      <w:pPr>
        <w:pStyle w:val="Heading6"/>
        <w:spacing w:before="201"/>
      </w:pPr>
      <w:r>
        <w:rPr>
          <w:w w:val="115"/>
        </w:rPr>
        <w:t>Current law</w:t>
      </w:r>
    </w:p>
    <w:p>
      <w:pPr>
        <w:pStyle w:val="ListParagraph"/>
        <w:numPr>
          <w:ilvl w:val="1"/>
          <w:numId w:val="22"/>
        </w:numPr>
        <w:tabs>
          <w:tab w:pos="2381" w:val="left" w:leader="none"/>
          <w:tab w:pos="2382" w:val="left" w:leader="none"/>
        </w:tabs>
        <w:spacing w:line="242" w:lineRule="auto" w:before="151" w:after="0"/>
        <w:ind w:left="2381" w:right="1837" w:hanging="794"/>
        <w:jc w:val="left"/>
        <w:rPr>
          <w:sz w:val="12"/>
        </w:rPr>
      </w:pPr>
      <w:r>
        <w:rPr>
          <w:w w:val="105"/>
          <w:sz w:val="21"/>
        </w:rPr>
        <w:t>The </w:t>
      </w:r>
      <w:r>
        <w:rPr>
          <w:spacing w:val="-3"/>
          <w:w w:val="105"/>
          <w:sz w:val="21"/>
        </w:rPr>
        <w:t>Wills </w:t>
      </w:r>
      <w:r>
        <w:rPr>
          <w:w w:val="105"/>
          <w:sz w:val="21"/>
        </w:rPr>
        <w:t>Act </w:t>
      </w:r>
      <w:r>
        <w:rPr>
          <w:spacing w:val="-3"/>
          <w:w w:val="105"/>
          <w:sz w:val="21"/>
        </w:rPr>
        <w:t>currently </w:t>
      </w:r>
      <w:r>
        <w:rPr>
          <w:w w:val="105"/>
          <w:sz w:val="21"/>
        </w:rPr>
        <w:t>provides </w:t>
      </w:r>
      <w:r>
        <w:rPr>
          <w:spacing w:val="-3"/>
          <w:w w:val="105"/>
          <w:sz w:val="21"/>
        </w:rPr>
        <w:t>that </w:t>
      </w:r>
      <w:r>
        <w:rPr>
          <w:w w:val="105"/>
          <w:sz w:val="21"/>
        </w:rPr>
        <w:t>the </w:t>
      </w:r>
      <w:r>
        <w:rPr>
          <w:spacing w:val="-3"/>
          <w:w w:val="105"/>
          <w:sz w:val="21"/>
        </w:rPr>
        <w:t>Court </w:t>
      </w:r>
      <w:r>
        <w:rPr>
          <w:w w:val="105"/>
          <w:sz w:val="21"/>
        </w:rPr>
        <w:t>must </w:t>
      </w:r>
      <w:r>
        <w:rPr>
          <w:spacing w:val="-3"/>
          <w:w w:val="105"/>
          <w:sz w:val="21"/>
        </w:rPr>
        <w:t>grant </w:t>
      </w:r>
      <w:r>
        <w:rPr>
          <w:w w:val="105"/>
          <w:sz w:val="21"/>
        </w:rPr>
        <w:t>an </w:t>
      </w:r>
      <w:r>
        <w:rPr>
          <w:spacing w:val="-3"/>
          <w:w w:val="105"/>
          <w:sz w:val="21"/>
        </w:rPr>
        <w:t>applicant leave to </w:t>
      </w:r>
      <w:r>
        <w:rPr>
          <w:w w:val="105"/>
          <w:sz w:val="21"/>
        </w:rPr>
        <w:t>apply </w:t>
      </w:r>
      <w:r>
        <w:rPr>
          <w:spacing w:val="-3"/>
          <w:w w:val="105"/>
          <w:sz w:val="21"/>
        </w:rPr>
        <w:t>before </w:t>
      </w:r>
      <w:r>
        <w:rPr>
          <w:w w:val="105"/>
          <w:sz w:val="21"/>
        </w:rPr>
        <w:t>the </w:t>
      </w:r>
      <w:r>
        <w:rPr>
          <w:spacing w:val="-3"/>
          <w:w w:val="105"/>
          <w:sz w:val="21"/>
        </w:rPr>
        <w:t>applicant may </w:t>
      </w:r>
      <w:r>
        <w:rPr>
          <w:w w:val="105"/>
          <w:sz w:val="21"/>
        </w:rPr>
        <w:t>apply </w:t>
      </w:r>
      <w:r>
        <w:rPr>
          <w:spacing w:val="-3"/>
          <w:w w:val="105"/>
          <w:sz w:val="21"/>
        </w:rPr>
        <w:t>for </w:t>
      </w:r>
      <w:r>
        <w:rPr>
          <w:w w:val="105"/>
          <w:sz w:val="21"/>
        </w:rPr>
        <w:t>authorisation of a proposed </w:t>
      </w:r>
      <w:r>
        <w:rPr>
          <w:spacing w:val="-3"/>
          <w:w w:val="105"/>
          <w:sz w:val="21"/>
        </w:rPr>
        <w:t>will.</w:t>
      </w:r>
      <w:r>
        <w:rPr>
          <w:spacing w:val="-3"/>
          <w:w w:val="105"/>
          <w:position w:val="7"/>
          <w:sz w:val="12"/>
        </w:rPr>
        <w:t>42 </w:t>
      </w:r>
      <w:r>
        <w:rPr>
          <w:w w:val="105"/>
          <w:sz w:val="21"/>
        </w:rPr>
        <w:t>This two-stage process</w:t>
      </w:r>
      <w:r>
        <w:rPr>
          <w:spacing w:val="-8"/>
          <w:w w:val="105"/>
          <w:sz w:val="21"/>
        </w:rPr>
        <w:t> </w:t>
      </w:r>
      <w:r>
        <w:rPr>
          <w:w w:val="105"/>
          <w:sz w:val="21"/>
        </w:rPr>
        <w:t>was</w:t>
      </w:r>
      <w:r>
        <w:rPr>
          <w:spacing w:val="-7"/>
          <w:w w:val="105"/>
          <w:sz w:val="21"/>
        </w:rPr>
        <w:t> </w:t>
      </w:r>
      <w:r>
        <w:rPr>
          <w:spacing w:val="-3"/>
          <w:w w:val="105"/>
          <w:sz w:val="21"/>
        </w:rPr>
        <w:t>originally</w:t>
      </w:r>
      <w:r>
        <w:rPr>
          <w:spacing w:val="-7"/>
          <w:w w:val="105"/>
          <w:sz w:val="21"/>
        </w:rPr>
        <w:t> </w:t>
      </w:r>
      <w:r>
        <w:rPr>
          <w:spacing w:val="-3"/>
          <w:w w:val="105"/>
          <w:sz w:val="21"/>
        </w:rPr>
        <w:t>intended</w:t>
      </w:r>
      <w:r>
        <w:rPr>
          <w:spacing w:val="-7"/>
          <w:w w:val="105"/>
          <w:sz w:val="21"/>
        </w:rPr>
        <w:t> </w:t>
      </w:r>
      <w:r>
        <w:rPr>
          <w:spacing w:val="-3"/>
          <w:w w:val="105"/>
          <w:sz w:val="21"/>
        </w:rPr>
        <w:t>to</w:t>
      </w:r>
      <w:r>
        <w:rPr>
          <w:spacing w:val="-7"/>
          <w:w w:val="105"/>
          <w:sz w:val="21"/>
        </w:rPr>
        <w:t> </w:t>
      </w:r>
      <w:r>
        <w:rPr>
          <w:spacing w:val="-3"/>
          <w:w w:val="105"/>
          <w:sz w:val="21"/>
        </w:rPr>
        <w:t>guard</w:t>
      </w:r>
      <w:r>
        <w:rPr>
          <w:spacing w:val="-7"/>
          <w:w w:val="105"/>
          <w:sz w:val="21"/>
        </w:rPr>
        <w:t> </w:t>
      </w:r>
      <w:r>
        <w:rPr>
          <w:spacing w:val="-3"/>
          <w:w w:val="105"/>
          <w:sz w:val="21"/>
        </w:rPr>
        <w:t>against</w:t>
      </w:r>
      <w:r>
        <w:rPr>
          <w:spacing w:val="-8"/>
          <w:w w:val="105"/>
          <w:sz w:val="21"/>
        </w:rPr>
        <w:t> </w:t>
      </w:r>
      <w:r>
        <w:rPr>
          <w:spacing w:val="-3"/>
          <w:w w:val="105"/>
          <w:sz w:val="21"/>
        </w:rPr>
        <w:t>unmeritorious</w:t>
      </w:r>
      <w:r>
        <w:rPr>
          <w:spacing w:val="-7"/>
          <w:w w:val="105"/>
          <w:sz w:val="21"/>
        </w:rPr>
        <w:t> </w:t>
      </w:r>
      <w:r>
        <w:rPr>
          <w:spacing w:val="-3"/>
          <w:w w:val="105"/>
          <w:sz w:val="21"/>
        </w:rPr>
        <w:t>applications,</w:t>
      </w:r>
      <w:r>
        <w:rPr>
          <w:spacing w:val="-7"/>
          <w:w w:val="105"/>
          <w:sz w:val="21"/>
        </w:rPr>
        <w:t> </w:t>
      </w:r>
      <w:r>
        <w:rPr>
          <w:w w:val="105"/>
          <w:sz w:val="21"/>
        </w:rPr>
        <w:t>particularly baseless </w:t>
      </w:r>
      <w:r>
        <w:rPr>
          <w:spacing w:val="-3"/>
          <w:w w:val="105"/>
          <w:sz w:val="21"/>
        </w:rPr>
        <w:t>claims that </w:t>
      </w:r>
      <w:r>
        <w:rPr>
          <w:w w:val="105"/>
          <w:sz w:val="21"/>
        </w:rPr>
        <w:t>a person lacks testamentary</w:t>
      </w:r>
      <w:r>
        <w:rPr>
          <w:spacing w:val="27"/>
          <w:w w:val="105"/>
          <w:sz w:val="21"/>
        </w:rPr>
        <w:t> </w:t>
      </w:r>
      <w:r>
        <w:rPr>
          <w:spacing w:val="-3"/>
          <w:w w:val="105"/>
          <w:sz w:val="21"/>
        </w:rPr>
        <w:t>capacity.</w:t>
      </w:r>
      <w:r>
        <w:rPr>
          <w:spacing w:val="-3"/>
          <w:w w:val="105"/>
          <w:position w:val="7"/>
          <w:sz w:val="12"/>
        </w:rPr>
        <w:t>43</w:t>
      </w:r>
    </w:p>
    <w:p>
      <w:pPr>
        <w:pStyle w:val="ListParagraph"/>
        <w:numPr>
          <w:ilvl w:val="1"/>
          <w:numId w:val="22"/>
        </w:numPr>
        <w:tabs>
          <w:tab w:pos="2382" w:val="left" w:leader="none"/>
        </w:tabs>
        <w:spacing w:line="242" w:lineRule="auto" w:before="125" w:after="0"/>
        <w:ind w:left="2381" w:right="1847" w:hanging="794"/>
        <w:jc w:val="both"/>
        <w:rPr>
          <w:sz w:val="21"/>
        </w:rPr>
      </w:pPr>
      <w:r>
        <w:rPr>
          <w:spacing w:val="-4"/>
          <w:w w:val="105"/>
          <w:sz w:val="21"/>
        </w:rPr>
        <w:t>However, </w:t>
      </w:r>
      <w:r>
        <w:rPr>
          <w:w w:val="105"/>
          <w:sz w:val="21"/>
        </w:rPr>
        <w:t>in practice the two stages </w:t>
      </w:r>
      <w:r>
        <w:rPr>
          <w:spacing w:val="-3"/>
          <w:w w:val="105"/>
          <w:sz w:val="21"/>
        </w:rPr>
        <w:t>are combined. </w:t>
      </w:r>
      <w:r>
        <w:rPr>
          <w:w w:val="105"/>
          <w:sz w:val="21"/>
        </w:rPr>
        <w:t>Section </w:t>
      </w:r>
      <w:r>
        <w:rPr>
          <w:spacing w:val="-3"/>
          <w:w w:val="105"/>
          <w:sz w:val="21"/>
        </w:rPr>
        <w:t>27(2) </w:t>
      </w:r>
      <w:r>
        <w:rPr>
          <w:w w:val="105"/>
          <w:sz w:val="21"/>
        </w:rPr>
        <w:t>of the </w:t>
      </w:r>
      <w:r>
        <w:rPr>
          <w:spacing w:val="-3"/>
          <w:w w:val="105"/>
          <w:sz w:val="21"/>
        </w:rPr>
        <w:t>Wills </w:t>
      </w:r>
      <w:r>
        <w:rPr>
          <w:w w:val="105"/>
          <w:sz w:val="21"/>
        </w:rPr>
        <w:t>Act gives the </w:t>
      </w:r>
      <w:r>
        <w:rPr>
          <w:spacing w:val="-3"/>
          <w:w w:val="105"/>
          <w:sz w:val="21"/>
        </w:rPr>
        <w:t>Court discretion to determine that </w:t>
      </w:r>
      <w:r>
        <w:rPr>
          <w:w w:val="105"/>
          <w:sz w:val="21"/>
        </w:rPr>
        <w:t>an application </w:t>
      </w:r>
      <w:r>
        <w:rPr>
          <w:spacing w:val="-3"/>
          <w:w w:val="105"/>
          <w:sz w:val="21"/>
        </w:rPr>
        <w:t>for leave to </w:t>
      </w:r>
      <w:r>
        <w:rPr>
          <w:w w:val="105"/>
          <w:sz w:val="21"/>
        </w:rPr>
        <w:t>apply </w:t>
      </w:r>
      <w:r>
        <w:rPr>
          <w:spacing w:val="-3"/>
          <w:w w:val="105"/>
          <w:sz w:val="21"/>
        </w:rPr>
        <w:t>may </w:t>
      </w:r>
      <w:r>
        <w:rPr>
          <w:w w:val="105"/>
          <w:sz w:val="21"/>
        </w:rPr>
        <w:t>proceed as an</w:t>
      </w:r>
      <w:r>
        <w:rPr>
          <w:spacing w:val="-5"/>
          <w:w w:val="105"/>
          <w:sz w:val="21"/>
        </w:rPr>
        <w:t> </w:t>
      </w:r>
      <w:r>
        <w:rPr>
          <w:w w:val="105"/>
          <w:sz w:val="21"/>
        </w:rPr>
        <w:t>application</w:t>
      </w:r>
      <w:r>
        <w:rPr>
          <w:spacing w:val="-5"/>
          <w:w w:val="105"/>
          <w:sz w:val="21"/>
        </w:rPr>
        <w:t> </w:t>
      </w:r>
      <w:r>
        <w:rPr>
          <w:spacing w:val="-3"/>
          <w:w w:val="105"/>
          <w:sz w:val="21"/>
        </w:rPr>
        <w:t>for</w:t>
      </w:r>
      <w:r>
        <w:rPr>
          <w:spacing w:val="-4"/>
          <w:w w:val="105"/>
          <w:sz w:val="21"/>
        </w:rPr>
        <w:t> </w:t>
      </w:r>
      <w:r>
        <w:rPr>
          <w:w w:val="105"/>
          <w:sz w:val="21"/>
        </w:rPr>
        <w:t>an</w:t>
      </w:r>
      <w:r>
        <w:rPr>
          <w:spacing w:val="-5"/>
          <w:w w:val="105"/>
          <w:sz w:val="21"/>
        </w:rPr>
        <w:t> </w:t>
      </w:r>
      <w:r>
        <w:rPr>
          <w:w w:val="105"/>
          <w:sz w:val="21"/>
        </w:rPr>
        <w:t>order</w:t>
      </w:r>
      <w:r>
        <w:rPr>
          <w:spacing w:val="-5"/>
          <w:w w:val="105"/>
          <w:sz w:val="21"/>
        </w:rPr>
        <w:t> </w:t>
      </w:r>
      <w:r>
        <w:rPr>
          <w:spacing w:val="-3"/>
          <w:w w:val="105"/>
          <w:sz w:val="21"/>
        </w:rPr>
        <w:t>authorising</w:t>
      </w:r>
      <w:r>
        <w:rPr>
          <w:spacing w:val="-4"/>
          <w:w w:val="105"/>
          <w:sz w:val="21"/>
        </w:rPr>
        <w:t> </w:t>
      </w:r>
      <w:r>
        <w:rPr>
          <w:w w:val="105"/>
          <w:sz w:val="21"/>
        </w:rPr>
        <w:t>the</w:t>
      </w:r>
      <w:r>
        <w:rPr>
          <w:spacing w:val="-5"/>
          <w:w w:val="105"/>
          <w:sz w:val="21"/>
        </w:rPr>
        <w:t> </w:t>
      </w:r>
      <w:r>
        <w:rPr>
          <w:w w:val="105"/>
          <w:sz w:val="21"/>
        </w:rPr>
        <w:t>proposed</w:t>
      </w:r>
      <w:r>
        <w:rPr>
          <w:spacing w:val="-4"/>
          <w:w w:val="105"/>
          <w:sz w:val="21"/>
        </w:rPr>
        <w:t> </w:t>
      </w:r>
      <w:r>
        <w:rPr>
          <w:spacing w:val="-3"/>
          <w:w w:val="105"/>
          <w:sz w:val="21"/>
        </w:rPr>
        <w:t>will.</w:t>
      </w:r>
      <w:r>
        <w:rPr>
          <w:spacing w:val="-5"/>
          <w:w w:val="105"/>
          <w:sz w:val="21"/>
        </w:rPr>
        <w:t> </w:t>
      </w:r>
      <w:r>
        <w:rPr>
          <w:w w:val="105"/>
          <w:sz w:val="21"/>
        </w:rPr>
        <w:t>The</w:t>
      </w:r>
      <w:r>
        <w:rPr>
          <w:spacing w:val="-5"/>
          <w:w w:val="105"/>
          <w:sz w:val="21"/>
        </w:rPr>
        <w:t> </w:t>
      </w:r>
      <w:r>
        <w:rPr>
          <w:spacing w:val="-3"/>
          <w:w w:val="105"/>
          <w:sz w:val="21"/>
        </w:rPr>
        <w:t>Court</w:t>
      </w:r>
      <w:r>
        <w:rPr>
          <w:spacing w:val="-4"/>
          <w:w w:val="105"/>
          <w:sz w:val="21"/>
        </w:rPr>
        <w:t> </w:t>
      </w:r>
      <w:r>
        <w:rPr>
          <w:spacing w:val="-2"/>
          <w:w w:val="105"/>
          <w:sz w:val="21"/>
        </w:rPr>
        <w:t>has</w:t>
      </w:r>
      <w:r>
        <w:rPr>
          <w:spacing w:val="-5"/>
          <w:w w:val="105"/>
          <w:sz w:val="21"/>
        </w:rPr>
        <w:t> </w:t>
      </w:r>
      <w:r>
        <w:rPr>
          <w:spacing w:val="-3"/>
          <w:w w:val="105"/>
          <w:sz w:val="21"/>
        </w:rPr>
        <w:t>invariably</w:t>
      </w:r>
      <w:r>
        <w:rPr>
          <w:spacing w:val="-4"/>
          <w:w w:val="105"/>
          <w:sz w:val="21"/>
        </w:rPr>
        <w:t> </w:t>
      </w:r>
      <w:r>
        <w:rPr>
          <w:w w:val="105"/>
          <w:sz w:val="21"/>
        </w:rPr>
        <w:t>used this</w:t>
      </w:r>
      <w:r>
        <w:rPr>
          <w:spacing w:val="5"/>
          <w:w w:val="105"/>
          <w:sz w:val="21"/>
        </w:rPr>
        <w:t> </w:t>
      </w:r>
      <w:r>
        <w:rPr>
          <w:spacing w:val="-5"/>
          <w:w w:val="105"/>
          <w:sz w:val="21"/>
        </w:rPr>
        <w:t>power.</w:t>
      </w:r>
    </w:p>
    <w:p>
      <w:pPr>
        <w:pStyle w:val="ListParagraph"/>
        <w:numPr>
          <w:ilvl w:val="1"/>
          <w:numId w:val="22"/>
        </w:numPr>
        <w:tabs>
          <w:tab w:pos="2380" w:val="left" w:leader="none"/>
          <w:tab w:pos="2381" w:val="left" w:leader="none"/>
        </w:tabs>
        <w:spacing w:line="242" w:lineRule="auto" w:before="124" w:after="0"/>
        <w:ind w:left="2381" w:right="1922" w:hanging="794"/>
        <w:jc w:val="left"/>
        <w:rPr>
          <w:sz w:val="21"/>
        </w:rPr>
      </w:pPr>
      <w:r>
        <w:rPr>
          <w:sz w:val="21"/>
        </w:rPr>
        <w:t>In a </w:t>
      </w:r>
      <w:r>
        <w:rPr>
          <w:spacing w:val="-3"/>
          <w:sz w:val="21"/>
        </w:rPr>
        <w:t>recent </w:t>
      </w:r>
      <w:r>
        <w:rPr>
          <w:sz w:val="21"/>
        </w:rPr>
        <w:t>Victorian </w:t>
      </w:r>
      <w:r>
        <w:rPr>
          <w:spacing w:val="-3"/>
          <w:sz w:val="21"/>
        </w:rPr>
        <w:t>case, </w:t>
      </w:r>
      <w:r>
        <w:rPr>
          <w:sz w:val="21"/>
        </w:rPr>
        <w:t>Justice Habersberger questioned the utility of the two-stage process:</w:t>
      </w:r>
    </w:p>
    <w:p>
      <w:pPr>
        <w:spacing w:line="254" w:lineRule="auto" w:before="132"/>
        <w:ind w:left="2721" w:right="1826" w:firstLine="0"/>
        <w:jc w:val="left"/>
        <w:rPr>
          <w:sz w:val="11"/>
        </w:rPr>
      </w:pPr>
      <w:r>
        <w:rPr>
          <w:sz w:val="20"/>
        </w:rPr>
        <w:t>In order to obtain leave an applicant must satisfy the Court of the three critical  requirements in s </w:t>
      </w:r>
      <w:r>
        <w:rPr>
          <w:spacing w:val="-4"/>
          <w:sz w:val="20"/>
        </w:rPr>
        <w:t>26 </w:t>
      </w:r>
      <w:r>
        <w:rPr>
          <w:sz w:val="20"/>
        </w:rPr>
        <w:t>and, if </w:t>
      </w:r>
      <w:r>
        <w:rPr>
          <w:spacing w:val="-2"/>
          <w:sz w:val="20"/>
        </w:rPr>
        <w:t>required </w:t>
      </w:r>
      <w:r>
        <w:rPr>
          <w:sz w:val="20"/>
        </w:rPr>
        <w:t>by the Court, give the </w:t>
      </w:r>
      <w:r>
        <w:rPr>
          <w:spacing w:val="-3"/>
          <w:sz w:val="20"/>
        </w:rPr>
        <w:t>information  </w:t>
      </w:r>
      <w:r>
        <w:rPr>
          <w:sz w:val="20"/>
        </w:rPr>
        <w:t>set out in s 28,  which means putting all </w:t>
      </w:r>
      <w:r>
        <w:rPr>
          <w:spacing w:val="-3"/>
          <w:sz w:val="20"/>
        </w:rPr>
        <w:t>relevant </w:t>
      </w:r>
      <w:r>
        <w:rPr>
          <w:sz w:val="20"/>
        </w:rPr>
        <w:t>evidence before the Court. Leave should only be refused after all of these matters </w:t>
      </w:r>
      <w:r>
        <w:rPr>
          <w:spacing w:val="-3"/>
          <w:sz w:val="20"/>
        </w:rPr>
        <w:t>have  </w:t>
      </w:r>
      <w:r>
        <w:rPr>
          <w:sz w:val="20"/>
        </w:rPr>
        <w:t>been </w:t>
      </w:r>
      <w:r>
        <w:rPr>
          <w:spacing w:val="-3"/>
          <w:sz w:val="20"/>
        </w:rPr>
        <w:t>taken</w:t>
      </w:r>
      <w:r>
        <w:rPr>
          <w:spacing w:val="39"/>
          <w:sz w:val="20"/>
        </w:rPr>
        <w:t> </w:t>
      </w:r>
      <w:r>
        <w:rPr>
          <w:spacing w:val="-3"/>
          <w:sz w:val="20"/>
        </w:rPr>
        <w:t>into  account.  </w:t>
      </w:r>
      <w:r>
        <w:rPr>
          <w:sz w:val="20"/>
        </w:rPr>
        <w:t>On the other </w:t>
      </w:r>
      <w:r>
        <w:rPr>
          <w:spacing w:val="-3"/>
          <w:sz w:val="20"/>
        </w:rPr>
        <w:t>hand,  </w:t>
      </w:r>
      <w:r>
        <w:rPr>
          <w:sz w:val="20"/>
        </w:rPr>
        <w:t>once leave   has been </w:t>
      </w:r>
      <w:r>
        <w:rPr>
          <w:spacing w:val="-2"/>
          <w:sz w:val="20"/>
        </w:rPr>
        <w:t>given,  </w:t>
      </w:r>
      <w:r>
        <w:rPr>
          <w:sz w:val="20"/>
        </w:rPr>
        <w:t>it is extremely </w:t>
      </w:r>
      <w:r>
        <w:rPr>
          <w:spacing w:val="-4"/>
          <w:sz w:val="20"/>
        </w:rPr>
        <w:t>unlikely,  </w:t>
      </w:r>
      <w:r>
        <w:rPr>
          <w:sz w:val="20"/>
        </w:rPr>
        <w:t>in my opinion, that an order authorising a will to    be made would be refused by the Court. It is, </w:t>
      </w:r>
      <w:r>
        <w:rPr>
          <w:spacing w:val="-3"/>
          <w:sz w:val="20"/>
        </w:rPr>
        <w:t>therefore, </w:t>
      </w:r>
      <w:r>
        <w:rPr>
          <w:sz w:val="20"/>
        </w:rPr>
        <w:t>very hard to see why the second step</w:t>
      </w:r>
      <w:r>
        <w:rPr>
          <w:spacing w:val="12"/>
          <w:sz w:val="20"/>
        </w:rPr>
        <w:t> </w:t>
      </w:r>
      <w:r>
        <w:rPr>
          <w:sz w:val="20"/>
        </w:rPr>
        <w:t>was</w:t>
      </w:r>
      <w:r>
        <w:rPr>
          <w:spacing w:val="13"/>
          <w:sz w:val="20"/>
        </w:rPr>
        <w:t> </w:t>
      </w:r>
      <w:r>
        <w:rPr>
          <w:sz w:val="20"/>
        </w:rPr>
        <w:t>thought</w:t>
      </w:r>
      <w:r>
        <w:rPr>
          <w:spacing w:val="13"/>
          <w:sz w:val="20"/>
        </w:rPr>
        <w:t> </w:t>
      </w:r>
      <w:r>
        <w:rPr>
          <w:sz w:val="20"/>
        </w:rPr>
        <w:t>to</w:t>
      </w:r>
      <w:r>
        <w:rPr>
          <w:spacing w:val="13"/>
          <w:sz w:val="20"/>
        </w:rPr>
        <w:t> </w:t>
      </w:r>
      <w:r>
        <w:rPr>
          <w:sz w:val="20"/>
        </w:rPr>
        <w:t>be</w:t>
      </w:r>
      <w:r>
        <w:rPr>
          <w:spacing w:val="13"/>
          <w:sz w:val="20"/>
        </w:rPr>
        <w:t> </w:t>
      </w:r>
      <w:r>
        <w:rPr>
          <w:sz w:val="20"/>
        </w:rPr>
        <w:t>necessary</w:t>
      </w:r>
      <w:r>
        <w:rPr>
          <w:spacing w:val="13"/>
          <w:sz w:val="20"/>
        </w:rPr>
        <w:t> </w:t>
      </w:r>
      <w:r>
        <w:rPr>
          <w:sz w:val="20"/>
        </w:rPr>
        <w:t>as</w:t>
      </w:r>
      <w:r>
        <w:rPr>
          <w:spacing w:val="13"/>
          <w:sz w:val="20"/>
        </w:rPr>
        <w:t> </w:t>
      </w:r>
      <w:r>
        <w:rPr>
          <w:sz w:val="20"/>
        </w:rPr>
        <w:t>it</w:t>
      </w:r>
      <w:r>
        <w:rPr>
          <w:spacing w:val="13"/>
          <w:sz w:val="20"/>
        </w:rPr>
        <w:t> </w:t>
      </w:r>
      <w:r>
        <w:rPr>
          <w:sz w:val="20"/>
        </w:rPr>
        <w:t>seems</w:t>
      </w:r>
      <w:r>
        <w:rPr>
          <w:spacing w:val="13"/>
          <w:sz w:val="20"/>
        </w:rPr>
        <w:t> </w:t>
      </w:r>
      <w:r>
        <w:rPr>
          <w:sz w:val="20"/>
        </w:rPr>
        <w:t>to</w:t>
      </w:r>
      <w:r>
        <w:rPr>
          <w:spacing w:val="12"/>
          <w:sz w:val="20"/>
        </w:rPr>
        <w:t> </w:t>
      </w:r>
      <w:r>
        <w:rPr>
          <w:sz w:val="20"/>
        </w:rPr>
        <w:t>me</w:t>
      </w:r>
      <w:r>
        <w:rPr>
          <w:spacing w:val="13"/>
          <w:sz w:val="20"/>
        </w:rPr>
        <w:t> </w:t>
      </w:r>
      <w:r>
        <w:rPr>
          <w:sz w:val="20"/>
        </w:rPr>
        <w:t>that</w:t>
      </w:r>
      <w:r>
        <w:rPr>
          <w:spacing w:val="13"/>
          <w:sz w:val="20"/>
        </w:rPr>
        <w:t> </w:t>
      </w:r>
      <w:r>
        <w:rPr>
          <w:sz w:val="20"/>
        </w:rPr>
        <w:t>it</w:t>
      </w:r>
      <w:r>
        <w:rPr>
          <w:spacing w:val="13"/>
          <w:sz w:val="20"/>
        </w:rPr>
        <w:t> </w:t>
      </w:r>
      <w:r>
        <w:rPr>
          <w:sz w:val="20"/>
        </w:rPr>
        <w:t>serves</w:t>
      </w:r>
      <w:r>
        <w:rPr>
          <w:spacing w:val="13"/>
          <w:sz w:val="20"/>
        </w:rPr>
        <w:t> </w:t>
      </w:r>
      <w:r>
        <w:rPr>
          <w:sz w:val="20"/>
        </w:rPr>
        <w:t>no</w:t>
      </w:r>
      <w:r>
        <w:rPr>
          <w:spacing w:val="13"/>
          <w:sz w:val="20"/>
        </w:rPr>
        <w:t> </w:t>
      </w:r>
      <w:r>
        <w:rPr>
          <w:sz w:val="20"/>
        </w:rPr>
        <w:t>useful</w:t>
      </w:r>
      <w:r>
        <w:rPr>
          <w:spacing w:val="13"/>
          <w:sz w:val="20"/>
        </w:rPr>
        <w:t> </w:t>
      </w:r>
      <w:r>
        <w:rPr>
          <w:sz w:val="20"/>
        </w:rPr>
        <w:t>purpose.</w:t>
      </w:r>
      <w:r>
        <w:rPr>
          <w:position w:val="7"/>
          <w:sz w:val="11"/>
        </w:rPr>
        <w:t>44</w:t>
      </w:r>
    </w:p>
    <w:p>
      <w:pPr>
        <w:pStyle w:val="BodyText"/>
        <w:spacing w:before="7"/>
        <w:rPr>
          <w:sz w:val="26"/>
        </w:rPr>
      </w:pPr>
    </w:p>
    <w:p>
      <w:pPr>
        <w:pStyle w:val="Heading6"/>
      </w:pPr>
      <w:r>
        <w:rPr>
          <w:w w:val="115"/>
        </w:rPr>
        <w:t>Views and conclusions</w:t>
      </w:r>
    </w:p>
    <w:p>
      <w:pPr>
        <w:pStyle w:val="ListParagraph"/>
        <w:numPr>
          <w:ilvl w:val="1"/>
          <w:numId w:val="22"/>
        </w:numPr>
        <w:tabs>
          <w:tab w:pos="2381" w:val="left" w:leader="none"/>
          <w:tab w:pos="2382" w:val="left" w:leader="none"/>
        </w:tabs>
        <w:spacing w:line="242" w:lineRule="auto" w:before="151" w:after="0"/>
        <w:ind w:left="2381" w:right="1706" w:hanging="794"/>
        <w:jc w:val="left"/>
        <w:rPr>
          <w:sz w:val="12"/>
        </w:rPr>
      </w:pPr>
      <w:r>
        <w:rPr>
          <w:w w:val="105"/>
          <w:sz w:val="21"/>
        </w:rPr>
        <w:t>The </w:t>
      </w:r>
      <w:r>
        <w:rPr>
          <w:spacing w:val="-3"/>
          <w:w w:val="105"/>
          <w:sz w:val="21"/>
        </w:rPr>
        <w:t>Commission </w:t>
      </w:r>
      <w:r>
        <w:rPr>
          <w:w w:val="105"/>
          <w:sz w:val="21"/>
        </w:rPr>
        <w:t>suggested in the </w:t>
      </w:r>
      <w:r>
        <w:rPr>
          <w:spacing w:val="-3"/>
          <w:w w:val="105"/>
          <w:sz w:val="21"/>
        </w:rPr>
        <w:t>consultation </w:t>
      </w:r>
      <w:r>
        <w:rPr>
          <w:w w:val="105"/>
          <w:sz w:val="21"/>
        </w:rPr>
        <w:t>paper on </w:t>
      </w:r>
      <w:r>
        <w:rPr>
          <w:spacing w:val="-3"/>
          <w:w w:val="105"/>
          <w:sz w:val="21"/>
        </w:rPr>
        <w:t>wills that </w:t>
      </w:r>
      <w:r>
        <w:rPr>
          <w:w w:val="105"/>
          <w:sz w:val="21"/>
        </w:rPr>
        <w:t>the two-stage process </w:t>
      </w:r>
      <w:r>
        <w:rPr>
          <w:spacing w:val="-3"/>
          <w:w w:val="105"/>
          <w:sz w:val="21"/>
        </w:rPr>
        <w:t>could</w:t>
      </w:r>
      <w:r>
        <w:rPr>
          <w:spacing w:val="-6"/>
          <w:w w:val="105"/>
          <w:sz w:val="21"/>
        </w:rPr>
        <w:t> </w:t>
      </w:r>
      <w:r>
        <w:rPr>
          <w:w w:val="105"/>
          <w:sz w:val="21"/>
        </w:rPr>
        <w:t>be</w:t>
      </w:r>
      <w:r>
        <w:rPr>
          <w:spacing w:val="-6"/>
          <w:w w:val="105"/>
          <w:sz w:val="21"/>
        </w:rPr>
        <w:t> </w:t>
      </w:r>
      <w:r>
        <w:rPr>
          <w:w w:val="105"/>
          <w:sz w:val="21"/>
        </w:rPr>
        <w:t>removed</w:t>
      </w:r>
      <w:r>
        <w:rPr>
          <w:spacing w:val="-6"/>
          <w:w w:val="105"/>
          <w:sz w:val="21"/>
        </w:rPr>
        <w:t> </w:t>
      </w:r>
      <w:r>
        <w:rPr>
          <w:spacing w:val="-3"/>
          <w:w w:val="105"/>
          <w:sz w:val="21"/>
        </w:rPr>
        <w:t>from</w:t>
      </w:r>
      <w:r>
        <w:rPr>
          <w:spacing w:val="-6"/>
          <w:w w:val="105"/>
          <w:sz w:val="21"/>
        </w:rPr>
        <w:t> </w:t>
      </w:r>
      <w:r>
        <w:rPr>
          <w:w w:val="105"/>
          <w:sz w:val="21"/>
        </w:rPr>
        <w:t>the</w:t>
      </w:r>
      <w:r>
        <w:rPr>
          <w:spacing w:val="-6"/>
          <w:w w:val="105"/>
          <w:sz w:val="21"/>
        </w:rPr>
        <w:t> </w:t>
      </w:r>
      <w:r>
        <w:rPr>
          <w:spacing w:val="-3"/>
          <w:w w:val="105"/>
          <w:sz w:val="21"/>
        </w:rPr>
        <w:t>legislation.</w:t>
      </w:r>
      <w:r>
        <w:rPr>
          <w:spacing w:val="-6"/>
          <w:w w:val="105"/>
          <w:sz w:val="21"/>
        </w:rPr>
        <w:t> </w:t>
      </w:r>
      <w:r>
        <w:rPr>
          <w:w w:val="105"/>
          <w:sz w:val="21"/>
        </w:rPr>
        <w:t>Of</w:t>
      </w:r>
      <w:r>
        <w:rPr>
          <w:spacing w:val="-6"/>
          <w:w w:val="105"/>
          <w:sz w:val="21"/>
        </w:rPr>
        <w:t> </w:t>
      </w:r>
      <w:r>
        <w:rPr>
          <w:w w:val="105"/>
          <w:sz w:val="21"/>
        </w:rPr>
        <w:t>those</w:t>
      </w:r>
      <w:r>
        <w:rPr>
          <w:spacing w:val="-6"/>
          <w:w w:val="105"/>
          <w:sz w:val="21"/>
        </w:rPr>
        <w:t> </w:t>
      </w:r>
      <w:r>
        <w:rPr>
          <w:w w:val="105"/>
          <w:sz w:val="21"/>
        </w:rPr>
        <w:t>who</w:t>
      </w:r>
      <w:r>
        <w:rPr>
          <w:spacing w:val="-6"/>
          <w:w w:val="105"/>
          <w:sz w:val="21"/>
        </w:rPr>
        <w:t> </w:t>
      </w:r>
      <w:r>
        <w:rPr>
          <w:w w:val="105"/>
          <w:sz w:val="21"/>
        </w:rPr>
        <w:t>addressed</w:t>
      </w:r>
      <w:r>
        <w:rPr>
          <w:spacing w:val="-6"/>
          <w:w w:val="105"/>
          <w:sz w:val="21"/>
        </w:rPr>
        <w:t> </w:t>
      </w:r>
      <w:r>
        <w:rPr>
          <w:w w:val="105"/>
          <w:sz w:val="21"/>
        </w:rPr>
        <w:t>this</w:t>
      </w:r>
      <w:r>
        <w:rPr>
          <w:spacing w:val="-6"/>
          <w:w w:val="105"/>
          <w:sz w:val="21"/>
        </w:rPr>
        <w:t> </w:t>
      </w:r>
      <w:r>
        <w:rPr>
          <w:w w:val="105"/>
          <w:sz w:val="21"/>
        </w:rPr>
        <w:t>issue</w:t>
      </w:r>
      <w:r>
        <w:rPr>
          <w:spacing w:val="-6"/>
          <w:w w:val="105"/>
          <w:sz w:val="21"/>
        </w:rPr>
        <w:t> </w:t>
      </w:r>
      <w:r>
        <w:rPr>
          <w:w w:val="105"/>
          <w:sz w:val="21"/>
        </w:rPr>
        <w:t>in</w:t>
      </w:r>
      <w:r>
        <w:rPr>
          <w:spacing w:val="-6"/>
          <w:w w:val="105"/>
          <w:sz w:val="21"/>
        </w:rPr>
        <w:t> </w:t>
      </w:r>
      <w:r>
        <w:rPr>
          <w:spacing w:val="-3"/>
          <w:w w:val="105"/>
          <w:sz w:val="21"/>
        </w:rPr>
        <w:t>submissions to </w:t>
      </w:r>
      <w:r>
        <w:rPr>
          <w:w w:val="105"/>
          <w:sz w:val="21"/>
        </w:rPr>
        <w:t>the </w:t>
      </w:r>
      <w:r>
        <w:rPr>
          <w:spacing w:val="-3"/>
          <w:w w:val="105"/>
          <w:sz w:val="21"/>
        </w:rPr>
        <w:t>Commission, </w:t>
      </w:r>
      <w:r>
        <w:rPr>
          <w:w w:val="105"/>
          <w:sz w:val="21"/>
        </w:rPr>
        <w:t>there was near </w:t>
      </w:r>
      <w:r>
        <w:rPr>
          <w:spacing w:val="-3"/>
          <w:w w:val="105"/>
          <w:sz w:val="21"/>
        </w:rPr>
        <w:t>unanimous </w:t>
      </w:r>
      <w:r>
        <w:rPr>
          <w:w w:val="105"/>
          <w:sz w:val="21"/>
        </w:rPr>
        <w:t>support </w:t>
      </w:r>
      <w:r>
        <w:rPr>
          <w:spacing w:val="-3"/>
          <w:w w:val="105"/>
          <w:sz w:val="21"/>
        </w:rPr>
        <w:t>for </w:t>
      </w:r>
      <w:r>
        <w:rPr>
          <w:w w:val="105"/>
          <w:sz w:val="21"/>
        </w:rPr>
        <w:t>the idea.</w:t>
      </w:r>
      <w:r>
        <w:rPr>
          <w:w w:val="105"/>
          <w:position w:val="7"/>
          <w:sz w:val="12"/>
        </w:rPr>
        <w:t>45 </w:t>
      </w:r>
      <w:r>
        <w:rPr>
          <w:spacing w:val="-3"/>
          <w:w w:val="105"/>
          <w:sz w:val="21"/>
        </w:rPr>
        <w:t>Submissions noted that </w:t>
      </w:r>
      <w:r>
        <w:rPr>
          <w:w w:val="105"/>
          <w:sz w:val="21"/>
        </w:rPr>
        <w:t>only one </w:t>
      </w:r>
      <w:r>
        <w:rPr>
          <w:spacing w:val="-3"/>
          <w:w w:val="105"/>
          <w:sz w:val="21"/>
        </w:rPr>
        <w:t>hearing </w:t>
      </w:r>
      <w:r>
        <w:rPr>
          <w:w w:val="105"/>
          <w:sz w:val="21"/>
        </w:rPr>
        <w:t>is held in practice </w:t>
      </w:r>
      <w:r>
        <w:rPr>
          <w:w w:val="105"/>
          <w:position w:val="7"/>
          <w:sz w:val="12"/>
        </w:rPr>
        <w:t>46 </w:t>
      </w:r>
      <w:r>
        <w:rPr>
          <w:w w:val="105"/>
          <w:sz w:val="21"/>
        </w:rPr>
        <w:t>and </w:t>
      </w:r>
      <w:r>
        <w:rPr>
          <w:spacing w:val="-3"/>
          <w:w w:val="105"/>
          <w:sz w:val="21"/>
        </w:rPr>
        <w:t>that </w:t>
      </w:r>
      <w:r>
        <w:rPr>
          <w:w w:val="105"/>
          <w:sz w:val="21"/>
        </w:rPr>
        <w:t>costs rules </w:t>
      </w:r>
      <w:r>
        <w:rPr>
          <w:spacing w:val="-3"/>
          <w:w w:val="105"/>
          <w:sz w:val="21"/>
        </w:rPr>
        <w:t>are </w:t>
      </w:r>
      <w:r>
        <w:rPr>
          <w:w w:val="105"/>
          <w:sz w:val="21"/>
        </w:rPr>
        <w:t>sufficient </w:t>
      </w:r>
      <w:r>
        <w:rPr>
          <w:spacing w:val="-3"/>
          <w:w w:val="105"/>
          <w:sz w:val="21"/>
        </w:rPr>
        <w:t>to </w:t>
      </w:r>
      <w:r>
        <w:rPr>
          <w:w w:val="105"/>
          <w:sz w:val="21"/>
        </w:rPr>
        <w:t>deter </w:t>
      </w:r>
      <w:r>
        <w:rPr>
          <w:spacing w:val="-3"/>
          <w:w w:val="105"/>
          <w:sz w:val="21"/>
        </w:rPr>
        <w:t>unmeritorious </w:t>
      </w:r>
      <w:r>
        <w:rPr>
          <w:w w:val="105"/>
          <w:sz w:val="21"/>
        </w:rPr>
        <w:t>or vexatious</w:t>
      </w:r>
      <w:r>
        <w:rPr>
          <w:spacing w:val="17"/>
          <w:w w:val="105"/>
          <w:sz w:val="21"/>
        </w:rPr>
        <w:t> </w:t>
      </w:r>
      <w:r>
        <w:rPr>
          <w:spacing w:val="-3"/>
          <w:w w:val="105"/>
          <w:sz w:val="21"/>
        </w:rPr>
        <w:t>applications.</w:t>
      </w:r>
      <w:r>
        <w:rPr>
          <w:spacing w:val="-3"/>
          <w:w w:val="105"/>
          <w:position w:val="7"/>
          <w:sz w:val="12"/>
        </w:rPr>
        <w:t>47</w:t>
      </w:r>
    </w:p>
    <w:p>
      <w:pPr>
        <w:pStyle w:val="ListParagraph"/>
        <w:numPr>
          <w:ilvl w:val="1"/>
          <w:numId w:val="22"/>
        </w:numPr>
        <w:tabs>
          <w:tab w:pos="2380" w:val="left" w:leader="none"/>
          <w:tab w:pos="2381" w:val="left" w:leader="none"/>
        </w:tabs>
        <w:spacing w:line="242" w:lineRule="auto" w:before="126" w:after="0"/>
        <w:ind w:left="2381" w:right="1897" w:hanging="794"/>
        <w:jc w:val="left"/>
        <w:rPr>
          <w:sz w:val="21"/>
        </w:rPr>
      </w:pPr>
      <w:r>
        <w:rPr>
          <w:sz w:val="21"/>
        </w:rPr>
        <w:t>The </w:t>
      </w:r>
      <w:r>
        <w:rPr>
          <w:spacing w:val="-3"/>
          <w:sz w:val="21"/>
        </w:rPr>
        <w:t>Commission  </w:t>
      </w:r>
      <w:r>
        <w:rPr>
          <w:sz w:val="21"/>
        </w:rPr>
        <w:t>agrees </w:t>
      </w:r>
      <w:r>
        <w:rPr>
          <w:spacing w:val="-3"/>
          <w:sz w:val="21"/>
        </w:rPr>
        <w:t>that</w:t>
      </w:r>
      <w:r>
        <w:rPr>
          <w:spacing w:val="41"/>
          <w:sz w:val="21"/>
        </w:rPr>
        <w:t> </w:t>
      </w:r>
      <w:r>
        <w:rPr>
          <w:sz w:val="21"/>
        </w:rPr>
        <w:t>the two-stage process </w:t>
      </w:r>
      <w:r>
        <w:rPr>
          <w:spacing w:val="-3"/>
          <w:sz w:val="21"/>
        </w:rPr>
        <w:t>for  </w:t>
      </w:r>
      <w:r>
        <w:rPr>
          <w:sz w:val="21"/>
        </w:rPr>
        <w:t>a statutory </w:t>
      </w:r>
      <w:r>
        <w:rPr>
          <w:spacing w:val="-3"/>
          <w:sz w:val="21"/>
        </w:rPr>
        <w:t>will  </w:t>
      </w:r>
      <w:r>
        <w:rPr>
          <w:sz w:val="21"/>
        </w:rPr>
        <w:t>application in  the </w:t>
      </w:r>
      <w:r>
        <w:rPr>
          <w:spacing w:val="-3"/>
          <w:sz w:val="21"/>
        </w:rPr>
        <w:t>Wills </w:t>
      </w:r>
      <w:r>
        <w:rPr>
          <w:sz w:val="21"/>
        </w:rPr>
        <w:t>Act is </w:t>
      </w:r>
      <w:r>
        <w:rPr>
          <w:spacing w:val="-3"/>
          <w:sz w:val="21"/>
        </w:rPr>
        <w:t>unnecessary. </w:t>
      </w:r>
      <w:r>
        <w:rPr>
          <w:sz w:val="21"/>
        </w:rPr>
        <w:t>Applications </w:t>
      </w:r>
      <w:r>
        <w:rPr>
          <w:spacing w:val="-3"/>
          <w:sz w:val="21"/>
        </w:rPr>
        <w:t>are usually  determined  </w:t>
      </w:r>
      <w:r>
        <w:rPr>
          <w:sz w:val="21"/>
        </w:rPr>
        <w:t>in  the  one  </w:t>
      </w:r>
      <w:r>
        <w:rPr>
          <w:spacing w:val="-3"/>
          <w:sz w:val="21"/>
        </w:rPr>
        <w:t>hearing, </w:t>
      </w:r>
      <w:r>
        <w:rPr>
          <w:sz w:val="21"/>
        </w:rPr>
        <w:t>and the </w:t>
      </w:r>
      <w:r>
        <w:rPr>
          <w:spacing w:val="-3"/>
          <w:sz w:val="21"/>
        </w:rPr>
        <w:t>legislation </w:t>
      </w:r>
      <w:r>
        <w:rPr>
          <w:sz w:val="21"/>
        </w:rPr>
        <w:t>should be amended </w:t>
      </w:r>
      <w:r>
        <w:rPr>
          <w:spacing w:val="-3"/>
          <w:sz w:val="21"/>
        </w:rPr>
        <w:t>to </w:t>
      </w:r>
      <w:r>
        <w:rPr>
          <w:sz w:val="21"/>
        </w:rPr>
        <w:t>reflect </w:t>
      </w:r>
      <w:r>
        <w:rPr>
          <w:spacing w:val="-3"/>
          <w:sz w:val="21"/>
        </w:rPr>
        <w:t>that practice. Including </w:t>
      </w:r>
      <w:r>
        <w:rPr>
          <w:sz w:val="21"/>
        </w:rPr>
        <w:t>a two-stage process in the </w:t>
      </w:r>
      <w:r>
        <w:rPr>
          <w:spacing w:val="-3"/>
          <w:sz w:val="21"/>
        </w:rPr>
        <w:t>legislation may </w:t>
      </w:r>
      <w:r>
        <w:rPr>
          <w:sz w:val="21"/>
        </w:rPr>
        <w:t>deter those who </w:t>
      </w:r>
      <w:r>
        <w:rPr>
          <w:spacing w:val="-3"/>
          <w:sz w:val="21"/>
        </w:rPr>
        <w:t>are </w:t>
      </w:r>
      <w:r>
        <w:rPr>
          <w:spacing w:val="-4"/>
          <w:sz w:val="21"/>
        </w:rPr>
        <w:t>unfamiliar </w:t>
      </w:r>
      <w:r>
        <w:rPr>
          <w:sz w:val="21"/>
        </w:rPr>
        <w:t>with the jurisdiction </w:t>
      </w:r>
      <w:r>
        <w:rPr>
          <w:spacing w:val="-3"/>
          <w:sz w:val="21"/>
        </w:rPr>
        <w:t>from making </w:t>
      </w:r>
      <w:r>
        <w:rPr>
          <w:sz w:val="21"/>
        </w:rPr>
        <w:t>an </w:t>
      </w:r>
      <w:r>
        <w:rPr>
          <w:spacing w:val="-3"/>
          <w:sz w:val="21"/>
        </w:rPr>
        <w:t>application, </w:t>
      </w:r>
      <w:r>
        <w:rPr>
          <w:sz w:val="21"/>
        </w:rPr>
        <w:t>as it </w:t>
      </w:r>
      <w:r>
        <w:rPr>
          <w:spacing w:val="-3"/>
          <w:sz w:val="21"/>
        </w:rPr>
        <w:t>may </w:t>
      </w:r>
      <w:r>
        <w:rPr>
          <w:sz w:val="21"/>
        </w:rPr>
        <w:t>seem more </w:t>
      </w:r>
      <w:r>
        <w:rPr>
          <w:spacing w:val="-3"/>
          <w:sz w:val="21"/>
        </w:rPr>
        <w:t>complicated than </w:t>
      </w:r>
      <w:r>
        <w:rPr>
          <w:sz w:val="21"/>
        </w:rPr>
        <w:t>the process</w:t>
      </w:r>
      <w:r>
        <w:rPr>
          <w:spacing w:val="3"/>
          <w:sz w:val="21"/>
        </w:rPr>
        <w:t> </w:t>
      </w:r>
      <w:r>
        <w:rPr>
          <w:sz w:val="21"/>
        </w:rPr>
        <w:t>actually</w:t>
      </w:r>
    </w:p>
    <w:p>
      <w:pPr>
        <w:pStyle w:val="BodyText"/>
        <w:spacing w:line="242" w:lineRule="auto" w:before="5"/>
        <w:ind w:left="2380" w:right="1619"/>
      </w:pPr>
      <w:r>
        <w:rPr/>
        <w:t>is. The Commission agrees that a costs order is a sufficient deterrent to vexatious or unmeritorious applications being made.</w:t>
      </w:r>
    </w:p>
    <w:p>
      <w:pPr>
        <w:pStyle w:val="BodyText"/>
        <w:spacing w:before="2"/>
        <w:rPr>
          <w:sz w:val="16"/>
        </w:rPr>
      </w:pPr>
      <w:r>
        <w:rPr/>
        <w:pict>
          <v:group style="position:absolute;margin-left:62.362202pt;margin-top:11.835549pt;width:479.1pt;height:109.55pt;mso-position-horizontal-relative:page;mso-position-vertical-relative:paragraph;z-index:1208;mso-wrap-distance-left:0;mso-wrap-distance-right:0" coordorigin="1247,237" coordsize="9582,2191">
            <v:rect style="position:absolute;left:1587;top:236;width:8731;height:2191" filled="true" fillcolor="#fdebea" stroked="false">
              <v:fill type="solid"/>
            </v:rect>
            <v:line style="position:absolute" from="1247,987" to="10828,987" stroked="true" strokeweight="2.5pt" strokecolor="#ffffff">
              <v:stroke dashstyle="solid"/>
            </v:line>
            <v:shape style="position:absolute;left:2381;top:1224;width:7337;height:1029" type="#_x0000_t202" filled="false" stroked="false">
              <v:textbox inset="0,0,0,0">
                <w:txbxContent>
                  <w:p>
                    <w:pPr>
                      <w:spacing w:line="242" w:lineRule="auto" w:before="0"/>
                      <w:ind w:left="0" w:right="0" w:firstLine="0"/>
                      <w:jc w:val="left"/>
                      <w:rPr>
                        <w:sz w:val="21"/>
                      </w:rPr>
                    </w:pPr>
                    <w:r>
                      <w:rPr>
                        <w:w w:val="110"/>
                        <w:sz w:val="21"/>
                      </w:rPr>
                      <w:t>An application for a statutory will should be made in one stage rather than two. The requirement at section 21(2) of the </w:t>
                    </w:r>
                    <w:r>
                      <w:rPr>
                        <w:rFonts w:ascii="Lucida Sans" w:hAnsi="Lucida Sans"/>
                        <w:i/>
                        <w:w w:val="110"/>
                        <w:sz w:val="21"/>
                      </w:rPr>
                      <w:t>Wills Act 1997 </w:t>
                    </w:r>
                    <w:r>
                      <w:rPr>
                        <w:w w:val="110"/>
                        <w:sz w:val="21"/>
                      </w:rPr>
                      <w:t>(Vic) to seek leave to make an application for a statutory will should be repealed and consequential amendments made to sections 26–29.</w:t>
                    </w:r>
                  </w:p>
                </w:txbxContent>
              </v:textbox>
              <w10:wrap type="none"/>
            </v:shape>
            <v:shape style="position:absolute;left:1814;top:1224;width:137;height:249" type="#_x0000_t202" filled="false" stroked="false">
              <v:textbox inset="0,0,0,0">
                <w:txbxContent>
                  <w:p>
                    <w:pPr>
                      <w:spacing w:line="249" w:lineRule="exact" w:before="0"/>
                      <w:ind w:left="0" w:right="0" w:firstLine="0"/>
                      <w:jc w:val="left"/>
                      <w:rPr>
                        <w:sz w:val="21"/>
                      </w:rPr>
                    </w:pPr>
                    <w:r>
                      <w:rPr>
                        <w:w w:val="109"/>
                        <w:sz w:val="21"/>
                      </w:rPr>
                      <w:t>4</w:t>
                    </w:r>
                  </w:p>
                </w:txbxContent>
              </v:textbox>
              <w10:wrap type="none"/>
            </v:shape>
            <v:shape style="position:absolute;left:1587;top:236;width:8731;height:726" type="#_x0000_t202" filled="true" fillcolor="#fdebea" stroked="false">
              <v:textbox inset="0,0,0,0">
                <w:txbxContent>
                  <w:p>
                    <w:pPr>
                      <w:spacing w:before="166"/>
                      <w:ind w:left="226" w:right="0" w:firstLine="0"/>
                      <w:jc w:val="left"/>
                      <w:rPr>
                        <w:b/>
                        <w:sz w:val="32"/>
                      </w:rPr>
                    </w:pPr>
                    <w:r>
                      <w:rPr>
                        <w:b/>
                        <w:color w:val="EC5A4F"/>
                        <w:w w:val="110"/>
                        <w:sz w:val="32"/>
                      </w:rPr>
                      <w:t>Recommendation</w:t>
                    </w:r>
                  </w:p>
                </w:txbxContent>
              </v:textbox>
              <v:fill type="solid"/>
              <w10:wrap type="none"/>
            </v:shape>
            <w10:wrap type="topAndBottom"/>
          </v:group>
        </w:pict>
      </w:r>
    </w:p>
    <w:p>
      <w:pPr>
        <w:pStyle w:val="BodyText"/>
        <w:rPr>
          <w:sz w:val="20"/>
        </w:rPr>
      </w:pPr>
    </w:p>
    <w:p>
      <w:pPr>
        <w:pStyle w:val="BodyText"/>
        <w:spacing w:before="5"/>
        <w:rPr>
          <w:sz w:val="17"/>
        </w:rPr>
      </w:pPr>
      <w:r>
        <w:rPr/>
        <w:pict>
          <v:line style="position:absolute;mso-position-horizontal-relative:page;mso-position-vertical-relative:paragraph;z-index:1232;mso-wrap-distance-left:0;mso-wrap-distance-right:0" from="79.370102pt,13.088569pt" to="515.905102pt,13.088569pt" stroked="true" strokeweight="1pt" strokecolor="#f9ceca">
            <v:stroke dashstyle="solid"/>
            <w10:wrap type="topAndBottom"/>
          </v:line>
        </w:pict>
      </w:r>
    </w:p>
    <w:p>
      <w:pPr>
        <w:tabs>
          <w:tab w:pos="2380" w:val="left" w:leader="none"/>
        </w:tabs>
        <w:spacing w:before="117"/>
        <w:ind w:left="1587" w:right="0" w:firstLine="0"/>
        <w:jc w:val="left"/>
        <w:rPr>
          <w:sz w:val="13"/>
        </w:rPr>
      </w:pPr>
      <w:r>
        <w:rPr>
          <w:w w:val="105"/>
          <w:sz w:val="13"/>
        </w:rPr>
        <w:t>42</w:t>
        <w:tab/>
      </w:r>
      <w:r>
        <w:rPr>
          <w:i/>
          <w:w w:val="105"/>
          <w:sz w:val="13"/>
        </w:rPr>
        <w:t>Wills Act </w:t>
      </w:r>
      <w:r>
        <w:rPr>
          <w:i/>
          <w:spacing w:val="-3"/>
          <w:w w:val="105"/>
          <w:sz w:val="13"/>
        </w:rPr>
        <w:t>1997 </w:t>
      </w:r>
      <w:r>
        <w:rPr>
          <w:spacing w:val="2"/>
          <w:w w:val="105"/>
          <w:sz w:val="13"/>
        </w:rPr>
        <w:t>(Vic) </w:t>
      </w:r>
      <w:r>
        <w:rPr>
          <w:w w:val="105"/>
          <w:sz w:val="13"/>
        </w:rPr>
        <w:t>ss </w:t>
      </w:r>
      <w:r>
        <w:rPr>
          <w:spacing w:val="-4"/>
          <w:w w:val="105"/>
          <w:sz w:val="13"/>
        </w:rPr>
        <w:t>21,</w:t>
      </w:r>
      <w:r>
        <w:rPr>
          <w:spacing w:val="-1"/>
          <w:w w:val="105"/>
          <w:sz w:val="13"/>
        </w:rPr>
        <w:t> </w:t>
      </w:r>
      <w:r>
        <w:rPr>
          <w:spacing w:val="2"/>
          <w:w w:val="105"/>
          <w:sz w:val="13"/>
        </w:rPr>
        <w:t>26–9.</w:t>
      </w:r>
    </w:p>
    <w:p>
      <w:pPr>
        <w:pStyle w:val="ListParagraph"/>
        <w:numPr>
          <w:ilvl w:val="0"/>
          <w:numId w:val="36"/>
        </w:numPr>
        <w:tabs>
          <w:tab w:pos="2380" w:val="left" w:leader="none"/>
          <w:tab w:pos="2382" w:val="left" w:leader="none"/>
        </w:tabs>
        <w:spacing w:line="240" w:lineRule="auto" w:before="1" w:after="0"/>
        <w:ind w:left="2381" w:right="0" w:hanging="794"/>
        <w:jc w:val="left"/>
        <w:rPr>
          <w:sz w:val="13"/>
        </w:rPr>
      </w:pPr>
      <w:r>
        <w:rPr>
          <w:i/>
          <w:w w:val="105"/>
          <w:sz w:val="13"/>
        </w:rPr>
        <w:t>Boulton</w:t>
      </w:r>
      <w:r>
        <w:rPr>
          <w:i/>
          <w:spacing w:val="4"/>
          <w:w w:val="105"/>
          <w:sz w:val="13"/>
        </w:rPr>
        <w:t> </w:t>
      </w:r>
      <w:r>
        <w:rPr>
          <w:i/>
          <w:w w:val="105"/>
          <w:sz w:val="13"/>
        </w:rPr>
        <w:t>v</w:t>
      </w:r>
      <w:r>
        <w:rPr>
          <w:i/>
          <w:spacing w:val="4"/>
          <w:w w:val="105"/>
          <w:sz w:val="13"/>
        </w:rPr>
        <w:t> </w:t>
      </w:r>
      <w:r>
        <w:rPr>
          <w:i/>
          <w:w w:val="105"/>
          <w:sz w:val="13"/>
        </w:rPr>
        <w:t>Sanders</w:t>
      </w:r>
      <w:r>
        <w:rPr>
          <w:i/>
          <w:spacing w:val="5"/>
          <w:w w:val="105"/>
          <w:sz w:val="13"/>
        </w:rPr>
        <w:t> </w:t>
      </w:r>
      <w:r>
        <w:rPr>
          <w:spacing w:val="2"/>
          <w:w w:val="105"/>
          <w:sz w:val="13"/>
        </w:rPr>
        <w:t>(2004)</w:t>
      </w:r>
      <w:r>
        <w:rPr>
          <w:spacing w:val="6"/>
          <w:w w:val="105"/>
          <w:sz w:val="13"/>
        </w:rPr>
        <w:t> </w:t>
      </w:r>
      <w:r>
        <w:rPr>
          <w:w w:val="105"/>
          <w:sz w:val="13"/>
        </w:rPr>
        <w:t>9</w:t>
      </w:r>
      <w:r>
        <w:rPr>
          <w:spacing w:val="5"/>
          <w:w w:val="105"/>
          <w:sz w:val="13"/>
        </w:rPr>
        <w:t> </w:t>
      </w:r>
      <w:r>
        <w:rPr>
          <w:w w:val="105"/>
          <w:sz w:val="13"/>
        </w:rPr>
        <w:t>VR</w:t>
      </w:r>
      <w:r>
        <w:rPr>
          <w:spacing w:val="5"/>
          <w:w w:val="105"/>
          <w:sz w:val="13"/>
        </w:rPr>
        <w:t> </w:t>
      </w:r>
      <w:r>
        <w:rPr>
          <w:w w:val="105"/>
          <w:sz w:val="13"/>
        </w:rPr>
        <w:t>495,</w:t>
      </w:r>
      <w:r>
        <w:rPr>
          <w:spacing w:val="5"/>
          <w:w w:val="105"/>
          <w:sz w:val="13"/>
        </w:rPr>
        <w:t> </w:t>
      </w:r>
      <w:r>
        <w:rPr>
          <w:spacing w:val="2"/>
          <w:w w:val="105"/>
          <w:sz w:val="13"/>
        </w:rPr>
        <w:t>499;</w:t>
      </w:r>
      <w:r>
        <w:rPr>
          <w:spacing w:val="6"/>
          <w:w w:val="105"/>
          <w:sz w:val="13"/>
        </w:rPr>
        <w:t> </w:t>
      </w:r>
      <w:r>
        <w:rPr>
          <w:i/>
          <w:w w:val="105"/>
          <w:sz w:val="13"/>
        </w:rPr>
        <w:t>Monger</w:t>
      </w:r>
      <w:r>
        <w:rPr>
          <w:i/>
          <w:spacing w:val="4"/>
          <w:w w:val="105"/>
          <w:sz w:val="13"/>
        </w:rPr>
        <w:t> </w:t>
      </w:r>
      <w:r>
        <w:rPr>
          <w:i/>
          <w:w w:val="105"/>
          <w:sz w:val="13"/>
        </w:rPr>
        <w:t>v</w:t>
      </w:r>
      <w:r>
        <w:rPr>
          <w:i/>
          <w:spacing w:val="4"/>
          <w:w w:val="105"/>
          <w:sz w:val="13"/>
        </w:rPr>
        <w:t> </w:t>
      </w:r>
      <w:r>
        <w:rPr>
          <w:i/>
          <w:w w:val="105"/>
          <w:sz w:val="13"/>
        </w:rPr>
        <w:t>Taylor</w:t>
      </w:r>
      <w:r>
        <w:rPr>
          <w:i/>
          <w:spacing w:val="5"/>
          <w:w w:val="105"/>
          <w:sz w:val="13"/>
        </w:rPr>
        <w:t> </w:t>
      </w:r>
      <w:r>
        <w:rPr>
          <w:spacing w:val="2"/>
          <w:w w:val="105"/>
          <w:sz w:val="13"/>
        </w:rPr>
        <w:t>[2000]</w:t>
      </w:r>
      <w:r>
        <w:rPr>
          <w:spacing w:val="6"/>
          <w:w w:val="105"/>
          <w:sz w:val="13"/>
        </w:rPr>
        <w:t> </w:t>
      </w:r>
      <w:r>
        <w:rPr>
          <w:w w:val="105"/>
          <w:sz w:val="13"/>
        </w:rPr>
        <w:t>VSC</w:t>
      </w:r>
      <w:r>
        <w:rPr>
          <w:spacing w:val="5"/>
          <w:w w:val="105"/>
          <w:sz w:val="13"/>
        </w:rPr>
        <w:t> </w:t>
      </w:r>
      <w:r>
        <w:rPr>
          <w:spacing w:val="2"/>
          <w:w w:val="105"/>
          <w:sz w:val="13"/>
        </w:rPr>
        <w:t>304</w:t>
      </w:r>
      <w:r>
        <w:rPr>
          <w:spacing w:val="5"/>
          <w:w w:val="105"/>
          <w:sz w:val="13"/>
        </w:rPr>
        <w:t> </w:t>
      </w:r>
      <w:r>
        <w:rPr>
          <w:w w:val="105"/>
          <w:sz w:val="13"/>
        </w:rPr>
        <w:t>(2</w:t>
      </w:r>
      <w:r>
        <w:rPr>
          <w:spacing w:val="5"/>
          <w:w w:val="105"/>
          <w:sz w:val="13"/>
        </w:rPr>
        <w:t> </w:t>
      </w:r>
      <w:r>
        <w:rPr>
          <w:w w:val="105"/>
          <w:sz w:val="13"/>
        </w:rPr>
        <w:t>August</w:t>
      </w:r>
      <w:r>
        <w:rPr>
          <w:spacing w:val="6"/>
          <w:w w:val="105"/>
          <w:sz w:val="13"/>
        </w:rPr>
        <w:t> </w:t>
      </w:r>
      <w:r>
        <w:rPr>
          <w:spacing w:val="3"/>
          <w:w w:val="105"/>
          <w:sz w:val="13"/>
        </w:rPr>
        <w:t>2000)</w:t>
      </w:r>
      <w:r>
        <w:rPr>
          <w:spacing w:val="5"/>
          <w:w w:val="105"/>
          <w:sz w:val="13"/>
        </w:rPr>
        <w:t> </w:t>
      </w:r>
      <w:r>
        <w:rPr>
          <w:w w:val="105"/>
          <w:sz w:val="13"/>
        </w:rPr>
        <w:t>[22].</w:t>
      </w:r>
    </w:p>
    <w:p>
      <w:pPr>
        <w:pStyle w:val="ListParagraph"/>
        <w:numPr>
          <w:ilvl w:val="0"/>
          <w:numId w:val="36"/>
        </w:numPr>
        <w:tabs>
          <w:tab w:pos="2380" w:val="left" w:leader="none"/>
          <w:tab w:pos="2382" w:val="left" w:leader="none"/>
        </w:tabs>
        <w:spacing w:line="240" w:lineRule="auto" w:before="2" w:after="0"/>
        <w:ind w:left="2381" w:right="0" w:hanging="794"/>
        <w:jc w:val="left"/>
        <w:rPr>
          <w:sz w:val="13"/>
        </w:rPr>
      </w:pPr>
      <w:r>
        <w:rPr>
          <w:i/>
          <w:w w:val="105"/>
          <w:sz w:val="13"/>
        </w:rPr>
        <w:t>Saunders</w:t>
      </w:r>
      <w:r>
        <w:rPr>
          <w:i/>
          <w:spacing w:val="3"/>
          <w:w w:val="105"/>
          <w:sz w:val="13"/>
        </w:rPr>
        <w:t> </w:t>
      </w:r>
      <w:r>
        <w:rPr>
          <w:i/>
          <w:w w:val="105"/>
          <w:sz w:val="13"/>
        </w:rPr>
        <w:t>v</w:t>
      </w:r>
      <w:r>
        <w:rPr>
          <w:i/>
          <w:spacing w:val="4"/>
          <w:w w:val="105"/>
          <w:sz w:val="13"/>
        </w:rPr>
        <w:t> </w:t>
      </w:r>
      <w:r>
        <w:rPr>
          <w:i/>
          <w:w w:val="105"/>
          <w:sz w:val="13"/>
        </w:rPr>
        <w:t>Pedemont</w:t>
      </w:r>
      <w:r>
        <w:rPr>
          <w:i/>
          <w:spacing w:val="4"/>
          <w:w w:val="105"/>
          <w:sz w:val="13"/>
        </w:rPr>
        <w:t> </w:t>
      </w:r>
      <w:r>
        <w:rPr>
          <w:w w:val="105"/>
          <w:sz w:val="13"/>
        </w:rPr>
        <w:t>[2012]</w:t>
      </w:r>
      <w:r>
        <w:rPr>
          <w:spacing w:val="5"/>
          <w:w w:val="105"/>
          <w:sz w:val="13"/>
        </w:rPr>
        <w:t> </w:t>
      </w:r>
      <w:r>
        <w:rPr>
          <w:w w:val="105"/>
          <w:sz w:val="13"/>
        </w:rPr>
        <w:t>VSC</w:t>
      </w:r>
      <w:r>
        <w:rPr>
          <w:spacing w:val="4"/>
          <w:w w:val="105"/>
          <w:sz w:val="13"/>
        </w:rPr>
        <w:t> </w:t>
      </w:r>
      <w:r>
        <w:rPr>
          <w:w w:val="105"/>
          <w:sz w:val="13"/>
        </w:rPr>
        <w:t>574</w:t>
      </w:r>
      <w:r>
        <w:rPr>
          <w:spacing w:val="5"/>
          <w:w w:val="105"/>
          <w:sz w:val="13"/>
        </w:rPr>
        <w:t> </w:t>
      </w:r>
      <w:r>
        <w:rPr>
          <w:w w:val="105"/>
          <w:sz w:val="13"/>
        </w:rPr>
        <w:t>(28</w:t>
      </w:r>
      <w:r>
        <w:rPr>
          <w:spacing w:val="4"/>
          <w:w w:val="105"/>
          <w:sz w:val="13"/>
        </w:rPr>
        <w:t> </w:t>
      </w:r>
      <w:r>
        <w:rPr>
          <w:w w:val="105"/>
          <w:sz w:val="13"/>
        </w:rPr>
        <w:t>November</w:t>
      </w:r>
      <w:r>
        <w:rPr>
          <w:spacing w:val="5"/>
          <w:w w:val="105"/>
          <w:sz w:val="13"/>
        </w:rPr>
        <w:t> </w:t>
      </w:r>
      <w:r>
        <w:rPr>
          <w:w w:val="105"/>
          <w:sz w:val="13"/>
        </w:rPr>
        <w:t>2012)</w:t>
      </w:r>
      <w:r>
        <w:rPr>
          <w:spacing w:val="5"/>
          <w:w w:val="105"/>
          <w:sz w:val="13"/>
        </w:rPr>
        <w:t> </w:t>
      </w:r>
      <w:r>
        <w:rPr>
          <w:spacing w:val="3"/>
          <w:w w:val="105"/>
          <w:sz w:val="13"/>
        </w:rPr>
        <w:t>[9]</w:t>
      </w:r>
      <w:r>
        <w:rPr>
          <w:spacing w:val="4"/>
          <w:w w:val="105"/>
          <w:sz w:val="13"/>
        </w:rPr>
        <w:t> </w:t>
      </w:r>
      <w:r>
        <w:rPr>
          <w:w w:val="105"/>
          <w:sz w:val="13"/>
        </w:rPr>
        <w:t>(emphasis</w:t>
      </w:r>
      <w:r>
        <w:rPr>
          <w:spacing w:val="5"/>
          <w:w w:val="105"/>
          <w:sz w:val="13"/>
        </w:rPr>
        <w:t> </w:t>
      </w:r>
      <w:r>
        <w:rPr>
          <w:spacing w:val="2"/>
          <w:w w:val="105"/>
          <w:sz w:val="13"/>
        </w:rPr>
        <w:t>added).</w:t>
      </w:r>
    </w:p>
    <w:p>
      <w:pPr>
        <w:pStyle w:val="ListParagraph"/>
        <w:numPr>
          <w:ilvl w:val="0"/>
          <w:numId w:val="36"/>
        </w:numPr>
        <w:tabs>
          <w:tab w:pos="2380" w:val="left" w:leader="none"/>
          <w:tab w:pos="2382" w:val="left" w:leader="none"/>
        </w:tabs>
        <w:spacing w:line="240" w:lineRule="auto" w:before="1" w:after="0"/>
        <w:ind w:left="2381" w:right="1613" w:hanging="794"/>
        <w:jc w:val="left"/>
        <w:rPr>
          <w:sz w:val="13"/>
        </w:rPr>
      </w:pPr>
      <w:r>
        <w:rPr>
          <w:w w:val="105"/>
          <w:sz w:val="13"/>
        </w:rPr>
        <w:t>Submissions </w:t>
      </w:r>
      <w:r>
        <w:rPr>
          <w:spacing w:val="-3"/>
          <w:w w:val="105"/>
          <w:sz w:val="13"/>
        </w:rPr>
        <w:t>14  </w:t>
      </w:r>
      <w:r>
        <w:rPr>
          <w:w w:val="105"/>
          <w:sz w:val="13"/>
        </w:rPr>
        <w:t>(Commercial Bar </w:t>
      </w:r>
      <w:r>
        <w:rPr>
          <w:spacing w:val="2"/>
          <w:w w:val="105"/>
          <w:sz w:val="13"/>
        </w:rPr>
        <w:t>Association); </w:t>
      </w:r>
      <w:r>
        <w:rPr>
          <w:w w:val="105"/>
          <w:sz w:val="13"/>
        </w:rPr>
        <w:t>25 </w:t>
      </w:r>
      <w:r>
        <w:rPr>
          <w:spacing w:val="2"/>
          <w:w w:val="105"/>
          <w:sz w:val="13"/>
        </w:rPr>
        <w:t>(Moores </w:t>
      </w:r>
      <w:r>
        <w:rPr>
          <w:w w:val="105"/>
          <w:sz w:val="13"/>
        </w:rPr>
        <w:t>Legal); 26 </w:t>
      </w:r>
      <w:r>
        <w:rPr>
          <w:spacing w:val="2"/>
          <w:w w:val="105"/>
          <w:sz w:val="13"/>
        </w:rPr>
        <w:t>(Rigby </w:t>
      </w:r>
      <w:r>
        <w:rPr>
          <w:w w:val="105"/>
          <w:sz w:val="13"/>
        </w:rPr>
        <w:t>Cooke </w:t>
      </w:r>
      <w:r>
        <w:rPr>
          <w:spacing w:val="2"/>
          <w:w w:val="105"/>
          <w:sz w:val="13"/>
        </w:rPr>
        <w:t>Lawyers); </w:t>
      </w:r>
      <w:r>
        <w:rPr>
          <w:w w:val="105"/>
          <w:sz w:val="13"/>
        </w:rPr>
        <w:t>30a </w:t>
      </w:r>
      <w:r>
        <w:rPr>
          <w:spacing w:val="3"/>
          <w:w w:val="105"/>
          <w:sz w:val="13"/>
        </w:rPr>
        <w:t>(Law </w:t>
      </w:r>
      <w:r>
        <w:rPr>
          <w:w w:val="105"/>
          <w:sz w:val="13"/>
        </w:rPr>
        <w:t>Institute of </w:t>
      </w:r>
      <w:r>
        <w:rPr>
          <w:spacing w:val="2"/>
          <w:w w:val="105"/>
          <w:sz w:val="13"/>
        </w:rPr>
        <w:t>Victoria); </w:t>
      </w:r>
      <w:r>
        <w:rPr>
          <w:w w:val="105"/>
          <w:sz w:val="13"/>
        </w:rPr>
        <w:t>32 </w:t>
      </w:r>
      <w:r>
        <w:rPr>
          <w:spacing w:val="2"/>
          <w:w w:val="105"/>
          <w:sz w:val="13"/>
        </w:rPr>
        <w:t>(The   </w:t>
      </w:r>
      <w:r>
        <w:rPr>
          <w:w w:val="105"/>
          <w:sz w:val="13"/>
        </w:rPr>
        <w:t>Institute of Legal Executives); 39 (Carolyn Sparke SC). The Office of the Public Advocate was opposed to this change, as in its view the </w:t>
      </w:r>
      <w:r>
        <w:rPr>
          <w:spacing w:val="2"/>
          <w:w w:val="105"/>
          <w:sz w:val="13"/>
        </w:rPr>
        <w:t>two- </w:t>
      </w:r>
      <w:r>
        <w:rPr>
          <w:w w:val="105"/>
          <w:sz w:val="13"/>
        </w:rPr>
        <w:t>stage</w:t>
      </w:r>
      <w:r>
        <w:rPr>
          <w:spacing w:val="4"/>
          <w:w w:val="105"/>
          <w:sz w:val="13"/>
        </w:rPr>
        <w:t> </w:t>
      </w:r>
      <w:r>
        <w:rPr>
          <w:w w:val="105"/>
          <w:sz w:val="13"/>
        </w:rPr>
        <w:t>process</w:t>
      </w:r>
      <w:r>
        <w:rPr>
          <w:spacing w:val="5"/>
          <w:w w:val="105"/>
          <w:sz w:val="13"/>
        </w:rPr>
        <w:t> </w:t>
      </w:r>
      <w:r>
        <w:rPr>
          <w:w w:val="105"/>
          <w:sz w:val="13"/>
        </w:rPr>
        <w:t>can</w:t>
      </w:r>
      <w:r>
        <w:rPr>
          <w:spacing w:val="5"/>
          <w:w w:val="105"/>
          <w:sz w:val="13"/>
        </w:rPr>
        <w:t> </w:t>
      </w:r>
      <w:r>
        <w:rPr>
          <w:w w:val="105"/>
          <w:sz w:val="13"/>
        </w:rPr>
        <w:t>prevent</w:t>
      </w:r>
      <w:r>
        <w:rPr>
          <w:spacing w:val="4"/>
          <w:w w:val="105"/>
          <w:sz w:val="13"/>
        </w:rPr>
        <w:t> </w:t>
      </w:r>
      <w:r>
        <w:rPr>
          <w:w w:val="105"/>
          <w:sz w:val="13"/>
        </w:rPr>
        <w:t>vexatious</w:t>
      </w:r>
      <w:r>
        <w:rPr>
          <w:spacing w:val="5"/>
          <w:w w:val="105"/>
          <w:sz w:val="13"/>
        </w:rPr>
        <w:t> </w:t>
      </w:r>
      <w:r>
        <w:rPr>
          <w:w w:val="105"/>
          <w:sz w:val="13"/>
        </w:rPr>
        <w:t>or</w:t>
      </w:r>
      <w:r>
        <w:rPr>
          <w:spacing w:val="5"/>
          <w:w w:val="105"/>
          <w:sz w:val="13"/>
        </w:rPr>
        <w:t> </w:t>
      </w:r>
      <w:r>
        <w:rPr>
          <w:w w:val="105"/>
          <w:sz w:val="13"/>
        </w:rPr>
        <w:t>unmeritorious</w:t>
      </w:r>
      <w:r>
        <w:rPr>
          <w:spacing w:val="5"/>
          <w:w w:val="105"/>
          <w:sz w:val="13"/>
        </w:rPr>
        <w:t> </w:t>
      </w:r>
      <w:r>
        <w:rPr>
          <w:w w:val="105"/>
          <w:sz w:val="13"/>
        </w:rPr>
        <w:t>applications:</w:t>
      </w:r>
      <w:r>
        <w:rPr>
          <w:spacing w:val="4"/>
          <w:w w:val="105"/>
          <w:sz w:val="13"/>
        </w:rPr>
        <w:t> </w:t>
      </w:r>
      <w:r>
        <w:rPr>
          <w:w w:val="105"/>
          <w:sz w:val="13"/>
        </w:rPr>
        <w:t>submission</w:t>
      </w:r>
      <w:r>
        <w:rPr>
          <w:spacing w:val="5"/>
          <w:w w:val="105"/>
          <w:sz w:val="13"/>
        </w:rPr>
        <w:t> </w:t>
      </w:r>
      <w:r>
        <w:rPr>
          <w:w w:val="105"/>
          <w:sz w:val="13"/>
        </w:rPr>
        <w:t>21</w:t>
      </w:r>
      <w:r>
        <w:rPr>
          <w:spacing w:val="5"/>
          <w:w w:val="105"/>
          <w:sz w:val="13"/>
        </w:rPr>
        <w:t> </w:t>
      </w:r>
      <w:r>
        <w:rPr>
          <w:spacing w:val="2"/>
          <w:w w:val="105"/>
          <w:sz w:val="13"/>
        </w:rPr>
        <w:t>(Office</w:t>
      </w:r>
      <w:r>
        <w:rPr>
          <w:spacing w:val="5"/>
          <w:w w:val="105"/>
          <w:sz w:val="13"/>
        </w:rPr>
        <w:t> </w:t>
      </w:r>
      <w:r>
        <w:rPr>
          <w:w w:val="105"/>
          <w:sz w:val="13"/>
        </w:rPr>
        <w:t>of</w:t>
      </w:r>
      <w:r>
        <w:rPr>
          <w:spacing w:val="4"/>
          <w:w w:val="105"/>
          <w:sz w:val="13"/>
        </w:rPr>
        <w:t> </w:t>
      </w:r>
      <w:r>
        <w:rPr>
          <w:w w:val="105"/>
          <w:sz w:val="13"/>
        </w:rPr>
        <w:t>the</w:t>
      </w:r>
      <w:r>
        <w:rPr>
          <w:spacing w:val="5"/>
          <w:w w:val="105"/>
          <w:sz w:val="13"/>
        </w:rPr>
        <w:t> </w:t>
      </w:r>
      <w:r>
        <w:rPr>
          <w:w w:val="105"/>
          <w:sz w:val="13"/>
        </w:rPr>
        <w:t>Public</w:t>
      </w:r>
      <w:r>
        <w:rPr>
          <w:spacing w:val="5"/>
          <w:w w:val="105"/>
          <w:sz w:val="13"/>
        </w:rPr>
        <w:t> </w:t>
      </w:r>
      <w:r>
        <w:rPr>
          <w:w w:val="105"/>
          <w:sz w:val="13"/>
        </w:rPr>
        <w:t>Advocate).</w:t>
      </w:r>
    </w:p>
    <w:p>
      <w:pPr>
        <w:pStyle w:val="ListParagraph"/>
        <w:numPr>
          <w:ilvl w:val="0"/>
          <w:numId w:val="36"/>
        </w:numPr>
        <w:tabs>
          <w:tab w:pos="2380" w:val="left" w:leader="none"/>
          <w:tab w:pos="2382" w:val="left" w:leader="none"/>
        </w:tabs>
        <w:spacing w:line="240" w:lineRule="auto" w:before="4" w:after="0"/>
        <w:ind w:left="2381" w:right="0" w:hanging="794"/>
        <w:jc w:val="left"/>
        <w:rPr>
          <w:sz w:val="13"/>
        </w:rPr>
      </w:pPr>
      <w:r>
        <w:rPr>
          <w:w w:val="105"/>
          <w:sz w:val="13"/>
        </w:rPr>
        <w:t>Submissions 25 </w:t>
      </w:r>
      <w:r>
        <w:rPr>
          <w:spacing w:val="2"/>
          <w:w w:val="105"/>
          <w:sz w:val="13"/>
        </w:rPr>
        <w:t>(Moores </w:t>
      </w:r>
      <w:r>
        <w:rPr>
          <w:w w:val="105"/>
          <w:sz w:val="13"/>
        </w:rPr>
        <w:t>Legal); 39 (Carolyn Sparke SC).</w:t>
      </w:r>
    </w:p>
    <w:p>
      <w:pPr>
        <w:pStyle w:val="ListParagraph"/>
        <w:numPr>
          <w:ilvl w:val="0"/>
          <w:numId w:val="36"/>
        </w:numPr>
        <w:tabs>
          <w:tab w:pos="2381" w:val="left" w:leader="none"/>
          <w:tab w:pos="2382" w:val="left" w:leader="none"/>
        </w:tabs>
        <w:spacing w:line="240" w:lineRule="auto" w:before="1" w:after="0"/>
        <w:ind w:left="2381" w:right="1735" w:hanging="794"/>
        <w:jc w:val="left"/>
        <w:rPr>
          <w:sz w:val="13"/>
        </w:rPr>
      </w:pPr>
      <w:r>
        <w:rPr/>
        <w:pict>
          <v:shape style="position:absolute;margin-left:548.96051pt;margin-top:10.864464pt;width:13.2pt;height:14.25pt;mso-position-horizontal-relative:page;mso-position-vertical-relative:paragraph;z-index:3304" type="#_x0000_t202" filled="false" stroked="false">
            <v:textbox inset="0,0,0,0">
              <w:txbxContent>
                <w:p>
                  <w:pPr>
                    <w:spacing w:line="284" w:lineRule="exact" w:before="0"/>
                    <w:ind w:left="0" w:right="0" w:firstLine="0"/>
                    <w:jc w:val="left"/>
                    <w:rPr>
                      <w:b/>
                      <w:sz w:val="24"/>
                    </w:rPr>
                  </w:pPr>
                  <w:r>
                    <w:rPr>
                      <w:b/>
                      <w:color w:val="EC5A4F"/>
                      <w:spacing w:val="-2"/>
                      <w:w w:val="110"/>
                      <w:sz w:val="24"/>
                    </w:rPr>
                    <w:t>29</w:t>
                  </w:r>
                </w:p>
              </w:txbxContent>
            </v:textbox>
            <w10:wrap type="none"/>
          </v:shape>
        </w:pict>
      </w:r>
      <w:r>
        <w:rPr>
          <w:w w:val="105"/>
          <w:sz w:val="13"/>
        </w:rPr>
        <w:t>Submission 30a </w:t>
      </w:r>
      <w:r>
        <w:rPr>
          <w:spacing w:val="3"/>
          <w:w w:val="105"/>
          <w:sz w:val="13"/>
        </w:rPr>
        <w:t>(Law </w:t>
      </w:r>
      <w:r>
        <w:rPr>
          <w:w w:val="105"/>
          <w:sz w:val="13"/>
        </w:rPr>
        <w:t>Institute of </w:t>
      </w:r>
      <w:r>
        <w:rPr>
          <w:spacing w:val="2"/>
          <w:w w:val="105"/>
          <w:sz w:val="13"/>
        </w:rPr>
        <w:t>Victoria). </w:t>
      </w:r>
      <w:r>
        <w:rPr>
          <w:w w:val="105"/>
          <w:sz w:val="13"/>
        </w:rPr>
        <w:t>Justice Debelle in South Australia has also noted that an unsuccessful applicant will usually be required to pay costs and that this should be a sufficient disincentive to frivolous or vexatious applications being made: </w:t>
      </w:r>
      <w:r>
        <w:rPr>
          <w:i/>
          <w:w w:val="105"/>
          <w:sz w:val="13"/>
        </w:rPr>
        <w:t>Hoffman v Waters </w:t>
      </w:r>
      <w:r>
        <w:rPr>
          <w:w w:val="105"/>
          <w:sz w:val="13"/>
        </w:rPr>
        <w:t>[2007] SASC 273 (20 July 2007)</w:t>
      </w:r>
      <w:r>
        <w:rPr>
          <w:spacing w:val="29"/>
          <w:w w:val="105"/>
          <w:sz w:val="13"/>
        </w:rPr>
        <w:t> </w:t>
      </w:r>
      <w:r>
        <w:rPr>
          <w:w w:val="105"/>
          <w:sz w:val="13"/>
        </w:rPr>
        <w:t>[27].</w:t>
      </w:r>
    </w:p>
    <w:p>
      <w:pPr>
        <w:spacing w:after="0" w:line="240" w:lineRule="auto"/>
        <w:jc w:val="left"/>
        <w:rPr>
          <w:sz w:val="13"/>
        </w:rPr>
        <w:sectPr>
          <w:pgSz w:w="11910" w:h="16840"/>
          <w:pgMar w:header="805" w:footer="0" w:top="1360" w:bottom="280" w:left="0" w:right="0"/>
        </w:sectPr>
      </w:pPr>
    </w:p>
    <w:p>
      <w:pPr>
        <w:pStyle w:val="BodyText"/>
        <w:spacing w:before="11"/>
      </w:pPr>
    </w:p>
    <w:p>
      <w:pPr>
        <w:pStyle w:val="Heading5"/>
        <w:spacing w:before="99"/>
      </w:pPr>
      <w:r>
        <w:rPr>
          <w:w w:val="115"/>
        </w:rPr>
        <w:t>Hearings at the Victorian Civil and Administrative Tribunal</w:t>
      </w:r>
    </w:p>
    <w:p>
      <w:pPr>
        <w:pStyle w:val="ListParagraph"/>
        <w:numPr>
          <w:ilvl w:val="1"/>
          <w:numId w:val="22"/>
        </w:numPr>
        <w:tabs>
          <w:tab w:pos="2381" w:val="left" w:leader="none"/>
          <w:tab w:pos="2382" w:val="left" w:leader="none"/>
        </w:tabs>
        <w:spacing w:line="242" w:lineRule="auto" w:before="137" w:after="0"/>
        <w:ind w:left="2381" w:right="2044" w:hanging="794"/>
        <w:jc w:val="left"/>
        <w:rPr>
          <w:sz w:val="21"/>
        </w:rPr>
      </w:pPr>
      <w:r>
        <w:rPr>
          <w:sz w:val="21"/>
        </w:rPr>
        <w:t>The </w:t>
      </w:r>
      <w:r>
        <w:rPr>
          <w:spacing w:val="-3"/>
          <w:sz w:val="21"/>
        </w:rPr>
        <w:t>consultation </w:t>
      </w:r>
      <w:r>
        <w:rPr>
          <w:sz w:val="21"/>
        </w:rPr>
        <w:t>paper on </w:t>
      </w:r>
      <w:r>
        <w:rPr>
          <w:spacing w:val="-3"/>
          <w:sz w:val="21"/>
        </w:rPr>
        <w:t>wills  sought  </w:t>
      </w:r>
      <w:r>
        <w:rPr>
          <w:sz w:val="21"/>
        </w:rPr>
        <w:t>views  on  whether  the  </w:t>
      </w:r>
      <w:r>
        <w:rPr>
          <w:spacing w:val="-3"/>
          <w:sz w:val="21"/>
        </w:rPr>
        <w:t>Guardianship  </w:t>
      </w:r>
      <w:r>
        <w:rPr>
          <w:sz w:val="21"/>
        </w:rPr>
        <w:t>List  of the Victorian </w:t>
      </w:r>
      <w:r>
        <w:rPr>
          <w:spacing w:val="-3"/>
          <w:sz w:val="21"/>
        </w:rPr>
        <w:t>Civil </w:t>
      </w:r>
      <w:r>
        <w:rPr>
          <w:sz w:val="21"/>
        </w:rPr>
        <w:t>and </w:t>
      </w:r>
      <w:r>
        <w:rPr>
          <w:spacing w:val="-3"/>
          <w:sz w:val="21"/>
        </w:rPr>
        <w:t>Administrative </w:t>
      </w:r>
      <w:r>
        <w:rPr>
          <w:spacing w:val="-5"/>
          <w:sz w:val="21"/>
        </w:rPr>
        <w:t>Tribunal </w:t>
      </w:r>
      <w:r>
        <w:rPr>
          <w:sz w:val="21"/>
        </w:rPr>
        <w:t>(VCAT) should </w:t>
      </w:r>
      <w:r>
        <w:rPr>
          <w:spacing w:val="-3"/>
          <w:sz w:val="21"/>
        </w:rPr>
        <w:t>have </w:t>
      </w:r>
      <w:r>
        <w:rPr>
          <w:sz w:val="21"/>
        </w:rPr>
        <w:t>jurisdiction </w:t>
      </w:r>
      <w:r>
        <w:rPr>
          <w:spacing w:val="-3"/>
          <w:sz w:val="21"/>
        </w:rPr>
        <w:t>to </w:t>
      </w:r>
      <w:r>
        <w:rPr>
          <w:sz w:val="21"/>
        </w:rPr>
        <w:t>hear statutory </w:t>
      </w:r>
      <w:r>
        <w:rPr>
          <w:spacing w:val="-3"/>
          <w:sz w:val="21"/>
        </w:rPr>
        <w:t>will applications instead </w:t>
      </w:r>
      <w:r>
        <w:rPr>
          <w:spacing w:val="-6"/>
          <w:sz w:val="21"/>
        </w:rPr>
        <w:t>of, </w:t>
      </w:r>
      <w:r>
        <w:rPr>
          <w:sz w:val="21"/>
        </w:rPr>
        <w:t>or in addition </w:t>
      </w:r>
      <w:r>
        <w:rPr>
          <w:spacing w:val="-4"/>
          <w:sz w:val="21"/>
        </w:rPr>
        <w:t>to, </w:t>
      </w:r>
      <w:r>
        <w:rPr>
          <w:sz w:val="21"/>
        </w:rPr>
        <w:t>the </w:t>
      </w:r>
      <w:r>
        <w:rPr>
          <w:spacing w:val="-3"/>
          <w:sz w:val="21"/>
        </w:rPr>
        <w:t>Supreme </w:t>
      </w:r>
      <w:r>
        <w:rPr>
          <w:sz w:val="21"/>
        </w:rPr>
        <w:t>Court.</w:t>
      </w:r>
      <w:r>
        <w:rPr>
          <w:position w:val="7"/>
          <w:sz w:val="12"/>
        </w:rPr>
        <w:t>48</w:t>
      </w:r>
      <w:r>
        <w:rPr>
          <w:spacing w:val="-7"/>
          <w:position w:val="7"/>
          <w:sz w:val="12"/>
        </w:rPr>
        <w:t> </w:t>
      </w:r>
      <w:r>
        <w:rPr>
          <w:sz w:val="21"/>
        </w:rPr>
        <w:t>The</w:t>
      </w:r>
    </w:p>
    <w:p>
      <w:pPr>
        <w:pStyle w:val="BodyText"/>
        <w:spacing w:line="242" w:lineRule="auto" w:before="3"/>
        <w:ind w:left="2381" w:right="1985"/>
        <w:jc w:val="both"/>
      </w:pPr>
      <w:r>
        <w:rPr/>
        <w:t>Commission raised this idea in view of the low number of applications that have been heard by the Supreme Court and the possibility that a hearing at VCAT may make the system more accessible.</w:t>
      </w:r>
    </w:p>
    <w:p>
      <w:pPr>
        <w:pStyle w:val="ListParagraph"/>
        <w:numPr>
          <w:ilvl w:val="1"/>
          <w:numId w:val="22"/>
        </w:numPr>
        <w:tabs>
          <w:tab w:pos="2380" w:val="left" w:leader="none"/>
          <w:tab w:pos="2381" w:val="left" w:leader="none"/>
        </w:tabs>
        <w:spacing w:line="242" w:lineRule="auto" w:before="124" w:after="0"/>
        <w:ind w:left="2380" w:right="1662" w:hanging="793"/>
        <w:jc w:val="left"/>
        <w:rPr>
          <w:sz w:val="21"/>
        </w:rPr>
      </w:pPr>
      <w:r>
        <w:rPr>
          <w:sz w:val="21"/>
        </w:rPr>
        <w:t>In </w:t>
      </w:r>
      <w:r>
        <w:rPr>
          <w:spacing w:val="-5"/>
          <w:sz w:val="21"/>
        </w:rPr>
        <w:t>Tasmania, </w:t>
      </w:r>
      <w:r>
        <w:rPr>
          <w:sz w:val="21"/>
        </w:rPr>
        <w:t>jurisdiction </w:t>
      </w:r>
      <w:r>
        <w:rPr>
          <w:spacing w:val="-3"/>
          <w:sz w:val="21"/>
        </w:rPr>
        <w:t>to </w:t>
      </w:r>
      <w:r>
        <w:rPr>
          <w:sz w:val="21"/>
        </w:rPr>
        <w:t>hear </w:t>
      </w:r>
      <w:r>
        <w:rPr>
          <w:spacing w:val="-3"/>
          <w:sz w:val="21"/>
        </w:rPr>
        <w:t>applications for </w:t>
      </w:r>
      <w:r>
        <w:rPr>
          <w:sz w:val="21"/>
        </w:rPr>
        <w:t>statutory </w:t>
      </w:r>
      <w:r>
        <w:rPr>
          <w:spacing w:val="-3"/>
          <w:sz w:val="21"/>
        </w:rPr>
        <w:t>wills </w:t>
      </w:r>
      <w:r>
        <w:rPr>
          <w:spacing w:val="-2"/>
          <w:sz w:val="21"/>
        </w:rPr>
        <w:t>has </w:t>
      </w:r>
      <w:r>
        <w:rPr>
          <w:sz w:val="21"/>
        </w:rPr>
        <w:t>been extended </w:t>
      </w:r>
      <w:r>
        <w:rPr>
          <w:spacing w:val="-3"/>
          <w:sz w:val="21"/>
        </w:rPr>
        <w:t>to </w:t>
      </w:r>
      <w:r>
        <w:rPr>
          <w:sz w:val="21"/>
        </w:rPr>
        <w:t>the </w:t>
      </w:r>
      <w:r>
        <w:rPr>
          <w:spacing w:val="-3"/>
          <w:sz w:val="21"/>
        </w:rPr>
        <w:t>Guardianship </w:t>
      </w:r>
      <w:r>
        <w:rPr>
          <w:sz w:val="21"/>
        </w:rPr>
        <w:t>and </w:t>
      </w:r>
      <w:r>
        <w:rPr>
          <w:spacing w:val="-3"/>
          <w:sz w:val="21"/>
        </w:rPr>
        <w:t>Administration </w:t>
      </w:r>
      <w:r>
        <w:rPr>
          <w:sz w:val="21"/>
        </w:rPr>
        <w:t>Board.</w:t>
      </w:r>
      <w:r>
        <w:rPr>
          <w:position w:val="7"/>
          <w:sz w:val="12"/>
        </w:rPr>
        <w:t>49 </w:t>
      </w:r>
      <w:r>
        <w:rPr>
          <w:spacing w:val="-4"/>
          <w:sz w:val="21"/>
        </w:rPr>
        <w:t>However, </w:t>
      </w:r>
      <w:r>
        <w:rPr>
          <w:sz w:val="21"/>
        </w:rPr>
        <w:t>the board </w:t>
      </w:r>
      <w:r>
        <w:rPr>
          <w:spacing w:val="-3"/>
          <w:sz w:val="21"/>
        </w:rPr>
        <w:t>may </w:t>
      </w:r>
      <w:r>
        <w:rPr>
          <w:sz w:val="21"/>
        </w:rPr>
        <w:t>only hear </w:t>
      </w:r>
      <w:r>
        <w:rPr>
          <w:spacing w:val="-3"/>
          <w:sz w:val="21"/>
        </w:rPr>
        <w:t>applications relating to </w:t>
      </w:r>
      <w:r>
        <w:rPr>
          <w:sz w:val="21"/>
        </w:rPr>
        <w:t>persons who do </w:t>
      </w:r>
      <w:r>
        <w:rPr>
          <w:spacing w:val="-2"/>
          <w:sz w:val="21"/>
        </w:rPr>
        <w:t>not </w:t>
      </w:r>
      <w:r>
        <w:rPr>
          <w:spacing w:val="-3"/>
          <w:sz w:val="21"/>
        </w:rPr>
        <w:t>have </w:t>
      </w:r>
      <w:r>
        <w:rPr>
          <w:sz w:val="21"/>
        </w:rPr>
        <w:t>a </w:t>
      </w:r>
      <w:r>
        <w:rPr>
          <w:spacing w:val="-3"/>
          <w:sz w:val="21"/>
        </w:rPr>
        <w:t>current will. </w:t>
      </w:r>
      <w:r>
        <w:rPr>
          <w:spacing w:val="-5"/>
          <w:sz w:val="21"/>
        </w:rPr>
        <w:t>Tasmania </w:t>
      </w:r>
      <w:r>
        <w:rPr>
          <w:sz w:val="21"/>
        </w:rPr>
        <w:t>is the only  </w:t>
      </w:r>
      <w:r>
        <w:rPr>
          <w:spacing w:val="-3"/>
          <w:sz w:val="21"/>
        </w:rPr>
        <w:t>Australian </w:t>
      </w:r>
      <w:r>
        <w:rPr>
          <w:sz w:val="21"/>
        </w:rPr>
        <w:t>jurisdiction</w:t>
      </w:r>
      <w:r>
        <w:rPr>
          <w:spacing w:val="9"/>
          <w:sz w:val="21"/>
        </w:rPr>
        <w:t> </w:t>
      </w:r>
      <w:r>
        <w:rPr>
          <w:spacing w:val="-3"/>
          <w:sz w:val="21"/>
        </w:rPr>
        <w:t>to</w:t>
      </w:r>
      <w:r>
        <w:rPr>
          <w:spacing w:val="9"/>
          <w:sz w:val="21"/>
        </w:rPr>
        <w:t> </w:t>
      </w:r>
      <w:r>
        <w:rPr>
          <w:spacing w:val="-3"/>
          <w:sz w:val="21"/>
        </w:rPr>
        <w:t>have</w:t>
      </w:r>
      <w:r>
        <w:rPr>
          <w:spacing w:val="9"/>
          <w:sz w:val="21"/>
        </w:rPr>
        <w:t> </w:t>
      </w:r>
      <w:r>
        <w:rPr>
          <w:sz w:val="21"/>
        </w:rPr>
        <w:t>extended</w:t>
      </w:r>
      <w:r>
        <w:rPr>
          <w:spacing w:val="10"/>
          <w:sz w:val="21"/>
        </w:rPr>
        <w:t> </w:t>
      </w:r>
      <w:r>
        <w:rPr>
          <w:sz w:val="21"/>
        </w:rPr>
        <w:t>the</w:t>
      </w:r>
      <w:r>
        <w:rPr>
          <w:spacing w:val="9"/>
          <w:sz w:val="21"/>
        </w:rPr>
        <w:t> </w:t>
      </w:r>
      <w:r>
        <w:rPr>
          <w:sz w:val="21"/>
        </w:rPr>
        <w:t>statutory</w:t>
      </w:r>
      <w:r>
        <w:rPr>
          <w:spacing w:val="9"/>
          <w:sz w:val="21"/>
        </w:rPr>
        <w:t> </w:t>
      </w:r>
      <w:r>
        <w:rPr>
          <w:spacing w:val="-3"/>
          <w:sz w:val="21"/>
        </w:rPr>
        <w:t>wills</w:t>
      </w:r>
      <w:r>
        <w:rPr>
          <w:spacing w:val="10"/>
          <w:sz w:val="21"/>
        </w:rPr>
        <w:t> </w:t>
      </w:r>
      <w:r>
        <w:rPr>
          <w:sz w:val="21"/>
        </w:rPr>
        <w:t>jurisdiction</w:t>
      </w:r>
      <w:r>
        <w:rPr>
          <w:spacing w:val="9"/>
          <w:sz w:val="21"/>
        </w:rPr>
        <w:t> </w:t>
      </w:r>
      <w:r>
        <w:rPr>
          <w:sz w:val="21"/>
        </w:rPr>
        <w:t>in</w:t>
      </w:r>
      <w:r>
        <w:rPr>
          <w:spacing w:val="9"/>
          <w:sz w:val="21"/>
        </w:rPr>
        <w:t> </w:t>
      </w:r>
      <w:r>
        <w:rPr>
          <w:sz w:val="21"/>
        </w:rPr>
        <w:t>this</w:t>
      </w:r>
      <w:r>
        <w:rPr>
          <w:spacing w:val="9"/>
          <w:sz w:val="21"/>
        </w:rPr>
        <w:t> </w:t>
      </w:r>
      <w:r>
        <w:rPr>
          <w:spacing w:val="-5"/>
          <w:sz w:val="21"/>
        </w:rPr>
        <w:t>way.</w:t>
      </w:r>
    </w:p>
    <w:p>
      <w:pPr>
        <w:pStyle w:val="ListParagraph"/>
        <w:numPr>
          <w:ilvl w:val="1"/>
          <w:numId w:val="22"/>
        </w:numPr>
        <w:tabs>
          <w:tab w:pos="2380" w:val="left" w:leader="none"/>
          <w:tab w:pos="2381" w:val="left" w:leader="none"/>
        </w:tabs>
        <w:spacing w:line="242" w:lineRule="auto" w:before="124" w:after="0"/>
        <w:ind w:left="2380" w:right="1831" w:hanging="793"/>
        <w:jc w:val="left"/>
        <w:rPr>
          <w:sz w:val="21"/>
        </w:rPr>
      </w:pPr>
      <w:r>
        <w:rPr>
          <w:spacing w:val="-3"/>
          <w:w w:val="105"/>
          <w:sz w:val="21"/>
        </w:rPr>
        <w:t>Submissions</w:t>
      </w:r>
      <w:r>
        <w:rPr>
          <w:spacing w:val="-6"/>
          <w:w w:val="105"/>
          <w:sz w:val="21"/>
        </w:rPr>
        <w:t> </w:t>
      </w:r>
      <w:r>
        <w:rPr>
          <w:spacing w:val="-3"/>
          <w:w w:val="105"/>
          <w:sz w:val="21"/>
        </w:rPr>
        <w:t>were</w:t>
      </w:r>
      <w:r>
        <w:rPr>
          <w:spacing w:val="-6"/>
          <w:w w:val="105"/>
          <w:sz w:val="21"/>
        </w:rPr>
        <w:t> </w:t>
      </w:r>
      <w:r>
        <w:rPr>
          <w:w w:val="105"/>
          <w:sz w:val="21"/>
        </w:rPr>
        <w:t>divided</w:t>
      </w:r>
      <w:r>
        <w:rPr>
          <w:spacing w:val="-6"/>
          <w:w w:val="105"/>
          <w:sz w:val="21"/>
        </w:rPr>
        <w:t> </w:t>
      </w:r>
      <w:r>
        <w:rPr>
          <w:w w:val="105"/>
          <w:sz w:val="21"/>
        </w:rPr>
        <w:t>on</w:t>
      </w:r>
      <w:r>
        <w:rPr>
          <w:spacing w:val="-6"/>
          <w:w w:val="105"/>
          <w:sz w:val="21"/>
        </w:rPr>
        <w:t> </w:t>
      </w:r>
      <w:r>
        <w:rPr>
          <w:w w:val="105"/>
          <w:sz w:val="21"/>
        </w:rPr>
        <w:t>whether</w:t>
      </w:r>
      <w:r>
        <w:rPr>
          <w:spacing w:val="-6"/>
          <w:w w:val="105"/>
          <w:sz w:val="21"/>
        </w:rPr>
        <w:t> </w:t>
      </w:r>
      <w:r>
        <w:rPr>
          <w:w w:val="105"/>
          <w:sz w:val="21"/>
        </w:rPr>
        <w:t>this</w:t>
      </w:r>
      <w:r>
        <w:rPr>
          <w:spacing w:val="-6"/>
          <w:w w:val="105"/>
          <w:sz w:val="21"/>
        </w:rPr>
        <w:t> </w:t>
      </w:r>
      <w:r>
        <w:rPr>
          <w:w w:val="105"/>
          <w:sz w:val="21"/>
        </w:rPr>
        <w:t>would</w:t>
      </w:r>
      <w:r>
        <w:rPr>
          <w:spacing w:val="-6"/>
          <w:w w:val="105"/>
          <w:sz w:val="21"/>
        </w:rPr>
        <w:t> </w:t>
      </w:r>
      <w:r>
        <w:rPr>
          <w:w w:val="105"/>
          <w:sz w:val="21"/>
        </w:rPr>
        <w:t>be</w:t>
      </w:r>
      <w:r>
        <w:rPr>
          <w:spacing w:val="-6"/>
          <w:w w:val="105"/>
          <w:sz w:val="21"/>
        </w:rPr>
        <w:t> </w:t>
      </w:r>
      <w:r>
        <w:rPr>
          <w:w w:val="105"/>
          <w:sz w:val="21"/>
        </w:rPr>
        <w:t>a</w:t>
      </w:r>
      <w:r>
        <w:rPr>
          <w:spacing w:val="-6"/>
          <w:w w:val="105"/>
          <w:sz w:val="21"/>
        </w:rPr>
        <w:t> </w:t>
      </w:r>
      <w:r>
        <w:rPr>
          <w:spacing w:val="-3"/>
          <w:w w:val="105"/>
          <w:sz w:val="21"/>
        </w:rPr>
        <w:t>desirable</w:t>
      </w:r>
      <w:r>
        <w:rPr>
          <w:spacing w:val="-6"/>
          <w:w w:val="105"/>
          <w:sz w:val="21"/>
        </w:rPr>
        <w:t> </w:t>
      </w:r>
      <w:r>
        <w:rPr>
          <w:spacing w:val="-3"/>
          <w:w w:val="105"/>
          <w:sz w:val="21"/>
        </w:rPr>
        <w:t>reform.</w:t>
      </w:r>
      <w:r>
        <w:rPr>
          <w:spacing w:val="-6"/>
          <w:w w:val="105"/>
          <w:sz w:val="21"/>
        </w:rPr>
        <w:t> </w:t>
      </w:r>
      <w:r>
        <w:rPr>
          <w:w w:val="105"/>
          <w:sz w:val="21"/>
        </w:rPr>
        <w:t>Those</w:t>
      </w:r>
      <w:r>
        <w:rPr>
          <w:spacing w:val="-6"/>
          <w:w w:val="105"/>
          <w:sz w:val="21"/>
        </w:rPr>
        <w:t> </w:t>
      </w:r>
      <w:r>
        <w:rPr>
          <w:w w:val="105"/>
          <w:sz w:val="21"/>
        </w:rPr>
        <w:t>in</w:t>
      </w:r>
      <w:r>
        <w:rPr>
          <w:spacing w:val="-6"/>
          <w:w w:val="105"/>
          <w:sz w:val="21"/>
        </w:rPr>
        <w:t> </w:t>
      </w:r>
      <w:r>
        <w:rPr>
          <w:spacing w:val="-3"/>
          <w:w w:val="105"/>
          <w:sz w:val="21"/>
        </w:rPr>
        <w:t>favour </w:t>
      </w:r>
      <w:r>
        <w:rPr>
          <w:w w:val="105"/>
          <w:sz w:val="21"/>
        </w:rPr>
        <w:t>of </w:t>
      </w:r>
      <w:r>
        <w:rPr>
          <w:spacing w:val="-5"/>
          <w:w w:val="105"/>
          <w:sz w:val="21"/>
        </w:rPr>
        <w:t>VCAT </w:t>
      </w:r>
      <w:r>
        <w:rPr>
          <w:spacing w:val="-3"/>
          <w:w w:val="105"/>
          <w:sz w:val="21"/>
        </w:rPr>
        <w:t>having </w:t>
      </w:r>
      <w:r>
        <w:rPr>
          <w:w w:val="105"/>
          <w:sz w:val="21"/>
        </w:rPr>
        <w:t>jurisdiction </w:t>
      </w:r>
      <w:r>
        <w:rPr>
          <w:spacing w:val="-3"/>
          <w:w w:val="105"/>
          <w:sz w:val="21"/>
        </w:rPr>
        <w:t>noted</w:t>
      </w:r>
      <w:r>
        <w:rPr>
          <w:spacing w:val="34"/>
          <w:w w:val="105"/>
          <w:sz w:val="21"/>
        </w:rPr>
        <w:t> </w:t>
      </w:r>
      <w:r>
        <w:rPr>
          <w:w w:val="105"/>
          <w:sz w:val="21"/>
        </w:rPr>
        <w:t>that:</w:t>
      </w:r>
    </w:p>
    <w:p>
      <w:pPr>
        <w:pStyle w:val="ListParagraph"/>
        <w:numPr>
          <w:ilvl w:val="2"/>
          <w:numId w:val="22"/>
        </w:numPr>
        <w:tabs>
          <w:tab w:pos="2720" w:val="left" w:leader="none"/>
          <w:tab w:pos="2722" w:val="left" w:leader="none"/>
        </w:tabs>
        <w:spacing w:line="240" w:lineRule="auto" w:before="122" w:after="0"/>
        <w:ind w:left="2721" w:right="0" w:hanging="341"/>
        <w:jc w:val="left"/>
        <w:rPr>
          <w:sz w:val="12"/>
        </w:rPr>
      </w:pPr>
      <w:r>
        <w:rPr>
          <w:spacing w:val="-5"/>
          <w:w w:val="105"/>
          <w:sz w:val="21"/>
        </w:rPr>
        <w:t>VCAT </w:t>
      </w:r>
      <w:r>
        <w:rPr>
          <w:w w:val="105"/>
          <w:sz w:val="21"/>
        </w:rPr>
        <w:t>is more </w:t>
      </w:r>
      <w:r>
        <w:rPr>
          <w:spacing w:val="-3"/>
          <w:w w:val="105"/>
          <w:sz w:val="21"/>
        </w:rPr>
        <w:t>accessible regionally than </w:t>
      </w:r>
      <w:r>
        <w:rPr>
          <w:w w:val="105"/>
          <w:sz w:val="21"/>
        </w:rPr>
        <w:t>the </w:t>
      </w:r>
      <w:r>
        <w:rPr>
          <w:spacing w:val="-3"/>
          <w:w w:val="105"/>
          <w:sz w:val="21"/>
        </w:rPr>
        <w:t>Supreme</w:t>
      </w:r>
      <w:r>
        <w:rPr>
          <w:spacing w:val="32"/>
          <w:w w:val="105"/>
          <w:sz w:val="21"/>
        </w:rPr>
        <w:t> </w:t>
      </w:r>
      <w:r>
        <w:rPr>
          <w:spacing w:val="-3"/>
          <w:w w:val="105"/>
          <w:sz w:val="21"/>
        </w:rPr>
        <w:t>Court </w:t>
      </w:r>
      <w:r>
        <w:rPr>
          <w:w w:val="105"/>
          <w:position w:val="7"/>
          <w:sz w:val="12"/>
        </w:rPr>
        <w:t>50</w:t>
      </w:r>
    </w:p>
    <w:p>
      <w:pPr>
        <w:pStyle w:val="ListParagraph"/>
        <w:numPr>
          <w:ilvl w:val="2"/>
          <w:numId w:val="22"/>
        </w:numPr>
        <w:tabs>
          <w:tab w:pos="2721" w:val="left" w:leader="none"/>
          <w:tab w:pos="2722" w:val="left" w:leader="none"/>
        </w:tabs>
        <w:spacing w:line="240" w:lineRule="auto" w:before="124" w:after="0"/>
        <w:ind w:left="2721" w:right="0" w:hanging="340"/>
        <w:jc w:val="left"/>
        <w:rPr>
          <w:sz w:val="12"/>
        </w:rPr>
      </w:pPr>
      <w:r>
        <w:rPr>
          <w:spacing w:val="-5"/>
          <w:sz w:val="21"/>
        </w:rPr>
        <w:t>VCAT</w:t>
      </w:r>
      <w:r>
        <w:rPr>
          <w:spacing w:val="10"/>
          <w:sz w:val="21"/>
        </w:rPr>
        <w:t> </w:t>
      </w:r>
      <w:r>
        <w:rPr>
          <w:sz w:val="21"/>
        </w:rPr>
        <w:t>is</w:t>
      </w:r>
      <w:r>
        <w:rPr>
          <w:spacing w:val="10"/>
          <w:sz w:val="21"/>
        </w:rPr>
        <w:t> </w:t>
      </w:r>
      <w:r>
        <w:rPr>
          <w:sz w:val="21"/>
        </w:rPr>
        <w:t>less</w:t>
      </w:r>
      <w:r>
        <w:rPr>
          <w:spacing w:val="11"/>
          <w:sz w:val="21"/>
        </w:rPr>
        <w:t> </w:t>
      </w:r>
      <w:r>
        <w:rPr>
          <w:spacing w:val="-3"/>
          <w:sz w:val="21"/>
        </w:rPr>
        <w:t>formal</w:t>
      </w:r>
      <w:r>
        <w:rPr>
          <w:spacing w:val="10"/>
          <w:sz w:val="21"/>
        </w:rPr>
        <w:t> </w:t>
      </w:r>
      <w:r>
        <w:rPr>
          <w:sz w:val="21"/>
        </w:rPr>
        <w:t>and</w:t>
      </w:r>
      <w:r>
        <w:rPr>
          <w:spacing w:val="11"/>
          <w:sz w:val="21"/>
        </w:rPr>
        <w:t> </w:t>
      </w:r>
      <w:r>
        <w:rPr>
          <w:sz w:val="21"/>
        </w:rPr>
        <w:t>less</w:t>
      </w:r>
      <w:r>
        <w:rPr>
          <w:spacing w:val="10"/>
          <w:sz w:val="21"/>
        </w:rPr>
        <w:t> </w:t>
      </w:r>
      <w:r>
        <w:rPr>
          <w:sz w:val="21"/>
        </w:rPr>
        <w:t>expensive</w:t>
      </w:r>
      <w:r>
        <w:rPr>
          <w:spacing w:val="11"/>
          <w:sz w:val="21"/>
        </w:rPr>
        <w:t> </w:t>
      </w:r>
      <w:r>
        <w:rPr>
          <w:spacing w:val="-3"/>
          <w:sz w:val="21"/>
        </w:rPr>
        <w:t>than</w:t>
      </w:r>
      <w:r>
        <w:rPr>
          <w:spacing w:val="10"/>
          <w:sz w:val="21"/>
        </w:rPr>
        <w:t> </w:t>
      </w:r>
      <w:r>
        <w:rPr>
          <w:sz w:val="21"/>
        </w:rPr>
        <w:t>the</w:t>
      </w:r>
      <w:r>
        <w:rPr>
          <w:spacing w:val="11"/>
          <w:sz w:val="21"/>
        </w:rPr>
        <w:t> </w:t>
      </w:r>
      <w:r>
        <w:rPr>
          <w:spacing w:val="-3"/>
          <w:sz w:val="21"/>
        </w:rPr>
        <w:t>Supreme</w:t>
      </w:r>
      <w:r>
        <w:rPr>
          <w:spacing w:val="10"/>
          <w:sz w:val="21"/>
        </w:rPr>
        <w:t> </w:t>
      </w:r>
      <w:r>
        <w:rPr>
          <w:spacing w:val="-3"/>
          <w:sz w:val="21"/>
        </w:rPr>
        <w:t>Court</w:t>
      </w:r>
      <w:r>
        <w:rPr>
          <w:spacing w:val="-25"/>
          <w:sz w:val="21"/>
        </w:rPr>
        <w:t> </w:t>
      </w:r>
      <w:r>
        <w:rPr>
          <w:spacing w:val="-7"/>
          <w:position w:val="7"/>
          <w:sz w:val="12"/>
        </w:rPr>
        <w:t>51</w:t>
      </w:r>
    </w:p>
    <w:p>
      <w:pPr>
        <w:pStyle w:val="ListParagraph"/>
        <w:numPr>
          <w:ilvl w:val="2"/>
          <w:numId w:val="22"/>
        </w:numPr>
        <w:tabs>
          <w:tab w:pos="2721" w:val="left" w:leader="none"/>
          <w:tab w:pos="2722" w:val="left" w:leader="none"/>
        </w:tabs>
        <w:spacing w:line="242" w:lineRule="auto" w:before="123" w:after="0"/>
        <w:ind w:left="2721" w:right="2112" w:hanging="340"/>
        <w:jc w:val="left"/>
        <w:rPr>
          <w:sz w:val="12"/>
        </w:rPr>
      </w:pPr>
      <w:r>
        <w:rPr>
          <w:spacing w:val="-5"/>
          <w:w w:val="105"/>
          <w:sz w:val="21"/>
        </w:rPr>
        <w:t>VCAT </w:t>
      </w:r>
      <w:r>
        <w:rPr>
          <w:w w:val="105"/>
          <w:sz w:val="21"/>
        </w:rPr>
        <w:t>members in the </w:t>
      </w:r>
      <w:r>
        <w:rPr>
          <w:spacing w:val="-3"/>
          <w:w w:val="105"/>
          <w:sz w:val="21"/>
        </w:rPr>
        <w:t>Guardianship </w:t>
      </w:r>
      <w:r>
        <w:rPr>
          <w:w w:val="105"/>
          <w:sz w:val="21"/>
        </w:rPr>
        <w:t>List </w:t>
      </w:r>
      <w:r>
        <w:rPr>
          <w:spacing w:val="-3"/>
          <w:w w:val="105"/>
          <w:sz w:val="21"/>
        </w:rPr>
        <w:t>have </w:t>
      </w:r>
      <w:r>
        <w:rPr>
          <w:w w:val="105"/>
          <w:sz w:val="21"/>
        </w:rPr>
        <w:t>experience in </w:t>
      </w:r>
      <w:r>
        <w:rPr>
          <w:spacing w:val="-3"/>
          <w:w w:val="105"/>
          <w:sz w:val="21"/>
        </w:rPr>
        <w:t>dealing </w:t>
      </w:r>
      <w:r>
        <w:rPr>
          <w:w w:val="105"/>
          <w:sz w:val="21"/>
        </w:rPr>
        <w:t>with</w:t>
      </w:r>
      <w:r>
        <w:rPr>
          <w:spacing w:val="-36"/>
          <w:w w:val="105"/>
          <w:sz w:val="21"/>
        </w:rPr>
        <w:t> </w:t>
      </w:r>
      <w:r>
        <w:rPr>
          <w:w w:val="105"/>
          <w:sz w:val="21"/>
        </w:rPr>
        <w:t>persons who </w:t>
      </w:r>
      <w:r>
        <w:rPr>
          <w:spacing w:val="-3"/>
          <w:w w:val="105"/>
          <w:sz w:val="21"/>
        </w:rPr>
        <w:t>have disabilities </w:t>
      </w:r>
      <w:r>
        <w:rPr>
          <w:w w:val="105"/>
          <w:sz w:val="21"/>
        </w:rPr>
        <w:t>and lack capacity</w:t>
      </w:r>
      <w:r>
        <w:rPr>
          <w:spacing w:val="-1"/>
          <w:w w:val="105"/>
          <w:sz w:val="21"/>
        </w:rPr>
        <w:t> </w:t>
      </w:r>
      <w:r>
        <w:rPr>
          <w:w w:val="105"/>
          <w:position w:val="7"/>
          <w:sz w:val="12"/>
        </w:rPr>
        <w:t>52</w:t>
      </w:r>
    </w:p>
    <w:p>
      <w:pPr>
        <w:pStyle w:val="ListParagraph"/>
        <w:numPr>
          <w:ilvl w:val="2"/>
          <w:numId w:val="22"/>
        </w:numPr>
        <w:tabs>
          <w:tab w:pos="2721" w:val="left" w:leader="none"/>
          <w:tab w:pos="2722" w:val="left" w:leader="none"/>
        </w:tabs>
        <w:spacing w:line="242" w:lineRule="auto" w:before="123" w:after="0"/>
        <w:ind w:left="2721" w:right="2005" w:hanging="340"/>
        <w:jc w:val="left"/>
        <w:rPr>
          <w:sz w:val="12"/>
        </w:rPr>
      </w:pPr>
      <w:r>
        <w:rPr>
          <w:sz w:val="21"/>
        </w:rPr>
        <w:t>senior members with legal expertise </w:t>
      </w:r>
      <w:r>
        <w:rPr>
          <w:spacing w:val="-3"/>
          <w:sz w:val="21"/>
        </w:rPr>
        <w:t>could </w:t>
      </w:r>
      <w:r>
        <w:rPr>
          <w:sz w:val="21"/>
        </w:rPr>
        <w:t>be assigned </w:t>
      </w:r>
      <w:r>
        <w:rPr>
          <w:spacing w:val="-3"/>
          <w:sz w:val="21"/>
        </w:rPr>
        <w:t>to </w:t>
      </w:r>
      <w:r>
        <w:rPr>
          <w:sz w:val="21"/>
        </w:rPr>
        <w:t>these matters </w:t>
      </w:r>
      <w:r>
        <w:rPr>
          <w:spacing w:val="-3"/>
          <w:sz w:val="21"/>
        </w:rPr>
        <w:t>to ensure appropriate </w:t>
      </w:r>
      <w:r>
        <w:rPr>
          <w:sz w:val="21"/>
        </w:rPr>
        <w:t>legal </w:t>
      </w:r>
      <w:r>
        <w:rPr>
          <w:spacing w:val="-3"/>
          <w:sz w:val="21"/>
        </w:rPr>
        <w:t>analysis </w:t>
      </w:r>
      <w:r>
        <w:rPr>
          <w:sz w:val="21"/>
        </w:rPr>
        <w:t>and</w:t>
      </w:r>
      <w:r>
        <w:rPr>
          <w:spacing w:val="16"/>
          <w:sz w:val="21"/>
        </w:rPr>
        <w:t> </w:t>
      </w:r>
      <w:r>
        <w:rPr>
          <w:sz w:val="21"/>
        </w:rPr>
        <w:t>resolution </w:t>
      </w:r>
      <w:r>
        <w:rPr>
          <w:position w:val="7"/>
          <w:sz w:val="12"/>
        </w:rPr>
        <w:t>53</w:t>
      </w:r>
    </w:p>
    <w:p>
      <w:pPr>
        <w:pStyle w:val="ListParagraph"/>
        <w:numPr>
          <w:ilvl w:val="2"/>
          <w:numId w:val="22"/>
        </w:numPr>
        <w:tabs>
          <w:tab w:pos="2721" w:val="left" w:leader="none"/>
          <w:tab w:pos="2722" w:val="left" w:leader="none"/>
        </w:tabs>
        <w:spacing w:line="242" w:lineRule="auto" w:before="122" w:after="0"/>
        <w:ind w:left="2721" w:right="1786" w:hanging="340"/>
        <w:jc w:val="left"/>
        <w:rPr>
          <w:sz w:val="12"/>
        </w:rPr>
      </w:pPr>
      <w:r>
        <w:rPr>
          <w:w w:val="105"/>
          <w:sz w:val="21"/>
        </w:rPr>
        <w:t>a </w:t>
      </w:r>
      <w:r>
        <w:rPr>
          <w:spacing w:val="-5"/>
          <w:w w:val="105"/>
          <w:sz w:val="21"/>
        </w:rPr>
        <w:t>VCAT </w:t>
      </w:r>
      <w:r>
        <w:rPr>
          <w:spacing w:val="-3"/>
          <w:w w:val="105"/>
          <w:sz w:val="21"/>
        </w:rPr>
        <w:t>hearing </w:t>
      </w:r>
      <w:r>
        <w:rPr>
          <w:w w:val="105"/>
          <w:sz w:val="21"/>
        </w:rPr>
        <w:t>would be </w:t>
      </w:r>
      <w:r>
        <w:rPr>
          <w:spacing w:val="-3"/>
          <w:w w:val="105"/>
          <w:sz w:val="21"/>
        </w:rPr>
        <w:t>useful for smaller </w:t>
      </w:r>
      <w:r>
        <w:rPr>
          <w:w w:val="105"/>
          <w:sz w:val="21"/>
        </w:rPr>
        <w:t>estates where the cost of an application </w:t>
      </w:r>
      <w:r>
        <w:rPr>
          <w:spacing w:val="-3"/>
          <w:w w:val="105"/>
          <w:sz w:val="21"/>
        </w:rPr>
        <w:t>to </w:t>
      </w:r>
      <w:r>
        <w:rPr>
          <w:w w:val="105"/>
          <w:sz w:val="21"/>
        </w:rPr>
        <w:t>the </w:t>
      </w:r>
      <w:r>
        <w:rPr>
          <w:spacing w:val="-3"/>
          <w:w w:val="105"/>
          <w:sz w:val="21"/>
        </w:rPr>
        <w:t>Supreme Court may </w:t>
      </w:r>
      <w:r>
        <w:rPr>
          <w:spacing w:val="-2"/>
          <w:w w:val="105"/>
          <w:sz w:val="21"/>
        </w:rPr>
        <w:t>not </w:t>
      </w:r>
      <w:r>
        <w:rPr>
          <w:w w:val="105"/>
          <w:sz w:val="21"/>
        </w:rPr>
        <w:t>be</w:t>
      </w:r>
      <w:r>
        <w:rPr>
          <w:spacing w:val="48"/>
          <w:w w:val="105"/>
          <w:sz w:val="21"/>
        </w:rPr>
        <w:t> </w:t>
      </w:r>
      <w:r>
        <w:rPr>
          <w:w w:val="105"/>
          <w:sz w:val="21"/>
        </w:rPr>
        <w:t>justified.</w:t>
      </w:r>
      <w:r>
        <w:rPr>
          <w:w w:val="105"/>
          <w:position w:val="7"/>
          <w:sz w:val="12"/>
        </w:rPr>
        <w:t>54</w:t>
      </w:r>
    </w:p>
    <w:p>
      <w:pPr>
        <w:pStyle w:val="ListParagraph"/>
        <w:numPr>
          <w:ilvl w:val="1"/>
          <w:numId w:val="22"/>
        </w:numPr>
        <w:tabs>
          <w:tab w:pos="2381" w:val="left" w:leader="none"/>
          <w:tab w:pos="2382" w:val="left" w:leader="none"/>
        </w:tabs>
        <w:spacing w:line="240" w:lineRule="auto" w:before="122" w:after="0"/>
        <w:ind w:left="2381" w:right="0" w:hanging="794"/>
        <w:jc w:val="left"/>
        <w:rPr>
          <w:sz w:val="21"/>
        </w:rPr>
      </w:pPr>
      <w:r>
        <w:rPr>
          <w:sz w:val="21"/>
        </w:rPr>
        <w:t>Those</w:t>
      </w:r>
      <w:r>
        <w:rPr>
          <w:spacing w:val="10"/>
          <w:sz w:val="21"/>
        </w:rPr>
        <w:t> </w:t>
      </w:r>
      <w:r>
        <w:rPr>
          <w:sz w:val="21"/>
        </w:rPr>
        <w:t>who</w:t>
      </w:r>
      <w:r>
        <w:rPr>
          <w:spacing w:val="11"/>
          <w:sz w:val="21"/>
        </w:rPr>
        <w:t> </w:t>
      </w:r>
      <w:r>
        <w:rPr>
          <w:spacing w:val="-3"/>
          <w:sz w:val="21"/>
        </w:rPr>
        <w:t>were</w:t>
      </w:r>
      <w:r>
        <w:rPr>
          <w:spacing w:val="10"/>
          <w:sz w:val="21"/>
        </w:rPr>
        <w:t> </w:t>
      </w:r>
      <w:r>
        <w:rPr>
          <w:sz w:val="21"/>
        </w:rPr>
        <w:t>opposed</w:t>
      </w:r>
      <w:r>
        <w:rPr>
          <w:spacing w:val="11"/>
          <w:sz w:val="21"/>
        </w:rPr>
        <w:t> </w:t>
      </w:r>
      <w:r>
        <w:rPr>
          <w:spacing w:val="-3"/>
          <w:sz w:val="21"/>
        </w:rPr>
        <w:t>to</w:t>
      </w:r>
      <w:r>
        <w:rPr>
          <w:spacing w:val="11"/>
          <w:sz w:val="21"/>
        </w:rPr>
        <w:t> </w:t>
      </w:r>
      <w:r>
        <w:rPr>
          <w:spacing w:val="-5"/>
          <w:sz w:val="21"/>
        </w:rPr>
        <w:t>VCAT</w:t>
      </w:r>
      <w:r>
        <w:rPr>
          <w:spacing w:val="10"/>
          <w:sz w:val="21"/>
        </w:rPr>
        <w:t> </w:t>
      </w:r>
      <w:r>
        <w:rPr>
          <w:spacing w:val="-3"/>
          <w:sz w:val="21"/>
        </w:rPr>
        <w:t>having</w:t>
      </w:r>
      <w:r>
        <w:rPr>
          <w:spacing w:val="11"/>
          <w:sz w:val="21"/>
        </w:rPr>
        <w:t> </w:t>
      </w:r>
      <w:r>
        <w:rPr>
          <w:sz w:val="21"/>
        </w:rPr>
        <w:t>this</w:t>
      </w:r>
      <w:r>
        <w:rPr>
          <w:spacing w:val="10"/>
          <w:sz w:val="21"/>
        </w:rPr>
        <w:t> </w:t>
      </w:r>
      <w:r>
        <w:rPr>
          <w:sz w:val="21"/>
        </w:rPr>
        <w:t>jurisdiction</w:t>
      </w:r>
      <w:r>
        <w:rPr>
          <w:spacing w:val="11"/>
          <w:sz w:val="21"/>
        </w:rPr>
        <w:t> </w:t>
      </w:r>
      <w:r>
        <w:rPr>
          <w:spacing w:val="-3"/>
          <w:sz w:val="21"/>
        </w:rPr>
        <w:t>noted</w:t>
      </w:r>
      <w:r>
        <w:rPr>
          <w:spacing w:val="11"/>
          <w:sz w:val="21"/>
        </w:rPr>
        <w:t> </w:t>
      </w:r>
      <w:r>
        <w:rPr>
          <w:sz w:val="21"/>
        </w:rPr>
        <w:t>that:</w:t>
      </w:r>
    </w:p>
    <w:p>
      <w:pPr>
        <w:pStyle w:val="ListParagraph"/>
        <w:numPr>
          <w:ilvl w:val="2"/>
          <w:numId w:val="22"/>
        </w:numPr>
        <w:tabs>
          <w:tab w:pos="2721" w:val="left" w:leader="none"/>
          <w:tab w:pos="2722" w:val="left" w:leader="none"/>
        </w:tabs>
        <w:spacing w:line="240" w:lineRule="auto" w:before="124" w:after="0"/>
        <w:ind w:left="2721" w:right="0" w:hanging="340"/>
        <w:jc w:val="left"/>
        <w:rPr>
          <w:sz w:val="12"/>
        </w:rPr>
      </w:pPr>
      <w:r>
        <w:rPr>
          <w:spacing w:val="-5"/>
          <w:sz w:val="21"/>
        </w:rPr>
        <w:t>VCAT </w:t>
      </w:r>
      <w:r>
        <w:rPr>
          <w:sz w:val="21"/>
        </w:rPr>
        <w:t>members do </w:t>
      </w:r>
      <w:r>
        <w:rPr>
          <w:spacing w:val="-2"/>
          <w:sz w:val="21"/>
        </w:rPr>
        <w:t>not </w:t>
      </w:r>
      <w:r>
        <w:rPr>
          <w:sz w:val="21"/>
        </w:rPr>
        <w:t>necessarily </w:t>
      </w:r>
      <w:r>
        <w:rPr>
          <w:spacing w:val="-3"/>
          <w:sz w:val="21"/>
        </w:rPr>
        <w:t>have </w:t>
      </w:r>
      <w:r>
        <w:rPr>
          <w:sz w:val="21"/>
        </w:rPr>
        <w:t>expertise in </w:t>
      </w:r>
      <w:r>
        <w:rPr>
          <w:spacing w:val="-3"/>
          <w:sz w:val="21"/>
        </w:rPr>
        <w:t>succession</w:t>
      </w:r>
      <w:r>
        <w:rPr>
          <w:spacing w:val="33"/>
          <w:sz w:val="21"/>
        </w:rPr>
        <w:t> </w:t>
      </w:r>
      <w:r>
        <w:rPr>
          <w:sz w:val="21"/>
        </w:rPr>
        <w:t>law </w:t>
      </w:r>
      <w:r>
        <w:rPr>
          <w:position w:val="7"/>
          <w:sz w:val="12"/>
        </w:rPr>
        <w:t>55</w:t>
      </w:r>
    </w:p>
    <w:p>
      <w:pPr>
        <w:pStyle w:val="ListParagraph"/>
        <w:numPr>
          <w:ilvl w:val="2"/>
          <w:numId w:val="22"/>
        </w:numPr>
        <w:tabs>
          <w:tab w:pos="2721" w:val="left" w:leader="none"/>
          <w:tab w:pos="2722" w:val="left" w:leader="none"/>
        </w:tabs>
        <w:spacing w:line="242" w:lineRule="auto" w:before="123" w:after="0"/>
        <w:ind w:left="2721" w:right="2063" w:hanging="340"/>
        <w:jc w:val="left"/>
        <w:rPr>
          <w:sz w:val="12"/>
        </w:rPr>
      </w:pPr>
      <w:r>
        <w:rPr>
          <w:spacing w:val="-5"/>
          <w:sz w:val="21"/>
        </w:rPr>
        <w:t>VCAT </w:t>
      </w:r>
      <w:r>
        <w:rPr>
          <w:sz w:val="21"/>
        </w:rPr>
        <w:t>is </w:t>
      </w:r>
      <w:r>
        <w:rPr>
          <w:spacing w:val="-2"/>
          <w:sz w:val="21"/>
        </w:rPr>
        <w:t>not </w:t>
      </w:r>
      <w:r>
        <w:rPr>
          <w:sz w:val="21"/>
        </w:rPr>
        <w:t>necessarily cheaper </w:t>
      </w:r>
      <w:r>
        <w:rPr>
          <w:spacing w:val="-3"/>
          <w:sz w:val="21"/>
        </w:rPr>
        <w:t>than </w:t>
      </w:r>
      <w:r>
        <w:rPr>
          <w:sz w:val="21"/>
        </w:rPr>
        <w:t>the </w:t>
      </w:r>
      <w:r>
        <w:rPr>
          <w:spacing w:val="-3"/>
          <w:sz w:val="21"/>
        </w:rPr>
        <w:t>Supreme Court </w:t>
      </w:r>
      <w:r>
        <w:rPr>
          <w:sz w:val="21"/>
        </w:rPr>
        <w:t>(in </w:t>
      </w:r>
      <w:r>
        <w:rPr>
          <w:spacing w:val="-3"/>
          <w:sz w:val="21"/>
        </w:rPr>
        <w:t>particular, </w:t>
      </w:r>
      <w:r>
        <w:rPr>
          <w:sz w:val="21"/>
        </w:rPr>
        <w:t>a barrister instructed</w:t>
      </w:r>
      <w:r>
        <w:rPr>
          <w:spacing w:val="10"/>
          <w:sz w:val="21"/>
        </w:rPr>
        <w:t> </w:t>
      </w:r>
      <w:r>
        <w:rPr>
          <w:sz w:val="21"/>
        </w:rPr>
        <w:t>by</w:t>
      </w:r>
      <w:r>
        <w:rPr>
          <w:spacing w:val="10"/>
          <w:sz w:val="21"/>
        </w:rPr>
        <w:t> </w:t>
      </w:r>
      <w:r>
        <w:rPr>
          <w:sz w:val="21"/>
        </w:rPr>
        <w:t>a</w:t>
      </w:r>
      <w:r>
        <w:rPr>
          <w:spacing w:val="10"/>
          <w:sz w:val="21"/>
        </w:rPr>
        <w:t> </w:t>
      </w:r>
      <w:r>
        <w:rPr>
          <w:spacing w:val="-3"/>
          <w:sz w:val="21"/>
        </w:rPr>
        <w:t>solicitor</w:t>
      </w:r>
      <w:r>
        <w:rPr>
          <w:spacing w:val="10"/>
          <w:sz w:val="21"/>
        </w:rPr>
        <w:t> </w:t>
      </w:r>
      <w:r>
        <w:rPr>
          <w:spacing w:val="-3"/>
          <w:sz w:val="21"/>
        </w:rPr>
        <w:t>may</w:t>
      </w:r>
      <w:r>
        <w:rPr>
          <w:spacing w:val="10"/>
          <w:sz w:val="21"/>
        </w:rPr>
        <w:t> </w:t>
      </w:r>
      <w:r>
        <w:rPr>
          <w:sz w:val="21"/>
        </w:rPr>
        <w:t>still</w:t>
      </w:r>
      <w:r>
        <w:rPr>
          <w:spacing w:val="10"/>
          <w:sz w:val="21"/>
        </w:rPr>
        <w:t> </w:t>
      </w:r>
      <w:r>
        <w:rPr>
          <w:sz w:val="21"/>
        </w:rPr>
        <w:t>be</w:t>
      </w:r>
      <w:r>
        <w:rPr>
          <w:spacing w:val="10"/>
          <w:sz w:val="21"/>
        </w:rPr>
        <w:t> </w:t>
      </w:r>
      <w:r>
        <w:rPr>
          <w:sz w:val="21"/>
        </w:rPr>
        <w:t>necessary</w:t>
      </w:r>
      <w:r>
        <w:rPr>
          <w:spacing w:val="11"/>
          <w:sz w:val="21"/>
        </w:rPr>
        <w:t> </w:t>
      </w:r>
      <w:r>
        <w:rPr>
          <w:sz w:val="21"/>
        </w:rPr>
        <w:t>in</w:t>
      </w:r>
      <w:r>
        <w:rPr>
          <w:spacing w:val="10"/>
          <w:sz w:val="21"/>
        </w:rPr>
        <w:t> </w:t>
      </w:r>
      <w:r>
        <w:rPr>
          <w:spacing w:val="-4"/>
          <w:sz w:val="21"/>
        </w:rPr>
        <w:t>VCAT)</w:t>
      </w:r>
      <w:r>
        <w:rPr>
          <w:spacing w:val="-26"/>
          <w:sz w:val="21"/>
        </w:rPr>
        <w:t> </w:t>
      </w:r>
      <w:r>
        <w:rPr>
          <w:position w:val="7"/>
          <w:sz w:val="12"/>
        </w:rPr>
        <w:t>56</w:t>
      </w:r>
    </w:p>
    <w:p>
      <w:pPr>
        <w:pStyle w:val="ListParagraph"/>
        <w:numPr>
          <w:ilvl w:val="2"/>
          <w:numId w:val="22"/>
        </w:numPr>
        <w:tabs>
          <w:tab w:pos="2721" w:val="left" w:leader="none"/>
          <w:tab w:pos="2722" w:val="left" w:leader="none"/>
        </w:tabs>
        <w:spacing w:line="242" w:lineRule="auto" w:before="123" w:after="0"/>
        <w:ind w:left="2721" w:right="2360" w:hanging="340"/>
        <w:jc w:val="left"/>
        <w:rPr>
          <w:sz w:val="12"/>
        </w:rPr>
      </w:pPr>
      <w:r>
        <w:rPr>
          <w:sz w:val="21"/>
        </w:rPr>
        <w:t>there is no </w:t>
      </w:r>
      <w:r>
        <w:rPr>
          <w:spacing w:val="-3"/>
          <w:sz w:val="21"/>
        </w:rPr>
        <w:t>requirement for </w:t>
      </w:r>
      <w:r>
        <w:rPr>
          <w:spacing w:val="-5"/>
          <w:sz w:val="21"/>
        </w:rPr>
        <w:t>VCAT  </w:t>
      </w:r>
      <w:r>
        <w:rPr>
          <w:spacing w:val="-3"/>
          <w:sz w:val="21"/>
        </w:rPr>
        <w:t>to  publish  </w:t>
      </w:r>
      <w:r>
        <w:rPr>
          <w:sz w:val="21"/>
        </w:rPr>
        <w:t>its decisions and its </w:t>
      </w:r>
      <w:r>
        <w:rPr>
          <w:spacing w:val="-3"/>
          <w:sz w:val="21"/>
        </w:rPr>
        <w:t>jurisprudence</w:t>
      </w:r>
      <w:r>
        <w:rPr>
          <w:spacing w:val="41"/>
          <w:sz w:val="21"/>
        </w:rPr>
        <w:t> </w:t>
      </w:r>
      <w:r>
        <w:rPr>
          <w:sz w:val="21"/>
        </w:rPr>
        <w:t>is </w:t>
      </w:r>
      <w:r>
        <w:rPr>
          <w:spacing w:val="-3"/>
          <w:sz w:val="21"/>
        </w:rPr>
        <w:t>therefore </w:t>
      </w:r>
      <w:r>
        <w:rPr>
          <w:sz w:val="21"/>
        </w:rPr>
        <w:t>less developed and less</w:t>
      </w:r>
      <w:r>
        <w:rPr>
          <w:spacing w:val="11"/>
          <w:sz w:val="21"/>
        </w:rPr>
        <w:t> </w:t>
      </w:r>
      <w:r>
        <w:rPr>
          <w:spacing w:val="-3"/>
          <w:sz w:val="21"/>
        </w:rPr>
        <w:t>consistent.</w:t>
      </w:r>
      <w:r>
        <w:rPr>
          <w:spacing w:val="-3"/>
          <w:position w:val="7"/>
          <w:sz w:val="12"/>
        </w:rPr>
        <w:t>57</w:t>
      </w:r>
    </w:p>
    <w:p>
      <w:pPr>
        <w:pStyle w:val="ListParagraph"/>
        <w:numPr>
          <w:ilvl w:val="1"/>
          <w:numId w:val="22"/>
        </w:numPr>
        <w:tabs>
          <w:tab w:pos="2381" w:val="left" w:leader="none"/>
          <w:tab w:pos="2382" w:val="left" w:leader="none"/>
        </w:tabs>
        <w:spacing w:line="242" w:lineRule="auto" w:before="122" w:after="0"/>
        <w:ind w:left="2381" w:right="2114" w:hanging="794"/>
        <w:jc w:val="left"/>
        <w:rPr>
          <w:sz w:val="21"/>
        </w:rPr>
      </w:pPr>
      <w:r>
        <w:rPr>
          <w:sz w:val="21"/>
        </w:rPr>
        <w:t>While seeing some merit in </w:t>
      </w:r>
      <w:r>
        <w:rPr>
          <w:spacing w:val="-3"/>
          <w:sz w:val="21"/>
        </w:rPr>
        <w:t>allowing applications </w:t>
      </w:r>
      <w:r>
        <w:rPr>
          <w:sz w:val="21"/>
        </w:rPr>
        <w:t>at </w:t>
      </w:r>
      <w:r>
        <w:rPr>
          <w:spacing w:val="-5"/>
          <w:sz w:val="21"/>
        </w:rPr>
        <w:t>VCAT </w:t>
      </w:r>
      <w:r>
        <w:rPr>
          <w:spacing w:val="-3"/>
          <w:sz w:val="21"/>
        </w:rPr>
        <w:t>for approval  </w:t>
      </w:r>
      <w:r>
        <w:rPr>
          <w:sz w:val="21"/>
        </w:rPr>
        <w:t>of statutory  </w:t>
      </w:r>
      <w:r>
        <w:rPr>
          <w:spacing w:val="-3"/>
          <w:sz w:val="21"/>
        </w:rPr>
        <w:t>wills, </w:t>
      </w:r>
      <w:r>
        <w:rPr>
          <w:sz w:val="21"/>
        </w:rPr>
        <w:t>and </w:t>
      </w:r>
      <w:r>
        <w:rPr>
          <w:spacing w:val="-3"/>
          <w:sz w:val="21"/>
        </w:rPr>
        <w:t>noting that </w:t>
      </w:r>
      <w:r>
        <w:rPr>
          <w:spacing w:val="-5"/>
          <w:sz w:val="21"/>
        </w:rPr>
        <w:t>VCAT </w:t>
      </w:r>
      <w:r>
        <w:rPr>
          <w:spacing w:val="-3"/>
          <w:sz w:val="21"/>
        </w:rPr>
        <w:t>could introduce appropriate procedures </w:t>
      </w:r>
      <w:r>
        <w:rPr>
          <w:sz w:val="21"/>
        </w:rPr>
        <w:t>and </w:t>
      </w:r>
      <w:r>
        <w:rPr>
          <w:spacing w:val="-3"/>
          <w:sz w:val="21"/>
        </w:rPr>
        <w:t>ensure that </w:t>
      </w:r>
      <w:r>
        <w:rPr>
          <w:sz w:val="21"/>
        </w:rPr>
        <w:t>senior members with legal expertise </w:t>
      </w:r>
      <w:r>
        <w:rPr>
          <w:spacing w:val="-3"/>
          <w:sz w:val="21"/>
        </w:rPr>
        <w:t>are </w:t>
      </w:r>
      <w:r>
        <w:rPr>
          <w:sz w:val="21"/>
        </w:rPr>
        <w:t>assigned </w:t>
      </w:r>
      <w:r>
        <w:rPr>
          <w:spacing w:val="-3"/>
          <w:sz w:val="21"/>
        </w:rPr>
        <w:t>to </w:t>
      </w:r>
      <w:r>
        <w:rPr>
          <w:sz w:val="21"/>
        </w:rPr>
        <w:t>these matters, the </w:t>
      </w:r>
      <w:r>
        <w:rPr>
          <w:spacing w:val="-3"/>
          <w:sz w:val="21"/>
        </w:rPr>
        <w:t>Commission </w:t>
      </w:r>
      <w:r>
        <w:rPr>
          <w:spacing w:val="-2"/>
          <w:sz w:val="21"/>
        </w:rPr>
        <w:t>has </w:t>
      </w:r>
      <w:r>
        <w:rPr>
          <w:spacing w:val="-3"/>
          <w:sz w:val="21"/>
        </w:rPr>
        <w:t>concluded that </w:t>
      </w:r>
      <w:r>
        <w:rPr>
          <w:sz w:val="21"/>
        </w:rPr>
        <w:t>this </w:t>
      </w:r>
      <w:r>
        <w:rPr>
          <w:spacing w:val="-3"/>
          <w:sz w:val="21"/>
        </w:rPr>
        <w:t>change </w:t>
      </w:r>
      <w:r>
        <w:rPr>
          <w:sz w:val="21"/>
        </w:rPr>
        <w:t>in jurisdiction is </w:t>
      </w:r>
      <w:r>
        <w:rPr>
          <w:spacing w:val="-2"/>
          <w:sz w:val="21"/>
        </w:rPr>
        <w:t>not </w:t>
      </w:r>
      <w:r>
        <w:rPr>
          <w:sz w:val="21"/>
        </w:rPr>
        <w:t>necessary. It is </w:t>
      </w:r>
      <w:r>
        <w:rPr>
          <w:spacing w:val="-2"/>
          <w:sz w:val="21"/>
        </w:rPr>
        <w:t>not </w:t>
      </w:r>
      <w:r>
        <w:rPr>
          <w:spacing w:val="-3"/>
          <w:sz w:val="21"/>
        </w:rPr>
        <w:t>clear that </w:t>
      </w:r>
      <w:r>
        <w:rPr>
          <w:sz w:val="21"/>
        </w:rPr>
        <w:t>an application process at </w:t>
      </w:r>
      <w:r>
        <w:rPr>
          <w:spacing w:val="-5"/>
          <w:sz w:val="21"/>
        </w:rPr>
        <w:t>VCAT </w:t>
      </w:r>
      <w:r>
        <w:rPr>
          <w:sz w:val="21"/>
        </w:rPr>
        <w:t>would cost less </w:t>
      </w:r>
      <w:r>
        <w:rPr>
          <w:spacing w:val="-3"/>
          <w:sz w:val="21"/>
        </w:rPr>
        <w:t>than </w:t>
      </w:r>
      <w:r>
        <w:rPr>
          <w:sz w:val="21"/>
        </w:rPr>
        <w:t>in the </w:t>
      </w:r>
      <w:r>
        <w:rPr>
          <w:spacing w:val="-3"/>
          <w:sz w:val="21"/>
        </w:rPr>
        <w:t>Supreme Court </w:t>
      </w:r>
      <w:r>
        <w:rPr>
          <w:sz w:val="21"/>
        </w:rPr>
        <w:t>and </w:t>
      </w:r>
      <w:r>
        <w:rPr>
          <w:spacing w:val="-3"/>
          <w:sz w:val="21"/>
        </w:rPr>
        <w:t>that </w:t>
      </w:r>
      <w:r>
        <w:rPr>
          <w:sz w:val="21"/>
        </w:rPr>
        <w:t>the </w:t>
      </w:r>
      <w:r>
        <w:rPr>
          <w:spacing w:val="-3"/>
          <w:sz w:val="21"/>
        </w:rPr>
        <w:t>procedure </w:t>
      </w:r>
      <w:r>
        <w:rPr>
          <w:sz w:val="21"/>
        </w:rPr>
        <w:t>would </w:t>
      </w:r>
      <w:r>
        <w:rPr>
          <w:spacing w:val="-3"/>
          <w:sz w:val="21"/>
        </w:rPr>
        <w:t>therefore </w:t>
      </w:r>
      <w:r>
        <w:rPr>
          <w:sz w:val="21"/>
        </w:rPr>
        <w:t>be more</w:t>
      </w:r>
      <w:r>
        <w:rPr>
          <w:spacing w:val="6"/>
          <w:sz w:val="21"/>
        </w:rPr>
        <w:t> </w:t>
      </w:r>
      <w:r>
        <w:rPr>
          <w:spacing w:val="-3"/>
          <w:sz w:val="21"/>
        </w:rPr>
        <w:t>accessible.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8"/>
        </w:rPr>
      </w:pPr>
      <w:r>
        <w:rPr/>
        <w:pict>
          <v:line style="position:absolute;mso-position-horizontal-relative:page;mso-position-vertical-relative:paragraph;z-index:1280;mso-wrap-distance-left:0;mso-wrap-distance-right:0" from="79.370102pt,19.969444pt" to="515.905102pt,19.969444pt" stroked="true" strokeweight="1pt" strokecolor="#f9ceca">
            <v:stroke dashstyle="solid"/>
            <w10:wrap type="topAndBottom"/>
          </v:line>
        </w:pict>
      </w:r>
    </w:p>
    <w:p>
      <w:pPr>
        <w:pStyle w:val="ListParagraph"/>
        <w:numPr>
          <w:ilvl w:val="0"/>
          <w:numId w:val="36"/>
        </w:numPr>
        <w:tabs>
          <w:tab w:pos="2380" w:val="left" w:leader="none"/>
          <w:tab w:pos="2382" w:val="left" w:leader="none"/>
        </w:tabs>
        <w:spacing w:line="240" w:lineRule="auto" w:before="117" w:after="0"/>
        <w:ind w:left="2381" w:right="0" w:hanging="794"/>
        <w:jc w:val="left"/>
        <w:rPr>
          <w:sz w:val="13"/>
        </w:rPr>
      </w:pPr>
      <w:r>
        <w:rPr>
          <w:w w:val="105"/>
          <w:sz w:val="13"/>
        </w:rPr>
        <w:t>Victorian Law Reform Commission, </w:t>
      </w:r>
      <w:r>
        <w:rPr>
          <w:i/>
          <w:w w:val="105"/>
          <w:sz w:val="13"/>
        </w:rPr>
        <w:t>Wills Consultation Paper</w:t>
      </w:r>
      <w:r>
        <w:rPr>
          <w:w w:val="105"/>
          <w:sz w:val="13"/>
        </w:rPr>
        <w:t>, above n</w:t>
      </w:r>
      <w:r>
        <w:rPr>
          <w:spacing w:val="25"/>
          <w:w w:val="105"/>
          <w:sz w:val="13"/>
        </w:rPr>
        <w:t> </w:t>
      </w:r>
      <w:r>
        <w:rPr>
          <w:spacing w:val="-6"/>
          <w:w w:val="105"/>
          <w:sz w:val="13"/>
        </w:rPr>
        <w:t>7, </w:t>
      </w:r>
      <w:r>
        <w:rPr>
          <w:w w:val="105"/>
          <w:sz w:val="13"/>
        </w:rPr>
        <w:t>42.</w:t>
      </w:r>
    </w:p>
    <w:p>
      <w:pPr>
        <w:pStyle w:val="ListParagraph"/>
        <w:numPr>
          <w:ilvl w:val="0"/>
          <w:numId w:val="36"/>
        </w:numPr>
        <w:tabs>
          <w:tab w:pos="2380" w:val="left" w:leader="none"/>
          <w:tab w:pos="2382" w:val="left" w:leader="none"/>
        </w:tabs>
        <w:spacing w:line="240" w:lineRule="auto" w:before="1" w:after="0"/>
        <w:ind w:left="2381" w:right="0" w:hanging="794"/>
        <w:jc w:val="left"/>
        <w:rPr>
          <w:sz w:val="13"/>
        </w:rPr>
      </w:pPr>
      <w:r>
        <w:rPr>
          <w:i/>
          <w:w w:val="105"/>
          <w:sz w:val="13"/>
        </w:rPr>
        <w:t>Wills Act 2008 </w:t>
      </w:r>
      <w:r>
        <w:rPr>
          <w:w w:val="105"/>
          <w:sz w:val="13"/>
        </w:rPr>
        <w:t>(Tas) ss</w:t>
      </w:r>
      <w:r>
        <w:rPr>
          <w:spacing w:val="20"/>
          <w:w w:val="105"/>
          <w:sz w:val="13"/>
        </w:rPr>
        <w:t> </w:t>
      </w:r>
      <w:r>
        <w:rPr>
          <w:spacing w:val="2"/>
          <w:w w:val="105"/>
          <w:sz w:val="13"/>
        </w:rPr>
        <w:t>29–38.</w:t>
      </w:r>
    </w:p>
    <w:p>
      <w:pPr>
        <w:pStyle w:val="ListParagraph"/>
        <w:numPr>
          <w:ilvl w:val="0"/>
          <w:numId w:val="36"/>
        </w:numPr>
        <w:tabs>
          <w:tab w:pos="2380" w:val="left" w:leader="none"/>
          <w:tab w:pos="2382" w:val="left" w:leader="none"/>
        </w:tabs>
        <w:spacing w:line="240" w:lineRule="auto" w:before="2" w:after="0"/>
        <w:ind w:left="2381" w:right="0" w:hanging="794"/>
        <w:jc w:val="left"/>
        <w:rPr>
          <w:sz w:val="13"/>
        </w:rPr>
      </w:pPr>
      <w:r>
        <w:rPr>
          <w:sz w:val="13"/>
        </w:rPr>
        <w:t>Consultation</w:t>
      </w:r>
      <w:r>
        <w:rPr>
          <w:spacing w:val="9"/>
          <w:sz w:val="13"/>
        </w:rPr>
        <w:t> </w:t>
      </w:r>
      <w:r>
        <w:rPr>
          <w:sz w:val="13"/>
        </w:rPr>
        <w:t>3</w:t>
      </w:r>
      <w:r>
        <w:rPr>
          <w:spacing w:val="10"/>
          <w:sz w:val="13"/>
        </w:rPr>
        <w:t> </w:t>
      </w:r>
      <w:r>
        <w:rPr>
          <w:spacing w:val="2"/>
          <w:sz w:val="13"/>
        </w:rPr>
        <w:t>(Legal</w:t>
      </w:r>
      <w:r>
        <w:rPr>
          <w:spacing w:val="10"/>
          <w:sz w:val="13"/>
        </w:rPr>
        <w:t> </w:t>
      </w:r>
      <w:r>
        <w:rPr>
          <w:sz w:val="13"/>
        </w:rPr>
        <w:t>practitioners</w:t>
      </w:r>
      <w:r>
        <w:rPr>
          <w:spacing w:val="10"/>
          <w:sz w:val="13"/>
        </w:rPr>
        <w:t> </w:t>
      </w:r>
      <w:r>
        <w:rPr>
          <w:sz w:val="13"/>
        </w:rPr>
        <w:t>in</w:t>
      </w:r>
      <w:r>
        <w:rPr>
          <w:spacing w:val="9"/>
          <w:sz w:val="13"/>
        </w:rPr>
        <w:t> </w:t>
      </w:r>
      <w:r>
        <w:rPr>
          <w:sz w:val="13"/>
        </w:rPr>
        <w:t>the</w:t>
      </w:r>
      <w:r>
        <w:rPr>
          <w:spacing w:val="10"/>
          <w:sz w:val="13"/>
        </w:rPr>
        <w:t> </w:t>
      </w:r>
      <w:r>
        <w:rPr>
          <w:sz w:val="13"/>
        </w:rPr>
        <w:t>Goulburn</w:t>
      </w:r>
      <w:r>
        <w:rPr>
          <w:spacing w:val="10"/>
          <w:sz w:val="13"/>
        </w:rPr>
        <w:t> </w:t>
      </w:r>
      <w:r>
        <w:rPr>
          <w:sz w:val="13"/>
        </w:rPr>
        <w:t>Valley</w:t>
      </w:r>
      <w:r>
        <w:rPr>
          <w:spacing w:val="10"/>
          <w:sz w:val="13"/>
        </w:rPr>
        <w:t> </w:t>
      </w:r>
      <w:r>
        <w:rPr>
          <w:sz w:val="13"/>
        </w:rPr>
        <w:t>region).</w:t>
      </w:r>
      <w:r>
        <w:rPr>
          <w:spacing w:val="9"/>
          <w:sz w:val="13"/>
        </w:rPr>
        <w:t> </w:t>
      </w:r>
      <w:r>
        <w:rPr>
          <w:sz w:val="13"/>
        </w:rPr>
        <w:t>Submission</w:t>
      </w:r>
      <w:r>
        <w:rPr>
          <w:spacing w:val="10"/>
          <w:sz w:val="13"/>
        </w:rPr>
        <w:t> </w:t>
      </w:r>
      <w:r>
        <w:rPr>
          <w:sz w:val="13"/>
        </w:rPr>
        <w:t>6</w:t>
      </w:r>
      <w:r>
        <w:rPr>
          <w:spacing w:val="10"/>
          <w:sz w:val="13"/>
        </w:rPr>
        <w:t> </w:t>
      </w:r>
      <w:r>
        <w:rPr>
          <w:spacing w:val="2"/>
          <w:sz w:val="13"/>
        </w:rPr>
        <w:t>(Victorian</w:t>
      </w:r>
      <w:r>
        <w:rPr>
          <w:spacing w:val="10"/>
          <w:sz w:val="13"/>
        </w:rPr>
        <w:t> </w:t>
      </w:r>
      <w:r>
        <w:rPr>
          <w:sz w:val="13"/>
        </w:rPr>
        <w:t>Civil</w:t>
      </w:r>
      <w:r>
        <w:rPr>
          <w:spacing w:val="9"/>
          <w:sz w:val="13"/>
        </w:rPr>
        <w:t> </w:t>
      </w:r>
      <w:r>
        <w:rPr>
          <w:sz w:val="13"/>
        </w:rPr>
        <w:t>and</w:t>
      </w:r>
      <w:r>
        <w:rPr>
          <w:spacing w:val="10"/>
          <w:sz w:val="13"/>
        </w:rPr>
        <w:t> </w:t>
      </w:r>
      <w:r>
        <w:rPr>
          <w:sz w:val="13"/>
        </w:rPr>
        <w:t>Administrative</w:t>
      </w:r>
      <w:r>
        <w:rPr>
          <w:spacing w:val="10"/>
          <w:sz w:val="13"/>
        </w:rPr>
        <w:t> </w:t>
      </w:r>
      <w:r>
        <w:rPr>
          <w:sz w:val="13"/>
        </w:rPr>
        <w:t>Tribunal).</w:t>
      </w:r>
    </w:p>
    <w:p>
      <w:pPr>
        <w:pStyle w:val="ListParagraph"/>
        <w:numPr>
          <w:ilvl w:val="0"/>
          <w:numId w:val="36"/>
        </w:numPr>
        <w:tabs>
          <w:tab w:pos="2381" w:val="left" w:leader="none"/>
          <w:tab w:pos="2382" w:val="left" w:leader="none"/>
        </w:tabs>
        <w:spacing w:line="240" w:lineRule="auto" w:before="1" w:after="0"/>
        <w:ind w:left="2381" w:right="2418" w:hanging="794"/>
        <w:jc w:val="left"/>
        <w:rPr>
          <w:sz w:val="13"/>
        </w:rPr>
      </w:pPr>
      <w:r>
        <w:rPr>
          <w:w w:val="105"/>
          <w:sz w:val="13"/>
        </w:rPr>
        <w:t>Consultation 3 </w:t>
      </w:r>
      <w:r>
        <w:rPr>
          <w:spacing w:val="2"/>
          <w:w w:val="105"/>
          <w:sz w:val="13"/>
        </w:rPr>
        <w:t>(Legal </w:t>
      </w:r>
      <w:r>
        <w:rPr>
          <w:w w:val="105"/>
          <w:sz w:val="13"/>
        </w:rPr>
        <w:t>practitioners in the Goulburn Valley region). Submissions 6 </w:t>
      </w:r>
      <w:r>
        <w:rPr>
          <w:spacing w:val="2"/>
          <w:w w:val="105"/>
          <w:sz w:val="13"/>
        </w:rPr>
        <w:t>(Victorian </w:t>
      </w:r>
      <w:r>
        <w:rPr>
          <w:w w:val="105"/>
          <w:sz w:val="13"/>
        </w:rPr>
        <w:t>Civil and Administrative Tribunal); 21</w:t>
      </w:r>
      <w:r>
        <w:rPr>
          <w:spacing w:val="4"/>
          <w:w w:val="105"/>
          <w:sz w:val="13"/>
        </w:rPr>
        <w:t> </w:t>
      </w:r>
      <w:r>
        <w:rPr>
          <w:spacing w:val="2"/>
          <w:w w:val="105"/>
          <w:sz w:val="13"/>
        </w:rPr>
        <w:t>(Office</w:t>
      </w:r>
      <w:r>
        <w:rPr>
          <w:spacing w:val="5"/>
          <w:w w:val="105"/>
          <w:sz w:val="13"/>
        </w:rPr>
        <w:t> </w:t>
      </w:r>
      <w:r>
        <w:rPr>
          <w:w w:val="105"/>
          <w:sz w:val="13"/>
        </w:rPr>
        <w:t>of</w:t>
      </w:r>
      <w:r>
        <w:rPr>
          <w:spacing w:val="5"/>
          <w:w w:val="105"/>
          <w:sz w:val="13"/>
        </w:rPr>
        <w:t> </w:t>
      </w:r>
      <w:r>
        <w:rPr>
          <w:w w:val="105"/>
          <w:sz w:val="13"/>
        </w:rPr>
        <w:t>the</w:t>
      </w:r>
      <w:r>
        <w:rPr>
          <w:spacing w:val="4"/>
          <w:w w:val="105"/>
          <w:sz w:val="13"/>
        </w:rPr>
        <w:t> </w:t>
      </w:r>
      <w:r>
        <w:rPr>
          <w:w w:val="105"/>
          <w:sz w:val="13"/>
        </w:rPr>
        <w:t>Public</w:t>
      </w:r>
      <w:r>
        <w:rPr>
          <w:spacing w:val="5"/>
          <w:w w:val="105"/>
          <w:sz w:val="13"/>
        </w:rPr>
        <w:t> </w:t>
      </w:r>
      <w:r>
        <w:rPr>
          <w:w w:val="105"/>
          <w:sz w:val="13"/>
        </w:rPr>
        <w:t>Advocate);</w:t>
      </w:r>
      <w:r>
        <w:rPr>
          <w:spacing w:val="5"/>
          <w:w w:val="105"/>
          <w:sz w:val="13"/>
        </w:rPr>
        <w:t> </w:t>
      </w:r>
      <w:r>
        <w:rPr>
          <w:w w:val="105"/>
          <w:sz w:val="13"/>
        </w:rPr>
        <w:t>25</w:t>
      </w:r>
      <w:r>
        <w:rPr>
          <w:spacing w:val="5"/>
          <w:w w:val="105"/>
          <w:sz w:val="13"/>
        </w:rPr>
        <w:t> </w:t>
      </w:r>
      <w:r>
        <w:rPr>
          <w:spacing w:val="2"/>
          <w:w w:val="105"/>
          <w:sz w:val="13"/>
        </w:rPr>
        <w:t>(Moores</w:t>
      </w:r>
      <w:r>
        <w:rPr>
          <w:spacing w:val="4"/>
          <w:w w:val="105"/>
          <w:sz w:val="13"/>
        </w:rPr>
        <w:t> </w:t>
      </w:r>
      <w:r>
        <w:rPr>
          <w:w w:val="105"/>
          <w:sz w:val="13"/>
        </w:rPr>
        <w:t>Legal);</w:t>
      </w:r>
      <w:r>
        <w:rPr>
          <w:spacing w:val="5"/>
          <w:w w:val="105"/>
          <w:sz w:val="13"/>
        </w:rPr>
        <w:t> </w:t>
      </w:r>
      <w:r>
        <w:rPr>
          <w:w w:val="105"/>
          <w:sz w:val="13"/>
        </w:rPr>
        <w:t>31</w:t>
      </w:r>
      <w:r>
        <w:rPr>
          <w:spacing w:val="5"/>
          <w:w w:val="105"/>
          <w:sz w:val="13"/>
        </w:rPr>
        <w:t> </w:t>
      </w:r>
      <w:r>
        <w:rPr>
          <w:w w:val="105"/>
          <w:sz w:val="13"/>
        </w:rPr>
        <w:t>(Seniors</w:t>
      </w:r>
      <w:r>
        <w:rPr>
          <w:spacing w:val="4"/>
          <w:w w:val="105"/>
          <w:sz w:val="13"/>
        </w:rPr>
        <w:t> </w:t>
      </w:r>
      <w:r>
        <w:rPr>
          <w:w w:val="105"/>
          <w:sz w:val="13"/>
        </w:rPr>
        <w:t>Rights</w:t>
      </w:r>
      <w:r>
        <w:rPr>
          <w:spacing w:val="5"/>
          <w:w w:val="105"/>
          <w:sz w:val="13"/>
        </w:rPr>
        <w:t> </w:t>
      </w:r>
      <w:r>
        <w:rPr>
          <w:spacing w:val="2"/>
          <w:w w:val="105"/>
          <w:sz w:val="13"/>
        </w:rPr>
        <w:t>Victoria).</w:t>
      </w:r>
    </w:p>
    <w:p>
      <w:pPr>
        <w:pStyle w:val="ListParagraph"/>
        <w:numPr>
          <w:ilvl w:val="0"/>
          <w:numId w:val="36"/>
        </w:numPr>
        <w:tabs>
          <w:tab w:pos="2381" w:val="left" w:leader="none"/>
          <w:tab w:pos="2382" w:val="left" w:leader="none"/>
        </w:tabs>
        <w:spacing w:line="240" w:lineRule="auto" w:before="3" w:after="0"/>
        <w:ind w:left="2381" w:right="0" w:hanging="794"/>
        <w:jc w:val="left"/>
        <w:rPr>
          <w:sz w:val="13"/>
        </w:rPr>
      </w:pPr>
      <w:r>
        <w:rPr>
          <w:w w:val="105"/>
          <w:sz w:val="13"/>
        </w:rPr>
        <w:t>Submissions</w:t>
      </w:r>
      <w:r>
        <w:rPr>
          <w:spacing w:val="4"/>
          <w:w w:val="105"/>
          <w:sz w:val="13"/>
        </w:rPr>
        <w:t> </w:t>
      </w:r>
      <w:r>
        <w:rPr>
          <w:w w:val="105"/>
          <w:sz w:val="13"/>
        </w:rPr>
        <w:t>6</w:t>
      </w:r>
      <w:r>
        <w:rPr>
          <w:spacing w:val="5"/>
          <w:w w:val="105"/>
          <w:sz w:val="13"/>
        </w:rPr>
        <w:t> </w:t>
      </w:r>
      <w:r>
        <w:rPr>
          <w:spacing w:val="2"/>
          <w:w w:val="105"/>
          <w:sz w:val="13"/>
        </w:rPr>
        <w:t>(Victorian</w:t>
      </w:r>
      <w:r>
        <w:rPr>
          <w:spacing w:val="4"/>
          <w:w w:val="105"/>
          <w:sz w:val="13"/>
        </w:rPr>
        <w:t> </w:t>
      </w:r>
      <w:r>
        <w:rPr>
          <w:w w:val="105"/>
          <w:sz w:val="13"/>
        </w:rPr>
        <w:t>Civil</w:t>
      </w:r>
      <w:r>
        <w:rPr>
          <w:spacing w:val="5"/>
          <w:w w:val="105"/>
          <w:sz w:val="13"/>
        </w:rPr>
        <w:t> </w:t>
      </w:r>
      <w:r>
        <w:rPr>
          <w:w w:val="105"/>
          <w:sz w:val="13"/>
        </w:rPr>
        <w:t>and</w:t>
      </w:r>
      <w:r>
        <w:rPr>
          <w:spacing w:val="4"/>
          <w:w w:val="105"/>
          <w:sz w:val="13"/>
        </w:rPr>
        <w:t> </w:t>
      </w:r>
      <w:r>
        <w:rPr>
          <w:w w:val="105"/>
          <w:sz w:val="13"/>
        </w:rPr>
        <w:t>Administrative</w:t>
      </w:r>
      <w:r>
        <w:rPr>
          <w:spacing w:val="5"/>
          <w:w w:val="105"/>
          <w:sz w:val="13"/>
        </w:rPr>
        <w:t> </w:t>
      </w:r>
      <w:r>
        <w:rPr>
          <w:w w:val="105"/>
          <w:sz w:val="13"/>
        </w:rPr>
        <w:t>Tribunal);</w:t>
      </w:r>
      <w:r>
        <w:rPr>
          <w:spacing w:val="4"/>
          <w:w w:val="105"/>
          <w:sz w:val="13"/>
        </w:rPr>
        <w:t> </w:t>
      </w:r>
      <w:r>
        <w:rPr>
          <w:w w:val="105"/>
          <w:sz w:val="13"/>
        </w:rPr>
        <w:t>21</w:t>
      </w:r>
      <w:r>
        <w:rPr>
          <w:spacing w:val="5"/>
          <w:w w:val="105"/>
          <w:sz w:val="13"/>
        </w:rPr>
        <w:t> </w:t>
      </w:r>
      <w:r>
        <w:rPr>
          <w:spacing w:val="2"/>
          <w:w w:val="105"/>
          <w:sz w:val="13"/>
        </w:rPr>
        <w:t>(Office</w:t>
      </w:r>
      <w:r>
        <w:rPr>
          <w:spacing w:val="5"/>
          <w:w w:val="105"/>
          <w:sz w:val="13"/>
        </w:rPr>
        <w:t> </w:t>
      </w:r>
      <w:r>
        <w:rPr>
          <w:w w:val="105"/>
          <w:sz w:val="13"/>
        </w:rPr>
        <w:t>of</w:t>
      </w:r>
      <w:r>
        <w:rPr>
          <w:spacing w:val="4"/>
          <w:w w:val="105"/>
          <w:sz w:val="13"/>
        </w:rPr>
        <w:t> </w:t>
      </w:r>
      <w:r>
        <w:rPr>
          <w:w w:val="105"/>
          <w:sz w:val="13"/>
        </w:rPr>
        <w:t>the</w:t>
      </w:r>
      <w:r>
        <w:rPr>
          <w:spacing w:val="5"/>
          <w:w w:val="105"/>
          <w:sz w:val="13"/>
        </w:rPr>
        <w:t> </w:t>
      </w:r>
      <w:r>
        <w:rPr>
          <w:w w:val="105"/>
          <w:sz w:val="13"/>
        </w:rPr>
        <w:t>Public</w:t>
      </w:r>
      <w:r>
        <w:rPr>
          <w:spacing w:val="4"/>
          <w:w w:val="105"/>
          <w:sz w:val="13"/>
        </w:rPr>
        <w:t> </w:t>
      </w:r>
      <w:r>
        <w:rPr>
          <w:w w:val="105"/>
          <w:sz w:val="13"/>
        </w:rPr>
        <w:t>Advocate).</w:t>
      </w:r>
    </w:p>
    <w:p>
      <w:pPr>
        <w:pStyle w:val="ListParagraph"/>
        <w:numPr>
          <w:ilvl w:val="0"/>
          <w:numId w:val="36"/>
        </w:numPr>
        <w:tabs>
          <w:tab w:pos="2381" w:val="left" w:leader="none"/>
          <w:tab w:pos="2382" w:val="left" w:leader="none"/>
        </w:tabs>
        <w:spacing w:line="240" w:lineRule="auto" w:before="1" w:after="0"/>
        <w:ind w:left="2381" w:right="0" w:hanging="794"/>
        <w:jc w:val="left"/>
        <w:rPr>
          <w:sz w:val="13"/>
        </w:rPr>
      </w:pPr>
      <w:r>
        <w:rPr>
          <w:w w:val="105"/>
          <w:sz w:val="13"/>
        </w:rPr>
        <w:t>Submissions 6 </w:t>
      </w:r>
      <w:r>
        <w:rPr>
          <w:spacing w:val="2"/>
          <w:w w:val="105"/>
          <w:sz w:val="13"/>
        </w:rPr>
        <w:t>(Victorian </w:t>
      </w:r>
      <w:r>
        <w:rPr>
          <w:w w:val="105"/>
          <w:sz w:val="13"/>
        </w:rPr>
        <w:t>Civil and Administrative Tribunal); 25 </w:t>
      </w:r>
      <w:r>
        <w:rPr>
          <w:spacing w:val="2"/>
          <w:w w:val="105"/>
          <w:sz w:val="13"/>
        </w:rPr>
        <w:t>(Moores</w:t>
      </w:r>
      <w:r>
        <w:rPr>
          <w:spacing w:val="5"/>
          <w:w w:val="105"/>
          <w:sz w:val="13"/>
        </w:rPr>
        <w:t> </w:t>
      </w:r>
      <w:r>
        <w:rPr>
          <w:w w:val="105"/>
          <w:sz w:val="13"/>
        </w:rPr>
        <w:t>Legal).</w:t>
      </w:r>
    </w:p>
    <w:p>
      <w:pPr>
        <w:pStyle w:val="ListParagraph"/>
        <w:numPr>
          <w:ilvl w:val="0"/>
          <w:numId w:val="36"/>
        </w:numPr>
        <w:tabs>
          <w:tab w:pos="2381" w:val="left" w:leader="none"/>
          <w:tab w:pos="2382" w:val="left" w:leader="none"/>
        </w:tabs>
        <w:spacing w:line="240" w:lineRule="auto" w:before="1" w:after="0"/>
        <w:ind w:left="2381" w:right="0" w:hanging="794"/>
        <w:jc w:val="left"/>
        <w:rPr>
          <w:sz w:val="13"/>
        </w:rPr>
      </w:pPr>
      <w:r>
        <w:rPr>
          <w:w w:val="105"/>
          <w:sz w:val="13"/>
        </w:rPr>
        <w:t>Submission 31 (Seniors Rights</w:t>
      </w:r>
      <w:r>
        <w:rPr>
          <w:spacing w:val="18"/>
          <w:w w:val="105"/>
          <w:sz w:val="13"/>
        </w:rPr>
        <w:t> </w:t>
      </w:r>
      <w:r>
        <w:rPr>
          <w:spacing w:val="2"/>
          <w:w w:val="105"/>
          <w:sz w:val="13"/>
        </w:rPr>
        <w:t>Victoria).</w:t>
      </w:r>
    </w:p>
    <w:p>
      <w:pPr>
        <w:pStyle w:val="ListParagraph"/>
        <w:numPr>
          <w:ilvl w:val="0"/>
          <w:numId w:val="36"/>
        </w:numPr>
        <w:tabs>
          <w:tab w:pos="2381" w:val="left" w:leader="none"/>
          <w:tab w:pos="2382" w:val="left" w:leader="none"/>
        </w:tabs>
        <w:spacing w:line="240" w:lineRule="auto" w:before="2" w:after="0"/>
        <w:ind w:left="2381" w:right="2025" w:hanging="794"/>
        <w:jc w:val="left"/>
        <w:rPr>
          <w:sz w:val="13"/>
        </w:rPr>
      </w:pPr>
      <w:r>
        <w:rPr>
          <w:w w:val="105"/>
          <w:sz w:val="13"/>
        </w:rPr>
        <w:t>Submissions </w:t>
      </w:r>
      <w:r>
        <w:rPr>
          <w:spacing w:val="-3"/>
          <w:w w:val="105"/>
          <w:sz w:val="13"/>
        </w:rPr>
        <w:t>14 </w:t>
      </w:r>
      <w:r>
        <w:rPr>
          <w:w w:val="105"/>
          <w:sz w:val="13"/>
        </w:rPr>
        <w:t>(Commercial Bar </w:t>
      </w:r>
      <w:r>
        <w:rPr>
          <w:spacing w:val="2"/>
          <w:w w:val="105"/>
          <w:sz w:val="13"/>
        </w:rPr>
        <w:t>Association); </w:t>
      </w:r>
      <w:r>
        <w:rPr>
          <w:w w:val="105"/>
          <w:sz w:val="13"/>
        </w:rPr>
        <w:t>26 </w:t>
      </w:r>
      <w:r>
        <w:rPr>
          <w:spacing w:val="2"/>
          <w:w w:val="105"/>
          <w:sz w:val="13"/>
        </w:rPr>
        <w:t>(Rigby </w:t>
      </w:r>
      <w:r>
        <w:rPr>
          <w:w w:val="105"/>
          <w:sz w:val="13"/>
        </w:rPr>
        <w:t>Cooke </w:t>
      </w:r>
      <w:r>
        <w:rPr>
          <w:spacing w:val="2"/>
          <w:w w:val="105"/>
          <w:sz w:val="13"/>
        </w:rPr>
        <w:t>Lawyers); </w:t>
      </w:r>
      <w:r>
        <w:rPr>
          <w:w w:val="105"/>
          <w:sz w:val="13"/>
        </w:rPr>
        <w:t>30a </w:t>
      </w:r>
      <w:r>
        <w:rPr>
          <w:spacing w:val="3"/>
          <w:w w:val="105"/>
          <w:sz w:val="13"/>
        </w:rPr>
        <w:t>(Law </w:t>
      </w:r>
      <w:r>
        <w:rPr>
          <w:w w:val="105"/>
          <w:sz w:val="13"/>
        </w:rPr>
        <w:t>Institute of </w:t>
      </w:r>
      <w:r>
        <w:rPr>
          <w:spacing w:val="2"/>
          <w:w w:val="105"/>
          <w:sz w:val="13"/>
        </w:rPr>
        <w:t>Victoria); </w:t>
      </w:r>
      <w:r>
        <w:rPr>
          <w:w w:val="105"/>
          <w:sz w:val="13"/>
        </w:rPr>
        <w:t>33 (State Trustees Limited); 39 (Carolyn Sparke</w:t>
      </w:r>
      <w:r>
        <w:rPr>
          <w:spacing w:val="14"/>
          <w:w w:val="105"/>
          <w:sz w:val="13"/>
        </w:rPr>
        <w:t> </w:t>
      </w:r>
      <w:r>
        <w:rPr>
          <w:w w:val="105"/>
          <w:sz w:val="13"/>
        </w:rPr>
        <w:t>SC).</w:t>
      </w:r>
    </w:p>
    <w:p>
      <w:pPr>
        <w:pStyle w:val="ListParagraph"/>
        <w:numPr>
          <w:ilvl w:val="0"/>
          <w:numId w:val="36"/>
        </w:numPr>
        <w:tabs>
          <w:tab w:pos="2381" w:val="left" w:leader="none"/>
          <w:tab w:pos="2382" w:val="left" w:leader="none"/>
        </w:tabs>
        <w:spacing w:line="240" w:lineRule="auto" w:before="2" w:after="0"/>
        <w:ind w:left="2381" w:right="0" w:hanging="794"/>
        <w:jc w:val="left"/>
        <w:rPr>
          <w:sz w:val="13"/>
        </w:rPr>
      </w:pPr>
      <w:r>
        <w:rPr/>
        <w:pict>
          <v:shape style="position:absolute;margin-left:36pt;margin-top:3.643367pt;width:13.5pt;height:14.25pt;mso-position-horizontal-relative:page;mso-position-vertical-relative:paragraph;z-index:3352" type="#_x0000_t202" filled="false" stroked="false">
            <v:textbox inset="0,0,0,0">
              <w:txbxContent>
                <w:p>
                  <w:pPr>
                    <w:spacing w:line="284" w:lineRule="exact" w:before="0"/>
                    <w:ind w:left="0" w:right="0" w:firstLine="0"/>
                    <w:jc w:val="left"/>
                    <w:rPr>
                      <w:b/>
                      <w:sz w:val="24"/>
                    </w:rPr>
                  </w:pPr>
                  <w:r>
                    <w:rPr>
                      <w:b/>
                      <w:color w:val="EC5A4F"/>
                      <w:w w:val="110"/>
                      <w:sz w:val="24"/>
                    </w:rPr>
                    <w:t>30</w:t>
                  </w:r>
                </w:p>
              </w:txbxContent>
            </v:textbox>
            <w10:wrap type="none"/>
          </v:shape>
        </w:pict>
      </w:r>
      <w:r>
        <w:rPr>
          <w:w w:val="105"/>
          <w:sz w:val="13"/>
        </w:rPr>
        <w:t>Submissions 35 (Andrew Verspaandonk); 39 (Carolyn Sparke</w:t>
      </w:r>
      <w:r>
        <w:rPr>
          <w:spacing w:val="3"/>
          <w:w w:val="105"/>
          <w:sz w:val="13"/>
        </w:rPr>
        <w:t> </w:t>
      </w:r>
      <w:r>
        <w:rPr>
          <w:w w:val="105"/>
          <w:sz w:val="13"/>
        </w:rPr>
        <w:t>SC).</w:t>
      </w:r>
    </w:p>
    <w:p>
      <w:pPr>
        <w:pStyle w:val="ListParagraph"/>
        <w:numPr>
          <w:ilvl w:val="0"/>
          <w:numId w:val="36"/>
        </w:numPr>
        <w:tabs>
          <w:tab w:pos="2381" w:val="left" w:leader="none"/>
          <w:tab w:pos="2382" w:val="left" w:leader="none"/>
        </w:tabs>
        <w:spacing w:line="240" w:lineRule="auto" w:before="2" w:after="0"/>
        <w:ind w:left="2381" w:right="0" w:hanging="794"/>
        <w:jc w:val="left"/>
        <w:rPr>
          <w:sz w:val="13"/>
        </w:rPr>
      </w:pPr>
      <w:r>
        <w:rPr>
          <w:w w:val="105"/>
          <w:sz w:val="13"/>
        </w:rPr>
        <w:t>Submission 39 (Carolyn Sparke</w:t>
      </w:r>
      <w:r>
        <w:rPr>
          <w:spacing w:val="18"/>
          <w:w w:val="105"/>
          <w:sz w:val="13"/>
        </w:rPr>
        <w:t> </w:t>
      </w:r>
      <w:r>
        <w:rPr>
          <w:w w:val="105"/>
          <w:sz w:val="13"/>
        </w:rPr>
        <w:t>SC).</w:t>
      </w:r>
    </w:p>
    <w:p>
      <w:pPr>
        <w:spacing w:after="0" w:line="240" w:lineRule="auto"/>
        <w:jc w:val="left"/>
        <w:rPr>
          <w:sz w:val="13"/>
        </w:rPr>
        <w:sectPr>
          <w:pgSz w:w="11910" w:h="16840"/>
          <w:pgMar w:header="550" w:footer="0" w:top="1560" w:bottom="280" w:left="0" w:right="0"/>
        </w:sectPr>
      </w:pPr>
    </w:p>
    <w:p>
      <w:pPr>
        <w:pStyle w:val="BodyText"/>
        <w:rPr>
          <w:sz w:val="20"/>
        </w:rPr>
      </w:pPr>
    </w:p>
    <w:p>
      <w:pPr>
        <w:pStyle w:val="BodyText"/>
        <w:spacing w:before="1"/>
        <w:rPr>
          <w:sz w:val="18"/>
        </w:rPr>
      </w:pPr>
    </w:p>
    <w:p>
      <w:pPr>
        <w:pStyle w:val="Heading5"/>
        <w:spacing w:before="99"/>
      </w:pPr>
      <w:r>
        <w:rPr>
          <w:w w:val="115"/>
        </w:rPr>
        <w:t>Hearings on the papers</w:t>
      </w:r>
    </w:p>
    <w:p>
      <w:pPr>
        <w:pStyle w:val="ListParagraph"/>
        <w:numPr>
          <w:ilvl w:val="1"/>
          <w:numId w:val="22"/>
        </w:numPr>
        <w:tabs>
          <w:tab w:pos="2380" w:val="left" w:leader="none"/>
          <w:tab w:pos="2381" w:val="left" w:leader="none"/>
        </w:tabs>
        <w:spacing w:line="242" w:lineRule="auto" w:before="137" w:after="0"/>
        <w:ind w:left="2381" w:right="2214" w:hanging="794"/>
        <w:jc w:val="left"/>
        <w:rPr>
          <w:sz w:val="21"/>
        </w:rPr>
      </w:pPr>
      <w:r>
        <w:rPr>
          <w:w w:val="105"/>
          <w:sz w:val="21"/>
        </w:rPr>
        <w:t>Another</w:t>
      </w:r>
      <w:r>
        <w:rPr>
          <w:spacing w:val="-8"/>
          <w:w w:val="105"/>
          <w:sz w:val="21"/>
        </w:rPr>
        <w:t> </w:t>
      </w:r>
      <w:r>
        <w:rPr>
          <w:w w:val="105"/>
          <w:sz w:val="21"/>
        </w:rPr>
        <w:t>idea</w:t>
      </w:r>
      <w:r>
        <w:rPr>
          <w:spacing w:val="-7"/>
          <w:w w:val="105"/>
          <w:sz w:val="21"/>
        </w:rPr>
        <w:t> </w:t>
      </w:r>
      <w:r>
        <w:rPr>
          <w:w w:val="105"/>
          <w:sz w:val="21"/>
        </w:rPr>
        <w:t>put</w:t>
      </w:r>
      <w:r>
        <w:rPr>
          <w:spacing w:val="-7"/>
          <w:w w:val="105"/>
          <w:sz w:val="21"/>
        </w:rPr>
        <w:t> </w:t>
      </w:r>
      <w:r>
        <w:rPr>
          <w:w w:val="105"/>
          <w:sz w:val="21"/>
        </w:rPr>
        <w:t>forward</w:t>
      </w:r>
      <w:r>
        <w:rPr>
          <w:spacing w:val="-7"/>
          <w:w w:val="105"/>
          <w:sz w:val="21"/>
        </w:rPr>
        <w:t> </w:t>
      </w:r>
      <w:r>
        <w:rPr>
          <w:w w:val="105"/>
          <w:sz w:val="21"/>
        </w:rPr>
        <w:t>in</w:t>
      </w:r>
      <w:r>
        <w:rPr>
          <w:spacing w:val="-7"/>
          <w:w w:val="105"/>
          <w:sz w:val="21"/>
        </w:rPr>
        <w:t> </w:t>
      </w:r>
      <w:r>
        <w:rPr>
          <w:w w:val="105"/>
          <w:sz w:val="21"/>
        </w:rPr>
        <w:t>the</w:t>
      </w:r>
      <w:r>
        <w:rPr>
          <w:spacing w:val="-7"/>
          <w:w w:val="105"/>
          <w:sz w:val="21"/>
        </w:rPr>
        <w:t> </w:t>
      </w:r>
      <w:r>
        <w:rPr>
          <w:spacing w:val="-3"/>
          <w:w w:val="105"/>
          <w:sz w:val="21"/>
        </w:rPr>
        <w:t>consultation</w:t>
      </w:r>
      <w:r>
        <w:rPr>
          <w:spacing w:val="-7"/>
          <w:w w:val="105"/>
          <w:sz w:val="21"/>
        </w:rPr>
        <w:t> </w:t>
      </w:r>
      <w:r>
        <w:rPr>
          <w:w w:val="105"/>
          <w:sz w:val="21"/>
        </w:rPr>
        <w:t>paper</w:t>
      </w:r>
      <w:r>
        <w:rPr>
          <w:spacing w:val="-8"/>
          <w:w w:val="105"/>
          <w:sz w:val="21"/>
        </w:rPr>
        <w:t> </w:t>
      </w:r>
      <w:r>
        <w:rPr>
          <w:w w:val="105"/>
          <w:sz w:val="21"/>
        </w:rPr>
        <w:t>on</w:t>
      </w:r>
      <w:r>
        <w:rPr>
          <w:spacing w:val="-7"/>
          <w:w w:val="105"/>
          <w:sz w:val="21"/>
        </w:rPr>
        <w:t> </w:t>
      </w:r>
      <w:r>
        <w:rPr>
          <w:spacing w:val="-3"/>
          <w:w w:val="105"/>
          <w:sz w:val="21"/>
        </w:rPr>
        <w:t>wills</w:t>
      </w:r>
      <w:r>
        <w:rPr>
          <w:spacing w:val="-7"/>
          <w:w w:val="105"/>
          <w:sz w:val="21"/>
        </w:rPr>
        <w:t> </w:t>
      </w:r>
      <w:r>
        <w:rPr>
          <w:w w:val="105"/>
          <w:sz w:val="21"/>
        </w:rPr>
        <w:t>was</w:t>
      </w:r>
      <w:r>
        <w:rPr>
          <w:spacing w:val="-7"/>
          <w:w w:val="105"/>
          <w:sz w:val="21"/>
        </w:rPr>
        <w:t> </w:t>
      </w:r>
      <w:r>
        <w:rPr>
          <w:w w:val="105"/>
          <w:sz w:val="21"/>
        </w:rPr>
        <w:t>the</w:t>
      </w:r>
      <w:r>
        <w:rPr>
          <w:spacing w:val="-7"/>
          <w:w w:val="105"/>
          <w:sz w:val="21"/>
        </w:rPr>
        <w:t> </w:t>
      </w:r>
      <w:r>
        <w:rPr>
          <w:w w:val="105"/>
          <w:sz w:val="21"/>
        </w:rPr>
        <w:t>possibility</w:t>
      </w:r>
      <w:r>
        <w:rPr>
          <w:spacing w:val="-7"/>
          <w:w w:val="105"/>
          <w:sz w:val="21"/>
        </w:rPr>
        <w:t> </w:t>
      </w:r>
      <w:r>
        <w:rPr>
          <w:spacing w:val="-3"/>
          <w:w w:val="105"/>
          <w:sz w:val="21"/>
        </w:rPr>
        <w:t>that </w:t>
      </w:r>
      <w:r>
        <w:rPr>
          <w:w w:val="105"/>
          <w:sz w:val="21"/>
        </w:rPr>
        <w:t>a judge </w:t>
      </w:r>
      <w:r>
        <w:rPr>
          <w:spacing w:val="-3"/>
          <w:w w:val="105"/>
          <w:sz w:val="21"/>
        </w:rPr>
        <w:t>could determine </w:t>
      </w:r>
      <w:r>
        <w:rPr>
          <w:w w:val="105"/>
          <w:sz w:val="21"/>
        </w:rPr>
        <w:t>unopposed statutory </w:t>
      </w:r>
      <w:r>
        <w:rPr>
          <w:spacing w:val="-3"/>
          <w:w w:val="105"/>
          <w:sz w:val="21"/>
        </w:rPr>
        <w:t>will applications </w:t>
      </w:r>
      <w:r>
        <w:rPr>
          <w:w w:val="105"/>
          <w:sz w:val="21"/>
        </w:rPr>
        <w:t>based on</w:t>
      </w:r>
      <w:r>
        <w:rPr>
          <w:spacing w:val="-19"/>
          <w:w w:val="105"/>
          <w:sz w:val="21"/>
        </w:rPr>
        <w:t> </w:t>
      </w:r>
      <w:r>
        <w:rPr>
          <w:w w:val="105"/>
          <w:sz w:val="21"/>
        </w:rPr>
        <w:t>written</w:t>
      </w:r>
    </w:p>
    <w:p>
      <w:pPr>
        <w:pStyle w:val="BodyText"/>
        <w:spacing w:line="242" w:lineRule="auto" w:before="3"/>
        <w:ind w:left="2381" w:right="1602" w:hanging="1"/>
        <w:rPr>
          <w:sz w:val="12"/>
        </w:rPr>
      </w:pPr>
      <w:r>
        <w:rPr>
          <w:spacing w:val="-3"/>
          <w:w w:val="105"/>
        </w:rPr>
        <w:t>information </w:t>
      </w:r>
      <w:r>
        <w:rPr>
          <w:spacing w:val="-4"/>
          <w:w w:val="105"/>
        </w:rPr>
        <w:t>only, </w:t>
      </w:r>
      <w:r>
        <w:rPr>
          <w:w w:val="105"/>
        </w:rPr>
        <w:t>with no court </w:t>
      </w:r>
      <w:r>
        <w:rPr>
          <w:spacing w:val="-3"/>
          <w:w w:val="105"/>
        </w:rPr>
        <w:t>hearing.</w:t>
      </w:r>
      <w:r>
        <w:rPr>
          <w:spacing w:val="-3"/>
          <w:w w:val="105"/>
          <w:position w:val="7"/>
          <w:sz w:val="12"/>
        </w:rPr>
        <w:t>58 </w:t>
      </w:r>
      <w:r>
        <w:rPr>
          <w:spacing w:val="-3"/>
          <w:w w:val="105"/>
        </w:rPr>
        <w:t>Hearings </w:t>
      </w:r>
      <w:r>
        <w:rPr>
          <w:spacing w:val="-5"/>
          <w:w w:val="105"/>
        </w:rPr>
        <w:t>‘on </w:t>
      </w:r>
      <w:r>
        <w:rPr>
          <w:w w:val="105"/>
        </w:rPr>
        <w:t>the papers’ </w:t>
      </w:r>
      <w:r>
        <w:rPr>
          <w:spacing w:val="-3"/>
          <w:w w:val="105"/>
        </w:rPr>
        <w:t>have </w:t>
      </w:r>
      <w:r>
        <w:rPr>
          <w:w w:val="105"/>
        </w:rPr>
        <w:t>the </w:t>
      </w:r>
      <w:r>
        <w:rPr>
          <w:spacing w:val="-3"/>
          <w:w w:val="105"/>
        </w:rPr>
        <w:t>potential to reduce </w:t>
      </w:r>
      <w:r>
        <w:rPr>
          <w:w w:val="105"/>
        </w:rPr>
        <w:t>the cost of the application as no </w:t>
      </w:r>
      <w:r>
        <w:rPr>
          <w:spacing w:val="-3"/>
          <w:w w:val="105"/>
        </w:rPr>
        <w:t>appearances </w:t>
      </w:r>
      <w:r>
        <w:rPr>
          <w:w w:val="105"/>
        </w:rPr>
        <w:t>would be necessary. This </w:t>
      </w:r>
      <w:r>
        <w:rPr>
          <w:spacing w:val="-3"/>
          <w:w w:val="105"/>
        </w:rPr>
        <w:t>procedure </w:t>
      </w:r>
      <w:r>
        <w:rPr>
          <w:w w:val="105"/>
        </w:rPr>
        <w:t>is used in New South </w:t>
      </w:r>
      <w:r>
        <w:rPr>
          <w:spacing w:val="-3"/>
          <w:w w:val="105"/>
        </w:rPr>
        <w:t>Wales for </w:t>
      </w:r>
      <w:r>
        <w:rPr>
          <w:w w:val="105"/>
        </w:rPr>
        <w:t>this type of </w:t>
      </w:r>
      <w:r>
        <w:rPr>
          <w:spacing w:val="-4"/>
          <w:w w:val="105"/>
        </w:rPr>
        <w:t>matter.</w:t>
      </w:r>
      <w:r>
        <w:rPr>
          <w:spacing w:val="-4"/>
          <w:w w:val="105"/>
          <w:position w:val="7"/>
          <w:sz w:val="12"/>
        </w:rPr>
        <w:t>59</w:t>
      </w:r>
    </w:p>
    <w:p>
      <w:pPr>
        <w:pStyle w:val="ListParagraph"/>
        <w:numPr>
          <w:ilvl w:val="1"/>
          <w:numId w:val="22"/>
        </w:numPr>
        <w:tabs>
          <w:tab w:pos="2381" w:val="left" w:leader="none"/>
          <w:tab w:pos="2382" w:val="left" w:leader="none"/>
        </w:tabs>
        <w:spacing w:line="242" w:lineRule="auto" w:before="123" w:after="0"/>
        <w:ind w:left="2381" w:right="1782" w:hanging="794"/>
        <w:jc w:val="left"/>
        <w:rPr>
          <w:sz w:val="12"/>
        </w:rPr>
      </w:pPr>
      <w:r>
        <w:rPr>
          <w:w w:val="105"/>
          <w:sz w:val="21"/>
        </w:rPr>
        <w:t>Views on the idea </w:t>
      </w:r>
      <w:r>
        <w:rPr>
          <w:spacing w:val="-3"/>
          <w:w w:val="105"/>
          <w:sz w:val="21"/>
        </w:rPr>
        <w:t>were </w:t>
      </w:r>
      <w:r>
        <w:rPr>
          <w:w w:val="105"/>
          <w:sz w:val="21"/>
        </w:rPr>
        <w:t>divided. Some </w:t>
      </w:r>
      <w:r>
        <w:rPr>
          <w:spacing w:val="-3"/>
          <w:w w:val="105"/>
          <w:sz w:val="21"/>
        </w:rPr>
        <w:t>submissions </w:t>
      </w:r>
      <w:r>
        <w:rPr>
          <w:w w:val="105"/>
          <w:sz w:val="21"/>
        </w:rPr>
        <w:t>supported </w:t>
      </w:r>
      <w:r>
        <w:rPr>
          <w:spacing w:val="-3"/>
          <w:w w:val="105"/>
          <w:sz w:val="21"/>
        </w:rPr>
        <w:t>hearings </w:t>
      </w:r>
      <w:r>
        <w:rPr>
          <w:w w:val="105"/>
          <w:sz w:val="21"/>
        </w:rPr>
        <w:t>on the papers as a </w:t>
      </w:r>
      <w:r>
        <w:rPr>
          <w:spacing w:val="-3"/>
          <w:w w:val="105"/>
          <w:sz w:val="21"/>
        </w:rPr>
        <w:t>way to reduce </w:t>
      </w:r>
      <w:r>
        <w:rPr>
          <w:w w:val="105"/>
          <w:sz w:val="21"/>
        </w:rPr>
        <w:t>costs and </w:t>
      </w:r>
      <w:r>
        <w:rPr>
          <w:spacing w:val="-3"/>
          <w:w w:val="105"/>
          <w:sz w:val="21"/>
        </w:rPr>
        <w:t>improve accessibility </w:t>
      </w:r>
      <w:r>
        <w:rPr>
          <w:w w:val="105"/>
          <w:sz w:val="21"/>
        </w:rPr>
        <w:t>of the statutory </w:t>
      </w:r>
      <w:r>
        <w:rPr>
          <w:spacing w:val="-3"/>
          <w:w w:val="105"/>
          <w:sz w:val="21"/>
        </w:rPr>
        <w:t>wills procedure.</w:t>
      </w:r>
      <w:r>
        <w:rPr>
          <w:spacing w:val="-3"/>
          <w:w w:val="105"/>
          <w:position w:val="7"/>
          <w:sz w:val="12"/>
        </w:rPr>
        <w:t>60 </w:t>
      </w:r>
      <w:r>
        <w:rPr>
          <w:w w:val="105"/>
          <w:sz w:val="21"/>
        </w:rPr>
        <w:t>The </w:t>
      </w:r>
      <w:r>
        <w:rPr>
          <w:spacing w:val="-4"/>
          <w:w w:val="105"/>
          <w:sz w:val="21"/>
        </w:rPr>
        <w:t>Commercial </w:t>
      </w:r>
      <w:r>
        <w:rPr>
          <w:w w:val="105"/>
          <w:sz w:val="21"/>
        </w:rPr>
        <w:t>Bar Association did </w:t>
      </w:r>
      <w:r>
        <w:rPr>
          <w:spacing w:val="-2"/>
          <w:w w:val="105"/>
          <w:sz w:val="21"/>
        </w:rPr>
        <w:t>not </w:t>
      </w:r>
      <w:r>
        <w:rPr>
          <w:w w:val="105"/>
          <w:sz w:val="21"/>
        </w:rPr>
        <w:t>support </w:t>
      </w:r>
      <w:r>
        <w:rPr>
          <w:spacing w:val="-3"/>
          <w:w w:val="105"/>
          <w:sz w:val="21"/>
        </w:rPr>
        <w:t>hearings </w:t>
      </w:r>
      <w:r>
        <w:rPr>
          <w:w w:val="105"/>
          <w:sz w:val="21"/>
        </w:rPr>
        <w:t>on the papers and was </w:t>
      </w:r>
      <w:r>
        <w:rPr>
          <w:spacing w:val="-3"/>
          <w:w w:val="105"/>
          <w:sz w:val="21"/>
        </w:rPr>
        <w:t>concerned that justice </w:t>
      </w:r>
      <w:r>
        <w:rPr>
          <w:w w:val="105"/>
          <w:sz w:val="21"/>
        </w:rPr>
        <w:t>should be seen </w:t>
      </w:r>
      <w:r>
        <w:rPr>
          <w:spacing w:val="-3"/>
          <w:w w:val="105"/>
          <w:sz w:val="21"/>
        </w:rPr>
        <w:t>to </w:t>
      </w:r>
      <w:r>
        <w:rPr>
          <w:w w:val="105"/>
          <w:sz w:val="21"/>
        </w:rPr>
        <w:t>be done in open </w:t>
      </w:r>
      <w:r>
        <w:rPr>
          <w:spacing w:val="-3"/>
          <w:w w:val="105"/>
          <w:sz w:val="21"/>
        </w:rPr>
        <w:t>court.</w:t>
      </w:r>
      <w:r>
        <w:rPr>
          <w:spacing w:val="-3"/>
          <w:w w:val="105"/>
          <w:position w:val="7"/>
          <w:sz w:val="12"/>
        </w:rPr>
        <w:t>61 </w:t>
      </w:r>
      <w:r>
        <w:rPr>
          <w:w w:val="105"/>
          <w:sz w:val="21"/>
        </w:rPr>
        <w:t>Moores Legal </w:t>
      </w:r>
      <w:r>
        <w:rPr>
          <w:spacing w:val="-3"/>
          <w:w w:val="105"/>
          <w:sz w:val="21"/>
        </w:rPr>
        <w:t>preferred </w:t>
      </w:r>
      <w:r>
        <w:rPr>
          <w:w w:val="105"/>
          <w:sz w:val="21"/>
        </w:rPr>
        <w:t>the idea of </w:t>
      </w:r>
      <w:r>
        <w:rPr>
          <w:spacing w:val="-3"/>
          <w:w w:val="105"/>
          <w:sz w:val="21"/>
        </w:rPr>
        <w:t>hearings </w:t>
      </w:r>
      <w:r>
        <w:rPr>
          <w:w w:val="105"/>
          <w:sz w:val="21"/>
        </w:rPr>
        <w:t>on the papers in the </w:t>
      </w:r>
      <w:r>
        <w:rPr>
          <w:spacing w:val="-3"/>
          <w:w w:val="105"/>
          <w:sz w:val="21"/>
        </w:rPr>
        <w:t>Supreme Court to </w:t>
      </w:r>
      <w:r>
        <w:rPr>
          <w:w w:val="105"/>
          <w:sz w:val="21"/>
        </w:rPr>
        <w:t>the idea of </w:t>
      </w:r>
      <w:r>
        <w:rPr>
          <w:spacing w:val="-3"/>
          <w:w w:val="105"/>
          <w:sz w:val="21"/>
        </w:rPr>
        <w:t>referring </w:t>
      </w:r>
      <w:r>
        <w:rPr>
          <w:w w:val="105"/>
          <w:sz w:val="21"/>
        </w:rPr>
        <w:t>the power </w:t>
      </w:r>
      <w:r>
        <w:rPr>
          <w:spacing w:val="-3"/>
          <w:w w:val="105"/>
          <w:sz w:val="21"/>
        </w:rPr>
        <w:t>to determine </w:t>
      </w:r>
      <w:r>
        <w:rPr>
          <w:w w:val="105"/>
          <w:sz w:val="21"/>
        </w:rPr>
        <w:t>statutory </w:t>
      </w:r>
      <w:r>
        <w:rPr>
          <w:spacing w:val="-3"/>
          <w:w w:val="105"/>
          <w:sz w:val="21"/>
        </w:rPr>
        <w:t>wills </w:t>
      </w:r>
      <w:r>
        <w:rPr>
          <w:w w:val="105"/>
          <w:sz w:val="21"/>
        </w:rPr>
        <w:t>matters </w:t>
      </w:r>
      <w:r>
        <w:rPr>
          <w:spacing w:val="-3"/>
          <w:w w:val="105"/>
          <w:sz w:val="21"/>
        </w:rPr>
        <w:t>to</w:t>
      </w:r>
      <w:r>
        <w:rPr>
          <w:spacing w:val="30"/>
          <w:w w:val="105"/>
          <w:sz w:val="21"/>
        </w:rPr>
        <w:t> </w:t>
      </w:r>
      <w:r>
        <w:rPr>
          <w:spacing w:val="-6"/>
          <w:w w:val="105"/>
          <w:sz w:val="21"/>
        </w:rPr>
        <w:t>VCAT.</w:t>
      </w:r>
      <w:r>
        <w:rPr>
          <w:spacing w:val="-6"/>
          <w:w w:val="105"/>
          <w:position w:val="7"/>
          <w:sz w:val="12"/>
        </w:rPr>
        <w:t>62</w:t>
      </w:r>
    </w:p>
    <w:p>
      <w:pPr>
        <w:pStyle w:val="ListParagraph"/>
        <w:numPr>
          <w:ilvl w:val="1"/>
          <w:numId w:val="22"/>
        </w:numPr>
        <w:tabs>
          <w:tab w:pos="2381" w:val="left" w:leader="none"/>
          <w:tab w:pos="2382" w:val="left" w:leader="none"/>
        </w:tabs>
        <w:spacing w:line="240" w:lineRule="auto" w:before="127" w:after="0"/>
        <w:ind w:left="2381" w:right="0" w:hanging="794"/>
        <w:jc w:val="left"/>
        <w:rPr>
          <w:sz w:val="21"/>
        </w:rPr>
      </w:pPr>
      <w:r>
        <w:rPr>
          <w:w w:val="105"/>
          <w:sz w:val="21"/>
        </w:rPr>
        <w:t>The </w:t>
      </w:r>
      <w:r>
        <w:rPr>
          <w:spacing w:val="-3"/>
          <w:w w:val="105"/>
          <w:sz w:val="21"/>
        </w:rPr>
        <w:t>Supreme Court noted that hearings </w:t>
      </w:r>
      <w:r>
        <w:rPr>
          <w:w w:val="105"/>
          <w:sz w:val="21"/>
        </w:rPr>
        <w:t>on the</w:t>
      </w:r>
      <w:r>
        <w:rPr>
          <w:spacing w:val="6"/>
          <w:w w:val="105"/>
          <w:sz w:val="21"/>
        </w:rPr>
        <w:t> </w:t>
      </w:r>
      <w:r>
        <w:rPr>
          <w:w w:val="105"/>
          <w:sz w:val="21"/>
        </w:rPr>
        <w:t>papers:</w:t>
      </w:r>
    </w:p>
    <w:p>
      <w:pPr>
        <w:pStyle w:val="ListParagraph"/>
        <w:numPr>
          <w:ilvl w:val="2"/>
          <w:numId w:val="22"/>
        </w:numPr>
        <w:tabs>
          <w:tab w:pos="2721" w:val="left" w:leader="none"/>
          <w:tab w:pos="2722" w:val="left" w:leader="none"/>
        </w:tabs>
        <w:spacing w:line="242" w:lineRule="auto" w:before="123" w:after="0"/>
        <w:ind w:left="2721" w:right="2047" w:hanging="340"/>
        <w:jc w:val="left"/>
        <w:rPr>
          <w:sz w:val="21"/>
        </w:rPr>
      </w:pPr>
      <w:r>
        <w:rPr>
          <w:spacing w:val="-3"/>
          <w:sz w:val="21"/>
        </w:rPr>
        <w:t>may </w:t>
      </w:r>
      <w:r>
        <w:rPr>
          <w:spacing w:val="-2"/>
          <w:sz w:val="21"/>
        </w:rPr>
        <w:t>not </w:t>
      </w:r>
      <w:r>
        <w:rPr>
          <w:sz w:val="21"/>
        </w:rPr>
        <w:t>be sufficient </w:t>
      </w:r>
      <w:r>
        <w:rPr>
          <w:spacing w:val="-3"/>
          <w:sz w:val="21"/>
        </w:rPr>
        <w:t>to </w:t>
      </w:r>
      <w:r>
        <w:rPr>
          <w:sz w:val="21"/>
        </w:rPr>
        <w:t>satisfy the </w:t>
      </w:r>
      <w:r>
        <w:rPr>
          <w:spacing w:val="-3"/>
          <w:sz w:val="21"/>
        </w:rPr>
        <w:t>Court that </w:t>
      </w:r>
      <w:r>
        <w:rPr>
          <w:sz w:val="21"/>
        </w:rPr>
        <w:t>the </w:t>
      </w:r>
      <w:r>
        <w:rPr>
          <w:spacing w:val="-3"/>
          <w:sz w:val="21"/>
        </w:rPr>
        <w:t>criteria are </w:t>
      </w:r>
      <w:r>
        <w:rPr>
          <w:sz w:val="21"/>
        </w:rPr>
        <w:t>met and </w:t>
      </w:r>
      <w:r>
        <w:rPr>
          <w:spacing w:val="-3"/>
          <w:sz w:val="21"/>
        </w:rPr>
        <w:t>all relevant </w:t>
      </w:r>
      <w:r>
        <w:rPr>
          <w:sz w:val="21"/>
        </w:rPr>
        <w:t>interests </w:t>
      </w:r>
      <w:r>
        <w:rPr>
          <w:spacing w:val="-3"/>
          <w:sz w:val="21"/>
        </w:rPr>
        <w:t>are</w:t>
      </w:r>
      <w:r>
        <w:rPr>
          <w:spacing w:val="15"/>
          <w:sz w:val="21"/>
        </w:rPr>
        <w:t> </w:t>
      </w:r>
      <w:r>
        <w:rPr>
          <w:sz w:val="21"/>
        </w:rPr>
        <w:t>protected</w:t>
      </w:r>
    </w:p>
    <w:p>
      <w:pPr>
        <w:pStyle w:val="ListParagraph"/>
        <w:numPr>
          <w:ilvl w:val="2"/>
          <w:numId w:val="22"/>
        </w:numPr>
        <w:tabs>
          <w:tab w:pos="2721" w:val="left" w:leader="none"/>
          <w:tab w:pos="2722" w:val="left" w:leader="none"/>
        </w:tabs>
        <w:spacing w:line="240" w:lineRule="auto" w:before="123" w:after="0"/>
        <w:ind w:left="2721" w:right="0" w:hanging="340"/>
        <w:jc w:val="left"/>
        <w:rPr>
          <w:sz w:val="12"/>
        </w:rPr>
      </w:pPr>
      <w:r>
        <w:rPr>
          <w:w w:val="105"/>
          <w:sz w:val="21"/>
        </w:rPr>
        <w:t>would </w:t>
      </w:r>
      <w:r>
        <w:rPr>
          <w:spacing w:val="-2"/>
          <w:w w:val="105"/>
          <w:sz w:val="21"/>
        </w:rPr>
        <w:t>not </w:t>
      </w:r>
      <w:r>
        <w:rPr>
          <w:spacing w:val="-3"/>
          <w:w w:val="105"/>
          <w:sz w:val="21"/>
        </w:rPr>
        <w:t>allow for greater </w:t>
      </w:r>
      <w:r>
        <w:rPr>
          <w:w w:val="105"/>
          <w:sz w:val="21"/>
        </w:rPr>
        <w:t>participation of the </w:t>
      </w:r>
      <w:r>
        <w:rPr>
          <w:spacing w:val="-3"/>
          <w:w w:val="105"/>
          <w:sz w:val="21"/>
        </w:rPr>
        <w:t>incapacitated</w:t>
      </w:r>
      <w:r>
        <w:rPr>
          <w:spacing w:val="-1"/>
          <w:w w:val="105"/>
          <w:sz w:val="21"/>
        </w:rPr>
        <w:t> </w:t>
      </w:r>
      <w:r>
        <w:rPr>
          <w:w w:val="105"/>
          <w:sz w:val="21"/>
        </w:rPr>
        <w:t>person.</w:t>
      </w:r>
      <w:r>
        <w:rPr>
          <w:w w:val="105"/>
          <w:position w:val="7"/>
          <w:sz w:val="12"/>
        </w:rPr>
        <w:t>63</w:t>
      </w:r>
    </w:p>
    <w:p>
      <w:pPr>
        <w:pStyle w:val="ListParagraph"/>
        <w:numPr>
          <w:ilvl w:val="1"/>
          <w:numId w:val="22"/>
        </w:numPr>
        <w:tabs>
          <w:tab w:pos="2381" w:val="left" w:leader="none"/>
        </w:tabs>
        <w:spacing w:line="242" w:lineRule="auto" w:before="123" w:after="0"/>
        <w:ind w:left="2381" w:right="1642" w:hanging="794"/>
        <w:jc w:val="both"/>
        <w:rPr>
          <w:sz w:val="21"/>
        </w:rPr>
      </w:pPr>
      <w:r>
        <w:rPr>
          <w:w w:val="105"/>
          <w:sz w:val="21"/>
        </w:rPr>
        <w:t>The </w:t>
      </w:r>
      <w:r>
        <w:rPr>
          <w:spacing w:val="-3"/>
          <w:w w:val="105"/>
          <w:sz w:val="21"/>
        </w:rPr>
        <w:t>Commission </w:t>
      </w:r>
      <w:r>
        <w:rPr>
          <w:w w:val="105"/>
          <w:sz w:val="21"/>
        </w:rPr>
        <w:t>is of the view </w:t>
      </w:r>
      <w:r>
        <w:rPr>
          <w:spacing w:val="-3"/>
          <w:w w:val="105"/>
          <w:sz w:val="21"/>
        </w:rPr>
        <w:t>that hearings </w:t>
      </w:r>
      <w:r>
        <w:rPr>
          <w:w w:val="105"/>
          <w:sz w:val="21"/>
        </w:rPr>
        <w:t>on the papers </w:t>
      </w:r>
      <w:r>
        <w:rPr>
          <w:spacing w:val="-3"/>
          <w:w w:val="105"/>
          <w:sz w:val="21"/>
        </w:rPr>
        <w:t>for </w:t>
      </w:r>
      <w:r>
        <w:rPr>
          <w:w w:val="105"/>
          <w:sz w:val="21"/>
        </w:rPr>
        <w:t>unopposed matters would </w:t>
      </w:r>
      <w:r>
        <w:rPr>
          <w:spacing w:val="-2"/>
          <w:w w:val="105"/>
          <w:sz w:val="21"/>
        </w:rPr>
        <w:t>not</w:t>
      </w:r>
      <w:r>
        <w:rPr>
          <w:spacing w:val="-12"/>
          <w:w w:val="105"/>
          <w:sz w:val="21"/>
        </w:rPr>
        <w:t> </w:t>
      </w:r>
      <w:r>
        <w:rPr>
          <w:w w:val="105"/>
          <w:sz w:val="21"/>
        </w:rPr>
        <w:t>necessarily</w:t>
      </w:r>
      <w:r>
        <w:rPr>
          <w:spacing w:val="-12"/>
          <w:w w:val="105"/>
          <w:sz w:val="21"/>
        </w:rPr>
        <w:t> </w:t>
      </w:r>
      <w:r>
        <w:rPr>
          <w:spacing w:val="-4"/>
          <w:w w:val="105"/>
          <w:sz w:val="21"/>
        </w:rPr>
        <w:t>make</w:t>
      </w:r>
      <w:r>
        <w:rPr>
          <w:spacing w:val="-12"/>
          <w:w w:val="105"/>
          <w:sz w:val="21"/>
        </w:rPr>
        <w:t> </w:t>
      </w:r>
      <w:r>
        <w:rPr>
          <w:w w:val="105"/>
          <w:sz w:val="21"/>
        </w:rPr>
        <w:t>the</w:t>
      </w:r>
      <w:r>
        <w:rPr>
          <w:spacing w:val="-12"/>
          <w:w w:val="105"/>
          <w:sz w:val="21"/>
        </w:rPr>
        <w:t> </w:t>
      </w:r>
      <w:r>
        <w:rPr>
          <w:w w:val="105"/>
          <w:sz w:val="21"/>
        </w:rPr>
        <w:t>statutory</w:t>
      </w:r>
      <w:r>
        <w:rPr>
          <w:spacing w:val="-12"/>
          <w:w w:val="105"/>
          <w:sz w:val="21"/>
        </w:rPr>
        <w:t> </w:t>
      </w:r>
      <w:r>
        <w:rPr>
          <w:spacing w:val="-3"/>
          <w:w w:val="105"/>
          <w:sz w:val="21"/>
        </w:rPr>
        <w:t>will</w:t>
      </w:r>
      <w:r>
        <w:rPr>
          <w:spacing w:val="-12"/>
          <w:w w:val="105"/>
          <w:sz w:val="21"/>
        </w:rPr>
        <w:t> </w:t>
      </w:r>
      <w:r>
        <w:rPr>
          <w:spacing w:val="-3"/>
          <w:w w:val="105"/>
          <w:sz w:val="21"/>
        </w:rPr>
        <w:t>procedure</w:t>
      </w:r>
      <w:r>
        <w:rPr>
          <w:spacing w:val="-12"/>
          <w:w w:val="105"/>
          <w:sz w:val="21"/>
        </w:rPr>
        <w:t> </w:t>
      </w:r>
      <w:r>
        <w:rPr>
          <w:w w:val="105"/>
          <w:sz w:val="21"/>
        </w:rPr>
        <w:t>more</w:t>
      </w:r>
      <w:r>
        <w:rPr>
          <w:spacing w:val="-12"/>
          <w:w w:val="105"/>
          <w:sz w:val="21"/>
        </w:rPr>
        <w:t> </w:t>
      </w:r>
      <w:r>
        <w:rPr>
          <w:spacing w:val="-3"/>
          <w:w w:val="105"/>
          <w:sz w:val="21"/>
        </w:rPr>
        <w:t>accessible.</w:t>
      </w:r>
      <w:r>
        <w:rPr>
          <w:spacing w:val="-12"/>
          <w:w w:val="105"/>
          <w:sz w:val="21"/>
        </w:rPr>
        <w:t> </w:t>
      </w:r>
      <w:r>
        <w:rPr>
          <w:w w:val="105"/>
          <w:sz w:val="21"/>
        </w:rPr>
        <w:t>While</w:t>
      </w:r>
      <w:r>
        <w:rPr>
          <w:spacing w:val="-12"/>
          <w:w w:val="105"/>
          <w:sz w:val="21"/>
        </w:rPr>
        <w:t> </w:t>
      </w:r>
      <w:r>
        <w:rPr>
          <w:w w:val="105"/>
          <w:sz w:val="21"/>
        </w:rPr>
        <w:t>it</w:t>
      </w:r>
      <w:r>
        <w:rPr>
          <w:spacing w:val="-12"/>
          <w:w w:val="105"/>
          <w:sz w:val="21"/>
        </w:rPr>
        <w:t> </w:t>
      </w:r>
      <w:r>
        <w:rPr>
          <w:w w:val="105"/>
          <w:sz w:val="21"/>
        </w:rPr>
        <w:t>is</w:t>
      </w:r>
      <w:r>
        <w:rPr>
          <w:spacing w:val="-12"/>
          <w:w w:val="105"/>
          <w:sz w:val="21"/>
        </w:rPr>
        <w:t> </w:t>
      </w:r>
      <w:r>
        <w:rPr>
          <w:w w:val="105"/>
          <w:sz w:val="21"/>
        </w:rPr>
        <w:t>possible</w:t>
      </w:r>
      <w:r>
        <w:rPr>
          <w:spacing w:val="-12"/>
          <w:w w:val="105"/>
          <w:sz w:val="21"/>
        </w:rPr>
        <w:t> </w:t>
      </w:r>
      <w:r>
        <w:rPr>
          <w:spacing w:val="-3"/>
          <w:w w:val="105"/>
          <w:sz w:val="21"/>
        </w:rPr>
        <w:t>that </w:t>
      </w:r>
      <w:r>
        <w:rPr>
          <w:w w:val="105"/>
          <w:sz w:val="21"/>
        </w:rPr>
        <w:t>costs </w:t>
      </w:r>
      <w:r>
        <w:rPr>
          <w:spacing w:val="-3"/>
          <w:w w:val="105"/>
          <w:sz w:val="21"/>
        </w:rPr>
        <w:t>may </w:t>
      </w:r>
      <w:r>
        <w:rPr>
          <w:w w:val="105"/>
          <w:sz w:val="21"/>
        </w:rPr>
        <w:t>be </w:t>
      </w:r>
      <w:r>
        <w:rPr>
          <w:spacing w:val="-3"/>
          <w:w w:val="105"/>
          <w:sz w:val="21"/>
        </w:rPr>
        <w:t>reduced, </w:t>
      </w:r>
      <w:r>
        <w:rPr>
          <w:w w:val="105"/>
          <w:sz w:val="21"/>
        </w:rPr>
        <w:t>the disadvantages </w:t>
      </w:r>
      <w:r>
        <w:rPr>
          <w:spacing w:val="-3"/>
          <w:w w:val="105"/>
          <w:sz w:val="21"/>
        </w:rPr>
        <w:t>outlined </w:t>
      </w:r>
      <w:r>
        <w:rPr>
          <w:w w:val="105"/>
          <w:sz w:val="21"/>
        </w:rPr>
        <w:t>by the </w:t>
      </w:r>
      <w:r>
        <w:rPr>
          <w:spacing w:val="-3"/>
          <w:w w:val="105"/>
          <w:sz w:val="21"/>
        </w:rPr>
        <w:t>Supreme Court are </w:t>
      </w:r>
      <w:r>
        <w:rPr>
          <w:w w:val="105"/>
          <w:sz w:val="21"/>
        </w:rPr>
        <w:t>sufficient </w:t>
      </w:r>
      <w:r>
        <w:rPr>
          <w:spacing w:val="-3"/>
          <w:w w:val="105"/>
          <w:sz w:val="21"/>
        </w:rPr>
        <w:t>to </w:t>
      </w:r>
      <w:r>
        <w:rPr>
          <w:w w:val="105"/>
          <w:sz w:val="21"/>
        </w:rPr>
        <w:t>dissuade the </w:t>
      </w:r>
      <w:r>
        <w:rPr>
          <w:spacing w:val="-3"/>
          <w:w w:val="105"/>
          <w:sz w:val="21"/>
        </w:rPr>
        <w:t>Commission from recommending </w:t>
      </w:r>
      <w:r>
        <w:rPr>
          <w:w w:val="105"/>
          <w:sz w:val="21"/>
        </w:rPr>
        <w:t>a </w:t>
      </w:r>
      <w:r>
        <w:rPr>
          <w:spacing w:val="-3"/>
          <w:w w:val="105"/>
          <w:sz w:val="21"/>
        </w:rPr>
        <w:t>change </w:t>
      </w:r>
      <w:r>
        <w:rPr>
          <w:w w:val="105"/>
          <w:sz w:val="21"/>
        </w:rPr>
        <w:t>of </w:t>
      </w:r>
      <w:r>
        <w:rPr>
          <w:spacing w:val="-3"/>
          <w:w w:val="105"/>
          <w:sz w:val="21"/>
        </w:rPr>
        <w:t>practice.</w:t>
      </w:r>
    </w:p>
    <w:p>
      <w:pPr>
        <w:pStyle w:val="BodyText"/>
        <w:rPr>
          <w:sz w:val="25"/>
        </w:rPr>
      </w:pPr>
    </w:p>
    <w:p>
      <w:pPr>
        <w:pStyle w:val="Heading5"/>
        <w:spacing w:before="1"/>
      </w:pPr>
      <w:r>
        <w:rPr>
          <w:w w:val="110"/>
        </w:rPr>
        <w:t>Costs rules</w:t>
      </w:r>
    </w:p>
    <w:p>
      <w:pPr>
        <w:pStyle w:val="ListParagraph"/>
        <w:numPr>
          <w:ilvl w:val="1"/>
          <w:numId w:val="22"/>
        </w:numPr>
        <w:tabs>
          <w:tab w:pos="2380" w:val="left" w:leader="none"/>
          <w:tab w:pos="2381" w:val="left" w:leader="none"/>
        </w:tabs>
        <w:spacing w:line="242" w:lineRule="auto" w:before="137" w:after="0"/>
        <w:ind w:left="2381" w:right="1725" w:hanging="794"/>
        <w:jc w:val="left"/>
        <w:rPr>
          <w:sz w:val="21"/>
        </w:rPr>
      </w:pPr>
      <w:r>
        <w:rPr>
          <w:w w:val="105"/>
          <w:sz w:val="21"/>
        </w:rPr>
        <w:t>There </w:t>
      </w:r>
      <w:r>
        <w:rPr>
          <w:spacing w:val="-3"/>
          <w:w w:val="105"/>
          <w:sz w:val="21"/>
        </w:rPr>
        <w:t>are </w:t>
      </w:r>
      <w:r>
        <w:rPr>
          <w:w w:val="105"/>
          <w:sz w:val="21"/>
        </w:rPr>
        <w:t>no costs </w:t>
      </w:r>
      <w:r>
        <w:rPr>
          <w:spacing w:val="-3"/>
          <w:w w:val="105"/>
          <w:sz w:val="21"/>
        </w:rPr>
        <w:t>provisions </w:t>
      </w:r>
      <w:r>
        <w:rPr>
          <w:w w:val="105"/>
          <w:sz w:val="21"/>
        </w:rPr>
        <w:t>in the </w:t>
      </w:r>
      <w:r>
        <w:rPr>
          <w:spacing w:val="-3"/>
          <w:w w:val="105"/>
          <w:sz w:val="21"/>
        </w:rPr>
        <w:t>Wills </w:t>
      </w:r>
      <w:r>
        <w:rPr>
          <w:w w:val="105"/>
          <w:sz w:val="21"/>
        </w:rPr>
        <w:t>Act or the </w:t>
      </w:r>
      <w:r>
        <w:rPr>
          <w:spacing w:val="-3"/>
          <w:w w:val="105"/>
          <w:sz w:val="21"/>
        </w:rPr>
        <w:t>Court </w:t>
      </w:r>
      <w:r>
        <w:rPr>
          <w:w w:val="105"/>
          <w:sz w:val="21"/>
        </w:rPr>
        <w:t>rules </w:t>
      </w:r>
      <w:r>
        <w:rPr>
          <w:spacing w:val="-3"/>
          <w:w w:val="105"/>
          <w:sz w:val="21"/>
        </w:rPr>
        <w:t>that are </w:t>
      </w:r>
      <w:r>
        <w:rPr>
          <w:w w:val="105"/>
          <w:sz w:val="21"/>
        </w:rPr>
        <w:t>specific </w:t>
      </w:r>
      <w:r>
        <w:rPr>
          <w:spacing w:val="-3"/>
          <w:w w:val="105"/>
          <w:sz w:val="21"/>
        </w:rPr>
        <w:t>to </w:t>
      </w:r>
      <w:r>
        <w:rPr>
          <w:w w:val="105"/>
          <w:sz w:val="21"/>
        </w:rPr>
        <w:t>statutory </w:t>
      </w:r>
      <w:r>
        <w:rPr>
          <w:spacing w:val="-3"/>
          <w:w w:val="105"/>
          <w:sz w:val="21"/>
        </w:rPr>
        <w:t>will applications. </w:t>
      </w:r>
      <w:r>
        <w:rPr>
          <w:w w:val="105"/>
          <w:sz w:val="21"/>
        </w:rPr>
        <w:t>Costs </w:t>
      </w:r>
      <w:r>
        <w:rPr>
          <w:spacing w:val="-3"/>
          <w:w w:val="105"/>
          <w:sz w:val="21"/>
        </w:rPr>
        <w:t>are </w:t>
      </w:r>
      <w:r>
        <w:rPr>
          <w:w w:val="105"/>
          <w:sz w:val="21"/>
        </w:rPr>
        <w:t>in the </w:t>
      </w:r>
      <w:r>
        <w:rPr>
          <w:spacing w:val="-3"/>
          <w:w w:val="105"/>
          <w:sz w:val="21"/>
        </w:rPr>
        <w:t>discretion </w:t>
      </w:r>
      <w:r>
        <w:rPr>
          <w:w w:val="105"/>
          <w:sz w:val="21"/>
        </w:rPr>
        <w:t>of the </w:t>
      </w:r>
      <w:r>
        <w:rPr>
          <w:spacing w:val="-3"/>
          <w:w w:val="105"/>
          <w:sz w:val="21"/>
        </w:rPr>
        <w:t>Court. </w:t>
      </w:r>
      <w:r>
        <w:rPr>
          <w:w w:val="105"/>
          <w:sz w:val="21"/>
        </w:rPr>
        <w:t>The starting point </w:t>
      </w:r>
      <w:r>
        <w:rPr>
          <w:spacing w:val="-3"/>
          <w:w w:val="105"/>
          <w:sz w:val="21"/>
        </w:rPr>
        <w:t>for determining</w:t>
      </w:r>
      <w:r>
        <w:rPr>
          <w:spacing w:val="-5"/>
          <w:w w:val="105"/>
          <w:sz w:val="21"/>
        </w:rPr>
        <w:t> </w:t>
      </w:r>
      <w:r>
        <w:rPr>
          <w:w w:val="105"/>
          <w:sz w:val="21"/>
        </w:rPr>
        <w:t>who</w:t>
      </w:r>
      <w:r>
        <w:rPr>
          <w:spacing w:val="-4"/>
          <w:w w:val="105"/>
          <w:sz w:val="21"/>
        </w:rPr>
        <w:t> </w:t>
      </w:r>
      <w:r>
        <w:rPr>
          <w:spacing w:val="-3"/>
          <w:w w:val="105"/>
          <w:sz w:val="21"/>
        </w:rPr>
        <w:t>will</w:t>
      </w:r>
      <w:r>
        <w:rPr>
          <w:spacing w:val="-4"/>
          <w:w w:val="105"/>
          <w:sz w:val="21"/>
        </w:rPr>
        <w:t> </w:t>
      </w:r>
      <w:r>
        <w:rPr>
          <w:spacing w:val="-2"/>
          <w:w w:val="105"/>
          <w:sz w:val="21"/>
        </w:rPr>
        <w:t>pay</w:t>
      </w:r>
      <w:r>
        <w:rPr>
          <w:spacing w:val="-4"/>
          <w:w w:val="105"/>
          <w:sz w:val="21"/>
        </w:rPr>
        <w:t> </w:t>
      </w:r>
      <w:r>
        <w:rPr>
          <w:w w:val="105"/>
          <w:sz w:val="21"/>
        </w:rPr>
        <w:t>the</w:t>
      </w:r>
      <w:r>
        <w:rPr>
          <w:spacing w:val="-4"/>
          <w:w w:val="105"/>
          <w:sz w:val="21"/>
        </w:rPr>
        <w:t> </w:t>
      </w:r>
      <w:r>
        <w:rPr>
          <w:w w:val="105"/>
          <w:sz w:val="21"/>
        </w:rPr>
        <w:t>costs</w:t>
      </w:r>
      <w:r>
        <w:rPr>
          <w:spacing w:val="-4"/>
          <w:w w:val="105"/>
          <w:sz w:val="21"/>
        </w:rPr>
        <w:t> </w:t>
      </w:r>
      <w:r>
        <w:rPr>
          <w:w w:val="105"/>
          <w:sz w:val="21"/>
        </w:rPr>
        <w:t>of</w:t>
      </w:r>
      <w:r>
        <w:rPr>
          <w:spacing w:val="-5"/>
          <w:w w:val="105"/>
          <w:sz w:val="21"/>
        </w:rPr>
        <w:t> </w:t>
      </w:r>
      <w:r>
        <w:rPr>
          <w:w w:val="105"/>
          <w:sz w:val="21"/>
        </w:rPr>
        <w:t>an</w:t>
      </w:r>
      <w:r>
        <w:rPr>
          <w:spacing w:val="-4"/>
          <w:w w:val="105"/>
          <w:sz w:val="21"/>
        </w:rPr>
        <w:t> </w:t>
      </w:r>
      <w:r>
        <w:rPr>
          <w:w w:val="105"/>
          <w:sz w:val="21"/>
        </w:rPr>
        <w:t>application</w:t>
      </w:r>
      <w:r>
        <w:rPr>
          <w:spacing w:val="-4"/>
          <w:w w:val="105"/>
          <w:sz w:val="21"/>
        </w:rPr>
        <w:t> </w:t>
      </w:r>
      <w:r>
        <w:rPr>
          <w:w w:val="105"/>
          <w:sz w:val="21"/>
        </w:rPr>
        <w:t>is</w:t>
      </w:r>
      <w:r>
        <w:rPr>
          <w:spacing w:val="-4"/>
          <w:w w:val="105"/>
          <w:sz w:val="21"/>
        </w:rPr>
        <w:t> </w:t>
      </w:r>
      <w:r>
        <w:rPr>
          <w:w w:val="105"/>
          <w:sz w:val="21"/>
        </w:rPr>
        <w:t>the</w:t>
      </w:r>
      <w:r>
        <w:rPr>
          <w:spacing w:val="-4"/>
          <w:w w:val="105"/>
          <w:sz w:val="21"/>
        </w:rPr>
        <w:t> </w:t>
      </w:r>
      <w:r>
        <w:rPr>
          <w:w w:val="105"/>
          <w:sz w:val="21"/>
        </w:rPr>
        <w:t>general</w:t>
      </w:r>
      <w:r>
        <w:rPr>
          <w:spacing w:val="-4"/>
          <w:w w:val="105"/>
          <w:sz w:val="21"/>
        </w:rPr>
        <w:t> </w:t>
      </w:r>
      <w:r>
        <w:rPr>
          <w:w w:val="105"/>
          <w:sz w:val="21"/>
        </w:rPr>
        <w:t>rule</w:t>
      </w:r>
      <w:r>
        <w:rPr>
          <w:spacing w:val="-5"/>
          <w:w w:val="105"/>
          <w:sz w:val="21"/>
        </w:rPr>
        <w:t> </w:t>
      </w:r>
      <w:r>
        <w:rPr>
          <w:spacing w:val="-3"/>
          <w:w w:val="105"/>
          <w:sz w:val="21"/>
        </w:rPr>
        <w:t>that</w:t>
      </w:r>
      <w:r>
        <w:rPr>
          <w:spacing w:val="-4"/>
          <w:w w:val="105"/>
          <w:sz w:val="21"/>
        </w:rPr>
        <w:t> </w:t>
      </w:r>
      <w:r>
        <w:rPr>
          <w:spacing w:val="-3"/>
          <w:w w:val="105"/>
          <w:sz w:val="21"/>
        </w:rPr>
        <w:t>‘costs</w:t>
      </w:r>
      <w:r>
        <w:rPr>
          <w:spacing w:val="-4"/>
          <w:w w:val="105"/>
          <w:sz w:val="21"/>
        </w:rPr>
        <w:t> </w:t>
      </w:r>
      <w:r>
        <w:rPr>
          <w:spacing w:val="-3"/>
          <w:w w:val="105"/>
          <w:sz w:val="21"/>
        </w:rPr>
        <w:t>follow </w:t>
      </w:r>
      <w:r>
        <w:rPr>
          <w:w w:val="105"/>
          <w:sz w:val="21"/>
        </w:rPr>
        <w:t>the </w:t>
      </w:r>
      <w:r>
        <w:rPr>
          <w:spacing w:val="-5"/>
          <w:w w:val="105"/>
          <w:sz w:val="21"/>
        </w:rPr>
        <w:t>event’, </w:t>
      </w:r>
      <w:r>
        <w:rPr>
          <w:w w:val="105"/>
          <w:sz w:val="21"/>
        </w:rPr>
        <w:t>which </w:t>
      </w:r>
      <w:r>
        <w:rPr>
          <w:spacing w:val="-3"/>
          <w:w w:val="105"/>
          <w:sz w:val="21"/>
        </w:rPr>
        <w:t>means </w:t>
      </w:r>
      <w:r>
        <w:rPr>
          <w:w w:val="105"/>
          <w:sz w:val="21"/>
        </w:rPr>
        <w:t>in effect </w:t>
      </w:r>
      <w:r>
        <w:rPr>
          <w:spacing w:val="-3"/>
          <w:w w:val="105"/>
          <w:sz w:val="21"/>
        </w:rPr>
        <w:t>that </w:t>
      </w:r>
      <w:r>
        <w:rPr>
          <w:w w:val="105"/>
          <w:sz w:val="21"/>
        </w:rPr>
        <w:t>the </w:t>
      </w:r>
      <w:r>
        <w:rPr>
          <w:spacing w:val="-3"/>
          <w:w w:val="105"/>
          <w:sz w:val="21"/>
        </w:rPr>
        <w:t>unsuccessful </w:t>
      </w:r>
      <w:r>
        <w:rPr>
          <w:w w:val="105"/>
          <w:sz w:val="21"/>
        </w:rPr>
        <w:t>party pays their own costs and most of the costs of the </w:t>
      </w:r>
      <w:r>
        <w:rPr>
          <w:spacing w:val="-3"/>
          <w:w w:val="105"/>
          <w:sz w:val="21"/>
        </w:rPr>
        <w:t>successful</w:t>
      </w:r>
      <w:r>
        <w:rPr>
          <w:spacing w:val="31"/>
          <w:w w:val="105"/>
          <w:sz w:val="21"/>
        </w:rPr>
        <w:t> </w:t>
      </w:r>
      <w:r>
        <w:rPr>
          <w:w w:val="105"/>
          <w:sz w:val="21"/>
        </w:rPr>
        <w:t>party.</w:t>
      </w:r>
    </w:p>
    <w:p>
      <w:pPr>
        <w:pStyle w:val="ListParagraph"/>
        <w:numPr>
          <w:ilvl w:val="1"/>
          <w:numId w:val="22"/>
        </w:numPr>
        <w:tabs>
          <w:tab w:pos="2380" w:val="left" w:leader="none"/>
          <w:tab w:pos="2381" w:val="left" w:leader="none"/>
        </w:tabs>
        <w:spacing w:line="242" w:lineRule="auto" w:before="125" w:after="0"/>
        <w:ind w:left="2380" w:right="1750" w:hanging="793"/>
        <w:jc w:val="left"/>
        <w:rPr>
          <w:sz w:val="12"/>
        </w:rPr>
      </w:pPr>
      <w:r>
        <w:rPr>
          <w:spacing w:val="-4"/>
          <w:sz w:val="21"/>
        </w:rPr>
        <w:t>However, </w:t>
      </w:r>
      <w:r>
        <w:rPr>
          <w:sz w:val="21"/>
        </w:rPr>
        <w:t>the operation of this general rule is </w:t>
      </w:r>
      <w:r>
        <w:rPr>
          <w:spacing w:val="-2"/>
          <w:sz w:val="21"/>
        </w:rPr>
        <w:t>not  </w:t>
      </w:r>
      <w:r>
        <w:rPr>
          <w:spacing w:val="-3"/>
          <w:sz w:val="21"/>
        </w:rPr>
        <w:t>clear  </w:t>
      </w:r>
      <w:r>
        <w:rPr>
          <w:sz w:val="21"/>
        </w:rPr>
        <w:t>where a statutory </w:t>
      </w:r>
      <w:r>
        <w:rPr>
          <w:spacing w:val="-3"/>
          <w:sz w:val="21"/>
        </w:rPr>
        <w:t>will</w:t>
      </w:r>
      <w:r>
        <w:rPr>
          <w:spacing w:val="41"/>
          <w:sz w:val="21"/>
        </w:rPr>
        <w:t> </w:t>
      </w:r>
      <w:r>
        <w:rPr>
          <w:sz w:val="21"/>
        </w:rPr>
        <w:t>application is </w:t>
      </w:r>
      <w:r>
        <w:rPr>
          <w:spacing w:val="-3"/>
          <w:sz w:val="21"/>
        </w:rPr>
        <w:t>successful </w:t>
      </w:r>
      <w:r>
        <w:rPr>
          <w:sz w:val="21"/>
        </w:rPr>
        <w:t>but </w:t>
      </w:r>
      <w:r>
        <w:rPr>
          <w:spacing w:val="-2"/>
          <w:sz w:val="21"/>
        </w:rPr>
        <w:t>not </w:t>
      </w:r>
      <w:r>
        <w:rPr>
          <w:spacing w:val="-3"/>
          <w:sz w:val="21"/>
        </w:rPr>
        <w:t>contested.  </w:t>
      </w:r>
      <w:r>
        <w:rPr>
          <w:sz w:val="21"/>
        </w:rPr>
        <w:t>In this </w:t>
      </w:r>
      <w:r>
        <w:rPr>
          <w:spacing w:val="-3"/>
          <w:sz w:val="21"/>
        </w:rPr>
        <w:t>case,</w:t>
      </w:r>
      <w:r>
        <w:rPr>
          <w:spacing w:val="41"/>
          <w:sz w:val="21"/>
        </w:rPr>
        <w:t> </w:t>
      </w:r>
      <w:r>
        <w:rPr>
          <w:sz w:val="21"/>
        </w:rPr>
        <w:t>the costs </w:t>
      </w:r>
      <w:r>
        <w:rPr>
          <w:spacing w:val="-3"/>
          <w:sz w:val="21"/>
        </w:rPr>
        <w:t>are  </w:t>
      </w:r>
      <w:r>
        <w:rPr>
          <w:sz w:val="21"/>
        </w:rPr>
        <w:t>paid either </w:t>
      </w:r>
      <w:r>
        <w:rPr>
          <w:spacing w:val="-3"/>
          <w:sz w:val="21"/>
        </w:rPr>
        <w:t>from  </w:t>
      </w:r>
      <w:r>
        <w:rPr>
          <w:sz w:val="21"/>
        </w:rPr>
        <w:t>the estate of the </w:t>
      </w:r>
      <w:r>
        <w:rPr>
          <w:spacing w:val="-3"/>
          <w:sz w:val="21"/>
        </w:rPr>
        <w:t>incapacitated </w:t>
      </w:r>
      <w:r>
        <w:rPr>
          <w:sz w:val="21"/>
        </w:rPr>
        <w:t>person or by the</w:t>
      </w:r>
      <w:r>
        <w:rPr>
          <w:spacing w:val="11"/>
          <w:sz w:val="21"/>
        </w:rPr>
        <w:t> </w:t>
      </w:r>
      <w:r>
        <w:rPr>
          <w:sz w:val="21"/>
        </w:rPr>
        <w:t>applicant.</w:t>
      </w:r>
      <w:r>
        <w:rPr>
          <w:position w:val="7"/>
          <w:sz w:val="12"/>
        </w:rPr>
        <w:t>64</w:t>
      </w:r>
    </w:p>
    <w:p>
      <w:pPr>
        <w:pStyle w:val="ListParagraph"/>
        <w:numPr>
          <w:ilvl w:val="1"/>
          <w:numId w:val="22"/>
        </w:numPr>
        <w:tabs>
          <w:tab w:pos="2381" w:val="left" w:leader="none"/>
          <w:tab w:pos="2382" w:val="left" w:leader="none"/>
        </w:tabs>
        <w:spacing w:line="242" w:lineRule="auto" w:before="124" w:after="0"/>
        <w:ind w:left="2381" w:right="1833" w:hanging="794"/>
        <w:jc w:val="left"/>
        <w:rPr>
          <w:sz w:val="21"/>
        </w:rPr>
      </w:pPr>
      <w:r>
        <w:rPr>
          <w:w w:val="105"/>
          <w:sz w:val="21"/>
        </w:rPr>
        <w:t>A </w:t>
      </w:r>
      <w:r>
        <w:rPr>
          <w:spacing w:val="-4"/>
          <w:w w:val="105"/>
          <w:sz w:val="21"/>
        </w:rPr>
        <w:t>key </w:t>
      </w:r>
      <w:r>
        <w:rPr>
          <w:spacing w:val="-3"/>
          <w:w w:val="105"/>
          <w:sz w:val="21"/>
        </w:rPr>
        <w:t>difference </w:t>
      </w:r>
      <w:r>
        <w:rPr>
          <w:w w:val="105"/>
          <w:sz w:val="21"/>
        </w:rPr>
        <w:t>in statutory </w:t>
      </w:r>
      <w:r>
        <w:rPr>
          <w:spacing w:val="-3"/>
          <w:w w:val="105"/>
          <w:sz w:val="21"/>
        </w:rPr>
        <w:t>will applications compared to usual succession </w:t>
      </w:r>
      <w:r>
        <w:rPr>
          <w:w w:val="105"/>
          <w:sz w:val="21"/>
        </w:rPr>
        <w:t>law </w:t>
      </w:r>
      <w:r>
        <w:rPr>
          <w:spacing w:val="-3"/>
          <w:w w:val="105"/>
          <w:sz w:val="21"/>
        </w:rPr>
        <w:t>proceedings</w:t>
      </w:r>
      <w:r>
        <w:rPr>
          <w:spacing w:val="-7"/>
          <w:w w:val="105"/>
          <w:sz w:val="21"/>
        </w:rPr>
        <w:t> </w:t>
      </w:r>
      <w:r>
        <w:rPr>
          <w:w w:val="105"/>
          <w:sz w:val="21"/>
        </w:rPr>
        <w:t>is</w:t>
      </w:r>
      <w:r>
        <w:rPr>
          <w:spacing w:val="-7"/>
          <w:w w:val="105"/>
          <w:sz w:val="21"/>
        </w:rPr>
        <w:t> </w:t>
      </w:r>
      <w:r>
        <w:rPr>
          <w:spacing w:val="-3"/>
          <w:w w:val="105"/>
          <w:sz w:val="21"/>
        </w:rPr>
        <w:t>that</w:t>
      </w:r>
      <w:r>
        <w:rPr>
          <w:spacing w:val="-7"/>
          <w:w w:val="105"/>
          <w:sz w:val="21"/>
        </w:rPr>
        <w:t> </w:t>
      </w:r>
      <w:r>
        <w:rPr>
          <w:w w:val="105"/>
          <w:sz w:val="21"/>
        </w:rPr>
        <w:t>the</w:t>
      </w:r>
      <w:r>
        <w:rPr>
          <w:spacing w:val="-7"/>
          <w:w w:val="105"/>
          <w:sz w:val="21"/>
        </w:rPr>
        <w:t> </w:t>
      </w:r>
      <w:r>
        <w:rPr>
          <w:spacing w:val="-3"/>
          <w:w w:val="105"/>
          <w:sz w:val="21"/>
        </w:rPr>
        <w:t>incapacitated</w:t>
      </w:r>
      <w:r>
        <w:rPr>
          <w:spacing w:val="-6"/>
          <w:w w:val="105"/>
          <w:sz w:val="21"/>
        </w:rPr>
        <w:t> </w:t>
      </w:r>
      <w:r>
        <w:rPr>
          <w:w w:val="105"/>
          <w:sz w:val="21"/>
        </w:rPr>
        <w:t>person</w:t>
      </w:r>
      <w:r>
        <w:rPr>
          <w:spacing w:val="-7"/>
          <w:w w:val="105"/>
          <w:sz w:val="21"/>
        </w:rPr>
        <w:t> </w:t>
      </w:r>
      <w:r>
        <w:rPr>
          <w:w w:val="105"/>
          <w:sz w:val="21"/>
        </w:rPr>
        <w:t>is</w:t>
      </w:r>
      <w:r>
        <w:rPr>
          <w:spacing w:val="-7"/>
          <w:w w:val="105"/>
          <w:sz w:val="21"/>
        </w:rPr>
        <w:t> </w:t>
      </w:r>
      <w:r>
        <w:rPr>
          <w:w w:val="105"/>
          <w:sz w:val="21"/>
        </w:rPr>
        <w:t>still</w:t>
      </w:r>
      <w:r>
        <w:rPr>
          <w:spacing w:val="-7"/>
          <w:w w:val="105"/>
          <w:sz w:val="21"/>
        </w:rPr>
        <w:t> </w:t>
      </w:r>
      <w:r>
        <w:rPr>
          <w:spacing w:val="-3"/>
          <w:w w:val="105"/>
          <w:sz w:val="21"/>
        </w:rPr>
        <w:t>alive</w:t>
      </w:r>
      <w:r>
        <w:rPr>
          <w:spacing w:val="-6"/>
          <w:w w:val="105"/>
          <w:sz w:val="21"/>
        </w:rPr>
        <w:t> </w:t>
      </w:r>
      <w:r>
        <w:rPr>
          <w:w w:val="105"/>
          <w:sz w:val="21"/>
        </w:rPr>
        <w:t>and</w:t>
      </w:r>
      <w:r>
        <w:rPr>
          <w:spacing w:val="-7"/>
          <w:w w:val="105"/>
          <w:sz w:val="21"/>
        </w:rPr>
        <w:t> </w:t>
      </w:r>
      <w:r>
        <w:rPr>
          <w:spacing w:val="-2"/>
          <w:w w:val="105"/>
          <w:sz w:val="21"/>
        </w:rPr>
        <w:t>has</w:t>
      </w:r>
      <w:r>
        <w:rPr>
          <w:spacing w:val="-7"/>
          <w:w w:val="105"/>
          <w:sz w:val="21"/>
        </w:rPr>
        <w:t> </w:t>
      </w:r>
      <w:r>
        <w:rPr>
          <w:w w:val="105"/>
          <w:sz w:val="21"/>
        </w:rPr>
        <w:t>care</w:t>
      </w:r>
      <w:r>
        <w:rPr>
          <w:spacing w:val="-7"/>
          <w:w w:val="105"/>
          <w:sz w:val="21"/>
        </w:rPr>
        <w:t> </w:t>
      </w:r>
      <w:r>
        <w:rPr>
          <w:w w:val="105"/>
          <w:sz w:val="21"/>
        </w:rPr>
        <w:t>needs</w:t>
      </w:r>
      <w:r>
        <w:rPr>
          <w:spacing w:val="-6"/>
          <w:w w:val="105"/>
          <w:sz w:val="21"/>
        </w:rPr>
        <w:t> </w:t>
      </w:r>
      <w:r>
        <w:rPr>
          <w:w w:val="105"/>
          <w:sz w:val="21"/>
        </w:rPr>
        <w:t>due</w:t>
      </w:r>
      <w:r>
        <w:rPr>
          <w:spacing w:val="-7"/>
          <w:w w:val="105"/>
          <w:sz w:val="21"/>
        </w:rPr>
        <w:t> </w:t>
      </w:r>
      <w:r>
        <w:rPr>
          <w:spacing w:val="-3"/>
          <w:w w:val="105"/>
          <w:sz w:val="21"/>
        </w:rPr>
        <w:t>to</w:t>
      </w:r>
      <w:r>
        <w:rPr>
          <w:spacing w:val="-7"/>
          <w:w w:val="105"/>
          <w:sz w:val="21"/>
        </w:rPr>
        <w:t> </w:t>
      </w:r>
      <w:r>
        <w:rPr>
          <w:w w:val="105"/>
          <w:sz w:val="21"/>
        </w:rPr>
        <w:t>their lack of </w:t>
      </w:r>
      <w:r>
        <w:rPr>
          <w:spacing w:val="-3"/>
          <w:w w:val="105"/>
          <w:sz w:val="21"/>
        </w:rPr>
        <w:t>capacity. </w:t>
      </w:r>
      <w:r>
        <w:rPr>
          <w:w w:val="105"/>
          <w:sz w:val="21"/>
        </w:rPr>
        <w:t>Any order </w:t>
      </w:r>
      <w:r>
        <w:rPr>
          <w:spacing w:val="-3"/>
          <w:w w:val="105"/>
          <w:sz w:val="21"/>
        </w:rPr>
        <w:t>that </w:t>
      </w:r>
      <w:r>
        <w:rPr>
          <w:w w:val="105"/>
          <w:sz w:val="21"/>
        </w:rPr>
        <w:t>costs come </w:t>
      </w:r>
      <w:r>
        <w:rPr>
          <w:spacing w:val="-3"/>
          <w:w w:val="105"/>
          <w:sz w:val="21"/>
        </w:rPr>
        <w:t>from </w:t>
      </w:r>
      <w:r>
        <w:rPr>
          <w:w w:val="105"/>
          <w:sz w:val="21"/>
        </w:rPr>
        <w:t>the estate of the </w:t>
      </w:r>
      <w:r>
        <w:rPr>
          <w:spacing w:val="-3"/>
          <w:w w:val="105"/>
          <w:sz w:val="21"/>
        </w:rPr>
        <w:t>incapacitated </w:t>
      </w:r>
      <w:r>
        <w:rPr>
          <w:w w:val="105"/>
          <w:sz w:val="21"/>
        </w:rPr>
        <w:t>person </w:t>
      </w:r>
      <w:r>
        <w:rPr>
          <w:spacing w:val="-3"/>
          <w:w w:val="105"/>
          <w:sz w:val="21"/>
        </w:rPr>
        <w:t>will </w:t>
      </w:r>
      <w:r>
        <w:rPr>
          <w:w w:val="105"/>
          <w:sz w:val="21"/>
        </w:rPr>
        <w:t>deplete the assets of a </w:t>
      </w:r>
      <w:r>
        <w:rPr>
          <w:spacing w:val="-3"/>
          <w:w w:val="105"/>
          <w:sz w:val="21"/>
        </w:rPr>
        <w:t>living </w:t>
      </w:r>
      <w:r>
        <w:rPr>
          <w:w w:val="105"/>
          <w:sz w:val="21"/>
        </w:rPr>
        <w:t>person. This factor </w:t>
      </w:r>
      <w:r>
        <w:rPr>
          <w:spacing w:val="-3"/>
          <w:w w:val="105"/>
          <w:sz w:val="21"/>
        </w:rPr>
        <w:t>will weigh heavily </w:t>
      </w:r>
      <w:r>
        <w:rPr>
          <w:w w:val="105"/>
          <w:sz w:val="21"/>
        </w:rPr>
        <w:t>with the </w:t>
      </w:r>
      <w:r>
        <w:rPr>
          <w:spacing w:val="-3"/>
          <w:w w:val="105"/>
          <w:sz w:val="21"/>
        </w:rPr>
        <w:t>Court </w:t>
      </w:r>
      <w:r>
        <w:rPr>
          <w:w w:val="105"/>
          <w:sz w:val="21"/>
        </w:rPr>
        <w:t>where the estate is modest, and </w:t>
      </w:r>
      <w:r>
        <w:rPr>
          <w:spacing w:val="-3"/>
          <w:w w:val="105"/>
          <w:sz w:val="21"/>
        </w:rPr>
        <w:t>may </w:t>
      </w:r>
      <w:r>
        <w:rPr>
          <w:w w:val="105"/>
          <w:sz w:val="21"/>
        </w:rPr>
        <w:t>lead </w:t>
      </w:r>
      <w:r>
        <w:rPr>
          <w:spacing w:val="-3"/>
          <w:w w:val="105"/>
          <w:sz w:val="21"/>
        </w:rPr>
        <w:t>to </w:t>
      </w:r>
      <w:r>
        <w:rPr>
          <w:w w:val="105"/>
          <w:sz w:val="21"/>
        </w:rPr>
        <w:t>a </w:t>
      </w:r>
      <w:r>
        <w:rPr>
          <w:spacing w:val="-3"/>
          <w:w w:val="105"/>
          <w:sz w:val="21"/>
        </w:rPr>
        <w:t>successful applicant </w:t>
      </w:r>
      <w:r>
        <w:rPr>
          <w:w w:val="105"/>
          <w:sz w:val="21"/>
        </w:rPr>
        <w:t>being denied costs out of the </w:t>
      </w:r>
      <w:r>
        <w:rPr>
          <w:spacing w:val="-3"/>
          <w:w w:val="105"/>
          <w:sz w:val="21"/>
        </w:rPr>
        <w:t>incapacitated person’s</w:t>
      </w:r>
      <w:r>
        <w:rPr>
          <w:spacing w:val="27"/>
          <w:w w:val="105"/>
          <w:sz w:val="21"/>
        </w:rPr>
        <w:t> </w:t>
      </w:r>
      <w:r>
        <w:rPr>
          <w:spacing w:val="-3"/>
          <w:w w:val="105"/>
          <w:sz w:val="21"/>
        </w:rPr>
        <w:t>estate.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9"/>
        </w:rPr>
      </w:pPr>
      <w:r>
        <w:rPr/>
        <w:pict>
          <v:line style="position:absolute;mso-position-horizontal-relative:page;mso-position-vertical-relative:paragraph;z-index:1328;mso-wrap-distance-left:0;mso-wrap-distance-right:0" from="79.370003pt,20.176905pt" to="515.905003pt,20.176905pt" stroked="true" strokeweight="1pt" strokecolor="#f9ceca">
            <v:stroke dashstyle="solid"/>
            <w10:wrap type="topAndBottom"/>
          </v:line>
        </w:pict>
      </w:r>
    </w:p>
    <w:p>
      <w:pPr>
        <w:pStyle w:val="ListParagraph"/>
        <w:numPr>
          <w:ilvl w:val="0"/>
          <w:numId w:val="36"/>
        </w:numPr>
        <w:tabs>
          <w:tab w:pos="2380" w:val="left" w:leader="none"/>
          <w:tab w:pos="2382" w:val="left" w:leader="none"/>
        </w:tabs>
        <w:spacing w:line="240" w:lineRule="auto" w:before="117" w:after="0"/>
        <w:ind w:left="2381" w:right="0" w:hanging="794"/>
        <w:jc w:val="left"/>
        <w:rPr>
          <w:sz w:val="13"/>
        </w:rPr>
      </w:pPr>
      <w:r>
        <w:rPr>
          <w:w w:val="105"/>
          <w:sz w:val="13"/>
        </w:rPr>
        <w:t>Victorian Law Reform Commission, </w:t>
      </w:r>
      <w:r>
        <w:rPr>
          <w:i/>
          <w:w w:val="105"/>
          <w:sz w:val="13"/>
        </w:rPr>
        <w:t>Wills Consultation Paper</w:t>
      </w:r>
      <w:r>
        <w:rPr>
          <w:w w:val="105"/>
          <w:sz w:val="13"/>
        </w:rPr>
        <w:t>, above n</w:t>
      </w:r>
      <w:r>
        <w:rPr>
          <w:spacing w:val="25"/>
          <w:w w:val="105"/>
          <w:sz w:val="13"/>
        </w:rPr>
        <w:t> </w:t>
      </w:r>
      <w:r>
        <w:rPr>
          <w:spacing w:val="-6"/>
          <w:w w:val="105"/>
          <w:sz w:val="13"/>
        </w:rPr>
        <w:t>7, </w:t>
      </w:r>
      <w:r>
        <w:rPr>
          <w:w w:val="105"/>
          <w:sz w:val="13"/>
        </w:rPr>
        <w:t>42.</w:t>
      </w:r>
    </w:p>
    <w:p>
      <w:pPr>
        <w:pStyle w:val="ListParagraph"/>
        <w:numPr>
          <w:ilvl w:val="0"/>
          <w:numId w:val="36"/>
        </w:numPr>
        <w:tabs>
          <w:tab w:pos="2381" w:val="left" w:leader="none"/>
          <w:tab w:pos="2382" w:val="left" w:leader="none"/>
        </w:tabs>
        <w:spacing w:line="240" w:lineRule="auto" w:before="1" w:after="0"/>
        <w:ind w:left="2381" w:right="0" w:hanging="794"/>
        <w:jc w:val="left"/>
        <w:rPr>
          <w:sz w:val="13"/>
        </w:rPr>
      </w:pPr>
      <w:r>
        <w:rPr>
          <w:i/>
          <w:w w:val="105"/>
          <w:sz w:val="13"/>
        </w:rPr>
        <w:t>Re</w:t>
      </w:r>
      <w:r>
        <w:rPr>
          <w:i/>
          <w:spacing w:val="4"/>
          <w:w w:val="105"/>
          <w:sz w:val="13"/>
        </w:rPr>
        <w:t> </w:t>
      </w:r>
      <w:r>
        <w:rPr>
          <w:i/>
          <w:w w:val="105"/>
          <w:sz w:val="13"/>
        </w:rPr>
        <w:t>Fenwick</w:t>
      </w:r>
      <w:r>
        <w:rPr>
          <w:i/>
          <w:spacing w:val="5"/>
          <w:w w:val="105"/>
          <w:sz w:val="13"/>
        </w:rPr>
        <w:t> </w:t>
      </w:r>
      <w:r>
        <w:rPr>
          <w:spacing w:val="2"/>
          <w:w w:val="105"/>
          <w:sz w:val="13"/>
        </w:rPr>
        <w:t>[2009]</w:t>
      </w:r>
      <w:r>
        <w:rPr>
          <w:spacing w:val="5"/>
          <w:w w:val="105"/>
          <w:sz w:val="13"/>
        </w:rPr>
        <w:t> </w:t>
      </w:r>
      <w:r>
        <w:rPr>
          <w:w w:val="105"/>
          <w:sz w:val="13"/>
        </w:rPr>
        <w:t>NSWSC</w:t>
      </w:r>
      <w:r>
        <w:rPr>
          <w:spacing w:val="5"/>
          <w:w w:val="105"/>
          <w:sz w:val="13"/>
        </w:rPr>
        <w:t> </w:t>
      </w:r>
      <w:r>
        <w:rPr>
          <w:w w:val="105"/>
          <w:sz w:val="13"/>
        </w:rPr>
        <w:t>530</w:t>
      </w:r>
      <w:r>
        <w:rPr>
          <w:spacing w:val="6"/>
          <w:w w:val="105"/>
          <w:sz w:val="13"/>
        </w:rPr>
        <w:t> </w:t>
      </w:r>
      <w:r>
        <w:rPr>
          <w:spacing w:val="-3"/>
          <w:w w:val="105"/>
          <w:sz w:val="13"/>
        </w:rPr>
        <w:t>(12</w:t>
      </w:r>
      <w:r>
        <w:rPr>
          <w:spacing w:val="5"/>
          <w:w w:val="105"/>
          <w:sz w:val="13"/>
        </w:rPr>
        <w:t> </w:t>
      </w:r>
      <w:r>
        <w:rPr>
          <w:w w:val="105"/>
          <w:sz w:val="13"/>
        </w:rPr>
        <w:t>June</w:t>
      </w:r>
      <w:r>
        <w:rPr>
          <w:spacing w:val="5"/>
          <w:w w:val="105"/>
          <w:sz w:val="13"/>
        </w:rPr>
        <w:t> </w:t>
      </w:r>
      <w:r>
        <w:rPr>
          <w:spacing w:val="2"/>
          <w:w w:val="105"/>
          <w:sz w:val="13"/>
        </w:rPr>
        <w:t>2009)</w:t>
      </w:r>
      <w:r>
        <w:rPr>
          <w:spacing w:val="5"/>
          <w:w w:val="105"/>
          <w:sz w:val="13"/>
        </w:rPr>
        <w:t> </w:t>
      </w:r>
      <w:r>
        <w:rPr>
          <w:w w:val="105"/>
          <w:sz w:val="13"/>
        </w:rPr>
        <w:t>[263];</w:t>
      </w:r>
      <w:r>
        <w:rPr>
          <w:spacing w:val="5"/>
          <w:w w:val="105"/>
          <w:sz w:val="13"/>
        </w:rPr>
        <w:t> </w:t>
      </w:r>
      <w:r>
        <w:rPr>
          <w:i/>
          <w:w w:val="105"/>
          <w:sz w:val="13"/>
        </w:rPr>
        <w:t>Civil</w:t>
      </w:r>
      <w:r>
        <w:rPr>
          <w:i/>
          <w:spacing w:val="5"/>
          <w:w w:val="105"/>
          <w:sz w:val="13"/>
        </w:rPr>
        <w:t> </w:t>
      </w:r>
      <w:r>
        <w:rPr>
          <w:i/>
          <w:w w:val="105"/>
          <w:sz w:val="13"/>
        </w:rPr>
        <w:t>Procedure</w:t>
      </w:r>
      <w:r>
        <w:rPr>
          <w:i/>
          <w:spacing w:val="4"/>
          <w:w w:val="105"/>
          <w:sz w:val="13"/>
        </w:rPr>
        <w:t> </w:t>
      </w:r>
      <w:r>
        <w:rPr>
          <w:i/>
          <w:w w:val="105"/>
          <w:sz w:val="13"/>
        </w:rPr>
        <w:t>Act</w:t>
      </w:r>
      <w:r>
        <w:rPr>
          <w:i/>
          <w:spacing w:val="4"/>
          <w:w w:val="105"/>
          <w:sz w:val="13"/>
        </w:rPr>
        <w:t> </w:t>
      </w:r>
      <w:r>
        <w:rPr>
          <w:i/>
          <w:w w:val="105"/>
          <w:sz w:val="13"/>
        </w:rPr>
        <w:t>2005</w:t>
      </w:r>
      <w:r>
        <w:rPr>
          <w:i/>
          <w:spacing w:val="5"/>
          <w:w w:val="105"/>
          <w:sz w:val="13"/>
        </w:rPr>
        <w:t> </w:t>
      </w:r>
      <w:r>
        <w:rPr>
          <w:spacing w:val="3"/>
          <w:w w:val="105"/>
          <w:sz w:val="13"/>
        </w:rPr>
        <w:t>(NSW)</w:t>
      </w:r>
      <w:r>
        <w:rPr>
          <w:spacing w:val="6"/>
          <w:w w:val="105"/>
          <w:sz w:val="13"/>
        </w:rPr>
        <w:t> </w:t>
      </w:r>
      <w:r>
        <w:rPr>
          <w:w w:val="105"/>
          <w:sz w:val="13"/>
        </w:rPr>
        <w:t>ss</w:t>
      </w:r>
      <w:r>
        <w:rPr>
          <w:spacing w:val="5"/>
          <w:w w:val="105"/>
          <w:sz w:val="13"/>
        </w:rPr>
        <w:t> </w:t>
      </w:r>
      <w:r>
        <w:rPr>
          <w:w w:val="105"/>
          <w:sz w:val="13"/>
        </w:rPr>
        <w:t>71(d),</w:t>
      </w:r>
      <w:r>
        <w:rPr>
          <w:spacing w:val="5"/>
          <w:w w:val="105"/>
          <w:sz w:val="13"/>
        </w:rPr>
        <w:t> </w:t>
      </w:r>
      <w:r>
        <w:rPr>
          <w:spacing w:val="3"/>
          <w:w w:val="105"/>
          <w:sz w:val="13"/>
        </w:rPr>
        <w:t>(f).</w:t>
      </w:r>
    </w:p>
    <w:p>
      <w:pPr>
        <w:pStyle w:val="ListParagraph"/>
        <w:numPr>
          <w:ilvl w:val="0"/>
          <w:numId w:val="36"/>
        </w:numPr>
        <w:tabs>
          <w:tab w:pos="2381" w:val="left" w:leader="none"/>
          <w:tab w:pos="2382" w:val="left" w:leader="none"/>
        </w:tabs>
        <w:spacing w:line="240" w:lineRule="auto" w:before="2" w:after="0"/>
        <w:ind w:left="2381" w:right="3370" w:hanging="794"/>
        <w:jc w:val="left"/>
        <w:rPr>
          <w:sz w:val="13"/>
        </w:rPr>
      </w:pPr>
      <w:r>
        <w:rPr>
          <w:w w:val="105"/>
          <w:sz w:val="13"/>
        </w:rPr>
        <w:t>Submissions 26 </w:t>
      </w:r>
      <w:r>
        <w:rPr>
          <w:spacing w:val="2"/>
          <w:w w:val="105"/>
          <w:sz w:val="13"/>
        </w:rPr>
        <w:t>(Rigby </w:t>
      </w:r>
      <w:r>
        <w:rPr>
          <w:w w:val="105"/>
          <w:sz w:val="13"/>
        </w:rPr>
        <w:t>Cooke </w:t>
      </w:r>
      <w:r>
        <w:rPr>
          <w:spacing w:val="2"/>
          <w:w w:val="105"/>
          <w:sz w:val="13"/>
        </w:rPr>
        <w:t>Lawyers); </w:t>
      </w:r>
      <w:r>
        <w:rPr>
          <w:w w:val="105"/>
          <w:sz w:val="13"/>
        </w:rPr>
        <w:t>30a </w:t>
      </w:r>
      <w:r>
        <w:rPr>
          <w:spacing w:val="3"/>
          <w:w w:val="105"/>
          <w:sz w:val="13"/>
        </w:rPr>
        <w:t>(Law </w:t>
      </w:r>
      <w:r>
        <w:rPr>
          <w:w w:val="105"/>
          <w:sz w:val="13"/>
        </w:rPr>
        <w:t>Institute of </w:t>
      </w:r>
      <w:r>
        <w:rPr>
          <w:spacing w:val="2"/>
          <w:w w:val="105"/>
          <w:sz w:val="13"/>
        </w:rPr>
        <w:t>Victoria); </w:t>
      </w:r>
      <w:r>
        <w:rPr>
          <w:w w:val="105"/>
          <w:sz w:val="13"/>
        </w:rPr>
        <w:t>32 </w:t>
      </w:r>
      <w:r>
        <w:rPr>
          <w:spacing w:val="2"/>
          <w:w w:val="105"/>
          <w:sz w:val="13"/>
        </w:rPr>
        <w:t>(The </w:t>
      </w:r>
      <w:r>
        <w:rPr>
          <w:w w:val="105"/>
          <w:sz w:val="13"/>
        </w:rPr>
        <w:t>Institute of Legal Executives); 36 </w:t>
      </w:r>
      <w:r>
        <w:rPr>
          <w:spacing w:val="3"/>
          <w:w w:val="105"/>
          <w:sz w:val="13"/>
        </w:rPr>
        <w:t>(Law </w:t>
      </w:r>
      <w:r>
        <w:rPr>
          <w:w w:val="105"/>
          <w:sz w:val="13"/>
        </w:rPr>
        <w:t>Society of New South</w:t>
      </w:r>
      <w:r>
        <w:rPr>
          <w:spacing w:val="25"/>
          <w:w w:val="105"/>
          <w:sz w:val="13"/>
        </w:rPr>
        <w:t> </w:t>
      </w:r>
      <w:r>
        <w:rPr>
          <w:w w:val="105"/>
          <w:sz w:val="13"/>
        </w:rPr>
        <w:t>Wales).</w:t>
      </w:r>
    </w:p>
    <w:p>
      <w:pPr>
        <w:pStyle w:val="ListParagraph"/>
        <w:numPr>
          <w:ilvl w:val="0"/>
          <w:numId w:val="36"/>
        </w:numPr>
        <w:tabs>
          <w:tab w:pos="2381" w:val="left" w:leader="none"/>
          <w:tab w:pos="2382" w:val="left" w:leader="none"/>
        </w:tabs>
        <w:spacing w:line="240" w:lineRule="auto" w:before="2" w:after="0"/>
        <w:ind w:left="2381" w:right="0" w:hanging="794"/>
        <w:jc w:val="left"/>
        <w:rPr>
          <w:sz w:val="13"/>
        </w:rPr>
      </w:pPr>
      <w:r>
        <w:rPr>
          <w:w w:val="105"/>
          <w:sz w:val="13"/>
        </w:rPr>
        <w:t>Submission </w:t>
      </w:r>
      <w:r>
        <w:rPr>
          <w:spacing w:val="-3"/>
          <w:w w:val="105"/>
          <w:sz w:val="13"/>
        </w:rPr>
        <w:t>14 </w:t>
      </w:r>
      <w:r>
        <w:rPr>
          <w:w w:val="105"/>
          <w:sz w:val="13"/>
        </w:rPr>
        <w:t>(Commercial Bar</w:t>
      </w:r>
      <w:r>
        <w:rPr>
          <w:spacing w:val="21"/>
          <w:w w:val="105"/>
          <w:sz w:val="13"/>
        </w:rPr>
        <w:t> </w:t>
      </w:r>
      <w:r>
        <w:rPr>
          <w:spacing w:val="2"/>
          <w:w w:val="105"/>
          <w:sz w:val="13"/>
        </w:rPr>
        <w:t>Association).</w:t>
      </w:r>
    </w:p>
    <w:p>
      <w:pPr>
        <w:pStyle w:val="ListParagraph"/>
        <w:numPr>
          <w:ilvl w:val="0"/>
          <w:numId w:val="36"/>
        </w:numPr>
        <w:tabs>
          <w:tab w:pos="2381" w:val="left" w:leader="none"/>
          <w:tab w:pos="2382" w:val="left" w:leader="none"/>
        </w:tabs>
        <w:spacing w:line="240" w:lineRule="auto" w:before="2" w:after="0"/>
        <w:ind w:left="2381" w:right="0" w:hanging="794"/>
        <w:jc w:val="left"/>
        <w:rPr>
          <w:sz w:val="13"/>
        </w:rPr>
      </w:pPr>
      <w:r>
        <w:rPr>
          <w:w w:val="105"/>
          <w:sz w:val="13"/>
        </w:rPr>
        <w:t>Submission 25 </w:t>
      </w:r>
      <w:r>
        <w:rPr>
          <w:spacing w:val="2"/>
          <w:w w:val="105"/>
          <w:sz w:val="13"/>
        </w:rPr>
        <w:t>(Moores</w:t>
      </w:r>
      <w:r>
        <w:rPr>
          <w:spacing w:val="13"/>
          <w:w w:val="105"/>
          <w:sz w:val="13"/>
        </w:rPr>
        <w:t> </w:t>
      </w:r>
      <w:r>
        <w:rPr>
          <w:w w:val="105"/>
          <w:sz w:val="13"/>
        </w:rPr>
        <w:t>Legal).</w:t>
      </w:r>
    </w:p>
    <w:p>
      <w:pPr>
        <w:pStyle w:val="ListParagraph"/>
        <w:numPr>
          <w:ilvl w:val="0"/>
          <w:numId w:val="36"/>
        </w:numPr>
        <w:tabs>
          <w:tab w:pos="2381" w:val="left" w:leader="none"/>
          <w:tab w:pos="2382" w:val="left" w:leader="none"/>
        </w:tabs>
        <w:spacing w:line="240" w:lineRule="auto" w:before="1" w:after="0"/>
        <w:ind w:left="2381" w:right="0" w:hanging="794"/>
        <w:jc w:val="left"/>
        <w:rPr>
          <w:sz w:val="13"/>
        </w:rPr>
      </w:pPr>
      <w:r>
        <w:rPr/>
        <w:pict>
          <v:shape style="position:absolute;margin-left:549.071472pt;margin-top:2.865963pt;width:13.05pt;height:14.25pt;mso-position-horizontal-relative:page;mso-position-vertical-relative:paragraph;z-index:3400" type="#_x0000_t202" filled="false" stroked="false">
            <v:textbox inset="0,0,0,0">
              <w:txbxContent>
                <w:p>
                  <w:pPr>
                    <w:spacing w:line="284" w:lineRule="exact" w:before="0"/>
                    <w:ind w:left="0" w:right="0" w:firstLine="0"/>
                    <w:jc w:val="left"/>
                    <w:rPr>
                      <w:b/>
                      <w:sz w:val="24"/>
                    </w:rPr>
                  </w:pPr>
                  <w:r>
                    <w:rPr>
                      <w:b/>
                      <w:color w:val="EC5A4F"/>
                      <w:spacing w:val="-4"/>
                      <w:w w:val="110"/>
                      <w:sz w:val="24"/>
                    </w:rPr>
                    <w:t>31</w:t>
                  </w:r>
                </w:p>
              </w:txbxContent>
            </v:textbox>
            <w10:wrap type="none"/>
          </v:shape>
        </w:pict>
      </w:r>
      <w:r>
        <w:rPr>
          <w:w w:val="105"/>
          <w:sz w:val="13"/>
        </w:rPr>
        <w:t>Submission 37 (Supreme Court of</w:t>
      </w:r>
      <w:r>
        <w:rPr>
          <w:spacing w:val="22"/>
          <w:w w:val="105"/>
          <w:sz w:val="13"/>
        </w:rPr>
        <w:t> </w:t>
      </w:r>
      <w:r>
        <w:rPr>
          <w:spacing w:val="2"/>
          <w:w w:val="105"/>
          <w:sz w:val="13"/>
        </w:rPr>
        <w:t>Victoria).</w:t>
      </w:r>
    </w:p>
    <w:p>
      <w:pPr>
        <w:pStyle w:val="ListParagraph"/>
        <w:numPr>
          <w:ilvl w:val="0"/>
          <w:numId w:val="36"/>
        </w:numPr>
        <w:tabs>
          <w:tab w:pos="2381" w:val="left" w:leader="none"/>
          <w:tab w:pos="2382" w:val="left" w:leader="none"/>
        </w:tabs>
        <w:spacing w:line="240" w:lineRule="auto" w:before="1" w:after="0"/>
        <w:ind w:left="2381" w:right="0" w:hanging="794"/>
        <w:jc w:val="left"/>
        <w:rPr>
          <w:sz w:val="13"/>
        </w:rPr>
      </w:pPr>
      <w:r>
        <w:rPr>
          <w:sz w:val="13"/>
        </w:rPr>
        <w:t>The</w:t>
      </w:r>
      <w:r>
        <w:rPr>
          <w:spacing w:val="7"/>
          <w:sz w:val="13"/>
        </w:rPr>
        <w:t> </w:t>
      </w:r>
      <w:r>
        <w:rPr>
          <w:sz w:val="13"/>
        </w:rPr>
        <w:t>term</w:t>
      </w:r>
      <w:r>
        <w:rPr>
          <w:spacing w:val="7"/>
          <w:sz w:val="13"/>
        </w:rPr>
        <w:t> </w:t>
      </w:r>
      <w:r>
        <w:rPr>
          <w:sz w:val="13"/>
        </w:rPr>
        <w:t>‘estate’</w:t>
      </w:r>
      <w:r>
        <w:rPr>
          <w:spacing w:val="7"/>
          <w:sz w:val="13"/>
        </w:rPr>
        <w:t> </w:t>
      </w:r>
      <w:r>
        <w:rPr>
          <w:sz w:val="13"/>
        </w:rPr>
        <w:t>in</w:t>
      </w:r>
      <w:r>
        <w:rPr>
          <w:spacing w:val="8"/>
          <w:sz w:val="13"/>
        </w:rPr>
        <w:t> </w:t>
      </w:r>
      <w:r>
        <w:rPr>
          <w:sz w:val="13"/>
        </w:rPr>
        <w:t>this</w:t>
      </w:r>
      <w:r>
        <w:rPr>
          <w:spacing w:val="7"/>
          <w:sz w:val="13"/>
        </w:rPr>
        <w:t> </w:t>
      </w:r>
      <w:r>
        <w:rPr>
          <w:sz w:val="13"/>
        </w:rPr>
        <w:t>context</w:t>
      </w:r>
      <w:r>
        <w:rPr>
          <w:spacing w:val="7"/>
          <w:sz w:val="13"/>
        </w:rPr>
        <w:t> </w:t>
      </w:r>
      <w:r>
        <w:rPr>
          <w:sz w:val="13"/>
        </w:rPr>
        <w:t>is</w:t>
      </w:r>
      <w:r>
        <w:rPr>
          <w:spacing w:val="8"/>
          <w:sz w:val="13"/>
        </w:rPr>
        <w:t> </w:t>
      </w:r>
      <w:r>
        <w:rPr>
          <w:sz w:val="13"/>
        </w:rPr>
        <w:t>used</w:t>
      </w:r>
      <w:r>
        <w:rPr>
          <w:spacing w:val="7"/>
          <w:sz w:val="13"/>
        </w:rPr>
        <w:t> </w:t>
      </w:r>
      <w:r>
        <w:rPr>
          <w:sz w:val="13"/>
        </w:rPr>
        <w:t>to</w:t>
      </w:r>
      <w:r>
        <w:rPr>
          <w:spacing w:val="7"/>
          <w:sz w:val="13"/>
        </w:rPr>
        <w:t> </w:t>
      </w:r>
      <w:r>
        <w:rPr>
          <w:sz w:val="13"/>
        </w:rPr>
        <w:t>refer</w:t>
      </w:r>
      <w:r>
        <w:rPr>
          <w:spacing w:val="8"/>
          <w:sz w:val="13"/>
        </w:rPr>
        <w:t> </w:t>
      </w:r>
      <w:r>
        <w:rPr>
          <w:sz w:val="13"/>
        </w:rPr>
        <w:t>to</w:t>
      </w:r>
      <w:r>
        <w:rPr>
          <w:spacing w:val="7"/>
          <w:sz w:val="13"/>
        </w:rPr>
        <w:t> </w:t>
      </w:r>
      <w:r>
        <w:rPr>
          <w:sz w:val="13"/>
        </w:rPr>
        <w:t>the</w:t>
      </w:r>
      <w:r>
        <w:rPr>
          <w:spacing w:val="7"/>
          <w:sz w:val="13"/>
        </w:rPr>
        <w:t> </w:t>
      </w:r>
      <w:r>
        <w:rPr>
          <w:sz w:val="13"/>
        </w:rPr>
        <w:t>assets</w:t>
      </w:r>
      <w:r>
        <w:rPr>
          <w:spacing w:val="8"/>
          <w:sz w:val="13"/>
        </w:rPr>
        <w:t> </w:t>
      </w:r>
      <w:r>
        <w:rPr>
          <w:sz w:val="13"/>
        </w:rPr>
        <w:t>of</w:t>
      </w:r>
      <w:r>
        <w:rPr>
          <w:spacing w:val="7"/>
          <w:sz w:val="13"/>
        </w:rPr>
        <w:t> </w:t>
      </w:r>
      <w:r>
        <w:rPr>
          <w:sz w:val="13"/>
        </w:rPr>
        <w:t>the</w:t>
      </w:r>
      <w:r>
        <w:rPr>
          <w:spacing w:val="7"/>
          <w:sz w:val="13"/>
        </w:rPr>
        <w:t> </w:t>
      </w:r>
      <w:r>
        <w:rPr>
          <w:sz w:val="13"/>
        </w:rPr>
        <w:t>incapacitated</w:t>
      </w:r>
      <w:r>
        <w:rPr>
          <w:spacing w:val="7"/>
          <w:sz w:val="13"/>
        </w:rPr>
        <w:t> </w:t>
      </w:r>
      <w:r>
        <w:rPr>
          <w:sz w:val="13"/>
        </w:rPr>
        <w:t>person.</w:t>
      </w:r>
    </w:p>
    <w:p>
      <w:pPr>
        <w:spacing w:after="0" w:line="240" w:lineRule="auto"/>
        <w:jc w:val="left"/>
        <w:rPr>
          <w:sz w:val="13"/>
        </w:rPr>
        <w:sectPr>
          <w:pgSz w:w="11910" w:h="16840"/>
          <w:pgMar w:header="805" w:footer="0" w:top="1360" w:bottom="280" w:left="0" w:right="0"/>
        </w:sectPr>
      </w:pPr>
    </w:p>
    <w:p>
      <w:pPr>
        <w:pStyle w:val="BodyText"/>
        <w:spacing w:before="9"/>
        <w:rPr>
          <w:sz w:val="22"/>
        </w:rPr>
      </w:pPr>
    </w:p>
    <w:p>
      <w:pPr>
        <w:pStyle w:val="ListParagraph"/>
        <w:numPr>
          <w:ilvl w:val="1"/>
          <w:numId w:val="22"/>
        </w:numPr>
        <w:tabs>
          <w:tab w:pos="2381" w:val="left" w:leader="none"/>
          <w:tab w:pos="2382" w:val="left" w:leader="none"/>
        </w:tabs>
        <w:spacing w:line="242" w:lineRule="auto" w:before="92" w:after="0"/>
        <w:ind w:left="2381" w:right="1700" w:hanging="794"/>
        <w:jc w:val="left"/>
        <w:rPr>
          <w:sz w:val="21"/>
        </w:rPr>
      </w:pPr>
      <w:r>
        <w:rPr>
          <w:sz w:val="21"/>
        </w:rPr>
        <w:t>Given this </w:t>
      </w:r>
      <w:r>
        <w:rPr>
          <w:spacing w:val="-4"/>
          <w:sz w:val="21"/>
        </w:rPr>
        <w:t>key </w:t>
      </w:r>
      <w:r>
        <w:rPr>
          <w:spacing w:val="-3"/>
          <w:sz w:val="21"/>
        </w:rPr>
        <w:t>difference, </w:t>
      </w:r>
      <w:r>
        <w:rPr>
          <w:sz w:val="21"/>
        </w:rPr>
        <w:t>the </w:t>
      </w:r>
      <w:r>
        <w:rPr>
          <w:spacing w:val="-3"/>
          <w:sz w:val="21"/>
        </w:rPr>
        <w:t>Supreme Court </w:t>
      </w:r>
      <w:r>
        <w:rPr>
          <w:sz w:val="21"/>
        </w:rPr>
        <w:t>of Victoria </w:t>
      </w:r>
      <w:r>
        <w:rPr>
          <w:spacing w:val="-2"/>
          <w:sz w:val="21"/>
        </w:rPr>
        <w:t>has </w:t>
      </w:r>
      <w:r>
        <w:rPr>
          <w:sz w:val="21"/>
        </w:rPr>
        <w:t>developed specific </w:t>
      </w:r>
      <w:r>
        <w:rPr>
          <w:spacing w:val="-3"/>
          <w:sz w:val="21"/>
        </w:rPr>
        <w:t>principles related to </w:t>
      </w:r>
      <w:r>
        <w:rPr>
          <w:sz w:val="21"/>
        </w:rPr>
        <w:t>costs in statutory </w:t>
      </w:r>
      <w:r>
        <w:rPr>
          <w:spacing w:val="-3"/>
          <w:sz w:val="21"/>
        </w:rPr>
        <w:t>will  applications.  </w:t>
      </w:r>
      <w:r>
        <w:rPr>
          <w:sz w:val="21"/>
        </w:rPr>
        <w:t>In </w:t>
      </w:r>
      <w:r>
        <w:rPr>
          <w:i/>
          <w:sz w:val="21"/>
        </w:rPr>
        <w:t>Hill v </w:t>
      </w:r>
      <w:r>
        <w:rPr>
          <w:i/>
          <w:spacing w:val="-4"/>
          <w:sz w:val="21"/>
        </w:rPr>
        <w:t>Hill</w:t>
      </w:r>
      <w:r>
        <w:rPr>
          <w:spacing w:val="-4"/>
          <w:sz w:val="21"/>
        </w:rPr>
        <w:t>,  </w:t>
      </w:r>
      <w:r>
        <w:rPr>
          <w:sz w:val="21"/>
        </w:rPr>
        <w:t>which was a </w:t>
      </w:r>
      <w:r>
        <w:rPr>
          <w:spacing w:val="-3"/>
          <w:sz w:val="21"/>
        </w:rPr>
        <w:t>successful </w:t>
      </w:r>
      <w:r>
        <w:rPr>
          <w:sz w:val="21"/>
        </w:rPr>
        <w:t>application by the </w:t>
      </w:r>
      <w:r>
        <w:rPr>
          <w:spacing w:val="-3"/>
          <w:sz w:val="21"/>
        </w:rPr>
        <w:t>daughter </w:t>
      </w:r>
      <w:r>
        <w:rPr>
          <w:sz w:val="21"/>
        </w:rPr>
        <w:t>of an elderly </w:t>
      </w:r>
      <w:r>
        <w:rPr>
          <w:spacing w:val="-3"/>
          <w:sz w:val="21"/>
        </w:rPr>
        <w:t>woman </w:t>
      </w:r>
      <w:r>
        <w:rPr>
          <w:sz w:val="21"/>
        </w:rPr>
        <w:t>who </w:t>
      </w:r>
      <w:r>
        <w:rPr>
          <w:spacing w:val="-2"/>
          <w:sz w:val="21"/>
        </w:rPr>
        <w:t>had </w:t>
      </w:r>
      <w:r>
        <w:rPr>
          <w:sz w:val="21"/>
        </w:rPr>
        <w:t>lost </w:t>
      </w:r>
      <w:r>
        <w:rPr>
          <w:spacing w:val="-3"/>
          <w:sz w:val="21"/>
        </w:rPr>
        <w:t>capacity, </w:t>
      </w:r>
      <w:r>
        <w:rPr>
          <w:sz w:val="21"/>
        </w:rPr>
        <w:t>Justice Byrne observed </w:t>
      </w:r>
      <w:r>
        <w:rPr>
          <w:spacing w:val="-3"/>
          <w:sz w:val="21"/>
        </w:rPr>
        <w:t>that </w:t>
      </w:r>
      <w:r>
        <w:rPr>
          <w:sz w:val="21"/>
        </w:rPr>
        <w:t>other </w:t>
      </w:r>
      <w:r>
        <w:rPr>
          <w:spacing w:val="-3"/>
          <w:sz w:val="21"/>
        </w:rPr>
        <w:t>succession proceedings are </w:t>
      </w:r>
      <w:r>
        <w:rPr>
          <w:spacing w:val="-2"/>
          <w:sz w:val="21"/>
        </w:rPr>
        <w:t>not </w:t>
      </w:r>
      <w:r>
        <w:rPr>
          <w:sz w:val="21"/>
        </w:rPr>
        <w:t>truly </w:t>
      </w:r>
      <w:r>
        <w:rPr>
          <w:spacing w:val="-3"/>
          <w:sz w:val="21"/>
        </w:rPr>
        <w:t>analogous </w:t>
      </w:r>
      <w:r>
        <w:rPr>
          <w:sz w:val="21"/>
        </w:rPr>
        <w:t>in </w:t>
      </w:r>
      <w:r>
        <w:rPr>
          <w:spacing w:val="-3"/>
          <w:sz w:val="21"/>
        </w:rPr>
        <w:t>determining </w:t>
      </w:r>
      <w:r>
        <w:rPr>
          <w:sz w:val="21"/>
        </w:rPr>
        <w:t>costs because ‘the </w:t>
      </w:r>
      <w:r>
        <w:rPr>
          <w:spacing w:val="-3"/>
          <w:sz w:val="21"/>
        </w:rPr>
        <w:t>will-maker </w:t>
      </w:r>
      <w:r>
        <w:rPr>
          <w:sz w:val="21"/>
        </w:rPr>
        <w:t>is still </w:t>
      </w:r>
      <w:r>
        <w:rPr>
          <w:spacing w:val="-3"/>
          <w:sz w:val="21"/>
        </w:rPr>
        <w:t>alive </w:t>
      </w:r>
      <w:r>
        <w:rPr>
          <w:sz w:val="21"/>
        </w:rPr>
        <w:t>and </w:t>
      </w:r>
      <w:r>
        <w:rPr>
          <w:spacing w:val="-3"/>
          <w:sz w:val="21"/>
        </w:rPr>
        <w:t>entitled, </w:t>
      </w:r>
      <w:r>
        <w:rPr>
          <w:sz w:val="21"/>
        </w:rPr>
        <w:t>so long as she lives, </w:t>
      </w:r>
      <w:r>
        <w:rPr>
          <w:spacing w:val="-3"/>
          <w:sz w:val="21"/>
        </w:rPr>
        <w:t>to </w:t>
      </w:r>
      <w:r>
        <w:rPr>
          <w:sz w:val="21"/>
        </w:rPr>
        <w:t>enjoy her assets </w:t>
      </w:r>
      <w:r>
        <w:rPr>
          <w:spacing w:val="-3"/>
          <w:sz w:val="21"/>
        </w:rPr>
        <w:t>undiminished </w:t>
      </w:r>
      <w:r>
        <w:rPr>
          <w:sz w:val="21"/>
        </w:rPr>
        <w:t>by the burden of </w:t>
      </w:r>
      <w:r>
        <w:rPr>
          <w:spacing w:val="-3"/>
          <w:sz w:val="21"/>
        </w:rPr>
        <w:t>paying </w:t>
      </w:r>
      <w:r>
        <w:rPr>
          <w:sz w:val="21"/>
        </w:rPr>
        <w:t>the costs of those whose </w:t>
      </w:r>
      <w:r>
        <w:rPr>
          <w:spacing w:val="-3"/>
          <w:sz w:val="21"/>
        </w:rPr>
        <w:t>claims anticipate </w:t>
      </w:r>
      <w:r>
        <w:rPr>
          <w:sz w:val="21"/>
        </w:rPr>
        <w:t>her </w:t>
      </w:r>
      <w:r>
        <w:rPr>
          <w:spacing w:val="-4"/>
          <w:sz w:val="21"/>
        </w:rPr>
        <w:t>demise’.</w:t>
      </w:r>
      <w:r>
        <w:rPr>
          <w:spacing w:val="-4"/>
          <w:position w:val="7"/>
          <w:sz w:val="12"/>
        </w:rPr>
        <w:t>65 </w:t>
      </w:r>
      <w:r>
        <w:rPr>
          <w:sz w:val="21"/>
        </w:rPr>
        <w:t>Applicants who stand </w:t>
      </w:r>
      <w:r>
        <w:rPr>
          <w:spacing w:val="-3"/>
          <w:sz w:val="21"/>
        </w:rPr>
        <w:t>to  </w:t>
      </w:r>
      <w:r>
        <w:rPr>
          <w:sz w:val="21"/>
        </w:rPr>
        <w:t>benefit </w:t>
      </w:r>
      <w:r>
        <w:rPr>
          <w:spacing w:val="-3"/>
          <w:sz w:val="21"/>
        </w:rPr>
        <w:t>from  </w:t>
      </w:r>
      <w:r>
        <w:rPr>
          <w:sz w:val="21"/>
        </w:rPr>
        <w:t>the proposed </w:t>
      </w:r>
      <w:r>
        <w:rPr>
          <w:spacing w:val="-3"/>
          <w:sz w:val="21"/>
        </w:rPr>
        <w:t>will,  </w:t>
      </w:r>
      <w:r>
        <w:rPr>
          <w:sz w:val="21"/>
        </w:rPr>
        <w:t>whether or </w:t>
      </w:r>
      <w:r>
        <w:rPr>
          <w:spacing w:val="-2"/>
          <w:sz w:val="21"/>
        </w:rPr>
        <w:t>not  </w:t>
      </w:r>
      <w:r>
        <w:rPr>
          <w:sz w:val="21"/>
        </w:rPr>
        <w:t>they  </w:t>
      </w:r>
      <w:r>
        <w:rPr>
          <w:spacing w:val="-3"/>
          <w:sz w:val="21"/>
        </w:rPr>
        <w:t>are</w:t>
      </w:r>
      <w:r>
        <w:rPr>
          <w:spacing w:val="9"/>
          <w:sz w:val="21"/>
        </w:rPr>
        <w:t> </w:t>
      </w:r>
      <w:r>
        <w:rPr>
          <w:spacing w:val="-3"/>
          <w:sz w:val="21"/>
        </w:rPr>
        <w:t>successful,</w:t>
      </w:r>
      <w:r>
        <w:rPr>
          <w:spacing w:val="10"/>
          <w:sz w:val="21"/>
        </w:rPr>
        <w:t> </w:t>
      </w:r>
      <w:r>
        <w:rPr>
          <w:spacing w:val="-3"/>
          <w:sz w:val="21"/>
        </w:rPr>
        <w:t>may</w:t>
      </w:r>
      <w:r>
        <w:rPr>
          <w:spacing w:val="10"/>
          <w:sz w:val="21"/>
        </w:rPr>
        <w:t> </w:t>
      </w:r>
      <w:r>
        <w:rPr>
          <w:sz w:val="21"/>
        </w:rPr>
        <w:t>be</w:t>
      </w:r>
      <w:r>
        <w:rPr>
          <w:spacing w:val="9"/>
          <w:sz w:val="21"/>
        </w:rPr>
        <w:t> </w:t>
      </w:r>
      <w:r>
        <w:rPr>
          <w:spacing w:val="-3"/>
          <w:sz w:val="21"/>
        </w:rPr>
        <w:t>required</w:t>
      </w:r>
      <w:r>
        <w:rPr>
          <w:spacing w:val="10"/>
          <w:sz w:val="21"/>
        </w:rPr>
        <w:t> </w:t>
      </w:r>
      <w:r>
        <w:rPr>
          <w:spacing w:val="-3"/>
          <w:sz w:val="21"/>
        </w:rPr>
        <w:t>to</w:t>
      </w:r>
      <w:r>
        <w:rPr>
          <w:spacing w:val="10"/>
          <w:sz w:val="21"/>
        </w:rPr>
        <w:t> </w:t>
      </w:r>
      <w:r>
        <w:rPr>
          <w:sz w:val="21"/>
        </w:rPr>
        <w:t>meet</w:t>
      </w:r>
      <w:r>
        <w:rPr>
          <w:spacing w:val="10"/>
          <w:sz w:val="21"/>
        </w:rPr>
        <w:t> </w:t>
      </w:r>
      <w:r>
        <w:rPr>
          <w:sz w:val="21"/>
        </w:rPr>
        <w:t>their</w:t>
      </w:r>
      <w:r>
        <w:rPr>
          <w:spacing w:val="9"/>
          <w:sz w:val="21"/>
        </w:rPr>
        <w:t> </w:t>
      </w:r>
      <w:r>
        <w:rPr>
          <w:sz w:val="21"/>
        </w:rPr>
        <w:t>own</w:t>
      </w:r>
      <w:r>
        <w:rPr>
          <w:spacing w:val="10"/>
          <w:sz w:val="21"/>
        </w:rPr>
        <w:t> </w:t>
      </w:r>
      <w:r>
        <w:rPr>
          <w:sz w:val="21"/>
        </w:rPr>
        <w:t>costs.</w:t>
      </w:r>
    </w:p>
    <w:p>
      <w:pPr>
        <w:pStyle w:val="ListParagraph"/>
        <w:numPr>
          <w:ilvl w:val="1"/>
          <w:numId w:val="22"/>
        </w:numPr>
        <w:tabs>
          <w:tab w:pos="2381" w:val="left" w:leader="none"/>
        </w:tabs>
        <w:spacing w:line="242" w:lineRule="auto" w:before="128" w:after="0"/>
        <w:ind w:left="2380" w:right="1813" w:hanging="793"/>
        <w:jc w:val="both"/>
        <w:rPr>
          <w:sz w:val="21"/>
        </w:rPr>
      </w:pPr>
      <w:r>
        <w:rPr>
          <w:w w:val="105"/>
          <w:sz w:val="21"/>
        </w:rPr>
        <w:t>Justice</w:t>
      </w:r>
      <w:r>
        <w:rPr>
          <w:spacing w:val="-6"/>
          <w:w w:val="105"/>
          <w:sz w:val="21"/>
        </w:rPr>
        <w:t> </w:t>
      </w:r>
      <w:r>
        <w:rPr>
          <w:w w:val="105"/>
          <w:sz w:val="21"/>
        </w:rPr>
        <w:t>Byrne</w:t>
      </w:r>
      <w:r>
        <w:rPr>
          <w:spacing w:val="-6"/>
          <w:w w:val="105"/>
          <w:sz w:val="21"/>
        </w:rPr>
        <w:t> </w:t>
      </w:r>
      <w:r>
        <w:rPr>
          <w:spacing w:val="-3"/>
          <w:w w:val="105"/>
          <w:sz w:val="21"/>
        </w:rPr>
        <w:t>noted</w:t>
      </w:r>
      <w:r>
        <w:rPr>
          <w:spacing w:val="-5"/>
          <w:w w:val="105"/>
          <w:sz w:val="21"/>
        </w:rPr>
        <w:t> </w:t>
      </w:r>
      <w:r>
        <w:rPr>
          <w:spacing w:val="-3"/>
          <w:w w:val="105"/>
          <w:sz w:val="21"/>
        </w:rPr>
        <w:t>that</w:t>
      </w:r>
      <w:r>
        <w:rPr>
          <w:spacing w:val="-6"/>
          <w:w w:val="105"/>
          <w:sz w:val="21"/>
        </w:rPr>
        <w:t> </w:t>
      </w:r>
      <w:r>
        <w:rPr>
          <w:w w:val="105"/>
          <w:sz w:val="21"/>
        </w:rPr>
        <w:t>the</w:t>
      </w:r>
      <w:r>
        <w:rPr>
          <w:spacing w:val="-5"/>
          <w:w w:val="105"/>
          <w:sz w:val="21"/>
        </w:rPr>
        <w:t> </w:t>
      </w:r>
      <w:r>
        <w:rPr>
          <w:spacing w:val="-3"/>
          <w:w w:val="105"/>
          <w:sz w:val="21"/>
        </w:rPr>
        <w:t>successful</w:t>
      </w:r>
      <w:r>
        <w:rPr>
          <w:spacing w:val="-6"/>
          <w:w w:val="105"/>
          <w:sz w:val="21"/>
        </w:rPr>
        <w:t> </w:t>
      </w:r>
      <w:r>
        <w:rPr>
          <w:spacing w:val="-3"/>
          <w:w w:val="105"/>
          <w:sz w:val="21"/>
        </w:rPr>
        <w:t>applicant</w:t>
      </w:r>
      <w:r>
        <w:rPr>
          <w:spacing w:val="-5"/>
          <w:w w:val="105"/>
          <w:sz w:val="21"/>
        </w:rPr>
        <w:t> </w:t>
      </w:r>
      <w:r>
        <w:rPr>
          <w:w w:val="105"/>
          <w:sz w:val="21"/>
        </w:rPr>
        <w:t>was</w:t>
      </w:r>
      <w:r>
        <w:rPr>
          <w:spacing w:val="-6"/>
          <w:w w:val="105"/>
          <w:sz w:val="21"/>
        </w:rPr>
        <w:t> </w:t>
      </w:r>
      <w:r>
        <w:rPr>
          <w:w w:val="105"/>
          <w:sz w:val="21"/>
        </w:rPr>
        <w:t>a</w:t>
      </w:r>
      <w:r>
        <w:rPr>
          <w:spacing w:val="-6"/>
          <w:w w:val="105"/>
          <w:sz w:val="21"/>
        </w:rPr>
        <w:t> </w:t>
      </w:r>
      <w:r>
        <w:rPr>
          <w:w w:val="105"/>
          <w:sz w:val="21"/>
        </w:rPr>
        <w:t>beneficiary</w:t>
      </w:r>
      <w:r>
        <w:rPr>
          <w:spacing w:val="-5"/>
          <w:w w:val="105"/>
          <w:sz w:val="21"/>
        </w:rPr>
        <w:t> </w:t>
      </w:r>
      <w:r>
        <w:rPr>
          <w:w w:val="105"/>
          <w:sz w:val="21"/>
        </w:rPr>
        <w:t>and</w:t>
      </w:r>
      <w:r>
        <w:rPr>
          <w:spacing w:val="-6"/>
          <w:w w:val="105"/>
          <w:sz w:val="21"/>
        </w:rPr>
        <w:t> </w:t>
      </w:r>
      <w:r>
        <w:rPr>
          <w:spacing w:val="-3"/>
          <w:w w:val="105"/>
          <w:sz w:val="21"/>
        </w:rPr>
        <w:t>‘her</w:t>
      </w:r>
      <w:r>
        <w:rPr>
          <w:spacing w:val="-5"/>
          <w:w w:val="105"/>
          <w:sz w:val="21"/>
        </w:rPr>
        <w:t> </w:t>
      </w:r>
      <w:r>
        <w:rPr>
          <w:w w:val="105"/>
          <w:sz w:val="21"/>
        </w:rPr>
        <w:t>costs</w:t>
      </w:r>
      <w:r>
        <w:rPr>
          <w:spacing w:val="-6"/>
          <w:w w:val="105"/>
          <w:sz w:val="21"/>
        </w:rPr>
        <w:t> </w:t>
      </w:r>
      <w:r>
        <w:rPr>
          <w:w w:val="105"/>
          <w:sz w:val="21"/>
        </w:rPr>
        <w:t>in</w:t>
      </w:r>
      <w:r>
        <w:rPr>
          <w:spacing w:val="-5"/>
          <w:w w:val="105"/>
          <w:sz w:val="21"/>
        </w:rPr>
        <w:t> </w:t>
      </w:r>
      <w:r>
        <w:rPr>
          <w:spacing w:val="-3"/>
          <w:w w:val="105"/>
          <w:sz w:val="21"/>
        </w:rPr>
        <w:t>due </w:t>
      </w:r>
      <w:r>
        <w:rPr>
          <w:w w:val="105"/>
          <w:sz w:val="21"/>
        </w:rPr>
        <w:t>course </w:t>
      </w:r>
      <w:r>
        <w:rPr>
          <w:spacing w:val="-3"/>
          <w:w w:val="105"/>
          <w:sz w:val="21"/>
        </w:rPr>
        <w:t>may </w:t>
      </w:r>
      <w:r>
        <w:rPr>
          <w:w w:val="105"/>
          <w:sz w:val="21"/>
        </w:rPr>
        <w:t>be recouped </w:t>
      </w:r>
      <w:r>
        <w:rPr>
          <w:spacing w:val="-3"/>
          <w:w w:val="105"/>
          <w:sz w:val="21"/>
        </w:rPr>
        <w:t>from </w:t>
      </w:r>
      <w:r>
        <w:rPr>
          <w:w w:val="105"/>
          <w:sz w:val="21"/>
        </w:rPr>
        <w:t>the estate which she </w:t>
      </w:r>
      <w:r>
        <w:rPr>
          <w:spacing w:val="-3"/>
          <w:w w:val="105"/>
          <w:sz w:val="21"/>
        </w:rPr>
        <w:t>may </w:t>
      </w:r>
      <w:r>
        <w:rPr>
          <w:spacing w:val="-4"/>
          <w:w w:val="105"/>
          <w:sz w:val="21"/>
        </w:rPr>
        <w:t>inherit’.</w:t>
      </w:r>
      <w:r>
        <w:rPr>
          <w:spacing w:val="-4"/>
          <w:w w:val="105"/>
          <w:position w:val="7"/>
          <w:sz w:val="12"/>
        </w:rPr>
        <w:t>66 </w:t>
      </w:r>
      <w:r>
        <w:rPr>
          <w:w w:val="105"/>
          <w:sz w:val="21"/>
        </w:rPr>
        <w:t>The </w:t>
      </w:r>
      <w:r>
        <w:rPr>
          <w:spacing w:val="-3"/>
          <w:w w:val="105"/>
          <w:sz w:val="21"/>
        </w:rPr>
        <w:t>Court </w:t>
      </w:r>
      <w:r>
        <w:rPr>
          <w:w w:val="105"/>
          <w:sz w:val="21"/>
        </w:rPr>
        <w:t>of Appeal </w:t>
      </w:r>
      <w:r>
        <w:rPr>
          <w:spacing w:val="-2"/>
          <w:w w:val="105"/>
          <w:sz w:val="21"/>
        </w:rPr>
        <w:t>has</w:t>
      </w:r>
      <w:r>
        <w:rPr>
          <w:spacing w:val="5"/>
          <w:w w:val="105"/>
          <w:sz w:val="21"/>
        </w:rPr>
        <w:t> </w:t>
      </w:r>
      <w:r>
        <w:rPr>
          <w:w w:val="105"/>
          <w:sz w:val="21"/>
        </w:rPr>
        <w:t>stated:</w:t>
      </w:r>
    </w:p>
    <w:p>
      <w:pPr>
        <w:spacing w:line="254" w:lineRule="auto" w:before="133"/>
        <w:ind w:left="2721" w:right="1826" w:firstLine="0"/>
        <w:jc w:val="left"/>
        <w:rPr>
          <w:sz w:val="20"/>
        </w:rPr>
      </w:pPr>
      <w:r>
        <w:rPr>
          <w:sz w:val="20"/>
        </w:rPr>
        <w:t>Where an application is </w:t>
      </w:r>
      <w:r>
        <w:rPr>
          <w:spacing w:val="-3"/>
          <w:sz w:val="20"/>
        </w:rPr>
        <w:t>brought </w:t>
      </w:r>
      <w:r>
        <w:rPr>
          <w:sz w:val="20"/>
        </w:rPr>
        <w:t>by and for the benefit of persons </w:t>
      </w:r>
      <w:r>
        <w:rPr>
          <w:spacing w:val="-3"/>
          <w:sz w:val="20"/>
        </w:rPr>
        <w:t>including </w:t>
      </w:r>
      <w:r>
        <w:rPr>
          <w:sz w:val="20"/>
        </w:rPr>
        <w:t>the applicant, rather than by a </w:t>
      </w:r>
      <w:r>
        <w:rPr>
          <w:spacing w:val="-3"/>
          <w:sz w:val="20"/>
        </w:rPr>
        <w:t>disinterested </w:t>
      </w:r>
      <w:r>
        <w:rPr>
          <w:spacing w:val="-4"/>
          <w:sz w:val="20"/>
        </w:rPr>
        <w:t>administrator, </w:t>
      </w:r>
      <w:r>
        <w:rPr>
          <w:sz w:val="20"/>
        </w:rPr>
        <w:t>the ordinary principles governing costs in adversarial litigation properly </w:t>
      </w:r>
      <w:r>
        <w:rPr>
          <w:spacing w:val="-3"/>
          <w:sz w:val="20"/>
        </w:rPr>
        <w:t>apply. </w:t>
      </w:r>
      <w:r>
        <w:rPr>
          <w:sz w:val="20"/>
        </w:rPr>
        <w:t>It should not be  presumed  that  the  estate,  rather than an unsuccessful applicant, will be ordered to pay the costs of the proceeding merely because there is </w:t>
      </w:r>
      <w:r>
        <w:rPr>
          <w:spacing w:val="-7"/>
          <w:sz w:val="20"/>
        </w:rPr>
        <w:t>‘a </w:t>
      </w:r>
      <w:r>
        <w:rPr>
          <w:spacing w:val="-3"/>
          <w:sz w:val="20"/>
        </w:rPr>
        <w:t>fair </w:t>
      </w:r>
      <w:r>
        <w:rPr>
          <w:sz w:val="20"/>
        </w:rPr>
        <w:t>case of</w:t>
      </w:r>
      <w:r>
        <w:rPr>
          <w:spacing w:val="33"/>
          <w:sz w:val="20"/>
        </w:rPr>
        <w:t> </w:t>
      </w:r>
      <w:r>
        <w:rPr>
          <w:spacing w:val="-5"/>
          <w:sz w:val="20"/>
        </w:rPr>
        <w:t>dispute’.</w:t>
      </w:r>
    </w:p>
    <w:p>
      <w:pPr>
        <w:spacing w:line="254" w:lineRule="auto" w:before="126"/>
        <w:ind w:left="2721" w:right="1576" w:firstLine="0"/>
        <w:jc w:val="left"/>
        <w:rPr>
          <w:sz w:val="11"/>
        </w:rPr>
      </w:pPr>
      <w:r>
        <w:rPr>
          <w:w w:val="105"/>
          <w:sz w:val="20"/>
        </w:rPr>
        <w:t>In determining whether it is appropriate to exercise the discretion to order that the costs of an application </w:t>
      </w:r>
      <w:r>
        <w:rPr>
          <w:w w:val="115"/>
          <w:sz w:val="20"/>
        </w:rPr>
        <w:t>… </w:t>
      </w:r>
      <w:r>
        <w:rPr>
          <w:w w:val="105"/>
          <w:sz w:val="20"/>
        </w:rPr>
        <w:t>be paid from the estate of a living but incapacitated person, the avoidance</w:t>
      </w:r>
      <w:r>
        <w:rPr>
          <w:spacing w:val="-13"/>
          <w:w w:val="105"/>
          <w:sz w:val="20"/>
        </w:rPr>
        <w:t> </w:t>
      </w:r>
      <w:r>
        <w:rPr>
          <w:w w:val="105"/>
          <w:sz w:val="20"/>
        </w:rPr>
        <w:t>of</w:t>
      </w:r>
      <w:r>
        <w:rPr>
          <w:spacing w:val="-12"/>
          <w:w w:val="105"/>
          <w:sz w:val="20"/>
        </w:rPr>
        <w:t> </w:t>
      </w:r>
      <w:r>
        <w:rPr>
          <w:spacing w:val="-2"/>
          <w:w w:val="105"/>
          <w:sz w:val="20"/>
        </w:rPr>
        <w:t>any</w:t>
      </w:r>
      <w:r>
        <w:rPr>
          <w:spacing w:val="-13"/>
          <w:w w:val="105"/>
          <w:sz w:val="20"/>
        </w:rPr>
        <w:t> </w:t>
      </w:r>
      <w:r>
        <w:rPr>
          <w:spacing w:val="-3"/>
          <w:w w:val="105"/>
          <w:sz w:val="20"/>
        </w:rPr>
        <w:t>potentially</w:t>
      </w:r>
      <w:r>
        <w:rPr>
          <w:spacing w:val="-12"/>
          <w:w w:val="105"/>
          <w:sz w:val="20"/>
        </w:rPr>
        <w:t> </w:t>
      </w:r>
      <w:r>
        <w:rPr>
          <w:w w:val="105"/>
          <w:sz w:val="20"/>
        </w:rPr>
        <w:t>adverse</w:t>
      </w:r>
      <w:r>
        <w:rPr>
          <w:spacing w:val="-13"/>
          <w:w w:val="105"/>
          <w:sz w:val="20"/>
        </w:rPr>
        <w:t> </w:t>
      </w:r>
      <w:r>
        <w:rPr>
          <w:w w:val="105"/>
          <w:sz w:val="20"/>
        </w:rPr>
        <w:t>impact</w:t>
      </w:r>
      <w:r>
        <w:rPr>
          <w:spacing w:val="-12"/>
          <w:w w:val="105"/>
          <w:sz w:val="20"/>
        </w:rPr>
        <w:t> </w:t>
      </w:r>
      <w:r>
        <w:rPr>
          <w:w w:val="105"/>
          <w:sz w:val="20"/>
        </w:rPr>
        <w:t>on</w:t>
      </w:r>
      <w:r>
        <w:rPr>
          <w:spacing w:val="-13"/>
          <w:w w:val="105"/>
          <w:sz w:val="20"/>
        </w:rPr>
        <w:t> </w:t>
      </w:r>
      <w:r>
        <w:rPr>
          <w:w w:val="105"/>
          <w:sz w:val="20"/>
        </w:rPr>
        <w:t>that</w:t>
      </w:r>
      <w:r>
        <w:rPr>
          <w:spacing w:val="-12"/>
          <w:w w:val="105"/>
          <w:sz w:val="20"/>
        </w:rPr>
        <w:t> </w:t>
      </w:r>
      <w:r>
        <w:rPr>
          <w:w w:val="105"/>
          <w:sz w:val="20"/>
        </w:rPr>
        <w:t>vulnerable</w:t>
      </w:r>
      <w:r>
        <w:rPr>
          <w:spacing w:val="-13"/>
          <w:w w:val="105"/>
          <w:sz w:val="20"/>
        </w:rPr>
        <w:t> </w:t>
      </w:r>
      <w:r>
        <w:rPr>
          <w:spacing w:val="-3"/>
          <w:w w:val="105"/>
          <w:sz w:val="20"/>
        </w:rPr>
        <w:t>person’s</w:t>
      </w:r>
      <w:r>
        <w:rPr>
          <w:spacing w:val="-12"/>
          <w:w w:val="105"/>
          <w:sz w:val="20"/>
        </w:rPr>
        <w:t> </w:t>
      </w:r>
      <w:r>
        <w:rPr>
          <w:w w:val="105"/>
          <w:sz w:val="20"/>
        </w:rPr>
        <w:t>long-term</w:t>
      </w:r>
      <w:r>
        <w:rPr>
          <w:spacing w:val="-12"/>
          <w:w w:val="105"/>
          <w:sz w:val="20"/>
        </w:rPr>
        <w:t> </w:t>
      </w:r>
      <w:r>
        <w:rPr>
          <w:w w:val="105"/>
          <w:sz w:val="20"/>
        </w:rPr>
        <w:t>security and </w:t>
      </w:r>
      <w:r>
        <w:rPr>
          <w:spacing w:val="-3"/>
          <w:w w:val="105"/>
          <w:sz w:val="20"/>
        </w:rPr>
        <w:t>welfare </w:t>
      </w:r>
      <w:r>
        <w:rPr>
          <w:w w:val="105"/>
          <w:sz w:val="20"/>
        </w:rPr>
        <w:t>will always be an important</w:t>
      </w:r>
      <w:r>
        <w:rPr>
          <w:spacing w:val="30"/>
          <w:w w:val="105"/>
          <w:sz w:val="20"/>
        </w:rPr>
        <w:t> </w:t>
      </w:r>
      <w:r>
        <w:rPr>
          <w:w w:val="105"/>
          <w:sz w:val="20"/>
        </w:rPr>
        <w:t>consideration.</w:t>
      </w:r>
      <w:r>
        <w:rPr>
          <w:w w:val="105"/>
          <w:position w:val="7"/>
          <w:sz w:val="11"/>
        </w:rPr>
        <w:t>67</w:t>
      </w:r>
    </w:p>
    <w:p>
      <w:pPr>
        <w:pStyle w:val="ListParagraph"/>
        <w:numPr>
          <w:ilvl w:val="1"/>
          <w:numId w:val="22"/>
        </w:numPr>
        <w:tabs>
          <w:tab w:pos="2381" w:val="left" w:leader="none"/>
          <w:tab w:pos="2382" w:val="left" w:leader="none"/>
        </w:tabs>
        <w:spacing w:line="242" w:lineRule="auto" w:before="116" w:after="0"/>
        <w:ind w:left="2381" w:right="1591" w:hanging="794"/>
        <w:jc w:val="left"/>
        <w:rPr>
          <w:sz w:val="12"/>
        </w:rPr>
      </w:pPr>
      <w:r>
        <w:rPr>
          <w:spacing w:val="-4"/>
          <w:sz w:val="21"/>
        </w:rPr>
        <w:t>However, </w:t>
      </w:r>
      <w:r>
        <w:rPr>
          <w:sz w:val="21"/>
        </w:rPr>
        <w:t>where an application is </w:t>
      </w:r>
      <w:r>
        <w:rPr>
          <w:spacing w:val="-3"/>
          <w:sz w:val="21"/>
        </w:rPr>
        <w:t>brought </w:t>
      </w:r>
      <w:r>
        <w:rPr>
          <w:sz w:val="21"/>
        </w:rPr>
        <w:t>by an </w:t>
      </w:r>
      <w:r>
        <w:rPr>
          <w:spacing w:val="-3"/>
          <w:sz w:val="21"/>
        </w:rPr>
        <w:t>administrator </w:t>
      </w:r>
      <w:r>
        <w:rPr>
          <w:sz w:val="21"/>
        </w:rPr>
        <w:t>who receives  no  benefit under the proposed </w:t>
      </w:r>
      <w:r>
        <w:rPr>
          <w:spacing w:val="-3"/>
          <w:sz w:val="21"/>
        </w:rPr>
        <w:t>will, </w:t>
      </w:r>
      <w:r>
        <w:rPr>
          <w:sz w:val="21"/>
        </w:rPr>
        <w:t>the court </w:t>
      </w:r>
      <w:r>
        <w:rPr>
          <w:spacing w:val="-3"/>
          <w:sz w:val="21"/>
        </w:rPr>
        <w:t>will usually allow </w:t>
      </w:r>
      <w:r>
        <w:rPr>
          <w:sz w:val="21"/>
        </w:rPr>
        <w:t>the </w:t>
      </w:r>
      <w:r>
        <w:rPr>
          <w:spacing w:val="-3"/>
          <w:sz w:val="21"/>
        </w:rPr>
        <w:t>administrator </w:t>
      </w:r>
      <w:r>
        <w:rPr>
          <w:sz w:val="21"/>
        </w:rPr>
        <w:t>costs </w:t>
      </w:r>
      <w:r>
        <w:rPr>
          <w:spacing w:val="-3"/>
          <w:sz w:val="21"/>
        </w:rPr>
        <w:t>from </w:t>
      </w:r>
      <w:r>
        <w:rPr>
          <w:sz w:val="21"/>
        </w:rPr>
        <w:t>the </w:t>
      </w:r>
      <w:r>
        <w:rPr>
          <w:spacing w:val="-3"/>
          <w:sz w:val="21"/>
        </w:rPr>
        <w:t>represented person’s estate. </w:t>
      </w:r>
      <w:r>
        <w:rPr>
          <w:sz w:val="21"/>
        </w:rPr>
        <w:t>Justice Hansen </w:t>
      </w:r>
      <w:r>
        <w:rPr>
          <w:spacing w:val="-2"/>
          <w:sz w:val="21"/>
        </w:rPr>
        <w:t>has </w:t>
      </w:r>
      <w:r>
        <w:rPr>
          <w:sz w:val="21"/>
        </w:rPr>
        <w:t>stated </w:t>
      </w:r>
      <w:r>
        <w:rPr>
          <w:spacing w:val="-3"/>
          <w:sz w:val="21"/>
        </w:rPr>
        <w:t>that </w:t>
      </w:r>
      <w:r>
        <w:rPr>
          <w:sz w:val="21"/>
        </w:rPr>
        <w:t>a </w:t>
      </w:r>
      <w:r>
        <w:rPr>
          <w:spacing w:val="-3"/>
          <w:sz w:val="21"/>
        </w:rPr>
        <w:t>disinterested administrator ‘would </w:t>
      </w:r>
      <w:r>
        <w:rPr>
          <w:sz w:val="21"/>
        </w:rPr>
        <w:t>at least </w:t>
      </w:r>
      <w:r>
        <w:rPr>
          <w:spacing w:val="-3"/>
          <w:sz w:val="21"/>
        </w:rPr>
        <w:t>normally </w:t>
      </w:r>
      <w:r>
        <w:rPr>
          <w:sz w:val="21"/>
        </w:rPr>
        <w:t>be entitled </w:t>
      </w:r>
      <w:r>
        <w:rPr>
          <w:spacing w:val="-3"/>
          <w:sz w:val="21"/>
        </w:rPr>
        <w:t>to recoup </w:t>
      </w:r>
      <w:r>
        <w:rPr>
          <w:sz w:val="21"/>
        </w:rPr>
        <w:t>his costs  out  of  the  estate  of  the </w:t>
      </w:r>
      <w:r>
        <w:rPr>
          <w:spacing w:val="-3"/>
          <w:sz w:val="21"/>
        </w:rPr>
        <w:t>represented </w:t>
      </w:r>
      <w:r>
        <w:rPr>
          <w:sz w:val="21"/>
        </w:rPr>
        <w:t>person. That does </w:t>
      </w:r>
      <w:r>
        <w:rPr>
          <w:spacing w:val="-2"/>
          <w:sz w:val="21"/>
        </w:rPr>
        <w:t>not </w:t>
      </w:r>
      <w:r>
        <w:rPr>
          <w:sz w:val="21"/>
        </w:rPr>
        <w:t>mean </w:t>
      </w:r>
      <w:r>
        <w:rPr>
          <w:spacing w:val="-3"/>
          <w:sz w:val="21"/>
        </w:rPr>
        <w:t>that </w:t>
      </w:r>
      <w:r>
        <w:rPr>
          <w:sz w:val="21"/>
        </w:rPr>
        <w:t>where </w:t>
      </w:r>
      <w:r>
        <w:rPr>
          <w:spacing w:val="-3"/>
          <w:sz w:val="21"/>
        </w:rPr>
        <w:t>appropriate </w:t>
      </w:r>
      <w:r>
        <w:rPr>
          <w:sz w:val="21"/>
        </w:rPr>
        <w:t>he </w:t>
      </w:r>
      <w:r>
        <w:rPr>
          <w:spacing w:val="-3"/>
          <w:sz w:val="21"/>
        </w:rPr>
        <w:t>may </w:t>
      </w:r>
      <w:r>
        <w:rPr>
          <w:spacing w:val="-2"/>
          <w:sz w:val="21"/>
        </w:rPr>
        <w:t>not </w:t>
      </w:r>
      <w:r>
        <w:rPr>
          <w:spacing w:val="-3"/>
          <w:sz w:val="21"/>
        </w:rPr>
        <w:t>recover </w:t>
      </w:r>
      <w:r>
        <w:rPr>
          <w:sz w:val="21"/>
        </w:rPr>
        <w:t>costs </w:t>
      </w:r>
      <w:r>
        <w:rPr>
          <w:spacing w:val="-3"/>
          <w:sz w:val="21"/>
        </w:rPr>
        <w:t>from another</w:t>
      </w:r>
      <w:r>
        <w:rPr>
          <w:spacing w:val="20"/>
          <w:sz w:val="21"/>
        </w:rPr>
        <w:t> </w:t>
      </w:r>
      <w:r>
        <w:rPr>
          <w:spacing w:val="-3"/>
          <w:sz w:val="21"/>
        </w:rPr>
        <w:t>party.’</w:t>
      </w:r>
      <w:r>
        <w:rPr>
          <w:spacing w:val="-3"/>
          <w:position w:val="7"/>
          <w:sz w:val="12"/>
        </w:rPr>
        <w:t>68</w:t>
      </w:r>
    </w:p>
    <w:p>
      <w:pPr>
        <w:pStyle w:val="ListParagraph"/>
        <w:numPr>
          <w:ilvl w:val="1"/>
          <w:numId w:val="22"/>
        </w:numPr>
        <w:tabs>
          <w:tab w:pos="2380" w:val="left" w:leader="none"/>
          <w:tab w:pos="2381" w:val="left" w:leader="none"/>
        </w:tabs>
        <w:spacing w:line="242" w:lineRule="auto" w:before="126" w:after="0"/>
        <w:ind w:left="2381" w:right="2410" w:hanging="794"/>
        <w:jc w:val="left"/>
        <w:rPr>
          <w:sz w:val="21"/>
        </w:rPr>
      </w:pPr>
      <w:r>
        <w:rPr>
          <w:w w:val="105"/>
          <w:sz w:val="21"/>
        </w:rPr>
        <w:t>Following</w:t>
      </w:r>
      <w:r>
        <w:rPr>
          <w:spacing w:val="-7"/>
          <w:w w:val="105"/>
          <w:sz w:val="21"/>
        </w:rPr>
        <w:t> </w:t>
      </w:r>
      <w:r>
        <w:rPr>
          <w:w w:val="105"/>
          <w:sz w:val="21"/>
        </w:rPr>
        <w:t>a</w:t>
      </w:r>
      <w:r>
        <w:rPr>
          <w:spacing w:val="-6"/>
          <w:w w:val="105"/>
          <w:sz w:val="21"/>
        </w:rPr>
        <w:t> </w:t>
      </w:r>
      <w:r>
        <w:rPr>
          <w:w w:val="105"/>
          <w:sz w:val="21"/>
        </w:rPr>
        <w:t>review</w:t>
      </w:r>
      <w:r>
        <w:rPr>
          <w:spacing w:val="-7"/>
          <w:w w:val="105"/>
          <w:sz w:val="21"/>
        </w:rPr>
        <w:t> </w:t>
      </w:r>
      <w:r>
        <w:rPr>
          <w:w w:val="105"/>
          <w:sz w:val="21"/>
        </w:rPr>
        <w:t>of</w:t>
      </w:r>
      <w:r>
        <w:rPr>
          <w:spacing w:val="-6"/>
          <w:w w:val="105"/>
          <w:sz w:val="21"/>
        </w:rPr>
        <w:t> </w:t>
      </w:r>
      <w:r>
        <w:rPr>
          <w:spacing w:val="-4"/>
          <w:w w:val="105"/>
          <w:sz w:val="21"/>
        </w:rPr>
        <w:t>25</w:t>
      </w:r>
      <w:r>
        <w:rPr>
          <w:spacing w:val="-6"/>
          <w:w w:val="105"/>
          <w:sz w:val="21"/>
        </w:rPr>
        <w:t> </w:t>
      </w:r>
      <w:r>
        <w:rPr>
          <w:spacing w:val="-3"/>
          <w:w w:val="105"/>
          <w:sz w:val="21"/>
        </w:rPr>
        <w:t>successful</w:t>
      </w:r>
      <w:r>
        <w:rPr>
          <w:spacing w:val="-7"/>
          <w:w w:val="105"/>
          <w:sz w:val="21"/>
        </w:rPr>
        <w:t> </w:t>
      </w:r>
      <w:r>
        <w:rPr>
          <w:spacing w:val="-3"/>
          <w:w w:val="105"/>
          <w:sz w:val="21"/>
        </w:rPr>
        <w:t>applications</w:t>
      </w:r>
      <w:r>
        <w:rPr>
          <w:spacing w:val="-6"/>
          <w:w w:val="105"/>
          <w:sz w:val="21"/>
        </w:rPr>
        <w:t> </w:t>
      </w:r>
      <w:r>
        <w:rPr>
          <w:spacing w:val="-3"/>
          <w:w w:val="105"/>
          <w:sz w:val="21"/>
        </w:rPr>
        <w:t>for</w:t>
      </w:r>
      <w:r>
        <w:rPr>
          <w:spacing w:val="-7"/>
          <w:w w:val="105"/>
          <w:sz w:val="21"/>
        </w:rPr>
        <w:t> </w:t>
      </w:r>
      <w:r>
        <w:rPr>
          <w:w w:val="105"/>
          <w:sz w:val="21"/>
        </w:rPr>
        <w:t>statutory</w:t>
      </w:r>
      <w:r>
        <w:rPr>
          <w:spacing w:val="-6"/>
          <w:w w:val="105"/>
          <w:sz w:val="21"/>
        </w:rPr>
        <w:t> </w:t>
      </w:r>
      <w:r>
        <w:rPr>
          <w:spacing w:val="-3"/>
          <w:w w:val="105"/>
          <w:sz w:val="21"/>
        </w:rPr>
        <w:t>wills</w:t>
      </w:r>
      <w:r>
        <w:rPr>
          <w:spacing w:val="-6"/>
          <w:w w:val="105"/>
          <w:sz w:val="21"/>
        </w:rPr>
        <w:t> </w:t>
      </w:r>
      <w:r>
        <w:rPr>
          <w:w w:val="105"/>
          <w:sz w:val="21"/>
        </w:rPr>
        <w:t>in</w:t>
      </w:r>
      <w:r>
        <w:rPr>
          <w:spacing w:val="-7"/>
          <w:w w:val="105"/>
          <w:sz w:val="21"/>
        </w:rPr>
        <w:t> </w:t>
      </w:r>
      <w:r>
        <w:rPr>
          <w:w w:val="105"/>
          <w:sz w:val="21"/>
        </w:rPr>
        <w:t>Victoria,</w:t>
      </w:r>
      <w:r>
        <w:rPr>
          <w:spacing w:val="-6"/>
          <w:w w:val="105"/>
          <w:sz w:val="21"/>
        </w:rPr>
        <w:t> </w:t>
      </w:r>
      <w:r>
        <w:rPr>
          <w:w w:val="105"/>
          <w:sz w:val="21"/>
        </w:rPr>
        <w:t>the </w:t>
      </w:r>
      <w:r>
        <w:rPr>
          <w:spacing w:val="-3"/>
          <w:w w:val="105"/>
          <w:sz w:val="21"/>
        </w:rPr>
        <w:t>Commission found</w:t>
      </w:r>
      <w:r>
        <w:rPr>
          <w:spacing w:val="14"/>
          <w:w w:val="105"/>
          <w:sz w:val="21"/>
        </w:rPr>
        <w:t> </w:t>
      </w:r>
      <w:r>
        <w:rPr>
          <w:w w:val="105"/>
          <w:sz w:val="21"/>
        </w:rPr>
        <w:t>that:</w:t>
      </w:r>
    </w:p>
    <w:p>
      <w:pPr>
        <w:pStyle w:val="ListParagraph"/>
        <w:numPr>
          <w:ilvl w:val="2"/>
          <w:numId w:val="22"/>
        </w:numPr>
        <w:tabs>
          <w:tab w:pos="2721" w:val="left" w:leader="none"/>
          <w:tab w:pos="2722" w:val="left" w:leader="none"/>
        </w:tabs>
        <w:spacing w:line="242" w:lineRule="auto" w:before="122" w:after="0"/>
        <w:ind w:left="2721" w:right="1681" w:hanging="340"/>
        <w:jc w:val="left"/>
        <w:rPr>
          <w:sz w:val="21"/>
        </w:rPr>
      </w:pPr>
      <w:r>
        <w:rPr>
          <w:sz w:val="21"/>
        </w:rPr>
        <w:t>Costs </w:t>
      </w:r>
      <w:r>
        <w:rPr>
          <w:spacing w:val="-3"/>
          <w:sz w:val="21"/>
        </w:rPr>
        <w:t>were </w:t>
      </w:r>
      <w:r>
        <w:rPr>
          <w:sz w:val="21"/>
        </w:rPr>
        <w:t>paid </w:t>
      </w:r>
      <w:r>
        <w:rPr>
          <w:spacing w:val="-3"/>
          <w:sz w:val="21"/>
        </w:rPr>
        <w:t>from </w:t>
      </w:r>
      <w:r>
        <w:rPr>
          <w:sz w:val="21"/>
        </w:rPr>
        <w:t>the estate of the </w:t>
      </w:r>
      <w:r>
        <w:rPr>
          <w:spacing w:val="-3"/>
          <w:sz w:val="21"/>
        </w:rPr>
        <w:t>incapacitated </w:t>
      </w:r>
      <w:r>
        <w:rPr>
          <w:sz w:val="21"/>
        </w:rPr>
        <w:t>person in </w:t>
      </w:r>
      <w:r>
        <w:rPr>
          <w:spacing w:val="-8"/>
          <w:sz w:val="21"/>
        </w:rPr>
        <w:t>15 </w:t>
      </w:r>
      <w:r>
        <w:rPr>
          <w:sz w:val="21"/>
        </w:rPr>
        <w:t>cases. </w:t>
      </w:r>
      <w:r>
        <w:rPr>
          <w:spacing w:val="-6"/>
          <w:sz w:val="21"/>
        </w:rPr>
        <w:t>Ten </w:t>
      </w:r>
      <w:r>
        <w:rPr>
          <w:sz w:val="21"/>
        </w:rPr>
        <w:t>of these matters </w:t>
      </w:r>
      <w:r>
        <w:rPr>
          <w:spacing w:val="-3"/>
          <w:sz w:val="21"/>
        </w:rPr>
        <w:t>involved </w:t>
      </w:r>
      <w:r>
        <w:rPr>
          <w:sz w:val="21"/>
        </w:rPr>
        <w:t>applicants who received a benefit under the statutory will; </w:t>
      </w:r>
      <w:r>
        <w:rPr>
          <w:spacing w:val="-3"/>
          <w:sz w:val="21"/>
        </w:rPr>
        <w:t>four involved</w:t>
      </w:r>
      <w:r>
        <w:rPr>
          <w:spacing w:val="16"/>
          <w:sz w:val="21"/>
        </w:rPr>
        <w:t> </w:t>
      </w:r>
      <w:r>
        <w:rPr>
          <w:spacing w:val="-3"/>
          <w:sz w:val="21"/>
        </w:rPr>
        <w:t>disinterested</w:t>
      </w:r>
      <w:r>
        <w:rPr>
          <w:spacing w:val="16"/>
          <w:sz w:val="21"/>
        </w:rPr>
        <w:t> </w:t>
      </w:r>
      <w:r>
        <w:rPr>
          <w:sz w:val="21"/>
        </w:rPr>
        <w:t>applicants</w:t>
      </w:r>
      <w:r>
        <w:rPr>
          <w:spacing w:val="16"/>
          <w:sz w:val="21"/>
        </w:rPr>
        <w:t> </w:t>
      </w:r>
      <w:r>
        <w:rPr>
          <w:spacing w:val="-3"/>
          <w:sz w:val="21"/>
        </w:rPr>
        <w:t>such</w:t>
      </w:r>
      <w:r>
        <w:rPr>
          <w:spacing w:val="16"/>
          <w:sz w:val="21"/>
        </w:rPr>
        <w:t> </w:t>
      </w:r>
      <w:r>
        <w:rPr>
          <w:sz w:val="21"/>
        </w:rPr>
        <w:t>as</w:t>
      </w:r>
      <w:r>
        <w:rPr>
          <w:spacing w:val="16"/>
          <w:sz w:val="21"/>
        </w:rPr>
        <w:t> </w:t>
      </w:r>
      <w:r>
        <w:rPr>
          <w:spacing w:val="-3"/>
          <w:sz w:val="21"/>
        </w:rPr>
        <w:t>administrators;</w:t>
      </w:r>
      <w:r>
        <w:rPr>
          <w:spacing w:val="16"/>
          <w:sz w:val="21"/>
        </w:rPr>
        <w:t> </w:t>
      </w:r>
      <w:r>
        <w:rPr>
          <w:spacing w:val="-3"/>
          <w:sz w:val="21"/>
        </w:rPr>
        <w:t>and,</w:t>
      </w:r>
      <w:r>
        <w:rPr>
          <w:spacing w:val="16"/>
          <w:sz w:val="21"/>
        </w:rPr>
        <w:t> </w:t>
      </w:r>
      <w:r>
        <w:rPr>
          <w:sz w:val="21"/>
        </w:rPr>
        <w:t>in</w:t>
      </w:r>
      <w:r>
        <w:rPr>
          <w:spacing w:val="16"/>
          <w:sz w:val="21"/>
        </w:rPr>
        <w:t> </w:t>
      </w:r>
      <w:r>
        <w:rPr>
          <w:sz w:val="21"/>
        </w:rPr>
        <w:t>one</w:t>
      </w:r>
      <w:r>
        <w:rPr>
          <w:spacing w:val="16"/>
          <w:sz w:val="21"/>
        </w:rPr>
        <w:t> </w:t>
      </w:r>
      <w:r>
        <w:rPr>
          <w:spacing w:val="-3"/>
          <w:sz w:val="21"/>
        </w:rPr>
        <w:t>case,</w:t>
      </w:r>
      <w:r>
        <w:rPr>
          <w:spacing w:val="16"/>
          <w:sz w:val="21"/>
        </w:rPr>
        <w:t> </w:t>
      </w:r>
      <w:r>
        <w:rPr>
          <w:sz w:val="21"/>
        </w:rPr>
        <w:t>it</w:t>
      </w:r>
      <w:r>
        <w:rPr>
          <w:spacing w:val="16"/>
          <w:sz w:val="21"/>
        </w:rPr>
        <w:t> </w:t>
      </w:r>
      <w:r>
        <w:rPr>
          <w:sz w:val="21"/>
        </w:rPr>
        <w:t>was</w:t>
      </w:r>
    </w:p>
    <w:p>
      <w:pPr>
        <w:pStyle w:val="BodyText"/>
        <w:spacing w:before="4"/>
        <w:ind w:left="2721"/>
        <w:rPr>
          <w:sz w:val="12"/>
        </w:rPr>
      </w:pPr>
      <w:r>
        <w:rPr>
          <w:w w:val="105"/>
        </w:rPr>
        <w:t>not clear whether or not the applicant would benefit.</w:t>
      </w:r>
      <w:r>
        <w:rPr>
          <w:w w:val="105"/>
          <w:position w:val="7"/>
          <w:sz w:val="12"/>
        </w:rPr>
        <w:t>69</w:t>
      </w:r>
    </w:p>
    <w:p>
      <w:pPr>
        <w:pStyle w:val="ListParagraph"/>
        <w:numPr>
          <w:ilvl w:val="2"/>
          <w:numId w:val="22"/>
        </w:numPr>
        <w:tabs>
          <w:tab w:pos="2721" w:val="left" w:leader="none"/>
          <w:tab w:pos="2722" w:val="left" w:leader="none"/>
        </w:tabs>
        <w:spacing w:line="242" w:lineRule="auto" w:before="123" w:after="0"/>
        <w:ind w:left="2721" w:right="2231" w:hanging="340"/>
        <w:jc w:val="left"/>
        <w:rPr>
          <w:sz w:val="12"/>
        </w:rPr>
      </w:pPr>
      <w:r>
        <w:rPr>
          <w:w w:val="105"/>
          <w:sz w:val="21"/>
        </w:rPr>
        <w:t>No</w:t>
      </w:r>
      <w:r>
        <w:rPr>
          <w:spacing w:val="-5"/>
          <w:w w:val="105"/>
          <w:sz w:val="21"/>
        </w:rPr>
        <w:t> </w:t>
      </w:r>
      <w:r>
        <w:rPr>
          <w:w w:val="105"/>
          <w:sz w:val="21"/>
        </w:rPr>
        <w:t>order</w:t>
      </w:r>
      <w:r>
        <w:rPr>
          <w:spacing w:val="-4"/>
          <w:w w:val="105"/>
          <w:sz w:val="21"/>
        </w:rPr>
        <w:t> </w:t>
      </w:r>
      <w:r>
        <w:rPr>
          <w:spacing w:val="-3"/>
          <w:w w:val="105"/>
          <w:sz w:val="21"/>
        </w:rPr>
        <w:t>for</w:t>
      </w:r>
      <w:r>
        <w:rPr>
          <w:spacing w:val="-4"/>
          <w:w w:val="105"/>
          <w:sz w:val="21"/>
        </w:rPr>
        <w:t> </w:t>
      </w:r>
      <w:r>
        <w:rPr>
          <w:w w:val="105"/>
          <w:sz w:val="21"/>
        </w:rPr>
        <w:t>costs</w:t>
      </w:r>
      <w:r>
        <w:rPr>
          <w:spacing w:val="-5"/>
          <w:w w:val="105"/>
          <w:sz w:val="21"/>
        </w:rPr>
        <w:t> </w:t>
      </w:r>
      <w:r>
        <w:rPr>
          <w:w w:val="105"/>
          <w:sz w:val="21"/>
        </w:rPr>
        <w:t>was</w:t>
      </w:r>
      <w:r>
        <w:rPr>
          <w:spacing w:val="-4"/>
          <w:w w:val="105"/>
          <w:sz w:val="21"/>
        </w:rPr>
        <w:t> </w:t>
      </w:r>
      <w:r>
        <w:rPr>
          <w:w w:val="105"/>
          <w:sz w:val="21"/>
        </w:rPr>
        <w:t>made</w:t>
      </w:r>
      <w:r>
        <w:rPr>
          <w:spacing w:val="-4"/>
          <w:w w:val="105"/>
          <w:sz w:val="21"/>
        </w:rPr>
        <w:t> </w:t>
      </w:r>
      <w:r>
        <w:rPr>
          <w:w w:val="105"/>
          <w:sz w:val="21"/>
        </w:rPr>
        <w:t>in</w:t>
      </w:r>
      <w:r>
        <w:rPr>
          <w:spacing w:val="-4"/>
          <w:w w:val="105"/>
          <w:sz w:val="21"/>
        </w:rPr>
        <w:t> </w:t>
      </w:r>
      <w:r>
        <w:rPr>
          <w:spacing w:val="-3"/>
          <w:w w:val="105"/>
          <w:sz w:val="21"/>
        </w:rPr>
        <w:t>nine</w:t>
      </w:r>
      <w:r>
        <w:rPr>
          <w:spacing w:val="-5"/>
          <w:w w:val="105"/>
          <w:sz w:val="21"/>
        </w:rPr>
        <w:t> </w:t>
      </w:r>
      <w:r>
        <w:rPr>
          <w:w w:val="105"/>
          <w:sz w:val="21"/>
        </w:rPr>
        <w:t>cases</w:t>
      </w:r>
      <w:r>
        <w:rPr>
          <w:spacing w:val="-4"/>
          <w:w w:val="105"/>
          <w:sz w:val="21"/>
        </w:rPr>
        <w:t> </w:t>
      </w:r>
      <w:r>
        <w:rPr>
          <w:w w:val="105"/>
          <w:sz w:val="21"/>
        </w:rPr>
        <w:t>(meaning</w:t>
      </w:r>
      <w:r>
        <w:rPr>
          <w:spacing w:val="-4"/>
          <w:w w:val="105"/>
          <w:sz w:val="21"/>
        </w:rPr>
        <w:t> </w:t>
      </w:r>
      <w:r>
        <w:rPr>
          <w:spacing w:val="-3"/>
          <w:w w:val="105"/>
          <w:sz w:val="21"/>
        </w:rPr>
        <w:t>that</w:t>
      </w:r>
      <w:r>
        <w:rPr>
          <w:spacing w:val="-4"/>
          <w:w w:val="105"/>
          <w:sz w:val="21"/>
        </w:rPr>
        <w:t> </w:t>
      </w:r>
      <w:r>
        <w:rPr>
          <w:w w:val="105"/>
          <w:sz w:val="21"/>
        </w:rPr>
        <w:t>the</w:t>
      </w:r>
      <w:r>
        <w:rPr>
          <w:spacing w:val="-5"/>
          <w:w w:val="105"/>
          <w:sz w:val="21"/>
        </w:rPr>
        <w:t> </w:t>
      </w:r>
      <w:r>
        <w:rPr>
          <w:spacing w:val="-3"/>
          <w:w w:val="105"/>
          <w:sz w:val="21"/>
        </w:rPr>
        <w:t>applicant</w:t>
      </w:r>
      <w:r>
        <w:rPr>
          <w:spacing w:val="-4"/>
          <w:w w:val="105"/>
          <w:sz w:val="21"/>
        </w:rPr>
        <w:t> </w:t>
      </w:r>
      <w:r>
        <w:rPr>
          <w:w w:val="105"/>
          <w:sz w:val="21"/>
        </w:rPr>
        <w:t>and</w:t>
      </w:r>
      <w:r>
        <w:rPr>
          <w:spacing w:val="-4"/>
          <w:w w:val="105"/>
          <w:sz w:val="21"/>
        </w:rPr>
        <w:t> </w:t>
      </w:r>
      <w:r>
        <w:rPr>
          <w:w w:val="105"/>
          <w:sz w:val="21"/>
        </w:rPr>
        <w:t>the </w:t>
      </w:r>
      <w:r>
        <w:rPr>
          <w:spacing w:val="-3"/>
          <w:w w:val="105"/>
          <w:sz w:val="21"/>
        </w:rPr>
        <w:t>defendant, </w:t>
      </w:r>
      <w:r>
        <w:rPr>
          <w:w w:val="105"/>
          <w:sz w:val="21"/>
        </w:rPr>
        <w:t>if the matter was </w:t>
      </w:r>
      <w:r>
        <w:rPr>
          <w:spacing w:val="-3"/>
          <w:w w:val="105"/>
          <w:sz w:val="21"/>
        </w:rPr>
        <w:t>contested, </w:t>
      </w:r>
      <w:r>
        <w:rPr>
          <w:w w:val="105"/>
          <w:sz w:val="21"/>
        </w:rPr>
        <w:t>paid their own</w:t>
      </w:r>
      <w:r>
        <w:rPr>
          <w:spacing w:val="24"/>
          <w:w w:val="105"/>
          <w:sz w:val="21"/>
        </w:rPr>
        <w:t> </w:t>
      </w:r>
      <w:r>
        <w:rPr>
          <w:w w:val="105"/>
          <w:sz w:val="21"/>
        </w:rPr>
        <w:t>costs).</w:t>
      </w:r>
      <w:r>
        <w:rPr>
          <w:w w:val="105"/>
          <w:position w:val="7"/>
          <w:sz w:val="12"/>
        </w:rPr>
        <w:t>70</w:t>
      </w:r>
    </w:p>
    <w:p>
      <w:pPr>
        <w:pStyle w:val="ListParagraph"/>
        <w:numPr>
          <w:ilvl w:val="2"/>
          <w:numId w:val="22"/>
        </w:numPr>
        <w:tabs>
          <w:tab w:pos="2721" w:val="left" w:leader="none"/>
          <w:tab w:pos="2722" w:val="left" w:leader="none"/>
        </w:tabs>
        <w:spacing w:line="240" w:lineRule="auto" w:before="122" w:after="0"/>
        <w:ind w:left="2721" w:right="0" w:hanging="340"/>
        <w:jc w:val="left"/>
        <w:rPr>
          <w:sz w:val="12"/>
        </w:rPr>
      </w:pPr>
      <w:r>
        <w:rPr>
          <w:w w:val="105"/>
          <w:sz w:val="21"/>
        </w:rPr>
        <w:t>Costs</w:t>
      </w:r>
      <w:r>
        <w:rPr>
          <w:spacing w:val="4"/>
          <w:w w:val="105"/>
          <w:sz w:val="21"/>
        </w:rPr>
        <w:t> </w:t>
      </w:r>
      <w:r>
        <w:rPr>
          <w:spacing w:val="-3"/>
          <w:w w:val="105"/>
          <w:sz w:val="21"/>
        </w:rPr>
        <w:t>were</w:t>
      </w:r>
      <w:r>
        <w:rPr>
          <w:spacing w:val="4"/>
          <w:w w:val="105"/>
          <w:sz w:val="21"/>
        </w:rPr>
        <w:t> </w:t>
      </w:r>
      <w:r>
        <w:rPr>
          <w:w w:val="105"/>
          <w:sz w:val="21"/>
        </w:rPr>
        <w:t>ordered</w:t>
      </w:r>
      <w:r>
        <w:rPr>
          <w:spacing w:val="4"/>
          <w:w w:val="105"/>
          <w:sz w:val="21"/>
        </w:rPr>
        <w:t> </w:t>
      </w:r>
      <w:r>
        <w:rPr>
          <w:spacing w:val="-3"/>
          <w:w w:val="105"/>
          <w:sz w:val="21"/>
        </w:rPr>
        <w:t>to</w:t>
      </w:r>
      <w:r>
        <w:rPr>
          <w:spacing w:val="4"/>
          <w:w w:val="105"/>
          <w:sz w:val="21"/>
        </w:rPr>
        <w:t> </w:t>
      </w:r>
      <w:r>
        <w:rPr>
          <w:w w:val="105"/>
          <w:sz w:val="21"/>
        </w:rPr>
        <w:t>be</w:t>
      </w:r>
      <w:r>
        <w:rPr>
          <w:spacing w:val="4"/>
          <w:w w:val="105"/>
          <w:sz w:val="21"/>
        </w:rPr>
        <w:t> </w:t>
      </w:r>
      <w:r>
        <w:rPr>
          <w:w w:val="105"/>
          <w:sz w:val="21"/>
        </w:rPr>
        <w:t>paid</w:t>
      </w:r>
      <w:r>
        <w:rPr>
          <w:spacing w:val="4"/>
          <w:w w:val="105"/>
          <w:sz w:val="21"/>
        </w:rPr>
        <w:t> </w:t>
      </w:r>
      <w:r>
        <w:rPr>
          <w:w w:val="105"/>
          <w:sz w:val="21"/>
        </w:rPr>
        <w:t>by</w:t>
      </w:r>
      <w:r>
        <w:rPr>
          <w:spacing w:val="4"/>
          <w:w w:val="105"/>
          <w:sz w:val="21"/>
        </w:rPr>
        <w:t> </w:t>
      </w:r>
      <w:r>
        <w:rPr>
          <w:w w:val="105"/>
          <w:sz w:val="21"/>
        </w:rPr>
        <w:t>an</w:t>
      </w:r>
      <w:r>
        <w:rPr>
          <w:spacing w:val="4"/>
          <w:w w:val="105"/>
          <w:sz w:val="21"/>
        </w:rPr>
        <w:t> </w:t>
      </w:r>
      <w:r>
        <w:rPr>
          <w:spacing w:val="-3"/>
          <w:w w:val="105"/>
          <w:sz w:val="21"/>
        </w:rPr>
        <w:t>unsuccessful</w:t>
      </w:r>
      <w:r>
        <w:rPr>
          <w:spacing w:val="5"/>
          <w:w w:val="105"/>
          <w:sz w:val="21"/>
        </w:rPr>
        <w:t> </w:t>
      </w:r>
      <w:r>
        <w:rPr>
          <w:spacing w:val="-3"/>
          <w:w w:val="105"/>
          <w:sz w:val="21"/>
        </w:rPr>
        <w:t>defendant</w:t>
      </w:r>
      <w:r>
        <w:rPr>
          <w:spacing w:val="4"/>
          <w:w w:val="105"/>
          <w:sz w:val="21"/>
        </w:rPr>
        <w:t> </w:t>
      </w:r>
      <w:r>
        <w:rPr>
          <w:w w:val="105"/>
          <w:sz w:val="21"/>
        </w:rPr>
        <w:t>in</w:t>
      </w:r>
      <w:r>
        <w:rPr>
          <w:spacing w:val="4"/>
          <w:w w:val="105"/>
          <w:sz w:val="21"/>
        </w:rPr>
        <w:t> </w:t>
      </w:r>
      <w:r>
        <w:rPr>
          <w:w w:val="105"/>
          <w:sz w:val="21"/>
        </w:rPr>
        <w:t>one</w:t>
      </w:r>
      <w:r>
        <w:rPr>
          <w:spacing w:val="4"/>
          <w:w w:val="105"/>
          <w:sz w:val="21"/>
        </w:rPr>
        <w:t> </w:t>
      </w:r>
      <w:r>
        <w:rPr>
          <w:spacing w:val="-5"/>
          <w:w w:val="105"/>
          <w:sz w:val="21"/>
        </w:rPr>
        <w:t>case.</w:t>
      </w:r>
      <w:r>
        <w:rPr>
          <w:spacing w:val="-5"/>
          <w:w w:val="105"/>
          <w:position w:val="7"/>
          <w:sz w:val="12"/>
        </w:rPr>
        <w:t>71</w:t>
      </w:r>
    </w:p>
    <w:p>
      <w:pPr>
        <w:pStyle w:val="ListParagraph"/>
        <w:numPr>
          <w:ilvl w:val="1"/>
          <w:numId w:val="22"/>
        </w:numPr>
        <w:tabs>
          <w:tab w:pos="2380" w:val="left" w:leader="none"/>
          <w:tab w:pos="2381" w:val="left" w:leader="none"/>
        </w:tabs>
        <w:spacing w:line="242" w:lineRule="auto" w:before="124" w:after="0"/>
        <w:ind w:left="2381" w:right="1759" w:hanging="794"/>
        <w:jc w:val="left"/>
        <w:rPr>
          <w:sz w:val="12"/>
        </w:rPr>
      </w:pPr>
      <w:r>
        <w:rPr>
          <w:w w:val="105"/>
          <w:sz w:val="21"/>
        </w:rPr>
        <w:t>In the </w:t>
      </w:r>
      <w:r>
        <w:rPr>
          <w:spacing w:val="-3"/>
          <w:w w:val="105"/>
          <w:sz w:val="21"/>
        </w:rPr>
        <w:t>consultation </w:t>
      </w:r>
      <w:r>
        <w:rPr>
          <w:w w:val="105"/>
          <w:sz w:val="21"/>
        </w:rPr>
        <w:t>paper on </w:t>
      </w:r>
      <w:r>
        <w:rPr>
          <w:spacing w:val="-3"/>
          <w:w w:val="105"/>
          <w:sz w:val="21"/>
        </w:rPr>
        <w:t>wills, </w:t>
      </w:r>
      <w:r>
        <w:rPr>
          <w:w w:val="105"/>
          <w:sz w:val="21"/>
        </w:rPr>
        <w:t>the </w:t>
      </w:r>
      <w:r>
        <w:rPr>
          <w:spacing w:val="-3"/>
          <w:w w:val="105"/>
          <w:sz w:val="21"/>
        </w:rPr>
        <w:t>Commission outlined </w:t>
      </w:r>
      <w:r>
        <w:rPr>
          <w:w w:val="105"/>
          <w:sz w:val="21"/>
        </w:rPr>
        <w:t>the general </w:t>
      </w:r>
      <w:r>
        <w:rPr>
          <w:spacing w:val="-3"/>
          <w:w w:val="105"/>
          <w:sz w:val="21"/>
        </w:rPr>
        <w:t>principles that </w:t>
      </w:r>
      <w:r>
        <w:rPr>
          <w:w w:val="105"/>
          <w:sz w:val="21"/>
        </w:rPr>
        <w:t>courts</w:t>
      </w:r>
      <w:r>
        <w:rPr>
          <w:spacing w:val="-11"/>
          <w:w w:val="105"/>
          <w:sz w:val="21"/>
        </w:rPr>
        <w:t> </w:t>
      </w:r>
      <w:r>
        <w:rPr>
          <w:spacing w:val="-3"/>
          <w:w w:val="105"/>
          <w:sz w:val="21"/>
        </w:rPr>
        <w:t>have</w:t>
      </w:r>
      <w:r>
        <w:rPr>
          <w:spacing w:val="-11"/>
          <w:w w:val="105"/>
          <w:sz w:val="21"/>
        </w:rPr>
        <w:t> </w:t>
      </w:r>
      <w:r>
        <w:rPr>
          <w:w w:val="105"/>
          <w:sz w:val="21"/>
        </w:rPr>
        <w:t>developed</w:t>
      </w:r>
      <w:r>
        <w:rPr>
          <w:spacing w:val="-11"/>
          <w:w w:val="105"/>
          <w:sz w:val="21"/>
        </w:rPr>
        <w:t> </w:t>
      </w:r>
      <w:r>
        <w:rPr>
          <w:w w:val="105"/>
          <w:sz w:val="21"/>
        </w:rPr>
        <w:t>in</w:t>
      </w:r>
      <w:r>
        <w:rPr>
          <w:spacing w:val="-10"/>
          <w:w w:val="105"/>
          <w:sz w:val="21"/>
        </w:rPr>
        <w:t> </w:t>
      </w:r>
      <w:r>
        <w:rPr>
          <w:w w:val="105"/>
          <w:sz w:val="21"/>
        </w:rPr>
        <w:t>this</w:t>
      </w:r>
      <w:r>
        <w:rPr>
          <w:spacing w:val="-11"/>
          <w:w w:val="105"/>
          <w:sz w:val="21"/>
        </w:rPr>
        <w:t> </w:t>
      </w:r>
      <w:r>
        <w:rPr>
          <w:spacing w:val="-3"/>
          <w:w w:val="105"/>
          <w:sz w:val="21"/>
        </w:rPr>
        <w:t>area</w:t>
      </w:r>
      <w:r>
        <w:rPr>
          <w:spacing w:val="-11"/>
          <w:w w:val="105"/>
          <w:sz w:val="21"/>
        </w:rPr>
        <w:t> </w:t>
      </w:r>
      <w:r>
        <w:rPr>
          <w:w w:val="105"/>
          <w:sz w:val="21"/>
        </w:rPr>
        <w:t>and</w:t>
      </w:r>
      <w:r>
        <w:rPr>
          <w:spacing w:val="-10"/>
          <w:w w:val="105"/>
          <w:sz w:val="21"/>
        </w:rPr>
        <w:t> </w:t>
      </w:r>
      <w:r>
        <w:rPr>
          <w:spacing w:val="-3"/>
          <w:w w:val="105"/>
          <w:sz w:val="21"/>
        </w:rPr>
        <w:t>asked</w:t>
      </w:r>
      <w:r>
        <w:rPr>
          <w:spacing w:val="-11"/>
          <w:w w:val="105"/>
          <w:sz w:val="21"/>
        </w:rPr>
        <w:t> </w:t>
      </w:r>
      <w:r>
        <w:rPr>
          <w:w w:val="105"/>
          <w:sz w:val="21"/>
        </w:rPr>
        <w:t>whether</w:t>
      </w:r>
      <w:r>
        <w:rPr>
          <w:spacing w:val="-11"/>
          <w:w w:val="105"/>
          <w:sz w:val="21"/>
        </w:rPr>
        <w:t> </w:t>
      </w:r>
      <w:r>
        <w:rPr>
          <w:w w:val="105"/>
          <w:sz w:val="21"/>
        </w:rPr>
        <w:t>specific</w:t>
      </w:r>
      <w:r>
        <w:rPr>
          <w:spacing w:val="-11"/>
          <w:w w:val="105"/>
          <w:sz w:val="21"/>
        </w:rPr>
        <w:t> </w:t>
      </w:r>
      <w:r>
        <w:rPr>
          <w:spacing w:val="-3"/>
          <w:w w:val="105"/>
          <w:sz w:val="21"/>
        </w:rPr>
        <w:t>legislative</w:t>
      </w:r>
      <w:r>
        <w:rPr>
          <w:spacing w:val="-10"/>
          <w:w w:val="105"/>
          <w:sz w:val="21"/>
        </w:rPr>
        <w:t> </w:t>
      </w:r>
      <w:r>
        <w:rPr>
          <w:w w:val="105"/>
          <w:sz w:val="21"/>
        </w:rPr>
        <w:t>costs</w:t>
      </w:r>
      <w:r>
        <w:rPr>
          <w:spacing w:val="-11"/>
          <w:w w:val="105"/>
          <w:sz w:val="21"/>
        </w:rPr>
        <w:t> </w:t>
      </w:r>
      <w:r>
        <w:rPr>
          <w:spacing w:val="-3"/>
          <w:w w:val="105"/>
          <w:sz w:val="21"/>
        </w:rPr>
        <w:t>provisions </w:t>
      </w:r>
      <w:r>
        <w:rPr>
          <w:w w:val="105"/>
          <w:sz w:val="21"/>
        </w:rPr>
        <w:t>should be enacted </w:t>
      </w:r>
      <w:r>
        <w:rPr>
          <w:spacing w:val="-3"/>
          <w:w w:val="105"/>
          <w:sz w:val="21"/>
        </w:rPr>
        <w:t>for </w:t>
      </w:r>
      <w:r>
        <w:rPr>
          <w:w w:val="105"/>
          <w:sz w:val="21"/>
        </w:rPr>
        <w:t>statutory </w:t>
      </w:r>
      <w:r>
        <w:rPr>
          <w:spacing w:val="-3"/>
          <w:w w:val="105"/>
          <w:sz w:val="21"/>
        </w:rPr>
        <w:t>will</w:t>
      </w:r>
      <w:r>
        <w:rPr>
          <w:spacing w:val="28"/>
          <w:w w:val="105"/>
          <w:sz w:val="21"/>
        </w:rPr>
        <w:t> </w:t>
      </w:r>
      <w:r>
        <w:rPr>
          <w:spacing w:val="-3"/>
          <w:w w:val="105"/>
          <w:sz w:val="21"/>
        </w:rPr>
        <w:t>applications.</w:t>
      </w:r>
      <w:r>
        <w:rPr>
          <w:spacing w:val="-3"/>
          <w:w w:val="105"/>
          <w:position w:val="7"/>
          <w:sz w:val="12"/>
        </w:rPr>
        <w:t>72</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7"/>
        </w:rPr>
      </w:pPr>
      <w:r>
        <w:rPr/>
        <w:pict>
          <v:line style="position:absolute;mso-position-horizontal-relative:page;mso-position-vertical-relative:paragraph;z-index:1376;mso-wrap-distance-left:0;mso-wrap-distance-right:0" from="79.370102pt,13.182774pt" to="515.905102pt,13.182774pt" stroked="true" strokeweight="1pt" strokecolor="#f9ceca">
            <v:stroke dashstyle="solid"/>
            <w10:wrap type="topAndBottom"/>
          </v:line>
        </w:pict>
      </w:r>
    </w:p>
    <w:p>
      <w:pPr>
        <w:tabs>
          <w:tab w:pos="2381" w:val="left" w:leader="none"/>
        </w:tabs>
        <w:spacing w:before="117"/>
        <w:ind w:left="1587" w:right="0" w:firstLine="0"/>
        <w:jc w:val="left"/>
        <w:rPr>
          <w:sz w:val="13"/>
        </w:rPr>
      </w:pPr>
      <w:r>
        <w:rPr>
          <w:w w:val="105"/>
          <w:sz w:val="13"/>
        </w:rPr>
        <w:t>65</w:t>
        <w:tab/>
      </w:r>
      <w:r>
        <w:rPr>
          <w:i/>
          <w:w w:val="105"/>
          <w:sz w:val="13"/>
        </w:rPr>
        <w:t>Hill</w:t>
      </w:r>
      <w:r>
        <w:rPr>
          <w:i/>
          <w:spacing w:val="3"/>
          <w:w w:val="105"/>
          <w:sz w:val="13"/>
        </w:rPr>
        <w:t> </w:t>
      </w:r>
      <w:r>
        <w:rPr>
          <w:i/>
          <w:w w:val="105"/>
          <w:sz w:val="13"/>
        </w:rPr>
        <w:t>v</w:t>
      </w:r>
      <w:r>
        <w:rPr>
          <w:i/>
          <w:spacing w:val="4"/>
          <w:w w:val="105"/>
          <w:sz w:val="13"/>
        </w:rPr>
        <w:t> </w:t>
      </w:r>
      <w:r>
        <w:rPr>
          <w:i/>
          <w:w w:val="105"/>
          <w:sz w:val="13"/>
        </w:rPr>
        <w:t>Hill</w:t>
      </w:r>
      <w:r>
        <w:rPr>
          <w:i/>
          <w:spacing w:val="3"/>
          <w:w w:val="105"/>
          <w:sz w:val="13"/>
        </w:rPr>
        <w:t> (No</w:t>
      </w:r>
      <w:r>
        <w:rPr>
          <w:i/>
          <w:spacing w:val="4"/>
          <w:w w:val="105"/>
          <w:sz w:val="13"/>
        </w:rPr>
        <w:t> </w:t>
      </w:r>
      <w:r>
        <w:rPr>
          <w:i/>
          <w:w w:val="105"/>
          <w:sz w:val="13"/>
        </w:rPr>
        <w:t>2)</w:t>
      </w:r>
      <w:r>
        <w:rPr>
          <w:i/>
          <w:spacing w:val="5"/>
          <w:w w:val="105"/>
          <w:sz w:val="13"/>
        </w:rPr>
        <w:t> </w:t>
      </w:r>
      <w:r>
        <w:rPr>
          <w:w w:val="105"/>
          <w:sz w:val="13"/>
        </w:rPr>
        <w:t>[2001]</w:t>
      </w:r>
      <w:r>
        <w:rPr>
          <w:spacing w:val="4"/>
          <w:w w:val="105"/>
          <w:sz w:val="13"/>
        </w:rPr>
        <w:t> </w:t>
      </w:r>
      <w:r>
        <w:rPr>
          <w:w w:val="105"/>
          <w:sz w:val="13"/>
        </w:rPr>
        <w:t>VSC</w:t>
      </w:r>
      <w:r>
        <w:rPr>
          <w:spacing w:val="5"/>
          <w:w w:val="105"/>
          <w:sz w:val="13"/>
        </w:rPr>
        <w:t> </w:t>
      </w:r>
      <w:r>
        <w:rPr>
          <w:spacing w:val="-3"/>
          <w:w w:val="105"/>
          <w:sz w:val="13"/>
        </w:rPr>
        <w:t>135</w:t>
      </w:r>
      <w:r>
        <w:rPr>
          <w:spacing w:val="5"/>
          <w:w w:val="105"/>
          <w:sz w:val="13"/>
        </w:rPr>
        <w:t> </w:t>
      </w:r>
      <w:r>
        <w:rPr>
          <w:w w:val="105"/>
          <w:sz w:val="13"/>
        </w:rPr>
        <w:t>(22</w:t>
      </w:r>
      <w:r>
        <w:rPr>
          <w:spacing w:val="4"/>
          <w:w w:val="105"/>
          <w:sz w:val="13"/>
        </w:rPr>
        <w:t> </w:t>
      </w:r>
      <w:r>
        <w:rPr>
          <w:w w:val="105"/>
          <w:sz w:val="13"/>
        </w:rPr>
        <w:t>May</w:t>
      </w:r>
      <w:r>
        <w:rPr>
          <w:spacing w:val="5"/>
          <w:w w:val="105"/>
          <w:sz w:val="13"/>
        </w:rPr>
        <w:t> </w:t>
      </w:r>
      <w:r>
        <w:rPr>
          <w:w w:val="105"/>
          <w:sz w:val="13"/>
        </w:rPr>
        <w:t>2001)</w:t>
      </w:r>
      <w:r>
        <w:rPr>
          <w:spacing w:val="4"/>
          <w:w w:val="105"/>
          <w:sz w:val="13"/>
        </w:rPr>
        <w:t> [8].</w:t>
      </w:r>
    </w:p>
    <w:p>
      <w:pPr>
        <w:tabs>
          <w:tab w:pos="2381" w:val="left" w:leader="none"/>
        </w:tabs>
        <w:spacing w:before="1"/>
        <w:ind w:left="1587" w:right="0" w:firstLine="0"/>
        <w:jc w:val="left"/>
        <w:rPr>
          <w:sz w:val="13"/>
        </w:rPr>
      </w:pPr>
      <w:r>
        <w:rPr>
          <w:sz w:val="13"/>
        </w:rPr>
        <w:t>66</w:t>
        <w:tab/>
        <w:t>Ibid</w:t>
      </w:r>
      <w:r>
        <w:rPr>
          <w:spacing w:val="6"/>
          <w:sz w:val="13"/>
        </w:rPr>
        <w:t> </w:t>
      </w:r>
      <w:r>
        <w:rPr>
          <w:spacing w:val="4"/>
          <w:sz w:val="13"/>
        </w:rPr>
        <w:t>[9].</w:t>
      </w:r>
    </w:p>
    <w:p>
      <w:pPr>
        <w:tabs>
          <w:tab w:pos="2381" w:val="left" w:leader="none"/>
        </w:tabs>
        <w:spacing w:before="2"/>
        <w:ind w:left="1587" w:right="0" w:firstLine="0"/>
        <w:jc w:val="left"/>
        <w:rPr>
          <w:sz w:val="13"/>
        </w:rPr>
      </w:pPr>
      <w:r>
        <w:rPr>
          <w:w w:val="105"/>
          <w:sz w:val="13"/>
        </w:rPr>
        <w:t>67</w:t>
        <w:tab/>
      </w:r>
      <w:r>
        <w:rPr>
          <w:i/>
          <w:w w:val="105"/>
          <w:sz w:val="13"/>
        </w:rPr>
        <w:t>Boulton v Sanders </w:t>
      </w:r>
      <w:r>
        <w:rPr>
          <w:spacing w:val="2"/>
          <w:w w:val="105"/>
          <w:sz w:val="13"/>
        </w:rPr>
        <w:t>(2004) </w:t>
      </w:r>
      <w:r>
        <w:rPr>
          <w:w w:val="105"/>
          <w:sz w:val="13"/>
        </w:rPr>
        <w:t>9 VR 495, 521</w:t>
      </w:r>
      <w:r>
        <w:rPr>
          <w:spacing w:val="2"/>
          <w:w w:val="105"/>
          <w:sz w:val="13"/>
        </w:rPr>
        <w:t> [153]–[154].</w:t>
      </w:r>
    </w:p>
    <w:p>
      <w:pPr>
        <w:tabs>
          <w:tab w:pos="2381" w:val="left" w:leader="none"/>
        </w:tabs>
        <w:spacing w:before="1"/>
        <w:ind w:left="1587" w:right="6445" w:firstLine="0"/>
        <w:jc w:val="left"/>
        <w:rPr>
          <w:sz w:val="13"/>
        </w:rPr>
      </w:pPr>
      <w:r>
        <w:rPr>
          <w:w w:val="105"/>
          <w:sz w:val="13"/>
        </w:rPr>
        <w:t>68</w:t>
        <w:tab/>
      </w:r>
      <w:r>
        <w:rPr>
          <w:i/>
          <w:w w:val="105"/>
          <w:sz w:val="13"/>
        </w:rPr>
        <w:t>Plowright v Burge </w:t>
      </w:r>
      <w:r>
        <w:rPr>
          <w:spacing w:val="2"/>
          <w:w w:val="105"/>
          <w:sz w:val="13"/>
        </w:rPr>
        <w:t>[2006] </w:t>
      </w:r>
      <w:r>
        <w:rPr>
          <w:w w:val="105"/>
          <w:sz w:val="13"/>
        </w:rPr>
        <w:t>VSC 69 (2 March </w:t>
      </w:r>
      <w:r>
        <w:rPr>
          <w:spacing w:val="2"/>
          <w:w w:val="105"/>
          <w:sz w:val="13"/>
        </w:rPr>
        <w:t>2006) </w:t>
      </w:r>
      <w:r>
        <w:rPr>
          <w:w w:val="105"/>
          <w:sz w:val="13"/>
        </w:rPr>
        <w:t>[10]. 69</w:t>
        <w:tab/>
        <w:t>Ibid</w:t>
      </w:r>
      <w:r>
        <w:rPr>
          <w:spacing w:val="4"/>
          <w:w w:val="105"/>
          <w:sz w:val="13"/>
        </w:rPr>
        <w:t> </w:t>
      </w:r>
      <w:r>
        <w:rPr>
          <w:w w:val="105"/>
          <w:sz w:val="13"/>
        </w:rPr>
        <w:t>[14].</w:t>
      </w:r>
    </w:p>
    <w:p>
      <w:pPr>
        <w:pStyle w:val="ListParagraph"/>
        <w:numPr>
          <w:ilvl w:val="0"/>
          <w:numId w:val="37"/>
        </w:numPr>
        <w:tabs>
          <w:tab w:pos="2381" w:val="left" w:leader="none"/>
          <w:tab w:pos="2382" w:val="left" w:leader="none"/>
        </w:tabs>
        <w:spacing w:line="240" w:lineRule="auto" w:before="3" w:after="0"/>
        <w:ind w:left="2381" w:right="0" w:hanging="794"/>
        <w:jc w:val="left"/>
        <w:rPr>
          <w:sz w:val="13"/>
        </w:rPr>
      </w:pPr>
      <w:r>
        <w:rPr>
          <w:w w:val="105"/>
          <w:sz w:val="13"/>
        </w:rPr>
        <w:t>See,</w:t>
      </w:r>
      <w:r>
        <w:rPr>
          <w:spacing w:val="5"/>
          <w:w w:val="105"/>
          <w:sz w:val="13"/>
        </w:rPr>
        <w:t> </w:t>
      </w:r>
      <w:r>
        <w:rPr>
          <w:w w:val="105"/>
          <w:sz w:val="13"/>
        </w:rPr>
        <w:t>eg,</w:t>
      </w:r>
      <w:r>
        <w:rPr>
          <w:spacing w:val="5"/>
          <w:w w:val="105"/>
          <w:sz w:val="13"/>
        </w:rPr>
        <w:t> </w:t>
      </w:r>
      <w:r>
        <w:rPr>
          <w:i/>
          <w:w w:val="105"/>
          <w:sz w:val="13"/>
        </w:rPr>
        <w:t>Hill</w:t>
      </w:r>
      <w:r>
        <w:rPr>
          <w:i/>
          <w:spacing w:val="5"/>
          <w:w w:val="105"/>
          <w:sz w:val="13"/>
        </w:rPr>
        <w:t> </w:t>
      </w:r>
      <w:r>
        <w:rPr>
          <w:i/>
          <w:w w:val="105"/>
          <w:sz w:val="13"/>
        </w:rPr>
        <w:t>v</w:t>
      </w:r>
      <w:r>
        <w:rPr>
          <w:i/>
          <w:spacing w:val="4"/>
          <w:w w:val="105"/>
          <w:sz w:val="13"/>
        </w:rPr>
        <w:t> </w:t>
      </w:r>
      <w:r>
        <w:rPr>
          <w:i/>
          <w:w w:val="105"/>
          <w:sz w:val="13"/>
        </w:rPr>
        <w:t>Hill</w:t>
      </w:r>
      <w:r>
        <w:rPr>
          <w:i/>
          <w:spacing w:val="4"/>
          <w:w w:val="105"/>
          <w:sz w:val="13"/>
        </w:rPr>
        <w:t> </w:t>
      </w:r>
      <w:r>
        <w:rPr>
          <w:i/>
          <w:spacing w:val="3"/>
          <w:w w:val="105"/>
          <w:sz w:val="13"/>
        </w:rPr>
        <w:t>(No</w:t>
      </w:r>
      <w:r>
        <w:rPr>
          <w:i/>
          <w:spacing w:val="5"/>
          <w:w w:val="105"/>
          <w:sz w:val="13"/>
        </w:rPr>
        <w:t> </w:t>
      </w:r>
      <w:r>
        <w:rPr>
          <w:i/>
          <w:w w:val="105"/>
          <w:sz w:val="13"/>
        </w:rPr>
        <w:t>2)</w:t>
      </w:r>
      <w:r>
        <w:rPr>
          <w:i/>
          <w:spacing w:val="5"/>
          <w:w w:val="105"/>
          <w:sz w:val="13"/>
        </w:rPr>
        <w:t> </w:t>
      </w:r>
      <w:r>
        <w:rPr>
          <w:w w:val="105"/>
          <w:sz w:val="13"/>
        </w:rPr>
        <w:t>[2001]</w:t>
      </w:r>
      <w:r>
        <w:rPr>
          <w:spacing w:val="6"/>
          <w:w w:val="105"/>
          <w:sz w:val="13"/>
        </w:rPr>
        <w:t> </w:t>
      </w:r>
      <w:r>
        <w:rPr>
          <w:w w:val="105"/>
          <w:sz w:val="13"/>
        </w:rPr>
        <w:t>VSC</w:t>
      </w:r>
      <w:r>
        <w:rPr>
          <w:spacing w:val="5"/>
          <w:w w:val="105"/>
          <w:sz w:val="13"/>
        </w:rPr>
        <w:t> </w:t>
      </w:r>
      <w:r>
        <w:rPr>
          <w:spacing w:val="-3"/>
          <w:w w:val="105"/>
          <w:sz w:val="13"/>
        </w:rPr>
        <w:t>135</w:t>
      </w:r>
      <w:r>
        <w:rPr>
          <w:spacing w:val="5"/>
          <w:w w:val="105"/>
          <w:sz w:val="13"/>
        </w:rPr>
        <w:t> </w:t>
      </w:r>
      <w:r>
        <w:rPr>
          <w:w w:val="105"/>
          <w:sz w:val="13"/>
        </w:rPr>
        <w:t>(22</w:t>
      </w:r>
      <w:r>
        <w:rPr>
          <w:spacing w:val="6"/>
          <w:w w:val="105"/>
          <w:sz w:val="13"/>
        </w:rPr>
        <w:t> </w:t>
      </w:r>
      <w:r>
        <w:rPr>
          <w:w w:val="105"/>
          <w:sz w:val="13"/>
        </w:rPr>
        <w:t>May</w:t>
      </w:r>
      <w:r>
        <w:rPr>
          <w:spacing w:val="5"/>
          <w:w w:val="105"/>
          <w:sz w:val="13"/>
        </w:rPr>
        <w:t> </w:t>
      </w:r>
      <w:r>
        <w:rPr>
          <w:w w:val="105"/>
          <w:sz w:val="13"/>
        </w:rPr>
        <w:t>2001);</w:t>
      </w:r>
      <w:r>
        <w:rPr>
          <w:spacing w:val="6"/>
          <w:w w:val="105"/>
          <w:sz w:val="13"/>
        </w:rPr>
        <w:t> </w:t>
      </w:r>
      <w:r>
        <w:rPr>
          <w:i/>
          <w:w w:val="105"/>
          <w:sz w:val="13"/>
        </w:rPr>
        <w:t>Monger</w:t>
      </w:r>
      <w:r>
        <w:rPr>
          <w:i/>
          <w:spacing w:val="4"/>
          <w:w w:val="105"/>
          <w:sz w:val="13"/>
        </w:rPr>
        <w:t> </w:t>
      </w:r>
      <w:r>
        <w:rPr>
          <w:i/>
          <w:w w:val="105"/>
          <w:sz w:val="13"/>
        </w:rPr>
        <w:t>v</w:t>
      </w:r>
      <w:r>
        <w:rPr>
          <w:i/>
          <w:spacing w:val="4"/>
          <w:w w:val="105"/>
          <w:sz w:val="13"/>
        </w:rPr>
        <w:t> </w:t>
      </w:r>
      <w:r>
        <w:rPr>
          <w:i/>
          <w:w w:val="105"/>
          <w:sz w:val="13"/>
        </w:rPr>
        <w:t>Taylor</w:t>
      </w:r>
      <w:r>
        <w:rPr>
          <w:i/>
          <w:spacing w:val="6"/>
          <w:w w:val="105"/>
          <w:sz w:val="13"/>
        </w:rPr>
        <w:t> </w:t>
      </w:r>
      <w:r>
        <w:rPr>
          <w:spacing w:val="2"/>
          <w:w w:val="105"/>
          <w:sz w:val="13"/>
        </w:rPr>
        <w:t>[2000]</w:t>
      </w:r>
      <w:r>
        <w:rPr>
          <w:spacing w:val="5"/>
          <w:w w:val="105"/>
          <w:sz w:val="13"/>
        </w:rPr>
        <w:t> </w:t>
      </w:r>
      <w:r>
        <w:rPr>
          <w:w w:val="105"/>
          <w:sz w:val="13"/>
        </w:rPr>
        <w:t>VSC</w:t>
      </w:r>
      <w:r>
        <w:rPr>
          <w:spacing w:val="6"/>
          <w:w w:val="105"/>
          <w:sz w:val="13"/>
        </w:rPr>
        <w:t> </w:t>
      </w:r>
      <w:r>
        <w:rPr>
          <w:spacing w:val="2"/>
          <w:w w:val="105"/>
          <w:sz w:val="13"/>
        </w:rPr>
        <w:t>304;</w:t>
      </w:r>
      <w:r>
        <w:rPr>
          <w:spacing w:val="5"/>
          <w:w w:val="105"/>
          <w:sz w:val="13"/>
        </w:rPr>
        <w:t> </w:t>
      </w:r>
      <w:r>
        <w:rPr>
          <w:w w:val="105"/>
          <w:sz w:val="13"/>
        </w:rPr>
        <w:t>Re</w:t>
      </w:r>
      <w:r>
        <w:rPr>
          <w:spacing w:val="5"/>
          <w:w w:val="105"/>
          <w:sz w:val="13"/>
        </w:rPr>
        <w:t> </w:t>
      </w:r>
      <w:r>
        <w:rPr>
          <w:w w:val="105"/>
          <w:sz w:val="13"/>
        </w:rPr>
        <w:t>Palmer</w:t>
      </w:r>
      <w:r>
        <w:rPr>
          <w:spacing w:val="6"/>
          <w:w w:val="105"/>
          <w:sz w:val="13"/>
        </w:rPr>
        <w:t> </w:t>
      </w:r>
      <w:r>
        <w:rPr>
          <w:w w:val="105"/>
          <w:sz w:val="13"/>
        </w:rPr>
        <w:t>[2003]</w:t>
      </w:r>
      <w:r>
        <w:rPr>
          <w:spacing w:val="5"/>
          <w:w w:val="105"/>
          <w:sz w:val="13"/>
        </w:rPr>
        <w:t> </w:t>
      </w:r>
      <w:r>
        <w:rPr>
          <w:w w:val="105"/>
          <w:sz w:val="13"/>
        </w:rPr>
        <w:t>VSC</w:t>
      </w:r>
      <w:r>
        <w:rPr>
          <w:spacing w:val="6"/>
          <w:w w:val="105"/>
          <w:sz w:val="13"/>
        </w:rPr>
        <w:t> </w:t>
      </w:r>
      <w:r>
        <w:rPr>
          <w:spacing w:val="-3"/>
          <w:w w:val="105"/>
          <w:sz w:val="13"/>
        </w:rPr>
        <w:t>21.</w:t>
      </w:r>
    </w:p>
    <w:p>
      <w:pPr>
        <w:pStyle w:val="ListParagraph"/>
        <w:numPr>
          <w:ilvl w:val="0"/>
          <w:numId w:val="37"/>
        </w:numPr>
        <w:tabs>
          <w:tab w:pos="2381" w:val="left" w:leader="none"/>
          <w:tab w:pos="2382" w:val="left" w:leader="none"/>
        </w:tabs>
        <w:spacing w:line="240" w:lineRule="auto" w:before="1" w:after="0"/>
        <w:ind w:left="2381" w:right="0" w:hanging="794"/>
        <w:jc w:val="left"/>
        <w:rPr>
          <w:sz w:val="13"/>
        </w:rPr>
      </w:pPr>
      <w:r>
        <w:rPr/>
        <w:pict>
          <v:shape style="position:absolute;margin-left:36pt;margin-top:3.599363pt;width:13.25pt;height:14.25pt;mso-position-horizontal-relative:page;mso-position-vertical-relative:paragraph;z-index:3448" type="#_x0000_t202" filled="false" stroked="false">
            <v:textbox inset="0,0,0,0">
              <w:txbxContent>
                <w:p>
                  <w:pPr>
                    <w:spacing w:line="284" w:lineRule="exact" w:before="0"/>
                    <w:ind w:left="0" w:right="0" w:firstLine="0"/>
                    <w:jc w:val="left"/>
                    <w:rPr>
                      <w:b/>
                      <w:sz w:val="24"/>
                    </w:rPr>
                  </w:pPr>
                  <w:r>
                    <w:rPr>
                      <w:b/>
                      <w:color w:val="EC5A4F"/>
                      <w:spacing w:val="-2"/>
                      <w:w w:val="110"/>
                      <w:sz w:val="24"/>
                    </w:rPr>
                    <w:t>32</w:t>
                  </w:r>
                </w:p>
              </w:txbxContent>
            </v:textbox>
            <w10:wrap type="none"/>
          </v:shape>
        </w:pict>
      </w:r>
      <w:r>
        <w:rPr>
          <w:i/>
          <w:w w:val="105"/>
          <w:sz w:val="13"/>
        </w:rPr>
        <w:t>Re</w:t>
      </w:r>
      <w:r>
        <w:rPr>
          <w:i/>
          <w:spacing w:val="3"/>
          <w:w w:val="105"/>
          <w:sz w:val="13"/>
        </w:rPr>
        <w:t> </w:t>
      </w:r>
      <w:r>
        <w:rPr>
          <w:i/>
          <w:w w:val="105"/>
          <w:sz w:val="13"/>
        </w:rPr>
        <w:t>Haustorfer</w:t>
      </w:r>
      <w:r>
        <w:rPr>
          <w:i/>
          <w:spacing w:val="5"/>
          <w:w w:val="105"/>
          <w:sz w:val="13"/>
        </w:rPr>
        <w:t> </w:t>
      </w:r>
      <w:r>
        <w:rPr>
          <w:w w:val="105"/>
          <w:sz w:val="13"/>
        </w:rPr>
        <w:t>(Unreported,</w:t>
      </w:r>
      <w:r>
        <w:rPr>
          <w:spacing w:val="5"/>
          <w:w w:val="105"/>
          <w:sz w:val="13"/>
        </w:rPr>
        <w:t> </w:t>
      </w:r>
      <w:r>
        <w:rPr>
          <w:w w:val="105"/>
          <w:sz w:val="13"/>
        </w:rPr>
        <w:t>Supreme</w:t>
      </w:r>
      <w:r>
        <w:rPr>
          <w:spacing w:val="5"/>
          <w:w w:val="105"/>
          <w:sz w:val="13"/>
        </w:rPr>
        <w:t> </w:t>
      </w:r>
      <w:r>
        <w:rPr>
          <w:w w:val="105"/>
          <w:sz w:val="13"/>
        </w:rPr>
        <w:t>Court</w:t>
      </w:r>
      <w:r>
        <w:rPr>
          <w:spacing w:val="5"/>
          <w:w w:val="105"/>
          <w:sz w:val="13"/>
        </w:rPr>
        <w:t> </w:t>
      </w:r>
      <w:r>
        <w:rPr>
          <w:w w:val="105"/>
          <w:sz w:val="13"/>
        </w:rPr>
        <w:t>of</w:t>
      </w:r>
      <w:r>
        <w:rPr>
          <w:spacing w:val="4"/>
          <w:w w:val="105"/>
          <w:sz w:val="13"/>
        </w:rPr>
        <w:t> </w:t>
      </w:r>
      <w:r>
        <w:rPr>
          <w:w w:val="105"/>
          <w:sz w:val="13"/>
        </w:rPr>
        <w:t>Victoria,</w:t>
      </w:r>
      <w:r>
        <w:rPr>
          <w:spacing w:val="5"/>
          <w:w w:val="105"/>
          <w:sz w:val="13"/>
        </w:rPr>
        <w:t> </w:t>
      </w:r>
      <w:r>
        <w:rPr>
          <w:w w:val="105"/>
          <w:sz w:val="13"/>
        </w:rPr>
        <w:t>Habersberger</w:t>
      </w:r>
      <w:r>
        <w:rPr>
          <w:spacing w:val="5"/>
          <w:w w:val="105"/>
          <w:sz w:val="13"/>
        </w:rPr>
        <w:t> </w:t>
      </w:r>
      <w:r>
        <w:rPr>
          <w:w w:val="105"/>
          <w:sz w:val="13"/>
        </w:rPr>
        <w:t>J,</w:t>
      </w:r>
      <w:r>
        <w:rPr>
          <w:spacing w:val="5"/>
          <w:w w:val="105"/>
          <w:sz w:val="13"/>
        </w:rPr>
        <w:t> </w:t>
      </w:r>
      <w:r>
        <w:rPr>
          <w:w w:val="105"/>
          <w:sz w:val="13"/>
        </w:rPr>
        <w:t>23</w:t>
      </w:r>
      <w:r>
        <w:rPr>
          <w:spacing w:val="5"/>
          <w:w w:val="105"/>
          <w:sz w:val="13"/>
        </w:rPr>
        <w:t> </w:t>
      </w:r>
      <w:r>
        <w:rPr>
          <w:w w:val="105"/>
          <w:sz w:val="13"/>
        </w:rPr>
        <w:t>March</w:t>
      </w:r>
      <w:r>
        <w:rPr>
          <w:spacing w:val="4"/>
          <w:w w:val="105"/>
          <w:sz w:val="13"/>
        </w:rPr>
        <w:t> </w:t>
      </w:r>
      <w:r>
        <w:rPr>
          <w:w w:val="105"/>
          <w:sz w:val="13"/>
        </w:rPr>
        <w:t>2012).</w:t>
      </w:r>
    </w:p>
    <w:p>
      <w:pPr>
        <w:pStyle w:val="ListParagraph"/>
        <w:numPr>
          <w:ilvl w:val="0"/>
          <w:numId w:val="37"/>
        </w:numPr>
        <w:tabs>
          <w:tab w:pos="2381" w:val="left" w:leader="none"/>
          <w:tab w:pos="2382" w:val="left" w:leader="none"/>
        </w:tabs>
        <w:spacing w:line="240" w:lineRule="auto" w:before="1" w:after="0"/>
        <w:ind w:left="2381" w:right="0" w:hanging="794"/>
        <w:jc w:val="left"/>
        <w:rPr>
          <w:sz w:val="13"/>
        </w:rPr>
      </w:pPr>
      <w:r>
        <w:rPr>
          <w:w w:val="105"/>
          <w:sz w:val="13"/>
        </w:rPr>
        <w:t>Victorian Law Reform Commission, </w:t>
      </w:r>
      <w:r>
        <w:rPr>
          <w:i/>
          <w:w w:val="105"/>
          <w:sz w:val="13"/>
        </w:rPr>
        <w:t>Wills Consultation Paper</w:t>
      </w:r>
      <w:r>
        <w:rPr>
          <w:w w:val="105"/>
          <w:sz w:val="13"/>
        </w:rPr>
        <w:t>, above n</w:t>
      </w:r>
      <w:r>
        <w:rPr>
          <w:spacing w:val="25"/>
          <w:w w:val="105"/>
          <w:sz w:val="13"/>
        </w:rPr>
        <w:t> </w:t>
      </w:r>
      <w:r>
        <w:rPr>
          <w:spacing w:val="-6"/>
          <w:w w:val="105"/>
          <w:sz w:val="13"/>
        </w:rPr>
        <w:t>7, </w:t>
      </w:r>
      <w:r>
        <w:rPr>
          <w:spacing w:val="3"/>
          <w:w w:val="105"/>
          <w:sz w:val="13"/>
        </w:rPr>
        <w:t>43–4.</w:t>
      </w:r>
    </w:p>
    <w:p>
      <w:pPr>
        <w:spacing w:after="0" w:line="240" w:lineRule="auto"/>
        <w:jc w:val="left"/>
        <w:rPr>
          <w:sz w:val="13"/>
        </w:rPr>
        <w:sectPr>
          <w:pgSz w:w="11910" w:h="16840"/>
          <w:pgMar w:header="550" w:footer="0" w:top="1560" w:bottom="280" w:left="0" w:right="0"/>
        </w:sectPr>
      </w:pPr>
    </w:p>
    <w:p>
      <w:pPr>
        <w:pStyle w:val="BodyText"/>
        <w:rPr>
          <w:sz w:val="20"/>
        </w:rPr>
      </w:pPr>
    </w:p>
    <w:p>
      <w:pPr>
        <w:pStyle w:val="BodyText"/>
        <w:rPr>
          <w:sz w:val="19"/>
        </w:rPr>
      </w:pPr>
    </w:p>
    <w:p>
      <w:pPr>
        <w:pStyle w:val="ListParagraph"/>
        <w:numPr>
          <w:ilvl w:val="1"/>
          <w:numId w:val="22"/>
        </w:numPr>
        <w:tabs>
          <w:tab w:pos="2381" w:val="left" w:leader="none"/>
          <w:tab w:pos="2382" w:val="left" w:leader="none"/>
        </w:tabs>
        <w:spacing w:line="242" w:lineRule="auto" w:before="91" w:after="0"/>
        <w:ind w:left="2381" w:right="1830" w:hanging="794"/>
        <w:jc w:val="left"/>
        <w:rPr>
          <w:sz w:val="21"/>
        </w:rPr>
      </w:pPr>
      <w:r>
        <w:rPr>
          <w:sz w:val="21"/>
        </w:rPr>
        <w:t>Most </w:t>
      </w:r>
      <w:r>
        <w:rPr>
          <w:spacing w:val="-3"/>
          <w:sz w:val="21"/>
        </w:rPr>
        <w:t>submissions that </w:t>
      </w:r>
      <w:r>
        <w:rPr>
          <w:sz w:val="21"/>
        </w:rPr>
        <w:t>addressed this issue  </w:t>
      </w:r>
      <w:r>
        <w:rPr>
          <w:spacing w:val="-3"/>
          <w:sz w:val="21"/>
        </w:rPr>
        <w:t>indicated  </w:t>
      </w:r>
      <w:r>
        <w:rPr>
          <w:sz w:val="21"/>
        </w:rPr>
        <w:t>a  </w:t>
      </w:r>
      <w:r>
        <w:rPr>
          <w:spacing w:val="-3"/>
          <w:sz w:val="21"/>
        </w:rPr>
        <w:t>preference  for  </w:t>
      </w:r>
      <w:r>
        <w:rPr>
          <w:sz w:val="21"/>
        </w:rPr>
        <w:t>the  </w:t>
      </w:r>
      <w:r>
        <w:rPr>
          <w:spacing w:val="-3"/>
          <w:sz w:val="21"/>
        </w:rPr>
        <w:t>Court  to retain </w:t>
      </w:r>
      <w:r>
        <w:rPr>
          <w:sz w:val="21"/>
        </w:rPr>
        <w:t>its general </w:t>
      </w:r>
      <w:r>
        <w:rPr>
          <w:spacing w:val="-3"/>
          <w:sz w:val="21"/>
        </w:rPr>
        <w:t>discretion </w:t>
      </w:r>
      <w:r>
        <w:rPr>
          <w:sz w:val="21"/>
        </w:rPr>
        <w:t>over </w:t>
      </w:r>
      <w:r>
        <w:rPr>
          <w:spacing w:val="-3"/>
          <w:sz w:val="21"/>
        </w:rPr>
        <w:t>costs.</w:t>
      </w:r>
      <w:r>
        <w:rPr>
          <w:spacing w:val="-3"/>
          <w:position w:val="7"/>
          <w:sz w:val="12"/>
        </w:rPr>
        <w:t>73 </w:t>
      </w:r>
      <w:r>
        <w:rPr>
          <w:sz w:val="21"/>
        </w:rPr>
        <w:t>Reasons given </w:t>
      </w:r>
      <w:r>
        <w:rPr>
          <w:spacing w:val="-3"/>
          <w:sz w:val="21"/>
        </w:rPr>
        <w:t>for </w:t>
      </w:r>
      <w:r>
        <w:rPr>
          <w:sz w:val="21"/>
        </w:rPr>
        <w:t>this </w:t>
      </w:r>
      <w:r>
        <w:rPr>
          <w:spacing w:val="-3"/>
          <w:sz w:val="21"/>
        </w:rPr>
        <w:t>included that </w:t>
      </w:r>
      <w:r>
        <w:rPr>
          <w:sz w:val="21"/>
        </w:rPr>
        <w:t>the </w:t>
      </w:r>
      <w:r>
        <w:rPr>
          <w:spacing w:val="-3"/>
          <w:sz w:val="21"/>
        </w:rPr>
        <w:t>current principles are appropriate </w:t>
      </w:r>
      <w:r>
        <w:rPr>
          <w:sz w:val="21"/>
        </w:rPr>
        <w:t>and </w:t>
      </w:r>
      <w:r>
        <w:rPr>
          <w:spacing w:val="-4"/>
          <w:sz w:val="21"/>
        </w:rPr>
        <w:t>fair </w:t>
      </w:r>
      <w:r>
        <w:rPr>
          <w:sz w:val="21"/>
        </w:rPr>
        <w:t>and must be applied on a case by case basis </w:t>
      </w:r>
      <w:r>
        <w:rPr>
          <w:spacing w:val="-3"/>
          <w:position w:val="7"/>
          <w:sz w:val="12"/>
        </w:rPr>
        <w:t>74  </w:t>
      </w:r>
      <w:r>
        <w:rPr>
          <w:spacing w:val="-4"/>
          <w:sz w:val="21"/>
        </w:rPr>
        <w:t>and,  </w:t>
      </w:r>
      <w:r>
        <w:rPr>
          <w:sz w:val="21"/>
        </w:rPr>
        <w:t>given </w:t>
      </w:r>
      <w:r>
        <w:rPr>
          <w:spacing w:val="-3"/>
          <w:sz w:val="21"/>
        </w:rPr>
        <w:t>that </w:t>
      </w:r>
      <w:r>
        <w:rPr>
          <w:sz w:val="21"/>
        </w:rPr>
        <w:t>only a </w:t>
      </w:r>
      <w:r>
        <w:rPr>
          <w:spacing w:val="-3"/>
          <w:sz w:val="21"/>
        </w:rPr>
        <w:t>small </w:t>
      </w:r>
      <w:r>
        <w:rPr>
          <w:sz w:val="21"/>
        </w:rPr>
        <w:t>number of </w:t>
      </w:r>
      <w:r>
        <w:rPr>
          <w:spacing w:val="-3"/>
          <w:sz w:val="21"/>
        </w:rPr>
        <w:t>applications are made, </w:t>
      </w:r>
      <w:r>
        <w:rPr>
          <w:sz w:val="21"/>
        </w:rPr>
        <w:t>special </w:t>
      </w:r>
      <w:r>
        <w:rPr>
          <w:spacing w:val="-3"/>
          <w:sz w:val="21"/>
        </w:rPr>
        <w:t>provisions </w:t>
      </w:r>
      <w:r>
        <w:rPr>
          <w:sz w:val="21"/>
        </w:rPr>
        <w:t>need</w:t>
      </w:r>
      <w:r>
        <w:rPr>
          <w:spacing w:val="-20"/>
          <w:sz w:val="21"/>
        </w:rPr>
        <w:t> </w:t>
      </w:r>
      <w:r>
        <w:rPr>
          <w:spacing w:val="-2"/>
          <w:sz w:val="21"/>
        </w:rPr>
        <w:t>not</w:t>
      </w:r>
    </w:p>
    <w:p>
      <w:pPr>
        <w:pStyle w:val="BodyText"/>
        <w:spacing w:before="4"/>
        <w:ind w:left="2381"/>
        <w:rPr>
          <w:sz w:val="12"/>
        </w:rPr>
      </w:pPr>
      <w:r>
        <w:rPr>
          <w:w w:val="105"/>
        </w:rPr>
        <w:t>be enacted.</w:t>
      </w:r>
      <w:r>
        <w:rPr>
          <w:w w:val="105"/>
          <w:position w:val="7"/>
          <w:sz w:val="12"/>
        </w:rPr>
        <w:t>75</w:t>
      </w:r>
    </w:p>
    <w:p>
      <w:pPr>
        <w:pStyle w:val="ListParagraph"/>
        <w:numPr>
          <w:ilvl w:val="1"/>
          <w:numId w:val="22"/>
        </w:numPr>
        <w:tabs>
          <w:tab w:pos="2380" w:val="left" w:leader="none"/>
          <w:tab w:pos="2382" w:val="left" w:leader="none"/>
        </w:tabs>
        <w:spacing w:line="240" w:lineRule="auto" w:before="124" w:after="0"/>
        <w:ind w:left="2381" w:right="0" w:hanging="794"/>
        <w:jc w:val="left"/>
        <w:rPr>
          <w:sz w:val="21"/>
        </w:rPr>
      </w:pPr>
      <w:r>
        <w:rPr>
          <w:sz w:val="21"/>
        </w:rPr>
        <w:t>Other </w:t>
      </w:r>
      <w:r>
        <w:rPr>
          <w:spacing w:val="-3"/>
          <w:sz w:val="21"/>
        </w:rPr>
        <w:t>submissions </w:t>
      </w:r>
      <w:r>
        <w:rPr>
          <w:sz w:val="21"/>
        </w:rPr>
        <w:t>argued </w:t>
      </w:r>
      <w:r>
        <w:rPr>
          <w:spacing w:val="-3"/>
          <w:sz w:val="21"/>
        </w:rPr>
        <w:t>that </w:t>
      </w:r>
      <w:r>
        <w:rPr>
          <w:sz w:val="21"/>
        </w:rPr>
        <w:t>more specific costs rules should </w:t>
      </w:r>
      <w:r>
        <w:rPr>
          <w:spacing w:val="-4"/>
          <w:sz w:val="21"/>
        </w:rPr>
        <w:t>apply, </w:t>
      </w:r>
      <w:r>
        <w:rPr>
          <w:spacing w:val="-3"/>
          <w:sz w:val="21"/>
        </w:rPr>
        <w:t>for</w:t>
      </w:r>
      <w:r>
        <w:rPr>
          <w:spacing w:val="-4"/>
          <w:sz w:val="21"/>
        </w:rPr>
        <w:t> </w:t>
      </w:r>
      <w:r>
        <w:rPr>
          <w:sz w:val="21"/>
        </w:rPr>
        <w:t>example:</w:t>
      </w:r>
    </w:p>
    <w:p>
      <w:pPr>
        <w:pStyle w:val="ListParagraph"/>
        <w:numPr>
          <w:ilvl w:val="2"/>
          <w:numId w:val="22"/>
        </w:numPr>
        <w:tabs>
          <w:tab w:pos="2721" w:val="left" w:leader="none"/>
          <w:tab w:pos="2722" w:val="left" w:leader="none"/>
        </w:tabs>
        <w:spacing w:line="240" w:lineRule="auto" w:before="124" w:after="0"/>
        <w:ind w:left="2721" w:right="0" w:hanging="340"/>
        <w:jc w:val="left"/>
        <w:rPr>
          <w:sz w:val="12"/>
        </w:rPr>
      </w:pPr>
      <w:r>
        <w:rPr>
          <w:w w:val="105"/>
          <w:sz w:val="21"/>
        </w:rPr>
        <w:t>A</w:t>
      </w:r>
      <w:r>
        <w:rPr>
          <w:spacing w:val="-11"/>
          <w:w w:val="105"/>
          <w:sz w:val="21"/>
        </w:rPr>
        <w:t> </w:t>
      </w:r>
      <w:r>
        <w:rPr>
          <w:w w:val="105"/>
          <w:sz w:val="21"/>
        </w:rPr>
        <w:t>distinction</w:t>
      </w:r>
      <w:r>
        <w:rPr>
          <w:spacing w:val="-11"/>
          <w:w w:val="105"/>
          <w:sz w:val="21"/>
        </w:rPr>
        <w:t> </w:t>
      </w:r>
      <w:r>
        <w:rPr>
          <w:w w:val="105"/>
          <w:sz w:val="21"/>
        </w:rPr>
        <w:t>should</w:t>
      </w:r>
      <w:r>
        <w:rPr>
          <w:spacing w:val="-10"/>
          <w:w w:val="105"/>
          <w:sz w:val="21"/>
        </w:rPr>
        <w:t> </w:t>
      </w:r>
      <w:r>
        <w:rPr>
          <w:w w:val="105"/>
          <w:sz w:val="21"/>
        </w:rPr>
        <w:t>be</w:t>
      </w:r>
      <w:r>
        <w:rPr>
          <w:spacing w:val="-11"/>
          <w:w w:val="105"/>
          <w:sz w:val="21"/>
        </w:rPr>
        <w:t> </w:t>
      </w:r>
      <w:r>
        <w:rPr>
          <w:w w:val="105"/>
          <w:sz w:val="21"/>
        </w:rPr>
        <w:t>made</w:t>
      </w:r>
      <w:r>
        <w:rPr>
          <w:spacing w:val="-11"/>
          <w:w w:val="105"/>
          <w:sz w:val="21"/>
        </w:rPr>
        <w:t> </w:t>
      </w:r>
      <w:r>
        <w:rPr>
          <w:w w:val="105"/>
          <w:sz w:val="21"/>
        </w:rPr>
        <w:t>between</w:t>
      </w:r>
      <w:r>
        <w:rPr>
          <w:spacing w:val="-10"/>
          <w:w w:val="105"/>
          <w:sz w:val="21"/>
        </w:rPr>
        <w:t> </w:t>
      </w:r>
      <w:r>
        <w:rPr>
          <w:spacing w:val="-3"/>
          <w:w w:val="105"/>
          <w:sz w:val="21"/>
        </w:rPr>
        <w:t>interested</w:t>
      </w:r>
      <w:r>
        <w:rPr>
          <w:spacing w:val="-11"/>
          <w:w w:val="105"/>
          <w:sz w:val="21"/>
        </w:rPr>
        <w:t> </w:t>
      </w:r>
      <w:r>
        <w:rPr>
          <w:w w:val="105"/>
          <w:sz w:val="21"/>
        </w:rPr>
        <w:t>and</w:t>
      </w:r>
      <w:r>
        <w:rPr>
          <w:spacing w:val="-11"/>
          <w:w w:val="105"/>
          <w:sz w:val="21"/>
        </w:rPr>
        <w:t> </w:t>
      </w:r>
      <w:r>
        <w:rPr>
          <w:spacing w:val="-3"/>
          <w:w w:val="105"/>
          <w:sz w:val="21"/>
        </w:rPr>
        <w:t>disinterested</w:t>
      </w:r>
      <w:r>
        <w:rPr>
          <w:spacing w:val="-10"/>
          <w:w w:val="105"/>
          <w:sz w:val="21"/>
        </w:rPr>
        <w:t> </w:t>
      </w:r>
      <w:r>
        <w:rPr>
          <w:spacing w:val="-3"/>
          <w:w w:val="105"/>
          <w:sz w:val="21"/>
        </w:rPr>
        <w:t>applicants.</w:t>
      </w:r>
      <w:r>
        <w:rPr>
          <w:spacing w:val="-3"/>
          <w:w w:val="105"/>
          <w:position w:val="7"/>
          <w:sz w:val="12"/>
        </w:rPr>
        <w:t>76</w:t>
      </w:r>
    </w:p>
    <w:p>
      <w:pPr>
        <w:pStyle w:val="ListParagraph"/>
        <w:numPr>
          <w:ilvl w:val="2"/>
          <w:numId w:val="22"/>
        </w:numPr>
        <w:tabs>
          <w:tab w:pos="2721" w:val="left" w:leader="none"/>
          <w:tab w:pos="2722" w:val="left" w:leader="none"/>
        </w:tabs>
        <w:spacing w:line="242" w:lineRule="auto" w:before="124" w:after="0"/>
        <w:ind w:left="2721" w:right="1963" w:hanging="340"/>
        <w:jc w:val="left"/>
        <w:rPr>
          <w:sz w:val="12"/>
        </w:rPr>
      </w:pPr>
      <w:r>
        <w:rPr>
          <w:sz w:val="21"/>
        </w:rPr>
        <w:t>There should be a statutory </w:t>
      </w:r>
      <w:r>
        <w:rPr>
          <w:spacing w:val="-3"/>
          <w:sz w:val="21"/>
        </w:rPr>
        <w:t>presumption that disinterested </w:t>
      </w:r>
      <w:r>
        <w:rPr>
          <w:sz w:val="21"/>
        </w:rPr>
        <w:t>applicants receive their costs</w:t>
      </w:r>
      <w:r>
        <w:rPr>
          <w:spacing w:val="9"/>
          <w:sz w:val="21"/>
        </w:rPr>
        <w:t> </w:t>
      </w:r>
      <w:r>
        <w:rPr>
          <w:sz w:val="21"/>
        </w:rPr>
        <w:t>out</w:t>
      </w:r>
      <w:r>
        <w:rPr>
          <w:spacing w:val="10"/>
          <w:sz w:val="21"/>
        </w:rPr>
        <w:t> </w:t>
      </w:r>
      <w:r>
        <w:rPr>
          <w:sz w:val="21"/>
        </w:rPr>
        <w:t>of</w:t>
      </w:r>
      <w:r>
        <w:rPr>
          <w:spacing w:val="9"/>
          <w:sz w:val="21"/>
        </w:rPr>
        <w:t> </w:t>
      </w:r>
      <w:r>
        <w:rPr>
          <w:sz w:val="21"/>
        </w:rPr>
        <w:t>the</w:t>
      </w:r>
      <w:r>
        <w:rPr>
          <w:spacing w:val="10"/>
          <w:sz w:val="21"/>
        </w:rPr>
        <w:t> </w:t>
      </w:r>
      <w:r>
        <w:rPr>
          <w:sz w:val="21"/>
        </w:rPr>
        <w:t>estate</w:t>
      </w:r>
      <w:r>
        <w:rPr>
          <w:spacing w:val="9"/>
          <w:sz w:val="21"/>
        </w:rPr>
        <w:t> </w:t>
      </w:r>
      <w:r>
        <w:rPr>
          <w:sz w:val="21"/>
        </w:rPr>
        <w:t>at</w:t>
      </w:r>
      <w:r>
        <w:rPr>
          <w:spacing w:val="10"/>
          <w:sz w:val="21"/>
        </w:rPr>
        <w:t> </w:t>
      </w:r>
      <w:r>
        <w:rPr>
          <w:sz w:val="21"/>
        </w:rPr>
        <w:t>the</w:t>
      </w:r>
      <w:r>
        <w:rPr>
          <w:spacing w:val="9"/>
          <w:sz w:val="21"/>
        </w:rPr>
        <w:t> </w:t>
      </w:r>
      <w:r>
        <w:rPr>
          <w:sz w:val="21"/>
        </w:rPr>
        <w:t>time</w:t>
      </w:r>
      <w:r>
        <w:rPr>
          <w:spacing w:val="10"/>
          <w:sz w:val="21"/>
        </w:rPr>
        <w:t> </w:t>
      </w:r>
      <w:r>
        <w:rPr>
          <w:sz w:val="21"/>
        </w:rPr>
        <w:t>of</w:t>
      </w:r>
      <w:r>
        <w:rPr>
          <w:spacing w:val="9"/>
          <w:sz w:val="21"/>
        </w:rPr>
        <w:t> </w:t>
      </w:r>
      <w:r>
        <w:rPr>
          <w:spacing w:val="-3"/>
          <w:sz w:val="21"/>
        </w:rPr>
        <w:t>judgment.</w:t>
      </w:r>
      <w:r>
        <w:rPr>
          <w:spacing w:val="-3"/>
          <w:position w:val="7"/>
          <w:sz w:val="12"/>
        </w:rPr>
        <w:t>77</w:t>
      </w:r>
    </w:p>
    <w:p>
      <w:pPr>
        <w:pStyle w:val="ListParagraph"/>
        <w:numPr>
          <w:ilvl w:val="2"/>
          <w:numId w:val="22"/>
        </w:numPr>
        <w:tabs>
          <w:tab w:pos="2721" w:val="left" w:leader="none"/>
          <w:tab w:pos="2722" w:val="left" w:leader="none"/>
        </w:tabs>
        <w:spacing w:line="242" w:lineRule="auto" w:before="122" w:after="0"/>
        <w:ind w:left="2721" w:right="2262" w:hanging="340"/>
        <w:jc w:val="left"/>
        <w:rPr>
          <w:sz w:val="12"/>
        </w:rPr>
      </w:pPr>
      <w:r>
        <w:rPr>
          <w:w w:val="105"/>
          <w:sz w:val="21"/>
        </w:rPr>
        <w:t>There</w:t>
      </w:r>
      <w:r>
        <w:rPr>
          <w:spacing w:val="-8"/>
          <w:w w:val="105"/>
          <w:sz w:val="21"/>
        </w:rPr>
        <w:t> </w:t>
      </w:r>
      <w:r>
        <w:rPr>
          <w:w w:val="105"/>
          <w:sz w:val="21"/>
        </w:rPr>
        <w:t>should</w:t>
      </w:r>
      <w:r>
        <w:rPr>
          <w:spacing w:val="-8"/>
          <w:w w:val="105"/>
          <w:sz w:val="21"/>
        </w:rPr>
        <w:t> </w:t>
      </w:r>
      <w:r>
        <w:rPr>
          <w:w w:val="105"/>
          <w:sz w:val="21"/>
        </w:rPr>
        <w:t>be</w:t>
      </w:r>
      <w:r>
        <w:rPr>
          <w:spacing w:val="-8"/>
          <w:w w:val="105"/>
          <w:sz w:val="21"/>
        </w:rPr>
        <w:t> </w:t>
      </w:r>
      <w:r>
        <w:rPr>
          <w:w w:val="105"/>
          <w:sz w:val="21"/>
        </w:rPr>
        <w:t>a</w:t>
      </w:r>
      <w:r>
        <w:rPr>
          <w:spacing w:val="-8"/>
          <w:w w:val="105"/>
          <w:sz w:val="21"/>
        </w:rPr>
        <w:t> </w:t>
      </w:r>
      <w:r>
        <w:rPr>
          <w:w w:val="105"/>
          <w:sz w:val="21"/>
        </w:rPr>
        <w:t>statutory</w:t>
      </w:r>
      <w:r>
        <w:rPr>
          <w:spacing w:val="-8"/>
          <w:w w:val="105"/>
          <w:sz w:val="21"/>
        </w:rPr>
        <w:t> </w:t>
      </w:r>
      <w:r>
        <w:rPr>
          <w:spacing w:val="-3"/>
          <w:w w:val="105"/>
          <w:sz w:val="21"/>
        </w:rPr>
        <w:t>presumption</w:t>
      </w:r>
      <w:r>
        <w:rPr>
          <w:spacing w:val="-8"/>
          <w:w w:val="105"/>
          <w:sz w:val="21"/>
        </w:rPr>
        <w:t> </w:t>
      </w:r>
      <w:r>
        <w:rPr>
          <w:spacing w:val="-3"/>
          <w:w w:val="105"/>
          <w:sz w:val="21"/>
        </w:rPr>
        <w:t>that</w:t>
      </w:r>
      <w:r>
        <w:rPr>
          <w:spacing w:val="-8"/>
          <w:w w:val="105"/>
          <w:sz w:val="21"/>
        </w:rPr>
        <w:t> </w:t>
      </w:r>
      <w:r>
        <w:rPr>
          <w:w w:val="105"/>
          <w:sz w:val="21"/>
        </w:rPr>
        <w:t>a</w:t>
      </w:r>
      <w:r>
        <w:rPr>
          <w:spacing w:val="-8"/>
          <w:w w:val="105"/>
          <w:sz w:val="21"/>
        </w:rPr>
        <w:t> </w:t>
      </w:r>
      <w:r>
        <w:rPr>
          <w:spacing w:val="-3"/>
          <w:w w:val="105"/>
          <w:sz w:val="21"/>
        </w:rPr>
        <w:t>successful</w:t>
      </w:r>
      <w:r>
        <w:rPr>
          <w:spacing w:val="-8"/>
          <w:w w:val="105"/>
          <w:sz w:val="21"/>
        </w:rPr>
        <w:t> </w:t>
      </w:r>
      <w:r>
        <w:rPr>
          <w:spacing w:val="-3"/>
          <w:w w:val="105"/>
          <w:sz w:val="21"/>
        </w:rPr>
        <w:t>interested</w:t>
      </w:r>
      <w:r>
        <w:rPr>
          <w:spacing w:val="-8"/>
          <w:w w:val="105"/>
          <w:sz w:val="21"/>
        </w:rPr>
        <w:t> </w:t>
      </w:r>
      <w:r>
        <w:rPr>
          <w:spacing w:val="-3"/>
          <w:w w:val="105"/>
          <w:sz w:val="21"/>
        </w:rPr>
        <w:t>applicant, </w:t>
      </w:r>
      <w:r>
        <w:rPr>
          <w:w w:val="105"/>
          <w:sz w:val="21"/>
        </w:rPr>
        <w:t>and</w:t>
      </w:r>
      <w:r>
        <w:rPr>
          <w:spacing w:val="-10"/>
          <w:w w:val="105"/>
          <w:sz w:val="21"/>
        </w:rPr>
        <w:t> </w:t>
      </w:r>
      <w:r>
        <w:rPr>
          <w:spacing w:val="-3"/>
          <w:w w:val="105"/>
          <w:sz w:val="21"/>
        </w:rPr>
        <w:t>any</w:t>
      </w:r>
      <w:r>
        <w:rPr>
          <w:spacing w:val="-10"/>
          <w:w w:val="105"/>
          <w:sz w:val="21"/>
        </w:rPr>
        <w:t> </w:t>
      </w:r>
      <w:r>
        <w:rPr>
          <w:spacing w:val="-3"/>
          <w:w w:val="105"/>
          <w:sz w:val="21"/>
        </w:rPr>
        <w:t>defendant</w:t>
      </w:r>
      <w:r>
        <w:rPr>
          <w:spacing w:val="-9"/>
          <w:w w:val="105"/>
          <w:sz w:val="21"/>
        </w:rPr>
        <w:t> </w:t>
      </w:r>
      <w:r>
        <w:rPr>
          <w:w w:val="105"/>
          <w:sz w:val="21"/>
        </w:rPr>
        <w:t>beneficiary</w:t>
      </w:r>
      <w:r>
        <w:rPr>
          <w:spacing w:val="-10"/>
          <w:w w:val="105"/>
          <w:sz w:val="21"/>
        </w:rPr>
        <w:t> </w:t>
      </w:r>
      <w:r>
        <w:rPr>
          <w:w w:val="105"/>
          <w:sz w:val="21"/>
        </w:rPr>
        <w:t>or</w:t>
      </w:r>
      <w:r>
        <w:rPr>
          <w:spacing w:val="-9"/>
          <w:w w:val="105"/>
          <w:sz w:val="21"/>
        </w:rPr>
        <w:t> </w:t>
      </w:r>
      <w:r>
        <w:rPr>
          <w:spacing w:val="-4"/>
          <w:w w:val="105"/>
          <w:sz w:val="21"/>
        </w:rPr>
        <w:t>executor,</w:t>
      </w:r>
      <w:r>
        <w:rPr>
          <w:spacing w:val="-10"/>
          <w:w w:val="105"/>
          <w:sz w:val="21"/>
        </w:rPr>
        <w:t> </w:t>
      </w:r>
      <w:r>
        <w:rPr>
          <w:w w:val="105"/>
          <w:sz w:val="21"/>
        </w:rPr>
        <w:t>should</w:t>
      </w:r>
      <w:r>
        <w:rPr>
          <w:spacing w:val="-10"/>
          <w:w w:val="105"/>
          <w:sz w:val="21"/>
        </w:rPr>
        <w:t> </w:t>
      </w:r>
      <w:r>
        <w:rPr>
          <w:w w:val="105"/>
          <w:sz w:val="21"/>
        </w:rPr>
        <w:t>receive</w:t>
      </w:r>
      <w:r>
        <w:rPr>
          <w:spacing w:val="-9"/>
          <w:w w:val="105"/>
          <w:sz w:val="21"/>
        </w:rPr>
        <w:t> </w:t>
      </w:r>
      <w:r>
        <w:rPr>
          <w:w w:val="105"/>
          <w:sz w:val="21"/>
        </w:rPr>
        <w:t>their</w:t>
      </w:r>
      <w:r>
        <w:rPr>
          <w:spacing w:val="-10"/>
          <w:w w:val="105"/>
          <w:sz w:val="21"/>
        </w:rPr>
        <w:t> </w:t>
      </w:r>
      <w:r>
        <w:rPr>
          <w:w w:val="105"/>
          <w:sz w:val="21"/>
        </w:rPr>
        <w:t>costs</w:t>
      </w:r>
      <w:r>
        <w:rPr>
          <w:spacing w:val="-9"/>
          <w:w w:val="105"/>
          <w:sz w:val="21"/>
        </w:rPr>
        <w:t> </w:t>
      </w:r>
      <w:r>
        <w:rPr>
          <w:spacing w:val="-3"/>
          <w:w w:val="105"/>
          <w:sz w:val="21"/>
        </w:rPr>
        <w:t>from</w:t>
      </w:r>
      <w:r>
        <w:rPr>
          <w:spacing w:val="-10"/>
          <w:w w:val="105"/>
          <w:sz w:val="21"/>
        </w:rPr>
        <w:t> </w:t>
      </w:r>
      <w:r>
        <w:rPr>
          <w:w w:val="105"/>
          <w:sz w:val="21"/>
        </w:rPr>
        <w:t>the </w:t>
      </w:r>
      <w:r>
        <w:rPr>
          <w:spacing w:val="-3"/>
          <w:w w:val="105"/>
          <w:sz w:val="21"/>
        </w:rPr>
        <w:t>incapacitated person’s </w:t>
      </w:r>
      <w:r>
        <w:rPr>
          <w:w w:val="105"/>
          <w:sz w:val="21"/>
        </w:rPr>
        <w:t>estate after</w:t>
      </w:r>
      <w:r>
        <w:rPr>
          <w:spacing w:val="24"/>
          <w:w w:val="105"/>
          <w:sz w:val="21"/>
        </w:rPr>
        <w:t> </w:t>
      </w:r>
      <w:r>
        <w:rPr>
          <w:spacing w:val="-4"/>
          <w:w w:val="105"/>
          <w:sz w:val="21"/>
        </w:rPr>
        <w:t>death.</w:t>
      </w:r>
      <w:r>
        <w:rPr>
          <w:spacing w:val="-4"/>
          <w:w w:val="105"/>
          <w:position w:val="7"/>
          <w:sz w:val="12"/>
        </w:rPr>
        <w:t>78</w:t>
      </w:r>
    </w:p>
    <w:p>
      <w:pPr>
        <w:pStyle w:val="ListParagraph"/>
        <w:numPr>
          <w:ilvl w:val="1"/>
          <w:numId w:val="22"/>
        </w:numPr>
        <w:tabs>
          <w:tab w:pos="2381" w:val="left" w:leader="none"/>
          <w:tab w:pos="2382" w:val="left" w:leader="none"/>
        </w:tabs>
        <w:spacing w:line="242" w:lineRule="auto" w:before="123" w:after="0"/>
        <w:ind w:left="2381" w:right="1672" w:hanging="794"/>
        <w:jc w:val="left"/>
        <w:rPr>
          <w:sz w:val="21"/>
        </w:rPr>
      </w:pPr>
      <w:r>
        <w:rPr>
          <w:w w:val="105"/>
          <w:sz w:val="21"/>
        </w:rPr>
        <w:t>In the </w:t>
      </w:r>
      <w:r>
        <w:rPr>
          <w:spacing w:val="-4"/>
          <w:w w:val="105"/>
          <w:sz w:val="21"/>
        </w:rPr>
        <w:t>Commission’s view, </w:t>
      </w:r>
      <w:r>
        <w:rPr>
          <w:w w:val="105"/>
          <w:sz w:val="21"/>
        </w:rPr>
        <w:t>it is </w:t>
      </w:r>
      <w:r>
        <w:rPr>
          <w:spacing w:val="-3"/>
          <w:w w:val="105"/>
          <w:sz w:val="21"/>
        </w:rPr>
        <w:t>appropriate for </w:t>
      </w:r>
      <w:r>
        <w:rPr>
          <w:w w:val="105"/>
          <w:sz w:val="21"/>
        </w:rPr>
        <w:t>the </w:t>
      </w:r>
      <w:r>
        <w:rPr>
          <w:spacing w:val="-3"/>
          <w:w w:val="105"/>
          <w:sz w:val="21"/>
        </w:rPr>
        <w:t>Court to retain </w:t>
      </w:r>
      <w:r>
        <w:rPr>
          <w:w w:val="105"/>
          <w:sz w:val="21"/>
        </w:rPr>
        <w:t>a general </w:t>
      </w:r>
      <w:r>
        <w:rPr>
          <w:spacing w:val="-3"/>
          <w:w w:val="105"/>
          <w:sz w:val="21"/>
        </w:rPr>
        <w:t>discretion </w:t>
      </w:r>
      <w:r>
        <w:rPr>
          <w:w w:val="105"/>
          <w:sz w:val="21"/>
        </w:rPr>
        <w:t>in </w:t>
      </w:r>
      <w:r>
        <w:rPr>
          <w:spacing w:val="-3"/>
          <w:w w:val="105"/>
          <w:sz w:val="21"/>
        </w:rPr>
        <w:t>relation to </w:t>
      </w:r>
      <w:r>
        <w:rPr>
          <w:w w:val="105"/>
          <w:sz w:val="21"/>
        </w:rPr>
        <w:t>costs </w:t>
      </w:r>
      <w:r>
        <w:rPr>
          <w:spacing w:val="-3"/>
          <w:w w:val="105"/>
          <w:sz w:val="21"/>
        </w:rPr>
        <w:t>for </w:t>
      </w:r>
      <w:r>
        <w:rPr>
          <w:w w:val="105"/>
          <w:sz w:val="21"/>
        </w:rPr>
        <w:t>statutory </w:t>
      </w:r>
      <w:r>
        <w:rPr>
          <w:spacing w:val="-3"/>
          <w:w w:val="105"/>
          <w:sz w:val="21"/>
        </w:rPr>
        <w:t>will applications. </w:t>
      </w:r>
      <w:r>
        <w:rPr>
          <w:w w:val="105"/>
          <w:sz w:val="21"/>
        </w:rPr>
        <w:t>The costs </w:t>
      </w:r>
      <w:r>
        <w:rPr>
          <w:spacing w:val="-3"/>
          <w:w w:val="105"/>
          <w:sz w:val="21"/>
        </w:rPr>
        <w:t>principles have </w:t>
      </w:r>
      <w:r>
        <w:rPr>
          <w:w w:val="105"/>
          <w:sz w:val="21"/>
        </w:rPr>
        <w:t>been </w:t>
      </w:r>
      <w:r>
        <w:rPr>
          <w:spacing w:val="-3"/>
          <w:w w:val="105"/>
          <w:sz w:val="21"/>
        </w:rPr>
        <w:t>developing </w:t>
      </w:r>
      <w:r>
        <w:rPr>
          <w:w w:val="105"/>
          <w:sz w:val="21"/>
        </w:rPr>
        <w:t>in a </w:t>
      </w:r>
      <w:r>
        <w:rPr>
          <w:spacing w:val="-3"/>
          <w:w w:val="105"/>
          <w:sz w:val="21"/>
        </w:rPr>
        <w:t>consistent way </w:t>
      </w:r>
      <w:r>
        <w:rPr>
          <w:w w:val="105"/>
          <w:sz w:val="21"/>
        </w:rPr>
        <w:t>across </w:t>
      </w:r>
      <w:r>
        <w:rPr>
          <w:spacing w:val="-3"/>
          <w:w w:val="105"/>
          <w:sz w:val="21"/>
        </w:rPr>
        <w:t>Australian </w:t>
      </w:r>
      <w:r>
        <w:rPr>
          <w:w w:val="105"/>
          <w:sz w:val="21"/>
        </w:rPr>
        <w:t>jurisdictions and no other jurisdiction </w:t>
      </w:r>
      <w:r>
        <w:rPr>
          <w:spacing w:val="-2"/>
          <w:w w:val="105"/>
          <w:sz w:val="21"/>
        </w:rPr>
        <w:t>has </w:t>
      </w:r>
      <w:r>
        <w:rPr>
          <w:spacing w:val="-3"/>
          <w:w w:val="105"/>
          <w:sz w:val="21"/>
        </w:rPr>
        <w:t>legislative </w:t>
      </w:r>
      <w:r>
        <w:rPr>
          <w:w w:val="105"/>
          <w:sz w:val="21"/>
        </w:rPr>
        <w:t>costs </w:t>
      </w:r>
      <w:r>
        <w:rPr>
          <w:spacing w:val="-3"/>
          <w:w w:val="105"/>
          <w:sz w:val="21"/>
        </w:rPr>
        <w:t>principles </w:t>
      </w:r>
      <w:r>
        <w:rPr>
          <w:w w:val="105"/>
          <w:sz w:val="21"/>
        </w:rPr>
        <w:t>in this </w:t>
      </w:r>
      <w:r>
        <w:rPr>
          <w:spacing w:val="-3"/>
          <w:w w:val="105"/>
          <w:sz w:val="21"/>
        </w:rPr>
        <w:t>field.</w:t>
      </w:r>
      <w:r>
        <w:rPr>
          <w:spacing w:val="-3"/>
          <w:w w:val="105"/>
          <w:position w:val="7"/>
          <w:sz w:val="12"/>
        </w:rPr>
        <w:t>79 </w:t>
      </w:r>
      <w:r>
        <w:rPr>
          <w:w w:val="105"/>
          <w:sz w:val="21"/>
        </w:rPr>
        <w:t>The </w:t>
      </w:r>
      <w:r>
        <w:rPr>
          <w:spacing w:val="-3"/>
          <w:w w:val="105"/>
          <w:sz w:val="21"/>
        </w:rPr>
        <w:t>principles that have </w:t>
      </w:r>
      <w:r>
        <w:rPr>
          <w:w w:val="105"/>
          <w:sz w:val="21"/>
        </w:rPr>
        <w:t>been developed so </w:t>
      </w:r>
      <w:r>
        <w:rPr>
          <w:spacing w:val="-3"/>
          <w:w w:val="105"/>
          <w:sz w:val="21"/>
        </w:rPr>
        <w:t>far are generally </w:t>
      </w:r>
      <w:r>
        <w:rPr>
          <w:w w:val="105"/>
          <w:sz w:val="21"/>
        </w:rPr>
        <w:t>perceived as </w:t>
      </w:r>
      <w:r>
        <w:rPr>
          <w:spacing w:val="-4"/>
          <w:w w:val="105"/>
          <w:sz w:val="21"/>
        </w:rPr>
        <w:t>fair </w:t>
      </w:r>
      <w:r>
        <w:rPr>
          <w:w w:val="105"/>
          <w:sz w:val="21"/>
        </w:rPr>
        <w:t>and </w:t>
      </w:r>
      <w:r>
        <w:rPr>
          <w:spacing w:val="-3"/>
          <w:w w:val="105"/>
          <w:sz w:val="21"/>
        </w:rPr>
        <w:t>appropriate </w:t>
      </w:r>
      <w:r>
        <w:rPr>
          <w:w w:val="105"/>
          <w:sz w:val="21"/>
        </w:rPr>
        <w:t>and the </w:t>
      </w:r>
      <w:r>
        <w:rPr>
          <w:spacing w:val="-3"/>
          <w:w w:val="105"/>
          <w:sz w:val="21"/>
        </w:rPr>
        <w:t>Commission </w:t>
      </w:r>
      <w:r>
        <w:rPr>
          <w:w w:val="105"/>
          <w:sz w:val="21"/>
        </w:rPr>
        <w:t>considers </w:t>
      </w:r>
      <w:r>
        <w:rPr>
          <w:spacing w:val="-3"/>
          <w:w w:val="105"/>
          <w:sz w:val="21"/>
        </w:rPr>
        <w:t>that </w:t>
      </w:r>
      <w:r>
        <w:rPr>
          <w:w w:val="105"/>
          <w:sz w:val="21"/>
        </w:rPr>
        <w:t>they should </w:t>
      </w:r>
      <w:r>
        <w:rPr>
          <w:spacing w:val="-3"/>
          <w:w w:val="105"/>
          <w:sz w:val="21"/>
        </w:rPr>
        <w:t>remain </w:t>
      </w:r>
      <w:r>
        <w:rPr>
          <w:w w:val="105"/>
          <w:sz w:val="21"/>
        </w:rPr>
        <w:t>in the </w:t>
      </w:r>
      <w:r>
        <w:rPr>
          <w:spacing w:val="-3"/>
          <w:w w:val="105"/>
          <w:sz w:val="21"/>
        </w:rPr>
        <w:t>discretion </w:t>
      </w:r>
      <w:r>
        <w:rPr>
          <w:w w:val="105"/>
          <w:sz w:val="21"/>
        </w:rPr>
        <w:t>of the</w:t>
      </w:r>
      <w:r>
        <w:rPr>
          <w:spacing w:val="29"/>
          <w:w w:val="105"/>
          <w:sz w:val="21"/>
        </w:rPr>
        <w:t> </w:t>
      </w:r>
      <w:r>
        <w:rPr>
          <w:spacing w:val="-3"/>
          <w:w w:val="105"/>
          <w:sz w:val="21"/>
        </w:rPr>
        <w:t>Court.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6"/>
        </w:rPr>
      </w:pPr>
      <w:r>
        <w:rPr/>
        <w:pict>
          <v:line style="position:absolute;mso-position-horizontal-relative:page;mso-position-vertical-relative:paragraph;z-index:1424;mso-wrap-distance-left:0;mso-wrap-distance-right:0" from="79.370102pt,12.786085pt" to="515.905102pt,12.786085pt" stroked="true" strokeweight="1pt" strokecolor="#f9ceca">
            <v:stroke dashstyle="solid"/>
            <w10:wrap type="topAndBottom"/>
          </v:line>
        </w:pict>
      </w:r>
    </w:p>
    <w:p>
      <w:pPr>
        <w:pStyle w:val="ListParagraph"/>
        <w:numPr>
          <w:ilvl w:val="0"/>
          <w:numId w:val="37"/>
        </w:numPr>
        <w:tabs>
          <w:tab w:pos="2380" w:val="left" w:leader="none"/>
          <w:tab w:pos="2382" w:val="left" w:leader="none"/>
        </w:tabs>
        <w:spacing w:line="240" w:lineRule="auto" w:before="117" w:after="0"/>
        <w:ind w:left="2381" w:right="1890" w:hanging="794"/>
        <w:jc w:val="left"/>
        <w:rPr>
          <w:sz w:val="13"/>
        </w:rPr>
      </w:pPr>
      <w:r>
        <w:rPr>
          <w:w w:val="105"/>
          <w:sz w:val="13"/>
        </w:rPr>
        <w:t>Submissions </w:t>
      </w:r>
      <w:r>
        <w:rPr>
          <w:spacing w:val="-3"/>
          <w:w w:val="105"/>
          <w:sz w:val="13"/>
        </w:rPr>
        <w:t>14 </w:t>
      </w:r>
      <w:r>
        <w:rPr>
          <w:w w:val="105"/>
          <w:sz w:val="13"/>
        </w:rPr>
        <w:t>(Commercial Bar </w:t>
      </w:r>
      <w:r>
        <w:rPr>
          <w:spacing w:val="2"/>
          <w:w w:val="105"/>
          <w:sz w:val="13"/>
        </w:rPr>
        <w:t>Association); </w:t>
      </w:r>
      <w:r>
        <w:rPr>
          <w:w w:val="105"/>
          <w:sz w:val="13"/>
        </w:rPr>
        <w:t>25 </w:t>
      </w:r>
      <w:r>
        <w:rPr>
          <w:spacing w:val="2"/>
          <w:w w:val="105"/>
          <w:sz w:val="13"/>
        </w:rPr>
        <w:t>(Moores </w:t>
      </w:r>
      <w:r>
        <w:rPr>
          <w:w w:val="105"/>
          <w:sz w:val="13"/>
        </w:rPr>
        <w:t>Legal); 30a </w:t>
      </w:r>
      <w:r>
        <w:rPr>
          <w:spacing w:val="3"/>
          <w:w w:val="105"/>
          <w:sz w:val="13"/>
        </w:rPr>
        <w:t>(Law </w:t>
      </w:r>
      <w:r>
        <w:rPr>
          <w:w w:val="105"/>
          <w:sz w:val="13"/>
        </w:rPr>
        <w:t>Institute of </w:t>
      </w:r>
      <w:r>
        <w:rPr>
          <w:spacing w:val="2"/>
          <w:w w:val="105"/>
          <w:sz w:val="13"/>
        </w:rPr>
        <w:t>Victoria); </w:t>
      </w:r>
      <w:r>
        <w:rPr>
          <w:w w:val="105"/>
          <w:sz w:val="13"/>
        </w:rPr>
        <w:t>32 </w:t>
      </w:r>
      <w:r>
        <w:rPr>
          <w:spacing w:val="2"/>
          <w:w w:val="105"/>
          <w:sz w:val="13"/>
        </w:rPr>
        <w:t>(The </w:t>
      </w:r>
      <w:r>
        <w:rPr>
          <w:w w:val="105"/>
          <w:sz w:val="13"/>
        </w:rPr>
        <w:t>Institute of Legal Executives); 33 (State Trustees Limited); 35 (Andrew</w:t>
      </w:r>
      <w:r>
        <w:rPr>
          <w:spacing w:val="27"/>
          <w:w w:val="105"/>
          <w:sz w:val="13"/>
        </w:rPr>
        <w:t> </w:t>
      </w:r>
      <w:r>
        <w:rPr>
          <w:w w:val="105"/>
          <w:sz w:val="13"/>
        </w:rPr>
        <w:t>Verspaandonk).</w:t>
      </w:r>
    </w:p>
    <w:p>
      <w:pPr>
        <w:pStyle w:val="ListParagraph"/>
        <w:numPr>
          <w:ilvl w:val="0"/>
          <w:numId w:val="37"/>
        </w:numPr>
        <w:tabs>
          <w:tab w:pos="2380" w:val="left" w:leader="none"/>
          <w:tab w:pos="2382" w:val="left" w:leader="none"/>
        </w:tabs>
        <w:spacing w:line="240" w:lineRule="auto" w:before="3" w:after="0"/>
        <w:ind w:left="2381" w:right="0" w:hanging="794"/>
        <w:jc w:val="left"/>
        <w:rPr>
          <w:sz w:val="13"/>
        </w:rPr>
      </w:pPr>
      <w:r>
        <w:rPr>
          <w:w w:val="105"/>
          <w:sz w:val="13"/>
        </w:rPr>
        <w:t>Submissions</w:t>
      </w:r>
      <w:r>
        <w:rPr>
          <w:spacing w:val="4"/>
          <w:w w:val="105"/>
          <w:sz w:val="13"/>
        </w:rPr>
        <w:t> </w:t>
      </w:r>
      <w:r>
        <w:rPr>
          <w:spacing w:val="-3"/>
          <w:w w:val="105"/>
          <w:sz w:val="13"/>
        </w:rPr>
        <w:t>14</w:t>
      </w:r>
      <w:r>
        <w:rPr>
          <w:spacing w:val="5"/>
          <w:w w:val="105"/>
          <w:sz w:val="13"/>
        </w:rPr>
        <w:t> </w:t>
      </w:r>
      <w:r>
        <w:rPr>
          <w:w w:val="105"/>
          <w:sz w:val="13"/>
        </w:rPr>
        <w:t>(Commercial</w:t>
      </w:r>
      <w:r>
        <w:rPr>
          <w:spacing w:val="4"/>
          <w:w w:val="105"/>
          <w:sz w:val="13"/>
        </w:rPr>
        <w:t> </w:t>
      </w:r>
      <w:r>
        <w:rPr>
          <w:w w:val="105"/>
          <w:sz w:val="13"/>
        </w:rPr>
        <w:t>Bar</w:t>
      </w:r>
      <w:r>
        <w:rPr>
          <w:spacing w:val="5"/>
          <w:w w:val="105"/>
          <w:sz w:val="13"/>
        </w:rPr>
        <w:t> </w:t>
      </w:r>
      <w:r>
        <w:rPr>
          <w:spacing w:val="2"/>
          <w:w w:val="105"/>
          <w:sz w:val="13"/>
        </w:rPr>
        <w:t>Association);</w:t>
      </w:r>
      <w:r>
        <w:rPr>
          <w:spacing w:val="4"/>
          <w:w w:val="105"/>
          <w:sz w:val="13"/>
        </w:rPr>
        <w:t> </w:t>
      </w:r>
      <w:r>
        <w:rPr>
          <w:w w:val="105"/>
          <w:sz w:val="13"/>
        </w:rPr>
        <w:t>25</w:t>
      </w:r>
      <w:r>
        <w:rPr>
          <w:spacing w:val="5"/>
          <w:w w:val="105"/>
          <w:sz w:val="13"/>
        </w:rPr>
        <w:t> </w:t>
      </w:r>
      <w:r>
        <w:rPr>
          <w:spacing w:val="2"/>
          <w:w w:val="105"/>
          <w:sz w:val="13"/>
        </w:rPr>
        <w:t>(Moores</w:t>
      </w:r>
      <w:r>
        <w:rPr>
          <w:spacing w:val="4"/>
          <w:w w:val="105"/>
          <w:sz w:val="13"/>
        </w:rPr>
        <w:t> </w:t>
      </w:r>
      <w:r>
        <w:rPr>
          <w:w w:val="105"/>
          <w:sz w:val="13"/>
        </w:rPr>
        <w:t>Legal);</w:t>
      </w:r>
      <w:r>
        <w:rPr>
          <w:spacing w:val="5"/>
          <w:w w:val="105"/>
          <w:sz w:val="13"/>
        </w:rPr>
        <w:t> </w:t>
      </w:r>
      <w:r>
        <w:rPr>
          <w:w w:val="105"/>
          <w:sz w:val="13"/>
        </w:rPr>
        <w:t>33</w:t>
      </w:r>
      <w:r>
        <w:rPr>
          <w:spacing w:val="4"/>
          <w:w w:val="105"/>
          <w:sz w:val="13"/>
        </w:rPr>
        <w:t> </w:t>
      </w:r>
      <w:r>
        <w:rPr>
          <w:w w:val="105"/>
          <w:sz w:val="13"/>
        </w:rPr>
        <w:t>(State</w:t>
      </w:r>
      <w:r>
        <w:rPr>
          <w:spacing w:val="5"/>
          <w:w w:val="105"/>
          <w:sz w:val="13"/>
        </w:rPr>
        <w:t> </w:t>
      </w:r>
      <w:r>
        <w:rPr>
          <w:w w:val="105"/>
          <w:sz w:val="13"/>
        </w:rPr>
        <w:t>Trustees</w:t>
      </w:r>
      <w:r>
        <w:rPr>
          <w:spacing w:val="4"/>
          <w:w w:val="105"/>
          <w:sz w:val="13"/>
        </w:rPr>
        <w:t> </w:t>
      </w:r>
      <w:r>
        <w:rPr>
          <w:w w:val="105"/>
          <w:sz w:val="13"/>
        </w:rPr>
        <w:t>Limited).</w:t>
      </w:r>
    </w:p>
    <w:p>
      <w:pPr>
        <w:pStyle w:val="ListParagraph"/>
        <w:numPr>
          <w:ilvl w:val="0"/>
          <w:numId w:val="37"/>
        </w:numPr>
        <w:tabs>
          <w:tab w:pos="2380" w:val="left" w:leader="none"/>
          <w:tab w:pos="2382" w:val="left" w:leader="none"/>
        </w:tabs>
        <w:spacing w:line="240" w:lineRule="auto" w:before="1" w:after="0"/>
        <w:ind w:left="2381" w:right="0" w:hanging="794"/>
        <w:jc w:val="left"/>
        <w:rPr>
          <w:sz w:val="13"/>
        </w:rPr>
      </w:pPr>
      <w:r>
        <w:rPr>
          <w:w w:val="105"/>
          <w:sz w:val="13"/>
        </w:rPr>
        <w:t>Submission 25 </w:t>
      </w:r>
      <w:r>
        <w:rPr>
          <w:spacing w:val="2"/>
          <w:w w:val="105"/>
          <w:sz w:val="13"/>
        </w:rPr>
        <w:t>(Moores</w:t>
      </w:r>
      <w:r>
        <w:rPr>
          <w:spacing w:val="13"/>
          <w:w w:val="105"/>
          <w:sz w:val="13"/>
        </w:rPr>
        <w:t> </w:t>
      </w:r>
      <w:r>
        <w:rPr>
          <w:w w:val="105"/>
          <w:sz w:val="13"/>
        </w:rPr>
        <w:t>Legal).</w:t>
      </w:r>
    </w:p>
    <w:p>
      <w:pPr>
        <w:pStyle w:val="ListParagraph"/>
        <w:numPr>
          <w:ilvl w:val="0"/>
          <w:numId w:val="37"/>
        </w:numPr>
        <w:tabs>
          <w:tab w:pos="2380" w:val="left" w:leader="none"/>
          <w:tab w:pos="2382" w:val="left" w:leader="none"/>
        </w:tabs>
        <w:spacing w:line="240" w:lineRule="auto" w:before="1" w:after="0"/>
        <w:ind w:left="2381" w:right="0" w:hanging="794"/>
        <w:jc w:val="left"/>
        <w:rPr>
          <w:sz w:val="13"/>
        </w:rPr>
      </w:pPr>
      <w:r>
        <w:rPr>
          <w:w w:val="105"/>
          <w:sz w:val="13"/>
        </w:rPr>
        <w:t>Submissions</w:t>
      </w:r>
      <w:r>
        <w:rPr>
          <w:spacing w:val="4"/>
          <w:w w:val="105"/>
          <w:sz w:val="13"/>
        </w:rPr>
        <w:t> </w:t>
      </w:r>
      <w:r>
        <w:rPr>
          <w:w w:val="105"/>
          <w:sz w:val="13"/>
        </w:rPr>
        <w:t>21</w:t>
      </w:r>
      <w:r>
        <w:rPr>
          <w:spacing w:val="5"/>
          <w:w w:val="105"/>
          <w:sz w:val="13"/>
        </w:rPr>
        <w:t> </w:t>
      </w:r>
      <w:r>
        <w:rPr>
          <w:spacing w:val="2"/>
          <w:w w:val="105"/>
          <w:sz w:val="13"/>
        </w:rPr>
        <w:t>(Office</w:t>
      </w:r>
      <w:r>
        <w:rPr>
          <w:spacing w:val="5"/>
          <w:w w:val="105"/>
          <w:sz w:val="13"/>
        </w:rPr>
        <w:t> </w:t>
      </w:r>
      <w:r>
        <w:rPr>
          <w:w w:val="105"/>
          <w:sz w:val="13"/>
        </w:rPr>
        <w:t>of</w:t>
      </w:r>
      <w:r>
        <w:rPr>
          <w:spacing w:val="5"/>
          <w:w w:val="105"/>
          <w:sz w:val="13"/>
        </w:rPr>
        <w:t> </w:t>
      </w:r>
      <w:r>
        <w:rPr>
          <w:w w:val="105"/>
          <w:sz w:val="13"/>
        </w:rPr>
        <w:t>the</w:t>
      </w:r>
      <w:r>
        <w:rPr>
          <w:spacing w:val="5"/>
          <w:w w:val="105"/>
          <w:sz w:val="13"/>
        </w:rPr>
        <w:t> </w:t>
      </w:r>
      <w:r>
        <w:rPr>
          <w:w w:val="105"/>
          <w:sz w:val="13"/>
        </w:rPr>
        <w:t>Public</w:t>
      </w:r>
      <w:r>
        <w:rPr>
          <w:spacing w:val="5"/>
          <w:w w:val="105"/>
          <w:sz w:val="13"/>
        </w:rPr>
        <w:t> </w:t>
      </w:r>
      <w:r>
        <w:rPr>
          <w:w w:val="105"/>
          <w:sz w:val="13"/>
        </w:rPr>
        <w:t>Advocate);</w:t>
      </w:r>
      <w:r>
        <w:rPr>
          <w:spacing w:val="4"/>
          <w:w w:val="105"/>
          <w:sz w:val="13"/>
        </w:rPr>
        <w:t> </w:t>
      </w:r>
      <w:r>
        <w:rPr>
          <w:w w:val="105"/>
          <w:sz w:val="13"/>
        </w:rPr>
        <w:t>26</w:t>
      </w:r>
      <w:r>
        <w:rPr>
          <w:spacing w:val="5"/>
          <w:w w:val="105"/>
          <w:sz w:val="13"/>
        </w:rPr>
        <w:t> </w:t>
      </w:r>
      <w:r>
        <w:rPr>
          <w:spacing w:val="2"/>
          <w:w w:val="105"/>
          <w:sz w:val="13"/>
        </w:rPr>
        <w:t>(Rigby</w:t>
      </w:r>
      <w:r>
        <w:rPr>
          <w:spacing w:val="5"/>
          <w:w w:val="105"/>
          <w:sz w:val="13"/>
        </w:rPr>
        <w:t> </w:t>
      </w:r>
      <w:r>
        <w:rPr>
          <w:w w:val="105"/>
          <w:sz w:val="13"/>
        </w:rPr>
        <w:t>Cooke</w:t>
      </w:r>
      <w:r>
        <w:rPr>
          <w:spacing w:val="5"/>
          <w:w w:val="105"/>
          <w:sz w:val="13"/>
        </w:rPr>
        <w:t> </w:t>
      </w:r>
      <w:r>
        <w:rPr>
          <w:spacing w:val="2"/>
          <w:w w:val="105"/>
          <w:sz w:val="13"/>
        </w:rPr>
        <w:t>Lawyers);</w:t>
      </w:r>
      <w:r>
        <w:rPr>
          <w:spacing w:val="5"/>
          <w:w w:val="105"/>
          <w:sz w:val="13"/>
        </w:rPr>
        <w:t> </w:t>
      </w:r>
      <w:r>
        <w:rPr>
          <w:w w:val="105"/>
          <w:sz w:val="13"/>
        </w:rPr>
        <w:t>40</w:t>
      </w:r>
      <w:r>
        <w:rPr>
          <w:spacing w:val="4"/>
          <w:w w:val="105"/>
          <w:sz w:val="13"/>
        </w:rPr>
        <w:t> </w:t>
      </w:r>
      <w:r>
        <w:rPr>
          <w:w w:val="105"/>
          <w:sz w:val="13"/>
        </w:rPr>
        <w:t>(Janice</w:t>
      </w:r>
      <w:r>
        <w:rPr>
          <w:spacing w:val="5"/>
          <w:w w:val="105"/>
          <w:sz w:val="13"/>
        </w:rPr>
        <w:t> </w:t>
      </w:r>
      <w:r>
        <w:rPr>
          <w:w w:val="105"/>
          <w:sz w:val="13"/>
        </w:rPr>
        <w:t>Brownfoot).</w:t>
      </w:r>
    </w:p>
    <w:p>
      <w:pPr>
        <w:pStyle w:val="ListParagraph"/>
        <w:numPr>
          <w:ilvl w:val="0"/>
          <w:numId w:val="37"/>
        </w:numPr>
        <w:tabs>
          <w:tab w:pos="2380" w:val="left" w:leader="none"/>
          <w:tab w:pos="2382" w:val="left" w:leader="none"/>
        </w:tabs>
        <w:spacing w:line="240" w:lineRule="auto" w:before="2" w:after="0"/>
        <w:ind w:left="2381" w:right="0" w:hanging="794"/>
        <w:jc w:val="left"/>
        <w:rPr>
          <w:sz w:val="13"/>
        </w:rPr>
      </w:pPr>
      <w:r>
        <w:rPr>
          <w:w w:val="105"/>
          <w:sz w:val="13"/>
        </w:rPr>
        <w:t>Submission 39 (Carolyn Sparke</w:t>
      </w:r>
      <w:r>
        <w:rPr>
          <w:spacing w:val="18"/>
          <w:w w:val="105"/>
          <w:sz w:val="13"/>
        </w:rPr>
        <w:t> </w:t>
      </w:r>
      <w:r>
        <w:rPr>
          <w:w w:val="105"/>
          <w:sz w:val="13"/>
        </w:rPr>
        <w:t>SC).</w:t>
      </w:r>
    </w:p>
    <w:p>
      <w:pPr>
        <w:pStyle w:val="ListParagraph"/>
        <w:numPr>
          <w:ilvl w:val="0"/>
          <w:numId w:val="37"/>
        </w:numPr>
        <w:tabs>
          <w:tab w:pos="2381" w:val="left" w:leader="none"/>
          <w:tab w:pos="2382" w:val="left" w:leader="none"/>
        </w:tabs>
        <w:spacing w:line="240" w:lineRule="auto" w:before="1" w:after="0"/>
        <w:ind w:left="2381" w:right="0" w:hanging="794"/>
        <w:jc w:val="left"/>
        <w:rPr>
          <w:sz w:val="13"/>
        </w:rPr>
      </w:pPr>
      <w:r>
        <w:rPr>
          <w:sz w:val="13"/>
        </w:rPr>
        <w:t>Ibid.</w:t>
      </w:r>
    </w:p>
    <w:p>
      <w:pPr>
        <w:pStyle w:val="ListParagraph"/>
        <w:numPr>
          <w:ilvl w:val="0"/>
          <w:numId w:val="37"/>
        </w:numPr>
        <w:tabs>
          <w:tab w:pos="2380" w:val="left" w:leader="none"/>
          <w:tab w:pos="2382" w:val="left" w:leader="none"/>
        </w:tabs>
        <w:spacing w:line="240" w:lineRule="auto" w:before="1" w:after="0"/>
        <w:ind w:left="2381" w:right="0" w:hanging="794"/>
        <w:jc w:val="left"/>
        <w:rPr>
          <w:sz w:val="13"/>
        </w:rPr>
      </w:pPr>
      <w:r>
        <w:rPr>
          <w:i/>
          <w:w w:val="105"/>
          <w:sz w:val="13"/>
        </w:rPr>
        <w:t>Saunders v Pedemont </w:t>
      </w:r>
      <w:r>
        <w:rPr>
          <w:i/>
          <w:spacing w:val="3"/>
          <w:w w:val="105"/>
          <w:sz w:val="13"/>
        </w:rPr>
        <w:t>(No </w:t>
      </w:r>
      <w:r>
        <w:rPr>
          <w:i/>
          <w:w w:val="105"/>
          <w:sz w:val="13"/>
        </w:rPr>
        <w:t>2) </w:t>
      </w:r>
      <w:r>
        <w:rPr>
          <w:w w:val="105"/>
          <w:sz w:val="13"/>
        </w:rPr>
        <w:t>[2012] VSC 601 </w:t>
      </w:r>
      <w:r>
        <w:rPr>
          <w:spacing w:val="-5"/>
          <w:w w:val="105"/>
          <w:sz w:val="13"/>
        </w:rPr>
        <w:t>(11 </w:t>
      </w:r>
      <w:r>
        <w:rPr>
          <w:w w:val="105"/>
          <w:sz w:val="13"/>
        </w:rPr>
        <w:t>December 2012); </w:t>
      </w:r>
      <w:r>
        <w:rPr>
          <w:i/>
          <w:w w:val="105"/>
          <w:sz w:val="13"/>
        </w:rPr>
        <w:t>Re Will of Jane </w:t>
      </w:r>
      <w:r>
        <w:rPr>
          <w:i/>
          <w:spacing w:val="2"/>
          <w:w w:val="105"/>
          <w:sz w:val="13"/>
        </w:rPr>
        <w:t>[No </w:t>
      </w:r>
      <w:r>
        <w:rPr>
          <w:i/>
          <w:w w:val="105"/>
          <w:sz w:val="13"/>
        </w:rPr>
        <w:t>2] </w:t>
      </w:r>
      <w:r>
        <w:rPr>
          <w:spacing w:val="-3"/>
          <w:w w:val="105"/>
          <w:sz w:val="13"/>
        </w:rPr>
        <w:t>[2011] </w:t>
      </w:r>
      <w:r>
        <w:rPr>
          <w:w w:val="105"/>
          <w:sz w:val="13"/>
        </w:rPr>
        <w:t>NSWSC </w:t>
      </w:r>
      <w:r>
        <w:rPr>
          <w:spacing w:val="2"/>
          <w:w w:val="105"/>
          <w:sz w:val="13"/>
        </w:rPr>
        <w:t>883 </w:t>
      </w:r>
      <w:r>
        <w:rPr>
          <w:spacing w:val="-3"/>
          <w:w w:val="105"/>
          <w:sz w:val="13"/>
        </w:rPr>
        <w:t>(12 </w:t>
      </w:r>
      <w:r>
        <w:rPr>
          <w:w w:val="105"/>
          <w:sz w:val="13"/>
        </w:rPr>
        <w:t>August</w:t>
      </w:r>
      <w:r>
        <w:rPr>
          <w:spacing w:val="1"/>
          <w:w w:val="105"/>
          <w:sz w:val="13"/>
        </w:rPr>
        <w:t> </w:t>
      </w:r>
      <w:r>
        <w:rPr>
          <w:w w:val="105"/>
          <w:sz w:val="13"/>
        </w:rPr>
        <w:t>2011);</w:t>
      </w:r>
    </w:p>
    <w:p>
      <w:pPr>
        <w:spacing w:before="2"/>
        <w:ind w:left="2381" w:right="0" w:firstLine="0"/>
        <w:jc w:val="left"/>
        <w:rPr>
          <w:sz w:val="13"/>
        </w:rPr>
      </w:pPr>
      <w:r>
        <w:rPr/>
        <w:pict>
          <v:shape style="position:absolute;margin-left:548.99353pt;margin-top:2.912965pt;width:13.2pt;height:14.25pt;mso-position-horizontal-relative:page;mso-position-vertical-relative:paragraph;z-index:3496" type="#_x0000_t202" filled="false" stroked="false">
            <v:textbox inset="0,0,0,0">
              <w:txbxContent>
                <w:p>
                  <w:pPr>
                    <w:spacing w:line="284" w:lineRule="exact" w:before="0"/>
                    <w:ind w:left="0" w:right="0" w:firstLine="0"/>
                    <w:jc w:val="left"/>
                    <w:rPr>
                      <w:b/>
                      <w:sz w:val="24"/>
                    </w:rPr>
                  </w:pPr>
                  <w:r>
                    <w:rPr>
                      <w:b/>
                      <w:color w:val="EC5A4F"/>
                      <w:spacing w:val="-2"/>
                      <w:w w:val="110"/>
                      <w:sz w:val="24"/>
                    </w:rPr>
                    <w:t>33</w:t>
                  </w:r>
                </w:p>
              </w:txbxContent>
            </v:textbox>
            <w10:wrap type="none"/>
          </v:shape>
        </w:pict>
      </w:r>
      <w:r>
        <w:rPr>
          <w:i/>
          <w:w w:val="105"/>
          <w:sz w:val="13"/>
        </w:rPr>
        <w:t>Hoffman v Waters </w:t>
      </w:r>
      <w:r>
        <w:rPr>
          <w:w w:val="105"/>
          <w:sz w:val="13"/>
        </w:rPr>
        <w:t>[2007] SASC 273 (20 July 2007); </w:t>
      </w:r>
      <w:r>
        <w:rPr>
          <w:i/>
          <w:w w:val="105"/>
          <w:sz w:val="13"/>
        </w:rPr>
        <w:t>Re Keane; Mace v Malone (No 2) </w:t>
      </w:r>
      <w:r>
        <w:rPr>
          <w:w w:val="105"/>
          <w:sz w:val="13"/>
        </w:rPr>
        <w:t>[2011] QSC 98 (25 March 2011);</w:t>
      </w:r>
    </w:p>
    <w:p>
      <w:pPr>
        <w:spacing w:before="1"/>
        <w:ind w:left="2381" w:right="0" w:firstLine="0"/>
        <w:jc w:val="left"/>
        <w:rPr>
          <w:sz w:val="13"/>
        </w:rPr>
      </w:pPr>
      <w:r>
        <w:rPr>
          <w:i/>
          <w:w w:val="105"/>
          <w:sz w:val="13"/>
        </w:rPr>
        <w:t>RAK </w:t>
      </w:r>
      <w:r>
        <w:rPr>
          <w:w w:val="105"/>
          <w:sz w:val="13"/>
        </w:rPr>
        <w:t>[2009] SASC 288 (11 September 2009).</w:t>
      </w:r>
    </w:p>
    <w:p>
      <w:pPr>
        <w:spacing w:after="0"/>
        <w:jc w:val="left"/>
        <w:rPr>
          <w:sz w:val="13"/>
        </w:rPr>
        <w:sectPr>
          <w:pgSz w:w="11910" w:h="16840"/>
          <w:pgMar w:header="805" w:footer="0" w:top="1360" w:bottom="280" w:left="0" w:right="0"/>
        </w:sectPr>
      </w:pPr>
    </w:p>
    <w:p>
      <w:pPr>
        <w:pStyle w:val="BodyText"/>
        <w:rPr>
          <w:sz w:val="20"/>
        </w:rPr>
      </w:pPr>
      <w:r>
        <w:rPr/>
        <w:pict>
          <v:rect style="position:absolute;margin-left:85.039001pt;margin-top:0pt;width:510.236pt;height:841.890015pt;mso-position-horizontal-relative:page;mso-position-vertical-relative:page;z-index:3520" filled="true" fillcolor="#fdefed" stroked="false">
            <v:fill type="solid"/>
            <w10:wrap type="none"/>
          </v:rect>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6"/>
        </w:rPr>
      </w:pPr>
    </w:p>
    <w:p>
      <w:pPr>
        <w:spacing w:before="98"/>
        <w:ind w:left="720" w:right="0" w:firstLine="0"/>
        <w:jc w:val="left"/>
        <w:rPr>
          <w:b/>
          <w:sz w:val="24"/>
        </w:rPr>
      </w:pPr>
      <w:r>
        <w:rPr>
          <w:b/>
          <w:color w:val="EC5A4F"/>
          <w:w w:val="110"/>
          <w:sz w:val="24"/>
        </w:rPr>
        <w:t>34</w:t>
      </w:r>
    </w:p>
    <w:p>
      <w:pPr>
        <w:spacing w:after="0"/>
        <w:jc w:val="left"/>
        <w:rPr>
          <w:sz w:val="24"/>
        </w:rPr>
        <w:sectPr>
          <w:headerReference w:type="even" r:id="rId30"/>
          <w:pgSz w:w="11910" w:h="16840"/>
          <w:pgMar w:header="0" w:footer="0" w:top="1580" w:bottom="280" w:left="0" w:right="0"/>
        </w:sectPr>
      </w:pPr>
    </w:p>
    <w:p>
      <w:pPr>
        <w:tabs>
          <w:tab w:pos="1417" w:val="left" w:leader="none"/>
        </w:tabs>
        <w:spacing w:before="85"/>
        <w:ind w:left="0" w:right="0" w:firstLine="0"/>
        <w:jc w:val="right"/>
        <w:rPr>
          <w:b/>
          <w:sz w:val="48"/>
        </w:rPr>
      </w:pPr>
      <w:r>
        <w:rPr/>
        <w:pict>
          <v:rect style="position:absolute;margin-left:0pt;margin-top:0pt;width:595.276001pt;height:841.890015pt;mso-position-horizontal-relative:page;mso-position-vertical-relative:page;z-index:-304744" filled="true" fillcolor="#fdefed" stroked="false">
            <v:fill type="solid"/>
            <w10:wrap type="none"/>
          </v:rect>
        </w:pict>
      </w:r>
      <w:r>
        <w:rPr>
          <w:b/>
          <w:color w:val="FFFFFF"/>
          <w:w w:val="122"/>
          <w:sz w:val="48"/>
          <w:shd w:fill="EC5A4F" w:color="auto" w:val="clear"/>
        </w:rPr>
        <w:t> </w:t>
      </w:r>
      <w:r>
        <w:rPr>
          <w:b/>
          <w:color w:val="FFFFFF"/>
          <w:spacing w:val="41"/>
          <w:sz w:val="48"/>
          <w:shd w:fill="EC5A4F" w:color="auto" w:val="clear"/>
        </w:rPr>
        <w:t> </w:t>
      </w:r>
      <w:r>
        <w:rPr>
          <w:b/>
          <w:color w:val="FFFFFF"/>
          <w:w w:val="105"/>
          <w:sz w:val="48"/>
          <w:shd w:fill="EC5A4F" w:color="auto" w:val="clear"/>
        </w:rPr>
        <w:t>4</w:t>
      </w:r>
      <w:r>
        <w:rPr>
          <w:b/>
          <w:color w:val="FFFFFF"/>
          <w:sz w:val="48"/>
          <w:shd w:fill="EC5A4F" w:color="auto" w:val="clear"/>
        </w:rPr>
        <w:tab/>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1"/>
        <w:rPr>
          <w:b/>
          <w:sz w:val="19"/>
        </w:rPr>
      </w:pPr>
    </w:p>
    <w:p>
      <w:pPr>
        <w:tabs>
          <w:tab w:pos="1417" w:val="left" w:leader="none"/>
          <w:tab w:pos="6665" w:val="left" w:leader="none"/>
        </w:tabs>
        <w:spacing w:before="95"/>
        <w:ind w:left="0" w:right="0" w:firstLine="0"/>
        <w:jc w:val="left"/>
        <w:rPr>
          <w:b/>
          <w:sz w:val="96"/>
        </w:rPr>
      </w:pPr>
      <w:r>
        <w:rPr>
          <w:b/>
          <w:color w:val="EC5A4F"/>
          <w:w w:val="122"/>
          <w:sz w:val="96"/>
          <w:shd w:fill="FFFFFF" w:color="auto" w:val="clear"/>
        </w:rPr>
        <w:t> </w:t>
      </w:r>
      <w:r>
        <w:rPr>
          <w:b/>
          <w:color w:val="EC5A4F"/>
          <w:sz w:val="96"/>
          <w:shd w:fill="FFFFFF" w:color="auto" w:val="clear"/>
        </w:rPr>
        <w:tab/>
      </w:r>
      <w:r>
        <w:rPr>
          <w:b/>
          <w:color w:val="EC5A4F"/>
          <w:spacing w:val="-12"/>
          <w:w w:val="115"/>
          <w:sz w:val="96"/>
          <w:shd w:fill="FFFFFF" w:color="auto" w:val="clear"/>
        </w:rPr>
        <w:t>Ademption</w:t>
      </w:r>
      <w:r>
        <w:rPr>
          <w:b/>
          <w:color w:val="EC5A4F"/>
          <w:spacing w:val="-12"/>
          <w:sz w:val="96"/>
          <w:shd w:fill="FFFFFF" w:color="auto" w:val="clear"/>
        </w:rPr>
        <w:tab/>
      </w:r>
    </w:p>
    <w:p>
      <w:pPr>
        <w:pStyle w:val="BodyText"/>
        <w:rPr>
          <w:b/>
          <w:sz w:val="20"/>
        </w:rPr>
      </w:pPr>
    </w:p>
    <w:p>
      <w:pPr>
        <w:pStyle w:val="BodyText"/>
        <w:rPr>
          <w:b/>
          <w:sz w:val="20"/>
        </w:rPr>
      </w:pPr>
    </w:p>
    <w:p>
      <w:pPr>
        <w:pStyle w:val="BodyText"/>
        <w:spacing w:before="1"/>
        <w:rPr>
          <w:b/>
          <w:sz w:val="24"/>
        </w:rPr>
      </w:pPr>
    </w:p>
    <w:p>
      <w:pPr>
        <w:pStyle w:val="ListParagraph"/>
        <w:numPr>
          <w:ilvl w:val="0"/>
          <w:numId w:val="38"/>
        </w:numPr>
        <w:tabs>
          <w:tab w:pos="1984" w:val="left" w:leader="none"/>
          <w:tab w:pos="1985" w:val="left" w:leader="none"/>
        </w:tabs>
        <w:spacing w:line="240" w:lineRule="auto" w:before="99" w:after="0"/>
        <w:ind w:left="1984" w:right="0" w:hanging="567"/>
        <w:jc w:val="left"/>
        <w:rPr>
          <w:b/>
          <w:sz w:val="24"/>
        </w:rPr>
      </w:pPr>
      <w:r>
        <w:rPr/>
        <w:pict>
          <v:line style="position:absolute;mso-position-horizontal-relative:page;mso-position-vertical-relative:paragraph;z-index:1496;mso-wrap-distance-left:0;mso-wrap-distance-right:0" from="70.866096pt,23.04508pt" to="96.378096pt,23.04508pt" stroked="true" strokeweight="2pt" strokecolor="#ffffff">
            <v:stroke dashstyle="solid"/>
            <w10:wrap type="topAndBottom"/>
          </v:line>
        </w:pict>
      </w:r>
      <w:r>
        <w:rPr>
          <w:b/>
          <w:w w:val="110"/>
          <w:sz w:val="24"/>
        </w:rPr>
        <w:t>Introduction</w:t>
      </w:r>
    </w:p>
    <w:p>
      <w:pPr>
        <w:pStyle w:val="ListParagraph"/>
        <w:numPr>
          <w:ilvl w:val="0"/>
          <w:numId w:val="38"/>
        </w:numPr>
        <w:tabs>
          <w:tab w:pos="1984" w:val="left" w:leader="none"/>
          <w:tab w:pos="1985" w:val="left" w:leader="none"/>
        </w:tabs>
        <w:spacing w:line="240" w:lineRule="auto" w:before="62" w:after="49"/>
        <w:ind w:left="1984" w:right="0" w:hanging="567"/>
        <w:jc w:val="left"/>
        <w:rPr>
          <w:b/>
          <w:sz w:val="24"/>
        </w:rPr>
      </w:pPr>
      <w:r>
        <w:rPr>
          <w:b/>
          <w:w w:val="110"/>
          <w:sz w:val="24"/>
        </w:rPr>
        <w:t>The ademption</w:t>
      </w:r>
      <w:r>
        <w:rPr>
          <w:b/>
          <w:spacing w:val="13"/>
          <w:w w:val="110"/>
          <w:sz w:val="24"/>
        </w:rPr>
        <w:t> </w:t>
      </w:r>
      <w:r>
        <w:rPr>
          <w:b/>
          <w:w w:val="110"/>
          <w:sz w:val="24"/>
        </w:rPr>
        <w:t>rule</w:t>
      </w:r>
    </w:p>
    <w:p>
      <w:pPr>
        <w:pStyle w:val="BodyText"/>
        <w:spacing w:line="40" w:lineRule="exact"/>
        <w:ind w:left="1397"/>
        <w:rPr>
          <w:sz w:val="4"/>
        </w:rPr>
      </w:pPr>
      <w:r>
        <w:rPr>
          <w:position w:val="0"/>
          <w:sz w:val="4"/>
        </w:rPr>
        <w:pict>
          <v:group style="width:25.55pt;height:2pt;mso-position-horizontal-relative:char;mso-position-vertical-relative:line" coordorigin="0,0" coordsize="511,40">
            <v:line style="position:absolute" from="0,20" to="510,20" stroked="true" strokeweight="2pt" strokecolor="#ffffff">
              <v:stroke dashstyle="solid"/>
            </v:line>
          </v:group>
        </w:pict>
      </w:r>
      <w:r>
        <w:rPr>
          <w:position w:val="0"/>
          <w:sz w:val="4"/>
        </w:rPr>
      </w:r>
    </w:p>
    <w:p>
      <w:pPr>
        <w:pStyle w:val="ListParagraph"/>
        <w:numPr>
          <w:ilvl w:val="0"/>
          <w:numId w:val="39"/>
        </w:numPr>
        <w:tabs>
          <w:tab w:pos="1984" w:val="left" w:leader="none"/>
          <w:tab w:pos="1985" w:val="left" w:leader="none"/>
        </w:tabs>
        <w:spacing w:line="240" w:lineRule="auto" w:before="91" w:after="0"/>
        <w:ind w:left="1984" w:right="0" w:hanging="567"/>
        <w:jc w:val="left"/>
        <w:rPr>
          <w:b/>
          <w:sz w:val="24"/>
        </w:rPr>
      </w:pPr>
      <w:r>
        <w:rPr/>
        <w:pict>
          <v:line style="position:absolute;mso-position-horizontal-relative:page;mso-position-vertical-relative:paragraph;z-index:1544;mso-wrap-distance-left:0;mso-wrap-distance-right:0" from="70.866096pt,22.655577pt" to="96.378096pt,22.655577pt" stroked="true" strokeweight="2pt" strokecolor="#ffffff">
            <v:stroke dashstyle="solid"/>
            <w10:wrap type="topAndBottom"/>
          </v:line>
        </w:pict>
      </w:r>
      <w:r>
        <w:rPr>
          <w:b/>
          <w:w w:val="115"/>
          <w:sz w:val="24"/>
        </w:rPr>
        <w:t>Acts by substitute decision</w:t>
      </w:r>
      <w:r>
        <w:rPr>
          <w:b/>
          <w:spacing w:val="10"/>
          <w:w w:val="115"/>
          <w:sz w:val="24"/>
        </w:rPr>
        <w:t> </w:t>
      </w:r>
      <w:r>
        <w:rPr>
          <w:b/>
          <w:w w:val="115"/>
          <w:sz w:val="24"/>
        </w:rPr>
        <w:t>makers</w:t>
      </w:r>
    </w:p>
    <w:p>
      <w:pPr>
        <w:pStyle w:val="ListParagraph"/>
        <w:numPr>
          <w:ilvl w:val="0"/>
          <w:numId w:val="39"/>
        </w:numPr>
        <w:tabs>
          <w:tab w:pos="1984" w:val="left" w:leader="none"/>
          <w:tab w:pos="1985" w:val="left" w:leader="none"/>
        </w:tabs>
        <w:spacing w:line="295" w:lineRule="auto" w:before="62" w:after="0"/>
        <w:ind w:left="1984" w:right="3777" w:hanging="567"/>
        <w:jc w:val="left"/>
        <w:rPr>
          <w:b/>
          <w:sz w:val="24"/>
        </w:rPr>
      </w:pPr>
      <w:r>
        <w:rPr>
          <w:b/>
          <w:w w:val="115"/>
          <w:sz w:val="24"/>
        </w:rPr>
        <w:t>Acts</w:t>
      </w:r>
      <w:r>
        <w:rPr>
          <w:b/>
          <w:spacing w:val="-17"/>
          <w:w w:val="115"/>
          <w:sz w:val="24"/>
        </w:rPr>
        <w:t> </w:t>
      </w:r>
      <w:r>
        <w:rPr>
          <w:b/>
          <w:w w:val="115"/>
          <w:sz w:val="24"/>
        </w:rPr>
        <w:t>by</w:t>
      </w:r>
      <w:r>
        <w:rPr>
          <w:b/>
          <w:spacing w:val="-17"/>
          <w:w w:val="115"/>
          <w:sz w:val="24"/>
        </w:rPr>
        <w:t> </w:t>
      </w:r>
      <w:r>
        <w:rPr>
          <w:b/>
          <w:w w:val="115"/>
          <w:sz w:val="24"/>
        </w:rPr>
        <w:t>administrators</w:t>
      </w:r>
      <w:r>
        <w:rPr>
          <w:b/>
          <w:spacing w:val="-17"/>
          <w:w w:val="115"/>
          <w:sz w:val="24"/>
        </w:rPr>
        <w:t> </w:t>
      </w:r>
      <w:r>
        <w:rPr>
          <w:b/>
          <w:w w:val="115"/>
          <w:sz w:val="24"/>
        </w:rPr>
        <w:t>appointed</w:t>
      </w:r>
      <w:r>
        <w:rPr>
          <w:b/>
          <w:spacing w:val="-17"/>
          <w:w w:val="115"/>
          <w:sz w:val="24"/>
        </w:rPr>
        <w:t> </w:t>
      </w:r>
      <w:r>
        <w:rPr>
          <w:b/>
          <w:w w:val="115"/>
          <w:sz w:val="24"/>
        </w:rPr>
        <w:t>by</w:t>
      </w:r>
      <w:r>
        <w:rPr>
          <w:b/>
          <w:spacing w:val="-17"/>
          <w:w w:val="115"/>
          <w:sz w:val="24"/>
        </w:rPr>
        <w:t> </w:t>
      </w:r>
      <w:r>
        <w:rPr>
          <w:b/>
          <w:w w:val="115"/>
          <w:sz w:val="24"/>
        </w:rPr>
        <w:t>the</w:t>
      </w:r>
      <w:r>
        <w:rPr>
          <w:b/>
          <w:spacing w:val="-17"/>
          <w:w w:val="115"/>
          <w:sz w:val="24"/>
        </w:rPr>
        <w:t> </w:t>
      </w:r>
      <w:r>
        <w:rPr>
          <w:b/>
          <w:w w:val="115"/>
          <w:sz w:val="24"/>
        </w:rPr>
        <w:t>Victorian</w:t>
      </w:r>
      <w:r>
        <w:rPr>
          <w:b/>
          <w:spacing w:val="-17"/>
          <w:w w:val="115"/>
          <w:sz w:val="24"/>
        </w:rPr>
        <w:t> </w:t>
      </w:r>
      <w:r>
        <w:rPr>
          <w:b/>
          <w:w w:val="115"/>
          <w:sz w:val="24"/>
        </w:rPr>
        <w:t>Civil and Administrative</w:t>
      </w:r>
      <w:r>
        <w:rPr>
          <w:b/>
          <w:spacing w:val="4"/>
          <w:w w:val="115"/>
          <w:sz w:val="24"/>
        </w:rPr>
        <w:t> </w:t>
      </w:r>
      <w:r>
        <w:rPr>
          <w:b/>
          <w:spacing w:val="-4"/>
          <w:w w:val="115"/>
          <w:sz w:val="24"/>
        </w:rPr>
        <w:t>Tribunal</w:t>
      </w:r>
    </w:p>
    <w:p>
      <w:pPr>
        <w:pStyle w:val="BodyText"/>
        <w:spacing w:line="40" w:lineRule="exact"/>
        <w:ind w:left="1397"/>
        <w:rPr>
          <w:sz w:val="4"/>
        </w:rPr>
      </w:pPr>
      <w:r>
        <w:rPr>
          <w:position w:val="0"/>
          <w:sz w:val="4"/>
        </w:rPr>
        <w:pict>
          <v:group style="width:25.55pt;height:2pt;mso-position-horizontal-relative:char;mso-position-vertical-relative:line" coordorigin="0,0" coordsize="511,40">
            <v:line style="position:absolute" from="0,20" to="510,20" stroked="true" strokeweight="2pt" strokecolor="#ffffff">
              <v:stroke dashstyle="solid"/>
            </v:line>
          </v:group>
        </w:pict>
      </w:r>
      <w:r>
        <w:rPr>
          <w:position w:val="0"/>
          <w:sz w:val="4"/>
        </w:rPr>
      </w:r>
    </w:p>
    <w:p>
      <w:pPr>
        <w:pStyle w:val="ListParagraph"/>
        <w:numPr>
          <w:ilvl w:val="0"/>
          <w:numId w:val="39"/>
        </w:numPr>
        <w:tabs>
          <w:tab w:pos="1984" w:val="left" w:leader="none"/>
          <w:tab w:pos="1985" w:val="left" w:leader="none"/>
        </w:tabs>
        <w:spacing w:line="240" w:lineRule="auto" w:before="72" w:after="0"/>
        <w:ind w:left="1984" w:right="0" w:hanging="567"/>
        <w:jc w:val="left"/>
        <w:rPr>
          <w:b/>
          <w:sz w:val="24"/>
        </w:rPr>
      </w:pPr>
      <w:r>
        <w:rPr/>
        <w:pict>
          <v:line style="position:absolute;mso-position-horizontal-relative:page;mso-position-vertical-relative:paragraph;z-index:1592;mso-wrap-distance-left:0;mso-wrap-distance-right:0" from="70.866096pt,21.716173pt" to="96.378096pt,21.716173pt" stroked="true" strokeweight="2pt" strokecolor="#ffffff">
            <v:stroke dashstyle="solid"/>
            <w10:wrap type="topAndBottom"/>
          </v:line>
        </w:pict>
      </w:r>
      <w:r>
        <w:rPr>
          <w:b/>
          <w:w w:val="115"/>
          <w:sz w:val="24"/>
        </w:rPr>
        <w:t>Model for an exception to</w:t>
      </w:r>
      <w:r>
        <w:rPr>
          <w:b/>
          <w:spacing w:val="13"/>
          <w:w w:val="115"/>
          <w:sz w:val="24"/>
        </w:rPr>
        <w:t> </w:t>
      </w:r>
      <w:r>
        <w:rPr>
          <w:b/>
          <w:w w:val="115"/>
          <w:sz w:val="24"/>
        </w:rPr>
        <w:t>ademption</w:t>
      </w:r>
    </w:p>
    <w:p>
      <w:pPr>
        <w:tabs>
          <w:tab w:pos="1984" w:val="left" w:leader="none"/>
        </w:tabs>
        <w:spacing w:before="62" w:after="49"/>
        <w:ind w:left="1417" w:right="0" w:firstLine="0"/>
        <w:jc w:val="left"/>
        <w:rPr>
          <w:b/>
          <w:sz w:val="24"/>
        </w:rPr>
      </w:pPr>
      <w:r>
        <w:rPr>
          <w:b/>
          <w:w w:val="115"/>
          <w:sz w:val="24"/>
        </w:rPr>
        <w:t>48</w:t>
        <w:tab/>
        <w:t>Acts by persons acting under an enduring power of attorney</w:t>
      </w:r>
      <w:r>
        <w:rPr>
          <w:b/>
          <w:spacing w:val="3"/>
          <w:w w:val="115"/>
          <w:sz w:val="24"/>
        </w:rPr>
        <w:t> </w:t>
      </w:r>
      <w:r>
        <w:rPr>
          <w:b/>
          <w:w w:val="115"/>
          <w:sz w:val="24"/>
        </w:rPr>
        <w:t>(financial)</w:t>
      </w:r>
    </w:p>
    <w:p>
      <w:pPr>
        <w:pStyle w:val="BodyText"/>
        <w:spacing w:line="40" w:lineRule="exact"/>
        <w:ind w:left="1397"/>
        <w:rPr>
          <w:sz w:val="4"/>
        </w:rPr>
      </w:pPr>
      <w:r>
        <w:rPr>
          <w:position w:val="0"/>
          <w:sz w:val="4"/>
        </w:rPr>
        <w:pict>
          <v:group style="width:25.55pt;height:2pt;mso-position-horizontal-relative:char;mso-position-vertical-relative:line" coordorigin="0,0" coordsize="511,40">
            <v:line style="position:absolute" from="0,20" to="510,20" stroked="true" strokeweight="2pt" strokecolor="#ffffff">
              <v:stroke dashstyle="solid"/>
            </v:line>
          </v:group>
        </w:pict>
      </w:r>
      <w:r>
        <w:rPr>
          <w:position w:val="0"/>
          <w:sz w:val="4"/>
        </w:rPr>
      </w:r>
    </w:p>
    <w:p>
      <w:pPr>
        <w:tabs>
          <w:tab w:pos="1984" w:val="left" w:leader="none"/>
        </w:tabs>
        <w:spacing w:before="91"/>
        <w:ind w:left="1417" w:right="0" w:firstLine="0"/>
        <w:jc w:val="left"/>
        <w:rPr>
          <w:b/>
          <w:sz w:val="24"/>
        </w:rPr>
      </w:pPr>
      <w:r>
        <w:rPr/>
        <w:pict>
          <v:line style="position:absolute;mso-position-horizontal-relative:page;mso-position-vertical-relative:paragraph;z-index:1640;mso-wrap-distance-left:0;mso-wrap-distance-right:0" from="70.866096pt,22.676771pt" to="96.378096pt,22.676771pt" stroked="true" strokeweight="2.0pt" strokecolor="#ffffff">
            <v:stroke dashstyle="solid"/>
            <w10:wrap type="topAndBottom"/>
          </v:line>
        </w:pict>
      </w:r>
      <w:r>
        <w:rPr>
          <w:b/>
          <w:spacing w:val="-6"/>
          <w:w w:val="110"/>
          <w:sz w:val="24"/>
        </w:rPr>
        <w:t>51</w:t>
        <w:tab/>
      </w:r>
      <w:r>
        <w:rPr>
          <w:b/>
          <w:w w:val="110"/>
          <w:sz w:val="24"/>
        </w:rPr>
        <w:t>Access to a person’s will to </w:t>
      </w:r>
      <w:r>
        <w:rPr>
          <w:b/>
          <w:spacing w:val="-3"/>
          <w:w w:val="110"/>
          <w:sz w:val="24"/>
        </w:rPr>
        <w:t>prevent</w:t>
      </w:r>
      <w:r>
        <w:rPr>
          <w:b/>
          <w:spacing w:val="53"/>
          <w:w w:val="110"/>
          <w:sz w:val="24"/>
        </w:rPr>
        <w:t> </w:t>
      </w:r>
      <w:r>
        <w:rPr>
          <w:b/>
          <w:w w:val="110"/>
          <w:sz w:val="24"/>
        </w:rPr>
        <w:t>ademption</w:t>
      </w:r>
    </w:p>
    <w:p>
      <w:pPr>
        <w:spacing w:after="0"/>
        <w:jc w:val="left"/>
        <w:rPr>
          <w:sz w:val="24"/>
        </w:rPr>
        <w:sectPr>
          <w:headerReference w:type="default" r:id="rId31"/>
          <w:headerReference w:type="even" r:id="rId32"/>
          <w:pgSz w:w="11910" w:h="16840"/>
          <w:pgMar w:header="0" w:footer="0" w:top="700" w:bottom="280" w:left="0" w:right="0"/>
        </w:sectPr>
      </w:pPr>
    </w:p>
    <w:p>
      <w:pPr>
        <w:pStyle w:val="BodyText"/>
        <w:spacing w:before="10"/>
        <w:rPr>
          <w:b/>
          <w:sz w:val="18"/>
        </w:rPr>
      </w:pPr>
    </w:p>
    <w:p>
      <w:pPr>
        <w:pStyle w:val="ListParagraph"/>
        <w:numPr>
          <w:ilvl w:val="0"/>
          <w:numId w:val="22"/>
        </w:numPr>
        <w:tabs>
          <w:tab w:pos="1064" w:val="left" w:leader="none"/>
        </w:tabs>
        <w:spacing w:line="240" w:lineRule="auto" w:before="98" w:after="0"/>
        <w:ind w:left="1063" w:right="0" w:hanging="497"/>
        <w:jc w:val="left"/>
        <w:rPr>
          <w:b/>
          <w:sz w:val="44"/>
        </w:rPr>
      </w:pPr>
      <w:bookmarkStart w:name="4. Ademption" w:id="28"/>
      <w:bookmarkEnd w:id="28"/>
      <w:r>
        <w:rPr/>
      </w:r>
      <w:bookmarkStart w:name="Introduction" w:id="29"/>
      <w:bookmarkEnd w:id="29"/>
      <w:r>
        <w:rPr/>
      </w:r>
      <w:bookmarkStart w:name="Introduction" w:id="30"/>
      <w:bookmarkEnd w:id="30"/>
      <w:r>
        <w:rPr>
          <w:b/>
          <w:color w:val="EC5A4F"/>
          <w:spacing w:val="-4"/>
          <w:w w:val="115"/>
          <w:sz w:val="44"/>
        </w:rPr>
        <w:t>A</w:t>
      </w:r>
      <w:r>
        <w:rPr>
          <w:b/>
          <w:color w:val="EC5A4F"/>
          <w:spacing w:val="-4"/>
          <w:w w:val="115"/>
          <w:sz w:val="44"/>
        </w:rPr>
        <w:t>demption</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27"/>
        </w:rPr>
      </w:pPr>
    </w:p>
    <w:p>
      <w:pPr>
        <w:spacing w:before="99"/>
        <w:ind w:left="1587" w:right="0" w:firstLine="0"/>
        <w:jc w:val="left"/>
        <w:rPr>
          <w:b/>
          <w:sz w:val="28"/>
        </w:rPr>
      </w:pPr>
      <w:r>
        <w:rPr>
          <w:b/>
          <w:color w:val="EC5A4F"/>
          <w:w w:val="110"/>
          <w:sz w:val="28"/>
        </w:rPr>
        <w:t>Introduction</w:t>
      </w:r>
    </w:p>
    <w:p>
      <w:pPr>
        <w:pStyle w:val="ListParagraph"/>
        <w:numPr>
          <w:ilvl w:val="1"/>
          <w:numId w:val="22"/>
        </w:numPr>
        <w:tabs>
          <w:tab w:pos="2381" w:val="left" w:leader="none"/>
          <w:tab w:pos="2382" w:val="left" w:leader="none"/>
        </w:tabs>
        <w:spacing w:line="242" w:lineRule="auto" w:before="155" w:after="0"/>
        <w:ind w:left="2381" w:right="1799" w:hanging="794"/>
        <w:jc w:val="left"/>
        <w:rPr>
          <w:sz w:val="21"/>
        </w:rPr>
      </w:pPr>
      <w:r>
        <w:rPr>
          <w:w w:val="105"/>
          <w:sz w:val="21"/>
        </w:rPr>
        <w:t>The </w:t>
      </w:r>
      <w:r>
        <w:rPr>
          <w:spacing w:val="-3"/>
          <w:w w:val="105"/>
          <w:sz w:val="21"/>
        </w:rPr>
        <w:t>Commission </w:t>
      </w:r>
      <w:r>
        <w:rPr>
          <w:spacing w:val="-2"/>
          <w:w w:val="105"/>
          <w:sz w:val="21"/>
        </w:rPr>
        <w:t>has </w:t>
      </w:r>
      <w:r>
        <w:rPr>
          <w:w w:val="105"/>
          <w:sz w:val="21"/>
        </w:rPr>
        <w:t>been </w:t>
      </w:r>
      <w:r>
        <w:rPr>
          <w:spacing w:val="-3"/>
          <w:w w:val="105"/>
          <w:sz w:val="21"/>
        </w:rPr>
        <w:t>asked to </w:t>
      </w:r>
      <w:r>
        <w:rPr>
          <w:w w:val="105"/>
          <w:sz w:val="21"/>
        </w:rPr>
        <w:t>review and report on ‘the need </w:t>
      </w:r>
      <w:r>
        <w:rPr>
          <w:spacing w:val="-3"/>
          <w:w w:val="105"/>
          <w:sz w:val="21"/>
        </w:rPr>
        <w:t>to </w:t>
      </w:r>
      <w:r>
        <w:rPr>
          <w:w w:val="105"/>
          <w:sz w:val="21"/>
        </w:rPr>
        <w:t>clarify when testamentary</w:t>
      </w:r>
      <w:r>
        <w:rPr>
          <w:spacing w:val="-10"/>
          <w:w w:val="105"/>
          <w:sz w:val="21"/>
        </w:rPr>
        <w:t> </w:t>
      </w:r>
      <w:r>
        <w:rPr>
          <w:w w:val="105"/>
          <w:sz w:val="21"/>
        </w:rPr>
        <w:t>property</w:t>
      </w:r>
      <w:r>
        <w:rPr>
          <w:spacing w:val="-9"/>
          <w:w w:val="105"/>
          <w:sz w:val="21"/>
        </w:rPr>
        <w:t> </w:t>
      </w:r>
      <w:r>
        <w:rPr>
          <w:w w:val="105"/>
          <w:sz w:val="21"/>
        </w:rPr>
        <w:t>disposed</w:t>
      </w:r>
      <w:r>
        <w:rPr>
          <w:spacing w:val="-10"/>
          <w:w w:val="105"/>
          <w:sz w:val="21"/>
        </w:rPr>
        <w:t> </w:t>
      </w:r>
      <w:r>
        <w:rPr>
          <w:w w:val="105"/>
          <w:sz w:val="21"/>
        </w:rPr>
        <w:t>of</w:t>
      </w:r>
      <w:r>
        <w:rPr>
          <w:spacing w:val="-9"/>
          <w:w w:val="105"/>
          <w:sz w:val="21"/>
        </w:rPr>
        <w:t> </w:t>
      </w:r>
      <w:r>
        <w:rPr>
          <w:spacing w:val="-3"/>
          <w:w w:val="105"/>
          <w:sz w:val="21"/>
        </w:rPr>
        <w:t>during</w:t>
      </w:r>
      <w:r>
        <w:rPr>
          <w:spacing w:val="-10"/>
          <w:w w:val="105"/>
          <w:sz w:val="21"/>
        </w:rPr>
        <w:t> </w:t>
      </w:r>
      <w:r>
        <w:rPr>
          <w:w w:val="105"/>
          <w:sz w:val="21"/>
        </w:rPr>
        <w:t>the</w:t>
      </w:r>
      <w:r>
        <w:rPr>
          <w:spacing w:val="-9"/>
          <w:w w:val="105"/>
          <w:sz w:val="21"/>
        </w:rPr>
        <w:t> </w:t>
      </w:r>
      <w:r>
        <w:rPr>
          <w:spacing w:val="-3"/>
          <w:w w:val="105"/>
          <w:sz w:val="21"/>
        </w:rPr>
        <w:t>will-maker’s</w:t>
      </w:r>
      <w:r>
        <w:rPr>
          <w:spacing w:val="-10"/>
          <w:w w:val="105"/>
          <w:sz w:val="21"/>
        </w:rPr>
        <w:t> </w:t>
      </w:r>
      <w:r>
        <w:rPr>
          <w:spacing w:val="-3"/>
          <w:w w:val="105"/>
          <w:sz w:val="21"/>
        </w:rPr>
        <w:t>lifetime</w:t>
      </w:r>
      <w:r>
        <w:rPr>
          <w:spacing w:val="-9"/>
          <w:w w:val="105"/>
          <w:sz w:val="21"/>
        </w:rPr>
        <w:t> </w:t>
      </w:r>
      <w:r>
        <w:rPr>
          <w:spacing w:val="-3"/>
          <w:w w:val="105"/>
          <w:sz w:val="21"/>
        </w:rPr>
        <w:t>will</w:t>
      </w:r>
      <w:r>
        <w:rPr>
          <w:spacing w:val="-9"/>
          <w:w w:val="105"/>
          <w:sz w:val="21"/>
        </w:rPr>
        <w:t> </w:t>
      </w:r>
      <w:r>
        <w:rPr>
          <w:w w:val="105"/>
          <w:sz w:val="21"/>
        </w:rPr>
        <w:t>be</w:t>
      </w:r>
      <w:r>
        <w:rPr>
          <w:spacing w:val="-10"/>
          <w:w w:val="105"/>
          <w:sz w:val="21"/>
        </w:rPr>
        <w:t> </w:t>
      </w:r>
      <w:r>
        <w:rPr>
          <w:w w:val="105"/>
          <w:sz w:val="21"/>
        </w:rPr>
        <w:t>adeemed</w:t>
      </w:r>
      <w:r>
        <w:rPr>
          <w:spacing w:val="-9"/>
          <w:w w:val="105"/>
          <w:sz w:val="21"/>
        </w:rPr>
        <w:t> </w:t>
      </w:r>
      <w:r>
        <w:rPr>
          <w:w w:val="105"/>
          <w:sz w:val="21"/>
        </w:rPr>
        <w:t>and when it </w:t>
      </w:r>
      <w:r>
        <w:rPr>
          <w:spacing w:val="-3"/>
          <w:w w:val="105"/>
          <w:sz w:val="21"/>
        </w:rPr>
        <w:t>will </w:t>
      </w:r>
      <w:r>
        <w:rPr>
          <w:w w:val="105"/>
          <w:sz w:val="21"/>
        </w:rPr>
        <w:t>be protected </w:t>
      </w:r>
      <w:r>
        <w:rPr>
          <w:spacing w:val="-3"/>
          <w:w w:val="105"/>
          <w:sz w:val="21"/>
        </w:rPr>
        <w:t>from</w:t>
      </w:r>
      <w:r>
        <w:rPr>
          <w:spacing w:val="31"/>
          <w:w w:val="105"/>
          <w:sz w:val="21"/>
        </w:rPr>
        <w:t> </w:t>
      </w:r>
      <w:r>
        <w:rPr>
          <w:spacing w:val="-4"/>
          <w:w w:val="105"/>
          <w:sz w:val="21"/>
        </w:rPr>
        <w:t>ademption’.</w:t>
      </w:r>
    </w:p>
    <w:p>
      <w:pPr>
        <w:pStyle w:val="ListParagraph"/>
        <w:numPr>
          <w:ilvl w:val="1"/>
          <w:numId w:val="22"/>
        </w:numPr>
        <w:tabs>
          <w:tab w:pos="2381" w:val="left" w:leader="none"/>
          <w:tab w:pos="2382" w:val="left" w:leader="none"/>
        </w:tabs>
        <w:spacing w:line="242" w:lineRule="auto" w:before="123" w:after="0"/>
        <w:ind w:left="2381" w:right="1615" w:hanging="794"/>
        <w:jc w:val="left"/>
        <w:rPr>
          <w:sz w:val="21"/>
        </w:rPr>
      </w:pPr>
      <w:r>
        <w:rPr>
          <w:spacing w:val="-4"/>
          <w:w w:val="105"/>
          <w:sz w:val="21"/>
        </w:rPr>
        <w:t>‘Ademption’ </w:t>
      </w:r>
      <w:r>
        <w:rPr>
          <w:w w:val="105"/>
          <w:sz w:val="21"/>
        </w:rPr>
        <w:t>is a legal term </w:t>
      </w:r>
      <w:r>
        <w:rPr>
          <w:spacing w:val="-3"/>
          <w:w w:val="105"/>
          <w:sz w:val="21"/>
        </w:rPr>
        <w:t>that </w:t>
      </w:r>
      <w:r>
        <w:rPr>
          <w:w w:val="105"/>
          <w:sz w:val="21"/>
        </w:rPr>
        <w:t>describes what happens when </w:t>
      </w:r>
      <w:r>
        <w:rPr>
          <w:spacing w:val="-3"/>
          <w:w w:val="105"/>
          <w:sz w:val="21"/>
        </w:rPr>
        <w:t>something that </w:t>
      </w:r>
      <w:r>
        <w:rPr>
          <w:w w:val="105"/>
          <w:sz w:val="21"/>
        </w:rPr>
        <w:t>is left as a gift</w:t>
      </w:r>
      <w:r>
        <w:rPr>
          <w:spacing w:val="-4"/>
          <w:w w:val="105"/>
          <w:sz w:val="21"/>
        </w:rPr>
        <w:t> </w:t>
      </w:r>
      <w:r>
        <w:rPr>
          <w:w w:val="105"/>
          <w:sz w:val="21"/>
        </w:rPr>
        <w:t>in</w:t>
      </w:r>
      <w:r>
        <w:rPr>
          <w:spacing w:val="-3"/>
          <w:w w:val="105"/>
          <w:sz w:val="21"/>
        </w:rPr>
        <w:t> </w:t>
      </w:r>
      <w:r>
        <w:rPr>
          <w:w w:val="105"/>
          <w:sz w:val="21"/>
        </w:rPr>
        <w:t>a</w:t>
      </w:r>
      <w:r>
        <w:rPr>
          <w:spacing w:val="-3"/>
          <w:w w:val="105"/>
          <w:sz w:val="21"/>
        </w:rPr>
        <w:t> will </w:t>
      </w:r>
      <w:r>
        <w:rPr>
          <w:w w:val="105"/>
          <w:sz w:val="21"/>
        </w:rPr>
        <w:t>is</w:t>
      </w:r>
      <w:r>
        <w:rPr>
          <w:spacing w:val="-3"/>
          <w:w w:val="105"/>
          <w:sz w:val="21"/>
        </w:rPr>
        <w:t> </w:t>
      </w:r>
      <w:r>
        <w:rPr>
          <w:w w:val="105"/>
          <w:sz w:val="21"/>
        </w:rPr>
        <w:t>no</w:t>
      </w:r>
      <w:r>
        <w:rPr>
          <w:spacing w:val="-3"/>
          <w:w w:val="105"/>
          <w:sz w:val="21"/>
        </w:rPr>
        <w:t> </w:t>
      </w:r>
      <w:r>
        <w:rPr>
          <w:w w:val="105"/>
          <w:sz w:val="21"/>
        </w:rPr>
        <w:t>longer</w:t>
      </w:r>
      <w:r>
        <w:rPr>
          <w:spacing w:val="-3"/>
          <w:w w:val="105"/>
          <w:sz w:val="21"/>
        </w:rPr>
        <w:t> </w:t>
      </w:r>
      <w:r>
        <w:rPr>
          <w:w w:val="105"/>
          <w:sz w:val="21"/>
        </w:rPr>
        <w:t>owned</w:t>
      </w:r>
      <w:r>
        <w:rPr>
          <w:spacing w:val="-3"/>
          <w:w w:val="105"/>
          <w:sz w:val="21"/>
        </w:rPr>
        <w:t> </w:t>
      </w:r>
      <w:r>
        <w:rPr>
          <w:w w:val="105"/>
          <w:sz w:val="21"/>
        </w:rPr>
        <w:t>by</w:t>
      </w:r>
      <w:r>
        <w:rPr>
          <w:spacing w:val="-3"/>
          <w:w w:val="105"/>
          <w:sz w:val="21"/>
        </w:rPr>
        <w:t> </w:t>
      </w:r>
      <w:r>
        <w:rPr>
          <w:w w:val="105"/>
          <w:sz w:val="21"/>
        </w:rPr>
        <w:t>the</w:t>
      </w:r>
      <w:r>
        <w:rPr>
          <w:spacing w:val="-3"/>
          <w:w w:val="105"/>
          <w:sz w:val="21"/>
        </w:rPr>
        <w:t> will-maker </w:t>
      </w:r>
      <w:r>
        <w:rPr>
          <w:w w:val="105"/>
          <w:sz w:val="21"/>
        </w:rPr>
        <w:t>at</w:t>
      </w:r>
      <w:r>
        <w:rPr>
          <w:spacing w:val="-3"/>
          <w:w w:val="105"/>
          <w:sz w:val="21"/>
        </w:rPr>
        <w:t> </w:t>
      </w:r>
      <w:r>
        <w:rPr>
          <w:w w:val="105"/>
          <w:sz w:val="21"/>
        </w:rPr>
        <w:t>the</w:t>
      </w:r>
      <w:r>
        <w:rPr>
          <w:spacing w:val="-3"/>
          <w:w w:val="105"/>
          <w:sz w:val="21"/>
        </w:rPr>
        <w:t> </w:t>
      </w:r>
      <w:r>
        <w:rPr>
          <w:w w:val="105"/>
          <w:sz w:val="21"/>
        </w:rPr>
        <w:t>time</w:t>
      </w:r>
      <w:r>
        <w:rPr>
          <w:spacing w:val="-3"/>
          <w:w w:val="105"/>
          <w:sz w:val="21"/>
        </w:rPr>
        <w:t> </w:t>
      </w:r>
      <w:r>
        <w:rPr>
          <w:w w:val="105"/>
          <w:sz w:val="21"/>
        </w:rPr>
        <w:t>of</w:t>
      </w:r>
      <w:r>
        <w:rPr>
          <w:spacing w:val="-3"/>
          <w:w w:val="105"/>
          <w:sz w:val="21"/>
        </w:rPr>
        <w:t> </w:t>
      </w:r>
      <w:r>
        <w:rPr>
          <w:w w:val="105"/>
          <w:sz w:val="21"/>
        </w:rPr>
        <w:t>their</w:t>
      </w:r>
      <w:r>
        <w:rPr>
          <w:spacing w:val="-3"/>
          <w:w w:val="105"/>
          <w:sz w:val="21"/>
        </w:rPr>
        <w:t> death. </w:t>
      </w:r>
      <w:r>
        <w:rPr>
          <w:w w:val="105"/>
          <w:sz w:val="21"/>
        </w:rPr>
        <w:t>If</w:t>
      </w:r>
      <w:r>
        <w:rPr>
          <w:spacing w:val="-3"/>
          <w:w w:val="105"/>
          <w:sz w:val="21"/>
        </w:rPr>
        <w:t> </w:t>
      </w:r>
      <w:r>
        <w:rPr>
          <w:w w:val="105"/>
          <w:sz w:val="21"/>
        </w:rPr>
        <w:t>the</w:t>
      </w:r>
      <w:r>
        <w:rPr>
          <w:spacing w:val="-3"/>
          <w:w w:val="105"/>
          <w:sz w:val="21"/>
        </w:rPr>
        <w:t> </w:t>
      </w:r>
      <w:r>
        <w:rPr>
          <w:w w:val="105"/>
          <w:sz w:val="21"/>
        </w:rPr>
        <w:t>subject of the gift no longer exists in the same </w:t>
      </w:r>
      <w:r>
        <w:rPr>
          <w:spacing w:val="-3"/>
          <w:w w:val="105"/>
          <w:sz w:val="21"/>
        </w:rPr>
        <w:t>form within </w:t>
      </w:r>
      <w:r>
        <w:rPr>
          <w:w w:val="105"/>
          <w:sz w:val="21"/>
        </w:rPr>
        <w:t>the estate it is no longer </w:t>
      </w:r>
      <w:r>
        <w:rPr>
          <w:spacing w:val="-3"/>
          <w:w w:val="105"/>
          <w:sz w:val="21"/>
        </w:rPr>
        <w:t>available to </w:t>
      </w:r>
      <w:r>
        <w:rPr>
          <w:w w:val="105"/>
          <w:sz w:val="21"/>
        </w:rPr>
        <w:t>the </w:t>
      </w:r>
      <w:r>
        <w:rPr>
          <w:spacing w:val="-2"/>
          <w:w w:val="105"/>
          <w:sz w:val="21"/>
        </w:rPr>
        <w:t>beneficiary. </w:t>
      </w:r>
      <w:r>
        <w:rPr>
          <w:w w:val="105"/>
          <w:sz w:val="21"/>
        </w:rPr>
        <w:t>This can </w:t>
      </w:r>
      <w:r>
        <w:rPr>
          <w:spacing w:val="-3"/>
          <w:w w:val="105"/>
          <w:sz w:val="21"/>
        </w:rPr>
        <w:t>occur </w:t>
      </w:r>
      <w:r>
        <w:rPr>
          <w:w w:val="105"/>
          <w:sz w:val="21"/>
        </w:rPr>
        <w:t>in a number of</w:t>
      </w:r>
      <w:r>
        <w:rPr>
          <w:spacing w:val="42"/>
          <w:w w:val="105"/>
          <w:sz w:val="21"/>
        </w:rPr>
        <w:t> </w:t>
      </w:r>
      <w:r>
        <w:rPr>
          <w:w w:val="105"/>
          <w:sz w:val="21"/>
        </w:rPr>
        <w:t>ways:</w:t>
      </w:r>
    </w:p>
    <w:p>
      <w:pPr>
        <w:pStyle w:val="ListParagraph"/>
        <w:numPr>
          <w:ilvl w:val="2"/>
          <w:numId w:val="22"/>
        </w:numPr>
        <w:tabs>
          <w:tab w:pos="2721" w:val="left" w:leader="none"/>
          <w:tab w:pos="2722" w:val="left" w:leader="none"/>
        </w:tabs>
        <w:spacing w:line="242" w:lineRule="auto" w:before="124" w:after="0"/>
        <w:ind w:left="2721" w:right="1990" w:hanging="340"/>
        <w:jc w:val="left"/>
        <w:rPr>
          <w:sz w:val="21"/>
        </w:rPr>
      </w:pPr>
      <w:r>
        <w:rPr>
          <w:w w:val="105"/>
          <w:sz w:val="21"/>
        </w:rPr>
        <w:t>The</w:t>
      </w:r>
      <w:r>
        <w:rPr>
          <w:spacing w:val="-5"/>
          <w:w w:val="105"/>
          <w:sz w:val="21"/>
        </w:rPr>
        <w:t> </w:t>
      </w:r>
      <w:r>
        <w:rPr>
          <w:w w:val="105"/>
          <w:sz w:val="21"/>
        </w:rPr>
        <w:t>gifted</w:t>
      </w:r>
      <w:r>
        <w:rPr>
          <w:spacing w:val="-4"/>
          <w:w w:val="105"/>
          <w:sz w:val="21"/>
        </w:rPr>
        <w:t> </w:t>
      </w:r>
      <w:r>
        <w:rPr>
          <w:w w:val="105"/>
          <w:sz w:val="21"/>
        </w:rPr>
        <w:t>property</w:t>
      </w:r>
      <w:r>
        <w:rPr>
          <w:spacing w:val="-4"/>
          <w:w w:val="105"/>
          <w:sz w:val="21"/>
        </w:rPr>
        <w:t> </w:t>
      </w:r>
      <w:r>
        <w:rPr>
          <w:spacing w:val="-2"/>
          <w:w w:val="105"/>
          <w:sz w:val="21"/>
        </w:rPr>
        <w:t>has</w:t>
      </w:r>
      <w:r>
        <w:rPr>
          <w:spacing w:val="-4"/>
          <w:w w:val="105"/>
          <w:sz w:val="21"/>
        </w:rPr>
        <w:t> </w:t>
      </w:r>
      <w:r>
        <w:rPr>
          <w:w w:val="105"/>
          <w:sz w:val="21"/>
        </w:rPr>
        <w:t>been</w:t>
      </w:r>
      <w:r>
        <w:rPr>
          <w:spacing w:val="-5"/>
          <w:w w:val="105"/>
          <w:sz w:val="21"/>
        </w:rPr>
        <w:t> </w:t>
      </w:r>
      <w:r>
        <w:rPr>
          <w:w w:val="105"/>
          <w:sz w:val="21"/>
        </w:rPr>
        <w:t>sold</w:t>
      </w:r>
      <w:r>
        <w:rPr>
          <w:spacing w:val="-4"/>
          <w:w w:val="105"/>
          <w:sz w:val="21"/>
        </w:rPr>
        <w:t> </w:t>
      </w:r>
      <w:r>
        <w:rPr>
          <w:spacing w:val="-3"/>
          <w:w w:val="105"/>
          <w:sz w:val="21"/>
        </w:rPr>
        <w:t>(for</w:t>
      </w:r>
      <w:r>
        <w:rPr>
          <w:spacing w:val="-4"/>
          <w:w w:val="105"/>
          <w:sz w:val="21"/>
        </w:rPr>
        <w:t> </w:t>
      </w:r>
      <w:r>
        <w:rPr>
          <w:spacing w:val="-3"/>
          <w:w w:val="105"/>
          <w:sz w:val="21"/>
        </w:rPr>
        <w:t>example,</w:t>
      </w:r>
      <w:r>
        <w:rPr>
          <w:spacing w:val="-4"/>
          <w:w w:val="105"/>
          <w:sz w:val="21"/>
        </w:rPr>
        <w:t> </w:t>
      </w:r>
      <w:r>
        <w:rPr>
          <w:w w:val="105"/>
          <w:sz w:val="21"/>
        </w:rPr>
        <w:t>the</w:t>
      </w:r>
      <w:r>
        <w:rPr>
          <w:spacing w:val="-4"/>
          <w:w w:val="105"/>
          <w:sz w:val="21"/>
        </w:rPr>
        <w:t> </w:t>
      </w:r>
      <w:r>
        <w:rPr>
          <w:spacing w:val="-3"/>
          <w:w w:val="105"/>
          <w:sz w:val="21"/>
        </w:rPr>
        <w:t>family</w:t>
      </w:r>
      <w:r>
        <w:rPr>
          <w:spacing w:val="-5"/>
          <w:w w:val="105"/>
          <w:sz w:val="21"/>
        </w:rPr>
        <w:t> </w:t>
      </w:r>
      <w:r>
        <w:rPr>
          <w:w w:val="105"/>
          <w:sz w:val="21"/>
        </w:rPr>
        <w:t>home</w:t>
      </w:r>
      <w:r>
        <w:rPr>
          <w:spacing w:val="-4"/>
          <w:w w:val="105"/>
          <w:sz w:val="21"/>
        </w:rPr>
        <w:t> </w:t>
      </w:r>
      <w:r>
        <w:rPr>
          <w:spacing w:val="-2"/>
          <w:w w:val="105"/>
          <w:sz w:val="21"/>
        </w:rPr>
        <w:t>has</w:t>
      </w:r>
      <w:r>
        <w:rPr>
          <w:spacing w:val="-4"/>
          <w:w w:val="105"/>
          <w:sz w:val="21"/>
        </w:rPr>
        <w:t> </w:t>
      </w:r>
      <w:r>
        <w:rPr>
          <w:w w:val="105"/>
          <w:sz w:val="21"/>
        </w:rPr>
        <w:t>been</w:t>
      </w:r>
      <w:r>
        <w:rPr>
          <w:spacing w:val="-4"/>
          <w:w w:val="105"/>
          <w:sz w:val="21"/>
        </w:rPr>
        <w:t> </w:t>
      </w:r>
      <w:r>
        <w:rPr>
          <w:w w:val="105"/>
          <w:sz w:val="21"/>
        </w:rPr>
        <w:t>sold</w:t>
      </w:r>
      <w:r>
        <w:rPr>
          <w:spacing w:val="-4"/>
          <w:w w:val="105"/>
          <w:sz w:val="21"/>
        </w:rPr>
        <w:t> </w:t>
      </w:r>
      <w:r>
        <w:rPr>
          <w:spacing w:val="-3"/>
          <w:w w:val="105"/>
          <w:sz w:val="21"/>
        </w:rPr>
        <w:t>to fund </w:t>
      </w:r>
      <w:r>
        <w:rPr>
          <w:w w:val="105"/>
          <w:sz w:val="21"/>
        </w:rPr>
        <w:t>aged</w:t>
      </w:r>
      <w:r>
        <w:rPr>
          <w:spacing w:val="14"/>
          <w:w w:val="105"/>
          <w:sz w:val="21"/>
        </w:rPr>
        <w:t> </w:t>
      </w:r>
      <w:r>
        <w:rPr>
          <w:w w:val="105"/>
          <w:sz w:val="21"/>
        </w:rPr>
        <w:t>care).</w:t>
      </w:r>
    </w:p>
    <w:p>
      <w:pPr>
        <w:pStyle w:val="ListParagraph"/>
        <w:numPr>
          <w:ilvl w:val="2"/>
          <w:numId w:val="22"/>
        </w:numPr>
        <w:tabs>
          <w:tab w:pos="2721" w:val="left" w:leader="none"/>
          <w:tab w:pos="2722" w:val="left" w:leader="none"/>
        </w:tabs>
        <w:spacing w:line="242" w:lineRule="auto" w:before="123" w:after="0"/>
        <w:ind w:left="2721" w:right="1881" w:hanging="340"/>
        <w:jc w:val="left"/>
        <w:rPr>
          <w:sz w:val="21"/>
        </w:rPr>
      </w:pPr>
      <w:r>
        <w:rPr>
          <w:sz w:val="21"/>
        </w:rPr>
        <w:t>The gifted property </w:t>
      </w:r>
      <w:r>
        <w:rPr>
          <w:spacing w:val="-2"/>
          <w:sz w:val="21"/>
        </w:rPr>
        <w:t>has </w:t>
      </w:r>
      <w:r>
        <w:rPr>
          <w:sz w:val="21"/>
        </w:rPr>
        <w:t>been </w:t>
      </w:r>
      <w:r>
        <w:rPr>
          <w:spacing w:val="-3"/>
          <w:sz w:val="21"/>
        </w:rPr>
        <w:t>stolen, </w:t>
      </w:r>
      <w:r>
        <w:rPr>
          <w:sz w:val="21"/>
        </w:rPr>
        <w:t>lost or destroyed </w:t>
      </w:r>
      <w:r>
        <w:rPr>
          <w:spacing w:val="-3"/>
          <w:sz w:val="21"/>
        </w:rPr>
        <w:t>(for example, through </w:t>
      </w:r>
      <w:r>
        <w:rPr>
          <w:sz w:val="21"/>
        </w:rPr>
        <w:t>fire or other </w:t>
      </w:r>
      <w:r>
        <w:rPr>
          <w:spacing w:val="-3"/>
          <w:sz w:val="21"/>
        </w:rPr>
        <w:t>natural </w:t>
      </w:r>
      <w:r>
        <w:rPr>
          <w:sz w:val="21"/>
        </w:rPr>
        <w:t>disaster where </w:t>
      </w:r>
      <w:r>
        <w:rPr>
          <w:spacing w:val="-4"/>
          <w:sz w:val="21"/>
        </w:rPr>
        <w:t>insurance </w:t>
      </w:r>
      <w:r>
        <w:rPr>
          <w:spacing w:val="-3"/>
          <w:sz w:val="21"/>
        </w:rPr>
        <w:t>may </w:t>
      </w:r>
      <w:r>
        <w:rPr>
          <w:sz w:val="21"/>
        </w:rPr>
        <w:t>be</w:t>
      </w:r>
      <w:r>
        <w:rPr>
          <w:spacing w:val="32"/>
          <w:sz w:val="21"/>
        </w:rPr>
        <w:t> </w:t>
      </w:r>
      <w:r>
        <w:rPr>
          <w:sz w:val="21"/>
        </w:rPr>
        <w:t>payable).</w:t>
      </w:r>
    </w:p>
    <w:p>
      <w:pPr>
        <w:pStyle w:val="ListParagraph"/>
        <w:numPr>
          <w:ilvl w:val="2"/>
          <w:numId w:val="22"/>
        </w:numPr>
        <w:tabs>
          <w:tab w:pos="2721" w:val="left" w:leader="none"/>
          <w:tab w:pos="2722" w:val="left" w:leader="none"/>
        </w:tabs>
        <w:spacing w:line="242" w:lineRule="auto" w:before="122" w:after="0"/>
        <w:ind w:left="2721" w:right="1768" w:hanging="340"/>
        <w:jc w:val="left"/>
        <w:rPr>
          <w:sz w:val="21"/>
        </w:rPr>
      </w:pPr>
      <w:r>
        <w:rPr>
          <w:sz w:val="21"/>
        </w:rPr>
        <w:t>The gifted property </w:t>
      </w:r>
      <w:r>
        <w:rPr>
          <w:spacing w:val="-2"/>
          <w:sz w:val="21"/>
        </w:rPr>
        <w:t>has </w:t>
      </w:r>
      <w:r>
        <w:rPr>
          <w:spacing w:val="-3"/>
          <w:sz w:val="21"/>
        </w:rPr>
        <w:t>changed from </w:t>
      </w:r>
      <w:r>
        <w:rPr>
          <w:sz w:val="21"/>
        </w:rPr>
        <w:t>how it was described in the </w:t>
      </w:r>
      <w:r>
        <w:rPr>
          <w:spacing w:val="-3"/>
          <w:sz w:val="21"/>
        </w:rPr>
        <w:t>will (for  example,  </w:t>
      </w:r>
      <w:r>
        <w:rPr>
          <w:sz w:val="21"/>
        </w:rPr>
        <w:t>the </w:t>
      </w:r>
      <w:r>
        <w:rPr>
          <w:spacing w:val="-3"/>
          <w:sz w:val="21"/>
        </w:rPr>
        <w:t>will </w:t>
      </w:r>
      <w:r>
        <w:rPr>
          <w:sz w:val="21"/>
        </w:rPr>
        <w:t>refers </w:t>
      </w:r>
      <w:r>
        <w:rPr>
          <w:spacing w:val="-3"/>
          <w:sz w:val="21"/>
        </w:rPr>
        <w:t>to shares </w:t>
      </w:r>
      <w:r>
        <w:rPr>
          <w:sz w:val="21"/>
        </w:rPr>
        <w:t>in a particular </w:t>
      </w:r>
      <w:r>
        <w:rPr>
          <w:spacing w:val="-3"/>
          <w:sz w:val="21"/>
        </w:rPr>
        <w:t>company </w:t>
      </w:r>
      <w:r>
        <w:rPr>
          <w:sz w:val="21"/>
        </w:rPr>
        <w:t>and </w:t>
      </w:r>
      <w:r>
        <w:rPr>
          <w:spacing w:val="-3"/>
          <w:sz w:val="21"/>
        </w:rPr>
        <w:t>that  company  </w:t>
      </w:r>
      <w:r>
        <w:rPr>
          <w:spacing w:val="-2"/>
          <w:sz w:val="21"/>
        </w:rPr>
        <w:t>has  </w:t>
      </w:r>
      <w:r>
        <w:rPr>
          <w:sz w:val="21"/>
        </w:rPr>
        <w:t>been </w:t>
      </w:r>
      <w:r>
        <w:rPr>
          <w:spacing w:val="-3"/>
          <w:sz w:val="21"/>
        </w:rPr>
        <w:t>taken </w:t>
      </w:r>
      <w:r>
        <w:rPr>
          <w:sz w:val="21"/>
        </w:rPr>
        <w:t>over by </w:t>
      </w:r>
      <w:r>
        <w:rPr>
          <w:spacing w:val="-3"/>
          <w:sz w:val="21"/>
        </w:rPr>
        <w:t>another</w:t>
      </w:r>
      <w:r>
        <w:rPr>
          <w:spacing w:val="25"/>
          <w:sz w:val="21"/>
        </w:rPr>
        <w:t> </w:t>
      </w:r>
      <w:r>
        <w:rPr>
          <w:sz w:val="21"/>
        </w:rPr>
        <w:t>company).</w:t>
      </w:r>
    </w:p>
    <w:p>
      <w:pPr>
        <w:pStyle w:val="ListParagraph"/>
        <w:numPr>
          <w:ilvl w:val="1"/>
          <w:numId w:val="22"/>
        </w:numPr>
        <w:tabs>
          <w:tab w:pos="2381" w:val="left" w:leader="none"/>
          <w:tab w:pos="2382" w:val="left" w:leader="none"/>
        </w:tabs>
        <w:spacing w:line="242" w:lineRule="auto" w:before="123" w:after="0"/>
        <w:ind w:left="2381" w:right="1913" w:hanging="794"/>
        <w:jc w:val="left"/>
        <w:rPr>
          <w:sz w:val="12"/>
        </w:rPr>
      </w:pPr>
      <w:r>
        <w:rPr>
          <w:spacing w:val="-4"/>
          <w:sz w:val="21"/>
        </w:rPr>
        <w:t>Careful </w:t>
      </w:r>
      <w:r>
        <w:rPr>
          <w:spacing w:val="-3"/>
          <w:sz w:val="21"/>
        </w:rPr>
        <w:t>will drafting </w:t>
      </w:r>
      <w:r>
        <w:rPr>
          <w:sz w:val="21"/>
        </w:rPr>
        <w:t>can avoid ademption. For </w:t>
      </w:r>
      <w:r>
        <w:rPr>
          <w:spacing w:val="-3"/>
          <w:sz w:val="21"/>
        </w:rPr>
        <w:t>example, </w:t>
      </w:r>
      <w:r>
        <w:rPr>
          <w:sz w:val="21"/>
        </w:rPr>
        <w:t>a beneficiary can be left a percentage of the estate </w:t>
      </w:r>
      <w:r>
        <w:rPr>
          <w:spacing w:val="-3"/>
          <w:sz w:val="21"/>
        </w:rPr>
        <w:t>rather than </w:t>
      </w:r>
      <w:r>
        <w:rPr>
          <w:sz w:val="21"/>
        </w:rPr>
        <w:t>being left a particular property, or a </w:t>
      </w:r>
      <w:r>
        <w:rPr>
          <w:spacing w:val="-3"/>
          <w:sz w:val="21"/>
        </w:rPr>
        <w:t>will </w:t>
      </w:r>
      <w:r>
        <w:rPr>
          <w:sz w:val="21"/>
        </w:rPr>
        <w:t>can state </w:t>
      </w:r>
      <w:r>
        <w:rPr>
          <w:spacing w:val="-3"/>
          <w:sz w:val="21"/>
        </w:rPr>
        <w:t>that </w:t>
      </w:r>
      <w:r>
        <w:rPr>
          <w:sz w:val="21"/>
        </w:rPr>
        <w:t>the beneficiary should also be entitled </w:t>
      </w:r>
      <w:r>
        <w:rPr>
          <w:spacing w:val="-3"/>
          <w:sz w:val="21"/>
        </w:rPr>
        <w:t>to </w:t>
      </w:r>
      <w:r>
        <w:rPr>
          <w:sz w:val="21"/>
        </w:rPr>
        <w:t>the proceeds of the sale or </w:t>
      </w:r>
      <w:r>
        <w:rPr>
          <w:spacing w:val="-4"/>
          <w:sz w:val="21"/>
        </w:rPr>
        <w:t>insurance </w:t>
      </w:r>
      <w:r>
        <w:rPr>
          <w:sz w:val="21"/>
        </w:rPr>
        <w:t>proceeds of a particular </w:t>
      </w:r>
      <w:r>
        <w:rPr>
          <w:spacing w:val="-3"/>
          <w:sz w:val="21"/>
        </w:rPr>
        <w:t>item </w:t>
      </w:r>
      <w:r>
        <w:rPr>
          <w:sz w:val="21"/>
        </w:rPr>
        <w:t>of property or </w:t>
      </w:r>
      <w:r>
        <w:rPr>
          <w:spacing w:val="-3"/>
          <w:sz w:val="21"/>
        </w:rPr>
        <w:t>any </w:t>
      </w:r>
      <w:r>
        <w:rPr>
          <w:sz w:val="21"/>
        </w:rPr>
        <w:t>property held in </w:t>
      </w:r>
      <w:r>
        <w:rPr>
          <w:spacing w:val="-3"/>
          <w:sz w:val="21"/>
        </w:rPr>
        <w:t>substitution for </w:t>
      </w:r>
      <w:r>
        <w:rPr>
          <w:sz w:val="21"/>
        </w:rPr>
        <w:t>the </w:t>
      </w:r>
      <w:r>
        <w:rPr>
          <w:spacing w:val="-3"/>
          <w:sz w:val="21"/>
        </w:rPr>
        <w:t>original</w:t>
      </w:r>
      <w:r>
        <w:rPr>
          <w:spacing w:val="8"/>
          <w:sz w:val="21"/>
        </w:rPr>
        <w:t> </w:t>
      </w:r>
      <w:r>
        <w:rPr>
          <w:spacing w:val="-4"/>
          <w:sz w:val="21"/>
        </w:rPr>
        <w:t>property.</w:t>
      </w:r>
      <w:r>
        <w:rPr>
          <w:spacing w:val="-4"/>
          <w:position w:val="7"/>
          <w:sz w:val="12"/>
        </w:rPr>
        <w:t>1</w:t>
      </w:r>
    </w:p>
    <w:p>
      <w:pPr>
        <w:pStyle w:val="ListParagraph"/>
        <w:numPr>
          <w:ilvl w:val="1"/>
          <w:numId w:val="22"/>
        </w:numPr>
        <w:tabs>
          <w:tab w:pos="2381" w:val="left" w:leader="none"/>
          <w:tab w:pos="2382" w:val="left" w:leader="none"/>
        </w:tabs>
        <w:spacing w:line="242" w:lineRule="auto" w:before="126" w:after="0"/>
        <w:ind w:left="2381" w:right="1610" w:hanging="794"/>
        <w:jc w:val="left"/>
        <w:rPr>
          <w:sz w:val="21"/>
        </w:rPr>
      </w:pPr>
      <w:r>
        <w:rPr>
          <w:w w:val="105"/>
          <w:sz w:val="21"/>
        </w:rPr>
        <w:t>Problems with the ademption rule often </w:t>
      </w:r>
      <w:r>
        <w:rPr>
          <w:spacing w:val="-3"/>
          <w:w w:val="105"/>
          <w:sz w:val="21"/>
        </w:rPr>
        <w:t>occur </w:t>
      </w:r>
      <w:r>
        <w:rPr>
          <w:w w:val="105"/>
          <w:sz w:val="21"/>
        </w:rPr>
        <w:t>where the </w:t>
      </w:r>
      <w:r>
        <w:rPr>
          <w:spacing w:val="-3"/>
          <w:w w:val="105"/>
          <w:sz w:val="21"/>
        </w:rPr>
        <w:t>family </w:t>
      </w:r>
      <w:r>
        <w:rPr>
          <w:w w:val="105"/>
          <w:sz w:val="21"/>
        </w:rPr>
        <w:t>home </w:t>
      </w:r>
      <w:r>
        <w:rPr>
          <w:spacing w:val="-2"/>
          <w:w w:val="105"/>
          <w:sz w:val="21"/>
        </w:rPr>
        <w:t>has </w:t>
      </w:r>
      <w:r>
        <w:rPr>
          <w:w w:val="105"/>
          <w:sz w:val="21"/>
        </w:rPr>
        <w:t>been left </w:t>
      </w:r>
      <w:r>
        <w:rPr>
          <w:spacing w:val="-3"/>
          <w:w w:val="105"/>
          <w:sz w:val="21"/>
        </w:rPr>
        <w:t>to </w:t>
      </w:r>
      <w:r>
        <w:rPr>
          <w:w w:val="105"/>
          <w:sz w:val="21"/>
        </w:rPr>
        <w:t>a </w:t>
      </w:r>
      <w:r>
        <w:rPr>
          <w:spacing w:val="-2"/>
          <w:w w:val="105"/>
          <w:sz w:val="21"/>
        </w:rPr>
        <w:t>beneficiary, </w:t>
      </w:r>
      <w:r>
        <w:rPr>
          <w:w w:val="105"/>
          <w:sz w:val="21"/>
        </w:rPr>
        <w:t>but prior </w:t>
      </w:r>
      <w:r>
        <w:rPr>
          <w:spacing w:val="-3"/>
          <w:w w:val="105"/>
          <w:sz w:val="21"/>
        </w:rPr>
        <w:t>to </w:t>
      </w:r>
      <w:r>
        <w:rPr>
          <w:w w:val="105"/>
          <w:sz w:val="21"/>
        </w:rPr>
        <w:t>the </w:t>
      </w:r>
      <w:r>
        <w:rPr>
          <w:spacing w:val="-3"/>
          <w:w w:val="105"/>
          <w:sz w:val="21"/>
        </w:rPr>
        <w:t>will-maker’s </w:t>
      </w:r>
      <w:r>
        <w:rPr>
          <w:w w:val="105"/>
          <w:sz w:val="21"/>
        </w:rPr>
        <w:t>death the home </w:t>
      </w:r>
      <w:r>
        <w:rPr>
          <w:spacing w:val="-2"/>
          <w:w w:val="105"/>
          <w:sz w:val="21"/>
        </w:rPr>
        <w:t>has </w:t>
      </w:r>
      <w:r>
        <w:rPr>
          <w:w w:val="105"/>
          <w:sz w:val="21"/>
        </w:rPr>
        <w:t>been sold, </w:t>
      </w:r>
      <w:r>
        <w:rPr>
          <w:spacing w:val="-3"/>
          <w:w w:val="105"/>
          <w:sz w:val="21"/>
        </w:rPr>
        <w:t>usually to fund </w:t>
      </w:r>
      <w:r>
        <w:rPr>
          <w:w w:val="105"/>
          <w:sz w:val="21"/>
        </w:rPr>
        <w:t>aged </w:t>
      </w:r>
      <w:r>
        <w:rPr>
          <w:spacing w:val="-3"/>
          <w:w w:val="105"/>
          <w:sz w:val="21"/>
        </w:rPr>
        <w:t>care.</w:t>
      </w:r>
      <w:r>
        <w:rPr>
          <w:spacing w:val="-3"/>
          <w:w w:val="105"/>
          <w:position w:val="7"/>
          <w:sz w:val="12"/>
        </w:rPr>
        <w:t>2 </w:t>
      </w:r>
      <w:r>
        <w:rPr>
          <w:w w:val="105"/>
          <w:sz w:val="21"/>
        </w:rPr>
        <w:t>The </w:t>
      </w:r>
      <w:r>
        <w:rPr>
          <w:spacing w:val="-3"/>
          <w:w w:val="105"/>
          <w:sz w:val="21"/>
        </w:rPr>
        <w:t>will-maker may </w:t>
      </w:r>
      <w:r>
        <w:rPr>
          <w:spacing w:val="-2"/>
          <w:w w:val="105"/>
          <w:sz w:val="21"/>
        </w:rPr>
        <w:t>not </w:t>
      </w:r>
      <w:r>
        <w:rPr>
          <w:spacing w:val="-3"/>
          <w:w w:val="105"/>
          <w:sz w:val="21"/>
        </w:rPr>
        <w:t>have </w:t>
      </w:r>
      <w:r>
        <w:rPr>
          <w:w w:val="105"/>
          <w:sz w:val="21"/>
        </w:rPr>
        <w:t>the capacity necessary </w:t>
      </w:r>
      <w:r>
        <w:rPr>
          <w:spacing w:val="-3"/>
          <w:w w:val="105"/>
          <w:sz w:val="21"/>
        </w:rPr>
        <w:t>to change </w:t>
      </w:r>
      <w:r>
        <w:rPr>
          <w:w w:val="105"/>
          <w:sz w:val="21"/>
        </w:rPr>
        <w:t>their </w:t>
      </w:r>
      <w:r>
        <w:rPr>
          <w:spacing w:val="-3"/>
          <w:w w:val="105"/>
          <w:sz w:val="21"/>
        </w:rPr>
        <w:t>will </w:t>
      </w:r>
      <w:r>
        <w:rPr>
          <w:w w:val="105"/>
          <w:sz w:val="21"/>
        </w:rPr>
        <w:t>when this</w:t>
      </w:r>
      <w:r>
        <w:rPr>
          <w:spacing w:val="5"/>
          <w:w w:val="105"/>
          <w:sz w:val="21"/>
        </w:rPr>
        <w:t> </w:t>
      </w:r>
      <w:r>
        <w:rPr>
          <w:w w:val="105"/>
          <w:sz w:val="21"/>
        </w:rPr>
        <w:t>occurs.</w:t>
      </w:r>
    </w:p>
    <w:p>
      <w:pPr>
        <w:pStyle w:val="ListParagraph"/>
        <w:numPr>
          <w:ilvl w:val="1"/>
          <w:numId w:val="22"/>
        </w:numPr>
        <w:tabs>
          <w:tab w:pos="2380" w:val="left" w:leader="none"/>
          <w:tab w:pos="2382" w:val="left" w:leader="none"/>
        </w:tabs>
        <w:spacing w:line="242" w:lineRule="auto" w:before="124" w:after="0"/>
        <w:ind w:left="2381" w:right="1803" w:hanging="794"/>
        <w:jc w:val="left"/>
        <w:rPr>
          <w:sz w:val="21"/>
        </w:rPr>
      </w:pPr>
      <w:r>
        <w:rPr>
          <w:w w:val="105"/>
          <w:sz w:val="21"/>
        </w:rPr>
        <w:t>In</w:t>
      </w:r>
      <w:r>
        <w:rPr>
          <w:spacing w:val="-5"/>
          <w:w w:val="105"/>
          <w:sz w:val="21"/>
        </w:rPr>
        <w:t> </w:t>
      </w:r>
      <w:r>
        <w:rPr>
          <w:w w:val="105"/>
          <w:sz w:val="21"/>
        </w:rPr>
        <w:t>the</w:t>
      </w:r>
      <w:r>
        <w:rPr>
          <w:spacing w:val="-4"/>
          <w:w w:val="105"/>
          <w:sz w:val="21"/>
        </w:rPr>
        <w:t> </w:t>
      </w:r>
      <w:r>
        <w:rPr>
          <w:spacing w:val="-3"/>
          <w:w w:val="105"/>
          <w:sz w:val="21"/>
        </w:rPr>
        <w:t>consultation</w:t>
      </w:r>
      <w:r>
        <w:rPr>
          <w:spacing w:val="-5"/>
          <w:w w:val="105"/>
          <w:sz w:val="21"/>
        </w:rPr>
        <w:t> </w:t>
      </w:r>
      <w:r>
        <w:rPr>
          <w:w w:val="105"/>
          <w:sz w:val="21"/>
        </w:rPr>
        <w:t>paper</w:t>
      </w:r>
      <w:r>
        <w:rPr>
          <w:spacing w:val="-4"/>
          <w:w w:val="105"/>
          <w:sz w:val="21"/>
        </w:rPr>
        <w:t> </w:t>
      </w:r>
      <w:r>
        <w:rPr>
          <w:w w:val="105"/>
          <w:sz w:val="21"/>
        </w:rPr>
        <w:t>on</w:t>
      </w:r>
      <w:r>
        <w:rPr>
          <w:spacing w:val="-4"/>
          <w:w w:val="105"/>
          <w:sz w:val="21"/>
        </w:rPr>
        <w:t> </w:t>
      </w:r>
      <w:r>
        <w:rPr>
          <w:spacing w:val="-3"/>
          <w:w w:val="105"/>
          <w:sz w:val="21"/>
        </w:rPr>
        <w:t>wills,</w:t>
      </w:r>
      <w:r>
        <w:rPr>
          <w:spacing w:val="-5"/>
          <w:w w:val="105"/>
          <w:sz w:val="21"/>
        </w:rPr>
        <w:t> </w:t>
      </w:r>
      <w:r>
        <w:rPr>
          <w:w w:val="105"/>
          <w:sz w:val="21"/>
        </w:rPr>
        <w:t>the</w:t>
      </w:r>
      <w:r>
        <w:rPr>
          <w:spacing w:val="-4"/>
          <w:w w:val="105"/>
          <w:sz w:val="21"/>
        </w:rPr>
        <w:t> </w:t>
      </w:r>
      <w:r>
        <w:rPr>
          <w:spacing w:val="-3"/>
          <w:w w:val="105"/>
          <w:sz w:val="21"/>
        </w:rPr>
        <w:t>Commission</w:t>
      </w:r>
      <w:r>
        <w:rPr>
          <w:spacing w:val="-5"/>
          <w:w w:val="105"/>
          <w:sz w:val="21"/>
        </w:rPr>
        <w:t> </w:t>
      </w:r>
      <w:r>
        <w:rPr>
          <w:spacing w:val="-3"/>
          <w:w w:val="105"/>
          <w:sz w:val="21"/>
        </w:rPr>
        <w:t>sought</w:t>
      </w:r>
      <w:r>
        <w:rPr>
          <w:spacing w:val="-4"/>
          <w:w w:val="105"/>
          <w:sz w:val="21"/>
        </w:rPr>
        <w:t> </w:t>
      </w:r>
      <w:r>
        <w:rPr>
          <w:w w:val="105"/>
          <w:sz w:val="21"/>
        </w:rPr>
        <w:t>views</w:t>
      </w:r>
      <w:r>
        <w:rPr>
          <w:spacing w:val="-4"/>
          <w:w w:val="105"/>
          <w:sz w:val="21"/>
        </w:rPr>
        <w:t> </w:t>
      </w:r>
      <w:r>
        <w:rPr>
          <w:w w:val="105"/>
          <w:sz w:val="21"/>
        </w:rPr>
        <w:t>on</w:t>
      </w:r>
      <w:r>
        <w:rPr>
          <w:spacing w:val="-5"/>
          <w:w w:val="105"/>
          <w:sz w:val="21"/>
        </w:rPr>
        <w:t> </w:t>
      </w:r>
      <w:r>
        <w:rPr>
          <w:w w:val="105"/>
          <w:sz w:val="21"/>
        </w:rPr>
        <w:t>three</w:t>
      </w:r>
      <w:r>
        <w:rPr>
          <w:spacing w:val="-4"/>
          <w:w w:val="105"/>
          <w:sz w:val="21"/>
        </w:rPr>
        <w:t> </w:t>
      </w:r>
      <w:r>
        <w:rPr>
          <w:w w:val="105"/>
          <w:sz w:val="21"/>
        </w:rPr>
        <w:t>possible</w:t>
      </w:r>
      <w:r>
        <w:rPr>
          <w:spacing w:val="-4"/>
          <w:w w:val="105"/>
          <w:sz w:val="21"/>
        </w:rPr>
        <w:t> </w:t>
      </w:r>
      <w:r>
        <w:rPr>
          <w:w w:val="105"/>
          <w:sz w:val="21"/>
        </w:rPr>
        <w:t>ways </w:t>
      </w:r>
      <w:r>
        <w:rPr>
          <w:spacing w:val="-3"/>
          <w:w w:val="105"/>
          <w:sz w:val="21"/>
        </w:rPr>
        <w:t>to reform </w:t>
      </w:r>
      <w:r>
        <w:rPr>
          <w:w w:val="105"/>
          <w:sz w:val="21"/>
        </w:rPr>
        <w:t>the </w:t>
      </w:r>
      <w:r>
        <w:rPr>
          <w:spacing w:val="-5"/>
          <w:w w:val="105"/>
          <w:sz w:val="21"/>
        </w:rPr>
        <w:t>law, </w:t>
      </w:r>
      <w:r>
        <w:rPr>
          <w:w w:val="105"/>
          <w:sz w:val="21"/>
        </w:rPr>
        <w:t>with a view </w:t>
      </w:r>
      <w:r>
        <w:rPr>
          <w:spacing w:val="-3"/>
          <w:w w:val="105"/>
          <w:sz w:val="21"/>
        </w:rPr>
        <w:t>to </w:t>
      </w:r>
      <w:r>
        <w:rPr>
          <w:w w:val="105"/>
          <w:sz w:val="21"/>
        </w:rPr>
        <w:t>better </w:t>
      </w:r>
      <w:r>
        <w:rPr>
          <w:spacing w:val="-3"/>
          <w:w w:val="105"/>
          <w:sz w:val="21"/>
        </w:rPr>
        <w:t>upholding </w:t>
      </w:r>
      <w:r>
        <w:rPr>
          <w:w w:val="105"/>
          <w:sz w:val="21"/>
        </w:rPr>
        <w:t>the </w:t>
      </w:r>
      <w:r>
        <w:rPr>
          <w:spacing w:val="-3"/>
          <w:w w:val="105"/>
          <w:sz w:val="21"/>
        </w:rPr>
        <w:t>will-maker’s</w:t>
      </w:r>
      <w:r>
        <w:rPr>
          <w:spacing w:val="43"/>
          <w:w w:val="105"/>
          <w:sz w:val="21"/>
        </w:rPr>
        <w:t> </w:t>
      </w:r>
      <w:r>
        <w:rPr>
          <w:spacing w:val="-3"/>
          <w:w w:val="105"/>
          <w:sz w:val="21"/>
        </w:rPr>
        <w:t>intentions:</w:t>
      </w:r>
    </w:p>
    <w:p>
      <w:pPr>
        <w:pStyle w:val="ListParagraph"/>
        <w:numPr>
          <w:ilvl w:val="2"/>
          <w:numId w:val="22"/>
        </w:numPr>
        <w:tabs>
          <w:tab w:pos="2721" w:val="left" w:leader="none"/>
          <w:tab w:pos="2722" w:val="left" w:leader="none"/>
        </w:tabs>
        <w:spacing w:line="242" w:lineRule="auto" w:before="122" w:after="0"/>
        <w:ind w:left="2721" w:right="1938" w:hanging="340"/>
        <w:jc w:val="left"/>
        <w:rPr>
          <w:sz w:val="21"/>
        </w:rPr>
      </w:pPr>
      <w:r>
        <w:rPr>
          <w:spacing w:val="-3"/>
          <w:w w:val="105"/>
          <w:sz w:val="21"/>
        </w:rPr>
        <w:t>changing </w:t>
      </w:r>
      <w:r>
        <w:rPr>
          <w:w w:val="105"/>
          <w:sz w:val="21"/>
        </w:rPr>
        <w:t>the ademption rule as a whole </w:t>
      </w:r>
      <w:r>
        <w:rPr>
          <w:spacing w:val="-3"/>
          <w:w w:val="105"/>
          <w:sz w:val="21"/>
        </w:rPr>
        <w:t>to allow consideration </w:t>
      </w:r>
      <w:r>
        <w:rPr>
          <w:w w:val="105"/>
          <w:sz w:val="21"/>
        </w:rPr>
        <w:t>of the </w:t>
      </w:r>
      <w:r>
        <w:rPr>
          <w:spacing w:val="-3"/>
          <w:w w:val="105"/>
          <w:sz w:val="21"/>
        </w:rPr>
        <w:t>will-maker’s intentions</w:t>
      </w:r>
    </w:p>
    <w:p>
      <w:pPr>
        <w:pStyle w:val="ListParagraph"/>
        <w:numPr>
          <w:ilvl w:val="2"/>
          <w:numId w:val="22"/>
        </w:numPr>
        <w:tabs>
          <w:tab w:pos="2721" w:val="left" w:leader="none"/>
          <w:tab w:pos="2722" w:val="left" w:leader="none"/>
        </w:tabs>
        <w:spacing w:line="242" w:lineRule="auto" w:before="122" w:after="0"/>
        <w:ind w:left="2721" w:right="1976" w:hanging="340"/>
        <w:jc w:val="left"/>
        <w:rPr>
          <w:sz w:val="21"/>
        </w:rPr>
      </w:pPr>
      <w:r>
        <w:rPr>
          <w:spacing w:val="-3"/>
          <w:w w:val="105"/>
          <w:sz w:val="21"/>
        </w:rPr>
        <w:t>providing </w:t>
      </w:r>
      <w:r>
        <w:rPr>
          <w:w w:val="105"/>
          <w:sz w:val="21"/>
        </w:rPr>
        <w:t>an </w:t>
      </w:r>
      <w:r>
        <w:rPr>
          <w:spacing w:val="-3"/>
          <w:w w:val="105"/>
          <w:sz w:val="21"/>
        </w:rPr>
        <w:t>exception to </w:t>
      </w:r>
      <w:r>
        <w:rPr>
          <w:w w:val="105"/>
          <w:sz w:val="21"/>
        </w:rPr>
        <w:t>the ademption rule </w:t>
      </w:r>
      <w:r>
        <w:rPr>
          <w:spacing w:val="-3"/>
          <w:w w:val="105"/>
          <w:sz w:val="21"/>
        </w:rPr>
        <w:t>for </w:t>
      </w:r>
      <w:r>
        <w:rPr>
          <w:w w:val="105"/>
          <w:sz w:val="21"/>
        </w:rPr>
        <w:t>actions </w:t>
      </w:r>
      <w:r>
        <w:rPr>
          <w:spacing w:val="-3"/>
          <w:w w:val="105"/>
          <w:sz w:val="21"/>
        </w:rPr>
        <w:t>taken </w:t>
      </w:r>
      <w:r>
        <w:rPr>
          <w:w w:val="105"/>
          <w:sz w:val="21"/>
        </w:rPr>
        <w:t>by a person</w:t>
      </w:r>
      <w:r>
        <w:rPr>
          <w:spacing w:val="-36"/>
          <w:w w:val="105"/>
          <w:sz w:val="21"/>
        </w:rPr>
        <w:t> </w:t>
      </w:r>
      <w:r>
        <w:rPr>
          <w:w w:val="105"/>
          <w:sz w:val="21"/>
        </w:rPr>
        <w:t>acting under an </w:t>
      </w:r>
      <w:r>
        <w:rPr>
          <w:spacing w:val="-3"/>
          <w:w w:val="105"/>
          <w:sz w:val="21"/>
        </w:rPr>
        <w:t>enduring </w:t>
      </w:r>
      <w:r>
        <w:rPr>
          <w:w w:val="105"/>
          <w:sz w:val="21"/>
        </w:rPr>
        <w:t>power of</w:t>
      </w:r>
      <w:r>
        <w:rPr>
          <w:spacing w:val="27"/>
          <w:w w:val="105"/>
          <w:sz w:val="21"/>
        </w:rPr>
        <w:t> </w:t>
      </w:r>
      <w:r>
        <w:rPr>
          <w:spacing w:val="-3"/>
          <w:w w:val="105"/>
          <w:sz w:val="21"/>
        </w:rPr>
        <w:t>attorney</w:t>
      </w:r>
    </w:p>
    <w:p>
      <w:pPr>
        <w:pStyle w:val="BodyText"/>
        <w:spacing w:before="1"/>
        <w:rPr>
          <w:sz w:val="12"/>
        </w:rPr>
      </w:pPr>
      <w:r>
        <w:rPr/>
        <w:pict>
          <v:line style="position:absolute;mso-position-horizontal-relative:page;mso-position-vertical-relative:paragraph;z-index:1688;mso-wrap-distance-left:0;mso-wrap-distance-right:0" from="79.370102pt,9.869881pt" to="515.905102pt,9.869881pt" stroked="true" strokeweight="1pt" strokecolor="#f9ceca">
            <v:stroke dashstyle="solid"/>
            <w10:wrap type="topAndBottom"/>
          </v:line>
        </w:pict>
      </w:r>
    </w:p>
    <w:p>
      <w:pPr>
        <w:pStyle w:val="ListParagraph"/>
        <w:numPr>
          <w:ilvl w:val="0"/>
          <w:numId w:val="40"/>
        </w:numPr>
        <w:tabs>
          <w:tab w:pos="2380" w:val="left" w:leader="none"/>
          <w:tab w:pos="2382" w:val="left" w:leader="none"/>
        </w:tabs>
        <w:spacing w:line="240" w:lineRule="auto" w:before="117" w:after="0"/>
        <w:ind w:left="2381" w:right="1708" w:hanging="794"/>
        <w:jc w:val="left"/>
        <w:rPr>
          <w:sz w:val="13"/>
        </w:rPr>
      </w:pPr>
      <w:r>
        <w:rPr>
          <w:w w:val="105"/>
          <w:sz w:val="13"/>
        </w:rPr>
        <w:t>Matthew Groves, ‘Adeptly Avoiding Ademption’ (2010) </w:t>
      </w:r>
      <w:r>
        <w:rPr>
          <w:spacing w:val="5"/>
          <w:w w:val="105"/>
          <w:sz w:val="13"/>
        </w:rPr>
        <w:t>84(8) </w:t>
      </w:r>
      <w:r>
        <w:rPr>
          <w:i/>
          <w:w w:val="105"/>
          <w:sz w:val="13"/>
        </w:rPr>
        <w:t>Law Institute Journal </w:t>
      </w:r>
      <w:r>
        <w:rPr>
          <w:w w:val="105"/>
          <w:sz w:val="13"/>
        </w:rPr>
        <w:t>36, 39; Allan Swan and Chris Groszek, </w:t>
      </w:r>
      <w:r>
        <w:rPr>
          <w:spacing w:val="2"/>
          <w:w w:val="105"/>
          <w:sz w:val="13"/>
        </w:rPr>
        <w:t>‘The </w:t>
      </w:r>
      <w:r>
        <w:rPr>
          <w:w w:val="105"/>
          <w:sz w:val="13"/>
        </w:rPr>
        <w:t>Widening Scope and Uncertainty of the Doctrine of Ademption’ (2012) </w:t>
      </w:r>
      <w:r>
        <w:rPr>
          <w:spacing w:val="-3"/>
          <w:w w:val="105"/>
          <w:sz w:val="13"/>
        </w:rPr>
        <w:t>14  </w:t>
      </w:r>
      <w:r>
        <w:rPr>
          <w:i/>
          <w:w w:val="105"/>
          <w:sz w:val="13"/>
        </w:rPr>
        <w:t>Retirement and Estate Planning Bulletin </w:t>
      </w:r>
      <w:r>
        <w:rPr>
          <w:w w:val="105"/>
          <w:sz w:val="13"/>
        </w:rPr>
        <w:t>138, 139 </w:t>
      </w:r>
      <w:r>
        <w:rPr>
          <w:spacing w:val="2"/>
          <w:w w:val="105"/>
          <w:sz w:val="13"/>
        </w:rPr>
        <w:t>(‘The </w:t>
      </w:r>
      <w:r>
        <w:rPr>
          <w:w w:val="105"/>
          <w:sz w:val="13"/>
        </w:rPr>
        <w:t>Widening Scope      of Ademption’); Christopher Groszek, ‘Going Going Gone: Avoiding Ademption when </w:t>
      </w:r>
      <w:r>
        <w:rPr>
          <w:spacing w:val="2"/>
          <w:w w:val="105"/>
          <w:sz w:val="13"/>
        </w:rPr>
        <w:t>Assets </w:t>
      </w:r>
      <w:r>
        <w:rPr>
          <w:w w:val="105"/>
          <w:sz w:val="13"/>
        </w:rPr>
        <w:t>are Sold’ (2012) </w:t>
      </w:r>
      <w:r>
        <w:rPr>
          <w:spacing w:val="-6"/>
          <w:w w:val="105"/>
          <w:sz w:val="13"/>
        </w:rPr>
        <w:t>11  </w:t>
      </w:r>
      <w:r>
        <w:rPr>
          <w:i/>
          <w:w w:val="105"/>
          <w:sz w:val="13"/>
        </w:rPr>
        <w:t>Law Institute Journal </w:t>
      </w:r>
      <w:r>
        <w:rPr>
          <w:spacing w:val="2"/>
          <w:w w:val="105"/>
          <w:sz w:val="13"/>
        </w:rPr>
        <w:t>48,    </w:t>
      </w:r>
      <w:r>
        <w:rPr>
          <w:w w:val="105"/>
          <w:sz w:val="13"/>
        </w:rPr>
        <w:t>52 (‘Going Going</w:t>
      </w:r>
      <w:r>
        <w:rPr>
          <w:spacing w:val="14"/>
          <w:w w:val="105"/>
          <w:sz w:val="13"/>
        </w:rPr>
        <w:t> </w:t>
      </w:r>
      <w:r>
        <w:rPr>
          <w:spacing w:val="2"/>
          <w:w w:val="105"/>
          <w:sz w:val="13"/>
        </w:rPr>
        <w:t>Gone’).</w:t>
      </w:r>
    </w:p>
    <w:p>
      <w:pPr>
        <w:pStyle w:val="ListParagraph"/>
        <w:numPr>
          <w:ilvl w:val="0"/>
          <w:numId w:val="40"/>
        </w:numPr>
        <w:tabs>
          <w:tab w:pos="2380" w:val="left" w:leader="none"/>
          <w:tab w:pos="2382" w:val="left" w:leader="none"/>
        </w:tabs>
        <w:spacing w:line="240" w:lineRule="auto" w:before="5" w:after="0"/>
        <w:ind w:left="2381" w:right="0" w:hanging="794"/>
        <w:jc w:val="left"/>
        <w:rPr>
          <w:sz w:val="13"/>
        </w:rPr>
      </w:pPr>
      <w:r>
        <w:rPr>
          <w:w w:val="105"/>
          <w:sz w:val="13"/>
        </w:rPr>
        <w:t>See,</w:t>
      </w:r>
      <w:r>
        <w:rPr>
          <w:spacing w:val="5"/>
          <w:w w:val="105"/>
          <w:sz w:val="13"/>
        </w:rPr>
        <w:t> </w:t>
      </w:r>
      <w:r>
        <w:rPr>
          <w:w w:val="105"/>
          <w:sz w:val="13"/>
        </w:rPr>
        <w:t>eg,</w:t>
      </w:r>
      <w:r>
        <w:rPr>
          <w:spacing w:val="6"/>
          <w:w w:val="105"/>
          <w:sz w:val="13"/>
        </w:rPr>
        <w:t> </w:t>
      </w:r>
      <w:r>
        <w:rPr>
          <w:i/>
          <w:w w:val="105"/>
          <w:sz w:val="13"/>
        </w:rPr>
        <w:t>Re</w:t>
      </w:r>
      <w:r>
        <w:rPr>
          <w:i/>
          <w:spacing w:val="4"/>
          <w:w w:val="105"/>
          <w:sz w:val="13"/>
        </w:rPr>
        <w:t> </w:t>
      </w:r>
      <w:r>
        <w:rPr>
          <w:i/>
          <w:w w:val="105"/>
          <w:sz w:val="13"/>
        </w:rPr>
        <w:t>Viertel</w:t>
      </w:r>
      <w:r>
        <w:rPr>
          <w:i/>
          <w:spacing w:val="6"/>
          <w:w w:val="105"/>
          <w:sz w:val="13"/>
        </w:rPr>
        <w:t> </w:t>
      </w:r>
      <w:r>
        <w:rPr>
          <w:w w:val="105"/>
          <w:sz w:val="13"/>
        </w:rPr>
        <w:t>[1997]</w:t>
      </w:r>
      <w:r>
        <w:rPr>
          <w:spacing w:val="6"/>
          <w:w w:val="105"/>
          <w:sz w:val="13"/>
        </w:rPr>
        <w:t> </w:t>
      </w:r>
      <w:r>
        <w:rPr>
          <w:w w:val="105"/>
          <w:sz w:val="13"/>
        </w:rPr>
        <w:t>1</w:t>
      </w:r>
      <w:r>
        <w:rPr>
          <w:spacing w:val="5"/>
          <w:w w:val="105"/>
          <w:sz w:val="13"/>
        </w:rPr>
        <w:t> </w:t>
      </w:r>
      <w:r>
        <w:rPr>
          <w:w w:val="105"/>
          <w:sz w:val="13"/>
        </w:rPr>
        <w:t>Qd</w:t>
      </w:r>
      <w:r>
        <w:rPr>
          <w:spacing w:val="6"/>
          <w:w w:val="105"/>
          <w:sz w:val="13"/>
        </w:rPr>
        <w:t> </w:t>
      </w:r>
      <w:r>
        <w:rPr>
          <w:w w:val="105"/>
          <w:sz w:val="13"/>
        </w:rPr>
        <w:t>R</w:t>
      </w:r>
      <w:r>
        <w:rPr>
          <w:spacing w:val="6"/>
          <w:w w:val="105"/>
          <w:sz w:val="13"/>
        </w:rPr>
        <w:t> </w:t>
      </w:r>
      <w:r>
        <w:rPr>
          <w:spacing w:val="-3"/>
          <w:w w:val="105"/>
          <w:sz w:val="13"/>
        </w:rPr>
        <w:t>110;</w:t>
      </w:r>
      <w:r>
        <w:rPr>
          <w:spacing w:val="5"/>
          <w:w w:val="105"/>
          <w:sz w:val="13"/>
        </w:rPr>
        <w:t> </w:t>
      </w:r>
      <w:r>
        <w:rPr>
          <w:i/>
          <w:w w:val="105"/>
          <w:sz w:val="13"/>
        </w:rPr>
        <w:t>Simpson</w:t>
      </w:r>
      <w:r>
        <w:rPr>
          <w:i/>
          <w:spacing w:val="5"/>
          <w:w w:val="105"/>
          <w:sz w:val="13"/>
        </w:rPr>
        <w:t> </w:t>
      </w:r>
      <w:r>
        <w:rPr>
          <w:i/>
          <w:w w:val="105"/>
          <w:sz w:val="13"/>
        </w:rPr>
        <w:t>v</w:t>
      </w:r>
      <w:r>
        <w:rPr>
          <w:i/>
          <w:spacing w:val="5"/>
          <w:w w:val="105"/>
          <w:sz w:val="13"/>
        </w:rPr>
        <w:t> </w:t>
      </w:r>
      <w:r>
        <w:rPr>
          <w:i/>
          <w:w w:val="105"/>
          <w:sz w:val="13"/>
        </w:rPr>
        <w:t>Cunning</w:t>
      </w:r>
      <w:r>
        <w:rPr>
          <w:i/>
          <w:spacing w:val="5"/>
          <w:w w:val="105"/>
          <w:sz w:val="13"/>
        </w:rPr>
        <w:t> </w:t>
      </w:r>
      <w:r>
        <w:rPr>
          <w:spacing w:val="-3"/>
          <w:w w:val="105"/>
          <w:sz w:val="13"/>
        </w:rPr>
        <w:t>[2011]</w:t>
      </w:r>
      <w:r>
        <w:rPr>
          <w:spacing w:val="6"/>
          <w:w w:val="105"/>
          <w:sz w:val="13"/>
        </w:rPr>
        <w:t> </w:t>
      </w:r>
      <w:r>
        <w:rPr>
          <w:w w:val="105"/>
          <w:sz w:val="13"/>
        </w:rPr>
        <w:t>VSC</w:t>
      </w:r>
      <w:r>
        <w:rPr>
          <w:spacing w:val="6"/>
          <w:w w:val="105"/>
          <w:sz w:val="13"/>
        </w:rPr>
        <w:t> </w:t>
      </w:r>
      <w:r>
        <w:rPr>
          <w:spacing w:val="2"/>
          <w:w w:val="105"/>
          <w:sz w:val="13"/>
        </w:rPr>
        <w:t>466</w:t>
      </w:r>
      <w:r>
        <w:rPr>
          <w:spacing w:val="5"/>
          <w:w w:val="105"/>
          <w:sz w:val="13"/>
        </w:rPr>
        <w:t> </w:t>
      </w:r>
      <w:r>
        <w:rPr>
          <w:w w:val="105"/>
          <w:sz w:val="13"/>
        </w:rPr>
        <w:t>(22</w:t>
      </w:r>
      <w:r>
        <w:rPr>
          <w:spacing w:val="6"/>
          <w:w w:val="105"/>
          <w:sz w:val="13"/>
        </w:rPr>
        <w:t> </w:t>
      </w:r>
      <w:r>
        <w:rPr>
          <w:w w:val="105"/>
          <w:sz w:val="13"/>
        </w:rPr>
        <w:t>September</w:t>
      </w:r>
      <w:r>
        <w:rPr>
          <w:spacing w:val="6"/>
          <w:w w:val="105"/>
          <w:sz w:val="13"/>
        </w:rPr>
        <w:t> </w:t>
      </w:r>
      <w:r>
        <w:rPr>
          <w:w w:val="105"/>
          <w:sz w:val="13"/>
        </w:rPr>
        <w:t>2011);</w:t>
      </w:r>
      <w:r>
        <w:rPr>
          <w:spacing w:val="5"/>
          <w:w w:val="105"/>
          <w:sz w:val="13"/>
        </w:rPr>
        <w:t> </w:t>
      </w:r>
      <w:r>
        <w:rPr>
          <w:i/>
          <w:w w:val="105"/>
          <w:sz w:val="13"/>
        </w:rPr>
        <w:t>Mulhall</w:t>
      </w:r>
      <w:r>
        <w:rPr>
          <w:i/>
          <w:spacing w:val="5"/>
          <w:w w:val="105"/>
          <w:sz w:val="13"/>
        </w:rPr>
        <w:t> </w:t>
      </w:r>
      <w:r>
        <w:rPr>
          <w:i/>
          <w:w w:val="105"/>
          <w:sz w:val="13"/>
        </w:rPr>
        <w:t>v</w:t>
      </w:r>
      <w:r>
        <w:rPr>
          <w:i/>
          <w:spacing w:val="5"/>
          <w:w w:val="105"/>
          <w:sz w:val="13"/>
        </w:rPr>
        <w:t> </w:t>
      </w:r>
      <w:r>
        <w:rPr>
          <w:i/>
          <w:w w:val="105"/>
          <w:sz w:val="13"/>
        </w:rPr>
        <w:t>Kelly</w:t>
      </w:r>
      <w:r>
        <w:rPr>
          <w:i/>
          <w:spacing w:val="5"/>
          <w:w w:val="105"/>
          <w:sz w:val="13"/>
        </w:rPr>
        <w:t> </w:t>
      </w:r>
      <w:r>
        <w:rPr>
          <w:spacing w:val="2"/>
          <w:w w:val="105"/>
          <w:sz w:val="13"/>
        </w:rPr>
        <w:t>[2006]</w:t>
      </w:r>
      <w:r>
        <w:rPr>
          <w:spacing w:val="6"/>
          <w:w w:val="105"/>
          <w:sz w:val="13"/>
        </w:rPr>
        <w:t> </w:t>
      </w:r>
      <w:r>
        <w:rPr>
          <w:w w:val="105"/>
          <w:sz w:val="13"/>
        </w:rPr>
        <w:t>VSC</w:t>
      </w:r>
      <w:r>
        <w:rPr>
          <w:spacing w:val="6"/>
          <w:w w:val="105"/>
          <w:sz w:val="13"/>
        </w:rPr>
        <w:t> </w:t>
      </w:r>
      <w:r>
        <w:rPr>
          <w:w w:val="105"/>
          <w:sz w:val="13"/>
        </w:rPr>
        <w:t>407</w:t>
      </w:r>
    </w:p>
    <w:p>
      <w:pPr>
        <w:spacing w:before="2"/>
        <w:ind w:left="2381" w:right="0" w:firstLine="0"/>
        <w:jc w:val="left"/>
        <w:rPr>
          <w:sz w:val="13"/>
        </w:rPr>
      </w:pPr>
      <w:r>
        <w:rPr>
          <w:w w:val="105"/>
          <w:sz w:val="13"/>
        </w:rPr>
        <w:t>(3 November 2006); </w:t>
      </w:r>
      <w:r>
        <w:rPr>
          <w:i/>
          <w:w w:val="105"/>
          <w:sz w:val="13"/>
        </w:rPr>
        <w:t>NSW Trustee &amp; Guardian v Bensley </w:t>
      </w:r>
      <w:r>
        <w:rPr>
          <w:w w:val="105"/>
          <w:sz w:val="13"/>
        </w:rPr>
        <w:t>[2012] NSWSC 655 (4 June 2012); </w:t>
      </w:r>
      <w:r>
        <w:rPr>
          <w:i/>
          <w:w w:val="105"/>
          <w:sz w:val="13"/>
        </w:rPr>
        <w:t>Public Trustee of Qld v Lee </w:t>
      </w:r>
      <w:r>
        <w:rPr>
          <w:w w:val="105"/>
          <w:sz w:val="13"/>
        </w:rPr>
        <w:t>[2011] QSC 409</w:t>
      </w:r>
    </w:p>
    <w:p>
      <w:pPr>
        <w:spacing w:before="1"/>
        <w:ind w:left="2381" w:right="0" w:firstLine="0"/>
        <w:jc w:val="left"/>
        <w:rPr>
          <w:sz w:val="13"/>
        </w:rPr>
      </w:pPr>
      <w:r>
        <w:rPr/>
        <w:pict>
          <v:shape style="position:absolute;margin-left:36pt;margin-top:3.599466pt;width:13.4pt;height:14.25pt;mso-position-horizontal-relative:page;mso-position-vertical-relative:paragraph;z-index:3760" type="#_x0000_t202" filled="false" stroked="false">
            <v:textbox inset="0,0,0,0">
              <w:txbxContent>
                <w:p>
                  <w:pPr>
                    <w:spacing w:line="284" w:lineRule="exact" w:before="0"/>
                    <w:ind w:left="0" w:right="0" w:firstLine="0"/>
                    <w:jc w:val="left"/>
                    <w:rPr>
                      <w:b/>
                      <w:sz w:val="24"/>
                    </w:rPr>
                  </w:pPr>
                  <w:r>
                    <w:rPr>
                      <w:b/>
                      <w:color w:val="EC5A4F"/>
                      <w:w w:val="110"/>
                      <w:sz w:val="24"/>
                    </w:rPr>
                    <w:t>36</w:t>
                  </w:r>
                </w:p>
              </w:txbxContent>
            </v:textbox>
            <w10:wrap type="none"/>
          </v:shape>
        </w:pict>
      </w:r>
      <w:r>
        <w:rPr>
          <w:w w:val="105"/>
          <w:sz w:val="13"/>
        </w:rPr>
        <w:t>(19 December 2011); </w:t>
      </w:r>
      <w:r>
        <w:rPr>
          <w:i/>
          <w:w w:val="105"/>
          <w:sz w:val="13"/>
        </w:rPr>
        <w:t>Power v Power </w:t>
      </w:r>
      <w:r>
        <w:rPr>
          <w:w w:val="105"/>
          <w:sz w:val="13"/>
        </w:rPr>
        <w:t>[2011] NSWSC 288 (14 April 2011); </w:t>
      </w:r>
      <w:r>
        <w:rPr>
          <w:i/>
          <w:w w:val="105"/>
          <w:sz w:val="13"/>
        </w:rPr>
        <w:t>Moylan v Rickard </w:t>
      </w:r>
      <w:r>
        <w:rPr>
          <w:w w:val="105"/>
          <w:sz w:val="13"/>
        </w:rPr>
        <w:t>[2010] QSC 327 (6 September 2010);</w:t>
      </w:r>
    </w:p>
    <w:p>
      <w:pPr>
        <w:spacing w:before="1"/>
        <w:ind w:left="2381" w:right="0" w:firstLine="0"/>
        <w:jc w:val="left"/>
        <w:rPr>
          <w:sz w:val="13"/>
        </w:rPr>
      </w:pPr>
      <w:r>
        <w:rPr>
          <w:i/>
          <w:w w:val="105"/>
          <w:sz w:val="13"/>
        </w:rPr>
        <w:t>Ensor v Frisby </w:t>
      </w:r>
      <w:r>
        <w:rPr>
          <w:w w:val="105"/>
          <w:sz w:val="13"/>
        </w:rPr>
        <w:t>[2009] QSC 268 (7 September 2009); </w:t>
      </w:r>
      <w:r>
        <w:rPr>
          <w:i/>
          <w:w w:val="105"/>
          <w:sz w:val="13"/>
        </w:rPr>
        <w:t>Orr v Slender </w:t>
      </w:r>
      <w:r>
        <w:rPr>
          <w:w w:val="105"/>
          <w:sz w:val="13"/>
        </w:rPr>
        <w:t>[2005] NSWSC 1175 (21 November 2005).</w:t>
      </w:r>
    </w:p>
    <w:p>
      <w:pPr>
        <w:spacing w:after="0"/>
        <w:jc w:val="left"/>
        <w:rPr>
          <w:sz w:val="13"/>
        </w:rPr>
        <w:sectPr>
          <w:pgSz w:w="11910" w:h="16840"/>
          <w:pgMar w:header="550" w:footer="0" w:top="1560" w:bottom="280" w:left="0" w:right="0"/>
        </w:sectPr>
      </w:pPr>
    </w:p>
    <w:p>
      <w:pPr>
        <w:pStyle w:val="BodyText"/>
        <w:rPr>
          <w:sz w:val="20"/>
        </w:rPr>
      </w:pPr>
    </w:p>
    <w:p>
      <w:pPr>
        <w:pStyle w:val="BodyText"/>
        <w:rPr>
          <w:sz w:val="19"/>
        </w:rPr>
      </w:pPr>
    </w:p>
    <w:p>
      <w:pPr>
        <w:pStyle w:val="ListParagraph"/>
        <w:numPr>
          <w:ilvl w:val="1"/>
          <w:numId w:val="40"/>
        </w:numPr>
        <w:tabs>
          <w:tab w:pos="2721" w:val="left" w:leader="none"/>
          <w:tab w:pos="2722" w:val="left" w:leader="none"/>
        </w:tabs>
        <w:spacing w:line="242" w:lineRule="auto" w:before="91" w:after="0"/>
        <w:ind w:left="2721" w:right="2050" w:hanging="340"/>
        <w:jc w:val="left"/>
        <w:rPr>
          <w:sz w:val="21"/>
        </w:rPr>
      </w:pPr>
      <w:bookmarkStart w:name="The ademption rule" w:id="31"/>
      <w:bookmarkEnd w:id="31"/>
      <w:r>
        <w:rPr/>
      </w:r>
      <w:bookmarkStart w:name="The ademption rule" w:id="32"/>
      <w:bookmarkEnd w:id="32"/>
      <w:r>
        <w:rPr>
          <w:spacing w:val="-3"/>
          <w:w w:val="105"/>
          <w:sz w:val="21"/>
        </w:rPr>
        <w:t>a</w:t>
      </w:r>
      <w:r>
        <w:rPr>
          <w:spacing w:val="-3"/>
          <w:w w:val="105"/>
          <w:sz w:val="21"/>
        </w:rPr>
        <w:t>llowing </w:t>
      </w:r>
      <w:r>
        <w:rPr>
          <w:spacing w:val="-2"/>
          <w:w w:val="105"/>
          <w:sz w:val="21"/>
        </w:rPr>
        <w:t>access </w:t>
      </w:r>
      <w:r>
        <w:rPr>
          <w:spacing w:val="-3"/>
          <w:w w:val="105"/>
          <w:sz w:val="21"/>
        </w:rPr>
        <w:t>to </w:t>
      </w:r>
      <w:r>
        <w:rPr>
          <w:w w:val="105"/>
          <w:sz w:val="21"/>
        </w:rPr>
        <w:t>a </w:t>
      </w:r>
      <w:r>
        <w:rPr>
          <w:spacing w:val="-3"/>
          <w:w w:val="105"/>
          <w:sz w:val="21"/>
        </w:rPr>
        <w:t>person’s will </w:t>
      </w:r>
      <w:r>
        <w:rPr>
          <w:w w:val="105"/>
          <w:sz w:val="21"/>
        </w:rPr>
        <w:t>by a person acting under an </w:t>
      </w:r>
      <w:r>
        <w:rPr>
          <w:spacing w:val="-3"/>
          <w:w w:val="105"/>
          <w:sz w:val="21"/>
        </w:rPr>
        <w:t>enduring </w:t>
      </w:r>
      <w:r>
        <w:rPr>
          <w:w w:val="105"/>
          <w:sz w:val="21"/>
        </w:rPr>
        <w:t>power of </w:t>
      </w:r>
      <w:r>
        <w:rPr>
          <w:spacing w:val="-4"/>
          <w:w w:val="105"/>
          <w:sz w:val="21"/>
        </w:rPr>
        <w:t>attorney.</w:t>
      </w:r>
    </w:p>
    <w:p>
      <w:pPr>
        <w:pStyle w:val="ListParagraph"/>
        <w:numPr>
          <w:ilvl w:val="1"/>
          <w:numId w:val="22"/>
        </w:numPr>
        <w:tabs>
          <w:tab w:pos="2381" w:val="left" w:leader="none"/>
          <w:tab w:pos="2382" w:val="left" w:leader="none"/>
        </w:tabs>
        <w:spacing w:line="240" w:lineRule="auto" w:before="122" w:after="0"/>
        <w:ind w:left="2381" w:right="0" w:hanging="794"/>
        <w:jc w:val="left"/>
        <w:rPr>
          <w:sz w:val="21"/>
        </w:rPr>
      </w:pPr>
      <w:r>
        <w:rPr>
          <w:sz w:val="21"/>
        </w:rPr>
        <w:t>This</w:t>
      </w:r>
      <w:r>
        <w:rPr>
          <w:spacing w:val="11"/>
          <w:sz w:val="21"/>
        </w:rPr>
        <w:t> </w:t>
      </w:r>
      <w:r>
        <w:rPr>
          <w:spacing w:val="-3"/>
          <w:sz w:val="21"/>
        </w:rPr>
        <w:t>chapter</w:t>
      </w:r>
      <w:r>
        <w:rPr>
          <w:spacing w:val="12"/>
          <w:sz w:val="21"/>
        </w:rPr>
        <w:t> </w:t>
      </w:r>
      <w:r>
        <w:rPr>
          <w:sz w:val="21"/>
        </w:rPr>
        <w:t>discusses</w:t>
      </w:r>
      <w:r>
        <w:rPr>
          <w:spacing w:val="12"/>
          <w:sz w:val="21"/>
        </w:rPr>
        <w:t> </w:t>
      </w:r>
      <w:r>
        <w:rPr>
          <w:sz w:val="21"/>
        </w:rPr>
        <w:t>the</w:t>
      </w:r>
      <w:r>
        <w:rPr>
          <w:spacing w:val="12"/>
          <w:sz w:val="21"/>
        </w:rPr>
        <w:t> </w:t>
      </w:r>
      <w:r>
        <w:rPr>
          <w:spacing w:val="-4"/>
          <w:sz w:val="21"/>
        </w:rPr>
        <w:t>Commission’s</w:t>
      </w:r>
      <w:r>
        <w:rPr>
          <w:spacing w:val="12"/>
          <w:sz w:val="21"/>
        </w:rPr>
        <w:t> </w:t>
      </w:r>
      <w:r>
        <w:rPr>
          <w:spacing w:val="-3"/>
          <w:sz w:val="21"/>
        </w:rPr>
        <w:t>recommendations</w:t>
      </w:r>
      <w:r>
        <w:rPr>
          <w:spacing w:val="12"/>
          <w:sz w:val="21"/>
        </w:rPr>
        <w:t> </w:t>
      </w:r>
      <w:r>
        <w:rPr>
          <w:spacing w:val="-3"/>
          <w:sz w:val="21"/>
        </w:rPr>
        <w:t>for</w:t>
      </w:r>
      <w:r>
        <w:rPr>
          <w:spacing w:val="12"/>
          <w:sz w:val="21"/>
        </w:rPr>
        <w:t> </w:t>
      </w:r>
      <w:r>
        <w:rPr>
          <w:spacing w:val="-3"/>
          <w:sz w:val="21"/>
        </w:rPr>
        <w:t>reform</w:t>
      </w:r>
      <w:r>
        <w:rPr>
          <w:spacing w:val="12"/>
          <w:sz w:val="21"/>
        </w:rPr>
        <w:t> </w:t>
      </w:r>
      <w:r>
        <w:rPr>
          <w:sz w:val="21"/>
        </w:rPr>
        <w:t>in</w:t>
      </w:r>
      <w:r>
        <w:rPr>
          <w:spacing w:val="12"/>
          <w:sz w:val="21"/>
        </w:rPr>
        <w:t> </w:t>
      </w:r>
      <w:r>
        <w:rPr>
          <w:sz w:val="21"/>
        </w:rPr>
        <w:t>these</w:t>
      </w:r>
      <w:r>
        <w:rPr>
          <w:spacing w:val="12"/>
          <w:sz w:val="21"/>
        </w:rPr>
        <w:t> </w:t>
      </w:r>
      <w:r>
        <w:rPr>
          <w:spacing w:val="-3"/>
          <w:sz w:val="21"/>
        </w:rPr>
        <w:t>areas.</w:t>
      </w:r>
    </w:p>
    <w:p>
      <w:pPr>
        <w:pStyle w:val="ListParagraph"/>
        <w:numPr>
          <w:ilvl w:val="1"/>
          <w:numId w:val="22"/>
        </w:numPr>
        <w:tabs>
          <w:tab w:pos="2381" w:val="left" w:leader="none"/>
          <w:tab w:pos="2382" w:val="left" w:leader="none"/>
        </w:tabs>
        <w:spacing w:line="242" w:lineRule="auto" w:before="124" w:after="0"/>
        <w:ind w:left="2381" w:right="1752" w:hanging="794"/>
        <w:jc w:val="left"/>
        <w:rPr>
          <w:sz w:val="21"/>
        </w:rPr>
      </w:pPr>
      <w:r>
        <w:rPr>
          <w:sz w:val="21"/>
        </w:rPr>
        <w:t>While the </w:t>
      </w:r>
      <w:r>
        <w:rPr>
          <w:spacing w:val="-3"/>
          <w:sz w:val="21"/>
        </w:rPr>
        <w:t>Commission </w:t>
      </w:r>
      <w:r>
        <w:rPr>
          <w:sz w:val="21"/>
        </w:rPr>
        <w:t>is of the view </w:t>
      </w:r>
      <w:r>
        <w:rPr>
          <w:spacing w:val="-3"/>
          <w:sz w:val="21"/>
        </w:rPr>
        <w:t>that  </w:t>
      </w:r>
      <w:r>
        <w:rPr>
          <w:sz w:val="21"/>
        </w:rPr>
        <w:t>there  is  no  need  </w:t>
      </w:r>
      <w:r>
        <w:rPr>
          <w:spacing w:val="-3"/>
          <w:sz w:val="21"/>
        </w:rPr>
        <w:t>to  change  </w:t>
      </w:r>
      <w:r>
        <w:rPr>
          <w:sz w:val="21"/>
        </w:rPr>
        <w:t>the  ademption rule as a </w:t>
      </w:r>
      <w:r>
        <w:rPr>
          <w:spacing w:val="-3"/>
          <w:sz w:val="21"/>
        </w:rPr>
        <w:t>whole, </w:t>
      </w:r>
      <w:r>
        <w:rPr>
          <w:sz w:val="21"/>
        </w:rPr>
        <w:t>there </w:t>
      </w:r>
      <w:r>
        <w:rPr>
          <w:spacing w:val="-3"/>
          <w:sz w:val="21"/>
        </w:rPr>
        <w:t>are convincing reasons </w:t>
      </w:r>
      <w:r>
        <w:rPr>
          <w:sz w:val="21"/>
        </w:rPr>
        <w:t>why </w:t>
      </w:r>
      <w:r>
        <w:rPr>
          <w:spacing w:val="-3"/>
          <w:sz w:val="21"/>
        </w:rPr>
        <w:t>change </w:t>
      </w:r>
      <w:r>
        <w:rPr>
          <w:sz w:val="21"/>
        </w:rPr>
        <w:t>is </w:t>
      </w:r>
      <w:r>
        <w:rPr>
          <w:spacing w:val="-3"/>
          <w:sz w:val="21"/>
        </w:rPr>
        <w:t>desirable </w:t>
      </w:r>
      <w:r>
        <w:rPr>
          <w:sz w:val="21"/>
        </w:rPr>
        <w:t>where a </w:t>
      </w:r>
      <w:r>
        <w:rPr>
          <w:spacing w:val="-3"/>
          <w:sz w:val="21"/>
        </w:rPr>
        <w:t>substitute </w:t>
      </w:r>
      <w:r>
        <w:rPr>
          <w:sz w:val="21"/>
        </w:rPr>
        <w:t>decision </w:t>
      </w:r>
      <w:r>
        <w:rPr>
          <w:spacing w:val="-4"/>
          <w:sz w:val="21"/>
        </w:rPr>
        <w:t>maker </w:t>
      </w:r>
      <w:r>
        <w:rPr>
          <w:sz w:val="21"/>
        </w:rPr>
        <w:t>sells property. In these cases, the </w:t>
      </w:r>
      <w:r>
        <w:rPr>
          <w:spacing w:val="-3"/>
          <w:sz w:val="21"/>
        </w:rPr>
        <w:t>will-maker </w:t>
      </w:r>
      <w:r>
        <w:rPr>
          <w:sz w:val="21"/>
        </w:rPr>
        <w:t>is </w:t>
      </w:r>
      <w:r>
        <w:rPr>
          <w:spacing w:val="-3"/>
          <w:sz w:val="21"/>
        </w:rPr>
        <w:t>usually unable to</w:t>
      </w:r>
      <w:r>
        <w:rPr>
          <w:spacing w:val="19"/>
          <w:sz w:val="21"/>
        </w:rPr>
        <w:t> </w:t>
      </w:r>
      <w:r>
        <w:rPr>
          <w:spacing w:val="-3"/>
          <w:sz w:val="21"/>
        </w:rPr>
        <w:t>change</w:t>
      </w:r>
    </w:p>
    <w:p>
      <w:pPr>
        <w:pStyle w:val="BodyText"/>
        <w:spacing w:line="242" w:lineRule="auto" w:before="3"/>
        <w:ind w:left="2381" w:right="1826"/>
      </w:pPr>
      <w:r>
        <w:rPr/>
        <w:t>their existing </w:t>
      </w:r>
      <w:r>
        <w:rPr>
          <w:spacing w:val="-3"/>
        </w:rPr>
        <w:t>will </w:t>
      </w:r>
      <w:r>
        <w:rPr/>
        <w:t>and </w:t>
      </w:r>
      <w:r>
        <w:rPr>
          <w:spacing w:val="-3"/>
        </w:rPr>
        <w:t>may </w:t>
      </w:r>
      <w:r>
        <w:rPr/>
        <w:t>be </w:t>
      </w:r>
      <w:r>
        <w:rPr>
          <w:spacing w:val="-3"/>
        </w:rPr>
        <w:t>unaware </w:t>
      </w:r>
      <w:r>
        <w:rPr/>
        <w:t>of the </w:t>
      </w:r>
      <w:r>
        <w:rPr>
          <w:spacing w:val="-3"/>
        </w:rPr>
        <w:t>sale. </w:t>
      </w:r>
      <w:r>
        <w:rPr/>
        <w:t>The results of ademption in these cases often </w:t>
      </w:r>
      <w:r>
        <w:rPr>
          <w:spacing w:val="-2"/>
        </w:rPr>
        <w:t>significantly </w:t>
      </w:r>
      <w:r>
        <w:rPr/>
        <w:t>distort the </w:t>
      </w:r>
      <w:r>
        <w:rPr>
          <w:spacing w:val="-3"/>
        </w:rPr>
        <w:t>will-maker’s intentions,  </w:t>
      </w:r>
      <w:r>
        <w:rPr/>
        <w:t>particularly where the gifted asset is  the </w:t>
      </w:r>
      <w:r>
        <w:rPr>
          <w:spacing w:val="-3"/>
        </w:rPr>
        <w:t>family</w:t>
      </w:r>
      <w:r>
        <w:rPr>
          <w:spacing w:val="16"/>
        </w:rPr>
        <w:t> </w:t>
      </w:r>
      <w:r>
        <w:rPr>
          <w:spacing w:val="-3"/>
        </w:rPr>
        <w:t>home.</w:t>
      </w:r>
    </w:p>
    <w:p>
      <w:pPr>
        <w:pStyle w:val="ListParagraph"/>
        <w:numPr>
          <w:ilvl w:val="1"/>
          <w:numId w:val="22"/>
        </w:numPr>
        <w:tabs>
          <w:tab w:pos="2381" w:val="left" w:leader="none"/>
          <w:tab w:pos="2382" w:val="left" w:leader="none"/>
        </w:tabs>
        <w:spacing w:line="242" w:lineRule="auto" w:before="124" w:after="0"/>
        <w:ind w:left="2381" w:right="1870" w:hanging="794"/>
        <w:jc w:val="left"/>
        <w:rPr>
          <w:sz w:val="21"/>
        </w:rPr>
      </w:pPr>
      <w:r>
        <w:rPr>
          <w:w w:val="105"/>
          <w:sz w:val="21"/>
        </w:rPr>
        <w:t>This</w:t>
      </w:r>
      <w:r>
        <w:rPr>
          <w:spacing w:val="-10"/>
          <w:w w:val="105"/>
          <w:sz w:val="21"/>
        </w:rPr>
        <w:t> </w:t>
      </w:r>
      <w:r>
        <w:rPr>
          <w:spacing w:val="-3"/>
          <w:w w:val="105"/>
          <w:sz w:val="21"/>
        </w:rPr>
        <w:t>chapter</w:t>
      </w:r>
      <w:r>
        <w:rPr>
          <w:spacing w:val="-9"/>
          <w:w w:val="105"/>
          <w:sz w:val="21"/>
        </w:rPr>
        <w:t> </w:t>
      </w:r>
      <w:r>
        <w:rPr>
          <w:spacing w:val="-3"/>
          <w:w w:val="105"/>
          <w:sz w:val="21"/>
        </w:rPr>
        <w:t>includes</w:t>
      </w:r>
      <w:r>
        <w:rPr>
          <w:spacing w:val="-10"/>
          <w:w w:val="105"/>
          <w:sz w:val="21"/>
        </w:rPr>
        <w:t> </w:t>
      </w:r>
      <w:r>
        <w:rPr>
          <w:w w:val="105"/>
          <w:sz w:val="21"/>
        </w:rPr>
        <w:t>an</w:t>
      </w:r>
      <w:r>
        <w:rPr>
          <w:spacing w:val="-9"/>
          <w:w w:val="105"/>
          <w:sz w:val="21"/>
        </w:rPr>
        <w:t> </w:t>
      </w:r>
      <w:r>
        <w:rPr>
          <w:w w:val="105"/>
          <w:sz w:val="21"/>
        </w:rPr>
        <w:t>example</w:t>
      </w:r>
      <w:r>
        <w:rPr>
          <w:spacing w:val="-9"/>
          <w:w w:val="105"/>
          <w:sz w:val="21"/>
        </w:rPr>
        <w:t> </w:t>
      </w:r>
      <w:r>
        <w:rPr>
          <w:w w:val="105"/>
          <w:sz w:val="21"/>
        </w:rPr>
        <w:t>under</w:t>
      </w:r>
      <w:r>
        <w:rPr>
          <w:spacing w:val="-10"/>
          <w:w w:val="105"/>
          <w:sz w:val="21"/>
        </w:rPr>
        <w:t> </w:t>
      </w:r>
      <w:r>
        <w:rPr>
          <w:w w:val="105"/>
          <w:sz w:val="21"/>
        </w:rPr>
        <w:t>each</w:t>
      </w:r>
      <w:r>
        <w:rPr>
          <w:spacing w:val="-9"/>
          <w:w w:val="105"/>
          <w:sz w:val="21"/>
        </w:rPr>
        <w:t> </w:t>
      </w:r>
      <w:r>
        <w:rPr>
          <w:w w:val="105"/>
          <w:sz w:val="21"/>
        </w:rPr>
        <w:t>sub-topic</w:t>
      </w:r>
      <w:r>
        <w:rPr>
          <w:spacing w:val="-9"/>
          <w:w w:val="105"/>
          <w:sz w:val="21"/>
        </w:rPr>
        <w:t> </w:t>
      </w:r>
      <w:r>
        <w:rPr>
          <w:spacing w:val="-3"/>
          <w:w w:val="105"/>
          <w:sz w:val="21"/>
        </w:rPr>
        <w:t>to</w:t>
      </w:r>
      <w:r>
        <w:rPr>
          <w:spacing w:val="-10"/>
          <w:w w:val="105"/>
          <w:sz w:val="21"/>
        </w:rPr>
        <w:t> </w:t>
      </w:r>
      <w:r>
        <w:rPr>
          <w:spacing w:val="-3"/>
          <w:w w:val="105"/>
          <w:sz w:val="21"/>
        </w:rPr>
        <w:t>illustrate</w:t>
      </w:r>
      <w:r>
        <w:rPr>
          <w:spacing w:val="-9"/>
          <w:w w:val="105"/>
          <w:sz w:val="21"/>
        </w:rPr>
        <w:t> </w:t>
      </w:r>
      <w:r>
        <w:rPr>
          <w:w w:val="105"/>
          <w:sz w:val="21"/>
        </w:rPr>
        <w:t>how</w:t>
      </w:r>
      <w:r>
        <w:rPr>
          <w:spacing w:val="-9"/>
          <w:w w:val="105"/>
          <w:sz w:val="21"/>
        </w:rPr>
        <w:t> </w:t>
      </w:r>
      <w:r>
        <w:rPr>
          <w:w w:val="105"/>
          <w:sz w:val="21"/>
        </w:rPr>
        <w:t>the</w:t>
      </w:r>
      <w:r>
        <w:rPr>
          <w:spacing w:val="-10"/>
          <w:w w:val="105"/>
          <w:sz w:val="21"/>
        </w:rPr>
        <w:t> </w:t>
      </w:r>
      <w:r>
        <w:rPr>
          <w:w w:val="105"/>
          <w:sz w:val="21"/>
        </w:rPr>
        <w:t>ademption rule </w:t>
      </w:r>
      <w:r>
        <w:rPr>
          <w:spacing w:val="-3"/>
          <w:w w:val="105"/>
          <w:sz w:val="21"/>
        </w:rPr>
        <w:t>currently </w:t>
      </w:r>
      <w:r>
        <w:rPr>
          <w:w w:val="105"/>
          <w:sz w:val="21"/>
        </w:rPr>
        <w:t>operates, as </w:t>
      </w:r>
      <w:r>
        <w:rPr>
          <w:spacing w:val="-3"/>
          <w:w w:val="105"/>
          <w:sz w:val="21"/>
        </w:rPr>
        <w:t>well </w:t>
      </w:r>
      <w:r>
        <w:rPr>
          <w:w w:val="105"/>
          <w:sz w:val="21"/>
        </w:rPr>
        <w:t>as how it would operate based on the </w:t>
      </w:r>
      <w:r>
        <w:rPr>
          <w:spacing w:val="-4"/>
          <w:w w:val="105"/>
          <w:sz w:val="21"/>
        </w:rPr>
        <w:t>Commission’s </w:t>
      </w:r>
      <w:r>
        <w:rPr>
          <w:spacing w:val="-3"/>
          <w:w w:val="105"/>
          <w:sz w:val="21"/>
        </w:rPr>
        <w:t>recommendations for</w:t>
      </w:r>
      <w:r>
        <w:rPr>
          <w:spacing w:val="13"/>
          <w:w w:val="105"/>
          <w:sz w:val="21"/>
        </w:rPr>
        <w:t> </w:t>
      </w:r>
      <w:r>
        <w:rPr>
          <w:spacing w:val="-3"/>
          <w:w w:val="105"/>
          <w:sz w:val="21"/>
        </w:rPr>
        <w:t>reform.</w:t>
      </w:r>
    </w:p>
    <w:p>
      <w:pPr>
        <w:pStyle w:val="BodyText"/>
        <w:spacing w:before="10"/>
      </w:pPr>
    </w:p>
    <w:p>
      <w:pPr>
        <w:pStyle w:val="Heading4"/>
      </w:pPr>
      <w:r>
        <w:rPr>
          <w:color w:val="EC5A4F"/>
          <w:w w:val="110"/>
        </w:rPr>
        <w:t>The ademption rule</w:t>
      </w:r>
    </w:p>
    <w:p>
      <w:pPr>
        <w:pStyle w:val="Heading5"/>
        <w:spacing w:before="166"/>
      </w:pPr>
      <w:r>
        <w:rPr>
          <w:w w:val="115"/>
        </w:rPr>
        <w:t>Current law</w:t>
      </w:r>
    </w:p>
    <w:p>
      <w:pPr>
        <w:pStyle w:val="ListParagraph"/>
        <w:numPr>
          <w:ilvl w:val="1"/>
          <w:numId w:val="22"/>
        </w:numPr>
        <w:tabs>
          <w:tab w:pos="2381" w:val="left" w:leader="none"/>
          <w:tab w:pos="2382" w:val="left" w:leader="none"/>
        </w:tabs>
        <w:spacing w:line="242" w:lineRule="auto" w:before="138" w:after="0"/>
        <w:ind w:left="2381" w:right="1731" w:hanging="794"/>
        <w:jc w:val="both"/>
        <w:rPr>
          <w:sz w:val="21"/>
        </w:rPr>
      </w:pPr>
      <w:r>
        <w:rPr>
          <w:w w:val="105"/>
          <w:sz w:val="21"/>
        </w:rPr>
        <w:t>In Victoria the ademption rule is part of the </w:t>
      </w:r>
      <w:r>
        <w:rPr>
          <w:spacing w:val="-2"/>
          <w:w w:val="105"/>
          <w:sz w:val="21"/>
        </w:rPr>
        <w:t>common </w:t>
      </w:r>
      <w:r>
        <w:rPr>
          <w:w w:val="105"/>
          <w:sz w:val="21"/>
        </w:rPr>
        <w:t>law—the </w:t>
      </w:r>
      <w:r>
        <w:rPr>
          <w:i/>
          <w:w w:val="105"/>
          <w:sz w:val="21"/>
        </w:rPr>
        <w:t>Wills Act </w:t>
      </w:r>
      <w:r>
        <w:rPr>
          <w:i/>
          <w:spacing w:val="-8"/>
          <w:w w:val="105"/>
          <w:sz w:val="21"/>
        </w:rPr>
        <w:t>1997 </w:t>
      </w:r>
      <w:r>
        <w:rPr>
          <w:w w:val="105"/>
          <w:sz w:val="21"/>
        </w:rPr>
        <w:t>(Vic) does </w:t>
      </w:r>
      <w:r>
        <w:rPr>
          <w:spacing w:val="-2"/>
          <w:w w:val="105"/>
          <w:sz w:val="21"/>
        </w:rPr>
        <w:t>not</w:t>
      </w:r>
      <w:r>
        <w:rPr>
          <w:spacing w:val="-6"/>
          <w:w w:val="105"/>
          <w:sz w:val="21"/>
        </w:rPr>
        <w:t> </w:t>
      </w:r>
      <w:r>
        <w:rPr>
          <w:w w:val="105"/>
          <w:sz w:val="21"/>
        </w:rPr>
        <w:t>deal</w:t>
      </w:r>
      <w:r>
        <w:rPr>
          <w:spacing w:val="-5"/>
          <w:w w:val="105"/>
          <w:sz w:val="21"/>
        </w:rPr>
        <w:t> </w:t>
      </w:r>
      <w:r>
        <w:rPr>
          <w:w w:val="105"/>
          <w:sz w:val="21"/>
        </w:rPr>
        <w:t>with</w:t>
      </w:r>
      <w:r>
        <w:rPr>
          <w:spacing w:val="-5"/>
          <w:w w:val="105"/>
          <w:sz w:val="21"/>
        </w:rPr>
        <w:t> </w:t>
      </w:r>
      <w:r>
        <w:rPr>
          <w:w w:val="105"/>
          <w:sz w:val="21"/>
        </w:rPr>
        <w:t>ademption.</w:t>
      </w:r>
      <w:r>
        <w:rPr>
          <w:spacing w:val="-5"/>
          <w:w w:val="105"/>
          <w:sz w:val="21"/>
        </w:rPr>
        <w:t> </w:t>
      </w:r>
      <w:r>
        <w:rPr>
          <w:w w:val="105"/>
          <w:sz w:val="21"/>
        </w:rPr>
        <w:t>The</w:t>
      </w:r>
      <w:r>
        <w:rPr>
          <w:spacing w:val="-5"/>
          <w:w w:val="105"/>
          <w:sz w:val="21"/>
        </w:rPr>
        <w:t> </w:t>
      </w:r>
      <w:r>
        <w:rPr>
          <w:w w:val="105"/>
          <w:sz w:val="21"/>
        </w:rPr>
        <w:t>law</w:t>
      </w:r>
      <w:r>
        <w:rPr>
          <w:spacing w:val="-5"/>
          <w:w w:val="105"/>
          <w:sz w:val="21"/>
        </w:rPr>
        <w:t> </w:t>
      </w:r>
      <w:r>
        <w:rPr>
          <w:spacing w:val="-3"/>
          <w:w w:val="105"/>
          <w:sz w:val="21"/>
        </w:rPr>
        <w:t>takes</w:t>
      </w:r>
      <w:r>
        <w:rPr>
          <w:spacing w:val="-6"/>
          <w:w w:val="105"/>
          <w:sz w:val="21"/>
        </w:rPr>
        <w:t> </w:t>
      </w:r>
      <w:r>
        <w:rPr>
          <w:w w:val="105"/>
          <w:sz w:val="21"/>
        </w:rPr>
        <w:t>an</w:t>
      </w:r>
      <w:r>
        <w:rPr>
          <w:spacing w:val="-5"/>
          <w:w w:val="105"/>
          <w:sz w:val="21"/>
        </w:rPr>
        <w:t> </w:t>
      </w:r>
      <w:r>
        <w:rPr>
          <w:w w:val="105"/>
          <w:sz w:val="21"/>
        </w:rPr>
        <w:t>‘identity</w:t>
      </w:r>
      <w:r>
        <w:rPr>
          <w:spacing w:val="-5"/>
          <w:w w:val="105"/>
          <w:sz w:val="21"/>
        </w:rPr>
        <w:t> </w:t>
      </w:r>
      <w:r>
        <w:rPr>
          <w:spacing w:val="-3"/>
          <w:w w:val="105"/>
          <w:sz w:val="21"/>
        </w:rPr>
        <w:t>approach’</w:t>
      </w:r>
      <w:r>
        <w:rPr>
          <w:spacing w:val="-5"/>
          <w:w w:val="105"/>
          <w:sz w:val="21"/>
        </w:rPr>
        <w:t> </w:t>
      </w:r>
      <w:r>
        <w:rPr>
          <w:spacing w:val="-3"/>
          <w:w w:val="105"/>
          <w:sz w:val="21"/>
        </w:rPr>
        <w:t>to</w:t>
      </w:r>
      <w:r>
        <w:rPr>
          <w:spacing w:val="-5"/>
          <w:w w:val="105"/>
          <w:sz w:val="21"/>
        </w:rPr>
        <w:t> </w:t>
      </w:r>
      <w:r>
        <w:rPr>
          <w:spacing w:val="-3"/>
          <w:w w:val="105"/>
          <w:sz w:val="21"/>
        </w:rPr>
        <w:t>determining</w:t>
      </w:r>
      <w:r>
        <w:rPr>
          <w:spacing w:val="-5"/>
          <w:w w:val="105"/>
          <w:sz w:val="21"/>
        </w:rPr>
        <w:t> </w:t>
      </w:r>
      <w:r>
        <w:rPr>
          <w:w w:val="105"/>
          <w:sz w:val="21"/>
        </w:rPr>
        <w:t>whether</w:t>
      </w:r>
      <w:r>
        <w:rPr>
          <w:spacing w:val="-5"/>
          <w:w w:val="105"/>
          <w:sz w:val="21"/>
        </w:rPr>
        <w:t> </w:t>
      </w:r>
      <w:r>
        <w:rPr>
          <w:w w:val="105"/>
          <w:sz w:val="21"/>
        </w:rPr>
        <w:t>a gift </w:t>
      </w:r>
      <w:r>
        <w:rPr>
          <w:spacing w:val="-2"/>
          <w:w w:val="105"/>
          <w:sz w:val="21"/>
        </w:rPr>
        <w:t>has </w:t>
      </w:r>
      <w:r>
        <w:rPr>
          <w:w w:val="105"/>
          <w:sz w:val="21"/>
        </w:rPr>
        <w:t>been</w:t>
      </w:r>
      <w:r>
        <w:rPr>
          <w:spacing w:val="17"/>
          <w:w w:val="105"/>
          <w:sz w:val="21"/>
        </w:rPr>
        <w:t> </w:t>
      </w:r>
      <w:r>
        <w:rPr>
          <w:w w:val="105"/>
          <w:sz w:val="21"/>
        </w:rPr>
        <w:t>adeemed.</w:t>
      </w:r>
    </w:p>
    <w:p>
      <w:pPr>
        <w:pStyle w:val="ListParagraph"/>
        <w:numPr>
          <w:ilvl w:val="1"/>
          <w:numId w:val="22"/>
        </w:numPr>
        <w:tabs>
          <w:tab w:pos="2381" w:val="left" w:leader="none"/>
          <w:tab w:pos="2382" w:val="left" w:leader="none"/>
        </w:tabs>
        <w:spacing w:line="242" w:lineRule="auto" w:before="123" w:after="0"/>
        <w:ind w:left="2381" w:right="1635" w:hanging="794"/>
        <w:jc w:val="left"/>
        <w:rPr>
          <w:sz w:val="21"/>
        </w:rPr>
      </w:pPr>
      <w:r>
        <w:rPr>
          <w:w w:val="105"/>
          <w:sz w:val="21"/>
        </w:rPr>
        <w:t>When</w:t>
      </w:r>
      <w:r>
        <w:rPr>
          <w:spacing w:val="-5"/>
          <w:w w:val="105"/>
          <w:sz w:val="21"/>
        </w:rPr>
        <w:t> </w:t>
      </w:r>
      <w:r>
        <w:rPr>
          <w:spacing w:val="-3"/>
          <w:w w:val="105"/>
          <w:sz w:val="21"/>
        </w:rPr>
        <w:t>provisions</w:t>
      </w:r>
      <w:r>
        <w:rPr>
          <w:spacing w:val="-5"/>
          <w:w w:val="105"/>
          <w:sz w:val="21"/>
        </w:rPr>
        <w:t> </w:t>
      </w:r>
      <w:r>
        <w:rPr>
          <w:w w:val="105"/>
          <w:sz w:val="21"/>
        </w:rPr>
        <w:t>of</w:t>
      </w:r>
      <w:r>
        <w:rPr>
          <w:spacing w:val="-5"/>
          <w:w w:val="105"/>
          <w:sz w:val="21"/>
        </w:rPr>
        <w:t> </w:t>
      </w:r>
      <w:r>
        <w:rPr>
          <w:w w:val="105"/>
          <w:sz w:val="21"/>
        </w:rPr>
        <w:t>a</w:t>
      </w:r>
      <w:r>
        <w:rPr>
          <w:spacing w:val="-5"/>
          <w:w w:val="105"/>
          <w:sz w:val="21"/>
        </w:rPr>
        <w:t> </w:t>
      </w:r>
      <w:r>
        <w:rPr>
          <w:spacing w:val="-3"/>
          <w:w w:val="105"/>
          <w:sz w:val="21"/>
        </w:rPr>
        <w:t>will</w:t>
      </w:r>
      <w:r>
        <w:rPr>
          <w:spacing w:val="-5"/>
          <w:w w:val="105"/>
          <w:sz w:val="21"/>
        </w:rPr>
        <w:t> </w:t>
      </w:r>
      <w:r>
        <w:rPr>
          <w:spacing w:val="-3"/>
          <w:w w:val="105"/>
          <w:sz w:val="21"/>
        </w:rPr>
        <w:t>are</w:t>
      </w:r>
      <w:r>
        <w:rPr>
          <w:spacing w:val="-5"/>
          <w:w w:val="105"/>
          <w:sz w:val="21"/>
        </w:rPr>
        <w:t> </w:t>
      </w:r>
      <w:r>
        <w:rPr>
          <w:spacing w:val="-3"/>
          <w:w w:val="105"/>
          <w:sz w:val="21"/>
        </w:rPr>
        <w:t>interpreted,</w:t>
      </w:r>
      <w:r>
        <w:rPr>
          <w:spacing w:val="-5"/>
          <w:w w:val="105"/>
          <w:sz w:val="21"/>
        </w:rPr>
        <w:t> </w:t>
      </w:r>
      <w:r>
        <w:rPr>
          <w:w w:val="105"/>
          <w:sz w:val="21"/>
        </w:rPr>
        <w:t>the</w:t>
      </w:r>
      <w:r>
        <w:rPr>
          <w:spacing w:val="-4"/>
          <w:w w:val="105"/>
          <w:sz w:val="21"/>
        </w:rPr>
        <w:t> </w:t>
      </w:r>
      <w:r>
        <w:rPr>
          <w:spacing w:val="-2"/>
          <w:w w:val="105"/>
          <w:sz w:val="21"/>
        </w:rPr>
        <w:t>common</w:t>
      </w:r>
      <w:r>
        <w:rPr>
          <w:spacing w:val="-5"/>
          <w:w w:val="105"/>
          <w:sz w:val="21"/>
        </w:rPr>
        <w:t> </w:t>
      </w:r>
      <w:r>
        <w:rPr>
          <w:w w:val="105"/>
          <w:sz w:val="21"/>
        </w:rPr>
        <w:t>law</w:t>
      </w:r>
      <w:r>
        <w:rPr>
          <w:spacing w:val="-5"/>
          <w:w w:val="105"/>
          <w:sz w:val="21"/>
        </w:rPr>
        <w:t> </w:t>
      </w:r>
      <w:r>
        <w:rPr>
          <w:spacing w:val="-3"/>
          <w:w w:val="105"/>
          <w:sz w:val="21"/>
        </w:rPr>
        <w:t>distinguishes</w:t>
      </w:r>
      <w:r>
        <w:rPr>
          <w:spacing w:val="-5"/>
          <w:w w:val="105"/>
          <w:sz w:val="21"/>
        </w:rPr>
        <w:t> </w:t>
      </w:r>
      <w:r>
        <w:rPr>
          <w:w w:val="105"/>
          <w:sz w:val="21"/>
        </w:rPr>
        <w:t>between</w:t>
      </w:r>
      <w:r>
        <w:rPr>
          <w:spacing w:val="-5"/>
          <w:w w:val="105"/>
          <w:sz w:val="21"/>
        </w:rPr>
        <w:t> </w:t>
      </w:r>
      <w:r>
        <w:rPr>
          <w:w w:val="105"/>
          <w:sz w:val="21"/>
        </w:rPr>
        <w:t>specific and general gifts. Ademption applies only </w:t>
      </w:r>
      <w:r>
        <w:rPr>
          <w:spacing w:val="-3"/>
          <w:w w:val="105"/>
          <w:sz w:val="21"/>
        </w:rPr>
        <w:t>to </w:t>
      </w:r>
      <w:r>
        <w:rPr>
          <w:w w:val="105"/>
          <w:sz w:val="21"/>
        </w:rPr>
        <w:t>specific</w:t>
      </w:r>
      <w:r>
        <w:rPr>
          <w:spacing w:val="33"/>
          <w:w w:val="105"/>
          <w:sz w:val="21"/>
        </w:rPr>
        <w:t> </w:t>
      </w:r>
      <w:r>
        <w:rPr>
          <w:w w:val="105"/>
          <w:sz w:val="21"/>
        </w:rPr>
        <w:t>gifts.</w:t>
      </w:r>
    </w:p>
    <w:p>
      <w:pPr>
        <w:pStyle w:val="ListParagraph"/>
        <w:numPr>
          <w:ilvl w:val="1"/>
          <w:numId w:val="22"/>
        </w:numPr>
        <w:tabs>
          <w:tab w:pos="2381" w:val="left" w:leader="none"/>
          <w:tab w:pos="2382" w:val="left" w:leader="none"/>
        </w:tabs>
        <w:spacing w:line="242" w:lineRule="auto" w:before="122" w:after="0"/>
        <w:ind w:left="2381" w:right="1816" w:hanging="794"/>
        <w:jc w:val="left"/>
        <w:rPr>
          <w:sz w:val="21"/>
        </w:rPr>
      </w:pPr>
      <w:r>
        <w:rPr>
          <w:sz w:val="21"/>
        </w:rPr>
        <w:t>A specific gift is a gift of property </w:t>
      </w:r>
      <w:r>
        <w:rPr>
          <w:spacing w:val="-3"/>
          <w:sz w:val="21"/>
        </w:rPr>
        <w:t>that  </w:t>
      </w:r>
      <w:r>
        <w:rPr>
          <w:sz w:val="21"/>
        </w:rPr>
        <w:t>is owned by the </w:t>
      </w:r>
      <w:r>
        <w:rPr>
          <w:spacing w:val="-3"/>
          <w:sz w:val="21"/>
        </w:rPr>
        <w:t>will-maker</w:t>
      </w:r>
      <w:r>
        <w:rPr>
          <w:spacing w:val="41"/>
          <w:sz w:val="21"/>
        </w:rPr>
        <w:t> </w:t>
      </w:r>
      <w:r>
        <w:rPr>
          <w:sz w:val="21"/>
        </w:rPr>
        <w:t>and is described in     the </w:t>
      </w:r>
      <w:r>
        <w:rPr>
          <w:spacing w:val="-3"/>
          <w:sz w:val="21"/>
        </w:rPr>
        <w:t>will </w:t>
      </w:r>
      <w:r>
        <w:rPr>
          <w:sz w:val="21"/>
        </w:rPr>
        <w:t>in a </w:t>
      </w:r>
      <w:r>
        <w:rPr>
          <w:spacing w:val="-3"/>
          <w:sz w:val="21"/>
        </w:rPr>
        <w:t>way that  separates  </w:t>
      </w:r>
      <w:r>
        <w:rPr>
          <w:sz w:val="21"/>
        </w:rPr>
        <w:t>it </w:t>
      </w:r>
      <w:r>
        <w:rPr>
          <w:spacing w:val="-3"/>
          <w:sz w:val="21"/>
        </w:rPr>
        <w:t>from</w:t>
      </w:r>
      <w:r>
        <w:rPr>
          <w:spacing w:val="41"/>
          <w:sz w:val="21"/>
        </w:rPr>
        <w:t> </w:t>
      </w:r>
      <w:r>
        <w:rPr>
          <w:sz w:val="21"/>
        </w:rPr>
        <w:t>other assets, </w:t>
      </w:r>
      <w:r>
        <w:rPr>
          <w:spacing w:val="-3"/>
          <w:sz w:val="21"/>
        </w:rPr>
        <w:t>for  </w:t>
      </w:r>
      <w:r>
        <w:rPr>
          <w:sz w:val="21"/>
        </w:rPr>
        <w:t>example </w:t>
      </w:r>
      <w:r>
        <w:rPr>
          <w:spacing w:val="-5"/>
          <w:sz w:val="21"/>
        </w:rPr>
        <w:t>‘my  car’.  </w:t>
      </w:r>
      <w:r>
        <w:rPr>
          <w:sz w:val="21"/>
        </w:rPr>
        <w:t>A general gift is </w:t>
      </w:r>
      <w:r>
        <w:rPr>
          <w:spacing w:val="-3"/>
          <w:sz w:val="21"/>
        </w:rPr>
        <w:t>something that </w:t>
      </w:r>
      <w:r>
        <w:rPr>
          <w:sz w:val="21"/>
        </w:rPr>
        <w:t>the </w:t>
      </w:r>
      <w:r>
        <w:rPr>
          <w:spacing w:val="-3"/>
          <w:sz w:val="21"/>
        </w:rPr>
        <w:t>will-maker </w:t>
      </w:r>
      <w:r>
        <w:rPr>
          <w:sz w:val="21"/>
        </w:rPr>
        <w:t>directs </w:t>
      </w:r>
      <w:r>
        <w:rPr>
          <w:spacing w:val="-3"/>
          <w:sz w:val="21"/>
        </w:rPr>
        <w:t>will </w:t>
      </w:r>
      <w:r>
        <w:rPr>
          <w:sz w:val="21"/>
        </w:rPr>
        <w:t>be obtained by the </w:t>
      </w:r>
      <w:r>
        <w:rPr>
          <w:spacing w:val="-3"/>
          <w:sz w:val="21"/>
        </w:rPr>
        <w:t>executor </w:t>
      </w:r>
      <w:r>
        <w:rPr>
          <w:sz w:val="21"/>
        </w:rPr>
        <w:t>or the </w:t>
      </w:r>
      <w:r>
        <w:rPr>
          <w:spacing w:val="-3"/>
          <w:sz w:val="21"/>
        </w:rPr>
        <w:t>value</w:t>
      </w:r>
      <w:r>
        <w:rPr>
          <w:spacing w:val="39"/>
          <w:sz w:val="21"/>
        </w:rPr>
        <w:t> </w:t>
      </w:r>
      <w:r>
        <w:rPr>
          <w:sz w:val="21"/>
        </w:rPr>
        <w:t>of</w:t>
      </w:r>
    </w:p>
    <w:p>
      <w:pPr>
        <w:pStyle w:val="BodyText"/>
        <w:spacing w:before="3"/>
        <w:ind w:left="2381"/>
        <w:rPr>
          <w:sz w:val="12"/>
        </w:rPr>
      </w:pPr>
      <w:r>
        <w:rPr>
          <w:w w:val="105"/>
        </w:rPr>
        <w:t>which will be paid out of the estate by the executor (for example, an amount of money).</w:t>
      </w:r>
      <w:r>
        <w:rPr>
          <w:w w:val="105"/>
          <w:position w:val="7"/>
          <w:sz w:val="12"/>
        </w:rPr>
        <w:t>3</w:t>
      </w:r>
    </w:p>
    <w:p>
      <w:pPr>
        <w:pStyle w:val="ListParagraph"/>
        <w:numPr>
          <w:ilvl w:val="1"/>
          <w:numId w:val="22"/>
        </w:numPr>
        <w:tabs>
          <w:tab w:pos="2381" w:val="left" w:leader="none"/>
          <w:tab w:pos="2382" w:val="left" w:leader="none"/>
        </w:tabs>
        <w:spacing w:line="240" w:lineRule="auto" w:before="124" w:after="0"/>
        <w:ind w:left="2381" w:right="0" w:hanging="794"/>
        <w:jc w:val="left"/>
        <w:rPr>
          <w:sz w:val="21"/>
        </w:rPr>
      </w:pPr>
      <w:r>
        <w:rPr>
          <w:w w:val="105"/>
          <w:sz w:val="21"/>
        </w:rPr>
        <w:t>When </w:t>
      </w:r>
      <w:r>
        <w:rPr>
          <w:spacing w:val="-3"/>
          <w:w w:val="105"/>
          <w:sz w:val="21"/>
        </w:rPr>
        <w:t>determining </w:t>
      </w:r>
      <w:r>
        <w:rPr>
          <w:w w:val="105"/>
          <w:sz w:val="21"/>
        </w:rPr>
        <w:t>whether ademption </w:t>
      </w:r>
      <w:r>
        <w:rPr>
          <w:spacing w:val="-2"/>
          <w:w w:val="105"/>
          <w:sz w:val="21"/>
        </w:rPr>
        <w:t>has </w:t>
      </w:r>
      <w:r>
        <w:rPr>
          <w:spacing w:val="-3"/>
          <w:w w:val="105"/>
          <w:sz w:val="21"/>
        </w:rPr>
        <w:t>occurred, </w:t>
      </w:r>
      <w:r>
        <w:rPr>
          <w:w w:val="105"/>
          <w:sz w:val="21"/>
        </w:rPr>
        <w:t>the court asks two</w:t>
      </w:r>
      <w:r>
        <w:rPr>
          <w:spacing w:val="35"/>
          <w:w w:val="105"/>
          <w:sz w:val="21"/>
        </w:rPr>
        <w:t> </w:t>
      </w:r>
      <w:r>
        <w:rPr>
          <w:w w:val="105"/>
          <w:sz w:val="21"/>
        </w:rPr>
        <w:t>questions:</w:t>
      </w:r>
    </w:p>
    <w:p>
      <w:pPr>
        <w:pStyle w:val="ListParagraph"/>
        <w:numPr>
          <w:ilvl w:val="2"/>
          <w:numId w:val="22"/>
        </w:numPr>
        <w:tabs>
          <w:tab w:pos="2721" w:val="left" w:leader="none"/>
          <w:tab w:pos="2722" w:val="left" w:leader="none"/>
        </w:tabs>
        <w:spacing w:line="240" w:lineRule="auto" w:before="124" w:after="0"/>
        <w:ind w:left="2721" w:right="0" w:hanging="340"/>
        <w:jc w:val="left"/>
        <w:rPr>
          <w:sz w:val="21"/>
        </w:rPr>
      </w:pPr>
      <w:r>
        <w:rPr>
          <w:sz w:val="21"/>
        </w:rPr>
        <w:t>Is the gift specific (rather </w:t>
      </w:r>
      <w:r>
        <w:rPr>
          <w:spacing w:val="-3"/>
          <w:sz w:val="21"/>
        </w:rPr>
        <w:t>than</w:t>
      </w:r>
      <w:r>
        <w:rPr>
          <w:spacing w:val="5"/>
          <w:sz w:val="21"/>
        </w:rPr>
        <w:t> </w:t>
      </w:r>
      <w:r>
        <w:rPr>
          <w:sz w:val="21"/>
        </w:rPr>
        <w:t>general)?</w:t>
      </w:r>
    </w:p>
    <w:p>
      <w:pPr>
        <w:pStyle w:val="ListParagraph"/>
        <w:numPr>
          <w:ilvl w:val="2"/>
          <w:numId w:val="22"/>
        </w:numPr>
        <w:tabs>
          <w:tab w:pos="2721" w:val="left" w:leader="none"/>
          <w:tab w:pos="2722" w:val="left" w:leader="none"/>
        </w:tabs>
        <w:spacing w:line="240" w:lineRule="auto" w:before="123" w:after="0"/>
        <w:ind w:left="2721" w:right="0" w:hanging="340"/>
        <w:jc w:val="left"/>
        <w:rPr>
          <w:sz w:val="21"/>
        </w:rPr>
      </w:pPr>
      <w:r>
        <w:rPr>
          <w:sz w:val="21"/>
        </w:rPr>
        <w:t>If</w:t>
      </w:r>
      <w:r>
        <w:rPr>
          <w:spacing w:val="8"/>
          <w:sz w:val="21"/>
        </w:rPr>
        <w:t> </w:t>
      </w:r>
      <w:r>
        <w:rPr>
          <w:sz w:val="21"/>
        </w:rPr>
        <w:t>it</w:t>
      </w:r>
      <w:r>
        <w:rPr>
          <w:spacing w:val="9"/>
          <w:sz w:val="21"/>
        </w:rPr>
        <w:t> </w:t>
      </w:r>
      <w:r>
        <w:rPr>
          <w:sz w:val="21"/>
        </w:rPr>
        <w:t>is</w:t>
      </w:r>
      <w:r>
        <w:rPr>
          <w:spacing w:val="8"/>
          <w:sz w:val="21"/>
        </w:rPr>
        <w:t> </w:t>
      </w:r>
      <w:r>
        <w:rPr>
          <w:sz w:val="21"/>
        </w:rPr>
        <w:t>a</w:t>
      </w:r>
      <w:r>
        <w:rPr>
          <w:spacing w:val="9"/>
          <w:sz w:val="21"/>
        </w:rPr>
        <w:t> </w:t>
      </w:r>
      <w:r>
        <w:rPr>
          <w:sz w:val="21"/>
        </w:rPr>
        <w:t>specific</w:t>
      </w:r>
      <w:r>
        <w:rPr>
          <w:spacing w:val="9"/>
          <w:sz w:val="21"/>
        </w:rPr>
        <w:t> </w:t>
      </w:r>
      <w:r>
        <w:rPr>
          <w:sz w:val="21"/>
        </w:rPr>
        <w:t>gift,</w:t>
      </w:r>
      <w:r>
        <w:rPr>
          <w:spacing w:val="8"/>
          <w:sz w:val="21"/>
        </w:rPr>
        <w:t> </w:t>
      </w:r>
      <w:r>
        <w:rPr>
          <w:sz w:val="21"/>
        </w:rPr>
        <w:t>is</w:t>
      </w:r>
      <w:r>
        <w:rPr>
          <w:spacing w:val="9"/>
          <w:sz w:val="21"/>
        </w:rPr>
        <w:t> </w:t>
      </w:r>
      <w:r>
        <w:rPr>
          <w:sz w:val="21"/>
        </w:rPr>
        <w:t>the</w:t>
      </w:r>
      <w:r>
        <w:rPr>
          <w:spacing w:val="8"/>
          <w:sz w:val="21"/>
        </w:rPr>
        <w:t> </w:t>
      </w:r>
      <w:r>
        <w:rPr>
          <w:sz w:val="21"/>
        </w:rPr>
        <w:t>gifted</w:t>
      </w:r>
      <w:r>
        <w:rPr>
          <w:spacing w:val="9"/>
          <w:sz w:val="21"/>
        </w:rPr>
        <w:t> </w:t>
      </w:r>
      <w:r>
        <w:rPr>
          <w:sz w:val="21"/>
        </w:rPr>
        <w:t>property</w:t>
      </w:r>
      <w:r>
        <w:rPr>
          <w:spacing w:val="9"/>
          <w:sz w:val="21"/>
        </w:rPr>
        <w:t> </w:t>
      </w:r>
      <w:r>
        <w:rPr>
          <w:sz w:val="21"/>
        </w:rPr>
        <w:t>in</w:t>
      </w:r>
      <w:r>
        <w:rPr>
          <w:spacing w:val="8"/>
          <w:sz w:val="21"/>
        </w:rPr>
        <w:t> </w:t>
      </w:r>
      <w:r>
        <w:rPr>
          <w:sz w:val="21"/>
        </w:rPr>
        <w:t>the</w:t>
      </w:r>
      <w:r>
        <w:rPr>
          <w:spacing w:val="9"/>
          <w:sz w:val="21"/>
        </w:rPr>
        <w:t> </w:t>
      </w:r>
      <w:r>
        <w:rPr>
          <w:sz w:val="21"/>
        </w:rPr>
        <w:t>estate?</w:t>
      </w:r>
    </w:p>
    <w:p>
      <w:pPr>
        <w:pStyle w:val="ListParagraph"/>
        <w:numPr>
          <w:ilvl w:val="1"/>
          <w:numId w:val="22"/>
        </w:numPr>
        <w:tabs>
          <w:tab w:pos="2382" w:val="left" w:leader="none"/>
        </w:tabs>
        <w:spacing w:line="242" w:lineRule="auto" w:before="124" w:after="0"/>
        <w:ind w:left="2381" w:right="2419" w:hanging="794"/>
        <w:jc w:val="both"/>
        <w:rPr>
          <w:sz w:val="12"/>
        </w:rPr>
      </w:pPr>
      <w:r>
        <w:rPr>
          <w:sz w:val="21"/>
        </w:rPr>
        <w:t>If the gift is specific and the gifted property is </w:t>
      </w:r>
      <w:r>
        <w:rPr>
          <w:spacing w:val="-2"/>
          <w:sz w:val="21"/>
        </w:rPr>
        <w:t>not </w:t>
      </w:r>
      <w:r>
        <w:rPr>
          <w:sz w:val="21"/>
        </w:rPr>
        <w:t>in the </w:t>
      </w:r>
      <w:r>
        <w:rPr>
          <w:spacing w:val="-3"/>
          <w:sz w:val="21"/>
        </w:rPr>
        <w:t>estate, </w:t>
      </w:r>
      <w:r>
        <w:rPr>
          <w:sz w:val="21"/>
        </w:rPr>
        <w:t>the gift </w:t>
      </w:r>
      <w:r>
        <w:rPr>
          <w:spacing w:val="-3"/>
          <w:sz w:val="21"/>
        </w:rPr>
        <w:t>fails. </w:t>
      </w:r>
      <w:r>
        <w:rPr>
          <w:sz w:val="21"/>
        </w:rPr>
        <w:t>The beneficiary receives </w:t>
      </w:r>
      <w:r>
        <w:rPr>
          <w:spacing w:val="-3"/>
          <w:sz w:val="21"/>
        </w:rPr>
        <w:t>nothing </w:t>
      </w:r>
      <w:r>
        <w:rPr>
          <w:sz w:val="21"/>
        </w:rPr>
        <w:t>and </w:t>
      </w:r>
      <w:r>
        <w:rPr>
          <w:spacing w:val="-3"/>
          <w:sz w:val="21"/>
        </w:rPr>
        <w:t>cannot </w:t>
      </w:r>
      <w:r>
        <w:rPr>
          <w:sz w:val="21"/>
        </w:rPr>
        <w:t>receive the cash </w:t>
      </w:r>
      <w:r>
        <w:rPr>
          <w:spacing w:val="-3"/>
          <w:sz w:val="21"/>
        </w:rPr>
        <w:t>equivalent </w:t>
      </w:r>
      <w:r>
        <w:rPr>
          <w:sz w:val="21"/>
        </w:rPr>
        <w:t>of the gifted property.</w:t>
      </w:r>
      <w:r>
        <w:rPr>
          <w:position w:val="7"/>
          <w:sz w:val="12"/>
        </w:rPr>
        <w:t>4</w:t>
      </w:r>
    </w:p>
    <w:p>
      <w:pPr>
        <w:spacing w:before="129"/>
        <w:ind w:left="2721" w:right="0" w:firstLine="0"/>
        <w:jc w:val="left"/>
        <w:rPr>
          <w:rFonts w:ascii="Lucida Sans"/>
          <w:b/>
          <w:sz w:val="20"/>
        </w:rPr>
      </w:pPr>
      <w:r>
        <w:rPr>
          <w:rFonts w:ascii="Lucida Sans"/>
          <w:b/>
          <w:sz w:val="20"/>
        </w:rPr>
        <w:t>Example 1: The ademption rule</w:t>
      </w:r>
    </w:p>
    <w:p>
      <w:pPr>
        <w:spacing w:line="254" w:lineRule="auto" w:before="148"/>
        <w:ind w:left="2721" w:right="1826" w:firstLine="0"/>
        <w:jc w:val="left"/>
        <w:rPr>
          <w:sz w:val="20"/>
        </w:rPr>
      </w:pPr>
      <w:r>
        <w:rPr>
          <w:w w:val="105"/>
          <w:sz w:val="20"/>
        </w:rPr>
        <w:t>Mr Ling owns two units. In his will he leaves the unit he is living in (his home unit) to his</w:t>
      </w:r>
      <w:r>
        <w:rPr>
          <w:spacing w:val="-9"/>
          <w:w w:val="105"/>
          <w:sz w:val="20"/>
        </w:rPr>
        <w:t> </w:t>
      </w:r>
      <w:r>
        <w:rPr>
          <w:spacing w:val="-3"/>
          <w:w w:val="105"/>
          <w:sz w:val="20"/>
        </w:rPr>
        <w:t>daughter</w:t>
      </w:r>
      <w:r>
        <w:rPr>
          <w:spacing w:val="-9"/>
          <w:w w:val="105"/>
          <w:sz w:val="20"/>
        </w:rPr>
        <w:t> </w:t>
      </w:r>
      <w:r>
        <w:rPr>
          <w:w w:val="105"/>
          <w:sz w:val="20"/>
        </w:rPr>
        <w:t>and</w:t>
      </w:r>
      <w:r>
        <w:rPr>
          <w:spacing w:val="-8"/>
          <w:w w:val="105"/>
          <w:sz w:val="20"/>
        </w:rPr>
        <w:t> </w:t>
      </w:r>
      <w:r>
        <w:rPr>
          <w:w w:val="105"/>
          <w:sz w:val="20"/>
        </w:rPr>
        <w:t>the</w:t>
      </w:r>
      <w:r>
        <w:rPr>
          <w:spacing w:val="-9"/>
          <w:w w:val="105"/>
          <w:sz w:val="20"/>
        </w:rPr>
        <w:t> </w:t>
      </w:r>
      <w:r>
        <w:rPr>
          <w:w w:val="105"/>
          <w:sz w:val="20"/>
        </w:rPr>
        <w:t>other</w:t>
      </w:r>
      <w:r>
        <w:rPr>
          <w:spacing w:val="-9"/>
          <w:w w:val="105"/>
          <w:sz w:val="20"/>
        </w:rPr>
        <w:t> </w:t>
      </w:r>
      <w:r>
        <w:rPr>
          <w:w w:val="105"/>
          <w:sz w:val="20"/>
        </w:rPr>
        <w:t>unit</w:t>
      </w:r>
      <w:r>
        <w:rPr>
          <w:spacing w:val="-8"/>
          <w:w w:val="105"/>
          <w:sz w:val="20"/>
        </w:rPr>
        <w:t> </w:t>
      </w:r>
      <w:r>
        <w:rPr>
          <w:w w:val="105"/>
          <w:sz w:val="20"/>
        </w:rPr>
        <w:t>(his</w:t>
      </w:r>
      <w:r>
        <w:rPr>
          <w:spacing w:val="-9"/>
          <w:w w:val="105"/>
          <w:sz w:val="20"/>
        </w:rPr>
        <w:t> </w:t>
      </w:r>
      <w:r>
        <w:rPr>
          <w:w w:val="105"/>
          <w:sz w:val="20"/>
        </w:rPr>
        <w:t>investment</w:t>
      </w:r>
      <w:r>
        <w:rPr>
          <w:spacing w:val="-8"/>
          <w:w w:val="105"/>
          <w:sz w:val="20"/>
        </w:rPr>
        <w:t> </w:t>
      </w:r>
      <w:r>
        <w:rPr>
          <w:w w:val="105"/>
          <w:sz w:val="20"/>
        </w:rPr>
        <w:t>unit)</w:t>
      </w:r>
      <w:r>
        <w:rPr>
          <w:spacing w:val="-9"/>
          <w:w w:val="105"/>
          <w:sz w:val="20"/>
        </w:rPr>
        <w:t> </w:t>
      </w:r>
      <w:r>
        <w:rPr>
          <w:w w:val="105"/>
          <w:sz w:val="20"/>
        </w:rPr>
        <w:t>to</w:t>
      </w:r>
      <w:r>
        <w:rPr>
          <w:spacing w:val="-9"/>
          <w:w w:val="105"/>
          <w:sz w:val="20"/>
        </w:rPr>
        <w:t> </w:t>
      </w:r>
      <w:r>
        <w:rPr>
          <w:w w:val="105"/>
          <w:sz w:val="20"/>
        </w:rPr>
        <w:t>his</w:t>
      </w:r>
      <w:r>
        <w:rPr>
          <w:spacing w:val="-8"/>
          <w:w w:val="105"/>
          <w:sz w:val="20"/>
        </w:rPr>
        <w:t> </w:t>
      </w:r>
      <w:r>
        <w:rPr>
          <w:w w:val="105"/>
          <w:sz w:val="20"/>
        </w:rPr>
        <w:t>son.</w:t>
      </w:r>
      <w:r>
        <w:rPr>
          <w:spacing w:val="-9"/>
          <w:w w:val="105"/>
          <w:sz w:val="20"/>
        </w:rPr>
        <w:t> </w:t>
      </w:r>
      <w:r>
        <w:rPr>
          <w:w w:val="105"/>
          <w:sz w:val="20"/>
        </w:rPr>
        <w:t>He</w:t>
      </w:r>
      <w:r>
        <w:rPr>
          <w:spacing w:val="-8"/>
          <w:w w:val="105"/>
          <w:sz w:val="20"/>
        </w:rPr>
        <w:t> </w:t>
      </w:r>
      <w:r>
        <w:rPr>
          <w:w w:val="105"/>
          <w:sz w:val="20"/>
        </w:rPr>
        <w:t>leaves</w:t>
      </w:r>
      <w:r>
        <w:rPr>
          <w:spacing w:val="-9"/>
          <w:w w:val="105"/>
          <w:sz w:val="20"/>
        </w:rPr>
        <w:t> </w:t>
      </w:r>
      <w:r>
        <w:rPr>
          <w:w w:val="105"/>
          <w:sz w:val="20"/>
        </w:rPr>
        <w:t>the</w:t>
      </w:r>
      <w:r>
        <w:rPr>
          <w:spacing w:val="-9"/>
          <w:w w:val="105"/>
          <w:sz w:val="20"/>
        </w:rPr>
        <w:t> </w:t>
      </w:r>
      <w:r>
        <w:rPr>
          <w:w w:val="105"/>
          <w:sz w:val="20"/>
        </w:rPr>
        <w:t>rest</w:t>
      </w:r>
      <w:r>
        <w:rPr>
          <w:spacing w:val="-8"/>
          <w:w w:val="105"/>
          <w:sz w:val="20"/>
        </w:rPr>
        <w:t> </w:t>
      </w:r>
      <w:r>
        <w:rPr>
          <w:w w:val="105"/>
          <w:sz w:val="20"/>
        </w:rPr>
        <w:t>of</w:t>
      </w:r>
      <w:r>
        <w:rPr>
          <w:spacing w:val="-9"/>
          <w:w w:val="105"/>
          <w:sz w:val="20"/>
        </w:rPr>
        <w:t> </w:t>
      </w:r>
      <w:r>
        <w:rPr>
          <w:w w:val="105"/>
          <w:sz w:val="20"/>
        </w:rPr>
        <w:t>his estate (the residuary estate) to his</w:t>
      </w:r>
      <w:r>
        <w:rPr>
          <w:spacing w:val="22"/>
          <w:w w:val="105"/>
          <w:sz w:val="20"/>
        </w:rPr>
        <w:t> </w:t>
      </w:r>
      <w:r>
        <w:rPr>
          <w:spacing w:val="-3"/>
          <w:w w:val="105"/>
          <w:sz w:val="20"/>
        </w:rPr>
        <w:t>grand-daughter.</w:t>
      </w:r>
    </w:p>
    <w:p>
      <w:pPr>
        <w:spacing w:line="254" w:lineRule="auto" w:before="124"/>
        <w:ind w:left="2721" w:right="1584" w:firstLine="0"/>
        <w:jc w:val="left"/>
        <w:rPr>
          <w:sz w:val="20"/>
        </w:rPr>
      </w:pPr>
      <w:r>
        <w:rPr>
          <w:w w:val="105"/>
          <w:sz w:val="20"/>
        </w:rPr>
        <w:t>Prior</w:t>
      </w:r>
      <w:r>
        <w:rPr>
          <w:spacing w:val="-7"/>
          <w:w w:val="105"/>
          <w:sz w:val="20"/>
        </w:rPr>
        <w:t> </w:t>
      </w:r>
      <w:r>
        <w:rPr>
          <w:w w:val="105"/>
          <w:sz w:val="20"/>
        </w:rPr>
        <w:t>to</w:t>
      </w:r>
      <w:r>
        <w:rPr>
          <w:spacing w:val="-7"/>
          <w:w w:val="105"/>
          <w:sz w:val="20"/>
        </w:rPr>
        <w:t> </w:t>
      </w:r>
      <w:r>
        <w:rPr>
          <w:w w:val="105"/>
          <w:sz w:val="20"/>
        </w:rPr>
        <w:t>his</w:t>
      </w:r>
      <w:r>
        <w:rPr>
          <w:spacing w:val="-7"/>
          <w:w w:val="105"/>
          <w:sz w:val="20"/>
        </w:rPr>
        <w:t> </w:t>
      </w:r>
      <w:r>
        <w:rPr>
          <w:w w:val="105"/>
          <w:sz w:val="20"/>
        </w:rPr>
        <w:t>death,</w:t>
      </w:r>
      <w:r>
        <w:rPr>
          <w:spacing w:val="-7"/>
          <w:w w:val="105"/>
          <w:sz w:val="20"/>
        </w:rPr>
        <w:t> </w:t>
      </w:r>
      <w:r>
        <w:rPr>
          <w:w w:val="105"/>
          <w:sz w:val="20"/>
        </w:rPr>
        <w:t>Mr</w:t>
      </w:r>
      <w:r>
        <w:rPr>
          <w:spacing w:val="-7"/>
          <w:w w:val="105"/>
          <w:sz w:val="20"/>
        </w:rPr>
        <w:t> </w:t>
      </w:r>
      <w:r>
        <w:rPr>
          <w:w w:val="105"/>
          <w:sz w:val="20"/>
        </w:rPr>
        <w:t>Ling</w:t>
      </w:r>
      <w:r>
        <w:rPr>
          <w:spacing w:val="-7"/>
          <w:w w:val="105"/>
          <w:sz w:val="20"/>
        </w:rPr>
        <w:t> </w:t>
      </w:r>
      <w:r>
        <w:rPr>
          <w:w w:val="105"/>
          <w:sz w:val="20"/>
        </w:rPr>
        <w:t>sells</w:t>
      </w:r>
      <w:r>
        <w:rPr>
          <w:spacing w:val="-7"/>
          <w:w w:val="105"/>
          <w:sz w:val="20"/>
        </w:rPr>
        <w:t> </w:t>
      </w:r>
      <w:r>
        <w:rPr>
          <w:w w:val="105"/>
          <w:sz w:val="20"/>
        </w:rPr>
        <w:t>his</w:t>
      </w:r>
      <w:r>
        <w:rPr>
          <w:spacing w:val="-7"/>
          <w:w w:val="105"/>
          <w:sz w:val="20"/>
        </w:rPr>
        <w:t> </w:t>
      </w:r>
      <w:r>
        <w:rPr>
          <w:w w:val="105"/>
          <w:sz w:val="20"/>
        </w:rPr>
        <w:t>home</w:t>
      </w:r>
      <w:r>
        <w:rPr>
          <w:spacing w:val="-6"/>
          <w:w w:val="105"/>
          <w:sz w:val="20"/>
        </w:rPr>
        <w:t> </w:t>
      </w:r>
      <w:r>
        <w:rPr>
          <w:w w:val="105"/>
          <w:sz w:val="20"/>
        </w:rPr>
        <w:t>unit</w:t>
      </w:r>
      <w:r>
        <w:rPr>
          <w:spacing w:val="-7"/>
          <w:w w:val="105"/>
          <w:sz w:val="20"/>
        </w:rPr>
        <w:t> </w:t>
      </w:r>
      <w:r>
        <w:rPr>
          <w:w w:val="105"/>
          <w:sz w:val="20"/>
        </w:rPr>
        <w:t>and</w:t>
      </w:r>
      <w:r>
        <w:rPr>
          <w:spacing w:val="-7"/>
          <w:w w:val="105"/>
          <w:sz w:val="20"/>
        </w:rPr>
        <w:t> </w:t>
      </w:r>
      <w:r>
        <w:rPr>
          <w:w w:val="105"/>
          <w:sz w:val="20"/>
        </w:rPr>
        <w:t>moves</w:t>
      </w:r>
      <w:r>
        <w:rPr>
          <w:spacing w:val="-7"/>
          <w:w w:val="105"/>
          <w:sz w:val="20"/>
        </w:rPr>
        <w:t> </w:t>
      </w:r>
      <w:r>
        <w:rPr>
          <w:w w:val="105"/>
          <w:sz w:val="20"/>
        </w:rPr>
        <w:t>to</w:t>
      </w:r>
      <w:r>
        <w:rPr>
          <w:spacing w:val="-7"/>
          <w:w w:val="105"/>
          <w:sz w:val="20"/>
        </w:rPr>
        <w:t> </w:t>
      </w:r>
      <w:r>
        <w:rPr>
          <w:w w:val="105"/>
          <w:sz w:val="20"/>
        </w:rPr>
        <w:t>a</w:t>
      </w:r>
      <w:r>
        <w:rPr>
          <w:spacing w:val="-7"/>
          <w:w w:val="105"/>
          <w:sz w:val="20"/>
        </w:rPr>
        <w:t> </w:t>
      </w:r>
      <w:r>
        <w:rPr>
          <w:w w:val="105"/>
          <w:sz w:val="20"/>
        </w:rPr>
        <w:t>nursing</w:t>
      </w:r>
      <w:r>
        <w:rPr>
          <w:spacing w:val="-7"/>
          <w:w w:val="105"/>
          <w:sz w:val="20"/>
        </w:rPr>
        <w:t> </w:t>
      </w:r>
      <w:r>
        <w:rPr>
          <w:w w:val="105"/>
          <w:sz w:val="20"/>
        </w:rPr>
        <w:t>home.</w:t>
      </w:r>
      <w:r>
        <w:rPr>
          <w:spacing w:val="-7"/>
          <w:w w:val="105"/>
          <w:sz w:val="20"/>
        </w:rPr>
        <w:t> </w:t>
      </w:r>
      <w:r>
        <w:rPr>
          <w:w w:val="105"/>
          <w:sz w:val="20"/>
        </w:rPr>
        <w:t>The</w:t>
      </w:r>
      <w:r>
        <w:rPr>
          <w:spacing w:val="-7"/>
          <w:w w:val="105"/>
          <w:sz w:val="20"/>
        </w:rPr>
        <w:t> </w:t>
      </w:r>
      <w:r>
        <w:rPr>
          <w:w w:val="105"/>
          <w:sz w:val="20"/>
        </w:rPr>
        <w:t>proceeds of the sale of the home unit are paid as a bond to the nursing</w:t>
      </w:r>
      <w:r>
        <w:rPr>
          <w:spacing w:val="46"/>
          <w:w w:val="105"/>
          <w:sz w:val="20"/>
        </w:rPr>
        <w:t> </w:t>
      </w:r>
      <w:r>
        <w:rPr>
          <w:w w:val="105"/>
          <w:sz w:val="20"/>
        </w:rPr>
        <w:t>home.</w:t>
      </w:r>
    </w:p>
    <w:p>
      <w:pPr>
        <w:spacing w:line="254" w:lineRule="auto" w:before="122"/>
        <w:ind w:left="2721" w:right="1711" w:firstLine="0"/>
        <w:jc w:val="left"/>
        <w:rPr>
          <w:sz w:val="11"/>
        </w:rPr>
      </w:pPr>
      <w:r>
        <w:rPr>
          <w:spacing w:val="2"/>
          <w:sz w:val="20"/>
        </w:rPr>
        <w:t>As </w:t>
      </w:r>
      <w:r>
        <w:rPr>
          <w:sz w:val="20"/>
        </w:rPr>
        <w:t>his unit is no longer in his estate, his </w:t>
      </w:r>
      <w:r>
        <w:rPr>
          <w:spacing w:val="-3"/>
          <w:sz w:val="20"/>
        </w:rPr>
        <w:t>daughter  </w:t>
      </w:r>
      <w:r>
        <w:rPr>
          <w:sz w:val="20"/>
        </w:rPr>
        <w:t>will receive nothing and his grand-  </w:t>
      </w:r>
      <w:r>
        <w:rPr>
          <w:spacing w:val="-3"/>
          <w:sz w:val="20"/>
        </w:rPr>
        <w:t>daughter </w:t>
      </w:r>
      <w:r>
        <w:rPr>
          <w:sz w:val="20"/>
        </w:rPr>
        <w:t>will receive the bond </w:t>
      </w:r>
      <w:r>
        <w:rPr>
          <w:spacing w:val="-3"/>
          <w:sz w:val="20"/>
        </w:rPr>
        <w:t>refund </w:t>
      </w:r>
      <w:r>
        <w:rPr>
          <w:sz w:val="20"/>
        </w:rPr>
        <w:t>as part of the residuary estate. His </w:t>
      </w:r>
      <w:r>
        <w:rPr>
          <w:spacing w:val="-4"/>
          <w:sz w:val="20"/>
        </w:rPr>
        <w:t>son’s  </w:t>
      </w:r>
      <w:r>
        <w:rPr>
          <w:sz w:val="20"/>
        </w:rPr>
        <w:t>entitlement  to the investment unit is</w:t>
      </w:r>
      <w:r>
        <w:rPr>
          <w:spacing w:val="41"/>
          <w:sz w:val="20"/>
        </w:rPr>
        <w:t> </w:t>
      </w:r>
      <w:r>
        <w:rPr>
          <w:sz w:val="20"/>
        </w:rPr>
        <w:t>unaffected.</w:t>
      </w:r>
      <w:r>
        <w:rPr>
          <w:position w:val="7"/>
          <w:sz w:val="11"/>
        </w:rPr>
        <w:t>5</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
        <w:rPr>
          <w:sz w:val="20"/>
        </w:rPr>
      </w:pPr>
      <w:r>
        <w:rPr/>
        <w:pict>
          <v:line style="position:absolute;mso-position-horizontal-relative:page;mso-position-vertical-relative:paragraph;z-index:1736;mso-wrap-distance-left:0;mso-wrap-distance-right:0" from="79.370003pt,15.259571pt" to="515.905003pt,15.259571pt" stroked="true" strokeweight="1pt" strokecolor="#f9ceca">
            <v:stroke dashstyle="solid"/>
            <w10:wrap type="topAndBottom"/>
          </v:line>
        </w:pict>
      </w:r>
    </w:p>
    <w:p>
      <w:pPr>
        <w:pStyle w:val="ListParagraph"/>
        <w:numPr>
          <w:ilvl w:val="0"/>
          <w:numId w:val="40"/>
        </w:numPr>
        <w:tabs>
          <w:tab w:pos="2380" w:val="left" w:leader="none"/>
          <w:tab w:pos="2382" w:val="left" w:leader="none"/>
        </w:tabs>
        <w:spacing w:line="240" w:lineRule="auto" w:before="117" w:after="0"/>
        <w:ind w:left="2381" w:right="0" w:hanging="794"/>
        <w:jc w:val="left"/>
        <w:rPr>
          <w:sz w:val="13"/>
        </w:rPr>
      </w:pPr>
      <w:r>
        <w:rPr>
          <w:i/>
          <w:w w:val="105"/>
          <w:sz w:val="13"/>
        </w:rPr>
        <w:t>Re Plowright </w:t>
      </w:r>
      <w:r>
        <w:rPr>
          <w:spacing w:val="-3"/>
          <w:w w:val="105"/>
          <w:sz w:val="13"/>
        </w:rPr>
        <w:t>[1971] </w:t>
      </w:r>
      <w:r>
        <w:rPr>
          <w:w w:val="105"/>
          <w:sz w:val="13"/>
        </w:rPr>
        <w:t>VR</w:t>
      </w:r>
      <w:r>
        <w:rPr>
          <w:spacing w:val="20"/>
          <w:w w:val="105"/>
          <w:sz w:val="13"/>
        </w:rPr>
        <w:t> </w:t>
      </w:r>
      <w:r>
        <w:rPr>
          <w:w w:val="105"/>
          <w:sz w:val="13"/>
        </w:rPr>
        <w:t>128.</w:t>
      </w:r>
    </w:p>
    <w:p>
      <w:pPr>
        <w:pStyle w:val="ListParagraph"/>
        <w:numPr>
          <w:ilvl w:val="0"/>
          <w:numId w:val="40"/>
        </w:numPr>
        <w:tabs>
          <w:tab w:pos="2380" w:val="left" w:leader="none"/>
          <w:tab w:pos="2382" w:val="left" w:leader="none"/>
        </w:tabs>
        <w:spacing w:line="240" w:lineRule="auto" w:before="1" w:after="0"/>
        <w:ind w:left="2381" w:right="2333" w:hanging="794"/>
        <w:jc w:val="left"/>
        <w:rPr>
          <w:sz w:val="13"/>
        </w:rPr>
      </w:pPr>
      <w:r>
        <w:rPr>
          <w:i/>
          <w:w w:val="105"/>
          <w:sz w:val="13"/>
        </w:rPr>
        <w:t>Ashburner v MacGuire </w:t>
      </w:r>
      <w:r>
        <w:rPr>
          <w:w w:val="105"/>
          <w:sz w:val="13"/>
        </w:rPr>
        <w:t>[1786] 2 BRO. C. C. 62, 63; Rosalind Croucher and Prue Vines, </w:t>
      </w:r>
      <w:r>
        <w:rPr>
          <w:i/>
          <w:w w:val="105"/>
          <w:sz w:val="13"/>
        </w:rPr>
        <w:t>Succession: Families, Property and Death: </w:t>
      </w:r>
      <w:r>
        <w:rPr>
          <w:i/>
          <w:w w:val="105"/>
          <w:sz w:val="13"/>
        </w:rPr>
        <w:t>Text and Cases </w:t>
      </w:r>
      <w:r>
        <w:rPr>
          <w:spacing w:val="2"/>
          <w:w w:val="105"/>
          <w:sz w:val="13"/>
        </w:rPr>
        <w:t>(LexisNexis </w:t>
      </w:r>
      <w:r>
        <w:rPr>
          <w:w w:val="105"/>
          <w:sz w:val="13"/>
        </w:rPr>
        <w:t>Butterworths, 3rd ed, </w:t>
      </w:r>
      <w:r>
        <w:rPr>
          <w:spacing w:val="2"/>
          <w:w w:val="105"/>
          <w:sz w:val="13"/>
        </w:rPr>
        <w:t>2009)</w:t>
      </w:r>
      <w:r>
        <w:rPr>
          <w:spacing w:val="32"/>
          <w:w w:val="105"/>
          <w:sz w:val="13"/>
        </w:rPr>
        <w:t> </w:t>
      </w:r>
      <w:r>
        <w:rPr>
          <w:w w:val="105"/>
          <w:sz w:val="13"/>
        </w:rPr>
        <w:t>470.</w:t>
      </w:r>
    </w:p>
    <w:p>
      <w:pPr>
        <w:pStyle w:val="ListParagraph"/>
        <w:numPr>
          <w:ilvl w:val="0"/>
          <w:numId w:val="40"/>
        </w:numPr>
        <w:tabs>
          <w:tab w:pos="2380" w:val="left" w:leader="none"/>
          <w:tab w:pos="2382" w:val="left" w:leader="none"/>
        </w:tabs>
        <w:spacing w:line="240" w:lineRule="auto" w:before="3" w:after="0"/>
        <w:ind w:left="2381" w:right="1947" w:hanging="794"/>
        <w:jc w:val="left"/>
        <w:rPr>
          <w:sz w:val="13"/>
        </w:rPr>
      </w:pPr>
      <w:r>
        <w:rPr/>
        <w:pict>
          <v:shape style="position:absolute;margin-left:548.999512pt;margin-top:2.970465pt;width:13.2pt;height:14.25pt;mso-position-horizontal-relative:page;mso-position-vertical-relative:paragraph;z-index:3808" type="#_x0000_t202" filled="false" stroked="false">
            <v:textbox inset="0,0,0,0">
              <w:txbxContent>
                <w:p>
                  <w:pPr>
                    <w:spacing w:line="284" w:lineRule="exact" w:before="0"/>
                    <w:ind w:left="0" w:right="0" w:firstLine="0"/>
                    <w:jc w:val="left"/>
                    <w:rPr>
                      <w:b/>
                      <w:sz w:val="24"/>
                    </w:rPr>
                  </w:pPr>
                  <w:r>
                    <w:rPr>
                      <w:b/>
                      <w:color w:val="EC5A4F"/>
                      <w:spacing w:val="-2"/>
                      <w:w w:val="110"/>
                      <w:sz w:val="24"/>
                    </w:rPr>
                    <w:t>37</w:t>
                  </w:r>
                </w:p>
              </w:txbxContent>
            </v:textbox>
            <w10:wrap type="none"/>
          </v:shape>
        </w:pict>
      </w:r>
      <w:r>
        <w:rPr>
          <w:sz w:val="13"/>
        </w:rPr>
        <w:t>In order to avoid this result, Mr Ling could make a new will after the sale or specify in the original will that the gift of the unit includes             any proceeds of sale of the</w:t>
      </w:r>
      <w:r>
        <w:rPr>
          <w:spacing w:val="9"/>
          <w:sz w:val="13"/>
        </w:rPr>
        <w:t> </w:t>
      </w:r>
      <w:r>
        <w:rPr>
          <w:sz w:val="13"/>
        </w:rPr>
        <w:t>unit.</w:t>
      </w:r>
    </w:p>
    <w:p>
      <w:pPr>
        <w:spacing w:after="0" w:line="240" w:lineRule="auto"/>
        <w:jc w:val="left"/>
        <w:rPr>
          <w:sz w:val="13"/>
        </w:rPr>
        <w:sectPr>
          <w:headerReference w:type="default" r:id="rId33"/>
          <w:headerReference w:type="even" r:id="rId34"/>
          <w:pgSz w:w="11910" w:h="16840"/>
          <w:pgMar w:header="805" w:footer="0" w:top="1360" w:bottom="280" w:left="0" w:right="0"/>
        </w:sectPr>
      </w:pPr>
    </w:p>
    <w:p>
      <w:pPr>
        <w:pStyle w:val="BodyText"/>
        <w:spacing w:before="9"/>
        <w:rPr>
          <w:sz w:val="22"/>
        </w:rPr>
      </w:pPr>
    </w:p>
    <w:p>
      <w:pPr>
        <w:pStyle w:val="ListParagraph"/>
        <w:numPr>
          <w:ilvl w:val="1"/>
          <w:numId w:val="22"/>
        </w:numPr>
        <w:tabs>
          <w:tab w:pos="2381" w:val="left" w:leader="none"/>
          <w:tab w:pos="2382" w:val="left" w:leader="none"/>
        </w:tabs>
        <w:spacing w:line="242" w:lineRule="auto" w:before="92" w:after="0"/>
        <w:ind w:left="2381" w:right="1904" w:hanging="794"/>
        <w:jc w:val="left"/>
        <w:rPr>
          <w:sz w:val="12"/>
        </w:rPr>
      </w:pPr>
      <w:r>
        <w:rPr>
          <w:sz w:val="21"/>
        </w:rPr>
        <w:t>This rule is </w:t>
      </w:r>
      <w:r>
        <w:rPr>
          <w:spacing w:val="-3"/>
          <w:sz w:val="21"/>
        </w:rPr>
        <w:t>clear </w:t>
      </w:r>
      <w:r>
        <w:rPr>
          <w:sz w:val="21"/>
        </w:rPr>
        <w:t>and easy </w:t>
      </w:r>
      <w:r>
        <w:rPr>
          <w:spacing w:val="-3"/>
          <w:sz w:val="21"/>
        </w:rPr>
        <w:t>to </w:t>
      </w:r>
      <w:r>
        <w:rPr>
          <w:sz w:val="21"/>
        </w:rPr>
        <w:t>apply and </w:t>
      </w:r>
      <w:r>
        <w:rPr>
          <w:spacing w:val="-3"/>
          <w:sz w:val="21"/>
        </w:rPr>
        <w:t>avoids </w:t>
      </w:r>
      <w:r>
        <w:rPr>
          <w:sz w:val="21"/>
        </w:rPr>
        <w:t>a case-by-case </w:t>
      </w:r>
      <w:r>
        <w:rPr>
          <w:spacing w:val="-3"/>
          <w:sz w:val="21"/>
        </w:rPr>
        <w:t>determination </w:t>
      </w:r>
      <w:r>
        <w:rPr>
          <w:sz w:val="21"/>
        </w:rPr>
        <w:t>of the will- </w:t>
      </w:r>
      <w:r>
        <w:rPr>
          <w:spacing w:val="-4"/>
          <w:sz w:val="21"/>
        </w:rPr>
        <w:t>maker’s intent.</w:t>
      </w:r>
      <w:r>
        <w:rPr>
          <w:spacing w:val="-4"/>
          <w:position w:val="7"/>
          <w:sz w:val="12"/>
        </w:rPr>
        <w:t>6 </w:t>
      </w:r>
      <w:r>
        <w:rPr>
          <w:sz w:val="21"/>
        </w:rPr>
        <w:t>It is based on the assumption </w:t>
      </w:r>
      <w:r>
        <w:rPr>
          <w:spacing w:val="-3"/>
          <w:sz w:val="21"/>
        </w:rPr>
        <w:t>that </w:t>
      </w:r>
      <w:r>
        <w:rPr>
          <w:sz w:val="21"/>
        </w:rPr>
        <w:t>if a specific gift is no longer in the estate the </w:t>
      </w:r>
      <w:r>
        <w:rPr>
          <w:spacing w:val="-3"/>
          <w:sz w:val="21"/>
        </w:rPr>
        <w:t>will-maker intended that </w:t>
      </w:r>
      <w:r>
        <w:rPr>
          <w:sz w:val="21"/>
        </w:rPr>
        <w:t>the beneficiary would receive </w:t>
      </w:r>
      <w:r>
        <w:rPr>
          <w:spacing w:val="-3"/>
          <w:sz w:val="21"/>
        </w:rPr>
        <w:t>nothing </w:t>
      </w:r>
      <w:r>
        <w:rPr>
          <w:sz w:val="21"/>
        </w:rPr>
        <w:t>in its</w:t>
      </w:r>
      <w:r>
        <w:rPr>
          <w:spacing w:val="32"/>
          <w:sz w:val="21"/>
        </w:rPr>
        <w:t> </w:t>
      </w:r>
      <w:r>
        <w:rPr>
          <w:spacing w:val="-5"/>
          <w:sz w:val="21"/>
        </w:rPr>
        <w:t>place.</w:t>
      </w:r>
      <w:r>
        <w:rPr>
          <w:spacing w:val="-5"/>
          <w:position w:val="7"/>
          <w:sz w:val="12"/>
        </w:rPr>
        <w:t>7</w:t>
      </w:r>
    </w:p>
    <w:p>
      <w:pPr>
        <w:pStyle w:val="ListParagraph"/>
        <w:numPr>
          <w:ilvl w:val="1"/>
          <w:numId w:val="22"/>
        </w:numPr>
        <w:tabs>
          <w:tab w:pos="2381" w:val="left" w:leader="none"/>
          <w:tab w:pos="2382" w:val="left" w:leader="none"/>
        </w:tabs>
        <w:spacing w:line="242" w:lineRule="auto" w:before="123" w:after="0"/>
        <w:ind w:left="2381" w:right="2043" w:hanging="794"/>
        <w:jc w:val="left"/>
        <w:rPr>
          <w:sz w:val="21"/>
        </w:rPr>
      </w:pPr>
      <w:r>
        <w:rPr>
          <w:sz w:val="21"/>
        </w:rPr>
        <w:t>Although the rule is certain, it is also inflexible and can </w:t>
      </w:r>
      <w:r>
        <w:rPr>
          <w:spacing w:val="-3"/>
          <w:sz w:val="21"/>
        </w:rPr>
        <w:t>therefore produce </w:t>
      </w:r>
      <w:r>
        <w:rPr>
          <w:sz w:val="21"/>
        </w:rPr>
        <w:t>results </w:t>
      </w:r>
      <w:r>
        <w:rPr>
          <w:spacing w:val="-3"/>
          <w:sz w:val="21"/>
        </w:rPr>
        <w:t>that </w:t>
      </w:r>
      <w:r>
        <w:rPr>
          <w:sz w:val="21"/>
        </w:rPr>
        <w:t>would be contrary </w:t>
      </w:r>
      <w:r>
        <w:rPr>
          <w:spacing w:val="-3"/>
          <w:sz w:val="21"/>
        </w:rPr>
        <w:t>to </w:t>
      </w:r>
      <w:r>
        <w:rPr>
          <w:sz w:val="21"/>
        </w:rPr>
        <w:t>the </w:t>
      </w:r>
      <w:r>
        <w:rPr>
          <w:spacing w:val="-3"/>
          <w:sz w:val="21"/>
        </w:rPr>
        <w:t>will-maker’s</w:t>
      </w:r>
      <w:r>
        <w:rPr>
          <w:spacing w:val="16"/>
          <w:sz w:val="21"/>
        </w:rPr>
        <w:t> </w:t>
      </w:r>
      <w:r>
        <w:rPr>
          <w:spacing w:val="-3"/>
          <w:sz w:val="21"/>
        </w:rPr>
        <w:t>intentions.</w:t>
      </w:r>
    </w:p>
    <w:p>
      <w:pPr>
        <w:pStyle w:val="ListParagraph"/>
        <w:numPr>
          <w:ilvl w:val="1"/>
          <w:numId w:val="22"/>
        </w:numPr>
        <w:tabs>
          <w:tab w:pos="2381" w:val="left" w:leader="none"/>
          <w:tab w:pos="2382" w:val="left" w:leader="none"/>
        </w:tabs>
        <w:spacing w:line="242" w:lineRule="auto" w:before="122" w:after="0"/>
        <w:ind w:left="2381" w:right="1961" w:hanging="794"/>
        <w:jc w:val="left"/>
        <w:rPr>
          <w:sz w:val="21"/>
        </w:rPr>
      </w:pPr>
      <w:r>
        <w:rPr>
          <w:w w:val="105"/>
          <w:sz w:val="21"/>
        </w:rPr>
        <w:t>In</w:t>
      </w:r>
      <w:r>
        <w:rPr>
          <w:spacing w:val="-6"/>
          <w:w w:val="105"/>
          <w:sz w:val="21"/>
        </w:rPr>
        <w:t> </w:t>
      </w:r>
      <w:r>
        <w:rPr>
          <w:w w:val="105"/>
          <w:sz w:val="21"/>
        </w:rPr>
        <w:t>response</w:t>
      </w:r>
      <w:r>
        <w:rPr>
          <w:spacing w:val="-6"/>
          <w:w w:val="105"/>
          <w:sz w:val="21"/>
        </w:rPr>
        <w:t> </w:t>
      </w:r>
      <w:r>
        <w:rPr>
          <w:spacing w:val="-3"/>
          <w:w w:val="105"/>
          <w:sz w:val="21"/>
        </w:rPr>
        <w:t>to</w:t>
      </w:r>
      <w:r>
        <w:rPr>
          <w:spacing w:val="-6"/>
          <w:w w:val="105"/>
          <w:sz w:val="21"/>
        </w:rPr>
        <w:t> </w:t>
      </w:r>
      <w:r>
        <w:rPr>
          <w:w w:val="105"/>
          <w:sz w:val="21"/>
        </w:rPr>
        <w:t>the</w:t>
      </w:r>
      <w:r>
        <w:rPr>
          <w:spacing w:val="-6"/>
          <w:w w:val="105"/>
          <w:sz w:val="21"/>
        </w:rPr>
        <w:t> </w:t>
      </w:r>
      <w:r>
        <w:rPr>
          <w:w w:val="105"/>
          <w:sz w:val="21"/>
        </w:rPr>
        <w:t>risk</w:t>
      </w:r>
      <w:r>
        <w:rPr>
          <w:spacing w:val="-6"/>
          <w:w w:val="105"/>
          <w:sz w:val="21"/>
        </w:rPr>
        <w:t> </w:t>
      </w:r>
      <w:r>
        <w:rPr>
          <w:w w:val="105"/>
          <w:sz w:val="21"/>
        </w:rPr>
        <w:t>of</w:t>
      </w:r>
      <w:r>
        <w:rPr>
          <w:spacing w:val="-6"/>
          <w:w w:val="105"/>
          <w:sz w:val="21"/>
        </w:rPr>
        <w:t> </w:t>
      </w:r>
      <w:r>
        <w:rPr>
          <w:spacing w:val="-4"/>
          <w:w w:val="105"/>
          <w:sz w:val="21"/>
        </w:rPr>
        <w:t>unfair</w:t>
      </w:r>
      <w:r>
        <w:rPr>
          <w:spacing w:val="-6"/>
          <w:w w:val="105"/>
          <w:sz w:val="21"/>
        </w:rPr>
        <w:t> </w:t>
      </w:r>
      <w:r>
        <w:rPr>
          <w:w w:val="105"/>
          <w:sz w:val="21"/>
        </w:rPr>
        <w:t>or</w:t>
      </w:r>
      <w:r>
        <w:rPr>
          <w:spacing w:val="-5"/>
          <w:w w:val="105"/>
          <w:sz w:val="21"/>
        </w:rPr>
        <w:t> </w:t>
      </w:r>
      <w:r>
        <w:rPr>
          <w:w w:val="105"/>
          <w:sz w:val="21"/>
        </w:rPr>
        <w:t>unexpected</w:t>
      </w:r>
      <w:r>
        <w:rPr>
          <w:spacing w:val="-6"/>
          <w:w w:val="105"/>
          <w:sz w:val="21"/>
        </w:rPr>
        <w:t> </w:t>
      </w:r>
      <w:r>
        <w:rPr>
          <w:spacing w:val="-3"/>
          <w:w w:val="105"/>
          <w:sz w:val="21"/>
        </w:rPr>
        <w:t>outcomes</w:t>
      </w:r>
      <w:r>
        <w:rPr>
          <w:spacing w:val="-6"/>
          <w:w w:val="105"/>
          <w:sz w:val="21"/>
        </w:rPr>
        <w:t> </w:t>
      </w:r>
      <w:r>
        <w:rPr>
          <w:w w:val="105"/>
          <w:sz w:val="21"/>
        </w:rPr>
        <w:t>when</w:t>
      </w:r>
      <w:r>
        <w:rPr>
          <w:spacing w:val="-6"/>
          <w:w w:val="105"/>
          <w:sz w:val="21"/>
        </w:rPr>
        <w:t> </w:t>
      </w:r>
      <w:r>
        <w:rPr>
          <w:w w:val="105"/>
          <w:sz w:val="21"/>
        </w:rPr>
        <w:t>the</w:t>
      </w:r>
      <w:r>
        <w:rPr>
          <w:spacing w:val="-6"/>
          <w:w w:val="105"/>
          <w:sz w:val="21"/>
        </w:rPr>
        <w:t> </w:t>
      </w:r>
      <w:r>
        <w:rPr>
          <w:w w:val="105"/>
          <w:sz w:val="21"/>
        </w:rPr>
        <w:t>rule</w:t>
      </w:r>
      <w:r>
        <w:rPr>
          <w:spacing w:val="-6"/>
          <w:w w:val="105"/>
          <w:sz w:val="21"/>
        </w:rPr>
        <w:t> </w:t>
      </w:r>
      <w:r>
        <w:rPr>
          <w:w w:val="105"/>
          <w:sz w:val="21"/>
        </w:rPr>
        <w:t>is</w:t>
      </w:r>
      <w:r>
        <w:rPr>
          <w:spacing w:val="-6"/>
          <w:w w:val="105"/>
          <w:sz w:val="21"/>
        </w:rPr>
        <w:t> </w:t>
      </w:r>
      <w:r>
        <w:rPr>
          <w:spacing w:val="-3"/>
          <w:w w:val="105"/>
          <w:sz w:val="21"/>
        </w:rPr>
        <w:t>applied,</w:t>
      </w:r>
      <w:r>
        <w:rPr>
          <w:spacing w:val="-5"/>
          <w:w w:val="105"/>
          <w:sz w:val="21"/>
        </w:rPr>
        <w:t> </w:t>
      </w:r>
      <w:r>
        <w:rPr>
          <w:w w:val="105"/>
          <w:sz w:val="21"/>
        </w:rPr>
        <w:t>the </w:t>
      </w:r>
      <w:r>
        <w:rPr>
          <w:spacing w:val="-2"/>
          <w:w w:val="105"/>
          <w:sz w:val="21"/>
        </w:rPr>
        <w:t>common </w:t>
      </w:r>
      <w:r>
        <w:rPr>
          <w:w w:val="105"/>
          <w:sz w:val="21"/>
        </w:rPr>
        <w:t>law </w:t>
      </w:r>
      <w:r>
        <w:rPr>
          <w:spacing w:val="-2"/>
          <w:w w:val="105"/>
          <w:sz w:val="21"/>
        </w:rPr>
        <w:t>has </w:t>
      </w:r>
      <w:r>
        <w:rPr>
          <w:w w:val="105"/>
          <w:sz w:val="21"/>
        </w:rPr>
        <w:t>developed </w:t>
      </w:r>
      <w:r>
        <w:rPr>
          <w:spacing w:val="-3"/>
          <w:w w:val="105"/>
          <w:sz w:val="21"/>
        </w:rPr>
        <w:t>various principles </w:t>
      </w:r>
      <w:r>
        <w:rPr>
          <w:w w:val="105"/>
          <w:sz w:val="21"/>
        </w:rPr>
        <w:t>and </w:t>
      </w:r>
      <w:r>
        <w:rPr>
          <w:spacing w:val="-3"/>
          <w:w w:val="105"/>
          <w:sz w:val="21"/>
        </w:rPr>
        <w:t>exceptions to </w:t>
      </w:r>
      <w:r>
        <w:rPr>
          <w:w w:val="105"/>
          <w:sz w:val="21"/>
        </w:rPr>
        <w:t>the</w:t>
      </w:r>
      <w:r>
        <w:rPr>
          <w:spacing w:val="33"/>
          <w:w w:val="105"/>
          <w:sz w:val="21"/>
        </w:rPr>
        <w:t> </w:t>
      </w:r>
      <w:r>
        <w:rPr>
          <w:spacing w:val="-3"/>
          <w:w w:val="105"/>
          <w:sz w:val="21"/>
        </w:rPr>
        <w:t>rule.</w:t>
      </w:r>
    </w:p>
    <w:p>
      <w:pPr>
        <w:pStyle w:val="ListParagraph"/>
        <w:numPr>
          <w:ilvl w:val="1"/>
          <w:numId w:val="22"/>
        </w:numPr>
        <w:tabs>
          <w:tab w:pos="2381" w:val="left" w:leader="none"/>
          <w:tab w:pos="2382" w:val="left" w:leader="none"/>
        </w:tabs>
        <w:spacing w:line="242" w:lineRule="auto" w:before="123" w:after="0"/>
        <w:ind w:left="2381" w:right="1633" w:hanging="794"/>
        <w:jc w:val="left"/>
        <w:rPr>
          <w:sz w:val="21"/>
        </w:rPr>
      </w:pPr>
      <w:r>
        <w:rPr>
          <w:w w:val="105"/>
          <w:sz w:val="21"/>
        </w:rPr>
        <w:t>One </w:t>
      </w:r>
      <w:r>
        <w:rPr>
          <w:spacing w:val="-3"/>
          <w:w w:val="105"/>
          <w:sz w:val="21"/>
        </w:rPr>
        <w:t>principle </w:t>
      </w:r>
      <w:r>
        <w:rPr>
          <w:w w:val="105"/>
          <w:sz w:val="21"/>
        </w:rPr>
        <w:t>is </w:t>
      </w:r>
      <w:r>
        <w:rPr>
          <w:spacing w:val="-3"/>
          <w:w w:val="105"/>
          <w:sz w:val="21"/>
        </w:rPr>
        <w:t>that </w:t>
      </w:r>
      <w:r>
        <w:rPr>
          <w:w w:val="105"/>
          <w:sz w:val="21"/>
        </w:rPr>
        <w:t>gifts </w:t>
      </w:r>
      <w:r>
        <w:rPr>
          <w:spacing w:val="-3"/>
          <w:w w:val="105"/>
          <w:sz w:val="21"/>
        </w:rPr>
        <w:t>are </w:t>
      </w:r>
      <w:r>
        <w:rPr>
          <w:spacing w:val="-2"/>
          <w:w w:val="105"/>
          <w:sz w:val="21"/>
        </w:rPr>
        <w:t>presumed </w:t>
      </w:r>
      <w:r>
        <w:rPr>
          <w:spacing w:val="-3"/>
          <w:w w:val="105"/>
          <w:sz w:val="21"/>
        </w:rPr>
        <w:t>to </w:t>
      </w:r>
      <w:r>
        <w:rPr>
          <w:w w:val="105"/>
          <w:sz w:val="21"/>
        </w:rPr>
        <w:t>be general </w:t>
      </w:r>
      <w:r>
        <w:rPr>
          <w:spacing w:val="-3"/>
          <w:w w:val="105"/>
          <w:sz w:val="21"/>
        </w:rPr>
        <w:t>rather than </w:t>
      </w:r>
      <w:r>
        <w:rPr>
          <w:w w:val="105"/>
          <w:sz w:val="21"/>
        </w:rPr>
        <w:t>specific.</w:t>
      </w:r>
      <w:r>
        <w:rPr>
          <w:w w:val="105"/>
          <w:position w:val="7"/>
          <w:sz w:val="12"/>
        </w:rPr>
        <w:t>8  </w:t>
      </w:r>
      <w:r>
        <w:rPr>
          <w:w w:val="105"/>
          <w:sz w:val="21"/>
        </w:rPr>
        <w:t>For </w:t>
      </w:r>
      <w:r>
        <w:rPr>
          <w:spacing w:val="-3"/>
          <w:w w:val="105"/>
          <w:sz w:val="21"/>
        </w:rPr>
        <w:t>example, </w:t>
      </w:r>
      <w:r>
        <w:rPr>
          <w:w w:val="105"/>
          <w:sz w:val="21"/>
        </w:rPr>
        <w:t>a ‘legacy equal </w:t>
      </w:r>
      <w:r>
        <w:rPr>
          <w:spacing w:val="-3"/>
          <w:w w:val="105"/>
          <w:sz w:val="21"/>
        </w:rPr>
        <w:t>to </w:t>
      </w:r>
      <w:r>
        <w:rPr>
          <w:spacing w:val="-8"/>
          <w:w w:val="105"/>
          <w:sz w:val="21"/>
        </w:rPr>
        <w:t>15 </w:t>
      </w:r>
      <w:r>
        <w:rPr>
          <w:w w:val="105"/>
          <w:sz w:val="21"/>
        </w:rPr>
        <w:t>per </w:t>
      </w:r>
      <w:r>
        <w:rPr>
          <w:spacing w:val="-3"/>
          <w:w w:val="105"/>
          <w:sz w:val="21"/>
        </w:rPr>
        <w:t>cent </w:t>
      </w:r>
      <w:r>
        <w:rPr>
          <w:w w:val="105"/>
          <w:sz w:val="21"/>
        </w:rPr>
        <w:t>of the </w:t>
      </w:r>
      <w:r>
        <w:rPr>
          <w:spacing w:val="-4"/>
          <w:w w:val="105"/>
          <w:sz w:val="21"/>
        </w:rPr>
        <w:t>market </w:t>
      </w:r>
      <w:r>
        <w:rPr>
          <w:spacing w:val="-3"/>
          <w:w w:val="105"/>
          <w:sz w:val="21"/>
        </w:rPr>
        <w:t>value </w:t>
      </w:r>
      <w:r>
        <w:rPr>
          <w:w w:val="105"/>
          <w:sz w:val="21"/>
        </w:rPr>
        <w:t>of the house property’ was held </w:t>
      </w:r>
      <w:r>
        <w:rPr>
          <w:spacing w:val="-3"/>
          <w:w w:val="105"/>
          <w:sz w:val="21"/>
        </w:rPr>
        <w:t>to </w:t>
      </w:r>
      <w:r>
        <w:rPr>
          <w:w w:val="105"/>
          <w:sz w:val="21"/>
        </w:rPr>
        <w:t>be an </w:t>
      </w:r>
      <w:r>
        <w:rPr>
          <w:spacing w:val="-3"/>
          <w:w w:val="105"/>
          <w:sz w:val="21"/>
        </w:rPr>
        <w:t>amount </w:t>
      </w:r>
      <w:r>
        <w:rPr>
          <w:w w:val="105"/>
          <w:sz w:val="21"/>
        </w:rPr>
        <w:t>of money </w:t>
      </w:r>
      <w:r>
        <w:rPr>
          <w:spacing w:val="-3"/>
          <w:w w:val="105"/>
          <w:sz w:val="21"/>
        </w:rPr>
        <w:t>rather than </w:t>
      </w:r>
      <w:r>
        <w:rPr>
          <w:w w:val="105"/>
          <w:sz w:val="21"/>
        </w:rPr>
        <w:t>a </w:t>
      </w:r>
      <w:r>
        <w:rPr>
          <w:spacing w:val="-3"/>
          <w:w w:val="105"/>
          <w:sz w:val="21"/>
        </w:rPr>
        <w:t>share </w:t>
      </w:r>
      <w:r>
        <w:rPr>
          <w:w w:val="105"/>
          <w:sz w:val="21"/>
        </w:rPr>
        <w:t>in the </w:t>
      </w:r>
      <w:r>
        <w:rPr>
          <w:spacing w:val="-4"/>
          <w:w w:val="105"/>
          <w:sz w:val="21"/>
        </w:rPr>
        <w:t>house.</w:t>
      </w:r>
      <w:r>
        <w:rPr>
          <w:spacing w:val="-4"/>
          <w:w w:val="105"/>
          <w:position w:val="7"/>
          <w:sz w:val="12"/>
        </w:rPr>
        <w:t>9 </w:t>
      </w:r>
      <w:r>
        <w:rPr>
          <w:w w:val="105"/>
          <w:sz w:val="21"/>
        </w:rPr>
        <w:t>As general gifts </w:t>
      </w:r>
      <w:r>
        <w:rPr>
          <w:spacing w:val="-3"/>
          <w:w w:val="105"/>
          <w:sz w:val="21"/>
        </w:rPr>
        <w:t>are </w:t>
      </w:r>
      <w:r>
        <w:rPr>
          <w:spacing w:val="-2"/>
          <w:w w:val="105"/>
          <w:sz w:val="21"/>
        </w:rPr>
        <w:t>not </w:t>
      </w:r>
      <w:r>
        <w:rPr>
          <w:w w:val="105"/>
          <w:sz w:val="21"/>
        </w:rPr>
        <w:t>subject </w:t>
      </w:r>
      <w:r>
        <w:rPr>
          <w:spacing w:val="-3"/>
          <w:w w:val="105"/>
          <w:sz w:val="21"/>
        </w:rPr>
        <w:t>to ademption, </w:t>
      </w:r>
      <w:r>
        <w:rPr>
          <w:w w:val="105"/>
          <w:sz w:val="21"/>
        </w:rPr>
        <w:t>this </w:t>
      </w:r>
      <w:r>
        <w:rPr>
          <w:spacing w:val="-3"/>
          <w:w w:val="105"/>
          <w:sz w:val="21"/>
        </w:rPr>
        <w:t>presumption builds </w:t>
      </w:r>
      <w:r>
        <w:rPr>
          <w:w w:val="105"/>
          <w:sz w:val="21"/>
        </w:rPr>
        <w:t>in a bias </w:t>
      </w:r>
      <w:r>
        <w:rPr>
          <w:spacing w:val="-3"/>
          <w:w w:val="105"/>
          <w:sz w:val="21"/>
        </w:rPr>
        <w:t>against </w:t>
      </w:r>
      <w:r>
        <w:rPr>
          <w:w w:val="105"/>
          <w:sz w:val="21"/>
        </w:rPr>
        <w:t>the gift</w:t>
      </w:r>
      <w:r>
        <w:rPr>
          <w:spacing w:val="7"/>
          <w:w w:val="105"/>
          <w:sz w:val="21"/>
        </w:rPr>
        <w:t> </w:t>
      </w:r>
      <w:r>
        <w:rPr>
          <w:spacing w:val="-4"/>
          <w:w w:val="105"/>
          <w:sz w:val="21"/>
        </w:rPr>
        <w:t>failing.</w:t>
      </w:r>
    </w:p>
    <w:p>
      <w:pPr>
        <w:pStyle w:val="ListParagraph"/>
        <w:numPr>
          <w:ilvl w:val="1"/>
          <w:numId w:val="22"/>
        </w:numPr>
        <w:tabs>
          <w:tab w:pos="2381" w:val="left" w:leader="none"/>
          <w:tab w:pos="2382" w:val="left" w:leader="none"/>
        </w:tabs>
        <w:spacing w:line="242" w:lineRule="auto" w:before="124" w:after="0"/>
        <w:ind w:left="2381" w:right="1624" w:hanging="794"/>
        <w:jc w:val="left"/>
        <w:rPr>
          <w:sz w:val="12"/>
        </w:rPr>
      </w:pPr>
      <w:r>
        <w:rPr>
          <w:w w:val="105"/>
          <w:sz w:val="21"/>
        </w:rPr>
        <w:t>Another </w:t>
      </w:r>
      <w:r>
        <w:rPr>
          <w:spacing w:val="-3"/>
          <w:w w:val="105"/>
          <w:sz w:val="21"/>
        </w:rPr>
        <w:t>principle </w:t>
      </w:r>
      <w:r>
        <w:rPr>
          <w:w w:val="105"/>
          <w:sz w:val="21"/>
        </w:rPr>
        <w:t>is </w:t>
      </w:r>
      <w:r>
        <w:rPr>
          <w:spacing w:val="-3"/>
          <w:w w:val="105"/>
          <w:sz w:val="21"/>
        </w:rPr>
        <w:t>that </w:t>
      </w:r>
      <w:r>
        <w:rPr>
          <w:w w:val="105"/>
          <w:sz w:val="21"/>
        </w:rPr>
        <w:t>if the property </w:t>
      </w:r>
      <w:r>
        <w:rPr>
          <w:spacing w:val="-2"/>
          <w:w w:val="105"/>
          <w:sz w:val="21"/>
        </w:rPr>
        <w:t>has </w:t>
      </w:r>
      <w:r>
        <w:rPr>
          <w:spacing w:val="-3"/>
          <w:w w:val="105"/>
          <w:sz w:val="21"/>
        </w:rPr>
        <w:t>changed </w:t>
      </w:r>
      <w:r>
        <w:rPr>
          <w:w w:val="105"/>
          <w:sz w:val="21"/>
        </w:rPr>
        <w:t>in </w:t>
      </w:r>
      <w:r>
        <w:rPr>
          <w:spacing w:val="-4"/>
          <w:w w:val="105"/>
          <w:sz w:val="21"/>
        </w:rPr>
        <w:t>‘name </w:t>
      </w:r>
      <w:r>
        <w:rPr>
          <w:w w:val="105"/>
          <w:sz w:val="21"/>
        </w:rPr>
        <w:t>and </w:t>
      </w:r>
      <w:r>
        <w:rPr>
          <w:spacing w:val="-3"/>
          <w:w w:val="105"/>
          <w:sz w:val="21"/>
        </w:rPr>
        <w:t>form </w:t>
      </w:r>
      <w:r>
        <w:rPr>
          <w:w w:val="105"/>
          <w:sz w:val="21"/>
        </w:rPr>
        <w:t>only’ but is </w:t>
      </w:r>
      <w:r>
        <w:rPr>
          <w:spacing w:val="-3"/>
          <w:w w:val="105"/>
          <w:sz w:val="21"/>
        </w:rPr>
        <w:t>substantially</w:t>
      </w:r>
      <w:r>
        <w:rPr>
          <w:spacing w:val="-5"/>
          <w:w w:val="105"/>
          <w:sz w:val="21"/>
        </w:rPr>
        <w:t> </w:t>
      </w:r>
      <w:r>
        <w:rPr>
          <w:w w:val="105"/>
          <w:sz w:val="21"/>
        </w:rPr>
        <w:t>the</w:t>
      </w:r>
      <w:r>
        <w:rPr>
          <w:spacing w:val="-5"/>
          <w:w w:val="105"/>
          <w:sz w:val="21"/>
        </w:rPr>
        <w:t> </w:t>
      </w:r>
      <w:r>
        <w:rPr>
          <w:w w:val="105"/>
          <w:sz w:val="21"/>
        </w:rPr>
        <w:t>same</w:t>
      </w:r>
      <w:r>
        <w:rPr>
          <w:spacing w:val="-5"/>
          <w:w w:val="105"/>
          <w:sz w:val="21"/>
        </w:rPr>
        <w:t> </w:t>
      </w:r>
      <w:r>
        <w:rPr>
          <w:spacing w:val="-3"/>
          <w:w w:val="105"/>
          <w:sz w:val="21"/>
        </w:rPr>
        <w:t>thing</w:t>
      </w:r>
      <w:r>
        <w:rPr>
          <w:spacing w:val="-4"/>
          <w:w w:val="105"/>
          <w:sz w:val="21"/>
        </w:rPr>
        <w:t> </w:t>
      </w:r>
      <w:r>
        <w:rPr>
          <w:w w:val="105"/>
          <w:sz w:val="21"/>
        </w:rPr>
        <w:t>identified</w:t>
      </w:r>
      <w:r>
        <w:rPr>
          <w:spacing w:val="-5"/>
          <w:w w:val="105"/>
          <w:sz w:val="21"/>
        </w:rPr>
        <w:t> </w:t>
      </w:r>
      <w:r>
        <w:rPr>
          <w:w w:val="105"/>
          <w:sz w:val="21"/>
        </w:rPr>
        <w:t>in</w:t>
      </w:r>
      <w:r>
        <w:rPr>
          <w:spacing w:val="-5"/>
          <w:w w:val="105"/>
          <w:sz w:val="21"/>
        </w:rPr>
        <w:t> </w:t>
      </w:r>
      <w:r>
        <w:rPr>
          <w:w w:val="105"/>
          <w:sz w:val="21"/>
        </w:rPr>
        <w:t>the</w:t>
      </w:r>
      <w:r>
        <w:rPr>
          <w:spacing w:val="-4"/>
          <w:w w:val="105"/>
          <w:sz w:val="21"/>
        </w:rPr>
        <w:t> </w:t>
      </w:r>
      <w:r>
        <w:rPr>
          <w:spacing w:val="-3"/>
          <w:w w:val="105"/>
          <w:sz w:val="21"/>
        </w:rPr>
        <w:t>will,</w:t>
      </w:r>
      <w:r>
        <w:rPr>
          <w:spacing w:val="-5"/>
          <w:w w:val="105"/>
          <w:sz w:val="21"/>
        </w:rPr>
        <w:t> </w:t>
      </w:r>
      <w:r>
        <w:rPr>
          <w:w w:val="105"/>
          <w:sz w:val="21"/>
        </w:rPr>
        <w:t>ademption</w:t>
      </w:r>
      <w:r>
        <w:rPr>
          <w:spacing w:val="-5"/>
          <w:w w:val="105"/>
          <w:sz w:val="21"/>
        </w:rPr>
        <w:t> </w:t>
      </w:r>
      <w:r>
        <w:rPr>
          <w:spacing w:val="-3"/>
          <w:w w:val="105"/>
          <w:sz w:val="21"/>
        </w:rPr>
        <w:t>will</w:t>
      </w:r>
      <w:r>
        <w:rPr>
          <w:spacing w:val="-4"/>
          <w:w w:val="105"/>
          <w:sz w:val="21"/>
        </w:rPr>
        <w:t> </w:t>
      </w:r>
      <w:r>
        <w:rPr>
          <w:spacing w:val="-2"/>
          <w:w w:val="105"/>
          <w:sz w:val="21"/>
        </w:rPr>
        <w:t>not</w:t>
      </w:r>
      <w:r>
        <w:rPr>
          <w:spacing w:val="-5"/>
          <w:w w:val="105"/>
          <w:sz w:val="21"/>
        </w:rPr>
        <w:t> </w:t>
      </w:r>
      <w:r>
        <w:rPr>
          <w:spacing w:val="-7"/>
          <w:w w:val="105"/>
          <w:sz w:val="21"/>
        </w:rPr>
        <w:t>occur.</w:t>
      </w:r>
      <w:r>
        <w:rPr>
          <w:spacing w:val="-7"/>
          <w:w w:val="105"/>
          <w:position w:val="7"/>
          <w:sz w:val="12"/>
        </w:rPr>
        <w:t>10</w:t>
      </w:r>
      <w:r>
        <w:rPr>
          <w:spacing w:val="-4"/>
          <w:w w:val="105"/>
          <w:position w:val="7"/>
          <w:sz w:val="12"/>
        </w:rPr>
        <w:t> </w:t>
      </w:r>
      <w:r>
        <w:rPr>
          <w:w w:val="105"/>
          <w:sz w:val="21"/>
        </w:rPr>
        <w:t>For</w:t>
      </w:r>
      <w:r>
        <w:rPr>
          <w:spacing w:val="-5"/>
          <w:w w:val="105"/>
          <w:sz w:val="21"/>
        </w:rPr>
        <w:t> </w:t>
      </w:r>
      <w:r>
        <w:rPr>
          <w:spacing w:val="-3"/>
          <w:w w:val="105"/>
          <w:sz w:val="21"/>
        </w:rPr>
        <w:t>example, </w:t>
      </w:r>
      <w:r>
        <w:rPr>
          <w:w w:val="105"/>
          <w:sz w:val="21"/>
        </w:rPr>
        <w:t>ademption </w:t>
      </w:r>
      <w:r>
        <w:rPr>
          <w:spacing w:val="-3"/>
          <w:w w:val="105"/>
          <w:sz w:val="21"/>
        </w:rPr>
        <w:t>may </w:t>
      </w:r>
      <w:r>
        <w:rPr>
          <w:w w:val="105"/>
          <w:sz w:val="21"/>
        </w:rPr>
        <w:t>be avoided where money held in a particular bank </w:t>
      </w:r>
      <w:r>
        <w:rPr>
          <w:spacing w:val="-3"/>
          <w:w w:val="105"/>
          <w:sz w:val="21"/>
        </w:rPr>
        <w:t>account </w:t>
      </w:r>
      <w:r>
        <w:rPr>
          <w:spacing w:val="-2"/>
          <w:w w:val="105"/>
          <w:sz w:val="21"/>
        </w:rPr>
        <w:t>has </w:t>
      </w:r>
      <w:r>
        <w:rPr>
          <w:w w:val="105"/>
          <w:sz w:val="21"/>
        </w:rPr>
        <w:t>been moved </w:t>
      </w:r>
      <w:r>
        <w:rPr>
          <w:spacing w:val="-3"/>
          <w:w w:val="105"/>
          <w:sz w:val="21"/>
        </w:rPr>
        <w:t>to another </w:t>
      </w:r>
      <w:r>
        <w:rPr>
          <w:w w:val="105"/>
          <w:sz w:val="21"/>
        </w:rPr>
        <w:t>bank </w:t>
      </w:r>
      <w:r>
        <w:rPr>
          <w:spacing w:val="-3"/>
          <w:w w:val="105"/>
          <w:sz w:val="21"/>
        </w:rPr>
        <w:t>account, </w:t>
      </w:r>
      <w:r>
        <w:rPr>
          <w:w w:val="105"/>
          <w:sz w:val="21"/>
        </w:rPr>
        <w:t>or a </w:t>
      </w:r>
      <w:r>
        <w:rPr>
          <w:spacing w:val="-3"/>
          <w:w w:val="105"/>
          <w:sz w:val="21"/>
        </w:rPr>
        <w:t>mink </w:t>
      </w:r>
      <w:r>
        <w:rPr>
          <w:w w:val="105"/>
          <w:sz w:val="21"/>
        </w:rPr>
        <w:t>coat </w:t>
      </w:r>
      <w:r>
        <w:rPr>
          <w:spacing w:val="-2"/>
          <w:w w:val="105"/>
          <w:sz w:val="21"/>
        </w:rPr>
        <w:t>has </w:t>
      </w:r>
      <w:r>
        <w:rPr>
          <w:w w:val="105"/>
          <w:sz w:val="21"/>
        </w:rPr>
        <w:t>been </w:t>
      </w:r>
      <w:r>
        <w:rPr>
          <w:spacing w:val="-3"/>
          <w:w w:val="105"/>
          <w:sz w:val="21"/>
        </w:rPr>
        <w:t>‘converted’ </w:t>
      </w:r>
      <w:r>
        <w:rPr>
          <w:spacing w:val="-4"/>
          <w:w w:val="105"/>
          <w:sz w:val="21"/>
        </w:rPr>
        <w:t>into </w:t>
      </w:r>
      <w:r>
        <w:rPr>
          <w:w w:val="105"/>
          <w:sz w:val="21"/>
        </w:rPr>
        <w:t>a </w:t>
      </w:r>
      <w:r>
        <w:rPr>
          <w:spacing w:val="-3"/>
          <w:w w:val="105"/>
          <w:sz w:val="21"/>
        </w:rPr>
        <w:t>stole. </w:t>
      </w:r>
      <w:r>
        <w:rPr>
          <w:w w:val="105"/>
          <w:sz w:val="21"/>
        </w:rPr>
        <w:t>Gifts of stocks or </w:t>
      </w:r>
      <w:r>
        <w:rPr>
          <w:spacing w:val="-3"/>
          <w:w w:val="105"/>
          <w:sz w:val="21"/>
        </w:rPr>
        <w:t>shares may </w:t>
      </w:r>
      <w:r>
        <w:rPr>
          <w:w w:val="105"/>
          <w:sz w:val="21"/>
        </w:rPr>
        <w:t>be saved in this </w:t>
      </w:r>
      <w:r>
        <w:rPr>
          <w:spacing w:val="-3"/>
          <w:w w:val="105"/>
          <w:sz w:val="21"/>
        </w:rPr>
        <w:t>way </w:t>
      </w:r>
      <w:r>
        <w:rPr>
          <w:w w:val="105"/>
          <w:sz w:val="21"/>
        </w:rPr>
        <w:t>where there </w:t>
      </w:r>
      <w:r>
        <w:rPr>
          <w:spacing w:val="-2"/>
          <w:w w:val="105"/>
          <w:sz w:val="21"/>
        </w:rPr>
        <w:t>has </w:t>
      </w:r>
      <w:r>
        <w:rPr>
          <w:w w:val="105"/>
          <w:sz w:val="21"/>
        </w:rPr>
        <w:t>been a </w:t>
      </w:r>
      <w:r>
        <w:rPr>
          <w:spacing w:val="-3"/>
          <w:w w:val="105"/>
          <w:sz w:val="21"/>
        </w:rPr>
        <w:t>reorganisation, </w:t>
      </w:r>
      <w:r>
        <w:rPr>
          <w:w w:val="105"/>
          <w:sz w:val="21"/>
        </w:rPr>
        <w:t>merger or </w:t>
      </w:r>
      <w:r>
        <w:rPr>
          <w:spacing w:val="-3"/>
          <w:w w:val="105"/>
          <w:sz w:val="21"/>
        </w:rPr>
        <w:t>corporate </w:t>
      </w:r>
      <w:r>
        <w:rPr>
          <w:w w:val="105"/>
          <w:sz w:val="21"/>
        </w:rPr>
        <w:t>name</w:t>
      </w:r>
      <w:r>
        <w:rPr>
          <w:spacing w:val="19"/>
          <w:w w:val="105"/>
          <w:sz w:val="21"/>
        </w:rPr>
        <w:t> </w:t>
      </w:r>
      <w:r>
        <w:rPr>
          <w:spacing w:val="-8"/>
          <w:w w:val="105"/>
          <w:sz w:val="21"/>
        </w:rPr>
        <w:t>change.</w:t>
      </w:r>
      <w:r>
        <w:rPr>
          <w:spacing w:val="-8"/>
          <w:w w:val="105"/>
          <w:position w:val="7"/>
          <w:sz w:val="12"/>
        </w:rPr>
        <w:t>11</w:t>
      </w:r>
    </w:p>
    <w:p>
      <w:pPr>
        <w:pStyle w:val="ListParagraph"/>
        <w:numPr>
          <w:ilvl w:val="1"/>
          <w:numId w:val="22"/>
        </w:numPr>
        <w:tabs>
          <w:tab w:pos="2381" w:val="left" w:leader="none"/>
          <w:tab w:pos="2382" w:val="left" w:leader="none"/>
        </w:tabs>
        <w:spacing w:line="242" w:lineRule="auto" w:before="126" w:after="0"/>
        <w:ind w:left="2381" w:right="1676" w:hanging="794"/>
        <w:jc w:val="left"/>
        <w:rPr>
          <w:sz w:val="12"/>
        </w:rPr>
      </w:pPr>
      <w:r>
        <w:rPr>
          <w:w w:val="105"/>
          <w:sz w:val="21"/>
        </w:rPr>
        <w:t>An </w:t>
      </w:r>
      <w:r>
        <w:rPr>
          <w:spacing w:val="-3"/>
          <w:w w:val="105"/>
          <w:sz w:val="21"/>
        </w:rPr>
        <w:t>exception to </w:t>
      </w:r>
      <w:r>
        <w:rPr>
          <w:w w:val="105"/>
          <w:sz w:val="21"/>
        </w:rPr>
        <w:t>the ademption rule is </w:t>
      </w:r>
      <w:r>
        <w:rPr>
          <w:spacing w:val="-3"/>
          <w:w w:val="105"/>
          <w:sz w:val="21"/>
        </w:rPr>
        <w:t>that </w:t>
      </w:r>
      <w:r>
        <w:rPr>
          <w:w w:val="105"/>
          <w:sz w:val="21"/>
        </w:rPr>
        <w:t>a </w:t>
      </w:r>
      <w:r>
        <w:rPr>
          <w:spacing w:val="-3"/>
          <w:w w:val="105"/>
          <w:sz w:val="21"/>
        </w:rPr>
        <w:t>wrongful </w:t>
      </w:r>
      <w:r>
        <w:rPr>
          <w:w w:val="105"/>
          <w:sz w:val="21"/>
        </w:rPr>
        <w:t>act by a </w:t>
      </w:r>
      <w:r>
        <w:rPr>
          <w:spacing w:val="-3"/>
          <w:w w:val="105"/>
          <w:sz w:val="21"/>
        </w:rPr>
        <w:t>third </w:t>
      </w:r>
      <w:r>
        <w:rPr>
          <w:w w:val="105"/>
          <w:sz w:val="21"/>
        </w:rPr>
        <w:t>party </w:t>
      </w:r>
      <w:r>
        <w:rPr>
          <w:spacing w:val="-3"/>
          <w:w w:val="105"/>
          <w:sz w:val="21"/>
        </w:rPr>
        <w:t>will usually </w:t>
      </w:r>
      <w:r>
        <w:rPr>
          <w:spacing w:val="-2"/>
          <w:w w:val="105"/>
          <w:sz w:val="21"/>
        </w:rPr>
        <w:t>not </w:t>
      </w:r>
      <w:r>
        <w:rPr>
          <w:spacing w:val="-3"/>
          <w:w w:val="105"/>
          <w:sz w:val="21"/>
        </w:rPr>
        <w:t>result </w:t>
      </w:r>
      <w:r>
        <w:rPr>
          <w:w w:val="105"/>
          <w:sz w:val="21"/>
        </w:rPr>
        <w:t>in ademption. A </w:t>
      </w:r>
      <w:r>
        <w:rPr>
          <w:spacing w:val="-3"/>
          <w:w w:val="105"/>
          <w:sz w:val="21"/>
        </w:rPr>
        <w:t>fraudulent, </w:t>
      </w:r>
      <w:r>
        <w:rPr>
          <w:w w:val="105"/>
          <w:sz w:val="21"/>
        </w:rPr>
        <w:t>tortious or </w:t>
      </w:r>
      <w:r>
        <w:rPr>
          <w:spacing w:val="-3"/>
          <w:w w:val="105"/>
          <w:sz w:val="21"/>
        </w:rPr>
        <w:t>unauthorised </w:t>
      </w:r>
      <w:r>
        <w:rPr>
          <w:w w:val="105"/>
          <w:sz w:val="21"/>
        </w:rPr>
        <w:t>act </w:t>
      </w:r>
      <w:r>
        <w:rPr>
          <w:spacing w:val="-3"/>
          <w:w w:val="105"/>
          <w:sz w:val="21"/>
        </w:rPr>
        <w:t>leading to </w:t>
      </w:r>
      <w:r>
        <w:rPr>
          <w:w w:val="105"/>
          <w:sz w:val="21"/>
        </w:rPr>
        <w:t>the </w:t>
      </w:r>
      <w:r>
        <w:rPr>
          <w:spacing w:val="-3"/>
          <w:w w:val="105"/>
          <w:sz w:val="21"/>
        </w:rPr>
        <w:t>disposition </w:t>
      </w:r>
      <w:r>
        <w:rPr>
          <w:w w:val="105"/>
          <w:sz w:val="21"/>
        </w:rPr>
        <w:t>of property without the </w:t>
      </w:r>
      <w:r>
        <w:rPr>
          <w:spacing w:val="-3"/>
          <w:w w:val="105"/>
          <w:sz w:val="21"/>
        </w:rPr>
        <w:t>will-maker’s </w:t>
      </w:r>
      <w:r>
        <w:rPr>
          <w:w w:val="105"/>
          <w:sz w:val="21"/>
        </w:rPr>
        <w:t>knowledge </w:t>
      </w:r>
      <w:r>
        <w:rPr>
          <w:spacing w:val="-2"/>
          <w:w w:val="105"/>
          <w:sz w:val="21"/>
        </w:rPr>
        <w:t>has </w:t>
      </w:r>
      <w:r>
        <w:rPr>
          <w:w w:val="105"/>
          <w:sz w:val="21"/>
        </w:rPr>
        <w:t>been held </w:t>
      </w:r>
      <w:r>
        <w:rPr>
          <w:spacing w:val="-3"/>
          <w:w w:val="105"/>
          <w:sz w:val="21"/>
        </w:rPr>
        <w:t>to </w:t>
      </w:r>
      <w:r>
        <w:rPr>
          <w:w w:val="105"/>
          <w:sz w:val="21"/>
        </w:rPr>
        <w:t>be an </w:t>
      </w:r>
      <w:r>
        <w:rPr>
          <w:spacing w:val="-3"/>
          <w:w w:val="105"/>
          <w:sz w:val="21"/>
        </w:rPr>
        <w:t>exception to </w:t>
      </w:r>
      <w:r>
        <w:rPr>
          <w:spacing w:val="-4"/>
          <w:w w:val="105"/>
          <w:sz w:val="21"/>
        </w:rPr>
        <w:t>ademption.</w:t>
      </w:r>
      <w:r>
        <w:rPr>
          <w:spacing w:val="-4"/>
          <w:w w:val="105"/>
          <w:position w:val="7"/>
          <w:sz w:val="12"/>
        </w:rPr>
        <w:t>12 </w:t>
      </w:r>
      <w:r>
        <w:rPr>
          <w:w w:val="105"/>
          <w:sz w:val="21"/>
        </w:rPr>
        <w:t>For </w:t>
      </w:r>
      <w:r>
        <w:rPr>
          <w:spacing w:val="-3"/>
          <w:w w:val="105"/>
          <w:sz w:val="21"/>
        </w:rPr>
        <w:t>example, </w:t>
      </w:r>
      <w:r>
        <w:rPr>
          <w:w w:val="105"/>
          <w:sz w:val="21"/>
        </w:rPr>
        <w:t>where a person sells a property while seeking </w:t>
      </w:r>
      <w:r>
        <w:rPr>
          <w:spacing w:val="-3"/>
          <w:w w:val="105"/>
          <w:sz w:val="21"/>
        </w:rPr>
        <w:t>to exercise </w:t>
      </w:r>
      <w:r>
        <w:rPr>
          <w:w w:val="105"/>
          <w:sz w:val="21"/>
        </w:rPr>
        <w:t>a power of attorney and the </w:t>
      </w:r>
      <w:r>
        <w:rPr>
          <w:spacing w:val="-3"/>
          <w:w w:val="105"/>
          <w:sz w:val="21"/>
        </w:rPr>
        <w:t>conditions for </w:t>
      </w:r>
      <w:r>
        <w:rPr>
          <w:w w:val="105"/>
          <w:sz w:val="21"/>
        </w:rPr>
        <w:t>the </w:t>
      </w:r>
      <w:r>
        <w:rPr>
          <w:spacing w:val="-3"/>
          <w:w w:val="105"/>
          <w:sz w:val="21"/>
        </w:rPr>
        <w:t>exercise </w:t>
      </w:r>
      <w:r>
        <w:rPr>
          <w:w w:val="105"/>
          <w:sz w:val="21"/>
        </w:rPr>
        <w:t>of the power </w:t>
      </w:r>
      <w:r>
        <w:rPr>
          <w:spacing w:val="-3"/>
          <w:w w:val="105"/>
          <w:sz w:val="21"/>
        </w:rPr>
        <w:t>have </w:t>
      </w:r>
      <w:r>
        <w:rPr>
          <w:spacing w:val="-2"/>
          <w:w w:val="105"/>
          <w:sz w:val="21"/>
        </w:rPr>
        <w:t>not </w:t>
      </w:r>
      <w:r>
        <w:rPr>
          <w:w w:val="105"/>
          <w:sz w:val="21"/>
        </w:rPr>
        <w:t>been met, there </w:t>
      </w:r>
      <w:r>
        <w:rPr>
          <w:spacing w:val="-3"/>
          <w:w w:val="105"/>
          <w:sz w:val="21"/>
        </w:rPr>
        <w:t>will </w:t>
      </w:r>
      <w:r>
        <w:rPr>
          <w:w w:val="105"/>
          <w:sz w:val="21"/>
        </w:rPr>
        <w:t>be no</w:t>
      </w:r>
      <w:r>
        <w:rPr>
          <w:spacing w:val="24"/>
          <w:w w:val="105"/>
          <w:sz w:val="21"/>
        </w:rPr>
        <w:t> </w:t>
      </w:r>
      <w:r>
        <w:rPr>
          <w:spacing w:val="-5"/>
          <w:w w:val="105"/>
          <w:sz w:val="21"/>
        </w:rPr>
        <w:t>ademption.</w:t>
      </w:r>
      <w:r>
        <w:rPr>
          <w:spacing w:val="-5"/>
          <w:w w:val="105"/>
          <w:position w:val="7"/>
          <w:sz w:val="12"/>
        </w:rPr>
        <w:t>13</w:t>
      </w:r>
    </w:p>
    <w:p>
      <w:pPr>
        <w:pStyle w:val="ListParagraph"/>
        <w:numPr>
          <w:ilvl w:val="1"/>
          <w:numId w:val="22"/>
        </w:numPr>
        <w:tabs>
          <w:tab w:pos="2382" w:val="left" w:leader="none"/>
        </w:tabs>
        <w:spacing w:line="242" w:lineRule="auto" w:before="127" w:after="0"/>
        <w:ind w:left="2381" w:right="1992" w:hanging="794"/>
        <w:jc w:val="both"/>
        <w:rPr>
          <w:sz w:val="21"/>
        </w:rPr>
      </w:pPr>
      <w:r>
        <w:rPr>
          <w:sz w:val="21"/>
        </w:rPr>
        <w:t>The ademption rule </w:t>
      </w:r>
      <w:r>
        <w:rPr>
          <w:spacing w:val="-3"/>
          <w:sz w:val="21"/>
        </w:rPr>
        <w:t>may </w:t>
      </w:r>
      <w:r>
        <w:rPr>
          <w:sz w:val="21"/>
        </w:rPr>
        <w:t>also </w:t>
      </w:r>
      <w:r>
        <w:rPr>
          <w:spacing w:val="-2"/>
          <w:sz w:val="21"/>
        </w:rPr>
        <w:t>not </w:t>
      </w:r>
      <w:r>
        <w:rPr>
          <w:sz w:val="21"/>
        </w:rPr>
        <w:t>apply </w:t>
      </w:r>
      <w:r>
        <w:rPr>
          <w:spacing w:val="-3"/>
          <w:sz w:val="21"/>
        </w:rPr>
        <w:t>to </w:t>
      </w:r>
      <w:r>
        <w:rPr>
          <w:sz w:val="21"/>
        </w:rPr>
        <w:t>property </w:t>
      </w:r>
      <w:r>
        <w:rPr>
          <w:spacing w:val="-3"/>
          <w:sz w:val="21"/>
        </w:rPr>
        <w:t>that </w:t>
      </w:r>
      <w:r>
        <w:rPr>
          <w:sz w:val="21"/>
        </w:rPr>
        <w:t>is lawfully sold on behalf of a </w:t>
      </w:r>
      <w:r>
        <w:rPr>
          <w:spacing w:val="-3"/>
          <w:sz w:val="21"/>
        </w:rPr>
        <w:t>will-maker  </w:t>
      </w:r>
      <w:r>
        <w:rPr>
          <w:sz w:val="21"/>
        </w:rPr>
        <w:t>by an </w:t>
      </w:r>
      <w:r>
        <w:rPr>
          <w:spacing w:val="-3"/>
          <w:sz w:val="21"/>
        </w:rPr>
        <w:t>administrator</w:t>
      </w:r>
      <w:r>
        <w:rPr>
          <w:spacing w:val="41"/>
          <w:sz w:val="21"/>
        </w:rPr>
        <w:t> </w:t>
      </w:r>
      <w:r>
        <w:rPr>
          <w:sz w:val="21"/>
        </w:rPr>
        <w:t>or person acting under an </w:t>
      </w:r>
      <w:r>
        <w:rPr>
          <w:spacing w:val="-3"/>
          <w:sz w:val="21"/>
        </w:rPr>
        <w:t>enduring  </w:t>
      </w:r>
      <w:r>
        <w:rPr>
          <w:sz w:val="21"/>
        </w:rPr>
        <w:t>power of attorney  (a </w:t>
      </w:r>
      <w:r>
        <w:rPr>
          <w:spacing w:val="-3"/>
          <w:sz w:val="21"/>
        </w:rPr>
        <w:t>substitute </w:t>
      </w:r>
      <w:r>
        <w:rPr>
          <w:sz w:val="21"/>
        </w:rPr>
        <w:t>decision </w:t>
      </w:r>
      <w:r>
        <w:rPr>
          <w:spacing w:val="-3"/>
          <w:sz w:val="21"/>
        </w:rPr>
        <w:t>maker). </w:t>
      </w:r>
      <w:r>
        <w:rPr>
          <w:sz w:val="21"/>
        </w:rPr>
        <w:t>This is discussed in more detail in the next</w:t>
      </w:r>
      <w:r>
        <w:rPr>
          <w:spacing w:val="16"/>
          <w:sz w:val="21"/>
        </w:rPr>
        <w:t> </w:t>
      </w:r>
      <w:r>
        <w:rPr>
          <w:sz w:val="21"/>
        </w:rPr>
        <w:t>sections.</w:t>
      </w:r>
    </w:p>
    <w:p>
      <w:pPr>
        <w:pStyle w:val="BodyText"/>
        <w:spacing w:before="11"/>
        <w:rPr>
          <w:sz w:val="24"/>
        </w:rPr>
      </w:pPr>
    </w:p>
    <w:p>
      <w:pPr>
        <w:pStyle w:val="Heading5"/>
        <w:spacing w:before="1"/>
      </w:pPr>
      <w:r>
        <w:rPr>
          <w:w w:val="115"/>
        </w:rPr>
        <w:t>An alternative approach to ademption</w:t>
      </w:r>
    </w:p>
    <w:p>
      <w:pPr>
        <w:pStyle w:val="ListParagraph"/>
        <w:numPr>
          <w:ilvl w:val="1"/>
          <w:numId w:val="22"/>
        </w:numPr>
        <w:tabs>
          <w:tab w:pos="2381" w:val="left" w:leader="none"/>
          <w:tab w:pos="2382" w:val="left" w:leader="none"/>
        </w:tabs>
        <w:spacing w:line="242" w:lineRule="auto" w:before="137" w:after="0"/>
        <w:ind w:left="2381" w:right="1757" w:hanging="794"/>
        <w:jc w:val="left"/>
        <w:rPr>
          <w:sz w:val="12"/>
        </w:rPr>
      </w:pPr>
      <w:r>
        <w:rPr>
          <w:w w:val="105"/>
          <w:sz w:val="21"/>
        </w:rPr>
        <w:t>The </w:t>
      </w:r>
      <w:r>
        <w:rPr>
          <w:spacing w:val="-3"/>
          <w:w w:val="105"/>
          <w:sz w:val="21"/>
        </w:rPr>
        <w:t>consultation </w:t>
      </w:r>
      <w:r>
        <w:rPr>
          <w:w w:val="105"/>
          <w:sz w:val="21"/>
        </w:rPr>
        <w:t>paper on </w:t>
      </w:r>
      <w:r>
        <w:rPr>
          <w:spacing w:val="-3"/>
          <w:w w:val="105"/>
          <w:sz w:val="21"/>
        </w:rPr>
        <w:t>wills </w:t>
      </w:r>
      <w:r>
        <w:rPr>
          <w:w w:val="105"/>
          <w:sz w:val="21"/>
        </w:rPr>
        <w:t>discussed, as a possible </w:t>
      </w:r>
      <w:r>
        <w:rPr>
          <w:spacing w:val="-3"/>
          <w:w w:val="105"/>
          <w:sz w:val="21"/>
        </w:rPr>
        <w:t>alternative to </w:t>
      </w:r>
      <w:r>
        <w:rPr>
          <w:w w:val="105"/>
          <w:sz w:val="21"/>
        </w:rPr>
        <w:t>the ‘identity </w:t>
      </w:r>
      <w:r>
        <w:rPr>
          <w:spacing w:val="-3"/>
          <w:w w:val="105"/>
          <w:sz w:val="21"/>
        </w:rPr>
        <w:t>approach’ taken </w:t>
      </w:r>
      <w:r>
        <w:rPr>
          <w:w w:val="105"/>
          <w:sz w:val="21"/>
        </w:rPr>
        <w:t>by the </w:t>
      </w:r>
      <w:r>
        <w:rPr>
          <w:spacing w:val="-3"/>
          <w:w w:val="105"/>
          <w:sz w:val="21"/>
        </w:rPr>
        <w:t>current rule, </w:t>
      </w:r>
      <w:r>
        <w:rPr>
          <w:w w:val="105"/>
          <w:sz w:val="21"/>
        </w:rPr>
        <w:t>an </w:t>
      </w:r>
      <w:r>
        <w:rPr>
          <w:spacing w:val="-3"/>
          <w:w w:val="105"/>
          <w:sz w:val="21"/>
        </w:rPr>
        <w:t>‘intention approach’ </w:t>
      </w:r>
      <w:r>
        <w:rPr>
          <w:w w:val="105"/>
          <w:sz w:val="21"/>
        </w:rPr>
        <w:t>where the court asks: ‘Did the</w:t>
      </w:r>
      <w:r>
        <w:rPr>
          <w:spacing w:val="-7"/>
          <w:w w:val="105"/>
          <w:sz w:val="21"/>
        </w:rPr>
        <w:t> </w:t>
      </w:r>
      <w:r>
        <w:rPr>
          <w:spacing w:val="-3"/>
          <w:w w:val="105"/>
          <w:sz w:val="21"/>
        </w:rPr>
        <w:t>will-maker</w:t>
      </w:r>
      <w:r>
        <w:rPr>
          <w:spacing w:val="-6"/>
          <w:w w:val="105"/>
          <w:sz w:val="21"/>
        </w:rPr>
        <w:t> </w:t>
      </w:r>
      <w:r>
        <w:rPr>
          <w:w w:val="105"/>
          <w:sz w:val="21"/>
        </w:rPr>
        <w:t>wish</w:t>
      </w:r>
      <w:r>
        <w:rPr>
          <w:spacing w:val="-7"/>
          <w:w w:val="105"/>
          <w:sz w:val="21"/>
        </w:rPr>
        <w:t> </w:t>
      </w:r>
      <w:r>
        <w:rPr>
          <w:w w:val="105"/>
          <w:sz w:val="21"/>
        </w:rPr>
        <w:t>the</w:t>
      </w:r>
      <w:r>
        <w:rPr>
          <w:spacing w:val="-6"/>
          <w:w w:val="105"/>
          <w:sz w:val="21"/>
        </w:rPr>
        <w:t> </w:t>
      </w:r>
      <w:r>
        <w:rPr>
          <w:w w:val="105"/>
          <w:sz w:val="21"/>
        </w:rPr>
        <w:t>beneficiary</w:t>
      </w:r>
      <w:r>
        <w:rPr>
          <w:spacing w:val="-6"/>
          <w:w w:val="105"/>
          <w:sz w:val="21"/>
        </w:rPr>
        <w:t> </w:t>
      </w:r>
      <w:r>
        <w:rPr>
          <w:spacing w:val="-3"/>
          <w:w w:val="105"/>
          <w:sz w:val="21"/>
        </w:rPr>
        <w:t>to</w:t>
      </w:r>
      <w:r>
        <w:rPr>
          <w:spacing w:val="-7"/>
          <w:w w:val="105"/>
          <w:sz w:val="21"/>
        </w:rPr>
        <w:t> </w:t>
      </w:r>
      <w:r>
        <w:rPr>
          <w:spacing w:val="-3"/>
          <w:w w:val="105"/>
          <w:sz w:val="21"/>
        </w:rPr>
        <w:t>have</w:t>
      </w:r>
      <w:r>
        <w:rPr>
          <w:spacing w:val="-6"/>
          <w:w w:val="105"/>
          <w:sz w:val="21"/>
        </w:rPr>
        <w:t> </w:t>
      </w:r>
      <w:r>
        <w:rPr>
          <w:w w:val="105"/>
          <w:sz w:val="21"/>
        </w:rPr>
        <w:t>the</w:t>
      </w:r>
      <w:r>
        <w:rPr>
          <w:spacing w:val="-6"/>
          <w:w w:val="105"/>
          <w:sz w:val="21"/>
        </w:rPr>
        <w:t> </w:t>
      </w:r>
      <w:r>
        <w:rPr>
          <w:spacing w:val="-3"/>
          <w:w w:val="105"/>
          <w:sz w:val="21"/>
        </w:rPr>
        <w:t>value</w:t>
      </w:r>
      <w:r>
        <w:rPr>
          <w:spacing w:val="-7"/>
          <w:w w:val="105"/>
          <w:sz w:val="21"/>
        </w:rPr>
        <w:t> </w:t>
      </w:r>
      <w:r>
        <w:rPr>
          <w:w w:val="105"/>
          <w:sz w:val="21"/>
        </w:rPr>
        <w:t>of</w:t>
      </w:r>
      <w:r>
        <w:rPr>
          <w:spacing w:val="-6"/>
          <w:w w:val="105"/>
          <w:sz w:val="21"/>
        </w:rPr>
        <w:t> </w:t>
      </w:r>
      <w:r>
        <w:rPr>
          <w:w w:val="105"/>
          <w:sz w:val="21"/>
        </w:rPr>
        <w:t>the</w:t>
      </w:r>
      <w:r>
        <w:rPr>
          <w:spacing w:val="-6"/>
          <w:w w:val="105"/>
          <w:sz w:val="21"/>
        </w:rPr>
        <w:t> </w:t>
      </w:r>
      <w:r>
        <w:rPr>
          <w:w w:val="105"/>
          <w:sz w:val="21"/>
        </w:rPr>
        <w:t>property</w:t>
      </w:r>
      <w:r>
        <w:rPr>
          <w:spacing w:val="-7"/>
          <w:w w:val="105"/>
          <w:sz w:val="21"/>
        </w:rPr>
        <w:t> </w:t>
      </w:r>
      <w:r>
        <w:rPr>
          <w:w w:val="105"/>
          <w:sz w:val="21"/>
        </w:rPr>
        <w:t>even</w:t>
      </w:r>
      <w:r>
        <w:rPr>
          <w:spacing w:val="-6"/>
          <w:w w:val="105"/>
          <w:sz w:val="21"/>
        </w:rPr>
        <w:t> </w:t>
      </w:r>
      <w:r>
        <w:rPr>
          <w:w w:val="105"/>
          <w:sz w:val="21"/>
        </w:rPr>
        <w:t>if</w:t>
      </w:r>
      <w:r>
        <w:rPr>
          <w:spacing w:val="-6"/>
          <w:w w:val="105"/>
          <w:sz w:val="21"/>
        </w:rPr>
        <w:t> </w:t>
      </w:r>
      <w:r>
        <w:rPr>
          <w:w w:val="105"/>
          <w:sz w:val="21"/>
        </w:rPr>
        <w:t>it</w:t>
      </w:r>
      <w:r>
        <w:rPr>
          <w:spacing w:val="-7"/>
          <w:w w:val="105"/>
          <w:sz w:val="21"/>
        </w:rPr>
        <w:t> </w:t>
      </w:r>
      <w:r>
        <w:rPr>
          <w:w w:val="105"/>
          <w:sz w:val="21"/>
        </w:rPr>
        <w:t>no</w:t>
      </w:r>
      <w:r>
        <w:rPr>
          <w:spacing w:val="-6"/>
          <w:w w:val="105"/>
          <w:sz w:val="21"/>
        </w:rPr>
        <w:t> </w:t>
      </w:r>
      <w:r>
        <w:rPr>
          <w:w w:val="105"/>
          <w:sz w:val="21"/>
        </w:rPr>
        <w:t>longer existed at the time of</w:t>
      </w:r>
      <w:r>
        <w:rPr>
          <w:spacing w:val="25"/>
          <w:w w:val="105"/>
          <w:sz w:val="21"/>
        </w:rPr>
        <w:t> </w:t>
      </w:r>
      <w:r>
        <w:rPr>
          <w:spacing w:val="-4"/>
          <w:w w:val="105"/>
          <w:sz w:val="21"/>
        </w:rPr>
        <w:t>death?’</w:t>
      </w:r>
      <w:r>
        <w:rPr>
          <w:spacing w:val="-4"/>
          <w:w w:val="105"/>
          <w:position w:val="7"/>
          <w:sz w:val="12"/>
        </w:rPr>
        <w:t>14</w:t>
      </w:r>
    </w:p>
    <w:p>
      <w:pPr>
        <w:pStyle w:val="ListParagraph"/>
        <w:numPr>
          <w:ilvl w:val="1"/>
          <w:numId w:val="22"/>
        </w:numPr>
        <w:tabs>
          <w:tab w:pos="2381" w:val="left" w:leader="none"/>
          <w:tab w:pos="2382" w:val="left" w:leader="none"/>
        </w:tabs>
        <w:spacing w:line="242" w:lineRule="auto" w:before="124" w:after="0"/>
        <w:ind w:left="2381" w:right="1827" w:hanging="794"/>
        <w:jc w:val="left"/>
        <w:rPr>
          <w:sz w:val="12"/>
        </w:rPr>
      </w:pPr>
      <w:r>
        <w:rPr>
          <w:w w:val="105"/>
          <w:sz w:val="21"/>
        </w:rPr>
        <w:t>A </w:t>
      </w:r>
      <w:r>
        <w:rPr>
          <w:spacing w:val="-3"/>
          <w:w w:val="105"/>
          <w:sz w:val="21"/>
        </w:rPr>
        <w:t>provision </w:t>
      </w:r>
      <w:r>
        <w:rPr>
          <w:w w:val="105"/>
          <w:sz w:val="21"/>
        </w:rPr>
        <w:t>in </w:t>
      </w:r>
      <w:r>
        <w:rPr>
          <w:spacing w:val="-3"/>
          <w:w w:val="105"/>
          <w:sz w:val="21"/>
        </w:rPr>
        <w:t>legislation that </w:t>
      </w:r>
      <w:r>
        <w:rPr>
          <w:w w:val="105"/>
          <w:sz w:val="21"/>
        </w:rPr>
        <w:t>set out an </w:t>
      </w:r>
      <w:r>
        <w:rPr>
          <w:spacing w:val="-3"/>
          <w:w w:val="105"/>
          <w:sz w:val="21"/>
        </w:rPr>
        <w:t>intention </w:t>
      </w:r>
      <w:r>
        <w:rPr>
          <w:w w:val="105"/>
          <w:sz w:val="21"/>
        </w:rPr>
        <w:t>approach </w:t>
      </w:r>
      <w:r>
        <w:rPr>
          <w:spacing w:val="-3"/>
          <w:w w:val="105"/>
          <w:sz w:val="21"/>
        </w:rPr>
        <w:t>could </w:t>
      </w:r>
      <w:r>
        <w:rPr>
          <w:w w:val="105"/>
          <w:sz w:val="21"/>
        </w:rPr>
        <w:t>reflect a </w:t>
      </w:r>
      <w:r>
        <w:rPr>
          <w:spacing w:val="-3"/>
          <w:w w:val="105"/>
          <w:sz w:val="21"/>
        </w:rPr>
        <w:t>presumption against </w:t>
      </w:r>
      <w:r>
        <w:rPr>
          <w:w w:val="105"/>
          <w:sz w:val="21"/>
        </w:rPr>
        <w:t>ademption or a </w:t>
      </w:r>
      <w:r>
        <w:rPr>
          <w:spacing w:val="-3"/>
          <w:w w:val="105"/>
          <w:sz w:val="21"/>
        </w:rPr>
        <w:t>presumption </w:t>
      </w:r>
      <w:r>
        <w:rPr>
          <w:w w:val="105"/>
          <w:sz w:val="21"/>
        </w:rPr>
        <w:t>in </w:t>
      </w:r>
      <w:r>
        <w:rPr>
          <w:spacing w:val="-3"/>
          <w:w w:val="105"/>
          <w:sz w:val="21"/>
        </w:rPr>
        <w:t>favour </w:t>
      </w:r>
      <w:r>
        <w:rPr>
          <w:w w:val="105"/>
          <w:sz w:val="21"/>
        </w:rPr>
        <w:t>of</w:t>
      </w:r>
      <w:r>
        <w:rPr>
          <w:spacing w:val="45"/>
          <w:w w:val="105"/>
          <w:sz w:val="21"/>
        </w:rPr>
        <w:t> </w:t>
      </w:r>
      <w:r>
        <w:rPr>
          <w:spacing w:val="-5"/>
          <w:w w:val="105"/>
          <w:sz w:val="21"/>
        </w:rPr>
        <w:t>ademption.</w:t>
      </w:r>
      <w:r>
        <w:rPr>
          <w:spacing w:val="-5"/>
          <w:w w:val="105"/>
          <w:position w:val="7"/>
          <w:sz w:val="12"/>
        </w:rPr>
        <w:t>15</w:t>
      </w:r>
    </w:p>
    <w:p>
      <w:pPr>
        <w:pStyle w:val="ListParagraph"/>
        <w:numPr>
          <w:ilvl w:val="1"/>
          <w:numId w:val="22"/>
        </w:numPr>
        <w:tabs>
          <w:tab w:pos="2381" w:val="left" w:leader="none"/>
          <w:tab w:pos="2382" w:val="left" w:leader="none"/>
        </w:tabs>
        <w:spacing w:line="240" w:lineRule="auto" w:before="122" w:after="0"/>
        <w:ind w:left="2381" w:right="0" w:hanging="794"/>
        <w:jc w:val="left"/>
        <w:rPr>
          <w:sz w:val="12"/>
        </w:rPr>
      </w:pPr>
      <w:r>
        <w:rPr>
          <w:w w:val="105"/>
          <w:sz w:val="21"/>
        </w:rPr>
        <w:t>Views</w:t>
      </w:r>
      <w:r>
        <w:rPr>
          <w:spacing w:val="-4"/>
          <w:w w:val="105"/>
          <w:sz w:val="21"/>
        </w:rPr>
        <w:t> </w:t>
      </w:r>
      <w:r>
        <w:rPr>
          <w:w w:val="105"/>
          <w:sz w:val="21"/>
        </w:rPr>
        <w:t>on</w:t>
      </w:r>
      <w:r>
        <w:rPr>
          <w:spacing w:val="-3"/>
          <w:w w:val="105"/>
          <w:sz w:val="21"/>
        </w:rPr>
        <w:t> </w:t>
      </w:r>
      <w:r>
        <w:rPr>
          <w:w w:val="105"/>
          <w:sz w:val="21"/>
        </w:rPr>
        <w:t>this</w:t>
      </w:r>
      <w:r>
        <w:rPr>
          <w:spacing w:val="-4"/>
          <w:w w:val="105"/>
          <w:sz w:val="21"/>
        </w:rPr>
        <w:t> </w:t>
      </w:r>
      <w:r>
        <w:rPr>
          <w:w w:val="105"/>
          <w:sz w:val="21"/>
        </w:rPr>
        <w:t>issue</w:t>
      </w:r>
      <w:r>
        <w:rPr>
          <w:spacing w:val="-3"/>
          <w:w w:val="105"/>
          <w:sz w:val="21"/>
        </w:rPr>
        <w:t> were</w:t>
      </w:r>
      <w:r>
        <w:rPr>
          <w:spacing w:val="-4"/>
          <w:w w:val="105"/>
          <w:sz w:val="21"/>
        </w:rPr>
        <w:t> </w:t>
      </w:r>
      <w:r>
        <w:rPr>
          <w:w w:val="105"/>
          <w:sz w:val="21"/>
        </w:rPr>
        <w:t>divided.</w:t>
      </w:r>
      <w:r>
        <w:rPr>
          <w:spacing w:val="-3"/>
          <w:w w:val="105"/>
          <w:sz w:val="21"/>
        </w:rPr>
        <w:t> </w:t>
      </w:r>
      <w:r>
        <w:rPr>
          <w:w w:val="105"/>
          <w:sz w:val="21"/>
        </w:rPr>
        <w:t>Those</w:t>
      </w:r>
      <w:r>
        <w:rPr>
          <w:spacing w:val="-4"/>
          <w:w w:val="105"/>
          <w:sz w:val="21"/>
        </w:rPr>
        <w:t> </w:t>
      </w:r>
      <w:r>
        <w:rPr>
          <w:w w:val="105"/>
          <w:sz w:val="21"/>
        </w:rPr>
        <w:t>in</w:t>
      </w:r>
      <w:r>
        <w:rPr>
          <w:spacing w:val="-3"/>
          <w:w w:val="105"/>
          <w:sz w:val="21"/>
        </w:rPr>
        <w:t> favour</w:t>
      </w:r>
      <w:r>
        <w:rPr>
          <w:spacing w:val="-4"/>
          <w:w w:val="105"/>
          <w:sz w:val="21"/>
        </w:rPr>
        <w:t> </w:t>
      </w:r>
      <w:r>
        <w:rPr>
          <w:w w:val="105"/>
          <w:sz w:val="21"/>
        </w:rPr>
        <w:t>of</w:t>
      </w:r>
      <w:r>
        <w:rPr>
          <w:spacing w:val="-3"/>
          <w:w w:val="105"/>
          <w:sz w:val="21"/>
        </w:rPr>
        <w:t> </w:t>
      </w:r>
      <w:r>
        <w:rPr>
          <w:w w:val="105"/>
          <w:sz w:val="21"/>
        </w:rPr>
        <w:t>a</w:t>
      </w:r>
      <w:r>
        <w:rPr>
          <w:spacing w:val="-4"/>
          <w:w w:val="105"/>
          <w:sz w:val="21"/>
        </w:rPr>
        <w:t> </w:t>
      </w:r>
      <w:r>
        <w:rPr>
          <w:spacing w:val="-3"/>
          <w:w w:val="105"/>
          <w:sz w:val="21"/>
        </w:rPr>
        <w:t>change to</w:t>
      </w:r>
      <w:r>
        <w:rPr>
          <w:spacing w:val="-4"/>
          <w:w w:val="105"/>
          <w:sz w:val="21"/>
        </w:rPr>
        <w:t> </w:t>
      </w:r>
      <w:r>
        <w:rPr>
          <w:w w:val="105"/>
          <w:sz w:val="21"/>
        </w:rPr>
        <w:t>an</w:t>
      </w:r>
      <w:r>
        <w:rPr>
          <w:spacing w:val="-3"/>
          <w:w w:val="105"/>
          <w:sz w:val="21"/>
        </w:rPr>
        <w:t> intention</w:t>
      </w:r>
      <w:r>
        <w:rPr>
          <w:spacing w:val="-4"/>
          <w:w w:val="105"/>
          <w:sz w:val="21"/>
        </w:rPr>
        <w:t> </w:t>
      </w:r>
      <w:r>
        <w:rPr>
          <w:w w:val="105"/>
          <w:sz w:val="21"/>
        </w:rPr>
        <w:t>approach</w:t>
      </w:r>
      <w:r>
        <w:rPr>
          <w:spacing w:val="-32"/>
          <w:w w:val="105"/>
          <w:sz w:val="21"/>
        </w:rPr>
        <w:t> </w:t>
      </w:r>
      <w:r>
        <w:rPr>
          <w:spacing w:val="-4"/>
          <w:w w:val="105"/>
          <w:position w:val="7"/>
          <w:sz w:val="12"/>
        </w:rPr>
        <w:t>16</w:t>
      </w:r>
    </w:p>
    <w:p>
      <w:pPr>
        <w:pStyle w:val="BodyText"/>
        <w:spacing w:before="4"/>
        <w:ind w:left="2381"/>
      </w:pPr>
      <w:r>
        <w:rPr>
          <w:spacing w:val="-3"/>
          <w:w w:val="105"/>
        </w:rPr>
        <w:t>noted</w:t>
      </w:r>
      <w:r>
        <w:rPr>
          <w:spacing w:val="-14"/>
          <w:w w:val="105"/>
        </w:rPr>
        <w:t> </w:t>
      </w:r>
      <w:r>
        <w:rPr>
          <w:w w:val="105"/>
        </w:rPr>
        <w:t>that:</w:t>
      </w:r>
    </w:p>
    <w:p>
      <w:pPr>
        <w:pStyle w:val="BodyText"/>
        <w:spacing w:before="3"/>
        <w:rPr>
          <w:sz w:val="22"/>
        </w:rPr>
      </w:pPr>
      <w:r>
        <w:rPr/>
        <w:pict>
          <v:line style="position:absolute;mso-position-horizontal-relative:page;mso-position-vertical-relative:paragraph;z-index:1784;mso-wrap-distance-left:0;mso-wrap-distance-right:0" from="79.370102pt,16.062412pt" to="515.905102pt,16.062412pt" stroked="true" strokeweight="1pt" strokecolor="#f9ceca">
            <v:stroke dashstyle="solid"/>
            <w10:wrap type="topAndBottom"/>
          </v:line>
        </w:pict>
      </w:r>
    </w:p>
    <w:p>
      <w:pPr>
        <w:pStyle w:val="ListParagraph"/>
        <w:numPr>
          <w:ilvl w:val="0"/>
          <w:numId w:val="40"/>
        </w:numPr>
        <w:tabs>
          <w:tab w:pos="2380" w:val="left" w:leader="none"/>
          <w:tab w:pos="2382" w:val="left" w:leader="none"/>
        </w:tabs>
        <w:spacing w:line="240" w:lineRule="auto" w:before="117" w:after="0"/>
        <w:ind w:left="2381" w:right="1638" w:hanging="794"/>
        <w:jc w:val="left"/>
        <w:rPr>
          <w:sz w:val="13"/>
        </w:rPr>
      </w:pPr>
      <w:r>
        <w:rPr>
          <w:spacing w:val="2"/>
          <w:w w:val="105"/>
          <w:sz w:val="13"/>
        </w:rPr>
        <w:t>Alberta </w:t>
      </w:r>
      <w:r>
        <w:rPr>
          <w:w w:val="105"/>
          <w:sz w:val="13"/>
        </w:rPr>
        <w:t>Law Reform Institute, </w:t>
      </w:r>
      <w:r>
        <w:rPr>
          <w:i/>
          <w:w w:val="105"/>
          <w:sz w:val="13"/>
        </w:rPr>
        <w:t>Wills and the Legal Effect of Changed Circumstances</w:t>
      </w:r>
      <w:r>
        <w:rPr>
          <w:w w:val="105"/>
          <w:sz w:val="13"/>
        </w:rPr>
        <w:t>, Final </w:t>
      </w:r>
      <w:r>
        <w:rPr>
          <w:spacing w:val="2"/>
          <w:w w:val="105"/>
          <w:sz w:val="13"/>
        </w:rPr>
        <w:t>Report </w:t>
      </w:r>
      <w:r>
        <w:rPr>
          <w:w w:val="105"/>
          <w:sz w:val="13"/>
        </w:rPr>
        <w:t>No 98 (2010) </w:t>
      </w:r>
      <w:r>
        <w:rPr>
          <w:spacing w:val="-4"/>
          <w:w w:val="105"/>
          <w:sz w:val="13"/>
        </w:rPr>
        <w:t>151;  </w:t>
      </w:r>
      <w:r>
        <w:rPr>
          <w:w w:val="105"/>
          <w:sz w:val="13"/>
        </w:rPr>
        <w:t>Christina Walsh, </w:t>
      </w:r>
      <w:r>
        <w:rPr>
          <w:spacing w:val="-4"/>
          <w:w w:val="105"/>
          <w:sz w:val="13"/>
        </w:rPr>
        <w:t>‘A      </w:t>
      </w:r>
      <w:r>
        <w:rPr>
          <w:w w:val="105"/>
          <w:sz w:val="13"/>
        </w:rPr>
        <w:t>Costly Application of Strict Statutory Construction: The Ohio Supreme Court’s Interpretation of Ohio’s Nonademption Statute’ (1996–7) 28 </w:t>
      </w:r>
      <w:r>
        <w:rPr>
          <w:i/>
          <w:w w:val="105"/>
          <w:sz w:val="13"/>
        </w:rPr>
        <w:t>University of Toledo Law Review </w:t>
      </w:r>
      <w:r>
        <w:rPr>
          <w:w w:val="105"/>
          <w:sz w:val="13"/>
        </w:rPr>
        <w:t>631,</w:t>
      </w:r>
      <w:r>
        <w:rPr>
          <w:spacing w:val="23"/>
          <w:w w:val="105"/>
          <w:sz w:val="13"/>
        </w:rPr>
        <w:t> </w:t>
      </w:r>
      <w:r>
        <w:rPr>
          <w:w w:val="105"/>
          <w:sz w:val="13"/>
        </w:rPr>
        <w:t>631.</w:t>
      </w:r>
    </w:p>
    <w:p>
      <w:pPr>
        <w:pStyle w:val="ListParagraph"/>
        <w:numPr>
          <w:ilvl w:val="0"/>
          <w:numId w:val="40"/>
        </w:numPr>
        <w:tabs>
          <w:tab w:pos="2380" w:val="left" w:leader="none"/>
          <w:tab w:pos="2382" w:val="left" w:leader="none"/>
        </w:tabs>
        <w:spacing w:line="240" w:lineRule="auto" w:before="4" w:after="0"/>
        <w:ind w:left="2381" w:right="0" w:hanging="794"/>
        <w:jc w:val="left"/>
        <w:rPr>
          <w:sz w:val="13"/>
        </w:rPr>
      </w:pPr>
      <w:r>
        <w:rPr>
          <w:w w:val="105"/>
          <w:sz w:val="13"/>
        </w:rPr>
        <w:t>Walsh, above n 6,</w:t>
      </w:r>
      <w:r>
        <w:rPr>
          <w:spacing w:val="18"/>
          <w:w w:val="105"/>
          <w:sz w:val="13"/>
        </w:rPr>
        <w:t> </w:t>
      </w:r>
      <w:r>
        <w:rPr>
          <w:w w:val="105"/>
          <w:sz w:val="13"/>
        </w:rPr>
        <w:t>634.</w:t>
      </w:r>
    </w:p>
    <w:p>
      <w:pPr>
        <w:pStyle w:val="ListParagraph"/>
        <w:numPr>
          <w:ilvl w:val="0"/>
          <w:numId w:val="40"/>
        </w:numPr>
        <w:tabs>
          <w:tab w:pos="2380" w:val="left" w:leader="none"/>
          <w:tab w:pos="2382" w:val="left" w:leader="none"/>
        </w:tabs>
        <w:spacing w:line="240" w:lineRule="auto" w:before="1" w:after="0"/>
        <w:ind w:left="2381" w:right="0" w:hanging="794"/>
        <w:jc w:val="left"/>
        <w:rPr>
          <w:sz w:val="13"/>
        </w:rPr>
      </w:pPr>
      <w:r>
        <w:rPr>
          <w:i/>
          <w:w w:val="105"/>
          <w:sz w:val="13"/>
        </w:rPr>
        <w:t>Re</w:t>
      </w:r>
      <w:r>
        <w:rPr>
          <w:i/>
          <w:spacing w:val="3"/>
          <w:w w:val="105"/>
          <w:sz w:val="13"/>
        </w:rPr>
        <w:t> </w:t>
      </w:r>
      <w:r>
        <w:rPr>
          <w:i/>
          <w:w w:val="105"/>
          <w:sz w:val="13"/>
        </w:rPr>
        <w:t>Plowright</w:t>
      </w:r>
      <w:r>
        <w:rPr>
          <w:i/>
          <w:spacing w:val="5"/>
          <w:w w:val="105"/>
          <w:sz w:val="13"/>
        </w:rPr>
        <w:t> </w:t>
      </w:r>
      <w:r>
        <w:rPr>
          <w:w w:val="105"/>
          <w:sz w:val="13"/>
        </w:rPr>
        <w:t>[1981]</w:t>
      </w:r>
      <w:r>
        <w:rPr>
          <w:spacing w:val="5"/>
          <w:w w:val="105"/>
          <w:sz w:val="13"/>
        </w:rPr>
        <w:t> </w:t>
      </w:r>
      <w:r>
        <w:rPr>
          <w:w w:val="105"/>
          <w:sz w:val="13"/>
        </w:rPr>
        <w:t>VR</w:t>
      </w:r>
      <w:r>
        <w:rPr>
          <w:spacing w:val="5"/>
          <w:w w:val="105"/>
          <w:sz w:val="13"/>
        </w:rPr>
        <w:t> </w:t>
      </w:r>
      <w:r>
        <w:rPr>
          <w:w w:val="105"/>
          <w:sz w:val="13"/>
        </w:rPr>
        <w:t>128;</w:t>
      </w:r>
      <w:r>
        <w:rPr>
          <w:spacing w:val="5"/>
          <w:w w:val="105"/>
          <w:sz w:val="13"/>
        </w:rPr>
        <w:t> </w:t>
      </w:r>
      <w:r>
        <w:rPr>
          <w:i/>
          <w:w w:val="105"/>
          <w:sz w:val="13"/>
        </w:rPr>
        <w:t>McBride</w:t>
      </w:r>
      <w:r>
        <w:rPr>
          <w:i/>
          <w:spacing w:val="3"/>
          <w:w w:val="105"/>
          <w:sz w:val="13"/>
        </w:rPr>
        <w:t> </w:t>
      </w:r>
      <w:r>
        <w:rPr>
          <w:i/>
          <w:w w:val="105"/>
          <w:sz w:val="13"/>
        </w:rPr>
        <w:t>v</w:t>
      </w:r>
      <w:r>
        <w:rPr>
          <w:i/>
          <w:spacing w:val="4"/>
          <w:w w:val="105"/>
          <w:sz w:val="13"/>
        </w:rPr>
        <w:t> </w:t>
      </w:r>
      <w:r>
        <w:rPr>
          <w:i/>
          <w:w w:val="105"/>
          <w:sz w:val="13"/>
        </w:rPr>
        <w:t>Hudson</w:t>
      </w:r>
      <w:r>
        <w:rPr>
          <w:i/>
          <w:spacing w:val="5"/>
          <w:w w:val="105"/>
          <w:sz w:val="13"/>
        </w:rPr>
        <w:t> </w:t>
      </w:r>
      <w:r>
        <w:rPr>
          <w:w w:val="105"/>
          <w:sz w:val="13"/>
        </w:rPr>
        <w:t>(1962)</w:t>
      </w:r>
      <w:r>
        <w:rPr>
          <w:spacing w:val="5"/>
          <w:w w:val="105"/>
          <w:sz w:val="13"/>
        </w:rPr>
        <w:t> </w:t>
      </w:r>
      <w:r>
        <w:rPr>
          <w:w w:val="105"/>
          <w:sz w:val="13"/>
        </w:rPr>
        <w:t>107</w:t>
      </w:r>
      <w:r>
        <w:rPr>
          <w:spacing w:val="4"/>
          <w:w w:val="105"/>
          <w:sz w:val="13"/>
        </w:rPr>
        <w:t> </w:t>
      </w:r>
      <w:r>
        <w:rPr>
          <w:w w:val="105"/>
          <w:sz w:val="13"/>
        </w:rPr>
        <w:t>CLR</w:t>
      </w:r>
      <w:r>
        <w:rPr>
          <w:spacing w:val="5"/>
          <w:w w:val="105"/>
          <w:sz w:val="13"/>
        </w:rPr>
        <w:t> </w:t>
      </w:r>
      <w:r>
        <w:rPr>
          <w:spacing w:val="2"/>
          <w:w w:val="105"/>
          <w:sz w:val="13"/>
        </w:rPr>
        <w:t>604,</w:t>
      </w:r>
      <w:r>
        <w:rPr>
          <w:spacing w:val="5"/>
          <w:w w:val="105"/>
          <w:sz w:val="13"/>
        </w:rPr>
        <w:t> </w:t>
      </w:r>
      <w:r>
        <w:rPr>
          <w:w w:val="105"/>
          <w:sz w:val="13"/>
        </w:rPr>
        <w:t>616–19.</w:t>
      </w:r>
    </w:p>
    <w:p>
      <w:pPr>
        <w:pStyle w:val="ListParagraph"/>
        <w:numPr>
          <w:ilvl w:val="0"/>
          <w:numId w:val="40"/>
        </w:numPr>
        <w:tabs>
          <w:tab w:pos="2380" w:val="left" w:leader="none"/>
          <w:tab w:pos="2382" w:val="left" w:leader="none"/>
        </w:tabs>
        <w:spacing w:line="240" w:lineRule="auto" w:before="2" w:after="0"/>
        <w:ind w:left="2381" w:right="0" w:hanging="794"/>
        <w:jc w:val="left"/>
        <w:rPr>
          <w:sz w:val="13"/>
        </w:rPr>
      </w:pPr>
      <w:r>
        <w:rPr>
          <w:i/>
          <w:w w:val="105"/>
          <w:sz w:val="13"/>
        </w:rPr>
        <w:t>Moylan v Rickard </w:t>
      </w:r>
      <w:r>
        <w:rPr>
          <w:w w:val="105"/>
          <w:sz w:val="13"/>
        </w:rPr>
        <w:t>[2010] QSC 327 </w:t>
      </w:r>
      <w:r>
        <w:rPr>
          <w:spacing w:val="3"/>
          <w:w w:val="105"/>
          <w:sz w:val="13"/>
        </w:rPr>
        <w:t>(6 </w:t>
      </w:r>
      <w:r>
        <w:rPr>
          <w:w w:val="105"/>
          <w:sz w:val="13"/>
        </w:rPr>
        <w:t>September</w:t>
      </w:r>
      <w:r>
        <w:rPr>
          <w:spacing w:val="1"/>
          <w:w w:val="105"/>
          <w:sz w:val="13"/>
        </w:rPr>
        <w:t> </w:t>
      </w:r>
      <w:r>
        <w:rPr>
          <w:w w:val="105"/>
          <w:sz w:val="13"/>
        </w:rPr>
        <w:t>2010).</w:t>
      </w:r>
    </w:p>
    <w:p>
      <w:pPr>
        <w:pStyle w:val="ListParagraph"/>
        <w:numPr>
          <w:ilvl w:val="0"/>
          <w:numId w:val="40"/>
        </w:numPr>
        <w:tabs>
          <w:tab w:pos="2380" w:val="left" w:leader="none"/>
          <w:tab w:pos="2382" w:val="left" w:leader="none"/>
        </w:tabs>
        <w:spacing w:line="240" w:lineRule="auto" w:before="1" w:after="0"/>
        <w:ind w:left="2381" w:right="1597" w:hanging="794"/>
        <w:jc w:val="left"/>
        <w:rPr>
          <w:sz w:val="13"/>
        </w:rPr>
      </w:pPr>
      <w:r>
        <w:rPr>
          <w:i/>
          <w:w w:val="105"/>
          <w:sz w:val="13"/>
        </w:rPr>
        <w:t>Oakes v Oakes </w:t>
      </w:r>
      <w:r>
        <w:rPr>
          <w:w w:val="105"/>
          <w:sz w:val="13"/>
        </w:rPr>
        <w:t>[1852] 68 Eng Rep 680, </w:t>
      </w:r>
      <w:r>
        <w:rPr>
          <w:spacing w:val="2"/>
          <w:w w:val="105"/>
          <w:sz w:val="13"/>
        </w:rPr>
        <w:t>683; </w:t>
      </w:r>
      <w:r>
        <w:rPr>
          <w:i/>
          <w:w w:val="105"/>
          <w:sz w:val="13"/>
        </w:rPr>
        <w:t>Slater v Slater </w:t>
      </w:r>
      <w:r>
        <w:rPr>
          <w:w w:val="105"/>
          <w:sz w:val="13"/>
        </w:rPr>
        <w:t>[1907] 1 Ch 665, 672; </w:t>
      </w:r>
      <w:r>
        <w:rPr>
          <w:i/>
          <w:w w:val="105"/>
          <w:sz w:val="13"/>
        </w:rPr>
        <w:t>McBride v Hudson </w:t>
      </w:r>
      <w:r>
        <w:rPr>
          <w:w w:val="105"/>
          <w:sz w:val="13"/>
        </w:rPr>
        <w:t>(1962) 107 CLR </w:t>
      </w:r>
      <w:r>
        <w:rPr>
          <w:spacing w:val="3"/>
          <w:w w:val="105"/>
          <w:sz w:val="13"/>
        </w:rPr>
        <w:t>604; </w:t>
      </w:r>
      <w:r>
        <w:rPr>
          <w:i/>
          <w:w w:val="105"/>
          <w:sz w:val="13"/>
        </w:rPr>
        <w:t>Pohlner v Pfeiffer </w:t>
      </w:r>
      <w:r>
        <w:rPr>
          <w:w w:val="105"/>
          <w:sz w:val="13"/>
        </w:rPr>
        <w:t>(1964) </w:t>
      </w:r>
      <w:r>
        <w:rPr>
          <w:spacing w:val="-6"/>
          <w:w w:val="105"/>
          <w:sz w:val="13"/>
        </w:rPr>
        <w:t>112 </w:t>
      </w:r>
      <w:r>
        <w:rPr>
          <w:w w:val="105"/>
          <w:sz w:val="13"/>
        </w:rPr>
        <w:t>CLR 52, 79; </w:t>
      </w:r>
      <w:r>
        <w:rPr>
          <w:i/>
          <w:w w:val="105"/>
          <w:sz w:val="13"/>
        </w:rPr>
        <w:t>Re Blake </w:t>
      </w:r>
      <w:r>
        <w:rPr>
          <w:spacing w:val="2"/>
          <w:w w:val="105"/>
          <w:sz w:val="13"/>
        </w:rPr>
        <w:t>(2009) </w:t>
      </w:r>
      <w:r>
        <w:rPr>
          <w:w w:val="105"/>
          <w:sz w:val="13"/>
        </w:rPr>
        <w:t>25 VR </w:t>
      </w:r>
      <w:r>
        <w:rPr>
          <w:spacing w:val="-5"/>
          <w:w w:val="105"/>
          <w:sz w:val="13"/>
        </w:rPr>
        <w:t>27, </w:t>
      </w:r>
      <w:r>
        <w:rPr>
          <w:w w:val="105"/>
          <w:sz w:val="13"/>
        </w:rPr>
        <w:t>35 </w:t>
      </w:r>
      <w:r>
        <w:rPr>
          <w:spacing w:val="2"/>
          <w:w w:val="105"/>
          <w:sz w:val="13"/>
        </w:rPr>
        <w:t>[43]; </w:t>
      </w:r>
      <w:r>
        <w:rPr>
          <w:i/>
          <w:w w:val="105"/>
          <w:sz w:val="13"/>
        </w:rPr>
        <w:t>RL v NSW Trustee and Guardian </w:t>
      </w:r>
      <w:r>
        <w:rPr>
          <w:w w:val="105"/>
          <w:sz w:val="13"/>
        </w:rPr>
        <w:t>[2012] NSWCA 39 </w:t>
      </w:r>
      <w:r>
        <w:rPr>
          <w:spacing w:val="-3"/>
          <w:w w:val="105"/>
          <w:sz w:val="13"/>
        </w:rPr>
        <w:t>(19  </w:t>
      </w:r>
      <w:r>
        <w:rPr>
          <w:w w:val="105"/>
          <w:sz w:val="13"/>
        </w:rPr>
        <w:t>March 2012); </w:t>
      </w:r>
      <w:r>
        <w:rPr>
          <w:i/>
          <w:w w:val="105"/>
          <w:sz w:val="13"/>
        </w:rPr>
        <w:t>NSW Trustee</w:t>
      </w:r>
      <w:r>
        <w:rPr>
          <w:i/>
          <w:spacing w:val="30"/>
          <w:w w:val="105"/>
          <w:sz w:val="13"/>
        </w:rPr>
        <w:t> </w:t>
      </w:r>
      <w:r>
        <w:rPr>
          <w:i/>
          <w:w w:val="105"/>
          <w:sz w:val="13"/>
        </w:rPr>
        <w:t>and Guardian v Ritchie </w:t>
      </w:r>
      <w:r>
        <w:rPr>
          <w:spacing w:val="-3"/>
          <w:w w:val="105"/>
          <w:sz w:val="13"/>
        </w:rPr>
        <w:t>[2011] </w:t>
      </w:r>
      <w:r>
        <w:rPr>
          <w:w w:val="105"/>
          <w:sz w:val="13"/>
        </w:rPr>
        <w:t>NSWSC </w:t>
      </w:r>
      <w:r>
        <w:rPr>
          <w:spacing w:val="-4"/>
          <w:w w:val="105"/>
          <w:sz w:val="13"/>
        </w:rPr>
        <w:t>715 </w:t>
      </w:r>
      <w:r>
        <w:rPr>
          <w:w w:val="105"/>
          <w:sz w:val="13"/>
        </w:rPr>
        <w:t>(4 July</w:t>
      </w:r>
      <w:r>
        <w:rPr>
          <w:spacing w:val="19"/>
          <w:w w:val="105"/>
          <w:sz w:val="13"/>
        </w:rPr>
        <w:t> </w:t>
      </w:r>
      <w:r>
        <w:rPr>
          <w:spacing w:val="-2"/>
          <w:w w:val="105"/>
          <w:sz w:val="13"/>
        </w:rPr>
        <w:t>2011).</w:t>
      </w:r>
    </w:p>
    <w:p>
      <w:pPr>
        <w:pStyle w:val="ListParagraph"/>
        <w:numPr>
          <w:ilvl w:val="0"/>
          <w:numId w:val="40"/>
        </w:numPr>
        <w:tabs>
          <w:tab w:pos="2381" w:val="left" w:leader="none"/>
          <w:tab w:pos="2382" w:val="left" w:leader="none"/>
        </w:tabs>
        <w:spacing w:line="240" w:lineRule="auto" w:before="4" w:after="0"/>
        <w:ind w:left="2381" w:right="1675" w:hanging="794"/>
        <w:jc w:val="left"/>
        <w:rPr>
          <w:sz w:val="13"/>
        </w:rPr>
      </w:pPr>
      <w:r>
        <w:rPr>
          <w:spacing w:val="2"/>
          <w:w w:val="105"/>
          <w:sz w:val="13"/>
        </w:rPr>
        <w:t>Mary </w:t>
      </w:r>
      <w:r>
        <w:rPr>
          <w:w w:val="105"/>
          <w:sz w:val="13"/>
        </w:rPr>
        <w:t>Lundwall, </w:t>
      </w:r>
      <w:r>
        <w:rPr>
          <w:spacing w:val="2"/>
          <w:w w:val="105"/>
          <w:sz w:val="13"/>
        </w:rPr>
        <w:t>‘The </w:t>
      </w:r>
      <w:r>
        <w:rPr>
          <w:w w:val="105"/>
          <w:sz w:val="13"/>
        </w:rPr>
        <w:t>Case Against the Ademption by </w:t>
      </w:r>
      <w:r>
        <w:rPr>
          <w:spacing w:val="2"/>
          <w:w w:val="105"/>
          <w:sz w:val="13"/>
        </w:rPr>
        <w:t>Extinction </w:t>
      </w:r>
      <w:r>
        <w:rPr>
          <w:w w:val="105"/>
          <w:sz w:val="13"/>
        </w:rPr>
        <w:t>Rule: A Proposal for Reform’ (1993–94) 29 </w:t>
      </w:r>
      <w:r>
        <w:rPr>
          <w:i/>
          <w:w w:val="105"/>
          <w:sz w:val="13"/>
        </w:rPr>
        <w:t>Gonzaga Law Review </w:t>
      </w:r>
      <w:r>
        <w:rPr>
          <w:w w:val="105"/>
          <w:sz w:val="13"/>
        </w:rPr>
        <w:t>105, </w:t>
      </w:r>
      <w:r>
        <w:rPr>
          <w:spacing w:val="-5"/>
          <w:w w:val="105"/>
          <w:sz w:val="13"/>
        </w:rPr>
        <w:t>112; </w:t>
      </w:r>
      <w:r>
        <w:rPr>
          <w:w w:val="105"/>
          <w:sz w:val="13"/>
        </w:rPr>
        <w:t>Rosalind Croucher and Prue Vines, Succession: Families, </w:t>
      </w:r>
      <w:r>
        <w:rPr>
          <w:i/>
          <w:w w:val="105"/>
          <w:sz w:val="13"/>
        </w:rPr>
        <w:t>Property and Death: Text and Cases </w:t>
      </w:r>
      <w:r>
        <w:rPr>
          <w:spacing w:val="2"/>
          <w:w w:val="105"/>
          <w:sz w:val="13"/>
        </w:rPr>
        <w:t>(LexisNexis </w:t>
      </w:r>
      <w:r>
        <w:rPr>
          <w:w w:val="105"/>
          <w:sz w:val="13"/>
        </w:rPr>
        <w:t>Butterworths, 3rd ed, </w:t>
      </w:r>
      <w:r>
        <w:rPr>
          <w:spacing w:val="2"/>
          <w:w w:val="105"/>
          <w:sz w:val="13"/>
        </w:rPr>
        <w:t>2009) </w:t>
      </w:r>
      <w:r>
        <w:rPr>
          <w:w w:val="105"/>
          <w:sz w:val="13"/>
        </w:rPr>
        <w:t>470; Note, ‘Ademption and the Testator’s Intent’ (1961) </w:t>
      </w:r>
      <w:r>
        <w:rPr>
          <w:spacing w:val="-3"/>
          <w:w w:val="105"/>
          <w:sz w:val="13"/>
        </w:rPr>
        <w:t>74 </w:t>
      </w:r>
      <w:r>
        <w:rPr>
          <w:i/>
          <w:w w:val="105"/>
          <w:sz w:val="13"/>
        </w:rPr>
        <w:t>Harvard Law Review</w:t>
      </w:r>
      <w:r>
        <w:rPr>
          <w:i/>
          <w:spacing w:val="5"/>
          <w:w w:val="105"/>
          <w:sz w:val="13"/>
        </w:rPr>
        <w:t> </w:t>
      </w:r>
      <w:r>
        <w:rPr>
          <w:spacing w:val="-5"/>
          <w:w w:val="105"/>
          <w:sz w:val="13"/>
        </w:rPr>
        <w:t>741, </w:t>
      </w:r>
      <w:r>
        <w:rPr>
          <w:w w:val="105"/>
          <w:sz w:val="13"/>
        </w:rPr>
        <w:t>744.</w:t>
      </w:r>
    </w:p>
    <w:p>
      <w:pPr>
        <w:pStyle w:val="ListParagraph"/>
        <w:numPr>
          <w:ilvl w:val="0"/>
          <w:numId w:val="40"/>
        </w:numPr>
        <w:tabs>
          <w:tab w:pos="2381" w:val="left" w:leader="none"/>
          <w:tab w:pos="2382" w:val="left" w:leader="none"/>
        </w:tabs>
        <w:spacing w:line="240" w:lineRule="auto" w:before="4" w:after="0"/>
        <w:ind w:left="2381" w:right="1632" w:hanging="794"/>
        <w:jc w:val="left"/>
        <w:rPr>
          <w:sz w:val="13"/>
        </w:rPr>
      </w:pPr>
      <w:r>
        <w:rPr>
          <w:i/>
          <w:w w:val="105"/>
          <w:sz w:val="13"/>
        </w:rPr>
        <w:t>Jenkins v Jones </w:t>
      </w:r>
      <w:r>
        <w:rPr>
          <w:w w:val="105"/>
          <w:sz w:val="13"/>
        </w:rPr>
        <w:t>(1866) LR 2 Eq 323, 328; </w:t>
      </w:r>
      <w:r>
        <w:rPr>
          <w:i/>
          <w:w w:val="105"/>
          <w:sz w:val="13"/>
        </w:rPr>
        <w:t>Earl of Shaftsbury v Countess of Shaftsbury </w:t>
      </w:r>
      <w:r>
        <w:rPr>
          <w:spacing w:val="-3"/>
          <w:w w:val="105"/>
          <w:sz w:val="13"/>
        </w:rPr>
        <w:t>[1716]  </w:t>
      </w:r>
      <w:r>
        <w:rPr>
          <w:w w:val="105"/>
          <w:sz w:val="13"/>
        </w:rPr>
        <w:t>2 Vern 748; </w:t>
      </w:r>
      <w:r>
        <w:rPr>
          <w:i/>
          <w:w w:val="105"/>
          <w:sz w:val="13"/>
        </w:rPr>
        <w:t>Power v Power </w:t>
      </w:r>
      <w:r>
        <w:rPr>
          <w:spacing w:val="-3"/>
          <w:w w:val="105"/>
          <w:sz w:val="13"/>
        </w:rPr>
        <w:t>[2011]  </w:t>
      </w:r>
      <w:r>
        <w:rPr>
          <w:w w:val="105"/>
          <w:sz w:val="13"/>
        </w:rPr>
        <w:t>NSWSC 288     </w:t>
      </w:r>
      <w:r>
        <w:rPr>
          <w:spacing w:val="-3"/>
          <w:w w:val="105"/>
          <w:sz w:val="13"/>
        </w:rPr>
        <w:t>(14</w:t>
      </w:r>
      <w:r>
        <w:rPr>
          <w:spacing w:val="7"/>
          <w:w w:val="105"/>
          <w:sz w:val="13"/>
        </w:rPr>
        <w:t> </w:t>
      </w:r>
      <w:r>
        <w:rPr>
          <w:w w:val="105"/>
          <w:sz w:val="13"/>
        </w:rPr>
        <w:t>April</w:t>
      </w:r>
      <w:r>
        <w:rPr>
          <w:spacing w:val="8"/>
          <w:w w:val="105"/>
          <w:sz w:val="13"/>
        </w:rPr>
        <w:t> </w:t>
      </w:r>
      <w:r>
        <w:rPr>
          <w:w w:val="105"/>
          <w:sz w:val="13"/>
        </w:rPr>
        <w:t>2011);</w:t>
      </w:r>
      <w:r>
        <w:rPr>
          <w:spacing w:val="7"/>
          <w:w w:val="105"/>
          <w:sz w:val="13"/>
        </w:rPr>
        <w:t> </w:t>
      </w:r>
      <w:r>
        <w:rPr>
          <w:i/>
          <w:w w:val="105"/>
          <w:sz w:val="13"/>
        </w:rPr>
        <w:t>Johnston</w:t>
      </w:r>
      <w:r>
        <w:rPr>
          <w:i/>
          <w:spacing w:val="7"/>
          <w:w w:val="105"/>
          <w:sz w:val="13"/>
        </w:rPr>
        <w:t> </w:t>
      </w:r>
      <w:r>
        <w:rPr>
          <w:i/>
          <w:w w:val="105"/>
          <w:sz w:val="13"/>
        </w:rPr>
        <w:t>v</w:t>
      </w:r>
      <w:r>
        <w:rPr>
          <w:i/>
          <w:spacing w:val="6"/>
          <w:w w:val="105"/>
          <w:sz w:val="13"/>
        </w:rPr>
        <w:t> </w:t>
      </w:r>
      <w:r>
        <w:rPr>
          <w:i/>
          <w:w w:val="105"/>
          <w:sz w:val="13"/>
        </w:rPr>
        <w:t>Maclarn</w:t>
      </w:r>
      <w:r>
        <w:rPr>
          <w:i/>
          <w:spacing w:val="7"/>
          <w:w w:val="105"/>
          <w:sz w:val="13"/>
        </w:rPr>
        <w:t> </w:t>
      </w:r>
      <w:r>
        <w:rPr>
          <w:w w:val="105"/>
          <w:sz w:val="13"/>
        </w:rPr>
        <w:t>[2002]</w:t>
      </w:r>
      <w:r>
        <w:rPr>
          <w:spacing w:val="7"/>
          <w:w w:val="105"/>
          <w:sz w:val="13"/>
        </w:rPr>
        <w:t> </w:t>
      </w:r>
      <w:r>
        <w:rPr>
          <w:w w:val="105"/>
          <w:sz w:val="13"/>
        </w:rPr>
        <w:t>NSWSC</w:t>
      </w:r>
      <w:r>
        <w:rPr>
          <w:spacing w:val="8"/>
          <w:w w:val="105"/>
          <w:sz w:val="13"/>
        </w:rPr>
        <w:t> </w:t>
      </w:r>
      <w:r>
        <w:rPr>
          <w:w w:val="105"/>
          <w:sz w:val="13"/>
        </w:rPr>
        <w:t>97</w:t>
      </w:r>
      <w:r>
        <w:rPr>
          <w:spacing w:val="7"/>
          <w:w w:val="105"/>
          <w:sz w:val="13"/>
        </w:rPr>
        <w:t> </w:t>
      </w:r>
      <w:r>
        <w:rPr>
          <w:w w:val="105"/>
          <w:sz w:val="13"/>
        </w:rPr>
        <w:t>(27</w:t>
      </w:r>
      <w:r>
        <w:rPr>
          <w:spacing w:val="8"/>
          <w:w w:val="105"/>
          <w:sz w:val="13"/>
        </w:rPr>
        <w:t> </w:t>
      </w:r>
      <w:r>
        <w:rPr>
          <w:w w:val="105"/>
          <w:sz w:val="13"/>
        </w:rPr>
        <w:t>February</w:t>
      </w:r>
      <w:r>
        <w:rPr>
          <w:spacing w:val="7"/>
          <w:w w:val="105"/>
          <w:sz w:val="13"/>
        </w:rPr>
        <w:t> </w:t>
      </w:r>
      <w:r>
        <w:rPr>
          <w:w w:val="105"/>
          <w:sz w:val="13"/>
        </w:rPr>
        <w:t>2002)</w:t>
      </w:r>
      <w:r>
        <w:rPr>
          <w:spacing w:val="8"/>
          <w:w w:val="105"/>
          <w:sz w:val="13"/>
        </w:rPr>
        <w:t> </w:t>
      </w:r>
      <w:r>
        <w:rPr>
          <w:w w:val="105"/>
          <w:sz w:val="13"/>
        </w:rPr>
        <w:t>[17];</w:t>
      </w:r>
      <w:r>
        <w:rPr>
          <w:spacing w:val="7"/>
          <w:w w:val="105"/>
          <w:sz w:val="13"/>
        </w:rPr>
        <w:t> </w:t>
      </w:r>
      <w:r>
        <w:rPr>
          <w:i/>
          <w:w w:val="105"/>
          <w:sz w:val="13"/>
        </w:rPr>
        <w:t>Banks</w:t>
      </w:r>
      <w:r>
        <w:rPr>
          <w:i/>
          <w:spacing w:val="7"/>
          <w:w w:val="105"/>
          <w:sz w:val="13"/>
        </w:rPr>
        <w:t> </w:t>
      </w:r>
      <w:r>
        <w:rPr>
          <w:i/>
          <w:w w:val="105"/>
          <w:sz w:val="13"/>
        </w:rPr>
        <w:t>v</w:t>
      </w:r>
      <w:r>
        <w:rPr>
          <w:i/>
          <w:spacing w:val="6"/>
          <w:w w:val="105"/>
          <w:sz w:val="13"/>
        </w:rPr>
        <w:t> </w:t>
      </w:r>
      <w:r>
        <w:rPr>
          <w:i/>
          <w:w w:val="105"/>
          <w:sz w:val="13"/>
        </w:rPr>
        <w:t>National</w:t>
      </w:r>
      <w:r>
        <w:rPr>
          <w:i/>
          <w:spacing w:val="7"/>
          <w:w w:val="105"/>
          <w:sz w:val="13"/>
        </w:rPr>
        <w:t> </w:t>
      </w:r>
      <w:r>
        <w:rPr>
          <w:i/>
          <w:w w:val="105"/>
          <w:sz w:val="13"/>
        </w:rPr>
        <w:t>Westminster</w:t>
      </w:r>
      <w:r>
        <w:rPr>
          <w:i/>
          <w:spacing w:val="6"/>
          <w:w w:val="105"/>
          <w:sz w:val="13"/>
        </w:rPr>
        <w:t> </w:t>
      </w:r>
      <w:r>
        <w:rPr>
          <w:i/>
          <w:w w:val="105"/>
          <w:sz w:val="13"/>
        </w:rPr>
        <w:t>Bank</w:t>
      </w:r>
      <w:r>
        <w:rPr>
          <w:i/>
          <w:spacing w:val="8"/>
          <w:w w:val="105"/>
          <w:sz w:val="13"/>
        </w:rPr>
        <w:t> </w:t>
      </w:r>
      <w:r>
        <w:rPr>
          <w:w w:val="105"/>
          <w:sz w:val="13"/>
        </w:rPr>
        <w:t>[2005]</w:t>
      </w:r>
      <w:r>
        <w:rPr>
          <w:spacing w:val="7"/>
          <w:w w:val="105"/>
          <w:sz w:val="13"/>
        </w:rPr>
        <w:t> </w:t>
      </w:r>
      <w:r>
        <w:rPr>
          <w:spacing w:val="2"/>
          <w:w w:val="105"/>
          <w:sz w:val="13"/>
        </w:rPr>
        <w:t>EWHC</w:t>
      </w:r>
      <w:r>
        <w:rPr>
          <w:spacing w:val="8"/>
          <w:w w:val="105"/>
          <w:sz w:val="13"/>
        </w:rPr>
        <w:t> </w:t>
      </w:r>
      <w:r>
        <w:rPr>
          <w:w w:val="105"/>
          <w:sz w:val="13"/>
        </w:rPr>
        <w:t>3479</w:t>
      </w:r>
      <w:r>
        <w:rPr>
          <w:spacing w:val="8"/>
          <w:w w:val="105"/>
          <w:sz w:val="13"/>
        </w:rPr>
        <w:t> </w:t>
      </w:r>
      <w:r>
        <w:rPr>
          <w:w w:val="105"/>
          <w:sz w:val="13"/>
        </w:rPr>
        <w:t>(Ch)</w:t>
      </w:r>
    </w:p>
    <w:p>
      <w:pPr>
        <w:spacing w:before="3"/>
        <w:ind w:left="2381" w:right="0" w:firstLine="0"/>
        <w:jc w:val="left"/>
        <w:rPr>
          <w:sz w:val="13"/>
        </w:rPr>
      </w:pPr>
      <w:r>
        <w:rPr>
          <w:w w:val="105"/>
          <w:sz w:val="13"/>
        </w:rPr>
        <w:t>[10], [29]; </w:t>
      </w:r>
      <w:r>
        <w:rPr>
          <w:i/>
          <w:w w:val="105"/>
          <w:sz w:val="13"/>
        </w:rPr>
        <w:t>RL v NSW Trustee and Guardian </w:t>
      </w:r>
      <w:r>
        <w:rPr>
          <w:w w:val="105"/>
          <w:sz w:val="13"/>
        </w:rPr>
        <w:t>[2012] NSWCA 39 (19 March 2012).</w:t>
      </w:r>
    </w:p>
    <w:p>
      <w:pPr>
        <w:pStyle w:val="ListParagraph"/>
        <w:numPr>
          <w:ilvl w:val="0"/>
          <w:numId w:val="40"/>
        </w:numPr>
        <w:tabs>
          <w:tab w:pos="2381" w:val="left" w:leader="none"/>
          <w:tab w:pos="2382" w:val="left" w:leader="none"/>
        </w:tabs>
        <w:spacing w:line="240" w:lineRule="auto" w:before="1" w:after="0"/>
        <w:ind w:left="2381" w:right="0" w:hanging="794"/>
        <w:jc w:val="left"/>
        <w:rPr>
          <w:sz w:val="13"/>
        </w:rPr>
      </w:pPr>
      <w:r>
        <w:rPr>
          <w:i/>
          <w:w w:val="105"/>
          <w:sz w:val="13"/>
        </w:rPr>
        <w:t>Power v Power </w:t>
      </w:r>
      <w:r>
        <w:rPr>
          <w:spacing w:val="-3"/>
          <w:w w:val="105"/>
          <w:sz w:val="13"/>
        </w:rPr>
        <w:t>[2011] </w:t>
      </w:r>
      <w:r>
        <w:rPr>
          <w:w w:val="105"/>
          <w:sz w:val="13"/>
        </w:rPr>
        <w:t>NSWSC 288 </w:t>
      </w:r>
      <w:r>
        <w:rPr>
          <w:spacing w:val="-3"/>
          <w:w w:val="105"/>
          <w:sz w:val="13"/>
        </w:rPr>
        <w:t>(14</w:t>
      </w:r>
      <w:r>
        <w:rPr>
          <w:spacing w:val="11"/>
          <w:w w:val="105"/>
          <w:sz w:val="13"/>
        </w:rPr>
        <w:t> </w:t>
      </w:r>
      <w:r>
        <w:rPr>
          <w:w w:val="105"/>
          <w:sz w:val="13"/>
        </w:rPr>
        <w:t>April </w:t>
      </w:r>
      <w:r>
        <w:rPr>
          <w:spacing w:val="-2"/>
          <w:w w:val="105"/>
          <w:sz w:val="13"/>
        </w:rPr>
        <w:t>2011).</w:t>
      </w:r>
    </w:p>
    <w:p>
      <w:pPr>
        <w:pStyle w:val="ListParagraph"/>
        <w:numPr>
          <w:ilvl w:val="0"/>
          <w:numId w:val="40"/>
        </w:numPr>
        <w:tabs>
          <w:tab w:pos="2381" w:val="left" w:leader="none"/>
          <w:tab w:pos="2382" w:val="left" w:leader="none"/>
        </w:tabs>
        <w:spacing w:line="240" w:lineRule="auto" w:before="1" w:after="0"/>
        <w:ind w:left="2381" w:right="0" w:hanging="794"/>
        <w:jc w:val="left"/>
        <w:rPr>
          <w:sz w:val="13"/>
        </w:rPr>
      </w:pPr>
      <w:r>
        <w:rPr>
          <w:spacing w:val="2"/>
          <w:w w:val="105"/>
          <w:sz w:val="13"/>
        </w:rPr>
        <w:t>Alberta</w:t>
      </w:r>
      <w:r>
        <w:rPr>
          <w:spacing w:val="4"/>
          <w:w w:val="105"/>
          <w:sz w:val="13"/>
        </w:rPr>
        <w:t> </w:t>
      </w:r>
      <w:r>
        <w:rPr>
          <w:w w:val="105"/>
          <w:sz w:val="13"/>
        </w:rPr>
        <w:t>Law</w:t>
      </w:r>
      <w:r>
        <w:rPr>
          <w:spacing w:val="5"/>
          <w:w w:val="105"/>
          <w:sz w:val="13"/>
        </w:rPr>
        <w:t> </w:t>
      </w:r>
      <w:r>
        <w:rPr>
          <w:w w:val="105"/>
          <w:sz w:val="13"/>
        </w:rPr>
        <w:t>Reform</w:t>
      </w:r>
      <w:r>
        <w:rPr>
          <w:spacing w:val="5"/>
          <w:w w:val="105"/>
          <w:sz w:val="13"/>
        </w:rPr>
        <w:t> </w:t>
      </w:r>
      <w:r>
        <w:rPr>
          <w:w w:val="105"/>
          <w:sz w:val="13"/>
        </w:rPr>
        <w:t>Institute,</w:t>
      </w:r>
      <w:r>
        <w:rPr>
          <w:spacing w:val="5"/>
          <w:w w:val="105"/>
          <w:sz w:val="13"/>
        </w:rPr>
        <w:t> </w:t>
      </w:r>
      <w:r>
        <w:rPr>
          <w:w w:val="105"/>
          <w:sz w:val="13"/>
        </w:rPr>
        <w:t>above</w:t>
      </w:r>
      <w:r>
        <w:rPr>
          <w:spacing w:val="5"/>
          <w:w w:val="105"/>
          <w:sz w:val="13"/>
        </w:rPr>
        <w:t> </w:t>
      </w:r>
      <w:r>
        <w:rPr>
          <w:w w:val="105"/>
          <w:sz w:val="13"/>
        </w:rPr>
        <w:t>n</w:t>
      </w:r>
      <w:r>
        <w:rPr>
          <w:spacing w:val="4"/>
          <w:w w:val="105"/>
          <w:sz w:val="13"/>
        </w:rPr>
        <w:t> </w:t>
      </w:r>
      <w:r>
        <w:rPr>
          <w:w w:val="105"/>
          <w:sz w:val="13"/>
        </w:rPr>
        <w:t>6,</w:t>
      </w:r>
      <w:r>
        <w:rPr>
          <w:spacing w:val="5"/>
          <w:w w:val="105"/>
          <w:sz w:val="13"/>
        </w:rPr>
        <w:t> </w:t>
      </w:r>
      <w:r>
        <w:rPr>
          <w:w w:val="105"/>
          <w:sz w:val="13"/>
        </w:rPr>
        <w:t>153;</w:t>
      </w:r>
      <w:r>
        <w:rPr>
          <w:spacing w:val="5"/>
          <w:w w:val="105"/>
          <w:sz w:val="13"/>
        </w:rPr>
        <w:t> </w:t>
      </w:r>
      <w:r>
        <w:rPr>
          <w:w w:val="105"/>
          <w:sz w:val="13"/>
        </w:rPr>
        <w:t>Note,</w:t>
      </w:r>
      <w:r>
        <w:rPr>
          <w:spacing w:val="5"/>
          <w:w w:val="105"/>
          <w:sz w:val="13"/>
        </w:rPr>
        <w:t> </w:t>
      </w:r>
      <w:r>
        <w:rPr>
          <w:w w:val="105"/>
          <w:sz w:val="13"/>
        </w:rPr>
        <w:t>‘Ademption</w:t>
      </w:r>
      <w:r>
        <w:rPr>
          <w:spacing w:val="5"/>
          <w:w w:val="105"/>
          <w:sz w:val="13"/>
        </w:rPr>
        <w:t> </w:t>
      </w:r>
      <w:r>
        <w:rPr>
          <w:w w:val="105"/>
          <w:sz w:val="13"/>
        </w:rPr>
        <w:t>and</w:t>
      </w:r>
      <w:r>
        <w:rPr>
          <w:spacing w:val="4"/>
          <w:w w:val="105"/>
          <w:sz w:val="13"/>
        </w:rPr>
        <w:t> </w:t>
      </w:r>
      <w:r>
        <w:rPr>
          <w:w w:val="105"/>
          <w:sz w:val="13"/>
        </w:rPr>
        <w:t>the</w:t>
      </w:r>
      <w:r>
        <w:rPr>
          <w:spacing w:val="5"/>
          <w:w w:val="105"/>
          <w:sz w:val="13"/>
        </w:rPr>
        <w:t> </w:t>
      </w:r>
      <w:r>
        <w:rPr>
          <w:w w:val="105"/>
          <w:sz w:val="13"/>
        </w:rPr>
        <w:t>Testator’s</w:t>
      </w:r>
      <w:r>
        <w:rPr>
          <w:spacing w:val="5"/>
          <w:w w:val="105"/>
          <w:sz w:val="13"/>
        </w:rPr>
        <w:t> </w:t>
      </w:r>
      <w:r>
        <w:rPr>
          <w:w w:val="105"/>
          <w:sz w:val="13"/>
        </w:rPr>
        <w:t>Intent’</w:t>
      </w:r>
      <w:r>
        <w:rPr>
          <w:spacing w:val="5"/>
          <w:w w:val="105"/>
          <w:sz w:val="13"/>
        </w:rPr>
        <w:t> </w:t>
      </w:r>
      <w:r>
        <w:rPr>
          <w:w w:val="105"/>
          <w:sz w:val="13"/>
        </w:rPr>
        <w:t>(1961)</w:t>
      </w:r>
      <w:r>
        <w:rPr>
          <w:spacing w:val="5"/>
          <w:w w:val="105"/>
          <w:sz w:val="13"/>
        </w:rPr>
        <w:t> </w:t>
      </w:r>
      <w:r>
        <w:rPr>
          <w:spacing w:val="-3"/>
          <w:w w:val="105"/>
          <w:sz w:val="13"/>
        </w:rPr>
        <w:t>74</w:t>
      </w:r>
      <w:r>
        <w:rPr>
          <w:spacing w:val="4"/>
          <w:w w:val="105"/>
          <w:sz w:val="13"/>
        </w:rPr>
        <w:t> </w:t>
      </w:r>
      <w:r>
        <w:rPr>
          <w:i/>
          <w:w w:val="105"/>
          <w:sz w:val="13"/>
        </w:rPr>
        <w:t>Harvard</w:t>
      </w:r>
      <w:r>
        <w:rPr>
          <w:i/>
          <w:spacing w:val="4"/>
          <w:w w:val="105"/>
          <w:sz w:val="13"/>
        </w:rPr>
        <w:t> </w:t>
      </w:r>
      <w:r>
        <w:rPr>
          <w:i/>
          <w:w w:val="105"/>
          <w:sz w:val="13"/>
        </w:rPr>
        <w:t>Law</w:t>
      </w:r>
      <w:r>
        <w:rPr>
          <w:i/>
          <w:spacing w:val="4"/>
          <w:w w:val="105"/>
          <w:sz w:val="13"/>
        </w:rPr>
        <w:t> </w:t>
      </w:r>
      <w:r>
        <w:rPr>
          <w:i/>
          <w:w w:val="105"/>
          <w:sz w:val="13"/>
        </w:rPr>
        <w:t>Review</w:t>
      </w:r>
      <w:r>
        <w:rPr>
          <w:i/>
          <w:spacing w:val="5"/>
          <w:w w:val="105"/>
          <w:sz w:val="13"/>
        </w:rPr>
        <w:t> </w:t>
      </w:r>
      <w:r>
        <w:rPr>
          <w:spacing w:val="-5"/>
          <w:w w:val="105"/>
          <w:sz w:val="13"/>
        </w:rPr>
        <w:t>741,</w:t>
      </w:r>
      <w:r>
        <w:rPr>
          <w:spacing w:val="5"/>
          <w:w w:val="105"/>
          <w:sz w:val="13"/>
        </w:rPr>
        <w:t> </w:t>
      </w:r>
      <w:r>
        <w:rPr>
          <w:spacing w:val="-5"/>
          <w:w w:val="105"/>
          <w:sz w:val="13"/>
        </w:rPr>
        <w:t>741.</w:t>
      </w:r>
    </w:p>
    <w:p>
      <w:pPr>
        <w:pStyle w:val="ListParagraph"/>
        <w:numPr>
          <w:ilvl w:val="0"/>
          <w:numId w:val="40"/>
        </w:numPr>
        <w:tabs>
          <w:tab w:pos="2381" w:val="left" w:leader="none"/>
          <w:tab w:pos="2382" w:val="left" w:leader="none"/>
        </w:tabs>
        <w:spacing w:line="240" w:lineRule="auto" w:before="2" w:after="0"/>
        <w:ind w:left="2381" w:right="0" w:hanging="794"/>
        <w:jc w:val="left"/>
        <w:rPr>
          <w:sz w:val="13"/>
        </w:rPr>
      </w:pPr>
      <w:r>
        <w:rPr>
          <w:w w:val="105"/>
          <w:sz w:val="13"/>
        </w:rPr>
        <w:t>Victorian Law Reform Commission, </w:t>
      </w:r>
      <w:r>
        <w:rPr>
          <w:i/>
          <w:w w:val="105"/>
          <w:sz w:val="13"/>
        </w:rPr>
        <w:t>Succession Laws: Wills</w:t>
      </w:r>
      <w:r>
        <w:rPr>
          <w:w w:val="105"/>
          <w:sz w:val="13"/>
        </w:rPr>
        <w:t>, Consultation Paper No </w:t>
      </w:r>
      <w:r>
        <w:rPr>
          <w:spacing w:val="-6"/>
          <w:w w:val="105"/>
          <w:sz w:val="13"/>
        </w:rPr>
        <w:t>11 </w:t>
      </w:r>
      <w:r>
        <w:rPr>
          <w:w w:val="105"/>
          <w:sz w:val="13"/>
        </w:rPr>
        <w:t>(2012)</w:t>
      </w:r>
      <w:r>
        <w:rPr>
          <w:spacing w:val="7"/>
          <w:w w:val="105"/>
          <w:sz w:val="13"/>
        </w:rPr>
        <w:t> </w:t>
      </w:r>
      <w:r>
        <w:rPr>
          <w:spacing w:val="2"/>
          <w:w w:val="105"/>
          <w:sz w:val="13"/>
        </w:rPr>
        <w:t>48.</w:t>
      </w:r>
    </w:p>
    <w:p>
      <w:pPr>
        <w:pStyle w:val="ListParagraph"/>
        <w:numPr>
          <w:ilvl w:val="0"/>
          <w:numId w:val="40"/>
        </w:numPr>
        <w:tabs>
          <w:tab w:pos="2381" w:val="left" w:leader="none"/>
          <w:tab w:pos="2382" w:val="left" w:leader="none"/>
        </w:tabs>
        <w:spacing w:line="240" w:lineRule="auto" w:before="1" w:after="0"/>
        <w:ind w:left="2381" w:right="1802" w:hanging="793"/>
        <w:jc w:val="left"/>
        <w:rPr>
          <w:sz w:val="13"/>
        </w:rPr>
      </w:pPr>
      <w:r>
        <w:rPr/>
        <w:pict>
          <v:shape style="position:absolute;margin-left:36pt;margin-top:11.581366pt;width:13.55pt;height:14.25pt;mso-position-horizontal-relative:page;mso-position-vertical-relative:paragraph;z-index:3856" type="#_x0000_t202" filled="false" stroked="false">
            <v:textbox inset="0,0,0,0">
              <w:txbxContent>
                <w:p>
                  <w:pPr>
                    <w:spacing w:line="284" w:lineRule="exact" w:before="0"/>
                    <w:ind w:left="0" w:right="0" w:firstLine="0"/>
                    <w:jc w:val="left"/>
                    <w:rPr>
                      <w:b/>
                      <w:sz w:val="24"/>
                    </w:rPr>
                  </w:pPr>
                  <w:r>
                    <w:rPr>
                      <w:b/>
                      <w:color w:val="EC5A4F"/>
                      <w:w w:val="110"/>
                      <w:sz w:val="24"/>
                    </w:rPr>
                    <w:t>38</w:t>
                  </w:r>
                </w:p>
              </w:txbxContent>
            </v:textbox>
            <w10:wrap type="none"/>
          </v:shape>
        </w:pict>
      </w:r>
      <w:r>
        <w:rPr>
          <w:w w:val="105"/>
          <w:sz w:val="13"/>
        </w:rPr>
        <w:t>Those in favour of an intention approach with a presumption against ademption included: submissions 8 (Patricia Strachan); 25 </w:t>
      </w:r>
      <w:r>
        <w:rPr>
          <w:spacing w:val="2"/>
          <w:w w:val="105"/>
          <w:sz w:val="13"/>
        </w:rPr>
        <w:t>(Moores </w:t>
      </w:r>
      <w:r>
        <w:rPr>
          <w:w w:val="105"/>
          <w:sz w:val="13"/>
        </w:rPr>
        <w:t>Legal). Those in favour of an intention approach with a presumption in favour of ademption included submissions </w:t>
      </w:r>
      <w:r>
        <w:rPr>
          <w:spacing w:val="-3"/>
          <w:w w:val="105"/>
          <w:sz w:val="13"/>
        </w:rPr>
        <w:t>14 </w:t>
      </w:r>
      <w:r>
        <w:rPr>
          <w:w w:val="105"/>
          <w:sz w:val="13"/>
        </w:rPr>
        <w:t>(Commercial Bar </w:t>
      </w:r>
      <w:r>
        <w:rPr>
          <w:spacing w:val="2"/>
          <w:w w:val="105"/>
          <w:sz w:val="13"/>
        </w:rPr>
        <w:t>Association) </w:t>
      </w:r>
      <w:r>
        <w:rPr>
          <w:w w:val="105"/>
          <w:sz w:val="13"/>
        </w:rPr>
        <w:t>and 32 </w:t>
      </w:r>
      <w:r>
        <w:rPr>
          <w:spacing w:val="2"/>
          <w:w w:val="105"/>
          <w:sz w:val="13"/>
        </w:rPr>
        <w:t>(The </w:t>
      </w:r>
      <w:r>
        <w:rPr>
          <w:w w:val="105"/>
          <w:sz w:val="13"/>
        </w:rPr>
        <w:t>Institute of Legal</w:t>
      </w:r>
      <w:r>
        <w:rPr>
          <w:spacing w:val="27"/>
          <w:w w:val="105"/>
          <w:sz w:val="13"/>
        </w:rPr>
        <w:t> </w:t>
      </w:r>
      <w:r>
        <w:rPr>
          <w:w w:val="105"/>
          <w:sz w:val="13"/>
        </w:rPr>
        <w:t>Executives).</w:t>
      </w:r>
    </w:p>
    <w:p>
      <w:pPr>
        <w:spacing w:after="0" w:line="240" w:lineRule="auto"/>
        <w:jc w:val="left"/>
        <w:rPr>
          <w:sz w:val="13"/>
        </w:rPr>
        <w:sectPr>
          <w:pgSz w:w="11910" w:h="16840"/>
          <w:pgMar w:header="550" w:footer="0" w:top="1560" w:bottom="280" w:left="0" w:right="0"/>
        </w:sectPr>
      </w:pPr>
    </w:p>
    <w:p>
      <w:pPr>
        <w:pStyle w:val="BodyText"/>
        <w:rPr>
          <w:sz w:val="20"/>
        </w:rPr>
      </w:pPr>
    </w:p>
    <w:p>
      <w:pPr>
        <w:pStyle w:val="BodyText"/>
        <w:rPr>
          <w:sz w:val="19"/>
        </w:rPr>
      </w:pPr>
    </w:p>
    <w:p>
      <w:pPr>
        <w:pStyle w:val="ListParagraph"/>
        <w:numPr>
          <w:ilvl w:val="1"/>
          <w:numId w:val="40"/>
        </w:numPr>
        <w:tabs>
          <w:tab w:pos="2721" w:val="left" w:leader="none"/>
          <w:tab w:pos="2722" w:val="left" w:leader="none"/>
        </w:tabs>
        <w:spacing w:line="240" w:lineRule="auto" w:before="91" w:after="0"/>
        <w:ind w:left="2721" w:right="0" w:hanging="340"/>
        <w:jc w:val="left"/>
        <w:rPr>
          <w:sz w:val="12"/>
        </w:rPr>
      </w:pPr>
      <w:r>
        <w:rPr>
          <w:w w:val="105"/>
          <w:sz w:val="21"/>
        </w:rPr>
        <w:t>An </w:t>
      </w:r>
      <w:r>
        <w:rPr>
          <w:spacing w:val="-3"/>
          <w:w w:val="105"/>
          <w:sz w:val="21"/>
        </w:rPr>
        <w:t>intention </w:t>
      </w:r>
      <w:r>
        <w:rPr>
          <w:w w:val="105"/>
          <w:sz w:val="21"/>
        </w:rPr>
        <w:t>approach would be based on evidence of the </w:t>
      </w:r>
      <w:r>
        <w:rPr>
          <w:spacing w:val="-3"/>
          <w:w w:val="105"/>
          <w:sz w:val="21"/>
        </w:rPr>
        <w:t>will-maker’s</w:t>
      </w:r>
      <w:r>
        <w:rPr>
          <w:spacing w:val="40"/>
          <w:w w:val="105"/>
          <w:sz w:val="21"/>
        </w:rPr>
        <w:t> </w:t>
      </w:r>
      <w:r>
        <w:rPr>
          <w:spacing w:val="-6"/>
          <w:w w:val="105"/>
          <w:sz w:val="21"/>
        </w:rPr>
        <w:t>intention.</w:t>
      </w:r>
      <w:r>
        <w:rPr>
          <w:spacing w:val="-6"/>
          <w:w w:val="105"/>
          <w:position w:val="7"/>
          <w:sz w:val="12"/>
        </w:rPr>
        <w:t>17</w:t>
      </w:r>
    </w:p>
    <w:p>
      <w:pPr>
        <w:pStyle w:val="ListParagraph"/>
        <w:numPr>
          <w:ilvl w:val="1"/>
          <w:numId w:val="40"/>
        </w:numPr>
        <w:tabs>
          <w:tab w:pos="2721" w:val="left" w:leader="none"/>
          <w:tab w:pos="2722" w:val="left" w:leader="none"/>
        </w:tabs>
        <w:spacing w:line="242" w:lineRule="auto" w:before="124" w:after="0"/>
        <w:ind w:left="2721" w:right="2159" w:hanging="340"/>
        <w:jc w:val="left"/>
        <w:rPr>
          <w:sz w:val="12"/>
        </w:rPr>
      </w:pPr>
      <w:r>
        <w:rPr>
          <w:w w:val="105"/>
          <w:sz w:val="21"/>
        </w:rPr>
        <w:t>A </w:t>
      </w:r>
      <w:r>
        <w:rPr>
          <w:spacing w:val="-3"/>
          <w:w w:val="105"/>
          <w:sz w:val="21"/>
        </w:rPr>
        <w:t>presumption against </w:t>
      </w:r>
      <w:r>
        <w:rPr>
          <w:w w:val="105"/>
          <w:sz w:val="21"/>
        </w:rPr>
        <w:t>ademption would </w:t>
      </w:r>
      <w:r>
        <w:rPr>
          <w:spacing w:val="-3"/>
          <w:w w:val="105"/>
          <w:sz w:val="21"/>
        </w:rPr>
        <w:t>remove </w:t>
      </w:r>
      <w:r>
        <w:rPr>
          <w:w w:val="105"/>
          <w:sz w:val="21"/>
        </w:rPr>
        <w:t>the need </w:t>
      </w:r>
      <w:r>
        <w:rPr>
          <w:spacing w:val="-3"/>
          <w:w w:val="105"/>
          <w:sz w:val="21"/>
        </w:rPr>
        <w:t>to </w:t>
      </w:r>
      <w:r>
        <w:rPr>
          <w:spacing w:val="-4"/>
          <w:w w:val="105"/>
          <w:sz w:val="21"/>
        </w:rPr>
        <w:t>‘draft </w:t>
      </w:r>
      <w:r>
        <w:rPr>
          <w:spacing w:val="-3"/>
          <w:w w:val="105"/>
          <w:sz w:val="21"/>
        </w:rPr>
        <w:t>around’ </w:t>
      </w:r>
      <w:r>
        <w:rPr>
          <w:w w:val="105"/>
          <w:sz w:val="21"/>
        </w:rPr>
        <w:t>the </w:t>
      </w:r>
      <w:r>
        <w:rPr>
          <w:spacing w:val="-3"/>
          <w:w w:val="105"/>
          <w:sz w:val="21"/>
        </w:rPr>
        <w:t>current </w:t>
      </w:r>
      <w:r>
        <w:rPr>
          <w:w w:val="105"/>
          <w:sz w:val="21"/>
        </w:rPr>
        <w:t>rule when </w:t>
      </w:r>
      <w:r>
        <w:rPr>
          <w:spacing w:val="-3"/>
          <w:w w:val="105"/>
          <w:sz w:val="21"/>
        </w:rPr>
        <w:t>preparing </w:t>
      </w:r>
      <w:r>
        <w:rPr>
          <w:w w:val="105"/>
          <w:sz w:val="21"/>
        </w:rPr>
        <w:t>a</w:t>
      </w:r>
      <w:r>
        <w:rPr>
          <w:spacing w:val="31"/>
          <w:w w:val="105"/>
          <w:sz w:val="21"/>
        </w:rPr>
        <w:t> </w:t>
      </w:r>
      <w:r>
        <w:rPr>
          <w:spacing w:val="-7"/>
          <w:w w:val="105"/>
          <w:sz w:val="21"/>
        </w:rPr>
        <w:t>will.</w:t>
      </w:r>
      <w:r>
        <w:rPr>
          <w:spacing w:val="-7"/>
          <w:w w:val="105"/>
          <w:position w:val="7"/>
          <w:sz w:val="12"/>
        </w:rPr>
        <w:t>18</w:t>
      </w:r>
    </w:p>
    <w:p>
      <w:pPr>
        <w:pStyle w:val="ListParagraph"/>
        <w:numPr>
          <w:ilvl w:val="1"/>
          <w:numId w:val="40"/>
        </w:numPr>
        <w:tabs>
          <w:tab w:pos="2721" w:val="left" w:leader="none"/>
          <w:tab w:pos="2722" w:val="left" w:leader="none"/>
        </w:tabs>
        <w:spacing w:line="242" w:lineRule="auto" w:before="122" w:after="0"/>
        <w:ind w:left="2721" w:right="2082" w:hanging="340"/>
        <w:jc w:val="left"/>
        <w:rPr>
          <w:sz w:val="12"/>
        </w:rPr>
      </w:pPr>
      <w:r>
        <w:rPr>
          <w:sz w:val="21"/>
        </w:rPr>
        <w:t>A </w:t>
      </w:r>
      <w:r>
        <w:rPr>
          <w:spacing w:val="-3"/>
          <w:sz w:val="21"/>
        </w:rPr>
        <w:t>presumption against </w:t>
      </w:r>
      <w:r>
        <w:rPr>
          <w:sz w:val="21"/>
        </w:rPr>
        <w:t>ademption would be more beneficiary-friendly where the </w:t>
      </w:r>
      <w:r>
        <w:rPr>
          <w:spacing w:val="-3"/>
          <w:sz w:val="21"/>
        </w:rPr>
        <w:t>will </w:t>
      </w:r>
      <w:r>
        <w:rPr>
          <w:sz w:val="21"/>
        </w:rPr>
        <w:t>is homemade and the </w:t>
      </w:r>
      <w:r>
        <w:rPr>
          <w:spacing w:val="-3"/>
          <w:sz w:val="21"/>
        </w:rPr>
        <w:t>will-maker </w:t>
      </w:r>
      <w:r>
        <w:rPr>
          <w:sz w:val="21"/>
        </w:rPr>
        <w:t>is </w:t>
      </w:r>
      <w:r>
        <w:rPr>
          <w:spacing w:val="-3"/>
          <w:sz w:val="21"/>
        </w:rPr>
        <w:t>unaware </w:t>
      </w:r>
      <w:r>
        <w:rPr>
          <w:sz w:val="21"/>
        </w:rPr>
        <w:t>of the ademption</w:t>
      </w:r>
      <w:r>
        <w:rPr>
          <w:spacing w:val="39"/>
          <w:sz w:val="21"/>
        </w:rPr>
        <w:t> </w:t>
      </w:r>
      <w:r>
        <w:rPr>
          <w:spacing w:val="-6"/>
          <w:sz w:val="21"/>
        </w:rPr>
        <w:t>rule.</w:t>
      </w:r>
      <w:r>
        <w:rPr>
          <w:spacing w:val="-6"/>
          <w:position w:val="7"/>
          <w:sz w:val="12"/>
        </w:rPr>
        <w:t>19</w:t>
      </w:r>
    </w:p>
    <w:p>
      <w:pPr>
        <w:pStyle w:val="ListParagraph"/>
        <w:numPr>
          <w:ilvl w:val="1"/>
          <w:numId w:val="40"/>
        </w:numPr>
        <w:tabs>
          <w:tab w:pos="2721" w:val="left" w:leader="none"/>
          <w:tab w:pos="2722" w:val="left" w:leader="none"/>
        </w:tabs>
        <w:spacing w:line="240" w:lineRule="auto" w:before="122" w:after="0"/>
        <w:ind w:left="2721" w:right="0" w:hanging="340"/>
        <w:jc w:val="left"/>
        <w:rPr>
          <w:sz w:val="12"/>
        </w:rPr>
      </w:pPr>
      <w:r>
        <w:rPr>
          <w:w w:val="105"/>
          <w:sz w:val="21"/>
        </w:rPr>
        <w:t>An</w:t>
      </w:r>
      <w:r>
        <w:rPr>
          <w:spacing w:val="4"/>
          <w:w w:val="105"/>
          <w:sz w:val="21"/>
        </w:rPr>
        <w:t> </w:t>
      </w:r>
      <w:r>
        <w:rPr>
          <w:spacing w:val="-3"/>
          <w:w w:val="105"/>
          <w:sz w:val="21"/>
        </w:rPr>
        <w:t>intention</w:t>
      </w:r>
      <w:r>
        <w:rPr>
          <w:spacing w:val="5"/>
          <w:w w:val="105"/>
          <w:sz w:val="21"/>
        </w:rPr>
        <w:t> </w:t>
      </w:r>
      <w:r>
        <w:rPr>
          <w:w w:val="105"/>
          <w:sz w:val="21"/>
        </w:rPr>
        <w:t>approach</w:t>
      </w:r>
      <w:r>
        <w:rPr>
          <w:spacing w:val="4"/>
          <w:w w:val="105"/>
          <w:sz w:val="21"/>
        </w:rPr>
        <w:t> </w:t>
      </w:r>
      <w:r>
        <w:rPr>
          <w:w w:val="105"/>
          <w:sz w:val="21"/>
        </w:rPr>
        <w:t>would</w:t>
      </w:r>
      <w:r>
        <w:rPr>
          <w:spacing w:val="5"/>
          <w:w w:val="105"/>
          <w:sz w:val="21"/>
        </w:rPr>
        <w:t> </w:t>
      </w:r>
      <w:r>
        <w:rPr>
          <w:w w:val="105"/>
          <w:sz w:val="21"/>
        </w:rPr>
        <w:t>be</w:t>
      </w:r>
      <w:r>
        <w:rPr>
          <w:spacing w:val="4"/>
          <w:w w:val="105"/>
          <w:sz w:val="21"/>
        </w:rPr>
        <w:t> </w:t>
      </w:r>
      <w:r>
        <w:rPr>
          <w:spacing w:val="-4"/>
          <w:w w:val="105"/>
          <w:sz w:val="21"/>
        </w:rPr>
        <w:t>likely</w:t>
      </w:r>
      <w:r>
        <w:rPr>
          <w:spacing w:val="5"/>
          <w:w w:val="105"/>
          <w:sz w:val="21"/>
        </w:rPr>
        <w:t> </w:t>
      </w:r>
      <w:r>
        <w:rPr>
          <w:spacing w:val="-3"/>
          <w:w w:val="105"/>
          <w:sz w:val="21"/>
        </w:rPr>
        <w:t>to</w:t>
      </w:r>
      <w:r>
        <w:rPr>
          <w:spacing w:val="5"/>
          <w:w w:val="105"/>
          <w:sz w:val="21"/>
        </w:rPr>
        <w:t> </w:t>
      </w:r>
      <w:r>
        <w:rPr>
          <w:w w:val="105"/>
          <w:sz w:val="21"/>
        </w:rPr>
        <w:t>lead</w:t>
      </w:r>
      <w:r>
        <w:rPr>
          <w:spacing w:val="4"/>
          <w:w w:val="105"/>
          <w:sz w:val="21"/>
        </w:rPr>
        <w:t> </w:t>
      </w:r>
      <w:r>
        <w:rPr>
          <w:spacing w:val="-3"/>
          <w:w w:val="105"/>
          <w:sz w:val="21"/>
        </w:rPr>
        <w:t>to</w:t>
      </w:r>
      <w:r>
        <w:rPr>
          <w:spacing w:val="5"/>
          <w:w w:val="105"/>
          <w:sz w:val="21"/>
        </w:rPr>
        <w:t> </w:t>
      </w:r>
      <w:r>
        <w:rPr>
          <w:w w:val="105"/>
          <w:sz w:val="21"/>
        </w:rPr>
        <w:t>a</w:t>
      </w:r>
      <w:r>
        <w:rPr>
          <w:spacing w:val="4"/>
          <w:w w:val="105"/>
          <w:sz w:val="21"/>
        </w:rPr>
        <w:t> </w:t>
      </w:r>
      <w:r>
        <w:rPr>
          <w:spacing w:val="-4"/>
          <w:w w:val="105"/>
          <w:sz w:val="21"/>
        </w:rPr>
        <w:t>fairer</w:t>
      </w:r>
      <w:r>
        <w:rPr>
          <w:spacing w:val="5"/>
          <w:w w:val="105"/>
          <w:sz w:val="21"/>
        </w:rPr>
        <w:t> </w:t>
      </w:r>
      <w:r>
        <w:rPr>
          <w:spacing w:val="-3"/>
          <w:w w:val="105"/>
          <w:sz w:val="21"/>
        </w:rPr>
        <w:t>outcome.</w:t>
      </w:r>
      <w:r>
        <w:rPr>
          <w:spacing w:val="-3"/>
          <w:w w:val="105"/>
          <w:position w:val="7"/>
          <w:sz w:val="12"/>
        </w:rPr>
        <w:t>20</w:t>
      </w:r>
    </w:p>
    <w:p>
      <w:pPr>
        <w:pStyle w:val="ListParagraph"/>
        <w:numPr>
          <w:ilvl w:val="1"/>
          <w:numId w:val="22"/>
        </w:numPr>
        <w:tabs>
          <w:tab w:pos="2381" w:val="left" w:leader="none"/>
          <w:tab w:pos="2382" w:val="left" w:leader="none"/>
        </w:tabs>
        <w:spacing w:line="240" w:lineRule="auto" w:before="124" w:after="0"/>
        <w:ind w:left="2381" w:right="0" w:hanging="794"/>
        <w:jc w:val="left"/>
        <w:rPr>
          <w:sz w:val="21"/>
        </w:rPr>
      </w:pPr>
      <w:r>
        <w:rPr>
          <w:w w:val="105"/>
          <w:sz w:val="21"/>
        </w:rPr>
        <w:t>Those in </w:t>
      </w:r>
      <w:r>
        <w:rPr>
          <w:spacing w:val="-3"/>
          <w:w w:val="105"/>
          <w:sz w:val="21"/>
        </w:rPr>
        <w:t>favour </w:t>
      </w:r>
      <w:r>
        <w:rPr>
          <w:w w:val="105"/>
          <w:sz w:val="21"/>
        </w:rPr>
        <w:t>of </w:t>
      </w:r>
      <w:r>
        <w:rPr>
          <w:spacing w:val="-3"/>
          <w:w w:val="105"/>
          <w:sz w:val="21"/>
        </w:rPr>
        <w:t>retaining </w:t>
      </w:r>
      <w:r>
        <w:rPr>
          <w:w w:val="105"/>
          <w:sz w:val="21"/>
        </w:rPr>
        <w:t>the </w:t>
      </w:r>
      <w:r>
        <w:rPr>
          <w:spacing w:val="-3"/>
          <w:w w:val="105"/>
          <w:sz w:val="21"/>
        </w:rPr>
        <w:t>current </w:t>
      </w:r>
      <w:r>
        <w:rPr>
          <w:w w:val="105"/>
          <w:sz w:val="21"/>
        </w:rPr>
        <w:t>approach </w:t>
      </w:r>
      <w:r>
        <w:rPr>
          <w:spacing w:val="-3"/>
          <w:w w:val="105"/>
          <w:position w:val="7"/>
          <w:sz w:val="12"/>
        </w:rPr>
        <w:t>21 </w:t>
      </w:r>
      <w:r>
        <w:rPr>
          <w:spacing w:val="-3"/>
          <w:w w:val="105"/>
          <w:sz w:val="21"/>
        </w:rPr>
        <w:t>noted</w:t>
      </w:r>
      <w:r>
        <w:rPr>
          <w:spacing w:val="18"/>
          <w:w w:val="105"/>
          <w:sz w:val="21"/>
        </w:rPr>
        <w:t> </w:t>
      </w:r>
      <w:r>
        <w:rPr>
          <w:w w:val="105"/>
          <w:sz w:val="21"/>
        </w:rPr>
        <w:t>that:</w:t>
      </w:r>
    </w:p>
    <w:p>
      <w:pPr>
        <w:pStyle w:val="ListParagraph"/>
        <w:numPr>
          <w:ilvl w:val="2"/>
          <w:numId w:val="22"/>
        </w:numPr>
        <w:tabs>
          <w:tab w:pos="2721" w:val="left" w:leader="none"/>
          <w:tab w:pos="2722" w:val="left" w:leader="none"/>
        </w:tabs>
        <w:spacing w:line="240" w:lineRule="auto" w:before="124" w:after="0"/>
        <w:ind w:left="2721" w:right="0" w:hanging="340"/>
        <w:jc w:val="left"/>
        <w:rPr>
          <w:sz w:val="12"/>
        </w:rPr>
      </w:pPr>
      <w:r>
        <w:rPr>
          <w:sz w:val="21"/>
        </w:rPr>
        <w:t>The </w:t>
      </w:r>
      <w:r>
        <w:rPr>
          <w:spacing w:val="-3"/>
          <w:sz w:val="21"/>
        </w:rPr>
        <w:t>current </w:t>
      </w:r>
      <w:r>
        <w:rPr>
          <w:sz w:val="21"/>
        </w:rPr>
        <w:t>rule is </w:t>
      </w:r>
      <w:r>
        <w:rPr>
          <w:spacing w:val="-3"/>
          <w:sz w:val="21"/>
        </w:rPr>
        <w:t>clear </w:t>
      </w:r>
      <w:r>
        <w:rPr>
          <w:sz w:val="21"/>
        </w:rPr>
        <w:t>and</w:t>
      </w:r>
      <w:r>
        <w:rPr>
          <w:spacing w:val="9"/>
          <w:sz w:val="21"/>
        </w:rPr>
        <w:t> </w:t>
      </w:r>
      <w:r>
        <w:rPr>
          <w:sz w:val="21"/>
        </w:rPr>
        <w:t>certain.</w:t>
      </w:r>
      <w:r>
        <w:rPr>
          <w:position w:val="7"/>
          <w:sz w:val="12"/>
        </w:rPr>
        <w:t>22</w:t>
      </w:r>
    </w:p>
    <w:p>
      <w:pPr>
        <w:pStyle w:val="ListParagraph"/>
        <w:numPr>
          <w:ilvl w:val="2"/>
          <w:numId w:val="22"/>
        </w:numPr>
        <w:tabs>
          <w:tab w:pos="2721" w:val="left" w:leader="none"/>
          <w:tab w:pos="2722" w:val="left" w:leader="none"/>
        </w:tabs>
        <w:spacing w:line="242" w:lineRule="auto" w:before="123" w:after="0"/>
        <w:ind w:left="2721" w:right="2067" w:hanging="340"/>
        <w:jc w:val="left"/>
        <w:rPr>
          <w:sz w:val="12"/>
        </w:rPr>
      </w:pPr>
      <w:r>
        <w:rPr>
          <w:sz w:val="21"/>
        </w:rPr>
        <w:t>A person who </w:t>
      </w:r>
      <w:r>
        <w:rPr>
          <w:spacing w:val="-2"/>
          <w:sz w:val="21"/>
        </w:rPr>
        <w:t>has </w:t>
      </w:r>
      <w:r>
        <w:rPr>
          <w:sz w:val="21"/>
        </w:rPr>
        <w:t>testamentary capacity can </w:t>
      </w:r>
      <w:r>
        <w:rPr>
          <w:spacing w:val="-3"/>
          <w:sz w:val="21"/>
        </w:rPr>
        <w:t>change </w:t>
      </w:r>
      <w:r>
        <w:rPr>
          <w:sz w:val="21"/>
        </w:rPr>
        <w:t>their </w:t>
      </w:r>
      <w:r>
        <w:rPr>
          <w:spacing w:val="-3"/>
          <w:sz w:val="21"/>
        </w:rPr>
        <w:t>will </w:t>
      </w:r>
      <w:r>
        <w:rPr>
          <w:sz w:val="21"/>
        </w:rPr>
        <w:t>after property </w:t>
      </w:r>
      <w:r>
        <w:rPr>
          <w:spacing w:val="-2"/>
          <w:sz w:val="21"/>
        </w:rPr>
        <w:t>has </w:t>
      </w:r>
      <w:r>
        <w:rPr>
          <w:sz w:val="21"/>
        </w:rPr>
        <w:t>been disposed of if they do </w:t>
      </w:r>
      <w:r>
        <w:rPr>
          <w:spacing w:val="-2"/>
          <w:sz w:val="21"/>
        </w:rPr>
        <w:t>not </w:t>
      </w:r>
      <w:r>
        <w:rPr>
          <w:spacing w:val="-3"/>
          <w:sz w:val="21"/>
        </w:rPr>
        <w:t>intend </w:t>
      </w:r>
      <w:r>
        <w:rPr>
          <w:sz w:val="21"/>
        </w:rPr>
        <w:t>the gift</w:t>
      </w:r>
      <w:r>
        <w:rPr>
          <w:spacing w:val="37"/>
          <w:sz w:val="21"/>
        </w:rPr>
        <w:t> </w:t>
      </w:r>
      <w:r>
        <w:rPr>
          <w:spacing w:val="-3"/>
          <w:sz w:val="21"/>
        </w:rPr>
        <w:t>to </w:t>
      </w:r>
      <w:r>
        <w:rPr>
          <w:sz w:val="21"/>
        </w:rPr>
        <w:t>adeem.</w:t>
      </w:r>
      <w:r>
        <w:rPr>
          <w:position w:val="7"/>
          <w:sz w:val="12"/>
        </w:rPr>
        <w:t>23</w:t>
      </w:r>
    </w:p>
    <w:p>
      <w:pPr>
        <w:pStyle w:val="ListParagraph"/>
        <w:numPr>
          <w:ilvl w:val="2"/>
          <w:numId w:val="22"/>
        </w:numPr>
        <w:tabs>
          <w:tab w:pos="2721" w:val="left" w:leader="none"/>
          <w:tab w:pos="2722" w:val="left" w:leader="none"/>
        </w:tabs>
        <w:spacing w:line="240" w:lineRule="auto" w:before="122" w:after="0"/>
        <w:ind w:left="2721" w:right="0" w:hanging="340"/>
        <w:jc w:val="left"/>
        <w:rPr>
          <w:sz w:val="12"/>
        </w:rPr>
      </w:pPr>
      <w:r>
        <w:rPr>
          <w:sz w:val="21"/>
        </w:rPr>
        <w:t>The</w:t>
      </w:r>
      <w:r>
        <w:rPr>
          <w:spacing w:val="12"/>
          <w:sz w:val="21"/>
        </w:rPr>
        <w:t> </w:t>
      </w:r>
      <w:r>
        <w:rPr>
          <w:spacing w:val="-2"/>
          <w:sz w:val="21"/>
        </w:rPr>
        <w:t>common</w:t>
      </w:r>
      <w:r>
        <w:rPr>
          <w:spacing w:val="12"/>
          <w:sz w:val="21"/>
        </w:rPr>
        <w:t> </w:t>
      </w:r>
      <w:r>
        <w:rPr>
          <w:sz w:val="21"/>
        </w:rPr>
        <w:t>law</w:t>
      </w:r>
      <w:r>
        <w:rPr>
          <w:spacing w:val="13"/>
          <w:sz w:val="21"/>
        </w:rPr>
        <w:t> </w:t>
      </w:r>
      <w:r>
        <w:rPr>
          <w:spacing w:val="-3"/>
          <w:sz w:val="21"/>
        </w:rPr>
        <w:t>already</w:t>
      </w:r>
      <w:r>
        <w:rPr>
          <w:spacing w:val="12"/>
          <w:sz w:val="21"/>
        </w:rPr>
        <w:t> </w:t>
      </w:r>
      <w:r>
        <w:rPr>
          <w:spacing w:val="-3"/>
          <w:sz w:val="21"/>
        </w:rPr>
        <w:t>includes</w:t>
      </w:r>
      <w:r>
        <w:rPr>
          <w:spacing w:val="13"/>
          <w:sz w:val="21"/>
        </w:rPr>
        <w:t> </w:t>
      </w:r>
      <w:r>
        <w:rPr>
          <w:spacing w:val="-3"/>
          <w:sz w:val="21"/>
        </w:rPr>
        <w:t>exceptions</w:t>
      </w:r>
      <w:r>
        <w:rPr>
          <w:spacing w:val="12"/>
          <w:sz w:val="21"/>
        </w:rPr>
        <w:t> </w:t>
      </w:r>
      <w:r>
        <w:rPr>
          <w:spacing w:val="-3"/>
          <w:sz w:val="21"/>
        </w:rPr>
        <w:t>to</w:t>
      </w:r>
      <w:r>
        <w:rPr>
          <w:spacing w:val="13"/>
          <w:sz w:val="21"/>
        </w:rPr>
        <w:t> </w:t>
      </w:r>
      <w:r>
        <w:rPr>
          <w:spacing w:val="-3"/>
          <w:sz w:val="21"/>
        </w:rPr>
        <w:t>ameliorate</w:t>
      </w:r>
      <w:r>
        <w:rPr>
          <w:spacing w:val="12"/>
          <w:sz w:val="21"/>
        </w:rPr>
        <w:t> </w:t>
      </w:r>
      <w:r>
        <w:rPr>
          <w:sz w:val="21"/>
        </w:rPr>
        <w:t>the</w:t>
      </w:r>
      <w:r>
        <w:rPr>
          <w:spacing w:val="12"/>
          <w:sz w:val="21"/>
        </w:rPr>
        <w:t> </w:t>
      </w:r>
      <w:r>
        <w:rPr>
          <w:sz w:val="21"/>
        </w:rPr>
        <w:t>impact</w:t>
      </w:r>
      <w:r>
        <w:rPr>
          <w:spacing w:val="13"/>
          <w:sz w:val="21"/>
        </w:rPr>
        <w:t> </w:t>
      </w:r>
      <w:r>
        <w:rPr>
          <w:sz w:val="21"/>
        </w:rPr>
        <w:t>of</w:t>
      </w:r>
      <w:r>
        <w:rPr>
          <w:spacing w:val="12"/>
          <w:sz w:val="21"/>
        </w:rPr>
        <w:t> </w:t>
      </w:r>
      <w:r>
        <w:rPr>
          <w:sz w:val="21"/>
        </w:rPr>
        <w:t>the</w:t>
      </w:r>
      <w:r>
        <w:rPr>
          <w:spacing w:val="13"/>
          <w:sz w:val="21"/>
        </w:rPr>
        <w:t> </w:t>
      </w:r>
      <w:r>
        <w:rPr>
          <w:spacing w:val="-3"/>
          <w:sz w:val="21"/>
        </w:rPr>
        <w:t>rule.</w:t>
      </w:r>
      <w:r>
        <w:rPr>
          <w:spacing w:val="-3"/>
          <w:position w:val="7"/>
          <w:sz w:val="12"/>
        </w:rPr>
        <w:t>24</w:t>
      </w:r>
    </w:p>
    <w:p>
      <w:pPr>
        <w:pStyle w:val="ListParagraph"/>
        <w:numPr>
          <w:ilvl w:val="2"/>
          <w:numId w:val="22"/>
        </w:numPr>
        <w:tabs>
          <w:tab w:pos="2721" w:val="left" w:leader="none"/>
          <w:tab w:pos="2722" w:val="left" w:leader="none"/>
        </w:tabs>
        <w:spacing w:line="242" w:lineRule="auto" w:before="124" w:after="0"/>
        <w:ind w:left="2721" w:right="1898" w:hanging="340"/>
        <w:jc w:val="left"/>
        <w:rPr>
          <w:sz w:val="12"/>
        </w:rPr>
      </w:pPr>
      <w:r>
        <w:rPr>
          <w:w w:val="105"/>
          <w:sz w:val="21"/>
        </w:rPr>
        <w:t>A </w:t>
      </w:r>
      <w:r>
        <w:rPr>
          <w:spacing w:val="-3"/>
          <w:w w:val="105"/>
          <w:sz w:val="21"/>
        </w:rPr>
        <w:t>presumption against </w:t>
      </w:r>
      <w:r>
        <w:rPr>
          <w:w w:val="105"/>
          <w:sz w:val="21"/>
        </w:rPr>
        <w:t>ademption </w:t>
      </w:r>
      <w:r>
        <w:rPr>
          <w:spacing w:val="-3"/>
          <w:w w:val="105"/>
          <w:sz w:val="21"/>
        </w:rPr>
        <w:t>may </w:t>
      </w:r>
      <w:r>
        <w:rPr>
          <w:w w:val="105"/>
          <w:sz w:val="21"/>
        </w:rPr>
        <w:t>be contrary </w:t>
      </w:r>
      <w:r>
        <w:rPr>
          <w:spacing w:val="-3"/>
          <w:w w:val="105"/>
          <w:sz w:val="21"/>
        </w:rPr>
        <w:t>to </w:t>
      </w:r>
      <w:r>
        <w:rPr>
          <w:w w:val="105"/>
          <w:sz w:val="21"/>
        </w:rPr>
        <w:t>the </w:t>
      </w:r>
      <w:r>
        <w:rPr>
          <w:spacing w:val="-3"/>
          <w:w w:val="105"/>
          <w:sz w:val="21"/>
        </w:rPr>
        <w:t>will-maker’s intended </w:t>
      </w:r>
      <w:r>
        <w:rPr>
          <w:w w:val="105"/>
          <w:sz w:val="21"/>
        </w:rPr>
        <w:t>actions in </w:t>
      </w:r>
      <w:r>
        <w:rPr>
          <w:spacing w:val="-3"/>
          <w:w w:val="105"/>
          <w:sz w:val="21"/>
        </w:rPr>
        <w:t>disposing </w:t>
      </w:r>
      <w:r>
        <w:rPr>
          <w:w w:val="105"/>
          <w:sz w:val="21"/>
        </w:rPr>
        <w:t>of the property </w:t>
      </w:r>
      <w:r>
        <w:rPr>
          <w:spacing w:val="-3"/>
          <w:w w:val="105"/>
          <w:sz w:val="21"/>
        </w:rPr>
        <w:t>during </w:t>
      </w:r>
      <w:r>
        <w:rPr>
          <w:w w:val="105"/>
          <w:sz w:val="21"/>
        </w:rPr>
        <w:t>their </w:t>
      </w:r>
      <w:r>
        <w:rPr>
          <w:spacing w:val="-3"/>
          <w:w w:val="105"/>
          <w:sz w:val="21"/>
        </w:rPr>
        <w:t>life </w:t>
      </w:r>
      <w:r>
        <w:rPr>
          <w:w w:val="105"/>
          <w:sz w:val="21"/>
        </w:rPr>
        <w:t>after the </w:t>
      </w:r>
      <w:r>
        <w:rPr>
          <w:spacing w:val="-3"/>
          <w:w w:val="105"/>
          <w:sz w:val="21"/>
        </w:rPr>
        <w:t>will </w:t>
      </w:r>
      <w:r>
        <w:rPr>
          <w:spacing w:val="-2"/>
          <w:w w:val="105"/>
          <w:sz w:val="21"/>
        </w:rPr>
        <w:t>has </w:t>
      </w:r>
      <w:r>
        <w:rPr>
          <w:w w:val="105"/>
          <w:sz w:val="21"/>
        </w:rPr>
        <w:t>been</w:t>
      </w:r>
      <w:r>
        <w:rPr>
          <w:spacing w:val="-33"/>
          <w:w w:val="105"/>
          <w:sz w:val="21"/>
        </w:rPr>
        <w:t> </w:t>
      </w:r>
      <w:r>
        <w:rPr>
          <w:spacing w:val="-3"/>
          <w:w w:val="105"/>
          <w:sz w:val="21"/>
        </w:rPr>
        <w:t>made.</w:t>
      </w:r>
      <w:r>
        <w:rPr>
          <w:spacing w:val="-3"/>
          <w:w w:val="105"/>
          <w:position w:val="7"/>
          <w:sz w:val="12"/>
        </w:rPr>
        <w:t>25</w:t>
      </w:r>
    </w:p>
    <w:p>
      <w:pPr>
        <w:pStyle w:val="ListParagraph"/>
        <w:numPr>
          <w:ilvl w:val="2"/>
          <w:numId w:val="22"/>
        </w:numPr>
        <w:tabs>
          <w:tab w:pos="2721" w:val="left" w:leader="none"/>
          <w:tab w:pos="2722" w:val="left" w:leader="none"/>
        </w:tabs>
        <w:spacing w:line="242" w:lineRule="auto" w:before="122" w:after="0"/>
        <w:ind w:left="2721" w:right="1816" w:hanging="340"/>
        <w:jc w:val="left"/>
        <w:rPr>
          <w:sz w:val="12"/>
        </w:rPr>
      </w:pPr>
      <w:r>
        <w:rPr>
          <w:sz w:val="21"/>
        </w:rPr>
        <w:t>A </w:t>
      </w:r>
      <w:r>
        <w:rPr>
          <w:spacing w:val="-3"/>
          <w:sz w:val="21"/>
        </w:rPr>
        <w:t>change </w:t>
      </w:r>
      <w:r>
        <w:rPr>
          <w:sz w:val="21"/>
        </w:rPr>
        <w:t>would </w:t>
      </w:r>
      <w:r>
        <w:rPr>
          <w:spacing w:val="-3"/>
          <w:sz w:val="21"/>
        </w:rPr>
        <w:t>create </w:t>
      </w:r>
      <w:r>
        <w:rPr>
          <w:sz w:val="21"/>
        </w:rPr>
        <w:t>an </w:t>
      </w:r>
      <w:r>
        <w:rPr>
          <w:spacing w:val="-2"/>
          <w:sz w:val="21"/>
        </w:rPr>
        <w:t>inconsistency </w:t>
      </w:r>
      <w:r>
        <w:rPr>
          <w:sz w:val="21"/>
        </w:rPr>
        <w:t>with the settled rules of </w:t>
      </w:r>
      <w:r>
        <w:rPr>
          <w:spacing w:val="-3"/>
          <w:sz w:val="21"/>
        </w:rPr>
        <w:t>wills interpretation </w:t>
      </w:r>
      <w:r>
        <w:rPr>
          <w:sz w:val="21"/>
        </w:rPr>
        <w:t>and lead </w:t>
      </w:r>
      <w:r>
        <w:rPr>
          <w:spacing w:val="-3"/>
          <w:sz w:val="21"/>
        </w:rPr>
        <w:t>to </w:t>
      </w:r>
      <w:r>
        <w:rPr>
          <w:sz w:val="21"/>
        </w:rPr>
        <w:t>speculative </w:t>
      </w:r>
      <w:r>
        <w:rPr>
          <w:spacing w:val="-3"/>
          <w:sz w:val="21"/>
        </w:rPr>
        <w:t>litigation </w:t>
      </w:r>
      <w:r>
        <w:rPr>
          <w:sz w:val="21"/>
        </w:rPr>
        <w:t>over the </w:t>
      </w:r>
      <w:r>
        <w:rPr>
          <w:spacing w:val="-3"/>
          <w:sz w:val="21"/>
        </w:rPr>
        <w:t>nature </w:t>
      </w:r>
      <w:r>
        <w:rPr>
          <w:sz w:val="21"/>
        </w:rPr>
        <w:t>of the </w:t>
      </w:r>
      <w:r>
        <w:rPr>
          <w:spacing w:val="-3"/>
          <w:sz w:val="21"/>
        </w:rPr>
        <w:t>will-maker’s</w:t>
      </w:r>
      <w:r>
        <w:rPr>
          <w:spacing w:val="10"/>
          <w:sz w:val="21"/>
        </w:rPr>
        <w:t> </w:t>
      </w:r>
      <w:r>
        <w:rPr>
          <w:spacing w:val="-3"/>
          <w:sz w:val="21"/>
        </w:rPr>
        <w:t>intention.</w:t>
      </w:r>
      <w:r>
        <w:rPr>
          <w:spacing w:val="-3"/>
          <w:position w:val="7"/>
          <w:sz w:val="12"/>
        </w:rPr>
        <w:t>26</w:t>
      </w:r>
    </w:p>
    <w:p>
      <w:pPr>
        <w:pStyle w:val="ListParagraph"/>
        <w:numPr>
          <w:ilvl w:val="1"/>
          <w:numId w:val="22"/>
        </w:numPr>
        <w:tabs>
          <w:tab w:pos="2381" w:val="left" w:leader="none"/>
          <w:tab w:pos="2382" w:val="left" w:leader="none"/>
        </w:tabs>
        <w:spacing w:line="242" w:lineRule="auto" w:before="122" w:after="0"/>
        <w:ind w:left="2381" w:right="1669" w:hanging="794"/>
        <w:jc w:val="left"/>
        <w:rPr>
          <w:sz w:val="21"/>
        </w:rPr>
      </w:pPr>
      <w:r>
        <w:rPr>
          <w:w w:val="105"/>
          <w:sz w:val="21"/>
        </w:rPr>
        <w:t>In</w:t>
      </w:r>
      <w:r>
        <w:rPr>
          <w:spacing w:val="-6"/>
          <w:w w:val="105"/>
          <w:sz w:val="21"/>
        </w:rPr>
        <w:t> </w:t>
      </w:r>
      <w:r>
        <w:rPr>
          <w:spacing w:val="-3"/>
          <w:w w:val="105"/>
          <w:sz w:val="21"/>
        </w:rPr>
        <w:t>particular,</w:t>
      </w:r>
      <w:r>
        <w:rPr>
          <w:spacing w:val="-6"/>
          <w:w w:val="105"/>
          <w:sz w:val="21"/>
        </w:rPr>
        <w:t> </w:t>
      </w:r>
      <w:r>
        <w:rPr>
          <w:w w:val="105"/>
          <w:sz w:val="21"/>
        </w:rPr>
        <w:t>it</w:t>
      </w:r>
      <w:r>
        <w:rPr>
          <w:spacing w:val="-6"/>
          <w:w w:val="105"/>
          <w:sz w:val="21"/>
        </w:rPr>
        <w:t> </w:t>
      </w:r>
      <w:r>
        <w:rPr>
          <w:w w:val="105"/>
          <w:sz w:val="21"/>
        </w:rPr>
        <w:t>was</w:t>
      </w:r>
      <w:r>
        <w:rPr>
          <w:spacing w:val="-5"/>
          <w:w w:val="105"/>
          <w:sz w:val="21"/>
        </w:rPr>
        <w:t> </w:t>
      </w:r>
      <w:r>
        <w:rPr>
          <w:w w:val="105"/>
          <w:sz w:val="21"/>
        </w:rPr>
        <w:t>said</w:t>
      </w:r>
      <w:r>
        <w:rPr>
          <w:spacing w:val="-6"/>
          <w:w w:val="105"/>
          <w:sz w:val="21"/>
        </w:rPr>
        <w:t> </w:t>
      </w:r>
      <w:r>
        <w:rPr>
          <w:spacing w:val="-3"/>
          <w:w w:val="105"/>
          <w:sz w:val="21"/>
        </w:rPr>
        <w:t>that</w:t>
      </w:r>
      <w:r>
        <w:rPr>
          <w:spacing w:val="-6"/>
          <w:w w:val="105"/>
          <w:sz w:val="21"/>
        </w:rPr>
        <w:t> </w:t>
      </w:r>
      <w:r>
        <w:rPr>
          <w:w w:val="105"/>
          <w:sz w:val="21"/>
        </w:rPr>
        <w:t>a</w:t>
      </w:r>
      <w:r>
        <w:rPr>
          <w:spacing w:val="-5"/>
          <w:w w:val="105"/>
          <w:sz w:val="21"/>
        </w:rPr>
        <w:t> </w:t>
      </w:r>
      <w:r>
        <w:rPr>
          <w:spacing w:val="-3"/>
          <w:w w:val="105"/>
          <w:sz w:val="21"/>
        </w:rPr>
        <w:t>presumption</w:t>
      </w:r>
      <w:r>
        <w:rPr>
          <w:spacing w:val="-6"/>
          <w:w w:val="105"/>
          <w:sz w:val="21"/>
        </w:rPr>
        <w:t> </w:t>
      </w:r>
      <w:r>
        <w:rPr>
          <w:spacing w:val="-3"/>
          <w:w w:val="105"/>
          <w:sz w:val="21"/>
        </w:rPr>
        <w:t>against</w:t>
      </w:r>
      <w:r>
        <w:rPr>
          <w:spacing w:val="-6"/>
          <w:w w:val="105"/>
          <w:sz w:val="21"/>
        </w:rPr>
        <w:t> </w:t>
      </w:r>
      <w:r>
        <w:rPr>
          <w:w w:val="105"/>
          <w:sz w:val="21"/>
        </w:rPr>
        <w:t>ademption</w:t>
      </w:r>
      <w:r>
        <w:rPr>
          <w:spacing w:val="-6"/>
          <w:w w:val="105"/>
          <w:sz w:val="21"/>
        </w:rPr>
        <w:t> </w:t>
      </w:r>
      <w:r>
        <w:rPr>
          <w:w w:val="105"/>
          <w:sz w:val="21"/>
        </w:rPr>
        <w:t>would</w:t>
      </w:r>
      <w:r>
        <w:rPr>
          <w:spacing w:val="-5"/>
          <w:w w:val="105"/>
          <w:sz w:val="21"/>
        </w:rPr>
        <w:t> </w:t>
      </w:r>
      <w:r>
        <w:rPr>
          <w:spacing w:val="-3"/>
          <w:w w:val="105"/>
          <w:sz w:val="21"/>
        </w:rPr>
        <w:t>create</w:t>
      </w:r>
      <w:r>
        <w:rPr>
          <w:spacing w:val="-6"/>
          <w:w w:val="105"/>
          <w:sz w:val="21"/>
        </w:rPr>
        <w:t> </w:t>
      </w:r>
      <w:r>
        <w:rPr>
          <w:spacing w:val="-3"/>
          <w:w w:val="105"/>
          <w:sz w:val="21"/>
        </w:rPr>
        <w:t>considerable </w:t>
      </w:r>
      <w:r>
        <w:rPr>
          <w:w w:val="105"/>
          <w:sz w:val="21"/>
        </w:rPr>
        <w:t>and </w:t>
      </w:r>
      <w:r>
        <w:rPr>
          <w:spacing w:val="-3"/>
          <w:w w:val="105"/>
          <w:sz w:val="21"/>
        </w:rPr>
        <w:t>unreasonable burdens for </w:t>
      </w:r>
      <w:r>
        <w:rPr>
          <w:w w:val="105"/>
          <w:sz w:val="21"/>
        </w:rPr>
        <w:t>estate </w:t>
      </w:r>
      <w:r>
        <w:rPr>
          <w:spacing w:val="-3"/>
          <w:w w:val="105"/>
          <w:sz w:val="21"/>
        </w:rPr>
        <w:t>administration.</w:t>
      </w:r>
      <w:r>
        <w:rPr>
          <w:spacing w:val="-3"/>
          <w:w w:val="105"/>
          <w:position w:val="7"/>
          <w:sz w:val="12"/>
        </w:rPr>
        <w:t>27 </w:t>
      </w:r>
      <w:r>
        <w:rPr>
          <w:spacing w:val="-3"/>
          <w:w w:val="105"/>
          <w:sz w:val="21"/>
        </w:rPr>
        <w:t>State </w:t>
      </w:r>
      <w:r>
        <w:rPr>
          <w:spacing w:val="-4"/>
          <w:w w:val="105"/>
          <w:sz w:val="21"/>
        </w:rPr>
        <w:t>Trustees </w:t>
      </w:r>
      <w:r>
        <w:rPr>
          <w:spacing w:val="-3"/>
          <w:w w:val="105"/>
          <w:sz w:val="21"/>
        </w:rPr>
        <w:t>noted</w:t>
      </w:r>
      <w:r>
        <w:rPr>
          <w:spacing w:val="22"/>
          <w:w w:val="105"/>
          <w:sz w:val="21"/>
        </w:rPr>
        <w:t> </w:t>
      </w:r>
      <w:r>
        <w:rPr>
          <w:w w:val="105"/>
          <w:sz w:val="21"/>
        </w:rPr>
        <w:t>that:</w:t>
      </w:r>
    </w:p>
    <w:p>
      <w:pPr>
        <w:spacing w:line="254" w:lineRule="auto" w:before="132"/>
        <w:ind w:left="2721" w:right="1643" w:firstLine="0"/>
        <w:jc w:val="left"/>
        <w:rPr>
          <w:sz w:val="11"/>
        </w:rPr>
      </w:pPr>
      <w:r>
        <w:rPr>
          <w:sz w:val="20"/>
        </w:rPr>
        <w:t>Some will-makers include in their will (with good </w:t>
      </w:r>
      <w:r>
        <w:rPr>
          <w:spacing w:val="-3"/>
          <w:sz w:val="20"/>
        </w:rPr>
        <w:t>intention, </w:t>
      </w:r>
      <w:r>
        <w:rPr>
          <w:sz w:val="20"/>
        </w:rPr>
        <w:t>but often in the </w:t>
      </w:r>
      <w:r>
        <w:rPr>
          <w:spacing w:val="-3"/>
          <w:sz w:val="20"/>
        </w:rPr>
        <w:t>face </w:t>
      </w:r>
      <w:r>
        <w:rPr>
          <w:sz w:val="20"/>
        </w:rPr>
        <w:t>of professional advice to the contrary) a multitude of specific gifts of personal chattels—for example, jewellery, items of </w:t>
      </w:r>
      <w:r>
        <w:rPr>
          <w:spacing w:val="-3"/>
          <w:sz w:val="20"/>
        </w:rPr>
        <w:t>furniture,  </w:t>
      </w:r>
      <w:r>
        <w:rPr>
          <w:sz w:val="20"/>
        </w:rPr>
        <w:t>antique  crockery  or  </w:t>
      </w:r>
      <w:r>
        <w:rPr>
          <w:spacing w:val="-3"/>
          <w:sz w:val="20"/>
        </w:rPr>
        <w:t>cutlery,  </w:t>
      </w:r>
      <w:r>
        <w:rPr>
          <w:sz w:val="20"/>
        </w:rPr>
        <w:t>books,  etc.—which may individually be of </w:t>
      </w:r>
      <w:r>
        <w:rPr>
          <w:spacing w:val="-3"/>
          <w:sz w:val="20"/>
        </w:rPr>
        <w:t>minimal </w:t>
      </w:r>
      <w:r>
        <w:rPr>
          <w:sz w:val="20"/>
        </w:rPr>
        <w:t>or </w:t>
      </w:r>
      <w:r>
        <w:rPr>
          <w:spacing w:val="-3"/>
          <w:sz w:val="20"/>
        </w:rPr>
        <w:t>indeterminate value. </w:t>
      </w:r>
      <w:r>
        <w:rPr>
          <w:sz w:val="20"/>
        </w:rPr>
        <w:t>It would </w:t>
      </w:r>
      <w:r>
        <w:rPr>
          <w:spacing w:val="-3"/>
          <w:sz w:val="20"/>
        </w:rPr>
        <w:t>create </w:t>
      </w:r>
      <w:r>
        <w:rPr>
          <w:sz w:val="20"/>
        </w:rPr>
        <w:t>an </w:t>
      </w:r>
      <w:r>
        <w:rPr>
          <w:spacing w:val="-3"/>
          <w:sz w:val="20"/>
        </w:rPr>
        <w:t>administrative nightmare </w:t>
      </w:r>
      <w:r>
        <w:rPr>
          <w:sz w:val="20"/>
        </w:rPr>
        <w:t>for the executor </w:t>
      </w:r>
      <w:r>
        <w:rPr>
          <w:spacing w:val="-5"/>
          <w:sz w:val="20"/>
        </w:rPr>
        <w:t>if, </w:t>
      </w:r>
      <w:r>
        <w:rPr>
          <w:sz w:val="20"/>
        </w:rPr>
        <w:t>for </w:t>
      </w:r>
      <w:r>
        <w:rPr>
          <w:spacing w:val="-2"/>
          <w:sz w:val="20"/>
        </w:rPr>
        <w:t>any </w:t>
      </w:r>
      <w:r>
        <w:rPr>
          <w:sz w:val="20"/>
        </w:rPr>
        <w:t>such items that </w:t>
      </w:r>
      <w:r>
        <w:rPr>
          <w:spacing w:val="-3"/>
          <w:sz w:val="20"/>
        </w:rPr>
        <w:t>could </w:t>
      </w:r>
      <w:r>
        <w:rPr>
          <w:sz w:val="20"/>
        </w:rPr>
        <w:t>not be located, there was a presumption against ademption: </w:t>
      </w:r>
      <w:r>
        <w:rPr>
          <w:spacing w:val="-3"/>
          <w:sz w:val="20"/>
        </w:rPr>
        <w:t>Would </w:t>
      </w:r>
      <w:r>
        <w:rPr>
          <w:sz w:val="20"/>
        </w:rPr>
        <w:t>the </w:t>
      </w:r>
      <w:r>
        <w:rPr>
          <w:spacing w:val="-3"/>
          <w:sz w:val="20"/>
        </w:rPr>
        <w:t>nature </w:t>
      </w:r>
      <w:r>
        <w:rPr>
          <w:sz w:val="20"/>
        </w:rPr>
        <w:t>of the item itself be sufficient to rebut the </w:t>
      </w:r>
      <w:r>
        <w:rPr>
          <w:spacing w:val="-3"/>
          <w:sz w:val="20"/>
        </w:rPr>
        <w:t>presumption, </w:t>
      </w:r>
      <w:r>
        <w:rPr>
          <w:sz w:val="20"/>
        </w:rPr>
        <w:t>or would other evidence be </w:t>
      </w:r>
      <w:r>
        <w:rPr>
          <w:spacing w:val="-3"/>
          <w:sz w:val="20"/>
        </w:rPr>
        <w:t>required? Would </w:t>
      </w:r>
      <w:r>
        <w:rPr>
          <w:sz w:val="20"/>
        </w:rPr>
        <w:t>it </w:t>
      </w:r>
      <w:r>
        <w:rPr>
          <w:spacing w:val="-3"/>
          <w:sz w:val="20"/>
        </w:rPr>
        <w:t>fall </w:t>
      </w:r>
      <w:r>
        <w:rPr>
          <w:sz w:val="20"/>
        </w:rPr>
        <w:t>to the residuary beneficiary or beneficiaries, or to the </w:t>
      </w:r>
      <w:r>
        <w:rPr>
          <w:spacing w:val="-4"/>
          <w:sz w:val="20"/>
        </w:rPr>
        <w:t>executor, </w:t>
      </w:r>
      <w:r>
        <w:rPr>
          <w:sz w:val="20"/>
        </w:rPr>
        <w:t>to attempt to rebut the </w:t>
      </w:r>
      <w:r>
        <w:rPr>
          <w:spacing w:val="-3"/>
          <w:sz w:val="20"/>
        </w:rPr>
        <w:t>presumption? </w:t>
      </w:r>
      <w:r>
        <w:rPr>
          <w:sz w:val="20"/>
        </w:rPr>
        <w:t>If non-ademption were upheld, how would the items then be </w:t>
      </w:r>
      <w:r>
        <w:rPr>
          <w:spacing w:val="-3"/>
          <w:sz w:val="20"/>
        </w:rPr>
        <w:t>valued?  </w:t>
      </w:r>
      <w:r>
        <w:rPr>
          <w:sz w:val="20"/>
        </w:rPr>
        <w:t>What if there were      no evidence of a sale, or a sale </w:t>
      </w:r>
      <w:r>
        <w:rPr>
          <w:spacing w:val="-3"/>
          <w:sz w:val="20"/>
        </w:rPr>
        <w:t>price? Even </w:t>
      </w:r>
      <w:r>
        <w:rPr>
          <w:sz w:val="20"/>
        </w:rPr>
        <w:t>in cases where the items were of insufficient value to </w:t>
      </w:r>
      <w:r>
        <w:rPr>
          <w:spacing w:val="-3"/>
          <w:sz w:val="20"/>
        </w:rPr>
        <w:t>warrant  </w:t>
      </w:r>
      <w:r>
        <w:rPr>
          <w:sz w:val="20"/>
        </w:rPr>
        <w:t>litigation, one can easily imagine situations where the administration   </w:t>
      </w:r>
      <w:r>
        <w:rPr>
          <w:spacing w:val="-3"/>
          <w:sz w:val="20"/>
        </w:rPr>
        <w:t>could </w:t>
      </w:r>
      <w:r>
        <w:rPr>
          <w:sz w:val="20"/>
        </w:rPr>
        <w:t>become bogged down in controversies over </w:t>
      </w:r>
      <w:r>
        <w:rPr>
          <w:spacing w:val="-3"/>
          <w:sz w:val="20"/>
        </w:rPr>
        <w:t>intentions </w:t>
      </w:r>
      <w:r>
        <w:rPr>
          <w:sz w:val="20"/>
        </w:rPr>
        <w:t>and/or  notional  </w:t>
      </w:r>
      <w:r>
        <w:rPr>
          <w:spacing w:val="-3"/>
          <w:sz w:val="20"/>
        </w:rPr>
        <w:t>valuations, </w:t>
      </w:r>
      <w:r>
        <w:rPr>
          <w:sz w:val="20"/>
        </w:rPr>
        <w:t>with</w:t>
      </w:r>
      <w:r>
        <w:rPr>
          <w:spacing w:val="12"/>
          <w:sz w:val="20"/>
        </w:rPr>
        <w:t> </w:t>
      </w:r>
      <w:r>
        <w:rPr>
          <w:sz w:val="20"/>
        </w:rPr>
        <w:t>consequential</w:t>
      </w:r>
      <w:r>
        <w:rPr>
          <w:spacing w:val="12"/>
          <w:sz w:val="20"/>
        </w:rPr>
        <w:t> </w:t>
      </w:r>
      <w:r>
        <w:rPr>
          <w:sz w:val="20"/>
        </w:rPr>
        <w:t>implications</w:t>
      </w:r>
      <w:r>
        <w:rPr>
          <w:spacing w:val="12"/>
          <w:sz w:val="20"/>
        </w:rPr>
        <w:t> </w:t>
      </w:r>
      <w:r>
        <w:rPr>
          <w:sz w:val="20"/>
        </w:rPr>
        <w:t>for</w:t>
      </w:r>
      <w:r>
        <w:rPr>
          <w:spacing w:val="12"/>
          <w:sz w:val="20"/>
        </w:rPr>
        <w:t> </w:t>
      </w:r>
      <w:r>
        <w:rPr>
          <w:sz w:val="20"/>
        </w:rPr>
        <w:t>the</w:t>
      </w:r>
      <w:r>
        <w:rPr>
          <w:spacing w:val="12"/>
          <w:sz w:val="20"/>
        </w:rPr>
        <w:t> </w:t>
      </w:r>
      <w:r>
        <w:rPr>
          <w:sz w:val="20"/>
        </w:rPr>
        <w:t>legal</w:t>
      </w:r>
      <w:r>
        <w:rPr>
          <w:spacing w:val="12"/>
          <w:sz w:val="20"/>
        </w:rPr>
        <w:t> </w:t>
      </w:r>
      <w:r>
        <w:rPr>
          <w:sz w:val="20"/>
        </w:rPr>
        <w:t>and</w:t>
      </w:r>
      <w:r>
        <w:rPr>
          <w:spacing w:val="12"/>
          <w:sz w:val="20"/>
        </w:rPr>
        <w:t> </w:t>
      </w:r>
      <w:r>
        <w:rPr>
          <w:sz w:val="20"/>
        </w:rPr>
        <w:t>other</w:t>
      </w:r>
      <w:r>
        <w:rPr>
          <w:spacing w:val="12"/>
          <w:sz w:val="20"/>
        </w:rPr>
        <w:t> </w:t>
      </w:r>
      <w:r>
        <w:rPr>
          <w:sz w:val="20"/>
        </w:rPr>
        <w:t>costs</w:t>
      </w:r>
      <w:r>
        <w:rPr>
          <w:spacing w:val="12"/>
          <w:sz w:val="20"/>
        </w:rPr>
        <w:t> </w:t>
      </w:r>
      <w:r>
        <w:rPr>
          <w:sz w:val="20"/>
        </w:rPr>
        <w:t>borne</w:t>
      </w:r>
      <w:r>
        <w:rPr>
          <w:spacing w:val="12"/>
          <w:sz w:val="20"/>
        </w:rPr>
        <w:t> </w:t>
      </w:r>
      <w:r>
        <w:rPr>
          <w:sz w:val="20"/>
        </w:rPr>
        <w:t>by</w:t>
      </w:r>
      <w:r>
        <w:rPr>
          <w:spacing w:val="12"/>
          <w:sz w:val="20"/>
        </w:rPr>
        <w:t> </w:t>
      </w:r>
      <w:r>
        <w:rPr>
          <w:sz w:val="20"/>
        </w:rPr>
        <w:t>the</w:t>
      </w:r>
      <w:r>
        <w:rPr>
          <w:spacing w:val="12"/>
          <w:sz w:val="20"/>
        </w:rPr>
        <w:t> </w:t>
      </w:r>
      <w:r>
        <w:rPr>
          <w:sz w:val="20"/>
        </w:rPr>
        <w:t>estate.</w:t>
      </w:r>
      <w:r>
        <w:rPr>
          <w:position w:val="7"/>
          <w:sz w:val="11"/>
        </w:rPr>
        <w:t>28</w:t>
      </w:r>
    </w:p>
    <w:p>
      <w:pPr>
        <w:pStyle w:val="ListParagraph"/>
        <w:numPr>
          <w:ilvl w:val="1"/>
          <w:numId w:val="22"/>
        </w:numPr>
        <w:tabs>
          <w:tab w:pos="2381" w:val="left" w:leader="none"/>
          <w:tab w:pos="2382" w:val="left" w:leader="none"/>
        </w:tabs>
        <w:spacing w:line="242" w:lineRule="auto" w:before="126" w:after="0"/>
        <w:ind w:left="2381" w:right="1781" w:hanging="794"/>
        <w:jc w:val="left"/>
        <w:rPr>
          <w:sz w:val="12"/>
        </w:rPr>
      </w:pPr>
      <w:r>
        <w:rPr>
          <w:w w:val="105"/>
          <w:sz w:val="21"/>
        </w:rPr>
        <w:t>Some </w:t>
      </w:r>
      <w:r>
        <w:rPr>
          <w:spacing w:val="-3"/>
          <w:w w:val="105"/>
          <w:sz w:val="21"/>
        </w:rPr>
        <w:t>individuals </w:t>
      </w:r>
      <w:r>
        <w:rPr>
          <w:w w:val="105"/>
          <w:sz w:val="21"/>
        </w:rPr>
        <w:t>and </w:t>
      </w:r>
      <w:r>
        <w:rPr>
          <w:spacing w:val="-3"/>
          <w:w w:val="105"/>
          <w:sz w:val="21"/>
        </w:rPr>
        <w:t>organisations thought </w:t>
      </w:r>
      <w:r>
        <w:rPr>
          <w:w w:val="105"/>
          <w:sz w:val="21"/>
        </w:rPr>
        <w:t>it would be </w:t>
      </w:r>
      <w:r>
        <w:rPr>
          <w:spacing w:val="-3"/>
          <w:w w:val="105"/>
          <w:sz w:val="21"/>
        </w:rPr>
        <w:t>useful to have </w:t>
      </w:r>
      <w:r>
        <w:rPr>
          <w:w w:val="105"/>
          <w:sz w:val="21"/>
        </w:rPr>
        <w:t>the ademption rule in </w:t>
      </w:r>
      <w:r>
        <w:rPr>
          <w:spacing w:val="-3"/>
          <w:w w:val="105"/>
          <w:sz w:val="21"/>
        </w:rPr>
        <w:t>legislation rather than </w:t>
      </w:r>
      <w:r>
        <w:rPr>
          <w:w w:val="105"/>
          <w:sz w:val="21"/>
        </w:rPr>
        <w:t>as part of the </w:t>
      </w:r>
      <w:r>
        <w:rPr>
          <w:spacing w:val="-2"/>
          <w:w w:val="105"/>
          <w:sz w:val="21"/>
        </w:rPr>
        <w:t>common </w:t>
      </w:r>
      <w:r>
        <w:rPr>
          <w:spacing w:val="-3"/>
          <w:w w:val="105"/>
          <w:sz w:val="21"/>
        </w:rPr>
        <w:t>law.</w:t>
      </w:r>
      <w:r>
        <w:rPr>
          <w:spacing w:val="-3"/>
          <w:w w:val="105"/>
          <w:position w:val="7"/>
          <w:sz w:val="12"/>
        </w:rPr>
        <w:t>29 </w:t>
      </w:r>
      <w:r>
        <w:rPr>
          <w:w w:val="105"/>
          <w:sz w:val="21"/>
        </w:rPr>
        <w:t>Others </w:t>
      </w:r>
      <w:r>
        <w:rPr>
          <w:spacing w:val="-3"/>
          <w:w w:val="105"/>
          <w:sz w:val="21"/>
        </w:rPr>
        <w:t>felt that </w:t>
      </w:r>
      <w:r>
        <w:rPr>
          <w:w w:val="105"/>
          <w:sz w:val="21"/>
        </w:rPr>
        <w:t>the </w:t>
      </w:r>
      <w:r>
        <w:rPr>
          <w:spacing w:val="-2"/>
          <w:w w:val="105"/>
          <w:sz w:val="21"/>
        </w:rPr>
        <w:t>common </w:t>
      </w:r>
      <w:r>
        <w:rPr>
          <w:w w:val="105"/>
          <w:sz w:val="21"/>
        </w:rPr>
        <w:t>law is</w:t>
      </w:r>
      <w:r>
        <w:rPr>
          <w:spacing w:val="11"/>
          <w:w w:val="105"/>
          <w:sz w:val="21"/>
        </w:rPr>
        <w:t> </w:t>
      </w:r>
      <w:r>
        <w:rPr>
          <w:spacing w:val="-3"/>
          <w:w w:val="105"/>
          <w:sz w:val="21"/>
        </w:rPr>
        <w:t>adequate.</w:t>
      </w:r>
      <w:r>
        <w:rPr>
          <w:spacing w:val="-3"/>
          <w:w w:val="105"/>
          <w:position w:val="7"/>
          <w:sz w:val="12"/>
        </w:rPr>
        <w:t>30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2"/>
        </w:rPr>
      </w:pPr>
      <w:r>
        <w:rPr/>
        <w:pict>
          <v:line style="position:absolute;mso-position-horizontal-relative:page;mso-position-vertical-relative:paragraph;z-index:1832;mso-wrap-distance-left:0;mso-wrap-distance-right:0" from="79.370003pt,16.400146pt" to="515.905003pt,16.400146pt" stroked="true" strokeweight="1pt" strokecolor="#f9ceca">
            <v:stroke dashstyle="solid"/>
            <w10:wrap type="topAndBottom"/>
          </v:line>
        </w:pict>
      </w:r>
    </w:p>
    <w:p>
      <w:pPr>
        <w:pStyle w:val="ListParagraph"/>
        <w:numPr>
          <w:ilvl w:val="0"/>
          <w:numId w:val="40"/>
        </w:numPr>
        <w:tabs>
          <w:tab w:pos="2380" w:val="left" w:leader="none"/>
          <w:tab w:pos="2382" w:val="left" w:leader="none"/>
        </w:tabs>
        <w:spacing w:line="240" w:lineRule="auto" w:before="117" w:after="0"/>
        <w:ind w:left="2381" w:right="0" w:hanging="794"/>
        <w:jc w:val="left"/>
        <w:rPr>
          <w:sz w:val="13"/>
        </w:rPr>
      </w:pPr>
      <w:r>
        <w:rPr>
          <w:w w:val="105"/>
          <w:sz w:val="13"/>
        </w:rPr>
        <w:t>Submission </w:t>
      </w:r>
      <w:r>
        <w:rPr>
          <w:spacing w:val="-3"/>
          <w:w w:val="105"/>
          <w:sz w:val="13"/>
        </w:rPr>
        <w:t>14 </w:t>
      </w:r>
      <w:r>
        <w:rPr>
          <w:w w:val="105"/>
          <w:sz w:val="13"/>
        </w:rPr>
        <w:t>(Commercial Bar</w:t>
      </w:r>
      <w:r>
        <w:rPr>
          <w:spacing w:val="21"/>
          <w:w w:val="105"/>
          <w:sz w:val="13"/>
        </w:rPr>
        <w:t> </w:t>
      </w:r>
      <w:r>
        <w:rPr>
          <w:spacing w:val="2"/>
          <w:w w:val="105"/>
          <w:sz w:val="13"/>
        </w:rPr>
        <w:t>Association).</w:t>
      </w:r>
    </w:p>
    <w:p>
      <w:pPr>
        <w:pStyle w:val="ListParagraph"/>
        <w:numPr>
          <w:ilvl w:val="0"/>
          <w:numId w:val="40"/>
        </w:numPr>
        <w:tabs>
          <w:tab w:pos="2381" w:val="left" w:leader="none"/>
          <w:tab w:pos="2382" w:val="left" w:leader="none"/>
        </w:tabs>
        <w:spacing w:line="240" w:lineRule="auto" w:before="1" w:after="0"/>
        <w:ind w:left="2381" w:right="0" w:hanging="794"/>
        <w:jc w:val="left"/>
        <w:rPr>
          <w:sz w:val="13"/>
        </w:rPr>
      </w:pPr>
      <w:r>
        <w:rPr>
          <w:w w:val="105"/>
          <w:sz w:val="13"/>
        </w:rPr>
        <w:t>Submission 25 </w:t>
      </w:r>
      <w:r>
        <w:rPr>
          <w:spacing w:val="2"/>
          <w:w w:val="105"/>
          <w:sz w:val="13"/>
        </w:rPr>
        <w:t>(Moores</w:t>
      </w:r>
      <w:r>
        <w:rPr>
          <w:spacing w:val="13"/>
          <w:w w:val="105"/>
          <w:sz w:val="13"/>
        </w:rPr>
        <w:t> </w:t>
      </w:r>
      <w:r>
        <w:rPr>
          <w:w w:val="105"/>
          <w:sz w:val="13"/>
        </w:rPr>
        <w:t>Legal).</w:t>
      </w:r>
    </w:p>
    <w:p>
      <w:pPr>
        <w:pStyle w:val="ListParagraph"/>
        <w:numPr>
          <w:ilvl w:val="0"/>
          <w:numId w:val="40"/>
        </w:numPr>
        <w:tabs>
          <w:tab w:pos="2381" w:val="left" w:leader="none"/>
          <w:tab w:pos="2382" w:val="left" w:leader="none"/>
        </w:tabs>
        <w:spacing w:line="240" w:lineRule="auto" w:before="2" w:after="0"/>
        <w:ind w:left="2381" w:right="0" w:hanging="794"/>
        <w:jc w:val="left"/>
        <w:rPr>
          <w:sz w:val="13"/>
        </w:rPr>
      </w:pPr>
      <w:r>
        <w:rPr>
          <w:sz w:val="13"/>
        </w:rPr>
        <w:t>Ibid.</w:t>
      </w:r>
    </w:p>
    <w:p>
      <w:pPr>
        <w:pStyle w:val="ListParagraph"/>
        <w:numPr>
          <w:ilvl w:val="0"/>
          <w:numId w:val="40"/>
        </w:numPr>
        <w:tabs>
          <w:tab w:pos="2381" w:val="left" w:leader="none"/>
          <w:tab w:pos="2382" w:val="left" w:leader="none"/>
        </w:tabs>
        <w:spacing w:line="240" w:lineRule="auto" w:before="1" w:after="0"/>
        <w:ind w:left="2381" w:right="0" w:hanging="794"/>
        <w:jc w:val="left"/>
        <w:rPr>
          <w:sz w:val="13"/>
        </w:rPr>
      </w:pPr>
      <w:r>
        <w:rPr>
          <w:w w:val="105"/>
          <w:sz w:val="13"/>
        </w:rPr>
        <w:t>Submissions </w:t>
      </w:r>
      <w:r>
        <w:rPr>
          <w:spacing w:val="-3"/>
          <w:w w:val="105"/>
          <w:sz w:val="13"/>
        </w:rPr>
        <w:t>14 </w:t>
      </w:r>
      <w:r>
        <w:rPr>
          <w:w w:val="105"/>
          <w:sz w:val="13"/>
        </w:rPr>
        <w:t>(Commercial Bar </w:t>
      </w:r>
      <w:r>
        <w:rPr>
          <w:spacing w:val="2"/>
          <w:w w:val="105"/>
          <w:sz w:val="13"/>
        </w:rPr>
        <w:t>Association); </w:t>
      </w:r>
      <w:r>
        <w:rPr>
          <w:w w:val="105"/>
          <w:sz w:val="13"/>
        </w:rPr>
        <w:t>25 </w:t>
      </w:r>
      <w:r>
        <w:rPr>
          <w:spacing w:val="2"/>
          <w:w w:val="105"/>
          <w:sz w:val="13"/>
        </w:rPr>
        <w:t>(Moores</w:t>
      </w:r>
      <w:r>
        <w:rPr>
          <w:spacing w:val="33"/>
          <w:w w:val="105"/>
          <w:sz w:val="13"/>
        </w:rPr>
        <w:t> </w:t>
      </w:r>
      <w:r>
        <w:rPr>
          <w:w w:val="105"/>
          <w:sz w:val="13"/>
        </w:rPr>
        <w:t>Legal).</w:t>
      </w:r>
    </w:p>
    <w:p>
      <w:pPr>
        <w:pStyle w:val="ListParagraph"/>
        <w:numPr>
          <w:ilvl w:val="0"/>
          <w:numId w:val="40"/>
        </w:numPr>
        <w:tabs>
          <w:tab w:pos="2381" w:val="left" w:leader="none"/>
          <w:tab w:pos="2382" w:val="left" w:leader="none"/>
        </w:tabs>
        <w:spacing w:line="240" w:lineRule="auto" w:before="1" w:after="0"/>
        <w:ind w:left="2381" w:right="1815" w:hanging="794"/>
        <w:jc w:val="left"/>
        <w:rPr>
          <w:sz w:val="13"/>
        </w:rPr>
      </w:pPr>
      <w:r>
        <w:rPr>
          <w:w w:val="105"/>
          <w:sz w:val="13"/>
        </w:rPr>
        <w:t>This includes: some members of the Advisory Committee, submissions 30a </w:t>
      </w:r>
      <w:r>
        <w:rPr>
          <w:spacing w:val="3"/>
          <w:w w:val="105"/>
          <w:sz w:val="13"/>
        </w:rPr>
        <w:t>(Law </w:t>
      </w:r>
      <w:r>
        <w:rPr>
          <w:w w:val="105"/>
          <w:sz w:val="13"/>
        </w:rPr>
        <w:t>Institute of </w:t>
      </w:r>
      <w:r>
        <w:rPr>
          <w:spacing w:val="2"/>
          <w:w w:val="105"/>
          <w:sz w:val="13"/>
        </w:rPr>
        <w:t>Victoria); </w:t>
      </w:r>
      <w:r>
        <w:rPr>
          <w:w w:val="105"/>
          <w:sz w:val="13"/>
        </w:rPr>
        <w:t>21(Office of the Public Advocate);</w:t>
      </w:r>
      <w:r>
        <w:rPr>
          <w:spacing w:val="30"/>
          <w:w w:val="105"/>
          <w:sz w:val="13"/>
        </w:rPr>
        <w:t> </w:t>
      </w:r>
      <w:r>
        <w:rPr>
          <w:w w:val="105"/>
          <w:sz w:val="13"/>
        </w:rPr>
        <w:t>33</w:t>
      </w:r>
      <w:r>
        <w:rPr>
          <w:spacing w:val="5"/>
          <w:w w:val="105"/>
          <w:sz w:val="13"/>
        </w:rPr>
        <w:t> </w:t>
      </w:r>
      <w:r>
        <w:rPr>
          <w:w w:val="105"/>
          <w:sz w:val="13"/>
        </w:rPr>
        <w:t>(State</w:t>
      </w:r>
      <w:r>
        <w:rPr>
          <w:spacing w:val="5"/>
          <w:w w:val="105"/>
          <w:sz w:val="13"/>
        </w:rPr>
        <w:t> </w:t>
      </w:r>
      <w:r>
        <w:rPr>
          <w:w w:val="105"/>
          <w:sz w:val="13"/>
        </w:rPr>
        <w:t>Trustees</w:t>
      </w:r>
      <w:r>
        <w:rPr>
          <w:spacing w:val="5"/>
          <w:w w:val="105"/>
          <w:sz w:val="13"/>
        </w:rPr>
        <w:t> </w:t>
      </w:r>
      <w:r>
        <w:rPr>
          <w:w w:val="105"/>
          <w:sz w:val="13"/>
        </w:rPr>
        <w:t>Limited);</w:t>
      </w:r>
      <w:r>
        <w:rPr>
          <w:spacing w:val="5"/>
          <w:w w:val="105"/>
          <w:sz w:val="13"/>
        </w:rPr>
        <w:t> </w:t>
      </w:r>
      <w:r>
        <w:rPr>
          <w:w w:val="105"/>
          <w:sz w:val="13"/>
        </w:rPr>
        <w:t>36</w:t>
      </w:r>
      <w:r>
        <w:rPr>
          <w:spacing w:val="6"/>
          <w:w w:val="105"/>
          <w:sz w:val="13"/>
        </w:rPr>
        <w:t> </w:t>
      </w:r>
      <w:r>
        <w:rPr>
          <w:spacing w:val="3"/>
          <w:w w:val="105"/>
          <w:sz w:val="13"/>
        </w:rPr>
        <w:t>(Law</w:t>
      </w:r>
      <w:r>
        <w:rPr>
          <w:spacing w:val="5"/>
          <w:w w:val="105"/>
          <w:sz w:val="13"/>
        </w:rPr>
        <w:t> </w:t>
      </w:r>
      <w:r>
        <w:rPr>
          <w:w w:val="105"/>
          <w:sz w:val="13"/>
        </w:rPr>
        <w:t>Society</w:t>
      </w:r>
      <w:r>
        <w:rPr>
          <w:spacing w:val="5"/>
          <w:w w:val="105"/>
          <w:sz w:val="13"/>
        </w:rPr>
        <w:t> </w:t>
      </w:r>
      <w:r>
        <w:rPr>
          <w:w w:val="105"/>
          <w:sz w:val="13"/>
        </w:rPr>
        <w:t>of</w:t>
      </w:r>
      <w:r>
        <w:rPr>
          <w:spacing w:val="5"/>
          <w:w w:val="105"/>
          <w:sz w:val="13"/>
        </w:rPr>
        <w:t> </w:t>
      </w:r>
      <w:r>
        <w:rPr>
          <w:w w:val="105"/>
          <w:sz w:val="13"/>
        </w:rPr>
        <w:t>New</w:t>
      </w:r>
      <w:r>
        <w:rPr>
          <w:spacing w:val="5"/>
          <w:w w:val="105"/>
          <w:sz w:val="13"/>
        </w:rPr>
        <w:t> </w:t>
      </w:r>
      <w:r>
        <w:rPr>
          <w:w w:val="105"/>
          <w:sz w:val="13"/>
        </w:rPr>
        <w:t>South</w:t>
      </w:r>
      <w:r>
        <w:rPr>
          <w:spacing w:val="6"/>
          <w:w w:val="105"/>
          <w:sz w:val="13"/>
        </w:rPr>
        <w:t> </w:t>
      </w:r>
      <w:r>
        <w:rPr>
          <w:w w:val="105"/>
          <w:sz w:val="13"/>
        </w:rPr>
        <w:t>Wales);</w:t>
      </w:r>
      <w:r>
        <w:rPr>
          <w:spacing w:val="5"/>
          <w:w w:val="105"/>
          <w:sz w:val="13"/>
        </w:rPr>
        <w:t> </w:t>
      </w:r>
      <w:r>
        <w:rPr>
          <w:w w:val="105"/>
          <w:sz w:val="13"/>
        </w:rPr>
        <w:t>38</w:t>
      </w:r>
      <w:r>
        <w:rPr>
          <w:spacing w:val="5"/>
          <w:w w:val="105"/>
          <w:sz w:val="13"/>
        </w:rPr>
        <w:t> </w:t>
      </w:r>
      <w:r>
        <w:rPr>
          <w:spacing w:val="2"/>
          <w:w w:val="105"/>
          <w:sz w:val="13"/>
        </w:rPr>
        <w:t>(Liz</w:t>
      </w:r>
      <w:r>
        <w:rPr>
          <w:spacing w:val="5"/>
          <w:w w:val="105"/>
          <w:sz w:val="13"/>
        </w:rPr>
        <w:t> </w:t>
      </w:r>
      <w:r>
        <w:rPr>
          <w:spacing w:val="2"/>
          <w:w w:val="105"/>
          <w:sz w:val="13"/>
        </w:rPr>
        <w:t>Burton);</w:t>
      </w:r>
      <w:r>
        <w:rPr>
          <w:spacing w:val="6"/>
          <w:w w:val="105"/>
          <w:sz w:val="13"/>
        </w:rPr>
        <w:t> </w:t>
      </w:r>
      <w:r>
        <w:rPr>
          <w:w w:val="105"/>
          <w:sz w:val="13"/>
        </w:rPr>
        <w:t>39</w:t>
      </w:r>
      <w:r>
        <w:rPr>
          <w:spacing w:val="5"/>
          <w:w w:val="105"/>
          <w:sz w:val="13"/>
        </w:rPr>
        <w:t> </w:t>
      </w:r>
      <w:r>
        <w:rPr>
          <w:w w:val="105"/>
          <w:sz w:val="13"/>
        </w:rPr>
        <w:t>(Carolyn</w:t>
      </w:r>
      <w:r>
        <w:rPr>
          <w:spacing w:val="5"/>
          <w:w w:val="105"/>
          <w:sz w:val="13"/>
        </w:rPr>
        <w:t> </w:t>
      </w:r>
      <w:r>
        <w:rPr>
          <w:w w:val="105"/>
          <w:sz w:val="13"/>
        </w:rPr>
        <w:t>Sparke</w:t>
      </w:r>
      <w:r>
        <w:rPr>
          <w:spacing w:val="5"/>
          <w:w w:val="105"/>
          <w:sz w:val="13"/>
        </w:rPr>
        <w:t> </w:t>
      </w:r>
      <w:r>
        <w:rPr>
          <w:w w:val="105"/>
          <w:sz w:val="13"/>
        </w:rPr>
        <w:t>SC).</w:t>
      </w:r>
    </w:p>
    <w:p>
      <w:pPr>
        <w:pStyle w:val="ListParagraph"/>
        <w:numPr>
          <w:ilvl w:val="0"/>
          <w:numId w:val="40"/>
        </w:numPr>
        <w:tabs>
          <w:tab w:pos="2381" w:val="left" w:leader="none"/>
          <w:tab w:pos="2382" w:val="left" w:leader="none"/>
        </w:tabs>
        <w:spacing w:line="240" w:lineRule="auto" w:before="3" w:after="0"/>
        <w:ind w:left="2381" w:right="0" w:hanging="794"/>
        <w:jc w:val="left"/>
        <w:rPr>
          <w:sz w:val="13"/>
        </w:rPr>
      </w:pPr>
      <w:r>
        <w:rPr>
          <w:w w:val="105"/>
          <w:sz w:val="13"/>
        </w:rPr>
        <w:t>Advisory Committee (Meeting</w:t>
      </w:r>
      <w:r>
        <w:rPr>
          <w:spacing w:val="13"/>
          <w:w w:val="105"/>
          <w:sz w:val="13"/>
        </w:rPr>
        <w:t> </w:t>
      </w:r>
      <w:r>
        <w:rPr>
          <w:spacing w:val="2"/>
          <w:w w:val="105"/>
          <w:sz w:val="13"/>
        </w:rPr>
        <w:t>2).</w:t>
      </w:r>
    </w:p>
    <w:p>
      <w:pPr>
        <w:pStyle w:val="ListParagraph"/>
        <w:numPr>
          <w:ilvl w:val="0"/>
          <w:numId w:val="40"/>
        </w:numPr>
        <w:tabs>
          <w:tab w:pos="2381" w:val="left" w:leader="none"/>
          <w:tab w:pos="2382" w:val="left" w:leader="none"/>
        </w:tabs>
        <w:spacing w:line="240" w:lineRule="auto" w:before="1" w:after="0"/>
        <w:ind w:left="2381" w:right="0" w:hanging="794"/>
        <w:jc w:val="left"/>
        <w:rPr>
          <w:sz w:val="13"/>
        </w:rPr>
      </w:pPr>
      <w:r>
        <w:rPr>
          <w:sz w:val="13"/>
        </w:rPr>
        <w:t>Ibid.</w:t>
      </w:r>
    </w:p>
    <w:p>
      <w:pPr>
        <w:pStyle w:val="ListParagraph"/>
        <w:numPr>
          <w:ilvl w:val="0"/>
          <w:numId w:val="40"/>
        </w:numPr>
        <w:tabs>
          <w:tab w:pos="2381" w:val="left" w:leader="none"/>
          <w:tab w:pos="2382" w:val="left" w:leader="none"/>
        </w:tabs>
        <w:spacing w:line="240" w:lineRule="auto" w:before="2" w:after="0"/>
        <w:ind w:left="2381" w:right="0" w:hanging="794"/>
        <w:jc w:val="left"/>
        <w:rPr>
          <w:sz w:val="13"/>
        </w:rPr>
      </w:pPr>
      <w:r>
        <w:rPr>
          <w:w w:val="105"/>
          <w:sz w:val="13"/>
        </w:rPr>
        <w:t>Submission 30a </w:t>
      </w:r>
      <w:r>
        <w:rPr>
          <w:spacing w:val="3"/>
          <w:w w:val="105"/>
          <w:sz w:val="13"/>
        </w:rPr>
        <w:t>(Law </w:t>
      </w:r>
      <w:r>
        <w:rPr>
          <w:w w:val="105"/>
          <w:sz w:val="13"/>
        </w:rPr>
        <w:t>Institute of</w:t>
      </w:r>
      <w:r>
        <w:rPr>
          <w:spacing w:val="19"/>
          <w:w w:val="105"/>
          <w:sz w:val="13"/>
        </w:rPr>
        <w:t> </w:t>
      </w:r>
      <w:r>
        <w:rPr>
          <w:spacing w:val="2"/>
          <w:w w:val="105"/>
          <w:sz w:val="13"/>
        </w:rPr>
        <w:t>Victoria).</w:t>
      </w:r>
    </w:p>
    <w:p>
      <w:pPr>
        <w:pStyle w:val="ListParagraph"/>
        <w:numPr>
          <w:ilvl w:val="0"/>
          <w:numId w:val="40"/>
        </w:numPr>
        <w:tabs>
          <w:tab w:pos="2381" w:val="left" w:leader="none"/>
          <w:tab w:pos="2382" w:val="left" w:leader="none"/>
        </w:tabs>
        <w:spacing w:line="240" w:lineRule="auto" w:before="1" w:after="0"/>
        <w:ind w:left="2381" w:right="0" w:hanging="794"/>
        <w:jc w:val="left"/>
        <w:rPr>
          <w:sz w:val="13"/>
        </w:rPr>
      </w:pPr>
      <w:r>
        <w:rPr>
          <w:sz w:val="13"/>
        </w:rPr>
        <w:t>Submission 32 </w:t>
      </w:r>
      <w:r>
        <w:rPr>
          <w:spacing w:val="2"/>
          <w:sz w:val="13"/>
        </w:rPr>
        <w:t>(The </w:t>
      </w:r>
      <w:r>
        <w:rPr>
          <w:sz w:val="13"/>
        </w:rPr>
        <w:t>Institute of Legal</w:t>
      </w:r>
      <w:r>
        <w:rPr>
          <w:spacing w:val="8"/>
          <w:sz w:val="13"/>
        </w:rPr>
        <w:t> </w:t>
      </w:r>
      <w:r>
        <w:rPr>
          <w:sz w:val="13"/>
        </w:rPr>
        <w:t>Executives).</w:t>
      </w:r>
    </w:p>
    <w:p>
      <w:pPr>
        <w:pStyle w:val="ListParagraph"/>
        <w:numPr>
          <w:ilvl w:val="0"/>
          <w:numId w:val="40"/>
        </w:numPr>
        <w:tabs>
          <w:tab w:pos="2381" w:val="left" w:leader="none"/>
          <w:tab w:pos="2382" w:val="left" w:leader="none"/>
        </w:tabs>
        <w:spacing w:line="240" w:lineRule="auto" w:before="1" w:after="0"/>
        <w:ind w:left="2381" w:right="0" w:hanging="794"/>
        <w:jc w:val="left"/>
        <w:rPr>
          <w:sz w:val="13"/>
        </w:rPr>
      </w:pPr>
      <w:r>
        <w:rPr>
          <w:w w:val="105"/>
          <w:sz w:val="13"/>
        </w:rPr>
        <w:t>Submission 39 (Carolyn Sparke</w:t>
      </w:r>
      <w:r>
        <w:rPr>
          <w:spacing w:val="18"/>
          <w:w w:val="105"/>
          <w:sz w:val="13"/>
        </w:rPr>
        <w:t> </w:t>
      </w:r>
      <w:r>
        <w:rPr>
          <w:w w:val="105"/>
          <w:sz w:val="13"/>
        </w:rPr>
        <w:t>SC).</w:t>
      </w:r>
    </w:p>
    <w:p>
      <w:pPr>
        <w:pStyle w:val="ListParagraph"/>
        <w:numPr>
          <w:ilvl w:val="0"/>
          <w:numId w:val="40"/>
        </w:numPr>
        <w:tabs>
          <w:tab w:pos="2381" w:val="left" w:leader="none"/>
          <w:tab w:pos="2382" w:val="left" w:leader="none"/>
        </w:tabs>
        <w:spacing w:line="240" w:lineRule="auto" w:before="2" w:after="0"/>
        <w:ind w:left="2381" w:right="0" w:hanging="794"/>
        <w:jc w:val="left"/>
        <w:rPr>
          <w:sz w:val="13"/>
        </w:rPr>
      </w:pPr>
      <w:r>
        <w:rPr>
          <w:w w:val="105"/>
          <w:sz w:val="13"/>
        </w:rPr>
        <w:t>Submission 33 (State Trustees</w:t>
      </w:r>
      <w:r>
        <w:rPr>
          <w:spacing w:val="18"/>
          <w:w w:val="105"/>
          <w:sz w:val="13"/>
        </w:rPr>
        <w:t> </w:t>
      </w:r>
      <w:r>
        <w:rPr>
          <w:w w:val="105"/>
          <w:sz w:val="13"/>
        </w:rPr>
        <w:t>Limited).</w:t>
      </w:r>
    </w:p>
    <w:p>
      <w:pPr>
        <w:pStyle w:val="ListParagraph"/>
        <w:numPr>
          <w:ilvl w:val="0"/>
          <w:numId w:val="40"/>
        </w:numPr>
        <w:tabs>
          <w:tab w:pos="2381" w:val="left" w:leader="none"/>
          <w:tab w:pos="2382" w:val="left" w:leader="none"/>
        </w:tabs>
        <w:spacing w:line="240" w:lineRule="auto" w:before="1" w:after="0"/>
        <w:ind w:left="2381" w:right="0" w:hanging="794"/>
        <w:jc w:val="left"/>
        <w:rPr>
          <w:sz w:val="13"/>
        </w:rPr>
      </w:pPr>
      <w:r>
        <w:rPr>
          <w:sz w:val="13"/>
        </w:rPr>
        <w:t>Ibid.</w:t>
      </w:r>
    </w:p>
    <w:p>
      <w:pPr>
        <w:pStyle w:val="ListParagraph"/>
        <w:numPr>
          <w:ilvl w:val="0"/>
          <w:numId w:val="40"/>
        </w:numPr>
        <w:tabs>
          <w:tab w:pos="2381" w:val="left" w:leader="none"/>
          <w:tab w:pos="2382" w:val="left" w:leader="none"/>
        </w:tabs>
        <w:spacing w:line="240" w:lineRule="auto" w:before="1" w:after="0"/>
        <w:ind w:left="2381" w:right="0" w:hanging="794"/>
        <w:jc w:val="left"/>
        <w:rPr>
          <w:sz w:val="13"/>
        </w:rPr>
      </w:pPr>
      <w:r>
        <w:rPr/>
        <w:pict>
          <v:shape style="position:absolute;margin-left:548.941895pt;margin-top:2.855465pt;width:13.25pt;height:14.25pt;mso-position-horizontal-relative:page;mso-position-vertical-relative:paragraph;z-index:3904" type="#_x0000_t202" filled="false" stroked="false">
            <v:textbox inset="0,0,0,0">
              <w:txbxContent>
                <w:p>
                  <w:pPr>
                    <w:spacing w:line="284" w:lineRule="exact" w:before="0"/>
                    <w:ind w:left="0" w:right="0" w:firstLine="0"/>
                    <w:jc w:val="left"/>
                    <w:rPr>
                      <w:b/>
                      <w:sz w:val="24"/>
                    </w:rPr>
                  </w:pPr>
                  <w:r>
                    <w:rPr>
                      <w:b/>
                      <w:color w:val="EC5A4F"/>
                      <w:w w:val="105"/>
                      <w:sz w:val="24"/>
                    </w:rPr>
                    <w:t>39</w:t>
                  </w:r>
                </w:p>
              </w:txbxContent>
            </v:textbox>
            <w10:wrap type="none"/>
          </v:shape>
        </w:pict>
      </w:r>
      <w:r>
        <w:rPr>
          <w:w w:val="105"/>
          <w:sz w:val="13"/>
        </w:rPr>
        <w:t>Submissions</w:t>
      </w:r>
      <w:r>
        <w:rPr>
          <w:spacing w:val="4"/>
          <w:w w:val="105"/>
          <w:sz w:val="13"/>
        </w:rPr>
        <w:t> </w:t>
      </w:r>
      <w:r>
        <w:rPr>
          <w:w w:val="105"/>
          <w:sz w:val="13"/>
        </w:rPr>
        <w:t>8</w:t>
      </w:r>
      <w:r>
        <w:rPr>
          <w:spacing w:val="5"/>
          <w:w w:val="105"/>
          <w:sz w:val="13"/>
        </w:rPr>
        <w:t> </w:t>
      </w:r>
      <w:r>
        <w:rPr>
          <w:w w:val="105"/>
          <w:sz w:val="13"/>
        </w:rPr>
        <w:t>(Patricia</w:t>
      </w:r>
      <w:r>
        <w:rPr>
          <w:spacing w:val="4"/>
          <w:w w:val="105"/>
          <w:sz w:val="13"/>
        </w:rPr>
        <w:t> </w:t>
      </w:r>
      <w:r>
        <w:rPr>
          <w:w w:val="105"/>
          <w:sz w:val="13"/>
        </w:rPr>
        <w:t>Strachan);</w:t>
      </w:r>
      <w:r>
        <w:rPr>
          <w:spacing w:val="5"/>
          <w:w w:val="105"/>
          <w:sz w:val="13"/>
        </w:rPr>
        <w:t> </w:t>
      </w:r>
      <w:r>
        <w:rPr>
          <w:w w:val="105"/>
          <w:sz w:val="13"/>
        </w:rPr>
        <w:t>25</w:t>
      </w:r>
      <w:r>
        <w:rPr>
          <w:spacing w:val="4"/>
          <w:w w:val="105"/>
          <w:sz w:val="13"/>
        </w:rPr>
        <w:t> </w:t>
      </w:r>
      <w:r>
        <w:rPr>
          <w:spacing w:val="2"/>
          <w:w w:val="105"/>
          <w:sz w:val="13"/>
        </w:rPr>
        <w:t>(Moores</w:t>
      </w:r>
      <w:r>
        <w:rPr>
          <w:spacing w:val="5"/>
          <w:w w:val="105"/>
          <w:sz w:val="13"/>
        </w:rPr>
        <w:t> </w:t>
      </w:r>
      <w:r>
        <w:rPr>
          <w:w w:val="105"/>
          <w:sz w:val="13"/>
        </w:rPr>
        <w:t>Legal);</w:t>
      </w:r>
      <w:r>
        <w:rPr>
          <w:spacing w:val="4"/>
          <w:w w:val="105"/>
          <w:sz w:val="13"/>
        </w:rPr>
        <w:t> </w:t>
      </w:r>
      <w:r>
        <w:rPr>
          <w:w w:val="105"/>
          <w:sz w:val="13"/>
        </w:rPr>
        <w:t>32</w:t>
      </w:r>
      <w:r>
        <w:rPr>
          <w:spacing w:val="5"/>
          <w:w w:val="105"/>
          <w:sz w:val="13"/>
        </w:rPr>
        <w:t> </w:t>
      </w:r>
      <w:r>
        <w:rPr>
          <w:spacing w:val="2"/>
          <w:w w:val="105"/>
          <w:sz w:val="13"/>
        </w:rPr>
        <w:t>(The</w:t>
      </w:r>
      <w:r>
        <w:rPr>
          <w:spacing w:val="4"/>
          <w:w w:val="105"/>
          <w:sz w:val="13"/>
        </w:rPr>
        <w:t> </w:t>
      </w:r>
      <w:r>
        <w:rPr>
          <w:w w:val="105"/>
          <w:sz w:val="13"/>
        </w:rPr>
        <w:t>Institute</w:t>
      </w:r>
      <w:r>
        <w:rPr>
          <w:spacing w:val="5"/>
          <w:w w:val="105"/>
          <w:sz w:val="13"/>
        </w:rPr>
        <w:t> </w:t>
      </w:r>
      <w:r>
        <w:rPr>
          <w:w w:val="105"/>
          <w:sz w:val="13"/>
        </w:rPr>
        <w:t>of</w:t>
      </w:r>
      <w:r>
        <w:rPr>
          <w:spacing w:val="4"/>
          <w:w w:val="105"/>
          <w:sz w:val="13"/>
        </w:rPr>
        <w:t> </w:t>
      </w:r>
      <w:r>
        <w:rPr>
          <w:w w:val="105"/>
          <w:sz w:val="13"/>
        </w:rPr>
        <w:t>Legal</w:t>
      </w:r>
      <w:r>
        <w:rPr>
          <w:spacing w:val="5"/>
          <w:w w:val="105"/>
          <w:sz w:val="13"/>
        </w:rPr>
        <w:t> </w:t>
      </w:r>
      <w:r>
        <w:rPr>
          <w:w w:val="105"/>
          <w:sz w:val="13"/>
        </w:rPr>
        <w:t>Executives).</w:t>
      </w:r>
    </w:p>
    <w:p>
      <w:pPr>
        <w:pStyle w:val="ListParagraph"/>
        <w:numPr>
          <w:ilvl w:val="0"/>
          <w:numId w:val="40"/>
        </w:numPr>
        <w:tabs>
          <w:tab w:pos="2381" w:val="left" w:leader="none"/>
          <w:tab w:pos="2382" w:val="left" w:leader="none"/>
        </w:tabs>
        <w:spacing w:line="240" w:lineRule="auto" w:before="2" w:after="0"/>
        <w:ind w:left="2381" w:right="0" w:hanging="794"/>
        <w:jc w:val="left"/>
        <w:rPr>
          <w:sz w:val="13"/>
        </w:rPr>
      </w:pPr>
      <w:r>
        <w:rPr>
          <w:w w:val="105"/>
          <w:sz w:val="13"/>
        </w:rPr>
        <w:t>Submissions 30a </w:t>
      </w:r>
      <w:r>
        <w:rPr>
          <w:spacing w:val="3"/>
          <w:w w:val="105"/>
          <w:sz w:val="13"/>
        </w:rPr>
        <w:t>(Law </w:t>
      </w:r>
      <w:r>
        <w:rPr>
          <w:w w:val="105"/>
          <w:sz w:val="13"/>
        </w:rPr>
        <w:t>Institute of </w:t>
      </w:r>
      <w:r>
        <w:rPr>
          <w:spacing w:val="2"/>
          <w:w w:val="105"/>
          <w:sz w:val="13"/>
        </w:rPr>
        <w:t>Victoria); </w:t>
      </w:r>
      <w:r>
        <w:rPr>
          <w:w w:val="105"/>
          <w:sz w:val="13"/>
        </w:rPr>
        <w:t>33 (State Trustees</w:t>
      </w:r>
      <w:r>
        <w:rPr>
          <w:spacing w:val="3"/>
          <w:w w:val="105"/>
          <w:sz w:val="13"/>
        </w:rPr>
        <w:t> </w:t>
      </w:r>
      <w:r>
        <w:rPr>
          <w:w w:val="105"/>
          <w:sz w:val="13"/>
        </w:rPr>
        <w:t>Limited).</w:t>
      </w:r>
    </w:p>
    <w:p>
      <w:pPr>
        <w:spacing w:after="0" w:line="240" w:lineRule="auto"/>
        <w:jc w:val="left"/>
        <w:rPr>
          <w:sz w:val="13"/>
        </w:rPr>
        <w:sectPr>
          <w:pgSz w:w="11910" w:h="16840"/>
          <w:pgMar w:header="805" w:footer="0" w:top="1360" w:bottom="280" w:left="0" w:right="0"/>
        </w:sectPr>
      </w:pPr>
    </w:p>
    <w:p>
      <w:pPr>
        <w:pStyle w:val="BodyText"/>
        <w:spacing w:before="11"/>
      </w:pPr>
    </w:p>
    <w:p>
      <w:pPr>
        <w:pStyle w:val="Heading5"/>
        <w:spacing w:before="99"/>
      </w:pPr>
      <w:bookmarkStart w:name="Acts by substitute decision makers" w:id="33"/>
      <w:bookmarkEnd w:id="33"/>
      <w:r>
        <w:rPr>
          <w:b w:val="0"/>
        </w:rPr>
      </w:r>
      <w:r>
        <w:rPr>
          <w:w w:val="115"/>
        </w:rPr>
        <w:t>Commission’s views and conclusions</w:t>
      </w:r>
    </w:p>
    <w:p>
      <w:pPr>
        <w:pStyle w:val="ListParagraph"/>
        <w:numPr>
          <w:ilvl w:val="1"/>
          <w:numId w:val="22"/>
        </w:numPr>
        <w:tabs>
          <w:tab w:pos="2381" w:val="left" w:leader="none"/>
          <w:tab w:pos="2382" w:val="left" w:leader="none"/>
        </w:tabs>
        <w:spacing w:line="242" w:lineRule="auto" w:before="137" w:after="0"/>
        <w:ind w:left="2381" w:right="2000" w:hanging="794"/>
        <w:jc w:val="left"/>
        <w:rPr>
          <w:sz w:val="21"/>
        </w:rPr>
      </w:pPr>
      <w:r>
        <w:rPr>
          <w:w w:val="105"/>
          <w:sz w:val="21"/>
        </w:rPr>
        <w:t>The </w:t>
      </w:r>
      <w:r>
        <w:rPr>
          <w:spacing w:val="-3"/>
          <w:w w:val="105"/>
          <w:sz w:val="21"/>
        </w:rPr>
        <w:t>Commission </w:t>
      </w:r>
      <w:r>
        <w:rPr>
          <w:w w:val="105"/>
          <w:sz w:val="21"/>
        </w:rPr>
        <w:t>considers </w:t>
      </w:r>
      <w:r>
        <w:rPr>
          <w:spacing w:val="-3"/>
          <w:w w:val="105"/>
          <w:sz w:val="21"/>
        </w:rPr>
        <w:t>that </w:t>
      </w:r>
      <w:r>
        <w:rPr>
          <w:w w:val="105"/>
          <w:sz w:val="21"/>
        </w:rPr>
        <w:t>no </w:t>
      </w:r>
      <w:r>
        <w:rPr>
          <w:spacing w:val="-3"/>
          <w:w w:val="105"/>
          <w:sz w:val="21"/>
        </w:rPr>
        <w:t>change to </w:t>
      </w:r>
      <w:r>
        <w:rPr>
          <w:w w:val="105"/>
          <w:sz w:val="21"/>
        </w:rPr>
        <w:t>the </w:t>
      </w:r>
      <w:r>
        <w:rPr>
          <w:spacing w:val="-2"/>
          <w:w w:val="105"/>
          <w:sz w:val="21"/>
        </w:rPr>
        <w:t>common </w:t>
      </w:r>
      <w:r>
        <w:rPr>
          <w:w w:val="105"/>
          <w:sz w:val="21"/>
        </w:rPr>
        <w:t>law rule of ademption is necessary.</w:t>
      </w:r>
      <w:r>
        <w:rPr>
          <w:spacing w:val="-10"/>
          <w:w w:val="105"/>
          <w:sz w:val="21"/>
        </w:rPr>
        <w:t> </w:t>
      </w:r>
      <w:r>
        <w:rPr>
          <w:w w:val="105"/>
          <w:sz w:val="21"/>
        </w:rPr>
        <w:t>While</w:t>
      </w:r>
      <w:r>
        <w:rPr>
          <w:spacing w:val="-10"/>
          <w:w w:val="105"/>
          <w:sz w:val="21"/>
        </w:rPr>
        <w:t> </w:t>
      </w:r>
      <w:r>
        <w:rPr>
          <w:w w:val="105"/>
          <w:sz w:val="21"/>
        </w:rPr>
        <w:t>an</w:t>
      </w:r>
      <w:r>
        <w:rPr>
          <w:spacing w:val="-10"/>
          <w:w w:val="105"/>
          <w:sz w:val="21"/>
        </w:rPr>
        <w:t> </w:t>
      </w:r>
      <w:r>
        <w:rPr>
          <w:spacing w:val="-3"/>
          <w:w w:val="105"/>
          <w:sz w:val="21"/>
        </w:rPr>
        <w:t>intention</w:t>
      </w:r>
      <w:r>
        <w:rPr>
          <w:spacing w:val="-10"/>
          <w:w w:val="105"/>
          <w:sz w:val="21"/>
        </w:rPr>
        <w:t> </w:t>
      </w:r>
      <w:r>
        <w:rPr>
          <w:w w:val="105"/>
          <w:sz w:val="21"/>
        </w:rPr>
        <w:t>approach</w:t>
      </w:r>
      <w:r>
        <w:rPr>
          <w:spacing w:val="-10"/>
          <w:w w:val="105"/>
          <w:sz w:val="21"/>
        </w:rPr>
        <w:t> </w:t>
      </w:r>
      <w:r>
        <w:rPr>
          <w:spacing w:val="-3"/>
          <w:w w:val="105"/>
          <w:sz w:val="21"/>
        </w:rPr>
        <w:t>may</w:t>
      </w:r>
      <w:r>
        <w:rPr>
          <w:spacing w:val="-10"/>
          <w:w w:val="105"/>
          <w:sz w:val="21"/>
        </w:rPr>
        <w:t> </w:t>
      </w:r>
      <w:r>
        <w:rPr>
          <w:w w:val="105"/>
          <w:sz w:val="21"/>
        </w:rPr>
        <w:t>lead</w:t>
      </w:r>
      <w:r>
        <w:rPr>
          <w:spacing w:val="-10"/>
          <w:w w:val="105"/>
          <w:sz w:val="21"/>
        </w:rPr>
        <w:t> </w:t>
      </w:r>
      <w:r>
        <w:rPr>
          <w:spacing w:val="-3"/>
          <w:w w:val="105"/>
          <w:sz w:val="21"/>
        </w:rPr>
        <w:t>to</w:t>
      </w:r>
      <w:r>
        <w:rPr>
          <w:spacing w:val="-10"/>
          <w:w w:val="105"/>
          <w:sz w:val="21"/>
        </w:rPr>
        <w:t> </w:t>
      </w:r>
      <w:r>
        <w:rPr>
          <w:w w:val="105"/>
          <w:sz w:val="21"/>
        </w:rPr>
        <w:t>a</w:t>
      </w:r>
      <w:r>
        <w:rPr>
          <w:spacing w:val="-9"/>
          <w:w w:val="105"/>
          <w:sz w:val="21"/>
        </w:rPr>
        <w:t> </w:t>
      </w:r>
      <w:r>
        <w:rPr>
          <w:spacing w:val="-4"/>
          <w:w w:val="105"/>
          <w:sz w:val="21"/>
        </w:rPr>
        <w:t>fairer</w:t>
      </w:r>
      <w:r>
        <w:rPr>
          <w:spacing w:val="-10"/>
          <w:w w:val="105"/>
          <w:sz w:val="21"/>
        </w:rPr>
        <w:t> </w:t>
      </w:r>
      <w:r>
        <w:rPr>
          <w:spacing w:val="-3"/>
          <w:w w:val="105"/>
          <w:sz w:val="21"/>
        </w:rPr>
        <w:t>outcome</w:t>
      </w:r>
      <w:r>
        <w:rPr>
          <w:spacing w:val="-10"/>
          <w:w w:val="105"/>
          <w:sz w:val="21"/>
        </w:rPr>
        <w:t> </w:t>
      </w:r>
      <w:r>
        <w:rPr>
          <w:spacing w:val="-3"/>
          <w:w w:val="105"/>
          <w:sz w:val="21"/>
        </w:rPr>
        <w:t>for</w:t>
      </w:r>
      <w:r>
        <w:rPr>
          <w:spacing w:val="-10"/>
          <w:w w:val="105"/>
          <w:sz w:val="21"/>
        </w:rPr>
        <w:t> </w:t>
      </w:r>
      <w:r>
        <w:rPr>
          <w:w w:val="105"/>
          <w:sz w:val="21"/>
        </w:rPr>
        <w:t>beneficiaries of</w:t>
      </w:r>
      <w:r>
        <w:rPr>
          <w:spacing w:val="-7"/>
          <w:w w:val="105"/>
          <w:sz w:val="21"/>
        </w:rPr>
        <w:t> </w:t>
      </w:r>
      <w:r>
        <w:rPr>
          <w:w w:val="105"/>
          <w:sz w:val="21"/>
        </w:rPr>
        <w:t>otherwise</w:t>
      </w:r>
      <w:r>
        <w:rPr>
          <w:spacing w:val="-7"/>
          <w:w w:val="105"/>
          <w:sz w:val="21"/>
        </w:rPr>
        <w:t> </w:t>
      </w:r>
      <w:r>
        <w:rPr>
          <w:w w:val="105"/>
          <w:sz w:val="21"/>
        </w:rPr>
        <w:t>adeemed</w:t>
      </w:r>
      <w:r>
        <w:rPr>
          <w:spacing w:val="-7"/>
          <w:w w:val="105"/>
          <w:sz w:val="21"/>
        </w:rPr>
        <w:t> </w:t>
      </w:r>
      <w:r>
        <w:rPr>
          <w:w w:val="105"/>
          <w:sz w:val="21"/>
        </w:rPr>
        <w:t>gifts,</w:t>
      </w:r>
      <w:r>
        <w:rPr>
          <w:spacing w:val="-7"/>
          <w:w w:val="105"/>
          <w:sz w:val="21"/>
        </w:rPr>
        <w:t> </w:t>
      </w:r>
      <w:r>
        <w:rPr>
          <w:w w:val="105"/>
          <w:sz w:val="21"/>
        </w:rPr>
        <w:t>it</w:t>
      </w:r>
      <w:r>
        <w:rPr>
          <w:spacing w:val="-6"/>
          <w:w w:val="105"/>
          <w:sz w:val="21"/>
        </w:rPr>
        <w:t> </w:t>
      </w:r>
      <w:r>
        <w:rPr>
          <w:w w:val="105"/>
          <w:sz w:val="21"/>
        </w:rPr>
        <w:t>also</w:t>
      </w:r>
      <w:r>
        <w:rPr>
          <w:spacing w:val="-7"/>
          <w:w w:val="105"/>
          <w:sz w:val="21"/>
        </w:rPr>
        <w:t> </w:t>
      </w:r>
      <w:r>
        <w:rPr>
          <w:spacing w:val="-2"/>
          <w:w w:val="105"/>
          <w:sz w:val="21"/>
        </w:rPr>
        <w:t>has</w:t>
      </w:r>
      <w:r>
        <w:rPr>
          <w:spacing w:val="-7"/>
          <w:w w:val="105"/>
          <w:sz w:val="21"/>
        </w:rPr>
        <w:t> </w:t>
      </w:r>
      <w:r>
        <w:rPr>
          <w:w w:val="105"/>
          <w:sz w:val="21"/>
        </w:rPr>
        <w:t>the</w:t>
      </w:r>
      <w:r>
        <w:rPr>
          <w:spacing w:val="-7"/>
          <w:w w:val="105"/>
          <w:sz w:val="21"/>
        </w:rPr>
        <w:t> </w:t>
      </w:r>
      <w:r>
        <w:rPr>
          <w:spacing w:val="-3"/>
          <w:w w:val="105"/>
          <w:sz w:val="21"/>
        </w:rPr>
        <w:t>potential</w:t>
      </w:r>
      <w:r>
        <w:rPr>
          <w:spacing w:val="-6"/>
          <w:w w:val="105"/>
          <w:sz w:val="21"/>
        </w:rPr>
        <w:t> </w:t>
      </w:r>
      <w:r>
        <w:rPr>
          <w:spacing w:val="-3"/>
          <w:w w:val="105"/>
          <w:sz w:val="21"/>
        </w:rPr>
        <w:t>to</w:t>
      </w:r>
      <w:r>
        <w:rPr>
          <w:spacing w:val="-7"/>
          <w:w w:val="105"/>
          <w:sz w:val="21"/>
        </w:rPr>
        <w:t> </w:t>
      </w:r>
      <w:r>
        <w:rPr>
          <w:spacing w:val="-2"/>
          <w:w w:val="105"/>
          <w:sz w:val="21"/>
        </w:rPr>
        <w:t>significantly</w:t>
      </w:r>
      <w:r>
        <w:rPr>
          <w:spacing w:val="-7"/>
          <w:w w:val="105"/>
          <w:sz w:val="21"/>
        </w:rPr>
        <w:t> </w:t>
      </w:r>
      <w:r>
        <w:rPr>
          <w:spacing w:val="-3"/>
          <w:w w:val="105"/>
          <w:sz w:val="21"/>
        </w:rPr>
        <w:t>increase</w:t>
      </w:r>
      <w:r>
        <w:rPr>
          <w:spacing w:val="-7"/>
          <w:w w:val="105"/>
          <w:sz w:val="21"/>
        </w:rPr>
        <w:t> </w:t>
      </w:r>
      <w:r>
        <w:rPr>
          <w:w w:val="105"/>
          <w:sz w:val="21"/>
        </w:rPr>
        <w:t>the</w:t>
      </w:r>
      <w:r>
        <w:rPr>
          <w:spacing w:val="-6"/>
          <w:w w:val="105"/>
          <w:sz w:val="21"/>
        </w:rPr>
        <w:t> </w:t>
      </w:r>
      <w:r>
        <w:rPr>
          <w:w w:val="105"/>
          <w:sz w:val="21"/>
        </w:rPr>
        <w:t>costs and time of estate </w:t>
      </w:r>
      <w:r>
        <w:rPr>
          <w:spacing w:val="-3"/>
          <w:w w:val="105"/>
          <w:sz w:val="21"/>
        </w:rPr>
        <w:t>administration, </w:t>
      </w:r>
      <w:r>
        <w:rPr>
          <w:w w:val="105"/>
          <w:sz w:val="21"/>
        </w:rPr>
        <w:t>which would disadvantage </w:t>
      </w:r>
      <w:r>
        <w:rPr>
          <w:spacing w:val="-3"/>
          <w:w w:val="105"/>
          <w:sz w:val="21"/>
        </w:rPr>
        <w:t>all</w:t>
      </w:r>
      <w:r>
        <w:rPr>
          <w:spacing w:val="-21"/>
          <w:w w:val="105"/>
          <w:sz w:val="21"/>
        </w:rPr>
        <w:t> </w:t>
      </w:r>
      <w:r>
        <w:rPr>
          <w:w w:val="105"/>
          <w:sz w:val="21"/>
        </w:rPr>
        <w:t>beneficiaries.</w:t>
      </w:r>
    </w:p>
    <w:p>
      <w:pPr>
        <w:pStyle w:val="ListParagraph"/>
        <w:numPr>
          <w:ilvl w:val="1"/>
          <w:numId w:val="22"/>
        </w:numPr>
        <w:tabs>
          <w:tab w:pos="2381" w:val="left" w:leader="none"/>
          <w:tab w:pos="2382" w:val="left" w:leader="none"/>
        </w:tabs>
        <w:spacing w:line="242" w:lineRule="auto" w:before="124" w:after="0"/>
        <w:ind w:left="2381" w:right="1880" w:hanging="794"/>
        <w:jc w:val="left"/>
        <w:rPr>
          <w:sz w:val="21"/>
        </w:rPr>
      </w:pPr>
      <w:r>
        <w:rPr>
          <w:sz w:val="21"/>
        </w:rPr>
        <w:t>The </w:t>
      </w:r>
      <w:r>
        <w:rPr>
          <w:spacing w:val="-3"/>
          <w:sz w:val="21"/>
        </w:rPr>
        <w:t>current  </w:t>
      </w:r>
      <w:r>
        <w:rPr>
          <w:sz w:val="21"/>
        </w:rPr>
        <w:t>rule is </w:t>
      </w:r>
      <w:r>
        <w:rPr>
          <w:spacing w:val="-3"/>
          <w:sz w:val="21"/>
        </w:rPr>
        <w:t>reasonably</w:t>
      </w:r>
      <w:r>
        <w:rPr>
          <w:spacing w:val="41"/>
          <w:sz w:val="21"/>
        </w:rPr>
        <w:t> </w:t>
      </w:r>
      <w:r>
        <w:rPr>
          <w:sz w:val="21"/>
        </w:rPr>
        <w:t>certain and the </w:t>
      </w:r>
      <w:r>
        <w:rPr>
          <w:spacing w:val="-2"/>
          <w:sz w:val="21"/>
        </w:rPr>
        <w:t>common  </w:t>
      </w:r>
      <w:r>
        <w:rPr>
          <w:sz w:val="21"/>
        </w:rPr>
        <w:t>law does </w:t>
      </w:r>
      <w:r>
        <w:rPr>
          <w:spacing w:val="-3"/>
          <w:sz w:val="21"/>
        </w:rPr>
        <w:t>allow  for  exceptions   to </w:t>
      </w:r>
      <w:r>
        <w:rPr>
          <w:sz w:val="21"/>
        </w:rPr>
        <w:t>the rule in some </w:t>
      </w:r>
      <w:r>
        <w:rPr>
          <w:spacing w:val="-3"/>
          <w:sz w:val="21"/>
        </w:rPr>
        <w:t>circumstances. </w:t>
      </w:r>
      <w:r>
        <w:rPr>
          <w:sz w:val="21"/>
        </w:rPr>
        <w:t>The ademption rule is part of the </w:t>
      </w:r>
      <w:r>
        <w:rPr>
          <w:spacing w:val="-2"/>
          <w:sz w:val="21"/>
        </w:rPr>
        <w:t>common </w:t>
      </w:r>
      <w:r>
        <w:rPr>
          <w:sz w:val="21"/>
        </w:rPr>
        <w:t>law in </w:t>
      </w:r>
      <w:r>
        <w:rPr>
          <w:spacing w:val="-3"/>
          <w:sz w:val="21"/>
        </w:rPr>
        <w:t>all Australian </w:t>
      </w:r>
      <w:r>
        <w:rPr>
          <w:sz w:val="21"/>
        </w:rPr>
        <w:t>jurisdictions. </w:t>
      </w:r>
      <w:r>
        <w:rPr>
          <w:spacing w:val="-3"/>
          <w:sz w:val="21"/>
        </w:rPr>
        <w:t>Therefore, any legislative provision </w:t>
      </w:r>
      <w:r>
        <w:rPr>
          <w:sz w:val="21"/>
        </w:rPr>
        <w:t>would </w:t>
      </w:r>
      <w:r>
        <w:rPr>
          <w:spacing w:val="-2"/>
          <w:sz w:val="21"/>
        </w:rPr>
        <w:t>not </w:t>
      </w:r>
      <w:r>
        <w:rPr>
          <w:spacing w:val="-3"/>
          <w:sz w:val="21"/>
        </w:rPr>
        <w:t>promote national </w:t>
      </w:r>
      <w:r>
        <w:rPr>
          <w:sz w:val="21"/>
        </w:rPr>
        <w:t>consistency in </w:t>
      </w:r>
      <w:r>
        <w:rPr>
          <w:spacing w:val="-3"/>
          <w:sz w:val="21"/>
        </w:rPr>
        <w:t>succession</w:t>
      </w:r>
      <w:r>
        <w:rPr>
          <w:spacing w:val="25"/>
          <w:sz w:val="21"/>
        </w:rPr>
        <w:t> </w:t>
      </w:r>
      <w:r>
        <w:rPr>
          <w:spacing w:val="-5"/>
          <w:sz w:val="21"/>
        </w:rPr>
        <w:t>law.</w:t>
      </w:r>
    </w:p>
    <w:p>
      <w:pPr>
        <w:pStyle w:val="ListParagraph"/>
        <w:numPr>
          <w:ilvl w:val="1"/>
          <w:numId w:val="22"/>
        </w:numPr>
        <w:tabs>
          <w:tab w:pos="2381" w:val="left" w:leader="none"/>
          <w:tab w:pos="2382" w:val="left" w:leader="none"/>
        </w:tabs>
        <w:spacing w:line="242" w:lineRule="auto" w:before="125" w:after="0"/>
        <w:ind w:left="2381" w:right="1788" w:hanging="794"/>
        <w:jc w:val="left"/>
        <w:rPr>
          <w:sz w:val="21"/>
        </w:rPr>
      </w:pPr>
      <w:r>
        <w:rPr>
          <w:spacing w:val="-4"/>
          <w:w w:val="105"/>
          <w:sz w:val="21"/>
        </w:rPr>
        <w:t>However,</w:t>
      </w:r>
      <w:r>
        <w:rPr>
          <w:spacing w:val="-8"/>
          <w:w w:val="105"/>
          <w:sz w:val="21"/>
        </w:rPr>
        <w:t> </w:t>
      </w:r>
      <w:r>
        <w:rPr>
          <w:w w:val="105"/>
          <w:sz w:val="21"/>
        </w:rPr>
        <w:t>the</w:t>
      </w:r>
      <w:r>
        <w:rPr>
          <w:spacing w:val="-8"/>
          <w:w w:val="105"/>
          <w:sz w:val="21"/>
        </w:rPr>
        <w:t> </w:t>
      </w:r>
      <w:r>
        <w:rPr>
          <w:spacing w:val="-3"/>
          <w:w w:val="105"/>
          <w:sz w:val="21"/>
        </w:rPr>
        <w:t>Commission</w:t>
      </w:r>
      <w:r>
        <w:rPr>
          <w:spacing w:val="-8"/>
          <w:w w:val="105"/>
          <w:sz w:val="21"/>
        </w:rPr>
        <w:t> </w:t>
      </w:r>
      <w:r>
        <w:rPr>
          <w:w w:val="105"/>
          <w:sz w:val="21"/>
        </w:rPr>
        <w:t>considers</w:t>
      </w:r>
      <w:r>
        <w:rPr>
          <w:spacing w:val="-8"/>
          <w:w w:val="105"/>
          <w:sz w:val="21"/>
        </w:rPr>
        <w:t> </w:t>
      </w:r>
      <w:r>
        <w:rPr>
          <w:spacing w:val="-3"/>
          <w:w w:val="105"/>
          <w:sz w:val="21"/>
        </w:rPr>
        <w:t>that</w:t>
      </w:r>
      <w:r>
        <w:rPr>
          <w:spacing w:val="-8"/>
          <w:w w:val="105"/>
          <w:sz w:val="21"/>
        </w:rPr>
        <w:t> </w:t>
      </w:r>
      <w:r>
        <w:rPr>
          <w:spacing w:val="-3"/>
          <w:w w:val="105"/>
          <w:sz w:val="21"/>
        </w:rPr>
        <w:t>legislation</w:t>
      </w:r>
      <w:r>
        <w:rPr>
          <w:spacing w:val="-8"/>
          <w:w w:val="105"/>
          <w:sz w:val="21"/>
        </w:rPr>
        <w:t> </w:t>
      </w:r>
      <w:r>
        <w:rPr>
          <w:w w:val="105"/>
          <w:sz w:val="21"/>
        </w:rPr>
        <w:t>is</w:t>
      </w:r>
      <w:r>
        <w:rPr>
          <w:spacing w:val="-8"/>
          <w:w w:val="105"/>
          <w:sz w:val="21"/>
        </w:rPr>
        <w:t> </w:t>
      </w:r>
      <w:r>
        <w:rPr>
          <w:w w:val="105"/>
          <w:sz w:val="21"/>
        </w:rPr>
        <w:t>necessary</w:t>
      </w:r>
      <w:r>
        <w:rPr>
          <w:spacing w:val="-8"/>
          <w:w w:val="105"/>
          <w:sz w:val="21"/>
        </w:rPr>
        <w:t> </w:t>
      </w:r>
      <w:r>
        <w:rPr>
          <w:spacing w:val="-3"/>
          <w:w w:val="105"/>
          <w:sz w:val="21"/>
        </w:rPr>
        <w:t>to</w:t>
      </w:r>
      <w:r>
        <w:rPr>
          <w:spacing w:val="-8"/>
          <w:w w:val="105"/>
          <w:sz w:val="21"/>
        </w:rPr>
        <w:t> </w:t>
      </w:r>
      <w:r>
        <w:rPr>
          <w:w w:val="105"/>
          <w:sz w:val="21"/>
        </w:rPr>
        <w:t>provide</w:t>
      </w:r>
      <w:r>
        <w:rPr>
          <w:spacing w:val="-7"/>
          <w:w w:val="105"/>
          <w:sz w:val="21"/>
        </w:rPr>
        <w:t> </w:t>
      </w:r>
      <w:r>
        <w:rPr>
          <w:w w:val="105"/>
          <w:sz w:val="21"/>
        </w:rPr>
        <w:t>an</w:t>
      </w:r>
      <w:r>
        <w:rPr>
          <w:spacing w:val="-8"/>
          <w:w w:val="105"/>
          <w:sz w:val="21"/>
        </w:rPr>
        <w:t> </w:t>
      </w:r>
      <w:r>
        <w:rPr>
          <w:spacing w:val="-3"/>
          <w:w w:val="105"/>
          <w:sz w:val="21"/>
        </w:rPr>
        <w:t>exception to </w:t>
      </w:r>
      <w:r>
        <w:rPr>
          <w:w w:val="105"/>
          <w:sz w:val="21"/>
        </w:rPr>
        <w:t>the ademption rule where the gifted property is sold or otherwise disposed of by a </w:t>
      </w:r>
      <w:r>
        <w:rPr>
          <w:spacing w:val="-3"/>
          <w:w w:val="105"/>
          <w:sz w:val="21"/>
        </w:rPr>
        <w:t>substitute</w:t>
      </w:r>
      <w:r>
        <w:rPr>
          <w:spacing w:val="-6"/>
          <w:w w:val="105"/>
          <w:sz w:val="21"/>
        </w:rPr>
        <w:t> </w:t>
      </w:r>
      <w:r>
        <w:rPr>
          <w:w w:val="105"/>
          <w:sz w:val="21"/>
        </w:rPr>
        <w:t>decision</w:t>
      </w:r>
      <w:r>
        <w:rPr>
          <w:spacing w:val="-6"/>
          <w:w w:val="105"/>
          <w:sz w:val="21"/>
        </w:rPr>
        <w:t> maker. </w:t>
      </w:r>
      <w:r>
        <w:rPr>
          <w:w w:val="105"/>
          <w:sz w:val="21"/>
        </w:rPr>
        <w:t>This</w:t>
      </w:r>
      <w:r>
        <w:rPr>
          <w:spacing w:val="-6"/>
          <w:w w:val="105"/>
          <w:sz w:val="21"/>
        </w:rPr>
        <w:t> </w:t>
      </w:r>
      <w:r>
        <w:rPr>
          <w:w w:val="105"/>
          <w:sz w:val="21"/>
        </w:rPr>
        <w:t>issue</w:t>
      </w:r>
      <w:r>
        <w:rPr>
          <w:spacing w:val="-6"/>
          <w:w w:val="105"/>
          <w:sz w:val="21"/>
        </w:rPr>
        <w:t> </w:t>
      </w:r>
      <w:r>
        <w:rPr>
          <w:w w:val="105"/>
          <w:sz w:val="21"/>
        </w:rPr>
        <w:t>is</w:t>
      </w:r>
      <w:r>
        <w:rPr>
          <w:spacing w:val="-6"/>
          <w:w w:val="105"/>
          <w:sz w:val="21"/>
        </w:rPr>
        <w:t> </w:t>
      </w:r>
      <w:r>
        <w:rPr>
          <w:w w:val="105"/>
          <w:sz w:val="21"/>
        </w:rPr>
        <w:t>addressed</w:t>
      </w:r>
      <w:r>
        <w:rPr>
          <w:spacing w:val="-5"/>
          <w:w w:val="105"/>
          <w:sz w:val="21"/>
        </w:rPr>
        <w:t> </w:t>
      </w:r>
      <w:r>
        <w:rPr>
          <w:w w:val="105"/>
          <w:sz w:val="21"/>
        </w:rPr>
        <w:t>in</w:t>
      </w:r>
      <w:r>
        <w:rPr>
          <w:spacing w:val="-6"/>
          <w:w w:val="105"/>
          <w:sz w:val="21"/>
        </w:rPr>
        <w:t> </w:t>
      </w:r>
      <w:r>
        <w:rPr>
          <w:w w:val="105"/>
          <w:sz w:val="21"/>
        </w:rPr>
        <w:t>the</w:t>
      </w:r>
      <w:r>
        <w:rPr>
          <w:spacing w:val="-6"/>
          <w:w w:val="105"/>
          <w:sz w:val="21"/>
        </w:rPr>
        <w:t> </w:t>
      </w:r>
      <w:r>
        <w:rPr>
          <w:w w:val="105"/>
          <w:sz w:val="21"/>
        </w:rPr>
        <w:t>next</w:t>
      </w:r>
      <w:r>
        <w:rPr>
          <w:spacing w:val="-6"/>
          <w:w w:val="105"/>
          <w:sz w:val="21"/>
        </w:rPr>
        <w:t> </w:t>
      </w:r>
      <w:r>
        <w:rPr>
          <w:w w:val="105"/>
          <w:sz w:val="21"/>
        </w:rPr>
        <w:t>sections</w:t>
      </w:r>
      <w:r>
        <w:rPr>
          <w:spacing w:val="-6"/>
          <w:w w:val="105"/>
          <w:sz w:val="21"/>
        </w:rPr>
        <w:t> </w:t>
      </w:r>
      <w:r>
        <w:rPr>
          <w:w w:val="105"/>
          <w:sz w:val="21"/>
        </w:rPr>
        <w:t>of</w:t>
      </w:r>
      <w:r>
        <w:rPr>
          <w:spacing w:val="-6"/>
          <w:w w:val="105"/>
          <w:sz w:val="21"/>
        </w:rPr>
        <w:t> </w:t>
      </w:r>
      <w:r>
        <w:rPr>
          <w:w w:val="105"/>
          <w:sz w:val="21"/>
        </w:rPr>
        <w:t>this</w:t>
      </w:r>
      <w:r>
        <w:rPr>
          <w:spacing w:val="-6"/>
          <w:w w:val="105"/>
          <w:sz w:val="21"/>
        </w:rPr>
        <w:t> </w:t>
      </w:r>
      <w:r>
        <w:rPr>
          <w:spacing w:val="-5"/>
          <w:w w:val="105"/>
          <w:sz w:val="21"/>
        </w:rPr>
        <w:t>chapter.</w:t>
      </w:r>
    </w:p>
    <w:p>
      <w:pPr>
        <w:pStyle w:val="BodyText"/>
        <w:spacing w:before="10"/>
      </w:pPr>
    </w:p>
    <w:p>
      <w:pPr>
        <w:pStyle w:val="Heading4"/>
      </w:pPr>
      <w:r>
        <w:rPr>
          <w:color w:val="EC5A4F"/>
          <w:w w:val="115"/>
        </w:rPr>
        <w:t>Acts by substitute decision makers</w:t>
      </w:r>
    </w:p>
    <w:p>
      <w:pPr>
        <w:pStyle w:val="ListParagraph"/>
        <w:numPr>
          <w:ilvl w:val="1"/>
          <w:numId w:val="22"/>
        </w:numPr>
        <w:tabs>
          <w:tab w:pos="2381" w:val="left" w:leader="none"/>
          <w:tab w:pos="2382" w:val="left" w:leader="none"/>
        </w:tabs>
        <w:spacing w:line="240" w:lineRule="auto" w:before="155" w:after="0"/>
        <w:ind w:left="2381" w:right="0" w:hanging="794"/>
        <w:jc w:val="left"/>
        <w:rPr>
          <w:sz w:val="21"/>
        </w:rPr>
      </w:pPr>
      <w:r>
        <w:rPr>
          <w:sz w:val="21"/>
        </w:rPr>
        <w:t>It is </w:t>
      </w:r>
      <w:r>
        <w:rPr>
          <w:spacing w:val="-3"/>
          <w:sz w:val="21"/>
        </w:rPr>
        <w:t>increasingly </w:t>
      </w:r>
      <w:r>
        <w:rPr>
          <w:spacing w:val="-2"/>
          <w:sz w:val="21"/>
        </w:rPr>
        <w:t>common </w:t>
      </w:r>
      <w:r>
        <w:rPr>
          <w:spacing w:val="-3"/>
          <w:sz w:val="21"/>
        </w:rPr>
        <w:t>for </w:t>
      </w:r>
      <w:r>
        <w:rPr>
          <w:sz w:val="21"/>
        </w:rPr>
        <w:t>ademption </w:t>
      </w:r>
      <w:r>
        <w:rPr>
          <w:spacing w:val="-3"/>
          <w:sz w:val="21"/>
        </w:rPr>
        <w:t>to occur </w:t>
      </w:r>
      <w:r>
        <w:rPr>
          <w:sz w:val="21"/>
        </w:rPr>
        <w:t>when specifically gifted property</w:t>
      </w:r>
      <w:r>
        <w:rPr>
          <w:spacing w:val="-28"/>
          <w:sz w:val="21"/>
        </w:rPr>
        <w:t> </w:t>
      </w:r>
      <w:r>
        <w:rPr>
          <w:sz w:val="21"/>
        </w:rPr>
        <w:t>in</w:t>
      </w:r>
    </w:p>
    <w:p>
      <w:pPr>
        <w:pStyle w:val="BodyText"/>
        <w:spacing w:line="242" w:lineRule="auto" w:before="4"/>
        <w:ind w:left="2381" w:right="2010"/>
      </w:pPr>
      <w:r>
        <w:rPr/>
        <w:t>a </w:t>
      </w:r>
      <w:r>
        <w:rPr>
          <w:spacing w:val="-3"/>
        </w:rPr>
        <w:t>will </w:t>
      </w:r>
      <w:r>
        <w:rPr/>
        <w:t>is sold by a </w:t>
      </w:r>
      <w:r>
        <w:rPr>
          <w:spacing w:val="-3"/>
        </w:rPr>
        <w:t>substitute </w:t>
      </w:r>
      <w:r>
        <w:rPr/>
        <w:t>decision </w:t>
      </w:r>
      <w:r>
        <w:rPr>
          <w:spacing w:val="-3"/>
        </w:rPr>
        <w:t>maker—an administrator  </w:t>
      </w:r>
      <w:r>
        <w:rPr/>
        <w:t>or a person acting under  an </w:t>
      </w:r>
      <w:r>
        <w:rPr>
          <w:spacing w:val="-3"/>
        </w:rPr>
        <w:t>enduring </w:t>
      </w:r>
      <w:r>
        <w:rPr/>
        <w:t>power of attorney (financial).</w:t>
      </w:r>
    </w:p>
    <w:p>
      <w:pPr>
        <w:pStyle w:val="ListParagraph"/>
        <w:numPr>
          <w:ilvl w:val="1"/>
          <w:numId w:val="22"/>
        </w:numPr>
        <w:tabs>
          <w:tab w:pos="2381" w:val="left" w:leader="none"/>
          <w:tab w:pos="2382" w:val="left" w:leader="none"/>
        </w:tabs>
        <w:spacing w:line="242" w:lineRule="auto" w:before="122" w:after="0"/>
        <w:ind w:left="2381" w:right="1608" w:hanging="794"/>
        <w:jc w:val="left"/>
        <w:rPr>
          <w:sz w:val="12"/>
        </w:rPr>
      </w:pPr>
      <w:r>
        <w:rPr>
          <w:w w:val="105"/>
          <w:sz w:val="21"/>
        </w:rPr>
        <w:t>The Victorian </w:t>
      </w:r>
      <w:r>
        <w:rPr>
          <w:spacing w:val="-3"/>
          <w:w w:val="105"/>
          <w:sz w:val="21"/>
        </w:rPr>
        <w:t>Civil </w:t>
      </w:r>
      <w:r>
        <w:rPr>
          <w:w w:val="105"/>
          <w:sz w:val="21"/>
        </w:rPr>
        <w:t>and </w:t>
      </w:r>
      <w:r>
        <w:rPr>
          <w:spacing w:val="-3"/>
          <w:w w:val="105"/>
          <w:sz w:val="21"/>
        </w:rPr>
        <w:t>Administrative </w:t>
      </w:r>
      <w:r>
        <w:rPr>
          <w:spacing w:val="-5"/>
          <w:w w:val="105"/>
          <w:sz w:val="21"/>
        </w:rPr>
        <w:t>Tribunal </w:t>
      </w:r>
      <w:r>
        <w:rPr>
          <w:w w:val="105"/>
          <w:sz w:val="21"/>
        </w:rPr>
        <w:t>(VCAT) appoints an </w:t>
      </w:r>
      <w:r>
        <w:rPr>
          <w:spacing w:val="-3"/>
          <w:w w:val="105"/>
          <w:sz w:val="21"/>
        </w:rPr>
        <w:t>administrator to </w:t>
      </w:r>
      <w:r>
        <w:rPr>
          <w:spacing w:val="-4"/>
          <w:w w:val="105"/>
          <w:sz w:val="21"/>
        </w:rPr>
        <w:t>make </w:t>
      </w:r>
      <w:r>
        <w:rPr>
          <w:spacing w:val="-3"/>
          <w:w w:val="105"/>
          <w:sz w:val="21"/>
        </w:rPr>
        <w:t>financial </w:t>
      </w:r>
      <w:r>
        <w:rPr>
          <w:w w:val="105"/>
          <w:sz w:val="21"/>
        </w:rPr>
        <w:t>and some legal decisions </w:t>
      </w:r>
      <w:r>
        <w:rPr>
          <w:spacing w:val="-3"/>
          <w:w w:val="105"/>
          <w:sz w:val="21"/>
        </w:rPr>
        <w:t>for </w:t>
      </w:r>
      <w:r>
        <w:rPr>
          <w:w w:val="105"/>
          <w:sz w:val="21"/>
        </w:rPr>
        <w:t>a person who </w:t>
      </w:r>
      <w:r>
        <w:rPr>
          <w:spacing w:val="-2"/>
          <w:w w:val="105"/>
          <w:sz w:val="21"/>
        </w:rPr>
        <w:t>has </w:t>
      </w:r>
      <w:r>
        <w:rPr>
          <w:w w:val="105"/>
          <w:sz w:val="21"/>
        </w:rPr>
        <w:t>a disability and is </w:t>
      </w:r>
      <w:r>
        <w:rPr>
          <w:spacing w:val="-3"/>
          <w:w w:val="105"/>
          <w:sz w:val="21"/>
        </w:rPr>
        <w:t>unable to </w:t>
      </w:r>
      <w:r>
        <w:rPr>
          <w:spacing w:val="-4"/>
          <w:w w:val="105"/>
          <w:sz w:val="21"/>
        </w:rPr>
        <w:t>make </w:t>
      </w:r>
      <w:r>
        <w:rPr>
          <w:spacing w:val="-3"/>
          <w:w w:val="105"/>
          <w:sz w:val="21"/>
        </w:rPr>
        <w:t>reasonable</w:t>
      </w:r>
      <w:r>
        <w:rPr>
          <w:spacing w:val="-9"/>
          <w:w w:val="105"/>
          <w:sz w:val="21"/>
        </w:rPr>
        <w:t> </w:t>
      </w:r>
      <w:r>
        <w:rPr>
          <w:w w:val="105"/>
          <w:sz w:val="21"/>
        </w:rPr>
        <w:t>judgments</w:t>
      </w:r>
      <w:r>
        <w:rPr>
          <w:spacing w:val="-9"/>
          <w:w w:val="105"/>
          <w:sz w:val="21"/>
        </w:rPr>
        <w:t> </w:t>
      </w:r>
      <w:r>
        <w:rPr>
          <w:w w:val="105"/>
          <w:sz w:val="21"/>
        </w:rPr>
        <w:t>about</w:t>
      </w:r>
      <w:r>
        <w:rPr>
          <w:spacing w:val="-9"/>
          <w:w w:val="105"/>
          <w:sz w:val="21"/>
        </w:rPr>
        <w:t> </w:t>
      </w:r>
      <w:r>
        <w:rPr>
          <w:w w:val="105"/>
          <w:sz w:val="21"/>
        </w:rPr>
        <w:t>matters</w:t>
      </w:r>
      <w:r>
        <w:rPr>
          <w:spacing w:val="-9"/>
          <w:w w:val="105"/>
          <w:sz w:val="21"/>
        </w:rPr>
        <w:t> </w:t>
      </w:r>
      <w:r>
        <w:rPr>
          <w:spacing w:val="-3"/>
          <w:w w:val="105"/>
          <w:sz w:val="21"/>
        </w:rPr>
        <w:t>relating</w:t>
      </w:r>
      <w:r>
        <w:rPr>
          <w:spacing w:val="-9"/>
          <w:w w:val="105"/>
          <w:sz w:val="21"/>
        </w:rPr>
        <w:t> </w:t>
      </w:r>
      <w:r>
        <w:rPr>
          <w:spacing w:val="-3"/>
          <w:w w:val="105"/>
          <w:sz w:val="21"/>
        </w:rPr>
        <w:t>to</w:t>
      </w:r>
      <w:r>
        <w:rPr>
          <w:spacing w:val="-9"/>
          <w:w w:val="105"/>
          <w:sz w:val="21"/>
        </w:rPr>
        <w:t> </w:t>
      </w:r>
      <w:r>
        <w:rPr>
          <w:w w:val="105"/>
          <w:sz w:val="21"/>
        </w:rPr>
        <w:t>their</w:t>
      </w:r>
      <w:r>
        <w:rPr>
          <w:spacing w:val="-9"/>
          <w:w w:val="105"/>
          <w:sz w:val="21"/>
        </w:rPr>
        <w:t> </w:t>
      </w:r>
      <w:r>
        <w:rPr>
          <w:spacing w:val="-3"/>
          <w:w w:val="105"/>
          <w:sz w:val="21"/>
        </w:rPr>
        <w:t>estate.</w:t>
      </w:r>
      <w:r>
        <w:rPr>
          <w:spacing w:val="-3"/>
          <w:w w:val="105"/>
          <w:position w:val="7"/>
          <w:sz w:val="12"/>
        </w:rPr>
        <w:t>31</w:t>
      </w:r>
      <w:r>
        <w:rPr>
          <w:spacing w:val="13"/>
          <w:w w:val="105"/>
          <w:position w:val="7"/>
          <w:sz w:val="12"/>
        </w:rPr>
        <w:t> </w:t>
      </w:r>
      <w:r>
        <w:rPr>
          <w:w w:val="105"/>
          <w:sz w:val="21"/>
        </w:rPr>
        <w:t>A</w:t>
      </w:r>
      <w:r>
        <w:rPr>
          <w:spacing w:val="-9"/>
          <w:w w:val="105"/>
          <w:sz w:val="21"/>
        </w:rPr>
        <w:t> </w:t>
      </w:r>
      <w:r>
        <w:rPr>
          <w:w w:val="105"/>
          <w:sz w:val="21"/>
        </w:rPr>
        <w:t>person</w:t>
      </w:r>
      <w:r>
        <w:rPr>
          <w:spacing w:val="-9"/>
          <w:w w:val="105"/>
          <w:sz w:val="21"/>
        </w:rPr>
        <w:t> </w:t>
      </w:r>
      <w:r>
        <w:rPr>
          <w:w w:val="105"/>
          <w:sz w:val="21"/>
        </w:rPr>
        <w:t>chooses</w:t>
      </w:r>
      <w:r>
        <w:rPr>
          <w:spacing w:val="-9"/>
          <w:w w:val="105"/>
          <w:sz w:val="21"/>
        </w:rPr>
        <w:t> </w:t>
      </w:r>
      <w:r>
        <w:rPr>
          <w:w w:val="105"/>
          <w:sz w:val="21"/>
        </w:rPr>
        <w:t>someone </w:t>
      </w:r>
      <w:r>
        <w:rPr>
          <w:spacing w:val="-3"/>
          <w:w w:val="105"/>
          <w:sz w:val="21"/>
        </w:rPr>
        <w:t>to </w:t>
      </w:r>
      <w:r>
        <w:rPr>
          <w:w w:val="105"/>
          <w:sz w:val="21"/>
        </w:rPr>
        <w:t>act under an </w:t>
      </w:r>
      <w:r>
        <w:rPr>
          <w:spacing w:val="-3"/>
          <w:w w:val="105"/>
          <w:sz w:val="21"/>
        </w:rPr>
        <w:t>enduring </w:t>
      </w:r>
      <w:r>
        <w:rPr>
          <w:w w:val="105"/>
          <w:sz w:val="21"/>
        </w:rPr>
        <w:t>power of attorney (financial) </w:t>
      </w:r>
      <w:r>
        <w:rPr>
          <w:spacing w:val="-4"/>
          <w:w w:val="105"/>
          <w:sz w:val="21"/>
        </w:rPr>
        <w:t>(‘an </w:t>
      </w:r>
      <w:r>
        <w:rPr>
          <w:w w:val="105"/>
          <w:sz w:val="21"/>
        </w:rPr>
        <w:t>attorney’) by </w:t>
      </w:r>
      <w:r>
        <w:rPr>
          <w:spacing w:val="-3"/>
          <w:w w:val="105"/>
          <w:sz w:val="21"/>
        </w:rPr>
        <w:t>executing </w:t>
      </w:r>
      <w:r>
        <w:rPr>
          <w:w w:val="105"/>
          <w:sz w:val="21"/>
        </w:rPr>
        <w:t>a prescribed</w:t>
      </w:r>
      <w:r>
        <w:rPr>
          <w:spacing w:val="-14"/>
          <w:w w:val="105"/>
          <w:sz w:val="21"/>
        </w:rPr>
        <w:t> </w:t>
      </w:r>
      <w:r>
        <w:rPr>
          <w:spacing w:val="-3"/>
          <w:w w:val="105"/>
          <w:sz w:val="21"/>
        </w:rPr>
        <w:t>form</w:t>
      </w:r>
      <w:r>
        <w:rPr>
          <w:spacing w:val="-13"/>
          <w:w w:val="105"/>
          <w:sz w:val="21"/>
        </w:rPr>
        <w:t> </w:t>
      </w:r>
      <w:r>
        <w:rPr>
          <w:spacing w:val="-3"/>
          <w:w w:val="105"/>
          <w:sz w:val="21"/>
        </w:rPr>
        <w:t>before</w:t>
      </w:r>
      <w:r>
        <w:rPr>
          <w:spacing w:val="-13"/>
          <w:w w:val="105"/>
          <w:sz w:val="21"/>
        </w:rPr>
        <w:t> </w:t>
      </w:r>
      <w:r>
        <w:rPr>
          <w:w w:val="105"/>
          <w:sz w:val="21"/>
        </w:rPr>
        <w:t>they</w:t>
      </w:r>
      <w:r>
        <w:rPr>
          <w:spacing w:val="-13"/>
          <w:w w:val="105"/>
          <w:sz w:val="21"/>
        </w:rPr>
        <w:t> </w:t>
      </w:r>
      <w:r>
        <w:rPr>
          <w:w w:val="105"/>
          <w:sz w:val="21"/>
        </w:rPr>
        <w:t>lose</w:t>
      </w:r>
      <w:r>
        <w:rPr>
          <w:spacing w:val="-13"/>
          <w:w w:val="105"/>
          <w:sz w:val="21"/>
        </w:rPr>
        <w:t> </w:t>
      </w:r>
      <w:r>
        <w:rPr>
          <w:spacing w:val="-3"/>
          <w:w w:val="105"/>
          <w:sz w:val="21"/>
        </w:rPr>
        <w:t>capacity.</w:t>
      </w:r>
      <w:r>
        <w:rPr>
          <w:spacing w:val="-13"/>
          <w:w w:val="105"/>
          <w:sz w:val="21"/>
        </w:rPr>
        <w:t> </w:t>
      </w:r>
      <w:r>
        <w:rPr>
          <w:w w:val="105"/>
          <w:sz w:val="21"/>
        </w:rPr>
        <w:t>The</w:t>
      </w:r>
      <w:r>
        <w:rPr>
          <w:spacing w:val="-13"/>
          <w:w w:val="105"/>
          <w:sz w:val="21"/>
        </w:rPr>
        <w:t> </w:t>
      </w:r>
      <w:r>
        <w:rPr>
          <w:w w:val="105"/>
          <w:sz w:val="21"/>
        </w:rPr>
        <w:t>attorney</w:t>
      </w:r>
      <w:r>
        <w:rPr>
          <w:spacing w:val="-13"/>
          <w:w w:val="105"/>
          <w:sz w:val="21"/>
        </w:rPr>
        <w:t> </w:t>
      </w:r>
      <w:r>
        <w:rPr>
          <w:spacing w:val="-3"/>
          <w:w w:val="105"/>
          <w:sz w:val="21"/>
        </w:rPr>
        <w:t>may</w:t>
      </w:r>
      <w:r>
        <w:rPr>
          <w:spacing w:val="-13"/>
          <w:w w:val="105"/>
          <w:sz w:val="21"/>
        </w:rPr>
        <w:t> </w:t>
      </w:r>
      <w:r>
        <w:rPr>
          <w:w w:val="105"/>
          <w:sz w:val="21"/>
        </w:rPr>
        <w:t>use</w:t>
      </w:r>
      <w:r>
        <w:rPr>
          <w:spacing w:val="-13"/>
          <w:w w:val="105"/>
          <w:sz w:val="21"/>
        </w:rPr>
        <w:t> </w:t>
      </w:r>
      <w:r>
        <w:rPr>
          <w:w w:val="105"/>
          <w:sz w:val="21"/>
        </w:rPr>
        <w:t>their</w:t>
      </w:r>
      <w:r>
        <w:rPr>
          <w:spacing w:val="-13"/>
          <w:w w:val="105"/>
          <w:sz w:val="21"/>
        </w:rPr>
        <w:t> </w:t>
      </w:r>
      <w:r>
        <w:rPr>
          <w:w w:val="105"/>
          <w:sz w:val="21"/>
        </w:rPr>
        <w:t>powers</w:t>
      </w:r>
      <w:r>
        <w:rPr>
          <w:spacing w:val="-13"/>
          <w:w w:val="105"/>
          <w:sz w:val="21"/>
        </w:rPr>
        <w:t> </w:t>
      </w:r>
      <w:r>
        <w:rPr>
          <w:spacing w:val="-3"/>
          <w:w w:val="105"/>
          <w:sz w:val="21"/>
        </w:rPr>
        <w:t>immediately </w:t>
      </w:r>
      <w:r>
        <w:rPr>
          <w:w w:val="105"/>
          <w:sz w:val="21"/>
        </w:rPr>
        <w:t>or only once the donor </w:t>
      </w:r>
      <w:r>
        <w:rPr>
          <w:spacing w:val="-2"/>
          <w:w w:val="105"/>
          <w:sz w:val="21"/>
        </w:rPr>
        <w:t>has </w:t>
      </w:r>
      <w:r>
        <w:rPr>
          <w:w w:val="105"/>
          <w:sz w:val="21"/>
        </w:rPr>
        <w:t>lost </w:t>
      </w:r>
      <w:r>
        <w:rPr>
          <w:spacing w:val="-3"/>
          <w:w w:val="105"/>
          <w:sz w:val="21"/>
        </w:rPr>
        <w:t>capacity, </w:t>
      </w:r>
      <w:r>
        <w:rPr>
          <w:w w:val="105"/>
          <w:sz w:val="21"/>
        </w:rPr>
        <w:t>depending on the </w:t>
      </w:r>
      <w:r>
        <w:rPr>
          <w:spacing w:val="-3"/>
          <w:w w:val="105"/>
          <w:sz w:val="21"/>
        </w:rPr>
        <w:t>terms </w:t>
      </w:r>
      <w:r>
        <w:rPr>
          <w:w w:val="105"/>
          <w:sz w:val="21"/>
        </w:rPr>
        <w:t>of the</w:t>
      </w:r>
      <w:r>
        <w:rPr>
          <w:spacing w:val="-15"/>
          <w:w w:val="105"/>
          <w:sz w:val="21"/>
        </w:rPr>
        <w:t> </w:t>
      </w:r>
      <w:r>
        <w:rPr>
          <w:spacing w:val="-3"/>
          <w:w w:val="105"/>
          <w:sz w:val="21"/>
        </w:rPr>
        <w:t>appointment.</w:t>
      </w:r>
      <w:r>
        <w:rPr>
          <w:spacing w:val="-3"/>
          <w:w w:val="105"/>
          <w:position w:val="7"/>
          <w:sz w:val="12"/>
        </w:rPr>
        <w:t>32</w:t>
      </w:r>
    </w:p>
    <w:p>
      <w:pPr>
        <w:pStyle w:val="ListParagraph"/>
        <w:numPr>
          <w:ilvl w:val="1"/>
          <w:numId w:val="22"/>
        </w:numPr>
        <w:tabs>
          <w:tab w:pos="2381" w:val="left" w:leader="none"/>
          <w:tab w:pos="2382" w:val="left" w:leader="none"/>
        </w:tabs>
        <w:spacing w:line="242" w:lineRule="auto" w:before="126" w:after="0"/>
        <w:ind w:left="2381" w:right="1930" w:hanging="794"/>
        <w:jc w:val="left"/>
        <w:rPr>
          <w:sz w:val="21"/>
        </w:rPr>
      </w:pPr>
      <w:r>
        <w:rPr>
          <w:w w:val="105"/>
          <w:sz w:val="21"/>
        </w:rPr>
        <w:t>Where a </w:t>
      </w:r>
      <w:r>
        <w:rPr>
          <w:spacing w:val="-3"/>
          <w:w w:val="105"/>
          <w:sz w:val="21"/>
        </w:rPr>
        <w:t>substitute </w:t>
      </w:r>
      <w:r>
        <w:rPr>
          <w:w w:val="105"/>
          <w:sz w:val="21"/>
        </w:rPr>
        <w:t>decision </w:t>
      </w:r>
      <w:r>
        <w:rPr>
          <w:spacing w:val="-4"/>
          <w:w w:val="105"/>
          <w:sz w:val="21"/>
        </w:rPr>
        <w:t>maker </w:t>
      </w:r>
      <w:r>
        <w:rPr>
          <w:w w:val="105"/>
          <w:sz w:val="21"/>
        </w:rPr>
        <w:t>is </w:t>
      </w:r>
      <w:r>
        <w:rPr>
          <w:spacing w:val="-3"/>
          <w:w w:val="105"/>
          <w:sz w:val="21"/>
        </w:rPr>
        <w:t>making financial </w:t>
      </w:r>
      <w:r>
        <w:rPr>
          <w:w w:val="105"/>
          <w:sz w:val="21"/>
        </w:rPr>
        <w:t>decisions, the person on whose behalf they </w:t>
      </w:r>
      <w:r>
        <w:rPr>
          <w:spacing w:val="-3"/>
          <w:w w:val="105"/>
          <w:sz w:val="21"/>
        </w:rPr>
        <w:t>are </w:t>
      </w:r>
      <w:r>
        <w:rPr>
          <w:w w:val="105"/>
          <w:sz w:val="21"/>
        </w:rPr>
        <w:t>acting </w:t>
      </w:r>
      <w:r>
        <w:rPr>
          <w:spacing w:val="-2"/>
          <w:w w:val="105"/>
          <w:sz w:val="21"/>
        </w:rPr>
        <w:t>has </w:t>
      </w:r>
      <w:r>
        <w:rPr>
          <w:spacing w:val="-3"/>
          <w:w w:val="105"/>
          <w:sz w:val="21"/>
        </w:rPr>
        <w:t>usually </w:t>
      </w:r>
      <w:r>
        <w:rPr>
          <w:w w:val="105"/>
          <w:sz w:val="21"/>
        </w:rPr>
        <w:t>lost the capacity </w:t>
      </w:r>
      <w:r>
        <w:rPr>
          <w:spacing w:val="-3"/>
          <w:w w:val="105"/>
          <w:sz w:val="21"/>
        </w:rPr>
        <w:t>to </w:t>
      </w:r>
      <w:r>
        <w:rPr>
          <w:spacing w:val="-4"/>
          <w:w w:val="105"/>
          <w:sz w:val="21"/>
        </w:rPr>
        <w:t>make </w:t>
      </w:r>
      <w:r>
        <w:rPr>
          <w:w w:val="105"/>
          <w:sz w:val="21"/>
        </w:rPr>
        <w:t>a </w:t>
      </w:r>
      <w:r>
        <w:rPr>
          <w:spacing w:val="-3"/>
          <w:w w:val="105"/>
          <w:sz w:val="21"/>
        </w:rPr>
        <w:t>will </w:t>
      </w:r>
      <w:r>
        <w:rPr>
          <w:w w:val="105"/>
          <w:sz w:val="21"/>
        </w:rPr>
        <w:t>and </w:t>
      </w:r>
      <w:r>
        <w:rPr>
          <w:spacing w:val="-3"/>
          <w:w w:val="105"/>
          <w:sz w:val="21"/>
        </w:rPr>
        <w:t>thus </w:t>
      </w:r>
      <w:r>
        <w:rPr>
          <w:w w:val="105"/>
          <w:sz w:val="21"/>
        </w:rPr>
        <w:t>is </w:t>
      </w:r>
      <w:r>
        <w:rPr>
          <w:spacing w:val="-3"/>
          <w:w w:val="105"/>
          <w:sz w:val="21"/>
        </w:rPr>
        <w:t>unable to change </w:t>
      </w:r>
      <w:r>
        <w:rPr>
          <w:w w:val="105"/>
          <w:sz w:val="21"/>
        </w:rPr>
        <w:t>a </w:t>
      </w:r>
      <w:r>
        <w:rPr>
          <w:spacing w:val="-3"/>
          <w:w w:val="105"/>
          <w:sz w:val="21"/>
        </w:rPr>
        <w:t>will </w:t>
      </w:r>
      <w:r>
        <w:rPr>
          <w:w w:val="105"/>
          <w:sz w:val="21"/>
        </w:rPr>
        <w:t>they </w:t>
      </w:r>
      <w:r>
        <w:rPr>
          <w:spacing w:val="-2"/>
          <w:w w:val="105"/>
          <w:sz w:val="21"/>
        </w:rPr>
        <w:t>had </w:t>
      </w:r>
      <w:r>
        <w:rPr>
          <w:spacing w:val="-3"/>
          <w:w w:val="105"/>
          <w:sz w:val="21"/>
        </w:rPr>
        <w:t>previously made. </w:t>
      </w:r>
      <w:r>
        <w:rPr>
          <w:w w:val="105"/>
          <w:sz w:val="21"/>
        </w:rPr>
        <w:t>A </w:t>
      </w:r>
      <w:r>
        <w:rPr>
          <w:spacing w:val="-2"/>
          <w:w w:val="105"/>
          <w:sz w:val="21"/>
        </w:rPr>
        <w:t>common </w:t>
      </w:r>
      <w:r>
        <w:rPr>
          <w:spacing w:val="-3"/>
          <w:w w:val="105"/>
          <w:sz w:val="21"/>
        </w:rPr>
        <w:t>scenario </w:t>
      </w:r>
      <w:r>
        <w:rPr>
          <w:w w:val="105"/>
          <w:sz w:val="21"/>
        </w:rPr>
        <w:t>where there is a risk of ademption is when a </w:t>
      </w:r>
      <w:r>
        <w:rPr>
          <w:spacing w:val="-3"/>
          <w:w w:val="105"/>
          <w:sz w:val="21"/>
        </w:rPr>
        <w:t>substitute </w:t>
      </w:r>
      <w:r>
        <w:rPr>
          <w:w w:val="105"/>
          <w:sz w:val="21"/>
        </w:rPr>
        <w:t>decision </w:t>
      </w:r>
      <w:r>
        <w:rPr>
          <w:spacing w:val="-4"/>
          <w:w w:val="105"/>
          <w:sz w:val="21"/>
        </w:rPr>
        <w:t>maker </w:t>
      </w:r>
      <w:r>
        <w:rPr>
          <w:w w:val="105"/>
          <w:sz w:val="21"/>
        </w:rPr>
        <w:t>sells the </w:t>
      </w:r>
      <w:r>
        <w:rPr>
          <w:spacing w:val="-3"/>
          <w:w w:val="105"/>
          <w:sz w:val="21"/>
        </w:rPr>
        <w:t>family </w:t>
      </w:r>
      <w:r>
        <w:rPr>
          <w:w w:val="105"/>
          <w:sz w:val="21"/>
        </w:rPr>
        <w:t>home in order </w:t>
      </w:r>
      <w:r>
        <w:rPr>
          <w:spacing w:val="-3"/>
          <w:w w:val="105"/>
          <w:sz w:val="21"/>
        </w:rPr>
        <w:t>to fund </w:t>
      </w:r>
      <w:r>
        <w:rPr>
          <w:w w:val="105"/>
          <w:sz w:val="21"/>
        </w:rPr>
        <w:t>a move </w:t>
      </w:r>
      <w:r>
        <w:rPr>
          <w:spacing w:val="-3"/>
          <w:w w:val="105"/>
          <w:sz w:val="21"/>
        </w:rPr>
        <w:t>to </w:t>
      </w:r>
      <w:r>
        <w:rPr>
          <w:w w:val="105"/>
          <w:sz w:val="21"/>
        </w:rPr>
        <w:t>an aged care </w:t>
      </w:r>
      <w:r>
        <w:rPr>
          <w:spacing w:val="-4"/>
          <w:w w:val="105"/>
          <w:sz w:val="21"/>
        </w:rPr>
        <w:t>facility.</w:t>
      </w:r>
      <w:r>
        <w:rPr>
          <w:spacing w:val="-4"/>
          <w:w w:val="105"/>
          <w:position w:val="7"/>
          <w:sz w:val="12"/>
        </w:rPr>
        <w:t>33 </w:t>
      </w:r>
      <w:r>
        <w:rPr>
          <w:w w:val="105"/>
          <w:sz w:val="21"/>
        </w:rPr>
        <w:t>In a </w:t>
      </w:r>
      <w:r>
        <w:rPr>
          <w:spacing w:val="-3"/>
          <w:w w:val="105"/>
          <w:sz w:val="21"/>
        </w:rPr>
        <w:t>recent </w:t>
      </w:r>
      <w:r>
        <w:rPr>
          <w:w w:val="105"/>
          <w:sz w:val="21"/>
        </w:rPr>
        <w:t>Victorian </w:t>
      </w:r>
      <w:r>
        <w:rPr>
          <w:spacing w:val="-3"/>
          <w:w w:val="105"/>
          <w:sz w:val="21"/>
        </w:rPr>
        <w:t>case, </w:t>
      </w:r>
      <w:r>
        <w:rPr>
          <w:w w:val="105"/>
          <w:sz w:val="21"/>
        </w:rPr>
        <w:t>Justice </w:t>
      </w:r>
      <w:r>
        <w:rPr>
          <w:spacing w:val="-3"/>
          <w:w w:val="105"/>
          <w:sz w:val="21"/>
        </w:rPr>
        <w:t>Hargrave</w:t>
      </w:r>
      <w:r>
        <w:rPr>
          <w:spacing w:val="-22"/>
          <w:w w:val="105"/>
          <w:sz w:val="21"/>
        </w:rPr>
        <w:t> </w:t>
      </w:r>
      <w:r>
        <w:rPr>
          <w:w w:val="105"/>
          <w:sz w:val="21"/>
        </w:rPr>
        <w:t>stated:</w:t>
      </w:r>
    </w:p>
    <w:p>
      <w:pPr>
        <w:spacing w:line="254" w:lineRule="auto" w:before="135"/>
        <w:ind w:left="2721" w:right="1603" w:firstLine="0"/>
        <w:jc w:val="left"/>
        <w:rPr>
          <w:sz w:val="11"/>
        </w:rPr>
      </w:pPr>
      <w:r>
        <w:rPr>
          <w:w w:val="105"/>
          <w:sz w:val="20"/>
        </w:rPr>
        <w:t>People</w:t>
      </w:r>
      <w:r>
        <w:rPr>
          <w:spacing w:val="-11"/>
          <w:w w:val="105"/>
          <w:sz w:val="20"/>
        </w:rPr>
        <w:t> </w:t>
      </w:r>
      <w:r>
        <w:rPr>
          <w:w w:val="105"/>
          <w:sz w:val="20"/>
        </w:rPr>
        <w:t>are</w:t>
      </w:r>
      <w:r>
        <w:rPr>
          <w:spacing w:val="-11"/>
          <w:w w:val="105"/>
          <w:sz w:val="20"/>
        </w:rPr>
        <w:t> </w:t>
      </w:r>
      <w:r>
        <w:rPr>
          <w:w w:val="105"/>
          <w:sz w:val="20"/>
        </w:rPr>
        <w:t>living</w:t>
      </w:r>
      <w:r>
        <w:rPr>
          <w:spacing w:val="-10"/>
          <w:w w:val="105"/>
          <w:sz w:val="20"/>
        </w:rPr>
        <w:t> </w:t>
      </w:r>
      <w:r>
        <w:rPr>
          <w:w w:val="105"/>
          <w:sz w:val="20"/>
        </w:rPr>
        <w:t>longer</w:t>
      </w:r>
      <w:r>
        <w:rPr>
          <w:spacing w:val="-11"/>
          <w:w w:val="105"/>
          <w:sz w:val="20"/>
        </w:rPr>
        <w:t> </w:t>
      </w:r>
      <w:r>
        <w:rPr>
          <w:w w:val="105"/>
          <w:sz w:val="20"/>
        </w:rPr>
        <w:t>than</w:t>
      </w:r>
      <w:r>
        <w:rPr>
          <w:spacing w:val="-11"/>
          <w:w w:val="105"/>
          <w:sz w:val="20"/>
        </w:rPr>
        <w:t> </w:t>
      </w:r>
      <w:r>
        <w:rPr>
          <w:w w:val="105"/>
          <w:sz w:val="20"/>
        </w:rPr>
        <w:t>in</w:t>
      </w:r>
      <w:r>
        <w:rPr>
          <w:spacing w:val="-10"/>
          <w:w w:val="105"/>
          <w:sz w:val="20"/>
        </w:rPr>
        <w:t> </w:t>
      </w:r>
      <w:r>
        <w:rPr>
          <w:w w:val="105"/>
          <w:sz w:val="20"/>
        </w:rPr>
        <w:t>the</w:t>
      </w:r>
      <w:r>
        <w:rPr>
          <w:spacing w:val="-11"/>
          <w:w w:val="105"/>
          <w:sz w:val="20"/>
        </w:rPr>
        <w:t> </w:t>
      </w:r>
      <w:r>
        <w:rPr>
          <w:w w:val="105"/>
          <w:sz w:val="20"/>
        </w:rPr>
        <w:t>past</w:t>
      </w:r>
      <w:r>
        <w:rPr>
          <w:spacing w:val="-11"/>
          <w:w w:val="105"/>
          <w:sz w:val="20"/>
        </w:rPr>
        <w:t> </w:t>
      </w:r>
      <w:r>
        <w:rPr>
          <w:w w:val="105"/>
          <w:sz w:val="20"/>
        </w:rPr>
        <w:t>and</w:t>
      </w:r>
      <w:r>
        <w:rPr>
          <w:spacing w:val="-10"/>
          <w:w w:val="105"/>
          <w:sz w:val="20"/>
        </w:rPr>
        <w:t> </w:t>
      </w:r>
      <w:r>
        <w:rPr>
          <w:w w:val="105"/>
          <w:sz w:val="20"/>
        </w:rPr>
        <w:t>their</w:t>
      </w:r>
      <w:r>
        <w:rPr>
          <w:spacing w:val="-11"/>
          <w:w w:val="105"/>
          <w:sz w:val="20"/>
        </w:rPr>
        <w:t> </w:t>
      </w:r>
      <w:r>
        <w:rPr>
          <w:w w:val="105"/>
          <w:sz w:val="20"/>
        </w:rPr>
        <w:t>physical</w:t>
      </w:r>
      <w:r>
        <w:rPr>
          <w:spacing w:val="-11"/>
          <w:w w:val="105"/>
          <w:sz w:val="20"/>
        </w:rPr>
        <w:t> </w:t>
      </w:r>
      <w:r>
        <w:rPr>
          <w:w w:val="105"/>
          <w:sz w:val="20"/>
        </w:rPr>
        <w:t>health</w:t>
      </w:r>
      <w:r>
        <w:rPr>
          <w:spacing w:val="-10"/>
          <w:w w:val="105"/>
          <w:sz w:val="20"/>
        </w:rPr>
        <w:t> </w:t>
      </w:r>
      <w:r>
        <w:rPr>
          <w:w w:val="105"/>
          <w:sz w:val="20"/>
        </w:rPr>
        <w:t>is</w:t>
      </w:r>
      <w:r>
        <w:rPr>
          <w:spacing w:val="-11"/>
          <w:w w:val="105"/>
          <w:sz w:val="20"/>
        </w:rPr>
        <w:t> </w:t>
      </w:r>
      <w:r>
        <w:rPr>
          <w:w w:val="105"/>
          <w:sz w:val="20"/>
        </w:rPr>
        <w:t>outlasting</w:t>
      </w:r>
      <w:r>
        <w:rPr>
          <w:spacing w:val="-10"/>
          <w:w w:val="105"/>
          <w:sz w:val="20"/>
        </w:rPr>
        <w:t> </w:t>
      </w:r>
      <w:r>
        <w:rPr>
          <w:w w:val="105"/>
          <w:sz w:val="20"/>
        </w:rPr>
        <w:t>their</w:t>
      </w:r>
      <w:r>
        <w:rPr>
          <w:spacing w:val="-11"/>
          <w:w w:val="105"/>
          <w:sz w:val="20"/>
        </w:rPr>
        <w:t> </w:t>
      </w:r>
      <w:r>
        <w:rPr>
          <w:w w:val="105"/>
          <w:sz w:val="20"/>
        </w:rPr>
        <w:t>mental capacity. It is commonplace for properties owned by incapacitated persons to be sold under the authority of an enduring power of </w:t>
      </w:r>
      <w:r>
        <w:rPr>
          <w:spacing w:val="-3"/>
          <w:w w:val="105"/>
          <w:sz w:val="20"/>
        </w:rPr>
        <w:t>attorney, </w:t>
      </w:r>
      <w:r>
        <w:rPr>
          <w:w w:val="105"/>
          <w:sz w:val="20"/>
        </w:rPr>
        <w:t>to fund accommodation bonds and other necessities and comforts for an ageing</w:t>
      </w:r>
      <w:r>
        <w:rPr>
          <w:spacing w:val="29"/>
          <w:w w:val="105"/>
          <w:sz w:val="20"/>
        </w:rPr>
        <w:t> </w:t>
      </w:r>
      <w:r>
        <w:rPr>
          <w:w w:val="105"/>
          <w:sz w:val="20"/>
        </w:rPr>
        <w:t>population.</w:t>
      </w:r>
      <w:r>
        <w:rPr>
          <w:w w:val="105"/>
          <w:position w:val="7"/>
          <w:sz w:val="11"/>
        </w:rPr>
        <w:t>34</w:t>
      </w:r>
    </w:p>
    <w:p>
      <w:pPr>
        <w:pStyle w:val="ListParagraph"/>
        <w:numPr>
          <w:ilvl w:val="1"/>
          <w:numId w:val="22"/>
        </w:numPr>
        <w:tabs>
          <w:tab w:pos="2381" w:val="left" w:leader="none"/>
          <w:tab w:pos="2382" w:val="left" w:leader="none"/>
        </w:tabs>
        <w:spacing w:line="242" w:lineRule="auto" w:before="116" w:after="0"/>
        <w:ind w:left="2381" w:right="1920" w:hanging="794"/>
        <w:jc w:val="left"/>
        <w:rPr>
          <w:sz w:val="12"/>
        </w:rPr>
      </w:pPr>
      <w:r>
        <w:rPr>
          <w:w w:val="105"/>
          <w:sz w:val="21"/>
        </w:rPr>
        <w:t>These types of cases </w:t>
      </w:r>
      <w:r>
        <w:rPr>
          <w:spacing w:val="-3"/>
          <w:w w:val="105"/>
          <w:sz w:val="21"/>
        </w:rPr>
        <w:t>are </w:t>
      </w:r>
      <w:r>
        <w:rPr>
          <w:w w:val="105"/>
          <w:sz w:val="21"/>
        </w:rPr>
        <w:t>expected </w:t>
      </w:r>
      <w:r>
        <w:rPr>
          <w:spacing w:val="-3"/>
          <w:w w:val="105"/>
          <w:sz w:val="21"/>
        </w:rPr>
        <w:t>to </w:t>
      </w:r>
      <w:r>
        <w:rPr>
          <w:w w:val="105"/>
          <w:sz w:val="21"/>
        </w:rPr>
        <w:t>become more </w:t>
      </w:r>
      <w:r>
        <w:rPr>
          <w:spacing w:val="-2"/>
          <w:w w:val="105"/>
          <w:sz w:val="21"/>
        </w:rPr>
        <w:t>common </w:t>
      </w:r>
      <w:r>
        <w:rPr>
          <w:w w:val="105"/>
          <w:sz w:val="21"/>
        </w:rPr>
        <w:t>as our population ages and</w:t>
      </w:r>
      <w:r>
        <w:rPr>
          <w:spacing w:val="-11"/>
          <w:w w:val="105"/>
          <w:sz w:val="21"/>
        </w:rPr>
        <w:t> </w:t>
      </w:r>
      <w:r>
        <w:rPr>
          <w:w w:val="105"/>
          <w:sz w:val="21"/>
        </w:rPr>
        <w:t>will-makers</w:t>
      </w:r>
      <w:r>
        <w:rPr>
          <w:spacing w:val="-10"/>
          <w:w w:val="105"/>
          <w:sz w:val="21"/>
        </w:rPr>
        <w:t> </w:t>
      </w:r>
      <w:r>
        <w:rPr>
          <w:w w:val="105"/>
          <w:sz w:val="21"/>
        </w:rPr>
        <w:t>become</w:t>
      </w:r>
      <w:r>
        <w:rPr>
          <w:spacing w:val="-11"/>
          <w:w w:val="105"/>
          <w:sz w:val="21"/>
        </w:rPr>
        <w:t> </w:t>
      </w:r>
      <w:r>
        <w:rPr>
          <w:w w:val="105"/>
          <w:sz w:val="21"/>
        </w:rPr>
        <w:t>more</w:t>
      </w:r>
      <w:r>
        <w:rPr>
          <w:spacing w:val="-10"/>
          <w:w w:val="105"/>
          <w:sz w:val="21"/>
        </w:rPr>
        <w:t> </w:t>
      </w:r>
      <w:r>
        <w:rPr>
          <w:spacing w:val="-4"/>
          <w:w w:val="105"/>
          <w:sz w:val="21"/>
        </w:rPr>
        <w:t>likely</w:t>
      </w:r>
      <w:r>
        <w:rPr>
          <w:spacing w:val="-11"/>
          <w:w w:val="105"/>
          <w:sz w:val="21"/>
        </w:rPr>
        <w:t> </w:t>
      </w:r>
      <w:r>
        <w:rPr>
          <w:spacing w:val="-3"/>
          <w:w w:val="105"/>
          <w:sz w:val="21"/>
        </w:rPr>
        <w:t>to</w:t>
      </w:r>
      <w:r>
        <w:rPr>
          <w:spacing w:val="-10"/>
          <w:w w:val="105"/>
          <w:sz w:val="21"/>
        </w:rPr>
        <w:t> </w:t>
      </w:r>
      <w:r>
        <w:rPr>
          <w:w w:val="105"/>
          <w:sz w:val="21"/>
        </w:rPr>
        <w:t>lose</w:t>
      </w:r>
      <w:r>
        <w:rPr>
          <w:spacing w:val="-10"/>
          <w:w w:val="105"/>
          <w:sz w:val="21"/>
        </w:rPr>
        <w:t> </w:t>
      </w:r>
      <w:r>
        <w:rPr>
          <w:w w:val="105"/>
          <w:sz w:val="21"/>
        </w:rPr>
        <w:t>their</w:t>
      </w:r>
      <w:r>
        <w:rPr>
          <w:spacing w:val="-11"/>
          <w:w w:val="105"/>
          <w:sz w:val="21"/>
        </w:rPr>
        <w:t> </w:t>
      </w:r>
      <w:r>
        <w:rPr>
          <w:w w:val="105"/>
          <w:sz w:val="21"/>
        </w:rPr>
        <w:t>will-making</w:t>
      </w:r>
      <w:r>
        <w:rPr>
          <w:spacing w:val="-10"/>
          <w:w w:val="105"/>
          <w:sz w:val="21"/>
        </w:rPr>
        <w:t> </w:t>
      </w:r>
      <w:r>
        <w:rPr>
          <w:w w:val="105"/>
          <w:sz w:val="21"/>
        </w:rPr>
        <w:t>capacity</w:t>
      </w:r>
      <w:r>
        <w:rPr>
          <w:spacing w:val="-11"/>
          <w:w w:val="105"/>
          <w:sz w:val="21"/>
        </w:rPr>
        <w:t> </w:t>
      </w:r>
      <w:r>
        <w:rPr>
          <w:spacing w:val="-3"/>
          <w:w w:val="105"/>
          <w:sz w:val="21"/>
        </w:rPr>
        <w:t>towards</w:t>
      </w:r>
      <w:r>
        <w:rPr>
          <w:spacing w:val="-10"/>
          <w:w w:val="105"/>
          <w:sz w:val="21"/>
        </w:rPr>
        <w:t> </w:t>
      </w:r>
      <w:r>
        <w:rPr>
          <w:w w:val="105"/>
          <w:sz w:val="21"/>
        </w:rPr>
        <w:t>the</w:t>
      </w:r>
      <w:r>
        <w:rPr>
          <w:spacing w:val="-10"/>
          <w:w w:val="105"/>
          <w:sz w:val="21"/>
        </w:rPr>
        <w:t> </w:t>
      </w:r>
      <w:r>
        <w:rPr>
          <w:w w:val="105"/>
          <w:sz w:val="21"/>
        </w:rPr>
        <w:t>end of their</w:t>
      </w:r>
      <w:r>
        <w:rPr>
          <w:spacing w:val="10"/>
          <w:w w:val="105"/>
          <w:sz w:val="21"/>
        </w:rPr>
        <w:t> </w:t>
      </w:r>
      <w:r>
        <w:rPr>
          <w:w w:val="105"/>
          <w:sz w:val="21"/>
        </w:rPr>
        <w:t>lives.</w:t>
      </w:r>
      <w:r>
        <w:rPr>
          <w:w w:val="105"/>
          <w:position w:val="7"/>
          <w:sz w:val="12"/>
        </w:rPr>
        <w:t>35</w:t>
      </w:r>
    </w:p>
    <w:p>
      <w:pPr>
        <w:pStyle w:val="ListParagraph"/>
        <w:numPr>
          <w:ilvl w:val="1"/>
          <w:numId w:val="22"/>
        </w:numPr>
        <w:tabs>
          <w:tab w:pos="2381" w:val="left" w:leader="none"/>
          <w:tab w:pos="2382" w:val="left" w:leader="none"/>
        </w:tabs>
        <w:spacing w:line="242" w:lineRule="auto" w:before="123" w:after="0"/>
        <w:ind w:left="2381" w:right="1813" w:hanging="794"/>
        <w:jc w:val="left"/>
        <w:rPr>
          <w:sz w:val="21"/>
        </w:rPr>
      </w:pPr>
      <w:r>
        <w:rPr>
          <w:sz w:val="21"/>
        </w:rPr>
        <w:t>The law in Victoria </w:t>
      </w:r>
      <w:r>
        <w:rPr>
          <w:spacing w:val="-3"/>
          <w:sz w:val="21"/>
        </w:rPr>
        <w:t>currently </w:t>
      </w:r>
      <w:r>
        <w:rPr>
          <w:sz w:val="21"/>
        </w:rPr>
        <w:t>recognises an </w:t>
      </w:r>
      <w:r>
        <w:rPr>
          <w:spacing w:val="-3"/>
          <w:sz w:val="21"/>
        </w:rPr>
        <w:t>exception to </w:t>
      </w:r>
      <w:r>
        <w:rPr>
          <w:sz w:val="21"/>
        </w:rPr>
        <w:t>ademption in the </w:t>
      </w:r>
      <w:r>
        <w:rPr>
          <w:spacing w:val="-3"/>
          <w:sz w:val="21"/>
        </w:rPr>
        <w:t>following </w:t>
      </w:r>
      <w:r>
        <w:rPr>
          <w:sz w:val="21"/>
        </w:rPr>
        <w:t>two </w:t>
      </w:r>
      <w:r>
        <w:rPr>
          <w:spacing w:val="-3"/>
          <w:sz w:val="21"/>
        </w:rPr>
        <w:t>circumstances</w:t>
      </w:r>
      <w:r>
        <w:rPr>
          <w:spacing w:val="19"/>
          <w:sz w:val="21"/>
        </w:rPr>
        <w:t> </w:t>
      </w:r>
      <w:r>
        <w:rPr>
          <w:sz w:val="21"/>
        </w:rPr>
        <w:t>when</w:t>
      </w:r>
      <w:r>
        <w:rPr>
          <w:spacing w:val="20"/>
          <w:sz w:val="21"/>
        </w:rPr>
        <w:t> </w:t>
      </w:r>
      <w:r>
        <w:rPr>
          <w:sz w:val="21"/>
        </w:rPr>
        <w:t>a</w:t>
      </w:r>
      <w:r>
        <w:rPr>
          <w:spacing w:val="20"/>
          <w:sz w:val="21"/>
        </w:rPr>
        <w:t> </w:t>
      </w:r>
      <w:r>
        <w:rPr>
          <w:spacing w:val="-3"/>
          <w:sz w:val="21"/>
        </w:rPr>
        <w:t>substitute</w:t>
      </w:r>
      <w:r>
        <w:rPr>
          <w:spacing w:val="19"/>
          <w:sz w:val="21"/>
        </w:rPr>
        <w:t> </w:t>
      </w:r>
      <w:r>
        <w:rPr>
          <w:sz w:val="21"/>
        </w:rPr>
        <w:t>decision</w:t>
      </w:r>
      <w:r>
        <w:rPr>
          <w:spacing w:val="20"/>
          <w:sz w:val="21"/>
        </w:rPr>
        <w:t> </w:t>
      </w:r>
      <w:r>
        <w:rPr>
          <w:spacing w:val="-4"/>
          <w:sz w:val="21"/>
        </w:rPr>
        <w:t>maker</w:t>
      </w:r>
      <w:r>
        <w:rPr>
          <w:spacing w:val="20"/>
          <w:sz w:val="21"/>
        </w:rPr>
        <w:t> </w:t>
      </w:r>
      <w:r>
        <w:rPr>
          <w:sz w:val="21"/>
        </w:rPr>
        <w:t>sells</w:t>
      </w:r>
      <w:r>
        <w:rPr>
          <w:spacing w:val="20"/>
          <w:sz w:val="21"/>
        </w:rPr>
        <w:t> </w:t>
      </w:r>
      <w:r>
        <w:rPr>
          <w:sz w:val="21"/>
        </w:rPr>
        <w:t>or</w:t>
      </w:r>
      <w:r>
        <w:rPr>
          <w:spacing w:val="19"/>
          <w:sz w:val="21"/>
        </w:rPr>
        <w:t> </w:t>
      </w:r>
      <w:r>
        <w:rPr>
          <w:sz w:val="21"/>
        </w:rPr>
        <w:t>otherwise</w:t>
      </w:r>
      <w:r>
        <w:rPr>
          <w:spacing w:val="20"/>
          <w:sz w:val="21"/>
        </w:rPr>
        <w:t> </w:t>
      </w:r>
      <w:r>
        <w:rPr>
          <w:sz w:val="21"/>
        </w:rPr>
        <w:t>disposes</w:t>
      </w:r>
      <w:r>
        <w:rPr>
          <w:spacing w:val="20"/>
          <w:sz w:val="21"/>
        </w:rPr>
        <w:t> </w:t>
      </w:r>
      <w:r>
        <w:rPr>
          <w:sz w:val="21"/>
        </w:rPr>
        <w:t>of</w:t>
      </w:r>
      <w:r>
        <w:rPr>
          <w:spacing w:val="20"/>
          <w:sz w:val="21"/>
        </w:rPr>
        <w:t> </w:t>
      </w:r>
      <w:r>
        <w:rPr>
          <w:sz w:val="21"/>
        </w:rPr>
        <w:t>property:</w:t>
      </w:r>
    </w:p>
    <w:p>
      <w:pPr>
        <w:pStyle w:val="ListParagraph"/>
        <w:numPr>
          <w:ilvl w:val="2"/>
          <w:numId w:val="22"/>
        </w:numPr>
        <w:tabs>
          <w:tab w:pos="2721" w:val="left" w:leader="none"/>
          <w:tab w:pos="2722" w:val="left" w:leader="none"/>
        </w:tabs>
        <w:spacing w:line="242" w:lineRule="auto" w:before="122" w:after="0"/>
        <w:ind w:left="2721" w:right="2250" w:hanging="340"/>
        <w:jc w:val="left"/>
        <w:rPr>
          <w:sz w:val="21"/>
        </w:rPr>
      </w:pPr>
      <w:r>
        <w:rPr>
          <w:spacing w:val="-3"/>
          <w:w w:val="105"/>
          <w:sz w:val="21"/>
        </w:rPr>
        <w:t>for </w:t>
      </w:r>
      <w:r>
        <w:rPr>
          <w:w w:val="105"/>
          <w:sz w:val="21"/>
        </w:rPr>
        <w:t>acts of an </w:t>
      </w:r>
      <w:r>
        <w:rPr>
          <w:spacing w:val="-4"/>
          <w:w w:val="105"/>
          <w:sz w:val="21"/>
        </w:rPr>
        <w:t>administrator, </w:t>
      </w:r>
      <w:r>
        <w:rPr>
          <w:w w:val="105"/>
          <w:sz w:val="21"/>
        </w:rPr>
        <w:t>as provided by section </w:t>
      </w:r>
      <w:r>
        <w:rPr>
          <w:spacing w:val="-3"/>
          <w:w w:val="105"/>
          <w:sz w:val="21"/>
        </w:rPr>
        <w:t>53 </w:t>
      </w:r>
      <w:r>
        <w:rPr>
          <w:w w:val="105"/>
          <w:sz w:val="21"/>
        </w:rPr>
        <w:t>of the </w:t>
      </w:r>
      <w:r>
        <w:rPr>
          <w:i/>
          <w:spacing w:val="-3"/>
          <w:w w:val="105"/>
          <w:sz w:val="21"/>
        </w:rPr>
        <w:t>Guardianship </w:t>
      </w:r>
      <w:r>
        <w:rPr>
          <w:i/>
          <w:w w:val="105"/>
          <w:sz w:val="21"/>
        </w:rPr>
        <w:t>and </w:t>
      </w:r>
      <w:r>
        <w:rPr>
          <w:i/>
          <w:spacing w:val="-3"/>
          <w:w w:val="105"/>
          <w:sz w:val="21"/>
        </w:rPr>
        <w:t>Administration </w:t>
      </w:r>
      <w:r>
        <w:rPr>
          <w:i/>
          <w:w w:val="105"/>
          <w:sz w:val="21"/>
        </w:rPr>
        <w:t>Act </w:t>
      </w:r>
      <w:r>
        <w:rPr>
          <w:i/>
          <w:spacing w:val="-4"/>
          <w:w w:val="105"/>
          <w:sz w:val="21"/>
        </w:rPr>
        <w:t>1986</w:t>
      </w:r>
      <w:r>
        <w:rPr>
          <w:i/>
          <w:spacing w:val="20"/>
          <w:w w:val="105"/>
          <w:sz w:val="21"/>
        </w:rPr>
        <w:t> </w:t>
      </w:r>
      <w:r>
        <w:rPr>
          <w:w w:val="105"/>
          <w:sz w:val="21"/>
        </w:rPr>
        <w:t>(Vic)</w:t>
      </w:r>
    </w:p>
    <w:p>
      <w:pPr>
        <w:pStyle w:val="ListParagraph"/>
        <w:numPr>
          <w:ilvl w:val="2"/>
          <w:numId w:val="22"/>
        </w:numPr>
        <w:tabs>
          <w:tab w:pos="2721" w:val="left" w:leader="none"/>
          <w:tab w:pos="2722" w:val="left" w:leader="none"/>
        </w:tabs>
        <w:spacing w:line="242" w:lineRule="auto" w:before="123" w:after="0"/>
        <w:ind w:left="2721" w:right="2298" w:hanging="340"/>
        <w:jc w:val="left"/>
        <w:rPr>
          <w:sz w:val="21"/>
        </w:rPr>
      </w:pPr>
      <w:r>
        <w:rPr>
          <w:spacing w:val="-3"/>
          <w:w w:val="105"/>
          <w:sz w:val="21"/>
        </w:rPr>
        <w:t>for </w:t>
      </w:r>
      <w:r>
        <w:rPr>
          <w:w w:val="105"/>
          <w:sz w:val="21"/>
        </w:rPr>
        <w:t>acts of a person acting under an </w:t>
      </w:r>
      <w:r>
        <w:rPr>
          <w:spacing w:val="-3"/>
          <w:w w:val="105"/>
          <w:sz w:val="21"/>
        </w:rPr>
        <w:t>enduring </w:t>
      </w:r>
      <w:r>
        <w:rPr>
          <w:w w:val="105"/>
          <w:sz w:val="21"/>
        </w:rPr>
        <w:t>power of </w:t>
      </w:r>
      <w:r>
        <w:rPr>
          <w:spacing w:val="-4"/>
          <w:w w:val="105"/>
          <w:sz w:val="21"/>
        </w:rPr>
        <w:t>attorney, </w:t>
      </w:r>
      <w:r>
        <w:rPr>
          <w:w w:val="105"/>
          <w:sz w:val="21"/>
        </w:rPr>
        <w:t>as permitted by a </w:t>
      </w:r>
      <w:r>
        <w:rPr>
          <w:spacing w:val="-2"/>
          <w:w w:val="105"/>
          <w:sz w:val="21"/>
        </w:rPr>
        <w:t>common </w:t>
      </w:r>
      <w:r>
        <w:rPr>
          <w:w w:val="105"/>
          <w:sz w:val="21"/>
        </w:rPr>
        <w:t>law</w:t>
      </w:r>
      <w:r>
        <w:rPr>
          <w:spacing w:val="23"/>
          <w:w w:val="105"/>
          <w:sz w:val="21"/>
        </w:rPr>
        <w:t> </w:t>
      </w:r>
      <w:r>
        <w:rPr>
          <w:spacing w:val="-3"/>
          <w:w w:val="105"/>
          <w:sz w:val="21"/>
        </w:rPr>
        <w:t>exception.</w:t>
      </w:r>
    </w:p>
    <w:p>
      <w:pPr>
        <w:pStyle w:val="BodyText"/>
        <w:rPr>
          <w:sz w:val="20"/>
        </w:rPr>
      </w:pPr>
    </w:p>
    <w:p>
      <w:pPr>
        <w:pStyle w:val="BodyText"/>
        <w:rPr>
          <w:sz w:val="20"/>
        </w:rPr>
      </w:pPr>
    </w:p>
    <w:p>
      <w:pPr>
        <w:pStyle w:val="BodyText"/>
        <w:rPr>
          <w:sz w:val="20"/>
        </w:rPr>
      </w:pPr>
    </w:p>
    <w:p>
      <w:pPr>
        <w:pStyle w:val="BodyText"/>
        <w:spacing w:before="4"/>
        <w:rPr>
          <w:sz w:val="26"/>
        </w:rPr>
      </w:pPr>
      <w:r>
        <w:rPr/>
        <w:pict>
          <v:line style="position:absolute;mso-position-horizontal-relative:page;mso-position-vertical-relative:paragraph;z-index:1880;mso-wrap-distance-left:0;mso-wrap-distance-right:0" from="79.370003pt,18.556894pt" to="515.905003pt,18.556894pt" stroked="true" strokeweight="1pt" strokecolor="#f9ceca">
            <v:stroke dashstyle="solid"/>
            <w10:wrap type="topAndBottom"/>
          </v:line>
        </w:pict>
      </w:r>
    </w:p>
    <w:p>
      <w:pPr>
        <w:pStyle w:val="ListParagraph"/>
        <w:numPr>
          <w:ilvl w:val="0"/>
          <w:numId w:val="40"/>
        </w:numPr>
        <w:tabs>
          <w:tab w:pos="2380" w:val="left" w:leader="none"/>
          <w:tab w:pos="2382" w:val="left" w:leader="none"/>
        </w:tabs>
        <w:spacing w:line="240" w:lineRule="auto" w:before="117" w:after="0"/>
        <w:ind w:left="2381" w:right="0" w:hanging="794"/>
        <w:jc w:val="left"/>
        <w:rPr>
          <w:sz w:val="13"/>
        </w:rPr>
      </w:pPr>
      <w:r>
        <w:rPr>
          <w:i/>
          <w:w w:val="105"/>
          <w:sz w:val="13"/>
        </w:rPr>
        <w:t>Guardianship and Administration Act 1986 </w:t>
      </w:r>
      <w:r>
        <w:rPr>
          <w:spacing w:val="2"/>
          <w:w w:val="105"/>
          <w:sz w:val="13"/>
        </w:rPr>
        <w:t>(Vic) </w:t>
      </w:r>
      <w:r>
        <w:rPr>
          <w:w w:val="105"/>
          <w:sz w:val="13"/>
        </w:rPr>
        <w:t>s</w:t>
      </w:r>
      <w:r>
        <w:rPr>
          <w:spacing w:val="22"/>
          <w:w w:val="105"/>
          <w:sz w:val="13"/>
        </w:rPr>
        <w:t> </w:t>
      </w:r>
      <w:r>
        <w:rPr>
          <w:spacing w:val="3"/>
          <w:w w:val="105"/>
          <w:sz w:val="13"/>
        </w:rPr>
        <w:t>46(1)(a).</w:t>
      </w:r>
    </w:p>
    <w:p>
      <w:pPr>
        <w:pStyle w:val="ListParagraph"/>
        <w:numPr>
          <w:ilvl w:val="0"/>
          <w:numId w:val="40"/>
        </w:numPr>
        <w:tabs>
          <w:tab w:pos="2380" w:val="left" w:leader="none"/>
          <w:tab w:pos="2382" w:val="left" w:leader="none"/>
        </w:tabs>
        <w:spacing w:line="240" w:lineRule="auto" w:before="1" w:after="0"/>
        <w:ind w:left="2381" w:right="0" w:hanging="794"/>
        <w:jc w:val="left"/>
        <w:rPr>
          <w:sz w:val="13"/>
        </w:rPr>
      </w:pPr>
      <w:r>
        <w:rPr>
          <w:i/>
          <w:w w:val="105"/>
          <w:sz w:val="13"/>
        </w:rPr>
        <w:t>Instruments Act 1958 </w:t>
      </w:r>
      <w:r>
        <w:rPr>
          <w:spacing w:val="2"/>
          <w:w w:val="105"/>
          <w:sz w:val="13"/>
        </w:rPr>
        <w:t>(Vic) </w:t>
      </w:r>
      <w:r>
        <w:rPr>
          <w:w w:val="105"/>
          <w:sz w:val="13"/>
        </w:rPr>
        <w:t>s</w:t>
      </w:r>
      <w:r>
        <w:rPr>
          <w:spacing w:val="18"/>
          <w:w w:val="105"/>
          <w:sz w:val="13"/>
        </w:rPr>
        <w:t> </w:t>
      </w:r>
      <w:r>
        <w:rPr>
          <w:spacing w:val="-7"/>
          <w:w w:val="105"/>
          <w:sz w:val="13"/>
        </w:rPr>
        <w:t>117.</w:t>
      </w:r>
    </w:p>
    <w:p>
      <w:pPr>
        <w:pStyle w:val="ListParagraph"/>
        <w:numPr>
          <w:ilvl w:val="0"/>
          <w:numId w:val="40"/>
        </w:numPr>
        <w:tabs>
          <w:tab w:pos="2380" w:val="left" w:leader="none"/>
          <w:tab w:pos="2382" w:val="left" w:leader="none"/>
        </w:tabs>
        <w:spacing w:line="240" w:lineRule="auto" w:before="2" w:after="0"/>
        <w:ind w:left="2381" w:right="1775" w:hanging="794"/>
        <w:jc w:val="left"/>
        <w:rPr>
          <w:sz w:val="13"/>
        </w:rPr>
      </w:pPr>
      <w:r>
        <w:rPr>
          <w:i/>
          <w:w w:val="105"/>
          <w:sz w:val="13"/>
        </w:rPr>
        <w:t>Simpson v Cunning </w:t>
      </w:r>
      <w:r>
        <w:rPr>
          <w:spacing w:val="-3"/>
          <w:w w:val="105"/>
          <w:sz w:val="13"/>
        </w:rPr>
        <w:t>[2011] </w:t>
      </w:r>
      <w:r>
        <w:rPr>
          <w:w w:val="105"/>
          <w:sz w:val="13"/>
        </w:rPr>
        <w:t>VSC </w:t>
      </w:r>
      <w:r>
        <w:rPr>
          <w:spacing w:val="2"/>
          <w:w w:val="105"/>
          <w:sz w:val="13"/>
        </w:rPr>
        <w:t>466 </w:t>
      </w:r>
      <w:r>
        <w:rPr>
          <w:w w:val="105"/>
          <w:sz w:val="13"/>
        </w:rPr>
        <w:t>(22 September 2022) </w:t>
      </w:r>
      <w:r>
        <w:rPr>
          <w:spacing w:val="2"/>
          <w:w w:val="105"/>
          <w:sz w:val="13"/>
        </w:rPr>
        <w:t>[45]; </w:t>
      </w:r>
      <w:r>
        <w:rPr>
          <w:w w:val="105"/>
          <w:sz w:val="13"/>
        </w:rPr>
        <w:t>Groves, ‘Adeptly Avoiding Ademption’, above n </w:t>
      </w:r>
      <w:r>
        <w:rPr>
          <w:spacing w:val="-3"/>
          <w:w w:val="105"/>
          <w:sz w:val="13"/>
        </w:rPr>
        <w:t>1, </w:t>
      </w:r>
      <w:r>
        <w:rPr>
          <w:spacing w:val="2"/>
          <w:w w:val="105"/>
          <w:sz w:val="13"/>
        </w:rPr>
        <w:t>36; </w:t>
      </w:r>
      <w:r>
        <w:rPr>
          <w:w w:val="105"/>
          <w:sz w:val="13"/>
        </w:rPr>
        <w:t>Swan and Groszek,</w:t>
      </w:r>
      <w:r>
        <w:rPr>
          <w:spacing w:val="30"/>
          <w:w w:val="105"/>
          <w:sz w:val="13"/>
        </w:rPr>
        <w:t> </w:t>
      </w:r>
      <w:r>
        <w:rPr>
          <w:spacing w:val="2"/>
          <w:w w:val="105"/>
          <w:sz w:val="13"/>
        </w:rPr>
        <w:t>‘The </w:t>
      </w:r>
      <w:r>
        <w:rPr>
          <w:w w:val="105"/>
          <w:sz w:val="13"/>
        </w:rPr>
        <w:t>Widening Scope of Ademption’, above n </w:t>
      </w:r>
      <w:r>
        <w:rPr>
          <w:spacing w:val="-3"/>
          <w:w w:val="105"/>
          <w:sz w:val="13"/>
        </w:rPr>
        <w:t>1,</w:t>
      </w:r>
      <w:r>
        <w:rPr>
          <w:spacing w:val="8"/>
          <w:w w:val="105"/>
          <w:sz w:val="13"/>
        </w:rPr>
        <w:t> </w:t>
      </w:r>
      <w:r>
        <w:rPr>
          <w:w w:val="105"/>
          <w:sz w:val="13"/>
        </w:rPr>
        <w:t>138.</w:t>
      </w:r>
    </w:p>
    <w:p>
      <w:pPr>
        <w:pStyle w:val="ListParagraph"/>
        <w:numPr>
          <w:ilvl w:val="0"/>
          <w:numId w:val="40"/>
        </w:numPr>
        <w:tabs>
          <w:tab w:pos="2381" w:val="left" w:leader="none"/>
          <w:tab w:pos="2382" w:val="left" w:leader="none"/>
        </w:tabs>
        <w:spacing w:line="240" w:lineRule="auto" w:before="2" w:after="0"/>
        <w:ind w:left="2381" w:right="0" w:hanging="794"/>
        <w:jc w:val="left"/>
        <w:rPr>
          <w:sz w:val="13"/>
        </w:rPr>
      </w:pPr>
      <w:r>
        <w:rPr/>
        <w:pict>
          <v:shape style="position:absolute;margin-left:36pt;margin-top:3.652365pt;width:13.8pt;height:14.25pt;mso-position-horizontal-relative:page;mso-position-vertical-relative:paragraph;z-index:3952" type="#_x0000_t202" filled="false" stroked="false">
            <v:textbox inset="0,0,0,0">
              <w:txbxContent>
                <w:p>
                  <w:pPr>
                    <w:spacing w:line="284" w:lineRule="exact" w:before="0"/>
                    <w:ind w:left="0" w:right="0" w:firstLine="0"/>
                    <w:jc w:val="left"/>
                    <w:rPr>
                      <w:b/>
                      <w:sz w:val="24"/>
                    </w:rPr>
                  </w:pPr>
                  <w:r>
                    <w:rPr>
                      <w:b/>
                      <w:color w:val="EC5A4F"/>
                      <w:w w:val="110"/>
                      <w:sz w:val="24"/>
                    </w:rPr>
                    <w:t>40</w:t>
                  </w:r>
                </w:p>
              </w:txbxContent>
            </v:textbox>
            <w10:wrap type="none"/>
          </v:shape>
        </w:pict>
      </w:r>
      <w:r>
        <w:rPr>
          <w:i/>
          <w:w w:val="105"/>
          <w:sz w:val="13"/>
        </w:rPr>
        <w:t>Simpson v Cunning </w:t>
      </w:r>
      <w:r>
        <w:rPr>
          <w:spacing w:val="-3"/>
          <w:w w:val="105"/>
          <w:sz w:val="13"/>
        </w:rPr>
        <w:t>[2011] </w:t>
      </w:r>
      <w:r>
        <w:rPr>
          <w:w w:val="105"/>
          <w:sz w:val="13"/>
        </w:rPr>
        <w:t>VSC </w:t>
      </w:r>
      <w:r>
        <w:rPr>
          <w:spacing w:val="2"/>
          <w:w w:val="105"/>
          <w:sz w:val="13"/>
        </w:rPr>
        <w:t>466 </w:t>
      </w:r>
      <w:r>
        <w:rPr>
          <w:w w:val="105"/>
          <w:sz w:val="13"/>
        </w:rPr>
        <w:t>(22 September</w:t>
      </w:r>
      <w:r>
        <w:rPr>
          <w:spacing w:val="20"/>
          <w:w w:val="105"/>
          <w:sz w:val="13"/>
        </w:rPr>
        <w:t> </w:t>
      </w:r>
      <w:r>
        <w:rPr>
          <w:spacing w:val="-4"/>
          <w:w w:val="105"/>
          <w:sz w:val="13"/>
        </w:rPr>
        <w:t>2011) </w:t>
      </w:r>
      <w:r>
        <w:rPr>
          <w:spacing w:val="2"/>
          <w:w w:val="105"/>
          <w:sz w:val="13"/>
        </w:rPr>
        <w:t>[45].</w:t>
      </w:r>
    </w:p>
    <w:p>
      <w:pPr>
        <w:pStyle w:val="ListParagraph"/>
        <w:numPr>
          <w:ilvl w:val="0"/>
          <w:numId w:val="40"/>
        </w:numPr>
        <w:tabs>
          <w:tab w:pos="2380" w:val="left" w:leader="none"/>
          <w:tab w:pos="2382" w:val="left" w:leader="none"/>
        </w:tabs>
        <w:spacing w:line="240" w:lineRule="auto" w:before="2" w:after="0"/>
        <w:ind w:left="2381" w:right="0" w:hanging="794"/>
        <w:jc w:val="left"/>
        <w:rPr>
          <w:sz w:val="13"/>
        </w:rPr>
      </w:pPr>
      <w:r>
        <w:rPr>
          <w:w w:val="105"/>
          <w:sz w:val="13"/>
        </w:rPr>
        <w:t>Groves,</w:t>
      </w:r>
      <w:r>
        <w:rPr>
          <w:spacing w:val="5"/>
          <w:w w:val="105"/>
          <w:sz w:val="13"/>
        </w:rPr>
        <w:t> </w:t>
      </w:r>
      <w:r>
        <w:rPr>
          <w:w w:val="105"/>
          <w:sz w:val="13"/>
        </w:rPr>
        <w:t>‘Adeptly</w:t>
      </w:r>
      <w:r>
        <w:rPr>
          <w:spacing w:val="6"/>
          <w:w w:val="105"/>
          <w:sz w:val="13"/>
        </w:rPr>
        <w:t> </w:t>
      </w:r>
      <w:r>
        <w:rPr>
          <w:w w:val="105"/>
          <w:sz w:val="13"/>
        </w:rPr>
        <w:t>Avoiding</w:t>
      </w:r>
      <w:r>
        <w:rPr>
          <w:spacing w:val="6"/>
          <w:w w:val="105"/>
          <w:sz w:val="13"/>
        </w:rPr>
        <w:t> </w:t>
      </w:r>
      <w:r>
        <w:rPr>
          <w:w w:val="105"/>
          <w:sz w:val="13"/>
        </w:rPr>
        <w:t>Ademption’,</w:t>
      </w:r>
      <w:r>
        <w:rPr>
          <w:spacing w:val="6"/>
          <w:w w:val="105"/>
          <w:sz w:val="13"/>
        </w:rPr>
        <w:t> </w:t>
      </w:r>
      <w:r>
        <w:rPr>
          <w:w w:val="105"/>
          <w:sz w:val="13"/>
        </w:rPr>
        <w:t>above</w:t>
      </w:r>
      <w:r>
        <w:rPr>
          <w:spacing w:val="6"/>
          <w:w w:val="105"/>
          <w:sz w:val="13"/>
        </w:rPr>
        <w:t> </w:t>
      </w:r>
      <w:r>
        <w:rPr>
          <w:w w:val="105"/>
          <w:sz w:val="13"/>
        </w:rPr>
        <w:t>n</w:t>
      </w:r>
      <w:r>
        <w:rPr>
          <w:spacing w:val="5"/>
          <w:w w:val="105"/>
          <w:sz w:val="13"/>
        </w:rPr>
        <w:t> </w:t>
      </w:r>
      <w:r>
        <w:rPr>
          <w:spacing w:val="-3"/>
          <w:w w:val="105"/>
          <w:sz w:val="13"/>
        </w:rPr>
        <w:t>1,</w:t>
      </w:r>
      <w:r>
        <w:rPr>
          <w:spacing w:val="6"/>
          <w:w w:val="105"/>
          <w:sz w:val="13"/>
        </w:rPr>
        <w:t> </w:t>
      </w:r>
      <w:r>
        <w:rPr>
          <w:w w:val="105"/>
          <w:sz w:val="13"/>
        </w:rPr>
        <w:t>39;</w:t>
      </w:r>
      <w:r>
        <w:rPr>
          <w:spacing w:val="6"/>
          <w:w w:val="105"/>
          <w:sz w:val="13"/>
        </w:rPr>
        <w:t> </w:t>
      </w:r>
      <w:r>
        <w:rPr>
          <w:w w:val="105"/>
          <w:sz w:val="13"/>
        </w:rPr>
        <w:t>Swan</w:t>
      </w:r>
      <w:r>
        <w:rPr>
          <w:spacing w:val="6"/>
          <w:w w:val="105"/>
          <w:sz w:val="13"/>
        </w:rPr>
        <w:t> </w:t>
      </w:r>
      <w:r>
        <w:rPr>
          <w:w w:val="105"/>
          <w:sz w:val="13"/>
        </w:rPr>
        <w:t>and</w:t>
      </w:r>
      <w:r>
        <w:rPr>
          <w:spacing w:val="6"/>
          <w:w w:val="105"/>
          <w:sz w:val="13"/>
        </w:rPr>
        <w:t> </w:t>
      </w:r>
      <w:r>
        <w:rPr>
          <w:w w:val="105"/>
          <w:sz w:val="13"/>
        </w:rPr>
        <w:t>Groszek,</w:t>
      </w:r>
      <w:r>
        <w:rPr>
          <w:spacing w:val="6"/>
          <w:w w:val="105"/>
          <w:sz w:val="13"/>
        </w:rPr>
        <w:t> </w:t>
      </w:r>
      <w:r>
        <w:rPr>
          <w:spacing w:val="2"/>
          <w:w w:val="105"/>
          <w:sz w:val="13"/>
        </w:rPr>
        <w:t>‘The</w:t>
      </w:r>
      <w:r>
        <w:rPr>
          <w:spacing w:val="5"/>
          <w:w w:val="105"/>
          <w:sz w:val="13"/>
        </w:rPr>
        <w:t> </w:t>
      </w:r>
      <w:r>
        <w:rPr>
          <w:w w:val="105"/>
          <w:sz w:val="13"/>
        </w:rPr>
        <w:t>Widening</w:t>
      </w:r>
      <w:r>
        <w:rPr>
          <w:spacing w:val="6"/>
          <w:w w:val="105"/>
          <w:sz w:val="13"/>
        </w:rPr>
        <w:t> </w:t>
      </w:r>
      <w:r>
        <w:rPr>
          <w:w w:val="105"/>
          <w:sz w:val="13"/>
        </w:rPr>
        <w:t>Scope</w:t>
      </w:r>
      <w:r>
        <w:rPr>
          <w:spacing w:val="6"/>
          <w:w w:val="105"/>
          <w:sz w:val="13"/>
        </w:rPr>
        <w:t> </w:t>
      </w:r>
      <w:r>
        <w:rPr>
          <w:w w:val="105"/>
          <w:sz w:val="13"/>
        </w:rPr>
        <w:t>of</w:t>
      </w:r>
      <w:r>
        <w:rPr>
          <w:spacing w:val="6"/>
          <w:w w:val="105"/>
          <w:sz w:val="13"/>
        </w:rPr>
        <w:t> </w:t>
      </w:r>
      <w:r>
        <w:rPr>
          <w:w w:val="105"/>
          <w:sz w:val="13"/>
        </w:rPr>
        <w:t>Ademption’,</w:t>
      </w:r>
      <w:r>
        <w:rPr>
          <w:spacing w:val="6"/>
          <w:w w:val="105"/>
          <w:sz w:val="13"/>
        </w:rPr>
        <w:t> </w:t>
      </w:r>
      <w:r>
        <w:rPr>
          <w:w w:val="105"/>
          <w:sz w:val="13"/>
        </w:rPr>
        <w:t>above</w:t>
      </w:r>
      <w:r>
        <w:rPr>
          <w:spacing w:val="6"/>
          <w:w w:val="105"/>
          <w:sz w:val="13"/>
        </w:rPr>
        <w:t> </w:t>
      </w:r>
      <w:r>
        <w:rPr>
          <w:w w:val="105"/>
          <w:sz w:val="13"/>
        </w:rPr>
        <w:t>n</w:t>
      </w:r>
      <w:r>
        <w:rPr>
          <w:spacing w:val="5"/>
          <w:w w:val="105"/>
          <w:sz w:val="13"/>
        </w:rPr>
        <w:t> </w:t>
      </w:r>
      <w:r>
        <w:rPr>
          <w:spacing w:val="-3"/>
          <w:w w:val="105"/>
          <w:sz w:val="13"/>
        </w:rPr>
        <w:t>1,</w:t>
      </w:r>
      <w:r>
        <w:rPr>
          <w:spacing w:val="6"/>
          <w:w w:val="105"/>
          <w:sz w:val="13"/>
        </w:rPr>
        <w:t> </w:t>
      </w:r>
      <w:r>
        <w:rPr>
          <w:w w:val="105"/>
          <w:sz w:val="13"/>
        </w:rPr>
        <w:t>138.</w:t>
      </w:r>
    </w:p>
    <w:p>
      <w:pPr>
        <w:spacing w:after="0" w:line="240" w:lineRule="auto"/>
        <w:jc w:val="left"/>
        <w:rPr>
          <w:sz w:val="13"/>
        </w:rPr>
        <w:sectPr>
          <w:pgSz w:w="11910" w:h="16840"/>
          <w:pgMar w:header="550" w:footer="0" w:top="1560" w:bottom="280" w:left="0" w:right="0"/>
        </w:sectPr>
      </w:pPr>
    </w:p>
    <w:p>
      <w:pPr>
        <w:pStyle w:val="BodyText"/>
        <w:rPr>
          <w:sz w:val="20"/>
        </w:rPr>
      </w:pPr>
    </w:p>
    <w:p>
      <w:pPr>
        <w:pStyle w:val="BodyText"/>
        <w:rPr>
          <w:sz w:val="19"/>
        </w:rPr>
      </w:pPr>
    </w:p>
    <w:p>
      <w:pPr>
        <w:pStyle w:val="ListParagraph"/>
        <w:numPr>
          <w:ilvl w:val="1"/>
          <w:numId w:val="22"/>
        </w:numPr>
        <w:tabs>
          <w:tab w:pos="2381" w:val="left" w:leader="none"/>
          <w:tab w:pos="2382" w:val="left" w:leader="none"/>
        </w:tabs>
        <w:spacing w:line="242" w:lineRule="auto" w:before="91" w:after="0"/>
        <w:ind w:left="2381" w:right="1708" w:hanging="794"/>
        <w:jc w:val="left"/>
        <w:rPr>
          <w:sz w:val="12"/>
        </w:rPr>
      </w:pPr>
      <w:bookmarkStart w:name="Acts by administrators appointed by the " w:id="34"/>
      <w:bookmarkEnd w:id="34"/>
      <w:r>
        <w:rPr/>
      </w:r>
      <w:bookmarkStart w:name="Acts by administrators appointed by the " w:id="35"/>
      <w:bookmarkEnd w:id="35"/>
      <w:r>
        <w:rPr>
          <w:spacing w:val="-3"/>
          <w:w w:val="105"/>
          <w:sz w:val="21"/>
        </w:rPr>
        <w:t>V</w:t>
      </w:r>
      <w:r>
        <w:rPr>
          <w:spacing w:val="-3"/>
          <w:w w:val="105"/>
          <w:sz w:val="21"/>
        </w:rPr>
        <w:t>arious </w:t>
      </w:r>
      <w:r>
        <w:rPr>
          <w:w w:val="105"/>
          <w:sz w:val="21"/>
        </w:rPr>
        <w:t>policy </w:t>
      </w:r>
      <w:r>
        <w:rPr>
          <w:spacing w:val="-3"/>
          <w:w w:val="105"/>
          <w:sz w:val="21"/>
        </w:rPr>
        <w:t>reasons </w:t>
      </w:r>
      <w:r>
        <w:rPr>
          <w:w w:val="105"/>
          <w:sz w:val="21"/>
        </w:rPr>
        <w:t>exist </w:t>
      </w:r>
      <w:r>
        <w:rPr>
          <w:spacing w:val="-3"/>
          <w:w w:val="105"/>
          <w:sz w:val="21"/>
        </w:rPr>
        <w:t>for providing such </w:t>
      </w:r>
      <w:r>
        <w:rPr>
          <w:w w:val="105"/>
          <w:sz w:val="21"/>
        </w:rPr>
        <w:t>an </w:t>
      </w:r>
      <w:r>
        <w:rPr>
          <w:spacing w:val="-3"/>
          <w:w w:val="105"/>
          <w:sz w:val="21"/>
        </w:rPr>
        <w:t>exception. </w:t>
      </w:r>
      <w:r>
        <w:rPr>
          <w:w w:val="105"/>
          <w:sz w:val="21"/>
        </w:rPr>
        <w:t>The </w:t>
      </w:r>
      <w:r>
        <w:rPr>
          <w:spacing w:val="-3"/>
          <w:w w:val="105"/>
          <w:sz w:val="21"/>
        </w:rPr>
        <w:t>will-maker may </w:t>
      </w:r>
      <w:r>
        <w:rPr>
          <w:w w:val="105"/>
          <w:sz w:val="21"/>
        </w:rPr>
        <w:t>be </w:t>
      </w:r>
      <w:r>
        <w:rPr>
          <w:spacing w:val="-3"/>
          <w:w w:val="105"/>
          <w:sz w:val="21"/>
        </w:rPr>
        <w:t>unaware </w:t>
      </w:r>
      <w:r>
        <w:rPr>
          <w:w w:val="105"/>
          <w:sz w:val="21"/>
        </w:rPr>
        <w:t>of the sale of the property and </w:t>
      </w:r>
      <w:r>
        <w:rPr>
          <w:spacing w:val="-3"/>
          <w:w w:val="105"/>
          <w:sz w:val="21"/>
        </w:rPr>
        <w:t>will usually </w:t>
      </w:r>
      <w:r>
        <w:rPr>
          <w:spacing w:val="-2"/>
          <w:w w:val="105"/>
          <w:sz w:val="21"/>
        </w:rPr>
        <w:t>not </w:t>
      </w:r>
      <w:r>
        <w:rPr>
          <w:spacing w:val="-3"/>
          <w:w w:val="105"/>
          <w:sz w:val="21"/>
        </w:rPr>
        <w:t>have </w:t>
      </w:r>
      <w:r>
        <w:rPr>
          <w:w w:val="105"/>
          <w:sz w:val="21"/>
        </w:rPr>
        <w:t>the capacity </w:t>
      </w:r>
      <w:r>
        <w:rPr>
          <w:spacing w:val="-3"/>
          <w:w w:val="105"/>
          <w:sz w:val="21"/>
        </w:rPr>
        <w:t>to change </w:t>
      </w:r>
      <w:r>
        <w:rPr>
          <w:w w:val="105"/>
          <w:sz w:val="21"/>
        </w:rPr>
        <w:t>their </w:t>
      </w:r>
      <w:r>
        <w:rPr>
          <w:spacing w:val="-3"/>
          <w:w w:val="105"/>
          <w:sz w:val="21"/>
        </w:rPr>
        <w:t>will to </w:t>
      </w:r>
      <w:r>
        <w:rPr>
          <w:w w:val="105"/>
          <w:sz w:val="21"/>
        </w:rPr>
        <w:t>deal with this </w:t>
      </w:r>
      <w:r>
        <w:rPr>
          <w:spacing w:val="-3"/>
          <w:w w:val="105"/>
          <w:sz w:val="21"/>
        </w:rPr>
        <w:t>situation.</w:t>
      </w:r>
      <w:r>
        <w:rPr>
          <w:spacing w:val="-3"/>
          <w:w w:val="105"/>
          <w:position w:val="7"/>
          <w:sz w:val="12"/>
        </w:rPr>
        <w:t>36 </w:t>
      </w:r>
      <w:r>
        <w:rPr>
          <w:w w:val="105"/>
          <w:sz w:val="21"/>
        </w:rPr>
        <w:t>In these cases, the </w:t>
      </w:r>
      <w:r>
        <w:rPr>
          <w:spacing w:val="-2"/>
          <w:w w:val="105"/>
          <w:sz w:val="21"/>
        </w:rPr>
        <w:t>assumption </w:t>
      </w:r>
      <w:r>
        <w:rPr>
          <w:w w:val="105"/>
          <w:sz w:val="21"/>
        </w:rPr>
        <w:t>of the ademption rule—that</w:t>
      </w:r>
      <w:r>
        <w:rPr>
          <w:spacing w:val="-7"/>
          <w:w w:val="105"/>
          <w:sz w:val="21"/>
        </w:rPr>
        <w:t> </w:t>
      </w:r>
      <w:r>
        <w:rPr>
          <w:w w:val="105"/>
          <w:sz w:val="21"/>
        </w:rPr>
        <w:t>a</w:t>
      </w:r>
      <w:r>
        <w:rPr>
          <w:spacing w:val="-7"/>
          <w:w w:val="105"/>
          <w:sz w:val="21"/>
        </w:rPr>
        <w:t> </w:t>
      </w:r>
      <w:r>
        <w:rPr>
          <w:w w:val="105"/>
          <w:sz w:val="21"/>
        </w:rPr>
        <w:t>person</w:t>
      </w:r>
      <w:r>
        <w:rPr>
          <w:spacing w:val="-7"/>
          <w:w w:val="105"/>
          <w:sz w:val="21"/>
        </w:rPr>
        <w:t> </w:t>
      </w:r>
      <w:r>
        <w:rPr>
          <w:w w:val="105"/>
          <w:sz w:val="21"/>
        </w:rPr>
        <w:t>can</w:t>
      </w:r>
      <w:r>
        <w:rPr>
          <w:spacing w:val="-7"/>
          <w:w w:val="105"/>
          <w:sz w:val="21"/>
        </w:rPr>
        <w:t> </w:t>
      </w:r>
      <w:r>
        <w:rPr>
          <w:w w:val="105"/>
          <w:sz w:val="21"/>
        </w:rPr>
        <w:t>always</w:t>
      </w:r>
      <w:r>
        <w:rPr>
          <w:spacing w:val="-7"/>
          <w:w w:val="105"/>
          <w:sz w:val="21"/>
        </w:rPr>
        <w:t> </w:t>
      </w:r>
      <w:r>
        <w:rPr>
          <w:spacing w:val="-3"/>
          <w:w w:val="105"/>
          <w:sz w:val="21"/>
        </w:rPr>
        <w:t>change</w:t>
      </w:r>
      <w:r>
        <w:rPr>
          <w:spacing w:val="-7"/>
          <w:w w:val="105"/>
          <w:sz w:val="21"/>
        </w:rPr>
        <w:t> </w:t>
      </w:r>
      <w:r>
        <w:rPr>
          <w:w w:val="105"/>
          <w:sz w:val="21"/>
        </w:rPr>
        <w:t>their</w:t>
      </w:r>
      <w:r>
        <w:rPr>
          <w:spacing w:val="-7"/>
          <w:w w:val="105"/>
          <w:sz w:val="21"/>
        </w:rPr>
        <w:t> </w:t>
      </w:r>
      <w:r>
        <w:rPr>
          <w:spacing w:val="-3"/>
          <w:w w:val="105"/>
          <w:sz w:val="21"/>
        </w:rPr>
        <w:t>will</w:t>
      </w:r>
      <w:r>
        <w:rPr>
          <w:spacing w:val="-7"/>
          <w:w w:val="105"/>
          <w:sz w:val="21"/>
        </w:rPr>
        <w:t> </w:t>
      </w:r>
      <w:r>
        <w:rPr>
          <w:spacing w:val="-3"/>
          <w:w w:val="105"/>
          <w:sz w:val="21"/>
        </w:rPr>
        <w:t>to</w:t>
      </w:r>
      <w:r>
        <w:rPr>
          <w:spacing w:val="-7"/>
          <w:w w:val="105"/>
          <w:sz w:val="21"/>
        </w:rPr>
        <w:t> </w:t>
      </w:r>
      <w:r>
        <w:rPr>
          <w:w w:val="105"/>
          <w:sz w:val="21"/>
        </w:rPr>
        <w:t>reflect</w:t>
      </w:r>
      <w:r>
        <w:rPr>
          <w:spacing w:val="-7"/>
          <w:w w:val="105"/>
          <w:sz w:val="21"/>
        </w:rPr>
        <w:t> </w:t>
      </w:r>
      <w:r>
        <w:rPr>
          <w:w w:val="105"/>
          <w:sz w:val="21"/>
        </w:rPr>
        <w:t>new</w:t>
      </w:r>
      <w:r>
        <w:rPr>
          <w:spacing w:val="-7"/>
          <w:w w:val="105"/>
          <w:sz w:val="21"/>
        </w:rPr>
        <w:t> </w:t>
      </w:r>
      <w:r>
        <w:rPr>
          <w:w w:val="105"/>
          <w:sz w:val="21"/>
        </w:rPr>
        <w:t>circumstances—does</w:t>
      </w:r>
      <w:r>
        <w:rPr>
          <w:spacing w:val="-7"/>
          <w:w w:val="105"/>
          <w:sz w:val="21"/>
        </w:rPr>
        <w:t> </w:t>
      </w:r>
      <w:r>
        <w:rPr>
          <w:spacing w:val="-2"/>
          <w:w w:val="105"/>
          <w:sz w:val="21"/>
        </w:rPr>
        <w:t>not </w:t>
      </w:r>
      <w:r>
        <w:rPr>
          <w:spacing w:val="-4"/>
          <w:w w:val="105"/>
          <w:sz w:val="21"/>
        </w:rPr>
        <w:t>apply. </w:t>
      </w:r>
      <w:r>
        <w:rPr>
          <w:spacing w:val="-3"/>
          <w:w w:val="105"/>
          <w:sz w:val="21"/>
        </w:rPr>
        <w:t>Substitute </w:t>
      </w:r>
      <w:r>
        <w:rPr>
          <w:w w:val="105"/>
          <w:sz w:val="21"/>
        </w:rPr>
        <w:t>decision </w:t>
      </w:r>
      <w:r>
        <w:rPr>
          <w:spacing w:val="-3"/>
          <w:w w:val="105"/>
          <w:sz w:val="21"/>
        </w:rPr>
        <w:t>makers </w:t>
      </w:r>
      <w:r>
        <w:rPr>
          <w:w w:val="105"/>
          <w:sz w:val="21"/>
        </w:rPr>
        <w:t>and beneficiaries </w:t>
      </w:r>
      <w:r>
        <w:rPr>
          <w:spacing w:val="-3"/>
          <w:w w:val="105"/>
          <w:sz w:val="21"/>
        </w:rPr>
        <w:t>may all </w:t>
      </w:r>
      <w:r>
        <w:rPr>
          <w:w w:val="105"/>
          <w:sz w:val="21"/>
        </w:rPr>
        <w:t>be </w:t>
      </w:r>
      <w:r>
        <w:rPr>
          <w:spacing w:val="-3"/>
          <w:w w:val="105"/>
          <w:sz w:val="21"/>
        </w:rPr>
        <w:t>children </w:t>
      </w:r>
      <w:r>
        <w:rPr>
          <w:w w:val="105"/>
          <w:sz w:val="21"/>
        </w:rPr>
        <w:t>of the </w:t>
      </w:r>
      <w:r>
        <w:rPr>
          <w:spacing w:val="-4"/>
          <w:w w:val="105"/>
          <w:sz w:val="21"/>
        </w:rPr>
        <w:t>will-maker. </w:t>
      </w:r>
      <w:r>
        <w:rPr>
          <w:w w:val="105"/>
          <w:sz w:val="21"/>
        </w:rPr>
        <w:t>Ademption can be particularly </w:t>
      </w:r>
      <w:r>
        <w:rPr>
          <w:spacing w:val="-4"/>
          <w:w w:val="105"/>
          <w:sz w:val="21"/>
        </w:rPr>
        <w:t>unfair </w:t>
      </w:r>
      <w:r>
        <w:rPr>
          <w:w w:val="105"/>
          <w:sz w:val="21"/>
        </w:rPr>
        <w:t>in this</w:t>
      </w:r>
      <w:r>
        <w:rPr>
          <w:spacing w:val="30"/>
          <w:w w:val="105"/>
          <w:sz w:val="21"/>
        </w:rPr>
        <w:t> </w:t>
      </w:r>
      <w:r>
        <w:rPr>
          <w:spacing w:val="-3"/>
          <w:w w:val="105"/>
          <w:sz w:val="21"/>
        </w:rPr>
        <w:t>situation.</w:t>
      </w:r>
      <w:r>
        <w:rPr>
          <w:spacing w:val="-3"/>
          <w:w w:val="105"/>
          <w:position w:val="7"/>
          <w:sz w:val="12"/>
        </w:rPr>
        <w:t>37</w:t>
      </w:r>
    </w:p>
    <w:p>
      <w:pPr>
        <w:pStyle w:val="ListParagraph"/>
        <w:numPr>
          <w:ilvl w:val="1"/>
          <w:numId w:val="22"/>
        </w:numPr>
        <w:tabs>
          <w:tab w:pos="2381" w:val="left" w:leader="none"/>
          <w:tab w:pos="2382" w:val="left" w:leader="none"/>
        </w:tabs>
        <w:spacing w:line="242" w:lineRule="auto" w:before="127" w:after="0"/>
        <w:ind w:left="2381" w:right="1991" w:hanging="794"/>
        <w:jc w:val="left"/>
        <w:rPr>
          <w:sz w:val="12"/>
        </w:rPr>
      </w:pPr>
      <w:r>
        <w:rPr>
          <w:sz w:val="21"/>
        </w:rPr>
        <w:t>Where there is no </w:t>
      </w:r>
      <w:r>
        <w:rPr>
          <w:spacing w:val="-3"/>
          <w:sz w:val="21"/>
        </w:rPr>
        <w:t>exception, </w:t>
      </w:r>
      <w:r>
        <w:rPr>
          <w:sz w:val="21"/>
        </w:rPr>
        <w:t>this </w:t>
      </w:r>
      <w:r>
        <w:rPr>
          <w:spacing w:val="-3"/>
          <w:sz w:val="21"/>
        </w:rPr>
        <w:t>may influence </w:t>
      </w:r>
      <w:r>
        <w:rPr>
          <w:sz w:val="21"/>
        </w:rPr>
        <w:t>the behaviour of a </w:t>
      </w:r>
      <w:r>
        <w:rPr>
          <w:spacing w:val="-3"/>
          <w:sz w:val="21"/>
        </w:rPr>
        <w:t>substitute </w:t>
      </w:r>
      <w:r>
        <w:rPr>
          <w:sz w:val="21"/>
        </w:rPr>
        <w:t>decision </w:t>
      </w:r>
      <w:r>
        <w:rPr>
          <w:spacing w:val="-4"/>
          <w:sz w:val="21"/>
        </w:rPr>
        <w:t>maker </w:t>
      </w:r>
      <w:r>
        <w:rPr>
          <w:sz w:val="21"/>
        </w:rPr>
        <w:t>in a </w:t>
      </w:r>
      <w:r>
        <w:rPr>
          <w:spacing w:val="-3"/>
          <w:sz w:val="21"/>
        </w:rPr>
        <w:t>way that </w:t>
      </w:r>
      <w:r>
        <w:rPr>
          <w:sz w:val="21"/>
        </w:rPr>
        <w:t>does </w:t>
      </w:r>
      <w:r>
        <w:rPr>
          <w:spacing w:val="-2"/>
          <w:sz w:val="21"/>
        </w:rPr>
        <w:t>not </w:t>
      </w:r>
      <w:r>
        <w:rPr>
          <w:sz w:val="21"/>
        </w:rPr>
        <w:t>benefit the </w:t>
      </w:r>
      <w:r>
        <w:rPr>
          <w:spacing w:val="-4"/>
          <w:sz w:val="21"/>
        </w:rPr>
        <w:t>will-maker. </w:t>
      </w:r>
      <w:r>
        <w:rPr>
          <w:sz w:val="21"/>
        </w:rPr>
        <w:t>For </w:t>
      </w:r>
      <w:r>
        <w:rPr>
          <w:spacing w:val="-3"/>
          <w:sz w:val="21"/>
        </w:rPr>
        <w:t>example, </w:t>
      </w:r>
      <w:r>
        <w:rPr>
          <w:sz w:val="21"/>
        </w:rPr>
        <w:t>if the </w:t>
      </w:r>
      <w:r>
        <w:rPr>
          <w:spacing w:val="-3"/>
          <w:sz w:val="21"/>
        </w:rPr>
        <w:t>substitute </w:t>
      </w:r>
      <w:r>
        <w:rPr>
          <w:sz w:val="21"/>
        </w:rPr>
        <w:t>decision-maker knows the </w:t>
      </w:r>
      <w:r>
        <w:rPr>
          <w:spacing w:val="-3"/>
          <w:sz w:val="21"/>
        </w:rPr>
        <w:t>terms </w:t>
      </w:r>
      <w:r>
        <w:rPr>
          <w:sz w:val="21"/>
        </w:rPr>
        <w:t>of the </w:t>
      </w:r>
      <w:r>
        <w:rPr>
          <w:spacing w:val="-3"/>
          <w:sz w:val="21"/>
        </w:rPr>
        <w:t>will, </w:t>
      </w:r>
      <w:r>
        <w:rPr>
          <w:sz w:val="21"/>
        </w:rPr>
        <w:t>they </w:t>
      </w:r>
      <w:r>
        <w:rPr>
          <w:spacing w:val="-3"/>
          <w:sz w:val="21"/>
        </w:rPr>
        <w:t>may retain </w:t>
      </w:r>
      <w:r>
        <w:rPr>
          <w:sz w:val="21"/>
        </w:rPr>
        <w:t>property gifted </w:t>
      </w:r>
      <w:r>
        <w:rPr>
          <w:spacing w:val="-3"/>
          <w:sz w:val="21"/>
        </w:rPr>
        <w:t>to </w:t>
      </w:r>
      <w:r>
        <w:rPr>
          <w:sz w:val="21"/>
        </w:rPr>
        <w:t>them when it would be in the </w:t>
      </w:r>
      <w:r>
        <w:rPr>
          <w:spacing w:val="-3"/>
          <w:sz w:val="21"/>
        </w:rPr>
        <w:t>person’s </w:t>
      </w:r>
      <w:r>
        <w:rPr>
          <w:sz w:val="21"/>
        </w:rPr>
        <w:t>best interests </w:t>
      </w:r>
      <w:r>
        <w:rPr>
          <w:spacing w:val="-3"/>
          <w:sz w:val="21"/>
        </w:rPr>
        <w:t>to sell, </w:t>
      </w:r>
      <w:r>
        <w:rPr>
          <w:sz w:val="21"/>
        </w:rPr>
        <w:t>or </w:t>
      </w:r>
      <w:r>
        <w:rPr>
          <w:spacing w:val="-3"/>
          <w:sz w:val="21"/>
        </w:rPr>
        <w:t>may </w:t>
      </w:r>
      <w:r>
        <w:rPr>
          <w:sz w:val="21"/>
        </w:rPr>
        <w:t>sell property </w:t>
      </w:r>
      <w:r>
        <w:rPr>
          <w:spacing w:val="-3"/>
          <w:sz w:val="21"/>
        </w:rPr>
        <w:t>to defeat claims </w:t>
      </w:r>
      <w:r>
        <w:rPr>
          <w:sz w:val="21"/>
        </w:rPr>
        <w:t>of others and </w:t>
      </w:r>
      <w:r>
        <w:rPr>
          <w:spacing w:val="-3"/>
          <w:sz w:val="21"/>
        </w:rPr>
        <w:t>increase</w:t>
      </w:r>
      <w:r>
        <w:rPr>
          <w:spacing w:val="20"/>
          <w:sz w:val="21"/>
        </w:rPr>
        <w:t> </w:t>
      </w:r>
      <w:r>
        <w:rPr>
          <w:sz w:val="21"/>
        </w:rPr>
        <w:t>the residuary estate.</w:t>
      </w:r>
      <w:r>
        <w:rPr>
          <w:position w:val="7"/>
          <w:sz w:val="12"/>
        </w:rPr>
        <w:t>38</w:t>
      </w:r>
    </w:p>
    <w:p>
      <w:pPr>
        <w:pStyle w:val="ListParagraph"/>
        <w:numPr>
          <w:ilvl w:val="1"/>
          <w:numId w:val="22"/>
        </w:numPr>
        <w:tabs>
          <w:tab w:pos="2381" w:val="left" w:leader="none"/>
          <w:tab w:pos="2382" w:val="left" w:leader="none"/>
        </w:tabs>
        <w:spacing w:line="242" w:lineRule="auto" w:before="125" w:after="0"/>
        <w:ind w:left="2381" w:right="1589" w:hanging="794"/>
        <w:jc w:val="left"/>
        <w:rPr>
          <w:sz w:val="21"/>
        </w:rPr>
      </w:pPr>
      <w:r>
        <w:rPr>
          <w:w w:val="105"/>
          <w:sz w:val="21"/>
        </w:rPr>
        <w:t>As</w:t>
      </w:r>
      <w:r>
        <w:rPr>
          <w:spacing w:val="-4"/>
          <w:w w:val="105"/>
          <w:sz w:val="21"/>
        </w:rPr>
        <w:t> </w:t>
      </w:r>
      <w:r>
        <w:rPr>
          <w:w w:val="105"/>
          <w:sz w:val="21"/>
        </w:rPr>
        <w:t>discussed</w:t>
      </w:r>
      <w:r>
        <w:rPr>
          <w:spacing w:val="-3"/>
          <w:w w:val="105"/>
          <w:sz w:val="21"/>
        </w:rPr>
        <w:t> </w:t>
      </w:r>
      <w:r>
        <w:rPr>
          <w:w w:val="105"/>
          <w:sz w:val="21"/>
        </w:rPr>
        <w:t>further</w:t>
      </w:r>
      <w:r>
        <w:rPr>
          <w:spacing w:val="-4"/>
          <w:w w:val="105"/>
          <w:sz w:val="21"/>
        </w:rPr>
        <w:t> </w:t>
      </w:r>
      <w:r>
        <w:rPr>
          <w:w w:val="105"/>
          <w:sz w:val="21"/>
        </w:rPr>
        <w:t>in</w:t>
      </w:r>
      <w:r>
        <w:rPr>
          <w:spacing w:val="-3"/>
          <w:w w:val="105"/>
          <w:sz w:val="21"/>
        </w:rPr>
        <w:t> paragraphs</w:t>
      </w:r>
      <w:r>
        <w:rPr>
          <w:spacing w:val="-4"/>
          <w:w w:val="105"/>
          <w:sz w:val="21"/>
        </w:rPr>
        <w:t> </w:t>
      </w:r>
      <w:r>
        <w:rPr>
          <w:w w:val="105"/>
          <w:sz w:val="21"/>
        </w:rPr>
        <w:t>[4.73]–[4.76],</w:t>
      </w:r>
      <w:r>
        <w:rPr>
          <w:spacing w:val="-3"/>
          <w:w w:val="105"/>
          <w:sz w:val="21"/>
        </w:rPr>
        <w:t> </w:t>
      </w:r>
      <w:r>
        <w:rPr>
          <w:w w:val="105"/>
          <w:sz w:val="21"/>
        </w:rPr>
        <w:t>the</w:t>
      </w:r>
      <w:r>
        <w:rPr>
          <w:spacing w:val="-4"/>
          <w:w w:val="105"/>
          <w:sz w:val="21"/>
        </w:rPr>
        <w:t> </w:t>
      </w:r>
      <w:r>
        <w:rPr>
          <w:w w:val="105"/>
          <w:sz w:val="21"/>
        </w:rPr>
        <w:t>status</w:t>
      </w:r>
      <w:r>
        <w:rPr>
          <w:spacing w:val="-3"/>
          <w:w w:val="105"/>
          <w:sz w:val="21"/>
        </w:rPr>
        <w:t> </w:t>
      </w:r>
      <w:r>
        <w:rPr>
          <w:w w:val="105"/>
          <w:sz w:val="21"/>
        </w:rPr>
        <w:t>of</w:t>
      </w:r>
      <w:r>
        <w:rPr>
          <w:spacing w:val="-4"/>
          <w:w w:val="105"/>
          <w:sz w:val="21"/>
        </w:rPr>
        <w:t> </w:t>
      </w:r>
      <w:r>
        <w:rPr>
          <w:w w:val="105"/>
          <w:sz w:val="21"/>
        </w:rPr>
        <w:t>the</w:t>
      </w:r>
      <w:r>
        <w:rPr>
          <w:spacing w:val="-3"/>
          <w:w w:val="105"/>
          <w:sz w:val="21"/>
        </w:rPr>
        <w:t> </w:t>
      </w:r>
      <w:r>
        <w:rPr>
          <w:spacing w:val="-2"/>
          <w:w w:val="105"/>
          <w:sz w:val="21"/>
        </w:rPr>
        <w:t>common</w:t>
      </w:r>
      <w:r>
        <w:rPr>
          <w:spacing w:val="-4"/>
          <w:w w:val="105"/>
          <w:sz w:val="21"/>
        </w:rPr>
        <w:t> </w:t>
      </w:r>
      <w:r>
        <w:rPr>
          <w:w w:val="105"/>
          <w:sz w:val="21"/>
        </w:rPr>
        <w:t>law</w:t>
      </w:r>
      <w:r>
        <w:rPr>
          <w:spacing w:val="-3"/>
          <w:w w:val="105"/>
          <w:sz w:val="21"/>
        </w:rPr>
        <w:t> exception for</w:t>
      </w:r>
      <w:r>
        <w:rPr>
          <w:spacing w:val="-6"/>
          <w:w w:val="105"/>
          <w:sz w:val="21"/>
        </w:rPr>
        <w:t> </w:t>
      </w:r>
      <w:r>
        <w:rPr>
          <w:w w:val="105"/>
          <w:sz w:val="21"/>
        </w:rPr>
        <w:t>persons</w:t>
      </w:r>
      <w:r>
        <w:rPr>
          <w:spacing w:val="-5"/>
          <w:w w:val="105"/>
          <w:sz w:val="21"/>
        </w:rPr>
        <w:t> </w:t>
      </w:r>
      <w:r>
        <w:rPr>
          <w:w w:val="105"/>
          <w:sz w:val="21"/>
        </w:rPr>
        <w:t>acting</w:t>
      </w:r>
      <w:r>
        <w:rPr>
          <w:spacing w:val="-5"/>
          <w:w w:val="105"/>
          <w:sz w:val="21"/>
        </w:rPr>
        <w:t> </w:t>
      </w:r>
      <w:r>
        <w:rPr>
          <w:w w:val="105"/>
          <w:sz w:val="21"/>
        </w:rPr>
        <w:t>under</w:t>
      </w:r>
      <w:r>
        <w:rPr>
          <w:spacing w:val="-5"/>
          <w:w w:val="105"/>
          <w:sz w:val="21"/>
        </w:rPr>
        <w:t> </w:t>
      </w:r>
      <w:r>
        <w:rPr>
          <w:w w:val="105"/>
          <w:sz w:val="21"/>
        </w:rPr>
        <w:t>an</w:t>
      </w:r>
      <w:r>
        <w:rPr>
          <w:spacing w:val="-5"/>
          <w:w w:val="105"/>
          <w:sz w:val="21"/>
        </w:rPr>
        <w:t> </w:t>
      </w:r>
      <w:r>
        <w:rPr>
          <w:spacing w:val="-3"/>
          <w:w w:val="105"/>
          <w:sz w:val="21"/>
        </w:rPr>
        <w:t>enduring</w:t>
      </w:r>
      <w:r>
        <w:rPr>
          <w:spacing w:val="-6"/>
          <w:w w:val="105"/>
          <w:sz w:val="21"/>
        </w:rPr>
        <w:t> </w:t>
      </w:r>
      <w:r>
        <w:rPr>
          <w:w w:val="105"/>
          <w:sz w:val="21"/>
        </w:rPr>
        <w:t>power</w:t>
      </w:r>
      <w:r>
        <w:rPr>
          <w:spacing w:val="-5"/>
          <w:w w:val="105"/>
          <w:sz w:val="21"/>
        </w:rPr>
        <w:t> </w:t>
      </w:r>
      <w:r>
        <w:rPr>
          <w:w w:val="105"/>
          <w:sz w:val="21"/>
        </w:rPr>
        <w:t>of</w:t>
      </w:r>
      <w:r>
        <w:rPr>
          <w:spacing w:val="-5"/>
          <w:w w:val="105"/>
          <w:sz w:val="21"/>
        </w:rPr>
        <w:t> </w:t>
      </w:r>
      <w:r>
        <w:rPr>
          <w:w w:val="105"/>
          <w:sz w:val="21"/>
        </w:rPr>
        <w:t>attorney</w:t>
      </w:r>
      <w:r>
        <w:rPr>
          <w:spacing w:val="-5"/>
          <w:w w:val="105"/>
          <w:sz w:val="21"/>
        </w:rPr>
        <w:t> </w:t>
      </w:r>
      <w:r>
        <w:rPr>
          <w:w w:val="105"/>
          <w:sz w:val="21"/>
        </w:rPr>
        <w:t>is</w:t>
      </w:r>
      <w:r>
        <w:rPr>
          <w:spacing w:val="-5"/>
          <w:w w:val="105"/>
          <w:sz w:val="21"/>
        </w:rPr>
        <w:t> </w:t>
      </w:r>
      <w:r>
        <w:rPr>
          <w:w w:val="105"/>
          <w:sz w:val="21"/>
        </w:rPr>
        <w:t>uncertain.</w:t>
      </w:r>
      <w:r>
        <w:rPr>
          <w:spacing w:val="-6"/>
          <w:w w:val="105"/>
          <w:sz w:val="21"/>
        </w:rPr>
        <w:t> </w:t>
      </w:r>
      <w:r>
        <w:rPr>
          <w:w w:val="105"/>
          <w:sz w:val="21"/>
        </w:rPr>
        <w:t>The</w:t>
      </w:r>
      <w:r>
        <w:rPr>
          <w:spacing w:val="-5"/>
          <w:w w:val="105"/>
          <w:sz w:val="21"/>
        </w:rPr>
        <w:t> </w:t>
      </w:r>
      <w:r>
        <w:rPr>
          <w:spacing w:val="-3"/>
          <w:w w:val="105"/>
          <w:sz w:val="21"/>
        </w:rPr>
        <w:t>Commission</w:t>
      </w:r>
      <w:r>
        <w:rPr>
          <w:spacing w:val="-5"/>
          <w:w w:val="105"/>
          <w:sz w:val="21"/>
        </w:rPr>
        <w:t> </w:t>
      </w:r>
      <w:r>
        <w:rPr>
          <w:spacing w:val="-2"/>
          <w:w w:val="105"/>
          <w:sz w:val="21"/>
        </w:rPr>
        <w:t>has </w:t>
      </w:r>
      <w:r>
        <w:rPr>
          <w:w w:val="105"/>
          <w:sz w:val="21"/>
        </w:rPr>
        <w:t>received </w:t>
      </w:r>
      <w:r>
        <w:rPr>
          <w:spacing w:val="-3"/>
          <w:w w:val="105"/>
          <w:sz w:val="21"/>
        </w:rPr>
        <w:t>unanimous </w:t>
      </w:r>
      <w:r>
        <w:rPr>
          <w:w w:val="105"/>
          <w:sz w:val="21"/>
        </w:rPr>
        <w:t>support </w:t>
      </w:r>
      <w:r>
        <w:rPr>
          <w:spacing w:val="-3"/>
          <w:w w:val="105"/>
          <w:sz w:val="21"/>
        </w:rPr>
        <w:t>for </w:t>
      </w:r>
      <w:r>
        <w:rPr>
          <w:w w:val="105"/>
          <w:sz w:val="21"/>
        </w:rPr>
        <w:t>a </w:t>
      </w:r>
      <w:r>
        <w:rPr>
          <w:spacing w:val="-3"/>
          <w:w w:val="105"/>
          <w:sz w:val="21"/>
        </w:rPr>
        <w:t>legislative exception to </w:t>
      </w:r>
      <w:r>
        <w:rPr>
          <w:w w:val="105"/>
          <w:sz w:val="21"/>
        </w:rPr>
        <w:t>ademption </w:t>
      </w:r>
      <w:r>
        <w:rPr>
          <w:spacing w:val="-3"/>
          <w:w w:val="105"/>
          <w:sz w:val="21"/>
        </w:rPr>
        <w:t>that </w:t>
      </w:r>
      <w:r>
        <w:rPr>
          <w:w w:val="105"/>
          <w:sz w:val="21"/>
        </w:rPr>
        <w:t>applies </w:t>
      </w:r>
      <w:r>
        <w:rPr>
          <w:spacing w:val="-3"/>
          <w:w w:val="105"/>
          <w:sz w:val="21"/>
        </w:rPr>
        <w:t>to </w:t>
      </w:r>
      <w:r>
        <w:rPr>
          <w:w w:val="105"/>
          <w:sz w:val="21"/>
        </w:rPr>
        <w:t>the actions of both types of </w:t>
      </w:r>
      <w:r>
        <w:rPr>
          <w:spacing w:val="-3"/>
          <w:w w:val="105"/>
          <w:sz w:val="21"/>
        </w:rPr>
        <w:t>substitute </w:t>
      </w:r>
      <w:r>
        <w:rPr>
          <w:w w:val="105"/>
          <w:sz w:val="21"/>
        </w:rPr>
        <w:t>decision </w:t>
      </w:r>
      <w:r>
        <w:rPr>
          <w:spacing w:val="-3"/>
          <w:w w:val="105"/>
          <w:sz w:val="21"/>
        </w:rPr>
        <w:t>makers </w:t>
      </w:r>
      <w:r>
        <w:rPr>
          <w:w w:val="105"/>
          <w:sz w:val="21"/>
        </w:rPr>
        <w:t>in the same</w:t>
      </w:r>
      <w:r>
        <w:rPr>
          <w:spacing w:val="34"/>
          <w:w w:val="105"/>
          <w:sz w:val="21"/>
        </w:rPr>
        <w:t> </w:t>
      </w:r>
      <w:r>
        <w:rPr>
          <w:spacing w:val="-5"/>
          <w:w w:val="105"/>
          <w:sz w:val="21"/>
        </w:rPr>
        <w:t>way.</w:t>
      </w:r>
    </w:p>
    <w:p>
      <w:pPr>
        <w:pStyle w:val="BodyText"/>
        <w:spacing w:before="7"/>
        <w:rPr>
          <w:sz w:val="24"/>
        </w:rPr>
      </w:pPr>
    </w:p>
    <w:p>
      <w:pPr>
        <w:pStyle w:val="Heading4"/>
        <w:spacing w:line="211" w:lineRule="auto"/>
        <w:ind w:right="1619"/>
      </w:pPr>
      <w:r>
        <w:rPr>
          <w:color w:val="EC5A4F"/>
          <w:w w:val="115"/>
        </w:rPr>
        <w:t>Acts</w:t>
      </w:r>
      <w:r>
        <w:rPr>
          <w:color w:val="EC5A4F"/>
          <w:spacing w:val="-16"/>
          <w:w w:val="115"/>
        </w:rPr>
        <w:t> </w:t>
      </w:r>
      <w:r>
        <w:rPr>
          <w:color w:val="EC5A4F"/>
          <w:spacing w:val="-3"/>
          <w:w w:val="115"/>
        </w:rPr>
        <w:t>by</w:t>
      </w:r>
      <w:r>
        <w:rPr>
          <w:color w:val="EC5A4F"/>
          <w:spacing w:val="-16"/>
          <w:w w:val="115"/>
        </w:rPr>
        <w:t> </w:t>
      </w:r>
      <w:r>
        <w:rPr>
          <w:color w:val="EC5A4F"/>
          <w:w w:val="115"/>
        </w:rPr>
        <w:t>administrators</w:t>
      </w:r>
      <w:r>
        <w:rPr>
          <w:color w:val="EC5A4F"/>
          <w:spacing w:val="-16"/>
          <w:w w:val="115"/>
        </w:rPr>
        <w:t> </w:t>
      </w:r>
      <w:r>
        <w:rPr>
          <w:color w:val="EC5A4F"/>
          <w:w w:val="115"/>
        </w:rPr>
        <w:t>appointed</w:t>
      </w:r>
      <w:r>
        <w:rPr>
          <w:color w:val="EC5A4F"/>
          <w:spacing w:val="-16"/>
          <w:w w:val="115"/>
        </w:rPr>
        <w:t> </w:t>
      </w:r>
      <w:r>
        <w:rPr>
          <w:color w:val="EC5A4F"/>
          <w:spacing w:val="-3"/>
          <w:w w:val="115"/>
        </w:rPr>
        <w:t>by</w:t>
      </w:r>
      <w:r>
        <w:rPr>
          <w:color w:val="EC5A4F"/>
          <w:spacing w:val="-16"/>
          <w:w w:val="115"/>
        </w:rPr>
        <w:t> </w:t>
      </w:r>
      <w:r>
        <w:rPr>
          <w:color w:val="EC5A4F"/>
          <w:w w:val="115"/>
        </w:rPr>
        <w:t>the</w:t>
      </w:r>
      <w:r>
        <w:rPr>
          <w:color w:val="EC5A4F"/>
          <w:spacing w:val="-16"/>
          <w:w w:val="115"/>
        </w:rPr>
        <w:t> </w:t>
      </w:r>
      <w:r>
        <w:rPr>
          <w:color w:val="EC5A4F"/>
          <w:w w:val="115"/>
        </w:rPr>
        <w:t>Victorian</w:t>
      </w:r>
      <w:r>
        <w:rPr>
          <w:color w:val="EC5A4F"/>
          <w:spacing w:val="-16"/>
          <w:w w:val="115"/>
        </w:rPr>
        <w:t> </w:t>
      </w:r>
      <w:r>
        <w:rPr>
          <w:color w:val="EC5A4F"/>
          <w:spacing w:val="-3"/>
          <w:w w:val="115"/>
        </w:rPr>
        <w:t>Civil</w:t>
      </w:r>
      <w:r>
        <w:rPr>
          <w:color w:val="EC5A4F"/>
          <w:spacing w:val="-16"/>
          <w:w w:val="115"/>
        </w:rPr>
        <w:t> </w:t>
      </w:r>
      <w:r>
        <w:rPr>
          <w:color w:val="EC5A4F"/>
          <w:w w:val="115"/>
        </w:rPr>
        <w:t>and </w:t>
      </w:r>
      <w:r>
        <w:rPr>
          <w:color w:val="EC5A4F"/>
          <w:spacing w:val="-3"/>
          <w:w w:val="115"/>
        </w:rPr>
        <w:t>Administrative</w:t>
      </w:r>
      <w:r>
        <w:rPr>
          <w:color w:val="EC5A4F"/>
          <w:spacing w:val="3"/>
          <w:w w:val="115"/>
        </w:rPr>
        <w:t> </w:t>
      </w:r>
      <w:r>
        <w:rPr>
          <w:color w:val="EC5A4F"/>
          <w:spacing w:val="-5"/>
          <w:w w:val="115"/>
        </w:rPr>
        <w:t>Tribunal</w:t>
      </w:r>
    </w:p>
    <w:p>
      <w:pPr>
        <w:pStyle w:val="Heading5"/>
        <w:spacing w:before="175"/>
      </w:pPr>
      <w:r>
        <w:rPr>
          <w:w w:val="115"/>
        </w:rPr>
        <w:t>Section 53 of the Guardianship and Administration Act</w:t>
      </w:r>
    </w:p>
    <w:p>
      <w:pPr>
        <w:pStyle w:val="ListParagraph"/>
        <w:numPr>
          <w:ilvl w:val="1"/>
          <w:numId w:val="22"/>
        </w:numPr>
        <w:tabs>
          <w:tab w:pos="2382" w:val="left" w:leader="none"/>
        </w:tabs>
        <w:spacing w:line="242" w:lineRule="auto" w:before="137" w:after="0"/>
        <w:ind w:left="2381" w:right="1697" w:hanging="794"/>
        <w:jc w:val="both"/>
        <w:rPr>
          <w:sz w:val="21"/>
        </w:rPr>
      </w:pPr>
      <w:r>
        <w:rPr>
          <w:w w:val="105"/>
          <w:sz w:val="21"/>
        </w:rPr>
        <w:t>The</w:t>
      </w:r>
      <w:r>
        <w:rPr>
          <w:spacing w:val="-10"/>
          <w:w w:val="105"/>
          <w:sz w:val="21"/>
        </w:rPr>
        <w:t> </w:t>
      </w:r>
      <w:r>
        <w:rPr>
          <w:w w:val="105"/>
          <w:sz w:val="21"/>
        </w:rPr>
        <w:t>only</w:t>
      </w:r>
      <w:r>
        <w:rPr>
          <w:spacing w:val="-9"/>
          <w:w w:val="105"/>
          <w:sz w:val="21"/>
        </w:rPr>
        <w:t> </w:t>
      </w:r>
      <w:r>
        <w:rPr>
          <w:spacing w:val="-3"/>
          <w:w w:val="105"/>
          <w:sz w:val="21"/>
        </w:rPr>
        <w:t>legislative</w:t>
      </w:r>
      <w:r>
        <w:rPr>
          <w:spacing w:val="-9"/>
          <w:w w:val="105"/>
          <w:sz w:val="21"/>
        </w:rPr>
        <w:t> </w:t>
      </w:r>
      <w:r>
        <w:rPr>
          <w:spacing w:val="-3"/>
          <w:w w:val="105"/>
          <w:sz w:val="21"/>
        </w:rPr>
        <w:t>exception</w:t>
      </w:r>
      <w:r>
        <w:rPr>
          <w:spacing w:val="-9"/>
          <w:w w:val="105"/>
          <w:sz w:val="21"/>
        </w:rPr>
        <w:t> </w:t>
      </w:r>
      <w:r>
        <w:rPr>
          <w:spacing w:val="-3"/>
          <w:w w:val="105"/>
          <w:sz w:val="21"/>
        </w:rPr>
        <w:t>to</w:t>
      </w:r>
      <w:r>
        <w:rPr>
          <w:spacing w:val="-9"/>
          <w:w w:val="105"/>
          <w:sz w:val="21"/>
        </w:rPr>
        <w:t> </w:t>
      </w:r>
      <w:r>
        <w:rPr>
          <w:w w:val="105"/>
          <w:sz w:val="21"/>
        </w:rPr>
        <w:t>ademption</w:t>
      </w:r>
      <w:r>
        <w:rPr>
          <w:spacing w:val="-9"/>
          <w:w w:val="105"/>
          <w:sz w:val="21"/>
        </w:rPr>
        <w:t> </w:t>
      </w:r>
      <w:r>
        <w:rPr>
          <w:spacing w:val="-3"/>
          <w:w w:val="105"/>
          <w:sz w:val="21"/>
        </w:rPr>
        <w:t>that</w:t>
      </w:r>
      <w:r>
        <w:rPr>
          <w:spacing w:val="-9"/>
          <w:w w:val="105"/>
          <w:sz w:val="21"/>
        </w:rPr>
        <w:t> </w:t>
      </w:r>
      <w:r>
        <w:rPr>
          <w:spacing w:val="-3"/>
          <w:w w:val="105"/>
          <w:sz w:val="21"/>
        </w:rPr>
        <w:t>currently</w:t>
      </w:r>
      <w:r>
        <w:rPr>
          <w:spacing w:val="-9"/>
          <w:w w:val="105"/>
          <w:sz w:val="21"/>
        </w:rPr>
        <w:t> </w:t>
      </w:r>
      <w:r>
        <w:rPr>
          <w:w w:val="105"/>
          <w:sz w:val="21"/>
        </w:rPr>
        <w:t>applies</w:t>
      </w:r>
      <w:r>
        <w:rPr>
          <w:spacing w:val="-9"/>
          <w:w w:val="105"/>
          <w:sz w:val="21"/>
        </w:rPr>
        <w:t> </w:t>
      </w:r>
      <w:r>
        <w:rPr>
          <w:w w:val="105"/>
          <w:sz w:val="21"/>
        </w:rPr>
        <w:t>in</w:t>
      </w:r>
      <w:r>
        <w:rPr>
          <w:spacing w:val="-10"/>
          <w:w w:val="105"/>
          <w:sz w:val="21"/>
        </w:rPr>
        <w:t> </w:t>
      </w:r>
      <w:r>
        <w:rPr>
          <w:w w:val="105"/>
          <w:sz w:val="21"/>
        </w:rPr>
        <w:t>Victoria</w:t>
      </w:r>
      <w:r>
        <w:rPr>
          <w:spacing w:val="-9"/>
          <w:w w:val="105"/>
          <w:sz w:val="21"/>
        </w:rPr>
        <w:t> </w:t>
      </w:r>
      <w:r>
        <w:rPr>
          <w:w w:val="105"/>
          <w:sz w:val="21"/>
        </w:rPr>
        <w:t>is</w:t>
      </w:r>
      <w:r>
        <w:rPr>
          <w:spacing w:val="-9"/>
          <w:w w:val="105"/>
          <w:sz w:val="21"/>
        </w:rPr>
        <w:t> </w:t>
      </w:r>
      <w:r>
        <w:rPr>
          <w:spacing w:val="-3"/>
          <w:w w:val="105"/>
          <w:sz w:val="21"/>
        </w:rPr>
        <w:t>for</w:t>
      </w:r>
      <w:r>
        <w:rPr>
          <w:spacing w:val="-9"/>
          <w:w w:val="105"/>
          <w:sz w:val="21"/>
        </w:rPr>
        <w:t> </w:t>
      </w:r>
      <w:r>
        <w:rPr>
          <w:w w:val="105"/>
          <w:sz w:val="21"/>
        </w:rPr>
        <w:t>actions of </w:t>
      </w:r>
      <w:r>
        <w:rPr>
          <w:spacing w:val="-3"/>
          <w:w w:val="105"/>
          <w:sz w:val="21"/>
        </w:rPr>
        <w:t>administrators appointed </w:t>
      </w:r>
      <w:r>
        <w:rPr>
          <w:w w:val="105"/>
          <w:sz w:val="21"/>
        </w:rPr>
        <w:t>by </w:t>
      </w:r>
      <w:r>
        <w:rPr>
          <w:spacing w:val="-8"/>
          <w:w w:val="105"/>
          <w:sz w:val="21"/>
        </w:rPr>
        <w:t>VCAT. </w:t>
      </w:r>
      <w:r>
        <w:rPr>
          <w:w w:val="105"/>
          <w:sz w:val="21"/>
        </w:rPr>
        <w:t>Section </w:t>
      </w:r>
      <w:r>
        <w:rPr>
          <w:spacing w:val="-3"/>
          <w:w w:val="105"/>
          <w:sz w:val="21"/>
        </w:rPr>
        <w:t>53 </w:t>
      </w:r>
      <w:r>
        <w:rPr>
          <w:w w:val="105"/>
          <w:sz w:val="21"/>
        </w:rPr>
        <w:t>of the </w:t>
      </w:r>
      <w:r>
        <w:rPr>
          <w:i/>
          <w:spacing w:val="-3"/>
          <w:w w:val="105"/>
          <w:sz w:val="21"/>
        </w:rPr>
        <w:t>Guardianship </w:t>
      </w:r>
      <w:r>
        <w:rPr>
          <w:i/>
          <w:w w:val="105"/>
          <w:sz w:val="21"/>
        </w:rPr>
        <w:t>and </w:t>
      </w:r>
      <w:r>
        <w:rPr>
          <w:i/>
          <w:spacing w:val="-3"/>
          <w:w w:val="105"/>
          <w:sz w:val="21"/>
        </w:rPr>
        <w:t>Administration </w:t>
      </w:r>
      <w:r>
        <w:rPr>
          <w:i/>
          <w:w w:val="105"/>
          <w:sz w:val="21"/>
        </w:rPr>
        <w:t>Act </w:t>
      </w:r>
      <w:r>
        <w:rPr>
          <w:i/>
          <w:spacing w:val="-4"/>
          <w:w w:val="105"/>
          <w:sz w:val="21"/>
        </w:rPr>
        <w:t>1986 </w:t>
      </w:r>
      <w:r>
        <w:rPr>
          <w:w w:val="105"/>
          <w:sz w:val="21"/>
        </w:rPr>
        <w:t>(Vic) provides</w:t>
      </w:r>
      <w:r>
        <w:rPr>
          <w:spacing w:val="24"/>
          <w:w w:val="105"/>
          <w:sz w:val="21"/>
        </w:rPr>
        <w:t> </w:t>
      </w:r>
      <w:r>
        <w:rPr>
          <w:w w:val="105"/>
          <w:sz w:val="21"/>
        </w:rPr>
        <w:t>that:</w:t>
      </w:r>
    </w:p>
    <w:p>
      <w:pPr>
        <w:spacing w:line="264" w:lineRule="auto" w:before="129"/>
        <w:ind w:left="2721" w:right="1619" w:firstLine="0"/>
        <w:jc w:val="left"/>
        <w:rPr>
          <w:rFonts w:ascii="Lucida Sans"/>
          <w:b/>
          <w:sz w:val="20"/>
        </w:rPr>
      </w:pPr>
      <w:r>
        <w:rPr>
          <w:rFonts w:ascii="Lucida Sans"/>
          <w:b/>
          <w:w w:val="95"/>
          <w:sz w:val="20"/>
        </w:rPr>
        <w:t>Interest</w:t>
      </w:r>
      <w:r>
        <w:rPr>
          <w:rFonts w:ascii="Lucida Sans"/>
          <w:b/>
          <w:spacing w:val="-24"/>
          <w:w w:val="95"/>
          <w:sz w:val="20"/>
        </w:rPr>
        <w:t> </w:t>
      </w:r>
      <w:r>
        <w:rPr>
          <w:rFonts w:ascii="Lucida Sans"/>
          <w:b/>
          <w:w w:val="95"/>
          <w:sz w:val="20"/>
        </w:rPr>
        <w:t>of</w:t>
      </w:r>
      <w:r>
        <w:rPr>
          <w:rFonts w:ascii="Lucida Sans"/>
          <w:b/>
          <w:spacing w:val="-24"/>
          <w:w w:val="95"/>
          <w:sz w:val="20"/>
        </w:rPr>
        <w:t> </w:t>
      </w:r>
      <w:r>
        <w:rPr>
          <w:rFonts w:ascii="Lucida Sans"/>
          <w:b/>
          <w:w w:val="95"/>
          <w:sz w:val="20"/>
        </w:rPr>
        <w:t>represented</w:t>
      </w:r>
      <w:r>
        <w:rPr>
          <w:rFonts w:ascii="Lucida Sans"/>
          <w:b/>
          <w:spacing w:val="-24"/>
          <w:w w:val="95"/>
          <w:sz w:val="20"/>
        </w:rPr>
        <w:t> </w:t>
      </w:r>
      <w:r>
        <w:rPr>
          <w:rFonts w:ascii="Lucida Sans"/>
          <w:b/>
          <w:w w:val="95"/>
          <w:sz w:val="20"/>
        </w:rPr>
        <w:t>person</w:t>
      </w:r>
      <w:r>
        <w:rPr>
          <w:rFonts w:ascii="Lucida Sans"/>
          <w:b/>
          <w:spacing w:val="-23"/>
          <w:w w:val="95"/>
          <w:sz w:val="20"/>
        </w:rPr>
        <w:t> </w:t>
      </w:r>
      <w:r>
        <w:rPr>
          <w:rFonts w:ascii="Lucida Sans"/>
          <w:b/>
          <w:w w:val="95"/>
          <w:sz w:val="20"/>
        </w:rPr>
        <w:t>in</w:t>
      </w:r>
      <w:r>
        <w:rPr>
          <w:rFonts w:ascii="Lucida Sans"/>
          <w:b/>
          <w:spacing w:val="-24"/>
          <w:w w:val="95"/>
          <w:sz w:val="20"/>
        </w:rPr>
        <w:t> </w:t>
      </w:r>
      <w:r>
        <w:rPr>
          <w:rFonts w:ascii="Lucida Sans"/>
          <w:b/>
          <w:w w:val="95"/>
          <w:sz w:val="20"/>
        </w:rPr>
        <w:t>property</w:t>
      </w:r>
      <w:r>
        <w:rPr>
          <w:rFonts w:ascii="Lucida Sans"/>
          <w:b/>
          <w:spacing w:val="-24"/>
          <w:w w:val="95"/>
          <w:sz w:val="20"/>
        </w:rPr>
        <w:t> </w:t>
      </w:r>
      <w:r>
        <w:rPr>
          <w:rFonts w:ascii="Lucida Sans"/>
          <w:b/>
          <w:w w:val="95"/>
          <w:sz w:val="20"/>
        </w:rPr>
        <w:t>not</w:t>
      </w:r>
      <w:r>
        <w:rPr>
          <w:rFonts w:ascii="Lucida Sans"/>
          <w:b/>
          <w:spacing w:val="-23"/>
          <w:w w:val="95"/>
          <w:sz w:val="20"/>
        </w:rPr>
        <w:t> </w:t>
      </w:r>
      <w:r>
        <w:rPr>
          <w:rFonts w:ascii="Lucida Sans"/>
          <w:b/>
          <w:w w:val="95"/>
          <w:sz w:val="20"/>
        </w:rPr>
        <w:t>to</w:t>
      </w:r>
      <w:r>
        <w:rPr>
          <w:rFonts w:ascii="Lucida Sans"/>
          <w:b/>
          <w:spacing w:val="-24"/>
          <w:w w:val="95"/>
          <w:sz w:val="20"/>
        </w:rPr>
        <w:t> </w:t>
      </w:r>
      <w:r>
        <w:rPr>
          <w:rFonts w:ascii="Lucida Sans"/>
          <w:b/>
          <w:w w:val="95"/>
          <w:sz w:val="20"/>
        </w:rPr>
        <w:t>be</w:t>
      </w:r>
      <w:r>
        <w:rPr>
          <w:rFonts w:ascii="Lucida Sans"/>
          <w:b/>
          <w:spacing w:val="-24"/>
          <w:w w:val="95"/>
          <w:sz w:val="20"/>
        </w:rPr>
        <w:t> </w:t>
      </w:r>
      <w:r>
        <w:rPr>
          <w:rFonts w:ascii="Lucida Sans"/>
          <w:b/>
          <w:w w:val="95"/>
          <w:sz w:val="20"/>
        </w:rPr>
        <w:t>altered</w:t>
      </w:r>
      <w:r>
        <w:rPr>
          <w:rFonts w:ascii="Lucida Sans"/>
          <w:b/>
          <w:spacing w:val="-23"/>
          <w:w w:val="95"/>
          <w:sz w:val="20"/>
        </w:rPr>
        <w:t> </w:t>
      </w:r>
      <w:r>
        <w:rPr>
          <w:rFonts w:ascii="Lucida Sans"/>
          <w:b/>
          <w:w w:val="95"/>
          <w:sz w:val="20"/>
        </w:rPr>
        <w:t>by</w:t>
      </w:r>
      <w:r>
        <w:rPr>
          <w:rFonts w:ascii="Lucida Sans"/>
          <w:b/>
          <w:spacing w:val="-24"/>
          <w:w w:val="95"/>
          <w:sz w:val="20"/>
        </w:rPr>
        <w:t> </w:t>
      </w:r>
      <w:r>
        <w:rPr>
          <w:rFonts w:ascii="Lucida Sans"/>
          <w:b/>
          <w:w w:val="95"/>
          <w:sz w:val="20"/>
        </w:rPr>
        <w:t>sale</w:t>
      </w:r>
      <w:r>
        <w:rPr>
          <w:rFonts w:ascii="Lucida Sans"/>
          <w:b/>
          <w:spacing w:val="-24"/>
          <w:w w:val="95"/>
          <w:sz w:val="20"/>
        </w:rPr>
        <w:t> </w:t>
      </w:r>
      <w:r>
        <w:rPr>
          <w:rFonts w:ascii="Lucida Sans"/>
          <w:b/>
          <w:w w:val="95"/>
          <w:sz w:val="20"/>
        </w:rPr>
        <w:t>or</w:t>
      </w:r>
      <w:r>
        <w:rPr>
          <w:rFonts w:ascii="Lucida Sans"/>
          <w:b/>
          <w:spacing w:val="-24"/>
          <w:w w:val="95"/>
          <w:sz w:val="20"/>
        </w:rPr>
        <w:t> </w:t>
      </w:r>
      <w:r>
        <w:rPr>
          <w:rFonts w:ascii="Lucida Sans"/>
          <w:b/>
          <w:w w:val="95"/>
          <w:sz w:val="20"/>
        </w:rPr>
        <w:t>other </w:t>
      </w:r>
      <w:r>
        <w:rPr>
          <w:rFonts w:ascii="Lucida Sans"/>
          <w:b/>
          <w:sz w:val="20"/>
        </w:rPr>
        <w:t>disposition of</w:t>
      </w:r>
      <w:r>
        <w:rPr>
          <w:rFonts w:ascii="Lucida Sans"/>
          <w:b/>
          <w:spacing w:val="-27"/>
          <w:sz w:val="20"/>
        </w:rPr>
        <w:t> </w:t>
      </w:r>
      <w:r>
        <w:rPr>
          <w:rFonts w:ascii="Lucida Sans"/>
          <w:b/>
          <w:sz w:val="20"/>
        </w:rPr>
        <w:t>property</w:t>
      </w:r>
    </w:p>
    <w:p>
      <w:pPr>
        <w:pStyle w:val="ListParagraph"/>
        <w:numPr>
          <w:ilvl w:val="0"/>
          <w:numId w:val="41"/>
        </w:numPr>
        <w:tabs>
          <w:tab w:pos="3062" w:val="left" w:leader="none"/>
        </w:tabs>
        <w:spacing w:line="254" w:lineRule="auto" w:before="125" w:after="0"/>
        <w:ind w:left="3061" w:right="1648" w:hanging="340"/>
        <w:jc w:val="left"/>
        <w:rPr>
          <w:sz w:val="20"/>
        </w:rPr>
      </w:pPr>
      <w:r>
        <w:rPr>
          <w:sz w:val="20"/>
        </w:rPr>
        <w:t>A represented person and her or his heirs, executors, administrators, next of </w:t>
      </w:r>
      <w:r>
        <w:rPr>
          <w:spacing w:val="-3"/>
          <w:sz w:val="20"/>
        </w:rPr>
        <w:t>kin, </w:t>
      </w:r>
      <w:r>
        <w:rPr>
          <w:sz w:val="20"/>
        </w:rPr>
        <w:t>devisees, legatees and assigns </w:t>
      </w:r>
      <w:r>
        <w:rPr>
          <w:spacing w:val="-3"/>
          <w:sz w:val="20"/>
        </w:rPr>
        <w:t>have </w:t>
      </w:r>
      <w:r>
        <w:rPr>
          <w:sz w:val="20"/>
        </w:rPr>
        <w:t>the same interest in </w:t>
      </w:r>
      <w:r>
        <w:rPr>
          <w:spacing w:val="-2"/>
          <w:sz w:val="20"/>
        </w:rPr>
        <w:t>any </w:t>
      </w:r>
      <w:r>
        <w:rPr>
          <w:sz w:val="20"/>
        </w:rPr>
        <w:t>money or other property arising from or received in respect of </w:t>
      </w:r>
      <w:r>
        <w:rPr>
          <w:spacing w:val="-2"/>
          <w:sz w:val="20"/>
        </w:rPr>
        <w:t>any </w:t>
      </w:r>
      <w:r>
        <w:rPr>
          <w:sz w:val="20"/>
        </w:rPr>
        <w:t>sale, mortgage, </w:t>
      </w:r>
      <w:r>
        <w:rPr>
          <w:spacing w:val="-3"/>
          <w:sz w:val="20"/>
        </w:rPr>
        <w:t>exchange, </w:t>
      </w:r>
      <w:r>
        <w:rPr>
          <w:sz w:val="20"/>
        </w:rPr>
        <w:t>partition or other disposition under the powers given to an </w:t>
      </w:r>
      <w:r>
        <w:rPr>
          <w:spacing w:val="-3"/>
          <w:sz w:val="20"/>
        </w:rPr>
        <w:t>administrator  </w:t>
      </w:r>
      <w:r>
        <w:rPr>
          <w:sz w:val="20"/>
        </w:rPr>
        <w:t>by an order of the </w:t>
      </w:r>
      <w:r>
        <w:rPr>
          <w:spacing w:val="-4"/>
          <w:sz w:val="20"/>
        </w:rPr>
        <w:t>Tribunal  </w:t>
      </w:r>
      <w:r>
        <w:rPr>
          <w:sz w:val="20"/>
        </w:rPr>
        <w:t>which </w:t>
      </w:r>
      <w:r>
        <w:rPr>
          <w:spacing w:val="-3"/>
          <w:sz w:val="20"/>
        </w:rPr>
        <w:t>have  </w:t>
      </w:r>
      <w:r>
        <w:rPr>
          <w:sz w:val="20"/>
        </w:rPr>
        <w:t>not been applied under those powers as </w:t>
      </w:r>
      <w:r>
        <w:rPr>
          <w:spacing w:val="-3"/>
          <w:sz w:val="20"/>
        </w:rPr>
        <w:t>she,</w:t>
      </w:r>
      <w:r>
        <w:rPr>
          <w:spacing w:val="39"/>
          <w:sz w:val="20"/>
        </w:rPr>
        <w:t> </w:t>
      </w:r>
      <w:r>
        <w:rPr>
          <w:sz w:val="20"/>
        </w:rPr>
        <w:t>he or they would </w:t>
      </w:r>
      <w:r>
        <w:rPr>
          <w:spacing w:val="-3"/>
          <w:sz w:val="20"/>
        </w:rPr>
        <w:t>have  </w:t>
      </w:r>
      <w:r>
        <w:rPr>
          <w:sz w:val="20"/>
        </w:rPr>
        <w:t>had    in</w:t>
      </w:r>
      <w:r>
        <w:rPr>
          <w:spacing w:val="17"/>
          <w:sz w:val="20"/>
        </w:rPr>
        <w:t> </w:t>
      </w:r>
      <w:r>
        <w:rPr>
          <w:sz w:val="20"/>
        </w:rPr>
        <w:t>the</w:t>
      </w:r>
      <w:r>
        <w:rPr>
          <w:spacing w:val="17"/>
          <w:sz w:val="20"/>
        </w:rPr>
        <w:t> </w:t>
      </w:r>
      <w:r>
        <w:rPr>
          <w:sz w:val="20"/>
        </w:rPr>
        <w:t>property</w:t>
      </w:r>
      <w:r>
        <w:rPr>
          <w:spacing w:val="18"/>
          <w:sz w:val="20"/>
        </w:rPr>
        <w:t> </w:t>
      </w:r>
      <w:r>
        <w:rPr>
          <w:sz w:val="20"/>
        </w:rPr>
        <w:t>the</w:t>
      </w:r>
      <w:r>
        <w:rPr>
          <w:spacing w:val="17"/>
          <w:sz w:val="20"/>
        </w:rPr>
        <w:t> </w:t>
      </w:r>
      <w:r>
        <w:rPr>
          <w:sz w:val="20"/>
        </w:rPr>
        <w:t>subject</w:t>
      </w:r>
      <w:r>
        <w:rPr>
          <w:spacing w:val="17"/>
          <w:sz w:val="20"/>
        </w:rPr>
        <w:t> </w:t>
      </w:r>
      <w:r>
        <w:rPr>
          <w:sz w:val="20"/>
        </w:rPr>
        <w:t>of</w:t>
      </w:r>
      <w:r>
        <w:rPr>
          <w:spacing w:val="18"/>
          <w:sz w:val="20"/>
        </w:rPr>
        <w:t> </w:t>
      </w:r>
      <w:r>
        <w:rPr>
          <w:sz w:val="20"/>
        </w:rPr>
        <w:t>the</w:t>
      </w:r>
      <w:r>
        <w:rPr>
          <w:spacing w:val="17"/>
          <w:sz w:val="20"/>
        </w:rPr>
        <w:t> </w:t>
      </w:r>
      <w:r>
        <w:rPr>
          <w:sz w:val="20"/>
        </w:rPr>
        <w:t>sale,</w:t>
      </w:r>
      <w:r>
        <w:rPr>
          <w:spacing w:val="17"/>
          <w:sz w:val="20"/>
        </w:rPr>
        <w:t> </w:t>
      </w:r>
      <w:r>
        <w:rPr>
          <w:sz w:val="20"/>
        </w:rPr>
        <w:t>mortgage,</w:t>
      </w:r>
      <w:r>
        <w:rPr>
          <w:spacing w:val="18"/>
          <w:sz w:val="20"/>
        </w:rPr>
        <w:t> </w:t>
      </w:r>
      <w:r>
        <w:rPr>
          <w:spacing w:val="-3"/>
          <w:sz w:val="20"/>
        </w:rPr>
        <w:t>exchange,</w:t>
      </w:r>
      <w:r>
        <w:rPr>
          <w:spacing w:val="17"/>
          <w:sz w:val="20"/>
        </w:rPr>
        <w:t> </w:t>
      </w:r>
      <w:r>
        <w:rPr>
          <w:sz w:val="20"/>
        </w:rPr>
        <w:t>partition</w:t>
      </w:r>
      <w:r>
        <w:rPr>
          <w:spacing w:val="18"/>
          <w:sz w:val="20"/>
        </w:rPr>
        <w:t> </w:t>
      </w:r>
      <w:r>
        <w:rPr>
          <w:sz w:val="20"/>
        </w:rPr>
        <w:t>or</w:t>
      </w:r>
      <w:r>
        <w:rPr>
          <w:spacing w:val="17"/>
          <w:sz w:val="20"/>
        </w:rPr>
        <w:t> </w:t>
      </w:r>
      <w:r>
        <w:rPr>
          <w:sz w:val="20"/>
        </w:rPr>
        <w:t>disposition</w:t>
      </w:r>
    </w:p>
    <w:p>
      <w:pPr>
        <w:spacing w:before="8"/>
        <w:ind w:left="3061" w:right="0" w:firstLine="0"/>
        <w:jc w:val="left"/>
        <w:rPr>
          <w:sz w:val="20"/>
        </w:rPr>
      </w:pPr>
      <w:r>
        <w:rPr>
          <w:w w:val="105"/>
          <w:sz w:val="20"/>
        </w:rPr>
        <w:t>if no sale, mortgage, exchange, partition or disposition had been made.</w:t>
      </w:r>
    </w:p>
    <w:p>
      <w:pPr>
        <w:pStyle w:val="ListParagraph"/>
        <w:numPr>
          <w:ilvl w:val="0"/>
          <w:numId w:val="41"/>
        </w:numPr>
        <w:tabs>
          <w:tab w:pos="3062" w:val="left" w:leader="none"/>
        </w:tabs>
        <w:spacing w:line="254" w:lineRule="auto" w:before="136" w:after="0"/>
        <w:ind w:left="3061" w:right="1737" w:hanging="340"/>
        <w:jc w:val="left"/>
        <w:rPr>
          <w:sz w:val="20"/>
        </w:rPr>
      </w:pPr>
      <w:r>
        <w:rPr>
          <w:sz w:val="20"/>
        </w:rPr>
        <w:t>For the purposes of this section money arising from the compulsory acquisition or </w:t>
      </w:r>
      <w:r>
        <w:rPr>
          <w:spacing w:val="-3"/>
          <w:sz w:val="20"/>
        </w:rPr>
        <w:t>purchase </w:t>
      </w:r>
      <w:r>
        <w:rPr>
          <w:sz w:val="20"/>
        </w:rPr>
        <w:t>under </w:t>
      </w:r>
      <w:r>
        <w:rPr>
          <w:spacing w:val="-2"/>
          <w:sz w:val="20"/>
        </w:rPr>
        <w:t>any </w:t>
      </w:r>
      <w:r>
        <w:rPr>
          <w:sz w:val="20"/>
        </w:rPr>
        <w:t>Act of property of a represented person is deemed to be money arising</w:t>
      </w:r>
      <w:r>
        <w:rPr>
          <w:spacing w:val="14"/>
          <w:sz w:val="20"/>
        </w:rPr>
        <w:t> </w:t>
      </w:r>
      <w:r>
        <w:rPr>
          <w:sz w:val="20"/>
        </w:rPr>
        <w:t>from</w:t>
      </w:r>
      <w:r>
        <w:rPr>
          <w:spacing w:val="14"/>
          <w:sz w:val="20"/>
        </w:rPr>
        <w:t> </w:t>
      </w:r>
      <w:r>
        <w:rPr>
          <w:sz w:val="20"/>
        </w:rPr>
        <w:t>the</w:t>
      </w:r>
      <w:r>
        <w:rPr>
          <w:spacing w:val="15"/>
          <w:sz w:val="20"/>
        </w:rPr>
        <w:t> </w:t>
      </w:r>
      <w:r>
        <w:rPr>
          <w:sz w:val="20"/>
        </w:rPr>
        <w:t>sale</w:t>
      </w:r>
      <w:r>
        <w:rPr>
          <w:spacing w:val="14"/>
          <w:sz w:val="20"/>
        </w:rPr>
        <w:t> </w:t>
      </w:r>
      <w:r>
        <w:rPr>
          <w:sz w:val="20"/>
        </w:rPr>
        <w:t>of</w:t>
      </w:r>
      <w:r>
        <w:rPr>
          <w:spacing w:val="15"/>
          <w:sz w:val="20"/>
        </w:rPr>
        <w:t> </w:t>
      </w:r>
      <w:r>
        <w:rPr>
          <w:sz w:val="20"/>
        </w:rPr>
        <w:t>that</w:t>
      </w:r>
      <w:r>
        <w:rPr>
          <w:spacing w:val="14"/>
          <w:sz w:val="20"/>
        </w:rPr>
        <w:t> </w:t>
      </w:r>
      <w:r>
        <w:rPr>
          <w:sz w:val="20"/>
        </w:rPr>
        <w:t>property</w:t>
      </w:r>
      <w:r>
        <w:rPr>
          <w:spacing w:val="15"/>
          <w:sz w:val="20"/>
        </w:rPr>
        <w:t> </w:t>
      </w:r>
      <w:r>
        <w:rPr>
          <w:sz w:val="20"/>
        </w:rPr>
        <w:t>under</w:t>
      </w:r>
      <w:r>
        <w:rPr>
          <w:spacing w:val="14"/>
          <w:sz w:val="20"/>
        </w:rPr>
        <w:t> </w:t>
      </w:r>
      <w:r>
        <w:rPr>
          <w:sz w:val="20"/>
        </w:rPr>
        <w:t>the</w:t>
      </w:r>
      <w:r>
        <w:rPr>
          <w:spacing w:val="15"/>
          <w:sz w:val="20"/>
        </w:rPr>
        <w:t> </w:t>
      </w:r>
      <w:r>
        <w:rPr>
          <w:sz w:val="20"/>
        </w:rPr>
        <w:t>powers</w:t>
      </w:r>
      <w:r>
        <w:rPr>
          <w:spacing w:val="14"/>
          <w:sz w:val="20"/>
        </w:rPr>
        <w:t> </w:t>
      </w:r>
      <w:r>
        <w:rPr>
          <w:sz w:val="20"/>
        </w:rPr>
        <w:t>given</w:t>
      </w:r>
      <w:r>
        <w:rPr>
          <w:spacing w:val="14"/>
          <w:sz w:val="20"/>
        </w:rPr>
        <w:t> </w:t>
      </w:r>
      <w:r>
        <w:rPr>
          <w:sz w:val="20"/>
        </w:rPr>
        <w:t>to</w:t>
      </w:r>
      <w:r>
        <w:rPr>
          <w:spacing w:val="15"/>
          <w:sz w:val="20"/>
        </w:rPr>
        <w:t> </w:t>
      </w:r>
      <w:r>
        <w:rPr>
          <w:sz w:val="20"/>
        </w:rPr>
        <w:t>an</w:t>
      </w:r>
      <w:r>
        <w:rPr>
          <w:spacing w:val="14"/>
          <w:sz w:val="20"/>
        </w:rPr>
        <w:t> </w:t>
      </w:r>
      <w:r>
        <w:rPr>
          <w:spacing w:val="-3"/>
          <w:sz w:val="20"/>
        </w:rPr>
        <w:t>administrator</w:t>
      </w:r>
    </w:p>
    <w:p>
      <w:pPr>
        <w:spacing w:before="3"/>
        <w:ind w:left="3061" w:right="0" w:firstLine="0"/>
        <w:jc w:val="left"/>
        <w:rPr>
          <w:sz w:val="20"/>
        </w:rPr>
      </w:pPr>
      <w:r>
        <w:rPr>
          <w:w w:val="105"/>
          <w:sz w:val="20"/>
        </w:rPr>
        <w:t>by an order of the Tribunal.</w:t>
      </w:r>
    </w:p>
    <w:p>
      <w:pPr>
        <w:pStyle w:val="ListParagraph"/>
        <w:numPr>
          <w:ilvl w:val="0"/>
          <w:numId w:val="41"/>
        </w:numPr>
        <w:tabs>
          <w:tab w:pos="3062" w:val="left" w:leader="none"/>
        </w:tabs>
        <w:spacing w:line="254" w:lineRule="auto" w:before="136" w:after="0"/>
        <w:ind w:left="3061" w:right="1665" w:hanging="340"/>
        <w:jc w:val="left"/>
        <w:rPr>
          <w:sz w:val="20"/>
        </w:rPr>
      </w:pPr>
      <w:r>
        <w:rPr>
          <w:sz w:val="20"/>
        </w:rPr>
        <w:t>An </w:t>
      </w:r>
      <w:r>
        <w:rPr>
          <w:spacing w:val="-3"/>
          <w:sz w:val="20"/>
        </w:rPr>
        <w:t>administrator  </w:t>
      </w:r>
      <w:r>
        <w:rPr>
          <w:sz w:val="20"/>
        </w:rPr>
        <w:t>who receives money or other property under this section must keep   a separate </w:t>
      </w:r>
      <w:r>
        <w:rPr>
          <w:spacing w:val="-3"/>
          <w:sz w:val="20"/>
        </w:rPr>
        <w:t>account </w:t>
      </w:r>
      <w:r>
        <w:rPr>
          <w:sz w:val="20"/>
        </w:rPr>
        <w:t>and record of the money or other</w:t>
      </w:r>
      <w:r>
        <w:rPr>
          <w:spacing w:val="12"/>
          <w:sz w:val="20"/>
        </w:rPr>
        <w:t> </w:t>
      </w:r>
      <w:r>
        <w:rPr>
          <w:sz w:val="20"/>
        </w:rPr>
        <w:t>property.</w:t>
      </w:r>
    </w:p>
    <w:p>
      <w:pPr>
        <w:pStyle w:val="ListParagraph"/>
        <w:numPr>
          <w:ilvl w:val="0"/>
          <w:numId w:val="41"/>
        </w:numPr>
        <w:tabs>
          <w:tab w:pos="3062" w:val="left" w:leader="none"/>
        </w:tabs>
        <w:spacing w:line="254" w:lineRule="auto" w:before="122" w:after="0"/>
        <w:ind w:left="3061" w:right="1611" w:hanging="340"/>
        <w:jc w:val="left"/>
        <w:rPr>
          <w:sz w:val="20"/>
        </w:rPr>
      </w:pPr>
      <w:r>
        <w:rPr>
          <w:sz w:val="20"/>
        </w:rPr>
        <w:t>Money received by an </w:t>
      </w:r>
      <w:r>
        <w:rPr>
          <w:spacing w:val="-3"/>
          <w:sz w:val="20"/>
        </w:rPr>
        <w:t>administrator </w:t>
      </w:r>
      <w:r>
        <w:rPr>
          <w:sz w:val="20"/>
        </w:rPr>
        <w:t>under this section may be invested in </w:t>
      </w:r>
      <w:r>
        <w:rPr>
          <w:spacing w:val="-2"/>
          <w:sz w:val="20"/>
        </w:rPr>
        <w:t>any  </w:t>
      </w:r>
      <w:r>
        <w:rPr>
          <w:sz w:val="20"/>
        </w:rPr>
        <w:t>manner  in</w:t>
      </w:r>
      <w:r>
        <w:rPr>
          <w:spacing w:val="11"/>
          <w:sz w:val="20"/>
        </w:rPr>
        <w:t> </w:t>
      </w:r>
      <w:r>
        <w:rPr>
          <w:sz w:val="20"/>
        </w:rPr>
        <w:t>which</w:t>
      </w:r>
      <w:r>
        <w:rPr>
          <w:spacing w:val="11"/>
          <w:sz w:val="20"/>
        </w:rPr>
        <w:t> </w:t>
      </w:r>
      <w:r>
        <w:rPr>
          <w:sz w:val="20"/>
        </w:rPr>
        <w:t>trust</w:t>
      </w:r>
      <w:r>
        <w:rPr>
          <w:spacing w:val="11"/>
          <w:sz w:val="20"/>
        </w:rPr>
        <w:t> </w:t>
      </w:r>
      <w:r>
        <w:rPr>
          <w:sz w:val="20"/>
        </w:rPr>
        <w:t>funds</w:t>
      </w:r>
      <w:r>
        <w:rPr>
          <w:spacing w:val="11"/>
          <w:sz w:val="20"/>
        </w:rPr>
        <w:t> </w:t>
      </w:r>
      <w:r>
        <w:rPr>
          <w:sz w:val="20"/>
        </w:rPr>
        <w:t>may</w:t>
      </w:r>
      <w:r>
        <w:rPr>
          <w:spacing w:val="11"/>
          <w:sz w:val="20"/>
        </w:rPr>
        <w:t> </w:t>
      </w:r>
      <w:r>
        <w:rPr>
          <w:sz w:val="20"/>
        </w:rPr>
        <w:t>be</w:t>
      </w:r>
      <w:r>
        <w:rPr>
          <w:spacing w:val="11"/>
          <w:sz w:val="20"/>
        </w:rPr>
        <w:t> </w:t>
      </w:r>
      <w:r>
        <w:rPr>
          <w:sz w:val="20"/>
        </w:rPr>
        <w:t>invested</w:t>
      </w:r>
      <w:r>
        <w:rPr>
          <w:spacing w:val="11"/>
          <w:sz w:val="20"/>
        </w:rPr>
        <w:t> </w:t>
      </w:r>
      <w:r>
        <w:rPr>
          <w:sz w:val="20"/>
        </w:rPr>
        <w:t>under</w:t>
      </w:r>
      <w:r>
        <w:rPr>
          <w:spacing w:val="11"/>
          <w:sz w:val="20"/>
        </w:rPr>
        <w:t> </w:t>
      </w:r>
      <w:r>
        <w:rPr>
          <w:sz w:val="20"/>
        </w:rPr>
        <w:t>the</w:t>
      </w:r>
      <w:r>
        <w:rPr>
          <w:spacing w:val="12"/>
          <w:sz w:val="20"/>
        </w:rPr>
        <w:t> </w:t>
      </w:r>
      <w:r>
        <w:rPr>
          <w:i/>
          <w:spacing w:val="-3"/>
          <w:sz w:val="20"/>
        </w:rPr>
        <w:t>Trustee</w:t>
      </w:r>
      <w:r>
        <w:rPr>
          <w:i/>
          <w:spacing w:val="11"/>
          <w:sz w:val="20"/>
        </w:rPr>
        <w:t> </w:t>
      </w:r>
      <w:r>
        <w:rPr>
          <w:i/>
          <w:sz w:val="20"/>
        </w:rPr>
        <w:t>Act</w:t>
      </w:r>
      <w:r>
        <w:rPr>
          <w:i/>
          <w:spacing w:val="11"/>
          <w:sz w:val="20"/>
        </w:rPr>
        <w:t> </w:t>
      </w:r>
      <w:r>
        <w:rPr>
          <w:i/>
          <w:spacing w:val="-6"/>
          <w:sz w:val="20"/>
        </w:rPr>
        <w:t>1958</w:t>
      </w:r>
      <w:r>
        <w:rPr>
          <w:spacing w:val="-6"/>
          <w:sz w:val="20"/>
        </w:rPr>
        <w:t>.</w:t>
      </w:r>
    </w:p>
    <w:p>
      <w:pPr>
        <w:pStyle w:val="ListParagraph"/>
        <w:numPr>
          <w:ilvl w:val="0"/>
          <w:numId w:val="41"/>
        </w:numPr>
        <w:tabs>
          <w:tab w:pos="3062" w:val="left" w:leader="none"/>
        </w:tabs>
        <w:spacing w:line="254" w:lineRule="auto" w:before="123" w:after="0"/>
        <w:ind w:left="3061" w:right="1862" w:hanging="286"/>
        <w:jc w:val="left"/>
        <w:rPr>
          <w:sz w:val="20"/>
        </w:rPr>
      </w:pPr>
      <w:r>
        <w:rPr>
          <w:sz w:val="20"/>
        </w:rPr>
        <w:t>In this section and section 56 next of kin in relation to a represented person means </w:t>
      </w:r>
      <w:r>
        <w:rPr>
          <w:spacing w:val="-2"/>
          <w:sz w:val="20"/>
        </w:rPr>
        <w:t>any</w:t>
      </w:r>
      <w:r>
        <w:rPr>
          <w:spacing w:val="13"/>
          <w:sz w:val="20"/>
        </w:rPr>
        <w:t> </w:t>
      </w:r>
      <w:r>
        <w:rPr>
          <w:sz w:val="20"/>
        </w:rPr>
        <w:t>person</w:t>
      </w:r>
      <w:r>
        <w:rPr>
          <w:spacing w:val="13"/>
          <w:sz w:val="20"/>
        </w:rPr>
        <w:t> </w:t>
      </w:r>
      <w:r>
        <w:rPr>
          <w:sz w:val="20"/>
        </w:rPr>
        <w:t>who</w:t>
      </w:r>
      <w:r>
        <w:rPr>
          <w:spacing w:val="13"/>
          <w:sz w:val="20"/>
        </w:rPr>
        <w:t> </w:t>
      </w:r>
      <w:r>
        <w:rPr>
          <w:sz w:val="20"/>
        </w:rPr>
        <w:t>would</w:t>
      </w:r>
      <w:r>
        <w:rPr>
          <w:spacing w:val="14"/>
          <w:sz w:val="20"/>
        </w:rPr>
        <w:t> </w:t>
      </w:r>
      <w:r>
        <w:rPr>
          <w:sz w:val="20"/>
        </w:rPr>
        <w:t>be</w:t>
      </w:r>
      <w:r>
        <w:rPr>
          <w:spacing w:val="13"/>
          <w:sz w:val="20"/>
        </w:rPr>
        <w:t> </w:t>
      </w:r>
      <w:r>
        <w:rPr>
          <w:sz w:val="20"/>
        </w:rPr>
        <w:t>entitled</w:t>
      </w:r>
      <w:r>
        <w:rPr>
          <w:spacing w:val="13"/>
          <w:sz w:val="20"/>
        </w:rPr>
        <w:t> </w:t>
      </w:r>
      <w:r>
        <w:rPr>
          <w:sz w:val="20"/>
        </w:rPr>
        <w:t>to</w:t>
      </w:r>
      <w:r>
        <w:rPr>
          <w:spacing w:val="14"/>
          <w:sz w:val="20"/>
        </w:rPr>
        <w:t> </w:t>
      </w:r>
      <w:r>
        <w:rPr>
          <w:sz w:val="20"/>
        </w:rPr>
        <w:t>the</w:t>
      </w:r>
      <w:r>
        <w:rPr>
          <w:spacing w:val="13"/>
          <w:sz w:val="20"/>
        </w:rPr>
        <w:t> </w:t>
      </w:r>
      <w:r>
        <w:rPr>
          <w:sz w:val="20"/>
        </w:rPr>
        <w:t>property</w:t>
      </w:r>
      <w:r>
        <w:rPr>
          <w:spacing w:val="13"/>
          <w:sz w:val="20"/>
        </w:rPr>
        <w:t> </w:t>
      </w:r>
      <w:r>
        <w:rPr>
          <w:sz w:val="20"/>
        </w:rPr>
        <w:t>of</w:t>
      </w:r>
      <w:r>
        <w:rPr>
          <w:spacing w:val="14"/>
          <w:sz w:val="20"/>
        </w:rPr>
        <w:t> </w:t>
      </w:r>
      <w:r>
        <w:rPr>
          <w:sz w:val="20"/>
        </w:rPr>
        <w:t>the</w:t>
      </w:r>
      <w:r>
        <w:rPr>
          <w:spacing w:val="13"/>
          <w:sz w:val="20"/>
        </w:rPr>
        <w:t> </w:t>
      </w:r>
      <w:r>
        <w:rPr>
          <w:sz w:val="20"/>
        </w:rPr>
        <w:t>represented</w:t>
      </w:r>
      <w:r>
        <w:rPr>
          <w:spacing w:val="13"/>
          <w:sz w:val="20"/>
        </w:rPr>
        <w:t> </w:t>
      </w:r>
      <w:r>
        <w:rPr>
          <w:sz w:val="20"/>
        </w:rPr>
        <w:t>person</w:t>
      </w:r>
      <w:r>
        <w:rPr>
          <w:spacing w:val="14"/>
          <w:sz w:val="20"/>
        </w:rPr>
        <w:t> </w:t>
      </w:r>
      <w:r>
        <w:rPr>
          <w:sz w:val="20"/>
        </w:rPr>
        <w:t>or</w:t>
      </w:r>
    </w:p>
    <w:p>
      <w:pPr>
        <w:spacing w:line="254" w:lineRule="auto" w:before="2"/>
        <w:ind w:left="3061" w:right="1930" w:firstLine="0"/>
        <w:jc w:val="left"/>
        <w:rPr>
          <w:sz w:val="20"/>
        </w:rPr>
      </w:pPr>
      <w:r>
        <w:rPr>
          <w:sz w:val="20"/>
        </w:rPr>
        <w:t>to </w:t>
      </w:r>
      <w:r>
        <w:rPr>
          <w:spacing w:val="-2"/>
          <w:sz w:val="20"/>
        </w:rPr>
        <w:t>any </w:t>
      </w:r>
      <w:r>
        <w:rPr>
          <w:sz w:val="20"/>
        </w:rPr>
        <w:t>share thereof under </w:t>
      </w:r>
      <w:r>
        <w:rPr>
          <w:spacing w:val="-2"/>
          <w:sz w:val="20"/>
        </w:rPr>
        <w:t>any  </w:t>
      </w:r>
      <w:r>
        <w:rPr>
          <w:sz w:val="20"/>
        </w:rPr>
        <w:t>law for the distribution of the property of intestates  if the represented person had died</w:t>
      </w:r>
      <w:r>
        <w:rPr>
          <w:spacing w:val="7"/>
          <w:sz w:val="20"/>
        </w:rPr>
        <w:t> </w:t>
      </w:r>
      <w:r>
        <w:rPr>
          <w:spacing w:val="-3"/>
          <w:sz w:val="20"/>
        </w:rPr>
        <w:t>intestate.</w:t>
      </w:r>
    </w:p>
    <w:p>
      <w:pPr>
        <w:pStyle w:val="BodyText"/>
        <w:rPr>
          <w:sz w:val="20"/>
        </w:rPr>
      </w:pPr>
    </w:p>
    <w:p>
      <w:pPr>
        <w:pStyle w:val="BodyText"/>
        <w:rPr>
          <w:sz w:val="20"/>
        </w:rPr>
      </w:pPr>
    </w:p>
    <w:p>
      <w:pPr>
        <w:pStyle w:val="BodyText"/>
        <w:rPr>
          <w:sz w:val="20"/>
        </w:rPr>
      </w:pPr>
    </w:p>
    <w:p>
      <w:pPr>
        <w:pStyle w:val="BodyText"/>
        <w:spacing w:before="8"/>
        <w:rPr>
          <w:sz w:val="14"/>
        </w:rPr>
      </w:pPr>
      <w:r>
        <w:rPr/>
        <w:pict>
          <v:line style="position:absolute;mso-position-horizontal-relative:page;mso-position-vertical-relative:paragraph;z-index:1928;mso-wrap-distance-left:0;mso-wrap-distance-right:0" from="79.370102pt,11.414454pt" to="515.905102pt,11.414454pt" stroked="true" strokeweight="1pt" strokecolor="#f9ceca">
            <v:stroke dashstyle="solid"/>
            <w10:wrap type="topAndBottom"/>
          </v:line>
        </w:pict>
      </w:r>
    </w:p>
    <w:p>
      <w:pPr>
        <w:pStyle w:val="ListParagraph"/>
        <w:numPr>
          <w:ilvl w:val="0"/>
          <w:numId w:val="40"/>
        </w:numPr>
        <w:tabs>
          <w:tab w:pos="2380" w:val="left" w:leader="none"/>
          <w:tab w:pos="2382" w:val="left" w:leader="none"/>
        </w:tabs>
        <w:spacing w:line="240" w:lineRule="auto" w:before="117" w:after="0"/>
        <w:ind w:left="2381" w:right="0" w:hanging="794"/>
        <w:jc w:val="left"/>
        <w:rPr>
          <w:sz w:val="13"/>
        </w:rPr>
      </w:pPr>
      <w:r>
        <w:rPr>
          <w:w w:val="105"/>
          <w:sz w:val="13"/>
        </w:rPr>
        <w:t>Groves, ‘Adeptly Avoiding Ademption’, above n </w:t>
      </w:r>
      <w:r>
        <w:rPr>
          <w:spacing w:val="-3"/>
          <w:w w:val="105"/>
          <w:sz w:val="13"/>
        </w:rPr>
        <w:t>1,</w:t>
      </w:r>
      <w:r>
        <w:rPr>
          <w:spacing w:val="5"/>
          <w:w w:val="105"/>
          <w:sz w:val="13"/>
        </w:rPr>
        <w:t> </w:t>
      </w:r>
      <w:r>
        <w:rPr>
          <w:w w:val="105"/>
          <w:sz w:val="13"/>
        </w:rPr>
        <w:t>38.</w:t>
      </w:r>
    </w:p>
    <w:p>
      <w:pPr>
        <w:pStyle w:val="ListParagraph"/>
        <w:numPr>
          <w:ilvl w:val="0"/>
          <w:numId w:val="40"/>
        </w:numPr>
        <w:tabs>
          <w:tab w:pos="2380" w:val="left" w:leader="none"/>
          <w:tab w:pos="2382" w:val="left" w:leader="none"/>
        </w:tabs>
        <w:spacing w:line="240" w:lineRule="auto" w:before="1" w:after="0"/>
        <w:ind w:left="2381" w:right="0" w:hanging="794"/>
        <w:jc w:val="left"/>
        <w:rPr>
          <w:sz w:val="13"/>
        </w:rPr>
      </w:pPr>
      <w:r>
        <w:rPr>
          <w:sz w:val="13"/>
        </w:rPr>
        <w:t>Ibid.</w:t>
      </w:r>
    </w:p>
    <w:p>
      <w:pPr>
        <w:pStyle w:val="ListParagraph"/>
        <w:numPr>
          <w:ilvl w:val="0"/>
          <w:numId w:val="40"/>
        </w:numPr>
        <w:tabs>
          <w:tab w:pos="2380" w:val="left" w:leader="none"/>
          <w:tab w:pos="2382" w:val="left" w:leader="none"/>
        </w:tabs>
        <w:spacing w:line="240" w:lineRule="auto" w:before="2" w:after="0"/>
        <w:ind w:left="2381" w:right="2330" w:hanging="794"/>
        <w:jc w:val="left"/>
        <w:rPr>
          <w:sz w:val="13"/>
        </w:rPr>
      </w:pPr>
      <w:r>
        <w:rPr/>
        <w:pict>
          <v:shape style="position:absolute;margin-left:549.194519pt;margin-top:2.921964pt;width:12.25pt;height:14.25pt;mso-position-horizontal-relative:page;mso-position-vertical-relative:paragraph;z-index:4000" type="#_x0000_t202" filled="false" stroked="false">
            <v:textbox inset="0,0,0,0">
              <w:txbxContent>
                <w:p>
                  <w:pPr>
                    <w:spacing w:line="284" w:lineRule="exact" w:before="0"/>
                    <w:ind w:left="0" w:right="0" w:firstLine="0"/>
                    <w:jc w:val="left"/>
                    <w:rPr>
                      <w:b/>
                      <w:sz w:val="24"/>
                    </w:rPr>
                  </w:pPr>
                  <w:r>
                    <w:rPr>
                      <w:b/>
                      <w:color w:val="EC5A4F"/>
                      <w:spacing w:val="-12"/>
                      <w:w w:val="110"/>
                      <w:sz w:val="24"/>
                    </w:rPr>
                    <w:t>41</w:t>
                  </w:r>
                </w:p>
              </w:txbxContent>
            </v:textbox>
            <w10:wrap type="none"/>
          </v:shape>
        </w:pict>
      </w:r>
      <w:r>
        <w:rPr>
          <w:w w:val="105"/>
          <w:sz w:val="13"/>
        </w:rPr>
        <w:t>National Committee for Uniform Succession Laws, </w:t>
      </w:r>
      <w:r>
        <w:rPr>
          <w:i/>
          <w:w w:val="105"/>
          <w:sz w:val="13"/>
        </w:rPr>
        <w:t>Consolidated Report to the Standing Committee of Attorneys General on the </w:t>
      </w:r>
      <w:r>
        <w:rPr>
          <w:i/>
          <w:w w:val="105"/>
          <w:sz w:val="13"/>
        </w:rPr>
        <w:t>Law</w:t>
      </w:r>
      <w:r>
        <w:rPr>
          <w:i/>
          <w:spacing w:val="6"/>
          <w:w w:val="105"/>
          <w:sz w:val="13"/>
        </w:rPr>
        <w:t> </w:t>
      </w:r>
      <w:r>
        <w:rPr>
          <w:i/>
          <w:w w:val="105"/>
          <w:sz w:val="13"/>
        </w:rPr>
        <w:t>of</w:t>
      </w:r>
      <w:r>
        <w:rPr>
          <w:i/>
          <w:spacing w:val="7"/>
          <w:w w:val="105"/>
          <w:sz w:val="13"/>
        </w:rPr>
        <w:t> </w:t>
      </w:r>
      <w:r>
        <w:rPr>
          <w:i/>
          <w:w w:val="105"/>
          <w:sz w:val="13"/>
        </w:rPr>
        <w:t>Wills</w:t>
      </w:r>
      <w:r>
        <w:rPr>
          <w:w w:val="105"/>
          <w:sz w:val="13"/>
        </w:rPr>
        <w:t>,</w:t>
      </w:r>
      <w:r>
        <w:rPr>
          <w:spacing w:val="8"/>
          <w:w w:val="105"/>
          <w:sz w:val="13"/>
        </w:rPr>
        <w:t> </w:t>
      </w:r>
      <w:r>
        <w:rPr>
          <w:w w:val="105"/>
          <w:sz w:val="13"/>
        </w:rPr>
        <w:t>Queensland</w:t>
      </w:r>
      <w:r>
        <w:rPr>
          <w:spacing w:val="8"/>
          <w:w w:val="105"/>
          <w:sz w:val="13"/>
        </w:rPr>
        <w:t> </w:t>
      </w:r>
      <w:r>
        <w:rPr>
          <w:w w:val="105"/>
          <w:sz w:val="13"/>
        </w:rPr>
        <w:t>Law</w:t>
      </w:r>
      <w:r>
        <w:rPr>
          <w:spacing w:val="8"/>
          <w:w w:val="105"/>
          <w:sz w:val="13"/>
        </w:rPr>
        <w:t> </w:t>
      </w:r>
      <w:r>
        <w:rPr>
          <w:w w:val="105"/>
          <w:sz w:val="13"/>
        </w:rPr>
        <w:t>Reform</w:t>
      </w:r>
      <w:r>
        <w:rPr>
          <w:spacing w:val="8"/>
          <w:w w:val="105"/>
          <w:sz w:val="13"/>
        </w:rPr>
        <w:t> </w:t>
      </w:r>
      <w:r>
        <w:rPr>
          <w:w w:val="105"/>
          <w:sz w:val="13"/>
        </w:rPr>
        <w:t>Commission</w:t>
      </w:r>
      <w:r>
        <w:rPr>
          <w:spacing w:val="8"/>
          <w:w w:val="105"/>
          <w:sz w:val="13"/>
        </w:rPr>
        <w:t> </w:t>
      </w:r>
      <w:r>
        <w:rPr>
          <w:w w:val="105"/>
          <w:sz w:val="13"/>
        </w:rPr>
        <w:t>Miscellaneous</w:t>
      </w:r>
      <w:r>
        <w:rPr>
          <w:spacing w:val="8"/>
          <w:w w:val="105"/>
          <w:sz w:val="13"/>
        </w:rPr>
        <w:t> </w:t>
      </w:r>
      <w:r>
        <w:rPr>
          <w:w w:val="105"/>
          <w:sz w:val="13"/>
        </w:rPr>
        <w:t>Paper</w:t>
      </w:r>
      <w:r>
        <w:rPr>
          <w:spacing w:val="8"/>
          <w:w w:val="105"/>
          <w:sz w:val="13"/>
        </w:rPr>
        <w:t> </w:t>
      </w:r>
      <w:r>
        <w:rPr>
          <w:w w:val="105"/>
          <w:sz w:val="13"/>
        </w:rPr>
        <w:t>No</w:t>
      </w:r>
      <w:r>
        <w:rPr>
          <w:spacing w:val="8"/>
          <w:w w:val="105"/>
          <w:sz w:val="13"/>
        </w:rPr>
        <w:t> </w:t>
      </w:r>
      <w:r>
        <w:rPr>
          <w:w w:val="105"/>
          <w:sz w:val="13"/>
        </w:rPr>
        <w:t>29</w:t>
      </w:r>
      <w:r>
        <w:rPr>
          <w:spacing w:val="8"/>
          <w:w w:val="105"/>
          <w:sz w:val="13"/>
        </w:rPr>
        <w:t> </w:t>
      </w:r>
      <w:r>
        <w:rPr>
          <w:w w:val="105"/>
          <w:sz w:val="13"/>
        </w:rPr>
        <w:t>(1997)</w:t>
      </w:r>
      <w:r>
        <w:rPr>
          <w:spacing w:val="8"/>
          <w:w w:val="105"/>
          <w:sz w:val="13"/>
        </w:rPr>
        <w:t> </w:t>
      </w:r>
      <w:r>
        <w:rPr>
          <w:spacing w:val="-4"/>
          <w:w w:val="105"/>
          <w:sz w:val="13"/>
        </w:rPr>
        <w:t>113;</w:t>
      </w:r>
      <w:r>
        <w:rPr>
          <w:spacing w:val="8"/>
          <w:w w:val="105"/>
          <w:sz w:val="13"/>
        </w:rPr>
        <w:t> </w:t>
      </w:r>
      <w:r>
        <w:rPr>
          <w:w w:val="105"/>
          <w:sz w:val="13"/>
        </w:rPr>
        <w:t>Walsh,</w:t>
      </w:r>
      <w:r>
        <w:rPr>
          <w:spacing w:val="8"/>
          <w:w w:val="105"/>
          <w:sz w:val="13"/>
        </w:rPr>
        <w:t> </w:t>
      </w:r>
      <w:r>
        <w:rPr>
          <w:w w:val="105"/>
          <w:sz w:val="13"/>
        </w:rPr>
        <w:t>above</w:t>
      </w:r>
      <w:r>
        <w:rPr>
          <w:spacing w:val="7"/>
          <w:w w:val="105"/>
          <w:sz w:val="13"/>
        </w:rPr>
        <w:t> </w:t>
      </w:r>
      <w:r>
        <w:rPr>
          <w:w w:val="105"/>
          <w:sz w:val="13"/>
        </w:rPr>
        <w:t>n</w:t>
      </w:r>
      <w:r>
        <w:rPr>
          <w:spacing w:val="8"/>
          <w:w w:val="105"/>
          <w:sz w:val="13"/>
        </w:rPr>
        <w:t> </w:t>
      </w:r>
      <w:r>
        <w:rPr>
          <w:w w:val="105"/>
          <w:sz w:val="13"/>
        </w:rPr>
        <w:t>6,</w:t>
      </w:r>
      <w:r>
        <w:rPr>
          <w:spacing w:val="8"/>
          <w:w w:val="105"/>
          <w:sz w:val="13"/>
        </w:rPr>
        <w:t> </w:t>
      </w:r>
      <w:r>
        <w:rPr>
          <w:spacing w:val="2"/>
          <w:w w:val="105"/>
          <w:sz w:val="13"/>
        </w:rPr>
        <w:t>649–50,</w:t>
      </w:r>
      <w:r>
        <w:rPr>
          <w:spacing w:val="8"/>
          <w:w w:val="105"/>
          <w:sz w:val="13"/>
        </w:rPr>
        <w:t> </w:t>
      </w:r>
      <w:r>
        <w:rPr>
          <w:w w:val="105"/>
          <w:sz w:val="13"/>
        </w:rPr>
        <w:t>657–8.</w:t>
      </w:r>
    </w:p>
    <w:p>
      <w:pPr>
        <w:spacing w:after="0" w:line="240" w:lineRule="auto"/>
        <w:jc w:val="left"/>
        <w:rPr>
          <w:sz w:val="13"/>
        </w:rPr>
        <w:sectPr>
          <w:pgSz w:w="11910" w:h="16840"/>
          <w:pgMar w:header="805" w:footer="0" w:top="1360" w:bottom="280" w:left="0" w:right="0"/>
        </w:sectPr>
      </w:pPr>
    </w:p>
    <w:p>
      <w:pPr>
        <w:pStyle w:val="BodyText"/>
        <w:spacing w:before="9"/>
        <w:rPr>
          <w:sz w:val="22"/>
        </w:rPr>
      </w:pPr>
    </w:p>
    <w:p>
      <w:pPr>
        <w:pStyle w:val="ListParagraph"/>
        <w:numPr>
          <w:ilvl w:val="1"/>
          <w:numId w:val="22"/>
        </w:numPr>
        <w:tabs>
          <w:tab w:pos="2381" w:val="left" w:leader="none"/>
          <w:tab w:pos="2382" w:val="left" w:leader="none"/>
        </w:tabs>
        <w:spacing w:line="242" w:lineRule="auto" w:before="92" w:after="0"/>
        <w:ind w:left="2381" w:right="2370" w:hanging="794"/>
        <w:jc w:val="left"/>
        <w:rPr>
          <w:sz w:val="21"/>
        </w:rPr>
      </w:pPr>
      <w:bookmarkStart w:name="Model for an exception to ademption" w:id="36"/>
      <w:bookmarkEnd w:id="36"/>
      <w:r>
        <w:rPr/>
      </w:r>
      <w:bookmarkStart w:name="Model for an exception to ademption" w:id="37"/>
      <w:bookmarkEnd w:id="37"/>
      <w:r>
        <w:rPr>
          <w:sz w:val="21"/>
        </w:rPr>
        <w:t>T</w:t>
      </w:r>
      <w:r>
        <w:rPr>
          <w:sz w:val="21"/>
        </w:rPr>
        <w:t>he </w:t>
      </w:r>
      <w:r>
        <w:rPr>
          <w:spacing w:val="-3"/>
          <w:sz w:val="21"/>
        </w:rPr>
        <w:t>following </w:t>
      </w:r>
      <w:r>
        <w:rPr>
          <w:sz w:val="21"/>
        </w:rPr>
        <w:t>example </w:t>
      </w:r>
      <w:r>
        <w:rPr>
          <w:spacing w:val="-3"/>
          <w:sz w:val="21"/>
        </w:rPr>
        <w:t>illustrates </w:t>
      </w:r>
      <w:r>
        <w:rPr>
          <w:sz w:val="21"/>
        </w:rPr>
        <w:t>how the </w:t>
      </w:r>
      <w:r>
        <w:rPr>
          <w:spacing w:val="-3"/>
          <w:sz w:val="21"/>
        </w:rPr>
        <w:t>exception to  </w:t>
      </w:r>
      <w:r>
        <w:rPr>
          <w:sz w:val="21"/>
        </w:rPr>
        <w:t>ademption </w:t>
      </w:r>
      <w:r>
        <w:rPr>
          <w:spacing w:val="-3"/>
          <w:sz w:val="21"/>
        </w:rPr>
        <w:t>for</w:t>
      </w:r>
      <w:r>
        <w:rPr>
          <w:spacing w:val="41"/>
          <w:sz w:val="21"/>
        </w:rPr>
        <w:t> </w:t>
      </w:r>
      <w:r>
        <w:rPr>
          <w:sz w:val="21"/>
        </w:rPr>
        <w:t>the actions  of </w:t>
      </w:r>
      <w:r>
        <w:rPr>
          <w:spacing w:val="-3"/>
          <w:sz w:val="21"/>
        </w:rPr>
        <w:t>administrators </w:t>
      </w:r>
      <w:r>
        <w:rPr>
          <w:sz w:val="21"/>
        </w:rPr>
        <w:t>operates in</w:t>
      </w:r>
      <w:r>
        <w:rPr>
          <w:spacing w:val="38"/>
          <w:sz w:val="21"/>
        </w:rPr>
        <w:t> </w:t>
      </w:r>
      <w:r>
        <w:rPr>
          <w:spacing w:val="-3"/>
          <w:sz w:val="21"/>
        </w:rPr>
        <w:t>practice.</w:t>
      </w:r>
    </w:p>
    <w:p>
      <w:pPr>
        <w:spacing w:before="127"/>
        <w:ind w:left="2721" w:right="0" w:firstLine="0"/>
        <w:jc w:val="left"/>
        <w:rPr>
          <w:rFonts w:ascii="Lucida Sans"/>
          <w:b/>
          <w:sz w:val="20"/>
        </w:rPr>
      </w:pPr>
      <w:r>
        <w:rPr>
          <w:rFonts w:ascii="Lucida Sans"/>
          <w:b/>
          <w:sz w:val="20"/>
        </w:rPr>
        <w:t>Example 2: Exception to ademption under section 53</w:t>
      </w:r>
    </w:p>
    <w:p>
      <w:pPr>
        <w:spacing w:line="254" w:lineRule="auto" w:before="149"/>
        <w:ind w:left="2721" w:right="1614" w:firstLine="0"/>
        <w:jc w:val="both"/>
        <w:rPr>
          <w:sz w:val="20"/>
        </w:rPr>
      </w:pPr>
      <w:r>
        <w:rPr>
          <w:w w:val="105"/>
          <w:sz w:val="20"/>
        </w:rPr>
        <w:t>As </w:t>
      </w:r>
      <w:r>
        <w:rPr>
          <w:spacing w:val="-3"/>
          <w:w w:val="105"/>
          <w:sz w:val="20"/>
        </w:rPr>
        <w:t>in example </w:t>
      </w:r>
      <w:r>
        <w:rPr>
          <w:spacing w:val="-8"/>
          <w:w w:val="105"/>
          <w:sz w:val="20"/>
        </w:rPr>
        <w:t>1, </w:t>
      </w:r>
      <w:r>
        <w:rPr>
          <w:w w:val="105"/>
          <w:sz w:val="20"/>
        </w:rPr>
        <w:t>Mr </w:t>
      </w:r>
      <w:r>
        <w:rPr>
          <w:spacing w:val="-3"/>
          <w:w w:val="105"/>
          <w:sz w:val="20"/>
        </w:rPr>
        <w:t>Ling owns </w:t>
      </w:r>
      <w:r>
        <w:rPr>
          <w:w w:val="105"/>
          <w:sz w:val="20"/>
        </w:rPr>
        <w:t>two </w:t>
      </w:r>
      <w:r>
        <w:rPr>
          <w:spacing w:val="-3"/>
          <w:w w:val="105"/>
          <w:sz w:val="20"/>
        </w:rPr>
        <w:t>units </w:t>
      </w:r>
      <w:r>
        <w:rPr>
          <w:spacing w:val="-4"/>
          <w:w w:val="105"/>
          <w:sz w:val="20"/>
        </w:rPr>
        <w:t>and, </w:t>
      </w:r>
      <w:r>
        <w:rPr>
          <w:spacing w:val="-3"/>
          <w:w w:val="105"/>
          <w:sz w:val="20"/>
        </w:rPr>
        <w:t>in </w:t>
      </w:r>
      <w:r>
        <w:rPr>
          <w:spacing w:val="-4"/>
          <w:w w:val="105"/>
          <w:sz w:val="20"/>
        </w:rPr>
        <w:t>his will, </w:t>
      </w:r>
      <w:r>
        <w:rPr>
          <w:w w:val="105"/>
          <w:sz w:val="20"/>
        </w:rPr>
        <w:t>he </w:t>
      </w:r>
      <w:r>
        <w:rPr>
          <w:spacing w:val="-4"/>
          <w:w w:val="105"/>
          <w:sz w:val="20"/>
        </w:rPr>
        <w:t>leaves </w:t>
      </w:r>
      <w:r>
        <w:rPr>
          <w:spacing w:val="-3"/>
          <w:w w:val="105"/>
          <w:sz w:val="20"/>
        </w:rPr>
        <w:t>the </w:t>
      </w:r>
      <w:r>
        <w:rPr>
          <w:spacing w:val="-4"/>
          <w:w w:val="105"/>
          <w:sz w:val="20"/>
        </w:rPr>
        <w:t>unit </w:t>
      </w:r>
      <w:r>
        <w:rPr>
          <w:w w:val="105"/>
          <w:sz w:val="20"/>
        </w:rPr>
        <w:t>he </w:t>
      </w:r>
      <w:r>
        <w:rPr>
          <w:spacing w:val="-3"/>
          <w:w w:val="105"/>
          <w:sz w:val="20"/>
        </w:rPr>
        <w:t>is </w:t>
      </w:r>
      <w:r>
        <w:rPr>
          <w:spacing w:val="-4"/>
          <w:w w:val="105"/>
          <w:sz w:val="20"/>
        </w:rPr>
        <w:t>living </w:t>
      </w:r>
      <w:r>
        <w:rPr>
          <w:spacing w:val="-3"/>
          <w:w w:val="105"/>
          <w:sz w:val="20"/>
        </w:rPr>
        <w:t>in (his home </w:t>
      </w:r>
      <w:r>
        <w:rPr>
          <w:spacing w:val="-4"/>
          <w:w w:val="105"/>
          <w:sz w:val="20"/>
        </w:rPr>
        <w:t>unit) </w:t>
      </w:r>
      <w:r>
        <w:rPr>
          <w:spacing w:val="-3"/>
          <w:w w:val="105"/>
          <w:sz w:val="20"/>
        </w:rPr>
        <w:t>to </w:t>
      </w:r>
      <w:r>
        <w:rPr>
          <w:spacing w:val="-4"/>
          <w:w w:val="105"/>
          <w:sz w:val="20"/>
        </w:rPr>
        <w:t>his </w:t>
      </w:r>
      <w:r>
        <w:rPr>
          <w:spacing w:val="-6"/>
          <w:w w:val="105"/>
          <w:sz w:val="20"/>
        </w:rPr>
        <w:t>daughter, </w:t>
      </w:r>
      <w:r>
        <w:rPr>
          <w:spacing w:val="-3"/>
          <w:w w:val="105"/>
          <w:sz w:val="20"/>
        </w:rPr>
        <w:t>the </w:t>
      </w:r>
      <w:r>
        <w:rPr>
          <w:spacing w:val="-4"/>
          <w:w w:val="105"/>
          <w:sz w:val="20"/>
        </w:rPr>
        <w:t>other unit </w:t>
      </w:r>
      <w:r>
        <w:rPr>
          <w:spacing w:val="-3"/>
          <w:w w:val="105"/>
          <w:sz w:val="20"/>
        </w:rPr>
        <w:t>(his </w:t>
      </w:r>
      <w:r>
        <w:rPr>
          <w:spacing w:val="-4"/>
          <w:w w:val="105"/>
          <w:sz w:val="20"/>
        </w:rPr>
        <w:t>investment unit) </w:t>
      </w:r>
      <w:r>
        <w:rPr>
          <w:spacing w:val="-3"/>
          <w:w w:val="105"/>
          <w:sz w:val="20"/>
        </w:rPr>
        <w:t>to </w:t>
      </w:r>
      <w:r>
        <w:rPr>
          <w:spacing w:val="-4"/>
          <w:w w:val="105"/>
          <w:sz w:val="20"/>
        </w:rPr>
        <w:t>his </w:t>
      </w:r>
      <w:r>
        <w:rPr>
          <w:spacing w:val="-3"/>
          <w:w w:val="105"/>
          <w:sz w:val="20"/>
        </w:rPr>
        <w:t>son, and the rest of </w:t>
      </w:r>
      <w:r>
        <w:rPr>
          <w:spacing w:val="-4"/>
          <w:w w:val="105"/>
          <w:sz w:val="20"/>
        </w:rPr>
        <w:t>his </w:t>
      </w:r>
      <w:r>
        <w:rPr>
          <w:spacing w:val="-3"/>
          <w:w w:val="105"/>
          <w:sz w:val="20"/>
        </w:rPr>
        <w:t>estate (the residue) to </w:t>
      </w:r>
      <w:r>
        <w:rPr>
          <w:spacing w:val="-4"/>
          <w:w w:val="105"/>
          <w:sz w:val="20"/>
        </w:rPr>
        <w:t>his </w:t>
      </w:r>
      <w:r>
        <w:rPr>
          <w:spacing w:val="-5"/>
          <w:w w:val="105"/>
          <w:sz w:val="20"/>
        </w:rPr>
        <w:t>grand-daughter.</w:t>
      </w:r>
    </w:p>
    <w:p>
      <w:pPr>
        <w:spacing w:line="254" w:lineRule="auto" w:before="123"/>
        <w:ind w:left="2721" w:right="1826" w:firstLine="0"/>
        <w:jc w:val="left"/>
        <w:rPr>
          <w:sz w:val="20"/>
        </w:rPr>
      </w:pPr>
      <w:r>
        <w:rPr>
          <w:sz w:val="20"/>
        </w:rPr>
        <w:t>In this example, and in the examples that </w:t>
      </w:r>
      <w:r>
        <w:rPr>
          <w:spacing w:val="-4"/>
          <w:sz w:val="20"/>
        </w:rPr>
        <w:t>follow, </w:t>
      </w:r>
      <w:r>
        <w:rPr>
          <w:sz w:val="20"/>
        </w:rPr>
        <w:t>Mr Ling loses capacity after making his will</w:t>
      </w:r>
      <w:r>
        <w:rPr>
          <w:spacing w:val="8"/>
          <w:sz w:val="20"/>
        </w:rPr>
        <w:t> </w:t>
      </w:r>
      <w:r>
        <w:rPr>
          <w:sz w:val="20"/>
        </w:rPr>
        <w:t>and</w:t>
      </w:r>
      <w:r>
        <w:rPr>
          <w:spacing w:val="9"/>
          <w:sz w:val="20"/>
        </w:rPr>
        <w:t> </w:t>
      </w:r>
      <w:r>
        <w:rPr>
          <w:sz w:val="20"/>
        </w:rPr>
        <w:t>does</w:t>
      </w:r>
      <w:r>
        <w:rPr>
          <w:spacing w:val="9"/>
          <w:sz w:val="20"/>
        </w:rPr>
        <w:t> </w:t>
      </w:r>
      <w:r>
        <w:rPr>
          <w:sz w:val="20"/>
        </w:rPr>
        <w:t>not</w:t>
      </w:r>
      <w:r>
        <w:rPr>
          <w:spacing w:val="9"/>
          <w:sz w:val="20"/>
        </w:rPr>
        <w:t> </w:t>
      </w:r>
      <w:r>
        <w:rPr>
          <w:sz w:val="20"/>
        </w:rPr>
        <w:t>sell</w:t>
      </w:r>
      <w:r>
        <w:rPr>
          <w:spacing w:val="8"/>
          <w:sz w:val="20"/>
        </w:rPr>
        <w:t> </w:t>
      </w:r>
      <w:r>
        <w:rPr>
          <w:sz w:val="20"/>
        </w:rPr>
        <w:t>his</w:t>
      </w:r>
      <w:r>
        <w:rPr>
          <w:spacing w:val="9"/>
          <w:sz w:val="20"/>
        </w:rPr>
        <w:t> </w:t>
      </w:r>
      <w:r>
        <w:rPr>
          <w:sz w:val="20"/>
        </w:rPr>
        <w:t>home</w:t>
      </w:r>
      <w:r>
        <w:rPr>
          <w:spacing w:val="9"/>
          <w:sz w:val="20"/>
        </w:rPr>
        <w:t> </w:t>
      </w:r>
      <w:r>
        <w:rPr>
          <w:sz w:val="20"/>
        </w:rPr>
        <w:t>unit</w:t>
      </w:r>
      <w:r>
        <w:rPr>
          <w:spacing w:val="9"/>
          <w:sz w:val="20"/>
        </w:rPr>
        <w:t> </w:t>
      </w:r>
      <w:r>
        <w:rPr>
          <w:spacing w:val="-3"/>
          <w:sz w:val="20"/>
        </w:rPr>
        <w:t>himself.</w:t>
      </w:r>
    </w:p>
    <w:p>
      <w:pPr>
        <w:spacing w:line="254" w:lineRule="auto" w:before="123"/>
        <w:ind w:left="2721" w:right="1619" w:firstLine="0"/>
        <w:jc w:val="left"/>
        <w:rPr>
          <w:sz w:val="20"/>
        </w:rPr>
      </w:pPr>
      <w:r>
        <w:rPr>
          <w:sz w:val="20"/>
        </w:rPr>
        <w:t>State Trustees is appointed by VCAT as the administrator of his estate and sells Mr Ling’s home unit to pay the bond at the nursing home.</w:t>
      </w:r>
    </w:p>
    <w:p>
      <w:pPr>
        <w:spacing w:line="254" w:lineRule="auto" w:before="122"/>
        <w:ind w:left="2721" w:right="1673" w:firstLine="0"/>
        <w:jc w:val="left"/>
        <w:rPr>
          <w:sz w:val="20"/>
        </w:rPr>
      </w:pPr>
      <w:r>
        <w:rPr>
          <w:w w:val="105"/>
          <w:sz w:val="20"/>
        </w:rPr>
        <w:t>Due to section 53, on Mr Ling’s death his daughter will receive the refunded nursing home bond, as well as any other proceeds of sale that have not been spent on Mr Ling’s care. His grand-daughter will receive any other assets remaining in the estate that have not come from the sale of the home unit. There is no need to take the matter to Court for a decision.</w:t>
      </w:r>
    </w:p>
    <w:p>
      <w:pPr>
        <w:pStyle w:val="ListParagraph"/>
        <w:numPr>
          <w:ilvl w:val="1"/>
          <w:numId w:val="22"/>
        </w:numPr>
        <w:tabs>
          <w:tab w:pos="2381" w:val="left" w:leader="none"/>
          <w:tab w:pos="2382" w:val="left" w:leader="none"/>
        </w:tabs>
        <w:spacing w:line="242" w:lineRule="auto" w:before="117" w:after="0"/>
        <w:ind w:left="2381" w:right="1670" w:hanging="794"/>
        <w:jc w:val="left"/>
        <w:rPr>
          <w:sz w:val="21"/>
        </w:rPr>
      </w:pPr>
      <w:r>
        <w:rPr>
          <w:sz w:val="21"/>
        </w:rPr>
        <w:t>In its </w:t>
      </w:r>
      <w:r>
        <w:rPr>
          <w:spacing w:val="-3"/>
          <w:sz w:val="21"/>
        </w:rPr>
        <w:t>recent </w:t>
      </w:r>
      <w:r>
        <w:rPr>
          <w:sz w:val="21"/>
        </w:rPr>
        <w:t>review of </w:t>
      </w:r>
      <w:r>
        <w:rPr>
          <w:spacing w:val="-3"/>
          <w:sz w:val="21"/>
        </w:rPr>
        <w:t>guardianship </w:t>
      </w:r>
      <w:r>
        <w:rPr>
          <w:sz w:val="21"/>
        </w:rPr>
        <w:t>laws, the </w:t>
      </w:r>
      <w:r>
        <w:rPr>
          <w:spacing w:val="-3"/>
          <w:sz w:val="21"/>
        </w:rPr>
        <w:t>Commission </w:t>
      </w:r>
      <w:r>
        <w:rPr>
          <w:sz w:val="21"/>
        </w:rPr>
        <w:t>recommended </w:t>
      </w:r>
      <w:r>
        <w:rPr>
          <w:spacing w:val="-3"/>
          <w:sz w:val="21"/>
        </w:rPr>
        <w:t>that </w:t>
      </w:r>
      <w:r>
        <w:rPr>
          <w:sz w:val="21"/>
        </w:rPr>
        <w:t>a </w:t>
      </w:r>
      <w:r>
        <w:rPr>
          <w:spacing w:val="-3"/>
          <w:sz w:val="21"/>
        </w:rPr>
        <w:t>similar provision </w:t>
      </w:r>
      <w:r>
        <w:rPr>
          <w:sz w:val="21"/>
        </w:rPr>
        <w:t>be </w:t>
      </w:r>
      <w:r>
        <w:rPr>
          <w:spacing w:val="-3"/>
          <w:sz w:val="21"/>
        </w:rPr>
        <w:t>included </w:t>
      </w:r>
      <w:r>
        <w:rPr>
          <w:sz w:val="21"/>
        </w:rPr>
        <w:t>in new  </w:t>
      </w:r>
      <w:r>
        <w:rPr>
          <w:spacing w:val="-3"/>
          <w:sz w:val="21"/>
        </w:rPr>
        <w:t>guardianship  legislation  </w:t>
      </w:r>
      <w:r>
        <w:rPr>
          <w:sz w:val="21"/>
        </w:rPr>
        <w:t>and  extended  </w:t>
      </w:r>
      <w:r>
        <w:rPr>
          <w:spacing w:val="-3"/>
          <w:sz w:val="21"/>
        </w:rPr>
        <w:t>to  </w:t>
      </w:r>
      <w:r>
        <w:rPr>
          <w:sz w:val="21"/>
        </w:rPr>
        <w:t>intestacies  and </w:t>
      </w:r>
      <w:r>
        <w:rPr>
          <w:spacing w:val="-3"/>
          <w:sz w:val="21"/>
        </w:rPr>
        <w:t>joint </w:t>
      </w:r>
      <w:r>
        <w:rPr>
          <w:sz w:val="21"/>
        </w:rPr>
        <w:t>assets.</w:t>
      </w:r>
      <w:r>
        <w:rPr>
          <w:position w:val="7"/>
          <w:sz w:val="12"/>
        </w:rPr>
        <w:t>39 </w:t>
      </w:r>
      <w:r>
        <w:rPr>
          <w:sz w:val="21"/>
        </w:rPr>
        <w:t>The </w:t>
      </w:r>
      <w:r>
        <w:rPr>
          <w:spacing w:val="-3"/>
          <w:sz w:val="21"/>
        </w:rPr>
        <w:t>Commission </w:t>
      </w:r>
      <w:r>
        <w:rPr>
          <w:sz w:val="21"/>
        </w:rPr>
        <w:t>is </w:t>
      </w:r>
      <w:r>
        <w:rPr>
          <w:spacing w:val="-3"/>
          <w:sz w:val="21"/>
        </w:rPr>
        <w:t>aware that </w:t>
      </w:r>
      <w:r>
        <w:rPr>
          <w:sz w:val="21"/>
        </w:rPr>
        <w:t>its </w:t>
      </w:r>
      <w:r>
        <w:rPr>
          <w:spacing w:val="-3"/>
          <w:sz w:val="21"/>
        </w:rPr>
        <w:t>references </w:t>
      </w:r>
      <w:r>
        <w:rPr>
          <w:sz w:val="21"/>
        </w:rPr>
        <w:t>in this report </w:t>
      </w:r>
      <w:r>
        <w:rPr>
          <w:spacing w:val="-3"/>
          <w:sz w:val="21"/>
        </w:rPr>
        <w:t>to </w:t>
      </w:r>
      <w:r>
        <w:rPr>
          <w:sz w:val="21"/>
        </w:rPr>
        <w:t>section </w:t>
      </w:r>
      <w:r>
        <w:rPr>
          <w:spacing w:val="-3"/>
          <w:sz w:val="21"/>
        </w:rPr>
        <w:t>53 are </w:t>
      </w:r>
      <w:r>
        <w:rPr>
          <w:sz w:val="21"/>
        </w:rPr>
        <w:t>directed </w:t>
      </w:r>
      <w:r>
        <w:rPr>
          <w:spacing w:val="-3"/>
          <w:sz w:val="21"/>
        </w:rPr>
        <w:t>to </w:t>
      </w:r>
      <w:r>
        <w:rPr>
          <w:sz w:val="21"/>
        </w:rPr>
        <w:t>a </w:t>
      </w:r>
      <w:r>
        <w:rPr>
          <w:spacing w:val="-3"/>
          <w:sz w:val="21"/>
        </w:rPr>
        <w:t>provision that </w:t>
      </w:r>
      <w:r>
        <w:rPr>
          <w:sz w:val="21"/>
        </w:rPr>
        <w:t>is </w:t>
      </w:r>
      <w:r>
        <w:rPr>
          <w:spacing w:val="-4"/>
          <w:sz w:val="21"/>
        </w:rPr>
        <w:t>unlikely  </w:t>
      </w:r>
      <w:r>
        <w:rPr>
          <w:spacing w:val="-3"/>
          <w:sz w:val="21"/>
        </w:rPr>
        <w:t>to  remain  </w:t>
      </w:r>
      <w:r>
        <w:rPr>
          <w:sz w:val="21"/>
        </w:rPr>
        <w:t>in its </w:t>
      </w:r>
      <w:r>
        <w:rPr>
          <w:spacing w:val="-3"/>
          <w:sz w:val="21"/>
        </w:rPr>
        <w:t>current</w:t>
      </w:r>
      <w:r>
        <w:rPr>
          <w:spacing w:val="41"/>
          <w:sz w:val="21"/>
        </w:rPr>
        <w:t> </w:t>
      </w:r>
      <w:r>
        <w:rPr>
          <w:spacing w:val="-3"/>
          <w:sz w:val="21"/>
        </w:rPr>
        <w:t>form  </w:t>
      </w:r>
      <w:r>
        <w:rPr>
          <w:sz w:val="21"/>
        </w:rPr>
        <w:t>because the </w:t>
      </w:r>
      <w:r>
        <w:rPr>
          <w:spacing w:val="-3"/>
          <w:sz w:val="21"/>
        </w:rPr>
        <w:t>legislation </w:t>
      </w:r>
      <w:r>
        <w:rPr>
          <w:sz w:val="21"/>
        </w:rPr>
        <w:t>is being </w:t>
      </w:r>
      <w:r>
        <w:rPr>
          <w:spacing w:val="-3"/>
          <w:sz w:val="21"/>
        </w:rPr>
        <w:t>comprehensively revised. </w:t>
      </w:r>
      <w:r>
        <w:rPr>
          <w:spacing w:val="-4"/>
          <w:sz w:val="21"/>
        </w:rPr>
        <w:t>However, </w:t>
      </w:r>
      <w:r>
        <w:rPr>
          <w:spacing w:val="-3"/>
          <w:sz w:val="21"/>
        </w:rPr>
        <w:t>for </w:t>
      </w:r>
      <w:r>
        <w:rPr>
          <w:sz w:val="21"/>
        </w:rPr>
        <w:t>ease of exposition, the </w:t>
      </w:r>
      <w:r>
        <w:rPr>
          <w:spacing w:val="-4"/>
          <w:sz w:val="21"/>
        </w:rPr>
        <w:t>Commission’s </w:t>
      </w:r>
      <w:r>
        <w:rPr>
          <w:sz w:val="21"/>
        </w:rPr>
        <w:t>discussion</w:t>
      </w:r>
      <w:r>
        <w:rPr>
          <w:spacing w:val="12"/>
          <w:sz w:val="21"/>
        </w:rPr>
        <w:t> </w:t>
      </w:r>
      <w:r>
        <w:rPr>
          <w:sz w:val="21"/>
        </w:rPr>
        <w:t>in</w:t>
      </w:r>
      <w:r>
        <w:rPr>
          <w:spacing w:val="13"/>
          <w:sz w:val="21"/>
        </w:rPr>
        <w:t> </w:t>
      </w:r>
      <w:r>
        <w:rPr>
          <w:sz w:val="21"/>
        </w:rPr>
        <w:t>this</w:t>
      </w:r>
      <w:r>
        <w:rPr>
          <w:spacing w:val="13"/>
          <w:sz w:val="21"/>
        </w:rPr>
        <w:t> </w:t>
      </w:r>
      <w:r>
        <w:rPr>
          <w:sz w:val="21"/>
        </w:rPr>
        <w:t>report</w:t>
      </w:r>
      <w:r>
        <w:rPr>
          <w:spacing w:val="13"/>
          <w:sz w:val="21"/>
        </w:rPr>
        <w:t> </w:t>
      </w:r>
      <w:r>
        <w:rPr>
          <w:spacing w:val="-3"/>
          <w:sz w:val="21"/>
        </w:rPr>
        <w:t>concerns</w:t>
      </w:r>
      <w:r>
        <w:rPr>
          <w:spacing w:val="12"/>
          <w:sz w:val="21"/>
        </w:rPr>
        <w:t> </w:t>
      </w:r>
      <w:r>
        <w:rPr>
          <w:sz w:val="21"/>
        </w:rPr>
        <w:t>the</w:t>
      </w:r>
      <w:r>
        <w:rPr>
          <w:spacing w:val="13"/>
          <w:sz w:val="21"/>
        </w:rPr>
        <w:t> </w:t>
      </w:r>
      <w:r>
        <w:rPr>
          <w:spacing w:val="-3"/>
          <w:sz w:val="21"/>
        </w:rPr>
        <w:t>legislation</w:t>
      </w:r>
      <w:r>
        <w:rPr>
          <w:spacing w:val="13"/>
          <w:sz w:val="21"/>
        </w:rPr>
        <w:t> </w:t>
      </w:r>
      <w:r>
        <w:rPr>
          <w:sz w:val="21"/>
        </w:rPr>
        <w:t>as</w:t>
      </w:r>
      <w:r>
        <w:rPr>
          <w:spacing w:val="13"/>
          <w:sz w:val="21"/>
        </w:rPr>
        <w:t> </w:t>
      </w:r>
      <w:r>
        <w:rPr>
          <w:sz w:val="21"/>
        </w:rPr>
        <w:t>it</w:t>
      </w:r>
      <w:r>
        <w:rPr>
          <w:spacing w:val="12"/>
          <w:sz w:val="21"/>
        </w:rPr>
        <w:t> </w:t>
      </w:r>
      <w:r>
        <w:rPr>
          <w:sz w:val="21"/>
        </w:rPr>
        <w:t>applies</w:t>
      </w:r>
      <w:r>
        <w:rPr>
          <w:spacing w:val="13"/>
          <w:sz w:val="21"/>
        </w:rPr>
        <w:t> </w:t>
      </w:r>
      <w:r>
        <w:rPr>
          <w:sz w:val="21"/>
        </w:rPr>
        <w:t>at</w:t>
      </w:r>
      <w:r>
        <w:rPr>
          <w:spacing w:val="13"/>
          <w:sz w:val="21"/>
        </w:rPr>
        <w:t> </w:t>
      </w:r>
      <w:r>
        <w:rPr>
          <w:sz w:val="21"/>
        </w:rPr>
        <w:t>the</w:t>
      </w:r>
      <w:r>
        <w:rPr>
          <w:spacing w:val="13"/>
          <w:sz w:val="21"/>
        </w:rPr>
        <w:t> </w:t>
      </w:r>
      <w:r>
        <w:rPr>
          <w:sz w:val="21"/>
        </w:rPr>
        <w:t>time</w:t>
      </w:r>
      <w:r>
        <w:rPr>
          <w:spacing w:val="12"/>
          <w:sz w:val="21"/>
        </w:rPr>
        <w:t> </w:t>
      </w:r>
      <w:r>
        <w:rPr>
          <w:sz w:val="21"/>
        </w:rPr>
        <w:t>of</w:t>
      </w:r>
      <w:r>
        <w:rPr>
          <w:spacing w:val="13"/>
          <w:sz w:val="21"/>
        </w:rPr>
        <w:t> </w:t>
      </w:r>
      <w:r>
        <w:rPr>
          <w:spacing w:val="-3"/>
          <w:sz w:val="21"/>
        </w:rPr>
        <w:t>writing.</w:t>
      </w:r>
    </w:p>
    <w:p>
      <w:pPr>
        <w:pStyle w:val="BodyText"/>
        <w:spacing w:before="1"/>
        <w:rPr>
          <w:sz w:val="22"/>
        </w:rPr>
      </w:pPr>
    </w:p>
    <w:p>
      <w:pPr>
        <w:pStyle w:val="Heading4"/>
      </w:pPr>
      <w:r>
        <w:rPr>
          <w:color w:val="EC5A4F"/>
          <w:w w:val="115"/>
        </w:rPr>
        <w:t>Model for an exception to ademption</w:t>
      </w:r>
    </w:p>
    <w:p>
      <w:pPr>
        <w:pStyle w:val="ListParagraph"/>
        <w:numPr>
          <w:ilvl w:val="1"/>
          <w:numId w:val="22"/>
        </w:numPr>
        <w:tabs>
          <w:tab w:pos="2381" w:val="left" w:leader="none"/>
          <w:tab w:pos="2382" w:val="left" w:leader="none"/>
        </w:tabs>
        <w:spacing w:line="242" w:lineRule="auto" w:before="155" w:after="0"/>
        <w:ind w:left="2381" w:right="1740" w:hanging="794"/>
        <w:jc w:val="left"/>
        <w:rPr>
          <w:sz w:val="21"/>
        </w:rPr>
      </w:pPr>
      <w:r>
        <w:rPr>
          <w:w w:val="105"/>
          <w:sz w:val="21"/>
        </w:rPr>
        <w:t>It is the </w:t>
      </w:r>
      <w:r>
        <w:rPr>
          <w:spacing w:val="-4"/>
          <w:w w:val="105"/>
          <w:sz w:val="21"/>
        </w:rPr>
        <w:t>Commission’s </w:t>
      </w:r>
      <w:r>
        <w:rPr>
          <w:w w:val="105"/>
          <w:sz w:val="21"/>
        </w:rPr>
        <w:t>view </w:t>
      </w:r>
      <w:r>
        <w:rPr>
          <w:spacing w:val="-3"/>
          <w:w w:val="105"/>
          <w:sz w:val="21"/>
        </w:rPr>
        <w:t>that any legislative exception to </w:t>
      </w:r>
      <w:r>
        <w:rPr>
          <w:w w:val="105"/>
          <w:sz w:val="21"/>
        </w:rPr>
        <w:t>ademption </w:t>
      </w:r>
      <w:r>
        <w:rPr>
          <w:spacing w:val="-3"/>
          <w:w w:val="105"/>
          <w:sz w:val="21"/>
        </w:rPr>
        <w:t>that </w:t>
      </w:r>
      <w:r>
        <w:rPr>
          <w:w w:val="105"/>
          <w:sz w:val="21"/>
        </w:rPr>
        <w:t>is</w:t>
      </w:r>
      <w:r>
        <w:rPr>
          <w:spacing w:val="-36"/>
          <w:w w:val="105"/>
          <w:sz w:val="21"/>
        </w:rPr>
        <w:t> </w:t>
      </w:r>
      <w:r>
        <w:rPr>
          <w:spacing w:val="-3"/>
          <w:w w:val="105"/>
          <w:sz w:val="21"/>
        </w:rPr>
        <w:t>introduced for </w:t>
      </w:r>
      <w:r>
        <w:rPr>
          <w:w w:val="105"/>
          <w:sz w:val="21"/>
        </w:rPr>
        <w:t>persons</w:t>
      </w:r>
      <w:r>
        <w:rPr>
          <w:spacing w:val="-4"/>
          <w:w w:val="105"/>
          <w:sz w:val="21"/>
        </w:rPr>
        <w:t> </w:t>
      </w:r>
      <w:r>
        <w:rPr>
          <w:w w:val="105"/>
          <w:sz w:val="21"/>
        </w:rPr>
        <w:t>acting</w:t>
      </w:r>
      <w:r>
        <w:rPr>
          <w:spacing w:val="-3"/>
          <w:w w:val="105"/>
          <w:sz w:val="21"/>
        </w:rPr>
        <w:t> </w:t>
      </w:r>
      <w:r>
        <w:rPr>
          <w:w w:val="105"/>
          <w:sz w:val="21"/>
        </w:rPr>
        <w:t>under</w:t>
      </w:r>
      <w:r>
        <w:rPr>
          <w:spacing w:val="-3"/>
          <w:w w:val="105"/>
          <w:sz w:val="21"/>
        </w:rPr>
        <w:t> </w:t>
      </w:r>
      <w:r>
        <w:rPr>
          <w:w w:val="105"/>
          <w:sz w:val="21"/>
        </w:rPr>
        <w:t>an</w:t>
      </w:r>
      <w:r>
        <w:rPr>
          <w:spacing w:val="-3"/>
          <w:w w:val="105"/>
          <w:sz w:val="21"/>
        </w:rPr>
        <w:t> enduring </w:t>
      </w:r>
      <w:r>
        <w:rPr>
          <w:w w:val="105"/>
          <w:sz w:val="21"/>
        </w:rPr>
        <w:t>power</w:t>
      </w:r>
      <w:r>
        <w:rPr>
          <w:spacing w:val="-3"/>
          <w:w w:val="105"/>
          <w:sz w:val="21"/>
        </w:rPr>
        <w:t> </w:t>
      </w:r>
      <w:r>
        <w:rPr>
          <w:w w:val="105"/>
          <w:sz w:val="21"/>
        </w:rPr>
        <w:t>of</w:t>
      </w:r>
      <w:r>
        <w:rPr>
          <w:spacing w:val="-3"/>
          <w:w w:val="105"/>
          <w:sz w:val="21"/>
        </w:rPr>
        <w:t> </w:t>
      </w:r>
      <w:r>
        <w:rPr>
          <w:w w:val="105"/>
          <w:sz w:val="21"/>
        </w:rPr>
        <w:t>attorney</w:t>
      </w:r>
      <w:r>
        <w:rPr>
          <w:spacing w:val="-3"/>
          <w:w w:val="105"/>
          <w:sz w:val="21"/>
        </w:rPr>
        <w:t> </w:t>
      </w:r>
      <w:r>
        <w:rPr>
          <w:w w:val="105"/>
          <w:sz w:val="21"/>
        </w:rPr>
        <w:t>should</w:t>
      </w:r>
      <w:r>
        <w:rPr>
          <w:spacing w:val="-3"/>
          <w:w w:val="105"/>
          <w:sz w:val="21"/>
        </w:rPr>
        <w:t> </w:t>
      </w:r>
      <w:r>
        <w:rPr>
          <w:w w:val="105"/>
          <w:sz w:val="21"/>
        </w:rPr>
        <w:t>be</w:t>
      </w:r>
      <w:r>
        <w:rPr>
          <w:spacing w:val="-3"/>
          <w:w w:val="105"/>
          <w:sz w:val="21"/>
        </w:rPr>
        <w:t> </w:t>
      </w:r>
      <w:r>
        <w:rPr>
          <w:w w:val="105"/>
          <w:sz w:val="21"/>
        </w:rPr>
        <w:t>in</w:t>
      </w:r>
      <w:r>
        <w:rPr>
          <w:spacing w:val="-3"/>
          <w:w w:val="105"/>
          <w:sz w:val="21"/>
        </w:rPr>
        <w:t> </w:t>
      </w:r>
      <w:r>
        <w:rPr>
          <w:w w:val="105"/>
          <w:sz w:val="21"/>
        </w:rPr>
        <w:t>the</w:t>
      </w:r>
      <w:r>
        <w:rPr>
          <w:spacing w:val="-3"/>
          <w:w w:val="105"/>
          <w:sz w:val="21"/>
        </w:rPr>
        <w:t> </w:t>
      </w:r>
      <w:r>
        <w:rPr>
          <w:w w:val="105"/>
          <w:sz w:val="21"/>
        </w:rPr>
        <w:t>same</w:t>
      </w:r>
      <w:r>
        <w:rPr>
          <w:spacing w:val="-3"/>
          <w:w w:val="105"/>
          <w:sz w:val="21"/>
        </w:rPr>
        <w:t> terms</w:t>
      </w:r>
    </w:p>
    <w:p>
      <w:pPr>
        <w:pStyle w:val="BodyText"/>
        <w:spacing w:line="242" w:lineRule="auto" w:before="2"/>
        <w:ind w:left="2381" w:right="1675"/>
      </w:pPr>
      <w:r>
        <w:rPr>
          <w:w w:val="105"/>
        </w:rPr>
        <w:t>as the </w:t>
      </w:r>
      <w:r>
        <w:rPr>
          <w:spacing w:val="-3"/>
          <w:w w:val="105"/>
        </w:rPr>
        <w:t>legislative exception for administrators appointed </w:t>
      </w:r>
      <w:r>
        <w:rPr>
          <w:w w:val="105"/>
        </w:rPr>
        <w:t>by </w:t>
      </w:r>
      <w:r>
        <w:rPr>
          <w:spacing w:val="-8"/>
          <w:w w:val="105"/>
        </w:rPr>
        <w:t>VCAT. </w:t>
      </w:r>
      <w:r>
        <w:rPr>
          <w:w w:val="105"/>
        </w:rPr>
        <w:t>The </w:t>
      </w:r>
      <w:r>
        <w:rPr>
          <w:spacing w:val="-3"/>
          <w:w w:val="105"/>
        </w:rPr>
        <w:t>Commission </w:t>
      </w:r>
      <w:r>
        <w:rPr>
          <w:spacing w:val="-2"/>
          <w:w w:val="105"/>
        </w:rPr>
        <w:t>has </w:t>
      </w:r>
      <w:r>
        <w:rPr>
          <w:spacing w:val="-3"/>
          <w:w w:val="105"/>
        </w:rPr>
        <w:t>therefore </w:t>
      </w:r>
      <w:r>
        <w:rPr>
          <w:spacing w:val="-2"/>
          <w:w w:val="105"/>
        </w:rPr>
        <w:t>examined </w:t>
      </w:r>
      <w:r>
        <w:rPr>
          <w:w w:val="105"/>
        </w:rPr>
        <w:t>section </w:t>
      </w:r>
      <w:r>
        <w:rPr>
          <w:spacing w:val="-3"/>
          <w:w w:val="105"/>
        </w:rPr>
        <w:t>53 </w:t>
      </w:r>
      <w:r>
        <w:rPr>
          <w:w w:val="105"/>
        </w:rPr>
        <w:t>of the </w:t>
      </w:r>
      <w:r>
        <w:rPr>
          <w:spacing w:val="-3"/>
          <w:w w:val="105"/>
        </w:rPr>
        <w:t>Guardianship </w:t>
      </w:r>
      <w:r>
        <w:rPr>
          <w:w w:val="105"/>
        </w:rPr>
        <w:t>and </w:t>
      </w:r>
      <w:r>
        <w:rPr>
          <w:spacing w:val="-3"/>
          <w:w w:val="105"/>
        </w:rPr>
        <w:t>Administration </w:t>
      </w:r>
      <w:r>
        <w:rPr>
          <w:w w:val="105"/>
        </w:rPr>
        <w:t>Act </w:t>
      </w:r>
      <w:r>
        <w:rPr>
          <w:spacing w:val="-3"/>
          <w:w w:val="105"/>
        </w:rPr>
        <w:t>to determine </w:t>
      </w:r>
      <w:r>
        <w:rPr>
          <w:w w:val="105"/>
        </w:rPr>
        <w:t>if it is the best </w:t>
      </w:r>
      <w:r>
        <w:rPr>
          <w:spacing w:val="-3"/>
          <w:w w:val="105"/>
        </w:rPr>
        <w:t>way to </w:t>
      </w:r>
      <w:r>
        <w:rPr>
          <w:w w:val="105"/>
        </w:rPr>
        <w:t>provide </w:t>
      </w:r>
      <w:r>
        <w:rPr>
          <w:spacing w:val="-3"/>
          <w:w w:val="105"/>
        </w:rPr>
        <w:t>for </w:t>
      </w:r>
      <w:r>
        <w:rPr>
          <w:w w:val="105"/>
        </w:rPr>
        <w:t>an </w:t>
      </w:r>
      <w:r>
        <w:rPr>
          <w:spacing w:val="-3"/>
          <w:w w:val="105"/>
        </w:rPr>
        <w:t>exception to </w:t>
      </w:r>
      <w:r>
        <w:rPr>
          <w:w w:val="105"/>
        </w:rPr>
        <w:t>ademption </w:t>
      </w:r>
      <w:r>
        <w:rPr>
          <w:spacing w:val="-3"/>
          <w:w w:val="105"/>
        </w:rPr>
        <w:t>for </w:t>
      </w:r>
      <w:r>
        <w:rPr>
          <w:w w:val="105"/>
        </w:rPr>
        <w:t>both </w:t>
      </w:r>
      <w:r>
        <w:rPr>
          <w:spacing w:val="-3"/>
          <w:w w:val="105"/>
        </w:rPr>
        <w:t>administrators </w:t>
      </w:r>
      <w:r>
        <w:rPr>
          <w:w w:val="105"/>
        </w:rPr>
        <w:t>and persons acting under an </w:t>
      </w:r>
      <w:r>
        <w:rPr>
          <w:spacing w:val="-3"/>
          <w:w w:val="105"/>
        </w:rPr>
        <w:t>enduring </w:t>
      </w:r>
      <w:r>
        <w:rPr>
          <w:w w:val="105"/>
        </w:rPr>
        <w:t>power of </w:t>
      </w:r>
      <w:r>
        <w:rPr>
          <w:spacing w:val="-4"/>
          <w:w w:val="105"/>
        </w:rPr>
        <w:t>attorney.</w:t>
      </w:r>
    </w:p>
    <w:p>
      <w:pPr>
        <w:pStyle w:val="ListParagraph"/>
        <w:numPr>
          <w:ilvl w:val="1"/>
          <w:numId w:val="22"/>
        </w:numPr>
        <w:tabs>
          <w:tab w:pos="2381" w:val="left" w:leader="none"/>
          <w:tab w:pos="2382" w:val="left" w:leader="none"/>
        </w:tabs>
        <w:spacing w:line="242" w:lineRule="auto" w:before="125" w:after="0"/>
        <w:ind w:left="2381" w:right="1969" w:hanging="794"/>
        <w:jc w:val="left"/>
        <w:rPr>
          <w:sz w:val="21"/>
        </w:rPr>
      </w:pPr>
      <w:r>
        <w:rPr>
          <w:w w:val="105"/>
          <w:sz w:val="21"/>
        </w:rPr>
        <w:t>In </w:t>
      </w:r>
      <w:r>
        <w:rPr>
          <w:spacing w:val="-3"/>
          <w:w w:val="105"/>
          <w:sz w:val="21"/>
        </w:rPr>
        <w:t>considering </w:t>
      </w:r>
      <w:r>
        <w:rPr>
          <w:w w:val="105"/>
          <w:sz w:val="21"/>
        </w:rPr>
        <w:t>the most </w:t>
      </w:r>
      <w:r>
        <w:rPr>
          <w:spacing w:val="-3"/>
          <w:w w:val="105"/>
          <w:sz w:val="21"/>
        </w:rPr>
        <w:t>appropriate </w:t>
      </w:r>
      <w:r>
        <w:rPr>
          <w:w w:val="105"/>
          <w:sz w:val="21"/>
        </w:rPr>
        <w:t>model </w:t>
      </w:r>
      <w:r>
        <w:rPr>
          <w:spacing w:val="-3"/>
          <w:w w:val="105"/>
          <w:sz w:val="21"/>
        </w:rPr>
        <w:t>for </w:t>
      </w:r>
      <w:r>
        <w:rPr>
          <w:w w:val="105"/>
          <w:sz w:val="21"/>
        </w:rPr>
        <w:t>a </w:t>
      </w:r>
      <w:r>
        <w:rPr>
          <w:spacing w:val="-3"/>
          <w:w w:val="105"/>
          <w:sz w:val="21"/>
        </w:rPr>
        <w:t>legislative exception, </w:t>
      </w:r>
      <w:r>
        <w:rPr>
          <w:w w:val="105"/>
          <w:sz w:val="21"/>
        </w:rPr>
        <w:t>the </w:t>
      </w:r>
      <w:r>
        <w:rPr>
          <w:spacing w:val="-3"/>
          <w:w w:val="105"/>
          <w:sz w:val="21"/>
        </w:rPr>
        <w:t>Commission </w:t>
      </w:r>
      <w:r>
        <w:rPr>
          <w:spacing w:val="-2"/>
          <w:w w:val="105"/>
          <w:sz w:val="21"/>
        </w:rPr>
        <w:t>has </w:t>
      </w:r>
      <w:r>
        <w:rPr>
          <w:spacing w:val="-3"/>
          <w:w w:val="105"/>
          <w:sz w:val="21"/>
        </w:rPr>
        <w:t>taken </w:t>
      </w:r>
      <w:r>
        <w:rPr>
          <w:spacing w:val="-4"/>
          <w:w w:val="105"/>
          <w:sz w:val="21"/>
        </w:rPr>
        <w:t>into </w:t>
      </w:r>
      <w:r>
        <w:rPr>
          <w:spacing w:val="-3"/>
          <w:w w:val="105"/>
          <w:sz w:val="21"/>
        </w:rPr>
        <w:t>account legislation </w:t>
      </w:r>
      <w:r>
        <w:rPr>
          <w:w w:val="105"/>
          <w:sz w:val="21"/>
        </w:rPr>
        <w:t>in other jurisdictions. A </w:t>
      </w:r>
      <w:r>
        <w:rPr>
          <w:spacing w:val="-3"/>
          <w:w w:val="105"/>
          <w:sz w:val="21"/>
        </w:rPr>
        <w:t>legislative </w:t>
      </w:r>
      <w:r>
        <w:rPr>
          <w:w w:val="105"/>
          <w:sz w:val="21"/>
        </w:rPr>
        <w:t>modification of the ademption rule applies </w:t>
      </w:r>
      <w:r>
        <w:rPr>
          <w:spacing w:val="-3"/>
          <w:w w:val="105"/>
          <w:sz w:val="21"/>
        </w:rPr>
        <w:t>to </w:t>
      </w:r>
      <w:r>
        <w:rPr>
          <w:w w:val="105"/>
          <w:sz w:val="21"/>
        </w:rPr>
        <w:t>acts of </w:t>
      </w:r>
      <w:r>
        <w:rPr>
          <w:spacing w:val="-3"/>
          <w:w w:val="105"/>
          <w:sz w:val="21"/>
        </w:rPr>
        <w:t>substitute </w:t>
      </w:r>
      <w:r>
        <w:rPr>
          <w:w w:val="105"/>
          <w:sz w:val="21"/>
        </w:rPr>
        <w:t>decision </w:t>
      </w:r>
      <w:r>
        <w:rPr>
          <w:spacing w:val="-3"/>
          <w:w w:val="105"/>
          <w:sz w:val="21"/>
        </w:rPr>
        <w:t>makers </w:t>
      </w:r>
      <w:r>
        <w:rPr>
          <w:w w:val="105"/>
          <w:sz w:val="21"/>
        </w:rPr>
        <w:t>in South </w:t>
      </w:r>
      <w:r>
        <w:rPr>
          <w:spacing w:val="-3"/>
          <w:w w:val="105"/>
          <w:sz w:val="21"/>
        </w:rPr>
        <w:t>Australia, Queensland </w:t>
      </w:r>
      <w:r>
        <w:rPr>
          <w:w w:val="105"/>
          <w:sz w:val="21"/>
        </w:rPr>
        <w:t>and New South</w:t>
      </w:r>
      <w:r>
        <w:rPr>
          <w:spacing w:val="24"/>
          <w:w w:val="105"/>
          <w:sz w:val="21"/>
        </w:rPr>
        <w:t> </w:t>
      </w:r>
      <w:r>
        <w:rPr>
          <w:spacing w:val="-3"/>
          <w:w w:val="105"/>
          <w:sz w:val="21"/>
        </w:rPr>
        <w:t>Wales.</w:t>
      </w:r>
    </w:p>
    <w:p>
      <w:pPr>
        <w:pStyle w:val="ListParagraph"/>
        <w:numPr>
          <w:ilvl w:val="1"/>
          <w:numId w:val="22"/>
        </w:numPr>
        <w:tabs>
          <w:tab w:pos="2381" w:val="left" w:leader="none"/>
          <w:tab w:pos="2382" w:val="left" w:leader="none"/>
        </w:tabs>
        <w:spacing w:line="242" w:lineRule="auto" w:before="124" w:after="0"/>
        <w:ind w:left="2381" w:right="1653" w:hanging="794"/>
        <w:jc w:val="left"/>
        <w:rPr>
          <w:sz w:val="21"/>
        </w:rPr>
      </w:pPr>
      <w:r>
        <w:rPr>
          <w:w w:val="105"/>
          <w:sz w:val="21"/>
        </w:rPr>
        <w:t>Section </w:t>
      </w:r>
      <w:r>
        <w:rPr>
          <w:spacing w:val="-3"/>
          <w:w w:val="105"/>
          <w:sz w:val="21"/>
        </w:rPr>
        <w:t>53 </w:t>
      </w:r>
      <w:r>
        <w:rPr>
          <w:w w:val="105"/>
          <w:sz w:val="21"/>
        </w:rPr>
        <w:t>of the </w:t>
      </w:r>
      <w:r>
        <w:rPr>
          <w:spacing w:val="-3"/>
          <w:w w:val="105"/>
          <w:sz w:val="21"/>
        </w:rPr>
        <w:t>Guardianship </w:t>
      </w:r>
      <w:r>
        <w:rPr>
          <w:w w:val="105"/>
          <w:sz w:val="21"/>
        </w:rPr>
        <w:t>and </w:t>
      </w:r>
      <w:r>
        <w:rPr>
          <w:spacing w:val="-3"/>
          <w:w w:val="105"/>
          <w:sz w:val="21"/>
        </w:rPr>
        <w:t>Administration </w:t>
      </w:r>
      <w:r>
        <w:rPr>
          <w:w w:val="105"/>
          <w:sz w:val="21"/>
        </w:rPr>
        <w:t>Act </w:t>
      </w:r>
      <w:r>
        <w:rPr>
          <w:spacing w:val="-2"/>
          <w:w w:val="105"/>
          <w:sz w:val="21"/>
        </w:rPr>
        <w:t>has </w:t>
      </w:r>
      <w:r>
        <w:rPr>
          <w:spacing w:val="-3"/>
          <w:w w:val="105"/>
          <w:sz w:val="21"/>
        </w:rPr>
        <w:t>proved to </w:t>
      </w:r>
      <w:r>
        <w:rPr>
          <w:w w:val="105"/>
          <w:sz w:val="21"/>
        </w:rPr>
        <w:t>be an effective </w:t>
      </w:r>
      <w:r>
        <w:rPr>
          <w:spacing w:val="-3"/>
          <w:w w:val="105"/>
          <w:sz w:val="21"/>
        </w:rPr>
        <w:t>way </w:t>
      </w:r>
      <w:r>
        <w:rPr>
          <w:w w:val="105"/>
          <w:sz w:val="21"/>
        </w:rPr>
        <w:t>of </w:t>
      </w:r>
      <w:r>
        <w:rPr>
          <w:spacing w:val="-3"/>
          <w:w w:val="105"/>
          <w:sz w:val="21"/>
        </w:rPr>
        <w:t>avoiding </w:t>
      </w:r>
      <w:r>
        <w:rPr>
          <w:w w:val="105"/>
          <w:sz w:val="21"/>
        </w:rPr>
        <w:t>the effects of ademption where an </w:t>
      </w:r>
      <w:r>
        <w:rPr>
          <w:spacing w:val="-3"/>
          <w:w w:val="105"/>
          <w:sz w:val="21"/>
        </w:rPr>
        <w:t>administrator </w:t>
      </w:r>
      <w:r>
        <w:rPr>
          <w:spacing w:val="-2"/>
          <w:w w:val="105"/>
          <w:sz w:val="21"/>
        </w:rPr>
        <w:t>has </w:t>
      </w:r>
      <w:r>
        <w:rPr>
          <w:w w:val="105"/>
          <w:sz w:val="21"/>
        </w:rPr>
        <w:t>sold</w:t>
      </w:r>
      <w:r>
        <w:rPr>
          <w:spacing w:val="9"/>
          <w:w w:val="105"/>
          <w:sz w:val="21"/>
        </w:rPr>
        <w:t> </w:t>
      </w:r>
      <w:r>
        <w:rPr>
          <w:w w:val="105"/>
          <w:sz w:val="21"/>
        </w:rPr>
        <w:t>property.</w:t>
      </w:r>
    </w:p>
    <w:p>
      <w:pPr>
        <w:pStyle w:val="BodyText"/>
        <w:spacing w:line="242" w:lineRule="auto" w:before="2"/>
        <w:ind w:left="2381" w:right="2176"/>
      </w:pPr>
      <w:r>
        <w:rPr>
          <w:w w:val="105"/>
        </w:rPr>
        <w:t>The </w:t>
      </w:r>
      <w:r>
        <w:rPr>
          <w:spacing w:val="-3"/>
          <w:w w:val="105"/>
        </w:rPr>
        <w:t>Commission </w:t>
      </w:r>
      <w:r>
        <w:rPr>
          <w:spacing w:val="-2"/>
          <w:w w:val="105"/>
        </w:rPr>
        <w:t>has </w:t>
      </w:r>
      <w:r>
        <w:rPr>
          <w:spacing w:val="-3"/>
          <w:w w:val="105"/>
        </w:rPr>
        <w:t>concluded that </w:t>
      </w:r>
      <w:r>
        <w:rPr>
          <w:w w:val="105"/>
        </w:rPr>
        <w:t>it should be </w:t>
      </w:r>
      <w:r>
        <w:rPr>
          <w:spacing w:val="-3"/>
          <w:w w:val="105"/>
        </w:rPr>
        <w:t>retained </w:t>
      </w:r>
      <w:r>
        <w:rPr>
          <w:w w:val="105"/>
        </w:rPr>
        <w:t>with some modifications. The modifications would address the </w:t>
      </w:r>
      <w:r>
        <w:rPr>
          <w:spacing w:val="-3"/>
          <w:w w:val="105"/>
        </w:rPr>
        <w:t>following </w:t>
      </w:r>
      <w:r>
        <w:rPr>
          <w:w w:val="105"/>
        </w:rPr>
        <w:t>issues:</w:t>
      </w:r>
    </w:p>
    <w:p>
      <w:pPr>
        <w:pStyle w:val="ListParagraph"/>
        <w:numPr>
          <w:ilvl w:val="2"/>
          <w:numId w:val="22"/>
        </w:numPr>
        <w:tabs>
          <w:tab w:pos="2721" w:val="left" w:leader="none"/>
          <w:tab w:pos="2722" w:val="left" w:leader="none"/>
        </w:tabs>
        <w:spacing w:line="242" w:lineRule="auto" w:before="122" w:after="0"/>
        <w:ind w:left="2721" w:right="1988" w:hanging="340"/>
        <w:jc w:val="left"/>
        <w:rPr>
          <w:sz w:val="21"/>
        </w:rPr>
      </w:pPr>
      <w:r>
        <w:rPr>
          <w:sz w:val="21"/>
        </w:rPr>
        <w:t>the ability of beneficiaries </w:t>
      </w:r>
      <w:r>
        <w:rPr>
          <w:spacing w:val="-3"/>
          <w:sz w:val="21"/>
        </w:rPr>
        <w:t>to </w:t>
      </w:r>
      <w:r>
        <w:rPr>
          <w:sz w:val="21"/>
        </w:rPr>
        <w:t>seek </w:t>
      </w:r>
      <w:r>
        <w:rPr>
          <w:spacing w:val="-3"/>
          <w:sz w:val="21"/>
        </w:rPr>
        <w:t>relief </w:t>
      </w:r>
      <w:r>
        <w:rPr>
          <w:sz w:val="21"/>
        </w:rPr>
        <w:t>where an act of an </w:t>
      </w:r>
      <w:r>
        <w:rPr>
          <w:spacing w:val="-3"/>
          <w:sz w:val="21"/>
        </w:rPr>
        <w:t>administrator  </w:t>
      </w:r>
      <w:r>
        <w:rPr>
          <w:sz w:val="21"/>
        </w:rPr>
        <w:t>in </w:t>
      </w:r>
      <w:r>
        <w:rPr>
          <w:spacing w:val="-3"/>
          <w:sz w:val="21"/>
        </w:rPr>
        <w:t>selling  </w:t>
      </w:r>
      <w:r>
        <w:rPr>
          <w:sz w:val="21"/>
        </w:rPr>
        <w:t>or </w:t>
      </w:r>
      <w:r>
        <w:rPr>
          <w:spacing w:val="-3"/>
          <w:sz w:val="21"/>
        </w:rPr>
        <w:t>disposing </w:t>
      </w:r>
      <w:r>
        <w:rPr>
          <w:sz w:val="21"/>
        </w:rPr>
        <w:t>of a </w:t>
      </w:r>
      <w:r>
        <w:rPr>
          <w:spacing w:val="-3"/>
          <w:sz w:val="21"/>
        </w:rPr>
        <w:t>represented person’s </w:t>
      </w:r>
      <w:r>
        <w:rPr>
          <w:sz w:val="21"/>
        </w:rPr>
        <w:t>property leads </w:t>
      </w:r>
      <w:r>
        <w:rPr>
          <w:spacing w:val="-3"/>
          <w:sz w:val="21"/>
        </w:rPr>
        <w:t>to </w:t>
      </w:r>
      <w:r>
        <w:rPr>
          <w:sz w:val="21"/>
        </w:rPr>
        <w:t>an </w:t>
      </w:r>
      <w:r>
        <w:rPr>
          <w:spacing w:val="-3"/>
          <w:sz w:val="21"/>
        </w:rPr>
        <w:t>unjust</w:t>
      </w:r>
      <w:r>
        <w:rPr>
          <w:spacing w:val="13"/>
          <w:sz w:val="21"/>
        </w:rPr>
        <w:t> </w:t>
      </w:r>
      <w:r>
        <w:rPr>
          <w:spacing w:val="-3"/>
          <w:sz w:val="21"/>
        </w:rPr>
        <w:t>outcome</w:t>
      </w:r>
    </w:p>
    <w:p>
      <w:pPr>
        <w:pStyle w:val="ListParagraph"/>
        <w:numPr>
          <w:ilvl w:val="2"/>
          <w:numId w:val="22"/>
        </w:numPr>
        <w:tabs>
          <w:tab w:pos="2721" w:val="left" w:leader="none"/>
          <w:tab w:pos="2722" w:val="left" w:leader="none"/>
        </w:tabs>
        <w:spacing w:line="240" w:lineRule="auto" w:before="123" w:after="0"/>
        <w:ind w:left="2721" w:right="0" w:hanging="340"/>
        <w:jc w:val="left"/>
        <w:rPr>
          <w:sz w:val="21"/>
        </w:rPr>
      </w:pPr>
      <w:r>
        <w:rPr>
          <w:w w:val="105"/>
          <w:sz w:val="21"/>
        </w:rPr>
        <w:t>the </w:t>
      </w:r>
      <w:r>
        <w:rPr>
          <w:spacing w:val="-3"/>
          <w:w w:val="105"/>
          <w:sz w:val="21"/>
        </w:rPr>
        <w:t>treatment </w:t>
      </w:r>
      <w:r>
        <w:rPr>
          <w:w w:val="105"/>
          <w:sz w:val="21"/>
        </w:rPr>
        <w:t>of </w:t>
      </w:r>
      <w:r>
        <w:rPr>
          <w:spacing w:val="-3"/>
          <w:w w:val="105"/>
          <w:sz w:val="21"/>
        </w:rPr>
        <w:t>income generated </w:t>
      </w:r>
      <w:r>
        <w:rPr>
          <w:w w:val="105"/>
          <w:sz w:val="21"/>
        </w:rPr>
        <w:t>by sale</w:t>
      </w:r>
      <w:r>
        <w:rPr>
          <w:spacing w:val="40"/>
          <w:w w:val="105"/>
          <w:sz w:val="21"/>
        </w:rPr>
        <w:t> </w:t>
      </w:r>
      <w:r>
        <w:rPr>
          <w:w w:val="105"/>
          <w:sz w:val="21"/>
        </w:rPr>
        <w:t>proceeds</w:t>
      </w:r>
    </w:p>
    <w:p>
      <w:pPr>
        <w:pStyle w:val="ListParagraph"/>
        <w:numPr>
          <w:ilvl w:val="2"/>
          <w:numId w:val="22"/>
        </w:numPr>
        <w:tabs>
          <w:tab w:pos="2721" w:val="left" w:leader="none"/>
          <w:tab w:pos="2722" w:val="left" w:leader="none"/>
        </w:tabs>
        <w:spacing w:line="240" w:lineRule="auto" w:before="124" w:after="0"/>
        <w:ind w:left="2721" w:right="0" w:hanging="340"/>
        <w:jc w:val="left"/>
        <w:rPr>
          <w:sz w:val="21"/>
        </w:rPr>
      </w:pPr>
      <w:r>
        <w:rPr>
          <w:spacing w:val="-3"/>
          <w:w w:val="105"/>
          <w:sz w:val="21"/>
        </w:rPr>
        <w:t>account-keeping</w:t>
      </w:r>
      <w:r>
        <w:rPr>
          <w:spacing w:val="5"/>
          <w:w w:val="105"/>
          <w:sz w:val="21"/>
        </w:rPr>
        <w:t> </w:t>
      </w:r>
      <w:r>
        <w:rPr>
          <w:spacing w:val="-3"/>
          <w:w w:val="105"/>
          <w:sz w:val="21"/>
        </w:rPr>
        <w:t>obligations</w:t>
      </w:r>
    </w:p>
    <w:p>
      <w:pPr>
        <w:pStyle w:val="ListParagraph"/>
        <w:numPr>
          <w:ilvl w:val="2"/>
          <w:numId w:val="22"/>
        </w:numPr>
        <w:tabs>
          <w:tab w:pos="2721" w:val="left" w:leader="none"/>
          <w:tab w:pos="2722" w:val="left" w:leader="none"/>
        </w:tabs>
        <w:spacing w:line="240" w:lineRule="auto" w:before="123" w:after="0"/>
        <w:ind w:left="2721" w:right="0" w:hanging="340"/>
        <w:jc w:val="left"/>
        <w:rPr>
          <w:sz w:val="21"/>
        </w:rPr>
      </w:pPr>
      <w:r>
        <w:rPr>
          <w:w w:val="105"/>
          <w:sz w:val="21"/>
        </w:rPr>
        <w:t>the will-making capacity of </w:t>
      </w:r>
      <w:r>
        <w:rPr>
          <w:spacing w:val="-3"/>
          <w:w w:val="105"/>
          <w:sz w:val="21"/>
        </w:rPr>
        <w:t>represented</w:t>
      </w:r>
      <w:r>
        <w:rPr>
          <w:spacing w:val="22"/>
          <w:w w:val="105"/>
          <w:sz w:val="21"/>
        </w:rPr>
        <w:t> </w:t>
      </w:r>
      <w:r>
        <w:rPr>
          <w:w w:val="105"/>
          <w:sz w:val="21"/>
        </w:rPr>
        <w:t>persons.</w:t>
      </w:r>
    </w:p>
    <w:p>
      <w:pPr>
        <w:pStyle w:val="ListParagraph"/>
        <w:numPr>
          <w:ilvl w:val="1"/>
          <w:numId w:val="22"/>
        </w:numPr>
        <w:tabs>
          <w:tab w:pos="2381" w:val="left" w:leader="none"/>
          <w:tab w:pos="2382" w:val="left" w:leader="none"/>
        </w:tabs>
        <w:spacing w:line="242" w:lineRule="auto" w:before="124" w:after="0"/>
        <w:ind w:left="2381" w:right="1856" w:hanging="794"/>
        <w:jc w:val="left"/>
        <w:rPr>
          <w:sz w:val="21"/>
        </w:rPr>
      </w:pPr>
      <w:r>
        <w:rPr>
          <w:w w:val="105"/>
          <w:sz w:val="21"/>
        </w:rPr>
        <w:t>These issues </w:t>
      </w:r>
      <w:r>
        <w:rPr>
          <w:spacing w:val="-3"/>
          <w:w w:val="105"/>
          <w:sz w:val="21"/>
        </w:rPr>
        <w:t>are </w:t>
      </w:r>
      <w:r>
        <w:rPr>
          <w:w w:val="105"/>
          <w:sz w:val="21"/>
        </w:rPr>
        <w:t>discussed in the </w:t>
      </w:r>
      <w:r>
        <w:rPr>
          <w:spacing w:val="-3"/>
          <w:w w:val="105"/>
          <w:sz w:val="21"/>
        </w:rPr>
        <w:t>following </w:t>
      </w:r>
      <w:r>
        <w:rPr>
          <w:w w:val="105"/>
          <w:sz w:val="21"/>
        </w:rPr>
        <w:t>sections. The </w:t>
      </w:r>
      <w:r>
        <w:rPr>
          <w:spacing w:val="-3"/>
          <w:w w:val="105"/>
          <w:sz w:val="21"/>
        </w:rPr>
        <w:t>Commission </w:t>
      </w:r>
      <w:r>
        <w:rPr>
          <w:w w:val="105"/>
          <w:sz w:val="21"/>
        </w:rPr>
        <w:t>then proposes </w:t>
      </w:r>
      <w:r>
        <w:rPr>
          <w:spacing w:val="-3"/>
          <w:w w:val="105"/>
          <w:sz w:val="21"/>
        </w:rPr>
        <w:t>that </w:t>
      </w:r>
      <w:r>
        <w:rPr>
          <w:w w:val="105"/>
          <w:sz w:val="21"/>
        </w:rPr>
        <w:t>an </w:t>
      </w:r>
      <w:r>
        <w:rPr>
          <w:spacing w:val="-3"/>
          <w:w w:val="105"/>
          <w:sz w:val="21"/>
        </w:rPr>
        <w:t>equivalent provision to </w:t>
      </w:r>
      <w:r>
        <w:rPr>
          <w:w w:val="105"/>
          <w:sz w:val="21"/>
        </w:rPr>
        <w:t>section </w:t>
      </w:r>
      <w:r>
        <w:rPr>
          <w:spacing w:val="-4"/>
          <w:w w:val="105"/>
          <w:sz w:val="21"/>
        </w:rPr>
        <w:t>53, </w:t>
      </w:r>
      <w:r>
        <w:rPr>
          <w:w w:val="105"/>
          <w:sz w:val="21"/>
        </w:rPr>
        <w:t>as amended in </w:t>
      </w:r>
      <w:r>
        <w:rPr>
          <w:spacing w:val="-3"/>
          <w:w w:val="105"/>
          <w:sz w:val="21"/>
        </w:rPr>
        <w:t>accordance </w:t>
      </w:r>
      <w:r>
        <w:rPr>
          <w:w w:val="105"/>
          <w:sz w:val="21"/>
        </w:rPr>
        <w:t>with its </w:t>
      </w:r>
      <w:r>
        <w:rPr>
          <w:spacing w:val="-3"/>
          <w:w w:val="105"/>
          <w:sz w:val="21"/>
        </w:rPr>
        <w:t>recommendations, </w:t>
      </w:r>
      <w:r>
        <w:rPr>
          <w:w w:val="105"/>
          <w:sz w:val="21"/>
        </w:rPr>
        <w:t>should be </w:t>
      </w:r>
      <w:r>
        <w:rPr>
          <w:spacing w:val="-3"/>
          <w:w w:val="105"/>
          <w:sz w:val="21"/>
        </w:rPr>
        <w:t>introduced </w:t>
      </w:r>
      <w:r>
        <w:rPr>
          <w:spacing w:val="-4"/>
          <w:w w:val="105"/>
          <w:sz w:val="21"/>
        </w:rPr>
        <w:t>into </w:t>
      </w:r>
      <w:r>
        <w:rPr>
          <w:w w:val="105"/>
          <w:sz w:val="21"/>
        </w:rPr>
        <w:t>the </w:t>
      </w:r>
      <w:r>
        <w:rPr>
          <w:i/>
          <w:w w:val="105"/>
          <w:sz w:val="21"/>
        </w:rPr>
        <w:t>Instruments Act </w:t>
      </w:r>
      <w:r>
        <w:rPr>
          <w:i/>
          <w:spacing w:val="-6"/>
          <w:w w:val="105"/>
          <w:sz w:val="21"/>
        </w:rPr>
        <w:t>1958 </w:t>
      </w:r>
      <w:r>
        <w:rPr>
          <w:w w:val="105"/>
          <w:sz w:val="21"/>
        </w:rPr>
        <w:t>(Vic) </w:t>
      </w:r>
      <w:r>
        <w:rPr>
          <w:spacing w:val="-3"/>
          <w:w w:val="105"/>
          <w:sz w:val="21"/>
        </w:rPr>
        <w:t>for </w:t>
      </w:r>
      <w:r>
        <w:rPr>
          <w:w w:val="105"/>
          <w:sz w:val="21"/>
        </w:rPr>
        <w:t>people acting under an </w:t>
      </w:r>
      <w:r>
        <w:rPr>
          <w:spacing w:val="-3"/>
          <w:w w:val="105"/>
          <w:sz w:val="21"/>
        </w:rPr>
        <w:t>enduring </w:t>
      </w:r>
      <w:r>
        <w:rPr>
          <w:w w:val="105"/>
          <w:sz w:val="21"/>
        </w:rPr>
        <w:t>power of</w:t>
      </w:r>
      <w:r>
        <w:rPr>
          <w:spacing w:val="32"/>
          <w:w w:val="105"/>
          <w:sz w:val="21"/>
        </w:rPr>
        <w:t> </w:t>
      </w:r>
      <w:r>
        <w:rPr>
          <w:spacing w:val="-4"/>
          <w:w w:val="105"/>
          <w:sz w:val="21"/>
        </w:rPr>
        <w:t>attorney.</w:t>
      </w:r>
    </w:p>
    <w:p>
      <w:pPr>
        <w:pStyle w:val="BodyText"/>
        <w:spacing w:before="12"/>
        <w:rPr>
          <w:sz w:val="19"/>
        </w:rPr>
      </w:pPr>
      <w:r>
        <w:rPr/>
        <w:pict>
          <v:line style="position:absolute;mso-position-horizontal-relative:page;mso-position-vertical-relative:paragraph;z-index:1976;mso-wrap-distance-left:0;mso-wrap-distance-right:0" from="79.370102pt,14.655772pt" to="515.905102pt,14.655772pt" stroked="true" strokeweight="1pt" strokecolor="#f9ceca">
            <v:stroke dashstyle="solid"/>
            <w10:wrap type="topAndBottom"/>
          </v:line>
        </w:pict>
      </w:r>
    </w:p>
    <w:p>
      <w:pPr>
        <w:tabs>
          <w:tab w:pos="1587" w:val="left" w:leader="none"/>
          <w:tab w:pos="2381" w:val="left" w:leader="none"/>
        </w:tabs>
        <w:spacing w:before="27"/>
        <w:ind w:left="720" w:right="0" w:firstLine="0"/>
        <w:jc w:val="left"/>
        <w:rPr>
          <w:sz w:val="13"/>
        </w:rPr>
      </w:pPr>
      <w:r>
        <w:rPr>
          <w:b/>
          <w:color w:val="EC5A4F"/>
          <w:w w:val="105"/>
          <w:sz w:val="24"/>
        </w:rPr>
        <w:t>42</w:t>
        <w:tab/>
      </w:r>
      <w:r>
        <w:rPr>
          <w:w w:val="105"/>
          <w:position w:val="1"/>
          <w:sz w:val="13"/>
        </w:rPr>
        <w:t>39</w:t>
        <w:tab/>
        <w:t>Victorian</w:t>
      </w:r>
      <w:r>
        <w:rPr>
          <w:spacing w:val="4"/>
          <w:w w:val="105"/>
          <w:position w:val="1"/>
          <w:sz w:val="13"/>
        </w:rPr>
        <w:t> </w:t>
      </w:r>
      <w:r>
        <w:rPr>
          <w:w w:val="105"/>
          <w:position w:val="1"/>
          <w:sz w:val="13"/>
        </w:rPr>
        <w:t>Law</w:t>
      </w:r>
      <w:r>
        <w:rPr>
          <w:spacing w:val="5"/>
          <w:w w:val="105"/>
          <w:position w:val="1"/>
          <w:sz w:val="13"/>
        </w:rPr>
        <w:t> </w:t>
      </w:r>
      <w:r>
        <w:rPr>
          <w:w w:val="105"/>
          <w:position w:val="1"/>
          <w:sz w:val="13"/>
        </w:rPr>
        <w:t>Reform</w:t>
      </w:r>
      <w:r>
        <w:rPr>
          <w:spacing w:val="4"/>
          <w:w w:val="105"/>
          <w:position w:val="1"/>
          <w:sz w:val="13"/>
        </w:rPr>
        <w:t> </w:t>
      </w:r>
      <w:r>
        <w:rPr>
          <w:w w:val="105"/>
          <w:position w:val="1"/>
          <w:sz w:val="13"/>
        </w:rPr>
        <w:t>Commission,</w:t>
      </w:r>
      <w:r>
        <w:rPr>
          <w:spacing w:val="5"/>
          <w:w w:val="105"/>
          <w:position w:val="1"/>
          <w:sz w:val="13"/>
        </w:rPr>
        <w:t> </w:t>
      </w:r>
      <w:r>
        <w:rPr>
          <w:i/>
          <w:w w:val="105"/>
          <w:position w:val="1"/>
          <w:sz w:val="13"/>
        </w:rPr>
        <w:t>Guardianship</w:t>
      </w:r>
      <w:r>
        <w:rPr>
          <w:w w:val="105"/>
          <w:position w:val="1"/>
          <w:sz w:val="13"/>
        </w:rPr>
        <w:t>,</w:t>
      </w:r>
      <w:r>
        <w:rPr>
          <w:spacing w:val="4"/>
          <w:w w:val="105"/>
          <w:position w:val="1"/>
          <w:sz w:val="13"/>
        </w:rPr>
        <w:t> </w:t>
      </w:r>
      <w:r>
        <w:rPr>
          <w:w w:val="105"/>
          <w:position w:val="1"/>
          <w:sz w:val="13"/>
        </w:rPr>
        <w:t>Final</w:t>
      </w:r>
      <w:r>
        <w:rPr>
          <w:spacing w:val="5"/>
          <w:w w:val="105"/>
          <w:position w:val="1"/>
          <w:sz w:val="13"/>
        </w:rPr>
        <w:t> </w:t>
      </w:r>
      <w:r>
        <w:rPr>
          <w:spacing w:val="2"/>
          <w:w w:val="105"/>
          <w:position w:val="1"/>
          <w:sz w:val="13"/>
        </w:rPr>
        <w:t>Report</w:t>
      </w:r>
      <w:r>
        <w:rPr>
          <w:spacing w:val="4"/>
          <w:w w:val="105"/>
          <w:position w:val="1"/>
          <w:sz w:val="13"/>
        </w:rPr>
        <w:t> </w:t>
      </w:r>
      <w:r>
        <w:rPr>
          <w:w w:val="105"/>
          <w:position w:val="1"/>
          <w:sz w:val="13"/>
        </w:rPr>
        <w:t>No</w:t>
      </w:r>
      <w:r>
        <w:rPr>
          <w:spacing w:val="5"/>
          <w:w w:val="105"/>
          <w:position w:val="1"/>
          <w:sz w:val="13"/>
        </w:rPr>
        <w:t> </w:t>
      </w:r>
      <w:r>
        <w:rPr>
          <w:w w:val="105"/>
          <w:position w:val="1"/>
          <w:sz w:val="13"/>
        </w:rPr>
        <w:t>24</w:t>
      </w:r>
      <w:r>
        <w:rPr>
          <w:spacing w:val="5"/>
          <w:w w:val="105"/>
          <w:position w:val="1"/>
          <w:sz w:val="13"/>
        </w:rPr>
        <w:t> </w:t>
      </w:r>
      <w:r>
        <w:rPr>
          <w:w w:val="105"/>
          <w:position w:val="1"/>
          <w:sz w:val="13"/>
        </w:rPr>
        <w:t>(2012)</w:t>
      </w:r>
      <w:r>
        <w:rPr>
          <w:spacing w:val="4"/>
          <w:w w:val="105"/>
          <w:position w:val="1"/>
          <w:sz w:val="13"/>
        </w:rPr>
        <w:t> </w:t>
      </w:r>
      <w:r>
        <w:rPr>
          <w:w w:val="105"/>
          <w:position w:val="1"/>
          <w:sz w:val="13"/>
        </w:rPr>
        <w:t>267</w:t>
      </w:r>
      <w:r>
        <w:rPr>
          <w:spacing w:val="5"/>
          <w:w w:val="105"/>
          <w:position w:val="1"/>
          <w:sz w:val="13"/>
        </w:rPr>
        <w:t> </w:t>
      </w:r>
      <w:r>
        <w:rPr>
          <w:w w:val="105"/>
          <w:position w:val="1"/>
          <w:sz w:val="13"/>
        </w:rPr>
        <w:t>(‘</w:t>
      </w:r>
      <w:r>
        <w:rPr>
          <w:i/>
          <w:w w:val="105"/>
          <w:position w:val="1"/>
          <w:sz w:val="13"/>
        </w:rPr>
        <w:t>Guardianship</w:t>
      </w:r>
      <w:r>
        <w:rPr>
          <w:i/>
          <w:spacing w:val="3"/>
          <w:w w:val="105"/>
          <w:position w:val="1"/>
          <w:sz w:val="13"/>
        </w:rPr>
        <w:t> </w:t>
      </w:r>
      <w:r>
        <w:rPr>
          <w:i/>
          <w:w w:val="105"/>
          <w:position w:val="1"/>
          <w:sz w:val="13"/>
        </w:rPr>
        <w:t>Final</w:t>
      </w:r>
      <w:r>
        <w:rPr>
          <w:i/>
          <w:spacing w:val="4"/>
          <w:w w:val="105"/>
          <w:position w:val="1"/>
          <w:sz w:val="13"/>
        </w:rPr>
        <w:t> </w:t>
      </w:r>
      <w:r>
        <w:rPr>
          <w:i/>
          <w:spacing w:val="3"/>
          <w:w w:val="105"/>
          <w:position w:val="1"/>
          <w:sz w:val="13"/>
        </w:rPr>
        <w:t>Report</w:t>
      </w:r>
      <w:r>
        <w:rPr>
          <w:spacing w:val="3"/>
          <w:w w:val="105"/>
          <w:position w:val="1"/>
          <w:sz w:val="13"/>
        </w:rPr>
        <w:t>’).</w:t>
      </w:r>
    </w:p>
    <w:p>
      <w:pPr>
        <w:spacing w:after="0"/>
        <w:jc w:val="left"/>
        <w:rPr>
          <w:sz w:val="13"/>
        </w:rPr>
        <w:sectPr>
          <w:pgSz w:w="11910" w:h="16840"/>
          <w:pgMar w:header="550" w:footer="0" w:top="1560" w:bottom="280" w:left="0" w:right="0"/>
        </w:sectPr>
      </w:pPr>
    </w:p>
    <w:p>
      <w:pPr>
        <w:pStyle w:val="BodyText"/>
        <w:rPr>
          <w:sz w:val="20"/>
        </w:rPr>
      </w:pPr>
    </w:p>
    <w:p>
      <w:pPr>
        <w:pStyle w:val="BodyText"/>
        <w:spacing w:before="1"/>
        <w:rPr>
          <w:sz w:val="18"/>
        </w:rPr>
      </w:pPr>
    </w:p>
    <w:p>
      <w:pPr>
        <w:pStyle w:val="Heading5"/>
        <w:spacing w:before="99"/>
      </w:pPr>
      <w:r>
        <w:rPr>
          <w:w w:val="115"/>
        </w:rPr>
        <w:t>Avoiding unjust outcomes</w:t>
      </w:r>
    </w:p>
    <w:p>
      <w:pPr>
        <w:pStyle w:val="ListParagraph"/>
        <w:numPr>
          <w:ilvl w:val="1"/>
          <w:numId w:val="22"/>
        </w:numPr>
        <w:tabs>
          <w:tab w:pos="2381" w:val="left" w:leader="none"/>
          <w:tab w:pos="2382" w:val="left" w:leader="none"/>
        </w:tabs>
        <w:spacing w:line="242" w:lineRule="auto" w:before="137" w:after="0"/>
        <w:ind w:left="2381" w:right="1675" w:hanging="794"/>
        <w:jc w:val="left"/>
        <w:rPr>
          <w:sz w:val="21"/>
        </w:rPr>
      </w:pPr>
      <w:r>
        <w:rPr>
          <w:w w:val="105"/>
          <w:sz w:val="21"/>
        </w:rPr>
        <w:t>In New </w:t>
      </w:r>
      <w:r>
        <w:rPr>
          <w:spacing w:val="-3"/>
          <w:w w:val="105"/>
          <w:sz w:val="21"/>
        </w:rPr>
        <w:t>South </w:t>
      </w:r>
      <w:r>
        <w:rPr>
          <w:spacing w:val="-4"/>
          <w:w w:val="105"/>
          <w:sz w:val="21"/>
        </w:rPr>
        <w:t>Wales, </w:t>
      </w:r>
      <w:r>
        <w:rPr>
          <w:spacing w:val="-3"/>
          <w:w w:val="105"/>
          <w:sz w:val="21"/>
        </w:rPr>
        <w:t>there are </w:t>
      </w:r>
      <w:r>
        <w:rPr>
          <w:spacing w:val="-4"/>
          <w:w w:val="105"/>
          <w:sz w:val="21"/>
        </w:rPr>
        <w:t>legislative exceptions </w:t>
      </w:r>
      <w:r>
        <w:rPr>
          <w:spacing w:val="-3"/>
          <w:w w:val="105"/>
          <w:sz w:val="21"/>
        </w:rPr>
        <w:t>for actions of </w:t>
      </w:r>
      <w:r>
        <w:rPr>
          <w:w w:val="105"/>
          <w:sz w:val="21"/>
        </w:rPr>
        <w:t>persons </w:t>
      </w:r>
      <w:r>
        <w:rPr>
          <w:spacing w:val="-3"/>
          <w:w w:val="105"/>
          <w:sz w:val="21"/>
        </w:rPr>
        <w:t>acting under </w:t>
      </w:r>
      <w:r>
        <w:rPr>
          <w:w w:val="105"/>
          <w:sz w:val="21"/>
        </w:rPr>
        <w:t>an </w:t>
      </w:r>
      <w:r>
        <w:rPr>
          <w:spacing w:val="-4"/>
          <w:w w:val="105"/>
          <w:sz w:val="21"/>
        </w:rPr>
        <w:t>enduring </w:t>
      </w:r>
      <w:r>
        <w:rPr>
          <w:spacing w:val="-3"/>
          <w:w w:val="105"/>
          <w:sz w:val="21"/>
        </w:rPr>
        <w:t>power of attorney </w:t>
      </w:r>
      <w:r>
        <w:rPr>
          <w:w w:val="105"/>
          <w:sz w:val="21"/>
        </w:rPr>
        <w:t>as </w:t>
      </w:r>
      <w:r>
        <w:rPr>
          <w:spacing w:val="-3"/>
          <w:w w:val="105"/>
          <w:sz w:val="21"/>
        </w:rPr>
        <w:t>well </w:t>
      </w:r>
      <w:r>
        <w:rPr>
          <w:w w:val="105"/>
          <w:sz w:val="21"/>
        </w:rPr>
        <w:t>as </w:t>
      </w:r>
      <w:r>
        <w:rPr>
          <w:spacing w:val="-3"/>
          <w:w w:val="105"/>
          <w:sz w:val="21"/>
        </w:rPr>
        <w:t>for administrators.</w:t>
      </w:r>
      <w:r>
        <w:rPr>
          <w:spacing w:val="-3"/>
          <w:w w:val="105"/>
          <w:position w:val="7"/>
          <w:sz w:val="12"/>
        </w:rPr>
        <w:t>40 </w:t>
      </w:r>
      <w:r>
        <w:rPr>
          <w:w w:val="105"/>
          <w:sz w:val="21"/>
        </w:rPr>
        <w:t>The </w:t>
      </w:r>
      <w:r>
        <w:rPr>
          <w:spacing w:val="-4"/>
          <w:w w:val="105"/>
          <w:sz w:val="21"/>
        </w:rPr>
        <w:t>exception </w:t>
      </w:r>
      <w:r>
        <w:rPr>
          <w:spacing w:val="-3"/>
          <w:w w:val="105"/>
          <w:sz w:val="21"/>
        </w:rPr>
        <w:t>for attorneys, </w:t>
      </w:r>
      <w:r>
        <w:rPr>
          <w:w w:val="105"/>
          <w:sz w:val="21"/>
        </w:rPr>
        <w:t>at section </w:t>
      </w:r>
      <w:r>
        <w:rPr>
          <w:spacing w:val="-3"/>
          <w:w w:val="105"/>
          <w:sz w:val="21"/>
        </w:rPr>
        <w:t>22 of </w:t>
      </w:r>
      <w:r>
        <w:rPr>
          <w:w w:val="105"/>
          <w:sz w:val="21"/>
        </w:rPr>
        <w:t>the </w:t>
      </w:r>
      <w:r>
        <w:rPr>
          <w:i/>
          <w:w w:val="105"/>
          <w:sz w:val="21"/>
        </w:rPr>
        <w:t>Powers </w:t>
      </w:r>
      <w:r>
        <w:rPr>
          <w:i/>
          <w:spacing w:val="-3"/>
          <w:w w:val="105"/>
          <w:sz w:val="21"/>
        </w:rPr>
        <w:t>of Attorney </w:t>
      </w:r>
      <w:r>
        <w:rPr>
          <w:i/>
          <w:w w:val="105"/>
          <w:sz w:val="21"/>
        </w:rPr>
        <w:t>Act </w:t>
      </w:r>
      <w:r>
        <w:rPr>
          <w:i/>
          <w:spacing w:val="-4"/>
          <w:w w:val="105"/>
          <w:sz w:val="21"/>
        </w:rPr>
        <w:t>2003 </w:t>
      </w:r>
      <w:r>
        <w:rPr>
          <w:w w:val="105"/>
          <w:sz w:val="21"/>
        </w:rPr>
        <w:t>(NSW), is </w:t>
      </w:r>
      <w:r>
        <w:rPr>
          <w:spacing w:val="-3"/>
          <w:w w:val="105"/>
          <w:sz w:val="21"/>
        </w:rPr>
        <w:t>in broadly </w:t>
      </w:r>
      <w:r>
        <w:rPr>
          <w:spacing w:val="-4"/>
          <w:w w:val="105"/>
          <w:sz w:val="21"/>
        </w:rPr>
        <w:t>similar </w:t>
      </w:r>
      <w:r>
        <w:rPr>
          <w:spacing w:val="-3"/>
          <w:w w:val="105"/>
          <w:sz w:val="21"/>
        </w:rPr>
        <w:t>terms</w:t>
      </w:r>
      <w:r>
        <w:rPr>
          <w:spacing w:val="21"/>
          <w:w w:val="105"/>
          <w:sz w:val="21"/>
        </w:rPr>
        <w:t> </w:t>
      </w:r>
      <w:r>
        <w:rPr>
          <w:spacing w:val="-3"/>
          <w:w w:val="105"/>
          <w:sz w:val="21"/>
        </w:rPr>
        <w:t>to</w:t>
      </w:r>
    </w:p>
    <w:p>
      <w:pPr>
        <w:pStyle w:val="BodyText"/>
        <w:spacing w:line="242" w:lineRule="auto" w:before="4"/>
        <w:ind w:left="2381" w:right="1584"/>
      </w:pPr>
      <w:r>
        <w:rPr>
          <w:w w:val="105"/>
        </w:rPr>
        <w:t>section </w:t>
      </w:r>
      <w:r>
        <w:rPr>
          <w:spacing w:val="-4"/>
          <w:w w:val="105"/>
        </w:rPr>
        <w:t>53 </w:t>
      </w:r>
      <w:r>
        <w:rPr>
          <w:spacing w:val="-3"/>
          <w:w w:val="105"/>
        </w:rPr>
        <w:t>of </w:t>
      </w:r>
      <w:r>
        <w:rPr>
          <w:spacing w:val="-4"/>
          <w:w w:val="105"/>
        </w:rPr>
        <w:t>Victoria’s Guardianship </w:t>
      </w:r>
      <w:r>
        <w:rPr>
          <w:spacing w:val="-3"/>
          <w:w w:val="105"/>
        </w:rPr>
        <w:t>and </w:t>
      </w:r>
      <w:r>
        <w:rPr>
          <w:spacing w:val="-4"/>
          <w:w w:val="105"/>
        </w:rPr>
        <w:t>Administration </w:t>
      </w:r>
      <w:r>
        <w:rPr>
          <w:w w:val="105"/>
        </w:rPr>
        <w:t>Act. </w:t>
      </w:r>
      <w:r>
        <w:rPr>
          <w:spacing w:val="-5"/>
          <w:w w:val="105"/>
        </w:rPr>
        <w:t>However, </w:t>
      </w:r>
      <w:r>
        <w:rPr>
          <w:w w:val="105"/>
        </w:rPr>
        <w:t>section </w:t>
      </w:r>
      <w:r>
        <w:rPr>
          <w:spacing w:val="-3"/>
          <w:w w:val="105"/>
        </w:rPr>
        <w:t>23 provides that, where this </w:t>
      </w:r>
      <w:r>
        <w:rPr>
          <w:spacing w:val="-4"/>
          <w:w w:val="105"/>
        </w:rPr>
        <w:t>exception </w:t>
      </w:r>
      <w:r>
        <w:rPr>
          <w:spacing w:val="-3"/>
          <w:w w:val="105"/>
        </w:rPr>
        <w:t>would </w:t>
      </w:r>
      <w:r>
        <w:rPr>
          <w:spacing w:val="-4"/>
          <w:w w:val="105"/>
        </w:rPr>
        <w:t>result </w:t>
      </w:r>
      <w:r>
        <w:rPr>
          <w:spacing w:val="-3"/>
          <w:w w:val="105"/>
        </w:rPr>
        <w:t>in </w:t>
      </w:r>
      <w:r>
        <w:rPr>
          <w:w w:val="105"/>
        </w:rPr>
        <w:t>one or </w:t>
      </w:r>
      <w:r>
        <w:rPr>
          <w:spacing w:val="-3"/>
          <w:w w:val="105"/>
        </w:rPr>
        <w:t>more beneficiaries </w:t>
      </w:r>
      <w:r>
        <w:rPr>
          <w:spacing w:val="-5"/>
          <w:w w:val="105"/>
        </w:rPr>
        <w:t>‘gaining </w:t>
      </w:r>
      <w:r>
        <w:rPr>
          <w:w w:val="105"/>
        </w:rPr>
        <w:t>an </w:t>
      </w:r>
      <w:r>
        <w:rPr>
          <w:spacing w:val="-3"/>
          <w:w w:val="105"/>
        </w:rPr>
        <w:t>unjust</w:t>
      </w:r>
    </w:p>
    <w:p>
      <w:pPr>
        <w:pStyle w:val="BodyText"/>
        <w:spacing w:line="242" w:lineRule="auto" w:before="2"/>
        <w:ind w:left="2381" w:right="1663"/>
      </w:pPr>
      <w:r>
        <w:rPr>
          <w:spacing w:val="-3"/>
          <w:w w:val="105"/>
        </w:rPr>
        <w:t>and disproportionate advantage </w:t>
      </w:r>
      <w:r>
        <w:rPr>
          <w:w w:val="105"/>
        </w:rPr>
        <w:t>or </w:t>
      </w:r>
      <w:r>
        <w:rPr>
          <w:spacing w:val="-4"/>
          <w:w w:val="105"/>
        </w:rPr>
        <w:t>suffering </w:t>
      </w:r>
      <w:r>
        <w:rPr>
          <w:w w:val="105"/>
        </w:rPr>
        <w:t>an </w:t>
      </w:r>
      <w:r>
        <w:rPr>
          <w:spacing w:val="-3"/>
          <w:w w:val="105"/>
        </w:rPr>
        <w:t>unjust and disproportionate </w:t>
      </w:r>
      <w:r>
        <w:rPr>
          <w:spacing w:val="-4"/>
          <w:w w:val="105"/>
        </w:rPr>
        <w:t>disadvantage’ </w:t>
      </w:r>
      <w:r>
        <w:rPr>
          <w:spacing w:val="-3"/>
          <w:w w:val="105"/>
        </w:rPr>
        <w:t>of </w:t>
      </w:r>
      <w:r>
        <w:rPr>
          <w:w w:val="105"/>
        </w:rPr>
        <w:t>a </w:t>
      </w:r>
      <w:r>
        <w:rPr>
          <w:spacing w:val="-3"/>
          <w:w w:val="105"/>
        </w:rPr>
        <w:t>kind not </w:t>
      </w:r>
      <w:r>
        <w:rPr>
          <w:spacing w:val="-4"/>
          <w:w w:val="105"/>
        </w:rPr>
        <w:t>contemplated </w:t>
      </w:r>
      <w:r>
        <w:rPr>
          <w:spacing w:val="-3"/>
          <w:w w:val="105"/>
        </w:rPr>
        <w:t>in </w:t>
      </w:r>
      <w:r>
        <w:rPr>
          <w:w w:val="105"/>
        </w:rPr>
        <w:t>the </w:t>
      </w:r>
      <w:r>
        <w:rPr>
          <w:spacing w:val="-4"/>
          <w:w w:val="105"/>
        </w:rPr>
        <w:t>will, </w:t>
      </w:r>
      <w:r>
        <w:rPr>
          <w:w w:val="105"/>
        </w:rPr>
        <w:t>the court </w:t>
      </w:r>
      <w:r>
        <w:rPr>
          <w:spacing w:val="-3"/>
          <w:w w:val="105"/>
        </w:rPr>
        <w:t>may </w:t>
      </w:r>
      <w:r>
        <w:rPr>
          <w:spacing w:val="-4"/>
          <w:w w:val="105"/>
        </w:rPr>
        <w:t>alter </w:t>
      </w:r>
      <w:r>
        <w:rPr>
          <w:w w:val="105"/>
        </w:rPr>
        <w:t>the effect </w:t>
      </w:r>
      <w:r>
        <w:rPr>
          <w:spacing w:val="-3"/>
          <w:w w:val="105"/>
        </w:rPr>
        <w:t>of </w:t>
      </w:r>
      <w:r>
        <w:rPr>
          <w:w w:val="105"/>
        </w:rPr>
        <w:t>the </w:t>
      </w:r>
      <w:r>
        <w:rPr>
          <w:spacing w:val="-4"/>
          <w:w w:val="105"/>
        </w:rPr>
        <w:t>provision.</w:t>
      </w:r>
      <w:r>
        <w:rPr>
          <w:spacing w:val="-4"/>
          <w:w w:val="105"/>
          <w:position w:val="7"/>
          <w:sz w:val="12"/>
        </w:rPr>
        <w:t>41</w:t>
      </w:r>
      <w:r>
        <w:rPr>
          <w:spacing w:val="-4"/>
          <w:w w:val="105"/>
          <w:sz w:val="12"/>
        </w:rPr>
        <w:t> </w:t>
      </w:r>
      <w:r>
        <w:rPr>
          <w:w w:val="105"/>
        </w:rPr>
        <w:t>The </w:t>
      </w:r>
      <w:r>
        <w:rPr>
          <w:spacing w:val="-4"/>
          <w:w w:val="105"/>
        </w:rPr>
        <w:t>legislative exception </w:t>
      </w:r>
      <w:r>
        <w:rPr>
          <w:spacing w:val="-3"/>
          <w:w w:val="105"/>
        </w:rPr>
        <w:t>for </w:t>
      </w:r>
      <w:r>
        <w:rPr>
          <w:spacing w:val="-4"/>
          <w:w w:val="105"/>
        </w:rPr>
        <w:t>administrators </w:t>
      </w:r>
      <w:r>
        <w:rPr>
          <w:spacing w:val="-3"/>
          <w:w w:val="105"/>
        </w:rPr>
        <w:t>in </w:t>
      </w:r>
      <w:r>
        <w:rPr>
          <w:w w:val="105"/>
        </w:rPr>
        <w:t>New </w:t>
      </w:r>
      <w:r>
        <w:rPr>
          <w:spacing w:val="-3"/>
          <w:w w:val="105"/>
        </w:rPr>
        <w:t>South </w:t>
      </w:r>
      <w:r>
        <w:rPr>
          <w:spacing w:val="-4"/>
          <w:w w:val="105"/>
        </w:rPr>
        <w:t>Wales </w:t>
      </w:r>
      <w:r>
        <w:rPr>
          <w:w w:val="105"/>
        </w:rPr>
        <w:t>does </w:t>
      </w:r>
      <w:r>
        <w:rPr>
          <w:spacing w:val="-3"/>
          <w:w w:val="105"/>
        </w:rPr>
        <w:t>not </w:t>
      </w:r>
      <w:r>
        <w:rPr>
          <w:spacing w:val="-4"/>
          <w:w w:val="105"/>
        </w:rPr>
        <w:t>have </w:t>
      </w:r>
      <w:r>
        <w:rPr>
          <w:spacing w:val="-3"/>
          <w:w w:val="105"/>
        </w:rPr>
        <w:t>this </w:t>
      </w:r>
      <w:r>
        <w:rPr>
          <w:w w:val="105"/>
        </w:rPr>
        <w:t>added </w:t>
      </w:r>
      <w:r>
        <w:rPr>
          <w:spacing w:val="-4"/>
          <w:w w:val="105"/>
        </w:rPr>
        <w:t>feature </w:t>
      </w:r>
      <w:r>
        <w:rPr>
          <w:spacing w:val="-3"/>
          <w:w w:val="105"/>
        </w:rPr>
        <w:t>that allows beneficiaries to apply to </w:t>
      </w:r>
      <w:r>
        <w:rPr>
          <w:w w:val="105"/>
        </w:rPr>
        <w:t>the court </w:t>
      </w:r>
      <w:r>
        <w:rPr>
          <w:spacing w:val="-3"/>
          <w:w w:val="105"/>
        </w:rPr>
        <w:t>to </w:t>
      </w:r>
      <w:r>
        <w:rPr>
          <w:spacing w:val="-4"/>
          <w:w w:val="105"/>
        </w:rPr>
        <w:t>alter </w:t>
      </w:r>
      <w:r>
        <w:rPr>
          <w:w w:val="105"/>
        </w:rPr>
        <w:t>the effect </w:t>
      </w:r>
      <w:r>
        <w:rPr>
          <w:spacing w:val="-3"/>
          <w:w w:val="105"/>
        </w:rPr>
        <w:t>of </w:t>
      </w:r>
      <w:r>
        <w:rPr>
          <w:w w:val="105"/>
        </w:rPr>
        <w:t>the </w:t>
      </w:r>
      <w:r>
        <w:rPr>
          <w:spacing w:val="-4"/>
          <w:w w:val="105"/>
        </w:rPr>
        <w:t>exception.</w:t>
      </w:r>
    </w:p>
    <w:p>
      <w:pPr>
        <w:pStyle w:val="ListParagraph"/>
        <w:numPr>
          <w:ilvl w:val="1"/>
          <w:numId w:val="22"/>
        </w:numPr>
        <w:tabs>
          <w:tab w:pos="2381" w:val="left" w:leader="none"/>
          <w:tab w:pos="2382" w:val="left" w:leader="none"/>
        </w:tabs>
        <w:spacing w:line="242" w:lineRule="auto" w:before="124" w:after="0"/>
        <w:ind w:left="2381" w:right="1615" w:hanging="794"/>
        <w:jc w:val="left"/>
        <w:rPr>
          <w:sz w:val="12"/>
        </w:rPr>
      </w:pPr>
      <w:r>
        <w:rPr>
          <w:sz w:val="21"/>
        </w:rPr>
        <w:t>In South </w:t>
      </w:r>
      <w:r>
        <w:rPr>
          <w:spacing w:val="-3"/>
          <w:sz w:val="21"/>
        </w:rPr>
        <w:t>Australia,  </w:t>
      </w:r>
      <w:r>
        <w:rPr>
          <w:sz w:val="21"/>
        </w:rPr>
        <w:t>a beneficiary </w:t>
      </w:r>
      <w:r>
        <w:rPr>
          <w:spacing w:val="-3"/>
          <w:sz w:val="21"/>
        </w:rPr>
        <w:t>may</w:t>
      </w:r>
      <w:r>
        <w:rPr>
          <w:spacing w:val="41"/>
          <w:sz w:val="21"/>
        </w:rPr>
        <w:t> </w:t>
      </w:r>
      <w:r>
        <w:rPr>
          <w:sz w:val="21"/>
        </w:rPr>
        <w:t>apply </w:t>
      </w:r>
      <w:r>
        <w:rPr>
          <w:spacing w:val="-3"/>
          <w:sz w:val="21"/>
        </w:rPr>
        <w:t>to  </w:t>
      </w:r>
      <w:r>
        <w:rPr>
          <w:sz w:val="21"/>
        </w:rPr>
        <w:t>the </w:t>
      </w:r>
      <w:r>
        <w:rPr>
          <w:spacing w:val="-3"/>
          <w:sz w:val="21"/>
        </w:rPr>
        <w:t>Supreme  Court  </w:t>
      </w:r>
      <w:r>
        <w:rPr>
          <w:sz w:val="21"/>
        </w:rPr>
        <w:t>where their </w:t>
      </w:r>
      <w:r>
        <w:rPr>
          <w:spacing w:val="-3"/>
          <w:sz w:val="21"/>
        </w:rPr>
        <w:t>share  </w:t>
      </w:r>
      <w:r>
        <w:rPr>
          <w:sz w:val="21"/>
        </w:rPr>
        <w:t>under a </w:t>
      </w:r>
      <w:r>
        <w:rPr>
          <w:spacing w:val="-3"/>
          <w:sz w:val="21"/>
        </w:rPr>
        <w:t>will </w:t>
      </w:r>
      <w:r>
        <w:rPr>
          <w:spacing w:val="-2"/>
          <w:sz w:val="21"/>
        </w:rPr>
        <w:t>has </w:t>
      </w:r>
      <w:r>
        <w:rPr>
          <w:sz w:val="21"/>
        </w:rPr>
        <w:t>been affected by the actions of an </w:t>
      </w:r>
      <w:r>
        <w:rPr>
          <w:spacing w:val="-3"/>
          <w:sz w:val="21"/>
        </w:rPr>
        <w:t>administrator </w:t>
      </w:r>
      <w:r>
        <w:rPr>
          <w:sz w:val="21"/>
        </w:rPr>
        <w:t>or a person acting under an </w:t>
      </w:r>
      <w:r>
        <w:rPr>
          <w:spacing w:val="-3"/>
          <w:sz w:val="21"/>
        </w:rPr>
        <w:t>enduring </w:t>
      </w:r>
      <w:r>
        <w:rPr>
          <w:sz w:val="21"/>
        </w:rPr>
        <w:t>power of </w:t>
      </w:r>
      <w:r>
        <w:rPr>
          <w:spacing w:val="-4"/>
          <w:sz w:val="21"/>
        </w:rPr>
        <w:t>attorney. </w:t>
      </w:r>
      <w:r>
        <w:rPr>
          <w:sz w:val="21"/>
        </w:rPr>
        <w:t>The court </w:t>
      </w:r>
      <w:r>
        <w:rPr>
          <w:spacing w:val="-3"/>
          <w:sz w:val="21"/>
        </w:rPr>
        <w:t>may </w:t>
      </w:r>
      <w:r>
        <w:rPr>
          <w:spacing w:val="-4"/>
          <w:sz w:val="21"/>
        </w:rPr>
        <w:t>make </w:t>
      </w:r>
      <w:r>
        <w:rPr>
          <w:sz w:val="21"/>
        </w:rPr>
        <w:t>orders it thinks just </w:t>
      </w:r>
      <w:r>
        <w:rPr>
          <w:spacing w:val="-3"/>
          <w:sz w:val="21"/>
        </w:rPr>
        <w:t>to ensure that </w:t>
      </w:r>
      <w:r>
        <w:rPr>
          <w:sz w:val="21"/>
        </w:rPr>
        <w:t>no beneficiary </w:t>
      </w:r>
      <w:r>
        <w:rPr>
          <w:spacing w:val="-3"/>
          <w:sz w:val="21"/>
        </w:rPr>
        <w:t>gains </w:t>
      </w:r>
      <w:r>
        <w:rPr>
          <w:sz w:val="21"/>
        </w:rPr>
        <w:t>a disproportionate advantage or suffers a disproportionate disadvantage  of</w:t>
      </w:r>
      <w:r>
        <w:rPr>
          <w:spacing w:val="9"/>
          <w:sz w:val="21"/>
        </w:rPr>
        <w:t> </w:t>
      </w:r>
      <w:r>
        <w:rPr>
          <w:sz w:val="21"/>
        </w:rPr>
        <w:t>a</w:t>
      </w:r>
      <w:r>
        <w:rPr>
          <w:spacing w:val="9"/>
          <w:sz w:val="21"/>
        </w:rPr>
        <w:t> </w:t>
      </w:r>
      <w:r>
        <w:rPr>
          <w:spacing w:val="-3"/>
          <w:sz w:val="21"/>
        </w:rPr>
        <w:t>kind</w:t>
      </w:r>
      <w:r>
        <w:rPr>
          <w:spacing w:val="10"/>
          <w:sz w:val="21"/>
        </w:rPr>
        <w:t> </w:t>
      </w:r>
      <w:r>
        <w:rPr>
          <w:spacing w:val="-2"/>
          <w:sz w:val="21"/>
        </w:rPr>
        <w:t>not</w:t>
      </w:r>
      <w:r>
        <w:rPr>
          <w:spacing w:val="9"/>
          <w:sz w:val="21"/>
        </w:rPr>
        <w:t> </w:t>
      </w:r>
      <w:r>
        <w:rPr>
          <w:spacing w:val="-3"/>
          <w:sz w:val="21"/>
        </w:rPr>
        <w:t>contemplated</w:t>
      </w:r>
      <w:r>
        <w:rPr>
          <w:spacing w:val="10"/>
          <w:sz w:val="21"/>
        </w:rPr>
        <w:t> </w:t>
      </w:r>
      <w:r>
        <w:rPr>
          <w:sz w:val="21"/>
        </w:rPr>
        <w:t>by</w:t>
      </w:r>
      <w:r>
        <w:rPr>
          <w:spacing w:val="9"/>
          <w:sz w:val="21"/>
        </w:rPr>
        <w:t> </w:t>
      </w:r>
      <w:r>
        <w:rPr>
          <w:sz w:val="21"/>
        </w:rPr>
        <w:t>the</w:t>
      </w:r>
      <w:r>
        <w:rPr>
          <w:spacing w:val="10"/>
          <w:sz w:val="21"/>
        </w:rPr>
        <w:t> </w:t>
      </w:r>
      <w:r>
        <w:rPr>
          <w:spacing w:val="-3"/>
          <w:sz w:val="21"/>
        </w:rPr>
        <w:t>will.</w:t>
      </w:r>
      <w:r>
        <w:rPr>
          <w:spacing w:val="-3"/>
          <w:position w:val="7"/>
          <w:sz w:val="12"/>
        </w:rPr>
        <w:t>42</w:t>
      </w:r>
    </w:p>
    <w:p>
      <w:pPr>
        <w:pStyle w:val="ListParagraph"/>
        <w:numPr>
          <w:ilvl w:val="1"/>
          <w:numId w:val="22"/>
        </w:numPr>
        <w:tabs>
          <w:tab w:pos="2381" w:val="left" w:leader="none"/>
          <w:tab w:pos="2382" w:val="left" w:leader="none"/>
        </w:tabs>
        <w:spacing w:line="242" w:lineRule="auto" w:before="126" w:after="0"/>
        <w:ind w:left="2381" w:right="1830" w:hanging="794"/>
        <w:jc w:val="left"/>
        <w:rPr>
          <w:sz w:val="12"/>
        </w:rPr>
      </w:pPr>
      <w:r>
        <w:rPr>
          <w:w w:val="105"/>
          <w:sz w:val="21"/>
        </w:rPr>
        <w:t>In</w:t>
      </w:r>
      <w:r>
        <w:rPr>
          <w:spacing w:val="-7"/>
          <w:w w:val="105"/>
          <w:sz w:val="21"/>
        </w:rPr>
        <w:t> </w:t>
      </w:r>
      <w:r>
        <w:rPr>
          <w:spacing w:val="-3"/>
          <w:w w:val="105"/>
          <w:sz w:val="21"/>
        </w:rPr>
        <w:t>Queensland,</w:t>
      </w:r>
      <w:r>
        <w:rPr>
          <w:spacing w:val="-6"/>
          <w:w w:val="105"/>
          <w:sz w:val="21"/>
        </w:rPr>
        <w:t> </w:t>
      </w:r>
      <w:r>
        <w:rPr>
          <w:w w:val="105"/>
          <w:sz w:val="21"/>
        </w:rPr>
        <w:t>a</w:t>
      </w:r>
      <w:r>
        <w:rPr>
          <w:spacing w:val="-6"/>
          <w:w w:val="105"/>
          <w:sz w:val="21"/>
        </w:rPr>
        <w:t> </w:t>
      </w:r>
      <w:r>
        <w:rPr>
          <w:w w:val="105"/>
          <w:sz w:val="21"/>
        </w:rPr>
        <w:t>person</w:t>
      </w:r>
      <w:r>
        <w:rPr>
          <w:spacing w:val="-6"/>
          <w:w w:val="105"/>
          <w:sz w:val="21"/>
        </w:rPr>
        <w:t> </w:t>
      </w:r>
      <w:r>
        <w:rPr>
          <w:spacing w:val="-3"/>
          <w:w w:val="105"/>
          <w:sz w:val="21"/>
        </w:rPr>
        <w:t>may</w:t>
      </w:r>
      <w:r>
        <w:rPr>
          <w:spacing w:val="-6"/>
          <w:w w:val="105"/>
          <w:sz w:val="21"/>
        </w:rPr>
        <w:t> </w:t>
      </w:r>
      <w:r>
        <w:rPr>
          <w:w w:val="105"/>
          <w:sz w:val="21"/>
        </w:rPr>
        <w:t>apply</w:t>
      </w:r>
      <w:r>
        <w:rPr>
          <w:spacing w:val="-6"/>
          <w:w w:val="105"/>
          <w:sz w:val="21"/>
        </w:rPr>
        <w:t> </w:t>
      </w:r>
      <w:r>
        <w:rPr>
          <w:spacing w:val="-3"/>
          <w:w w:val="105"/>
          <w:sz w:val="21"/>
        </w:rPr>
        <w:t>to</w:t>
      </w:r>
      <w:r>
        <w:rPr>
          <w:spacing w:val="-6"/>
          <w:w w:val="105"/>
          <w:sz w:val="21"/>
        </w:rPr>
        <w:t> </w:t>
      </w:r>
      <w:r>
        <w:rPr>
          <w:w w:val="105"/>
          <w:sz w:val="21"/>
        </w:rPr>
        <w:t>the</w:t>
      </w:r>
      <w:r>
        <w:rPr>
          <w:spacing w:val="-6"/>
          <w:w w:val="105"/>
          <w:sz w:val="21"/>
        </w:rPr>
        <w:t> </w:t>
      </w:r>
      <w:r>
        <w:rPr>
          <w:w w:val="105"/>
          <w:sz w:val="21"/>
        </w:rPr>
        <w:t>court</w:t>
      </w:r>
      <w:r>
        <w:rPr>
          <w:spacing w:val="-6"/>
          <w:w w:val="105"/>
          <w:sz w:val="21"/>
        </w:rPr>
        <w:t> </w:t>
      </w:r>
      <w:r>
        <w:rPr>
          <w:w w:val="105"/>
          <w:sz w:val="21"/>
        </w:rPr>
        <w:t>where</w:t>
      </w:r>
      <w:r>
        <w:rPr>
          <w:spacing w:val="-6"/>
          <w:w w:val="105"/>
          <w:sz w:val="21"/>
        </w:rPr>
        <w:t> </w:t>
      </w:r>
      <w:r>
        <w:rPr>
          <w:w w:val="105"/>
          <w:sz w:val="21"/>
        </w:rPr>
        <w:t>their</w:t>
      </w:r>
      <w:r>
        <w:rPr>
          <w:spacing w:val="-6"/>
          <w:w w:val="105"/>
          <w:sz w:val="21"/>
        </w:rPr>
        <w:t> </w:t>
      </w:r>
      <w:r>
        <w:rPr>
          <w:w w:val="105"/>
          <w:sz w:val="21"/>
        </w:rPr>
        <w:t>benefit</w:t>
      </w:r>
      <w:r>
        <w:rPr>
          <w:spacing w:val="-6"/>
          <w:w w:val="105"/>
          <w:sz w:val="21"/>
        </w:rPr>
        <w:t> </w:t>
      </w:r>
      <w:r>
        <w:rPr>
          <w:w w:val="105"/>
          <w:sz w:val="21"/>
        </w:rPr>
        <w:t>in</w:t>
      </w:r>
      <w:r>
        <w:rPr>
          <w:spacing w:val="-6"/>
          <w:w w:val="105"/>
          <w:sz w:val="21"/>
        </w:rPr>
        <w:t> </w:t>
      </w:r>
      <w:r>
        <w:rPr>
          <w:spacing w:val="-3"/>
          <w:w w:val="105"/>
          <w:sz w:val="21"/>
        </w:rPr>
        <w:t>another</w:t>
      </w:r>
      <w:r>
        <w:rPr>
          <w:spacing w:val="-6"/>
          <w:w w:val="105"/>
          <w:sz w:val="21"/>
        </w:rPr>
        <w:t> </w:t>
      </w:r>
      <w:r>
        <w:rPr>
          <w:spacing w:val="-3"/>
          <w:w w:val="105"/>
          <w:sz w:val="21"/>
        </w:rPr>
        <w:t>person’s </w:t>
      </w:r>
      <w:r>
        <w:rPr>
          <w:w w:val="105"/>
          <w:sz w:val="21"/>
        </w:rPr>
        <w:t>estate </w:t>
      </w:r>
      <w:r>
        <w:rPr>
          <w:spacing w:val="-2"/>
          <w:w w:val="105"/>
          <w:sz w:val="21"/>
        </w:rPr>
        <w:t>has </w:t>
      </w:r>
      <w:r>
        <w:rPr>
          <w:w w:val="105"/>
          <w:sz w:val="21"/>
        </w:rPr>
        <w:t>been lost because of an action of an </w:t>
      </w:r>
      <w:r>
        <w:rPr>
          <w:spacing w:val="-3"/>
          <w:w w:val="105"/>
          <w:sz w:val="21"/>
        </w:rPr>
        <w:t>administrator </w:t>
      </w:r>
      <w:r>
        <w:rPr>
          <w:w w:val="105"/>
          <w:sz w:val="21"/>
        </w:rPr>
        <w:t>or a person acting under an </w:t>
      </w:r>
      <w:r>
        <w:rPr>
          <w:spacing w:val="-3"/>
          <w:w w:val="105"/>
          <w:sz w:val="21"/>
        </w:rPr>
        <w:t>enduring </w:t>
      </w:r>
      <w:r>
        <w:rPr>
          <w:w w:val="105"/>
          <w:sz w:val="21"/>
        </w:rPr>
        <w:t>power of </w:t>
      </w:r>
      <w:r>
        <w:rPr>
          <w:spacing w:val="-4"/>
          <w:w w:val="105"/>
          <w:sz w:val="21"/>
        </w:rPr>
        <w:t>attorney. </w:t>
      </w:r>
      <w:r>
        <w:rPr>
          <w:w w:val="105"/>
          <w:sz w:val="21"/>
        </w:rPr>
        <w:t>The court </w:t>
      </w:r>
      <w:r>
        <w:rPr>
          <w:spacing w:val="-3"/>
          <w:w w:val="105"/>
          <w:sz w:val="21"/>
        </w:rPr>
        <w:t>may award </w:t>
      </w:r>
      <w:r>
        <w:rPr>
          <w:w w:val="105"/>
          <w:sz w:val="21"/>
        </w:rPr>
        <w:t>compensation out of the will- </w:t>
      </w:r>
      <w:r>
        <w:rPr>
          <w:spacing w:val="-4"/>
          <w:w w:val="105"/>
          <w:sz w:val="21"/>
        </w:rPr>
        <w:t>maker’s</w:t>
      </w:r>
      <w:r>
        <w:rPr>
          <w:spacing w:val="5"/>
          <w:w w:val="105"/>
          <w:sz w:val="21"/>
        </w:rPr>
        <w:t> </w:t>
      </w:r>
      <w:r>
        <w:rPr>
          <w:w w:val="105"/>
          <w:sz w:val="21"/>
        </w:rPr>
        <w:t>estate.</w:t>
      </w:r>
      <w:r>
        <w:rPr>
          <w:w w:val="105"/>
          <w:position w:val="7"/>
          <w:sz w:val="12"/>
        </w:rPr>
        <w:t>43</w:t>
      </w:r>
    </w:p>
    <w:p>
      <w:pPr>
        <w:pStyle w:val="ListParagraph"/>
        <w:numPr>
          <w:ilvl w:val="1"/>
          <w:numId w:val="22"/>
        </w:numPr>
        <w:tabs>
          <w:tab w:pos="2381" w:val="left" w:leader="none"/>
          <w:tab w:pos="2382" w:val="left" w:leader="none"/>
        </w:tabs>
        <w:spacing w:line="242" w:lineRule="auto" w:before="124" w:after="0"/>
        <w:ind w:left="2381" w:right="1600" w:hanging="794"/>
        <w:jc w:val="left"/>
        <w:rPr>
          <w:sz w:val="12"/>
        </w:rPr>
      </w:pPr>
      <w:r>
        <w:rPr>
          <w:w w:val="105"/>
          <w:sz w:val="21"/>
        </w:rPr>
        <w:t>The </w:t>
      </w:r>
      <w:r>
        <w:rPr>
          <w:spacing w:val="-4"/>
          <w:w w:val="105"/>
          <w:sz w:val="21"/>
        </w:rPr>
        <w:t>Commission’s </w:t>
      </w:r>
      <w:r>
        <w:rPr>
          <w:spacing w:val="-3"/>
          <w:w w:val="105"/>
          <w:sz w:val="21"/>
        </w:rPr>
        <w:t>consultation </w:t>
      </w:r>
      <w:r>
        <w:rPr>
          <w:w w:val="105"/>
          <w:sz w:val="21"/>
        </w:rPr>
        <w:t>paper on </w:t>
      </w:r>
      <w:r>
        <w:rPr>
          <w:spacing w:val="-3"/>
          <w:w w:val="105"/>
          <w:sz w:val="21"/>
        </w:rPr>
        <w:t>wills sought </w:t>
      </w:r>
      <w:r>
        <w:rPr>
          <w:w w:val="105"/>
          <w:sz w:val="21"/>
        </w:rPr>
        <w:t>views on whether </w:t>
      </w:r>
      <w:r>
        <w:rPr>
          <w:spacing w:val="-3"/>
          <w:w w:val="105"/>
          <w:sz w:val="21"/>
        </w:rPr>
        <w:t>any </w:t>
      </w:r>
      <w:r>
        <w:rPr>
          <w:w w:val="105"/>
          <w:sz w:val="21"/>
        </w:rPr>
        <w:t>of these </w:t>
      </w:r>
      <w:r>
        <w:rPr>
          <w:spacing w:val="-3"/>
          <w:w w:val="105"/>
          <w:sz w:val="21"/>
        </w:rPr>
        <w:t>provisions </w:t>
      </w:r>
      <w:r>
        <w:rPr>
          <w:w w:val="105"/>
          <w:sz w:val="21"/>
        </w:rPr>
        <w:t>would be </w:t>
      </w:r>
      <w:r>
        <w:rPr>
          <w:spacing w:val="-3"/>
          <w:w w:val="105"/>
          <w:sz w:val="21"/>
        </w:rPr>
        <w:t>preferable to </w:t>
      </w:r>
      <w:r>
        <w:rPr>
          <w:w w:val="105"/>
          <w:sz w:val="21"/>
        </w:rPr>
        <w:t>section </w:t>
      </w:r>
      <w:r>
        <w:rPr>
          <w:spacing w:val="-3"/>
          <w:w w:val="105"/>
          <w:sz w:val="21"/>
        </w:rPr>
        <w:t>53 </w:t>
      </w:r>
      <w:r>
        <w:rPr>
          <w:w w:val="105"/>
          <w:sz w:val="21"/>
        </w:rPr>
        <w:t>of the </w:t>
      </w:r>
      <w:r>
        <w:rPr>
          <w:spacing w:val="-3"/>
          <w:w w:val="105"/>
          <w:sz w:val="21"/>
        </w:rPr>
        <w:t>Guardianship </w:t>
      </w:r>
      <w:r>
        <w:rPr>
          <w:w w:val="105"/>
          <w:sz w:val="21"/>
        </w:rPr>
        <w:t>and </w:t>
      </w:r>
      <w:r>
        <w:rPr>
          <w:spacing w:val="-3"/>
          <w:w w:val="105"/>
          <w:sz w:val="21"/>
        </w:rPr>
        <w:t>Administration </w:t>
      </w:r>
      <w:r>
        <w:rPr>
          <w:w w:val="105"/>
          <w:sz w:val="21"/>
        </w:rPr>
        <w:t>Act as</w:t>
      </w:r>
      <w:r>
        <w:rPr>
          <w:spacing w:val="-6"/>
          <w:w w:val="105"/>
          <w:sz w:val="21"/>
        </w:rPr>
        <w:t> </w:t>
      </w:r>
      <w:r>
        <w:rPr>
          <w:w w:val="105"/>
          <w:sz w:val="21"/>
        </w:rPr>
        <w:t>a</w:t>
      </w:r>
      <w:r>
        <w:rPr>
          <w:spacing w:val="-6"/>
          <w:w w:val="105"/>
          <w:sz w:val="21"/>
        </w:rPr>
        <w:t> </w:t>
      </w:r>
      <w:r>
        <w:rPr>
          <w:w w:val="105"/>
          <w:sz w:val="21"/>
        </w:rPr>
        <w:t>model</w:t>
      </w:r>
      <w:r>
        <w:rPr>
          <w:spacing w:val="-6"/>
          <w:w w:val="105"/>
          <w:sz w:val="21"/>
        </w:rPr>
        <w:t> </w:t>
      </w:r>
      <w:r>
        <w:rPr>
          <w:spacing w:val="-3"/>
          <w:w w:val="105"/>
          <w:sz w:val="21"/>
        </w:rPr>
        <w:t>for</w:t>
      </w:r>
      <w:r>
        <w:rPr>
          <w:spacing w:val="-6"/>
          <w:w w:val="105"/>
          <w:sz w:val="21"/>
        </w:rPr>
        <w:t> </w:t>
      </w:r>
      <w:r>
        <w:rPr>
          <w:w w:val="105"/>
          <w:sz w:val="21"/>
        </w:rPr>
        <w:t>a</w:t>
      </w:r>
      <w:r>
        <w:rPr>
          <w:spacing w:val="-6"/>
          <w:w w:val="105"/>
          <w:sz w:val="21"/>
        </w:rPr>
        <w:t> </w:t>
      </w:r>
      <w:r>
        <w:rPr>
          <w:spacing w:val="-3"/>
          <w:w w:val="105"/>
          <w:sz w:val="21"/>
        </w:rPr>
        <w:t>legislative</w:t>
      </w:r>
      <w:r>
        <w:rPr>
          <w:spacing w:val="-6"/>
          <w:w w:val="105"/>
          <w:sz w:val="21"/>
        </w:rPr>
        <w:t> </w:t>
      </w:r>
      <w:r>
        <w:rPr>
          <w:spacing w:val="-3"/>
          <w:w w:val="105"/>
          <w:sz w:val="21"/>
        </w:rPr>
        <w:t>exception.</w:t>
      </w:r>
      <w:r>
        <w:rPr>
          <w:spacing w:val="-6"/>
          <w:w w:val="105"/>
          <w:sz w:val="21"/>
        </w:rPr>
        <w:t> </w:t>
      </w:r>
      <w:r>
        <w:rPr>
          <w:spacing w:val="-3"/>
          <w:w w:val="105"/>
          <w:sz w:val="21"/>
        </w:rPr>
        <w:t>Submissions</w:t>
      </w:r>
      <w:r>
        <w:rPr>
          <w:spacing w:val="-6"/>
          <w:w w:val="105"/>
          <w:sz w:val="21"/>
        </w:rPr>
        <w:t> </w:t>
      </w:r>
      <w:r>
        <w:rPr>
          <w:spacing w:val="-3"/>
          <w:w w:val="105"/>
          <w:sz w:val="21"/>
        </w:rPr>
        <w:t>generally</w:t>
      </w:r>
      <w:r>
        <w:rPr>
          <w:spacing w:val="-5"/>
          <w:w w:val="105"/>
          <w:sz w:val="21"/>
        </w:rPr>
        <w:t> </w:t>
      </w:r>
      <w:r>
        <w:rPr>
          <w:w w:val="105"/>
          <w:sz w:val="21"/>
        </w:rPr>
        <w:t>supported</w:t>
      </w:r>
      <w:r>
        <w:rPr>
          <w:spacing w:val="-6"/>
          <w:w w:val="105"/>
          <w:sz w:val="21"/>
        </w:rPr>
        <w:t> </w:t>
      </w:r>
      <w:r>
        <w:rPr>
          <w:w w:val="105"/>
          <w:sz w:val="21"/>
        </w:rPr>
        <w:t>the</w:t>
      </w:r>
      <w:r>
        <w:rPr>
          <w:spacing w:val="-6"/>
          <w:w w:val="105"/>
          <w:sz w:val="21"/>
        </w:rPr>
        <w:t> </w:t>
      </w:r>
      <w:r>
        <w:rPr>
          <w:spacing w:val="-3"/>
          <w:w w:val="105"/>
          <w:sz w:val="21"/>
        </w:rPr>
        <w:t>current</w:t>
      </w:r>
      <w:r>
        <w:rPr>
          <w:spacing w:val="-6"/>
          <w:w w:val="105"/>
          <w:sz w:val="21"/>
        </w:rPr>
        <w:t> </w:t>
      </w:r>
      <w:r>
        <w:rPr>
          <w:w w:val="105"/>
          <w:sz w:val="21"/>
        </w:rPr>
        <w:t>section </w:t>
      </w:r>
      <w:r>
        <w:rPr>
          <w:spacing w:val="-3"/>
          <w:w w:val="105"/>
          <w:sz w:val="21"/>
        </w:rPr>
        <w:t>53 </w:t>
      </w:r>
      <w:r>
        <w:rPr>
          <w:w w:val="105"/>
          <w:sz w:val="21"/>
        </w:rPr>
        <w:t>as an </w:t>
      </w:r>
      <w:r>
        <w:rPr>
          <w:spacing w:val="-3"/>
          <w:w w:val="105"/>
          <w:sz w:val="21"/>
        </w:rPr>
        <w:t>exception to </w:t>
      </w:r>
      <w:r>
        <w:rPr>
          <w:w w:val="105"/>
          <w:sz w:val="21"/>
        </w:rPr>
        <w:t>the ademption rule </w:t>
      </w:r>
      <w:r>
        <w:rPr>
          <w:spacing w:val="-3"/>
          <w:w w:val="105"/>
          <w:sz w:val="21"/>
        </w:rPr>
        <w:t>for </w:t>
      </w:r>
      <w:r>
        <w:rPr>
          <w:w w:val="105"/>
          <w:sz w:val="21"/>
        </w:rPr>
        <w:t>actions of both </w:t>
      </w:r>
      <w:r>
        <w:rPr>
          <w:spacing w:val="-3"/>
          <w:w w:val="105"/>
          <w:sz w:val="21"/>
        </w:rPr>
        <w:t>administrators </w:t>
      </w:r>
      <w:r>
        <w:rPr>
          <w:w w:val="105"/>
          <w:sz w:val="21"/>
        </w:rPr>
        <w:t>and persons acting under an </w:t>
      </w:r>
      <w:r>
        <w:rPr>
          <w:spacing w:val="-3"/>
          <w:w w:val="105"/>
          <w:sz w:val="21"/>
        </w:rPr>
        <w:t>enduring </w:t>
      </w:r>
      <w:r>
        <w:rPr>
          <w:w w:val="105"/>
          <w:sz w:val="21"/>
        </w:rPr>
        <w:t>power of</w:t>
      </w:r>
      <w:r>
        <w:rPr>
          <w:spacing w:val="31"/>
          <w:w w:val="105"/>
          <w:sz w:val="21"/>
        </w:rPr>
        <w:t> </w:t>
      </w:r>
      <w:r>
        <w:rPr>
          <w:w w:val="105"/>
          <w:sz w:val="21"/>
        </w:rPr>
        <w:t>attorney.</w:t>
      </w:r>
      <w:r>
        <w:rPr>
          <w:w w:val="105"/>
          <w:position w:val="7"/>
          <w:sz w:val="12"/>
        </w:rPr>
        <w:t>44</w:t>
      </w:r>
    </w:p>
    <w:p>
      <w:pPr>
        <w:pStyle w:val="ListParagraph"/>
        <w:numPr>
          <w:ilvl w:val="1"/>
          <w:numId w:val="22"/>
        </w:numPr>
        <w:tabs>
          <w:tab w:pos="2381" w:val="left" w:leader="none"/>
          <w:tab w:pos="2382" w:val="left" w:leader="none"/>
        </w:tabs>
        <w:spacing w:line="242" w:lineRule="auto" w:before="126" w:after="0"/>
        <w:ind w:left="2381" w:right="2013" w:hanging="794"/>
        <w:jc w:val="left"/>
        <w:rPr>
          <w:sz w:val="12"/>
        </w:rPr>
      </w:pPr>
      <w:r>
        <w:rPr>
          <w:sz w:val="21"/>
        </w:rPr>
        <w:t>Some also saw merit in Victoria </w:t>
      </w:r>
      <w:r>
        <w:rPr>
          <w:spacing w:val="-3"/>
          <w:sz w:val="21"/>
        </w:rPr>
        <w:t>introducing </w:t>
      </w:r>
      <w:r>
        <w:rPr>
          <w:sz w:val="21"/>
        </w:rPr>
        <w:t>an </w:t>
      </w:r>
      <w:r>
        <w:rPr>
          <w:spacing w:val="-3"/>
          <w:sz w:val="21"/>
        </w:rPr>
        <w:t>additional provision, </w:t>
      </w:r>
      <w:r>
        <w:rPr>
          <w:sz w:val="21"/>
        </w:rPr>
        <w:t>as exists in New South </w:t>
      </w:r>
      <w:r>
        <w:rPr>
          <w:spacing w:val="-3"/>
          <w:sz w:val="21"/>
        </w:rPr>
        <w:t>Wales for </w:t>
      </w:r>
      <w:r>
        <w:rPr>
          <w:sz w:val="21"/>
        </w:rPr>
        <w:t>acts of attorneys, </w:t>
      </w:r>
      <w:r>
        <w:rPr>
          <w:spacing w:val="-3"/>
          <w:sz w:val="21"/>
        </w:rPr>
        <w:t>that </w:t>
      </w:r>
      <w:r>
        <w:rPr>
          <w:sz w:val="21"/>
        </w:rPr>
        <w:t>would </w:t>
      </w:r>
      <w:r>
        <w:rPr>
          <w:spacing w:val="-3"/>
          <w:sz w:val="21"/>
        </w:rPr>
        <w:t>allow </w:t>
      </w:r>
      <w:r>
        <w:rPr>
          <w:sz w:val="21"/>
        </w:rPr>
        <w:t>the court </w:t>
      </w:r>
      <w:r>
        <w:rPr>
          <w:spacing w:val="-3"/>
          <w:sz w:val="21"/>
        </w:rPr>
        <w:t>to </w:t>
      </w:r>
      <w:r>
        <w:rPr>
          <w:sz w:val="21"/>
        </w:rPr>
        <w:t>vary the </w:t>
      </w:r>
      <w:r>
        <w:rPr>
          <w:spacing w:val="-3"/>
          <w:sz w:val="21"/>
        </w:rPr>
        <w:t>result </w:t>
      </w:r>
      <w:r>
        <w:rPr>
          <w:sz w:val="21"/>
        </w:rPr>
        <w:t>under section </w:t>
      </w:r>
      <w:r>
        <w:rPr>
          <w:spacing w:val="-3"/>
          <w:sz w:val="21"/>
        </w:rPr>
        <w:t>53 </w:t>
      </w:r>
      <w:r>
        <w:rPr>
          <w:sz w:val="21"/>
        </w:rPr>
        <w:t>where a beneficiary </w:t>
      </w:r>
      <w:r>
        <w:rPr>
          <w:spacing w:val="-3"/>
          <w:sz w:val="21"/>
        </w:rPr>
        <w:t>gains </w:t>
      </w:r>
      <w:r>
        <w:rPr>
          <w:sz w:val="21"/>
        </w:rPr>
        <w:t>an </w:t>
      </w:r>
      <w:r>
        <w:rPr>
          <w:spacing w:val="-4"/>
          <w:sz w:val="21"/>
        </w:rPr>
        <w:t>‘unjust </w:t>
      </w:r>
      <w:r>
        <w:rPr>
          <w:sz w:val="21"/>
        </w:rPr>
        <w:t>and disproportionate advantage’ or suffers an </w:t>
      </w:r>
      <w:r>
        <w:rPr>
          <w:spacing w:val="-4"/>
          <w:sz w:val="21"/>
        </w:rPr>
        <w:t>‘unjust </w:t>
      </w:r>
      <w:r>
        <w:rPr>
          <w:sz w:val="21"/>
        </w:rPr>
        <w:t>and disproportionate</w:t>
      </w:r>
      <w:r>
        <w:rPr>
          <w:spacing w:val="13"/>
          <w:sz w:val="21"/>
        </w:rPr>
        <w:t> </w:t>
      </w:r>
      <w:r>
        <w:rPr>
          <w:spacing w:val="-4"/>
          <w:sz w:val="21"/>
        </w:rPr>
        <w:t>disadvantage’.</w:t>
      </w:r>
      <w:r>
        <w:rPr>
          <w:spacing w:val="-4"/>
          <w:position w:val="7"/>
          <w:sz w:val="12"/>
        </w:rPr>
        <w:t>45</w:t>
      </w:r>
    </w:p>
    <w:p>
      <w:pPr>
        <w:pStyle w:val="ListParagraph"/>
        <w:numPr>
          <w:ilvl w:val="1"/>
          <w:numId w:val="22"/>
        </w:numPr>
        <w:tabs>
          <w:tab w:pos="2382" w:val="left" w:leader="none"/>
        </w:tabs>
        <w:spacing w:line="242" w:lineRule="auto" w:before="124" w:after="0"/>
        <w:ind w:left="2381" w:right="1708" w:hanging="794"/>
        <w:jc w:val="both"/>
        <w:rPr>
          <w:sz w:val="12"/>
        </w:rPr>
      </w:pPr>
      <w:r>
        <w:rPr>
          <w:w w:val="105"/>
          <w:sz w:val="21"/>
        </w:rPr>
        <w:t>Participants at the </w:t>
      </w:r>
      <w:r>
        <w:rPr>
          <w:spacing w:val="-4"/>
          <w:w w:val="105"/>
          <w:sz w:val="21"/>
        </w:rPr>
        <w:t>Commission’s </w:t>
      </w:r>
      <w:r>
        <w:rPr>
          <w:spacing w:val="-3"/>
          <w:w w:val="105"/>
          <w:sz w:val="21"/>
        </w:rPr>
        <w:t>wills </w:t>
      </w:r>
      <w:r>
        <w:rPr>
          <w:w w:val="105"/>
          <w:sz w:val="21"/>
        </w:rPr>
        <w:t>roundtable suggested </w:t>
      </w:r>
      <w:r>
        <w:rPr>
          <w:spacing w:val="-3"/>
          <w:w w:val="105"/>
          <w:sz w:val="21"/>
        </w:rPr>
        <w:t>such </w:t>
      </w:r>
      <w:r>
        <w:rPr>
          <w:w w:val="105"/>
          <w:sz w:val="21"/>
        </w:rPr>
        <w:t>a </w:t>
      </w:r>
      <w:r>
        <w:rPr>
          <w:spacing w:val="-3"/>
          <w:w w:val="105"/>
          <w:sz w:val="21"/>
        </w:rPr>
        <w:t>provision could </w:t>
      </w:r>
      <w:r>
        <w:rPr>
          <w:w w:val="105"/>
          <w:sz w:val="21"/>
        </w:rPr>
        <w:t>work </w:t>
      </w:r>
      <w:r>
        <w:rPr>
          <w:spacing w:val="-3"/>
          <w:w w:val="105"/>
          <w:sz w:val="21"/>
        </w:rPr>
        <w:t>well where, for example, </w:t>
      </w:r>
      <w:r>
        <w:rPr>
          <w:w w:val="105"/>
          <w:sz w:val="21"/>
        </w:rPr>
        <w:t>the </w:t>
      </w:r>
      <w:r>
        <w:rPr>
          <w:spacing w:val="-3"/>
          <w:w w:val="105"/>
          <w:sz w:val="21"/>
        </w:rPr>
        <w:t>will originally </w:t>
      </w:r>
      <w:r>
        <w:rPr>
          <w:spacing w:val="-2"/>
          <w:w w:val="105"/>
          <w:sz w:val="21"/>
        </w:rPr>
        <w:t>had </w:t>
      </w:r>
      <w:r>
        <w:rPr>
          <w:w w:val="105"/>
          <w:sz w:val="21"/>
        </w:rPr>
        <w:t>the effect of </w:t>
      </w:r>
      <w:r>
        <w:rPr>
          <w:spacing w:val="-3"/>
          <w:w w:val="105"/>
          <w:sz w:val="21"/>
        </w:rPr>
        <w:t>treating </w:t>
      </w:r>
      <w:r>
        <w:rPr>
          <w:w w:val="105"/>
          <w:sz w:val="21"/>
        </w:rPr>
        <w:t>beneficiaries </w:t>
      </w:r>
      <w:r>
        <w:rPr>
          <w:spacing w:val="-3"/>
          <w:w w:val="105"/>
          <w:sz w:val="21"/>
        </w:rPr>
        <w:t>equally </w:t>
      </w:r>
      <w:r>
        <w:rPr>
          <w:w w:val="105"/>
          <w:sz w:val="21"/>
        </w:rPr>
        <w:t>via specific gifts.</w:t>
      </w:r>
      <w:r>
        <w:rPr>
          <w:spacing w:val="-8"/>
          <w:w w:val="105"/>
          <w:sz w:val="21"/>
        </w:rPr>
        <w:t> </w:t>
      </w:r>
      <w:r>
        <w:rPr>
          <w:spacing w:val="3"/>
          <w:w w:val="105"/>
          <w:position w:val="7"/>
          <w:sz w:val="12"/>
        </w:rPr>
        <w:t>46</w:t>
      </w:r>
    </w:p>
    <w:p>
      <w:pPr>
        <w:pStyle w:val="ListParagraph"/>
        <w:numPr>
          <w:ilvl w:val="1"/>
          <w:numId w:val="22"/>
        </w:numPr>
        <w:tabs>
          <w:tab w:pos="2381" w:val="left" w:leader="none"/>
          <w:tab w:pos="2382" w:val="left" w:leader="none"/>
        </w:tabs>
        <w:spacing w:line="242" w:lineRule="auto" w:before="123" w:after="0"/>
        <w:ind w:left="2381" w:right="1611" w:hanging="794"/>
        <w:jc w:val="left"/>
        <w:rPr>
          <w:sz w:val="12"/>
        </w:rPr>
      </w:pPr>
      <w:r>
        <w:rPr>
          <w:w w:val="105"/>
          <w:sz w:val="21"/>
        </w:rPr>
        <w:t>Some </w:t>
      </w:r>
      <w:r>
        <w:rPr>
          <w:spacing w:val="-4"/>
          <w:w w:val="105"/>
          <w:sz w:val="21"/>
        </w:rPr>
        <w:t>submissions favoured </w:t>
      </w:r>
      <w:r>
        <w:rPr>
          <w:w w:val="105"/>
          <w:sz w:val="21"/>
        </w:rPr>
        <w:t>the </w:t>
      </w:r>
      <w:r>
        <w:rPr>
          <w:spacing w:val="-4"/>
          <w:w w:val="105"/>
          <w:sz w:val="21"/>
        </w:rPr>
        <w:t>Queensland provision </w:t>
      </w:r>
      <w:r>
        <w:rPr>
          <w:spacing w:val="-3"/>
          <w:w w:val="105"/>
          <w:sz w:val="21"/>
        </w:rPr>
        <w:t>where </w:t>
      </w:r>
      <w:r>
        <w:rPr>
          <w:w w:val="105"/>
          <w:sz w:val="21"/>
        </w:rPr>
        <w:t>the court </w:t>
      </w:r>
      <w:r>
        <w:rPr>
          <w:spacing w:val="-3"/>
          <w:w w:val="105"/>
          <w:sz w:val="21"/>
        </w:rPr>
        <w:t>may order </w:t>
      </w:r>
      <w:r>
        <w:rPr>
          <w:spacing w:val="-4"/>
          <w:w w:val="105"/>
          <w:sz w:val="21"/>
        </w:rPr>
        <w:t>‘compensation’ </w:t>
      </w:r>
      <w:r>
        <w:rPr>
          <w:spacing w:val="-3"/>
          <w:w w:val="105"/>
          <w:sz w:val="21"/>
        </w:rPr>
        <w:t>from </w:t>
      </w:r>
      <w:r>
        <w:rPr>
          <w:w w:val="105"/>
          <w:sz w:val="21"/>
        </w:rPr>
        <w:t>the </w:t>
      </w:r>
      <w:r>
        <w:rPr>
          <w:spacing w:val="-3"/>
          <w:w w:val="105"/>
          <w:sz w:val="21"/>
        </w:rPr>
        <w:t>estate </w:t>
      </w:r>
      <w:r>
        <w:rPr>
          <w:w w:val="105"/>
          <w:sz w:val="21"/>
        </w:rPr>
        <w:t>based on the </w:t>
      </w:r>
      <w:r>
        <w:rPr>
          <w:spacing w:val="-3"/>
          <w:w w:val="105"/>
          <w:sz w:val="21"/>
        </w:rPr>
        <w:t>actions of </w:t>
      </w:r>
      <w:r>
        <w:rPr>
          <w:w w:val="105"/>
          <w:sz w:val="21"/>
        </w:rPr>
        <w:t>a person </w:t>
      </w:r>
      <w:r>
        <w:rPr>
          <w:spacing w:val="-3"/>
          <w:w w:val="105"/>
          <w:sz w:val="21"/>
        </w:rPr>
        <w:t>acting under </w:t>
      </w:r>
      <w:r>
        <w:rPr>
          <w:w w:val="105"/>
          <w:sz w:val="21"/>
        </w:rPr>
        <w:t>an </w:t>
      </w:r>
      <w:r>
        <w:rPr>
          <w:spacing w:val="-4"/>
          <w:w w:val="105"/>
          <w:sz w:val="21"/>
        </w:rPr>
        <w:t>enduring </w:t>
      </w:r>
      <w:r>
        <w:rPr>
          <w:spacing w:val="-3"/>
          <w:w w:val="105"/>
          <w:sz w:val="21"/>
        </w:rPr>
        <w:t>power of attorney </w:t>
      </w:r>
      <w:r>
        <w:rPr>
          <w:w w:val="105"/>
          <w:sz w:val="21"/>
        </w:rPr>
        <w:t>if the </w:t>
      </w:r>
      <w:r>
        <w:rPr>
          <w:spacing w:val="-3"/>
          <w:w w:val="105"/>
          <w:sz w:val="21"/>
        </w:rPr>
        <w:t>‘same interest’ </w:t>
      </w:r>
      <w:r>
        <w:rPr>
          <w:spacing w:val="-4"/>
          <w:w w:val="105"/>
          <w:sz w:val="21"/>
        </w:rPr>
        <w:t>cannot </w:t>
      </w:r>
      <w:r>
        <w:rPr>
          <w:w w:val="105"/>
          <w:sz w:val="21"/>
        </w:rPr>
        <w:t>be </w:t>
      </w:r>
      <w:r>
        <w:rPr>
          <w:spacing w:val="-3"/>
          <w:w w:val="105"/>
          <w:sz w:val="21"/>
        </w:rPr>
        <w:t>achieved by </w:t>
      </w:r>
      <w:r>
        <w:rPr>
          <w:w w:val="105"/>
          <w:sz w:val="21"/>
        </w:rPr>
        <w:t>a </w:t>
      </w:r>
      <w:r>
        <w:rPr>
          <w:spacing w:val="-4"/>
          <w:w w:val="105"/>
          <w:sz w:val="21"/>
        </w:rPr>
        <w:t>legislative exception </w:t>
      </w:r>
      <w:r>
        <w:rPr>
          <w:spacing w:val="-3"/>
          <w:w w:val="105"/>
          <w:sz w:val="21"/>
        </w:rPr>
        <w:t>to ademption.</w:t>
      </w:r>
      <w:r>
        <w:rPr>
          <w:spacing w:val="-3"/>
          <w:w w:val="105"/>
          <w:position w:val="7"/>
          <w:sz w:val="12"/>
        </w:rPr>
        <w:t>47 </w:t>
      </w:r>
      <w:r>
        <w:rPr>
          <w:spacing w:val="-5"/>
          <w:w w:val="105"/>
          <w:sz w:val="21"/>
        </w:rPr>
        <w:t>However, </w:t>
      </w:r>
      <w:r>
        <w:rPr>
          <w:w w:val="105"/>
          <w:sz w:val="21"/>
        </w:rPr>
        <w:t>Moores </w:t>
      </w:r>
      <w:r>
        <w:rPr>
          <w:spacing w:val="-3"/>
          <w:w w:val="105"/>
          <w:sz w:val="21"/>
        </w:rPr>
        <w:t>Legal noted that this </w:t>
      </w:r>
      <w:r>
        <w:rPr>
          <w:w w:val="105"/>
          <w:sz w:val="21"/>
        </w:rPr>
        <w:t>is </w:t>
      </w:r>
      <w:r>
        <w:rPr>
          <w:spacing w:val="-3"/>
          <w:w w:val="105"/>
          <w:sz w:val="21"/>
        </w:rPr>
        <w:t>not </w:t>
      </w:r>
      <w:r>
        <w:rPr>
          <w:w w:val="105"/>
          <w:sz w:val="21"/>
        </w:rPr>
        <w:t>a </w:t>
      </w:r>
      <w:r>
        <w:rPr>
          <w:spacing w:val="-3"/>
          <w:w w:val="105"/>
          <w:sz w:val="21"/>
        </w:rPr>
        <w:t>jurisdiction of compensation and this terminology </w:t>
      </w:r>
      <w:r>
        <w:rPr>
          <w:w w:val="105"/>
          <w:sz w:val="21"/>
        </w:rPr>
        <w:t>is </w:t>
      </w:r>
      <w:r>
        <w:rPr>
          <w:spacing w:val="-4"/>
          <w:w w:val="105"/>
          <w:sz w:val="21"/>
        </w:rPr>
        <w:t>therefore </w:t>
      </w:r>
      <w:r>
        <w:rPr>
          <w:w w:val="105"/>
          <w:sz w:val="21"/>
        </w:rPr>
        <w:t>less </w:t>
      </w:r>
      <w:r>
        <w:rPr>
          <w:spacing w:val="-4"/>
          <w:w w:val="105"/>
          <w:sz w:val="21"/>
        </w:rPr>
        <w:t>appealing </w:t>
      </w:r>
      <w:r>
        <w:rPr>
          <w:spacing w:val="-3"/>
          <w:w w:val="105"/>
          <w:sz w:val="21"/>
        </w:rPr>
        <w:t>than </w:t>
      </w:r>
      <w:r>
        <w:rPr>
          <w:w w:val="105"/>
          <w:sz w:val="21"/>
        </w:rPr>
        <w:t>the New </w:t>
      </w:r>
      <w:r>
        <w:rPr>
          <w:spacing w:val="-3"/>
          <w:w w:val="105"/>
          <w:sz w:val="21"/>
        </w:rPr>
        <w:t>South </w:t>
      </w:r>
      <w:r>
        <w:rPr>
          <w:spacing w:val="-4"/>
          <w:w w:val="105"/>
          <w:sz w:val="21"/>
        </w:rPr>
        <w:t>Wales</w:t>
      </w:r>
      <w:r>
        <w:rPr>
          <w:spacing w:val="13"/>
          <w:w w:val="105"/>
          <w:sz w:val="21"/>
        </w:rPr>
        <w:t> </w:t>
      </w:r>
      <w:r>
        <w:rPr>
          <w:w w:val="105"/>
          <w:sz w:val="21"/>
        </w:rPr>
        <w:t>model.</w:t>
      </w:r>
      <w:r>
        <w:rPr>
          <w:w w:val="105"/>
          <w:position w:val="7"/>
          <w:sz w:val="12"/>
        </w:rPr>
        <w:t>48</w:t>
      </w:r>
    </w:p>
    <w:p>
      <w:pPr>
        <w:pStyle w:val="ListParagraph"/>
        <w:numPr>
          <w:ilvl w:val="1"/>
          <w:numId w:val="22"/>
        </w:numPr>
        <w:tabs>
          <w:tab w:pos="2381" w:val="left" w:leader="none"/>
          <w:tab w:pos="2382" w:val="left" w:leader="none"/>
        </w:tabs>
        <w:spacing w:line="242" w:lineRule="auto" w:before="126" w:after="0"/>
        <w:ind w:left="2381" w:right="1743" w:hanging="794"/>
        <w:jc w:val="left"/>
        <w:rPr>
          <w:sz w:val="21"/>
        </w:rPr>
      </w:pPr>
      <w:r>
        <w:rPr>
          <w:sz w:val="21"/>
        </w:rPr>
        <w:t>An ability </w:t>
      </w:r>
      <w:r>
        <w:rPr>
          <w:spacing w:val="-3"/>
          <w:sz w:val="21"/>
        </w:rPr>
        <w:t>to </w:t>
      </w:r>
      <w:r>
        <w:rPr>
          <w:sz w:val="21"/>
        </w:rPr>
        <w:t>apply </w:t>
      </w:r>
      <w:r>
        <w:rPr>
          <w:spacing w:val="-3"/>
          <w:sz w:val="21"/>
        </w:rPr>
        <w:t>to </w:t>
      </w:r>
      <w:r>
        <w:rPr>
          <w:sz w:val="21"/>
        </w:rPr>
        <w:t>the </w:t>
      </w:r>
      <w:r>
        <w:rPr>
          <w:spacing w:val="-3"/>
          <w:sz w:val="21"/>
        </w:rPr>
        <w:t>Supreme Court for </w:t>
      </w:r>
      <w:r>
        <w:rPr>
          <w:sz w:val="21"/>
        </w:rPr>
        <w:t>an order where the operation of the ademption </w:t>
      </w:r>
      <w:r>
        <w:rPr>
          <w:spacing w:val="-3"/>
          <w:sz w:val="21"/>
        </w:rPr>
        <w:t>rule, </w:t>
      </w:r>
      <w:r>
        <w:rPr>
          <w:sz w:val="21"/>
        </w:rPr>
        <w:t>or an </w:t>
      </w:r>
      <w:r>
        <w:rPr>
          <w:spacing w:val="-3"/>
          <w:sz w:val="21"/>
        </w:rPr>
        <w:t>exception to </w:t>
      </w:r>
      <w:r>
        <w:rPr>
          <w:sz w:val="21"/>
        </w:rPr>
        <w:t>the </w:t>
      </w:r>
      <w:r>
        <w:rPr>
          <w:spacing w:val="-3"/>
          <w:sz w:val="21"/>
        </w:rPr>
        <w:t>rule, </w:t>
      </w:r>
      <w:r>
        <w:rPr>
          <w:sz w:val="21"/>
        </w:rPr>
        <w:t>leads </w:t>
      </w:r>
      <w:r>
        <w:rPr>
          <w:spacing w:val="-3"/>
          <w:sz w:val="21"/>
        </w:rPr>
        <w:t>to </w:t>
      </w:r>
      <w:r>
        <w:rPr>
          <w:sz w:val="21"/>
        </w:rPr>
        <w:t>a beneficiary </w:t>
      </w:r>
      <w:r>
        <w:rPr>
          <w:spacing w:val="-4"/>
          <w:sz w:val="21"/>
        </w:rPr>
        <w:t>‘gaining </w:t>
      </w:r>
      <w:r>
        <w:rPr>
          <w:sz w:val="21"/>
        </w:rPr>
        <w:t>an </w:t>
      </w:r>
      <w:r>
        <w:rPr>
          <w:spacing w:val="-3"/>
          <w:sz w:val="21"/>
        </w:rPr>
        <w:t>unjust </w:t>
      </w:r>
      <w:r>
        <w:rPr>
          <w:sz w:val="21"/>
        </w:rPr>
        <w:t>and disproportionate advantage or </w:t>
      </w:r>
      <w:r>
        <w:rPr>
          <w:spacing w:val="-3"/>
          <w:sz w:val="21"/>
        </w:rPr>
        <w:t>suffering </w:t>
      </w:r>
      <w:r>
        <w:rPr>
          <w:sz w:val="21"/>
        </w:rPr>
        <w:t>an </w:t>
      </w:r>
      <w:r>
        <w:rPr>
          <w:spacing w:val="-3"/>
          <w:sz w:val="21"/>
        </w:rPr>
        <w:t>unjust </w:t>
      </w:r>
      <w:r>
        <w:rPr>
          <w:sz w:val="21"/>
        </w:rPr>
        <w:t>and disproportionate disadvantage’ would be a </w:t>
      </w:r>
      <w:r>
        <w:rPr>
          <w:spacing w:val="-3"/>
          <w:sz w:val="21"/>
        </w:rPr>
        <w:t>useful </w:t>
      </w:r>
      <w:r>
        <w:rPr>
          <w:sz w:val="21"/>
        </w:rPr>
        <w:t>addition </w:t>
      </w:r>
      <w:r>
        <w:rPr>
          <w:spacing w:val="-3"/>
          <w:sz w:val="21"/>
        </w:rPr>
        <w:t>to </w:t>
      </w:r>
      <w:r>
        <w:rPr>
          <w:sz w:val="21"/>
        </w:rPr>
        <w:t>the </w:t>
      </w:r>
      <w:r>
        <w:rPr>
          <w:spacing w:val="-3"/>
          <w:sz w:val="21"/>
        </w:rPr>
        <w:t>legislation. </w:t>
      </w:r>
      <w:r>
        <w:rPr>
          <w:sz w:val="21"/>
        </w:rPr>
        <w:t>There would be no need </w:t>
      </w:r>
      <w:r>
        <w:rPr>
          <w:spacing w:val="-3"/>
          <w:sz w:val="21"/>
        </w:rPr>
        <w:t>for </w:t>
      </w:r>
      <w:r>
        <w:rPr>
          <w:sz w:val="21"/>
        </w:rPr>
        <w:t>the </w:t>
      </w:r>
      <w:r>
        <w:rPr>
          <w:spacing w:val="-3"/>
          <w:sz w:val="21"/>
        </w:rPr>
        <w:t>substitute </w:t>
      </w:r>
      <w:r>
        <w:rPr>
          <w:sz w:val="21"/>
        </w:rPr>
        <w:t>decision </w:t>
      </w:r>
      <w:r>
        <w:rPr>
          <w:spacing w:val="-4"/>
          <w:sz w:val="21"/>
        </w:rPr>
        <w:t>maker </w:t>
      </w:r>
      <w:r>
        <w:rPr>
          <w:spacing w:val="-3"/>
          <w:sz w:val="21"/>
        </w:rPr>
        <w:t>to </w:t>
      </w:r>
      <w:r>
        <w:rPr>
          <w:sz w:val="21"/>
        </w:rPr>
        <w:t>know the </w:t>
      </w:r>
      <w:r>
        <w:rPr>
          <w:spacing w:val="-3"/>
          <w:sz w:val="21"/>
        </w:rPr>
        <w:t>contents </w:t>
      </w:r>
      <w:r>
        <w:rPr>
          <w:sz w:val="21"/>
        </w:rPr>
        <w:t>of the </w:t>
      </w:r>
      <w:r>
        <w:rPr>
          <w:spacing w:val="-3"/>
          <w:sz w:val="21"/>
        </w:rPr>
        <w:t>represented person’s will  </w:t>
      </w:r>
      <w:r>
        <w:rPr>
          <w:sz w:val="21"/>
        </w:rPr>
        <w:t>and it would </w:t>
      </w:r>
      <w:r>
        <w:rPr>
          <w:spacing w:val="-3"/>
          <w:sz w:val="21"/>
        </w:rPr>
        <w:t>allow</w:t>
      </w:r>
      <w:r>
        <w:rPr>
          <w:spacing w:val="41"/>
          <w:sz w:val="21"/>
        </w:rPr>
        <w:t> </w:t>
      </w:r>
      <w:r>
        <w:rPr>
          <w:sz w:val="21"/>
        </w:rPr>
        <w:t>the court </w:t>
      </w:r>
      <w:r>
        <w:rPr>
          <w:spacing w:val="-3"/>
          <w:sz w:val="21"/>
        </w:rPr>
        <w:t>to later </w:t>
      </w:r>
      <w:r>
        <w:rPr>
          <w:sz w:val="21"/>
        </w:rPr>
        <w:t>adjust the beneficiaries’ entitlements </w:t>
      </w:r>
      <w:r>
        <w:rPr>
          <w:spacing w:val="-3"/>
          <w:sz w:val="21"/>
        </w:rPr>
        <w:t>to </w:t>
      </w:r>
      <w:r>
        <w:rPr>
          <w:sz w:val="21"/>
        </w:rPr>
        <w:t>better reflect the </w:t>
      </w:r>
      <w:r>
        <w:rPr>
          <w:spacing w:val="-3"/>
          <w:sz w:val="21"/>
        </w:rPr>
        <w:t>intentions </w:t>
      </w:r>
      <w:r>
        <w:rPr>
          <w:sz w:val="21"/>
        </w:rPr>
        <w:t>of the</w:t>
      </w:r>
      <w:r>
        <w:rPr>
          <w:spacing w:val="8"/>
          <w:sz w:val="21"/>
        </w:rPr>
        <w:t> </w:t>
      </w:r>
      <w:r>
        <w:rPr>
          <w:spacing w:val="-4"/>
          <w:sz w:val="21"/>
        </w:rPr>
        <w:t>will-maker.</w:t>
      </w:r>
    </w:p>
    <w:p>
      <w:pPr>
        <w:pStyle w:val="BodyText"/>
        <w:rPr>
          <w:sz w:val="20"/>
        </w:rPr>
      </w:pPr>
    </w:p>
    <w:p>
      <w:pPr>
        <w:pStyle w:val="BodyText"/>
        <w:spacing w:before="3"/>
        <w:rPr>
          <w:sz w:val="24"/>
        </w:rPr>
      </w:pPr>
      <w:r>
        <w:rPr/>
        <w:pict>
          <v:line style="position:absolute;mso-position-horizontal-relative:page;mso-position-vertical-relative:paragraph;z-index:2000;mso-wrap-distance-left:0;mso-wrap-distance-right:0" from="79.370003pt,17.266993pt" to="515.905003pt,17.266993pt" stroked="true" strokeweight="1pt" strokecolor="#f9ceca">
            <v:stroke dashstyle="solid"/>
            <w10:wrap type="topAndBottom"/>
          </v:line>
        </w:pict>
      </w:r>
    </w:p>
    <w:p>
      <w:pPr>
        <w:pStyle w:val="ListParagraph"/>
        <w:numPr>
          <w:ilvl w:val="0"/>
          <w:numId w:val="42"/>
        </w:numPr>
        <w:tabs>
          <w:tab w:pos="2380" w:val="left" w:leader="none"/>
          <w:tab w:pos="2382" w:val="left" w:leader="none"/>
        </w:tabs>
        <w:spacing w:line="240" w:lineRule="auto" w:before="117" w:after="0"/>
        <w:ind w:left="2381" w:right="0" w:hanging="794"/>
        <w:jc w:val="left"/>
        <w:rPr>
          <w:sz w:val="13"/>
        </w:rPr>
      </w:pPr>
      <w:r>
        <w:rPr>
          <w:i/>
          <w:w w:val="105"/>
          <w:sz w:val="13"/>
        </w:rPr>
        <w:t>Powers</w:t>
      </w:r>
      <w:r>
        <w:rPr>
          <w:i/>
          <w:spacing w:val="3"/>
          <w:w w:val="105"/>
          <w:sz w:val="13"/>
        </w:rPr>
        <w:t> </w:t>
      </w:r>
      <w:r>
        <w:rPr>
          <w:i/>
          <w:w w:val="105"/>
          <w:sz w:val="13"/>
        </w:rPr>
        <w:t>of</w:t>
      </w:r>
      <w:r>
        <w:rPr>
          <w:i/>
          <w:spacing w:val="4"/>
          <w:w w:val="105"/>
          <w:sz w:val="13"/>
        </w:rPr>
        <w:t> </w:t>
      </w:r>
      <w:r>
        <w:rPr>
          <w:i/>
          <w:w w:val="105"/>
          <w:sz w:val="13"/>
        </w:rPr>
        <w:t>Attorney</w:t>
      </w:r>
      <w:r>
        <w:rPr>
          <w:i/>
          <w:spacing w:val="4"/>
          <w:w w:val="105"/>
          <w:sz w:val="13"/>
        </w:rPr>
        <w:t> </w:t>
      </w:r>
      <w:r>
        <w:rPr>
          <w:i/>
          <w:w w:val="105"/>
          <w:sz w:val="13"/>
        </w:rPr>
        <w:t>Act</w:t>
      </w:r>
      <w:r>
        <w:rPr>
          <w:i/>
          <w:spacing w:val="4"/>
          <w:w w:val="105"/>
          <w:sz w:val="13"/>
        </w:rPr>
        <w:t> </w:t>
      </w:r>
      <w:r>
        <w:rPr>
          <w:i/>
          <w:w w:val="105"/>
          <w:sz w:val="13"/>
        </w:rPr>
        <w:t>2003</w:t>
      </w:r>
      <w:r>
        <w:rPr>
          <w:i/>
          <w:spacing w:val="5"/>
          <w:w w:val="105"/>
          <w:sz w:val="13"/>
        </w:rPr>
        <w:t> </w:t>
      </w:r>
      <w:r>
        <w:rPr>
          <w:spacing w:val="3"/>
          <w:w w:val="105"/>
          <w:sz w:val="13"/>
        </w:rPr>
        <w:t>(NSW)</w:t>
      </w:r>
      <w:r>
        <w:rPr>
          <w:spacing w:val="5"/>
          <w:w w:val="105"/>
          <w:sz w:val="13"/>
        </w:rPr>
        <w:t> </w:t>
      </w:r>
      <w:r>
        <w:rPr>
          <w:w w:val="105"/>
          <w:sz w:val="13"/>
        </w:rPr>
        <w:t>s</w:t>
      </w:r>
      <w:r>
        <w:rPr>
          <w:spacing w:val="5"/>
          <w:w w:val="105"/>
          <w:sz w:val="13"/>
        </w:rPr>
        <w:t> </w:t>
      </w:r>
      <w:r>
        <w:rPr>
          <w:w w:val="105"/>
          <w:sz w:val="13"/>
        </w:rPr>
        <w:t>22–3;</w:t>
      </w:r>
      <w:r>
        <w:rPr>
          <w:spacing w:val="5"/>
          <w:w w:val="105"/>
          <w:sz w:val="13"/>
        </w:rPr>
        <w:t> </w:t>
      </w:r>
      <w:r>
        <w:rPr>
          <w:i/>
          <w:w w:val="105"/>
          <w:sz w:val="13"/>
        </w:rPr>
        <w:t>NSW</w:t>
      </w:r>
      <w:r>
        <w:rPr>
          <w:i/>
          <w:spacing w:val="4"/>
          <w:w w:val="105"/>
          <w:sz w:val="13"/>
        </w:rPr>
        <w:t> </w:t>
      </w:r>
      <w:r>
        <w:rPr>
          <w:i/>
          <w:w w:val="105"/>
          <w:sz w:val="13"/>
        </w:rPr>
        <w:t>Trustee</w:t>
      </w:r>
      <w:r>
        <w:rPr>
          <w:i/>
          <w:spacing w:val="4"/>
          <w:w w:val="105"/>
          <w:sz w:val="13"/>
        </w:rPr>
        <w:t> </w:t>
      </w:r>
      <w:r>
        <w:rPr>
          <w:i/>
          <w:w w:val="105"/>
          <w:sz w:val="13"/>
        </w:rPr>
        <w:t>and</w:t>
      </w:r>
      <w:r>
        <w:rPr>
          <w:i/>
          <w:spacing w:val="4"/>
          <w:w w:val="105"/>
          <w:sz w:val="13"/>
        </w:rPr>
        <w:t> </w:t>
      </w:r>
      <w:r>
        <w:rPr>
          <w:i/>
          <w:w w:val="105"/>
          <w:sz w:val="13"/>
        </w:rPr>
        <w:t>Guardian</w:t>
      </w:r>
      <w:r>
        <w:rPr>
          <w:i/>
          <w:spacing w:val="4"/>
          <w:w w:val="105"/>
          <w:sz w:val="13"/>
        </w:rPr>
        <w:t> </w:t>
      </w:r>
      <w:r>
        <w:rPr>
          <w:i/>
          <w:w w:val="105"/>
          <w:sz w:val="13"/>
        </w:rPr>
        <w:t>Act</w:t>
      </w:r>
      <w:r>
        <w:rPr>
          <w:i/>
          <w:spacing w:val="4"/>
          <w:w w:val="105"/>
          <w:sz w:val="13"/>
        </w:rPr>
        <w:t> </w:t>
      </w:r>
      <w:r>
        <w:rPr>
          <w:i/>
          <w:w w:val="105"/>
          <w:sz w:val="13"/>
        </w:rPr>
        <w:t>2009</w:t>
      </w:r>
      <w:r>
        <w:rPr>
          <w:i/>
          <w:spacing w:val="5"/>
          <w:w w:val="105"/>
          <w:sz w:val="13"/>
        </w:rPr>
        <w:t> </w:t>
      </w:r>
      <w:r>
        <w:rPr>
          <w:spacing w:val="3"/>
          <w:w w:val="105"/>
          <w:sz w:val="13"/>
        </w:rPr>
        <w:t>(NSW)</w:t>
      </w:r>
      <w:r>
        <w:rPr>
          <w:spacing w:val="5"/>
          <w:w w:val="105"/>
          <w:sz w:val="13"/>
        </w:rPr>
        <w:t> </w:t>
      </w:r>
      <w:r>
        <w:rPr>
          <w:w w:val="105"/>
          <w:sz w:val="13"/>
        </w:rPr>
        <w:t>s</w:t>
      </w:r>
      <w:r>
        <w:rPr>
          <w:spacing w:val="5"/>
          <w:w w:val="105"/>
          <w:sz w:val="13"/>
        </w:rPr>
        <w:t> </w:t>
      </w:r>
      <w:r>
        <w:rPr>
          <w:w w:val="105"/>
          <w:sz w:val="13"/>
        </w:rPr>
        <w:t>83.</w:t>
      </w:r>
    </w:p>
    <w:p>
      <w:pPr>
        <w:pStyle w:val="ListParagraph"/>
        <w:numPr>
          <w:ilvl w:val="0"/>
          <w:numId w:val="42"/>
        </w:numPr>
        <w:tabs>
          <w:tab w:pos="2380" w:val="left" w:leader="none"/>
          <w:tab w:pos="2382" w:val="left" w:leader="none"/>
        </w:tabs>
        <w:spacing w:line="240" w:lineRule="auto" w:before="1" w:after="0"/>
        <w:ind w:left="2381" w:right="0" w:hanging="794"/>
        <w:jc w:val="left"/>
        <w:rPr>
          <w:sz w:val="13"/>
        </w:rPr>
      </w:pPr>
      <w:r>
        <w:rPr>
          <w:i/>
          <w:w w:val="105"/>
          <w:sz w:val="13"/>
        </w:rPr>
        <w:t>Powers of Attorney Act 2003 </w:t>
      </w:r>
      <w:r>
        <w:rPr>
          <w:spacing w:val="3"/>
          <w:w w:val="105"/>
          <w:sz w:val="13"/>
        </w:rPr>
        <w:t>(NSW) </w:t>
      </w:r>
      <w:r>
        <w:rPr>
          <w:w w:val="105"/>
          <w:sz w:val="13"/>
        </w:rPr>
        <w:t>s</w:t>
      </w:r>
      <w:r>
        <w:rPr>
          <w:spacing w:val="25"/>
          <w:w w:val="105"/>
          <w:sz w:val="13"/>
        </w:rPr>
        <w:t> </w:t>
      </w:r>
      <w:r>
        <w:rPr>
          <w:w w:val="105"/>
          <w:sz w:val="13"/>
        </w:rPr>
        <w:t>23.</w:t>
      </w:r>
    </w:p>
    <w:p>
      <w:pPr>
        <w:pStyle w:val="ListParagraph"/>
        <w:numPr>
          <w:ilvl w:val="0"/>
          <w:numId w:val="42"/>
        </w:numPr>
        <w:tabs>
          <w:tab w:pos="2380" w:val="left" w:leader="none"/>
          <w:tab w:pos="2382" w:val="left" w:leader="none"/>
        </w:tabs>
        <w:spacing w:line="240" w:lineRule="auto" w:before="2" w:after="0"/>
        <w:ind w:left="2381" w:right="0" w:hanging="794"/>
        <w:jc w:val="left"/>
        <w:rPr>
          <w:sz w:val="13"/>
        </w:rPr>
      </w:pPr>
      <w:r>
        <w:rPr>
          <w:i/>
          <w:w w:val="105"/>
          <w:sz w:val="13"/>
        </w:rPr>
        <w:t>Powers</w:t>
      </w:r>
      <w:r>
        <w:rPr>
          <w:i/>
          <w:spacing w:val="4"/>
          <w:w w:val="105"/>
          <w:sz w:val="13"/>
        </w:rPr>
        <w:t> </w:t>
      </w:r>
      <w:r>
        <w:rPr>
          <w:i/>
          <w:w w:val="105"/>
          <w:sz w:val="13"/>
        </w:rPr>
        <w:t>of</w:t>
      </w:r>
      <w:r>
        <w:rPr>
          <w:i/>
          <w:spacing w:val="4"/>
          <w:w w:val="105"/>
          <w:sz w:val="13"/>
        </w:rPr>
        <w:t> </w:t>
      </w:r>
      <w:r>
        <w:rPr>
          <w:i/>
          <w:w w:val="105"/>
          <w:sz w:val="13"/>
        </w:rPr>
        <w:t>Attorney</w:t>
      </w:r>
      <w:r>
        <w:rPr>
          <w:i/>
          <w:spacing w:val="4"/>
          <w:w w:val="105"/>
          <w:sz w:val="13"/>
        </w:rPr>
        <w:t> </w:t>
      </w:r>
      <w:r>
        <w:rPr>
          <w:i/>
          <w:w w:val="105"/>
          <w:sz w:val="13"/>
        </w:rPr>
        <w:t>and</w:t>
      </w:r>
      <w:r>
        <w:rPr>
          <w:i/>
          <w:spacing w:val="4"/>
          <w:w w:val="105"/>
          <w:sz w:val="13"/>
        </w:rPr>
        <w:t> </w:t>
      </w:r>
      <w:r>
        <w:rPr>
          <w:i/>
          <w:w w:val="105"/>
          <w:sz w:val="13"/>
        </w:rPr>
        <w:t>Agency</w:t>
      </w:r>
      <w:r>
        <w:rPr>
          <w:i/>
          <w:spacing w:val="4"/>
          <w:w w:val="105"/>
          <w:sz w:val="13"/>
        </w:rPr>
        <w:t> </w:t>
      </w:r>
      <w:r>
        <w:rPr>
          <w:i/>
          <w:w w:val="105"/>
          <w:sz w:val="13"/>
        </w:rPr>
        <w:t>Act</w:t>
      </w:r>
      <w:r>
        <w:rPr>
          <w:i/>
          <w:spacing w:val="5"/>
          <w:w w:val="105"/>
          <w:sz w:val="13"/>
        </w:rPr>
        <w:t> </w:t>
      </w:r>
      <w:r>
        <w:rPr>
          <w:i/>
          <w:w w:val="105"/>
          <w:sz w:val="13"/>
        </w:rPr>
        <w:t>1984</w:t>
      </w:r>
      <w:r>
        <w:rPr>
          <w:i/>
          <w:spacing w:val="5"/>
          <w:w w:val="105"/>
          <w:sz w:val="13"/>
        </w:rPr>
        <w:t> </w:t>
      </w:r>
      <w:r>
        <w:rPr>
          <w:spacing w:val="2"/>
          <w:w w:val="105"/>
          <w:sz w:val="13"/>
        </w:rPr>
        <w:t>(SA)</w:t>
      </w:r>
      <w:r>
        <w:rPr>
          <w:spacing w:val="5"/>
          <w:w w:val="105"/>
          <w:sz w:val="13"/>
        </w:rPr>
        <w:t> </w:t>
      </w:r>
      <w:r>
        <w:rPr>
          <w:w w:val="105"/>
          <w:sz w:val="13"/>
        </w:rPr>
        <w:t>s</w:t>
      </w:r>
      <w:r>
        <w:rPr>
          <w:spacing w:val="5"/>
          <w:w w:val="105"/>
          <w:sz w:val="13"/>
        </w:rPr>
        <w:t> </w:t>
      </w:r>
      <w:r>
        <w:rPr>
          <w:spacing w:val="-3"/>
          <w:w w:val="105"/>
          <w:sz w:val="13"/>
        </w:rPr>
        <w:t>11A;</w:t>
      </w:r>
      <w:r>
        <w:rPr>
          <w:spacing w:val="5"/>
          <w:w w:val="105"/>
          <w:sz w:val="13"/>
        </w:rPr>
        <w:t> </w:t>
      </w:r>
      <w:r>
        <w:rPr>
          <w:i/>
          <w:w w:val="105"/>
          <w:sz w:val="13"/>
        </w:rPr>
        <w:t>Guardianship</w:t>
      </w:r>
      <w:r>
        <w:rPr>
          <w:i/>
          <w:spacing w:val="5"/>
          <w:w w:val="105"/>
          <w:sz w:val="13"/>
        </w:rPr>
        <w:t> </w:t>
      </w:r>
      <w:r>
        <w:rPr>
          <w:i/>
          <w:w w:val="105"/>
          <w:sz w:val="13"/>
        </w:rPr>
        <w:t>and</w:t>
      </w:r>
      <w:r>
        <w:rPr>
          <w:i/>
          <w:spacing w:val="4"/>
          <w:w w:val="105"/>
          <w:sz w:val="13"/>
        </w:rPr>
        <w:t> </w:t>
      </w:r>
      <w:r>
        <w:rPr>
          <w:i/>
          <w:w w:val="105"/>
          <w:sz w:val="13"/>
        </w:rPr>
        <w:t>Administration</w:t>
      </w:r>
      <w:r>
        <w:rPr>
          <w:i/>
          <w:spacing w:val="4"/>
          <w:w w:val="105"/>
          <w:sz w:val="13"/>
        </w:rPr>
        <w:t> </w:t>
      </w:r>
      <w:r>
        <w:rPr>
          <w:i/>
          <w:w w:val="105"/>
          <w:sz w:val="13"/>
        </w:rPr>
        <w:t>Act</w:t>
      </w:r>
      <w:r>
        <w:rPr>
          <w:i/>
          <w:spacing w:val="5"/>
          <w:w w:val="105"/>
          <w:sz w:val="13"/>
        </w:rPr>
        <w:t> </w:t>
      </w:r>
      <w:r>
        <w:rPr>
          <w:w w:val="105"/>
          <w:sz w:val="13"/>
        </w:rPr>
        <w:t>1993</w:t>
      </w:r>
      <w:r>
        <w:rPr>
          <w:spacing w:val="5"/>
          <w:w w:val="105"/>
          <w:sz w:val="13"/>
        </w:rPr>
        <w:t> </w:t>
      </w:r>
      <w:r>
        <w:rPr>
          <w:spacing w:val="2"/>
          <w:w w:val="105"/>
          <w:sz w:val="13"/>
        </w:rPr>
        <w:t>(SA)</w:t>
      </w:r>
      <w:r>
        <w:rPr>
          <w:spacing w:val="6"/>
          <w:w w:val="105"/>
          <w:sz w:val="13"/>
        </w:rPr>
        <w:t> </w:t>
      </w:r>
      <w:r>
        <w:rPr>
          <w:w w:val="105"/>
          <w:sz w:val="13"/>
        </w:rPr>
        <w:t>s</w:t>
      </w:r>
      <w:r>
        <w:rPr>
          <w:spacing w:val="5"/>
          <w:w w:val="105"/>
          <w:sz w:val="13"/>
        </w:rPr>
        <w:t> </w:t>
      </w:r>
      <w:r>
        <w:rPr>
          <w:w w:val="105"/>
          <w:sz w:val="13"/>
        </w:rPr>
        <w:t>43.</w:t>
      </w:r>
    </w:p>
    <w:p>
      <w:pPr>
        <w:pStyle w:val="ListParagraph"/>
        <w:numPr>
          <w:ilvl w:val="0"/>
          <w:numId w:val="42"/>
        </w:numPr>
        <w:tabs>
          <w:tab w:pos="2380" w:val="left" w:leader="none"/>
          <w:tab w:pos="2382" w:val="left" w:leader="none"/>
        </w:tabs>
        <w:spacing w:line="240" w:lineRule="auto" w:before="1" w:after="0"/>
        <w:ind w:left="2381" w:right="0" w:hanging="794"/>
        <w:jc w:val="left"/>
        <w:rPr>
          <w:sz w:val="13"/>
        </w:rPr>
      </w:pPr>
      <w:r>
        <w:rPr>
          <w:i/>
          <w:w w:val="105"/>
          <w:sz w:val="13"/>
        </w:rPr>
        <w:t>Powers</w:t>
      </w:r>
      <w:r>
        <w:rPr>
          <w:i/>
          <w:spacing w:val="3"/>
          <w:w w:val="105"/>
          <w:sz w:val="13"/>
        </w:rPr>
        <w:t> </w:t>
      </w:r>
      <w:r>
        <w:rPr>
          <w:i/>
          <w:w w:val="105"/>
          <w:sz w:val="13"/>
        </w:rPr>
        <w:t>of</w:t>
      </w:r>
      <w:r>
        <w:rPr>
          <w:i/>
          <w:spacing w:val="4"/>
          <w:w w:val="105"/>
          <w:sz w:val="13"/>
        </w:rPr>
        <w:t> </w:t>
      </w:r>
      <w:r>
        <w:rPr>
          <w:i/>
          <w:w w:val="105"/>
          <w:sz w:val="13"/>
        </w:rPr>
        <w:t>Attorney</w:t>
      </w:r>
      <w:r>
        <w:rPr>
          <w:i/>
          <w:spacing w:val="4"/>
          <w:w w:val="105"/>
          <w:sz w:val="13"/>
        </w:rPr>
        <w:t> </w:t>
      </w:r>
      <w:r>
        <w:rPr>
          <w:i/>
          <w:w w:val="105"/>
          <w:sz w:val="13"/>
        </w:rPr>
        <w:t>Act</w:t>
      </w:r>
      <w:r>
        <w:rPr>
          <w:i/>
          <w:spacing w:val="4"/>
          <w:w w:val="105"/>
          <w:sz w:val="13"/>
        </w:rPr>
        <w:t> </w:t>
      </w:r>
      <w:r>
        <w:rPr>
          <w:i/>
          <w:w w:val="105"/>
          <w:sz w:val="13"/>
        </w:rPr>
        <w:t>1998</w:t>
      </w:r>
      <w:r>
        <w:rPr>
          <w:i/>
          <w:spacing w:val="5"/>
          <w:w w:val="105"/>
          <w:sz w:val="13"/>
        </w:rPr>
        <w:t> </w:t>
      </w:r>
      <w:r>
        <w:rPr>
          <w:spacing w:val="2"/>
          <w:w w:val="105"/>
          <w:sz w:val="13"/>
        </w:rPr>
        <w:t>(Qld)</w:t>
      </w:r>
      <w:r>
        <w:rPr>
          <w:spacing w:val="5"/>
          <w:w w:val="105"/>
          <w:sz w:val="13"/>
        </w:rPr>
        <w:t> </w:t>
      </w:r>
      <w:r>
        <w:rPr>
          <w:w w:val="105"/>
          <w:sz w:val="13"/>
        </w:rPr>
        <w:t>s</w:t>
      </w:r>
      <w:r>
        <w:rPr>
          <w:spacing w:val="4"/>
          <w:w w:val="105"/>
          <w:sz w:val="13"/>
        </w:rPr>
        <w:t> </w:t>
      </w:r>
      <w:r>
        <w:rPr>
          <w:w w:val="105"/>
          <w:sz w:val="13"/>
        </w:rPr>
        <w:t>107;</w:t>
      </w:r>
      <w:r>
        <w:rPr>
          <w:spacing w:val="5"/>
          <w:w w:val="105"/>
          <w:sz w:val="13"/>
        </w:rPr>
        <w:t> </w:t>
      </w:r>
      <w:r>
        <w:rPr>
          <w:i/>
          <w:w w:val="105"/>
          <w:sz w:val="13"/>
        </w:rPr>
        <w:t>Guardianship</w:t>
      </w:r>
      <w:r>
        <w:rPr>
          <w:i/>
          <w:spacing w:val="4"/>
          <w:w w:val="105"/>
          <w:sz w:val="13"/>
        </w:rPr>
        <w:t> </w:t>
      </w:r>
      <w:r>
        <w:rPr>
          <w:i/>
          <w:w w:val="105"/>
          <w:sz w:val="13"/>
        </w:rPr>
        <w:t>and</w:t>
      </w:r>
      <w:r>
        <w:rPr>
          <w:i/>
          <w:spacing w:val="4"/>
          <w:w w:val="105"/>
          <w:sz w:val="13"/>
        </w:rPr>
        <w:t> </w:t>
      </w:r>
      <w:r>
        <w:rPr>
          <w:i/>
          <w:w w:val="105"/>
          <w:sz w:val="13"/>
        </w:rPr>
        <w:t>Administration</w:t>
      </w:r>
      <w:r>
        <w:rPr>
          <w:i/>
          <w:spacing w:val="4"/>
          <w:w w:val="105"/>
          <w:sz w:val="13"/>
        </w:rPr>
        <w:t> </w:t>
      </w:r>
      <w:r>
        <w:rPr>
          <w:i/>
          <w:w w:val="105"/>
          <w:sz w:val="13"/>
        </w:rPr>
        <w:t>Act</w:t>
      </w:r>
      <w:r>
        <w:rPr>
          <w:i/>
          <w:spacing w:val="4"/>
          <w:w w:val="105"/>
          <w:sz w:val="13"/>
        </w:rPr>
        <w:t> </w:t>
      </w:r>
      <w:r>
        <w:rPr>
          <w:i/>
          <w:w w:val="105"/>
          <w:sz w:val="13"/>
        </w:rPr>
        <w:t>2000</w:t>
      </w:r>
      <w:r>
        <w:rPr>
          <w:i/>
          <w:spacing w:val="5"/>
          <w:w w:val="105"/>
          <w:sz w:val="13"/>
        </w:rPr>
        <w:t> </w:t>
      </w:r>
      <w:r>
        <w:rPr>
          <w:spacing w:val="2"/>
          <w:w w:val="105"/>
          <w:sz w:val="13"/>
        </w:rPr>
        <w:t>(Qld)</w:t>
      </w:r>
      <w:r>
        <w:rPr>
          <w:spacing w:val="4"/>
          <w:w w:val="105"/>
          <w:sz w:val="13"/>
        </w:rPr>
        <w:t> </w:t>
      </w:r>
      <w:r>
        <w:rPr>
          <w:w w:val="105"/>
          <w:sz w:val="13"/>
        </w:rPr>
        <w:t>s</w:t>
      </w:r>
      <w:r>
        <w:rPr>
          <w:spacing w:val="5"/>
          <w:w w:val="105"/>
          <w:sz w:val="13"/>
        </w:rPr>
        <w:t> </w:t>
      </w:r>
      <w:r>
        <w:rPr>
          <w:w w:val="105"/>
          <w:sz w:val="13"/>
        </w:rPr>
        <w:t>60.</w:t>
      </w:r>
    </w:p>
    <w:p>
      <w:pPr>
        <w:pStyle w:val="ListParagraph"/>
        <w:numPr>
          <w:ilvl w:val="0"/>
          <w:numId w:val="42"/>
        </w:numPr>
        <w:tabs>
          <w:tab w:pos="2380" w:val="left" w:leader="none"/>
          <w:tab w:pos="2382" w:val="left" w:leader="none"/>
        </w:tabs>
        <w:spacing w:line="240" w:lineRule="auto" w:before="1" w:after="0"/>
        <w:ind w:left="2381" w:right="0" w:hanging="794"/>
        <w:jc w:val="left"/>
        <w:rPr>
          <w:sz w:val="13"/>
        </w:rPr>
      </w:pPr>
      <w:r>
        <w:rPr>
          <w:w w:val="105"/>
          <w:sz w:val="13"/>
        </w:rPr>
        <w:t>Submissions</w:t>
      </w:r>
      <w:r>
        <w:rPr>
          <w:spacing w:val="4"/>
          <w:w w:val="105"/>
          <w:sz w:val="13"/>
        </w:rPr>
        <w:t> </w:t>
      </w:r>
      <w:r>
        <w:rPr>
          <w:w w:val="105"/>
          <w:sz w:val="13"/>
        </w:rPr>
        <w:t>25</w:t>
      </w:r>
      <w:r>
        <w:rPr>
          <w:spacing w:val="5"/>
          <w:w w:val="105"/>
          <w:sz w:val="13"/>
        </w:rPr>
        <w:t> </w:t>
      </w:r>
      <w:r>
        <w:rPr>
          <w:spacing w:val="2"/>
          <w:w w:val="105"/>
          <w:sz w:val="13"/>
        </w:rPr>
        <w:t>(Moores</w:t>
      </w:r>
      <w:r>
        <w:rPr>
          <w:spacing w:val="5"/>
          <w:w w:val="105"/>
          <w:sz w:val="13"/>
        </w:rPr>
        <w:t> </w:t>
      </w:r>
      <w:r>
        <w:rPr>
          <w:w w:val="105"/>
          <w:sz w:val="13"/>
        </w:rPr>
        <w:t>Legal);</w:t>
      </w:r>
      <w:r>
        <w:rPr>
          <w:spacing w:val="5"/>
          <w:w w:val="105"/>
          <w:sz w:val="13"/>
        </w:rPr>
        <w:t> </w:t>
      </w:r>
      <w:r>
        <w:rPr>
          <w:w w:val="105"/>
          <w:sz w:val="13"/>
        </w:rPr>
        <w:t>30a</w:t>
      </w:r>
      <w:r>
        <w:rPr>
          <w:spacing w:val="4"/>
          <w:w w:val="105"/>
          <w:sz w:val="13"/>
        </w:rPr>
        <w:t> </w:t>
      </w:r>
      <w:r>
        <w:rPr>
          <w:spacing w:val="3"/>
          <w:w w:val="105"/>
          <w:sz w:val="13"/>
        </w:rPr>
        <w:t>(Law</w:t>
      </w:r>
      <w:r>
        <w:rPr>
          <w:spacing w:val="5"/>
          <w:w w:val="105"/>
          <w:sz w:val="13"/>
        </w:rPr>
        <w:t> </w:t>
      </w:r>
      <w:r>
        <w:rPr>
          <w:w w:val="105"/>
          <w:sz w:val="13"/>
        </w:rPr>
        <w:t>Institute</w:t>
      </w:r>
      <w:r>
        <w:rPr>
          <w:spacing w:val="5"/>
          <w:w w:val="105"/>
          <w:sz w:val="13"/>
        </w:rPr>
        <w:t> </w:t>
      </w:r>
      <w:r>
        <w:rPr>
          <w:w w:val="105"/>
          <w:sz w:val="13"/>
        </w:rPr>
        <w:t>of</w:t>
      </w:r>
      <w:r>
        <w:rPr>
          <w:spacing w:val="5"/>
          <w:w w:val="105"/>
          <w:sz w:val="13"/>
        </w:rPr>
        <w:t> </w:t>
      </w:r>
      <w:r>
        <w:rPr>
          <w:spacing w:val="2"/>
          <w:w w:val="105"/>
          <w:sz w:val="13"/>
        </w:rPr>
        <w:t>Victoria);</w:t>
      </w:r>
      <w:r>
        <w:rPr>
          <w:spacing w:val="4"/>
          <w:w w:val="105"/>
          <w:sz w:val="13"/>
        </w:rPr>
        <w:t> </w:t>
      </w:r>
      <w:r>
        <w:rPr>
          <w:w w:val="105"/>
          <w:sz w:val="13"/>
        </w:rPr>
        <w:t>33</w:t>
      </w:r>
      <w:r>
        <w:rPr>
          <w:spacing w:val="5"/>
          <w:w w:val="105"/>
          <w:sz w:val="13"/>
        </w:rPr>
        <w:t> </w:t>
      </w:r>
      <w:r>
        <w:rPr>
          <w:w w:val="105"/>
          <w:sz w:val="13"/>
        </w:rPr>
        <w:t>(State</w:t>
      </w:r>
      <w:r>
        <w:rPr>
          <w:spacing w:val="5"/>
          <w:w w:val="105"/>
          <w:sz w:val="13"/>
        </w:rPr>
        <w:t> </w:t>
      </w:r>
      <w:r>
        <w:rPr>
          <w:w w:val="105"/>
          <w:sz w:val="13"/>
        </w:rPr>
        <w:t>Trustees</w:t>
      </w:r>
      <w:r>
        <w:rPr>
          <w:spacing w:val="5"/>
          <w:w w:val="105"/>
          <w:sz w:val="13"/>
        </w:rPr>
        <w:t> </w:t>
      </w:r>
      <w:r>
        <w:rPr>
          <w:w w:val="105"/>
          <w:sz w:val="13"/>
        </w:rPr>
        <w:t>Limited);</w:t>
      </w:r>
      <w:r>
        <w:rPr>
          <w:spacing w:val="4"/>
          <w:w w:val="105"/>
          <w:sz w:val="13"/>
        </w:rPr>
        <w:t> </w:t>
      </w:r>
      <w:r>
        <w:rPr>
          <w:w w:val="105"/>
          <w:sz w:val="13"/>
        </w:rPr>
        <w:t>39</w:t>
      </w:r>
      <w:r>
        <w:rPr>
          <w:spacing w:val="5"/>
          <w:w w:val="105"/>
          <w:sz w:val="13"/>
        </w:rPr>
        <w:t> </w:t>
      </w:r>
      <w:r>
        <w:rPr>
          <w:w w:val="105"/>
          <w:sz w:val="13"/>
        </w:rPr>
        <w:t>(Carolyn</w:t>
      </w:r>
      <w:r>
        <w:rPr>
          <w:spacing w:val="5"/>
          <w:w w:val="105"/>
          <w:sz w:val="13"/>
        </w:rPr>
        <w:t> </w:t>
      </w:r>
      <w:r>
        <w:rPr>
          <w:w w:val="105"/>
          <w:sz w:val="13"/>
        </w:rPr>
        <w:t>Sparke</w:t>
      </w:r>
      <w:r>
        <w:rPr>
          <w:spacing w:val="5"/>
          <w:w w:val="105"/>
          <w:sz w:val="13"/>
        </w:rPr>
        <w:t> </w:t>
      </w:r>
      <w:r>
        <w:rPr>
          <w:w w:val="105"/>
          <w:sz w:val="13"/>
        </w:rPr>
        <w:t>SC).</w:t>
      </w:r>
    </w:p>
    <w:p>
      <w:pPr>
        <w:pStyle w:val="ListParagraph"/>
        <w:numPr>
          <w:ilvl w:val="0"/>
          <w:numId w:val="42"/>
        </w:numPr>
        <w:tabs>
          <w:tab w:pos="2380" w:val="left" w:leader="none"/>
          <w:tab w:pos="2382" w:val="left" w:leader="none"/>
        </w:tabs>
        <w:spacing w:line="240" w:lineRule="auto" w:before="2" w:after="0"/>
        <w:ind w:left="2381" w:right="0" w:hanging="794"/>
        <w:jc w:val="left"/>
        <w:rPr>
          <w:sz w:val="13"/>
        </w:rPr>
      </w:pPr>
      <w:r>
        <w:rPr>
          <w:w w:val="105"/>
          <w:sz w:val="13"/>
        </w:rPr>
        <w:t>Submissions</w:t>
      </w:r>
      <w:r>
        <w:rPr>
          <w:spacing w:val="4"/>
          <w:w w:val="105"/>
          <w:sz w:val="13"/>
        </w:rPr>
        <w:t> </w:t>
      </w:r>
      <w:r>
        <w:rPr>
          <w:w w:val="105"/>
          <w:sz w:val="13"/>
        </w:rPr>
        <w:t>25</w:t>
      </w:r>
      <w:r>
        <w:rPr>
          <w:spacing w:val="5"/>
          <w:w w:val="105"/>
          <w:sz w:val="13"/>
        </w:rPr>
        <w:t> </w:t>
      </w:r>
      <w:r>
        <w:rPr>
          <w:spacing w:val="2"/>
          <w:w w:val="105"/>
          <w:sz w:val="13"/>
        </w:rPr>
        <w:t>(Moores</w:t>
      </w:r>
      <w:r>
        <w:rPr>
          <w:spacing w:val="5"/>
          <w:w w:val="105"/>
          <w:sz w:val="13"/>
        </w:rPr>
        <w:t> </w:t>
      </w:r>
      <w:r>
        <w:rPr>
          <w:w w:val="105"/>
          <w:sz w:val="13"/>
        </w:rPr>
        <w:t>Legal);</w:t>
      </w:r>
      <w:r>
        <w:rPr>
          <w:spacing w:val="5"/>
          <w:w w:val="105"/>
          <w:sz w:val="13"/>
        </w:rPr>
        <w:t> </w:t>
      </w:r>
      <w:r>
        <w:rPr>
          <w:w w:val="105"/>
          <w:sz w:val="13"/>
        </w:rPr>
        <w:t>30a</w:t>
      </w:r>
      <w:r>
        <w:rPr>
          <w:spacing w:val="4"/>
          <w:w w:val="105"/>
          <w:sz w:val="13"/>
        </w:rPr>
        <w:t> </w:t>
      </w:r>
      <w:r>
        <w:rPr>
          <w:spacing w:val="3"/>
          <w:w w:val="105"/>
          <w:sz w:val="13"/>
        </w:rPr>
        <w:t>(Law</w:t>
      </w:r>
      <w:r>
        <w:rPr>
          <w:spacing w:val="5"/>
          <w:w w:val="105"/>
          <w:sz w:val="13"/>
        </w:rPr>
        <w:t> </w:t>
      </w:r>
      <w:r>
        <w:rPr>
          <w:w w:val="105"/>
          <w:sz w:val="13"/>
        </w:rPr>
        <w:t>Institute</w:t>
      </w:r>
      <w:r>
        <w:rPr>
          <w:spacing w:val="5"/>
          <w:w w:val="105"/>
          <w:sz w:val="13"/>
        </w:rPr>
        <w:t> </w:t>
      </w:r>
      <w:r>
        <w:rPr>
          <w:w w:val="105"/>
          <w:sz w:val="13"/>
        </w:rPr>
        <w:t>of</w:t>
      </w:r>
      <w:r>
        <w:rPr>
          <w:spacing w:val="5"/>
          <w:w w:val="105"/>
          <w:sz w:val="13"/>
        </w:rPr>
        <w:t> </w:t>
      </w:r>
      <w:r>
        <w:rPr>
          <w:spacing w:val="2"/>
          <w:w w:val="105"/>
          <w:sz w:val="13"/>
        </w:rPr>
        <w:t>Victoria);</w:t>
      </w:r>
      <w:r>
        <w:rPr>
          <w:spacing w:val="4"/>
          <w:w w:val="105"/>
          <w:sz w:val="13"/>
        </w:rPr>
        <w:t> </w:t>
      </w:r>
      <w:r>
        <w:rPr>
          <w:w w:val="105"/>
          <w:sz w:val="13"/>
        </w:rPr>
        <w:t>39</w:t>
      </w:r>
      <w:r>
        <w:rPr>
          <w:spacing w:val="5"/>
          <w:w w:val="105"/>
          <w:sz w:val="13"/>
        </w:rPr>
        <w:t> </w:t>
      </w:r>
      <w:r>
        <w:rPr>
          <w:w w:val="105"/>
          <w:sz w:val="13"/>
        </w:rPr>
        <w:t>(Carolyn</w:t>
      </w:r>
      <w:r>
        <w:rPr>
          <w:spacing w:val="5"/>
          <w:w w:val="105"/>
          <w:sz w:val="13"/>
        </w:rPr>
        <w:t> </w:t>
      </w:r>
      <w:r>
        <w:rPr>
          <w:w w:val="105"/>
          <w:sz w:val="13"/>
        </w:rPr>
        <w:t>Sparke</w:t>
      </w:r>
      <w:r>
        <w:rPr>
          <w:spacing w:val="5"/>
          <w:w w:val="105"/>
          <w:sz w:val="13"/>
        </w:rPr>
        <w:t> </w:t>
      </w:r>
      <w:r>
        <w:rPr>
          <w:w w:val="105"/>
          <w:sz w:val="13"/>
        </w:rPr>
        <w:t>SC).</w:t>
      </w:r>
    </w:p>
    <w:p>
      <w:pPr>
        <w:pStyle w:val="ListParagraph"/>
        <w:numPr>
          <w:ilvl w:val="0"/>
          <w:numId w:val="42"/>
        </w:numPr>
        <w:tabs>
          <w:tab w:pos="2380" w:val="left" w:leader="none"/>
          <w:tab w:pos="2382" w:val="left" w:leader="none"/>
        </w:tabs>
        <w:spacing w:line="240" w:lineRule="auto" w:before="1" w:after="0"/>
        <w:ind w:left="2381" w:right="0" w:hanging="794"/>
        <w:jc w:val="left"/>
        <w:rPr>
          <w:sz w:val="13"/>
        </w:rPr>
      </w:pPr>
      <w:r>
        <w:rPr>
          <w:w w:val="105"/>
          <w:sz w:val="13"/>
        </w:rPr>
        <w:t>Consultation 1 (Wills</w:t>
      </w:r>
      <w:r>
        <w:rPr>
          <w:spacing w:val="13"/>
          <w:w w:val="105"/>
          <w:sz w:val="13"/>
        </w:rPr>
        <w:t> </w:t>
      </w:r>
      <w:r>
        <w:rPr>
          <w:w w:val="105"/>
          <w:sz w:val="13"/>
        </w:rPr>
        <w:t>roundtable).</w:t>
      </w:r>
    </w:p>
    <w:p>
      <w:pPr>
        <w:pStyle w:val="ListParagraph"/>
        <w:numPr>
          <w:ilvl w:val="0"/>
          <w:numId w:val="42"/>
        </w:numPr>
        <w:tabs>
          <w:tab w:pos="2381" w:val="left" w:leader="none"/>
          <w:tab w:pos="2382" w:val="left" w:leader="none"/>
        </w:tabs>
        <w:spacing w:line="240" w:lineRule="auto" w:before="1" w:after="0"/>
        <w:ind w:left="2381" w:right="0" w:hanging="794"/>
        <w:jc w:val="left"/>
        <w:rPr>
          <w:sz w:val="13"/>
        </w:rPr>
      </w:pPr>
      <w:r>
        <w:rPr/>
        <w:pict>
          <v:shape style="position:absolute;margin-left:548.849487pt;margin-top:2.864464pt;width:13.5pt;height:14.25pt;mso-position-horizontal-relative:page;mso-position-vertical-relative:paragraph;z-index:4072" type="#_x0000_t202" filled="false" stroked="false">
            <v:textbox inset="0,0,0,0">
              <w:txbxContent>
                <w:p>
                  <w:pPr>
                    <w:spacing w:line="284" w:lineRule="exact" w:before="0"/>
                    <w:ind w:left="0" w:right="0" w:firstLine="0"/>
                    <w:jc w:val="left"/>
                    <w:rPr>
                      <w:b/>
                      <w:sz w:val="24"/>
                    </w:rPr>
                  </w:pPr>
                  <w:r>
                    <w:rPr>
                      <w:b/>
                      <w:color w:val="EC5A4F"/>
                      <w:w w:val="110"/>
                      <w:sz w:val="24"/>
                    </w:rPr>
                    <w:t>43</w:t>
                  </w:r>
                </w:p>
              </w:txbxContent>
            </v:textbox>
            <w10:wrap type="none"/>
          </v:shape>
        </w:pict>
      </w:r>
      <w:r>
        <w:rPr>
          <w:w w:val="105"/>
          <w:sz w:val="13"/>
        </w:rPr>
        <w:t>Submissions 8 (Patricia Strachan); </w:t>
      </w:r>
      <w:r>
        <w:rPr>
          <w:spacing w:val="-3"/>
          <w:w w:val="105"/>
          <w:sz w:val="13"/>
        </w:rPr>
        <w:t>14 </w:t>
      </w:r>
      <w:r>
        <w:rPr>
          <w:w w:val="105"/>
          <w:sz w:val="13"/>
        </w:rPr>
        <w:t>(Commercial Bar</w:t>
      </w:r>
      <w:r>
        <w:rPr>
          <w:spacing w:val="4"/>
          <w:w w:val="105"/>
          <w:sz w:val="13"/>
        </w:rPr>
        <w:t> </w:t>
      </w:r>
      <w:r>
        <w:rPr>
          <w:spacing w:val="2"/>
          <w:w w:val="105"/>
          <w:sz w:val="13"/>
        </w:rPr>
        <w:t>Association).</w:t>
      </w:r>
    </w:p>
    <w:p>
      <w:pPr>
        <w:pStyle w:val="ListParagraph"/>
        <w:numPr>
          <w:ilvl w:val="0"/>
          <w:numId w:val="42"/>
        </w:numPr>
        <w:tabs>
          <w:tab w:pos="2381" w:val="left" w:leader="none"/>
          <w:tab w:pos="2382" w:val="left" w:leader="none"/>
        </w:tabs>
        <w:spacing w:line="240" w:lineRule="auto" w:before="2" w:after="0"/>
        <w:ind w:left="2381" w:right="0" w:hanging="794"/>
        <w:jc w:val="left"/>
        <w:rPr>
          <w:sz w:val="13"/>
        </w:rPr>
      </w:pPr>
      <w:r>
        <w:rPr>
          <w:w w:val="105"/>
          <w:sz w:val="13"/>
        </w:rPr>
        <w:t>Submission 25 </w:t>
      </w:r>
      <w:r>
        <w:rPr>
          <w:spacing w:val="2"/>
          <w:w w:val="105"/>
          <w:sz w:val="13"/>
        </w:rPr>
        <w:t>(Moores</w:t>
      </w:r>
      <w:r>
        <w:rPr>
          <w:spacing w:val="13"/>
          <w:w w:val="105"/>
          <w:sz w:val="13"/>
        </w:rPr>
        <w:t> </w:t>
      </w:r>
      <w:r>
        <w:rPr>
          <w:w w:val="105"/>
          <w:sz w:val="13"/>
        </w:rPr>
        <w:t>Legal).</w:t>
      </w:r>
    </w:p>
    <w:p>
      <w:pPr>
        <w:spacing w:after="0" w:line="240" w:lineRule="auto"/>
        <w:jc w:val="left"/>
        <w:rPr>
          <w:sz w:val="13"/>
        </w:rPr>
        <w:sectPr>
          <w:pgSz w:w="11910" w:h="16840"/>
          <w:pgMar w:header="805" w:footer="0" w:top="1360" w:bottom="280" w:left="0" w:right="0"/>
        </w:sectPr>
      </w:pPr>
    </w:p>
    <w:p>
      <w:pPr>
        <w:pStyle w:val="BodyText"/>
        <w:spacing w:before="9"/>
        <w:rPr>
          <w:sz w:val="22"/>
        </w:rPr>
      </w:pPr>
    </w:p>
    <w:p>
      <w:pPr>
        <w:pStyle w:val="ListParagraph"/>
        <w:numPr>
          <w:ilvl w:val="1"/>
          <w:numId w:val="22"/>
        </w:numPr>
        <w:tabs>
          <w:tab w:pos="2381" w:val="left" w:leader="none"/>
          <w:tab w:pos="2382" w:val="left" w:leader="none"/>
        </w:tabs>
        <w:spacing w:line="242" w:lineRule="auto" w:before="92" w:after="0"/>
        <w:ind w:left="2381" w:right="1772" w:hanging="794"/>
        <w:jc w:val="left"/>
        <w:rPr>
          <w:sz w:val="21"/>
        </w:rPr>
      </w:pPr>
      <w:r>
        <w:rPr>
          <w:w w:val="105"/>
          <w:sz w:val="21"/>
        </w:rPr>
        <w:t>The New South </w:t>
      </w:r>
      <w:r>
        <w:rPr>
          <w:spacing w:val="-3"/>
          <w:w w:val="105"/>
          <w:sz w:val="21"/>
        </w:rPr>
        <w:t>Wales provision </w:t>
      </w:r>
      <w:r>
        <w:rPr>
          <w:w w:val="105"/>
          <w:sz w:val="21"/>
        </w:rPr>
        <w:t>only applies where the advantage or disadvantage occurs</w:t>
      </w:r>
      <w:r>
        <w:rPr>
          <w:spacing w:val="-10"/>
          <w:w w:val="105"/>
          <w:sz w:val="21"/>
        </w:rPr>
        <w:t> </w:t>
      </w:r>
      <w:r>
        <w:rPr>
          <w:w w:val="105"/>
          <w:sz w:val="21"/>
        </w:rPr>
        <w:t>as</w:t>
      </w:r>
      <w:r>
        <w:rPr>
          <w:spacing w:val="-10"/>
          <w:w w:val="105"/>
          <w:sz w:val="21"/>
        </w:rPr>
        <w:t> </w:t>
      </w:r>
      <w:r>
        <w:rPr>
          <w:w w:val="105"/>
          <w:sz w:val="21"/>
        </w:rPr>
        <w:t>a</w:t>
      </w:r>
      <w:r>
        <w:rPr>
          <w:spacing w:val="-9"/>
          <w:w w:val="105"/>
          <w:sz w:val="21"/>
        </w:rPr>
        <w:t> </w:t>
      </w:r>
      <w:r>
        <w:rPr>
          <w:spacing w:val="-3"/>
          <w:w w:val="105"/>
          <w:sz w:val="21"/>
        </w:rPr>
        <w:t>result</w:t>
      </w:r>
      <w:r>
        <w:rPr>
          <w:spacing w:val="-10"/>
          <w:w w:val="105"/>
          <w:sz w:val="21"/>
        </w:rPr>
        <w:t> </w:t>
      </w:r>
      <w:r>
        <w:rPr>
          <w:w w:val="105"/>
          <w:sz w:val="21"/>
        </w:rPr>
        <w:t>of</w:t>
      </w:r>
      <w:r>
        <w:rPr>
          <w:spacing w:val="-10"/>
          <w:w w:val="105"/>
          <w:sz w:val="21"/>
        </w:rPr>
        <w:t> </w:t>
      </w:r>
      <w:r>
        <w:rPr>
          <w:w w:val="105"/>
          <w:sz w:val="21"/>
        </w:rPr>
        <w:t>the</w:t>
      </w:r>
      <w:r>
        <w:rPr>
          <w:spacing w:val="-9"/>
          <w:w w:val="105"/>
          <w:sz w:val="21"/>
        </w:rPr>
        <w:t> </w:t>
      </w:r>
      <w:r>
        <w:rPr>
          <w:spacing w:val="-3"/>
          <w:w w:val="105"/>
          <w:sz w:val="21"/>
        </w:rPr>
        <w:t>legislative</w:t>
      </w:r>
      <w:r>
        <w:rPr>
          <w:spacing w:val="-10"/>
          <w:w w:val="105"/>
          <w:sz w:val="21"/>
        </w:rPr>
        <w:t> </w:t>
      </w:r>
      <w:r>
        <w:rPr>
          <w:spacing w:val="-3"/>
          <w:w w:val="105"/>
          <w:sz w:val="21"/>
        </w:rPr>
        <w:t>exception</w:t>
      </w:r>
      <w:r>
        <w:rPr>
          <w:spacing w:val="-9"/>
          <w:w w:val="105"/>
          <w:sz w:val="21"/>
        </w:rPr>
        <w:t> </w:t>
      </w:r>
      <w:r>
        <w:rPr>
          <w:spacing w:val="-3"/>
          <w:w w:val="105"/>
          <w:sz w:val="21"/>
        </w:rPr>
        <w:t>to</w:t>
      </w:r>
      <w:r>
        <w:rPr>
          <w:spacing w:val="-10"/>
          <w:w w:val="105"/>
          <w:sz w:val="21"/>
        </w:rPr>
        <w:t> </w:t>
      </w:r>
      <w:r>
        <w:rPr>
          <w:w w:val="105"/>
          <w:sz w:val="21"/>
        </w:rPr>
        <w:t>ademption.</w:t>
      </w:r>
      <w:r>
        <w:rPr>
          <w:spacing w:val="-10"/>
          <w:w w:val="105"/>
          <w:sz w:val="21"/>
        </w:rPr>
        <w:t> </w:t>
      </w:r>
      <w:r>
        <w:rPr>
          <w:spacing w:val="-4"/>
          <w:w w:val="105"/>
          <w:sz w:val="21"/>
        </w:rPr>
        <w:t>However,</w:t>
      </w:r>
      <w:r>
        <w:rPr>
          <w:spacing w:val="-9"/>
          <w:w w:val="105"/>
          <w:sz w:val="21"/>
        </w:rPr>
        <w:t> </w:t>
      </w:r>
      <w:r>
        <w:rPr>
          <w:w w:val="105"/>
          <w:sz w:val="21"/>
        </w:rPr>
        <w:t>a</w:t>
      </w:r>
      <w:r>
        <w:rPr>
          <w:spacing w:val="-10"/>
          <w:w w:val="105"/>
          <w:sz w:val="21"/>
        </w:rPr>
        <w:t> </w:t>
      </w:r>
      <w:r>
        <w:rPr>
          <w:w w:val="105"/>
          <w:sz w:val="21"/>
        </w:rPr>
        <w:t>disproportionate </w:t>
      </w:r>
      <w:r>
        <w:rPr>
          <w:spacing w:val="-3"/>
          <w:w w:val="105"/>
          <w:sz w:val="21"/>
        </w:rPr>
        <w:t>result may </w:t>
      </w:r>
      <w:r>
        <w:rPr>
          <w:w w:val="105"/>
          <w:sz w:val="21"/>
        </w:rPr>
        <w:t>also </w:t>
      </w:r>
      <w:r>
        <w:rPr>
          <w:spacing w:val="-3"/>
          <w:w w:val="105"/>
          <w:sz w:val="21"/>
        </w:rPr>
        <w:t>occur </w:t>
      </w:r>
      <w:r>
        <w:rPr>
          <w:w w:val="105"/>
          <w:sz w:val="21"/>
        </w:rPr>
        <w:t>notwithstanding the application of the </w:t>
      </w:r>
      <w:r>
        <w:rPr>
          <w:spacing w:val="-3"/>
          <w:w w:val="105"/>
          <w:sz w:val="21"/>
        </w:rPr>
        <w:t>exception, </w:t>
      </w:r>
      <w:r>
        <w:rPr>
          <w:w w:val="105"/>
          <w:sz w:val="21"/>
        </w:rPr>
        <w:t>as </w:t>
      </w:r>
      <w:r>
        <w:rPr>
          <w:spacing w:val="-3"/>
          <w:w w:val="105"/>
          <w:sz w:val="21"/>
        </w:rPr>
        <w:t>illustrated </w:t>
      </w:r>
      <w:r>
        <w:rPr>
          <w:w w:val="105"/>
          <w:sz w:val="21"/>
        </w:rPr>
        <w:t>in examples 3 and 4</w:t>
      </w:r>
      <w:r>
        <w:rPr>
          <w:spacing w:val="21"/>
          <w:w w:val="105"/>
          <w:sz w:val="21"/>
        </w:rPr>
        <w:t> </w:t>
      </w:r>
      <w:r>
        <w:rPr>
          <w:spacing w:val="-3"/>
          <w:w w:val="105"/>
          <w:sz w:val="21"/>
        </w:rPr>
        <w:t>below.</w:t>
      </w:r>
    </w:p>
    <w:p>
      <w:pPr>
        <w:pStyle w:val="ListParagraph"/>
        <w:numPr>
          <w:ilvl w:val="1"/>
          <w:numId w:val="22"/>
        </w:numPr>
        <w:tabs>
          <w:tab w:pos="2382" w:val="left" w:leader="none"/>
        </w:tabs>
        <w:spacing w:line="242" w:lineRule="auto" w:before="124" w:after="0"/>
        <w:ind w:left="2381" w:right="1585" w:hanging="794"/>
        <w:jc w:val="both"/>
        <w:rPr>
          <w:sz w:val="21"/>
        </w:rPr>
      </w:pPr>
      <w:r>
        <w:rPr>
          <w:w w:val="105"/>
          <w:sz w:val="21"/>
        </w:rPr>
        <w:t>The </w:t>
      </w:r>
      <w:r>
        <w:rPr>
          <w:spacing w:val="-3"/>
          <w:w w:val="105"/>
          <w:sz w:val="21"/>
        </w:rPr>
        <w:t>Commission therefore recommends that </w:t>
      </w:r>
      <w:r>
        <w:rPr>
          <w:w w:val="105"/>
          <w:sz w:val="21"/>
        </w:rPr>
        <w:t>a beneficiary be able </w:t>
      </w:r>
      <w:r>
        <w:rPr>
          <w:spacing w:val="-3"/>
          <w:w w:val="105"/>
          <w:sz w:val="21"/>
        </w:rPr>
        <w:t>to </w:t>
      </w:r>
      <w:r>
        <w:rPr>
          <w:w w:val="105"/>
          <w:sz w:val="21"/>
        </w:rPr>
        <w:t>apply </w:t>
      </w:r>
      <w:r>
        <w:rPr>
          <w:spacing w:val="-3"/>
          <w:w w:val="105"/>
          <w:sz w:val="21"/>
        </w:rPr>
        <w:t>to </w:t>
      </w:r>
      <w:r>
        <w:rPr>
          <w:w w:val="105"/>
          <w:sz w:val="21"/>
        </w:rPr>
        <w:t>the </w:t>
      </w:r>
      <w:r>
        <w:rPr>
          <w:spacing w:val="-3"/>
          <w:w w:val="105"/>
          <w:sz w:val="21"/>
        </w:rPr>
        <w:t>Court </w:t>
      </w:r>
      <w:r>
        <w:rPr>
          <w:w w:val="105"/>
          <w:sz w:val="21"/>
        </w:rPr>
        <w:t>in both</w:t>
      </w:r>
      <w:r>
        <w:rPr>
          <w:spacing w:val="-16"/>
          <w:w w:val="105"/>
          <w:sz w:val="21"/>
        </w:rPr>
        <w:t> </w:t>
      </w:r>
      <w:r>
        <w:rPr>
          <w:w w:val="105"/>
          <w:sz w:val="21"/>
        </w:rPr>
        <w:t>circumstances—where</w:t>
      </w:r>
      <w:r>
        <w:rPr>
          <w:spacing w:val="-15"/>
          <w:w w:val="105"/>
          <w:sz w:val="21"/>
        </w:rPr>
        <w:t> </w:t>
      </w:r>
      <w:r>
        <w:rPr>
          <w:w w:val="105"/>
          <w:sz w:val="21"/>
        </w:rPr>
        <w:t>the</w:t>
      </w:r>
      <w:r>
        <w:rPr>
          <w:spacing w:val="-15"/>
          <w:w w:val="105"/>
          <w:sz w:val="21"/>
        </w:rPr>
        <w:t> </w:t>
      </w:r>
      <w:r>
        <w:rPr>
          <w:w w:val="105"/>
          <w:sz w:val="21"/>
        </w:rPr>
        <w:t>disproportionate</w:t>
      </w:r>
      <w:r>
        <w:rPr>
          <w:spacing w:val="-15"/>
          <w:w w:val="105"/>
          <w:sz w:val="21"/>
        </w:rPr>
        <w:t> </w:t>
      </w:r>
      <w:r>
        <w:rPr>
          <w:spacing w:val="-3"/>
          <w:w w:val="105"/>
          <w:sz w:val="21"/>
        </w:rPr>
        <w:t>result</w:t>
      </w:r>
      <w:r>
        <w:rPr>
          <w:spacing w:val="-15"/>
          <w:w w:val="105"/>
          <w:sz w:val="21"/>
        </w:rPr>
        <w:t> </w:t>
      </w:r>
      <w:r>
        <w:rPr>
          <w:w w:val="105"/>
          <w:sz w:val="21"/>
        </w:rPr>
        <w:t>comes</w:t>
      </w:r>
      <w:r>
        <w:rPr>
          <w:spacing w:val="-16"/>
          <w:w w:val="105"/>
          <w:sz w:val="21"/>
        </w:rPr>
        <w:t> </w:t>
      </w:r>
      <w:r>
        <w:rPr>
          <w:w w:val="105"/>
          <w:sz w:val="21"/>
        </w:rPr>
        <w:t>about</w:t>
      </w:r>
      <w:r>
        <w:rPr>
          <w:spacing w:val="-15"/>
          <w:w w:val="105"/>
          <w:sz w:val="21"/>
        </w:rPr>
        <w:t> </w:t>
      </w:r>
      <w:r>
        <w:rPr>
          <w:w w:val="105"/>
          <w:sz w:val="21"/>
        </w:rPr>
        <w:t>due</w:t>
      </w:r>
      <w:r>
        <w:rPr>
          <w:spacing w:val="-15"/>
          <w:w w:val="105"/>
          <w:sz w:val="21"/>
        </w:rPr>
        <w:t> </w:t>
      </w:r>
      <w:r>
        <w:rPr>
          <w:spacing w:val="-3"/>
          <w:w w:val="105"/>
          <w:sz w:val="21"/>
        </w:rPr>
        <w:t>to</w:t>
      </w:r>
      <w:r>
        <w:rPr>
          <w:spacing w:val="-15"/>
          <w:w w:val="105"/>
          <w:sz w:val="21"/>
        </w:rPr>
        <w:t> </w:t>
      </w:r>
      <w:r>
        <w:rPr>
          <w:w w:val="105"/>
          <w:sz w:val="21"/>
        </w:rPr>
        <w:t>the</w:t>
      </w:r>
      <w:r>
        <w:rPr>
          <w:spacing w:val="-15"/>
          <w:w w:val="105"/>
          <w:sz w:val="21"/>
        </w:rPr>
        <w:t> </w:t>
      </w:r>
      <w:r>
        <w:rPr>
          <w:spacing w:val="-3"/>
          <w:w w:val="105"/>
          <w:sz w:val="21"/>
        </w:rPr>
        <w:t>exception </w:t>
      </w:r>
      <w:r>
        <w:rPr>
          <w:w w:val="105"/>
          <w:sz w:val="21"/>
        </w:rPr>
        <w:t>and where it comes about notwithstanding the</w:t>
      </w:r>
      <w:r>
        <w:rPr>
          <w:spacing w:val="26"/>
          <w:w w:val="105"/>
          <w:sz w:val="21"/>
        </w:rPr>
        <w:t> </w:t>
      </w:r>
      <w:r>
        <w:rPr>
          <w:spacing w:val="-3"/>
          <w:w w:val="105"/>
          <w:sz w:val="21"/>
        </w:rPr>
        <w:t>exception.</w:t>
      </w:r>
    </w:p>
    <w:p>
      <w:pPr>
        <w:spacing w:line="264" w:lineRule="auto" w:before="129"/>
        <w:ind w:left="2721" w:right="1860" w:firstLine="0"/>
        <w:jc w:val="left"/>
        <w:rPr>
          <w:rFonts w:ascii="Lucida Sans"/>
          <w:b/>
          <w:sz w:val="20"/>
        </w:rPr>
      </w:pPr>
      <w:r>
        <w:rPr>
          <w:rFonts w:ascii="Lucida Sans"/>
          <w:b/>
          <w:w w:val="95"/>
          <w:sz w:val="20"/>
        </w:rPr>
        <w:t>Example</w:t>
      </w:r>
      <w:r>
        <w:rPr>
          <w:rFonts w:ascii="Lucida Sans"/>
          <w:b/>
          <w:spacing w:val="-36"/>
          <w:w w:val="95"/>
          <w:sz w:val="20"/>
        </w:rPr>
        <w:t> </w:t>
      </w:r>
      <w:r>
        <w:rPr>
          <w:rFonts w:ascii="Lucida Sans"/>
          <w:b/>
          <w:spacing w:val="4"/>
          <w:w w:val="95"/>
          <w:sz w:val="20"/>
        </w:rPr>
        <w:t>3:</w:t>
      </w:r>
      <w:r>
        <w:rPr>
          <w:rFonts w:ascii="Lucida Sans"/>
          <w:b/>
          <w:spacing w:val="-36"/>
          <w:w w:val="95"/>
          <w:sz w:val="20"/>
        </w:rPr>
        <w:t> </w:t>
      </w:r>
      <w:r>
        <w:rPr>
          <w:rFonts w:ascii="Lucida Sans"/>
          <w:b/>
          <w:w w:val="95"/>
          <w:sz w:val="20"/>
        </w:rPr>
        <w:t>Disproportionate</w:t>
      </w:r>
      <w:r>
        <w:rPr>
          <w:rFonts w:ascii="Lucida Sans"/>
          <w:b/>
          <w:spacing w:val="-35"/>
          <w:w w:val="95"/>
          <w:sz w:val="20"/>
        </w:rPr>
        <w:t> </w:t>
      </w:r>
      <w:r>
        <w:rPr>
          <w:rFonts w:ascii="Lucida Sans"/>
          <w:b/>
          <w:w w:val="95"/>
          <w:sz w:val="20"/>
        </w:rPr>
        <w:t>result</w:t>
      </w:r>
      <w:r>
        <w:rPr>
          <w:rFonts w:ascii="Lucida Sans"/>
          <w:b/>
          <w:spacing w:val="-36"/>
          <w:w w:val="95"/>
          <w:sz w:val="20"/>
        </w:rPr>
        <w:t> </w:t>
      </w:r>
      <w:r>
        <w:rPr>
          <w:rFonts w:ascii="Lucida Sans"/>
          <w:b/>
          <w:w w:val="95"/>
          <w:sz w:val="20"/>
        </w:rPr>
        <w:t>notwithstanding</w:t>
      </w:r>
      <w:r>
        <w:rPr>
          <w:rFonts w:ascii="Lucida Sans"/>
          <w:b/>
          <w:spacing w:val="-35"/>
          <w:w w:val="95"/>
          <w:sz w:val="20"/>
        </w:rPr>
        <w:t> </w:t>
      </w:r>
      <w:r>
        <w:rPr>
          <w:rFonts w:ascii="Lucida Sans"/>
          <w:b/>
          <w:w w:val="95"/>
          <w:sz w:val="20"/>
        </w:rPr>
        <w:t>a</w:t>
      </w:r>
      <w:r>
        <w:rPr>
          <w:rFonts w:ascii="Lucida Sans"/>
          <w:b/>
          <w:spacing w:val="-36"/>
          <w:w w:val="95"/>
          <w:sz w:val="20"/>
        </w:rPr>
        <w:t> </w:t>
      </w:r>
      <w:r>
        <w:rPr>
          <w:rFonts w:ascii="Lucida Sans"/>
          <w:b/>
          <w:w w:val="95"/>
          <w:sz w:val="20"/>
        </w:rPr>
        <w:t>legislative</w:t>
      </w:r>
      <w:r>
        <w:rPr>
          <w:rFonts w:ascii="Lucida Sans"/>
          <w:b/>
          <w:spacing w:val="-35"/>
          <w:w w:val="95"/>
          <w:sz w:val="20"/>
        </w:rPr>
        <w:t> </w:t>
      </w:r>
      <w:r>
        <w:rPr>
          <w:rFonts w:ascii="Lucida Sans"/>
          <w:b/>
          <w:w w:val="95"/>
          <w:sz w:val="20"/>
        </w:rPr>
        <w:t>exception</w:t>
      </w:r>
      <w:r>
        <w:rPr>
          <w:rFonts w:ascii="Lucida Sans"/>
          <w:b/>
          <w:spacing w:val="-36"/>
          <w:w w:val="95"/>
          <w:sz w:val="20"/>
        </w:rPr>
        <w:t> </w:t>
      </w:r>
      <w:r>
        <w:rPr>
          <w:rFonts w:ascii="Lucida Sans"/>
          <w:b/>
          <w:w w:val="95"/>
          <w:sz w:val="20"/>
        </w:rPr>
        <w:t>to </w:t>
      </w:r>
      <w:r>
        <w:rPr>
          <w:rFonts w:ascii="Lucida Sans"/>
          <w:b/>
          <w:sz w:val="20"/>
        </w:rPr>
        <w:t>ademption</w:t>
      </w:r>
    </w:p>
    <w:p>
      <w:pPr>
        <w:spacing w:line="254" w:lineRule="auto" w:before="126"/>
        <w:ind w:left="2721" w:right="2263" w:firstLine="0"/>
        <w:jc w:val="both"/>
        <w:rPr>
          <w:sz w:val="20"/>
        </w:rPr>
      </w:pPr>
      <w:r>
        <w:rPr>
          <w:w w:val="105"/>
          <w:sz w:val="20"/>
        </w:rPr>
        <w:t>Mr </w:t>
      </w:r>
      <w:r>
        <w:rPr>
          <w:spacing w:val="-3"/>
          <w:w w:val="105"/>
          <w:sz w:val="20"/>
        </w:rPr>
        <w:t>Ling’s administrator </w:t>
      </w:r>
      <w:r>
        <w:rPr>
          <w:w w:val="105"/>
          <w:sz w:val="20"/>
        </w:rPr>
        <w:t>spends all of the proceeds of the sale of the home unit on Mr</w:t>
      </w:r>
      <w:r>
        <w:rPr>
          <w:spacing w:val="-9"/>
          <w:w w:val="105"/>
          <w:sz w:val="20"/>
        </w:rPr>
        <w:t> </w:t>
      </w:r>
      <w:r>
        <w:rPr>
          <w:spacing w:val="-3"/>
          <w:w w:val="105"/>
          <w:sz w:val="20"/>
        </w:rPr>
        <w:t>Ling’s</w:t>
      </w:r>
      <w:r>
        <w:rPr>
          <w:spacing w:val="-8"/>
          <w:w w:val="105"/>
          <w:sz w:val="20"/>
        </w:rPr>
        <w:t> </w:t>
      </w:r>
      <w:r>
        <w:rPr>
          <w:w w:val="105"/>
          <w:sz w:val="20"/>
        </w:rPr>
        <w:t>care</w:t>
      </w:r>
      <w:r>
        <w:rPr>
          <w:spacing w:val="-8"/>
          <w:w w:val="105"/>
          <w:sz w:val="20"/>
        </w:rPr>
        <w:t> </w:t>
      </w:r>
      <w:r>
        <w:rPr>
          <w:w w:val="105"/>
          <w:sz w:val="20"/>
        </w:rPr>
        <w:t>before</w:t>
      </w:r>
      <w:r>
        <w:rPr>
          <w:spacing w:val="-8"/>
          <w:w w:val="105"/>
          <w:sz w:val="20"/>
        </w:rPr>
        <w:t> </w:t>
      </w:r>
      <w:r>
        <w:rPr>
          <w:w w:val="105"/>
          <w:sz w:val="20"/>
        </w:rPr>
        <w:t>his</w:t>
      </w:r>
      <w:r>
        <w:rPr>
          <w:spacing w:val="-8"/>
          <w:w w:val="105"/>
          <w:sz w:val="20"/>
        </w:rPr>
        <w:t> </w:t>
      </w:r>
      <w:r>
        <w:rPr>
          <w:w w:val="105"/>
          <w:sz w:val="20"/>
        </w:rPr>
        <w:t>death.</w:t>
      </w:r>
      <w:r>
        <w:rPr>
          <w:spacing w:val="-9"/>
          <w:w w:val="105"/>
          <w:sz w:val="20"/>
        </w:rPr>
        <w:t> </w:t>
      </w:r>
      <w:r>
        <w:rPr>
          <w:w w:val="105"/>
          <w:sz w:val="20"/>
        </w:rPr>
        <w:t>Meanwhile,</w:t>
      </w:r>
      <w:r>
        <w:rPr>
          <w:spacing w:val="-8"/>
          <w:w w:val="105"/>
          <w:sz w:val="20"/>
        </w:rPr>
        <w:t> </w:t>
      </w:r>
      <w:r>
        <w:rPr>
          <w:w w:val="105"/>
          <w:sz w:val="20"/>
        </w:rPr>
        <w:t>the</w:t>
      </w:r>
      <w:r>
        <w:rPr>
          <w:spacing w:val="-8"/>
          <w:w w:val="105"/>
          <w:sz w:val="20"/>
        </w:rPr>
        <w:t> </w:t>
      </w:r>
      <w:r>
        <w:rPr>
          <w:w w:val="105"/>
          <w:sz w:val="20"/>
        </w:rPr>
        <w:t>value</w:t>
      </w:r>
      <w:r>
        <w:rPr>
          <w:spacing w:val="-8"/>
          <w:w w:val="105"/>
          <w:sz w:val="20"/>
        </w:rPr>
        <w:t> </w:t>
      </w:r>
      <w:r>
        <w:rPr>
          <w:w w:val="105"/>
          <w:sz w:val="20"/>
        </w:rPr>
        <w:t>of</w:t>
      </w:r>
      <w:r>
        <w:rPr>
          <w:spacing w:val="-8"/>
          <w:w w:val="105"/>
          <w:sz w:val="20"/>
        </w:rPr>
        <w:t> </w:t>
      </w:r>
      <w:r>
        <w:rPr>
          <w:w w:val="105"/>
          <w:sz w:val="20"/>
        </w:rPr>
        <w:t>Mr</w:t>
      </w:r>
      <w:r>
        <w:rPr>
          <w:spacing w:val="-8"/>
          <w:w w:val="105"/>
          <w:sz w:val="20"/>
        </w:rPr>
        <w:t> </w:t>
      </w:r>
      <w:r>
        <w:rPr>
          <w:spacing w:val="-3"/>
          <w:w w:val="105"/>
          <w:sz w:val="20"/>
        </w:rPr>
        <w:t>Ling’s</w:t>
      </w:r>
      <w:r>
        <w:rPr>
          <w:spacing w:val="-9"/>
          <w:w w:val="105"/>
          <w:sz w:val="20"/>
        </w:rPr>
        <w:t> </w:t>
      </w:r>
      <w:r>
        <w:rPr>
          <w:w w:val="105"/>
          <w:sz w:val="20"/>
        </w:rPr>
        <w:t>investment</w:t>
      </w:r>
      <w:r>
        <w:rPr>
          <w:spacing w:val="-8"/>
          <w:w w:val="105"/>
          <w:sz w:val="20"/>
        </w:rPr>
        <w:t> </w:t>
      </w:r>
      <w:r>
        <w:rPr>
          <w:w w:val="105"/>
          <w:sz w:val="20"/>
        </w:rPr>
        <w:t>unit has increased significantly since he made his will leaving it to his son.</w:t>
      </w:r>
    </w:p>
    <w:p>
      <w:pPr>
        <w:spacing w:line="254" w:lineRule="auto" w:before="123"/>
        <w:ind w:left="2721" w:right="1711" w:firstLine="0"/>
        <w:jc w:val="left"/>
        <w:rPr>
          <w:sz w:val="20"/>
        </w:rPr>
      </w:pPr>
      <w:r>
        <w:rPr>
          <w:w w:val="105"/>
          <w:sz w:val="20"/>
        </w:rPr>
        <w:t>The </w:t>
      </w:r>
      <w:r>
        <w:rPr>
          <w:spacing w:val="-3"/>
          <w:w w:val="105"/>
          <w:sz w:val="20"/>
        </w:rPr>
        <w:t>Commission’s </w:t>
      </w:r>
      <w:r>
        <w:rPr>
          <w:w w:val="105"/>
          <w:sz w:val="20"/>
        </w:rPr>
        <w:t>recommendation would permit Mr </w:t>
      </w:r>
      <w:r>
        <w:rPr>
          <w:spacing w:val="-3"/>
          <w:w w:val="105"/>
          <w:sz w:val="20"/>
        </w:rPr>
        <w:t>Ling’s daughter </w:t>
      </w:r>
      <w:r>
        <w:rPr>
          <w:w w:val="105"/>
          <w:sz w:val="20"/>
        </w:rPr>
        <w:t>to apply to the court for an adjustment to her and her </w:t>
      </w:r>
      <w:r>
        <w:rPr>
          <w:spacing w:val="-3"/>
          <w:w w:val="105"/>
          <w:sz w:val="20"/>
        </w:rPr>
        <w:t>brother’s </w:t>
      </w:r>
      <w:r>
        <w:rPr>
          <w:w w:val="105"/>
          <w:sz w:val="20"/>
        </w:rPr>
        <w:t>benefit under the </w:t>
      </w:r>
      <w:r>
        <w:rPr>
          <w:spacing w:val="-3"/>
          <w:w w:val="105"/>
          <w:sz w:val="20"/>
        </w:rPr>
        <w:t>will, arguing </w:t>
      </w:r>
      <w:r>
        <w:rPr>
          <w:w w:val="105"/>
          <w:sz w:val="20"/>
        </w:rPr>
        <w:t>that the will </w:t>
      </w:r>
      <w:r>
        <w:rPr>
          <w:spacing w:val="-3"/>
          <w:w w:val="105"/>
          <w:sz w:val="20"/>
        </w:rPr>
        <w:t>contemplated </w:t>
      </w:r>
      <w:r>
        <w:rPr>
          <w:w w:val="105"/>
          <w:sz w:val="20"/>
        </w:rPr>
        <w:t>the two siblings being treated </w:t>
      </w:r>
      <w:r>
        <w:rPr>
          <w:spacing w:val="-3"/>
          <w:w w:val="105"/>
          <w:sz w:val="20"/>
        </w:rPr>
        <w:t>equally.</w:t>
      </w:r>
    </w:p>
    <w:p>
      <w:pPr>
        <w:spacing w:line="264" w:lineRule="auto" w:before="120"/>
        <w:ind w:left="2721" w:right="2428" w:firstLine="0"/>
        <w:jc w:val="left"/>
        <w:rPr>
          <w:rFonts w:ascii="Lucida Sans"/>
          <w:b/>
          <w:sz w:val="20"/>
        </w:rPr>
      </w:pPr>
      <w:r>
        <w:rPr>
          <w:rFonts w:ascii="Lucida Sans"/>
          <w:b/>
          <w:w w:val="95"/>
          <w:sz w:val="20"/>
        </w:rPr>
        <w:t>Example</w:t>
      </w:r>
      <w:r>
        <w:rPr>
          <w:rFonts w:ascii="Lucida Sans"/>
          <w:b/>
          <w:spacing w:val="-34"/>
          <w:w w:val="95"/>
          <w:sz w:val="20"/>
        </w:rPr>
        <w:t> </w:t>
      </w:r>
      <w:r>
        <w:rPr>
          <w:rFonts w:ascii="Lucida Sans"/>
          <w:b/>
          <w:spacing w:val="5"/>
          <w:w w:val="95"/>
          <w:sz w:val="20"/>
        </w:rPr>
        <w:t>4:</w:t>
      </w:r>
      <w:r>
        <w:rPr>
          <w:rFonts w:ascii="Lucida Sans"/>
          <w:b/>
          <w:spacing w:val="-33"/>
          <w:w w:val="95"/>
          <w:sz w:val="20"/>
        </w:rPr>
        <w:t> </w:t>
      </w:r>
      <w:r>
        <w:rPr>
          <w:rFonts w:ascii="Lucida Sans"/>
          <w:b/>
          <w:w w:val="95"/>
          <w:sz w:val="20"/>
        </w:rPr>
        <w:t>Disproportionate</w:t>
      </w:r>
      <w:r>
        <w:rPr>
          <w:rFonts w:ascii="Lucida Sans"/>
          <w:b/>
          <w:spacing w:val="-34"/>
          <w:w w:val="95"/>
          <w:sz w:val="20"/>
        </w:rPr>
        <w:t> </w:t>
      </w:r>
      <w:r>
        <w:rPr>
          <w:rFonts w:ascii="Lucida Sans"/>
          <w:b/>
          <w:w w:val="95"/>
          <w:sz w:val="20"/>
        </w:rPr>
        <w:t>result</w:t>
      </w:r>
      <w:r>
        <w:rPr>
          <w:rFonts w:ascii="Lucida Sans"/>
          <w:b/>
          <w:spacing w:val="-33"/>
          <w:w w:val="95"/>
          <w:sz w:val="20"/>
        </w:rPr>
        <w:t> </w:t>
      </w:r>
      <w:r>
        <w:rPr>
          <w:rFonts w:ascii="Lucida Sans"/>
          <w:b/>
          <w:w w:val="95"/>
          <w:sz w:val="20"/>
        </w:rPr>
        <w:t>because</w:t>
      </w:r>
      <w:r>
        <w:rPr>
          <w:rFonts w:ascii="Lucida Sans"/>
          <w:b/>
          <w:spacing w:val="-34"/>
          <w:w w:val="95"/>
          <w:sz w:val="20"/>
        </w:rPr>
        <w:t> </w:t>
      </w:r>
      <w:r>
        <w:rPr>
          <w:rFonts w:ascii="Lucida Sans"/>
          <w:b/>
          <w:w w:val="95"/>
          <w:sz w:val="20"/>
        </w:rPr>
        <w:t>of</w:t>
      </w:r>
      <w:r>
        <w:rPr>
          <w:rFonts w:ascii="Lucida Sans"/>
          <w:b/>
          <w:spacing w:val="-33"/>
          <w:w w:val="95"/>
          <w:sz w:val="20"/>
        </w:rPr>
        <w:t> </w:t>
      </w:r>
      <w:r>
        <w:rPr>
          <w:rFonts w:ascii="Lucida Sans"/>
          <w:b/>
          <w:w w:val="95"/>
          <w:sz w:val="20"/>
        </w:rPr>
        <w:t>a</w:t>
      </w:r>
      <w:r>
        <w:rPr>
          <w:rFonts w:ascii="Lucida Sans"/>
          <w:b/>
          <w:spacing w:val="-33"/>
          <w:w w:val="95"/>
          <w:sz w:val="20"/>
        </w:rPr>
        <w:t> </w:t>
      </w:r>
      <w:r>
        <w:rPr>
          <w:rFonts w:ascii="Lucida Sans"/>
          <w:b/>
          <w:w w:val="95"/>
          <w:sz w:val="20"/>
        </w:rPr>
        <w:t>legislative</w:t>
      </w:r>
      <w:r>
        <w:rPr>
          <w:rFonts w:ascii="Lucida Sans"/>
          <w:b/>
          <w:spacing w:val="-34"/>
          <w:w w:val="95"/>
          <w:sz w:val="20"/>
        </w:rPr>
        <w:t> </w:t>
      </w:r>
      <w:r>
        <w:rPr>
          <w:rFonts w:ascii="Lucida Sans"/>
          <w:b/>
          <w:w w:val="95"/>
          <w:sz w:val="20"/>
        </w:rPr>
        <w:t>exception</w:t>
      </w:r>
      <w:r>
        <w:rPr>
          <w:rFonts w:ascii="Lucida Sans"/>
          <w:b/>
          <w:spacing w:val="-33"/>
          <w:w w:val="95"/>
          <w:sz w:val="20"/>
        </w:rPr>
        <w:t> </w:t>
      </w:r>
      <w:r>
        <w:rPr>
          <w:rFonts w:ascii="Lucida Sans"/>
          <w:b/>
          <w:w w:val="95"/>
          <w:sz w:val="20"/>
        </w:rPr>
        <w:t>to </w:t>
      </w:r>
      <w:r>
        <w:rPr>
          <w:rFonts w:ascii="Lucida Sans"/>
          <w:b/>
          <w:sz w:val="20"/>
        </w:rPr>
        <w:t>ademption</w:t>
      </w:r>
    </w:p>
    <w:p>
      <w:pPr>
        <w:spacing w:line="254" w:lineRule="auto" w:before="126"/>
        <w:ind w:left="2721" w:right="1587" w:firstLine="0"/>
        <w:jc w:val="left"/>
        <w:rPr>
          <w:sz w:val="20"/>
        </w:rPr>
      </w:pPr>
      <w:r>
        <w:rPr>
          <w:sz w:val="20"/>
        </w:rPr>
        <w:t>In this example, instead of an investment unit, Mr Ling owns an investment portfolio of shares valued at a </w:t>
      </w:r>
      <w:r>
        <w:rPr>
          <w:spacing w:val="-3"/>
          <w:sz w:val="20"/>
        </w:rPr>
        <w:t>similar  </w:t>
      </w:r>
      <w:r>
        <w:rPr>
          <w:spacing w:val="-2"/>
          <w:sz w:val="20"/>
        </w:rPr>
        <w:t>amount </w:t>
      </w:r>
      <w:r>
        <w:rPr>
          <w:sz w:val="20"/>
        </w:rPr>
        <w:t>to his home unit. Mr </w:t>
      </w:r>
      <w:r>
        <w:rPr>
          <w:spacing w:val="-3"/>
          <w:sz w:val="20"/>
        </w:rPr>
        <w:t>Ling’s</w:t>
      </w:r>
      <w:r>
        <w:rPr>
          <w:spacing w:val="39"/>
          <w:sz w:val="20"/>
        </w:rPr>
        <w:t> </w:t>
      </w:r>
      <w:r>
        <w:rPr>
          <w:sz w:val="20"/>
        </w:rPr>
        <w:t>will leaves the home unit to   his</w:t>
      </w:r>
      <w:r>
        <w:rPr>
          <w:spacing w:val="14"/>
          <w:sz w:val="20"/>
        </w:rPr>
        <w:t> </w:t>
      </w:r>
      <w:r>
        <w:rPr>
          <w:spacing w:val="-3"/>
          <w:sz w:val="20"/>
        </w:rPr>
        <w:t>daughter</w:t>
      </w:r>
      <w:r>
        <w:rPr>
          <w:spacing w:val="14"/>
          <w:sz w:val="20"/>
        </w:rPr>
        <w:t> </w:t>
      </w:r>
      <w:r>
        <w:rPr>
          <w:sz w:val="20"/>
        </w:rPr>
        <w:t>and</w:t>
      </w:r>
      <w:r>
        <w:rPr>
          <w:spacing w:val="14"/>
          <w:sz w:val="20"/>
        </w:rPr>
        <w:t> </w:t>
      </w:r>
      <w:r>
        <w:rPr>
          <w:sz w:val="20"/>
        </w:rPr>
        <w:t>the</w:t>
      </w:r>
      <w:r>
        <w:rPr>
          <w:spacing w:val="15"/>
          <w:sz w:val="20"/>
        </w:rPr>
        <w:t> </w:t>
      </w:r>
      <w:r>
        <w:rPr>
          <w:sz w:val="20"/>
        </w:rPr>
        <w:t>rest</w:t>
      </w:r>
      <w:r>
        <w:rPr>
          <w:spacing w:val="14"/>
          <w:sz w:val="20"/>
        </w:rPr>
        <w:t> </w:t>
      </w:r>
      <w:r>
        <w:rPr>
          <w:sz w:val="20"/>
        </w:rPr>
        <w:t>of</w:t>
      </w:r>
      <w:r>
        <w:rPr>
          <w:spacing w:val="14"/>
          <w:sz w:val="20"/>
        </w:rPr>
        <w:t> </w:t>
      </w:r>
      <w:r>
        <w:rPr>
          <w:sz w:val="20"/>
        </w:rPr>
        <w:t>his</w:t>
      </w:r>
      <w:r>
        <w:rPr>
          <w:spacing w:val="15"/>
          <w:sz w:val="20"/>
        </w:rPr>
        <w:t> </w:t>
      </w:r>
      <w:r>
        <w:rPr>
          <w:sz w:val="20"/>
        </w:rPr>
        <w:t>estate</w:t>
      </w:r>
      <w:r>
        <w:rPr>
          <w:spacing w:val="14"/>
          <w:sz w:val="20"/>
        </w:rPr>
        <w:t> </w:t>
      </w:r>
      <w:r>
        <w:rPr>
          <w:sz w:val="20"/>
        </w:rPr>
        <w:t>(which</w:t>
      </w:r>
      <w:r>
        <w:rPr>
          <w:spacing w:val="14"/>
          <w:sz w:val="20"/>
        </w:rPr>
        <w:t> </w:t>
      </w:r>
      <w:r>
        <w:rPr>
          <w:sz w:val="20"/>
        </w:rPr>
        <w:t>includes</w:t>
      </w:r>
      <w:r>
        <w:rPr>
          <w:spacing w:val="15"/>
          <w:sz w:val="20"/>
        </w:rPr>
        <w:t> </w:t>
      </w:r>
      <w:r>
        <w:rPr>
          <w:sz w:val="20"/>
        </w:rPr>
        <w:t>the</w:t>
      </w:r>
      <w:r>
        <w:rPr>
          <w:spacing w:val="14"/>
          <w:sz w:val="20"/>
        </w:rPr>
        <w:t> </w:t>
      </w:r>
      <w:r>
        <w:rPr>
          <w:sz w:val="20"/>
        </w:rPr>
        <w:t>investment</w:t>
      </w:r>
      <w:r>
        <w:rPr>
          <w:spacing w:val="14"/>
          <w:sz w:val="20"/>
        </w:rPr>
        <w:t> </w:t>
      </w:r>
      <w:r>
        <w:rPr>
          <w:sz w:val="20"/>
        </w:rPr>
        <w:t>portfolio)</w:t>
      </w:r>
      <w:r>
        <w:rPr>
          <w:spacing w:val="14"/>
          <w:sz w:val="20"/>
        </w:rPr>
        <w:t> </w:t>
      </w:r>
      <w:r>
        <w:rPr>
          <w:sz w:val="20"/>
        </w:rPr>
        <w:t>to</w:t>
      </w:r>
      <w:r>
        <w:rPr>
          <w:spacing w:val="15"/>
          <w:sz w:val="20"/>
        </w:rPr>
        <w:t> </w:t>
      </w:r>
      <w:r>
        <w:rPr>
          <w:sz w:val="20"/>
        </w:rPr>
        <w:t>his</w:t>
      </w:r>
      <w:r>
        <w:rPr>
          <w:spacing w:val="14"/>
          <w:sz w:val="20"/>
        </w:rPr>
        <w:t> </w:t>
      </w:r>
      <w:r>
        <w:rPr>
          <w:sz w:val="20"/>
        </w:rPr>
        <w:t>son.</w:t>
      </w:r>
    </w:p>
    <w:p>
      <w:pPr>
        <w:spacing w:line="254" w:lineRule="auto" w:before="123"/>
        <w:ind w:left="2721" w:right="1826" w:firstLine="0"/>
        <w:jc w:val="left"/>
        <w:rPr>
          <w:sz w:val="20"/>
        </w:rPr>
      </w:pPr>
      <w:r>
        <w:rPr>
          <w:sz w:val="20"/>
        </w:rPr>
        <w:t>Mr Ling’s administrator sells the home unit and uses the proceeds to pay a nursing home bond. The administrator then spends all the proceeds of the investment portfolio on Mr Ling’s care. The nursing home bond is the only asset remaining in Mr Ling’s estate at his death and would go to his daughter.</w:t>
      </w:r>
    </w:p>
    <w:p>
      <w:pPr>
        <w:spacing w:line="254" w:lineRule="auto" w:before="125"/>
        <w:ind w:left="2721" w:right="1694" w:firstLine="0"/>
        <w:jc w:val="both"/>
        <w:rPr>
          <w:sz w:val="20"/>
        </w:rPr>
      </w:pPr>
      <w:r>
        <w:rPr>
          <w:w w:val="105"/>
          <w:sz w:val="20"/>
        </w:rPr>
        <w:t>The</w:t>
      </w:r>
      <w:r>
        <w:rPr>
          <w:spacing w:val="-4"/>
          <w:w w:val="105"/>
          <w:sz w:val="20"/>
        </w:rPr>
        <w:t> </w:t>
      </w:r>
      <w:r>
        <w:rPr>
          <w:spacing w:val="-3"/>
          <w:w w:val="105"/>
          <w:sz w:val="20"/>
        </w:rPr>
        <w:t>Commission’s</w:t>
      </w:r>
      <w:r>
        <w:rPr>
          <w:spacing w:val="-4"/>
          <w:w w:val="105"/>
          <w:sz w:val="20"/>
        </w:rPr>
        <w:t> </w:t>
      </w:r>
      <w:r>
        <w:rPr>
          <w:w w:val="105"/>
          <w:sz w:val="20"/>
        </w:rPr>
        <w:t>recommendation</w:t>
      </w:r>
      <w:r>
        <w:rPr>
          <w:spacing w:val="-3"/>
          <w:w w:val="105"/>
          <w:sz w:val="20"/>
        </w:rPr>
        <w:t> </w:t>
      </w:r>
      <w:r>
        <w:rPr>
          <w:w w:val="105"/>
          <w:sz w:val="20"/>
        </w:rPr>
        <w:t>would</w:t>
      </w:r>
      <w:r>
        <w:rPr>
          <w:spacing w:val="-4"/>
          <w:w w:val="105"/>
          <w:sz w:val="20"/>
        </w:rPr>
        <w:t> </w:t>
      </w:r>
      <w:r>
        <w:rPr>
          <w:w w:val="105"/>
          <w:sz w:val="20"/>
        </w:rPr>
        <w:t>permit</w:t>
      </w:r>
      <w:r>
        <w:rPr>
          <w:spacing w:val="-4"/>
          <w:w w:val="105"/>
          <w:sz w:val="20"/>
        </w:rPr>
        <w:t> </w:t>
      </w:r>
      <w:r>
        <w:rPr>
          <w:w w:val="105"/>
          <w:sz w:val="20"/>
        </w:rPr>
        <w:t>Mr</w:t>
      </w:r>
      <w:r>
        <w:rPr>
          <w:spacing w:val="-3"/>
          <w:w w:val="105"/>
          <w:sz w:val="20"/>
        </w:rPr>
        <w:t> Ling’s</w:t>
      </w:r>
      <w:r>
        <w:rPr>
          <w:spacing w:val="-4"/>
          <w:w w:val="105"/>
          <w:sz w:val="20"/>
        </w:rPr>
        <w:t> </w:t>
      </w:r>
      <w:r>
        <w:rPr>
          <w:w w:val="105"/>
          <w:sz w:val="20"/>
        </w:rPr>
        <w:t>son</w:t>
      </w:r>
      <w:r>
        <w:rPr>
          <w:spacing w:val="-3"/>
          <w:w w:val="105"/>
          <w:sz w:val="20"/>
        </w:rPr>
        <w:t> </w:t>
      </w:r>
      <w:r>
        <w:rPr>
          <w:w w:val="105"/>
          <w:sz w:val="20"/>
        </w:rPr>
        <w:t>to</w:t>
      </w:r>
      <w:r>
        <w:rPr>
          <w:spacing w:val="-4"/>
          <w:w w:val="105"/>
          <w:sz w:val="20"/>
        </w:rPr>
        <w:t> </w:t>
      </w:r>
      <w:r>
        <w:rPr>
          <w:w w:val="105"/>
          <w:sz w:val="20"/>
        </w:rPr>
        <w:t>apply</w:t>
      </w:r>
      <w:r>
        <w:rPr>
          <w:spacing w:val="-4"/>
          <w:w w:val="105"/>
          <w:sz w:val="20"/>
        </w:rPr>
        <w:t> </w:t>
      </w:r>
      <w:r>
        <w:rPr>
          <w:w w:val="105"/>
          <w:sz w:val="20"/>
        </w:rPr>
        <w:t>to</w:t>
      </w:r>
      <w:r>
        <w:rPr>
          <w:spacing w:val="-3"/>
          <w:w w:val="105"/>
          <w:sz w:val="20"/>
        </w:rPr>
        <w:t> </w:t>
      </w:r>
      <w:r>
        <w:rPr>
          <w:w w:val="105"/>
          <w:sz w:val="20"/>
        </w:rPr>
        <w:t>the</w:t>
      </w:r>
      <w:r>
        <w:rPr>
          <w:spacing w:val="-4"/>
          <w:w w:val="105"/>
          <w:sz w:val="20"/>
        </w:rPr>
        <w:t> </w:t>
      </w:r>
      <w:r>
        <w:rPr>
          <w:w w:val="105"/>
          <w:sz w:val="20"/>
        </w:rPr>
        <w:t>Court</w:t>
      </w:r>
      <w:r>
        <w:rPr>
          <w:spacing w:val="-4"/>
          <w:w w:val="105"/>
          <w:sz w:val="20"/>
        </w:rPr>
        <w:t> </w:t>
      </w:r>
      <w:r>
        <w:rPr>
          <w:w w:val="105"/>
          <w:sz w:val="20"/>
        </w:rPr>
        <w:t>for an</w:t>
      </w:r>
      <w:r>
        <w:rPr>
          <w:spacing w:val="-7"/>
          <w:w w:val="105"/>
          <w:sz w:val="20"/>
        </w:rPr>
        <w:t> </w:t>
      </w:r>
      <w:r>
        <w:rPr>
          <w:w w:val="105"/>
          <w:sz w:val="20"/>
        </w:rPr>
        <w:t>adjustment</w:t>
      </w:r>
      <w:r>
        <w:rPr>
          <w:spacing w:val="-6"/>
          <w:w w:val="105"/>
          <w:sz w:val="20"/>
        </w:rPr>
        <w:t> </w:t>
      </w:r>
      <w:r>
        <w:rPr>
          <w:w w:val="105"/>
          <w:sz w:val="20"/>
        </w:rPr>
        <w:t>to</w:t>
      </w:r>
      <w:r>
        <w:rPr>
          <w:spacing w:val="-6"/>
          <w:w w:val="105"/>
          <w:sz w:val="20"/>
        </w:rPr>
        <w:t> </w:t>
      </w:r>
      <w:r>
        <w:rPr>
          <w:w w:val="105"/>
          <w:sz w:val="20"/>
        </w:rPr>
        <w:t>his</w:t>
      </w:r>
      <w:r>
        <w:rPr>
          <w:spacing w:val="-6"/>
          <w:w w:val="105"/>
          <w:sz w:val="20"/>
        </w:rPr>
        <w:t> </w:t>
      </w:r>
      <w:r>
        <w:rPr>
          <w:w w:val="105"/>
          <w:sz w:val="20"/>
        </w:rPr>
        <w:t>and</w:t>
      </w:r>
      <w:r>
        <w:rPr>
          <w:spacing w:val="-6"/>
          <w:w w:val="105"/>
          <w:sz w:val="20"/>
        </w:rPr>
        <w:t> </w:t>
      </w:r>
      <w:r>
        <w:rPr>
          <w:w w:val="105"/>
          <w:sz w:val="20"/>
        </w:rPr>
        <w:t>his</w:t>
      </w:r>
      <w:r>
        <w:rPr>
          <w:spacing w:val="-6"/>
          <w:w w:val="105"/>
          <w:sz w:val="20"/>
        </w:rPr>
        <w:t> </w:t>
      </w:r>
      <w:r>
        <w:rPr>
          <w:spacing w:val="-3"/>
          <w:w w:val="105"/>
          <w:sz w:val="20"/>
        </w:rPr>
        <w:t>sister’s</w:t>
      </w:r>
      <w:r>
        <w:rPr>
          <w:spacing w:val="-7"/>
          <w:w w:val="105"/>
          <w:sz w:val="20"/>
        </w:rPr>
        <w:t> </w:t>
      </w:r>
      <w:r>
        <w:rPr>
          <w:w w:val="105"/>
          <w:sz w:val="20"/>
        </w:rPr>
        <w:t>benefits</w:t>
      </w:r>
      <w:r>
        <w:rPr>
          <w:spacing w:val="-6"/>
          <w:w w:val="105"/>
          <w:sz w:val="20"/>
        </w:rPr>
        <w:t> </w:t>
      </w:r>
      <w:r>
        <w:rPr>
          <w:w w:val="105"/>
          <w:sz w:val="20"/>
        </w:rPr>
        <w:t>under</w:t>
      </w:r>
      <w:r>
        <w:rPr>
          <w:spacing w:val="-6"/>
          <w:w w:val="105"/>
          <w:sz w:val="20"/>
        </w:rPr>
        <w:t> </w:t>
      </w:r>
      <w:r>
        <w:rPr>
          <w:w w:val="105"/>
          <w:sz w:val="20"/>
        </w:rPr>
        <w:t>the</w:t>
      </w:r>
      <w:r>
        <w:rPr>
          <w:spacing w:val="-6"/>
          <w:w w:val="105"/>
          <w:sz w:val="20"/>
        </w:rPr>
        <w:t> </w:t>
      </w:r>
      <w:r>
        <w:rPr>
          <w:spacing w:val="-3"/>
          <w:w w:val="105"/>
          <w:sz w:val="20"/>
        </w:rPr>
        <w:t>will,</w:t>
      </w:r>
      <w:r>
        <w:rPr>
          <w:spacing w:val="-6"/>
          <w:w w:val="105"/>
          <w:sz w:val="20"/>
        </w:rPr>
        <w:t> </w:t>
      </w:r>
      <w:r>
        <w:rPr>
          <w:spacing w:val="-3"/>
          <w:w w:val="105"/>
          <w:sz w:val="20"/>
        </w:rPr>
        <w:t>arguing</w:t>
      </w:r>
      <w:r>
        <w:rPr>
          <w:spacing w:val="-6"/>
          <w:w w:val="105"/>
          <w:sz w:val="20"/>
        </w:rPr>
        <w:t> </w:t>
      </w:r>
      <w:r>
        <w:rPr>
          <w:w w:val="105"/>
          <w:sz w:val="20"/>
        </w:rPr>
        <w:t>that</w:t>
      </w:r>
      <w:r>
        <w:rPr>
          <w:spacing w:val="-7"/>
          <w:w w:val="105"/>
          <w:sz w:val="20"/>
        </w:rPr>
        <w:t> </w:t>
      </w:r>
      <w:r>
        <w:rPr>
          <w:w w:val="105"/>
          <w:sz w:val="20"/>
        </w:rPr>
        <w:t>the</w:t>
      </w:r>
      <w:r>
        <w:rPr>
          <w:spacing w:val="-6"/>
          <w:w w:val="105"/>
          <w:sz w:val="20"/>
        </w:rPr>
        <w:t> </w:t>
      </w:r>
      <w:r>
        <w:rPr>
          <w:w w:val="105"/>
          <w:sz w:val="20"/>
        </w:rPr>
        <w:t>exception</w:t>
      </w:r>
      <w:r>
        <w:rPr>
          <w:spacing w:val="-6"/>
          <w:w w:val="105"/>
          <w:sz w:val="20"/>
        </w:rPr>
        <w:t> </w:t>
      </w:r>
      <w:r>
        <w:rPr>
          <w:w w:val="105"/>
          <w:sz w:val="20"/>
        </w:rPr>
        <w:t>to ademption has led to an unjust and disproportionate disadvantage to</w:t>
      </w:r>
      <w:r>
        <w:rPr>
          <w:spacing w:val="9"/>
          <w:w w:val="105"/>
          <w:sz w:val="20"/>
        </w:rPr>
        <w:t> </w:t>
      </w:r>
      <w:r>
        <w:rPr>
          <w:spacing w:val="-3"/>
          <w:w w:val="105"/>
          <w:sz w:val="20"/>
        </w:rPr>
        <w:t>him.</w:t>
      </w:r>
    </w:p>
    <w:p>
      <w:pPr>
        <w:pStyle w:val="BodyText"/>
        <w:spacing w:before="11"/>
        <w:rPr>
          <w:sz w:val="14"/>
        </w:rPr>
      </w:pPr>
      <w:r>
        <w:rPr/>
        <w:pict>
          <v:group style="position:absolute;margin-left:62.362202pt;margin-top:11.061807pt;width:479.1pt;height:257.55pt;mso-position-horizontal-relative:page;mso-position-vertical-relative:paragraph;z-index:2120;mso-wrap-distance-left:0;mso-wrap-distance-right:0" coordorigin="1247,221" coordsize="9582,5151">
            <v:rect style="position:absolute;left:1587;top:221;width:8731;height:5151" filled="true" fillcolor="#fdebea" stroked="false">
              <v:fill type="solid"/>
            </v:rect>
            <v:line style="position:absolute" from="1247,972" to="10828,972" stroked="true" strokeweight="2.5pt" strokecolor="#ffffff">
              <v:stroke dashstyle="solid"/>
            </v:line>
            <v:shape style="position:absolute;left:2381;top:1209;width:7387;height:3989" type="#_x0000_t202" filled="false" stroked="false">
              <v:textbox inset="0,0,0,0">
                <w:txbxContent>
                  <w:p>
                    <w:pPr>
                      <w:spacing w:line="242" w:lineRule="auto" w:before="0"/>
                      <w:ind w:left="0" w:right="70" w:firstLine="0"/>
                      <w:jc w:val="left"/>
                      <w:rPr>
                        <w:sz w:val="21"/>
                      </w:rPr>
                    </w:pPr>
                    <w:r>
                      <w:rPr>
                        <w:w w:val="105"/>
                        <w:sz w:val="21"/>
                      </w:rPr>
                      <w:t>Section 53 of the </w:t>
                    </w:r>
                    <w:r>
                      <w:rPr>
                        <w:rFonts w:ascii="Lucida Sans" w:hAnsi="Lucida Sans"/>
                        <w:i/>
                        <w:w w:val="105"/>
                        <w:sz w:val="21"/>
                      </w:rPr>
                      <w:t>Guardianship and Administration Act 1986 </w:t>
                    </w:r>
                    <w:r>
                      <w:rPr>
                        <w:w w:val="105"/>
                        <w:sz w:val="21"/>
                      </w:rPr>
                      <w:t>(Vic), which modifies the common law of ademption where an administrator sells or otherwise disposes of a  represented  person’s  property,  should  be  amended to </w:t>
                    </w:r>
                    <w:r>
                      <w:rPr>
                        <w:spacing w:val="-3"/>
                        <w:w w:val="105"/>
                        <w:sz w:val="21"/>
                      </w:rPr>
                      <w:t>allow </w:t>
                    </w:r>
                    <w:r>
                      <w:rPr>
                        <w:w w:val="105"/>
                        <w:sz w:val="21"/>
                      </w:rPr>
                      <w:t>a beneficiary under a  </w:t>
                    </w:r>
                    <w:r>
                      <w:rPr>
                        <w:spacing w:val="-3"/>
                        <w:w w:val="105"/>
                        <w:sz w:val="21"/>
                      </w:rPr>
                      <w:t>will  </w:t>
                    </w:r>
                    <w:r>
                      <w:rPr>
                        <w:w w:val="105"/>
                        <w:sz w:val="21"/>
                      </w:rPr>
                      <w:t>to  apply  to  the  Supreme  Court  for  an order</w:t>
                    </w:r>
                    <w:r>
                      <w:rPr>
                        <w:spacing w:val="6"/>
                        <w:w w:val="105"/>
                        <w:sz w:val="21"/>
                      </w:rPr>
                      <w:t> </w:t>
                    </w:r>
                    <w:r>
                      <w:rPr>
                        <w:w w:val="105"/>
                        <w:sz w:val="21"/>
                      </w:rPr>
                      <w:t>where:</w:t>
                    </w:r>
                  </w:p>
                  <w:p>
                    <w:pPr>
                      <w:numPr>
                        <w:ilvl w:val="0"/>
                        <w:numId w:val="43"/>
                      </w:numPr>
                      <w:tabs>
                        <w:tab w:pos="341" w:val="left" w:leader="none"/>
                      </w:tabs>
                      <w:spacing w:line="242" w:lineRule="auto" w:before="118"/>
                      <w:ind w:left="340" w:right="293" w:hanging="340"/>
                      <w:jc w:val="left"/>
                      <w:rPr>
                        <w:sz w:val="21"/>
                      </w:rPr>
                    </w:pPr>
                    <w:r>
                      <w:rPr>
                        <w:w w:val="115"/>
                        <w:sz w:val="21"/>
                      </w:rPr>
                      <w:t>the exception would result in a beneficiary under the </w:t>
                    </w:r>
                    <w:r>
                      <w:rPr>
                        <w:spacing w:val="-3"/>
                        <w:w w:val="115"/>
                        <w:sz w:val="21"/>
                      </w:rPr>
                      <w:t>will gaining </w:t>
                    </w:r>
                    <w:r>
                      <w:rPr>
                        <w:w w:val="115"/>
                        <w:sz w:val="21"/>
                      </w:rPr>
                      <w:t>an unjust and disproportionate advantage or suffering an unjust and disproportionate disadvantage of a kind not contemplated in the</w:t>
                    </w:r>
                    <w:r>
                      <w:rPr>
                        <w:spacing w:val="-18"/>
                        <w:w w:val="115"/>
                        <w:sz w:val="21"/>
                      </w:rPr>
                      <w:t> </w:t>
                    </w:r>
                    <w:r>
                      <w:rPr>
                        <w:spacing w:val="-3"/>
                        <w:w w:val="115"/>
                        <w:sz w:val="21"/>
                      </w:rPr>
                      <w:t>will</w:t>
                    </w:r>
                  </w:p>
                  <w:p>
                    <w:pPr>
                      <w:numPr>
                        <w:ilvl w:val="0"/>
                        <w:numId w:val="43"/>
                      </w:numPr>
                      <w:tabs>
                        <w:tab w:pos="341" w:val="left" w:leader="none"/>
                      </w:tabs>
                      <w:spacing w:line="242" w:lineRule="auto" w:before="124"/>
                      <w:ind w:left="340" w:right="18" w:hanging="340"/>
                      <w:jc w:val="left"/>
                      <w:rPr>
                        <w:sz w:val="21"/>
                      </w:rPr>
                    </w:pPr>
                    <w:r>
                      <w:rPr>
                        <w:w w:val="115"/>
                        <w:sz w:val="21"/>
                      </w:rPr>
                      <w:t>notwithstanding</w:t>
                    </w:r>
                    <w:r>
                      <w:rPr>
                        <w:spacing w:val="-8"/>
                        <w:w w:val="115"/>
                        <w:sz w:val="21"/>
                      </w:rPr>
                      <w:t> </w:t>
                    </w:r>
                    <w:r>
                      <w:rPr>
                        <w:w w:val="115"/>
                        <w:sz w:val="21"/>
                      </w:rPr>
                      <w:t>the</w:t>
                    </w:r>
                    <w:r>
                      <w:rPr>
                        <w:spacing w:val="-7"/>
                        <w:w w:val="115"/>
                        <w:sz w:val="21"/>
                      </w:rPr>
                      <w:t> </w:t>
                    </w:r>
                    <w:r>
                      <w:rPr>
                        <w:w w:val="115"/>
                        <w:sz w:val="21"/>
                      </w:rPr>
                      <w:t>exception</w:t>
                    </w:r>
                    <w:r>
                      <w:rPr>
                        <w:spacing w:val="-8"/>
                        <w:w w:val="115"/>
                        <w:sz w:val="21"/>
                      </w:rPr>
                      <w:t> </w:t>
                    </w:r>
                    <w:r>
                      <w:rPr>
                        <w:w w:val="115"/>
                        <w:sz w:val="21"/>
                      </w:rPr>
                      <w:t>to</w:t>
                    </w:r>
                    <w:r>
                      <w:rPr>
                        <w:spacing w:val="-7"/>
                        <w:w w:val="115"/>
                        <w:sz w:val="21"/>
                      </w:rPr>
                      <w:t> </w:t>
                    </w:r>
                    <w:r>
                      <w:rPr>
                        <w:w w:val="115"/>
                        <w:sz w:val="21"/>
                      </w:rPr>
                      <w:t>ademption,</w:t>
                    </w:r>
                    <w:r>
                      <w:rPr>
                        <w:spacing w:val="-8"/>
                        <w:w w:val="115"/>
                        <w:sz w:val="21"/>
                      </w:rPr>
                      <w:t> </w:t>
                    </w:r>
                    <w:r>
                      <w:rPr>
                        <w:w w:val="115"/>
                        <w:sz w:val="21"/>
                      </w:rPr>
                      <w:t>the</w:t>
                    </w:r>
                    <w:r>
                      <w:rPr>
                        <w:spacing w:val="-7"/>
                        <w:w w:val="115"/>
                        <w:sz w:val="21"/>
                      </w:rPr>
                      <w:t> </w:t>
                    </w:r>
                    <w:r>
                      <w:rPr>
                        <w:w w:val="115"/>
                        <w:sz w:val="21"/>
                      </w:rPr>
                      <w:t>outcome</w:t>
                    </w:r>
                    <w:r>
                      <w:rPr>
                        <w:spacing w:val="-8"/>
                        <w:w w:val="115"/>
                        <w:sz w:val="21"/>
                      </w:rPr>
                      <w:t> </w:t>
                    </w:r>
                    <w:r>
                      <w:rPr>
                        <w:w w:val="115"/>
                        <w:sz w:val="21"/>
                      </w:rPr>
                      <w:t>would</w:t>
                    </w:r>
                    <w:r>
                      <w:rPr>
                        <w:spacing w:val="-7"/>
                        <w:w w:val="115"/>
                        <w:sz w:val="21"/>
                      </w:rPr>
                      <w:t> </w:t>
                    </w:r>
                    <w:r>
                      <w:rPr>
                        <w:w w:val="115"/>
                        <w:sz w:val="21"/>
                      </w:rPr>
                      <w:t>result in a beneficiary under the </w:t>
                    </w:r>
                    <w:r>
                      <w:rPr>
                        <w:spacing w:val="-3"/>
                        <w:w w:val="115"/>
                        <w:sz w:val="21"/>
                      </w:rPr>
                      <w:t>will gaining </w:t>
                    </w:r>
                    <w:r>
                      <w:rPr>
                        <w:w w:val="115"/>
                        <w:sz w:val="21"/>
                      </w:rPr>
                      <w:t>an unjust and disproportionate advantage or suffering an unjust and disproportionate disadvantage of a kind not contemplated in the</w:t>
                    </w:r>
                    <w:r>
                      <w:rPr>
                        <w:spacing w:val="4"/>
                        <w:w w:val="115"/>
                        <w:sz w:val="21"/>
                      </w:rPr>
                      <w:t> </w:t>
                    </w:r>
                    <w:r>
                      <w:rPr>
                        <w:spacing w:val="-3"/>
                        <w:w w:val="115"/>
                        <w:sz w:val="21"/>
                      </w:rPr>
                      <w:t>will.</w:t>
                    </w:r>
                  </w:p>
                  <w:p>
                    <w:pPr>
                      <w:spacing w:line="242" w:lineRule="auto" w:before="124"/>
                      <w:ind w:left="0" w:right="0" w:firstLine="0"/>
                      <w:jc w:val="left"/>
                      <w:rPr>
                        <w:sz w:val="21"/>
                      </w:rPr>
                    </w:pPr>
                    <w:r>
                      <w:rPr>
                        <w:w w:val="115"/>
                        <w:sz w:val="21"/>
                      </w:rPr>
                      <w:t>The</w:t>
                    </w:r>
                    <w:r>
                      <w:rPr>
                        <w:spacing w:val="-13"/>
                        <w:w w:val="115"/>
                        <w:sz w:val="21"/>
                      </w:rPr>
                      <w:t> </w:t>
                    </w:r>
                    <w:r>
                      <w:rPr>
                        <w:w w:val="115"/>
                        <w:sz w:val="21"/>
                      </w:rPr>
                      <w:t>Court</w:t>
                    </w:r>
                    <w:r>
                      <w:rPr>
                        <w:spacing w:val="-12"/>
                        <w:w w:val="115"/>
                        <w:sz w:val="21"/>
                      </w:rPr>
                      <w:t> </w:t>
                    </w:r>
                    <w:r>
                      <w:rPr>
                        <w:w w:val="115"/>
                        <w:sz w:val="21"/>
                      </w:rPr>
                      <w:t>would</w:t>
                    </w:r>
                    <w:r>
                      <w:rPr>
                        <w:spacing w:val="-13"/>
                        <w:w w:val="115"/>
                        <w:sz w:val="21"/>
                      </w:rPr>
                      <w:t> </w:t>
                    </w:r>
                    <w:r>
                      <w:rPr>
                        <w:spacing w:val="-3"/>
                        <w:w w:val="115"/>
                        <w:sz w:val="21"/>
                      </w:rPr>
                      <w:t>make</w:t>
                    </w:r>
                    <w:r>
                      <w:rPr>
                        <w:spacing w:val="-12"/>
                        <w:w w:val="115"/>
                        <w:sz w:val="21"/>
                      </w:rPr>
                      <w:t> </w:t>
                    </w:r>
                    <w:r>
                      <w:rPr>
                        <w:w w:val="115"/>
                        <w:sz w:val="21"/>
                      </w:rPr>
                      <w:t>such</w:t>
                    </w:r>
                    <w:r>
                      <w:rPr>
                        <w:spacing w:val="-13"/>
                        <w:w w:val="115"/>
                        <w:sz w:val="21"/>
                      </w:rPr>
                      <w:t> </w:t>
                    </w:r>
                    <w:r>
                      <w:rPr>
                        <w:w w:val="115"/>
                        <w:sz w:val="21"/>
                      </w:rPr>
                      <w:t>orders</w:t>
                    </w:r>
                    <w:r>
                      <w:rPr>
                        <w:spacing w:val="-12"/>
                        <w:w w:val="115"/>
                        <w:sz w:val="21"/>
                      </w:rPr>
                      <w:t> </w:t>
                    </w:r>
                    <w:r>
                      <w:rPr>
                        <w:w w:val="115"/>
                        <w:sz w:val="21"/>
                      </w:rPr>
                      <w:t>and</w:t>
                    </w:r>
                    <w:r>
                      <w:rPr>
                        <w:spacing w:val="-13"/>
                        <w:w w:val="115"/>
                        <w:sz w:val="21"/>
                      </w:rPr>
                      <w:t> </w:t>
                    </w:r>
                    <w:r>
                      <w:rPr>
                        <w:w w:val="115"/>
                        <w:sz w:val="21"/>
                      </w:rPr>
                      <w:t>direct</w:t>
                    </w:r>
                    <w:r>
                      <w:rPr>
                        <w:spacing w:val="-12"/>
                        <w:w w:val="115"/>
                        <w:sz w:val="21"/>
                      </w:rPr>
                      <w:t> </w:t>
                    </w:r>
                    <w:r>
                      <w:rPr>
                        <w:w w:val="115"/>
                        <w:sz w:val="21"/>
                      </w:rPr>
                      <w:t>such</w:t>
                    </w:r>
                    <w:r>
                      <w:rPr>
                        <w:spacing w:val="-13"/>
                        <w:w w:val="115"/>
                        <w:sz w:val="21"/>
                      </w:rPr>
                      <w:t> </w:t>
                    </w:r>
                    <w:r>
                      <w:rPr>
                        <w:w w:val="115"/>
                        <w:sz w:val="21"/>
                      </w:rPr>
                      <w:t>conveyances,</w:t>
                    </w:r>
                    <w:r>
                      <w:rPr>
                        <w:spacing w:val="-12"/>
                        <w:w w:val="115"/>
                        <w:sz w:val="21"/>
                      </w:rPr>
                      <w:t> </w:t>
                    </w:r>
                    <w:r>
                      <w:rPr>
                        <w:w w:val="115"/>
                        <w:sz w:val="21"/>
                      </w:rPr>
                      <w:t>deeds</w:t>
                    </w:r>
                    <w:r>
                      <w:rPr>
                        <w:spacing w:val="-13"/>
                        <w:w w:val="115"/>
                        <w:sz w:val="21"/>
                      </w:rPr>
                      <w:t> </w:t>
                    </w:r>
                    <w:r>
                      <w:rPr>
                        <w:w w:val="115"/>
                        <w:sz w:val="21"/>
                      </w:rPr>
                      <w:t>and things to be executed and done as it thinks</w:t>
                    </w:r>
                    <w:r>
                      <w:rPr>
                        <w:spacing w:val="3"/>
                        <w:w w:val="115"/>
                        <w:sz w:val="21"/>
                      </w:rPr>
                      <w:t> </w:t>
                    </w:r>
                    <w:r>
                      <w:rPr>
                        <w:w w:val="115"/>
                        <w:sz w:val="21"/>
                      </w:rPr>
                      <w:t>fit.</w:t>
                    </w:r>
                  </w:p>
                </w:txbxContent>
              </v:textbox>
              <w10:wrap type="none"/>
            </v:shape>
            <v:shape style="position:absolute;left:1814;top:1209;width:137;height:249" type="#_x0000_t202" filled="false" stroked="false">
              <v:textbox inset="0,0,0,0">
                <w:txbxContent>
                  <w:p>
                    <w:pPr>
                      <w:spacing w:line="249" w:lineRule="exact" w:before="0"/>
                      <w:ind w:left="0" w:right="0" w:firstLine="0"/>
                      <w:jc w:val="left"/>
                      <w:rPr>
                        <w:sz w:val="21"/>
                      </w:rPr>
                    </w:pPr>
                    <w:r>
                      <w:rPr>
                        <w:w w:val="109"/>
                        <w:sz w:val="21"/>
                      </w:rPr>
                      <w:t>5</w:t>
                    </w:r>
                  </w:p>
                </w:txbxContent>
              </v:textbox>
              <w10:wrap type="none"/>
            </v:shape>
            <v:shape style="position:absolute;left:1587;top:221;width:8731;height:726" type="#_x0000_t202" filled="true" fillcolor="#fdebea" stroked="false">
              <v:textbox inset="0,0,0,0">
                <w:txbxContent>
                  <w:p>
                    <w:pPr>
                      <w:spacing w:before="166"/>
                      <w:ind w:left="226" w:right="0" w:firstLine="0"/>
                      <w:jc w:val="left"/>
                      <w:rPr>
                        <w:b/>
                        <w:sz w:val="32"/>
                      </w:rPr>
                    </w:pPr>
                    <w:r>
                      <w:rPr>
                        <w:b/>
                        <w:color w:val="EC5A4F"/>
                        <w:w w:val="110"/>
                        <w:sz w:val="32"/>
                      </w:rPr>
                      <w:t>Recommendation</w:t>
                    </w:r>
                  </w:p>
                </w:txbxContent>
              </v:textbox>
              <v:fill type="solid"/>
              <w10:wrap type="none"/>
            </v:shape>
            <w10:wrap type="topAndBottom"/>
          </v:group>
        </w:pict>
      </w:r>
    </w:p>
    <w:p>
      <w:pPr>
        <w:pStyle w:val="BodyText"/>
        <w:rPr>
          <w:sz w:val="20"/>
        </w:rPr>
      </w:pPr>
    </w:p>
    <w:p>
      <w:pPr>
        <w:pStyle w:val="BodyText"/>
        <w:rPr>
          <w:sz w:val="20"/>
        </w:rPr>
      </w:pPr>
    </w:p>
    <w:p>
      <w:pPr>
        <w:spacing w:before="240"/>
        <w:ind w:left="720" w:right="0" w:firstLine="0"/>
        <w:jc w:val="left"/>
        <w:rPr>
          <w:b/>
          <w:sz w:val="24"/>
        </w:rPr>
      </w:pPr>
      <w:r>
        <w:rPr>
          <w:b/>
          <w:color w:val="EC5A4F"/>
          <w:w w:val="110"/>
          <w:sz w:val="24"/>
        </w:rPr>
        <w:t>44</w:t>
      </w:r>
    </w:p>
    <w:p>
      <w:pPr>
        <w:spacing w:after="0"/>
        <w:jc w:val="left"/>
        <w:rPr>
          <w:sz w:val="24"/>
        </w:rPr>
        <w:sectPr>
          <w:pgSz w:w="11910" w:h="16840"/>
          <w:pgMar w:header="550" w:footer="0" w:top="1560" w:bottom="280" w:left="0" w:right="0"/>
        </w:sectPr>
      </w:pPr>
    </w:p>
    <w:p>
      <w:pPr>
        <w:pStyle w:val="BodyText"/>
        <w:rPr>
          <w:b/>
          <w:sz w:val="20"/>
        </w:rPr>
      </w:pPr>
    </w:p>
    <w:p>
      <w:pPr>
        <w:pStyle w:val="BodyText"/>
        <w:spacing w:before="1"/>
        <w:rPr>
          <w:b/>
          <w:sz w:val="18"/>
        </w:rPr>
      </w:pPr>
    </w:p>
    <w:p>
      <w:pPr>
        <w:spacing w:before="99"/>
        <w:ind w:left="1587" w:right="0" w:firstLine="0"/>
        <w:jc w:val="left"/>
        <w:rPr>
          <w:b/>
          <w:sz w:val="24"/>
        </w:rPr>
      </w:pPr>
      <w:r>
        <w:rPr>
          <w:b/>
          <w:w w:val="115"/>
          <w:sz w:val="24"/>
        </w:rPr>
        <w:t>Treatment of income generated by sale proceeds</w:t>
      </w:r>
    </w:p>
    <w:p>
      <w:pPr>
        <w:pStyle w:val="ListParagraph"/>
        <w:numPr>
          <w:ilvl w:val="1"/>
          <w:numId w:val="22"/>
        </w:numPr>
        <w:tabs>
          <w:tab w:pos="2382" w:val="left" w:leader="none"/>
        </w:tabs>
        <w:spacing w:line="242" w:lineRule="auto" w:before="137" w:after="0"/>
        <w:ind w:left="2381" w:right="1826" w:hanging="794"/>
        <w:jc w:val="both"/>
        <w:rPr>
          <w:sz w:val="21"/>
        </w:rPr>
      </w:pPr>
      <w:r>
        <w:rPr>
          <w:sz w:val="21"/>
        </w:rPr>
        <w:t>The </w:t>
      </w:r>
      <w:r>
        <w:rPr>
          <w:spacing w:val="-3"/>
          <w:sz w:val="21"/>
        </w:rPr>
        <w:t>Commission </w:t>
      </w:r>
      <w:r>
        <w:rPr>
          <w:spacing w:val="-2"/>
          <w:sz w:val="21"/>
        </w:rPr>
        <w:t>has  </w:t>
      </w:r>
      <w:r>
        <w:rPr>
          <w:sz w:val="21"/>
        </w:rPr>
        <w:t>been </w:t>
      </w:r>
      <w:r>
        <w:rPr>
          <w:spacing w:val="-3"/>
          <w:sz w:val="21"/>
        </w:rPr>
        <w:t>informed  that  </w:t>
      </w:r>
      <w:r>
        <w:rPr>
          <w:sz w:val="21"/>
        </w:rPr>
        <w:t>a </w:t>
      </w:r>
      <w:r>
        <w:rPr>
          <w:spacing w:val="-3"/>
          <w:sz w:val="21"/>
        </w:rPr>
        <w:t>current  area  </w:t>
      </w:r>
      <w:r>
        <w:rPr>
          <w:sz w:val="21"/>
        </w:rPr>
        <w:t>of uncertainty in the operation of section </w:t>
      </w:r>
      <w:r>
        <w:rPr>
          <w:spacing w:val="-3"/>
          <w:sz w:val="21"/>
        </w:rPr>
        <w:t>53 </w:t>
      </w:r>
      <w:r>
        <w:rPr>
          <w:sz w:val="21"/>
        </w:rPr>
        <w:t>is the </w:t>
      </w:r>
      <w:r>
        <w:rPr>
          <w:spacing w:val="-3"/>
          <w:sz w:val="21"/>
        </w:rPr>
        <w:t>treatment </w:t>
      </w:r>
      <w:r>
        <w:rPr>
          <w:sz w:val="21"/>
        </w:rPr>
        <w:t>of </w:t>
      </w:r>
      <w:r>
        <w:rPr>
          <w:spacing w:val="-3"/>
          <w:sz w:val="21"/>
        </w:rPr>
        <w:t>income  generated  </w:t>
      </w:r>
      <w:r>
        <w:rPr>
          <w:sz w:val="21"/>
        </w:rPr>
        <w:t>by sale proceeds. The section refers  </w:t>
      </w:r>
      <w:r>
        <w:rPr>
          <w:spacing w:val="-3"/>
          <w:sz w:val="21"/>
        </w:rPr>
        <w:t>to </w:t>
      </w:r>
      <w:r>
        <w:rPr>
          <w:spacing w:val="-6"/>
          <w:sz w:val="21"/>
        </w:rPr>
        <w:t>‘any </w:t>
      </w:r>
      <w:r>
        <w:rPr>
          <w:sz w:val="21"/>
        </w:rPr>
        <w:t>money or other property </w:t>
      </w:r>
      <w:r>
        <w:rPr>
          <w:spacing w:val="-3"/>
          <w:sz w:val="21"/>
        </w:rPr>
        <w:t>arising from </w:t>
      </w:r>
      <w:r>
        <w:rPr>
          <w:sz w:val="21"/>
        </w:rPr>
        <w:t>or received in respect of </w:t>
      </w:r>
      <w:r>
        <w:rPr>
          <w:spacing w:val="-3"/>
          <w:sz w:val="21"/>
        </w:rPr>
        <w:t>any </w:t>
      </w:r>
      <w:r>
        <w:rPr>
          <w:spacing w:val="-5"/>
          <w:sz w:val="21"/>
        </w:rPr>
        <w:t>sale’. </w:t>
      </w:r>
      <w:r>
        <w:rPr>
          <w:sz w:val="21"/>
        </w:rPr>
        <w:t>It is </w:t>
      </w:r>
      <w:r>
        <w:rPr>
          <w:spacing w:val="-2"/>
          <w:sz w:val="21"/>
        </w:rPr>
        <w:t>not </w:t>
      </w:r>
      <w:r>
        <w:rPr>
          <w:spacing w:val="-3"/>
          <w:sz w:val="21"/>
        </w:rPr>
        <w:t>clear </w:t>
      </w:r>
      <w:r>
        <w:rPr>
          <w:sz w:val="21"/>
        </w:rPr>
        <w:t>whether this </w:t>
      </w:r>
      <w:r>
        <w:rPr>
          <w:spacing w:val="-3"/>
          <w:sz w:val="21"/>
        </w:rPr>
        <w:t>includes interest </w:t>
      </w:r>
      <w:r>
        <w:rPr>
          <w:sz w:val="21"/>
        </w:rPr>
        <w:t>on the proceeds of a sale </w:t>
      </w:r>
      <w:r>
        <w:rPr>
          <w:spacing w:val="-3"/>
          <w:sz w:val="21"/>
        </w:rPr>
        <w:t>that were </w:t>
      </w:r>
      <w:r>
        <w:rPr>
          <w:spacing w:val="-2"/>
          <w:sz w:val="21"/>
        </w:rPr>
        <w:t>not </w:t>
      </w:r>
      <w:r>
        <w:rPr>
          <w:spacing w:val="-3"/>
          <w:sz w:val="21"/>
        </w:rPr>
        <w:t>immediately </w:t>
      </w:r>
      <w:r>
        <w:rPr>
          <w:sz w:val="21"/>
        </w:rPr>
        <w:t>used</w:t>
      </w:r>
      <w:r>
        <w:rPr>
          <w:spacing w:val="9"/>
          <w:sz w:val="21"/>
        </w:rPr>
        <w:t> </w:t>
      </w:r>
      <w:r>
        <w:rPr>
          <w:spacing w:val="-3"/>
          <w:sz w:val="21"/>
        </w:rPr>
        <w:t>for</w:t>
      </w:r>
      <w:r>
        <w:rPr>
          <w:spacing w:val="9"/>
          <w:sz w:val="21"/>
        </w:rPr>
        <w:t> </w:t>
      </w:r>
      <w:r>
        <w:rPr>
          <w:sz w:val="21"/>
        </w:rPr>
        <w:t>the</w:t>
      </w:r>
      <w:r>
        <w:rPr>
          <w:spacing w:val="9"/>
          <w:sz w:val="21"/>
        </w:rPr>
        <w:t> </w:t>
      </w:r>
      <w:r>
        <w:rPr>
          <w:sz w:val="21"/>
        </w:rPr>
        <w:t>benefit</w:t>
      </w:r>
      <w:r>
        <w:rPr>
          <w:spacing w:val="9"/>
          <w:sz w:val="21"/>
        </w:rPr>
        <w:t> </w:t>
      </w:r>
      <w:r>
        <w:rPr>
          <w:sz w:val="21"/>
        </w:rPr>
        <w:t>of</w:t>
      </w:r>
      <w:r>
        <w:rPr>
          <w:spacing w:val="9"/>
          <w:sz w:val="21"/>
        </w:rPr>
        <w:t> </w:t>
      </w:r>
      <w:r>
        <w:rPr>
          <w:sz w:val="21"/>
        </w:rPr>
        <w:t>the</w:t>
      </w:r>
      <w:r>
        <w:rPr>
          <w:spacing w:val="9"/>
          <w:sz w:val="21"/>
        </w:rPr>
        <w:t> </w:t>
      </w:r>
      <w:r>
        <w:rPr>
          <w:spacing w:val="-3"/>
          <w:sz w:val="21"/>
        </w:rPr>
        <w:t>represented</w:t>
      </w:r>
      <w:r>
        <w:rPr>
          <w:spacing w:val="9"/>
          <w:sz w:val="21"/>
        </w:rPr>
        <w:t> </w:t>
      </w:r>
      <w:r>
        <w:rPr>
          <w:sz w:val="21"/>
        </w:rPr>
        <w:t>person.</w:t>
      </w:r>
    </w:p>
    <w:p>
      <w:pPr>
        <w:pStyle w:val="ListParagraph"/>
        <w:numPr>
          <w:ilvl w:val="1"/>
          <w:numId w:val="22"/>
        </w:numPr>
        <w:tabs>
          <w:tab w:pos="2381" w:val="left" w:leader="none"/>
          <w:tab w:pos="2382" w:val="left" w:leader="none"/>
        </w:tabs>
        <w:spacing w:line="242" w:lineRule="auto" w:before="126" w:after="0"/>
        <w:ind w:left="2381" w:right="1811" w:hanging="794"/>
        <w:jc w:val="left"/>
        <w:rPr>
          <w:sz w:val="21"/>
        </w:rPr>
      </w:pPr>
      <w:r>
        <w:rPr>
          <w:w w:val="105"/>
          <w:sz w:val="21"/>
        </w:rPr>
        <w:t>In New South </w:t>
      </w:r>
      <w:r>
        <w:rPr>
          <w:spacing w:val="-3"/>
          <w:w w:val="105"/>
          <w:sz w:val="21"/>
        </w:rPr>
        <w:t>Wales, </w:t>
      </w:r>
      <w:r>
        <w:rPr>
          <w:w w:val="105"/>
          <w:sz w:val="21"/>
        </w:rPr>
        <w:t>section 83 of the </w:t>
      </w:r>
      <w:r>
        <w:rPr>
          <w:i/>
          <w:w w:val="105"/>
          <w:sz w:val="21"/>
        </w:rPr>
        <w:t>NSW </w:t>
      </w:r>
      <w:r>
        <w:rPr>
          <w:i/>
          <w:spacing w:val="-4"/>
          <w:w w:val="105"/>
          <w:sz w:val="21"/>
        </w:rPr>
        <w:t>Trustee </w:t>
      </w:r>
      <w:r>
        <w:rPr>
          <w:i/>
          <w:w w:val="105"/>
          <w:sz w:val="21"/>
        </w:rPr>
        <w:t>and </w:t>
      </w:r>
      <w:r>
        <w:rPr>
          <w:i/>
          <w:spacing w:val="-3"/>
          <w:w w:val="105"/>
          <w:sz w:val="21"/>
        </w:rPr>
        <w:t>Guardianship </w:t>
      </w:r>
      <w:r>
        <w:rPr>
          <w:i/>
          <w:w w:val="105"/>
          <w:sz w:val="21"/>
        </w:rPr>
        <w:t>Act </w:t>
      </w:r>
      <w:r>
        <w:rPr>
          <w:i/>
          <w:spacing w:val="-3"/>
          <w:w w:val="105"/>
          <w:sz w:val="21"/>
        </w:rPr>
        <w:t>2009</w:t>
      </w:r>
      <w:r>
        <w:rPr>
          <w:spacing w:val="-3"/>
          <w:w w:val="105"/>
          <w:sz w:val="21"/>
        </w:rPr>
        <w:t>, </w:t>
      </w:r>
      <w:r>
        <w:rPr>
          <w:w w:val="105"/>
          <w:sz w:val="21"/>
        </w:rPr>
        <w:t>which is broadly </w:t>
      </w:r>
      <w:r>
        <w:rPr>
          <w:spacing w:val="-3"/>
          <w:w w:val="105"/>
          <w:sz w:val="21"/>
        </w:rPr>
        <w:t>equivalent to </w:t>
      </w:r>
      <w:r>
        <w:rPr>
          <w:w w:val="105"/>
          <w:sz w:val="21"/>
        </w:rPr>
        <w:t>section </w:t>
      </w:r>
      <w:r>
        <w:rPr>
          <w:spacing w:val="-3"/>
          <w:w w:val="105"/>
          <w:sz w:val="21"/>
        </w:rPr>
        <w:t>53 </w:t>
      </w:r>
      <w:r>
        <w:rPr>
          <w:w w:val="105"/>
          <w:sz w:val="21"/>
        </w:rPr>
        <w:t>of the </w:t>
      </w:r>
      <w:r>
        <w:rPr>
          <w:spacing w:val="-3"/>
          <w:w w:val="105"/>
          <w:sz w:val="21"/>
        </w:rPr>
        <w:t>Guardianship </w:t>
      </w:r>
      <w:r>
        <w:rPr>
          <w:w w:val="105"/>
          <w:sz w:val="21"/>
        </w:rPr>
        <w:t>and </w:t>
      </w:r>
      <w:r>
        <w:rPr>
          <w:spacing w:val="-3"/>
          <w:w w:val="105"/>
          <w:sz w:val="21"/>
        </w:rPr>
        <w:t>Administration </w:t>
      </w:r>
      <w:r>
        <w:rPr>
          <w:w w:val="105"/>
          <w:sz w:val="21"/>
        </w:rPr>
        <w:t>Act, refers </w:t>
      </w:r>
      <w:r>
        <w:rPr>
          <w:spacing w:val="-3"/>
          <w:w w:val="105"/>
          <w:sz w:val="21"/>
        </w:rPr>
        <w:t>to </w:t>
      </w:r>
      <w:r>
        <w:rPr>
          <w:spacing w:val="-6"/>
          <w:w w:val="105"/>
          <w:sz w:val="21"/>
        </w:rPr>
        <w:t>‘any </w:t>
      </w:r>
      <w:r>
        <w:rPr>
          <w:spacing w:val="-3"/>
          <w:w w:val="105"/>
          <w:sz w:val="21"/>
        </w:rPr>
        <w:t>surplus </w:t>
      </w:r>
      <w:r>
        <w:rPr>
          <w:w w:val="105"/>
          <w:sz w:val="21"/>
        </w:rPr>
        <w:t>money and other property </w:t>
      </w:r>
      <w:r>
        <w:rPr>
          <w:spacing w:val="-3"/>
          <w:w w:val="105"/>
          <w:sz w:val="21"/>
        </w:rPr>
        <w:t>arising from any </w:t>
      </w:r>
      <w:r>
        <w:rPr>
          <w:spacing w:val="-5"/>
          <w:w w:val="105"/>
          <w:sz w:val="21"/>
        </w:rPr>
        <w:t>sale’. </w:t>
      </w:r>
      <w:r>
        <w:rPr>
          <w:w w:val="105"/>
          <w:sz w:val="21"/>
        </w:rPr>
        <w:t>The New South</w:t>
      </w:r>
      <w:r>
        <w:rPr>
          <w:spacing w:val="-11"/>
          <w:w w:val="105"/>
          <w:sz w:val="21"/>
        </w:rPr>
        <w:t> </w:t>
      </w:r>
      <w:r>
        <w:rPr>
          <w:spacing w:val="-3"/>
          <w:w w:val="105"/>
          <w:sz w:val="21"/>
        </w:rPr>
        <w:t>Wales</w:t>
      </w:r>
    </w:p>
    <w:p>
      <w:pPr>
        <w:pStyle w:val="BodyText"/>
        <w:spacing w:line="242" w:lineRule="auto" w:before="3"/>
        <w:ind w:left="2381" w:right="1619"/>
      </w:pPr>
      <w:r>
        <w:rPr>
          <w:spacing w:val="-3"/>
          <w:w w:val="105"/>
        </w:rPr>
        <w:t>Court </w:t>
      </w:r>
      <w:r>
        <w:rPr>
          <w:w w:val="105"/>
        </w:rPr>
        <w:t>of Appeal </w:t>
      </w:r>
      <w:r>
        <w:rPr>
          <w:spacing w:val="-2"/>
          <w:w w:val="105"/>
        </w:rPr>
        <w:t>has </w:t>
      </w:r>
      <w:r>
        <w:rPr>
          <w:spacing w:val="-3"/>
          <w:w w:val="105"/>
        </w:rPr>
        <w:t>recently commented </w:t>
      </w:r>
      <w:r>
        <w:rPr>
          <w:w w:val="105"/>
        </w:rPr>
        <w:t>on whether a beneficiary’s </w:t>
      </w:r>
      <w:r>
        <w:rPr>
          <w:spacing w:val="-3"/>
          <w:w w:val="105"/>
        </w:rPr>
        <w:t>entitlement includes interest that accrues </w:t>
      </w:r>
      <w:r>
        <w:rPr>
          <w:w w:val="105"/>
        </w:rPr>
        <w:t>on the net proceeds of sale of a specific gift.</w:t>
      </w:r>
    </w:p>
    <w:p>
      <w:pPr>
        <w:pStyle w:val="ListParagraph"/>
        <w:numPr>
          <w:ilvl w:val="1"/>
          <w:numId w:val="22"/>
        </w:numPr>
        <w:tabs>
          <w:tab w:pos="2381" w:val="left" w:leader="none"/>
          <w:tab w:pos="2382" w:val="left" w:leader="none"/>
        </w:tabs>
        <w:spacing w:line="242" w:lineRule="auto" w:before="122" w:after="0"/>
        <w:ind w:left="2381" w:right="2033" w:hanging="794"/>
        <w:jc w:val="left"/>
        <w:rPr>
          <w:sz w:val="21"/>
        </w:rPr>
      </w:pPr>
      <w:r>
        <w:rPr>
          <w:w w:val="105"/>
          <w:sz w:val="21"/>
        </w:rPr>
        <w:t>In </w:t>
      </w:r>
      <w:r>
        <w:rPr>
          <w:i/>
          <w:w w:val="105"/>
          <w:sz w:val="21"/>
        </w:rPr>
        <w:t>RL v NSW </w:t>
      </w:r>
      <w:r>
        <w:rPr>
          <w:i/>
          <w:spacing w:val="-4"/>
          <w:w w:val="105"/>
          <w:sz w:val="21"/>
        </w:rPr>
        <w:t>Trustee </w:t>
      </w:r>
      <w:r>
        <w:rPr>
          <w:i/>
          <w:w w:val="105"/>
          <w:sz w:val="21"/>
        </w:rPr>
        <w:t>and </w:t>
      </w:r>
      <w:r>
        <w:rPr>
          <w:i/>
          <w:spacing w:val="-3"/>
          <w:w w:val="105"/>
          <w:sz w:val="21"/>
        </w:rPr>
        <w:t>Guardian </w:t>
      </w:r>
      <w:r>
        <w:rPr>
          <w:w w:val="105"/>
          <w:position w:val="7"/>
          <w:sz w:val="12"/>
        </w:rPr>
        <w:t>49 </w:t>
      </w:r>
      <w:r>
        <w:rPr>
          <w:w w:val="105"/>
          <w:sz w:val="21"/>
        </w:rPr>
        <w:t>the </w:t>
      </w:r>
      <w:r>
        <w:rPr>
          <w:spacing w:val="-3"/>
          <w:w w:val="105"/>
          <w:sz w:val="21"/>
        </w:rPr>
        <w:t>Court considered </w:t>
      </w:r>
      <w:r>
        <w:rPr>
          <w:w w:val="105"/>
          <w:sz w:val="21"/>
        </w:rPr>
        <w:t>the </w:t>
      </w:r>
      <w:r>
        <w:rPr>
          <w:spacing w:val="-3"/>
          <w:w w:val="105"/>
          <w:sz w:val="21"/>
        </w:rPr>
        <w:t>management </w:t>
      </w:r>
      <w:r>
        <w:rPr>
          <w:w w:val="105"/>
          <w:sz w:val="21"/>
        </w:rPr>
        <w:t>of the proceeds of the sale of a </w:t>
      </w:r>
      <w:r>
        <w:rPr>
          <w:spacing w:val="-3"/>
          <w:w w:val="105"/>
          <w:sz w:val="21"/>
        </w:rPr>
        <w:t>garage that </w:t>
      </w:r>
      <w:r>
        <w:rPr>
          <w:w w:val="105"/>
          <w:sz w:val="21"/>
        </w:rPr>
        <w:t>the </w:t>
      </w:r>
      <w:r>
        <w:rPr>
          <w:spacing w:val="-4"/>
          <w:w w:val="105"/>
          <w:sz w:val="21"/>
        </w:rPr>
        <w:t>owner, </w:t>
      </w:r>
      <w:r>
        <w:rPr>
          <w:w w:val="105"/>
          <w:sz w:val="21"/>
        </w:rPr>
        <w:t>Ms PBL, left </w:t>
      </w:r>
      <w:r>
        <w:rPr>
          <w:spacing w:val="-3"/>
          <w:w w:val="105"/>
          <w:sz w:val="21"/>
        </w:rPr>
        <w:t>to </w:t>
      </w:r>
      <w:r>
        <w:rPr>
          <w:w w:val="105"/>
          <w:sz w:val="21"/>
        </w:rPr>
        <w:t>a </w:t>
      </w:r>
      <w:r>
        <w:rPr>
          <w:spacing w:val="-3"/>
          <w:w w:val="105"/>
          <w:sz w:val="21"/>
        </w:rPr>
        <w:t>neighbour </w:t>
      </w:r>
      <w:r>
        <w:rPr>
          <w:w w:val="105"/>
          <w:sz w:val="21"/>
        </w:rPr>
        <w:t>in the last </w:t>
      </w:r>
      <w:r>
        <w:rPr>
          <w:spacing w:val="-3"/>
          <w:w w:val="105"/>
          <w:sz w:val="21"/>
        </w:rPr>
        <w:t>will </w:t>
      </w:r>
      <w:r>
        <w:rPr>
          <w:w w:val="105"/>
          <w:sz w:val="21"/>
        </w:rPr>
        <w:t>she made </w:t>
      </w:r>
      <w:r>
        <w:rPr>
          <w:spacing w:val="-3"/>
          <w:w w:val="105"/>
          <w:sz w:val="21"/>
        </w:rPr>
        <w:t>before losing capacity. </w:t>
      </w:r>
      <w:r>
        <w:rPr>
          <w:w w:val="105"/>
          <w:sz w:val="21"/>
        </w:rPr>
        <w:t>Ms PBL </w:t>
      </w:r>
      <w:r>
        <w:rPr>
          <w:spacing w:val="-2"/>
          <w:w w:val="105"/>
          <w:sz w:val="21"/>
        </w:rPr>
        <w:t>had </w:t>
      </w:r>
      <w:r>
        <w:rPr>
          <w:w w:val="105"/>
          <w:sz w:val="21"/>
        </w:rPr>
        <w:t>owned a home </w:t>
      </w:r>
      <w:r>
        <w:rPr>
          <w:spacing w:val="-3"/>
          <w:w w:val="105"/>
          <w:sz w:val="21"/>
        </w:rPr>
        <w:t>unit, </w:t>
      </w:r>
      <w:r>
        <w:rPr>
          <w:w w:val="105"/>
          <w:sz w:val="21"/>
        </w:rPr>
        <w:t>associated with which was a car space and a </w:t>
      </w:r>
      <w:r>
        <w:rPr>
          <w:spacing w:val="-3"/>
          <w:w w:val="105"/>
          <w:sz w:val="21"/>
        </w:rPr>
        <w:t>garage. </w:t>
      </w:r>
      <w:r>
        <w:rPr>
          <w:w w:val="105"/>
          <w:sz w:val="21"/>
        </w:rPr>
        <w:t>The </w:t>
      </w:r>
      <w:r>
        <w:rPr>
          <w:spacing w:val="-3"/>
          <w:w w:val="105"/>
          <w:sz w:val="21"/>
        </w:rPr>
        <w:t>unit </w:t>
      </w:r>
      <w:r>
        <w:rPr>
          <w:w w:val="105"/>
          <w:sz w:val="21"/>
        </w:rPr>
        <w:t>was sold together with the car </w:t>
      </w:r>
      <w:r>
        <w:rPr>
          <w:spacing w:val="-3"/>
          <w:w w:val="105"/>
          <w:sz w:val="21"/>
        </w:rPr>
        <w:t>accommodation to fund </w:t>
      </w:r>
      <w:r>
        <w:rPr>
          <w:w w:val="105"/>
          <w:sz w:val="21"/>
        </w:rPr>
        <w:t>her </w:t>
      </w:r>
      <w:r>
        <w:rPr>
          <w:spacing w:val="-3"/>
          <w:w w:val="105"/>
          <w:sz w:val="21"/>
        </w:rPr>
        <w:t>nursing </w:t>
      </w:r>
      <w:r>
        <w:rPr>
          <w:w w:val="105"/>
          <w:sz w:val="21"/>
        </w:rPr>
        <w:t>home bond, and the agreed </w:t>
      </w:r>
      <w:r>
        <w:rPr>
          <w:spacing w:val="-3"/>
          <w:w w:val="105"/>
          <w:sz w:val="21"/>
        </w:rPr>
        <w:t>value </w:t>
      </w:r>
      <w:r>
        <w:rPr>
          <w:w w:val="105"/>
          <w:sz w:val="21"/>
        </w:rPr>
        <w:t>of the </w:t>
      </w:r>
      <w:r>
        <w:rPr>
          <w:spacing w:val="-3"/>
          <w:w w:val="105"/>
          <w:sz w:val="21"/>
        </w:rPr>
        <w:t>garage </w:t>
      </w:r>
      <w:r>
        <w:rPr>
          <w:w w:val="105"/>
          <w:sz w:val="21"/>
        </w:rPr>
        <w:t>at the time of sale was set</w:t>
      </w:r>
      <w:r>
        <w:rPr>
          <w:spacing w:val="32"/>
          <w:w w:val="105"/>
          <w:sz w:val="21"/>
        </w:rPr>
        <w:t> </w:t>
      </w:r>
      <w:r>
        <w:rPr>
          <w:spacing w:val="-3"/>
          <w:w w:val="105"/>
          <w:sz w:val="21"/>
        </w:rPr>
        <w:t>aside.</w:t>
      </w:r>
    </w:p>
    <w:p>
      <w:pPr>
        <w:pStyle w:val="ListParagraph"/>
        <w:numPr>
          <w:ilvl w:val="1"/>
          <w:numId w:val="22"/>
        </w:numPr>
        <w:tabs>
          <w:tab w:pos="2380" w:val="left" w:leader="none"/>
          <w:tab w:pos="2382" w:val="left" w:leader="none"/>
        </w:tabs>
        <w:spacing w:line="242" w:lineRule="auto" w:before="127" w:after="0"/>
        <w:ind w:left="2381" w:right="1691" w:hanging="794"/>
        <w:jc w:val="left"/>
        <w:rPr>
          <w:sz w:val="21"/>
        </w:rPr>
      </w:pPr>
      <w:r>
        <w:rPr>
          <w:w w:val="105"/>
          <w:sz w:val="21"/>
        </w:rPr>
        <w:t>While</w:t>
      </w:r>
      <w:r>
        <w:rPr>
          <w:spacing w:val="-4"/>
          <w:w w:val="105"/>
          <w:sz w:val="21"/>
        </w:rPr>
        <w:t> </w:t>
      </w:r>
      <w:r>
        <w:rPr>
          <w:w w:val="105"/>
          <w:sz w:val="21"/>
        </w:rPr>
        <w:t>the</w:t>
      </w:r>
      <w:r>
        <w:rPr>
          <w:spacing w:val="-4"/>
          <w:w w:val="105"/>
          <w:sz w:val="21"/>
        </w:rPr>
        <w:t> </w:t>
      </w:r>
      <w:r>
        <w:rPr>
          <w:spacing w:val="-3"/>
          <w:w w:val="105"/>
          <w:sz w:val="21"/>
        </w:rPr>
        <w:t>Court </w:t>
      </w:r>
      <w:r>
        <w:rPr>
          <w:w w:val="105"/>
          <w:sz w:val="21"/>
        </w:rPr>
        <w:t>did</w:t>
      </w:r>
      <w:r>
        <w:rPr>
          <w:spacing w:val="-4"/>
          <w:w w:val="105"/>
          <w:sz w:val="21"/>
        </w:rPr>
        <w:t> </w:t>
      </w:r>
      <w:r>
        <w:rPr>
          <w:spacing w:val="-2"/>
          <w:w w:val="105"/>
          <w:sz w:val="21"/>
        </w:rPr>
        <w:t>not</w:t>
      </w:r>
      <w:r>
        <w:rPr>
          <w:spacing w:val="-4"/>
          <w:w w:val="105"/>
          <w:sz w:val="21"/>
        </w:rPr>
        <w:t> </w:t>
      </w:r>
      <w:r>
        <w:rPr>
          <w:w w:val="105"/>
          <w:sz w:val="21"/>
        </w:rPr>
        <w:t>need</w:t>
      </w:r>
      <w:r>
        <w:rPr>
          <w:spacing w:val="-3"/>
          <w:w w:val="105"/>
          <w:sz w:val="21"/>
        </w:rPr>
        <w:t> to</w:t>
      </w:r>
      <w:r>
        <w:rPr>
          <w:spacing w:val="-4"/>
          <w:w w:val="105"/>
          <w:sz w:val="21"/>
        </w:rPr>
        <w:t> </w:t>
      </w:r>
      <w:r>
        <w:rPr>
          <w:spacing w:val="-3"/>
          <w:w w:val="105"/>
          <w:sz w:val="21"/>
        </w:rPr>
        <w:t>determine</w:t>
      </w:r>
      <w:r>
        <w:rPr>
          <w:spacing w:val="-4"/>
          <w:w w:val="105"/>
          <w:sz w:val="21"/>
        </w:rPr>
        <w:t> </w:t>
      </w:r>
      <w:r>
        <w:rPr>
          <w:w w:val="105"/>
          <w:sz w:val="21"/>
        </w:rPr>
        <w:t>the</w:t>
      </w:r>
      <w:r>
        <w:rPr>
          <w:spacing w:val="-3"/>
          <w:w w:val="105"/>
          <w:sz w:val="21"/>
        </w:rPr>
        <w:t> </w:t>
      </w:r>
      <w:r>
        <w:rPr>
          <w:w w:val="105"/>
          <w:sz w:val="21"/>
        </w:rPr>
        <w:t>question</w:t>
      </w:r>
      <w:r>
        <w:rPr>
          <w:spacing w:val="-4"/>
          <w:w w:val="105"/>
          <w:sz w:val="21"/>
        </w:rPr>
        <w:t> </w:t>
      </w:r>
      <w:r>
        <w:rPr>
          <w:w w:val="105"/>
          <w:sz w:val="21"/>
        </w:rPr>
        <w:t>of</w:t>
      </w:r>
      <w:r>
        <w:rPr>
          <w:spacing w:val="-4"/>
          <w:w w:val="105"/>
          <w:sz w:val="21"/>
        </w:rPr>
        <w:t> </w:t>
      </w:r>
      <w:r>
        <w:rPr>
          <w:w w:val="105"/>
          <w:sz w:val="21"/>
        </w:rPr>
        <w:t>who</w:t>
      </w:r>
      <w:r>
        <w:rPr>
          <w:spacing w:val="-3"/>
          <w:w w:val="105"/>
          <w:sz w:val="21"/>
        </w:rPr>
        <w:t> </w:t>
      </w:r>
      <w:r>
        <w:rPr>
          <w:w w:val="105"/>
          <w:sz w:val="21"/>
        </w:rPr>
        <w:t>would</w:t>
      </w:r>
      <w:r>
        <w:rPr>
          <w:spacing w:val="-4"/>
          <w:w w:val="105"/>
          <w:sz w:val="21"/>
        </w:rPr>
        <w:t> </w:t>
      </w:r>
      <w:r>
        <w:rPr>
          <w:w w:val="105"/>
          <w:sz w:val="21"/>
        </w:rPr>
        <w:t>be</w:t>
      </w:r>
      <w:r>
        <w:rPr>
          <w:spacing w:val="-3"/>
          <w:w w:val="105"/>
          <w:sz w:val="21"/>
        </w:rPr>
        <w:t> </w:t>
      </w:r>
      <w:r>
        <w:rPr>
          <w:w w:val="105"/>
          <w:sz w:val="21"/>
        </w:rPr>
        <w:t>entitled</w:t>
      </w:r>
      <w:r>
        <w:rPr>
          <w:spacing w:val="-4"/>
          <w:w w:val="105"/>
          <w:sz w:val="21"/>
        </w:rPr>
        <w:t> </w:t>
      </w:r>
      <w:r>
        <w:rPr>
          <w:spacing w:val="-3"/>
          <w:w w:val="105"/>
          <w:sz w:val="21"/>
        </w:rPr>
        <w:t>to</w:t>
      </w:r>
      <w:r>
        <w:rPr>
          <w:spacing w:val="-4"/>
          <w:w w:val="105"/>
          <w:sz w:val="21"/>
        </w:rPr>
        <w:t> </w:t>
      </w:r>
      <w:r>
        <w:rPr>
          <w:w w:val="105"/>
          <w:sz w:val="21"/>
        </w:rPr>
        <w:t>the </w:t>
      </w:r>
      <w:r>
        <w:rPr>
          <w:spacing w:val="-3"/>
          <w:w w:val="105"/>
          <w:sz w:val="21"/>
        </w:rPr>
        <w:t>interest </w:t>
      </w:r>
      <w:r>
        <w:rPr>
          <w:w w:val="105"/>
          <w:sz w:val="21"/>
        </w:rPr>
        <w:t>or </w:t>
      </w:r>
      <w:r>
        <w:rPr>
          <w:spacing w:val="-3"/>
          <w:w w:val="105"/>
          <w:sz w:val="21"/>
        </w:rPr>
        <w:t>any income </w:t>
      </w:r>
      <w:r>
        <w:rPr>
          <w:w w:val="105"/>
          <w:sz w:val="21"/>
        </w:rPr>
        <w:t>on the proceeds, Justice </w:t>
      </w:r>
      <w:r>
        <w:rPr>
          <w:spacing w:val="-3"/>
          <w:w w:val="105"/>
          <w:sz w:val="21"/>
        </w:rPr>
        <w:t>Campbell </w:t>
      </w:r>
      <w:r>
        <w:rPr>
          <w:w w:val="105"/>
          <w:sz w:val="21"/>
        </w:rPr>
        <w:t>stated </w:t>
      </w:r>
      <w:r>
        <w:rPr>
          <w:spacing w:val="-3"/>
          <w:w w:val="105"/>
          <w:sz w:val="21"/>
        </w:rPr>
        <w:t>that </w:t>
      </w:r>
      <w:r>
        <w:rPr>
          <w:w w:val="105"/>
          <w:sz w:val="21"/>
        </w:rPr>
        <w:t>a </w:t>
      </w:r>
      <w:r>
        <w:rPr>
          <w:spacing w:val="-3"/>
          <w:w w:val="105"/>
          <w:sz w:val="21"/>
        </w:rPr>
        <w:t>finding that </w:t>
      </w:r>
      <w:r>
        <w:rPr>
          <w:w w:val="105"/>
          <w:sz w:val="21"/>
        </w:rPr>
        <w:t>the </w:t>
      </w:r>
      <w:r>
        <w:rPr>
          <w:spacing w:val="-3"/>
          <w:w w:val="105"/>
          <w:sz w:val="21"/>
        </w:rPr>
        <w:t>neighbour </w:t>
      </w:r>
      <w:r>
        <w:rPr>
          <w:w w:val="105"/>
          <w:sz w:val="21"/>
        </w:rPr>
        <w:t>would be entitled </w:t>
      </w:r>
      <w:r>
        <w:rPr>
          <w:spacing w:val="-3"/>
          <w:w w:val="105"/>
          <w:sz w:val="21"/>
        </w:rPr>
        <w:t>may </w:t>
      </w:r>
      <w:r>
        <w:rPr>
          <w:w w:val="105"/>
          <w:sz w:val="21"/>
        </w:rPr>
        <w:t>be </w:t>
      </w:r>
      <w:r>
        <w:rPr>
          <w:spacing w:val="-3"/>
          <w:w w:val="105"/>
          <w:sz w:val="21"/>
        </w:rPr>
        <w:t>consistent </w:t>
      </w:r>
      <w:r>
        <w:rPr>
          <w:w w:val="105"/>
          <w:sz w:val="21"/>
        </w:rPr>
        <w:t>with the</w:t>
      </w:r>
      <w:r>
        <w:rPr>
          <w:spacing w:val="33"/>
          <w:w w:val="105"/>
          <w:sz w:val="21"/>
        </w:rPr>
        <w:t> </w:t>
      </w:r>
      <w:r>
        <w:rPr>
          <w:w w:val="105"/>
          <w:sz w:val="21"/>
        </w:rPr>
        <w:t>legislation:</w:t>
      </w:r>
    </w:p>
    <w:p>
      <w:pPr>
        <w:spacing w:line="254" w:lineRule="auto" w:before="133"/>
        <w:ind w:left="2721" w:right="1532" w:firstLine="0"/>
        <w:jc w:val="left"/>
        <w:rPr>
          <w:sz w:val="20"/>
        </w:rPr>
      </w:pPr>
      <w:r>
        <w:rPr>
          <w:w w:val="105"/>
          <w:sz w:val="20"/>
        </w:rPr>
        <w:t>There seems to be legitimate room for </w:t>
      </w:r>
      <w:r>
        <w:rPr>
          <w:spacing w:val="-3"/>
          <w:w w:val="105"/>
          <w:sz w:val="20"/>
        </w:rPr>
        <w:t>argument </w:t>
      </w:r>
      <w:r>
        <w:rPr>
          <w:w w:val="105"/>
          <w:sz w:val="20"/>
        </w:rPr>
        <w:t>about whether </w:t>
      </w:r>
      <w:r>
        <w:rPr>
          <w:spacing w:val="-4"/>
          <w:w w:val="105"/>
          <w:sz w:val="20"/>
        </w:rPr>
        <w:t>“surplus </w:t>
      </w:r>
      <w:r>
        <w:rPr>
          <w:w w:val="105"/>
          <w:sz w:val="20"/>
        </w:rPr>
        <w:t>money </w:t>
      </w:r>
      <w:r>
        <w:rPr>
          <w:spacing w:val="-6"/>
          <w:w w:val="105"/>
          <w:sz w:val="20"/>
        </w:rPr>
        <w:t>... </w:t>
      </w:r>
      <w:r>
        <w:rPr>
          <w:w w:val="105"/>
          <w:sz w:val="20"/>
        </w:rPr>
        <w:t>arising from </w:t>
      </w:r>
      <w:r>
        <w:rPr>
          <w:spacing w:val="-2"/>
          <w:w w:val="105"/>
          <w:sz w:val="20"/>
        </w:rPr>
        <w:t>any </w:t>
      </w:r>
      <w:r>
        <w:rPr>
          <w:spacing w:val="-3"/>
          <w:w w:val="105"/>
          <w:sz w:val="20"/>
        </w:rPr>
        <w:t>sale” </w:t>
      </w:r>
      <w:r>
        <w:rPr>
          <w:w w:val="105"/>
          <w:sz w:val="20"/>
        </w:rPr>
        <w:t>in s 83 of the 2009 Act extends to income earned by the fund that is set aside between the time of sale and the time of </w:t>
      </w:r>
      <w:r>
        <w:rPr>
          <w:spacing w:val="-6"/>
          <w:w w:val="105"/>
          <w:sz w:val="20"/>
        </w:rPr>
        <w:t>PBL’s </w:t>
      </w:r>
      <w:r>
        <w:rPr>
          <w:spacing w:val="-3"/>
          <w:w w:val="105"/>
          <w:sz w:val="20"/>
        </w:rPr>
        <w:t>eventual </w:t>
      </w:r>
      <w:r>
        <w:rPr>
          <w:w w:val="105"/>
          <w:sz w:val="20"/>
        </w:rPr>
        <w:t>death. The words </w:t>
      </w:r>
      <w:r>
        <w:rPr>
          <w:spacing w:val="-4"/>
          <w:w w:val="105"/>
          <w:sz w:val="20"/>
        </w:rPr>
        <w:t>“arising from” </w:t>
      </w:r>
      <w:r>
        <w:rPr>
          <w:spacing w:val="-3"/>
          <w:w w:val="105"/>
          <w:sz w:val="20"/>
        </w:rPr>
        <w:t>could </w:t>
      </w:r>
      <w:r>
        <w:rPr>
          <w:w w:val="105"/>
          <w:sz w:val="20"/>
        </w:rPr>
        <w:t>be argued to envisage a causal enquiry—one asks what is the money that exists at the time of the testatrix’s death that the sale has caused to come </w:t>
      </w:r>
      <w:r>
        <w:rPr>
          <w:spacing w:val="-3"/>
          <w:w w:val="105"/>
          <w:sz w:val="20"/>
        </w:rPr>
        <w:t>into existence.</w:t>
      </w:r>
    </w:p>
    <w:p>
      <w:pPr>
        <w:spacing w:before="6"/>
        <w:ind w:left="2721" w:right="0" w:firstLine="0"/>
        <w:jc w:val="left"/>
        <w:rPr>
          <w:sz w:val="20"/>
        </w:rPr>
      </w:pPr>
      <w:r>
        <w:rPr>
          <w:w w:val="105"/>
          <w:sz w:val="20"/>
        </w:rPr>
        <w:t>If that construction is right the “surplus money” might extend</w:t>
      </w:r>
    </w:p>
    <w:p>
      <w:pPr>
        <w:spacing w:before="16"/>
        <w:ind w:left="2721" w:right="0" w:firstLine="0"/>
        <w:jc w:val="left"/>
        <w:rPr>
          <w:sz w:val="20"/>
        </w:rPr>
      </w:pPr>
      <w:r>
        <w:rPr>
          <w:sz w:val="20"/>
        </w:rPr>
        <w:t>to interest or other income derived from the net proceeds of sale.</w:t>
      </w:r>
    </w:p>
    <w:p>
      <w:pPr>
        <w:spacing w:line="254" w:lineRule="auto" w:before="135"/>
        <w:ind w:left="2721" w:right="1826" w:firstLine="0"/>
        <w:jc w:val="left"/>
        <w:rPr>
          <w:sz w:val="11"/>
        </w:rPr>
      </w:pPr>
      <w:r>
        <w:rPr>
          <w:sz w:val="20"/>
        </w:rPr>
        <w:t>Such a construction might also be argued to be broadly </w:t>
      </w:r>
      <w:r>
        <w:rPr>
          <w:spacing w:val="-3"/>
          <w:sz w:val="20"/>
        </w:rPr>
        <w:t>consistent  </w:t>
      </w:r>
      <w:r>
        <w:rPr>
          <w:sz w:val="20"/>
        </w:rPr>
        <w:t>with the policy of s 83,    in that if the garage had remained in specie it would presumably </w:t>
      </w:r>
      <w:r>
        <w:rPr>
          <w:spacing w:val="-3"/>
          <w:sz w:val="20"/>
        </w:rPr>
        <w:t>have </w:t>
      </w:r>
      <w:r>
        <w:rPr>
          <w:sz w:val="20"/>
        </w:rPr>
        <w:t>increased in value with </w:t>
      </w:r>
      <w:r>
        <w:rPr>
          <w:spacing w:val="-3"/>
          <w:sz w:val="20"/>
        </w:rPr>
        <w:t>time.  </w:t>
      </w:r>
      <w:r>
        <w:rPr>
          <w:sz w:val="20"/>
        </w:rPr>
        <w:t>It </w:t>
      </w:r>
      <w:r>
        <w:rPr>
          <w:spacing w:val="-3"/>
          <w:sz w:val="20"/>
        </w:rPr>
        <w:t>could</w:t>
      </w:r>
      <w:r>
        <w:rPr>
          <w:spacing w:val="39"/>
          <w:sz w:val="20"/>
        </w:rPr>
        <w:t> </w:t>
      </w:r>
      <w:r>
        <w:rPr>
          <w:sz w:val="20"/>
        </w:rPr>
        <w:t>be argued that, in a broad </w:t>
      </w:r>
      <w:r>
        <w:rPr>
          <w:spacing w:val="-5"/>
          <w:sz w:val="20"/>
        </w:rPr>
        <w:t>way,  </w:t>
      </w:r>
      <w:r>
        <w:rPr>
          <w:sz w:val="20"/>
        </w:rPr>
        <w:t>it would be administering the estate in    a way that does the least damage to </w:t>
      </w:r>
      <w:r>
        <w:rPr>
          <w:spacing w:val="-6"/>
          <w:sz w:val="20"/>
        </w:rPr>
        <w:t>PBL’s </w:t>
      </w:r>
      <w:r>
        <w:rPr>
          <w:spacing w:val="-3"/>
          <w:sz w:val="20"/>
        </w:rPr>
        <w:t>intentions </w:t>
      </w:r>
      <w:r>
        <w:rPr>
          <w:sz w:val="20"/>
        </w:rPr>
        <w:t>expressed in the </w:t>
      </w:r>
      <w:r>
        <w:rPr>
          <w:spacing w:val="-3"/>
          <w:sz w:val="20"/>
        </w:rPr>
        <w:t>will, </w:t>
      </w:r>
      <w:r>
        <w:rPr>
          <w:sz w:val="20"/>
        </w:rPr>
        <w:t>in the changed circumstances where sale of the garage has been necessary to provide for </w:t>
      </w:r>
      <w:r>
        <w:rPr>
          <w:spacing w:val="-6"/>
          <w:sz w:val="20"/>
        </w:rPr>
        <w:t>PBL’s </w:t>
      </w:r>
      <w:r>
        <w:rPr>
          <w:spacing w:val="-3"/>
          <w:sz w:val="20"/>
        </w:rPr>
        <w:t>welfare, </w:t>
      </w:r>
      <w:r>
        <w:rPr>
          <w:sz w:val="20"/>
        </w:rPr>
        <w:t>if the specific legacy were to attach to the net proceeds of sale, plus interest it earned, but </w:t>
      </w:r>
      <w:r>
        <w:rPr>
          <w:spacing w:val="-3"/>
          <w:sz w:val="20"/>
        </w:rPr>
        <w:t>minus </w:t>
      </w:r>
      <w:r>
        <w:rPr>
          <w:spacing w:val="-2"/>
          <w:sz w:val="20"/>
        </w:rPr>
        <w:t>any amount </w:t>
      </w:r>
      <w:r>
        <w:rPr>
          <w:sz w:val="20"/>
        </w:rPr>
        <w:t>that is spent from that fund to </w:t>
      </w:r>
      <w:r>
        <w:rPr>
          <w:spacing w:val="-3"/>
          <w:sz w:val="20"/>
        </w:rPr>
        <w:t>make </w:t>
      </w:r>
      <w:r>
        <w:rPr>
          <w:sz w:val="20"/>
        </w:rPr>
        <w:t>proper provision for</w:t>
      </w:r>
      <w:r>
        <w:rPr>
          <w:spacing w:val="24"/>
          <w:sz w:val="20"/>
        </w:rPr>
        <w:t> </w:t>
      </w:r>
      <w:r>
        <w:rPr>
          <w:sz w:val="20"/>
        </w:rPr>
        <w:t>PBL.</w:t>
      </w:r>
      <w:r>
        <w:rPr>
          <w:position w:val="7"/>
          <w:sz w:val="11"/>
        </w:rPr>
        <w:t>50</w:t>
      </w:r>
    </w:p>
    <w:p>
      <w:pPr>
        <w:pStyle w:val="ListParagraph"/>
        <w:numPr>
          <w:ilvl w:val="1"/>
          <w:numId w:val="22"/>
        </w:numPr>
        <w:tabs>
          <w:tab w:pos="2381" w:val="left" w:leader="none"/>
          <w:tab w:pos="2382" w:val="left" w:leader="none"/>
        </w:tabs>
        <w:spacing w:line="242" w:lineRule="auto" w:before="119" w:after="0"/>
        <w:ind w:left="2381" w:right="1617" w:hanging="794"/>
        <w:jc w:val="left"/>
        <w:rPr>
          <w:sz w:val="12"/>
        </w:rPr>
      </w:pPr>
      <w:r>
        <w:rPr>
          <w:spacing w:val="-3"/>
          <w:sz w:val="21"/>
        </w:rPr>
        <w:t>State </w:t>
      </w:r>
      <w:r>
        <w:rPr>
          <w:spacing w:val="-4"/>
          <w:sz w:val="21"/>
        </w:rPr>
        <w:t>Trustees </w:t>
      </w:r>
      <w:r>
        <w:rPr>
          <w:sz w:val="21"/>
        </w:rPr>
        <w:t>put the view </w:t>
      </w:r>
      <w:r>
        <w:rPr>
          <w:spacing w:val="-3"/>
          <w:sz w:val="21"/>
        </w:rPr>
        <w:t>that </w:t>
      </w:r>
      <w:r>
        <w:rPr>
          <w:sz w:val="21"/>
        </w:rPr>
        <w:t>the </w:t>
      </w:r>
      <w:r>
        <w:rPr>
          <w:spacing w:val="-3"/>
          <w:sz w:val="21"/>
        </w:rPr>
        <w:t>legislative exception to </w:t>
      </w:r>
      <w:r>
        <w:rPr>
          <w:sz w:val="21"/>
        </w:rPr>
        <w:t>ademption should clarify what happens </w:t>
      </w:r>
      <w:r>
        <w:rPr>
          <w:spacing w:val="-3"/>
          <w:sz w:val="21"/>
        </w:rPr>
        <w:t>to any interest </w:t>
      </w:r>
      <w:r>
        <w:rPr>
          <w:sz w:val="21"/>
        </w:rPr>
        <w:t>or growth on the proceeds of </w:t>
      </w:r>
      <w:r>
        <w:rPr>
          <w:spacing w:val="-3"/>
          <w:sz w:val="21"/>
        </w:rPr>
        <w:t>sale. </w:t>
      </w:r>
      <w:r>
        <w:rPr>
          <w:sz w:val="21"/>
        </w:rPr>
        <w:t>In </w:t>
      </w:r>
      <w:r>
        <w:rPr>
          <w:spacing w:val="-3"/>
          <w:sz w:val="21"/>
        </w:rPr>
        <w:t>State </w:t>
      </w:r>
      <w:r>
        <w:rPr>
          <w:spacing w:val="-4"/>
          <w:sz w:val="21"/>
        </w:rPr>
        <w:t>Trustees’ view, </w:t>
      </w:r>
      <w:r>
        <w:rPr>
          <w:sz w:val="21"/>
        </w:rPr>
        <w:t>the beneficiary of the specific gift should </w:t>
      </w:r>
      <w:r>
        <w:rPr>
          <w:spacing w:val="-2"/>
          <w:sz w:val="21"/>
        </w:rPr>
        <w:t>not </w:t>
      </w:r>
      <w:r>
        <w:rPr>
          <w:sz w:val="21"/>
        </w:rPr>
        <w:t>be entitled </w:t>
      </w:r>
      <w:r>
        <w:rPr>
          <w:spacing w:val="-3"/>
          <w:sz w:val="21"/>
        </w:rPr>
        <w:t>to any interest  </w:t>
      </w:r>
      <w:r>
        <w:rPr>
          <w:sz w:val="21"/>
        </w:rPr>
        <w:t>but should be entitled  </w:t>
      </w:r>
      <w:r>
        <w:rPr>
          <w:spacing w:val="-3"/>
          <w:sz w:val="21"/>
        </w:rPr>
        <w:t>to </w:t>
      </w:r>
      <w:r>
        <w:rPr>
          <w:sz w:val="21"/>
        </w:rPr>
        <w:t>the actual </w:t>
      </w:r>
      <w:r>
        <w:rPr>
          <w:spacing w:val="-3"/>
          <w:sz w:val="21"/>
        </w:rPr>
        <w:t>sum </w:t>
      </w:r>
      <w:r>
        <w:rPr>
          <w:sz w:val="21"/>
        </w:rPr>
        <w:t>received by the </w:t>
      </w:r>
      <w:r>
        <w:rPr>
          <w:spacing w:val="-3"/>
          <w:sz w:val="21"/>
        </w:rPr>
        <w:t>substitute </w:t>
      </w:r>
      <w:r>
        <w:rPr>
          <w:sz w:val="21"/>
        </w:rPr>
        <w:t>decision </w:t>
      </w:r>
      <w:r>
        <w:rPr>
          <w:spacing w:val="-4"/>
          <w:sz w:val="21"/>
        </w:rPr>
        <w:t>maker </w:t>
      </w:r>
      <w:r>
        <w:rPr>
          <w:sz w:val="21"/>
        </w:rPr>
        <w:t>less </w:t>
      </w:r>
      <w:r>
        <w:rPr>
          <w:spacing w:val="-3"/>
          <w:sz w:val="21"/>
        </w:rPr>
        <w:t>any amount </w:t>
      </w:r>
      <w:r>
        <w:rPr>
          <w:sz w:val="21"/>
        </w:rPr>
        <w:t>spent on the </w:t>
      </w:r>
      <w:r>
        <w:rPr>
          <w:spacing w:val="-3"/>
          <w:sz w:val="21"/>
        </w:rPr>
        <w:t>person’s </w:t>
      </w:r>
      <w:r>
        <w:rPr>
          <w:spacing w:val="-4"/>
          <w:sz w:val="21"/>
        </w:rPr>
        <w:t>care.</w:t>
      </w:r>
      <w:r>
        <w:rPr>
          <w:spacing w:val="-4"/>
          <w:position w:val="7"/>
          <w:sz w:val="12"/>
        </w:rPr>
        <w:t>51 </w:t>
      </w:r>
      <w:r>
        <w:rPr>
          <w:spacing w:val="-3"/>
          <w:sz w:val="21"/>
        </w:rPr>
        <w:t>Carolyn Sparke </w:t>
      </w:r>
      <w:r>
        <w:rPr>
          <w:sz w:val="21"/>
        </w:rPr>
        <w:t>SC stated </w:t>
      </w:r>
      <w:r>
        <w:rPr>
          <w:spacing w:val="-3"/>
          <w:sz w:val="21"/>
        </w:rPr>
        <w:t>that </w:t>
      </w:r>
      <w:r>
        <w:rPr>
          <w:sz w:val="21"/>
        </w:rPr>
        <w:t>the actual </w:t>
      </w:r>
      <w:r>
        <w:rPr>
          <w:spacing w:val="-3"/>
          <w:sz w:val="21"/>
        </w:rPr>
        <w:t>value </w:t>
      </w:r>
      <w:r>
        <w:rPr>
          <w:sz w:val="21"/>
        </w:rPr>
        <w:t>of the gift,  </w:t>
      </w:r>
      <w:r>
        <w:rPr>
          <w:spacing w:val="-3"/>
          <w:sz w:val="21"/>
        </w:rPr>
        <w:t>including  any </w:t>
      </w:r>
      <w:r>
        <w:rPr>
          <w:sz w:val="21"/>
        </w:rPr>
        <w:t>growth or loss, should pass with the</w:t>
      </w:r>
      <w:r>
        <w:rPr>
          <w:spacing w:val="16"/>
          <w:sz w:val="21"/>
        </w:rPr>
        <w:t> </w:t>
      </w:r>
      <w:r>
        <w:rPr>
          <w:sz w:val="21"/>
        </w:rPr>
        <w:t>gift.</w:t>
      </w:r>
      <w:r>
        <w:rPr>
          <w:position w:val="7"/>
          <w:sz w:val="12"/>
        </w:rPr>
        <w:t>52</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3"/>
        </w:rPr>
      </w:pPr>
      <w:r>
        <w:rPr/>
        <w:pict>
          <v:line style="position:absolute;mso-position-horizontal-relative:page;mso-position-vertical-relative:paragraph;z-index:2144;mso-wrap-distance-left:0;mso-wrap-distance-right:0" from="79.370003pt,16.804737pt" to="515.905003pt,16.804737pt" stroked="true" strokeweight="1pt" strokecolor="#f9ceca">
            <v:stroke dashstyle="solid"/>
            <w10:wrap type="topAndBottom"/>
          </v:line>
        </w:pict>
      </w:r>
    </w:p>
    <w:p>
      <w:pPr>
        <w:tabs>
          <w:tab w:pos="2380" w:val="left" w:leader="none"/>
        </w:tabs>
        <w:spacing w:before="117"/>
        <w:ind w:left="1587" w:right="0" w:firstLine="0"/>
        <w:jc w:val="left"/>
        <w:rPr>
          <w:sz w:val="13"/>
        </w:rPr>
      </w:pPr>
      <w:r>
        <w:rPr>
          <w:w w:val="105"/>
          <w:sz w:val="13"/>
        </w:rPr>
        <w:t>49</w:t>
        <w:tab/>
        <w:t>[2012] NSWCA 39 </w:t>
      </w:r>
      <w:r>
        <w:rPr>
          <w:spacing w:val="-3"/>
          <w:w w:val="105"/>
          <w:sz w:val="13"/>
        </w:rPr>
        <w:t>(19 </w:t>
      </w:r>
      <w:r>
        <w:rPr>
          <w:w w:val="105"/>
          <w:sz w:val="13"/>
        </w:rPr>
        <w:t>March</w:t>
      </w:r>
      <w:r>
        <w:rPr>
          <w:spacing w:val="26"/>
          <w:w w:val="105"/>
          <w:sz w:val="13"/>
        </w:rPr>
        <w:t> </w:t>
      </w:r>
      <w:r>
        <w:rPr>
          <w:w w:val="105"/>
          <w:sz w:val="13"/>
        </w:rPr>
        <w:t>2012).</w:t>
      </w:r>
    </w:p>
    <w:p>
      <w:pPr>
        <w:pStyle w:val="ListParagraph"/>
        <w:numPr>
          <w:ilvl w:val="0"/>
          <w:numId w:val="44"/>
        </w:numPr>
        <w:tabs>
          <w:tab w:pos="2380" w:val="left" w:leader="none"/>
          <w:tab w:pos="2382" w:val="left" w:leader="none"/>
        </w:tabs>
        <w:spacing w:line="240" w:lineRule="auto" w:before="1" w:after="0"/>
        <w:ind w:left="2381" w:right="0" w:hanging="794"/>
        <w:jc w:val="left"/>
        <w:rPr>
          <w:sz w:val="13"/>
        </w:rPr>
      </w:pPr>
      <w:r>
        <w:rPr>
          <w:i/>
          <w:w w:val="105"/>
          <w:sz w:val="13"/>
        </w:rPr>
        <w:t>RL</w:t>
      </w:r>
      <w:r>
        <w:rPr>
          <w:i/>
          <w:spacing w:val="3"/>
          <w:w w:val="105"/>
          <w:sz w:val="13"/>
        </w:rPr>
        <w:t> </w:t>
      </w:r>
      <w:r>
        <w:rPr>
          <w:i/>
          <w:w w:val="105"/>
          <w:sz w:val="13"/>
        </w:rPr>
        <w:t>v</w:t>
      </w:r>
      <w:r>
        <w:rPr>
          <w:i/>
          <w:spacing w:val="4"/>
          <w:w w:val="105"/>
          <w:sz w:val="13"/>
        </w:rPr>
        <w:t> </w:t>
      </w:r>
      <w:r>
        <w:rPr>
          <w:i/>
          <w:w w:val="105"/>
          <w:sz w:val="13"/>
        </w:rPr>
        <w:t>NSW</w:t>
      </w:r>
      <w:r>
        <w:rPr>
          <w:i/>
          <w:spacing w:val="4"/>
          <w:w w:val="105"/>
          <w:sz w:val="13"/>
        </w:rPr>
        <w:t> </w:t>
      </w:r>
      <w:r>
        <w:rPr>
          <w:i/>
          <w:w w:val="105"/>
          <w:sz w:val="13"/>
        </w:rPr>
        <w:t>Trustee</w:t>
      </w:r>
      <w:r>
        <w:rPr>
          <w:i/>
          <w:spacing w:val="3"/>
          <w:w w:val="105"/>
          <w:sz w:val="13"/>
        </w:rPr>
        <w:t> </w:t>
      </w:r>
      <w:r>
        <w:rPr>
          <w:i/>
          <w:w w:val="105"/>
          <w:sz w:val="13"/>
        </w:rPr>
        <w:t>and</w:t>
      </w:r>
      <w:r>
        <w:rPr>
          <w:i/>
          <w:spacing w:val="4"/>
          <w:w w:val="105"/>
          <w:sz w:val="13"/>
        </w:rPr>
        <w:t> </w:t>
      </w:r>
      <w:r>
        <w:rPr>
          <w:i/>
          <w:w w:val="105"/>
          <w:sz w:val="13"/>
        </w:rPr>
        <w:t>Guardian</w:t>
      </w:r>
      <w:r>
        <w:rPr>
          <w:i/>
          <w:spacing w:val="5"/>
          <w:w w:val="105"/>
          <w:sz w:val="13"/>
        </w:rPr>
        <w:t> </w:t>
      </w:r>
      <w:r>
        <w:rPr>
          <w:w w:val="105"/>
          <w:sz w:val="13"/>
        </w:rPr>
        <w:t>[2012]</w:t>
      </w:r>
      <w:r>
        <w:rPr>
          <w:spacing w:val="5"/>
          <w:w w:val="105"/>
          <w:sz w:val="13"/>
        </w:rPr>
        <w:t> </w:t>
      </w:r>
      <w:r>
        <w:rPr>
          <w:w w:val="105"/>
          <w:sz w:val="13"/>
        </w:rPr>
        <w:t>NSWCA</w:t>
      </w:r>
      <w:r>
        <w:rPr>
          <w:spacing w:val="4"/>
          <w:w w:val="105"/>
          <w:sz w:val="13"/>
        </w:rPr>
        <w:t> </w:t>
      </w:r>
      <w:r>
        <w:rPr>
          <w:w w:val="105"/>
          <w:sz w:val="13"/>
        </w:rPr>
        <w:t>39</w:t>
      </w:r>
      <w:r>
        <w:rPr>
          <w:spacing w:val="5"/>
          <w:w w:val="105"/>
          <w:sz w:val="13"/>
        </w:rPr>
        <w:t> </w:t>
      </w:r>
      <w:r>
        <w:rPr>
          <w:spacing w:val="-3"/>
          <w:w w:val="105"/>
          <w:sz w:val="13"/>
        </w:rPr>
        <w:t>(19</w:t>
      </w:r>
      <w:r>
        <w:rPr>
          <w:spacing w:val="5"/>
          <w:w w:val="105"/>
          <w:sz w:val="13"/>
        </w:rPr>
        <w:t> </w:t>
      </w:r>
      <w:r>
        <w:rPr>
          <w:w w:val="105"/>
          <w:sz w:val="13"/>
        </w:rPr>
        <w:t>March</w:t>
      </w:r>
      <w:r>
        <w:rPr>
          <w:spacing w:val="5"/>
          <w:w w:val="105"/>
          <w:sz w:val="13"/>
        </w:rPr>
        <w:t> </w:t>
      </w:r>
      <w:r>
        <w:rPr>
          <w:w w:val="105"/>
          <w:sz w:val="13"/>
        </w:rPr>
        <w:t>2012)</w:t>
      </w:r>
      <w:r>
        <w:rPr>
          <w:spacing w:val="4"/>
          <w:w w:val="105"/>
          <w:sz w:val="13"/>
        </w:rPr>
        <w:t> </w:t>
      </w:r>
      <w:r>
        <w:rPr>
          <w:w w:val="105"/>
          <w:sz w:val="13"/>
        </w:rPr>
        <w:t>[108].</w:t>
      </w:r>
    </w:p>
    <w:p>
      <w:pPr>
        <w:pStyle w:val="ListParagraph"/>
        <w:numPr>
          <w:ilvl w:val="0"/>
          <w:numId w:val="44"/>
        </w:numPr>
        <w:tabs>
          <w:tab w:pos="2381" w:val="left" w:leader="none"/>
          <w:tab w:pos="2382" w:val="left" w:leader="none"/>
        </w:tabs>
        <w:spacing w:line="240" w:lineRule="auto" w:before="2" w:after="0"/>
        <w:ind w:left="2381" w:right="0" w:hanging="794"/>
        <w:jc w:val="left"/>
        <w:rPr>
          <w:sz w:val="13"/>
        </w:rPr>
      </w:pPr>
      <w:r>
        <w:rPr/>
        <w:pict>
          <v:shape style="position:absolute;margin-left:548.915527pt;margin-top:2.921964pt;width:13.35pt;height:14.25pt;mso-position-horizontal-relative:page;mso-position-vertical-relative:paragraph;z-index:4216" type="#_x0000_t202" filled="false" stroked="false">
            <v:textbox inset="0,0,0,0">
              <w:txbxContent>
                <w:p>
                  <w:pPr>
                    <w:spacing w:line="284" w:lineRule="exact" w:before="0"/>
                    <w:ind w:left="0" w:right="0" w:firstLine="0"/>
                    <w:jc w:val="left"/>
                    <w:rPr>
                      <w:b/>
                      <w:sz w:val="24"/>
                    </w:rPr>
                  </w:pPr>
                  <w:r>
                    <w:rPr>
                      <w:b/>
                      <w:color w:val="EC5A4F"/>
                      <w:w w:val="105"/>
                      <w:sz w:val="24"/>
                    </w:rPr>
                    <w:t>45</w:t>
                  </w:r>
                </w:p>
              </w:txbxContent>
            </v:textbox>
            <w10:wrap type="none"/>
          </v:shape>
        </w:pict>
      </w:r>
      <w:r>
        <w:rPr>
          <w:w w:val="105"/>
          <w:sz w:val="13"/>
        </w:rPr>
        <w:t>Submission 33 (State Trustees</w:t>
      </w:r>
      <w:r>
        <w:rPr>
          <w:spacing w:val="18"/>
          <w:w w:val="105"/>
          <w:sz w:val="13"/>
        </w:rPr>
        <w:t> </w:t>
      </w:r>
      <w:r>
        <w:rPr>
          <w:w w:val="105"/>
          <w:sz w:val="13"/>
        </w:rPr>
        <w:t>Limited).</w:t>
      </w:r>
    </w:p>
    <w:p>
      <w:pPr>
        <w:pStyle w:val="ListParagraph"/>
        <w:numPr>
          <w:ilvl w:val="0"/>
          <w:numId w:val="44"/>
        </w:numPr>
        <w:tabs>
          <w:tab w:pos="2381" w:val="left" w:leader="none"/>
          <w:tab w:pos="2382" w:val="left" w:leader="none"/>
        </w:tabs>
        <w:spacing w:line="240" w:lineRule="auto" w:before="1" w:after="0"/>
        <w:ind w:left="2381" w:right="0" w:hanging="794"/>
        <w:jc w:val="left"/>
        <w:rPr>
          <w:sz w:val="13"/>
        </w:rPr>
      </w:pPr>
      <w:r>
        <w:rPr>
          <w:w w:val="105"/>
          <w:sz w:val="13"/>
        </w:rPr>
        <w:t>Submission 39 (Carolyn Sparke</w:t>
      </w:r>
      <w:r>
        <w:rPr>
          <w:spacing w:val="18"/>
          <w:w w:val="105"/>
          <w:sz w:val="13"/>
        </w:rPr>
        <w:t> </w:t>
      </w:r>
      <w:r>
        <w:rPr>
          <w:w w:val="105"/>
          <w:sz w:val="13"/>
        </w:rPr>
        <w:t>SC).</w:t>
      </w:r>
    </w:p>
    <w:p>
      <w:pPr>
        <w:spacing w:after="0" w:line="240" w:lineRule="auto"/>
        <w:jc w:val="left"/>
        <w:rPr>
          <w:sz w:val="13"/>
        </w:rPr>
        <w:sectPr>
          <w:pgSz w:w="11910" w:h="16840"/>
          <w:pgMar w:header="805" w:footer="0" w:top="1360" w:bottom="280" w:left="0" w:right="0"/>
        </w:sectPr>
      </w:pPr>
    </w:p>
    <w:p>
      <w:pPr>
        <w:pStyle w:val="BodyText"/>
        <w:spacing w:before="9"/>
        <w:rPr>
          <w:sz w:val="22"/>
        </w:rPr>
      </w:pPr>
    </w:p>
    <w:p>
      <w:pPr>
        <w:pStyle w:val="ListParagraph"/>
        <w:numPr>
          <w:ilvl w:val="1"/>
          <w:numId w:val="22"/>
        </w:numPr>
        <w:tabs>
          <w:tab w:pos="2381" w:val="left" w:leader="none"/>
          <w:tab w:pos="2382" w:val="left" w:leader="none"/>
        </w:tabs>
        <w:spacing w:line="242" w:lineRule="auto" w:before="92" w:after="0"/>
        <w:ind w:left="2381" w:right="1648" w:hanging="794"/>
        <w:jc w:val="left"/>
        <w:rPr>
          <w:sz w:val="21"/>
        </w:rPr>
      </w:pPr>
      <w:r>
        <w:rPr>
          <w:w w:val="105"/>
          <w:sz w:val="21"/>
        </w:rPr>
        <w:t>The </w:t>
      </w:r>
      <w:r>
        <w:rPr>
          <w:spacing w:val="-3"/>
          <w:w w:val="105"/>
          <w:sz w:val="21"/>
        </w:rPr>
        <w:t>Commission </w:t>
      </w:r>
      <w:r>
        <w:rPr>
          <w:w w:val="105"/>
          <w:sz w:val="21"/>
        </w:rPr>
        <w:t>agrees </w:t>
      </w:r>
      <w:r>
        <w:rPr>
          <w:spacing w:val="-3"/>
          <w:w w:val="105"/>
          <w:sz w:val="21"/>
        </w:rPr>
        <w:t>that </w:t>
      </w:r>
      <w:r>
        <w:rPr>
          <w:w w:val="105"/>
          <w:sz w:val="21"/>
        </w:rPr>
        <w:t>section </w:t>
      </w:r>
      <w:r>
        <w:rPr>
          <w:spacing w:val="-3"/>
          <w:w w:val="105"/>
          <w:sz w:val="21"/>
        </w:rPr>
        <w:t>53 </w:t>
      </w:r>
      <w:r>
        <w:rPr>
          <w:w w:val="105"/>
          <w:sz w:val="21"/>
        </w:rPr>
        <w:t>should clarify what happens </w:t>
      </w:r>
      <w:r>
        <w:rPr>
          <w:spacing w:val="-3"/>
          <w:w w:val="105"/>
          <w:sz w:val="21"/>
        </w:rPr>
        <w:t>to any traceable income</w:t>
      </w:r>
      <w:r>
        <w:rPr>
          <w:spacing w:val="-8"/>
          <w:w w:val="105"/>
          <w:sz w:val="21"/>
        </w:rPr>
        <w:t> </w:t>
      </w:r>
      <w:r>
        <w:rPr>
          <w:w w:val="105"/>
          <w:sz w:val="21"/>
        </w:rPr>
        <w:t>earned</w:t>
      </w:r>
      <w:r>
        <w:rPr>
          <w:spacing w:val="-7"/>
          <w:w w:val="105"/>
          <w:sz w:val="21"/>
        </w:rPr>
        <w:t> </w:t>
      </w:r>
      <w:r>
        <w:rPr>
          <w:w w:val="105"/>
          <w:sz w:val="21"/>
        </w:rPr>
        <w:t>on</w:t>
      </w:r>
      <w:r>
        <w:rPr>
          <w:spacing w:val="-8"/>
          <w:w w:val="105"/>
          <w:sz w:val="21"/>
        </w:rPr>
        <w:t> </w:t>
      </w:r>
      <w:r>
        <w:rPr>
          <w:w w:val="105"/>
          <w:sz w:val="21"/>
        </w:rPr>
        <w:t>sale</w:t>
      </w:r>
      <w:r>
        <w:rPr>
          <w:spacing w:val="-7"/>
          <w:w w:val="105"/>
          <w:sz w:val="21"/>
        </w:rPr>
        <w:t> </w:t>
      </w:r>
      <w:r>
        <w:rPr>
          <w:w w:val="105"/>
          <w:sz w:val="21"/>
        </w:rPr>
        <w:t>proceeds.</w:t>
      </w:r>
      <w:r>
        <w:rPr>
          <w:spacing w:val="-8"/>
          <w:w w:val="105"/>
          <w:sz w:val="21"/>
        </w:rPr>
        <w:t> </w:t>
      </w:r>
      <w:r>
        <w:rPr>
          <w:w w:val="105"/>
          <w:sz w:val="21"/>
        </w:rPr>
        <w:t>In</w:t>
      </w:r>
      <w:r>
        <w:rPr>
          <w:spacing w:val="-7"/>
          <w:w w:val="105"/>
          <w:sz w:val="21"/>
        </w:rPr>
        <w:t> </w:t>
      </w:r>
      <w:r>
        <w:rPr>
          <w:w w:val="105"/>
          <w:sz w:val="21"/>
        </w:rPr>
        <w:t>the</w:t>
      </w:r>
      <w:r>
        <w:rPr>
          <w:spacing w:val="-8"/>
          <w:w w:val="105"/>
          <w:sz w:val="21"/>
        </w:rPr>
        <w:t> </w:t>
      </w:r>
      <w:r>
        <w:rPr>
          <w:spacing w:val="-4"/>
          <w:w w:val="105"/>
          <w:sz w:val="21"/>
        </w:rPr>
        <w:t>Commission’s</w:t>
      </w:r>
      <w:r>
        <w:rPr>
          <w:spacing w:val="-7"/>
          <w:w w:val="105"/>
          <w:sz w:val="21"/>
        </w:rPr>
        <w:t> </w:t>
      </w:r>
      <w:r>
        <w:rPr>
          <w:spacing w:val="-4"/>
          <w:w w:val="105"/>
          <w:sz w:val="21"/>
        </w:rPr>
        <w:t>view,</w:t>
      </w:r>
      <w:r>
        <w:rPr>
          <w:spacing w:val="-7"/>
          <w:w w:val="105"/>
          <w:sz w:val="21"/>
        </w:rPr>
        <w:t> </w:t>
      </w:r>
      <w:r>
        <w:rPr>
          <w:w w:val="105"/>
          <w:sz w:val="21"/>
        </w:rPr>
        <w:t>the</w:t>
      </w:r>
      <w:r>
        <w:rPr>
          <w:spacing w:val="-8"/>
          <w:w w:val="105"/>
          <w:sz w:val="21"/>
        </w:rPr>
        <w:t> </w:t>
      </w:r>
      <w:r>
        <w:rPr>
          <w:w w:val="105"/>
          <w:sz w:val="21"/>
        </w:rPr>
        <w:t>beneficiary</w:t>
      </w:r>
      <w:r>
        <w:rPr>
          <w:spacing w:val="-7"/>
          <w:w w:val="105"/>
          <w:sz w:val="21"/>
        </w:rPr>
        <w:t> </w:t>
      </w:r>
      <w:r>
        <w:rPr>
          <w:w w:val="105"/>
          <w:sz w:val="21"/>
        </w:rPr>
        <w:t>of</w:t>
      </w:r>
      <w:r>
        <w:rPr>
          <w:spacing w:val="-8"/>
          <w:w w:val="105"/>
          <w:sz w:val="21"/>
        </w:rPr>
        <w:t> </w:t>
      </w:r>
      <w:r>
        <w:rPr>
          <w:w w:val="105"/>
          <w:sz w:val="21"/>
        </w:rPr>
        <w:t>the</w:t>
      </w:r>
      <w:r>
        <w:rPr>
          <w:spacing w:val="-7"/>
          <w:w w:val="105"/>
          <w:sz w:val="21"/>
        </w:rPr>
        <w:t> </w:t>
      </w:r>
      <w:r>
        <w:rPr>
          <w:w w:val="105"/>
          <w:sz w:val="21"/>
        </w:rPr>
        <w:t>specific gift should be entitled </w:t>
      </w:r>
      <w:r>
        <w:rPr>
          <w:spacing w:val="-3"/>
          <w:w w:val="105"/>
          <w:sz w:val="21"/>
        </w:rPr>
        <w:t>to </w:t>
      </w:r>
      <w:r>
        <w:rPr>
          <w:w w:val="105"/>
          <w:sz w:val="21"/>
        </w:rPr>
        <w:t>this </w:t>
      </w:r>
      <w:r>
        <w:rPr>
          <w:spacing w:val="-3"/>
          <w:w w:val="105"/>
          <w:sz w:val="21"/>
        </w:rPr>
        <w:t>income, </w:t>
      </w:r>
      <w:r>
        <w:rPr>
          <w:w w:val="105"/>
          <w:sz w:val="21"/>
        </w:rPr>
        <w:t>as a specifically gifted </w:t>
      </w:r>
      <w:r>
        <w:rPr>
          <w:spacing w:val="-3"/>
          <w:w w:val="105"/>
          <w:sz w:val="21"/>
        </w:rPr>
        <w:t>item </w:t>
      </w:r>
      <w:r>
        <w:rPr>
          <w:w w:val="105"/>
          <w:sz w:val="21"/>
        </w:rPr>
        <w:t>would </w:t>
      </w:r>
      <w:r>
        <w:rPr>
          <w:spacing w:val="-3"/>
          <w:w w:val="105"/>
          <w:sz w:val="21"/>
        </w:rPr>
        <w:t>usually increase </w:t>
      </w:r>
      <w:r>
        <w:rPr>
          <w:w w:val="105"/>
          <w:sz w:val="21"/>
        </w:rPr>
        <w:t>in </w:t>
      </w:r>
      <w:r>
        <w:rPr>
          <w:spacing w:val="-3"/>
          <w:w w:val="105"/>
          <w:sz w:val="21"/>
        </w:rPr>
        <w:t>value </w:t>
      </w:r>
      <w:r>
        <w:rPr>
          <w:w w:val="105"/>
          <w:sz w:val="21"/>
        </w:rPr>
        <w:t>if it </w:t>
      </w:r>
      <w:r>
        <w:rPr>
          <w:spacing w:val="-2"/>
          <w:w w:val="105"/>
          <w:sz w:val="21"/>
        </w:rPr>
        <w:t>had not </w:t>
      </w:r>
      <w:r>
        <w:rPr>
          <w:w w:val="105"/>
          <w:sz w:val="21"/>
        </w:rPr>
        <w:t>been sold by the </w:t>
      </w:r>
      <w:r>
        <w:rPr>
          <w:spacing w:val="-3"/>
          <w:w w:val="105"/>
          <w:sz w:val="21"/>
        </w:rPr>
        <w:t>substitute </w:t>
      </w:r>
      <w:r>
        <w:rPr>
          <w:w w:val="105"/>
          <w:sz w:val="21"/>
        </w:rPr>
        <w:t>decision </w:t>
      </w:r>
      <w:r>
        <w:rPr>
          <w:spacing w:val="-6"/>
          <w:w w:val="105"/>
          <w:sz w:val="21"/>
        </w:rPr>
        <w:t>maker. </w:t>
      </w:r>
      <w:r>
        <w:rPr>
          <w:w w:val="105"/>
          <w:sz w:val="21"/>
        </w:rPr>
        <w:t>The </w:t>
      </w:r>
      <w:r>
        <w:rPr>
          <w:spacing w:val="-3"/>
          <w:w w:val="105"/>
          <w:sz w:val="21"/>
        </w:rPr>
        <w:t>following </w:t>
      </w:r>
      <w:r>
        <w:rPr>
          <w:w w:val="105"/>
          <w:sz w:val="21"/>
        </w:rPr>
        <w:t>example </w:t>
      </w:r>
      <w:r>
        <w:rPr>
          <w:spacing w:val="-3"/>
          <w:w w:val="105"/>
          <w:sz w:val="21"/>
        </w:rPr>
        <w:t>illustrates </w:t>
      </w:r>
      <w:r>
        <w:rPr>
          <w:w w:val="105"/>
          <w:sz w:val="21"/>
        </w:rPr>
        <w:t>the effect of the proposed</w:t>
      </w:r>
      <w:r>
        <w:rPr>
          <w:spacing w:val="28"/>
          <w:w w:val="105"/>
          <w:sz w:val="21"/>
        </w:rPr>
        <w:t> </w:t>
      </w:r>
      <w:r>
        <w:rPr>
          <w:spacing w:val="-3"/>
          <w:w w:val="105"/>
          <w:sz w:val="21"/>
        </w:rPr>
        <w:t>amendment.</w:t>
      </w:r>
    </w:p>
    <w:p>
      <w:pPr>
        <w:spacing w:before="131"/>
        <w:ind w:left="2721" w:right="0" w:firstLine="0"/>
        <w:jc w:val="left"/>
        <w:rPr>
          <w:rFonts w:ascii="Lucida Sans"/>
          <w:b/>
          <w:sz w:val="20"/>
        </w:rPr>
      </w:pPr>
      <w:r>
        <w:rPr>
          <w:rFonts w:ascii="Lucida Sans"/>
          <w:b/>
          <w:sz w:val="20"/>
        </w:rPr>
        <w:t>Example 5: Entitlement to traceable income</w:t>
      </w:r>
    </w:p>
    <w:p>
      <w:pPr>
        <w:spacing w:before="148"/>
        <w:ind w:left="2721" w:right="0" w:firstLine="0"/>
        <w:jc w:val="left"/>
        <w:rPr>
          <w:sz w:val="20"/>
        </w:rPr>
      </w:pPr>
      <w:r>
        <w:rPr>
          <w:sz w:val="20"/>
        </w:rPr>
        <w:t>Mr Ling’s home unit is sold by his administrator for $400,000. The administrator uses</w:t>
      </w:r>
    </w:p>
    <w:p>
      <w:pPr>
        <w:spacing w:line="254" w:lineRule="auto" w:before="16"/>
        <w:ind w:left="2721" w:right="1826" w:firstLine="0"/>
        <w:jc w:val="left"/>
        <w:rPr>
          <w:sz w:val="20"/>
        </w:rPr>
      </w:pPr>
      <w:r>
        <w:rPr>
          <w:sz w:val="20"/>
        </w:rPr>
        <w:t>$300,000 to pay a nursing home bond and invests the </w:t>
      </w:r>
      <w:r>
        <w:rPr>
          <w:spacing w:val="-3"/>
          <w:sz w:val="20"/>
        </w:rPr>
        <w:t>remaining  </w:t>
      </w:r>
      <w:r>
        <w:rPr>
          <w:sz w:val="20"/>
        </w:rPr>
        <w:t>$100,000  in  a  high interest savings </w:t>
      </w:r>
      <w:r>
        <w:rPr>
          <w:spacing w:val="-3"/>
          <w:sz w:val="20"/>
        </w:rPr>
        <w:t>account. </w:t>
      </w:r>
      <w:r>
        <w:rPr>
          <w:sz w:val="20"/>
        </w:rPr>
        <w:t>Mr </w:t>
      </w:r>
      <w:r>
        <w:rPr>
          <w:spacing w:val="-3"/>
          <w:sz w:val="20"/>
        </w:rPr>
        <w:t>Ling’s daughter </w:t>
      </w:r>
      <w:r>
        <w:rPr>
          <w:sz w:val="20"/>
        </w:rPr>
        <w:t>(the beneficiary of the home unit in Mr </w:t>
      </w:r>
      <w:r>
        <w:rPr>
          <w:spacing w:val="-3"/>
          <w:sz w:val="20"/>
        </w:rPr>
        <w:t>Ling’s </w:t>
      </w:r>
      <w:r>
        <w:rPr>
          <w:sz w:val="20"/>
        </w:rPr>
        <w:t>will) will be entitled to the balance of this </w:t>
      </w:r>
      <w:r>
        <w:rPr>
          <w:spacing w:val="-3"/>
          <w:sz w:val="20"/>
        </w:rPr>
        <w:t>account, including  </w:t>
      </w:r>
      <w:r>
        <w:rPr>
          <w:sz w:val="20"/>
        </w:rPr>
        <w:t>interest,  less  </w:t>
      </w:r>
      <w:r>
        <w:rPr>
          <w:spacing w:val="-2"/>
          <w:sz w:val="20"/>
        </w:rPr>
        <w:t>any  amount </w:t>
      </w:r>
      <w:r>
        <w:rPr>
          <w:sz w:val="20"/>
        </w:rPr>
        <w:t>spent</w:t>
      </w:r>
      <w:r>
        <w:rPr>
          <w:spacing w:val="14"/>
          <w:sz w:val="20"/>
        </w:rPr>
        <w:t> </w:t>
      </w:r>
      <w:r>
        <w:rPr>
          <w:sz w:val="20"/>
        </w:rPr>
        <w:t>out</w:t>
      </w:r>
      <w:r>
        <w:rPr>
          <w:spacing w:val="15"/>
          <w:sz w:val="20"/>
        </w:rPr>
        <w:t> </w:t>
      </w:r>
      <w:r>
        <w:rPr>
          <w:sz w:val="20"/>
        </w:rPr>
        <w:t>of</w:t>
      </w:r>
      <w:r>
        <w:rPr>
          <w:spacing w:val="14"/>
          <w:sz w:val="20"/>
        </w:rPr>
        <w:t> </w:t>
      </w:r>
      <w:r>
        <w:rPr>
          <w:sz w:val="20"/>
        </w:rPr>
        <w:t>the</w:t>
      </w:r>
      <w:r>
        <w:rPr>
          <w:spacing w:val="15"/>
          <w:sz w:val="20"/>
        </w:rPr>
        <w:t> </w:t>
      </w:r>
      <w:r>
        <w:rPr>
          <w:spacing w:val="-3"/>
          <w:sz w:val="20"/>
        </w:rPr>
        <w:t>account</w:t>
      </w:r>
      <w:r>
        <w:rPr>
          <w:spacing w:val="15"/>
          <w:sz w:val="20"/>
        </w:rPr>
        <w:t> </w:t>
      </w:r>
      <w:r>
        <w:rPr>
          <w:sz w:val="20"/>
        </w:rPr>
        <w:t>by</w:t>
      </w:r>
      <w:r>
        <w:rPr>
          <w:spacing w:val="14"/>
          <w:sz w:val="20"/>
        </w:rPr>
        <w:t> </w:t>
      </w:r>
      <w:r>
        <w:rPr>
          <w:sz w:val="20"/>
        </w:rPr>
        <w:t>the</w:t>
      </w:r>
      <w:r>
        <w:rPr>
          <w:spacing w:val="15"/>
          <w:sz w:val="20"/>
        </w:rPr>
        <w:t> </w:t>
      </w:r>
      <w:r>
        <w:rPr>
          <w:spacing w:val="-3"/>
          <w:sz w:val="20"/>
        </w:rPr>
        <w:t>administrator</w:t>
      </w:r>
      <w:r>
        <w:rPr>
          <w:spacing w:val="14"/>
          <w:sz w:val="20"/>
        </w:rPr>
        <w:t> </w:t>
      </w:r>
      <w:r>
        <w:rPr>
          <w:sz w:val="20"/>
        </w:rPr>
        <w:t>on</w:t>
      </w:r>
      <w:r>
        <w:rPr>
          <w:spacing w:val="15"/>
          <w:sz w:val="20"/>
        </w:rPr>
        <w:t> </w:t>
      </w:r>
      <w:r>
        <w:rPr>
          <w:sz w:val="20"/>
        </w:rPr>
        <w:t>Mr</w:t>
      </w:r>
      <w:r>
        <w:rPr>
          <w:spacing w:val="15"/>
          <w:sz w:val="20"/>
        </w:rPr>
        <w:t> </w:t>
      </w:r>
      <w:r>
        <w:rPr>
          <w:spacing w:val="-3"/>
          <w:sz w:val="20"/>
        </w:rPr>
        <w:t>Ling’s</w:t>
      </w:r>
      <w:r>
        <w:rPr>
          <w:spacing w:val="14"/>
          <w:sz w:val="20"/>
        </w:rPr>
        <w:t> </w:t>
      </w:r>
      <w:r>
        <w:rPr>
          <w:sz w:val="20"/>
        </w:rPr>
        <w:t>care</w:t>
      </w:r>
      <w:r>
        <w:rPr>
          <w:spacing w:val="15"/>
          <w:sz w:val="20"/>
        </w:rPr>
        <w:t> </w:t>
      </w:r>
      <w:r>
        <w:rPr>
          <w:sz w:val="20"/>
        </w:rPr>
        <w:t>during</w:t>
      </w:r>
      <w:r>
        <w:rPr>
          <w:spacing w:val="15"/>
          <w:sz w:val="20"/>
        </w:rPr>
        <w:t> </w:t>
      </w:r>
      <w:r>
        <w:rPr>
          <w:sz w:val="20"/>
        </w:rPr>
        <w:t>his</w:t>
      </w:r>
      <w:r>
        <w:rPr>
          <w:spacing w:val="14"/>
          <w:sz w:val="20"/>
        </w:rPr>
        <w:t> </w:t>
      </w:r>
      <w:r>
        <w:rPr>
          <w:spacing w:val="-3"/>
          <w:sz w:val="20"/>
        </w:rPr>
        <w:t>lifetime.</w:t>
      </w:r>
    </w:p>
    <w:p>
      <w:pPr>
        <w:pStyle w:val="BodyText"/>
        <w:spacing w:before="6"/>
        <w:rPr>
          <w:sz w:val="14"/>
        </w:rPr>
      </w:pPr>
      <w:r>
        <w:rPr/>
        <w:pict>
          <v:group style="position:absolute;margin-left:62.362202pt;margin-top:10.802295pt;width:479.1pt;height:109.55pt;mso-position-horizontal-relative:page;mso-position-vertical-relative:paragraph;z-index:2264;mso-wrap-distance-left:0;mso-wrap-distance-right:0" coordorigin="1247,216" coordsize="9582,2191">
            <v:rect style="position:absolute;left:1587;top:216;width:8731;height:2191" filled="true" fillcolor="#fdebea" stroked="false">
              <v:fill type="solid"/>
            </v:rect>
            <v:line style="position:absolute" from="1247,967" to="10828,967" stroked="true" strokeweight="2.5pt" strokecolor="#ffffff">
              <v:stroke dashstyle="solid"/>
            </v:line>
            <v:shape style="position:absolute;left:2381;top:1203;width:7713;height:1029" type="#_x0000_t202" filled="false" stroked="false">
              <v:textbox inset="0,0,0,0">
                <w:txbxContent>
                  <w:p>
                    <w:pPr>
                      <w:spacing w:line="242" w:lineRule="auto" w:before="0"/>
                      <w:ind w:left="0" w:right="42" w:firstLine="0"/>
                      <w:jc w:val="left"/>
                      <w:rPr>
                        <w:sz w:val="21"/>
                      </w:rPr>
                    </w:pPr>
                    <w:r>
                      <w:rPr>
                        <w:w w:val="105"/>
                        <w:sz w:val="21"/>
                      </w:rPr>
                      <w:t>Section </w:t>
                    </w:r>
                    <w:r>
                      <w:rPr>
                        <w:spacing w:val="-3"/>
                        <w:w w:val="105"/>
                        <w:sz w:val="21"/>
                      </w:rPr>
                      <w:t>53 </w:t>
                    </w:r>
                    <w:r>
                      <w:rPr>
                        <w:w w:val="105"/>
                        <w:sz w:val="21"/>
                      </w:rPr>
                      <w:t>of the </w:t>
                    </w:r>
                    <w:r>
                      <w:rPr>
                        <w:rFonts w:ascii="Lucida Sans" w:hAnsi="Lucida Sans"/>
                        <w:i/>
                        <w:w w:val="105"/>
                        <w:sz w:val="21"/>
                      </w:rPr>
                      <w:t>Guardianship and Administration Act 1986 </w:t>
                    </w:r>
                    <w:r>
                      <w:rPr>
                        <w:w w:val="105"/>
                        <w:sz w:val="21"/>
                      </w:rPr>
                      <w:t>(Vic) </w:t>
                    </w:r>
                    <w:r>
                      <w:rPr>
                        <w:spacing w:val="-3"/>
                        <w:w w:val="105"/>
                        <w:sz w:val="21"/>
                      </w:rPr>
                      <w:t>should </w:t>
                    </w:r>
                    <w:r>
                      <w:rPr>
                        <w:w w:val="105"/>
                        <w:sz w:val="21"/>
                      </w:rPr>
                      <w:t>be amended </w:t>
                    </w:r>
                    <w:r>
                      <w:rPr>
                        <w:spacing w:val="-3"/>
                        <w:w w:val="105"/>
                        <w:sz w:val="21"/>
                      </w:rPr>
                      <w:t>to provide that </w:t>
                    </w:r>
                    <w:r>
                      <w:rPr>
                        <w:w w:val="105"/>
                        <w:sz w:val="21"/>
                      </w:rPr>
                      <w:t>a beneficiary under a </w:t>
                    </w:r>
                    <w:r>
                      <w:rPr>
                        <w:spacing w:val="-3"/>
                        <w:w w:val="105"/>
                        <w:sz w:val="21"/>
                      </w:rPr>
                      <w:t>will to </w:t>
                    </w:r>
                    <w:r>
                      <w:rPr>
                        <w:w w:val="105"/>
                        <w:sz w:val="21"/>
                      </w:rPr>
                      <w:t>whom the section applies because an </w:t>
                    </w:r>
                    <w:r>
                      <w:rPr>
                        <w:spacing w:val="-3"/>
                        <w:w w:val="105"/>
                        <w:sz w:val="21"/>
                      </w:rPr>
                      <w:t>administrator </w:t>
                    </w:r>
                    <w:r>
                      <w:rPr>
                        <w:w w:val="105"/>
                        <w:sz w:val="21"/>
                      </w:rPr>
                      <w:t>has sold or otherwise disposed  of  the  </w:t>
                    </w:r>
                    <w:r>
                      <w:rPr>
                        <w:spacing w:val="-3"/>
                        <w:w w:val="105"/>
                        <w:sz w:val="21"/>
                      </w:rPr>
                      <w:t>will-maker’s </w:t>
                    </w:r>
                    <w:r>
                      <w:rPr>
                        <w:w w:val="105"/>
                        <w:sz w:val="21"/>
                      </w:rPr>
                      <w:t>property is </w:t>
                    </w:r>
                    <w:r>
                      <w:rPr>
                        <w:spacing w:val="-3"/>
                        <w:w w:val="105"/>
                        <w:sz w:val="21"/>
                      </w:rPr>
                      <w:t>entitled to any traceable </w:t>
                    </w:r>
                    <w:r>
                      <w:rPr>
                        <w:spacing w:val="-2"/>
                        <w:w w:val="105"/>
                        <w:sz w:val="21"/>
                      </w:rPr>
                      <w:t>income </w:t>
                    </w:r>
                    <w:r>
                      <w:rPr>
                        <w:spacing w:val="-3"/>
                        <w:w w:val="105"/>
                        <w:sz w:val="21"/>
                      </w:rPr>
                      <w:t>generated </w:t>
                    </w:r>
                    <w:r>
                      <w:rPr>
                        <w:w w:val="105"/>
                        <w:sz w:val="21"/>
                      </w:rPr>
                      <w:t>by </w:t>
                    </w:r>
                    <w:r>
                      <w:rPr>
                        <w:spacing w:val="-3"/>
                        <w:w w:val="105"/>
                        <w:sz w:val="21"/>
                      </w:rPr>
                      <w:t>any </w:t>
                    </w:r>
                    <w:r>
                      <w:rPr>
                        <w:w w:val="105"/>
                        <w:sz w:val="21"/>
                      </w:rPr>
                      <w:t>sale</w:t>
                    </w:r>
                    <w:r>
                      <w:rPr>
                        <w:spacing w:val="45"/>
                        <w:w w:val="105"/>
                        <w:sz w:val="21"/>
                      </w:rPr>
                      <w:t> </w:t>
                    </w:r>
                    <w:r>
                      <w:rPr>
                        <w:w w:val="105"/>
                        <w:sz w:val="21"/>
                      </w:rPr>
                      <w:t>proceeds.</w:t>
                    </w:r>
                  </w:p>
                </w:txbxContent>
              </v:textbox>
              <w10:wrap type="none"/>
            </v:shape>
            <v:shape style="position:absolute;left:1814;top:1203;width:137;height:249" type="#_x0000_t202" filled="false" stroked="false">
              <v:textbox inset="0,0,0,0">
                <w:txbxContent>
                  <w:p>
                    <w:pPr>
                      <w:spacing w:line="249" w:lineRule="exact" w:before="0"/>
                      <w:ind w:left="0" w:right="0" w:firstLine="0"/>
                      <w:jc w:val="left"/>
                      <w:rPr>
                        <w:sz w:val="21"/>
                      </w:rPr>
                    </w:pPr>
                    <w:r>
                      <w:rPr>
                        <w:w w:val="109"/>
                        <w:sz w:val="21"/>
                      </w:rPr>
                      <w:t>6</w:t>
                    </w:r>
                  </w:p>
                </w:txbxContent>
              </v:textbox>
              <w10:wrap type="none"/>
            </v:shape>
            <v:shape style="position:absolute;left:1587;top:216;width:8731;height:726" type="#_x0000_t202" filled="true" fillcolor="#fdebea" stroked="false">
              <v:textbox inset="0,0,0,0">
                <w:txbxContent>
                  <w:p>
                    <w:pPr>
                      <w:spacing w:before="166"/>
                      <w:ind w:left="226" w:right="0" w:firstLine="0"/>
                      <w:jc w:val="left"/>
                      <w:rPr>
                        <w:b/>
                        <w:sz w:val="32"/>
                      </w:rPr>
                    </w:pPr>
                    <w:r>
                      <w:rPr>
                        <w:b/>
                        <w:color w:val="EC5A4F"/>
                        <w:w w:val="110"/>
                        <w:sz w:val="32"/>
                      </w:rPr>
                      <w:t>Recommendation</w:t>
                    </w:r>
                  </w:p>
                </w:txbxContent>
              </v:textbox>
              <v:fill type="solid"/>
              <w10:wrap type="none"/>
            </v:shape>
            <w10:wrap type="topAndBottom"/>
          </v:group>
        </w:pict>
      </w:r>
    </w:p>
    <w:p>
      <w:pPr>
        <w:pStyle w:val="BodyText"/>
        <w:spacing w:before="5"/>
        <w:rPr>
          <w:sz w:val="6"/>
        </w:rPr>
      </w:pPr>
    </w:p>
    <w:p>
      <w:pPr>
        <w:pStyle w:val="Heading5"/>
        <w:spacing w:before="99"/>
      </w:pPr>
      <w:r>
        <w:rPr>
          <w:w w:val="115"/>
        </w:rPr>
        <w:t>Account-keeping obligations</w:t>
      </w:r>
    </w:p>
    <w:p>
      <w:pPr>
        <w:pStyle w:val="ListParagraph"/>
        <w:numPr>
          <w:ilvl w:val="1"/>
          <w:numId w:val="22"/>
        </w:numPr>
        <w:tabs>
          <w:tab w:pos="2381" w:val="left" w:leader="none"/>
          <w:tab w:pos="2382" w:val="left" w:leader="none"/>
        </w:tabs>
        <w:spacing w:line="242" w:lineRule="auto" w:before="138" w:after="0"/>
        <w:ind w:left="2381" w:right="2098" w:hanging="794"/>
        <w:jc w:val="left"/>
        <w:rPr>
          <w:sz w:val="12"/>
        </w:rPr>
      </w:pPr>
      <w:r>
        <w:rPr>
          <w:sz w:val="21"/>
        </w:rPr>
        <w:t>Section 53(3) </w:t>
      </w:r>
      <w:r>
        <w:rPr>
          <w:spacing w:val="-3"/>
          <w:sz w:val="21"/>
        </w:rPr>
        <w:t>currently </w:t>
      </w:r>
      <w:r>
        <w:rPr>
          <w:sz w:val="21"/>
        </w:rPr>
        <w:t>provides </w:t>
      </w:r>
      <w:r>
        <w:rPr>
          <w:spacing w:val="-3"/>
          <w:sz w:val="21"/>
        </w:rPr>
        <w:t>that </w:t>
      </w:r>
      <w:r>
        <w:rPr>
          <w:sz w:val="21"/>
        </w:rPr>
        <w:t>an </w:t>
      </w:r>
      <w:r>
        <w:rPr>
          <w:spacing w:val="-3"/>
          <w:sz w:val="21"/>
        </w:rPr>
        <w:t>administrator </w:t>
      </w:r>
      <w:r>
        <w:rPr>
          <w:sz w:val="21"/>
        </w:rPr>
        <w:t>who receives money or other property </w:t>
      </w:r>
      <w:r>
        <w:rPr>
          <w:spacing w:val="-4"/>
          <w:sz w:val="21"/>
        </w:rPr>
        <w:t>‘under </w:t>
      </w:r>
      <w:r>
        <w:rPr>
          <w:sz w:val="21"/>
        </w:rPr>
        <w:t>this section must </w:t>
      </w:r>
      <w:r>
        <w:rPr>
          <w:spacing w:val="-3"/>
          <w:sz w:val="21"/>
        </w:rPr>
        <w:t>keep </w:t>
      </w:r>
      <w:r>
        <w:rPr>
          <w:sz w:val="21"/>
        </w:rPr>
        <w:t>a </w:t>
      </w:r>
      <w:r>
        <w:rPr>
          <w:spacing w:val="-3"/>
          <w:sz w:val="21"/>
        </w:rPr>
        <w:t>separate account  </w:t>
      </w:r>
      <w:r>
        <w:rPr>
          <w:sz w:val="21"/>
        </w:rPr>
        <w:t>and record’ of the money  or property</w:t>
      </w:r>
      <w:r>
        <w:rPr>
          <w:spacing w:val="16"/>
          <w:sz w:val="21"/>
        </w:rPr>
        <w:t> </w:t>
      </w:r>
      <w:r>
        <w:rPr>
          <w:spacing w:val="-3"/>
          <w:sz w:val="21"/>
        </w:rPr>
        <w:t>received.</w:t>
      </w:r>
      <w:r>
        <w:rPr>
          <w:spacing w:val="-3"/>
          <w:position w:val="7"/>
          <w:sz w:val="12"/>
        </w:rPr>
        <w:t>53</w:t>
      </w:r>
    </w:p>
    <w:p>
      <w:pPr>
        <w:pStyle w:val="ListParagraph"/>
        <w:numPr>
          <w:ilvl w:val="1"/>
          <w:numId w:val="22"/>
        </w:numPr>
        <w:tabs>
          <w:tab w:pos="2381" w:val="left" w:leader="none"/>
          <w:tab w:pos="2382" w:val="left" w:leader="none"/>
        </w:tabs>
        <w:spacing w:line="242" w:lineRule="auto" w:before="123" w:after="0"/>
        <w:ind w:left="2381" w:right="1946" w:hanging="794"/>
        <w:jc w:val="left"/>
        <w:rPr>
          <w:sz w:val="21"/>
        </w:rPr>
      </w:pPr>
      <w:r>
        <w:rPr>
          <w:sz w:val="21"/>
        </w:rPr>
        <w:t>The </w:t>
      </w:r>
      <w:r>
        <w:rPr>
          <w:spacing w:val="-3"/>
          <w:sz w:val="21"/>
        </w:rPr>
        <w:t>meaning </w:t>
      </w:r>
      <w:r>
        <w:rPr>
          <w:sz w:val="21"/>
        </w:rPr>
        <w:t>of this </w:t>
      </w:r>
      <w:r>
        <w:rPr>
          <w:spacing w:val="-3"/>
          <w:sz w:val="21"/>
        </w:rPr>
        <w:t>obligation </w:t>
      </w:r>
      <w:r>
        <w:rPr>
          <w:sz w:val="21"/>
        </w:rPr>
        <w:t>is </w:t>
      </w:r>
      <w:r>
        <w:rPr>
          <w:spacing w:val="-2"/>
          <w:sz w:val="21"/>
        </w:rPr>
        <w:t>not </w:t>
      </w:r>
      <w:r>
        <w:rPr>
          <w:spacing w:val="-5"/>
          <w:sz w:val="21"/>
        </w:rPr>
        <w:t>clear. </w:t>
      </w:r>
      <w:r>
        <w:rPr>
          <w:sz w:val="21"/>
        </w:rPr>
        <w:t>There </w:t>
      </w:r>
      <w:r>
        <w:rPr>
          <w:spacing w:val="-3"/>
          <w:sz w:val="21"/>
        </w:rPr>
        <w:t>are various interpretations that could </w:t>
      </w:r>
      <w:r>
        <w:rPr>
          <w:sz w:val="21"/>
        </w:rPr>
        <w:t>apply </w:t>
      </w:r>
      <w:r>
        <w:rPr>
          <w:spacing w:val="-3"/>
          <w:sz w:val="21"/>
        </w:rPr>
        <w:t>to </w:t>
      </w:r>
      <w:r>
        <w:rPr>
          <w:sz w:val="21"/>
        </w:rPr>
        <w:t>this section. It </w:t>
      </w:r>
      <w:r>
        <w:rPr>
          <w:spacing w:val="-3"/>
          <w:sz w:val="21"/>
        </w:rPr>
        <w:t>could</w:t>
      </w:r>
      <w:r>
        <w:rPr>
          <w:spacing w:val="19"/>
          <w:sz w:val="21"/>
        </w:rPr>
        <w:t> </w:t>
      </w:r>
      <w:r>
        <w:rPr>
          <w:sz w:val="21"/>
        </w:rPr>
        <w:t>mean that:</w:t>
      </w:r>
    </w:p>
    <w:p>
      <w:pPr>
        <w:pStyle w:val="ListParagraph"/>
        <w:numPr>
          <w:ilvl w:val="2"/>
          <w:numId w:val="22"/>
        </w:numPr>
        <w:tabs>
          <w:tab w:pos="2721" w:val="left" w:leader="none"/>
          <w:tab w:pos="2722" w:val="left" w:leader="none"/>
        </w:tabs>
        <w:spacing w:line="242" w:lineRule="auto" w:before="122" w:after="0"/>
        <w:ind w:left="2721" w:right="1954" w:hanging="340"/>
        <w:jc w:val="left"/>
        <w:rPr>
          <w:sz w:val="21"/>
        </w:rPr>
      </w:pPr>
      <w:r>
        <w:rPr>
          <w:w w:val="105"/>
          <w:sz w:val="21"/>
        </w:rPr>
        <w:t>an </w:t>
      </w:r>
      <w:r>
        <w:rPr>
          <w:spacing w:val="-3"/>
          <w:w w:val="105"/>
          <w:sz w:val="21"/>
        </w:rPr>
        <w:t>administrator may </w:t>
      </w:r>
      <w:r>
        <w:rPr>
          <w:w w:val="105"/>
          <w:sz w:val="21"/>
        </w:rPr>
        <w:t>simply </w:t>
      </w:r>
      <w:r>
        <w:rPr>
          <w:spacing w:val="-3"/>
          <w:w w:val="105"/>
          <w:sz w:val="21"/>
        </w:rPr>
        <w:t>keep </w:t>
      </w:r>
      <w:r>
        <w:rPr>
          <w:w w:val="105"/>
          <w:sz w:val="21"/>
        </w:rPr>
        <w:t>a </w:t>
      </w:r>
      <w:r>
        <w:rPr>
          <w:spacing w:val="-3"/>
          <w:w w:val="105"/>
          <w:sz w:val="21"/>
        </w:rPr>
        <w:t>record </w:t>
      </w:r>
      <w:r>
        <w:rPr>
          <w:w w:val="105"/>
          <w:sz w:val="21"/>
        </w:rPr>
        <w:t>of the </w:t>
      </w:r>
      <w:r>
        <w:rPr>
          <w:spacing w:val="-3"/>
          <w:w w:val="105"/>
          <w:sz w:val="21"/>
        </w:rPr>
        <w:t>sale, </w:t>
      </w:r>
      <w:r>
        <w:rPr>
          <w:w w:val="105"/>
          <w:sz w:val="21"/>
        </w:rPr>
        <w:t>in a </w:t>
      </w:r>
      <w:r>
        <w:rPr>
          <w:spacing w:val="-3"/>
          <w:w w:val="105"/>
          <w:sz w:val="21"/>
        </w:rPr>
        <w:t>way that complies </w:t>
      </w:r>
      <w:r>
        <w:rPr>
          <w:w w:val="105"/>
          <w:sz w:val="21"/>
        </w:rPr>
        <w:t>with an </w:t>
      </w:r>
      <w:r>
        <w:rPr>
          <w:spacing w:val="-3"/>
          <w:w w:val="105"/>
          <w:sz w:val="21"/>
        </w:rPr>
        <w:t>administrator’s </w:t>
      </w:r>
      <w:r>
        <w:rPr>
          <w:w w:val="105"/>
          <w:sz w:val="21"/>
        </w:rPr>
        <w:t>general </w:t>
      </w:r>
      <w:r>
        <w:rPr>
          <w:spacing w:val="-3"/>
          <w:w w:val="105"/>
          <w:sz w:val="21"/>
        </w:rPr>
        <w:t>account-keeping</w:t>
      </w:r>
      <w:r>
        <w:rPr>
          <w:spacing w:val="21"/>
          <w:w w:val="105"/>
          <w:sz w:val="21"/>
        </w:rPr>
        <w:t> </w:t>
      </w:r>
      <w:r>
        <w:rPr>
          <w:spacing w:val="-3"/>
          <w:w w:val="105"/>
          <w:sz w:val="21"/>
        </w:rPr>
        <w:t>obligations</w:t>
      </w:r>
    </w:p>
    <w:p>
      <w:pPr>
        <w:pStyle w:val="ListParagraph"/>
        <w:numPr>
          <w:ilvl w:val="2"/>
          <w:numId w:val="22"/>
        </w:numPr>
        <w:tabs>
          <w:tab w:pos="2721" w:val="left" w:leader="none"/>
          <w:tab w:pos="2722" w:val="left" w:leader="none"/>
        </w:tabs>
        <w:spacing w:line="242" w:lineRule="auto" w:before="122" w:after="0"/>
        <w:ind w:left="2721" w:right="2345" w:hanging="340"/>
        <w:jc w:val="left"/>
        <w:rPr>
          <w:sz w:val="21"/>
        </w:rPr>
      </w:pPr>
      <w:r>
        <w:rPr>
          <w:sz w:val="21"/>
        </w:rPr>
        <w:t>the proceeds received </w:t>
      </w:r>
      <w:r>
        <w:rPr>
          <w:spacing w:val="-4"/>
          <w:sz w:val="21"/>
        </w:rPr>
        <w:t>‘under </w:t>
      </w:r>
      <w:r>
        <w:rPr>
          <w:sz w:val="21"/>
        </w:rPr>
        <w:t>this section’ should be </w:t>
      </w:r>
      <w:r>
        <w:rPr>
          <w:spacing w:val="-3"/>
          <w:sz w:val="21"/>
        </w:rPr>
        <w:t>kept </w:t>
      </w:r>
      <w:r>
        <w:rPr>
          <w:sz w:val="21"/>
        </w:rPr>
        <w:t>in an </w:t>
      </w:r>
      <w:r>
        <w:rPr>
          <w:spacing w:val="-3"/>
          <w:sz w:val="21"/>
        </w:rPr>
        <w:t>account that </w:t>
      </w:r>
      <w:r>
        <w:rPr>
          <w:sz w:val="21"/>
        </w:rPr>
        <w:t>is </w:t>
      </w:r>
      <w:r>
        <w:rPr>
          <w:spacing w:val="-3"/>
          <w:sz w:val="21"/>
        </w:rPr>
        <w:t>separate to </w:t>
      </w:r>
      <w:r>
        <w:rPr>
          <w:sz w:val="21"/>
        </w:rPr>
        <w:t>the </w:t>
      </w:r>
      <w:r>
        <w:rPr>
          <w:spacing w:val="-3"/>
          <w:sz w:val="21"/>
        </w:rPr>
        <w:t>represented person’s</w:t>
      </w:r>
      <w:r>
        <w:rPr>
          <w:spacing w:val="21"/>
          <w:sz w:val="21"/>
        </w:rPr>
        <w:t> </w:t>
      </w:r>
      <w:r>
        <w:rPr>
          <w:sz w:val="21"/>
        </w:rPr>
        <w:t>other assets</w:t>
      </w:r>
    </w:p>
    <w:p>
      <w:pPr>
        <w:pStyle w:val="ListParagraph"/>
        <w:numPr>
          <w:ilvl w:val="2"/>
          <w:numId w:val="22"/>
        </w:numPr>
        <w:tabs>
          <w:tab w:pos="2721" w:val="left" w:leader="none"/>
          <w:tab w:pos="2722" w:val="left" w:leader="none"/>
        </w:tabs>
        <w:spacing w:line="242" w:lineRule="auto" w:before="123" w:after="0"/>
        <w:ind w:left="2721" w:right="1633" w:hanging="340"/>
        <w:jc w:val="left"/>
        <w:rPr>
          <w:sz w:val="21"/>
        </w:rPr>
      </w:pPr>
      <w:r>
        <w:rPr>
          <w:w w:val="105"/>
          <w:sz w:val="21"/>
        </w:rPr>
        <w:t>the</w:t>
      </w:r>
      <w:r>
        <w:rPr>
          <w:spacing w:val="-7"/>
          <w:w w:val="105"/>
          <w:sz w:val="21"/>
        </w:rPr>
        <w:t> </w:t>
      </w:r>
      <w:r>
        <w:rPr>
          <w:w w:val="105"/>
          <w:sz w:val="21"/>
        </w:rPr>
        <w:t>proceeds</w:t>
      </w:r>
      <w:r>
        <w:rPr>
          <w:spacing w:val="-6"/>
          <w:w w:val="105"/>
          <w:sz w:val="21"/>
        </w:rPr>
        <w:t> </w:t>
      </w:r>
      <w:r>
        <w:rPr>
          <w:w w:val="105"/>
          <w:sz w:val="21"/>
        </w:rPr>
        <w:t>should</w:t>
      </w:r>
      <w:r>
        <w:rPr>
          <w:spacing w:val="-6"/>
          <w:w w:val="105"/>
          <w:sz w:val="21"/>
        </w:rPr>
        <w:t> </w:t>
      </w:r>
      <w:r>
        <w:rPr>
          <w:w w:val="105"/>
          <w:sz w:val="21"/>
        </w:rPr>
        <w:t>be</w:t>
      </w:r>
      <w:r>
        <w:rPr>
          <w:spacing w:val="-6"/>
          <w:w w:val="105"/>
          <w:sz w:val="21"/>
        </w:rPr>
        <w:t> </w:t>
      </w:r>
      <w:r>
        <w:rPr>
          <w:spacing w:val="-3"/>
          <w:w w:val="105"/>
          <w:sz w:val="21"/>
        </w:rPr>
        <w:t>quarantined</w:t>
      </w:r>
      <w:r>
        <w:rPr>
          <w:spacing w:val="-7"/>
          <w:w w:val="105"/>
          <w:sz w:val="21"/>
        </w:rPr>
        <w:t> </w:t>
      </w:r>
      <w:r>
        <w:rPr>
          <w:w w:val="105"/>
          <w:sz w:val="21"/>
        </w:rPr>
        <w:t>and</w:t>
      </w:r>
      <w:r>
        <w:rPr>
          <w:spacing w:val="-6"/>
          <w:w w:val="105"/>
          <w:sz w:val="21"/>
        </w:rPr>
        <w:t> </w:t>
      </w:r>
      <w:r>
        <w:rPr>
          <w:spacing w:val="-2"/>
          <w:w w:val="105"/>
          <w:sz w:val="21"/>
        </w:rPr>
        <w:t>not</w:t>
      </w:r>
      <w:r>
        <w:rPr>
          <w:spacing w:val="-6"/>
          <w:w w:val="105"/>
          <w:sz w:val="21"/>
        </w:rPr>
        <w:t> </w:t>
      </w:r>
      <w:r>
        <w:rPr>
          <w:w w:val="105"/>
          <w:sz w:val="21"/>
        </w:rPr>
        <w:t>spent</w:t>
      </w:r>
      <w:r>
        <w:rPr>
          <w:spacing w:val="-6"/>
          <w:w w:val="105"/>
          <w:sz w:val="21"/>
        </w:rPr>
        <w:t> </w:t>
      </w:r>
      <w:r>
        <w:rPr>
          <w:spacing w:val="-3"/>
          <w:w w:val="105"/>
          <w:sz w:val="21"/>
        </w:rPr>
        <w:t>during</w:t>
      </w:r>
      <w:r>
        <w:rPr>
          <w:spacing w:val="-6"/>
          <w:w w:val="105"/>
          <w:sz w:val="21"/>
        </w:rPr>
        <w:t> </w:t>
      </w:r>
      <w:r>
        <w:rPr>
          <w:w w:val="105"/>
          <w:sz w:val="21"/>
        </w:rPr>
        <w:t>the</w:t>
      </w:r>
      <w:r>
        <w:rPr>
          <w:spacing w:val="-7"/>
          <w:w w:val="105"/>
          <w:sz w:val="21"/>
        </w:rPr>
        <w:t> </w:t>
      </w:r>
      <w:r>
        <w:rPr>
          <w:spacing w:val="-3"/>
          <w:w w:val="105"/>
          <w:sz w:val="21"/>
        </w:rPr>
        <w:t>person’s</w:t>
      </w:r>
      <w:r>
        <w:rPr>
          <w:spacing w:val="-6"/>
          <w:w w:val="105"/>
          <w:sz w:val="21"/>
        </w:rPr>
        <w:t> </w:t>
      </w:r>
      <w:r>
        <w:rPr>
          <w:spacing w:val="-3"/>
          <w:w w:val="105"/>
          <w:sz w:val="21"/>
        </w:rPr>
        <w:t>lifetime</w:t>
      </w:r>
      <w:r>
        <w:rPr>
          <w:spacing w:val="-6"/>
          <w:w w:val="105"/>
          <w:sz w:val="21"/>
        </w:rPr>
        <w:t> </w:t>
      </w:r>
      <w:r>
        <w:rPr>
          <w:spacing w:val="-3"/>
          <w:w w:val="105"/>
          <w:sz w:val="21"/>
        </w:rPr>
        <w:t>except </w:t>
      </w:r>
      <w:r>
        <w:rPr>
          <w:w w:val="105"/>
          <w:sz w:val="21"/>
        </w:rPr>
        <w:t>as a last</w:t>
      </w:r>
      <w:r>
        <w:rPr>
          <w:spacing w:val="15"/>
          <w:w w:val="105"/>
          <w:sz w:val="21"/>
        </w:rPr>
        <w:t> </w:t>
      </w:r>
      <w:r>
        <w:rPr>
          <w:w w:val="105"/>
          <w:sz w:val="21"/>
        </w:rPr>
        <w:t>resort.</w:t>
      </w:r>
    </w:p>
    <w:p>
      <w:pPr>
        <w:pStyle w:val="ListParagraph"/>
        <w:numPr>
          <w:ilvl w:val="1"/>
          <w:numId w:val="22"/>
        </w:numPr>
        <w:tabs>
          <w:tab w:pos="2381" w:val="left" w:leader="none"/>
          <w:tab w:pos="2382" w:val="left" w:leader="none"/>
        </w:tabs>
        <w:spacing w:line="242" w:lineRule="auto" w:before="122" w:after="0"/>
        <w:ind w:left="2381" w:right="1704" w:hanging="794"/>
        <w:jc w:val="left"/>
        <w:rPr>
          <w:sz w:val="12"/>
        </w:rPr>
      </w:pPr>
      <w:r>
        <w:rPr>
          <w:sz w:val="21"/>
        </w:rPr>
        <w:t>In </w:t>
      </w:r>
      <w:r>
        <w:rPr>
          <w:spacing w:val="-3"/>
          <w:sz w:val="21"/>
        </w:rPr>
        <w:t>State </w:t>
      </w:r>
      <w:r>
        <w:rPr>
          <w:spacing w:val="-4"/>
          <w:sz w:val="21"/>
        </w:rPr>
        <w:t>Trustees’ view,  </w:t>
      </w:r>
      <w:r>
        <w:rPr>
          <w:sz w:val="21"/>
        </w:rPr>
        <w:t>there should be only an </w:t>
      </w:r>
      <w:r>
        <w:rPr>
          <w:spacing w:val="-3"/>
          <w:sz w:val="21"/>
        </w:rPr>
        <w:t>obligation  to  record  </w:t>
      </w:r>
      <w:r>
        <w:rPr>
          <w:sz w:val="21"/>
        </w:rPr>
        <w:t>and </w:t>
      </w:r>
      <w:r>
        <w:rPr>
          <w:spacing w:val="-3"/>
          <w:sz w:val="21"/>
        </w:rPr>
        <w:t>keep</w:t>
      </w:r>
      <w:r>
        <w:rPr>
          <w:spacing w:val="41"/>
          <w:sz w:val="21"/>
        </w:rPr>
        <w:t> </w:t>
      </w:r>
      <w:r>
        <w:rPr>
          <w:sz w:val="21"/>
        </w:rPr>
        <w:t>an </w:t>
      </w:r>
      <w:r>
        <w:rPr>
          <w:spacing w:val="-3"/>
          <w:sz w:val="21"/>
        </w:rPr>
        <w:t>account </w:t>
      </w:r>
      <w:r>
        <w:rPr>
          <w:sz w:val="21"/>
        </w:rPr>
        <w:t>of transactions. There should </w:t>
      </w:r>
      <w:r>
        <w:rPr>
          <w:spacing w:val="-2"/>
          <w:sz w:val="21"/>
        </w:rPr>
        <w:t>not  </w:t>
      </w:r>
      <w:r>
        <w:rPr>
          <w:sz w:val="21"/>
        </w:rPr>
        <w:t>be an </w:t>
      </w:r>
      <w:r>
        <w:rPr>
          <w:spacing w:val="-3"/>
          <w:sz w:val="21"/>
        </w:rPr>
        <w:t>obligation  to  keep  </w:t>
      </w:r>
      <w:r>
        <w:rPr>
          <w:sz w:val="21"/>
        </w:rPr>
        <w:t>the </w:t>
      </w:r>
      <w:r>
        <w:rPr>
          <w:spacing w:val="-3"/>
          <w:sz w:val="21"/>
        </w:rPr>
        <w:t>funds  </w:t>
      </w:r>
      <w:r>
        <w:rPr>
          <w:sz w:val="21"/>
        </w:rPr>
        <w:t>in an </w:t>
      </w:r>
      <w:r>
        <w:rPr>
          <w:spacing w:val="-3"/>
          <w:sz w:val="21"/>
        </w:rPr>
        <w:t>account  that    </w:t>
      </w:r>
      <w:r>
        <w:rPr>
          <w:sz w:val="21"/>
        </w:rPr>
        <w:t>is </w:t>
      </w:r>
      <w:r>
        <w:rPr>
          <w:spacing w:val="-3"/>
          <w:sz w:val="21"/>
        </w:rPr>
        <w:t>separate from </w:t>
      </w:r>
      <w:r>
        <w:rPr>
          <w:sz w:val="21"/>
        </w:rPr>
        <w:t>the </w:t>
      </w:r>
      <w:r>
        <w:rPr>
          <w:spacing w:val="-3"/>
          <w:sz w:val="21"/>
        </w:rPr>
        <w:t>person’s </w:t>
      </w:r>
      <w:r>
        <w:rPr>
          <w:sz w:val="21"/>
        </w:rPr>
        <w:t>other assets, as this </w:t>
      </w:r>
      <w:r>
        <w:rPr>
          <w:spacing w:val="-3"/>
          <w:sz w:val="21"/>
        </w:rPr>
        <w:t>could have </w:t>
      </w:r>
      <w:r>
        <w:rPr>
          <w:sz w:val="21"/>
        </w:rPr>
        <w:t>a negative impact on the </w:t>
      </w:r>
      <w:r>
        <w:rPr>
          <w:spacing w:val="-3"/>
          <w:sz w:val="21"/>
        </w:rPr>
        <w:t>person’s  finances  </w:t>
      </w:r>
      <w:r>
        <w:rPr>
          <w:sz w:val="21"/>
        </w:rPr>
        <w:t>while they </w:t>
      </w:r>
      <w:r>
        <w:rPr>
          <w:spacing w:val="-3"/>
          <w:sz w:val="21"/>
        </w:rPr>
        <w:t>are</w:t>
      </w:r>
      <w:r>
        <w:rPr>
          <w:spacing w:val="41"/>
          <w:sz w:val="21"/>
        </w:rPr>
        <w:t> </w:t>
      </w:r>
      <w:r>
        <w:rPr>
          <w:spacing w:val="-3"/>
          <w:sz w:val="21"/>
        </w:rPr>
        <w:t>alive.  </w:t>
      </w:r>
      <w:r>
        <w:rPr>
          <w:sz w:val="21"/>
        </w:rPr>
        <w:t>A </w:t>
      </w:r>
      <w:r>
        <w:rPr>
          <w:spacing w:val="-3"/>
          <w:sz w:val="21"/>
        </w:rPr>
        <w:t>substitute  </w:t>
      </w:r>
      <w:r>
        <w:rPr>
          <w:sz w:val="21"/>
        </w:rPr>
        <w:t>decision </w:t>
      </w:r>
      <w:r>
        <w:rPr>
          <w:spacing w:val="-4"/>
          <w:sz w:val="21"/>
        </w:rPr>
        <w:t>maker  </w:t>
      </w:r>
      <w:r>
        <w:rPr>
          <w:spacing w:val="-3"/>
          <w:sz w:val="21"/>
        </w:rPr>
        <w:t>may  </w:t>
      </w:r>
      <w:r>
        <w:rPr>
          <w:sz w:val="21"/>
        </w:rPr>
        <w:t>also be </w:t>
      </w:r>
      <w:r>
        <w:rPr>
          <w:spacing w:val="-3"/>
          <w:sz w:val="21"/>
        </w:rPr>
        <w:t>unaware </w:t>
      </w:r>
      <w:r>
        <w:rPr>
          <w:sz w:val="21"/>
        </w:rPr>
        <w:t>of what is in the </w:t>
      </w:r>
      <w:r>
        <w:rPr>
          <w:spacing w:val="-3"/>
          <w:sz w:val="21"/>
        </w:rPr>
        <w:t>person’s will </w:t>
      </w:r>
      <w:r>
        <w:rPr>
          <w:sz w:val="21"/>
        </w:rPr>
        <w:t>and </w:t>
      </w:r>
      <w:r>
        <w:rPr>
          <w:spacing w:val="-3"/>
          <w:sz w:val="21"/>
        </w:rPr>
        <w:t>thus </w:t>
      </w:r>
      <w:r>
        <w:rPr>
          <w:spacing w:val="-2"/>
          <w:sz w:val="21"/>
        </w:rPr>
        <w:t>not </w:t>
      </w:r>
      <w:r>
        <w:rPr>
          <w:sz w:val="21"/>
        </w:rPr>
        <w:t>know </w:t>
      </w:r>
      <w:r>
        <w:rPr>
          <w:spacing w:val="-3"/>
          <w:sz w:val="21"/>
        </w:rPr>
        <w:t>that  </w:t>
      </w:r>
      <w:r>
        <w:rPr>
          <w:sz w:val="21"/>
        </w:rPr>
        <w:t>money or property was received under the</w:t>
      </w:r>
      <w:r>
        <w:rPr>
          <w:spacing w:val="16"/>
          <w:sz w:val="21"/>
        </w:rPr>
        <w:t> </w:t>
      </w:r>
      <w:r>
        <w:rPr>
          <w:sz w:val="21"/>
        </w:rPr>
        <w:t>section.</w:t>
      </w:r>
      <w:r>
        <w:rPr>
          <w:position w:val="7"/>
          <w:sz w:val="12"/>
        </w:rPr>
        <w:t>54</w:t>
      </w:r>
    </w:p>
    <w:p>
      <w:pPr>
        <w:pStyle w:val="ListParagraph"/>
        <w:numPr>
          <w:ilvl w:val="1"/>
          <w:numId w:val="22"/>
        </w:numPr>
        <w:tabs>
          <w:tab w:pos="2381" w:val="left" w:leader="none"/>
          <w:tab w:pos="2382" w:val="left" w:leader="none"/>
        </w:tabs>
        <w:spacing w:line="242" w:lineRule="auto" w:before="126" w:after="0"/>
        <w:ind w:left="2381" w:right="2183" w:hanging="794"/>
        <w:jc w:val="left"/>
        <w:rPr>
          <w:sz w:val="12"/>
        </w:rPr>
      </w:pPr>
      <w:r>
        <w:rPr>
          <w:w w:val="105"/>
          <w:sz w:val="21"/>
        </w:rPr>
        <w:t>Moores Legal agreed </w:t>
      </w:r>
      <w:r>
        <w:rPr>
          <w:spacing w:val="-3"/>
          <w:w w:val="105"/>
          <w:sz w:val="21"/>
        </w:rPr>
        <w:t>that </w:t>
      </w:r>
      <w:r>
        <w:rPr>
          <w:w w:val="105"/>
          <w:sz w:val="21"/>
        </w:rPr>
        <w:t>there should </w:t>
      </w:r>
      <w:r>
        <w:rPr>
          <w:spacing w:val="-2"/>
          <w:w w:val="105"/>
          <w:sz w:val="21"/>
        </w:rPr>
        <w:t>not </w:t>
      </w:r>
      <w:r>
        <w:rPr>
          <w:w w:val="105"/>
          <w:sz w:val="21"/>
        </w:rPr>
        <w:t>be </w:t>
      </w:r>
      <w:r>
        <w:rPr>
          <w:spacing w:val="-3"/>
          <w:w w:val="105"/>
          <w:sz w:val="21"/>
        </w:rPr>
        <w:t>any </w:t>
      </w:r>
      <w:r>
        <w:rPr>
          <w:w w:val="105"/>
          <w:sz w:val="21"/>
        </w:rPr>
        <w:t>specific or special </w:t>
      </w:r>
      <w:r>
        <w:rPr>
          <w:spacing w:val="-3"/>
          <w:w w:val="105"/>
          <w:sz w:val="21"/>
        </w:rPr>
        <w:t>accounting obligations</w:t>
      </w:r>
      <w:r>
        <w:rPr>
          <w:spacing w:val="-8"/>
          <w:w w:val="105"/>
          <w:sz w:val="21"/>
        </w:rPr>
        <w:t> </w:t>
      </w:r>
      <w:r>
        <w:rPr>
          <w:w w:val="105"/>
          <w:sz w:val="21"/>
        </w:rPr>
        <w:t>where</w:t>
      </w:r>
      <w:r>
        <w:rPr>
          <w:spacing w:val="-8"/>
          <w:w w:val="105"/>
          <w:sz w:val="21"/>
        </w:rPr>
        <w:t> </w:t>
      </w:r>
      <w:r>
        <w:rPr>
          <w:w w:val="105"/>
          <w:sz w:val="21"/>
        </w:rPr>
        <w:t>a</w:t>
      </w:r>
      <w:r>
        <w:rPr>
          <w:spacing w:val="-7"/>
          <w:w w:val="105"/>
          <w:sz w:val="21"/>
        </w:rPr>
        <w:t> </w:t>
      </w:r>
      <w:r>
        <w:rPr>
          <w:spacing w:val="-3"/>
          <w:w w:val="105"/>
          <w:sz w:val="21"/>
        </w:rPr>
        <w:t>substitute</w:t>
      </w:r>
      <w:r>
        <w:rPr>
          <w:spacing w:val="-8"/>
          <w:w w:val="105"/>
          <w:sz w:val="21"/>
        </w:rPr>
        <w:t> </w:t>
      </w:r>
      <w:r>
        <w:rPr>
          <w:w w:val="105"/>
          <w:sz w:val="21"/>
        </w:rPr>
        <w:t>decision</w:t>
      </w:r>
      <w:r>
        <w:rPr>
          <w:spacing w:val="-8"/>
          <w:w w:val="105"/>
          <w:sz w:val="21"/>
        </w:rPr>
        <w:t> </w:t>
      </w:r>
      <w:r>
        <w:rPr>
          <w:spacing w:val="-4"/>
          <w:w w:val="105"/>
          <w:sz w:val="21"/>
        </w:rPr>
        <w:t>maker</w:t>
      </w:r>
      <w:r>
        <w:rPr>
          <w:spacing w:val="-7"/>
          <w:w w:val="105"/>
          <w:sz w:val="21"/>
        </w:rPr>
        <w:t> </w:t>
      </w:r>
      <w:r>
        <w:rPr>
          <w:spacing w:val="-2"/>
          <w:w w:val="105"/>
          <w:sz w:val="21"/>
        </w:rPr>
        <w:t>has</w:t>
      </w:r>
      <w:r>
        <w:rPr>
          <w:spacing w:val="-8"/>
          <w:w w:val="105"/>
          <w:sz w:val="21"/>
        </w:rPr>
        <w:t> </w:t>
      </w:r>
      <w:r>
        <w:rPr>
          <w:w w:val="105"/>
          <w:sz w:val="21"/>
        </w:rPr>
        <w:t>sold</w:t>
      </w:r>
      <w:r>
        <w:rPr>
          <w:spacing w:val="-7"/>
          <w:w w:val="105"/>
          <w:sz w:val="21"/>
        </w:rPr>
        <w:t> </w:t>
      </w:r>
      <w:r>
        <w:rPr>
          <w:w w:val="105"/>
          <w:sz w:val="21"/>
        </w:rPr>
        <w:t>specifically</w:t>
      </w:r>
      <w:r>
        <w:rPr>
          <w:spacing w:val="-8"/>
          <w:w w:val="105"/>
          <w:sz w:val="21"/>
        </w:rPr>
        <w:t> </w:t>
      </w:r>
      <w:r>
        <w:rPr>
          <w:w w:val="105"/>
          <w:sz w:val="21"/>
        </w:rPr>
        <w:t>gifted</w:t>
      </w:r>
      <w:r>
        <w:rPr>
          <w:spacing w:val="-8"/>
          <w:w w:val="105"/>
          <w:sz w:val="21"/>
        </w:rPr>
        <w:t> </w:t>
      </w:r>
      <w:r>
        <w:rPr>
          <w:spacing w:val="-3"/>
          <w:w w:val="105"/>
          <w:sz w:val="21"/>
        </w:rPr>
        <w:t>property.</w:t>
      </w:r>
      <w:r>
        <w:rPr>
          <w:spacing w:val="-3"/>
          <w:w w:val="105"/>
          <w:position w:val="7"/>
          <w:sz w:val="12"/>
        </w:rPr>
        <w:t>55</w:t>
      </w:r>
    </w:p>
    <w:p>
      <w:pPr>
        <w:pStyle w:val="ListParagraph"/>
        <w:numPr>
          <w:ilvl w:val="1"/>
          <w:numId w:val="22"/>
        </w:numPr>
        <w:tabs>
          <w:tab w:pos="2381" w:val="left" w:leader="none"/>
          <w:tab w:pos="2382" w:val="left" w:leader="none"/>
        </w:tabs>
        <w:spacing w:line="240" w:lineRule="auto" w:before="122" w:after="0"/>
        <w:ind w:left="2381" w:right="0" w:hanging="794"/>
        <w:jc w:val="left"/>
        <w:rPr>
          <w:sz w:val="21"/>
        </w:rPr>
      </w:pPr>
      <w:r>
        <w:rPr>
          <w:sz w:val="21"/>
        </w:rPr>
        <w:t>The Law </w:t>
      </w:r>
      <w:r>
        <w:rPr>
          <w:spacing w:val="-3"/>
          <w:sz w:val="21"/>
        </w:rPr>
        <w:t>Institute </w:t>
      </w:r>
      <w:r>
        <w:rPr>
          <w:sz w:val="21"/>
        </w:rPr>
        <w:t>of Victoria proposed </w:t>
      </w:r>
      <w:r>
        <w:rPr>
          <w:spacing w:val="-3"/>
          <w:sz w:val="21"/>
        </w:rPr>
        <w:t>that substitute </w:t>
      </w:r>
      <w:r>
        <w:rPr>
          <w:sz w:val="21"/>
        </w:rPr>
        <w:t>decision </w:t>
      </w:r>
      <w:r>
        <w:rPr>
          <w:spacing w:val="-3"/>
          <w:sz w:val="21"/>
        </w:rPr>
        <w:t>makers</w:t>
      </w:r>
      <w:r>
        <w:rPr>
          <w:spacing w:val="-5"/>
          <w:sz w:val="21"/>
        </w:rPr>
        <w:t> </w:t>
      </w:r>
      <w:r>
        <w:rPr>
          <w:sz w:val="21"/>
        </w:rPr>
        <w:t>be </w:t>
      </w:r>
      <w:r>
        <w:rPr>
          <w:spacing w:val="-3"/>
          <w:sz w:val="21"/>
        </w:rPr>
        <w:t>required</w:t>
      </w:r>
    </w:p>
    <w:p>
      <w:pPr>
        <w:pStyle w:val="BodyText"/>
        <w:spacing w:line="242" w:lineRule="auto" w:before="4"/>
        <w:ind w:left="2381" w:right="1619"/>
        <w:rPr>
          <w:sz w:val="12"/>
        </w:rPr>
      </w:pPr>
      <w:r>
        <w:rPr/>
        <w:t>to retain the funds in a separate account and that these funds should be used last for payments required in the best interests of the represented person.</w:t>
      </w:r>
      <w:r>
        <w:rPr>
          <w:position w:val="7"/>
          <w:sz w:val="12"/>
        </w:rPr>
        <w:t>56</w:t>
      </w:r>
    </w:p>
    <w:p>
      <w:pPr>
        <w:pStyle w:val="BodyText"/>
        <w:rPr>
          <w:sz w:val="20"/>
        </w:rPr>
      </w:pPr>
    </w:p>
    <w:p>
      <w:pPr>
        <w:pStyle w:val="BodyText"/>
        <w:rPr>
          <w:sz w:val="20"/>
        </w:rPr>
      </w:pPr>
    </w:p>
    <w:p>
      <w:pPr>
        <w:pStyle w:val="BodyText"/>
        <w:spacing w:before="8"/>
        <w:rPr>
          <w:sz w:val="26"/>
        </w:rPr>
      </w:pPr>
      <w:r>
        <w:rPr/>
        <w:pict>
          <v:line style="position:absolute;mso-position-horizontal-relative:page;mso-position-vertical-relative:paragraph;z-index:2288;mso-wrap-distance-left:0;mso-wrap-distance-right:0" from="79.370102pt,18.734919pt" to="515.905102pt,18.734919pt" stroked="true" strokeweight="1pt" strokecolor="#f9ceca">
            <v:stroke dashstyle="solid"/>
            <w10:wrap type="topAndBottom"/>
          </v:line>
        </w:pict>
      </w:r>
    </w:p>
    <w:p>
      <w:pPr>
        <w:pStyle w:val="ListParagraph"/>
        <w:numPr>
          <w:ilvl w:val="0"/>
          <w:numId w:val="44"/>
        </w:numPr>
        <w:tabs>
          <w:tab w:pos="2380" w:val="left" w:leader="none"/>
          <w:tab w:pos="2382" w:val="left" w:leader="none"/>
        </w:tabs>
        <w:spacing w:line="240" w:lineRule="auto" w:before="117" w:after="0"/>
        <w:ind w:left="2381" w:right="0" w:hanging="794"/>
        <w:jc w:val="left"/>
        <w:rPr>
          <w:sz w:val="13"/>
        </w:rPr>
      </w:pPr>
      <w:r>
        <w:rPr>
          <w:i/>
          <w:w w:val="105"/>
          <w:sz w:val="13"/>
        </w:rPr>
        <w:t>Guardianship and Administration Act 1986 </w:t>
      </w:r>
      <w:r>
        <w:rPr>
          <w:spacing w:val="2"/>
          <w:w w:val="105"/>
          <w:sz w:val="13"/>
        </w:rPr>
        <w:t>(Vic) </w:t>
      </w:r>
      <w:r>
        <w:rPr>
          <w:w w:val="105"/>
          <w:sz w:val="13"/>
        </w:rPr>
        <w:t>s</w:t>
      </w:r>
      <w:r>
        <w:rPr>
          <w:spacing w:val="25"/>
          <w:w w:val="105"/>
          <w:sz w:val="13"/>
        </w:rPr>
        <w:t> </w:t>
      </w:r>
      <w:r>
        <w:rPr>
          <w:spacing w:val="3"/>
          <w:w w:val="105"/>
          <w:sz w:val="13"/>
        </w:rPr>
        <w:t>53(3).</w:t>
      </w:r>
    </w:p>
    <w:p>
      <w:pPr>
        <w:pStyle w:val="ListParagraph"/>
        <w:numPr>
          <w:ilvl w:val="0"/>
          <w:numId w:val="44"/>
        </w:numPr>
        <w:tabs>
          <w:tab w:pos="2381" w:val="left" w:leader="none"/>
          <w:tab w:pos="2382" w:val="left" w:leader="none"/>
        </w:tabs>
        <w:spacing w:line="240" w:lineRule="auto" w:before="1" w:after="0"/>
        <w:ind w:left="2381" w:right="0" w:hanging="794"/>
        <w:jc w:val="left"/>
        <w:rPr>
          <w:sz w:val="13"/>
        </w:rPr>
      </w:pPr>
      <w:r>
        <w:rPr>
          <w:w w:val="105"/>
          <w:sz w:val="13"/>
        </w:rPr>
        <w:t>Submission 33 (State Trustees</w:t>
      </w:r>
      <w:r>
        <w:rPr>
          <w:spacing w:val="18"/>
          <w:w w:val="105"/>
          <w:sz w:val="13"/>
        </w:rPr>
        <w:t> </w:t>
      </w:r>
      <w:r>
        <w:rPr>
          <w:w w:val="105"/>
          <w:sz w:val="13"/>
        </w:rPr>
        <w:t>Limited).</w:t>
      </w:r>
    </w:p>
    <w:p>
      <w:pPr>
        <w:pStyle w:val="ListParagraph"/>
        <w:numPr>
          <w:ilvl w:val="0"/>
          <w:numId w:val="44"/>
        </w:numPr>
        <w:tabs>
          <w:tab w:pos="2381" w:val="left" w:leader="none"/>
          <w:tab w:pos="2382" w:val="left" w:leader="none"/>
        </w:tabs>
        <w:spacing w:line="240" w:lineRule="auto" w:before="2" w:after="0"/>
        <w:ind w:left="2381" w:right="0" w:hanging="794"/>
        <w:jc w:val="left"/>
        <w:rPr>
          <w:sz w:val="13"/>
        </w:rPr>
      </w:pPr>
      <w:r>
        <w:rPr/>
        <w:pict>
          <v:shape style="position:absolute;margin-left:36pt;margin-top:3.655364pt;width:13.55pt;height:14.25pt;mso-position-horizontal-relative:page;mso-position-vertical-relative:paragraph;z-index:4360" type="#_x0000_t202" filled="false" stroked="false">
            <v:textbox inset="0,0,0,0">
              <w:txbxContent>
                <w:p>
                  <w:pPr>
                    <w:spacing w:line="284" w:lineRule="exact" w:before="0"/>
                    <w:ind w:left="0" w:right="0" w:firstLine="0"/>
                    <w:jc w:val="left"/>
                    <w:rPr>
                      <w:b/>
                      <w:sz w:val="24"/>
                    </w:rPr>
                  </w:pPr>
                  <w:r>
                    <w:rPr>
                      <w:b/>
                      <w:color w:val="EC5A4F"/>
                      <w:w w:val="110"/>
                      <w:sz w:val="24"/>
                    </w:rPr>
                    <w:t>46</w:t>
                  </w:r>
                </w:p>
              </w:txbxContent>
            </v:textbox>
            <w10:wrap type="none"/>
          </v:shape>
        </w:pict>
      </w:r>
      <w:r>
        <w:rPr>
          <w:w w:val="105"/>
          <w:sz w:val="13"/>
        </w:rPr>
        <w:t>Submission 25 </w:t>
      </w:r>
      <w:r>
        <w:rPr>
          <w:spacing w:val="2"/>
          <w:w w:val="105"/>
          <w:sz w:val="13"/>
        </w:rPr>
        <w:t>(Moores</w:t>
      </w:r>
      <w:r>
        <w:rPr>
          <w:spacing w:val="13"/>
          <w:w w:val="105"/>
          <w:sz w:val="13"/>
        </w:rPr>
        <w:t> </w:t>
      </w:r>
      <w:r>
        <w:rPr>
          <w:w w:val="105"/>
          <w:sz w:val="13"/>
        </w:rPr>
        <w:t>Legal).</w:t>
      </w:r>
    </w:p>
    <w:p>
      <w:pPr>
        <w:pStyle w:val="ListParagraph"/>
        <w:numPr>
          <w:ilvl w:val="0"/>
          <w:numId w:val="44"/>
        </w:numPr>
        <w:tabs>
          <w:tab w:pos="2381" w:val="left" w:leader="none"/>
          <w:tab w:pos="2382" w:val="left" w:leader="none"/>
        </w:tabs>
        <w:spacing w:line="240" w:lineRule="auto" w:before="1" w:after="0"/>
        <w:ind w:left="2381" w:right="0" w:hanging="794"/>
        <w:jc w:val="left"/>
        <w:rPr>
          <w:sz w:val="13"/>
        </w:rPr>
      </w:pPr>
      <w:r>
        <w:rPr>
          <w:w w:val="105"/>
          <w:sz w:val="13"/>
        </w:rPr>
        <w:t>Submission 30a </w:t>
      </w:r>
      <w:r>
        <w:rPr>
          <w:spacing w:val="3"/>
          <w:w w:val="105"/>
          <w:sz w:val="13"/>
        </w:rPr>
        <w:t>(Law </w:t>
      </w:r>
      <w:r>
        <w:rPr>
          <w:w w:val="105"/>
          <w:sz w:val="13"/>
        </w:rPr>
        <w:t>Institute of</w:t>
      </w:r>
      <w:r>
        <w:rPr>
          <w:spacing w:val="19"/>
          <w:w w:val="105"/>
          <w:sz w:val="13"/>
        </w:rPr>
        <w:t> </w:t>
      </w:r>
      <w:r>
        <w:rPr>
          <w:spacing w:val="2"/>
          <w:w w:val="105"/>
          <w:sz w:val="13"/>
        </w:rPr>
        <w:t>Victoria).</w:t>
      </w:r>
    </w:p>
    <w:p>
      <w:pPr>
        <w:spacing w:after="0" w:line="240" w:lineRule="auto"/>
        <w:jc w:val="left"/>
        <w:rPr>
          <w:sz w:val="13"/>
        </w:rPr>
        <w:sectPr>
          <w:pgSz w:w="11910" w:h="16840"/>
          <w:pgMar w:header="550" w:footer="0" w:top="1560" w:bottom="280" w:left="0" w:right="0"/>
        </w:sectPr>
      </w:pPr>
    </w:p>
    <w:p>
      <w:pPr>
        <w:pStyle w:val="BodyText"/>
        <w:rPr>
          <w:sz w:val="20"/>
        </w:rPr>
      </w:pPr>
    </w:p>
    <w:p>
      <w:pPr>
        <w:pStyle w:val="BodyText"/>
        <w:rPr>
          <w:sz w:val="19"/>
        </w:rPr>
      </w:pPr>
    </w:p>
    <w:p>
      <w:pPr>
        <w:pStyle w:val="ListParagraph"/>
        <w:numPr>
          <w:ilvl w:val="1"/>
          <w:numId w:val="22"/>
        </w:numPr>
        <w:tabs>
          <w:tab w:pos="2381" w:val="left" w:leader="none"/>
          <w:tab w:pos="2382" w:val="left" w:leader="none"/>
        </w:tabs>
        <w:spacing w:line="242" w:lineRule="auto" w:before="91" w:after="0"/>
        <w:ind w:left="2381" w:right="1625" w:hanging="794"/>
        <w:jc w:val="left"/>
        <w:rPr>
          <w:sz w:val="21"/>
        </w:rPr>
      </w:pPr>
      <w:r>
        <w:rPr>
          <w:sz w:val="21"/>
        </w:rPr>
        <w:t>In the </w:t>
      </w:r>
      <w:r>
        <w:rPr>
          <w:spacing w:val="-4"/>
          <w:sz w:val="21"/>
        </w:rPr>
        <w:t>Commission’s view, </w:t>
      </w:r>
      <w:r>
        <w:rPr>
          <w:sz w:val="21"/>
        </w:rPr>
        <w:t>section 53(3) should </w:t>
      </w:r>
      <w:r>
        <w:rPr>
          <w:spacing w:val="-2"/>
          <w:sz w:val="21"/>
        </w:rPr>
        <w:t>not </w:t>
      </w:r>
      <w:r>
        <w:rPr>
          <w:sz w:val="21"/>
        </w:rPr>
        <w:t>be </w:t>
      </w:r>
      <w:r>
        <w:rPr>
          <w:spacing w:val="-3"/>
          <w:sz w:val="21"/>
        </w:rPr>
        <w:t>retained.  </w:t>
      </w:r>
      <w:r>
        <w:rPr>
          <w:sz w:val="21"/>
        </w:rPr>
        <w:t>In </w:t>
      </w:r>
      <w:r>
        <w:rPr>
          <w:spacing w:val="-3"/>
          <w:sz w:val="21"/>
        </w:rPr>
        <w:t>particular,</w:t>
      </w:r>
      <w:r>
        <w:rPr>
          <w:spacing w:val="41"/>
          <w:sz w:val="21"/>
        </w:rPr>
        <w:t> </w:t>
      </w:r>
      <w:r>
        <w:rPr>
          <w:sz w:val="21"/>
        </w:rPr>
        <w:t>there should  be no </w:t>
      </w:r>
      <w:r>
        <w:rPr>
          <w:spacing w:val="-3"/>
          <w:sz w:val="21"/>
        </w:rPr>
        <w:t>requirement </w:t>
      </w:r>
      <w:r>
        <w:rPr>
          <w:sz w:val="21"/>
        </w:rPr>
        <w:t>or </w:t>
      </w:r>
      <w:r>
        <w:rPr>
          <w:spacing w:val="-3"/>
          <w:sz w:val="21"/>
        </w:rPr>
        <w:t>implication that </w:t>
      </w:r>
      <w:r>
        <w:rPr>
          <w:sz w:val="21"/>
        </w:rPr>
        <w:t>an </w:t>
      </w:r>
      <w:r>
        <w:rPr>
          <w:spacing w:val="-3"/>
          <w:sz w:val="21"/>
        </w:rPr>
        <w:t>administrator </w:t>
      </w:r>
      <w:r>
        <w:rPr>
          <w:sz w:val="21"/>
        </w:rPr>
        <w:t>should </w:t>
      </w:r>
      <w:r>
        <w:rPr>
          <w:spacing w:val="-3"/>
          <w:sz w:val="21"/>
        </w:rPr>
        <w:t>quarantine </w:t>
      </w:r>
      <w:r>
        <w:rPr>
          <w:sz w:val="21"/>
        </w:rPr>
        <w:t>the</w:t>
      </w:r>
      <w:r>
        <w:rPr>
          <w:spacing w:val="2"/>
          <w:sz w:val="21"/>
        </w:rPr>
        <w:t> </w:t>
      </w:r>
      <w:r>
        <w:rPr>
          <w:sz w:val="21"/>
        </w:rPr>
        <w:t>proceeds</w:t>
      </w:r>
    </w:p>
    <w:p>
      <w:pPr>
        <w:pStyle w:val="BodyText"/>
        <w:spacing w:line="242" w:lineRule="auto" w:before="2"/>
        <w:ind w:left="2381" w:right="1826"/>
      </w:pPr>
      <w:r>
        <w:rPr/>
        <w:t>of </w:t>
      </w:r>
      <w:r>
        <w:rPr>
          <w:spacing w:val="-3"/>
        </w:rPr>
        <w:t>any </w:t>
      </w:r>
      <w:r>
        <w:rPr/>
        <w:t>sale or spend these proceeds last. </w:t>
      </w:r>
      <w:r>
        <w:rPr>
          <w:spacing w:val="-3"/>
        </w:rPr>
        <w:t>Keeping </w:t>
      </w:r>
      <w:r>
        <w:rPr/>
        <w:t>the </w:t>
      </w:r>
      <w:r>
        <w:rPr>
          <w:spacing w:val="-3"/>
        </w:rPr>
        <w:t>funds separately may leave </w:t>
      </w:r>
      <w:r>
        <w:rPr/>
        <w:t>an insufficient </w:t>
      </w:r>
      <w:r>
        <w:rPr>
          <w:spacing w:val="-3"/>
        </w:rPr>
        <w:t>amount to </w:t>
      </w:r>
      <w:r>
        <w:rPr/>
        <w:t>comfortably meet the needs of  the  </w:t>
      </w:r>
      <w:r>
        <w:rPr>
          <w:spacing w:val="-3"/>
        </w:rPr>
        <w:t>represented  </w:t>
      </w:r>
      <w:r>
        <w:rPr/>
        <w:t>person  </w:t>
      </w:r>
      <w:r>
        <w:rPr>
          <w:spacing w:val="-3"/>
        </w:rPr>
        <w:t>during </w:t>
      </w:r>
      <w:r>
        <w:rPr/>
        <w:t>their </w:t>
      </w:r>
      <w:r>
        <w:rPr>
          <w:spacing w:val="-4"/>
        </w:rPr>
        <w:t>lifetime. </w:t>
      </w:r>
      <w:r>
        <w:rPr/>
        <w:t>An </w:t>
      </w:r>
      <w:r>
        <w:rPr>
          <w:spacing w:val="-3"/>
        </w:rPr>
        <w:t>administrator </w:t>
      </w:r>
      <w:r>
        <w:rPr/>
        <w:t>should </w:t>
      </w:r>
      <w:r>
        <w:rPr>
          <w:spacing w:val="-3"/>
        </w:rPr>
        <w:t>aim to </w:t>
      </w:r>
      <w:r>
        <w:rPr/>
        <w:t>deploy </w:t>
      </w:r>
      <w:r>
        <w:rPr>
          <w:spacing w:val="-3"/>
        </w:rPr>
        <w:t>all </w:t>
      </w:r>
      <w:r>
        <w:rPr/>
        <w:t>assets in the best interests of the </w:t>
      </w:r>
      <w:r>
        <w:rPr>
          <w:spacing w:val="-3"/>
        </w:rPr>
        <w:t>represented </w:t>
      </w:r>
      <w:r>
        <w:rPr/>
        <w:t>person </w:t>
      </w:r>
      <w:r>
        <w:rPr>
          <w:spacing w:val="-3"/>
        </w:rPr>
        <w:t>during </w:t>
      </w:r>
      <w:r>
        <w:rPr/>
        <w:t>their </w:t>
      </w:r>
      <w:r>
        <w:rPr>
          <w:spacing w:val="-4"/>
        </w:rPr>
        <w:t>lifetime,  </w:t>
      </w:r>
      <w:r>
        <w:rPr>
          <w:spacing w:val="-2"/>
        </w:rPr>
        <w:t>not  </w:t>
      </w:r>
      <w:r>
        <w:rPr/>
        <w:t>be </w:t>
      </w:r>
      <w:r>
        <w:rPr>
          <w:spacing w:val="-3"/>
        </w:rPr>
        <w:t>concerned  </w:t>
      </w:r>
      <w:r>
        <w:rPr/>
        <w:t>with the possible </w:t>
      </w:r>
      <w:r>
        <w:rPr>
          <w:spacing w:val="-3"/>
        </w:rPr>
        <w:t>entitlement  </w:t>
      </w:r>
      <w:r>
        <w:rPr/>
        <w:t>of beneficiaries under the</w:t>
      </w:r>
      <w:r>
        <w:rPr>
          <w:spacing w:val="33"/>
        </w:rPr>
        <w:t> </w:t>
      </w:r>
      <w:r>
        <w:rPr>
          <w:spacing w:val="-3"/>
        </w:rPr>
        <w:t>will.</w:t>
      </w:r>
    </w:p>
    <w:p>
      <w:pPr>
        <w:pStyle w:val="ListParagraph"/>
        <w:numPr>
          <w:ilvl w:val="1"/>
          <w:numId w:val="22"/>
        </w:numPr>
        <w:tabs>
          <w:tab w:pos="2381" w:val="left" w:leader="none"/>
          <w:tab w:pos="2382" w:val="left" w:leader="none"/>
        </w:tabs>
        <w:spacing w:line="242" w:lineRule="auto" w:before="126" w:after="0"/>
        <w:ind w:left="2381" w:right="1679" w:hanging="794"/>
        <w:jc w:val="left"/>
        <w:rPr>
          <w:sz w:val="21"/>
        </w:rPr>
      </w:pPr>
      <w:r>
        <w:rPr>
          <w:spacing w:val="-4"/>
          <w:sz w:val="21"/>
        </w:rPr>
        <w:t>Moreover, </w:t>
      </w:r>
      <w:r>
        <w:rPr>
          <w:sz w:val="21"/>
        </w:rPr>
        <w:t>the </w:t>
      </w:r>
      <w:r>
        <w:rPr>
          <w:spacing w:val="-3"/>
          <w:sz w:val="21"/>
        </w:rPr>
        <w:t>administrator may </w:t>
      </w:r>
      <w:r>
        <w:rPr>
          <w:sz w:val="21"/>
        </w:rPr>
        <w:t>be </w:t>
      </w:r>
      <w:r>
        <w:rPr>
          <w:spacing w:val="-3"/>
          <w:sz w:val="21"/>
        </w:rPr>
        <w:t>unaware </w:t>
      </w:r>
      <w:r>
        <w:rPr>
          <w:sz w:val="21"/>
        </w:rPr>
        <w:t>of the </w:t>
      </w:r>
      <w:r>
        <w:rPr>
          <w:spacing w:val="-3"/>
          <w:sz w:val="21"/>
        </w:rPr>
        <w:t>terms </w:t>
      </w:r>
      <w:r>
        <w:rPr>
          <w:sz w:val="21"/>
        </w:rPr>
        <w:t>of the </w:t>
      </w:r>
      <w:r>
        <w:rPr>
          <w:spacing w:val="-3"/>
          <w:sz w:val="21"/>
        </w:rPr>
        <w:t>will </w:t>
      </w:r>
      <w:r>
        <w:rPr>
          <w:sz w:val="21"/>
        </w:rPr>
        <w:t>and </w:t>
      </w:r>
      <w:r>
        <w:rPr>
          <w:spacing w:val="-3"/>
          <w:sz w:val="21"/>
        </w:rPr>
        <w:t>therefore  </w:t>
      </w:r>
      <w:r>
        <w:rPr>
          <w:spacing w:val="-2"/>
          <w:sz w:val="21"/>
        </w:rPr>
        <w:t>not </w:t>
      </w:r>
      <w:r>
        <w:rPr>
          <w:sz w:val="21"/>
        </w:rPr>
        <w:t>know </w:t>
      </w:r>
      <w:r>
        <w:rPr>
          <w:spacing w:val="-3"/>
          <w:sz w:val="21"/>
        </w:rPr>
        <w:t>that </w:t>
      </w:r>
      <w:r>
        <w:rPr>
          <w:sz w:val="21"/>
        </w:rPr>
        <w:t>money or other property received is received </w:t>
      </w:r>
      <w:r>
        <w:rPr>
          <w:spacing w:val="-4"/>
          <w:sz w:val="21"/>
        </w:rPr>
        <w:t>‘under </w:t>
      </w:r>
      <w:r>
        <w:rPr>
          <w:sz w:val="21"/>
        </w:rPr>
        <w:t>this </w:t>
      </w:r>
      <w:r>
        <w:rPr>
          <w:spacing w:val="-4"/>
          <w:sz w:val="21"/>
        </w:rPr>
        <w:t>section’. </w:t>
      </w:r>
      <w:r>
        <w:rPr>
          <w:sz w:val="21"/>
        </w:rPr>
        <w:t>There should be no </w:t>
      </w:r>
      <w:r>
        <w:rPr>
          <w:spacing w:val="-3"/>
          <w:sz w:val="21"/>
        </w:rPr>
        <w:t>legislative requirement, consequence </w:t>
      </w:r>
      <w:r>
        <w:rPr>
          <w:sz w:val="21"/>
        </w:rPr>
        <w:t>or </w:t>
      </w:r>
      <w:r>
        <w:rPr>
          <w:spacing w:val="-3"/>
          <w:sz w:val="21"/>
        </w:rPr>
        <w:t>implication  that  requires  </w:t>
      </w:r>
      <w:r>
        <w:rPr>
          <w:sz w:val="21"/>
        </w:rPr>
        <w:t>a  </w:t>
      </w:r>
      <w:r>
        <w:rPr>
          <w:spacing w:val="-3"/>
          <w:sz w:val="21"/>
        </w:rPr>
        <w:t>substitute </w:t>
      </w:r>
      <w:r>
        <w:rPr>
          <w:sz w:val="21"/>
        </w:rPr>
        <w:t>decision </w:t>
      </w:r>
      <w:r>
        <w:rPr>
          <w:spacing w:val="-4"/>
          <w:sz w:val="21"/>
        </w:rPr>
        <w:t>maker </w:t>
      </w:r>
      <w:r>
        <w:rPr>
          <w:spacing w:val="-3"/>
          <w:sz w:val="21"/>
        </w:rPr>
        <w:t>to </w:t>
      </w:r>
      <w:r>
        <w:rPr>
          <w:sz w:val="21"/>
        </w:rPr>
        <w:t>know what is in the </w:t>
      </w:r>
      <w:r>
        <w:rPr>
          <w:spacing w:val="-3"/>
          <w:sz w:val="21"/>
        </w:rPr>
        <w:t>person’s</w:t>
      </w:r>
      <w:r>
        <w:rPr>
          <w:spacing w:val="6"/>
          <w:sz w:val="21"/>
        </w:rPr>
        <w:t> </w:t>
      </w:r>
      <w:r>
        <w:rPr>
          <w:spacing w:val="-3"/>
          <w:sz w:val="21"/>
        </w:rPr>
        <w:t>will.</w:t>
      </w:r>
    </w:p>
    <w:p>
      <w:pPr>
        <w:pStyle w:val="ListParagraph"/>
        <w:numPr>
          <w:ilvl w:val="1"/>
          <w:numId w:val="22"/>
        </w:numPr>
        <w:tabs>
          <w:tab w:pos="2381" w:val="left" w:leader="none"/>
          <w:tab w:pos="2382" w:val="left" w:leader="none"/>
        </w:tabs>
        <w:spacing w:line="242" w:lineRule="auto" w:before="124" w:after="0"/>
        <w:ind w:left="2381" w:right="1623" w:hanging="794"/>
        <w:jc w:val="left"/>
        <w:rPr>
          <w:sz w:val="21"/>
        </w:rPr>
      </w:pPr>
      <w:r>
        <w:rPr>
          <w:sz w:val="21"/>
        </w:rPr>
        <w:t>An </w:t>
      </w:r>
      <w:r>
        <w:rPr>
          <w:spacing w:val="-3"/>
          <w:sz w:val="21"/>
        </w:rPr>
        <w:t>administrator  </w:t>
      </w:r>
      <w:r>
        <w:rPr>
          <w:sz w:val="21"/>
        </w:rPr>
        <w:t>must lodge </w:t>
      </w:r>
      <w:r>
        <w:rPr>
          <w:spacing w:val="-3"/>
          <w:sz w:val="21"/>
        </w:rPr>
        <w:t>accounts</w:t>
      </w:r>
      <w:r>
        <w:rPr>
          <w:spacing w:val="41"/>
          <w:sz w:val="21"/>
        </w:rPr>
        <w:t> </w:t>
      </w:r>
      <w:r>
        <w:rPr>
          <w:sz w:val="21"/>
        </w:rPr>
        <w:t>each </w:t>
      </w:r>
      <w:r>
        <w:rPr>
          <w:spacing w:val="-3"/>
          <w:sz w:val="21"/>
        </w:rPr>
        <w:t>year  </w:t>
      </w:r>
      <w:r>
        <w:rPr>
          <w:sz w:val="21"/>
        </w:rPr>
        <w:t>with </w:t>
      </w:r>
      <w:r>
        <w:rPr>
          <w:spacing w:val="-5"/>
          <w:sz w:val="21"/>
        </w:rPr>
        <w:t>VCAT  </w:t>
      </w:r>
      <w:r>
        <w:rPr>
          <w:sz w:val="21"/>
        </w:rPr>
        <w:t>or </w:t>
      </w:r>
      <w:r>
        <w:rPr>
          <w:spacing w:val="-3"/>
          <w:sz w:val="21"/>
        </w:rPr>
        <w:t>another  </w:t>
      </w:r>
      <w:r>
        <w:rPr>
          <w:sz w:val="21"/>
        </w:rPr>
        <w:t>person </w:t>
      </w:r>
      <w:r>
        <w:rPr>
          <w:spacing w:val="-3"/>
          <w:sz w:val="21"/>
        </w:rPr>
        <w:t>appointed  </w:t>
      </w:r>
      <w:r>
        <w:rPr>
          <w:sz w:val="21"/>
        </w:rPr>
        <w:t>by </w:t>
      </w:r>
      <w:r>
        <w:rPr>
          <w:spacing w:val="-8"/>
          <w:sz w:val="21"/>
        </w:rPr>
        <w:t>VCAT. </w:t>
      </w:r>
      <w:r>
        <w:rPr>
          <w:sz w:val="21"/>
        </w:rPr>
        <w:t>The </w:t>
      </w:r>
      <w:r>
        <w:rPr>
          <w:spacing w:val="-3"/>
          <w:sz w:val="21"/>
        </w:rPr>
        <w:t>accounts </w:t>
      </w:r>
      <w:r>
        <w:rPr>
          <w:sz w:val="21"/>
        </w:rPr>
        <w:t>must provide </w:t>
      </w:r>
      <w:r>
        <w:rPr>
          <w:spacing w:val="-7"/>
          <w:sz w:val="21"/>
        </w:rPr>
        <w:t>‘a </w:t>
      </w:r>
      <w:r>
        <w:rPr>
          <w:spacing w:val="-3"/>
          <w:sz w:val="21"/>
        </w:rPr>
        <w:t>full </w:t>
      </w:r>
      <w:r>
        <w:rPr>
          <w:sz w:val="21"/>
        </w:rPr>
        <w:t>and true </w:t>
      </w:r>
      <w:r>
        <w:rPr>
          <w:spacing w:val="-3"/>
          <w:sz w:val="21"/>
        </w:rPr>
        <w:t>account </w:t>
      </w:r>
      <w:r>
        <w:rPr>
          <w:sz w:val="21"/>
        </w:rPr>
        <w:t>of the assets and </w:t>
      </w:r>
      <w:r>
        <w:rPr>
          <w:spacing w:val="-3"/>
          <w:sz w:val="21"/>
        </w:rPr>
        <w:t>liabilities </w:t>
      </w:r>
      <w:r>
        <w:rPr>
          <w:sz w:val="21"/>
        </w:rPr>
        <w:t>of  </w:t>
      </w:r>
      <w:r>
        <w:rPr>
          <w:spacing w:val="-3"/>
          <w:sz w:val="21"/>
        </w:rPr>
        <w:t>that </w:t>
      </w:r>
      <w:r>
        <w:rPr>
          <w:sz w:val="21"/>
        </w:rPr>
        <w:t>estate and </w:t>
      </w:r>
      <w:r>
        <w:rPr>
          <w:spacing w:val="-3"/>
          <w:sz w:val="21"/>
        </w:rPr>
        <w:t>all </w:t>
      </w:r>
      <w:r>
        <w:rPr>
          <w:sz w:val="21"/>
        </w:rPr>
        <w:t>receipts and disbursements in respect of </w:t>
      </w:r>
      <w:r>
        <w:rPr>
          <w:spacing w:val="-3"/>
          <w:sz w:val="21"/>
        </w:rPr>
        <w:t>that  </w:t>
      </w:r>
      <w:r>
        <w:rPr>
          <w:spacing w:val="-4"/>
          <w:sz w:val="21"/>
        </w:rPr>
        <w:t>estate.’</w:t>
      </w:r>
      <w:r>
        <w:rPr>
          <w:spacing w:val="-4"/>
          <w:position w:val="7"/>
          <w:sz w:val="12"/>
        </w:rPr>
        <w:t>57  </w:t>
      </w:r>
      <w:r>
        <w:rPr>
          <w:sz w:val="21"/>
        </w:rPr>
        <w:t>These </w:t>
      </w:r>
      <w:r>
        <w:rPr>
          <w:spacing w:val="-3"/>
          <w:sz w:val="21"/>
        </w:rPr>
        <w:t>accounts  will therefore </w:t>
      </w:r>
      <w:r>
        <w:rPr>
          <w:sz w:val="21"/>
        </w:rPr>
        <w:t>provide a basis </w:t>
      </w:r>
      <w:r>
        <w:rPr>
          <w:spacing w:val="-3"/>
          <w:sz w:val="21"/>
        </w:rPr>
        <w:t>for </w:t>
      </w:r>
      <w:r>
        <w:rPr>
          <w:sz w:val="21"/>
        </w:rPr>
        <w:t>an </w:t>
      </w:r>
      <w:r>
        <w:rPr>
          <w:spacing w:val="-3"/>
          <w:sz w:val="21"/>
        </w:rPr>
        <w:t>executor </w:t>
      </w:r>
      <w:r>
        <w:rPr>
          <w:sz w:val="21"/>
        </w:rPr>
        <w:t>or court </w:t>
      </w:r>
      <w:r>
        <w:rPr>
          <w:spacing w:val="-3"/>
          <w:sz w:val="21"/>
        </w:rPr>
        <w:t>to determine </w:t>
      </w:r>
      <w:r>
        <w:rPr>
          <w:sz w:val="21"/>
        </w:rPr>
        <w:t>entitlements under an amended section</w:t>
      </w:r>
      <w:r>
        <w:rPr>
          <w:spacing w:val="17"/>
          <w:sz w:val="21"/>
        </w:rPr>
        <w:t> </w:t>
      </w:r>
      <w:r>
        <w:rPr>
          <w:spacing w:val="-4"/>
          <w:sz w:val="21"/>
        </w:rPr>
        <w:t>53.</w:t>
      </w:r>
    </w:p>
    <w:p>
      <w:pPr>
        <w:pStyle w:val="ListParagraph"/>
        <w:numPr>
          <w:ilvl w:val="1"/>
          <w:numId w:val="22"/>
        </w:numPr>
        <w:tabs>
          <w:tab w:pos="2381" w:val="left" w:leader="none"/>
          <w:tab w:pos="2382" w:val="left" w:leader="none"/>
        </w:tabs>
        <w:spacing w:line="242" w:lineRule="auto" w:before="126" w:after="0"/>
        <w:ind w:left="2381" w:right="1694" w:hanging="794"/>
        <w:jc w:val="left"/>
        <w:rPr>
          <w:sz w:val="21"/>
        </w:rPr>
      </w:pPr>
      <w:r>
        <w:rPr>
          <w:w w:val="105"/>
          <w:sz w:val="21"/>
        </w:rPr>
        <w:t>As </w:t>
      </w:r>
      <w:r>
        <w:rPr>
          <w:spacing w:val="-3"/>
          <w:w w:val="105"/>
          <w:sz w:val="21"/>
        </w:rPr>
        <w:t>noted earlier </w:t>
      </w:r>
      <w:r>
        <w:rPr>
          <w:w w:val="105"/>
          <w:sz w:val="21"/>
        </w:rPr>
        <w:t>in this </w:t>
      </w:r>
      <w:r>
        <w:rPr>
          <w:spacing w:val="-5"/>
          <w:w w:val="105"/>
          <w:sz w:val="21"/>
        </w:rPr>
        <w:t>chapter, </w:t>
      </w:r>
      <w:r>
        <w:rPr>
          <w:w w:val="105"/>
          <w:sz w:val="21"/>
        </w:rPr>
        <w:t>section 83 of the </w:t>
      </w:r>
      <w:r>
        <w:rPr>
          <w:i/>
          <w:w w:val="105"/>
          <w:sz w:val="21"/>
        </w:rPr>
        <w:t>NSW </w:t>
      </w:r>
      <w:r>
        <w:rPr>
          <w:i/>
          <w:spacing w:val="-4"/>
          <w:w w:val="105"/>
          <w:sz w:val="21"/>
        </w:rPr>
        <w:t>Trustee </w:t>
      </w:r>
      <w:r>
        <w:rPr>
          <w:i/>
          <w:w w:val="105"/>
          <w:sz w:val="21"/>
        </w:rPr>
        <w:t>and </w:t>
      </w:r>
      <w:r>
        <w:rPr>
          <w:i/>
          <w:spacing w:val="-3"/>
          <w:w w:val="105"/>
          <w:sz w:val="21"/>
        </w:rPr>
        <w:t>Guardianship </w:t>
      </w:r>
      <w:r>
        <w:rPr>
          <w:i/>
          <w:w w:val="105"/>
          <w:sz w:val="21"/>
        </w:rPr>
        <w:t>Act </w:t>
      </w:r>
      <w:r>
        <w:rPr>
          <w:i/>
          <w:w w:val="105"/>
          <w:sz w:val="21"/>
        </w:rPr>
        <w:t>2009 </w:t>
      </w:r>
      <w:r>
        <w:rPr>
          <w:w w:val="105"/>
          <w:sz w:val="21"/>
        </w:rPr>
        <w:t>is broadly </w:t>
      </w:r>
      <w:r>
        <w:rPr>
          <w:spacing w:val="-3"/>
          <w:w w:val="105"/>
          <w:sz w:val="21"/>
        </w:rPr>
        <w:t>equivalent to </w:t>
      </w:r>
      <w:r>
        <w:rPr>
          <w:w w:val="105"/>
          <w:sz w:val="21"/>
        </w:rPr>
        <w:t>section </w:t>
      </w:r>
      <w:r>
        <w:rPr>
          <w:spacing w:val="-3"/>
          <w:w w:val="105"/>
          <w:sz w:val="21"/>
        </w:rPr>
        <w:t>53 </w:t>
      </w:r>
      <w:r>
        <w:rPr>
          <w:w w:val="105"/>
          <w:sz w:val="21"/>
        </w:rPr>
        <w:t>of the </w:t>
      </w:r>
      <w:r>
        <w:rPr>
          <w:spacing w:val="-3"/>
          <w:w w:val="105"/>
          <w:sz w:val="21"/>
        </w:rPr>
        <w:t>Guardianship </w:t>
      </w:r>
      <w:r>
        <w:rPr>
          <w:w w:val="105"/>
          <w:sz w:val="21"/>
        </w:rPr>
        <w:t>and </w:t>
      </w:r>
      <w:r>
        <w:rPr>
          <w:spacing w:val="-3"/>
          <w:w w:val="105"/>
          <w:sz w:val="21"/>
        </w:rPr>
        <w:t>Administration </w:t>
      </w:r>
      <w:r>
        <w:rPr>
          <w:w w:val="105"/>
          <w:sz w:val="21"/>
        </w:rPr>
        <w:t>Act. </w:t>
      </w:r>
      <w:r>
        <w:rPr>
          <w:spacing w:val="-4"/>
          <w:w w:val="105"/>
          <w:sz w:val="21"/>
        </w:rPr>
        <w:t>However, </w:t>
      </w:r>
      <w:r>
        <w:rPr>
          <w:w w:val="105"/>
          <w:sz w:val="21"/>
        </w:rPr>
        <w:t>even though it does </w:t>
      </w:r>
      <w:r>
        <w:rPr>
          <w:spacing w:val="-2"/>
          <w:w w:val="105"/>
          <w:sz w:val="21"/>
        </w:rPr>
        <w:t>not </w:t>
      </w:r>
      <w:r>
        <w:rPr>
          <w:spacing w:val="-3"/>
          <w:w w:val="105"/>
          <w:sz w:val="21"/>
        </w:rPr>
        <w:t>contain </w:t>
      </w:r>
      <w:r>
        <w:rPr>
          <w:w w:val="105"/>
          <w:sz w:val="21"/>
        </w:rPr>
        <w:t>an </w:t>
      </w:r>
      <w:r>
        <w:rPr>
          <w:spacing w:val="-3"/>
          <w:w w:val="105"/>
          <w:sz w:val="21"/>
        </w:rPr>
        <w:t>equivalent </w:t>
      </w:r>
      <w:r>
        <w:rPr>
          <w:w w:val="105"/>
          <w:sz w:val="21"/>
        </w:rPr>
        <w:t>of section 53(3), it nonetheless </w:t>
      </w:r>
      <w:r>
        <w:rPr>
          <w:spacing w:val="-2"/>
          <w:w w:val="105"/>
          <w:sz w:val="21"/>
        </w:rPr>
        <w:t>has </w:t>
      </w:r>
      <w:r>
        <w:rPr>
          <w:w w:val="105"/>
          <w:sz w:val="21"/>
        </w:rPr>
        <w:t>been </w:t>
      </w:r>
      <w:r>
        <w:rPr>
          <w:spacing w:val="-3"/>
          <w:w w:val="105"/>
          <w:sz w:val="21"/>
        </w:rPr>
        <w:t>interpreted </w:t>
      </w:r>
      <w:r>
        <w:rPr>
          <w:w w:val="105"/>
          <w:sz w:val="21"/>
        </w:rPr>
        <w:t>as </w:t>
      </w:r>
      <w:r>
        <w:rPr>
          <w:spacing w:val="-3"/>
          <w:w w:val="105"/>
          <w:sz w:val="21"/>
        </w:rPr>
        <w:t>conveying </w:t>
      </w:r>
      <w:r>
        <w:rPr>
          <w:w w:val="105"/>
          <w:sz w:val="21"/>
        </w:rPr>
        <w:t>an </w:t>
      </w:r>
      <w:r>
        <w:rPr>
          <w:spacing w:val="-3"/>
          <w:w w:val="105"/>
          <w:sz w:val="21"/>
        </w:rPr>
        <w:t>obligation to keep </w:t>
      </w:r>
      <w:r>
        <w:rPr>
          <w:w w:val="105"/>
          <w:sz w:val="21"/>
        </w:rPr>
        <w:t>a </w:t>
      </w:r>
      <w:r>
        <w:rPr>
          <w:spacing w:val="-3"/>
          <w:w w:val="105"/>
          <w:sz w:val="21"/>
        </w:rPr>
        <w:t>separate account. </w:t>
      </w:r>
      <w:r>
        <w:rPr>
          <w:w w:val="105"/>
          <w:sz w:val="21"/>
        </w:rPr>
        <w:t>In </w:t>
      </w:r>
      <w:r>
        <w:rPr>
          <w:i/>
          <w:w w:val="105"/>
          <w:sz w:val="21"/>
        </w:rPr>
        <w:t>RL v NSW </w:t>
      </w:r>
      <w:r>
        <w:rPr>
          <w:i/>
          <w:spacing w:val="-4"/>
          <w:w w:val="105"/>
          <w:sz w:val="21"/>
        </w:rPr>
        <w:t>Trustee</w:t>
      </w:r>
      <w:r>
        <w:rPr>
          <w:i/>
          <w:spacing w:val="4"/>
          <w:w w:val="105"/>
          <w:sz w:val="21"/>
        </w:rPr>
        <w:t> </w:t>
      </w:r>
      <w:r>
        <w:rPr>
          <w:i/>
          <w:w w:val="105"/>
          <w:sz w:val="21"/>
        </w:rPr>
        <w:t>and</w:t>
      </w:r>
      <w:r>
        <w:rPr>
          <w:i/>
          <w:spacing w:val="4"/>
          <w:w w:val="105"/>
          <w:sz w:val="21"/>
        </w:rPr>
        <w:t> </w:t>
      </w:r>
      <w:r>
        <w:rPr>
          <w:i/>
          <w:spacing w:val="-3"/>
          <w:w w:val="105"/>
          <w:sz w:val="21"/>
        </w:rPr>
        <w:t>Guardian</w:t>
      </w:r>
      <w:r>
        <w:rPr>
          <w:i/>
          <w:spacing w:val="5"/>
          <w:w w:val="105"/>
          <w:sz w:val="21"/>
        </w:rPr>
        <w:t> </w:t>
      </w:r>
      <w:r>
        <w:rPr>
          <w:w w:val="105"/>
          <w:sz w:val="21"/>
        </w:rPr>
        <w:t>the</w:t>
      </w:r>
      <w:r>
        <w:rPr>
          <w:spacing w:val="4"/>
          <w:w w:val="105"/>
          <w:sz w:val="21"/>
        </w:rPr>
        <w:t> </w:t>
      </w:r>
      <w:r>
        <w:rPr>
          <w:w w:val="105"/>
          <w:sz w:val="21"/>
        </w:rPr>
        <w:t>New</w:t>
      </w:r>
      <w:r>
        <w:rPr>
          <w:spacing w:val="5"/>
          <w:w w:val="105"/>
          <w:sz w:val="21"/>
        </w:rPr>
        <w:t> </w:t>
      </w:r>
      <w:r>
        <w:rPr>
          <w:w w:val="105"/>
          <w:sz w:val="21"/>
        </w:rPr>
        <w:t>South</w:t>
      </w:r>
      <w:r>
        <w:rPr>
          <w:spacing w:val="4"/>
          <w:w w:val="105"/>
          <w:sz w:val="21"/>
        </w:rPr>
        <w:t> </w:t>
      </w:r>
      <w:r>
        <w:rPr>
          <w:spacing w:val="-3"/>
          <w:w w:val="105"/>
          <w:sz w:val="21"/>
        </w:rPr>
        <w:t>Wales</w:t>
      </w:r>
      <w:r>
        <w:rPr>
          <w:spacing w:val="4"/>
          <w:w w:val="105"/>
          <w:sz w:val="21"/>
        </w:rPr>
        <w:t> </w:t>
      </w:r>
      <w:r>
        <w:rPr>
          <w:spacing w:val="-3"/>
          <w:w w:val="105"/>
          <w:sz w:val="21"/>
        </w:rPr>
        <w:t>Court</w:t>
      </w:r>
      <w:r>
        <w:rPr>
          <w:spacing w:val="4"/>
          <w:w w:val="105"/>
          <w:sz w:val="21"/>
        </w:rPr>
        <w:t> </w:t>
      </w:r>
      <w:r>
        <w:rPr>
          <w:w w:val="105"/>
          <w:sz w:val="21"/>
        </w:rPr>
        <w:t>of</w:t>
      </w:r>
      <w:r>
        <w:rPr>
          <w:spacing w:val="5"/>
          <w:w w:val="105"/>
          <w:sz w:val="21"/>
        </w:rPr>
        <w:t> </w:t>
      </w:r>
      <w:r>
        <w:rPr>
          <w:w w:val="105"/>
          <w:sz w:val="21"/>
        </w:rPr>
        <w:t>Appeal</w:t>
      </w:r>
      <w:r>
        <w:rPr>
          <w:spacing w:val="4"/>
          <w:w w:val="105"/>
          <w:sz w:val="21"/>
        </w:rPr>
        <w:t> </w:t>
      </w:r>
      <w:r>
        <w:rPr>
          <w:spacing w:val="-2"/>
          <w:w w:val="105"/>
          <w:sz w:val="21"/>
        </w:rPr>
        <w:t>has</w:t>
      </w:r>
      <w:r>
        <w:rPr>
          <w:spacing w:val="4"/>
          <w:w w:val="105"/>
          <w:sz w:val="21"/>
        </w:rPr>
        <w:t> </w:t>
      </w:r>
      <w:r>
        <w:rPr>
          <w:spacing w:val="-3"/>
          <w:w w:val="105"/>
          <w:sz w:val="21"/>
        </w:rPr>
        <w:t>found</w:t>
      </w:r>
      <w:r>
        <w:rPr>
          <w:spacing w:val="4"/>
          <w:w w:val="105"/>
          <w:sz w:val="21"/>
        </w:rPr>
        <w:t> </w:t>
      </w:r>
      <w:r>
        <w:rPr>
          <w:w w:val="105"/>
          <w:sz w:val="21"/>
        </w:rPr>
        <w:t>that:</w:t>
      </w:r>
    </w:p>
    <w:p>
      <w:pPr>
        <w:spacing w:line="254" w:lineRule="auto" w:before="135"/>
        <w:ind w:left="2721" w:right="1826" w:firstLine="0"/>
        <w:jc w:val="left"/>
        <w:rPr>
          <w:sz w:val="11"/>
        </w:rPr>
      </w:pPr>
      <w:r>
        <w:rPr>
          <w:sz w:val="20"/>
        </w:rPr>
        <w:t>by implication [section 83 of the NSW </w:t>
      </w:r>
      <w:r>
        <w:rPr>
          <w:spacing w:val="-4"/>
          <w:sz w:val="20"/>
        </w:rPr>
        <w:t>Trustee </w:t>
      </w:r>
      <w:r>
        <w:rPr>
          <w:sz w:val="20"/>
        </w:rPr>
        <w:t>and </w:t>
      </w:r>
      <w:r>
        <w:rPr>
          <w:spacing w:val="-3"/>
          <w:sz w:val="20"/>
        </w:rPr>
        <w:t>Guardianship </w:t>
      </w:r>
      <w:r>
        <w:rPr>
          <w:sz w:val="20"/>
        </w:rPr>
        <w:t>Act] gives rise to an obligation [on the </w:t>
      </w:r>
      <w:r>
        <w:rPr>
          <w:spacing w:val="-3"/>
          <w:sz w:val="20"/>
        </w:rPr>
        <w:t>administrator] </w:t>
      </w:r>
      <w:r>
        <w:rPr>
          <w:sz w:val="20"/>
        </w:rPr>
        <w:t>to </w:t>
      </w:r>
      <w:r>
        <w:rPr>
          <w:spacing w:val="-3"/>
          <w:sz w:val="20"/>
        </w:rPr>
        <w:t>take </w:t>
      </w:r>
      <w:r>
        <w:rPr>
          <w:sz w:val="20"/>
        </w:rPr>
        <w:t>steps to administer the estate in such a way that,  on [the represented person’s] death, it will be possible to identify what is the </w:t>
      </w:r>
      <w:r>
        <w:rPr>
          <w:spacing w:val="-5"/>
          <w:sz w:val="20"/>
        </w:rPr>
        <w:t>‘surplus’, </w:t>
      </w:r>
      <w:r>
        <w:rPr>
          <w:sz w:val="20"/>
        </w:rPr>
        <w:t>if  </w:t>
      </w:r>
      <w:r>
        <w:rPr>
          <w:spacing w:val="-5"/>
          <w:sz w:val="20"/>
        </w:rPr>
        <w:t>any, </w:t>
      </w:r>
      <w:r>
        <w:rPr>
          <w:sz w:val="20"/>
        </w:rPr>
        <w:t>that s 83 then operates upon. </w:t>
      </w:r>
      <w:r>
        <w:rPr>
          <w:w w:val="115"/>
          <w:sz w:val="20"/>
        </w:rPr>
        <w:t>… </w:t>
      </w:r>
      <w:r>
        <w:rPr>
          <w:sz w:val="20"/>
        </w:rPr>
        <w:t>A </w:t>
      </w:r>
      <w:r>
        <w:rPr>
          <w:spacing w:val="-3"/>
          <w:sz w:val="20"/>
        </w:rPr>
        <w:t>convenient  </w:t>
      </w:r>
      <w:r>
        <w:rPr>
          <w:sz w:val="20"/>
        </w:rPr>
        <w:t>way of achieving that objective is to  keep the net proceeds in a separate</w:t>
      </w:r>
      <w:r>
        <w:rPr>
          <w:spacing w:val="16"/>
          <w:sz w:val="20"/>
        </w:rPr>
        <w:t> </w:t>
      </w:r>
      <w:r>
        <w:rPr>
          <w:sz w:val="20"/>
        </w:rPr>
        <w:t>fund.</w:t>
      </w:r>
      <w:r>
        <w:rPr>
          <w:position w:val="7"/>
          <w:sz w:val="11"/>
        </w:rPr>
        <w:t>58</w:t>
      </w:r>
    </w:p>
    <w:p>
      <w:pPr>
        <w:pStyle w:val="ListParagraph"/>
        <w:numPr>
          <w:ilvl w:val="1"/>
          <w:numId w:val="22"/>
        </w:numPr>
        <w:tabs>
          <w:tab w:pos="2381" w:val="left" w:leader="none"/>
          <w:tab w:pos="2382" w:val="left" w:leader="none"/>
        </w:tabs>
        <w:spacing w:line="242" w:lineRule="auto" w:before="116" w:after="0"/>
        <w:ind w:left="2381" w:right="1667" w:hanging="794"/>
        <w:jc w:val="left"/>
        <w:rPr>
          <w:sz w:val="21"/>
        </w:rPr>
      </w:pPr>
      <w:r>
        <w:rPr>
          <w:sz w:val="21"/>
        </w:rPr>
        <w:t>The </w:t>
      </w:r>
      <w:r>
        <w:rPr>
          <w:spacing w:val="-3"/>
          <w:sz w:val="21"/>
        </w:rPr>
        <w:t>Commission therefore recommends that </w:t>
      </w:r>
      <w:r>
        <w:rPr>
          <w:sz w:val="21"/>
        </w:rPr>
        <w:t>section </w:t>
      </w:r>
      <w:r>
        <w:rPr>
          <w:spacing w:val="-3"/>
          <w:sz w:val="21"/>
        </w:rPr>
        <w:t>53  </w:t>
      </w:r>
      <w:r>
        <w:rPr>
          <w:sz w:val="21"/>
        </w:rPr>
        <w:t>be  amended  </w:t>
      </w:r>
      <w:r>
        <w:rPr>
          <w:spacing w:val="-3"/>
          <w:sz w:val="21"/>
        </w:rPr>
        <w:t>to  </w:t>
      </w:r>
      <w:r>
        <w:rPr>
          <w:sz w:val="21"/>
        </w:rPr>
        <w:t>explicitly  state </w:t>
      </w:r>
      <w:r>
        <w:rPr>
          <w:spacing w:val="-3"/>
          <w:sz w:val="21"/>
        </w:rPr>
        <w:t>that </w:t>
      </w:r>
      <w:r>
        <w:rPr>
          <w:sz w:val="21"/>
        </w:rPr>
        <w:t>there is no </w:t>
      </w:r>
      <w:r>
        <w:rPr>
          <w:spacing w:val="-3"/>
          <w:sz w:val="21"/>
        </w:rPr>
        <w:t>requirement for </w:t>
      </w:r>
      <w:r>
        <w:rPr>
          <w:sz w:val="21"/>
        </w:rPr>
        <w:t>an </w:t>
      </w:r>
      <w:r>
        <w:rPr>
          <w:spacing w:val="-3"/>
          <w:sz w:val="21"/>
        </w:rPr>
        <w:t>administrator  to  keep  any  </w:t>
      </w:r>
      <w:r>
        <w:rPr>
          <w:sz w:val="21"/>
        </w:rPr>
        <w:t>proceeds in an </w:t>
      </w:r>
      <w:r>
        <w:rPr>
          <w:spacing w:val="-3"/>
          <w:sz w:val="21"/>
        </w:rPr>
        <w:t>account</w:t>
      </w:r>
      <w:r>
        <w:rPr>
          <w:spacing w:val="41"/>
          <w:sz w:val="21"/>
        </w:rPr>
        <w:t> </w:t>
      </w:r>
      <w:r>
        <w:rPr>
          <w:spacing w:val="-3"/>
          <w:sz w:val="21"/>
        </w:rPr>
        <w:t>that </w:t>
      </w:r>
      <w:r>
        <w:rPr>
          <w:sz w:val="21"/>
        </w:rPr>
        <w:t>is</w:t>
      </w:r>
      <w:r>
        <w:rPr>
          <w:spacing w:val="9"/>
          <w:sz w:val="21"/>
        </w:rPr>
        <w:t> </w:t>
      </w:r>
      <w:r>
        <w:rPr>
          <w:spacing w:val="-3"/>
          <w:sz w:val="21"/>
        </w:rPr>
        <w:t>separate</w:t>
      </w:r>
      <w:r>
        <w:rPr>
          <w:spacing w:val="9"/>
          <w:sz w:val="21"/>
        </w:rPr>
        <w:t> </w:t>
      </w:r>
      <w:r>
        <w:rPr>
          <w:spacing w:val="-3"/>
          <w:sz w:val="21"/>
        </w:rPr>
        <w:t>from</w:t>
      </w:r>
      <w:r>
        <w:rPr>
          <w:spacing w:val="9"/>
          <w:sz w:val="21"/>
        </w:rPr>
        <w:t> </w:t>
      </w:r>
      <w:r>
        <w:rPr>
          <w:sz w:val="21"/>
        </w:rPr>
        <w:t>the</w:t>
      </w:r>
      <w:r>
        <w:rPr>
          <w:spacing w:val="10"/>
          <w:sz w:val="21"/>
        </w:rPr>
        <w:t> </w:t>
      </w:r>
      <w:r>
        <w:rPr>
          <w:spacing w:val="-3"/>
          <w:sz w:val="21"/>
        </w:rPr>
        <w:t>represented</w:t>
      </w:r>
      <w:r>
        <w:rPr>
          <w:spacing w:val="9"/>
          <w:sz w:val="21"/>
        </w:rPr>
        <w:t> </w:t>
      </w:r>
      <w:r>
        <w:rPr>
          <w:spacing w:val="-3"/>
          <w:sz w:val="21"/>
        </w:rPr>
        <w:t>person’s</w:t>
      </w:r>
      <w:r>
        <w:rPr>
          <w:spacing w:val="9"/>
          <w:sz w:val="21"/>
        </w:rPr>
        <w:t> </w:t>
      </w:r>
      <w:r>
        <w:rPr>
          <w:sz w:val="21"/>
        </w:rPr>
        <w:t>other</w:t>
      </w:r>
      <w:r>
        <w:rPr>
          <w:spacing w:val="10"/>
          <w:sz w:val="21"/>
        </w:rPr>
        <w:t> </w:t>
      </w:r>
      <w:r>
        <w:rPr>
          <w:sz w:val="21"/>
        </w:rPr>
        <w:t>assets.</w:t>
      </w:r>
    </w:p>
    <w:p>
      <w:pPr>
        <w:pStyle w:val="BodyText"/>
        <w:rPr>
          <w:sz w:val="16"/>
        </w:rPr>
      </w:pPr>
      <w:r>
        <w:rPr/>
        <w:pict>
          <v:group style="position:absolute;margin-left:62.362202pt;margin-top:11.751264pt;width:479.1pt;height:173.55pt;mso-position-horizontal-relative:page;mso-position-vertical-relative:paragraph;z-index:2408;mso-wrap-distance-left:0;mso-wrap-distance-right:0" coordorigin="1247,235" coordsize="9582,3471">
            <v:rect style="position:absolute;left:1587;top:235;width:8731;height:3471" filled="true" fillcolor="#fdebea" stroked="false">
              <v:fill type="solid"/>
            </v:rect>
            <v:line style="position:absolute" from="1247,986" to="10828,986" stroked="true" strokeweight="2.5pt" strokecolor="#ffffff">
              <v:stroke dashstyle="solid"/>
            </v:line>
            <v:shape style="position:absolute;left:2381;top:1222;width:7653;height:2309" type="#_x0000_t202" filled="false" stroked="false">
              <v:textbox inset="0,0,0,0">
                <w:txbxContent>
                  <w:p>
                    <w:pPr>
                      <w:spacing w:line="242" w:lineRule="auto" w:before="0"/>
                      <w:ind w:left="0" w:right="0" w:firstLine="0"/>
                      <w:jc w:val="left"/>
                      <w:rPr>
                        <w:sz w:val="21"/>
                      </w:rPr>
                    </w:pPr>
                    <w:r>
                      <w:rPr>
                        <w:w w:val="105"/>
                        <w:sz w:val="21"/>
                      </w:rPr>
                      <w:t>Section</w:t>
                    </w:r>
                    <w:r>
                      <w:rPr>
                        <w:spacing w:val="-17"/>
                        <w:w w:val="105"/>
                        <w:sz w:val="21"/>
                      </w:rPr>
                      <w:t> </w:t>
                    </w:r>
                    <w:r>
                      <w:rPr>
                        <w:w w:val="105"/>
                        <w:sz w:val="21"/>
                      </w:rPr>
                      <w:t>53</w:t>
                    </w:r>
                    <w:r>
                      <w:rPr>
                        <w:spacing w:val="-17"/>
                        <w:w w:val="105"/>
                        <w:sz w:val="21"/>
                      </w:rPr>
                      <w:t> </w:t>
                    </w:r>
                    <w:r>
                      <w:rPr>
                        <w:w w:val="105"/>
                        <w:sz w:val="21"/>
                      </w:rPr>
                      <w:t>of</w:t>
                    </w:r>
                    <w:r>
                      <w:rPr>
                        <w:spacing w:val="-16"/>
                        <w:w w:val="105"/>
                        <w:sz w:val="21"/>
                      </w:rPr>
                      <w:t> </w:t>
                    </w:r>
                    <w:r>
                      <w:rPr>
                        <w:w w:val="105"/>
                        <w:sz w:val="21"/>
                      </w:rPr>
                      <w:t>the</w:t>
                    </w:r>
                    <w:r>
                      <w:rPr>
                        <w:spacing w:val="-17"/>
                        <w:w w:val="105"/>
                        <w:sz w:val="21"/>
                      </w:rPr>
                      <w:t> </w:t>
                    </w:r>
                    <w:r>
                      <w:rPr>
                        <w:rFonts w:ascii="Lucida Sans"/>
                        <w:i/>
                        <w:w w:val="105"/>
                        <w:sz w:val="21"/>
                      </w:rPr>
                      <w:t>Guardianship</w:t>
                    </w:r>
                    <w:r>
                      <w:rPr>
                        <w:rFonts w:ascii="Lucida Sans"/>
                        <w:i/>
                        <w:spacing w:val="-36"/>
                        <w:w w:val="105"/>
                        <w:sz w:val="21"/>
                      </w:rPr>
                      <w:t> </w:t>
                    </w:r>
                    <w:r>
                      <w:rPr>
                        <w:rFonts w:ascii="Lucida Sans"/>
                        <w:i/>
                        <w:w w:val="105"/>
                        <w:sz w:val="21"/>
                      </w:rPr>
                      <w:t>and</w:t>
                    </w:r>
                    <w:r>
                      <w:rPr>
                        <w:rFonts w:ascii="Lucida Sans"/>
                        <w:i/>
                        <w:spacing w:val="-37"/>
                        <w:w w:val="105"/>
                        <w:sz w:val="21"/>
                      </w:rPr>
                      <w:t> </w:t>
                    </w:r>
                    <w:r>
                      <w:rPr>
                        <w:rFonts w:ascii="Lucida Sans"/>
                        <w:i/>
                        <w:w w:val="105"/>
                        <w:sz w:val="21"/>
                      </w:rPr>
                      <w:t>Administration</w:t>
                    </w:r>
                    <w:r>
                      <w:rPr>
                        <w:rFonts w:ascii="Lucida Sans"/>
                        <w:i/>
                        <w:spacing w:val="-36"/>
                        <w:w w:val="105"/>
                        <w:sz w:val="21"/>
                      </w:rPr>
                      <w:t> </w:t>
                    </w:r>
                    <w:r>
                      <w:rPr>
                        <w:rFonts w:ascii="Lucida Sans"/>
                        <w:i/>
                        <w:w w:val="105"/>
                        <w:sz w:val="21"/>
                      </w:rPr>
                      <w:t>Act</w:t>
                    </w:r>
                    <w:r>
                      <w:rPr>
                        <w:rFonts w:ascii="Lucida Sans"/>
                        <w:i/>
                        <w:spacing w:val="-37"/>
                        <w:w w:val="105"/>
                        <w:sz w:val="21"/>
                      </w:rPr>
                      <w:t> </w:t>
                    </w:r>
                    <w:r>
                      <w:rPr>
                        <w:rFonts w:ascii="Lucida Sans"/>
                        <w:i/>
                        <w:w w:val="105"/>
                        <w:sz w:val="21"/>
                      </w:rPr>
                      <w:t>1986</w:t>
                    </w:r>
                    <w:r>
                      <w:rPr>
                        <w:rFonts w:ascii="Lucida Sans"/>
                        <w:i/>
                        <w:spacing w:val="-36"/>
                        <w:w w:val="105"/>
                        <w:sz w:val="21"/>
                      </w:rPr>
                      <w:t> </w:t>
                    </w:r>
                    <w:r>
                      <w:rPr>
                        <w:w w:val="105"/>
                        <w:sz w:val="21"/>
                      </w:rPr>
                      <w:t>(Vic)</w:t>
                    </w:r>
                    <w:r>
                      <w:rPr>
                        <w:spacing w:val="-17"/>
                        <w:w w:val="105"/>
                        <w:sz w:val="21"/>
                      </w:rPr>
                      <w:t> </w:t>
                    </w:r>
                    <w:r>
                      <w:rPr>
                        <w:w w:val="105"/>
                        <w:sz w:val="21"/>
                      </w:rPr>
                      <w:t>should</w:t>
                    </w:r>
                    <w:r>
                      <w:rPr>
                        <w:spacing w:val="-17"/>
                        <w:w w:val="105"/>
                        <w:sz w:val="21"/>
                      </w:rPr>
                      <w:t> </w:t>
                    </w:r>
                    <w:r>
                      <w:rPr>
                        <w:w w:val="105"/>
                        <w:sz w:val="21"/>
                      </w:rPr>
                      <w:t>be amended</w:t>
                    </w:r>
                    <w:r>
                      <w:rPr>
                        <w:spacing w:val="6"/>
                        <w:w w:val="105"/>
                        <w:sz w:val="21"/>
                      </w:rPr>
                      <w:t> </w:t>
                    </w:r>
                    <w:r>
                      <w:rPr>
                        <w:w w:val="105"/>
                        <w:sz w:val="21"/>
                      </w:rPr>
                      <w:t>to:</w:t>
                    </w:r>
                  </w:p>
                  <w:p>
                    <w:pPr>
                      <w:numPr>
                        <w:ilvl w:val="0"/>
                        <w:numId w:val="45"/>
                      </w:numPr>
                      <w:tabs>
                        <w:tab w:pos="341" w:val="left" w:leader="none"/>
                      </w:tabs>
                      <w:spacing w:line="242" w:lineRule="auto" w:before="115"/>
                      <w:ind w:left="340" w:right="18" w:hanging="340"/>
                      <w:jc w:val="left"/>
                      <w:rPr>
                        <w:sz w:val="21"/>
                      </w:rPr>
                    </w:pPr>
                    <w:r>
                      <w:rPr>
                        <w:w w:val="115"/>
                        <w:sz w:val="21"/>
                      </w:rPr>
                      <w:t>no longer require an administrator to </w:t>
                    </w:r>
                    <w:r>
                      <w:rPr>
                        <w:spacing w:val="-3"/>
                        <w:w w:val="115"/>
                        <w:sz w:val="21"/>
                      </w:rPr>
                      <w:t>keep </w:t>
                    </w:r>
                    <w:r>
                      <w:rPr>
                        <w:w w:val="115"/>
                        <w:sz w:val="21"/>
                      </w:rPr>
                      <w:t>a separate account and record of</w:t>
                    </w:r>
                    <w:r>
                      <w:rPr>
                        <w:spacing w:val="-8"/>
                        <w:w w:val="115"/>
                        <w:sz w:val="21"/>
                      </w:rPr>
                      <w:t> </w:t>
                    </w:r>
                    <w:r>
                      <w:rPr>
                        <w:w w:val="115"/>
                        <w:sz w:val="21"/>
                      </w:rPr>
                      <w:t>the</w:t>
                    </w:r>
                    <w:r>
                      <w:rPr>
                        <w:spacing w:val="-8"/>
                        <w:w w:val="115"/>
                        <w:sz w:val="21"/>
                      </w:rPr>
                      <w:t> </w:t>
                    </w:r>
                    <w:r>
                      <w:rPr>
                        <w:w w:val="115"/>
                        <w:sz w:val="21"/>
                      </w:rPr>
                      <w:t>money</w:t>
                    </w:r>
                    <w:r>
                      <w:rPr>
                        <w:spacing w:val="-7"/>
                        <w:w w:val="115"/>
                        <w:sz w:val="21"/>
                      </w:rPr>
                      <w:t> </w:t>
                    </w:r>
                    <w:r>
                      <w:rPr>
                        <w:w w:val="115"/>
                        <w:sz w:val="21"/>
                      </w:rPr>
                      <w:t>or</w:t>
                    </w:r>
                    <w:r>
                      <w:rPr>
                        <w:spacing w:val="-8"/>
                        <w:w w:val="115"/>
                        <w:sz w:val="21"/>
                      </w:rPr>
                      <w:t> </w:t>
                    </w:r>
                    <w:r>
                      <w:rPr>
                        <w:w w:val="115"/>
                        <w:sz w:val="21"/>
                      </w:rPr>
                      <w:t>other</w:t>
                    </w:r>
                    <w:r>
                      <w:rPr>
                        <w:spacing w:val="-8"/>
                        <w:w w:val="115"/>
                        <w:sz w:val="21"/>
                      </w:rPr>
                      <w:t> </w:t>
                    </w:r>
                    <w:r>
                      <w:rPr>
                        <w:w w:val="115"/>
                        <w:sz w:val="21"/>
                      </w:rPr>
                      <w:t>property</w:t>
                    </w:r>
                    <w:r>
                      <w:rPr>
                        <w:spacing w:val="-7"/>
                        <w:w w:val="115"/>
                        <w:sz w:val="21"/>
                      </w:rPr>
                      <w:t> </w:t>
                    </w:r>
                    <w:r>
                      <w:rPr>
                        <w:w w:val="115"/>
                        <w:sz w:val="21"/>
                      </w:rPr>
                      <w:t>received</w:t>
                    </w:r>
                    <w:r>
                      <w:rPr>
                        <w:spacing w:val="-8"/>
                        <w:w w:val="115"/>
                        <w:sz w:val="21"/>
                      </w:rPr>
                      <w:t> </w:t>
                    </w:r>
                    <w:r>
                      <w:rPr>
                        <w:w w:val="115"/>
                        <w:sz w:val="21"/>
                      </w:rPr>
                      <w:t>upon</w:t>
                    </w:r>
                    <w:r>
                      <w:rPr>
                        <w:spacing w:val="-8"/>
                        <w:w w:val="115"/>
                        <w:sz w:val="21"/>
                      </w:rPr>
                      <w:t> </w:t>
                    </w:r>
                    <w:r>
                      <w:rPr>
                        <w:w w:val="115"/>
                        <w:sz w:val="21"/>
                      </w:rPr>
                      <w:t>the</w:t>
                    </w:r>
                    <w:r>
                      <w:rPr>
                        <w:spacing w:val="-7"/>
                        <w:w w:val="115"/>
                        <w:sz w:val="21"/>
                      </w:rPr>
                      <w:t> </w:t>
                    </w:r>
                    <w:r>
                      <w:rPr>
                        <w:w w:val="115"/>
                        <w:sz w:val="21"/>
                      </w:rPr>
                      <w:t>sale</w:t>
                    </w:r>
                    <w:r>
                      <w:rPr>
                        <w:spacing w:val="-8"/>
                        <w:w w:val="115"/>
                        <w:sz w:val="21"/>
                      </w:rPr>
                      <w:t> </w:t>
                    </w:r>
                    <w:r>
                      <w:rPr>
                        <w:w w:val="115"/>
                        <w:sz w:val="21"/>
                      </w:rPr>
                      <w:t>or</w:t>
                    </w:r>
                    <w:r>
                      <w:rPr>
                        <w:spacing w:val="-8"/>
                        <w:w w:val="115"/>
                        <w:sz w:val="21"/>
                      </w:rPr>
                      <w:t> </w:t>
                    </w:r>
                    <w:r>
                      <w:rPr>
                        <w:w w:val="115"/>
                        <w:sz w:val="21"/>
                      </w:rPr>
                      <w:t>other</w:t>
                    </w:r>
                    <w:r>
                      <w:rPr>
                        <w:spacing w:val="-7"/>
                        <w:w w:val="115"/>
                        <w:sz w:val="21"/>
                      </w:rPr>
                      <w:t> </w:t>
                    </w:r>
                    <w:r>
                      <w:rPr>
                        <w:w w:val="115"/>
                        <w:sz w:val="21"/>
                      </w:rPr>
                      <w:t>disposition of the represented person’s</w:t>
                    </w:r>
                    <w:r>
                      <w:rPr>
                        <w:spacing w:val="-1"/>
                        <w:w w:val="115"/>
                        <w:sz w:val="21"/>
                      </w:rPr>
                      <w:t> </w:t>
                    </w:r>
                    <w:r>
                      <w:rPr>
                        <w:w w:val="115"/>
                        <w:sz w:val="21"/>
                      </w:rPr>
                      <w:t>property</w:t>
                    </w:r>
                  </w:p>
                  <w:p>
                    <w:pPr>
                      <w:numPr>
                        <w:ilvl w:val="0"/>
                        <w:numId w:val="45"/>
                      </w:numPr>
                      <w:tabs>
                        <w:tab w:pos="341" w:val="left" w:leader="none"/>
                      </w:tabs>
                      <w:spacing w:line="242" w:lineRule="auto" w:before="124"/>
                      <w:ind w:left="340" w:right="113" w:hanging="340"/>
                      <w:jc w:val="both"/>
                      <w:rPr>
                        <w:sz w:val="21"/>
                      </w:rPr>
                    </w:pPr>
                    <w:r>
                      <w:rPr>
                        <w:w w:val="115"/>
                        <w:sz w:val="21"/>
                      </w:rPr>
                      <w:t>expressly</w:t>
                    </w:r>
                    <w:r>
                      <w:rPr>
                        <w:spacing w:val="-11"/>
                        <w:w w:val="115"/>
                        <w:sz w:val="21"/>
                      </w:rPr>
                      <w:t> </w:t>
                    </w:r>
                    <w:r>
                      <w:rPr>
                        <w:w w:val="115"/>
                        <w:sz w:val="21"/>
                      </w:rPr>
                      <w:t>state</w:t>
                    </w:r>
                    <w:r>
                      <w:rPr>
                        <w:spacing w:val="-10"/>
                        <w:w w:val="115"/>
                        <w:sz w:val="21"/>
                      </w:rPr>
                      <w:t> </w:t>
                    </w:r>
                    <w:r>
                      <w:rPr>
                        <w:w w:val="115"/>
                        <w:sz w:val="21"/>
                      </w:rPr>
                      <w:t>that</w:t>
                    </w:r>
                    <w:r>
                      <w:rPr>
                        <w:spacing w:val="-10"/>
                        <w:w w:val="115"/>
                        <w:sz w:val="21"/>
                      </w:rPr>
                      <w:t> </w:t>
                    </w:r>
                    <w:r>
                      <w:rPr>
                        <w:w w:val="115"/>
                        <w:sz w:val="21"/>
                      </w:rPr>
                      <w:t>an</w:t>
                    </w:r>
                    <w:r>
                      <w:rPr>
                        <w:spacing w:val="-10"/>
                        <w:w w:val="115"/>
                        <w:sz w:val="21"/>
                      </w:rPr>
                      <w:t> </w:t>
                    </w:r>
                    <w:r>
                      <w:rPr>
                        <w:w w:val="115"/>
                        <w:sz w:val="21"/>
                      </w:rPr>
                      <w:t>administrator</w:t>
                    </w:r>
                    <w:r>
                      <w:rPr>
                        <w:spacing w:val="-10"/>
                        <w:w w:val="115"/>
                        <w:sz w:val="21"/>
                      </w:rPr>
                      <w:t> </w:t>
                    </w:r>
                    <w:r>
                      <w:rPr>
                        <w:w w:val="115"/>
                        <w:sz w:val="21"/>
                      </w:rPr>
                      <w:t>is</w:t>
                    </w:r>
                    <w:r>
                      <w:rPr>
                        <w:spacing w:val="-10"/>
                        <w:w w:val="115"/>
                        <w:sz w:val="21"/>
                      </w:rPr>
                      <w:t> </w:t>
                    </w:r>
                    <w:r>
                      <w:rPr>
                        <w:w w:val="115"/>
                        <w:sz w:val="21"/>
                      </w:rPr>
                      <w:t>not</w:t>
                    </w:r>
                    <w:r>
                      <w:rPr>
                        <w:spacing w:val="-10"/>
                        <w:w w:val="115"/>
                        <w:sz w:val="21"/>
                      </w:rPr>
                      <w:t> </w:t>
                    </w:r>
                    <w:r>
                      <w:rPr>
                        <w:w w:val="115"/>
                        <w:sz w:val="21"/>
                      </w:rPr>
                      <w:t>required</w:t>
                    </w:r>
                    <w:r>
                      <w:rPr>
                        <w:spacing w:val="-11"/>
                        <w:w w:val="115"/>
                        <w:sz w:val="21"/>
                      </w:rPr>
                      <w:t> </w:t>
                    </w:r>
                    <w:r>
                      <w:rPr>
                        <w:w w:val="115"/>
                        <w:sz w:val="21"/>
                      </w:rPr>
                      <w:t>to</w:t>
                    </w:r>
                    <w:r>
                      <w:rPr>
                        <w:spacing w:val="-10"/>
                        <w:w w:val="115"/>
                        <w:sz w:val="21"/>
                      </w:rPr>
                      <w:t> </w:t>
                    </w:r>
                    <w:r>
                      <w:rPr>
                        <w:spacing w:val="-3"/>
                        <w:w w:val="115"/>
                        <w:sz w:val="21"/>
                      </w:rPr>
                      <w:t>keep</w:t>
                    </w:r>
                    <w:r>
                      <w:rPr>
                        <w:spacing w:val="-10"/>
                        <w:w w:val="115"/>
                        <w:sz w:val="21"/>
                      </w:rPr>
                      <w:t> </w:t>
                    </w:r>
                    <w:r>
                      <w:rPr>
                        <w:spacing w:val="-2"/>
                        <w:w w:val="115"/>
                        <w:sz w:val="21"/>
                      </w:rPr>
                      <w:t>any</w:t>
                    </w:r>
                    <w:r>
                      <w:rPr>
                        <w:spacing w:val="-10"/>
                        <w:w w:val="115"/>
                        <w:sz w:val="21"/>
                      </w:rPr>
                      <w:t> </w:t>
                    </w:r>
                    <w:r>
                      <w:rPr>
                        <w:w w:val="115"/>
                        <w:sz w:val="21"/>
                      </w:rPr>
                      <w:t>proceeds of</w:t>
                    </w:r>
                    <w:r>
                      <w:rPr>
                        <w:spacing w:val="-10"/>
                        <w:w w:val="115"/>
                        <w:sz w:val="21"/>
                      </w:rPr>
                      <w:t> </w:t>
                    </w:r>
                    <w:r>
                      <w:rPr>
                        <w:w w:val="115"/>
                        <w:sz w:val="21"/>
                      </w:rPr>
                      <w:t>the</w:t>
                    </w:r>
                    <w:r>
                      <w:rPr>
                        <w:spacing w:val="-9"/>
                        <w:w w:val="115"/>
                        <w:sz w:val="21"/>
                      </w:rPr>
                      <w:t> </w:t>
                    </w:r>
                    <w:r>
                      <w:rPr>
                        <w:w w:val="115"/>
                        <w:sz w:val="21"/>
                      </w:rPr>
                      <w:t>sale</w:t>
                    </w:r>
                    <w:r>
                      <w:rPr>
                        <w:spacing w:val="-9"/>
                        <w:w w:val="115"/>
                        <w:sz w:val="21"/>
                      </w:rPr>
                      <w:t> </w:t>
                    </w:r>
                    <w:r>
                      <w:rPr>
                        <w:w w:val="115"/>
                        <w:sz w:val="21"/>
                      </w:rPr>
                      <w:t>or</w:t>
                    </w:r>
                    <w:r>
                      <w:rPr>
                        <w:spacing w:val="-9"/>
                        <w:w w:val="115"/>
                        <w:sz w:val="21"/>
                      </w:rPr>
                      <w:t> </w:t>
                    </w:r>
                    <w:r>
                      <w:rPr>
                        <w:w w:val="115"/>
                        <w:sz w:val="21"/>
                      </w:rPr>
                      <w:t>other</w:t>
                    </w:r>
                    <w:r>
                      <w:rPr>
                        <w:spacing w:val="-9"/>
                        <w:w w:val="115"/>
                        <w:sz w:val="21"/>
                      </w:rPr>
                      <w:t> </w:t>
                    </w:r>
                    <w:r>
                      <w:rPr>
                        <w:w w:val="115"/>
                        <w:sz w:val="21"/>
                      </w:rPr>
                      <w:t>disposition</w:t>
                    </w:r>
                    <w:r>
                      <w:rPr>
                        <w:spacing w:val="-9"/>
                        <w:w w:val="115"/>
                        <w:sz w:val="21"/>
                      </w:rPr>
                      <w:t> </w:t>
                    </w:r>
                    <w:r>
                      <w:rPr>
                        <w:w w:val="115"/>
                        <w:sz w:val="21"/>
                      </w:rPr>
                      <w:t>of</w:t>
                    </w:r>
                    <w:r>
                      <w:rPr>
                        <w:spacing w:val="-9"/>
                        <w:w w:val="115"/>
                        <w:sz w:val="21"/>
                      </w:rPr>
                      <w:t> </w:t>
                    </w:r>
                    <w:r>
                      <w:rPr>
                        <w:w w:val="115"/>
                        <w:sz w:val="21"/>
                      </w:rPr>
                      <w:t>property</w:t>
                    </w:r>
                    <w:r>
                      <w:rPr>
                        <w:spacing w:val="-10"/>
                        <w:w w:val="115"/>
                        <w:sz w:val="21"/>
                      </w:rPr>
                      <w:t> </w:t>
                    </w:r>
                    <w:r>
                      <w:rPr>
                        <w:w w:val="115"/>
                        <w:sz w:val="21"/>
                      </w:rPr>
                      <w:t>separate</w:t>
                    </w:r>
                    <w:r>
                      <w:rPr>
                        <w:spacing w:val="-9"/>
                        <w:w w:val="115"/>
                        <w:sz w:val="21"/>
                      </w:rPr>
                      <w:t> </w:t>
                    </w:r>
                    <w:r>
                      <w:rPr>
                        <w:w w:val="115"/>
                        <w:sz w:val="21"/>
                      </w:rPr>
                      <w:t>from</w:t>
                    </w:r>
                    <w:r>
                      <w:rPr>
                        <w:spacing w:val="-9"/>
                        <w:w w:val="115"/>
                        <w:sz w:val="21"/>
                      </w:rPr>
                      <w:t> </w:t>
                    </w:r>
                    <w:r>
                      <w:rPr>
                        <w:w w:val="115"/>
                        <w:sz w:val="21"/>
                      </w:rPr>
                      <w:t>the</w:t>
                    </w:r>
                    <w:r>
                      <w:rPr>
                        <w:spacing w:val="-9"/>
                        <w:w w:val="115"/>
                        <w:sz w:val="21"/>
                      </w:rPr>
                      <w:t> </w:t>
                    </w:r>
                    <w:r>
                      <w:rPr>
                        <w:w w:val="115"/>
                        <w:sz w:val="21"/>
                      </w:rPr>
                      <w:t>represented person’s other assets.</w:t>
                    </w:r>
                  </w:p>
                </w:txbxContent>
              </v:textbox>
              <w10:wrap type="none"/>
            </v:shape>
            <v:shape style="position:absolute;left:1814;top:1222;width:137;height:249" type="#_x0000_t202" filled="false" stroked="false">
              <v:textbox inset="0,0,0,0">
                <w:txbxContent>
                  <w:p>
                    <w:pPr>
                      <w:spacing w:line="249" w:lineRule="exact" w:before="0"/>
                      <w:ind w:left="0" w:right="0" w:firstLine="0"/>
                      <w:jc w:val="left"/>
                      <w:rPr>
                        <w:sz w:val="21"/>
                      </w:rPr>
                    </w:pPr>
                    <w:r>
                      <w:rPr>
                        <w:w w:val="109"/>
                        <w:sz w:val="21"/>
                      </w:rPr>
                      <w:t>7</w:t>
                    </w:r>
                  </w:p>
                </w:txbxContent>
              </v:textbox>
              <w10:wrap type="none"/>
            </v:shape>
            <v:shape style="position:absolute;left:1587;top:235;width:8731;height:726" type="#_x0000_t202" filled="true" fillcolor="#fdebea" stroked="false">
              <v:textbox inset="0,0,0,0">
                <w:txbxContent>
                  <w:p>
                    <w:pPr>
                      <w:spacing w:before="166"/>
                      <w:ind w:left="226" w:right="0" w:firstLine="0"/>
                      <w:jc w:val="left"/>
                      <w:rPr>
                        <w:b/>
                        <w:sz w:val="32"/>
                      </w:rPr>
                    </w:pPr>
                    <w:r>
                      <w:rPr>
                        <w:b/>
                        <w:color w:val="EC5A4F"/>
                        <w:w w:val="110"/>
                        <w:sz w:val="32"/>
                      </w:rPr>
                      <w:t>Recommendation</w:t>
                    </w:r>
                  </w:p>
                </w:txbxContent>
              </v:textbox>
              <v:fill type="solid"/>
              <w10:wrap type="none"/>
            </v:shap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pPr>
      <w:r>
        <w:rPr/>
        <w:pict>
          <v:line style="position:absolute;mso-position-horizontal-relative:page;mso-position-vertical-relative:paragraph;z-index:2432;mso-wrap-distance-left:0;mso-wrap-distance-right:0" from="79.370102pt,15.438381pt" to="515.905102pt,15.438381pt" stroked="true" strokeweight="1pt" strokecolor="#f9ceca">
            <v:stroke dashstyle="solid"/>
            <w10:wrap type="topAndBottom"/>
          </v:line>
        </w:pict>
      </w:r>
    </w:p>
    <w:p>
      <w:pPr>
        <w:pStyle w:val="ListParagraph"/>
        <w:numPr>
          <w:ilvl w:val="0"/>
          <w:numId w:val="44"/>
        </w:numPr>
        <w:tabs>
          <w:tab w:pos="2381" w:val="left" w:leader="none"/>
          <w:tab w:pos="2382" w:val="left" w:leader="none"/>
        </w:tabs>
        <w:spacing w:line="240" w:lineRule="auto" w:before="117" w:after="0"/>
        <w:ind w:left="2381" w:right="0" w:hanging="794"/>
        <w:jc w:val="left"/>
        <w:rPr>
          <w:sz w:val="13"/>
        </w:rPr>
      </w:pPr>
      <w:r>
        <w:rPr>
          <w:i/>
          <w:w w:val="105"/>
          <w:sz w:val="13"/>
        </w:rPr>
        <w:t>Guardianship and Administration Act 1986 </w:t>
      </w:r>
      <w:r>
        <w:rPr>
          <w:spacing w:val="2"/>
          <w:w w:val="105"/>
          <w:sz w:val="13"/>
        </w:rPr>
        <w:t>(Vic) </w:t>
      </w:r>
      <w:r>
        <w:rPr>
          <w:w w:val="105"/>
          <w:sz w:val="13"/>
        </w:rPr>
        <w:t>s</w:t>
      </w:r>
      <w:r>
        <w:rPr>
          <w:spacing w:val="26"/>
          <w:w w:val="105"/>
          <w:sz w:val="13"/>
        </w:rPr>
        <w:t> </w:t>
      </w:r>
      <w:r>
        <w:rPr>
          <w:w w:val="105"/>
          <w:sz w:val="13"/>
        </w:rPr>
        <w:t>58.</w:t>
      </w:r>
    </w:p>
    <w:p>
      <w:pPr>
        <w:pStyle w:val="ListParagraph"/>
        <w:numPr>
          <w:ilvl w:val="0"/>
          <w:numId w:val="44"/>
        </w:numPr>
        <w:tabs>
          <w:tab w:pos="2381" w:val="left" w:leader="none"/>
          <w:tab w:pos="2382" w:val="left" w:leader="none"/>
        </w:tabs>
        <w:spacing w:line="240" w:lineRule="auto" w:before="1" w:after="0"/>
        <w:ind w:left="2381" w:right="0" w:hanging="794"/>
        <w:jc w:val="left"/>
        <w:rPr>
          <w:sz w:val="13"/>
        </w:rPr>
      </w:pPr>
      <w:r>
        <w:rPr/>
        <w:pict>
          <v:shape style="position:absolute;margin-left:549.107483pt;margin-top:-5.126535pt;width:13pt;height:14.25pt;mso-position-horizontal-relative:page;mso-position-vertical-relative:paragraph;z-index:4504" type="#_x0000_t202" filled="false" stroked="false">
            <v:textbox inset="0,0,0,0">
              <w:txbxContent>
                <w:p>
                  <w:pPr>
                    <w:spacing w:line="284" w:lineRule="exact" w:before="0"/>
                    <w:ind w:left="0" w:right="0" w:firstLine="0"/>
                    <w:jc w:val="left"/>
                    <w:rPr>
                      <w:b/>
                      <w:sz w:val="24"/>
                    </w:rPr>
                  </w:pPr>
                  <w:r>
                    <w:rPr>
                      <w:b/>
                      <w:color w:val="EC5A4F"/>
                      <w:spacing w:val="-4"/>
                      <w:w w:val="110"/>
                      <w:sz w:val="24"/>
                    </w:rPr>
                    <w:t>47</w:t>
                  </w:r>
                </w:p>
              </w:txbxContent>
            </v:textbox>
            <w10:wrap type="none"/>
          </v:shape>
        </w:pict>
      </w:r>
      <w:r>
        <w:rPr>
          <w:i/>
          <w:w w:val="105"/>
          <w:sz w:val="13"/>
        </w:rPr>
        <w:t>RL</w:t>
      </w:r>
      <w:r>
        <w:rPr>
          <w:i/>
          <w:spacing w:val="3"/>
          <w:w w:val="105"/>
          <w:sz w:val="13"/>
        </w:rPr>
        <w:t> </w:t>
      </w:r>
      <w:r>
        <w:rPr>
          <w:i/>
          <w:w w:val="105"/>
          <w:sz w:val="13"/>
        </w:rPr>
        <w:t>v</w:t>
      </w:r>
      <w:r>
        <w:rPr>
          <w:i/>
          <w:spacing w:val="4"/>
          <w:w w:val="105"/>
          <w:sz w:val="13"/>
        </w:rPr>
        <w:t> </w:t>
      </w:r>
      <w:r>
        <w:rPr>
          <w:i/>
          <w:w w:val="105"/>
          <w:sz w:val="13"/>
        </w:rPr>
        <w:t>NSW</w:t>
      </w:r>
      <w:r>
        <w:rPr>
          <w:i/>
          <w:spacing w:val="3"/>
          <w:w w:val="105"/>
          <w:sz w:val="13"/>
        </w:rPr>
        <w:t> </w:t>
      </w:r>
      <w:r>
        <w:rPr>
          <w:i/>
          <w:w w:val="105"/>
          <w:sz w:val="13"/>
        </w:rPr>
        <w:t>Trustee</w:t>
      </w:r>
      <w:r>
        <w:rPr>
          <w:i/>
          <w:spacing w:val="4"/>
          <w:w w:val="105"/>
          <w:sz w:val="13"/>
        </w:rPr>
        <w:t> </w:t>
      </w:r>
      <w:r>
        <w:rPr>
          <w:i/>
          <w:w w:val="105"/>
          <w:sz w:val="13"/>
        </w:rPr>
        <w:t>and</w:t>
      </w:r>
      <w:r>
        <w:rPr>
          <w:i/>
          <w:spacing w:val="4"/>
          <w:w w:val="105"/>
          <w:sz w:val="13"/>
        </w:rPr>
        <w:t> </w:t>
      </w:r>
      <w:r>
        <w:rPr>
          <w:i/>
          <w:w w:val="105"/>
          <w:sz w:val="13"/>
        </w:rPr>
        <w:t>Guardian</w:t>
      </w:r>
      <w:r>
        <w:rPr>
          <w:i/>
          <w:spacing w:val="4"/>
          <w:w w:val="105"/>
          <w:sz w:val="13"/>
        </w:rPr>
        <w:t> </w:t>
      </w:r>
      <w:r>
        <w:rPr>
          <w:w w:val="105"/>
          <w:sz w:val="13"/>
        </w:rPr>
        <w:t>[2012]</w:t>
      </w:r>
      <w:r>
        <w:rPr>
          <w:spacing w:val="5"/>
          <w:w w:val="105"/>
          <w:sz w:val="13"/>
        </w:rPr>
        <w:t> </w:t>
      </w:r>
      <w:r>
        <w:rPr>
          <w:w w:val="105"/>
          <w:sz w:val="13"/>
        </w:rPr>
        <w:t>NSWCA</w:t>
      </w:r>
      <w:r>
        <w:rPr>
          <w:spacing w:val="5"/>
          <w:w w:val="105"/>
          <w:sz w:val="13"/>
        </w:rPr>
        <w:t> </w:t>
      </w:r>
      <w:r>
        <w:rPr>
          <w:w w:val="105"/>
          <w:sz w:val="13"/>
        </w:rPr>
        <w:t>39</w:t>
      </w:r>
      <w:r>
        <w:rPr>
          <w:spacing w:val="4"/>
          <w:w w:val="105"/>
          <w:sz w:val="13"/>
        </w:rPr>
        <w:t> </w:t>
      </w:r>
      <w:r>
        <w:rPr>
          <w:spacing w:val="-3"/>
          <w:w w:val="105"/>
          <w:sz w:val="13"/>
        </w:rPr>
        <w:t>(19</w:t>
      </w:r>
      <w:r>
        <w:rPr>
          <w:spacing w:val="5"/>
          <w:w w:val="105"/>
          <w:sz w:val="13"/>
        </w:rPr>
        <w:t> </w:t>
      </w:r>
      <w:r>
        <w:rPr>
          <w:w w:val="105"/>
          <w:sz w:val="13"/>
        </w:rPr>
        <w:t>March</w:t>
      </w:r>
      <w:r>
        <w:rPr>
          <w:spacing w:val="5"/>
          <w:w w:val="105"/>
          <w:sz w:val="13"/>
        </w:rPr>
        <w:t> </w:t>
      </w:r>
      <w:r>
        <w:rPr>
          <w:w w:val="105"/>
          <w:sz w:val="13"/>
        </w:rPr>
        <w:t>2012)</w:t>
      </w:r>
      <w:r>
        <w:rPr>
          <w:spacing w:val="4"/>
          <w:w w:val="105"/>
          <w:sz w:val="13"/>
        </w:rPr>
        <w:t> [94].</w:t>
      </w:r>
    </w:p>
    <w:p>
      <w:pPr>
        <w:spacing w:after="0" w:line="240" w:lineRule="auto"/>
        <w:jc w:val="left"/>
        <w:rPr>
          <w:sz w:val="13"/>
        </w:rPr>
        <w:sectPr>
          <w:pgSz w:w="11910" w:h="16840"/>
          <w:pgMar w:header="805" w:footer="0" w:top="1360" w:bottom="280" w:left="0" w:right="0"/>
        </w:sectPr>
      </w:pPr>
    </w:p>
    <w:p>
      <w:pPr>
        <w:pStyle w:val="BodyText"/>
        <w:spacing w:before="11"/>
      </w:pPr>
    </w:p>
    <w:p>
      <w:pPr>
        <w:pStyle w:val="Heading5"/>
        <w:spacing w:before="99"/>
      </w:pPr>
      <w:bookmarkStart w:name="Acts by persons acting under an enduring" w:id="38"/>
      <w:bookmarkEnd w:id="38"/>
      <w:r>
        <w:rPr>
          <w:b w:val="0"/>
        </w:rPr>
      </w:r>
      <w:r>
        <w:rPr>
          <w:w w:val="115"/>
        </w:rPr>
        <w:t>Capacity and persons with administrators appointed</w:t>
      </w:r>
    </w:p>
    <w:p>
      <w:pPr>
        <w:pStyle w:val="ListParagraph"/>
        <w:numPr>
          <w:ilvl w:val="1"/>
          <w:numId w:val="22"/>
        </w:numPr>
        <w:tabs>
          <w:tab w:pos="2381" w:val="left" w:leader="none"/>
          <w:tab w:pos="2382" w:val="left" w:leader="none"/>
        </w:tabs>
        <w:spacing w:line="242" w:lineRule="auto" w:before="137" w:after="0"/>
        <w:ind w:left="2381" w:right="1623" w:hanging="794"/>
        <w:jc w:val="left"/>
        <w:rPr>
          <w:sz w:val="12"/>
        </w:rPr>
      </w:pPr>
      <w:r>
        <w:rPr>
          <w:spacing w:val="-3"/>
          <w:sz w:val="21"/>
        </w:rPr>
        <w:t>The </w:t>
      </w:r>
      <w:r>
        <w:rPr>
          <w:spacing w:val="-5"/>
          <w:sz w:val="21"/>
        </w:rPr>
        <w:t>legal </w:t>
      </w:r>
      <w:r>
        <w:rPr>
          <w:spacing w:val="-4"/>
          <w:sz w:val="21"/>
        </w:rPr>
        <w:t>test </w:t>
      </w:r>
      <w:r>
        <w:rPr>
          <w:spacing w:val="-5"/>
          <w:sz w:val="21"/>
        </w:rPr>
        <w:t>for </w:t>
      </w:r>
      <w:r>
        <w:rPr>
          <w:spacing w:val="-4"/>
          <w:sz w:val="21"/>
        </w:rPr>
        <w:t>the capacity to </w:t>
      </w:r>
      <w:r>
        <w:rPr>
          <w:spacing w:val="-6"/>
          <w:sz w:val="21"/>
        </w:rPr>
        <w:t>make </w:t>
      </w:r>
      <w:r>
        <w:rPr>
          <w:sz w:val="21"/>
        </w:rPr>
        <w:t>a </w:t>
      </w:r>
      <w:r>
        <w:rPr>
          <w:spacing w:val="-5"/>
          <w:sz w:val="21"/>
        </w:rPr>
        <w:t>will </w:t>
      </w:r>
      <w:r>
        <w:rPr>
          <w:spacing w:val="-3"/>
          <w:sz w:val="21"/>
        </w:rPr>
        <w:t>is </w:t>
      </w:r>
      <w:r>
        <w:rPr>
          <w:spacing w:val="-4"/>
          <w:sz w:val="21"/>
        </w:rPr>
        <w:t>not the same </w:t>
      </w:r>
      <w:r>
        <w:rPr>
          <w:spacing w:val="-3"/>
          <w:sz w:val="21"/>
        </w:rPr>
        <w:t>as </w:t>
      </w:r>
      <w:r>
        <w:rPr>
          <w:spacing w:val="-4"/>
          <w:sz w:val="21"/>
        </w:rPr>
        <w:t>the test of capacity </w:t>
      </w:r>
      <w:r>
        <w:rPr>
          <w:spacing w:val="-5"/>
          <w:sz w:val="21"/>
        </w:rPr>
        <w:t>for </w:t>
      </w:r>
      <w:r>
        <w:rPr>
          <w:spacing w:val="-4"/>
          <w:sz w:val="21"/>
        </w:rPr>
        <w:t>the </w:t>
      </w:r>
      <w:r>
        <w:rPr>
          <w:spacing w:val="-5"/>
          <w:sz w:val="21"/>
        </w:rPr>
        <w:t>purpose </w:t>
      </w:r>
      <w:r>
        <w:rPr>
          <w:spacing w:val="-4"/>
          <w:sz w:val="21"/>
        </w:rPr>
        <w:t>of </w:t>
      </w:r>
      <w:r>
        <w:rPr>
          <w:spacing w:val="-6"/>
          <w:sz w:val="21"/>
        </w:rPr>
        <w:t>having </w:t>
      </w:r>
      <w:r>
        <w:rPr>
          <w:spacing w:val="-3"/>
          <w:sz w:val="21"/>
        </w:rPr>
        <w:t>an </w:t>
      </w:r>
      <w:r>
        <w:rPr>
          <w:spacing w:val="-6"/>
          <w:sz w:val="21"/>
        </w:rPr>
        <w:t>administrator </w:t>
      </w:r>
      <w:r>
        <w:rPr>
          <w:spacing w:val="-5"/>
          <w:sz w:val="21"/>
        </w:rPr>
        <w:t>appointed </w:t>
      </w:r>
      <w:r>
        <w:rPr>
          <w:spacing w:val="-4"/>
          <w:sz w:val="21"/>
        </w:rPr>
        <w:t>to </w:t>
      </w:r>
      <w:r>
        <w:rPr>
          <w:spacing w:val="-5"/>
          <w:sz w:val="21"/>
        </w:rPr>
        <w:t>manage  </w:t>
      </w:r>
      <w:r>
        <w:rPr>
          <w:sz w:val="21"/>
        </w:rPr>
        <w:t>a  </w:t>
      </w:r>
      <w:r>
        <w:rPr>
          <w:spacing w:val="-6"/>
          <w:sz w:val="21"/>
        </w:rPr>
        <w:t>person’s  </w:t>
      </w:r>
      <w:r>
        <w:rPr>
          <w:spacing w:val="-5"/>
          <w:sz w:val="21"/>
        </w:rPr>
        <w:t>financial  affairs  during their </w:t>
      </w:r>
      <w:r>
        <w:rPr>
          <w:spacing w:val="-7"/>
          <w:sz w:val="21"/>
        </w:rPr>
        <w:t>life. </w:t>
      </w:r>
      <w:r>
        <w:rPr>
          <w:sz w:val="21"/>
        </w:rPr>
        <w:t>It </w:t>
      </w:r>
      <w:r>
        <w:rPr>
          <w:spacing w:val="-3"/>
          <w:sz w:val="21"/>
        </w:rPr>
        <w:t>is </w:t>
      </w:r>
      <w:r>
        <w:rPr>
          <w:spacing w:val="-6"/>
          <w:sz w:val="21"/>
        </w:rPr>
        <w:t>therefore </w:t>
      </w:r>
      <w:r>
        <w:rPr>
          <w:spacing w:val="-5"/>
          <w:sz w:val="21"/>
        </w:rPr>
        <w:t>possible that </w:t>
      </w:r>
      <w:r>
        <w:rPr>
          <w:sz w:val="21"/>
        </w:rPr>
        <w:t>a </w:t>
      </w:r>
      <w:r>
        <w:rPr>
          <w:spacing w:val="-4"/>
          <w:sz w:val="21"/>
        </w:rPr>
        <w:t>person with </w:t>
      </w:r>
      <w:r>
        <w:rPr>
          <w:spacing w:val="-3"/>
          <w:sz w:val="21"/>
        </w:rPr>
        <w:t>an  </w:t>
      </w:r>
      <w:r>
        <w:rPr>
          <w:spacing w:val="-6"/>
          <w:sz w:val="21"/>
        </w:rPr>
        <w:t>administrator  </w:t>
      </w:r>
      <w:r>
        <w:rPr>
          <w:spacing w:val="-5"/>
          <w:sz w:val="21"/>
        </w:rPr>
        <w:t>may  still  retain  </w:t>
      </w:r>
      <w:r>
        <w:rPr>
          <w:spacing w:val="-4"/>
          <w:sz w:val="21"/>
        </w:rPr>
        <w:t>the capacity to </w:t>
      </w:r>
      <w:r>
        <w:rPr>
          <w:spacing w:val="-6"/>
          <w:sz w:val="21"/>
        </w:rPr>
        <w:t>make </w:t>
      </w:r>
      <w:r>
        <w:rPr>
          <w:sz w:val="21"/>
        </w:rPr>
        <w:t>a </w:t>
      </w:r>
      <w:r>
        <w:rPr>
          <w:spacing w:val="-4"/>
          <w:sz w:val="21"/>
        </w:rPr>
        <w:t>new </w:t>
      </w:r>
      <w:r>
        <w:rPr>
          <w:spacing w:val="-6"/>
          <w:sz w:val="21"/>
        </w:rPr>
        <w:t>will. </w:t>
      </w:r>
      <w:r>
        <w:rPr>
          <w:spacing w:val="-4"/>
          <w:sz w:val="21"/>
        </w:rPr>
        <w:t>Where </w:t>
      </w:r>
      <w:r>
        <w:rPr>
          <w:sz w:val="21"/>
        </w:rPr>
        <w:t>a </w:t>
      </w:r>
      <w:r>
        <w:rPr>
          <w:spacing w:val="-6"/>
          <w:sz w:val="21"/>
        </w:rPr>
        <w:t>person’s </w:t>
      </w:r>
      <w:r>
        <w:rPr>
          <w:spacing w:val="-4"/>
          <w:sz w:val="21"/>
        </w:rPr>
        <w:t>estate and </w:t>
      </w:r>
      <w:r>
        <w:rPr>
          <w:spacing w:val="-6"/>
          <w:sz w:val="21"/>
        </w:rPr>
        <w:t>family </w:t>
      </w:r>
      <w:r>
        <w:rPr>
          <w:spacing w:val="-5"/>
          <w:sz w:val="21"/>
        </w:rPr>
        <w:t>affairs are </w:t>
      </w:r>
      <w:r>
        <w:rPr>
          <w:spacing w:val="-6"/>
          <w:sz w:val="21"/>
        </w:rPr>
        <w:t>simple, </w:t>
      </w:r>
      <w:r>
        <w:rPr>
          <w:spacing w:val="-4"/>
          <w:sz w:val="21"/>
        </w:rPr>
        <w:t>the courts </w:t>
      </w:r>
      <w:r>
        <w:rPr>
          <w:spacing w:val="-5"/>
          <w:sz w:val="21"/>
        </w:rPr>
        <w:t>have</w:t>
      </w:r>
      <w:r>
        <w:rPr>
          <w:spacing w:val="21"/>
          <w:sz w:val="21"/>
        </w:rPr>
        <w:t> </w:t>
      </w:r>
      <w:r>
        <w:rPr>
          <w:spacing w:val="-4"/>
          <w:sz w:val="21"/>
        </w:rPr>
        <w:t>held</w:t>
      </w:r>
      <w:r>
        <w:rPr>
          <w:spacing w:val="22"/>
          <w:sz w:val="21"/>
        </w:rPr>
        <w:t> </w:t>
      </w:r>
      <w:r>
        <w:rPr>
          <w:spacing w:val="-5"/>
          <w:sz w:val="21"/>
        </w:rPr>
        <w:t>that</w:t>
      </w:r>
      <w:r>
        <w:rPr>
          <w:spacing w:val="21"/>
          <w:sz w:val="21"/>
        </w:rPr>
        <w:t> </w:t>
      </w:r>
      <w:r>
        <w:rPr>
          <w:spacing w:val="-4"/>
          <w:sz w:val="21"/>
        </w:rPr>
        <w:t>the</w:t>
      </w:r>
      <w:r>
        <w:rPr>
          <w:spacing w:val="22"/>
          <w:sz w:val="21"/>
        </w:rPr>
        <w:t> </w:t>
      </w:r>
      <w:r>
        <w:rPr>
          <w:spacing w:val="-4"/>
          <w:sz w:val="21"/>
        </w:rPr>
        <w:t>person</w:t>
      </w:r>
      <w:r>
        <w:rPr>
          <w:spacing w:val="21"/>
          <w:sz w:val="21"/>
        </w:rPr>
        <w:t> </w:t>
      </w:r>
      <w:r>
        <w:rPr>
          <w:spacing w:val="-5"/>
          <w:sz w:val="21"/>
        </w:rPr>
        <w:t>may</w:t>
      </w:r>
      <w:r>
        <w:rPr>
          <w:spacing w:val="22"/>
          <w:sz w:val="21"/>
        </w:rPr>
        <w:t> </w:t>
      </w:r>
      <w:r>
        <w:rPr>
          <w:spacing w:val="-5"/>
          <w:sz w:val="21"/>
        </w:rPr>
        <w:t>change</w:t>
      </w:r>
      <w:r>
        <w:rPr>
          <w:spacing w:val="21"/>
          <w:sz w:val="21"/>
        </w:rPr>
        <w:t> </w:t>
      </w:r>
      <w:r>
        <w:rPr>
          <w:spacing w:val="-5"/>
          <w:sz w:val="21"/>
        </w:rPr>
        <w:t>their</w:t>
      </w:r>
      <w:r>
        <w:rPr>
          <w:spacing w:val="22"/>
          <w:sz w:val="21"/>
        </w:rPr>
        <w:t> </w:t>
      </w:r>
      <w:r>
        <w:rPr>
          <w:spacing w:val="-5"/>
          <w:sz w:val="21"/>
        </w:rPr>
        <w:t>will</w:t>
      </w:r>
      <w:r>
        <w:rPr>
          <w:spacing w:val="21"/>
          <w:sz w:val="21"/>
        </w:rPr>
        <w:t> </w:t>
      </w:r>
      <w:r>
        <w:rPr>
          <w:spacing w:val="-5"/>
          <w:sz w:val="21"/>
        </w:rPr>
        <w:t>despite</w:t>
      </w:r>
      <w:r>
        <w:rPr>
          <w:spacing w:val="22"/>
          <w:sz w:val="21"/>
        </w:rPr>
        <w:t> </w:t>
      </w:r>
      <w:r>
        <w:rPr>
          <w:spacing w:val="-6"/>
          <w:sz w:val="21"/>
        </w:rPr>
        <w:t>having</w:t>
      </w:r>
      <w:r>
        <w:rPr>
          <w:spacing w:val="22"/>
          <w:sz w:val="21"/>
        </w:rPr>
        <w:t> </w:t>
      </w:r>
      <w:r>
        <w:rPr>
          <w:spacing w:val="-3"/>
          <w:sz w:val="21"/>
        </w:rPr>
        <w:t>an</w:t>
      </w:r>
      <w:r>
        <w:rPr>
          <w:spacing w:val="21"/>
          <w:sz w:val="21"/>
        </w:rPr>
        <w:t> </w:t>
      </w:r>
      <w:r>
        <w:rPr>
          <w:spacing w:val="-6"/>
          <w:sz w:val="21"/>
        </w:rPr>
        <w:t>administrator</w:t>
      </w:r>
      <w:r>
        <w:rPr>
          <w:spacing w:val="22"/>
          <w:sz w:val="21"/>
        </w:rPr>
        <w:t> </w:t>
      </w:r>
      <w:r>
        <w:rPr>
          <w:spacing w:val="-6"/>
          <w:sz w:val="21"/>
        </w:rPr>
        <w:t>appointed.</w:t>
      </w:r>
      <w:r>
        <w:rPr>
          <w:spacing w:val="-6"/>
          <w:position w:val="7"/>
          <w:sz w:val="12"/>
        </w:rPr>
        <w:t>59</w:t>
      </w:r>
    </w:p>
    <w:p>
      <w:pPr>
        <w:pStyle w:val="ListParagraph"/>
        <w:numPr>
          <w:ilvl w:val="1"/>
          <w:numId w:val="22"/>
        </w:numPr>
        <w:tabs>
          <w:tab w:pos="2381" w:val="left" w:leader="none"/>
          <w:tab w:pos="2382" w:val="left" w:leader="none"/>
        </w:tabs>
        <w:spacing w:line="242" w:lineRule="auto" w:before="125" w:after="0"/>
        <w:ind w:left="2381" w:right="1584" w:hanging="794"/>
        <w:jc w:val="left"/>
        <w:rPr>
          <w:sz w:val="21"/>
        </w:rPr>
      </w:pPr>
      <w:r>
        <w:rPr>
          <w:sz w:val="21"/>
        </w:rPr>
        <w:t>Given the difficulties in </w:t>
      </w:r>
      <w:r>
        <w:rPr>
          <w:spacing w:val="-3"/>
          <w:sz w:val="21"/>
        </w:rPr>
        <w:t>determining </w:t>
      </w:r>
      <w:r>
        <w:rPr>
          <w:sz w:val="21"/>
        </w:rPr>
        <w:t>a </w:t>
      </w:r>
      <w:r>
        <w:rPr>
          <w:spacing w:val="-3"/>
          <w:sz w:val="21"/>
        </w:rPr>
        <w:t>person’s </w:t>
      </w:r>
      <w:r>
        <w:rPr>
          <w:sz w:val="21"/>
        </w:rPr>
        <w:t>capacity at a  particular  </w:t>
      </w:r>
      <w:r>
        <w:rPr>
          <w:spacing w:val="-3"/>
          <w:sz w:val="21"/>
        </w:rPr>
        <w:t>date  </w:t>
      </w:r>
      <w:r>
        <w:rPr>
          <w:sz w:val="21"/>
        </w:rPr>
        <w:t>in  the  past after a person </w:t>
      </w:r>
      <w:r>
        <w:rPr>
          <w:spacing w:val="-2"/>
          <w:sz w:val="21"/>
        </w:rPr>
        <w:t>has </w:t>
      </w:r>
      <w:r>
        <w:rPr>
          <w:sz w:val="21"/>
        </w:rPr>
        <w:t>died, the </w:t>
      </w:r>
      <w:r>
        <w:rPr>
          <w:spacing w:val="-3"/>
          <w:sz w:val="21"/>
        </w:rPr>
        <w:t>Commission recommends that </w:t>
      </w:r>
      <w:r>
        <w:rPr>
          <w:sz w:val="21"/>
        </w:rPr>
        <w:t>an amended section </w:t>
      </w:r>
      <w:r>
        <w:rPr>
          <w:spacing w:val="-3"/>
          <w:sz w:val="21"/>
        </w:rPr>
        <w:t>53 </w:t>
      </w:r>
      <w:r>
        <w:rPr>
          <w:sz w:val="21"/>
        </w:rPr>
        <w:t>should apply </w:t>
      </w:r>
      <w:r>
        <w:rPr>
          <w:spacing w:val="-3"/>
          <w:sz w:val="21"/>
        </w:rPr>
        <w:t>to all </w:t>
      </w:r>
      <w:r>
        <w:rPr>
          <w:sz w:val="21"/>
        </w:rPr>
        <w:t>acts of an </w:t>
      </w:r>
      <w:r>
        <w:rPr>
          <w:spacing w:val="-4"/>
          <w:sz w:val="21"/>
        </w:rPr>
        <w:t>administrator, </w:t>
      </w:r>
      <w:r>
        <w:rPr>
          <w:sz w:val="21"/>
        </w:rPr>
        <w:t>regardless of whether the person </w:t>
      </w:r>
      <w:r>
        <w:rPr>
          <w:spacing w:val="-2"/>
          <w:sz w:val="21"/>
        </w:rPr>
        <w:t>had </w:t>
      </w:r>
      <w:r>
        <w:rPr>
          <w:sz w:val="21"/>
        </w:rPr>
        <w:t>the capacity </w:t>
      </w:r>
      <w:r>
        <w:rPr>
          <w:spacing w:val="-3"/>
          <w:sz w:val="21"/>
        </w:rPr>
        <w:t>to change</w:t>
      </w:r>
      <w:r>
        <w:rPr>
          <w:spacing w:val="9"/>
          <w:sz w:val="21"/>
        </w:rPr>
        <w:t> </w:t>
      </w:r>
      <w:r>
        <w:rPr>
          <w:sz w:val="21"/>
        </w:rPr>
        <w:t>their</w:t>
      </w:r>
      <w:r>
        <w:rPr>
          <w:spacing w:val="9"/>
          <w:sz w:val="21"/>
        </w:rPr>
        <w:t> </w:t>
      </w:r>
      <w:r>
        <w:rPr>
          <w:spacing w:val="-3"/>
          <w:sz w:val="21"/>
        </w:rPr>
        <w:t>will</w:t>
      </w:r>
      <w:r>
        <w:rPr>
          <w:spacing w:val="9"/>
          <w:sz w:val="21"/>
        </w:rPr>
        <w:t> </w:t>
      </w:r>
      <w:r>
        <w:rPr>
          <w:sz w:val="21"/>
        </w:rPr>
        <w:t>at</w:t>
      </w:r>
      <w:r>
        <w:rPr>
          <w:spacing w:val="9"/>
          <w:sz w:val="21"/>
        </w:rPr>
        <w:t> </w:t>
      </w:r>
      <w:r>
        <w:rPr>
          <w:sz w:val="21"/>
        </w:rPr>
        <w:t>the</w:t>
      </w:r>
      <w:r>
        <w:rPr>
          <w:spacing w:val="9"/>
          <w:sz w:val="21"/>
        </w:rPr>
        <w:t> </w:t>
      </w:r>
      <w:r>
        <w:rPr>
          <w:sz w:val="21"/>
        </w:rPr>
        <w:t>time</w:t>
      </w:r>
      <w:r>
        <w:rPr>
          <w:spacing w:val="9"/>
          <w:sz w:val="21"/>
        </w:rPr>
        <w:t> </w:t>
      </w:r>
      <w:r>
        <w:rPr>
          <w:sz w:val="21"/>
        </w:rPr>
        <w:t>the</w:t>
      </w:r>
      <w:r>
        <w:rPr>
          <w:spacing w:val="9"/>
          <w:sz w:val="21"/>
        </w:rPr>
        <w:t> </w:t>
      </w:r>
      <w:r>
        <w:rPr>
          <w:sz w:val="21"/>
        </w:rPr>
        <w:t>property</w:t>
      </w:r>
      <w:r>
        <w:rPr>
          <w:spacing w:val="10"/>
          <w:sz w:val="21"/>
        </w:rPr>
        <w:t> </w:t>
      </w:r>
      <w:r>
        <w:rPr>
          <w:sz w:val="21"/>
        </w:rPr>
        <w:t>was</w:t>
      </w:r>
      <w:r>
        <w:rPr>
          <w:spacing w:val="9"/>
          <w:sz w:val="21"/>
        </w:rPr>
        <w:t> </w:t>
      </w:r>
      <w:r>
        <w:rPr>
          <w:sz w:val="21"/>
        </w:rPr>
        <w:t>sold.</w:t>
      </w:r>
    </w:p>
    <w:p>
      <w:pPr>
        <w:pStyle w:val="BodyText"/>
        <w:spacing w:before="7"/>
        <w:rPr>
          <w:sz w:val="15"/>
        </w:rPr>
      </w:pPr>
      <w:r>
        <w:rPr/>
        <w:pict>
          <v:group style="position:absolute;margin-left:62.362202pt;margin-top:11.471169pt;width:479.1pt;height:109.55pt;mso-position-horizontal-relative:page;mso-position-vertical-relative:paragraph;z-index:2552;mso-wrap-distance-left:0;mso-wrap-distance-right:0" coordorigin="1247,229" coordsize="9582,2191">
            <v:rect style="position:absolute;left:1587;top:229;width:8731;height:2191" filled="true" fillcolor="#fdebea" stroked="false">
              <v:fill type="solid"/>
            </v:rect>
            <v:line style="position:absolute" from="1247,980" to="10828,980" stroked="true" strokeweight="2.5pt" strokecolor="#ffffff">
              <v:stroke dashstyle="solid"/>
            </v:line>
            <v:shape style="position:absolute;left:2381;top:1217;width:7558;height:1029" type="#_x0000_t202" filled="false" stroked="false">
              <v:textbox inset="0,0,0,0">
                <w:txbxContent>
                  <w:p>
                    <w:pPr>
                      <w:spacing w:line="242" w:lineRule="auto" w:before="0"/>
                      <w:ind w:left="0" w:right="0" w:firstLine="0"/>
                      <w:jc w:val="left"/>
                      <w:rPr>
                        <w:sz w:val="21"/>
                      </w:rPr>
                    </w:pPr>
                    <w:r>
                      <w:rPr>
                        <w:w w:val="105"/>
                        <w:sz w:val="21"/>
                      </w:rPr>
                      <w:t>Section</w:t>
                    </w:r>
                    <w:r>
                      <w:rPr>
                        <w:spacing w:val="-12"/>
                        <w:w w:val="105"/>
                        <w:sz w:val="21"/>
                      </w:rPr>
                      <w:t> </w:t>
                    </w:r>
                    <w:r>
                      <w:rPr>
                        <w:w w:val="105"/>
                        <w:sz w:val="21"/>
                      </w:rPr>
                      <w:t>53</w:t>
                    </w:r>
                    <w:r>
                      <w:rPr>
                        <w:spacing w:val="-11"/>
                        <w:w w:val="105"/>
                        <w:sz w:val="21"/>
                      </w:rPr>
                      <w:t> </w:t>
                    </w:r>
                    <w:r>
                      <w:rPr>
                        <w:w w:val="105"/>
                        <w:sz w:val="21"/>
                      </w:rPr>
                      <w:t>of</w:t>
                    </w:r>
                    <w:r>
                      <w:rPr>
                        <w:spacing w:val="-11"/>
                        <w:w w:val="105"/>
                        <w:sz w:val="21"/>
                      </w:rPr>
                      <w:t> </w:t>
                    </w:r>
                    <w:r>
                      <w:rPr>
                        <w:w w:val="105"/>
                        <w:sz w:val="21"/>
                      </w:rPr>
                      <w:t>the</w:t>
                    </w:r>
                    <w:r>
                      <w:rPr>
                        <w:spacing w:val="-11"/>
                        <w:w w:val="105"/>
                        <w:sz w:val="21"/>
                      </w:rPr>
                      <w:t> </w:t>
                    </w:r>
                    <w:r>
                      <w:rPr>
                        <w:rFonts w:ascii="Lucida Sans"/>
                        <w:i/>
                        <w:w w:val="105"/>
                        <w:sz w:val="21"/>
                      </w:rPr>
                      <w:t>Guardianship</w:t>
                    </w:r>
                    <w:r>
                      <w:rPr>
                        <w:rFonts w:ascii="Lucida Sans"/>
                        <w:i/>
                        <w:spacing w:val="-31"/>
                        <w:w w:val="105"/>
                        <w:sz w:val="21"/>
                      </w:rPr>
                      <w:t> </w:t>
                    </w:r>
                    <w:r>
                      <w:rPr>
                        <w:rFonts w:ascii="Lucida Sans"/>
                        <w:i/>
                        <w:w w:val="105"/>
                        <w:sz w:val="21"/>
                      </w:rPr>
                      <w:t>and</w:t>
                    </w:r>
                    <w:r>
                      <w:rPr>
                        <w:rFonts w:ascii="Lucida Sans"/>
                        <w:i/>
                        <w:spacing w:val="-32"/>
                        <w:w w:val="105"/>
                        <w:sz w:val="21"/>
                      </w:rPr>
                      <w:t> </w:t>
                    </w:r>
                    <w:r>
                      <w:rPr>
                        <w:rFonts w:ascii="Lucida Sans"/>
                        <w:i/>
                        <w:w w:val="105"/>
                        <w:sz w:val="21"/>
                      </w:rPr>
                      <w:t>Administration</w:t>
                    </w:r>
                    <w:r>
                      <w:rPr>
                        <w:rFonts w:ascii="Lucida Sans"/>
                        <w:i/>
                        <w:spacing w:val="-31"/>
                        <w:w w:val="105"/>
                        <w:sz w:val="21"/>
                      </w:rPr>
                      <w:t> </w:t>
                    </w:r>
                    <w:r>
                      <w:rPr>
                        <w:rFonts w:ascii="Lucida Sans"/>
                        <w:i/>
                        <w:w w:val="105"/>
                        <w:sz w:val="21"/>
                      </w:rPr>
                      <w:t>Act</w:t>
                    </w:r>
                    <w:r>
                      <w:rPr>
                        <w:rFonts w:ascii="Lucida Sans"/>
                        <w:i/>
                        <w:spacing w:val="-31"/>
                        <w:w w:val="105"/>
                        <w:sz w:val="21"/>
                      </w:rPr>
                      <w:t> </w:t>
                    </w:r>
                    <w:r>
                      <w:rPr>
                        <w:rFonts w:ascii="Lucida Sans"/>
                        <w:i/>
                        <w:w w:val="105"/>
                        <w:sz w:val="21"/>
                      </w:rPr>
                      <w:t>1986</w:t>
                    </w:r>
                    <w:r>
                      <w:rPr>
                        <w:rFonts w:ascii="Lucida Sans"/>
                        <w:i/>
                        <w:spacing w:val="-31"/>
                        <w:w w:val="105"/>
                        <w:sz w:val="21"/>
                      </w:rPr>
                      <w:t> </w:t>
                    </w:r>
                    <w:r>
                      <w:rPr>
                        <w:w w:val="105"/>
                        <w:sz w:val="21"/>
                      </w:rPr>
                      <w:t>(Vic)</w:t>
                    </w:r>
                    <w:r>
                      <w:rPr>
                        <w:spacing w:val="-11"/>
                        <w:w w:val="105"/>
                        <w:sz w:val="21"/>
                      </w:rPr>
                      <w:t> </w:t>
                    </w:r>
                    <w:r>
                      <w:rPr>
                        <w:w w:val="105"/>
                        <w:sz w:val="21"/>
                      </w:rPr>
                      <w:t>should</w:t>
                    </w:r>
                    <w:r>
                      <w:rPr>
                        <w:spacing w:val="-11"/>
                        <w:w w:val="105"/>
                        <w:sz w:val="21"/>
                      </w:rPr>
                      <w:t> </w:t>
                    </w:r>
                    <w:r>
                      <w:rPr>
                        <w:w w:val="105"/>
                        <w:sz w:val="21"/>
                      </w:rPr>
                      <w:t>be amended to clarify that it applies whether or not the represented person had testamentary capacity at the time of the sale or other disposition of </w:t>
                    </w:r>
                    <w:r>
                      <w:rPr>
                        <w:spacing w:val="-3"/>
                        <w:w w:val="105"/>
                        <w:sz w:val="21"/>
                      </w:rPr>
                      <w:t>relevant </w:t>
                    </w:r>
                    <w:r>
                      <w:rPr>
                        <w:w w:val="105"/>
                        <w:sz w:val="21"/>
                      </w:rPr>
                      <w:t>property.</w:t>
                    </w:r>
                  </w:p>
                </w:txbxContent>
              </v:textbox>
              <w10:wrap type="none"/>
            </v:shape>
            <v:shape style="position:absolute;left:1814;top:1217;width:137;height:249" type="#_x0000_t202" filled="false" stroked="false">
              <v:textbox inset="0,0,0,0">
                <w:txbxContent>
                  <w:p>
                    <w:pPr>
                      <w:spacing w:line="249" w:lineRule="exact" w:before="0"/>
                      <w:ind w:left="0" w:right="0" w:firstLine="0"/>
                      <w:jc w:val="left"/>
                      <w:rPr>
                        <w:sz w:val="21"/>
                      </w:rPr>
                    </w:pPr>
                    <w:r>
                      <w:rPr>
                        <w:w w:val="109"/>
                        <w:sz w:val="21"/>
                      </w:rPr>
                      <w:t>8</w:t>
                    </w:r>
                  </w:p>
                </w:txbxContent>
              </v:textbox>
              <w10:wrap type="none"/>
            </v:shape>
            <v:shape style="position:absolute;left:1587;top:229;width:8731;height:726" type="#_x0000_t202" filled="true" fillcolor="#fdebea" stroked="false">
              <v:textbox inset="0,0,0,0">
                <w:txbxContent>
                  <w:p>
                    <w:pPr>
                      <w:spacing w:before="166"/>
                      <w:ind w:left="226" w:right="0" w:firstLine="0"/>
                      <w:jc w:val="left"/>
                      <w:rPr>
                        <w:b/>
                        <w:sz w:val="32"/>
                      </w:rPr>
                    </w:pPr>
                    <w:r>
                      <w:rPr>
                        <w:b/>
                        <w:color w:val="EC5A4F"/>
                        <w:w w:val="110"/>
                        <w:sz w:val="32"/>
                      </w:rPr>
                      <w:t>Recommendation</w:t>
                    </w:r>
                  </w:p>
                </w:txbxContent>
              </v:textbox>
              <v:fill type="solid"/>
              <w10:wrap type="none"/>
            </v:shape>
            <w10:wrap type="topAndBottom"/>
          </v:group>
        </w:pict>
      </w:r>
    </w:p>
    <w:p>
      <w:pPr>
        <w:pStyle w:val="BodyText"/>
        <w:spacing w:before="5"/>
        <w:rPr>
          <w:sz w:val="16"/>
        </w:rPr>
      </w:pPr>
    </w:p>
    <w:p>
      <w:pPr>
        <w:pStyle w:val="Heading4"/>
        <w:spacing w:line="211" w:lineRule="auto" w:before="131"/>
        <w:ind w:right="1619"/>
      </w:pPr>
      <w:r>
        <w:rPr>
          <w:color w:val="EC5A4F"/>
          <w:w w:val="115"/>
        </w:rPr>
        <w:t>Acts</w:t>
      </w:r>
      <w:r>
        <w:rPr>
          <w:color w:val="EC5A4F"/>
          <w:spacing w:val="-10"/>
          <w:w w:val="115"/>
        </w:rPr>
        <w:t> </w:t>
      </w:r>
      <w:r>
        <w:rPr>
          <w:color w:val="EC5A4F"/>
          <w:spacing w:val="-3"/>
          <w:w w:val="115"/>
        </w:rPr>
        <w:t>by</w:t>
      </w:r>
      <w:r>
        <w:rPr>
          <w:color w:val="EC5A4F"/>
          <w:spacing w:val="-9"/>
          <w:w w:val="115"/>
        </w:rPr>
        <w:t> </w:t>
      </w:r>
      <w:r>
        <w:rPr>
          <w:color w:val="EC5A4F"/>
          <w:w w:val="115"/>
        </w:rPr>
        <w:t>persons</w:t>
      </w:r>
      <w:r>
        <w:rPr>
          <w:color w:val="EC5A4F"/>
          <w:spacing w:val="-9"/>
          <w:w w:val="115"/>
        </w:rPr>
        <w:t> </w:t>
      </w:r>
      <w:r>
        <w:rPr>
          <w:color w:val="EC5A4F"/>
          <w:w w:val="115"/>
        </w:rPr>
        <w:t>acting</w:t>
      </w:r>
      <w:r>
        <w:rPr>
          <w:color w:val="EC5A4F"/>
          <w:spacing w:val="-9"/>
          <w:w w:val="115"/>
        </w:rPr>
        <w:t> </w:t>
      </w:r>
      <w:r>
        <w:rPr>
          <w:color w:val="EC5A4F"/>
          <w:w w:val="115"/>
        </w:rPr>
        <w:t>under</w:t>
      </w:r>
      <w:r>
        <w:rPr>
          <w:color w:val="EC5A4F"/>
          <w:spacing w:val="-9"/>
          <w:w w:val="115"/>
        </w:rPr>
        <w:t> </w:t>
      </w:r>
      <w:r>
        <w:rPr>
          <w:color w:val="EC5A4F"/>
          <w:w w:val="115"/>
        </w:rPr>
        <w:t>an</w:t>
      </w:r>
      <w:r>
        <w:rPr>
          <w:color w:val="EC5A4F"/>
          <w:spacing w:val="-9"/>
          <w:w w:val="115"/>
        </w:rPr>
        <w:t> </w:t>
      </w:r>
      <w:r>
        <w:rPr>
          <w:color w:val="EC5A4F"/>
          <w:w w:val="115"/>
        </w:rPr>
        <w:t>enduring</w:t>
      </w:r>
      <w:r>
        <w:rPr>
          <w:color w:val="EC5A4F"/>
          <w:spacing w:val="-10"/>
          <w:w w:val="115"/>
        </w:rPr>
        <w:t> </w:t>
      </w:r>
      <w:r>
        <w:rPr>
          <w:color w:val="EC5A4F"/>
          <w:w w:val="115"/>
        </w:rPr>
        <w:t>power</w:t>
      </w:r>
      <w:r>
        <w:rPr>
          <w:color w:val="EC5A4F"/>
          <w:spacing w:val="-9"/>
          <w:w w:val="115"/>
        </w:rPr>
        <w:t> </w:t>
      </w:r>
      <w:r>
        <w:rPr>
          <w:color w:val="EC5A4F"/>
          <w:w w:val="115"/>
        </w:rPr>
        <w:t>of</w:t>
      </w:r>
      <w:r>
        <w:rPr>
          <w:color w:val="EC5A4F"/>
          <w:spacing w:val="-9"/>
          <w:w w:val="115"/>
        </w:rPr>
        <w:t> </w:t>
      </w:r>
      <w:r>
        <w:rPr>
          <w:color w:val="EC5A4F"/>
          <w:w w:val="115"/>
        </w:rPr>
        <w:t>attorney (financial)</w:t>
      </w:r>
    </w:p>
    <w:p>
      <w:pPr>
        <w:pStyle w:val="Heading5"/>
        <w:spacing w:before="174"/>
      </w:pPr>
      <w:r>
        <w:rPr>
          <w:w w:val="115"/>
        </w:rPr>
        <w:t>Current</w:t>
      </w:r>
      <w:r>
        <w:rPr>
          <w:spacing w:val="-24"/>
          <w:w w:val="115"/>
        </w:rPr>
        <w:t> </w:t>
      </w:r>
      <w:r>
        <w:rPr>
          <w:spacing w:val="-2"/>
          <w:w w:val="115"/>
        </w:rPr>
        <w:t>law</w:t>
      </w:r>
    </w:p>
    <w:p>
      <w:pPr>
        <w:pStyle w:val="ListParagraph"/>
        <w:numPr>
          <w:ilvl w:val="1"/>
          <w:numId w:val="22"/>
        </w:numPr>
        <w:tabs>
          <w:tab w:pos="2381" w:val="left" w:leader="none"/>
          <w:tab w:pos="2382" w:val="left" w:leader="none"/>
        </w:tabs>
        <w:spacing w:line="242" w:lineRule="auto" w:before="138" w:after="0"/>
        <w:ind w:left="2381" w:right="1643" w:hanging="794"/>
        <w:jc w:val="left"/>
        <w:rPr>
          <w:sz w:val="21"/>
        </w:rPr>
      </w:pPr>
      <w:r>
        <w:rPr>
          <w:spacing w:val="-4"/>
          <w:sz w:val="21"/>
        </w:rPr>
        <w:t>Traditionally </w:t>
      </w:r>
      <w:r>
        <w:rPr>
          <w:sz w:val="21"/>
        </w:rPr>
        <w:t>under the </w:t>
      </w:r>
      <w:r>
        <w:rPr>
          <w:spacing w:val="-2"/>
          <w:sz w:val="21"/>
        </w:rPr>
        <w:t>common </w:t>
      </w:r>
      <w:r>
        <w:rPr>
          <w:spacing w:val="-5"/>
          <w:sz w:val="21"/>
        </w:rPr>
        <w:t>law, </w:t>
      </w:r>
      <w:r>
        <w:rPr>
          <w:sz w:val="21"/>
        </w:rPr>
        <w:t>the actions of an attorney </w:t>
      </w:r>
      <w:r>
        <w:rPr>
          <w:spacing w:val="-3"/>
          <w:sz w:val="21"/>
        </w:rPr>
        <w:t>have  </w:t>
      </w:r>
      <w:r>
        <w:rPr>
          <w:spacing w:val="-2"/>
          <w:sz w:val="21"/>
        </w:rPr>
        <w:t>not  </w:t>
      </w:r>
      <w:r>
        <w:rPr>
          <w:sz w:val="21"/>
        </w:rPr>
        <w:t>been </w:t>
      </w:r>
      <w:r>
        <w:rPr>
          <w:spacing w:val="-3"/>
          <w:sz w:val="21"/>
        </w:rPr>
        <w:t>considered  </w:t>
      </w:r>
      <w:r>
        <w:rPr>
          <w:sz w:val="21"/>
        </w:rPr>
        <w:t>an </w:t>
      </w:r>
      <w:r>
        <w:rPr>
          <w:spacing w:val="-3"/>
          <w:sz w:val="21"/>
        </w:rPr>
        <w:t>exception to </w:t>
      </w:r>
      <w:r>
        <w:rPr>
          <w:sz w:val="21"/>
        </w:rPr>
        <w:t>the ademption </w:t>
      </w:r>
      <w:r>
        <w:rPr>
          <w:spacing w:val="-3"/>
          <w:sz w:val="21"/>
        </w:rPr>
        <w:t>rule. </w:t>
      </w:r>
      <w:r>
        <w:rPr>
          <w:sz w:val="21"/>
        </w:rPr>
        <w:t>However in </w:t>
      </w:r>
      <w:r>
        <w:rPr>
          <w:spacing w:val="-3"/>
          <w:sz w:val="21"/>
        </w:rPr>
        <w:t>recent </w:t>
      </w:r>
      <w:r>
        <w:rPr>
          <w:sz w:val="21"/>
        </w:rPr>
        <w:t>years Victorian judges </w:t>
      </w:r>
      <w:r>
        <w:rPr>
          <w:spacing w:val="-3"/>
          <w:sz w:val="21"/>
        </w:rPr>
        <w:t>have </w:t>
      </w:r>
      <w:r>
        <w:rPr>
          <w:sz w:val="21"/>
        </w:rPr>
        <w:t>recognised </w:t>
      </w:r>
      <w:r>
        <w:rPr>
          <w:spacing w:val="-3"/>
          <w:sz w:val="21"/>
        </w:rPr>
        <w:t>such </w:t>
      </w:r>
      <w:r>
        <w:rPr>
          <w:sz w:val="21"/>
        </w:rPr>
        <w:t>an </w:t>
      </w:r>
      <w:r>
        <w:rPr>
          <w:spacing w:val="-3"/>
          <w:sz w:val="21"/>
        </w:rPr>
        <w:t>exception.</w:t>
      </w:r>
      <w:r>
        <w:rPr>
          <w:spacing w:val="-3"/>
          <w:position w:val="7"/>
          <w:sz w:val="12"/>
        </w:rPr>
        <w:t>60 </w:t>
      </w:r>
      <w:r>
        <w:rPr>
          <w:sz w:val="21"/>
        </w:rPr>
        <w:t>In </w:t>
      </w:r>
      <w:r>
        <w:rPr>
          <w:i/>
          <w:sz w:val="21"/>
        </w:rPr>
        <w:t>Simpson v </w:t>
      </w:r>
      <w:r>
        <w:rPr>
          <w:i/>
          <w:spacing w:val="-3"/>
          <w:sz w:val="21"/>
        </w:rPr>
        <w:t>Cunning</w:t>
      </w:r>
      <w:r>
        <w:rPr>
          <w:spacing w:val="-3"/>
          <w:sz w:val="21"/>
        </w:rPr>
        <w:t>, </w:t>
      </w:r>
      <w:r>
        <w:rPr>
          <w:sz w:val="21"/>
        </w:rPr>
        <w:t>Justice </w:t>
      </w:r>
      <w:r>
        <w:rPr>
          <w:spacing w:val="-3"/>
          <w:sz w:val="21"/>
        </w:rPr>
        <w:t>Hargrave </w:t>
      </w:r>
      <w:r>
        <w:rPr>
          <w:sz w:val="21"/>
        </w:rPr>
        <w:t>identified an </w:t>
      </w:r>
      <w:r>
        <w:rPr>
          <w:spacing w:val="-3"/>
          <w:sz w:val="21"/>
        </w:rPr>
        <w:t>exception</w:t>
      </w:r>
      <w:r>
        <w:rPr>
          <w:spacing w:val="9"/>
          <w:sz w:val="21"/>
        </w:rPr>
        <w:t> </w:t>
      </w:r>
      <w:r>
        <w:rPr>
          <w:sz w:val="21"/>
        </w:rPr>
        <w:t>but</w:t>
      </w:r>
      <w:r>
        <w:rPr>
          <w:spacing w:val="10"/>
          <w:sz w:val="21"/>
        </w:rPr>
        <w:t> </w:t>
      </w:r>
      <w:r>
        <w:rPr>
          <w:sz w:val="21"/>
        </w:rPr>
        <w:t>also</w:t>
      </w:r>
      <w:r>
        <w:rPr>
          <w:spacing w:val="10"/>
          <w:sz w:val="21"/>
        </w:rPr>
        <w:t> </w:t>
      </w:r>
      <w:r>
        <w:rPr>
          <w:sz w:val="21"/>
        </w:rPr>
        <w:t>called</w:t>
      </w:r>
      <w:r>
        <w:rPr>
          <w:spacing w:val="10"/>
          <w:sz w:val="21"/>
        </w:rPr>
        <w:t> </w:t>
      </w:r>
      <w:r>
        <w:rPr>
          <w:spacing w:val="-3"/>
          <w:sz w:val="21"/>
        </w:rPr>
        <w:t>for</w:t>
      </w:r>
      <w:r>
        <w:rPr>
          <w:spacing w:val="10"/>
          <w:sz w:val="21"/>
        </w:rPr>
        <w:t> </w:t>
      </w:r>
      <w:r>
        <w:rPr>
          <w:spacing w:val="-3"/>
          <w:sz w:val="21"/>
        </w:rPr>
        <w:t>legislative</w:t>
      </w:r>
      <w:r>
        <w:rPr>
          <w:spacing w:val="10"/>
          <w:sz w:val="21"/>
        </w:rPr>
        <w:t> </w:t>
      </w:r>
      <w:r>
        <w:rPr>
          <w:spacing w:val="-3"/>
          <w:sz w:val="21"/>
        </w:rPr>
        <w:t>reform</w:t>
      </w:r>
      <w:r>
        <w:rPr>
          <w:spacing w:val="10"/>
          <w:sz w:val="21"/>
        </w:rPr>
        <w:t> </w:t>
      </w:r>
      <w:r>
        <w:rPr>
          <w:spacing w:val="-3"/>
          <w:sz w:val="21"/>
        </w:rPr>
        <w:t>to</w:t>
      </w:r>
      <w:r>
        <w:rPr>
          <w:spacing w:val="9"/>
          <w:sz w:val="21"/>
        </w:rPr>
        <w:t> </w:t>
      </w:r>
      <w:r>
        <w:rPr>
          <w:sz w:val="21"/>
        </w:rPr>
        <w:t>clarify</w:t>
      </w:r>
      <w:r>
        <w:rPr>
          <w:spacing w:val="10"/>
          <w:sz w:val="21"/>
        </w:rPr>
        <w:t> </w:t>
      </w:r>
      <w:r>
        <w:rPr>
          <w:sz w:val="21"/>
        </w:rPr>
        <w:t>this</w:t>
      </w:r>
      <w:r>
        <w:rPr>
          <w:spacing w:val="10"/>
          <w:sz w:val="21"/>
        </w:rPr>
        <w:t> </w:t>
      </w:r>
      <w:r>
        <w:rPr>
          <w:sz w:val="21"/>
        </w:rPr>
        <w:t>issue:</w:t>
      </w:r>
    </w:p>
    <w:p>
      <w:pPr>
        <w:spacing w:before="133"/>
        <w:ind w:left="2721" w:right="0" w:firstLine="0"/>
        <w:jc w:val="left"/>
        <w:rPr>
          <w:sz w:val="20"/>
        </w:rPr>
      </w:pPr>
      <w:r>
        <w:rPr>
          <w:sz w:val="20"/>
        </w:rPr>
        <w:t>The issue requires urgent legislative intervention to resolve any doubt. In the meantime,</w:t>
      </w:r>
    </w:p>
    <w:p>
      <w:pPr>
        <w:spacing w:line="254" w:lineRule="auto" w:before="16"/>
        <w:ind w:left="2721" w:right="1826" w:firstLine="0"/>
        <w:jc w:val="left"/>
        <w:rPr>
          <w:sz w:val="11"/>
        </w:rPr>
      </w:pPr>
      <w:r>
        <w:rPr>
          <w:sz w:val="20"/>
        </w:rPr>
        <w:t>I would follow </w:t>
      </w:r>
      <w:r>
        <w:rPr>
          <w:i/>
          <w:sz w:val="20"/>
        </w:rPr>
        <w:t>Re Viertel </w:t>
      </w:r>
      <w:r>
        <w:rPr>
          <w:sz w:val="20"/>
        </w:rPr>
        <w:t>[a Queensland decision] and recognise a further exception to the ademption principle whenever there is an authorised sale by an attorney in circumstances where: </w:t>
      </w:r>
      <w:r>
        <w:rPr>
          <w:spacing w:val="-5"/>
          <w:sz w:val="20"/>
        </w:rPr>
        <w:t>(1) </w:t>
      </w:r>
      <w:r>
        <w:rPr>
          <w:sz w:val="20"/>
        </w:rPr>
        <w:t>the deceased </w:t>
      </w:r>
      <w:r>
        <w:rPr>
          <w:spacing w:val="-3"/>
          <w:sz w:val="20"/>
        </w:rPr>
        <w:t>lacked </w:t>
      </w:r>
      <w:r>
        <w:rPr>
          <w:sz w:val="20"/>
        </w:rPr>
        <w:t>testamentary capacity; (2) the Court is satisfied that the deceased, if possessed of testamentary capacity, would </w:t>
      </w:r>
      <w:r>
        <w:rPr>
          <w:spacing w:val="-3"/>
          <w:sz w:val="20"/>
        </w:rPr>
        <w:t>have </w:t>
      </w:r>
      <w:r>
        <w:rPr>
          <w:sz w:val="20"/>
        </w:rPr>
        <w:t>intended the donee of the  asset in the will to </w:t>
      </w:r>
      <w:r>
        <w:rPr>
          <w:spacing w:val="-3"/>
          <w:sz w:val="20"/>
        </w:rPr>
        <w:t>have </w:t>
      </w:r>
      <w:r>
        <w:rPr>
          <w:sz w:val="20"/>
        </w:rPr>
        <w:t>the </w:t>
      </w:r>
      <w:r>
        <w:rPr>
          <w:spacing w:val="-3"/>
          <w:sz w:val="20"/>
        </w:rPr>
        <w:t>remaining </w:t>
      </w:r>
      <w:r>
        <w:rPr>
          <w:sz w:val="20"/>
        </w:rPr>
        <w:t>proceeds of sale; and (3) the </w:t>
      </w:r>
      <w:r>
        <w:rPr>
          <w:spacing w:val="-3"/>
          <w:sz w:val="20"/>
        </w:rPr>
        <w:t>remaining </w:t>
      </w:r>
      <w:r>
        <w:rPr>
          <w:sz w:val="20"/>
        </w:rPr>
        <w:t>proceeds of sale can be identified with sufficient</w:t>
      </w:r>
      <w:r>
        <w:rPr>
          <w:spacing w:val="9"/>
          <w:sz w:val="20"/>
        </w:rPr>
        <w:t> </w:t>
      </w:r>
      <w:r>
        <w:rPr>
          <w:spacing w:val="-3"/>
          <w:sz w:val="20"/>
        </w:rPr>
        <w:t>certainty.</w:t>
      </w:r>
      <w:r>
        <w:rPr>
          <w:spacing w:val="-3"/>
          <w:position w:val="7"/>
          <w:sz w:val="11"/>
        </w:rPr>
        <w:t>61</w:t>
      </w:r>
    </w:p>
    <w:p>
      <w:pPr>
        <w:pStyle w:val="ListParagraph"/>
        <w:numPr>
          <w:ilvl w:val="1"/>
          <w:numId w:val="22"/>
        </w:numPr>
        <w:tabs>
          <w:tab w:pos="2381" w:val="left" w:leader="none"/>
          <w:tab w:pos="2382" w:val="left" w:leader="none"/>
        </w:tabs>
        <w:spacing w:line="240" w:lineRule="auto" w:before="118" w:after="0"/>
        <w:ind w:left="2381" w:right="0" w:hanging="794"/>
        <w:jc w:val="left"/>
        <w:rPr>
          <w:sz w:val="21"/>
        </w:rPr>
      </w:pPr>
      <w:r>
        <w:rPr>
          <w:w w:val="105"/>
          <w:sz w:val="21"/>
        </w:rPr>
        <w:t>The effect of the </w:t>
      </w:r>
      <w:r>
        <w:rPr>
          <w:spacing w:val="-3"/>
          <w:w w:val="105"/>
          <w:sz w:val="21"/>
        </w:rPr>
        <w:t>exception </w:t>
      </w:r>
      <w:r>
        <w:rPr>
          <w:w w:val="105"/>
          <w:sz w:val="21"/>
        </w:rPr>
        <w:t>identified by Justice </w:t>
      </w:r>
      <w:r>
        <w:rPr>
          <w:spacing w:val="-3"/>
          <w:w w:val="105"/>
          <w:sz w:val="21"/>
        </w:rPr>
        <w:t>Hargrave </w:t>
      </w:r>
      <w:r>
        <w:rPr>
          <w:w w:val="105"/>
          <w:sz w:val="21"/>
        </w:rPr>
        <w:t>is </w:t>
      </w:r>
      <w:r>
        <w:rPr>
          <w:spacing w:val="-3"/>
          <w:w w:val="105"/>
          <w:sz w:val="21"/>
        </w:rPr>
        <w:t>illustrated </w:t>
      </w:r>
      <w:r>
        <w:rPr>
          <w:w w:val="105"/>
          <w:sz w:val="21"/>
        </w:rPr>
        <w:t>in example 6</w:t>
      </w:r>
      <w:r>
        <w:rPr>
          <w:spacing w:val="25"/>
          <w:w w:val="105"/>
          <w:sz w:val="21"/>
        </w:rPr>
        <w:t> </w:t>
      </w:r>
      <w:r>
        <w:rPr>
          <w:spacing w:val="-3"/>
          <w:w w:val="105"/>
          <w:sz w:val="21"/>
        </w:rPr>
        <w:t>below.</w:t>
      </w:r>
    </w:p>
    <w:p>
      <w:pPr>
        <w:spacing w:before="129"/>
        <w:ind w:left="2721" w:right="0" w:firstLine="0"/>
        <w:jc w:val="left"/>
        <w:rPr>
          <w:rFonts w:ascii="Lucida Sans"/>
          <w:b/>
          <w:sz w:val="20"/>
        </w:rPr>
      </w:pPr>
      <w:r>
        <w:rPr>
          <w:rFonts w:ascii="Lucida Sans"/>
          <w:b/>
          <w:sz w:val="20"/>
        </w:rPr>
        <w:t>Example 6: Common law exception to ademption</w:t>
      </w:r>
    </w:p>
    <w:p>
      <w:pPr>
        <w:spacing w:line="254" w:lineRule="auto" w:before="149"/>
        <w:ind w:left="2721" w:right="1826" w:firstLine="0"/>
        <w:jc w:val="left"/>
        <w:rPr>
          <w:sz w:val="20"/>
        </w:rPr>
      </w:pPr>
      <w:r>
        <w:rPr>
          <w:w w:val="105"/>
          <w:sz w:val="20"/>
        </w:rPr>
        <w:t>Mr Ling owns two units. In his will he leaves the unit he is living in (his home unit) to his</w:t>
      </w:r>
      <w:r>
        <w:rPr>
          <w:spacing w:val="-9"/>
          <w:w w:val="105"/>
          <w:sz w:val="20"/>
        </w:rPr>
        <w:t> </w:t>
      </w:r>
      <w:r>
        <w:rPr>
          <w:spacing w:val="-3"/>
          <w:w w:val="105"/>
          <w:sz w:val="20"/>
        </w:rPr>
        <w:t>daughter</w:t>
      </w:r>
      <w:r>
        <w:rPr>
          <w:spacing w:val="-9"/>
          <w:w w:val="105"/>
          <w:sz w:val="20"/>
        </w:rPr>
        <w:t> </w:t>
      </w:r>
      <w:r>
        <w:rPr>
          <w:w w:val="105"/>
          <w:sz w:val="20"/>
        </w:rPr>
        <w:t>and</w:t>
      </w:r>
      <w:r>
        <w:rPr>
          <w:spacing w:val="-8"/>
          <w:w w:val="105"/>
          <w:sz w:val="20"/>
        </w:rPr>
        <w:t> </w:t>
      </w:r>
      <w:r>
        <w:rPr>
          <w:w w:val="105"/>
          <w:sz w:val="20"/>
        </w:rPr>
        <w:t>the</w:t>
      </w:r>
      <w:r>
        <w:rPr>
          <w:spacing w:val="-9"/>
          <w:w w:val="105"/>
          <w:sz w:val="20"/>
        </w:rPr>
        <w:t> </w:t>
      </w:r>
      <w:r>
        <w:rPr>
          <w:w w:val="105"/>
          <w:sz w:val="20"/>
        </w:rPr>
        <w:t>other</w:t>
      </w:r>
      <w:r>
        <w:rPr>
          <w:spacing w:val="-9"/>
          <w:w w:val="105"/>
          <w:sz w:val="20"/>
        </w:rPr>
        <w:t> </w:t>
      </w:r>
      <w:r>
        <w:rPr>
          <w:w w:val="105"/>
          <w:sz w:val="20"/>
        </w:rPr>
        <w:t>unit</w:t>
      </w:r>
      <w:r>
        <w:rPr>
          <w:spacing w:val="-8"/>
          <w:w w:val="105"/>
          <w:sz w:val="20"/>
        </w:rPr>
        <w:t> </w:t>
      </w:r>
      <w:r>
        <w:rPr>
          <w:w w:val="105"/>
          <w:sz w:val="20"/>
        </w:rPr>
        <w:t>(his</w:t>
      </w:r>
      <w:r>
        <w:rPr>
          <w:spacing w:val="-9"/>
          <w:w w:val="105"/>
          <w:sz w:val="20"/>
        </w:rPr>
        <w:t> </w:t>
      </w:r>
      <w:r>
        <w:rPr>
          <w:w w:val="105"/>
          <w:sz w:val="20"/>
        </w:rPr>
        <w:t>investment</w:t>
      </w:r>
      <w:r>
        <w:rPr>
          <w:spacing w:val="-8"/>
          <w:w w:val="105"/>
          <w:sz w:val="20"/>
        </w:rPr>
        <w:t> </w:t>
      </w:r>
      <w:r>
        <w:rPr>
          <w:w w:val="105"/>
          <w:sz w:val="20"/>
        </w:rPr>
        <w:t>unit)</w:t>
      </w:r>
      <w:r>
        <w:rPr>
          <w:spacing w:val="-9"/>
          <w:w w:val="105"/>
          <w:sz w:val="20"/>
        </w:rPr>
        <w:t> </w:t>
      </w:r>
      <w:r>
        <w:rPr>
          <w:w w:val="105"/>
          <w:sz w:val="20"/>
        </w:rPr>
        <w:t>to</w:t>
      </w:r>
      <w:r>
        <w:rPr>
          <w:spacing w:val="-9"/>
          <w:w w:val="105"/>
          <w:sz w:val="20"/>
        </w:rPr>
        <w:t> </w:t>
      </w:r>
      <w:r>
        <w:rPr>
          <w:w w:val="105"/>
          <w:sz w:val="20"/>
        </w:rPr>
        <w:t>his</w:t>
      </w:r>
      <w:r>
        <w:rPr>
          <w:spacing w:val="-8"/>
          <w:w w:val="105"/>
          <w:sz w:val="20"/>
        </w:rPr>
        <w:t> </w:t>
      </w:r>
      <w:r>
        <w:rPr>
          <w:w w:val="105"/>
          <w:sz w:val="20"/>
        </w:rPr>
        <w:t>son.</w:t>
      </w:r>
      <w:r>
        <w:rPr>
          <w:spacing w:val="-9"/>
          <w:w w:val="105"/>
          <w:sz w:val="20"/>
        </w:rPr>
        <w:t> </w:t>
      </w:r>
      <w:r>
        <w:rPr>
          <w:w w:val="105"/>
          <w:sz w:val="20"/>
        </w:rPr>
        <w:t>He</w:t>
      </w:r>
      <w:r>
        <w:rPr>
          <w:spacing w:val="-8"/>
          <w:w w:val="105"/>
          <w:sz w:val="20"/>
        </w:rPr>
        <w:t> </w:t>
      </w:r>
      <w:r>
        <w:rPr>
          <w:w w:val="105"/>
          <w:sz w:val="20"/>
        </w:rPr>
        <w:t>leaves</w:t>
      </w:r>
      <w:r>
        <w:rPr>
          <w:spacing w:val="-9"/>
          <w:w w:val="105"/>
          <w:sz w:val="20"/>
        </w:rPr>
        <w:t> </w:t>
      </w:r>
      <w:r>
        <w:rPr>
          <w:w w:val="105"/>
          <w:sz w:val="20"/>
        </w:rPr>
        <w:t>the</w:t>
      </w:r>
      <w:r>
        <w:rPr>
          <w:spacing w:val="-9"/>
          <w:w w:val="105"/>
          <w:sz w:val="20"/>
        </w:rPr>
        <w:t> </w:t>
      </w:r>
      <w:r>
        <w:rPr>
          <w:w w:val="105"/>
          <w:sz w:val="20"/>
        </w:rPr>
        <w:t>rest</w:t>
      </w:r>
      <w:r>
        <w:rPr>
          <w:spacing w:val="-8"/>
          <w:w w:val="105"/>
          <w:sz w:val="20"/>
        </w:rPr>
        <w:t> </w:t>
      </w:r>
      <w:r>
        <w:rPr>
          <w:w w:val="105"/>
          <w:sz w:val="20"/>
        </w:rPr>
        <w:t>of</w:t>
      </w:r>
      <w:r>
        <w:rPr>
          <w:spacing w:val="-9"/>
          <w:w w:val="105"/>
          <w:sz w:val="20"/>
        </w:rPr>
        <w:t> </w:t>
      </w:r>
      <w:r>
        <w:rPr>
          <w:w w:val="105"/>
          <w:sz w:val="20"/>
        </w:rPr>
        <w:t>his estate (the residue) to his</w:t>
      </w:r>
      <w:r>
        <w:rPr>
          <w:spacing w:val="22"/>
          <w:w w:val="105"/>
          <w:sz w:val="20"/>
        </w:rPr>
        <w:t> </w:t>
      </w:r>
      <w:r>
        <w:rPr>
          <w:spacing w:val="-3"/>
          <w:w w:val="105"/>
          <w:sz w:val="20"/>
        </w:rPr>
        <w:t>grand-daughter.</w:t>
      </w:r>
    </w:p>
    <w:p>
      <w:pPr>
        <w:spacing w:line="254" w:lineRule="auto" w:before="123"/>
        <w:ind w:left="2721" w:right="1626" w:firstLine="0"/>
        <w:jc w:val="left"/>
        <w:rPr>
          <w:sz w:val="20"/>
        </w:rPr>
      </w:pPr>
      <w:r>
        <w:rPr>
          <w:sz w:val="20"/>
        </w:rPr>
        <w:t>Prior to his death Mr Ling appoints his </w:t>
      </w:r>
      <w:r>
        <w:rPr>
          <w:spacing w:val="-3"/>
          <w:sz w:val="20"/>
        </w:rPr>
        <w:t>daughter </w:t>
      </w:r>
      <w:r>
        <w:rPr>
          <w:sz w:val="20"/>
        </w:rPr>
        <w:t>as his enduring power of attorney  (financial). His </w:t>
      </w:r>
      <w:r>
        <w:rPr>
          <w:spacing w:val="-3"/>
          <w:sz w:val="20"/>
        </w:rPr>
        <w:t>daughter  </w:t>
      </w:r>
      <w:r>
        <w:rPr>
          <w:sz w:val="20"/>
        </w:rPr>
        <w:t>sells Mr </w:t>
      </w:r>
      <w:r>
        <w:rPr>
          <w:spacing w:val="-3"/>
          <w:sz w:val="20"/>
        </w:rPr>
        <w:t>Ling’s</w:t>
      </w:r>
      <w:r>
        <w:rPr>
          <w:spacing w:val="39"/>
          <w:sz w:val="20"/>
        </w:rPr>
        <w:t> </w:t>
      </w:r>
      <w:r>
        <w:rPr>
          <w:sz w:val="20"/>
        </w:rPr>
        <w:t>home unit to pay a bond at a nursing home. Based  on the common law </w:t>
      </w:r>
      <w:r>
        <w:rPr>
          <w:spacing w:val="-3"/>
          <w:sz w:val="20"/>
        </w:rPr>
        <w:t>rule, </w:t>
      </w:r>
      <w:r>
        <w:rPr>
          <w:sz w:val="20"/>
        </w:rPr>
        <w:t>his </w:t>
      </w:r>
      <w:r>
        <w:rPr>
          <w:spacing w:val="-3"/>
          <w:sz w:val="20"/>
        </w:rPr>
        <w:t>daughter </w:t>
      </w:r>
      <w:r>
        <w:rPr>
          <w:sz w:val="20"/>
        </w:rPr>
        <w:t>may be able to receive the refunded nursing home bond,</w:t>
      </w:r>
      <w:r>
        <w:rPr>
          <w:spacing w:val="16"/>
          <w:sz w:val="20"/>
        </w:rPr>
        <w:t> </w:t>
      </w:r>
      <w:r>
        <w:rPr>
          <w:sz w:val="20"/>
        </w:rPr>
        <w:t>as</w:t>
      </w:r>
      <w:r>
        <w:rPr>
          <w:spacing w:val="16"/>
          <w:sz w:val="20"/>
        </w:rPr>
        <w:t> </w:t>
      </w:r>
      <w:r>
        <w:rPr>
          <w:sz w:val="20"/>
        </w:rPr>
        <w:t>well</w:t>
      </w:r>
      <w:r>
        <w:rPr>
          <w:spacing w:val="16"/>
          <w:sz w:val="20"/>
        </w:rPr>
        <w:t> </w:t>
      </w:r>
      <w:r>
        <w:rPr>
          <w:sz w:val="20"/>
        </w:rPr>
        <w:t>as</w:t>
      </w:r>
      <w:r>
        <w:rPr>
          <w:spacing w:val="17"/>
          <w:sz w:val="20"/>
        </w:rPr>
        <w:t> </w:t>
      </w:r>
      <w:r>
        <w:rPr>
          <w:spacing w:val="-2"/>
          <w:sz w:val="20"/>
        </w:rPr>
        <w:t>any</w:t>
      </w:r>
      <w:r>
        <w:rPr>
          <w:spacing w:val="16"/>
          <w:sz w:val="20"/>
        </w:rPr>
        <w:t> </w:t>
      </w:r>
      <w:r>
        <w:rPr>
          <w:sz w:val="20"/>
        </w:rPr>
        <w:t>other</w:t>
      </w:r>
      <w:r>
        <w:rPr>
          <w:spacing w:val="16"/>
          <w:sz w:val="20"/>
        </w:rPr>
        <w:t> </w:t>
      </w:r>
      <w:r>
        <w:rPr>
          <w:sz w:val="20"/>
        </w:rPr>
        <w:t>proceeds</w:t>
      </w:r>
      <w:r>
        <w:rPr>
          <w:spacing w:val="17"/>
          <w:sz w:val="20"/>
        </w:rPr>
        <w:t> </w:t>
      </w:r>
      <w:r>
        <w:rPr>
          <w:sz w:val="20"/>
        </w:rPr>
        <w:t>of</w:t>
      </w:r>
      <w:r>
        <w:rPr>
          <w:spacing w:val="16"/>
          <w:sz w:val="20"/>
        </w:rPr>
        <w:t> </w:t>
      </w:r>
      <w:r>
        <w:rPr>
          <w:sz w:val="20"/>
        </w:rPr>
        <w:t>sale</w:t>
      </w:r>
      <w:r>
        <w:rPr>
          <w:spacing w:val="16"/>
          <w:sz w:val="20"/>
        </w:rPr>
        <w:t> </w:t>
      </w:r>
      <w:r>
        <w:rPr>
          <w:sz w:val="20"/>
        </w:rPr>
        <w:t>that</w:t>
      </w:r>
      <w:r>
        <w:rPr>
          <w:spacing w:val="17"/>
          <w:sz w:val="20"/>
        </w:rPr>
        <w:t> </w:t>
      </w:r>
      <w:r>
        <w:rPr>
          <w:spacing w:val="-3"/>
          <w:sz w:val="20"/>
        </w:rPr>
        <w:t>have</w:t>
      </w:r>
      <w:r>
        <w:rPr>
          <w:spacing w:val="16"/>
          <w:sz w:val="20"/>
        </w:rPr>
        <w:t> </w:t>
      </w:r>
      <w:r>
        <w:rPr>
          <w:sz w:val="20"/>
        </w:rPr>
        <w:t>not</w:t>
      </w:r>
      <w:r>
        <w:rPr>
          <w:spacing w:val="16"/>
          <w:sz w:val="20"/>
        </w:rPr>
        <w:t> </w:t>
      </w:r>
      <w:r>
        <w:rPr>
          <w:sz w:val="20"/>
        </w:rPr>
        <w:t>been</w:t>
      </w:r>
      <w:r>
        <w:rPr>
          <w:spacing w:val="17"/>
          <w:sz w:val="20"/>
        </w:rPr>
        <w:t> </w:t>
      </w:r>
      <w:r>
        <w:rPr>
          <w:sz w:val="20"/>
        </w:rPr>
        <w:t>spent</w:t>
      </w:r>
      <w:r>
        <w:rPr>
          <w:spacing w:val="16"/>
          <w:sz w:val="20"/>
        </w:rPr>
        <w:t> </w:t>
      </w:r>
      <w:r>
        <w:rPr>
          <w:sz w:val="20"/>
        </w:rPr>
        <w:t>on</w:t>
      </w:r>
      <w:r>
        <w:rPr>
          <w:spacing w:val="16"/>
          <w:sz w:val="20"/>
        </w:rPr>
        <w:t> </w:t>
      </w:r>
      <w:r>
        <w:rPr>
          <w:sz w:val="20"/>
        </w:rPr>
        <w:t>Mr</w:t>
      </w:r>
      <w:r>
        <w:rPr>
          <w:spacing w:val="16"/>
          <w:sz w:val="20"/>
        </w:rPr>
        <w:t> </w:t>
      </w:r>
      <w:r>
        <w:rPr>
          <w:spacing w:val="-3"/>
          <w:sz w:val="20"/>
        </w:rPr>
        <w:t>Ling’s</w:t>
      </w:r>
      <w:r>
        <w:rPr>
          <w:spacing w:val="17"/>
          <w:sz w:val="20"/>
        </w:rPr>
        <w:t> </w:t>
      </w:r>
      <w:r>
        <w:rPr>
          <w:spacing w:val="-3"/>
          <w:sz w:val="20"/>
        </w:rPr>
        <w:t>care,</w:t>
      </w:r>
      <w:r>
        <w:rPr>
          <w:spacing w:val="16"/>
          <w:sz w:val="20"/>
        </w:rPr>
        <w:t> </w:t>
      </w:r>
      <w:r>
        <w:rPr>
          <w:sz w:val="20"/>
        </w:rPr>
        <w:t>if:</w:t>
      </w:r>
    </w:p>
    <w:p>
      <w:pPr>
        <w:pStyle w:val="ListParagraph"/>
        <w:numPr>
          <w:ilvl w:val="0"/>
          <w:numId w:val="46"/>
        </w:numPr>
        <w:tabs>
          <w:tab w:pos="2875" w:val="left" w:leader="none"/>
        </w:tabs>
        <w:spacing w:line="240" w:lineRule="auto" w:before="125" w:after="0"/>
        <w:ind w:left="2874" w:right="0" w:hanging="153"/>
        <w:jc w:val="left"/>
        <w:rPr>
          <w:sz w:val="20"/>
        </w:rPr>
      </w:pPr>
      <w:r>
        <w:rPr>
          <w:w w:val="105"/>
          <w:sz w:val="20"/>
        </w:rPr>
        <w:t>she applies to the Supreme</w:t>
      </w:r>
      <w:r>
        <w:rPr>
          <w:spacing w:val="25"/>
          <w:w w:val="105"/>
          <w:sz w:val="20"/>
        </w:rPr>
        <w:t> </w:t>
      </w:r>
      <w:r>
        <w:rPr>
          <w:w w:val="105"/>
          <w:sz w:val="20"/>
        </w:rPr>
        <w:t>Court</w:t>
      </w:r>
    </w:p>
    <w:p>
      <w:pPr>
        <w:pStyle w:val="ListParagraph"/>
        <w:numPr>
          <w:ilvl w:val="0"/>
          <w:numId w:val="46"/>
        </w:numPr>
        <w:tabs>
          <w:tab w:pos="2869" w:val="left" w:leader="none"/>
        </w:tabs>
        <w:spacing w:line="240" w:lineRule="auto" w:before="136" w:after="0"/>
        <w:ind w:left="2868" w:right="0" w:hanging="147"/>
        <w:jc w:val="left"/>
        <w:rPr>
          <w:sz w:val="20"/>
        </w:rPr>
      </w:pPr>
      <w:r>
        <w:rPr>
          <w:spacing w:val="-3"/>
          <w:sz w:val="20"/>
        </w:rPr>
        <w:t>she</w:t>
      </w:r>
      <w:r>
        <w:rPr>
          <w:spacing w:val="6"/>
          <w:sz w:val="20"/>
        </w:rPr>
        <w:t> </w:t>
      </w:r>
      <w:r>
        <w:rPr>
          <w:spacing w:val="-3"/>
          <w:sz w:val="20"/>
        </w:rPr>
        <w:t>can</w:t>
      </w:r>
      <w:r>
        <w:rPr>
          <w:spacing w:val="6"/>
          <w:sz w:val="20"/>
        </w:rPr>
        <w:t> </w:t>
      </w:r>
      <w:r>
        <w:rPr>
          <w:spacing w:val="-5"/>
          <w:sz w:val="20"/>
        </w:rPr>
        <w:t>prove</w:t>
      </w:r>
      <w:r>
        <w:rPr>
          <w:spacing w:val="6"/>
          <w:sz w:val="20"/>
        </w:rPr>
        <w:t> </w:t>
      </w:r>
      <w:r>
        <w:rPr>
          <w:spacing w:val="-5"/>
          <w:sz w:val="20"/>
        </w:rPr>
        <w:t>that</w:t>
      </w:r>
      <w:r>
        <w:rPr>
          <w:spacing w:val="6"/>
          <w:sz w:val="20"/>
        </w:rPr>
        <w:t> </w:t>
      </w:r>
      <w:r>
        <w:rPr>
          <w:sz w:val="20"/>
        </w:rPr>
        <w:t>Mr</w:t>
      </w:r>
      <w:r>
        <w:rPr>
          <w:spacing w:val="6"/>
          <w:sz w:val="20"/>
        </w:rPr>
        <w:t> </w:t>
      </w:r>
      <w:r>
        <w:rPr>
          <w:spacing w:val="-4"/>
          <w:sz w:val="20"/>
        </w:rPr>
        <w:t>Ling</w:t>
      </w:r>
      <w:r>
        <w:rPr>
          <w:spacing w:val="7"/>
          <w:sz w:val="20"/>
        </w:rPr>
        <w:t> </w:t>
      </w:r>
      <w:r>
        <w:rPr>
          <w:spacing w:val="-5"/>
          <w:sz w:val="20"/>
        </w:rPr>
        <w:t>lacked</w:t>
      </w:r>
      <w:r>
        <w:rPr>
          <w:spacing w:val="6"/>
          <w:sz w:val="20"/>
        </w:rPr>
        <w:t> </w:t>
      </w:r>
      <w:r>
        <w:rPr>
          <w:spacing w:val="-4"/>
          <w:sz w:val="20"/>
        </w:rPr>
        <w:t>testamentary</w:t>
      </w:r>
      <w:r>
        <w:rPr>
          <w:spacing w:val="6"/>
          <w:sz w:val="20"/>
        </w:rPr>
        <w:t> </w:t>
      </w:r>
      <w:r>
        <w:rPr>
          <w:spacing w:val="-4"/>
          <w:sz w:val="20"/>
        </w:rPr>
        <w:t>capacity</w:t>
      </w:r>
      <w:r>
        <w:rPr>
          <w:spacing w:val="6"/>
          <w:sz w:val="20"/>
        </w:rPr>
        <w:t> </w:t>
      </w:r>
      <w:r>
        <w:rPr>
          <w:spacing w:val="-3"/>
          <w:sz w:val="20"/>
        </w:rPr>
        <w:t>at</w:t>
      </w:r>
      <w:r>
        <w:rPr>
          <w:spacing w:val="6"/>
          <w:sz w:val="20"/>
        </w:rPr>
        <w:t> </w:t>
      </w:r>
      <w:r>
        <w:rPr>
          <w:spacing w:val="-3"/>
          <w:sz w:val="20"/>
        </w:rPr>
        <w:t>the</w:t>
      </w:r>
      <w:r>
        <w:rPr>
          <w:spacing w:val="7"/>
          <w:sz w:val="20"/>
        </w:rPr>
        <w:t> </w:t>
      </w:r>
      <w:r>
        <w:rPr>
          <w:spacing w:val="-4"/>
          <w:sz w:val="20"/>
        </w:rPr>
        <w:t>time</w:t>
      </w:r>
      <w:r>
        <w:rPr>
          <w:spacing w:val="6"/>
          <w:sz w:val="20"/>
        </w:rPr>
        <w:t> </w:t>
      </w:r>
      <w:r>
        <w:rPr>
          <w:spacing w:val="-3"/>
          <w:sz w:val="20"/>
        </w:rPr>
        <w:t>she</w:t>
      </w:r>
      <w:r>
        <w:rPr>
          <w:spacing w:val="6"/>
          <w:sz w:val="20"/>
        </w:rPr>
        <w:t> </w:t>
      </w:r>
      <w:r>
        <w:rPr>
          <w:spacing w:val="-3"/>
          <w:sz w:val="20"/>
        </w:rPr>
        <w:t>sold</w:t>
      </w:r>
      <w:r>
        <w:rPr>
          <w:spacing w:val="6"/>
          <w:sz w:val="20"/>
        </w:rPr>
        <w:t> </w:t>
      </w:r>
      <w:r>
        <w:rPr>
          <w:spacing w:val="-3"/>
          <w:sz w:val="20"/>
        </w:rPr>
        <w:t>the</w:t>
      </w:r>
      <w:r>
        <w:rPr>
          <w:spacing w:val="6"/>
          <w:sz w:val="20"/>
        </w:rPr>
        <w:t> </w:t>
      </w:r>
      <w:r>
        <w:rPr>
          <w:spacing w:val="-3"/>
          <w:sz w:val="20"/>
        </w:rPr>
        <w:t>home</w:t>
      </w:r>
      <w:r>
        <w:rPr>
          <w:spacing w:val="6"/>
          <w:sz w:val="20"/>
        </w:rPr>
        <w:t> </w:t>
      </w:r>
      <w:r>
        <w:rPr>
          <w:spacing w:val="-5"/>
          <w:sz w:val="20"/>
        </w:rPr>
        <w:t>unit</w:t>
      </w:r>
    </w:p>
    <w:p>
      <w:pPr>
        <w:pStyle w:val="BodyText"/>
        <w:spacing w:before="1"/>
      </w:pPr>
      <w:r>
        <w:rPr/>
        <w:pict>
          <v:line style="position:absolute;mso-position-horizontal-relative:page;mso-position-vertical-relative:paragraph;z-index:2576;mso-wrap-distance-left:0;mso-wrap-distance-right:0" from="79.370102pt,15.333475pt" to="515.905102pt,15.333475pt" stroked="true" strokeweight="1pt" strokecolor="#f9ceca">
            <v:stroke dashstyle="solid"/>
            <w10:wrap type="topAndBottom"/>
          </v:line>
        </w:pict>
      </w:r>
    </w:p>
    <w:p>
      <w:pPr>
        <w:pStyle w:val="ListParagraph"/>
        <w:numPr>
          <w:ilvl w:val="0"/>
          <w:numId w:val="44"/>
        </w:numPr>
        <w:tabs>
          <w:tab w:pos="2381" w:val="left" w:leader="none"/>
          <w:tab w:pos="2382" w:val="left" w:leader="none"/>
        </w:tabs>
        <w:spacing w:line="240" w:lineRule="auto" w:before="117" w:after="0"/>
        <w:ind w:left="2381" w:right="0" w:hanging="794"/>
        <w:jc w:val="left"/>
        <w:rPr>
          <w:sz w:val="13"/>
        </w:rPr>
      </w:pPr>
      <w:r>
        <w:rPr>
          <w:i/>
          <w:w w:val="105"/>
          <w:sz w:val="13"/>
        </w:rPr>
        <w:t>Edwards v Edwards </w:t>
      </w:r>
      <w:r>
        <w:rPr>
          <w:spacing w:val="2"/>
          <w:w w:val="105"/>
          <w:sz w:val="13"/>
        </w:rPr>
        <w:t>(2009) </w:t>
      </w:r>
      <w:r>
        <w:rPr>
          <w:w w:val="105"/>
          <w:sz w:val="13"/>
        </w:rPr>
        <w:t>25 VR</w:t>
      </w:r>
      <w:r>
        <w:rPr>
          <w:spacing w:val="23"/>
          <w:w w:val="105"/>
          <w:sz w:val="13"/>
        </w:rPr>
        <w:t> </w:t>
      </w:r>
      <w:r>
        <w:rPr>
          <w:w w:val="105"/>
          <w:sz w:val="13"/>
        </w:rPr>
        <w:t>40.</w:t>
      </w:r>
    </w:p>
    <w:p>
      <w:pPr>
        <w:pStyle w:val="ListParagraph"/>
        <w:numPr>
          <w:ilvl w:val="0"/>
          <w:numId w:val="44"/>
        </w:numPr>
        <w:tabs>
          <w:tab w:pos="2381" w:val="left" w:leader="none"/>
          <w:tab w:pos="2382" w:val="left" w:leader="none"/>
        </w:tabs>
        <w:spacing w:line="240" w:lineRule="auto" w:before="1" w:after="0"/>
        <w:ind w:left="2381" w:right="0" w:hanging="794"/>
        <w:jc w:val="left"/>
        <w:rPr>
          <w:sz w:val="13"/>
        </w:rPr>
      </w:pPr>
      <w:r>
        <w:rPr/>
        <w:pict>
          <v:shape style="position:absolute;margin-left:36pt;margin-top:3.606863pt;width:13.6pt;height:14.25pt;mso-position-horizontal-relative:page;mso-position-vertical-relative:paragraph;z-index:4648" type="#_x0000_t202" filled="false" stroked="false">
            <v:textbox inset="0,0,0,0">
              <w:txbxContent>
                <w:p>
                  <w:pPr>
                    <w:spacing w:line="284" w:lineRule="exact" w:before="0"/>
                    <w:ind w:left="0" w:right="0" w:firstLine="0"/>
                    <w:jc w:val="left"/>
                    <w:rPr>
                      <w:b/>
                      <w:sz w:val="24"/>
                    </w:rPr>
                  </w:pPr>
                  <w:r>
                    <w:rPr>
                      <w:b/>
                      <w:color w:val="EC5A4F"/>
                      <w:w w:val="110"/>
                      <w:sz w:val="24"/>
                    </w:rPr>
                    <w:t>48</w:t>
                  </w:r>
                </w:p>
              </w:txbxContent>
            </v:textbox>
            <w10:wrap type="none"/>
          </v:shape>
        </w:pict>
      </w:r>
      <w:r>
        <w:rPr>
          <w:i/>
          <w:w w:val="105"/>
          <w:sz w:val="13"/>
        </w:rPr>
        <w:t>Mulhall</w:t>
      </w:r>
      <w:r>
        <w:rPr>
          <w:i/>
          <w:spacing w:val="4"/>
          <w:w w:val="105"/>
          <w:sz w:val="13"/>
        </w:rPr>
        <w:t> </w:t>
      </w:r>
      <w:r>
        <w:rPr>
          <w:i/>
          <w:w w:val="105"/>
          <w:sz w:val="13"/>
        </w:rPr>
        <w:t>v</w:t>
      </w:r>
      <w:r>
        <w:rPr>
          <w:i/>
          <w:spacing w:val="4"/>
          <w:w w:val="105"/>
          <w:sz w:val="13"/>
        </w:rPr>
        <w:t> </w:t>
      </w:r>
      <w:r>
        <w:rPr>
          <w:i/>
          <w:w w:val="105"/>
          <w:sz w:val="13"/>
        </w:rPr>
        <w:t>Kelly</w:t>
      </w:r>
      <w:r>
        <w:rPr>
          <w:i/>
          <w:spacing w:val="6"/>
          <w:w w:val="105"/>
          <w:sz w:val="13"/>
        </w:rPr>
        <w:t> </w:t>
      </w:r>
      <w:r>
        <w:rPr>
          <w:spacing w:val="2"/>
          <w:w w:val="105"/>
          <w:sz w:val="13"/>
        </w:rPr>
        <w:t>[2006]</w:t>
      </w:r>
      <w:r>
        <w:rPr>
          <w:spacing w:val="5"/>
          <w:w w:val="105"/>
          <w:sz w:val="13"/>
        </w:rPr>
        <w:t> </w:t>
      </w:r>
      <w:r>
        <w:rPr>
          <w:w w:val="105"/>
          <w:sz w:val="13"/>
        </w:rPr>
        <w:t>VSC</w:t>
      </w:r>
      <w:r>
        <w:rPr>
          <w:spacing w:val="5"/>
          <w:w w:val="105"/>
          <w:sz w:val="13"/>
        </w:rPr>
        <w:t> </w:t>
      </w:r>
      <w:r>
        <w:rPr>
          <w:w w:val="105"/>
          <w:sz w:val="13"/>
        </w:rPr>
        <w:t>407</w:t>
      </w:r>
      <w:r>
        <w:rPr>
          <w:spacing w:val="6"/>
          <w:w w:val="105"/>
          <w:sz w:val="13"/>
        </w:rPr>
        <w:t> </w:t>
      </w:r>
      <w:r>
        <w:rPr>
          <w:w w:val="105"/>
          <w:sz w:val="13"/>
        </w:rPr>
        <w:t>(3</w:t>
      </w:r>
      <w:r>
        <w:rPr>
          <w:spacing w:val="5"/>
          <w:w w:val="105"/>
          <w:sz w:val="13"/>
        </w:rPr>
        <w:t> </w:t>
      </w:r>
      <w:r>
        <w:rPr>
          <w:w w:val="105"/>
          <w:sz w:val="13"/>
        </w:rPr>
        <w:t>November</w:t>
      </w:r>
      <w:r>
        <w:rPr>
          <w:spacing w:val="5"/>
          <w:w w:val="105"/>
          <w:sz w:val="13"/>
        </w:rPr>
        <w:t> </w:t>
      </w:r>
      <w:r>
        <w:rPr>
          <w:spacing w:val="3"/>
          <w:w w:val="105"/>
          <w:sz w:val="13"/>
        </w:rPr>
        <w:t>2006);</w:t>
      </w:r>
      <w:r>
        <w:rPr>
          <w:spacing w:val="6"/>
          <w:w w:val="105"/>
          <w:sz w:val="13"/>
        </w:rPr>
        <w:t> </w:t>
      </w:r>
      <w:r>
        <w:rPr>
          <w:i/>
          <w:w w:val="105"/>
          <w:sz w:val="13"/>
        </w:rPr>
        <w:t>Simpson</w:t>
      </w:r>
      <w:r>
        <w:rPr>
          <w:i/>
          <w:spacing w:val="4"/>
          <w:w w:val="105"/>
          <w:sz w:val="13"/>
        </w:rPr>
        <w:t> </w:t>
      </w:r>
      <w:r>
        <w:rPr>
          <w:i/>
          <w:w w:val="105"/>
          <w:sz w:val="13"/>
        </w:rPr>
        <w:t>v</w:t>
      </w:r>
      <w:r>
        <w:rPr>
          <w:i/>
          <w:spacing w:val="4"/>
          <w:w w:val="105"/>
          <w:sz w:val="13"/>
        </w:rPr>
        <w:t> </w:t>
      </w:r>
      <w:r>
        <w:rPr>
          <w:i/>
          <w:w w:val="105"/>
          <w:sz w:val="13"/>
        </w:rPr>
        <w:t>Cunning</w:t>
      </w:r>
      <w:r>
        <w:rPr>
          <w:i/>
          <w:spacing w:val="6"/>
          <w:w w:val="105"/>
          <w:sz w:val="13"/>
        </w:rPr>
        <w:t> </w:t>
      </w:r>
      <w:r>
        <w:rPr>
          <w:spacing w:val="-3"/>
          <w:w w:val="105"/>
          <w:sz w:val="13"/>
        </w:rPr>
        <w:t>[2011]</w:t>
      </w:r>
      <w:r>
        <w:rPr>
          <w:spacing w:val="5"/>
          <w:w w:val="105"/>
          <w:sz w:val="13"/>
        </w:rPr>
        <w:t> </w:t>
      </w:r>
      <w:r>
        <w:rPr>
          <w:w w:val="105"/>
          <w:sz w:val="13"/>
        </w:rPr>
        <w:t>VSC</w:t>
      </w:r>
      <w:r>
        <w:rPr>
          <w:spacing w:val="5"/>
          <w:w w:val="105"/>
          <w:sz w:val="13"/>
        </w:rPr>
        <w:t> </w:t>
      </w:r>
      <w:r>
        <w:rPr>
          <w:spacing w:val="2"/>
          <w:w w:val="105"/>
          <w:sz w:val="13"/>
        </w:rPr>
        <w:t>466</w:t>
      </w:r>
      <w:r>
        <w:rPr>
          <w:spacing w:val="6"/>
          <w:w w:val="105"/>
          <w:sz w:val="13"/>
        </w:rPr>
        <w:t> </w:t>
      </w:r>
      <w:r>
        <w:rPr>
          <w:w w:val="105"/>
          <w:sz w:val="13"/>
        </w:rPr>
        <w:t>(22</w:t>
      </w:r>
      <w:r>
        <w:rPr>
          <w:spacing w:val="5"/>
          <w:w w:val="105"/>
          <w:sz w:val="13"/>
        </w:rPr>
        <w:t> </w:t>
      </w:r>
      <w:r>
        <w:rPr>
          <w:w w:val="105"/>
          <w:sz w:val="13"/>
        </w:rPr>
        <w:t>September</w:t>
      </w:r>
      <w:r>
        <w:rPr>
          <w:spacing w:val="6"/>
          <w:w w:val="105"/>
          <w:sz w:val="13"/>
        </w:rPr>
        <w:t> </w:t>
      </w:r>
      <w:r>
        <w:rPr>
          <w:spacing w:val="-2"/>
          <w:w w:val="105"/>
          <w:sz w:val="13"/>
        </w:rPr>
        <w:t>2011).</w:t>
      </w:r>
    </w:p>
    <w:p>
      <w:pPr>
        <w:pStyle w:val="ListParagraph"/>
        <w:numPr>
          <w:ilvl w:val="0"/>
          <w:numId w:val="44"/>
        </w:numPr>
        <w:tabs>
          <w:tab w:pos="2381" w:val="left" w:leader="none"/>
          <w:tab w:pos="2382" w:val="left" w:leader="none"/>
        </w:tabs>
        <w:spacing w:line="240" w:lineRule="auto" w:before="2" w:after="0"/>
        <w:ind w:left="2381" w:right="0" w:hanging="794"/>
        <w:jc w:val="left"/>
        <w:rPr>
          <w:sz w:val="13"/>
        </w:rPr>
      </w:pPr>
      <w:r>
        <w:rPr>
          <w:i/>
          <w:w w:val="105"/>
          <w:sz w:val="13"/>
        </w:rPr>
        <w:t>Simpson v Cunning </w:t>
      </w:r>
      <w:r>
        <w:rPr>
          <w:spacing w:val="-3"/>
          <w:w w:val="105"/>
          <w:sz w:val="13"/>
        </w:rPr>
        <w:t>[2011] </w:t>
      </w:r>
      <w:r>
        <w:rPr>
          <w:w w:val="105"/>
          <w:sz w:val="13"/>
        </w:rPr>
        <w:t>VSC </w:t>
      </w:r>
      <w:r>
        <w:rPr>
          <w:spacing w:val="2"/>
          <w:w w:val="105"/>
          <w:sz w:val="13"/>
        </w:rPr>
        <w:t>466 </w:t>
      </w:r>
      <w:r>
        <w:rPr>
          <w:w w:val="105"/>
          <w:sz w:val="13"/>
        </w:rPr>
        <w:t>(22 September</w:t>
      </w:r>
      <w:r>
        <w:rPr>
          <w:spacing w:val="20"/>
          <w:w w:val="105"/>
          <w:sz w:val="13"/>
        </w:rPr>
        <w:t> </w:t>
      </w:r>
      <w:r>
        <w:rPr>
          <w:spacing w:val="-4"/>
          <w:w w:val="105"/>
          <w:sz w:val="13"/>
        </w:rPr>
        <w:t>2011) </w:t>
      </w:r>
      <w:r>
        <w:rPr>
          <w:spacing w:val="3"/>
          <w:w w:val="105"/>
          <w:sz w:val="13"/>
        </w:rPr>
        <w:t>[46].</w:t>
      </w:r>
    </w:p>
    <w:p>
      <w:pPr>
        <w:spacing w:after="0" w:line="240" w:lineRule="auto"/>
        <w:jc w:val="left"/>
        <w:rPr>
          <w:sz w:val="13"/>
        </w:rPr>
        <w:sectPr>
          <w:pgSz w:w="11910" w:h="16840"/>
          <w:pgMar w:header="550" w:footer="0" w:top="1560" w:bottom="280" w:left="0" w:right="0"/>
        </w:sectPr>
      </w:pPr>
    </w:p>
    <w:p>
      <w:pPr>
        <w:pStyle w:val="BodyText"/>
        <w:rPr>
          <w:sz w:val="20"/>
        </w:rPr>
      </w:pPr>
    </w:p>
    <w:p>
      <w:pPr>
        <w:pStyle w:val="BodyText"/>
        <w:spacing w:before="1"/>
        <w:rPr>
          <w:sz w:val="19"/>
        </w:rPr>
      </w:pPr>
    </w:p>
    <w:p>
      <w:pPr>
        <w:pStyle w:val="ListParagraph"/>
        <w:numPr>
          <w:ilvl w:val="1"/>
          <w:numId w:val="44"/>
        </w:numPr>
        <w:tabs>
          <w:tab w:pos="2875" w:val="left" w:leader="none"/>
        </w:tabs>
        <w:spacing w:line="254" w:lineRule="auto" w:before="92" w:after="0"/>
        <w:ind w:left="2874" w:right="2310" w:hanging="153"/>
        <w:jc w:val="left"/>
        <w:rPr>
          <w:sz w:val="20"/>
        </w:rPr>
      </w:pPr>
      <w:r>
        <w:rPr>
          <w:w w:val="105"/>
          <w:sz w:val="20"/>
        </w:rPr>
        <w:t>the</w:t>
      </w:r>
      <w:r>
        <w:rPr>
          <w:spacing w:val="-9"/>
          <w:w w:val="105"/>
          <w:sz w:val="20"/>
        </w:rPr>
        <w:t> </w:t>
      </w:r>
      <w:r>
        <w:rPr>
          <w:w w:val="105"/>
          <w:sz w:val="20"/>
        </w:rPr>
        <w:t>proceeds</w:t>
      </w:r>
      <w:r>
        <w:rPr>
          <w:spacing w:val="-9"/>
          <w:w w:val="105"/>
          <w:sz w:val="20"/>
        </w:rPr>
        <w:t> </w:t>
      </w:r>
      <w:r>
        <w:rPr>
          <w:w w:val="105"/>
          <w:sz w:val="20"/>
        </w:rPr>
        <w:t>of</w:t>
      </w:r>
      <w:r>
        <w:rPr>
          <w:spacing w:val="-9"/>
          <w:w w:val="105"/>
          <w:sz w:val="20"/>
        </w:rPr>
        <w:t> </w:t>
      </w:r>
      <w:r>
        <w:rPr>
          <w:w w:val="105"/>
          <w:sz w:val="20"/>
        </w:rPr>
        <w:t>the</w:t>
      </w:r>
      <w:r>
        <w:rPr>
          <w:spacing w:val="-8"/>
          <w:w w:val="105"/>
          <w:sz w:val="20"/>
        </w:rPr>
        <w:t> </w:t>
      </w:r>
      <w:r>
        <w:rPr>
          <w:w w:val="105"/>
          <w:sz w:val="20"/>
        </w:rPr>
        <w:t>sale</w:t>
      </w:r>
      <w:r>
        <w:rPr>
          <w:spacing w:val="-9"/>
          <w:w w:val="105"/>
          <w:sz w:val="20"/>
        </w:rPr>
        <w:t> </w:t>
      </w:r>
      <w:r>
        <w:rPr>
          <w:w w:val="105"/>
          <w:sz w:val="20"/>
        </w:rPr>
        <w:t>can</w:t>
      </w:r>
      <w:r>
        <w:rPr>
          <w:spacing w:val="-9"/>
          <w:w w:val="105"/>
          <w:sz w:val="20"/>
        </w:rPr>
        <w:t> </w:t>
      </w:r>
      <w:r>
        <w:rPr>
          <w:w w:val="105"/>
          <w:sz w:val="20"/>
        </w:rPr>
        <w:t>be</w:t>
      </w:r>
      <w:r>
        <w:rPr>
          <w:spacing w:val="-8"/>
          <w:w w:val="105"/>
          <w:sz w:val="20"/>
        </w:rPr>
        <w:t> </w:t>
      </w:r>
      <w:r>
        <w:rPr>
          <w:w w:val="105"/>
          <w:sz w:val="20"/>
        </w:rPr>
        <w:t>identified</w:t>
      </w:r>
      <w:r>
        <w:rPr>
          <w:spacing w:val="-9"/>
          <w:w w:val="105"/>
          <w:sz w:val="20"/>
        </w:rPr>
        <w:t> </w:t>
      </w:r>
      <w:r>
        <w:rPr>
          <w:w w:val="105"/>
          <w:sz w:val="20"/>
        </w:rPr>
        <w:t>with</w:t>
      </w:r>
      <w:r>
        <w:rPr>
          <w:spacing w:val="-9"/>
          <w:w w:val="105"/>
          <w:sz w:val="20"/>
        </w:rPr>
        <w:t> </w:t>
      </w:r>
      <w:r>
        <w:rPr>
          <w:w w:val="105"/>
          <w:sz w:val="20"/>
        </w:rPr>
        <w:t>sufficient</w:t>
      </w:r>
      <w:r>
        <w:rPr>
          <w:spacing w:val="-8"/>
          <w:w w:val="105"/>
          <w:sz w:val="20"/>
        </w:rPr>
        <w:t> </w:t>
      </w:r>
      <w:r>
        <w:rPr>
          <w:w w:val="105"/>
          <w:sz w:val="20"/>
        </w:rPr>
        <w:t>certainty</w:t>
      </w:r>
      <w:r>
        <w:rPr>
          <w:spacing w:val="-9"/>
          <w:w w:val="105"/>
          <w:sz w:val="20"/>
        </w:rPr>
        <w:t> </w:t>
      </w:r>
      <w:r>
        <w:rPr>
          <w:w w:val="105"/>
          <w:sz w:val="20"/>
        </w:rPr>
        <w:t>(which</w:t>
      </w:r>
      <w:r>
        <w:rPr>
          <w:spacing w:val="-9"/>
          <w:w w:val="105"/>
          <w:sz w:val="20"/>
        </w:rPr>
        <w:t> </w:t>
      </w:r>
      <w:r>
        <w:rPr>
          <w:w w:val="105"/>
          <w:sz w:val="20"/>
        </w:rPr>
        <w:t>would be the case with the bond but possibly not other</w:t>
      </w:r>
      <w:r>
        <w:rPr>
          <w:spacing w:val="25"/>
          <w:w w:val="105"/>
          <w:sz w:val="20"/>
        </w:rPr>
        <w:t> </w:t>
      </w:r>
      <w:r>
        <w:rPr>
          <w:w w:val="105"/>
          <w:sz w:val="20"/>
        </w:rPr>
        <w:t>proceeds)</w:t>
      </w:r>
    </w:p>
    <w:p>
      <w:pPr>
        <w:pStyle w:val="ListParagraph"/>
        <w:numPr>
          <w:ilvl w:val="1"/>
          <w:numId w:val="44"/>
        </w:numPr>
        <w:tabs>
          <w:tab w:pos="2875" w:val="left" w:leader="none"/>
        </w:tabs>
        <w:spacing w:line="254" w:lineRule="auto" w:before="123" w:after="0"/>
        <w:ind w:left="2874" w:right="2027" w:hanging="153"/>
        <w:jc w:val="left"/>
        <w:rPr>
          <w:sz w:val="20"/>
        </w:rPr>
      </w:pPr>
      <w:r>
        <w:rPr>
          <w:w w:val="105"/>
          <w:sz w:val="20"/>
        </w:rPr>
        <w:t>she</w:t>
      </w:r>
      <w:r>
        <w:rPr>
          <w:spacing w:val="-9"/>
          <w:w w:val="105"/>
          <w:sz w:val="20"/>
        </w:rPr>
        <w:t> </w:t>
      </w:r>
      <w:r>
        <w:rPr>
          <w:w w:val="105"/>
          <w:sz w:val="20"/>
        </w:rPr>
        <w:t>can</w:t>
      </w:r>
      <w:r>
        <w:rPr>
          <w:spacing w:val="-9"/>
          <w:w w:val="105"/>
          <w:sz w:val="20"/>
        </w:rPr>
        <w:t> </w:t>
      </w:r>
      <w:r>
        <w:rPr>
          <w:w w:val="105"/>
          <w:sz w:val="20"/>
        </w:rPr>
        <w:t>demonstrate</w:t>
      </w:r>
      <w:r>
        <w:rPr>
          <w:spacing w:val="-9"/>
          <w:w w:val="105"/>
          <w:sz w:val="20"/>
        </w:rPr>
        <w:t> </w:t>
      </w:r>
      <w:r>
        <w:rPr>
          <w:w w:val="105"/>
          <w:sz w:val="20"/>
        </w:rPr>
        <w:t>that</w:t>
      </w:r>
      <w:r>
        <w:rPr>
          <w:spacing w:val="-9"/>
          <w:w w:val="105"/>
          <w:sz w:val="20"/>
        </w:rPr>
        <w:t> </w:t>
      </w:r>
      <w:r>
        <w:rPr>
          <w:w w:val="105"/>
          <w:sz w:val="20"/>
        </w:rPr>
        <w:t>her</w:t>
      </w:r>
      <w:r>
        <w:rPr>
          <w:spacing w:val="-9"/>
          <w:w w:val="105"/>
          <w:sz w:val="20"/>
        </w:rPr>
        <w:t> </w:t>
      </w:r>
      <w:r>
        <w:rPr>
          <w:spacing w:val="-3"/>
          <w:w w:val="105"/>
          <w:sz w:val="20"/>
        </w:rPr>
        <w:t>father</w:t>
      </w:r>
      <w:r>
        <w:rPr>
          <w:spacing w:val="-9"/>
          <w:w w:val="105"/>
          <w:sz w:val="20"/>
        </w:rPr>
        <w:t> </w:t>
      </w:r>
      <w:r>
        <w:rPr>
          <w:w w:val="105"/>
          <w:sz w:val="20"/>
        </w:rPr>
        <w:t>would</w:t>
      </w:r>
      <w:r>
        <w:rPr>
          <w:spacing w:val="-9"/>
          <w:w w:val="105"/>
          <w:sz w:val="20"/>
        </w:rPr>
        <w:t> </w:t>
      </w:r>
      <w:r>
        <w:rPr>
          <w:spacing w:val="-3"/>
          <w:w w:val="105"/>
          <w:sz w:val="20"/>
        </w:rPr>
        <w:t>have</w:t>
      </w:r>
      <w:r>
        <w:rPr>
          <w:spacing w:val="-9"/>
          <w:w w:val="105"/>
          <w:sz w:val="20"/>
        </w:rPr>
        <w:t> </w:t>
      </w:r>
      <w:r>
        <w:rPr>
          <w:w w:val="105"/>
          <w:sz w:val="20"/>
        </w:rPr>
        <w:t>intended</w:t>
      </w:r>
      <w:r>
        <w:rPr>
          <w:spacing w:val="-9"/>
          <w:w w:val="105"/>
          <w:sz w:val="20"/>
        </w:rPr>
        <w:t> </w:t>
      </w:r>
      <w:r>
        <w:rPr>
          <w:w w:val="105"/>
          <w:sz w:val="20"/>
        </w:rPr>
        <w:t>her</w:t>
      </w:r>
      <w:r>
        <w:rPr>
          <w:spacing w:val="-9"/>
          <w:w w:val="105"/>
          <w:sz w:val="20"/>
        </w:rPr>
        <w:t> </w:t>
      </w:r>
      <w:r>
        <w:rPr>
          <w:w w:val="105"/>
          <w:sz w:val="20"/>
        </w:rPr>
        <w:t>to</w:t>
      </w:r>
      <w:r>
        <w:rPr>
          <w:spacing w:val="-9"/>
          <w:w w:val="105"/>
          <w:sz w:val="20"/>
        </w:rPr>
        <w:t> </w:t>
      </w:r>
      <w:r>
        <w:rPr>
          <w:spacing w:val="-3"/>
          <w:w w:val="105"/>
          <w:sz w:val="20"/>
        </w:rPr>
        <w:t>have</w:t>
      </w:r>
      <w:r>
        <w:rPr>
          <w:spacing w:val="-9"/>
          <w:w w:val="105"/>
          <w:sz w:val="20"/>
        </w:rPr>
        <w:t> </w:t>
      </w:r>
      <w:r>
        <w:rPr>
          <w:w w:val="105"/>
          <w:sz w:val="20"/>
        </w:rPr>
        <w:t>the</w:t>
      </w:r>
      <w:r>
        <w:rPr>
          <w:spacing w:val="-9"/>
          <w:w w:val="105"/>
          <w:sz w:val="20"/>
        </w:rPr>
        <w:t> </w:t>
      </w:r>
      <w:r>
        <w:rPr>
          <w:w w:val="105"/>
          <w:sz w:val="20"/>
        </w:rPr>
        <w:t>proceeds if he had testamentary</w:t>
      </w:r>
      <w:r>
        <w:rPr>
          <w:spacing w:val="18"/>
          <w:w w:val="105"/>
          <w:sz w:val="20"/>
        </w:rPr>
        <w:t> </w:t>
      </w:r>
      <w:r>
        <w:rPr>
          <w:w w:val="105"/>
          <w:sz w:val="20"/>
        </w:rPr>
        <w:t>capacity.</w:t>
      </w:r>
    </w:p>
    <w:p>
      <w:pPr>
        <w:pStyle w:val="ListParagraph"/>
        <w:numPr>
          <w:ilvl w:val="1"/>
          <w:numId w:val="22"/>
        </w:numPr>
        <w:tabs>
          <w:tab w:pos="2382" w:val="left" w:leader="none"/>
        </w:tabs>
        <w:spacing w:line="242" w:lineRule="auto" w:before="112" w:after="0"/>
        <w:ind w:left="2381" w:right="2052" w:hanging="794"/>
        <w:jc w:val="both"/>
        <w:rPr>
          <w:sz w:val="12"/>
        </w:rPr>
      </w:pPr>
      <w:r>
        <w:rPr>
          <w:w w:val="105"/>
          <w:sz w:val="21"/>
        </w:rPr>
        <w:t>The status of this </w:t>
      </w:r>
      <w:r>
        <w:rPr>
          <w:spacing w:val="-2"/>
          <w:w w:val="105"/>
          <w:sz w:val="21"/>
        </w:rPr>
        <w:t>common </w:t>
      </w:r>
      <w:r>
        <w:rPr>
          <w:w w:val="105"/>
          <w:sz w:val="21"/>
        </w:rPr>
        <w:t>law </w:t>
      </w:r>
      <w:r>
        <w:rPr>
          <w:spacing w:val="-3"/>
          <w:w w:val="105"/>
          <w:sz w:val="21"/>
        </w:rPr>
        <w:t>exception </w:t>
      </w:r>
      <w:r>
        <w:rPr>
          <w:w w:val="105"/>
          <w:sz w:val="21"/>
        </w:rPr>
        <w:t>is uncertain. It was </w:t>
      </w:r>
      <w:r>
        <w:rPr>
          <w:spacing w:val="-3"/>
          <w:w w:val="105"/>
          <w:sz w:val="21"/>
        </w:rPr>
        <w:t>originally </w:t>
      </w:r>
      <w:r>
        <w:rPr>
          <w:w w:val="105"/>
          <w:sz w:val="21"/>
        </w:rPr>
        <w:t>recognised in a </w:t>
      </w:r>
      <w:r>
        <w:rPr>
          <w:spacing w:val="-3"/>
          <w:w w:val="105"/>
          <w:sz w:val="21"/>
        </w:rPr>
        <w:t>Queensland </w:t>
      </w:r>
      <w:r>
        <w:rPr>
          <w:w w:val="105"/>
          <w:sz w:val="21"/>
        </w:rPr>
        <w:t>decision which </w:t>
      </w:r>
      <w:r>
        <w:rPr>
          <w:spacing w:val="-2"/>
          <w:w w:val="105"/>
          <w:sz w:val="21"/>
        </w:rPr>
        <w:t>has </w:t>
      </w:r>
      <w:r>
        <w:rPr>
          <w:spacing w:val="-3"/>
          <w:w w:val="105"/>
          <w:sz w:val="21"/>
        </w:rPr>
        <w:t>since </w:t>
      </w:r>
      <w:r>
        <w:rPr>
          <w:spacing w:val="-2"/>
          <w:w w:val="105"/>
          <w:sz w:val="21"/>
        </w:rPr>
        <w:t>not </w:t>
      </w:r>
      <w:r>
        <w:rPr>
          <w:w w:val="105"/>
          <w:sz w:val="21"/>
        </w:rPr>
        <w:t>been </w:t>
      </w:r>
      <w:r>
        <w:rPr>
          <w:spacing w:val="-3"/>
          <w:w w:val="105"/>
          <w:sz w:val="21"/>
        </w:rPr>
        <w:t>followed </w:t>
      </w:r>
      <w:r>
        <w:rPr>
          <w:w w:val="105"/>
          <w:sz w:val="21"/>
        </w:rPr>
        <w:t>in </w:t>
      </w:r>
      <w:r>
        <w:rPr>
          <w:spacing w:val="-3"/>
          <w:w w:val="105"/>
          <w:sz w:val="21"/>
        </w:rPr>
        <w:t>Queensland.</w:t>
      </w:r>
      <w:r>
        <w:rPr>
          <w:spacing w:val="-3"/>
          <w:w w:val="105"/>
          <w:position w:val="7"/>
          <w:sz w:val="12"/>
        </w:rPr>
        <w:t>62 </w:t>
      </w:r>
      <w:r>
        <w:rPr>
          <w:w w:val="105"/>
          <w:sz w:val="21"/>
        </w:rPr>
        <w:t>The New South</w:t>
      </w:r>
      <w:r>
        <w:rPr>
          <w:spacing w:val="-6"/>
          <w:w w:val="105"/>
          <w:sz w:val="21"/>
        </w:rPr>
        <w:t> </w:t>
      </w:r>
      <w:r>
        <w:rPr>
          <w:spacing w:val="-3"/>
          <w:w w:val="105"/>
          <w:sz w:val="21"/>
        </w:rPr>
        <w:t>Wales</w:t>
      </w:r>
      <w:r>
        <w:rPr>
          <w:spacing w:val="-5"/>
          <w:w w:val="105"/>
          <w:sz w:val="21"/>
        </w:rPr>
        <w:t> </w:t>
      </w:r>
      <w:r>
        <w:rPr>
          <w:spacing w:val="-3"/>
          <w:w w:val="105"/>
          <w:sz w:val="21"/>
        </w:rPr>
        <w:t>Court</w:t>
      </w:r>
      <w:r>
        <w:rPr>
          <w:spacing w:val="-5"/>
          <w:w w:val="105"/>
          <w:sz w:val="21"/>
        </w:rPr>
        <w:t> </w:t>
      </w:r>
      <w:r>
        <w:rPr>
          <w:w w:val="105"/>
          <w:sz w:val="21"/>
        </w:rPr>
        <w:t>of</w:t>
      </w:r>
      <w:r>
        <w:rPr>
          <w:spacing w:val="-6"/>
          <w:w w:val="105"/>
          <w:sz w:val="21"/>
        </w:rPr>
        <w:t> </w:t>
      </w:r>
      <w:r>
        <w:rPr>
          <w:w w:val="105"/>
          <w:sz w:val="21"/>
        </w:rPr>
        <w:t>Appeal</w:t>
      </w:r>
      <w:r>
        <w:rPr>
          <w:spacing w:val="-5"/>
          <w:w w:val="105"/>
          <w:sz w:val="21"/>
        </w:rPr>
        <w:t> </w:t>
      </w:r>
      <w:r>
        <w:rPr>
          <w:spacing w:val="-2"/>
          <w:w w:val="105"/>
          <w:sz w:val="21"/>
        </w:rPr>
        <w:t>has</w:t>
      </w:r>
      <w:r>
        <w:rPr>
          <w:spacing w:val="-5"/>
          <w:w w:val="105"/>
          <w:sz w:val="21"/>
        </w:rPr>
        <w:t> </w:t>
      </w:r>
      <w:r>
        <w:rPr>
          <w:w w:val="105"/>
          <w:sz w:val="21"/>
        </w:rPr>
        <w:t>also</w:t>
      </w:r>
      <w:r>
        <w:rPr>
          <w:spacing w:val="-6"/>
          <w:w w:val="105"/>
          <w:sz w:val="21"/>
        </w:rPr>
        <w:t> </w:t>
      </w:r>
      <w:r>
        <w:rPr>
          <w:w w:val="105"/>
          <w:sz w:val="21"/>
        </w:rPr>
        <w:t>rejected</w:t>
      </w:r>
      <w:r>
        <w:rPr>
          <w:spacing w:val="-5"/>
          <w:w w:val="105"/>
          <w:sz w:val="21"/>
        </w:rPr>
        <w:t> </w:t>
      </w:r>
      <w:r>
        <w:rPr>
          <w:w w:val="105"/>
          <w:sz w:val="21"/>
        </w:rPr>
        <w:t>the</w:t>
      </w:r>
      <w:r>
        <w:rPr>
          <w:spacing w:val="-5"/>
          <w:w w:val="105"/>
          <w:sz w:val="21"/>
        </w:rPr>
        <w:t> </w:t>
      </w:r>
      <w:r>
        <w:rPr>
          <w:w w:val="105"/>
          <w:sz w:val="21"/>
        </w:rPr>
        <w:t>existence</w:t>
      </w:r>
      <w:r>
        <w:rPr>
          <w:spacing w:val="-6"/>
          <w:w w:val="105"/>
          <w:sz w:val="21"/>
        </w:rPr>
        <w:t> </w:t>
      </w:r>
      <w:r>
        <w:rPr>
          <w:w w:val="105"/>
          <w:sz w:val="21"/>
        </w:rPr>
        <w:t>of</w:t>
      </w:r>
      <w:r>
        <w:rPr>
          <w:spacing w:val="-5"/>
          <w:w w:val="105"/>
          <w:sz w:val="21"/>
        </w:rPr>
        <w:t> </w:t>
      </w:r>
      <w:r>
        <w:rPr>
          <w:w w:val="105"/>
          <w:sz w:val="21"/>
        </w:rPr>
        <w:t>an</w:t>
      </w:r>
      <w:r>
        <w:rPr>
          <w:spacing w:val="-5"/>
          <w:w w:val="105"/>
          <w:sz w:val="21"/>
        </w:rPr>
        <w:t> </w:t>
      </w:r>
      <w:r>
        <w:rPr>
          <w:spacing w:val="-3"/>
          <w:w w:val="105"/>
          <w:sz w:val="21"/>
        </w:rPr>
        <w:t>exception</w:t>
      </w:r>
      <w:r>
        <w:rPr>
          <w:spacing w:val="-6"/>
          <w:w w:val="105"/>
          <w:sz w:val="21"/>
        </w:rPr>
        <w:t> </w:t>
      </w:r>
      <w:r>
        <w:rPr>
          <w:w w:val="105"/>
          <w:sz w:val="21"/>
        </w:rPr>
        <w:t>in</w:t>
      </w:r>
      <w:r>
        <w:rPr>
          <w:spacing w:val="-5"/>
          <w:w w:val="105"/>
          <w:sz w:val="21"/>
        </w:rPr>
        <w:t> </w:t>
      </w:r>
      <w:r>
        <w:rPr>
          <w:w w:val="105"/>
          <w:sz w:val="21"/>
        </w:rPr>
        <w:t>these </w:t>
      </w:r>
      <w:r>
        <w:rPr>
          <w:spacing w:val="-3"/>
          <w:w w:val="105"/>
          <w:sz w:val="21"/>
        </w:rPr>
        <w:t>circumstances.</w:t>
      </w:r>
      <w:r>
        <w:rPr>
          <w:spacing w:val="-3"/>
          <w:w w:val="105"/>
          <w:position w:val="7"/>
          <w:sz w:val="12"/>
        </w:rPr>
        <w:t>63</w:t>
      </w:r>
    </w:p>
    <w:p>
      <w:pPr>
        <w:pStyle w:val="ListParagraph"/>
        <w:numPr>
          <w:ilvl w:val="1"/>
          <w:numId w:val="22"/>
        </w:numPr>
        <w:tabs>
          <w:tab w:pos="2381" w:val="left" w:leader="none"/>
          <w:tab w:pos="2382" w:val="left" w:leader="none"/>
        </w:tabs>
        <w:spacing w:line="242" w:lineRule="auto" w:before="125" w:after="0"/>
        <w:ind w:left="2381" w:right="1802" w:hanging="794"/>
        <w:jc w:val="left"/>
        <w:rPr>
          <w:sz w:val="21"/>
        </w:rPr>
      </w:pPr>
      <w:r>
        <w:rPr>
          <w:w w:val="105"/>
          <w:sz w:val="21"/>
        </w:rPr>
        <w:t>One </w:t>
      </w:r>
      <w:r>
        <w:rPr>
          <w:spacing w:val="-4"/>
          <w:w w:val="105"/>
          <w:sz w:val="21"/>
        </w:rPr>
        <w:t>key </w:t>
      </w:r>
      <w:r>
        <w:rPr>
          <w:spacing w:val="-3"/>
          <w:w w:val="105"/>
          <w:sz w:val="21"/>
        </w:rPr>
        <w:t>difference </w:t>
      </w:r>
      <w:r>
        <w:rPr>
          <w:w w:val="105"/>
          <w:sz w:val="21"/>
        </w:rPr>
        <w:t>between an </w:t>
      </w:r>
      <w:r>
        <w:rPr>
          <w:spacing w:val="-3"/>
          <w:w w:val="105"/>
          <w:sz w:val="21"/>
        </w:rPr>
        <w:t>administrator </w:t>
      </w:r>
      <w:r>
        <w:rPr>
          <w:w w:val="105"/>
          <w:sz w:val="21"/>
        </w:rPr>
        <w:t>and an </w:t>
      </w:r>
      <w:r>
        <w:rPr>
          <w:spacing w:val="-4"/>
          <w:w w:val="105"/>
          <w:sz w:val="21"/>
        </w:rPr>
        <w:t>attorney, </w:t>
      </w:r>
      <w:r>
        <w:rPr>
          <w:w w:val="105"/>
          <w:sz w:val="21"/>
        </w:rPr>
        <w:t>is </w:t>
      </w:r>
      <w:r>
        <w:rPr>
          <w:spacing w:val="-3"/>
          <w:w w:val="105"/>
          <w:sz w:val="21"/>
        </w:rPr>
        <w:t>that </w:t>
      </w:r>
      <w:r>
        <w:rPr>
          <w:w w:val="105"/>
          <w:sz w:val="21"/>
        </w:rPr>
        <w:t>depending on the </w:t>
      </w:r>
      <w:r>
        <w:rPr>
          <w:spacing w:val="-3"/>
          <w:w w:val="105"/>
          <w:sz w:val="21"/>
        </w:rPr>
        <w:t>terms </w:t>
      </w:r>
      <w:r>
        <w:rPr>
          <w:w w:val="105"/>
          <w:sz w:val="21"/>
        </w:rPr>
        <w:t>of the </w:t>
      </w:r>
      <w:r>
        <w:rPr>
          <w:spacing w:val="-3"/>
          <w:w w:val="105"/>
          <w:sz w:val="21"/>
        </w:rPr>
        <w:t>enduring </w:t>
      </w:r>
      <w:r>
        <w:rPr>
          <w:spacing w:val="-5"/>
          <w:w w:val="105"/>
          <w:sz w:val="21"/>
        </w:rPr>
        <w:t>power, </w:t>
      </w:r>
      <w:r>
        <w:rPr>
          <w:w w:val="105"/>
          <w:sz w:val="21"/>
        </w:rPr>
        <w:t>an attorney </w:t>
      </w:r>
      <w:r>
        <w:rPr>
          <w:spacing w:val="-3"/>
          <w:w w:val="105"/>
          <w:sz w:val="21"/>
        </w:rPr>
        <w:t>may </w:t>
      </w:r>
      <w:r>
        <w:rPr>
          <w:w w:val="105"/>
          <w:sz w:val="21"/>
        </w:rPr>
        <w:t>be able </w:t>
      </w:r>
      <w:r>
        <w:rPr>
          <w:spacing w:val="-3"/>
          <w:w w:val="105"/>
          <w:sz w:val="21"/>
        </w:rPr>
        <w:t>to </w:t>
      </w:r>
      <w:r>
        <w:rPr>
          <w:w w:val="105"/>
          <w:sz w:val="21"/>
        </w:rPr>
        <w:t>deal with a </w:t>
      </w:r>
      <w:r>
        <w:rPr>
          <w:spacing w:val="-3"/>
          <w:w w:val="105"/>
          <w:sz w:val="21"/>
        </w:rPr>
        <w:t>person’s </w:t>
      </w:r>
      <w:r>
        <w:rPr>
          <w:w w:val="105"/>
          <w:sz w:val="21"/>
        </w:rPr>
        <w:t>assets while the person still </w:t>
      </w:r>
      <w:r>
        <w:rPr>
          <w:spacing w:val="-2"/>
          <w:w w:val="105"/>
          <w:sz w:val="21"/>
        </w:rPr>
        <w:t>has </w:t>
      </w:r>
      <w:r>
        <w:rPr>
          <w:w w:val="105"/>
          <w:sz w:val="21"/>
        </w:rPr>
        <w:t>legal capacity </w:t>
      </w:r>
      <w:r>
        <w:rPr>
          <w:spacing w:val="-3"/>
          <w:w w:val="105"/>
          <w:sz w:val="21"/>
        </w:rPr>
        <w:t>to </w:t>
      </w:r>
      <w:r>
        <w:rPr>
          <w:w w:val="105"/>
          <w:sz w:val="21"/>
        </w:rPr>
        <w:t>do so themselves.</w:t>
      </w:r>
      <w:r>
        <w:rPr>
          <w:w w:val="105"/>
          <w:position w:val="7"/>
          <w:sz w:val="12"/>
        </w:rPr>
        <w:t>64 </w:t>
      </w:r>
      <w:r>
        <w:rPr>
          <w:w w:val="105"/>
          <w:sz w:val="21"/>
        </w:rPr>
        <w:t>This issue is addressed further</w:t>
      </w:r>
      <w:r>
        <w:rPr>
          <w:spacing w:val="5"/>
          <w:w w:val="105"/>
          <w:sz w:val="21"/>
        </w:rPr>
        <w:t> </w:t>
      </w:r>
      <w:r>
        <w:rPr>
          <w:spacing w:val="-3"/>
          <w:w w:val="105"/>
          <w:sz w:val="21"/>
        </w:rPr>
        <w:t>below.</w:t>
      </w:r>
    </w:p>
    <w:p>
      <w:pPr>
        <w:pStyle w:val="BodyText"/>
        <w:rPr>
          <w:sz w:val="25"/>
        </w:rPr>
      </w:pPr>
    </w:p>
    <w:p>
      <w:pPr>
        <w:pStyle w:val="Heading5"/>
        <w:spacing w:before="1"/>
      </w:pPr>
      <w:r>
        <w:rPr>
          <w:w w:val="115"/>
        </w:rPr>
        <w:t>National Committee for Uniform Succession Laws</w:t>
      </w:r>
    </w:p>
    <w:p>
      <w:pPr>
        <w:pStyle w:val="ListParagraph"/>
        <w:numPr>
          <w:ilvl w:val="1"/>
          <w:numId w:val="22"/>
        </w:numPr>
        <w:tabs>
          <w:tab w:pos="2381" w:val="left" w:leader="none"/>
          <w:tab w:pos="2382" w:val="left" w:leader="none"/>
        </w:tabs>
        <w:spacing w:line="242" w:lineRule="auto" w:before="137" w:after="0"/>
        <w:ind w:left="2381" w:right="1585" w:hanging="794"/>
        <w:jc w:val="left"/>
        <w:rPr>
          <w:sz w:val="21"/>
        </w:rPr>
      </w:pPr>
      <w:r>
        <w:rPr>
          <w:w w:val="105"/>
          <w:sz w:val="21"/>
        </w:rPr>
        <w:t>The </w:t>
      </w:r>
      <w:r>
        <w:rPr>
          <w:spacing w:val="-3"/>
          <w:w w:val="105"/>
          <w:sz w:val="21"/>
        </w:rPr>
        <w:t>National Committee for Uniform Succession </w:t>
      </w:r>
      <w:r>
        <w:rPr>
          <w:w w:val="105"/>
          <w:sz w:val="21"/>
        </w:rPr>
        <w:t>Laws </w:t>
      </w:r>
      <w:r>
        <w:rPr>
          <w:spacing w:val="-3"/>
          <w:w w:val="105"/>
          <w:sz w:val="21"/>
        </w:rPr>
        <w:t>considered </w:t>
      </w:r>
      <w:r>
        <w:rPr>
          <w:w w:val="105"/>
          <w:sz w:val="21"/>
        </w:rPr>
        <w:t>the possibility of </w:t>
      </w:r>
      <w:r>
        <w:rPr>
          <w:spacing w:val="-3"/>
          <w:w w:val="105"/>
          <w:sz w:val="21"/>
        </w:rPr>
        <w:t>providing</w:t>
      </w:r>
      <w:r>
        <w:rPr>
          <w:spacing w:val="-5"/>
          <w:w w:val="105"/>
          <w:sz w:val="21"/>
        </w:rPr>
        <w:t> </w:t>
      </w:r>
      <w:r>
        <w:rPr>
          <w:w w:val="105"/>
          <w:sz w:val="21"/>
        </w:rPr>
        <w:t>an</w:t>
      </w:r>
      <w:r>
        <w:rPr>
          <w:spacing w:val="-5"/>
          <w:w w:val="105"/>
          <w:sz w:val="21"/>
        </w:rPr>
        <w:t> </w:t>
      </w:r>
      <w:r>
        <w:rPr>
          <w:spacing w:val="-3"/>
          <w:w w:val="105"/>
          <w:sz w:val="21"/>
        </w:rPr>
        <w:t>exception</w:t>
      </w:r>
      <w:r>
        <w:rPr>
          <w:spacing w:val="-5"/>
          <w:w w:val="105"/>
          <w:sz w:val="21"/>
        </w:rPr>
        <w:t> </w:t>
      </w:r>
      <w:r>
        <w:rPr>
          <w:spacing w:val="-3"/>
          <w:w w:val="105"/>
          <w:sz w:val="21"/>
        </w:rPr>
        <w:t>to</w:t>
      </w:r>
      <w:r>
        <w:rPr>
          <w:spacing w:val="-5"/>
          <w:w w:val="105"/>
          <w:sz w:val="21"/>
        </w:rPr>
        <w:t> </w:t>
      </w:r>
      <w:r>
        <w:rPr>
          <w:w w:val="105"/>
          <w:sz w:val="21"/>
        </w:rPr>
        <w:t>the</w:t>
      </w:r>
      <w:r>
        <w:rPr>
          <w:spacing w:val="-4"/>
          <w:w w:val="105"/>
          <w:sz w:val="21"/>
        </w:rPr>
        <w:t> </w:t>
      </w:r>
      <w:r>
        <w:rPr>
          <w:w w:val="105"/>
          <w:sz w:val="21"/>
        </w:rPr>
        <w:t>ademption</w:t>
      </w:r>
      <w:r>
        <w:rPr>
          <w:spacing w:val="-5"/>
          <w:w w:val="105"/>
          <w:sz w:val="21"/>
        </w:rPr>
        <w:t> </w:t>
      </w:r>
      <w:r>
        <w:rPr>
          <w:w w:val="105"/>
          <w:sz w:val="21"/>
        </w:rPr>
        <w:t>rule</w:t>
      </w:r>
      <w:r>
        <w:rPr>
          <w:spacing w:val="-5"/>
          <w:w w:val="105"/>
          <w:sz w:val="21"/>
        </w:rPr>
        <w:t> </w:t>
      </w:r>
      <w:r>
        <w:rPr>
          <w:w w:val="105"/>
          <w:sz w:val="21"/>
        </w:rPr>
        <w:t>where</w:t>
      </w:r>
      <w:r>
        <w:rPr>
          <w:spacing w:val="-5"/>
          <w:w w:val="105"/>
          <w:sz w:val="21"/>
        </w:rPr>
        <w:t> </w:t>
      </w:r>
      <w:r>
        <w:rPr>
          <w:w w:val="105"/>
          <w:sz w:val="21"/>
        </w:rPr>
        <w:t>the</w:t>
      </w:r>
      <w:r>
        <w:rPr>
          <w:spacing w:val="-4"/>
          <w:w w:val="105"/>
          <w:sz w:val="21"/>
        </w:rPr>
        <w:t> </w:t>
      </w:r>
      <w:r>
        <w:rPr>
          <w:w w:val="105"/>
          <w:sz w:val="21"/>
        </w:rPr>
        <w:t>subject</w:t>
      </w:r>
      <w:r>
        <w:rPr>
          <w:spacing w:val="-5"/>
          <w:w w:val="105"/>
          <w:sz w:val="21"/>
        </w:rPr>
        <w:t> </w:t>
      </w:r>
      <w:r>
        <w:rPr>
          <w:w w:val="105"/>
          <w:sz w:val="21"/>
        </w:rPr>
        <w:t>of</w:t>
      </w:r>
      <w:r>
        <w:rPr>
          <w:spacing w:val="-5"/>
          <w:w w:val="105"/>
          <w:sz w:val="21"/>
        </w:rPr>
        <w:t> </w:t>
      </w:r>
      <w:r>
        <w:rPr>
          <w:w w:val="105"/>
          <w:sz w:val="21"/>
        </w:rPr>
        <w:t>a</w:t>
      </w:r>
      <w:r>
        <w:rPr>
          <w:spacing w:val="-5"/>
          <w:w w:val="105"/>
          <w:sz w:val="21"/>
        </w:rPr>
        <w:t> </w:t>
      </w:r>
      <w:r>
        <w:rPr>
          <w:w w:val="105"/>
          <w:sz w:val="21"/>
        </w:rPr>
        <w:t>specific</w:t>
      </w:r>
      <w:r>
        <w:rPr>
          <w:spacing w:val="-4"/>
          <w:w w:val="105"/>
          <w:sz w:val="21"/>
        </w:rPr>
        <w:t> </w:t>
      </w:r>
      <w:r>
        <w:rPr>
          <w:w w:val="105"/>
          <w:sz w:val="21"/>
        </w:rPr>
        <w:t>gift</w:t>
      </w:r>
      <w:r>
        <w:rPr>
          <w:spacing w:val="-5"/>
          <w:w w:val="105"/>
          <w:sz w:val="21"/>
        </w:rPr>
        <w:t> </w:t>
      </w:r>
      <w:r>
        <w:rPr>
          <w:spacing w:val="-2"/>
          <w:w w:val="105"/>
          <w:sz w:val="21"/>
        </w:rPr>
        <w:t>has</w:t>
      </w:r>
      <w:r>
        <w:rPr>
          <w:spacing w:val="-5"/>
          <w:w w:val="105"/>
          <w:sz w:val="21"/>
        </w:rPr>
        <w:t> </w:t>
      </w:r>
      <w:r>
        <w:rPr>
          <w:w w:val="105"/>
          <w:sz w:val="21"/>
        </w:rPr>
        <w:t>been sold by an </w:t>
      </w:r>
      <w:r>
        <w:rPr>
          <w:spacing w:val="-3"/>
          <w:w w:val="105"/>
          <w:sz w:val="21"/>
        </w:rPr>
        <w:t>enduring </w:t>
      </w:r>
      <w:r>
        <w:rPr>
          <w:spacing w:val="-4"/>
          <w:w w:val="105"/>
          <w:sz w:val="21"/>
        </w:rPr>
        <w:t>attorney. </w:t>
      </w:r>
      <w:r>
        <w:rPr>
          <w:w w:val="105"/>
          <w:sz w:val="21"/>
        </w:rPr>
        <w:t>It </w:t>
      </w:r>
      <w:r>
        <w:rPr>
          <w:spacing w:val="-3"/>
          <w:w w:val="105"/>
          <w:sz w:val="21"/>
        </w:rPr>
        <w:t>considered allowing </w:t>
      </w:r>
      <w:r>
        <w:rPr>
          <w:w w:val="105"/>
          <w:sz w:val="21"/>
        </w:rPr>
        <w:t>the beneficiary </w:t>
      </w:r>
      <w:r>
        <w:rPr>
          <w:spacing w:val="-3"/>
          <w:w w:val="105"/>
          <w:sz w:val="21"/>
        </w:rPr>
        <w:t>to </w:t>
      </w:r>
      <w:r>
        <w:rPr>
          <w:w w:val="105"/>
          <w:sz w:val="21"/>
        </w:rPr>
        <w:t>receive an </w:t>
      </w:r>
      <w:r>
        <w:rPr>
          <w:spacing w:val="-3"/>
          <w:w w:val="105"/>
          <w:sz w:val="21"/>
        </w:rPr>
        <w:t>amount </w:t>
      </w:r>
      <w:r>
        <w:rPr>
          <w:w w:val="105"/>
          <w:sz w:val="21"/>
        </w:rPr>
        <w:t>equal</w:t>
      </w:r>
      <w:r>
        <w:rPr>
          <w:spacing w:val="-7"/>
          <w:w w:val="105"/>
          <w:sz w:val="21"/>
        </w:rPr>
        <w:t> </w:t>
      </w:r>
      <w:r>
        <w:rPr>
          <w:spacing w:val="-3"/>
          <w:w w:val="105"/>
          <w:sz w:val="21"/>
        </w:rPr>
        <w:t>to</w:t>
      </w:r>
      <w:r>
        <w:rPr>
          <w:spacing w:val="-6"/>
          <w:w w:val="105"/>
          <w:sz w:val="21"/>
        </w:rPr>
        <w:t> </w:t>
      </w:r>
      <w:r>
        <w:rPr>
          <w:w w:val="105"/>
          <w:sz w:val="21"/>
        </w:rPr>
        <w:t>the</w:t>
      </w:r>
      <w:r>
        <w:rPr>
          <w:spacing w:val="-7"/>
          <w:w w:val="105"/>
          <w:sz w:val="21"/>
        </w:rPr>
        <w:t> </w:t>
      </w:r>
      <w:r>
        <w:rPr>
          <w:w w:val="105"/>
          <w:sz w:val="21"/>
        </w:rPr>
        <w:t>net</w:t>
      </w:r>
      <w:r>
        <w:rPr>
          <w:spacing w:val="-6"/>
          <w:w w:val="105"/>
          <w:sz w:val="21"/>
        </w:rPr>
        <w:t> </w:t>
      </w:r>
      <w:r>
        <w:rPr>
          <w:w w:val="105"/>
          <w:sz w:val="21"/>
        </w:rPr>
        <w:t>proceeds</w:t>
      </w:r>
      <w:r>
        <w:rPr>
          <w:spacing w:val="-7"/>
          <w:w w:val="105"/>
          <w:sz w:val="21"/>
        </w:rPr>
        <w:t> </w:t>
      </w:r>
      <w:r>
        <w:rPr>
          <w:w w:val="105"/>
          <w:sz w:val="21"/>
        </w:rPr>
        <w:t>of</w:t>
      </w:r>
      <w:r>
        <w:rPr>
          <w:spacing w:val="-6"/>
          <w:w w:val="105"/>
          <w:sz w:val="21"/>
        </w:rPr>
        <w:t> </w:t>
      </w:r>
      <w:r>
        <w:rPr>
          <w:w w:val="105"/>
          <w:sz w:val="21"/>
        </w:rPr>
        <w:t>sale</w:t>
      </w:r>
      <w:r>
        <w:rPr>
          <w:spacing w:val="-7"/>
          <w:w w:val="105"/>
          <w:sz w:val="21"/>
        </w:rPr>
        <w:t> </w:t>
      </w:r>
      <w:r>
        <w:rPr>
          <w:w w:val="105"/>
          <w:sz w:val="21"/>
        </w:rPr>
        <w:t>of</w:t>
      </w:r>
      <w:r>
        <w:rPr>
          <w:spacing w:val="-6"/>
          <w:w w:val="105"/>
          <w:sz w:val="21"/>
        </w:rPr>
        <w:t> </w:t>
      </w:r>
      <w:r>
        <w:rPr>
          <w:w w:val="105"/>
          <w:sz w:val="21"/>
        </w:rPr>
        <w:t>the</w:t>
      </w:r>
      <w:r>
        <w:rPr>
          <w:spacing w:val="-7"/>
          <w:w w:val="105"/>
          <w:sz w:val="21"/>
        </w:rPr>
        <w:t> </w:t>
      </w:r>
      <w:r>
        <w:rPr>
          <w:w w:val="105"/>
          <w:sz w:val="21"/>
        </w:rPr>
        <w:t>property,</w:t>
      </w:r>
      <w:r>
        <w:rPr>
          <w:spacing w:val="-6"/>
          <w:w w:val="105"/>
          <w:sz w:val="21"/>
        </w:rPr>
        <w:t> </w:t>
      </w:r>
      <w:r>
        <w:rPr>
          <w:w w:val="105"/>
          <w:sz w:val="21"/>
        </w:rPr>
        <w:t>which</w:t>
      </w:r>
      <w:r>
        <w:rPr>
          <w:spacing w:val="-7"/>
          <w:w w:val="105"/>
          <w:sz w:val="21"/>
        </w:rPr>
        <w:t> </w:t>
      </w:r>
      <w:r>
        <w:rPr>
          <w:w w:val="105"/>
          <w:sz w:val="21"/>
        </w:rPr>
        <w:t>would</w:t>
      </w:r>
      <w:r>
        <w:rPr>
          <w:spacing w:val="-6"/>
          <w:w w:val="105"/>
          <w:sz w:val="21"/>
        </w:rPr>
        <w:t> </w:t>
      </w:r>
      <w:r>
        <w:rPr>
          <w:w w:val="105"/>
          <w:sz w:val="21"/>
        </w:rPr>
        <w:t>be</w:t>
      </w:r>
      <w:r>
        <w:rPr>
          <w:spacing w:val="-7"/>
          <w:w w:val="105"/>
          <w:sz w:val="21"/>
        </w:rPr>
        <w:t> </w:t>
      </w:r>
      <w:r>
        <w:rPr>
          <w:spacing w:val="-3"/>
          <w:w w:val="105"/>
          <w:sz w:val="21"/>
        </w:rPr>
        <w:t>distributed</w:t>
      </w:r>
      <w:r>
        <w:rPr>
          <w:spacing w:val="-6"/>
          <w:w w:val="105"/>
          <w:sz w:val="21"/>
        </w:rPr>
        <w:t> </w:t>
      </w:r>
      <w:r>
        <w:rPr>
          <w:w w:val="105"/>
          <w:sz w:val="21"/>
        </w:rPr>
        <w:t>in</w:t>
      </w:r>
      <w:r>
        <w:rPr>
          <w:spacing w:val="-7"/>
          <w:w w:val="105"/>
          <w:sz w:val="21"/>
        </w:rPr>
        <w:t> </w:t>
      </w:r>
      <w:r>
        <w:rPr>
          <w:w w:val="105"/>
          <w:sz w:val="21"/>
        </w:rPr>
        <w:t>the</w:t>
      </w:r>
      <w:r>
        <w:rPr>
          <w:spacing w:val="-6"/>
          <w:w w:val="105"/>
          <w:sz w:val="21"/>
        </w:rPr>
        <w:t> </w:t>
      </w:r>
      <w:r>
        <w:rPr>
          <w:w w:val="105"/>
          <w:sz w:val="21"/>
        </w:rPr>
        <w:t>same </w:t>
      </w:r>
      <w:r>
        <w:rPr>
          <w:spacing w:val="-3"/>
          <w:w w:val="105"/>
          <w:sz w:val="21"/>
        </w:rPr>
        <w:t>manner </w:t>
      </w:r>
      <w:r>
        <w:rPr>
          <w:w w:val="105"/>
          <w:sz w:val="21"/>
        </w:rPr>
        <w:t>as if it </w:t>
      </w:r>
      <w:r>
        <w:rPr>
          <w:spacing w:val="-3"/>
          <w:w w:val="105"/>
          <w:sz w:val="21"/>
        </w:rPr>
        <w:t>were </w:t>
      </w:r>
      <w:r>
        <w:rPr>
          <w:w w:val="105"/>
          <w:sz w:val="21"/>
        </w:rPr>
        <w:t>a specific gift.</w:t>
      </w:r>
      <w:r>
        <w:rPr>
          <w:w w:val="105"/>
          <w:position w:val="7"/>
          <w:sz w:val="12"/>
        </w:rPr>
        <w:t>65 </w:t>
      </w:r>
      <w:r>
        <w:rPr>
          <w:spacing w:val="-4"/>
          <w:w w:val="105"/>
          <w:sz w:val="21"/>
        </w:rPr>
        <w:t>However, </w:t>
      </w:r>
      <w:r>
        <w:rPr>
          <w:w w:val="105"/>
          <w:sz w:val="21"/>
        </w:rPr>
        <w:t>the </w:t>
      </w:r>
      <w:r>
        <w:rPr>
          <w:spacing w:val="-3"/>
          <w:w w:val="105"/>
          <w:sz w:val="21"/>
        </w:rPr>
        <w:t>National Committee </w:t>
      </w:r>
      <w:r>
        <w:rPr>
          <w:w w:val="105"/>
          <w:sz w:val="21"/>
        </w:rPr>
        <w:t>did </w:t>
      </w:r>
      <w:r>
        <w:rPr>
          <w:spacing w:val="-2"/>
          <w:w w:val="105"/>
          <w:sz w:val="21"/>
        </w:rPr>
        <w:t>not </w:t>
      </w:r>
      <w:r>
        <w:rPr>
          <w:spacing w:val="-4"/>
          <w:w w:val="105"/>
          <w:sz w:val="21"/>
        </w:rPr>
        <w:t>make </w:t>
      </w:r>
      <w:r>
        <w:rPr>
          <w:spacing w:val="-3"/>
          <w:w w:val="105"/>
          <w:sz w:val="21"/>
        </w:rPr>
        <w:t>any recommendations, </w:t>
      </w:r>
      <w:r>
        <w:rPr>
          <w:w w:val="105"/>
          <w:sz w:val="21"/>
        </w:rPr>
        <w:t>stating </w:t>
      </w:r>
      <w:r>
        <w:rPr>
          <w:spacing w:val="-3"/>
          <w:w w:val="105"/>
          <w:sz w:val="21"/>
        </w:rPr>
        <w:t>that </w:t>
      </w:r>
      <w:r>
        <w:rPr>
          <w:w w:val="105"/>
          <w:sz w:val="21"/>
        </w:rPr>
        <w:t>the ademption rule as a whole should be reviewed as a </w:t>
      </w:r>
      <w:r>
        <w:rPr>
          <w:spacing w:val="-3"/>
          <w:w w:val="105"/>
          <w:sz w:val="21"/>
        </w:rPr>
        <w:t>discrete </w:t>
      </w:r>
      <w:r>
        <w:rPr>
          <w:w w:val="105"/>
          <w:sz w:val="21"/>
        </w:rPr>
        <w:t>project.</w:t>
      </w:r>
      <w:r>
        <w:rPr>
          <w:w w:val="105"/>
          <w:position w:val="7"/>
          <w:sz w:val="12"/>
        </w:rPr>
        <w:t>66 </w:t>
      </w:r>
      <w:r>
        <w:rPr>
          <w:w w:val="105"/>
          <w:sz w:val="21"/>
        </w:rPr>
        <w:t>This project </w:t>
      </w:r>
      <w:r>
        <w:rPr>
          <w:spacing w:val="-2"/>
          <w:w w:val="105"/>
          <w:sz w:val="21"/>
        </w:rPr>
        <w:t>has not </w:t>
      </w:r>
      <w:r>
        <w:rPr>
          <w:w w:val="105"/>
          <w:sz w:val="21"/>
        </w:rPr>
        <w:t>been</w:t>
      </w:r>
      <w:r>
        <w:rPr>
          <w:spacing w:val="24"/>
          <w:w w:val="105"/>
          <w:sz w:val="21"/>
        </w:rPr>
        <w:t> </w:t>
      </w:r>
      <w:r>
        <w:rPr>
          <w:w w:val="105"/>
          <w:sz w:val="21"/>
        </w:rPr>
        <w:t>undertaken.</w:t>
      </w:r>
    </w:p>
    <w:p>
      <w:pPr>
        <w:pStyle w:val="BodyText"/>
        <w:spacing w:before="4"/>
        <w:rPr>
          <w:sz w:val="25"/>
        </w:rPr>
      </w:pPr>
    </w:p>
    <w:p>
      <w:pPr>
        <w:pStyle w:val="Heading5"/>
      </w:pPr>
      <w:r>
        <w:rPr>
          <w:w w:val="115"/>
        </w:rPr>
        <w:t>A legislative exception to ademption</w:t>
      </w:r>
    </w:p>
    <w:p>
      <w:pPr>
        <w:pStyle w:val="ListParagraph"/>
        <w:numPr>
          <w:ilvl w:val="1"/>
          <w:numId w:val="22"/>
        </w:numPr>
        <w:tabs>
          <w:tab w:pos="2381" w:val="left" w:leader="none"/>
          <w:tab w:pos="2382" w:val="left" w:leader="none"/>
        </w:tabs>
        <w:spacing w:line="242" w:lineRule="auto" w:before="137" w:after="0"/>
        <w:ind w:left="2381" w:right="1721" w:hanging="794"/>
        <w:jc w:val="left"/>
        <w:rPr>
          <w:sz w:val="12"/>
        </w:rPr>
      </w:pPr>
      <w:r>
        <w:rPr>
          <w:w w:val="105"/>
          <w:sz w:val="21"/>
        </w:rPr>
        <w:t>All</w:t>
      </w:r>
      <w:r>
        <w:rPr>
          <w:spacing w:val="-8"/>
          <w:w w:val="105"/>
          <w:sz w:val="21"/>
        </w:rPr>
        <w:t> </w:t>
      </w:r>
      <w:r>
        <w:rPr>
          <w:spacing w:val="-3"/>
          <w:w w:val="105"/>
          <w:sz w:val="21"/>
        </w:rPr>
        <w:t>submissions</w:t>
      </w:r>
      <w:r>
        <w:rPr>
          <w:spacing w:val="-8"/>
          <w:w w:val="105"/>
          <w:sz w:val="21"/>
        </w:rPr>
        <w:t> </w:t>
      </w:r>
      <w:r>
        <w:rPr>
          <w:spacing w:val="-3"/>
          <w:w w:val="105"/>
          <w:sz w:val="21"/>
        </w:rPr>
        <w:t>that</w:t>
      </w:r>
      <w:r>
        <w:rPr>
          <w:spacing w:val="-8"/>
          <w:w w:val="105"/>
          <w:sz w:val="21"/>
        </w:rPr>
        <w:t> </w:t>
      </w:r>
      <w:r>
        <w:rPr>
          <w:w w:val="105"/>
          <w:sz w:val="21"/>
        </w:rPr>
        <w:t>addressed</w:t>
      </w:r>
      <w:r>
        <w:rPr>
          <w:spacing w:val="-8"/>
          <w:w w:val="105"/>
          <w:sz w:val="21"/>
        </w:rPr>
        <w:t> </w:t>
      </w:r>
      <w:r>
        <w:rPr>
          <w:w w:val="105"/>
          <w:sz w:val="21"/>
        </w:rPr>
        <w:t>the</w:t>
      </w:r>
      <w:r>
        <w:rPr>
          <w:spacing w:val="-8"/>
          <w:w w:val="105"/>
          <w:sz w:val="21"/>
        </w:rPr>
        <w:t> </w:t>
      </w:r>
      <w:r>
        <w:rPr>
          <w:w w:val="105"/>
          <w:sz w:val="21"/>
        </w:rPr>
        <w:t>issue</w:t>
      </w:r>
      <w:r>
        <w:rPr>
          <w:spacing w:val="-8"/>
          <w:w w:val="105"/>
          <w:sz w:val="21"/>
        </w:rPr>
        <w:t> </w:t>
      </w:r>
      <w:r>
        <w:rPr>
          <w:w w:val="105"/>
          <w:sz w:val="21"/>
        </w:rPr>
        <w:t>agreed</w:t>
      </w:r>
      <w:r>
        <w:rPr>
          <w:spacing w:val="-8"/>
          <w:w w:val="105"/>
          <w:sz w:val="21"/>
        </w:rPr>
        <w:t> </w:t>
      </w:r>
      <w:r>
        <w:rPr>
          <w:spacing w:val="-3"/>
          <w:w w:val="105"/>
          <w:sz w:val="21"/>
        </w:rPr>
        <w:t>that</w:t>
      </w:r>
      <w:r>
        <w:rPr>
          <w:spacing w:val="-7"/>
          <w:w w:val="105"/>
          <w:sz w:val="21"/>
        </w:rPr>
        <w:t> </w:t>
      </w:r>
      <w:r>
        <w:rPr>
          <w:w w:val="105"/>
          <w:sz w:val="21"/>
        </w:rPr>
        <w:t>a</w:t>
      </w:r>
      <w:r>
        <w:rPr>
          <w:spacing w:val="-8"/>
          <w:w w:val="105"/>
          <w:sz w:val="21"/>
        </w:rPr>
        <w:t> </w:t>
      </w:r>
      <w:r>
        <w:rPr>
          <w:spacing w:val="-3"/>
          <w:w w:val="105"/>
          <w:sz w:val="21"/>
        </w:rPr>
        <w:t>legislative</w:t>
      </w:r>
      <w:r>
        <w:rPr>
          <w:spacing w:val="-8"/>
          <w:w w:val="105"/>
          <w:sz w:val="21"/>
        </w:rPr>
        <w:t> </w:t>
      </w:r>
      <w:r>
        <w:rPr>
          <w:spacing w:val="-3"/>
          <w:w w:val="105"/>
          <w:sz w:val="21"/>
        </w:rPr>
        <w:t>exception</w:t>
      </w:r>
      <w:r>
        <w:rPr>
          <w:spacing w:val="-8"/>
          <w:w w:val="105"/>
          <w:sz w:val="21"/>
        </w:rPr>
        <w:t> </w:t>
      </w:r>
      <w:r>
        <w:rPr>
          <w:spacing w:val="-3"/>
          <w:w w:val="105"/>
          <w:sz w:val="21"/>
        </w:rPr>
        <w:t>to</w:t>
      </w:r>
      <w:r>
        <w:rPr>
          <w:spacing w:val="-8"/>
          <w:w w:val="105"/>
          <w:sz w:val="21"/>
        </w:rPr>
        <w:t> </w:t>
      </w:r>
      <w:r>
        <w:rPr>
          <w:w w:val="105"/>
          <w:sz w:val="21"/>
        </w:rPr>
        <w:t>ademption should be enacted </w:t>
      </w:r>
      <w:r>
        <w:rPr>
          <w:spacing w:val="-3"/>
          <w:w w:val="105"/>
          <w:sz w:val="21"/>
        </w:rPr>
        <w:t>to </w:t>
      </w:r>
      <w:r>
        <w:rPr>
          <w:w w:val="105"/>
          <w:sz w:val="21"/>
        </w:rPr>
        <w:t>deal with actions of attorneys.</w:t>
      </w:r>
      <w:r>
        <w:rPr>
          <w:w w:val="105"/>
          <w:position w:val="7"/>
          <w:sz w:val="12"/>
        </w:rPr>
        <w:t>67 </w:t>
      </w:r>
      <w:r>
        <w:rPr>
          <w:w w:val="105"/>
          <w:sz w:val="21"/>
        </w:rPr>
        <w:t>Most </w:t>
      </w:r>
      <w:r>
        <w:rPr>
          <w:spacing w:val="-3"/>
          <w:w w:val="105"/>
          <w:sz w:val="21"/>
        </w:rPr>
        <w:t>were </w:t>
      </w:r>
      <w:r>
        <w:rPr>
          <w:w w:val="105"/>
          <w:sz w:val="21"/>
        </w:rPr>
        <w:t>supportive of a </w:t>
      </w:r>
      <w:r>
        <w:rPr>
          <w:spacing w:val="-3"/>
          <w:w w:val="105"/>
          <w:sz w:val="21"/>
        </w:rPr>
        <w:t>provision similar to </w:t>
      </w:r>
      <w:r>
        <w:rPr>
          <w:w w:val="105"/>
          <w:sz w:val="21"/>
        </w:rPr>
        <w:t>section </w:t>
      </w:r>
      <w:r>
        <w:rPr>
          <w:spacing w:val="-3"/>
          <w:w w:val="105"/>
          <w:sz w:val="21"/>
        </w:rPr>
        <w:t>53 </w:t>
      </w:r>
      <w:r>
        <w:rPr>
          <w:w w:val="105"/>
          <w:sz w:val="21"/>
        </w:rPr>
        <w:t>of the </w:t>
      </w:r>
      <w:r>
        <w:rPr>
          <w:spacing w:val="-3"/>
          <w:w w:val="105"/>
          <w:sz w:val="21"/>
        </w:rPr>
        <w:t>Guardianship </w:t>
      </w:r>
      <w:r>
        <w:rPr>
          <w:w w:val="105"/>
          <w:sz w:val="21"/>
        </w:rPr>
        <w:t>and </w:t>
      </w:r>
      <w:r>
        <w:rPr>
          <w:spacing w:val="-3"/>
          <w:w w:val="105"/>
          <w:sz w:val="21"/>
        </w:rPr>
        <w:t>Administration</w:t>
      </w:r>
      <w:r>
        <w:rPr>
          <w:spacing w:val="4"/>
          <w:w w:val="105"/>
          <w:sz w:val="21"/>
        </w:rPr>
        <w:t> </w:t>
      </w:r>
      <w:r>
        <w:rPr>
          <w:w w:val="105"/>
          <w:sz w:val="21"/>
        </w:rPr>
        <w:t>Act.</w:t>
      </w:r>
      <w:r>
        <w:rPr>
          <w:w w:val="105"/>
          <w:position w:val="7"/>
          <w:sz w:val="12"/>
        </w:rPr>
        <w:t>68</w:t>
      </w:r>
    </w:p>
    <w:p>
      <w:pPr>
        <w:pStyle w:val="ListParagraph"/>
        <w:numPr>
          <w:ilvl w:val="1"/>
          <w:numId w:val="22"/>
        </w:numPr>
        <w:tabs>
          <w:tab w:pos="2381" w:val="left" w:leader="none"/>
          <w:tab w:pos="2382" w:val="left" w:leader="none"/>
        </w:tabs>
        <w:spacing w:line="242" w:lineRule="auto" w:before="123" w:after="0"/>
        <w:ind w:left="2381" w:right="1603" w:hanging="794"/>
        <w:jc w:val="left"/>
        <w:rPr>
          <w:sz w:val="21"/>
        </w:rPr>
      </w:pPr>
      <w:r>
        <w:rPr>
          <w:sz w:val="21"/>
        </w:rPr>
        <w:t>The </w:t>
      </w:r>
      <w:r>
        <w:rPr>
          <w:spacing w:val="-3"/>
          <w:sz w:val="21"/>
        </w:rPr>
        <w:t>Commission  </w:t>
      </w:r>
      <w:r>
        <w:rPr>
          <w:sz w:val="21"/>
        </w:rPr>
        <w:t>agrees </w:t>
      </w:r>
      <w:r>
        <w:rPr>
          <w:spacing w:val="-3"/>
          <w:sz w:val="21"/>
        </w:rPr>
        <w:t>that</w:t>
      </w:r>
      <w:r>
        <w:rPr>
          <w:spacing w:val="41"/>
          <w:sz w:val="21"/>
        </w:rPr>
        <w:t> </w:t>
      </w:r>
      <w:r>
        <w:rPr>
          <w:sz w:val="21"/>
        </w:rPr>
        <w:t>section </w:t>
      </w:r>
      <w:r>
        <w:rPr>
          <w:spacing w:val="-4"/>
          <w:sz w:val="21"/>
        </w:rPr>
        <w:t>53,  </w:t>
      </w:r>
      <w:r>
        <w:rPr>
          <w:sz w:val="21"/>
        </w:rPr>
        <w:t>amended as recommended </w:t>
      </w:r>
      <w:r>
        <w:rPr>
          <w:spacing w:val="-3"/>
          <w:sz w:val="21"/>
        </w:rPr>
        <w:t>earlier  </w:t>
      </w:r>
      <w:r>
        <w:rPr>
          <w:sz w:val="21"/>
        </w:rPr>
        <w:t>in this </w:t>
      </w:r>
      <w:r>
        <w:rPr>
          <w:spacing w:val="-5"/>
          <w:sz w:val="21"/>
        </w:rPr>
        <w:t>chapter,  </w:t>
      </w:r>
      <w:r>
        <w:rPr>
          <w:sz w:val="21"/>
        </w:rPr>
        <w:t>is an </w:t>
      </w:r>
      <w:r>
        <w:rPr>
          <w:spacing w:val="-3"/>
          <w:sz w:val="21"/>
        </w:rPr>
        <w:t>appropriate </w:t>
      </w:r>
      <w:r>
        <w:rPr>
          <w:sz w:val="21"/>
        </w:rPr>
        <w:t>model </w:t>
      </w:r>
      <w:r>
        <w:rPr>
          <w:spacing w:val="-3"/>
          <w:sz w:val="21"/>
        </w:rPr>
        <w:t>for  </w:t>
      </w:r>
      <w:r>
        <w:rPr>
          <w:sz w:val="21"/>
        </w:rPr>
        <w:t>a </w:t>
      </w:r>
      <w:r>
        <w:rPr>
          <w:spacing w:val="-3"/>
          <w:sz w:val="21"/>
        </w:rPr>
        <w:t>legislative</w:t>
      </w:r>
      <w:r>
        <w:rPr>
          <w:spacing w:val="41"/>
          <w:sz w:val="21"/>
        </w:rPr>
        <w:t> </w:t>
      </w:r>
      <w:r>
        <w:rPr>
          <w:spacing w:val="-3"/>
          <w:sz w:val="21"/>
        </w:rPr>
        <w:t>exception  for  </w:t>
      </w:r>
      <w:r>
        <w:rPr>
          <w:sz w:val="21"/>
        </w:rPr>
        <w:t>attorneys. It </w:t>
      </w:r>
      <w:r>
        <w:rPr>
          <w:spacing w:val="-3"/>
          <w:sz w:val="21"/>
        </w:rPr>
        <w:t>will  </w:t>
      </w:r>
      <w:r>
        <w:rPr>
          <w:sz w:val="21"/>
        </w:rPr>
        <w:t>provide certainty and </w:t>
      </w:r>
      <w:r>
        <w:rPr>
          <w:spacing w:val="-3"/>
          <w:sz w:val="21"/>
        </w:rPr>
        <w:t>ensure that </w:t>
      </w:r>
      <w:r>
        <w:rPr>
          <w:sz w:val="21"/>
        </w:rPr>
        <w:t>the rights of beneficiaries under a </w:t>
      </w:r>
      <w:r>
        <w:rPr>
          <w:spacing w:val="-3"/>
          <w:sz w:val="21"/>
        </w:rPr>
        <w:t>will </w:t>
      </w:r>
      <w:r>
        <w:rPr>
          <w:sz w:val="21"/>
        </w:rPr>
        <w:t>made by a person </w:t>
      </w:r>
      <w:r>
        <w:rPr>
          <w:spacing w:val="-3"/>
          <w:sz w:val="21"/>
        </w:rPr>
        <w:t>for </w:t>
      </w:r>
      <w:r>
        <w:rPr>
          <w:sz w:val="21"/>
        </w:rPr>
        <w:t>whom a </w:t>
      </w:r>
      <w:r>
        <w:rPr>
          <w:spacing w:val="-3"/>
          <w:sz w:val="21"/>
        </w:rPr>
        <w:t>substitute</w:t>
      </w:r>
      <w:r>
        <w:rPr>
          <w:spacing w:val="10"/>
          <w:sz w:val="21"/>
        </w:rPr>
        <w:t> </w:t>
      </w:r>
      <w:r>
        <w:rPr>
          <w:sz w:val="21"/>
        </w:rPr>
        <w:t>decision</w:t>
      </w:r>
      <w:r>
        <w:rPr>
          <w:spacing w:val="11"/>
          <w:sz w:val="21"/>
        </w:rPr>
        <w:t> </w:t>
      </w:r>
      <w:r>
        <w:rPr>
          <w:spacing w:val="-4"/>
          <w:sz w:val="21"/>
        </w:rPr>
        <w:t>maker</w:t>
      </w:r>
      <w:r>
        <w:rPr>
          <w:spacing w:val="11"/>
          <w:sz w:val="21"/>
        </w:rPr>
        <w:t> </w:t>
      </w:r>
      <w:r>
        <w:rPr>
          <w:spacing w:val="-2"/>
          <w:sz w:val="21"/>
        </w:rPr>
        <w:t>has</w:t>
      </w:r>
      <w:r>
        <w:rPr>
          <w:spacing w:val="11"/>
          <w:sz w:val="21"/>
        </w:rPr>
        <w:t> </w:t>
      </w:r>
      <w:r>
        <w:rPr>
          <w:sz w:val="21"/>
        </w:rPr>
        <w:t>been</w:t>
      </w:r>
      <w:r>
        <w:rPr>
          <w:spacing w:val="10"/>
          <w:sz w:val="21"/>
        </w:rPr>
        <w:t> </w:t>
      </w:r>
      <w:r>
        <w:rPr>
          <w:spacing w:val="-3"/>
          <w:sz w:val="21"/>
        </w:rPr>
        <w:t>appointed</w:t>
      </w:r>
      <w:r>
        <w:rPr>
          <w:spacing w:val="11"/>
          <w:sz w:val="21"/>
        </w:rPr>
        <w:t> </w:t>
      </w:r>
      <w:r>
        <w:rPr>
          <w:spacing w:val="-3"/>
          <w:sz w:val="21"/>
        </w:rPr>
        <w:t>are</w:t>
      </w:r>
      <w:r>
        <w:rPr>
          <w:spacing w:val="11"/>
          <w:sz w:val="21"/>
        </w:rPr>
        <w:t> </w:t>
      </w:r>
      <w:r>
        <w:rPr>
          <w:spacing w:val="-3"/>
          <w:sz w:val="21"/>
        </w:rPr>
        <w:t>consistent.</w:t>
      </w:r>
    </w:p>
    <w:p>
      <w:pPr>
        <w:pStyle w:val="BodyText"/>
        <w:spacing w:before="1"/>
        <w:rPr>
          <w:sz w:val="25"/>
        </w:rPr>
      </w:pPr>
    </w:p>
    <w:p>
      <w:pPr>
        <w:pStyle w:val="Heading5"/>
      </w:pPr>
      <w:r>
        <w:rPr>
          <w:w w:val="115"/>
        </w:rPr>
        <w:t>Account-keeping obligations</w:t>
      </w:r>
    </w:p>
    <w:p>
      <w:pPr>
        <w:pStyle w:val="ListParagraph"/>
        <w:numPr>
          <w:ilvl w:val="1"/>
          <w:numId w:val="22"/>
        </w:numPr>
        <w:tabs>
          <w:tab w:pos="2381" w:val="left" w:leader="none"/>
          <w:tab w:pos="2382" w:val="left" w:leader="none"/>
        </w:tabs>
        <w:spacing w:line="242" w:lineRule="auto" w:before="137" w:after="0"/>
        <w:ind w:left="2381" w:right="2396" w:hanging="794"/>
        <w:jc w:val="left"/>
        <w:rPr>
          <w:sz w:val="21"/>
        </w:rPr>
      </w:pPr>
      <w:r>
        <w:rPr>
          <w:w w:val="105"/>
          <w:sz w:val="21"/>
        </w:rPr>
        <w:t>As</w:t>
      </w:r>
      <w:r>
        <w:rPr>
          <w:spacing w:val="-5"/>
          <w:w w:val="105"/>
          <w:sz w:val="21"/>
        </w:rPr>
        <w:t> </w:t>
      </w:r>
      <w:r>
        <w:rPr>
          <w:w w:val="105"/>
          <w:sz w:val="21"/>
        </w:rPr>
        <w:t>with</w:t>
      </w:r>
      <w:r>
        <w:rPr>
          <w:spacing w:val="-4"/>
          <w:w w:val="105"/>
          <w:sz w:val="21"/>
        </w:rPr>
        <w:t> </w:t>
      </w:r>
      <w:r>
        <w:rPr>
          <w:spacing w:val="-3"/>
          <w:w w:val="105"/>
          <w:sz w:val="21"/>
        </w:rPr>
        <w:t>administrators,</w:t>
      </w:r>
      <w:r>
        <w:rPr>
          <w:spacing w:val="-4"/>
          <w:w w:val="105"/>
          <w:sz w:val="21"/>
        </w:rPr>
        <w:t> </w:t>
      </w:r>
      <w:r>
        <w:rPr>
          <w:w w:val="105"/>
          <w:sz w:val="21"/>
        </w:rPr>
        <w:t>views</w:t>
      </w:r>
      <w:r>
        <w:rPr>
          <w:spacing w:val="-5"/>
          <w:w w:val="105"/>
          <w:sz w:val="21"/>
        </w:rPr>
        <w:t> </w:t>
      </w:r>
      <w:r>
        <w:rPr>
          <w:w w:val="105"/>
          <w:sz w:val="21"/>
        </w:rPr>
        <w:t>in</w:t>
      </w:r>
      <w:r>
        <w:rPr>
          <w:spacing w:val="-4"/>
          <w:w w:val="105"/>
          <w:sz w:val="21"/>
        </w:rPr>
        <w:t> </w:t>
      </w:r>
      <w:r>
        <w:rPr>
          <w:spacing w:val="-3"/>
          <w:w w:val="105"/>
          <w:sz w:val="21"/>
        </w:rPr>
        <w:t>submissions</w:t>
      </w:r>
      <w:r>
        <w:rPr>
          <w:spacing w:val="-4"/>
          <w:w w:val="105"/>
          <w:sz w:val="21"/>
        </w:rPr>
        <w:t> </w:t>
      </w:r>
      <w:r>
        <w:rPr>
          <w:w w:val="105"/>
          <w:sz w:val="21"/>
        </w:rPr>
        <w:t>varied</w:t>
      </w:r>
      <w:r>
        <w:rPr>
          <w:spacing w:val="-5"/>
          <w:w w:val="105"/>
          <w:sz w:val="21"/>
        </w:rPr>
        <w:t> </w:t>
      </w:r>
      <w:r>
        <w:rPr>
          <w:w w:val="105"/>
          <w:sz w:val="21"/>
        </w:rPr>
        <w:t>on</w:t>
      </w:r>
      <w:r>
        <w:rPr>
          <w:spacing w:val="-4"/>
          <w:w w:val="105"/>
          <w:sz w:val="21"/>
        </w:rPr>
        <w:t> </w:t>
      </w:r>
      <w:r>
        <w:rPr>
          <w:w w:val="105"/>
          <w:sz w:val="21"/>
        </w:rPr>
        <w:t>what</w:t>
      </w:r>
      <w:r>
        <w:rPr>
          <w:spacing w:val="-4"/>
          <w:w w:val="105"/>
          <w:sz w:val="21"/>
        </w:rPr>
        <w:t> </w:t>
      </w:r>
      <w:r>
        <w:rPr>
          <w:w w:val="105"/>
          <w:sz w:val="21"/>
        </w:rPr>
        <w:t>the</w:t>
      </w:r>
      <w:r>
        <w:rPr>
          <w:spacing w:val="-5"/>
          <w:w w:val="105"/>
          <w:sz w:val="21"/>
        </w:rPr>
        <w:t> </w:t>
      </w:r>
      <w:r>
        <w:rPr>
          <w:spacing w:val="-3"/>
          <w:w w:val="105"/>
          <w:sz w:val="21"/>
        </w:rPr>
        <w:t>account-keeping obligations </w:t>
      </w:r>
      <w:r>
        <w:rPr>
          <w:w w:val="105"/>
          <w:sz w:val="21"/>
        </w:rPr>
        <w:t>of an attorney who sells a specifically gifted asset should</w:t>
      </w:r>
      <w:r>
        <w:rPr>
          <w:spacing w:val="-3"/>
          <w:w w:val="105"/>
          <w:sz w:val="21"/>
        </w:rPr>
        <w:t> be.</w:t>
      </w:r>
    </w:p>
    <w:p>
      <w:pPr>
        <w:pStyle w:val="ListParagraph"/>
        <w:numPr>
          <w:ilvl w:val="1"/>
          <w:numId w:val="22"/>
        </w:numPr>
        <w:tabs>
          <w:tab w:pos="2381" w:val="left" w:leader="none"/>
          <w:tab w:pos="2382" w:val="left" w:leader="none"/>
        </w:tabs>
        <w:spacing w:line="242" w:lineRule="auto" w:before="123" w:after="0"/>
        <w:ind w:left="2381" w:right="1632" w:hanging="794"/>
        <w:jc w:val="left"/>
        <w:rPr>
          <w:sz w:val="12"/>
        </w:rPr>
      </w:pPr>
      <w:r>
        <w:rPr>
          <w:spacing w:val="-3"/>
          <w:w w:val="105"/>
          <w:sz w:val="21"/>
        </w:rPr>
        <w:t>State Trustees, </w:t>
      </w:r>
      <w:r>
        <w:rPr>
          <w:w w:val="105"/>
          <w:sz w:val="21"/>
        </w:rPr>
        <w:t>Moores Legal and </w:t>
      </w:r>
      <w:r>
        <w:rPr>
          <w:spacing w:val="-3"/>
          <w:w w:val="105"/>
          <w:sz w:val="21"/>
        </w:rPr>
        <w:t>Carolyn Sparke </w:t>
      </w:r>
      <w:r>
        <w:rPr>
          <w:w w:val="105"/>
          <w:sz w:val="21"/>
        </w:rPr>
        <w:t>SC stated </w:t>
      </w:r>
      <w:r>
        <w:rPr>
          <w:spacing w:val="-3"/>
          <w:w w:val="105"/>
          <w:sz w:val="21"/>
        </w:rPr>
        <w:t>that </w:t>
      </w:r>
      <w:r>
        <w:rPr>
          <w:w w:val="105"/>
          <w:sz w:val="21"/>
        </w:rPr>
        <w:t>an attorney should </w:t>
      </w:r>
      <w:r>
        <w:rPr>
          <w:spacing w:val="-2"/>
          <w:w w:val="105"/>
          <w:sz w:val="21"/>
        </w:rPr>
        <w:t>not </w:t>
      </w:r>
      <w:r>
        <w:rPr>
          <w:spacing w:val="-3"/>
          <w:w w:val="105"/>
          <w:sz w:val="21"/>
        </w:rPr>
        <w:t>have any </w:t>
      </w:r>
      <w:r>
        <w:rPr>
          <w:w w:val="105"/>
          <w:sz w:val="21"/>
        </w:rPr>
        <w:t>special </w:t>
      </w:r>
      <w:r>
        <w:rPr>
          <w:spacing w:val="-3"/>
          <w:w w:val="105"/>
          <w:sz w:val="21"/>
        </w:rPr>
        <w:t>accounting obligations </w:t>
      </w:r>
      <w:r>
        <w:rPr>
          <w:w w:val="105"/>
          <w:sz w:val="21"/>
        </w:rPr>
        <w:t>in these </w:t>
      </w:r>
      <w:r>
        <w:rPr>
          <w:spacing w:val="-3"/>
          <w:w w:val="105"/>
          <w:sz w:val="21"/>
        </w:rPr>
        <w:t>circumstances.</w:t>
      </w:r>
      <w:r>
        <w:rPr>
          <w:spacing w:val="-3"/>
          <w:w w:val="105"/>
          <w:position w:val="7"/>
          <w:sz w:val="12"/>
        </w:rPr>
        <w:t>69 </w:t>
      </w:r>
      <w:r>
        <w:rPr>
          <w:spacing w:val="-3"/>
          <w:w w:val="105"/>
          <w:sz w:val="21"/>
        </w:rPr>
        <w:t>Accounting obligations already </w:t>
      </w:r>
      <w:r>
        <w:rPr>
          <w:w w:val="105"/>
          <w:sz w:val="21"/>
        </w:rPr>
        <w:t>exist, and the attorney </w:t>
      </w:r>
      <w:r>
        <w:rPr>
          <w:spacing w:val="-3"/>
          <w:w w:val="105"/>
          <w:sz w:val="21"/>
        </w:rPr>
        <w:t>may </w:t>
      </w:r>
      <w:r>
        <w:rPr>
          <w:spacing w:val="-2"/>
          <w:w w:val="105"/>
          <w:sz w:val="21"/>
        </w:rPr>
        <w:t>not </w:t>
      </w:r>
      <w:r>
        <w:rPr>
          <w:w w:val="105"/>
          <w:sz w:val="21"/>
        </w:rPr>
        <w:t>be </w:t>
      </w:r>
      <w:r>
        <w:rPr>
          <w:spacing w:val="-3"/>
          <w:w w:val="105"/>
          <w:sz w:val="21"/>
        </w:rPr>
        <w:t>aware </w:t>
      </w:r>
      <w:r>
        <w:rPr>
          <w:w w:val="105"/>
          <w:sz w:val="21"/>
        </w:rPr>
        <w:t>of what is in the </w:t>
      </w:r>
      <w:r>
        <w:rPr>
          <w:spacing w:val="-3"/>
          <w:w w:val="105"/>
          <w:sz w:val="21"/>
        </w:rPr>
        <w:t>will. Carolyn Sparke </w:t>
      </w:r>
      <w:r>
        <w:rPr>
          <w:w w:val="105"/>
          <w:sz w:val="21"/>
        </w:rPr>
        <w:t>SC </w:t>
      </w:r>
      <w:r>
        <w:rPr>
          <w:spacing w:val="-3"/>
          <w:w w:val="105"/>
          <w:sz w:val="21"/>
        </w:rPr>
        <w:t>noted that keeping funds </w:t>
      </w:r>
      <w:r>
        <w:rPr>
          <w:w w:val="105"/>
          <w:sz w:val="21"/>
        </w:rPr>
        <w:t>in a </w:t>
      </w:r>
      <w:r>
        <w:rPr>
          <w:spacing w:val="-3"/>
          <w:w w:val="105"/>
          <w:sz w:val="21"/>
        </w:rPr>
        <w:t>separate account may </w:t>
      </w:r>
      <w:r>
        <w:rPr>
          <w:w w:val="105"/>
          <w:sz w:val="21"/>
        </w:rPr>
        <w:t>impact negatively on the </w:t>
      </w:r>
      <w:r>
        <w:rPr>
          <w:spacing w:val="-3"/>
          <w:w w:val="105"/>
          <w:sz w:val="21"/>
        </w:rPr>
        <w:t>person’s financial</w:t>
      </w:r>
      <w:r>
        <w:rPr>
          <w:spacing w:val="5"/>
          <w:w w:val="105"/>
          <w:sz w:val="21"/>
        </w:rPr>
        <w:t> </w:t>
      </w:r>
      <w:r>
        <w:rPr>
          <w:spacing w:val="-3"/>
          <w:w w:val="105"/>
          <w:sz w:val="21"/>
        </w:rPr>
        <w:t>affairs.</w:t>
      </w:r>
      <w:r>
        <w:rPr>
          <w:spacing w:val="-3"/>
          <w:w w:val="105"/>
          <w:position w:val="7"/>
          <w:sz w:val="12"/>
        </w:rPr>
        <w:t>70</w:t>
      </w:r>
    </w:p>
    <w:p>
      <w:pPr>
        <w:pStyle w:val="ListParagraph"/>
        <w:numPr>
          <w:ilvl w:val="1"/>
          <w:numId w:val="22"/>
        </w:numPr>
        <w:tabs>
          <w:tab w:pos="2381" w:val="left" w:leader="none"/>
          <w:tab w:pos="2382" w:val="left" w:leader="none"/>
        </w:tabs>
        <w:spacing w:line="242" w:lineRule="auto" w:before="125" w:after="0"/>
        <w:ind w:left="2381" w:right="2133" w:hanging="794"/>
        <w:jc w:val="left"/>
        <w:rPr>
          <w:sz w:val="12"/>
        </w:rPr>
      </w:pPr>
      <w:r>
        <w:rPr>
          <w:sz w:val="21"/>
        </w:rPr>
        <w:t>Other </w:t>
      </w:r>
      <w:r>
        <w:rPr>
          <w:spacing w:val="-3"/>
          <w:sz w:val="21"/>
        </w:rPr>
        <w:t>submissions </w:t>
      </w:r>
      <w:r>
        <w:rPr>
          <w:sz w:val="21"/>
        </w:rPr>
        <w:t>proposed </w:t>
      </w:r>
      <w:r>
        <w:rPr>
          <w:spacing w:val="-3"/>
          <w:sz w:val="21"/>
        </w:rPr>
        <w:t>that </w:t>
      </w:r>
      <w:r>
        <w:rPr>
          <w:sz w:val="21"/>
        </w:rPr>
        <w:t>attorneys be </w:t>
      </w:r>
      <w:r>
        <w:rPr>
          <w:spacing w:val="-3"/>
          <w:sz w:val="21"/>
        </w:rPr>
        <w:t>required  to  keep  any  </w:t>
      </w:r>
      <w:r>
        <w:rPr>
          <w:sz w:val="21"/>
        </w:rPr>
        <w:t>sale proceeds in a </w:t>
      </w:r>
      <w:r>
        <w:rPr>
          <w:spacing w:val="-3"/>
          <w:sz w:val="21"/>
        </w:rPr>
        <w:t>separate account </w:t>
      </w:r>
      <w:r>
        <w:rPr>
          <w:position w:val="7"/>
          <w:sz w:val="12"/>
        </w:rPr>
        <w:t>71 </w:t>
      </w:r>
      <w:r>
        <w:rPr>
          <w:sz w:val="21"/>
        </w:rPr>
        <w:t>and </w:t>
      </w:r>
      <w:r>
        <w:rPr>
          <w:spacing w:val="-3"/>
          <w:sz w:val="21"/>
        </w:rPr>
        <w:t>to </w:t>
      </w:r>
      <w:r>
        <w:rPr>
          <w:sz w:val="21"/>
        </w:rPr>
        <w:t>use these </w:t>
      </w:r>
      <w:r>
        <w:rPr>
          <w:spacing w:val="-3"/>
          <w:sz w:val="21"/>
        </w:rPr>
        <w:t>funds</w:t>
      </w:r>
      <w:r>
        <w:rPr>
          <w:spacing w:val="4"/>
          <w:sz w:val="21"/>
        </w:rPr>
        <w:t> </w:t>
      </w:r>
      <w:r>
        <w:rPr>
          <w:sz w:val="21"/>
        </w:rPr>
        <w:t>as a last resort.</w:t>
      </w:r>
      <w:r>
        <w:rPr>
          <w:position w:val="7"/>
          <w:sz w:val="12"/>
        </w:rPr>
        <w:t>72</w:t>
      </w:r>
    </w:p>
    <w:p>
      <w:pPr>
        <w:pStyle w:val="BodyText"/>
        <w:spacing w:before="2"/>
        <w:rPr>
          <w:sz w:val="19"/>
        </w:rPr>
      </w:pPr>
      <w:r>
        <w:rPr/>
        <w:pict>
          <v:line style="position:absolute;mso-position-horizontal-relative:page;mso-position-vertical-relative:paragraph;z-index:2624;mso-wrap-distance-left:0;mso-wrap-distance-right:0" from="79.370102pt,14.183741pt" to="515.905102pt,14.183741pt" stroked="true" strokeweight="1pt" strokecolor="#f9ceca">
            <v:stroke dashstyle="solid"/>
            <w10:wrap type="topAndBottom"/>
          </v:line>
        </w:pict>
      </w:r>
    </w:p>
    <w:p>
      <w:pPr>
        <w:pStyle w:val="ListParagraph"/>
        <w:numPr>
          <w:ilvl w:val="0"/>
          <w:numId w:val="44"/>
        </w:numPr>
        <w:tabs>
          <w:tab w:pos="2380" w:val="left" w:leader="none"/>
          <w:tab w:pos="2382" w:val="left" w:leader="none"/>
        </w:tabs>
        <w:spacing w:line="240" w:lineRule="auto" w:before="117" w:after="0"/>
        <w:ind w:left="2381" w:right="0" w:hanging="794"/>
        <w:jc w:val="left"/>
        <w:rPr>
          <w:sz w:val="13"/>
        </w:rPr>
      </w:pPr>
      <w:r>
        <w:rPr>
          <w:w w:val="105"/>
          <w:sz w:val="13"/>
        </w:rPr>
        <w:t>See</w:t>
      </w:r>
      <w:r>
        <w:rPr>
          <w:spacing w:val="4"/>
          <w:w w:val="105"/>
          <w:sz w:val="13"/>
        </w:rPr>
        <w:t> </w:t>
      </w:r>
      <w:r>
        <w:rPr>
          <w:i/>
          <w:w w:val="105"/>
          <w:sz w:val="13"/>
        </w:rPr>
        <w:t>The</w:t>
      </w:r>
      <w:r>
        <w:rPr>
          <w:i/>
          <w:spacing w:val="4"/>
          <w:w w:val="105"/>
          <w:sz w:val="13"/>
        </w:rPr>
        <w:t> </w:t>
      </w:r>
      <w:r>
        <w:rPr>
          <w:i/>
          <w:w w:val="105"/>
          <w:sz w:val="13"/>
        </w:rPr>
        <w:t>Trust</w:t>
      </w:r>
      <w:r>
        <w:rPr>
          <w:i/>
          <w:spacing w:val="4"/>
          <w:w w:val="105"/>
          <w:sz w:val="13"/>
        </w:rPr>
        <w:t> </w:t>
      </w:r>
      <w:r>
        <w:rPr>
          <w:i/>
          <w:w w:val="105"/>
          <w:sz w:val="13"/>
        </w:rPr>
        <w:t>Company</w:t>
      </w:r>
      <w:r>
        <w:rPr>
          <w:i/>
          <w:spacing w:val="4"/>
          <w:w w:val="105"/>
          <w:sz w:val="13"/>
        </w:rPr>
        <w:t> </w:t>
      </w:r>
      <w:r>
        <w:rPr>
          <w:i/>
          <w:w w:val="105"/>
          <w:sz w:val="13"/>
        </w:rPr>
        <w:t>Limited</w:t>
      </w:r>
      <w:r>
        <w:rPr>
          <w:i/>
          <w:spacing w:val="3"/>
          <w:w w:val="105"/>
          <w:sz w:val="13"/>
        </w:rPr>
        <w:t> </w:t>
      </w:r>
      <w:r>
        <w:rPr>
          <w:i/>
          <w:w w:val="105"/>
          <w:sz w:val="13"/>
        </w:rPr>
        <w:t>v</w:t>
      </w:r>
      <w:r>
        <w:rPr>
          <w:i/>
          <w:spacing w:val="4"/>
          <w:w w:val="105"/>
          <w:sz w:val="13"/>
        </w:rPr>
        <w:t> </w:t>
      </w:r>
      <w:r>
        <w:rPr>
          <w:i/>
          <w:w w:val="105"/>
          <w:sz w:val="13"/>
        </w:rPr>
        <w:t>Gibson</w:t>
      </w:r>
      <w:r>
        <w:rPr>
          <w:i/>
          <w:spacing w:val="5"/>
          <w:w w:val="105"/>
          <w:sz w:val="13"/>
        </w:rPr>
        <w:t> </w:t>
      </w:r>
      <w:r>
        <w:rPr>
          <w:w w:val="105"/>
          <w:sz w:val="13"/>
        </w:rPr>
        <w:t>[2012]</w:t>
      </w:r>
      <w:r>
        <w:rPr>
          <w:spacing w:val="5"/>
          <w:w w:val="105"/>
          <w:sz w:val="13"/>
        </w:rPr>
        <w:t> </w:t>
      </w:r>
      <w:r>
        <w:rPr>
          <w:w w:val="105"/>
          <w:sz w:val="13"/>
        </w:rPr>
        <w:t>QSC</w:t>
      </w:r>
      <w:r>
        <w:rPr>
          <w:spacing w:val="4"/>
          <w:w w:val="105"/>
          <w:sz w:val="13"/>
        </w:rPr>
        <w:t> </w:t>
      </w:r>
      <w:r>
        <w:rPr>
          <w:w w:val="105"/>
          <w:sz w:val="13"/>
        </w:rPr>
        <w:t>183</w:t>
      </w:r>
      <w:r>
        <w:rPr>
          <w:spacing w:val="5"/>
          <w:w w:val="105"/>
          <w:sz w:val="13"/>
        </w:rPr>
        <w:t> </w:t>
      </w:r>
      <w:r>
        <w:rPr>
          <w:w w:val="105"/>
          <w:sz w:val="13"/>
        </w:rPr>
        <w:t>(29</w:t>
      </w:r>
      <w:r>
        <w:rPr>
          <w:spacing w:val="5"/>
          <w:w w:val="105"/>
          <w:sz w:val="13"/>
        </w:rPr>
        <w:t> </w:t>
      </w:r>
      <w:r>
        <w:rPr>
          <w:w w:val="105"/>
          <w:sz w:val="13"/>
        </w:rPr>
        <w:t>June</w:t>
      </w:r>
      <w:r>
        <w:rPr>
          <w:spacing w:val="5"/>
          <w:w w:val="105"/>
          <w:sz w:val="13"/>
        </w:rPr>
        <w:t> </w:t>
      </w:r>
      <w:r>
        <w:rPr>
          <w:w w:val="105"/>
          <w:sz w:val="13"/>
        </w:rPr>
        <w:t>2012)</w:t>
      </w:r>
      <w:r>
        <w:rPr>
          <w:spacing w:val="4"/>
          <w:w w:val="105"/>
          <w:sz w:val="13"/>
        </w:rPr>
        <w:t> </w:t>
      </w:r>
      <w:r>
        <w:rPr>
          <w:w w:val="105"/>
          <w:sz w:val="13"/>
        </w:rPr>
        <w:t>[27].</w:t>
      </w:r>
    </w:p>
    <w:p>
      <w:pPr>
        <w:pStyle w:val="ListParagraph"/>
        <w:numPr>
          <w:ilvl w:val="0"/>
          <w:numId w:val="44"/>
        </w:numPr>
        <w:tabs>
          <w:tab w:pos="2380" w:val="left" w:leader="none"/>
          <w:tab w:pos="2381" w:val="left" w:leader="none"/>
        </w:tabs>
        <w:spacing w:line="240" w:lineRule="auto" w:before="1" w:after="0"/>
        <w:ind w:left="2380" w:right="0" w:hanging="793"/>
        <w:jc w:val="left"/>
        <w:rPr>
          <w:sz w:val="13"/>
        </w:rPr>
      </w:pPr>
      <w:r>
        <w:rPr>
          <w:i/>
          <w:w w:val="105"/>
          <w:sz w:val="13"/>
        </w:rPr>
        <w:t>RL</w:t>
      </w:r>
      <w:r>
        <w:rPr>
          <w:i/>
          <w:spacing w:val="3"/>
          <w:w w:val="105"/>
          <w:sz w:val="13"/>
        </w:rPr>
        <w:t> </w:t>
      </w:r>
      <w:r>
        <w:rPr>
          <w:i/>
          <w:w w:val="105"/>
          <w:sz w:val="13"/>
        </w:rPr>
        <w:t>v</w:t>
      </w:r>
      <w:r>
        <w:rPr>
          <w:i/>
          <w:spacing w:val="4"/>
          <w:w w:val="105"/>
          <w:sz w:val="13"/>
        </w:rPr>
        <w:t> </w:t>
      </w:r>
      <w:r>
        <w:rPr>
          <w:i/>
          <w:w w:val="105"/>
          <w:sz w:val="13"/>
        </w:rPr>
        <w:t>NSW</w:t>
      </w:r>
      <w:r>
        <w:rPr>
          <w:i/>
          <w:spacing w:val="4"/>
          <w:w w:val="105"/>
          <w:sz w:val="13"/>
        </w:rPr>
        <w:t> </w:t>
      </w:r>
      <w:r>
        <w:rPr>
          <w:i/>
          <w:w w:val="105"/>
          <w:sz w:val="13"/>
        </w:rPr>
        <w:t>Trustee</w:t>
      </w:r>
      <w:r>
        <w:rPr>
          <w:i/>
          <w:spacing w:val="3"/>
          <w:w w:val="105"/>
          <w:sz w:val="13"/>
        </w:rPr>
        <w:t> </w:t>
      </w:r>
      <w:r>
        <w:rPr>
          <w:i/>
          <w:w w:val="105"/>
          <w:sz w:val="13"/>
        </w:rPr>
        <w:t>and</w:t>
      </w:r>
      <w:r>
        <w:rPr>
          <w:i/>
          <w:spacing w:val="4"/>
          <w:w w:val="105"/>
          <w:sz w:val="13"/>
        </w:rPr>
        <w:t> </w:t>
      </w:r>
      <w:r>
        <w:rPr>
          <w:i/>
          <w:w w:val="105"/>
          <w:sz w:val="13"/>
        </w:rPr>
        <w:t>Guardian</w:t>
      </w:r>
      <w:r>
        <w:rPr>
          <w:i/>
          <w:spacing w:val="5"/>
          <w:w w:val="105"/>
          <w:sz w:val="13"/>
        </w:rPr>
        <w:t> </w:t>
      </w:r>
      <w:r>
        <w:rPr>
          <w:w w:val="105"/>
          <w:sz w:val="13"/>
        </w:rPr>
        <w:t>[2012]</w:t>
      </w:r>
      <w:r>
        <w:rPr>
          <w:spacing w:val="4"/>
          <w:w w:val="105"/>
          <w:sz w:val="13"/>
        </w:rPr>
        <w:t> </w:t>
      </w:r>
      <w:r>
        <w:rPr>
          <w:w w:val="105"/>
          <w:sz w:val="13"/>
        </w:rPr>
        <w:t>NSWCA</w:t>
      </w:r>
      <w:r>
        <w:rPr>
          <w:spacing w:val="5"/>
          <w:w w:val="105"/>
          <w:sz w:val="13"/>
        </w:rPr>
        <w:t> </w:t>
      </w:r>
      <w:r>
        <w:rPr>
          <w:w w:val="105"/>
          <w:sz w:val="13"/>
        </w:rPr>
        <w:t>39</w:t>
      </w:r>
      <w:r>
        <w:rPr>
          <w:spacing w:val="5"/>
          <w:w w:val="105"/>
          <w:sz w:val="13"/>
        </w:rPr>
        <w:t> </w:t>
      </w:r>
      <w:r>
        <w:rPr>
          <w:spacing w:val="-3"/>
          <w:w w:val="105"/>
          <w:sz w:val="13"/>
        </w:rPr>
        <w:t>(19</w:t>
      </w:r>
      <w:r>
        <w:rPr>
          <w:spacing w:val="4"/>
          <w:w w:val="105"/>
          <w:sz w:val="13"/>
        </w:rPr>
        <w:t> </w:t>
      </w:r>
      <w:r>
        <w:rPr>
          <w:w w:val="105"/>
          <w:sz w:val="13"/>
        </w:rPr>
        <w:t>March</w:t>
      </w:r>
      <w:r>
        <w:rPr>
          <w:spacing w:val="5"/>
          <w:w w:val="105"/>
          <w:sz w:val="13"/>
        </w:rPr>
        <w:t> </w:t>
      </w:r>
      <w:r>
        <w:rPr>
          <w:w w:val="105"/>
          <w:sz w:val="13"/>
        </w:rPr>
        <w:t>2012)</w:t>
      </w:r>
      <w:r>
        <w:rPr>
          <w:spacing w:val="5"/>
          <w:w w:val="105"/>
          <w:sz w:val="13"/>
        </w:rPr>
        <w:t> </w:t>
      </w:r>
      <w:r>
        <w:rPr>
          <w:spacing w:val="2"/>
          <w:w w:val="105"/>
          <w:sz w:val="13"/>
        </w:rPr>
        <w:t>[148]–[187].</w:t>
      </w:r>
    </w:p>
    <w:p>
      <w:pPr>
        <w:pStyle w:val="ListParagraph"/>
        <w:numPr>
          <w:ilvl w:val="0"/>
          <w:numId w:val="44"/>
        </w:numPr>
        <w:tabs>
          <w:tab w:pos="2380" w:val="left" w:leader="none"/>
          <w:tab w:pos="2382" w:val="left" w:leader="none"/>
        </w:tabs>
        <w:spacing w:line="240" w:lineRule="auto" w:before="2" w:after="0"/>
        <w:ind w:left="2381" w:right="0" w:hanging="794"/>
        <w:jc w:val="left"/>
        <w:rPr>
          <w:sz w:val="13"/>
        </w:rPr>
      </w:pPr>
      <w:r>
        <w:rPr>
          <w:i/>
          <w:w w:val="105"/>
          <w:sz w:val="13"/>
        </w:rPr>
        <w:t>Instruments Act 1958 </w:t>
      </w:r>
      <w:r>
        <w:rPr>
          <w:spacing w:val="2"/>
          <w:w w:val="105"/>
          <w:sz w:val="13"/>
        </w:rPr>
        <w:t>(Vic) </w:t>
      </w:r>
      <w:r>
        <w:rPr>
          <w:w w:val="105"/>
          <w:sz w:val="13"/>
        </w:rPr>
        <w:t>s</w:t>
      </w:r>
      <w:r>
        <w:rPr>
          <w:spacing w:val="18"/>
          <w:w w:val="105"/>
          <w:sz w:val="13"/>
        </w:rPr>
        <w:t> </w:t>
      </w:r>
      <w:r>
        <w:rPr>
          <w:spacing w:val="-7"/>
          <w:w w:val="105"/>
          <w:sz w:val="13"/>
        </w:rPr>
        <w:t>117.</w:t>
      </w:r>
    </w:p>
    <w:p>
      <w:pPr>
        <w:pStyle w:val="ListParagraph"/>
        <w:numPr>
          <w:ilvl w:val="0"/>
          <w:numId w:val="44"/>
        </w:numPr>
        <w:tabs>
          <w:tab w:pos="2381" w:val="left" w:leader="none"/>
          <w:tab w:pos="2382" w:val="left" w:leader="none"/>
        </w:tabs>
        <w:spacing w:line="240" w:lineRule="auto" w:before="1" w:after="0"/>
        <w:ind w:left="1587" w:right="5695" w:firstLine="0"/>
        <w:jc w:val="left"/>
        <w:rPr>
          <w:sz w:val="13"/>
        </w:rPr>
      </w:pPr>
      <w:r>
        <w:rPr>
          <w:w w:val="105"/>
          <w:sz w:val="13"/>
        </w:rPr>
        <w:t>National Committee for Uniform Succession Laws, above n 38, </w:t>
      </w:r>
      <w:r>
        <w:rPr>
          <w:spacing w:val="-5"/>
          <w:w w:val="105"/>
          <w:sz w:val="13"/>
        </w:rPr>
        <w:t>113. </w:t>
      </w:r>
      <w:r>
        <w:rPr>
          <w:w w:val="105"/>
          <w:sz w:val="13"/>
        </w:rPr>
        <w:t>66</w:t>
        <w:tab/>
        <w:t>Ibid</w:t>
      </w:r>
      <w:r>
        <w:rPr>
          <w:spacing w:val="4"/>
          <w:w w:val="105"/>
          <w:sz w:val="13"/>
        </w:rPr>
        <w:t> </w:t>
      </w:r>
      <w:r>
        <w:rPr>
          <w:spacing w:val="-3"/>
          <w:w w:val="105"/>
          <w:sz w:val="13"/>
        </w:rPr>
        <w:t>113–14.</w:t>
      </w:r>
    </w:p>
    <w:p>
      <w:pPr>
        <w:pStyle w:val="ListParagraph"/>
        <w:numPr>
          <w:ilvl w:val="0"/>
          <w:numId w:val="47"/>
        </w:numPr>
        <w:tabs>
          <w:tab w:pos="2381" w:val="left" w:leader="none"/>
          <w:tab w:pos="2382" w:val="left" w:leader="none"/>
        </w:tabs>
        <w:spacing w:line="240" w:lineRule="auto" w:before="3" w:after="0"/>
        <w:ind w:left="2381" w:right="1947" w:hanging="794"/>
        <w:jc w:val="left"/>
        <w:rPr>
          <w:sz w:val="13"/>
        </w:rPr>
      </w:pPr>
      <w:r>
        <w:rPr>
          <w:w w:val="105"/>
          <w:sz w:val="13"/>
        </w:rPr>
        <w:t>Submissions 8 (Patricia Strachan); </w:t>
      </w:r>
      <w:r>
        <w:rPr>
          <w:spacing w:val="-3"/>
          <w:w w:val="105"/>
          <w:sz w:val="13"/>
        </w:rPr>
        <w:t>14 </w:t>
      </w:r>
      <w:r>
        <w:rPr>
          <w:w w:val="105"/>
          <w:sz w:val="13"/>
        </w:rPr>
        <w:t>(Commercial Bar </w:t>
      </w:r>
      <w:r>
        <w:rPr>
          <w:spacing w:val="2"/>
          <w:w w:val="105"/>
          <w:sz w:val="13"/>
        </w:rPr>
        <w:t>Association); </w:t>
      </w:r>
      <w:r>
        <w:rPr>
          <w:w w:val="105"/>
          <w:sz w:val="13"/>
        </w:rPr>
        <w:t>21 </w:t>
      </w:r>
      <w:r>
        <w:rPr>
          <w:spacing w:val="2"/>
          <w:w w:val="105"/>
          <w:sz w:val="13"/>
        </w:rPr>
        <w:t>(Office </w:t>
      </w:r>
      <w:r>
        <w:rPr>
          <w:w w:val="105"/>
          <w:sz w:val="13"/>
        </w:rPr>
        <w:t>of the Public Advocate); 30a </w:t>
      </w:r>
      <w:r>
        <w:rPr>
          <w:spacing w:val="3"/>
          <w:w w:val="105"/>
          <w:sz w:val="13"/>
        </w:rPr>
        <w:t>(Law </w:t>
      </w:r>
      <w:r>
        <w:rPr>
          <w:w w:val="105"/>
          <w:sz w:val="13"/>
        </w:rPr>
        <w:t>Institute of </w:t>
      </w:r>
      <w:r>
        <w:rPr>
          <w:spacing w:val="2"/>
          <w:w w:val="105"/>
          <w:sz w:val="13"/>
        </w:rPr>
        <w:t>Victoria); </w:t>
      </w:r>
      <w:r>
        <w:rPr>
          <w:w w:val="105"/>
          <w:sz w:val="13"/>
        </w:rPr>
        <w:t>33 (State Trustees Limited); 39 (Carolyn Sparke</w:t>
      </w:r>
      <w:r>
        <w:rPr>
          <w:spacing w:val="2"/>
          <w:w w:val="105"/>
          <w:sz w:val="13"/>
        </w:rPr>
        <w:t> </w:t>
      </w:r>
      <w:r>
        <w:rPr>
          <w:w w:val="105"/>
          <w:sz w:val="13"/>
        </w:rPr>
        <w:t>SC).</w:t>
      </w:r>
    </w:p>
    <w:p>
      <w:pPr>
        <w:pStyle w:val="ListParagraph"/>
        <w:numPr>
          <w:ilvl w:val="0"/>
          <w:numId w:val="47"/>
        </w:numPr>
        <w:tabs>
          <w:tab w:pos="2381" w:val="left" w:leader="none"/>
          <w:tab w:pos="2382" w:val="left" w:leader="none"/>
        </w:tabs>
        <w:spacing w:line="240" w:lineRule="auto" w:before="2" w:after="0"/>
        <w:ind w:left="2381" w:right="0" w:hanging="794"/>
        <w:jc w:val="left"/>
        <w:rPr>
          <w:sz w:val="13"/>
        </w:rPr>
      </w:pPr>
      <w:r>
        <w:rPr>
          <w:w w:val="105"/>
          <w:sz w:val="13"/>
        </w:rPr>
        <w:t>Submissions</w:t>
      </w:r>
      <w:r>
        <w:rPr>
          <w:spacing w:val="4"/>
          <w:w w:val="105"/>
          <w:sz w:val="13"/>
        </w:rPr>
        <w:t> </w:t>
      </w:r>
      <w:r>
        <w:rPr>
          <w:w w:val="105"/>
          <w:sz w:val="13"/>
        </w:rPr>
        <w:t>25</w:t>
      </w:r>
      <w:r>
        <w:rPr>
          <w:spacing w:val="5"/>
          <w:w w:val="105"/>
          <w:sz w:val="13"/>
        </w:rPr>
        <w:t> </w:t>
      </w:r>
      <w:r>
        <w:rPr>
          <w:spacing w:val="2"/>
          <w:w w:val="105"/>
          <w:sz w:val="13"/>
        </w:rPr>
        <w:t>(Moores</w:t>
      </w:r>
      <w:r>
        <w:rPr>
          <w:spacing w:val="5"/>
          <w:w w:val="105"/>
          <w:sz w:val="13"/>
        </w:rPr>
        <w:t> </w:t>
      </w:r>
      <w:r>
        <w:rPr>
          <w:w w:val="105"/>
          <w:sz w:val="13"/>
        </w:rPr>
        <w:t>Legal);</w:t>
      </w:r>
      <w:r>
        <w:rPr>
          <w:spacing w:val="5"/>
          <w:w w:val="105"/>
          <w:sz w:val="13"/>
        </w:rPr>
        <w:t> </w:t>
      </w:r>
      <w:r>
        <w:rPr>
          <w:w w:val="105"/>
          <w:sz w:val="13"/>
        </w:rPr>
        <w:t>30a</w:t>
      </w:r>
      <w:r>
        <w:rPr>
          <w:spacing w:val="4"/>
          <w:w w:val="105"/>
          <w:sz w:val="13"/>
        </w:rPr>
        <w:t> </w:t>
      </w:r>
      <w:r>
        <w:rPr>
          <w:spacing w:val="3"/>
          <w:w w:val="105"/>
          <w:sz w:val="13"/>
        </w:rPr>
        <w:t>(Law</w:t>
      </w:r>
      <w:r>
        <w:rPr>
          <w:spacing w:val="5"/>
          <w:w w:val="105"/>
          <w:sz w:val="13"/>
        </w:rPr>
        <w:t> </w:t>
      </w:r>
      <w:r>
        <w:rPr>
          <w:w w:val="105"/>
          <w:sz w:val="13"/>
        </w:rPr>
        <w:t>Institute</w:t>
      </w:r>
      <w:r>
        <w:rPr>
          <w:spacing w:val="5"/>
          <w:w w:val="105"/>
          <w:sz w:val="13"/>
        </w:rPr>
        <w:t> </w:t>
      </w:r>
      <w:r>
        <w:rPr>
          <w:w w:val="105"/>
          <w:sz w:val="13"/>
        </w:rPr>
        <w:t>of</w:t>
      </w:r>
      <w:r>
        <w:rPr>
          <w:spacing w:val="5"/>
          <w:w w:val="105"/>
          <w:sz w:val="13"/>
        </w:rPr>
        <w:t> </w:t>
      </w:r>
      <w:r>
        <w:rPr>
          <w:spacing w:val="2"/>
          <w:w w:val="105"/>
          <w:sz w:val="13"/>
        </w:rPr>
        <w:t>Victoria);</w:t>
      </w:r>
      <w:r>
        <w:rPr>
          <w:spacing w:val="4"/>
          <w:w w:val="105"/>
          <w:sz w:val="13"/>
        </w:rPr>
        <w:t> </w:t>
      </w:r>
      <w:r>
        <w:rPr>
          <w:w w:val="105"/>
          <w:sz w:val="13"/>
        </w:rPr>
        <w:t>33</w:t>
      </w:r>
      <w:r>
        <w:rPr>
          <w:spacing w:val="5"/>
          <w:w w:val="105"/>
          <w:sz w:val="13"/>
        </w:rPr>
        <w:t> </w:t>
      </w:r>
      <w:r>
        <w:rPr>
          <w:w w:val="105"/>
          <w:sz w:val="13"/>
        </w:rPr>
        <w:t>(State</w:t>
      </w:r>
      <w:r>
        <w:rPr>
          <w:spacing w:val="5"/>
          <w:w w:val="105"/>
          <w:sz w:val="13"/>
        </w:rPr>
        <w:t> </w:t>
      </w:r>
      <w:r>
        <w:rPr>
          <w:w w:val="105"/>
          <w:sz w:val="13"/>
        </w:rPr>
        <w:t>Trustees</w:t>
      </w:r>
      <w:r>
        <w:rPr>
          <w:spacing w:val="5"/>
          <w:w w:val="105"/>
          <w:sz w:val="13"/>
        </w:rPr>
        <w:t> </w:t>
      </w:r>
      <w:r>
        <w:rPr>
          <w:w w:val="105"/>
          <w:sz w:val="13"/>
        </w:rPr>
        <w:t>Limited);</w:t>
      </w:r>
      <w:r>
        <w:rPr>
          <w:spacing w:val="4"/>
          <w:w w:val="105"/>
          <w:sz w:val="13"/>
        </w:rPr>
        <w:t> </w:t>
      </w:r>
      <w:r>
        <w:rPr>
          <w:w w:val="105"/>
          <w:sz w:val="13"/>
        </w:rPr>
        <w:t>39</w:t>
      </w:r>
      <w:r>
        <w:rPr>
          <w:spacing w:val="5"/>
          <w:w w:val="105"/>
          <w:sz w:val="13"/>
        </w:rPr>
        <w:t> </w:t>
      </w:r>
      <w:r>
        <w:rPr>
          <w:w w:val="105"/>
          <w:sz w:val="13"/>
        </w:rPr>
        <w:t>(Carolyn</w:t>
      </w:r>
      <w:r>
        <w:rPr>
          <w:spacing w:val="5"/>
          <w:w w:val="105"/>
          <w:sz w:val="13"/>
        </w:rPr>
        <w:t> </w:t>
      </w:r>
      <w:r>
        <w:rPr>
          <w:w w:val="105"/>
          <w:sz w:val="13"/>
        </w:rPr>
        <w:t>Sparke</w:t>
      </w:r>
      <w:r>
        <w:rPr>
          <w:spacing w:val="5"/>
          <w:w w:val="105"/>
          <w:sz w:val="13"/>
        </w:rPr>
        <w:t> </w:t>
      </w:r>
      <w:r>
        <w:rPr>
          <w:w w:val="105"/>
          <w:sz w:val="13"/>
        </w:rPr>
        <w:t>SC).</w:t>
      </w:r>
    </w:p>
    <w:p>
      <w:pPr>
        <w:pStyle w:val="ListParagraph"/>
        <w:numPr>
          <w:ilvl w:val="0"/>
          <w:numId w:val="47"/>
        </w:numPr>
        <w:tabs>
          <w:tab w:pos="2381" w:val="left" w:leader="none"/>
          <w:tab w:pos="2382" w:val="left" w:leader="none"/>
        </w:tabs>
        <w:spacing w:line="240" w:lineRule="auto" w:before="2" w:after="0"/>
        <w:ind w:left="2381" w:right="0" w:hanging="794"/>
        <w:jc w:val="left"/>
        <w:rPr>
          <w:sz w:val="13"/>
        </w:rPr>
      </w:pPr>
      <w:r>
        <w:rPr>
          <w:w w:val="105"/>
          <w:sz w:val="13"/>
        </w:rPr>
        <w:t>Submissions</w:t>
      </w:r>
      <w:r>
        <w:rPr>
          <w:spacing w:val="4"/>
          <w:w w:val="105"/>
          <w:sz w:val="13"/>
        </w:rPr>
        <w:t> </w:t>
      </w:r>
      <w:r>
        <w:rPr>
          <w:w w:val="105"/>
          <w:sz w:val="13"/>
        </w:rPr>
        <w:t>25</w:t>
      </w:r>
      <w:r>
        <w:rPr>
          <w:spacing w:val="5"/>
          <w:w w:val="105"/>
          <w:sz w:val="13"/>
        </w:rPr>
        <w:t> </w:t>
      </w:r>
      <w:r>
        <w:rPr>
          <w:spacing w:val="2"/>
          <w:w w:val="105"/>
          <w:sz w:val="13"/>
        </w:rPr>
        <w:t>(Moores</w:t>
      </w:r>
      <w:r>
        <w:rPr>
          <w:spacing w:val="5"/>
          <w:w w:val="105"/>
          <w:sz w:val="13"/>
        </w:rPr>
        <w:t> </w:t>
      </w:r>
      <w:r>
        <w:rPr>
          <w:w w:val="105"/>
          <w:sz w:val="13"/>
        </w:rPr>
        <w:t>Legal);</w:t>
      </w:r>
      <w:r>
        <w:rPr>
          <w:spacing w:val="5"/>
          <w:w w:val="105"/>
          <w:sz w:val="13"/>
        </w:rPr>
        <w:t> </w:t>
      </w:r>
      <w:r>
        <w:rPr>
          <w:w w:val="105"/>
          <w:sz w:val="13"/>
        </w:rPr>
        <w:t>33</w:t>
      </w:r>
      <w:r>
        <w:rPr>
          <w:spacing w:val="4"/>
          <w:w w:val="105"/>
          <w:sz w:val="13"/>
        </w:rPr>
        <w:t> </w:t>
      </w:r>
      <w:r>
        <w:rPr>
          <w:w w:val="105"/>
          <w:sz w:val="13"/>
        </w:rPr>
        <w:t>(State</w:t>
      </w:r>
      <w:r>
        <w:rPr>
          <w:spacing w:val="5"/>
          <w:w w:val="105"/>
          <w:sz w:val="13"/>
        </w:rPr>
        <w:t> </w:t>
      </w:r>
      <w:r>
        <w:rPr>
          <w:w w:val="105"/>
          <w:sz w:val="13"/>
        </w:rPr>
        <w:t>Trustees</w:t>
      </w:r>
      <w:r>
        <w:rPr>
          <w:spacing w:val="5"/>
          <w:w w:val="105"/>
          <w:sz w:val="13"/>
        </w:rPr>
        <w:t> </w:t>
      </w:r>
      <w:r>
        <w:rPr>
          <w:w w:val="105"/>
          <w:sz w:val="13"/>
        </w:rPr>
        <w:t>Limited);</w:t>
      </w:r>
      <w:r>
        <w:rPr>
          <w:spacing w:val="4"/>
          <w:w w:val="105"/>
          <w:sz w:val="13"/>
        </w:rPr>
        <w:t> </w:t>
      </w:r>
      <w:r>
        <w:rPr>
          <w:w w:val="105"/>
          <w:sz w:val="13"/>
        </w:rPr>
        <w:t>39</w:t>
      </w:r>
      <w:r>
        <w:rPr>
          <w:spacing w:val="5"/>
          <w:w w:val="105"/>
          <w:sz w:val="13"/>
        </w:rPr>
        <w:t> </w:t>
      </w:r>
      <w:r>
        <w:rPr>
          <w:w w:val="105"/>
          <w:sz w:val="13"/>
        </w:rPr>
        <w:t>(Carolyn</w:t>
      </w:r>
      <w:r>
        <w:rPr>
          <w:spacing w:val="5"/>
          <w:w w:val="105"/>
          <w:sz w:val="13"/>
        </w:rPr>
        <w:t> </w:t>
      </w:r>
      <w:r>
        <w:rPr>
          <w:w w:val="105"/>
          <w:sz w:val="13"/>
        </w:rPr>
        <w:t>Sparke</w:t>
      </w:r>
      <w:r>
        <w:rPr>
          <w:spacing w:val="5"/>
          <w:w w:val="105"/>
          <w:sz w:val="13"/>
        </w:rPr>
        <w:t> </w:t>
      </w:r>
      <w:r>
        <w:rPr>
          <w:w w:val="105"/>
          <w:sz w:val="13"/>
        </w:rPr>
        <w:t>SC).</w:t>
      </w:r>
    </w:p>
    <w:p>
      <w:pPr>
        <w:pStyle w:val="ListParagraph"/>
        <w:numPr>
          <w:ilvl w:val="0"/>
          <w:numId w:val="47"/>
        </w:numPr>
        <w:tabs>
          <w:tab w:pos="2381" w:val="left" w:leader="none"/>
          <w:tab w:pos="2382" w:val="left" w:leader="none"/>
        </w:tabs>
        <w:spacing w:line="240" w:lineRule="auto" w:before="1" w:after="0"/>
        <w:ind w:left="2381" w:right="0" w:hanging="794"/>
        <w:jc w:val="left"/>
        <w:rPr>
          <w:sz w:val="13"/>
        </w:rPr>
      </w:pPr>
      <w:r>
        <w:rPr>
          <w:w w:val="105"/>
          <w:sz w:val="13"/>
        </w:rPr>
        <w:t>Submission 39 (Carolyn Sparke</w:t>
      </w:r>
      <w:r>
        <w:rPr>
          <w:spacing w:val="18"/>
          <w:w w:val="105"/>
          <w:sz w:val="13"/>
        </w:rPr>
        <w:t> </w:t>
      </w:r>
      <w:r>
        <w:rPr>
          <w:w w:val="105"/>
          <w:sz w:val="13"/>
        </w:rPr>
        <w:t>SC).</w:t>
      </w:r>
    </w:p>
    <w:p>
      <w:pPr>
        <w:pStyle w:val="ListParagraph"/>
        <w:numPr>
          <w:ilvl w:val="0"/>
          <w:numId w:val="47"/>
        </w:numPr>
        <w:tabs>
          <w:tab w:pos="2381" w:val="left" w:leader="none"/>
          <w:tab w:pos="2382" w:val="left" w:leader="none"/>
        </w:tabs>
        <w:spacing w:line="240" w:lineRule="auto" w:before="1" w:after="0"/>
        <w:ind w:left="2381" w:right="0" w:hanging="794"/>
        <w:jc w:val="left"/>
        <w:rPr>
          <w:sz w:val="13"/>
        </w:rPr>
      </w:pPr>
      <w:r>
        <w:rPr/>
        <w:pict>
          <v:shape style="position:absolute;margin-left:548.92749pt;margin-top:2.859967pt;width:13.35pt;height:14.25pt;mso-position-horizontal-relative:page;mso-position-vertical-relative:paragraph;z-index:4696" type="#_x0000_t202" filled="false" stroked="false">
            <v:textbox inset="0,0,0,0">
              <w:txbxContent>
                <w:p>
                  <w:pPr>
                    <w:spacing w:line="284" w:lineRule="exact" w:before="0"/>
                    <w:ind w:left="0" w:right="0" w:firstLine="0"/>
                    <w:jc w:val="left"/>
                    <w:rPr>
                      <w:b/>
                      <w:sz w:val="24"/>
                    </w:rPr>
                  </w:pPr>
                  <w:r>
                    <w:rPr>
                      <w:b/>
                      <w:color w:val="EC5A4F"/>
                      <w:spacing w:val="-1"/>
                      <w:w w:val="110"/>
                      <w:sz w:val="24"/>
                    </w:rPr>
                    <w:t>49</w:t>
                  </w:r>
                </w:p>
              </w:txbxContent>
            </v:textbox>
            <w10:wrap type="none"/>
          </v:shape>
        </w:pict>
      </w:r>
      <w:r>
        <w:rPr>
          <w:w w:val="105"/>
          <w:sz w:val="13"/>
        </w:rPr>
        <w:t>Submissions</w:t>
      </w:r>
      <w:r>
        <w:rPr>
          <w:spacing w:val="4"/>
          <w:w w:val="105"/>
          <w:sz w:val="13"/>
        </w:rPr>
        <w:t> </w:t>
      </w:r>
      <w:r>
        <w:rPr>
          <w:w w:val="105"/>
          <w:sz w:val="13"/>
        </w:rPr>
        <w:t>8</w:t>
      </w:r>
      <w:r>
        <w:rPr>
          <w:spacing w:val="4"/>
          <w:w w:val="105"/>
          <w:sz w:val="13"/>
        </w:rPr>
        <w:t> </w:t>
      </w:r>
      <w:r>
        <w:rPr>
          <w:w w:val="105"/>
          <w:sz w:val="13"/>
        </w:rPr>
        <w:t>(Patricia</w:t>
      </w:r>
      <w:r>
        <w:rPr>
          <w:spacing w:val="5"/>
          <w:w w:val="105"/>
          <w:sz w:val="13"/>
        </w:rPr>
        <w:t> </w:t>
      </w:r>
      <w:r>
        <w:rPr>
          <w:w w:val="105"/>
          <w:sz w:val="13"/>
        </w:rPr>
        <w:t>Strachan);</w:t>
      </w:r>
      <w:r>
        <w:rPr>
          <w:spacing w:val="4"/>
          <w:w w:val="105"/>
          <w:sz w:val="13"/>
        </w:rPr>
        <w:t> </w:t>
      </w:r>
      <w:r>
        <w:rPr>
          <w:spacing w:val="-3"/>
          <w:w w:val="105"/>
          <w:sz w:val="13"/>
        </w:rPr>
        <w:t>14</w:t>
      </w:r>
      <w:r>
        <w:rPr>
          <w:spacing w:val="5"/>
          <w:w w:val="105"/>
          <w:sz w:val="13"/>
        </w:rPr>
        <w:t> </w:t>
      </w:r>
      <w:r>
        <w:rPr>
          <w:w w:val="105"/>
          <w:sz w:val="13"/>
        </w:rPr>
        <w:t>(Commercial</w:t>
      </w:r>
      <w:r>
        <w:rPr>
          <w:spacing w:val="4"/>
          <w:w w:val="105"/>
          <w:sz w:val="13"/>
        </w:rPr>
        <w:t> </w:t>
      </w:r>
      <w:r>
        <w:rPr>
          <w:w w:val="105"/>
          <w:sz w:val="13"/>
        </w:rPr>
        <w:t>Bar</w:t>
      </w:r>
      <w:r>
        <w:rPr>
          <w:spacing w:val="5"/>
          <w:w w:val="105"/>
          <w:sz w:val="13"/>
        </w:rPr>
        <w:t> </w:t>
      </w:r>
      <w:r>
        <w:rPr>
          <w:spacing w:val="2"/>
          <w:w w:val="105"/>
          <w:sz w:val="13"/>
        </w:rPr>
        <w:t>Association);</w:t>
      </w:r>
      <w:r>
        <w:rPr>
          <w:spacing w:val="4"/>
          <w:w w:val="105"/>
          <w:sz w:val="13"/>
        </w:rPr>
        <w:t> </w:t>
      </w:r>
      <w:r>
        <w:rPr>
          <w:w w:val="105"/>
          <w:sz w:val="13"/>
        </w:rPr>
        <w:t>30a</w:t>
      </w:r>
      <w:r>
        <w:rPr>
          <w:spacing w:val="5"/>
          <w:w w:val="105"/>
          <w:sz w:val="13"/>
        </w:rPr>
        <w:t> </w:t>
      </w:r>
      <w:r>
        <w:rPr>
          <w:spacing w:val="3"/>
          <w:w w:val="105"/>
          <w:sz w:val="13"/>
        </w:rPr>
        <w:t>(Law</w:t>
      </w:r>
      <w:r>
        <w:rPr>
          <w:spacing w:val="4"/>
          <w:w w:val="105"/>
          <w:sz w:val="13"/>
        </w:rPr>
        <w:t> </w:t>
      </w:r>
      <w:r>
        <w:rPr>
          <w:w w:val="105"/>
          <w:sz w:val="13"/>
        </w:rPr>
        <w:t>Institute</w:t>
      </w:r>
      <w:r>
        <w:rPr>
          <w:spacing w:val="5"/>
          <w:w w:val="105"/>
          <w:sz w:val="13"/>
        </w:rPr>
        <w:t> </w:t>
      </w:r>
      <w:r>
        <w:rPr>
          <w:w w:val="105"/>
          <w:sz w:val="13"/>
        </w:rPr>
        <w:t>of</w:t>
      </w:r>
      <w:r>
        <w:rPr>
          <w:spacing w:val="4"/>
          <w:w w:val="105"/>
          <w:sz w:val="13"/>
        </w:rPr>
        <w:t> </w:t>
      </w:r>
      <w:r>
        <w:rPr>
          <w:spacing w:val="2"/>
          <w:w w:val="105"/>
          <w:sz w:val="13"/>
        </w:rPr>
        <w:t>Victoria).</w:t>
      </w:r>
    </w:p>
    <w:p>
      <w:pPr>
        <w:pStyle w:val="ListParagraph"/>
        <w:numPr>
          <w:ilvl w:val="0"/>
          <w:numId w:val="47"/>
        </w:numPr>
        <w:tabs>
          <w:tab w:pos="2381" w:val="left" w:leader="none"/>
          <w:tab w:pos="2382" w:val="left" w:leader="none"/>
        </w:tabs>
        <w:spacing w:line="240" w:lineRule="auto" w:before="2" w:after="0"/>
        <w:ind w:left="2381" w:right="0" w:hanging="794"/>
        <w:jc w:val="left"/>
        <w:rPr>
          <w:sz w:val="13"/>
        </w:rPr>
      </w:pPr>
      <w:r>
        <w:rPr>
          <w:w w:val="105"/>
          <w:sz w:val="13"/>
        </w:rPr>
        <w:t>Submission 30a </w:t>
      </w:r>
      <w:r>
        <w:rPr>
          <w:spacing w:val="3"/>
          <w:w w:val="105"/>
          <w:sz w:val="13"/>
        </w:rPr>
        <w:t>(Law </w:t>
      </w:r>
      <w:r>
        <w:rPr>
          <w:w w:val="105"/>
          <w:sz w:val="13"/>
        </w:rPr>
        <w:t>Institute of</w:t>
      </w:r>
      <w:r>
        <w:rPr>
          <w:spacing w:val="19"/>
          <w:w w:val="105"/>
          <w:sz w:val="13"/>
        </w:rPr>
        <w:t> </w:t>
      </w:r>
      <w:r>
        <w:rPr>
          <w:spacing w:val="2"/>
          <w:w w:val="105"/>
          <w:sz w:val="13"/>
        </w:rPr>
        <w:t>Victoria).</w:t>
      </w:r>
    </w:p>
    <w:p>
      <w:pPr>
        <w:spacing w:after="0" w:line="240" w:lineRule="auto"/>
        <w:jc w:val="left"/>
        <w:rPr>
          <w:sz w:val="13"/>
        </w:rPr>
        <w:sectPr>
          <w:pgSz w:w="11910" w:h="16840"/>
          <w:pgMar w:header="805" w:footer="0" w:top="1360" w:bottom="280" w:left="0" w:right="0"/>
        </w:sectPr>
      </w:pPr>
    </w:p>
    <w:p>
      <w:pPr>
        <w:pStyle w:val="BodyText"/>
        <w:spacing w:before="9"/>
        <w:rPr>
          <w:sz w:val="22"/>
        </w:rPr>
      </w:pPr>
    </w:p>
    <w:p>
      <w:pPr>
        <w:pStyle w:val="ListParagraph"/>
        <w:numPr>
          <w:ilvl w:val="1"/>
          <w:numId w:val="22"/>
        </w:numPr>
        <w:tabs>
          <w:tab w:pos="2381" w:val="left" w:leader="none"/>
          <w:tab w:pos="2382" w:val="left" w:leader="none"/>
        </w:tabs>
        <w:spacing w:line="242" w:lineRule="auto" w:before="92" w:after="0"/>
        <w:ind w:left="2381" w:right="1653" w:hanging="794"/>
        <w:jc w:val="left"/>
        <w:rPr>
          <w:sz w:val="21"/>
        </w:rPr>
      </w:pPr>
      <w:r>
        <w:rPr>
          <w:w w:val="105"/>
          <w:sz w:val="21"/>
        </w:rPr>
        <w:t>The </w:t>
      </w:r>
      <w:r>
        <w:rPr>
          <w:spacing w:val="-3"/>
          <w:w w:val="105"/>
          <w:sz w:val="21"/>
        </w:rPr>
        <w:t>Commission </w:t>
      </w:r>
      <w:r>
        <w:rPr>
          <w:w w:val="105"/>
          <w:sz w:val="21"/>
        </w:rPr>
        <w:t>considers </w:t>
      </w:r>
      <w:r>
        <w:rPr>
          <w:spacing w:val="-3"/>
          <w:w w:val="105"/>
          <w:sz w:val="21"/>
        </w:rPr>
        <w:t>that, for </w:t>
      </w:r>
      <w:r>
        <w:rPr>
          <w:w w:val="105"/>
          <w:sz w:val="21"/>
        </w:rPr>
        <w:t>the same </w:t>
      </w:r>
      <w:r>
        <w:rPr>
          <w:spacing w:val="-3"/>
          <w:w w:val="105"/>
          <w:sz w:val="21"/>
        </w:rPr>
        <w:t>reasons that </w:t>
      </w:r>
      <w:r>
        <w:rPr>
          <w:w w:val="105"/>
          <w:sz w:val="21"/>
        </w:rPr>
        <w:t>it </w:t>
      </w:r>
      <w:r>
        <w:rPr>
          <w:spacing w:val="-3"/>
          <w:w w:val="105"/>
          <w:sz w:val="21"/>
        </w:rPr>
        <w:t>concluded that </w:t>
      </w:r>
      <w:r>
        <w:rPr>
          <w:w w:val="105"/>
          <w:sz w:val="21"/>
        </w:rPr>
        <w:t>the </w:t>
      </w:r>
      <w:r>
        <w:rPr>
          <w:spacing w:val="-3"/>
          <w:w w:val="105"/>
          <w:sz w:val="21"/>
        </w:rPr>
        <w:t>accounting obligations for administrators </w:t>
      </w:r>
      <w:r>
        <w:rPr>
          <w:w w:val="105"/>
          <w:sz w:val="21"/>
        </w:rPr>
        <w:t>should be removed </w:t>
      </w:r>
      <w:r>
        <w:rPr>
          <w:spacing w:val="-3"/>
          <w:w w:val="105"/>
          <w:sz w:val="21"/>
        </w:rPr>
        <w:t>from </w:t>
      </w:r>
      <w:r>
        <w:rPr>
          <w:w w:val="105"/>
          <w:sz w:val="21"/>
        </w:rPr>
        <w:t>section </w:t>
      </w:r>
      <w:r>
        <w:rPr>
          <w:spacing w:val="-3"/>
          <w:w w:val="105"/>
          <w:sz w:val="21"/>
        </w:rPr>
        <w:t>53 </w:t>
      </w:r>
      <w:r>
        <w:rPr>
          <w:w w:val="105"/>
          <w:sz w:val="21"/>
        </w:rPr>
        <w:t>of the </w:t>
      </w:r>
      <w:r>
        <w:rPr>
          <w:spacing w:val="-3"/>
          <w:w w:val="105"/>
          <w:sz w:val="21"/>
        </w:rPr>
        <w:t>Guardianship </w:t>
      </w:r>
      <w:r>
        <w:rPr>
          <w:w w:val="105"/>
          <w:sz w:val="21"/>
        </w:rPr>
        <w:t>and </w:t>
      </w:r>
      <w:r>
        <w:rPr>
          <w:spacing w:val="-3"/>
          <w:w w:val="105"/>
          <w:sz w:val="21"/>
        </w:rPr>
        <w:t>Administration </w:t>
      </w:r>
      <w:r>
        <w:rPr>
          <w:w w:val="105"/>
          <w:sz w:val="21"/>
        </w:rPr>
        <w:t>Act, there should be no special or </w:t>
      </w:r>
      <w:r>
        <w:rPr>
          <w:spacing w:val="-3"/>
          <w:w w:val="105"/>
          <w:sz w:val="21"/>
        </w:rPr>
        <w:t>additional </w:t>
      </w:r>
      <w:r>
        <w:rPr>
          <w:spacing w:val="-4"/>
          <w:w w:val="105"/>
          <w:sz w:val="21"/>
        </w:rPr>
        <w:t>accounting </w:t>
      </w:r>
      <w:r>
        <w:rPr>
          <w:spacing w:val="-3"/>
          <w:w w:val="105"/>
          <w:sz w:val="21"/>
        </w:rPr>
        <w:t>obligations </w:t>
      </w:r>
      <w:r>
        <w:rPr>
          <w:w w:val="105"/>
          <w:sz w:val="21"/>
        </w:rPr>
        <w:t>where an attorney sells an</w:t>
      </w:r>
      <w:r>
        <w:rPr>
          <w:spacing w:val="27"/>
          <w:w w:val="105"/>
          <w:sz w:val="21"/>
        </w:rPr>
        <w:t> </w:t>
      </w:r>
      <w:r>
        <w:rPr>
          <w:w w:val="105"/>
          <w:sz w:val="21"/>
        </w:rPr>
        <w:t>asset.</w:t>
      </w:r>
    </w:p>
    <w:p>
      <w:pPr>
        <w:pStyle w:val="ListParagraph"/>
        <w:numPr>
          <w:ilvl w:val="1"/>
          <w:numId w:val="22"/>
        </w:numPr>
        <w:tabs>
          <w:tab w:pos="2381" w:val="left" w:leader="none"/>
          <w:tab w:pos="2382" w:val="left" w:leader="none"/>
        </w:tabs>
        <w:spacing w:line="242" w:lineRule="auto" w:before="124" w:after="0"/>
        <w:ind w:left="2381" w:right="1783" w:hanging="794"/>
        <w:jc w:val="left"/>
        <w:rPr>
          <w:sz w:val="21"/>
        </w:rPr>
      </w:pPr>
      <w:r>
        <w:rPr>
          <w:w w:val="105"/>
          <w:sz w:val="21"/>
        </w:rPr>
        <w:t>An attorney </w:t>
      </w:r>
      <w:r>
        <w:rPr>
          <w:spacing w:val="-3"/>
          <w:w w:val="105"/>
          <w:sz w:val="21"/>
        </w:rPr>
        <w:t>already </w:t>
      </w:r>
      <w:r>
        <w:rPr>
          <w:spacing w:val="-2"/>
          <w:w w:val="105"/>
          <w:sz w:val="21"/>
        </w:rPr>
        <w:t>has </w:t>
      </w:r>
      <w:r>
        <w:rPr>
          <w:w w:val="105"/>
          <w:sz w:val="21"/>
        </w:rPr>
        <w:t>an </w:t>
      </w:r>
      <w:r>
        <w:rPr>
          <w:spacing w:val="-3"/>
          <w:w w:val="105"/>
          <w:sz w:val="21"/>
        </w:rPr>
        <w:t>obligation to ‘keep </w:t>
      </w:r>
      <w:r>
        <w:rPr>
          <w:w w:val="105"/>
          <w:sz w:val="21"/>
        </w:rPr>
        <w:t>and preserve </w:t>
      </w:r>
      <w:r>
        <w:rPr>
          <w:spacing w:val="-3"/>
          <w:w w:val="105"/>
          <w:sz w:val="21"/>
        </w:rPr>
        <w:t>accurate records </w:t>
      </w:r>
      <w:r>
        <w:rPr>
          <w:w w:val="105"/>
          <w:sz w:val="21"/>
        </w:rPr>
        <w:t>and </w:t>
      </w:r>
      <w:r>
        <w:rPr>
          <w:spacing w:val="-3"/>
          <w:w w:val="105"/>
          <w:sz w:val="21"/>
        </w:rPr>
        <w:t>accounts</w:t>
      </w:r>
      <w:r>
        <w:rPr>
          <w:spacing w:val="-5"/>
          <w:w w:val="105"/>
          <w:sz w:val="21"/>
        </w:rPr>
        <w:t> </w:t>
      </w:r>
      <w:r>
        <w:rPr>
          <w:w w:val="105"/>
          <w:sz w:val="21"/>
        </w:rPr>
        <w:t>of</w:t>
      </w:r>
      <w:r>
        <w:rPr>
          <w:spacing w:val="-5"/>
          <w:w w:val="105"/>
          <w:sz w:val="21"/>
        </w:rPr>
        <w:t> </w:t>
      </w:r>
      <w:r>
        <w:rPr>
          <w:spacing w:val="-3"/>
          <w:w w:val="105"/>
          <w:sz w:val="21"/>
        </w:rPr>
        <w:t>all</w:t>
      </w:r>
      <w:r>
        <w:rPr>
          <w:spacing w:val="-5"/>
          <w:w w:val="105"/>
          <w:sz w:val="21"/>
        </w:rPr>
        <w:t> </w:t>
      </w:r>
      <w:r>
        <w:rPr>
          <w:spacing w:val="-3"/>
          <w:w w:val="105"/>
          <w:sz w:val="21"/>
        </w:rPr>
        <w:t>dealings</w:t>
      </w:r>
      <w:r>
        <w:rPr>
          <w:spacing w:val="-5"/>
          <w:w w:val="105"/>
          <w:sz w:val="21"/>
        </w:rPr>
        <w:t> </w:t>
      </w:r>
      <w:r>
        <w:rPr>
          <w:w w:val="105"/>
          <w:sz w:val="21"/>
        </w:rPr>
        <w:t>and</w:t>
      </w:r>
      <w:r>
        <w:rPr>
          <w:spacing w:val="-5"/>
          <w:w w:val="105"/>
          <w:sz w:val="21"/>
        </w:rPr>
        <w:t> </w:t>
      </w:r>
      <w:r>
        <w:rPr>
          <w:w w:val="105"/>
          <w:sz w:val="21"/>
        </w:rPr>
        <w:t>transactions’</w:t>
      </w:r>
      <w:r>
        <w:rPr>
          <w:spacing w:val="-5"/>
          <w:w w:val="105"/>
          <w:sz w:val="21"/>
        </w:rPr>
        <w:t> </w:t>
      </w:r>
      <w:r>
        <w:rPr>
          <w:w w:val="105"/>
          <w:sz w:val="21"/>
        </w:rPr>
        <w:t>made</w:t>
      </w:r>
      <w:r>
        <w:rPr>
          <w:spacing w:val="-5"/>
          <w:w w:val="105"/>
          <w:sz w:val="21"/>
        </w:rPr>
        <w:t> </w:t>
      </w:r>
      <w:r>
        <w:rPr>
          <w:w w:val="105"/>
          <w:sz w:val="21"/>
        </w:rPr>
        <w:t>under</w:t>
      </w:r>
      <w:r>
        <w:rPr>
          <w:spacing w:val="-5"/>
          <w:w w:val="105"/>
          <w:sz w:val="21"/>
        </w:rPr>
        <w:t> </w:t>
      </w:r>
      <w:r>
        <w:rPr>
          <w:w w:val="105"/>
          <w:sz w:val="21"/>
        </w:rPr>
        <w:t>the</w:t>
      </w:r>
      <w:r>
        <w:rPr>
          <w:spacing w:val="-5"/>
          <w:w w:val="105"/>
          <w:sz w:val="21"/>
        </w:rPr>
        <w:t> power.</w:t>
      </w:r>
      <w:r>
        <w:rPr>
          <w:spacing w:val="-5"/>
          <w:w w:val="105"/>
          <w:position w:val="7"/>
          <w:sz w:val="12"/>
        </w:rPr>
        <w:t>73</w:t>
      </w:r>
      <w:r>
        <w:rPr>
          <w:spacing w:val="17"/>
          <w:w w:val="105"/>
          <w:position w:val="7"/>
          <w:sz w:val="12"/>
        </w:rPr>
        <w:t> </w:t>
      </w:r>
      <w:r>
        <w:rPr>
          <w:w w:val="105"/>
          <w:sz w:val="21"/>
        </w:rPr>
        <w:t>These</w:t>
      </w:r>
      <w:r>
        <w:rPr>
          <w:spacing w:val="-4"/>
          <w:w w:val="105"/>
          <w:sz w:val="21"/>
        </w:rPr>
        <w:t> </w:t>
      </w:r>
      <w:r>
        <w:rPr>
          <w:spacing w:val="-3"/>
          <w:w w:val="105"/>
          <w:sz w:val="21"/>
        </w:rPr>
        <w:t>records</w:t>
      </w:r>
      <w:r>
        <w:rPr>
          <w:spacing w:val="-5"/>
          <w:w w:val="105"/>
          <w:sz w:val="21"/>
        </w:rPr>
        <w:t> </w:t>
      </w:r>
      <w:r>
        <w:rPr>
          <w:w w:val="105"/>
          <w:sz w:val="21"/>
        </w:rPr>
        <w:t>would </w:t>
      </w:r>
      <w:r>
        <w:rPr>
          <w:spacing w:val="-3"/>
          <w:w w:val="105"/>
          <w:sz w:val="21"/>
        </w:rPr>
        <w:t>therefore </w:t>
      </w:r>
      <w:r>
        <w:rPr>
          <w:w w:val="105"/>
          <w:sz w:val="21"/>
        </w:rPr>
        <w:t>assist in the </w:t>
      </w:r>
      <w:r>
        <w:rPr>
          <w:spacing w:val="-3"/>
          <w:w w:val="105"/>
          <w:sz w:val="21"/>
        </w:rPr>
        <w:t>tracing </w:t>
      </w:r>
      <w:r>
        <w:rPr>
          <w:w w:val="105"/>
          <w:sz w:val="21"/>
        </w:rPr>
        <w:t>of the proceeds of </w:t>
      </w:r>
      <w:r>
        <w:rPr>
          <w:spacing w:val="-3"/>
          <w:w w:val="105"/>
          <w:sz w:val="21"/>
        </w:rPr>
        <w:t>any </w:t>
      </w:r>
      <w:r>
        <w:rPr>
          <w:w w:val="105"/>
          <w:sz w:val="21"/>
        </w:rPr>
        <w:t>otherwise adeemed</w:t>
      </w:r>
      <w:r>
        <w:rPr>
          <w:spacing w:val="7"/>
          <w:w w:val="105"/>
          <w:sz w:val="21"/>
        </w:rPr>
        <w:t> </w:t>
      </w:r>
      <w:r>
        <w:rPr>
          <w:w w:val="105"/>
          <w:sz w:val="21"/>
        </w:rPr>
        <w:t>gift.</w:t>
      </w:r>
    </w:p>
    <w:p>
      <w:pPr>
        <w:pStyle w:val="ListParagraph"/>
        <w:numPr>
          <w:ilvl w:val="1"/>
          <w:numId w:val="22"/>
        </w:numPr>
        <w:tabs>
          <w:tab w:pos="2381" w:val="left" w:leader="none"/>
          <w:tab w:pos="2382" w:val="left" w:leader="none"/>
        </w:tabs>
        <w:spacing w:line="242" w:lineRule="auto" w:before="123" w:after="0"/>
        <w:ind w:left="2381" w:right="1741" w:hanging="794"/>
        <w:jc w:val="left"/>
        <w:rPr>
          <w:sz w:val="21"/>
        </w:rPr>
      </w:pPr>
      <w:r>
        <w:rPr>
          <w:sz w:val="21"/>
        </w:rPr>
        <w:t>As </w:t>
      </w:r>
      <w:r>
        <w:rPr>
          <w:spacing w:val="-3"/>
          <w:sz w:val="21"/>
        </w:rPr>
        <w:t>noted above, </w:t>
      </w:r>
      <w:r>
        <w:rPr>
          <w:sz w:val="21"/>
        </w:rPr>
        <w:t>a </w:t>
      </w:r>
      <w:r>
        <w:rPr>
          <w:spacing w:val="-3"/>
          <w:sz w:val="21"/>
        </w:rPr>
        <w:t>recent </w:t>
      </w:r>
      <w:r>
        <w:rPr>
          <w:sz w:val="21"/>
        </w:rPr>
        <w:t>New South </w:t>
      </w:r>
      <w:r>
        <w:rPr>
          <w:spacing w:val="-3"/>
          <w:sz w:val="21"/>
        </w:rPr>
        <w:t>Wales Court </w:t>
      </w:r>
      <w:r>
        <w:rPr>
          <w:sz w:val="21"/>
        </w:rPr>
        <w:t>of Appeal decision </w:t>
      </w:r>
      <w:r>
        <w:rPr>
          <w:spacing w:val="-2"/>
          <w:sz w:val="21"/>
        </w:rPr>
        <w:t>has </w:t>
      </w:r>
      <w:r>
        <w:rPr>
          <w:sz w:val="21"/>
        </w:rPr>
        <w:t>held </w:t>
      </w:r>
      <w:r>
        <w:rPr>
          <w:spacing w:val="-3"/>
          <w:sz w:val="21"/>
        </w:rPr>
        <w:t>that </w:t>
      </w:r>
      <w:r>
        <w:rPr>
          <w:sz w:val="21"/>
        </w:rPr>
        <w:t>the </w:t>
      </w:r>
      <w:r>
        <w:rPr>
          <w:spacing w:val="-3"/>
          <w:sz w:val="21"/>
        </w:rPr>
        <w:t>relevant </w:t>
      </w:r>
      <w:r>
        <w:rPr>
          <w:sz w:val="21"/>
        </w:rPr>
        <w:t>New South </w:t>
      </w:r>
      <w:r>
        <w:rPr>
          <w:spacing w:val="-3"/>
          <w:sz w:val="21"/>
        </w:rPr>
        <w:t>Wales provision </w:t>
      </w:r>
      <w:r>
        <w:rPr>
          <w:sz w:val="21"/>
        </w:rPr>
        <w:t>in </w:t>
      </w:r>
      <w:r>
        <w:rPr>
          <w:spacing w:val="-3"/>
          <w:sz w:val="21"/>
        </w:rPr>
        <w:t>relation to administrators  implies  that  funds  </w:t>
      </w:r>
      <w:r>
        <w:rPr>
          <w:sz w:val="21"/>
        </w:rPr>
        <w:t>must be identifiable and </w:t>
      </w:r>
      <w:r>
        <w:rPr>
          <w:spacing w:val="-3"/>
          <w:sz w:val="21"/>
        </w:rPr>
        <w:t>that </w:t>
      </w:r>
      <w:r>
        <w:rPr>
          <w:sz w:val="21"/>
        </w:rPr>
        <w:t>this is </w:t>
      </w:r>
      <w:r>
        <w:rPr>
          <w:spacing w:val="-3"/>
          <w:sz w:val="21"/>
        </w:rPr>
        <w:t>to </w:t>
      </w:r>
      <w:r>
        <w:rPr>
          <w:sz w:val="21"/>
        </w:rPr>
        <w:t>be </w:t>
      </w:r>
      <w:r>
        <w:rPr>
          <w:spacing w:val="-3"/>
          <w:sz w:val="21"/>
        </w:rPr>
        <w:t>achieved </w:t>
      </w:r>
      <w:r>
        <w:rPr>
          <w:sz w:val="21"/>
        </w:rPr>
        <w:t>by putting the </w:t>
      </w:r>
      <w:r>
        <w:rPr>
          <w:spacing w:val="-3"/>
          <w:sz w:val="21"/>
        </w:rPr>
        <w:t>funds </w:t>
      </w:r>
      <w:r>
        <w:rPr>
          <w:sz w:val="21"/>
        </w:rPr>
        <w:t>in a </w:t>
      </w:r>
      <w:r>
        <w:rPr>
          <w:spacing w:val="-3"/>
          <w:sz w:val="21"/>
        </w:rPr>
        <w:t>separate account.  </w:t>
      </w:r>
      <w:r>
        <w:rPr>
          <w:sz w:val="21"/>
        </w:rPr>
        <w:t>The </w:t>
      </w:r>
      <w:r>
        <w:rPr>
          <w:spacing w:val="-3"/>
          <w:sz w:val="21"/>
        </w:rPr>
        <w:t>Commission therefore recommends that </w:t>
      </w:r>
      <w:r>
        <w:rPr>
          <w:sz w:val="21"/>
        </w:rPr>
        <w:t>an </w:t>
      </w:r>
      <w:r>
        <w:rPr>
          <w:spacing w:val="-3"/>
          <w:sz w:val="21"/>
        </w:rPr>
        <w:t>exception to </w:t>
      </w:r>
      <w:r>
        <w:rPr>
          <w:sz w:val="21"/>
        </w:rPr>
        <w:t>ademption  </w:t>
      </w:r>
      <w:r>
        <w:rPr>
          <w:spacing w:val="-3"/>
          <w:sz w:val="21"/>
        </w:rPr>
        <w:t>for  </w:t>
      </w:r>
      <w:r>
        <w:rPr>
          <w:sz w:val="21"/>
        </w:rPr>
        <w:t>attorneys states </w:t>
      </w:r>
      <w:r>
        <w:rPr>
          <w:spacing w:val="-3"/>
          <w:sz w:val="21"/>
        </w:rPr>
        <w:t>that </w:t>
      </w:r>
      <w:r>
        <w:rPr>
          <w:sz w:val="21"/>
        </w:rPr>
        <w:t>there is no </w:t>
      </w:r>
      <w:r>
        <w:rPr>
          <w:spacing w:val="-3"/>
          <w:sz w:val="21"/>
        </w:rPr>
        <w:t>requirement that </w:t>
      </w:r>
      <w:r>
        <w:rPr>
          <w:sz w:val="21"/>
        </w:rPr>
        <w:t>an attorney </w:t>
      </w:r>
      <w:r>
        <w:rPr>
          <w:spacing w:val="-3"/>
          <w:sz w:val="21"/>
        </w:rPr>
        <w:t>keep any </w:t>
      </w:r>
      <w:r>
        <w:rPr>
          <w:sz w:val="21"/>
        </w:rPr>
        <w:t>proceeds of sale </w:t>
      </w:r>
      <w:r>
        <w:rPr>
          <w:spacing w:val="-3"/>
          <w:sz w:val="21"/>
        </w:rPr>
        <w:t>separate from </w:t>
      </w:r>
      <w:r>
        <w:rPr>
          <w:sz w:val="21"/>
        </w:rPr>
        <w:t>the </w:t>
      </w:r>
      <w:r>
        <w:rPr>
          <w:spacing w:val="-3"/>
          <w:sz w:val="21"/>
        </w:rPr>
        <w:t>donor’s </w:t>
      </w:r>
      <w:r>
        <w:rPr>
          <w:sz w:val="21"/>
        </w:rPr>
        <w:t>other</w:t>
      </w:r>
      <w:r>
        <w:rPr>
          <w:spacing w:val="40"/>
          <w:sz w:val="21"/>
        </w:rPr>
        <w:t> </w:t>
      </w:r>
      <w:r>
        <w:rPr>
          <w:sz w:val="21"/>
        </w:rPr>
        <w:t>assets.</w:t>
      </w:r>
    </w:p>
    <w:p>
      <w:pPr>
        <w:pStyle w:val="BodyText"/>
        <w:spacing w:before="3"/>
        <w:rPr>
          <w:sz w:val="25"/>
        </w:rPr>
      </w:pPr>
    </w:p>
    <w:p>
      <w:pPr>
        <w:pStyle w:val="Heading5"/>
      </w:pPr>
      <w:r>
        <w:rPr>
          <w:w w:val="115"/>
        </w:rPr>
        <w:t>Capacity</w:t>
      </w:r>
    </w:p>
    <w:p>
      <w:pPr>
        <w:pStyle w:val="ListParagraph"/>
        <w:numPr>
          <w:ilvl w:val="1"/>
          <w:numId w:val="22"/>
        </w:numPr>
        <w:tabs>
          <w:tab w:pos="2381" w:val="left" w:leader="none"/>
          <w:tab w:pos="2382" w:val="left" w:leader="none"/>
        </w:tabs>
        <w:spacing w:line="242" w:lineRule="auto" w:before="137" w:after="0"/>
        <w:ind w:left="2381" w:right="2218" w:hanging="794"/>
        <w:jc w:val="left"/>
        <w:rPr>
          <w:sz w:val="21"/>
        </w:rPr>
      </w:pPr>
      <w:r>
        <w:rPr>
          <w:w w:val="105"/>
          <w:sz w:val="21"/>
        </w:rPr>
        <w:t>As</w:t>
      </w:r>
      <w:r>
        <w:rPr>
          <w:spacing w:val="-6"/>
          <w:w w:val="105"/>
          <w:sz w:val="21"/>
        </w:rPr>
        <w:t> </w:t>
      </w:r>
      <w:r>
        <w:rPr>
          <w:spacing w:val="-3"/>
          <w:w w:val="105"/>
          <w:sz w:val="21"/>
        </w:rPr>
        <w:t>noted</w:t>
      </w:r>
      <w:r>
        <w:rPr>
          <w:spacing w:val="-5"/>
          <w:w w:val="105"/>
          <w:sz w:val="21"/>
        </w:rPr>
        <w:t> </w:t>
      </w:r>
      <w:r>
        <w:rPr>
          <w:spacing w:val="-3"/>
          <w:w w:val="105"/>
          <w:sz w:val="21"/>
        </w:rPr>
        <w:t>above,</w:t>
      </w:r>
      <w:r>
        <w:rPr>
          <w:spacing w:val="-5"/>
          <w:w w:val="105"/>
          <w:sz w:val="21"/>
        </w:rPr>
        <w:t> </w:t>
      </w:r>
      <w:r>
        <w:rPr>
          <w:w w:val="105"/>
          <w:sz w:val="21"/>
        </w:rPr>
        <w:t>an</w:t>
      </w:r>
      <w:r>
        <w:rPr>
          <w:spacing w:val="-5"/>
          <w:w w:val="105"/>
          <w:sz w:val="21"/>
        </w:rPr>
        <w:t> </w:t>
      </w:r>
      <w:r>
        <w:rPr>
          <w:w w:val="105"/>
          <w:sz w:val="21"/>
        </w:rPr>
        <w:t>attorney</w:t>
      </w:r>
      <w:r>
        <w:rPr>
          <w:spacing w:val="-5"/>
          <w:w w:val="105"/>
          <w:sz w:val="21"/>
        </w:rPr>
        <w:t> </w:t>
      </w:r>
      <w:r>
        <w:rPr>
          <w:spacing w:val="-3"/>
          <w:w w:val="105"/>
          <w:sz w:val="21"/>
        </w:rPr>
        <w:t>may</w:t>
      </w:r>
      <w:r>
        <w:rPr>
          <w:spacing w:val="-5"/>
          <w:w w:val="105"/>
          <w:sz w:val="21"/>
        </w:rPr>
        <w:t> </w:t>
      </w:r>
      <w:r>
        <w:rPr>
          <w:w w:val="105"/>
          <w:sz w:val="21"/>
        </w:rPr>
        <w:t>act</w:t>
      </w:r>
      <w:r>
        <w:rPr>
          <w:spacing w:val="-5"/>
          <w:w w:val="105"/>
          <w:sz w:val="21"/>
        </w:rPr>
        <w:t> </w:t>
      </w:r>
      <w:r>
        <w:rPr>
          <w:w w:val="105"/>
          <w:sz w:val="21"/>
        </w:rPr>
        <w:t>while</w:t>
      </w:r>
      <w:r>
        <w:rPr>
          <w:spacing w:val="-5"/>
          <w:w w:val="105"/>
          <w:sz w:val="21"/>
        </w:rPr>
        <w:t> </w:t>
      </w:r>
      <w:r>
        <w:rPr>
          <w:w w:val="105"/>
          <w:sz w:val="21"/>
        </w:rPr>
        <w:t>the</w:t>
      </w:r>
      <w:r>
        <w:rPr>
          <w:spacing w:val="-5"/>
          <w:w w:val="105"/>
          <w:sz w:val="21"/>
        </w:rPr>
        <w:t> </w:t>
      </w:r>
      <w:r>
        <w:rPr>
          <w:w w:val="105"/>
          <w:sz w:val="21"/>
        </w:rPr>
        <w:t>person</w:t>
      </w:r>
      <w:r>
        <w:rPr>
          <w:spacing w:val="-6"/>
          <w:w w:val="105"/>
          <w:sz w:val="21"/>
        </w:rPr>
        <w:t> </w:t>
      </w:r>
      <w:r>
        <w:rPr>
          <w:w w:val="105"/>
          <w:sz w:val="21"/>
        </w:rPr>
        <w:t>still</w:t>
      </w:r>
      <w:r>
        <w:rPr>
          <w:spacing w:val="-5"/>
          <w:w w:val="105"/>
          <w:sz w:val="21"/>
        </w:rPr>
        <w:t> </w:t>
      </w:r>
      <w:r>
        <w:rPr>
          <w:spacing w:val="-2"/>
          <w:w w:val="105"/>
          <w:sz w:val="21"/>
        </w:rPr>
        <w:t>has</w:t>
      </w:r>
      <w:r>
        <w:rPr>
          <w:spacing w:val="-5"/>
          <w:w w:val="105"/>
          <w:sz w:val="21"/>
        </w:rPr>
        <w:t> </w:t>
      </w:r>
      <w:r>
        <w:rPr>
          <w:spacing w:val="-3"/>
          <w:w w:val="105"/>
          <w:sz w:val="21"/>
        </w:rPr>
        <w:t>capacity,</w:t>
      </w:r>
      <w:r>
        <w:rPr>
          <w:spacing w:val="-5"/>
          <w:w w:val="105"/>
          <w:sz w:val="21"/>
        </w:rPr>
        <w:t> </w:t>
      </w:r>
      <w:r>
        <w:rPr>
          <w:w w:val="105"/>
          <w:sz w:val="21"/>
        </w:rPr>
        <w:t>depending on the </w:t>
      </w:r>
      <w:r>
        <w:rPr>
          <w:spacing w:val="-3"/>
          <w:w w:val="105"/>
          <w:sz w:val="21"/>
        </w:rPr>
        <w:t>terms </w:t>
      </w:r>
      <w:r>
        <w:rPr>
          <w:w w:val="105"/>
          <w:sz w:val="21"/>
        </w:rPr>
        <w:t>of the</w:t>
      </w:r>
      <w:r>
        <w:rPr>
          <w:spacing w:val="28"/>
          <w:w w:val="105"/>
          <w:sz w:val="21"/>
        </w:rPr>
        <w:t> </w:t>
      </w:r>
      <w:r>
        <w:rPr>
          <w:spacing w:val="-3"/>
          <w:w w:val="105"/>
          <w:sz w:val="21"/>
        </w:rPr>
        <w:t>appointment.</w:t>
      </w:r>
    </w:p>
    <w:p>
      <w:pPr>
        <w:pStyle w:val="ListParagraph"/>
        <w:numPr>
          <w:ilvl w:val="1"/>
          <w:numId w:val="22"/>
        </w:numPr>
        <w:tabs>
          <w:tab w:pos="2381" w:val="left" w:leader="none"/>
          <w:tab w:pos="2382" w:val="left" w:leader="none"/>
        </w:tabs>
        <w:spacing w:line="242" w:lineRule="auto" w:before="123" w:after="0"/>
        <w:ind w:left="2381" w:right="2083" w:hanging="794"/>
        <w:jc w:val="left"/>
        <w:rPr>
          <w:sz w:val="12"/>
        </w:rPr>
      </w:pPr>
      <w:r>
        <w:rPr>
          <w:w w:val="105"/>
          <w:sz w:val="21"/>
        </w:rPr>
        <w:t>The </w:t>
      </w:r>
      <w:r>
        <w:rPr>
          <w:spacing w:val="-3"/>
          <w:w w:val="105"/>
          <w:sz w:val="21"/>
        </w:rPr>
        <w:t>Australian </w:t>
      </w:r>
      <w:r>
        <w:rPr>
          <w:w w:val="105"/>
          <w:sz w:val="21"/>
        </w:rPr>
        <w:t>jurisdictions </w:t>
      </w:r>
      <w:r>
        <w:rPr>
          <w:spacing w:val="-3"/>
          <w:w w:val="105"/>
          <w:sz w:val="21"/>
        </w:rPr>
        <w:t>that have legislative exceptions to </w:t>
      </w:r>
      <w:r>
        <w:rPr>
          <w:w w:val="105"/>
          <w:sz w:val="21"/>
        </w:rPr>
        <w:t>ademption </w:t>
      </w:r>
      <w:r>
        <w:rPr>
          <w:spacing w:val="-3"/>
          <w:w w:val="105"/>
          <w:sz w:val="21"/>
        </w:rPr>
        <w:t>for </w:t>
      </w:r>
      <w:r>
        <w:rPr>
          <w:w w:val="105"/>
          <w:sz w:val="21"/>
        </w:rPr>
        <w:t>actions of</w:t>
      </w:r>
      <w:r>
        <w:rPr>
          <w:spacing w:val="-7"/>
          <w:w w:val="105"/>
          <w:sz w:val="21"/>
        </w:rPr>
        <w:t> </w:t>
      </w:r>
      <w:r>
        <w:rPr>
          <w:w w:val="105"/>
          <w:sz w:val="21"/>
        </w:rPr>
        <w:t>attorneys</w:t>
      </w:r>
      <w:r>
        <w:rPr>
          <w:spacing w:val="-6"/>
          <w:w w:val="105"/>
          <w:sz w:val="21"/>
        </w:rPr>
        <w:t> </w:t>
      </w:r>
      <w:r>
        <w:rPr>
          <w:spacing w:val="-3"/>
          <w:w w:val="105"/>
          <w:sz w:val="21"/>
        </w:rPr>
        <w:t>take</w:t>
      </w:r>
      <w:r>
        <w:rPr>
          <w:spacing w:val="-6"/>
          <w:w w:val="105"/>
          <w:sz w:val="21"/>
        </w:rPr>
        <w:t> </w:t>
      </w:r>
      <w:r>
        <w:rPr>
          <w:spacing w:val="-3"/>
          <w:w w:val="105"/>
          <w:sz w:val="21"/>
        </w:rPr>
        <w:t>different</w:t>
      </w:r>
      <w:r>
        <w:rPr>
          <w:spacing w:val="-6"/>
          <w:w w:val="105"/>
          <w:sz w:val="21"/>
        </w:rPr>
        <w:t> </w:t>
      </w:r>
      <w:r>
        <w:rPr>
          <w:w w:val="105"/>
          <w:sz w:val="21"/>
        </w:rPr>
        <w:t>approaches</w:t>
      </w:r>
      <w:r>
        <w:rPr>
          <w:spacing w:val="-6"/>
          <w:w w:val="105"/>
          <w:sz w:val="21"/>
        </w:rPr>
        <w:t> </w:t>
      </w:r>
      <w:r>
        <w:rPr>
          <w:spacing w:val="-3"/>
          <w:w w:val="105"/>
          <w:sz w:val="21"/>
        </w:rPr>
        <w:t>to</w:t>
      </w:r>
      <w:r>
        <w:rPr>
          <w:spacing w:val="-6"/>
          <w:w w:val="105"/>
          <w:sz w:val="21"/>
        </w:rPr>
        <w:t> </w:t>
      </w:r>
      <w:r>
        <w:rPr>
          <w:w w:val="105"/>
          <w:sz w:val="21"/>
        </w:rPr>
        <w:t>the</w:t>
      </w:r>
      <w:r>
        <w:rPr>
          <w:spacing w:val="-6"/>
          <w:w w:val="105"/>
          <w:sz w:val="21"/>
        </w:rPr>
        <w:t> </w:t>
      </w:r>
      <w:r>
        <w:rPr>
          <w:w w:val="105"/>
          <w:sz w:val="21"/>
        </w:rPr>
        <w:t>issue</w:t>
      </w:r>
      <w:r>
        <w:rPr>
          <w:spacing w:val="-6"/>
          <w:w w:val="105"/>
          <w:sz w:val="21"/>
        </w:rPr>
        <w:t> </w:t>
      </w:r>
      <w:r>
        <w:rPr>
          <w:w w:val="105"/>
          <w:sz w:val="21"/>
        </w:rPr>
        <w:t>of</w:t>
      </w:r>
      <w:r>
        <w:rPr>
          <w:spacing w:val="-6"/>
          <w:w w:val="105"/>
          <w:sz w:val="21"/>
        </w:rPr>
        <w:t> </w:t>
      </w:r>
      <w:r>
        <w:rPr>
          <w:spacing w:val="-3"/>
          <w:w w:val="105"/>
          <w:sz w:val="21"/>
        </w:rPr>
        <w:t>capacity.</w:t>
      </w:r>
      <w:r>
        <w:rPr>
          <w:spacing w:val="-6"/>
          <w:w w:val="105"/>
          <w:sz w:val="21"/>
        </w:rPr>
        <w:t> </w:t>
      </w:r>
      <w:r>
        <w:rPr>
          <w:w w:val="105"/>
          <w:sz w:val="21"/>
        </w:rPr>
        <w:t>In</w:t>
      </w:r>
      <w:r>
        <w:rPr>
          <w:spacing w:val="-6"/>
          <w:w w:val="105"/>
          <w:sz w:val="21"/>
        </w:rPr>
        <w:t> </w:t>
      </w:r>
      <w:r>
        <w:rPr>
          <w:w w:val="105"/>
          <w:sz w:val="21"/>
        </w:rPr>
        <w:t>South</w:t>
      </w:r>
      <w:r>
        <w:rPr>
          <w:spacing w:val="-7"/>
          <w:w w:val="105"/>
          <w:sz w:val="21"/>
        </w:rPr>
        <w:t> </w:t>
      </w:r>
      <w:r>
        <w:rPr>
          <w:spacing w:val="-3"/>
          <w:w w:val="105"/>
          <w:sz w:val="21"/>
        </w:rPr>
        <w:t>Australia,</w:t>
      </w:r>
      <w:r>
        <w:rPr>
          <w:spacing w:val="-6"/>
          <w:w w:val="105"/>
          <w:sz w:val="21"/>
        </w:rPr>
        <w:t> </w:t>
      </w:r>
      <w:r>
        <w:rPr>
          <w:w w:val="105"/>
          <w:sz w:val="21"/>
        </w:rPr>
        <w:t>an application</w:t>
      </w:r>
      <w:r>
        <w:rPr>
          <w:spacing w:val="-6"/>
          <w:w w:val="105"/>
          <w:sz w:val="21"/>
        </w:rPr>
        <w:t> </w:t>
      </w:r>
      <w:r>
        <w:rPr>
          <w:spacing w:val="-3"/>
          <w:w w:val="105"/>
          <w:sz w:val="21"/>
        </w:rPr>
        <w:t>to</w:t>
      </w:r>
      <w:r>
        <w:rPr>
          <w:spacing w:val="-6"/>
          <w:w w:val="105"/>
          <w:sz w:val="21"/>
        </w:rPr>
        <w:t> </w:t>
      </w:r>
      <w:r>
        <w:rPr>
          <w:w w:val="105"/>
          <w:sz w:val="21"/>
        </w:rPr>
        <w:t>court</w:t>
      </w:r>
      <w:r>
        <w:rPr>
          <w:spacing w:val="-6"/>
          <w:w w:val="105"/>
          <w:sz w:val="21"/>
        </w:rPr>
        <w:t> </w:t>
      </w:r>
      <w:r>
        <w:rPr>
          <w:w w:val="105"/>
          <w:sz w:val="21"/>
        </w:rPr>
        <w:t>can</w:t>
      </w:r>
      <w:r>
        <w:rPr>
          <w:spacing w:val="-6"/>
          <w:w w:val="105"/>
          <w:sz w:val="21"/>
        </w:rPr>
        <w:t> </w:t>
      </w:r>
      <w:r>
        <w:rPr>
          <w:w w:val="105"/>
          <w:sz w:val="21"/>
        </w:rPr>
        <w:t>only</w:t>
      </w:r>
      <w:r>
        <w:rPr>
          <w:spacing w:val="-6"/>
          <w:w w:val="105"/>
          <w:sz w:val="21"/>
        </w:rPr>
        <w:t> </w:t>
      </w:r>
      <w:r>
        <w:rPr>
          <w:w w:val="105"/>
          <w:sz w:val="21"/>
        </w:rPr>
        <w:t>be</w:t>
      </w:r>
      <w:r>
        <w:rPr>
          <w:spacing w:val="-6"/>
          <w:w w:val="105"/>
          <w:sz w:val="21"/>
        </w:rPr>
        <w:t> </w:t>
      </w:r>
      <w:r>
        <w:rPr>
          <w:w w:val="105"/>
          <w:sz w:val="21"/>
        </w:rPr>
        <w:t>made</w:t>
      </w:r>
      <w:r>
        <w:rPr>
          <w:spacing w:val="-5"/>
          <w:w w:val="105"/>
          <w:sz w:val="21"/>
        </w:rPr>
        <w:t> </w:t>
      </w:r>
      <w:r>
        <w:rPr>
          <w:w w:val="105"/>
          <w:sz w:val="21"/>
        </w:rPr>
        <w:t>where</w:t>
      </w:r>
      <w:r>
        <w:rPr>
          <w:spacing w:val="-6"/>
          <w:w w:val="105"/>
          <w:sz w:val="21"/>
        </w:rPr>
        <w:t> </w:t>
      </w:r>
      <w:r>
        <w:rPr>
          <w:w w:val="105"/>
          <w:sz w:val="21"/>
        </w:rPr>
        <w:t>the</w:t>
      </w:r>
      <w:r>
        <w:rPr>
          <w:spacing w:val="-6"/>
          <w:w w:val="105"/>
          <w:sz w:val="21"/>
        </w:rPr>
        <w:t> </w:t>
      </w:r>
      <w:r>
        <w:rPr>
          <w:w w:val="105"/>
          <w:sz w:val="21"/>
        </w:rPr>
        <w:t>donor</w:t>
      </w:r>
      <w:r>
        <w:rPr>
          <w:spacing w:val="-6"/>
          <w:w w:val="105"/>
          <w:sz w:val="21"/>
        </w:rPr>
        <w:t> </w:t>
      </w:r>
      <w:r>
        <w:rPr>
          <w:w w:val="105"/>
          <w:sz w:val="21"/>
        </w:rPr>
        <w:t>of</w:t>
      </w:r>
      <w:r>
        <w:rPr>
          <w:spacing w:val="-6"/>
          <w:w w:val="105"/>
          <w:sz w:val="21"/>
        </w:rPr>
        <w:t> </w:t>
      </w:r>
      <w:r>
        <w:rPr>
          <w:w w:val="105"/>
          <w:sz w:val="21"/>
        </w:rPr>
        <w:t>the</w:t>
      </w:r>
      <w:r>
        <w:rPr>
          <w:spacing w:val="-6"/>
          <w:w w:val="105"/>
          <w:sz w:val="21"/>
        </w:rPr>
        <w:t> </w:t>
      </w:r>
      <w:r>
        <w:rPr>
          <w:w w:val="105"/>
          <w:sz w:val="21"/>
        </w:rPr>
        <w:t>power</w:t>
      </w:r>
      <w:r>
        <w:rPr>
          <w:spacing w:val="-5"/>
          <w:w w:val="105"/>
          <w:sz w:val="21"/>
        </w:rPr>
        <w:t> </w:t>
      </w:r>
      <w:r>
        <w:rPr>
          <w:spacing w:val="-2"/>
          <w:w w:val="105"/>
          <w:sz w:val="21"/>
        </w:rPr>
        <w:t>had</w:t>
      </w:r>
      <w:r>
        <w:rPr>
          <w:spacing w:val="-6"/>
          <w:w w:val="105"/>
          <w:sz w:val="21"/>
        </w:rPr>
        <w:t> </w:t>
      </w:r>
      <w:r>
        <w:rPr>
          <w:w w:val="105"/>
          <w:sz w:val="21"/>
        </w:rPr>
        <w:t>suffered</w:t>
      </w:r>
      <w:r>
        <w:rPr>
          <w:spacing w:val="-6"/>
          <w:w w:val="105"/>
          <w:sz w:val="21"/>
        </w:rPr>
        <w:t> </w:t>
      </w:r>
      <w:r>
        <w:rPr>
          <w:w w:val="105"/>
          <w:sz w:val="21"/>
        </w:rPr>
        <w:t>a period of legal incapacity while the </w:t>
      </w:r>
      <w:r>
        <w:rPr>
          <w:spacing w:val="-3"/>
          <w:w w:val="105"/>
          <w:sz w:val="21"/>
        </w:rPr>
        <w:t>enduring </w:t>
      </w:r>
      <w:r>
        <w:rPr>
          <w:w w:val="105"/>
          <w:sz w:val="21"/>
        </w:rPr>
        <w:t>power of attorney was in</w:t>
      </w:r>
      <w:r>
        <w:rPr>
          <w:spacing w:val="-6"/>
          <w:w w:val="105"/>
          <w:sz w:val="21"/>
        </w:rPr>
        <w:t> force.</w:t>
      </w:r>
      <w:r>
        <w:rPr>
          <w:spacing w:val="-6"/>
          <w:w w:val="105"/>
          <w:position w:val="7"/>
          <w:sz w:val="12"/>
        </w:rPr>
        <w:t>74</w:t>
      </w:r>
    </w:p>
    <w:p>
      <w:pPr>
        <w:pStyle w:val="ListParagraph"/>
        <w:numPr>
          <w:ilvl w:val="1"/>
          <w:numId w:val="22"/>
        </w:numPr>
        <w:tabs>
          <w:tab w:pos="2381" w:val="left" w:leader="none"/>
          <w:tab w:pos="2382" w:val="left" w:leader="none"/>
        </w:tabs>
        <w:spacing w:line="242" w:lineRule="auto" w:before="124" w:after="0"/>
        <w:ind w:left="2381" w:right="1763" w:hanging="794"/>
        <w:jc w:val="left"/>
        <w:rPr>
          <w:sz w:val="12"/>
        </w:rPr>
      </w:pPr>
      <w:r>
        <w:rPr>
          <w:sz w:val="21"/>
        </w:rPr>
        <w:t>In </w:t>
      </w:r>
      <w:r>
        <w:rPr>
          <w:spacing w:val="-3"/>
          <w:sz w:val="21"/>
        </w:rPr>
        <w:t>Queensland </w:t>
      </w:r>
      <w:r>
        <w:rPr>
          <w:sz w:val="21"/>
        </w:rPr>
        <w:t>and New South </w:t>
      </w:r>
      <w:r>
        <w:rPr>
          <w:spacing w:val="-3"/>
          <w:sz w:val="21"/>
        </w:rPr>
        <w:t>Wales, </w:t>
      </w:r>
      <w:r>
        <w:rPr>
          <w:sz w:val="21"/>
        </w:rPr>
        <w:t>the </w:t>
      </w:r>
      <w:r>
        <w:rPr>
          <w:spacing w:val="-3"/>
          <w:sz w:val="21"/>
        </w:rPr>
        <w:t>exceptions </w:t>
      </w:r>
      <w:r>
        <w:rPr>
          <w:sz w:val="21"/>
        </w:rPr>
        <w:t>apply regardless of whether  the donor</w:t>
      </w:r>
      <w:r>
        <w:rPr>
          <w:spacing w:val="16"/>
          <w:sz w:val="21"/>
        </w:rPr>
        <w:t> </w:t>
      </w:r>
      <w:r>
        <w:rPr>
          <w:sz w:val="21"/>
        </w:rPr>
        <w:t>of</w:t>
      </w:r>
      <w:r>
        <w:rPr>
          <w:spacing w:val="17"/>
          <w:sz w:val="21"/>
        </w:rPr>
        <w:t> </w:t>
      </w:r>
      <w:r>
        <w:rPr>
          <w:sz w:val="21"/>
        </w:rPr>
        <w:t>the</w:t>
      </w:r>
      <w:r>
        <w:rPr>
          <w:spacing w:val="16"/>
          <w:sz w:val="21"/>
        </w:rPr>
        <w:t> </w:t>
      </w:r>
      <w:r>
        <w:rPr>
          <w:sz w:val="21"/>
        </w:rPr>
        <w:t>power</w:t>
      </w:r>
      <w:r>
        <w:rPr>
          <w:spacing w:val="17"/>
          <w:sz w:val="21"/>
        </w:rPr>
        <w:t> </w:t>
      </w:r>
      <w:r>
        <w:rPr>
          <w:spacing w:val="-2"/>
          <w:sz w:val="21"/>
        </w:rPr>
        <w:t>had</w:t>
      </w:r>
      <w:r>
        <w:rPr>
          <w:spacing w:val="17"/>
          <w:sz w:val="21"/>
        </w:rPr>
        <w:t> </w:t>
      </w:r>
      <w:r>
        <w:rPr>
          <w:sz w:val="21"/>
        </w:rPr>
        <w:t>testamentary</w:t>
      </w:r>
      <w:r>
        <w:rPr>
          <w:spacing w:val="16"/>
          <w:sz w:val="21"/>
        </w:rPr>
        <w:t> </w:t>
      </w:r>
      <w:r>
        <w:rPr>
          <w:sz w:val="21"/>
        </w:rPr>
        <w:t>capacity</w:t>
      </w:r>
      <w:r>
        <w:rPr>
          <w:spacing w:val="17"/>
          <w:sz w:val="21"/>
        </w:rPr>
        <w:t> </w:t>
      </w:r>
      <w:r>
        <w:rPr>
          <w:sz w:val="21"/>
        </w:rPr>
        <w:t>at</w:t>
      </w:r>
      <w:r>
        <w:rPr>
          <w:spacing w:val="17"/>
          <w:sz w:val="21"/>
        </w:rPr>
        <w:t> </w:t>
      </w:r>
      <w:r>
        <w:rPr>
          <w:sz w:val="21"/>
        </w:rPr>
        <w:t>the</w:t>
      </w:r>
      <w:r>
        <w:rPr>
          <w:spacing w:val="16"/>
          <w:sz w:val="21"/>
        </w:rPr>
        <w:t> </w:t>
      </w:r>
      <w:r>
        <w:rPr>
          <w:sz w:val="21"/>
        </w:rPr>
        <w:t>time</w:t>
      </w:r>
      <w:r>
        <w:rPr>
          <w:spacing w:val="17"/>
          <w:sz w:val="21"/>
        </w:rPr>
        <w:t> </w:t>
      </w:r>
      <w:r>
        <w:rPr>
          <w:sz w:val="21"/>
        </w:rPr>
        <w:t>of</w:t>
      </w:r>
      <w:r>
        <w:rPr>
          <w:spacing w:val="17"/>
          <w:sz w:val="21"/>
        </w:rPr>
        <w:t> </w:t>
      </w:r>
      <w:r>
        <w:rPr>
          <w:sz w:val="21"/>
        </w:rPr>
        <w:t>the</w:t>
      </w:r>
      <w:r>
        <w:rPr>
          <w:spacing w:val="16"/>
          <w:sz w:val="21"/>
        </w:rPr>
        <w:t> </w:t>
      </w:r>
      <w:r>
        <w:rPr>
          <w:sz w:val="21"/>
        </w:rPr>
        <w:t>sale</w:t>
      </w:r>
      <w:r>
        <w:rPr>
          <w:spacing w:val="17"/>
          <w:sz w:val="21"/>
        </w:rPr>
        <w:t> </w:t>
      </w:r>
      <w:r>
        <w:rPr>
          <w:sz w:val="21"/>
        </w:rPr>
        <w:t>or</w:t>
      </w:r>
      <w:r>
        <w:rPr>
          <w:spacing w:val="17"/>
          <w:sz w:val="21"/>
        </w:rPr>
        <w:t> </w:t>
      </w:r>
      <w:r>
        <w:rPr>
          <w:sz w:val="21"/>
        </w:rPr>
        <w:t>other</w:t>
      </w:r>
      <w:r>
        <w:rPr>
          <w:spacing w:val="16"/>
          <w:sz w:val="21"/>
        </w:rPr>
        <w:t> </w:t>
      </w:r>
      <w:r>
        <w:rPr>
          <w:spacing w:val="-4"/>
          <w:sz w:val="21"/>
        </w:rPr>
        <w:t>dealing.</w:t>
      </w:r>
      <w:r>
        <w:rPr>
          <w:spacing w:val="-4"/>
          <w:position w:val="7"/>
          <w:sz w:val="12"/>
        </w:rPr>
        <w:t>75</w:t>
      </w:r>
    </w:p>
    <w:p>
      <w:pPr>
        <w:pStyle w:val="ListParagraph"/>
        <w:numPr>
          <w:ilvl w:val="1"/>
          <w:numId w:val="22"/>
        </w:numPr>
        <w:tabs>
          <w:tab w:pos="2381" w:val="left" w:leader="none"/>
          <w:tab w:pos="2382" w:val="left" w:leader="none"/>
        </w:tabs>
        <w:spacing w:line="242" w:lineRule="auto" w:before="122" w:after="0"/>
        <w:ind w:left="2381" w:right="1982" w:hanging="794"/>
        <w:jc w:val="left"/>
        <w:rPr>
          <w:sz w:val="21"/>
        </w:rPr>
      </w:pPr>
      <w:r>
        <w:rPr>
          <w:sz w:val="21"/>
        </w:rPr>
        <w:t>Views </w:t>
      </w:r>
      <w:r>
        <w:rPr>
          <w:spacing w:val="-3"/>
          <w:sz w:val="21"/>
        </w:rPr>
        <w:t>were </w:t>
      </w:r>
      <w:r>
        <w:rPr>
          <w:sz w:val="21"/>
        </w:rPr>
        <w:t>mixed on whether a </w:t>
      </w:r>
      <w:r>
        <w:rPr>
          <w:spacing w:val="-3"/>
          <w:sz w:val="21"/>
        </w:rPr>
        <w:t>legislative exception </w:t>
      </w:r>
      <w:r>
        <w:rPr>
          <w:sz w:val="21"/>
        </w:rPr>
        <w:t>should apply </w:t>
      </w:r>
      <w:r>
        <w:rPr>
          <w:spacing w:val="-3"/>
          <w:sz w:val="21"/>
        </w:rPr>
        <w:t>to any </w:t>
      </w:r>
      <w:r>
        <w:rPr>
          <w:sz w:val="21"/>
        </w:rPr>
        <w:t>action of an attorney</w:t>
      </w:r>
      <w:r>
        <w:rPr>
          <w:spacing w:val="10"/>
          <w:sz w:val="21"/>
        </w:rPr>
        <w:t> </w:t>
      </w:r>
      <w:r>
        <w:rPr>
          <w:sz w:val="21"/>
        </w:rPr>
        <w:t>or</w:t>
      </w:r>
      <w:r>
        <w:rPr>
          <w:spacing w:val="11"/>
          <w:sz w:val="21"/>
        </w:rPr>
        <w:t> </w:t>
      </w:r>
      <w:r>
        <w:rPr>
          <w:sz w:val="21"/>
        </w:rPr>
        <w:t>only</w:t>
      </w:r>
      <w:r>
        <w:rPr>
          <w:spacing w:val="11"/>
          <w:sz w:val="21"/>
        </w:rPr>
        <w:t> </w:t>
      </w:r>
      <w:r>
        <w:rPr>
          <w:sz w:val="21"/>
        </w:rPr>
        <w:t>those</w:t>
      </w:r>
      <w:r>
        <w:rPr>
          <w:spacing w:val="11"/>
          <w:sz w:val="21"/>
        </w:rPr>
        <w:t> </w:t>
      </w:r>
      <w:r>
        <w:rPr>
          <w:sz w:val="21"/>
        </w:rPr>
        <w:t>actions</w:t>
      </w:r>
      <w:r>
        <w:rPr>
          <w:spacing w:val="11"/>
          <w:sz w:val="21"/>
        </w:rPr>
        <w:t> </w:t>
      </w:r>
      <w:r>
        <w:rPr>
          <w:spacing w:val="-3"/>
          <w:sz w:val="21"/>
        </w:rPr>
        <w:t>taken</w:t>
      </w:r>
      <w:r>
        <w:rPr>
          <w:spacing w:val="11"/>
          <w:sz w:val="21"/>
        </w:rPr>
        <w:t> </w:t>
      </w:r>
      <w:r>
        <w:rPr>
          <w:sz w:val="21"/>
        </w:rPr>
        <w:t>once</w:t>
      </w:r>
      <w:r>
        <w:rPr>
          <w:spacing w:val="10"/>
          <w:sz w:val="21"/>
        </w:rPr>
        <w:t> </w:t>
      </w:r>
      <w:r>
        <w:rPr>
          <w:sz w:val="21"/>
        </w:rPr>
        <w:t>the</w:t>
      </w:r>
      <w:r>
        <w:rPr>
          <w:spacing w:val="11"/>
          <w:sz w:val="21"/>
        </w:rPr>
        <w:t> </w:t>
      </w:r>
      <w:r>
        <w:rPr>
          <w:sz w:val="21"/>
        </w:rPr>
        <w:t>donor</w:t>
      </w:r>
      <w:r>
        <w:rPr>
          <w:spacing w:val="11"/>
          <w:sz w:val="21"/>
        </w:rPr>
        <w:t> </w:t>
      </w:r>
      <w:r>
        <w:rPr>
          <w:spacing w:val="-2"/>
          <w:sz w:val="21"/>
        </w:rPr>
        <w:t>has</w:t>
      </w:r>
      <w:r>
        <w:rPr>
          <w:spacing w:val="11"/>
          <w:sz w:val="21"/>
        </w:rPr>
        <w:t> </w:t>
      </w:r>
      <w:r>
        <w:rPr>
          <w:sz w:val="21"/>
        </w:rPr>
        <w:t>lost</w:t>
      </w:r>
      <w:r>
        <w:rPr>
          <w:spacing w:val="11"/>
          <w:sz w:val="21"/>
        </w:rPr>
        <w:t> </w:t>
      </w:r>
      <w:r>
        <w:rPr>
          <w:spacing w:val="-3"/>
          <w:sz w:val="21"/>
        </w:rPr>
        <w:t>capacity.</w:t>
      </w:r>
    </w:p>
    <w:p>
      <w:pPr>
        <w:pStyle w:val="ListParagraph"/>
        <w:numPr>
          <w:ilvl w:val="1"/>
          <w:numId w:val="22"/>
        </w:numPr>
        <w:tabs>
          <w:tab w:pos="2381" w:val="left" w:leader="none"/>
          <w:tab w:pos="2382" w:val="left" w:leader="none"/>
        </w:tabs>
        <w:spacing w:line="242" w:lineRule="auto" w:before="122" w:after="0"/>
        <w:ind w:left="2381" w:right="1625" w:hanging="794"/>
        <w:jc w:val="left"/>
        <w:rPr>
          <w:sz w:val="12"/>
        </w:rPr>
      </w:pPr>
      <w:r>
        <w:rPr>
          <w:w w:val="105"/>
          <w:sz w:val="21"/>
        </w:rPr>
        <w:t>The Law </w:t>
      </w:r>
      <w:r>
        <w:rPr>
          <w:spacing w:val="-3"/>
          <w:w w:val="105"/>
          <w:sz w:val="21"/>
        </w:rPr>
        <w:t>Institute </w:t>
      </w:r>
      <w:r>
        <w:rPr>
          <w:w w:val="105"/>
          <w:sz w:val="21"/>
        </w:rPr>
        <w:t>of Victoria, the Office of the </w:t>
      </w:r>
      <w:r>
        <w:rPr>
          <w:spacing w:val="-3"/>
          <w:w w:val="105"/>
          <w:sz w:val="21"/>
        </w:rPr>
        <w:t>Public Advocate, Carolyn Sparke </w:t>
      </w:r>
      <w:r>
        <w:rPr>
          <w:w w:val="105"/>
          <w:sz w:val="21"/>
        </w:rPr>
        <w:t>SC and </w:t>
      </w:r>
      <w:r>
        <w:rPr>
          <w:spacing w:val="-3"/>
          <w:w w:val="105"/>
          <w:sz w:val="21"/>
        </w:rPr>
        <w:t>Patricia </w:t>
      </w:r>
      <w:r>
        <w:rPr>
          <w:spacing w:val="-4"/>
          <w:w w:val="105"/>
          <w:sz w:val="21"/>
        </w:rPr>
        <w:t>Strachan </w:t>
      </w:r>
      <w:r>
        <w:rPr>
          <w:w w:val="105"/>
          <w:sz w:val="21"/>
        </w:rPr>
        <w:t>supported an anti-ademption </w:t>
      </w:r>
      <w:r>
        <w:rPr>
          <w:spacing w:val="-3"/>
          <w:w w:val="105"/>
          <w:sz w:val="21"/>
        </w:rPr>
        <w:t>provision </w:t>
      </w:r>
      <w:r>
        <w:rPr>
          <w:w w:val="105"/>
          <w:sz w:val="21"/>
        </w:rPr>
        <w:t>only where the donor </w:t>
      </w:r>
      <w:r>
        <w:rPr>
          <w:spacing w:val="-2"/>
          <w:w w:val="105"/>
          <w:sz w:val="21"/>
        </w:rPr>
        <w:t>had </w:t>
      </w:r>
      <w:r>
        <w:rPr>
          <w:w w:val="105"/>
          <w:sz w:val="21"/>
        </w:rPr>
        <w:t>lost capacity</w:t>
      </w:r>
      <w:r>
        <w:rPr>
          <w:spacing w:val="-6"/>
          <w:w w:val="105"/>
          <w:sz w:val="21"/>
        </w:rPr>
        <w:t> </w:t>
      </w:r>
      <w:r>
        <w:rPr>
          <w:w w:val="105"/>
          <w:sz w:val="21"/>
        </w:rPr>
        <w:t>at</w:t>
      </w:r>
      <w:r>
        <w:rPr>
          <w:spacing w:val="-6"/>
          <w:w w:val="105"/>
          <w:sz w:val="21"/>
        </w:rPr>
        <w:t> </w:t>
      </w:r>
      <w:r>
        <w:rPr>
          <w:w w:val="105"/>
          <w:sz w:val="21"/>
        </w:rPr>
        <w:t>the</w:t>
      </w:r>
      <w:r>
        <w:rPr>
          <w:spacing w:val="-6"/>
          <w:w w:val="105"/>
          <w:sz w:val="21"/>
        </w:rPr>
        <w:t> </w:t>
      </w:r>
      <w:r>
        <w:rPr>
          <w:w w:val="105"/>
          <w:sz w:val="21"/>
        </w:rPr>
        <w:t>time</w:t>
      </w:r>
      <w:r>
        <w:rPr>
          <w:spacing w:val="-6"/>
          <w:w w:val="105"/>
          <w:sz w:val="21"/>
        </w:rPr>
        <w:t> </w:t>
      </w:r>
      <w:r>
        <w:rPr>
          <w:w w:val="105"/>
          <w:sz w:val="21"/>
        </w:rPr>
        <w:t>of</w:t>
      </w:r>
      <w:r>
        <w:rPr>
          <w:spacing w:val="-6"/>
          <w:w w:val="105"/>
          <w:sz w:val="21"/>
        </w:rPr>
        <w:t> </w:t>
      </w:r>
      <w:r>
        <w:rPr>
          <w:w w:val="105"/>
          <w:sz w:val="21"/>
        </w:rPr>
        <w:t>the</w:t>
      </w:r>
      <w:r>
        <w:rPr>
          <w:spacing w:val="-6"/>
          <w:w w:val="105"/>
          <w:sz w:val="21"/>
        </w:rPr>
        <w:t> </w:t>
      </w:r>
      <w:r>
        <w:rPr>
          <w:spacing w:val="-3"/>
          <w:w w:val="105"/>
          <w:sz w:val="21"/>
        </w:rPr>
        <w:t>transaction.</w:t>
      </w:r>
      <w:r>
        <w:rPr>
          <w:spacing w:val="-3"/>
          <w:w w:val="105"/>
          <w:position w:val="7"/>
          <w:sz w:val="12"/>
        </w:rPr>
        <w:t>76</w:t>
      </w:r>
      <w:r>
        <w:rPr>
          <w:spacing w:val="16"/>
          <w:w w:val="105"/>
          <w:position w:val="7"/>
          <w:sz w:val="12"/>
        </w:rPr>
        <w:t> </w:t>
      </w:r>
      <w:r>
        <w:rPr>
          <w:spacing w:val="-3"/>
          <w:w w:val="105"/>
          <w:sz w:val="21"/>
        </w:rPr>
        <w:t>Submissions</w:t>
      </w:r>
      <w:r>
        <w:rPr>
          <w:spacing w:val="-6"/>
          <w:w w:val="105"/>
          <w:sz w:val="21"/>
        </w:rPr>
        <w:t> </w:t>
      </w:r>
      <w:r>
        <w:rPr>
          <w:spacing w:val="-3"/>
          <w:w w:val="105"/>
          <w:sz w:val="21"/>
        </w:rPr>
        <w:t>noted</w:t>
      </w:r>
      <w:r>
        <w:rPr>
          <w:spacing w:val="-6"/>
          <w:w w:val="105"/>
          <w:sz w:val="21"/>
        </w:rPr>
        <w:t> </w:t>
      </w:r>
      <w:r>
        <w:rPr>
          <w:spacing w:val="-3"/>
          <w:w w:val="105"/>
          <w:sz w:val="21"/>
        </w:rPr>
        <w:t>that</w:t>
      </w:r>
      <w:r>
        <w:rPr>
          <w:spacing w:val="-6"/>
          <w:w w:val="105"/>
          <w:sz w:val="21"/>
        </w:rPr>
        <w:t> </w:t>
      </w:r>
      <w:r>
        <w:rPr>
          <w:w w:val="105"/>
          <w:sz w:val="21"/>
        </w:rPr>
        <w:t>the</w:t>
      </w:r>
      <w:r>
        <w:rPr>
          <w:spacing w:val="-6"/>
          <w:w w:val="105"/>
          <w:sz w:val="21"/>
        </w:rPr>
        <w:t> </w:t>
      </w:r>
      <w:r>
        <w:rPr>
          <w:w w:val="105"/>
          <w:sz w:val="21"/>
        </w:rPr>
        <w:t>donor</w:t>
      </w:r>
      <w:r>
        <w:rPr>
          <w:spacing w:val="-6"/>
          <w:w w:val="105"/>
          <w:sz w:val="21"/>
        </w:rPr>
        <w:t> </w:t>
      </w:r>
      <w:r>
        <w:rPr>
          <w:spacing w:val="-3"/>
          <w:w w:val="105"/>
          <w:sz w:val="21"/>
        </w:rPr>
        <w:t>may</w:t>
      </w:r>
      <w:r>
        <w:rPr>
          <w:spacing w:val="-6"/>
          <w:w w:val="105"/>
          <w:sz w:val="21"/>
        </w:rPr>
        <w:t> </w:t>
      </w:r>
      <w:r>
        <w:rPr>
          <w:spacing w:val="-3"/>
          <w:w w:val="105"/>
          <w:sz w:val="21"/>
        </w:rPr>
        <w:t>alter</w:t>
      </w:r>
      <w:r>
        <w:rPr>
          <w:spacing w:val="-6"/>
          <w:w w:val="105"/>
          <w:sz w:val="21"/>
        </w:rPr>
        <w:t> </w:t>
      </w:r>
      <w:r>
        <w:rPr>
          <w:w w:val="105"/>
          <w:sz w:val="21"/>
        </w:rPr>
        <w:t>their </w:t>
      </w:r>
      <w:r>
        <w:rPr>
          <w:spacing w:val="-3"/>
          <w:w w:val="105"/>
          <w:sz w:val="21"/>
        </w:rPr>
        <w:t>will </w:t>
      </w:r>
      <w:r>
        <w:rPr>
          <w:w w:val="105"/>
          <w:sz w:val="21"/>
        </w:rPr>
        <w:t>if the donor still </w:t>
      </w:r>
      <w:r>
        <w:rPr>
          <w:spacing w:val="-2"/>
          <w:w w:val="105"/>
          <w:sz w:val="21"/>
        </w:rPr>
        <w:t>has</w:t>
      </w:r>
      <w:r>
        <w:rPr>
          <w:spacing w:val="32"/>
          <w:w w:val="105"/>
          <w:sz w:val="21"/>
        </w:rPr>
        <w:t> </w:t>
      </w:r>
      <w:r>
        <w:rPr>
          <w:spacing w:val="-3"/>
          <w:w w:val="105"/>
          <w:sz w:val="21"/>
        </w:rPr>
        <w:t>capacity.</w:t>
      </w:r>
      <w:r>
        <w:rPr>
          <w:spacing w:val="-3"/>
          <w:w w:val="105"/>
          <w:position w:val="7"/>
          <w:sz w:val="12"/>
        </w:rPr>
        <w:t>77</w:t>
      </w:r>
    </w:p>
    <w:p>
      <w:pPr>
        <w:pStyle w:val="ListParagraph"/>
        <w:numPr>
          <w:ilvl w:val="1"/>
          <w:numId w:val="22"/>
        </w:numPr>
        <w:tabs>
          <w:tab w:pos="2381" w:val="left" w:leader="none"/>
          <w:tab w:pos="2382" w:val="left" w:leader="none"/>
        </w:tabs>
        <w:spacing w:line="242" w:lineRule="auto" w:before="125" w:after="0"/>
        <w:ind w:left="2381" w:right="1951" w:hanging="794"/>
        <w:jc w:val="left"/>
        <w:rPr>
          <w:sz w:val="21"/>
        </w:rPr>
      </w:pPr>
      <w:r>
        <w:rPr>
          <w:w w:val="105"/>
          <w:sz w:val="21"/>
        </w:rPr>
        <w:t>The</w:t>
      </w:r>
      <w:r>
        <w:rPr>
          <w:spacing w:val="-9"/>
          <w:w w:val="105"/>
          <w:sz w:val="21"/>
        </w:rPr>
        <w:t> </w:t>
      </w:r>
      <w:r>
        <w:rPr>
          <w:spacing w:val="-4"/>
          <w:w w:val="105"/>
          <w:sz w:val="21"/>
        </w:rPr>
        <w:t>Commercial</w:t>
      </w:r>
      <w:r>
        <w:rPr>
          <w:spacing w:val="-9"/>
          <w:w w:val="105"/>
          <w:sz w:val="21"/>
        </w:rPr>
        <w:t> </w:t>
      </w:r>
      <w:r>
        <w:rPr>
          <w:w w:val="105"/>
          <w:sz w:val="21"/>
        </w:rPr>
        <w:t>Bar</w:t>
      </w:r>
      <w:r>
        <w:rPr>
          <w:spacing w:val="-9"/>
          <w:w w:val="105"/>
          <w:sz w:val="21"/>
        </w:rPr>
        <w:t> </w:t>
      </w:r>
      <w:r>
        <w:rPr>
          <w:w w:val="105"/>
          <w:sz w:val="21"/>
        </w:rPr>
        <w:t>Association</w:t>
      </w:r>
      <w:r>
        <w:rPr>
          <w:spacing w:val="-9"/>
          <w:w w:val="105"/>
          <w:sz w:val="21"/>
        </w:rPr>
        <w:t> </w:t>
      </w:r>
      <w:r>
        <w:rPr>
          <w:w w:val="105"/>
          <w:sz w:val="21"/>
        </w:rPr>
        <w:t>and</w:t>
      </w:r>
      <w:r>
        <w:rPr>
          <w:spacing w:val="-9"/>
          <w:w w:val="105"/>
          <w:sz w:val="21"/>
        </w:rPr>
        <w:t> </w:t>
      </w:r>
      <w:r>
        <w:rPr>
          <w:spacing w:val="-3"/>
          <w:w w:val="105"/>
          <w:sz w:val="21"/>
        </w:rPr>
        <w:t>State</w:t>
      </w:r>
      <w:r>
        <w:rPr>
          <w:spacing w:val="-9"/>
          <w:w w:val="105"/>
          <w:sz w:val="21"/>
        </w:rPr>
        <w:t> </w:t>
      </w:r>
      <w:r>
        <w:rPr>
          <w:spacing w:val="-4"/>
          <w:w w:val="105"/>
          <w:sz w:val="21"/>
        </w:rPr>
        <w:t>Trustees</w:t>
      </w:r>
      <w:r>
        <w:rPr>
          <w:spacing w:val="-9"/>
          <w:w w:val="105"/>
          <w:sz w:val="21"/>
        </w:rPr>
        <w:t> </w:t>
      </w:r>
      <w:r>
        <w:rPr>
          <w:w w:val="105"/>
          <w:sz w:val="21"/>
        </w:rPr>
        <w:t>supported</w:t>
      </w:r>
      <w:r>
        <w:rPr>
          <w:spacing w:val="-9"/>
          <w:w w:val="105"/>
          <w:sz w:val="21"/>
        </w:rPr>
        <w:t> </w:t>
      </w:r>
      <w:r>
        <w:rPr>
          <w:w w:val="105"/>
          <w:sz w:val="21"/>
        </w:rPr>
        <w:t>an</w:t>
      </w:r>
      <w:r>
        <w:rPr>
          <w:spacing w:val="-9"/>
          <w:w w:val="105"/>
          <w:sz w:val="21"/>
        </w:rPr>
        <w:t> </w:t>
      </w:r>
      <w:r>
        <w:rPr>
          <w:spacing w:val="-3"/>
          <w:w w:val="105"/>
          <w:sz w:val="21"/>
        </w:rPr>
        <w:t>exception</w:t>
      </w:r>
      <w:r>
        <w:rPr>
          <w:spacing w:val="-8"/>
          <w:w w:val="105"/>
          <w:sz w:val="21"/>
        </w:rPr>
        <w:t> </w:t>
      </w:r>
      <w:r>
        <w:rPr>
          <w:w w:val="105"/>
          <w:sz w:val="21"/>
        </w:rPr>
        <w:t>regardless of whether the donor </w:t>
      </w:r>
      <w:r>
        <w:rPr>
          <w:spacing w:val="-3"/>
          <w:w w:val="105"/>
          <w:sz w:val="21"/>
        </w:rPr>
        <w:t>lacked </w:t>
      </w:r>
      <w:r>
        <w:rPr>
          <w:w w:val="105"/>
          <w:sz w:val="21"/>
        </w:rPr>
        <w:t>capacity at the </w:t>
      </w:r>
      <w:r>
        <w:rPr>
          <w:spacing w:val="-4"/>
          <w:w w:val="105"/>
          <w:sz w:val="21"/>
        </w:rPr>
        <w:t>time.</w:t>
      </w:r>
      <w:r>
        <w:rPr>
          <w:spacing w:val="-4"/>
          <w:w w:val="105"/>
          <w:position w:val="7"/>
          <w:sz w:val="12"/>
        </w:rPr>
        <w:t>78 </w:t>
      </w:r>
      <w:r>
        <w:rPr>
          <w:w w:val="105"/>
          <w:sz w:val="21"/>
        </w:rPr>
        <w:t>Reasons</w:t>
      </w:r>
      <w:r>
        <w:rPr>
          <w:spacing w:val="20"/>
          <w:w w:val="105"/>
          <w:sz w:val="21"/>
        </w:rPr>
        <w:t> </w:t>
      </w:r>
      <w:r>
        <w:rPr>
          <w:w w:val="105"/>
          <w:sz w:val="21"/>
        </w:rPr>
        <w:t>included:</w:t>
      </w:r>
    </w:p>
    <w:p>
      <w:pPr>
        <w:pStyle w:val="ListParagraph"/>
        <w:numPr>
          <w:ilvl w:val="2"/>
          <w:numId w:val="22"/>
        </w:numPr>
        <w:tabs>
          <w:tab w:pos="2721" w:val="left" w:leader="none"/>
          <w:tab w:pos="2722" w:val="left" w:leader="none"/>
        </w:tabs>
        <w:spacing w:line="242" w:lineRule="auto" w:before="122" w:after="0"/>
        <w:ind w:left="2721" w:right="1888" w:hanging="340"/>
        <w:jc w:val="left"/>
        <w:rPr>
          <w:sz w:val="12"/>
        </w:rPr>
      </w:pPr>
      <w:r>
        <w:rPr>
          <w:w w:val="105"/>
          <w:sz w:val="21"/>
        </w:rPr>
        <w:t>It</w:t>
      </w:r>
      <w:r>
        <w:rPr>
          <w:spacing w:val="-8"/>
          <w:w w:val="105"/>
          <w:sz w:val="21"/>
        </w:rPr>
        <w:t> </w:t>
      </w:r>
      <w:r>
        <w:rPr>
          <w:spacing w:val="-3"/>
          <w:w w:val="105"/>
          <w:sz w:val="21"/>
        </w:rPr>
        <w:t>will</w:t>
      </w:r>
      <w:r>
        <w:rPr>
          <w:spacing w:val="-8"/>
          <w:w w:val="105"/>
          <w:sz w:val="21"/>
        </w:rPr>
        <w:t> </w:t>
      </w:r>
      <w:r>
        <w:rPr>
          <w:spacing w:val="-3"/>
          <w:w w:val="105"/>
          <w:sz w:val="21"/>
        </w:rPr>
        <w:t>usually</w:t>
      </w:r>
      <w:r>
        <w:rPr>
          <w:spacing w:val="-8"/>
          <w:w w:val="105"/>
          <w:sz w:val="21"/>
        </w:rPr>
        <w:t> </w:t>
      </w:r>
      <w:r>
        <w:rPr>
          <w:w w:val="105"/>
          <w:sz w:val="21"/>
        </w:rPr>
        <w:t>be</w:t>
      </w:r>
      <w:r>
        <w:rPr>
          <w:spacing w:val="-7"/>
          <w:w w:val="105"/>
          <w:sz w:val="21"/>
        </w:rPr>
        <w:t> </w:t>
      </w:r>
      <w:r>
        <w:rPr>
          <w:w w:val="105"/>
          <w:sz w:val="21"/>
        </w:rPr>
        <w:t>difficult</w:t>
      </w:r>
      <w:r>
        <w:rPr>
          <w:spacing w:val="-8"/>
          <w:w w:val="105"/>
          <w:sz w:val="21"/>
        </w:rPr>
        <w:t> </w:t>
      </w:r>
      <w:r>
        <w:rPr>
          <w:spacing w:val="-3"/>
          <w:w w:val="105"/>
          <w:sz w:val="21"/>
        </w:rPr>
        <w:t>to</w:t>
      </w:r>
      <w:r>
        <w:rPr>
          <w:spacing w:val="-8"/>
          <w:w w:val="105"/>
          <w:sz w:val="21"/>
        </w:rPr>
        <w:t> </w:t>
      </w:r>
      <w:r>
        <w:rPr>
          <w:spacing w:val="-3"/>
          <w:w w:val="105"/>
          <w:sz w:val="21"/>
        </w:rPr>
        <w:t>determine</w:t>
      </w:r>
      <w:r>
        <w:rPr>
          <w:spacing w:val="-7"/>
          <w:w w:val="105"/>
          <w:sz w:val="21"/>
        </w:rPr>
        <w:t> </w:t>
      </w:r>
      <w:r>
        <w:rPr>
          <w:w w:val="105"/>
          <w:sz w:val="21"/>
        </w:rPr>
        <w:t>whether</w:t>
      </w:r>
      <w:r>
        <w:rPr>
          <w:spacing w:val="-8"/>
          <w:w w:val="105"/>
          <w:sz w:val="21"/>
        </w:rPr>
        <w:t> </w:t>
      </w:r>
      <w:r>
        <w:rPr>
          <w:w w:val="105"/>
          <w:sz w:val="21"/>
        </w:rPr>
        <w:t>the</w:t>
      </w:r>
      <w:r>
        <w:rPr>
          <w:spacing w:val="-8"/>
          <w:w w:val="105"/>
          <w:sz w:val="21"/>
        </w:rPr>
        <w:t> </w:t>
      </w:r>
      <w:r>
        <w:rPr>
          <w:w w:val="105"/>
          <w:sz w:val="21"/>
        </w:rPr>
        <w:t>person</w:t>
      </w:r>
      <w:r>
        <w:rPr>
          <w:spacing w:val="-8"/>
          <w:w w:val="105"/>
          <w:sz w:val="21"/>
        </w:rPr>
        <w:t> </w:t>
      </w:r>
      <w:r>
        <w:rPr>
          <w:spacing w:val="-2"/>
          <w:w w:val="105"/>
          <w:sz w:val="21"/>
        </w:rPr>
        <w:t>had</w:t>
      </w:r>
      <w:r>
        <w:rPr>
          <w:spacing w:val="-7"/>
          <w:w w:val="105"/>
          <w:sz w:val="21"/>
        </w:rPr>
        <w:t> </w:t>
      </w:r>
      <w:r>
        <w:rPr>
          <w:w w:val="105"/>
          <w:sz w:val="21"/>
        </w:rPr>
        <w:t>capacity</w:t>
      </w:r>
      <w:r>
        <w:rPr>
          <w:spacing w:val="-8"/>
          <w:w w:val="105"/>
          <w:sz w:val="21"/>
        </w:rPr>
        <w:t> </w:t>
      </w:r>
      <w:r>
        <w:rPr>
          <w:w w:val="105"/>
          <w:sz w:val="21"/>
        </w:rPr>
        <w:t>at</w:t>
      </w:r>
      <w:r>
        <w:rPr>
          <w:spacing w:val="-8"/>
          <w:w w:val="105"/>
          <w:sz w:val="21"/>
        </w:rPr>
        <w:t> </w:t>
      </w:r>
      <w:r>
        <w:rPr>
          <w:w w:val="105"/>
          <w:sz w:val="21"/>
        </w:rPr>
        <w:t>the</w:t>
      </w:r>
      <w:r>
        <w:rPr>
          <w:spacing w:val="-7"/>
          <w:w w:val="105"/>
          <w:sz w:val="21"/>
        </w:rPr>
        <w:t> </w:t>
      </w:r>
      <w:r>
        <w:rPr>
          <w:w w:val="105"/>
          <w:sz w:val="21"/>
        </w:rPr>
        <w:t>time of the</w:t>
      </w:r>
      <w:r>
        <w:rPr>
          <w:spacing w:val="10"/>
          <w:w w:val="105"/>
          <w:sz w:val="21"/>
        </w:rPr>
        <w:t> </w:t>
      </w:r>
      <w:r>
        <w:rPr>
          <w:spacing w:val="-3"/>
          <w:w w:val="105"/>
          <w:sz w:val="21"/>
        </w:rPr>
        <w:t>transaction.</w:t>
      </w:r>
      <w:r>
        <w:rPr>
          <w:spacing w:val="-3"/>
          <w:w w:val="105"/>
          <w:position w:val="7"/>
          <w:sz w:val="12"/>
        </w:rPr>
        <w:t>79</w:t>
      </w:r>
    </w:p>
    <w:p>
      <w:pPr>
        <w:pStyle w:val="ListParagraph"/>
        <w:numPr>
          <w:ilvl w:val="2"/>
          <w:numId w:val="22"/>
        </w:numPr>
        <w:tabs>
          <w:tab w:pos="2721" w:val="left" w:leader="none"/>
          <w:tab w:pos="2722" w:val="left" w:leader="none"/>
        </w:tabs>
        <w:spacing w:line="242" w:lineRule="auto" w:before="122" w:after="0"/>
        <w:ind w:left="2721" w:right="1888" w:hanging="340"/>
        <w:jc w:val="left"/>
        <w:rPr>
          <w:sz w:val="12"/>
        </w:rPr>
      </w:pPr>
      <w:r>
        <w:rPr>
          <w:sz w:val="21"/>
        </w:rPr>
        <w:t>If the </w:t>
      </w:r>
      <w:r>
        <w:rPr>
          <w:spacing w:val="-3"/>
          <w:sz w:val="21"/>
        </w:rPr>
        <w:t>exception </w:t>
      </w:r>
      <w:r>
        <w:rPr>
          <w:sz w:val="21"/>
        </w:rPr>
        <w:t>only applies once a person </w:t>
      </w:r>
      <w:r>
        <w:rPr>
          <w:spacing w:val="-2"/>
          <w:sz w:val="21"/>
        </w:rPr>
        <w:t>has </w:t>
      </w:r>
      <w:r>
        <w:rPr>
          <w:sz w:val="21"/>
        </w:rPr>
        <w:t>lost </w:t>
      </w:r>
      <w:r>
        <w:rPr>
          <w:spacing w:val="-3"/>
          <w:sz w:val="21"/>
        </w:rPr>
        <w:t>capacity, </w:t>
      </w:r>
      <w:r>
        <w:rPr>
          <w:sz w:val="21"/>
        </w:rPr>
        <w:t>the seller </w:t>
      </w:r>
      <w:r>
        <w:rPr>
          <w:spacing w:val="-3"/>
          <w:sz w:val="21"/>
        </w:rPr>
        <w:t>may </w:t>
      </w:r>
      <w:r>
        <w:rPr>
          <w:sz w:val="21"/>
        </w:rPr>
        <w:t>feel the need </w:t>
      </w:r>
      <w:r>
        <w:rPr>
          <w:spacing w:val="-3"/>
          <w:sz w:val="21"/>
        </w:rPr>
        <w:t>to have </w:t>
      </w:r>
      <w:r>
        <w:rPr>
          <w:sz w:val="21"/>
        </w:rPr>
        <w:t>a </w:t>
      </w:r>
      <w:r>
        <w:rPr>
          <w:spacing w:val="-3"/>
          <w:sz w:val="21"/>
        </w:rPr>
        <w:t>formal </w:t>
      </w:r>
      <w:r>
        <w:rPr>
          <w:sz w:val="21"/>
        </w:rPr>
        <w:t>capacity assessment or a court </w:t>
      </w:r>
      <w:r>
        <w:rPr>
          <w:spacing w:val="-3"/>
          <w:sz w:val="21"/>
        </w:rPr>
        <w:t>ruling </w:t>
      </w:r>
      <w:r>
        <w:rPr>
          <w:sz w:val="21"/>
        </w:rPr>
        <w:t>which </w:t>
      </w:r>
      <w:r>
        <w:rPr>
          <w:spacing w:val="-3"/>
          <w:sz w:val="21"/>
        </w:rPr>
        <w:t>could </w:t>
      </w:r>
      <w:r>
        <w:rPr>
          <w:sz w:val="21"/>
        </w:rPr>
        <w:t>delay the transaction</w:t>
      </w:r>
      <w:r>
        <w:rPr>
          <w:spacing w:val="9"/>
          <w:sz w:val="21"/>
        </w:rPr>
        <w:t> </w:t>
      </w:r>
      <w:r>
        <w:rPr>
          <w:sz w:val="21"/>
        </w:rPr>
        <w:t>and</w:t>
      </w:r>
      <w:r>
        <w:rPr>
          <w:spacing w:val="10"/>
          <w:sz w:val="21"/>
        </w:rPr>
        <w:t> </w:t>
      </w:r>
      <w:r>
        <w:rPr>
          <w:spacing w:val="-2"/>
          <w:sz w:val="21"/>
        </w:rPr>
        <w:t>not</w:t>
      </w:r>
      <w:r>
        <w:rPr>
          <w:spacing w:val="10"/>
          <w:sz w:val="21"/>
        </w:rPr>
        <w:t> </w:t>
      </w:r>
      <w:r>
        <w:rPr>
          <w:sz w:val="21"/>
        </w:rPr>
        <w:t>be</w:t>
      </w:r>
      <w:r>
        <w:rPr>
          <w:spacing w:val="10"/>
          <w:sz w:val="21"/>
        </w:rPr>
        <w:t> </w:t>
      </w:r>
      <w:r>
        <w:rPr>
          <w:sz w:val="21"/>
        </w:rPr>
        <w:t>in</w:t>
      </w:r>
      <w:r>
        <w:rPr>
          <w:spacing w:val="9"/>
          <w:sz w:val="21"/>
        </w:rPr>
        <w:t> </w:t>
      </w:r>
      <w:r>
        <w:rPr>
          <w:sz w:val="21"/>
        </w:rPr>
        <w:t>the</w:t>
      </w:r>
      <w:r>
        <w:rPr>
          <w:spacing w:val="10"/>
          <w:sz w:val="21"/>
        </w:rPr>
        <w:t> </w:t>
      </w:r>
      <w:r>
        <w:rPr>
          <w:sz w:val="21"/>
        </w:rPr>
        <w:t>best</w:t>
      </w:r>
      <w:r>
        <w:rPr>
          <w:spacing w:val="10"/>
          <w:sz w:val="21"/>
        </w:rPr>
        <w:t> </w:t>
      </w:r>
      <w:r>
        <w:rPr>
          <w:sz w:val="21"/>
        </w:rPr>
        <w:t>interests</w:t>
      </w:r>
      <w:r>
        <w:rPr>
          <w:spacing w:val="10"/>
          <w:sz w:val="21"/>
        </w:rPr>
        <w:t> </w:t>
      </w:r>
      <w:r>
        <w:rPr>
          <w:sz w:val="21"/>
        </w:rPr>
        <w:t>of</w:t>
      </w:r>
      <w:r>
        <w:rPr>
          <w:spacing w:val="10"/>
          <w:sz w:val="21"/>
        </w:rPr>
        <w:t> </w:t>
      </w:r>
      <w:r>
        <w:rPr>
          <w:sz w:val="21"/>
        </w:rPr>
        <w:t>the</w:t>
      </w:r>
      <w:r>
        <w:rPr>
          <w:spacing w:val="9"/>
          <w:sz w:val="21"/>
        </w:rPr>
        <w:t> </w:t>
      </w:r>
      <w:r>
        <w:rPr>
          <w:spacing w:val="-3"/>
          <w:sz w:val="21"/>
        </w:rPr>
        <w:t>donor.</w:t>
      </w:r>
      <w:r>
        <w:rPr>
          <w:spacing w:val="-3"/>
          <w:position w:val="7"/>
          <w:sz w:val="12"/>
        </w:rPr>
        <w:t>80</w:t>
      </w:r>
    </w:p>
    <w:p>
      <w:pPr>
        <w:pStyle w:val="ListParagraph"/>
        <w:numPr>
          <w:ilvl w:val="1"/>
          <w:numId w:val="22"/>
        </w:numPr>
        <w:tabs>
          <w:tab w:pos="2381" w:val="left" w:leader="none"/>
          <w:tab w:pos="2382" w:val="left" w:leader="none"/>
        </w:tabs>
        <w:spacing w:line="242" w:lineRule="auto" w:before="123" w:after="0"/>
        <w:ind w:left="2381" w:right="1735" w:hanging="794"/>
        <w:jc w:val="left"/>
        <w:rPr>
          <w:sz w:val="21"/>
        </w:rPr>
      </w:pPr>
      <w:r>
        <w:rPr>
          <w:spacing w:val="-3"/>
          <w:w w:val="105"/>
          <w:sz w:val="21"/>
        </w:rPr>
        <w:t>State </w:t>
      </w:r>
      <w:r>
        <w:rPr>
          <w:spacing w:val="-4"/>
          <w:w w:val="105"/>
          <w:sz w:val="21"/>
        </w:rPr>
        <w:t>Trustees </w:t>
      </w:r>
      <w:r>
        <w:rPr>
          <w:spacing w:val="-3"/>
          <w:w w:val="105"/>
          <w:sz w:val="21"/>
        </w:rPr>
        <w:t>noted that </w:t>
      </w:r>
      <w:r>
        <w:rPr>
          <w:w w:val="105"/>
          <w:sz w:val="21"/>
        </w:rPr>
        <w:t>an action by an attorney where there is an express and </w:t>
      </w:r>
      <w:r>
        <w:rPr>
          <w:spacing w:val="-3"/>
          <w:w w:val="105"/>
          <w:sz w:val="21"/>
        </w:rPr>
        <w:t>contemporaneous</w:t>
      </w:r>
      <w:r>
        <w:rPr>
          <w:spacing w:val="-9"/>
          <w:w w:val="105"/>
          <w:sz w:val="21"/>
        </w:rPr>
        <w:t> </w:t>
      </w:r>
      <w:r>
        <w:rPr>
          <w:w w:val="105"/>
          <w:sz w:val="21"/>
        </w:rPr>
        <w:t>written</w:t>
      </w:r>
      <w:r>
        <w:rPr>
          <w:spacing w:val="-9"/>
          <w:w w:val="105"/>
          <w:sz w:val="21"/>
        </w:rPr>
        <w:t> </w:t>
      </w:r>
      <w:r>
        <w:rPr>
          <w:w w:val="105"/>
          <w:sz w:val="21"/>
        </w:rPr>
        <w:t>direction</w:t>
      </w:r>
      <w:r>
        <w:rPr>
          <w:spacing w:val="-8"/>
          <w:w w:val="105"/>
          <w:sz w:val="21"/>
        </w:rPr>
        <w:t> </w:t>
      </w:r>
      <w:r>
        <w:rPr>
          <w:w w:val="105"/>
          <w:sz w:val="21"/>
        </w:rPr>
        <w:t>by</w:t>
      </w:r>
      <w:r>
        <w:rPr>
          <w:spacing w:val="-9"/>
          <w:w w:val="105"/>
          <w:sz w:val="21"/>
        </w:rPr>
        <w:t> </w:t>
      </w:r>
      <w:r>
        <w:rPr>
          <w:w w:val="105"/>
          <w:sz w:val="21"/>
        </w:rPr>
        <w:t>the</w:t>
      </w:r>
      <w:r>
        <w:rPr>
          <w:spacing w:val="-9"/>
          <w:w w:val="105"/>
          <w:sz w:val="21"/>
        </w:rPr>
        <w:t> </w:t>
      </w:r>
      <w:r>
        <w:rPr>
          <w:w w:val="105"/>
          <w:sz w:val="21"/>
        </w:rPr>
        <w:t>donor</w:t>
      </w:r>
      <w:r>
        <w:rPr>
          <w:spacing w:val="-8"/>
          <w:w w:val="105"/>
          <w:sz w:val="21"/>
        </w:rPr>
        <w:t> </w:t>
      </w:r>
      <w:r>
        <w:rPr>
          <w:w w:val="105"/>
          <w:sz w:val="21"/>
        </w:rPr>
        <w:t>in</w:t>
      </w:r>
      <w:r>
        <w:rPr>
          <w:spacing w:val="-9"/>
          <w:w w:val="105"/>
          <w:sz w:val="21"/>
        </w:rPr>
        <w:t> </w:t>
      </w:r>
      <w:r>
        <w:rPr>
          <w:spacing w:val="-3"/>
          <w:w w:val="105"/>
          <w:sz w:val="21"/>
        </w:rPr>
        <w:t>relation</w:t>
      </w:r>
      <w:r>
        <w:rPr>
          <w:spacing w:val="-8"/>
          <w:w w:val="105"/>
          <w:sz w:val="21"/>
        </w:rPr>
        <w:t> </w:t>
      </w:r>
      <w:r>
        <w:rPr>
          <w:spacing w:val="-3"/>
          <w:w w:val="105"/>
          <w:sz w:val="21"/>
        </w:rPr>
        <w:t>to</w:t>
      </w:r>
      <w:r>
        <w:rPr>
          <w:spacing w:val="-9"/>
          <w:w w:val="105"/>
          <w:sz w:val="21"/>
        </w:rPr>
        <w:t> </w:t>
      </w:r>
      <w:r>
        <w:rPr>
          <w:w w:val="105"/>
          <w:sz w:val="21"/>
        </w:rPr>
        <w:t>the</w:t>
      </w:r>
      <w:r>
        <w:rPr>
          <w:spacing w:val="-9"/>
          <w:w w:val="105"/>
          <w:sz w:val="21"/>
        </w:rPr>
        <w:t> </w:t>
      </w:r>
      <w:r>
        <w:rPr>
          <w:w w:val="105"/>
          <w:sz w:val="21"/>
        </w:rPr>
        <w:t>sale</w:t>
      </w:r>
      <w:r>
        <w:rPr>
          <w:spacing w:val="-8"/>
          <w:w w:val="105"/>
          <w:sz w:val="21"/>
        </w:rPr>
        <w:t> </w:t>
      </w:r>
      <w:r>
        <w:rPr>
          <w:w w:val="105"/>
          <w:sz w:val="21"/>
        </w:rPr>
        <w:t>would</w:t>
      </w:r>
      <w:r>
        <w:rPr>
          <w:spacing w:val="-9"/>
          <w:w w:val="105"/>
          <w:sz w:val="21"/>
        </w:rPr>
        <w:t> </w:t>
      </w:r>
      <w:r>
        <w:rPr>
          <w:w w:val="105"/>
          <w:sz w:val="21"/>
        </w:rPr>
        <w:t>be</w:t>
      </w:r>
      <w:r>
        <w:rPr>
          <w:spacing w:val="-9"/>
          <w:w w:val="105"/>
          <w:sz w:val="21"/>
        </w:rPr>
        <w:t> </w:t>
      </w:r>
      <w:r>
        <w:rPr>
          <w:w w:val="105"/>
          <w:sz w:val="21"/>
        </w:rPr>
        <w:t>subject </w:t>
      </w:r>
      <w:r>
        <w:rPr>
          <w:spacing w:val="-3"/>
          <w:w w:val="105"/>
          <w:sz w:val="21"/>
        </w:rPr>
        <w:t>to</w:t>
      </w:r>
      <w:r>
        <w:rPr>
          <w:spacing w:val="-6"/>
          <w:w w:val="105"/>
          <w:sz w:val="21"/>
        </w:rPr>
        <w:t> </w:t>
      </w:r>
      <w:r>
        <w:rPr>
          <w:w w:val="105"/>
          <w:sz w:val="21"/>
        </w:rPr>
        <w:t>the</w:t>
      </w:r>
      <w:r>
        <w:rPr>
          <w:spacing w:val="-6"/>
          <w:w w:val="105"/>
          <w:sz w:val="21"/>
        </w:rPr>
        <w:t> </w:t>
      </w:r>
      <w:r>
        <w:rPr>
          <w:spacing w:val="-3"/>
          <w:w w:val="105"/>
          <w:sz w:val="21"/>
        </w:rPr>
        <w:t>usual</w:t>
      </w:r>
      <w:r>
        <w:rPr>
          <w:spacing w:val="-6"/>
          <w:w w:val="105"/>
          <w:sz w:val="21"/>
        </w:rPr>
        <w:t> </w:t>
      </w:r>
      <w:r>
        <w:rPr>
          <w:w w:val="105"/>
          <w:sz w:val="21"/>
        </w:rPr>
        <w:t>rules</w:t>
      </w:r>
      <w:r>
        <w:rPr>
          <w:spacing w:val="-6"/>
          <w:w w:val="105"/>
          <w:sz w:val="21"/>
        </w:rPr>
        <w:t> </w:t>
      </w:r>
      <w:r>
        <w:rPr>
          <w:w w:val="105"/>
          <w:sz w:val="21"/>
        </w:rPr>
        <w:t>of</w:t>
      </w:r>
      <w:r>
        <w:rPr>
          <w:spacing w:val="-6"/>
          <w:w w:val="105"/>
          <w:sz w:val="21"/>
        </w:rPr>
        <w:t> </w:t>
      </w:r>
      <w:r>
        <w:rPr>
          <w:w w:val="105"/>
          <w:sz w:val="21"/>
        </w:rPr>
        <w:t>ademption.</w:t>
      </w:r>
      <w:r>
        <w:rPr>
          <w:spacing w:val="-6"/>
          <w:w w:val="105"/>
          <w:sz w:val="21"/>
        </w:rPr>
        <w:t> </w:t>
      </w:r>
      <w:r>
        <w:rPr>
          <w:w w:val="105"/>
          <w:sz w:val="21"/>
        </w:rPr>
        <w:t>In</w:t>
      </w:r>
      <w:r>
        <w:rPr>
          <w:spacing w:val="-6"/>
          <w:w w:val="105"/>
          <w:sz w:val="21"/>
        </w:rPr>
        <w:t> </w:t>
      </w:r>
      <w:r>
        <w:rPr>
          <w:w w:val="105"/>
          <w:sz w:val="21"/>
        </w:rPr>
        <w:t>this</w:t>
      </w:r>
      <w:r>
        <w:rPr>
          <w:spacing w:val="-6"/>
          <w:w w:val="105"/>
          <w:sz w:val="21"/>
        </w:rPr>
        <w:t> </w:t>
      </w:r>
      <w:r>
        <w:rPr>
          <w:w w:val="105"/>
          <w:sz w:val="21"/>
        </w:rPr>
        <w:t>case</w:t>
      </w:r>
      <w:r>
        <w:rPr>
          <w:spacing w:val="-6"/>
          <w:w w:val="105"/>
          <w:sz w:val="21"/>
        </w:rPr>
        <w:t> </w:t>
      </w:r>
      <w:r>
        <w:rPr>
          <w:w w:val="105"/>
          <w:sz w:val="21"/>
        </w:rPr>
        <w:t>the</w:t>
      </w:r>
      <w:r>
        <w:rPr>
          <w:spacing w:val="-6"/>
          <w:w w:val="105"/>
          <w:sz w:val="21"/>
        </w:rPr>
        <w:t> </w:t>
      </w:r>
      <w:r>
        <w:rPr>
          <w:w w:val="105"/>
          <w:sz w:val="21"/>
        </w:rPr>
        <w:t>attorney</w:t>
      </w:r>
      <w:r>
        <w:rPr>
          <w:spacing w:val="-6"/>
          <w:w w:val="105"/>
          <w:sz w:val="21"/>
        </w:rPr>
        <w:t> </w:t>
      </w:r>
      <w:r>
        <w:rPr>
          <w:w w:val="105"/>
          <w:sz w:val="21"/>
        </w:rPr>
        <w:t>is</w:t>
      </w:r>
      <w:r>
        <w:rPr>
          <w:spacing w:val="-6"/>
          <w:w w:val="105"/>
          <w:sz w:val="21"/>
        </w:rPr>
        <w:t> </w:t>
      </w:r>
      <w:r>
        <w:rPr>
          <w:spacing w:val="-2"/>
          <w:w w:val="105"/>
          <w:sz w:val="21"/>
        </w:rPr>
        <w:t>not</w:t>
      </w:r>
      <w:r>
        <w:rPr>
          <w:spacing w:val="-6"/>
          <w:w w:val="105"/>
          <w:sz w:val="21"/>
        </w:rPr>
        <w:t> </w:t>
      </w:r>
      <w:r>
        <w:rPr>
          <w:w w:val="105"/>
          <w:sz w:val="21"/>
        </w:rPr>
        <w:t>the</w:t>
      </w:r>
      <w:r>
        <w:rPr>
          <w:spacing w:val="-6"/>
          <w:w w:val="105"/>
          <w:sz w:val="21"/>
        </w:rPr>
        <w:t> </w:t>
      </w:r>
      <w:r>
        <w:rPr>
          <w:w w:val="105"/>
          <w:sz w:val="21"/>
        </w:rPr>
        <w:t>decision</w:t>
      </w:r>
      <w:r>
        <w:rPr>
          <w:spacing w:val="-6"/>
          <w:w w:val="105"/>
          <w:sz w:val="21"/>
        </w:rPr>
        <w:t> </w:t>
      </w:r>
      <w:r>
        <w:rPr>
          <w:spacing w:val="-4"/>
          <w:w w:val="105"/>
          <w:sz w:val="21"/>
        </w:rPr>
        <w:t>maker</w:t>
      </w:r>
      <w:r>
        <w:rPr>
          <w:spacing w:val="-6"/>
          <w:w w:val="105"/>
          <w:sz w:val="21"/>
        </w:rPr>
        <w:t> </w:t>
      </w:r>
      <w:r>
        <w:rPr>
          <w:w w:val="105"/>
          <w:sz w:val="21"/>
        </w:rPr>
        <w:t>but</w:t>
      </w:r>
    </w:p>
    <w:p>
      <w:pPr>
        <w:pStyle w:val="BodyText"/>
        <w:spacing w:line="242" w:lineRule="auto" w:before="4"/>
        <w:ind w:left="2381" w:right="1826"/>
      </w:pPr>
      <w:r>
        <w:rPr>
          <w:w w:val="105"/>
        </w:rPr>
        <w:t>is merely carrying out the decision made by the </w:t>
      </w:r>
      <w:r>
        <w:rPr>
          <w:spacing w:val="-4"/>
          <w:w w:val="105"/>
        </w:rPr>
        <w:t>donor.</w:t>
      </w:r>
      <w:r>
        <w:rPr>
          <w:spacing w:val="-4"/>
          <w:w w:val="105"/>
          <w:position w:val="7"/>
          <w:sz w:val="12"/>
        </w:rPr>
        <w:t>81 </w:t>
      </w:r>
      <w:r>
        <w:rPr>
          <w:w w:val="105"/>
        </w:rPr>
        <w:t>The </w:t>
      </w:r>
      <w:r>
        <w:rPr>
          <w:spacing w:val="-3"/>
          <w:w w:val="105"/>
        </w:rPr>
        <w:t>Commission </w:t>
      </w:r>
      <w:r>
        <w:rPr>
          <w:w w:val="105"/>
        </w:rPr>
        <w:t>agrees with this </w:t>
      </w:r>
      <w:r>
        <w:rPr>
          <w:spacing w:val="-4"/>
          <w:w w:val="105"/>
        </w:rPr>
        <w:t>view.</w:t>
      </w:r>
    </w:p>
    <w:p>
      <w:pPr>
        <w:pStyle w:val="BodyText"/>
        <w:rPr>
          <w:sz w:val="20"/>
        </w:rPr>
      </w:pPr>
    </w:p>
    <w:p>
      <w:pPr>
        <w:pStyle w:val="BodyText"/>
        <w:rPr>
          <w:sz w:val="20"/>
        </w:rPr>
      </w:pPr>
    </w:p>
    <w:p>
      <w:pPr>
        <w:pStyle w:val="BodyText"/>
        <w:spacing w:before="3"/>
        <w:rPr>
          <w:sz w:val="13"/>
        </w:rPr>
      </w:pPr>
      <w:r>
        <w:rPr/>
        <w:pict>
          <v:line style="position:absolute;mso-position-horizontal-relative:page;mso-position-vertical-relative:paragraph;z-index:2672;mso-wrap-distance-left:0;mso-wrap-distance-right:0" from="79.370102pt,10.553867pt" to="515.905102pt,10.553867pt" stroked="true" strokeweight="1pt" strokecolor="#f9ceca">
            <v:stroke dashstyle="solid"/>
            <w10:wrap type="topAndBottom"/>
          </v:line>
        </w:pict>
      </w:r>
    </w:p>
    <w:p>
      <w:pPr>
        <w:pStyle w:val="ListParagraph"/>
        <w:numPr>
          <w:ilvl w:val="0"/>
          <w:numId w:val="47"/>
        </w:numPr>
        <w:tabs>
          <w:tab w:pos="2380" w:val="left" w:leader="none"/>
          <w:tab w:pos="2382" w:val="left" w:leader="none"/>
        </w:tabs>
        <w:spacing w:line="240" w:lineRule="auto" w:before="117" w:after="0"/>
        <w:ind w:left="2381" w:right="0" w:hanging="794"/>
        <w:jc w:val="left"/>
        <w:rPr>
          <w:sz w:val="13"/>
        </w:rPr>
      </w:pPr>
      <w:r>
        <w:rPr>
          <w:i/>
          <w:w w:val="105"/>
          <w:sz w:val="13"/>
        </w:rPr>
        <w:t>Instruments Act 1958 </w:t>
      </w:r>
      <w:r>
        <w:rPr>
          <w:spacing w:val="2"/>
          <w:w w:val="105"/>
          <w:sz w:val="13"/>
        </w:rPr>
        <w:t>(Vic) </w:t>
      </w:r>
      <w:r>
        <w:rPr>
          <w:w w:val="105"/>
          <w:sz w:val="13"/>
        </w:rPr>
        <w:t>s</w:t>
      </w:r>
      <w:r>
        <w:rPr>
          <w:spacing w:val="19"/>
          <w:w w:val="105"/>
          <w:sz w:val="13"/>
        </w:rPr>
        <w:t> </w:t>
      </w:r>
      <w:r>
        <w:rPr>
          <w:w w:val="105"/>
          <w:sz w:val="13"/>
        </w:rPr>
        <w:t>125D.</w:t>
      </w:r>
    </w:p>
    <w:p>
      <w:pPr>
        <w:pStyle w:val="ListParagraph"/>
        <w:numPr>
          <w:ilvl w:val="0"/>
          <w:numId w:val="47"/>
        </w:numPr>
        <w:tabs>
          <w:tab w:pos="2380" w:val="left" w:leader="none"/>
          <w:tab w:pos="2381" w:val="left" w:leader="none"/>
        </w:tabs>
        <w:spacing w:line="240" w:lineRule="auto" w:before="1" w:after="0"/>
        <w:ind w:left="2380" w:right="0" w:hanging="793"/>
        <w:jc w:val="left"/>
        <w:rPr>
          <w:sz w:val="13"/>
        </w:rPr>
      </w:pPr>
      <w:r>
        <w:rPr>
          <w:i/>
          <w:w w:val="105"/>
          <w:sz w:val="13"/>
        </w:rPr>
        <w:t>Powers of Attorney and Agency Act </w:t>
      </w:r>
      <w:r>
        <w:rPr>
          <w:w w:val="105"/>
          <w:sz w:val="13"/>
        </w:rPr>
        <w:t>1984 </w:t>
      </w:r>
      <w:r>
        <w:rPr>
          <w:spacing w:val="2"/>
          <w:w w:val="105"/>
          <w:sz w:val="13"/>
        </w:rPr>
        <w:t>(SA) </w:t>
      </w:r>
      <w:r>
        <w:rPr>
          <w:w w:val="105"/>
          <w:sz w:val="13"/>
        </w:rPr>
        <w:t>s</w:t>
      </w:r>
      <w:r>
        <w:rPr>
          <w:spacing w:val="5"/>
          <w:w w:val="105"/>
          <w:sz w:val="13"/>
        </w:rPr>
        <w:t> </w:t>
      </w:r>
      <w:r>
        <w:rPr>
          <w:w w:val="105"/>
          <w:sz w:val="13"/>
        </w:rPr>
        <w:t>11A(1).</w:t>
      </w:r>
    </w:p>
    <w:p>
      <w:pPr>
        <w:pStyle w:val="ListParagraph"/>
        <w:numPr>
          <w:ilvl w:val="0"/>
          <w:numId w:val="47"/>
        </w:numPr>
        <w:tabs>
          <w:tab w:pos="2380" w:val="left" w:leader="none"/>
          <w:tab w:pos="2381" w:val="left" w:leader="none"/>
        </w:tabs>
        <w:spacing w:line="240" w:lineRule="auto" w:before="2" w:after="0"/>
        <w:ind w:left="2380" w:right="0" w:hanging="793"/>
        <w:jc w:val="left"/>
        <w:rPr>
          <w:sz w:val="13"/>
        </w:rPr>
      </w:pPr>
      <w:r>
        <w:rPr>
          <w:i/>
          <w:w w:val="105"/>
          <w:sz w:val="13"/>
        </w:rPr>
        <w:t>Powers</w:t>
      </w:r>
      <w:r>
        <w:rPr>
          <w:i/>
          <w:spacing w:val="3"/>
          <w:w w:val="105"/>
          <w:sz w:val="13"/>
        </w:rPr>
        <w:t> </w:t>
      </w:r>
      <w:r>
        <w:rPr>
          <w:i/>
          <w:w w:val="105"/>
          <w:sz w:val="13"/>
        </w:rPr>
        <w:t>of</w:t>
      </w:r>
      <w:r>
        <w:rPr>
          <w:i/>
          <w:spacing w:val="4"/>
          <w:w w:val="105"/>
          <w:sz w:val="13"/>
        </w:rPr>
        <w:t> </w:t>
      </w:r>
      <w:r>
        <w:rPr>
          <w:i/>
          <w:w w:val="105"/>
          <w:sz w:val="13"/>
        </w:rPr>
        <w:t>Attorney</w:t>
      </w:r>
      <w:r>
        <w:rPr>
          <w:i/>
          <w:spacing w:val="4"/>
          <w:w w:val="105"/>
          <w:sz w:val="13"/>
        </w:rPr>
        <w:t> </w:t>
      </w:r>
      <w:r>
        <w:rPr>
          <w:i/>
          <w:w w:val="105"/>
          <w:sz w:val="13"/>
        </w:rPr>
        <w:t>Act</w:t>
      </w:r>
      <w:r>
        <w:rPr>
          <w:i/>
          <w:spacing w:val="4"/>
          <w:w w:val="105"/>
          <w:sz w:val="13"/>
        </w:rPr>
        <w:t> </w:t>
      </w:r>
      <w:r>
        <w:rPr>
          <w:i/>
          <w:w w:val="105"/>
          <w:sz w:val="13"/>
        </w:rPr>
        <w:t>1998</w:t>
      </w:r>
      <w:r>
        <w:rPr>
          <w:i/>
          <w:spacing w:val="5"/>
          <w:w w:val="105"/>
          <w:sz w:val="13"/>
        </w:rPr>
        <w:t> </w:t>
      </w:r>
      <w:r>
        <w:rPr>
          <w:spacing w:val="2"/>
          <w:w w:val="105"/>
          <w:sz w:val="13"/>
        </w:rPr>
        <w:t>(Qld)</w:t>
      </w:r>
      <w:r>
        <w:rPr>
          <w:spacing w:val="5"/>
          <w:w w:val="105"/>
          <w:sz w:val="13"/>
        </w:rPr>
        <w:t> </w:t>
      </w:r>
      <w:r>
        <w:rPr>
          <w:w w:val="105"/>
          <w:sz w:val="13"/>
        </w:rPr>
        <w:t>s</w:t>
      </w:r>
      <w:r>
        <w:rPr>
          <w:spacing w:val="5"/>
          <w:w w:val="105"/>
          <w:sz w:val="13"/>
        </w:rPr>
        <w:t> </w:t>
      </w:r>
      <w:r>
        <w:rPr>
          <w:w w:val="105"/>
          <w:sz w:val="13"/>
        </w:rPr>
        <w:t>107;</w:t>
      </w:r>
      <w:r>
        <w:rPr>
          <w:spacing w:val="5"/>
          <w:w w:val="105"/>
          <w:sz w:val="13"/>
        </w:rPr>
        <w:t> </w:t>
      </w:r>
      <w:r>
        <w:rPr>
          <w:i/>
          <w:w w:val="105"/>
          <w:sz w:val="13"/>
        </w:rPr>
        <w:t>Powers</w:t>
      </w:r>
      <w:r>
        <w:rPr>
          <w:i/>
          <w:spacing w:val="3"/>
          <w:w w:val="105"/>
          <w:sz w:val="13"/>
        </w:rPr>
        <w:t> </w:t>
      </w:r>
      <w:r>
        <w:rPr>
          <w:i/>
          <w:w w:val="105"/>
          <w:sz w:val="13"/>
        </w:rPr>
        <w:t>of</w:t>
      </w:r>
      <w:r>
        <w:rPr>
          <w:i/>
          <w:spacing w:val="4"/>
          <w:w w:val="105"/>
          <w:sz w:val="13"/>
        </w:rPr>
        <w:t> </w:t>
      </w:r>
      <w:r>
        <w:rPr>
          <w:i/>
          <w:w w:val="105"/>
          <w:sz w:val="13"/>
        </w:rPr>
        <w:t>Attorney</w:t>
      </w:r>
      <w:r>
        <w:rPr>
          <w:i/>
          <w:spacing w:val="4"/>
          <w:w w:val="105"/>
          <w:sz w:val="13"/>
        </w:rPr>
        <w:t> </w:t>
      </w:r>
      <w:r>
        <w:rPr>
          <w:i/>
          <w:w w:val="105"/>
          <w:sz w:val="13"/>
        </w:rPr>
        <w:t>Act</w:t>
      </w:r>
      <w:r>
        <w:rPr>
          <w:i/>
          <w:spacing w:val="4"/>
          <w:w w:val="105"/>
          <w:sz w:val="13"/>
        </w:rPr>
        <w:t> </w:t>
      </w:r>
      <w:r>
        <w:rPr>
          <w:i/>
          <w:w w:val="105"/>
          <w:sz w:val="13"/>
        </w:rPr>
        <w:t>2003</w:t>
      </w:r>
      <w:r>
        <w:rPr>
          <w:i/>
          <w:spacing w:val="5"/>
          <w:w w:val="105"/>
          <w:sz w:val="13"/>
        </w:rPr>
        <w:t> </w:t>
      </w:r>
      <w:r>
        <w:rPr>
          <w:spacing w:val="3"/>
          <w:w w:val="105"/>
          <w:sz w:val="13"/>
        </w:rPr>
        <w:t>(NSW)</w:t>
      </w:r>
      <w:r>
        <w:rPr>
          <w:spacing w:val="5"/>
          <w:w w:val="105"/>
          <w:sz w:val="13"/>
        </w:rPr>
        <w:t> </w:t>
      </w:r>
      <w:r>
        <w:rPr>
          <w:w w:val="105"/>
          <w:sz w:val="13"/>
        </w:rPr>
        <w:t>ss</w:t>
      </w:r>
      <w:r>
        <w:rPr>
          <w:spacing w:val="5"/>
          <w:w w:val="105"/>
          <w:sz w:val="13"/>
        </w:rPr>
        <w:t> </w:t>
      </w:r>
      <w:r>
        <w:rPr>
          <w:w w:val="105"/>
          <w:sz w:val="13"/>
        </w:rPr>
        <w:t>22–3.</w:t>
      </w:r>
    </w:p>
    <w:p>
      <w:pPr>
        <w:pStyle w:val="ListParagraph"/>
        <w:numPr>
          <w:ilvl w:val="0"/>
          <w:numId w:val="47"/>
        </w:numPr>
        <w:tabs>
          <w:tab w:pos="2380" w:val="left" w:leader="none"/>
          <w:tab w:pos="2381" w:val="left" w:leader="none"/>
        </w:tabs>
        <w:spacing w:line="240" w:lineRule="auto" w:before="1" w:after="0"/>
        <w:ind w:left="2380" w:right="0" w:hanging="793"/>
        <w:jc w:val="left"/>
        <w:rPr>
          <w:sz w:val="13"/>
        </w:rPr>
      </w:pPr>
      <w:r>
        <w:rPr>
          <w:w w:val="105"/>
          <w:sz w:val="13"/>
        </w:rPr>
        <w:t>Submissions</w:t>
      </w:r>
      <w:r>
        <w:rPr>
          <w:spacing w:val="4"/>
          <w:w w:val="105"/>
          <w:sz w:val="13"/>
        </w:rPr>
        <w:t> </w:t>
      </w:r>
      <w:r>
        <w:rPr>
          <w:w w:val="105"/>
          <w:sz w:val="13"/>
        </w:rPr>
        <w:t>8</w:t>
      </w:r>
      <w:r>
        <w:rPr>
          <w:spacing w:val="5"/>
          <w:w w:val="105"/>
          <w:sz w:val="13"/>
        </w:rPr>
        <w:t> </w:t>
      </w:r>
      <w:r>
        <w:rPr>
          <w:w w:val="105"/>
          <w:sz w:val="13"/>
        </w:rPr>
        <w:t>(Patricia</w:t>
      </w:r>
      <w:r>
        <w:rPr>
          <w:spacing w:val="5"/>
          <w:w w:val="105"/>
          <w:sz w:val="13"/>
        </w:rPr>
        <w:t> </w:t>
      </w:r>
      <w:r>
        <w:rPr>
          <w:w w:val="105"/>
          <w:sz w:val="13"/>
        </w:rPr>
        <w:t>Strachan);</w:t>
      </w:r>
      <w:r>
        <w:rPr>
          <w:spacing w:val="5"/>
          <w:w w:val="105"/>
          <w:sz w:val="13"/>
        </w:rPr>
        <w:t> </w:t>
      </w:r>
      <w:r>
        <w:rPr>
          <w:w w:val="105"/>
          <w:sz w:val="13"/>
        </w:rPr>
        <w:t>21</w:t>
      </w:r>
      <w:r>
        <w:rPr>
          <w:spacing w:val="5"/>
          <w:w w:val="105"/>
          <w:sz w:val="13"/>
        </w:rPr>
        <w:t> </w:t>
      </w:r>
      <w:r>
        <w:rPr>
          <w:spacing w:val="2"/>
          <w:w w:val="105"/>
          <w:sz w:val="13"/>
        </w:rPr>
        <w:t>(Office</w:t>
      </w:r>
      <w:r>
        <w:rPr>
          <w:spacing w:val="5"/>
          <w:w w:val="105"/>
          <w:sz w:val="13"/>
        </w:rPr>
        <w:t> </w:t>
      </w:r>
      <w:r>
        <w:rPr>
          <w:w w:val="105"/>
          <w:sz w:val="13"/>
        </w:rPr>
        <w:t>of</w:t>
      </w:r>
      <w:r>
        <w:rPr>
          <w:spacing w:val="5"/>
          <w:w w:val="105"/>
          <w:sz w:val="13"/>
        </w:rPr>
        <w:t> </w:t>
      </w:r>
      <w:r>
        <w:rPr>
          <w:w w:val="105"/>
          <w:sz w:val="13"/>
        </w:rPr>
        <w:t>the</w:t>
      </w:r>
      <w:r>
        <w:rPr>
          <w:spacing w:val="5"/>
          <w:w w:val="105"/>
          <w:sz w:val="13"/>
        </w:rPr>
        <w:t> </w:t>
      </w:r>
      <w:r>
        <w:rPr>
          <w:w w:val="105"/>
          <w:sz w:val="13"/>
        </w:rPr>
        <w:t>Public</w:t>
      </w:r>
      <w:r>
        <w:rPr>
          <w:spacing w:val="5"/>
          <w:w w:val="105"/>
          <w:sz w:val="13"/>
        </w:rPr>
        <w:t> </w:t>
      </w:r>
      <w:r>
        <w:rPr>
          <w:w w:val="105"/>
          <w:sz w:val="13"/>
        </w:rPr>
        <w:t>Advocate);</w:t>
      </w:r>
      <w:r>
        <w:rPr>
          <w:spacing w:val="5"/>
          <w:w w:val="105"/>
          <w:sz w:val="13"/>
        </w:rPr>
        <w:t> </w:t>
      </w:r>
      <w:r>
        <w:rPr>
          <w:w w:val="105"/>
          <w:sz w:val="13"/>
        </w:rPr>
        <w:t>30a</w:t>
      </w:r>
      <w:r>
        <w:rPr>
          <w:spacing w:val="5"/>
          <w:w w:val="105"/>
          <w:sz w:val="13"/>
        </w:rPr>
        <w:t> </w:t>
      </w:r>
      <w:r>
        <w:rPr>
          <w:spacing w:val="3"/>
          <w:w w:val="105"/>
          <w:sz w:val="13"/>
        </w:rPr>
        <w:t>(Law</w:t>
      </w:r>
      <w:r>
        <w:rPr>
          <w:spacing w:val="5"/>
          <w:w w:val="105"/>
          <w:sz w:val="13"/>
        </w:rPr>
        <w:t> </w:t>
      </w:r>
      <w:r>
        <w:rPr>
          <w:w w:val="105"/>
          <w:sz w:val="13"/>
        </w:rPr>
        <w:t>Institute</w:t>
      </w:r>
      <w:r>
        <w:rPr>
          <w:spacing w:val="5"/>
          <w:w w:val="105"/>
          <w:sz w:val="13"/>
        </w:rPr>
        <w:t> </w:t>
      </w:r>
      <w:r>
        <w:rPr>
          <w:w w:val="105"/>
          <w:sz w:val="13"/>
        </w:rPr>
        <w:t>of</w:t>
      </w:r>
      <w:r>
        <w:rPr>
          <w:spacing w:val="5"/>
          <w:w w:val="105"/>
          <w:sz w:val="13"/>
        </w:rPr>
        <w:t> </w:t>
      </w:r>
      <w:r>
        <w:rPr>
          <w:spacing w:val="2"/>
          <w:w w:val="105"/>
          <w:sz w:val="13"/>
        </w:rPr>
        <w:t>Victoria);</w:t>
      </w:r>
      <w:r>
        <w:rPr>
          <w:spacing w:val="5"/>
          <w:w w:val="105"/>
          <w:sz w:val="13"/>
        </w:rPr>
        <w:t> </w:t>
      </w:r>
      <w:r>
        <w:rPr>
          <w:w w:val="105"/>
          <w:sz w:val="13"/>
        </w:rPr>
        <w:t>39</w:t>
      </w:r>
      <w:r>
        <w:rPr>
          <w:spacing w:val="5"/>
          <w:w w:val="105"/>
          <w:sz w:val="13"/>
        </w:rPr>
        <w:t> </w:t>
      </w:r>
      <w:r>
        <w:rPr>
          <w:w w:val="105"/>
          <w:sz w:val="13"/>
        </w:rPr>
        <w:t>(Carolyn</w:t>
      </w:r>
      <w:r>
        <w:rPr>
          <w:spacing w:val="5"/>
          <w:w w:val="105"/>
          <w:sz w:val="13"/>
        </w:rPr>
        <w:t> </w:t>
      </w:r>
      <w:r>
        <w:rPr>
          <w:w w:val="105"/>
          <w:sz w:val="13"/>
        </w:rPr>
        <w:t>Sparke</w:t>
      </w:r>
      <w:r>
        <w:rPr>
          <w:spacing w:val="5"/>
          <w:w w:val="105"/>
          <w:sz w:val="13"/>
        </w:rPr>
        <w:t> </w:t>
      </w:r>
      <w:r>
        <w:rPr>
          <w:w w:val="105"/>
          <w:sz w:val="13"/>
        </w:rPr>
        <w:t>SC).</w:t>
      </w:r>
    </w:p>
    <w:p>
      <w:pPr>
        <w:pStyle w:val="ListParagraph"/>
        <w:numPr>
          <w:ilvl w:val="0"/>
          <w:numId w:val="47"/>
        </w:numPr>
        <w:tabs>
          <w:tab w:pos="2380" w:val="left" w:leader="none"/>
          <w:tab w:pos="2381" w:val="left" w:leader="none"/>
        </w:tabs>
        <w:spacing w:line="240" w:lineRule="auto" w:before="1" w:after="0"/>
        <w:ind w:left="2380" w:right="0" w:hanging="793"/>
        <w:jc w:val="left"/>
        <w:rPr>
          <w:sz w:val="13"/>
        </w:rPr>
      </w:pPr>
      <w:r>
        <w:rPr>
          <w:w w:val="105"/>
          <w:sz w:val="13"/>
        </w:rPr>
        <w:t>Submissions</w:t>
      </w:r>
      <w:r>
        <w:rPr>
          <w:spacing w:val="4"/>
          <w:w w:val="105"/>
          <w:sz w:val="13"/>
        </w:rPr>
        <w:t> </w:t>
      </w:r>
      <w:r>
        <w:rPr>
          <w:w w:val="105"/>
          <w:sz w:val="13"/>
        </w:rPr>
        <w:t>30a</w:t>
      </w:r>
      <w:r>
        <w:rPr>
          <w:spacing w:val="4"/>
          <w:w w:val="105"/>
          <w:sz w:val="13"/>
        </w:rPr>
        <w:t> </w:t>
      </w:r>
      <w:r>
        <w:rPr>
          <w:spacing w:val="3"/>
          <w:w w:val="105"/>
          <w:sz w:val="13"/>
        </w:rPr>
        <w:t>(Law</w:t>
      </w:r>
      <w:r>
        <w:rPr>
          <w:spacing w:val="5"/>
          <w:w w:val="105"/>
          <w:sz w:val="13"/>
        </w:rPr>
        <w:t> </w:t>
      </w:r>
      <w:r>
        <w:rPr>
          <w:w w:val="105"/>
          <w:sz w:val="13"/>
        </w:rPr>
        <w:t>Institute</w:t>
      </w:r>
      <w:r>
        <w:rPr>
          <w:spacing w:val="4"/>
          <w:w w:val="105"/>
          <w:sz w:val="13"/>
        </w:rPr>
        <w:t> </w:t>
      </w:r>
      <w:r>
        <w:rPr>
          <w:w w:val="105"/>
          <w:sz w:val="13"/>
        </w:rPr>
        <w:t>of</w:t>
      </w:r>
      <w:r>
        <w:rPr>
          <w:spacing w:val="5"/>
          <w:w w:val="105"/>
          <w:sz w:val="13"/>
        </w:rPr>
        <w:t> </w:t>
      </w:r>
      <w:r>
        <w:rPr>
          <w:spacing w:val="2"/>
          <w:w w:val="105"/>
          <w:sz w:val="13"/>
        </w:rPr>
        <w:t>Victoria);</w:t>
      </w:r>
      <w:r>
        <w:rPr>
          <w:spacing w:val="4"/>
          <w:w w:val="105"/>
          <w:sz w:val="13"/>
        </w:rPr>
        <w:t> </w:t>
      </w:r>
      <w:r>
        <w:rPr>
          <w:w w:val="105"/>
          <w:sz w:val="13"/>
        </w:rPr>
        <w:t>32</w:t>
      </w:r>
      <w:r>
        <w:rPr>
          <w:spacing w:val="5"/>
          <w:w w:val="105"/>
          <w:sz w:val="13"/>
        </w:rPr>
        <w:t> </w:t>
      </w:r>
      <w:r>
        <w:rPr>
          <w:spacing w:val="2"/>
          <w:w w:val="105"/>
          <w:sz w:val="13"/>
        </w:rPr>
        <w:t>(The</w:t>
      </w:r>
      <w:r>
        <w:rPr>
          <w:spacing w:val="4"/>
          <w:w w:val="105"/>
          <w:sz w:val="13"/>
        </w:rPr>
        <w:t> </w:t>
      </w:r>
      <w:r>
        <w:rPr>
          <w:w w:val="105"/>
          <w:sz w:val="13"/>
        </w:rPr>
        <w:t>Institute</w:t>
      </w:r>
      <w:r>
        <w:rPr>
          <w:spacing w:val="5"/>
          <w:w w:val="105"/>
          <w:sz w:val="13"/>
        </w:rPr>
        <w:t> </w:t>
      </w:r>
      <w:r>
        <w:rPr>
          <w:w w:val="105"/>
          <w:sz w:val="13"/>
        </w:rPr>
        <w:t>of</w:t>
      </w:r>
      <w:r>
        <w:rPr>
          <w:spacing w:val="4"/>
          <w:w w:val="105"/>
          <w:sz w:val="13"/>
        </w:rPr>
        <w:t> </w:t>
      </w:r>
      <w:r>
        <w:rPr>
          <w:w w:val="105"/>
          <w:sz w:val="13"/>
        </w:rPr>
        <w:t>Legal</w:t>
      </w:r>
      <w:r>
        <w:rPr>
          <w:spacing w:val="5"/>
          <w:w w:val="105"/>
          <w:sz w:val="13"/>
        </w:rPr>
        <w:t> </w:t>
      </w:r>
      <w:r>
        <w:rPr>
          <w:w w:val="105"/>
          <w:sz w:val="13"/>
        </w:rPr>
        <w:t>Executives).</w:t>
      </w:r>
    </w:p>
    <w:p>
      <w:pPr>
        <w:pStyle w:val="ListParagraph"/>
        <w:numPr>
          <w:ilvl w:val="0"/>
          <w:numId w:val="47"/>
        </w:numPr>
        <w:tabs>
          <w:tab w:pos="2380" w:val="left" w:leader="none"/>
          <w:tab w:pos="2381" w:val="left" w:leader="none"/>
        </w:tabs>
        <w:spacing w:line="240" w:lineRule="auto" w:before="2" w:after="0"/>
        <w:ind w:left="2380" w:right="0" w:hanging="793"/>
        <w:jc w:val="left"/>
        <w:rPr>
          <w:sz w:val="13"/>
        </w:rPr>
      </w:pPr>
      <w:r>
        <w:rPr>
          <w:w w:val="105"/>
          <w:sz w:val="13"/>
        </w:rPr>
        <w:t>Submissions </w:t>
      </w:r>
      <w:r>
        <w:rPr>
          <w:spacing w:val="-3"/>
          <w:w w:val="105"/>
          <w:sz w:val="13"/>
        </w:rPr>
        <w:t>14 </w:t>
      </w:r>
      <w:r>
        <w:rPr>
          <w:w w:val="105"/>
          <w:sz w:val="13"/>
        </w:rPr>
        <w:t>(Commercial Bar </w:t>
      </w:r>
      <w:r>
        <w:rPr>
          <w:spacing w:val="2"/>
          <w:w w:val="105"/>
          <w:sz w:val="13"/>
        </w:rPr>
        <w:t>Association); </w:t>
      </w:r>
      <w:r>
        <w:rPr>
          <w:w w:val="105"/>
          <w:sz w:val="13"/>
        </w:rPr>
        <w:t>33 (State Trustees</w:t>
      </w:r>
      <w:r>
        <w:rPr>
          <w:spacing w:val="6"/>
          <w:w w:val="105"/>
          <w:sz w:val="13"/>
        </w:rPr>
        <w:t> </w:t>
      </w:r>
      <w:r>
        <w:rPr>
          <w:w w:val="105"/>
          <w:sz w:val="13"/>
        </w:rPr>
        <w:t>Limited).</w:t>
      </w:r>
    </w:p>
    <w:p>
      <w:pPr>
        <w:pStyle w:val="ListParagraph"/>
        <w:numPr>
          <w:ilvl w:val="0"/>
          <w:numId w:val="47"/>
        </w:numPr>
        <w:tabs>
          <w:tab w:pos="2380" w:val="left" w:leader="none"/>
          <w:tab w:pos="2381" w:val="left" w:leader="none"/>
        </w:tabs>
        <w:spacing w:line="240" w:lineRule="auto" w:before="1" w:after="0"/>
        <w:ind w:left="2380" w:right="0" w:hanging="793"/>
        <w:jc w:val="left"/>
        <w:rPr>
          <w:sz w:val="13"/>
        </w:rPr>
      </w:pPr>
      <w:r>
        <w:rPr>
          <w:w w:val="105"/>
          <w:sz w:val="13"/>
        </w:rPr>
        <w:t>Submission </w:t>
      </w:r>
      <w:r>
        <w:rPr>
          <w:spacing w:val="-3"/>
          <w:w w:val="105"/>
          <w:sz w:val="13"/>
        </w:rPr>
        <w:t>14 </w:t>
      </w:r>
      <w:r>
        <w:rPr>
          <w:w w:val="105"/>
          <w:sz w:val="13"/>
        </w:rPr>
        <w:t>(Commercial Bar </w:t>
      </w:r>
      <w:r>
        <w:rPr>
          <w:spacing w:val="2"/>
          <w:w w:val="105"/>
          <w:sz w:val="13"/>
        </w:rPr>
        <w:t>Association); </w:t>
      </w:r>
      <w:r>
        <w:rPr>
          <w:w w:val="105"/>
          <w:sz w:val="13"/>
        </w:rPr>
        <w:t>consultation 1 (Wills</w:t>
      </w:r>
      <w:r>
        <w:rPr>
          <w:spacing w:val="7"/>
          <w:w w:val="105"/>
          <w:sz w:val="13"/>
        </w:rPr>
        <w:t> </w:t>
      </w:r>
      <w:r>
        <w:rPr>
          <w:w w:val="105"/>
          <w:sz w:val="13"/>
        </w:rPr>
        <w:t>roundtable).</w:t>
      </w:r>
    </w:p>
    <w:p>
      <w:pPr>
        <w:pStyle w:val="ListParagraph"/>
        <w:numPr>
          <w:ilvl w:val="0"/>
          <w:numId w:val="47"/>
        </w:numPr>
        <w:tabs>
          <w:tab w:pos="2380" w:val="left" w:leader="none"/>
          <w:tab w:pos="2381" w:val="left" w:leader="none"/>
        </w:tabs>
        <w:spacing w:line="240" w:lineRule="auto" w:before="1" w:after="0"/>
        <w:ind w:left="2380" w:right="0" w:hanging="793"/>
        <w:jc w:val="left"/>
        <w:rPr>
          <w:sz w:val="13"/>
        </w:rPr>
      </w:pPr>
      <w:r>
        <w:rPr/>
        <w:pict>
          <v:shape style="position:absolute;margin-left:36pt;margin-top:3.597864pt;width:13.45pt;height:14.25pt;mso-position-horizontal-relative:page;mso-position-vertical-relative:paragraph;z-index:4744" type="#_x0000_t202" filled="false" stroked="false">
            <v:textbox inset="0,0,0,0">
              <w:txbxContent>
                <w:p>
                  <w:pPr>
                    <w:spacing w:line="284" w:lineRule="exact" w:before="0"/>
                    <w:ind w:left="0" w:right="0" w:firstLine="0"/>
                    <w:jc w:val="left"/>
                    <w:rPr>
                      <w:b/>
                      <w:sz w:val="24"/>
                    </w:rPr>
                  </w:pPr>
                  <w:r>
                    <w:rPr>
                      <w:b/>
                      <w:color w:val="EC5A4F"/>
                      <w:w w:val="110"/>
                      <w:sz w:val="24"/>
                    </w:rPr>
                    <w:t>50</w:t>
                  </w:r>
                </w:p>
              </w:txbxContent>
            </v:textbox>
            <w10:wrap type="none"/>
          </v:shape>
        </w:pict>
      </w:r>
      <w:r>
        <w:rPr>
          <w:w w:val="105"/>
          <w:sz w:val="13"/>
        </w:rPr>
        <w:t>Consultation 1 (Wills</w:t>
      </w:r>
      <w:r>
        <w:rPr>
          <w:spacing w:val="13"/>
          <w:w w:val="105"/>
          <w:sz w:val="13"/>
        </w:rPr>
        <w:t> </w:t>
      </w:r>
      <w:r>
        <w:rPr>
          <w:w w:val="105"/>
          <w:sz w:val="13"/>
        </w:rPr>
        <w:t>roundtable).</w:t>
      </w:r>
    </w:p>
    <w:p>
      <w:pPr>
        <w:pStyle w:val="ListParagraph"/>
        <w:numPr>
          <w:ilvl w:val="0"/>
          <w:numId w:val="47"/>
        </w:numPr>
        <w:tabs>
          <w:tab w:pos="2380" w:val="left" w:leader="none"/>
          <w:tab w:pos="2381" w:val="left" w:leader="none"/>
        </w:tabs>
        <w:spacing w:line="240" w:lineRule="auto" w:before="2" w:after="0"/>
        <w:ind w:left="2380" w:right="0" w:hanging="793"/>
        <w:jc w:val="left"/>
        <w:rPr>
          <w:sz w:val="13"/>
        </w:rPr>
      </w:pPr>
      <w:r>
        <w:rPr>
          <w:w w:val="105"/>
          <w:sz w:val="13"/>
        </w:rPr>
        <w:t>Submission 33 (State Trustees</w:t>
      </w:r>
      <w:r>
        <w:rPr>
          <w:spacing w:val="18"/>
          <w:w w:val="105"/>
          <w:sz w:val="13"/>
        </w:rPr>
        <w:t> </w:t>
      </w:r>
      <w:r>
        <w:rPr>
          <w:w w:val="105"/>
          <w:sz w:val="13"/>
        </w:rPr>
        <w:t>Limited).</w:t>
      </w:r>
    </w:p>
    <w:p>
      <w:pPr>
        <w:spacing w:after="0" w:line="240" w:lineRule="auto"/>
        <w:jc w:val="left"/>
        <w:rPr>
          <w:sz w:val="13"/>
        </w:rPr>
        <w:sectPr>
          <w:pgSz w:w="11910" w:h="16840"/>
          <w:pgMar w:header="550" w:footer="0" w:top="1560" w:bottom="280" w:left="0" w:right="0"/>
        </w:sectPr>
      </w:pPr>
    </w:p>
    <w:p>
      <w:pPr>
        <w:pStyle w:val="BodyText"/>
        <w:rPr>
          <w:sz w:val="20"/>
        </w:rPr>
      </w:pPr>
    </w:p>
    <w:p>
      <w:pPr>
        <w:pStyle w:val="BodyText"/>
        <w:rPr>
          <w:sz w:val="19"/>
        </w:rPr>
      </w:pPr>
    </w:p>
    <w:p>
      <w:pPr>
        <w:pStyle w:val="ListParagraph"/>
        <w:numPr>
          <w:ilvl w:val="1"/>
          <w:numId w:val="22"/>
        </w:numPr>
        <w:tabs>
          <w:tab w:pos="2381" w:val="left" w:leader="none"/>
          <w:tab w:pos="2382" w:val="left" w:leader="none"/>
        </w:tabs>
        <w:spacing w:line="242" w:lineRule="auto" w:before="91" w:after="0"/>
        <w:ind w:left="2381" w:right="1931" w:hanging="794"/>
        <w:jc w:val="left"/>
        <w:rPr>
          <w:sz w:val="21"/>
        </w:rPr>
      </w:pPr>
      <w:bookmarkStart w:name="Access to a person’s will to prevent ade" w:id="39"/>
      <w:bookmarkEnd w:id="39"/>
      <w:r>
        <w:rPr/>
      </w:r>
      <w:bookmarkStart w:name="Access to a person’s will to prevent ade" w:id="40"/>
      <w:bookmarkEnd w:id="40"/>
      <w:r>
        <w:rPr>
          <w:w w:val="105"/>
          <w:sz w:val="21"/>
        </w:rPr>
        <w:t>T</w:t>
      </w:r>
      <w:r>
        <w:rPr>
          <w:w w:val="105"/>
          <w:sz w:val="21"/>
        </w:rPr>
        <w:t>he </w:t>
      </w:r>
      <w:r>
        <w:rPr>
          <w:spacing w:val="-3"/>
          <w:w w:val="105"/>
          <w:sz w:val="21"/>
        </w:rPr>
        <w:t>Commission </w:t>
      </w:r>
      <w:r>
        <w:rPr>
          <w:w w:val="105"/>
          <w:sz w:val="21"/>
        </w:rPr>
        <w:t>agrees with </w:t>
      </w:r>
      <w:r>
        <w:rPr>
          <w:spacing w:val="-3"/>
          <w:w w:val="105"/>
          <w:sz w:val="21"/>
        </w:rPr>
        <w:t>submissions that </w:t>
      </w:r>
      <w:r>
        <w:rPr>
          <w:w w:val="105"/>
          <w:sz w:val="21"/>
        </w:rPr>
        <w:t>support a </w:t>
      </w:r>
      <w:r>
        <w:rPr>
          <w:spacing w:val="-3"/>
          <w:w w:val="105"/>
          <w:sz w:val="21"/>
        </w:rPr>
        <w:t>legislative exception to </w:t>
      </w:r>
      <w:r>
        <w:rPr>
          <w:w w:val="105"/>
          <w:sz w:val="21"/>
        </w:rPr>
        <w:t>ademption</w:t>
      </w:r>
      <w:r>
        <w:rPr>
          <w:spacing w:val="-5"/>
          <w:w w:val="105"/>
          <w:sz w:val="21"/>
        </w:rPr>
        <w:t> </w:t>
      </w:r>
      <w:r>
        <w:rPr>
          <w:spacing w:val="-3"/>
          <w:w w:val="105"/>
          <w:sz w:val="21"/>
        </w:rPr>
        <w:t>for</w:t>
      </w:r>
      <w:r>
        <w:rPr>
          <w:spacing w:val="-4"/>
          <w:w w:val="105"/>
          <w:sz w:val="21"/>
        </w:rPr>
        <w:t> </w:t>
      </w:r>
      <w:r>
        <w:rPr>
          <w:spacing w:val="-3"/>
          <w:w w:val="105"/>
          <w:sz w:val="21"/>
        </w:rPr>
        <w:t>any</w:t>
      </w:r>
      <w:r>
        <w:rPr>
          <w:spacing w:val="-4"/>
          <w:w w:val="105"/>
          <w:sz w:val="21"/>
        </w:rPr>
        <w:t> </w:t>
      </w:r>
      <w:r>
        <w:rPr>
          <w:w w:val="105"/>
          <w:sz w:val="21"/>
        </w:rPr>
        <w:t>action</w:t>
      </w:r>
      <w:r>
        <w:rPr>
          <w:spacing w:val="-4"/>
          <w:w w:val="105"/>
          <w:sz w:val="21"/>
        </w:rPr>
        <w:t> </w:t>
      </w:r>
      <w:r>
        <w:rPr>
          <w:w w:val="105"/>
          <w:sz w:val="21"/>
        </w:rPr>
        <w:t>of</w:t>
      </w:r>
      <w:r>
        <w:rPr>
          <w:spacing w:val="-5"/>
          <w:w w:val="105"/>
          <w:sz w:val="21"/>
        </w:rPr>
        <w:t> </w:t>
      </w:r>
      <w:r>
        <w:rPr>
          <w:w w:val="105"/>
          <w:sz w:val="21"/>
        </w:rPr>
        <w:t>an</w:t>
      </w:r>
      <w:r>
        <w:rPr>
          <w:spacing w:val="-4"/>
          <w:w w:val="105"/>
          <w:sz w:val="21"/>
        </w:rPr>
        <w:t> attorney, </w:t>
      </w:r>
      <w:r>
        <w:rPr>
          <w:spacing w:val="-2"/>
          <w:w w:val="105"/>
          <w:sz w:val="21"/>
        </w:rPr>
        <w:t>not</w:t>
      </w:r>
      <w:r>
        <w:rPr>
          <w:spacing w:val="-4"/>
          <w:w w:val="105"/>
          <w:sz w:val="21"/>
        </w:rPr>
        <w:t> </w:t>
      </w:r>
      <w:r>
        <w:rPr>
          <w:w w:val="105"/>
          <w:sz w:val="21"/>
        </w:rPr>
        <w:t>only</w:t>
      </w:r>
      <w:r>
        <w:rPr>
          <w:spacing w:val="-5"/>
          <w:w w:val="105"/>
          <w:sz w:val="21"/>
        </w:rPr>
        <w:t> </w:t>
      </w:r>
      <w:r>
        <w:rPr>
          <w:w w:val="105"/>
          <w:sz w:val="21"/>
        </w:rPr>
        <w:t>those</w:t>
      </w:r>
      <w:r>
        <w:rPr>
          <w:spacing w:val="-4"/>
          <w:w w:val="105"/>
          <w:sz w:val="21"/>
        </w:rPr>
        <w:t> </w:t>
      </w:r>
      <w:r>
        <w:rPr>
          <w:spacing w:val="-3"/>
          <w:w w:val="105"/>
          <w:sz w:val="21"/>
        </w:rPr>
        <w:t>taken</w:t>
      </w:r>
      <w:r>
        <w:rPr>
          <w:spacing w:val="-4"/>
          <w:w w:val="105"/>
          <w:sz w:val="21"/>
        </w:rPr>
        <w:t> </w:t>
      </w:r>
      <w:r>
        <w:rPr>
          <w:w w:val="105"/>
          <w:sz w:val="21"/>
        </w:rPr>
        <w:t>once</w:t>
      </w:r>
      <w:r>
        <w:rPr>
          <w:spacing w:val="-4"/>
          <w:w w:val="105"/>
          <w:sz w:val="21"/>
        </w:rPr>
        <w:t> </w:t>
      </w:r>
      <w:r>
        <w:rPr>
          <w:w w:val="105"/>
          <w:sz w:val="21"/>
        </w:rPr>
        <w:t>the</w:t>
      </w:r>
      <w:r>
        <w:rPr>
          <w:spacing w:val="-5"/>
          <w:w w:val="105"/>
          <w:sz w:val="21"/>
        </w:rPr>
        <w:t> </w:t>
      </w:r>
      <w:r>
        <w:rPr>
          <w:w w:val="105"/>
          <w:sz w:val="21"/>
        </w:rPr>
        <w:t>donor</w:t>
      </w:r>
      <w:r>
        <w:rPr>
          <w:spacing w:val="-4"/>
          <w:w w:val="105"/>
          <w:sz w:val="21"/>
        </w:rPr>
        <w:t> </w:t>
      </w:r>
      <w:r>
        <w:rPr>
          <w:spacing w:val="-2"/>
          <w:w w:val="105"/>
          <w:sz w:val="21"/>
        </w:rPr>
        <w:t>has</w:t>
      </w:r>
      <w:r>
        <w:rPr>
          <w:spacing w:val="-4"/>
          <w:w w:val="105"/>
          <w:sz w:val="21"/>
        </w:rPr>
        <w:t> </w:t>
      </w:r>
      <w:r>
        <w:rPr>
          <w:w w:val="105"/>
          <w:sz w:val="21"/>
        </w:rPr>
        <w:t>lost </w:t>
      </w:r>
      <w:r>
        <w:rPr>
          <w:spacing w:val="-3"/>
          <w:w w:val="105"/>
          <w:sz w:val="21"/>
        </w:rPr>
        <w:t>capacity. Key reasons for </w:t>
      </w:r>
      <w:r>
        <w:rPr>
          <w:w w:val="105"/>
          <w:sz w:val="21"/>
        </w:rPr>
        <w:t>this</w:t>
      </w:r>
      <w:r>
        <w:rPr>
          <w:spacing w:val="36"/>
          <w:w w:val="105"/>
          <w:sz w:val="21"/>
        </w:rPr>
        <w:t> </w:t>
      </w:r>
      <w:r>
        <w:rPr>
          <w:w w:val="105"/>
          <w:sz w:val="21"/>
        </w:rPr>
        <w:t>include:</w:t>
      </w:r>
    </w:p>
    <w:p>
      <w:pPr>
        <w:pStyle w:val="ListParagraph"/>
        <w:numPr>
          <w:ilvl w:val="2"/>
          <w:numId w:val="22"/>
        </w:numPr>
        <w:tabs>
          <w:tab w:pos="2721" w:val="left" w:leader="none"/>
          <w:tab w:pos="2722" w:val="left" w:leader="none"/>
        </w:tabs>
        <w:spacing w:line="242" w:lineRule="auto" w:before="123" w:after="0"/>
        <w:ind w:left="2721" w:right="1939" w:hanging="340"/>
        <w:jc w:val="left"/>
        <w:rPr>
          <w:sz w:val="21"/>
        </w:rPr>
      </w:pPr>
      <w:r>
        <w:rPr>
          <w:spacing w:val="-3"/>
          <w:sz w:val="21"/>
        </w:rPr>
        <w:t>Determining </w:t>
      </w:r>
      <w:r>
        <w:rPr>
          <w:sz w:val="21"/>
        </w:rPr>
        <w:t>whether the donor </w:t>
      </w:r>
      <w:r>
        <w:rPr>
          <w:spacing w:val="-2"/>
          <w:sz w:val="21"/>
        </w:rPr>
        <w:t>has </w:t>
      </w:r>
      <w:r>
        <w:rPr>
          <w:sz w:val="21"/>
        </w:rPr>
        <w:t>capacity at the time the attorney needs </w:t>
      </w:r>
      <w:r>
        <w:rPr>
          <w:spacing w:val="-3"/>
          <w:sz w:val="21"/>
        </w:rPr>
        <w:t>to </w:t>
      </w:r>
      <w:r>
        <w:rPr>
          <w:sz w:val="21"/>
        </w:rPr>
        <w:t>act </w:t>
      </w:r>
      <w:r>
        <w:rPr>
          <w:spacing w:val="-3"/>
          <w:sz w:val="21"/>
        </w:rPr>
        <w:t>will </w:t>
      </w:r>
      <w:r>
        <w:rPr>
          <w:sz w:val="21"/>
        </w:rPr>
        <w:t>be time-consuming and </w:t>
      </w:r>
      <w:r>
        <w:rPr>
          <w:spacing w:val="-3"/>
          <w:sz w:val="21"/>
        </w:rPr>
        <w:t>any </w:t>
      </w:r>
      <w:r>
        <w:rPr>
          <w:sz w:val="21"/>
        </w:rPr>
        <w:t>delay </w:t>
      </w:r>
      <w:r>
        <w:rPr>
          <w:spacing w:val="-3"/>
          <w:sz w:val="21"/>
        </w:rPr>
        <w:t>may </w:t>
      </w:r>
      <w:r>
        <w:rPr>
          <w:spacing w:val="-2"/>
          <w:sz w:val="21"/>
        </w:rPr>
        <w:t>not </w:t>
      </w:r>
      <w:r>
        <w:rPr>
          <w:sz w:val="21"/>
        </w:rPr>
        <w:t>be in the </w:t>
      </w:r>
      <w:r>
        <w:rPr>
          <w:spacing w:val="-3"/>
          <w:sz w:val="21"/>
        </w:rPr>
        <w:t>person’s </w:t>
      </w:r>
      <w:r>
        <w:rPr>
          <w:sz w:val="21"/>
        </w:rPr>
        <w:t>best</w:t>
      </w:r>
      <w:r>
        <w:rPr>
          <w:spacing w:val="6"/>
          <w:sz w:val="21"/>
        </w:rPr>
        <w:t> </w:t>
      </w:r>
      <w:r>
        <w:rPr>
          <w:spacing w:val="-3"/>
          <w:sz w:val="21"/>
        </w:rPr>
        <w:t>interests.</w:t>
      </w:r>
    </w:p>
    <w:p>
      <w:pPr>
        <w:pStyle w:val="ListParagraph"/>
        <w:numPr>
          <w:ilvl w:val="2"/>
          <w:numId w:val="22"/>
        </w:numPr>
        <w:tabs>
          <w:tab w:pos="2721" w:val="left" w:leader="none"/>
          <w:tab w:pos="2722" w:val="left" w:leader="none"/>
        </w:tabs>
        <w:spacing w:line="242" w:lineRule="auto" w:before="123" w:after="0"/>
        <w:ind w:left="2721" w:right="2106" w:hanging="340"/>
        <w:jc w:val="left"/>
        <w:rPr>
          <w:sz w:val="21"/>
        </w:rPr>
      </w:pPr>
      <w:r>
        <w:rPr>
          <w:sz w:val="21"/>
        </w:rPr>
        <w:t>It </w:t>
      </w:r>
      <w:r>
        <w:rPr>
          <w:spacing w:val="-3"/>
          <w:sz w:val="21"/>
        </w:rPr>
        <w:t>avoids </w:t>
      </w:r>
      <w:r>
        <w:rPr>
          <w:sz w:val="21"/>
        </w:rPr>
        <w:t>the need </w:t>
      </w:r>
      <w:r>
        <w:rPr>
          <w:spacing w:val="-3"/>
          <w:sz w:val="21"/>
        </w:rPr>
        <w:t>to determine </w:t>
      </w:r>
      <w:r>
        <w:rPr>
          <w:sz w:val="21"/>
        </w:rPr>
        <w:t>a </w:t>
      </w:r>
      <w:r>
        <w:rPr>
          <w:spacing w:val="-3"/>
          <w:sz w:val="21"/>
        </w:rPr>
        <w:t>person’s </w:t>
      </w:r>
      <w:r>
        <w:rPr>
          <w:sz w:val="21"/>
        </w:rPr>
        <w:t>capacity at the time of the </w:t>
      </w:r>
      <w:r>
        <w:rPr>
          <w:spacing w:val="-3"/>
          <w:sz w:val="21"/>
        </w:rPr>
        <w:t>disposition </w:t>
      </w:r>
      <w:r>
        <w:rPr>
          <w:sz w:val="21"/>
        </w:rPr>
        <w:t>after</w:t>
      </w:r>
      <w:r>
        <w:rPr>
          <w:spacing w:val="10"/>
          <w:sz w:val="21"/>
        </w:rPr>
        <w:t> </w:t>
      </w:r>
      <w:r>
        <w:rPr>
          <w:sz w:val="21"/>
        </w:rPr>
        <w:t>the</w:t>
      </w:r>
      <w:r>
        <w:rPr>
          <w:spacing w:val="11"/>
          <w:sz w:val="21"/>
        </w:rPr>
        <w:t> </w:t>
      </w:r>
      <w:r>
        <w:rPr>
          <w:sz w:val="21"/>
        </w:rPr>
        <w:t>person</w:t>
      </w:r>
      <w:r>
        <w:rPr>
          <w:spacing w:val="10"/>
          <w:sz w:val="21"/>
        </w:rPr>
        <w:t> </w:t>
      </w:r>
      <w:r>
        <w:rPr>
          <w:spacing w:val="-2"/>
          <w:sz w:val="21"/>
        </w:rPr>
        <w:t>has</w:t>
      </w:r>
      <w:r>
        <w:rPr>
          <w:spacing w:val="11"/>
          <w:sz w:val="21"/>
        </w:rPr>
        <w:t> </w:t>
      </w:r>
      <w:r>
        <w:rPr>
          <w:sz w:val="21"/>
        </w:rPr>
        <w:t>died,</w:t>
      </w:r>
      <w:r>
        <w:rPr>
          <w:spacing w:val="10"/>
          <w:sz w:val="21"/>
        </w:rPr>
        <w:t> </w:t>
      </w:r>
      <w:r>
        <w:rPr>
          <w:sz w:val="21"/>
        </w:rPr>
        <w:t>which</w:t>
      </w:r>
      <w:r>
        <w:rPr>
          <w:spacing w:val="11"/>
          <w:sz w:val="21"/>
        </w:rPr>
        <w:t> </w:t>
      </w:r>
      <w:r>
        <w:rPr>
          <w:spacing w:val="-3"/>
          <w:sz w:val="21"/>
        </w:rPr>
        <w:t>may</w:t>
      </w:r>
      <w:r>
        <w:rPr>
          <w:spacing w:val="10"/>
          <w:sz w:val="21"/>
        </w:rPr>
        <w:t> </w:t>
      </w:r>
      <w:r>
        <w:rPr>
          <w:sz w:val="21"/>
        </w:rPr>
        <w:t>be</w:t>
      </w:r>
      <w:r>
        <w:rPr>
          <w:spacing w:val="11"/>
          <w:sz w:val="21"/>
        </w:rPr>
        <w:t> </w:t>
      </w:r>
      <w:r>
        <w:rPr>
          <w:sz w:val="21"/>
        </w:rPr>
        <w:t>a</w:t>
      </w:r>
      <w:r>
        <w:rPr>
          <w:spacing w:val="10"/>
          <w:sz w:val="21"/>
        </w:rPr>
        <w:t> </w:t>
      </w:r>
      <w:r>
        <w:rPr>
          <w:sz w:val="21"/>
        </w:rPr>
        <w:t>number</w:t>
      </w:r>
      <w:r>
        <w:rPr>
          <w:spacing w:val="11"/>
          <w:sz w:val="21"/>
        </w:rPr>
        <w:t> </w:t>
      </w:r>
      <w:r>
        <w:rPr>
          <w:sz w:val="21"/>
        </w:rPr>
        <w:t>of</w:t>
      </w:r>
      <w:r>
        <w:rPr>
          <w:spacing w:val="10"/>
          <w:sz w:val="21"/>
        </w:rPr>
        <w:t> </w:t>
      </w:r>
      <w:r>
        <w:rPr>
          <w:sz w:val="21"/>
        </w:rPr>
        <w:t>years</w:t>
      </w:r>
      <w:r>
        <w:rPr>
          <w:spacing w:val="11"/>
          <w:sz w:val="21"/>
        </w:rPr>
        <w:t> </w:t>
      </w:r>
      <w:r>
        <w:rPr>
          <w:spacing w:val="-5"/>
          <w:sz w:val="21"/>
        </w:rPr>
        <w:t>later.</w:t>
      </w:r>
    </w:p>
    <w:p>
      <w:pPr>
        <w:pStyle w:val="ListParagraph"/>
        <w:numPr>
          <w:ilvl w:val="2"/>
          <w:numId w:val="22"/>
        </w:numPr>
        <w:tabs>
          <w:tab w:pos="2721" w:val="left" w:leader="none"/>
          <w:tab w:pos="2722" w:val="left" w:leader="none"/>
        </w:tabs>
        <w:spacing w:line="242" w:lineRule="auto" w:before="122" w:after="0"/>
        <w:ind w:left="2721" w:right="2169" w:hanging="340"/>
        <w:jc w:val="left"/>
        <w:rPr>
          <w:sz w:val="21"/>
        </w:rPr>
      </w:pPr>
      <w:r>
        <w:rPr>
          <w:w w:val="105"/>
          <w:sz w:val="21"/>
        </w:rPr>
        <w:t>It is </w:t>
      </w:r>
      <w:r>
        <w:rPr>
          <w:spacing w:val="-3"/>
          <w:w w:val="105"/>
          <w:sz w:val="21"/>
        </w:rPr>
        <w:t>consistent </w:t>
      </w:r>
      <w:r>
        <w:rPr>
          <w:w w:val="105"/>
          <w:sz w:val="21"/>
        </w:rPr>
        <w:t>with the New South </w:t>
      </w:r>
      <w:r>
        <w:rPr>
          <w:spacing w:val="-3"/>
          <w:w w:val="105"/>
          <w:sz w:val="21"/>
        </w:rPr>
        <w:t>Wales provisions that </w:t>
      </w:r>
      <w:r>
        <w:rPr>
          <w:w w:val="105"/>
          <w:sz w:val="21"/>
        </w:rPr>
        <w:t>the </w:t>
      </w:r>
      <w:r>
        <w:rPr>
          <w:spacing w:val="-3"/>
          <w:w w:val="105"/>
          <w:sz w:val="21"/>
        </w:rPr>
        <w:t>Commission </w:t>
      </w:r>
      <w:r>
        <w:rPr>
          <w:spacing w:val="-2"/>
          <w:w w:val="105"/>
          <w:sz w:val="21"/>
        </w:rPr>
        <w:t>has </w:t>
      </w:r>
      <w:r>
        <w:rPr>
          <w:w w:val="105"/>
          <w:sz w:val="21"/>
        </w:rPr>
        <w:t>recommended</w:t>
      </w:r>
      <w:r>
        <w:rPr>
          <w:spacing w:val="-17"/>
          <w:w w:val="105"/>
          <w:sz w:val="21"/>
        </w:rPr>
        <w:t> </w:t>
      </w:r>
      <w:r>
        <w:rPr>
          <w:w w:val="105"/>
          <w:sz w:val="21"/>
        </w:rPr>
        <w:t>should</w:t>
      </w:r>
      <w:r>
        <w:rPr>
          <w:spacing w:val="-16"/>
          <w:w w:val="105"/>
          <w:sz w:val="21"/>
        </w:rPr>
        <w:t> </w:t>
      </w:r>
      <w:r>
        <w:rPr>
          <w:w w:val="105"/>
          <w:sz w:val="21"/>
        </w:rPr>
        <w:t>apply</w:t>
      </w:r>
      <w:r>
        <w:rPr>
          <w:spacing w:val="-17"/>
          <w:w w:val="105"/>
          <w:sz w:val="21"/>
        </w:rPr>
        <w:t> </w:t>
      </w:r>
      <w:r>
        <w:rPr>
          <w:spacing w:val="-3"/>
          <w:w w:val="105"/>
          <w:sz w:val="21"/>
        </w:rPr>
        <w:t>to</w:t>
      </w:r>
      <w:r>
        <w:rPr>
          <w:spacing w:val="-16"/>
          <w:w w:val="105"/>
          <w:sz w:val="21"/>
        </w:rPr>
        <w:t> </w:t>
      </w:r>
      <w:r>
        <w:rPr>
          <w:w w:val="105"/>
          <w:sz w:val="21"/>
        </w:rPr>
        <w:t>anti-ademption</w:t>
      </w:r>
      <w:r>
        <w:rPr>
          <w:spacing w:val="-16"/>
          <w:w w:val="105"/>
          <w:sz w:val="21"/>
        </w:rPr>
        <w:t> </w:t>
      </w:r>
      <w:r>
        <w:rPr>
          <w:spacing w:val="-3"/>
          <w:w w:val="105"/>
          <w:sz w:val="21"/>
        </w:rPr>
        <w:t>provisions</w:t>
      </w:r>
      <w:r>
        <w:rPr>
          <w:spacing w:val="-17"/>
          <w:w w:val="105"/>
          <w:sz w:val="21"/>
        </w:rPr>
        <w:t> </w:t>
      </w:r>
      <w:r>
        <w:rPr>
          <w:spacing w:val="-3"/>
          <w:w w:val="105"/>
          <w:sz w:val="21"/>
        </w:rPr>
        <w:t>for</w:t>
      </w:r>
      <w:r>
        <w:rPr>
          <w:spacing w:val="-16"/>
          <w:w w:val="105"/>
          <w:sz w:val="21"/>
        </w:rPr>
        <w:t> </w:t>
      </w:r>
      <w:r>
        <w:rPr>
          <w:spacing w:val="-3"/>
          <w:w w:val="105"/>
          <w:sz w:val="21"/>
        </w:rPr>
        <w:t>substitute</w:t>
      </w:r>
      <w:r>
        <w:rPr>
          <w:spacing w:val="-16"/>
          <w:w w:val="105"/>
          <w:sz w:val="21"/>
        </w:rPr>
        <w:t> </w:t>
      </w:r>
      <w:r>
        <w:rPr>
          <w:w w:val="105"/>
          <w:sz w:val="21"/>
        </w:rPr>
        <w:t>decision </w:t>
      </w:r>
      <w:r>
        <w:rPr>
          <w:spacing w:val="-3"/>
          <w:w w:val="105"/>
          <w:sz w:val="21"/>
        </w:rPr>
        <w:t>makers.</w:t>
      </w:r>
    </w:p>
    <w:p>
      <w:pPr>
        <w:pStyle w:val="BodyText"/>
        <w:spacing w:before="6"/>
        <w:rPr>
          <w:sz w:val="14"/>
        </w:rPr>
      </w:pPr>
      <w:r>
        <w:rPr/>
        <w:pict>
          <v:group style="position:absolute;margin-left:62.362202pt;margin-top:10.802322pt;width:479.1pt;height:277.8pt;mso-position-horizontal-relative:page;mso-position-vertical-relative:paragraph;z-index:2792;mso-wrap-distance-left:0;mso-wrap-distance-right:0" coordorigin="1247,216" coordsize="9582,5556">
            <v:rect style="position:absolute;left:1587;top:216;width:8731;height:5556" filled="true" fillcolor="#fdebea" stroked="false">
              <v:fill type="solid"/>
            </v:rect>
            <v:line style="position:absolute" from="1247,1109" to="10828,1109" stroked="true" strokeweight="2.5pt" strokecolor="#ffffff">
              <v:stroke dashstyle="solid"/>
            </v:line>
            <v:shape style="position:absolute;left:2381;top:1346;width:7640;height:4110" type="#_x0000_t202" filled="false" stroked="false">
              <v:textbox inset="0,0,0,0">
                <w:txbxContent>
                  <w:p>
                    <w:pPr>
                      <w:spacing w:line="242" w:lineRule="auto" w:before="0"/>
                      <w:ind w:left="0" w:right="111" w:firstLine="0"/>
                      <w:jc w:val="left"/>
                      <w:rPr>
                        <w:sz w:val="21"/>
                      </w:rPr>
                    </w:pPr>
                    <w:r>
                      <w:rPr>
                        <w:w w:val="110"/>
                        <w:sz w:val="21"/>
                      </w:rPr>
                      <w:t>The </w:t>
                    </w:r>
                    <w:r>
                      <w:rPr>
                        <w:rFonts w:ascii="Lucida Sans"/>
                        <w:i/>
                        <w:w w:val="110"/>
                        <w:sz w:val="21"/>
                      </w:rPr>
                      <w:t>Instruments Act </w:t>
                    </w:r>
                    <w:r>
                      <w:rPr>
                        <w:rFonts w:ascii="Lucida Sans"/>
                        <w:i/>
                        <w:spacing w:val="-4"/>
                        <w:w w:val="110"/>
                        <w:sz w:val="21"/>
                      </w:rPr>
                      <w:t>1958 </w:t>
                    </w:r>
                    <w:r>
                      <w:rPr>
                        <w:w w:val="110"/>
                        <w:sz w:val="21"/>
                      </w:rPr>
                      <w:t>(Vic) should be amended to provide an exception to ademption when property is sold or otherwise disposed of by a person   acting under an enduring power of attorney (financial). The exception should align</w:t>
                    </w:r>
                    <w:r>
                      <w:rPr>
                        <w:spacing w:val="18"/>
                        <w:w w:val="110"/>
                        <w:sz w:val="21"/>
                      </w:rPr>
                      <w:t> </w:t>
                    </w:r>
                    <w:r>
                      <w:rPr>
                        <w:w w:val="110"/>
                        <w:sz w:val="21"/>
                      </w:rPr>
                      <w:t>with</w:t>
                    </w:r>
                    <w:r>
                      <w:rPr>
                        <w:spacing w:val="19"/>
                        <w:w w:val="110"/>
                        <w:sz w:val="21"/>
                      </w:rPr>
                      <w:t> </w:t>
                    </w:r>
                    <w:r>
                      <w:rPr>
                        <w:w w:val="110"/>
                        <w:sz w:val="21"/>
                      </w:rPr>
                      <w:t>the</w:t>
                    </w:r>
                    <w:r>
                      <w:rPr>
                        <w:spacing w:val="19"/>
                        <w:w w:val="110"/>
                        <w:sz w:val="21"/>
                      </w:rPr>
                      <w:t> </w:t>
                    </w:r>
                    <w:r>
                      <w:rPr>
                        <w:w w:val="110"/>
                        <w:sz w:val="21"/>
                      </w:rPr>
                      <w:t>exception</w:t>
                    </w:r>
                    <w:r>
                      <w:rPr>
                        <w:spacing w:val="18"/>
                        <w:w w:val="110"/>
                        <w:sz w:val="21"/>
                      </w:rPr>
                      <w:t> </w:t>
                    </w:r>
                    <w:r>
                      <w:rPr>
                        <w:w w:val="110"/>
                        <w:sz w:val="21"/>
                      </w:rPr>
                      <w:t>that</w:t>
                    </w:r>
                    <w:r>
                      <w:rPr>
                        <w:spacing w:val="19"/>
                        <w:w w:val="110"/>
                        <w:sz w:val="21"/>
                      </w:rPr>
                      <w:t> </w:t>
                    </w:r>
                    <w:r>
                      <w:rPr>
                        <w:spacing w:val="-3"/>
                        <w:w w:val="110"/>
                        <w:sz w:val="21"/>
                      </w:rPr>
                      <w:t>will</w:t>
                    </w:r>
                    <w:r>
                      <w:rPr>
                        <w:spacing w:val="19"/>
                        <w:w w:val="110"/>
                        <w:sz w:val="21"/>
                      </w:rPr>
                      <w:t> </w:t>
                    </w:r>
                    <w:r>
                      <w:rPr>
                        <w:w w:val="110"/>
                        <w:sz w:val="21"/>
                      </w:rPr>
                      <w:t>apply</w:t>
                    </w:r>
                    <w:r>
                      <w:rPr>
                        <w:spacing w:val="19"/>
                        <w:w w:val="110"/>
                        <w:sz w:val="21"/>
                      </w:rPr>
                      <w:t> </w:t>
                    </w:r>
                    <w:r>
                      <w:rPr>
                        <w:w w:val="110"/>
                        <w:sz w:val="21"/>
                      </w:rPr>
                      <w:t>to</w:t>
                    </w:r>
                    <w:r>
                      <w:rPr>
                        <w:spacing w:val="18"/>
                        <w:w w:val="110"/>
                        <w:sz w:val="21"/>
                      </w:rPr>
                      <w:t> </w:t>
                    </w:r>
                    <w:r>
                      <w:rPr>
                        <w:w w:val="110"/>
                        <w:sz w:val="21"/>
                      </w:rPr>
                      <w:t>administrators</w:t>
                    </w:r>
                    <w:r>
                      <w:rPr>
                        <w:spacing w:val="19"/>
                        <w:w w:val="110"/>
                        <w:sz w:val="21"/>
                      </w:rPr>
                      <w:t> </w:t>
                    </w:r>
                    <w:r>
                      <w:rPr>
                        <w:w w:val="110"/>
                        <w:sz w:val="21"/>
                      </w:rPr>
                      <w:t>under</w:t>
                    </w:r>
                    <w:r>
                      <w:rPr>
                        <w:spacing w:val="19"/>
                        <w:w w:val="110"/>
                        <w:sz w:val="21"/>
                      </w:rPr>
                      <w:t> </w:t>
                    </w:r>
                    <w:r>
                      <w:rPr>
                        <w:w w:val="110"/>
                        <w:sz w:val="21"/>
                      </w:rPr>
                      <w:t>section</w:t>
                    </w:r>
                    <w:r>
                      <w:rPr>
                        <w:spacing w:val="19"/>
                        <w:w w:val="110"/>
                        <w:sz w:val="21"/>
                      </w:rPr>
                      <w:t> </w:t>
                    </w:r>
                    <w:r>
                      <w:rPr>
                        <w:w w:val="110"/>
                        <w:sz w:val="21"/>
                      </w:rPr>
                      <w:t>53</w:t>
                    </w:r>
                    <w:r>
                      <w:rPr>
                        <w:spacing w:val="18"/>
                        <w:w w:val="110"/>
                        <w:sz w:val="21"/>
                      </w:rPr>
                      <w:t> </w:t>
                    </w:r>
                    <w:r>
                      <w:rPr>
                        <w:w w:val="110"/>
                        <w:sz w:val="21"/>
                      </w:rPr>
                      <w:t>of</w:t>
                    </w:r>
                  </w:p>
                  <w:p>
                    <w:pPr>
                      <w:spacing w:line="242" w:lineRule="auto" w:before="0"/>
                      <w:ind w:left="0" w:right="0" w:firstLine="0"/>
                      <w:jc w:val="left"/>
                      <w:rPr>
                        <w:sz w:val="21"/>
                      </w:rPr>
                    </w:pPr>
                    <w:r>
                      <w:rPr>
                        <w:w w:val="105"/>
                        <w:sz w:val="21"/>
                      </w:rPr>
                      <w:t>the</w:t>
                    </w:r>
                    <w:r>
                      <w:rPr>
                        <w:spacing w:val="-19"/>
                        <w:w w:val="105"/>
                        <w:sz w:val="21"/>
                      </w:rPr>
                      <w:t> </w:t>
                    </w:r>
                    <w:r>
                      <w:rPr>
                        <w:rFonts w:ascii="Lucida Sans" w:hAnsi="Lucida Sans"/>
                        <w:i/>
                        <w:w w:val="105"/>
                        <w:sz w:val="21"/>
                      </w:rPr>
                      <w:t>Guardianship</w:t>
                    </w:r>
                    <w:r>
                      <w:rPr>
                        <w:rFonts w:ascii="Lucida Sans" w:hAnsi="Lucida Sans"/>
                        <w:i/>
                        <w:spacing w:val="-38"/>
                        <w:w w:val="105"/>
                        <w:sz w:val="21"/>
                      </w:rPr>
                      <w:t> </w:t>
                    </w:r>
                    <w:r>
                      <w:rPr>
                        <w:rFonts w:ascii="Lucida Sans" w:hAnsi="Lucida Sans"/>
                        <w:i/>
                        <w:w w:val="105"/>
                        <w:sz w:val="21"/>
                      </w:rPr>
                      <w:t>and</w:t>
                    </w:r>
                    <w:r>
                      <w:rPr>
                        <w:rFonts w:ascii="Lucida Sans" w:hAnsi="Lucida Sans"/>
                        <w:i/>
                        <w:spacing w:val="-38"/>
                        <w:w w:val="105"/>
                        <w:sz w:val="21"/>
                      </w:rPr>
                      <w:t> </w:t>
                    </w:r>
                    <w:r>
                      <w:rPr>
                        <w:rFonts w:ascii="Lucida Sans" w:hAnsi="Lucida Sans"/>
                        <w:i/>
                        <w:w w:val="105"/>
                        <w:sz w:val="21"/>
                      </w:rPr>
                      <w:t>Administration</w:t>
                    </w:r>
                    <w:r>
                      <w:rPr>
                        <w:rFonts w:ascii="Lucida Sans" w:hAnsi="Lucida Sans"/>
                        <w:i/>
                        <w:spacing w:val="-38"/>
                        <w:w w:val="105"/>
                        <w:sz w:val="21"/>
                      </w:rPr>
                      <w:t> </w:t>
                    </w:r>
                    <w:r>
                      <w:rPr>
                        <w:rFonts w:ascii="Lucida Sans" w:hAnsi="Lucida Sans"/>
                        <w:i/>
                        <w:w w:val="105"/>
                        <w:sz w:val="21"/>
                      </w:rPr>
                      <w:t>Act</w:t>
                    </w:r>
                    <w:r>
                      <w:rPr>
                        <w:rFonts w:ascii="Lucida Sans" w:hAnsi="Lucida Sans"/>
                        <w:i/>
                        <w:spacing w:val="-38"/>
                        <w:w w:val="105"/>
                        <w:sz w:val="21"/>
                      </w:rPr>
                      <w:t> </w:t>
                    </w:r>
                    <w:r>
                      <w:rPr>
                        <w:rFonts w:ascii="Lucida Sans" w:hAnsi="Lucida Sans"/>
                        <w:i/>
                        <w:w w:val="105"/>
                        <w:sz w:val="21"/>
                      </w:rPr>
                      <w:t>1986</w:t>
                    </w:r>
                    <w:r>
                      <w:rPr>
                        <w:rFonts w:ascii="Lucida Sans" w:hAnsi="Lucida Sans"/>
                        <w:i/>
                        <w:spacing w:val="-38"/>
                        <w:w w:val="105"/>
                        <w:sz w:val="21"/>
                      </w:rPr>
                      <w:t> </w:t>
                    </w:r>
                    <w:r>
                      <w:rPr>
                        <w:w w:val="105"/>
                        <w:sz w:val="21"/>
                      </w:rPr>
                      <w:t>(Vic)</w:t>
                    </w:r>
                    <w:r>
                      <w:rPr>
                        <w:spacing w:val="-18"/>
                        <w:w w:val="105"/>
                        <w:sz w:val="21"/>
                      </w:rPr>
                      <w:t> </w:t>
                    </w:r>
                    <w:r>
                      <w:rPr>
                        <w:w w:val="105"/>
                        <w:sz w:val="21"/>
                      </w:rPr>
                      <w:t>as</w:t>
                    </w:r>
                    <w:r>
                      <w:rPr>
                        <w:spacing w:val="-19"/>
                        <w:w w:val="105"/>
                        <w:sz w:val="21"/>
                      </w:rPr>
                      <w:t> </w:t>
                    </w:r>
                    <w:r>
                      <w:rPr>
                        <w:w w:val="105"/>
                        <w:sz w:val="21"/>
                      </w:rPr>
                      <w:t>amended</w:t>
                    </w:r>
                    <w:r>
                      <w:rPr>
                        <w:spacing w:val="-18"/>
                        <w:w w:val="105"/>
                        <w:sz w:val="21"/>
                      </w:rPr>
                      <w:t> </w:t>
                    </w:r>
                    <w:r>
                      <w:rPr>
                        <w:w w:val="105"/>
                        <w:sz w:val="21"/>
                      </w:rPr>
                      <w:t>in</w:t>
                    </w:r>
                    <w:r>
                      <w:rPr>
                        <w:spacing w:val="-18"/>
                        <w:w w:val="105"/>
                        <w:sz w:val="21"/>
                      </w:rPr>
                      <w:t> </w:t>
                    </w:r>
                    <w:r>
                      <w:rPr>
                        <w:w w:val="105"/>
                        <w:sz w:val="21"/>
                      </w:rPr>
                      <w:t>accordance with recommendations </w:t>
                    </w:r>
                    <w:r>
                      <w:rPr>
                        <w:spacing w:val="5"/>
                        <w:w w:val="105"/>
                        <w:sz w:val="21"/>
                      </w:rPr>
                      <w:t>5–8,</w:t>
                    </w:r>
                    <w:r>
                      <w:rPr>
                        <w:spacing w:val="26"/>
                        <w:w w:val="105"/>
                        <w:sz w:val="21"/>
                      </w:rPr>
                      <w:t> </w:t>
                    </w:r>
                    <w:r>
                      <w:rPr>
                        <w:w w:val="105"/>
                        <w:sz w:val="21"/>
                      </w:rPr>
                      <w:t>including:</w:t>
                    </w:r>
                  </w:p>
                  <w:p>
                    <w:pPr>
                      <w:numPr>
                        <w:ilvl w:val="0"/>
                        <w:numId w:val="48"/>
                      </w:numPr>
                      <w:tabs>
                        <w:tab w:pos="341" w:val="left" w:leader="none"/>
                      </w:tabs>
                      <w:spacing w:line="242" w:lineRule="auto" w:before="116"/>
                      <w:ind w:left="340" w:right="647" w:hanging="340"/>
                      <w:jc w:val="left"/>
                      <w:rPr>
                        <w:sz w:val="21"/>
                      </w:rPr>
                    </w:pPr>
                    <w:r>
                      <w:rPr>
                        <w:w w:val="115"/>
                        <w:sz w:val="21"/>
                      </w:rPr>
                      <w:t>a right of beneficiaries under a </w:t>
                    </w:r>
                    <w:r>
                      <w:rPr>
                        <w:spacing w:val="-3"/>
                        <w:w w:val="115"/>
                        <w:sz w:val="21"/>
                      </w:rPr>
                      <w:t>will </w:t>
                    </w:r>
                    <w:r>
                      <w:rPr>
                        <w:w w:val="115"/>
                        <w:sz w:val="21"/>
                      </w:rPr>
                      <w:t>to apply to the court if the result is unjust</w:t>
                    </w:r>
                  </w:p>
                  <w:p>
                    <w:pPr>
                      <w:numPr>
                        <w:ilvl w:val="0"/>
                        <w:numId w:val="48"/>
                      </w:numPr>
                      <w:tabs>
                        <w:tab w:pos="341" w:val="left" w:leader="none"/>
                      </w:tabs>
                      <w:spacing w:line="242" w:lineRule="auto" w:before="123"/>
                      <w:ind w:left="340" w:right="516" w:hanging="340"/>
                      <w:jc w:val="left"/>
                      <w:rPr>
                        <w:sz w:val="21"/>
                      </w:rPr>
                    </w:pPr>
                    <w:r>
                      <w:rPr>
                        <w:w w:val="115"/>
                        <w:sz w:val="21"/>
                      </w:rPr>
                      <w:t>no</w:t>
                    </w:r>
                    <w:r>
                      <w:rPr>
                        <w:spacing w:val="-10"/>
                        <w:w w:val="115"/>
                        <w:sz w:val="21"/>
                      </w:rPr>
                      <w:t> </w:t>
                    </w:r>
                    <w:r>
                      <w:rPr>
                        <w:w w:val="115"/>
                        <w:sz w:val="21"/>
                      </w:rPr>
                      <w:t>requirement</w:t>
                    </w:r>
                    <w:r>
                      <w:rPr>
                        <w:spacing w:val="-10"/>
                        <w:w w:val="115"/>
                        <w:sz w:val="21"/>
                      </w:rPr>
                      <w:t> </w:t>
                    </w:r>
                    <w:r>
                      <w:rPr>
                        <w:w w:val="115"/>
                        <w:sz w:val="21"/>
                      </w:rPr>
                      <w:t>that</w:t>
                    </w:r>
                    <w:r>
                      <w:rPr>
                        <w:spacing w:val="-10"/>
                        <w:w w:val="115"/>
                        <w:sz w:val="21"/>
                      </w:rPr>
                      <w:t> </w:t>
                    </w:r>
                    <w:r>
                      <w:rPr>
                        <w:w w:val="115"/>
                        <w:sz w:val="21"/>
                      </w:rPr>
                      <w:t>the</w:t>
                    </w:r>
                    <w:r>
                      <w:rPr>
                        <w:spacing w:val="-9"/>
                        <w:w w:val="115"/>
                        <w:sz w:val="21"/>
                      </w:rPr>
                      <w:t> </w:t>
                    </w:r>
                    <w:r>
                      <w:rPr>
                        <w:w w:val="115"/>
                        <w:sz w:val="21"/>
                      </w:rPr>
                      <w:t>attorney</w:t>
                    </w:r>
                    <w:r>
                      <w:rPr>
                        <w:spacing w:val="-10"/>
                        <w:w w:val="115"/>
                        <w:sz w:val="21"/>
                      </w:rPr>
                      <w:t> </w:t>
                    </w:r>
                    <w:r>
                      <w:rPr>
                        <w:spacing w:val="-3"/>
                        <w:w w:val="115"/>
                        <w:sz w:val="21"/>
                      </w:rPr>
                      <w:t>keep</w:t>
                    </w:r>
                    <w:r>
                      <w:rPr>
                        <w:spacing w:val="-10"/>
                        <w:w w:val="115"/>
                        <w:sz w:val="21"/>
                      </w:rPr>
                      <w:t> </w:t>
                    </w:r>
                    <w:r>
                      <w:rPr>
                        <w:w w:val="115"/>
                        <w:sz w:val="21"/>
                      </w:rPr>
                      <w:t>a</w:t>
                    </w:r>
                    <w:r>
                      <w:rPr>
                        <w:spacing w:val="-10"/>
                        <w:w w:val="115"/>
                        <w:sz w:val="21"/>
                      </w:rPr>
                      <w:t> </w:t>
                    </w:r>
                    <w:r>
                      <w:rPr>
                        <w:w w:val="115"/>
                        <w:sz w:val="21"/>
                      </w:rPr>
                      <w:t>separate</w:t>
                    </w:r>
                    <w:r>
                      <w:rPr>
                        <w:spacing w:val="-9"/>
                        <w:w w:val="115"/>
                        <w:sz w:val="21"/>
                      </w:rPr>
                      <w:t> </w:t>
                    </w:r>
                    <w:r>
                      <w:rPr>
                        <w:w w:val="115"/>
                        <w:sz w:val="21"/>
                      </w:rPr>
                      <w:t>account</w:t>
                    </w:r>
                    <w:r>
                      <w:rPr>
                        <w:spacing w:val="-10"/>
                        <w:w w:val="115"/>
                        <w:sz w:val="21"/>
                      </w:rPr>
                      <w:t> </w:t>
                    </w:r>
                    <w:r>
                      <w:rPr>
                        <w:w w:val="115"/>
                        <w:sz w:val="21"/>
                      </w:rPr>
                      <w:t>and</w:t>
                    </w:r>
                    <w:r>
                      <w:rPr>
                        <w:spacing w:val="-10"/>
                        <w:w w:val="115"/>
                        <w:sz w:val="21"/>
                      </w:rPr>
                      <w:t> </w:t>
                    </w:r>
                    <w:r>
                      <w:rPr>
                        <w:w w:val="115"/>
                        <w:sz w:val="21"/>
                      </w:rPr>
                      <w:t>record of the proceeds of the sale or other</w:t>
                    </w:r>
                    <w:r>
                      <w:rPr>
                        <w:spacing w:val="-6"/>
                        <w:w w:val="115"/>
                        <w:sz w:val="21"/>
                      </w:rPr>
                      <w:t> </w:t>
                    </w:r>
                    <w:r>
                      <w:rPr>
                        <w:w w:val="115"/>
                        <w:sz w:val="21"/>
                      </w:rPr>
                      <w:t>disposition</w:t>
                    </w:r>
                  </w:p>
                  <w:p>
                    <w:pPr>
                      <w:numPr>
                        <w:ilvl w:val="0"/>
                        <w:numId w:val="48"/>
                      </w:numPr>
                      <w:tabs>
                        <w:tab w:pos="341" w:val="left" w:leader="none"/>
                      </w:tabs>
                      <w:spacing w:line="242" w:lineRule="auto" w:before="122"/>
                      <w:ind w:left="340" w:right="231" w:hanging="340"/>
                      <w:jc w:val="left"/>
                      <w:rPr>
                        <w:sz w:val="21"/>
                      </w:rPr>
                    </w:pPr>
                    <w:r>
                      <w:rPr>
                        <w:w w:val="115"/>
                        <w:sz w:val="21"/>
                      </w:rPr>
                      <w:t>no requirement that the attorney </w:t>
                    </w:r>
                    <w:r>
                      <w:rPr>
                        <w:spacing w:val="-3"/>
                        <w:w w:val="115"/>
                        <w:sz w:val="21"/>
                      </w:rPr>
                      <w:t>keep </w:t>
                    </w:r>
                    <w:r>
                      <w:rPr>
                        <w:w w:val="115"/>
                        <w:sz w:val="21"/>
                      </w:rPr>
                      <w:t>the proceeds of sale or other disposition</w:t>
                    </w:r>
                    <w:r>
                      <w:rPr>
                        <w:spacing w:val="-10"/>
                        <w:w w:val="115"/>
                        <w:sz w:val="21"/>
                      </w:rPr>
                      <w:t> </w:t>
                    </w:r>
                    <w:r>
                      <w:rPr>
                        <w:w w:val="115"/>
                        <w:sz w:val="21"/>
                      </w:rPr>
                      <w:t>separate</w:t>
                    </w:r>
                    <w:r>
                      <w:rPr>
                        <w:spacing w:val="-9"/>
                        <w:w w:val="115"/>
                        <w:sz w:val="21"/>
                      </w:rPr>
                      <w:t> </w:t>
                    </w:r>
                    <w:r>
                      <w:rPr>
                        <w:w w:val="115"/>
                        <w:sz w:val="21"/>
                      </w:rPr>
                      <w:t>from</w:t>
                    </w:r>
                    <w:r>
                      <w:rPr>
                        <w:spacing w:val="-9"/>
                        <w:w w:val="115"/>
                        <w:sz w:val="21"/>
                      </w:rPr>
                      <w:t> </w:t>
                    </w:r>
                    <w:r>
                      <w:rPr>
                        <w:w w:val="115"/>
                        <w:sz w:val="21"/>
                      </w:rPr>
                      <w:t>other</w:t>
                    </w:r>
                    <w:r>
                      <w:rPr>
                        <w:spacing w:val="-9"/>
                        <w:w w:val="115"/>
                        <w:sz w:val="21"/>
                      </w:rPr>
                      <w:t> </w:t>
                    </w:r>
                    <w:r>
                      <w:rPr>
                        <w:w w:val="115"/>
                        <w:sz w:val="21"/>
                      </w:rPr>
                      <w:t>assets</w:t>
                    </w:r>
                    <w:r>
                      <w:rPr>
                        <w:spacing w:val="-10"/>
                        <w:w w:val="115"/>
                        <w:sz w:val="21"/>
                      </w:rPr>
                      <w:t> </w:t>
                    </w:r>
                    <w:r>
                      <w:rPr>
                        <w:w w:val="115"/>
                        <w:sz w:val="21"/>
                      </w:rPr>
                      <w:t>owned</w:t>
                    </w:r>
                    <w:r>
                      <w:rPr>
                        <w:spacing w:val="-9"/>
                        <w:w w:val="115"/>
                        <w:sz w:val="21"/>
                      </w:rPr>
                      <w:t> </w:t>
                    </w:r>
                    <w:r>
                      <w:rPr>
                        <w:w w:val="115"/>
                        <w:sz w:val="21"/>
                      </w:rPr>
                      <w:t>by</w:t>
                    </w:r>
                    <w:r>
                      <w:rPr>
                        <w:spacing w:val="-9"/>
                        <w:w w:val="115"/>
                        <w:sz w:val="21"/>
                      </w:rPr>
                      <w:t> </w:t>
                    </w:r>
                    <w:r>
                      <w:rPr>
                        <w:w w:val="115"/>
                        <w:sz w:val="21"/>
                      </w:rPr>
                      <w:t>the</w:t>
                    </w:r>
                    <w:r>
                      <w:rPr>
                        <w:spacing w:val="-9"/>
                        <w:w w:val="115"/>
                        <w:sz w:val="21"/>
                      </w:rPr>
                      <w:t> </w:t>
                    </w:r>
                    <w:r>
                      <w:rPr>
                        <w:w w:val="115"/>
                        <w:sz w:val="21"/>
                      </w:rPr>
                      <w:t>donor</w:t>
                    </w:r>
                    <w:r>
                      <w:rPr>
                        <w:spacing w:val="-10"/>
                        <w:w w:val="115"/>
                        <w:sz w:val="21"/>
                      </w:rPr>
                      <w:t> </w:t>
                    </w:r>
                    <w:r>
                      <w:rPr>
                        <w:w w:val="115"/>
                        <w:sz w:val="21"/>
                      </w:rPr>
                      <w:t>of</w:t>
                    </w:r>
                    <w:r>
                      <w:rPr>
                        <w:spacing w:val="-9"/>
                        <w:w w:val="115"/>
                        <w:sz w:val="21"/>
                      </w:rPr>
                      <w:t> </w:t>
                    </w:r>
                    <w:r>
                      <w:rPr>
                        <w:w w:val="115"/>
                        <w:sz w:val="21"/>
                      </w:rPr>
                      <w:t>the</w:t>
                    </w:r>
                    <w:r>
                      <w:rPr>
                        <w:spacing w:val="-9"/>
                        <w:w w:val="115"/>
                        <w:sz w:val="21"/>
                      </w:rPr>
                      <w:t> </w:t>
                    </w:r>
                    <w:r>
                      <w:rPr>
                        <w:w w:val="115"/>
                        <w:sz w:val="21"/>
                      </w:rPr>
                      <w:t>power</w:t>
                    </w:r>
                  </w:p>
                  <w:p>
                    <w:pPr>
                      <w:numPr>
                        <w:ilvl w:val="0"/>
                        <w:numId w:val="48"/>
                      </w:numPr>
                      <w:tabs>
                        <w:tab w:pos="341" w:val="left" w:leader="none"/>
                      </w:tabs>
                      <w:spacing w:line="242" w:lineRule="auto" w:before="122"/>
                      <w:ind w:left="340" w:right="610" w:hanging="340"/>
                      <w:jc w:val="left"/>
                      <w:rPr>
                        <w:sz w:val="21"/>
                      </w:rPr>
                    </w:pPr>
                    <w:r>
                      <w:rPr>
                        <w:w w:val="115"/>
                        <w:sz w:val="21"/>
                      </w:rPr>
                      <w:t>no requirement that the donor of the power be without will-making capacity at the time of the sale or other</w:t>
                    </w:r>
                    <w:r>
                      <w:rPr>
                        <w:spacing w:val="-12"/>
                        <w:w w:val="115"/>
                        <w:sz w:val="21"/>
                      </w:rPr>
                      <w:t> </w:t>
                    </w:r>
                    <w:r>
                      <w:rPr>
                        <w:w w:val="115"/>
                        <w:sz w:val="21"/>
                      </w:rPr>
                      <w:t>disposition.</w:t>
                    </w:r>
                  </w:p>
                </w:txbxContent>
              </v:textbox>
              <w10:wrap type="none"/>
            </v:shape>
            <v:shape style="position:absolute;left:1814;top:1346;width:137;height:249" type="#_x0000_t202" filled="false" stroked="false">
              <v:textbox inset="0,0,0,0">
                <w:txbxContent>
                  <w:p>
                    <w:pPr>
                      <w:spacing w:line="249" w:lineRule="exact" w:before="0"/>
                      <w:ind w:left="0" w:right="0" w:firstLine="0"/>
                      <w:jc w:val="left"/>
                      <w:rPr>
                        <w:sz w:val="21"/>
                      </w:rPr>
                    </w:pPr>
                    <w:r>
                      <w:rPr>
                        <w:w w:val="109"/>
                        <w:sz w:val="21"/>
                      </w:rPr>
                      <w:t>9</w:t>
                    </w:r>
                  </w:p>
                </w:txbxContent>
              </v:textbox>
              <w10:wrap type="none"/>
            </v:shape>
            <v:shape style="position:absolute;left:1587;top:216;width:8731;height:869" type="#_x0000_t202" filled="true" fillcolor="#fdebea" stroked="false">
              <v:textbox inset="0,0,0,0">
                <w:txbxContent>
                  <w:p>
                    <w:pPr>
                      <w:spacing w:before="308"/>
                      <w:ind w:left="226" w:right="0" w:firstLine="0"/>
                      <w:jc w:val="left"/>
                      <w:rPr>
                        <w:b/>
                        <w:sz w:val="32"/>
                      </w:rPr>
                    </w:pPr>
                    <w:r>
                      <w:rPr>
                        <w:b/>
                        <w:color w:val="EC5A4F"/>
                        <w:w w:val="110"/>
                        <w:sz w:val="32"/>
                      </w:rPr>
                      <w:t>Recommendation</w:t>
                    </w:r>
                  </w:p>
                </w:txbxContent>
              </v:textbox>
              <v:fill type="solid"/>
              <w10:wrap type="none"/>
            </v:shape>
            <w10:wrap type="topAndBottom"/>
          </v:group>
        </w:pict>
      </w:r>
    </w:p>
    <w:p>
      <w:pPr>
        <w:pStyle w:val="BodyText"/>
        <w:spacing w:before="2"/>
        <w:rPr>
          <w:sz w:val="15"/>
        </w:rPr>
      </w:pPr>
    </w:p>
    <w:p>
      <w:pPr>
        <w:pStyle w:val="Heading5"/>
        <w:spacing w:before="98"/>
      </w:pPr>
      <w:r>
        <w:rPr>
          <w:w w:val="115"/>
        </w:rPr>
        <w:t>Warning to donors of enduring powers of attorney (financial)</w:t>
      </w:r>
    </w:p>
    <w:p>
      <w:pPr>
        <w:pStyle w:val="ListParagraph"/>
        <w:numPr>
          <w:ilvl w:val="1"/>
          <w:numId w:val="22"/>
        </w:numPr>
        <w:tabs>
          <w:tab w:pos="2381" w:val="left" w:leader="none"/>
          <w:tab w:pos="2382" w:val="left" w:leader="none"/>
        </w:tabs>
        <w:spacing w:line="242" w:lineRule="auto" w:before="138" w:after="0"/>
        <w:ind w:left="2381" w:right="1623" w:hanging="794"/>
        <w:jc w:val="left"/>
        <w:rPr>
          <w:sz w:val="21"/>
        </w:rPr>
      </w:pPr>
      <w:r>
        <w:rPr>
          <w:sz w:val="21"/>
        </w:rPr>
        <w:t>It would be </w:t>
      </w:r>
      <w:r>
        <w:rPr>
          <w:spacing w:val="-3"/>
          <w:sz w:val="21"/>
        </w:rPr>
        <w:t>desirable that </w:t>
      </w:r>
      <w:r>
        <w:rPr>
          <w:sz w:val="21"/>
        </w:rPr>
        <w:t>donors of </w:t>
      </w:r>
      <w:r>
        <w:rPr>
          <w:spacing w:val="-3"/>
          <w:sz w:val="21"/>
        </w:rPr>
        <w:t>enduring </w:t>
      </w:r>
      <w:r>
        <w:rPr>
          <w:sz w:val="21"/>
        </w:rPr>
        <w:t>powers of attorney (financial) be told at the time they </w:t>
      </w:r>
      <w:r>
        <w:rPr>
          <w:spacing w:val="-3"/>
          <w:sz w:val="21"/>
        </w:rPr>
        <w:t>create </w:t>
      </w:r>
      <w:r>
        <w:rPr>
          <w:sz w:val="21"/>
        </w:rPr>
        <w:t>and </w:t>
      </w:r>
      <w:r>
        <w:rPr>
          <w:spacing w:val="-3"/>
          <w:sz w:val="21"/>
        </w:rPr>
        <w:t>confer </w:t>
      </w:r>
      <w:r>
        <w:rPr>
          <w:sz w:val="21"/>
        </w:rPr>
        <w:t>an </w:t>
      </w:r>
      <w:r>
        <w:rPr>
          <w:spacing w:val="-3"/>
          <w:sz w:val="21"/>
        </w:rPr>
        <w:t>enduring  </w:t>
      </w:r>
      <w:r>
        <w:rPr>
          <w:sz w:val="21"/>
        </w:rPr>
        <w:t>power </w:t>
      </w:r>
      <w:r>
        <w:rPr>
          <w:spacing w:val="-3"/>
          <w:sz w:val="21"/>
        </w:rPr>
        <w:t>that</w:t>
      </w:r>
      <w:r>
        <w:rPr>
          <w:spacing w:val="41"/>
          <w:sz w:val="21"/>
        </w:rPr>
        <w:t> </w:t>
      </w:r>
      <w:r>
        <w:rPr>
          <w:spacing w:val="-3"/>
          <w:sz w:val="21"/>
        </w:rPr>
        <w:t>dispositions  pursuant  to  </w:t>
      </w:r>
      <w:r>
        <w:rPr>
          <w:sz w:val="21"/>
        </w:rPr>
        <w:t>the power </w:t>
      </w:r>
      <w:r>
        <w:rPr>
          <w:spacing w:val="-3"/>
          <w:sz w:val="21"/>
        </w:rPr>
        <w:t>may </w:t>
      </w:r>
      <w:r>
        <w:rPr>
          <w:sz w:val="21"/>
        </w:rPr>
        <w:t>impact on specific </w:t>
      </w:r>
      <w:r>
        <w:rPr>
          <w:spacing w:val="-3"/>
          <w:sz w:val="21"/>
        </w:rPr>
        <w:t>provisions </w:t>
      </w:r>
      <w:r>
        <w:rPr>
          <w:sz w:val="21"/>
        </w:rPr>
        <w:t>in their </w:t>
      </w:r>
      <w:r>
        <w:rPr>
          <w:spacing w:val="-3"/>
          <w:sz w:val="21"/>
        </w:rPr>
        <w:t>will, </w:t>
      </w:r>
      <w:r>
        <w:rPr>
          <w:sz w:val="21"/>
        </w:rPr>
        <w:t>and </w:t>
      </w:r>
      <w:r>
        <w:rPr>
          <w:spacing w:val="-3"/>
          <w:sz w:val="21"/>
        </w:rPr>
        <w:t>that,  </w:t>
      </w:r>
      <w:r>
        <w:rPr>
          <w:sz w:val="21"/>
        </w:rPr>
        <w:t>with this in </w:t>
      </w:r>
      <w:r>
        <w:rPr>
          <w:spacing w:val="-3"/>
          <w:sz w:val="21"/>
        </w:rPr>
        <w:t>mind,</w:t>
      </w:r>
      <w:r>
        <w:rPr>
          <w:spacing w:val="41"/>
          <w:sz w:val="21"/>
        </w:rPr>
        <w:t> </w:t>
      </w:r>
      <w:r>
        <w:rPr>
          <w:sz w:val="21"/>
        </w:rPr>
        <w:t>they should review the operation and effect of their </w:t>
      </w:r>
      <w:r>
        <w:rPr>
          <w:spacing w:val="-3"/>
          <w:sz w:val="21"/>
        </w:rPr>
        <w:t>will </w:t>
      </w:r>
      <w:r>
        <w:rPr>
          <w:sz w:val="21"/>
        </w:rPr>
        <w:t>with a view </w:t>
      </w:r>
      <w:r>
        <w:rPr>
          <w:spacing w:val="-3"/>
          <w:sz w:val="21"/>
        </w:rPr>
        <w:t>to overcoming </w:t>
      </w:r>
      <w:r>
        <w:rPr>
          <w:sz w:val="21"/>
        </w:rPr>
        <w:t>these difficulties. </w:t>
      </w:r>
      <w:r>
        <w:rPr>
          <w:spacing w:val="-3"/>
          <w:sz w:val="21"/>
        </w:rPr>
        <w:t>Such </w:t>
      </w:r>
      <w:r>
        <w:rPr>
          <w:sz w:val="21"/>
        </w:rPr>
        <w:t>a </w:t>
      </w:r>
      <w:r>
        <w:rPr>
          <w:spacing w:val="-3"/>
          <w:sz w:val="21"/>
        </w:rPr>
        <w:t>warning could usefully </w:t>
      </w:r>
      <w:r>
        <w:rPr>
          <w:sz w:val="21"/>
        </w:rPr>
        <w:t>be </w:t>
      </w:r>
      <w:r>
        <w:rPr>
          <w:spacing w:val="-3"/>
          <w:sz w:val="21"/>
        </w:rPr>
        <w:t>incorporated </w:t>
      </w:r>
      <w:r>
        <w:rPr>
          <w:sz w:val="21"/>
        </w:rPr>
        <w:t>in the </w:t>
      </w:r>
      <w:r>
        <w:rPr>
          <w:spacing w:val="-3"/>
          <w:sz w:val="21"/>
        </w:rPr>
        <w:t>form pursuant to  </w:t>
      </w:r>
      <w:r>
        <w:rPr>
          <w:sz w:val="21"/>
        </w:rPr>
        <w:t>which  </w:t>
      </w:r>
      <w:r>
        <w:rPr>
          <w:spacing w:val="-3"/>
          <w:sz w:val="21"/>
        </w:rPr>
        <w:t>enduring </w:t>
      </w:r>
      <w:r>
        <w:rPr>
          <w:sz w:val="21"/>
        </w:rPr>
        <w:t>powers of attorney (financial) </w:t>
      </w:r>
      <w:r>
        <w:rPr>
          <w:spacing w:val="-3"/>
          <w:sz w:val="21"/>
        </w:rPr>
        <w:t>are</w:t>
      </w:r>
      <w:r>
        <w:rPr>
          <w:spacing w:val="-2"/>
          <w:sz w:val="21"/>
        </w:rPr>
        <w:t> </w:t>
      </w:r>
      <w:r>
        <w:rPr>
          <w:spacing w:val="-3"/>
          <w:sz w:val="21"/>
        </w:rPr>
        <w:t>conferred.</w:t>
      </w:r>
    </w:p>
    <w:p>
      <w:pPr>
        <w:pStyle w:val="BodyText"/>
        <w:spacing w:before="1"/>
        <w:rPr>
          <w:sz w:val="22"/>
        </w:rPr>
      </w:pPr>
    </w:p>
    <w:p>
      <w:pPr>
        <w:pStyle w:val="Heading4"/>
      </w:pPr>
      <w:r>
        <w:rPr>
          <w:color w:val="EC5A4F"/>
          <w:w w:val="115"/>
        </w:rPr>
        <w:t>Access to a person’s will to prevent ademption</w:t>
      </w:r>
    </w:p>
    <w:p>
      <w:pPr>
        <w:pStyle w:val="ListParagraph"/>
        <w:numPr>
          <w:ilvl w:val="1"/>
          <w:numId w:val="22"/>
        </w:numPr>
        <w:tabs>
          <w:tab w:pos="2381" w:val="left" w:leader="none"/>
          <w:tab w:pos="2382" w:val="left" w:leader="none"/>
        </w:tabs>
        <w:spacing w:line="242" w:lineRule="auto" w:before="155" w:after="0"/>
        <w:ind w:left="2381" w:right="1694" w:hanging="794"/>
        <w:jc w:val="left"/>
        <w:rPr>
          <w:sz w:val="21"/>
        </w:rPr>
      </w:pPr>
      <w:r>
        <w:rPr>
          <w:w w:val="105"/>
          <w:sz w:val="21"/>
        </w:rPr>
        <w:t>The</w:t>
      </w:r>
      <w:r>
        <w:rPr>
          <w:spacing w:val="-6"/>
          <w:w w:val="105"/>
          <w:sz w:val="21"/>
        </w:rPr>
        <w:t> </w:t>
      </w:r>
      <w:r>
        <w:rPr>
          <w:spacing w:val="-3"/>
          <w:w w:val="105"/>
          <w:sz w:val="21"/>
        </w:rPr>
        <w:t>Commission</w:t>
      </w:r>
      <w:r>
        <w:rPr>
          <w:spacing w:val="-5"/>
          <w:w w:val="105"/>
          <w:sz w:val="21"/>
        </w:rPr>
        <w:t> </w:t>
      </w:r>
      <w:r>
        <w:rPr>
          <w:spacing w:val="-2"/>
          <w:w w:val="105"/>
          <w:sz w:val="21"/>
        </w:rPr>
        <w:t>has</w:t>
      </w:r>
      <w:r>
        <w:rPr>
          <w:spacing w:val="-6"/>
          <w:w w:val="105"/>
          <w:sz w:val="21"/>
        </w:rPr>
        <w:t> </w:t>
      </w:r>
      <w:r>
        <w:rPr>
          <w:w w:val="105"/>
          <w:sz w:val="21"/>
        </w:rPr>
        <w:t>recommended</w:t>
      </w:r>
      <w:r>
        <w:rPr>
          <w:spacing w:val="-5"/>
          <w:w w:val="105"/>
          <w:sz w:val="21"/>
        </w:rPr>
        <w:t> </w:t>
      </w:r>
      <w:r>
        <w:rPr>
          <w:spacing w:val="-3"/>
          <w:w w:val="105"/>
          <w:sz w:val="21"/>
        </w:rPr>
        <w:t>that</w:t>
      </w:r>
      <w:r>
        <w:rPr>
          <w:spacing w:val="-6"/>
          <w:w w:val="105"/>
          <w:sz w:val="21"/>
        </w:rPr>
        <w:t> </w:t>
      </w:r>
      <w:r>
        <w:rPr>
          <w:w w:val="105"/>
          <w:sz w:val="21"/>
        </w:rPr>
        <w:t>a</w:t>
      </w:r>
      <w:r>
        <w:rPr>
          <w:spacing w:val="-5"/>
          <w:w w:val="105"/>
          <w:sz w:val="21"/>
        </w:rPr>
        <w:t> </w:t>
      </w:r>
      <w:r>
        <w:rPr>
          <w:spacing w:val="-3"/>
          <w:w w:val="105"/>
          <w:sz w:val="21"/>
        </w:rPr>
        <w:t>substitute</w:t>
      </w:r>
      <w:r>
        <w:rPr>
          <w:spacing w:val="-5"/>
          <w:w w:val="105"/>
          <w:sz w:val="21"/>
        </w:rPr>
        <w:t> </w:t>
      </w:r>
      <w:r>
        <w:rPr>
          <w:w w:val="105"/>
          <w:sz w:val="21"/>
        </w:rPr>
        <w:t>decision</w:t>
      </w:r>
      <w:r>
        <w:rPr>
          <w:spacing w:val="-6"/>
          <w:w w:val="105"/>
          <w:sz w:val="21"/>
        </w:rPr>
        <w:t> </w:t>
      </w:r>
      <w:r>
        <w:rPr>
          <w:spacing w:val="-4"/>
          <w:w w:val="105"/>
          <w:sz w:val="21"/>
        </w:rPr>
        <w:t>maker</w:t>
      </w:r>
      <w:r>
        <w:rPr>
          <w:spacing w:val="-5"/>
          <w:w w:val="105"/>
          <w:sz w:val="21"/>
        </w:rPr>
        <w:t> </w:t>
      </w:r>
      <w:r>
        <w:rPr>
          <w:w w:val="105"/>
          <w:sz w:val="21"/>
        </w:rPr>
        <w:t>should</w:t>
      </w:r>
      <w:r>
        <w:rPr>
          <w:spacing w:val="-6"/>
          <w:w w:val="105"/>
          <w:sz w:val="21"/>
        </w:rPr>
        <w:t> </w:t>
      </w:r>
      <w:r>
        <w:rPr>
          <w:spacing w:val="-2"/>
          <w:w w:val="105"/>
          <w:sz w:val="21"/>
        </w:rPr>
        <w:t>not</w:t>
      </w:r>
      <w:r>
        <w:rPr>
          <w:spacing w:val="-5"/>
          <w:w w:val="105"/>
          <w:sz w:val="21"/>
        </w:rPr>
        <w:t> </w:t>
      </w:r>
      <w:r>
        <w:rPr>
          <w:spacing w:val="-3"/>
          <w:w w:val="105"/>
          <w:sz w:val="21"/>
        </w:rPr>
        <w:t>have</w:t>
      </w:r>
      <w:r>
        <w:rPr>
          <w:spacing w:val="-5"/>
          <w:w w:val="105"/>
          <w:sz w:val="21"/>
        </w:rPr>
        <w:t> </w:t>
      </w:r>
      <w:r>
        <w:rPr>
          <w:spacing w:val="-3"/>
          <w:w w:val="105"/>
          <w:sz w:val="21"/>
        </w:rPr>
        <w:t>any </w:t>
      </w:r>
      <w:r>
        <w:rPr>
          <w:w w:val="105"/>
          <w:sz w:val="21"/>
        </w:rPr>
        <w:t>special </w:t>
      </w:r>
      <w:r>
        <w:rPr>
          <w:spacing w:val="-3"/>
          <w:w w:val="105"/>
          <w:sz w:val="21"/>
        </w:rPr>
        <w:t>account-keeping obligations </w:t>
      </w:r>
      <w:r>
        <w:rPr>
          <w:w w:val="105"/>
          <w:sz w:val="21"/>
        </w:rPr>
        <w:t>where the subject of a gift in a </w:t>
      </w:r>
      <w:r>
        <w:rPr>
          <w:spacing w:val="-3"/>
          <w:w w:val="105"/>
          <w:sz w:val="21"/>
        </w:rPr>
        <w:t>will </w:t>
      </w:r>
      <w:r>
        <w:rPr>
          <w:spacing w:val="-2"/>
          <w:w w:val="105"/>
          <w:sz w:val="21"/>
        </w:rPr>
        <w:t>has </w:t>
      </w:r>
      <w:r>
        <w:rPr>
          <w:w w:val="105"/>
          <w:sz w:val="21"/>
        </w:rPr>
        <w:t>been</w:t>
      </w:r>
      <w:r>
        <w:rPr>
          <w:spacing w:val="12"/>
          <w:w w:val="105"/>
          <w:sz w:val="21"/>
        </w:rPr>
        <w:t> </w:t>
      </w:r>
      <w:r>
        <w:rPr>
          <w:w w:val="105"/>
          <w:sz w:val="21"/>
        </w:rPr>
        <w:t>sold.</w:t>
      </w:r>
    </w:p>
    <w:p>
      <w:pPr>
        <w:pStyle w:val="BodyText"/>
        <w:spacing w:line="242" w:lineRule="auto" w:before="2"/>
        <w:ind w:left="2381" w:right="2130"/>
      </w:pPr>
      <w:r>
        <w:rPr>
          <w:w w:val="105"/>
        </w:rPr>
        <w:t>A </w:t>
      </w:r>
      <w:r>
        <w:rPr>
          <w:spacing w:val="-3"/>
          <w:w w:val="105"/>
        </w:rPr>
        <w:t>substitute </w:t>
      </w:r>
      <w:r>
        <w:rPr>
          <w:w w:val="105"/>
        </w:rPr>
        <w:t>decision </w:t>
      </w:r>
      <w:r>
        <w:rPr>
          <w:spacing w:val="-4"/>
          <w:w w:val="105"/>
        </w:rPr>
        <w:t>maker </w:t>
      </w:r>
      <w:r>
        <w:rPr>
          <w:w w:val="105"/>
        </w:rPr>
        <w:t>would </w:t>
      </w:r>
      <w:r>
        <w:rPr>
          <w:spacing w:val="-3"/>
          <w:w w:val="105"/>
        </w:rPr>
        <w:t>thus </w:t>
      </w:r>
      <w:r>
        <w:rPr>
          <w:spacing w:val="-2"/>
          <w:w w:val="105"/>
        </w:rPr>
        <w:t>not </w:t>
      </w:r>
      <w:r>
        <w:rPr>
          <w:spacing w:val="-3"/>
          <w:w w:val="105"/>
        </w:rPr>
        <w:t>require </w:t>
      </w:r>
      <w:r>
        <w:rPr>
          <w:spacing w:val="-2"/>
          <w:w w:val="105"/>
        </w:rPr>
        <w:t>access </w:t>
      </w:r>
      <w:r>
        <w:rPr>
          <w:spacing w:val="-3"/>
          <w:w w:val="105"/>
        </w:rPr>
        <w:t>to </w:t>
      </w:r>
      <w:r>
        <w:rPr>
          <w:w w:val="105"/>
        </w:rPr>
        <w:t>a </w:t>
      </w:r>
      <w:r>
        <w:rPr>
          <w:spacing w:val="-3"/>
          <w:w w:val="105"/>
        </w:rPr>
        <w:t>person’s will </w:t>
      </w:r>
      <w:r>
        <w:rPr>
          <w:w w:val="105"/>
        </w:rPr>
        <w:t>in order </w:t>
      </w:r>
      <w:r>
        <w:rPr>
          <w:spacing w:val="-3"/>
          <w:w w:val="105"/>
        </w:rPr>
        <w:t>to </w:t>
      </w:r>
      <w:r>
        <w:rPr>
          <w:w w:val="105"/>
        </w:rPr>
        <w:t>comply with </w:t>
      </w:r>
      <w:r>
        <w:rPr>
          <w:spacing w:val="-3"/>
          <w:w w:val="105"/>
        </w:rPr>
        <w:t>account-keeping obligations. </w:t>
      </w:r>
      <w:r>
        <w:rPr>
          <w:spacing w:val="-4"/>
          <w:w w:val="105"/>
        </w:rPr>
        <w:t>However, </w:t>
      </w:r>
      <w:r>
        <w:rPr>
          <w:spacing w:val="-2"/>
          <w:w w:val="105"/>
        </w:rPr>
        <w:t>access </w:t>
      </w:r>
      <w:r>
        <w:rPr>
          <w:spacing w:val="-3"/>
          <w:w w:val="105"/>
        </w:rPr>
        <w:t>to </w:t>
      </w:r>
      <w:r>
        <w:rPr>
          <w:w w:val="105"/>
        </w:rPr>
        <w:t>a </w:t>
      </w:r>
      <w:r>
        <w:rPr>
          <w:spacing w:val="-3"/>
          <w:w w:val="105"/>
        </w:rPr>
        <w:t>person’s will </w:t>
      </w:r>
      <w:r>
        <w:rPr>
          <w:w w:val="105"/>
        </w:rPr>
        <w:t>by a</w:t>
      </w:r>
    </w:p>
    <w:p>
      <w:pPr>
        <w:pStyle w:val="BodyText"/>
        <w:spacing w:line="242" w:lineRule="auto" w:before="2"/>
        <w:ind w:left="2381" w:right="1697"/>
        <w:jc w:val="both"/>
      </w:pPr>
      <w:r>
        <w:rPr>
          <w:spacing w:val="-3"/>
        </w:rPr>
        <w:t>substitute </w:t>
      </w:r>
      <w:r>
        <w:rPr/>
        <w:t>decision </w:t>
      </w:r>
      <w:r>
        <w:rPr>
          <w:spacing w:val="-4"/>
        </w:rPr>
        <w:t>maker </w:t>
      </w:r>
      <w:r>
        <w:rPr>
          <w:spacing w:val="-3"/>
        </w:rPr>
        <w:t>may </w:t>
      </w:r>
      <w:r>
        <w:rPr/>
        <w:t>still be </w:t>
      </w:r>
      <w:r>
        <w:rPr>
          <w:spacing w:val="-3"/>
        </w:rPr>
        <w:t>useful </w:t>
      </w:r>
      <w:r>
        <w:rPr/>
        <w:t>in cases where the decision </w:t>
      </w:r>
      <w:r>
        <w:rPr>
          <w:spacing w:val="-4"/>
        </w:rPr>
        <w:t>maker </w:t>
      </w:r>
      <w:r>
        <w:rPr>
          <w:spacing w:val="-2"/>
        </w:rPr>
        <w:t>has </w:t>
      </w:r>
      <w:r>
        <w:rPr/>
        <w:t>some </w:t>
      </w:r>
      <w:r>
        <w:rPr>
          <w:spacing w:val="-2"/>
        </w:rPr>
        <w:t>choice </w:t>
      </w:r>
      <w:r>
        <w:rPr/>
        <w:t>over which assets </w:t>
      </w:r>
      <w:r>
        <w:rPr>
          <w:spacing w:val="-3"/>
        </w:rPr>
        <w:t>to </w:t>
      </w:r>
      <w:r>
        <w:rPr/>
        <w:t>sell or how </w:t>
      </w:r>
      <w:r>
        <w:rPr>
          <w:spacing w:val="-3"/>
        </w:rPr>
        <w:t>to  </w:t>
      </w:r>
      <w:r>
        <w:rPr/>
        <w:t>deal with the </w:t>
      </w:r>
      <w:r>
        <w:rPr>
          <w:spacing w:val="-3"/>
        </w:rPr>
        <w:t>person’s</w:t>
      </w:r>
      <w:r>
        <w:rPr>
          <w:spacing w:val="41"/>
        </w:rPr>
        <w:t> </w:t>
      </w:r>
      <w:r>
        <w:rPr/>
        <w:t>personal effects. </w:t>
      </w:r>
      <w:r>
        <w:rPr>
          <w:spacing w:val="-3"/>
        </w:rPr>
        <w:t>Access  to</w:t>
      </w:r>
      <w:r>
        <w:rPr>
          <w:spacing w:val="15"/>
        </w:rPr>
        <w:t> </w:t>
      </w:r>
      <w:r>
        <w:rPr/>
        <w:t>the</w:t>
      </w:r>
      <w:r>
        <w:rPr>
          <w:spacing w:val="16"/>
        </w:rPr>
        <w:t> </w:t>
      </w:r>
      <w:r>
        <w:rPr>
          <w:spacing w:val="-3"/>
        </w:rPr>
        <w:t>person’s</w:t>
      </w:r>
      <w:r>
        <w:rPr>
          <w:spacing w:val="15"/>
        </w:rPr>
        <w:t> </w:t>
      </w:r>
      <w:r>
        <w:rPr>
          <w:spacing w:val="-3"/>
        </w:rPr>
        <w:t>will</w:t>
      </w:r>
      <w:r>
        <w:rPr>
          <w:spacing w:val="16"/>
        </w:rPr>
        <w:t> </w:t>
      </w:r>
      <w:r>
        <w:rPr>
          <w:spacing w:val="-3"/>
        </w:rPr>
        <w:t>may</w:t>
      </w:r>
      <w:r>
        <w:rPr>
          <w:spacing w:val="15"/>
        </w:rPr>
        <w:t> </w:t>
      </w:r>
      <w:r>
        <w:rPr>
          <w:spacing w:val="-3"/>
        </w:rPr>
        <w:t>therefore</w:t>
      </w:r>
      <w:r>
        <w:rPr>
          <w:spacing w:val="16"/>
        </w:rPr>
        <w:t> </w:t>
      </w:r>
      <w:r>
        <w:rPr/>
        <w:t>assist</w:t>
      </w:r>
      <w:r>
        <w:rPr>
          <w:spacing w:val="16"/>
        </w:rPr>
        <w:t> </w:t>
      </w:r>
      <w:r>
        <w:rPr/>
        <w:t>in</w:t>
      </w:r>
      <w:r>
        <w:rPr>
          <w:spacing w:val="15"/>
        </w:rPr>
        <w:t> </w:t>
      </w:r>
      <w:r>
        <w:rPr>
          <w:spacing w:val="-3"/>
        </w:rPr>
        <w:t>preventing</w:t>
      </w:r>
      <w:r>
        <w:rPr>
          <w:spacing w:val="16"/>
        </w:rPr>
        <w:t> </w:t>
      </w:r>
      <w:r>
        <w:rPr/>
        <w:t>ademption</w:t>
      </w:r>
      <w:r>
        <w:rPr>
          <w:spacing w:val="15"/>
        </w:rPr>
        <w:t> </w:t>
      </w:r>
      <w:r>
        <w:rPr>
          <w:spacing w:val="-3"/>
        </w:rPr>
        <w:t>from</w:t>
      </w:r>
      <w:r>
        <w:rPr>
          <w:spacing w:val="16"/>
        </w:rPr>
        <w:t> </w:t>
      </w:r>
      <w:r>
        <w:rPr>
          <w:spacing w:val="-3"/>
        </w:rPr>
        <w:t>occurring.</w:t>
      </w:r>
    </w:p>
    <w:p>
      <w:pPr>
        <w:pStyle w:val="BodyText"/>
        <w:rPr>
          <w:sz w:val="20"/>
        </w:rPr>
      </w:pPr>
    </w:p>
    <w:p>
      <w:pPr>
        <w:spacing w:before="248"/>
        <w:ind w:left="0" w:right="674" w:firstLine="0"/>
        <w:jc w:val="right"/>
        <w:rPr>
          <w:b/>
          <w:sz w:val="24"/>
        </w:rPr>
      </w:pPr>
      <w:r>
        <w:rPr>
          <w:b/>
          <w:color w:val="EC5A4F"/>
          <w:w w:val="105"/>
          <w:sz w:val="24"/>
        </w:rPr>
        <w:t>51</w:t>
      </w:r>
    </w:p>
    <w:p>
      <w:pPr>
        <w:spacing w:after="0"/>
        <w:jc w:val="right"/>
        <w:rPr>
          <w:sz w:val="24"/>
        </w:rPr>
        <w:sectPr>
          <w:pgSz w:w="11910" w:h="16840"/>
          <w:pgMar w:header="805" w:footer="0" w:top="1360" w:bottom="280" w:left="0" w:right="0"/>
        </w:sectPr>
      </w:pPr>
    </w:p>
    <w:p>
      <w:pPr>
        <w:pStyle w:val="BodyText"/>
        <w:spacing w:before="11"/>
        <w:rPr>
          <w:b/>
        </w:rPr>
      </w:pPr>
    </w:p>
    <w:p>
      <w:pPr>
        <w:spacing w:before="99"/>
        <w:ind w:left="1587" w:right="0" w:firstLine="0"/>
        <w:jc w:val="left"/>
        <w:rPr>
          <w:b/>
          <w:sz w:val="24"/>
        </w:rPr>
      </w:pPr>
      <w:r>
        <w:rPr>
          <w:b/>
          <w:w w:val="115"/>
          <w:sz w:val="24"/>
        </w:rPr>
        <w:t>Current law</w:t>
      </w:r>
    </w:p>
    <w:p>
      <w:pPr>
        <w:pStyle w:val="ListParagraph"/>
        <w:numPr>
          <w:ilvl w:val="1"/>
          <w:numId w:val="22"/>
        </w:numPr>
        <w:tabs>
          <w:tab w:pos="2381" w:val="left" w:leader="none"/>
          <w:tab w:pos="2382" w:val="left" w:leader="none"/>
        </w:tabs>
        <w:spacing w:line="242" w:lineRule="auto" w:before="137" w:after="0"/>
        <w:ind w:left="2381" w:right="1630" w:hanging="794"/>
        <w:jc w:val="left"/>
        <w:rPr>
          <w:sz w:val="21"/>
        </w:rPr>
      </w:pPr>
      <w:r>
        <w:rPr>
          <w:sz w:val="21"/>
        </w:rPr>
        <w:t>An attorney does </w:t>
      </w:r>
      <w:r>
        <w:rPr>
          <w:spacing w:val="-2"/>
          <w:sz w:val="21"/>
        </w:rPr>
        <w:t>not </w:t>
      </w:r>
      <w:r>
        <w:rPr>
          <w:spacing w:val="-3"/>
          <w:sz w:val="21"/>
        </w:rPr>
        <w:t>have </w:t>
      </w:r>
      <w:r>
        <w:rPr>
          <w:sz w:val="21"/>
        </w:rPr>
        <w:t>the </w:t>
      </w:r>
      <w:r>
        <w:rPr>
          <w:spacing w:val="-3"/>
          <w:sz w:val="21"/>
        </w:rPr>
        <w:t>right to </w:t>
      </w:r>
      <w:r>
        <w:rPr>
          <w:spacing w:val="-2"/>
          <w:sz w:val="21"/>
        </w:rPr>
        <w:t>access </w:t>
      </w:r>
      <w:r>
        <w:rPr>
          <w:sz w:val="21"/>
        </w:rPr>
        <w:t>a </w:t>
      </w:r>
      <w:r>
        <w:rPr>
          <w:spacing w:val="-3"/>
          <w:sz w:val="21"/>
        </w:rPr>
        <w:t>person’s will. </w:t>
      </w:r>
      <w:r>
        <w:rPr>
          <w:sz w:val="21"/>
        </w:rPr>
        <w:t>In </w:t>
      </w:r>
      <w:r>
        <w:rPr>
          <w:spacing w:val="-3"/>
          <w:sz w:val="21"/>
        </w:rPr>
        <w:t>contrast, </w:t>
      </w:r>
      <w:r>
        <w:rPr>
          <w:sz w:val="21"/>
        </w:rPr>
        <w:t>an </w:t>
      </w:r>
      <w:r>
        <w:rPr>
          <w:spacing w:val="-3"/>
          <w:sz w:val="21"/>
        </w:rPr>
        <w:t>administrator appointed </w:t>
      </w:r>
      <w:r>
        <w:rPr>
          <w:sz w:val="21"/>
        </w:rPr>
        <w:t>by </w:t>
      </w:r>
      <w:r>
        <w:rPr>
          <w:spacing w:val="-5"/>
          <w:sz w:val="21"/>
        </w:rPr>
        <w:t>VCAT </w:t>
      </w:r>
      <w:r>
        <w:rPr>
          <w:spacing w:val="-3"/>
          <w:sz w:val="21"/>
        </w:rPr>
        <w:t>may </w:t>
      </w:r>
      <w:r>
        <w:rPr>
          <w:sz w:val="21"/>
        </w:rPr>
        <w:t>open and </w:t>
      </w:r>
      <w:r>
        <w:rPr>
          <w:spacing w:val="-3"/>
          <w:sz w:val="21"/>
        </w:rPr>
        <w:t>read </w:t>
      </w:r>
      <w:r>
        <w:rPr>
          <w:sz w:val="21"/>
        </w:rPr>
        <w:t>a </w:t>
      </w:r>
      <w:r>
        <w:rPr>
          <w:spacing w:val="-3"/>
          <w:sz w:val="21"/>
        </w:rPr>
        <w:t>will that </w:t>
      </w:r>
      <w:r>
        <w:rPr>
          <w:sz w:val="21"/>
        </w:rPr>
        <w:t>they </w:t>
      </w:r>
      <w:r>
        <w:rPr>
          <w:spacing w:val="-3"/>
          <w:sz w:val="21"/>
        </w:rPr>
        <w:t>are </w:t>
      </w:r>
      <w:r>
        <w:rPr>
          <w:sz w:val="21"/>
        </w:rPr>
        <w:t>in possession </w:t>
      </w:r>
      <w:r>
        <w:rPr>
          <w:spacing w:val="-4"/>
          <w:sz w:val="21"/>
        </w:rPr>
        <w:t>of.</w:t>
      </w:r>
      <w:r>
        <w:rPr>
          <w:spacing w:val="-4"/>
          <w:position w:val="7"/>
          <w:sz w:val="12"/>
        </w:rPr>
        <w:t>82</w:t>
      </w:r>
      <w:r>
        <w:rPr>
          <w:spacing w:val="1"/>
          <w:position w:val="7"/>
          <w:sz w:val="12"/>
        </w:rPr>
        <w:t> </w:t>
      </w:r>
      <w:r>
        <w:rPr>
          <w:spacing w:val="-9"/>
          <w:sz w:val="21"/>
        </w:rPr>
        <w:t>VCAT</w:t>
      </w:r>
    </w:p>
    <w:p>
      <w:pPr>
        <w:pStyle w:val="BodyText"/>
        <w:spacing w:line="242" w:lineRule="auto" w:before="2"/>
        <w:ind w:left="2380" w:right="1826"/>
        <w:rPr>
          <w:sz w:val="12"/>
        </w:rPr>
      </w:pPr>
      <w:r>
        <w:rPr>
          <w:spacing w:val="-3"/>
          <w:w w:val="105"/>
        </w:rPr>
        <w:t>may </w:t>
      </w:r>
      <w:r>
        <w:rPr>
          <w:w w:val="105"/>
        </w:rPr>
        <w:t>open and </w:t>
      </w:r>
      <w:r>
        <w:rPr>
          <w:spacing w:val="-3"/>
          <w:w w:val="105"/>
        </w:rPr>
        <w:t>read </w:t>
      </w:r>
      <w:r>
        <w:rPr>
          <w:w w:val="105"/>
        </w:rPr>
        <w:t>the </w:t>
      </w:r>
      <w:r>
        <w:rPr>
          <w:spacing w:val="-3"/>
          <w:w w:val="105"/>
        </w:rPr>
        <w:t>will </w:t>
      </w:r>
      <w:r>
        <w:rPr>
          <w:w w:val="105"/>
        </w:rPr>
        <w:t>of </w:t>
      </w:r>
      <w:r>
        <w:rPr>
          <w:spacing w:val="-3"/>
          <w:w w:val="105"/>
        </w:rPr>
        <w:t>any represented </w:t>
      </w:r>
      <w:r>
        <w:rPr>
          <w:w w:val="105"/>
        </w:rPr>
        <w:t>person.</w:t>
      </w:r>
      <w:r>
        <w:rPr>
          <w:w w:val="105"/>
          <w:position w:val="7"/>
          <w:sz w:val="12"/>
        </w:rPr>
        <w:t>83 </w:t>
      </w:r>
      <w:r>
        <w:rPr>
          <w:w w:val="105"/>
        </w:rPr>
        <w:t>The </w:t>
      </w:r>
      <w:r>
        <w:rPr>
          <w:spacing w:val="-3"/>
          <w:w w:val="105"/>
        </w:rPr>
        <w:t>Commission </w:t>
      </w:r>
      <w:r>
        <w:rPr>
          <w:spacing w:val="-2"/>
          <w:w w:val="105"/>
        </w:rPr>
        <w:t>has </w:t>
      </w:r>
      <w:r>
        <w:rPr>
          <w:spacing w:val="-3"/>
          <w:w w:val="105"/>
        </w:rPr>
        <w:t>recently </w:t>
      </w:r>
      <w:r>
        <w:rPr>
          <w:w w:val="105"/>
        </w:rPr>
        <w:t>recommended </w:t>
      </w:r>
      <w:r>
        <w:rPr>
          <w:spacing w:val="-3"/>
          <w:w w:val="105"/>
        </w:rPr>
        <w:t>that </w:t>
      </w:r>
      <w:r>
        <w:rPr>
          <w:w w:val="105"/>
        </w:rPr>
        <w:t>this </w:t>
      </w:r>
      <w:r>
        <w:rPr>
          <w:spacing w:val="-3"/>
          <w:w w:val="105"/>
        </w:rPr>
        <w:t>provision </w:t>
      </w:r>
      <w:r>
        <w:rPr>
          <w:w w:val="105"/>
        </w:rPr>
        <w:t>be extended </w:t>
      </w:r>
      <w:r>
        <w:rPr>
          <w:spacing w:val="-3"/>
          <w:w w:val="105"/>
        </w:rPr>
        <w:t>to include </w:t>
      </w:r>
      <w:r>
        <w:rPr>
          <w:w w:val="105"/>
        </w:rPr>
        <w:t>the </w:t>
      </w:r>
      <w:r>
        <w:rPr>
          <w:spacing w:val="-3"/>
          <w:w w:val="105"/>
        </w:rPr>
        <w:t>right to </w:t>
      </w:r>
      <w:r>
        <w:rPr>
          <w:w w:val="105"/>
        </w:rPr>
        <w:t>apply </w:t>
      </w:r>
      <w:r>
        <w:rPr>
          <w:spacing w:val="-3"/>
          <w:w w:val="105"/>
        </w:rPr>
        <w:t>to </w:t>
      </w:r>
      <w:r>
        <w:rPr>
          <w:spacing w:val="-5"/>
          <w:w w:val="105"/>
        </w:rPr>
        <w:t>VCAT </w:t>
      </w:r>
      <w:r>
        <w:rPr>
          <w:spacing w:val="-3"/>
          <w:w w:val="105"/>
        </w:rPr>
        <w:t>for </w:t>
      </w:r>
      <w:r>
        <w:rPr>
          <w:spacing w:val="-2"/>
          <w:w w:val="105"/>
        </w:rPr>
        <w:t>access </w:t>
      </w:r>
      <w:r>
        <w:rPr>
          <w:spacing w:val="-3"/>
          <w:w w:val="105"/>
        </w:rPr>
        <w:t>to </w:t>
      </w:r>
      <w:r>
        <w:rPr>
          <w:w w:val="105"/>
        </w:rPr>
        <w:t>a </w:t>
      </w:r>
      <w:r>
        <w:rPr>
          <w:spacing w:val="-3"/>
          <w:w w:val="105"/>
        </w:rPr>
        <w:t>will that </w:t>
      </w:r>
      <w:r>
        <w:rPr>
          <w:w w:val="105"/>
        </w:rPr>
        <w:t>is </w:t>
      </w:r>
      <w:r>
        <w:rPr>
          <w:spacing w:val="-2"/>
          <w:w w:val="105"/>
        </w:rPr>
        <w:t>not </w:t>
      </w:r>
      <w:r>
        <w:rPr>
          <w:w w:val="105"/>
        </w:rPr>
        <w:t>in the </w:t>
      </w:r>
      <w:r>
        <w:rPr>
          <w:spacing w:val="-3"/>
          <w:w w:val="105"/>
        </w:rPr>
        <w:t>administrator’s </w:t>
      </w:r>
      <w:r>
        <w:rPr>
          <w:w w:val="105"/>
        </w:rPr>
        <w:t>possession.</w:t>
      </w:r>
      <w:r>
        <w:rPr>
          <w:w w:val="105"/>
          <w:position w:val="7"/>
          <w:sz w:val="12"/>
        </w:rPr>
        <w:t>84 </w:t>
      </w:r>
      <w:r>
        <w:rPr>
          <w:spacing w:val="-5"/>
          <w:w w:val="105"/>
        </w:rPr>
        <w:t>VCAT </w:t>
      </w:r>
      <w:r>
        <w:rPr>
          <w:w w:val="105"/>
        </w:rPr>
        <w:t>would then be able </w:t>
      </w:r>
      <w:r>
        <w:rPr>
          <w:spacing w:val="-3"/>
          <w:w w:val="105"/>
        </w:rPr>
        <w:t>to grant </w:t>
      </w:r>
      <w:r>
        <w:rPr>
          <w:spacing w:val="-2"/>
          <w:w w:val="105"/>
        </w:rPr>
        <w:t>access </w:t>
      </w:r>
      <w:r>
        <w:rPr>
          <w:w w:val="105"/>
        </w:rPr>
        <w:t>where it is </w:t>
      </w:r>
      <w:r>
        <w:rPr>
          <w:spacing w:val="-3"/>
          <w:w w:val="105"/>
        </w:rPr>
        <w:t>reasonable </w:t>
      </w:r>
      <w:r>
        <w:rPr>
          <w:w w:val="105"/>
        </w:rPr>
        <w:t>in the </w:t>
      </w:r>
      <w:r>
        <w:rPr>
          <w:spacing w:val="-3"/>
          <w:w w:val="105"/>
        </w:rPr>
        <w:t>circumstances.</w:t>
      </w:r>
      <w:r>
        <w:rPr>
          <w:spacing w:val="-3"/>
          <w:w w:val="105"/>
          <w:position w:val="7"/>
          <w:sz w:val="12"/>
        </w:rPr>
        <w:t>85</w:t>
      </w:r>
    </w:p>
    <w:p>
      <w:pPr>
        <w:pStyle w:val="ListParagraph"/>
        <w:numPr>
          <w:ilvl w:val="1"/>
          <w:numId w:val="22"/>
        </w:numPr>
        <w:tabs>
          <w:tab w:pos="2381" w:val="left" w:leader="none"/>
          <w:tab w:pos="2382" w:val="left" w:leader="none"/>
        </w:tabs>
        <w:spacing w:line="242" w:lineRule="auto" w:before="125" w:after="0"/>
        <w:ind w:left="2381" w:right="2084" w:hanging="794"/>
        <w:jc w:val="left"/>
        <w:rPr>
          <w:sz w:val="12"/>
        </w:rPr>
      </w:pPr>
      <w:r>
        <w:rPr>
          <w:sz w:val="21"/>
        </w:rPr>
        <w:t>In its </w:t>
      </w:r>
      <w:r>
        <w:rPr>
          <w:spacing w:val="-3"/>
          <w:sz w:val="21"/>
        </w:rPr>
        <w:t>recent </w:t>
      </w:r>
      <w:r>
        <w:rPr>
          <w:sz w:val="21"/>
        </w:rPr>
        <w:t>inquiry </w:t>
      </w:r>
      <w:r>
        <w:rPr>
          <w:spacing w:val="-4"/>
          <w:sz w:val="21"/>
        </w:rPr>
        <w:t>into </w:t>
      </w:r>
      <w:r>
        <w:rPr>
          <w:sz w:val="21"/>
        </w:rPr>
        <w:t>powers of </w:t>
      </w:r>
      <w:r>
        <w:rPr>
          <w:spacing w:val="-4"/>
          <w:sz w:val="21"/>
        </w:rPr>
        <w:t>attorney, </w:t>
      </w:r>
      <w:r>
        <w:rPr>
          <w:sz w:val="21"/>
        </w:rPr>
        <w:t>the Victorian </w:t>
      </w:r>
      <w:r>
        <w:rPr>
          <w:spacing w:val="-3"/>
          <w:sz w:val="21"/>
        </w:rPr>
        <w:t>Parliament </w:t>
      </w:r>
      <w:r>
        <w:rPr>
          <w:sz w:val="21"/>
        </w:rPr>
        <w:t>Law </w:t>
      </w:r>
      <w:r>
        <w:rPr>
          <w:spacing w:val="-3"/>
          <w:sz w:val="21"/>
        </w:rPr>
        <w:t>Reform Committee </w:t>
      </w:r>
      <w:r>
        <w:rPr>
          <w:sz w:val="21"/>
        </w:rPr>
        <w:t>reported mixed views on whether an attorney should be able </w:t>
      </w:r>
      <w:r>
        <w:rPr>
          <w:spacing w:val="-3"/>
          <w:sz w:val="21"/>
        </w:rPr>
        <w:t>to </w:t>
      </w:r>
      <w:r>
        <w:rPr>
          <w:spacing w:val="-2"/>
          <w:sz w:val="21"/>
        </w:rPr>
        <w:t>access </w:t>
      </w:r>
      <w:r>
        <w:rPr>
          <w:sz w:val="21"/>
        </w:rPr>
        <w:t>a </w:t>
      </w:r>
      <w:r>
        <w:rPr>
          <w:spacing w:val="-3"/>
          <w:sz w:val="21"/>
        </w:rPr>
        <w:t>person’s will. </w:t>
      </w:r>
      <w:r>
        <w:rPr>
          <w:sz w:val="21"/>
        </w:rPr>
        <w:t>It recommended further </w:t>
      </w:r>
      <w:r>
        <w:rPr>
          <w:spacing w:val="-3"/>
          <w:sz w:val="21"/>
        </w:rPr>
        <w:t>consultation</w:t>
      </w:r>
      <w:r>
        <w:rPr>
          <w:spacing w:val="5"/>
          <w:sz w:val="21"/>
        </w:rPr>
        <w:t> </w:t>
      </w:r>
      <w:r>
        <w:rPr>
          <w:sz w:val="21"/>
        </w:rPr>
        <w:t>on this issue.</w:t>
      </w:r>
      <w:r>
        <w:rPr>
          <w:position w:val="7"/>
          <w:sz w:val="12"/>
        </w:rPr>
        <w:t>86</w:t>
      </w:r>
    </w:p>
    <w:p>
      <w:pPr>
        <w:pStyle w:val="BodyText"/>
        <w:spacing w:before="11"/>
        <w:rPr>
          <w:sz w:val="24"/>
        </w:rPr>
      </w:pPr>
    </w:p>
    <w:p>
      <w:pPr>
        <w:pStyle w:val="Heading5"/>
      </w:pPr>
      <w:r>
        <w:rPr>
          <w:w w:val="115"/>
        </w:rPr>
        <w:t>Views from submissions</w:t>
      </w:r>
    </w:p>
    <w:p>
      <w:pPr>
        <w:pStyle w:val="ListParagraph"/>
        <w:numPr>
          <w:ilvl w:val="1"/>
          <w:numId w:val="22"/>
        </w:numPr>
        <w:tabs>
          <w:tab w:pos="2381" w:val="left" w:leader="none"/>
          <w:tab w:pos="2382" w:val="left" w:leader="none"/>
        </w:tabs>
        <w:spacing w:line="242" w:lineRule="auto" w:before="138" w:after="0"/>
        <w:ind w:left="2381" w:right="2171" w:hanging="794"/>
        <w:jc w:val="left"/>
        <w:rPr>
          <w:sz w:val="21"/>
        </w:rPr>
      </w:pPr>
      <w:r>
        <w:rPr>
          <w:w w:val="105"/>
          <w:sz w:val="21"/>
        </w:rPr>
        <w:t>Most </w:t>
      </w:r>
      <w:r>
        <w:rPr>
          <w:spacing w:val="-3"/>
          <w:w w:val="105"/>
          <w:sz w:val="21"/>
        </w:rPr>
        <w:t>submissions </w:t>
      </w:r>
      <w:r>
        <w:rPr>
          <w:w w:val="105"/>
          <w:sz w:val="21"/>
        </w:rPr>
        <w:t>supported a </w:t>
      </w:r>
      <w:r>
        <w:rPr>
          <w:spacing w:val="-3"/>
          <w:w w:val="105"/>
          <w:sz w:val="21"/>
        </w:rPr>
        <w:t>change to allow </w:t>
      </w:r>
      <w:r>
        <w:rPr>
          <w:w w:val="105"/>
          <w:sz w:val="21"/>
        </w:rPr>
        <w:t>an attorney </w:t>
      </w:r>
      <w:r>
        <w:rPr>
          <w:spacing w:val="-3"/>
          <w:w w:val="105"/>
          <w:sz w:val="21"/>
        </w:rPr>
        <w:t>to </w:t>
      </w:r>
      <w:r>
        <w:rPr>
          <w:spacing w:val="-2"/>
          <w:w w:val="105"/>
          <w:sz w:val="21"/>
        </w:rPr>
        <w:t>access </w:t>
      </w:r>
      <w:r>
        <w:rPr>
          <w:w w:val="105"/>
          <w:sz w:val="21"/>
        </w:rPr>
        <w:t>a </w:t>
      </w:r>
      <w:r>
        <w:rPr>
          <w:spacing w:val="-3"/>
          <w:w w:val="105"/>
          <w:sz w:val="21"/>
        </w:rPr>
        <w:t>person’s will </w:t>
      </w:r>
      <w:r>
        <w:rPr>
          <w:w w:val="105"/>
          <w:sz w:val="21"/>
        </w:rPr>
        <w:t>in the same </w:t>
      </w:r>
      <w:r>
        <w:rPr>
          <w:spacing w:val="-3"/>
          <w:w w:val="105"/>
          <w:sz w:val="21"/>
        </w:rPr>
        <w:t>way </w:t>
      </w:r>
      <w:r>
        <w:rPr>
          <w:w w:val="105"/>
          <w:sz w:val="21"/>
        </w:rPr>
        <w:t>as recommended </w:t>
      </w:r>
      <w:r>
        <w:rPr>
          <w:spacing w:val="-3"/>
          <w:w w:val="105"/>
          <w:sz w:val="21"/>
        </w:rPr>
        <w:t>for </w:t>
      </w:r>
      <w:r>
        <w:rPr>
          <w:w w:val="105"/>
          <w:sz w:val="21"/>
        </w:rPr>
        <w:t>an </w:t>
      </w:r>
      <w:r>
        <w:rPr>
          <w:spacing w:val="-4"/>
          <w:w w:val="105"/>
          <w:sz w:val="21"/>
        </w:rPr>
        <w:t>administrator.</w:t>
      </w:r>
      <w:r>
        <w:rPr>
          <w:spacing w:val="-4"/>
          <w:w w:val="105"/>
          <w:position w:val="7"/>
          <w:sz w:val="12"/>
        </w:rPr>
        <w:t>87 </w:t>
      </w:r>
      <w:r>
        <w:rPr>
          <w:w w:val="105"/>
          <w:sz w:val="21"/>
        </w:rPr>
        <w:t>Benefits</w:t>
      </w:r>
      <w:r>
        <w:rPr>
          <w:spacing w:val="2"/>
          <w:w w:val="105"/>
          <w:sz w:val="21"/>
        </w:rPr>
        <w:t> </w:t>
      </w:r>
      <w:r>
        <w:rPr>
          <w:w w:val="105"/>
          <w:sz w:val="21"/>
        </w:rPr>
        <w:t>included:</w:t>
      </w:r>
    </w:p>
    <w:p>
      <w:pPr>
        <w:pStyle w:val="ListParagraph"/>
        <w:numPr>
          <w:ilvl w:val="2"/>
          <w:numId w:val="22"/>
        </w:numPr>
        <w:tabs>
          <w:tab w:pos="2721" w:val="left" w:leader="none"/>
          <w:tab w:pos="2722" w:val="left" w:leader="none"/>
        </w:tabs>
        <w:spacing w:line="242" w:lineRule="auto" w:before="122" w:after="0"/>
        <w:ind w:left="2721" w:right="1761" w:hanging="340"/>
        <w:jc w:val="left"/>
        <w:rPr>
          <w:sz w:val="12"/>
        </w:rPr>
      </w:pPr>
      <w:r>
        <w:rPr>
          <w:w w:val="105"/>
          <w:sz w:val="21"/>
        </w:rPr>
        <w:t>The</w:t>
      </w:r>
      <w:r>
        <w:rPr>
          <w:spacing w:val="-10"/>
          <w:w w:val="105"/>
          <w:sz w:val="21"/>
        </w:rPr>
        <w:t> </w:t>
      </w:r>
      <w:r>
        <w:rPr>
          <w:w w:val="105"/>
          <w:sz w:val="21"/>
        </w:rPr>
        <w:t>attorney</w:t>
      </w:r>
      <w:r>
        <w:rPr>
          <w:spacing w:val="-10"/>
          <w:w w:val="105"/>
          <w:sz w:val="21"/>
        </w:rPr>
        <w:t> </w:t>
      </w:r>
      <w:r>
        <w:rPr>
          <w:spacing w:val="-3"/>
          <w:w w:val="105"/>
          <w:sz w:val="21"/>
        </w:rPr>
        <w:t>may</w:t>
      </w:r>
      <w:r>
        <w:rPr>
          <w:spacing w:val="-9"/>
          <w:w w:val="105"/>
          <w:sz w:val="21"/>
        </w:rPr>
        <w:t> </w:t>
      </w:r>
      <w:r>
        <w:rPr>
          <w:w w:val="105"/>
          <w:sz w:val="21"/>
        </w:rPr>
        <w:t>be</w:t>
      </w:r>
      <w:r>
        <w:rPr>
          <w:spacing w:val="-10"/>
          <w:w w:val="105"/>
          <w:sz w:val="21"/>
        </w:rPr>
        <w:t> </w:t>
      </w:r>
      <w:r>
        <w:rPr>
          <w:w w:val="105"/>
          <w:sz w:val="21"/>
        </w:rPr>
        <w:t>able</w:t>
      </w:r>
      <w:r>
        <w:rPr>
          <w:spacing w:val="-9"/>
          <w:w w:val="105"/>
          <w:sz w:val="21"/>
        </w:rPr>
        <w:t> </w:t>
      </w:r>
      <w:r>
        <w:rPr>
          <w:spacing w:val="-3"/>
          <w:w w:val="105"/>
          <w:sz w:val="21"/>
        </w:rPr>
        <w:t>to</w:t>
      </w:r>
      <w:r>
        <w:rPr>
          <w:spacing w:val="-10"/>
          <w:w w:val="105"/>
          <w:sz w:val="21"/>
        </w:rPr>
        <w:t> </w:t>
      </w:r>
      <w:r>
        <w:rPr>
          <w:w w:val="105"/>
          <w:sz w:val="21"/>
        </w:rPr>
        <w:t>avoid</w:t>
      </w:r>
      <w:r>
        <w:rPr>
          <w:spacing w:val="-9"/>
          <w:w w:val="105"/>
          <w:sz w:val="21"/>
        </w:rPr>
        <w:t> </w:t>
      </w:r>
      <w:r>
        <w:rPr>
          <w:w w:val="105"/>
          <w:sz w:val="21"/>
        </w:rPr>
        <w:t>ademption</w:t>
      </w:r>
      <w:r>
        <w:rPr>
          <w:spacing w:val="-10"/>
          <w:w w:val="105"/>
          <w:sz w:val="21"/>
        </w:rPr>
        <w:t> </w:t>
      </w:r>
      <w:r>
        <w:rPr>
          <w:w w:val="105"/>
          <w:sz w:val="21"/>
        </w:rPr>
        <w:t>if</w:t>
      </w:r>
      <w:r>
        <w:rPr>
          <w:spacing w:val="-9"/>
          <w:w w:val="105"/>
          <w:sz w:val="21"/>
        </w:rPr>
        <w:t> </w:t>
      </w:r>
      <w:r>
        <w:rPr>
          <w:w w:val="105"/>
          <w:sz w:val="21"/>
        </w:rPr>
        <w:t>the</w:t>
      </w:r>
      <w:r>
        <w:rPr>
          <w:spacing w:val="-10"/>
          <w:w w:val="105"/>
          <w:sz w:val="21"/>
        </w:rPr>
        <w:t> </w:t>
      </w:r>
      <w:r>
        <w:rPr>
          <w:w w:val="105"/>
          <w:sz w:val="21"/>
        </w:rPr>
        <w:t>attorney</w:t>
      </w:r>
      <w:r>
        <w:rPr>
          <w:spacing w:val="-9"/>
          <w:w w:val="105"/>
          <w:sz w:val="21"/>
        </w:rPr>
        <w:t> </w:t>
      </w:r>
      <w:r>
        <w:rPr>
          <w:w w:val="105"/>
          <w:sz w:val="21"/>
        </w:rPr>
        <w:t>knows</w:t>
      </w:r>
      <w:r>
        <w:rPr>
          <w:spacing w:val="-10"/>
          <w:w w:val="105"/>
          <w:sz w:val="21"/>
        </w:rPr>
        <w:t> </w:t>
      </w:r>
      <w:r>
        <w:rPr>
          <w:spacing w:val="-3"/>
          <w:w w:val="105"/>
          <w:sz w:val="21"/>
        </w:rPr>
        <w:t>that</w:t>
      </w:r>
      <w:r>
        <w:rPr>
          <w:spacing w:val="-9"/>
          <w:w w:val="105"/>
          <w:sz w:val="21"/>
        </w:rPr>
        <w:t> </w:t>
      </w:r>
      <w:r>
        <w:rPr>
          <w:w w:val="105"/>
          <w:sz w:val="21"/>
        </w:rPr>
        <w:t>a</w:t>
      </w:r>
      <w:r>
        <w:rPr>
          <w:spacing w:val="-10"/>
          <w:w w:val="105"/>
          <w:sz w:val="21"/>
        </w:rPr>
        <w:t> </w:t>
      </w:r>
      <w:r>
        <w:rPr>
          <w:w w:val="105"/>
          <w:sz w:val="21"/>
        </w:rPr>
        <w:t>particular a piece of property </w:t>
      </w:r>
      <w:r>
        <w:rPr>
          <w:spacing w:val="-2"/>
          <w:w w:val="105"/>
          <w:sz w:val="21"/>
        </w:rPr>
        <w:t>has </w:t>
      </w:r>
      <w:r>
        <w:rPr>
          <w:w w:val="105"/>
          <w:sz w:val="21"/>
        </w:rPr>
        <w:t>been left as a specific</w:t>
      </w:r>
      <w:r>
        <w:rPr>
          <w:spacing w:val="44"/>
          <w:w w:val="105"/>
          <w:sz w:val="21"/>
        </w:rPr>
        <w:t> </w:t>
      </w:r>
      <w:r>
        <w:rPr>
          <w:w w:val="105"/>
          <w:sz w:val="21"/>
        </w:rPr>
        <w:t>gift.</w:t>
      </w:r>
      <w:r>
        <w:rPr>
          <w:w w:val="105"/>
          <w:position w:val="7"/>
          <w:sz w:val="12"/>
        </w:rPr>
        <w:t>88</w:t>
      </w:r>
    </w:p>
    <w:p>
      <w:pPr>
        <w:pStyle w:val="ListParagraph"/>
        <w:numPr>
          <w:ilvl w:val="2"/>
          <w:numId w:val="22"/>
        </w:numPr>
        <w:tabs>
          <w:tab w:pos="2721" w:val="left" w:leader="none"/>
          <w:tab w:pos="2722" w:val="left" w:leader="none"/>
        </w:tabs>
        <w:spacing w:line="242" w:lineRule="auto" w:before="122" w:after="0"/>
        <w:ind w:left="2721" w:right="1975" w:hanging="340"/>
        <w:jc w:val="left"/>
        <w:rPr>
          <w:sz w:val="12"/>
        </w:rPr>
      </w:pPr>
      <w:r>
        <w:rPr>
          <w:sz w:val="21"/>
        </w:rPr>
        <w:t>The attorney </w:t>
      </w:r>
      <w:r>
        <w:rPr>
          <w:spacing w:val="-3"/>
          <w:sz w:val="21"/>
        </w:rPr>
        <w:t>may </w:t>
      </w:r>
      <w:r>
        <w:rPr>
          <w:sz w:val="21"/>
        </w:rPr>
        <w:t>be able </w:t>
      </w:r>
      <w:r>
        <w:rPr>
          <w:spacing w:val="-3"/>
          <w:sz w:val="21"/>
        </w:rPr>
        <w:t>to manage </w:t>
      </w:r>
      <w:r>
        <w:rPr>
          <w:sz w:val="21"/>
        </w:rPr>
        <w:t>the proceeds </w:t>
      </w:r>
      <w:r>
        <w:rPr>
          <w:spacing w:val="-3"/>
          <w:sz w:val="21"/>
        </w:rPr>
        <w:t>separately  </w:t>
      </w:r>
      <w:r>
        <w:rPr>
          <w:sz w:val="21"/>
        </w:rPr>
        <w:t>if he or she is </w:t>
      </w:r>
      <w:r>
        <w:rPr>
          <w:spacing w:val="-3"/>
          <w:sz w:val="21"/>
        </w:rPr>
        <w:t>aware</w:t>
      </w:r>
      <w:r>
        <w:rPr>
          <w:spacing w:val="41"/>
          <w:sz w:val="21"/>
        </w:rPr>
        <w:t> </w:t>
      </w:r>
      <w:r>
        <w:rPr>
          <w:sz w:val="21"/>
        </w:rPr>
        <w:t>of the specific</w:t>
      </w:r>
      <w:r>
        <w:rPr>
          <w:spacing w:val="25"/>
          <w:sz w:val="21"/>
        </w:rPr>
        <w:t> </w:t>
      </w:r>
      <w:r>
        <w:rPr>
          <w:sz w:val="21"/>
        </w:rPr>
        <w:t>gift.</w:t>
      </w:r>
      <w:r>
        <w:rPr>
          <w:position w:val="7"/>
          <w:sz w:val="12"/>
        </w:rPr>
        <w:t>89</w:t>
      </w:r>
    </w:p>
    <w:p>
      <w:pPr>
        <w:pStyle w:val="ListParagraph"/>
        <w:numPr>
          <w:ilvl w:val="1"/>
          <w:numId w:val="22"/>
        </w:numPr>
        <w:tabs>
          <w:tab w:pos="2381" w:val="left" w:leader="none"/>
          <w:tab w:pos="2382" w:val="left" w:leader="none"/>
        </w:tabs>
        <w:spacing w:line="242" w:lineRule="auto" w:before="122" w:after="0"/>
        <w:ind w:left="2381" w:right="2022" w:hanging="794"/>
        <w:jc w:val="left"/>
        <w:rPr>
          <w:sz w:val="12"/>
        </w:rPr>
      </w:pPr>
      <w:r>
        <w:rPr>
          <w:spacing w:val="-3"/>
          <w:w w:val="105"/>
          <w:sz w:val="21"/>
        </w:rPr>
        <w:t>Submissions</w:t>
      </w:r>
      <w:r>
        <w:rPr>
          <w:spacing w:val="-5"/>
          <w:w w:val="105"/>
          <w:sz w:val="21"/>
        </w:rPr>
        <w:t> </w:t>
      </w:r>
      <w:r>
        <w:rPr>
          <w:spacing w:val="-3"/>
          <w:w w:val="105"/>
          <w:sz w:val="21"/>
        </w:rPr>
        <w:t>generally</w:t>
      </w:r>
      <w:r>
        <w:rPr>
          <w:spacing w:val="-4"/>
          <w:w w:val="105"/>
          <w:sz w:val="21"/>
        </w:rPr>
        <w:t> </w:t>
      </w:r>
      <w:r>
        <w:rPr>
          <w:w w:val="105"/>
          <w:sz w:val="21"/>
        </w:rPr>
        <w:t>agreed</w:t>
      </w:r>
      <w:r>
        <w:rPr>
          <w:spacing w:val="-4"/>
          <w:w w:val="105"/>
          <w:sz w:val="21"/>
        </w:rPr>
        <w:t> </w:t>
      </w:r>
      <w:r>
        <w:rPr>
          <w:spacing w:val="-3"/>
          <w:w w:val="105"/>
          <w:sz w:val="21"/>
        </w:rPr>
        <w:t>that</w:t>
      </w:r>
      <w:r>
        <w:rPr>
          <w:spacing w:val="-4"/>
          <w:w w:val="105"/>
          <w:sz w:val="21"/>
        </w:rPr>
        <w:t> </w:t>
      </w:r>
      <w:r>
        <w:rPr>
          <w:w w:val="105"/>
          <w:sz w:val="21"/>
        </w:rPr>
        <w:t>an</w:t>
      </w:r>
      <w:r>
        <w:rPr>
          <w:spacing w:val="-4"/>
          <w:w w:val="105"/>
          <w:sz w:val="21"/>
        </w:rPr>
        <w:t> </w:t>
      </w:r>
      <w:r>
        <w:rPr>
          <w:w w:val="105"/>
          <w:sz w:val="21"/>
        </w:rPr>
        <w:t>attorney</w:t>
      </w:r>
      <w:r>
        <w:rPr>
          <w:spacing w:val="-5"/>
          <w:w w:val="105"/>
          <w:sz w:val="21"/>
        </w:rPr>
        <w:t> </w:t>
      </w:r>
      <w:r>
        <w:rPr>
          <w:w w:val="105"/>
          <w:sz w:val="21"/>
        </w:rPr>
        <w:t>should</w:t>
      </w:r>
      <w:r>
        <w:rPr>
          <w:spacing w:val="-4"/>
          <w:w w:val="105"/>
          <w:sz w:val="21"/>
        </w:rPr>
        <w:t> </w:t>
      </w:r>
      <w:r>
        <w:rPr>
          <w:w w:val="105"/>
          <w:sz w:val="21"/>
        </w:rPr>
        <w:t>only</w:t>
      </w:r>
      <w:r>
        <w:rPr>
          <w:spacing w:val="-4"/>
          <w:w w:val="105"/>
          <w:sz w:val="21"/>
        </w:rPr>
        <w:t> </w:t>
      </w:r>
      <w:r>
        <w:rPr>
          <w:w w:val="105"/>
          <w:sz w:val="21"/>
        </w:rPr>
        <w:t>be</w:t>
      </w:r>
      <w:r>
        <w:rPr>
          <w:spacing w:val="-4"/>
          <w:w w:val="105"/>
          <w:sz w:val="21"/>
        </w:rPr>
        <w:t> </w:t>
      </w:r>
      <w:r>
        <w:rPr>
          <w:spacing w:val="-3"/>
          <w:w w:val="105"/>
          <w:sz w:val="21"/>
        </w:rPr>
        <w:t>granted</w:t>
      </w:r>
      <w:r>
        <w:rPr>
          <w:spacing w:val="-4"/>
          <w:w w:val="105"/>
          <w:sz w:val="21"/>
        </w:rPr>
        <w:t> </w:t>
      </w:r>
      <w:r>
        <w:rPr>
          <w:spacing w:val="-2"/>
          <w:w w:val="105"/>
          <w:sz w:val="21"/>
        </w:rPr>
        <w:t>access</w:t>
      </w:r>
      <w:r>
        <w:rPr>
          <w:spacing w:val="-4"/>
          <w:w w:val="105"/>
          <w:sz w:val="21"/>
        </w:rPr>
        <w:t> </w:t>
      </w:r>
      <w:r>
        <w:rPr>
          <w:spacing w:val="-3"/>
          <w:w w:val="105"/>
          <w:sz w:val="21"/>
        </w:rPr>
        <w:t>to</w:t>
      </w:r>
      <w:r>
        <w:rPr>
          <w:spacing w:val="-5"/>
          <w:w w:val="105"/>
          <w:sz w:val="21"/>
        </w:rPr>
        <w:t> </w:t>
      </w:r>
      <w:r>
        <w:rPr>
          <w:w w:val="105"/>
          <w:sz w:val="21"/>
        </w:rPr>
        <w:t>a</w:t>
      </w:r>
      <w:r>
        <w:rPr>
          <w:spacing w:val="-4"/>
          <w:w w:val="105"/>
          <w:sz w:val="21"/>
        </w:rPr>
        <w:t> </w:t>
      </w:r>
      <w:r>
        <w:rPr>
          <w:spacing w:val="-3"/>
          <w:w w:val="105"/>
          <w:sz w:val="21"/>
        </w:rPr>
        <w:t>will </w:t>
      </w:r>
      <w:r>
        <w:rPr>
          <w:w w:val="105"/>
          <w:sz w:val="21"/>
        </w:rPr>
        <w:t>where the donor </w:t>
      </w:r>
      <w:r>
        <w:rPr>
          <w:spacing w:val="-2"/>
          <w:w w:val="105"/>
          <w:sz w:val="21"/>
        </w:rPr>
        <w:t>has </w:t>
      </w:r>
      <w:r>
        <w:rPr>
          <w:w w:val="105"/>
          <w:sz w:val="21"/>
        </w:rPr>
        <w:t>lost</w:t>
      </w:r>
      <w:r>
        <w:rPr>
          <w:spacing w:val="26"/>
          <w:w w:val="105"/>
          <w:sz w:val="21"/>
        </w:rPr>
        <w:t> </w:t>
      </w:r>
      <w:r>
        <w:rPr>
          <w:spacing w:val="-3"/>
          <w:w w:val="105"/>
          <w:sz w:val="21"/>
        </w:rPr>
        <w:t>capacity.</w:t>
      </w:r>
      <w:r>
        <w:rPr>
          <w:spacing w:val="-3"/>
          <w:w w:val="105"/>
          <w:position w:val="7"/>
          <w:sz w:val="12"/>
        </w:rPr>
        <w:t>90</w:t>
      </w:r>
    </w:p>
    <w:p>
      <w:pPr>
        <w:pStyle w:val="ListParagraph"/>
        <w:numPr>
          <w:ilvl w:val="1"/>
          <w:numId w:val="22"/>
        </w:numPr>
        <w:tabs>
          <w:tab w:pos="2438" w:val="left" w:leader="none"/>
          <w:tab w:pos="2439" w:val="left" w:leader="none"/>
        </w:tabs>
        <w:spacing w:line="240" w:lineRule="auto" w:before="122" w:after="0"/>
        <w:ind w:left="2438" w:right="0" w:hanging="851"/>
        <w:jc w:val="left"/>
        <w:rPr>
          <w:sz w:val="21"/>
        </w:rPr>
      </w:pPr>
      <w:r>
        <w:rPr>
          <w:sz w:val="21"/>
        </w:rPr>
        <w:t>Other issues </w:t>
      </w:r>
      <w:r>
        <w:rPr>
          <w:spacing w:val="-2"/>
          <w:sz w:val="21"/>
        </w:rPr>
        <w:t>raised</w:t>
      </w:r>
      <w:r>
        <w:rPr>
          <w:spacing w:val="24"/>
          <w:sz w:val="21"/>
        </w:rPr>
        <w:t> </w:t>
      </w:r>
      <w:r>
        <w:rPr>
          <w:sz w:val="21"/>
        </w:rPr>
        <w:t>included:</w:t>
      </w:r>
    </w:p>
    <w:p>
      <w:pPr>
        <w:pStyle w:val="ListParagraph"/>
        <w:numPr>
          <w:ilvl w:val="2"/>
          <w:numId w:val="22"/>
        </w:numPr>
        <w:tabs>
          <w:tab w:pos="2722" w:val="left" w:leader="none"/>
        </w:tabs>
        <w:spacing w:line="242" w:lineRule="auto" w:before="124" w:after="0"/>
        <w:ind w:left="2721" w:right="1844" w:hanging="340"/>
        <w:jc w:val="both"/>
        <w:rPr>
          <w:sz w:val="12"/>
        </w:rPr>
      </w:pPr>
      <w:r>
        <w:rPr>
          <w:w w:val="105"/>
          <w:sz w:val="21"/>
        </w:rPr>
        <w:t>There is no need </w:t>
      </w:r>
      <w:r>
        <w:rPr>
          <w:spacing w:val="-3"/>
          <w:w w:val="105"/>
          <w:sz w:val="21"/>
        </w:rPr>
        <w:t>for </w:t>
      </w:r>
      <w:r>
        <w:rPr>
          <w:w w:val="105"/>
          <w:sz w:val="21"/>
        </w:rPr>
        <w:t>a </w:t>
      </w:r>
      <w:r>
        <w:rPr>
          <w:spacing w:val="-3"/>
          <w:w w:val="105"/>
          <w:sz w:val="21"/>
        </w:rPr>
        <w:t>substitute </w:t>
      </w:r>
      <w:r>
        <w:rPr>
          <w:w w:val="105"/>
          <w:sz w:val="21"/>
        </w:rPr>
        <w:t>decision </w:t>
      </w:r>
      <w:r>
        <w:rPr>
          <w:spacing w:val="-4"/>
          <w:w w:val="105"/>
          <w:sz w:val="21"/>
        </w:rPr>
        <w:t>maker </w:t>
      </w:r>
      <w:r>
        <w:rPr>
          <w:spacing w:val="-3"/>
          <w:w w:val="105"/>
          <w:sz w:val="21"/>
        </w:rPr>
        <w:t>to </w:t>
      </w:r>
      <w:r>
        <w:rPr>
          <w:w w:val="105"/>
          <w:sz w:val="21"/>
        </w:rPr>
        <w:t>know who the beneficiary of a particular</w:t>
      </w:r>
      <w:r>
        <w:rPr>
          <w:spacing w:val="-7"/>
          <w:w w:val="105"/>
          <w:sz w:val="21"/>
        </w:rPr>
        <w:t> </w:t>
      </w:r>
      <w:r>
        <w:rPr>
          <w:w w:val="105"/>
          <w:sz w:val="21"/>
        </w:rPr>
        <w:t>gift</w:t>
      </w:r>
      <w:r>
        <w:rPr>
          <w:spacing w:val="-7"/>
          <w:w w:val="105"/>
          <w:sz w:val="21"/>
        </w:rPr>
        <w:t> </w:t>
      </w:r>
      <w:r>
        <w:rPr>
          <w:w w:val="105"/>
          <w:sz w:val="21"/>
        </w:rPr>
        <w:t>is,</w:t>
      </w:r>
      <w:r>
        <w:rPr>
          <w:spacing w:val="-6"/>
          <w:w w:val="105"/>
          <w:sz w:val="21"/>
        </w:rPr>
        <w:t> </w:t>
      </w:r>
      <w:r>
        <w:rPr>
          <w:w w:val="105"/>
          <w:sz w:val="21"/>
        </w:rPr>
        <w:t>just</w:t>
      </w:r>
      <w:r>
        <w:rPr>
          <w:spacing w:val="-7"/>
          <w:w w:val="105"/>
          <w:sz w:val="21"/>
        </w:rPr>
        <w:t> </w:t>
      </w:r>
      <w:r>
        <w:rPr>
          <w:spacing w:val="-3"/>
          <w:w w:val="105"/>
          <w:sz w:val="21"/>
        </w:rPr>
        <w:t>that</w:t>
      </w:r>
      <w:r>
        <w:rPr>
          <w:spacing w:val="-6"/>
          <w:w w:val="105"/>
          <w:sz w:val="21"/>
        </w:rPr>
        <w:t> </w:t>
      </w:r>
      <w:r>
        <w:rPr>
          <w:w w:val="105"/>
          <w:sz w:val="21"/>
        </w:rPr>
        <w:t>the</w:t>
      </w:r>
      <w:r>
        <w:rPr>
          <w:spacing w:val="-7"/>
          <w:w w:val="105"/>
          <w:sz w:val="21"/>
        </w:rPr>
        <w:t> </w:t>
      </w:r>
      <w:r>
        <w:rPr>
          <w:w w:val="105"/>
          <w:sz w:val="21"/>
        </w:rPr>
        <w:t>particular</w:t>
      </w:r>
      <w:r>
        <w:rPr>
          <w:spacing w:val="-6"/>
          <w:w w:val="105"/>
          <w:sz w:val="21"/>
        </w:rPr>
        <w:t> </w:t>
      </w:r>
      <w:r>
        <w:rPr>
          <w:w w:val="105"/>
          <w:sz w:val="21"/>
        </w:rPr>
        <w:t>property</w:t>
      </w:r>
      <w:r>
        <w:rPr>
          <w:spacing w:val="-7"/>
          <w:w w:val="105"/>
          <w:sz w:val="21"/>
        </w:rPr>
        <w:t> </w:t>
      </w:r>
      <w:r>
        <w:rPr>
          <w:spacing w:val="-2"/>
          <w:w w:val="105"/>
          <w:sz w:val="21"/>
        </w:rPr>
        <w:t>has</w:t>
      </w:r>
      <w:r>
        <w:rPr>
          <w:spacing w:val="-6"/>
          <w:w w:val="105"/>
          <w:sz w:val="21"/>
        </w:rPr>
        <w:t> </w:t>
      </w:r>
      <w:r>
        <w:rPr>
          <w:w w:val="105"/>
          <w:sz w:val="21"/>
        </w:rPr>
        <w:t>been</w:t>
      </w:r>
      <w:r>
        <w:rPr>
          <w:spacing w:val="-7"/>
          <w:w w:val="105"/>
          <w:sz w:val="21"/>
        </w:rPr>
        <w:t> </w:t>
      </w:r>
      <w:r>
        <w:rPr>
          <w:w w:val="105"/>
          <w:sz w:val="21"/>
        </w:rPr>
        <w:t>left</w:t>
      </w:r>
      <w:r>
        <w:rPr>
          <w:spacing w:val="-6"/>
          <w:w w:val="105"/>
          <w:sz w:val="21"/>
        </w:rPr>
        <w:t> </w:t>
      </w:r>
      <w:r>
        <w:rPr>
          <w:w w:val="105"/>
          <w:sz w:val="21"/>
        </w:rPr>
        <w:t>as</w:t>
      </w:r>
      <w:r>
        <w:rPr>
          <w:spacing w:val="-7"/>
          <w:w w:val="105"/>
          <w:sz w:val="21"/>
        </w:rPr>
        <w:t> </w:t>
      </w:r>
      <w:r>
        <w:rPr>
          <w:w w:val="105"/>
          <w:sz w:val="21"/>
        </w:rPr>
        <w:t>a</w:t>
      </w:r>
      <w:r>
        <w:rPr>
          <w:spacing w:val="-6"/>
          <w:w w:val="105"/>
          <w:sz w:val="21"/>
        </w:rPr>
        <w:t> </w:t>
      </w:r>
      <w:r>
        <w:rPr>
          <w:w w:val="105"/>
          <w:sz w:val="21"/>
        </w:rPr>
        <w:t>gift.</w:t>
      </w:r>
      <w:r>
        <w:rPr>
          <w:spacing w:val="-7"/>
          <w:w w:val="105"/>
          <w:sz w:val="21"/>
        </w:rPr>
        <w:t> </w:t>
      </w:r>
      <w:r>
        <w:rPr>
          <w:w w:val="105"/>
          <w:sz w:val="21"/>
        </w:rPr>
        <w:t>A</w:t>
      </w:r>
      <w:r>
        <w:rPr>
          <w:spacing w:val="-6"/>
          <w:w w:val="105"/>
          <w:sz w:val="21"/>
        </w:rPr>
        <w:t> </w:t>
      </w:r>
      <w:r>
        <w:rPr>
          <w:w w:val="105"/>
          <w:sz w:val="21"/>
        </w:rPr>
        <w:t>redacted </w:t>
      </w:r>
      <w:r>
        <w:rPr>
          <w:spacing w:val="-3"/>
          <w:w w:val="105"/>
          <w:sz w:val="21"/>
        </w:rPr>
        <w:t>copy </w:t>
      </w:r>
      <w:r>
        <w:rPr>
          <w:w w:val="105"/>
          <w:sz w:val="21"/>
        </w:rPr>
        <w:t>of the </w:t>
      </w:r>
      <w:r>
        <w:rPr>
          <w:spacing w:val="-3"/>
          <w:w w:val="105"/>
          <w:sz w:val="21"/>
        </w:rPr>
        <w:t>will may therefore </w:t>
      </w:r>
      <w:r>
        <w:rPr>
          <w:w w:val="105"/>
          <w:sz w:val="21"/>
        </w:rPr>
        <w:t>be </w:t>
      </w:r>
      <w:r>
        <w:rPr>
          <w:spacing w:val="-3"/>
          <w:w w:val="105"/>
          <w:sz w:val="21"/>
        </w:rPr>
        <w:t>useful </w:t>
      </w:r>
      <w:r>
        <w:rPr>
          <w:w w:val="105"/>
          <w:sz w:val="21"/>
        </w:rPr>
        <w:t>in </w:t>
      </w:r>
      <w:r>
        <w:rPr>
          <w:spacing w:val="-3"/>
          <w:w w:val="105"/>
          <w:sz w:val="21"/>
        </w:rPr>
        <w:t>preventing </w:t>
      </w:r>
      <w:r>
        <w:rPr>
          <w:w w:val="105"/>
          <w:sz w:val="21"/>
        </w:rPr>
        <w:t>ademption while </w:t>
      </w:r>
      <w:r>
        <w:rPr>
          <w:spacing w:val="-3"/>
          <w:w w:val="105"/>
          <w:sz w:val="21"/>
        </w:rPr>
        <w:t>maintaining </w:t>
      </w:r>
      <w:r>
        <w:rPr>
          <w:w w:val="105"/>
          <w:sz w:val="21"/>
        </w:rPr>
        <w:t>privacy </w:t>
      </w:r>
      <w:r>
        <w:rPr>
          <w:spacing w:val="-3"/>
          <w:w w:val="105"/>
          <w:sz w:val="21"/>
        </w:rPr>
        <w:t>for </w:t>
      </w:r>
      <w:r>
        <w:rPr>
          <w:w w:val="105"/>
          <w:sz w:val="21"/>
        </w:rPr>
        <w:t>the </w:t>
      </w:r>
      <w:r>
        <w:rPr>
          <w:spacing w:val="-3"/>
          <w:w w:val="105"/>
          <w:sz w:val="21"/>
        </w:rPr>
        <w:t>represented</w:t>
      </w:r>
      <w:r>
        <w:rPr>
          <w:spacing w:val="21"/>
          <w:w w:val="105"/>
          <w:sz w:val="21"/>
        </w:rPr>
        <w:t> </w:t>
      </w:r>
      <w:r>
        <w:rPr>
          <w:spacing w:val="-3"/>
          <w:w w:val="105"/>
          <w:sz w:val="21"/>
        </w:rPr>
        <w:t>person.</w:t>
      </w:r>
      <w:r>
        <w:rPr>
          <w:spacing w:val="-3"/>
          <w:w w:val="105"/>
          <w:position w:val="7"/>
          <w:sz w:val="12"/>
        </w:rPr>
        <w:t>91</w:t>
      </w:r>
    </w:p>
    <w:p>
      <w:pPr>
        <w:pStyle w:val="ListParagraph"/>
        <w:numPr>
          <w:ilvl w:val="2"/>
          <w:numId w:val="22"/>
        </w:numPr>
        <w:tabs>
          <w:tab w:pos="2721" w:val="left" w:leader="none"/>
          <w:tab w:pos="2722" w:val="left" w:leader="none"/>
        </w:tabs>
        <w:spacing w:line="240" w:lineRule="auto" w:before="125" w:after="0"/>
        <w:ind w:left="2721" w:right="0" w:hanging="340"/>
        <w:jc w:val="left"/>
        <w:rPr>
          <w:sz w:val="21"/>
        </w:rPr>
      </w:pPr>
      <w:r>
        <w:rPr>
          <w:sz w:val="21"/>
        </w:rPr>
        <w:t>It</w:t>
      </w:r>
      <w:r>
        <w:rPr>
          <w:spacing w:val="11"/>
          <w:sz w:val="21"/>
        </w:rPr>
        <w:t> </w:t>
      </w:r>
      <w:r>
        <w:rPr>
          <w:sz w:val="21"/>
        </w:rPr>
        <w:t>is</w:t>
      </w:r>
      <w:r>
        <w:rPr>
          <w:spacing w:val="11"/>
          <w:sz w:val="21"/>
        </w:rPr>
        <w:t> </w:t>
      </w:r>
      <w:r>
        <w:rPr>
          <w:sz w:val="21"/>
        </w:rPr>
        <w:t>important</w:t>
      </w:r>
      <w:r>
        <w:rPr>
          <w:spacing w:val="11"/>
          <w:sz w:val="21"/>
        </w:rPr>
        <w:t> </w:t>
      </w:r>
      <w:r>
        <w:rPr>
          <w:spacing w:val="-3"/>
          <w:sz w:val="21"/>
        </w:rPr>
        <w:t>that</w:t>
      </w:r>
      <w:r>
        <w:rPr>
          <w:spacing w:val="12"/>
          <w:sz w:val="21"/>
        </w:rPr>
        <w:t> </w:t>
      </w:r>
      <w:r>
        <w:rPr>
          <w:spacing w:val="-5"/>
          <w:sz w:val="21"/>
        </w:rPr>
        <w:t>VCAT</w:t>
      </w:r>
      <w:r>
        <w:rPr>
          <w:spacing w:val="11"/>
          <w:sz w:val="21"/>
        </w:rPr>
        <w:t> </w:t>
      </w:r>
      <w:r>
        <w:rPr>
          <w:sz w:val="21"/>
        </w:rPr>
        <w:t>be</w:t>
      </w:r>
      <w:r>
        <w:rPr>
          <w:spacing w:val="11"/>
          <w:sz w:val="21"/>
        </w:rPr>
        <w:t> </w:t>
      </w:r>
      <w:r>
        <w:rPr>
          <w:sz w:val="21"/>
        </w:rPr>
        <w:t>able</w:t>
      </w:r>
      <w:r>
        <w:rPr>
          <w:spacing w:val="11"/>
          <w:sz w:val="21"/>
        </w:rPr>
        <w:t> </w:t>
      </w:r>
      <w:r>
        <w:rPr>
          <w:spacing w:val="-3"/>
          <w:sz w:val="21"/>
        </w:rPr>
        <w:t>to</w:t>
      </w:r>
      <w:r>
        <w:rPr>
          <w:spacing w:val="12"/>
          <w:sz w:val="21"/>
        </w:rPr>
        <w:t> </w:t>
      </w:r>
      <w:r>
        <w:rPr>
          <w:spacing w:val="-3"/>
          <w:sz w:val="21"/>
        </w:rPr>
        <w:t>determine</w:t>
      </w:r>
      <w:r>
        <w:rPr>
          <w:spacing w:val="11"/>
          <w:sz w:val="21"/>
        </w:rPr>
        <w:t> </w:t>
      </w:r>
      <w:r>
        <w:rPr>
          <w:sz w:val="21"/>
        </w:rPr>
        <w:t>what,</w:t>
      </w:r>
      <w:r>
        <w:rPr>
          <w:spacing w:val="11"/>
          <w:sz w:val="21"/>
        </w:rPr>
        <w:t> </w:t>
      </w:r>
      <w:r>
        <w:rPr>
          <w:sz w:val="21"/>
        </w:rPr>
        <w:t>if</w:t>
      </w:r>
      <w:r>
        <w:rPr>
          <w:spacing w:val="12"/>
          <w:sz w:val="21"/>
        </w:rPr>
        <w:t> </w:t>
      </w:r>
      <w:r>
        <w:rPr>
          <w:spacing w:val="-6"/>
          <w:sz w:val="21"/>
        </w:rPr>
        <w:t>any,</w:t>
      </w:r>
      <w:r>
        <w:rPr>
          <w:spacing w:val="11"/>
          <w:sz w:val="21"/>
        </w:rPr>
        <w:t> </w:t>
      </w:r>
      <w:r>
        <w:rPr>
          <w:sz w:val="21"/>
        </w:rPr>
        <w:t>details</w:t>
      </w:r>
      <w:r>
        <w:rPr>
          <w:spacing w:val="11"/>
          <w:sz w:val="21"/>
        </w:rPr>
        <w:t> </w:t>
      </w:r>
      <w:r>
        <w:rPr>
          <w:spacing w:val="-3"/>
          <w:sz w:val="21"/>
        </w:rPr>
        <w:t>from</w:t>
      </w:r>
      <w:r>
        <w:rPr>
          <w:spacing w:val="11"/>
          <w:sz w:val="21"/>
        </w:rPr>
        <w:t> </w:t>
      </w:r>
      <w:r>
        <w:rPr>
          <w:sz w:val="21"/>
        </w:rPr>
        <w:t>the</w:t>
      </w:r>
      <w:r>
        <w:rPr>
          <w:spacing w:val="12"/>
          <w:sz w:val="21"/>
        </w:rPr>
        <w:t> </w:t>
      </w:r>
      <w:r>
        <w:rPr>
          <w:spacing w:val="-3"/>
          <w:sz w:val="21"/>
        </w:rPr>
        <w:t>will</w:t>
      </w:r>
      <w:r>
        <w:rPr>
          <w:spacing w:val="11"/>
          <w:sz w:val="21"/>
        </w:rPr>
        <w:t> </w:t>
      </w:r>
      <w:r>
        <w:rPr>
          <w:sz w:val="21"/>
        </w:rPr>
        <w:t>it</w:t>
      </w:r>
    </w:p>
    <w:p>
      <w:pPr>
        <w:pStyle w:val="BodyText"/>
        <w:spacing w:line="242" w:lineRule="auto" w:before="3"/>
        <w:ind w:left="2721" w:right="1619"/>
        <w:rPr>
          <w:sz w:val="12"/>
        </w:rPr>
      </w:pPr>
      <w:r>
        <w:rPr/>
        <w:t>is appropriate to disclose. This is particularly important where the substitute decision maker is also a beneficiary under the will.</w:t>
      </w:r>
      <w:r>
        <w:rPr>
          <w:position w:val="7"/>
          <w:sz w:val="12"/>
        </w:rPr>
        <w:t>92</w:t>
      </w:r>
    </w:p>
    <w:p>
      <w:pPr>
        <w:pStyle w:val="ListParagraph"/>
        <w:numPr>
          <w:ilvl w:val="2"/>
          <w:numId w:val="22"/>
        </w:numPr>
        <w:tabs>
          <w:tab w:pos="2721" w:val="left" w:leader="none"/>
          <w:tab w:pos="2722" w:val="left" w:leader="none"/>
        </w:tabs>
        <w:spacing w:line="242" w:lineRule="auto" w:before="122" w:after="0"/>
        <w:ind w:left="2721" w:right="2192" w:hanging="340"/>
        <w:jc w:val="left"/>
        <w:rPr>
          <w:sz w:val="12"/>
        </w:rPr>
      </w:pPr>
      <w:r>
        <w:rPr>
          <w:w w:val="105"/>
          <w:sz w:val="21"/>
        </w:rPr>
        <w:t>An </w:t>
      </w:r>
      <w:r>
        <w:rPr>
          <w:spacing w:val="-3"/>
          <w:w w:val="105"/>
          <w:sz w:val="21"/>
        </w:rPr>
        <w:t>alternative could </w:t>
      </w:r>
      <w:r>
        <w:rPr>
          <w:w w:val="105"/>
          <w:sz w:val="21"/>
        </w:rPr>
        <w:t>be </w:t>
      </w:r>
      <w:r>
        <w:rPr>
          <w:spacing w:val="-3"/>
          <w:w w:val="105"/>
          <w:sz w:val="21"/>
        </w:rPr>
        <w:t>to allow </w:t>
      </w:r>
      <w:r>
        <w:rPr>
          <w:w w:val="105"/>
          <w:sz w:val="21"/>
        </w:rPr>
        <w:t>a holder of a </w:t>
      </w:r>
      <w:r>
        <w:rPr>
          <w:spacing w:val="-3"/>
          <w:w w:val="105"/>
          <w:sz w:val="21"/>
        </w:rPr>
        <w:t>will to </w:t>
      </w:r>
      <w:r>
        <w:rPr>
          <w:w w:val="105"/>
          <w:sz w:val="21"/>
        </w:rPr>
        <w:t>provide a redacted </w:t>
      </w:r>
      <w:r>
        <w:rPr>
          <w:spacing w:val="-3"/>
          <w:w w:val="105"/>
          <w:sz w:val="21"/>
        </w:rPr>
        <w:t>copy </w:t>
      </w:r>
      <w:r>
        <w:rPr>
          <w:w w:val="105"/>
          <w:sz w:val="21"/>
        </w:rPr>
        <w:t>of the </w:t>
      </w:r>
      <w:r>
        <w:rPr>
          <w:spacing w:val="-3"/>
          <w:w w:val="105"/>
          <w:sz w:val="21"/>
        </w:rPr>
        <w:t>will to </w:t>
      </w:r>
      <w:r>
        <w:rPr>
          <w:w w:val="105"/>
          <w:sz w:val="21"/>
        </w:rPr>
        <w:t>a </w:t>
      </w:r>
      <w:r>
        <w:rPr>
          <w:spacing w:val="-3"/>
          <w:w w:val="105"/>
          <w:sz w:val="21"/>
        </w:rPr>
        <w:t>validly appointed </w:t>
      </w:r>
      <w:r>
        <w:rPr>
          <w:spacing w:val="-4"/>
          <w:w w:val="105"/>
          <w:sz w:val="21"/>
        </w:rPr>
        <w:t>attorney, </w:t>
      </w:r>
      <w:r>
        <w:rPr>
          <w:w w:val="105"/>
          <w:sz w:val="21"/>
        </w:rPr>
        <w:t>on proof of lack of</w:t>
      </w:r>
      <w:r>
        <w:rPr>
          <w:spacing w:val="1"/>
          <w:w w:val="105"/>
          <w:sz w:val="21"/>
        </w:rPr>
        <w:t> </w:t>
      </w:r>
      <w:r>
        <w:rPr>
          <w:spacing w:val="-3"/>
          <w:w w:val="105"/>
          <w:sz w:val="21"/>
        </w:rPr>
        <w:t>capacity.</w:t>
      </w:r>
      <w:r>
        <w:rPr>
          <w:spacing w:val="-3"/>
          <w:w w:val="105"/>
          <w:position w:val="7"/>
          <w:sz w:val="12"/>
        </w:rPr>
        <w:t>93</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pPr>
      <w:r>
        <w:rPr/>
        <w:pict>
          <v:line style="position:absolute;mso-position-horizontal-relative:page;mso-position-vertical-relative:paragraph;z-index:2816;mso-wrap-distance-left:0;mso-wrap-distance-right:0" from="79.370102pt,15.779942pt" to="515.905102pt,15.779942pt" stroked="true" strokeweight="1pt" strokecolor="#f9ceca">
            <v:stroke dashstyle="solid"/>
            <w10:wrap type="topAndBottom"/>
          </v:line>
        </w:pict>
      </w:r>
    </w:p>
    <w:p>
      <w:pPr>
        <w:pStyle w:val="ListParagraph"/>
        <w:numPr>
          <w:ilvl w:val="0"/>
          <w:numId w:val="47"/>
        </w:numPr>
        <w:tabs>
          <w:tab w:pos="2380" w:val="left" w:leader="none"/>
          <w:tab w:pos="2382" w:val="left" w:leader="none"/>
        </w:tabs>
        <w:spacing w:line="240" w:lineRule="auto" w:before="117" w:after="0"/>
        <w:ind w:left="2381" w:right="0" w:hanging="794"/>
        <w:jc w:val="left"/>
        <w:rPr>
          <w:sz w:val="13"/>
        </w:rPr>
      </w:pPr>
      <w:r>
        <w:rPr>
          <w:i/>
          <w:w w:val="105"/>
          <w:sz w:val="13"/>
        </w:rPr>
        <w:t>Guardianship and Administration Act 1986 </w:t>
      </w:r>
      <w:r>
        <w:rPr>
          <w:spacing w:val="2"/>
          <w:w w:val="105"/>
          <w:sz w:val="13"/>
        </w:rPr>
        <w:t>(Vic) </w:t>
      </w:r>
      <w:r>
        <w:rPr>
          <w:w w:val="105"/>
          <w:sz w:val="13"/>
        </w:rPr>
        <w:t>s</w:t>
      </w:r>
      <w:r>
        <w:rPr>
          <w:spacing w:val="26"/>
          <w:w w:val="105"/>
          <w:sz w:val="13"/>
        </w:rPr>
        <w:t> </w:t>
      </w:r>
      <w:r>
        <w:rPr>
          <w:w w:val="105"/>
          <w:sz w:val="13"/>
        </w:rPr>
        <w:t>58G.</w:t>
      </w:r>
    </w:p>
    <w:p>
      <w:pPr>
        <w:pStyle w:val="ListParagraph"/>
        <w:numPr>
          <w:ilvl w:val="0"/>
          <w:numId w:val="47"/>
        </w:numPr>
        <w:tabs>
          <w:tab w:pos="2380" w:val="left" w:leader="none"/>
          <w:tab w:pos="2382" w:val="left" w:leader="none"/>
        </w:tabs>
        <w:spacing w:line="240" w:lineRule="auto" w:before="1" w:after="0"/>
        <w:ind w:left="2381" w:right="0" w:hanging="794"/>
        <w:jc w:val="left"/>
        <w:rPr>
          <w:sz w:val="13"/>
        </w:rPr>
      </w:pPr>
      <w:r>
        <w:rPr>
          <w:sz w:val="13"/>
        </w:rPr>
        <w:t>Ibid s</w:t>
      </w:r>
      <w:r>
        <w:rPr>
          <w:spacing w:val="12"/>
          <w:sz w:val="13"/>
        </w:rPr>
        <w:t> </w:t>
      </w:r>
      <w:r>
        <w:rPr>
          <w:spacing w:val="2"/>
          <w:sz w:val="13"/>
        </w:rPr>
        <w:t>54.</w:t>
      </w:r>
    </w:p>
    <w:p>
      <w:pPr>
        <w:pStyle w:val="ListParagraph"/>
        <w:numPr>
          <w:ilvl w:val="0"/>
          <w:numId w:val="47"/>
        </w:numPr>
        <w:tabs>
          <w:tab w:pos="2380" w:val="left" w:leader="none"/>
          <w:tab w:pos="2382" w:val="left" w:leader="none"/>
        </w:tabs>
        <w:spacing w:line="240" w:lineRule="auto" w:before="2" w:after="0"/>
        <w:ind w:left="2381" w:right="0" w:hanging="794"/>
        <w:jc w:val="left"/>
        <w:rPr>
          <w:sz w:val="13"/>
        </w:rPr>
      </w:pPr>
      <w:r>
        <w:rPr>
          <w:w w:val="105"/>
          <w:sz w:val="13"/>
        </w:rPr>
        <w:t>Victorian</w:t>
      </w:r>
      <w:r>
        <w:rPr>
          <w:spacing w:val="4"/>
          <w:w w:val="105"/>
          <w:sz w:val="13"/>
        </w:rPr>
        <w:t> </w:t>
      </w:r>
      <w:r>
        <w:rPr>
          <w:w w:val="105"/>
          <w:sz w:val="13"/>
        </w:rPr>
        <w:t>Law</w:t>
      </w:r>
      <w:r>
        <w:rPr>
          <w:spacing w:val="5"/>
          <w:w w:val="105"/>
          <w:sz w:val="13"/>
        </w:rPr>
        <w:t> </w:t>
      </w:r>
      <w:r>
        <w:rPr>
          <w:w w:val="105"/>
          <w:sz w:val="13"/>
        </w:rPr>
        <w:t>Reform</w:t>
      </w:r>
      <w:r>
        <w:rPr>
          <w:spacing w:val="5"/>
          <w:w w:val="105"/>
          <w:sz w:val="13"/>
        </w:rPr>
        <w:t> </w:t>
      </w:r>
      <w:r>
        <w:rPr>
          <w:w w:val="105"/>
          <w:sz w:val="13"/>
        </w:rPr>
        <w:t>Commission,</w:t>
      </w:r>
      <w:r>
        <w:rPr>
          <w:spacing w:val="5"/>
          <w:w w:val="105"/>
          <w:sz w:val="13"/>
        </w:rPr>
        <w:t> </w:t>
      </w:r>
      <w:r>
        <w:rPr>
          <w:i/>
          <w:w w:val="105"/>
          <w:sz w:val="13"/>
        </w:rPr>
        <w:t>Guardianship</w:t>
      </w:r>
      <w:r>
        <w:rPr>
          <w:i/>
          <w:spacing w:val="4"/>
          <w:w w:val="105"/>
          <w:sz w:val="13"/>
        </w:rPr>
        <w:t> </w:t>
      </w:r>
      <w:r>
        <w:rPr>
          <w:i/>
          <w:w w:val="105"/>
          <w:sz w:val="13"/>
        </w:rPr>
        <w:t>Final</w:t>
      </w:r>
      <w:r>
        <w:rPr>
          <w:i/>
          <w:spacing w:val="4"/>
          <w:w w:val="105"/>
          <w:sz w:val="13"/>
        </w:rPr>
        <w:t> </w:t>
      </w:r>
      <w:r>
        <w:rPr>
          <w:i/>
          <w:w w:val="105"/>
          <w:sz w:val="13"/>
        </w:rPr>
        <w:t>Report,</w:t>
      </w:r>
      <w:r>
        <w:rPr>
          <w:i/>
          <w:spacing w:val="3"/>
          <w:w w:val="105"/>
          <w:sz w:val="13"/>
        </w:rPr>
        <w:t> </w:t>
      </w:r>
      <w:r>
        <w:rPr>
          <w:w w:val="105"/>
          <w:sz w:val="13"/>
        </w:rPr>
        <w:t>above</w:t>
      </w:r>
      <w:r>
        <w:rPr>
          <w:spacing w:val="5"/>
          <w:w w:val="105"/>
          <w:sz w:val="13"/>
        </w:rPr>
        <w:t> </w:t>
      </w:r>
      <w:r>
        <w:rPr>
          <w:w w:val="105"/>
          <w:sz w:val="13"/>
        </w:rPr>
        <w:t>n</w:t>
      </w:r>
      <w:r>
        <w:rPr>
          <w:spacing w:val="5"/>
          <w:w w:val="105"/>
          <w:sz w:val="13"/>
        </w:rPr>
        <w:t> </w:t>
      </w:r>
      <w:r>
        <w:rPr>
          <w:w w:val="105"/>
          <w:sz w:val="13"/>
        </w:rPr>
        <w:t>39,</w:t>
      </w:r>
      <w:r>
        <w:rPr>
          <w:spacing w:val="5"/>
          <w:w w:val="105"/>
          <w:sz w:val="13"/>
        </w:rPr>
        <w:t> </w:t>
      </w:r>
      <w:r>
        <w:rPr>
          <w:w w:val="105"/>
          <w:sz w:val="13"/>
        </w:rPr>
        <w:t>266.</w:t>
      </w:r>
    </w:p>
    <w:p>
      <w:pPr>
        <w:pStyle w:val="ListParagraph"/>
        <w:numPr>
          <w:ilvl w:val="0"/>
          <w:numId w:val="47"/>
        </w:numPr>
        <w:tabs>
          <w:tab w:pos="2380" w:val="left" w:leader="none"/>
          <w:tab w:pos="2382" w:val="left" w:leader="none"/>
        </w:tabs>
        <w:spacing w:line="240" w:lineRule="auto" w:before="1" w:after="0"/>
        <w:ind w:left="2381" w:right="0" w:hanging="794"/>
        <w:jc w:val="left"/>
        <w:rPr>
          <w:sz w:val="13"/>
        </w:rPr>
      </w:pPr>
      <w:r>
        <w:rPr>
          <w:sz w:val="13"/>
        </w:rPr>
        <w:t>Ibid.</w:t>
      </w:r>
    </w:p>
    <w:p>
      <w:pPr>
        <w:pStyle w:val="ListParagraph"/>
        <w:numPr>
          <w:ilvl w:val="0"/>
          <w:numId w:val="47"/>
        </w:numPr>
        <w:tabs>
          <w:tab w:pos="2380" w:val="left" w:leader="none"/>
          <w:tab w:pos="2382" w:val="left" w:leader="none"/>
        </w:tabs>
        <w:spacing w:line="240" w:lineRule="auto" w:before="1" w:after="0"/>
        <w:ind w:left="2381" w:right="0" w:hanging="794"/>
        <w:jc w:val="left"/>
        <w:rPr>
          <w:sz w:val="13"/>
        </w:rPr>
      </w:pPr>
      <w:r>
        <w:rPr>
          <w:w w:val="105"/>
          <w:sz w:val="13"/>
        </w:rPr>
        <w:t>Law</w:t>
      </w:r>
      <w:r>
        <w:rPr>
          <w:spacing w:val="4"/>
          <w:w w:val="105"/>
          <w:sz w:val="13"/>
        </w:rPr>
        <w:t> </w:t>
      </w:r>
      <w:r>
        <w:rPr>
          <w:w w:val="105"/>
          <w:sz w:val="13"/>
        </w:rPr>
        <w:t>Reform</w:t>
      </w:r>
      <w:r>
        <w:rPr>
          <w:spacing w:val="5"/>
          <w:w w:val="105"/>
          <w:sz w:val="13"/>
        </w:rPr>
        <w:t> </w:t>
      </w:r>
      <w:r>
        <w:rPr>
          <w:w w:val="105"/>
          <w:sz w:val="13"/>
        </w:rPr>
        <w:t>Committee,</w:t>
      </w:r>
      <w:r>
        <w:rPr>
          <w:spacing w:val="5"/>
          <w:w w:val="105"/>
          <w:sz w:val="13"/>
        </w:rPr>
        <w:t> </w:t>
      </w:r>
      <w:r>
        <w:rPr>
          <w:w w:val="105"/>
          <w:sz w:val="13"/>
        </w:rPr>
        <w:t>Parliament</w:t>
      </w:r>
      <w:r>
        <w:rPr>
          <w:spacing w:val="4"/>
          <w:w w:val="105"/>
          <w:sz w:val="13"/>
        </w:rPr>
        <w:t> </w:t>
      </w:r>
      <w:r>
        <w:rPr>
          <w:w w:val="105"/>
          <w:sz w:val="13"/>
        </w:rPr>
        <w:t>of</w:t>
      </w:r>
      <w:r>
        <w:rPr>
          <w:spacing w:val="5"/>
          <w:w w:val="105"/>
          <w:sz w:val="13"/>
        </w:rPr>
        <w:t> </w:t>
      </w:r>
      <w:r>
        <w:rPr>
          <w:w w:val="105"/>
          <w:sz w:val="13"/>
        </w:rPr>
        <w:t>Victoria,</w:t>
      </w:r>
      <w:r>
        <w:rPr>
          <w:spacing w:val="5"/>
          <w:w w:val="105"/>
          <w:sz w:val="13"/>
        </w:rPr>
        <w:t> </w:t>
      </w:r>
      <w:r>
        <w:rPr>
          <w:i/>
          <w:w w:val="105"/>
          <w:sz w:val="13"/>
        </w:rPr>
        <w:t>Inquiry</w:t>
      </w:r>
      <w:r>
        <w:rPr>
          <w:i/>
          <w:spacing w:val="4"/>
          <w:w w:val="105"/>
          <w:sz w:val="13"/>
        </w:rPr>
        <w:t> </w:t>
      </w:r>
      <w:r>
        <w:rPr>
          <w:i/>
          <w:w w:val="105"/>
          <w:sz w:val="13"/>
        </w:rPr>
        <w:t>into</w:t>
      </w:r>
      <w:r>
        <w:rPr>
          <w:i/>
          <w:spacing w:val="3"/>
          <w:w w:val="105"/>
          <w:sz w:val="13"/>
        </w:rPr>
        <w:t> </w:t>
      </w:r>
      <w:r>
        <w:rPr>
          <w:i/>
          <w:w w:val="105"/>
          <w:sz w:val="13"/>
        </w:rPr>
        <w:t>Powers</w:t>
      </w:r>
      <w:r>
        <w:rPr>
          <w:i/>
          <w:spacing w:val="4"/>
          <w:w w:val="105"/>
          <w:sz w:val="13"/>
        </w:rPr>
        <w:t> </w:t>
      </w:r>
      <w:r>
        <w:rPr>
          <w:i/>
          <w:w w:val="105"/>
          <w:sz w:val="13"/>
        </w:rPr>
        <w:t>of</w:t>
      </w:r>
      <w:r>
        <w:rPr>
          <w:i/>
          <w:spacing w:val="4"/>
          <w:w w:val="105"/>
          <w:sz w:val="13"/>
        </w:rPr>
        <w:t> </w:t>
      </w:r>
      <w:r>
        <w:rPr>
          <w:i/>
          <w:w w:val="105"/>
          <w:sz w:val="13"/>
        </w:rPr>
        <w:t>Attorney</w:t>
      </w:r>
      <w:r>
        <w:rPr>
          <w:i/>
          <w:spacing w:val="5"/>
          <w:w w:val="105"/>
          <w:sz w:val="13"/>
        </w:rPr>
        <w:t> </w:t>
      </w:r>
      <w:r>
        <w:rPr>
          <w:w w:val="105"/>
          <w:sz w:val="13"/>
        </w:rPr>
        <w:t>(2010)</w:t>
      </w:r>
      <w:r>
        <w:rPr>
          <w:spacing w:val="4"/>
          <w:w w:val="105"/>
          <w:sz w:val="13"/>
        </w:rPr>
        <w:t> </w:t>
      </w:r>
      <w:r>
        <w:rPr>
          <w:w w:val="105"/>
          <w:sz w:val="13"/>
        </w:rPr>
        <w:t>159.</w:t>
      </w:r>
    </w:p>
    <w:p>
      <w:pPr>
        <w:pStyle w:val="ListParagraph"/>
        <w:numPr>
          <w:ilvl w:val="0"/>
          <w:numId w:val="47"/>
        </w:numPr>
        <w:tabs>
          <w:tab w:pos="2380" w:val="left" w:leader="none"/>
          <w:tab w:pos="2382" w:val="left" w:leader="none"/>
        </w:tabs>
        <w:spacing w:line="240" w:lineRule="auto" w:before="2" w:after="0"/>
        <w:ind w:left="2381" w:right="1678" w:hanging="794"/>
        <w:jc w:val="left"/>
        <w:rPr>
          <w:sz w:val="13"/>
        </w:rPr>
      </w:pPr>
      <w:r>
        <w:rPr>
          <w:sz w:val="13"/>
        </w:rPr>
        <w:t>Submissions 6 </w:t>
      </w:r>
      <w:r>
        <w:rPr>
          <w:spacing w:val="2"/>
          <w:sz w:val="13"/>
        </w:rPr>
        <w:t>(Victorian </w:t>
      </w:r>
      <w:r>
        <w:rPr>
          <w:sz w:val="13"/>
        </w:rPr>
        <w:t>Civil and Administrative Tribunal); </w:t>
      </w:r>
      <w:r>
        <w:rPr>
          <w:spacing w:val="-3"/>
          <w:sz w:val="13"/>
        </w:rPr>
        <w:t>14 </w:t>
      </w:r>
      <w:r>
        <w:rPr>
          <w:sz w:val="13"/>
        </w:rPr>
        <w:t>(Commercial Bar  </w:t>
      </w:r>
      <w:r>
        <w:rPr>
          <w:spacing w:val="2"/>
          <w:sz w:val="13"/>
        </w:rPr>
        <w:t>Association);  </w:t>
      </w:r>
      <w:r>
        <w:rPr>
          <w:sz w:val="13"/>
        </w:rPr>
        <w:t>25  </w:t>
      </w:r>
      <w:r>
        <w:rPr>
          <w:spacing w:val="2"/>
          <w:sz w:val="13"/>
        </w:rPr>
        <w:t>(Moores  </w:t>
      </w:r>
      <w:r>
        <w:rPr>
          <w:sz w:val="13"/>
        </w:rPr>
        <w:t>Legal);  30a  </w:t>
      </w:r>
      <w:r>
        <w:rPr>
          <w:spacing w:val="3"/>
          <w:sz w:val="13"/>
        </w:rPr>
        <w:t>(Law  </w:t>
      </w:r>
      <w:r>
        <w:rPr>
          <w:sz w:val="13"/>
        </w:rPr>
        <w:t>Institute  of </w:t>
      </w:r>
      <w:r>
        <w:rPr>
          <w:spacing w:val="2"/>
          <w:sz w:val="13"/>
        </w:rPr>
        <w:t>Victoria);</w:t>
      </w:r>
      <w:r>
        <w:rPr>
          <w:spacing w:val="22"/>
          <w:sz w:val="13"/>
        </w:rPr>
        <w:t> </w:t>
      </w:r>
      <w:r>
        <w:rPr>
          <w:sz w:val="13"/>
        </w:rPr>
        <w:t>32</w:t>
      </w:r>
      <w:r>
        <w:rPr>
          <w:spacing w:val="23"/>
          <w:sz w:val="13"/>
        </w:rPr>
        <w:t> </w:t>
      </w:r>
      <w:r>
        <w:rPr>
          <w:spacing w:val="2"/>
          <w:sz w:val="13"/>
        </w:rPr>
        <w:t>(The</w:t>
      </w:r>
      <w:r>
        <w:rPr>
          <w:spacing w:val="22"/>
          <w:sz w:val="13"/>
        </w:rPr>
        <w:t> </w:t>
      </w:r>
      <w:r>
        <w:rPr>
          <w:sz w:val="13"/>
        </w:rPr>
        <w:t>Institute</w:t>
      </w:r>
      <w:r>
        <w:rPr>
          <w:spacing w:val="23"/>
          <w:sz w:val="13"/>
        </w:rPr>
        <w:t> </w:t>
      </w:r>
      <w:r>
        <w:rPr>
          <w:sz w:val="13"/>
        </w:rPr>
        <w:t>of</w:t>
      </w:r>
      <w:r>
        <w:rPr>
          <w:spacing w:val="22"/>
          <w:sz w:val="13"/>
        </w:rPr>
        <w:t> </w:t>
      </w:r>
      <w:r>
        <w:rPr>
          <w:sz w:val="13"/>
        </w:rPr>
        <w:t>Legal</w:t>
      </w:r>
      <w:r>
        <w:rPr>
          <w:spacing w:val="23"/>
          <w:sz w:val="13"/>
        </w:rPr>
        <w:t> </w:t>
      </w:r>
      <w:r>
        <w:rPr>
          <w:sz w:val="13"/>
        </w:rPr>
        <w:t>Executives);</w:t>
      </w:r>
      <w:r>
        <w:rPr>
          <w:spacing w:val="23"/>
          <w:sz w:val="13"/>
        </w:rPr>
        <w:t> </w:t>
      </w:r>
      <w:r>
        <w:rPr>
          <w:sz w:val="13"/>
        </w:rPr>
        <w:t>33</w:t>
      </w:r>
      <w:r>
        <w:rPr>
          <w:spacing w:val="22"/>
          <w:sz w:val="13"/>
        </w:rPr>
        <w:t> </w:t>
      </w:r>
      <w:r>
        <w:rPr>
          <w:sz w:val="13"/>
        </w:rPr>
        <w:t>(State</w:t>
      </w:r>
      <w:r>
        <w:rPr>
          <w:spacing w:val="23"/>
          <w:sz w:val="13"/>
        </w:rPr>
        <w:t> </w:t>
      </w:r>
      <w:r>
        <w:rPr>
          <w:sz w:val="13"/>
        </w:rPr>
        <w:t>Trustees</w:t>
      </w:r>
      <w:r>
        <w:rPr>
          <w:spacing w:val="22"/>
          <w:sz w:val="13"/>
        </w:rPr>
        <w:t> </w:t>
      </w:r>
      <w:r>
        <w:rPr>
          <w:sz w:val="13"/>
        </w:rPr>
        <w:t>Limited).</w:t>
      </w:r>
      <w:r>
        <w:rPr>
          <w:spacing w:val="23"/>
          <w:sz w:val="13"/>
        </w:rPr>
        <w:t> </w:t>
      </w:r>
      <w:r>
        <w:rPr>
          <w:sz w:val="13"/>
        </w:rPr>
        <w:t>Carolyn</w:t>
      </w:r>
      <w:r>
        <w:rPr>
          <w:spacing w:val="23"/>
          <w:sz w:val="13"/>
        </w:rPr>
        <w:t> </w:t>
      </w:r>
      <w:r>
        <w:rPr>
          <w:sz w:val="13"/>
        </w:rPr>
        <w:t>Sparke</w:t>
      </w:r>
      <w:r>
        <w:rPr>
          <w:spacing w:val="22"/>
          <w:sz w:val="13"/>
        </w:rPr>
        <w:t> </w:t>
      </w:r>
      <w:r>
        <w:rPr>
          <w:sz w:val="13"/>
        </w:rPr>
        <w:t>SC</w:t>
      </w:r>
      <w:r>
        <w:rPr>
          <w:spacing w:val="23"/>
          <w:sz w:val="13"/>
        </w:rPr>
        <w:t> </w:t>
      </w:r>
      <w:r>
        <w:rPr>
          <w:sz w:val="13"/>
        </w:rPr>
        <w:t>did</w:t>
      </w:r>
      <w:r>
        <w:rPr>
          <w:spacing w:val="22"/>
          <w:sz w:val="13"/>
        </w:rPr>
        <w:t> </w:t>
      </w:r>
      <w:r>
        <w:rPr>
          <w:sz w:val="13"/>
        </w:rPr>
        <w:t>not</w:t>
      </w:r>
      <w:r>
        <w:rPr>
          <w:spacing w:val="23"/>
          <w:sz w:val="13"/>
        </w:rPr>
        <w:t> </w:t>
      </w:r>
      <w:r>
        <w:rPr>
          <w:sz w:val="13"/>
        </w:rPr>
        <w:t>support</w:t>
      </w:r>
      <w:r>
        <w:rPr>
          <w:spacing w:val="23"/>
          <w:sz w:val="13"/>
        </w:rPr>
        <w:t> </w:t>
      </w:r>
      <w:r>
        <w:rPr>
          <w:sz w:val="13"/>
        </w:rPr>
        <w:t>this</w:t>
      </w:r>
      <w:r>
        <w:rPr>
          <w:spacing w:val="22"/>
          <w:sz w:val="13"/>
        </w:rPr>
        <w:t> </w:t>
      </w:r>
      <w:r>
        <w:rPr>
          <w:sz w:val="13"/>
        </w:rPr>
        <w:t>change:</w:t>
      </w:r>
      <w:r>
        <w:rPr>
          <w:spacing w:val="23"/>
          <w:sz w:val="13"/>
        </w:rPr>
        <w:t> </w:t>
      </w:r>
      <w:r>
        <w:rPr>
          <w:sz w:val="13"/>
        </w:rPr>
        <w:t>submission</w:t>
      </w:r>
      <w:r>
        <w:rPr>
          <w:spacing w:val="22"/>
          <w:sz w:val="13"/>
        </w:rPr>
        <w:t> </w:t>
      </w:r>
      <w:r>
        <w:rPr>
          <w:sz w:val="13"/>
        </w:rPr>
        <w:t>39.</w:t>
      </w:r>
    </w:p>
    <w:p>
      <w:pPr>
        <w:pStyle w:val="ListParagraph"/>
        <w:numPr>
          <w:ilvl w:val="0"/>
          <w:numId w:val="47"/>
        </w:numPr>
        <w:tabs>
          <w:tab w:pos="2380" w:val="left" w:leader="none"/>
          <w:tab w:pos="2382" w:val="left" w:leader="none"/>
        </w:tabs>
        <w:spacing w:line="240" w:lineRule="auto" w:before="2" w:after="0"/>
        <w:ind w:left="2381" w:right="0" w:hanging="794"/>
        <w:jc w:val="left"/>
        <w:rPr>
          <w:sz w:val="13"/>
        </w:rPr>
      </w:pPr>
      <w:r>
        <w:rPr>
          <w:w w:val="105"/>
          <w:sz w:val="13"/>
        </w:rPr>
        <w:t>Consultation 1 (Wills</w:t>
      </w:r>
      <w:r>
        <w:rPr>
          <w:spacing w:val="13"/>
          <w:w w:val="105"/>
          <w:sz w:val="13"/>
        </w:rPr>
        <w:t> </w:t>
      </w:r>
      <w:r>
        <w:rPr>
          <w:w w:val="105"/>
          <w:sz w:val="13"/>
        </w:rPr>
        <w:t>roundtable).</w:t>
      </w:r>
    </w:p>
    <w:p>
      <w:pPr>
        <w:pStyle w:val="ListParagraph"/>
        <w:numPr>
          <w:ilvl w:val="0"/>
          <w:numId w:val="47"/>
        </w:numPr>
        <w:tabs>
          <w:tab w:pos="2381" w:val="left" w:leader="none"/>
          <w:tab w:pos="2382" w:val="left" w:leader="none"/>
        </w:tabs>
        <w:spacing w:line="240" w:lineRule="auto" w:before="2" w:after="0"/>
        <w:ind w:left="2381" w:right="0" w:hanging="794"/>
        <w:jc w:val="left"/>
        <w:rPr>
          <w:sz w:val="13"/>
        </w:rPr>
      </w:pPr>
      <w:r>
        <w:rPr>
          <w:w w:val="105"/>
          <w:sz w:val="13"/>
        </w:rPr>
        <w:t>Submission 25 </w:t>
      </w:r>
      <w:r>
        <w:rPr>
          <w:spacing w:val="2"/>
          <w:w w:val="105"/>
          <w:sz w:val="13"/>
        </w:rPr>
        <w:t>(Moores</w:t>
      </w:r>
      <w:r>
        <w:rPr>
          <w:spacing w:val="13"/>
          <w:w w:val="105"/>
          <w:sz w:val="13"/>
        </w:rPr>
        <w:t> </w:t>
      </w:r>
      <w:r>
        <w:rPr>
          <w:w w:val="105"/>
          <w:sz w:val="13"/>
        </w:rPr>
        <w:t>Legal).</w:t>
      </w:r>
    </w:p>
    <w:p>
      <w:pPr>
        <w:pStyle w:val="ListParagraph"/>
        <w:numPr>
          <w:ilvl w:val="0"/>
          <w:numId w:val="47"/>
        </w:numPr>
        <w:tabs>
          <w:tab w:pos="2381" w:val="left" w:leader="none"/>
          <w:tab w:pos="2382" w:val="left" w:leader="none"/>
        </w:tabs>
        <w:spacing w:line="240" w:lineRule="auto" w:before="1" w:after="0"/>
        <w:ind w:left="2381" w:right="0" w:hanging="794"/>
        <w:jc w:val="left"/>
        <w:rPr>
          <w:sz w:val="13"/>
        </w:rPr>
      </w:pPr>
      <w:r>
        <w:rPr>
          <w:w w:val="105"/>
          <w:sz w:val="13"/>
        </w:rPr>
        <w:t>Submissions</w:t>
      </w:r>
      <w:r>
        <w:rPr>
          <w:spacing w:val="4"/>
          <w:w w:val="105"/>
          <w:sz w:val="13"/>
        </w:rPr>
        <w:t> </w:t>
      </w:r>
      <w:r>
        <w:rPr>
          <w:spacing w:val="-3"/>
          <w:w w:val="105"/>
          <w:sz w:val="13"/>
        </w:rPr>
        <w:t>14</w:t>
      </w:r>
      <w:r>
        <w:rPr>
          <w:spacing w:val="5"/>
          <w:w w:val="105"/>
          <w:sz w:val="13"/>
        </w:rPr>
        <w:t> </w:t>
      </w:r>
      <w:r>
        <w:rPr>
          <w:w w:val="105"/>
          <w:sz w:val="13"/>
        </w:rPr>
        <w:t>(Commercial</w:t>
      </w:r>
      <w:r>
        <w:rPr>
          <w:spacing w:val="5"/>
          <w:w w:val="105"/>
          <w:sz w:val="13"/>
        </w:rPr>
        <w:t> </w:t>
      </w:r>
      <w:r>
        <w:rPr>
          <w:w w:val="105"/>
          <w:sz w:val="13"/>
        </w:rPr>
        <w:t>Bar</w:t>
      </w:r>
      <w:r>
        <w:rPr>
          <w:spacing w:val="4"/>
          <w:w w:val="105"/>
          <w:sz w:val="13"/>
        </w:rPr>
        <w:t> </w:t>
      </w:r>
      <w:r>
        <w:rPr>
          <w:spacing w:val="2"/>
          <w:w w:val="105"/>
          <w:sz w:val="13"/>
        </w:rPr>
        <w:t>Association);</w:t>
      </w:r>
      <w:r>
        <w:rPr>
          <w:spacing w:val="5"/>
          <w:w w:val="105"/>
          <w:sz w:val="13"/>
        </w:rPr>
        <w:t> </w:t>
      </w:r>
      <w:r>
        <w:rPr>
          <w:w w:val="105"/>
          <w:sz w:val="13"/>
        </w:rPr>
        <w:t>21</w:t>
      </w:r>
      <w:r>
        <w:rPr>
          <w:spacing w:val="5"/>
          <w:w w:val="105"/>
          <w:sz w:val="13"/>
        </w:rPr>
        <w:t> </w:t>
      </w:r>
      <w:r>
        <w:rPr>
          <w:spacing w:val="2"/>
          <w:w w:val="105"/>
          <w:sz w:val="13"/>
        </w:rPr>
        <w:t>(Office</w:t>
      </w:r>
      <w:r>
        <w:rPr>
          <w:spacing w:val="4"/>
          <w:w w:val="105"/>
          <w:sz w:val="13"/>
        </w:rPr>
        <w:t> </w:t>
      </w:r>
      <w:r>
        <w:rPr>
          <w:w w:val="105"/>
          <w:sz w:val="13"/>
        </w:rPr>
        <w:t>of</w:t>
      </w:r>
      <w:r>
        <w:rPr>
          <w:spacing w:val="5"/>
          <w:w w:val="105"/>
          <w:sz w:val="13"/>
        </w:rPr>
        <w:t> </w:t>
      </w:r>
      <w:r>
        <w:rPr>
          <w:w w:val="105"/>
          <w:sz w:val="13"/>
        </w:rPr>
        <w:t>the</w:t>
      </w:r>
      <w:r>
        <w:rPr>
          <w:spacing w:val="5"/>
          <w:w w:val="105"/>
          <w:sz w:val="13"/>
        </w:rPr>
        <w:t> </w:t>
      </w:r>
      <w:r>
        <w:rPr>
          <w:w w:val="105"/>
          <w:sz w:val="13"/>
        </w:rPr>
        <w:t>Public</w:t>
      </w:r>
      <w:r>
        <w:rPr>
          <w:spacing w:val="4"/>
          <w:w w:val="105"/>
          <w:sz w:val="13"/>
        </w:rPr>
        <w:t> </w:t>
      </w:r>
      <w:r>
        <w:rPr>
          <w:w w:val="105"/>
          <w:sz w:val="13"/>
        </w:rPr>
        <w:t>Advocate);</w:t>
      </w:r>
      <w:r>
        <w:rPr>
          <w:spacing w:val="5"/>
          <w:w w:val="105"/>
          <w:sz w:val="13"/>
        </w:rPr>
        <w:t> </w:t>
      </w:r>
      <w:r>
        <w:rPr>
          <w:w w:val="105"/>
          <w:sz w:val="13"/>
        </w:rPr>
        <w:t>25</w:t>
      </w:r>
      <w:r>
        <w:rPr>
          <w:spacing w:val="5"/>
          <w:w w:val="105"/>
          <w:sz w:val="13"/>
        </w:rPr>
        <w:t> </w:t>
      </w:r>
      <w:r>
        <w:rPr>
          <w:spacing w:val="2"/>
          <w:w w:val="105"/>
          <w:sz w:val="13"/>
        </w:rPr>
        <w:t>(Moores</w:t>
      </w:r>
      <w:r>
        <w:rPr>
          <w:spacing w:val="4"/>
          <w:w w:val="105"/>
          <w:sz w:val="13"/>
        </w:rPr>
        <w:t> </w:t>
      </w:r>
      <w:r>
        <w:rPr>
          <w:w w:val="105"/>
          <w:sz w:val="13"/>
        </w:rPr>
        <w:t>Legal);</w:t>
      </w:r>
      <w:r>
        <w:rPr>
          <w:spacing w:val="5"/>
          <w:w w:val="105"/>
          <w:sz w:val="13"/>
        </w:rPr>
        <w:t> </w:t>
      </w:r>
      <w:r>
        <w:rPr>
          <w:w w:val="105"/>
          <w:sz w:val="13"/>
        </w:rPr>
        <w:t>30a</w:t>
      </w:r>
      <w:r>
        <w:rPr>
          <w:spacing w:val="5"/>
          <w:w w:val="105"/>
          <w:sz w:val="13"/>
        </w:rPr>
        <w:t> </w:t>
      </w:r>
      <w:r>
        <w:rPr>
          <w:spacing w:val="3"/>
          <w:w w:val="105"/>
          <w:sz w:val="13"/>
        </w:rPr>
        <w:t>(Law</w:t>
      </w:r>
      <w:r>
        <w:rPr>
          <w:spacing w:val="5"/>
          <w:w w:val="105"/>
          <w:sz w:val="13"/>
        </w:rPr>
        <w:t> </w:t>
      </w:r>
      <w:r>
        <w:rPr>
          <w:w w:val="105"/>
          <w:sz w:val="13"/>
        </w:rPr>
        <w:t>Institute</w:t>
      </w:r>
      <w:r>
        <w:rPr>
          <w:spacing w:val="4"/>
          <w:w w:val="105"/>
          <w:sz w:val="13"/>
        </w:rPr>
        <w:t> </w:t>
      </w:r>
      <w:r>
        <w:rPr>
          <w:w w:val="105"/>
          <w:sz w:val="13"/>
        </w:rPr>
        <w:t>of</w:t>
      </w:r>
      <w:r>
        <w:rPr>
          <w:spacing w:val="5"/>
          <w:w w:val="105"/>
          <w:sz w:val="13"/>
        </w:rPr>
        <w:t> </w:t>
      </w:r>
      <w:r>
        <w:rPr>
          <w:spacing w:val="2"/>
          <w:w w:val="105"/>
          <w:sz w:val="13"/>
        </w:rPr>
        <w:t>Victoria).</w:t>
      </w:r>
    </w:p>
    <w:p>
      <w:pPr>
        <w:spacing w:before="1"/>
        <w:ind w:left="2381" w:right="1826" w:firstLine="0"/>
        <w:jc w:val="left"/>
        <w:rPr>
          <w:sz w:val="13"/>
        </w:rPr>
      </w:pPr>
      <w:r>
        <w:rPr>
          <w:sz w:val="13"/>
        </w:rPr>
        <w:t>The Institute of Legal Executives stated that the incapacity should be expected to continue, as opposed to a short-term trauma situation: submission 32.</w:t>
      </w:r>
    </w:p>
    <w:p>
      <w:pPr>
        <w:pStyle w:val="ListParagraph"/>
        <w:numPr>
          <w:ilvl w:val="0"/>
          <w:numId w:val="47"/>
        </w:numPr>
        <w:tabs>
          <w:tab w:pos="2381" w:val="left" w:leader="none"/>
          <w:tab w:pos="2382" w:val="left" w:leader="none"/>
        </w:tabs>
        <w:spacing w:line="240" w:lineRule="auto" w:before="3" w:after="0"/>
        <w:ind w:left="2381" w:right="0" w:hanging="794"/>
        <w:jc w:val="left"/>
        <w:rPr>
          <w:sz w:val="13"/>
        </w:rPr>
      </w:pPr>
      <w:r>
        <w:rPr>
          <w:w w:val="105"/>
          <w:sz w:val="13"/>
        </w:rPr>
        <w:t>Consultation 1 (Wills</w:t>
      </w:r>
      <w:r>
        <w:rPr>
          <w:spacing w:val="13"/>
          <w:w w:val="105"/>
          <w:sz w:val="13"/>
        </w:rPr>
        <w:t> </w:t>
      </w:r>
      <w:r>
        <w:rPr>
          <w:w w:val="105"/>
          <w:sz w:val="13"/>
        </w:rPr>
        <w:t>roundtable).</w:t>
      </w:r>
    </w:p>
    <w:p>
      <w:pPr>
        <w:pStyle w:val="ListParagraph"/>
        <w:numPr>
          <w:ilvl w:val="0"/>
          <w:numId w:val="47"/>
        </w:numPr>
        <w:tabs>
          <w:tab w:pos="2381" w:val="left" w:leader="none"/>
          <w:tab w:pos="2382" w:val="left" w:leader="none"/>
        </w:tabs>
        <w:spacing w:line="240" w:lineRule="auto" w:before="1" w:after="0"/>
        <w:ind w:left="2381" w:right="0" w:hanging="794"/>
        <w:jc w:val="left"/>
        <w:rPr>
          <w:sz w:val="13"/>
        </w:rPr>
      </w:pPr>
      <w:r>
        <w:rPr>
          <w:w w:val="105"/>
          <w:sz w:val="13"/>
        </w:rPr>
        <w:t>Submission 33 (State Trustees</w:t>
      </w:r>
      <w:r>
        <w:rPr>
          <w:spacing w:val="18"/>
          <w:w w:val="105"/>
          <w:sz w:val="13"/>
        </w:rPr>
        <w:t> </w:t>
      </w:r>
      <w:r>
        <w:rPr>
          <w:w w:val="105"/>
          <w:sz w:val="13"/>
        </w:rPr>
        <w:t>Limited).</w:t>
      </w:r>
    </w:p>
    <w:p>
      <w:pPr>
        <w:pStyle w:val="ListParagraph"/>
        <w:numPr>
          <w:ilvl w:val="0"/>
          <w:numId w:val="47"/>
        </w:numPr>
        <w:tabs>
          <w:tab w:pos="2381" w:val="left" w:leader="none"/>
          <w:tab w:pos="2382" w:val="left" w:leader="none"/>
        </w:tabs>
        <w:spacing w:line="240" w:lineRule="auto" w:before="2" w:after="0"/>
        <w:ind w:left="2381" w:right="1714" w:hanging="794"/>
        <w:jc w:val="left"/>
        <w:rPr>
          <w:sz w:val="13"/>
        </w:rPr>
      </w:pPr>
      <w:r>
        <w:rPr/>
        <w:pict>
          <v:shape style="position:absolute;margin-left:36pt;margin-top:3.637366pt;width:13.3pt;height:14.25pt;mso-position-horizontal-relative:page;mso-position-vertical-relative:paragraph;z-index:4888" type="#_x0000_t202" filled="false" stroked="false">
            <v:textbox inset="0,0,0,0">
              <w:txbxContent>
                <w:p>
                  <w:pPr>
                    <w:spacing w:line="284" w:lineRule="exact" w:before="0"/>
                    <w:ind w:left="0" w:right="0" w:firstLine="0"/>
                    <w:jc w:val="left"/>
                    <w:rPr>
                      <w:b/>
                      <w:sz w:val="24"/>
                    </w:rPr>
                  </w:pPr>
                  <w:r>
                    <w:rPr>
                      <w:b/>
                      <w:color w:val="EC5A4F"/>
                      <w:spacing w:val="-1"/>
                      <w:w w:val="110"/>
                      <w:sz w:val="24"/>
                    </w:rPr>
                    <w:t>52</w:t>
                  </w:r>
                </w:p>
              </w:txbxContent>
            </v:textbox>
            <w10:wrap type="none"/>
          </v:shape>
        </w:pict>
      </w:r>
      <w:r>
        <w:rPr>
          <w:sz w:val="13"/>
        </w:rPr>
        <w:t>Submissions 30a </w:t>
      </w:r>
      <w:r>
        <w:rPr>
          <w:spacing w:val="3"/>
          <w:sz w:val="13"/>
        </w:rPr>
        <w:t>(Law </w:t>
      </w:r>
      <w:r>
        <w:rPr>
          <w:sz w:val="13"/>
        </w:rPr>
        <w:t>Institute of </w:t>
      </w:r>
      <w:r>
        <w:rPr>
          <w:spacing w:val="2"/>
          <w:sz w:val="13"/>
        </w:rPr>
        <w:t>Victoria); </w:t>
      </w:r>
      <w:r>
        <w:rPr>
          <w:sz w:val="13"/>
        </w:rPr>
        <w:t>33 (State Trustees Limited). In State Trustees’ view, the holder of the will should be authorised             to</w:t>
      </w:r>
      <w:r>
        <w:rPr>
          <w:spacing w:val="7"/>
          <w:sz w:val="13"/>
        </w:rPr>
        <w:t> </w:t>
      </w:r>
      <w:r>
        <w:rPr>
          <w:sz w:val="13"/>
        </w:rPr>
        <w:t>provide</w:t>
      </w:r>
      <w:r>
        <w:rPr>
          <w:spacing w:val="8"/>
          <w:sz w:val="13"/>
        </w:rPr>
        <w:t> </w:t>
      </w:r>
      <w:r>
        <w:rPr>
          <w:sz w:val="13"/>
        </w:rPr>
        <w:t>information</w:t>
      </w:r>
      <w:r>
        <w:rPr>
          <w:spacing w:val="8"/>
          <w:sz w:val="13"/>
        </w:rPr>
        <w:t> </w:t>
      </w:r>
      <w:r>
        <w:rPr>
          <w:sz w:val="13"/>
        </w:rPr>
        <w:t>on</w:t>
      </w:r>
      <w:r>
        <w:rPr>
          <w:spacing w:val="8"/>
          <w:sz w:val="13"/>
        </w:rPr>
        <w:t> </w:t>
      </w:r>
      <w:r>
        <w:rPr>
          <w:sz w:val="13"/>
        </w:rPr>
        <w:t>specific</w:t>
      </w:r>
      <w:r>
        <w:rPr>
          <w:spacing w:val="8"/>
          <w:sz w:val="13"/>
        </w:rPr>
        <w:t> </w:t>
      </w:r>
      <w:r>
        <w:rPr>
          <w:sz w:val="13"/>
        </w:rPr>
        <w:t>gifts</w:t>
      </w:r>
      <w:r>
        <w:rPr>
          <w:spacing w:val="7"/>
          <w:sz w:val="13"/>
        </w:rPr>
        <w:t> </w:t>
      </w:r>
      <w:r>
        <w:rPr>
          <w:sz w:val="13"/>
        </w:rPr>
        <w:t>but</w:t>
      </w:r>
      <w:r>
        <w:rPr>
          <w:spacing w:val="8"/>
          <w:sz w:val="13"/>
        </w:rPr>
        <w:t> </w:t>
      </w:r>
      <w:r>
        <w:rPr>
          <w:sz w:val="13"/>
        </w:rPr>
        <w:t>not</w:t>
      </w:r>
      <w:r>
        <w:rPr>
          <w:spacing w:val="8"/>
          <w:sz w:val="13"/>
        </w:rPr>
        <w:t> </w:t>
      </w:r>
      <w:r>
        <w:rPr>
          <w:sz w:val="13"/>
        </w:rPr>
        <w:t>on</w:t>
      </w:r>
      <w:r>
        <w:rPr>
          <w:spacing w:val="8"/>
          <w:sz w:val="13"/>
        </w:rPr>
        <w:t> </w:t>
      </w:r>
      <w:r>
        <w:rPr>
          <w:sz w:val="13"/>
        </w:rPr>
        <w:t>who</w:t>
      </w:r>
      <w:r>
        <w:rPr>
          <w:spacing w:val="8"/>
          <w:sz w:val="13"/>
        </w:rPr>
        <w:t> </w:t>
      </w:r>
      <w:r>
        <w:rPr>
          <w:sz w:val="13"/>
        </w:rPr>
        <w:t>the</w:t>
      </w:r>
      <w:r>
        <w:rPr>
          <w:spacing w:val="7"/>
          <w:sz w:val="13"/>
        </w:rPr>
        <w:t> </w:t>
      </w:r>
      <w:r>
        <w:rPr>
          <w:sz w:val="13"/>
        </w:rPr>
        <w:t>beneficiaries</w:t>
      </w:r>
      <w:r>
        <w:rPr>
          <w:spacing w:val="8"/>
          <w:sz w:val="13"/>
        </w:rPr>
        <w:t> </w:t>
      </w:r>
      <w:r>
        <w:rPr>
          <w:sz w:val="13"/>
        </w:rPr>
        <w:t>are.</w:t>
      </w:r>
    </w:p>
    <w:p>
      <w:pPr>
        <w:spacing w:after="0" w:line="240" w:lineRule="auto"/>
        <w:jc w:val="left"/>
        <w:rPr>
          <w:sz w:val="13"/>
        </w:rPr>
        <w:sectPr>
          <w:pgSz w:w="11910" w:h="16840"/>
          <w:pgMar w:header="550" w:footer="0" w:top="1560" w:bottom="280" w:left="0" w:right="0"/>
        </w:sectPr>
      </w:pPr>
    </w:p>
    <w:p>
      <w:pPr>
        <w:pStyle w:val="BodyText"/>
        <w:rPr>
          <w:sz w:val="20"/>
        </w:rPr>
      </w:pPr>
    </w:p>
    <w:p>
      <w:pPr>
        <w:pStyle w:val="BodyText"/>
        <w:spacing w:before="1"/>
        <w:rPr>
          <w:sz w:val="18"/>
        </w:rPr>
      </w:pPr>
    </w:p>
    <w:p>
      <w:pPr>
        <w:pStyle w:val="Heading5"/>
        <w:spacing w:before="99"/>
      </w:pPr>
      <w:r>
        <w:rPr>
          <w:w w:val="115"/>
        </w:rPr>
        <w:t>Commission’s views and conclusions</w:t>
      </w:r>
    </w:p>
    <w:p>
      <w:pPr>
        <w:pStyle w:val="ListParagraph"/>
        <w:numPr>
          <w:ilvl w:val="1"/>
          <w:numId w:val="22"/>
        </w:numPr>
        <w:tabs>
          <w:tab w:pos="2381" w:val="left" w:leader="none"/>
          <w:tab w:pos="2382" w:val="left" w:leader="none"/>
        </w:tabs>
        <w:spacing w:line="242" w:lineRule="auto" w:before="137" w:after="0"/>
        <w:ind w:left="2381" w:right="1621" w:hanging="794"/>
        <w:jc w:val="left"/>
        <w:rPr>
          <w:sz w:val="21"/>
        </w:rPr>
      </w:pPr>
      <w:r>
        <w:rPr>
          <w:sz w:val="21"/>
        </w:rPr>
        <w:t>The </w:t>
      </w:r>
      <w:r>
        <w:rPr>
          <w:spacing w:val="-3"/>
          <w:sz w:val="21"/>
        </w:rPr>
        <w:t>Commission </w:t>
      </w:r>
      <w:r>
        <w:rPr>
          <w:sz w:val="21"/>
        </w:rPr>
        <w:t>agrees </w:t>
      </w:r>
      <w:r>
        <w:rPr>
          <w:spacing w:val="-3"/>
          <w:sz w:val="21"/>
        </w:rPr>
        <w:t>that </w:t>
      </w:r>
      <w:r>
        <w:rPr>
          <w:sz w:val="21"/>
        </w:rPr>
        <w:t>an attorney should be able </w:t>
      </w:r>
      <w:r>
        <w:rPr>
          <w:spacing w:val="-3"/>
          <w:sz w:val="21"/>
        </w:rPr>
        <w:t>to  </w:t>
      </w:r>
      <w:r>
        <w:rPr>
          <w:spacing w:val="-2"/>
          <w:sz w:val="21"/>
        </w:rPr>
        <w:t>access  </w:t>
      </w:r>
      <w:r>
        <w:rPr>
          <w:sz w:val="21"/>
        </w:rPr>
        <w:t>a </w:t>
      </w:r>
      <w:r>
        <w:rPr>
          <w:spacing w:val="-3"/>
          <w:sz w:val="21"/>
        </w:rPr>
        <w:t>person’s  will  </w:t>
      </w:r>
      <w:r>
        <w:rPr>
          <w:sz w:val="21"/>
        </w:rPr>
        <w:t>in the same </w:t>
      </w:r>
      <w:r>
        <w:rPr>
          <w:spacing w:val="-3"/>
          <w:sz w:val="21"/>
        </w:rPr>
        <w:t>way </w:t>
      </w:r>
      <w:r>
        <w:rPr>
          <w:sz w:val="21"/>
        </w:rPr>
        <w:t>as an </w:t>
      </w:r>
      <w:r>
        <w:rPr>
          <w:spacing w:val="-4"/>
          <w:sz w:val="21"/>
        </w:rPr>
        <w:t>administrator. </w:t>
      </w:r>
      <w:r>
        <w:rPr>
          <w:sz w:val="21"/>
        </w:rPr>
        <w:t>While the </w:t>
      </w:r>
      <w:r>
        <w:rPr>
          <w:spacing w:val="-3"/>
          <w:sz w:val="21"/>
        </w:rPr>
        <w:t>Commission </w:t>
      </w:r>
      <w:r>
        <w:rPr>
          <w:sz w:val="21"/>
        </w:rPr>
        <w:t>does </w:t>
      </w:r>
      <w:r>
        <w:rPr>
          <w:spacing w:val="-2"/>
          <w:sz w:val="21"/>
        </w:rPr>
        <w:t>not  </w:t>
      </w:r>
      <w:r>
        <w:rPr>
          <w:sz w:val="21"/>
        </w:rPr>
        <w:t>believe an attorney should  be under </w:t>
      </w:r>
      <w:r>
        <w:rPr>
          <w:spacing w:val="-3"/>
          <w:sz w:val="21"/>
        </w:rPr>
        <w:t>any obligation to </w:t>
      </w:r>
      <w:r>
        <w:rPr>
          <w:sz w:val="21"/>
        </w:rPr>
        <w:t>hold </w:t>
      </w:r>
      <w:r>
        <w:rPr>
          <w:spacing w:val="-3"/>
          <w:sz w:val="21"/>
        </w:rPr>
        <w:t>funds separately </w:t>
      </w:r>
      <w:r>
        <w:rPr>
          <w:sz w:val="21"/>
        </w:rPr>
        <w:t>where a specific gift </w:t>
      </w:r>
      <w:r>
        <w:rPr>
          <w:spacing w:val="-2"/>
          <w:sz w:val="21"/>
        </w:rPr>
        <w:t>has </w:t>
      </w:r>
      <w:r>
        <w:rPr>
          <w:sz w:val="21"/>
        </w:rPr>
        <w:t>been sold, knowledge of the </w:t>
      </w:r>
      <w:r>
        <w:rPr>
          <w:spacing w:val="-3"/>
          <w:sz w:val="21"/>
        </w:rPr>
        <w:t>person’s will may  </w:t>
      </w:r>
      <w:r>
        <w:rPr>
          <w:sz w:val="21"/>
        </w:rPr>
        <w:t>still be </w:t>
      </w:r>
      <w:r>
        <w:rPr>
          <w:spacing w:val="-3"/>
          <w:sz w:val="21"/>
        </w:rPr>
        <w:t>useful</w:t>
      </w:r>
      <w:r>
        <w:rPr>
          <w:spacing w:val="41"/>
          <w:sz w:val="21"/>
        </w:rPr>
        <w:t> </w:t>
      </w:r>
      <w:r>
        <w:rPr>
          <w:sz w:val="21"/>
        </w:rPr>
        <w:t>in </w:t>
      </w:r>
      <w:r>
        <w:rPr>
          <w:spacing w:val="-3"/>
          <w:sz w:val="21"/>
        </w:rPr>
        <w:t>preventing  </w:t>
      </w:r>
      <w:r>
        <w:rPr>
          <w:sz w:val="21"/>
        </w:rPr>
        <w:t>what would otherwise be  an ademption and </w:t>
      </w:r>
      <w:r>
        <w:rPr>
          <w:spacing w:val="-3"/>
          <w:sz w:val="21"/>
        </w:rPr>
        <w:t>achieving greater fairness generally </w:t>
      </w:r>
      <w:r>
        <w:rPr>
          <w:sz w:val="21"/>
        </w:rPr>
        <w:t>between beneficiaries. A </w:t>
      </w:r>
      <w:r>
        <w:rPr>
          <w:spacing w:val="-3"/>
          <w:sz w:val="21"/>
        </w:rPr>
        <w:t>substitute </w:t>
      </w:r>
      <w:r>
        <w:rPr>
          <w:sz w:val="21"/>
        </w:rPr>
        <w:t>decision </w:t>
      </w:r>
      <w:r>
        <w:rPr>
          <w:spacing w:val="-4"/>
          <w:sz w:val="21"/>
        </w:rPr>
        <w:t>maker </w:t>
      </w:r>
      <w:r>
        <w:rPr>
          <w:spacing w:val="-3"/>
          <w:sz w:val="21"/>
        </w:rPr>
        <w:t>may </w:t>
      </w:r>
      <w:r>
        <w:rPr>
          <w:sz w:val="21"/>
        </w:rPr>
        <w:t>be able </w:t>
      </w:r>
      <w:r>
        <w:rPr>
          <w:spacing w:val="-3"/>
          <w:sz w:val="21"/>
        </w:rPr>
        <w:t>to prevent </w:t>
      </w:r>
      <w:r>
        <w:rPr>
          <w:sz w:val="21"/>
        </w:rPr>
        <w:t>ademption in the </w:t>
      </w:r>
      <w:r>
        <w:rPr>
          <w:spacing w:val="-3"/>
          <w:sz w:val="21"/>
        </w:rPr>
        <w:t>following</w:t>
      </w:r>
      <w:r>
        <w:rPr>
          <w:spacing w:val="10"/>
          <w:sz w:val="21"/>
        </w:rPr>
        <w:t> </w:t>
      </w:r>
      <w:r>
        <w:rPr>
          <w:spacing w:val="-3"/>
          <w:sz w:val="21"/>
        </w:rPr>
        <w:t>circumstances:</w:t>
      </w:r>
    </w:p>
    <w:p>
      <w:pPr>
        <w:pStyle w:val="ListParagraph"/>
        <w:numPr>
          <w:ilvl w:val="2"/>
          <w:numId w:val="22"/>
        </w:numPr>
        <w:tabs>
          <w:tab w:pos="2721" w:val="left" w:leader="none"/>
          <w:tab w:pos="2722" w:val="left" w:leader="none"/>
        </w:tabs>
        <w:spacing w:line="240" w:lineRule="auto" w:before="127" w:after="0"/>
        <w:ind w:left="2721" w:right="0" w:hanging="340"/>
        <w:jc w:val="left"/>
        <w:rPr>
          <w:sz w:val="21"/>
        </w:rPr>
      </w:pPr>
      <w:r>
        <w:rPr>
          <w:w w:val="105"/>
          <w:sz w:val="21"/>
        </w:rPr>
        <w:t>There</w:t>
      </w:r>
      <w:r>
        <w:rPr>
          <w:spacing w:val="4"/>
          <w:w w:val="105"/>
          <w:sz w:val="21"/>
        </w:rPr>
        <w:t> </w:t>
      </w:r>
      <w:r>
        <w:rPr>
          <w:w w:val="105"/>
          <w:sz w:val="21"/>
        </w:rPr>
        <w:t>is</w:t>
      </w:r>
      <w:r>
        <w:rPr>
          <w:spacing w:val="4"/>
          <w:w w:val="105"/>
          <w:sz w:val="21"/>
        </w:rPr>
        <w:t> </w:t>
      </w:r>
      <w:r>
        <w:rPr>
          <w:w w:val="105"/>
          <w:sz w:val="21"/>
        </w:rPr>
        <w:t>a</w:t>
      </w:r>
      <w:r>
        <w:rPr>
          <w:spacing w:val="4"/>
          <w:w w:val="105"/>
          <w:sz w:val="21"/>
        </w:rPr>
        <w:t> </w:t>
      </w:r>
      <w:r>
        <w:rPr>
          <w:spacing w:val="-2"/>
          <w:w w:val="105"/>
          <w:sz w:val="21"/>
        </w:rPr>
        <w:t>choice</w:t>
      </w:r>
      <w:r>
        <w:rPr>
          <w:spacing w:val="4"/>
          <w:w w:val="105"/>
          <w:sz w:val="21"/>
        </w:rPr>
        <w:t> </w:t>
      </w:r>
      <w:r>
        <w:rPr>
          <w:w w:val="105"/>
          <w:sz w:val="21"/>
        </w:rPr>
        <w:t>of</w:t>
      </w:r>
      <w:r>
        <w:rPr>
          <w:spacing w:val="4"/>
          <w:w w:val="105"/>
          <w:sz w:val="21"/>
        </w:rPr>
        <w:t> </w:t>
      </w:r>
      <w:r>
        <w:rPr>
          <w:w w:val="105"/>
          <w:sz w:val="21"/>
        </w:rPr>
        <w:t>assets</w:t>
      </w:r>
      <w:r>
        <w:rPr>
          <w:spacing w:val="4"/>
          <w:w w:val="105"/>
          <w:sz w:val="21"/>
        </w:rPr>
        <w:t> </w:t>
      </w:r>
      <w:r>
        <w:rPr>
          <w:spacing w:val="-3"/>
          <w:w w:val="105"/>
          <w:sz w:val="21"/>
        </w:rPr>
        <w:t>to</w:t>
      </w:r>
      <w:r>
        <w:rPr>
          <w:spacing w:val="5"/>
          <w:w w:val="105"/>
          <w:sz w:val="21"/>
        </w:rPr>
        <w:t> </w:t>
      </w:r>
      <w:r>
        <w:rPr>
          <w:w w:val="105"/>
          <w:sz w:val="21"/>
        </w:rPr>
        <w:t>be</w:t>
      </w:r>
      <w:r>
        <w:rPr>
          <w:spacing w:val="4"/>
          <w:w w:val="105"/>
          <w:sz w:val="21"/>
        </w:rPr>
        <w:t> </w:t>
      </w:r>
      <w:r>
        <w:rPr>
          <w:w w:val="105"/>
          <w:sz w:val="21"/>
        </w:rPr>
        <w:t>sold</w:t>
      </w:r>
      <w:r>
        <w:rPr>
          <w:spacing w:val="4"/>
          <w:w w:val="105"/>
          <w:sz w:val="21"/>
        </w:rPr>
        <w:t> </w:t>
      </w:r>
      <w:r>
        <w:rPr>
          <w:spacing w:val="-3"/>
          <w:w w:val="105"/>
          <w:sz w:val="21"/>
        </w:rPr>
        <w:t>to</w:t>
      </w:r>
      <w:r>
        <w:rPr>
          <w:spacing w:val="4"/>
          <w:w w:val="105"/>
          <w:sz w:val="21"/>
        </w:rPr>
        <w:t> </w:t>
      </w:r>
      <w:r>
        <w:rPr>
          <w:spacing w:val="-3"/>
          <w:w w:val="105"/>
          <w:sz w:val="21"/>
        </w:rPr>
        <w:t>fund</w:t>
      </w:r>
      <w:r>
        <w:rPr>
          <w:spacing w:val="4"/>
          <w:w w:val="105"/>
          <w:sz w:val="21"/>
        </w:rPr>
        <w:t> </w:t>
      </w:r>
      <w:r>
        <w:rPr>
          <w:w w:val="105"/>
          <w:sz w:val="21"/>
        </w:rPr>
        <w:t>the</w:t>
      </w:r>
      <w:r>
        <w:rPr>
          <w:spacing w:val="4"/>
          <w:w w:val="105"/>
          <w:sz w:val="21"/>
        </w:rPr>
        <w:t> </w:t>
      </w:r>
      <w:r>
        <w:rPr>
          <w:spacing w:val="-3"/>
          <w:w w:val="105"/>
          <w:sz w:val="21"/>
        </w:rPr>
        <w:t>person’s</w:t>
      </w:r>
      <w:r>
        <w:rPr>
          <w:spacing w:val="4"/>
          <w:w w:val="105"/>
          <w:sz w:val="21"/>
        </w:rPr>
        <w:t> </w:t>
      </w:r>
      <w:r>
        <w:rPr>
          <w:spacing w:val="-3"/>
          <w:w w:val="105"/>
          <w:sz w:val="21"/>
        </w:rPr>
        <w:t>care.</w:t>
      </w:r>
    </w:p>
    <w:p>
      <w:pPr>
        <w:pStyle w:val="ListParagraph"/>
        <w:numPr>
          <w:ilvl w:val="2"/>
          <w:numId w:val="22"/>
        </w:numPr>
        <w:tabs>
          <w:tab w:pos="2721" w:val="left" w:leader="none"/>
          <w:tab w:pos="2722" w:val="left" w:leader="none"/>
        </w:tabs>
        <w:spacing w:line="242" w:lineRule="auto" w:before="124" w:after="0"/>
        <w:ind w:left="2721" w:right="1594" w:hanging="340"/>
        <w:jc w:val="left"/>
        <w:rPr>
          <w:sz w:val="21"/>
        </w:rPr>
      </w:pPr>
      <w:r>
        <w:rPr>
          <w:spacing w:val="-3"/>
          <w:sz w:val="21"/>
        </w:rPr>
        <w:t>There are </w:t>
      </w:r>
      <w:r>
        <w:rPr>
          <w:sz w:val="21"/>
        </w:rPr>
        <w:t>specific gifts </w:t>
      </w:r>
      <w:r>
        <w:rPr>
          <w:spacing w:val="-3"/>
          <w:sz w:val="21"/>
        </w:rPr>
        <w:t>of </w:t>
      </w:r>
      <w:r>
        <w:rPr>
          <w:spacing w:val="-4"/>
          <w:sz w:val="21"/>
        </w:rPr>
        <w:t>sentimental  items  </w:t>
      </w:r>
      <w:r>
        <w:rPr>
          <w:spacing w:val="-3"/>
          <w:sz w:val="21"/>
        </w:rPr>
        <w:t>such  </w:t>
      </w:r>
      <w:r>
        <w:rPr>
          <w:sz w:val="21"/>
        </w:rPr>
        <w:t>as  </w:t>
      </w:r>
      <w:r>
        <w:rPr>
          <w:spacing w:val="-4"/>
          <w:sz w:val="21"/>
        </w:rPr>
        <w:t>jewellery,  </w:t>
      </w:r>
      <w:r>
        <w:rPr>
          <w:sz w:val="21"/>
        </w:rPr>
        <w:t>artwork,  </w:t>
      </w:r>
      <w:r>
        <w:rPr>
          <w:spacing w:val="-4"/>
          <w:sz w:val="21"/>
        </w:rPr>
        <w:t>family </w:t>
      </w:r>
      <w:r>
        <w:rPr>
          <w:spacing w:val="-3"/>
          <w:sz w:val="21"/>
        </w:rPr>
        <w:t>heirlooms, </w:t>
      </w:r>
      <w:r>
        <w:rPr>
          <w:spacing w:val="-4"/>
          <w:sz w:val="21"/>
        </w:rPr>
        <w:t>photographs </w:t>
      </w:r>
      <w:r>
        <w:rPr>
          <w:sz w:val="21"/>
        </w:rPr>
        <w:t>or </w:t>
      </w:r>
      <w:r>
        <w:rPr>
          <w:spacing w:val="-3"/>
          <w:sz w:val="21"/>
        </w:rPr>
        <w:t>other </w:t>
      </w:r>
      <w:r>
        <w:rPr>
          <w:spacing w:val="-4"/>
          <w:sz w:val="21"/>
        </w:rPr>
        <w:t>items. </w:t>
      </w:r>
      <w:r>
        <w:rPr>
          <w:sz w:val="21"/>
        </w:rPr>
        <w:t>The </w:t>
      </w:r>
      <w:r>
        <w:rPr>
          <w:spacing w:val="-4"/>
          <w:sz w:val="21"/>
        </w:rPr>
        <w:t>substitute  </w:t>
      </w:r>
      <w:r>
        <w:rPr>
          <w:spacing w:val="-3"/>
          <w:sz w:val="21"/>
        </w:rPr>
        <w:t>decision  </w:t>
      </w:r>
      <w:r>
        <w:rPr>
          <w:spacing w:val="-4"/>
          <w:sz w:val="21"/>
        </w:rPr>
        <w:t>maker  </w:t>
      </w:r>
      <w:r>
        <w:rPr>
          <w:spacing w:val="-2"/>
          <w:sz w:val="21"/>
        </w:rPr>
        <w:t>can  </w:t>
      </w:r>
      <w:r>
        <w:rPr>
          <w:spacing w:val="-4"/>
          <w:sz w:val="21"/>
        </w:rPr>
        <w:t>take reasonable</w:t>
      </w:r>
      <w:r>
        <w:rPr>
          <w:spacing w:val="19"/>
          <w:sz w:val="21"/>
        </w:rPr>
        <w:t> </w:t>
      </w:r>
      <w:r>
        <w:rPr>
          <w:spacing w:val="-3"/>
          <w:sz w:val="21"/>
        </w:rPr>
        <w:t>steps</w:t>
      </w:r>
      <w:r>
        <w:rPr>
          <w:spacing w:val="20"/>
          <w:sz w:val="21"/>
        </w:rPr>
        <w:t> </w:t>
      </w:r>
      <w:r>
        <w:rPr>
          <w:spacing w:val="-3"/>
          <w:sz w:val="21"/>
        </w:rPr>
        <w:t>to</w:t>
      </w:r>
      <w:r>
        <w:rPr>
          <w:spacing w:val="20"/>
          <w:sz w:val="21"/>
        </w:rPr>
        <w:t> </w:t>
      </w:r>
      <w:r>
        <w:rPr>
          <w:spacing w:val="-4"/>
          <w:sz w:val="21"/>
        </w:rPr>
        <w:t>ensure</w:t>
      </w:r>
      <w:r>
        <w:rPr>
          <w:spacing w:val="19"/>
          <w:sz w:val="21"/>
        </w:rPr>
        <w:t> </w:t>
      </w:r>
      <w:r>
        <w:rPr>
          <w:spacing w:val="-3"/>
          <w:sz w:val="21"/>
        </w:rPr>
        <w:t>that</w:t>
      </w:r>
      <w:r>
        <w:rPr>
          <w:spacing w:val="20"/>
          <w:sz w:val="21"/>
        </w:rPr>
        <w:t> </w:t>
      </w:r>
      <w:r>
        <w:rPr>
          <w:sz w:val="21"/>
        </w:rPr>
        <w:t>these</w:t>
      </w:r>
      <w:r>
        <w:rPr>
          <w:spacing w:val="20"/>
          <w:sz w:val="21"/>
        </w:rPr>
        <w:t> </w:t>
      </w:r>
      <w:r>
        <w:rPr>
          <w:spacing w:val="-4"/>
          <w:sz w:val="21"/>
        </w:rPr>
        <w:t>items</w:t>
      </w:r>
      <w:r>
        <w:rPr>
          <w:spacing w:val="19"/>
          <w:sz w:val="21"/>
        </w:rPr>
        <w:t> </w:t>
      </w:r>
      <w:r>
        <w:rPr>
          <w:spacing w:val="-3"/>
          <w:sz w:val="21"/>
        </w:rPr>
        <w:t>are</w:t>
      </w:r>
      <w:r>
        <w:rPr>
          <w:spacing w:val="20"/>
          <w:sz w:val="21"/>
        </w:rPr>
        <w:t> </w:t>
      </w:r>
      <w:r>
        <w:rPr>
          <w:spacing w:val="-3"/>
          <w:sz w:val="21"/>
        </w:rPr>
        <w:t>not</w:t>
      </w:r>
      <w:r>
        <w:rPr>
          <w:spacing w:val="20"/>
          <w:sz w:val="21"/>
        </w:rPr>
        <w:t> </w:t>
      </w:r>
      <w:r>
        <w:rPr>
          <w:spacing w:val="-3"/>
          <w:sz w:val="21"/>
        </w:rPr>
        <w:t>disposed</w:t>
      </w:r>
      <w:r>
        <w:rPr>
          <w:spacing w:val="20"/>
          <w:sz w:val="21"/>
        </w:rPr>
        <w:t> </w:t>
      </w:r>
      <w:r>
        <w:rPr>
          <w:spacing w:val="-3"/>
          <w:sz w:val="21"/>
        </w:rPr>
        <w:t>of</w:t>
      </w:r>
      <w:r>
        <w:rPr>
          <w:spacing w:val="19"/>
          <w:sz w:val="21"/>
        </w:rPr>
        <w:t> </w:t>
      </w:r>
      <w:r>
        <w:rPr>
          <w:spacing w:val="-4"/>
          <w:sz w:val="21"/>
        </w:rPr>
        <w:t>during</w:t>
      </w:r>
      <w:r>
        <w:rPr>
          <w:spacing w:val="20"/>
          <w:sz w:val="21"/>
        </w:rPr>
        <w:t> </w:t>
      </w:r>
      <w:r>
        <w:rPr>
          <w:sz w:val="21"/>
        </w:rPr>
        <w:t>the</w:t>
      </w:r>
      <w:r>
        <w:rPr>
          <w:spacing w:val="20"/>
          <w:sz w:val="21"/>
        </w:rPr>
        <w:t> </w:t>
      </w:r>
      <w:r>
        <w:rPr>
          <w:spacing w:val="-4"/>
          <w:sz w:val="21"/>
        </w:rPr>
        <w:t>person’s</w:t>
      </w:r>
      <w:r>
        <w:rPr>
          <w:spacing w:val="19"/>
          <w:sz w:val="21"/>
        </w:rPr>
        <w:t> </w:t>
      </w:r>
      <w:r>
        <w:rPr>
          <w:spacing w:val="-5"/>
          <w:sz w:val="21"/>
        </w:rPr>
        <w:t>life.</w:t>
      </w:r>
    </w:p>
    <w:p>
      <w:pPr>
        <w:pStyle w:val="ListParagraph"/>
        <w:numPr>
          <w:ilvl w:val="1"/>
          <w:numId w:val="22"/>
        </w:numPr>
        <w:tabs>
          <w:tab w:pos="2381" w:val="left" w:leader="none"/>
          <w:tab w:pos="2382" w:val="left" w:leader="none"/>
        </w:tabs>
        <w:spacing w:line="240" w:lineRule="auto" w:before="123" w:after="0"/>
        <w:ind w:left="2381" w:right="0" w:hanging="794"/>
        <w:jc w:val="left"/>
        <w:rPr>
          <w:sz w:val="21"/>
        </w:rPr>
      </w:pPr>
      <w:r>
        <w:rPr>
          <w:w w:val="105"/>
          <w:sz w:val="21"/>
        </w:rPr>
        <w:t>Where</w:t>
      </w:r>
      <w:r>
        <w:rPr>
          <w:spacing w:val="4"/>
          <w:w w:val="105"/>
          <w:sz w:val="21"/>
        </w:rPr>
        <w:t> </w:t>
      </w:r>
      <w:r>
        <w:rPr>
          <w:w w:val="105"/>
          <w:sz w:val="21"/>
        </w:rPr>
        <w:t>an</w:t>
      </w:r>
      <w:r>
        <w:rPr>
          <w:spacing w:val="4"/>
          <w:w w:val="105"/>
          <w:sz w:val="21"/>
        </w:rPr>
        <w:t> </w:t>
      </w:r>
      <w:r>
        <w:rPr>
          <w:w w:val="105"/>
          <w:sz w:val="21"/>
        </w:rPr>
        <w:t>application</w:t>
      </w:r>
      <w:r>
        <w:rPr>
          <w:spacing w:val="4"/>
          <w:w w:val="105"/>
          <w:sz w:val="21"/>
        </w:rPr>
        <w:t> </w:t>
      </w:r>
      <w:r>
        <w:rPr>
          <w:w w:val="105"/>
          <w:sz w:val="21"/>
        </w:rPr>
        <w:t>is</w:t>
      </w:r>
      <w:r>
        <w:rPr>
          <w:spacing w:val="4"/>
          <w:w w:val="105"/>
          <w:sz w:val="21"/>
        </w:rPr>
        <w:t> </w:t>
      </w:r>
      <w:r>
        <w:rPr>
          <w:w w:val="105"/>
          <w:sz w:val="21"/>
        </w:rPr>
        <w:t>made</w:t>
      </w:r>
      <w:r>
        <w:rPr>
          <w:spacing w:val="4"/>
          <w:w w:val="105"/>
          <w:sz w:val="21"/>
        </w:rPr>
        <w:t> </w:t>
      </w:r>
      <w:r>
        <w:rPr>
          <w:spacing w:val="-3"/>
          <w:w w:val="105"/>
          <w:sz w:val="21"/>
        </w:rPr>
        <w:t>to</w:t>
      </w:r>
      <w:r>
        <w:rPr>
          <w:spacing w:val="4"/>
          <w:w w:val="105"/>
          <w:sz w:val="21"/>
        </w:rPr>
        <w:t> </w:t>
      </w:r>
      <w:r>
        <w:rPr>
          <w:spacing w:val="-8"/>
          <w:w w:val="105"/>
          <w:sz w:val="21"/>
        </w:rPr>
        <w:t>VCAT,</w:t>
      </w:r>
      <w:r>
        <w:rPr>
          <w:spacing w:val="4"/>
          <w:w w:val="105"/>
          <w:sz w:val="21"/>
        </w:rPr>
        <w:t> </w:t>
      </w:r>
      <w:r>
        <w:rPr>
          <w:w w:val="105"/>
          <w:sz w:val="21"/>
        </w:rPr>
        <w:t>the</w:t>
      </w:r>
      <w:r>
        <w:rPr>
          <w:spacing w:val="4"/>
          <w:w w:val="105"/>
          <w:sz w:val="21"/>
        </w:rPr>
        <w:t> </w:t>
      </w:r>
      <w:r>
        <w:rPr>
          <w:spacing w:val="-5"/>
          <w:w w:val="105"/>
          <w:sz w:val="21"/>
        </w:rPr>
        <w:t>Tribunal</w:t>
      </w:r>
      <w:r>
        <w:rPr>
          <w:spacing w:val="4"/>
          <w:w w:val="105"/>
          <w:sz w:val="21"/>
        </w:rPr>
        <w:t> </w:t>
      </w:r>
      <w:r>
        <w:rPr>
          <w:spacing w:val="-3"/>
          <w:w w:val="105"/>
          <w:sz w:val="21"/>
        </w:rPr>
        <w:t>will</w:t>
      </w:r>
      <w:r>
        <w:rPr>
          <w:spacing w:val="5"/>
          <w:w w:val="105"/>
          <w:sz w:val="21"/>
        </w:rPr>
        <w:t> </w:t>
      </w:r>
      <w:r>
        <w:rPr>
          <w:w w:val="105"/>
          <w:sz w:val="21"/>
        </w:rPr>
        <w:t>be</w:t>
      </w:r>
      <w:r>
        <w:rPr>
          <w:spacing w:val="4"/>
          <w:w w:val="105"/>
          <w:sz w:val="21"/>
        </w:rPr>
        <w:t> </w:t>
      </w:r>
      <w:r>
        <w:rPr>
          <w:w w:val="105"/>
          <w:sz w:val="21"/>
        </w:rPr>
        <w:t>able</w:t>
      </w:r>
      <w:r>
        <w:rPr>
          <w:spacing w:val="4"/>
          <w:w w:val="105"/>
          <w:sz w:val="21"/>
        </w:rPr>
        <w:t> </w:t>
      </w:r>
      <w:r>
        <w:rPr>
          <w:spacing w:val="-3"/>
          <w:w w:val="105"/>
          <w:sz w:val="21"/>
        </w:rPr>
        <w:t>to</w:t>
      </w:r>
      <w:r>
        <w:rPr>
          <w:spacing w:val="4"/>
          <w:w w:val="105"/>
          <w:sz w:val="21"/>
        </w:rPr>
        <w:t> </w:t>
      </w:r>
      <w:r>
        <w:rPr>
          <w:spacing w:val="-3"/>
          <w:w w:val="105"/>
          <w:sz w:val="21"/>
        </w:rPr>
        <w:t>consider:</w:t>
      </w:r>
    </w:p>
    <w:p>
      <w:pPr>
        <w:pStyle w:val="ListParagraph"/>
        <w:numPr>
          <w:ilvl w:val="2"/>
          <w:numId w:val="22"/>
        </w:numPr>
        <w:tabs>
          <w:tab w:pos="2721" w:val="left" w:leader="none"/>
          <w:tab w:pos="2722" w:val="left" w:leader="none"/>
        </w:tabs>
        <w:spacing w:line="240" w:lineRule="auto" w:before="124" w:after="0"/>
        <w:ind w:left="2721" w:right="0" w:hanging="340"/>
        <w:jc w:val="left"/>
        <w:rPr>
          <w:sz w:val="21"/>
        </w:rPr>
      </w:pPr>
      <w:r>
        <w:rPr>
          <w:w w:val="105"/>
          <w:sz w:val="21"/>
        </w:rPr>
        <w:t>whether the person </w:t>
      </w:r>
      <w:r>
        <w:rPr>
          <w:spacing w:val="-2"/>
          <w:w w:val="105"/>
          <w:sz w:val="21"/>
        </w:rPr>
        <w:t>has</w:t>
      </w:r>
      <w:r>
        <w:rPr>
          <w:spacing w:val="19"/>
          <w:w w:val="105"/>
          <w:sz w:val="21"/>
        </w:rPr>
        <w:t> </w:t>
      </w:r>
      <w:r>
        <w:rPr>
          <w:w w:val="105"/>
          <w:sz w:val="21"/>
        </w:rPr>
        <w:t>capacity</w:t>
      </w:r>
    </w:p>
    <w:p>
      <w:pPr>
        <w:pStyle w:val="ListParagraph"/>
        <w:numPr>
          <w:ilvl w:val="2"/>
          <w:numId w:val="22"/>
        </w:numPr>
        <w:tabs>
          <w:tab w:pos="2721" w:val="left" w:leader="none"/>
          <w:tab w:pos="2722" w:val="left" w:leader="none"/>
        </w:tabs>
        <w:spacing w:line="242" w:lineRule="auto" w:before="124" w:after="0"/>
        <w:ind w:left="2721" w:right="2280" w:hanging="340"/>
        <w:jc w:val="left"/>
        <w:rPr>
          <w:sz w:val="21"/>
        </w:rPr>
      </w:pPr>
      <w:r>
        <w:rPr>
          <w:sz w:val="21"/>
        </w:rPr>
        <w:t>whether </w:t>
      </w:r>
      <w:r>
        <w:rPr>
          <w:spacing w:val="-2"/>
          <w:sz w:val="21"/>
        </w:rPr>
        <w:t>access </w:t>
      </w:r>
      <w:r>
        <w:rPr>
          <w:sz w:val="21"/>
        </w:rPr>
        <w:t>would assist the </w:t>
      </w:r>
      <w:r>
        <w:rPr>
          <w:spacing w:val="-3"/>
          <w:sz w:val="21"/>
        </w:rPr>
        <w:t>substitute </w:t>
      </w:r>
      <w:r>
        <w:rPr>
          <w:sz w:val="21"/>
        </w:rPr>
        <w:t>decision </w:t>
      </w:r>
      <w:r>
        <w:rPr>
          <w:spacing w:val="-4"/>
          <w:sz w:val="21"/>
        </w:rPr>
        <w:t>maker </w:t>
      </w:r>
      <w:r>
        <w:rPr>
          <w:sz w:val="21"/>
        </w:rPr>
        <w:t>in </w:t>
      </w:r>
      <w:r>
        <w:rPr>
          <w:spacing w:val="-3"/>
          <w:sz w:val="21"/>
        </w:rPr>
        <w:t>administering </w:t>
      </w:r>
      <w:r>
        <w:rPr>
          <w:sz w:val="21"/>
        </w:rPr>
        <w:t>the </w:t>
      </w:r>
      <w:r>
        <w:rPr>
          <w:spacing w:val="-3"/>
          <w:sz w:val="21"/>
        </w:rPr>
        <w:t>person’s</w:t>
      </w:r>
      <w:r>
        <w:rPr>
          <w:spacing w:val="8"/>
          <w:sz w:val="21"/>
        </w:rPr>
        <w:t> </w:t>
      </w:r>
      <w:r>
        <w:rPr>
          <w:sz w:val="21"/>
        </w:rPr>
        <w:t>estate</w:t>
      </w:r>
    </w:p>
    <w:p>
      <w:pPr>
        <w:pStyle w:val="ListParagraph"/>
        <w:numPr>
          <w:ilvl w:val="2"/>
          <w:numId w:val="22"/>
        </w:numPr>
        <w:tabs>
          <w:tab w:pos="2721" w:val="left" w:leader="none"/>
          <w:tab w:pos="2722" w:val="left" w:leader="none"/>
        </w:tabs>
        <w:spacing w:line="242" w:lineRule="auto" w:before="122" w:after="0"/>
        <w:ind w:left="2721" w:right="1771" w:hanging="340"/>
        <w:jc w:val="left"/>
        <w:rPr>
          <w:sz w:val="21"/>
        </w:rPr>
      </w:pPr>
      <w:r>
        <w:rPr>
          <w:w w:val="105"/>
          <w:sz w:val="21"/>
        </w:rPr>
        <w:t>whether</w:t>
      </w:r>
      <w:r>
        <w:rPr>
          <w:spacing w:val="-9"/>
          <w:w w:val="105"/>
          <w:sz w:val="21"/>
        </w:rPr>
        <w:t> </w:t>
      </w:r>
      <w:r>
        <w:rPr>
          <w:spacing w:val="-3"/>
          <w:w w:val="105"/>
          <w:sz w:val="21"/>
        </w:rPr>
        <w:t>to</w:t>
      </w:r>
      <w:r>
        <w:rPr>
          <w:spacing w:val="-9"/>
          <w:w w:val="105"/>
          <w:sz w:val="21"/>
        </w:rPr>
        <w:t> </w:t>
      </w:r>
      <w:r>
        <w:rPr>
          <w:w w:val="105"/>
          <w:sz w:val="21"/>
        </w:rPr>
        <w:t>provide</w:t>
      </w:r>
      <w:r>
        <w:rPr>
          <w:spacing w:val="-9"/>
          <w:w w:val="105"/>
          <w:sz w:val="21"/>
        </w:rPr>
        <w:t> </w:t>
      </w:r>
      <w:r>
        <w:rPr>
          <w:w w:val="105"/>
          <w:sz w:val="21"/>
        </w:rPr>
        <w:t>a</w:t>
      </w:r>
      <w:r>
        <w:rPr>
          <w:spacing w:val="-9"/>
          <w:w w:val="105"/>
          <w:sz w:val="21"/>
        </w:rPr>
        <w:t> </w:t>
      </w:r>
      <w:r>
        <w:rPr>
          <w:w w:val="105"/>
          <w:sz w:val="21"/>
        </w:rPr>
        <w:t>redacted</w:t>
      </w:r>
      <w:r>
        <w:rPr>
          <w:spacing w:val="-9"/>
          <w:w w:val="105"/>
          <w:sz w:val="21"/>
        </w:rPr>
        <w:t> </w:t>
      </w:r>
      <w:r>
        <w:rPr>
          <w:w w:val="105"/>
          <w:sz w:val="21"/>
        </w:rPr>
        <w:t>or</w:t>
      </w:r>
      <w:r>
        <w:rPr>
          <w:spacing w:val="-9"/>
          <w:w w:val="105"/>
          <w:sz w:val="21"/>
        </w:rPr>
        <w:t> </w:t>
      </w:r>
      <w:r>
        <w:rPr>
          <w:spacing w:val="-3"/>
          <w:w w:val="105"/>
          <w:sz w:val="21"/>
        </w:rPr>
        <w:t>full</w:t>
      </w:r>
      <w:r>
        <w:rPr>
          <w:spacing w:val="-9"/>
          <w:w w:val="105"/>
          <w:sz w:val="21"/>
        </w:rPr>
        <w:t> </w:t>
      </w:r>
      <w:r>
        <w:rPr>
          <w:spacing w:val="-3"/>
          <w:w w:val="105"/>
          <w:sz w:val="21"/>
        </w:rPr>
        <w:t>copy</w:t>
      </w:r>
      <w:r>
        <w:rPr>
          <w:spacing w:val="-9"/>
          <w:w w:val="105"/>
          <w:sz w:val="21"/>
        </w:rPr>
        <w:t> </w:t>
      </w:r>
      <w:r>
        <w:rPr>
          <w:w w:val="105"/>
          <w:sz w:val="21"/>
        </w:rPr>
        <w:t>of</w:t>
      </w:r>
      <w:r>
        <w:rPr>
          <w:spacing w:val="-8"/>
          <w:w w:val="105"/>
          <w:sz w:val="21"/>
        </w:rPr>
        <w:t> </w:t>
      </w:r>
      <w:r>
        <w:rPr>
          <w:w w:val="105"/>
          <w:sz w:val="21"/>
        </w:rPr>
        <w:t>the</w:t>
      </w:r>
      <w:r>
        <w:rPr>
          <w:spacing w:val="-9"/>
          <w:w w:val="105"/>
          <w:sz w:val="21"/>
        </w:rPr>
        <w:t> </w:t>
      </w:r>
      <w:r>
        <w:rPr>
          <w:spacing w:val="-3"/>
          <w:w w:val="105"/>
          <w:sz w:val="21"/>
        </w:rPr>
        <w:t>will,</w:t>
      </w:r>
      <w:r>
        <w:rPr>
          <w:spacing w:val="-9"/>
          <w:w w:val="105"/>
          <w:sz w:val="21"/>
        </w:rPr>
        <w:t> </w:t>
      </w:r>
      <w:r>
        <w:rPr>
          <w:w w:val="105"/>
          <w:sz w:val="21"/>
        </w:rPr>
        <w:t>particularly</w:t>
      </w:r>
      <w:r>
        <w:rPr>
          <w:spacing w:val="-9"/>
          <w:w w:val="105"/>
          <w:sz w:val="21"/>
        </w:rPr>
        <w:t> </w:t>
      </w:r>
      <w:r>
        <w:rPr>
          <w:w w:val="105"/>
          <w:sz w:val="21"/>
        </w:rPr>
        <w:t>where</w:t>
      </w:r>
      <w:r>
        <w:rPr>
          <w:spacing w:val="-9"/>
          <w:w w:val="105"/>
          <w:sz w:val="21"/>
        </w:rPr>
        <w:t> </w:t>
      </w:r>
      <w:r>
        <w:rPr>
          <w:w w:val="105"/>
          <w:sz w:val="21"/>
        </w:rPr>
        <w:t>a</w:t>
      </w:r>
      <w:r>
        <w:rPr>
          <w:spacing w:val="-9"/>
          <w:w w:val="105"/>
          <w:sz w:val="21"/>
        </w:rPr>
        <w:t> </w:t>
      </w:r>
      <w:r>
        <w:rPr>
          <w:spacing w:val="-3"/>
          <w:w w:val="105"/>
          <w:sz w:val="21"/>
        </w:rPr>
        <w:t>substitute </w:t>
      </w:r>
      <w:r>
        <w:rPr>
          <w:w w:val="105"/>
          <w:sz w:val="21"/>
        </w:rPr>
        <w:t>decision </w:t>
      </w:r>
      <w:r>
        <w:rPr>
          <w:spacing w:val="-4"/>
          <w:w w:val="105"/>
          <w:sz w:val="21"/>
        </w:rPr>
        <w:t>maker </w:t>
      </w:r>
      <w:r>
        <w:rPr>
          <w:w w:val="105"/>
          <w:sz w:val="21"/>
        </w:rPr>
        <w:t>is also a</w:t>
      </w:r>
      <w:r>
        <w:rPr>
          <w:spacing w:val="25"/>
          <w:w w:val="105"/>
          <w:sz w:val="21"/>
        </w:rPr>
        <w:t> </w:t>
      </w:r>
      <w:r>
        <w:rPr>
          <w:w w:val="105"/>
          <w:sz w:val="21"/>
        </w:rPr>
        <w:t>beneficiary.</w:t>
      </w:r>
    </w:p>
    <w:p>
      <w:pPr>
        <w:pStyle w:val="ListParagraph"/>
        <w:numPr>
          <w:ilvl w:val="1"/>
          <w:numId w:val="22"/>
        </w:numPr>
        <w:tabs>
          <w:tab w:pos="2382" w:val="left" w:leader="none"/>
        </w:tabs>
        <w:spacing w:line="242" w:lineRule="auto" w:before="122" w:after="0"/>
        <w:ind w:left="2381" w:right="2075" w:hanging="794"/>
        <w:jc w:val="both"/>
        <w:rPr>
          <w:sz w:val="21"/>
        </w:rPr>
      </w:pPr>
      <w:r>
        <w:rPr>
          <w:w w:val="105"/>
          <w:sz w:val="21"/>
        </w:rPr>
        <w:t>The </w:t>
      </w:r>
      <w:r>
        <w:rPr>
          <w:spacing w:val="-3"/>
          <w:w w:val="105"/>
          <w:sz w:val="21"/>
        </w:rPr>
        <w:t>Commission </w:t>
      </w:r>
      <w:r>
        <w:rPr>
          <w:w w:val="105"/>
          <w:sz w:val="21"/>
        </w:rPr>
        <w:t>believes an application </w:t>
      </w:r>
      <w:r>
        <w:rPr>
          <w:spacing w:val="-3"/>
          <w:w w:val="105"/>
          <w:sz w:val="21"/>
        </w:rPr>
        <w:t>to </w:t>
      </w:r>
      <w:r>
        <w:rPr>
          <w:spacing w:val="-5"/>
          <w:w w:val="105"/>
          <w:sz w:val="21"/>
        </w:rPr>
        <w:t>VCAT </w:t>
      </w:r>
      <w:r>
        <w:rPr>
          <w:w w:val="105"/>
          <w:sz w:val="21"/>
        </w:rPr>
        <w:t>is more </w:t>
      </w:r>
      <w:r>
        <w:rPr>
          <w:spacing w:val="-3"/>
          <w:w w:val="105"/>
          <w:sz w:val="21"/>
        </w:rPr>
        <w:t>appropriate than </w:t>
      </w:r>
      <w:r>
        <w:rPr>
          <w:w w:val="105"/>
          <w:sz w:val="21"/>
        </w:rPr>
        <w:t>giving the holder of the </w:t>
      </w:r>
      <w:r>
        <w:rPr>
          <w:spacing w:val="-3"/>
          <w:w w:val="105"/>
          <w:sz w:val="21"/>
        </w:rPr>
        <w:t>will </w:t>
      </w:r>
      <w:r>
        <w:rPr>
          <w:w w:val="105"/>
          <w:sz w:val="21"/>
        </w:rPr>
        <w:t>a power </w:t>
      </w:r>
      <w:r>
        <w:rPr>
          <w:spacing w:val="-3"/>
          <w:w w:val="105"/>
          <w:sz w:val="21"/>
        </w:rPr>
        <w:t>to inform substitute </w:t>
      </w:r>
      <w:r>
        <w:rPr>
          <w:w w:val="105"/>
          <w:sz w:val="21"/>
        </w:rPr>
        <w:t>decision </w:t>
      </w:r>
      <w:r>
        <w:rPr>
          <w:spacing w:val="-3"/>
          <w:w w:val="105"/>
          <w:sz w:val="21"/>
        </w:rPr>
        <w:t>makers </w:t>
      </w:r>
      <w:r>
        <w:rPr>
          <w:w w:val="105"/>
          <w:sz w:val="21"/>
        </w:rPr>
        <w:t>about the </w:t>
      </w:r>
      <w:r>
        <w:rPr>
          <w:spacing w:val="-3"/>
          <w:w w:val="105"/>
          <w:sz w:val="21"/>
        </w:rPr>
        <w:t>content </w:t>
      </w:r>
      <w:r>
        <w:rPr>
          <w:w w:val="105"/>
          <w:sz w:val="21"/>
        </w:rPr>
        <w:t>of a </w:t>
      </w:r>
      <w:r>
        <w:rPr>
          <w:spacing w:val="-3"/>
          <w:w w:val="105"/>
          <w:sz w:val="21"/>
        </w:rPr>
        <w:t>person’s will. </w:t>
      </w:r>
      <w:r>
        <w:rPr>
          <w:w w:val="105"/>
          <w:sz w:val="21"/>
        </w:rPr>
        <w:t>A legal practitioner who holds a </w:t>
      </w:r>
      <w:r>
        <w:rPr>
          <w:spacing w:val="-3"/>
          <w:w w:val="105"/>
          <w:sz w:val="21"/>
        </w:rPr>
        <w:t>person’s will </w:t>
      </w:r>
      <w:r>
        <w:rPr>
          <w:w w:val="105"/>
          <w:sz w:val="21"/>
        </w:rPr>
        <w:t>is doing so on a strictly </w:t>
      </w:r>
      <w:r>
        <w:rPr>
          <w:spacing w:val="-3"/>
          <w:w w:val="105"/>
          <w:sz w:val="21"/>
        </w:rPr>
        <w:t>confidential</w:t>
      </w:r>
      <w:r>
        <w:rPr>
          <w:spacing w:val="5"/>
          <w:w w:val="105"/>
          <w:sz w:val="21"/>
        </w:rPr>
        <w:t> </w:t>
      </w:r>
      <w:r>
        <w:rPr>
          <w:w w:val="105"/>
          <w:sz w:val="21"/>
        </w:rPr>
        <w:t>basis.</w:t>
      </w:r>
    </w:p>
    <w:p>
      <w:pPr>
        <w:pStyle w:val="BodyText"/>
        <w:spacing w:before="10"/>
        <w:rPr>
          <w:sz w:val="11"/>
        </w:rPr>
      </w:pPr>
      <w:r>
        <w:rPr/>
        <w:pict>
          <v:group style="position:absolute;margin-left:62.362202pt;margin-top:9.211192pt;width:479.1pt;height:122.55pt;mso-position-horizontal-relative:page;mso-position-vertical-relative:paragraph;z-index:2936;mso-wrap-distance-left:0;mso-wrap-distance-right:0" coordorigin="1247,184" coordsize="9582,2451">
            <v:rect style="position:absolute;left:1587;top:184;width:8731;height:2451" filled="true" fillcolor="#fdebea" stroked="false">
              <v:fill type="solid"/>
            </v:rect>
            <v:line style="position:absolute" from="1247,935" to="10828,935" stroked="true" strokeweight="2.5pt" strokecolor="#ffffff">
              <v:stroke dashstyle="solid"/>
            </v:line>
            <v:shape style="position:absolute;left:2381;top:1172;width:7667;height:1289" type="#_x0000_t202" filled="false" stroked="false">
              <v:textbox inset="0,0,0,0">
                <w:txbxContent>
                  <w:p>
                    <w:pPr>
                      <w:spacing w:line="242" w:lineRule="auto" w:before="0"/>
                      <w:ind w:left="0" w:right="0" w:firstLine="0"/>
                      <w:jc w:val="left"/>
                      <w:rPr>
                        <w:sz w:val="21"/>
                      </w:rPr>
                    </w:pPr>
                    <w:r>
                      <w:rPr>
                        <w:w w:val="115"/>
                        <w:sz w:val="21"/>
                      </w:rPr>
                      <w:t>Guardianship legislation should provide for a person acting under an enduring power of attorney (financial) to apply to the Victorian Civil and Administrative Tribunal for a full or redacted copy of a will made by the donor of the power. The Tribunal would be able to grant access only where the donor does not have testamentary capacity.</w:t>
                    </w:r>
                  </w:p>
                </w:txbxContent>
              </v:textbox>
              <w10:wrap type="none"/>
            </v:shape>
            <v:shape style="position:absolute;left:1814;top:1172;width:247;height:249" type="#_x0000_t202" filled="false" stroked="false">
              <v:textbox inset="0,0,0,0">
                <w:txbxContent>
                  <w:p>
                    <w:pPr>
                      <w:spacing w:line="249" w:lineRule="exact" w:before="0"/>
                      <w:ind w:left="0" w:right="0" w:firstLine="0"/>
                      <w:jc w:val="left"/>
                      <w:rPr>
                        <w:sz w:val="21"/>
                      </w:rPr>
                    </w:pPr>
                    <w:r>
                      <w:rPr>
                        <w:w w:val="110"/>
                        <w:sz w:val="21"/>
                      </w:rPr>
                      <w:t>10</w:t>
                    </w:r>
                  </w:p>
                </w:txbxContent>
              </v:textbox>
              <w10:wrap type="none"/>
            </v:shape>
            <v:shape style="position:absolute;left:1587;top:184;width:8731;height:726" type="#_x0000_t202" filled="true" fillcolor="#fdebea" stroked="false">
              <v:textbox inset="0,0,0,0">
                <w:txbxContent>
                  <w:p>
                    <w:pPr>
                      <w:spacing w:before="166"/>
                      <w:ind w:left="226" w:right="0" w:firstLine="0"/>
                      <w:jc w:val="left"/>
                      <w:rPr>
                        <w:b/>
                        <w:sz w:val="32"/>
                      </w:rPr>
                    </w:pPr>
                    <w:r>
                      <w:rPr>
                        <w:b/>
                        <w:color w:val="EC5A4F"/>
                        <w:w w:val="110"/>
                        <w:sz w:val="32"/>
                      </w:rPr>
                      <w:t>Recommendation</w:t>
                    </w:r>
                  </w:p>
                </w:txbxContent>
              </v:textbox>
              <v:fill type="solid"/>
              <w10:wrap type="none"/>
            </v:shap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9"/>
        </w:rPr>
      </w:pPr>
    </w:p>
    <w:p>
      <w:pPr>
        <w:spacing w:before="99"/>
        <w:ind w:left="0" w:right="659" w:firstLine="0"/>
        <w:jc w:val="right"/>
        <w:rPr>
          <w:b/>
          <w:sz w:val="24"/>
        </w:rPr>
      </w:pPr>
      <w:r>
        <w:rPr>
          <w:b/>
          <w:color w:val="EC5A4F"/>
          <w:w w:val="110"/>
          <w:sz w:val="24"/>
        </w:rPr>
        <w:t>53</w:t>
      </w:r>
    </w:p>
    <w:p>
      <w:pPr>
        <w:spacing w:after="0"/>
        <w:jc w:val="right"/>
        <w:rPr>
          <w:sz w:val="24"/>
        </w:rPr>
        <w:sectPr>
          <w:pgSz w:w="11910" w:h="16840"/>
          <w:pgMar w:header="805" w:footer="0" w:top="1360" w:bottom="280" w:left="0" w:right="0"/>
        </w:sectPr>
      </w:pPr>
    </w:p>
    <w:p>
      <w:pPr>
        <w:pStyle w:val="BodyText"/>
        <w:rPr>
          <w:b/>
          <w:sz w:val="20"/>
        </w:rPr>
      </w:pPr>
      <w:r>
        <w:rPr/>
        <w:pict>
          <v:rect style="position:absolute;margin-left:85.039001pt;margin-top:0pt;width:510.236pt;height:841.890015pt;mso-position-horizontal-relative:page;mso-position-vertical-relative:page;z-index:5008" filled="true" fillcolor="#fdefed" stroked="false">
            <v:fill type="solid"/>
            <w10:wrap type="none"/>
          </v:rect>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16"/>
        </w:rPr>
      </w:pPr>
    </w:p>
    <w:p>
      <w:pPr>
        <w:spacing w:before="98"/>
        <w:ind w:left="720" w:right="0" w:firstLine="0"/>
        <w:jc w:val="left"/>
        <w:rPr>
          <w:b/>
          <w:sz w:val="24"/>
        </w:rPr>
      </w:pPr>
      <w:r>
        <w:rPr>
          <w:b/>
          <w:color w:val="EC5A4F"/>
          <w:w w:val="110"/>
          <w:sz w:val="24"/>
        </w:rPr>
        <w:t>54</w:t>
      </w:r>
    </w:p>
    <w:p>
      <w:pPr>
        <w:spacing w:after="0"/>
        <w:jc w:val="left"/>
        <w:rPr>
          <w:sz w:val="24"/>
        </w:rPr>
        <w:sectPr>
          <w:headerReference w:type="even" r:id="rId35"/>
          <w:pgSz w:w="11910" w:h="16840"/>
          <w:pgMar w:header="0" w:footer="0" w:top="1580" w:bottom="280" w:left="0" w:right="0"/>
        </w:sectPr>
      </w:pPr>
    </w:p>
    <w:p>
      <w:pPr>
        <w:tabs>
          <w:tab w:pos="1417" w:val="left" w:leader="none"/>
        </w:tabs>
        <w:spacing w:before="85"/>
        <w:ind w:left="0" w:right="0" w:firstLine="0"/>
        <w:jc w:val="right"/>
        <w:rPr>
          <w:b/>
          <w:sz w:val="48"/>
        </w:rPr>
      </w:pPr>
      <w:r>
        <w:rPr/>
        <w:pict>
          <v:rect style="position:absolute;margin-left:0pt;margin-top:0pt;width:595.276001pt;height:841.890015pt;mso-position-horizontal-relative:page;mso-position-vertical-relative:page;z-index:-303184" filled="true" fillcolor="#fdefed" stroked="false">
            <v:fill type="solid"/>
            <w10:wrap type="none"/>
          </v:rect>
        </w:pict>
      </w:r>
      <w:r>
        <w:rPr>
          <w:b/>
          <w:color w:val="FFFFFF"/>
          <w:w w:val="122"/>
          <w:sz w:val="48"/>
          <w:shd w:fill="EC5A4F" w:color="auto" w:val="clear"/>
        </w:rPr>
        <w:t> </w:t>
      </w:r>
      <w:r>
        <w:rPr>
          <w:b/>
          <w:color w:val="FFFFFF"/>
          <w:spacing w:val="41"/>
          <w:sz w:val="48"/>
          <w:shd w:fill="EC5A4F" w:color="auto" w:val="clear"/>
        </w:rPr>
        <w:t> </w:t>
      </w:r>
      <w:r>
        <w:rPr>
          <w:b/>
          <w:color w:val="FFFFFF"/>
          <w:w w:val="105"/>
          <w:sz w:val="48"/>
          <w:shd w:fill="EC5A4F" w:color="auto" w:val="clear"/>
        </w:rPr>
        <w:t>5</w:t>
      </w:r>
      <w:r>
        <w:rPr>
          <w:b/>
          <w:color w:val="FFFFFF"/>
          <w:sz w:val="48"/>
          <w:shd w:fill="EC5A4F" w:color="auto" w:val="clear"/>
        </w:rPr>
        <w:tab/>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1"/>
        <w:rPr>
          <w:b/>
          <w:sz w:val="19"/>
        </w:rPr>
      </w:pPr>
    </w:p>
    <w:p>
      <w:pPr>
        <w:tabs>
          <w:tab w:pos="1417" w:val="left" w:leader="none"/>
          <w:tab w:pos="5681" w:val="left" w:leader="none"/>
        </w:tabs>
        <w:spacing w:before="95"/>
        <w:ind w:left="0" w:right="0" w:firstLine="0"/>
        <w:jc w:val="left"/>
        <w:rPr>
          <w:b/>
          <w:sz w:val="96"/>
        </w:rPr>
      </w:pPr>
      <w:r>
        <w:rPr>
          <w:b/>
          <w:color w:val="EC5A4F"/>
          <w:w w:val="122"/>
          <w:sz w:val="96"/>
          <w:shd w:fill="FFFFFF" w:color="auto" w:val="clear"/>
        </w:rPr>
        <w:t> </w:t>
      </w:r>
      <w:r>
        <w:rPr>
          <w:b/>
          <w:color w:val="EC5A4F"/>
          <w:sz w:val="96"/>
          <w:shd w:fill="FFFFFF" w:color="auto" w:val="clear"/>
        </w:rPr>
        <w:tab/>
      </w:r>
      <w:r>
        <w:rPr>
          <w:b/>
          <w:color w:val="EC5A4F"/>
          <w:spacing w:val="-9"/>
          <w:w w:val="110"/>
          <w:sz w:val="96"/>
          <w:shd w:fill="FFFFFF" w:color="auto" w:val="clear"/>
        </w:rPr>
        <w:t>Intestacy</w:t>
      </w:r>
      <w:r>
        <w:rPr>
          <w:b/>
          <w:color w:val="EC5A4F"/>
          <w:spacing w:val="-9"/>
          <w:sz w:val="96"/>
          <w:shd w:fill="FFFFFF" w:color="auto" w:val="clear"/>
        </w:rPr>
        <w:tab/>
      </w:r>
    </w:p>
    <w:p>
      <w:pPr>
        <w:pStyle w:val="BodyText"/>
        <w:rPr>
          <w:b/>
          <w:sz w:val="20"/>
        </w:rPr>
      </w:pPr>
    </w:p>
    <w:p>
      <w:pPr>
        <w:pStyle w:val="BodyText"/>
        <w:rPr>
          <w:b/>
          <w:sz w:val="20"/>
        </w:rPr>
      </w:pPr>
    </w:p>
    <w:p>
      <w:pPr>
        <w:pStyle w:val="BodyText"/>
        <w:spacing w:before="1"/>
        <w:rPr>
          <w:b/>
          <w:sz w:val="24"/>
        </w:rPr>
      </w:pPr>
    </w:p>
    <w:p>
      <w:pPr>
        <w:tabs>
          <w:tab w:pos="1984" w:val="left" w:leader="none"/>
        </w:tabs>
        <w:spacing w:before="99"/>
        <w:ind w:left="1417" w:right="0" w:firstLine="0"/>
        <w:jc w:val="left"/>
        <w:rPr>
          <w:b/>
          <w:sz w:val="24"/>
        </w:rPr>
      </w:pPr>
      <w:r>
        <w:rPr/>
        <w:pict>
          <v:line style="position:absolute;mso-position-horizontal-relative:page;mso-position-vertical-relative:paragraph;z-index:2984;mso-wrap-distance-left:0;mso-wrap-distance-right:0" from="70.866096pt,23.04508pt" to="96.378096pt,23.04508pt" stroked="true" strokeweight="2pt" strokecolor="#ffffff">
            <v:stroke dashstyle="solid"/>
            <w10:wrap type="topAndBottom"/>
          </v:line>
        </w:pict>
      </w:r>
      <w:r>
        <w:rPr>
          <w:b/>
          <w:w w:val="110"/>
          <w:sz w:val="24"/>
        </w:rPr>
        <w:t>56</w:t>
        <w:tab/>
        <w:t>Introduction</w:t>
      </w:r>
    </w:p>
    <w:p>
      <w:pPr>
        <w:tabs>
          <w:tab w:pos="1984" w:val="left" w:leader="none"/>
        </w:tabs>
        <w:spacing w:before="62" w:after="49"/>
        <w:ind w:left="1417" w:right="0" w:firstLine="0"/>
        <w:jc w:val="left"/>
        <w:rPr>
          <w:b/>
          <w:sz w:val="24"/>
        </w:rPr>
      </w:pPr>
      <w:r>
        <w:rPr>
          <w:b/>
          <w:w w:val="115"/>
          <w:sz w:val="24"/>
        </w:rPr>
        <w:t>58</w:t>
        <w:tab/>
        <w:t>Setting a limit on next of</w:t>
      </w:r>
      <w:r>
        <w:rPr>
          <w:b/>
          <w:spacing w:val="21"/>
          <w:w w:val="115"/>
          <w:sz w:val="24"/>
        </w:rPr>
        <w:t> </w:t>
      </w:r>
      <w:r>
        <w:rPr>
          <w:b/>
          <w:w w:val="115"/>
          <w:sz w:val="24"/>
        </w:rPr>
        <w:t>kin</w:t>
      </w:r>
    </w:p>
    <w:p>
      <w:pPr>
        <w:pStyle w:val="BodyText"/>
        <w:spacing w:line="40" w:lineRule="exact"/>
        <w:ind w:left="1397"/>
        <w:rPr>
          <w:sz w:val="4"/>
        </w:rPr>
      </w:pPr>
      <w:r>
        <w:rPr>
          <w:position w:val="0"/>
          <w:sz w:val="4"/>
        </w:rPr>
        <w:pict>
          <v:group style="width:25.55pt;height:2pt;mso-position-horizontal-relative:char;mso-position-vertical-relative:line" coordorigin="0,0" coordsize="511,40">
            <v:line style="position:absolute" from="0,20" to="510,20" stroked="true" strokeweight="2pt" strokecolor="#ffffff">
              <v:stroke dashstyle="solid"/>
            </v:line>
          </v:group>
        </w:pict>
      </w:r>
      <w:r>
        <w:rPr>
          <w:position w:val="0"/>
          <w:sz w:val="4"/>
        </w:rPr>
      </w:r>
    </w:p>
    <w:p>
      <w:pPr>
        <w:tabs>
          <w:tab w:pos="1984" w:val="left" w:leader="none"/>
        </w:tabs>
        <w:spacing w:before="91"/>
        <w:ind w:left="1417" w:right="0" w:firstLine="0"/>
        <w:jc w:val="left"/>
        <w:rPr>
          <w:b/>
          <w:sz w:val="24"/>
        </w:rPr>
      </w:pPr>
      <w:r>
        <w:rPr/>
        <w:pict>
          <v:line style="position:absolute;mso-position-horizontal-relative:page;mso-position-vertical-relative:paragraph;z-index:3032;mso-wrap-distance-left:0;mso-wrap-distance-right:0" from="70.866096pt,22.655577pt" to="96.378096pt,22.655577pt" stroked="true" strokeweight="2pt" strokecolor="#ffffff">
            <v:stroke dashstyle="solid"/>
            <w10:wrap type="topAndBottom"/>
          </v:line>
        </w:pict>
      </w:r>
      <w:r>
        <w:rPr>
          <w:b/>
          <w:w w:val="110"/>
          <w:sz w:val="24"/>
        </w:rPr>
        <w:t>63</w:t>
        <w:tab/>
        <w:t>Survivorship</w:t>
      </w:r>
    </w:p>
    <w:p>
      <w:pPr>
        <w:tabs>
          <w:tab w:pos="1984" w:val="left" w:leader="none"/>
        </w:tabs>
        <w:spacing w:before="62" w:after="49"/>
        <w:ind w:left="1417" w:right="0" w:firstLine="0"/>
        <w:jc w:val="left"/>
        <w:rPr>
          <w:b/>
          <w:sz w:val="24"/>
        </w:rPr>
      </w:pPr>
      <w:r>
        <w:rPr>
          <w:b/>
          <w:w w:val="110"/>
          <w:sz w:val="24"/>
        </w:rPr>
        <w:t>65</w:t>
        <w:tab/>
        <w:t>The partner’s</w:t>
      </w:r>
      <w:r>
        <w:rPr>
          <w:b/>
          <w:spacing w:val="13"/>
          <w:w w:val="110"/>
          <w:sz w:val="24"/>
        </w:rPr>
        <w:t> </w:t>
      </w:r>
      <w:r>
        <w:rPr>
          <w:b/>
          <w:w w:val="110"/>
          <w:sz w:val="24"/>
        </w:rPr>
        <w:t>share</w:t>
      </w:r>
    </w:p>
    <w:p>
      <w:pPr>
        <w:pStyle w:val="BodyText"/>
        <w:spacing w:line="40" w:lineRule="exact"/>
        <w:ind w:left="1397"/>
        <w:rPr>
          <w:sz w:val="4"/>
        </w:rPr>
      </w:pPr>
      <w:r>
        <w:rPr>
          <w:position w:val="0"/>
          <w:sz w:val="4"/>
        </w:rPr>
        <w:pict>
          <v:group style="width:25.55pt;height:2pt;mso-position-horizontal-relative:char;mso-position-vertical-relative:line" coordorigin="0,0" coordsize="511,40">
            <v:line style="position:absolute" from="0,20" to="510,20" stroked="true" strokeweight="2pt" strokecolor="#ffffff">
              <v:stroke dashstyle="solid"/>
            </v:line>
          </v:group>
        </w:pict>
      </w:r>
      <w:r>
        <w:rPr>
          <w:position w:val="0"/>
          <w:sz w:val="4"/>
        </w:rPr>
      </w:r>
    </w:p>
    <w:p>
      <w:pPr>
        <w:tabs>
          <w:tab w:pos="1984" w:val="left" w:leader="none"/>
        </w:tabs>
        <w:spacing w:before="91"/>
        <w:ind w:left="1417" w:right="0" w:firstLine="0"/>
        <w:jc w:val="left"/>
        <w:rPr>
          <w:b/>
          <w:sz w:val="24"/>
        </w:rPr>
      </w:pPr>
      <w:r>
        <w:rPr/>
        <w:pict>
          <v:line style="position:absolute;mso-position-horizontal-relative:page;mso-position-vertical-relative:paragraph;z-index:3080;mso-wrap-distance-left:0;mso-wrap-distance-right:0" from="70.866096pt,22.666174pt" to="96.378096pt,22.666174pt" stroked="true" strokeweight="2pt" strokecolor="#ffffff">
            <v:stroke dashstyle="solid"/>
            <w10:wrap type="topAndBottom"/>
          </v:line>
        </w:pict>
      </w:r>
      <w:r>
        <w:rPr>
          <w:b/>
          <w:w w:val="110"/>
          <w:sz w:val="24"/>
        </w:rPr>
        <w:t>72</w:t>
        <w:tab/>
        <w:t>The</w:t>
      </w:r>
      <w:r>
        <w:rPr>
          <w:b/>
          <w:spacing w:val="9"/>
          <w:w w:val="110"/>
          <w:sz w:val="24"/>
        </w:rPr>
        <w:t> </w:t>
      </w:r>
      <w:r>
        <w:rPr>
          <w:b/>
          <w:w w:val="110"/>
          <w:sz w:val="24"/>
        </w:rPr>
        <w:t>partner’s</w:t>
      </w:r>
      <w:r>
        <w:rPr>
          <w:b/>
          <w:spacing w:val="9"/>
          <w:w w:val="110"/>
          <w:sz w:val="24"/>
        </w:rPr>
        <w:t> </w:t>
      </w:r>
      <w:r>
        <w:rPr>
          <w:b/>
          <w:w w:val="110"/>
          <w:sz w:val="24"/>
        </w:rPr>
        <w:t>right</w:t>
      </w:r>
      <w:r>
        <w:rPr>
          <w:b/>
          <w:spacing w:val="9"/>
          <w:w w:val="110"/>
          <w:sz w:val="24"/>
        </w:rPr>
        <w:t> </w:t>
      </w:r>
      <w:r>
        <w:rPr>
          <w:b/>
          <w:w w:val="110"/>
          <w:sz w:val="24"/>
        </w:rPr>
        <w:t>to</w:t>
      </w:r>
      <w:r>
        <w:rPr>
          <w:b/>
          <w:spacing w:val="9"/>
          <w:w w:val="110"/>
          <w:sz w:val="24"/>
        </w:rPr>
        <w:t> </w:t>
      </w:r>
      <w:r>
        <w:rPr>
          <w:b/>
          <w:w w:val="110"/>
          <w:sz w:val="24"/>
        </w:rPr>
        <w:t>elect</w:t>
      </w:r>
      <w:r>
        <w:rPr>
          <w:b/>
          <w:spacing w:val="9"/>
          <w:w w:val="110"/>
          <w:sz w:val="24"/>
        </w:rPr>
        <w:t> </w:t>
      </w:r>
      <w:r>
        <w:rPr>
          <w:b/>
          <w:w w:val="110"/>
          <w:sz w:val="24"/>
        </w:rPr>
        <w:t>to</w:t>
      </w:r>
      <w:r>
        <w:rPr>
          <w:b/>
          <w:spacing w:val="9"/>
          <w:w w:val="110"/>
          <w:sz w:val="24"/>
        </w:rPr>
        <w:t> </w:t>
      </w:r>
      <w:r>
        <w:rPr>
          <w:b/>
          <w:w w:val="110"/>
          <w:sz w:val="24"/>
        </w:rPr>
        <w:t>acquire</w:t>
      </w:r>
      <w:r>
        <w:rPr>
          <w:b/>
          <w:spacing w:val="9"/>
          <w:w w:val="110"/>
          <w:sz w:val="24"/>
        </w:rPr>
        <w:t> </w:t>
      </w:r>
      <w:r>
        <w:rPr>
          <w:b/>
          <w:w w:val="110"/>
          <w:sz w:val="24"/>
        </w:rPr>
        <w:t>an</w:t>
      </w:r>
      <w:r>
        <w:rPr>
          <w:b/>
          <w:spacing w:val="9"/>
          <w:w w:val="110"/>
          <w:sz w:val="24"/>
        </w:rPr>
        <w:t> </w:t>
      </w:r>
      <w:r>
        <w:rPr>
          <w:b/>
          <w:w w:val="110"/>
          <w:sz w:val="24"/>
        </w:rPr>
        <w:t>interest</w:t>
      </w:r>
      <w:r>
        <w:rPr>
          <w:b/>
          <w:spacing w:val="9"/>
          <w:w w:val="110"/>
          <w:sz w:val="24"/>
        </w:rPr>
        <w:t> </w:t>
      </w:r>
      <w:r>
        <w:rPr>
          <w:b/>
          <w:w w:val="110"/>
          <w:sz w:val="24"/>
        </w:rPr>
        <w:t>in</w:t>
      </w:r>
      <w:r>
        <w:rPr>
          <w:b/>
          <w:spacing w:val="9"/>
          <w:w w:val="110"/>
          <w:sz w:val="24"/>
        </w:rPr>
        <w:t> </w:t>
      </w:r>
      <w:r>
        <w:rPr>
          <w:b/>
          <w:w w:val="110"/>
          <w:sz w:val="24"/>
        </w:rPr>
        <w:t>certain</w:t>
      </w:r>
      <w:r>
        <w:rPr>
          <w:b/>
          <w:spacing w:val="9"/>
          <w:w w:val="110"/>
          <w:sz w:val="24"/>
        </w:rPr>
        <w:t> </w:t>
      </w:r>
      <w:r>
        <w:rPr>
          <w:b/>
          <w:w w:val="110"/>
          <w:sz w:val="24"/>
        </w:rPr>
        <w:t>property</w:t>
      </w:r>
    </w:p>
    <w:p>
      <w:pPr>
        <w:tabs>
          <w:tab w:pos="1984" w:val="left" w:leader="none"/>
        </w:tabs>
        <w:spacing w:before="62" w:after="49"/>
        <w:ind w:left="1417" w:right="0" w:firstLine="0"/>
        <w:jc w:val="left"/>
        <w:rPr>
          <w:b/>
          <w:sz w:val="24"/>
        </w:rPr>
      </w:pPr>
      <w:r>
        <w:rPr>
          <w:b/>
          <w:w w:val="110"/>
          <w:sz w:val="24"/>
        </w:rPr>
        <w:t>77</w:t>
        <w:tab/>
        <w:t>Multiple</w:t>
      </w:r>
      <w:r>
        <w:rPr>
          <w:b/>
          <w:spacing w:val="6"/>
          <w:w w:val="110"/>
          <w:sz w:val="24"/>
        </w:rPr>
        <w:t> </w:t>
      </w:r>
      <w:r>
        <w:rPr>
          <w:b/>
          <w:w w:val="110"/>
          <w:sz w:val="24"/>
        </w:rPr>
        <w:t>partners</w:t>
      </w:r>
    </w:p>
    <w:p>
      <w:pPr>
        <w:pStyle w:val="BodyText"/>
        <w:spacing w:line="40" w:lineRule="exact"/>
        <w:ind w:left="1397"/>
        <w:rPr>
          <w:sz w:val="4"/>
        </w:rPr>
      </w:pPr>
      <w:r>
        <w:rPr>
          <w:position w:val="0"/>
          <w:sz w:val="4"/>
        </w:rPr>
        <w:pict>
          <v:group style="width:25.55pt;height:2pt;mso-position-horizontal-relative:char;mso-position-vertical-relative:line" coordorigin="0,0" coordsize="511,40">
            <v:line style="position:absolute" from="0,20" to="510,20" stroked="true" strokeweight="2pt" strokecolor="#ffffff">
              <v:stroke dashstyle="solid"/>
            </v:line>
          </v:group>
        </w:pict>
      </w:r>
      <w:r>
        <w:rPr>
          <w:position w:val="0"/>
          <w:sz w:val="4"/>
        </w:rPr>
      </w:r>
    </w:p>
    <w:p>
      <w:pPr>
        <w:tabs>
          <w:tab w:pos="1984" w:val="left" w:leader="none"/>
        </w:tabs>
        <w:spacing w:before="91"/>
        <w:ind w:left="1417" w:right="0" w:firstLine="0"/>
        <w:jc w:val="left"/>
        <w:rPr>
          <w:b/>
          <w:sz w:val="24"/>
        </w:rPr>
      </w:pPr>
      <w:r>
        <w:rPr/>
        <w:pict>
          <v:line style="position:absolute;mso-position-horizontal-relative:page;mso-position-vertical-relative:paragraph;z-index:3128;mso-wrap-distance-left:0;mso-wrap-distance-right:0" from="70.866096pt,22.676771pt" to="96.378096pt,22.676771pt" stroked="true" strokeweight="2pt" strokecolor="#ffffff">
            <v:stroke dashstyle="solid"/>
            <w10:wrap type="topAndBottom"/>
          </v:line>
        </w:pict>
      </w:r>
      <w:r>
        <w:rPr>
          <w:b/>
          <w:w w:val="110"/>
          <w:sz w:val="24"/>
        </w:rPr>
        <w:t>82</w:t>
        <w:tab/>
        <w:t>Entitlements of the deceased person’s children or</w:t>
      </w:r>
      <w:r>
        <w:rPr>
          <w:b/>
          <w:spacing w:val="52"/>
          <w:w w:val="110"/>
          <w:sz w:val="24"/>
        </w:rPr>
        <w:t> </w:t>
      </w:r>
      <w:r>
        <w:rPr>
          <w:b/>
          <w:w w:val="110"/>
          <w:sz w:val="24"/>
        </w:rPr>
        <w:t>issue</w:t>
      </w:r>
    </w:p>
    <w:p>
      <w:pPr>
        <w:tabs>
          <w:tab w:pos="1984" w:val="left" w:leader="none"/>
        </w:tabs>
        <w:spacing w:before="61" w:after="50"/>
        <w:ind w:left="1417" w:right="0" w:firstLine="0"/>
        <w:jc w:val="left"/>
        <w:rPr>
          <w:b/>
          <w:sz w:val="24"/>
        </w:rPr>
      </w:pPr>
      <w:r>
        <w:rPr>
          <w:b/>
          <w:w w:val="105"/>
          <w:sz w:val="24"/>
        </w:rPr>
        <w:t>86</w:t>
        <w:tab/>
      </w:r>
      <w:r>
        <w:rPr>
          <w:rFonts w:ascii="Trebuchet MS"/>
          <w:b/>
          <w:i/>
          <w:w w:val="105"/>
          <w:sz w:val="24"/>
        </w:rPr>
        <w:t>Per stirpes </w:t>
      </w:r>
      <w:r>
        <w:rPr>
          <w:b/>
          <w:w w:val="105"/>
          <w:sz w:val="24"/>
        </w:rPr>
        <w:t>or </w:t>
      </w:r>
      <w:r>
        <w:rPr>
          <w:rFonts w:ascii="Trebuchet MS"/>
          <w:b/>
          <w:i/>
          <w:w w:val="105"/>
          <w:sz w:val="24"/>
        </w:rPr>
        <w:t>per capita</w:t>
      </w:r>
      <w:r>
        <w:rPr>
          <w:rFonts w:ascii="Trebuchet MS"/>
          <w:b/>
          <w:i/>
          <w:spacing w:val="-38"/>
          <w:w w:val="105"/>
          <w:sz w:val="24"/>
        </w:rPr>
        <w:t> </w:t>
      </w:r>
      <w:r>
        <w:rPr>
          <w:b/>
          <w:w w:val="105"/>
          <w:sz w:val="24"/>
        </w:rPr>
        <w:t>distribution</w:t>
      </w:r>
    </w:p>
    <w:p>
      <w:pPr>
        <w:pStyle w:val="BodyText"/>
        <w:spacing w:line="40" w:lineRule="exact"/>
        <w:ind w:left="1397"/>
        <w:rPr>
          <w:sz w:val="4"/>
        </w:rPr>
      </w:pPr>
      <w:r>
        <w:rPr>
          <w:position w:val="0"/>
          <w:sz w:val="4"/>
        </w:rPr>
        <w:pict>
          <v:group style="width:25.55pt;height:2pt;mso-position-horizontal-relative:char;mso-position-vertical-relative:line" coordorigin="0,0" coordsize="511,40">
            <v:line style="position:absolute" from="0,20" to="510,20" stroked="true" strokeweight="2pt" strokecolor="#ffffff">
              <v:stroke dashstyle="solid"/>
            </v:line>
          </v:group>
        </w:pict>
      </w:r>
      <w:r>
        <w:rPr>
          <w:position w:val="0"/>
          <w:sz w:val="4"/>
        </w:rPr>
      </w:r>
    </w:p>
    <w:p>
      <w:pPr>
        <w:pStyle w:val="Heading5"/>
        <w:tabs>
          <w:tab w:pos="1984" w:val="left" w:leader="none"/>
        </w:tabs>
        <w:spacing w:before="50"/>
        <w:ind w:left="1417"/>
      </w:pPr>
      <w:r>
        <w:rPr/>
        <w:pict>
          <v:line style="position:absolute;mso-position-horizontal-relative:page;mso-position-vertical-relative:paragraph;z-index:3176;mso-wrap-distance-left:0;mso-wrap-distance-right:0" from="70.866096pt,20.629387pt" to="96.378096pt,20.629387pt" stroked="true" strokeweight="2pt" strokecolor="#ffffff">
            <v:stroke dashstyle="solid"/>
            <w10:wrap type="topAndBottom"/>
          </v:line>
        </w:pict>
      </w:r>
      <w:r>
        <w:rPr>
          <w:spacing w:val="-3"/>
          <w:w w:val="115"/>
        </w:rPr>
        <w:t>91</w:t>
        <w:tab/>
      </w:r>
      <w:r>
        <w:rPr>
          <w:spacing w:val="-4"/>
          <w:w w:val="115"/>
        </w:rPr>
        <w:t>Taking </w:t>
      </w:r>
      <w:r>
        <w:rPr>
          <w:w w:val="115"/>
        </w:rPr>
        <w:t>benefits into</w:t>
      </w:r>
      <w:r>
        <w:rPr>
          <w:spacing w:val="13"/>
          <w:w w:val="115"/>
        </w:rPr>
        <w:t> </w:t>
      </w:r>
      <w:r>
        <w:rPr>
          <w:w w:val="115"/>
        </w:rPr>
        <w:t>account</w:t>
      </w:r>
    </w:p>
    <w:p>
      <w:pPr>
        <w:tabs>
          <w:tab w:pos="1984" w:val="left" w:leader="none"/>
        </w:tabs>
        <w:spacing w:before="22" w:after="49"/>
        <w:ind w:left="1417" w:right="0" w:firstLine="0"/>
        <w:jc w:val="left"/>
        <w:rPr>
          <w:b/>
          <w:sz w:val="24"/>
        </w:rPr>
      </w:pPr>
      <w:r>
        <w:rPr>
          <w:b/>
          <w:w w:val="115"/>
          <w:sz w:val="24"/>
        </w:rPr>
        <w:t>93</w:t>
        <w:tab/>
        <w:t>Intestate estates of Indigenous</w:t>
      </w:r>
      <w:r>
        <w:rPr>
          <w:b/>
          <w:spacing w:val="10"/>
          <w:w w:val="115"/>
          <w:sz w:val="24"/>
        </w:rPr>
        <w:t> </w:t>
      </w:r>
      <w:r>
        <w:rPr>
          <w:b/>
          <w:w w:val="115"/>
          <w:sz w:val="24"/>
        </w:rPr>
        <w:t>people</w:t>
      </w:r>
    </w:p>
    <w:p>
      <w:pPr>
        <w:pStyle w:val="BodyText"/>
        <w:spacing w:line="40" w:lineRule="exact"/>
        <w:ind w:left="1397"/>
        <w:rPr>
          <w:sz w:val="4"/>
        </w:rPr>
      </w:pPr>
      <w:r>
        <w:rPr>
          <w:position w:val="0"/>
          <w:sz w:val="4"/>
        </w:rPr>
        <w:pict>
          <v:group style="width:25.55pt;height:2pt;mso-position-horizontal-relative:char;mso-position-vertical-relative:line" coordorigin="0,0" coordsize="511,40">
            <v:line style="position:absolute" from="0,20" to="510,20" stroked="true" strokeweight="2pt" strokecolor="#ffffff">
              <v:stroke dashstyle="solid"/>
            </v:line>
          </v:group>
        </w:pict>
      </w:r>
      <w:r>
        <w:rPr>
          <w:position w:val="0"/>
          <w:sz w:val="4"/>
        </w:rPr>
      </w:r>
    </w:p>
    <w:p>
      <w:pPr>
        <w:spacing w:after="0" w:line="40" w:lineRule="exact"/>
        <w:rPr>
          <w:sz w:val="4"/>
        </w:rPr>
        <w:sectPr>
          <w:headerReference w:type="default" r:id="rId36"/>
          <w:headerReference w:type="even" r:id="rId37"/>
          <w:pgSz w:w="11910" w:h="16840"/>
          <w:pgMar w:header="0" w:footer="0" w:top="700" w:bottom="280" w:left="0" w:right="0"/>
        </w:sectPr>
      </w:pPr>
    </w:p>
    <w:p>
      <w:pPr>
        <w:pStyle w:val="BodyText"/>
        <w:spacing w:before="10"/>
        <w:rPr>
          <w:b/>
          <w:sz w:val="18"/>
        </w:rPr>
      </w:pPr>
    </w:p>
    <w:p>
      <w:pPr>
        <w:pStyle w:val="Heading2"/>
        <w:numPr>
          <w:ilvl w:val="0"/>
          <w:numId w:val="22"/>
        </w:numPr>
        <w:tabs>
          <w:tab w:pos="1055" w:val="left" w:leader="none"/>
        </w:tabs>
        <w:spacing w:line="240" w:lineRule="auto" w:before="98" w:after="0"/>
        <w:ind w:left="1054" w:right="0" w:hanging="488"/>
        <w:jc w:val="left"/>
      </w:pPr>
      <w:bookmarkStart w:name="_TOC_250066" w:id="41"/>
      <w:bookmarkStart w:name="5. Intestacy" w:id="42"/>
      <w:r>
        <w:rPr>
          <w:b w:val="0"/>
        </w:rPr>
      </w:r>
      <w:bookmarkStart w:name="Introduction" w:id="43"/>
      <w:bookmarkEnd w:id="43"/>
      <w:r>
        <w:rPr>
          <w:b w:val="0"/>
        </w:rPr>
      </w:r>
      <w:bookmarkStart w:name="Introduction" w:id="44"/>
      <w:bookmarkEnd w:id="44"/>
      <w:r>
        <w:rPr>
          <w:color w:val="EC5A4F"/>
          <w:w w:val="110"/>
        </w:rPr>
        <w:t>I</w:t>
      </w:r>
      <w:bookmarkEnd w:id="41"/>
      <w:r>
        <w:rPr>
          <w:color w:val="EC5A4F"/>
          <w:w w:val="110"/>
        </w:rPr>
        <w:t>ntestacy</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27"/>
        </w:rPr>
      </w:pPr>
    </w:p>
    <w:p>
      <w:pPr>
        <w:pStyle w:val="Heading4"/>
        <w:spacing w:before="99"/>
      </w:pPr>
      <w:bookmarkStart w:name="_TOC_250065" w:id="45"/>
      <w:bookmarkEnd w:id="45"/>
      <w:r>
        <w:rPr>
          <w:color w:val="EC5A4F"/>
          <w:w w:val="110"/>
        </w:rPr>
        <w:t>Introduction</w:t>
      </w:r>
    </w:p>
    <w:p>
      <w:pPr>
        <w:pStyle w:val="Heading5"/>
        <w:spacing w:before="166"/>
      </w:pPr>
      <w:bookmarkStart w:name="_TOC_250064" w:id="46"/>
      <w:bookmarkEnd w:id="46"/>
      <w:r>
        <w:rPr>
          <w:w w:val="115"/>
        </w:rPr>
        <w:t>Overview of intestacy in Victoria</w:t>
      </w:r>
    </w:p>
    <w:p>
      <w:pPr>
        <w:pStyle w:val="ListParagraph"/>
        <w:numPr>
          <w:ilvl w:val="1"/>
          <w:numId w:val="22"/>
        </w:numPr>
        <w:tabs>
          <w:tab w:pos="2380" w:val="left" w:leader="none"/>
          <w:tab w:pos="2381" w:val="left" w:leader="none"/>
        </w:tabs>
        <w:spacing w:line="242" w:lineRule="auto" w:before="138" w:after="0"/>
        <w:ind w:left="2381" w:right="1971" w:hanging="794"/>
        <w:jc w:val="left"/>
        <w:rPr>
          <w:sz w:val="12"/>
        </w:rPr>
      </w:pPr>
      <w:r>
        <w:rPr>
          <w:sz w:val="21"/>
        </w:rPr>
        <w:t>If a </w:t>
      </w:r>
      <w:r>
        <w:rPr>
          <w:spacing w:val="-4"/>
          <w:sz w:val="21"/>
        </w:rPr>
        <w:t>person’s </w:t>
      </w:r>
      <w:r>
        <w:rPr>
          <w:sz w:val="21"/>
        </w:rPr>
        <w:t>property is </w:t>
      </w:r>
      <w:r>
        <w:rPr>
          <w:spacing w:val="-3"/>
          <w:sz w:val="21"/>
        </w:rPr>
        <w:t>not disposed of by </w:t>
      </w:r>
      <w:r>
        <w:rPr>
          <w:sz w:val="21"/>
        </w:rPr>
        <w:t>a </w:t>
      </w:r>
      <w:r>
        <w:rPr>
          <w:spacing w:val="-3"/>
          <w:sz w:val="21"/>
        </w:rPr>
        <w:t>will </w:t>
      </w:r>
      <w:r>
        <w:rPr>
          <w:sz w:val="21"/>
        </w:rPr>
        <w:t>when </w:t>
      </w:r>
      <w:r>
        <w:rPr>
          <w:spacing w:val="-3"/>
          <w:sz w:val="21"/>
        </w:rPr>
        <w:t>they </w:t>
      </w:r>
      <w:r>
        <w:rPr>
          <w:spacing w:val="-4"/>
          <w:sz w:val="21"/>
        </w:rPr>
        <w:t>die, </w:t>
      </w:r>
      <w:r>
        <w:rPr>
          <w:spacing w:val="-3"/>
          <w:sz w:val="21"/>
        </w:rPr>
        <w:t>that </w:t>
      </w:r>
      <w:r>
        <w:rPr>
          <w:sz w:val="21"/>
        </w:rPr>
        <w:t>person </w:t>
      </w:r>
      <w:r>
        <w:rPr>
          <w:spacing w:val="-3"/>
          <w:sz w:val="21"/>
        </w:rPr>
        <w:t>has died </w:t>
      </w:r>
      <w:r>
        <w:rPr>
          <w:spacing w:val="-4"/>
          <w:sz w:val="21"/>
        </w:rPr>
        <w:t>intestate.</w:t>
      </w:r>
      <w:r>
        <w:rPr>
          <w:spacing w:val="13"/>
          <w:sz w:val="21"/>
        </w:rPr>
        <w:t> </w:t>
      </w:r>
      <w:r>
        <w:rPr>
          <w:sz w:val="21"/>
        </w:rPr>
        <w:t>Intestacy</w:t>
      </w:r>
      <w:r>
        <w:rPr>
          <w:spacing w:val="14"/>
          <w:sz w:val="21"/>
        </w:rPr>
        <w:t> </w:t>
      </w:r>
      <w:r>
        <w:rPr>
          <w:spacing w:val="-2"/>
          <w:sz w:val="21"/>
        </w:rPr>
        <w:t>can</w:t>
      </w:r>
      <w:r>
        <w:rPr>
          <w:spacing w:val="13"/>
          <w:sz w:val="21"/>
        </w:rPr>
        <w:t> </w:t>
      </w:r>
      <w:r>
        <w:rPr>
          <w:spacing w:val="-3"/>
          <w:sz w:val="21"/>
        </w:rPr>
        <w:t>occur</w:t>
      </w:r>
      <w:r>
        <w:rPr>
          <w:spacing w:val="14"/>
          <w:sz w:val="21"/>
        </w:rPr>
        <w:t> </w:t>
      </w:r>
      <w:r>
        <w:rPr>
          <w:sz w:val="21"/>
        </w:rPr>
        <w:t>if</w:t>
      </w:r>
      <w:r>
        <w:rPr>
          <w:spacing w:val="13"/>
          <w:sz w:val="21"/>
        </w:rPr>
        <w:t> </w:t>
      </w:r>
      <w:r>
        <w:rPr>
          <w:sz w:val="21"/>
        </w:rPr>
        <w:t>the</w:t>
      </w:r>
      <w:r>
        <w:rPr>
          <w:spacing w:val="14"/>
          <w:sz w:val="21"/>
        </w:rPr>
        <w:t> </w:t>
      </w:r>
      <w:r>
        <w:rPr>
          <w:sz w:val="21"/>
        </w:rPr>
        <w:t>person</w:t>
      </w:r>
      <w:r>
        <w:rPr>
          <w:spacing w:val="13"/>
          <w:sz w:val="21"/>
        </w:rPr>
        <w:t> </w:t>
      </w:r>
      <w:r>
        <w:rPr>
          <w:sz w:val="21"/>
        </w:rPr>
        <w:t>does</w:t>
      </w:r>
      <w:r>
        <w:rPr>
          <w:spacing w:val="14"/>
          <w:sz w:val="21"/>
        </w:rPr>
        <w:t> </w:t>
      </w:r>
      <w:r>
        <w:rPr>
          <w:spacing w:val="-3"/>
          <w:sz w:val="21"/>
        </w:rPr>
        <w:t>not</w:t>
      </w:r>
      <w:r>
        <w:rPr>
          <w:spacing w:val="13"/>
          <w:sz w:val="21"/>
        </w:rPr>
        <w:t> </w:t>
      </w:r>
      <w:r>
        <w:rPr>
          <w:spacing w:val="-4"/>
          <w:sz w:val="21"/>
        </w:rPr>
        <w:t>have</w:t>
      </w:r>
      <w:r>
        <w:rPr>
          <w:spacing w:val="14"/>
          <w:sz w:val="21"/>
        </w:rPr>
        <w:t> </w:t>
      </w:r>
      <w:r>
        <w:rPr>
          <w:sz w:val="21"/>
        </w:rPr>
        <w:t>a</w:t>
      </w:r>
      <w:r>
        <w:rPr>
          <w:spacing w:val="13"/>
          <w:sz w:val="21"/>
        </w:rPr>
        <w:t> </w:t>
      </w:r>
      <w:r>
        <w:rPr>
          <w:spacing w:val="-4"/>
          <w:sz w:val="21"/>
        </w:rPr>
        <w:t>will,</w:t>
      </w:r>
      <w:r>
        <w:rPr>
          <w:spacing w:val="14"/>
          <w:sz w:val="21"/>
        </w:rPr>
        <w:t> </w:t>
      </w:r>
      <w:r>
        <w:rPr>
          <w:sz w:val="21"/>
        </w:rPr>
        <w:t>if</w:t>
      </w:r>
      <w:r>
        <w:rPr>
          <w:spacing w:val="13"/>
          <w:sz w:val="21"/>
        </w:rPr>
        <w:t> </w:t>
      </w:r>
      <w:r>
        <w:rPr>
          <w:spacing w:val="-3"/>
          <w:sz w:val="21"/>
        </w:rPr>
        <w:t>their</w:t>
      </w:r>
      <w:r>
        <w:rPr>
          <w:spacing w:val="14"/>
          <w:sz w:val="21"/>
        </w:rPr>
        <w:t> </w:t>
      </w:r>
      <w:r>
        <w:rPr>
          <w:spacing w:val="-3"/>
          <w:sz w:val="21"/>
        </w:rPr>
        <w:t>will</w:t>
      </w:r>
      <w:r>
        <w:rPr>
          <w:spacing w:val="13"/>
          <w:sz w:val="21"/>
        </w:rPr>
        <w:t> </w:t>
      </w:r>
      <w:r>
        <w:rPr>
          <w:sz w:val="21"/>
        </w:rPr>
        <w:t>is</w:t>
      </w:r>
      <w:r>
        <w:rPr>
          <w:spacing w:val="14"/>
          <w:sz w:val="21"/>
        </w:rPr>
        <w:t> </w:t>
      </w:r>
      <w:r>
        <w:rPr>
          <w:spacing w:val="-3"/>
          <w:sz w:val="21"/>
        </w:rPr>
        <w:t>not</w:t>
      </w:r>
      <w:r>
        <w:rPr>
          <w:spacing w:val="13"/>
          <w:sz w:val="21"/>
        </w:rPr>
        <w:t> </w:t>
      </w:r>
      <w:r>
        <w:rPr>
          <w:spacing w:val="-4"/>
          <w:sz w:val="21"/>
        </w:rPr>
        <w:t>valid</w:t>
      </w:r>
      <w:r>
        <w:rPr>
          <w:spacing w:val="-24"/>
          <w:sz w:val="21"/>
        </w:rPr>
        <w:t> </w:t>
      </w:r>
      <w:r>
        <w:rPr>
          <w:position w:val="7"/>
          <w:sz w:val="12"/>
        </w:rPr>
        <w:t>1</w:t>
      </w:r>
    </w:p>
    <w:p>
      <w:pPr>
        <w:pStyle w:val="BodyText"/>
        <w:spacing w:line="242" w:lineRule="auto" w:before="2"/>
        <w:ind w:left="2381" w:right="1826"/>
      </w:pPr>
      <w:r>
        <w:rPr/>
        <w:t>or if </w:t>
      </w:r>
      <w:r>
        <w:rPr>
          <w:spacing w:val="-3"/>
        </w:rPr>
        <w:t>their will only disposes of </w:t>
      </w:r>
      <w:r>
        <w:rPr/>
        <w:t>some </w:t>
      </w:r>
      <w:r>
        <w:rPr>
          <w:spacing w:val="-3"/>
        </w:rPr>
        <w:t>of their property. </w:t>
      </w:r>
      <w:r>
        <w:rPr/>
        <w:t>The </w:t>
      </w:r>
      <w:r>
        <w:rPr>
          <w:spacing w:val="-3"/>
        </w:rPr>
        <w:t>laws of intestacy </w:t>
      </w:r>
      <w:r>
        <w:rPr>
          <w:spacing w:val="-4"/>
        </w:rPr>
        <w:t>determine </w:t>
      </w:r>
      <w:r>
        <w:rPr>
          <w:spacing w:val="-3"/>
        </w:rPr>
        <w:t>how   </w:t>
      </w:r>
      <w:r>
        <w:rPr>
          <w:spacing w:val="-4"/>
        </w:rPr>
        <w:t>the </w:t>
      </w:r>
      <w:r>
        <w:rPr>
          <w:spacing w:val="-5"/>
        </w:rPr>
        <w:t>deceased </w:t>
      </w:r>
      <w:r>
        <w:rPr>
          <w:spacing w:val="-6"/>
        </w:rPr>
        <w:t>person’s </w:t>
      </w:r>
      <w:r>
        <w:rPr>
          <w:spacing w:val="-4"/>
        </w:rPr>
        <w:t>property </w:t>
      </w:r>
      <w:r>
        <w:rPr>
          <w:spacing w:val="-3"/>
        </w:rPr>
        <w:t>is </w:t>
      </w:r>
      <w:r>
        <w:rPr>
          <w:spacing w:val="-4"/>
        </w:rPr>
        <w:t>to </w:t>
      </w:r>
      <w:r>
        <w:rPr/>
        <w:t>be </w:t>
      </w:r>
      <w:r>
        <w:rPr>
          <w:spacing w:val="-5"/>
        </w:rPr>
        <w:t>distributed </w:t>
      </w:r>
      <w:r>
        <w:rPr>
          <w:spacing w:val="-4"/>
        </w:rPr>
        <w:t>to </w:t>
      </w:r>
      <w:r>
        <w:rPr>
          <w:spacing w:val="-5"/>
        </w:rPr>
        <w:t>their </w:t>
      </w:r>
      <w:r>
        <w:rPr>
          <w:spacing w:val="-6"/>
        </w:rPr>
        <w:t>partner, children </w:t>
      </w:r>
      <w:r>
        <w:rPr>
          <w:spacing w:val="-3"/>
        </w:rPr>
        <w:t>or </w:t>
      </w:r>
      <w:r>
        <w:rPr>
          <w:spacing w:val="-5"/>
        </w:rPr>
        <w:t>other</w:t>
      </w:r>
      <w:r>
        <w:rPr>
          <w:spacing w:val="3"/>
        </w:rPr>
        <w:t> </w:t>
      </w:r>
      <w:r>
        <w:rPr>
          <w:spacing w:val="-6"/>
        </w:rPr>
        <w:t>relatives.</w:t>
      </w:r>
    </w:p>
    <w:p>
      <w:pPr>
        <w:pStyle w:val="ListParagraph"/>
        <w:numPr>
          <w:ilvl w:val="1"/>
          <w:numId w:val="22"/>
        </w:numPr>
        <w:tabs>
          <w:tab w:pos="2380" w:val="left" w:leader="none"/>
          <w:tab w:pos="2381" w:val="left" w:leader="none"/>
        </w:tabs>
        <w:spacing w:line="242" w:lineRule="auto" w:before="122" w:after="0"/>
        <w:ind w:left="2380" w:right="2042" w:hanging="793"/>
        <w:jc w:val="left"/>
        <w:rPr>
          <w:sz w:val="21"/>
        </w:rPr>
      </w:pPr>
      <w:r>
        <w:rPr>
          <w:w w:val="105"/>
          <w:sz w:val="21"/>
        </w:rPr>
        <w:t>The</w:t>
      </w:r>
      <w:r>
        <w:rPr>
          <w:spacing w:val="-8"/>
          <w:w w:val="105"/>
          <w:sz w:val="21"/>
        </w:rPr>
        <w:t> </w:t>
      </w:r>
      <w:r>
        <w:rPr>
          <w:i/>
          <w:spacing w:val="-3"/>
          <w:w w:val="105"/>
          <w:sz w:val="21"/>
        </w:rPr>
        <w:t>Administration</w:t>
      </w:r>
      <w:r>
        <w:rPr>
          <w:i/>
          <w:spacing w:val="-8"/>
          <w:w w:val="105"/>
          <w:sz w:val="21"/>
        </w:rPr>
        <w:t> </w:t>
      </w:r>
      <w:r>
        <w:rPr>
          <w:i/>
          <w:w w:val="105"/>
          <w:sz w:val="21"/>
        </w:rPr>
        <w:t>and</w:t>
      </w:r>
      <w:r>
        <w:rPr>
          <w:i/>
          <w:spacing w:val="-7"/>
          <w:w w:val="105"/>
          <w:sz w:val="21"/>
        </w:rPr>
        <w:t> </w:t>
      </w:r>
      <w:r>
        <w:rPr>
          <w:i/>
          <w:w w:val="105"/>
          <w:sz w:val="21"/>
        </w:rPr>
        <w:t>Probate</w:t>
      </w:r>
      <w:r>
        <w:rPr>
          <w:i/>
          <w:spacing w:val="-8"/>
          <w:w w:val="105"/>
          <w:sz w:val="21"/>
        </w:rPr>
        <w:t> </w:t>
      </w:r>
      <w:r>
        <w:rPr>
          <w:i/>
          <w:w w:val="105"/>
          <w:sz w:val="21"/>
        </w:rPr>
        <w:t>Act</w:t>
      </w:r>
      <w:r>
        <w:rPr>
          <w:i/>
          <w:spacing w:val="-8"/>
          <w:w w:val="105"/>
          <w:sz w:val="21"/>
        </w:rPr>
        <w:t> </w:t>
      </w:r>
      <w:r>
        <w:rPr>
          <w:i/>
          <w:spacing w:val="-6"/>
          <w:w w:val="105"/>
          <w:sz w:val="21"/>
        </w:rPr>
        <w:t>1958</w:t>
      </w:r>
      <w:r>
        <w:rPr>
          <w:i/>
          <w:spacing w:val="-7"/>
          <w:w w:val="105"/>
          <w:sz w:val="21"/>
        </w:rPr>
        <w:t> </w:t>
      </w:r>
      <w:r>
        <w:rPr>
          <w:w w:val="105"/>
          <w:sz w:val="21"/>
        </w:rPr>
        <w:t>(Vic)</w:t>
      </w:r>
      <w:r>
        <w:rPr>
          <w:spacing w:val="-8"/>
          <w:w w:val="105"/>
          <w:sz w:val="21"/>
        </w:rPr>
        <w:t> </w:t>
      </w:r>
      <w:r>
        <w:rPr>
          <w:w w:val="105"/>
          <w:sz w:val="21"/>
        </w:rPr>
        <w:t>establishes</w:t>
      </w:r>
      <w:r>
        <w:rPr>
          <w:spacing w:val="-7"/>
          <w:w w:val="105"/>
          <w:sz w:val="21"/>
        </w:rPr>
        <w:t> </w:t>
      </w:r>
      <w:r>
        <w:rPr>
          <w:w w:val="105"/>
          <w:sz w:val="21"/>
        </w:rPr>
        <w:t>a</w:t>
      </w:r>
      <w:r>
        <w:rPr>
          <w:spacing w:val="-8"/>
          <w:w w:val="105"/>
          <w:sz w:val="21"/>
        </w:rPr>
        <w:t> </w:t>
      </w:r>
      <w:r>
        <w:rPr>
          <w:w w:val="105"/>
          <w:sz w:val="21"/>
        </w:rPr>
        <w:t>statutory</w:t>
      </w:r>
      <w:r>
        <w:rPr>
          <w:spacing w:val="-8"/>
          <w:w w:val="105"/>
          <w:sz w:val="21"/>
        </w:rPr>
        <w:t> </w:t>
      </w:r>
      <w:r>
        <w:rPr>
          <w:w w:val="105"/>
          <w:sz w:val="21"/>
        </w:rPr>
        <w:t>scheme</w:t>
      </w:r>
      <w:r>
        <w:rPr>
          <w:spacing w:val="-7"/>
          <w:w w:val="105"/>
          <w:sz w:val="21"/>
        </w:rPr>
        <w:t> </w:t>
      </w:r>
      <w:r>
        <w:rPr>
          <w:spacing w:val="-3"/>
          <w:w w:val="105"/>
          <w:sz w:val="21"/>
        </w:rPr>
        <w:t>for</w:t>
      </w:r>
      <w:r>
        <w:rPr>
          <w:spacing w:val="-8"/>
          <w:w w:val="105"/>
          <w:sz w:val="21"/>
        </w:rPr>
        <w:t> </w:t>
      </w:r>
      <w:r>
        <w:rPr>
          <w:w w:val="105"/>
          <w:sz w:val="21"/>
        </w:rPr>
        <w:t>the </w:t>
      </w:r>
      <w:r>
        <w:rPr>
          <w:spacing w:val="-2"/>
          <w:w w:val="105"/>
          <w:sz w:val="21"/>
        </w:rPr>
        <w:t>distribution </w:t>
      </w:r>
      <w:r>
        <w:rPr>
          <w:w w:val="105"/>
          <w:sz w:val="21"/>
        </w:rPr>
        <w:t>of property on intestacy in Victoria.</w:t>
      </w:r>
      <w:r>
        <w:rPr>
          <w:w w:val="105"/>
          <w:position w:val="7"/>
          <w:sz w:val="12"/>
        </w:rPr>
        <w:t>2 </w:t>
      </w:r>
      <w:r>
        <w:rPr>
          <w:w w:val="105"/>
          <w:sz w:val="21"/>
        </w:rPr>
        <w:t>The </w:t>
      </w:r>
      <w:r>
        <w:rPr>
          <w:spacing w:val="-3"/>
          <w:w w:val="105"/>
          <w:sz w:val="21"/>
        </w:rPr>
        <w:t>terms </w:t>
      </w:r>
      <w:r>
        <w:rPr>
          <w:w w:val="105"/>
          <w:sz w:val="21"/>
        </w:rPr>
        <w:t>of </w:t>
      </w:r>
      <w:r>
        <w:rPr>
          <w:spacing w:val="-3"/>
          <w:w w:val="105"/>
          <w:sz w:val="21"/>
        </w:rPr>
        <w:t>reference </w:t>
      </w:r>
      <w:r>
        <w:rPr>
          <w:w w:val="105"/>
          <w:sz w:val="21"/>
        </w:rPr>
        <w:t>direct the </w:t>
      </w:r>
      <w:r>
        <w:rPr>
          <w:spacing w:val="-3"/>
          <w:w w:val="105"/>
          <w:sz w:val="21"/>
        </w:rPr>
        <w:t>Commission to </w:t>
      </w:r>
      <w:r>
        <w:rPr>
          <w:w w:val="105"/>
          <w:sz w:val="21"/>
        </w:rPr>
        <w:t>review and report on whether this scheme is </w:t>
      </w:r>
      <w:r>
        <w:rPr>
          <w:spacing w:val="-3"/>
          <w:w w:val="105"/>
          <w:sz w:val="21"/>
        </w:rPr>
        <w:t>operating </w:t>
      </w:r>
      <w:r>
        <w:rPr>
          <w:w w:val="105"/>
          <w:sz w:val="21"/>
        </w:rPr>
        <w:t>effectively </w:t>
      </w:r>
      <w:r>
        <w:rPr>
          <w:spacing w:val="-3"/>
          <w:w w:val="105"/>
          <w:sz w:val="21"/>
        </w:rPr>
        <w:t>to achieve </w:t>
      </w:r>
      <w:r>
        <w:rPr>
          <w:w w:val="105"/>
          <w:sz w:val="21"/>
        </w:rPr>
        <w:t>just and equitable</w:t>
      </w:r>
      <w:r>
        <w:rPr>
          <w:spacing w:val="21"/>
          <w:w w:val="105"/>
          <w:sz w:val="21"/>
        </w:rPr>
        <w:t> </w:t>
      </w:r>
      <w:r>
        <w:rPr>
          <w:spacing w:val="-3"/>
          <w:w w:val="105"/>
          <w:sz w:val="21"/>
        </w:rPr>
        <w:t>outcomes.</w:t>
      </w:r>
    </w:p>
    <w:p>
      <w:pPr>
        <w:pStyle w:val="ListParagraph"/>
        <w:numPr>
          <w:ilvl w:val="1"/>
          <w:numId w:val="22"/>
        </w:numPr>
        <w:tabs>
          <w:tab w:pos="2380" w:val="left" w:leader="none"/>
          <w:tab w:pos="2381" w:val="left" w:leader="none"/>
        </w:tabs>
        <w:spacing w:line="242" w:lineRule="auto" w:before="124" w:after="0"/>
        <w:ind w:left="2381" w:right="1698" w:hanging="794"/>
        <w:jc w:val="left"/>
        <w:rPr>
          <w:sz w:val="21"/>
        </w:rPr>
      </w:pPr>
      <w:r>
        <w:rPr>
          <w:sz w:val="21"/>
        </w:rPr>
        <w:t>Under the </w:t>
      </w:r>
      <w:r>
        <w:rPr>
          <w:spacing w:val="-3"/>
          <w:sz w:val="21"/>
        </w:rPr>
        <w:t>Administration </w:t>
      </w:r>
      <w:r>
        <w:rPr>
          <w:sz w:val="21"/>
        </w:rPr>
        <w:t>and </w:t>
      </w:r>
      <w:r>
        <w:rPr>
          <w:spacing w:val="-3"/>
          <w:sz w:val="21"/>
        </w:rPr>
        <w:t>Probate </w:t>
      </w:r>
      <w:r>
        <w:rPr>
          <w:sz w:val="21"/>
        </w:rPr>
        <w:t>Act, the deceased </w:t>
      </w:r>
      <w:r>
        <w:rPr>
          <w:spacing w:val="-3"/>
          <w:sz w:val="21"/>
        </w:rPr>
        <w:t>person’s </w:t>
      </w:r>
      <w:r>
        <w:rPr>
          <w:sz w:val="21"/>
        </w:rPr>
        <w:t>property </w:t>
      </w:r>
      <w:r>
        <w:rPr>
          <w:spacing w:val="-3"/>
          <w:sz w:val="21"/>
        </w:rPr>
        <w:t>that  </w:t>
      </w:r>
      <w:r>
        <w:rPr>
          <w:sz w:val="21"/>
        </w:rPr>
        <w:t>needs </w:t>
      </w:r>
      <w:r>
        <w:rPr>
          <w:spacing w:val="-3"/>
          <w:sz w:val="21"/>
        </w:rPr>
        <w:t>to  </w:t>
      </w:r>
      <w:r>
        <w:rPr>
          <w:sz w:val="21"/>
        </w:rPr>
        <w:t>be </w:t>
      </w:r>
      <w:r>
        <w:rPr>
          <w:spacing w:val="-3"/>
          <w:sz w:val="21"/>
        </w:rPr>
        <w:t>distributed </w:t>
      </w:r>
      <w:r>
        <w:rPr>
          <w:sz w:val="21"/>
        </w:rPr>
        <w:t>on intestacy is called the </w:t>
      </w:r>
      <w:r>
        <w:rPr>
          <w:spacing w:val="-3"/>
          <w:sz w:val="21"/>
        </w:rPr>
        <w:t>‘residuary </w:t>
      </w:r>
      <w:r>
        <w:rPr>
          <w:spacing w:val="-4"/>
          <w:sz w:val="21"/>
        </w:rPr>
        <w:t>estate’. </w:t>
      </w:r>
      <w:r>
        <w:rPr>
          <w:sz w:val="21"/>
        </w:rPr>
        <w:t>When a person dies </w:t>
      </w:r>
      <w:r>
        <w:rPr>
          <w:spacing w:val="-3"/>
          <w:sz w:val="21"/>
        </w:rPr>
        <w:t>intestate, </w:t>
      </w:r>
      <w:r>
        <w:rPr>
          <w:sz w:val="21"/>
        </w:rPr>
        <w:t>their personal representative is </w:t>
      </w:r>
      <w:r>
        <w:rPr>
          <w:spacing w:val="-3"/>
          <w:sz w:val="21"/>
        </w:rPr>
        <w:t>responsible for selling </w:t>
      </w:r>
      <w:r>
        <w:rPr>
          <w:sz w:val="21"/>
        </w:rPr>
        <w:t>and </w:t>
      </w:r>
      <w:r>
        <w:rPr>
          <w:spacing w:val="-3"/>
          <w:sz w:val="21"/>
        </w:rPr>
        <w:t>converting </w:t>
      </w:r>
      <w:r>
        <w:rPr>
          <w:spacing w:val="-4"/>
          <w:sz w:val="21"/>
        </w:rPr>
        <w:t>into </w:t>
      </w:r>
      <w:r>
        <w:rPr>
          <w:sz w:val="21"/>
        </w:rPr>
        <w:t>money </w:t>
      </w:r>
      <w:r>
        <w:rPr>
          <w:spacing w:val="-3"/>
          <w:sz w:val="21"/>
        </w:rPr>
        <w:t>all </w:t>
      </w:r>
      <w:r>
        <w:rPr>
          <w:sz w:val="21"/>
        </w:rPr>
        <w:t>property </w:t>
      </w:r>
      <w:r>
        <w:rPr>
          <w:spacing w:val="-3"/>
          <w:sz w:val="21"/>
        </w:rPr>
        <w:t>that </w:t>
      </w:r>
      <w:r>
        <w:rPr>
          <w:sz w:val="21"/>
        </w:rPr>
        <w:t>was owned by them.</w:t>
      </w:r>
      <w:r>
        <w:rPr>
          <w:position w:val="7"/>
          <w:sz w:val="12"/>
        </w:rPr>
        <w:t>3 </w:t>
      </w:r>
      <w:r>
        <w:rPr>
          <w:sz w:val="21"/>
        </w:rPr>
        <w:t>The residuary </w:t>
      </w:r>
      <w:r>
        <w:rPr>
          <w:spacing w:val="-3"/>
          <w:sz w:val="21"/>
        </w:rPr>
        <w:t>estate, for </w:t>
      </w:r>
      <w:r>
        <w:rPr>
          <w:spacing w:val="-2"/>
          <w:sz w:val="21"/>
        </w:rPr>
        <w:t>distribution </w:t>
      </w:r>
      <w:r>
        <w:rPr>
          <w:sz w:val="21"/>
        </w:rPr>
        <w:t>on </w:t>
      </w:r>
      <w:r>
        <w:rPr>
          <w:spacing w:val="-3"/>
          <w:sz w:val="21"/>
        </w:rPr>
        <w:t>intestacy, </w:t>
      </w:r>
      <w:r>
        <w:rPr>
          <w:sz w:val="21"/>
        </w:rPr>
        <w:t>comprises </w:t>
      </w:r>
      <w:r>
        <w:rPr>
          <w:spacing w:val="-3"/>
          <w:sz w:val="21"/>
        </w:rPr>
        <w:t>all </w:t>
      </w:r>
      <w:r>
        <w:rPr>
          <w:sz w:val="21"/>
        </w:rPr>
        <w:t>the money </w:t>
      </w:r>
      <w:r>
        <w:rPr>
          <w:spacing w:val="-3"/>
          <w:sz w:val="21"/>
        </w:rPr>
        <w:t>that remains </w:t>
      </w:r>
      <w:r>
        <w:rPr>
          <w:sz w:val="21"/>
        </w:rPr>
        <w:t>after </w:t>
      </w:r>
      <w:r>
        <w:rPr>
          <w:spacing w:val="-3"/>
          <w:sz w:val="21"/>
        </w:rPr>
        <w:t>funeral, </w:t>
      </w:r>
      <w:r>
        <w:rPr>
          <w:sz w:val="21"/>
        </w:rPr>
        <w:t>testamentary and </w:t>
      </w:r>
      <w:r>
        <w:rPr>
          <w:spacing w:val="-3"/>
          <w:sz w:val="21"/>
        </w:rPr>
        <w:t>administration </w:t>
      </w:r>
      <w:r>
        <w:rPr>
          <w:sz w:val="21"/>
        </w:rPr>
        <w:t>expenses, debts and other </w:t>
      </w:r>
      <w:r>
        <w:rPr>
          <w:spacing w:val="-3"/>
          <w:sz w:val="21"/>
        </w:rPr>
        <w:t>liabilities </w:t>
      </w:r>
      <w:r>
        <w:rPr>
          <w:sz w:val="21"/>
        </w:rPr>
        <w:t>of the estate </w:t>
      </w:r>
      <w:r>
        <w:rPr>
          <w:spacing w:val="-3"/>
          <w:sz w:val="21"/>
        </w:rPr>
        <w:t>have </w:t>
      </w:r>
      <w:r>
        <w:rPr>
          <w:sz w:val="21"/>
        </w:rPr>
        <w:t>been </w:t>
      </w:r>
      <w:r>
        <w:rPr>
          <w:spacing w:val="-3"/>
          <w:sz w:val="21"/>
        </w:rPr>
        <w:t>paid.</w:t>
      </w:r>
      <w:r>
        <w:rPr>
          <w:spacing w:val="-3"/>
          <w:position w:val="7"/>
          <w:sz w:val="12"/>
        </w:rPr>
        <w:t>4 </w:t>
      </w:r>
      <w:r>
        <w:rPr>
          <w:sz w:val="21"/>
        </w:rPr>
        <w:t>The residuary estate </w:t>
      </w:r>
      <w:r>
        <w:rPr>
          <w:spacing w:val="-3"/>
          <w:sz w:val="21"/>
        </w:rPr>
        <w:t>includes any </w:t>
      </w:r>
      <w:r>
        <w:rPr>
          <w:sz w:val="21"/>
        </w:rPr>
        <w:t>part of the estate </w:t>
      </w:r>
      <w:r>
        <w:rPr>
          <w:spacing w:val="-3"/>
          <w:sz w:val="21"/>
        </w:rPr>
        <w:t>that </w:t>
      </w:r>
      <w:r>
        <w:rPr>
          <w:spacing w:val="-2"/>
          <w:sz w:val="21"/>
        </w:rPr>
        <w:t>has </w:t>
      </w:r>
      <w:r>
        <w:rPr>
          <w:sz w:val="21"/>
        </w:rPr>
        <w:t>been </w:t>
      </w:r>
      <w:r>
        <w:rPr>
          <w:spacing w:val="-3"/>
          <w:sz w:val="21"/>
        </w:rPr>
        <w:t>retained </w:t>
      </w:r>
      <w:r>
        <w:rPr>
          <w:sz w:val="21"/>
        </w:rPr>
        <w:t>unsold and is </w:t>
      </w:r>
      <w:r>
        <w:rPr>
          <w:spacing w:val="-2"/>
          <w:sz w:val="21"/>
        </w:rPr>
        <w:t>not </w:t>
      </w:r>
      <w:r>
        <w:rPr>
          <w:spacing w:val="-3"/>
          <w:sz w:val="21"/>
        </w:rPr>
        <w:t>required for administration  </w:t>
      </w:r>
      <w:r>
        <w:rPr>
          <w:sz w:val="21"/>
        </w:rPr>
        <w:t>purposes.</w:t>
      </w:r>
      <w:r>
        <w:rPr>
          <w:position w:val="7"/>
          <w:sz w:val="12"/>
        </w:rPr>
        <w:t>5</w:t>
      </w:r>
      <w:r>
        <w:rPr>
          <w:spacing w:val="27"/>
          <w:position w:val="7"/>
          <w:sz w:val="12"/>
        </w:rPr>
        <w:t> </w:t>
      </w:r>
      <w:r>
        <w:rPr>
          <w:sz w:val="21"/>
        </w:rPr>
        <w:t>For clarity of </w:t>
      </w:r>
      <w:r>
        <w:rPr>
          <w:spacing w:val="-3"/>
          <w:sz w:val="21"/>
        </w:rPr>
        <w:t>meaning,  </w:t>
      </w:r>
      <w:r>
        <w:rPr>
          <w:sz w:val="21"/>
        </w:rPr>
        <w:t>this report uses the term </w:t>
      </w:r>
      <w:r>
        <w:rPr>
          <w:spacing w:val="-3"/>
          <w:sz w:val="21"/>
        </w:rPr>
        <w:t>‘intestate  </w:t>
      </w:r>
      <w:r>
        <w:rPr>
          <w:sz w:val="21"/>
        </w:rPr>
        <w:t>estate’ </w:t>
      </w:r>
      <w:r>
        <w:rPr>
          <w:spacing w:val="-3"/>
          <w:sz w:val="21"/>
        </w:rPr>
        <w:t>to </w:t>
      </w:r>
      <w:r>
        <w:rPr>
          <w:sz w:val="21"/>
        </w:rPr>
        <w:t>describe everything </w:t>
      </w:r>
      <w:r>
        <w:rPr>
          <w:spacing w:val="-3"/>
          <w:sz w:val="21"/>
        </w:rPr>
        <w:t>that remains </w:t>
      </w:r>
      <w:r>
        <w:rPr>
          <w:sz w:val="21"/>
        </w:rPr>
        <w:t>after payment of </w:t>
      </w:r>
      <w:r>
        <w:rPr>
          <w:spacing w:val="-3"/>
          <w:sz w:val="21"/>
        </w:rPr>
        <w:t>funeral </w:t>
      </w:r>
      <w:r>
        <w:rPr>
          <w:sz w:val="21"/>
        </w:rPr>
        <w:t>expenses and debts </w:t>
      </w:r>
      <w:r>
        <w:rPr>
          <w:spacing w:val="-3"/>
          <w:sz w:val="21"/>
        </w:rPr>
        <w:t>that </w:t>
      </w:r>
      <w:r>
        <w:rPr>
          <w:sz w:val="21"/>
        </w:rPr>
        <w:t>is </w:t>
      </w:r>
      <w:r>
        <w:rPr>
          <w:spacing w:val="-2"/>
          <w:sz w:val="21"/>
        </w:rPr>
        <w:t>not </w:t>
      </w:r>
      <w:r>
        <w:rPr>
          <w:sz w:val="21"/>
        </w:rPr>
        <w:t>disposed of by</w:t>
      </w:r>
      <w:r>
        <w:rPr>
          <w:spacing w:val="8"/>
          <w:sz w:val="21"/>
        </w:rPr>
        <w:t> </w:t>
      </w:r>
      <w:r>
        <w:rPr>
          <w:spacing w:val="-3"/>
          <w:sz w:val="21"/>
        </w:rPr>
        <w:t>will.</w:t>
      </w:r>
    </w:p>
    <w:p>
      <w:pPr>
        <w:pStyle w:val="ListParagraph"/>
        <w:numPr>
          <w:ilvl w:val="1"/>
          <w:numId w:val="22"/>
        </w:numPr>
        <w:tabs>
          <w:tab w:pos="2380" w:val="left" w:leader="none"/>
          <w:tab w:pos="2381" w:val="left" w:leader="none"/>
        </w:tabs>
        <w:spacing w:line="242" w:lineRule="auto" w:before="131" w:after="0"/>
        <w:ind w:left="2380" w:right="1629" w:hanging="793"/>
        <w:jc w:val="left"/>
        <w:rPr>
          <w:sz w:val="21"/>
        </w:rPr>
      </w:pPr>
      <w:r>
        <w:rPr>
          <w:sz w:val="21"/>
        </w:rPr>
        <w:t>If the deceased person does </w:t>
      </w:r>
      <w:r>
        <w:rPr>
          <w:spacing w:val="-2"/>
          <w:sz w:val="21"/>
        </w:rPr>
        <w:t>not </w:t>
      </w:r>
      <w:r>
        <w:rPr>
          <w:spacing w:val="-3"/>
          <w:sz w:val="21"/>
        </w:rPr>
        <w:t>have </w:t>
      </w:r>
      <w:r>
        <w:rPr>
          <w:sz w:val="21"/>
        </w:rPr>
        <w:t>a </w:t>
      </w:r>
      <w:r>
        <w:rPr>
          <w:spacing w:val="-3"/>
          <w:sz w:val="21"/>
        </w:rPr>
        <w:t>partner, children </w:t>
      </w:r>
      <w:r>
        <w:rPr>
          <w:sz w:val="21"/>
        </w:rPr>
        <w:t>or other </w:t>
      </w:r>
      <w:r>
        <w:rPr>
          <w:spacing w:val="-3"/>
          <w:sz w:val="21"/>
        </w:rPr>
        <w:t>relatives to </w:t>
      </w:r>
      <w:r>
        <w:rPr>
          <w:sz w:val="21"/>
        </w:rPr>
        <w:t>whom their </w:t>
      </w:r>
      <w:r>
        <w:rPr>
          <w:spacing w:val="-3"/>
          <w:sz w:val="21"/>
        </w:rPr>
        <w:t>intestate </w:t>
      </w:r>
      <w:r>
        <w:rPr>
          <w:sz w:val="21"/>
        </w:rPr>
        <w:t>estate can be </w:t>
      </w:r>
      <w:r>
        <w:rPr>
          <w:spacing w:val="-3"/>
          <w:sz w:val="21"/>
        </w:rPr>
        <w:t>distributed, </w:t>
      </w:r>
      <w:r>
        <w:rPr>
          <w:sz w:val="21"/>
        </w:rPr>
        <w:t>the estate belongs </w:t>
      </w:r>
      <w:r>
        <w:rPr>
          <w:spacing w:val="-3"/>
          <w:sz w:val="21"/>
        </w:rPr>
        <w:t>to </w:t>
      </w:r>
      <w:r>
        <w:rPr>
          <w:sz w:val="21"/>
        </w:rPr>
        <w:t>the </w:t>
      </w:r>
      <w:r>
        <w:rPr>
          <w:spacing w:val="-3"/>
          <w:sz w:val="21"/>
        </w:rPr>
        <w:t>State </w:t>
      </w:r>
      <w:r>
        <w:rPr>
          <w:sz w:val="21"/>
        </w:rPr>
        <w:t>of Victoria as </w:t>
      </w:r>
      <w:r>
        <w:rPr>
          <w:i/>
          <w:spacing w:val="-3"/>
          <w:sz w:val="21"/>
        </w:rPr>
        <w:t>bona </w:t>
      </w:r>
      <w:r>
        <w:rPr>
          <w:i/>
          <w:spacing w:val="-4"/>
          <w:sz w:val="21"/>
        </w:rPr>
        <w:t>vacantia</w:t>
      </w:r>
      <w:r>
        <w:rPr>
          <w:spacing w:val="-4"/>
          <w:sz w:val="21"/>
        </w:rPr>
        <w:t>, </w:t>
      </w:r>
      <w:r>
        <w:rPr>
          <w:spacing w:val="-3"/>
          <w:sz w:val="21"/>
        </w:rPr>
        <w:t>meaning unclaimed  </w:t>
      </w:r>
      <w:r>
        <w:rPr>
          <w:sz w:val="21"/>
        </w:rPr>
        <w:t>goods or property </w:t>
      </w:r>
      <w:r>
        <w:rPr>
          <w:spacing w:val="-3"/>
          <w:sz w:val="21"/>
        </w:rPr>
        <w:t>that</w:t>
      </w:r>
      <w:r>
        <w:rPr>
          <w:spacing w:val="41"/>
          <w:sz w:val="21"/>
        </w:rPr>
        <w:t> </w:t>
      </w:r>
      <w:r>
        <w:rPr>
          <w:spacing w:val="-2"/>
          <w:sz w:val="21"/>
        </w:rPr>
        <w:t>has  </w:t>
      </w:r>
      <w:r>
        <w:rPr>
          <w:sz w:val="21"/>
        </w:rPr>
        <w:t>no </w:t>
      </w:r>
      <w:r>
        <w:rPr>
          <w:spacing w:val="-4"/>
          <w:sz w:val="21"/>
        </w:rPr>
        <w:t>owner.</w:t>
      </w:r>
      <w:r>
        <w:rPr>
          <w:spacing w:val="-4"/>
          <w:position w:val="7"/>
          <w:sz w:val="12"/>
        </w:rPr>
        <w:t>6  </w:t>
      </w:r>
      <w:r>
        <w:rPr>
          <w:spacing w:val="-4"/>
          <w:sz w:val="21"/>
        </w:rPr>
        <w:t>However,  </w:t>
      </w:r>
      <w:r>
        <w:rPr>
          <w:sz w:val="21"/>
        </w:rPr>
        <w:t>if the </w:t>
      </w:r>
      <w:r>
        <w:rPr>
          <w:spacing w:val="-3"/>
          <w:sz w:val="21"/>
        </w:rPr>
        <w:t>State  </w:t>
      </w:r>
      <w:r>
        <w:rPr>
          <w:sz w:val="21"/>
        </w:rPr>
        <w:t>of Victoria becomes entitled </w:t>
      </w:r>
      <w:r>
        <w:rPr>
          <w:spacing w:val="-3"/>
          <w:sz w:val="21"/>
        </w:rPr>
        <w:t>to unclaimed </w:t>
      </w:r>
      <w:r>
        <w:rPr>
          <w:sz w:val="21"/>
        </w:rPr>
        <w:t>property as a </w:t>
      </w:r>
      <w:r>
        <w:rPr>
          <w:spacing w:val="-3"/>
          <w:sz w:val="21"/>
        </w:rPr>
        <w:t>result </w:t>
      </w:r>
      <w:r>
        <w:rPr>
          <w:sz w:val="21"/>
        </w:rPr>
        <w:t>of the death of </w:t>
      </w:r>
      <w:r>
        <w:rPr>
          <w:spacing w:val="-3"/>
          <w:sz w:val="21"/>
        </w:rPr>
        <w:t>any </w:t>
      </w:r>
      <w:r>
        <w:rPr>
          <w:sz w:val="21"/>
        </w:rPr>
        <w:t>person, the</w:t>
      </w:r>
      <w:r>
        <w:rPr>
          <w:spacing w:val="9"/>
          <w:sz w:val="21"/>
        </w:rPr>
        <w:t> </w:t>
      </w:r>
      <w:r>
        <w:rPr>
          <w:spacing w:val="-3"/>
          <w:sz w:val="21"/>
        </w:rPr>
        <w:t>Minister</w:t>
      </w:r>
      <w:r>
        <w:rPr>
          <w:spacing w:val="9"/>
          <w:sz w:val="21"/>
        </w:rPr>
        <w:t> </w:t>
      </w:r>
      <w:r>
        <w:rPr>
          <w:spacing w:val="-3"/>
          <w:sz w:val="21"/>
        </w:rPr>
        <w:t>for</w:t>
      </w:r>
      <w:r>
        <w:rPr>
          <w:spacing w:val="10"/>
          <w:sz w:val="21"/>
        </w:rPr>
        <w:t> </w:t>
      </w:r>
      <w:r>
        <w:rPr>
          <w:spacing w:val="-3"/>
          <w:sz w:val="21"/>
        </w:rPr>
        <w:t>Finance</w:t>
      </w:r>
      <w:r>
        <w:rPr>
          <w:spacing w:val="9"/>
          <w:sz w:val="21"/>
        </w:rPr>
        <w:t> </w:t>
      </w:r>
      <w:r>
        <w:rPr>
          <w:spacing w:val="-3"/>
          <w:sz w:val="21"/>
        </w:rPr>
        <w:t>may</w:t>
      </w:r>
      <w:r>
        <w:rPr>
          <w:spacing w:val="10"/>
          <w:sz w:val="21"/>
        </w:rPr>
        <w:t> </w:t>
      </w:r>
      <w:r>
        <w:rPr>
          <w:spacing w:val="-3"/>
          <w:sz w:val="21"/>
        </w:rPr>
        <w:t>distribute</w:t>
      </w:r>
      <w:r>
        <w:rPr>
          <w:spacing w:val="9"/>
          <w:sz w:val="21"/>
        </w:rPr>
        <w:t> </w:t>
      </w:r>
      <w:r>
        <w:rPr>
          <w:sz w:val="21"/>
        </w:rPr>
        <w:t>the</w:t>
      </w:r>
      <w:r>
        <w:rPr>
          <w:spacing w:val="10"/>
          <w:sz w:val="21"/>
        </w:rPr>
        <w:t> </w:t>
      </w:r>
      <w:r>
        <w:rPr>
          <w:sz w:val="21"/>
        </w:rPr>
        <w:t>property</w:t>
      </w:r>
      <w:r>
        <w:rPr>
          <w:spacing w:val="9"/>
          <w:sz w:val="21"/>
        </w:rPr>
        <w:t> </w:t>
      </w:r>
      <w:r>
        <w:rPr>
          <w:sz w:val="21"/>
        </w:rPr>
        <w:t>to:</w:t>
      </w:r>
    </w:p>
    <w:p>
      <w:pPr>
        <w:pStyle w:val="ListParagraph"/>
        <w:numPr>
          <w:ilvl w:val="2"/>
          <w:numId w:val="22"/>
        </w:numPr>
        <w:tabs>
          <w:tab w:pos="2721" w:val="left" w:leader="none"/>
          <w:tab w:pos="2722" w:val="left" w:leader="none"/>
        </w:tabs>
        <w:spacing w:line="242" w:lineRule="auto" w:before="126" w:after="0"/>
        <w:ind w:left="2721" w:right="2063" w:hanging="340"/>
        <w:jc w:val="left"/>
        <w:rPr>
          <w:sz w:val="21"/>
        </w:rPr>
      </w:pPr>
      <w:r>
        <w:rPr>
          <w:spacing w:val="-3"/>
          <w:w w:val="105"/>
          <w:sz w:val="21"/>
        </w:rPr>
        <w:t>any</w:t>
      </w:r>
      <w:r>
        <w:rPr>
          <w:spacing w:val="-9"/>
          <w:w w:val="105"/>
          <w:sz w:val="21"/>
        </w:rPr>
        <w:t> </w:t>
      </w:r>
      <w:r>
        <w:rPr>
          <w:w w:val="105"/>
          <w:sz w:val="21"/>
        </w:rPr>
        <w:t>person,</w:t>
      </w:r>
      <w:r>
        <w:rPr>
          <w:spacing w:val="-8"/>
          <w:w w:val="105"/>
          <w:sz w:val="21"/>
        </w:rPr>
        <w:t> </w:t>
      </w:r>
      <w:r>
        <w:rPr>
          <w:w w:val="105"/>
          <w:sz w:val="21"/>
        </w:rPr>
        <w:t>whether</w:t>
      </w:r>
      <w:r>
        <w:rPr>
          <w:spacing w:val="-8"/>
          <w:w w:val="105"/>
          <w:sz w:val="21"/>
        </w:rPr>
        <w:t> </w:t>
      </w:r>
      <w:r>
        <w:rPr>
          <w:spacing w:val="-3"/>
          <w:w w:val="105"/>
          <w:sz w:val="21"/>
        </w:rPr>
        <w:t>related</w:t>
      </w:r>
      <w:r>
        <w:rPr>
          <w:spacing w:val="-8"/>
          <w:w w:val="105"/>
          <w:sz w:val="21"/>
        </w:rPr>
        <w:t> </w:t>
      </w:r>
      <w:r>
        <w:rPr>
          <w:spacing w:val="-3"/>
          <w:w w:val="105"/>
          <w:sz w:val="21"/>
        </w:rPr>
        <w:t>to</w:t>
      </w:r>
      <w:r>
        <w:rPr>
          <w:spacing w:val="-8"/>
          <w:w w:val="105"/>
          <w:sz w:val="21"/>
        </w:rPr>
        <w:t> </w:t>
      </w:r>
      <w:r>
        <w:rPr>
          <w:w w:val="105"/>
          <w:sz w:val="21"/>
        </w:rPr>
        <w:t>the</w:t>
      </w:r>
      <w:r>
        <w:rPr>
          <w:spacing w:val="-8"/>
          <w:w w:val="105"/>
          <w:sz w:val="21"/>
        </w:rPr>
        <w:t> </w:t>
      </w:r>
      <w:r>
        <w:rPr>
          <w:w w:val="105"/>
          <w:sz w:val="21"/>
        </w:rPr>
        <w:t>deceased</w:t>
      </w:r>
      <w:r>
        <w:rPr>
          <w:spacing w:val="-8"/>
          <w:w w:val="105"/>
          <w:sz w:val="21"/>
        </w:rPr>
        <w:t> </w:t>
      </w:r>
      <w:r>
        <w:rPr>
          <w:w w:val="105"/>
          <w:sz w:val="21"/>
        </w:rPr>
        <w:t>person</w:t>
      </w:r>
      <w:r>
        <w:rPr>
          <w:spacing w:val="-8"/>
          <w:w w:val="105"/>
          <w:sz w:val="21"/>
        </w:rPr>
        <w:t> </w:t>
      </w:r>
      <w:r>
        <w:rPr>
          <w:w w:val="105"/>
          <w:sz w:val="21"/>
        </w:rPr>
        <w:t>or</w:t>
      </w:r>
      <w:r>
        <w:rPr>
          <w:spacing w:val="-8"/>
          <w:w w:val="105"/>
          <w:sz w:val="21"/>
        </w:rPr>
        <w:t> </w:t>
      </w:r>
      <w:r>
        <w:rPr>
          <w:w w:val="105"/>
          <w:sz w:val="21"/>
        </w:rPr>
        <w:t>not,</w:t>
      </w:r>
      <w:r>
        <w:rPr>
          <w:spacing w:val="-8"/>
          <w:w w:val="105"/>
          <w:sz w:val="21"/>
        </w:rPr>
        <w:t> </w:t>
      </w:r>
      <w:r>
        <w:rPr>
          <w:w w:val="105"/>
          <w:sz w:val="21"/>
        </w:rPr>
        <w:t>who</w:t>
      </w:r>
      <w:r>
        <w:rPr>
          <w:spacing w:val="-8"/>
          <w:w w:val="105"/>
          <w:sz w:val="21"/>
        </w:rPr>
        <w:t> </w:t>
      </w:r>
      <w:r>
        <w:rPr>
          <w:w w:val="105"/>
          <w:sz w:val="21"/>
        </w:rPr>
        <w:t>was</w:t>
      </w:r>
      <w:r>
        <w:rPr>
          <w:spacing w:val="-9"/>
          <w:w w:val="105"/>
          <w:sz w:val="21"/>
        </w:rPr>
        <w:t> </w:t>
      </w:r>
      <w:r>
        <w:rPr>
          <w:w w:val="105"/>
          <w:sz w:val="21"/>
        </w:rPr>
        <w:t>dependent on the deceased person,</w:t>
      </w:r>
      <w:r>
        <w:rPr>
          <w:spacing w:val="19"/>
          <w:w w:val="105"/>
          <w:sz w:val="21"/>
        </w:rPr>
        <w:t> </w:t>
      </w:r>
      <w:r>
        <w:rPr>
          <w:w w:val="105"/>
          <w:sz w:val="21"/>
        </w:rPr>
        <w:t>or</w:t>
      </w:r>
    </w:p>
    <w:p>
      <w:pPr>
        <w:pStyle w:val="ListParagraph"/>
        <w:numPr>
          <w:ilvl w:val="2"/>
          <w:numId w:val="22"/>
        </w:numPr>
        <w:tabs>
          <w:tab w:pos="2721" w:val="left" w:leader="none"/>
          <w:tab w:pos="2722" w:val="left" w:leader="none"/>
        </w:tabs>
        <w:spacing w:line="242" w:lineRule="auto" w:before="122" w:after="0"/>
        <w:ind w:left="2721" w:right="2006" w:hanging="340"/>
        <w:jc w:val="left"/>
        <w:rPr>
          <w:sz w:val="12"/>
        </w:rPr>
      </w:pPr>
      <w:r>
        <w:rPr>
          <w:spacing w:val="-3"/>
          <w:sz w:val="21"/>
        </w:rPr>
        <w:t>any </w:t>
      </w:r>
      <w:r>
        <w:rPr>
          <w:sz w:val="21"/>
        </w:rPr>
        <w:t>person </w:t>
      </w:r>
      <w:r>
        <w:rPr>
          <w:spacing w:val="-3"/>
          <w:sz w:val="21"/>
        </w:rPr>
        <w:t>for </w:t>
      </w:r>
      <w:r>
        <w:rPr>
          <w:sz w:val="21"/>
        </w:rPr>
        <w:t>whom the deceased person </w:t>
      </w:r>
      <w:r>
        <w:rPr>
          <w:spacing w:val="-3"/>
          <w:sz w:val="21"/>
        </w:rPr>
        <w:t>might reasonably  have  </w:t>
      </w:r>
      <w:r>
        <w:rPr>
          <w:sz w:val="21"/>
        </w:rPr>
        <w:t>been expected  </w:t>
      </w:r>
      <w:r>
        <w:rPr>
          <w:spacing w:val="-3"/>
          <w:sz w:val="21"/>
        </w:rPr>
        <w:t>to </w:t>
      </w:r>
      <w:r>
        <w:rPr>
          <w:spacing w:val="-4"/>
          <w:sz w:val="21"/>
        </w:rPr>
        <w:t>make </w:t>
      </w:r>
      <w:r>
        <w:rPr>
          <w:spacing w:val="-3"/>
          <w:sz w:val="21"/>
        </w:rPr>
        <w:t>provision </w:t>
      </w:r>
      <w:r>
        <w:rPr>
          <w:sz w:val="21"/>
        </w:rPr>
        <w:t>(in the opinion of the</w:t>
      </w:r>
      <w:r>
        <w:rPr>
          <w:spacing w:val="43"/>
          <w:sz w:val="21"/>
        </w:rPr>
        <w:t> </w:t>
      </w:r>
      <w:r>
        <w:rPr>
          <w:spacing w:val="-3"/>
          <w:sz w:val="21"/>
        </w:rPr>
        <w:t>Minister).</w:t>
      </w:r>
      <w:r>
        <w:rPr>
          <w:spacing w:val="-3"/>
          <w:position w:val="7"/>
          <w:sz w:val="12"/>
        </w:rPr>
        <w:t>7</w:t>
      </w:r>
    </w:p>
    <w:p>
      <w:pPr>
        <w:pStyle w:val="BodyText"/>
        <w:spacing w:before="8"/>
        <w:rPr>
          <w:sz w:val="14"/>
        </w:rPr>
      </w:pPr>
      <w:r>
        <w:rPr/>
        <w:pict>
          <v:line style="position:absolute;mso-position-horizontal-relative:page;mso-position-vertical-relative:paragraph;z-index:3248;mso-wrap-distance-left:0;mso-wrap-distance-right:0" from="79.370102pt,11.431857pt" to="515.905102pt,11.431857pt" stroked="true" strokeweight="1pt" strokecolor="#f9ceca">
            <v:stroke dashstyle="solid"/>
            <w10:wrap type="topAndBottom"/>
          </v:line>
        </w:pict>
      </w:r>
    </w:p>
    <w:p>
      <w:pPr>
        <w:pStyle w:val="ListParagraph"/>
        <w:numPr>
          <w:ilvl w:val="0"/>
          <w:numId w:val="49"/>
        </w:numPr>
        <w:tabs>
          <w:tab w:pos="2380" w:val="left" w:leader="none"/>
          <w:tab w:pos="2382" w:val="left" w:leader="none"/>
        </w:tabs>
        <w:spacing w:line="240" w:lineRule="auto" w:before="117" w:after="0"/>
        <w:ind w:left="2381" w:right="2078" w:hanging="794"/>
        <w:jc w:val="left"/>
        <w:rPr>
          <w:sz w:val="13"/>
        </w:rPr>
      </w:pPr>
      <w:r>
        <w:rPr>
          <w:sz w:val="13"/>
        </w:rPr>
        <w:t>Because, for example, it does not comply with the </w:t>
      </w:r>
      <w:r>
        <w:rPr>
          <w:spacing w:val="2"/>
          <w:sz w:val="13"/>
        </w:rPr>
        <w:t>necessary </w:t>
      </w:r>
      <w:r>
        <w:rPr>
          <w:sz w:val="13"/>
        </w:rPr>
        <w:t>formalities, it was made under the undue influence of another person,             or</w:t>
      </w:r>
      <w:r>
        <w:rPr>
          <w:spacing w:val="6"/>
          <w:sz w:val="13"/>
        </w:rPr>
        <w:t> </w:t>
      </w:r>
      <w:r>
        <w:rPr>
          <w:sz w:val="13"/>
        </w:rPr>
        <w:t>the</w:t>
      </w:r>
      <w:r>
        <w:rPr>
          <w:spacing w:val="7"/>
          <w:sz w:val="13"/>
        </w:rPr>
        <w:t> </w:t>
      </w:r>
      <w:r>
        <w:rPr>
          <w:sz w:val="13"/>
        </w:rPr>
        <w:t>will-maker</w:t>
      </w:r>
      <w:r>
        <w:rPr>
          <w:spacing w:val="7"/>
          <w:sz w:val="13"/>
        </w:rPr>
        <w:t> </w:t>
      </w:r>
      <w:r>
        <w:rPr>
          <w:sz w:val="13"/>
        </w:rPr>
        <w:t>lacked</w:t>
      </w:r>
      <w:r>
        <w:rPr>
          <w:spacing w:val="7"/>
          <w:sz w:val="13"/>
        </w:rPr>
        <w:t> </w:t>
      </w:r>
      <w:r>
        <w:rPr>
          <w:sz w:val="13"/>
        </w:rPr>
        <w:t>capacity</w:t>
      </w:r>
      <w:r>
        <w:rPr>
          <w:spacing w:val="7"/>
          <w:sz w:val="13"/>
        </w:rPr>
        <w:t> </w:t>
      </w:r>
      <w:r>
        <w:rPr>
          <w:sz w:val="13"/>
        </w:rPr>
        <w:t>to</w:t>
      </w:r>
      <w:r>
        <w:rPr>
          <w:spacing w:val="7"/>
          <w:sz w:val="13"/>
        </w:rPr>
        <w:t> </w:t>
      </w:r>
      <w:r>
        <w:rPr>
          <w:sz w:val="13"/>
        </w:rPr>
        <w:t>make</w:t>
      </w:r>
      <w:r>
        <w:rPr>
          <w:spacing w:val="7"/>
          <w:sz w:val="13"/>
        </w:rPr>
        <w:t> </w:t>
      </w:r>
      <w:r>
        <w:rPr>
          <w:sz w:val="13"/>
        </w:rPr>
        <w:t>the</w:t>
      </w:r>
      <w:r>
        <w:rPr>
          <w:spacing w:val="7"/>
          <w:sz w:val="13"/>
        </w:rPr>
        <w:t> </w:t>
      </w:r>
      <w:r>
        <w:rPr>
          <w:sz w:val="13"/>
        </w:rPr>
        <w:t>will.</w:t>
      </w:r>
    </w:p>
    <w:p>
      <w:pPr>
        <w:pStyle w:val="ListParagraph"/>
        <w:numPr>
          <w:ilvl w:val="0"/>
          <w:numId w:val="49"/>
        </w:numPr>
        <w:tabs>
          <w:tab w:pos="2380" w:val="left" w:leader="none"/>
          <w:tab w:pos="2382" w:val="left" w:leader="none"/>
        </w:tabs>
        <w:spacing w:line="240" w:lineRule="auto" w:before="3" w:after="0"/>
        <w:ind w:left="2381" w:right="0" w:hanging="794"/>
        <w:jc w:val="left"/>
        <w:rPr>
          <w:sz w:val="13"/>
        </w:rPr>
      </w:pPr>
      <w:r>
        <w:rPr>
          <w:i/>
          <w:w w:val="105"/>
          <w:sz w:val="13"/>
        </w:rPr>
        <w:t>Administration and Probate Act 1958 </w:t>
      </w:r>
      <w:r>
        <w:rPr>
          <w:spacing w:val="2"/>
          <w:w w:val="105"/>
          <w:sz w:val="13"/>
        </w:rPr>
        <w:t>(Vic) </w:t>
      </w:r>
      <w:r>
        <w:rPr>
          <w:w w:val="105"/>
          <w:sz w:val="13"/>
        </w:rPr>
        <w:t>pt 1 div</w:t>
      </w:r>
      <w:r>
        <w:rPr>
          <w:spacing w:val="3"/>
          <w:w w:val="105"/>
          <w:sz w:val="13"/>
        </w:rPr>
        <w:t> </w:t>
      </w:r>
      <w:r>
        <w:rPr>
          <w:w w:val="105"/>
          <w:sz w:val="13"/>
        </w:rPr>
        <w:t>6.</w:t>
      </w:r>
    </w:p>
    <w:p>
      <w:pPr>
        <w:pStyle w:val="ListParagraph"/>
        <w:numPr>
          <w:ilvl w:val="0"/>
          <w:numId w:val="49"/>
        </w:numPr>
        <w:tabs>
          <w:tab w:pos="2380" w:val="left" w:leader="none"/>
          <w:tab w:pos="2382" w:val="left" w:leader="none"/>
        </w:tabs>
        <w:spacing w:line="240" w:lineRule="auto" w:before="1" w:after="0"/>
        <w:ind w:left="2381" w:right="1728" w:hanging="794"/>
        <w:jc w:val="left"/>
        <w:rPr>
          <w:sz w:val="13"/>
        </w:rPr>
      </w:pPr>
      <w:r>
        <w:rPr>
          <w:sz w:val="13"/>
        </w:rPr>
        <w:t>Ibid s </w:t>
      </w:r>
      <w:r>
        <w:rPr>
          <w:spacing w:val="2"/>
          <w:sz w:val="13"/>
        </w:rPr>
        <w:t>38(1). </w:t>
      </w:r>
      <w:r>
        <w:rPr>
          <w:sz w:val="13"/>
        </w:rPr>
        <w:t>When a person dies intestate, their estate vests in State Trustees until administration is granted and a personal representative appointed: s</w:t>
      </w:r>
      <w:r>
        <w:rPr>
          <w:spacing w:val="12"/>
          <w:sz w:val="13"/>
        </w:rPr>
        <w:t> </w:t>
      </w:r>
      <w:r>
        <w:rPr>
          <w:sz w:val="13"/>
        </w:rPr>
        <w:t>19.</w:t>
      </w:r>
    </w:p>
    <w:p>
      <w:pPr>
        <w:tabs>
          <w:tab w:pos="2380" w:val="left" w:leader="none"/>
        </w:tabs>
        <w:spacing w:before="3"/>
        <w:ind w:left="1587" w:right="0" w:firstLine="0"/>
        <w:jc w:val="left"/>
        <w:rPr>
          <w:sz w:val="13"/>
        </w:rPr>
      </w:pPr>
      <w:r>
        <w:rPr>
          <w:w w:val="105"/>
          <w:sz w:val="13"/>
        </w:rPr>
        <w:t>4</w:t>
        <w:tab/>
        <w:t>Ibid ss </w:t>
      </w:r>
      <w:r>
        <w:rPr>
          <w:spacing w:val="3"/>
          <w:w w:val="105"/>
          <w:sz w:val="13"/>
        </w:rPr>
        <w:t>38(2),</w:t>
      </w:r>
      <w:r>
        <w:rPr>
          <w:spacing w:val="13"/>
          <w:w w:val="105"/>
          <w:sz w:val="13"/>
        </w:rPr>
        <w:t> </w:t>
      </w:r>
      <w:r>
        <w:rPr>
          <w:spacing w:val="3"/>
          <w:w w:val="105"/>
          <w:sz w:val="13"/>
        </w:rPr>
        <w:t>(4).</w:t>
      </w:r>
    </w:p>
    <w:p>
      <w:pPr>
        <w:pStyle w:val="ListParagraph"/>
        <w:numPr>
          <w:ilvl w:val="0"/>
          <w:numId w:val="50"/>
        </w:numPr>
        <w:tabs>
          <w:tab w:pos="2380" w:val="left" w:leader="none"/>
          <w:tab w:pos="2382" w:val="left" w:leader="none"/>
        </w:tabs>
        <w:spacing w:line="240" w:lineRule="auto" w:before="1" w:after="0"/>
        <w:ind w:left="2381" w:right="1867" w:hanging="794"/>
        <w:jc w:val="left"/>
        <w:rPr>
          <w:sz w:val="13"/>
        </w:rPr>
      </w:pPr>
      <w:r>
        <w:rPr>
          <w:w w:val="105"/>
          <w:sz w:val="13"/>
        </w:rPr>
        <w:t>Ibid s </w:t>
      </w:r>
      <w:r>
        <w:rPr>
          <w:spacing w:val="4"/>
          <w:w w:val="105"/>
          <w:sz w:val="13"/>
        </w:rPr>
        <w:t>38(4). </w:t>
      </w:r>
      <w:r>
        <w:rPr>
          <w:w w:val="105"/>
          <w:sz w:val="13"/>
        </w:rPr>
        <w:t>For example, this may include the deceased person’s home in which their partner has elected to acquire an interest: s 37A. For</w:t>
      </w:r>
      <w:r>
        <w:rPr>
          <w:spacing w:val="3"/>
          <w:w w:val="105"/>
          <w:sz w:val="13"/>
        </w:rPr>
        <w:t> </w:t>
      </w:r>
      <w:r>
        <w:rPr>
          <w:w w:val="105"/>
          <w:sz w:val="13"/>
        </w:rPr>
        <w:t>discussion</w:t>
      </w:r>
      <w:r>
        <w:rPr>
          <w:spacing w:val="4"/>
          <w:w w:val="105"/>
          <w:sz w:val="13"/>
        </w:rPr>
        <w:t> </w:t>
      </w:r>
      <w:r>
        <w:rPr>
          <w:w w:val="105"/>
          <w:sz w:val="13"/>
        </w:rPr>
        <w:t>of</w:t>
      </w:r>
      <w:r>
        <w:rPr>
          <w:spacing w:val="3"/>
          <w:w w:val="105"/>
          <w:sz w:val="13"/>
        </w:rPr>
        <w:t> </w:t>
      </w:r>
      <w:r>
        <w:rPr>
          <w:w w:val="105"/>
          <w:sz w:val="13"/>
        </w:rPr>
        <w:t>the</w:t>
      </w:r>
      <w:r>
        <w:rPr>
          <w:spacing w:val="4"/>
          <w:w w:val="105"/>
          <w:sz w:val="13"/>
        </w:rPr>
        <w:t> </w:t>
      </w:r>
      <w:r>
        <w:rPr>
          <w:w w:val="105"/>
          <w:sz w:val="13"/>
        </w:rPr>
        <w:t>deceased</w:t>
      </w:r>
      <w:r>
        <w:rPr>
          <w:spacing w:val="4"/>
          <w:w w:val="105"/>
          <w:sz w:val="13"/>
        </w:rPr>
        <w:t> </w:t>
      </w:r>
      <w:r>
        <w:rPr>
          <w:w w:val="105"/>
          <w:sz w:val="13"/>
        </w:rPr>
        <w:t>person’s</w:t>
      </w:r>
      <w:r>
        <w:rPr>
          <w:spacing w:val="3"/>
          <w:w w:val="105"/>
          <w:sz w:val="13"/>
        </w:rPr>
        <w:t> </w:t>
      </w:r>
      <w:r>
        <w:rPr>
          <w:w w:val="105"/>
          <w:sz w:val="13"/>
        </w:rPr>
        <w:t>partner’s</w:t>
      </w:r>
      <w:r>
        <w:rPr>
          <w:spacing w:val="4"/>
          <w:w w:val="105"/>
          <w:sz w:val="13"/>
        </w:rPr>
        <w:t> </w:t>
      </w:r>
      <w:r>
        <w:rPr>
          <w:w w:val="105"/>
          <w:sz w:val="13"/>
        </w:rPr>
        <w:t>right</w:t>
      </w:r>
      <w:r>
        <w:rPr>
          <w:spacing w:val="4"/>
          <w:w w:val="105"/>
          <w:sz w:val="13"/>
        </w:rPr>
        <w:t> </w:t>
      </w:r>
      <w:r>
        <w:rPr>
          <w:w w:val="105"/>
          <w:sz w:val="13"/>
        </w:rPr>
        <w:t>to</w:t>
      </w:r>
      <w:r>
        <w:rPr>
          <w:spacing w:val="3"/>
          <w:w w:val="105"/>
          <w:sz w:val="13"/>
        </w:rPr>
        <w:t> </w:t>
      </w:r>
      <w:r>
        <w:rPr>
          <w:w w:val="105"/>
          <w:sz w:val="13"/>
        </w:rPr>
        <w:t>elect</w:t>
      </w:r>
      <w:r>
        <w:rPr>
          <w:spacing w:val="4"/>
          <w:w w:val="105"/>
          <w:sz w:val="13"/>
        </w:rPr>
        <w:t> </w:t>
      </w:r>
      <w:r>
        <w:rPr>
          <w:w w:val="105"/>
          <w:sz w:val="13"/>
        </w:rPr>
        <w:t>to</w:t>
      </w:r>
      <w:r>
        <w:rPr>
          <w:spacing w:val="3"/>
          <w:w w:val="105"/>
          <w:sz w:val="13"/>
        </w:rPr>
        <w:t> </w:t>
      </w:r>
      <w:r>
        <w:rPr>
          <w:w w:val="105"/>
          <w:sz w:val="13"/>
        </w:rPr>
        <w:t>acquire</w:t>
      </w:r>
      <w:r>
        <w:rPr>
          <w:spacing w:val="4"/>
          <w:w w:val="105"/>
          <w:sz w:val="13"/>
        </w:rPr>
        <w:t> </w:t>
      </w:r>
      <w:r>
        <w:rPr>
          <w:w w:val="105"/>
          <w:sz w:val="13"/>
        </w:rPr>
        <w:t>an</w:t>
      </w:r>
      <w:r>
        <w:rPr>
          <w:spacing w:val="4"/>
          <w:w w:val="105"/>
          <w:sz w:val="13"/>
        </w:rPr>
        <w:t> </w:t>
      </w:r>
      <w:r>
        <w:rPr>
          <w:w w:val="105"/>
          <w:sz w:val="13"/>
        </w:rPr>
        <w:t>interest</w:t>
      </w:r>
      <w:r>
        <w:rPr>
          <w:spacing w:val="3"/>
          <w:w w:val="105"/>
          <w:sz w:val="13"/>
        </w:rPr>
        <w:t> </w:t>
      </w:r>
      <w:r>
        <w:rPr>
          <w:w w:val="105"/>
          <w:sz w:val="13"/>
        </w:rPr>
        <w:t>in</w:t>
      </w:r>
      <w:r>
        <w:rPr>
          <w:spacing w:val="4"/>
          <w:w w:val="105"/>
          <w:sz w:val="13"/>
        </w:rPr>
        <w:t> </w:t>
      </w:r>
      <w:r>
        <w:rPr>
          <w:w w:val="105"/>
          <w:sz w:val="13"/>
        </w:rPr>
        <w:t>estate</w:t>
      </w:r>
      <w:r>
        <w:rPr>
          <w:spacing w:val="4"/>
          <w:w w:val="105"/>
          <w:sz w:val="13"/>
        </w:rPr>
        <w:t> </w:t>
      </w:r>
      <w:r>
        <w:rPr>
          <w:w w:val="105"/>
          <w:sz w:val="13"/>
        </w:rPr>
        <w:t>property,</w:t>
      </w:r>
      <w:r>
        <w:rPr>
          <w:spacing w:val="3"/>
          <w:w w:val="105"/>
          <w:sz w:val="13"/>
        </w:rPr>
        <w:t> </w:t>
      </w:r>
      <w:r>
        <w:rPr>
          <w:w w:val="105"/>
          <w:sz w:val="13"/>
        </w:rPr>
        <w:t>see</w:t>
      </w:r>
      <w:r>
        <w:rPr>
          <w:spacing w:val="4"/>
          <w:w w:val="105"/>
          <w:sz w:val="13"/>
        </w:rPr>
        <w:t> [5.56]–[5.83].</w:t>
      </w:r>
    </w:p>
    <w:p>
      <w:pPr>
        <w:pStyle w:val="ListParagraph"/>
        <w:numPr>
          <w:ilvl w:val="0"/>
          <w:numId w:val="50"/>
        </w:numPr>
        <w:tabs>
          <w:tab w:pos="2380" w:val="left" w:leader="none"/>
          <w:tab w:pos="2382" w:val="left" w:leader="none"/>
        </w:tabs>
        <w:spacing w:line="240" w:lineRule="auto" w:before="3" w:after="0"/>
        <w:ind w:left="2381" w:right="2161" w:hanging="794"/>
        <w:jc w:val="left"/>
        <w:rPr>
          <w:sz w:val="13"/>
        </w:rPr>
      </w:pPr>
      <w:r>
        <w:rPr/>
        <w:pict>
          <v:shape style="position:absolute;margin-left:36pt;margin-top:14.027164pt;width:13.35pt;height:14.25pt;mso-position-horizontal-relative:page;mso-position-vertical-relative:paragraph;z-index:5320" type="#_x0000_t202" filled="false" stroked="false">
            <v:textbox inset="0,0,0,0">
              <w:txbxContent>
                <w:p>
                  <w:pPr>
                    <w:spacing w:line="284" w:lineRule="exact" w:before="0"/>
                    <w:ind w:left="0" w:right="0" w:firstLine="0"/>
                    <w:jc w:val="left"/>
                    <w:rPr>
                      <w:b/>
                      <w:sz w:val="24"/>
                    </w:rPr>
                  </w:pPr>
                  <w:r>
                    <w:rPr>
                      <w:b/>
                      <w:color w:val="EC5A4F"/>
                      <w:spacing w:val="-1"/>
                      <w:w w:val="110"/>
                      <w:sz w:val="24"/>
                    </w:rPr>
                    <w:t>56</w:t>
                  </w:r>
                </w:p>
              </w:txbxContent>
            </v:textbox>
            <w10:wrap type="none"/>
          </v:shape>
        </w:pict>
      </w:r>
      <w:r>
        <w:rPr>
          <w:i/>
          <w:w w:val="105"/>
          <w:sz w:val="13"/>
        </w:rPr>
        <w:t>Administration and Probate Act 1958 </w:t>
      </w:r>
      <w:r>
        <w:rPr>
          <w:spacing w:val="2"/>
          <w:w w:val="105"/>
          <w:sz w:val="13"/>
        </w:rPr>
        <w:t>(Vic) </w:t>
      </w:r>
      <w:r>
        <w:rPr>
          <w:w w:val="105"/>
          <w:sz w:val="13"/>
        </w:rPr>
        <w:t>s 55; Peter Butt and Peter Nygh </w:t>
      </w:r>
      <w:r>
        <w:rPr>
          <w:spacing w:val="2"/>
          <w:w w:val="105"/>
          <w:sz w:val="13"/>
        </w:rPr>
        <w:t>(eds), </w:t>
      </w:r>
      <w:r>
        <w:rPr>
          <w:i/>
          <w:w w:val="105"/>
          <w:sz w:val="13"/>
        </w:rPr>
        <w:t>Encyclopaedic Australian Legal Dictionary </w:t>
      </w:r>
      <w:r>
        <w:rPr>
          <w:w w:val="105"/>
          <w:sz w:val="13"/>
        </w:rPr>
        <w:t>[online] </w:t>
      </w:r>
      <w:r>
        <w:rPr>
          <w:spacing w:val="2"/>
          <w:w w:val="105"/>
          <w:sz w:val="13"/>
        </w:rPr>
        <w:t>(LexisNexis </w:t>
      </w:r>
      <w:r>
        <w:rPr>
          <w:w w:val="105"/>
          <w:sz w:val="13"/>
        </w:rPr>
        <w:t>Butterworths, at 16 May</w:t>
      </w:r>
      <w:r>
        <w:rPr>
          <w:spacing w:val="20"/>
          <w:w w:val="105"/>
          <w:sz w:val="13"/>
        </w:rPr>
        <w:t> </w:t>
      </w:r>
      <w:r>
        <w:rPr>
          <w:w w:val="105"/>
          <w:sz w:val="13"/>
        </w:rPr>
        <w:t>2013).</w:t>
      </w:r>
    </w:p>
    <w:p>
      <w:pPr>
        <w:pStyle w:val="ListParagraph"/>
        <w:numPr>
          <w:ilvl w:val="0"/>
          <w:numId w:val="50"/>
        </w:numPr>
        <w:tabs>
          <w:tab w:pos="2380" w:val="left" w:leader="none"/>
          <w:tab w:pos="2382" w:val="left" w:leader="none"/>
        </w:tabs>
        <w:spacing w:line="240" w:lineRule="auto" w:before="2" w:after="0"/>
        <w:ind w:left="2381" w:right="1985" w:hanging="794"/>
        <w:jc w:val="left"/>
        <w:rPr>
          <w:sz w:val="13"/>
        </w:rPr>
      </w:pPr>
      <w:r>
        <w:rPr>
          <w:i/>
          <w:w w:val="105"/>
          <w:sz w:val="13"/>
        </w:rPr>
        <w:t>Financial Management Act 1994 </w:t>
      </w:r>
      <w:r>
        <w:rPr>
          <w:spacing w:val="2"/>
          <w:w w:val="105"/>
          <w:sz w:val="13"/>
        </w:rPr>
        <w:t>(Vic) </w:t>
      </w:r>
      <w:r>
        <w:rPr>
          <w:w w:val="105"/>
          <w:sz w:val="13"/>
        </w:rPr>
        <w:t>s </w:t>
      </w:r>
      <w:r>
        <w:rPr>
          <w:spacing w:val="4"/>
          <w:w w:val="105"/>
          <w:sz w:val="13"/>
        </w:rPr>
        <w:t>58(3)(a). </w:t>
      </w:r>
      <w:r>
        <w:rPr>
          <w:w w:val="105"/>
          <w:sz w:val="13"/>
        </w:rPr>
        <w:t>The Financial Management Act refers only to ‘the Minister’. The Minister for Finance has</w:t>
      </w:r>
      <w:r>
        <w:rPr>
          <w:spacing w:val="5"/>
          <w:w w:val="105"/>
          <w:sz w:val="13"/>
        </w:rPr>
        <w:t> </w:t>
      </w:r>
      <w:r>
        <w:rPr>
          <w:w w:val="105"/>
          <w:sz w:val="13"/>
        </w:rPr>
        <w:t>responsibility</w:t>
      </w:r>
      <w:r>
        <w:rPr>
          <w:spacing w:val="5"/>
          <w:w w:val="105"/>
          <w:sz w:val="13"/>
        </w:rPr>
        <w:t> </w:t>
      </w:r>
      <w:r>
        <w:rPr>
          <w:w w:val="105"/>
          <w:sz w:val="13"/>
        </w:rPr>
        <w:t>for</w:t>
      </w:r>
      <w:r>
        <w:rPr>
          <w:spacing w:val="5"/>
          <w:w w:val="105"/>
          <w:sz w:val="13"/>
        </w:rPr>
        <w:t> </w:t>
      </w:r>
      <w:r>
        <w:rPr>
          <w:w w:val="105"/>
          <w:sz w:val="13"/>
        </w:rPr>
        <w:t>these</w:t>
      </w:r>
      <w:r>
        <w:rPr>
          <w:spacing w:val="5"/>
          <w:w w:val="105"/>
          <w:sz w:val="13"/>
        </w:rPr>
        <w:t> </w:t>
      </w:r>
      <w:r>
        <w:rPr>
          <w:w w:val="105"/>
          <w:sz w:val="13"/>
        </w:rPr>
        <w:t>sections</w:t>
      </w:r>
      <w:r>
        <w:rPr>
          <w:spacing w:val="6"/>
          <w:w w:val="105"/>
          <w:sz w:val="13"/>
        </w:rPr>
        <w:t> </w:t>
      </w:r>
      <w:r>
        <w:rPr>
          <w:w w:val="105"/>
          <w:sz w:val="13"/>
        </w:rPr>
        <w:t>of</w:t>
      </w:r>
      <w:r>
        <w:rPr>
          <w:spacing w:val="5"/>
          <w:w w:val="105"/>
          <w:sz w:val="13"/>
        </w:rPr>
        <w:t> </w:t>
      </w:r>
      <w:r>
        <w:rPr>
          <w:w w:val="105"/>
          <w:sz w:val="13"/>
        </w:rPr>
        <w:t>the</w:t>
      </w:r>
      <w:r>
        <w:rPr>
          <w:spacing w:val="5"/>
          <w:w w:val="105"/>
          <w:sz w:val="13"/>
        </w:rPr>
        <w:t> </w:t>
      </w:r>
      <w:r>
        <w:rPr>
          <w:w w:val="105"/>
          <w:sz w:val="13"/>
        </w:rPr>
        <w:t>Act</w:t>
      </w:r>
      <w:r>
        <w:rPr>
          <w:spacing w:val="5"/>
          <w:w w:val="105"/>
          <w:sz w:val="13"/>
        </w:rPr>
        <w:t> </w:t>
      </w:r>
      <w:r>
        <w:rPr>
          <w:w w:val="105"/>
          <w:sz w:val="13"/>
        </w:rPr>
        <w:t>under</w:t>
      </w:r>
      <w:r>
        <w:rPr>
          <w:spacing w:val="5"/>
          <w:w w:val="105"/>
          <w:sz w:val="13"/>
        </w:rPr>
        <w:t> </w:t>
      </w:r>
      <w:r>
        <w:rPr>
          <w:w w:val="105"/>
          <w:sz w:val="13"/>
        </w:rPr>
        <w:t>the</w:t>
      </w:r>
      <w:r>
        <w:rPr>
          <w:spacing w:val="6"/>
          <w:w w:val="105"/>
          <w:sz w:val="13"/>
        </w:rPr>
        <w:t> </w:t>
      </w:r>
      <w:r>
        <w:rPr>
          <w:i/>
          <w:w w:val="105"/>
          <w:sz w:val="13"/>
        </w:rPr>
        <w:t>General</w:t>
      </w:r>
      <w:r>
        <w:rPr>
          <w:i/>
          <w:spacing w:val="4"/>
          <w:w w:val="105"/>
          <w:sz w:val="13"/>
        </w:rPr>
        <w:t> </w:t>
      </w:r>
      <w:r>
        <w:rPr>
          <w:i/>
          <w:w w:val="105"/>
          <w:sz w:val="13"/>
        </w:rPr>
        <w:t>Order:</w:t>
      </w:r>
      <w:r>
        <w:rPr>
          <w:i/>
          <w:spacing w:val="4"/>
          <w:w w:val="105"/>
          <w:sz w:val="13"/>
        </w:rPr>
        <w:t> </w:t>
      </w:r>
      <w:r>
        <w:rPr>
          <w:i/>
          <w:w w:val="105"/>
          <w:sz w:val="13"/>
        </w:rPr>
        <w:t>Administration</w:t>
      </w:r>
      <w:r>
        <w:rPr>
          <w:i/>
          <w:spacing w:val="4"/>
          <w:w w:val="105"/>
          <w:sz w:val="13"/>
        </w:rPr>
        <w:t> </w:t>
      </w:r>
      <w:r>
        <w:rPr>
          <w:i/>
          <w:w w:val="105"/>
          <w:sz w:val="13"/>
        </w:rPr>
        <w:t>of</w:t>
      </w:r>
      <w:r>
        <w:rPr>
          <w:i/>
          <w:spacing w:val="4"/>
          <w:w w:val="105"/>
          <w:sz w:val="13"/>
        </w:rPr>
        <w:t> </w:t>
      </w:r>
      <w:r>
        <w:rPr>
          <w:i/>
          <w:w w:val="105"/>
          <w:sz w:val="13"/>
        </w:rPr>
        <w:t>Acts</w:t>
      </w:r>
      <w:r>
        <w:rPr>
          <w:i/>
          <w:spacing w:val="6"/>
          <w:w w:val="105"/>
          <w:sz w:val="13"/>
        </w:rPr>
        <w:t> </w:t>
      </w:r>
      <w:r>
        <w:rPr>
          <w:w w:val="105"/>
          <w:sz w:val="13"/>
        </w:rPr>
        <w:t>(22</w:t>
      </w:r>
      <w:r>
        <w:rPr>
          <w:spacing w:val="5"/>
          <w:w w:val="105"/>
          <w:sz w:val="13"/>
        </w:rPr>
        <w:t> </w:t>
      </w:r>
      <w:r>
        <w:rPr>
          <w:w w:val="105"/>
          <w:sz w:val="13"/>
        </w:rPr>
        <w:t>April</w:t>
      </w:r>
      <w:r>
        <w:rPr>
          <w:spacing w:val="5"/>
          <w:w w:val="105"/>
          <w:sz w:val="13"/>
        </w:rPr>
        <w:t> </w:t>
      </w:r>
      <w:r>
        <w:rPr>
          <w:w w:val="105"/>
          <w:sz w:val="13"/>
        </w:rPr>
        <w:t>2013).</w:t>
      </w:r>
    </w:p>
    <w:p>
      <w:pPr>
        <w:spacing w:after="0" w:line="240" w:lineRule="auto"/>
        <w:jc w:val="left"/>
        <w:rPr>
          <w:sz w:val="13"/>
        </w:rPr>
        <w:sectPr>
          <w:pgSz w:w="11910" w:h="16840"/>
          <w:pgMar w:header="550" w:footer="0" w:top="1560" w:bottom="280" w:left="0" w:right="0"/>
        </w:sectPr>
      </w:pPr>
    </w:p>
    <w:p>
      <w:pPr>
        <w:pStyle w:val="BodyText"/>
        <w:rPr>
          <w:sz w:val="20"/>
        </w:rPr>
      </w:pPr>
    </w:p>
    <w:p>
      <w:pPr>
        <w:pStyle w:val="BodyText"/>
        <w:rPr>
          <w:sz w:val="19"/>
        </w:rPr>
      </w:pPr>
    </w:p>
    <w:p>
      <w:pPr>
        <w:pStyle w:val="ListParagraph"/>
        <w:numPr>
          <w:ilvl w:val="1"/>
          <w:numId w:val="22"/>
        </w:numPr>
        <w:tabs>
          <w:tab w:pos="2381" w:val="left" w:leader="none"/>
          <w:tab w:pos="2382" w:val="left" w:leader="none"/>
        </w:tabs>
        <w:spacing w:line="242" w:lineRule="auto" w:before="91" w:after="0"/>
        <w:ind w:left="2381" w:right="2027" w:hanging="794"/>
        <w:jc w:val="left"/>
        <w:rPr>
          <w:sz w:val="21"/>
        </w:rPr>
      </w:pPr>
      <w:r>
        <w:rPr>
          <w:w w:val="105"/>
          <w:sz w:val="21"/>
        </w:rPr>
        <w:t>Statistics in </w:t>
      </w:r>
      <w:r>
        <w:rPr>
          <w:spacing w:val="-3"/>
          <w:w w:val="105"/>
          <w:sz w:val="21"/>
        </w:rPr>
        <w:t>relation to </w:t>
      </w:r>
      <w:r>
        <w:rPr>
          <w:w w:val="105"/>
          <w:sz w:val="21"/>
        </w:rPr>
        <w:t>grants of </w:t>
      </w:r>
      <w:r>
        <w:rPr>
          <w:spacing w:val="-3"/>
          <w:w w:val="105"/>
          <w:sz w:val="21"/>
        </w:rPr>
        <w:t>probate </w:t>
      </w:r>
      <w:r>
        <w:rPr>
          <w:w w:val="105"/>
          <w:sz w:val="21"/>
        </w:rPr>
        <w:t>and letters of </w:t>
      </w:r>
      <w:r>
        <w:rPr>
          <w:spacing w:val="-3"/>
          <w:w w:val="105"/>
          <w:sz w:val="21"/>
        </w:rPr>
        <w:t>administration, </w:t>
      </w:r>
      <w:r>
        <w:rPr>
          <w:w w:val="105"/>
          <w:sz w:val="21"/>
        </w:rPr>
        <w:t>provided by the </w:t>
      </w:r>
      <w:r>
        <w:rPr>
          <w:spacing w:val="-3"/>
          <w:w w:val="105"/>
          <w:sz w:val="21"/>
        </w:rPr>
        <w:t>Supreme Court </w:t>
      </w:r>
      <w:r>
        <w:rPr>
          <w:w w:val="105"/>
          <w:sz w:val="21"/>
        </w:rPr>
        <w:t>of Victoria and </w:t>
      </w:r>
      <w:r>
        <w:rPr>
          <w:spacing w:val="-3"/>
          <w:w w:val="105"/>
          <w:sz w:val="21"/>
        </w:rPr>
        <w:t>published </w:t>
      </w:r>
      <w:r>
        <w:rPr>
          <w:w w:val="105"/>
          <w:sz w:val="21"/>
        </w:rPr>
        <w:t>in the </w:t>
      </w:r>
      <w:r>
        <w:rPr>
          <w:spacing w:val="-4"/>
          <w:w w:val="105"/>
          <w:sz w:val="21"/>
        </w:rPr>
        <w:t>Commission’s </w:t>
      </w:r>
      <w:r>
        <w:rPr>
          <w:spacing w:val="-3"/>
          <w:w w:val="105"/>
          <w:sz w:val="21"/>
        </w:rPr>
        <w:t>consultation </w:t>
      </w:r>
      <w:r>
        <w:rPr>
          <w:w w:val="105"/>
          <w:sz w:val="21"/>
        </w:rPr>
        <w:t>paper on</w:t>
      </w:r>
      <w:r>
        <w:rPr>
          <w:spacing w:val="-5"/>
          <w:w w:val="105"/>
          <w:sz w:val="21"/>
        </w:rPr>
        <w:t> </w:t>
      </w:r>
      <w:r>
        <w:rPr>
          <w:spacing w:val="-3"/>
          <w:w w:val="105"/>
          <w:sz w:val="21"/>
        </w:rPr>
        <w:t>intestacy,</w:t>
      </w:r>
      <w:r>
        <w:rPr>
          <w:spacing w:val="-5"/>
          <w:w w:val="105"/>
          <w:sz w:val="21"/>
        </w:rPr>
        <w:t> </w:t>
      </w:r>
      <w:r>
        <w:rPr>
          <w:spacing w:val="-3"/>
          <w:w w:val="105"/>
          <w:sz w:val="21"/>
        </w:rPr>
        <w:t>indicate</w:t>
      </w:r>
      <w:r>
        <w:rPr>
          <w:spacing w:val="-5"/>
          <w:w w:val="105"/>
          <w:sz w:val="21"/>
        </w:rPr>
        <w:t> </w:t>
      </w:r>
      <w:r>
        <w:rPr>
          <w:spacing w:val="-3"/>
          <w:w w:val="105"/>
          <w:sz w:val="21"/>
        </w:rPr>
        <w:t>that</w:t>
      </w:r>
      <w:r>
        <w:rPr>
          <w:spacing w:val="-5"/>
          <w:w w:val="105"/>
          <w:sz w:val="21"/>
        </w:rPr>
        <w:t> </w:t>
      </w:r>
      <w:r>
        <w:rPr>
          <w:w w:val="105"/>
          <w:sz w:val="21"/>
        </w:rPr>
        <w:t>more</w:t>
      </w:r>
      <w:r>
        <w:rPr>
          <w:spacing w:val="-5"/>
          <w:w w:val="105"/>
          <w:sz w:val="21"/>
        </w:rPr>
        <w:t> </w:t>
      </w:r>
      <w:r>
        <w:rPr>
          <w:spacing w:val="-3"/>
          <w:w w:val="105"/>
          <w:sz w:val="21"/>
        </w:rPr>
        <w:t>than</w:t>
      </w:r>
      <w:r>
        <w:rPr>
          <w:spacing w:val="-5"/>
          <w:w w:val="105"/>
          <w:sz w:val="21"/>
        </w:rPr>
        <w:t> </w:t>
      </w:r>
      <w:r>
        <w:rPr>
          <w:w w:val="105"/>
          <w:sz w:val="21"/>
        </w:rPr>
        <w:t>seven</w:t>
      </w:r>
      <w:r>
        <w:rPr>
          <w:spacing w:val="-5"/>
          <w:w w:val="105"/>
          <w:sz w:val="21"/>
        </w:rPr>
        <w:t> </w:t>
      </w:r>
      <w:r>
        <w:rPr>
          <w:w w:val="105"/>
          <w:sz w:val="21"/>
        </w:rPr>
        <w:t>per</w:t>
      </w:r>
      <w:r>
        <w:rPr>
          <w:spacing w:val="-5"/>
          <w:w w:val="105"/>
          <w:sz w:val="21"/>
        </w:rPr>
        <w:t> </w:t>
      </w:r>
      <w:r>
        <w:rPr>
          <w:spacing w:val="-3"/>
          <w:w w:val="105"/>
          <w:sz w:val="21"/>
        </w:rPr>
        <w:t>cent</w:t>
      </w:r>
      <w:r>
        <w:rPr>
          <w:spacing w:val="-5"/>
          <w:w w:val="105"/>
          <w:sz w:val="21"/>
        </w:rPr>
        <w:t> </w:t>
      </w:r>
      <w:r>
        <w:rPr>
          <w:w w:val="105"/>
          <w:sz w:val="21"/>
        </w:rPr>
        <w:t>of</w:t>
      </w:r>
      <w:r>
        <w:rPr>
          <w:spacing w:val="-5"/>
          <w:w w:val="105"/>
          <w:sz w:val="21"/>
        </w:rPr>
        <w:t> </w:t>
      </w:r>
      <w:r>
        <w:rPr>
          <w:w w:val="105"/>
          <w:sz w:val="21"/>
        </w:rPr>
        <w:t>grants</w:t>
      </w:r>
      <w:r>
        <w:rPr>
          <w:spacing w:val="-5"/>
          <w:w w:val="105"/>
          <w:sz w:val="21"/>
        </w:rPr>
        <w:t> </w:t>
      </w:r>
      <w:r>
        <w:rPr>
          <w:w w:val="105"/>
          <w:sz w:val="21"/>
        </w:rPr>
        <w:t>made</w:t>
      </w:r>
      <w:r>
        <w:rPr>
          <w:spacing w:val="-5"/>
          <w:w w:val="105"/>
          <w:sz w:val="21"/>
        </w:rPr>
        <w:t> </w:t>
      </w:r>
      <w:r>
        <w:rPr>
          <w:w w:val="105"/>
          <w:sz w:val="21"/>
        </w:rPr>
        <w:t>each</w:t>
      </w:r>
      <w:r>
        <w:rPr>
          <w:spacing w:val="-5"/>
          <w:w w:val="105"/>
          <w:sz w:val="21"/>
        </w:rPr>
        <w:t> </w:t>
      </w:r>
      <w:r>
        <w:rPr>
          <w:spacing w:val="-3"/>
          <w:w w:val="105"/>
          <w:sz w:val="21"/>
        </w:rPr>
        <w:t>year</w:t>
      </w:r>
      <w:r>
        <w:rPr>
          <w:spacing w:val="-5"/>
          <w:w w:val="105"/>
          <w:sz w:val="21"/>
        </w:rPr>
        <w:t> </w:t>
      </w:r>
      <w:r>
        <w:rPr>
          <w:spacing w:val="-3"/>
          <w:w w:val="105"/>
          <w:sz w:val="21"/>
        </w:rPr>
        <w:t>are</w:t>
      </w:r>
      <w:r>
        <w:rPr>
          <w:spacing w:val="-4"/>
          <w:w w:val="105"/>
          <w:sz w:val="21"/>
        </w:rPr>
        <w:t> </w:t>
      </w:r>
      <w:r>
        <w:rPr>
          <w:spacing w:val="-3"/>
          <w:w w:val="105"/>
          <w:sz w:val="21"/>
        </w:rPr>
        <w:t>for intestate </w:t>
      </w:r>
      <w:r>
        <w:rPr>
          <w:w w:val="105"/>
          <w:sz w:val="21"/>
        </w:rPr>
        <w:t>estates.</w:t>
      </w:r>
      <w:r>
        <w:rPr>
          <w:w w:val="105"/>
          <w:position w:val="7"/>
          <w:sz w:val="12"/>
        </w:rPr>
        <w:t>8 </w:t>
      </w:r>
      <w:r>
        <w:rPr>
          <w:w w:val="105"/>
          <w:sz w:val="21"/>
        </w:rPr>
        <w:t>This </w:t>
      </w:r>
      <w:r>
        <w:rPr>
          <w:spacing w:val="-2"/>
          <w:w w:val="105"/>
          <w:sz w:val="21"/>
        </w:rPr>
        <w:t>figure </w:t>
      </w:r>
      <w:r>
        <w:rPr>
          <w:w w:val="105"/>
          <w:sz w:val="21"/>
        </w:rPr>
        <w:t>represents between </w:t>
      </w:r>
      <w:r>
        <w:rPr>
          <w:spacing w:val="-4"/>
          <w:w w:val="105"/>
          <w:sz w:val="21"/>
        </w:rPr>
        <w:t>1300 </w:t>
      </w:r>
      <w:r>
        <w:rPr>
          <w:w w:val="105"/>
          <w:sz w:val="21"/>
        </w:rPr>
        <w:t>and </w:t>
      </w:r>
      <w:r>
        <w:rPr>
          <w:spacing w:val="-3"/>
          <w:w w:val="105"/>
          <w:sz w:val="21"/>
        </w:rPr>
        <w:t>1400 intestate</w:t>
      </w:r>
      <w:r>
        <w:rPr>
          <w:spacing w:val="-11"/>
          <w:w w:val="105"/>
          <w:sz w:val="21"/>
        </w:rPr>
        <w:t> </w:t>
      </w:r>
      <w:r>
        <w:rPr>
          <w:w w:val="105"/>
          <w:sz w:val="21"/>
        </w:rPr>
        <w:t>estates</w:t>
      </w:r>
    </w:p>
    <w:p>
      <w:pPr>
        <w:pStyle w:val="BodyText"/>
        <w:spacing w:line="242" w:lineRule="auto" w:before="4"/>
        <w:ind w:left="2381" w:right="1619" w:hanging="1"/>
      </w:pPr>
      <w:r>
        <w:rPr/>
        <w:t>each year.</w:t>
      </w:r>
      <w:r>
        <w:rPr>
          <w:position w:val="7"/>
          <w:sz w:val="12"/>
        </w:rPr>
        <w:t>9 </w:t>
      </w:r>
      <w:r>
        <w:rPr/>
        <w:t>The figure does not include partial intestacies or take into account informal administration of intestate estates, where no grant is obtained.</w:t>
      </w:r>
    </w:p>
    <w:p>
      <w:pPr>
        <w:pStyle w:val="BodyText"/>
        <w:spacing w:before="11"/>
        <w:rPr>
          <w:sz w:val="24"/>
        </w:rPr>
      </w:pPr>
    </w:p>
    <w:p>
      <w:pPr>
        <w:pStyle w:val="Heading5"/>
      </w:pPr>
      <w:bookmarkStart w:name="_TOC_250063" w:id="47"/>
      <w:bookmarkEnd w:id="47"/>
      <w:r>
        <w:rPr>
          <w:w w:val="115"/>
        </w:rPr>
        <w:t>National Committee for Uniform Succession Laws</w:t>
      </w:r>
    </w:p>
    <w:p>
      <w:pPr>
        <w:pStyle w:val="ListParagraph"/>
        <w:numPr>
          <w:ilvl w:val="1"/>
          <w:numId w:val="22"/>
        </w:numPr>
        <w:tabs>
          <w:tab w:pos="2380" w:val="left" w:leader="none"/>
          <w:tab w:pos="2381" w:val="left" w:leader="none"/>
        </w:tabs>
        <w:spacing w:line="242" w:lineRule="auto" w:before="138" w:after="0"/>
        <w:ind w:left="2381" w:right="1718" w:hanging="794"/>
        <w:jc w:val="both"/>
        <w:rPr>
          <w:sz w:val="12"/>
        </w:rPr>
      </w:pPr>
      <w:r>
        <w:rPr>
          <w:w w:val="105"/>
          <w:sz w:val="21"/>
        </w:rPr>
        <w:t>The </w:t>
      </w:r>
      <w:r>
        <w:rPr>
          <w:spacing w:val="-3"/>
          <w:w w:val="105"/>
          <w:sz w:val="21"/>
        </w:rPr>
        <w:t>National Committee for Uniform Succession </w:t>
      </w:r>
      <w:r>
        <w:rPr>
          <w:w w:val="105"/>
          <w:sz w:val="21"/>
        </w:rPr>
        <w:t>Laws, which comprised representatives </w:t>
      </w:r>
      <w:r>
        <w:rPr>
          <w:spacing w:val="-3"/>
          <w:w w:val="105"/>
          <w:sz w:val="21"/>
        </w:rPr>
        <w:t>from</w:t>
      </w:r>
      <w:r>
        <w:rPr>
          <w:spacing w:val="-9"/>
          <w:w w:val="105"/>
          <w:sz w:val="21"/>
        </w:rPr>
        <w:t> </w:t>
      </w:r>
      <w:r>
        <w:rPr>
          <w:spacing w:val="-3"/>
          <w:w w:val="105"/>
          <w:sz w:val="21"/>
        </w:rPr>
        <w:t>all</w:t>
      </w:r>
      <w:r>
        <w:rPr>
          <w:spacing w:val="-9"/>
          <w:w w:val="105"/>
          <w:sz w:val="21"/>
        </w:rPr>
        <w:t> </w:t>
      </w:r>
      <w:r>
        <w:rPr>
          <w:w w:val="105"/>
          <w:sz w:val="21"/>
        </w:rPr>
        <w:t>states</w:t>
      </w:r>
      <w:r>
        <w:rPr>
          <w:spacing w:val="-8"/>
          <w:w w:val="105"/>
          <w:sz w:val="21"/>
        </w:rPr>
        <w:t> </w:t>
      </w:r>
      <w:r>
        <w:rPr>
          <w:w w:val="105"/>
          <w:sz w:val="21"/>
        </w:rPr>
        <w:t>and</w:t>
      </w:r>
      <w:r>
        <w:rPr>
          <w:spacing w:val="-9"/>
          <w:w w:val="105"/>
          <w:sz w:val="21"/>
        </w:rPr>
        <w:t> </w:t>
      </w:r>
      <w:r>
        <w:rPr>
          <w:spacing w:val="-3"/>
          <w:w w:val="105"/>
          <w:sz w:val="21"/>
        </w:rPr>
        <w:t>territories</w:t>
      </w:r>
      <w:r>
        <w:rPr>
          <w:spacing w:val="-9"/>
          <w:w w:val="105"/>
          <w:sz w:val="21"/>
        </w:rPr>
        <w:t> </w:t>
      </w:r>
      <w:r>
        <w:rPr>
          <w:spacing w:val="-3"/>
          <w:w w:val="105"/>
          <w:sz w:val="21"/>
        </w:rPr>
        <w:t>except</w:t>
      </w:r>
      <w:r>
        <w:rPr>
          <w:spacing w:val="-8"/>
          <w:w w:val="105"/>
          <w:sz w:val="21"/>
        </w:rPr>
        <w:t> </w:t>
      </w:r>
      <w:r>
        <w:rPr>
          <w:w w:val="105"/>
          <w:sz w:val="21"/>
        </w:rPr>
        <w:t>South</w:t>
      </w:r>
      <w:r>
        <w:rPr>
          <w:spacing w:val="-9"/>
          <w:w w:val="105"/>
          <w:sz w:val="21"/>
        </w:rPr>
        <w:t> </w:t>
      </w:r>
      <w:r>
        <w:rPr>
          <w:spacing w:val="-3"/>
          <w:w w:val="105"/>
          <w:sz w:val="21"/>
        </w:rPr>
        <w:t>Australia,</w:t>
      </w:r>
      <w:r>
        <w:rPr>
          <w:spacing w:val="-8"/>
          <w:w w:val="105"/>
          <w:sz w:val="21"/>
        </w:rPr>
        <w:t> </w:t>
      </w:r>
      <w:r>
        <w:rPr>
          <w:w w:val="105"/>
          <w:sz w:val="21"/>
        </w:rPr>
        <w:t>reviewed</w:t>
      </w:r>
      <w:r>
        <w:rPr>
          <w:spacing w:val="-9"/>
          <w:w w:val="105"/>
          <w:sz w:val="21"/>
        </w:rPr>
        <w:t> </w:t>
      </w:r>
      <w:r>
        <w:rPr>
          <w:w w:val="105"/>
          <w:sz w:val="21"/>
        </w:rPr>
        <w:t>the</w:t>
      </w:r>
      <w:r>
        <w:rPr>
          <w:spacing w:val="-9"/>
          <w:w w:val="105"/>
          <w:sz w:val="21"/>
        </w:rPr>
        <w:t> </w:t>
      </w:r>
      <w:r>
        <w:rPr>
          <w:w w:val="105"/>
          <w:sz w:val="21"/>
        </w:rPr>
        <w:t>laws</w:t>
      </w:r>
      <w:r>
        <w:rPr>
          <w:spacing w:val="-8"/>
          <w:w w:val="105"/>
          <w:sz w:val="21"/>
        </w:rPr>
        <w:t> </w:t>
      </w:r>
      <w:r>
        <w:rPr>
          <w:w w:val="105"/>
          <w:sz w:val="21"/>
        </w:rPr>
        <w:t>of</w:t>
      </w:r>
      <w:r>
        <w:rPr>
          <w:spacing w:val="-9"/>
          <w:w w:val="105"/>
          <w:sz w:val="21"/>
        </w:rPr>
        <w:t> </w:t>
      </w:r>
      <w:r>
        <w:rPr>
          <w:w w:val="105"/>
          <w:sz w:val="21"/>
        </w:rPr>
        <w:t>intestacy</w:t>
      </w:r>
      <w:r>
        <w:rPr>
          <w:spacing w:val="-8"/>
          <w:w w:val="105"/>
          <w:sz w:val="21"/>
        </w:rPr>
        <w:t> </w:t>
      </w:r>
      <w:r>
        <w:rPr>
          <w:w w:val="105"/>
          <w:sz w:val="21"/>
        </w:rPr>
        <w:t>in</w:t>
      </w:r>
      <w:r>
        <w:rPr>
          <w:spacing w:val="-9"/>
          <w:w w:val="105"/>
          <w:sz w:val="21"/>
        </w:rPr>
        <w:t> </w:t>
      </w:r>
      <w:r>
        <w:rPr>
          <w:spacing w:val="-3"/>
          <w:w w:val="105"/>
          <w:sz w:val="21"/>
        </w:rPr>
        <w:t>all Australian</w:t>
      </w:r>
      <w:r>
        <w:rPr>
          <w:spacing w:val="-8"/>
          <w:w w:val="105"/>
          <w:sz w:val="21"/>
        </w:rPr>
        <w:t> </w:t>
      </w:r>
      <w:r>
        <w:rPr>
          <w:w w:val="105"/>
          <w:sz w:val="21"/>
        </w:rPr>
        <w:t>states</w:t>
      </w:r>
      <w:r>
        <w:rPr>
          <w:spacing w:val="-7"/>
          <w:w w:val="105"/>
          <w:sz w:val="21"/>
        </w:rPr>
        <w:t> </w:t>
      </w:r>
      <w:r>
        <w:rPr>
          <w:w w:val="105"/>
          <w:sz w:val="21"/>
        </w:rPr>
        <w:t>and</w:t>
      </w:r>
      <w:r>
        <w:rPr>
          <w:spacing w:val="-8"/>
          <w:w w:val="105"/>
          <w:sz w:val="21"/>
        </w:rPr>
        <w:t> </w:t>
      </w:r>
      <w:r>
        <w:rPr>
          <w:spacing w:val="-3"/>
          <w:w w:val="105"/>
          <w:sz w:val="21"/>
        </w:rPr>
        <w:t>territories.</w:t>
      </w:r>
      <w:r>
        <w:rPr>
          <w:spacing w:val="-7"/>
          <w:w w:val="105"/>
          <w:sz w:val="21"/>
        </w:rPr>
        <w:t> </w:t>
      </w:r>
      <w:r>
        <w:rPr>
          <w:w w:val="105"/>
          <w:sz w:val="21"/>
        </w:rPr>
        <w:t>Its</w:t>
      </w:r>
      <w:r>
        <w:rPr>
          <w:spacing w:val="-7"/>
          <w:w w:val="105"/>
          <w:sz w:val="21"/>
        </w:rPr>
        <w:t> </w:t>
      </w:r>
      <w:r>
        <w:rPr>
          <w:spacing w:val="-3"/>
          <w:w w:val="105"/>
          <w:sz w:val="21"/>
        </w:rPr>
        <w:t>2007</w:t>
      </w:r>
      <w:r>
        <w:rPr>
          <w:spacing w:val="-8"/>
          <w:w w:val="105"/>
          <w:sz w:val="21"/>
        </w:rPr>
        <w:t> </w:t>
      </w:r>
      <w:r>
        <w:rPr>
          <w:w w:val="105"/>
          <w:sz w:val="21"/>
        </w:rPr>
        <w:t>report</w:t>
      </w:r>
      <w:r>
        <w:rPr>
          <w:spacing w:val="-7"/>
          <w:w w:val="105"/>
          <w:sz w:val="21"/>
        </w:rPr>
        <w:t> </w:t>
      </w:r>
      <w:r>
        <w:rPr>
          <w:w w:val="105"/>
          <w:sz w:val="21"/>
        </w:rPr>
        <w:t>on</w:t>
      </w:r>
      <w:r>
        <w:rPr>
          <w:spacing w:val="-7"/>
          <w:w w:val="105"/>
          <w:sz w:val="21"/>
        </w:rPr>
        <w:t> </w:t>
      </w:r>
      <w:r>
        <w:rPr>
          <w:w w:val="105"/>
          <w:sz w:val="21"/>
        </w:rPr>
        <w:t>intestacy</w:t>
      </w:r>
      <w:r>
        <w:rPr>
          <w:spacing w:val="-8"/>
          <w:w w:val="105"/>
          <w:sz w:val="21"/>
        </w:rPr>
        <w:t> </w:t>
      </w:r>
      <w:r>
        <w:rPr>
          <w:w w:val="105"/>
          <w:sz w:val="21"/>
        </w:rPr>
        <w:t>made</w:t>
      </w:r>
      <w:r>
        <w:rPr>
          <w:spacing w:val="-7"/>
          <w:w w:val="105"/>
          <w:sz w:val="21"/>
        </w:rPr>
        <w:t> </w:t>
      </w:r>
      <w:r>
        <w:rPr>
          <w:spacing w:val="-3"/>
          <w:w w:val="105"/>
          <w:sz w:val="21"/>
        </w:rPr>
        <w:t>79</w:t>
      </w:r>
      <w:r>
        <w:rPr>
          <w:spacing w:val="-7"/>
          <w:w w:val="105"/>
          <w:sz w:val="21"/>
        </w:rPr>
        <w:t> </w:t>
      </w:r>
      <w:r>
        <w:rPr>
          <w:spacing w:val="-3"/>
          <w:w w:val="105"/>
          <w:sz w:val="21"/>
        </w:rPr>
        <w:t>recommendations, which, </w:t>
      </w:r>
      <w:r>
        <w:rPr>
          <w:w w:val="105"/>
          <w:sz w:val="21"/>
        </w:rPr>
        <w:t>if </w:t>
      </w:r>
      <w:r>
        <w:rPr>
          <w:spacing w:val="-3"/>
          <w:w w:val="105"/>
          <w:sz w:val="21"/>
        </w:rPr>
        <w:t>implemented, </w:t>
      </w:r>
      <w:r>
        <w:rPr>
          <w:w w:val="105"/>
          <w:sz w:val="21"/>
        </w:rPr>
        <w:t>would </w:t>
      </w:r>
      <w:r>
        <w:rPr>
          <w:spacing w:val="-3"/>
          <w:w w:val="105"/>
          <w:sz w:val="21"/>
        </w:rPr>
        <w:t>involve significant reform to Victoria’s </w:t>
      </w:r>
      <w:r>
        <w:rPr>
          <w:w w:val="105"/>
          <w:sz w:val="21"/>
        </w:rPr>
        <w:t>intestacy</w:t>
      </w:r>
      <w:r>
        <w:rPr>
          <w:spacing w:val="32"/>
          <w:w w:val="105"/>
          <w:sz w:val="21"/>
        </w:rPr>
        <w:t> </w:t>
      </w:r>
      <w:r>
        <w:rPr>
          <w:spacing w:val="-6"/>
          <w:w w:val="105"/>
          <w:sz w:val="21"/>
        </w:rPr>
        <w:t>laws.</w:t>
      </w:r>
      <w:r>
        <w:rPr>
          <w:spacing w:val="-6"/>
          <w:w w:val="105"/>
          <w:position w:val="7"/>
          <w:sz w:val="12"/>
        </w:rPr>
        <w:t>10</w:t>
      </w:r>
    </w:p>
    <w:p>
      <w:pPr>
        <w:pStyle w:val="BodyText"/>
        <w:spacing w:line="242" w:lineRule="auto" w:before="4"/>
        <w:ind w:left="2381" w:right="1619"/>
        <w:rPr>
          <w:sz w:val="12"/>
        </w:rPr>
      </w:pPr>
      <w:r>
        <w:rPr>
          <w:w w:val="105"/>
        </w:rPr>
        <w:t>The </w:t>
      </w:r>
      <w:r>
        <w:rPr>
          <w:spacing w:val="-3"/>
          <w:w w:val="105"/>
        </w:rPr>
        <w:t>recommendations have </w:t>
      </w:r>
      <w:r>
        <w:rPr>
          <w:w w:val="105"/>
        </w:rPr>
        <w:t>been </w:t>
      </w:r>
      <w:r>
        <w:rPr>
          <w:spacing w:val="-3"/>
          <w:w w:val="105"/>
        </w:rPr>
        <w:t>substantially implemented </w:t>
      </w:r>
      <w:r>
        <w:rPr>
          <w:w w:val="105"/>
        </w:rPr>
        <w:t>in New South </w:t>
      </w:r>
      <w:r>
        <w:rPr>
          <w:spacing w:val="-3"/>
          <w:w w:val="105"/>
        </w:rPr>
        <w:t>Wales </w:t>
      </w:r>
      <w:r>
        <w:rPr>
          <w:w w:val="105"/>
        </w:rPr>
        <w:t>and </w:t>
      </w:r>
      <w:r>
        <w:rPr>
          <w:spacing w:val="-8"/>
          <w:w w:val="105"/>
        </w:rPr>
        <w:t>Tasmania.</w:t>
      </w:r>
      <w:r>
        <w:rPr>
          <w:spacing w:val="-8"/>
          <w:w w:val="105"/>
          <w:position w:val="7"/>
          <w:sz w:val="12"/>
        </w:rPr>
        <w:t>11</w:t>
      </w:r>
    </w:p>
    <w:p>
      <w:pPr>
        <w:pStyle w:val="ListParagraph"/>
        <w:numPr>
          <w:ilvl w:val="1"/>
          <w:numId w:val="22"/>
        </w:numPr>
        <w:tabs>
          <w:tab w:pos="2381" w:val="left" w:leader="none"/>
          <w:tab w:pos="2382" w:val="left" w:leader="none"/>
        </w:tabs>
        <w:spacing w:line="242" w:lineRule="auto" w:before="122" w:after="0"/>
        <w:ind w:left="2381" w:right="1886" w:hanging="794"/>
        <w:jc w:val="left"/>
        <w:rPr>
          <w:sz w:val="21"/>
        </w:rPr>
      </w:pPr>
      <w:r>
        <w:rPr>
          <w:w w:val="105"/>
          <w:sz w:val="21"/>
        </w:rPr>
        <w:t>The </w:t>
      </w:r>
      <w:r>
        <w:rPr>
          <w:spacing w:val="-4"/>
          <w:w w:val="105"/>
          <w:sz w:val="21"/>
        </w:rPr>
        <w:t>Commission’s </w:t>
      </w:r>
      <w:r>
        <w:rPr>
          <w:spacing w:val="-3"/>
          <w:w w:val="105"/>
          <w:sz w:val="21"/>
        </w:rPr>
        <w:t>terms </w:t>
      </w:r>
      <w:r>
        <w:rPr>
          <w:w w:val="105"/>
          <w:sz w:val="21"/>
        </w:rPr>
        <w:t>of </w:t>
      </w:r>
      <w:r>
        <w:rPr>
          <w:spacing w:val="-3"/>
          <w:w w:val="105"/>
          <w:sz w:val="21"/>
        </w:rPr>
        <w:t>reference </w:t>
      </w:r>
      <w:r>
        <w:rPr>
          <w:w w:val="105"/>
          <w:sz w:val="21"/>
        </w:rPr>
        <w:t>direct it, in undertaking the </w:t>
      </w:r>
      <w:r>
        <w:rPr>
          <w:spacing w:val="-4"/>
          <w:w w:val="105"/>
          <w:sz w:val="21"/>
        </w:rPr>
        <w:t>reference, </w:t>
      </w:r>
      <w:r>
        <w:rPr>
          <w:spacing w:val="-3"/>
          <w:w w:val="105"/>
          <w:sz w:val="21"/>
        </w:rPr>
        <w:t>to have regard to relevant recommendations </w:t>
      </w:r>
      <w:r>
        <w:rPr>
          <w:w w:val="105"/>
          <w:sz w:val="21"/>
        </w:rPr>
        <w:t>made by the </w:t>
      </w:r>
      <w:r>
        <w:rPr>
          <w:spacing w:val="-3"/>
          <w:w w:val="105"/>
          <w:sz w:val="21"/>
        </w:rPr>
        <w:t>National Committee. </w:t>
      </w:r>
      <w:r>
        <w:rPr>
          <w:w w:val="105"/>
          <w:sz w:val="21"/>
        </w:rPr>
        <w:t>The </w:t>
      </w:r>
      <w:r>
        <w:rPr>
          <w:spacing w:val="-3"/>
          <w:w w:val="105"/>
          <w:sz w:val="21"/>
        </w:rPr>
        <w:t>terms </w:t>
      </w:r>
      <w:r>
        <w:rPr>
          <w:w w:val="105"/>
          <w:sz w:val="21"/>
        </w:rPr>
        <w:t>of </w:t>
      </w:r>
      <w:r>
        <w:rPr>
          <w:spacing w:val="-3"/>
          <w:w w:val="105"/>
          <w:sz w:val="21"/>
        </w:rPr>
        <w:t>reference</w:t>
      </w:r>
      <w:r>
        <w:rPr>
          <w:spacing w:val="-12"/>
          <w:w w:val="105"/>
          <w:sz w:val="21"/>
        </w:rPr>
        <w:t> </w:t>
      </w:r>
      <w:r>
        <w:rPr>
          <w:w w:val="105"/>
          <w:sz w:val="21"/>
        </w:rPr>
        <w:t>also</w:t>
      </w:r>
      <w:r>
        <w:rPr>
          <w:spacing w:val="-12"/>
          <w:w w:val="105"/>
          <w:sz w:val="21"/>
        </w:rPr>
        <w:t> </w:t>
      </w:r>
      <w:r>
        <w:rPr>
          <w:spacing w:val="-3"/>
          <w:w w:val="105"/>
          <w:sz w:val="21"/>
        </w:rPr>
        <w:t>note</w:t>
      </w:r>
      <w:r>
        <w:rPr>
          <w:spacing w:val="-12"/>
          <w:w w:val="105"/>
          <w:sz w:val="21"/>
        </w:rPr>
        <w:t> </w:t>
      </w:r>
      <w:r>
        <w:rPr>
          <w:spacing w:val="-3"/>
          <w:w w:val="105"/>
          <w:sz w:val="21"/>
        </w:rPr>
        <w:t>that</w:t>
      </w:r>
      <w:r>
        <w:rPr>
          <w:spacing w:val="-13"/>
          <w:w w:val="105"/>
          <w:sz w:val="21"/>
        </w:rPr>
        <w:t> </w:t>
      </w:r>
      <w:r>
        <w:rPr>
          <w:w w:val="105"/>
          <w:sz w:val="21"/>
        </w:rPr>
        <w:t>state</w:t>
      </w:r>
      <w:r>
        <w:rPr>
          <w:spacing w:val="-12"/>
          <w:w w:val="105"/>
          <w:sz w:val="21"/>
        </w:rPr>
        <w:t> </w:t>
      </w:r>
      <w:r>
        <w:rPr>
          <w:w w:val="105"/>
          <w:sz w:val="21"/>
        </w:rPr>
        <w:t>and</w:t>
      </w:r>
      <w:r>
        <w:rPr>
          <w:spacing w:val="-12"/>
          <w:w w:val="105"/>
          <w:sz w:val="21"/>
        </w:rPr>
        <w:t> </w:t>
      </w:r>
      <w:r>
        <w:rPr>
          <w:w w:val="105"/>
          <w:sz w:val="21"/>
        </w:rPr>
        <w:t>territory</w:t>
      </w:r>
      <w:r>
        <w:rPr>
          <w:spacing w:val="-12"/>
          <w:w w:val="105"/>
          <w:sz w:val="21"/>
        </w:rPr>
        <w:t> </w:t>
      </w:r>
      <w:r>
        <w:rPr>
          <w:w w:val="105"/>
          <w:sz w:val="21"/>
        </w:rPr>
        <w:t>ministers</w:t>
      </w:r>
      <w:r>
        <w:rPr>
          <w:spacing w:val="-12"/>
          <w:w w:val="105"/>
          <w:sz w:val="21"/>
        </w:rPr>
        <w:t> </w:t>
      </w:r>
      <w:r>
        <w:rPr>
          <w:spacing w:val="-3"/>
          <w:w w:val="105"/>
          <w:sz w:val="21"/>
        </w:rPr>
        <w:t>have</w:t>
      </w:r>
      <w:r>
        <w:rPr>
          <w:spacing w:val="-12"/>
          <w:w w:val="105"/>
          <w:sz w:val="21"/>
        </w:rPr>
        <w:t> </w:t>
      </w:r>
      <w:r>
        <w:rPr>
          <w:w w:val="105"/>
          <w:sz w:val="21"/>
        </w:rPr>
        <w:t>agreed</w:t>
      </w:r>
      <w:r>
        <w:rPr>
          <w:spacing w:val="-12"/>
          <w:w w:val="105"/>
          <w:sz w:val="21"/>
        </w:rPr>
        <w:t> </w:t>
      </w:r>
      <w:r>
        <w:rPr>
          <w:spacing w:val="-3"/>
          <w:w w:val="105"/>
          <w:sz w:val="21"/>
        </w:rPr>
        <w:t>to</w:t>
      </w:r>
      <w:r>
        <w:rPr>
          <w:spacing w:val="-12"/>
          <w:w w:val="105"/>
          <w:sz w:val="21"/>
        </w:rPr>
        <w:t> </w:t>
      </w:r>
      <w:r>
        <w:rPr>
          <w:w w:val="105"/>
          <w:sz w:val="21"/>
        </w:rPr>
        <w:t>adopt</w:t>
      </w:r>
      <w:r>
        <w:rPr>
          <w:spacing w:val="-12"/>
          <w:w w:val="105"/>
          <w:sz w:val="21"/>
        </w:rPr>
        <w:t> </w:t>
      </w:r>
      <w:r>
        <w:rPr>
          <w:w w:val="105"/>
          <w:sz w:val="21"/>
        </w:rPr>
        <w:t>the</w:t>
      </w:r>
      <w:r>
        <w:rPr>
          <w:spacing w:val="-12"/>
          <w:w w:val="105"/>
          <w:sz w:val="21"/>
        </w:rPr>
        <w:t> </w:t>
      </w:r>
      <w:r>
        <w:rPr>
          <w:spacing w:val="-3"/>
          <w:w w:val="105"/>
          <w:sz w:val="21"/>
        </w:rPr>
        <w:t>National </w:t>
      </w:r>
      <w:r>
        <w:rPr>
          <w:spacing w:val="-4"/>
          <w:w w:val="105"/>
          <w:sz w:val="21"/>
        </w:rPr>
        <w:t>Committee’s recommendations,</w:t>
      </w:r>
      <w:r>
        <w:rPr>
          <w:spacing w:val="-4"/>
          <w:w w:val="105"/>
          <w:position w:val="7"/>
          <w:sz w:val="12"/>
        </w:rPr>
        <w:t>12 </w:t>
      </w:r>
      <w:r>
        <w:rPr>
          <w:w w:val="105"/>
          <w:sz w:val="21"/>
        </w:rPr>
        <w:t>with the </w:t>
      </w:r>
      <w:r>
        <w:rPr>
          <w:spacing w:val="-3"/>
          <w:w w:val="105"/>
          <w:sz w:val="21"/>
        </w:rPr>
        <w:t>aim </w:t>
      </w:r>
      <w:r>
        <w:rPr>
          <w:w w:val="105"/>
          <w:sz w:val="21"/>
        </w:rPr>
        <w:t>of </w:t>
      </w:r>
      <w:r>
        <w:rPr>
          <w:spacing w:val="-3"/>
          <w:w w:val="105"/>
          <w:sz w:val="21"/>
        </w:rPr>
        <w:t>maximising national</w:t>
      </w:r>
      <w:r>
        <w:rPr>
          <w:spacing w:val="29"/>
          <w:w w:val="105"/>
          <w:sz w:val="21"/>
        </w:rPr>
        <w:t> </w:t>
      </w:r>
      <w:r>
        <w:rPr>
          <w:spacing w:val="-3"/>
          <w:w w:val="105"/>
          <w:sz w:val="21"/>
        </w:rPr>
        <w:t>consistency.</w:t>
      </w:r>
    </w:p>
    <w:p>
      <w:pPr>
        <w:pStyle w:val="ListParagraph"/>
        <w:numPr>
          <w:ilvl w:val="1"/>
          <w:numId w:val="22"/>
        </w:numPr>
        <w:tabs>
          <w:tab w:pos="2380" w:val="left" w:leader="none"/>
          <w:tab w:pos="2381" w:val="left" w:leader="none"/>
        </w:tabs>
        <w:spacing w:line="240" w:lineRule="auto" w:before="124" w:after="0"/>
        <w:ind w:left="2381" w:right="0" w:hanging="794"/>
        <w:jc w:val="left"/>
        <w:rPr>
          <w:sz w:val="21"/>
        </w:rPr>
      </w:pPr>
      <w:r>
        <w:rPr>
          <w:spacing w:val="-4"/>
          <w:sz w:val="21"/>
        </w:rPr>
        <w:t>Accordingly,</w:t>
      </w:r>
      <w:r>
        <w:rPr>
          <w:spacing w:val="12"/>
          <w:sz w:val="21"/>
        </w:rPr>
        <w:t> </w:t>
      </w:r>
      <w:r>
        <w:rPr>
          <w:sz w:val="21"/>
        </w:rPr>
        <w:t>the</w:t>
      </w:r>
      <w:r>
        <w:rPr>
          <w:spacing w:val="13"/>
          <w:sz w:val="21"/>
        </w:rPr>
        <w:t> </w:t>
      </w:r>
      <w:r>
        <w:rPr>
          <w:spacing w:val="-3"/>
          <w:sz w:val="21"/>
        </w:rPr>
        <w:t>Commission</w:t>
      </w:r>
      <w:r>
        <w:rPr>
          <w:spacing w:val="13"/>
          <w:sz w:val="21"/>
        </w:rPr>
        <w:t> </w:t>
      </w:r>
      <w:r>
        <w:rPr>
          <w:spacing w:val="-3"/>
          <w:sz w:val="21"/>
        </w:rPr>
        <w:t>takes</w:t>
      </w:r>
      <w:r>
        <w:rPr>
          <w:spacing w:val="13"/>
          <w:sz w:val="21"/>
        </w:rPr>
        <w:t> </w:t>
      </w:r>
      <w:r>
        <w:rPr>
          <w:sz w:val="21"/>
        </w:rPr>
        <w:t>the</w:t>
      </w:r>
      <w:r>
        <w:rPr>
          <w:spacing w:val="13"/>
          <w:sz w:val="21"/>
        </w:rPr>
        <w:t> </w:t>
      </w:r>
      <w:r>
        <w:rPr>
          <w:sz w:val="21"/>
        </w:rPr>
        <w:t>view</w:t>
      </w:r>
      <w:r>
        <w:rPr>
          <w:spacing w:val="13"/>
          <w:sz w:val="21"/>
        </w:rPr>
        <w:t> </w:t>
      </w:r>
      <w:r>
        <w:rPr>
          <w:spacing w:val="-3"/>
          <w:sz w:val="21"/>
        </w:rPr>
        <w:t>that,</w:t>
      </w:r>
      <w:r>
        <w:rPr>
          <w:spacing w:val="13"/>
          <w:sz w:val="21"/>
        </w:rPr>
        <w:t> </w:t>
      </w:r>
      <w:r>
        <w:rPr>
          <w:sz w:val="21"/>
        </w:rPr>
        <w:t>unless</w:t>
      </w:r>
      <w:r>
        <w:rPr>
          <w:spacing w:val="13"/>
          <w:sz w:val="21"/>
        </w:rPr>
        <w:t> </w:t>
      </w:r>
      <w:r>
        <w:rPr>
          <w:sz w:val="21"/>
        </w:rPr>
        <w:t>there</w:t>
      </w:r>
      <w:r>
        <w:rPr>
          <w:spacing w:val="13"/>
          <w:sz w:val="21"/>
        </w:rPr>
        <w:t> </w:t>
      </w:r>
      <w:r>
        <w:rPr>
          <w:spacing w:val="-3"/>
          <w:sz w:val="21"/>
        </w:rPr>
        <w:t>are</w:t>
      </w:r>
      <w:r>
        <w:rPr>
          <w:spacing w:val="13"/>
          <w:sz w:val="21"/>
        </w:rPr>
        <w:t> </w:t>
      </w:r>
      <w:r>
        <w:rPr>
          <w:spacing w:val="-3"/>
          <w:sz w:val="21"/>
        </w:rPr>
        <w:t>compelling</w:t>
      </w:r>
      <w:r>
        <w:rPr>
          <w:spacing w:val="13"/>
          <w:sz w:val="21"/>
        </w:rPr>
        <w:t> </w:t>
      </w:r>
      <w:r>
        <w:rPr>
          <w:spacing w:val="-3"/>
          <w:sz w:val="21"/>
        </w:rPr>
        <w:t>reasons</w:t>
      </w:r>
    </w:p>
    <w:p>
      <w:pPr>
        <w:pStyle w:val="BodyText"/>
        <w:spacing w:line="242" w:lineRule="auto" w:before="4"/>
        <w:ind w:left="2380" w:right="1619"/>
      </w:pPr>
      <w:r>
        <w:rPr>
          <w:spacing w:val="-3"/>
          <w:w w:val="105"/>
        </w:rPr>
        <w:t>to </w:t>
      </w:r>
      <w:r>
        <w:rPr>
          <w:w w:val="105"/>
        </w:rPr>
        <w:t>depart </w:t>
      </w:r>
      <w:r>
        <w:rPr>
          <w:spacing w:val="-3"/>
          <w:w w:val="105"/>
        </w:rPr>
        <w:t>from </w:t>
      </w:r>
      <w:r>
        <w:rPr>
          <w:w w:val="105"/>
        </w:rPr>
        <w:t>the </w:t>
      </w:r>
      <w:r>
        <w:rPr>
          <w:spacing w:val="-3"/>
          <w:w w:val="105"/>
        </w:rPr>
        <w:t>recommendations </w:t>
      </w:r>
      <w:r>
        <w:rPr>
          <w:w w:val="105"/>
        </w:rPr>
        <w:t>of the </w:t>
      </w:r>
      <w:r>
        <w:rPr>
          <w:spacing w:val="-3"/>
          <w:w w:val="105"/>
        </w:rPr>
        <w:t>National Committee, </w:t>
      </w:r>
      <w:r>
        <w:rPr>
          <w:w w:val="105"/>
        </w:rPr>
        <w:t>the </w:t>
      </w:r>
      <w:r>
        <w:rPr>
          <w:spacing w:val="-3"/>
          <w:w w:val="105"/>
        </w:rPr>
        <w:t>Commission </w:t>
      </w:r>
      <w:r>
        <w:rPr>
          <w:w w:val="105"/>
        </w:rPr>
        <w:t>should support them. New South </w:t>
      </w:r>
      <w:r>
        <w:rPr>
          <w:spacing w:val="-3"/>
          <w:w w:val="105"/>
        </w:rPr>
        <w:t>Wales </w:t>
      </w:r>
      <w:r>
        <w:rPr>
          <w:w w:val="105"/>
        </w:rPr>
        <w:t>and </w:t>
      </w:r>
      <w:r>
        <w:rPr>
          <w:spacing w:val="-5"/>
          <w:w w:val="105"/>
        </w:rPr>
        <w:t>Tasmania </w:t>
      </w:r>
      <w:r>
        <w:rPr>
          <w:spacing w:val="-3"/>
          <w:w w:val="105"/>
        </w:rPr>
        <w:t>have already implemented </w:t>
      </w:r>
      <w:r>
        <w:rPr>
          <w:w w:val="105"/>
        </w:rPr>
        <w:t>the </w:t>
      </w:r>
      <w:r>
        <w:rPr>
          <w:spacing w:val="-3"/>
          <w:w w:val="105"/>
        </w:rPr>
        <w:t>National </w:t>
      </w:r>
      <w:r>
        <w:rPr>
          <w:spacing w:val="-4"/>
          <w:w w:val="105"/>
        </w:rPr>
        <w:t>Committee’s </w:t>
      </w:r>
      <w:r>
        <w:rPr>
          <w:w w:val="105"/>
        </w:rPr>
        <w:t>intestacy </w:t>
      </w:r>
      <w:r>
        <w:rPr>
          <w:spacing w:val="-3"/>
          <w:w w:val="105"/>
        </w:rPr>
        <w:t>recommendations, </w:t>
      </w:r>
      <w:r>
        <w:rPr>
          <w:w w:val="105"/>
        </w:rPr>
        <w:t>so </w:t>
      </w:r>
      <w:r>
        <w:rPr>
          <w:spacing w:val="-3"/>
          <w:w w:val="105"/>
        </w:rPr>
        <w:t>national </w:t>
      </w:r>
      <w:r>
        <w:rPr>
          <w:w w:val="105"/>
        </w:rPr>
        <w:t>consistency would be </w:t>
      </w:r>
      <w:r>
        <w:rPr>
          <w:spacing w:val="-3"/>
          <w:w w:val="105"/>
        </w:rPr>
        <w:t>promoted</w:t>
      </w:r>
    </w:p>
    <w:p>
      <w:pPr>
        <w:pStyle w:val="BodyText"/>
        <w:spacing w:line="242" w:lineRule="auto" w:before="3"/>
        <w:ind w:left="2380" w:right="2142"/>
      </w:pPr>
      <w:r>
        <w:rPr/>
        <w:t>by </w:t>
      </w:r>
      <w:r>
        <w:rPr>
          <w:spacing w:val="-3"/>
        </w:rPr>
        <w:t>implementing </w:t>
      </w:r>
      <w:r>
        <w:rPr/>
        <w:t>the </w:t>
      </w:r>
      <w:r>
        <w:rPr>
          <w:spacing w:val="-3"/>
        </w:rPr>
        <w:t>National </w:t>
      </w:r>
      <w:r>
        <w:rPr>
          <w:spacing w:val="-4"/>
        </w:rPr>
        <w:t>Committee’s  </w:t>
      </w:r>
      <w:r>
        <w:rPr>
          <w:spacing w:val="-3"/>
        </w:rPr>
        <w:t>recommendations  </w:t>
      </w:r>
      <w:r>
        <w:rPr/>
        <w:t>in </w:t>
      </w:r>
      <w:r>
        <w:rPr>
          <w:spacing w:val="-3"/>
        </w:rPr>
        <w:t>relation</w:t>
      </w:r>
      <w:r>
        <w:rPr>
          <w:spacing w:val="41"/>
        </w:rPr>
        <w:t> </w:t>
      </w:r>
      <w:r>
        <w:rPr>
          <w:spacing w:val="-3"/>
        </w:rPr>
        <w:t>to  </w:t>
      </w:r>
      <w:r>
        <w:rPr/>
        <w:t>intestacy in</w:t>
      </w:r>
      <w:r>
        <w:rPr>
          <w:spacing w:val="8"/>
        </w:rPr>
        <w:t> </w:t>
      </w:r>
      <w:r>
        <w:rPr/>
        <w:t>Victoria.</w:t>
      </w:r>
    </w:p>
    <w:p>
      <w:pPr>
        <w:pStyle w:val="BodyText"/>
        <w:spacing w:before="11"/>
        <w:rPr>
          <w:sz w:val="24"/>
        </w:rPr>
      </w:pPr>
    </w:p>
    <w:p>
      <w:pPr>
        <w:pStyle w:val="Heading5"/>
      </w:pPr>
      <w:bookmarkStart w:name="_TOC_250062" w:id="48"/>
      <w:bookmarkEnd w:id="48"/>
      <w:r>
        <w:rPr>
          <w:w w:val="115"/>
        </w:rPr>
        <w:t>Areas in which the Commission recommends reform</w:t>
      </w:r>
    </w:p>
    <w:p>
      <w:pPr>
        <w:pStyle w:val="ListParagraph"/>
        <w:numPr>
          <w:ilvl w:val="1"/>
          <w:numId w:val="22"/>
        </w:numPr>
        <w:tabs>
          <w:tab w:pos="2381" w:val="left" w:leader="none"/>
          <w:tab w:pos="2382" w:val="left" w:leader="none"/>
        </w:tabs>
        <w:spacing w:line="242" w:lineRule="auto" w:before="137" w:after="0"/>
        <w:ind w:left="2381" w:right="1678" w:hanging="794"/>
        <w:jc w:val="left"/>
        <w:rPr>
          <w:sz w:val="21"/>
        </w:rPr>
      </w:pPr>
      <w:r>
        <w:rPr>
          <w:w w:val="105"/>
          <w:sz w:val="21"/>
        </w:rPr>
        <w:t>There</w:t>
      </w:r>
      <w:r>
        <w:rPr>
          <w:spacing w:val="-10"/>
          <w:w w:val="105"/>
          <w:sz w:val="21"/>
        </w:rPr>
        <w:t> </w:t>
      </w:r>
      <w:r>
        <w:rPr>
          <w:spacing w:val="-3"/>
          <w:w w:val="105"/>
          <w:sz w:val="21"/>
        </w:rPr>
        <w:t>are</w:t>
      </w:r>
      <w:r>
        <w:rPr>
          <w:spacing w:val="-9"/>
          <w:w w:val="105"/>
          <w:sz w:val="21"/>
        </w:rPr>
        <w:t> </w:t>
      </w:r>
      <w:r>
        <w:rPr>
          <w:spacing w:val="-3"/>
          <w:w w:val="105"/>
          <w:sz w:val="21"/>
        </w:rPr>
        <w:t>many</w:t>
      </w:r>
      <w:r>
        <w:rPr>
          <w:spacing w:val="-9"/>
          <w:w w:val="105"/>
          <w:sz w:val="21"/>
        </w:rPr>
        <w:t> </w:t>
      </w:r>
      <w:r>
        <w:rPr>
          <w:w w:val="105"/>
          <w:sz w:val="21"/>
        </w:rPr>
        <w:t>aspects</w:t>
      </w:r>
      <w:r>
        <w:rPr>
          <w:spacing w:val="-9"/>
          <w:w w:val="105"/>
          <w:sz w:val="21"/>
        </w:rPr>
        <w:t> </w:t>
      </w:r>
      <w:r>
        <w:rPr>
          <w:w w:val="105"/>
          <w:sz w:val="21"/>
        </w:rPr>
        <w:t>of</w:t>
      </w:r>
      <w:r>
        <w:rPr>
          <w:spacing w:val="-9"/>
          <w:w w:val="105"/>
          <w:sz w:val="21"/>
        </w:rPr>
        <w:t> </w:t>
      </w:r>
      <w:r>
        <w:rPr>
          <w:spacing w:val="-3"/>
          <w:w w:val="105"/>
          <w:sz w:val="21"/>
        </w:rPr>
        <w:t>Victoria’s</w:t>
      </w:r>
      <w:r>
        <w:rPr>
          <w:spacing w:val="-9"/>
          <w:w w:val="105"/>
          <w:sz w:val="21"/>
        </w:rPr>
        <w:t> </w:t>
      </w:r>
      <w:r>
        <w:rPr>
          <w:w w:val="105"/>
          <w:sz w:val="21"/>
        </w:rPr>
        <w:t>intestacy</w:t>
      </w:r>
      <w:r>
        <w:rPr>
          <w:spacing w:val="-9"/>
          <w:w w:val="105"/>
          <w:sz w:val="21"/>
        </w:rPr>
        <w:t> </w:t>
      </w:r>
      <w:r>
        <w:rPr>
          <w:w w:val="105"/>
          <w:sz w:val="21"/>
        </w:rPr>
        <w:t>scheme</w:t>
      </w:r>
      <w:r>
        <w:rPr>
          <w:spacing w:val="-9"/>
          <w:w w:val="105"/>
          <w:sz w:val="21"/>
        </w:rPr>
        <w:t> </w:t>
      </w:r>
      <w:r>
        <w:rPr>
          <w:spacing w:val="-3"/>
          <w:w w:val="105"/>
          <w:sz w:val="21"/>
        </w:rPr>
        <w:t>that</w:t>
      </w:r>
      <w:r>
        <w:rPr>
          <w:spacing w:val="-9"/>
          <w:w w:val="105"/>
          <w:sz w:val="21"/>
        </w:rPr>
        <w:t> </w:t>
      </w:r>
      <w:r>
        <w:rPr>
          <w:w w:val="105"/>
          <w:sz w:val="21"/>
        </w:rPr>
        <w:t>would</w:t>
      </w:r>
      <w:r>
        <w:rPr>
          <w:spacing w:val="-9"/>
          <w:w w:val="105"/>
          <w:sz w:val="21"/>
        </w:rPr>
        <w:t> </w:t>
      </w:r>
      <w:r>
        <w:rPr>
          <w:spacing w:val="-3"/>
          <w:w w:val="105"/>
          <w:sz w:val="21"/>
        </w:rPr>
        <w:t>remain</w:t>
      </w:r>
      <w:r>
        <w:rPr>
          <w:spacing w:val="-9"/>
          <w:w w:val="105"/>
          <w:sz w:val="21"/>
        </w:rPr>
        <w:t> </w:t>
      </w:r>
      <w:r>
        <w:rPr>
          <w:w w:val="105"/>
          <w:sz w:val="21"/>
        </w:rPr>
        <w:t>the</w:t>
      </w:r>
      <w:r>
        <w:rPr>
          <w:spacing w:val="-9"/>
          <w:w w:val="105"/>
          <w:sz w:val="21"/>
        </w:rPr>
        <w:t> </w:t>
      </w:r>
      <w:r>
        <w:rPr>
          <w:w w:val="105"/>
          <w:sz w:val="21"/>
        </w:rPr>
        <w:t>same</w:t>
      </w:r>
      <w:r>
        <w:rPr>
          <w:spacing w:val="-9"/>
          <w:w w:val="105"/>
          <w:sz w:val="21"/>
        </w:rPr>
        <w:t> </w:t>
      </w:r>
      <w:r>
        <w:rPr>
          <w:w w:val="105"/>
          <w:sz w:val="21"/>
        </w:rPr>
        <w:t>under the </w:t>
      </w:r>
      <w:r>
        <w:rPr>
          <w:spacing w:val="-4"/>
          <w:w w:val="105"/>
          <w:sz w:val="21"/>
        </w:rPr>
        <w:t>Commission’s </w:t>
      </w:r>
      <w:r>
        <w:rPr>
          <w:spacing w:val="-3"/>
          <w:w w:val="105"/>
          <w:sz w:val="21"/>
        </w:rPr>
        <w:t>recommendations. </w:t>
      </w:r>
      <w:r>
        <w:rPr>
          <w:w w:val="105"/>
          <w:sz w:val="21"/>
        </w:rPr>
        <w:t>Intestacy law would </w:t>
      </w:r>
      <w:r>
        <w:rPr>
          <w:spacing w:val="-3"/>
          <w:w w:val="105"/>
          <w:sz w:val="21"/>
        </w:rPr>
        <w:t>continue to </w:t>
      </w:r>
      <w:r>
        <w:rPr>
          <w:w w:val="105"/>
          <w:sz w:val="21"/>
        </w:rPr>
        <w:t>operate in respect of</w:t>
      </w:r>
      <w:r>
        <w:rPr>
          <w:spacing w:val="-7"/>
          <w:w w:val="105"/>
          <w:sz w:val="21"/>
        </w:rPr>
        <w:t> </w:t>
      </w:r>
      <w:r>
        <w:rPr>
          <w:w w:val="105"/>
          <w:sz w:val="21"/>
        </w:rPr>
        <w:t>property</w:t>
      </w:r>
      <w:r>
        <w:rPr>
          <w:spacing w:val="-6"/>
          <w:w w:val="105"/>
          <w:sz w:val="21"/>
        </w:rPr>
        <w:t> </w:t>
      </w:r>
      <w:r>
        <w:rPr>
          <w:spacing w:val="-2"/>
          <w:w w:val="105"/>
          <w:sz w:val="21"/>
        </w:rPr>
        <w:t>not</w:t>
      </w:r>
      <w:r>
        <w:rPr>
          <w:spacing w:val="-7"/>
          <w:w w:val="105"/>
          <w:sz w:val="21"/>
        </w:rPr>
        <w:t> </w:t>
      </w:r>
      <w:r>
        <w:rPr>
          <w:w w:val="105"/>
          <w:sz w:val="21"/>
        </w:rPr>
        <w:t>effectively</w:t>
      </w:r>
      <w:r>
        <w:rPr>
          <w:spacing w:val="-6"/>
          <w:w w:val="105"/>
          <w:sz w:val="21"/>
        </w:rPr>
        <w:t> </w:t>
      </w:r>
      <w:r>
        <w:rPr>
          <w:w w:val="105"/>
          <w:sz w:val="21"/>
        </w:rPr>
        <w:t>disposed</w:t>
      </w:r>
      <w:r>
        <w:rPr>
          <w:spacing w:val="-7"/>
          <w:w w:val="105"/>
          <w:sz w:val="21"/>
        </w:rPr>
        <w:t> </w:t>
      </w:r>
      <w:r>
        <w:rPr>
          <w:w w:val="105"/>
          <w:sz w:val="21"/>
        </w:rPr>
        <w:t>of</w:t>
      </w:r>
      <w:r>
        <w:rPr>
          <w:spacing w:val="-6"/>
          <w:w w:val="105"/>
          <w:sz w:val="21"/>
        </w:rPr>
        <w:t> </w:t>
      </w:r>
      <w:r>
        <w:rPr>
          <w:w w:val="105"/>
          <w:sz w:val="21"/>
        </w:rPr>
        <w:t>by</w:t>
      </w:r>
      <w:r>
        <w:rPr>
          <w:spacing w:val="-6"/>
          <w:w w:val="105"/>
          <w:sz w:val="21"/>
        </w:rPr>
        <w:t> </w:t>
      </w:r>
      <w:r>
        <w:rPr>
          <w:w w:val="105"/>
          <w:sz w:val="21"/>
        </w:rPr>
        <w:t>will;</w:t>
      </w:r>
      <w:r>
        <w:rPr>
          <w:spacing w:val="-7"/>
          <w:w w:val="105"/>
          <w:sz w:val="21"/>
        </w:rPr>
        <w:t> </w:t>
      </w:r>
      <w:r>
        <w:rPr>
          <w:w w:val="105"/>
          <w:sz w:val="21"/>
        </w:rPr>
        <w:t>a</w:t>
      </w:r>
      <w:r>
        <w:rPr>
          <w:spacing w:val="-6"/>
          <w:w w:val="105"/>
          <w:sz w:val="21"/>
        </w:rPr>
        <w:t> </w:t>
      </w:r>
      <w:r>
        <w:rPr>
          <w:spacing w:val="-3"/>
          <w:w w:val="105"/>
          <w:sz w:val="21"/>
        </w:rPr>
        <w:t>hierarchy</w:t>
      </w:r>
      <w:r>
        <w:rPr>
          <w:spacing w:val="-7"/>
          <w:w w:val="105"/>
          <w:sz w:val="21"/>
        </w:rPr>
        <w:t> </w:t>
      </w:r>
      <w:r>
        <w:rPr>
          <w:w w:val="105"/>
          <w:sz w:val="21"/>
        </w:rPr>
        <w:t>of</w:t>
      </w:r>
      <w:r>
        <w:rPr>
          <w:spacing w:val="-6"/>
          <w:w w:val="105"/>
          <w:sz w:val="21"/>
        </w:rPr>
        <w:t> </w:t>
      </w:r>
      <w:r>
        <w:rPr>
          <w:w w:val="105"/>
          <w:sz w:val="21"/>
        </w:rPr>
        <w:t>next</w:t>
      </w:r>
      <w:r>
        <w:rPr>
          <w:spacing w:val="-7"/>
          <w:w w:val="105"/>
          <w:sz w:val="21"/>
        </w:rPr>
        <w:t> </w:t>
      </w:r>
      <w:r>
        <w:rPr>
          <w:w w:val="105"/>
          <w:sz w:val="21"/>
        </w:rPr>
        <w:t>of</w:t>
      </w:r>
      <w:r>
        <w:rPr>
          <w:spacing w:val="-6"/>
          <w:w w:val="105"/>
          <w:sz w:val="21"/>
        </w:rPr>
        <w:t> </w:t>
      </w:r>
      <w:r>
        <w:rPr>
          <w:spacing w:val="-2"/>
          <w:w w:val="105"/>
          <w:sz w:val="21"/>
        </w:rPr>
        <w:t>kin</w:t>
      </w:r>
      <w:r>
        <w:rPr>
          <w:spacing w:val="-6"/>
          <w:w w:val="105"/>
          <w:sz w:val="21"/>
        </w:rPr>
        <w:t> </w:t>
      </w:r>
      <w:r>
        <w:rPr>
          <w:w w:val="105"/>
          <w:sz w:val="21"/>
        </w:rPr>
        <w:t>who</w:t>
      </w:r>
      <w:r>
        <w:rPr>
          <w:spacing w:val="-7"/>
          <w:w w:val="105"/>
          <w:sz w:val="21"/>
        </w:rPr>
        <w:t> </w:t>
      </w:r>
      <w:r>
        <w:rPr>
          <w:spacing w:val="-3"/>
          <w:w w:val="105"/>
          <w:sz w:val="21"/>
        </w:rPr>
        <w:t>are</w:t>
      </w:r>
      <w:r>
        <w:rPr>
          <w:spacing w:val="-6"/>
          <w:w w:val="105"/>
          <w:sz w:val="21"/>
        </w:rPr>
        <w:t> </w:t>
      </w:r>
      <w:r>
        <w:rPr>
          <w:w w:val="105"/>
          <w:sz w:val="21"/>
        </w:rPr>
        <w:t>entitled </w:t>
      </w:r>
      <w:r>
        <w:rPr>
          <w:spacing w:val="-3"/>
          <w:w w:val="105"/>
          <w:sz w:val="21"/>
        </w:rPr>
        <w:t>to</w:t>
      </w:r>
      <w:r>
        <w:rPr>
          <w:spacing w:val="-5"/>
          <w:w w:val="105"/>
          <w:sz w:val="21"/>
        </w:rPr>
        <w:t> </w:t>
      </w:r>
      <w:r>
        <w:rPr>
          <w:spacing w:val="-3"/>
          <w:w w:val="105"/>
          <w:sz w:val="21"/>
        </w:rPr>
        <w:t>inherit</w:t>
      </w:r>
      <w:r>
        <w:rPr>
          <w:spacing w:val="-4"/>
          <w:w w:val="105"/>
          <w:sz w:val="21"/>
        </w:rPr>
        <w:t> </w:t>
      </w:r>
      <w:r>
        <w:rPr>
          <w:w w:val="105"/>
          <w:sz w:val="21"/>
        </w:rPr>
        <w:t>on</w:t>
      </w:r>
      <w:r>
        <w:rPr>
          <w:spacing w:val="-5"/>
          <w:w w:val="105"/>
          <w:sz w:val="21"/>
        </w:rPr>
        <w:t> </w:t>
      </w:r>
      <w:r>
        <w:rPr>
          <w:w w:val="105"/>
          <w:sz w:val="21"/>
        </w:rPr>
        <w:t>intestacy</w:t>
      </w:r>
      <w:r>
        <w:rPr>
          <w:spacing w:val="-4"/>
          <w:w w:val="105"/>
          <w:sz w:val="21"/>
        </w:rPr>
        <w:t> </w:t>
      </w:r>
      <w:r>
        <w:rPr>
          <w:w w:val="105"/>
          <w:sz w:val="21"/>
        </w:rPr>
        <w:t>would</w:t>
      </w:r>
      <w:r>
        <w:rPr>
          <w:spacing w:val="-5"/>
          <w:w w:val="105"/>
          <w:sz w:val="21"/>
        </w:rPr>
        <w:t> </w:t>
      </w:r>
      <w:r>
        <w:rPr>
          <w:w w:val="105"/>
          <w:sz w:val="21"/>
        </w:rPr>
        <w:t>still</w:t>
      </w:r>
      <w:r>
        <w:rPr>
          <w:spacing w:val="-4"/>
          <w:w w:val="105"/>
          <w:sz w:val="21"/>
        </w:rPr>
        <w:t> </w:t>
      </w:r>
      <w:r>
        <w:rPr>
          <w:w w:val="105"/>
          <w:sz w:val="21"/>
        </w:rPr>
        <w:t>exist;</w:t>
      </w:r>
      <w:r>
        <w:rPr>
          <w:spacing w:val="-5"/>
          <w:w w:val="105"/>
          <w:sz w:val="21"/>
        </w:rPr>
        <w:t> </w:t>
      </w:r>
      <w:r>
        <w:rPr>
          <w:w w:val="105"/>
          <w:sz w:val="21"/>
        </w:rPr>
        <w:t>and</w:t>
      </w:r>
      <w:r>
        <w:rPr>
          <w:spacing w:val="-4"/>
          <w:w w:val="105"/>
          <w:sz w:val="21"/>
        </w:rPr>
        <w:t> </w:t>
      </w:r>
      <w:r>
        <w:rPr>
          <w:w w:val="105"/>
          <w:sz w:val="21"/>
        </w:rPr>
        <w:t>there</w:t>
      </w:r>
      <w:r>
        <w:rPr>
          <w:spacing w:val="-5"/>
          <w:w w:val="105"/>
          <w:sz w:val="21"/>
        </w:rPr>
        <w:t> </w:t>
      </w:r>
      <w:r>
        <w:rPr>
          <w:w w:val="105"/>
          <w:sz w:val="21"/>
        </w:rPr>
        <w:t>would</w:t>
      </w:r>
      <w:r>
        <w:rPr>
          <w:spacing w:val="-4"/>
          <w:w w:val="105"/>
          <w:sz w:val="21"/>
        </w:rPr>
        <w:t> </w:t>
      </w:r>
      <w:r>
        <w:rPr>
          <w:w w:val="105"/>
          <w:sz w:val="21"/>
        </w:rPr>
        <w:t>be</w:t>
      </w:r>
      <w:r>
        <w:rPr>
          <w:spacing w:val="-4"/>
          <w:w w:val="105"/>
          <w:sz w:val="21"/>
        </w:rPr>
        <w:t> </w:t>
      </w:r>
      <w:r>
        <w:rPr>
          <w:w w:val="105"/>
          <w:sz w:val="21"/>
        </w:rPr>
        <w:t>no</w:t>
      </w:r>
      <w:r>
        <w:rPr>
          <w:spacing w:val="-5"/>
          <w:w w:val="105"/>
          <w:sz w:val="21"/>
        </w:rPr>
        <w:t> </w:t>
      </w:r>
      <w:r>
        <w:rPr>
          <w:spacing w:val="-3"/>
          <w:w w:val="105"/>
          <w:sz w:val="21"/>
        </w:rPr>
        <w:t>change</w:t>
      </w:r>
      <w:r>
        <w:rPr>
          <w:spacing w:val="-4"/>
          <w:w w:val="105"/>
          <w:sz w:val="21"/>
        </w:rPr>
        <w:t> </w:t>
      </w:r>
      <w:r>
        <w:rPr>
          <w:spacing w:val="-3"/>
          <w:w w:val="105"/>
          <w:sz w:val="21"/>
        </w:rPr>
        <w:t>to</w:t>
      </w:r>
      <w:r>
        <w:rPr>
          <w:spacing w:val="-5"/>
          <w:w w:val="105"/>
          <w:sz w:val="21"/>
        </w:rPr>
        <w:t> </w:t>
      </w:r>
      <w:r>
        <w:rPr>
          <w:w w:val="105"/>
          <w:sz w:val="21"/>
        </w:rPr>
        <w:t>the</w:t>
      </w:r>
      <w:r>
        <w:rPr>
          <w:spacing w:val="-4"/>
          <w:w w:val="105"/>
          <w:sz w:val="21"/>
        </w:rPr>
        <w:t> </w:t>
      </w:r>
      <w:r>
        <w:rPr>
          <w:w w:val="105"/>
          <w:sz w:val="21"/>
        </w:rPr>
        <w:t>structure</w:t>
      </w:r>
    </w:p>
    <w:p>
      <w:pPr>
        <w:pStyle w:val="BodyText"/>
        <w:spacing w:line="242" w:lineRule="auto" w:before="5"/>
        <w:ind w:left="2381" w:right="1826"/>
      </w:pPr>
      <w:r>
        <w:rPr/>
        <w:t>of this </w:t>
      </w:r>
      <w:r>
        <w:rPr>
          <w:spacing w:val="-4"/>
        </w:rPr>
        <w:t>hierarchy. </w:t>
      </w:r>
      <w:r>
        <w:rPr/>
        <w:t>Intestate estates would still belong </w:t>
      </w:r>
      <w:r>
        <w:rPr>
          <w:spacing w:val="-3"/>
        </w:rPr>
        <w:t>to </w:t>
      </w:r>
      <w:r>
        <w:rPr/>
        <w:t>the </w:t>
      </w:r>
      <w:r>
        <w:rPr>
          <w:spacing w:val="-3"/>
        </w:rPr>
        <w:t>State </w:t>
      </w:r>
      <w:r>
        <w:rPr/>
        <w:t>of Victoria when the deceased person does </w:t>
      </w:r>
      <w:r>
        <w:rPr>
          <w:spacing w:val="-2"/>
        </w:rPr>
        <w:t>not </w:t>
      </w:r>
      <w:r>
        <w:rPr>
          <w:spacing w:val="-3"/>
        </w:rPr>
        <w:t>have </w:t>
      </w:r>
      <w:r>
        <w:rPr/>
        <w:t>next of </w:t>
      </w:r>
      <w:r>
        <w:rPr>
          <w:spacing w:val="-2"/>
        </w:rPr>
        <w:t>kin </w:t>
      </w:r>
      <w:r>
        <w:rPr/>
        <w:t>who </w:t>
      </w:r>
      <w:r>
        <w:rPr>
          <w:spacing w:val="-3"/>
        </w:rPr>
        <w:t>are </w:t>
      </w:r>
      <w:r>
        <w:rPr/>
        <w:t>entitled </w:t>
      </w:r>
      <w:r>
        <w:rPr>
          <w:spacing w:val="-3"/>
        </w:rPr>
        <w:t>to inherit </w:t>
      </w:r>
      <w:r>
        <w:rPr/>
        <w:t>on </w:t>
      </w:r>
      <w:r>
        <w:rPr>
          <w:spacing w:val="-3"/>
        </w:rPr>
        <w:t>intestacy. </w:t>
      </w:r>
      <w:r>
        <w:rPr/>
        <w:t>These </w:t>
      </w:r>
      <w:r>
        <w:rPr>
          <w:spacing w:val="-3"/>
        </w:rPr>
        <w:t>features </w:t>
      </w:r>
      <w:r>
        <w:rPr/>
        <w:t>of </w:t>
      </w:r>
      <w:r>
        <w:rPr>
          <w:spacing w:val="-3"/>
        </w:rPr>
        <w:t>Victoria’s </w:t>
      </w:r>
      <w:r>
        <w:rPr/>
        <w:t>intestacy scheme </w:t>
      </w:r>
      <w:r>
        <w:rPr>
          <w:spacing w:val="-3"/>
        </w:rPr>
        <w:t>are already consistent  </w:t>
      </w:r>
      <w:r>
        <w:rPr/>
        <w:t>with other jurisdictions, and the </w:t>
      </w:r>
      <w:r>
        <w:rPr>
          <w:spacing w:val="-3"/>
        </w:rPr>
        <w:t>National Committee for Uniform Succession </w:t>
      </w:r>
      <w:r>
        <w:rPr/>
        <w:t>Laws did </w:t>
      </w:r>
      <w:r>
        <w:rPr>
          <w:spacing w:val="-2"/>
        </w:rPr>
        <w:t>not </w:t>
      </w:r>
      <w:r>
        <w:rPr>
          <w:spacing w:val="-3"/>
        </w:rPr>
        <w:t>recommend any change </w:t>
      </w:r>
      <w:r>
        <w:rPr/>
        <w:t>in </w:t>
      </w:r>
      <w:r>
        <w:rPr>
          <w:spacing w:val="-3"/>
        </w:rPr>
        <w:t>relation to</w:t>
      </w:r>
      <w:r>
        <w:rPr>
          <w:spacing w:val="19"/>
        </w:rPr>
        <w:t> </w:t>
      </w:r>
      <w:r>
        <w:rPr/>
        <w:t>them.</w:t>
      </w:r>
    </w:p>
    <w:p>
      <w:pPr>
        <w:pStyle w:val="ListParagraph"/>
        <w:numPr>
          <w:ilvl w:val="1"/>
          <w:numId w:val="22"/>
        </w:numPr>
        <w:tabs>
          <w:tab w:pos="2381" w:val="left" w:leader="none"/>
          <w:tab w:pos="2382" w:val="left" w:leader="none"/>
        </w:tabs>
        <w:spacing w:line="242" w:lineRule="auto" w:before="125" w:after="0"/>
        <w:ind w:left="2381" w:right="2486" w:hanging="794"/>
        <w:jc w:val="left"/>
        <w:rPr>
          <w:sz w:val="21"/>
        </w:rPr>
      </w:pPr>
      <w:r>
        <w:rPr>
          <w:w w:val="105"/>
          <w:sz w:val="21"/>
        </w:rPr>
        <w:t>While</w:t>
      </w:r>
      <w:r>
        <w:rPr>
          <w:spacing w:val="-8"/>
          <w:w w:val="105"/>
          <w:sz w:val="21"/>
        </w:rPr>
        <w:t> </w:t>
      </w:r>
      <w:r>
        <w:rPr>
          <w:w w:val="105"/>
          <w:sz w:val="21"/>
        </w:rPr>
        <w:t>the</w:t>
      </w:r>
      <w:r>
        <w:rPr>
          <w:spacing w:val="-8"/>
          <w:w w:val="105"/>
          <w:sz w:val="21"/>
        </w:rPr>
        <w:t> </w:t>
      </w:r>
      <w:r>
        <w:rPr>
          <w:w w:val="105"/>
          <w:sz w:val="21"/>
        </w:rPr>
        <w:t>basic</w:t>
      </w:r>
      <w:r>
        <w:rPr>
          <w:spacing w:val="-8"/>
          <w:w w:val="105"/>
          <w:sz w:val="21"/>
        </w:rPr>
        <w:t> </w:t>
      </w:r>
      <w:r>
        <w:rPr>
          <w:spacing w:val="-3"/>
          <w:w w:val="105"/>
          <w:sz w:val="21"/>
        </w:rPr>
        <w:t>framework</w:t>
      </w:r>
      <w:r>
        <w:rPr>
          <w:spacing w:val="-7"/>
          <w:w w:val="105"/>
          <w:sz w:val="21"/>
        </w:rPr>
        <w:t> </w:t>
      </w:r>
      <w:r>
        <w:rPr>
          <w:w w:val="105"/>
          <w:sz w:val="21"/>
        </w:rPr>
        <w:t>of</w:t>
      </w:r>
      <w:r>
        <w:rPr>
          <w:spacing w:val="-8"/>
          <w:w w:val="105"/>
          <w:sz w:val="21"/>
        </w:rPr>
        <w:t> </w:t>
      </w:r>
      <w:r>
        <w:rPr>
          <w:w w:val="105"/>
          <w:sz w:val="21"/>
        </w:rPr>
        <w:t>the</w:t>
      </w:r>
      <w:r>
        <w:rPr>
          <w:spacing w:val="-8"/>
          <w:w w:val="105"/>
          <w:sz w:val="21"/>
        </w:rPr>
        <w:t> </w:t>
      </w:r>
      <w:r>
        <w:rPr>
          <w:w w:val="105"/>
          <w:sz w:val="21"/>
        </w:rPr>
        <w:t>intestacy</w:t>
      </w:r>
      <w:r>
        <w:rPr>
          <w:spacing w:val="-7"/>
          <w:w w:val="105"/>
          <w:sz w:val="21"/>
        </w:rPr>
        <w:t> </w:t>
      </w:r>
      <w:r>
        <w:rPr>
          <w:w w:val="105"/>
          <w:sz w:val="21"/>
        </w:rPr>
        <w:t>scheme</w:t>
      </w:r>
      <w:r>
        <w:rPr>
          <w:spacing w:val="-8"/>
          <w:w w:val="105"/>
          <w:sz w:val="21"/>
        </w:rPr>
        <w:t> </w:t>
      </w:r>
      <w:r>
        <w:rPr>
          <w:w w:val="105"/>
          <w:sz w:val="21"/>
        </w:rPr>
        <w:t>would</w:t>
      </w:r>
      <w:r>
        <w:rPr>
          <w:spacing w:val="-8"/>
          <w:w w:val="105"/>
          <w:sz w:val="21"/>
        </w:rPr>
        <w:t> </w:t>
      </w:r>
      <w:r>
        <w:rPr>
          <w:spacing w:val="-3"/>
          <w:w w:val="105"/>
          <w:sz w:val="21"/>
        </w:rPr>
        <w:t>remain</w:t>
      </w:r>
      <w:r>
        <w:rPr>
          <w:spacing w:val="-7"/>
          <w:w w:val="105"/>
          <w:sz w:val="21"/>
        </w:rPr>
        <w:t> </w:t>
      </w:r>
      <w:r>
        <w:rPr>
          <w:w w:val="105"/>
          <w:sz w:val="21"/>
        </w:rPr>
        <w:t>the</w:t>
      </w:r>
      <w:r>
        <w:rPr>
          <w:spacing w:val="-8"/>
          <w:w w:val="105"/>
          <w:sz w:val="21"/>
        </w:rPr>
        <w:t> </w:t>
      </w:r>
      <w:r>
        <w:rPr>
          <w:spacing w:val="-3"/>
          <w:w w:val="105"/>
          <w:sz w:val="21"/>
        </w:rPr>
        <w:t>same,</w:t>
      </w:r>
      <w:r>
        <w:rPr>
          <w:spacing w:val="-8"/>
          <w:w w:val="105"/>
          <w:sz w:val="21"/>
        </w:rPr>
        <w:t> </w:t>
      </w:r>
      <w:r>
        <w:rPr>
          <w:w w:val="105"/>
          <w:sz w:val="21"/>
        </w:rPr>
        <w:t>the </w:t>
      </w:r>
      <w:r>
        <w:rPr>
          <w:spacing w:val="-3"/>
          <w:w w:val="105"/>
          <w:sz w:val="21"/>
        </w:rPr>
        <w:t>Commission recommends changing </w:t>
      </w:r>
      <w:r>
        <w:rPr>
          <w:w w:val="105"/>
          <w:sz w:val="21"/>
        </w:rPr>
        <w:t>the law</w:t>
      </w:r>
      <w:r>
        <w:rPr>
          <w:spacing w:val="34"/>
          <w:w w:val="105"/>
          <w:sz w:val="21"/>
        </w:rPr>
        <w:t> </w:t>
      </w:r>
      <w:r>
        <w:rPr>
          <w:w w:val="105"/>
          <w:sz w:val="21"/>
        </w:rPr>
        <w:t>concerning:</w:t>
      </w:r>
    </w:p>
    <w:p>
      <w:pPr>
        <w:pStyle w:val="ListParagraph"/>
        <w:numPr>
          <w:ilvl w:val="2"/>
          <w:numId w:val="22"/>
        </w:numPr>
        <w:tabs>
          <w:tab w:pos="2721" w:val="left" w:leader="none"/>
          <w:tab w:pos="2722" w:val="left" w:leader="none"/>
        </w:tabs>
        <w:spacing w:line="240" w:lineRule="auto" w:before="122" w:after="0"/>
        <w:ind w:left="2721" w:right="0" w:hanging="340"/>
        <w:jc w:val="left"/>
        <w:rPr>
          <w:sz w:val="21"/>
        </w:rPr>
      </w:pPr>
      <w:r>
        <w:rPr>
          <w:w w:val="105"/>
          <w:sz w:val="21"/>
        </w:rPr>
        <w:t>the definition of next of</w:t>
      </w:r>
      <w:r>
        <w:rPr>
          <w:spacing w:val="26"/>
          <w:w w:val="105"/>
          <w:sz w:val="21"/>
        </w:rPr>
        <w:t> </w:t>
      </w:r>
      <w:r>
        <w:rPr>
          <w:spacing w:val="-2"/>
          <w:w w:val="105"/>
          <w:sz w:val="21"/>
        </w:rPr>
        <w:t>kin</w:t>
      </w:r>
    </w:p>
    <w:p>
      <w:pPr>
        <w:pStyle w:val="ListParagraph"/>
        <w:numPr>
          <w:ilvl w:val="2"/>
          <w:numId w:val="22"/>
        </w:numPr>
        <w:tabs>
          <w:tab w:pos="2721" w:val="left" w:leader="none"/>
          <w:tab w:pos="2722" w:val="left" w:leader="none"/>
        </w:tabs>
        <w:spacing w:line="240" w:lineRule="auto" w:before="124" w:after="0"/>
        <w:ind w:left="2721" w:right="0" w:hanging="340"/>
        <w:jc w:val="left"/>
        <w:rPr>
          <w:sz w:val="21"/>
        </w:rPr>
      </w:pPr>
      <w:r>
        <w:rPr>
          <w:sz w:val="21"/>
        </w:rPr>
        <w:t>survivorship</w:t>
      </w:r>
    </w:p>
    <w:p>
      <w:pPr>
        <w:pStyle w:val="ListParagraph"/>
        <w:numPr>
          <w:ilvl w:val="2"/>
          <w:numId w:val="22"/>
        </w:numPr>
        <w:tabs>
          <w:tab w:pos="2721" w:val="left" w:leader="none"/>
          <w:tab w:pos="2722" w:val="left" w:leader="none"/>
        </w:tabs>
        <w:spacing w:line="242" w:lineRule="auto" w:before="124" w:after="0"/>
        <w:ind w:left="2721" w:right="1953" w:hanging="340"/>
        <w:jc w:val="left"/>
        <w:rPr>
          <w:sz w:val="21"/>
        </w:rPr>
      </w:pPr>
      <w:r>
        <w:rPr>
          <w:sz w:val="21"/>
        </w:rPr>
        <w:t>the </w:t>
      </w:r>
      <w:r>
        <w:rPr>
          <w:spacing w:val="-3"/>
          <w:sz w:val="21"/>
        </w:rPr>
        <w:t>size </w:t>
      </w:r>
      <w:r>
        <w:rPr>
          <w:sz w:val="21"/>
        </w:rPr>
        <w:t>of the deceased </w:t>
      </w:r>
      <w:r>
        <w:rPr>
          <w:spacing w:val="-3"/>
          <w:sz w:val="21"/>
        </w:rPr>
        <w:t>person’s </w:t>
      </w:r>
      <w:r>
        <w:rPr>
          <w:sz w:val="21"/>
        </w:rPr>
        <w:t>partner’s </w:t>
      </w:r>
      <w:r>
        <w:rPr>
          <w:spacing w:val="-3"/>
          <w:sz w:val="21"/>
        </w:rPr>
        <w:t>share </w:t>
      </w:r>
      <w:r>
        <w:rPr>
          <w:sz w:val="21"/>
        </w:rPr>
        <w:t>and their </w:t>
      </w:r>
      <w:r>
        <w:rPr>
          <w:spacing w:val="-3"/>
          <w:sz w:val="21"/>
        </w:rPr>
        <w:t>right to </w:t>
      </w:r>
      <w:r>
        <w:rPr>
          <w:sz w:val="21"/>
        </w:rPr>
        <w:t>elect </w:t>
      </w:r>
      <w:r>
        <w:rPr>
          <w:spacing w:val="-3"/>
          <w:sz w:val="21"/>
        </w:rPr>
        <w:t>to acquire </w:t>
      </w:r>
      <w:r>
        <w:rPr>
          <w:sz w:val="21"/>
        </w:rPr>
        <w:t>certain estate</w:t>
      </w:r>
      <w:r>
        <w:rPr>
          <w:spacing w:val="16"/>
          <w:sz w:val="21"/>
        </w:rPr>
        <w:t> </w:t>
      </w:r>
      <w:r>
        <w:rPr>
          <w:sz w:val="21"/>
        </w:rPr>
        <w:t>property</w:t>
      </w:r>
    </w:p>
    <w:p>
      <w:pPr>
        <w:pStyle w:val="ListParagraph"/>
        <w:numPr>
          <w:ilvl w:val="2"/>
          <w:numId w:val="22"/>
        </w:numPr>
        <w:tabs>
          <w:tab w:pos="2721" w:val="left" w:leader="none"/>
          <w:tab w:pos="2722" w:val="left" w:leader="none"/>
        </w:tabs>
        <w:spacing w:line="240" w:lineRule="auto" w:before="122" w:after="0"/>
        <w:ind w:left="2721" w:right="0" w:hanging="340"/>
        <w:jc w:val="left"/>
        <w:rPr>
          <w:sz w:val="21"/>
        </w:rPr>
      </w:pPr>
      <w:r>
        <w:rPr>
          <w:sz w:val="21"/>
        </w:rPr>
        <w:t>the</w:t>
      </w:r>
      <w:r>
        <w:rPr>
          <w:spacing w:val="10"/>
          <w:sz w:val="21"/>
        </w:rPr>
        <w:t> </w:t>
      </w:r>
      <w:r>
        <w:rPr>
          <w:spacing w:val="-3"/>
          <w:sz w:val="21"/>
        </w:rPr>
        <w:t>circumstances</w:t>
      </w:r>
      <w:r>
        <w:rPr>
          <w:spacing w:val="11"/>
          <w:sz w:val="21"/>
        </w:rPr>
        <w:t> </w:t>
      </w:r>
      <w:r>
        <w:rPr>
          <w:sz w:val="21"/>
        </w:rPr>
        <w:t>in</w:t>
      </w:r>
      <w:r>
        <w:rPr>
          <w:spacing w:val="10"/>
          <w:sz w:val="21"/>
        </w:rPr>
        <w:t> </w:t>
      </w:r>
      <w:r>
        <w:rPr>
          <w:sz w:val="21"/>
        </w:rPr>
        <w:t>which</w:t>
      </w:r>
      <w:r>
        <w:rPr>
          <w:spacing w:val="11"/>
          <w:sz w:val="21"/>
        </w:rPr>
        <w:t> </w:t>
      </w:r>
      <w:r>
        <w:rPr>
          <w:sz w:val="21"/>
        </w:rPr>
        <w:t>the</w:t>
      </w:r>
      <w:r>
        <w:rPr>
          <w:spacing w:val="11"/>
          <w:sz w:val="21"/>
        </w:rPr>
        <w:t> </w:t>
      </w:r>
      <w:r>
        <w:rPr>
          <w:sz w:val="21"/>
        </w:rPr>
        <w:t>deceased</w:t>
      </w:r>
      <w:r>
        <w:rPr>
          <w:spacing w:val="10"/>
          <w:sz w:val="21"/>
        </w:rPr>
        <w:t> </w:t>
      </w:r>
      <w:r>
        <w:rPr>
          <w:spacing w:val="-3"/>
          <w:sz w:val="21"/>
        </w:rPr>
        <w:t>person’s</w:t>
      </w:r>
      <w:r>
        <w:rPr>
          <w:spacing w:val="11"/>
          <w:sz w:val="21"/>
        </w:rPr>
        <w:t> </w:t>
      </w:r>
      <w:r>
        <w:rPr>
          <w:spacing w:val="-3"/>
          <w:sz w:val="21"/>
        </w:rPr>
        <w:t>children</w:t>
      </w:r>
      <w:r>
        <w:rPr>
          <w:spacing w:val="11"/>
          <w:sz w:val="21"/>
        </w:rPr>
        <w:t> </w:t>
      </w:r>
      <w:r>
        <w:rPr>
          <w:spacing w:val="-3"/>
          <w:sz w:val="21"/>
        </w:rPr>
        <w:t>are</w:t>
      </w:r>
      <w:r>
        <w:rPr>
          <w:spacing w:val="10"/>
          <w:sz w:val="21"/>
        </w:rPr>
        <w:t> </w:t>
      </w:r>
      <w:r>
        <w:rPr>
          <w:sz w:val="21"/>
        </w:rPr>
        <w:t>entitled</w:t>
      </w:r>
      <w:r>
        <w:rPr>
          <w:spacing w:val="11"/>
          <w:sz w:val="21"/>
        </w:rPr>
        <w:t> </w:t>
      </w:r>
      <w:r>
        <w:rPr>
          <w:spacing w:val="-3"/>
          <w:sz w:val="21"/>
        </w:rPr>
        <w:t>to</w:t>
      </w:r>
      <w:r>
        <w:rPr>
          <w:spacing w:val="11"/>
          <w:sz w:val="21"/>
        </w:rPr>
        <w:t> </w:t>
      </w:r>
      <w:r>
        <w:rPr>
          <w:spacing w:val="-3"/>
          <w:sz w:val="21"/>
        </w:rPr>
        <w:t>take</w:t>
      </w:r>
    </w:p>
    <w:p>
      <w:pPr>
        <w:pStyle w:val="ListParagraph"/>
        <w:numPr>
          <w:ilvl w:val="2"/>
          <w:numId w:val="22"/>
        </w:numPr>
        <w:tabs>
          <w:tab w:pos="2721" w:val="left" w:leader="none"/>
          <w:tab w:pos="2722" w:val="left" w:leader="none"/>
        </w:tabs>
        <w:spacing w:line="240" w:lineRule="auto" w:before="124" w:after="0"/>
        <w:ind w:left="2721" w:right="0" w:hanging="340"/>
        <w:jc w:val="left"/>
        <w:rPr>
          <w:sz w:val="21"/>
        </w:rPr>
      </w:pPr>
      <w:r>
        <w:rPr>
          <w:w w:val="105"/>
          <w:sz w:val="21"/>
        </w:rPr>
        <w:t>some </w:t>
      </w:r>
      <w:r>
        <w:rPr>
          <w:spacing w:val="-3"/>
          <w:w w:val="105"/>
          <w:sz w:val="21"/>
        </w:rPr>
        <w:t>procedural </w:t>
      </w:r>
      <w:r>
        <w:rPr>
          <w:w w:val="105"/>
          <w:sz w:val="21"/>
        </w:rPr>
        <w:t>aspects of the intestacy</w:t>
      </w:r>
      <w:r>
        <w:rPr>
          <w:spacing w:val="29"/>
          <w:w w:val="105"/>
          <w:sz w:val="21"/>
        </w:rPr>
        <w:t> </w:t>
      </w:r>
      <w:r>
        <w:rPr>
          <w:w w:val="105"/>
          <w:sz w:val="21"/>
        </w:rPr>
        <w:t>scheme</w:t>
      </w:r>
    </w:p>
    <w:p>
      <w:pPr>
        <w:pStyle w:val="ListParagraph"/>
        <w:numPr>
          <w:ilvl w:val="2"/>
          <w:numId w:val="22"/>
        </w:numPr>
        <w:tabs>
          <w:tab w:pos="2721" w:val="left" w:leader="none"/>
          <w:tab w:pos="2722" w:val="left" w:leader="none"/>
        </w:tabs>
        <w:spacing w:line="240" w:lineRule="auto" w:before="124" w:after="0"/>
        <w:ind w:left="2721" w:right="0" w:hanging="340"/>
        <w:jc w:val="left"/>
        <w:rPr>
          <w:sz w:val="21"/>
        </w:rPr>
      </w:pPr>
      <w:r>
        <w:rPr/>
        <w:pict>
          <v:line style="position:absolute;mso-position-horizontal-relative:page;mso-position-vertical-relative:paragraph;z-index:3296;mso-wrap-distance-left:0;mso-wrap-distance-right:0" from="79.370003pt,26.447159pt" to="515.905003pt,26.447159pt" stroked="true" strokeweight="1pt" strokecolor="#f9ceca">
            <v:stroke dashstyle="solid"/>
            <w10:wrap type="topAndBottom"/>
          </v:line>
        </w:pict>
      </w:r>
      <w:r>
        <w:rPr>
          <w:spacing w:val="-3"/>
          <w:w w:val="105"/>
          <w:sz w:val="21"/>
        </w:rPr>
        <w:t>intestate </w:t>
      </w:r>
      <w:r>
        <w:rPr>
          <w:w w:val="105"/>
          <w:sz w:val="21"/>
        </w:rPr>
        <w:t>estates of Indigenous</w:t>
      </w:r>
      <w:r>
        <w:rPr>
          <w:spacing w:val="21"/>
          <w:w w:val="105"/>
          <w:sz w:val="21"/>
        </w:rPr>
        <w:t> </w:t>
      </w:r>
      <w:r>
        <w:rPr>
          <w:w w:val="105"/>
          <w:sz w:val="21"/>
        </w:rPr>
        <w:t>people.</w:t>
      </w:r>
    </w:p>
    <w:p>
      <w:pPr>
        <w:pStyle w:val="ListParagraph"/>
        <w:numPr>
          <w:ilvl w:val="0"/>
          <w:numId w:val="50"/>
        </w:numPr>
        <w:tabs>
          <w:tab w:pos="2380" w:val="left" w:leader="none"/>
          <w:tab w:pos="2382" w:val="left" w:leader="none"/>
        </w:tabs>
        <w:spacing w:line="240" w:lineRule="auto" w:before="117" w:after="0"/>
        <w:ind w:left="2381" w:right="1606" w:hanging="794"/>
        <w:jc w:val="left"/>
        <w:rPr>
          <w:sz w:val="13"/>
        </w:rPr>
      </w:pPr>
      <w:r>
        <w:rPr>
          <w:w w:val="105"/>
          <w:sz w:val="13"/>
        </w:rPr>
        <w:t>These are grants of letters of administration, which are the grants obtained on intestacy. See Victorian Law Reform Commission, </w:t>
      </w:r>
      <w:r>
        <w:rPr>
          <w:i/>
          <w:w w:val="105"/>
          <w:sz w:val="13"/>
        </w:rPr>
        <w:t>Succession </w:t>
      </w:r>
      <w:r>
        <w:rPr>
          <w:i/>
          <w:w w:val="105"/>
          <w:sz w:val="13"/>
        </w:rPr>
        <w:t>Laws: Intestacy</w:t>
      </w:r>
      <w:r>
        <w:rPr>
          <w:w w:val="105"/>
          <w:sz w:val="13"/>
        </w:rPr>
        <w:t>, Consultation Paper No </w:t>
      </w:r>
      <w:r>
        <w:rPr>
          <w:spacing w:val="-4"/>
          <w:w w:val="105"/>
          <w:sz w:val="13"/>
        </w:rPr>
        <w:t>13 </w:t>
      </w:r>
      <w:r>
        <w:rPr>
          <w:w w:val="105"/>
          <w:sz w:val="13"/>
        </w:rPr>
        <w:t>(2012)</w:t>
      </w:r>
      <w:r>
        <w:rPr>
          <w:spacing w:val="7"/>
          <w:w w:val="105"/>
          <w:sz w:val="13"/>
        </w:rPr>
        <w:t> </w:t>
      </w:r>
      <w:r>
        <w:rPr>
          <w:spacing w:val="-3"/>
          <w:w w:val="105"/>
          <w:sz w:val="13"/>
        </w:rPr>
        <w:t>21.</w:t>
      </w:r>
    </w:p>
    <w:p>
      <w:pPr>
        <w:pStyle w:val="ListParagraph"/>
        <w:numPr>
          <w:ilvl w:val="0"/>
          <w:numId w:val="50"/>
        </w:numPr>
        <w:tabs>
          <w:tab w:pos="2380" w:val="left" w:leader="none"/>
          <w:tab w:pos="2382" w:val="left" w:leader="none"/>
        </w:tabs>
        <w:spacing w:line="240" w:lineRule="auto" w:before="3" w:after="0"/>
        <w:ind w:left="2381" w:right="0" w:hanging="794"/>
        <w:jc w:val="left"/>
        <w:rPr>
          <w:sz w:val="13"/>
        </w:rPr>
      </w:pPr>
      <w:r>
        <w:rPr>
          <w:w w:val="105"/>
          <w:sz w:val="13"/>
        </w:rPr>
        <w:t>Ibid</w:t>
      </w:r>
      <w:r>
        <w:rPr>
          <w:spacing w:val="4"/>
          <w:w w:val="105"/>
          <w:sz w:val="13"/>
        </w:rPr>
        <w:t> </w:t>
      </w:r>
      <w:r>
        <w:rPr>
          <w:spacing w:val="-3"/>
          <w:w w:val="105"/>
          <w:sz w:val="13"/>
        </w:rPr>
        <w:t>21.</w:t>
      </w:r>
    </w:p>
    <w:p>
      <w:pPr>
        <w:pStyle w:val="ListParagraph"/>
        <w:numPr>
          <w:ilvl w:val="0"/>
          <w:numId w:val="50"/>
        </w:numPr>
        <w:tabs>
          <w:tab w:pos="2380" w:val="left" w:leader="none"/>
          <w:tab w:pos="2382" w:val="left" w:leader="none"/>
        </w:tabs>
        <w:spacing w:line="240" w:lineRule="auto" w:before="1" w:after="0"/>
        <w:ind w:left="2381" w:right="1728" w:hanging="794"/>
        <w:jc w:val="left"/>
        <w:rPr>
          <w:sz w:val="13"/>
        </w:rPr>
      </w:pPr>
      <w:r>
        <w:rPr>
          <w:w w:val="105"/>
          <w:sz w:val="13"/>
        </w:rPr>
        <w:t>National Committee for Uniform Succession Laws, </w:t>
      </w:r>
      <w:r>
        <w:rPr>
          <w:i/>
          <w:w w:val="105"/>
          <w:sz w:val="13"/>
        </w:rPr>
        <w:t>Uniform Succession Laws: Intestacy</w:t>
      </w:r>
      <w:r>
        <w:rPr>
          <w:w w:val="105"/>
          <w:sz w:val="13"/>
        </w:rPr>
        <w:t>, New South Wales Law Reform Commission </w:t>
      </w:r>
      <w:r>
        <w:rPr>
          <w:spacing w:val="2"/>
          <w:w w:val="105"/>
          <w:sz w:val="13"/>
        </w:rPr>
        <w:t>Report </w:t>
      </w:r>
      <w:r>
        <w:rPr>
          <w:w w:val="105"/>
          <w:sz w:val="13"/>
        </w:rPr>
        <w:t>No </w:t>
      </w:r>
      <w:r>
        <w:rPr>
          <w:spacing w:val="-5"/>
          <w:w w:val="105"/>
          <w:sz w:val="13"/>
        </w:rPr>
        <w:t>116</w:t>
      </w:r>
      <w:r>
        <w:rPr>
          <w:spacing w:val="9"/>
          <w:w w:val="105"/>
          <w:sz w:val="13"/>
        </w:rPr>
        <w:t> </w:t>
      </w:r>
      <w:r>
        <w:rPr>
          <w:w w:val="105"/>
          <w:sz w:val="13"/>
        </w:rPr>
        <w:t>(2007).</w:t>
      </w:r>
    </w:p>
    <w:p>
      <w:pPr>
        <w:pStyle w:val="ListParagraph"/>
        <w:numPr>
          <w:ilvl w:val="0"/>
          <w:numId w:val="50"/>
        </w:numPr>
        <w:tabs>
          <w:tab w:pos="2381" w:val="left" w:leader="none"/>
          <w:tab w:pos="2382" w:val="left" w:leader="none"/>
        </w:tabs>
        <w:spacing w:line="240" w:lineRule="auto" w:before="3" w:after="0"/>
        <w:ind w:left="2381" w:right="0" w:hanging="794"/>
        <w:jc w:val="left"/>
        <w:rPr>
          <w:sz w:val="13"/>
        </w:rPr>
      </w:pPr>
      <w:r>
        <w:rPr/>
        <w:pict>
          <v:shape style="position:absolute;margin-left:548.990479pt;margin-top:2.967466pt;width:13.1pt;height:14.25pt;mso-position-horizontal-relative:page;mso-position-vertical-relative:paragraph;z-index:5368" type="#_x0000_t202" filled="false" stroked="false">
            <v:textbox inset="0,0,0,0">
              <w:txbxContent>
                <w:p>
                  <w:pPr>
                    <w:spacing w:line="284" w:lineRule="exact" w:before="0"/>
                    <w:ind w:left="0" w:right="0" w:firstLine="0"/>
                    <w:jc w:val="left"/>
                    <w:rPr>
                      <w:b/>
                      <w:sz w:val="24"/>
                    </w:rPr>
                  </w:pPr>
                  <w:r>
                    <w:rPr>
                      <w:b/>
                      <w:color w:val="EC5A4F"/>
                      <w:spacing w:val="-3"/>
                      <w:w w:val="110"/>
                      <w:sz w:val="24"/>
                    </w:rPr>
                    <w:t>57</w:t>
                  </w:r>
                </w:p>
              </w:txbxContent>
            </v:textbox>
            <w10:wrap type="none"/>
          </v:shape>
        </w:pict>
      </w:r>
      <w:r>
        <w:rPr>
          <w:i/>
          <w:w w:val="105"/>
          <w:sz w:val="13"/>
        </w:rPr>
        <w:t>Succession Amendment (Intestacy) Act 2009 </w:t>
      </w:r>
      <w:r>
        <w:rPr>
          <w:spacing w:val="3"/>
          <w:w w:val="105"/>
          <w:sz w:val="13"/>
        </w:rPr>
        <w:t>(NSW); </w:t>
      </w:r>
      <w:r>
        <w:rPr>
          <w:i/>
          <w:w w:val="105"/>
          <w:sz w:val="13"/>
        </w:rPr>
        <w:t>Intestacy Act </w:t>
      </w:r>
      <w:r>
        <w:rPr>
          <w:i/>
          <w:spacing w:val="-3"/>
          <w:w w:val="105"/>
          <w:sz w:val="13"/>
        </w:rPr>
        <w:t>2010</w:t>
      </w:r>
      <w:r>
        <w:rPr>
          <w:i/>
          <w:spacing w:val="6"/>
          <w:w w:val="105"/>
          <w:sz w:val="13"/>
        </w:rPr>
        <w:t> </w:t>
      </w:r>
      <w:r>
        <w:rPr>
          <w:w w:val="105"/>
          <w:sz w:val="13"/>
        </w:rPr>
        <w:t>(Tas).</w:t>
      </w:r>
    </w:p>
    <w:p>
      <w:pPr>
        <w:pStyle w:val="ListParagraph"/>
        <w:numPr>
          <w:ilvl w:val="0"/>
          <w:numId w:val="50"/>
        </w:numPr>
        <w:tabs>
          <w:tab w:pos="2381" w:val="left" w:leader="none"/>
          <w:tab w:pos="2382" w:val="left" w:leader="none"/>
        </w:tabs>
        <w:spacing w:line="240" w:lineRule="auto" w:before="1" w:after="0"/>
        <w:ind w:left="2381" w:right="0" w:hanging="794"/>
        <w:jc w:val="left"/>
        <w:rPr>
          <w:sz w:val="13"/>
        </w:rPr>
      </w:pPr>
      <w:r>
        <w:rPr>
          <w:w w:val="105"/>
          <w:sz w:val="13"/>
        </w:rPr>
        <w:t>National Committee for Uniform Succession Laws, above n</w:t>
      </w:r>
      <w:r>
        <w:rPr>
          <w:spacing w:val="6"/>
          <w:w w:val="105"/>
          <w:sz w:val="13"/>
        </w:rPr>
        <w:t> </w:t>
      </w:r>
      <w:r>
        <w:rPr>
          <w:w w:val="105"/>
          <w:sz w:val="13"/>
        </w:rPr>
        <w:t>10.</w:t>
      </w:r>
    </w:p>
    <w:p>
      <w:pPr>
        <w:spacing w:after="0" w:line="240" w:lineRule="auto"/>
        <w:jc w:val="left"/>
        <w:rPr>
          <w:sz w:val="13"/>
        </w:rPr>
        <w:sectPr>
          <w:headerReference w:type="default" r:id="rId38"/>
          <w:headerReference w:type="even" r:id="rId39"/>
          <w:pgSz w:w="11910" w:h="16840"/>
          <w:pgMar w:header="805" w:footer="0" w:top="1360" w:bottom="280" w:left="0" w:right="0"/>
        </w:sectPr>
      </w:pPr>
    </w:p>
    <w:p>
      <w:pPr>
        <w:pStyle w:val="BodyText"/>
        <w:spacing w:before="2"/>
      </w:pPr>
    </w:p>
    <w:p>
      <w:pPr>
        <w:pStyle w:val="ListParagraph"/>
        <w:numPr>
          <w:ilvl w:val="1"/>
          <w:numId w:val="22"/>
        </w:numPr>
        <w:tabs>
          <w:tab w:pos="2380" w:val="left" w:leader="none"/>
          <w:tab w:pos="2381" w:val="left" w:leader="none"/>
        </w:tabs>
        <w:spacing w:line="242" w:lineRule="auto" w:before="92" w:after="0"/>
        <w:ind w:left="2381" w:right="1814" w:hanging="794"/>
        <w:jc w:val="left"/>
        <w:rPr>
          <w:sz w:val="21"/>
        </w:rPr>
      </w:pPr>
      <w:bookmarkStart w:name="Setting a limit on next of kin" w:id="49"/>
      <w:bookmarkEnd w:id="49"/>
      <w:r>
        <w:rPr/>
      </w:r>
      <w:bookmarkStart w:name="Setting a limit on next of kin" w:id="50"/>
      <w:bookmarkEnd w:id="50"/>
      <w:r>
        <w:rPr>
          <w:w w:val="105"/>
          <w:sz w:val="21"/>
        </w:rPr>
        <w:t>T</w:t>
      </w:r>
      <w:r>
        <w:rPr>
          <w:w w:val="105"/>
          <w:sz w:val="21"/>
        </w:rPr>
        <w:t>he </w:t>
      </w:r>
      <w:r>
        <w:rPr>
          <w:spacing w:val="-3"/>
          <w:w w:val="105"/>
          <w:sz w:val="21"/>
        </w:rPr>
        <w:t>reforms </w:t>
      </w:r>
      <w:r>
        <w:rPr>
          <w:w w:val="105"/>
          <w:sz w:val="21"/>
        </w:rPr>
        <w:t>recommended in this </w:t>
      </w:r>
      <w:r>
        <w:rPr>
          <w:spacing w:val="-3"/>
          <w:w w:val="105"/>
          <w:sz w:val="21"/>
        </w:rPr>
        <w:t>chapter </w:t>
      </w:r>
      <w:r>
        <w:rPr>
          <w:w w:val="105"/>
          <w:sz w:val="21"/>
        </w:rPr>
        <w:t>would </w:t>
      </w:r>
      <w:r>
        <w:rPr>
          <w:spacing w:val="-3"/>
          <w:w w:val="105"/>
          <w:sz w:val="21"/>
        </w:rPr>
        <w:t>bring greater </w:t>
      </w:r>
      <w:r>
        <w:rPr>
          <w:w w:val="105"/>
          <w:sz w:val="21"/>
        </w:rPr>
        <w:t>clarity </w:t>
      </w:r>
      <w:r>
        <w:rPr>
          <w:spacing w:val="-3"/>
          <w:w w:val="105"/>
          <w:sz w:val="21"/>
        </w:rPr>
        <w:t>to </w:t>
      </w:r>
      <w:r>
        <w:rPr>
          <w:w w:val="105"/>
          <w:sz w:val="21"/>
        </w:rPr>
        <w:t>intestacy law in Victoria and </w:t>
      </w:r>
      <w:r>
        <w:rPr>
          <w:spacing w:val="-3"/>
          <w:w w:val="105"/>
          <w:sz w:val="21"/>
        </w:rPr>
        <w:t>greater </w:t>
      </w:r>
      <w:r>
        <w:rPr>
          <w:w w:val="105"/>
          <w:sz w:val="21"/>
        </w:rPr>
        <w:t>consistency </w:t>
      </w:r>
      <w:r>
        <w:rPr>
          <w:spacing w:val="-3"/>
          <w:w w:val="105"/>
          <w:sz w:val="21"/>
        </w:rPr>
        <w:t>to </w:t>
      </w:r>
      <w:r>
        <w:rPr>
          <w:w w:val="105"/>
          <w:sz w:val="21"/>
        </w:rPr>
        <w:t>intestacy law in </w:t>
      </w:r>
      <w:r>
        <w:rPr>
          <w:spacing w:val="-3"/>
          <w:w w:val="105"/>
          <w:sz w:val="21"/>
        </w:rPr>
        <w:t>Australia </w:t>
      </w:r>
      <w:r>
        <w:rPr>
          <w:w w:val="105"/>
          <w:sz w:val="21"/>
        </w:rPr>
        <w:t>but, if grafted </w:t>
      </w:r>
      <w:r>
        <w:rPr>
          <w:spacing w:val="-3"/>
          <w:w w:val="105"/>
          <w:sz w:val="21"/>
        </w:rPr>
        <w:t>onto </w:t>
      </w:r>
      <w:r>
        <w:rPr>
          <w:w w:val="105"/>
          <w:sz w:val="21"/>
        </w:rPr>
        <w:t>the existing </w:t>
      </w:r>
      <w:r>
        <w:rPr>
          <w:spacing w:val="-3"/>
          <w:w w:val="105"/>
          <w:sz w:val="21"/>
        </w:rPr>
        <w:t>provisions </w:t>
      </w:r>
      <w:r>
        <w:rPr>
          <w:w w:val="105"/>
          <w:sz w:val="21"/>
        </w:rPr>
        <w:t>of the </w:t>
      </w:r>
      <w:r>
        <w:rPr>
          <w:spacing w:val="-3"/>
          <w:w w:val="105"/>
          <w:sz w:val="21"/>
        </w:rPr>
        <w:t>Administration </w:t>
      </w:r>
      <w:r>
        <w:rPr>
          <w:w w:val="105"/>
          <w:sz w:val="21"/>
        </w:rPr>
        <w:t>and </w:t>
      </w:r>
      <w:r>
        <w:rPr>
          <w:spacing w:val="-3"/>
          <w:w w:val="105"/>
          <w:sz w:val="21"/>
        </w:rPr>
        <w:t>Probate </w:t>
      </w:r>
      <w:r>
        <w:rPr>
          <w:w w:val="105"/>
          <w:sz w:val="21"/>
        </w:rPr>
        <w:t>Act, would </w:t>
      </w:r>
      <w:r>
        <w:rPr>
          <w:spacing w:val="-4"/>
          <w:w w:val="105"/>
          <w:sz w:val="21"/>
        </w:rPr>
        <w:t>make </w:t>
      </w:r>
      <w:r>
        <w:rPr>
          <w:spacing w:val="-3"/>
          <w:w w:val="105"/>
          <w:sz w:val="21"/>
        </w:rPr>
        <w:t>Victoria’s </w:t>
      </w:r>
      <w:r>
        <w:rPr>
          <w:w w:val="105"/>
          <w:sz w:val="21"/>
        </w:rPr>
        <w:t>law unnecessarily</w:t>
      </w:r>
      <w:r>
        <w:rPr>
          <w:spacing w:val="-9"/>
          <w:w w:val="105"/>
          <w:sz w:val="21"/>
        </w:rPr>
        <w:t> </w:t>
      </w:r>
      <w:r>
        <w:rPr>
          <w:w w:val="105"/>
          <w:sz w:val="21"/>
        </w:rPr>
        <w:t>complex</w:t>
      </w:r>
      <w:r>
        <w:rPr>
          <w:spacing w:val="-9"/>
          <w:w w:val="105"/>
          <w:sz w:val="21"/>
        </w:rPr>
        <w:t> </w:t>
      </w:r>
      <w:r>
        <w:rPr>
          <w:w w:val="105"/>
          <w:sz w:val="21"/>
        </w:rPr>
        <w:t>and</w:t>
      </w:r>
      <w:r>
        <w:rPr>
          <w:spacing w:val="-8"/>
          <w:w w:val="105"/>
          <w:sz w:val="21"/>
        </w:rPr>
        <w:t> </w:t>
      </w:r>
      <w:r>
        <w:rPr>
          <w:spacing w:val="-4"/>
          <w:w w:val="105"/>
          <w:sz w:val="21"/>
        </w:rPr>
        <w:t>confusing.</w:t>
      </w:r>
      <w:r>
        <w:rPr>
          <w:spacing w:val="-9"/>
          <w:w w:val="105"/>
          <w:sz w:val="21"/>
        </w:rPr>
        <w:t> </w:t>
      </w:r>
      <w:r>
        <w:rPr>
          <w:w w:val="105"/>
          <w:sz w:val="21"/>
        </w:rPr>
        <w:t>For</w:t>
      </w:r>
      <w:r>
        <w:rPr>
          <w:spacing w:val="-8"/>
          <w:w w:val="105"/>
          <w:sz w:val="21"/>
        </w:rPr>
        <w:t> </w:t>
      </w:r>
      <w:r>
        <w:rPr>
          <w:w w:val="105"/>
          <w:sz w:val="21"/>
        </w:rPr>
        <w:t>this</w:t>
      </w:r>
      <w:r>
        <w:rPr>
          <w:spacing w:val="-9"/>
          <w:w w:val="105"/>
          <w:sz w:val="21"/>
        </w:rPr>
        <w:t> </w:t>
      </w:r>
      <w:r>
        <w:rPr>
          <w:spacing w:val="-3"/>
          <w:w w:val="105"/>
          <w:sz w:val="21"/>
        </w:rPr>
        <w:t>reason,</w:t>
      </w:r>
      <w:r>
        <w:rPr>
          <w:spacing w:val="-8"/>
          <w:w w:val="105"/>
          <w:sz w:val="21"/>
        </w:rPr>
        <w:t> </w:t>
      </w:r>
      <w:r>
        <w:rPr>
          <w:w w:val="105"/>
          <w:sz w:val="21"/>
        </w:rPr>
        <w:t>the</w:t>
      </w:r>
      <w:r>
        <w:rPr>
          <w:spacing w:val="-9"/>
          <w:w w:val="105"/>
          <w:sz w:val="21"/>
        </w:rPr>
        <w:t> </w:t>
      </w:r>
      <w:r>
        <w:rPr>
          <w:spacing w:val="-3"/>
          <w:w w:val="105"/>
          <w:sz w:val="21"/>
        </w:rPr>
        <w:t>Commission</w:t>
      </w:r>
      <w:r>
        <w:rPr>
          <w:spacing w:val="-8"/>
          <w:w w:val="105"/>
          <w:sz w:val="21"/>
        </w:rPr>
        <w:t> </w:t>
      </w:r>
      <w:r>
        <w:rPr>
          <w:w w:val="105"/>
          <w:sz w:val="21"/>
        </w:rPr>
        <w:t>considers</w:t>
      </w:r>
      <w:r>
        <w:rPr>
          <w:spacing w:val="-9"/>
          <w:w w:val="105"/>
          <w:sz w:val="21"/>
        </w:rPr>
        <w:t> </w:t>
      </w:r>
      <w:r>
        <w:rPr>
          <w:spacing w:val="-3"/>
          <w:w w:val="105"/>
          <w:sz w:val="21"/>
        </w:rPr>
        <w:t>that</w:t>
      </w:r>
      <w:r>
        <w:rPr>
          <w:spacing w:val="-8"/>
          <w:w w:val="105"/>
          <w:sz w:val="21"/>
        </w:rPr>
        <w:t> </w:t>
      </w:r>
      <w:r>
        <w:rPr>
          <w:spacing w:val="-3"/>
          <w:w w:val="105"/>
          <w:sz w:val="21"/>
        </w:rPr>
        <w:t>all</w:t>
      </w:r>
    </w:p>
    <w:p>
      <w:pPr>
        <w:pStyle w:val="BodyText"/>
        <w:spacing w:line="242" w:lineRule="auto" w:before="4"/>
        <w:ind w:left="2380" w:right="1584"/>
      </w:pPr>
      <w:r>
        <w:rPr>
          <w:w w:val="105"/>
        </w:rPr>
        <w:t>of the </w:t>
      </w:r>
      <w:r>
        <w:rPr>
          <w:spacing w:val="-3"/>
          <w:w w:val="105"/>
        </w:rPr>
        <w:t>Administration </w:t>
      </w:r>
      <w:r>
        <w:rPr>
          <w:w w:val="105"/>
        </w:rPr>
        <w:t>and </w:t>
      </w:r>
      <w:r>
        <w:rPr>
          <w:spacing w:val="-3"/>
          <w:w w:val="105"/>
        </w:rPr>
        <w:t>Probate </w:t>
      </w:r>
      <w:r>
        <w:rPr>
          <w:w w:val="105"/>
        </w:rPr>
        <w:t>Act </w:t>
      </w:r>
      <w:r>
        <w:rPr>
          <w:spacing w:val="-3"/>
          <w:w w:val="105"/>
        </w:rPr>
        <w:t>provisions concerning </w:t>
      </w:r>
      <w:r>
        <w:rPr>
          <w:w w:val="105"/>
        </w:rPr>
        <w:t>the intestacy scheme should be rewritten, </w:t>
      </w:r>
      <w:r>
        <w:rPr>
          <w:spacing w:val="-3"/>
          <w:w w:val="105"/>
        </w:rPr>
        <w:t>incorporating </w:t>
      </w:r>
      <w:r>
        <w:rPr>
          <w:w w:val="105"/>
        </w:rPr>
        <w:t>the </w:t>
      </w:r>
      <w:r>
        <w:rPr>
          <w:spacing w:val="-3"/>
          <w:w w:val="105"/>
        </w:rPr>
        <w:t>reforms to </w:t>
      </w:r>
      <w:r>
        <w:rPr>
          <w:w w:val="105"/>
        </w:rPr>
        <w:t>the law recommended in this </w:t>
      </w:r>
      <w:r>
        <w:rPr>
          <w:spacing w:val="-5"/>
          <w:w w:val="105"/>
        </w:rPr>
        <w:t>chapter.</w:t>
      </w:r>
    </w:p>
    <w:p>
      <w:pPr>
        <w:pStyle w:val="ListParagraph"/>
        <w:numPr>
          <w:ilvl w:val="1"/>
          <w:numId w:val="22"/>
        </w:numPr>
        <w:tabs>
          <w:tab w:pos="2380" w:val="left" w:leader="none"/>
          <w:tab w:pos="2381" w:val="left" w:leader="none"/>
        </w:tabs>
        <w:spacing w:line="242" w:lineRule="auto" w:before="123" w:after="0"/>
        <w:ind w:left="2381" w:right="2209" w:hanging="794"/>
        <w:jc w:val="left"/>
        <w:rPr>
          <w:sz w:val="21"/>
        </w:rPr>
      </w:pPr>
      <w:r>
        <w:rPr>
          <w:sz w:val="21"/>
        </w:rPr>
        <w:t>The </w:t>
      </w:r>
      <w:r>
        <w:rPr>
          <w:spacing w:val="-3"/>
          <w:sz w:val="21"/>
        </w:rPr>
        <w:t>Commission notes that </w:t>
      </w:r>
      <w:r>
        <w:rPr>
          <w:sz w:val="21"/>
        </w:rPr>
        <w:t>there </w:t>
      </w:r>
      <w:r>
        <w:rPr>
          <w:spacing w:val="-3"/>
          <w:sz w:val="21"/>
        </w:rPr>
        <w:t>are </w:t>
      </w:r>
      <w:r>
        <w:rPr>
          <w:sz w:val="21"/>
        </w:rPr>
        <w:t>also unnecessary complexities in the intestacy </w:t>
      </w:r>
      <w:r>
        <w:rPr>
          <w:spacing w:val="-3"/>
          <w:sz w:val="21"/>
        </w:rPr>
        <w:t>provisions </w:t>
      </w:r>
      <w:r>
        <w:rPr>
          <w:sz w:val="21"/>
        </w:rPr>
        <w:t>of the </w:t>
      </w:r>
      <w:r>
        <w:rPr>
          <w:spacing w:val="-3"/>
          <w:sz w:val="21"/>
        </w:rPr>
        <w:t>Administration </w:t>
      </w:r>
      <w:r>
        <w:rPr>
          <w:sz w:val="21"/>
        </w:rPr>
        <w:t>and </w:t>
      </w:r>
      <w:r>
        <w:rPr>
          <w:spacing w:val="-3"/>
          <w:sz w:val="21"/>
        </w:rPr>
        <w:t>Probate </w:t>
      </w:r>
      <w:r>
        <w:rPr>
          <w:sz w:val="21"/>
        </w:rPr>
        <w:t>Act, which </w:t>
      </w:r>
      <w:r>
        <w:rPr>
          <w:spacing w:val="-3"/>
          <w:sz w:val="21"/>
        </w:rPr>
        <w:t>could </w:t>
      </w:r>
      <w:r>
        <w:rPr>
          <w:sz w:val="21"/>
        </w:rPr>
        <w:t>be addressed if the </w:t>
      </w:r>
      <w:r>
        <w:rPr>
          <w:spacing w:val="-3"/>
          <w:sz w:val="21"/>
        </w:rPr>
        <w:t>provisions were comprehensively redrafted. </w:t>
      </w:r>
      <w:r>
        <w:rPr>
          <w:sz w:val="21"/>
        </w:rPr>
        <w:t>For</w:t>
      </w:r>
      <w:r>
        <w:rPr>
          <w:spacing w:val="16"/>
          <w:sz w:val="21"/>
        </w:rPr>
        <w:t> </w:t>
      </w:r>
      <w:r>
        <w:rPr>
          <w:sz w:val="21"/>
        </w:rPr>
        <w:t>example:</w:t>
      </w:r>
    </w:p>
    <w:p>
      <w:pPr>
        <w:pStyle w:val="ListParagraph"/>
        <w:numPr>
          <w:ilvl w:val="2"/>
          <w:numId w:val="22"/>
        </w:numPr>
        <w:tabs>
          <w:tab w:pos="2721" w:val="left" w:leader="none"/>
          <w:tab w:pos="2722" w:val="left" w:leader="none"/>
        </w:tabs>
        <w:spacing w:line="242" w:lineRule="auto" w:before="123" w:after="0"/>
        <w:ind w:left="2721" w:right="2090" w:hanging="340"/>
        <w:jc w:val="left"/>
        <w:rPr>
          <w:sz w:val="12"/>
        </w:rPr>
      </w:pPr>
      <w:r>
        <w:rPr>
          <w:sz w:val="21"/>
        </w:rPr>
        <w:t>section </w:t>
      </w:r>
      <w:r>
        <w:rPr>
          <w:spacing w:val="-5"/>
          <w:sz w:val="21"/>
        </w:rPr>
        <w:t>51(2) </w:t>
      </w:r>
      <w:r>
        <w:rPr>
          <w:sz w:val="21"/>
        </w:rPr>
        <w:t>of the </w:t>
      </w:r>
      <w:r>
        <w:rPr>
          <w:spacing w:val="-3"/>
          <w:sz w:val="21"/>
        </w:rPr>
        <w:t>Administration  </w:t>
      </w:r>
      <w:r>
        <w:rPr>
          <w:sz w:val="21"/>
        </w:rPr>
        <w:t>and </w:t>
      </w:r>
      <w:r>
        <w:rPr>
          <w:spacing w:val="-3"/>
          <w:sz w:val="21"/>
        </w:rPr>
        <w:t>Probate</w:t>
      </w:r>
      <w:r>
        <w:rPr>
          <w:spacing w:val="41"/>
          <w:sz w:val="21"/>
        </w:rPr>
        <w:t> </w:t>
      </w:r>
      <w:r>
        <w:rPr>
          <w:sz w:val="21"/>
        </w:rPr>
        <w:t>Act provides </w:t>
      </w:r>
      <w:r>
        <w:rPr>
          <w:spacing w:val="-3"/>
          <w:sz w:val="21"/>
        </w:rPr>
        <w:t>for  </w:t>
      </w:r>
      <w:r>
        <w:rPr>
          <w:spacing w:val="-2"/>
          <w:sz w:val="21"/>
        </w:rPr>
        <w:t>distribution  </w:t>
      </w:r>
      <w:r>
        <w:rPr>
          <w:spacing w:val="-3"/>
          <w:sz w:val="21"/>
        </w:rPr>
        <w:t>to </w:t>
      </w:r>
      <w:r>
        <w:rPr>
          <w:sz w:val="21"/>
        </w:rPr>
        <w:t>the deceased </w:t>
      </w:r>
      <w:r>
        <w:rPr>
          <w:spacing w:val="-3"/>
          <w:sz w:val="21"/>
        </w:rPr>
        <w:t>person’s </w:t>
      </w:r>
      <w:r>
        <w:rPr>
          <w:sz w:val="21"/>
        </w:rPr>
        <w:t>partner on </w:t>
      </w:r>
      <w:r>
        <w:rPr>
          <w:spacing w:val="-3"/>
          <w:sz w:val="21"/>
        </w:rPr>
        <w:t>intestacy, </w:t>
      </w:r>
      <w:r>
        <w:rPr>
          <w:sz w:val="21"/>
        </w:rPr>
        <w:t>if the deceased person is survived by one partner</w:t>
      </w:r>
      <w:r>
        <w:rPr>
          <w:spacing w:val="-18"/>
          <w:sz w:val="21"/>
        </w:rPr>
        <w:t> </w:t>
      </w:r>
      <w:r>
        <w:rPr>
          <w:spacing w:val="-7"/>
          <w:position w:val="7"/>
          <w:sz w:val="12"/>
        </w:rPr>
        <w:t>13</w:t>
      </w:r>
    </w:p>
    <w:p>
      <w:pPr>
        <w:pStyle w:val="ListParagraph"/>
        <w:numPr>
          <w:ilvl w:val="2"/>
          <w:numId w:val="22"/>
        </w:numPr>
        <w:tabs>
          <w:tab w:pos="2721" w:val="left" w:leader="none"/>
          <w:tab w:pos="2722" w:val="left" w:leader="none"/>
        </w:tabs>
        <w:spacing w:line="242" w:lineRule="auto" w:before="123" w:after="0"/>
        <w:ind w:left="2721" w:right="2070" w:hanging="340"/>
        <w:jc w:val="left"/>
        <w:rPr>
          <w:sz w:val="12"/>
        </w:rPr>
      </w:pPr>
      <w:r>
        <w:rPr>
          <w:w w:val="105"/>
          <w:sz w:val="21"/>
        </w:rPr>
        <w:t>section</w:t>
      </w:r>
      <w:r>
        <w:rPr>
          <w:spacing w:val="-10"/>
          <w:w w:val="105"/>
          <w:sz w:val="21"/>
        </w:rPr>
        <w:t> </w:t>
      </w:r>
      <w:r>
        <w:rPr>
          <w:w w:val="105"/>
          <w:sz w:val="21"/>
        </w:rPr>
        <w:t>52(1)(a)</w:t>
      </w:r>
      <w:r>
        <w:rPr>
          <w:spacing w:val="-9"/>
          <w:w w:val="105"/>
          <w:sz w:val="21"/>
        </w:rPr>
        <w:t> </w:t>
      </w:r>
      <w:r>
        <w:rPr>
          <w:w w:val="105"/>
          <w:sz w:val="21"/>
        </w:rPr>
        <w:t>of</w:t>
      </w:r>
      <w:r>
        <w:rPr>
          <w:spacing w:val="-9"/>
          <w:w w:val="105"/>
          <w:sz w:val="21"/>
        </w:rPr>
        <w:t> </w:t>
      </w:r>
      <w:r>
        <w:rPr>
          <w:w w:val="105"/>
          <w:sz w:val="21"/>
        </w:rPr>
        <w:t>the</w:t>
      </w:r>
      <w:r>
        <w:rPr>
          <w:spacing w:val="-9"/>
          <w:w w:val="105"/>
          <w:sz w:val="21"/>
        </w:rPr>
        <w:t> </w:t>
      </w:r>
      <w:r>
        <w:rPr>
          <w:w w:val="105"/>
          <w:sz w:val="21"/>
        </w:rPr>
        <w:t>Act</w:t>
      </w:r>
      <w:r>
        <w:rPr>
          <w:spacing w:val="-9"/>
          <w:w w:val="105"/>
          <w:sz w:val="21"/>
        </w:rPr>
        <w:t> </w:t>
      </w:r>
      <w:r>
        <w:rPr>
          <w:w w:val="105"/>
          <w:sz w:val="21"/>
        </w:rPr>
        <w:t>also</w:t>
      </w:r>
      <w:r>
        <w:rPr>
          <w:spacing w:val="-9"/>
          <w:w w:val="105"/>
          <w:sz w:val="21"/>
        </w:rPr>
        <w:t> </w:t>
      </w:r>
      <w:r>
        <w:rPr>
          <w:w w:val="105"/>
          <w:sz w:val="21"/>
        </w:rPr>
        <w:t>provides</w:t>
      </w:r>
      <w:r>
        <w:rPr>
          <w:spacing w:val="-10"/>
          <w:w w:val="105"/>
          <w:sz w:val="21"/>
        </w:rPr>
        <w:t> </w:t>
      </w:r>
      <w:r>
        <w:rPr>
          <w:spacing w:val="-3"/>
          <w:w w:val="105"/>
          <w:sz w:val="21"/>
        </w:rPr>
        <w:t>for</w:t>
      </w:r>
      <w:r>
        <w:rPr>
          <w:spacing w:val="-9"/>
          <w:w w:val="105"/>
          <w:sz w:val="21"/>
        </w:rPr>
        <w:t> </w:t>
      </w:r>
      <w:r>
        <w:rPr>
          <w:spacing w:val="-2"/>
          <w:w w:val="105"/>
          <w:sz w:val="21"/>
        </w:rPr>
        <w:t>distribution</w:t>
      </w:r>
      <w:r>
        <w:rPr>
          <w:spacing w:val="-9"/>
          <w:w w:val="105"/>
          <w:sz w:val="21"/>
        </w:rPr>
        <w:t> </w:t>
      </w:r>
      <w:r>
        <w:rPr>
          <w:spacing w:val="-3"/>
          <w:w w:val="105"/>
          <w:sz w:val="21"/>
        </w:rPr>
        <w:t>to</w:t>
      </w:r>
      <w:r>
        <w:rPr>
          <w:spacing w:val="-9"/>
          <w:w w:val="105"/>
          <w:sz w:val="21"/>
        </w:rPr>
        <w:t> </w:t>
      </w:r>
      <w:r>
        <w:rPr>
          <w:w w:val="105"/>
          <w:sz w:val="21"/>
        </w:rPr>
        <w:t>the</w:t>
      </w:r>
      <w:r>
        <w:rPr>
          <w:spacing w:val="-9"/>
          <w:w w:val="105"/>
          <w:sz w:val="21"/>
        </w:rPr>
        <w:t> </w:t>
      </w:r>
      <w:r>
        <w:rPr>
          <w:w w:val="105"/>
          <w:sz w:val="21"/>
        </w:rPr>
        <w:t>deceased</w:t>
      </w:r>
      <w:r>
        <w:rPr>
          <w:spacing w:val="-9"/>
          <w:w w:val="105"/>
          <w:sz w:val="21"/>
        </w:rPr>
        <w:t> </w:t>
      </w:r>
      <w:r>
        <w:rPr>
          <w:spacing w:val="-3"/>
          <w:w w:val="105"/>
          <w:sz w:val="21"/>
        </w:rPr>
        <w:t>person’s </w:t>
      </w:r>
      <w:r>
        <w:rPr>
          <w:w w:val="105"/>
          <w:sz w:val="21"/>
        </w:rPr>
        <w:t>partner on intestacy in these</w:t>
      </w:r>
      <w:r>
        <w:rPr>
          <w:spacing w:val="19"/>
          <w:w w:val="105"/>
          <w:sz w:val="21"/>
        </w:rPr>
        <w:t> </w:t>
      </w:r>
      <w:r>
        <w:rPr>
          <w:spacing w:val="-4"/>
          <w:w w:val="105"/>
          <w:sz w:val="21"/>
        </w:rPr>
        <w:t>circumstances.</w:t>
      </w:r>
      <w:r>
        <w:rPr>
          <w:spacing w:val="-4"/>
          <w:w w:val="105"/>
          <w:position w:val="7"/>
          <w:sz w:val="12"/>
        </w:rPr>
        <w:t>14</w:t>
      </w:r>
    </w:p>
    <w:p>
      <w:pPr>
        <w:pStyle w:val="ListParagraph"/>
        <w:numPr>
          <w:ilvl w:val="1"/>
          <w:numId w:val="22"/>
        </w:numPr>
        <w:tabs>
          <w:tab w:pos="2381" w:val="left" w:leader="none"/>
          <w:tab w:pos="2382" w:val="left" w:leader="none"/>
        </w:tabs>
        <w:spacing w:line="242" w:lineRule="auto" w:before="122" w:after="0"/>
        <w:ind w:left="2381" w:right="2168" w:hanging="794"/>
        <w:jc w:val="left"/>
        <w:rPr>
          <w:sz w:val="21"/>
        </w:rPr>
      </w:pPr>
      <w:r>
        <w:rPr>
          <w:sz w:val="21"/>
        </w:rPr>
        <w:t>Section </w:t>
      </w:r>
      <w:r>
        <w:rPr>
          <w:spacing w:val="-5"/>
          <w:sz w:val="21"/>
        </w:rPr>
        <w:t>51(2) </w:t>
      </w:r>
      <w:r>
        <w:rPr>
          <w:sz w:val="21"/>
        </w:rPr>
        <w:t>of the Act is the correct and </w:t>
      </w:r>
      <w:r>
        <w:rPr>
          <w:spacing w:val="-3"/>
          <w:sz w:val="21"/>
        </w:rPr>
        <w:t>comprehensive provision that </w:t>
      </w:r>
      <w:r>
        <w:rPr>
          <w:sz w:val="21"/>
        </w:rPr>
        <w:t>sets out </w:t>
      </w:r>
      <w:r>
        <w:rPr>
          <w:spacing w:val="-2"/>
          <w:sz w:val="21"/>
        </w:rPr>
        <w:t>distribution </w:t>
      </w:r>
      <w:r>
        <w:rPr>
          <w:spacing w:val="-3"/>
          <w:sz w:val="21"/>
        </w:rPr>
        <w:t>to </w:t>
      </w:r>
      <w:r>
        <w:rPr>
          <w:sz w:val="21"/>
        </w:rPr>
        <w:t>the deceased </w:t>
      </w:r>
      <w:r>
        <w:rPr>
          <w:spacing w:val="-3"/>
          <w:sz w:val="21"/>
        </w:rPr>
        <w:t>person’s partner, </w:t>
      </w:r>
      <w:r>
        <w:rPr>
          <w:sz w:val="21"/>
        </w:rPr>
        <w:t>if the deceased person is </w:t>
      </w:r>
      <w:r>
        <w:rPr>
          <w:spacing w:val="-2"/>
          <w:sz w:val="21"/>
        </w:rPr>
        <w:t>not  </w:t>
      </w:r>
      <w:r>
        <w:rPr>
          <w:sz w:val="21"/>
        </w:rPr>
        <w:t>survived by </w:t>
      </w:r>
      <w:r>
        <w:rPr>
          <w:spacing w:val="-3"/>
          <w:sz w:val="21"/>
        </w:rPr>
        <w:t>multiple </w:t>
      </w:r>
      <w:r>
        <w:rPr>
          <w:sz w:val="21"/>
        </w:rPr>
        <w:t>partners. Section 52(1)(a) of the </w:t>
      </w:r>
      <w:r>
        <w:rPr>
          <w:spacing w:val="-3"/>
          <w:sz w:val="21"/>
        </w:rPr>
        <w:t>Administration </w:t>
      </w:r>
      <w:r>
        <w:rPr>
          <w:sz w:val="21"/>
        </w:rPr>
        <w:t>and </w:t>
      </w:r>
      <w:r>
        <w:rPr>
          <w:spacing w:val="-3"/>
          <w:sz w:val="21"/>
        </w:rPr>
        <w:t>Probate </w:t>
      </w:r>
      <w:r>
        <w:rPr>
          <w:sz w:val="21"/>
        </w:rPr>
        <w:t>Act</w:t>
      </w:r>
      <w:r>
        <w:rPr>
          <w:spacing w:val="4"/>
          <w:sz w:val="21"/>
        </w:rPr>
        <w:t> </w:t>
      </w:r>
      <w:r>
        <w:rPr>
          <w:sz w:val="21"/>
        </w:rPr>
        <w:t>is</w:t>
      </w:r>
    </w:p>
    <w:p>
      <w:pPr>
        <w:pStyle w:val="BodyText"/>
        <w:spacing w:line="242" w:lineRule="auto" w:before="3"/>
        <w:ind w:left="2381" w:right="1805"/>
        <w:jc w:val="both"/>
      </w:pPr>
      <w:r>
        <w:rPr>
          <w:w w:val="105"/>
        </w:rPr>
        <w:t>unnecessary</w:t>
      </w:r>
      <w:r>
        <w:rPr>
          <w:spacing w:val="-13"/>
          <w:w w:val="105"/>
        </w:rPr>
        <w:t> </w:t>
      </w:r>
      <w:r>
        <w:rPr>
          <w:w w:val="105"/>
        </w:rPr>
        <w:t>as</w:t>
      </w:r>
      <w:r>
        <w:rPr>
          <w:spacing w:val="-13"/>
          <w:w w:val="105"/>
        </w:rPr>
        <w:t> </w:t>
      </w:r>
      <w:r>
        <w:rPr>
          <w:w w:val="105"/>
        </w:rPr>
        <w:t>an</w:t>
      </w:r>
      <w:r>
        <w:rPr>
          <w:spacing w:val="-12"/>
          <w:w w:val="105"/>
        </w:rPr>
        <w:t> </w:t>
      </w:r>
      <w:r>
        <w:rPr>
          <w:spacing w:val="-3"/>
          <w:w w:val="105"/>
        </w:rPr>
        <w:t>incomplete</w:t>
      </w:r>
      <w:r>
        <w:rPr>
          <w:spacing w:val="-13"/>
          <w:w w:val="105"/>
        </w:rPr>
        <w:t> </w:t>
      </w:r>
      <w:r>
        <w:rPr>
          <w:w w:val="105"/>
        </w:rPr>
        <w:t>restatement</w:t>
      </w:r>
      <w:r>
        <w:rPr>
          <w:spacing w:val="-13"/>
          <w:w w:val="105"/>
        </w:rPr>
        <w:t> </w:t>
      </w:r>
      <w:r>
        <w:rPr>
          <w:w w:val="105"/>
        </w:rPr>
        <w:t>of</w:t>
      </w:r>
      <w:r>
        <w:rPr>
          <w:spacing w:val="-12"/>
          <w:w w:val="105"/>
        </w:rPr>
        <w:t> </w:t>
      </w:r>
      <w:r>
        <w:rPr>
          <w:w w:val="105"/>
        </w:rPr>
        <w:t>the</w:t>
      </w:r>
      <w:r>
        <w:rPr>
          <w:spacing w:val="-13"/>
          <w:w w:val="105"/>
        </w:rPr>
        <w:t> </w:t>
      </w:r>
      <w:r>
        <w:rPr>
          <w:w w:val="105"/>
        </w:rPr>
        <w:t>deceased</w:t>
      </w:r>
      <w:r>
        <w:rPr>
          <w:spacing w:val="-12"/>
          <w:w w:val="105"/>
        </w:rPr>
        <w:t> </w:t>
      </w:r>
      <w:r>
        <w:rPr>
          <w:spacing w:val="-3"/>
          <w:w w:val="105"/>
        </w:rPr>
        <w:t>person’s</w:t>
      </w:r>
      <w:r>
        <w:rPr>
          <w:spacing w:val="-13"/>
          <w:w w:val="105"/>
        </w:rPr>
        <w:t> </w:t>
      </w:r>
      <w:r>
        <w:rPr>
          <w:w w:val="105"/>
        </w:rPr>
        <w:t>partner’s</w:t>
      </w:r>
      <w:r>
        <w:rPr>
          <w:spacing w:val="-13"/>
          <w:w w:val="105"/>
        </w:rPr>
        <w:t> </w:t>
      </w:r>
      <w:r>
        <w:rPr>
          <w:w w:val="105"/>
        </w:rPr>
        <w:t>rights</w:t>
      </w:r>
      <w:r>
        <w:rPr>
          <w:spacing w:val="-12"/>
          <w:w w:val="105"/>
        </w:rPr>
        <w:t> </w:t>
      </w:r>
      <w:r>
        <w:rPr>
          <w:w w:val="105"/>
        </w:rPr>
        <w:t>on </w:t>
      </w:r>
      <w:r>
        <w:rPr>
          <w:spacing w:val="-3"/>
          <w:w w:val="105"/>
        </w:rPr>
        <w:t>intestacy.</w:t>
      </w:r>
      <w:r>
        <w:rPr>
          <w:spacing w:val="-15"/>
          <w:w w:val="105"/>
        </w:rPr>
        <w:t> </w:t>
      </w:r>
      <w:r>
        <w:rPr>
          <w:w w:val="105"/>
        </w:rPr>
        <w:t>Redrafted</w:t>
      </w:r>
      <w:r>
        <w:rPr>
          <w:spacing w:val="-14"/>
          <w:w w:val="105"/>
        </w:rPr>
        <w:t> </w:t>
      </w:r>
      <w:r>
        <w:rPr>
          <w:w w:val="105"/>
        </w:rPr>
        <w:t>intestacy</w:t>
      </w:r>
      <w:r>
        <w:rPr>
          <w:spacing w:val="-15"/>
          <w:w w:val="105"/>
        </w:rPr>
        <w:t> </w:t>
      </w:r>
      <w:r>
        <w:rPr>
          <w:spacing w:val="-3"/>
          <w:w w:val="105"/>
        </w:rPr>
        <w:t>provisions,</w:t>
      </w:r>
      <w:r>
        <w:rPr>
          <w:spacing w:val="-14"/>
          <w:w w:val="105"/>
        </w:rPr>
        <w:t> </w:t>
      </w:r>
      <w:r>
        <w:rPr>
          <w:spacing w:val="-3"/>
          <w:w w:val="105"/>
        </w:rPr>
        <w:t>incorporating</w:t>
      </w:r>
      <w:r>
        <w:rPr>
          <w:spacing w:val="-15"/>
          <w:w w:val="105"/>
        </w:rPr>
        <w:t> </w:t>
      </w:r>
      <w:r>
        <w:rPr>
          <w:w w:val="105"/>
        </w:rPr>
        <w:t>the</w:t>
      </w:r>
      <w:r>
        <w:rPr>
          <w:spacing w:val="-14"/>
          <w:w w:val="105"/>
        </w:rPr>
        <w:t> </w:t>
      </w:r>
      <w:r>
        <w:rPr>
          <w:spacing w:val="-4"/>
          <w:w w:val="105"/>
        </w:rPr>
        <w:t>Commission’s</w:t>
      </w:r>
      <w:r>
        <w:rPr>
          <w:spacing w:val="-15"/>
          <w:w w:val="105"/>
        </w:rPr>
        <w:t> </w:t>
      </w:r>
      <w:r>
        <w:rPr>
          <w:w w:val="105"/>
        </w:rPr>
        <w:t>recommended amendments,</w:t>
      </w:r>
      <w:r>
        <w:rPr>
          <w:spacing w:val="-8"/>
          <w:w w:val="105"/>
        </w:rPr>
        <w:t> </w:t>
      </w:r>
      <w:r>
        <w:rPr>
          <w:w w:val="105"/>
        </w:rPr>
        <w:t>should</w:t>
      </w:r>
      <w:r>
        <w:rPr>
          <w:spacing w:val="-7"/>
          <w:w w:val="105"/>
        </w:rPr>
        <w:t> </w:t>
      </w:r>
      <w:r>
        <w:rPr>
          <w:w w:val="105"/>
        </w:rPr>
        <w:t>address</w:t>
      </w:r>
      <w:r>
        <w:rPr>
          <w:spacing w:val="-8"/>
          <w:w w:val="105"/>
        </w:rPr>
        <w:t> </w:t>
      </w:r>
      <w:r>
        <w:rPr>
          <w:w w:val="105"/>
        </w:rPr>
        <w:t>these</w:t>
      </w:r>
      <w:r>
        <w:rPr>
          <w:spacing w:val="-7"/>
          <w:w w:val="105"/>
        </w:rPr>
        <w:t> </w:t>
      </w:r>
      <w:r>
        <w:rPr>
          <w:w w:val="105"/>
        </w:rPr>
        <w:t>and</w:t>
      </w:r>
      <w:r>
        <w:rPr>
          <w:spacing w:val="-8"/>
          <w:w w:val="105"/>
        </w:rPr>
        <w:t> </w:t>
      </w:r>
      <w:r>
        <w:rPr>
          <w:spacing w:val="-3"/>
          <w:w w:val="105"/>
        </w:rPr>
        <w:t>any</w:t>
      </w:r>
      <w:r>
        <w:rPr>
          <w:spacing w:val="-7"/>
          <w:w w:val="105"/>
        </w:rPr>
        <w:t> </w:t>
      </w:r>
      <w:r>
        <w:rPr>
          <w:w w:val="105"/>
        </w:rPr>
        <w:t>other</w:t>
      </w:r>
      <w:r>
        <w:rPr>
          <w:spacing w:val="-8"/>
          <w:w w:val="105"/>
        </w:rPr>
        <w:t> </w:t>
      </w:r>
      <w:r>
        <w:rPr>
          <w:spacing w:val="-3"/>
          <w:w w:val="105"/>
        </w:rPr>
        <w:t>anomalies</w:t>
      </w:r>
      <w:r>
        <w:rPr>
          <w:spacing w:val="-8"/>
          <w:w w:val="105"/>
        </w:rPr>
        <w:t> </w:t>
      </w:r>
      <w:r>
        <w:rPr>
          <w:w w:val="105"/>
        </w:rPr>
        <w:t>in</w:t>
      </w:r>
      <w:r>
        <w:rPr>
          <w:spacing w:val="-7"/>
          <w:w w:val="105"/>
        </w:rPr>
        <w:t> </w:t>
      </w:r>
      <w:r>
        <w:rPr>
          <w:w w:val="105"/>
        </w:rPr>
        <w:t>the</w:t>
      </w:r>
      <w:r>
        <w:rPr>
          <w:spacing w:val="-8"/>
          <w:w w:val="105"/>
        </w:rPr>
        <w:t> </w:t>
      </w:r>
      <w:r>
        <w:rPr>
          <w:w w:val="105"/>
        </w:rPr>
        <w:t>existing</w:t>
      </w:r>
      <w:r>
        <w:rPr>
          <w:spacing w:val="-7"/>
          <w:w w:val="105"/>
        </w:rPr>
        <w:t> </w:t>
      </w:r>
      <w:r>
        <w:rPr>
          <w:w w:val="105"/>
        </w:rPr>
        <w:t>sections.</w:t>
      </w:r>
    </w:p>
    <w:p>
      <w:pPr>
        <w:pStyle w:val="BodyText"/>
        <w:spacing w:before="11"/>
      </w:pPr>
    </w:p>
    <w:p>
      <w:pPr>
        <w:pStyle w:val="Heading4"/>
      </w:pPr>
      <w:bookmarkStart w:name="_TOC_250061" w:id="51"/>
      <w:bookmarkEnd w:id="51"/>
      <w:r>
        <w:rPr>
          <w:color w:val="EC5A4F"/>
          <w:w w:val="115"/>
        </w:rPr>
        <w:t>Setting a limit on next of kin</w:t>
      </w:r>
    </w:p>
    <w:p>
      <w:pPr>
        <w:pStyle w:val="Heading5"/>
        <w:spacing w:before="166"/>
      </w:pPr>
      <w:bookmarkStart w:name="_TOC_250060" w:id="52"/>
      <w:bookmarkEnd w:id="52"/>
      <w:r>
        <w:rPr>
          <w:w w:val="115"/>
        </w:rPr>
        <w:t>Current law</w:t>
      </w:r>
    </w:p>
    <w:p>
      <w:pPr>
        <w:pStyle w:val="ListParagraph"/>
        <w:numPr>
          <w:ilvl w:val="1"/>
          <w:numId w:val="22"/>
        </w:numPr>
        <w:tabs>
          <w:tab w:pos="2381" w:val="left" w:leader="none"/>
          <w:tab w:pos="2382" w:val="left" w:leader="none"/>
        </w:tabs>
        <w:spacing w:line="242" w:lineRule="auto" w:before="138" w:after="0"/>
        <w:ind w:left="2381" w:right="1639" w:hanging="794"/>
        <w:jc w:val="left"/>
        <w:rPr>
          <w:sz w:val="21"/>
        </w:rPr>
      </w:pPr>
      <w:r>
        <w:rPr>
          <w:sz w:val="21"/>
        </w:rPr>
        <w:t>In Victoria, there is no </w:t>
      </w:r>
      <w:r>
        <w:rPr>
          <w:spacing w:val="-3"/>
          <w:sz w:val="21"/>
        </w:rPr>
        <w:t>limit </w:t>
      </w:r>
      <w:r>
        <w:rPr>
          <w:sz w:val="21"/>
        </w:rPr>
        <w:t>on the next of </w:t>
      </w:r>
      <w:r>
        <w:rPr>
          <w:spacing w:val="-2"/>
          <w:sz w:val="21"/>
        </w:rPr>
        <w:t>kin </w:t>
      </w:r>
      <w:r>
        <w:rPr>
          <w:sz w:val="21"/>
        </w:rPr>
        <w:t>who </w:t>
      </w:r>
      <w:r>
        <w:rPr>
          <w:spacing w:val="-3"/>
          <w:sz w:val="21"/>
        </w:rPr>
        <w:t>are </w:t>
      </w:r>
      <w:r>
        <w:rPr>
          <w:sz w:val="21"/>
        </w:rPr>
        <w:t>entitled </w:t>
      </w:r>
      <w:r>
        <w:rPr>
          <w:spacing w:val="-3"/>
          <w:sz w:val="21"/>
        </w:rPr>
        <w:t>to  inherit  </w:t>
      </w:r>
      <w:r>
        <w:rPr>
          <w:sz w:val="21"/>
        </w:rPr>
        <w:t>on </w:t>
      </w:r>
      <w:r>
        <w:rPr>
          <w:spacing w:val="-3"/>
          <w:sz w:val="21"/>
        </w:rPr>
        <w:t>intestacy. </w:t>
      </w:r>
      <w:r>
        <w:rPr>
          <w:spacing w:val="-4"/>
          <w:sz w:val="21"/>
        </w:rPr>
        <w:t>Rather, </w:t>
      </w:r>
      <w:r>
        <w:rPr>
          <w:sz w:val="21"/>
        </w:rPr>
        <w:t>the civil law rules of </w:t>
      </w:r>
      <w:r>
        <w:rPr>
          <w:spacing w:val="-2"/>
          <w:sz w:val="21"/>
        </w:rPr>
        <w:t>distribution </w:t>
      </w:r>
      <w:r>
        <w:rPr>
          <w:spacing w:val="-4"/>
          <w:sz w:val="21"/>
        </w:rPr>
        <w:t>apply, </w:t>
      </w:r>
      <w:r>
        <w:rPr>
          <w:sz w:val="21"/>
        </w:rPr>
        <w:t>subject </w:t>
      </w:r>
      <w:r>
        <w:rPr>
          <w:spacing w:val="-3"/>
          <w:sz w:val="21"/>
        </w:rPr>
        <w:t>to  </w:t>
      </w:r>
      <w:r>
        <w:rPr>
          <w:sz w:val="21"/>
        </w:rPr>
        <w:t>the </w:t>
      </w:r>
      <w:r>
        <w:rPr>
          <w:spacing w:val="-3"/>
          <w:sz w:val="21"/>
        </w:rPr>
        <w:t>provisions</w:t>
      </w:r>
      <w:r>
        <w:rPr>
          <w:spacing w:val="41"/>
          <w:sz w:val="21"/>
        </w:rPr>
        <w:t> </w:t>
      </w:r>
      <w:r>
        <w:rPr>
          <w:sz w:val="21"/>
        </w:rPr>
        <w:t>of the </w:t>
      </w:r>
      <w:r>
        <w:rPr>
          <w:spacing w:val="-3"/>
          <w:sz w:val="21"/>
        </w:rPr>
        <w:t>Administration </w:t>
      </w:r>
      <w:r>
        <w:rPr>
          <w:sz w:val="21"/>
        </w:rPr>
        <w:t>and </w:t>
      </w:r>
      <w:r>
        <w:rPr>
          <w:spacing w:val="-3"/>
          <w:sz w:val="21"/>
        </w:rPr>
        <w:t>Probate </w:t>
      </w:r>
      <w:r>
        <w:rPr>
          <w:sz w:val="21"/>
        </w:rPr>
        <w:t>Act. Intestate estates </w:t>
      </w:r>
      <w:r>
        <w:rPr>
          <w:spacing w:val="-3"/>
          <w:sz w:val="21"/>
        </w:rPr>
        <w:t>are distributed to </w:t>
      </w:r>
      <w:r>
        <w:rPr>
          <w:sz w:val="21"/>
        </w:rPr>
        <w:t>the deceased </w:t>
      </w:r>
      <w:r>
        <w:rPr>
          <w:spacing w:val="-3"/>
          <w:sz w:val="21"/>
        </w:rPr>
        <w:t>person’s </w:t>
      </w:r>
      <w:r>
        <w:rPr>
          <w:sz w:val="21"/>
        </w:rPr>
        <w:t>partner or next of </w:t>
      </w:r>
      <w:r>
        <w:rPr>
          <w:spacing w:val="-2"/>
          <w:sz w:val="21"/>
        </w:rPr>
        <w:t>kin </w:t>
      </w:r>
      <w:r>
        <w:rPr>
          <w:spacing w:val="-3"/>
          <w:sz w:val="21"/>
        </w:rPr>
        <w:t>according to </w:t>
      </w:r>
      <w:r>
        <w:rPr>
          <w:sz w:val="21"/>
        </w:rPr>
        <w:t>the </w:t>
      </w:r>
      <w:r>
        <w:rPr>
          <w:spacing w:val="-3"/>
          <w:sz w:val="21"/>
        </w:rPr>
        <w:t>following</w:t>
      </w:r>
      <w:r>
        <w:rPr>
          <w:spacing w:val="16"/>
          <w:sz w:val="21"/>
        </w:rPr>
        <w:t> </w:t>
      </w:r>
      <w:r>
        <w:rPr>
          <w:spacing w:val="-3"/>
          <w:sz w:val="21"/>
        </w:rPr>
        <w:t>hierarchy:</w:t>
      </w:r>
    </w:p>
    <w:p>
      <w:pPr>
        <w:pStyle w:val="ListParagraph"/>
        <w:numPr>
          <w:ilvl w:val="2"/>
          <w:numId w:val="22"/>
        </w:numPr>
        <w:tabs>
          <w:tab w:pos="2721" w:val="left" w:leader="none"/>
          <w:tab w:pos="2722" w:val="left" w:leader="none"/>
        </w:tabs>
        <w:spacing w:line="240" w:lineRule="auto" w:before="124" w:after="0"/>
        <w:ind w:left="2721" w:right="0" w:hanging="340"/>
        <w:jc w:val="left"/>
        <w:rPr>
          <w:sz w:val="12"/>
        </w:rPr>
      </w:pPr>
      <w:r>
        <w:rPr>
          <w:sz w:val="21"/>
        </w:rPr>
        <w:t>partner(s) </w:t>
      </w:r>
      <w:r>
        <w:rPr>
          <w:spacing w:val="-3"/>
          <w:position w:val="7"/>
          <w:sz w:val="12"/>
        </w:rPr>
        <w:t>15 </w:t>
      </w:r>
      <w:r>
        <w:rPr>
          <w:sz w:val="21"/>
        </w:rPr>
        <w:t>and/or </w:t>
      </w:r>
      <w:r>
        <w:rPr>
          <w:spacing w:val="-3"/>
          <w:sz w:val="21"/>
        </w:rPr>
        <w:t>children </w:t>
      </w:r>
      <w:r>
        <w:rPr>
          <w:sz w:val="21"/>
        </w:rPr>
        <w:t>or other issue</w:t>
      </w:r>
      <w:r>
        <w:rPr>
          <w:spacing w:val="-31"/>
          <w:sz w:val="21"/>
        </w:rPr>
        <w:t> </w:t>
      </w:r>
      <w:r>
        <w:rPr>
          <w:spacing w:val="-4"/>
          <w:position w:val="7"/>
          <w:sz w:val="12"/>
        </w:rPr>
        <w:t>16</w:t>
      </w:r>
    </w:p>
    <w:p>
      <w:pPr>
        <w:pStyle w:val="ListParagraph"/>
        <w:numPr>
          <w:ilvl w:val="2"/>
          <w:numId w:val="22"/>
        </w:numPr>
        <w:tabs>
          <w:tab w:pos="2721" w:val="left" w:leader="none"/>
          <w:tab w:pos="2722" w:val="left" w:leader="none"/>
        </w:tabs>
        <w:spacing w:line="240" w:lineRule="auto" w:before="124" w:after="0"/>
        <w:ind w:left="2721" w:right="0" w:hanging="340"/>
        <w:jc w:val="left"/>
        <w:rPr>
          <w:sz w:val="12"/>
        </w:rPr>
      </w:pPr>
      <w:r>
        <w:rPr>
          <w:w w:val="105"/>
          <w:sz w:val="21"/>
        </w:rPr>
        <w:t>parents</w:t>
      </w:r>
      <w:r>
        <w:rPr>
          <w:spacing w:val="-29"/>
          <w:w w:val="105"/>
          <w:sz w:val="21"/>
        </w:rPr>
        <w:t> </w:t>
      </w:r>
      <w:r>
        <w:rPr>
          <w:spacing w:val="-7"/>
          <w:w w:val="105"/>
          <w:position w:val="7"/>
          <w:sz w:val="12"/>
        </w:rPr>
        <w:t>17</w:t>
      </w:r>
    </w:p>
    <w:p>
      <w:pPr>
        <w:pStyle w:val="ListParagraph"/>
        <w:numPr>
          <w:ilvl w:val="2"/>
          <w:numId w:val="22"/>
        </w:numPr>
        <w:tabs>
          <w:tab w:pos="2721" w:val="left" w:leader="none"/>
          <w:tab w:pos="2722" w:val="left" w:leader="none"/>
        </w:tabs>
        <w:spacing w:line="242" w:lineRule="auto" w:before="123" w:after="0"/>
        <w:ind w:left="2721" w:right="1796" w:hanging="340"/>
        <w:jc w:val="left"/>
        <w:rPr>
          <w:sz w:val="12"/>
        </w:rPr>
      </w:pPr>
      <w:r>
        <w:rPr>
          <w:spacing w:val="-3"/>
          <w:sz w:val="21"/>
        </w:rPr>
        <w:t>siblings, </w:t>
      </w:r>
      <w:r>
        <w:rPr>
          <w:sz w:val="21"/>
        </w:rPr>
        <w:t>or nieces and nephews when they </w:t>
      </w:r>
      <w:r>
        <w:rPr>
          <w:spacing w:val="-3"/>
          <w:sz w:val="21"/>
        </w:rPr>
        <w:t>take </w:t>
      </w:r>
      <w:r>
        <w:rPr>
          <w:sz w:val="21"/>
        </w:rPr>
        <w:t>as representatives of their deceased </w:t>
      </w:r>
      <w:r>
        <w:rPr>
          <w:spacing w:val="-3"/>
          <w:sz w:val="21"/>
        </w:rPr>
        <w:t>parent</w:t>
      </w:r>
      <w:r>
        <w:rPr>
          <w:spacing w:val="-26"/>
          <w:sz w:val="21"/>
        </w:rPr>
        <w:t> </w:t>
      </w:r>
      <w:r>
        <w:rPr>
          <w:spacing w:val="-4"/>
          <w:position w:val="7"/>
          <w:sz w:val="12"/>
        </w:rPr>
        <w:t>18</w:t>
      </w:r>
    </w:p>
    <w:p>
      <w:pPr>
        <w:pStyle w:val="ListParagraph"/>
        <w:numPr>
          <w:ilvl w:val="2"/>
          <w:numId w:val="22"/>
        </w:numPr>
        <w:tabs>
          <w:tab w:pos="2721" w:val="left" w:leader="none"/>
          <w:tab w:pos="2722" w:val="left" w:leader="none"/>
        </w:tabs>
        <w:spacing w:line="240" w:lineRule="auto" w:before="122" w:after="0"/>
        <w:ind w:left="2721" w:right="0" w:hanging="340"/>
        <w:jc w:val="left"/>
        <w:rPr>
          <w:sz w:val="12"/>
        </w:rPr>
      </w:pPr>
      <w:r>
        <w:rPr>
          <w:spacing w:val="-3"/>
          <w:w w:val="105"/>
          <w:sz w:val="21"/>
        </w:rPr>
        <w:t>grandparents</w:t>
      </w:r>
      <w:r>
        <w:rPr>
          <w:spacing w:val="-29"/>
          <w:w w:val="105"/>
          <w:sz w:val="21"/>
        </w:rPr>
        <w:t> </w:t>
      </w:r>
      <w:r>
        <w:rPr>
          <w:spacing w:val="-3"/>
          <w:w w:val="105"/>
          <w:position w:val="7"/>
          <w:sz w:val="12"/>
        </w:rPr>
        <w:t>19</w:t>
      </w:r>
    </w:p>
    <w:p>
      <w:pPr>
        <w:pStyle w:val="ListParagraph"/>
        <w:numPr>
          <w:ilvl w:val="2"/>
          <w:numId w:val="22"/>
        </w:numPr>
        <w:tabs>
          <w:tab w:pos="2721" w:val="left" w:leader="none"/>
          <w:tab w:pos="2722" w:val="left" w:leader="none"/>
        </w:tabs>
        <w:spacing w:line="242" w:lineRule="auto" w:before="124" w:after="0"/>
        <w:ind w:left="2721" w:right="2129" w:hanging="340"/>
        <w:jc w:val="left"/>
        <w:rPr>
          <w:sz w:val="21"/>
        </w:rPr>
      </w:pPr>
      <w:r>
        <w:rPr>
          <w:w w:val="105"/>
          <w:sz w:val="21"/>
        </w:rPr>
        <w:t>nieces and nephews when they </w:t>
      </w:r>
      <w:r>
        <w:rPr>
          <w:spacing w:val="-3"/>
          <w:w w:val="105"/>
          <w:sz w:val="21"/>
        </w:rPr>
        <w:t>take </w:t>
      </w:r>
      <w:r>
        <w:rPr>
          <w:w w:val="105"/>
          <w:sz w:val="21"/>
        </w:rPr>
        <w:t>in their own </w:t>
      </w:r>
      <w:r>
        <w:rPr>
          <w:spacing w:val="-3"/>
          <w:w w:val="105"/>
          <w:sz w:val="21"/>
        </w:rPr>
        <w:t>capacity, rather than </w:t>
      </w:r>
      <w:r>
        <w:rPr>
          <w:w w:val="105"/>
          <w:sz w:val="21"/>
        </w:rPr>
        <w:t>as representatives</w:t>
      </w:r>
      <w:r>
        <w:rPr>
          <w:spacing w:val="-18"/>
          <w:w w:val="105"/>
          <w:sz w:val="21"/>
        </w:rPr>
        <w:t> </w:t>
      </w:r>
      <w:r>
        <w:rPr>
          <w:w w:val="105"/>
          <w:sz w:val="21"/>
        </w:rPr>
        <w:t>of</w:t>
      </w:r>
      <w:r>
        <w:rPr>
          <w:spacing w:val="-17"/>
          <w:w w:val="105"/>
          <w:sz w:val="21"/>
        </w:rPr>
        <w:t> </w:t>
      </w:r>
      <w:r>
        <w:rPr>
          <w:w w:val="105"/>
          <w:sz w:val="21"/>
        </w:rPr>
        <w:t>their</w:t>
      </w:r>
      <w:r>
        <w:rPr>
          <w:spacing w:val="-17"/>
          <w:w w:val="105"/>
          <w:sz w:val="21"/>
        </w:rPr>
        <w:t> </w:t>
      </w:r>
      <w:r>
        <w:rPr>
          <w:w w:val="105"/>
          <w:sz w:val="21"/>
        </w:rPr>
        <w:t>deceased</w:t>
      </w:r>
      <w:r>
        <w:rPr>
          <w:spacing w:val="-17"/>
          <w:w w:val="105"/>
          <w:sz w:val="21"/>
        </w:rPr>
        <w:t> </w:t>
      </w:r>
      <w:r>
        <w:rPr>
          <w:spacing w:val="-3"/>
          <w:w w:val="105"/>
          <w:sz w:val="21"/>
        </w:rPr>
        <w:t>parent;</w:t>
      </w:r>
      <w:r>
        <w:rPr>
          <w:spacing w:val="-17"/>
          <w:w w:val="105"/>
          <w:sz w:val="21"/>
        </w:rPr>
        <w:t> </w:t>
      </w:r>
      <w:r>
        <w:rPr>
          <w:w w:val="105"/>
          <w:sz w:val="21"/>
        </w:rPr>
        <w:t>aunts</w:t>
      </w:r>
      <w:r>
        <w:rPr>
          <w:spacing w:val="-17"/>
          <w:w w:val="105"/>
          <w:sz w:val="21"/>
        </w:rPr>
        <w:t> </w:t>
      </w:r>
      <w:r>
        <w:rPr>
          <w:w w:val="105"/>
          <w:sz w:val="21"/>
        </w:rPr>
        <w:t>and</w:t>
      </w:r>
      <w:r>
        <w:rPr>
          <w:spacing w:val="-17"/>
          <w:w w:val="105"/>
          <w:sz w:val="21"/>
        </w:rPr>
        <w:t> </w:t>
      </w:r>
      <w:r>
        <w:rPr>
          <w:w w:val="105"/>
          <w:sz w:val="21"/>
        </w:rPr>
        <w:t>uncles;</w:t>
      </w:r>
      <w:r>
        <w:rPr>
          <w:w w:val="105"/>
          <w:position w:val="7"/>
          <w:sz w:val="12"/>
        </w:rPr>
        <w:t>20</w:t>
      </w:r>
      <w:r>
        <w:rPr>
          <w:spacing w:val="5"/>
          <w:w w:val="105"/>
          <w:position w:val="7"/>
          <w:sz w:val="12"/>
        </w:rPr>
        <w:t> </w:t>
      </w:r>
      <w:r>
        <w:rPr>
          <w:spacing w:val="-3"/>
          <w:w w:val="105"/>
          <w:sz w:val="21"/>
        </w:rPr>
        <w:t>great-grandparents</w:t>
      </w:r>
    </w:p>
    <w:p>
      <w:pPr>
        <w:pStyle w:val="ListParagraph"/>
        <w:numPr>
          <w:ilvl w:val="2"/>
          <w:numId w:val="22"/>
        </w:numPr>
        <w:tabs>
          <w:tab w:pos="2721" w:val="left" w:leader="none"/>
          <w:tab w:pos="2722" w:val="left" w:leader="none"/>
        </w:tabs>
        <w:spacing w:line="242" w:lineRule="auto" w:before="122" w:after="0"/>
        <w:ind w:left="2721" w:right="1935" w:hanging="340"/>
        <w:jc w:val="left"/>
        <w:rPr>
          <w:sz w:val="21"/>
        </w:rPr>
      </w:pPr>
      <w:r>
        <w:rPr>
          <w:w w:val="105"/>
          <w:sz w:val="21"/>
        </w:rPr>
        <w:t>first </w:t>
      </w:r>
      <w:r>
        <w:rPr>
          <w:spacing w:val="-3"/>
          <w:w w:val="105"/>
          <w:sz w:val="21"/>
        </w:rPr>
        <w:t>cousins; great-nieces </w:t>
      </w:r>
      <w:r>
        <w:rPr>
          <w:w w:val="105"/>
          <w:sz w:val="21"/>
        </w:rPr>
        <w:t>and great-nephews; </w:t>
      </w:r>
      <w:r>
        <w:rPr>
          <w:spacing w:val="-3"/>
          <w:w w:val="105"/>
          <w:sz w:val="21"/>
        </w:rPr>
        <w:t>great-aunts </w:t>
      </w:r>
      <w:r>
        <w:rPr>
          <w:w w:val="105"/>
          <w:sz w:val="21"/>
        </w:rPr>
        <w:t>and </w:t>
      </w:r>
      <w:r>
        <w:rPr>
          <w:spacing w:val="-3"/>
          <w:w w:val="105"/>
          <w:sz w:val="21"/>
        </w:rPr>
        <w:t>great-uncles; </w:t>
      </w:r>
      <w:r>
        <w:rPr>
          <w:spacing w:val="-4"/>
          <w:w w:val="105"/>
          <w:sz w:val="21"/>
        </w:rPr>
        <w:t>great- </w:t>
      </w:r>
      <w:r>
        <w:rPr>
          <w:spacing w:val="-3"/>
          <w:w w:val="105"/>
          <w:sz w:val="21"/>
        </w:rPr>
        <w:t>great-grandparents</w:t>
      </w:r>
    </w:p>
    <w:p>
      <w:pPr>
        <w:pStyle w:val="ListParagraph"/>
        <w:numPr>
          <w:ilvl w:val="2"/>
          <w:numId w:val="22"/>
        </w:numPr>
        <w:tabs>
          <w:tab w:pos="2721" w:val="left" w:leader="none"/>
          <w:tab w:pos="2722" w:val="left" w:leader="none"/>
        </w:tabs>
        <w:spacing w:line="240" w:lineRule="auto" w:before="123" w:after="0"/>
        <w:ind w:left="2721" w:right="0" w:hanging="340"/>
        <w:jc w:val="left"/>
        <w:rPr>
          <w:sz w:val="21"/>
        </w:rPr>
      </w:pPr>
      <w:r>
        <w:rPr>
          <w:w w:val="105"/>
          <w:sz w:val="21"/>
        </w:rPr>
        <w:t>more </w:t>
      </w:r>
      <w:r>
        <w:rPr>
          <w:spacing w:val="-3"/>
          <w:w w:val="105"/>
          <w:sz w:val="21"/>
        </w:rPr>
        <w:t>remote</w:t>
      </w:r>
      <w:r>
        <w:rPr>
          <w:spacing w:val="10"/>
          <w:w w:val="105"/>
          <w:sz w:val="21"/>
        </w:rPr>
        <w:t> </w:t>
      </w:r>
      <w:r>
        <w:rPr>
          <w:spacing w:val="-3"/>
          <w:w w:val="105"/>
          <w:sz w:val="21"/>
        </w:rPr>
        <w:t>kin.</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8"/>
        </w:rPr>
      </w:pPr>
      <w:r>
        <w:rPr/>
        <w:pict>
          <v:line style="position:absolute;mso-position-horizontal-relative:page;mso-position-vertical-relative:paragraph;z-index:3344;mso-wrap-distance-left:0;mso-wrap-distance-right:0" from="79.370003pt,13.697198pt" to="515.905003pt,13.697198pt" stroked="true" strokeweight="1pt" strokecolor="#f9ceca">
            <v:stroke dashstyle="solid"/>
            <w10:wrap type="topAndBottom"/>
          </v:line>
        </w:pict>
      </w:r>
    </w:p>
    <w:p>
      <w:pPr>
        <w:pStyle w:val="ListParagraph"/>
        <w:numPr>
          <w:ilvl w:val="0"/>
          <w:numId w:val="50"/>
        </w:numPr>
        <w:tabs>
          <w:tab w:pos="2381" w:val="left" w:leader="none"/>
          <w:tab w:pos="2382" w:val="left" w:leader="none"/>
        </w:tabs>
        <w:spacing w:line="240" w:lineRule="auto" w:before="117" w:after="0"/>
        <w:ind w:left="2381" w:right="0" w:hanging="794"/>
        <w:jc w:val="left"/>
        <w:rPr>
          <w:sz w:val="13"/>
        </w:rPr>
      </w:pPr>
      <w:r>
        <w:rPr>
          <w:i/>
          <w:sz w:val="13"/>
        </w:rPr>
        <w:t>Administration</w:t>
      </w:r>
      <w:r>
        <w:rPr>
          <w:i/>
          <w:spacing w:val="8"/>
          <w:sz w:val="13"/>
        </w:rPr>
        <w:t> </w:t>
      </w:r>
      <w:r>
        <w:rPr>
          <w:i/>
          <w:sz w:val="13"/>
        </w:rPr>
        <w:t>and</w:t>
      </w:r>
      <w:r>
        <w:rPr>
          <w:i/>
          <w:spacing w:val="9"/>
          <w:sz w:val="13"/>
        </w:rPr>
        <w:t> </w:t>
      </w:r>
      <w:r>
        <w:rPr>
          <w:i/>
          <w:sz w:val="13"/>
        </w:rPr>
        <w:t>Probate</w:t>
      </w:r>
      <w:r>
        <w:rPr>
          <w:i/>
          <w:spacing w:val="9"/>
          <w:sz w:val="13"/>
        </w:rPr>
        <w:t> </w:t>
      </w:r>
      <w:r>
        <w:rPr>
          <w:i/>
          <w:sz w:val="13"/>
        </w:rPr>
        <w:t>Act</w:t>
      </w:r>
      <w:r>
        <w:rPr>
          <w:i/>
          <w:spacing w:val="9"/>
          <w:sz w:val="13"/>
        </w:rPr>
        <w:t> </w:t>
      </w:r>
      <w:r>
        <w:rPr>
          <w:i/>
          <w:sz w:val="13"/>
        </w:rPr>
        <w:t>1958</w:t>
      </w:r>
      <w:r>
        <w:rPr>
          <w:i/>
          <w:spacing w:val="10"/>
          <w:sz w:val="13"/>
        </w:rPr>
        <w:t> </w:t>
      </w:r>
      <w:r>
        <w:rPr>
          <w:spacing w:val="2"/>
          <w:sz w:val="13"/>
        </w:rPr>
        <w:t>(Vic)</w:t>
      </w:r>
      <w:r>
        <w:rPr>
          <w:spacing w:val="10"/>
          <w:sz w:val="13"/>
        </w:rPr>
        <w:t> </w:t>
      </w:r>
      <w:r>
        <w:rPr>
          <w:sz w:val="13"/>
        </w:rPr>
        <w:t>ss</w:t>
      </w:r>
      <w:r>
        <w:rPr>
          <w:spacing w:val="10"/>
          <w:sz w:val="13"/>
        </w:rPr>
        <w:t> </w:t>
      </w:r>
      <w:r>
        <w:rPr>
          <w:spacing w:val="2"/>
          <w:sz w:val="13"/>
        </w:rPr>
        <w:t>51(1)–(2).</w:t>
      </w:r>
      <w:r>
        <w:rPr>
          <w:spacing w:val="10"/>
          <w:sz w:val="13"/>
        </w:rPr>
        <w:t> </w:t>
      </w:r>
      <w:r>
        <w:rPr>
          <w:sz w:val="13"/>
        </w:rPr>
        <w:t>This</w:t>
      </w:r>
      <w:r>
        <w:rPr>
          <w:spacing w:val="10"/>
          <w:sz w:val="13"/>
        </w:rPr>
        <w:t> </w:t>
      </w:r>
      <w:r>
        <w:rPr>
          <w:sz w:val="13"/>
        </w:rPr>
        <w:t>section</w:t>
      </w:r>
      <w:r>
        <w:rPr>
          <w:spacing w:val="10"/>
          <w:sz w:val="13"/>
        </w:rPr>
        <w:t> </w:t>
      </w:r>
      <w:r>
        <w:rPr>
          <w:sz w:val="13"/>
        </w:rPr>
        <w:t>provides</w:t>
      </w:r>
      <w:r>
        <w:rPr>
          <w:spacing w:val="10"/>
          <w:sz w:val="13"/>
        </w:rPr>
        <w:t> </w:t>
      </w:r>
      <w:r>
        <w:rPr>
          <w:sz w:val="13"/>
        </w:rPr>
        <w:t>for</w:t>
      </w:r>
      <w:r>
        <w:rPr>
          <w:spacing w:val="10"/>
          <w:sz w:val="13"/>
        </w:rPr>
        <w:t> </w:t>
      </w:r>
      <w:r>
        <w:rPr>
          <w:sz w:val="13"/>
        </w:rPr>
        <w:t>situations</w:t>
      </w:r>
      <w:r>
        <w:rPr>
          <w:spacing w:val="10"/>
          <w:sz w:val="13"/>
        </w:rPr>
        <w:t> </w:t>
      </w:r>
      <w:r>
        <w:rPr>
          <w:sz w:val="13"/>
        </w:rPr>
        <w:t>in</w:t>
      </w:r>
      <w:r>
        <w:rPr>
          <w:spacing w:val="10"/>
          <w:sz w:val="13"/>
        </w:rPr>
        <w:t> </w:t>
      </w:r>
      <w:r>
        <w:rPr>
          <w:sz w:val="13"/>
        </w:rPr>
        <w:t>which</w:t>
      </w:r>
      <w:r>
        <w:rPr>
          <w:spacing w:val="10"/>
          <w:sz w:val="13"/>
        </w:rPr>
        <w:t> </w:t>
      </w:r>
      <w:r>
        <w:rPr>
          <w:sz w:val="13"/>
        </w:rPr>
        <w:t>the</w:t>
      </w:r>
      <w:r>
        <w:rPr>
          <w:spacing w:val="10"/>
          <w:sz w:val="13"/>
        </w:rPr>
        <w:t> </w:t>
      </w:r>
      <w:r>
        <w:rPr>
          <w:sz w:val="13"/>
        </w:rPr>
        <w:t>deceased</w:t>
      </w:r>
      <w:r>
        <w:rPr>
          <w:spacing w:val="10"/>
          <w:sz w:val="13"/>
        </w:rPr>
        <w:t> </w:t>
      </w:r>
      <w:r>
        <w:rPr>
          <w:sz w:val="13"/>
        </w:rPr>
        <w:t>person</w:t>
      </w:r>
      <w:r>
        <w:rPr>
          <w:spacing w:val="10"/>
          <w:sz w:val="13"/>
        </w:rPr>
        <w:t> </w:t>
      </w:r>
      <w:r>
        <w:rPr>
          <w:sz w:val="13"/>
        </w:rPr>
        <w:t>is</w:t>
      </w:r>
      <w:r>
        <w:rPr>
          <w:spacing w:val="10"/>
          <w:sz w:val="13"/>
        </w:rPr>
        <w:t> </w:t>
      </w:r>
      <w:r>
        <w:rPr>
          <w:sz w:val="13"/>
        </w:rPr>
        <w:t>survived</w:t>
      </w:r>
      <w:r>
        <w:rPr>
          <w:spacing w:val="10"/>
          <w:sz w:val="13"/>
        </w:rPr>
        <w:t> </w:t>
      </w:r>
      <w:r>
        <w:rPr>
          <w:sz w:val="13"/>
        </w:rPr>
        <w:t>by</w:t>
      </w:r>
    </w:p>
    <w:p>
      <w:pPr>
        <w:spacing w:before="1"/>
        <w:ind w:left="2381" w:right="0" w:firstLine="0"/>
        <w:jc w:val="left"/>
        <w:rPr>
          <w:sz w:val="13"/>
        </w:rPr>
      </w:pPr>
      <w:r>
        <w:rPr>
          <w:sz w:val="13"/>
        </w:rPr>
        <w:t>a partner but no children or other issue, and situations in which the deceased person is survived by a partner and children or other issue.</w:t>
      </w:r>
    </w:p>
    <w:p>
      <w:pPr>
        <w:pStyle w:val="ListParagraph"/>
        <w:numPr>
          <w:ilvl w:val="0"/>
          <w:numId w:val="50"/>
        </w:numPr>
        <w:tabs>
          <w:tab w:pos="2381" w:val="left" w:leader="none"/>
          <w:tab w:pos="2382" w:val="left" w:leader="none"/>
        </w:tabs>
        <w:spacing w:line="240" w:lineRule="auto" w:before="2" w:after="0"/>
        <w:ind w:left="1587" w:right="2072" w:firstLine="0"/>
        <w:jc w:val="left"/>
        <w:rPr>
          <w:sz w:val="13"/>
        </w:rPr>
      </w:pPr>
      <w:r>
        <w:rPr>
          <w:sz w:val="13"/>
        </w:rPr>
        <w:t>Ibid s </w:t>
      </w:r>
      <w:r>
        <w:rPr>
          <w:spacing w:val="2"/>
          <w:sz w:val="13"/>
        </w:rPr>
        <w:t>52(1)(a). </w:t>
      </w:r>
      <w:r>
        <w:rPr>
          <w:sz w:val="13"/>
        </w:rPr>
        <w:t>This section provides for situations in which the deceased person is survived by a partner and children or other issue.            </w:t>
      </w:r>
      <w:r>
        <w:rPr>
          <w:spacing w:val="-3"/>
          <w:sz w:val="13"/>
        </w:rPr>
        <w:t>15</w:t>
        <w:tab/>
      </w:r>
      <w:r>
        <w:rPr>
          <w:sz w:val="13"/>
        </w:rPr>
        <w:t>Ibid ss 51(1) </w:t>
      </w:r>
      <w:r>
        <w:rPr>
          <w:spacing w:val="4"/>
          <w:sz w:val="13"/>
        </w:rPr>
        <w:t>–(2),</w:t>
      </w:r>
      <w:r>
        <w:rPr>
          <w:spacing w:val="2"/>
          <w:sz w:val="13"/>
        </w:rPr>
        <w:t> 52(1)(a).</w:t>
      </w:r>
    </w:p>
    <w:p>
      <w:pPr>
        <w:tabs>
          <w:tab w:pos="2381" w:val="left" w:leader="none"/>
        </w:tabs>
        <w:spacing w:before="2"/>
        <w:ind w:left="2381" w:right="1930" w:hanging="794"/>
        <w:jc w:val="left"/>
        <w:rPr>
          <w:sz w:val="13"/>
        </w:rPr>
      </w:pPr>
      <w:r>
        <w:rPr>
          <w:w w:val="105"/>
          <w:sz w:val="13"/>
        </w:rPr>
        <w:t>16</w:t>
        <w:tab/>
        <w:t>Ibid s </w:t>
      </w:r>
      <w:r>
        <w:rPr>
          <w:spacing w:val="2"/>
          <w:w w:val="105"/>
          <w:sz w:val="13"/>
        </w:rPr>
        <w:t>52(1)(f). </w:t>
      </w:r>
      <w:r>
        <w:rPr>
          <w:w w:val="105"/>
          <w:sz w:val="13"/>
        </w:rPr>
        <w:t>Distribution continues indefinitely down this line of lineal descendants, to grandchildren, great-grandchildren and so on, before moving to the </w:t>
      </w:r>
      <w:r>
        <w:rPr>
          <w:spacing w:val="2"/>
          <w:w w:val="105"/>
          <w:sz w:val="13"/>
        </w:rPr>
        <w:t>next </w:t>
      </w:r>
      <w:r>
        <w:rPr>
          <w:w w:val="105"/>
          <w:sz w:val="13"/>
        </w:rPr>
        <w:t>category of </w:t>
      </w:r>
      <w:r>
        <w:rPr>
          <w:spacing w:val="2"/>
          <w:w w:val="105"/>
          <w:sz w:val="13"/>
        </w:rPr>
        <w:t>next </w:t>
      </w:r>
      <w:r>
        <w:rPr>
          <w:w w:val="105"/>
          <w:sz w:val="13"/>
        </w:rPr>
        <w:t>of</w:t>
      </w:r>
      <w:r>
        <w:rPr>
          <w:spacing w:val="6"/>
          <w:w w:val="105"/>
          <w:sz w:val="13"/>
        </w:rPr>
        <w:t> </w:t>
      </w:r>
      <w:r>
        <w:rPr>
          <w:w w:val="105"/>
          <w:sz w:val="13"/>
        </w:rPr>
        <w:t>kin.</w:t>
      </w:r>
    </w:p>
    <w:p>
      <w:pPr>
        <w:tabs>
          <w:tab w:pos="2381" w:val="left" w:leader="none"/>
        </w:tabs>
        <w:spacing w:before="3"/>
        <w:ind w:left="1587" w:right="0" w:firstLine="0"/>
        <w:jc w:val="left"/>
        <w:rPr>
          <w:sz w:val="13"/>
        </w:rPr>
      </w:pPr>
      <w:r>
        <w:rPr>
          <w:spacing w:val="-4"/>
          <w:sz w:val="13"/>
        </w:rPr>
        <w:t>17</w:t>
        <w:tab/>
      </w:r>
      <w:r>
        <w:rPr>
          <w:sz w:val="13"/>
        </w:rPr>
        <w:t>Ibid ss </w:t>
      </w:r>
      <w:r>
        <w:rPr>
          <w:spacing w:val="2"/>
          <w:sz w:val="13"/>
        </w:rPr>
        <w:t>52(1)(b),</w:t>
      </w:r>
      <w:r>
        <w:rPr>
          <w:spacing w:val="18"/>
          <w:sz w:val="13"/>
        </w:rPr>
        <w:t> </w:t>
      </w:r>
      <w:r>
        <w:rPr>
          <w:spacing w:val="5"/>
          <w:sz w:val="13"/>
        </w:rPr>
        <w:t>(e)–(ea).</w:t>
      </w:r>
    </w:p>
    <w:p>
      <w:pPr>
        <w:tabs>
          <w:tab w:pos="2381" w:val="left" w:leader="none"/>
        </w:tabs>
        <w:spacing w:before="1"/>
        <w:ind w:left="1587" w:right="0" w:firstLine="0"/>
        <w:jc w:val="left"/>
        <w:rPr>
          <w:sz w:val="13"/>
        </w:rPr>
      </w:pPr>
      <w:r>
        <w:rPr>
          <w:sz w:val="13"/>
        </w:rPr>
        <w:t>18</w:t>
        <w:tab/>
        <w:t>Ibid s</w:t>
      </w:r>
      <w:r>
        <w:rPr>
          <w:spacing w:val="12"/>
          <w:sz w:val="13"/>
        </w:rPr>
        <w:t> </w:t>
      </w:r>
      <w:r>
        <w:rPr>
          <w:spacing w:val="2"/>
          <w:sz w:val="13"/>
        </w:rPr>
        <w:t>52(1)(f)(v).</w:t>
      </w:r>
    </w:p>
    <w:p>
      <w:pPr>
        <w:tabs>
          <w:tab w:pos="2381" w:val="left" w:leader="none"/>
        </w:tabs>
        <w:spacing w:line="122" w:lineRule="exact" w:before="2"/>
        <w:ind w:left="1587" w:right="0" w:firstLine="0"/>
        <w:jc w:val="left"/>
        <w:rPr>
          <w:sz w:val="13"/>
        </w:rPr>
      </w:pPr>
      <w:r>
        <w:rPr>
          <w:spacing w:val="-3"/>
          <w:w w:val="105"/>
          <w:sz w:val="13"/>
        </w:rPr>
        <w:t>19</w:t>
        <w:tab/>
      </w:r>
      <w:r>
        <w:rPr>
          <w:w w:val="105"/>
          <w:sz w:val="13"/>
        </w:rPr>
        <w:t>Ibid.</w:t>
      </w:r>
    </w:p>
    <w:p>
      <w:pPr>
        <w:tabs>
          <w:tab w:pos="1587" w:val="left" w:leader="none"/>
          <w:tab w:pos="2381" w:val="left" w:leader="none"/>
        </w:tabs>
        <w:spacing w:line="256" w:lineRule="exact" w:before="0"/>
        <w:ind w:left="720" w:right="0" w:firstLine="0"/>
        <w:jc w:val="left"/>
        <w:rPr>
          <w:sz w:val="13"/>
        </w:rPr>
      </w:pPr>
      <w:r>
        <w:rPr>
          <w:b/>
          <w:color w:val="EC5A4F"/>
          <w:w w:val="105"/>
          <w:position w:val="-2"/>
          <w:sz w:val="24"/>
        </w:rPr>
        <w:t>58</w:t>
        <w:tab/>
      </w:r>
      <w:r>
        <w:rPr>
          <w:w w:val="105"/>
          <w:sz w:val="13"/>
        </w:rPr>
        <w:t>20</w:t>
        <w:tab/>
        <w:t>That</w:t>
      </w:r>
      <w:r>
        <w:rPr>
          <w:spacing w:val="4"/>
          <w:w w:val="105"/>
          <w:sz w:val="13"/>
        </w:rPr>
        <w:t> </w:t>
      </w:r>
      <w:r>
        <w:rPr>
          <w:w w:val="105"/>
          <w:sz w:val="13"/>
        </w:rPr>
        <w:t>is,</w:t>
      </w:r>
      <w:r>
        <w:rPr>
          <w:spacing w:val="5"/>
          <w:w w:val="105"/>
          <w:sz w:val="13"/>
        </w:rPr>
        <w:t> </w:t>
      </w:r>
      <w:r>
        <w:rPr>
          <w:w w:val="105"/>
          <w:sz w:val="13"/>
        </w:rPr>
        <w:t>siblings</w:t>
      </w:r>
      <w:r>
        <w:rPr>
          <w:spacing w:val="4"/>
          <w:w w:val="105"/>
          <w:sz w:val="13"/>
        </w:rPr>
        <w:t> </w:t>
      </w:r>
      <w:r>
        <w:rPr>
          <w:w w:val="105"/>
          <w:sz w:val="13"/>
        </w:rPr>
        <w:t>of</w:t>
      </w:r>
      <w:r>
        <w:rPr>
          <w:spacing w:val="5"/>
          <w:w w:val="105"/>
          <w:sz w:val="13"/>
        </w:rPr>
        <w:t> </w:t>
      </w:r>
      <w:r>
        <w:rPr>
          <w:w w:val="105"/>
          <w:sz w:val="13"/>
        </w:rPr>
        <w:t>the</w:t>
      </w:r>
      <w:r>
        <w:rPr>
          <w:spacing w:val="4"/>
          <w:w w:val="105"/>
          <w:sz w:val="13"/>
        </w:rPr>
        <w:t> </w:t>
      </w:r>
      <w:r>
        <w:rPr>
          <w:w w:val="105"/>
          <w:sz w:val="13"/>
        </w:rPr>
        <w:t>deceased</w:t>
      </w:r>
      <w:r>
        <w:rPr>
          <w:spacing w:val="5"/>
          <w:w w:val="105"/>
          <w:sz w:val="13"/>
        </w:rPr>
        <w:t> </w:t>
      </w:r>
      <w:r>
        <w:rPr>
          <w:w w:val="105"/>
          <w:sz w:val="13"/>
        </w:rPr>
        <w:t>person’s</w:t>
      </w:r>
      <w:r>
        <w:rPr>
          <w:spacing w:val="5"/>
          <w:w w:val="105"/>
          <w:sz w:val="13"/>
        </w:rPr>
        <w:t> </w:t>
      </w:r>
      <w:r>
        <w:rPr>
          <w:w w:val="105"/>
          <w:sz w:val="13"/>
        </w:rPr>
        <w:t>parents,</w:t>
      </w:r>
      <w:r>
        <w:rPr>
          <w:spacing w:val="4"/>
          <w:w w:val="105"/>
          <w:sz w:val="13"/>
        </w:rPr>
        <w:t> </w:t>
      </w:r>
      <w:r>
        <w:rPr>
          <w:w w:val="105"/>
          <w:sz w:val="13"/>
        </w:rPr>
        <w:t>not</w:t>
      </w:r>
      <w:r>
        <w:rPr>
          <w:spacing w:val="5"/>
          <w:w w:val="105"/>
          <w:sz w:val="13"/>
        </w:rPr>
        <w:t> </w:t>
      </w:r>
      <w:r>
        <w:rPr>
          <w:w w:val="105"/>
          <w:sz w:val="13"/>
        </w:rPr>
        <w:t>aunts</w:t>
      </w:r>
      <w:r>
        <w:rPr>
          <w:spacing w:val="4"/>
          <w:w w:val="105"/>
          <w:sz w:val="13"/>
        </w:rPr>
        <w:t> </w:t>
      </w:r>
      <w:r>
        <w:rPr>
          <w:w w:val="105"/>
          <w:sz w:val="13"/>
        </w:rPr>
        <w:t>and</w:t>
      </w:r>
      <w:r>
        <w:rPr>
          <w:spacing w:val="5"/>
          <w:w w:val="105"/>
          <w:sz w:val="13"/>
        </w:rPr>
        <w:t> </w:t>
      </w:r>
      <w:r>
        <w:rPr>
          <w:w w:val="105"/>
          <w:sz w:val="13"/>
        </w:rPr>
        <w:t>uncles</w:t>
      </w:r>
      <w:r>
        <w:rPr>
          <w:spacing w:val="5"/>
          <w:w w:val="105"/>
          <w:sz w:val="13"/>
        </w:rPr>
        <w:t> </w:t>
      </w:r>
      <w:r>
        <w:rPr>
          <w:w w:val="105"/>
          <w:sz w:val="13"/>
        </w:rPr>
        <w:t>by</w:t>
      </w:r>
      <w:r>
        <w:rPr>
          <w:spacing w:val="4"/>
          <w:w w:val="105"/>
          <w:sz w:val="13"/>
        </w:rPr>
        <w:t> </w:t>
      </w:r>
      <w:r>
        <w:rPr>
          <w:w w:val="105"/>
          <w:sz w:val="13"/>
        </w:rPr>
        <w:t>marriage.</w:t>
      </w:r>
    </w:p>
    <w:p>
      <w:pPr>
        <w:spacing w:after="0" w:line="256" w:lineRule="exact"/>
        <w:jc w:val="left"/>
        <w:rPr>
          <w:sz w:val="13"/>
        </w:rPr>
        <w:sectPr>
          <w:pgSz w:w="11910" w:h="16840"/>
          <w:pgMar w:header="550" w:footer="0" w:top="1560" w:bottom="280" w:left="0" w:right="0"/>
        </w:sectPr>
      </w:pPr>
    </w:p>
    <w:p>
      <w:pPr>
        <w:pStyle w:val="BodyText"/>
        <w:rPr>
          <w:sz w:val="20"/>
        </w:rPr>
      </w:pPr>
    </w:p>
    <w:p>
      <w:pPr>
        <w:pStyle w:val="BodyText"/>
        <w:spacing w:before="7"/>
        <w:rPr>
          <w:sz w:val="16"/>
        </w:rPr>
      </w:pPr>
    </w:p>
    <w:p>
      <w:pPr>
        <w:pStyle w:val="Heading5"/>
        <w:spacing w:before="99"/>
      </w:pPr>
      <w:bookmarkStart w:name="_TOC_250059" w:id="53"/>
      <w:bookmarkEnd w:id="53"/>
      <w:r>
        <w:rPr>
          <w:w w:val="115"/>
        </w:rPr>
        <w:t>Proposed change</w:t>
      </w:r>
    </w:p>
    <w:p>
      <w:pPr>
        <w:pStyle w:val="ListParagraph"/>
        <w:numPr>
          <w:ilvl w:val="1"/>
          <w:numId w:val="22"/>
        </w:numPr>
        <w:tabs>
          <w:tab w:pos="2380" w:val="left" w:leader="none"/>
          <w:tab w:pos="2381" w:val="left" w:leader="none"/>
        </w:tabs>
        <w:spacing w:line="242" w:lineRule="auto" w:before="137" w:after="0"/>
        <w:ind w:left="2381" w:right="1852" w:hanging="794"/>
        <w:jc w:val="left"/>
        <w:rPr>
          <w:sz w:val="12"/>
        </w:rPr>
      </w:pPr>
      <w:r>
        <w:rPr>
          <w:spacing w:val="-7"/>
          <w:w w:val="105"/>
          <w:sz w:val="21"/>
        </w:rPr>
        <w:t>To </w:t>
      </w:r>
      <w:r>
        <w:rPr>
          <w:spacing w:val="-4"/>
          <w:w w:val="105"/>
          <w:sz w:val="21"/>
        </w:rPr>
        <w:t>‘avoid </w:t>
      </w:r>
      <w:r>
        <w:rPr>
          <w:spacing w:val="-3"/>
          <w:w w:val="105"/>
          <w:sz w:val="21"/>
        </w:rPr>
        <w:t>complexity, </w:t>
      </w:r>
      <w:r>
        <w:rPr>
          <w:w w:val="105"/>
          <w:sz w:val="21"/>
        </w:rPr>
        <w:t>delay and expense in the </w:t>
      </w:r>
      <w:r>
        <w:rPr>
          <w:spacing w:val="-3"/>
          <w:w w:val="105"/>
          <w:sz w:val="21"/>
        </w:rPr>
        <w:t>administration </w:t>
      </w:r>
      <w:r>
        <w:rPr>
          <w:w w:val="105"/>
          <w:sz w:val="21"/>
        </w:rPr>
        <w:t>of </w:t>
      </w:r>
      <w:r>
        <w:rPr>
          <w:spacing w:val="-3"/>
          <w:w w:val="105"/>
          <w:sz w:val="21"/>
        </w:rPr>
        <w:t>intestate </w:t>
      </w:r>
      <w:r>
        <w:rPr>
          <w:spacing w:val="-4"/>
          <w:w w:val="105"/>
          <w:sz w:val="21"/>
        </w:rPr>
        <w:t>estates’, </w:t>
      </w:r>
      <w:r>
        <w:rPr>
          <w:w w:val="105"/>
          <w:sz w:val="21"/>
        </w:rPr>
        <w:t>the </w:t>
      </w:r>
      <w:r>
        <w:rPr>
          <w:spacing w:val="-3"/>
          <w:w w:val="105"/>
          <w:sz w:val="21"/>
        </w:rPr>
        <w:t>National Committee for Uniform Succession </w:t>
      </w:r>
      <w:r>
        <w:rPr>
          <w:w w:val="105"/>
          <w:sz w:val="21"/>
        </w:rPr>
        <w:t>Laws recommended setting a </w:t>
      </w:r>
      <w:r>
        <w:rPr>
          <w:spacing w:val="-3"/>
          <w:w w:val="105"/>
          <w:sz w:val="21"/>
        </w:rPr>
        <w:t>limit </w:t>
      </w:r>
      <w:r>
        <w:rPr>
          <w:w w:val="105"/>
          <w:sz w:val="21"/>
        </w:rPr>
        <w:t>on next of </w:t>
      </w:r>
      <w:r>
        <w:rPr>
          <w:spacing w:val="-2"/>
          <w:w w:val="105"/>
          <w:sz w:val="21"/>
        </w:rPr>
        <w:t>kin </w:t>
      </w:r>
      <w:r>
        <w:rPr>
          <w:w w:val="105"/>
          <w:sz w:val="21"/>
        </w:rPr>
        <w:t>who </w:t>
      </w:r>
      <w:r>
        <w:rPr>
          <w:spacing w:val="-3"/>
          <w:w w:val="105"/>
          <w:sz w:val="21"/>
        </w:rPr>
        <w:t>are </w:t>
      </w:r>
      <w:r>
        <w:rPr>
          <w:w w:val="105"/>
          <w:sz w:val="21"/>
        </w:rPr>
        <w:t>entitled </w:t>
      </w:r>
      <w:r>
        <w:rPr>
          <w:spacing w:val="-3"/>
          <w:w w:val="105"/>
          <w:sz w:val="21"/>
        </w:rPr>
        <w:t>to inherit </w:t>
      </w:r>
      <w:r>
        <w:rPr>
          <w:w w:val="105"/>
          <w:sz w:val="21"/>
        </w:rPr>
        <w:t>on</w:t>
      </w:r>
      <w:r>
        <w:rPr>
          <w:spacing w:val="47"/>
          <w:w w:val="105"/>
          <w:sz w:val="21"/>
        </w:rPr>
        <w:t> </w:t>
      </w:r>
      <w:r>
        <w:rPr>
          <w:spacing w:val="-3"/>
          <w:w w:val="105"/>
          <w:sz w:val="21"/>
        </w:rPr>
        <w:t>intestacy.</w:t>
      </w:r>
      <w:r>
        <w:rPr>
          <w:spacing w:val="-3"/>
          <w:w w:val="105"/>
          <w:position w:val="7"/>
          <w:sz w:val="12"/>
        </w:rPr>
        <w:t>21</w:t>
      </w:r>
    </w:p>
    <w:p>
      <w:pPr>
        <w:pStyle w:val="ListParagraph"/>
        <w:numPr>
          <w:ilvl w:val="1"/>
          <w:numId w:val="22"/>
        </w:numPr>
        <w:tabs>
          <w:tab w:pos="2380" w:val="left" w:leader="none"/>
          <w:tab w:pos="2381" w:val="left" w:leader="none"/>
        </w:tabs>
        <w:spacing w:line="242" w:lineRule="auto" w:before="123" w:after="0"/>
        <w:ind w:left="2380" w:right="2006" w:hanging="793"/>
        <w:jc w:val="left"/>
        <w:rPr>
          <w:sz w:val="21"/>
        </w:rPr>
      </w:pPr>
      <w:r>
        <w:rPr>
          <w:w w:val="105"/>
          <w:sz w:val="21"/>
        </w:rPr>
        <w:t>In its </w:t>
      </w:r>
      <w:r>
        <w:rPr>
          <w:spacing w:val="-3"/>
          <w:w w:val="105"/>
          <w:sz w:val="21"/>
        </w:rPr>
        <w:t>consultation </w:t>
      </w:r>
      <w:r>
        <w:rPr>
          <w:w w:val="105"/>
          <w:sz w:val="21"/>
        </w:rPr>
        <w:t>paper on </w:t>
      </w:r>
      <w:r>
        <w:rPr>
          <w:spacing w:val="-3"/>
          <w:w w:val="105"/>
          <w:sz w:val="21"/>
        </w:rPr>
        <w:t>intestacy, </w:t>
      </w:r>
      <w:r>
        <w:rPr>
          <w:w w:val="105"/>
          <w:sz w:val="21"/>
        </w:rPr>
        <w:t>the </w:t>
      </w:r>
      <w:r>
        <w:rPr>
          <w:spacing w:val="-3"/>
          <w:w w:val="105"/>
          <w:sz w:val="21"/>
        </w:rPr>
        <w:t>Commission asked </w:t>
      </w:r>
      <w:r>
        <w:rPr>
          <w:w w:val="105"/>
          <w:sz w:val="21"/>
        </w:rPr>
        <w:t>whether next of </w:t>
      </w:r>
      <w:r>
        <w:rPr>
          <w:spacing w:val="-2"/>
          <w:w w:val="105"/>
          <w:sz w:val="21"/>
        </w:rPr>
        <w:t>kin </w:t>
      </w:r>
      <w:r>
        <w:rPr>
          <w:spacing w:val="-3"/>
          <w:w w:val="105"/>
          <w:sz w:val="21"/>
        </w:rPr>
        <w:t>for </w:t>
      </w:r>
      <w:r>
        <w:rPr>
          <w:w w:val="105"/>
          <w:sz w:val="21"/>
        </w:rPr>
        <w:t>the</w:t>
      </w:r>
      <w:r>
        <w:rPr>
          <w:spacing w:val="-10"/>
          <w:w w:val="105"/>
          <w:sz w:val="21"/>
        </w:rPr>
        <w:t> </w:t>
      </w:r>
      <w:r>
        <w:rPr>
          <w:w w:val="105"/>
          <w:sz w:val="21"/>
        </w:rPr>
        <w:t>purposes</w:t>
      </w:r>
      <w:r>
        <w:rPr>
          <w:spacing w:val="-9"/>
          <w:w w:val="105"/>
          <w:sz w:val="21"/>
        </w:rPr>
        <w:t> </w:t>
      </w:r>
      <w:r>
        <w:rPr>
          <w:w w:val="105"/>
          <w:sz w:val="21"/>
        </w:rPr>
        <w:t>of</w:t>
      </w:r>
      <w:r>
        <w:rPr>
          <w:spacing w:val="-10"/>
          <w:w w:val="105"/>
          <w:sz w:val="21"/>
        </w:rPr>
        <w:t> </w:t>
      </w:r>
      <w:r>
        <w:rPr>
          <w:w w:val="105"/>
          <w:sz w:val="21"/>
        </w:rPr>
        <w:t>intestacy</w:t>
      </w:r>
      <w:r>
        <w:rPr>
          <w:spacing w:val="-9"/>
          <w:w w:val="105"/>
          <w:sz w:val="21"/>
        </w:rPr>
        <w:t> </w:t>
      </w:r>
      <w:r>
        <w:rPr>
          <w:w w:val="105"/>
          <w:sz w:val="21"/>
        </w:rPr>
        <w:t>in</w:t>
      </w:r>
      <w:r>
        <w:rPr>
          <w:spacing w:val="-10"/>
          <w:w w:val="105"/>
          <w:sz w:val="21"/>
        </w:rPr>
        <w:t> </w:t>
      </w:r>
      <w:r>
        <w:rPr>
          <w:w w:val="105"/>
          <w:sz w:val="21"/>
        </w:rPr>
        <w:t>Victoria</w:t>
      </w:r>
      <w:r>
        <w:rPr>
          <w:spacing w:val="-9"/>
          <w:w w:val="105"/>
          <w:sz w:val="21"/>
        </w:rPr>
        <w:t> </w:t>
      </w:r>
      <w:r>
        <w:rPr>
          <w:w w:val="105"/>
          <w:sz w:val="21"/>
        </w:rPr>
        <w:t>should</w:t>
      </w:r>
      <w:r>
        <w:rPr>
          <w:spacing w:val="-10"/>
          <w:w w:val="105"/>
          <w:sz w:val="21"/>
        </w:rPr>
        <w:t> </w:t>
      </w:r>
      <w:r>
        <w:rPr>
          <w:w w:val="105"/>
          <w:sz w:val="21"/>
        </w:rPr>
        <w:t>be</w:t>
      </w:r>
      <w:r>
        <w:rPr>
          <w:spacing w:val="-9"/>
          <w:w w:val="105"/>
          <w:sz w:val="21"/>
        </w:rPr>
        <w:t> </w:t>
      </w:r>
      <w:r>
        <w:rPr>
          <w:spacing w:val="-3"/>
          <w:w w:val="105"/>
          <w:sz w:val="21"/>
        </w:rPr>
        <w:t>limited</w:t>
      </w:r>
      <w:r>
        <w:rPr>
          <w:spacing w:val="-10"/>
          <w:w w:val="105"/>
          <w:sz w:val="21"/>
        </w:rPr>
        <w:t> </w:t>
      </w:r>
      <w:r>
        <w:rPr>
          <w:spacing w:val="-3"/>
          <w:w w:val="105"/>
          <w:sz w:val="21"/>
        </w:rPr>
        <w:t>to</w:t>
      </w:r>
      <w:r>
        <w:rPr>
          <w:spacing w:val="-9"/>
          <w:w w:val="105"/>
          <w:sz w:val="21"/>
        </w:rPr>
        <w:t> </w:t>
      </w:r>
      <w:r>
        <w:rPr>
          <w:w w:val="105"/>
          <w:sz w:val="21"/>
        </w:rPr>
        <w:t>the</w:t>
      </w:r>
      <w:r>
        <w:rPr>
          <w:spacing w:val="-10"/>
          <w:w w:val="105"/>
          <w:sz w:val="21"/>
        </w:rPr>
        <w:t> </w:t>
      </w:r>
      <w:r>
        <w:rPr>
          <w:spacing w:val="-3"/>
          <w:w w:val="105"/>
          <w:sz w:val="21"/>
        </w:rPr>
        <w:t>children</w:t>
      </w:r>
      <w:r>
        <w:rPr>
          <w:spacing w:val="-9"/>
          <w:w w:val="105"/>
          <w:sz w:val="21"/>
        </w:rPr>
        <w:t> </w:t>
      </w:r>
      <w:r>
        <w:rPr>
          <w:w w:val="105"/>
          <w:sz w:val="21"/>
        </w:rPr>
        <w:t>of</w:t>
      </w:r>
      <w:r>
        <w:rPr>
          <w:spacing w:val="-9"/>
          <w:w w:val="105"/>
          <w:sz w:val="21"/>
        </w:rPr>
        <w:t> </w:t>
      </w:r>
      <w:r>
        <w:rPr>
          <w:w w:val="105"/>
          <w:sz w:val="21"/>
        </w:rPr>
        <w:t>the</w:t>
      </w:r>
      <w:r>
        <w:rPr>
          <w:spacing w:val="-10"/>
          <w:w w:val="105"/>
          <w:sz w:val="21"/>
        </w:rPr>
        <w:t> </w:t>
      </w:r>
      <w:r>
        <w:rPr>
          <w:w w:val="105"/>
          <w:sz w:val="21"/>
        </w:rPr>
        <w:t>deceased</w:t>
      </w:r>
    </w:p>
    <w:p>
      <w:pPr>
        <w:pStyle w:val="BodyText"/>
        <w:spacing w:line="242" w:lineRule="auto" w:before="3"/>
        <w:ind w:left="2380" w:right="1619"/>
        <w:rPr>
          <w:sz w:val="12"/>
        </w:rPr>
      </w:pPr>
      <w:r>
        <w:rPr>
          <w:spacing w:val="-3"/>
          <w:w w:val="105"/>
        </w:rPr>
        <w:t>person’s</w:t>
      </w:r>
      <w:r>
        <w:rPr>
          <w:spacing w:val="-11"/>
          <w:w w:val="105"/>
        </w:rPr>
        <w:t> </w:t>
      </w:r>
      <w:r>
        <w:rPr>
          <w:spacing w:val="-3"/>
          <w:w w:val="105"/>
        </w:rPr>
        <w:t>parents’</w:t>
      </w:r>
      <w:r>
        <w:rPr>
          <w:spacing w:val="-10"/>
          <w:w w:val="105"/>
        </w:rPr>
        <w:t> </w:t>
      </w:r>
      <w:r>
        <w:rPr>
          <w:spacing w:val="-3"/>
          <w:w w:val="105"/>
        </w:rPr>
        <w:t>siblings—that</w:t>
      </w:r>
      <w:r>
        <w:rPr>
          <w:spacing w:val="-11"/>
          <w:w w:val="105"/>
        </w:rPr>
        <w:t> </w:t>
      </w:r>
      <w:r>
        <w:rPr>
          <w:w w:val="105"/>
        </w:rPr>
        <w:t>is,</w:t>
      </w:r>
      <w:r>
        <w:rPr>
          <w:spacing w:val="-10"/>
          <w:w w:val="105"/>
        </w:rPr>
        <w:t> </w:t>
      </w:r>
      <w:r>
        <w:rPr>
          <w:w w:val="105"/>
        </w:rPr>
        <w:t>the</w:t>
      </w:r>
      <w:r>
        <w:rPr>
          <w:spacing w:val="-11"/>
          <w:w w:val="105"/>
        </w:rPr>
        <w:t> </w:t>
      </w:r>
      <w:r>
        <w:rPr>
          <w:w w:val="105"/>
        </w:rPr>
        <w:t>deceased</w:t>
      </w:r>
      <w:r>
        <w:rPr>
          <w:spacing w:val="-10"/>
          <w:w w:val="105"/>
        </w:rPr>
        <w:t> </w:t>
      </w:r>
      <w:r>
        <w:rPr>
          <w:spacing w:val="-3"/>
          <w:w w:val="105"/>
        </w:rPr>
        <w:t>person’s</w:t>
      </w:r>
      <w:r>
        <w:rPr>
          <w:spacing w:val="-11"/>
          <w:w w:val="105"/>
        </w:rPr>
        <w:t> </w:t>
      </w:r>
      <w:r>
        <w:rPr>
          <w:w w:val="105"/>
        </w:rPr>
        <w:t>first</w:t>
      </w:r>
      <w:r>
        <w:rPr>
          <w:spacing w:val="-10"/>
          <w:w w:val="105"/>
        </w:rPr>
        <w:t> </w:t>
      </w:r>
      <w:r>
        <w:rPr>
          <w:w w:val="105"/>
        </w:rPr>
        <w:t>cousins—as</w:t>
      </w:r>
      <w:r>
        <w:rPr>
          <w:spacing w:val="-11"/>
          <w:w w:val="105"/>
        </w:rPr>
        <w:t> </w:t>
      </w:r>
      <w:r>
        <w:rPr>
          <w:w w:val="105"/>
        </w:rPr>
        <w:t>recommended by the </w:t>
      </w:r>
      <w:r>
        <w:rPr>
          <w:spacing w:val="-3"/>
          <w:w w:val="105"/>
        </w:rPr>
        <w:t>National</w:t>
      </w:r>
      <w:r>
        <w:rPr>
          <w:spacing w:val="16"/>
          <w:w w:val="105"/>
        </w:rPr>
        <w:t> </w:t>
      </w:r>
      <w:r>
        <w:rPr>
          <w:spacing w:val="-3"/>
          <w:w w:val="105"/>
        </w:rPr>
        <w:t>Committee.</w:t>
      </w:r>
      <w:r>
        <w:rPr>
          <w:spacing w:val="-3"/>
          <w:w w:val="105"/>
          <w:position w:val="7"/>
          <w:sz w:val="12"/>
        </w:rPr>
        <w:t>22</w:t>
      </w:r>
    </w:p>
    <w:p>
      <w:pPr>
        <w:pStyle w:val="ListParagraph"/>
        <w:numPr>
          <w:ilvl w:val="1"/>
          <w:numId w:val="22"/>
        </w:numPr>
        <w:tabs>
          <w:tab w:pos="2381" w:val="left" w:leader="none"/>
          <w:tab w:pos="2382" w:val="left" w:leader="none"/>
        </w:tabs>
        <w:spacing w:line="242" w:lineRule="auto" w:before="122" w:after="0"/>
        <w:ind w:left="2381" w:right="1867" w:hanging="794"/>
        <w:jc w:val="left"/>
        <w:rPr>
          <w:sz w:val="21"/>
        </w:rPr>
      </w:pPr>
      <w:r>
        <w:rPr>
          <w:w w:val="105"/>
          <w:sz w:val="21"/>
        </w:rPr>
        <w:t>Under the </w:t>
      </w:r>
      <w:r>
        <w:rPr>
          <w:spacing w:val="-3"/>
          <w:w w:val="105"/>
          <w:sz w:val="21"/>
        </w:rPr>
        <w:t>National </w:t>
      </w:r>
      <w:r>
        <w:rPr>
          <w:spacing w:val="-4"/>
          <w:w w:val="105"/>
          <w:sz w:val="21"/>
        </w:rPr>
        <w:t>Committee’s </w:t>
      </w:r>
      <w:r>
        <w:rPr>
          <w:spacing w:val="-3"/>
          <w:w w:val="105"/>
          <w:sz w:val="21"/>
        </w:rPr>
        <w:t>recommendations, </w:t>
      </w:r>
      <w:r>
        <w:rPr>
          <w:w w:val="105"/>
          <w:sz w:val="21"/>
        </w:rPr>
        <w:t>where an </w:t>
      </w:r>
      <w:r>
        <w:rPr>
          <w:spacing w:val="-3"/>
          <w:w w:val="105"/>
          <w:sz w:val="21"/>
        </w:rPr>
        <w:t>aunt </w:t>
      </w:r>
      <w:r>
        <w:rPr>
          <w:w w:val="105"/>
          <w:sz w:val="21"/>
        </w:rPr>
        <w:t>or uncle of the deceased</w:t>
      </w:r>
      <w:r>
        <w:rPr>
          <w:spacing w:val="-11"/>
          <w:w w:val="105"/>
          <w:sz w:val="21"/>
        </w:rPr>
        <w:t> </w:t>
      </w:r>
      <w:r>
        <w:rPr>
          <w:w w:val="105"/>
          <w:sz w:val="21"/>
        </w:rPr>
        <w:t>person</w:t>
      </w:r>
      <w:r>
        <w:rPr>
          <w:spacing w:val="-10"/>
          <w:w w:val="105"/>
          <w:sz w:val="21"/>
        </w:rPr>
        <w:t> </w:t>
      </w:r>
      <w:r>
        <w:rPr>
          <w:w w:val="105"/>
          <w:sz w:val="21"/>
        </w:rPr>
        <w:t>(a</w:t>
      </w:r>
      <w:r>
        <w:rPr>
          <w:spacing w:val="-10"/>
          <w:w w:val="105"/>
          <w:sz w:val="21"/>
        </w:rPr>
        <w:t> </w:t>
      </w:r>
      <w:r>
        <w:rPr>
          <w:spacing w:val="-3"/>
          <w:w w:val="105"/>
          <w:sz w:val="21"/>
        </w:rPr>
        <w:t>brother</w:t>
      </w:r>
      <w:r>
        <w:rPr>
          <w:spacing w:val="-10"/>
          <w:w w:val="105"/>
          <w:sz w:val="21"/>
        </w:rPr>
        <w:t> </w:t>
      </w:r>
      <w:r>
        <w:rPr>
          <w:w w:val="105"/>
          <w:sz w:val="21"/>
        </w:rPr>
        <w:t>or</w:t>
      </w:r>
      <w:r>
        <w:rPr>
          <w:spacing w:val="-11"/>
          <w:w w:val="105"/>
          <w:sz w:val="21"/>
        </w:rPr>
        <w:t> </w:t>
      </w:r>
      <w:r>
        <w:rPr>
          <w:w w:val="105"/>
          <w:sz w:val="21"/>
        </w:rPr>
        <w:t>sister</w:t>
      </w:r>
      <w:r>
        <w:rPr>
          <w:spacing w:val="-10"/>
          <w:w w:val="105"/>
          <w:sz w:val="21"/>
        </w:rPr>
        <w:t> </w:t>
      </w:r>
      <w:r>
        <w:rPr>
          <w:w w:val="105"/>
          <w:sz w:val="21"/>
        </w:rPr>
        <w:t>of</w:t>
      </w:r>
      <w:r>
        <w:rPr>
          <w:spacing w:val="-10"/>
          <w:w w:val="105"/>
          <w:sz w:val="21"/>
        </w:rPr>
        <w:t> </w:t>
      </w:r>
      <w:r>
        <w:rPr>
          <w:w w:val="105"/>
          <w:sz w:val="21"/>
        </w:rPr>
        <w:t>the</w:t>
      </w:r>
      <w:r>
        <w:rPr>
          <w:spacing w:val="-10"/>
          <w:w w:val="105"/>
          <w:sz w:val="21"/>
        </w:rPr>
        <w:t> </w:t>
      </w:r>
      <w:r>
        <w:rPr>
          <w:w w:val="105"/>
          <w:sz w:val="21"/>
        </w:rPr>
        <w:t>deceased</w:t>
      </w:r>
      <w:r>
        <w:rPr>
          <w:spacing w:val="-11"/>
          <w:w w:val="105"/>
          <w:sz w:val="21"/>
        </w:rPr>
        <w:t> </w:t>
      </w:r>
      <w:r>
        <w:rPr>
          <w:spacing w:val="-3"/>
          <w:w w:val="105"/>
          <w:sz w:val="21"/>
        </w:rPr>
        <w:t>person’s</w:t>
      </w:r>
      <w:r>
        <w:rPr>
          <w:spacing w:val="-10"/>
          <w:w w:val="105"/>
          <w:sz w:val="21"/>
        </w:rPr>
        <w:t> </w:t>
      </w:r>
      <w:r>
        <w:rPr>
          <w:spacing w:val="-3"/>
          <w:w w:val="105"/>
          <w:sz w:val="21"/>
        </w:rPr>
        <w:t>parent)</w:t>
      </w:r>
      <w:r>
        <w:rPr>
          <w:spacing w:val="-10"/>
          <w:w w:val="105"/>
          <w:sz w:val="21"/>
        </w:rPr>
        <w:t> </w:t>
      </w:r>
      <w:r>
        <w:rPr>
          <w:w w:val="105"/>
          <w:sz w:val="21"/>
        </w:rPr>
        <w:t>would</w:t>
      </w:r>
      <w:r>
        <w:rPr>
          <w:spacing w:val="-10"/>
          <w:w w:val="105"/>
          <w:sz w:val="21"/>
        </w:rPr>
        <w:t> </w:t>
      </w:r>
      <w:r>
        <w:rPr>
          <w:spacing w:val="-3"/>
          <w:w w:val="105"/>
          <w:sz w:val="21"/>
        </w:rPr>
        <w:t>have</w:t>
      </w:r>
      <w:r>
        <w:rPr>
          <w:spacing w:val="-10"/>
          <w:w w:val="105"/>
          <w:sz w:val="21"/>
        </w:rPr>
        <w:t> </w:t>
      </w:r>
      <w:r>
        <w:rPr>
          <w:w w:val="105"/>
          <w:sz w:val="21"/>
        </w:rPr>
        <w:t>been entitled </w:t>
      </w:r>
      <w:r>
        <w:rPr>
          <w:spacing w:val="-3"/>
          <w:w w:val="105"/>
          <w:sz w:val="21"/>
        </w:rPr>
        <w:t>to take </w:t>
      </w:r>
      <w:r>
        <w:rPr>
          <w:w w:val="105"/>
          <w:sz w:val="21"/>
        </w:rPr>
        <w:t>on </w:t>
      </w:r>
      <w:r>
        <w:rPr>
          <w:spacing w:val="-3"/>
          <w:w w:val="105"/>
          <w:sz w:val="21"/>
        </w:rPr>
        <w:t>intestacy, </w:t>
      </w:r>
      <w:r>
        <w:rPr>
          <w:w w:val="105"/>
          <w:sz w:val="21"/>
        </w:rPr>
        <w:t>but predeceases the deceased person, </w:t>
      </w:r>
      <w:r>
        <w:rPr>
          <w:spacing w:val="-3"/>
          <w:w w:val="105"/>
          <w:sz w:val="21"/>
        </w:rPr>
        <w:t>leaving </w:t>
      </w:r>
      <w:r>
        <w:rPr>
          <w:w w:val="105"/>
          <w:sz w:val="21"/>
        </w:rPr>
        <w:t>a </w:t>
      </w:r>
      <w:r>
        <w:rPr>
          <w:spacing w:val="-3"/>
          <w:w w:val="105"/>
          <w:sz w:val="21"/>
        </w:rPr>
        <w:t>child </w:t>
      </w:r>
      <w:r>
        <w:rPr>
          <w:w w:val="105"/>
          <w:sz w:val="21"/>
        </w:rPr>
        <w:t>or </w:t>
      </w:r>
      <w:r>
        <w:rPr>
          <w:spacing w:val="-3"/>
          <w:w w:val="105"/>
          <w:sz w:val="21"/>
        </w:rPr>
        <w:t>children</w:t>
      </w:r>
      <w:r>
        <w:rPr>
          <w:spacing w:val="-12"/>
          <w:w w:val="105"/>
          <w:sz w:val="21"/>
        </w:rPr>
        <w:t> </w:t>
      </w:r>
      <w:r>
        <w:rPr>
          <w:w w:val="105"/>
          <w:sz w:val="21"/>
        </w:rPr>
        <w:t>(first</w:t>
      </w:r>
      <w:r>
        <w:rPr>
          <w:spacing w:val="-11"/>
          <w:w w:val="105"/>
          <w:sz w:val="21"/>
        </w:rPr>
        <w:t> </w:t>
      </w:r>
      <w:r>
        <w:rPr>
          <w:spacing w:val="-3"/>
          <w:w w:val="105"/>
          <w:sz w:val="21"/>
        </w:rPr>
        <w:t>cousins</w:t>
      </w:r>
      <w:r>
        <w:rPr>
          <w:spacing w:val="-11"/>
          <w:w w:val="105"/>
          <w:sz w:val="21"/>
        </w:rPr>
        <w:t> </w:t>
      </w:r>
      <w:r>
        <w:rPr>
          <w:w w:val="105"/>
          <w:sz w:val="21"/>
        </w:rPr>
        <w:t>of</w:t>
      </w:r>
      <w:r>
        <w:rPr>
          <w:spacing w:val="-12"/>
          <w:w w:val="105"/>
          <w:sz w:val="21"/>
        </w:rPr>
        <w:t> </w:t>
      </w:r>
      <w:r>
        <w:rPr>
          <w:w w:val="105"/>
          <w:sz w:val="21"/>
        </w:rPr>
        <w:t>the</w:t>
      </w:r>
      <w:r>
        <w:rPr>
          <w:spacing w:val="-11"/>
          <w:w w:val="105"/>
          <w:sz w:val="21"/>
        </w:rPr>
        <w:t> </w:t>
      </w:r>
      <w:r>
        <w:rPr>
          <w:w w:val="105"/>
          <w:sz w:val="21"/>
        </w:rPr>
        <w:t>deceased</w:t>
      </w:r>
      <w:r>
        <w:rPr>
          <w:spacing w:val="-11"/>
          <w:w w:val="105"/>
          <w:sz w:val="21"/>
        </w:rPr>
        <w:t> </w:t>
      </w:r>
      <w:r>
        <w:rPr>
          <w:w w:val="105"/>
          <w:sz w:val="21"/>
        </w:rPr>
        <w:t>person)</w:t>
      </w:r>
      <w:r>
        <w:rPr>
          <w:spacing w:val="-12"/>
          <w:w w:val="105"/>
          <w:sz w:val="21"/>
        </w:rPr>
        <w:t> </w:t>
      </w:r>
      <w:r>
        <w:rPr>
          <w:w w:val="105"/>
          <w:sz w:val="21"/>
        </w:rPr>
        <w:t>who</w:t>
      </w:r>
      <w:r>
        <w:rPr>
          <w:spacing w:val="-11"/>
          <w:w w:val="105"/>
          <w:sz w:val="21"/>
        </w:rPr>
        <w:t> </w:t>
      </w:r>
      <w:r>
        <w:rPr>
          <w:w w:val="105"/>
          <w:sz w:val="21"/>
        </w:rPr>
        <w:t>survive</w:t>
      </w:r>
      <w:r>
        <w:rPr>
          <w:spacing w:val="-11"/>
          <w:w w:val="105"/>
          <w:sz w:val="21"/>
        </w:rPr>
        <w:t> </w:t>
      </w:r>
      <w:r>
        <w:rPr>
          <w:w w:val="105"/>
          <w:sz w:val="21"/>
        </w:rPr>
        <w:t>the</w:t>
      </w:r>
      <w:r>
        <w:rPr>
          <w:spacing w:val="-12"/>
          <w:w w:val="105"/>
          <w:sz w:val="21"/>
        </w:rPr>
        <w:t> </w:t>
      </w:r>
      <w:r>
        <w:rPr>
          <w:w w:val="105"/>
          <w:sz w:val="21"/>
        </w:rPr>
        <w:t>deceased</w:t>
      </w:r>
      <w:r>
        <w:rPr>
          <w:spacing w:val="-11"/>
          <w:w w:val="105"/>
          <w:sz w:val="21"/>
        </w:rPr>
        <w:t> </w:t>
      </w:r>
      <w:r>
        <w:rPr>
          <w:w w:val="105"/>
          <w:sz w:val="21"/>
        </w:rPr>
        <w:t>person,</w:t>
      </w:r>
      <w:r>
        <w:rPr>
          <w:spacing w:val="-11"/>
          <w:w w:val="105"/>
          <w:sz w:val="21"/>
        </w:rPr>
        <w:t> </w:t>
      </w:r>
      <w:r>
        <w:rPr>
          <w:w w:val="105"/>
          <w:sz w:val="21"/>
        </w:rPr>
        <w:t>those first </w:t>
      </w:r>
      <w:r>
        <w:rPr>
          <w:spacing w:val="-3"/>
          <w:w w:val="105"/>
          <w:sz w:val="21"/>
        </w:rPr>
        <w:t>cousins </w:t>
      </w:r>
      <w:r>
        <w:rPr>
          <w:w w:val="105"/>
          <w:sz w:val="21"/>
        </w:rPr>
        <w:t>would </w:t>
      </w:r>
      <w:r>
        <w:rPr>
          <w:spacing w:val="-3"/>
          <w:w w:val="105"/>
          <w:sz w:val="21"/>
        </w:rPr>
        <w:t>take </w:t>
      </w:r>
      <w:r>
        <w:rPr>
          <w:w w:val="105"/>
          <w:sz w:val="21"/>
        </w:rPr>
        <w:t>the deceased </w:t>
      </w:r>
      <w:r>
        <w:rPr>
          <w:spacing w:val="-3"/>
          <w:w w:val="105"/>
          <w:sz w:val="21"/>
        </w:rPr>
        <w:t>person’s aunt’s </w:t>
      </w:r>
      <w:r>
        <w:rPr>
          <w:w w:val="105"/>
          <w:sz w:val="21"/>
        </w:rPr>
        <w:t>or </w:t>
      </w:r>
      <w:r>
        <w:rPr>
          <w:spacing w:val="-4"/>
          <w:w w:val="105"/>
          <w:sz w:val="21"/>
        </w:rPr>
        <w:t>uncle’s </w:t>
      </w:r>
      <w:r>
        <w:rPr>
          <w:spacing w:val="-3"/>
          <w:w w:val="105"/>
          <w:sz w:val="21"/>
        </w:rPr>
        <w:t>share.</w:t>
      </w:r>
      <w:r>
        <w:rPr>
          <w:spacing w:val="-3"/>
          <w:w w:val="105"/>
          <w:position w:val="7"/>
          <w:sz w:val="12"/>
        </w:rPr>
        <w:t>23 </w:t>
      </w:r>
      <w:r>
        <w:rPr>
          <w:spacing w:val="-4"/>
          <w:w w:val="105"/>
          <w:sz w:val="21"/>
        </w:rPr>
        <w:t>However, </w:t>
      </w:r>
      <w:r>
        <w:rPr>
          <w:w w:val="105"/>
          <w:sz w:val="21"/>
        </w:rPr>
        <w:t>if</w:t>
      </w:r>
      <w:r>
        <w:rPr>
          <w:spacing w:val="1"/>
          <w:w w:val="105"/>
          <w:sz w:val="21"/>
        </w:rPr>
        <w:t> </w:t>
      </w:r>
      <w:r>
        <w:rPr>
          <w:w w:val="105"/>
          <w:sz w:val="21"/>
        </w:rPr>
        <w:t>a</w:t>
      </w:r>
    </w:p>
    <w:p>
      <w:pPr>
        <w:pStyle w:val="BodyText"/>
        <w:spacing w:line="242" w:lineRule="auto" w:before="5"/>
        <w:ind w:left="2381" w:right="1826"/>
        <w:rPr>
          <w:sz w:val="12"/>
        </w:rPr>
      </w:pPr>
      <w:r>
        <w:rPr/>
        <w:t>first </w:t>
      </w:r>
      <w:r>
        <w:rPr>
          <w:spacing w:val="-3"/>
        </w:rPr>
        <w:t>cousin </w:t>
      </w:r>
      <w:r>
        <w:rPr/>
        <w:t>predeceases the deceased person, </w:t>
      </w:r>
      <w:r>
        <w:rPr>
          <w:spacing w:val="-3"/>
        </w:rPr>
        <w:t>leaving </w:t>
      </w:r>
      <w:r>
        <w:rPr/>
        <w:t>a </w:t>
      </w:r>
      <w:r>
        <w:rPr>
          <w:spacing w:val="-3"/>
        </w:rPr>
        <w:t>child </w:t>
      </w:r>
      <w:r>
        <w:rPr/>
        <w:t>or </w:t>
      </w:r>
      <w:r>
        <w:rPr>
          <w:spacing w:val="-3"/>
        </w:rPr>
        <w:t>children </w:t>
      </w:r>
      <w:r>
        <w:rPr/>
        <w:t>(first </w:t>
      </w:r>
      <w:r>
        <w:rPr>
          <w:spacing w:val="-3"/>
        </w:rPr>
        <w:t>cousins </w:t>
      </w:r>
      <w:r>
        <w:rPr/>
        <w:t>once removed of the deceased person) who survive the deceased person, those first </w:t>
      </w:r>
      <w:r>
        <w:rPr>
          <w:spacing w:val="-3"/>
        </w:rPr>
        <w:t>cousins   </w:t>
      </w:r>
      <w:r>
        <w:rPr/>
        <w:t>once removed would </w:t>
      </w:r>
      <w:r>
        <w:rPr>
          <w:spacing w:val="-2"/>
        </w:rPr>
        <w:t>not </w:t>
      </w:r>
      <w:r>
        <w:rPr>
          <w:spacing w:val="-3"/>
        </w:rPr>
        <w:t>take </w:t>
      </w:r>
      <w:r>
        <w:rPr/>
        <w:t>the deceased </w:t>
      </w:r>
      <w:r>
        <w:rPr>
          <w:spacing w:val="-3"/>
        </w:rPr>
        <w:t>person’s </w:t>
      </w:r>
      <w:r>
        <w:rPr/>
        <w:t>first </w:t>
      </w:r>
      <w:r>
        <w:rPr>
          <w:spacing w:val="-4"/>
        </w:rPr>
        <w:t>cousin’s share, </w:t>
      </w:r>
      <w:r>
        <w:rPr/>
        <w:t>and the estate would</w:t>
      </w:r>
      <w:r>
        <w:rPr>
          <w:spacing w:val="10"/>
        </w:rPr>
        <w:t> </w:t>
      </w:r>
      <w:r>
        <w:rPr/>
        <w:t>belong</w:t>
      </w:r>
      <w:r>
        <w:rPr>
          <w:spacing w:val="10"/>
        </w:rPr>
        <w:t> </w:t>
      </w:r>
      <w:r>
        <w:rPr>
          <w:spacing w:val="-3"/>
        </w:rPr>
        <w:t>to</w:t>
      </w:r>
      <w:r>
        <w:rPr>
          <w:spacing w:val="10"/>
        </w:rPr>
        <w:t> </w:t>
      </w:r>
      <w:r>
        <w:rPr/>
        <w:t>the</w:t>
      </w:r>
      <w:r>
        <w:rPr>
          <w:spacing w:val="10"/>
        </w:rPr>
        <w:t> </w:t>
      </w:r>
      <w:r>
        <w:rPr>
          <w:spacing w:val="-3"/>
        </w:rPr>
        <w:t>State</w:t>
      </w:r>
      <w:r>
        <w:rPr>
          <w:spacing w:val="10"/>
        </w:rPr>
        <w:t> </w:t>
      </w:r>
      <w:r>
        <w:rPr/>
        <w:t>of</w:t>
      </w:r>
      <w:r>
        <w:rPr>
          <w:spacing w:val="10"/>
        </w:rPr>
        <w:t> </w:t>
      </w:r>
      <w:r>
        <w:rPr/>
        <w:t>Victoria</w:t>
      </w:r>
      <w:r>
        <w:rPr>
          <w:spacing w:val="10"/>
        </w:rPr>
        <w:t> </w:t>
      </w:r>
      <w:r>
        <w:rPr/>
        <w:t>as</w:t>
      </w:r>
      <w:r>
        <w:rPr>
          <w:spacing w:val="11"/>
        </w:rPr>
        <w:t> </w:t>
      </w:r>
      <w:r>
        <w:rPr>
          <w:i/>
        </w:rPr>
        <w:t>bona</w:t>
      </w:r>
      <w:r>
        <w:rPr>
          <w:i/>
          <w:spacing w:val="10"/>
        </w:rPr>
        <w:t> </w:t>
      </w:r>
      <w:r>
        <w:rPr>
          <w:i/>
          <w:spacing w:val="-4"/>
        </w:rPr>
        <w:t>vacantia</w:t>
      </w:r>
      <w:r>
        <w:rPr>
          <w:spacing w:val="-4"/>
        </w:rPr>
        <w:t>.</w:t>
      </w:r>
      <w:r>
        <w:rPr>
          <w:spacing w:val="-4"/>
          <w:position w:val="7"/>
          <w:sz w:val="12"/>
        </w:rPr>
        <w:t>24</w:t>
      </w:r>
    </w:p>
    <w:p>
      <w:pPr>
        <w:pStyle w:val="ListParagraph"/>
        <w:numPr>
          <w:ilvl w:val="1"/>
          <w:numId w:val="22"/>
        </w:numPr>
        <w:tabs>
          <w:tab w:pos="2380" w:val="left" w:leader="none"/>
          <w:tab w:pos="2381" w:val="left" w:leader="none"/>
        </w:tabs>
        <w:spacing w:line="242" w:lineRule="auto" w:before="124" w:after="0"/>
        <w:ind w:left="2381" w:right="1968" w:hanging="794"/>
        <w:jc w:val="left"/>
        <w:rPr>
          <w:sz w:val="21"/>
        </w:rPr>
      </w:pPr>
      <w:r>
        <w:rPr>
          <w:w w:val="105"/>
          <w:sz w:val="21"/>
        </w:rPr>
        <w:t>Where a </w:t>
      </w:r>
      <w:r>
        <w:rPr>
          <w:spacing w:val="-3"/>
          <w:w w:val="105"/>
          <w:sz w:val="21"/>
        </w:rPr>
        <w:t>brother </w:t>
      </w:r>
      <w:r>
        <w:rPr>
          <w:w w:val="105"/>
          <w:sz w:val="21"/>
        </w:rPr>
        <w:t>or sister of the deceased person would </w:t>
      </w:r>
      <w:r>
        <w:rPr>
          <w:spacing w:val="-3"/>
          <w:w w:val="105"/>
          <w:sz w:val="21"/>
        </w:rPr>
        <w:t>have </w:t>
      </w:r>
      <w:r>
        <w:rPr>
          <w:w w:val="105"/>
          <w:sz w:val="21"/>
        </w:rPr>
        <w:t>been entitled </w:t>
      </w:r>
      <w:r>
        <w:rPr>
          <w:spacing w:val="-3"/>
          <w:w w:val="105"/>
          <w:sz w:val="21"/>
        </w:rPr>
        <w:t>to take </w:t>
      </w:r>
      <w:r>
        <w:rPr>
          <w:w w:val="105"/>
          <w:sz w:val="21"/>
        </w:rPr>
        <w:t>on intestacy but predeceases the deceased person, </w:t>
      </w:r>
      <w:r>
        <w:rPr>
          <w:spacing w:val="-3"/>
          <w:w w:val="105"/>
          <w:sz w:val="21"/>
        </w:rPr>
        <w:t>leaving </w:t>
      </w:r>
      <w:r>
        <w:rPr>
          <w:w w:val="105"/>
          <w:sz w:val="21"/>
        </w:rPr>
        <w:t>a </w:t>
      </w:r>
      <w:r>
        <w:rPr>
          <w:spacing w:val="-3"/>
          <w:w w:val="105"/>
          <w:sz w:val="21"/>
        </w:rPr>
        <w:t>child </w:t>
      </w:r>
      <w:r>
        <w:rPr>
          <w:w w:val="105"/>
          <w:sz w:val="21"/>
        </w:rPr>
        <w:t>or </w:t>
      </w:r>
      <w:r>
        <w:rPr>
          <w:spacing w:val="-3"/>
          <w:w w:val="105"/>
          <w:sz w:val="21"/>
        </w:rPr>
        <w:t>children </w:t>
      </w:r>
      <w:r>
        <w:rPr>
          <w:w w:val="105"/>
          <w:sz w:val="21"/>
        </w:rPr>
        <w:t>(nieces and</w:t>
      </w:r>
      <w:r>
        <w:rPr>
          <w:spacing w:val="-13"/>
          <w:w w:val="105"/>
          <w:sz w:val="21"/>
        </w:rPr>
        <w:t> </w:t>
      </w:r>
      <w:r>
        <w:rPr>
          <w:w w:val="105"/>
          <w:sz w:val="21"/>
        </w:rPr>
        <w:t>nephews</w:t>
      </w:r>
      <w:r>
        <w:rPr>
          <w:spacing w:val="-12"/>
          <w:w w:val="105"/>
          <w:sz w:val="21"/>
        </w:rPr>
        <w:t> </w:t>
      </w:r>
      <w:r>
        <w:rPr>
          <w:w w:val="105"/>
          <w:sz w:val="21"/>
        </w:rPr>
        <w:t>of</w:t>
      </w:r>
      <w:r>
        <w:rPr>
          <w:spacing w:val="-12"/>
          <w:w w:val="105"/>
          <w:sz w:val="21"/>
        </w:rPr>
        <w:t> </w:t>
      </w:r>
      <w:r>
        <w:rPr>
          <w:w w:val="105"/>
          <w:sz w:val="21"/>
        </w:rPr>
        <w:t>the</w:t>
      </w:r>
      <w:r>
        <w:rPr>
          <w:spacing w:val="-13"/>
          <w:w w:val="105"/>
          <w:sz w:val="21"/>
        </w:rPr>
        <w:t> </w:t>
      </w:r>
      <w:r>
        <w:rPr>
          <w:w w:val="105"/>
          <w:sz w:val="21"/>
        </w:rPr>
        <w:t>deceased</w:t>
      </w:r>
      <w:r>
        <w:rPr>
          <w:spacing w:val="-12"/>
          <w:w w:val="105"/>
          <w:sz w:val="21"/>
        </w:rPr>
        <w:t> </w:t>
      </w:r>
      <w:r>
        <w:rPr>
          <w:w w:val="105"/>
          <w:sz w:val="21"/>
        </w:rPr>
        <w:t>person)</w:t>
      </w:r>
      <w:r>
        <w:rPr>
          <w:spacing w:val="-12"/>
          <w:w w:val="105"/>
          <w:sz w:val="21"/>
        </w:rPr>
        <w:t> </w:t>
      </w:r>
      <w:r>
        <w:rPr>
          <w:w w:val="105"/>
          <w:sz w:val="21"/>
        </w:rPr>
        <w:t>who</w:t>
      </w:r>
      <w:r>
        <w:rPr>
          <w:spacing w:val="-12"/>
          <w:w w:val="105"/>
          <w:sz w:val="21"/>
        </w:rPr>
        <w:t> </w:t>
      </w:r>
      <w:r>
        <w:rPr>
          <w:w w:val="105"/>
          <w:sz w:val="21"/>
        </w:rPr>
        <w:t>survive</w:t>
      </w:r>
      <w:r>
        <w:rPr>
          <w:spacing w:val="-13"/>
          <w:w w:val="105"/>
          <w:sz w:val="21"/>
        </w:rPr>
        <w:t> </w:t>
      </w:r>
      <w:r>
        <w:rPr>
          <w:w w:val="105"/>
          <w:sz w:val="21"/>
        </w:rPr>
        <w:t>the</w:t>
      </w:r>
      <w:r>
        <w:rPr>
          <w:spacing w:val="-12"/>
          <w:w w:val="105"/>
          <w:sz w:val="21"/>
        </w:rPr>
        <w:t> </w:t>
      </w:r>
      <w:r>
        <w:rPr>
          <w:w w:val="105"/>
          <w:sz w:val="21"/>
        </w:rPr>
        <w:t>deceased</w:t>
      </w:r>
      <w:r>
        <w:rPr>
          <w:spacing w:val="-12"/>
          <w:w w:val="105"/>
          <w:sz w:val="21"/>
        </w:rPr>
        <w:t> </w:t>
      </w:r>
      <w:r>
        <w:rPr>
          <w:w w:val="105"/>
          <w:sz w:val="21"/>
        </w:rPr>
        <w:t>person,</w:t>
      </w:r>
      <w:r>
        <w:rPr>
          <w:spacing w:val="-12"/>
          <w:w w:val="105"/>
          <w:sz w:val="21"/>
        </w:rPr>
        <w:t> </w:t>
      </w:r>
      <w:r>
        <w:rPr>
          <w:w w:val="105"/>
          <w:sz w:val="21"/>
        </w:rPr>
        <w:t>those</w:t>
      </w:r>
      <w:r>
        <w:rPr>
          <w:spacing w:val="-13"/>
          <w:w w:val="105"/>
          <w:sz w:val="21"/>
        </w:rPr>
        <w:t> </w:t>
      </w:r>
      <w:r>
        <w:rPr>
          <w:w w:val="105"/>
          <w:sz w:val="21"/>
        </w:rPr>
        <w:t>nieces and nephews would </w:t>
      </w:r>
      <w:r>
        <w:rPr>
          <w:spacing w:val="-3"/>
          <w:w w:val="105"/>
          <w:sz w:val="21"/>
        </w:rPr>
        <w:t>take </w:t>
      </w:r>
      <w:r>
        <w:rPr>
          <w:w w:val="105"/>
          <w:sz w:val="21"/>
        </w:rPr>
        <w:t>the deceased </w:t>
      </w:r>
      <w:r>
        <w:rPr>
          <w:spacing w:val="-3"/>
          <w:w w:val="105"/>
          <w:sz w:val="21"/>
        </w:rPr>
        <w:t>person’s </w:t>
      </w:r>
      <w:r>
        <w:rPr>
          <w:spacing w:val="-4"/>
          <w:w w:val="105"/>
          <w:sz w:val="21"/>
        </w:rPr>
        <w:t>sibling’s </w:t>
      </w:r>
      <w:r>
        <w:rPr>
          <w:spacing w:val="-3"/>
          <w:w w:val="105"/>
          <w:sz w:val="21"/>
        </w:rPr>
        <w:t>share.</w:t>
      </w:r>
      <w:r>
        <w:rPr>
          <w:spacing w:val="-3"/>
          <w:w w:val="105"/>
          <w:position w:val="7"/>
          <w:sz w:val="12"/>
        </w:rPr>
        <w:t>25 </w:t>
      </w:r>
      <w:r>
        <w:rPr>
          <w:w w:val="105"/>
          <w:sz w:val="21"/>
        </w:rPr>
        <w:t>If a niece or nephew predeceases</w:t>
      </w:r>
      <w:r>
        <w:rPr>
          <w:spacing w:val="-6"/>
          <w:w w:val="105"/>
          <w:sz w:val="21"/>
        </w:rPr>
        <w:t> </w:t>
      </w:r>
      <w:r>
        <w:rPr>
          <w:w w:val="105"/>
          <w:sz w:val="21"/>
        </w:rPr>
        <w:t>the</w:t>
      </w:r>
      <w:r>
        <w:rPr>
          <w:spacing w:val="-6"/>
          <w:w w:val="105"/>
          <w:sz w:val="21"/>
        </w:rPr>
        <w:t> </w:t>
      </w:r>
      <w:r>
        <w:rPr>
          <w:w w:val="105"/>
          <w:sz w:val="21"/>
        </w:rPr>
        <w:t>deceased</w:t>
      </w:r>
      <w:r>
        <w:rPr>
          <w:spacing w:val="-6"/>
          <w:w w:val="105"/>
          <w:sz w:val="21"/>
        </w:rPr>
        <w:t> </w:t>
      </w:r>
      <w:r>
        <w:rPr>
          <w:w w:val="105"/>
          <w:sz w:val="21"/>
        </w:rPr>
        <w:t>person,</w:t>
      </w:r>
      <w:r>
        <w:rPr>
          <w:spacing w:val="-6"/>
          <w:w w:val="105"/>
          <w:sz w:val="21"/>
        </w:rPr>
        <w:t> </w:t>
      </w:r>
      <w:r>
        <w:rPr>
          <w:spacing w:val="-3"/>
          <w:w w:val="105"/>
          <w:sz w:val="21"/>
        </w:rPr>
        <w:t>leaving</w:t>
      </w:r>
      <w:r>
        <w:rPr>
          <w:spacing w:val="-5"/>
          <w:w w:val="105"/>
          <w:sz w:val="21"/>
        </w:rPr>
        <w:t> </w:t>
      </w:r>
      <w:r>
        <w:rPr>
          <w:w w:val="105"/>
          <w:sz w:val="21"/>
        </w:rPr>
        <w:t>a</w:t>
      </w:r>
      <w:r>
        <w:rPr>
          <w:spacing w:val="-6"/>
          <w:w w:val="105"/>
          <w:sz w:val="21"/>
        </w:rPr>
        <w:t> </w:t>
      </w:r>
      <w:r>
        <w:rPr>
          <w:spacing w:val="-3"/>
          <w:w w:val="105"/>
          <w:sz w:val="21"/>
        </w:rPr>
        <w:t>child</w:t>
      </w:r>
      <w:r>
        <w:rPr>
          <w:spacing w:val="-6"/>
          <w:w w:val="105"/>
          <w:sz w:val="21"/>
        </w:rPr>
        <w:t> </w:t>
      </w:r>
      <w:r>
        <w:rPr>
          <w:w w:val="105"/>
          <w:sz w:val="21"/>
        </w:rPr>
        <w:t>or</w:t>
      </w:r>
      <w:r>
        <w:rPr>
          <w:spacing w:val="-6"/>
          <w:w w:val="105"/>
          <w:sz w:val="21"/>
        </w:rPr>
        <w:t> </w:t>
      </w:r>
      <w:r>
        <w:rPr>
          <w:spacing w:val="-3"/>
          <w:w w:val="105"/>
          <w:sz w:val="21"/>
        </w:rPr>
        <w:t>children</w:t>
      </w:r>
      <w:r>
        <w:rPr>
          <w:spacing w:val="-6"/>
          <w:w w:val="105"/>
          <w:sz w:val="21"/>
        </w:rPr>
        <w:t> </w:t>
      </w:r>
      <w:r>
        <w:rPr>
          <w:spacing w:val="-3"/>
          <w:w w:val="105"/>
          <w:sz w:val="21"/>
        </w:rPr>
        <w:t>(great-nieces</w:t>
      </w:r>
      <w:r>
        <w:rPr>
          <w:spacing w:val="-5"/>
          <w:w w:val="105"/>
          <w:sz w:val="21"/>
        </w:rPr>
        <w:t> </w:t>
      </w:r>
      <w:r>
        <w:rPr>
          <w:w w:val="105"/>
          <w:sz w:val="21"/>
        </w:rPr>
        <w:t>and</w:t>
      </w:r>
      <w:r>
        <w:rPr>
          <w:spacing w:val="-6"/>
          <w:w w:val="105"/>
          <w:sz w:val="21"/>
        </w:rPr>
        <w:t> </w:t>
      </w:r>
      <w:r>
        <w:rPr>
          <w:spacing w:val="-4"/>
          <w:w w:val="105"/>
          <w:sz w:val="21"/>
        </w:rPr>
        <w:t>great-</w:t>
      </w:r>
    </w:p>
    <w:p>
      <w:pPr>
        <w:pStyle w:val="BodyText"/>
        <w:spacing w:line="242" w:lineRule="auto" w:before="6"/>
        <w:ind w:left="2381" w:right="1619"/>
        <w:rPr>
          <w:sz w:val="12"/>
        </w:rPr>
      </w:pPr>
      <w:r>
        <w:rPr>
          <w:w w:val="105"/>
        </w:rPr>
        <w:t>nephews</w:t>
      </w:r>
      <w:r>
        <w:rPr>
          <w:spacing w:val="-12"/>
          <w:w w:val="105"/>
        </w:rPr>
        <w:t> </w:t>
      </w:r>
      <w:r>
        <w:rPr>
          <w:w w:val="105"/>
        </w:rPr>
        <w:t>of</w:t>
      </w:r>
      <w:r>
        <w:rPr>
          <w:spacing w:val="-12"/>
          <w:w w:val="105"/>
        </w:rPr>
        <w:t> </w:t>
      </w:r>
      <w:r>
        <w:rPr>
          <w:w w:val="105"/>
        </w:rPr>
        <w:t>the</w:t>
      </w:r>
      <w:r>
        <w:rPr>
          <w:spacing w:val="-12"/>
          <w:w w:val="105"/>
        </w:rPr>
        <w:t> </w:t>
      </w:r>
      <w:r>
        <w:rPr>
          <w:w w:val="105"/>
        </w:rPr>
        <w:t>deceased</w:t>
      </w:r>
      <w:r>
        <w:rPr>
          <w:spacing w:val="-12"/>
          <w:w w:val="105"/>
        </w:rPr>
        <w:t> </w:t>
      </w:r>
      <w:r>
        <w:rPr>
          <w:w w:val="105"/>
        </w:rPr>
        <w:t>person)</w:t>
      </w:r>
      <w:r>
        <w:rPr>
          <w:spacing w:val="-12"/>
          <w:w w:val="105"/>
        </w:rPr>
        <w:t> </w:t>
      </w:r>
      <w:r>
        <w:rPr>
          <w:w w:val="105"/>
        </w:rPr>
        <w:t>who</w:t>
      </w:r>
      <w:r>
        <w:rPr>
          <w:spacing w:val="-12"/>
          <w:w w:val="105"/>
        </w:rPr>
        <w:t> </w:t>
      </w:r>
      <w:r>
        <w:rPr>
          <w:w w:val="105"/>
        </w:rPr>
        <w:t>survive</w:t>
      </w:r>
      <w:r>
        <w:rPr>
          <w:spacing w:val="-12"/>
          <w:w w:val="105"/>
        </w:rPr>
        <w:t> </w:t>
      </w:r>
      <w:r>
        <w:rPr>
          <w:w w:val="105"/>
        </w:rPr>
        <w:t>the</w:t>
      </w:r>
      <w:r>
        <w:rPr>
          <w:spacing w:val="-12"/>
          <w:w w:val="105"/>
        </w:rPr>
        <w:t> </w:t>
      </w:r>
      <w:r>
        <w:rPr>
          <w:w w:val="105"/>
        </w:rPr>
        <w:t>deceased</w:t>
      </w:r>
      <w:r>
        <w:rPr>
          <w:spacing w:val="-12"/>
          <w:w w:val="105"/>
        </w:rPr>
        <w:t> </w:t>
      </w:r>
      <w:r>
        <w:rPr>
          <w:w w:val="105"/>
        </w:rPr>
        <w:t>person,</w:t>
      </w:r>
      <w:r>
        <w:rPr>
          <w:spacing w:val="-12"/>
          <w:w w:val="105"/>
        </w:rPr>
        <w:t> </w:t>
      </w:r>
      <w:r>
        <w:rPr>
          <w:w w:val="105"/>
        </w:rPr>
        <w:t>those</w:t>
      </w:r>
      <w:r>
        <w:rPr>
          <w:spacing w:val="-12"/>
          <w:w w:val="105"/>
        </w:rPr>
        <w:t> </w:t>
      </w:r>
      <w:r>
        <w:rPr>
          <w:spacing w:val="-3"/>
          <w:w w:val="105"/>
        </w:rPr>
        <w:t>great-nieces </w:t>
      </w:r>
      <w:r>
        <w:rPr>
          <w:w w:val="105"/>
        </w:rPr>
        <w:t>and </w:t>
      </w:r>
      <w:r>
        <w:rPr>
          <w:spacing w:val="-3"/>
          <w:w w:val="105"/>
        </w:rPr>
        <w:t>great-nephews </w:t>
      </w:r>
      <w:r>
        <w:rPr>
          <w:w w:val="105"/>
        </w:rPr>
        <w:t>would </w:t>
      </w:r>
      <w:r>
        <w:rPr>
          <w:spacing w:val="-3"/>
          <w:w w:val="105"/>
        </w:rPr>
        <w:t>take </w:t>
      </w:r>
      <w:r>
        <w:rPr>
          <w:w w:val="105"/>
        </w:rPr>
        <w:t>the deceased </w:t>
      </w:r>
      <w:r>
        <w:rPr>
          <w:spacing w:val="-3"/>
          <w:w w:val="105"/>
        </w:rPr>
        <w:t>person’s </w:t>
      </w:r>
      <w:r>
        <w:rPr>
          <w:spacing w:val="-4"/>
          <w:w w:val="105"/>
        </w:rPr>
        <w:t>niece’s </w:t>
      </w:r>
      <w:r>
        <w:rPr>
          <w:w w:val="105"/>
        </w:rPr>
        <w:t>or </w:t>
      </w:r>
      <w:r>
        <w:rPr>
          <w:spacing w:val="-3"/>
          <w:w w:val="105"/>
        </w:rPr>
        <w:t>nephew’s </w:t>
      </w:r>
      <w:r>
        <w:rPr>
          <w:spacing w:val="-4"/>
          <w:w w:val="105"/>
        </w:rPr>
        <w:t>share.</w:t>
      </w:r>
      <w:r>
        <w:rPr>
          <w:spacing w:val="-4"/>
          <w:w w:val="105"/>
          <w:position w:val="7"/>
          <w:sz w:val="12"/>
        </w:rPr>
        <w:t>26 </w:t>
      </w:r>
      <w:r>
        <w:rPr>
          <w:w w:val="105"/>
        </w:rPr>
        <w:t>Distribution would </w:t>
      </w:r>
      <w:r>
        <w:rPr>
          <w:spacing w:val="-3"/>
          <w:w w:val="105"/>
        </w:rPr>
        <w:t>continue </w:t>
      </w:r>
      <w:r>
        <w:rPr>
          <w:w w:val="105"/>
        </w:rPr>
        <w:t>down this </w:t>
      </w:r>
      <w:r>
        <w:rPr>
          <w:spacing w:val="-3"/>
          <w:w w:val="105"/>
        </w:rPr>
        <w:t>line to great-great-nieces </w:t>
      </w:r>
      <w:r>
        <w:rPr>
          <w:w w:val="105"/>
        </w:rPr>
        <w:t>and </w:t>
      </w:r>
      <w:r>
        <w:rPr>
          <w:spacing w:val="-4"/>
          <w:w w:val="105"/>
        </w:rPr>
        <w:t>great-great- </w:t>
      </w:r>
      <w:r>
        <w:rPr>
          <w:w w:val="105"/>
        </w:rPr>
        <w:t>nephews, and so on </w:t>
      </w:r>
      <w:r>
        <w:rPr>
          <w:spacing w:val="-3"/>
          <w:w w:val="105"/>
        </w:rPr>
        <w:t>until </w:t>
      </w:r>
      <w:r>
        <w:rPr>
          <w:w w:val="105"/>
        </w:rPr>
        <w:t>the </w:t>
      </w:r>
      <w:r>
        <w:rPr>
          <w:spacing w:val="-3"/>
          <w:w w:val="105"/>
        </w:rPr>
        <w:t>entitlement </w:t>
      </w:r>
      <w:r>
        <w:rPr>
          <w:w w:val="105"/>
        </w:rPr>
        <w:t>is</w:t>
      </w:r>
      <w:r>
        <w:rPr>
          <w:spacing w:val="35"/>
          <w:w w:val="105"/>
        </w:rPr>
        <w:t> </w:t>
      </w:r>
      <w:r>
        <w:rPr>
          <w:w w:val="105"/>
        </w:rPr>
        <w:t>exhausted.</w:t>
      </w:r>
      <w:r>
        <w:rPr>
          <w:w w:val="105"/>
          <w:position w:val="7"/>
          <w:sz w:val="12"/>
        </w:rPr>
        <w:t>27</w:t>
      </w:r>
    </w:p>
    <w:p>
      <w:pPr>
        <w:pStyle w:val="ListParagraph"/>
        <w:numPr>
          <w:ilvl w:val="1"/>
          <w:numId w:val="22"/>
        </w:numPr>
        <w:tabs>
          <w:tab w:pos="2380" w:val="left" w:leader="none"/>
          <w:tab w:pos="2381" w:val="left" w:leader="none"/>
        </w:tabs>
        <w:spacing w:line="242" w:lineRule="auto" w:before="124" w:after="0"/>
        <w:ind w:left="2381" w:right="2122" w:hanging="794"/>
        <w:jc w:val="left"/>
        <w:rPr>
          <w:sz w:val="21"/>
        </w:rPr>
      </w:pPr>
      <w:r>
        <w:rPr>
          <w:w w:val="105"/>
          <w:sz w:val="21"/>
        </w:rPr>
        <w:t>If the </w:t>
      </w:r>
      <w:r>
        <w:rPr>
          <w:spacing w:val="-3"/>
          <w:w w:val="105"/>
          <w:sz w:val="21"/>
        </w:rPr>
        <w:t>National </w:t>
      </w:r>
      <w:r>
        <w:rPr>
          <w:spacing w:val="-4"/>
          <w:w w:val="105"/>
          <w:sz w:val="21"/>
        </w:rPr>
        <w:t>Committee’s </w:t>
      </w:r>
      <w:r>
        <w:rPr>
          <w:w w:val="105"/>
          <w:sz w:val="21"/>
        </w:rPr>
        <w:t>recommended </w:t>
      </w:r>
      <w:r>
        <w:rPr>
          <w:spacing w:val="-3"/>
          <w:w w:val="105"/>
          <w:sz w:val="21"/>
        </w:rPr>
        <w:t>limit were implemented </w:t>
      </w:r>
      <w:r>
        <w:rPr>
          <w:w w:val="105"/>
          <w:sz w:val="21"/>
        </w:rPr>
        <w:t>in Victoria, it would</w:t>
      </w:r>
      <w:r>
        <w:rPr>
          <w:spacing w:val="-6"/>
          <w:w w:val="105"/>
          <w:sz w:val="21"/>
        </w:rPr>
        <w:t> </w:t>
      </w:r>
      <w:r>
        <w:rPr>
          <w:spacing w:val="-3"/>
          <w:w w:val="105"/>
          <w:sz w:val="21"/>
        </w:rPr>
        <w:t>exclude</w:t>
      </w:r>
      <w:r>
        <w:rPr>
          <w:spacing w:val="-5"/>
          <w:w w:val="105"/>
          <w:sz w:val="21"/>
        </w:rPr>
        <w:t> </w:t>
      </w:r>
      <w:r>
        <w:rPr>
          <w:w w:val="105"/>
          <w:sz w:val="21"/>
        </w:rPr>
        <w:t>the</w:t>
      </w:r>
      <w:r>
        <w:rPr>
          <w:spacing w:val="-5"/>
          <w:w w:val="105"/>
          <w:sz w:val="21"/>
        </w:rPr>
        <w:t> </w:t>
      </w:r>
      <w:r>
        <w:rPr>
          <w:w w:val="105"/>
          <w:sz w:val="21"/>
        </w:rPr>
        <w:t>deceased</w:t>
      </w:r>
      <w:r>
        <w:rPr>
          <w:spacing w:val="-5"/>
          <w:w w:val="105"/>
          <w:sz w:val="21"/>
        </w:rPr>
        <w:t> </w:t>
      </w:r>
      <w:r>
        <w:rPr>
          <w:spacing w:val="-3"/>
          <w:w w:val="105"/>
          <w:sz w:val="21"/>
        </w:rPr>
        <w:t>person’s</w:t>
      </w:r>
      <w:r>
        <w:rPr>
          <w:spacing w:val="-5"/>
          <w:w w:val="105"/>
          <w:sz w:val="21"/>
        </w:rPr>
        <w:t> </w:t>
      </w:r>
      <w:r>
        <w:rPr>
          <w:spacing w:val="-3"/>
          <w:w w:val="105"/>
          <w:sz w:val="21"/>
        </w:rPr>
        <w:t>great-grandparents,</w:t>
      </w:r>
      <w:r>
        <w:rPr>
          <w:spacing w:val="-5"/>
          <w:w w:val="105"/>
          <w:sz w:val="21"/>
        </w:rPr>
        <w:t> </w:t>
      </w:r>
      <w:r>
        <w:rPr>
          <w:w w:val="105"/>
          <w:sz w:val="21"/>
        </w:rPr>
        <w:t>who</w:t>
      </w:r>
      <w:r>
        <w:rPr>
          <w:spacing w:val="-5"/>
          <w:w w:val="105"/>
          <w:sz w:val="21"/>
        </w:rPr>
        <w:t> </w:t>
      </w:r>
      <w:r>
        <w:rPr>
          <w:spacing w:val="-3"/>
          <w:w w:val="105"/>
          <w:sz w:val="21"/>
        </w:rPr>
        <w:t>are</w:t>
      </w:r>
      <w:r>
        <w:rPr>
          <w:spacing w:val="-5"/>
          <w:w w:val="105"/>
          <w:sz w:val="21"/>
        </w:rPr>
        <w:t> </w:t>
      </w:r>
      <w:r>
        <w:rPr>
          <w:w w:val="105"/>
          <w:sz w:val="21"/>
        </w:rPr>
        <w:t>the</w:t>
      </w:r>
      <w:r>
        <w:rPr>
          <w:spacing w:val="-5"/>
          <w:w w:val="105"/>
          <w:sz w:val="21"/>
        </w:rPr>
        <w:t> </w:t>
      </w:r>
      <w:r>
        <w:rPr>
          <w:w w:val="105"/>
          <w:sz w:val="21"/>
        </w:rPr>
        <w:t>same</w:t>
      </w:r>
      <w:r>
        <w:rPr>
          <w:spacing w:val="-5"/>
          <w:w w:val="105"/>
          <w:sz w:val="21"/>
        </w:rPr>
        <w:t> </w:t>
      </w:r>
      <w:r>
        <w:rPr>
          <w:w w:val="105"/>
          <w:sz w:val="21"/>
        </w:rPr>
        <w:t>degree</w:t>
      </w:r>
    </w:p>
    <w:p>
      <w:pPr>
        <w:pStyle w:val="BodyText"/>
        <w:spacing w:line="242" w:lineRule="auto" w:before="2"/>
        <w:ind w:left="2380" w:right="1619"/>
      </w:pPr>
      <w:r>
        <w:rPr>
          <w:w w:val="105"/>
        </w:rPr>
        <w:t>of remoteness as the deceased </w:t>
      </w:r>
      <w:r>
        <w:rPr>
          <w:spacing w:val="-3"/>
          <w:w w:val="105"/>
        </w:rPr>
        <w:t>person’s </w:t>
      </w:r>
      <w:r>
        <w:rPr>
          <w:w w:val="105"/>
        </w:rPr>
        <w:t>aunts and uncles in Victoria under the civil </w:t>
      </w:r>
      <w:r>
        <w:rPr>
          <w:spacing w:val="-5"/>
          <w:w w:val="105"/>
        </w:rPr>
        <w:t>law, </w:t>
      </w:r>
      <w:r>
        <w:rPr>
          <w:w w:val="105"/>
        </w:rPr>
        <w:t>and the deceased </w:t>
      </w:r>
      <w:r>
        <w:rPr>
          <w:spacing w:val="-3"/>
          <w:w w:val="105"/>
        </w:rPr>
        <w:t>person’s great-aunts </w:t>
      </w:r>
      <w:r>
        <w:rPr>
          <w:w w:val="105"/>
        </w:rPr>
        <w:t>and </w:t>
      </w:r>
      <w:r>
        <w:rPr>
          <w:spacing w:val="-3"/>
          <w:w w:val="105"/>
        </w:rPr>
        <w:t>great-uncles </w:t>
      </w:r>
      <w:r>
        <w:rPr>
          <w:w w:val="105"/>
        </w:rPr>
        <w:t>and </w:t>
      </w:r>
      <w:r>
        <w:rPr>
          <w:spacing w:val="-3"/>
          <w:w w:val="105"/>
        </w:rPr>
        <w:t>great-great-grandparents, </w:t>
      </w:r>
      <w:r>
        <w:rPr>
          <w:w w:val="105"/>
        </w:rPr>
        <w:t>who</w:t>
      </w:r>
      <w:r>
        <w:rPr>
          <w:spacing w:val="-10"/>
          <w:w w:val="105"/>
        </w:rPr>
        <w:t> </w:t>
      </w:r>
      <w:r>
        <w:rPr>
          <w:spacing w:val="-3"/>
          <w:w w:val="105"/>
        </w:rPr>
        <w:t>are</w:t>
      </w:r>
      <w:r>
        <w:rPr>
          <w:spacing w:val="-9"/>
          <w:w w:val="105"/>
        </w:rPr>
        <w:t> </w:t>
      </w:r>
      <w:r>
        <w:rPr>
          <w:w w:val="105"/>
        </w:rPr>
        <w:t>the</w:t>
      </w:r>
      <w:r>
        <w:rPr>
          <w:spacing w:val="-10"/>
          <w:w w:val="105"/>
        </w:rPr>
        <w:t> </w:t>
      </w:r>
      <w:r>
        <w:rPr>
          <w:w w:val="105"/>
        </w:rPr>
        <w:t>same</w:t>
      </w:r>
      <w:r>
        <w:rPr>
          <w:spacing w:val="-10"/>
          <w:w w:val="105"/>
        </w:rPr>
        <w:t> </w:t>
      </w:r>
      <w:r>
        <w:rPr>
          <w:w w:val="105"/>
        </w:rPr>
        <w:t>degree</w:t>
      </w:r>
      <w:r>
        <w:rPr>
          <w:spacing w:val="-9"/>
          <w:w w:val="105"/>
        </w:rPr>
        <w:t> </w:t>
      </w:r>
      <w:r>
        <w:rPr>
          <w:w w:val="105"/>
        </w:rPr>
        <w:t>of</w:t>
      </w:r>
      <w:r>
        <w:rPr>
          <w:spacing w:val="-10"/>
          <w:w w:val="105"/>
        </w:rPr>
        <w:t> </w:t>
      </w:r>
      <w:r>
        <w:rPr>
          <w:w w:val="105"/>
        </w:rPr>
        <w:t>remoteness</w:t>
      </w:r>
      <w:r>
        <w:rPr>
          <w:spacing w:val="-9"/>
          <w:w w:val="105"/>
        </w:rPr>
        <w:t> </w:t>
      </w:r>
      <w:r>
        <w:rPr>
          <w:w w:val="105"/>
        </w:rPr>
        <w:t>as</w:t>
      </w:r>
      <w:r>
        <w:rPr>
          <w:spacing w:val="-10"/>
          <w:w w:val="105"/>
        </w:rPr>
        <w:t> </w:t>
      </w:r>
      <w:r>
        <w:rPr>
          <w:w w:val="105"/>
        </w:rPr>
        <w:t>the</w:t>
      </w:r>
      <w:r>
        <w:rPr>
          <w:spacing w:val="-9"/>
          <w:w w:val="105"/>
        </w:rPr>
        <w:t> </w:t>
      </w:r>
      <w:r>
        <w:rPr>
          <w:w w:val="105"/>
        </w:rPr>
        <w:t>deceased</w:t>
      </w:r>
      <w:r>
        <w:rPr>
          <w:spacing w:val="-10"/>
          <w:w w:val="105"/>
        </w:rPr>
        <w:t> </w:t>
      </w:r>
      <w:r>
        <w:rPr>
          <w:spacing w:val="-3"/>
          <w:w w:val="105"/>
        </w:rPr>
        <w:t>person’s</w:t>
      </w:r>
      <w:r>
        <w:rPr>
          <w:spacing w:val="-9"/>
          <w:w w:val="105"/>
        </w:rPr>
        <w:t> </w:t>
      </w:r>
      <w:r>
        <w:rPr>
          <w:w w:val="105"/>
        </w:rPr>
        <w:t>first</w:t>
      </w:r>
      <w:r>
        <w:rPr>
          <w:spacing w:val="-10"/>
          <w:w w:val="105"/>
        </w:rPr>
        <w:t> </w:t>
      </w:r>
      <w:r>
        <w:rPr>
          <w:spacing w:val="-3"/>
          <w:w w:val="105"/>
        </w:rPr>
        <w:t>cousins</w:t>
      </w:r>
      <w:r>
        <w:rPr>
          <w:spacing w:val="-9"/>
          <w:w w:val="105"/>
        </w:rPr>
        <w:t> </w:t>
      </w:r>
      <w:r>
        <w:rPr>
          <w:w w:val="105"/>
        </w:rPr>
        <w:t>in</w:t>
      </w:r>
      <w:r>
        <w:rPr>
          <w:spacing w:val="-10"/>
          <w:w w:val="105"/>
        </w:rPr>
        <w:t> </w:t>
      </w:r>
      <w:r>
        <w:rPr>
          <w:w w:val="105"/>
        </w:rPr>
        <w:t>Victoria under the civil </w:t>
      </w:r>
      <w:r>
        <w:rPr>
          <w:spacing w:val="-3"/>
          <w:w w:val="105"/>
        </w:rPr>
        <w:t>law.</w:t>
      </w:r>
      <w:r>
        <w:rPr>
          <w:spacing w:val="-3"/>
          <w:w w:val="105"/>
          <w:position w:val="7"/>
          <w:sz w:val="12"/>
        </w:rPr>
        <w:t>28 </w:t>
      </w:r>
      <w:r>
        <w:rPr>
          <w:w w:val="105"/>
        </w:rPr>
        <w:t>The </w:t>
      </w:r>
      <w:r>
        <w:rPr>
          <w:spacing w:val="-3"/>
          <w:w w:val="105"/>
        </w:rPr>
        <w:t>limitation </w:t>
      </w:r>
      <w:r>
        <w:rPr>
          <w:w w:val="105"/>
        </w:rPr>
        <w:t>would also </w:t>
      </w:r>
      <w:r>
        <w:rPr>
          <w:spacing w:val="-3"/>
          <w:w w:val="105"/>
        </w:rPr>
        <w:t>exclude </w:t>
      </w:r>
      <w:r>
        <w:rPr>
          <w:w w:val="105"/>
        </w:rPr>
        <w:t>more </w:t>
      </w:r>
      <w:r>
        <w:rPr>
          <w:spacing w:val="-3"/>
          <w:w w:val="105"/>
        </w:rPr>
        <w:t>remote</w:t>
      </w:r>
      <w:r>
        <w:rPr>
          <w:spacing w:val="7"/>
          <w:w w:val="105"/>
        </w:rPr>
        <w:t> </w:t>
      </w:r>
      <w:r>
        <w:rPr>
          <w:spacing w:val="-3"/>
          <w:w w:val="105"/>
        </w:rPr>
        <w:t>relatives.</w:t>
      </w:r>
    </w:p>
    <w:p>
      <w:pPr>
        <w:pStyle w:val="ListParagraph"/>
        <w:numPr>
          <w:ilvl w:val="1"/>
          <w:numId w:val="22"/>
        </w:numPr>
        <w:tabs>
          <w:tab w:pos="2381" w:val="left" w:leader="none"/>
          <w:tab w:pos="2382" w:val="left" w:leader="none"/>
        </w:tabs>
        <w:spacing w:line="242" w:lineRule="auto" w:before="125" w:after="0"/>
        <w:ind w:left="2381" w:right="1972" w:hanging="794"/>
        <w:jc w:val="left"/>
        <w:rPr>
          <w:sz w:val="12"/>
        </w:rPr>
      </w:pPr>
      <w:r>
        <w:rPr>
          <w:w w:val="105"/>
          <w:sz w:val="21"/>
        </w:rPr>
        <w:t>Victoria is the only state </w:t>
      </w:r>
      <w:r>
        <w:rPr>
          <w:spacing w:val="-3"/>
          <w:w w:val="105"/>
          <w:sz w:val="21"/>
        </w:rPr>
        <w:t>that </w:t>
      </w:r>
      <w:r>
        <w:rPr>
          <w:w w:val="105"/>
          <w:sz w:val="21"/>
        </w:rPr>
        <w:t>does </w:t>
      </w:r>
      <w:r>
        <w:rPr>
          <w:spacing w:val="-2"/>
          <w:w w:val="105"/>
          <w:sz w:val="21"/>
        </w:rPr>
        <w:t>not </w:t>
      </w:r>
      <w:r>
        <w:rPr>
          <w:spacing w:val="-3"/>
          <w:w w:val="105"/>
          <w:sz w:val="21"/>
        </w:rPr>
        <w:t>limit </w:t>
      </w:r>
      <w:r>
        <w:rPr>
          <w:w w:val="105"/>
          <w:sz w:val="21"/>
        </w:rPr>
        <w:t>next of </w:t>
      </w:r>
      <w:r>
        <w:rPr>
          <w:spacing w:val="-2"/>
          <w:w w:val="105"/>
          <w:sz w:val="21"/>
        </w:rPr>
        <w:t>kin </w:t>
      </w:r>
      <w:r>
        <w:rPr>
          <w:w w:val="105"/>
          <w:sz w:val="21"/>
        </w:rPr>
        <w:t>on </w:t>
      </w:r>
      <w:r>
        <w:rPr>
          <w:spacing w:val="-2"/>
          <w:w w:val="105"/>
          <w:sz w:val="21"/>
        </w:rPr>
        <w:t>intestacy.</w:t>
      </w:r>
      <w:r>
        <w:rPr>
          <w:spacing w:val="-2"/>
          <w:w w:val="105"/>
          <w:position w:val="7"/>
          <w:sz w:val="12"/>
        </w:rPr>
        <w:t>29 </w:t>
      </w:r>
      <w:r>
        <w:rPr>
          <w:w w:val="105"/>
          <w:sz w:val="21"/>
        </w:rPr>
        <w:t>The proposed </w:t>
      </w:r>
      <w:r>
        <w:rPr>
          <w:spacing w:val="-3"/>
          <w:w w:val="105"/>
          <w:sz w:val="21"/>
        </w:rPr>
        <w:t>change </w:t>
      </w:r>
      <w:r>
        <w:rPr>
          <w:w w:val="105"/>
          <w:sz w:val="21"/>
        </w:rPr>
        <w:t>would </w:t>
      </w:r>
      <w:r>
        <w:rPr>
          <w:spacing w:val="-3"/>
          <w:w w:val="105"/>
          <w:sz w:val="21"/>
        </w:rPr>
        <w:t>bring </w:t>
      </w:r>
      <w:r>
        <w:rPr>
          <w:w w:val="105"/>
          <w:sz w:val="21"/>
        </w:rPr>
        <w:t>Victoria </w:t>
      </w:r>
      <w:r>
        <w:rPr>
          <w:spacing w:val="-4"/>
          <w:w w:val="105"/>
          <w:sz w:val="21"/>
        </w:rPr>
        <w:t>into </w:t>
      </w:r>
      <w:r>
        <w:rPr>
          <w:spacing w:val="-3"/>
          <w:w w:val="105"/>
          <w:sz w:val="21"/>
        </w:rPr>
        <w:t>line </w:t>
      </w:r>
      <w:r>
        <w:rPr>
          <w:w w:val="105"/>
          <w:sz w:val="21"/>
        </w:rPr>
        <w:t>with New South </w:t>
      </w:r>
      <w:r>
        <w:rPr>
          <w:spacing w:val="-3"/>
          <w:w w:val="105"/>
          <w:sz w:val="21"/>
        </w:rPr>
        <w:t>Wales, </w:t>
      </w:r>
      <w:r>
        <w:rPr>
          <w:spacing w:val="-5"/>
          <w:w w:val="105"/>
          <w:sz w:val="21"/>
        </w:rPr>
        <w:t>Tasmania, </w:t>
      </w:r>
      <w:r>
        <w:rPr>
          <w:spacing w:val="-3"/>
          <w:w w:val="105"/>
          <w:sz w:val="21"/>
        </w:rPr>
        <w:t>Queensland </w:t>
      </w:r>
      <w:r>
        <w:rPr>
          <w:w w:val="105"/>
          <w:sz w:val="21"/>
        </w:rPr>
        <w:t>and</w:t>
      </w:r>
      <w:r>
        <w:rPr>
          <w:spacing w:val="-8"/>
          <w:w w:val="105"/>
          <w:sz w:val="21"/>
        </w:rPr>
        <w:t> </w:t>
      </w:r>
      <w:r>
        <w:rPr>
          <w:w w:val="105"/>
          <w:sz w:val="21"/>
        </w:rPr>
        <w:t>Western</w:t>
      </w:r>
      <w:r>
        <w:rPr>
          <w:spacing w:val="-7"/>
          <w:w w:val="105"/>
          <w:sz w:val="21"/>
        </w:rPr>
        <w:t> </w:t>
      </w:r>
      <w:r>
        <w:rPr>
          <w:spacing w:val="-3"/>
          <w:w w:val="105"/>
          <w:sz w:val="21"/>
        </w:rPr>
        <w:t>Australia,</w:t>
      </w:r>
      <w:r>
        <w:rPr>
          <w:spacing w:val="-7"/>
          <w:w w:val="105"/>
          <w:sz w:val="21"/>
        </w:rPr>
        <w:t> </w:t>
      </w:r>
      <w:r>
        <w:rPr>
          <w:w w:val="105"/>
          <w:sz w:val="21"/>
        </w:rPr>
        <w:t>which</w:t>
      </w:r>
      <w:r>
        <w:rPr>
          <w:spacing w:val="-7"/>
          <w:w w:val="105"/>
          <w:sz w:val="21"/>
        </w:rPr>
        <w:t> </w:t>
      </w:r>
      <w:r>
        <w:rPr>
          <w:spacing w:val="-3"/>
          <w:w w:val="105"/>
          <w:sz w:val="21"/>
        </w:rPr>
        <w:t>all</w:t>
      </w:r>
      <w:r>
        <w:rPr>
          <w:spacing w:val="-7"/>
          <w:w w:val="105"/>
          <w:sz w:val="21"/>
        </w:rPr>
        <w:t> </w:t>
      </w:r>
      <w:r>
        <w:rPr>
          <w:w w:val="105"/>
          <w:sz w:val="21"/>
        </w:rPr>
        <w:t>set</w:t>
      </w:r>
      <w:r>
        <w:rPr>
          <w:spacing w:val="-7"/>
          <w:w w:val="105"/>
          <w:sz w:val="21"/>
        </w:rPr>
        <w:t> </w:t>
      </w:r>
      <w:r>
        <w:rPr>
          <w:w w:val="105"/>
          <w:sz w:val="21"/>
        </w:rPr>
        <w:t>the</w:t>
      </w:r>
      <w:r>
        <w:rPr>
          <w:spacing w:val="-8"/>
          <w:w w:val="105"/>
          <w:sz w:val="21"/>
        </w:rPr>
        <w:t> </w:t>
      </w:r>
      <w:r>
        <w:rPr>
          <w:spacing w:val="-3"/>
          <w:w w:val="105"/>
          <w:sz w:val="21"/>
        </w:rPr>
        <w:t>limit</w:t>
      </w:r>
      <w:r>
        <w:rPr>
          <w:spacing w:val="-7"/>
          <w:w w:val="105"/>
          <w:sz w:val="21"/>
        </w:rPr>
        <w:t> </w:t>
      </w:r>
      <w:r>
        <w:rPr>
          <w:w w:val="105"/>
          <w:sz w:val="21"/>
        </w:rPr>
        <w:t>at</w:t>
      </w:r>
      <w:r>
        <w:rPr>
          <w:spacing w:val="-7"/>
          <w:w w:val="105"/>
          <w:sz w:val="21"/>
        </w:rPr>
        <w:t> </w:t>
      </w:r>
      <w:r>
        <w:rPr>
          <w:w w:val="105"/>
          <w:sz w:val="21"/>
        </w:rPr>
        <w:t>first</w:t>
      </w:r>
      <w:r>
        <w:rPr>
          <w:spacing w:val="-7"/>
          <w:w w:val="105"/>
          <w:sz w:val="21"/>
        </w:rPr>
        <w:t> </w:t>
      </w:r>
      <w:r>
        <w:rPr>
          <w:spacing w:val="-3"/>
          <w:w w:val="105"/>
          <w:sz w:val="21"/>
        </w:rPr>
        <w:t>cousins</w:t>
      </w:r>
      <w:r>
        <w:rPr>
          <w:spacing w:val="-7"/>
          <w:w w:val="105"/>
          <w:sz w:val="21"/>
        </w:rPr>
        <w:t> </w:t>
      </w:r>
      <w:r>
        <w:rPr>
          <w:w w:val="105"/>
          <w:sz w:val="21"/>
        </w:rPr>
        <w:t>of</w:t>
      </w:r>
      <w:r>
        <w:rPr>
          <w:spacing w:val="-7"/>
          <w:w w:val="105"/>
          <w:sz w:val="21"/>
        </w:rPr>
        <w:t> </w:t>
      </w:r>
      <w:r>
        <w:rPr>
          <w:w w:val="105"/>
          <w:sz w:val="21"/>
        </w:rPr>
        <w:t>the</w:t>
      </w:r>
      <w:r>
        <w:rPr>
          <w:spacing w:val="-7"/>
          <w:w w:val="105"/>
          <w:sz w:val="21"/>
        </w:rPr>
        <w:t> </w:t>
      </w:r>
      <w:r>
        <w:rPr>
          <w:w w:val="105"/>
          <w:sz w:val="21"/>
        </w:rPr>
        <w:t>deceased</w:t>
      </w:r>
      <w:r>
        <w:rPr>
          <w:spacing w:val="-8"/>
          <w:w w:val="105"/>
          <w:sz w:val="21"/>
        </w:rPr>
        <w:t> </w:t>
      </w:r>
      <w:r>
        <w:rPr>
          <w:w w:val="105"/>
          <w:sz w:val="21"/>
        </w:rPr>
        <w:t>person.</w:t>
      </w:r>
      <w:r>
        <w:rPr>
          <w:w w:val="105"/>
          <w:position w:val="7"/>
          <w:sz w:val="12"/>
        </w:rPr>
        <w:t>30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2"/>
        </w:rPr>
      </w:pPr>
      <w:r>
        <w:rPr/>
        <w:pict>
          <v:line style="position:absolute;mso-position-horizontal-relative:page;mso-position-vertical-relative:paragraph;z-index:3368;mso-wrap-distance-left:0;mso-wrap-distance-right:0" from="79.370102pt,16.021994pt" to="515.905102pt,16.021994pt" stroked="true" strokeweight="1pt" strokecolor="#f9ceca">
            <v:stroke dashstyle="solid"/>
            <w10:wrap type="topAndBottom"/>
          </v:line>
        </w:pict>
      </w:r>
    </w:p>
    <w:p>
      <w:pPr>
        <w:pStyle w:val="ListParagraph"/>
        <w:numPr>
          <w:ilvl w:val="0"/>
          <w:numId w:val="51"/>
        </w:numPr>
        <w:tabs>
          <w:tab w:pos="2380" w:val="left" w:leader="none"/>
          <w:tab w:pos="2382" w:val="left" w:leader="none"/>
        </w:tabs>
        <w:spacing w:line="240" w:lineRule="auto" w:before="117" w:after="0"/>
        <w:ind w:left="2381" w:right="0" w:hanging="794"/>
        <w:jc w:val="left"/>
        <w:rPr>
          <w:sz w:val="13"/>
        </w:rPr>
      </w:pPr>
      <w:r>
        <w:rPr>
          <w:w w:val="105"/>
          <w:sz w:val="13"/>
        </w:rPr>
        <w:t>National</w:t>
      </w:r>
      <w:r>
        <w:rPr>
          <w:spacing w:val="4"/>
          <w:w w:val="105"/>
          <w:sz w:val="13"/>
        </w:rPr>
        <w:t> </w:t>
      </w:r>
      <w:r>
        <w:rPr>
          <w:w w:val="105"/>
          <w:sz w:val="13"/>
        </w:rPr>
        <w:t>Committee</w:t>
      </w:r>
      <w:r>
        <w:rPr>
          <w:spacing w:val="5"/>
          <w:w w:val="105"/>
          <w:sz w:val="13"/>
        </w:rPr>
        <w:t> </w:t>
      </w:r>
      <w:r>
        <w:rPr>
          <w:w w:val="105"/>
          <w:sz w:val="13"/>
        </w:rPr>
        <w:t>for</w:t>
      </w:r>
      <w:r>
        <w:rPr>
          <w:spacing w:val="5"/>
          <w:w w:val="105"/>
          <w:sz w:val="13"/>
        </w:rPr>
        <w:t> </w:t>
      </w:r>
      <w:r>
        <w:rPr>
          <w:w w:val="105"/>
          <w:sz w:val="13"/>
        </w:rPr>
        <w:t>Uniform</w:t>
      </w:r>
      <w:r>
        <w:rPr>
          <w:spacing w:val="4"/>
          <w:w w:val="105"/>
          <w:sz w:val="13"/>
        </w:rPr>
        <w:t> </w:t>
      </w:r>
      <w:r>
        <w:rPr>
          <w:w w:val="105"/>
          <w:sz w:val="13"/>
        </w:rPr>
        <w:t>Succession</w:t>
      </w:r>
      <w:r>
        <w:rPr>
          <w:spacing w:val="5"/>
          <w:w w:val="105"/>
          <w:sz w:val="13"/>
        </w:rPr>
        <w:t> </w:t>
      </w:r>
      <w:r>
        <w:rPr>
          <w:w w:val="105"/>
          <w:sz w:val="13"/>
        </w:rPr>
        <w:t>Laws,</w:t>
      </w:r>
      <w:r>
        <w:rPr>
          <w:spacing w:val="5"/>
          <w:w w:val="105"/>
          <w:sz w:val="13"/>
        </w:rPr>
        <w:t> </w:t>
      </w:r>
      <w:r>
        <w:rPr>
          <w:w w:val="105"/>
          <w:sz w:val="13"/>
        </w:rPr>
        <w:t>above</w:t>
      </w:r>
      <w:r>
        <w:rPr>
          <w:spacing w:val="5"/>
          <w:w w:val="105"/>
          <w:sz w:val="13"/>
        </w:rPr>
        <w:t> </w:t>
      </w:r>
      <w:r>
        <w:rPr>
          <w:w w:val="105"/>
          <w:sz w:val="13"/>
        </w:rPr>
        <w:t>n</w:t>
      </w:r>
      <w:r>
        <w:rPr>
          <w:spacing w:val="4"/>
          <w:w w:val="105"/>
          <w:sz w:val="13"/>
        </w:rPr>
        <w:t> </w:t>
      </w:r>
      <w:r>
        <w:rPr>
          <w:w w:val="105"/>
          <w:sz w:val="13"/>
        </w:rPr>
        <w:t>10,</w:t>
      </w:r>
      <w:r>
        <w:rPr>
          <w:spacing w:val="5"/>
          <w:w w:val="105"/>
          <w:sz w:val="13"/>
        </w:rPr>
        <w:t> </w:t>
      </w:r>
      <w:r>
        <w:rPr>
          <w:w w:val="105"/>
          <w:sz w:val="13"/>
        </w:rPr>
        <w:t>173.</w:t>
      </w:r>
    </w:p>
    <w:p>
      <w:pPr>
        <w:pStyle w:val="ListParagraph"/>
        <w:numPr>
          <w:ilvl w:val="0"/>
          <w:numId w:val="51"/>
        </w:numPr>
        <w:tabs>
          <w:tab w:pos="2380" w:val="left" w:leader="none"/>
          <w:tab w:pos="2382" w:val="left" w:leader="none"/>
        </w:tabs>
        <w:spacing w:line="240" w:lineRule="auto" w:before="1" w:after="0"/>
        <w:ind w:left="2381" w:right="0" w:hanging="794"/>
        <w:jc w:val="left"/>
        <w:rPr>
          <w:sz w:val="13"/>
        </w:rPr>
      </w:pPr>
      <w:r>
        <w:rPr>
          <w:w w:val="105"/>
          <w:sz w:val="13"/>
        </w:rPr>
        <w:t>Ibid</w:t>
      </w:r>
      <w:r>
        <w:rPr>
          <w:spacing w:val="5"/>
          <w:w w:val="105"/>
          <w:sz w:val="13"/>
        </w:rPr>
        <w:t> </w:t>
      </w:r>
      <w:r>
        <w:rPr>
          <w:spacing w:val="-3"/>
          <w:w w:val="105"/>
          <w:sz w:val="13"/>
        </w:rPr>
        <w:t>173</w:t>
      </w:r>
      <w:r>
        <w:rPr>
          <w:spacing w:val="5"/>
          <w:w w:val="105"/>
          <w:sz w:val="13"/>
        </w:rPr>
        <w:t> </w:t>
      </w:r>
      <w:r>
        <w:rPr>
          <w:w w:val="105"/>
          <w:sz w:val="13"/>
        </w:rPr>
        <w:t>recommendation</w:t>
      </w:r>
      <w:r>
        <w:rPr>
          <w:spacing w:val="5"/>
          <w:w w:val="105"/>
          <w:sz w:val="13"/>
        </w:rPr>
        <w:t> </w:t>
      </w:r>
      <w:r>
        <w:rPr>
          <w:spacing w:val="-4"/>
          <w:w w:val="105"/>
          <w:sz w:val="13"/>
        </w:rPr>
        <w:t>37,</w:t>
      </w:r>
      <w:r>
        <w:rPr>
          <w:spacing w:val="6"/>
          <w:w w:val="105"/>
          <w:sz w:val="13"/>
        </w:rPr>
        <w:t> </w:t>
      </w:r>
      <w:r>
        <w:rPr>
          <w:w w:val="105"/>
          <w:sz w:val="13"/>
        </w:rPr>
        <w:t>Draft</w:t>
      </w:r>
      <w:r>
        <w:rPr>
          <w:spacing w:val="5"/>
          <w:w w:val="105"/>
          <w:sz w:val="13"/>
        </w:rPr>
        <w:t> </w:t>
      </w:r>
      <w:r>
        <w:rPr>
          <w:w w:val="105"/>
          <w:sz w:val="13"/>
        </w:rPr>
        <w:t>Intestacy</w:t>
      </w:r>
      <w:r>
        <w:rPr>
          <w:spacing w:val="5"/>
          <w:w w:val="105"/>
          <w:sz w:val="13"/>
        </w:rPr>
        <w:t> </w:t>
      </w:r>
      <w:r>
        <w:rPr>
          <w:w w:val="105"/>
          <w:sz w:val="13"/>
        </w:rPr>
        <w:t>Bill</w:t>
      </w:r>
      <w:r>
        <w:rPr>
          <w:spacing w:val="6"/>
          <w:w w:val="105"/>
          <w:sz w:val="13"/>
        </w:rPr>
        <w:t> </w:t>
      </w:r>
      <w:r>
        <w:rPr>
          <w:w w:val="105"/>
          <w:sz w:val="13"/>
        </w:rPr>
        <w:t>2006</w:t>
      </w:r>
      <w:r>
        <w:rPr>
          <w:spacing w:val="5"/>
          <w:w w:val="105"/>
          <w:sz w:val="13"/>
        </w:rPr>
        <w:t> </w:t>
      </w:r>
      <w:r>
        <w:rPr>
          <w:w w:val="105"/>
          <w:sz w:val="13"/>
        </w:rPr>
        <w:t>cl</w:t>
      </w:r>
      <w:r>
        <w:rPr>
          <w:spacing w:val="5"/>
          <w:w w:val="105"/>
          <w:sz w:val="13"/>
        </w:rPr>
        <w:t> </w:t>
      </w:r>
      <w:r>
        <w:rPr>
          <w:spacing w:val="2"/>
          <w:w w:val="105"/>
          <w:sz w:val="13"/>
        </w:rPr>
        <w:t>32(3);</w:t>
      </w:r>
      <w:r>
        <w:rPr>
          <w:spacing w:val="6"/>
          <w:w w:val="105"/>
          <w:sz w:val="13"/>
        </w:rPr>
        <w:t> </w:t>
      </w:r>
      <w:r>
        <w:rPr>
          <w:w w:val="105"/>
          <w:sz w:val="13"/>
        </w:rPr>
        <w:t>Victorian</w:t>
      </w:r>
      <w:r>
        <w:rPr>
          <w:spacing w:val="5"/>
          <w:w w:val="105"/>
          <w:sz w:val="13"/>
        </w:rPr>
        <w:t> </w:t>
      </w:r>
      <w:r>
        <w:rPr>
          <w:w w:val="105"/>
          <w:sz w:val="13"/>
        </w:rPr>
        <w:t>Law</w:t>
      </w:r>
      <w:r>
        <w:rPr>
          <w:spacing w:val="5"/>
          <w:w w:val="105"/>
          <w:sz w:val="13"/>
        </w:rPr>
        <w:t> </w:t>
      </w:r>
      <w:r>
        <w:rPr>
          <w:w w:val="105"/>
          <w:sz w:val="13"/>
        </w:rPr>
        <w:t>Reform</w:t>
      </w:r>
      <w:r>
        <w:rPr>
          <w:spacing w:val="5"/>
          <w:w w:val="105"/>
          <w:sz w:val="13"/>
        </w:rPr>
        <w:t> </w:t>
      </w:r>
      <w:r>
        <w:rPr>
          <w:w w:val="105"/>
          <w:sz w:val="13"/>
        </w:rPr>
        <w:t>Commission,</w:t>
      </w:r>
      <w:r>
        <w:rPr>
          <w:spacing w:val="6"/>
          <w:w w:val="105"/>
          <w:sz w:val="13"/>
        </w:rPr>
        <w:t> </w:t>
      </w:r>
      <w:r>
        <w:rPr>
          <w:w w:val="105"/>
          <w:sz w:val="13"/>
        </w:rPr>
        <w:t>above</w:t>
      </w:r>
      <w:r>
        <w:rPr>
          <w:spacing w:val="5"/>
          <w:w w:val="105"/>
          <w:sz w:val="13"/>
        </w:rPr>
        <w:t> </w:t>
      </w:r>
      <w:r>
        <w:rPr>
          <w:w w:val="105"/>
          <w:sz w:val="13"/>
        </w:rPr>
        <w:t>n</w:t>
      </w:r>
      <w:r>
        <w:rPr>
          <w:spacing w:val="5"/>
          <w:w w:val="105"/>
          <w:sz w:val="13"/>
        </w:rPr>
        <w:t> </w:t>
      </w:r>
      <w:r>
        <w:rPr>
          <w:w w:val="105"/>
          <w:sz w:val="13"/>
        </w:rPr>
        <w:t>8,</w:t>
      </w:r>
      <w:r>
        <w:rPr>
          <w:spacing w:val="6"/>
          <w:w w:val="105"/>
          <w:sz w:val="13"/>
        </w:rPr>
        <w:t> </w:t>
      </w:r>
      <w:r>
        <w:rPr>
          <w:w w:val="105"/>
          <w:sz w:val="13"/>
        </w:rPr>
        <w:t>22.</w:t>
      </w:r>
    </w:p>
    <w:p>
      <w:pPr>
        <w:pStyle w:val="ListParagraph"/>
        <w:numPr>
          <w:ilvl w:val="0"/>
          <w:numId w:val="51"/>
        </w:numPr>
        <w:tabs>
          <w:tab w:pos="2380" w:val="left" w:leader="none"/>
          <w:tab w:pos="2382" w:val="left" w:leader="none"/>
        </w:tabs>
        <w:spacing w:line="240" w:lineRule="auto" w:before="2" w:after="0"/>
        <w:ind w:left="2381" w:right="0" w:hanging="794"/>
        <w:jc w:val="left"/>
        <w:rPr>
          <w:sz w:val="13"/>
        </w:rPr>
      </w:pPr>
      <w:r>
        <w:rPr>
          <w:w w:val="105"/>
          <w:sz w:val="13"/>
        </w:rPr>
        <w:t>National</w:t>
      </w:r>
      <w:r>
        <w:rPr>
          <w:spacing w:val="5"/>
          <w:w w:val="105"/>
          <w:sz w:val="13"/>
        </w:rPr>
        <w:t> </w:t>
      </w:r>
      <w:r>
        <w:rPr>
          <w:w w:val="105"/>
          <w:sz w:val="13"/>
        </w:rPr>
        <w:t>Committee</w:t>
      </w:r>
      <w:r>
        <w:rPr>
          <w:spacing w:val="5"/>
          <w:w w:val="105"/>
          <w:sz w:val="13"/>
        </w:rPr>
        <w:t> </w:t>
      </w:r>
      <w:r>
        <w:rPr>
          <w:w w:val="105"/>
          <w:sz w:val="13"/>
        </w:rPr>
        <w:t>for</w:t>
      </w:r>
      <w:r>
        <w:rPr>
          <w:spacing w:val="5"/>
          <w:w w:val="105"/>
          <w:sz w:val="13"/>
        </w:rPr>
        <w:t> </w:t>
      </w:r>
      <w:r>
        <w:rPr>
          <w:w w:val="105"/>
          <w:sz w:val="13"/>
        </w:rPr>
        <w:t>Uniform</w:t>
      </w:r>
      <w:r>
        <w:rPr>
          <w:spacing w:val="5"/>
          <w:w w:val="105"/>
          <w:sz w:val="13"/>
        </w:rPr>
        <w:t> </w:t>
      </w:r>
      <w:r>
        <w:rPr>
          <w:w w:val="105"/>
          <w:sz w:val="13"/>
        </w:rPr>
        <w:t>Succession</w:t>
      </w:r>
      <w:r>
        <w:rPr>
          <w:spacing w:val="5"/>
          <w:w w:val="105"/>
          <w:sz w:val="13"/>
        </w:rPr>
        <w:t> </w:t>
      </w:r>
      <w:r>
        <w:rPr>
          <w:w w:val="105"/>
          <w:sz w:val="13"/>
        </w:rPr>
        <w:t>Laws,</w:t>
      </w:r>
      <w:r>
        <w:rPr>
          <w:spacing w:val="5"/>
          <w:w w:val="105"/>
          <w:sz w:val="13"/>
        </w:rPr>
        <w:t> </w:t>
      </w:r>
      <w:r>
        <w:rPr>
          <w:w w:val="105"/>
          <w:sz w:val="13"/>
        </w:rPr>
        <w:t>above</w:t>
      </w:r>
      <w:r>
        <w:rPr>
          <w:spacing w:val="5"/>
          <w:w w:val="105"/>
          <w:sz w:val="13"/>
        </w:rPr>
        <w:t> </w:t>
      </w:r>
      <w:r>
        <w:rPr>
          <w:w w:val="105"/>
          <w:sz w:val="13"/>
        </w:rPr>
        <w:t>n</w:t>
      </w:r>
      <w:r>
        <w:rPr>
          <w:spacing w:val="6"/>
          <w:w w:val="105"/>
          <w:sz w:val="13"/>
        </w:rPr>
        <w:t> </w:t>
      </w:r>
      <w:r>
        <w:rPr>
          <w:w w:val="105"/>
          <w:sz w:val="13"/>
        </w:rPr>
        <w:t>10,</w:t>
      </w:r>
      <w:r>
        <w:rPr>
          <w:spacing w:val="5"/>
          <w:w w:val="105"/>
          <w:sz w:val="13"/>
        </w:rPr>
        <w:t> </w:t>
      </w:r>
      <w:r>
        <w:rPr>
          <w:w w:val="105"/>
          <w:sz w:val="13"/>
        </w:rPr>
        <w:t>recommendation</w:t>
      </w:r>
      <w:r>
        <w:rPr>
          <w:spacing w:val="5"/>
          <w:w w:val="105"/>
          <w:sz w:val="13"/>
        </w:rPr>
        <w:t> </w:t>
      </w:r>
      <w:r>
        <w:rPr>
          <w:spacing w:val="-4"/>
          <w:w w:val="105"/>
          <w:sz w:val="13"/>
        </w:rPr>
        <w:t>37,</w:t>
      </w:r>
      <w:r>
        <w:rPr>
          <w:spacing w:val="5"/>
          <w:w w:val="105"/>
          <w:sz w:val="13"/>
        </w:rPr>
        <w:t> </w:t>
      </w:r>
      <w:r>
        <w:rPr>
          <w:w w:val="105"/>
          <w:sz w:val="13"/>
        </w:rPr>
        <w:t>Draft</w:t>
      </w:r>
      <w:r>
        <w:rPr>
          <w:spacing w:val="5"/>
          <w:w w:val="105"/>
          <w:sz w:val="13"/>
        </w:rPr>
        <w:t> </w:t>
      </w:r>
      <w:r>
        <w:rPr>
          <w:w w:val="105"/>
          <w:sz w:val="13"/>
        </w:rPr>
        <w:t>Intestacy</w:t>
      </w:r>
      <w:r>
        <w:rPr>
          <w:spacing w:val="5"/>
          <w:w w:val="105"/>
          <w:sz w:val="13"/>
        </w:rPr>
        <w:t> </w:t>
      </w:r>
      <w:r>
        <w:rPr>
          <w:w w:val="105"/>
          <w:sz w:val="13"/>
        </w:rPr>
        <w:t>Bill</w:t>
      </w:r>
      <w:r>
        <w:rPr>
          <w:spacing w:val="5"/>
          <w:w w:val="105"/>
          <w:sz w:val="13"/>
        </w:rPr>
        <w:t> </w:t>
      </w:r>
      <w:r>
        <w:rPr>
          <w:w w:val="105"/>
          <w:sz w:val="13"/>
        </w:rPr>
        <w:t>2006</w:t>
      </w:r>
      <w:r>
        <w:rPr>
          <w:spacing w:val="6"/>
          <w:w w:val="105"/>
          <w:sz w:val="13"/>
        </w:rPr>
        <w:t> </w:t>
      </w:r>
      <w:r>
        <w:rPr>
          <w:w w:val="105"/>
          <w:sz w:val="13"/>
        </w:rPr>
        <w:t>cl</w:t>
      </w:r>
      <w:r>
        <w:rPr>
          <w:spacing w:val="5"/>
          <w:w w:val="105"/>
          <w:sz w:val="13"/>
        </w:rPr>
        <w:t> </w:t>
      </w:r>
      <w:r>
        <w:rPr>
          <w:spacing w:val="2"/>
          <w:w w:val="105"/>
          <w:sz w:val="13"/>
        </w:rPr>
        <w:t>32(3).</w:t>
      </w:r>
    </w:p>
    <w:p>
      <w:pPr>
        <w:pStyle w:val="ListParagraph"/>
        <w:numPr>
          <w:ilvl w:val="0"/>
          <w:numId w:val="51"/>
        </w:numPr>
        <w:tabs>
          <w:tab w:pos="2381" w:val="left" w:leader="none"/>
          <w:tab w:pos="2382" w:val="left" w:leader="none"/>
        </w:tabs>
        <w:spacing w:line="240" w:lineRule="auto" w:before="1" w:after="0"/>
        <w:ind w:left="2381" w:right="0" w:hanging="794"/>
        <w:jc w:val="left"/>
        <w:rPr>
          <w:sz w:val="13"/>
        </w:rPr>
      </w:pPr>
      <w:r>
        <w:rPr>
          <w:w w:val="105"/>
          <w:sz w:val="13"/>
        </w:rPr>
        <w:t>Ibid </w:t>
      </w:r>
      <w:r>
        <w:rPr>
          <w:spacing w:val="-3"/>
          <w:w w:val="105"/>
          <w:sz w:val="13"/>
        </w:rPr>
        <w:t>173  </w:t>
      </w:r>
      <w:r>
        <w:rPr>
          <w:w w:val="105"/>
          <w:sz w:val="13"/>
        </w:rPr>
        <w:t>recommendation </w:t>
      </w:r>
      <w:r>
        <w:rPr>
          <w:spacing w:val="-4"/>
          <w:w w:val="105"/>
          <w:sz w:val="13"/>
        </w:rPr>
        <w:t>37,  </w:t>
      </w:r>
      <w:r>
        <w:rPr>
          <w:w w:val="105"/>
          <w:sz w:val="13"/>
        </w:rPr>
        <w:t>Draft Intestacy Bill 2006 cl </w:t>
      </w:r>
      <w:r>
        <w:rPr>
          <w:spacing w:val="1"/>
          <w:w w:val="105"/>
          <w:sz w:val="13"/>
        </w:rPr>
        <w:t> </w:t>
      </w:r>
      <w:r>
        <w:rPr>
          <w:spacing w:val="2"/>
          <w:w w:val="105"/>
          <w:sz w:val="13"/>
        </w:rPr>
        <w:t>32(3).</w:t>
      </w:r>
    </w:p>
    <w:p>
      <w:pPr>
        <w:pStyle w:val="ListParagraph"/>
        <w:numPr>
          <w:ilvl w:val="0"/>
          <w:numId w:val="51"/>
        </w:numPr>
        <w:tabs>
          <w:tab w:pos="2381" w:val="left" w:leader="none"/>
          <w:tab w:pos="2382" w:val="left" w:leader="none"/>
        </w:tabs>
        <w:spacing w:line="240" w:lineRule="auto" w:before="1" w:after="0"/>
        <w:ind w:left="2381" w:right="0" w:hanging="794"/>
        <w:jc w:val="left"/>
        <w:rPr>
          <w:sz w:val="13"/>
        </w:rPr>
      </w:pPr>
      <w:r>
        <w:rPr>
          <w:w w:val="105"/>
          <w:sz w:val="13"/>
        </w:rPr>
        <w:t>Ibid</w:t>
      </w:r>
      <w:r>
        <w:rPr>
          <w:spacing w:val="8"/>
          <w:w w:val="105"/>
          <w:sz w:val="13"/>
        </w:rPr>
        <w:t> </w:t>
      </w:r>
      <w:r>
        <w:rPr>
          <w:w w:val="105"/>
          <w:sz w:val="13"/>
        </w:rPr>
        <w:t>162</w:t>
      </w:r>
      <w:r>
        <w:rPr>
          <w:spacing w:val="8"/>
          <w:w w:val="105"/>
          <w:sz w:val="13"/>
        </w:rPr>
        <w:t> </w:t>
      </w:r>
      <w:r>
        <w:rPr>
          <w:w w:val="105"/>
          <w:sz w:val="13"/>
        </w:rPr>
        <w:t>recommendation</w:t>
      </w:r>
      <w:r>
        <w:rPr>
          <w:spacing w:val="9"/>
          <w:w w:val="105"/>
          <w:sz w:val="13"/>
        </w:rPr>
        <w:t> </w:t>
      </w:r>
      <w:r>
        <w:rPr>
          <w:w w:val="105"/>
          <w:sz w:val="13"/>
        </w:rPr>
        <w:t>34,</w:t>
      </w:r>
      <w:r>
        <w:rPr>
          <w:spacing w:val="8"/>
          <w:w w:val="105"/>
          <w:sz w:val="13"/>
        </w:rPr>
        <w:t> </w:t>
      </w:r>
      <w:r>
        <w:rPr>
          <w:w w:val="105"/>
          <w:sz w:val="13"/>
        </w:rPr>
        <w:t>Draft</w:t>
      </w:r>
      <w:r>
        <w:rPr>
          <w:spacing w:val="9"/>
          <w:w w:val="105"/>
          <w:sz w:val="13"/>
        </w:rPr>
        <w:t> </w:t>
      </w:r>
      <w:r>
        <w:rPr>
          <w:w w:val="105"/>
          <w:sz w:val="13"/>
        </w:rPr>
        <w:t>Intestacy</w:t>
      </w:r>
      <w:r>
        <w:rPr>
          <w:spacing w:val="8"/>
          <w:w w:val="105"/>
          <w:sz w:val="13"/>
        </w:rPr>
        <w:t> </w:t>
      </w:r>
      <w:r>
        <w:rPr>
          <w:w w:val="105"/>
          <w:sz w:val="13"/>
        </w:rPr>
        <w:t>Bill</w:t>
      </w:r>
      <w:r>
        <w:rPr>
          <w:spacing w:val="9"/>
          <w:w w:val="105"/>
          <w:sz w:val="13"/>
        </w:rPr>
        <w:t> </w:t>
      </w:r>
      <w:r>
        <w:rPr>
          <w:w w:val="105"/>
          <w:sz w:val="13"/>
        </w:rPr>
        <w:t>2006</w:t>
      </w:r>
      <w:r>
        <w:rPr>
          <w:spacing w:val="8"/>
          <w:w w:val="105"/>
          <w:sz w:val="13"/>
        </w:rPr>
        <w:t> </w:t>
      </w:r>
      <w:r>
        <w:rPr>
          <w:w w:val="105"/>
          <w:sz w:val="13"/>
        </w:rPr>
        <w:t>cl</w:t>
      </w:r>
      <w:r>
        <w:rPr>
          <w:spacing w:val="9"/>
          <w:w w:val="105"/>
          <w:sz w:val="13"/>
        </w:rPr>
        <w:t> </w:t>
      </w:r>
      <w:r>
        <w:rPr>
          <w:spacing w:val="4"/>
          <w:w w:val="105"/>
          <w:sz w:val="13"/>
        </w:rPr>
        <w:t>30(3).</w:t>
      </w:r>
    </w:p>
    <w:p>
      <w:pPr>
        <w:pStyle w:val="ListParagraph"/>
        <w:numPr>
          <w:ilvl w:val="0"/>
          <w:numId w:val="51"/>
        </w:numPr>
        <w:tabs>
          <w:tab w:pos="2381" w:val="left" w:leader="none"/>
          <w:tab w:pos="2382" w:val="left" w:leader="none"/>
        </w:tabs>
        <w:spacing w:line="240" w:lineRule="auto" w:before="2" w:after="0"/>
        <w:ind w:left="2381" w:right="0" w:hanging="794"/>
        <w:jc w:val="left"/>
        <w:rPr>
          <w:sz w:val="13"/>
        </w:rPr>
      </w:pPr>
      <w:r>
        <w:rPr>
          <w:sz w:val="13"/>
        </w:rPr>
        <w:t>Ibid.</w:t>
      </w:r>
    </w:p>
    <w:p>
      <w:pPr>
        <w:pStyle w:val="ListParagraph"/>
        <w:numPr>
          <w:ilvl w:val="0"/>
          <w:numId w:val="51"/>
        </w:numPr>
        <w:tabs>
          <w:tab w:pos="2381" w:val="left" w:leader="none"/>
          <w:tab w:pos="2382" w:val="left" w:leader="none"/>
        </w:tabs>
        <w:spacing w:line="240" w:lineRule="auto" w:before="1" w:after="0"/>
        <w:ind w:left="2381" w:right="0" w:hanging="794"/>
        <w:jc w:val="left"/>
        <w:rPr>
          <w:sz w:val="13"/>
        </w:rPr>
      </w:pPr>
      <w:r>
        <w:rPr>
          <w:sz w:val="13"/>
        </w:rPr>
        <w:t>Ibid.</w:t>
      </w:r>
    </w:p>
    <w:p>
      <w:pPr>
        <w:pStyle w:val="ListParagraph"/>
        <w:numPr>
          <w:ilvl w:val="0"/>
          <w:numId w:val="51"/>
        </w:numPr>
        <w:tabs>
          <w:tab w:pos="2381" w:val="left" w:leader="none"/>
          <w:tab w:pos="2382" w:val="left" w:leader="none"/>
        </w:tabs>
        <w:spacing w:line="240" w:lineRule="auto" w:before="1" w:after="0"/>
        <w:ind w:left="2381" w:right="0" w:hanging="794"/>
        <w:jc w:val="left"/>
        <w:rPr>
          <w:sz w:val="13"/>
        </w:rPr>
      </w:pPr>
      <w:r>
        <w:rPr>
          <w:w w:val="105"/>
          <w:sz w:val="13"/>
        </w:rPr>
        <w:t>See</w:t>
      </w:r>
      <w:r>
        <w:rPr>
          <w:spacing w:val="4"/>
          <w:w w:val="105"/>
          <w:sz w:val="13"/>
        </w:rPr>
        <w:t> </w:t>
      </w:r>
      <w:r>
        <w:rPr>
          <w:w w:val="105"/>
          <w:sz w:val="13"/>
        </w:rPr>
        <w:t>Victorian</w:t>
      </w:r>
      <w:r>
        <w:rPr>
          <w:spacing w:val="5"/>
          <w:w w:val="105"/>
          <w:sz w:val="13"/>
        </w:rPr>
        <w:t> </w:t>
      </w:r>
      <w:r>
        <w:rPr>
          <w:w w:val="105"/>
          <w:sz w:val="13"/>
        </w:rPr>
        <w:t>Law</w:t>
      </w:r>
      <w:r>
        <w:rPr>
          <w:spacing w:val="5"/>
          <w:w w:val="105"/>
          <w:sz w:val="13"/>
        </w:rPr>
        <w:t> </w:t>
      </w:r>
      <w:r>
        <w:rPr>
          <w:w w:val="105"/>
          <w:sz w:val="13"/>
        </w:rPr>
        <w:t>Reform</w:t>
      </w:r>
      <w:r>
        <w:rPr>
          <w:spacing w:val="5"/>
          <w:w w:val="105"/>
          <w:sz w:val="13"/>
        </w:rPr>
        <w:t> </w:t>
      </w:r>
      <w:r>
        <w:rPr>
          <w:w w:val="105"/>
          <w:sz w:val="13"/>
        </w:rPr>
        <w:t>Commission,</w:t>
      </w:r>
      <w:r>
        <w:rPr>
          <w:spacing w:val="4"/>
          <w:w w:val="105"/>
          <w:sz w:val="13"/>
        </w:rPr>
        <w:t> </w:t>
      </w:r>
      <w:r>
        <w:rPr>
          <w:w w:val="105"/>
          <w:sz w:val="13"/>
        </w:rPr>
        <w:t>above</w:t>
      </w:r>
      <w:r>
        <w:rPr>
          <w:spacing w:val="5"/>
          <w:w w:val="105"/>
          <w:sz w:val="13"/>
        </w:rPr>
        <w:t> </w:t>
      </w:r>
      <w:r>
        <w:rPr>
          <w:w w:val="105"/>
          <w:sz w:val="13"/>
        </w:rPr>
        <w:t>n</w:t>
      </w:r>
      <w:r>
        <w:rPr>
          <w:spacing w:val="5"/>
          <w:w w:val="105"/>
          <w:sz w:val="13"/>
        </w:rPr>
        <w:t> </w:t>
      </w:r>
      <w:r>
        <w:rPr>
          <w:w w:val="105"/>
          <w:sz w:val="13"/>
        </w:rPr>
        <w:t>8,</w:t>
      </w:r>
      <w:r>
        <w:rPr>
          <w:spacing w:val="5"/>
          <w:w w:val="105"/>
          <w:sz w:val="13"/>
        </w:rPr>
        <w:t> </w:t>
      </w:r>
      <w:r>
        <w:rPr>
          <w:spacing w:val="-3"/>
          <w:w w:val="105"/>
          <w:sz w:val="13"/>
        </w:rPr>
        <w:t>19</w:t>
      </w:r>
      <w:r>
        <w:rPr>
          <w:spacing w:val="5"/>
          <w:w w:val="105"/>
          <w:sz w:val="13"/>
        </w:rPr>
        <w:t> </w:t>
      </w:r>
      <w:r>
        <w:rPr>
          <w:w w:val="105"/>
          <w:sz w:val="13"/>
        </w:rPr>
        <w:t>Figure</w:t>
      </w:r>
      <w:r>
        <w:rPr>
          <w:spacing w:val="4"/>
          <w:w w:val="105"/>
          <w:sz w:val="13"/>
        </w:rPr>
        <w:t> </w:t>
      </w:r>
      <w:r>
        <w:rPr>
          <w:spacing w:val="-3"/>
          <w:w w:val="105"/>
          <w:sz w:val="13"/>
        </w:rPr>
        <w:t>1.</w:t>
      </w:r>
    </w:p>
    <w:p>
      <w:pPr>
        <w:pStyle w:val="ListParagraph"/>
        <w:numPr>
          <w:ilvl w:val="0"/>
          <w:numId w:val="51"/>
        </w:numPr>
        <w:tabs>
          <w:tab w:pos="2381" w:val="left" w:leader="none"/>
          <w:tab w:pos="2382" w:val="left" w:leader="none"/>
        </w:tabs>
        <w:spacing w:line="240" w:lineRule="auto" w:before="2" w:after="0"/>
        <w:ind w:left="2381" w:right="1636" w:hanging="794"/>
        <w:jc w:val="left"/>
        <w:rPr>
          <w:sz w:val="13"/>
        </w:rPr>
      </w:pPr>
      <w:r>
        <w:rPr>
          <w:w w:val="105"/>
          <w:sz w:val="13"/>
        </w:rPr>
        <w:t>Some states set a limit on </w:t>
      </w:r>
      <w:r>
        <w:rPr>
          <w:spacing w:val="2"/>
          <w:w w:val="105"/>
          <w:sz w:val="13"/>
        </w:rPr>
        <w:t>next </w:t>
      </w:r>
      <w:r>
        <w:rPr>
          <w:w w:val="105"/>
          <w:sz w:val="13"/>
        </w:rPr>
        <w:t>of kin at first cousins of the deceased person: </w:t>
      </w:r>
      <w:r>
        <w:rPr>
          <w:i/>
          <w:w w:val="105"/>
          <w:sz w:val="13"/>
        </w:rPr>
        <w:t>Administration Act 1903 </w:t>
      </w:r>
      <w:r>
        <w:rPr>
          <w:w w:val="105"/>
          <w:sz w:val="13"/>
        </w:rPr>
        <w:t>(WA) s 14(1) table item </w:t>
      </w:r>
      <w:r>
        <w:rPr>
          <w:spacing w:val="3"/>
          <w:w w:val="105"/>
          <w:sz w:val="13"/>
        </w:rPr>
        <w:t>8; </w:t>
      </w:r>
      <w:r>
        <w:rPr>
          <w:i/>
          <w:w w:val="105"/>
          <w:sz w:val="13"/>
        </w:rPr>
        <w:t>Succession </w:t>
      </w:r>
      <w:r>
        <w:rPr>
          <w:i/>
          <w:w w:val="105"/>
          <w:sz w:val="13"/>
        </w:rPr>
        <w:t>Act </w:t>
      </w:r>
      <w:r>
        <w:rPr>
          <w:i/>
          <w:spacing w:val="-3"/>
          <w:w w:val="105"/>
          <w:sz w:val="13"/>
        </w:rPr>
        <w:t>1981  </w:t>
      </w:r>
      <w:r>
        <w:rPr>
          <w:spacing w:val="2"/>
          <w:w w:val="105"/>
          <w:sz w:val="13"/>
        </w:rPr>
        <w:t>(Qld) </w:t>
      </w:r>
      <w:r>
        <w:rPr>
          <w:w w:val="105"/>
          <w:sz w:val="13"/>
        </w:rPr>
        <w:t>s 35(1A); </w:t>
      </w:r>
      <w:r>
        <w:rPr>
          <w:i/>
          <w:w w:val="105"/>
          <w:sz w:val="13"/>
        </w:rPr>
        <w:t>Succession Act 2006 </w:t>
      </w:r>
      <w:r>
        <w:rPr>
          <w:spacing w:val="3"/>
          <w:w w:val="105"/>
          <w:sz w:val="13"/>
        </w:rPr>
        <w:t>(NSW) </w:t>
      </w:r>
      <w:r>
        <w:rPr>
          <w:w w:val="105"/>
          <w:sz w:val="13"/>
        </w:rPr>
        <w:t>s 131(3); </w:t>
      </w:r>
      <w:r>
        <w:rPr>
          <w:i/>
          <w:w w:val="105"/>
          <w:sz w:val="13"/>
        </w:rPr>
        <w:t>Intestacy Act </w:t>
      </w:r>
      <w:r>
        <w:rPr>
          <w:i/>
          <w:spacing w:val="-3"/>
          <w:w w:val="105"/>
          <w:sz w:val="13"/>
        </w:rPr>
        <w:t>2010  </w:t>
      </w:r>
      <w:r>
        <w:rPr>
          <w:w w:val="105"/>
          <w:sz w:val="13"/>
        </w:rPr>
        <w:t>(Tas) s </w:t>
      </w:r>
      <w:r>
        <w:rPr>
          <w:spacing w:val="2"/>
          <w:w w:val="105"/>
          <w:sz w:val="13"/>
        </w:rPr>
        <w:t>32(3). </w:t>
      </w:r>
      <w:r>
        <w:rPr>
          <w:w w:val="105"/>
          <w:sz w:val="13"/>
        </w:rPr>
        <w:t>Others set the limit at issue of the first    cousins of the deceased person: </w:t>
      </w:r>
      <w:r>
        <w:rPr>
          <w:i/>
          <w:w w:val="105"/>
          <w:sz w:val="13"/>
        </w:rPr>
        <w:t>Administration and Probate Act </w:t>
      </w:r>
      <w:r>
        <w:rPr>
          <w:i/>
          <w:spacing w:val="-5"/>
          <w:w w:val="105"/>
          <w:sz w:val="13"/>
        </w:rPr>
        <w:t>1919  </w:t>
      </w:r>
      <w:r>
        <w:rPr>
          <w:spacing w:val="2"/>
          <w:w w:val="105"/>
          <w:sz w:val="13"/>
        </w:rPr>
        <w:t>(SA) </w:t>
      </w:r>
      <w:r>
        <w:rPr>
          <w:w w:val="105"/>
          <w:sz w:val="13"/>
        </w:rPr>
        <w:t>ss </w:t>
      </w:r>
      <w:r>
        <w:rPr>
          <w:spacing w:val="2"/>
          <w:w w:val="105"/>
          <w:sz w:val="13"/>
        </w:rPr>
        <w:t>72G(1)(e), </w:t>
      </w:r>
      <w:r>
        <w:rPr>
          <w:spacing w:val="3"/>
          <w:w w:val="105"/>
          <w:sz w:val="13"/>
        </w:rPr>
        <w:t>72J(d); </w:t>
      </w:r>
      <w:r>
        <w:rPr>
          <w:i/>
          <w:w w:val="105"/>
          <w:sz w:val="13"/>
        </w:rPr>
        <w:t>Administration and Probate Act </w:t>
      </w:r>
      <w:r>
        <w:rPr>
          <w:i/>
          <w:spacing w:val="-3"/>
          <w:w w:val="105"/>
          <w:sz w:val="13"/>
        </w:rPr>
        <w:t>1929  </w:t>
      </w:r>
      <w:r>
        <w:rPr>
          <w:spacing w:val="2"/>
          <w:w w:val="105"/>
          <w:sz w:val="13"/>
        </w:rPr>
        <w:t>(ACT)  </w:t>
      </w:r>
      <w:r>
        <w:rPr>
          <w:w w:val="105"/>
          <w:sz w:val="13"/>
        </w:rPr>
        <w:t>ss </w:t>
      </w:r>
      <w:r>
        <w:rPr>
          <w:spacing w:val="3"/>
          <w:w w:val="105"/>
          <w:sz w:val="13"/>
        </w:rPr>
        <w:t>49(5), </w:t>
      </w:r>
      <w:r>
        <w:rPr>
          <w:w w:val="105"/>
          <w:sz w:val="13"/>
        </w:rPr>
        <w:t>49C; </w:t>
      </w:r>
      <w:r>
        <w:rPr>
          <w:i/>
          <w:w w:val="105"/>
          <w:sz w:val="13"/>
        </w:rPr>
        <w:t>Administration and Probate Act 1969 </w:t>
      </w:r>
      <w:r>
        <w:rPr>
          <w:spacing w:val="4"/>
          <w:w w:val="105"/>
          <w:sz w:val="13"/>
        </w:rPr>
        <w:t>(NT) </w:t>
      </w:r>
      <w:r>
        <w:rPr>
          <w:w w:val="105"/>
          <w:sz w:val="13"/>
        </w:rPr>
        <w:t>s</w:t>
      </w:r>
      <w:r>
        <w:rPr>
          <w:spacing w:val="4"/>
          <w:w w:val="105"/>
          <w:sz w:val="13"/>
        </w:rPr>
        <w:t> </w:t>
      </w:r>
      <w:r>
        <w:rPr>
          <w:spacing w:val="2"/>
          <w:w w:val="105"/>
          <w:sz w:val="13"/>
        </w:rPr>
        <w:t>69(1)(c).</w:t>
      </w:r>
    </w:p>
    <w:p>
      <w:pPr>
        <w:pStyle w:val="ListParagraph"/>
        <w:numPr>
          <w:ilvl w:val="0"/>
          <w:numId w:val="51"/>
        </w:numPr>
        <w:tabs>
          <w:tab w:pos="2381" w:val="left" w:leader="none"/>
          <w:tab w:pos="2382" w:val="left" w:leader="none"/>
        </w:tabs>
        <w:spacing w:line="240" w:lineRule="auto" w:before="5" w:after="0"/>
        <w:ind w:left="2381" w:right="1723" w:hanging="794"/>
        <w:jc w:val="left"/>
        <w:rPr>
          <w:sz w:val="13"/>
        </w:rPr>
      </w:pPr>
      <w:r>
        <w:rPr/>
        <w:pict>
          <v:shape style="position:absolute;margin-left:548.989319pt;margin-top:20.001965pt;width:13.1pt;height:14.25pt;mso-position-horizontal-relative:page;mso-position-vertical-relative:paragraph;z-index:5440" type="#_x0000_t202" filled="false" stroked="false">
            <v:textbox inset="0,0,0,0">
              <w:txbxContent>
                <w:p>
                  <w:pPr>
                    <w:spacing w:line="284" w:lineRule="exact" w:before="0"/>
                    <w:ind w:left="0" w:right="0" w:firstLine="0"/>
                    <w:jc w:val="left"/>
                    <w:rPr>
                      <w:b/>
                      <w:sz w:val="24"/>
                    </w:rPr>
                  </w:pPr>
                  <w:r>
                    <w:rPr>
                      <w:b/>
                      <w:color w:val="EC5A4F"/>
                      <w:spacing w:val="-3"/>
                      <w:w w:val="110"/>
                      <w:sz w:val="24"/>
                    </w:rPr>
                    <w:t>59</w:t>
                  </w:r>
                </w:p>
              </w:txbxContent>
            </v:textbox>
            <w10:wrap type="none"/>
          </v:shape>
        </w:pict>
      </w:r>
      <w:r>
        <w:rPr>
          <w:i/>
          <w:w w:val="105"/>
          <w:sz w:val="13"/>
        </w:rPr>
        <w:t>Administration Act 1903 </w:t>
      </w:r>
      <w:r>
        <w:rPr>
          <w:w w:val="105"/>
          <w:sz w:val="13"/>
        </w:rPr>
        <w:t>(WA) s 14(1) table item </w:t>
      </w:r>
      <w:r>
        <w:rPr>
          <w:spacing w:val="3"/>
          <w:w w:val="105"/>
          <w:sz w:val="13"/>
        </w:rPr>
        <w:t>8; </w:t>
      </w:r>
      <w:r>
        <w:rPr>
          <w:i/>
          <w:w w:val="105"/>
          <w:sz w:val="13"/>
        </w:rPr>
        <w:t>Succession Act </w:t>
      </w:r>
      <w:r>
        <w:rPr>
          <w:i/>
          <w:spacing w:val="-3"/>
          <w:w w:val="105"/>
          <w:sz w:val="13"/>
        </w:rPr>
        <w:t>1981 </w:t>
      </w:r>
      <w:r>
        <w:rPr>
          <w:spacing w:val="2"/>
          <w:w w:val="105"/>
          <w:sz w:val="13"/>
        </w:rPr>
        <w:t>(Qld) </w:t>
      </w:r>
      <w:r>
        <w:rPr>
          <w:w w:val="105"/>
          <w:sz w:val="13"/>
        </w:rPr>
        <w:t>s 35(1A); </w:t>
      </w:r>
      <w:r>
        <w:rPr>
          <w:i/>
          <w:w w:val="105"/>
          <w:sz w:val="13"/>
        </w:rPr>
        <w:t>Succession Act 2006 </w:t>
      </w:r>
      <w:r>
        <w:rPr>
          <w:spacing w:val="3"/>
          <w:w w:val="105"/>
          <w:sz w:val="13"/>
        </w:rPr>
        <w:t>(NSW) </w:t>
      </w:r>
      <w:r>
        <w:rPr>
          <w:w w:val="105"/>
          <w:sz w:val="13"/>
        </w:rPr>
        <w:t>s 131(3); </w:t>
      </w:r>
      <w:r>
        <w:rPr>
          <w:i/>
          <w:w w:val="105"/>
          <w:sz w:val="13"/>
        </w:rPr>
        <w:t>Intestacy Act </w:t>
      </w:r>
      <w:r>
        <w:rPr>
          <w:i/>
          <w:spacing w:val="-3"/>
          <w:w w:val="105"/>
          <w:sz w:val="13"/>
        </w:rPr>
        <w:t>2010 </w:t>
      </w:r>
      <w:r>
        <w:rPr>
          <w:w w:val="105"/>
          <w:sz w:val="13"/>
        </w:rPr>
        <w:t>(Tas) s </w:t>
      </w:r>
      <w:r>
        <w:rPr>
          <w:spacing w:val="2"/>
          <w:w w:val="105"/>
          <w:sz w:val="13"/>
        </w:rPr>
        <w:t>32(3). </w:t>
      </w:r>
      <w:r>
        <w:rPr>
          <w:w w:val="105"/>
          <w:sz w:val="13"/>
        </w:rPr>
        <w:t>South Australia, the Australian Capital Territory and the </w:t>
      </w:r>
      <w:r>
        <w:rPr>
          <w:spacing w:val="2"/>
          <w:w w:val="105"/>
          <w:sz w:val="13"/>
        </w:rPr>
        <w:t>Northern </w:t>
      </w:r>
      <w:r>
        <w:rPr>
          <w:w w:val="105"/>
          <w:sz w:val="13"/>
        </w:rPr>
        <w:t>Territory extend </w:t>
      </w:r>
      <w:r>
        <w:rPr>
          <w:spacing w:val="2"/>
          <w:w w:val="105"/>
          <w:sz w:val="13"/>
        </w:rPr>
        <w:t>next </w:t>
      </w:r>
      <w:r>
        <w:rPr>
          <w:w w:val="105"/>
          <w:sz w:val="13"/>
        </w:rPr>
        <w:t>of kin to issue of the deceased person’s</w:t>
      </w:r>
      <w:r>
        <w:rPr>
          <w:spacing w:val="5"/>
          <w:w w:val="105"/>
          <w:sz w:val="13"/>
        </w:rPr>
        <w:t> </w:t>
      </w:r>
      <w:r>
        <w:rPr>
          <w:w w:val="105"/>
          <w:sz w:val="13"/>
        </w:rPr>
        <w:t>first</w:t>
      </w:r>
      <w:r>
        <w:rPr>
          <w:spacing w:val="5"/>
          <w:w w:val="105"/>
          <w:sz w:val="13"/>
        </w:rPr>
        <w:t> </w:t>
      </w:r>
      <w:r>
        <w:rPr>
          <w:w w:val="105"/>
          <w:sz w:val="13"/>
        </w:rPr>
        <w:t>cousins:</w:t>
      </w:r>
      <w:r>
        <w:rPr>
          <w:spacing w:val="5"/>
          <w:w w:val="105"/>
          <w:sz w:val="13"/>
        </w:rPr>
        <w:t> </w:t>
      </w:r>
      <w:r>
        <w:rPr>
          <w:i/>
          <w:w w:val="105"/>
          <w:sz w:val="13"/>
        </w:rPr>
        <w:t>Administration</w:t>
      </w:r>
      <w:r>
        <w:rPr>
          <w:i/>
          <w:spacing w:val="5"/>
          <w:w w:val="105"/>
          <w:sz w:val="13"/>
        </w:rPr>
        <w:t> </w:t>
      </w:r>
      <w:r>
        <w:rPr>
          <w:i/>
          <w:w w:val="105"/>
          <w:sz w:val="13"/>
        </w:rPr>
        <w:t>and</w:t>
      </w:r>
      <w:r>
        <w:rPr>
          <w:i/>
          <w:spacing w:val="4"/>
          <w:w w:val="105"/>
          <w:sz w:val="13"/>
        </w:rPr>
        <w:t> </w:t>
      </w:r>
      <w:r>
        <w:rPr>
          <w:i/>
          <w:w w:val="105"/>
          <w:sz w:val="13"/>
        </w:rPr>
        <w:t>Probate</w:t>
      </w:r>
      <w:r>
        <w:rPr>
          <w:i/>
          <w:spacing w:val="4"/>
          <w:w w:val="105"/>
          <w:sz w:val="13"/>
        </w:rPr>
        <w:t> </w:t>
      </w:r>
      <w:r>
        <w:rPr>
          <w:i/>
          <w:w w:val="105"/>
          <w:sz w:val="13"/>
        </w:rPr>
        <w:t>Act</w:t>
      </w:r>
      <w:r>
        <w:rPr>
          <w:i/>
          <w:spacing w:val="4"/>
          <w:w w:val="105"/>
          <w:sz w:val="13"/>
        </w:rPr>
        <w:t> </w:t>
      </w:r>
      <w:r>
        <w:rPr>
          <w:i/>
          <w:spacing w:val="-5"/>
          <w:w w:val="105"/>
          <w:sz w:val="13"/>
        </w:rPr>
        <w:t>1919</w:t>
      </w:r>
      <w:r>
        <w:rPr>
          <w:i/>
          <w:spacing w:val="6"/>
          <w:w w:val="105"/>
          <w:sz w:val="13"/>
        </w:rPr>
        <w:t> </w:t>
      </w:r>
      <w:r>
        <w:rPr>
          <w:spacing w:val="2"/>
          <w:w w:val="105"/>
          <w:sz w:val="13"/>
        </w:rPr>
        <w:t>(SA)</w:t>
      </w:r>
      <w:r>
        <w:rPr>
          <w:spacing w:val="5"/>
          <w:w w:val="105"/>
          <w:sz w:val="13"/>
        </w:rPr>
        <w:t> </w:t>
      </w:r>
      <w:r>
        <w:rPr>
          <w:w w:val="105"/>
          <w:sz w:val="13"/>
        </w:rPr>
        <w:t>ss</w:t>
      </w:r>
      <w:r>
        <w:rPr>
          <w:spacing w:val="5"/>
          <w:w w:val="105"/>
          <w:sz w:val="13"/>
        </w:rPr>
        <w:t> </w:t>
      </w:r>
      <w:r>
        <w:rPr>
          <w:spacing w:val="2"/>
          <w:w w:val="105"/>
          <w:sz w:val="13"/>
        </w:rPr>
        <w:t>72G(1)(e),</w:t>
      </w:r>
      <w:r>
        <w:rPr>
          <w:spacing w:val="6"/>
          <w:w w:val="105"/>
          <w:sz w:val="13"/>
        </w:rPr>
        <w:t> </w:t>
      </w:r>
      <w:r>
        <w:rPr>
          <w:spacing w:val="3"/>
          <w:w w:val="105"/>
          <w:sz w:val="13"/>
        </w:rPr>
        <w:t>72J(d);</w:t>
      </w:r>
      <w:r>
        <w:rPr>
          <w:spacing w:val="5"/>
          <w:w w:val="105"/>
          <w:sz w:val="13"/>
        </w:rPr>
        <w:t> </w:t>
      </w:r>
      <w:r>
        <w:rPr>
          <w:i/>
          <w:w w:val="105"/>
          <w:sz w:val="13"/>
        </w:rPr>
        <w:t>Administration</w:t>
      </w:r>
      <w:r>
        <w:rPr>
          <w:i/>
          <w:spacing w:val="4"/>
          <w:w w:val="105"/>
          <w:sz w:val="13"/>
        </w:rPr>
        <w:t> </w:t>
      </w:r>
      <w:r>
        <w:rPr>
          <w:i/>
          <w:w w:val="105"/>
          <w:sz w:val="13"/>
        </w:rPr>
        <w:t>and</w:t>
      </w:r>
      <w:r>
        <w:rPr>
          <w:i/>
          <w:spacing w:val="4"/>
          <w:w w:val="105"/>
          <w:sz w:val="13"/>
        </w:rPr>
        <w:t> </w:t>
      </w:r>
      <w:r>
        <w:rPr>
          <w:i/>
          <w:w w:val="105"/>
          <w:sz w:val="13"/>
        </w:rPr>
        <w:t>Probate</w:t>
      </w:r>
      <w:r>
        <w:rPr>
          <w:i/>
          <w:spacing w:val="5"/>
          <w:w w:val="105"/>
          <w:sz w:val="13"/>
        </w:rPr>
        <w:t> </w:t>
      </w:r>
      <w:r>
        <w:rPr>
          <w:i/>
          <w:w w:val="105"/>
          <w:sz w:val="13"/>
        </w:rPr>
        <w:t>Act</w:t>
      </w:r>
      <w:r>
        <w:rPr>
          <w:i/>
          <w:spacing w:val="4"/>
          <w:w w:val="105"/>
          <w:sz w:val="13"/>
        </w:rPr>
        <w:t> </w:t>
      </w:r>
      <w:r>
        <w:rPr>
          <w:i/>
          <w:spacing w:val="-3"/>
          <w:w w:val="105"/>
          <w:sz w:val="13"/>
        </w:rPr>
        <w:t>1929</w:t>
      </w:r>
      <w:r>
        <w:rPr>
          <w:i/>
          <w:spacing w:val="5"/>
          <w:w w:val="105"/>
          <w:sz w:val="13"/>
        </w:rPr>
        <w:t> </w:t>
      </w:r>
      <w:r>
        <w:rPr>
          <w:spacing w:val="2"/>
          <w:w w:val="105"/>
          <w:sz w:val="13"/>
        </w:rPr>
        <w:t>(ACT)</w:t>
      </w:r>
    </w:p>
    <w:p>
      <w:pPr>
        <w:spacing w:before="4"/>
        <w:ind w:left="2381" w:right="0" w:firstLine="0"/>
        <w:jc w:val="left"/>
        <w:rPr>
          <w:sz w:val="13"/>
        </w:rPr>
      </w:pPr>
      <w:r>
        <w:rPr>
          <w:w w:val="105"/>
          <w:sz w:val="13"/>
        </w:rPr>
        <w:t>ss 49(5), 49C; </w:t>
      </w:r>
      <w:r>
        <w:rPr>
          <w:i/>
          <w:w w:val="105"/>
          <w:sz w:val="13"/>
        </w:rPr>
        <w:t>Administration and Probate Act 1969 </w:t>
      </w:r>
      <w:r>
        <w:rPr>
          <w:w w:val="105"/>
          <w:sz w:val="13"/>
        </w:rPr>
        <w:t>(NT) s 69(1)(c).</w:t>
      </w:r>
    </w:p>
    <w:p>
      <w:pPr>
        <w:spacing w:after="0"/>
        <w:jc w:val="left"/>
        <w:rPr>
          <w:sz w:val="13"/>
        </w:rPr>
        <w:sectPr>
          <w:pgSz w:w="11910" w:h="16840"/>
          <w:pgMar w:header="805" w:footer="0" w:top="1360" w:bottom="280" w:left="0" w:right="0"/>
        </w:sectPr>
      </w:pPr>
    </w:p>
    <w:p>
      <w:pPr>
        <w:pStyle w:val="BodyText"/>
        <w:spacing w:before="7"/>
        <w:rPr>
          <w:sz w:val="19"/>
        </w:rPr>
      </w:pPr>
    </w:p>
    <w:p>
      <w:pPr>
        <w:pStyle w:val="Heading5"/>
        <w:spacing w:before="99"/>
      </w:pPr>
      <w:bookmarkStart w:name="_TOC_250058" w:id="54"/>
      <w:bookmarkEnd w:id="54"/>
      <w:r>
        <w:rPr>
          <w:w w:val="115"/>
        </w:rPr>
        <w:t>Views and conclusions</w:t>
      </w:r>
    </w:p>
    <w:p>
      <w:pPr>
        <w:pStyle w:val="Heading6"/>
        <w:spacing w:before="201"/>
      </w:pPr>
      <w:r>
        <w:rPr>
          <w:w w:val="120"/>
        </w:rPr>
        <w:t>Setting a limit on next of kin</w:t>
      </w:r>
    </w:p>
    <w:p>
      <w:pPr>
        <w:pStyle w:val="ListParagraph"/>
        <w:numPr>
          <w:ilvl w:val="1"/>
          <w:numId w:val="22"/>
        </w:numPr>
        <w:tabs>
          <w:tab w:pos="2380" w:val="left" w:leader="none"/>
          <w:tab w:pos="2381" w:val="left" w:leader="none"/>
        </w:tabs>
        <w:spacing w:line="242" w:lineRule="auto" w:before="151" w:after="0"/>
        <w:ind w:left="2381" w:right="1592" w:hanging="794"/>
        <w:jc w:val="left"/>
        <w:rPr>
          <w:sz w:val="21"/>
        </w:rPr>
      </w:pPr>
      <w:r>
        <w:rPr>
          <w:w w:val="105"/>
          <w:sz w:val="21"/>
        </w:rPr>
        <w:t>In </w:t>
      </w:r>
      <w:r>
        <w:rPr>
          <w:spacing w:val="-3"/>
          <w:w w:val="105"/>
          <w:sz w:val="21"/>
        </w:rPr>
        <w:t>submissions to </w:t>
      </w:r>
      <w:r>
        <w:rPr>
          <w:w w:val="105"/>
          <w:sz w:val="21"/>
        </w:rPr>
        <w:t>the </w:t>
      </w:r>
      <w:r>
        <w:rPr>
          <w:spacing w:val="-3"/>
          <w:w w:val="105"/>
          <w:sz w:val="21"/>
        </w:rPr>
        <w:t>Commission, </w:t>
      </w:r>
      <w:r>
        <w:rPr>
          <w:w w:val="105"/>
          <w:sz w:val="21"/>
        </w:rPr>
        <w:t>there was widespread support </w:t>
      </w:r>
      <w:r>
        <w:rPr>
          <w:spacing w:val="-3"/>
          <w:w w:val="105"/>
          <w:sz w:val="21"/>
        </w:rPr>
        <w:t>for limiting </w:t>
      </w:r>
      <w:r>
        <w:rPr>
          <w:w w:val="105"/>
          <w:sz w:val="21"/>
        </w:rPr>
        <w:t>next of </w:t>
      </w:r>
      <w:r>
        <w:rPr>
          <w:spacing w:val="-2"/>
          <w:w w:val="105"/>
          <w:sz w:val="21"/>
        </w:rPr>
        <w:t>kin </w:t>
      </w:r>
      <w:r>
        <w:rPr>
          <w:spacing w:val="-3"/>
          <w:w w:val="105"/>
          <w:sz w:val="21"/>
        </w:rPr>
        <w:t>to </w:t>
      </w:r>
      <w:r>
        <w:rPr>
          <w:w w:val="105"/>
          <w:sz w:val="21"/>
        </w:rPr>
        <w:t>the deceased </w:t>
      </w:r>
      <w:r>
        <w:rPr>
          <w:spacing w:val="-3"/>
          <w:w w:val="105"/>
          <w:sz w:val="21"/>
        </w:rPr>
        <w:t>person’s </w:t>
      </w:r>
      <w:r>
        <w:rPr>
          <w:w w:val="105"/>
          <w:sz w:val="21"/>
        </w:rPr>
        <w:t>first </w:t>
      </w:r>
      <w:r>
        <w:rPr>
          <w:spacing w:val="-3"/>
          <w:w w:val="105"/>
          <w:sz w:val="21"/>
        </w:rPr>
        <w:t>cousins.</w:t>
      </w:r>
      <w:r>
        <w:rPr>
          <w:spacing w:val="-3"/>
          <w:w w:val="105"/>
          <w:position w:val="7"/>
          <w:sz w:val="12"/>
        </w:rPr>
        <w:t>31 </w:t>
      </w:r>
      <w:r>
        <w:rPr>
          <w:w w:val="105"/>
          <w:sz w:val="21"/>
        </w:rPr>
        <w:t>The </w:t>
      </w:r>
      <w:r>
        <w:rPr>
          <w:spacing w:val="-3"/>
          <w:w w:val="105"/>
          <w:sz w:val="21"/>
        </w:rPr>
        <w:t>main reasons </w:t>
      </w:r>
      <w:r>
        <w:rPr>
          <w:w w:val="105"/>
          <w:sz w:val="21"/>
        </w:rPr>
        <w:t>given in support of </w:t>
      </w:r>
      <w:r>
        <w:rPr>
          <w:spacing w:val="-3"/>
          <w:w w:val="105"/>
          <w:sz w:val="21"/>
        </w:rPr>
        <w:t>limiting </w:t>
      </w:r>
      <w:r>
        <w:rPr>
          <w:w w:val="105"/>
          <w:sz w:val="21"/>
        </w:rPr>
        <w:t>next of </w:t>
      </w:r>
      <w:r>
        <w:rPr>
          <w:spacing w:val="-2"/>
          <w:w w:val="105"/>
          <w:sz w:val="21"/>
        </w:rPr>
        <w:t>kin </w:t>
      </w:r>
      <w:r>
        <w:rPr>
          <w:spacing w:val="-3"/>
          <w:w w:val="105"/>
          <w:sz w:val="21"/>
        </w:rPr>
        <w:t>were</w:t>
      </w:r>
      <w:r>
        <w:rPr>
          <w:spacing w:val="18"/>
          <w:w w:val="105"/>
          <w:sz w:val="21"/>
        </w:rPr>
        <w:t> </w:t>
      </w:r>
      <w:r>
        <w:rPr>
          <w:w w:val="105"/>
          <w:sz w:val="21"/>
        </w:rPr>
        <w:t>that:</w:t>
      </w:r>
    </w:p>
    <w:p>
      <w:pPr>
        <w:pStyle w:val="ListParagraph"/>
        <w:numPr>
          <w:ilvl w:val="2"/>
          <w:numId w:val="22"/>
        </w:numPr>
        <w:tabs>
          <w:tab w:pos="2721" w:val="left" w:leader="none"/>
          <w:tab w:pos="2722" w:val="left" w:leader="none"/>
        </w:tabs>
        <w:spacing w:line="242" w:lineRule="auto" w:before="123" w:after="0"/>
        <w:ind w:left="2721" w:right="1746" w:hanging="340"/>
        <w:jc w:val="left"/>
        <w:rPr>
          <w:sz w:val="12"/>
        </w:rPr>
      </w:pPr>
      <w:r>
        <w:rPr>
          <w:w w:val="105"/>
          <w:sz w:val="21"/>
        </w:rPr>
        <w:t>Next of </w:t>
      </w:r>
      <w:r>
        <w:rPr>
          <w:spacing w:val="-2"/>
          <w:w w:val="105"/>
          <w:sz w:val="21"/>
        </w:rPr>
        <w:t>kin </w:t>
      </w:r>
      <w:r>
        <w:rPr>
          <w:spacing w:val="-3"/>
          <w:w w:val="105"/>
          <w:sz w:val="21"/>
        </w:rPr>
        <w:t>inquiries </w:t>
      </w:r>
      <w:r>
        <w:rPr>
          <w:w w:val="105"/>
          <w:sz w:val="21"/>
        </w:rPr>
        <w:t>can be time </w:t>
      </w:r>
      <w:r>
        <w:rPr>
          <w:spacing w:val="-3"/>
          <w:w w:val="105"/>
          <w:sz w:val="21"/>
        </w:rPr>
        <w:t>consuming </w:t>
      </w:r>
      <w:r>
        <w:rPr>
          <w:w w:val="105"/>
          <w:sz w:val="21"/>
        </w:rPr>
        <w:t>and expensive </w:t>
      </w:r>
      <w:r>
        <w:rPr>
          <w:w w:val="105"/>
          <w:position w:val="7"/>
          <w:sz w:val="12"/>
        </w:rPr>
        <w:t>32 </w:t>
      </w:r>
      <w:r>
        <w:rPr>
          <w:w w:val="105"/>
          <w:sz w:val="21"/>
        </w:rPr>
        <w:t>and setting a </w:t>
      </w:r>
      <w:r>
        <w:rPr>
          <w:spacing w:val="-3"/>
          <w:w w:val="105"/>
          <w:sz w:val="21"/>
        </w:rPr>
        <w:t>limit will </w:t>
      </w:r>
      <w:r>
        <w:rPr>
          <w:w w:val="105"/>
          <w:sz w:val="21"/>
        </w:rPr>
        <w:t>lessen</w:t>
      </w:r>
      <w:r>
        <w:rPr>
          <w:spacing w:val="-6"/>
          <w:w w:val="105"/>
          <w:sz w:val="21"/>
        </w:rPr>
        <w:t> </w:t>
      </w:r>
      <w:r>
        <w:rPr>
          <w:w w:val="105"/>
          <w:sz w:val="21"/>
        </w:rPr>
        <w:t>the</w:t>
      </w:r>
      <w:r>
        <w:rPr>
          <w:spacing w:val="-6"/>
          <w:w w:val="105"/>
          <w:sz w:val="21"/>
        </w:rPr>
        <w:t> </w:t>
      </w:r>
      <w:r>
        <w:rPr>
          <w:w w:val="105"/>
          <w:sz w:val="21"/>
        </w:rPr>
        <w:t>difficulty</w:t>
      </w:r>
      <w:r>
        <w:rPr>
          <w:spacing w:val="-5"/>
          <w:w w:val="105"/>
          <w:sz w:val="21"/>
        </w:rPr>
        <w:t> </w:t>
      </w:r>
      <w:r>
        <w:rPr>
          <w:w w:val="105"/>
          <w:sz w:val="21"/>
        </w:rPr>
        <w:t>and</w:t>
      </w:r>
      <w:r>
        <w:rPr>
          <w:spacing w:val="-6"/>
          <w:w w:val="105"/>
          <w:sz w:val="21"/>
        </w:rPr>
        <w:t> </w:t>
      </w:r>
      <w:r>
        <w:rPr>
          <w:w w:val="105"/>
          <w:sz w:val="21"/>
        </w:rPr>
        <w:t>delay</w:t>
      </w:r>
      <w:r>
        <w:rPr>
          <w:spacing w:val="-5"/>
          <w:w w:val="105"/>
          <w:sz w:val="21"/>
        </w:rPr>
        <w:t> </w:t>
      </w:r>
      <w:r>
        <w:rPr>
          <w:spacing w:val="-3"/>
          <w:w w:val="105"/>
          <w:sz w:val="21"/>
        </w:rPr>
        <w:t>involved</w:t>
      </w:r>
      <w:r>
        <w:rPr>
          <w:spacing w:val="-6"/>
          <w:w w:val="105"/>
          <w:sz w:val="21"/>
        </w:rPr>
        <w:t> </w:t>
      </w:r>
      <w:r>
        <w:rPr>
          <w:w w:val="105"/>
          <w:sz w:val="21"/>
        </w:rPr>
        <w:t>in</w:t>
      </w:r>
      <w:r>
        <w:rPr>
          <w:spacing w:val="-5"/>
          <w:w w:val="105"/>
          <w:sz w:val="21"/>
        </w:rPr>
        <w:t> </w:t>
      </w:r>
      <w:r>
        <w:rPr>
          <w:w w:val="105"/>
          <w:sz w:val="21"/>
        </w:rPr>
        <w:t>locating</w:t>
      </w:r>
      <w:r>
        <w:rPr>
          <w:spacing w:val="-6"/>
          <w:w w:val="105"/>
          <w:sz w:val="21"/>
        </w:rPr>
        <w:t> </w:t>
      </w:r>
      <w:r>
        <w:rPr>
          <w:spacing w:val="-3"/>
          <w:w w:val="105"/>
          <w:sz w:val="21"/>
        </w:rPr>
        <w:t>remote</w:t>
      </w:r>
      <w:r>
        <w:rPr>
          <w:spacing w:val="-5"/>
          <w:w w:val="105"/>
          <w:sz w:val="21"/>
        </w:rPr>
        <w:t> </w:t>
      </w:r>
      <w:r>
        <w:rPr>
          <w:w w:val="105"/>
          <w:sz w:val="21"/>
        </w:rPr>
        <w:t>next</w:t>
      </w:r>
      <w:r>
        <w:rPr>
          <w:spacing w:val="-6"/>
          <w:w w:val="105"/>
          <w:sz w:val="21"/>
        </w:rPr>
        <w:t> </w:t>
      </w:r>
      <w:r>
        <w:rPr>
          <w:w w:val="105"/>
          <w:sz w:val="21"/>
        </w:rPr>
        <w:t>of</w:t>
      </w:r>
      <w:r>
        <w:rPr>
          <w:spacing w:val="-5"/>
          <w:w w:val="105"/>
          <w:sz w:val="21"/>
        </w:rPr>
        <w:t> </w:t>
      </w:r>
      <w:r>
        <w:rPr>
          <w:spacing w:val="-3"/>
          <w:w w:val="105"/>
          <w:sz w:val="21"/>
        </w:rPr>
        <w:t>kin,</w:t>
      </w:r>
      <w:r>
        <w:rPr>
          <w:spacing w:val="-6"/>
          <w:w w:val="105"/>
          <w:sz w:val="21"/>
        </w:rPr>
        <w:t> </w:t>
      </w:r>
      <w:r>
        <w:rPr>
          <w:w w:val="105"/>
          <w:sz w:val="21"/>
        </w:rPr>
        <w:t>who</w:t>
      </w:r>
      <w:r>
        <w:rPr>
          <w:spacing w:val="-5"/>
          <w:w w:val="105"/>
          <w:sz w:val="21"/>
        </w:rPr>
        <w:t> </w:t>
      </w:r>
      <w:r>
        <w:rPr>
          <w:spacing w:val="-3"/>
          <w:w w:val="105"/>
          <w:sz w:val="21"/>
        </w:rPr>
        <w:t>may</w:t>
      </w:r>
      <w:r>
        <w:rPr>
          <w:spacing w:val="-6"/>
          <w:w w:val="105"/>
          <w:sz w:val="21"/>
        </w:rPr>
        <w:t> </w:t>
      </w:r>
      <w:r>
        <w:rPr>
          <w:spacing w:val="-3"/>
          <w:w w:val="105"/>
          <w:sz w:val="21"/>
        </w:rPr>
        <w:t>have </w:t>
      </w:r>
      <w:r>
        <w:rPr>
          <w:spacing w:val="-2"/>
          <w:w w:val="105"/>
          <w:sz w:val="21"/>
        </w:rPr>
        <w:t>had </w:t>
      </w:r>
      <w:r>
        <w:rPr>
          <w:w w:val="105"/>
          <w:sz w:val="21"/>
        </w:rPr>
        <w:t>no </w:t>
      </w:r>
      <w:r>
        <w:rPr>
          <w:spacing w:val="-3"/>
          <w:w w:val="105"/>
          <w:sz w:val="21"/>
        </w:rPr>
        <w:t>relationship </w:t>
      </w:r>
      <w:r>
        <w:rPr>
          <w:w w:val="105"/>
          <w:sz w:val="21"/>
        </w:rPr>
        <w:t>with the deceased person or who </w:t>
      </w:r>
      <w:r>
        <w:rPr>
          <w:spacing w:val="-3"/>
          <w:w w:val="105"/>
          <w:sz w:val="21"/>
        </w:rPr>
        <w:t>are</w:t>
      </w:r>
      <w:r>
        <w:rPr>
          <w:spacing w:val="20"/>
          <w:w w:val="105"/>
          <w:sz w:val="21"/>
        </w:rPr>
        <w:t> </w:t>
      </w:r>
      <w:r>
        <w:rPr>
          <w:w w:val="105"/>
          <w:sz w:val="21"/>
        </w:rPr>
        <w:t>overseas.</w:t>
      </w:r>
      <w:r>
        <w:rPr>
          <w:w w:val="105"/>
          <w:position w:val="7"/>
          <w:sz w:val="12"/>
        </w:rPr>
        <w:t>33</w:t>
      </w:r>
    </w:p>
    <w:p>
      <w:pPr>
        <w:pStyle w:val="ListParagraph"/>
        <w:numPr>
          <w:ilvl w:val="2"/>
          <w:numId w:val="22"/>
        </w:numPr>
        <w:tabs>
          <w:tab w:pos="2721" w:val="left" w:leader="none"/>
          <w:tab w:pos="2722" w:val="left" w:leader="none"/>
        </w:tabs>
        <w:spacing w:line="242" w:lineRule="auto" w:before="124" w:after="0"/>
        <w:ind w:left="2721" w:right="1635" w:hanging="340"/>
        <w:jc w:val="left"/>
        <w:rPr>
          <w:sz w:val="12"/>
        </w:rPr>
      </w:pPr>
      <w:r>
        <w:rPr>
          <w:spacing w:val="-3"/>
          <w:sz w:val="21"/>
        </w:rPr>
        <w:t>National </w:t>
      </w:r>
      <w:r>
        <w:rPr>
          <w:sz w:val="21"/>
        </w:rPr>
        <w:t>consistency would provide </w:t>
      </w:r>
      <w:r>
        <w:rPr>
          <w:spacing w:val="-3"/>
          <w:sz w:val="21"/>
        </w:rPr>
        <w:t>greater certainty, </w:t>
      </w:r>
      <w:r>
        <w:rPr>
          <w:sz w:val="21"/>
        </w:rPr>
        <w:t>particularly </w:t>
      </w:r>
      <w:r>
        <w:rPr>
          <w:spacing w:val="-3"/>
          <w:sz w:val="21"/>
        </w:rPr>
        <w:t>for </w:t>
      </w:r>
      <w:r>
        <w:rPr>
          <w:sz w:val="21"/>
        </w:rPr>
        <w:t>people who own property in more </w:t>
      </w:r>
      <w:r>
        <w:rPr>
          <w:spacing w:val="-3"/>
          <w:sz w:val="21"/>
        </w:rPr>
        <w:t>than </w:t>
      </w:r>
      <w:r>
        <w:rPr>
          <w:sz w:val="21"/>
        </w:rPr>
        <w:t>one state or</w:t>
      </w:r>
      <w:r>
        <w:rPr>
          <w:spacing w:val="17"/>
          <w:sz w:val="21"/>
        </w:rPr>
        <w:t> </w:t>
      </w:r>
      <w:r>
        <w:rPr>
          <w:spacing w:val="-3"/>
          <w:sz w:val="21"/>
        </w:rPr>
        <w:t>territory.</w:t>
      </w:r>
      <w:r>
        <w:rPr>
          <w:spacing w:val="-3"/>
          <w:position w:val="7"/>
          <w:sz w:val="12"/>
        </w:rPr>
        <w:t>34</w:t>
      </w:r>
    </w:p>
    <w:p>
      <w:pPr>
        <w:pStyle w:val="ListParagraph"/>
        <w:numPr>
          <w:ilvl w:val="2"/>
          <w:numId w:val="22"/>
        </w:numPr>
        <w:tabs>
          <w:tab w:pos="2721" w:val="left" w:leader="none"/>
          <w:tab w:pos="2722" w:val="left" w:leader="none"/>
        </w:tabs>
        <w:spacing w:line="242" w:lineRule="auto" w:before="122" w:after="0"/>
        <w:ind w:left="2721" w:right="1615" w:hanging="340"/>
        <w:jc w:val="left"/>
        <w:rPr>
          <w:sz w:val="12"/>
        </w:rPr>
      </w:pPr>
      <w:r>
        <w:rPr>
          <w:w w:val="105"/>
          <w:sz w:val="21"/>
        </w:rPr>
        <w:t>More </w:t>
      </w:r>
      <w:r>
        <w:rPr>
          <w:spacing w:val="-3"/>
          <w:w w:val="105"/>
          <w:sz w:val="21"/>
        </w:rPr>
        <w:t>remote </w:t>
      </w:r>
      <w:r>
        <w:rPr>
          <w:w w:val="105"/>
          <w:sz w:val="21"/>
        </w:rPr>
        <w:t>next of </w:t>
      </w:r>
      <w:r>
        <w:rPr>
          <w:spacing w:val="-2"/>
          <w:w w:val="105"/>
          <w:sz w:val="21"/>
        </w:rPr>
        <w:t>kin </w:t>
      </w:r>
      <w:r>
        <w:rPr>
          <w:spacing w:val="-3"/>
          <w:w w:val="105"/>
          <w:sz w:val="21"/>
        </w:rPr>
        <w:t>could </w:t>
      </w:r>
      <w:r>
        <w:rPr>
          <w:spacing w:val="-4"/>
          <w:w w:val="105"/>
          <w:sz w:val="21"/>
        </w:rPr>
        <w:t>make </w:t>
      </w:r>
      <w:r>
        <w:rPr>
          <w:w w:val="105"/>
          <w:sz w:val="21"/>
        </w:rPr>
        <w:t>an application </w:t>
      </w:r>
      <w:r>
        <w:rPr>
          <w:spacing w:val="-3"/>
          <w:w w:val="105"/>
          <w:sz w:val="21"/>
        </w:rPr>
        <w:t>to </w:t>
      </w:r>
      <w:r>
        <w:rPr>
          <w:w w:val="105"/>
          <w:sz w:val="21"/>
        </w:rPr>
        <w:t>the </w:t>
      </w:r>
      <w:r>
        <w:rPr>
          <w:spacing w:val="-3"/>
          <w:w w:val="105"/>
          <w:sz w:val="21"/>
        </w:rPr>
        <w:t>Minister for Finance </w:t>
      </w:r>
      <w:r>
        <w:rPr>
          <w:w w:val="105"/>
          <w:sz w:val="21"/>
        </w:rPr>
        <w:t>under the </w:t>
      </w:r>
      <w:r>
        <w:rPr>
          <w:i/>
          <w:spacing w:val="-3"/>
          <w:w w:val="105"/>
          <w:sz w:val="21"/>
        </w:rPr>
        <w:t>Financial </w:t>
      </w:r>
      <w:r>
        <w:rPr>
          <w:i/>
          <w:w w:val="105"/>
          <w:sz w:val="21"/>
        </w:rPr>
        <w:t>Management Act </w:t>
      </w:r>
      <w:r>
        <w:rPr>
          <w:i/>
          <w:spacing w:val="-4"/>
          <w:w w:val="105"/>
          <w:sz w:val="21"/>
        </w:rPr>
        <w:t>1994 </w:t>
      </w:r>
      <w:r>
        <w:rPr>
          <w:w w:val="105"/>
          <w:sz w:val="21"/>
        </w:rPr>
        <w:t>(Vic) or </w:t>
      </w:r>
      <w:r>
        <w:rPr>
          <w:spacing w:val="-3"/>
          <w:w w:val="105"/>
          <w:sz w:val="21"/>
        </w:rPr>
        <w:t>could </w:t>
      </w:r>
      <w:r>
        <w:rPr>
          <w:spacing w:val="-4"/>
          <w:w w:val="105"/>
          <w:sz w:val="21"/>
        </w:rPr>
        <w:t>make </w:t>
      </w:r>
      <w:r>
        <w:rPr>
          <w:w w:val="105"/>
          <w:sz w:val="21"/>
        </w:rPr>
        <w:t>a </w:t>
      </w:r>
      <w:r>
        <w:rPr>
          <w:spacing w:val="-3"/>
          <w:w w:val="105"/>
          <w:sz w:val="21"/>
        </w:rPr>
        <w:t>family provision </w:t>
      </w:r>
      <w:r>
        <w:rPr>
          <w:w w:val="105"/>
          <w:sz w:val="21"/>
        </w:rPr>
        <w:t>application in</w:t>
      </w:r>
      <w:r>
        <w:rPr>
          <w:spacing w:val="-6"/>
          <w:w w:val="105"/>
          <w:sz w:val="21"/>
        </w:rPr>
        <w:t> </w:t>
      </w:r>
      <w:r>
        <w:rPr>
          <w:w w:val="105"/>
          <w:sz w:val="21"/>
        </w:rPr>
        <w:t>certain</w:t>
      </w:r>
      <w:r>
        <w:rPr>
          <w:spacing w:val="-5"/>
          <w:w w:val="105"/>
          <w:sz w:val="21"/>
        </w:rPr>
        <w:t> </w:t>
      </w:r>
      <w:r>
        <w:rPr>
          <w:spacing w:val="-3"/>
          <w:w w:val="105"/>
          <w:sz w:val="21"/>
        </w:rPr>
        <w:t>circumstances,</w:t>
      </w:r>
      <w:r>
        <w:rPr>
          <w:spacing w:val="-5"/>
          <w:w w:val="105"/>
          <w:sz w:val="21"/>
        </w:rPr>
        <w:t> </w:t>
      </w:r>
      <w:r>
        <w:rPr>
          <w:w w:val="105"/>
          <w:sz w:val="21"/>
        </w:rPr>
        <w:t>where</w:t>
      </w:r>
      <w:r>
        <w:rPr>
          <w:spacing w:val="-5"/>
          <w:w w:val="105"/>
          <w:sz w:val="21"/>
        </w:rPr>
        <w:t> </w:t>
      </w:r>
      <w:r>
        <w:rPr>
          <w:w w:val="105"/>
          <w:sz w:val="21"/>
        </w:rPr>
        <w:t>they</w:t>
      </w:r>
      <w:r>
        <w:rPr>
          <w:spacing w:val="-5"/>
          <w:w w:val="105"/>
          <w:sz w:val="21"/>
        </w:rPr>
        <w:t> </w:t>
      </w:r>
      <w:r>
        <w:rPr>
          <w:w w:val="105"/>
          <w:sz w:val="21"/>
        </w:rPr>
        <w:t>believe</w:t>
      </w:r>
      <w:r>
        <w:rPr>
          <w:spacing w:val="-5"/>
          <w:w w:val="105"/>
          <w:sz w:val="21"/>
        </w:rPr>
        <w:t> </w:t>
      </w:r>
      <w:r>
        <w:rPr>
          <w:w w:val="105"/>
          <w:sz w:val="21"/>
        </w:rPr>
        <w:t>they</w:t>
      </w:r>
      <w:r>
        <w:rPr>
          <w:spacing w:val="-5"/>
          <w:w w:val="105"/>
          <w:sz w:val="21"/>
        </w:rPr>
        <w:t> </w:t>
      </w:r>
      <w:r>
        <w:rPr>
          <w:w w:val="105"/>
          <w:sz w:val="21"/>
        </w:rPr>
        <w:t>should</w:t>
      </w:r>
      <w:r>
        <w:rPr>
          <w:spacing w:val="-5"/>
          <w:w w:val="105"/>
          <w:sz w:val="21"/>
        </w:rPr>
        <w:t> </w:t>
      </w:r>
      <w:r>
        <w:rPr>
          <w:spacing w:val="-3"/>
          <w:w w:val="105"/>
          <w:sz w:val="21"/>
        </w:rPr>
        <w:t>have</w:t>
      </w:r>
      <w:r>
        <w:rPr>
          <w:spacing w:val="-5"/>
          <w:w w:val="105"/>
          <w:sz w:val="21"/>
        </w:rPr>
        <w:t> </w:t>
      </w:r>
      <w:r>
        <w:rPr>
          <w:w w:val="105"/>
          <w:sz w:val="21"/>
        </w:rPr>
        <w:t>received</w:t>
      </w:r>
      <w:r>
        <w:rPr>
          <w:spacing w:val="-5"/>
          <w:w w:val="105"/>
          <w:sz w:val="21"/>
        </w:rPr>
        <w:t> </w:t>
      </w:r>
      <w:r>
        <w:rPr>
          <w:w w:val="105"/>
          <w:sz w:val="21"/>
        </w:rPr>
        <w:t>a</w:t>
      </w:r>
      <w:r>
        <w:rPr>
          <w:spacing w:val="-5"/>
          <w:w w:val="105"/>
          <w:sz w:val="21"/>
        </w:rPr>
        <w:t> </w:t>
      </w:r>
      <w:r>
        <w:rPr>
          <w:spacing w:val="-4"/>
          <w:w w:val="105"/>
          <w:sz w:val="21"/>
        </w:rPr>
        <w:t>share.</w:t>
      </w:r>
      <w:r>
        <w:rPr>
          <w:spacing w:val="-4"/>
          <w:w w:val="105"/>
          <w:position w:val="7"/>
          <w:sz w:val="12"/>
        </w:rPr>
        <w:t>35</w:t>
      </w:r>
    </w:p>
    <w:p>
      <w:pPr>
        <w:pStyle w:val="ListParagraph"/>
        <w:numPr>
          <w:ilvl w:val="2"/>
          <w:numId w:val="22"/>
        </w:numPr>
        <w:tabs>
          <w:tab w:pos="2721" w:val="left" w:leader="none"/>
          <w:tab w:pos="2722" w:val="left" w:leader="none"/>
        </w:tabs>
        <w:spacing w:line="242" w:lineRule="auto" w:before="123" w:after="0"/>
        <w:ind w:left="2721" w:right="1884" w:hanging="340"/>
        <w:jc w:val="left"/>
        <w:rPr>
          <w:sz w:val="12"/>
        </w:rPr>
      </w:pPr>
      <w:r>
        <w:rPr>
          <w:w w:val="105"/>
          <w:sz w:val="21"/>
        </w:rPr>
        <w:t>Cases </w:t>
      </w:r>
      <w:r>
        <w:rPr>
          <w:spacing w:val="-3"/>
          <w:w w:val="105"/>
          <w:sz w:val="21"/>
        </w:rPr>
        <w:t>involving remote </w:t>
      </w:r>
      <w:r>
        <w:rPr>
          <w:w w:val="105"/>
          <w:sz w:val="21"/>
        </w:rPr>
        <w:t>next of </w:t>
      </w:r>
      <w:r>
        <w:rPr>
          <w:spacing w:val="-2"/>
          <w:w w:val="105"/>
          <w:sz w:val="21"/>
        </w:rPr>
        <w:t>kin </w:t>
      </w:r>
      <w:r>
        <w:rPr>
          <w:spacing w:val="-3"/>
          <w:w w:val="105"/>
          <w:sz w:val="21"/>
        </w:rPr>
        <w:t>are rare </w:t>
      </w:r>
      <w:r>
        <w:rPr>
          <w:w w:val="105"/>
          <w:sz w:val="21"/>
        </w:rPr>
        <w:t>and the </w:t>
      </w:r>
      <w:r>
        <w:rPr>
          <w:spacing w:val="-3"/>
          <w:w w:val="105"/>
          <w:sz w:val="21"/>
        </w:rPr>
        <w:t>additional </w:t>
      </w:r>
      <w:r>
        <w:rPr>
          <w:w w:val="105"/>
          <w:sz w:val="21"/>
        </w:rPr>
        <w:t>costs and time </w:t>
      </w:r>
      <w:r>
        <w:rPr>
          <w:spacing w:val="-3"/>
          <w:w w:val="105"/>
          <w:sz w:val="21"/>
        </w:rPr>
        <w:t>taken </w:t>
      </w:r>
      <w:r>
        <w:rPr>
          <w:w w:val="105"/>
          <w:sz w:val="21"/>
        </w:rPr>
        <w:t>in locating them </w:t>
      </w:r>
      <w:r>
        <w:rPr>
          <w:spacing w:val="-3"/>
          <w:w w:val="105"/>
          <w:sz w:val="21"/>
        </w:rPr>
        <w:t>are </w:t>
      </w:r>
      <w:r>
        <w:rPr>
          <w:spacing w:val="-2"/>
          <w:w w:val="105"/>
          <w:sz w:val="21"/>
        </w:rPr>
        <w:t>not</w:t>
      </w:r>
      <w:r>
        <w:rPr>
          <w:spacing w:val="26"/>
          <w:w w:val="105"/>
          <w:sz w:val="21"/>
        </w:rPr>
        <w:t> </w:t>
      </w:r>
      <w:r>
        <w:rPr>
          <w:w w:val="105"/>
          <w:sz w:val="21"/>
        </w:rPr>
        <w:t>justified.</w:t>
      </w:r>
      <w:r>
        <w:rPr>
          <w:w w:val="105"/>
          <w:position w:val="7"/>
          <w:sz w:val="12"/>
        </w:rPr>
        <w:t>36</w:t>
      </w:r>
    </w:p>
    <w:p>
      <w:pPr>
        <w:pStyle w:val="ListParagraph"/>
        <w:numPr>
          <w:ilvl w:val="1"/>
          <w:numId w:val="22"/>
        </w:numPr>
        <w:tabs>
          <w:tab w:pos="2380" w:val="left" w:leader="none"/>
          <w:tab w:pos="2382" w:val="left" w:leader="none"/>
        </w:tabs>
        <w:spacing w:line="242" w:lineRule="auto" w:before="122" w:after="0"/>
        <w:ind w:left="2381" w:right="1774" w:hanging="794"/>
        <w:jc w:val="left"/>
        <w:rPr>
          <w:sz w:val="12"/>
        </w:rPr>
      </w:pPr>
      <w:r>
        <w:rPr>
          <w:spacing w:val="-3"/>
          <w:w w:val="105"/>
          <w:sz w:val="21"/>
        </w:rPr>
        <w:t>Several submissions were </w:t>
      </w:r>
      <w:r>
        <w:rPr>
          <w:w w:val="105"/>
          <w:sz w:val="21"/>
        </w:rPr>
        <w:t>opposed </w:t>
      </w:r>
      <w:r>
        <w:rPr>
          <w:spacing w:val="-3"/>
          <w:w w:val="105"/>
          <w:sz w:val="21"/>
        </w:rPr>
        <w:t>to </w:t>
      </w:r>
      <w:r>
        <w:rPr>
          <w:w w:val="105"/>
          <w:sz w:val="21"/>
        </w:rPr>
        <w:t>setting a </w:t>
      </w:r>
      <w:r>
        <w:rPr>
          <w:spacing w:val="-3"/>
          <w:w w:val="105"/>
          <w:sz w:val="21"/>
        </w:rPr>
        <w:t>limit </w:t>
      </w:r>
      <w:r>
        <w:rPr>
          <w:w w:val="105"/>
          <w:sz w:val="21"/>
        </w:rPr>
        <w:t>on next of </w:t>
      </w:r>
      <w:r>
        <w:rPr>
          <w:spacing w:val="-2"/>
          <w:w w:val="105"/>
          <w:sz w:val="21"/>
        </w:rPr>
        <w:t>kin </w:t>
      </w:r>
      <w:r>
        <w:rPr>
          <w:w w:val="105"/>
          <w:sz w:val="21"/>
        </w:rPr>
        <w:t>on the basis </w:t>
      </w:r>
      <w:r>
        <w:rPr>
          <w:spacing w:val="-3"/>
          <w:w w:val="105"/>
          <w:sz w:val="21"/>
        </w:rPr>
        <w:t>that </w:t>
      </w:r>
      <w:r>
        <w:rPr>
          <w:w w:val="105"/>
          <w:sz w:val="21"/>
        </w:rPr>
        <w:t>it would</w:t>
      </w:r>
      <w:r>
        <w:rPr>
          <w:spacing w:val="-6"/>
          <w:w w:val="105"/>
          <w:sz w:val="21"/>
        </w:rPr>
        <w:t> </w:t>
      </w:r>
      <w:r>
        <w:rPr>
          <w:spacing w:val="-3"/>
          <w:w w:val="105"/>
          <w:sz w:val="21"/>
        </w:rPr>
        <w:t>result</w:t>
      </w:r>
      <w:r>
        <w:rPr>
          <w:spacing w:val="-6"/>
          <w:w w:val="105"/>
          <w:sz w:val="21"/>
        </w:rPr>
        <w:t> </w:t>
      </w:r>
      <w:r>
        <w:rPr>
          <w:w w:val="105"/>
          <w:sz w:val="21"/>
        </w:rPr>
        <w:t>in</w:t>
      </w:r>
      <w:r>
        <w:rPr>
          <w:spacing w:val="-6"/>
          <w:w w:val="105"/>
          <w:sz w:val="21"/>
        </w:rPr>
        <w:t> </w:t>
      </w:r>
      <w:r>
        <w:rPr>
          <w:w w:val="105"/>
          <w:sz w:val="21"/>
        </w:rPr>
        <w:t>more</w:t>
      </w:r>
      <w:r>
        <w:rPr>
          <w:spacing w:val="-6"/>
          <w:w w:val="105"/>
          <w:sz w:val="21"/>
        </w:rPr>
        <w:t> </w:t>
      </w:r>
      <w:r>
        <w:rPr>
          <w:w w:val="105"/>
          <w:sz w:val="21"/>
        </w:rPr>
        <w:t>estates</w:t>
      </w:r>
      <w:r>
        <w:rPr>
          <w:spacing w:val="-6"/>
          <w:w w:val="105"/>
          <w:sz w:val="21"/>
        </w:rPr>
        <w:t> </w:t>
      </w:r>
      <w:r>
        <w:rPr>
          <w:w w:val="105"/>
          <w:sz w:val="21"/>
        </w:rPr>
        <w:t>passing</w:t>
      </w:r>
      <w:r>
        <w:rPr>
          <w:spacing w:val="-5"/>
          <w:w w:val="105"/>
          <w:sz w:val="21"/>
        </w:rPr>
        <w:t> </w:t>
      </w:r>
      <w:r>
        <w:rPr>
          <w:spacing w:val="-3"/>
          <w:w w:val="105"/>
          <w:sz w:val="21"/>
        </w:rPr>
        <w:t>to</w:t>
      </w:r>
      <w:r>
        <w:rPr>
          <w:spacing w:val="-6"/>
          <w:w w:val="105"/>
          <w:sz w:val="21"/>
        </w:rPr>
        <w:t> </w:t>
      </w:r>
      <w:r>
        <w:rPr>
          <w:w w:val="105"/>
          <w:sz w:val="21"/>
        </w:rPr>
        <w:t>the</w:t>
      </w:r>
      <w:r>
        <w:rPr>
          <w:spacing w:val="-6"/>
          <w:w w:val="105"/>
          <w:sz w:val="21"/>
        </w:rPr>
        <w:t> </w:t>
      </w:r>
      <w:r>
        <w:rPr>
          <w:spacing w:val="-3"/>
          <w:w w:val="105"/>
          <w:sz w:val="21"/>
        </w:rPr>
        <w:t>State</w:t>
      </w:r>
      <w:r>
        <w:rPr>
          <w:spacing w:val="-6"/>
          <w:w w:val="105"/>
          <w:sz w:val="21"/>
        </w:rPr>
        <w:t> </w:t>
      </w:r>
      <w:r>
        <w:rPr>
          <w:w w:val="105"/>
          <w:sz w:val="21"/>
        </w:rPr>
        <w:t>of</w:t>
      </w:r>
      <w:r>
        <w:rPr>
          <w:spacing w:val="-6"/>
          <w:w w:val="105"/>
          <w:sz w:val="21"/>
        </w:rPr>
        <w:t> </w:t>
      </w:r>
      <w:r>
        <w:rPr>
          <w:w w:val="105"/>
          <w:sz w:val="21"/>
        </w:rPr>
        <w:t>Victoria</w:t>
      </w:r>
      <w:r>
        <w:rPr>
          <w:spacing w:val="-6"/>
          <w:w w:val="105"/>
          <w:sz w:val="21"/>
        </w:rPr>
        <w:t> </w:t>
      </w:r>
      <w:r>
        <w:rPr>
          <w:w w:val="105"/>
          <w:sz w:val="21"/>
        </w:rPr>
        <w:t>as</w:t>
      </w:r>
      <w:r>
        <w:rPr>
          <w:spacing w:val="-5"/>
          <w:w w:val="105"/>
          <w:sz w:val="21"/>
        </w:rPr>
        <w:t> </w:t>
      </w:r>
      <w:r>
        <w:rPr>
          <w:i/>
          <w:w w:val="105"/>
          <w:sz w:val="21"/>
        </w:rPr>
        <w:t>bona</w:t>
      </w:r>
      <w:r>
        <w:rPr>
          <w:i/>
          <w:spacing w:val="-6"/>
          <w:w w:val="105"/>
          <w:sz w:val="21"/>
        </w:rPr>
        <w:t> </w:t>
      </w:r>
      <w:r>
        <w:rPr>
          <w:i/>
          <w:spacing w:val="-4"/>
          <w:w w:val="105"/>
          <w:sz w:val="21"/>
        </w:rPr>
        <w:t>vacantia</w:t>
      </w:r>
      <w:r>
        <w:rPr>
          <w:spacing w:val="-4"/>
          <w:w w:val="105"/>
          <w:sz w:val="21"/>
        </w:rPr>
        <w:t>.</w:t>
      </w:r>
      <w:r>
        <w:rPr>
          <w:spacing w:val="-4"/>
          <w:w w:val="105"/>
          <w:position w:val="7"/>
          <w:sz w:val="12"/>
        </w:rPr>
        <w:t>37</w:t>
      </w:r>
      <w:r>
        <w:rPr>
          <w:spacing w:val="16"/>
          <w:w w:val="105"/>
          <w:position w:val="7"/>
          <w:sz w:val="12"/>
        </w:rPr>
        <w:t> </w:t>
      </w:r>
      <w:r>
        <w:rPr>
          <w:w w:val="105"/>
          <w:sz w:val="21"/>
        </w:rPr>
        <w:t>The</w:t>
      </w:r>
      <w:r>
        <w:rPr>
          <w:spacing w:val="-6"/>
          <w:w w:val="105"/>
          <w:sz w:val="21"/>
        </w:rPr>
        <w:t> </w:t>
      </w:r>
      <w:r>
        <w:rPr>
          <w:w w:val="105"/>
          <w:sz w:val="21"/>
        </w:rPr>
        <w:t>Law </w:t>
      </w:r>
      <w:r>
        <w:rPr>
          <w:spacing w:val="-3"/>
          <w:w w:val="105"/>
          <w:sz w:val="21"/>
        </w:rPr>
        <w:t>Institute</w:t>
      </w:r>
      <w:r>
        <w:rPr>
          <w:spacing w:val="-10"/>
          <w:w w:val="105"/>
          <w:sz w:val="21"/>
        </w:rPr>
        <w:t> </w:t>
      </w:r>
      <w:r>
        <w:rPr>
          <w:w w:val="105"/>
          <w:sz w:val="21"/>
        </w:rPr>
        <w:t>of</w:t>
      </w:r>
      <w:r>
        <w:rPr>
          <w:spacing w:val="-10"/>
          <w:w w:val="105"/>
          <w:sz w:val="21"/>
        </w:rPr>
        <w:t> </w:t>
      </w:r>
      <w:r>
        <w:rPr>
          <w:spacing w:val="-3"/>
          <w:w w:val="105"/>
          <w:sz w:val="21"/>
        </w:rPr>
        <w:t>Victoria’s</w:t>
      </w:r>
      <w:r>
        <w:rPr>
          <w:spacing w:val="-10"/>
          <w:w w:val="105"/>
          <w:sz w:val="21"/>
        </w:rPr>
        <w:t> </w:t>
      </w:r>
      <w:r>
        <w:rPr>
          <w:spacing w:val="-3"/>
          <w:w w:val="105"/>
          <w:sz w:val="21"/>
        </w:rPr>
        <w:t>submission</w:t>
      </w:r>
      <w:r>
        <w:rPr>
          <w:spacing w:val="-10"/>
          <w:w w:val="105"/>
          <w:sz w:val="21"/>
        </w:rPr>
        <w:t> </w:t>
      </w:r>
      <w:r>
        <w:rPr>
          <w:w w:val="105"/>
          <w:sz w:val="21"/>
        </w:rPr>
        <w:t>argued</w:t>
      </w:r>
      <w:r>
        <w:rPr>
          <w:spacing w:val="-10"/>
          <w:w w:val="105"/>
          <w:sz w:val="21"/>
        </w:rPr>
        <w:t> </w:t>
      </w:r>
      <w:r>
        <w:rPr>
          <w:spacing w:val="-3"/>
          <w:w w:val="105"/>
          <w:sz w:val="21"/>
        </w:rPr>
        <w:t>that</w:t>
      </w:r>
      <w:r>
        <w:rPr>
          <w:spacing w:val="-10"/>
          <w:w w:val="105"/>
          <w:sz w:val="21"/>
        </w:rPr>
        <w:t> </w:t>
      </w:r>
      <w:r>
        <w:rPr>
          <w:w w:val="105"/>
          <w:sz w:val="21"/>
        </w:rPr>
        <w:t>people</w:t>
      </w:r>
      <w:r>
        <w:rPr>
          <w:spacing w:val="-10"/>
          <w:w w:val="105"/>
          <w:sz w:val="21"/>
        </w:rPr>
        <w:t> </w:t>
      </w:r>
      <w:r>
        <w:rPr>
          <w:w w:val="105"/>
          <w:sz w:val="21"/>
        </w:rPr>
        <w:t>expect</w:t>
      </w:r>
      <w:r>
        <w:rPr>
          <w:spacing w:val="-10"/>
          <w:w w:val="105"/>
          <w:sz w:val="21"/>
        </w:rPr>
        <w:t> </w:t>
      </w:r>
      <w:r>
        <w:rPr>
          <w:spacing w:val="-3"/>
          <w:w w:val="105"/>
          <w:sz w:val="21"/>
        </w:rPr>
        <w:t>family</w:t>
      </w:r>
      <w:r>
        <w:rPr>
          <w:spacing w:val="-10"/>
          <w:w w:val="105"/>
          <w:sz w:val="21"/>
        </w:rPr>
        <w:t> </w:t>
      </w:r>
      <w:r>
        <w:rPr>
          <w:spacing w:val="-3"/>
          <w:w w:val="105"/>
          <w:sz w:val="21"/>
        </w:rPr>
        <w:t>to</w:t>
      </w:r>
      <w:r>
        <w:rPr>
          <w:spacing w:val="-10"/>
          <w:w w:val="105"/>
          <w:sz w:val="21"/>
        </w:rPr>
        <w:t> </w:t>
      </w:r>
      <w:r>
        <w:rPr>
          <w:spacing w:val="-3"/>
          <w:w w:val="105"/>
          <w:sz w:val="21"/>
        </w:rPr>
        <w:t>inherit,</w:t>
      </w:r>
      <w:r>
        <w:rPr>
          <w:spacing w:val="-9"/>
          <w:w w:val="105"/>
          <w:sz w:val="21"/>
        </w:rPr>
        <w:t> </w:t>
      </w:r>
      <w:r>
        <w:rPr>
          <w:w w:val="105"/>
          <w:sz w:val="21"/>
        </w:rPr>
        <w:t>irrespective of whether there was a close or distant</w:t>
      </w:r>
      <w:r>
        <w:rPr>
          <w:spacing w:val="29"/>
          <w:w w:val="105"/>
          <w:sz w:val="21"/>
        </w:rPr>
        <w:t> </w:t>
      </w:r>
      <w:r>
        <w:rPr>
          <w:spacing w:val="-3"/>
          <w:w w:val="105"/>
          <w:sz w:val="21"/>
        </w:rPr>
        <w:t>relationship.</w:t>
      </w:r>
      <w:r>
        <w:rPr>
          <w:spacing w:val="-3"/>
          <w:w w:val="105"/>
          <w:position w:val="7"/>
          <w:sz w:val="12"/>
        </w:rPr>
        <w:t>38</w:t>
      </w:r>
    </w:p>
    <w:p>
      <w:pPr>
        <w:pStyle w:val="ListParagraph"/>
        <w:numPr>
          <w:ilvl w:val="1"/>
          <w:numId w:val="22"/>
        </w:numPr>
        <w:tabs>
          <w:tab w:pos="2380" w:val="left" w:leader="none"/>
          <w:tab w:pos="2381" w:val="left" w:leader="none"/>
        </w:tabs>
        <w:spacing w:line="242" w:lineRule="auto" w:before="125" w:after="0"/>
        <w:ind w:left="2381" w:right="1792" w:hanging="794"/>
        <w:jc w:val="left"/>
        <w:rPr>
          <w:sz w:val="21"/>
        </w:rPr>
      </w:pPr>
      <w:r>
        <w:rPr>
          <w:spacing w:val="-4"/>
          <w:sz w:val="21"/>
        </w:rPr>
        <w:t>However, </w:t>
      </w:r>
      <w:r>
        <w:rPr>
          <w:sz w:val="21"/>
        </w:rPr>
        <w:t>the </w:t>
      </w:r>
      <w:r>
        <w:rPr>
          <w:spacing w:val="-3"/>
          <w:sz w:val="21"/>
        </w:rPr>
        <w:t>Commission notes that  fewer  than  </w:t>
      </w:r>
      <w:r>
        <w:rPr>
          <w:sz w:val="21"/>
        </w:rPr>
        <w:t>five  per  </w:t>
      </w:r>
      <w:r>
        <w:rPr>
          <w:spacing w:val="-3"/>
          <w:sz w:val="21"/>
        </w:rPr>
        <w:t>cent  </w:t>
      </w:r>
      <w:r>
        <w:rPr>
          <w:sz w:val="21"/>
        </w:rPr>
        <w:t>of  estates  </w:t>
      </w:r>
      <w:r>
        <w:rPr>
          <w:spacing w:val="-3"/>
          <w:sz w:val="21"/>
        </w:rPr>
        <w:t>administered </w:t>
      </w:r>
      <w:r>
        <w:rPr>
          <w:sz w:val="21"/>
        </w:rPr>
        <w:t>by </w:t>
      </w:r>
      <w:r>
        <w:rPr>
          <w:spacing w:val="-3"/>
          <w:sz w:val="21"/>
        </w:rPr>
        <w:t>State </w:t>
      </w:r>
      <w:r>
        <w:rPr>
          <w:spacing w:val="-4"/>
          <w:sz w:val="21"/>
        </w:rPr>
        <w:t>Trustees </w:t>
      </w:r>
      <w:r>
        <w:rPr>
          <w:spacing w:val="-3"/>
          <w:sz w:val="21"/>
        </w:rPr>
        <w:t>involve </w:t>
      </w:r>
      <w:r>
        <w:rPr>
          <w:sz w:val="21"/>
        </w:rPr>
        <w:t>next of </w:t>
      </w:r>
      <w:r>
        <w:rPr>
          <w:spacing w:val="-2"/>
          <w:sz w:val="21"/>
        </w:rPr>
        <w:t>kin </w:t>
      </w:r>
      <w:r>
        <w:rPr>
          <w:sz w:val="21"/>
        </w:rPr>
        <w:t>who </w:t>
      </w:r>
      <w:r>
        <w:rPr>
          <w:spacing w:val="-3"/>
          <w:sz w:val="21"/>
        </w:rPr>
        <w:t>are  </w:t>
      </w:r>
      <w:r>
        <w:rPr>
          <w:sz w:val="21"/>
        </w:rPr>
        <w:t>more </w:t>
      </w:r>
      <w:r>
        <w:rPr>
          <w:spacing w:val="-3"/>
          <w:sz w:val="21"/>
        </w:rPr>
        <w:t>remote</w:t>
      </w:r>
      <w:r>
        <w:rPr>
          <w:spacing w:val="41"/>
          <w:sz w:val="21"/>
        </w:rPr>
        <w:t> </w:t>
      </w:r>
      <w:r>
        <w:rPr>
          <w:spacing w:val="-3"/>
          <w:sz w:val="21"/>
        </w:rPr>
        <w:t>than  </w:t>
      </w:r>
      <w:r>
        <w:rPr>
          <w:sz w:val="21"/>
        </w:rPr>
        <w:t>the deceased </w:t>
      </w:r>
      <w:r>
        <w:rPr>
          <w:spacing w:val="-3"/>
          <w:sz w:val="21"/>
        </w:rPr>
        <w:t>person’s </w:t>
      </w:r>
      <w:r>
        <w:rPr>
          <w:sz w:val="21"/>
        </w:rPr>
        <w:t>first </w:t>
      </w:r>
      <w:r>
        <w:rPr>
          <w:spacing w:val="-3"/>
          <w:sz w:val="21"/>
        </w:rPr>
        <w:t>cousins </w:t>
      </w:r>
      <w:r>
        <w:rPr>
          <w:sz w:val="21"/>
        </w:rPr>
        <w:t>and most </w:t>
      </w:r>
      <w:r>
        <w:rPr>
          <w:spacing w:val="-4"/>
          <w:sz w:val="21"/>
        </w:rPr>
        <w:t>fall </w:t>
      </w:r>
      <w:r>
        <w:rPr>
          <w:spacing w:val="-3"/>
          <w:sz w:val="21"/>
        </w:rPr>
        <w:t>within </w:t>
      </w:r>
      <w:r>
        <w:rPr>
          <w:sz w:val="21"/>
        </w:rPr>
        <w:t>the first two classes of next of kin.</w:t>
      </w:r>
      <w:r>
        <w:rPr>
          <w:position w:val="7"/>
          <w:sz w:val="12"/>
        </w:rPr>
        <w:t>39 </w:t>
      </w:r>
      <w:r>
        <w:rPr>
          <w:sz w:val="21"/>
        </w:rPr>
        <w:t>If next of </w:t>
      </w:r>
      <w:r>
        <w:rPr>
          <w:spacing w:val="-2"/>
          <w:sz w:val="21"/>
        </w:rPr>
        <w:t>kin </w:t>
      </w:r>
      <w:r>
        <w:rPr>
          <w:spacing w:val="-3"/>
          <w:sz w:val="21"/>
        </w:rPr>
        <w:t>were limited to </w:t>
      </w:r>
      <w:r>
        <w:rPr>
          <w:sz w:val="21"/>
        </w:rPr>
        <w:t>first </w:t>
      </w:r>
      <w:r>
        <w:rPr>
          <w:spacing w:val="-3"/>
          <w:sz w:val="21"/>
        </w:rPr>
        <w:t>cousins, </w:t>
      </w:r>
      <w:r>
        <w:rPr>
          <w:sz w:val="21"/>
        </w:rPr>
        <w:t>only a </w:t>
      </w:r>
      <w:r>
        <w:rPr>
          <w:spacing w:val="-3"/>
          <w:sz w:val="21"/>
        </w:rPr>
        <w:t>relatively small </w:t>
      </w:r>
      <w:r>
        <w:rPr>
          <w:sz w:val="21"/>
        </w:rPr>
        <w:t>number of estates </w:t>
      </w:r>
      <w:r>
        <w:rPr>
          <w:spacing w:val="-3"/>
          <w:sz w:val="21"/>
        </w:rPr>
        <w:t>that</w:t>
      </w:r>
      <w:r>
        <w:rPr>
          <w:spacing w:val="-22"/>
          <w:sz w:val="21"/>
        </w:rPr>
        <w:t> </w:t>
      </w:r>
      <w:r>
        <w:rPr>
          <w:sz w:val="21"/>
        </w:rPr>
        <w:t>would </w:t>
      </w:r>
      <w:r>
        <w:rPr>
          <w:spacing w:val="-3"/>
          <w:sz w:val="21"/>
        </w:rPr>
        <w:t>currently</w:t>
      </w:r>
    </w:p>
    <w:p>
      <w:pPr>
        <w:pStyle w:val="BodyText"/>
        <w:spacing w:line="242" w:lineRule="auto" w:before="4"/>
        <w:ind w:left="2381" w:right="2120"/>
      </w:pPr>
      <w:r>
        <w:rPr/>
        <w:t>be </w:t>
      </w:r>
      <w:r>
        <w:rPr>
          <w:spacing w:val="-3"/>
        </w:rPr>
        <w:t>distributed  to  </w:t>
      </w:r>
      <w:r>
        <w:rPr/>
        <w:t>a deceased </w:t>
      </w:r>
      <w:r>
        <w:rPr>
          <w:spacing w:val="-3"/>
        </w:rPr>
        <w:t>person’s</w:t>
      </w:r>
      <w:r>
        <w:rPr>
          <w:spacing w:val="41"/>
        </w:rPr>
        <w:t> </w:t>
      </w:r>
      <w:r>
        <w:rPr/>
        <w:t>more </w:t>
      </w:r>
      <w:r>
        <w:rPr>
          <w:spacing w:val="-3"/>
        </w:rPr>
        <w:t>remote  relatives  </w:t>
      </w:r>
      <w:r>
        <w:rPr/>
        <w:t>would pass </w:t>
      </w:r>
      <w:r>
        <w:rPr>
          <w:spacing w:val="-3"/>
        </w:rPr>
        <w:t>to  </w:t>
      </w:r>
      <w:r>
        <w:rPr/>
        <w:t>the </w:t>
      </w:r>
      <w:r>
        <w:rPr>
          <w:spacing w:val="-3"/>
        </w:rPr>
        <w:t>State   </w:t>
      </w:r>
      <w:r>
        <w:rPr/>
        <w:t>of Victoria </w:t>
      </w:r>
      <w:r>
        <w:rPr>
          <w:spacing w:val="-3"/>
        </w:rPr>
        <w:t>instead. </w:t>
      </w:r>
      <w:r>
        <w:rPr/>
        <w:t>The </w:t>
      </w:r>
      <w:r>
        <w:rPr>
          <w:spacing w:val="-3"/>
        </w:rPr>
        <w:t>Commission </w:t>
      </w:r>
      <w:r>
        <w:rPr/>
        <w:t>agrees </w:t>
      </w:r>
      <w:r>
        <w:rPr>
          <w:spacing w:val="-3"/>
        </w:rPr>
        <w:t>that  </w:t>
      </w:r>
      <w:r>
        <w:rPr/>
        <w:t>the  cases  </w:t>
      </w:r>
      <w:r>
        <w:rPr>
          <w:spacing w:val="-3"/>
        </w:rPr>
        <w:t>are  </w:t>
      </w:r>
      <w:r>
        <w:rPr/>
        <w:t>so  </w:t>
      </w:r>
      <w:r>
        <w:rPr>
          <w:spacing w:val="-3"/>
        </w:rPr>
        <w:t>few  that  </w:t>
      </w:r>
      <w:r>
        <w:rPr/>
        <w:t>the  time and expense </w:t>
      </w:r>
      <w:r>
        <w:rPr>
          <w:spacing w:val="-3"/>
        </w:rPr>
        <w:t>involved </w:t>
      </w:r>
      <w:r>
        <w:rPr/>
        <w:t>in locating more </w:t>
      </w:r>
      <w:r>
        <w:rPr>
          <w:spacing w:val="-3"/>
        </w:rPr>
        <w:t>remote </w:t>
      </w:r>
      <w:r>
        <w:rPr/>
        <w:t>next of </w:t>
      </w:r>
      <w:r>
        <w:rPr>
          <w:spacing w:val="-2"/>
        </w:rPr>
        <w:t>kin </w:t>
      </w:r>
      <w:r>
        <w:rPr/>
        <w:t>is </w:t>
      </w:r>
      <w:r>
        <w:rPr>
          <w:spacing w:val="-2"/>
        </w:rPr>
        <w:t>not </w:t>
      </w:r>
      <w:r>
        <w:rPr/>
        <w:t>justified. As </w:t>
      </w:r>
      <w:r>
        <w:rPr>
          <w:spacing w:val="-3"/>
        </w:rPr>
        <w:t>noted </w:t>
      </w:r>
      <w:r>
        <w:rPr/>
        <w:t>in </w:t>
      </w:r>
      <w:r>
        <w:rPr>
          <w:spacing w:val="-3"/>
        </w:rPr>
        <w:t>submissions, </w:t>
      </w:r>
      <w:r>
        <w:rPr/>
        <w:t>there is the </w:t>
      </w:r>
      <w:r>
        <w:rPr>
          <w:spacing w:val="-3"/>
        </w:rPr>
        <w:t>potential for </w:t>
      </w:r>
      <w:r>
        <w:rPr/>
        <w:t>more </w:t>
      </w:r>
      <w:r>
        <w:rPr>
          <w:spacing w:val="-3"/>
        </w:rPr>
        <w:t>remote </w:t>
      </w:r>
      <w:r>
        <w:rPr/>
        <w:t>next of </w:t>
      </w:r>
      <w:r>
        <w:rPr>
          <w:spacing w:val="-2"/>
        </w:rPr>
        <w:t>kin </w:t>
      </w:r>
      <w:r>
        <w:rPr>
          <w:spacing w:val="-3"/>
        </w:rPr>
        <w:t>to  </w:t>
      </w:r>
      <w:r>
        <w:rPr/>
        <w:t>apply </w:t>
      </w:r>
      <w:r>
        <w:rPr>
          <w:spacing w:val="-3"/>
        </w:rPr>
        <w:t>to</w:t>
      </w:r>
      <w:r>
        <w:rPr>
          <w:spacing w:val="41"/>
        </w:rPr>
        <w:t> </w:t>
      </w:r>
      <w:r>
        <w:rPr/>
        <w:t>the </w:t>
      </w:r>
      <w:r>
        <w:rPr>
          <w:spacing w:val="-3"/>
        </w:rPr>
        <w:t>Minister for Finance </w:t>
      </w:r>
      <w:r>
        <w:rPr/>
        <w:t>or </w:t>
      </w:r>
      <w:r>
        <w:rPr>
          <w:spacing w:val="-4"/>
        </w:rPr>
        <w:t>make </w:t>
      </w:r>
      <w:r>
        <w:rPr/>
        <w:t>a </w:t>
      </w:r>
      <w:r>
        <w:rPr>
          <w:spacing w:val="-3"/>
        </w:rPr>
        <w:t>family provision claim </w:t>
      </w:r>
      <w:r>
        <w:rPr/>
        <w:t>in some </w:t>
      </w:r>
      <w:r>
        <w:rPr>
          <w:spacing w:val="-3"/>
        </w:rPr>
        <w:t>circumstances, </w:t>
      </w:r>
      <w:r>
        <w:rPr/>
        <w:t>if they believe </w:t>
      </w:r>
      <w:r>
        <w:rPr>
          <w:spacing w:val="-3"/>
        </w:rPr>
        <w:t>that </w:t>
      </w:r>
      <w:r>
        <w:rPr/>
        <w:t>they should </w:t>
      </w:r>
      <w:r>
        <w:rPr>
          <w:spacing w:val="-3"/>
        </w:rPr>
        <w:t>have </w:t>
      </w:r>
      <w:r>
        <w:rPr/>
        <w:t>received a</w:t>
      </w:r>
      <w:r>
        <w:rPr>
          <w:spacing w:val="44"/>
        </w:rPr>
        <w:t> </w:t>
      </w:r>
      <w:r>
        <w:rPr>
          <w:spacing w:val="-4"/>
        </w:rPr>
        <w:t>share.</w:t>
      </w:r>
    </w:p>
    <w:p>
      <w:pPr>
        <w:pStyle w:val="ListParagraph"/>
        <w:numPr>
          <w:ilvl w:val="1"/>
          <w:numId w:val="22"/>
        </w:numPr>
        <w:tabs>
          <w:tab w:pos="2380" w:val="left" w:leader="none"/>
          <w:tab w:pos="2382" w:val="left" w:leader="none"/>
        </w:tabs>
        <w:spacing w:line="242" w:lineRule="auto" w:before="126" w:after="0"/>
        <w:ind w:left="2381" w:right="1604" w:hanging="794"/>
        <w:jc w:val="left"/>
        <w:rPr>
          <w:sz w:val="21"/>
        </w:rPr>
      </w:pPr>
      <w:r>
        <w:rPr>
          <w:sz w:val="21"/>
        </w:rPr>
        <w:t>If the </w:t>
      </w:r>
      <w:r>
        <w:rPr>
          <w:spacing w:val="-3"/>
          <w:sz w:val="21"/>
        </w:rPr>
        <w:t>unlimited </w:t>
      </w:r>
      <w:r>
        <w:rPr>
          <w:sz w:val="21"/>
        </w:rPr>
        <w:t>definition of next of </w:t>
      </w:r>
      <w:r>
        <w:rPr>
          <w:spacing w:val="-2"/>
          <w:sz w:val="21"/>
        </w:rPr>
        <w:t>kin </w:t>
      </w:r>
      <w:r>
        <w:rPr>
          <w:sz w:val="21"/>
        </w:rPr>
        <w:t>in Victoria </w:t>
      </w:r>
      <w:r>
        <w:rPr>
          <w:spacing w:val="-3"/>
          <w:sz w:val="21"/>
        </w:rPr>
        <w:t>were to  </w:t>
      </w:r>
      <w:r>
        <w:rPr>
          <w:sz w:val="21"/>
        </w:rPr>
        <w:t>be </w:t>
      </w:r>
      <w:r>
        <w:rPr>
          <w:spacing w:val="-3"/>
          <w:sz w:val="21"/>
        </w:rPr>
        <w:t>retained,</w:t>
      </w:r>
      <w:r>
        <w:rPr>
          <w:spacing w:val="41"/>
          <w:sz w:val="21"/>
        </w:rPr>
        <w:t> </w:t>
      </w:r>
      <w:r>
        <w:rPr>
          <w:sz w:val="21"/>
        </w:rPr>
        <w:t>the fact </w:t>
      </w:r>
      <w:r>
        <w:rPr>
          <w:spacing w:val="-3"/>
          <w:sz w:val="21"/>
        </w:rPr>
        <w:t>that  all </w:t>
      </w:r>
      <w:r>
        <w:rPr>
          <w:sz w:val="21"/>
        </w:rPr>
        <w:t>other states and </w:t>
      </w:r>
      <w:r>
        <w:rPr>
          <w:spacing w:val="-3"/>
          <w:sz w:val="21"/>
        </w:rPr>
        <w:t>territories limit </w:t>
      </w:r>
      <w:r>
        <w:rPr>
          <w:sz w:val="21"/>
        </w:rPr>
        <w:t>next of </w:t>
      </w:r>
      <w:r>
        <w:rPr>
          <w:spacing w:val="-2"/>
          <w:sz w:val="21"/>
        </w:rPr>
        <w:t>kin </w:t>
      </w:r>
      <w:r>
        <w:rPr>
          <w:sz w:val="21"/>
        </w:rPr>
        <w:t>who </w:t>
      </w:r>
      <w:r>
        <w:rPr>
          <w:spacing w:val="-3"/>
          <w:sz w:val="21"/>
        </w:rPr>
        <w:t>are </w:t>
      </w:r>
      <w:r>
        <w:rPr>
          <w:sz w:val="21"/>
        </w:rPr>
        <w:t>entitled </w:t>
      </w:r>
      <w:r>
        <w:rPr>
          <w:spacing w:val="-3"/>
          <w:sz w:val="21"/>
        </w:rPr>
        <w:t>to inherit </w:t>
      </w:r>
      <w:r>
        <w:rPr>
          <w:sz w:val="21"/>
        </w:rPr>
        <w:t>on intestacy </w:t>
      </w:r>
      <w:r>
        <w:rPr>
          <w:spacing w:val="-3"/>
          <w:sz w:val="21"/>
        </w:rPr>
        <w:t>means that remote </w:t>
      </w:r>
      <w:r>
        <w:rPr>
          <w:sz w:val="21"/>
        </w:rPr>
        <w:t>next of </w:t>
      </w:r>
      <w:r>
        <w:rPr>
          <w:spacing w:val="-2"/>
          <w:sz w:val="21"/>
        </w:rPr>
        <w:t>kin </w:t>
      </w:r>
      <w:r>
        <w:rPr>
          <w:sz w:val="21"/>
        </w:rPr>
        <w:t>of a deceased person who lived permanently in Victoria or owned </w:t>
      </w:r>
      <w:r>
        <w:rPr>
          <w:spacing w:val="-3"/>
          <w:sz w:val="21"/>
        </w:rPr>
        <w:t>immovable </w:t>
      </w:r>
      <w:r>
        <w:rPr>
          <w:sz w:val="21"/>
        </w:rPr>
        <w:t>property in Victoria, and died </w:t>
      </w:r>
      <w:r>
        <w:rPr>
          <w:spacing w:val="-3"/>
          <w:sz w:val="21"/>
        </w:rPr>
        <w:t>intestate, may </w:t>
      </w:r>
      <w:r>
        <w:rPr>
          <w:sz w:val="21"/>
        </w:rPr>
        <w:t>receive a </w:t>
      </w:r>
      <w:r>
        <w:rPr>
          <w:spacing w:val="-3"/>
          <w:sz w:val="21"/>
        </w:rPr>
        <w:t>windfall that </w:t>
      </w:r>
      <w:r>
        <w:rPr>
          <w:sz w:val="21"/>
        </w:rPr>
        <w:t>they would </w:t>
      </w:r>
      <w:r>
        <w:rPr>
          <w:spacing w:val="-2"/>
          <w:sz w:val="21"/>
        </w:rPr>
        <w:t>not  </w:t>
      </w:r>
      <w:r>
        <w:rPr>
          <w:sz w:val="21"/>
        </w:rPr>
        <w:t>be entitled </w:t>
      </w:r>
      <w:r>
        <w:rPr>
          <w:spacing w:val="-3"/>
          <w:sz w:val="21"/>
        </w:rPr>
        <w:t>to  </w:t>
      </w:r>
      <w:r>
        <w:rPr>
          <w:sz w:val="21"/>
        </w:rPr>
        <w:t>anywhere else in </w:t>
      </w:r>
      <w:r>
        <w:rPr>
          <w:spacing w:val="-3"/>
          <w:sz w:val="21"/>
        </w:rPr>
        <w:t>Australia.  </w:t>
      </w:r>
      <w:r>
        <w:rPr>
          <w:sz w:val="21"/>
        </w:rPr>
        <w:t>This </w:t>
      </w:r>
      <w:r>
        <w:rPr>
          <w:spacing w:val="-3"/>
          <w:sz w:val="21"/>
        </w:rPr>
        <w:t>creates  </w:t>
      </w:r>
      <w:r>
        <w:rPr>
          <w:sz w:val="21"/>
        </w:rPr>
        <w:t>an </w:t>
      </w:r>
      <w:r>
        <w:rPr>
          <w:spacing w:val="-4"/>
          <w:sz w:val="21"/>
        </w:rPr>
        <w:t>anomaly,  </w:t>
      </w:r>
      <w:r>
        <w:rPr>
          <w:sz w:val="21"/>
        </w:rPr>
        <w:t>particularly where   a deceased person owned </w:t>
      </w:r>
      <w:r>
        <w:rPr>
          <w:spacing w:val="-3"/>
          <w:sz w:val="21"/>
        </w:rPr>
        <w:t>immovable </w:t>
      </w:r>
      <w:r>
        <w:rPr>
          <w:sz w:val="21"/>
        </w:rPr>
        <w:t>property in </w:t>
      </w:r>
      <w:r>
        <w:rPr>
          <w:spacing w:val="-3"/>
          <w:sz w:val="21"/>
        </w:rPr>
        <w:t>multiple</w:t>
      </w:r>
      <w:r>
        <w:rPr>
          <w:spacing w:val="9"/>
          <w:sz w:val="21"/>
        </w:rPr>
        <w:t> </w:t>
      </w:r>
      <w:r>
        <w:rPr>
          <w:spacing w:val="-3"/>
          <w:sz w:val="21"/>
        </w:rPr>
        <w:t>jurisdictions.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5"/>
        </w:rPr>
      </w:pPr>
      <w:r>
        <w:rPr/>
        <w:pict>
          <v:line style="position:absolute;mso-position-horizontal-relative:page;mso-position-vertical-relative:paragraph;z-index:3416;mso-wrap-distance-left:0;mso-wrap-distance-right:0" from="79.370102pt,17.715179pt" to="515.905102pt,17.715179pt" stroked="true" strokeweight="1pt" strokecolor="#f9ceca">
            <v:stroke dashstyle="solid"/>
            <w10:wrap type="topAndBottom"/>
          </v:line>
        </w:pict>
      </w:r>
    </w:p>
    <w:p>
      <w:pPr>
        <w:pStyle w:val="ListParagraph"/>
        <w:numPr>
          <w:ilvl w:val="0"/>
          <w:numId w:val="51"/>
        </w:numPr>
        <w:tabs>
          <w:tab w:pos="2380" w:val="left" w:leader="none"/>
          <w:tab w:pos="2382" w:val="left" w:leader="none"/>
        </w:tabs>
        <w:spacing w:line="240" w:lineRule="auto" w:before="117" w:after="0"/>
        <w:ind w:left="2381" w:right="1653" w:hanging="794"/>
        <w:jc w:val="left"/>
        <w:rPr>
          <w:sz w:val="13"/>
        </w:rPr>
      </w:pPr>
      <w:r>
        <w:rPr>
          <w:w w:val="105"/>
          <w:sz w:val="13"/>
        </w:rPr>
        <w:t>Submissions 8 (Patricia Strachan); </w:t>
      </w:r>
      <w:r>
        <w:rPr>
          <w:spacing w:val="-3"/>
          <w:w w:val="105"/>
          <w:sz w:val="13"/>
        </w:rPr>
        <w:t>14 </w:t>
      </w:r>
      <w:r>
        <w:rPr>
          <w:w w:val="105"/>
          <w:sz w:val="13"/>
        </w:rPr>
        <w:t>(Commercial Bar </w:t>
      </w:r>
      <w:r>
        <w:rPr>
          <w:spacing w:val="2"/>
          <w:w w:val="105"/>
          <w:sz w:val="13"/>
        </w:rPr>
        <w:t>Association); </w:t>
      </w:r>
      <w:r>
        <w:rPr>
          <w:spacing w:val="-3"/>
          <w:w w:val="105"/>
          <w:sz w:val="13"/>
        </w:rPr>
        <w:t>19 </w:t>
      </w:r>
      <w:r>
        <w:rPr>
          <w:spacing w:val="2"/>
          <w:w w:val="105"/>
          <w:sz w:val="13"/>
        </w:rPr>
        <w:t>(Association </w:t>
      </w:r>
      <w:r>
        <w:rPr>
          <w:w w:val="105"/>
          <w:sz w:val="13"/>
        </w:rPr>
        <w:t>of Independent Retirees); 25 </w:t>
      </w:r>
      <w:r>
        <w:rPr>
          <w:spacing w:val="2"/>
          <w:w w:val="105"/>
          <w:sz w:val="13"/>
        </w:rPr>
        <w:t>(Moores </w:t>
      </w:r>
      <w:r>
        <w:rPr>
          <w:w w:val="105"/>
          <w:sz w:val="13"/>
        </w:rPr>
        <w:t>Legal); 26 </w:t>
      </w:r>
      <w:r>
        <w:rPr>
          <w:spacing w:val="2"/>
          <w:w w:val="105"/>
          <w:sz w:val="13"/>
        </w:rPr>
        <w:t>(Rigby </w:t>
      </w:r>
      <w:r>
        <w:rPr>
          <w:w w:val="105"/>
          <w:sz w:val="13"/>
        </w:rPr>
        <w:t>Cooke </w:t>
      </w:r>
      <w:r>
        <w:rPr>
          <w:spacing w:val="2"/>
          <w:w w:val="105"/>
          <w:sz w:val="13"/>
        </w:rPr>
        <w:t>Lawyers); </w:t>
      </w:r>
      <w:r>
        <w:rPr>
          <w:w w:val="105"/>
          <w:sz w:val="13"/>
        </w:rPr>
        <w:t>31 (Seniors Rights </w:t>
      </w:r>
      <w:r>
        <w:rPr>
          <w:spacing w:val="2"/>
          <w:w w:val="105"/>
          <w:sz w:val="13"/>
        </w:rPr>
        <w:t>Victoria); </w:t>
      </w:r>
      <w:r>
        <w:rPr>
          <w:w w:val="105"/>
          <w:sz w:val="13"/>
        </w:rPr>
        <w:t>32 </w:t>
      </w:r>
      <w:r>
        <w:rPr>
          <w:spacing w:val="2"/>
          <w:w w:val="105"/>
          <w:sz w:val="13"/>
        </w:rPr>
        <w:t>(The </w:t>
      </w:r>
      <w:r>
        <w:rPr>
          <w:w w:val="105"/>
          <w:sz w:val="13"/>
        </w:rPr>
        <w:t>Institute of Legal Executives); 33 (State Trustees Limited); 36 </w:t>
      </w:r>
      <w:r>
        <w:rPr>
          <w:spacing w:val="3"/>
          <w:w w:val="105"/>
          <w:sz w:val="13"/>
        </w:rPr>
        <w:t>(Law </w:t>
      </w:r>
      <w:r>
        <w:rPr>
          <w:w w:val="105"/>
          <w:sz w:val="13"/>
        </w:rPr>
        <w:t>Society of New</w:t>
      </w:r>
      <w:r>
        <w:rPr>
          <w:spacing w:val="30"/>
          <w:w w:val="105"/>
          <w:sz w:val="13"/>
        </w:rPr>
        <w:t> </w:t>
      </w:r>
      <w:r>
        <w:rPr>
          <w:w w:val="105"/>
          <w:sz w:val="13"/>
        </w:rPr>
        <w:t>South</w:t>
      </w:r>
      <w:r>
        <w:rPr>
          <w:spacing w:val="4"/>
          <w:w w:val="105"/>
          <w:sz w:val="13"/>
        </w:rPr>
        <w:t> </w:t>
      </w:r>
      <w:r>
        <w:rPr>
          <w:w w:val="105"/>
          <w:sz w:val="13"/>
        </w:rPr>
        <w:t>Wales).</w:t>
      </w:r>
    </w:p>
    <w:p>
      <w:pPr>
        <w:pStyle w:val="ListParagraph"/>
        <w:numPr>
          <w:ilvl w:val="0"/>
          <w:numId w:val="51"/>
        </w:numPr>
        <w:tabs>
          <w:tab w:pos="2380" w:val="left" w:leader="none"/>
          <w:tab w:pos="2382" w:val="left" w:leader="none"/>
        </w:tabs>
        <w:spacing w:line="240" w:lineRule="auto" w:before="4" w:after="0"/>
        <w:ind w:left="2381" w:right="0" w:hanging="794"/>
        <w:jc w:val="left"/>
        <w:rPr>
          <w:sz w:val="13"/>
        </w:rPr>
      </w:pPr>
      <w:r>
        <w:rPr>
          <w:w w:val="105"/>
          <w:sz w:val="13"/>
        </w:rPr>
        <w:t>Submission 8 (Patricia</w:t>
      </w:r>
      <w:r>
        <w:rPr>
          <w:spacing w:val="13"/>
          <w:w w:val="105"/>
          <w:sz w:val="13"/>
        </w:rPr>
        <w:t> </w:t>
      </w:r>
      <w:r>
        <w:rPr>
          <w:w w:val="105"/>
          <w:sz w:val="13"/>
        </w:rPr>
        <w:t>Strachan).</w:t>
      </w:r>
    </w:p>
    <w:p>
      <w:pPr>
        <w:pStyle w:val="ListParagraph"/>
        <w:numPr>
          <w:ilvl w:val="0"/>
          <w:numId w:val="51"/>
        </w:numPr>
        <w:tabs>
          <w:tab w:pos="2380" w:val="left" w:leader="none"/>
          <w:tab w:pos="2382" w:val="left" w:leader="none"/>
        </w:tabs>
        <w:spacing w:line="240" w:lineRule="auto" w:before="1" w:after="0"/>
        <w:ind w:left="2381" w:right="1747" w:hanging="794"/>
        <w:jc w:val="left"/>
        <w:rPr>
          <w:sz w:val="13"/>
        </w:rPr>
      </w:pPr>
      <w:r>
        <w:rPr>
          <w:w w:val="105"/>
          <w:sz w:val="13"/>
        </w:rPr>
        <w:t>Submissions 25 </w:t>
      </w:r>
      <w:r>
        <w:rPr>
          <w:spacing w:val="2"/>
          <w:w w:val="105"/>
          <w:sz w:val="13"/>
        </w:rPr>
        <w:t>(Moores </w:t>
      </w:r>
      <w:r>
        <w:rPr>
          <w:w w:val="105"/>
          <w:sz w:val="13"/>
        </w:rPr>
        <w:t>Legal); 26 </w:t>
      </w:r>
      <w:r>
        <w:rPr>
          <w:spacing w:val="2"/>
          <w:w w:val="105"/>
          <w:sz w:val="13"/>
        </w:rPr>
        <w:t>(Rigby </w:t>
      </w:r>
      <w:r>
        <w:rPr>
          <w:w w:val="105"/>
          <w:sz w:val="13"/>
        </w:rPr>
        <w:t>Cooke </w:t>
      </w:r>
      <w:r>
        <w:rPr>
          <w:spacing w:val="2"/>
          <w:w w:val="105"/>
          <w:sz w:val="13"/>
        </w:rPr>
        <w:t>Lawyers). </w:t>
      </w:r>
      <w:r>
        <w:rPr>
          <w:w w:val="105"/>
          <w:sz w:val="13"/>
        </w:rPr>
        <w:t>Members of the Commission’s succession laws </w:t>
      </w:r>
      <w:r>
        <w:rPr>
          <w:spacing w:val="2"/>
          <w:w w:val="105"/>
          <w:sz w:val="13"/>
        </w:rPr>
        <w:t>advisory </w:t>
      </w:r>
      <w:r>
        <w:rPr>
          <w:w w:val="105"/>
          <w:sz w:val="13"/>
        </w:rPr>
        <w:t>committee also made this</w:t>
      </w:r>
      <w:r>
        <w:rPr>
          <w:spacing w:val="4"/>
          <w:w w:val="105"/>
          <w:sz w:val="13"/>
        </w:rPr>
        <w:t> </w:t>
      </w:r>
      <w:r>
        <w:rPr>
          <w:w w:val="105"/>
          <w:sz w:val="13"/>
        </w:rPr>
        <w:t>point.</w:t>
      </w:r>
    </w:p>
    <w:p>
      <w:pPr>
        <w:pStyle w:val="ListParagraph"/>
        <w:numPr>
          <w:ilvl w:val="0"/>
          <w:numId w:val="51"/>
        </w:numPr>
        <w:tabs>
          <w:tab w:pos="2381" w:val="left" w:leader="none"/>
          <w:tab w:pos="2382" w:val="left" w:leader="none"/>
        </w:tabs>
        <w:spacing w:line="240" w:lineRule="auto" w:before="3" w:after="0"/>
        <w:ind w:left="2381" w:right="0" w:hanging="794"/>
        <w:jc w:val="left"/>
        <w:rPr>
          <w:sz w:val="13"/>
        </w:rPr>
      </w:pPr>
      <w:r>
        <w:rPr>
          <w:w w:val="105"/>
          <w:sz w:val="13"/>
        </w:rPr>
        <w:t>Submission 31 (Seniors Rights</w:t>
      </w:r>
      <w:r>
        <w:rPr>
          <w:spacing w:val="18"/>
          <w:w w:val="105"/>
          <w:sz w:val="13"/>
        </w:rPr>
        <w:t> </w:t>
      </w:r>
      <w:r>
        <w:rPr>
          <w:spacing w:val="2"/>
          <w:w w:val="105"/>
          <w:sz w:val="13"/>
        </w:rPr>
        <w:t>Victoria).</w:t>
      </w:r>
    </w:p>
    <w:p>
      <w:pPr>
        <w:pStyle w:val="ListParagraph"/>
        <w:numPr>
          <w:ilvl w:val="0"/>
          <w:numId w:val="51"/>
        </w:numPr>
        <w:tabs>
          <w:tab w:pos="2381" w:val="left" w:leader="none"/>
          <w:tab w:pos="2382" w:val="left" w:leader="none"/>
        </w:tabs>
        <w:spacing w:line="240" w:lineRule="auto" w:before="1" w:after="0"/>
        <w:ind w:left="2381" w:right="0" w:hanging="794"/>
        <w:jc w:val="left"/>
        <w:rPr>
          <w:sz w:val="13"/>
        </w:rPr>
      </w:pPr>
      <w:r>
        <w:rPr>
          <w:w w:val="105"/>
          <w:sz w:val="13"/>
        </w:rPr>
        <w:t>Submissions</w:t>
      </w:r>
      <w:r>
        <w:rPr>
          <w:spacing w:val="4"/>
          <w:w w:val="105"/>
          <w:sz w:val="13"/>
        </w:rPr>
        <w:t> </w:t>
      </w:r>
      <w:r>
        <w:rPr>
          <w:spacing w:val="-3"/>
          <w:w w:val="105"/>
          <w:sz w:val="13"/>
        </w:rPr>
        <w:t>14</w:t>
      </w:r>
      <w:r>
        <w:rPr>
          <w:spacing w:val="5"/>
          <w:w w:val="105"/>
          <w:sz w:val="13"/>
        </w:rPr>
        <w:t> </w:t>
      </w:r>
      <w:r>
        <w:rPr>
          <w:w w:val="105"/>
          <w:sz w:val="13"/>
        </w:rPr>
        <w:t>(Commercial</w:t>
      </w:r>
      <w:r>
        <w:rPr>
          <w:spacing w:val="4"/>
          <w:w w:val="105"/>
          <w:sz w:val="13"/>
        </w:rPr>
        <w:t> </w:t>
      </w:r>
      <w:r>
        <w:rPr>
          <w:w w:val="105"/>
          <w:sz w:val="13"/>
        </w:rPr>
        <w:t>Bar</w:t>
      </w:r>
      <w:r>
        <w:rPr>
          <w:spacing w:val="5"/>
          <w:w w:val="105"/>
          <w:sz w:val="13"/>
        </w:rPr>
        <w:t> </w:t>
      </w:r>
      <w:r>
        <w:rPr>
          <w:spacing w:val="2"/>
          <w:w w:val="105"/>
          <w:sz w:val="13"/>
        </w:rPr>
        <w:t>Association);</w:t>
      </w:r>
      <w:r>
        <w:rPr>
          <w:spacing w:val="4"/>
          <w:w w:val="105"/>
          <w:sz w:val="13"/>
        </w:rPr>
        <w:t> </w:t>
      </w:r>
      <w:r>
        <w:rPr>
          <w:w w:val="105"/>
          <w:sz w:val="13"/>
        </w:rPr>
        <w:t>32</w:t>
      </w:r>
      <w:r>
        <w:rPr>
          <w:spacing w:val="5"/>
          <w:w w:val="105"/>
          <w:sz w:val="13"/>
        </w:rPr>
        <w:t> </w:t>
      </w:r>
      <w:r>
        <w:rPr>
          <w:spacing w:val="2"/>
          <w:w w:val="105"/>
          <w:sz w:val="13"/>
        </w:rPr>
        <w:t>(The</w:t>
      </w:r>
      <w:r>
        <w:rPr>
          <w:spacing w:val="4"/>
          <w:w w:val="105"/>
          <w:sz w:val="13"/>
        </w:rPr>
        <w:t> </w:t>
      </w:r>
      <w:r>
        <w:rPr>
          <w:w w:val="105"/>
          <w:sz w:val="13"/>
        </w:rPr>
        <w:t>Institute</w:t>
      </w:r>
      <w:r>
        <w:rPr>
          <w:spacing w:val="5"/>
          <w:w w:val="105"/>
          <w:sz w:val="13"/>
        </w:rPr>
        <w:t> </w:t>
      </w:r>
      <w:r>
        <w:rPr>
          <w:w w:val="105"/>
          <w:sz w:val="13"/>
        </w:rPr>
        <w:t>of</w:t>
      </w:r>
      <w:r>
        <w:rPr>
          <w:spacing w:val="5"/>
          <w:w w:val="105"/>
          <w:sz w:val="13"/>
        </w:rPr>
        <w:t> </w:t>
      </w:r>
      <w:r>
        <w:rPr>
          <w:w w:val="105"/>
          <w:sz w:val="13"/>
        </w:rPr>
        <w:t>Legal</w:t>
      </w:r>
      <w:r>
        <w:rPr>
          <w:spacing w:val="4"/>
          <w:w w:val="105"/>
          <w:sz w:val="13"/>
        </w:rPr>
        <w:t> </w:t>
      </w:r>
      <w:r>
        <w:rPr>
          <w:w w:val="105"/>
          <w:sz w:val="13"/>
        </w:rPr>
        <w:t>Executives).</w:t>
      </w:r>
    </w:p>
    <w:p>
      <w:pPr>
        <w:pStyle w:val="ListParagraph"/>
        <w:numPr>
          <w:ilvl w:val="0"/>
          <w:numId w:val="51"/>
        </w:numPr>
        <w:tabs>
          <w:tab w:pos="2381" w:val="left" w:leader="none"/>
          <w:tab w:pos="2382" w:val="left" w:leader="none"/>
        </w:tabs>
        <w:spacing w:line="240" w:lineRule="auto" w:before="2" w:after="0"/>
        <w:ind w:left="2381" w:right="0" w:hanging="794"/>
        <w:jc w:val="left"/>
        <w:rPr>
          <w:sz w:val="13"/>
        </w:rPr>
      </w:pPr>
      <w:r>
        <w:rPr>
          <w:w w:val="105"/>
          <w:sz w:val="13"/>
        </w:rPr>
        <w:t>Advisory Committee (Meeting</w:t>
      </w:r>
      <w:r>
        <w:rPr>
          <w:spacing w:val="13"/>
          <w:w w:val="105"/>
          <w:sz w:val="13"/>
        </w:rPr>
        <w:t> </w:t>
      </w:r>
      <w:r>
        <w:rPr>
          <w:spacing w:val="3"/>
          <w:w w:val="105"/>
          <w:sz w:val="13"/>
        </w:rPr>
        <w:t>3).</w:t>
      </w:r>
    </w:p>
    <w:p>
      <w:pPr>
        <w:pStyle w:val="ListParagraph"/>
        <w:numPr>
          <w:ilvl w:val="0"/>
          <w:numId w:val="51"/>
        </w:numPr>
        <w:tabs>
          <w:tab w:pos="2381" w:val="left" w:leader="none"/>
          <w:tab w:pos="2382" w:val="left" w:leader="none"/>
        </w:tabs>
        <w:spacing w:line="240" w:lineRule="auto" w:before="1" w:after="0"/>
        <w:ind w:left="2381" w:right="0" w:hanging="794"/>
        <w:jc w:val="left"/>
        <w:rPr>
          <w:sz w:val="13"/>
        </w:rPr>
      </w:pPr>
      <w:r>
        <w:rPr>
          <w:w w:val="105"/>
          <w:sz w:val="13"/>
        </w:rPr>
        <w:t>Submissions</w:t>
      </w:r>
      <w:r>
        <w:rPr>
          <w:spacing w:val="5"/>
          <w:w w:val="105"/>
          <w:sz w:val="13"/>
        </w:rPr>
        <w:t> </w:t>
      </w:r>
      <w:r>
        <w:rPr>
          <w:w w:val="105"/>
          <w:sz w:val="13"/>
        </w:rPr>
        <w:t>23</w:t>
      </w:r>
      <w:r>
        <w:rPr>
          <w:spacing w:val="5"/>
          <w:w w:val="105"/>
          <w:sz w:val="13"/>
        </w:rPr>
        <w:t> </w:t>
      </w:r>
      <w:r>
        <w:rPr>
          <w:w w:val="105"/>
          <w:sz w:val="13"/>
        </w:rPr>
        <w:t>(Family</w:t>
      </w:r>
      <w:r>
        <w:rPr>
          <w:spacing w:val="5"/>
          <w:w w:val="105"/>
          <w:sz w:val="13"/>
        </w:rPr>
        <w:t> </w:t>
      </w:r>
      <w:r>
        <w:rPr>
          <w:w w:val="105"/>
          <w:sz w:val="13"/>
        </w:rPr>
        <w:t>Voice</w:t>
      </w:r>
      <w:r>
        <w:rPr>
          <w:spacing w:val="5"/>
          <w:w w:val="105"/>
          <w:sz w:val="13"/>
        </w:rPr>
        <w:t> </w:t>
      </w:r>
      <w:r>
        <w:rPr>
          <w:w w:val="105"/>
          <w:sz w:val="13"/>
        </w:rPr>
        <w:t>Australia);</w:t>
      </w:r>
      <w:r>
        <w:rPr>
          <w:spacing w:val="5"/>
          <w:w w:val="105"/>
          <w:sz w:val="13"/>
        </w:rPr>
        <w:t> </w:t>
      </w:r>
      <w:r>
        <w:rPr>
          <w:spacing w:val="2"/>
          <w:w w:val="105"/>
          <w:sz w:val="13"/>
        </w:rPr>
        <w:t>30b</w:t>
      </w:r>
      <w:r>
        <w:rPr>
          <w:spacing w:val="5"/>
          <w:w w:val="105"/>
          <w:sz w:val="13"/>
        </w:rPr>
        <w:t> </w:t>
      </w:r>
      <w:r>
        <w:rPr>
          <w:spacing w:val="3"/>
          <w:w w:val="105"/>
          <w:sz w:val="13"/>
        </w:rPr>
        <w:t>(Law</w:t>
      </w:r>
      <w:r>
        <w:rPr>
          <w:spacing w:val="5"/>
          <w:w w:val="105"/>
          <w:sz w:val="13"/>
        </w:rPr>
        <w:t> </w:t>
      </w:r>
      <w:r>
        <w:rPr>
          <w:w w:val="105"/>
          <w:sz w:val="13"/>
        </w:rPr>
        <w:t>Institute</w:t>
      </w:r>
      <w:r>
        <w:rPr>
          <w:spacing w:val="5"/>
          <w:w w:val="105"/>
          <w:sz w:val="13"/>
        </w:rPr>
        <w:t> </w:t>
      </w:r>
      <w:r>
        <w:rPr>
          <w:w w:val="105"/>
          <w:sz w:val="13"/>
        </w:rPr>
        <w:t>of</w:t>
      </w:r>
      <w:r>
        <w:rPr>
          <w:spacing w:val="5"/>
          <w:w w:val="105"/>
          <w:sz w:val="13"/>
        </w:rPr>
        <w:t> </w:t>
      </w:r>
      <w:r>
        <w:rPr>
          <w:spacing w:val="2"/>
          <w:w w:val="105"/>
          <w:sz w:val="13"/>
        </w:rPr>
        <w:t>Victoria);</w:t>
      </w:r>
      <w:r>
        <w:rPr>
          <w:spacing w:val="4"/>
          <w:w w:val="105"/>
          <w:sz w:val="13"/>
        </w:rPr>
        <w:t> </w:t>
      </w:r>
      <w:r>
        <w:rPr>
          <w:w w:val="105"/>
          <w:sz w:val="13"/>
        </w:rPr>
        <w:t>39</w:t>
      </w:r>
      <w:r>
        <w:rPr>
          <w:spacing w:val="5"/>
          <w:w w:val="105"/>
          <w:sz w:val="13"/>
        </w:rPr>
        <w:t> </w:t>
      </w:r>
      <w:r>
        <w:rPr>
          <w:w w:val="105"/>
          <w:sz w:val="13"/>
        </w:rPr>
        <w:t>(Carolyn</w:t>
      </w:r>
      <w:r>
        <w:rPr>
          <w:spacing w:val="5"/>
          <w:w w:val="105"/>
          <w:sz w:val="13"/>
        </w:rPr>
        <w:t> </w:t>
      </w:r>
      <w:r>
        <w:rPr>
          <w:w w:val="105"/>
          <w:sz w:val="13"/>
        </w:rPr>
        <w:t>Sparke</w:t>
      </w:r>
      <w:r>
        <w:rPr>
          <w:spacing w:val="5"/>
          <w:w w:val="105"/>
          <w:sz w:val="13"/>
        </w:rPr>
        <w:t> </w:t>
      </w:r>
      <w:r>
        <w:rPr>
          <w:w w:val="105"/>
          <w:sz w:val="13"/>
        </w:rPr>
        <w:t>SC);</w:t>
      </w:r>
      <w:r>
        <w:rPr>
          <w:spacing w:val="5"/>
          <w:w w:val="105"/>
          <w:sz w:val="13"/>
        </w:rPr>
        <w:t> </w:t>
      </w:r>
      <w:r>
        <w:rPr>
          <w:w w:val="105"/>
          <w:sz w:val="13"/>
        </w:rPr>
        <w:t>40</w:t>
      </w:r>
      <w:r>
        <w:rPr>
          <w:spacing w:val="5"/>
          <w:w w:val="105"/>
          <w:sz w:val="13"/>
        </w:rPr>
        <w:t> </w:t>
      </w:r>
      <w:r>
        <w:rPr>
          <w:w w:val="105"/>
          <w:sz w:val="13"/>
        </w:rPr>
        <w:t>(Janice</w:t>
      </w:r>
      <w:r>
        <w:rPr>
          <w:spacing w:val="5"/>
          <w:w w:val="105"/>
          <w:sz w:val="13"/>
        </w:rPr>
        <w:t> </w:t>
      </w:r>
      <w:r>
        <w:rPr>
          <w:w w:val="105"/>
          <w:sz w:val="13"/>
        </w:rPr>
        <w:t>Brownfoot).</w:t>
      </w:r>
    </w:p>
    <w:p>
      <w:pPr>
        <w:pStyle w:val="ListParagraph"/>
        <w:numPr>
          <w:ilvl w:val="0"/>
          <w:numId w:val="51"/>
        </w:numPr>
        <w:tabs>
          <w:tab w:pos="2381" w:val="left" w:leader="none"/>
          <w:tab w:pos="2382" w:val="left" w:leader="none"/>
        </w:tabs>
        <w:spacing w:line="240" w:lineRule="auto" w:before="1" w:after="0"/>
        <w:ind w:left="2381" w:right="0" w:hanging="794"/>
        <w:jc w:val="left"/>
        <w:rPr>
          <w:sz w:val="13"/>
        </w:rPr>
      </w:pPr>
      <w:r>
        <w:rPr>
          <w:w w:val="105"/>
          <w:sz w:val="13"/>
        </w:rPr>
        <w:t>Submission </w:t>
      </w:r>
      <w:r>
        <w:rPr>
          <w:spacing w:val="2"/>
          <w:w w:val="105"/>
          <w:sz w:val="13"/>
        </w:rPr>
        <w:t>30b </w:t>
      </w:r>
      <w:r>
        <w:rPr>
          <w:spacing w:val="3"/>
          <w:w w:val="105"/>
          <w:sz w:val="13"/>
        </w:rPr>
        <w:t>(Law </w:t>
      </w:r>
      <w:r>
        <w:rPr>
          <w:w w:val="105"/>
          <w:sz w:val="13"/>
        </w:rPr>
        <w:t>Institute of</w:t>
      </w:r>
      <w:r>
        <w:rPr>
          <w:spacing w:val="17"/>
          <w:w w:val="105"/>
          <w:sz w:val="13"/>
        </w:rPr>
        <w:t> </w:t>
      </w:r>
      <w:r>
        <w:rPr>
          <w:spacing w:val="2"/>
          <w:w w:val="105"/>
          <w:sz w:val="13"/>
        </w:rPr>
        <w:t>Victoria).</w:t>
      </w:r>
    </w:p>
    <w:p>
      <w:pPr>
        <w:pStyle w:val="ListParagraph"/>
        <w:numPr>
          <w:ilvl w:val="0"/>
          <w:numId w:val="51"/>
        </w:numPr>
        <w:tabs>
          <w:tab w:pos="2381" w:val="left" w:leader="none"/>
          <w:tab w:pos="2382" w:val="left" w:leader="none"/>
        </w:tabs>
        <w:spacing w:line="127" w:lineRule="exact" w:before="2" w:after="0"/>
        <w:ind w:left="2381" w:right="0" w:hanging="794"/>
        <w:jc w:val="left"/>
        <w:rPr>
          <w:sz w:val="13"/>
        </w:rPr>
      </w:pPr>
      <w:r>
        <w:rPr>
          <w:sz w:val="13"/>
        </w:rPr>
        <w:t>Information</w:t>
      </w:r>
      <w:r>
        <w:rPr>
          <w:spacing w:val="10"/>
          <w:sz w:val="13"/>
        </w:rPr>
        <w:t> </w:t>
      </w:r>
      <w:r>
        <w:rPr>
          <w:sz w:val="13"/>
        </w:rPr>
        <w:t>provided</w:t>
      </w:r>
      <w:r>
        <w:rPr>
          <w:spacing w:val="10"/>
          <w:sz w:val="13"/>
        </w:rPr>
        <w:t> </w:t>
      </w:r>
      <w:r>
        <w:rPr>
          <w:sz w:val="13"/>
        </w:rPr>
        <w:t>by</w:t>
      </w:r>
      <w:r>
        <w:rPr>
          <w:spacing w:val="11"/>
          <w:sz w:val="13"/>
        </w:rPr>
        <w:t> </w:t>
      </w:r>
      <w:r>
        <w:rPr>
          <w:sz w:val="13"/>
        </w:rPr>
        <w:t>State</w:t>
      </w:r>
      <w:r>
        <w:rPr>
          <w:spacing w:val="10"/>
          <w:sz w:val="13"/>
        </w:rPr>
        <w:t> </w:t>
      </w:r>
      <w:r>
        <w:rPr>
          <w:sz w:val="13"/>
        </w:rPr>
        <w:t>Trustees</w:t>
      </w:r>
      <w:r>
        <w:rPr>
          <w:spacing w:val="11"/>
          <w:sz w:val="13"/>
        </w:rPr>
        <w:t> </w:t>
      </w:r>
      <w:r>
        <w:rPr>
          <w:sz w:val="13"/>
        </w:rPr>
        <w:t>(2</w:t>
      </w:r>
      <w:r>
        <w:rPr>
          <w:spacing w:val="10"/>
          <w:sz w:val="13"/>
        </w:rPr>
        <w:t> </w:t>
      </w:r>
      <w:r>
        <w:rPr>
          <w:sz w:val="13"/>
        </w:rPr>
        <w:t>November</w:t>
      </w:r>
      <w:r>
        <w:rPr>
          <w:spacing w:val="11"/>
          <w:sz w:val="13"/>
        </w:rPr>
        <w:t> </w:t>
      </w:r>
      <w:r>
        <w:rPr>
          <w:sz w:val="13"/>
        </w:rPr>
        <w:t>2012).</w:t>
      </w:r>
      <w:r>
        <w:rPr>
          <w:spacing w:val="10"/>
          <w:sz w:val="13"/>
        </w:rPr>
        <w:t> </w:t>
      </w:r>
      <w:r>
        <w:rPr>
          <w:sz w:val="13"/>
        </w:rPr>
        <w:t>State</w:t>
      </w:r>
      <w:r>
        <w:rPr>
          <w:spacing w:val="11"/>
          <w:sz w:val="13"/>
        </w:rPr>
        <w:t> </w:t>
      </w:r>
      <w:r>
        <w:rPr>
          <w:sz w:val="13"/>
        </w:rPr>
        <w:t>Trustees</w:t>
      </w:r>
      <w:r>
        <w:rPr>
          <w:spacing w:val="10"/>
          <w:sz w:val="13"/>
        </w:rPr>
        <w:t> </w:t>
      </w:r>
      <w:r>
        <w:rPr>
          <w:sz w:val="13"/>
        </w:rPr>
        <w:t>administers</w:t>
      </w:r>
      <w:r>
        <w:rPr>
          <w:spacing w:val="11"/>
          <w:sz w:val="13"/>
        </w:rPr>
        <w:t> </w:t>
      </w:r>
      <w:r>
        <w:rPr>
          <w:sz w:val="13"/>
        </w:rPr>
        <w:t>between</w:t>
      </w:r>
      <w:r>
        <w:rPr>
          <w:spacing w:val="10"/>
          <w:sz w:val="13"/>
        </w:rPr>
        <w:t> </w:t>
      </w:r>
      <w:r>
        <w:rPr>
          <w:spacing w:val="2"/>
          <w:sz w:val="13"/>
        </w:rPr>
        <w:t>500</w:t>
      </w:r>
      <w:r>
        <w:rPr>
          <w:spacing w:val="11"/>
          <w:sz w:val="13"/>
        </w:rPr>
        <w:t> </w:t>
      </w:r>
      <w:r>
        <w:rPr>
          <w:sz w:val="13"/>
        </w:rPr>
        <w:t>and</w:t>
      </w:r>
      <w:r>
        <w:rPr>
          <w:spacing w:val="10"/>
          <w:sz w:val="13"/>
        </w:rPr>
        <w:t> </w:t>
      </w:r>
      <w:r>
        <w:rPr>
          <w:sz w:val="13"/>
        </w:rPr>
        <w:t>1000</w:t>
      </w:r>
      <w:r>
        <w:rPr>
          <w:spacing w:val="11"/>
          <w:sz w:val="13"/>
        </w:rPr>
        <w:t> </w:t>
      </w:r>
      <w:r>
        <w:rPr>
          <w:sz w:val="13"/>
        </w:rPr>
        <w:t>intestate</w:t>
      </w:r>
      <w:r>
        <w:rPr>
          <w:spacing w:val="10"/>
          <w:sz w:val="13"/>
        </w:rPr>
        <w:t> </w:t>
      </w:r>
      <w:r>
        <w:rPr>
          <w:sz w:val="13"/>
        </w:rPr>
        <w:t>estates</w:t>
      </w:r>
      <w:r>
        <w:rPr>
          <w:spacing w:val="10"/>
          <w:sz w:val="13"/>
        </w:rPr>
        <w:t> </w:t>
      </w:r>
      <w:r>
        <w:rPr>
          <w:sz w:val="13"/>
        </w:rPr>
        <w:t>each</w:t>
      </w:r>
      <w:r>
        <w:rPr>
          <w:spacing w:val="11"/>
          <w:sz w:val="13"/>
        </w:rPr>
        <w:t> </w:t>
      </w:r>
      <w:r>
        <w:rPr>
          <w:sz w:val="13"/>
        </w:rPr>
        <w:t>year</w:t>
      </w:r>
    </w:p>
    <w:p>
      <w:pPr>
        <w:tabs>
          <w:tab w:pos="2381" w:val="left" w:leader="none"/>
        </w:tabs>
        <w:spacing w:line="261" w:lineRule="exact" w:before="0"/>
        <w:ind w:left="720" w:right="0" w:firstLine="0"/>
        <w:jc w:val="left"/>
        <w:rPr>
          <w:sz w:val="13"/>
        </w:rPr>
      </w:pPr>
      <w:r>
        <w:rPr>
          <w:b/>
          <w:color w:val="EC5A4F"/>
          <w:w w:val="105"/>
          <w:position w:val="-3"/>
          <w:sz w:val="24"/>
        </w:rPr>
        <w:t>60</w:t>
        <w:tab/>
      </w:r>
      <w:r>
        <w:rPr>
          <w:w w:val="105"/>
          <w:sz w:val="13"/>
        </w:rPr>
        <w:t>and is the only repository of this </w:t>
      </w:r>
      <w:r>
        <w:rPr>
          <w:spacing w:val="2"/>
          <w:w w:val="105"/>
          <w:sz w:val="13"/>
        </w:rPr>
        <w:t>type </w:t>
      </w:r>
      <w:r>
        <w:rPr>
          <w:w w:val="105"/>
          <w:sz w:val="13"/>
        </w:rPr>
        <w:t>of</w:t>
      </w:r>
      <w:r>
        <w:rPr>
          <w:spacing w:val="7"/>
          <w:w w:val="105"/>
          <w:sz w:val="13"/>
        </w:rPr>
        <w:t> </w:t>
      </w:r>
      <w:r>
        <w:rPr>
          <w:w w:val="105"/>
          <w:sz w:val="13"/>
        </w:rPr>
        <w:t>information.</w:t>
      </w:r>
    </w:p>
    <w:p>
      <w:pPr>
        <w:spacing w:after="0" w:line="261" w:lineRule="exact"/>
        <w:jc w:val="left"/>
        <w:rPr>
          <w:sz w:val="13"/>
        </w:rPr>
        <w:sectPr>
          <w:pgSz w:w="11910" w:h="16840"/>
          <w:pgMar w:header="550" w:footer="0" w:top="1560" w:bottom="280" w:left="0" w:right="0"/>
        </w:sectPr>
      </w:pPr>
    </w:p>
    <w:p>
      <w:pPr>
        <w:pStyle w:val="BodyText"/>
        <w:rPr>
          <w:sz w:val="20"/>
        </w:rPr>
      </w:pPr>
    </w:p>
    <w:p>
      <w:pPr>
        <w:pStyle w:val="BodyText"/>
        <w:spacing w:before="8"/>
        <w:rPr>
          <w:sz w:val="16"/>
        </w:rPr>
      </w:pPr>
    </w:p>
    <w:p>
      <w:pPr>
        <w:pStyle w:val="ListParagraph"/>
        <w:numPr>
          <w:ilvl w:val="1"/>
          <w:numId w:val="22"/>
        </w:numPr>
        <w:tabs>
          <w:tab w:pos="2381" w:val="left" w:leader="none"/>
          <w:tab w:pos="2382" w:val="left" w:leader="none"/>
        </w:tabs>
        <w:spacing w:line="242" w:lineRule="auto" w:before="91" w:after="0"/>
        <w:ind w:left="2381" w:right="1744" w:hanging="794"/>
        <w:jc w:val="left"/>
        <w:rPr>
          <w:sz w:val="12"/>
        </w:rPr>
      </w:pPr>
      <w:r>
        <w:rPr>
          <w:w w:val="105"/>
          <w:sz w:val="21"/>
        </w:rPr>
        <w:t>In the </w:t>
      </w:r>
      <w:r>
        <w:rPr>
          <w:spacing w:val="-4"/>
          <w:w w:val="105"/>
          <w:sz w:val="21"/>
        </w:rPr>
        <w:t>Commission’s view, </w:t>
      </w:r>
      <w:r>
        <w:rPr>
          <w:w w:val="105"/>
          <w:sz w:val="21"/>
        </w:rPr>
        <w:t>the arguments </w:t>
      </w:r>
      <w:r>
        <w:rPr>
          <w:spacing w:val="-3"/>
          <w:w w:val="105"/>
          <w:sz w:val="21"/>
        </w:rPr>
        <w:t>against </w:t>
      </w:r>
      <w:r>
        <w:rPr>
          <w:w w:val="105"/>
          <w:sz w:val="21"/>
        </w:rPr>
        <w:t>setting a </w:t>
      </w:r>
      <w:r>
        <w:rPr>
          <w:spacing w:val="-3"/>
          <w:w w:val="105"/>
          <w:sz w:val="21"/>
        </w:rPr>
        <w:t>limit </w:t>
      </w:r>
      <w:r>
        <w:rPr>
          <w:w w:val="105"/>
          <w:sz w:val="21"/>
        </w:rPr>
        <w:t>on next of </w:t>
      </w:r>
      <w:r>
        <w:rPr>
          <w:spacing w:val="-2"/>
          <w:w w:val="105"/>
          <w:sz w:val="21"/>
        </w:rPr>
        <w:t>kin </w:t>
      </w:r>
      <w:r>
        <w:rPr>
          <w:w w:val="105"/>
          <w:sz w:val="21"/>
        </w:rPr>
        <w:t>do </w:t>
      </w:r>
      <w:r>
        <w:rPr>
          <w:spacing w:val="-2"/>
          <w:w w:val="105"/>
          <w:sz w:val="21"/>
        </w:rPr>
        <w:t>not </w:t>
      </w:r>
      <w:r>
        <w:rPr>
          <w:spacing w:val="-3"/>
          <w:w w:val="105"/>
          <w:sz w:val="21"/>
        </w:rPr>
        <w:t>warrant</w:t>
      </w:r>
      <w:r>
        <w:rPr>
          <w:spacing w:val="-7"/>
          <w:w w:val="105"/>
          <w:sz w:val="21"/>
        </w:rPr>
        <w:t> </w:t>
      </w:r>
      <w:r>
        <w:rPr>
          <w:w w:val="105"/>
          <w:sz w:val="21"/>
        </w:rPr>
        <w:t>departure</w:t>
      </w:r>
      <w:r>
        <w:rPr>
          <w:spacing w:val="-6"/>
          <w:w w:val="105"/>
          <w:sz w:val="21"/>
        </w:rPr>
        <w:t> </w:t>
      </w:r>
      <w:r>
        <w:rPr>
          <w:spacing w:val="-3"/>
          <w:w w:val="105"/>
          <w:sz w:val="21"/>
        </w:rPr>
        <w:t>from</w:t>
      </w:r>
      <w:r>
        <w:rPr>
          <w:spacing w:val="-6"/>
          <w:w w:val="105"/>
          <w:sz w:val="21"/>
        </w:rPr>
        <w:t> </w:t>
      </w:r>
      <w:r>
        <w:rPr>
          <w:w w:val="105"/>
          <w:sz w:val="21"/>
        </w:rPr>
        <w:t>the</w:t>
      </w:r>
      <w:r>
        <w:rPr>
          <w:spacing w:val="-7"/>
          <w:w w:val="105"/>
          <w:sz w:val="21"/>
        </w:rPr>
        <w:t> </w:t>
      </w:r>
      <w:r>
        <w:rPr>
          <w:spacing w:val="-3"/>
          <w:w w:val="105"/>
          <w:sz w:val="21"/>
        </w:rPr>
        <w:t>National</w:t>
      </w:r>
      <w:r>
        <w:rPr>
          <w:spacing w:val="-6"/>
          <w:w w:val="105"/>
          <w:sz w:val="21"/>
        </w:rPr>
        <w:t> </w:t>
      </w:r>
      <w:r>
        <w:rPr>
          <w:spacing w:val="-4"/>
          <w:w w:val="105"/>
          <w:sz w:val="21"/>
        </w:rPr>
        <w:t>Committee’s</w:t>
      </w:r>
      <w:r>
        <w:rPr>
          <w:spacing w:val="-6"/>
          <w:w w:val="105"/>
          <w:sz w:val="21"/>
        </w:rPr>
        <w:t> </w:t>
      </w:r>
      <w:r>
        <w:rPr>
          <w:spacing w:val="-3"/>
          <w:w w:val="105"/>
          <w:sz w:val="21"/>
        </w:rPr>
        <w:t>recommendation.</w:t>
      </w:r>
      <w:r>
        <w:rPr>
          <w:spacing w:val="-6"/>
          <w:w w:val="105"/>
          <w:sz w:val="21"/>
        </w:rPr>
        <w:t> </w:t>
      </w:r>
      <w:r>
        <w:rPr>
          <w:w w:val="105"/>
          <w:sz w:val="21"/>
        </w:rPr>
        <w:t>For</w:t>
      </w:r>
      <w:r>
        <w:rPr>
          <w:spacing w:val="-7"/>
          <w:w w:val="105"/>
          <w:sz w:val="21"/>
        </w:rPr>
        <w:t> </w:t>
      </w:r>
      <w:r>
        <w:rPr>
          <w:spacing w:val="-3"/>
          <w:w w:val="105"/>
          <w:sz w:val="21"/>
        </w:rPr>
        <w:t>practicality,</w:t>
      </w:r>
      <w:r>
        <w:rPr>
          <w:spacing w:val="-6"/>
          <w:w w:val="105"/>
          <w:sz w:val="21"/>
        </w:rPr>
        <w:t> </w:t>
      </w:r>
      <w:r>
        <w:rPr>
          <w:w w:val="105"/>
          <w:sz w:val="21"/>
        </w:rPr>
        <w:t>and </w:t>
      </w:r>
      <w:r>
        <w:rPr>
          <w:spacing w:val="-3"/>
          <w:w w:val="105"/>
          <w:sz w:val="21"/>
        </w:rPr>
        <w:t>to</w:t>
      </w:r>
      <w:r>
        <w:rPr>
          <w:spacing w:val="-8"/>
          <w:w w:val="105"/>
          <w:sz w:val="21"/>
        </w:rPr>
        <w:t> </w:t>
      </w:r>
      <w:r>
        <w:rPr>
          <w:spacing w:val="-3"/>
          <w:w w:val="105"/>
          <w:sz w:val="21"/>
        </w:rPr>
        <w:t>promote</w:t>
      </w:r>
      <w:r>
        <w:rPr>
          <w:spacing w:val="-8"/>
          <w:w w:val="105"/>
          <w:sz w:val="21"/>
        </w:rPr>
        <w:t> </w:t>
      </w:r>
      <w:r>
        <w:rPr>
          <w:w w:val="105"/>
          <w:sz w:val="21"/>
        </w:rPr>
        <w:t>certainty</w:t>
      </w:r>
      <w:r>
        <w:rPr>
          <w:spacing w:val="-8"/>
          <w:w w:val="105"/>
          <w:sz w:val="21"/>
        </w:rPr>
        <w:t> </w:t>
      </w:r>
      <w:r>
        <w:rPr>
          <w:w w:val="105"/>
          <w:sz w:val="21"/>
        </w:rPr>
        <w:t>and</w:t>
      </w:r>
      <w:r>
        <w:rPr>
          <w:spacing w:val="-8"/>
          <w:w w:val="105"/>
          <w:sz w:val="21"/>
        </w:rPr>
        <w:t> </w:t>
      </w:r>
      <w:r>
        <w:rPr>
          <w:spacing w:val="-3"/>
          <w:w w:val="105"/>
          <w:sz w:val="21"/>
        </w:rPr>
        <w:t>national</w:t>
      </w:r>
      <w:r>
        <w:rPr>
          <w:spacing w:val="-8"/>
          <w:w w:val="105"/>
          <w:sz w:val="21"/>
        </w:rPr>
        <w:t> </w:t>
      </w:r>
      <w:r>
        <w:rPr>
          <w:spacing w:val="-3"/>
          <w:w w:val="105"/>
          <w:sz w:val="21"/>
        </w:rPr>
        <w:t>consistency,</w:t>
      </w:r>
      <w:r>
        <w:rPr>
          <w:spacing w:val="-8"/>
          <w:w w:val="105"/>
          <w:sz w:val="21"/>
        </w:rPr>
        <w:t> </w:t>
      </w:r>
      <w:r>
        <w:rPr>
          <w:w w:val="105"/>
          <w:sz w:val="21"/>
        </w:rPr>
        <w:t>next</w:t>
      </w:r>
      <w:r>
        <w:rPr>
          <w:spacing w:val="-8"/>
          <w:w w:val="105"/>
          <w:sz w:val="21"/>
        </w:rPr>
        <w:t> </w:t>
      </w:r>
      <w:r>
        <w:rPr>
          <w:w w:val="105"/>
          <w:sz w:val="21"/>
        </w:rPr>
        <w:t>of</w:t>
      </w:r>
      <w:r>
        <w:rPr>
          <w:spacing w:val="-8"/>
          <w:w w:val="105"/>
          <w:sz w:val="21"/>
        </w:rPr>
        <w:t> </w:t>
      </w:r>
      <w:r>
        <w:rPr>
          <w:spacing w:val="-2"/>
          <w:w w:val="105"/>
          <w:sz w:val="21"/>
        </w:rPr>
        <w:t>kin</w:t>
      </w:r>
      <w:r>
        <w:rPr>
          <w:spacing w:val="-8"/>
          <w:w w:val="105"/>
          <w:sz w:val="21"/>
        </w:rPr>
        <w:t> </w:t>
      </w:r>
      <w:r>
        <w:rPr>
          <w:w w:val="105"/>
          <w:sz w:val="21"/>
        </w:rPr>
        <w:t>entitled</w:t>
      </w:r>
      <w:r>
        <w:rPr>
          <w:spacing w:val="-7"/>
          <w:w w:val="105"/>
          <w:sz w:val="21"/>
        </w:rPr>
        <w:t> </w:t>
      </w:r>
      <w:r>
        <w:rPr>
          <w:spacing w:val="-3"/>
          <w:w w:val="105"/>
          <w:sz w:val="21"/>
        </w:rPr>
        <w:t>to</w:t>
      </w:r>
      <w:r>
        <w:rPr>
          <w:spacing w:val="-8"/>
          <w:w w:val="105"/>
          <w:sz w:val="21"/>
        </w:rPr>
        <w:t> </w:t>
      </w:r>
      <w:r>
        <w:rPr>
          <w:spacing w:val="-3"/>
          <w:w w:val="105"/>
          <w:sz w:val="21"/>
        </w:rPr>
        <w:t>inherit</w:t>
      </w:r>
      <w:r>
        <w:rPr>
          <w:spacing w:val="-8"/>
          <w:w w:val="105"/>
          <w:sz w:val="21"/>
        </w:rPr>
        <w:t> </w:t>
      </w:r>
      <w:r>
        <w:rPr>
          <w:w w:val="105"/>
          <w:sz w:val="21"/>
        </w:rPr>
        <w:t>on</w:t>
      </w:r>
      <w:r>
        <w:rPr>
          <w:spacing w:val="-8"/>
          <w:w w:val="105"/>
          <w:sz w:val="21"/>
        </w:rPr>
        <w:t> </w:t>
      </w:r>
      <w:r>
        <w:rPr>
          <w:w w:val="105"/>
          <w:sz w:val="21"/>
        </w:rPr>
        <w:t>intestacy should be </w:t>
      </w:r>
      <w:r>
        <w:rPr>
          <w:spacing w:val="-3"/>
          <w:w w:val="105"/>
          <w:sz w:val="21"/>
        </w:rPr>
        <w:t>limited to children </w:t>
      </w:r>
      <w:r>
        <w:rPr>
          <w:w w:val="105"/>
          <w:sz w:val="21"/>
        </w:rPr>
        <w:t>of the deceased </w:t>
      </w:r>
      <w:r>
        <w:rPr>
          <w:spacing w:val="-3"/>
          <w:w w:val="105"/>
          <w:sz w:val="21"/>
        </w:rPr>
        <w:t>person’s parents’ </w:t>
      </w:r>
      <w:r>
        <w:rPr>
          <w:w w:val="105"/>
          <w:sz w:val="21"/>
        </w:rPr>
        <w:t>siblings—first </w:t>
      </w:r>
      <w:r>
        <w:rPr>
          <w:spacing w:val="-3"/>
          <w:w w:val="105"/>
          <w:sz w:val="21"/>
        </w:rPr>
        <w:t>cousins </w:t>
      </w:r>
      <w:r>
        <w:rPr>
          <w:w w:val="105"/>
          <w:sz w:val="21"/>
        </w:rPr>
        <w:t>of the</w:t>
      </w:r>
      <w:r>
        <w:rPr>
          <w:spacing w:val="-15"/>
          <w:w w:val="105"/>
          <w:sz w:val="21"/>
        </w:rPr>
        <w:t> </w:t>
      </w:r>
      <w:r>
        <w:rPr>
          <w:w w:val="105"/>
          <w:sz w:val="21"/>
        </w:rPr>
        <w:t>deceased</w:t>
      </w:r>
      <w:r>
        <w:rPr>
          <w:spacing w:val="-15"/>
          <w:w w:val="105"/>
          <w:sz w:val="21"/>
        </w:rPr>
        <w:t> </w:t>
      </w:r>
      <w:r>
        <w:rPr>
          <w:w w:val="105"/>
          <w:sz w:val="21"/>
        </w:rPr>
        <w:t>person.</w:t>
      </w:r>
      <w:r>
        <w:rPr>
          <w:spacing w:val="-15"/>
          <w:w w:val="105"/>
          <w:sz w:val="21"/>
        </w:rPr>
        <w:t> </w:t>
      </w:r>
      <w:r>
        <w:rPr>
          <w:w w:val="105"/>
          <w:sz w:val="21"/>
        </w:rPr>
        <w:t>First</w:t>
      </w:r>
      <w:r>
        <w:rPr>
          <w:spacing w:val="-15"/>
          <w:w w:val="105"/>
          <w:sz w:val="21"/>
        </w:rPr>
        <w:t> </w:t>
      </w:r>
      <w:r>
        <w:rPr>
          <w:spacing w:val="-3"/>
          <w:w w:val="105"/>
          <w:sz w:val="21"/>
        </w:rPr>
        <w:t>cousins</w:t>
      </w:r>
      <w:r>
        <w:rPr>
          <w:spacing w:val="-15"/>
          <w:w w:val="105"/>
          <w:sz w:val="21"/>
        </w:rPr>
        <w:t> </w:t>
      </w:r>
      <w:r>
        <w:rPr>
          <w:w w:val="105"/>
          <w:sz w:val="21"/>
        </w:rPr>
        <w:t>of</w:t>
      </w:r>
      <w:r>
        <w:rPr>
          <w:spacing w:val="-15"/>
          <w:w w:val="105"/>
          <w:sz w:val="21"/>
        </w:rPr>
        <w:t> </w:t>
      </w:r>
      <w:r>
        <w:rPr>
          <w:w w:val="105"/>
          <w:sz w:val="21"/>
        </w:rPr>
        <w:t>the</w:t>
      </w:r>
      <w:r>
        <w:rPr>
          <w:spacing w:val="-15"/>
          <w:w w:val="105"/>
          <w:sz w:val="21"/>
        </w:rPr>
        <w:t> </w:t>
      </w:r>
      <w:r>
        <w:rPr>
          <w:w w:val="105"/>
          <w:sz w:val="21"/>
        </w:rPr>
        <w:t>deceased</w:t>
      </w:r>
      <w:r>
        <w:rPr>
          <w:spacing w:val="-15"/>
          <w:w w:val="105"/>
          <w:sz w:val="21"/>
        </w:rPr>
        <w:t> </w:t>
      </w:r>
      <w:r>
        <w:rPr>
          <w:w w:val="105"/>
          <w:sz w:val="21"/>
        </w:rPr>
        <w:t>person</w:t>
      </w:r>
      <w:r>
        <w:rPr>
          <w:spacing w:val="-15"/>
          <w:w w:val="105"/>
          <w:sz w:val="21"/>
        </w:rPr>
        <w:t> </w:t>
      </w:r>
      <w:r>
        <w:rPr>
          <w:w w:val="105"/>
          <w:sz w:val="21"/>
        </w:rPr>
        <w:t>would</w:t>
      </w:r>
      <w:r>
        <w:rPr>
          <w:spacing w:val="-15"/>
          <w:w w:val="105"/>
          <w:sz w:val="21"/>
        </w:rPr>
        <w:t> </w:t>
      </w:r>
      <w:r>
        <w:rPr>
          <w:spacing w:val="-3"/>
          <w:w w:val="105"/>
          <w:sz w:val="21"/>
        </w:rPr>
        <w:t>take</w:t>
      </w:r>
      <w:r>
        <w:rPr>
          <w:spacing w:val="-15"/>
          <w:w w:val="105"/>
          <w:sz w:val="21"/>
        </w:rPr>
        <w:t> </w:t>
      </w:r>
      <w:r>
        <w:rPr>
          <w:w w:val="105"/>
          <w:sz w:val="21"/>
        </w:rPr>
        <w:t>as</w:t>
      </w:r>
      <w:r>
        <w:rPr>
          <w:spacing w:val="-15"/>
          <w:w w:val="105"/>
          <w:sz w:val="21"/>
        </w:rPr>
        <w:t> </w:t>
      </w:r>
      <w:r>
        <w:rPr>
          <w:w w:val="105"/>
          <w:sz w:val="21"/>
        </w:rPr>
        <w:t>representatives of the deceased </w:t>
      </w:r>
      <w:r>
        <w:rPr>
          <w:spacing w:val="-3"/>
          <w:w w:val="105"/>
          <w:sz w:val="21"/>
        </w:rPr>
        <w:t>person’s parent’s siblings </w:t>
      </w:r>
      <w:r>
        <w:rPr>
          <w:w w:val="105"/>
          <w:sz w:val="21"/>
        </w:rPr>
        <w:t>who do </w:t>
      </w:r>
      <w:r>
        <w:rPr>
          <w:spacing w:val="-2"/>
          <w:w w:val="105"/>
          <w:sz w:val="21"/>
        </w:rPr>
        <w:t>not </w:t>
      </w:r>
      <w:r>
        <w:rPr>
          <w:w w:val="105"/>
          <w:sz w:val="21"/>
        </w:rPr>
        <w:t>survive the deceased</w:t>
      </w:r>
      <w:r>
        <w:rPr>
          <w:spacing w:val="-24"/>
          <w:w w:val="105"/>
          <w:sz w:val="21"/>
        </w:rPr>
        <w:t> </w:t>
      </w:r>
      <w:r>
        <w:rPr>
          <w:w w:val="105"/>
          <w:sz w:val="21"/>
        </w:rPr>
        <w:t>person.</w:t>
      </w:r>
      <w:r>
        <w:rPr>
          <w:w w:val="105"/>
          <w:position w:val="7"/>
          <w:sz w:val="12"/>
        </w:rPr>
        <w:t>40</w:t>
      </w:r>
    </w:p>
    <w:p>
      <w:pPr>
        <w:pStyle w:val="ListParagraph"/>
        <w:numPr>
          <w:ilvl w:val="1"/>
          <w:numId w:val="22"/>
        </w:numPr>
        <w:tabs>
          <w:tab w:pos="2380" w:val="left" w:leader="none"/>
          <w:tab w:pos="2381" w:val="left" w:leader="none"/>
        </w:tabs>
        <w:spacing w:line="242" w:lineRule="auto" w:before="127" w:after="0"/>
        <w:ind w:left="2381" w:right="1890" w:hanging="794"/>
        <w:jc w:val="left"/>
        <w:rPr>
          <w:sz w:val="12"/>
        </w:rPr>
      </w:pPr>
      <w:r>
        <w:rPr>
          <w:w w:val="105"/>
          <w:sz w:val="21"/>
        </w:rPr>
        <w:t>The </w:t>
      </w:r>
      <w:r>
        <w:rPr>
          <w:spacing w:val="-3"/>
          <w:w w:val="105"/>
          <w:sz w:val="21"/>
        </w:rPr>
        <w:t>Commission </w:t>
      </w:r>
      <w:r>
        <w:rPr>
          <w:w w:val="105"/>
          <w:sz w:val="21"/>
        </w:rPr>
        <w:t>also considers </w:t>
      </w:r>
      <w:r>
        <w:rPr>
          <w:spacing w:val="-3"/>
          <w:w w:val="105"/>
          <w:sz w:val="21"/>
        </w:rPr>
        <w:t>that </w:t>
      </w:r>
      <w:r>
        <w:rPr>
          <w:w w:val="105"/>
          <w:sz w:val="21"/>
        </w:rPr>
        <w:t>a list of those entitled </w:t>
      </w:r>
      <w:r>
        <w:rPr>
          <w:spacing w:val="-3"/>
          <w:w w:val="105"/>
          <w:sz w:val="21"/>
        </w:rPr>
        <w:t>to take </w:t>
      </w:r>
      <w:r>
        <w:rPr>
          <w:w w:val="105"/>
          <w:sz w:val="21"/>
        </w:rPr>
        <w:t>on intestacy should be</w:t>
      </w:r>
      <w:r>
        <w:rPr>
          <w:spacing w:val="-7"/>
          <w:w w:val="105"/>
          <w:sz w:val="21"/>
        </w:rPr>
        <w:t> </w:t>
      </w:r>
      <w:r>
        <w:rPr>
          <w:spacing w:val="-3"/>
          <w:w w:val="105"/>
          <w:sz w:val="21"/>
        </w:rPr>
        <w:t>included</w:t>
      </w:r>
      <w:r>
        <w:rPr>
          <w:spacing w:val="-6"/>
          <w:w w:val="105"/>
          <w:sz w:val="21"/>
        </w:rPr>
        <w:t> </w:t>
      </w:r>
      <w:r>
        <w:rPr>
          <w:w w:val="105"/>
          <w:sz w:val="21"/>
        </w:rPr>
        <w:t>in</w:t>
      </w:r>
      <w:r>
        <w:rPr>
          <w:spacing w:val="-6"/>
          <w:w w:val="105"/>
          <w:sz w:val="21"/>
        </w:rPr>
        <w:t> </w:t>
      </w:r>
      <w:r>
        <w:rPr>
          <w:w w:val="105"/>
          <w:sz w:val="21"/>
        </w:rPr>
        <w:t>the</w:t>
      </w:r>
      <w:r>
        <w:rPr>
          <w:spacing w:val="-7"/>
          <w:w w:val="105"/>
          <w:sz w:val="21"/>
        </w:rPr>
        <w:t> </w:t>
      </w:r>
      <w:r>
        <w:rPr>
          <w:spacing w:val="-3"/>
          <w:w w:val="105"/>
          <w:sz w:val="21"/>
        </w:rPr>
        <w:t>Administration</w:t>
      </w:r>
      <w:r>
        <w:rPr>
          <w:spacing w:val="-6"/>
          <w:w w:val="105"/>
          <w:sz w:val="21"/>
        </w:rPr>
        <w:t> </w:t>
      </w:r>
      <w:r>
        <w:rPr>
          <w:w w:val="105"/>
          <w:sz w:val="21"/>
        </w:rPr>
        <w:t>and</w:t>
      </w:r>
      <w:r>
        <w:rPr>
          <w:spacing w:val="-6"/>
          <w:w w:val="105"/>
          <w:sz w:val="21"/>
        </w:rPr>
        <w:t> </w:t>
      </w:r>
      <w:r>
        <w:rPr>
          <w:spacing w:val="-3"/>
          <w:w w:val="105"/>
          <w:sz w:val="21"/>
        </w:rPr>
        <w:t>Probate</w:t>
      </w:r>
      <w:r>
        <w:rPr>
          <w:spacing w:val="-6"/>
          <w:w w:val="105"/>
          <w:sz w:val="21"/>
        </w:rPr>
        <w:t> </w:t>
      </w:r>
      <w:r>
        <w:rPr>
          <w:w w:val="105"/>
          <w:sz w:val="21"/>
        </w:rPr>
        <w:t>Act.</w:t>
      </w:r>
      <w:r>
        <w:rPr>
          <w:spacing w:val="-7"/>
          <w:w w:val="105"/>
          <w:sz w:val="21"/>
        </w:rPr>
        <w:t> </w:t>
      </w:r>
      <w:r>
        <w:rPr>
          <w:w w:val="105"/>
          <w:sz w:val="21"/>
        </w:rPr>
        <w:t>Distribution</w:t>
      </w:r>
      <w:r>
        <w:rPr>
          <w:spacing w:val="-6"/>
          <w:w w:val="105"/>
          <w:sz w:val="21"/>
        </w:rPr>
        <w:t> </w:t>
      </w:r>
      <w:r>
        <w:rPr>
          <w:w w:val="105"/>
          <w:sz w:val="21"/>
        </w:rPr>
        <w:t>among</w:t>
      </w:r>
      <w:r>
        <w:rPr>
          <w:spacing w:val="-6"/>
          <w:w w:val="105"/>
          <w:sz w:val="21"/>
        </w:rPr>
        <w:t> </w:t>
      </w:r>
      <w:r>
        <w:rPr>
          <w:spacing w:val="-3"/>
          <w:w w:val="105"/>
          <w:sz w:val="21"/>
        </w:rPr>
        <w:t>relatives</w:t>
      </w:r>
      <w:r>
        <w:rPr>
          <w:spacing w:val="-6"/>
          <w:w w:val="105"/>
          <w:sz w:val="21"/>
        </w:rPr>
        <w:t> </w:t>
      </w:r>
      <w:r>
        <w:rPr>
          <w:w w:val="105"/>
          <w:sz w:val="21"/>
        </w:rPr>
        <w:t>should be set out as in the </w:t>
      </w:r>
      <w:r>
        <w:rPr>
          <w:i/>
          <w:spacing w:val="-3"/>
          <w:w w:val="105"/>
          <w:sz w:val="21"/>
        </w:rPr>
        <w:t>Succession </w:t>
      </w:r>
      <w:r>
        <w:rPr>
          <w:i/>
          <w:w w:val="105"/>
          <w:sz w:val="21"/>
        </w:rPr>
        <w:t>Act 2006</w:t>
      </w:r>
      <w:r>
        <w:rPr>
          <w:i/>
          <w:spacing w:val="2"/>
          <w:w w:val="105"/>
          <w:sz w:val="21"/>
        </w:rPr>
        <w:t> </w:t>
      </w:r>
      <w:r>
        <w:rPr>
          <w:w w:val="105"/>
          <w:sz w:val="21"/>
        </w:rPr>
        <w:t>(NSW).</w:t>
      </w:r>
      <w:r>
        <w:rPr>
          <w:w w:val="105"/>
          <w:position w:val="7"/>
          <w:sz w:val="12"/>
        </w:rPr>
        <w:t>41</w:t>
      </w:r>
    </w:p>
    <w:p>
      <w:pPr>
        <w:pStyle w:val="ListParagraph"/>
        <w:numPr>
          <w:ilvl w:val="1"/>
          <w:numId w:val="22"/>
        </w:numPr>
        <w:tabs>
          <w:tab w:pos="2381" w:val="left" w:leader="none"/>
          <w:tab w:pos="2382" w:val="left" w:leader="none"/>
        </w:tabs>
        <w:spacing w:line="242" w:lineRule="auto" w:before="123" w:after="0"/>
        <w:ind w:left="2381" w:right="1989" w:hanging="794"/>
        <w:jc w:val="left"/>
        <w:rPr>
          <w:sz w:val="21"/>
        </w:rPr>
      </w:pPr>
      <w:r>
        <w:rPr>
          <w:w w:val="105"/>
          <w:sz w:val="21"/>
        </w:rPr>
        <w:t>Under</w:t>
      </w:r>
      <w:r>
        <w:rPr>
          <w:spacing w:val="-10"/>
          <w:w w:val="105"/>
          <w:sz w:val="21"/>
        </w:rPr>
        <w:t> </w:t>
      </w:r>
      <w:r>
        <w:rPr>
          <w:w w:val="105"/>
          <w:sz w:val="21"/>
        </w:rPr>
        <w:t>the</w:t>
      </w:r>
      <w:r>
        <w:rPr>
          <w:spacing w:val="-10"/>
          <w:w w:val="105"/>
          <w:sz w:val="21"/>
        </w:rPr>
        <w:t> </w:t>
      </w:r>
      <w:r>
        <w:rPr>
          <w:w w:val="105"/>
          <w:sz w:val="21"/>
        </w:rPr>
        <w:t>recommended</w:t>
      </w:r>
      <w:r>
        <w:rPr>
          <w:spacing w:val="-10"/>
          <w:w w:val="105"/>
          <w:sz w:val="21"/>
        </w:rPr>
        <w:t> </w:t>
      </w:r>
      <w:r>
        <w:rPr>
          <w:spacing w:val="-3"/>
          <w:w w:val="105"/>
          <w:sz w:val="21"/>
        </w:rPr>
        <w:t>scheme,</w:t>
      </w:r>
      <w:r>
        <w:rPr>
          <w:spacing w:val="-10"/>
          <w:w w:val="105"/>
          <w:sz w:val="21"/>
        </w:rPr>
        <w:t> </w:t>
      </w:r>
      <w:r>
        <w:rPr>
          <w:w w:val="105"/>
          <w:sz w:val="21"/>
        </w:rPr>
        <w:t>the</w:t>
      </w:r>
      <w:r>
        <w:rPr>
          <w:spacing w:val="-9"/>
          <w:w w:val="105"/>
          <w:sz w:val="21"/>
        </w:rPr>
        <w:t> </w:t>
      </w:r>
      <w:r>
        <w:rPr>
          <w:spacing w:val="-3"/>
          <w:w w:val="105"/>
          <w:sz w:val="21"/>
        </w:rPr>
        <w:t>intestate</w:t>
      </w:r>
      <w:r>
        <w:rPr>
          <w:spacing w:val="-10"/>
          <w:w w:val="105"/>
          <w:sz w:val="21"/>
        </w:rPr>
        <w:t> </w:t>
      </w:r>
      <w:r>
        <w:rPr>
          <w:w w:val="105"/>
          <w:sz w:val="21"/>
        </w:rPr>
        <w:t>estate</w:t>
      </w:r>
      <w:r>
        <w:rPr>
          <w:spacing w:val="-10"/>
          <w:w w:val="105"/>
          <w:sz w:val="21"/>
        </w:rPr>
        <w:t> </w:t>
      </w:r>
      <w:r>
        <w:rPr>
          <w:w w:val="105"/>
          <w:sz w:val="21"/>
        </w:rPr>
        <w:t>would</w:t>
      </w:r>
      <w:r>
        <w:rPr>
          <w:spacing w:val="-10"/>
          <w:w w:val="105"/>
          <w:sz w:val="21"/>
        </w:rPr>
        <w:t> </w:t>
      </w:r>
      <w:r>
        <w:rPr>
          <w:w w:val="105"/>
          <w:sz w:val="21"/>
        </w:rPr>
        <w:t>be</w:t>
      </w:r>
      <w:r>
        <w:rPr>
          <w:spacing w:val="-10"/>
          <w:w w:val="105"/>
          <w:sz w:val="21"/>
        </w:rPr>
        <w:t> </w:t>
      </w:r>
      <w:r>
        <w:rPr>
          <w:spacing w:val="-3"/>
          <w:w w:val="105"/>
          <w:sz w:val="21"/>
        </w:rPr>
        <w:t>distributed</w:t>
      </w:r>
      <w:r>
        <w:rPr>
          <w:spacing w:val="-9"/>
          <w:w w:val="105"/>
          <w:sz w:val="21"/>
        </w:rPr>
        <w:t> </w:t>
      </w:r>
      <w:r>
        <w:rPr>
          <w:spacing w:val="-3"/>
          <w:w w:val="105"/>
          <w:sz w:val="21"/>
        </w:rPr>
        <w:t>according to </w:t>
      </w:r>
      <w:r>
        <w:rPr>
          <w:w w:val="105"/>
          <w:sz w:val="21"/>
        </w:rPr>
        <w:t>the </w:t>
      </w:r>
      <w:r>
        <w:rPr>
          <w:spacing w:val="-3"/>
          <w:w w:val="105"/>
          <w:sz w:val="21"/>
        </w:rPr>
        <w:t>following</w:t>
      </w:r>
      <w:r>
        <w:rPr>
          <w:spacing w:val="19"/>
          <w:w w:val="105"/>
          <w:sz w:val="21"/>
        </w:rPr>
        <w:t> </w:t>
      </w:r>
      <w:r>
        <w:rPr>
          <w:spacing w:val="-3"/>
          <w:w w:val="105"/>
          <w:sz w:val="21"/>
        </w:rPr>
        <w:t>hierarchy:</w:t>
      </w:r>
    </w:p>
    <w:p>
      <w:pPr>
        <w:pStyle w:val="ListParagraph"/>
        <w:numPr>
          <w:ilvl w:val="2"/>
          <w:numId w:val="22"/>
        </w:numPr>
        <w:tabs>
          <w:tab w:pos="2721" w:val="left" w:leader="none"/>
          <w:tab w:pos="2722" w:val="left" w:leader="none"/>
        </w:tabs>
        <w:spacing w:line="240" w:lineRule="auto" w:before="122" w:after="0"/>
        <w:ind w:left="2721" w:right="0" w:hanging="340"/>
        <w:jc w:val="left"/>
        <w:rPr>
          <w:sz w:val="12"/>
        </w:rPr>
      </w:pPr>
      <w:r>
        <w:rPr>
          <w:w w:val="105"/>
          <w:sz w:val="21"/>
        </w:rPr>
        <w:t>partner(s) (in some </w:t>
      </w:r>
      <w:r>
        <w:rPr>
          <w:spacing w:val="-3"/>
          <w:w w:val="105"/>
          <w:sz w:val="21"/>
        </w:rPr>
        <w:t>circumstances, shared </w:t>
      </w:r>
      <w:r>
        <w:rPr>
          <w:w w:val="105"/>
          <w:sz w:val="21"/>
        </w:rPr>
        <w:t>with </w:t>
      </w:r>
      <w:r>
        <w:rPr>
          <w:spacing w:val="-3"/>
          <w:w w:val="105"/>
          <w:sz w:val="21"/>
        </w:rPr>
        <w:t>children </w:t>
      </w:r>
      <w:r>
        <w:rPr>
          <w:w w:val="105"/>
          <w:sz w:val="21"/>
        </w:rPr>
        <w:t>or other issue)</w:t>
      </w:r>
      <w:r>
        <w:rPr>
          <w:spacing w:val="2"/>
          <w:w w:val="105"/>
          <w:sz w:val="21"/>
        </w:rPr>
        <w:t> </w:t>
      </w:r>
      <w:r>
        <w:rPr>
          <w:w w:val="105"/>
          <w:position w:val="7"/>
          <w:sz w:val="12"/>
        </w:rPr>
        <w:t>42</w:t>
      </w:r>
    </w:p>
    <w:p>
      <w:pPr>
        <w:pStyle w:val="ListParagraph"/>
        <w:numPr>
          <w:ilvl w:val="2"/>
          <w:numId w:val="22"/>
        </w:numPr>
        <w:tabs>
          <w:tab w:pos="2721" w:val="left" w:leader="none"/>
          <w:tab w:pos="2722" w:val="left" w:leader="none"/>
        </w:tabs>
        <w:spacing w:line="240" w:lineRule="auto" w:before="124" w:after="0"/>
        <w:ind w:left="2721" w:right="0" w:hanging="340"/>
        <w:jc w:val="left"/>
        <w:rPr>
          <w:sz w:val="12"/>
        </w:rPr>
      </w:pPr>
      <w:r>
        <w:rPr>
          <w:spacing w:val="-3"/>
          <w:sz w:val="21"/>
        </w:rPr>
        <w:t>children,</w:t>
      </w:r>
      <w:r>
        <w:rPr>
          <w:spacing w:val="9"/>
          <w:sz w:val="21"/>
        </w:rPr>
        <w:t> </w:t>
      </w:r>
      <w:r>
        <w:rPr>
          <w:sz w:val="21"/>
        </w:rPr>
        <w:t>or</w:t>
      </w:r>
      <w:r>
        <w:rPr>
          <w:spacing w:val="10"/>
          <w:sz w:val="21"/>
        </w:rPr>
        <w:t> </w:t>
      </w:r>
      <w:r>
        <w:rPr>
          <w:sz w:val="21"/>
        </w:rPr>
        <w:t>other</w:t>
      </w:r>
      <w:r>
        <w:rPr>
          <w:spacing w:val="10"/>
          <w:sz w:val="21"/>
        </w:rPr>
        <w:t> </w:t>
      </w:r>
      <w:r>
        <w:rPr>
          <w:sz w:val="21"/>
        </w:rPr>
        <w:t>issue</w:t>
      </w:r>
      <w:r>
        <w:rPr>
          <w:spacing w:val="9"/>
          <w:sz w:val="21"/>
        </w:rPr>
        <w:t> </w:t>
      </w:r>
      <w:r>
        <w:rPr>
          <w:sz w:val="21"/>
        </w:rPr>
        <w:t>when</w:t>
      </w:r>
      <w:r>
        <w:rPr>
          <w:spacing w:val="10"/>
          <w:sz w:val="21"/>
        </w:rPr>
        <w:t> </w:t>
      </w:r>
      <w:r>
        <w:rPr>
          <w:sz w:val="21"/>
        </w:rPr>
        <w:t>they</w:t>
      </w:r>
      <w:r>
        <w:rPr>
          <w:spacing w:val="10"/>
          <w:sz w:val="21"/>
        </w:rPr>
        <w:t> </w:t>
      </w:r>
      <w:r>
        <w:rPr>
          <w:spacing w:val="-3"/>
          <w:sz w:val="21"/>
        </w:rPr>
        <w:t>take</w:t>
      </w:r>
      <w:r>
        <w:rPr>
          <w:spacing w:val="9"/>
          <w:sz w:val="21"/>
        </w:rPr>
        <w:t> </w:t>
      </w:r>
      <w:r>
        <w:rPr>
          <w:sz w:val="21"/>
        </w:rPr>
        <w:t>as</w:t>
      </w:r>
      <w:r>
        <w:rPr>
          <w:spacing w:val="10"/>
          <w:sz w:val="21"/>
        </w:rPr>
        <w:t> </w:t>
      </w:r>
      <w:r>
        <w:rPr>
          <w:sz w:val="21"/>
        </w:rPr>
        <w:t>representatives</w:t>
      </w:r>
      <w:r>
        <w:rPr>
          <w:spacing w:val="10"/>
          <w:sz w:val="21"/>
        </w:rPr>
        <w:t> </w:t>
      </w:r>
      <w:r>
        <w:rPr>
          <w:sz w:val="21"/>
        </w:rPr>
        <w:t>of</w:t>
      </w:r>
      <w:r>
        <w:rPr>
          <w:spacing w:val="10"/>
          <w:sz w:val="21"/>
        </w:rPr>
        <w:t> </w:t>
      </w:r>
      <w:r>
        <w:rPr>
          <w:sz w:val="21"/>
        </w:rPr>
        <w:t>their</w:t>
      </w:r>
      <w:r>
        <w:rPr>
          <w:spacing w:val="9"/>
          <w:sz w:val="21"/>
        </w:rPr>
        <w:t> </w:t>
      </w:r>
      <w:r>
        <w:rPr>
          <w:sz w:val="21"/>
        </w:rPr>
        <w:t>deceased</w:t>
      </w:r>
      <w:r>
        <w:rPr>
          <w:spacing w:val="10"/>
          <w:sz w:val="21"/>
        </w:rPr>
        <w:t> </w:t>
      </w:r>
      <w:r>
        <w:rPr>
          <w:spacing w:val="-3"/>
          <w:sz w:val="21"/>
        </w:rPr>
        <w:t>parent</w:t>
      </w:r>
      <w:r>
        <w:rPr>
          <w:spacing w:val="-26"/>
          <w:sz w:val="21"/>
        </w:rPr>
        <w:t> </w:t>
      </w:r>
      <w:r>
        <w:rPr>
          <w:position w:val="7"/>
          <w:sz w:val="12"/>
        </w:rPr>
        <w:t>43</w:t>
      </w:r>
    </w:p>
    <w:p>
      <w:pPr>
        <w:pStyle w:val="ListParagraph"/>
        <w:numPr>
          <w:ilvl w:val="2"/>
          <w:numId w:val="22"/>
        </w:numPr>
        <w:tabs>
          <w:tab w:pos="2721" w:val="left" w:leader="none"/>
          <w:tab w:pos="2722" w:val="left" w:leader="none"/>
        </w:tabs>
        <w:spacing w:line="240" w:lineRule="auto" w:before="124" w:after="0"/>
        <w:ind w:left="2721" w:right="0" w:hanging="340"/>
        <w:jc w:val="left"/>
        <w:rPr>
          <w:sz w:val="21"/>
        </w:rPr>
      </w:pPr>
      <w:r>
        <w:rPr>
          <w:sz w:val="21"/>
        </w:rPr>
        <w:t>parents</w:t>
      </w:r>
    </w:p>
    <w:p>
      <w:pPr>
        <w:pStyle w:val="ListParagraph"/>
        <w:numPr>
          <w:ilvl w:val="2"/>
          <w:numId w:val="22"/>
        </w:numPr>
        <w:tabs>
          <w:tab w:pos="2721" w:val="left" w:leader="none"/>
          <w:tab w:pos="2722" w:val="left" w:leader="none"/>
        </w:tabs>
        <w:spacing w:line="242" w:lineRule="auto" w:before="123" w:after="0"/>
        <w:ind w:left="2721" w:right="1801" w:hanging="340"/>
        <w:jc w:val="left"/>
        <w:rPr>
          <w:sz w:val="12"/>
        </w:rPr>
      </w:pPr>
      <w:r>
        <w:rPr>
          <w:spacing w:val="-3"/>
          <w:w w:val="105"/>
          <w:sz w:val="21"/>
        </w:rPr>
        <w:t>siblings, </w:t>
      </w:r>
      <w:r>
        <w:rPr>
          <w:w w:val="105"/>
          <w:sz w:val="21"/>
        </w:rPr>
        <w:t>or nieces and nephews or </w:t>
      </w:r>
      <w:r>
        <w:rPr>
          <w:spacing w:val="-3"/>
          <w:w w:val="105"/>
          <w:sz w:val="21"/>
        </w:rPr>
        <w:t>great-nieces </w:t>
      </w:r>
      <w:r>
        <w:rPr>
          <w:w w:val="105"/>
          <w:sz w:val="21"/>
        </w:rPr>
        <w:t>and </w:t>
      </w:r>
      <w:r>
        <w:rPr>
          <w:spacing w:val="-3"/>
          <w:w w:val="105"/>
          <w:sz w:val="21"/>
        </w:rPr>
        <w:t>great-nephews, </w:t>
      </w:r>
      <w:r>
        <w:rPr>
          <w:w w:val="105"/>
          <w:sz w:val="21"/>
        </w:rPr>
        <w:t>when they </w:t>
      </w:r>
      <w:r>
        <w:rPr>
          <w:spacing w:val="-3"/>
          <w:w w:val="105"/>
          <w:sz w:val="21"/>
        </w:rPr>
        <w:t>take </w:t>
      </w:r>
      <w:r>
        <w:rPr>
          <w:w w:val="105"/>
          <w:sz w:val="21"/>
        </w:rPr>
        <w:t>as representatives of their deceased </w:t>
      </w:r>
      <w:r>
        <w:rPr>
          <w:spacing w:val="-3"/>
          <w:w w:val="105"/>
          <w:sz w:val="21"/>
        </w:rPr>
        <w:t>parent</w:t>
      </w:r>
      <w:r>
        <w:rPr>
          <w:spacing w:val="-13"/>
          <w:w w:val="105"/>
          <w:sz w:val="21"/>
        </w:rPr>
        <w:t> </w:t>
      </w:r>
      <w:r>
        <w:rPr>
          <w:spacing w:val="5"/>
          <w:w w:val="105"/>
          <w:position w:val="7"/>
          <w:sz w:val="12"/>
        </w:rPr>
        <w:t>44</w:t>
      </w:r>
    </w:p>
    <w:p>
      <w:pPr>
        <w:pStyle w:val="ListParagraph"/>
        <w:numPr>
          <w:ilvl w:val="2"/>
          <w:numId w:val="22"/>
        </w:numPr>
        <w:tabs>
          <w:tab w:pos="2721" w:val="left" w:leader="none"/>
          <w:tab w:pos="2722" w:val="left" w:leader="none"/>
        </w:tabs>
        <w:spacing w:line="240" w:lineRule="auto" w:before="123" w:after="0"/>
        <w:ind w:left="2721" w:right="0" w:hanging="340"/>
        <w:jc w:val="left"/>
        <w:rPr>
          <w:sz w:val="21"/>
        </w:rPr>
      </w:pPr>
      <w:r>
        <w:rPr>
          <w:spacing w:val="-3"/>
          <w:w w:val="105"/>
          <w:sz w:val="21"/>
        </w:rPr>
        <w:t>grandparents</w:t>
      </w:r>
    </w:p>
    <w:p>
      <w:pPr>
        <w:pStyle w:val="ListParagraph"/>
        <w:numPr>
          <w:ilvl w:val="2"/>
          <w:numId w:val="22"/>
        </w:numPr>
        <w:tabs>
          <w:tab w:pos="2721" w:val="left" w:leader="none"/>
          <w:tab w:pos="2722" w:val="left" w:leader="none"/>
        </w:tabs>
        <w:spacing w:line="242" w:lineRule="auto" w:before="123" w:after="0"/>
        <w:ind w:left="2721" w:right="1707" w:hanging="340"/>
        <w:jc w:val="left"/>
        <w:rPr>
          <w:sz w:val="21"/>
        </w:rPr>
      </w:pPr>
      <w:r>
        <w:rPr>
          <w:sz w:val="21"/>
        </w:rPr>
        <w:t>aunts and uncles, or first </w:t>
      </w:r>
      <w:r>
        <w:rPr>
          <w:spacing w:val="-3"/>
          <w:sz w:val="21"/>
        </w:rPr>
        <w:t>cousins </w:t>
      </w:r>
      <w:r>
        <w:rPr>
          <w:sz w:val="21"/>
        </w:rPr>
        <w:t>when they </w:t>
      </w:r>
      <w:r>
        <w:rPr>
          <w:spacing w:val="-3"/>
          <w:sz w:val="21"/>
        </w:rPr>
        <w:t>take </w:t>
      </w:r>
      <w:r>
        <w:rPr>
          <w:sz w:val="21"/>
        </w:rPr>
        <w:t>as representatives of their deceased </w:t>
      </w:r>
      <w:r>
        <w:rPr>
          <w:spacing w:val="-3"/>
          <w:sz w:val="21"/>
        </w:rPr>
        <w:t>parent.</w:t>
      </w:r>
    </w:p>
    <w:p>
      <w:pPr>
        <w:pStyle w:val="BodyText"/>
        <w:spacing w:before="5"/>
        <w:rPr>
          <w:sz w:val="15"/>
        </w:rPr>
      </w:pPr>
      <w:r>
        <w:rPr/>
        <w:pict>
          <v:group style="position:absolute;margin-left:62.362202pt;margin-top:11.356063pt;width:479.1pt;height:128.5500pt;mso-position-horizontal-relative:page;mso-position-vertical-relative:paragraph;z-index:3512;mso-wrap-distance-left:0;mso-wrap-distance-right:0" coordorigin="1247,227" coordsize="9582,2571">
            <v:rect style="position:absolute;left:1587;top:227;width:8731;height:2571" filled="true" fillcolor="#fdebea" stroked="false">
              <v:fill type="solid"/>
            </v:rect>
            <v:line style="position:absolute" from="1247,978" to="10828,978" stroked="true" strokeweight="2.5pt" strokecolor="#ffffff">
              <v:stroke dashstyle="solid"/>
            </v:line>
            <v:shape style="position:absolute;left:2381;top:1214;width:7605;height:1409" type="#_x0000_t202" filled="false" stroked="false">
              <v:textbox inset="0,0,0,0">
                <w:txbxContent>
                  <w:p>
                    <w:pPr>
                      <w:spacing w:line="253" w:lineRule="exact" w:before="0"/>
                      <w:ind w:left="0" w:right="0" w:firstLine="0"/>
                      <w:jc w:val="left"/>
                      <w:rPr>
                        <w:sz w:val="21"/>
                      </w:rPr>
                    </w:pPr>
                    <w:r>
                      <w:rPr>
                        <w:w w:val="115"/>
                        <w:sz w:val="21"/>
                      </w:rPr>
                      <w:t>The</w:t>
                    </w:r>
                    <w:r>
                      <w:rPr>
                        <w:spacing w:val="-5"/>
                        <w:w w:val="115"/>
                        <w:sz w:val="21"/>
                      </w:rPr>
                      <w:t> </w:t>
                    </w:r>
                    <w:r>
                      <w:rPr>
                        <w:w w:val="115"/>
                        <w:sz w:val="21"/>
                      </w:rPr>
                      <w:t>entitlements</w:t>
                    </w:r>
                    <w:r>
                      <w:rPr>
                        <w:spacing w:val="-4"/>
                        <w:w w:val="115"/>
                        <w:sz w:val="21"/>
                      </w:rPr>
                      <w:t> </w:t>
                    </w:r>
                    <w:r>
                      <w:rPr>
                        <w:w w:val="115"/>
                        <w:sz w:val="21"/>
                      </w:rPr>
                      <w:t>of</w:t>
                    </w:r>
                    <w:r>
                      <w:rPr>
                        <w:spacing w:val="-4"/>
                        <w:w w:val="115"/>
                        <w:sz w:val="21"/>
                      </w:rPr>
                      <w:t> </w:t>
                    </w:r>
                    <w:r>
                      <w:rPr>
                        <w:spacing w:val="-3"/>
                        <w:w w:val="115"/>
                        <w:sz w:val="21"/>
                      </w:rPr>
                      <w:t>all</w:t>
                    </w:r>
                    <w:r>
                      <w:rPr>
                        <w:spacing w:val="-4"/>
                        <w:w w:val="115"/>
                        <w:sz w:val="21"/>
                      </w:rPr>
                      <w:t> </w:t>
                    </w:r>
                    <w:r>
                      <w:rPr>
                        <w:w w:val="115"/>
                        <w:sz w:val="21"/>
                      </w:rPr>
                      <w:t>next</w:t>
                    </w:r>
                    <w:r>
                      <w:rPr>
                        <w:spacing w:val="-4"/>
                        <w:w w:val="115"/>
                        <w:sz w:val="21"/>
                      </w:rPr>
                      <w:t> </w:t>
                    </w:r>
                    <w:r>
                      <w:rPr>
                        <w:w w:val="115"/>
                        <w:sz w:val="21"/>
                      </w:rPr>
                      <w:t>of</w:t>
                    </w:r>
                    <w:r>
                      <w:rPr>
                        <w:spacing w:val="-4"/>
                        <w:w w:val="115"/>
                        <w:sz w:val="21"/>
                      </w:rPr>
                      <w:t> </w:t>
                    </w:r>
                    <w:r>
                      <w:rPr>
                        <w:w w:val="115"/>
                        <w:sz w:val="21"/>
                      </w:rPr>
                      <w:t>kin</w:t>
                    </w:r>
                    <w:r>
                      <w:rPr>
                        <w:spacing w:val="-5"/>
                        <w:w w:val="115"/>
                        <w:sz w:val="21"/>
                      </w:rPr>
                      <w:t> </w:t>
                    </w:r>
                    <w:r>
                      <w:rPr>
                        <w:w w:val="115"/>
                        <w:sz w:val="21"/>
                      </w:rPr>
                      <w:t>on</w:t>
                    </w:r>
                    <w:r>
                      <w:rPr>
                        <w:spacing w:val="-4"/>
                        <w:w w:val="115"/>
                        <w:sz w:val="21"/>
                      </w:rPr>
                      <w:t> </w:t>
                    </w:r>
                    <w:r>
                      <w:rPr>
                        <w:w w:val="115"/>
                        <w:sz w:val="21"/>
                      </w:rPr>
                      <w:t>intestacy</w:t>
                    </w:r>
                    <w:r>
                      <w:rPr>
                        <w:spacing w:val="-4"/>
                        <w:w w:val="115"/>
                        <w:sz w:val="21"/>
                      </w:rPr>
                      <w:t> </w:t>
                    </w:r>
                    <w:r>
                      <w:rPr>
                        <w:w w:val="115"/>
                        <w:sz w:val="21"/>
                      </w:rPr>
                      <w:t>should</w:t>
                    </w:r>
                    <w:r>
                      <w:rPr>
                        <w:spacing w:val="-4"/>
                        <w:w w:val="115"/>
                        <w:sz w:val="21"/>
                      </w:rPr>
                      <w:t> </w:t>
                    </w:r>
                    <w:r>
                      <w:rPr>
                        <w:w w:val="115"/>
                        <w:sz w:val="21"/>
                      </w:rPr>
                      <w:t>be</w:t>
                    </w:r>
                    <w:r>
                      <w:rPr>
                        <w:spacing w:val="-4"/>
                        <w:w w:val="115"/>
                        <w:sz w:val="21"/>
                      </w:rPr>
                      <w:t> </w:t>
                    </w:r>
                    <w:r>
                      <w:rPr>
                        <w:w w:val="115"/>
                        <w:sz w:val="21"/>
                      </w:rPr>
                      <w:t>clearly</w:t>
                    </w:r>
                    <w:r>
                      <w:rPr>
                        <w:spacing w:val="-4"/>
                        <w:w w:val="115"/>
                        <w:sz w:val="21"/>
                      </w:rPr>
                      <w:t> </w:t>
                    </w:r>
                    <w:r>
                      <w:rPr>
                        <w:w w:val="115"/>
                        <w:sz w:val="21"/>
                      </w:rPr>
                      <w:t>set</w:t>
                    </w:r>
                    <w:r>
                      <w:rPr>
                        <w:spacing w:val="-4"/>
                        <w:w w:val="115"/>
                        <w:sz w:val="21"/>
                      </w:rPr>
                      <w:t> </w:t>
                    </w:r>
                    <w:r>
                      <w:rPr>
                        <w:w w:val="115"/>
                        <w:sz w:val="21"/>
                      </w:rPr>
                      <w:t>out</w:t>
                    </w:r>
                    <w:r>
                      <w:rPr>
                        <w:spacing w:val="-5"/>
                        <w:w w:val="115"/>
                        <w:sz w:val="21"/>
                      </w:rPr>
                      <w:t> </w:t>
                    </w:r>
                    <w:r>
                      <w:rPr>
                        <w:w w:val="115"/>
                        <w:sz w:val="21"/>
                      </w:rPr>
                      <w:t>in</w:t>
                    </w:r>
                    <w:r>
                      <w:rPr>
                        <w:spacing w:val="-4"/>
                        <w:w w:val="115"/>
                        <w:sz w:val="21"/>
                      </w:rPr>
                      <w:t> </w:t>
                    </w:r>
                    <w:r>
                      <w:rPr>
                        <w:w w:val="115"/>
                        <w:sz w:val="21"/>
                      </w:rPr>
                      <w:t>the</w:t>
                    </w:r>
                  </w:p>
                  <w:p>
                    <w:pPr>
                      <w:spacing w:before="0"/>
                      <w:ind w:left="0" w:right="0" w:firstLine="0"/>
                      <w:jc w:val="left"/>
                      <w:rPr>
                        <w:sz w:val="21"/>
                      </w:rPr>
                    </w:pPr>
                    <w:r>
                      <w:rPr>
                        <w:rFonts w:ascii="Lucida Sans"/>
                        <w:i/>
                        <w:sz w:val="21"/>
                      </w:rPr>
                      <w:t>Administration and Probate Act 1958 </w:t>
                    </w:r>
                    <w:r>
                      <w:rPr>
                        <w:sz w:val="21"/>
                      </w:rPr>
                      <w:t>(Vic).</w:t>
                    </w:r>
                  </w:p>
                  <w:p>
                    <w:pPr>
                      <w:spacing w:line="242" w:lineRule="auto" w:before="124"/>
                      <w:ind w:left="0" w:right="138" w:firstLine="0"/>
                      <w:jc w:val="left"/>
                      <w:rPr>
                        <w:sz w:val="21"/>
                      </w:rPr>
                    </w:pPr>
                    <w:r>
                      <w:rPr>
                        <w:w w:val="115"/>
                        <w:sz w:val="21"/>
                      </w:rPr>
                      <w:t>Next of kin who are entitled to inherit on intestacy should be limited to children</w:t>
                    </w:r>
                    <w:r>
                      <w:rPr>
                        <w:spacing w:val="-20"/>
                        <w:w w:val="115"/>
                        <w:sz w:val="21"/>
                      </w:rPr>
                      <w:t> </w:t>
                    </w:r>
                    <w:r>
                      <w:rPr>
                        <w:w w:val="115"/>
                        <w:sz w:val="21"/>
                      </w:rPr>
                      <w:t>of</w:t>
                    </w:r>
                    <w:r>
                      <w:rPr>
                        <w:spacing w:val="-20"/>
                        <w:w w:val="115"/>
                        <w:sz w:val="21"/>
                      </w:rPr>
                      <w:t> </w:t>
                    </w:r>
                    <w:r>
                      <w:rPr>
                        <w:w w:val="115"/>
                        <w:sz w:val="21"/>
                      </w:rPr>
                      <w:t>the</w:t>
                    </w:r>
                    <w:r>
                      <w:rPr>
                        <w:spacing w:val="-19"/>
                        <w:w w:val="115"/>
                        <w:sz w:val="21"/>
                      </w:rPr>
                      <w:t> </w:t>
                    </w:r>
                    <w:r>
                      <w:rPr>
                        <w:w w:val="115"/>
                        <w:sz w:val="21"/>
                      </w:rPr>
                      <w:t>deceased</w:t>
                    </w:r>
                    <w:r>
                      <w:rPr>
                        <w:spacing w:val="-20"/>
                        <w:w w:val="115"/>
                        <w:sz w:val="21"/>
                      </w:rPr>
                      <w:t> </w:t>
                    </w:r>
                    <w:r>
                      <w:rPr>
                        <w:w w:val="115"/>
                        <w:sz w:val="21"/>
                      </w:rPr>
                      <w:t>person’s</w:t>
                    </w:r>
                    <w:r>
                      <w:rPr>
                        <w:spacing w:val="-19"/>
                        <w:w w:val="115"/>
                        <w:sz w:val="21"/>
                      </w:rPr>
                      <w:t> </w:t>
                    </w:r>
                    <w:r>
                      <w:rPr>
                        <w:w w:val="115"/>
                        <w:sz w:val="21"/>
                      </w:rPr>
                      <w:t>parents’</w:t>
                    </w:r>
                    <w:r>
                      <w:rPr>
                        <w:spacing w:val="-20"/>
                        <w:w w:val="115"/>
                        <w:sz w:val="21"/>
                      </w:rPr>
                      <w:t> </w:t>
                    </w:r>
                    <w:r>
                      <w:rPr>
                        <w:w w:val="115"/>
                        <w:sz w:val="21"/>
                      </w:rPr>
                      <w:t>siblings</w:t>
                    </w:r>
                    <w:r>
                      <w:rPr>
                        <w:spacing w:val="-19"/>
                        <w:w w:val="115"/>
                        <w:sz w:val="21"/>
                      </w:rPr>
                      <w:t> </w:t>
                    </w:r>
                    <w:r>
                      <w:rPr>
                        <w:w w:val="115"/>
                        <w:sz w:val="21"/>
                      </w:rPr>
                      <w:t>(the</w:t>
                    </w:r>
                    <w:r>
                      <w:rPr>
                        <w:spacing w:val="-20"/>
                        <w:w w:val="115"/>
                        <w:sz w:val="21"/>
                      </w:rPr>
                      <w:t> </w:t>
                    </w:r>
                    <w:r>
                      <w:rPr>
                        <w:w w:val="115"/>
                        <w:sz w:val="21"/>
                      </w:rPr>
                      <w:t>deceased</w:t>
                    </w:r>
                    <w:r>
                      <w:rPr>
                        <w:spacing w:val="-19"/>
                        <w:w w:val="115"/>
                        <w:sz w:val="21"/>
                      </w:rPr>
                      <w:t> </w:t>
                    </w:r>
                    <w:r>
                      <w:rPr>
                        <w:w w:val="115"/>
                        <w:sz w:val="21"/>
                      </w:rPr>
                      <w:t>person’s first cousins).</w:t>
                    </w:r>
                  </w:p>
                </w:txbxContent>
              </v:textbox>
              <w10:wrap type="none"/>
            </v:shape>
            <v:shape style="position:absolute;left:1814;top:1214;width:241;height:889" type="#_x0000_t202" filled="false" stroked="false">
              <v:textbox inset="0,0,0,0">
                <w:txbxContent>
                  <w:p>
                    <w:pPr>
                      <w:spacing w:line="253" w:lineRule="exact" w:before="0"/>
                      <w:ind w:left="0" w:right="0" w:firstLine="0"/>
                      <w:jc w:val="left"/>
                      <w:rPr>
                        <w:sz w:val="21"/>
                      </w:rPr>
                    </w:pPr>
                    <w:r>
                      <w:rPr>
                        <w:spacing w:val="-10"/>
                        <w:w w:val="110"/>
                        <w:sz w:val="21"/>
                      </w:rPr>
                      <w:t>11</w:t>
                    </w:r>
                  </w:p>
                  <w:p>
                    <w:pPr>
                      <w:spacing w:line="240" w:lineRule="auto" w:before="5"/>
                      <w:rPr>
                        <w:sz w:val="31"/>
                      </w:rPr>
                    </w:pPr>
                  </w:p>
                  <w:p>
                    <w:pPr>
                      <w:spacing w:line="252" w:lineRule="exact" w:before="0"/>
                      <w:ind w:left="0" w:right="0" w:firstLine="0"/>
                      <w:jc w:val="left"/>
                      <w:rPr>
                        <w:sz w:val="21"/>
                      </w:rPr>
                    </w:pPr>
                    <w:r>
                      <w:rPr>
                        <w:spacing w:val="-7"/>
                        <w:w w:val="110"/>
                        <w:sz w:val="21"/>
                      </w:rPr>
                      <w:t>12</w:t>
                    </w:r>
                  </w:p>
                </w:txbxContent>
              </v:textbox>
              <w10:wrap type="none"/>
            </v:shape>
            <v:shape style="position:absolute;left:1587;top:227;width:8731;height:726" type="#_x0000_t202" filled="true" fillcolor="#fdebea" stroked="false">
              <v:textbox inset="0,0,0,0">
                <w:txbxContent>
                  <w:p>
                    <w:pPr>
                      <w:spacing w:before="166"/>
                      <w:ind w:left="226" w:right="0" w:firstLine="0"/>
                      <w:jc w:val="left"/>
                      <w:rPr>
                        <w:b/>
                        <w:sz w:val="32"/>
                      </w:rPr>
                    </w:pPr>
                    <w:r>
                      <w:rPr>
                        <w:b/>
                        <w:color w:val="EC5A4F"/>
                        <w:w w:val="110"/>
                        <w:sz w:val="32"/>
                      </w:rPr>
                      <w:t>Recommendations</w:t>
                    </w:r>
                  </w:p>
                </w:txbxContent>
              </v:textbox>
              <v:fill type="solid"/>
              <w10:wrap type="none"/>
            </v:shap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6"/>
        </w:rPr>
      </w:pPr>
      <w:r>
        <w:rPr/>
        <w:pict>
          <v:line style="position:absolute;mso-position-horizontal-relative:page;mso-position-vertical-relative:paragraph;z-index:3536;mso-wrap-distance-left:0;mso-wrap-distance-right:0" from="79.370102pt,18.714668pt" to="515.905102pt,18.714668pt" stroked="true" strokeweight="1pt" strokecolor="#f9ceca">
            <v:stroke dashstyle="solid"/>
            <w10:wrap type="topAndBottom"/>
          </v:line>
        </w:pict>
      </w:r>
    </w:p>
    <w:p>
      <w:pPr>
        <w:pStyle w:val="ListParagraph"/>
        <w:numPr>
          <w:ilvl w:val="0"/>
          <w:numId w:val="52"/>
        </w:numPr>
        <w:tabs>
          <w:tab w:pos="2380" w:val="left" w:leader="none"/>
          <w:tab w:pos="2382" w:val="left" w:leader="none"/>
        </w:tabs>
        <w:spacing w:line="240" w:lineRule="auto" w:before="117" w:after="0"/>
        <w:ind w:left="2381" w:right="0" w:hanging="794"/>
        <w:jc w:val="left"/>
        <w:rPr>
          <w:sz w:val="13"/>
        </w:rPr>
      </w:pPr>
      <w:r>
        <w:rPr>
          <w:w w:val="105"/>
          <w:sz w:val="13"/>
        </w:rPr>
        <w:t>All</w:t>
      </w:r>
      <w:r>
        <w:rPr>
          <w:spacing w:val="4"/>
          <w:w w:val="105"/>
          <w:sz w:val="13"/>
        </w:rPr>
        <w:t> </w:t>
      </w:r>
      <w:r>
        <w:rPr>
          <w:w w:val="105"/>
          <w:sz w:val="13"/>
        </w:rPr>
        <w:t>shares</w:t>
      </w:r>
      <w:r>
        <w:rPr>
          <w:spacing w:val="5"/>
          <w:w w:val="105"/>
          <w:sz w:val="13"/>
        </w:rPr>
        <w:t> </w:t>
      </w:r>
      <w:r>
        <w:rPr>
          <w:w w:val="105"/>
          <w:sz w:val="13"/>
        </w:rPr>
        <w:t>on</w:t>
      </w:r>
      <w:r>
        <w:rPr>
          <w:spacing w:val="5"/>
          <w:w w:val="105"/>
          <w:sz w:val="13"/>
        </w:rPr>
        <w:t> </w:t>
      </w:r>
      <w:r>
        <w:rPr>
          <w:w w:val="105"/>
          <w:sz w:val="13"/>
        </w:rPr>
        <w:t>intestacy</w:t>
      </w:r>
      <w:r>
        <w:rPr>
          <w:spacing w:val="5"/>
          <w:w w:val="105"/>
          <w:sz w:val="13"/>
        </w:rPr>
        <w:t> </w:t>
      </w:r>
      <w:r>
        <w:rPr>
          <w:w w:val="105"/>
          <w:sz w:val="13"/>
        </w:rPr>
        <w:t>would</w:t>
      </w:r>
      <w:r>
        <w:rPr>
          <w:spacing w:val="5"/>
          <w:w w:val="105"/>
          <w:sz w:val="13"/>
        </w:rPr>
        <w:t> </w:t>
      </w:r>
      <w:r>
        <w:rPr>
          <w:w w:val="105"/>
          <w:sz w:val="13"/>
        </w:rPr>
        <w:t>be</w:t>
      </w:r>
      <w:r>
        <w:rPr>
          <w:spacing w:val="5"/>
          <w:w w:val="105"/>
          <w:sz w:val="13"/>
        </w:rPr>
        <w:t> </w:t>
      </w:r>
      <w:r>
        <w:rPr>
          <w:w w:val="105"/>
          <w:sz w:val="13"/>
        </w:rPr>
        <w:t>by</w:t>
      </w:r>
      <w:r>
        <w:rPr>
          <w:spacing w:val="4"/>
          <w:w w:val="105"/>
          <w:sz w:val="13"/>
        </w:rPr>
        <w:t> </w:t>
      </w:r>
      <w:r>
        <w:rPr>
          <w:w w:val="105"/>
          <w:sz w:val="13"/>
        </w:rPr>
        <w:t>representation</w:t>
      </w:r>
      <w:r>
        <w:rPr>
          <w:spacing w:val="5"/>
          <w:w w:val="105"/>
          <w:sz w:val="13"/>
        </w:rPr>
        <w:t> </w:t>
      </w:r>
      <w:r>
        <w:rPr>
          <w:spacing w:val="2"/>
          <w:w w:val="105"/>
          <w:sz w:val="13"/>
        </w:rPr>
        <w:t>(</w:t>
      </w:r>
      <w:r>
        <w:rPr>
          <w:i/>
          <w:spacing w:val="2"/>
          <w:w w:val="105"/>
          <w:sz w:val="13"/>
        </w:rPr>
        <w:t>per</w:t>
      </w:r>
      <w:r>
        <w:rPr>
          <w:i/>
          <w:spacing w:val="4"/>
          <w:w w:val="105"/>
          <w:sz w:val="13"/>
        </w:rPr>
        <w:t> </w:t>
      </w:r>
      <w:r>
        <w:rPr>
          <w:i/>
          <w:w w:val="105"/>
          <w:sz w:val="13"/>
        </w:rPr>
        <w:t>stirpes</w:t>
      </w:r>
      <w:r>
        <w:rPr>
          <w:w w:val="105"/>
          <w:sz w:val="13"/>
        </w:rPr>
        <w:t>),</w:t>
      </w:r>
      <w:r>
        <w:rPr>
          <w:spacing w:val="5"/>
          <w:w w:val="105"/>
          <w:sz w:val="13"/>
        </w:rPr>
        <w:t> </w:t>
      </w:r>
      <w:r>
        <w:rPr>
          <w:w w:val="105"/>
          <w:sz w:val="13"/>
        </w:rPr>
        <w:t>in</w:t>
      </w:r>
      <w:r>
        <w:rPr>
          <w:spacing w:val="5"/>
          <w:w w:val="105"/>
          <w:sz w:val="13"/>
        </w:rPr>
        <w:t> </w:t>
      </w:r>
      <w:r>
        <w:rPr>
          <w:w w:val="105"/>
          <w:sz w:val="13"/>
        </w:rPr>
        <w:t>accordance</w:t>
      </w:r>
      <w:r>
        <w:rPr>
          <w:spacing w:val="5"/>
          <w:w w:val="105"/>
          <w:sz w:val="13"/>
        </w:rPr>
        <w:t> </w:t>
      </w:r>
      <w:r>
        <w:rPr>
          <w:w w:val="105"/>
          <w:sz w:val="13"/>
        </w:rPr>
        <w:t>with</w:t>
      </w:r>
      <w:r>
        <w:rPr>
          <w:spacing w:val="4"/>
          <w:w w:val="105"/>
          <w:sz w:val="13"/>
        </w:rPr>
        <w:t> </w:t>
      </w:r>
      <w:r>
        <w:rPr>
          <w:w w:val="105"/>
          <w:sz w:val="13"/>
        </w:rPr>
        <w:t>the</w:t>
      </w:r>
      <w:r>
        <w:rPr>
          <w:spacing w:val="5"/>
          <w:w w:val="105"/>
          <w:sz w:val="13"/>
        </w:rPr>
        <w:t> </w:t>
      </w:r>
      <w:r>
        <w:rPr>
          <w:w w:val="105"/>
          <w:sz w:val="13"/>
        </w:rPr>
        <w:t>Commission’s</w:t>
      </w:r>
      <w:r>
        <w:rPr>
          <w:spacing w:val="5"/>
          <w:w w:val="105"/>
          <w:sz w:val="13"/>
        </w:rPr>
        <w:t> </w:t>
      </w:r>
      <w:r>
        <w:rPr>
          <w:w w:val="105"/>
          <w:sz w:val="13"/>
        </w:rPr>
        <w:t>recommendation</w:t>
      </w:r>
      <w:r>
        <w:rPr>
          <w:spacing w:val="5"/>
          <w:w w:val="105"/>
          <w:sz w:val="13"/>
        </w:rPr>
        <w:t> </w:t>
      </w:r>
      <w:r>
        <w:rPr>
          <w:w w:val="105"/>
          <w:sz w:val="13"/>
        </w:rPr>
        <w:t>34</w:t>
      </w:r>
      <w:r>
        <w:rPr>
          <w:spacing w:val="5"/>
          <w:w w:val="105"/>
          <w:sz w:val="13"/>
        </w:rPr>
        <w:t> </w:t>
      </w:r>
      <w:r>
        <w:rPr>
          <w:w w:val="105"/>
          <w:sz w:val="13"/>
        </w:rPr>
        <w:t>at</w:t>
      </w:r>
      <w:r>
        <w:rPr>
          <w:spacing w:val="5"/>
          <w:w w:val="105"/>
          <w:sz w:val="13"/>
        </w:rPr>
        <w:t> </w:t>
      </w:r>
      <w:r>
        <w:rPr>
          <w:w w:val="105"/>
          <w:sz w:val="13"/>
        </w:rPr>
        <w:t>[5.144]</w:t>
      </w:r>
      <w:r>
        <w:rPr>
          <w:spacing w:val="5"/>
          <w:w w:val="105"/>
          <w:sz w:val="13"/>
        </w:rPr>
        <w:t> </w:t>
      </w:r>
      <w:r>
        <w:rPr>
          <w:w w:val="105"/>
          <w:sz w:val="13"/>
        </w:rPr>
        <w:t>below.</w:t>
      </w:r>
    </w:p>
    <w:p>
      <w:pPr>
        <w:pStyle w:val="ListParagraph"/>
        <w:numPr>
          <w:ilvl w:val="0"/>
          <w:numId w:val="52"/>
        </w:numPr>
        <w:tabs>
          <w:tab w:pos="2380" w:val="left" w:leader="none"/>
          <w:tab w:pos="2381" w:val="left" w:leader="none"/>
        </w:tabs>
        <w:spacing w:line="240" w:lineRule="auto" w:before="1" w:after="0"/>
        <w:ind w:left="2380" w:right="0" w:hanging="793"/>
        <w:jc w:val="left"/>
        <w:rPr>
          <w:sz w:val="13"/>
        </w:rPr>
      </w:pPr>
      <w:r>
        <w:rPr>
          <w:i/>
          <w:w w:val="105"/>
          <w:sz w:val="13"/>
        </w:rPr>
        <w:t>Succession Act 2006 </w:t>
      </w:r>
      <w:r>
        <w:rPr>
          <w:spacing w:val="3"/>
          <w:w w:val="105"/>
          <w:sz w:val="13"/>
        </w:rPr>
        <w:t>(NSW) </w:t>
      </w:r>
      <w:r>
        <w:rPr>
          <w:w w:val="105"/>
          <w:sz w:val="13"/>
        </w:rPr>
        <w:t>pt</w:t>
      </w:r>
      <w:r>
        <w:rPr>
          <w:spacing w:val="18"/>
          <w:w w:val="105"/>
          <w:sz w:val="13"/>
        </w:rPr>
        <w:t> </w:t>
      </w:r>
      <w:r>
        <w:rPr>
          <w:w w:val="105"/>
          <w:sz w:val="13"/>
        </w:rPr>
        <w:t>4.3.</w:t>
      </w:r>
    </w:p>
    <w:p>
      <w:pPr>
        <w:pStyle w:val="ListParagraph"/>
        <w:numPr>
          <w:ilvl w:val="0"/>
          <w:numId w:val="52"/>
        </w:numPr>
        <w:tabs>
          <w:tab w:pos="2380" w:val="left" w:leader="none"/>
          <w:tab w:pos="2381" w:val="left" w:leader="none"/>
        </w:tabs>
        <w:spacing w:line="240" w:lineRule="auto" w:before="2" w:after="0"/>
        <w:ind w:left="2380" w:right="1953" w:hanging="793"/>
        <w:jc w:val="left"/>
        <w:rPr>
          <w:sz w:val="13"/>
        </w:rPr>
      </w:pPr>
      <w:r>
        <w:rPr>
          <w:w w:val="105"/>
          <w:sz w:val="13"/>
        </w:rPr>
        <w:t>See </w:t>
      </w:r>
      <w:r>
        <w:rPr>
          <w:spacing w:val="-3"/>
          <w:w w:val="105"/>
          <w:sz w:val="13"/>
        </w:rPr>
        <w:t>[5.114] </w:t>
      </w:r>
      <w:r>
        <w:rPr>
          <w:w w:val="105"/>
          <w:sz w:val="13"/>
        </w:rPr>
        <w:t>below for the Commission’s recommendation in relation to entitlements as between the deceased person’s </w:t>
      </w:r>
      <w:r>
        <w:rPr>
          <w:spacing w:val="2"/>
          <w:w w:val="105"/>
          <w:sz w:val="13"/>
        </w:rPr>
        <w:t>partner(s) </w:t>
      </w:r>
      <w:r>
        <w:rPr>
          <w:w w:val="105"/>
          <w:sz w:val="13"/>
        </w:rPr>
        <w:t>and children.</w:t>
      </w:r>
    </w:p>
    <w:p>
      <w:pPr>
        <w:pStyle w:val="ListParagraph"/>
        <w:numPr>
          <w:ilvl w:val="0"/>
          <w:numId w:val="52"/>
        </w:numPr>
        <w:tabs>
          <w:tab w:pos="2380" w:val="left" w:leader="none"/>
          <w:tab w:pos="2381" w:val="left" w:leader="none"/>
        </w:tabs>
        <w:spacing w:line="122" w:lineRule="exact" w:before="2" w:after="0"/>
        <w:ind w:left="2380" w:right="0" w:hanging="793"/>
        <w:jc w:val="left"/>
        <w:rPr>
          <w:sz w:val="13"/>
        </w:rPr>
      </w:pPr>
      <w:r>
        <w:rPr>
          <w:w w:val="105"/>
          <w:sz w:val="13"/>
        </w:rPr>
        <w:t>See</w:t>
      </w:r>
      <w:r>
        <w:rPr>
          <w:spacing w:val="4"/>
          <w:w w:val="105"/>
          <w:sz w:val="13"/>
        </w:rPr>
        <w:t> </w:t>
      </w:r>
      <w:r>
        <w:rPr>
          <w:spacing w:val="-3"/>
          <w:w w:val="105"/>
          <w:sz w:val="13"/>
        </w:rPr>
        <w:t>[5.131]</w:t>
      </w:r>
      <w:r>
        <w:rPr>
          <w:spacing w:val="5"/>
          <w:w w:val="105"/>
          <w:sz w:val="13"/>
        </w:rPr>
        <w:t> </w:t>
      </w:r>
      <w:r>
        <w:rPr>
          <w:w w:val="105"/>
          <w:sz w:val="13"/>
        </w:rPr>
        <w:t>below</w:t>
      </w:r>
      <w:r>
        <w:rPr>
          <w:spacing w:val="4"/>
          <w:w w:val="105"/>
          <w:sz w:val="13"/>
        </w:rPr>
        <w:t> </w:t>
      </w:r>
      <w:r>
        <w:rPr>
          <w:w w:val="105"/>
          <w:sz w:val="13"/>
        </w:rPr>
        <w:t>for</w:t>
      </w:r>
      <w:r>
        <w:rPr>
          <w:spacing w:val="5"/>
          <w:w w:val="105"/>
          <w:sz w:val="13"/>
        </w:rPr>
        <w:t> </w:t>
      </w:r>
      <w:r>
        <w:rPr>
          <w:w w:val="105"/>
          <w:sz w:val="13"/>
        </w:rPr>
        <w:t>the</w:t>
      </w:r>
      <w:r>
        <w:rPr>
          <w:spacing w:val="4"/>
          <w:w w:val="105"/>
          <w:sz w:val="13"/>
        </w:rPr>
        <w:t> </w:t>
      </w:r>
      <w:r>
        <w:rPr>
          <w:w w:val="105"/>
          <w:sz w:val="13"/>
        </w:rPr>
        <w:t>Commission’s</w:t>
      </w:r>
      <w:r>
        <w:rPr>
          <w:spacing w:val="5"/>
          <w:w w:val="105"/>
          <w:sz w:val="13"/>
        </w:rPr>
        <w:t> </w:t>
      </w:r>
      <w:r>
        <w:rPr>
          <w:w w:val="105"/>
          <w:sz w:val="13"/>
        </w:rPr>
        <w:t>recommendations</w:t>
      </w:r>
      <w:r>
        <w:rPr>
          <w:spacing w:val="4"/>
          <w:w w:val="105"/>
          <w:sz w:val="13"/>
        </w:rPr>
        <w:t> </w:t>
      </w:r>
      <w:r>
        <w:rPr>
          <w:w w:val="105"/>
          <w:sz w:val="13"/>
        </w:rPr>
        <w:t>in</w:t>
      </w:r>
      <w:r>
        <w:rPr>
          <w:spacing w:val="5"/>
          <w:w w:val="105"/>
          <w:sz w:val="13"/>
        </w:rPr>
        <w:t> </w:t>
      </w:r>
      <w:r>
        <w:rPr>
          <w:w w:val="105"/>
          <w:sz w:val="13"/>
        </w:rPr>
        <w:t>relation</w:t>
      </w:r>
      <w:r>
        <w:rPr>
          <w:spacing w:val="4"/>
          <w:w w:val="105"/>
          <w:sz w:val="13"/>
        </w:rPr>
        <w:t> </w:t>
      </w:r>
      <w:r>
        <w:rPr>
          <w:w w:val="105"/>
          <w:sz w:val="13"/>
        </w:rPr>
        <w:t>to</w:t>
      </w:r>
      <w:r>
        <w:rPr>
          <w:spacing w:val="5"/>
          <w:w w:val="105"/>
          <w:sz w:val="13"/>
        </w:rPr>
        <w:t> </w:t>
      </w:r>
      <w:r>
        <w:rPr>
          <w:w w:val="105"/>
          <w:sz w:val="13"/>
        </w:rPr>
        <w:t>the</w:t>
      </w:r>
      <w:r>
        <w:rPr>
          <w:spacing w:val="4"/>
          <w:w w:val="105"/>
          <w:sz w:val="13"/>
        </w:rPr>
        <w:t> </w:t>
      </w:r>
      <w:r>
        <w:rPr>
          <w:w w:val="105"/>
          <w:sz w:val="13"/>
        </w:rPr>
        <w:t>entitlements</w:t>
      </w:r>
      <w:r>
        <w:rPr>
          <w:spacing w:val="5"/>
          <w:w w:val="105"/>
          <w:sz w:val="13"/>
        </w:rPr>
        <w:t> </w:t>
      </w:r>
      <w:r>
        <w:rPr>
          <w:w w:val="105"/>
          <w:sz w:val="13"/>
        </w:rPr>
        <w:t>of</w:t>
      </w:r>
      <w:r>
        <w:rPr>
          <w:spacing w:val="4"/>
          <w:w w:val="105"/>
          <w:sz w:val="13"/>
        </w:rPr>
        <w:t> </w:t>
      </w:r>
      <w:r>
        <w:rPr>
          <w:w w:val="105"/>
          <w:sz w:val="13"/>
        </w:rPr>
        <w:t>children.</w:t>
      </w:r>
    </w:p>
    <w:p>
      <w:pPr>
        <w:pStyle w:val="ListParagraph"/>
        <w:numPr>
          <w:ilvl w:val="0"/>
          <w:numId w:val="52"/>
        </w:numPr>
        <w:tabs>
          <w:tab w:pos="2380" w:val="left" w:leader="none"/>
          <w:tab w:pos="2381" w:val="left" w:leader="none"/>
          <w:tab w:pos="11226" w:val="right" w:leader="none"/>
        </w:tabs>
        <w:spacing w:line="256" w:lineRule="exact" w:before="0" w:after="0"/>
        <w:ind w:left="2380" w:right="0" w:hanging="793"/>
        <w:jc w:val="left"/>
        <w:rPr>
          <w:b/>
          <w:sz w:val="24"/>
        </w:rPr>
      </w:pPr>
      <w:r>
        <w:rPr>
          <w:w w:val="105"/>
          <w:sz w:val="13"/>
        </w:rPr>
        <w:t>Distribution</w:t>
      </w:r>
      <w:r>
        <w:rPr>
          <w:spacing w:val="5"/>
          <w:w w:val="105"/>
          <w:sz w:val="13"/>
        </w:rPr>
        <w:t> </w:t>
      </w:r>
      <w:r>
        <w:rPr>
          <w:w w:val="105"/>
          <w:sz w:val="13"/>
        </w:rPr>
        <w:t>would</w:t>
      </w:r>
      <w:r>
        <w:rPr>
          <w:spacing w:val="6"/>
          <w:w w:val="105"/>
          <w:sz w:val="13"/>
        </w:rPr>
        <w:t> </w:t>
      </w:r>
      <w:r>
        <w:rPr>
          <w:w w:val="105"/>
          <w:sz w:val="13"/>
        </w:rPr>
        <w:t>continue</w:t>
      </w:r>
      <w:r>
        <w:rPr>
          <w:spacing w:val="6"/>
          <w:w w:val="105"/>
          <w:sz w:val="13"/>
        </w:rPr>
        <w:t> </w:t>
      </w:r>
      <w:r>
        <w:rPr>
          <w:w w:val="105"/>
          <w:sz w:val="13"/>
        </w:rPr>
        <w:t>indefinitely</w:t>
      </w:r>
      <w:r>
        <w:rPr>
          <w:spacing w:val="6"/>
          <w:w w:val="105"/>
          <w:sz w:val="13"/>
        </w:rPr>
        <w:t> </w:t>
      </w:r>
      <w:r>
        <w:rPr>
          <w:w w:val="105"/>
          <w:sz w:val="13"/>
        </w:rPr>
        <w:t>down</w:t>
      </w:r>
      <w:r>
        <w:rPr>
          <w:spacing w:val="5"/>
          <w:w w:val="105"/>
          <w:sz w:val="13"/>
        </w:rPr>
        <w:t> </w:t>
      </w:r>
      <w:r>
        <w:rPr>
          <w:w w:val="105"/>
          <w:sz w:val="13"/>
        </w:rPr>
        <w:t>this</w:t>
      </w:r>
      <w:r>
        <w:rPr>
          <w:spacing w:val="6"/>
          <w:w w:val="105"/>
          <w:sz w:val="13"/>
        </w:rPr>
        <w:t> </w:t>
      </w:r>
      <w:r>
        <w:rPr>
          <w:w w:val="105"/>
          <w:sz w:val="13"/>
        </w:rPr>
        <w:t>line</w:t>
      </w:r>
      <w:r>
        <w:rPr>
          <w:spacing w:val="6"/>
          <w:w w:val="105"/>
          <w:sz w:val="13"/>
        </w:rPr>
        <w:t> </w:t>
      </w:r>
      <w:r>
        <w:rPr>
          <w:w w:val="105"/>
          <w:sz w:val="13"/>
        </w:rPr>
        <w:t>until</w:t>
      </w:r>
      <w:r>
        <w:rPr>
          <w:spacing w:val="6"/>
          <w:w w:val="105"/>
          <w:sz w:val="13"/>
        </w:rPr>
        <w:t> </w:t>
      </w:r>
      <w:r>
        <w:rPr>
          <w:w w:val="105"/>
          <w:sz w:val="13"/>
        </w:rPr>
        <w:t>the</w:t>
      </w:r>
      <w:r>
        <w:rPr>
          <w:spacing w:val="6"/>
          <w:w w:val="105"/>
          <w:sz w:val="13"/>
        </w:rPr>
        <w:t> </w:t>
      </w:r>
      <w:r>
        <w:rPr>
          <w:w w:val="105"/>
          <w:sz w:val="13"/>
        </w:rPr>
        <w:t>entitlement</w:t>
      </w:r>
      <w:r>
        <w:rPr>
          <w:spacing w:val="5"/>
          <w:w w:val="105"/>
          <w:sz w:val="13"/>
        </w:rPr>
        <w:t> </w:t>
      </w:r>
      <w:r>
        <w:rPr>
          <w:w w:val="105"/>
          <w:sz w:val="13"/>
        </w:rPr>
        <w:t>is</w:t>
      </w:r>
      <w:r>
        <w:rPr>
          <w:spacing w:val="6"/>
          <w:w w:val="105"/>
          <w:sz w:val="13"/>
        </w:rPr>
        <w:t> </w:t>
      </w:r>
      <w:r>
        <w:rPr>
          <w:w w:val="105"/>
          <w:sz w:val="13"/>
        </w:rPr>
        <w:t>exhausted.</w:t>
      </w:r>
      <w:r>
        <w:rPr>
          <w:spacing w:val="6"/>
          <w:w w:val="105"/>
          <w:sz w:val="13"/>
        </w:rPr>
        <w:t> </w:t>
      </w:r>
      <w:r>
        <w:rPr>
          <w:w w:val="105"/>
          <w:sz w:val="13"/>
        </w:rPr>
        <w:t>See,</w:t>
      </w:r>
      <w:r>
        <w:rPr>
          <w:spacing w:val="6"/>
          <w:w w:val="105"/>
          <w:sz w:val="13"/>
        </w:rPr>
        <w:t> </w:t>
      </w:r>
      <w:r>
        <w:rPr>
          <w:w w:val="105"/>
          <w:sz w:val="13"/>
        </w:rPr>
        <w:t>eg,</w:t>
      </w:r>
      <w:r>
        <w:rPr>
          <w:spacing w:val="6"/>
          <w:w w:val="105"/>
          <w:sz w:val="13"/>
        </w:rPr>
        <w:t> </w:t>
      </w:r>
      <w:r>
        <w:rPr>
          <w:i/>
          <w:w w:val="105"/>
          <w:sz w:val="13"/>
        </w:rPr>
        <w:t>Succession</w:t>
      </w:r>
      <w:r>
        <w:rPr>
          <w:i/>
          <w:spacing w:val="4"/>
          <w:w w:val="105"/>
          <w:sz w:val="13"/>
        </w:rPr>
        <w:t> </w:t>
      </w:r>
      <w:r>
        <w:rPr>
          <w:i/>
          <w:w w:val="105"/>
          <w:sz w:val="13"/>
        </w:rPr>
        <w:t>Act</w:t>
      </w:r>
      <w:r>
        <w:rPr>
          <w:i/>
          <w:spacing w:val="5"/>
          <w:w w:val="105"/>
          <w:sz w:val="13"/>
        </w:rPr>
        <w:t> </w:t>
      </w:r>
      <w:r>
        <w:rPr>
          <w:i/>
          <w:w w:val="105"/>
          <w:sz w:val="13"/>
        </w:rPr>
        <w:t>2006</w:t>
      </w:r>
      <w:r>
        <w:rPr>
          <w:i/>
          <w:spacing w:val="6"/>
          <w:w w:val="105"/>
          <w:sz w:val="13"/>
        </w:rPr>
        <w:t> </w:t>
      </w:r>
      <w:r>
        <w:rPr>
          <w:spacing w:val="3"/>
          <w:w w:val="105"/>
          <w:sz w:val="13"/>
        </w:rPr>
        <w:t>(NSW)</w:t>
      </w:r>
      <w:r>
        <w:rPr>
          <w:spacing w:val="6"/>
          <w:w w:val="105"/>
          <w:sz w:val="13"/>
        </w:rPr>
        <w:t> </w:t>
      </w:r>
      <w:r>
        <w:rPr>
          <w:w w:val="105"/>
          <w:sz w:val="13"/>
        </w:rPr>
        <w:t>s</w:t>
      </w:r>
      <w:r>
        <w:rPr>
          <w:spacing w:val="5"/>
          <w:w w:val="105"/>
          <w:sz w:val="13"/>
        </w:rPr>
        <w:t> </w:t>
      </w:r>
      <w:r>
        <w:rPr>
          <w:w w:val="105"/>
          <w:sz w:val="13"/>
        </w:rPr>
        <w:t>129(3).</w:t>
        <w:tab/>
      </w:r>
      <w:r>
        <w:rPr>
          <w:b/>
          <w:color w:val="EC5A4F"/>
          <w:spacing w:val="-13"/>
          <w:w w:val="105"/>
          <w:position w:val="-2"/>
          <w:sz w:val="24"/>
        </w:rPr>
        <w:t>61</w:t>
      </w:r>
    </w:p>
    <w:p>
      <w:pPr>
        <w:spacing w:after="0" w:line="256" w:lineRule="exact"/>
        <w:jc w:val="left"/>
        <w:rPr>
          <w:sz w:val="24"/>
        </w:rPr>
        <w:sectPr>
          <w:pgSz w:w="11910" w:h="16840"/>
          <w:pgMar w:header="805" w:footer="0" w:top="1360" w:bottom="280" w:left="0" w:right="0"/>
        </w:sectPr>
      </w:pPr>
    </w:p>
    <w:p>
      <w:pPr>
        <w:pStyle w:val="BodyText"/>
        <w:spacing w:before="7"/>
        <w:rPr>
          <w:b/>
          <w:sz w:val="30"/>
        </w:rPr>
      </w:pPr>
    </w:p>
    <w:p>
      <w:pPr>
        <w:pStyle w:val="Heading6"/>
        <w:spacing w:line="232" w:lineRule="auto"/>
        <w:ind w:right="2153"/>
        <w:rPr>
          <w:rFonts w:ascii="Calibri"/>
        </w:rPr>
      </w:pPr>
      <w:r>
        <w:rPr>
          <w:rFonts w:ascii="Calibri"/>
          <w:color w:val="F18C84"/>
          <w:spacing w:val="-3"/>
          <w:w w:val="115"/>
        </w:rPr>
        <w:t>Figure </w:t>
      </w:r>
      <w:r>
        <w:rPr>
          <w:rFonts w:ascii="Calibri"/>
          <w:color w:val="F18C84"/>
          <w:w w:val="115"/>
        </w:rPr>
        <w:t>1: Distribution to next of kin under the recommended scheme, where no partner survives the deceased</w:t>
      </w:r>
    </w:p>
    <w:p>
      <w:pPr>
        <w:pStyle w:val="BodyText"/>
        <w:spacing w:before="4"/>
        <w:rPr>
          <w:sz w:val="14"/>
        </w:rPr>
      </w:pPr>
      <w:r>
        <w:rPr/>
        <w:pict>
          <v:group style="position:absolute;margin-left:79.371002pt;margin-top:10.703649pt;width:436.55pt;height:120.05pt;mso-position-horizontal-relative:page;mso-position-vertical-relative:paragraph;z-index:3560;mso-wrap-distance-left:0;mso-wrap-distance-right:0" coordorigin="1587,214" coordsize="8731,2401">
            <v:rect style="position:absolute;left:1587;top:214;width:8731;height:2401" filled="true" fillcolor="#ec5a4f" stroked="false">
              <v:fill type="solid"/>
            </v:rect>
            <v:rect style="position:absolute;left:4603;top:747;width:1234;height:330" filled="true" fillcolor="#000000" stroked="false">
              <v:fill type="solid"/>
            </v:rect>
            <v:rect style="position:absolute;left:1863;top:747;width:1234;height:330" filled="true" fillcolor="#ffffff" stroked="false">
              <v:fill type="solid"/>
            </v:rect>
            <v:rect style="position:absolute;left:7329;top:747;width:1234;height:330" filled="true" fillcolor="#000000" stroked="false">
              <v:fill type="solid"/>
            </v:rect>
            <v:rect style="position:absolute;left:8712;top:1177;width:1234;height:330" filled="true" fillcolor="#000000" stroked="false">
              <v:fill type="solid"/>
            </v:rect>
            <v:shape style="position:absolute;left:3240;top:747;width:1234;height:398" coordorigin="3240,748" coordsize="1234,398" path="m4371,1078l4274,1078,4322,1145,4371,1078xm4474,748l3240,748,3240,1078,4474,1078,4474,748xe" filled="true" fillcolor="#000000" stroked="false">
              <v:path arrowok="t"/>
              <v:fill type="solid"/>
            </v:shape>
            <v:shape style="position:absolute;left:5959;top:436;width:1238;height:1575" type="#_x0000_t75" stroked="false">
              <v:imagedata r:id="rId40" o:title=""/>
            </v:shape>
            <v:shape style="position:absolute;left:8717;top:747;width:1234;height:398" coordorigin="8718,748" coordsize="1234,398" path="m9849,1078l9751,1078,9800,1145,9849,1078xm9951,748l8718,748,8718,1078,9951,1078,9951,748xe" filled="true" fillcolor="#000000" stroked="false">
              <v:path arrowok="t"/>
              <v:fill type="solid"/>
            </v:shape>
            <v:shape style="position:absolute;left:3240;top:1177;width:1234;height:395" coordorigin="3240,1178" coordsize="1234,395" path="m4369,1508l4275,1508,4322,1572,4369,1508xm4474,1178l3240,1178,3240,1508,4474,1508,4474,1178xe" filled="true" fillcolor="#000000" stroked="false">
              <v:path arrowok="t"/>
              <v:fill type="solid"/>
            </v:shape>
            <v:shape style="position:absolute;left:3229;top:1617;width:1249;height:811" type="#_x0000_t75" stroked="false">
              <v:imagedata r:id="rId41" o:title=""/>
            </v:shape>
            <v:shape style="position:absolute;left:8946;top:438;width:74;height:244" coordorigin="8947,438" coordsize="74,244" path="m8966,615l8947,615,8947,636,8947,644,8950,660,8957,672,8968,679,8983,682,8998,679,9010,671,9015,662,8972,662,8967,654,8966,640,8966,636,8966,615xm9017,544l8994,544,8999,550,8999,564,9000,580,9000,600,9000,630,9000,640,8999,654,8995,662,9015,662,9017,660,9020,645,9020,630,9021,615,9020,575,9020,556,9017,544xm9016,438l8949,438,8949,564,8967,564,8969,548,8977,544,9017,544,9017,542,9014,537,8966,537,8967,460,9016,460,9016,438xm8990,522l8978,522,8970,528,8966,537,9014,537,9011,531,9002,525,8990,522xe" filled="true" fillcolor="#ffffff" stroked="false">
              <v:path arrowok="t"/>
              <v:fill type="solid"/>
            </v:shape>
            <v:shape style="position:absolute;left:7553;top:438;width:85;height:243" coordorigin="7553,438" coordsize="85,243" path="m7621,621l7603,621,7603,680,7621,680,7621,621xm7621,438l7598,438,7553,599,7553,621,7637,621,7637,601,7570,601,7603,482,7621,482,7621,438xm7621,482l7603,482,7603,601,7621,601,7621,482xe" filled="true" fillcolor="#ffffff" stroked="false">
              <v:path arrowok="t"/>
              <v:fill type="solid"/>
            </v:shape>
            <v:shape style="position:absolute;left:4805;top:436;width:75;height:244" coordorigin="4805,437" coordsize="75,244" path="m4875,458l4853,458,4860,464,4860,506,4852,548,4837,587,4820,623,4805,659,4805,680,4880,680,4880,659,4826,659,4839,626,4857,590,4872,551,4879,508,4879,506,4879,476,4877,461,4875,458xm4844,437l4828,440,4816,449,4809,461,4806,478,4806,511,4825,511,4825,476,4826,465,4832,458,4875,458,4871,448,4860,440,4844,437xe" filled="true" fillcolor="#ffffff" stroked="false">
              <v:path arrowok="t"/>
              <v:fill type="solid"/>
            </v:shape>
            <v:shape style="position:absolute;left:3461;top:438;width:47;height:243" coordorigin="3462,438" coordsize="47,243" path="m3508,473l3489,473,3489,680,3508,680,3508,473xm3508,438l3495,438,3490,448,3482,454,3462,457,3462,476,3489,473,3508,473,3508,438xe" filled="true" fillcolor="#ffffff" stroked="false">
              <v:path arrowok="t"/>
              <v:fill type="solid"/>
            </v:shape>
            <v:shape style="position:absolute;left:2047;top:846;width:477;height:104" type="#_x0000_t75" stroked="false">
              <v:imagedata r:id="rId42" o:title=""/>
            </v:shape>
            <v:shape style="position:absolute;left:2572;top:877;width:58;height:100" coordorigin="2572,878" coordsize="58,100" path="m2581,880l2572,880,2572,978,2581,978,2581,937,2584,937,2581,927,2581,902,2584,892,2580,892,2581,880xm2584,937l2581,937,2585,946,2591,951,2602,951,2614,948,2619,943,2586,943,2584,937xm2620,885l2616,885,2620,901,2620,928,2616,943,2619,943,2623,940,2628,929,2630,914,2628,900,2623,888,2620,885xm2602,878l2588,878,2582,888,2580,892,2584,892,2586,885,2620,885,2615,881,2602,878xe" filled="true" fillcolor="#000000" stroked="false">
              <v:path arrowok="t"/>
              <v:fill type="solid"/>
            </v:shape>
            <v:shape style="position:absolute;left:2637;top:877;width:56;height:73" coordorigin="2637,878" coordsize="56,73" path="m2666,878l2654,881,2645,888,2639,900,2637,914,2639,929,2644,940,2654,948,2668,951,2674,951,2682,949,2688,947,2688,943,2654,943,2647,931,2647,917,2693,917,2693,912,2692,909,2647,909,2647,898,2654,885,2683,885,2678,881,2666,878xm2688,938l2684,941,2675,943,2688,943,2688,938xm2683,885l2679,885,2684,897,2684,909,2692,909,2691,899,2686,888,2683,885xe" filled="true" fillcolor="#000000" stroked="false">
              <v:path arrowok="t"/>
              <v:fill type="solid"/>
            </v:shape>
            <v:shape style="position:absolute;left:2703;top:877;width:32;height:72" coordorigin="2704,878" coordsize="32,72" path="m2712,880l2704,880,2704,885,2704,949,2713,949,2713,902,2715,893,2712,893,2712,880xm2732,878l2721,878,2716,885,2712,893,2715,893,2716,887,2736,887,2736,879,2734,878,2732,878xm2736,887l2732,887,2734,887,2736,888,2736,887xe" filled="true" fillcolor="#000000" stroked="false">
              <v:path arrowok="t"/>
              <v:fill type="solid"/>
            </v:shape>
            <v:shape style="position:absolute;left:2738;top:877;width:43;height:73" coordorigin="2738,878" coordsize="43,73" path="m2739,939l2738,947,2744,950,2751,951,2768,951,2781,946,2781,943,2750,943,2744,942,2739,939xm2765,878l2750,878,2739,883,2739,897,2744,908,2756,915,2767,921,2772,931,2772,939,2765,943,2781,943,2781,931,2776,918,2764,910,2753,904,2748,897,2748,888,2754,885,2777,885,2778,881,2772,879,2765,878xm2777,885l2767,885,2773,887,2777,889,2777,885xe" filled="true" fillcolor="#000000" stroked="false">
              <v:path arrowok="t"/>
              <v:fill type="solid"/>
            </v:shape>
            <v:shape style="position:absolute;left:2786;top:877;width:63;height:73" coordorigin="2787,878" coordsize="63,73" path="m2818,878l2804,881,2794,889,2788,901,2787,914,2788,928,2794,940,2804,948,2818,951,2832,948,2837,943,2804,943,2796,930,2796,898,2804,885,2837,885,2832,881,2818,878xm2837,885l2833,885,2840,898,2840,930,2833,943,2837,943,2842,940,2848,928,2849,914,2848,901,2842,889,2837,885xe" filled="true" fillcolor="#000000" stroked="false">
              <v:path arrowok="t"/>
              <v:fill type="solid"/>
            </v:shape>
            <v:shape style="position:absolute;left:2860;top:877;width:54;height:72" coordorigin="2861,878" coordsize="54,72" path="m2869,880l2861,880,2861,885,2861,949,2869,949,2869,899,2872,892,2869,892,2869,880xm2911,885l2901,885,2905,894,2905,949,2914,949,2914,889,2911,885xm2907,878l2877,878,2872,886,2869,892,2872,892,2874,885,2911,885,2907,878xe" filled="true" fillcolor="#000000" stroked="false">
              <v:path arrowok="t"/>
              <v:fill type="solid"/>
            </v:shape>
            <v:shape style="position:absolute;left:4713;top:853;width:333;height:118" type="#_x0000_t75" stroked="false">
              <v:imagedata r:id="rId43" o:title=""/>
            </v:shape>
            <v:shape style="position:absolute;left:7415;top:846;width:646;height:132" type="#_x0000_t75" stroked="false">
              <v:imagedata r:id="rId44" o:title=""/>
            </v:shape>
            <v:shape style="position:absolute;left:3317;top:887;width:44;height:64" coordorigin="3317,887" coordsize="44,64" path="m3353,887l3346,887,3334,889,3325,896,3319,906,3317,919,3319,931,3324,941,3333,948,3345,951,3351,951,3355,950,3360,948,3360,944,3333,944,3325,933,3325,904,3333,893,3360,893,3360,889,3358,889,3353,887xm3360,941l3355,943,3351,944,3360,944,3360,941xm3360,893l3351,893,3356,895,3360,897,3360,893xe" filled="true" fillcolor="#ffffff" stroked="false">
              <v:path arrowok="t"/>
              <v:fill type="solid"/>
            </v:shape>
            <v:shape style="position:absolute;left:3369;top:859;width:46;height:90" coordorigin="3369,860" coordsize="46,90" path="m3377,860l3369,860,3369,949,3377,949,3377,906,3379,899,3377,899,3377,860xm3413,893l3406,893,3408,903,3408,949,3415,949,3415,898,3413,893xm3411,887l3386,887,3380,892,3377,899,3379,899,3381,893,3413,893,3411,887xe" filled="true" fillcolor="#ffffff" stroked="false">
              <v:path arrowok="t"/>
              <v:fill type="solid"/>
            </v:shape>
            <v:shape style="position:absolute;left:3429;top:862;width:8;height:87" coordorigin="3430,862" coordsize="8,87" path="m3437,862l3430,862,3430,872,3437,872,3437,862xm3437,888l3430,888,3430,949,3437,949,3437,888xe" filled="true" fillcolor="#ffffff" stroked="false">
              <v:path arrowok="t"/>
              <v:fill type="solid"/>
            </v:shape>
            <v:rect style="position:absolute;left:3452;top:859;width:8;height:90" filled="true" fillcolor="#ffffff" stroked="false">
              <v:fill type="solid"/>
            </v:rect>
            <v:shape style="position:absolute;left:3470;top:859;width:51;height:91" coordorigin="3471,860" coordsize="51,91" path="m3507,887l3478,887,3471,900,3471,937,3479,951,3504,951,3510,947,3511,944,3482,944,3479,931,3479,907,3482,893,3511,893,3507,887xm3521,940l3514,940,3514,949,3521,949,3521,940xm3511,893l3509,893,3514,908,3514,930,3509,944,3511,944,3513,940,3521,940,3521,899,3513,899,3512,896,3511,893xm3521,860l3514,860,3514,899,3521,899,3521,860xe" filled="true" fillcolor="#ffffff" stroked="false">
              <v:path arrowok="t"/>
              <v:fill type="solid"/>
            </v:shape>
            <v:shape style="position:absolute;left:8787;top:846;width:564;height:104" type="#_x0000_t75" stroked="false">
              <v:imagedata r:id="rId45" o:title=""/>
            </v:shape>
            <v:shape style="position:absolute;left:8782;top:1275;width:192;height:106" type="#_x0000_t75" stroked="false">
              <v:imagedata r:id="rId46" o:title=""/>
            </v:shape>
            <v:shape style="position:absolute;left:9011;top:1280;width:324;height:101" type="#_x0000_t75" stroked="false">
              <v:imagedata r:id="rId47" o:title=""/>
            </v:shape>
            <v:shape style="position:absolute;left:3302;top:1277;width:543;height:132" type="#_x0000_t75" stroked="false">
              <v:imagedata r:id="rId48" o:title=""/>
            </v:shape>
            <w10:wrap type="topAndBottom"/>
          </v:group>
        </w:pict>
      </w:r>
    </w:p>
    <w:p>
      <w:pPr>
        <w:pStyle w:val="BodyText"/>
        <w:spacing w:before="10"/>
        <w:rPr>
          <w:sz w:val="22"/>
        </w:rPr>
      </w:pPr>
    </w:p>
    <w:p>
      <w:pPr>
        <w:pStyle w:val="ListParagraph"/>
        <w:numPr>
          <w:ilvl w:val="1"/>
          <w:numId w:val="22"/>
        </w:numPr>
        <w:tabs>
          <w:tab w:pos="2381" w:val="left" w:leader="none"/>
          <w:tab w:pos="2382" w:val="left" w:leader="none"/>
        </w:tabs>
        <w:spacing w:line="240" w:lineRule="auto" w:before="0" w:after="0"/>
        <w:ind w:left="2381" w:right="1618" w:hanging="794"/>
        <w:jc w:val="left"/>
        <w:rPr>
          <w:sz w:val="21"/>
        </w:rPr>
      </w:pPr>
      <w:r>
        <w:rPr>
          <w:sz w:val="21"/>
        </w:rPr>
        <w:t>The effect </w:t>
      </w:r>
      <w:r>
        <w:rPr>
          <w:spacing w:val="-3"/>
          <w:sz w:val="21"/>
        </w:rPr>
        <w:t>of </w:t>
      </w:r>
      <w:r>
        <w:rPr>
          <w:spacing w:val="-4"/>
          <w:sz w:val="21"/>
        </w:rPr>
        <w:t>recommendation </w:t>
      </w:r>
      <w:r>
        <w:rPr>
          <w:spacing w:val="-9"/>
          <w:sz w:val="21"/>
        </w:rPr>
        <w:t>12,  </w:t>
      </w:r>
      <w:r>
        <w:rPr>
          <w:spacing w:val="-3"/>
          <w:sz w:val="21"/>
        </w:rPr>
        <w:t>where  </w:t>
      </w:r>
      <w:r>
        <w:rPr>
          <w:sz w:val="21"/>
        </w:rPr>
        <w:t>the </w:t>
      </w:r>
      <w:r>
        <w:rPr>
          <w:spacing w:val="-3"/>
          <w:sz w:val="21"/>
        </w:rPr>
        <w:t>deceased</w:t>
      </w:r>
      <w:r>
        <w:rPr>
          <w:spacing w:val="41"/>
          <w:sz w:val="21"/>
        </w:rPr>
        <w:t> </w:t>
      </w:r>
      <w:r>
        <w:rPr>
          <w:sz w:val="21"/>
        </w:rPr>
        <w:t>person is </w:t>
      </w:r>
      <w:r>
        <w:rPr>
          <w:spacing w:val="-3"/>
          <w:sz w:val="21"/>
        </w:rPr>
        <w:t>not  </w:t>
      </w:r>
      <w:r>
        <w:rPr>
          <w:sz w:val="21"/>
        </w:rPr>
        <w:t>survived </w:t>
      </w:r>
      <w:r>
        <w:rPr>
          <w:spacing w:val="-3"/>
          <w:sz w:val="21"/>
        </w:rPr>
        <w:t>by  </w:t>
      </w:r>
      <w:r>
        <w:rPr>
          <w:sz w:val="21"/>
        </w:rPr>
        <w:t>a </w:t>
      </w:r>
      <w:r>
        <w:rPr>
          <w:spacing w:val="-4"/>
          <w:sz w:val="21"/>
        </w:rPr>
        <w:t>partner, </w:t>
      </w:r>
      <w:r>
        <w:rPr>
          <w:sz w:val="21"/>
        </w:rPr>
        <w:t>is </w:t>
      </w:r>
      <w:r>
        <w:rPr>
          <w:spacing w:val="-4"/>
          <w:sz w:val="21"/>
        </w:rPr>
        <w:t>illustrated </w:t>
      </w:r>
      <w:r>
        <w:rPr>
          <w:spacing w:val="-3"/>
          <w:sz w:val="21"/>
        </w:rPr>
        <w:t>by </w:t>
      </w:r>
      <w:r>
        <w:rPr>
          <w:rFonts w:ascii="Lucida Sans"/>
          <w:b/>
          <w:spacing w:val="-3"/>
          <w:sz w:val="21"/>
        </w:rPr>
        <w:t>Figure </w:t>
      </w:r>
      <w:r>
        <w:rPr>
          <w:rFonts w:ascii="Lucida Sans"/>
          <w:b/>
          <w:spacing w:val="-6"/>
          <w:sz w:val="21"/>
        </w:rPr>
        <w:t>1</w:t>
      </w:r>
      <w:r>
        <w:rPr>
          <w:spacing w:val="-6"/>
          <w:sz w:val="21"/>
        </w:rPr>
        <w:t>. </w:t>
      </w:r>
      <w:r>
        <w:rPr>
          <w:sz w:val="21"/>
        </w:rPr>
        <w:t>In </w:t>
      </w:r>
      <w:r>
        <w:rPr>
          <w:spacing w:val="-4"/>
          <w:sz w:val="21"/>
        </w:rPr>
        <w:t>interpreting </w:t>
      </w:r>
      <w:r>
        <w:rPr>
          <w:rFonts w:ascii="Lucida Sans"/>
          <w:b/>
          <w:spacing w:val="-3"/>
          <w:sz w:val="21"/>
        </w:rPr>
        <w:t>Figure </w:t>
      </w:r>
      <w:r>
        <w:rPr>
          <w:rFonts w:ascii="Lucida Sans"/>
          <w:b/>
          <w:spacing w:val="-7"/>
          <w:sz w:val="21"/>
        </w:rPr>
        <w:t>1</w:t>
      </w:r>
      <w:r>
        <w:rPr>
          <w:spacing w:val="-7"/>
          <w:sz w:val="21"/>
        </w:rPr>
        <w:t>, </w:t>
      </w:r>
      <w:r>
        <w:rPr>
          <w:sz w:val="21"/>
        </w:rPr>
        <w:t>the </w:t>
      </w:r>
      <w:r>
        <w:rPr>
          <w:spacing w:val="-4"/>
          <w:sz w:val="21"/>
        </w:rPr>
        <w:t>following </w:t>
      </w:r>
      <w:r>
        <w:rPr>
          <w:spacing w:val="-3"/>
          <w:sz w:val="21"/>
        </w:rPr>
        <w:t>points should </w:t>
      </w:r>
      <w:r>
        <w:rPr>
          <w:sz w:val="21"/>
        </w:rPr>
        <w:t>be</w:t>
      </w:r>
      <w:r>
        <w:rPr>
          <w:spacing w:val="14"/>
          <w:sz w:val="21"/>
        </w:rPr>
        <w:t> </w:t>
      </w:r>
      <w:r>
        <w:rPr>
          <w:sz w:val="21"/>
        </w:rPr>
        <w:t>noted:</w:t>
      </w:r>
    </w:p>
    <w:p>
      <w:pPr>
        <w:pStyle w:val="ListParagraph"/>
        <w:numPr>
          <w:ilvl w:val="2"/>
          <w:numId w:val="22"/>
        </w:numPr>
        <w:tabs>
          <w:tab w:pos="2721" w:val="left" w:leader="none"/>
          <w:tab w:pos="2722" w:val="left" w:leader="none"/>
        </w:tabs>
        <w:spacing w:line="240" w:lineRule="auto" w:before="123" w:after="0"/>
        <w:ind w:left="2721" w:right="0" w:hanging="340"/>
        <w:jc w:val="left"/>
        <w:rPr>
          <w:sz w:val="21"/>
        </w:rPr>
      </w:pPr>
      <w:r>
        <w:rPr>
          <w:sz w:val="21"/>
        </w:rPr>
        <w:t>It</w:t>
      </w:r>
      <w:r>
        <w:rPr>
          <w:spacing w:val="8"/>
          <w:sz w:val="21"/>
        </w:rPr>
        <w:t> </w:t>
      </w:r>
      <w:r>
        <w:rPr>
          <w:sz w:val="21"/>
        </w:rPr>
        <w:t>is</w:t>
      </w:r>
      <w:r>
        <w:rPr>
          <w:spacing w:val="9"/>
          <w:sz w:val="21"/>
        </w:rPr>
        <w:t> </w:t>
      </w:r>
      <w:r>
        <w:rPr>
          <w:spacing w:val="-3"/>
          <w:sz w:val="21"/>
        </w:rPr>
        <w:t>relevant</w:t>
      </w:r>
      <w:r>
        <w:rPr>
          <w:spacing w:val="9"/>
          <w:sz w:val="21"/>
        </w:rPr>
        <w:t> </w:t>
      </w:r>
      <w:r>
        <w:rPr>
          <w:sz w:val="21"/>
        </w:rPr>
        <w:t>only</w:t>
      </w:r>
      <w:r>
        <w:rPr>
          <w:spacing w:val="9"/>
          <w:sz w:val="21"/>
        </w:rPr>
        <w:t> </w:t>
      </w:r>
      <w:r>
        <w:rPr>
          <w:sz w:val="21"/>
        </w:rPr>
        <w:t>where</w:t>
      </w:r>
      <w:r>
        <w:rPr>
          <w:spacing w:val="9"/>
          <w:sz w:val="21"/>
        </w:rPr>
        <w:t> </w:t>
      </w:r>
      <w:r>
        <w:rPr>
          <w:sz w:val="21"/>
        </w:rPr>
        <w:t>the</w:t>
      </w:r>
      <w:r>
        <w:rPr>
          <w:spacing w:val="9"/>
          <w:sz w:val="21"/>
        </w:rPr>
        <w:t> </w:t>
      </w:r>
      <w:r>
        <w:rPr>
          <w:sz w:val="21"/>
        </w:rPr>
        <w:t>deceased</w:t>
      </w:r>
      <w:r>
        <w:rPr>
          <w:spacing w:val="9"/>
          <w:sz w:val="21"/>
        </w:rPr>
        <w:t> </w:t>
      </w:r>
      <w:r>
        <w:rPr>
          <w:sz w:val="21"/>
        </w:rPr>
        <w:t>person</w:t>
      </w:r>
      <w:r>
        <w:rPr>
          <w:spacing w:val="9"/>
          <w:sz w:val="21"/>
        </w:rPr>
        <w:t> </w:t>
      </w:r>
      <w:r>
        <w:rPr>
          <w:sz w:val="21"/>
        </w:rPr>
        <w:t>is</w:t>
      </w:r>
      <w:r>
        <w:rPr>
          <w:spacing w:val="9"/>
          <w:sz w:val="21"/>
        </w:rPr>
        <w:t> </w:t>
      </w:r>
      <w:r>
        <w:rPr>
          <w:spacing w:val="-2"/>
          <w:sz w:val="21"/>
        </w:rPr>
        <w:t>not</w:t>
      </w:r>
      <w:r>
        <w:rPr>
          <w:spacing w:val="9"/>
          <w:sz w:val="21"/>
        </w:rPr>
        <w:t> </w:t>
      </w:r>
      <w:r>
        <w:rPr>
          <w:sz w:val="21"/>
        </w:rPr>
        <w:t>survived</w:t>
      </w:r>
      <w:r>
        <w:rPr>
          <w:spacing w:val="9"/>
          <w:sz w:val="21"/>
        </w:rPr>
        <w:t> </w:t>
      </w:r>
      <w:r>
        <w:rPr>
          <w:sz w:val="21"/>
        </w:rPr>
        <w:t>by</w:t>
      </w:r>
      <w:r>
        <w:rPr>
          <w:spacing w:val="9"/>
          <w:sz w:val="21"/>
        </w:rPr>
        <w:t> </w:t>
      </w:r>
      <w:r>
        <w:rPr>
          <w:sz w:val="21"/>
        </w:rPr>
        <w:t>a</w:t>
      </w:r>
      <w:r>
        <w:rPr>
          <w:spacing w:val="8"/>
          <w:sz w:val="21"/>
        </w:rPr>
        <w:t> </w:t>
      </w:r>
      <w:r>
        <w:rPr>
          <w:spacing w:val="-3"/>
          <w:sz w:val="21"/>
        </w:rPr>
        <w:t>partner.</w:t>
      </w:r>
    </w:p>
    <w:p>
      <w:pPr>
        <w:pStyle w:val="ListParagraph"/>
        <w:numPr>
          <w:ilvl w:val="2"/>
          <w:numId w:val="22"/>
        </w:numPr>
        <w:tabs>
          <w:tab w:pos="2721" w:val="left" w:leader="none"/>
          <w:tab w:pos="2722" w:val="left" w:leader="none"/>
        </w:tabs>
        <w:spacing w:line="242" w:lineRule="auto" w:before="124" w:after="0"/>
        <w:ind w:left="2721" w:right="1718" w:hanging="340"/>
        <w:jc w:val="left"/>
        <w:rPr>
          <w:sz w:val="21"/>
        </w:rPr>
      </w:pPr>
      <w:r>
        <w:rPr>
          <w:w w:val="105"/>
          <w:sz w:val="21"/>
        </w:rPr>
        <w:t>Distribution</w:t>
      </w:r>
      <w:r>
        <w:rPr>
          <w:spacing w:val="-13"/>
          <w:w w:val="105"/>
          <w:sz w:val="21"/>
        </w:rPr>
        <w:t> </w:t>
      </w:r>
      <w:r>
        <w:rPr>
          <w:w w:val="105"/>
          <w:sz w:val="21"/>
        </w:rPr>
        <w:t>would</w:t>
      </w:r>
      <w:r>
        <w:rPr>
          <w:spacing w:val="-13"/>
          <w:w w:val="105"/>
          <w:sz w:val="21"/>
        </w:rPr>
        <w:t> </w:t>
      </w:r>
      <w:r>
        <w:rPr>
          <w:w w:val="105"/>
          <w:sz w:val="21"/>
        </w:rPr>
        <w:t>only</w:t>
      </w:r>
      <w:r>
        <w:rPr>
          <w:spacing w:val="-12"/>
          <w:w w:val="105"/>
          <w:sz w:val="21"/>
        </w:rPr>
        <w:t> </w:t>
      </w:r>
      <w:r>
        <w:rPr>
          <w:w w:val="105"/>
          <w:sz w:val="21"/>
        </w:rPr>
        <w:t>be</w:t>
      </w:r>
      <w:r>
        <w:rPr>
          <w:spacing w:val="-13"/>
          <w:w w:val="105"/>
          <w:sz w:val="21"/>
        </w:rPr>
        <w:t> </w:t>
      </w:r>
      <w:r>
        <w:rPr>
          <w:spacing w:val="-3"/>
          <w:w w:val="105"/>
          <w:sz w:val="21"/>
        </w:rPr>
        <w:t>to</w:t>
      </w:r>
      <w:r>
        <w:rPr>
          <w:spacing w:val="-13"/>
          <w:w w:val="105"/>
          <w:sz w:val="21"/>
        </w:rPr>
        <w:t> </w:t>
      </w:r>
      <w:r>
        <w:rPr>
          <w:w w:val="105"/>
          <w:sz w:val="21"/>
        </w:rPr>
        <w:t>the</w:t>
      </w:r>
      <w:r>
        <w:rPr>
          <w:spacing w:val="-12"/>
          <w:w w:val="105"/>
          <w:sz w:val="21"/>
        </w:rPr>
        <w:t> </w:t>
      </w:r>
      <w:r>
        <w:rPr>
          <w:w w:val="105"/>
          <w:sz w:val="21"/>
        </w:rPr>
        <w:t>deceased</w:t>
      </w:r>
      <w:r>
        <w:rPr>
          <w:spacing w:val="-13"/>
          <w:w w:val="105"/>
          <w:sz w:val="21"/>
        </w:rPr>
        <w:t> </w:t>
      </w:r>
      <w:r>
        <w:rPr>
          <w:spacing w:val="-3"/>
          <w:w w:val="105"/>
          <w:sz w:val="21"/>
        </w:rPr>
        <w:t>person’s</w:t>
      </w:r>
      <w:r>
        <w:rPr>
          <w:spacing w:val="-12"/>
          <w:w w:val="105"/>
          <w:sz w:val="21"/>
        </w:rPr>
        <w:t> </w:t>
      </w:r>
      <w:r>
        <w:rPr>
          <w:w w:val="105"/>
          <w:sz w:val="21"/>
        </w:rPr>
        <w:t>parent(s)</w:t>
      </w:r>
      <w:r>
        <w:rPr>
          <w:spacing w:val="-13"/>
          <w:w w:val="105"/>
          <w:sz w:val="21"/>
        </w:rPr>
        <w:t> </w:t>
      </w:r>
      <w:r>
        <w:rPr>
          <w:w w:val="105"/>
          <w:sz w:val="21"/>
        </w:rPr>
        <w:t>if</w:t>
      </w:r>
      <w:r>
        <w:rPr>
          <w:spacing w:val="-13"/>
          <w:w w:val="105"/>
          <w:sz w:val="21"/>
        </w:rPr>
        <w:t> </w:t>
      </w:r>
      <w:r>
        <w:rPr>
          <w:w w:val="105"/>
          <w:sz w:val="21"/>
        </w:rPr>
        <w:t>the</w:t>
      </w:r>
      <w:r>
        <w:rPr>
          <w:spacing w:val="-12"/>
          <w:w w:val="105"/>
          <w:sz w:val="21"/>
        </w:rPr>
        <w:t> </w:t>
      </w:r>
      <w:r>
        <w:rPr>
          <w:w w:val="105"/>
          <w:sz w:val="21"/>
        </w:rPr>
        <w:t>deceased</w:t>
      </w:r>
      <w:r>
        <w:rPr>
          <w:spacing w:val="-13"/>
          <w:w w:val="105"/>
          <w:sz w:val="21"/>
        </w:rPr>
        <w:t> </w:t>
      </w:r>
      <w:r>
        <w:rPr>
          <w:w w:val="105"/>
          <w:sz w:val="21"/>
        </w:rPr>
        <w:t>person was </w:t>
      </w:r>
      <w:r>
        <w:rPr>
          <w:spacing w:val="-2"/>
          <w:w w:val="105"/>
          <w:sz w:val="21"/>
        </w:rPr>
        <w:t>not </w:t>
      </w:r>
      <w:r>
        <w:rPr>
          <w:w w:val="105"/>
          <w:sz w:val="21"/>
        </w:rPr>
        <w:t>survived by </w:t>
      </w:r>
      <w:r>
        <w:rPr>
          <w:spacing w:val="-3"/>
          <w:w w:val="105"/>
          <w:sz w:val="21"/>
        </w:rPr>
        <w:t>any children, grandchildren, great-grandchildren, </w:t>
      </w:r>
      <w:r>
        <w:rPr>
          <w:spacing w:val="-4"/>
          <w:w w:val="105"/>
          <w:sz w:val="21"/>
        </w:rPr>
        <w:t>great-great- </w:t>
      </w:r>
      <w:r>
        <w:rPr>
          <w:spacing w:val="-3"/>
          <w:w w:val="105"/>
          <w:sz w:val="21"/>
        </w:rPr>
        <w:t>grandchildren </w:t>
      </w:r>
      <w:r>
        <w:rPr>
          <w:w w:val="105"/>
          <w:sz w:val="21"/>
        </w:rPr>
        <w:t>or other issue down this</w:t>
      </w:r>
      <w:r>
        <w:rPr>
          <w:spacing w:val="29"/>
          <w:w w:val="105"/>
          <w:sz w:val="21"/>
        </w:rPr>
        <w:t> </w:t>
      </w:r>
      <w:r>
        <w:rPr>
          <w:spacing w:val="-4"/>
          <w:w w:val="105"/>
          <w:sz w:val="21"/>
        </w:rPr>
        <w:t>line.</w:t>
      </w:r>
    </w:p>
    <w:p>
      <w:pPr>
        <w:pStyle w:val="ListParagraph"/>
        <w:numPr>
          <w:ilvl w:val="2"/>
          <w:numId w:val="22"/>
        </w:numPr>
        <w:tabs>
          <w:tab w:pos="2721" w:val="left" w:leader="none"/>
          <w:tab w:pos="2722" w:val="left" w:leader="none"/>
        </w:tabs>
        <w:spacing w:line="242" w:lineRule="auto" w:before="123" w:after="0"/>
        <w:ind w:left="2721" w:right="1649" w:hanging="340"/>
        <w:jc w:val="left"/>
        <w:rPr>
          <w:sz w:val="21"/>
        </w:rPr>
      </w:pPr>
      <w:r>
        <w:rPr>
          <w:sz w:val="21"/>
        </w:rPr>
        <w:t>Distribution would only be </w:t>
      </w:r>
      <w:r>
        <w:rPr>
          <w:spacing w:val="-3"/>
          <w:sz w:val="21"/>
        </w:rPr>
        <w:t>to </w:t>
      </w:r>
      <w:r>
        <w:rPr>
          <w:sz w:val="21"/>
        </w:rPr>
        <w:t>the deceased </w:t>
      </w:r>
      <w:r>
        <w:rPr>
          <w:spacing w:val="-3"/>
          <w:sz w:val="21"/>
        </w:rPr>
        <w:t>person’s </w:t>
      </w:r>
      <w:r>
        <w:rPr>
          <w:sz w:val="21"/>
        </w:rPr>
        <w:t>sibling(s) if the deceased person was </w:t>
      </w:r>
      <w:r>
        <w:rPr>
          <w:spacing w:val="-2"/>
          <w:sz w:val="21"/>
        </w:rPr>
        <w:t>not </w:t>
      </w:r>
      <w:r>
        <w:rPr>
          <w:sz w:val="21"/>
        </w:rPr>
        <w:t>survived by </w:t>
      </w:r>
      <w:r>
        <w:rPr>
          <w:spacing w:val="-3"/>
          <w:sz w:val="21"/>
        </w:rPr>
        <w:t>any children </w:t>
      </w:r>
      <w:r>
        <w:rPr>
          <w:sz w:val="21"/>
        </w:rPr>
        <w:t>or other  </w:t>
      </w:r>
      <w:r>
        <w:rPr>
          <w:spacing w:val="-3"/>
          <w:sz w:val="21"/>
        </w:rPr>
        <w:t>issue,  </w:t>
      </w:r>
      <w:r>
        <w:rPr>
          <w:sz w:val="21"/>
        </w:rPr>
        <w:t>or  parent(s).  Nieces  and  nephews and other descendants down this </w:t>
      </w:r>
      <w:r>
        <w:rPr>
          <w:spacing w:val="-3"/>
          <w:sz w:val="21"/>
        </w:rPr>
        <w:t>line </w:t>
      </w:r>
      <w:r>
        <w:rPr>
          <w:sz w:val="21"/>
        </w:rPr>
        <w:t>would </w:t>
      </w:r>
      <w:r>
        <w:rPr>
          <w:spacing w:val="-3"/>
          <w:sz w:val="21"/>
        </w:rPr>
        <w:t>take </w:t>
      </w:r>
      <w:r>
        <w:rPr>
          <w:sz w:val="21"/>
        </w:rPr>
        <w:t>as representatives of their deceased parent(s).</w:t>
      </w:r>
    </w:p>
    <w:p>
      <w:pPr>
        <w:pStyle w:val="ListParagraph"/>
        <w:numPr>
          <w:ilvl w:val="2"/>
          <w:numId w:val="22"/>
        </w:numPr>
        <w:tabs>
          <w:tab w:pos="2721" w:val="left" w:leader="none"/>
          <w:tab w:pos="2722" w:val="left" w:leader="none"/>
        </w:tabs>
        <w:spacing w:line="242" w:lineRule="auto" w:before="125" w:after="0"/>
        <w:ind w:left="2721" w:right="1858" w:hanging="340"/>
        <w:jc w:val="left"/>
        <w:rPr>
          <w:sz w:val="21"/>
        </w:rPr>
      </w:pPr>
      <w:r>
        <w:rPr>
          <w:sz w:val="21"/>
        </w:rPr>
        <w:t>Distribution would only be </w:t>
      </w:r>
      <w:r>
        <w:rPr>
          <w:spacing w:val="-3"/>
          <w:sz w:val="21"/>
        </w:rPr>
        <w:t>to </w:t>
      </w:r>
      <w:r>
        <w:rPr>
          <w:sz w:val="21"/>
        </w:rPr>
        <w:t>the deceased </w:t>
      </w:r>
      <w:r>
        <w:rPr>
          <w:spacing w:val="-3"/>
          <w:sz w:val="21"/>
        </w:rPr>
        <w:t>person’s </w:t>
      </w:r>
      <w:r>
        <w:rPr>
          <w:sz w:val="21"/>
        </w:rPr>
        <w:t>grandparent(s) if the deceased person was </w:t>
      </w:r>
      <w:r>
        <w:rPr>
          <w:spacing w:val="-2"/>
          <w:sz w:val="21"/>
        </w:rPr>
        <w:t>not </w:t>
      </w:r>
      <w:r>
        <w:rPr>
          <w:sz w:val="21"/>
        </w:rPr>
        <w:t>survived by </w:t>
      </w:r>
      <w:r>
        <w:rPr>
          <w:spacing w:val="-3"/>
          <w:sz w:val="21"/>
        </w:rPr>
        <w:t>any children </w:t>
      </w:r>
      <w:r>
        <w:rPr>
          <w:sz w:val="21"/>
        </w:rPr>
        <w:t>or other </w:t>
      </w:r>
      <w:r>
        <w:rPr>
          <w:spacing w:val="-3"/>
          <w:sz w:val="21"/>
        </w:rPr>
        <w:t>issue, </w:t>
      </w:r>
      <w:r>
        <w:rPr>
          <w:sz w:val="21"/>
        </w:rPr>
        <w:t>parent(s), sibling(s),</w:t>
      </w:r>
      <w:r>
        <w:rPr>
          <w:spacing w:val="17"/>
          <w:sz w:val="21"/>
        </w:rPr>
        <w:t> </w:t>
      </w:r>
      <w:r>
        <w:rPr>
          <w:sz w:val="21"/>
        </w:rPr>
        <w:t>niece(s)</w:t>
      </w:r>
    </w:p>
    <w:p>
      <w:pPr>
        <w:pStyle w:val="BodyText"/>
        <w:spacing w:before="2"/>
        <w:ind w:left="2721"/>
      </w:pPr>
      <w:r>
        <w:rPr/>
        <w:t>or nephew(s), great-niece(s) or great-nephew(s) or other descendants of their siblings.</w:t>
      </w:r>
    </w:p>
    <w:p>
      <w:pPr>
        <w:pStyle w:val="ListParagraph"/>
        <w:numPr>
          <w:ilvl w:val="2"/>
          <w:numId w:val="22"/>
        </w:numPr>
        <w:tabs>
          <w:tab w:pos="2721" w:val="left" w:leader="none"/>
          <w:tab w:pos="2722" w:val="left" w:leader="none"/>
        </w:tabs>
        <w:spacing w:line="242" w:lineRule="auto" w:before="124" w:after="0"/>
        <w:ind w:left="2721" w:right="1874" w:hanging="340"/>
        <w:jc w:val="left"/>
        <w:rPr>
          <w:sz w:val="21"/>
        </w:rPr>
      </w:pPr>
      <w:r>
        <w:rPr>
          <w:sz w:val="21"/>
        </w:rPr>
        <w:t>Distribution would only be </w:t>
      </w:r>
      <w:r>
        <w:rPr>
          <w:spacing w:val="-3"/>
          <w:sz w:val="21"/>
        </w:rPr>
        <w:t>to </w:t>
      </w:r>
      <w:r>
        <w:rPr>
          <w:sz w:val="21"/>
        </w:rPr>
        <w:t>the deceased </w:t>
      </w:r>
      <w:r>
        <w:rPr>
          <w:spacing w:val="-3"/>
          <w:sz w:val="21"/>
        </w:rPr>
        <w:t>person’s </w:t>
      </w:r>
      <w:r>
        <w:rPr>
          <w:sz w:val="21"/>
        </w:rPr>
        <w:t>aunt(s) or uncle(s) —that is, </w:t>
      </w:r>
      <w:r>
        <w:rPr>
          <w:spacing w:val="-3"/>
          <w:sz w:val="21"/>
        </w:rPr>
        <w:t>siblings </w:t>
      </w:r>
      <w:r>
        <w:rPr>
          <w:sz w:val="21"/>
        </w:rPr>
        <w:t>of their parent(s)—if the deceased person was </w:t>
      </w:r>
      <w:r>
        <w:rPr>
          <w:spacing w:val="-2"/>
          <w:sz w:val="21"/>
        </w:rPr>
        <w:t>not </w:t>
      </w:r>
      <w:r>
        <w:rPr>
          <w:sz w:val="21"/>
        </w:rPr>
        <w:t>survived by </w:t>
      </w:r>
      <w:r>
        <w:rPr>
          <w:spacing w:val="-3"/>
          <w:sz w:val="21"/>
        </w:rPr>
        <w:t>any  children  </w:t>
      </w:r>
      <w:r>
        <w:rPr>
          <w:sz w:val="21"/>
        </w:rPr>
        <w:t>or other </w:t>
      </w:r>
      <w:r>
        <w:rPr>
          <w:spacing w:val="-3"/>
          <w:sz w:val="21"/>
        </w:rPr>
        <w:t>issue, </w:t>
      </w:r>
      <w:r>
        <w:rPr>
          <w:sz w:val="21"/>
        </w:rPr>
        <w:t>parent(s), sibling(s), niece(s) or nephew(s), great-niece(s) or </w:t>
      </w:r>
      <w:r>
        <w:rPr>
          <w:spacing w:val="-4"/>
          <w:sz w:val="21"/>
        </w:rPr>
        <w:t>great- </w:t>
      </w:r>
      <w:r>
        <w:rPr>
          <w:sz w:val="21"/>
        </w:rPr>
        <w:t>nephew(s) or other descendants of their </w:t>
      </w:r>
      <w:r>
        <w:rPr>
          <w:spacing w:val="-3"/>
          <w:sz w:val="21"/>
        </w:rPr>
        <w:t>siblings, </w:t>
      </w:r>
      <w:r>
        <w:rPr>
          <w:sz w:val="21"/>
        </w:rPr>
        <w:t>or grandparent(s). The deceased </w:t>
      </w:r>
      <w:r>
        <w:rPr>
          <w:spacing w:val="-3"/>
          <w:sz w:val="21"/>
        </w:rPr>
        <w:t>person’s  </w:t>
      </w:r>
      <w:r>
        <w:rPr>
          <w:sz w:val="21"/>
        </w:rPr>
        <w:t>first cousin(s) would </w:t>
      </w:r>
      <w:r>
        <w:rPr>
          <w:spacing w:val="-3"/>
          <w:sz w:val="21"/>
        </w:rPr>
        <w:t>take</w:t>
      </w:r>
      <w:r>
        <w:rPr>
          <w:spacing w:val="41"/>
          <w:sz w:val="21"/>
        </w:rPr>
        <w:t> </w:t>
      </w:r>
      <w:r>
        <w:rPr>
          <w:sz w:val="21"/>
        </w:rPr>
        <w:t>as representatives of their deceased parent(s), but there would be no </w:t>
      </w:r>
      <w:r>
        <w:rPr>
          <w:spacing w:val="-2"/>
          <w:sz w:val="21"/>
        </w:rPr>
        <w:t>distribution </w:t>
      </w:r>
      <w:r>
        <w:rPr>
          <w:spacing w:val="-3"/>
          <w:sz w:val="21"/>
        </w:rPr>
        <w:t>to children </w:t>
      </w:r>
      <w:r>
        <w:rPr>
          <w:sz w:val="21"/>
        </w:rPr>
        <w:t>or other issue of first cousin(s) if </w:t>
      </w:r>
      <w:r>
        <w:rPr>
          <w:spacing w:val="-3"/>
          <w:sz w:val="21"/>
        </w:rPr>
        <w:t>any </w:t>
      </w:r>
      <w:r>
        <w:rPr>
          <w:sz w:val="21"/>
        </w:rPr>
        <w:t>first cousin(s) did </w:t>
      </w:r>
      <w:r>
        <w:rPr>
          <w:spacing w:val="-2"/>
          <w:sz w:val="21"/>
        </w:rPr>
        <w:t>not </w:t>
      </w:r>
      <w:r>
        <w:rPr>
          <w:sz w:val="21"/>
        </w:rPr>
        <w:t>survive the deceased</w:t>
      </w:r>
      <w:r>
        <w:rPr>
          <w:spacing w:val="15"/>
          <w:sz w:val="21"/>
        </w:rPr>
        <w:t> </w:t>
      </w:r>
      <w:r>
        <w:rPr>
          <w:sz w:val="21"/>
        </w:rPr>
        <w:t>person.</w:t>
      </w:r>
    </w:p>
    <w:p>
      <w:pPr>
        <w:pStyle w:val="ListParagraph"/>
        <w:numPr>
          <w:ilvl w:val="2"/>
          <w:numId w:val="22"/>
        </w:numPr>
        <w:tabs>
          <w:tab w:pos="2721" w:val="left" w:leader="none"/>
          <w:tab w:pos="2722" w:val="left" w:leader="none"/>
        </w:tabs>
        <w:spacing w:line="242" w:lineRule="auto" w:before="127" w:after="0"/>
        <w:ind w:left="2721" w:right="2078" w:hanging="340"/>
        <w:jc w:val="left"/>
        <w:rPr>
          <w:sz w:val="21"/>
        </w:rPr>
      </w:pPr>
      <w:r>
        <w:rPr>
          <w:sz w:val="21"/>
        </w:rPr>
        <w:t>If the deceased person was </w:t>
      </w:r>
      <w:r>
        <w:rPr>
          <w:spacing w:val="-2"/>
          <w:sz w:val="21"/>
        </w:rPr>
        <w:t>not </w:t>
      </w:r>
      <w:r>
        <w:rPr>
          <w:sz w:val="21"/>
        </w:rPr>
        <w:t>survived by </w:t>
      </w:r>
      <w:r>
        <w:rPr>
          <w:spacing w:val="-3"/>
          <w:sz w:val="21"/>
        </w:rPr>
        <w:t>any children </w:t>
      </w:r>
      <w:r>
        <w:rPr>
          <w:sz w:val="21"/>
        </w:rPr>
        <w:t>or other </w:t>
      </w:r>
      <w:r>
        <w:rPr>
          <w:spacing w:val="-3"/>
          <w:sz w:val="21"/>
        </w:rPr>
        <w:t>issue, </w:t>
      </w:r>
      <w:r>
        <w:rPr>
          <w:sz w:val="21"/>
        </w:rPr>
        <w:t>parent(s), sibling(s), niece(s) or nephew(s), great-niece(s) or great-nephew(s) or other descendants of their </w:t>
      </w:r>
      <w:r>
        <w:rPr>
          <w:spacing w:val="-3"/>
          <w:sz w:val="21"/>
        </w:rPr>
        <w:t>siblings, </w:t>
      </w:r>
      <w:r>
        <w:rPr>
          <w:sz w:val="21"/>
        </w:rPr>
        <w:t>grandparent(s), aunt(s) or uncle(s) or first </w:t>
      </w:r>
      <w:r>
        <w:rPr>
          <w:spacing w:val="-3"/>
          <w:sz w:val="21"/>
        </w:rPr>
        <w:t>cousins,  </w:t>
      </w:r>
      <w:r>
        <w:rPr>
          <w:sz w:val="21"/>
        </w:rPr>
        <w:t>the estate would be </w:t>
      </w:r>
      <w:r>
        <w:rPr>
          <w:i/>
          <w:sz w:val="21"/>
        </w:rPr>
        <w:t>bona</w:t>
      </w:r>
      <w:r>
        <w:rPr>
          <w:i/>
          <w:spacing w:val="43"/>
          <w:sz w:val="21"/>
        </w:rPr>
        <w:t> </w:t>
      </w:r>
      <w:r>
        <w:rPr>
          <w:i/>
          <w:spacing w:val="-4"/>
          <w:sz w:val="21"/>
        </w:rPr>
        <w:t>vacantia</w:t>
      </w:r>
      <w:r>
        <w:rPr>
          <w:spacing w:val="-4"/>
          <w:sz w:val="21"/>
        </w:rPr>
        <w:t>.</w:t>
      </w:r>
    </w:p>
    <w:p>
      <w:pPr>
        <w:pStyle w:val="BodyText"/>
        <w:spacing w:before="10"/>
        <w:rPr>
          <w:sz w:val="18"/>
        </w:rPr>
      </w:pPr>
    </w:p>
    <w:p>
      <w:pPr>
        <w:pStyle w:val="Heading6"/>
        <w:spacing w:before="100"/>
      </w:pPr>
      <w:r>
        <w:rPr>
          <w:w w:val="120"/>
        </w:rPr>
        <w:t>Entitlements to take in more than one capacity</w:t>
      </w:r>
    </w:p>
    <w:p>
      <w:pPr>
        <w:pStyle w:val="ListParagraph"/>
        <w:numPr>
          <w:ilvl w:val="1"/>
          <w:numId w:val="22"/>
        </w:numPr>
        <w:tabs>
          <w:tab w:pos="2380" w:val="left" w:leader="none"/>
          <w:tab w:pos="2381" w:val="left" w:leader="none"/>
        </w:tabs>
        <w:spacing w:line="242" w:lineRule="auto" w:before="151" w:after="0"/>
        <w:ind w:left="2381" w:right="1963" w:hanging="794"/>
        <w:jc w:val="left"/>
        <w:rPr>
          <w:sz w:val="21"/>
        </w:rPr>
      </w:pPr>
      <w:r>
        <w:rPr>
          <w:w w:val="105"/>
          <w:sz w:val="21"/>
        </w:rPr>
        <w:t>The </w:t>
      </w:r>
      <w:r>
        <w:rPr>
          <w:spacing w:val="-3"/>
          <w:w w:val="105"/>
          <w:sz w:val="21"/>
        </w:rPr>
        <w:t>National Committee </w:t>
      </w:r>
      <w:r>
        <w:rPr>
          <w:w w:val="105"/>
          <w:sz w:val="21"/>
        </w:rPr>
        <w:t>also recommended </w:t>
      </w:r>
      <w:r>
        <w:rPr>
          <w:spacing w:val="-3"/>
          <w:w w:val="105"/>
          <w:sz w:val="21"/>
        </w:rPr>
        <w:t>that, </w:t>
      </w:r>
      <w:r>
        <w:rPr>
          <w:w w:val="105"/>
          <w:sz w:val="21"/>
        </w:rPr>
        <w:t>where a person is entitled </w:t>
      </w:r>
      <w:r>
        <w:rPr>
          <w:spacing w:val="-3"/>
          <w:w w:val="105"/>
          <w:sz w:val="21"/>
        </w:rPr>
        <w:t>to take </w:t>
      </w:r>
      <w:r>
        <w:rPr>
          <w:w w:val="105"/>
          <w:sz w:val="21"/>
        </w:rPr>
        <w:t>in</w:t>
      </w:r>
      <w:r>
        <w:rPr>
          <w:spacing w:val="-5"/>
          <w:w w:val="105"/>
          <w:sz w:val="21"/>
        </w:rPr>
        <w:t> </w:t>
      </w:r>
      <w:r>
        <w:rPr>
          <w:w w:val="105"/>
          <w:sz w:val="21"/>
        </w:rPr>
        <w:t>more</w:t>
      </w:r>
      <w:r>
        <w:rPr>
          <w:spacing w:val="-4"/>
          <w:w w:val="105"/>
          <w:sz w:val="21"/>
        </w:rPr>
        <w:t> </w:t>
      </w:r>
      <w:r>
        <w:rPr>
          <w:spacing w:val="-3"/>
          <w:w w:val="105"/>
          <w:sz w:val="21"/>
        </w:rPr>
        <w:t>than</w:t>
      </w:r>
      <w:r>
        <w:rPr>
          <w:spacing w:val="-4"/>
          <w:w w:val="105"/>
          <w:sz w:val="21"/>
        </w:rPr>
        <w:t> </w:t>
      </w:r>
      <w:r>
        <w:rPr>
          <w:w w:val="105"/>
          <w:sz w:val="21"/>
        </w:rPr>
        <w:t>one</w:t>
      </w:r>
      <w:r>
        <w:rPr>
          <w:spacing w:val="-4"/>
          <w:w w:val="105"/>
          <w:sz w:val="21"/>
        </w:rPr>
        <w:t> </w:t>
      </w:r>
      <w:r>
        <w:rPr>
          <w:w w:val="105"/>
          <w:sz w:val="21"/>
        </w:rPr>
        <w:t>capacity</w:t>
      </w:r>
      <w:r>
        <w:rPr>
          <w:spacing w:val="-5"/>
          <w:w w:val="105"/>
          <w:sz w:val="21"/>
        </w:rPr>
        <w:t> </w:t>
      </w:r>
      <w:r>
        <w:rPr>
          <w:w w:val="105"/>
          <w:sz w:val="21"/>
        </w:rPr>
        <w:t>on</w:t>
      </w:r>
      <w:r>
        <w:rPr>
          <w:spacing w:val="-4"/>
          <w:w w:val="105"/>
          <w:sz w:val="21"/>
        </w:rPr>
        <w:t> </w:t>
      </w:r>
      <w:r>
        <w:rPr>
          <w:spacing w:val="-3"/>
          <w:w w:val="105"/>
          <w:sz w:val="21"/>
        </w:rPr>
        <w:t>intestacy,</w:t>
      </w:r>
      <w:r>
        <w:rPr>
          <w:spacing w:val="-4"/>
          <w:w w:val="105"/>
          <w:sz w:val="21"/>
        </w:rPr>
        <w:t> </w:t>
      </w:r>
      <w:r>
        <w:rPr>
          <w:w w:val="105"/>
          <w:sz w:val="21"/>
        </w:rPr>
        <w:t>they</w:t>
      </w:r>
      <w:r>
        <w:rPr>
          <w:spacing w:val="-4"/>
          <w:w w:val="105"/>
          <w:sz w:val="21"/>
        </w:rPr>
        <w:t> </w:t>
      </w:r>
      <w:r>
        <w:rPr>
          <w:w w:val="105"/>
          <w:sz w:val="21"/>
        </w:rPr>
        <w:t>should</w:t>
      </w:r>
      <w:r>
        <w:rPr>
          <w:spacing w:val="-4"/>
          <w:w w:val="105"/>
          <w:sz w:val="21"/>
        </w:rPr>
        <w:t> </w:t>
      </w:r>
      <w:r>
        <w:rPr>
          <w:w w:val="105"/>
          <w:sz w:val="21"/>
        </w:rPr>
        <w:t>be</w:t>
      </w:r>
      <w:r>
        <w:rPr>
          <w:spacing w:val="-5"/>
          <w:w w:val="105"/>
          <w:sz w:val="21"/>
        </w:rPr>
        <w:t> </w:t>
      </w:r>
      <w:r>
        <w:rPr>
          <w:w w:val="105"/>
          <w:sz w:val="21"/>
        </w:rPr>
        <w:t>able</w:t>
      </w:r>
      <w:r>
        <w:rPr>
          <w:spacing w:val="-4"/>
          <w:w w:val="105"/>
          <w:sz w:val="21"/>
        </w:rPr>
        <w:t> </w:t>
      </w:r>
      <w:r>
        <w:rPr>
          <w:spacing w:val="-3"/>
          <w:w w:val="105"/>
          <w:sz w:val="21"/>
        </w:rPr>
        <w:t>to</w:t>
      </w:r>
      <w:r>
        <w:rPr>
          <w:spacing w:val="-4"/>
          <w:w w:val="105"/>
          <w:sz w:val="21"/>
        </w:rPr>
        <w:t> </w:t>
      </w:r>
      <w:r>
        <w:rPr>
          <w:spacing w:val="-3"/>
          <w:w w:val="105"/>
          <w:sz w:val="21"/>
        </w:rPr>
        <w:t>take</w:t>
      </w:r>
      <w:r>
        <w:rPr>
          <w:spacing w:val="-4"/>
          <w:w w:val="105"/>
          <w:sz w:val="21"/>
        </w:rPr>
        <w:t> </w:t>
      </w:r>
      <w:r>
        <w:rPr>
          <w:w w:val="105"/>
          <w:sz w:val="21"/>
        </w:rPr>
        <w:t>in</w:t>
      </w:r>
      <w:r>
        <w:rPr>
          <w:spacing w:val="-4"/>
          <w:w w:val="105"/>
          <w:sz w:val="21"/>
        </w:rPr>
        <w:t> </w:t>
      </w:r>
      <w:r>
        <w:rPr>
          <w:w w:val="105"/>
          <w:sz w:val="21"/>
        </w:rPr>
        <w:t>each</w:t>
      </w:r>
      <w:r>
        <w:rPr>
          <w:spacing w:val="-5"/>
          <w:w w:val="105"/>
          <w:sz w:val="21"/>
        </w:rPr>
        <w:t> </w:t>
      </w:r>
      <w:r>
        <w:rPr>
          <w:spacing w:val="-3"/>
          <w:w w:val="105"/>
          <w:sz w:val="21"/>
        </w:rPr>
        <w:t>capacity.</w:t>
      </w:r>
      <w:r>
        <w:rPr>
          <w:spacing w:val="-3"/>
          <w:w w:val="105"/>
          <w:position w:val="7"/>
          <w:sz w:val="12"/>
        </w:rPr>
        <w:t>45</w:t>
      </w:r>
      <w:r>
        <w:rPr>
          <w:spacing w:val="-3"/>
          <w:w w:val="105"/>
          <w:sz w:val="12"/>
        </w:rPr>
        <w:t> </w:t>
      </w:r>
      <w:r>
        <w:rPr>
          <w:w w:val="105"/>
          <w:sz w:val="21"/>
        </w:rPr>
        <w:t>This </w:t>
      </w:r>
      <w:r>
        <w:rPr>
          <w:spacing w:val="-3"/>
          <w:w w:val="105"/>
          <w:sz w:val="21"/>
        </w:rPr>
        <w:t>could </w:t>
      </w:r>
      <w:r>
        <w:rPr>
          <w:w w:val="105"/>
          <w:sz w:val="21"/>
        </w:rPr>
        <w:t>arise </w:t>
      </w:r>
      <w:r>
        <w:rPr>
          <w:spacing w:val="-3"/>
          <w:w w:val="105"/>
          <w:sz w:val="21"/>
        </w:rPr>
        <w:t>where, for</w:t>
      </w:r>
      <w:r>
        <w:rPr>
          <w:spacing w:val="29"/>
          <w:w w:val="105"/>
          <w:sz w:val="21"/>
        </w:rPr>
        <w:t> </w:t>
      </w:r>
      <w:r>
        <w:rPr>
          <w:w w:val="105"/>
          <w:sz w:val="21"/>
        </w:rPr>
        <w:t>example:</w:t>
      </w:r>
    </w:p>
    <w:p>
      <w:pPr>
        <w:pStyle w:val="ListParagraph"/>
        <w:numPr>
          <w:ilvl w:val="2"/>
          <w:numId w:val="22"/>
        </w:numPr>
        <w:tabs>
          <w:tab w:pos="2721" w:val="left" w:leader="none"/>
          <w:tab w:pos="2722" w:val="left" w:leader="none"/>
        </w:tabs>
        <w:spacing w:line="242" w:lineRule="auto" w:before="123" w:after="0"/>
        <w:ind w:left="2721" w:right="1823" w:hanging="340"/>
        <w:jc w:val="left"/>
        <w:rPr>
          <w:sz w:val="21"/>
        </w:rPr>
      </w:pPr>
      <w:r>
        <w:rPr>
          <w:sz w:val="21"/>
        </w:rPr>
        <w:t>The deceased </w:t>
      </w:r>
      <w:r>
        <w:rPr>
          <w:spacing w:val="-3"/>
          <w:sz w:val="21"/>
        </w:rPr>
        <w:t>person’s parents’ </w:t>
      </w:r>
      <w:r>
        <w:rPr>
          <w:sz w:val="21"/>
        </w:rPr>
        <w:t>respective </w:t>
      </w:r>
      <w:r>
        <w:rPr>
          <w:spacing w:val="-3"/>
          <w:sz w:val="21"/>
        </w:rPr>
        <w:t>siblings </w:t>
      </w:r>
      <w:r>
        <w:rPr>
          <w:sz w:val="21"/>
        </w:rPr>
        <w:t>marry one </w:t>
      </w:r>
      <w:r>
        <w:rPr>
          <w:spacing w:val="-3"/>
          <w:sz w:val="21"/>
        </w:rPr>
        <w:t>another </w:t>
      </w:r>
      <w:r>
        <w:rPr>
          <w:sz w:val="21"/>
        </w:rPr>
        <w:t>and </w:t>
      </w:r>
      <w:r>
        <w:rPr>
          <w:spacing w:val="-3"/>
          <w:sz w:val="21"/>
        </w:rPr>
        <w:t>have </w:t>
      </w:r>
      <w:r>
        <w:rPr>
          <w:sz w:val="21"/>
        </w:rPr>
        <w:t>children—for </w:t>
      </w:r>
      <w:r>
        <w:rPr>
          <w:spacing w:val="-3"/>
          <w:sz w:val="21"/>
        </w:rPr>
        <w:t>example, </w:t>
      </w:r>
      <w:r>
        <w:rPr>
          <w:sz w:val="21"/>
        </w:rPr>
        <w:t>where the deceased </w:t>
      </w:r>
      <w:r>
        <w:rPr>
          <w:spacing w:val="-3"/>
          <w:sz w:val="21"/>
        </w:rPr>
        <w:t>person’s mother’s </w:t>
      </w:r>
      <w:r>
        <w:rPr>
          <w:sz w:val="21"/>
        </w:rPr>
        <w:t>sister (the deceased </w:t>
      </w:r>
      <w:r>
        <w:rPr>
          <w:spacing w:val="-3"/>
          <w:sz w:val="21"/>
        </w:rPr>
        <w:t>person’s maternal aunt) </w:t>
      </w:r>
      <w:r>
        <w:rPr>
          <w:sz w:val="21"/>
        </w:rPr>
        <w:t>and </w:t>
      </w:r>
      <w:r>
        <w:rPr>
          <w:spacing w:val="-3"/>
          <w:sz w:val="21"/>
        </w:rPr>
        <w:t>father’s brother </w:t>
      </w:r>
      <w:r>
        <w:rPr>
          <w:sz w:val="21"/>
        </w:rPr>
        <w:t>(paternal uncle) marry and </w:t>
      </w:r>
      <w:r>
        <w:rPr>
          <w:spacing w:val="-3"/>
          <w:sz w:val="21"/>
        </w:rPr>
        <w:t>have </w:t>
      </w:r>
      <w:r>
        <w:rPr>
          <w:sz w:val="21"/>
        </w:rPr>
        <w:t>a </w:t>
      </w:r>
      <w:r>
        <w:rPr>
          <w:spacing w:val="-3"/>
          <w:sz w:val="21"/>
        </w:rPr>
        <w:t>child </w:t>
      </w:r>
      <w:r>
        <w:rPr>
          <w:sz w:val="21"/>
        </w:rPr>
        <w:t>(the deceased </w:t>
      </w:r>
      <w:r>
        <w:rPr>
          <w:spacing w:val="-3"/>
          <w:sz w:val="21"/>
        </w:rPr>
        <w:t>person’s </w:t>
      </w:r>
      <w:r>
        <w:rPr>
          <w:sz w:val="21"/>
        </w:rPr>
        <w:t>first cousin). If the deceased </w:t>
      </w:r>
      <w:r>
        <w:rPr>
          <w:spacing w:val="-3"/>
          <w:sz w:val="21"/>
        </w:rPr>
        <w:t>person’s </w:t>
      </w:r>
      <w:r>
        <w:rPr>
          <w:sz w:val="21"/>
        </w:rPr>
        <w:t>married </w:t>
      </w:r>
      <w:r>
        <w:rPr>
          <w:spacing w:val="-3"/>
          <w:sz w:val="21"/>
        </w:rPr>
        <w:t>maternal aunt </w:t>
      </w:r>
      <w:r>
        <w:rPr>
          <w:sz w:val="21"/>
        </w:rPr>
        <w:t>and </w:t>
      </w:r>
      <w:r>
        <w:rPr>
          <w:spacing w:val="-3"/>
          <w:sz w:val="21"/>
        </w:rPr>
        <w:t>paternal </w:t>
      </w:r>
      <w:r>
        <w:rPr>
          <w:sz w:val="21"/>
        </w:rPr>
        <w:t>uncle both </w:t>
      </w:r>
      <w:r>
        <w:rPr>
          <w:spacing w:val="-4"/>
          <w:sz w:val="21"/>
        </w:rPr>
        <w:t>fail </w:t>
      </w:r>
      <w:r>
        <w:rPr>
          <w:spacing w:val="-3"/>
          <w:sz w:val="21"/>
        </w:rPr>
        <w:t>to </w:t>
      </w:r>
      <w:r>
        <w:rPr>
          <w:sz w:val="21"/>
        </w:rPr>
        <w:t>survive the deceased person, the deceased </w:t>
      </w:r>
      <w:r>
        <w:rPr>
          <w:spacing w:val="-3"/>
          <w:sz w:val="21"/>
        </w:rPr>
        <w:t>person’s </w:t>
      </w:r>
      <w:r>
        <w:rPr>
          <w:sz w:val="21"/>
        </w:rPr>
        <w:t>first </w:t>
      </w:r>
      <w:r>
        <w:rPr>
          <w:spacing w:val="-3"/>
          <w:sz w:val="21"/>
        </w:rPr>
        <w:t>cousin </w:t>
      </w:r>
      <w:r>
        <w:rPr>
          <w:sz w:val="21"/>
        </w:rPr>
        <w:t>would be entitled </w:t>
      </w:r>
      <w:r>
        <w:rPr>
          <w:spacing w:val="-3"/>
          <w:sz w:val="21"/>
        </w:rPr>
        <w:t>to take </w:t>
      </w:r>
      <w:r>
        <w:rPr>
          <w:sz w:val="21"/>
        </w:rPr>
        <w:t>both their deceased </w:t>
      </w:r>
      <w:r>
        <w:rPr>
          <w:spacing w:val="-3"/>
          <w:sz w:val="21"/>
        </w:rPr>
        <w:t>mother’s share </w:t>
      </w:r>
      <w:r>
        <w:rPr>
          <w:sz w:val="21"/>
        </w:rPr>
        <w:t>and their deceased </w:t>
      </w:r>
      <w:r>
        <w:rPr>
          <w:spacing w:val="-3"/>
          <w:sz w:val="21"/>
        </w:rPr>
        <w:t>father’s</w:t>
      </w:r>
      <w:r>
        <w:rPr>
          <w:spacing w:val="16"/>
          <w:sz w:val="21"/>
        </w:rPr>
        <w:t> </w:t>
      </w:r>
      <w:r>
        <w:rPr>
          <w:spacing w:val="-4"/>
          <w:sz w:val="21"/>
        </w:rPr>
        <w:t>share.</w:t>
      </w:r>
    </w:p>
    <w:p>
      <w:pPr>
        <w:pStyle w:val="BodyText"/>
        <w:spacing w:before="2"/>
        <w:rPr>
          <w:sz w:val="12"/>
        </w:rPr>
      </w:pPr>
      <w:r>
        <w:rPr/>
        <w:pict>
          <v:line style="position:absolute;mso-position-horizontal-relative:page;mso-position-vertical-relative:paragraph;z-index:3584;mso-wrap-distance-left:0;mso-wrap-distance-right:0" from="79.370102pt,9.904628pt" to="515.905102pt,9.904628pt" stroked="true" strokeweight="1pt" strokecolor="#f9ceca">
            <v:stroke dashstyle="solid"/>
            <w10:wrap type="topAndBottom"/>
          </v:line>
        </w:pict>
      </w:r>
    </w:p>
    <w:p>
      <w:pPr>
        <w:tabs>
          <w:tab w:pos="1587" w:val="left" w:leader="none"/>
          <w:tab w:pos="2380" w:val="left" w:leader="none"/>
        </w:tabs>
        <w:spacing w:before="27"/>
        <w:ind w:left="720" w:right="0" w:firstLine="0"/>
        <w:jc w:val="left"/>
        <w:rPr>
          <w:sz w:val="13"/>
        </w:rPr>
      </w:pPr>
      <w:r>
        <w:rPr>
          <w:b/>
          <w:color w:val="EC5A4F"/>
          <w:w w:val="105"/>
          <w:sz w:val="24"/>
        </w:rPr>
        <w:t>62</w:t>
        <w:tab/>
      </w:r>
      <w:r>
        <w:rPr>
          <w:w w:val="105"/>
          <w:position w:val="1"/>
          <w:sz w:val="13"/>
        </w:rPr>
        <w:t>45</w:t>
        <w:tab/>
        <w:t>National</w:t>
      </w:r>
      <w:r>
        <w:rPr>
          <w:spacing w:val="5"/>
          <w:w w:val="105"/>
          <w:position w:val="1"/>
          <w:sz w:val="13"/>
        </w:rPr>
        <w:t> </w:t>
      </w:r>
      <w:r>
        <w:rPr>
          <w:w w:val="105"/>
          <w:position w:val="1"/>
          <w:sz w:val="13"/>
        </w:rPr>
        <w:t>Committee</w:t>
      </w:r>
      <w:r>
        <w:rPr>
          <w:spacing w:val="5"/>
          <w:w w:val="105"/>
          <w:position w:val="1"/>
          <w:sz w:val="13"/>
        </w:rPr>
        <w:t> </w:t>
      </w:r>
      <w:r>
        <w:rPr>
          <w:w w:val="105"/>
          <w:position w:val="1"/>
          <w:sz w:val="13"/>
        </w:rPr>
        <w:t>for</w:t>
      </w:r>
      <w:r>
        <w:rPr>
          <w:spacing w:val="5"/>
          <w:w w:val="105"/>
          <w:position w:val="1"/>
          <w:sz w:val="13"/>
        </w:rPr>
        <w:t> </w:t>
      </w:r>
      <w:r>
        <w:rPr>
          <w:w w:val="105"/>
          <w:position w:val="1"/>
          <w:sz w:val="13"/>
        </w:rPr>
        <w:t>Uniform</w:t>
      </w:r>
      <w:r>
        <w:rPr>
          <w:spacing w:val="6"/>
          <w:w w:val="105"/>
          <w:position w:val="1"/>
          <w:sz w:val="13"/>
        </w:rPr>
        <w:t> </w:t>
      </w:r>
      <w:r>
        <w:rPr>
          <w:w w:val="105"/>
          <w:position w:val="1"/>
          <w:sz w:val="13"/>
        </w:rPr>
        <w:t>Succession</w:t>
      </w:r>
      <w:r>
        <w:rPr>
          <w:spacing w:val="5"/>
          <w:w w:val="105"/>
          <w:position w:val="1"/>
          <w:sz w:val="13"/>
        </w:rPr>
        <w:t> </w:t>
      </w:r>
      <w:r>
        <w:rPr>
          <w:w w:val="105"/>
          <w:position w:val="1"/>
          <w:sz w:val="13"/>
        </w:rPr>
        <w:t>Laws,</w:t>
      </w:r>
      <w:r>
        <w:rPr>
          <w:spacing w:val="5"/>
          <w:w w:val="105"/>
          <w:position w:val="1"/>
          <w:sz w:val="13"/>
        </w:rPr>
        <w:t> </w:t>
      </w:r>
      <w:r>
        <w:rPr>
          <w:w w:val="105"/>
          <w:position w:val="1"/>
          <w:sz w:val="13"/>
        </w:rPr>
        <w:t>above</w:t>
      </w:r>
      <w:r>
        <w:rPr>
          <w:spacing w:val="6"/>
          <w:w w:val="105"/>
          <w:position w:val="1"/>
          <w:sz w:val="13"/>
        </w:rPr>
        <w:t> </w:t>
      </w:r>
      <w:r>
        <w:rPr>
          <w:w w:val="105"/>
          <w:position w:val="1"/>
          <w:sz w:val="13"/>
        </w:rPr>
        <w:t>n</w:t>
      </w:r>
      <w:r>
        <w:rPr>
          <w:spacing w:val="5"/>
          <w:w w:val="105"/>
          <w:position w:val="1"/>
          <w:sz w:val="13"/>
        </w:rPr>
        <w:t> </w:t>
      </w:r>
      <w:r>
        <w:rPr>
          <w:w w:val="105"/>
          <w:position w:val="1"/>
          <w:sz w:val="13"/>
        </w:rPr>
        <w:t>10,</w:t>
      </w:r>
      <w:r>
        <w:rPr>
          <w:spacing w:val="5"/>
          <w:w w:val="105"/>
          <w:position w:val="1"/>
          <w:sz w:val="13"/>
        </w:rPr>
        <w:t> </w:t>
      </w:r>
      <w:r>
        <w:rPr>
          <w:spacing w:val="-5"/>
          <w:w w:val="105"/>
          <w:position w:val="1"/>
          <w:sz w:val="13"/>
        </w:rPr>
        <w:t>151</w:t>
      </w:r>
      <w:r>
        <w:rPr>
          <w:spacing w:val="5"/>
          <w:w w:val="105"/>
          <w:position w:val="1"/>
          <w:sz w:val="13"/>
        </w:rPr>
        <w:t> </w:t>
      </w:r>
      <w:r>
        <w:rPr>
          <w:w w:val="105"/>
          <w:position w:val="1"/>
          <w:sz w:val="13"/>
        </w:rPr>
        <w:t>recommendation</w:t>
      </w:r>
      <w:r>
        <w:rPr>
          <w:spacing w:val="6"/>
          <w:w w:val="105"/>
          <w:position w:val="1"/>
          <w:sz w:val="13"/>
        </w:rPr>
        <w:t> </w:t>
      </w:r>
      <w:r>
        <w:rPr>
          <w:w w:val="105"/>
          <w:position w:val="1"/>
          <w:sz w:val="13"/>
        </w:rPr>
        <w:t>29,</w:t>
      </w:r>
      <w:r>
        <w:rPr>
          <w:spacing w:val="5"/>
          <w:w w:val="105"/>
          <w:position w:val="1"/>
          <w:sz w:val="13"/>
        </w:rPr>
        <w:t> </w:t>
      </w:r>
      <w:r>
        <w:rPr>
          <w:w w:val="105"/>
          <w:position w:val="1"/>
          <w:sz w:val="13"/>
        </w:rPr>
        <w:t>Draft</w:t>
      </w:r>
      <w:r>
        <w:rPr>
          <w:spacing w:val="5"/>
          <w:w w:val="105"/>
          <w:position w:val="1"/>
          <w:sz w:val="13"/>
        </w:rPr>
        <w:t> </w:t>
      </w:r>
      <w:r>
        <w:rPr>
          <w:w w:val="105"/>
          <w:position w:val="1"/>
          <w:sz w:val="13"/>
        </w:rPr>
        <w:t>Intestacy</w:t>
      </w:r>
      <w:r>
        <w:rPr>
          <w:spacing w:val="6"/>
          <w:w w:val="105"/>
          <w:position w:val="1"/>
          <w:sz w:val="13"/>
        </w:rPr>
        <w:t> </w:t>
      </w:r>
      <w:r>
        <w:rPr>
          <w:w w:val="105"/>
          <w:position w:val="1"/>
          <w:sz w:val="13"/>
        </w:rPr>
        <w:t>Bill</w:t>
      </w:r>
      <w:r>
        <w:rPr>
          <w:spacing w:val="5"/>
          <w:w w:val="105"/>
          <w:position w:val="1"/>
          <w:sz w:val="13"/>
        </w:rPr>
        <w:t> </w:t>
      </w:r>
      <w:r>
        <w:rPr>
          <w:w w:val="105"/>
          <w:position w:val="1"/>
          <w:sz w:val="13"/>
        </w:rPr>
        <w:t>2006</w:t>
      </w:r>
      <w:r>
        <w:rPr>
          <w:spacing w:val="5"/>
          <w:w w:val="105"/>
          <w:position w:val="1"/>
          <w:sz w:val="13"/>
        </w:rPr>
        <w:t> </w:t>
      </w:r>
      <w:r>
        <w:rPr>
          <w:w w:val="105"/>
          <w:position w:val="1"/>
          <w:sz w:val="13"/>
        </w:rPr>
        <w:t>cl</w:t>
      </w:r>
      <w:r>
        <w:rPr>
          <w:spacing w:val="5"/>
          <w:w w:val="105"/>
          <w:position w:val="1"/>
          <w:sz w:val="13"/>
        </w:rPr>
        <w:t> </w:t>
      </w:r>
      <w:r>
        <w:rPr>
          <w:w w:val="105"/>
          <w:position w:val="1"/>
          <w:sz w:val="13"/>
        </w:rPr>
        <w:t>33.</w:t>
      </w:r>
    </w:p>
    <w:p>
      <w:pPr>
        <w:spacing w:after="0"/>
        <w:jc w:val="left"/>
        <w:rPr>
          <w:sz w:val="13"/>
        </w:rPr>
        <w:sectPr>
          <w:pgSz w:w="11910" w:h="16840"/>
          <w:pgMar w:header="550" w:footer="0" w:top="1560" w:bottom="280" w:left="0" w:right="0"/>
        </w:sectPr>
      </w:pPr>
    </w:p>
    <w:p>
      <w:pPr>
        <w:pStyle w:val="BodyText"/>
        <w:rPr>
          <w:sz w:val="20"/>
        </w:rPr>
      </w:pPr>
    </w:p>
    <w:p>
      <w:pPr>
        <w:pStyle w:val="BodyText"/>
        <w:rPr>
          <w:sz w:val="19"/>
        </w:rPr>
      </w:pPr>
    </w:p>
    <w:p>
      <w:pPr>
        <w:pStyle w:val="ListParagraph"/>
        <w:numPr>
          <w:ilvl w:val="0"/>
          <w:numId w:val="53"/>
        </w:numPr>
        <w:tabs>
          <w:tab w:pos="2721" w:val="left" w:leader="none"/>
          <w:tab w:pos="2722" w:val="left" w:leader="none"/>
        </w:tabs>
        <w:spacing w:line="242" w:lineRule="auto" w:before="91" w:after="0"/>
        <w:ind w:left="2721" w:right="2015" w:hanging="340"/>
        <w:jc w:val="left"/>
        <w:rPr>
          <w:sz w:val="21"/>
        </w:rPr>
      </w:pPr>
      <w:bookmarkStart w:name="Survivorship" w:id="55"/>
      <w:bookmarkEnd w:id="55"/>
      <w:r>
        <w:rPr/>
      </w:r>
      <w:bookmarkStart w:name="Survivorship" w:id="56"/>
      <w:bookmarkEnd w:id="56"/>
      <w:r>
        <w:rPr>
          <w:sz w:val="21"/>
        </w:rPr>
        <w:t>T</w:t>
      </w:r>
      <w:r>
        <w:rPr>
          <w:sz w:val="21"/>
        </w:rPr>
        <w:t>he deceased </w:t>
      </w:r>
      <w:r>
        <w:rPr>
          <w:spacing w:val="-3"/>
          <w:sz w:val="21"/>
        </w:rPr>
        <w:t>person’s siblings’ </w:t>
      </w:r>
      <w:r>
        <w:rPr>
          <w:sz w:val="21"/>
        </w:rPr>
        <w:t>respective </w:t>
      </w:r>
      <w:r>
        <w:rPr>
          <w:spacing w:val="-3"/>
          <w:sz w:val="21"/>
        </w:rPr>
        <w:t>children </w:t>
      </w:r>
      <w:r>
        <w:rPr>
          <w:sz w:val="21"/>
        </w:rPr>
        <w:t>(the deceased </w:t>
      </w:r>
      <w:r>
        <w:rPr>
          <w:spacing w:val="-3"/>
          <w:sz w:val="21"/>
        </w:rPr>
        <w:t>person’s </w:t>
      </w:r>
      <w:r>
        <w:rPr>
          <w:sz w:val="21"/>
        </w:rPr>
        <w:t>nieces and nephews) marry one </w:t>
      </w:r>
      <w:r>
        <w:rPr>
          <w:spacing w:val="-3"/>
          <w:sz w:val="21"/>
        </w:rPr>
        <w:t>another </w:t>
      </w:r>
      <w:r>
        <w:rPr>
          <w:sz w:val="21"/>
        </w:rPr>
        <w:t>as first </w:t>
      </w:r>
      <w:r>
        <w:rPr>
          <w:spacing w:val="-3"/>
          <w:sz w:val="21"/>
        </w:rPr>
        <w:t>cousins </w:t>
      </w:r>
      <w:r>
        <w:rPr>
          <w:sz w:val="21"/>
        </w:rPr>
        <w:t>and </w:t>
      </w:r>
      <w:r>
        <w:rPr>
          <w:spacing w:val="-3"/>
          <w:sz w:val="21"/>
        </w:rPr>
        <w:t>have children </w:t>
      </w:r>
      <w:r>
        <w:rPr>
          <w:sz w:val="21"/>
        </w:rPr>
        <w:t>(the</w:t>
      </w:r>
      <w:r>
        <w:rPr>
          <w:spacing w:val="10"/>
          <w:sz w:val="21"/>
        </w:rPr>
        <w:t> </w:t>
      </w:r>
      <w:r>
        <w:rPr>
          <w:sz w:val="21"/>
        </w:rPr>
        <w:t>deceased</w:t>
      </w:r>
    </w:p>
    <w:p>
      <w:pPr>
        <w:pStyle w:val="BodyText"/>
        <w:spacing w:line="242" w:lineRule="auto" w:before="2"/>
        <w:ind w:left="2721" w:right="1532"/>
      </w:pPr>
      <w:r>
        <w:rPr>
          <w:spacing w:val="-3"/>
          <w:w w:val="105"/>
        </w:rPr>
        <w:t>person’s great-nieces </w:t>
      </w:r>
      <w:r>
        <w:rPr>
          <w:w w:val="105"/>
        </w:rPr>
        <w:t>and great-nephews). If the deceased </w:t>
      </w:r>
      <w:r>
        <w:rPr>
          <w:spacing w:val="-3"/>
          <w:w w:val="105"/>
        </w:rPr>
        <w:t>person’s </w:t>
      </w:r>
      <w:r>
        <w:rPr>
          <w:w w:val="105"/>
        </w:rPr>
        <w:t>married niece and nephew both </w:t>
      </w:r>
      <w:r>
        <w:rPr>
          <w:spacing w:val="-4"/>
          <w:w w:val="105"/>
        </w:rPr>
        <w:t>fail </w:t>
      </w:r>
      <w:r>
        <w:rPr>
          <w:spacing w:val="-3"/>
          <w:w w:val="105"/>
        </w:rPr>
        <w:t>to </w:t>
      </w:r>
      <w:r>
        <w:rPr>
          <w:w w:val="105"/>
        </w:rPr>
        <w:t>survive the deceased person, the deceased </w:t>
      </w:r>
      <w:r>
        <w:rPr>
          <w:spacing w:val="-3"/>
          <w:w w:val="105"/>
        </w:rPr>
        <w:t>person’s great-nieces </w:t>
      </w:r>
      <w:r>
        <w:rPr>
          <w:w w:val="105"/>
        </w:rPr>
        <w:t>and </w:t>
      </w:r>
      <w:r>
        <w:rPr>
          <w:spacing w:val="-3"/>
          <w:w w:val="105"/>
        </w:rPr>
        <w:t>great-nephews </w:t>
      </w:r>
      <w:r>
        <w:rPr>
          <w:w w:val="105"/>
        </w:rPr>
        <w:t>would be entitled </w:t>
      </w:r>
      <w:r>
        <w:rPr>
          <w:spacing w:val="-3"/>
          <w:w w:val="105"/>
        </w:rPr>
        <w:t>to take </w:t>
      </w:r>
      <w:r>
        <w:rPr>
          <w:w w:val="105"/>
        </w:rPr>
        <w:t>both their deceased </w:t>
      </w:r>
      <w:r>
        <w:rPr>
          <w:spacing w:val="-3"/>
          <w:w w:val="105"/>
        </w:rPr>
        <w:t>mother’s share </w:t>
      </w:r>
      <w:r>
        <w:rPr>
          <w:w w:val="105"/>
        </w:rPr>
        <w:t>and their deceased </w:t>
      </w:r>
      <w:r>
        <w:rPr>
          <w:spacing w:val="-3"/>
          <w:w w:val="105"/>
        </w:rPr>
        <w:t>father’s </w:t>
      </w:r>
      <w:r>
        <w:rPr>
          <w:spacing w:val="-4"/>
          <w:w w:val="105"/>
        </w:rPr>
        <w:t>share.</w:t>
      </w:r>
    </w:p>
    <w:p>
      <w:pPr>
        <w:pStyle w:val="ListParagraph"/>
        <w:numPr>
          <w:ilvl w:val="1"/>
          <w:numId w:val="22"/>
        </w:numPr>
        <w:tabs>
          <w:tab w:pos="2381" w:val="left" w:leader="none"/>
          <w:tab w:pos="2382" w:val="left" w:leader="none"/>
        </w:tabs>
        <w:spacing w:line="242" w:lineRule="auto" w:before="125" w:after="0"/>
        <w:ind w:left="2381" w:right="1657" w:hanging="794"/>
        <w:jc w:val="left"/>
        <w:rPr>
          <w:sz w:val="21"/>
        </w:rPr>
      </w:pPr>
      <w:r>
        <w:rPr>
          <w:w w:val="105"/>
          <w:sz w:val="21"/>
        </w:rPr>
        <w:t>The </w:t>
      </w:r>
      <w:r>
        <w:rPr>
          <w:spacing w:val="-3"/>
          <w:w w:val="105"/>
          <w:sz w:val="21"/>
        </w:rPr>
        <w:t>Commission </w:t>
      </w:r>
      <w:r>
        <w:rPr>
          <w:w w:val="105"/>
          <w:sz w:val="21"/>
        </w:rPr>
        <w:t>considers </w:t>
      </w:r>
      <w:r>
        <w:rPr>
          <w:spacing w:val="-3"/>
          <w:w w:val="105"/>
          <w:sz w:val="21"/>
        </w:rPr>
        <w:t>that, </w:t>
      </w:r>
      <w:r>
        <w:rPr>
          <w:w w:val="105"/>
          <w:sz w:val="21"/>
        </w:rPr>
        <w:t>as recommended by the </w:t>
      </w:r>
      <w:r>
        <w:rPr>
          <w:spacing w:val="-3"/>
          <w:w w:val="105"/>
          <w:sz w:val="21"/>
        </w:rPr>
        <w:t>National Committee, </w:t>
      </w:r>
      <w:r>
        <w:rPr>
          <w:w w:val="105"/>
          <w:sz w:val="21"/>
        </w:rPr>
        <w:t>next of </w:t>
      </w:r>
      <w:r>
        <w:rPr>
          <w:spacing w:val="-2"/>
          <w:w w:val="105"/>
          <w:sz w:val="21"/>
        </w:rPr>
        <w:t>kin </w:t>
      </w:r>
      <w:r>
        <w:rPr>
          <w:w w:val="105"/>
          <w:sz w:val="21"/>
        </w:rPr>
        <w:t>who </w:t>
      </w:r>
      <w:r>
        <w:rPr>
          <w:spacing w:val="-3"/>
          <w:w w:val="105"/>
          <w:sz w:val="21"/>
        </w:rPr>
        <w:t>are </w:t>
      </w:r>
      <w:r>
        <w:rPr>
          <w:w w:val="105"/>
          <w:sz w:val="21"/>
        </w:rPr>
        <w:t>entitled </w:t>
      </w:r>
      <w:r>
        <w:rPr>
          <w:spacing w:val="-3"/>
          <w:w w:val="105"/>
          <w:sz w:val="21"/>
        </w:rPr>
        <w:t>to take </w:t>
      </w:r>
      <w:r>
        <w:rPr>
          <w:w w:val="105"/>
          <w:sz w:val="21"/>
        </w:rPr>
        <w:t>on intestacy in more </w:t>
      </w:r>
      <w:r>
        <w:rPr>
          <w:spacing w:val="-3"/>
          <w:w w:val="105"/>
          <w:sz w:val="21"/>
        </w:rPr>
        <w:t>than </w:t>
      </w:r>
      <w:r>
        <w:rPr>
          <w:w w:val="105"/>
          <w:sz w:val="21"/>
        </w:rPr>
        <w:t>one capacity should be permitted </w:t>
      </w:r>
      <w:r>
        <w:rPr>
          <w:spacing w:val="-3"/>
          <w:w w:val="105"/>
          <w:sz w:val="21"/>
        </w:rPr>
        <w:t>to take </w:t>
      </w:r>
      <w:r>
        <w:rPr>
          <w:w w:val="105"/>
          <w:sz w:val="21"/>
        </w:rPr>
        <w:t>in each capacity in which they </w:t>
      </w:r>
      <w:r>
        <w:rPr>
          <w:spacing w:val="-3"/>
          <w:w w:val="105"/>
          <w:sz w:val="21"/>
        </w:rPr>
        <w:t>are</w:t>
      </w:r>
      <w:r>
        <w:rPr>
          <w:spacing w:val="36"/>
          <w:w w:val="105"/>
          <w:sz w:val="21"/>
        </w:rPr>
        <w:t> </w:t>
      </w:r>
      <w:r>
        <w:rPr>
          <w:spacing w:val="-3"/>
          <w:w w:val="105"/>
          <w:sz w:val="21"/>
        </w:rPr>
        <w:t>entitled.</w:t>
      </w:r>
    </w:p>
    <w:p>
      <w:pPr>
        <w:pStyle w:val="BodyText"/>
        <w:spacing w:before="2"/>
        <w:rPr>
          <w:sz w:val="16"/>
        </w:rPr>
      </w:pPr>
      <w:r>
        <w:rPr/>
        <w:pict>
          <v:group style="position:absolute;margin-left:62.362202pt;margin-top:11.863879pt;width:479.1pt;height:83.55pt;mso-position-horizontal-relative:page;mso-position-vertical-relative:paragraph;z-index:3680;mso-wrap-distance-left:0;mso-wrap-distance-right:0" coordorigin="1247,237" coordsize="9582,1671">
            <v:rect style="position:absolute;left:1587;top:237;width:8731;height:1671" filled="true" fillcolor="#fdebea" stroked="false">
              <v:fill type="solid"/>
            </v:rect>
            <v:line style="position:absolute" from="1247,988" to="10828,988" stroked="true" strokeweight="2.5pt" strokecolor="#ffffff">
              <v:stroke dashstyle="solid"/>
            </v:line>
            <v:shape style="position:absolute;left:2381;top:1225;width:7382;height:509" type="#_x0000_t202" filled="false" stroked="false">
              <v:textbox inset="0,0,0,0">
                <w:txbxContent>
                  <w:p>
                    <w:pPr>
                      <w:spacing w:line="242" w:lineRule="auto" w:before="0"/>
                      <w:ind w:left="0" w:right="0" w:firstLine="0"/>
                      <w:jc w:val="left"/>
                      <w:rPr>
                        <w:sz w:val="21"/>
                      </w:rPr>
                    </w:pPr>
                    <w:r>
                      <w:rPr>
                        <w:w w:val="115"/>
                        <w:sz w:val="21"/>
                      </w:rPr>
                      <w:t>Persons</w:t>
                    </w:r>
                    <w:r>
                      <w:rPr>
                        <w:spacing w:val="-10"/>
                        <w:w w:val="115"/>
                        <w:sz w:val="21"/>
                      </w:rPr>
                      <w:t> </w:t>
                    </w:r>
                    <w:r>
                      <w:rPr>
                        <w:w w:val="115"/>
                        <w:sz w:val="21"/>
                      </w:rPr>
                      <w:t>entitled</w:t>
                    </w:r>
                    <w:r>
                      <w:rPr>
                        <w:spacing w:val="-9"/>
                        <w:w w:val="115"/>
                        <w:sz w:val="21"/>
                      </w:rPr>
                      <w:t> </w:t>
                    </w:r>
                    <w:r>
                      <w:rPr>
                        <w:w w:val="115"/>
                        <w:sz w:val="21"/>
                      </w:rPr>
                      <w:t>to</w:t>
                    </w:r>
                    <w:r>
                      <w:rPr>
                        <w:spacing w:val="-9"/>
                        <w:w w:val="115"/>
                        <w:sz w:val="21"/>
                      </w:rPr>
                      <w:t> </w:t>
                    </w:r>
                    <w:r>
                      <w:rPr>
                        <w:w w:val="115"/>
                        <w:sz w:val="21"/>
                      </w:rPr>
                      <w:t>inherit</w:t>
                    </w:r>
                    <w:r>
                      <w:rPr>
                        <w:spacing w:val="-9"/>
                        <w:w w:val="115"/>
                        <w:sz w:val="21"/>
                      </w:rPr>
                      <w:t> </w:t>
                    </w:r>
                    <w:r>
                      <w:rPr>
                        <w:w w:val="115"/>
                        <w:sz w:val="21"/>
                      </w:rPr>
                      <w:t>on</w:t>
                    </w:r>
                    <w:r>
                      <w:rPr>
                        <w:spacing w:val="-9"/>
                        <w:w w:val="115"/>
                        <w:sz w:val="21"/>
                      </w:rPr>
                      <w:t> </w:t>
                    </w:r>
                    <w:r>
                      <w:rPr>
                        <w:w w:val="115"/>
                        <w:sz w:val="21"/>
                      </w:rPr>
                      <w:t>intestacy</w:t>
                    </w:r>
                    <w:r>
                      <w:rPr>
                        <w:spacing w:val="-9"/>
                        <w:w w:val="115"/>
                        <w:sz w:val="21"/>
                      </w:rPr>
                      <w:t> </w:t>
                    </w:r>
                    <w:r>
                      <w:rPr>
                        <w:w w:val="115"/>
                        <w:sz w:val="21"/>
                      </w:rPr>
                      <w:t>in</w:t>
                    </w:r>
                    <w:r>
                      <w:rPr>
                        <w:spacing w:val="-9"/>
                        <w:w w:val="115"/>
                        <w:sz w:val="21"/>
                      </w:rPr>
                      <w:t> </w:t>
                    </w:r>
                    <w:r>
                      <w:rPr>
                        <w:w w:val="115"/>
                        <w:sz w:val="21"/>
                      </w:rPr>
                      <w:t>more</w:t>
                    </w:r>
                    <w:r>
                      <w:rPr>
                        <w:spacing w:val="-9"/>
                        <w:w w:val="115"/>
                        <w:sz w:val="21"/>
                      </w:rPr>
                      <w:t> </w:t>
                    </w:r>
                    <w:r>
                      <w:rPr>
                        <w:w w:val="115"/>
                        <w:sz w:val="21"/>
                      </w:rPr>
                      <w:t>than</w:t>
                    </w:r>
                    <w:r>
                      <w:rPr>
                        <w:spacing w:val="-9"/>
                        <w:w w:val="115"/>
                        <w:sz w:val="21"/>
                      </w:rPr>
                      <w:t> </w:t>
                    </w:r>
                    <w:r>
                      <w:rPr>
                        <w:w w:val="115"/>
                        <w:sz w:val="21"/>
                      </w:rPr>
                      <w:t>one</w:t>
                    </w:r>
                    <w:r>
                      <w:rPr>
                        <w:spacing w:val="-9"/>
                        <w:w w:val="115"/>
                        <w:sz w:val="21"/>
                      </w:rPr>
                      <w:t> </w:t>
                    </w:r>
                    <w:r>
                      <w:rPr>
                        <w:w w:val="115"/>
                        <w:sz w:val="21"/>
                      </w:rPr>
                      <w:t>capacity</w:t>
                    </w:r>
                    <w:r>
                      <w:rPr>
                        <w:spacing w:val="-9"/>
                        <w:w w:val="115"/>
                        <w:sz w:val="21"/>
                      </w:rPr>
                      <w:t> </w:t>
                    </w:r>
                    <w:r>
                      <w:rPr>
                        <w:w w:val="115"/>
                        <w:sz w:val="21"/>
                      </w:rPr>
                      <w:t>should</w:t>
                    </w:r>
                    <w:r>
                      <w:rPr>
                        <w:spacing w:val="-9"/>
                        <w:w w:val="115"/>
                        <w:sz w:val="21"/>
                      </w:rPr>
                      <w:t> </w:t>
                    </w:r>
                    <w:r>
                      <w:rPr>
                        <w:w w:val="115"/>
                        <w:sz w:val="21"/>
                      </w:rPr>
                      <w:t>be entitled to </w:t>
                    </w:r>
                    <w:r>
                      <w:rPr>
                        <w:spacing w:val="-3"/>
                        <w:w w:val="115"/>
                        <w:sz w:val="21"/>
                      </w:rPr>
                      <w:t>take </w:t>
                    </w:r>
                    <w:r>
                      <w:rPr>
                        <w:w w:val="115"/>
                        <w:sz w:val="21"/>
                      </w:rPr>
                      <w:t>in each</w:t>
                    </w:r>
                    <w:r>
                      <w:rPr>
                        <w:spacing w:val="4"/>
                        <w:w w:val="115"/>
                        <w:sz w:val="21"/>
                      </w:rPr>
                      <w:t> </w:t>
                    </w:r>
                    <w:r>
                      <w:rPr>
                        <w:w w:val="115"/>
                        <w:sz w:val="21"/>
                      </w:rPr>
                      <w:t>capacity.</w:t>
                    </w:r>
                  </w:p>
                </w:txbxContent>
              </v:textbox>
              <w10:wrap type="none"/>
            </v:shape>
            <v:shape style="position:absolute;left:1814;top:1225;width:241;height:249" type="#_x0000_t202" filled="false" stroked="false">
              <v:textbox inset="0,0,0,0">
                <w:txbxContent>
                  <w:p>
                    <w:pPr>
                      <w:spacing w:line="249" w:lineRule="exact" w:before="0"/>
                      <w:ind w:left="0" w:right="0" w:firstLine="0"/>
                      <w:jc w:val="left"/>
                      <w:rPr>
                        <w:sz w:val="21"/>
                      </w:rPr>
                    </w:pPr>
                    <w:r>
                      <w:rPr>
                        <w:w w:val="110"/>
                        <w:sz w:val="21"/>
                      </w:rPr>
                      <w:t>13</w:t>
                    </w:r>
                  </w:p>
                </w:txbxContent>
              </v:textbox>
              <w10:wrap type="none"/>
            </v:shape>
            <v:shape style="position:absolute;left:1587;top:237;width:8731;height:726" type="#_x0000_t202" filled="true" fillcolor="#fdebea" stroked="false">
              <v:textbox inset="0,0,0,0">
                <w:txbxContent>
                  <w:p>
                    <w:pPr>
                      <w:spacing w:before="166"/>
                      <w:ind w:left="226" w:right="0" w:firstLine="0"/>
                      <w:jc w:val="left"/>
                      <w:rPr>
                        <w:b/>
                        <w:sz w:val="32"/>
                      </w:rPr>
                    </w:pPr>
                    <w:r>
                      <w:rPr>
                        <w:b/>
                        <w:color w:val="EC5A4F"/>
                        <w:w w:val="110"/>
                        <w:sz w:val="32"/>
                      </w:rPr>
                      <w:t>Recommendation</w:t>
                    </w:r>
                  </w:p>
                </w:txbxContent>
              </v:textbox>
              <v:fill type="solid"/>
              <w10:wrap type="none"/>
            </v:shape>
            <w10:wrap type="topAndBottom"/>
          </v:group>
        </w:pict>
      </w:r>
    </w:p>
    <w:p>
      <w:pPr>
        <w:pStyle w:val="BodyText"/>
        <w:spacing w:before="1"/>
        <w:rPr>
          <w:sz w:val="9"/>
        </w:rPr>
      </w:pPr>
    </w:p>
    <w:p>
      <w:pPr>
        <w:pStyle w:val="Heading4"/>
        <w:spacing w:before="98"/>
      </w:pPr>
      <w:bookmarkStart w:name="_TOC_250057" w:id="57"/>
      <w:bookmarkEnd w:id="57"/>
      <w:r>
        <w:rPr>
          <w:color w:val="EC5A4F"/>
          <w:w w:val="115"/>
        </w:rPr>
        <w:t>Survivorship</w:t>
      </w:r>
    </w:p>
    <w:p>
      <w:pPr>
        <w:pStyle w:val="Heading5"/>
        <w:spacing w:before="167"/>
      </w:pPr>
      <w:bookmarkStart w:name="_TOC_250056" w:id="58"/>
      <w:bookmarkEnd w:id="58"/>
      <w:r>
        <w:rPr>
          <w:w w:val="115"/>
        </w:rPr>
        <w:t>Current law</w:t>
      </w:r>
    </w:p>
    <w:p>
      <w:pPr>
        <w:pStyle w:val="ListParagraph"/>
        <w:numPr>
          <w:ilvl w:val="1"/>
          <w:numId w:val="22"/>
        </w:numPr>
        <w:tabs>
          <w:tab w:pos="2380" w:val="left" w:leader="none"/>
          <w:tab w:pos="2381" w:val="left" w:leader="none"/>
        </w:tabs>
        <w:spacing w:line="242" w:lineRule="auto" w:before="137" w:after="0"/>
        <w:ind w:left="2381" w:right="1638" w:hanging="794"/>
        <w:jc w:val="left"/>
        <w:rPr>
          <w:sz w:val="12"/>
        </w:rPr>
      </w:pPr>
      <w:r>
        <w:rPr>
          <w:sz w:val="21"/>
        </w:rPr>
        <w:t>In Victoria, there is no </w:t>
      </w:r>
      <w:r>
        <w:rPr>
          <w:spacing w:val="-3"/>
          <w:sz w:val="21"/>
        </w:rPr>
        <w:t>requirement  that  </w:t>
      </w:r>
      <w:r>
        <w:rPr>
          <w:sz w:val="21"/>
        </w:rPr>
        <w:t>a person entitled </w:t>
      </w:r>
      <w:r>
        <w:rPr>
          <w:spacing w:val="-3"/>
          <w:sz w:val="21"/>
        </w:rPr>
        <w:t>to</w:t>
      </w:r>
      <w:r>
        <w:rPr>
          <w:spacing w:val="41"/>
          <w:sz w:val="21"/>
        </w:rPr>
        <w:t> </w:t>
      </w:r>
      <w:r>
        <w:rPr>
          <w:spacing w:val="-3"/>
          <w:sz w:val="21"/>
        </w:rPr>
        <w:t>inherit  </w:t>
      </w:r>
      <w:r>
        <w:rPr>
          <w:sz w:val="21"/>
        </w:rPr>
        <w:t>on intestacy survive the deceased person by </w:t>
      </w:r>
      <w:r>
        <w:rPr>
          <w:spacing w:val="-3"/>
          <w:sz w:val="21"/>
        </w:rPr>
        <w:t>any amount </w:t>
      </w:r>
      <w:r>
        <w:rPr>
          <w:sz w:val="21"/>
        </w:rPr>
        <w:t>of time; it is sufficient </w:t>
      </w:r>
      <w:r>
        <w:rPr>
          <w:spacing w:val="-3"/>
          <w:sz w:val="21"/>
        </w:rPr>
        <w:t>that </w:t>
      </w:r>
      <w:r>
        <w:rPr>
          <w:sz w:val="21"/>
        </w:rPr>
        <w:t>they survive the deceased person at</w:t>
      </w:r>
      <w:r>
        <w:rPr>
          <w:spacing w:val="16"/>
          <w:sz w:val="21"/>
        </w:rPr>
        <w:t> </w:t>
      </w:r>
      <w:r>
        <w:rPr>
          <w:sz w:val="21"/>
        </w:rPr>
        <w:t>all.</w:t>
      </w:r>
      <w:r>
        <w:rPr>
          <w:position w:val="7"/>
          <w:sz w:val="12"/>
        </w:rPr>
        <w:t>46</w:t>
      </w:r>
    </w:p>
    <w:p>
      <w:pPr>
        <w:pStyle w:val="ListParagraph"/>
        <w:numPr>
          <w:ilvl w:val="1"/>
          <w:numId w:val="22"/>
        </w:numPr>
        <w:tabs>
          <w:tab w:pos="2380" w:val="left" w:leader="none"/>
          <w:tab w:pos="2382" w:val="left" w:leader="none"/>
        </w:tabs>
        <w:spacing w:line="242" w:lineRule="auto" w:before="123" w:after="0"/>
        <w:ind w:left="2381" w:right="1706" w:hanging="794"/>
        <w:jc w:val="left"/>
        <w:rPr>
          <w:sz w:val="21"/>
        </w:rPr>
      </w:pPr>
      <w:r>
        <w:rPr>
          <w:sz w:val="21"/>
        </w:rPr>
        <w:t>This differs </w:t>
      </w:r>
      <w:r>
        <w:rPr>
          <w:spacing w:val="-3"/>
          <w:sz w:val="21"/>
        </w:rPr>
        <w:t>from </w:t>
      </w:r>
      <w:r>
        <w:rPr>
          <w:sz w:val="21"/>
        </w:rPr>
        <w:t>the position </w:t>
      </w:r>
      <w:r>
        <w:rPr>
          <w:spacing w:val="-3"/>
          <w:sz w:val="21"/>
        </w:rPr>
        <w:t>that </w:t>
      </w:r>
      <w:r>
        <w:rPr>
          <w:sz w:val="21"/>
        </w:rPr>
        <w:t>applies </w:t>
      </w:r>
      <w:r>
        <w:rPr>
          <w:spacing w:val="-3"/>
          <w:sz w:val="21"/>
        </w:rPr>
        <w:t>to </w:t>
      </w:r>
      <w:r>
        <w:rPr>
          <w:sz w:val="21"/>
        </w:rPr>
        <w:t>beneficiaries under a </w:t>
      </w:r>
      <w:r>
        <w:rPr>
          <w:spacing w:val="-3"/>
          <w:sz w:val="21"/>
        </w:rPr>
        <w:t>will. </w:t>
      </w:r>
      <w:r>
        <w:rPr>
          <w:sz w:val="21"/>
        </w:rPr>
        <w:t>They must survive the deceased person by 30 days in order </w:t>
      </w:r>
      <w:r>
        <w:rPr>
          <w:spacing w:val="-3"/>
          <w:sz w:val="21"/>
        </w:rPr>
        <w:t>to  take  </w:t>
      </w:r>
      <w:r>
        <w:rPr>
          <w:sz w:val="21"/>
        </w:rPr>
        <w:t>their benefit, unless a contrary </w:t>
      </w:r>
      <w:r>
        <w:rPr>
          <w:spacing w:val="-3"/>
          <w:sz w:val="21"/>
        </w:rPr>
        <w:t>intention  </w:t>
      </w:r>
      <w:r>
        <w:rPr>
          <w:sz w:val="21"/>
        </w:rPr>
        <w:t>is expressed in the </w:t>
      </w:r>
      <w:r>
        <w:rPr>
          <w:spacing w:val="-3"/>
          <w:sz w:val="21"/>
        </w:rPr>
        <w:t>will.</w:t>
      </w:r>
      <w:r>
        <w:rPr>
          <w:spacing w:val="-3"/>
          <w:position w:val="7"/>
          <w:sz w:val="12"/>
        </w:rPr>
        <w:t>47 </w:t>
      </w:r>
      <w:r>
        <w:rPr>
          <w:sz w:val="21"/>
        </w:rPr>
        <w:t>This </w:t>
      </w:r>
      <w:r>
        <w:rPr>
          <w:spacing w:val="-3"/>
          <w:sz w:val="21"/>
        </w:rPr>
        <w:t>creates </w:t>
      </w:r>
      <w:r>
        <w:rPr>
          <w:sz w:val="21"/>
        </w:rPr>
        <w:t>an </w:t>
      </w:r>
      <w:r>
        <w:rPr>
          <w:spacing w:val="-2"/>
          <w:sz w:val="21"/>
        </w:rPr>
        <w:t>inconsistency </w:t>
      </w:r>
      <w:r>
        <w:rPr>
          <w:sz w:val="21"/>
        </w:rPr>
        <w:t>in </w:t>
      </w:r>
      <w:r>
        <w:rPr>
          <w:spacing w:val="-3"/>
          <w:sz w:val="21"/>
        </w:rPr>
        <w:t>relation to </w:t>
      </w:r>
      <w:r>
        <w:rPr>
          <w:sz w:val="21"/>
        </w:rPr>
        <w:t>partial intestacies, where</w:t>
      </w:r>
      <w:r>
        <w:rPr>
          <w:spacing w:val="12"/>
          <w:sz w:val="21"/>
        </w:rPr>
        <w:t> </w:t>
      </w:r>
      <w:r>
        <w:rPr>
          <w:sz w:val="21"/>
        </w:rPr>
        <w:t>a</w:t>
      </w:r>
      <w:r>
        <w:rPr>
          <w:spacing w:val="12"/>
          <w:sz w:val="21"/>
        </w:rPr>
        <w:t> </w:t>
      </w:r>
      <w:r>
        <w:rPr>
          <w:sz w:val="21"/>
        </w:rPr>
        <w:t>person</w:t>
      </w:r>
      <w:r>
        <w:rPr>
          <w:spacing w:val="12"/>
          <w:sz w:val="21"/>
        </w:rPr>
        <w:t> </w:t>
      </w:r>
      <w:r>
        <w:rPr>
          <w:sz w:val="21"/>
        </w:rPr>
        <w:t>is</w:t>
      </w:r>
      <w:r>
        <w:rPr>
          <w:spacing w:val="12"/>
          <w:sz w:val="21"/>
        </w:rPr>
        <w:t> </w:t>
      </w:r>
      <w:r>
        <w:rPr>
          <w:sz w:val="21"/>
        </w:rPr>
        <w:t>a</w:t>
      </w:r>
      <w:r>
        <w:rPr>
          <w:spacing w:val="12"/>
          <w:sz w:val="21"/>
        </w:rPr>
        <w:t> </w:t>
      </w:r>
      <w:r>
        <w:rPr>
          <w:sz w:val="21"/>
        </w:rPr>
        <w:t>beneficiary</w:t>
      </w:r>
      <w:r>
        <w:rPr>
          <w:spacing w:val="12"/>
          <w:sz w:val="21"/>
        </w:rPr>
        <w:t> </w:t>
      </w:r>
      <w:r>
        <w:rPr>
          <w:sz w:val="21"/>
        </w:rPr>
        <w:t>under</w:t>
      </w:r>
      <w:r>
        <w:rPr>
          <w:spacing w:val="13"/>
          <w:sz w:val="21"/>
        </w:rPr>
        <w:t> </w:t>
      </w:r>
      <w:r>
        <w:rPr>
          <w:sz w:val="21"/>
        </w:rPr>
        <w:t>the</w:t>
      </w:r>
      <w:r>
        <w:rPr>
          <w:spacing w:val="12"/>
          <w:sz w:val="21"/>
        </w:rPr>
        <w:t> </w:t>
      </w:r>
      <w:r>
        <w:rPr>
          <w:spacing w:val="-3"/>
          <w:sz w:val="21"/>
        </w:rPr>
        <w:t>will</w:t>
      </w:r>
      <w:r>
        <w:rPr>
          <w:spacing w:val="12"/>
          <w:sz w:val="21"/>
        </w:rPr>
        <w:t> </w:t>
      </w:r>
      <w:r>
        <w:rPr>
          <w:sz w:val="21"/>
        </w:rPr>
        <w:t>and</w:t>
      </w:r>
      <w:r>
        <w:rPr>
          <w:spacing w:val="12"/>
          <w:sz w:val="21"/>
        </w:rPr>
        <w:t> </w:t>
      </w:r>
      <w:r>
        <w:rPr>
          <w:sz w:val="21"/>
        </w:rPr>
        <w:t>is</w:t>
      </w:r>
      <w:r>
        <w:rPr>
          <w:spacing w:val="12"/>
          <w:sz w:val="21"/>
        </w:rPr>
        <w:t> </w:t>
      </w:r>
      <w:r>
        <w:rPr>
          <w:sz w:val="21"/>
        </w:rPr>
        <w:t>also</w:t>
      </w:r>
      <w:r>
        <w:rPr>
          <w:spacing w:val="12"/>
          <w:sz w:val="21"/>
        </w:rPr>
        <w:t> </w:t>
      </w:r>
      <w:r>
        <w:rPr>
          <w:sz w:val="21"/>
        </w:rPr>
        <w:t>entitled</w:t>
      </w:r>
      <w:r>
        <w:rPr>
          <w:spacing w:val="13"/>
          <w:sz w:val="21"/>
        </w:rPr>
        <w:t> </w:t>
      </w:r>
      <w:r>
        <w:rPr>
          <w:spacing w:val="-3"/>
          <w:sz w:val="21"/>
        </w:rPr>
        <w:t>to</w:t>
      </w:r>
      <w:r>
        <w:rPr>
          <w:spacing w:val="12"/>
          <w:sz w:val="21"/>
        </w:rPr>
        <w:t> </w:t>
      </w:r>
      <w:r>
        <w:rPr>
          <w:sz w:val="21"/>
        </w:rPr>
        <w:t>a</w:t>
      </w:r>
      <w:r>
        <w:rPr>
          <w:spacing w:val="12"/>
          <w:sz w:val="21"/>
        </w:rPr>
        <w:t> </w:t>
      </w:r>
      <w:r>
        <w:rPr>
          <w:spacing w:val="-3"/>
          <w:sz w:val="21"/>
        </w:rPr>
        <w:t>share</w:t>
      </w:r>
      <w:r>
        <w:rPr>
          <w:spacing w:val="12"/>
          <w:sz w:val="21"/>
        </w:rPr>
        <w:t> </w:t>
      </w:r>
      <w:r>
        <w:rPr>
          <w:sz w:val="21"/>
        </w:rPr>
        <w:t>in</w:t>
      </w:r>
      <w:r>
        <w:rPr>
          <w:spacing w:val="12"/>
          <w:sz w:val="21"/>
        </w:rPr>
        <w:t> </w:t>
      </w:r>
      <w:r>
        <w:rPr>
          <w:spacing w:val="-3"/>
          <w:sz w:val="21"/>
        </w:rPr>
        <w:t>relation</w:t>
      </w:r>
    </w:p>
    <w:p>
      <w:pPr>
        <w:pStyle w:val="BodyText"/>
        <w:spacing w:line="242" w:lineRule="auto" w:before="5"/>
        <w:ind w:left="2381" w:right="2010"/>
      </w:pPr>
      <w:r>
        <w:rPr>
          <w:spacing w:val="-3"/>
        </w:rPr>
        <w:t>to </w:t>
      </w:r>
      <w:r>
        <w:rPr/>
        <w:t>the partial </w:t>
      </w:r>
      <w:r>
        <w:rPr>
          <w:spacing w:val="-3"/>
        </w:rPr>
        <w:t>intestacy. </w:t>
      </w:r>
      <w:r>
        <w:rPr/>
        <w:t>If this person dies </w:t>
      </w:r>
      <w:r>
        <w:rPr>
          <w:spacing w:val="-3"/>
        </w:rPr>
        <w:t>within </w:t>
      </w:r>
      <w:r>
        <w:rPr/>
        <w:t>30 days of the deceased person, they  (or their estate) would </w:t>
      </w:r>
      <w:r>
        <w:rPr>
          <w:spacing w:val="-2"/>
        </w:rPr>
        <w:t>not </w:t>
      </w:r>
      <w:r>
        <w:rPr/>
        <w:t>be entitled </w:t>
      </w:r>
      <w:r>
        <w:rPr>
          <w:spacing w:val="-3"/>
        </w:rPr>
        <w:t>to </w:t>
      </w:r>
      <w:r>
        <w:rPr/>
        <w:t>the gift under the </w:t>
      </w:r>
      <w:r>
        <w:rPr>
          <w:spacing w:val="-3"/>
        </w:rPr>
        <w:t>will, </w:t>
      </w:r>
      <w:r>
        <w:rPr/>
        <w:t>in the absence of a contrary </w:t>
      </w:r>
      <w:r>
        <w:rPr>
          <w:spacing w:val="-3"/>
        </w:rPr>
        <w:t>intention </w:t>
      </w:r>
      <w:r>
        <w:rPr/>
        <w:t>in the </w:t>
      </w:r>
      <w:r>
        <w:rPr>
          <w:spacing w:val="-3"/>
        </w:rPr>
        <w:t>will, </w:t>
      </w:r>
      <w:r>
        <w:rPr/>
        <w:t>but they would be entitled </w:t>
      </w:r>
      <w:r>
        <w:rPr>
          <w:spacing w:val="-3"/>
        </w:rPr>
        <w:t>to </w:t>
      </w:r>
      <w:r>
        <w:rPr/>
        <w:t>their </w:t>
      </w:r>
      <w:r>
        <w:rPr>
          <w:spacing w:val="-3"/>
        </w:rPr>
        <w:t>share </w:t>
      </w:r>
      <w:r>
        <w:rPr/>
        <w:t>on</w:t>
      </w:r>
      <w:r>
        <w:rPr>
          <w:spacing w:val="24"/>
        </w:rPr>
        <w:t> </w:t>
      </w:r>
      <w:r>
        <w:rPr>
          <w:spacing w:val="-3"/>
        </w:rPr>
        <w:t>intestacy.</w:t>
      </w:r>
    </w:p>
    <w:p>
      <w:pPr>
        <w:pStyle w:val="BodyText"/>
        <w:spacing w:before="11"/>
        <w:rPr>
          <w:sz w:val="24"/>
        </w:rPr>
      </w:pPr>
    </w:p>
    <w:p>
      <w:pPr>
        <w:pStyle w:val="Heading5"/>
      </w:pPr>
      <w:bookmarkStart w:name="_TOC_250055" w:id="59"/>
      <w:bookmarkEnd w:id="59"/>
      <w:r>
        <w:rPr>
          <w:w w:val="115"/>
        </w:rPr>
        <w:t>Proposed change</w:t>
      </w:r>
    </w:p>
    <w:p>
      <w:pPr>
        <w:pStyle w:val="ListParagraph"/>
        <w:numPr>
          <w:ilvl w:val="1"/>
          <w:numId w:val="22"/>
        </w:numPr>
        <w:tabs>
          <w:tab w:pos="2381" w:val="left" w:leader="none"/>
          <w:tab w:pos="2382" w:val="left" w:leader="none"/>
        </w:tabs>
        <w:spacing w:line="242" w:lineRule="auto" w:before="138" w:after="0"/>
        <w:ind w:left="2381" w:right="1738" w:hanging="794"/>
        <w:jc w:val="left"/>
        <w:rPr>
          <w:sz w:val="21"/>
        </w:rPr>
      </w:pPr>
      <w:r>
        <w:rPr>
          <w:spacing w:val="-7"/>
          <w:w w:val="105"/>
          <w:sz w:val="21"/>
        </w:rPr>
        <w:t>To </w:t>
      </w:r>
      <w:r>
        <w:rPr>
          <w:spacing w:val="-3"/>
          <w:w w:val="105"/>
          <w:sz w:val="21"/>
        </w:rPr>
        <w:t>achieve </w:t>
      </w:r>
      <w:r>
        <w:rPr>
          <w:w w:val="105"/>
          <w:sz w:val="21"/>
        </w:rPr>
        <w:t>consistency with the survivorship </w:t>
      </w:r>
      <w:r>
        <w:rPr>
          <w:spacing w:val="-3"/>
          <w:w w:val="105"/>
          <w:sz w:val="21"/>
        </w:rPr>
        <w:t>requirement </w:t>
      </w:r>
      <w:r>
        <w:rPr>
          <w:w w:val="105"/>
          <w:sz w:val="21"/>
        </w:rPr>
        <w:t>in </w:t>
      </w:r>
      <w:r>
        <w:rPr>
          <w:spacing w:val="-3"/>
          <w:w w:val="105"/>
          <w:sz w:val="21"/>
        </w:rPr>
        <w:t>relation to wills, </w:t>
      </w:r>
      <w:r>
        <w:rPr>
          <w:w w:val="105"/>
          <w:sz w:val="21"/>
        </w:rPr>
        <w:t>and </w:t>
      </w:r>
      <w:r>
        <w:rPr>
          <w:spacing w:val="-3"/>
          <w:w w:val="105"/>
          <w:sz w:val="21"/>
        </w:rPr>
        <w:t>to </w:t>
      </w:r>
      <w:r>
        <w:rPr>
          <w:w w:val="105"/>
          <w:sz w:val="21"/>
        </w:rPr>
        <w:t>address the problem of </w:t>
      </w:r>
      <w:r>
        <w:rPr>
          <w:spacing w:val="-3"/>
          <w:w w:val="105"/>
          <w:sz w:val="21"/>
        </w:rPr>
        <w:t>relatives </w:t>
      </w:r>
      <w:r>
        <w:rPr>
          <w:w w:val="105"/>
          <w:sz w:val="21"/>
        </w:rPr>
        <w:t>dying </w:t>
      </w:r>
      <w:r>
        <w:rPr>
          <w:spacing w:val="-3"/>
          <w:w w:val="105"/>
          <w:sz w:val="21"/>
        </w:rPr>
        <w:t>within </w:t>
      </w:r>
      <w:r>
        <w:rPr>
          <w:w w:val="105"/>
          <w:sz w:val="21"/>
        </w:rPr>
        <w:t>a short time of one </w:t>
      </w:r>
      <w:r>
        <w:rPr>
          <w:spacing w:val="-4"/>
          <w:w w:val="105"/>
          <w:sz w:val="21"/>
        </w:rPr>
        <w:t>another, </w:t>
      </w:r>
      <w:r>
        <w:rPr>
          <w:w w:val="105"/>
          <w:sz w:val="21"/>
        </w:rPr>
        <w:t>the </w:t>
      </w:r>
      <w:r>
        <w:rPr>
          <w:spacing w:val="-3"/>
          <w:w w:val="105"/>
          <w:sz w:val="21"/>
        </w:rPr>
        <w:t>National Committee for Uniform Succession </w:t>
      </w:r>
      <w:r>
        <w:rPr>
          <w:w w:val="105"/>
          <w:sz w:val="21"/>
        </w:rPr>
        <w:t>Laws recommended </w:t>
      </w:r>
      <w:r>
        <w:rPr>
          <w:spacing w:val="-3"/>
          <w:w w:val="105"/>
          <w:sz w:val="21"/>
        </w:rPr>
        <w:t>that </w:t>
      </w:r>
      <w:r>
        <w:rPr>
          <w:w w:val="105"/>
          <w:sz w:val="21"/>
        </w:rPr>
        <w:t>those entitled </w:t>
      </w:r>
      <w:r>
        <w:rPr>
          <w:spacing w:val="-3"/>
          <w:w w:val="105"/>
          <w:sz w:val="21"/>
        </w:rPr>
        <w:t>to </w:t>
      </w:r>
      <w:r>
        <w:rPr>
          <w:w w:val="105"/>
          <w:sz w:val="21"/>
        </w:rPr>
        <w:t>a </w:t>
      </w:r>
      <w:r>
        <w:rPr>
          <w:spacing w:val="-3"/>
          <w:w w:val="105"/>
          <w:sz w:val="21"/>
        </w:rPr>
        <w:t>share </w:t>
      </w:r>
      <w:r>
        <w:rPr>
          <w:w w:val="105"/>
          <w:sz w:val="21"/>
        </w:rPr>
        <w:t>on intestacy</w:t>
      </w:r>
      <w:r>
        <w:rPr>
          <w:spacing w:val="-11"/>
          <w:w w:val="105"/>
          <w:sz w:val="21"/>
        </w:rPr>
        <w:t> </w:t>
      </w:r>
      <w:r>
        <w:rPr>
          <w:w w:val="105"/>
          <w:sz w:val="21"/>
        </w:rPr>
        <w:t>should</w:t>
      </w:r>
      <w:r>
        <w:rPr>
          <w:spacing w:val="-10"/>
          <w:w w:val="105"/>
          <w:sz w:val="21"/>
        </w:rPr>
        <w:t> </w:t>
      </w:r>
      <w:r>
        <w:rPr>
          <w:w w:val="105"/>
          <w:sz w:val="21"/>
        </w:rPr>
        <w:t>survive</w:t>
      </w:r>
      <w:r>
        <w:rPr>
          <w:spacing w:val="-10"/>
          <w:w w:val="105"/>
          <w:sz w:val="21"/>
        </w:rPr>
        <w:t> </w:t>
      </w:r>
      <w:r>
        <w:rPr>
          <w:w w:val="105"/>
          <w:sz w:val="21"/>
        </w:rPr>
        <w:t>the</w:t>
      </w:r>
      <w:r>
        <w:rPr>
          <w:spacing w:val="-11"/>
          <w:w w:val="105"/>
          <w:sz w:val="21"/>
        </w:rPr>
        <w:t> </w:t>
      </w:r>
      <w:r>
        <w:rPr>
          <w:w w:val="105"/>
          <w:sz w:val="21"/>
        </w:rPr>
        <w:t>deceased</w:t>
      </w:r>
      <w:r>
        <w:rPr>
          <w:spacing w:val="-10"/>
          <w:w w:val="105"/>
          <w:sz w:val="21"/>
        </w:rPr>
        <w:t> </w:t>
      </w:r>
      <w:r>
        <w:rPr>
          <w:w w:val="105"/>
          <w:sz w:val="21"/>
        </w:rPr>
        <w:t>person</w:t>
      </w:r>
      <w:r>
        <w:rPr>
          <w:spacing w:val="-10"/>
          <w:w w:val="105"/>
          <w:sz w:val="21"/>
        </w:rPr>
        <w:t> </w:t>
      </w:r>
      <w:r>
        <w:rPr>
          <w:w w:val="105"/>
          <w:sz w:val="21"/>
        </w:rPr>
        <w:t>by</w:t>
      </w:r>
      <w:r>
        <w:rPr>
          <w:spacing w:val="-11"/>
          <w:w w:val="105"/>
          <w:sz w:val="21"/>
        </w:rPr>
        <w:t> </w:t>
      </w:r>
      <w:r>
        <w:rPr>
          <w:w w:val="105"/>
          <w:sz w:val="21"/>
        </w:rPr>
        <w:t>30</w:t>
      </w:r>
      <w:r>
        <w:rPr>
          <w:spacing w:val="-10"/>
          <w:w w:val="105"/>
          <w:sz w:val="21"/>
        </w:rPr>
        <w:t> </w:t>
      </w:r>
      <w:r>
        <w:rPr>
          <w:w w:val="105"/>
          <w:sz w:val="21"/>
        </w:rPr>
        <w:t>days</w:t>
      </w:r>
      <w:r>
        <w:rPr>
          <w:spacing w:val="-10"/>
          <w:w w:val="105"/>
          <w:sz w:val="21"/>
        </w:rPr>
        <w:t> </w:t>
      </w:r>
      <w:r>
        <w:rPr>
          <w:spacing w:val="-3"/>
          <w:w w:val="105"/>
          <w:sz w:val="21"/>
        </w:rPr>
        <w:t>to</w:t>
      </w:r>
      <w:r>
        <w:rPr>
          <w:spacing w:val="-11"/>
          <w:w w:val="105"/>
          <w:sz w:val="21"/>
        </w:rPr>
        <w:t> </w:t>
      </w:r>
      <w:r>
        <w:rPr>
          <w:spacing w:val="-3"/>
          <w:w w:val="105"/>
          <w:sz w:val="21"/>
        </w:rPr>
        <w:t>take</w:t>
      </w:r>
      <w:r>
        <w:rPr>
          <w:spacing w:val="-10"/>
          <w:w w:val="105"/>
          <w:sz w:val="21"/>
        </w:rPr>
        <w:t> </w:t>
      </w:r>
      <w:r>
        <w:rPr>
          <w:w w:val="105"/>
          <w:sz w:val="21"/>
        </w:rPr>
        <w:t>their</w:t>
      </w:r>
      <w:r>
        <w:rPr>
          <w:spacing w:val="-10"/>
          <w:w w:val="105"/>
          <w:sz w:val="21"/>
        </w:rPr>
        <w:t> </w:t>
      </w:r>
      <w:r>
        <w:rPr>
          <w:spacing w:val="-3"/>
          <w:w w:val="105"/>
          <w:sz w:val="21"/>
        </w:rPr>
        <w:t>share</w:t>
      </w:r>
      <w:r>
        <w:rPr>
          <w:spacing w:val="-10"/>
          <w:w w:val="105"/>
          <w:sz w:val="21"/>
        </w:rPr>
        <w:t> </w:t>
      </w:r>
      <w:r>
        <w:rPr>
          <w:w w:val="105"/>
          <w:sz w:val="21"/>
        </w:rPr>
        <w:t>on</w:t>
      </w:r>
      <w:r>
        <w:rPr>
          <w:spacing w:val="-11"/>
          <w:w w:val="105"/>
          <w:sz w:val="21"/>
        </w:rPr>
        <w:t> </w:t>
      </w:r>
      <w:r>
        <w:rPr>
          <w:spacing w:val="-3"/>
          <w:w w:val="105"/>
          <w:sz w:val="21"/>
        </w:rPr>
        <w:t>intestacy, </w:t>
      </w:r>
      <w:r>
        <w:rPr>
          <w:w w:val="105"/>
          <w:sz w:val="21"/>
        </w:rPr>
        <w:t>unless the survivorship </w:t>
      </w:r>
      <w:r>
        <w:rPr>
          <w:spacing w:val="-3"/>
          <w:w w:val="105"/>
          <w:sz w:val="21"/>
        </w:rPr>
        <w:t>requirement </w:t>
      </w:r>
      <w:r>
        <w:rPr>
          <w:w w:val="105"/>
          <w:sz w:val="21"/>
        </w:rPr>
        <w:t>would </w:t>
      </w:r>
      <w:r>
        <w:rPr>
          <w:spacing w:val="-3"/>
          <w:w w:val="105"/>
          <w:sz w:val="21"/>
        </w:rPr>
        <w:t>result </w:t>
      </w:r>
      <w:r>
        <w:rPr>
          <w:w w:val="105"/>
          <w:sz w:val="21"/>
        </w:rPr>
        <w:t>in </w:t>
      </w:r>
      <w:r>
        <w:rPr>
          <w:i/>
          <w:w w:val="105"/>
          <w:sz w:val="21"/>
        </w:rPr>
        <w:t>bona </w:t>
      </w:r>
      <w:r>
        <w:rPr>
          <w:i/>
          <w:spacing w:val="-3"/>
          <w:w w:val="105"/>
          <w:sz w:val="21"/>
        </w:rPr>
        <w:t>vacantia</w:t>
      </w:r>
      <w:r>
        <w:rPr>
          <w:spacing w:val="-3"/>
          <w:w w:val="105"/>
          <w:sz w:val="21"/>
        </w:rPr>
        <w:t>.</w:t>
      </w:r>
      <w:r>
        <w:rPr>
          <w:spacing w:val="-3"/>
          <w:w w:val="105"/>
          <w:position w:val="7"/>
          <w:sz w:val="12"/>
        </w:rPr>
        <w:t>48 </w:t>
      </w:r>
      <w:r>
        <w:rPr>
          <w:w w:val="105"/>
          <w:sz w:val="21"/>
        </w:rPr>
        <w:t>The </w:t>
      </w:r>
      <w:r>
        <w:rPr>
          <w:i/>
          <w:w w:val="105"/>
          <w:sz w:val="21"/>
        </w:rPr>
        <w:t>bona </w:t>
      </w:r>
      <w:r>
        <w:rPr>
          <w:i/>
          <w:spacing w:val="-3"/>
          <w:w w:val="105"/>
          <w:sz w:val="21"/>
        </w:rPr>
        <w:t>vacantia </w:t>
      </w:r>
      <w:r>
        <w:rPr>
          <w:spacing w:val="-3"/>
          <w:w w:val="105"/>
          <w:sz w:val="21"/>
        </w:rPr>
        <w:t>exception </w:t>
      </w:r>
      <w:r>
        <w:rPr>
          <w:w w:val="105"/>
          <w:sz w:val="21"/>
        </w:rPr>
        <w:t>recognises </w:t>
      </w:r>
      <w:r>
        <w:rPr>
          <w:spacing w:val="-3"/>
          <w:w w:val="105"/>
          <w:sz w:val="21"/>
        </w:rPr>
        <w:t>that, </w:t>
      </w:r>
      <w:r>
        <w:rPr>
          <w:w w:val="105"/>
          <w:sz w:val="21"/>
        </w:rPr>
        <w:t>where there </w:t>
      </w:r>
      <w:r>
        <w:rPr>
          <w:spacing w:val="-3"/>
          <w:w w:val="105"/>
          <w:sz w:val="21"/>
        </w:rPr>
        <w:t>are </w:t>
      </w:r>
      <w:r>
        <w:rPr>
          <w:w w:val="105"/>
          <w:sz w:val="21"/>
        </w:rPr>
        <w:t>next of </w:t>
      </w:r>
      <w:r>
        <w:rPr>
          <w:spacing w:val="-2"/>
          <w:w w:val="105"/>
          <w:sz w:val="21"/>
        </w:rPr>
        <w:t>kin </w:t>
      </w:r>
      <w:r>
        <w:rPr>
          <w:spacing w:val="-3"/>
          <w:w w:val="105"/>
          <w:sz w:val="21"/>
        </w:rPr>
        <w:t>within </w:t>
      </w:r>
      <w:r>
        <w:rPr>
          <w:w w:val="105"/>
          <w:sz w:val="21"/>
        </w:rPr>
        <w:t>the defined classes, it is </w:t>
      </w:r>
      <w:r>
        <w:rPr>
          <w:spacing w:val="-3"/>
          <w:w w:val="105"/>
          <w:sz w:val="21"/>
        </w:rPr>
        <w:t>preferable for </w:t>
      </w:r>
      <w:r>
        <w:rPr>
          <w:w w:val="105"/>
          <w:sz w:val="21"/>
        </w:rPr>
        <w:t>the deceased </w:t>
      </w:r>
      <w:r>
        <w:rPr>
          <w:spacing w:val="-3"/>
          <w:w w:val="105"/>
          <w:sz w:val="21"/>
        </w:rPr>
        <w:t>person’s </w:t>
      </w:r>
      <w:r>
        <w:rPr>
          <w:w w:val="105"/>
          <w:sz w:val="21"/>
        </w:rPr>
        <w:t>estate </w:t>
      </w:r>
      <w:r>
        <w:rPr>
          <w:spacing w:val="-3"/>
          <w:w w:val="105"/>
          <w:sz w:val="21"/>
        </w:rPr>
        <w:t>to </w:t>
      </w:r>
      <w:r>
        <w:rPr>
          <w:w w:val="105"/>
          <w:sz w:val="21"/>
        </w:rPr>
        <w:t>pass </w:t>
      </w:r>
      <w:r>
        <w:rPr>
          <w:spacing w:val="-3"/>
          <w:w w:val="105"/>
          <w:sz w:val="21"/>
        </w:rPr>
        <w:t>to </w:t>
      </w:r>
      <w:r>
        <w:rPr>
          <w:w w:val="105"/>
          <w:sz w:val="21"/>
        </w:rPr>
        <w:t>them, even though they </w:t>
      </w:r>
      <w:r>
        <w:rPr>
          <w:spacing w:val="-3"/>
          <w:w w:val="105"/>
          <w:sz w:val="21"/>
        </w:rPr>
        <w:t>may die </w:t>
      </w:r>
      <w:r>
        <w:rPr>
          <w:w w:val="105"/>
          <w:sz w:val="21"/>
        </w:rPr>
        <w:t>shortly after the deceased person, </w:t>
      </w:r>
      <w:r>
        <w:rPr>
          <w:spacing w:val="-3"/>
          <w:w w:val="105"/>
          <w:sz w:val="21"/>
        </w:rPr>
        <w:t>rather than to </w:t>
      </w:r>
      <w:r>
        <w:rPr>
          <w:w w:val="105"/>
          <w:sz w:val="21"/>
        </w:rPr>
        <w:t>the </w:t>
      </w:r>
      <w:r>
        <w:rPr>
          <w:spacing w:val="-3"/>
          <w:w w:val="105"/>
          <w:sz w:val="21"/>
        </w:rPr>
        <w:t>State </w:t>
      </w:r>
      <w:r>
        <w:rPr>
          <w:w w:val="105"/>
          <w:sz w:val="21"/>
        </w:rPr>
        <w:t>of</w:t>
      </w:r>
      <w:r>
        <w:rPr>
          <w:spacing w:val="26"/>
          <w:w w:val="105"/>
          <w:sz w:val="21"/>
        </w:rPr>
        <w:t> </w:t>
      </w:r>
      <w:r>
        <w:rPr>
          <w:w w:val="105"/>
          <w:sz w:val="21"/>
        </w:rPr>
        <w:t>Victoria.</w:t>
      </w:r>
    </w:p>
    <w:p>
      <w:pPr>
        <w:pStyle w:val="ListParagraph"/>
        <w:numPr>
          <w:ilvl w:val="1"/>
          <w:numId w:val="22"/>
        </w:numPr>
        <w:tabs>
          <w:tab w:pos="2380" w:val="left" w:leader="none"/>
          <w:tab w:pos="2381" w:val="left" w:leader="none"/>
        </w:tabs>
        <w:spacing w:line="242" w:lineRule="auto" w:before="129" w:after="0"/>
        <w:ind w:left="2380" w:right="1605" w:hanging="793"/>
        <w:jc w:val="left"/>
        <w:rPr>
          <w:sz w:val="12"/>
        </w:rPr>
      </w:pPr>
      <w:r>
        <w:rPr>
          <w:spacing w:val="-3"/>
          <w:w w:val="105"/>
          <w:sz w:val="21"/>
        </w:rPr>
        <w:t>Queensland already </w:t>
      </w:r>
      <w:r>
        <w:rPr>
          <w:spacing w:val="-2"/>
          <w:w w:val="105"/>
          <w:sz w:val="21"/>
        </w:rPr>
        <w:t>had </w:t>
      </w:r>
      <w:r>
        <w:rPr>
          <w:w w:val="105"/>
          <w:sz w:val="21"/>
        </w:rPr>
        <w:t>a 30-day survivorship </w:t>
      </w:r>
      <w:r>
        <w:rPr>
          <w:spacing w:val="-3"/>
          <w:w w:val="105"/>
          <w:sz w:val="21"/>
        </w:rPr>
        <w:t>requirement </w:t>
      </w:r>
      <w:r>
        <w:rPr>
          <w:w w:val="105"/>
          <w:sz w:val="21"/>
        </w:rPr>
        <w:t>when the </w:t>
      </w:r>
      <w:r>
        <w:rPr>
          <w:spacing w:val="-3"/>
          <w:w w:val="105"/>
          <w:sz w:val="21"/>
        </w:rPr>
        <w:t>National Committee </w:t>
      </w:r>
      <w:r>
        <w:rPr>
          <w:w w:val="105"/>
          <w:sz w:val="21"/>
        </w:rPr>
        <w:t>made its </w:t>
      </w:r>
      <w:r>
        <w:rPr>
          <w:spacing w:val="-3"/>
          <w:w w:val="105"/>
          <w:sz w:val="21"/>
        </w:rPr>
        <w:t>recommendations,</w:t>
      </w:r>
      <w:r>
        <w:rPr>
          <w:spacing w:val="-3"/>
          <w:w w:val="105"/>
          <w:position w:val="7"/>
          <w:sz w:val="12"/>
        </w:rPr>
        <w:t>49 </w:t>
      </w:r>
      <w:r>
        <w:rPr>
          <w:w w:val="105"/>
          <w:sz w:val="21"/>
        </w:rPr>
        <w:t>and South </w:t>
      </w:r>
      <w:r>
        <w:rPr>
          <w:spacing w:val="-3"/>
          <w:w w:val="105"/>
          <w:sz w:val="21"/>
        </w:rPr>
        <w:t>Australia </w:t>
      </w:r>
      <w:r>
        <w:rPr>
          <w:spacing w:val="-2"/>
          <w:w w:val="105"/>
          <w:sz w:val="21"/>
        </w:rPr>
        <w:t>has </w:t>
      </w:r>
      <w:r>
        <w:rPr>
          <w:w w:val="105"/>
          <w:sz w:val="21"/>
        </w:rPr>
        <w:t>a 28-day survivorship </w:t>
      </w:r>
      <w:r>
        <w:rPr>
          <w:spacing w:val="-3"/>
          <w:w w:val="105"/>
          <w:sz w:val="21"/>
        </w:rPr>
        <w:t>requirement that </w:t>
      </w:r>
      <w:r>
        <w:rPr>
          <w:w w:val="105"/>
          <w:sz w:val="21"/>
        </w:rPr>
        <w:t>applies only </w:t>
      </w:r>
      <w:r>
        <w:rPr>
          <w:spacing w:val="-3"/>
          <w:w w:val="105"/>
          <w:sz w:val="21"/>
        </w:rPr>
        <w:t>to </w:t>
      </w:r>
      <w:r>
        <w:rPr>
          <w:w w:val="105"/>
          <w:sz w:val="21"/>
        </w:rPr>
        <w:t>the deceased </w:t>
      </w:r>
      <w:r>
        <w:rPr>
          <w:spacing w:val="-3"/>
          <w:w w:val="105"/>
          <w:sz w:val="21"/>
        </w:rPr>
        <w:t>person’s </w:t>
      </w:r>
      <w:r>
        <w:rPr>
          <w:w w:val="105"/>
          <w:sz w:val="21"/>
        </w:rPr>
        <w:t>spouse and domestic </w:t>
      </w:r>
      <w:r>
        <w:rPr>
          <w:spacing w:val="-3"/>
          <w:w w:val="105"/>
          <w:sz w:val="21"/>
        </w:rPr>
        <w:t>partner,</w:t>
      </w:r>
      <w:r>
        <w:rPr>
          <w:spacing w:val="-3"/>
          <w:w w:val="105"/>
          <w:position w:val="7"/>
          <w:sz w:val="12"/>
        </w:rPr>
        <w:t>50 </w:t>
      </w:r>
      <w:r>
        <w:rPr>
          <w:spacing w:val="-3"/>
          <w:w w:val="105"/>
          <w:sz w:val="21"/>
        </w:rPr>
        <w:t>although </w:t>
      </w:r>
      <w:r>
        <w:rPr>
          <w:w w:val="105"/>
          <w:sz w:val="21"/>
        </w:rPr>
        <w:t>neither of these states </w:t>
      </w:r>
      <w:r>
        <w:rPr>
          <w:spacing w:val="-2"/>
          <w:w w:val="105"/>
          <w:sz w:val="21"/>
        </w:rPr>
        <w:t>has </w:t>
      </w:r>
      <w:r>
        <w:rPr>
          <w:w w:val="105"/>
          <w:sz w:val="21"/>
        </w:rPr>
        <w:t>a </w:t>
      </w:r>
      <w:r>
        <w:rPr>
          <w:i/>
          <w:w w:val="105"/>
          <w:sz w:val="21"/>
        </w:rPr>
        <w:t>bona </w:t>
      </w:r>
      <w:r>
        <w:rPr>
          <w:i/>
          <w:spacing w:val="-3"/>
          <w:w w:val="105"/>
          <w:sz w:val="21"/>
        </w:rPr>
        <w:t>vacantia </w:t>
      </w:r>
      <w:r>
        <w:rPr>
          <w:spacing w:val="-3"/>
          <w:w w:val="105"/>
          <w:sz w:val="21"/>
        </w:rPr>
        <w:t>exception. </w:t>
      </w:r>
      <w:r>
        <w:rPr>
          <w:w w:val="105"/>
          <w:sz w:val="21"/>
        </w:rPr>
        <w:t>Both New South </w:t>
      </w:r>
      <w:r>
        <w:rPr>
          <w:spacing w:val="-3"/>
          <w:w w:val="105"/>
          <w:sz w:val="21"/>
        </w:rPr>
        <w:t>Wales </w:t>
      </w:r>
      <w:r>
        <w:rPr>
          <w:w w:val="105"/>
          <w:sz w:val="21"/>
        </w:rPr>
        <w:t>and </w:t>
      </w:r>
      <w:r>
        <w:rPr>
          <w:spacing w:val="-5"/>
          <w:w w:val="105"/>
          <w:sz w:val="21"/>
        </w:rPr>
        <w:t>Tasmania </w:t>
      </w:r>
      <w:r>
        <w:rPr>
          <w:spacing w:val="-3"/>
          <w:w w:val="105"/>
          <w:sz w:val="21"/>
        </w:rPr>
        <w:t>have implemented </w:t>
      </w:r>
      <w:r>
        <w:rPr>
          <w:w w:val="105"/>
          <w:sz w:val="21"/>
        </w:rPr>
        <w:t>the </w:t>
      </w:r>
      <w:r>
        <w:rPr>
          <w:spacing w:val="-3"/>
          <w:w w:val="105"/>
          <w:sz w:val="21"/>
        </w:rPr>
        <w:t>National </w:t>
      </w:r>
      <w:r>
        <w:rPr>
          <w:spacing w:val="-4"/>
          <w:w w:val="105"/>
          <w:sz w:val="21"/>
        </w:rPr>
        <w:t>Committee’s</w:t>
      </w:r>
      <w:r>
        <w:rPr>
          <w:spacing w:val="39"/>
          <w:w w:val="105"/>
          <w:sz w:val="21"/>
        </w:rPr>
        <w:t> </w:t>
      </w:r>
      <w:r>
        <w:rPr>
          <w:spacing w:val="-4"/>
          <w:w w:val="105"/>
          <w:sz w:val="21"/>
        </w:rPr>
        <w:t>recommendation.</w:t>
      </w:r>
      <w:r>
        <w:rPr>
          <w:spacing w:val="-4"/>
          <w:w w:val="105"/>
          <w:position w:val="7"/>
          <w:sz w:val="12"/>
        </w:rPr>
        <w:t>51</w:t>
      </w:r>
    </w:p>
    <w:p>
      <w:pPr>
        <w:pStyle w:val="BodyText"/>
        <w:rPr>
          <w:sz w:val="20"/>
        </w:rPr>
      </w:pPr>
    </w:p>
    <w:p>
      <w:pPr>
        <w:pStyle w:val="BodyText"/>
        <w:rPr>
          <w:sz w:val="20"/>
        </w:rPr>
      </w:pPr>
    </w:p>
    <w:p>
      <w:pPr>
        <w:pStyle w:val="BodyText"/>
        <w:spacing w:before="3"/>
        <w:rPr>
          <w:sz w:val="18"/>
        </w:rPr>
      </w:pPr>
      <w:r>
        <w:rPr/>
        <w:pict>
          <v:line style="position:absolute;mso-position-horizontal-relative:page;mso-position-vertical-relative:paragraph;z-index:3704;mso-wrap-distance-left:0;mso-wrap-distance-right:0" from="79.370102pt,13.615415pt" to="515.905102pt,13.615415pt" stroked="true" strokeweight="1pt" strokecolor="#f9ceca">
            <v:stroke dashstyle="solid"/>
            <w10:wrap type="topAndBottom"/>
          </v:line>
        </w:pict>
      </w:r>
    </w:p>
    <w:p>
      <w:pPr>
        <w:pStyle w:val="ListParagraph"/>
        <w:numPr>
          <w:ilvl w:val="0"/>
          <w:numId w:val="54"/>
        </w:numPr>
        <w:tabs>
          <w:tab w:pos="2380" w:val="left" w:leader="none"/>
          <w:tab w:pos="2382" w:val="left" w:leader="none"/>
        </w:tabs>
        <w:spacing w:line="240" w:lineRule="auto" w:before="117" w:after="0"/>
        <w:ind w:left="2381" w:right="0" w:hanging="794"/>
        <w:jc w:val="left"/>
        <w:rPr>
          <w:sz w:val="13"/>
        </w:rPr>
      </w:pPr>
      <w:r>
        <w:rPr>
          <w:spacing w:val="-3"/>
          <w:w w:val="105"/>
          <w:sz w:val="13"/>
        </w:rPr>
        <w:t>To</w:t>
      </w:r>
      <w:r>
        <w:rPr>
          <w:spacing w:val="4"/>
          <w:w w:val="105"/>
          <w:sz w:val="13"/>
        </w:rPr>
        <w:t> </w:t>
      </w:r>
      <w:r>
        <w:rPr>
          <w:w w:val="105"/>
          <w:sz w:val="13"/>
        </w:rPr>
        <w:t>‘survive’</w:t>
      </w:r>
      <w:r>
        <w:rPr>
          <w:spacing w:val="4"/>
          <w:w w:val="105"/>
          <w:sz w:val="13"/>
        </w:rPr>
        <w:t> </w:t>
      </w:r>
      <w:r>
        <w:rPr>
          <w:w w:val="105"/>
          <w:sz w:val="13"/>
        </w:rPr>
        <w:t>the</w:t>
      </w:r>
      <w:r>
        <w:rPr>
          <w:spacing w:val="5"/>
          <w:w w:val="105"/>
          <w:sz w:val="13"/>
        </w:rPr>
        <w:t> </w:t>
      </w:r>
      <w:r>
        <w:rPr>
          <w:w w:val="105"/>
          <w:sz w:val="13"/>
        </w:rPr>
        <w:t>deceased</w:t>
      </w:r>
      <w:r>
        <w:rPr>
          <w:spacing w:val="4"/>
          <w:w w:val="105"/>
          <w:sz w:val="13"/>
        </w:rPr>
        <w:t> </w:t>
      </w:r>
      <w:r>
        <w:rPr>
          <w:w w:val="105"/>
          <w:sz w:val="13"/>
        </w:rPr>
        <w:t>person</w:t>
      </w:r>
      <w:r>
        <w:rPr>
          <w:spacing w:val="5"/>
          <w:w w:val="105"/>
          <w:sz w:val="13"/>
        </w:rPr>
        <w:t> </w:t>
      </w:r>
      <w:r>
        <w:rPr>
          <w:w w:val="105"/>
          <w:sz w:val="13"/>
        </w:rPr>
        <w:t>means</w:t>
      </w:r>
      <w:r>
        <w:rPr>
          <w:spacing w:val="4"/>
          <w:w w:val="105"/>
          <w:sz w:val="13"/>
        </w:rPr>
        <w:t> </w:t>
      </w:r>
      <w:r>
        <w:rPr>
          <w:w w:val="105"/>
          <w:sz w:val="13"/>
        </w:rPr>
        <w:t>to</w:t>
      </w:r>
      <w:r>
        <w:rPr>
          <w:spacing w:val="5"/>
          <w:w w:val="105"/>
          <w:sz w:val="13"/>
        </w:rPr>
        <w:t> </w:t>
      </w:r>
      <w:r>
        <w:rPr>
          <w:w w:val="105"/>
          <w:sz w:val="13"/>
        </w:rPr>
        <w:t>live</w:t>
      </w:r>
      <w:r>
        <w:rPr>
          <w:spacing w:val="4"/>
          <w:w w:val="105"/>
          <w:sz w:val="13"/>
        </w:rPr>
        <w:t> </w:t>
      </w:r>
      <w:r>
        <w:rPr>
          <w:w w:val="105"/>
          <w:sz w:val="13"/>
        </w:rPr>
        <w:t>longer</w:t>
      </w:r>
      <w:r>
        <w:rPr>
          <w:spacing w:val="5"/>
          <w:w w:val="105"/>
          <w:sz w:val="13"/>
        </w:rPr>
        <w:t> </w:t>
      </w:r>
      <w:r>
        <w:rPr>
          <w:w w:val="105"/>
          <w:sz w:val="13"/>
        </w:rPr>
        <w:t>than</w:t>
      </w:r>
      <w:r>
        <w:rPr>
          <w:spacing w:val="4"/>
          <w:w w:val="105"/>
          <w:sz w:val="13"/>
        </w:rPr>
        <w:t> </w:t>
      </w:r>
      <w:r>
        <w:rPr>
          <w:w w:val="105"/>
          <w:sz w:val="13"/>
        </w:rPr>
        <w:t>them.</w:t>
      </w:r>
    </w:p>
    <w:p>
      <w:pPr>
        <w:pStyle w:val="ListParagraph"/>
        <w:numPr>
          <w:ilvl w:val="0"/>
          <w:numId w:val="54"/>
        </w:numPr>
        <w:tabs>
          <w:tab w:pos="2381" w:val="left" w:leader="none"/>
          <w:tab w:pos="2382" w:val="left" w:leader="none"/>
        </w:tabs>
        <w:spacing w:line="240" w:lineRule="auto" w:before="1" w:after="0"/>
        <w:ind w:left="2381" w:right="0" w:hanging="794"/>
        <w:jc w:val="left"/>
        <w:rPr>
          <w:sz w:val="13"/>
        </w:rPr>
      </w:pPr>
      <w:r>
        <w:rPr>
          <w:i/>
          <w:w w:val="105"/>
          <w:sz w:val="13"/>
        </w:rPr>
        <w:t>Wills Act </w:t>
      </w:r>
      <w:r>
        <w:rPr>
          <w:i/>
          <w:spacing w:val="-3"/>
          <w:w w:val="105"/>
          <w:sz w:val="13"/>
        </w:rPr>
        <w:t>1997 </w:t>
      </w:r>
      <w:r>
        <w:rPr>
          <w:spacing w:val="2"/>
          <w:w w:val="105"/>
          <w:sz w:val="13"/>
        </w:rPr>
        <w:t>(Vic) </w:t>
      </w:r>
      <w:r>
        <w:rPr>
          <w:w w:val="105"/>
          <w:sz w:val="13"/>
        </w:rPr>
        <w:t>s</w:t>
      </w:r>
      <w:r>
        <w:rPr>
          <w:spacing w:val="21"/>
          <w:w w:val="105"/>
          <w:sz w:val="13"/>
        </w:rPr>
        <w:t> </w:t>
      </w:r>
      <w:r>
        <w:rPr>
          <w:w w:val="105"/>
          <w:sz w:val="13"/>
        </w:rPr>
        <w:t>39.</w:t>
      </w:r>
    </w:p>
    <w:p>
      <w:pPr>
        <w:pStyle w:val="ListParagraph"/>
        <w:numPr>
          <w:ilvl w:val="0"/>
          <w:numId w:val="54"/>
        </w:numPr>
        <w:tabs>
          <w:tab w:pos="2381" w:val="left" w:leader="none"/>
          <w:tab w:pos="2382" w:val="left" w:leader="none"/>
        </w:tabs>
        <w:spacing w:line="240" w:lineRule="auto" w:before="2" w:after="0"/>
        <w:ind w:left="2381" w:right="0" w:hanging="794"/>
        <w:jc w:val="left"/>
        <w:rPr>
          <w:sz w:val="13"/>
        </w:rPr>
      </w:pPr>
      <w:r>
        <w:rPr>
          <w:w w:val="105"/>
          <w:sz w:val="13"/>
        </w:rPr>
        <w:t>National</w:t>
      </w:r>
      <w:r>
        <w:rPr>
          <w:spacing w:val="5"/>
          <w:w w:val="105"/>
          <w:sz w:val="13"/>
        </w:rPr>
        <w:t> </w:t>
      </w:r>
      <w:r>
        <w:rPr>
          <w:w w:val="105"/>
          <w:sz w:val="13"/>
        </w:rPr>
        <w:t>Committee</w:t>
      </w:r>
      <w:r>
        <w:rPr>
          <w:spacing w:val="5"/>
          <w:w w:val="105"/>
          <w:sz w:val="13"/>
        </w:rPr>
        <w:t> </w:t>
      </w:r>
      <w:r>
        <w:rPr>
          <w:w w:val="105"/>
          <w:sz w:val="13"/>
        </w:rPr>
        <w:t>for</w:t>
      </w:r>
      <w:r>
        <w:rPr>
          <w:spacing w:val="5"/>
          <w:w w:val="105"/>
          <w:sz w:val="13"/>
        </w:rPr>
        <w:t> </w:t>
      </w:r>
      <w:r>
        <w:rPr>
          <w:w w:val="105"/>
          <w:sz w:val="13"/>
        </w:rPr>
        <w:t>Uniform</w:t>
      </w:r>
      <w:r>
        <w:rPr>
          <w:spacing w:val="6"/>
          <w:w w:val="105"/>
          <w:sz w:val="13"/>
        </w:rPr>
        <w:t> </w:t>
      </w:r>
      <w:r>
        <w:rPr>
          <w:w w:val="105"/>
          <w:sz w:val="13"/>
        </w:rPr>
        <w:t>Succession</w:t>
      </w:r>
      <w:r>
        <w:rPr>
          <w:spacing w:val="5"/>
          <w:w w:val="105"/>
          <w:sz w:val="13"/>
        </w:rPr>
        <w:t> </w:t>
      </w:r>
      <w:r>
        <w:rPr>
          <w:w w:val="105"/>
          <w:sz w:val="13"/>
        </w:rPr>
        <w:t>Laws,</w:t>
      </w:r>
      <w:r>
        <w:rPr>
          <w:spacing w:val="5"/>
          <w:w w:val="105"/>
          <w:sz w:val="13"/>
        </w:rPr>
        <w:t> </w:t>
      </w:r>
      <w:r>
        <w:rPr>
          <w:w w:val="105"/>
          <w:sz w:val="13"/>
        </w:rPr>
        <w:t>above</w:t>
      </w:r>
      <w:r>
        <w:rPr>
          <w:spacing w:val="6"/>
          <w:w w:val="105"/>
          <w:sz w:val="13"/>
        </w:rPr>
        <w:t> </w:t>
      </w:r>
      <w:r>
        <w:rPr>
          <w:w w:val="105"/>
          <w:sz w:val="13"/>
        </w:rPr>
        <w:t>n</w:t>
      </w:r>
      <w:r>
        <w:rPr>
          <w:spacing w:val="5"/>
          <w:w w:val="105"/>
          <w:sz w:val="13"/>
        </w:rPr>
        <w:t> </w:t>
      </w:r>
      <w:r>
        <w:rPr>
          <w:w w:val="105"/>
          <w:sz w:val="13"/>
        </w:rPr>
        <w:t>10,</w:t>
      </w:r>
      <w:r>
        <w:rPr>
          <w:spacing w:val="5"/>
          <w:w w:val="105"/>
          <w:sz w:val="13"/>
        </w:rPr>
        <w:t> </w:t>
      </w:r>
      <w:r>
        <w:rPr>
          <w:spacing w:val="2"/>
          <w:w w:val="105"/>
          <w:sz w:val="13"/>
        </w:rPr>
        <w:t>195–6</w:t>
      </w:r>
      <w:r>
        <w:rPr>
          <w:spacing w:val="6"/>
          <w:w w:val="105"/>
          <w:sz w:val="13"/>
        </w:rPr>
        <w:t> </w:t>
      </w:r>
      <w:r>
        <w:rPr>
          <w:w w:val="105"/>
          <w:sz w:val="13"/>
        </w:rPr>
        <w:t>recommendation</w:t>
      </w:r>
      <w:r>
        <w:rPr>
          <w:spacing w:val="5"/>
          <w:w w:val="105"/>
          <w:sz w:val="13"/>
        </w:rPr>
        <w:t> </w:t>
      </w:r>
      <w:r>
        <w:rPr>
          <w:w w:val="105"/>
          <w:sz w:val="13"/>
        </w:rPr>
        <w:t>40,</w:t>
      </w:r>
      <w:r>
        <w:rPr>
          <w:spacing w:val="5"/>
          <w:w w:val="105"/>
          <w:sz w:val="13"/>
        </w:rPr>
        <w:t> </w:t>
      </w:r>
      <w:r>
        <w:rPr>
          <w:w w:val="105"/>
          <w:sz w:val="13"/>
        </w:rPr>
        <w:t>Draft</w:t>
      </w:r>
      <w:r>
        <w:rPr>
          <w:spacing w:val="6"/>
          <w:w w:val="105"/>
          <w:sz w:val="13"/>
        </w:rPr>
        <w:t> </w:t>
      </w:r>
      <w:r>
        <w:rPr>
          <w:w w:val="105"/>
          <w:sz w:val="13"/>
        </w:rPr>
        <w:t>Intestacy</w:t>
      </w:r>
      <w:r>
        <w:rPr>
          <w:spacing w:val="5"/>
          <w:w w:val="105"/>
          <w:sz w:val="13"/>
        </w:rPr>
        <w:t> </w:t>
      </w:r>
      <w:r>
        <w:rPr>
          <w:w w:val="105"/>
          <w:sz w:val="13"/>
        </w:rPr>
        <w:t>Bill</w:t>
      </w:r>
      <w:r>
        <w:rPr>
          <w:spacing w:val="5"/>
          <w:w w:val="105"/>
          <w:sz w:val="13"/>
        </w:rPr>
        <w:t> </w:t>
      </w:r>
      <w:r>
        <w:rPr>
          <w:w w:val="105"/>
          <w:sz w:val="13"/>
        </w:rPr>
        <w:t>2006</w:t>
      </w:r>
      <w:r>
        <w:rPr>
          <w:spacing w:val="6"/>
          <w:w w:val="105"/>
          <w:sz w:val="13"/>
        </w:rPr>
        <w:t> </w:t>
      </w:r>
      <w:r>
        <w:rPr>
          <w:w w:val="105"/>
          <w:sz w:val="13"/>
        </w:rPr>
        <w:t>cls</w:t>
      </w:r>
      <w:r>
        <w:rPr>
          <w:spacing w:val="5"/>
          <w:w w:val="105"/>
          <w:sz w:val="13"/>
        </w:rPr>
        <w:t> 4(2)–(3).</w:t>
      </w:r>
    </w:p>
    <w:p>
      <w:pPr>
        <w:pStyle w:val="ListParagraph"/>
        <w:numPr>
          <w:ilvl w:val="0"/>
          <w:numId w:val="54"/>
        </w:numPr>
        <w:tabs>
          <w:tab w:pos="2381" w:val="left" w:leader="none"/>
          <w:tab w:pos="2382" w:val="left" w:leader="none"/>
        </w:tabs>
        <w:spacing w:line="240" w:lineRule="auto" w:before="1" w:after="0"/>
        <w:ind w:left="2381" w:right="0" w:hanging="794"/>
        <w:jc w:val="left"/>
        <w:rPr>
          <w:sz w:val="13"/>
        </w:rPr>
      </w:pPr>
      <w:r>
        <w:rPr>
          <w:i/>
          <w:w w:val="105"/>
          <w:sz w:val="13"/>
        </w:rPr>
        <w:t>Succession Act </w:t>
      </w:r>
      <w:r>
        <w:rPr>
          <w:i/>
          <w:spacing w:val="-3"/>
          <w:w w:val="105"/>
          <w:sz w:val="13"/>
        </w:rPr>
        <w:t>1981 </w:t>
      </w:r>
      <w:r>
        <w:rPr>
          <w:spacing w:val="2"/>
          <w:w w:val="105"/>
          <w:sz w:val="13"/>
        </w:rPr>
        <w:t>(Qld) </w:t>
      </w:r>
      <w:r>
        <w:rPr>
          <w:w w:val="105"/>
          <w:sz w:val="13"/>
        </w:rPr>
        <w:t>s</w:t>
      </w:r>
      <w:r>
        <w:rPr>
          <w:spacing w:val="22"/>
          <w:w w:val="105"/>
          <w:sz w:val="13"/>
        </w:rPr>
        <w:t> </w:t>
      </w:r>
      <w:r>
        <w:rPr>
          <w:spacing w:val="2"/>
          <w:w w:val="105"/>
          <w:sz w:val="13"/>
        </w:rPr>
        <w:t>35(2).</w:t>
      </w:r>
    </w:p>
    <w:p>
      <w:pPr>
        <w:pStyle w:val="ListParagraph"/>
        <w:numPr>
          <w:ilvl w:val="0"/>
          <w:numId w:val="54"/>
        </w:numPr>
        <w:tabs>
          <w:tab w:pos="2381" w:val="left" w:leader="none"/>
          <w:tab w:pos="2382" w:val="left" w:leader="none"/>
        </w:tabs>
        <w:spacing w:line="240" w:lineRule="auto" w:before="1" w:after="0"/>
        <w:ind w:left="2381" w:right="0" w:hanging="794"/>
        <w:jc w:val="left"/>
        <w:rPr>
          <w:sz w:val="13"/>
        </w:rPr>
      </w:pPr>
      <w:r>
        <w:rPr/>
        <w:pict>
          <v:shape style="position:absolute;margin-left:548.96051pt;margin-top:2.868966pt;width:13.2pt;height:14.25pt;mso-position-horizontal-relative:page;mso-position-vertical-relative:paragraph;z-index:5776" type="#_x0000_t202" filled="false" stroked="false">
            <v:textbox inset="0,0,0,0">
              <w:txbxContent>
                <w:p>
                  <w:pPr>
                    <w:spacing w:line="284" w:lineRule="exact" w:before="0"/>
                    <w:ind w:left="0" w:right="0" w:firstLine="0"/>
                    <w:jc w:val="left"/>
                    <w:rPr>
                      <w:b/>
                      <w:sz w:val="24"/>
                    </w:rPr>
                  </w:pPr>
                  <w:r>
                    <w:rPr>
                      <w:b/>
                      <w:color w:val="EC5A4F"/>
                      <w:spacing w:val="-2"/>
                      <w:w w:val="110"/>
                      <w:sz w:val="24"/>
                    </w:rPr>
                    <w:t>63</w:t>
                  </w:r>
                </w:p>
              </w:txbxContent>
            </v:textbox>
            <w10:wrap type="none"/>
          </v:shape>
        </w:pict>
      </w:r>
      <w:r>
        <w:rPr>
          <w:i/>
          <w:w w:val="105"/>
          <w:sz w:val="13"/>
        </w:rPr>
        <w:t>Administration and Probate Act </w:t>
      </w:r>
      <w:r>
        <w:rPr>
          <w:i/>
          <w:spacing w:val="-5"/>
          <w:w w:val="105"/>
          <w:sz w:val="13"/>
        </w:rPr>
        <w:t>1919 </w:t>
      </w:r>
      <w:r>
        <w:rPr>
          <w:spacing w:val="2"/>
          <w:w w:val="105"/>
          <w:sz w:val="13"/>
        </w:rPr>
        <w:t>(SA) </w:t>
      </w:r>
      <w:r>
        <w:rPr>
          <w:w w:val="105"/>
          <w:sz w:val="13"/>
        </w:rPr>
        <w:t>s</w:t>
      </w:r>
      <w:r>
        <w:rPr>
          <w:spacing w:val="5"/>
          <w:w w:val="105"/>
          <w:sz w:val="13"/>
        </w:rPr>
        <w:t> </w:t>
      </w:r>
      <w:r>
        <w:rPr>
          <w:w w:val="105"/>
          <w:sz w:val="13"/>
        </w:rPr>
        <w:t>72E.</w:t>
      </w:r>
    </w:p>
    <w:p>
      <w:pPr>
        <w:pStyle w:val="ListParagraph"/>
        <w:numPr>
          <w:ilvl w:val="0"/>
          <w:numId w:val="54"/>
        </w:numPr>
        <w:tabs>
          <w:tab w:pos="2381" w:val="left" w:leader="none"/>
          <w:tab w:pos="2382" w:val="left" w:leader="none"/>
        </w:tabs>
        <w:spacing w:line="240" w:lineRule="auto" w:before="2" w:after="0"/>
        <w:ind w:left="2381" w:right="0" w:hanging="794"/>
        <w:jc w:val="left"/>
        <w:rPr>
          <w:sz w:val="13"/>
        </w:rPr>
      </w:pPr>
      <w:r>
        <w:rPr>
          <w:i/>
          <w:w w:val="105"/>
          <w:sz w:val="13"/>
        </w:rPr>
        <w:t>Succession</w:t>
      </w:r>
      <w:r>
        <w:rPr>
          <w:i/>
          <w:spacing w:val="3"/>
          <w:w w:val="105"/>
          <w:sz w:val="13"/>
        </w:rPr>
        <w:t> </w:t>
      </w:r>
      <w:r>
        <w:rPr>
          <w:i/>
          <w:w w:val="105"/>
          <w:sz w:val="13"/>
        </w:rPr>
        <w:t>Act</w:t>
      </w:r>
      <w:r>
        <w:rPr>
          <w:i/>
          <w:spacing w:val="4"/>
          <w:w w:val="105"/>
          <w:sz w:val="13"/>
        </w:rPr>
        <w:t> </w:t>
      </w:r>
      <w:r>
        <w:rPr>
          <w:i/>
          <w:w w:val="105"/>
          <w:sz w:val="13"/>
        </w:rPr>
        <w:t>2006</w:t>
      </w:r>
      <w:r>
        <w:rPr>
          <w:i/>
          <w:spacing w:val="5"/>
          <w:w w:val="105"/>
          <w:sz w:val="13"/>
        </w:rPr>
        <w:t> </w:t>
      </w:r>
      <w:r>
        <w:rPr>
          <w:spacing w:val="3"/>
          <w:w w:val="105"/>
          <w:sz w:val="13"/>
        </w:rPr>
        <w:t>(NSW)</w:t>
      </w:r>
      <w:r>
        <w:rPr>
          <w:spacing w:val="4"/>
          <w:w w:val="105"/>
          <w:sz w:val="13"/>
        </w:rPr>
        <w:t> </w:t>
      </w:r>
      <w:r>
        <w:rPr>
          <w:w w:val="105"/>
          <w:sz w:val="13"/>
        </w:rPr>
        <w:t>s</w:t>
      </w:r>
      <w:r>
        <w:rPr>
          <w:spacing w:val="5"/>
          <w:w w:val="105"/>
          <w:sz w:val="13"/>
        </w:rPr>
        <w:t> </w:t>
      </w:r>
      <w:r>
        <w:rPr>
          <w:w w:val="105"/>
          <w:sz w:val="13"/>
        </w:rPr>
        <w:t>107(2);</w:t>
      </w:r>
      <w:r>
        <w:rPr>
          <w:spacing w:val="5"/>
          <w:w w:val="105"/>
          <w:sz w:val="13"/>
        </w:rPr>
        <w:t> </w:t>
      </w:r>
      <w:r>
        <w:rPr>
          <w:i/>
          <w:w w:val="105"/>
          <w:sz w:val="13"/>
        </w:rPr>
        <w:t>Intestacy</w:t>
      </w:r>
      <w:r>
        <w:rPr>
          <w:i/>
          <w:spacing w:val="4"/>
          <w:w w:val="105"/>
          <w:sz w:val="13"/>
        </w:rPr>
        <w:t> </w:t>
      </w:r>
      <w:r>
        <w:rPr>
          <w:i/>
          <w:w w:val="105"/>
          <w:sz w:val="13"/>
        </w:rPr>
        <w:t>Act</w:t>
      </w:r>
      <w:r>
        <w:rPr>
          <w:i/>
          <w:spacing w:val="3"/>
          <w:w w:val="105"/>
          <w:sz w:val="13"/>
        </w:rPr>
        <w:t> </w:t>
      </w:r>
      <w:r>
        <w:rPr>
          <w:i/>
          <w:spacing w:val="-3"/>
          <w:w w:val="105"/>
          <w:sz w:val="13"/>
        </w:rPr>
        <w:t>2010</w:t>
      </w:r>
      <w:r>
        <w:rPr>
          <w:i/>
          <w:spacing w:val="5"/>
          <w:w w:val="105"/>
          <w:sz w:val="13"/>
        </w:rPr>
        <w:t> </w:t>
      </w:r>
      <w:r>
        <w:rPr>
          <w:w w:val="105"/>
          <w:sz w:val="13"/>
        </w:rPr>
        <w:t>(Tas)</w:t>
      </w:r>
      <w:r>
        <w:rPr>
          <w:spacing w:val="5"/>
          <w:w w:val="105"/>
          <w:sz w:val="13"/>
        </w:rPr>
        <w:t> </w:t>
      </w:r>
      <w:r>
        <w:rPr>
          <w:w w:val="105"/>
          <w:sz w:val="13"/>
        </w:rPr>
        <w:t>s</w:t>
      </w:r>
      <w:r>
        <w:rPr>
          <w:spacing w:val="4"/>
          <w:w w:val="105"/>
          <w:sz w:val="13"/>
        </w:rPr>
        <w:t> </w:t>
      </w:r>
      <w:r>
        <w:rPr>
          <w:spacing w:val="3"/>
          <w:w w:val="105"/>
          <w:sz w:val="13"/>
        </w:rPr>
        <w:t>8(2).</w:t>
      </w:r>
    </w:p>
    <w:p>
      <w:pPr>
        <w:spacing w:after="0" w:line="240" w:lineRule="auto"/>
        <w:jc w:val="left"/>
        <w:rPr>
          <w:sz w:val="13"/>
        </w:rPr>
        <w:sectPr>
          <w:pgSz w:w="11910" w:h="16840"/>
          <w:pgMar w:header="805" w:footer="0" w:top="1360" w:bottom="280" w:left="0" w:right="0"/>
        </w:sectPr>
      </w:pPr>
    </w:p>
    <w:p>
      <w:pPr>
        <w:pStyle w:val="BodyText"/>
        <w:spacing w:before="5"/>
        <w:rPr>
          <w:sz w:val="20"/>
        </w:rPr>
      </w:pPr>
    </w:p>
    <w:p>
      <w:pPr>
        <w:pStyle w:val="ListParagraph"/>
        <w:numPr>
          <w:ilvl w:val="1"/>
          <w:numId w:val="22"/>
        </w:numPr>
        <w:tabs>
          <w:tab w:pos="2381" w:val="left" w:leader="none"/>
          <w:tab w:pos="2382" w:val="left" w:leader="none"/>
        </w:tabs>
        <w:spacing w:line="242" w:lineRule="auto" w:before="92" w:after="0"/>
        <w:ind w:left="2381" w:right="1654" w:hanging="794"/>
        <w:jc w:val="left"/>
        <w:rPr>
          <w:sz w:val="21"/>
        </w:rPr>
      </w:pPr>
      <w:r>
        <w:rPr>
          <w:spacing w:val="-3"/>
          <w:w w:val="105"/>
          <w:sz w:val="21"/>
        </w:rPr>
        <w:t>The </w:t>
      </w:r>
      <w:r>
        <w:rPr>
          <w:spacing w:val="-5"/>
          <w:w w:val="105"/>
          <w:sz w:val="21"/>
        </w:rPr>
        <w:t>National </w:t>
      </w:r>
      <w:r>
        <w:rPr>
          <w:spacing w:val="-6"/>
          <w:w w:val="105"/>
          <w:sz w:val="21"/>
        </w:rPr>
        <w:t>Committee </w:t>
      </w:r>
      <w:r>
        <w:rPr>
          <w:spacing w:val="-4"/>
          <w:w w:val="105"/>
          <w:sz w:val="21"/>
        </w:rPr>
        <w:t>also </w:t>
      </w:r>
      <w:r>
        <w:rPr>
          <w:spacing w:val="-5"/>
          <w:w w:val="105"/>
          <w:sz w:val="21"/>
        </w:rPr>
        <w:t>recommended that </w:t>
      </w:r>
      <w:r>
        <w:rPr>
          <w:spacing w:val="-4"/>
          <w:w w:val="105"/>
          <w:sz w:val="21"/>
        </w:rPr>
        <w:t>the </w:t>
      </w:r>
      <w:r>
        <w:rPr>
          <w:spacing w:val="-5"/>
          <w:w w:val="105"/>
          <w:sz w:val="21"/>
        </w:rPr>
        <w:t>survivorship </w:t>
      </w:r>
      <w:r>
        <w:rPr>
          <w:spacing w:val="-6"/>
          <w:w w:val="105"/>
          <w:sz w:val="21"/>
        </w:rPr>
        <w:t>requirement </w:t>
      </w:r>
      <w:r>
        <w:rPr>
          <w:spacing w:val="-5"/>
          <w:w w:val="105"/>
          <w:sz w:val="21"/>
        </w:rPr>
        <w:t>should </w:t>
      </w:r>
      <w:r>
        <w:rPr>
          <w:spacing w:val="-4"/>
          <w:w w:val="105"/>
          <w:sz w:val="21"/>
        </w:rPr>
        <w:t>apply to </w:t>
      </w:r>
      <w:r>
        <w:rPr>
          <w:spacing w:val="-6"/>
          <w:w w:val="105"/>
          <w:sz w:val="21"/>
        </w:rPr>
        <w:t>children </w:t>
      </w:r>
      <w:r>
        <w:rPr>
          <w:spacing w:val="-3"/>
          <w:w w:val="105"/>
          <w:sz w:val="21"/>
        </w:rPr>
        <w:t>who </w:t>
      </w:r>
      <w:r>
        <w:rPr>
          <w:spacing w:val="-5"/>
          <w:w w:val="105"/>
          <w:sz w:val="21"/>
        </w:rPr>
        <w:t>were </w:t>
      </w:r>
      <w:r>
        <w:rPr>
          <w:spacing w:val="-6"/>
          <w:w w:val="105"/>
          <w:sz w:val="21"/>
        </w:rPr>
        <w:t>conceived, </w:t>
      </w:r>
      <w:r>
        <w:rPr>
          <w:spacing w:val="-4"/>
          <w:w w:val="105"/>
          <w:sz w:val="21"/>
        </w:rPr>
        <w:t>but not yet </w:t>
      </w:r>
      <w:r>
        <w:rPr>
          <w:spacing w:val="-5"/>
          <w:w w:val="105"/>
          <w:sz w:val="21"/>
        </w:rPr>
        <w:t>born, </w:t>
      </w:r>
      <w:r>
        <w:rPr>
          <w:spacing w:val="-3"/>
          <w:w w:val="105"/>
          <w:sz w:val="21"/>
        </w:rPr>
        <w:t>at </w:t>
      </w:r>
      <w:r>
        <w:rPr>
          <w:spacing w:val="-4"/>
          <w:w w:val="105"/>
          <w:sz w:val="21"/>
        </w:rPr>
        <w:t>the </w:t>
      </w:r>
      <w:r>
        <w:rPr>
          <w:spacing w:val="-5"/>
          <w:w w:val="105"/>
          <w:sz w:val="21"/>
        </w:rPr>
        <w:t>date </w:t>
      </w:r>
      <w:r>
        <w:rPr>
          <w:spacing w:val="-4"/>
          <w:w w:val="105"/>
          <w:sz w:val="21"/>
        </w:rPr>
        <w:t>of the </w:t>
      </w:r>
      <w:r>
        <w:rPr>
          <w:spacing w:val="-5"/>
          <w:w w:val="105"/>
          <w:sz w:val="21"/>
        </w:rPr>
        <w:t>deceased </w:t>
      </w:r>
      <w:r>
        <w:rPr>
          <w:spacing w:val="-6"/>
          <w:w w:val="105"/>
          <w:sz w:val="21"/>
        </w:rPr>
        <w:t>person’s </w:t>
      </w:r>
      <w:r>
        <w:rPr>
          <w:spacing w:val="-5"/>
          <w:w w:val="105"/>
          <w:sz w:val="21"/>
        </w:rPr>
        <w:t>death.</w:t>
      </w:r>
      <w:r>
        <w:rPr>
          <w:spacing w:val="-5"/>
          <w:w w:val="105"/>
          <w:position w:val="7"/>
          <w:sz w:val="12"/>
        </w:rPr>
        <w:t>52 </w:t>
      </w:r>
      <w:r>
        <w:rPr>
          <w:w w:val="105"/>
          <w:sz w:val="21"/>
        </w:rPr>
        <w:t>It </w:t>
      </w:r>
      <w:r>
        <w:rPr>
          <w:spacing w:val="-5"/>
          <w:w w:val="105"/>
          <w:sz w:val="21"/>
        </w:rPr>
        <w:t>recommended that, </w:t>
      </w:r>
      <w:r>
        <w:rPr>
          <w:spacing w:val="-4"/>
          <w:w w:val="105"/>
          <w:sz w:val="21"/>
        </w:rPr>
        <w:t>to </w:t>
      </w:r>
      <w:r>
        <w:rPr>
          <w:spacing w:val="-5"/>
          <w:w w:val="105"/>
          <w:sz w:val="21"/>
        </w:rPr>
        <w:t>inherit their </w:t>
      </w:r>
      <w:r>
        <w:rPr>
          <w:spacing w:val="-6"/>
          <w:w w:val="105"/>
          <w:sz w:val="21"/>
        </w:rPr>
        <w:t>share, </w:t>
      </w:r>
      <w:r>
        <w:rPr>
          <w:spacing w:val="-5"/>
          <w:w w:val="105"/>
          <w:sz w:val="21"/>
        </w:rPr>
        <w:t>such </w:t>
      </w:r>
      <w:r>
        <w:rPr>
          <w:spacing w:val="-6"/>
          <w:w w:val="105"/>
          <w:sz w:val="21"/>
        </w:rPr>
        <w:t>children </w:t>
      </w:r>
      <w:r>
        <w:rPr>
          <w:spacing w:val="-5"/>
          <w:w w:val="105"/>
          <w:sz w:val="21"/>
        </w:rPr>
        <w:t>should </w:t>
      </w:r>
      <w:r>
        <w:rPr>
          <w:w w:val="105"/>
          <w:sz w:val="21"/>
        </w:rPr>
        <w:t>be </w:t>
      </w:r>
      <w:r>
        <w:rPr>
          <w:spacing w:val="-6"/>
          <w:w w:val="105"/>
          <w:sz w:val="21"/>
        </w:rPr>
        <w:t>required </w:t>
      </w:r>
      <w:r>
        <w:rPr>
          <w:spacing w:val="-4"/>
          <w:w w:val="105"/>
          <w:sz w:val="21"/>
        </w:rPr>
        <w:t>to survive </w:t>
      </w:r>
      <w:r>
        <w:rPr>
          <w:spacing w:val="-5"/>
          <w:w w:val="105"/>
          <w:sz w:val="21"/>
        </w:rPr>
        <w:t>for </w:t>
      </w:r>
      <w:r>
        <w:rPr>
          <w:spacing w:val="-3"/>
          <w:w w:val="105"/>
          <w:sz w:val="21"/>
        </w:rPr>
        <w:t>at </w:t>
      </w:r>
      <w:r>
        <w:rPr>
          <w:spacing w:val="-4"/>
          <w:w w:val="105"/>
          <w:sz w:val="21"/>
        </w:rPr>
        <w:t>least </w:t>
      </w:r>
      <w:r>
        <w:rPr>
          <w:w w:val="105"/>
          <w:sz w:val="21"/>
        </w:rPr>
        <w:t>30 </w:t>
      </w:r>
      <w:r>
        <w:rPr>
          <w:spacing w:val="-4"/>
          <w:w w:val="105"/>
          <w:sz w:val="21"/>
        </w:rPr>
        <w:t>days after </w:t>
      </w:r>
      <w:r>
        <w:rPr>
          <w:spacing w:val="-5"/>
          <w:w w:val="105"/>
          <w:sz w:val="21"/>
        </w:rPr>
        <w:t>birth.</w:t>
      </w:r>
      <w:r>
        <w:rPr>
          <w:spacing w:val="-5"/>
          <w:w w:val="105"/>
          <w:position w:val="7"/>
          <w:sz w:val="12"/>
        </w:rPr>
        <w:t>53 </w:t>
      </w:r>
      <w:r>
        <w:rPr>
          <w:w w:val="105"/>
          <w:sz w:val="21"/>
        </w:rPr>
        <w:t>As </w:t>
      </w:r>
      <w:r>
        <w:rPr>
          <w:spacing w:val="-4"/>
          <w:w w:val="105"/>
          <w:sz w:val="21"/>
        </w:rPr>
        <w:t>with the </w:t>
      </w:r>
      <w:r>
        <w:rPr>
          <w:spacing w:val="-5"/>
          <w:w w:val="105"/>
          <w:sz w:val="21"/>
        </w:rPr>
        <w:t>general survivorship </w:t>
      </w:r>
      <w:r>
        <w:rPr>
          <w:spacing w:val="-6"/>
          <w:w w:val="105"/>
          <w:sz w:val="21"/>
        </w:rPr>
        <w:t>requirement, </w:t>
      </w:r>
      <w:r>
        <w:rPr>
          <w:spacing w:val="-3"/>
          <w:w w:val="105"/>
          <w:sz w:val="21"/>
        </w:rPr>
        <w:t>it </w:t>
      </w:r>
      <w:r>
        <w:rPr>
          <w:spacing w:val="-5"/>
          <w:w w:val="105"/>
          <w:sz w:val="21"/>
        </w:rPr>
        <w:t>recommended that this </w:t>
      </w:r>
      <w:r>
        <w:rPr>
          <w:spacing w:val="-6"/>
          <w:w w:val="105"/>
          <w:sz w:val="21"/>
        </w:rPr>
        <w:t>requirement </w:t>
      </w:r>
      <w:r>
        <w:rPr>
          <w:spacing w:val="-5"/>
          <w:w w:val="105"/>
          <w:sz w:val="21"/>
        </w:rPr>
        <w:t>should </w:t>
      </w:r>
      <w:r>
        <w:rPr>
          <w:spacing w:val="-4"/>
          <w:w w:val="105"/>
          <w:sz w:val="21"/>
        </w:rPr>
        <w:t>not apply </w:t>
      </w:r>
      <w:r>
        <w:rPr>
          <w:spacing w:val="-3"/>
          <w:w w:val="105"/>
          <w:sz w:val="21"/>
        </w:rPr>
        <w:t>if it </w:t>
      </w:r>
      <w:r>
        <w:rPr>
          <w:spacing w:val="-5"/>
          <w:w w:val="105"/>
          <w:sz w:val="21"/>
        </w:rPr>
        <w:t>would result </w:t>
      </w:r>
      <w:r>
        <w:rPr>
          <w:spacing w:val="-4"/>
          <w:w w:val="105"/>
          <w:sz w:val="21"/>
        </w:rPr>
        <w:t>in </w:t>
      </w:r>
      <w:r>
        <w:rPr>
          <w:i/>
          <w:spacing w:val="-4"/>
          <w:w w:val="105"/>
          <w:sz w:val="21"/>
        </w:rPr>
        <w:t>bona </w:t>
      </w:r>
      <w:r>
        <w:rPr>
          <w:i/>
          <w:spacing w:val="-6"/>
          <w:w w:val="105"/>
          <w:sz w:val="21"/>
        </w:rPr>
        <w:t>vacantia</w:t>
      </w:r>
      <w:r>
        <w:rPr>
          <w:spacing w:val="-6"/>
          <w:w w:val="105"/>
          <w:sz w:val="21"/>
        </w:rPr>
        <w:t>.</w:t>
      </w:r>
      <w:r>
        <w:rPr>
          <w:spacing w:val="-6"/>
          <w:w w:val="105"/>
          <w:position w:val="7"/>
          <w:sz w:val="12"/>
        </w:rPr>
        <w:t>54</w:t>
      </w:r>
      <w:r>
        <w:rPr>
          <w:spacing w:val="-6"/>
          <w:w w:val="105"/>
          <w:sz w:val="12"/>
        </w:rPr>
        <w:t> </w:t>
      </w:r>
      <w:r>
        <w:rPr>
          <w:spacing w:val="-4"/>
          <w:w w:val="105"/>
          <w:sz w:val="21"/>
        </w:rPr>
        <w:t>This </w:t>
      </w:r>
      <w:r>
        <w:rPr>
          <w:spacing w:val="-6"/>
          <w:w w:val="105"/>
          <w:sz w:val="21"/>
        </w:rPr>
        <w:t>recommendation </w:t>
      </w:r>
      <w:r>
        <w:rPr>
          <w:spacing w:val="-4"/>
          <w:w w:val="105"/>
          <w:sz w:val="21"/>
        </w:rPr>
        <w:t>has been </w:t>
      </w:r>
      <w:r>
        <w:rPr>
          <w:spacing w:val="-5"/>
          <w:w w:val="105"/>
          <w:sz w:val="21"/>
        </w:rPr>
        <w:t>adopted </w:t>
      </w:r>
      <w:r>
        <w:rPr>
          <w:spacing w:val="-4"/>
          <w:w w:val="105"/>
          <w:sz w:val="21"/>
        </w:rPr>
        <w:t>in </w:t>
      </w:r>
      <w:r>
        <w:rPr>
          <w:spacing w:val="-3"/>
          <w:w w:val="105"/>
          <w:sz w:val="21"/>
        </w:rPr>
        <w:t>New </w:t>
      </w:r>
      <w:r>
        <w:rPr>
          <w:spacing w:val="-4"/>
          <w:w w:val="105"/>
          <w:sz w:val="21"/>
        </w:rPr>
        <w:t>South </w:t>
      </w:r>
      <w:r>
        <w:rPr>
          <w:spacing w:val="-6"/>
          <w:w w:val="105"/>
          <w:sz w:val="21"/>
        </w:rPr>
        <w:t>Wales </w:t>
      </w:r>
      <w:r>
        <w:rPr>
          <w:spacing w:val="-4"/>
          <w:w w:val="105"/>
          <w:sz w:val="21"/>
        </w:rPr>
        <w:t>and </w:t>
      </w:r>
      <w:r>
        <w:rPr>
          <w:spacing w:val="-7"/>
          <w:w w:val="105"/>
          <w:sz w:val="21"/>
        </w:rPr>
        <w:t>Tasmania.</w:t>
      </w:r>
      <w:r>
        <w:rPr>
          <w:spacing w:val="-7"/>
          <w:w w:val="105"/>
          <w:position w:val="7"/>
          <w:sz w:val="12"/>
        </w:rPr>
        <w:t>55 </w:t>
      </w:r>
      <w:r>
        <w:rPr>
          <w:spacing w:val="-7"/>
          <w:w w:val="105"/>
          <w:sz w:val="21"/>
        </w:rPr>
        <w:t>Children </w:t>
      </w:r>
      <w:r>
        <w:rPr>
          <w:spacing w:val="-3"/>
          <w:w w:val="105"/>
          <w:sz w:val="21"/>
        </w:rPr>
        <w:t>who </w:t>
      </w:r>
      <w:r>
        <w:rPr>
          <w:spacing w:val="-5"/>
          <w:w w:val="105"/>
          <w:sz w:val="21"/>
        </w:rPr>
        <w:t>were </w:t>
      </w:r>
      <w:r>
        <w:rPr>
          <w:spacing w:val="-6"/>
          <w:w w:val="105"/>
          <w:sz w:val="21"/>
        </w:rPr>
        <w:t>conceived </w:t>
      </w:r>
      <w:r>
        <w:rPr>
          <w:spacing w:val="-4"/>
          <w:w w:val="105"/>
          <w:sz w:val="21"/>
        </w:rPr>
        <w:t>but not yet born </w:t>
      </w:r>
      <w:r>
        <w:rPr>
          <w:spacing w:val="-3"/>
          <w:w w:val="105"/>
          <w:sz w:val="21"/>
        </w:rPr>
        <w:t>at </w:t>
      </w:r>
      <w:r>
        <w:rPr>
          <w:spacing w:val="-4"/>
          <w:w w:val="105"/>
          <w:sz w:val="21"/>
        </w:rPr>
        <w:t>the </w:t>
      </w:r>
      <w:r>
        <w:rPr>
          <w:spacing w:val="-5"/>
          <w:w w:val="105"/>
          <w:sz w:val="21"/>
        </w:rPr>
        <w:t>date </w:t>
      </w:r>
      <w:r>
        <w:rPr>
          <w:spacing w:val="-4"/>
          <w:w w:val="105"/>
          <w:sz w:val="21"/>
        </w:rPr>
        <w:t>of the </w:t>
      </w:r>
      <w:r>
        <w:rPr>
          <w:spacing w:val="-5"/>
          <w:w w:val="105"/>
          <w:sz w:val="21"/>
        </w:rPr>
        <w:t>deceased </w:t>
      </w:r>
      <w:r>
        <w:rPr>
          <w:spacing w:val="-6"/>
          <w:w w:val="105"/>
          <w:sz w:val="21"/>
        </w:rPr>
        <w:t>person’s </w:t>
      </w:r>
      <w:r>
        <w:rPr>
          <w:spacing w:val="-5"/>
          <w:w w:val="105"/>
          <w:sz w:val="21"/>
        </w:rPr>
        <w:t>death are recognised </w:t>
      </w:r>
      <w:r>
        <w:rPr>
          <w:spacing w:val="-3"/>
          <w:w w:val="105"/>
          <w:sz w:val="21"/>
        </w:rPr>
        <w:t>on</w:t>
      </w:r>
      <w:r>
        <w:rPr>
          <w:spacing w:val="-11"/>
          <w:w w:val="105"/>
          <w:sz w:val="21"/>
        </w:rPr>
        <w:t> </w:t>
      </w:r>
      <w:r>
        <w:rPr>
          <w:spacing w:val="-4"/>
          <w:w w:val="105"/>
          <w:sz w:val="21"/>
        </w:rPr>
        <w:t>intestacy</w:t>
      </w:r>
      <w:r>
        <w:rPr>
          <w:spacing w:val="-10"/>
          <w:w w:val="105"/>
          <w:sz w:val="21"/>
        </w:rPr>
        <w:t> </w:t>
      </w:r>
      <w:r>
        <w:rPr>
          <w:spacing w:val="-4"/>
          <w:w w:val="105"/>
          <w:sz w:val="21"/>
        </w:rPr>
        <w:t>in</w:t>
      </w:r>
      <w:r>
        <w:rPr>
          <w:spacing w:val="-10"/>
          <w:w w:val="105"/>
          <w:sz w:val="21"/>
        </w:rPr>
        <w:t> </w:t>
      </w:r>
      <w:r>
        <w:rPr>
          <w:spacing w:val="-5"/>
          <w:w w:val="105"/>
          <w:sz w:val="21"/>
        </w:rPr>
        <w:t>Victoria,</w:t>
      </w:r>
      <w:r>
        <w:rPr>
          <w:spacing w:val="-5"/>
          <w:w w:val="105"/>
          <w:position w:val="7"/>
          <w:sz w:val="12"/>
        </w:rPr>
        <w:t>56</w:t>
      </w:r>
      <w:r>
        <w:rPr>
          <w:spacing w:val="13"/>
          <w:w w:val="105"/>
          <w:position w:val="7"/>
          <w:sz w:val="12"/>
        </w:rPr>
        <w:t> </w:t>
      </w:r>
      <w:r>
        <w:rPr>
          <w:spacing w:val="-4"/>
          <w:w w:val="105"/>
          <w:sz w:val="21"/>
        </w:rPr>
        <w:t>but</w:t>
      </w:r>
      <w:r>
        <w:rPr>
          <w:spacing w:val="-10"/>
          <w:w w:val="105"/>
          <w:sz w:val="21"/>
        </w:rPr>
        <w:t> </w:t>
      </w:r>
      <w:r>
        <w:rPr>
          <w:spacing w:val="-3"/>
          <w:w w:val="105"/>
          <w:sz w:val="21"/>
        </w:rPr>
        <w:t>no</w:t>
      </w:r>
      <w:r>
        <w:rPr>
          <w:spacing w:val="-10"/>
          <w:w w:val="105"/>
          <w:sz w:val="21"/>
        </w:rPr>
        <w:t> </w:t>
      </w:r>
      <w:r>
        <w:rPr>
          <w:spacing w:val="-5"/>
          <w:w w:val="105"/>
          <w:sz w:val="21"/>
        </w:rPr>
        <w:t>survivorship</w:t>
      </w:r>
      <w:r>
        <w:rPr>
          <w:spacing w:val="-11"/>
          <w:w w:val="105"/>
          <w:sz w:val="21"/>
        </w:rPr>
        <w:t> </w:t>
      </w:r>
      <w:r>
        <w:rPr>
          <w:spacing w:val="-6"/>
          <w:w w:val="105"/>
          <w:sz w:val="21"/>
        </w:rPr>
        <w:t>requirement</w:t>
      </w:r>
      <w:r>
        <w:rPr>
          <w:spacing w:val="-10"/>
          <w:w w:val="105"/>
          <w:sz w:val="21"/>
        </w:rPr>
        <w:t> </w:t>
      </w:r>
      <w:r>
        <w:rPr>
          <w:spacing w:val="-5"/>
          <w:w w:val="105"/>
          <w:sz w:val="21"/>
        </w:rPr>
        <w:t>applies</w:t>
      </w:r>
      <w:r>
        <w:rPr>
          <w:spacing w:val="-10"/>
          <w:w w:val="105"/>
          <w:sz w:val="21"/>
        </w:rPr>
        <w:t> </w:t>
      </w:r>
      <w:r>
        <w:rPr>
          <w:spacing w:val="-4"/>
          <w:w w:val="105"/>
          <w:sz w:val="21"/>
        </w:rPr>
        <w:t>to</w:t>
      </w:r>
      <w:r>
        <w:rPr>
          <w:spacing w:val="-10"/>
          <w:w w:val="105"/>
          <w:sz w:val="21"/>
        </w:rPr>
        <w:t> </w:t>
      </w:r>
      <w:r>
        <w:rPr>
          <w:spacing w:val="-5"/>
          <w:w w:val="105"/>
          <w:sz w:val="21"/>
        </w:rPr>
        <w:t>them,</w:t>
      </w:r>
      <w:r>
        <w:rPr>
          <w:spacing w:val="-10"/>
          <w:w w:val="105"/>
          <w:sz w:val="21"/>
        </w:rPr>
        <w:t> </w:t>
      </w:r>
      <w:r>
        <w:rPr>
          <w:spacing w:val="-3"/>
          <w:w w:val="105"/>
          <w:sz w:val="21"/>
        </w:rPr>
        <w:t>as</w:t>
      </w:r>
      <w:r>
        <w:rPr>
          <w:spacing w:val="-10"/>
          <w:w w:val="105"/>
          <w:sz w:val="21"/>
        </w:rPr>
        <w:t> </w:t>
      </w:r>
      <w:r>
        <w:rPr>
          <w:spacing w:val="-3"/>
          <w:w w:val="105"/>
          <w:sz w:val="21"/>
        </w:rPr>
        <w:t>no</w:t>
      </w:r>
      <w:r>
        <w:rPr>
          <w:spacing w:val="-10"/>
          <w:w w:val="105"/>
          <w:sz w:val="21"/>
        </w:rPr>
        <w:t> </w:t>
      </w:r>
      <w:r>
        <w:rPr>
          <w:spacing w:val="-5"/>
          <w:w w:val="105"/>
          <w:sz w:val="21"/>
        </w:rPr>
        <w:t>survivorship </w:t>
      </w:r>
      <w:r>
        <w:rPr>
          <w:spacing w:val="-6"/>
          <w:w w:val="105"/>
          <w:sz w:val="21"/>
        </w:rPr>
        <w:t>requirement </w:t>
      </w:r>
      <w:r>
        <w:rPr>
          <w:spacing w:val="-5"/>
          <w:w w:val="105"/>
          <w:sz w:val="21"/>
        </w:rPr>
        <w:t>applies </w:t>
      </w:r>
      <w:r>
        <w:rPr>
          <w:spacing w:val="-4"/>
          <w:w w:val="105"/>
          <w:sz w:val="21"/>
        </w:rPr>
        <w:t>to </w:t>
      </w:r>
      <w:r>
        <w:rPr>
          <w:spacing w:val="-5"/>
          <w:w w:val="105"/>
          <w:sz w:val="21"/>
        </w:rPr>
        <w:t>any </w:t>
      </w:r>
      <w:r>
        <w:rPr>
          <w:spacing w:val="-4"/>
          <w:w w:val="105"/>
          <w:sz w:val="21"/>
        </w:rPr>
        <w:t>person </w:t>
      </w:r>
      <w:r>
        <w:rPr>
          <w:spacing w:val="-5"/>
          <w:w w:val="105"/>
          <w:sz w:val="21"/>
        </w:rPr>
        <w:t>entitled </w:t>
      </w:r>
      <w:r>
        <w:rPr>
          <w:spacing w:val="-4"/>
          <w:w w:val="105"/>
          <w:sz w:val="21"/>
        </w:rPr>
        <w:t>to </w:t>
      </w:r>
      <w:r>
        <w:rPr>
          <w:spacing w:val="-5"/>
          <w:w w:val="105"/>
          <w:sz w:val="21"/>
        </w:rPr>
        <w:t>take </w:t>
      </w:r>
      <w:r>
        <w:rPr>
          <w:spacing w:val="-3"/>
          <w:w w:val="105"/>
          <w:sz w:val="21"/>
        </w:rPr>
        <w:t>on</w:t>
      </w:r>
      <w:r>
        <w:rPr>
          <w:spacing w:val="19"/>
          <w:w w:val="105"/>
          <w:sz w:val="21"/>
        </w:rPr>
        <w:t> </w:t>
      </w:r>
      <w:r>
        <w:rPr>
          <w:spacing w:val="-6"/>
          <w:w w:val="105"/>
          <w:sz w:val="21"/>
        </w:rPr>
        <w:t>intestacy.</w:t>
      </w:r>
    </w:p>
    <w:p>
      <w:pPr>
        <w:pStyle w:val="ListParagraph"/>
        <w:numPr>
          <w:ilvl w:val="1"/>
          <w:numId w:val="22"/>
        </w:numPr>
        <w:tabs>
          <w:tab w:pos="2380" w:val="left" w:leader="none"/>
          <w:tab w:pos="2382" w:val="left" w:leader="none"/>
        </w:tabs>
        <w:spacing w:line="242" w:lineRule="auto" w:before="130" w:after="0"/>
        <w:ind w:left="2381" w:right="2015" w:hanging="794"/>
        <w:jc w:val="left"/>
        <w:rPr>
          <w:sz w:val="12"/>
        </w:rPr>
      </w:pPr>
      <w:r>
        <w:rPr>
          <w:sz w:val="21"/>
        </w:rPr>
        <w:t>In its </w:t>
      </w:r>
      <w:r>
        <w:rPr>
          <w:spacing w:val="-3"/>
          <w:sz w:val="21"/>
        </w:rPr>
        <w:t>consultation </w:t>
      </w:r>
      <w:r>
        <w:rPr>
          <w:sz w:val="21"/>
        </w:rPr>
        <w:t>paper on </w:t>
      </w:r>
      <w:r>
        <w:rPr>
          <w:spacing w:val="-3"/>
          <w:sz w:val="21"/>
        </w:rPr>
        <w:t>intestacy, </w:t>
      </w:r>
      <w:r>
        <w:rPr>
          <w:sz w:val="21"/>
        </w:rPr>
        <w:t>the </w:t>
      </w:r>
      <w:r>
        <w:rPr>
          <w:spacing w:val="-3"/>
          <w:sz w:val="21"/>
        </w:rPr>
        <w:t>Commission asked </w:t>
      </w:r>
      <w:r>
        <w:rPr>
          <w:sz w:val="21"/>
        </w:rPr>
        <w:t>whether the </w:t>
      </w:r>
      <w:r>
        <w:rPr>
          <w:spacing w:val="-3"/>
          <w:sz w:val="21"/>
        </w:rPr>
        <w:t>National </w:t>
      </w:r>
      <w:r>
        <w:rPr>
          <w:spacing w:val="-4"/>
          <w:sz w:val="21"/>
        </w:rPr>
        <w:t>Committee’s</w:t>
      </w:r>
      <w:r>
        <w:rPr>
          <w:spacing w:val="23"/>
          <w:sz w:val="21"/>
        </w:rPr>
        <w:t> </w:t>
      </w:r>
      <w:r>
        <w:rPr>
          <w:sz w:val="21"/>
        </w:rPr>
        <w:t>recommended</w:t>
      </w:r>
      <w:r>
        <w:rPr>
          <w:spacing w:val="24"/>
          <w:sz w:val="21"/>
        </w:rPr>
        <w:t> </w:t>
      </w:r>
      <w:r>
        <w:rPr>
          <w:sz w:val="21"/>
        </w:rPr>
        <w:t>approach</w:t>
      </w:r>
      <w:r>
        <w:rPr>
          <w:spacing w:val="24"/>
          <w:sz w:val="21"/>
        </w:rPr>
        <w:t> </w:t>
      </w:r>
      <w:r>
        <w:rPr>
          <w:spacing w:val="-3"/>
          <w:sz w:val="21"/>
        </w:rPr>
        <w:t>to</w:t>
      </w:r>
      <w:r>
        <w:rPr>
          <w:spacing w:val="24"/>
          <w:sz w:val="21"/>
        </w:rPr>
        <w:t> </w:t>
      </w:r>
      <w:r>
        <w:rPr>
          <w:sz w:val="21"/>
        </w:rPr>
        <w:t>survivorship</w:t>
      </w:r>
      <w:r>
        <w:rPr>
          <w:spacing w:val="24"/>
          <w:sz w:val="21"/>
        </w:rPr>
        <w:t> </w:t>
      </w:r>
      <w:r>
        <w:rPr>
          <w:sz w:val="21"/>
        </w:rPr>
        <w:t>should</w:t>
      </w:r>
      <w:r>
        <w:rPr>
          <w:spacing w:val="24"/>
          <w:sz w:val="21"/>
        </w:rPr>
        <w:t> </w:t>
      </w:r>
      <w:r>
        <w:rPr>
          <w:sz w:val="21"/>
        </w:rPr>
        <w:t>be</w:t>
      </w:r>
      <w:r>
        <w:rPr>
          <w:spacing w:val="24"/>
          <w:sz w:val="21"/>
        </w:rPr>
        <w:t> </w:t>
      </w:r>
      <w:r>
        <w:rPr>
          <w:sz w:val="21"/>
        </w:rPr>
        <w:t>adopted</w:t>
      </w:r>
      <w:r>
        <w:rPr>
          <w:spacing w:val="24"/>
          <w:sz w:val="21"/>
        </w:rPr>
        <w:t> </w:t>
      </w:r>
      <w:r>
        <w:rPr>
          <w:sz w:val="21"/>
        </w:rPr>
        <w:t>in</w:t>
      </w:r>
      <w:r>
        <w:rPr>
          <w:spacing w:val="24"/>
          <w:sz w:val="21"/>
        </w:rPr>
        <w:t> </w:t>
      </w:r>
      <w:r>
        <w:rPr>
          <w:sz w:val="21"/>
        </w:rPr>
        <w:t>Victoria.</w:t>
      </w:r>
      <w:r>
        <w:rPr>
          <w:position w:val="7"/>
          <w:sz w:val="12"/>
        </w:rPr>
        <w:t>57</w:t>
      </w:r>
    </w:p>
    <w:p>
      <w:pPr>
        <w:pStyle w:val="BodyText"/>
        <w:spacing w:before="10"/>
        <w:rPr>
          <w:sz w:val="24"/>
        </w:rPr>
      </w:pPr>
    </w:p>
    <w:p>
      <w:pPr>
        <w:pStyle w:val="Heading5"/>
      </w:pPr>
      <w:bookmarkStart w:name="_TOC_250054" w:id="60"/>
      <w:bookmarkEnd w:id="60"/>
      <w:r>
        <w:rPr>
          <w:w w:val="115"/>
        </w:rPr>
        <w:t>Views and conclusions</w:t>
      </w:r>
    </w:p>
    <w:p>
      <w:pPr>
        <w:pStyle w:val="ListParagraph"/>
        <w:numPr>
          <w:ilvl w:val="1"/>
          <w:numId w:val="22"/>
        </w:numPr>
        <w:tabs>
          <w:tab w:pos="2382" w:val="left" w:leader="none"/>
        </w:tabs>
        <w:spacing w:line="242" w:lineRule="auto" w:before="138" w:after="0"/>
        <w:ind w:left="2381" w:right="1920" w:hanging="794"/>
        <w:jc w:val="both"/>
        <w:rPr>
          <w:sz w:val="21"/>
        </w:rPr>
      </w:pPr>
      <w:r>
        <w:rPr>
          <w:w w:val="105"/>
          <w:sz w:val="21"/>
        </w:rPr>
        <w:t>In </w:t>
      </w:r>
      <w:r>
        <w:rPr>
          <w:spacing w:val="-3"/>
          <w:w w:val="105"/>
          <w:sz w:val="21"/>
        </w:rPr>
        <w:t>submissions to </w:t>
      </w:r>
      <w:r>
        <w:rPr>
          <w:w w:val="105"/>
          <w:sz w:val="21"/>
        </w:rPr>
        <w:t>the </w:t>
      </w:r>
      <w:r>
        <w:rPr>
          <w:spacing w:val="-3"/>
          <w:w w:val="105"/>
          <w:sz w:val="21"/>
        </w:rPr>
        <w:t>Commission, </w:t>
      </w:r>
      <w:r>
        <w:rPr>
          <w:w w:val="105"/>
          <w:sz w:val="21"/>
        </w:rPr>
        <w:t>there was general support </w:t>
      </w:r>
      <w:r>
        <w:rPr>
          <w:spacing w:val="-3"/>
          <w:w w:val="105"/>
          <w:sz w:val="21"/>
        </w:rPr>
        <w:t>for introducing </w:t>
      </w:r>
      <w:r>
        <w:rPr>
          <w:w w:val="105"/>
          <w:sz w:val="21"/>
        </w:rPr>
        <w:t>a 30-day survivorship </w:t>
      </w:r>
      <w:r>
        <w:rPr>
          <w:spacing w:val="-3"/>
          <w:w w:val="105"/>
          <w:sz w:val="21"/>
        </w:rPr>
        <w:t>requirement.</w:t>
      </w:r>
      <w:r>
        <w:rPr>
          <w:spacing w:val="-3"/>
          <w:w w:val="105"/>
          <w:position w:val="7"/>
          <w:sz w:val="12"/>
        </w:rPr>
        <w:t>58 </w:t>
      </w:r>
      <w:r>
        <w:rPr>
          <w:w w:val="105"/>
          <w:sz w:val="21"/>
        </w:rPr>
        <w:t>Only one </w:t>
      </w:r>
      <w:r>
        <w:rPr>
          <w:spacing w:val="-3"/>
          <w:w w:val="105"/>
          <w:sz w:val="21"/>
        </w:rPr>
        <w:t>submission </w:t>
      </w:r>
      <w:r>
        <w:rPr>
          <w:w w:val="105"/>
          <w:sz w:val="21"/>
        </w:rPr>
        <w:t>opposed the </w:t>
      </w:r>
      <w:r>
        <w:rPr>
          <w:spacing w:val="-3"/>
          <w:w w:val="105"/>
          <w:sz w:val="21"/>
        </w:rPr>
        <w:t>idea.</w:t>
      </w:r>
      <w:r>
        <w:rPr>
          <w:spacing w:val="-3"/>
          <w:w w:val="105"/>
          <w:position w:val="7"/>
          <w:sz w:val="12"/>
        </w:rPr>
        <w:t>59 </w:t>
      </w:r>
      <w:r>
        <w:rPr>
          <w:w w:val="105"/>
          <w:sz w:val="21"/>
        </w:rPr>
        <w:t>The </w:t>
      </w:r>
      <w:r>
        <w:rPr>
          <w:spacing w:val="-3"/>
          <w:w w:val="105"/>
          <w:sz w:val="21"/>
        </w:rPr>
        <w:t>main reasons </w:t>
      </w:r>
      <w:r>
        <w:rPr>
          <w:w w:val="105"/>
          <w:sz w:val="21"/>
        </w:rPr>
        <w:t>given in support of the introduction of a survivorship </w:t>
      </w:r>
      <w:r>
        <w:rPr>
          <w:spacing w:val="-3"/>
          <w:w w:val="105"/>
          <w:sz w:val="21"/>
        </w:rPr>
        <w:t>requirement </w:t>
      </w:r>
      <w:r>
        <w:rPr>
          <w:w w:val="105"/>
          <w:sz w:val="21"/>
        </w:rPr>
        <w:t>were:</w:t>
      </w:r>
    </w:p>
    <w:p>
      <w:pPr>
        <w:pStyle w:val="ListParagraph"/>
        <w:numPr>
          <w:ilvl w:val="2"/>
          <w:numId w:val="22"/>
        </w:numPr>
        <w:tabs>
          <w:tab w:pos="2721" w:val="left" w:leader="none"/>
          <w:tab w:pos="2722" w:val="left" w:leader="none"/>
        </w:tabs>
        <w:spacing w:line="242" w:lineRule="auto" w:before="123" w:after="0"/>
        <w:ind w:left="2721" w:right="2192" w:hanging="340"/>
        <w:jc w:val="left"/>
        <w:rPr>
          <w:sz w:val="12"/>
        </w:rPr>
      </w:pPr>
      <w:r>
        <w:rPr>
          <w:sz w:val="21"/>
        </w:rPr>
        <w:t>consistency with the survivorship </w:t>
      </w:r>
      <w:r>
        <w:rPr>
          <w:spacing w:val="-3"/>
          <w:sz w:val="21"/>
        </w:rPr>
        <w:t>requirement </w:t>
      </w:r>
      <w:r>
        <w:rPr>
          <w:sz w:val="21"/>
        </w:rPr>
        <w:t>under </w:t>
      </w:r>
      <w:r>
        <w:rPr>
          <w:spacing w:val="-3"/>
          <w:sz w:val="21"/>
        </w:rPr>
        <w:t>wills </w:t>
      </w:r>
      <w:r>
        <w:rPr>
          <w:position w:val="7"/>
          <w:sz w:val="12"/>
        </w:rPr>
        <w:t>60 </w:t>
      </w:r>
      <w:r>
        <w:rPr>
          <w:sz w:val="21"/>
        </w:rPr>
        <w:t>and the </w:t>
      </w:r>
      <w:r>
        <w:rPr>
          <w:spacing w:val="-3"/>
          <w:sz w:val="21"/>
        </w:rPr>
        <w:t>way </w:t>
      </w:r>
      <w:r>
        <w:rPr>
          <w:sz w:val="21"/>
        </w:rPr>
        <w:t>people </w:t>
      </w:r>
      <w:r>
        <w:rPr>
          <w:spacing w:val="-3"/>
          <w:sz w:val="21"/>
        </w:rPr>
        <w:t>generally </w:t>
      </w:r>
      <w:r>
        <w:rPr>
          <w:sz w:val="21"/>
        </w:rPr>
        <w:t>draft their </w:t>
      </w:r>
      <w:r>
        <w:rPr>
          <w:spacing w:val="-3"/>
          <w:sz w:val="21"/>
        </w:rPr>
        <w:t>wills</w:t>
      </w:r>
      <w:r>
        <w:rPr>
          <w:spacing w:val="3"/>
          <w:sz w:val="21"/>
        </w:rPr>
        <w:t> </w:t>
      </w:r>
      <w:r>
        <w:rPr>
          <w:spacing w:val="-5"/>
          <w:position w:val="7"/>
          <w:sz w:val="12"/>
        </w:rPr>
        <w:t>61</w:t>
      </w:r>
    </w:p>
    <w:p>
      <w:pPr>
        <w:pStyle w:val="ListParagraph"/>
        <w:numPr>
          <w:ilvl w:val="2"/>
          <w:numId w:val="22"/>
        </w:numPr>
        <w:tabs>
          <w:tab w:pos="2721" w:val="left" w:leader="none"/>
          <w:tab w:pos="2722" w:val="left" w:leader="none"/>
        </w:tabs>
        <w:spacing w:line="240" w:lineRule="auto" w:before="122" w:after="0"/>
        <w:ind w:left="2721" w:right="0" w:hanging="340"/>
        <w:jc w:val="left"/>
        <w:rPr>
          <w:sz w:val="12"/>
        </w:rPr>
      </w:pPr>
      <w:r>
        <w:rPr>
          <w:sz w:val="21"/>
        </w:rPr>
        <w:t>consistency with other </w:t>
      </w:r>
      <w:r>
        <w:rPr>
          <w:spacing w:val="-3"/>
          <w:sz w:val="21"/>
        </w:rPr>
        <w:t>Australian </w:t>
      </w:r>
      <w:r>
        <w:rPr>
          <w:sz w:val="21"/>
        </w:rPr>
        <w:t>states and</w:t>
      </w:r>
      <w:r>
        <w:rPr>
          <w:spacing w:val="33"/>
          <w:sz w:val="21"/>
        </w:rPr>
        <w:t> </w:t>
      </w:r>
      <w:r>
        <w:rPr>
          <w:spacing w:val="-3"/>
          <w:sz w:val="21"/>
        </w:rPr>
        <w:t>territories </w:t>
      </w:r>
      <w:r>
        <w:rPr>
          <w:position w:val="7"/>
          <w:sz w:val="12"/>
        </w:rPr>
        <w:t>62</w:t>
      </w:r>
    </w:p>
    <w:p>
      <w:pPr>
        <w:pStyle w:val="ListParagraph"/>
        <w:numPr>
          <w:ilvl w:val="2"/>
          <w:numId w:val="22"/>
        </w:numPr>
        <w:tabs>
          <w:tab w:pos="2721" w:val="left" w:leader="none"/>
          <w:tab w:pos="2722" w:val="left" w:leader="none"/>
        </w:tabs>
        <w:spacing w:line="242" w:lineRule="auto" w:before="124" w:after="0"/>
        <w:ind w:left="2721" w:right="1873" w:hanging="340"/>
        <w:jc w:val="left"/>
        <w:rPr>
          <w:sz w:val="12"/>
        </w:rPr>
      </w:pPr>
      <w:r>
        <w:rPr>
          <w:spacing w:val="-3"/>
          <w:w w:val="105"/>
          <w:sz w:val="21"/>
        </w:rPr>
        <w:t>ensuring that </w:t>
      </w:r>
      <w:r>
        <w:rPr>
          <w:w w:val="105"/>
          <w:sz w:val="21"/>
        </w:rPr>
        <w:t>a deceased </w:t>
      </w:r>
      <w:r>
        <w:rPr>
          <w:spacing w:val="-3"/>
          <w:w w:val="105"/>
          <w:sz w:val="21"/>
        </w:rPr>
        <w:t>person’s </w:t>
      </w:r>
      <w:r>
        <w:rPr>
          <w:w w:val="105"/>
          <w:sz w:val="21"/>
        </w:rPr>
        <w:t>assets </w:t>
      </w:r>
      <w:r>
        <w:rPr>
          <w:spacing w:val="-3"/>
          <w:w w:val="105"/>
          <w:sz w:val="21"/>
        </w:rPr>
        <w:t>generally remain </w:t>
      </w:r>
      <w:r>
        <w:rPr>
          <w:w w:val="105"/>
          <w:sz w:val="21"/>
        </w:rPr>
        <w:t>in their own bloodline and </w:t>
      </w:r>
      <w:r>
        <w:rPr>
          <w:spacing w:val="-3"/>
          <w:w w:val="105"/>
          <w:sz w:val="21"/>
        </w:rPr>
        <w:t>avoiding </w:t>
      </w:r>
      <w:r>
        <w:rPr>
          <w:w w:val="105"/>
          <w:sz w:val="21"/>
        </w:rPr>
        <w:t>the </w:t>
      </w:r>
      <w:r>
        <w:rPr>
          <w:spacing w:val="-3"/>
          <w:w w:val="105"/>
          <w:sz w:val="21"/>
        </w:rPr>
        <w:t>quirk that </w:t>
      </w:r>
      <w:r>
        <w:rPr>
          <w:w w:val="105"/>
          <w:sz w:val="21"/>
        </w:rPr>
        <w:t>can </w:t>
      </w:r>
      <w:r>
        <w:rPr>
          <w:spacing w:val="-3"/>
          <w:w w:val="105"/>
          <w:sz w:val="21"/>
        </w:rPr>
        <w:t>occur </w:t>
      </w:r>
      <w:r>
        <w:rPr>
          <w:w w:val="105"/>
          <w:sz w:val="21"/>
        </w:rPr>
        <w:t>when </w:t>
      </w:r>
      <w:r>
        <w:rPr>
          <w:spacing w:val="-3"/>
          <w:w w:val="105"/>
          <w:sz w:val="21"/>
        </w:rPr>
        <w:t>relatives </w:t>
      </w:r>
      <w:r>
        <w:rPr>
          <w:w w:val="105"/>
          <w:sz w:val="21"/>
        </w:rPr>
        <w:t>die in </w:t>
      </w:r>
      <w:r>
        <w:rPr>
          <w:spacing w:val="-3"/>
          <w:w w:val="105"/>
          <w:sz w:val="21"/>
        </w:rPr>
        <w:t>quick succession, </w:t>
      </w:r>
      <w:r>
        <w:rPr>
          <w:w w:val="105"/>
          <w:sz w:val="21"/>
        </w:rPr>
        <w:t>where property passes </w:t>
      </w:r>
      <w:r>
        <w:rPr>
          <w:spacing w:val="-3"/>
          <w:w w:val="105"/>
          <w:sz w:val="21"/>
        </w:rPr>
        <w:t>to </w:t>
      </w:r>
      <w:r>
        <w:rPr>
          <w:w w:val="105"/>
          <w:sz w:val="21"/>
        </w:rPr>
        <w:t>one person and then shortly </w:t>
      </w:r>
      <w:r>
        <w:rPr>
          <w:spacing w:val="-2"/>
          <w:w w:val="105"/>
          <w:sz w:val="21"/>
        </w:rPr>
        <w:t>thereafter </w:t>
      </w:r>
      <w:r>
        <w:rPr>
          <w:spacing w:val="-3"/>
          <w:w w:val="105"/>
          <w:sz w:val="21"/>
        </w:rPr>
        <w:t>to </w:t>
      </w:r>
      <w:r>
        <w:rPr>
          <w:w w:val="105"/>
          <w:sz w:val="21"/>
        </w:rPr>
        <w:t>their</w:t>
      </w:r>
      <w:r>
        <w:rPr>
          <w:spacing w:val="-28"/>
          <w:w w:val="105"/>
          <w:sz w:val="21"/>
        </w:rPr>
        <w:t> </w:t>
      </w:r>
      <w:r>
        <w:rPr>
          <w:w w:val="105"/>
          <w:sz w:val="21"/>
        </w:rPr>
        <w:t>estate.</w:t>
      </w:r>
      <w:r>
        <w:rPr>
          <w:w w:val="105"/>
          <w:position w:val="7"/>
          <w:sz w:val="12"/>
        </w:rPr>
        <w:t>63</w:t>
      </w:r>
    </w:p>
    <w:p>
      <w:pPr>
        <w:pStyle w:val="ListParagraph"/>
        <w:numPr>
          <w:ilvl w:val="1"/>
          <w:numId w:val="22"/>
        </w:numPr>
        <w:tabs>
          <w:tab w:pos="2381" w:val="left" w:leader="none"/>
          <w:tab w:pos="2382" w:val="left" w:leader="none"/>
        </w:tabs>
        <w:spacing w:line="242" w:lineRule="auto" w:before="123" w:after="0"/>
        <w:ind w:left="2381" w:right="1871" w:hanging="794"/>
        <w:jc w:val="left"/>
        <w:rPr>
          <w:sz w:val="12"/>
        </w:rPr>
      </w:pPr>
      <w:r>
        <w:rPr>
          <w:w w:val="105"/>
          <w:sz w:val="21"/>
        </w:rPr>
        <w:t>In </w:t>
      </w:r>
      <w:r>
        <w:rPr>
          <w:spacing w:val="-3"/>
          <w:w w:val="105"/>
          <w:sz w:val="21"/>
        </w:rPr>
        <w:t>consultation, </w:t>
      </w:r>
      <w:r>
        <w:rPr>
          <w:w w:val="105"/>
          <w:sz w:val="21"/>
        </w:rPr>
        <w:t>representatives of the NSW </w:t>
      </w:r>
      <w:r>
        <w:rPr>
          <w:spacing w:val="-4"/>
          <w:w w:val="105"/>
          <w:sz w:val="21"/>
        </w:rPr>
        <w:t>Trustee </w:t>
      </w:r>
      <w:r>
        <w:rPr>
          <w:w w:val="105"/>
          <w:sz w:val="21"/>
        </w:rPr>
        <w:t>and </w:t>
      </w:r>
      <w:r>
        <w:rPr>
          <w:spacing w:val="-3"/>
          <w:w w:val="105"/>
          <w:sz w:val="21"/>
        </w:rPr>
        <w:t>Guardian </w:t>
      </w:r>
      <w:r>
        <w:rPr>
          <w:w w:val="105"/>
          <w:sz w:val="21"/>
        </w:rPr>
        <w:t>said </w:t>
      </w:r>
      <w:r>
        <w:rPr>
          <w:spacing w:val="-3"/>
          <w:w w:val="105"/>
          <w:sz w:val="21"/>
        </w:rPr>
        <w:t>that </w:t>
      </w:r>
      <w:r>
        <w:rPr>
          <w:w w:val="105"/>
          <w:sz w:val="21"/>
        </w:rPr>
        <w:t>the survivorship </w:t>
      </w:r>
      <w:r>
        <w:rPr>
          <w:spacing w:val="-3"/>
          <w:w w:val="105"/>
          <w:sz w:val="21"/>
        </w:rPr>
        <w:t>amendment </w:t>
      </w:r>
      <w:r>
        <w:rPr>
          <w:w w:val="105"/>
          <w:sz w:val="21"/>
        </w:rPr>
        <w:t>is </w:t>
      </w:r>
      <w:r>
        <w:rPr>
          <w:spacing w:val="-3"/>
          <w:w w:val="105"/>
          <w:sz w:val="21"/>
        </w:rPr>
        <w:t>working well </w:t>
      </w:r>
      <w:r>
        <w:rPr>
          <w:w w:val="105"/>
          <w:sz w:val="21"/>
        </w:rPr>
        <w:t>in New South </w:t>
      </w:r>
      <w:r>
        <w:rPr>
          <w:spacing w:val="-3"/>
          <w:w w:val="105"/>
          <w:sz w:val="21"/>
        </w:rPr>
        <w:t>Wales </w:t>
      </w:r>
      <w:r>
        <w:rPr>
          <w:w w:val="105"/>
          <w:sz w:val="21"/>
        </w:rPr>
        <w:t>and </w:t>
      </w:r>
      <w:r>
        <w:rPr>
          <w:spacing w:val="-3"/>
          <w:w w:val="105"/>
          <w:sz w:val="21"/>
        </w:rPr>
        <w:t>noted that </w:t>
      </w:r>
      <w:r>
        <w:rPr>
          <w:w w:val="105"/>
          <w:sz w:val="21"/>
        </w:rPr>
        <w:t>they </w:t>
      </w:r>
      <w:r>
        <w:rPr>
          <w:spacing w:val="-3"/>
          <w:w w:val="105"/>
          <w:sz w:val="21"/>
        </w:rPr>
        <w:t>have </w:t>
      </w:r>
      <w:r>
        <w:rPr>
          <w:w w:val="105"/>
          <w:sz w:val="21"/>
        </w:rPr>
        <w:t>experienced a number of cases where spouses die </w:t>
      </w:r>
      <w:r>
        <w:rPr>
          <w:spacing w:val="-3"/>
          <w:w w:val="105"/>
          <w:sz w:val="21"/>
        </w:rPr>
        <w:t>within </w:t>
      </w:r>
      <w:r>
        <w:rPr>
          <w:w w:val="105"/>
          <w:sz w:val="21"/>
        </w:rPr>
        <w:t>a short time of each </w:t>
      </w:r>
      <w:r>
        <w:rPr>
          <w:spacing w:val="-5"/>
          <w:w w:val="105"/>
          <w:sz w:val="21"/>
        </w:rPr>
        <w:t>other, </w:t>
      </w:r>
      <w:r>
        <w:rPr>
          <w:w w:val="105"/>
          <w:sz w:val="21"/>
        </w:rPr>
        <w:t>which </w:t>
      </w:r>
      <w:r>
        <w:rPr>
          <w:spacing w:val="-3"/>
          <w:w w:val="105"/>
          <w:sz w:val="21"/>
        </w:rPr>
        <w:t>means that </w:t>
      </w:r>
      <w:r>
        <w:rPr>
          <w:w w:val="105"/>
          <w:sz w:val="21"/>
        </w:rPr>
        <w:t>the </w:t>
      </w:r>
      <w:r>
        <w:rPr>
          <w:spacing w:val="-3"/>
          <w:w w:val="105"/>
          <w:sz w:val="21"/>
        </w:rPr>
        <w:t>requirement </w:t>
      </w:r>
      <w:r>
        <w:rPr>
          <w:w w:val="105"/>
          <w:sz w:val="21"/>
        </w:rPr>
        <w:t>is</w:t>
      </w:r>
      <w:r>
        <w:rPr>
          <w:spacing w:val="34"/>
          <w:w w:val="105"/>
          <w:sz w:val="21"/>
        </w:rPr>
        <w:t> </w:t>
      </w:r>
      <w:r>
        <w:rPr>
          <w:w w:val="105"/>
          <w:sz w:val="21"/>
        </w:rPr>
        <w:t>justified.</w:t>
      </w:r>
      <w:r>
        <w:rPr>
          <w:w w:val="105"/>
          <w:position w:val="7"/>
          <w:sz w:val="12"/>
        </w:rPr>
        <w:t>64</w:t>
      </w:r>
    </w:p>
    <w:p>
      <w:pPr>
        <w:pStyle w:val="ListParagraph"/>
        <w:numPr>
          <w:ilvl w:val="1"/>
          <w:numId w:val="22"/>
        </w:numPr>
        <w:tabs>
          <w:tab w:pos="2380" w:val="left" w:leader="none"/>
          <w:tab w:pos="2381" w:val="left" w:leader="none"/>
        </w:tabs>
        <w:spacing w:line="242" w:lineRule="auto" w:before="124" w:after="0"/>
        <w:ind w:left="2380" w:right="1651" w:hanging="793"/>
        <w:jc w:val="left"/>
        <w:rPr>
          <w:sz w:val="12"/>
        </w:rPr>
      </w:pPr>
      <w:r>
        <w:rPr>
          <w:w w:val="105"/>
          <w:sz w:val="21"/>
        </w:rPr>
        <w:t>The </w:t>
      </w:r>
      <w:r>
        <w:rPr>
          <w:spacing w:val="-3"/>
          <w:w w:val="105"/>
          <w:sz w:val="21"/>
        </w:rPr>
        <w:t>reasons </w:t>
      </w:r>
      <w:r>
        <w:rPr>
          <w:w w:val="105"/>
          <w:sz w:val="21"/>
        </w:rPr>
        <w:t>provided in </w:t>
      </w:r>
      <w:r>
        <w:rPr>
          <w:spacing w:val="-3"/>
          <w:w w:val="105"/>
          <w:sz w:val="21"/>
        </w:rPr>
        <w:t>submissions </w:t>
      </w:r>
      <w:r>
        <w:rPr>
          <w:w w:val="105"/>
          <w:sz w:val="21"/>
        </w:rPr>
        <w:t>and </w:t>
      </w:r>
      <w:r>
        <w:rPr>
          <w:spacing w:val="-3"/>
          <w:w w:val="105"/>
          <w:sz w:val="21"/>
        </w:rPr>
        <w:t>consultations </w:t>
      </w:r>
      <w:r>
        <w:rPr>
          <w:w w:val="105"/>
          <w:sz w:val="21"/>
        </w:rPr>
        <w:t>in support of a survivorship </w:t>
      </w:r>
      <w:r>
        <w:rPr>
          <w:spacing w:val="-3"/>
          <w:w w:val="105"/>
          <w:sz w:val="21"/>
        </w:rPr>
        <w:t>requirement were </w:t>
      </w:r>
      <w:r>
        <w:rPr>
          <w:w w:val="105"/>
          <w:sz w:val="21"/>
        </w:rPr>
        <w:t>broadly </w:t>
      </w:r>
      <w:r>
        <w:rPr>
          <w:spacing w:val="-3"/>
          <w:w w:val="105"/>
          <w:sz w:val="21"/>
        </w:rPr>
        <w:t>similar to </w:t>
      </w:r>
      <w:r>
        <w:rPr>
          <w:w w:val="105"/>
          <w:sz w:val="21"/>
        </w:rPr>
        <w:t>those given by the </w:t>
      </w:r>
      <w:r>
        <w:rPr>
          <w:spacing w:val="-3"/>
          <w:w w:val="105"/>
          <w:sz w:val="21"/>
        </w:rPr>
        <w:t>National Committee </w:t>
      </w:r>
      <w:r>
        <w:rPr>
          <w:w w:val="105"/>
          <w:sz w:val="21"/>
        </w:rPr>
        <w:t>when </w:t>
      </w:r>
      <w:r>
        <w:rPr>
          <w:spacing w:val="-3"/>
          <w:w w:val="105"/>
          <w:sz w:val="21"/>
        </w:rPr>
        <w:t>recommending </w:t>
      </w:r>
      <w:r>
        <w:rPr>
          <w:w w:val="105"/>
          <w:sz w:val="21"/>
        </w:rPr>
        <w:t>the </w:t>
      </w:r>
      <w:r>
        <w:rPr>
          <w:spacing w:val="-3"/>
          <w:w w:val="105"/>
          <w:sz w:val="21"/>
        </w:rPr>
        <w:t>requirement.</w:t>
      </w:r>
      <w:r>
        <w:rPr>
          <w:spacing w:val="-3"/>
          <w:w w:val="105"/>
          <w:position w:val="7"/>
          <w:sz w:val="12"/>
        </w:rPr>
        <w:t>65 </w:t>
      </w:r>
      <w:r>
        <w:rPr>
          <w:w w:val="105"/>
          <w:sz w:val="21"/>
        </w:rPr>
        <w:t>The </w:t>
      </w:r>
      <w:r>
        <w:rPr>
          <w:spacing w:val="-3"/>
          <w:w w:val="105"/>
          <w:sz w:val="21"/>
        </w:rPr>
        <w:t>National Committee </w:t>
      </w:r>
      <w:r>
        <w:rPr>
          <w:w w:val="105"/>
          <w:sz w:val="21"/>
        </w:rPr>
        <w:t>also </w:t>
      </w:r>
      <w:r>
        <w:rPr>
          <w:spacing w:val="-3"/>
          <w:w w:val="105"/>
          <w:sz w:val="21"/>
        </w:rPr>
        <w:t>noted that </w:t>
      </w:r>
      <w:r>
        <w:rPr>
          <w:w w:val="105"/>
          <w:sz w:val="21"/>
        </w:rPr>
        <w:t>the period of 30</w:t>
      </w:r>
      <w:r>
        <w:rPr>
          <w:spacing w:val="-5"/>
          <w:w w:val="105"/>
          <w:sz w:val="21"/>
        </w:rPr>
        <w:t> </w:t>
      </w:r>
      <w:r>
        <w:rPr>
          <w:w w:val="105"/>
          <w:sz w:val="21"/>
        </w:rPr>
        <w:t>days</w:t>
      </w:r>
      <w:r>
        <w:rPr>
          <w:spacing w:val="-5"/>
          <w:w w:val="105"/>
          <w:sz w:val="21"/>
        </w:rPr>
        <w:t> </w:t>
      </w:r>
      <w:r>
        <w:rPr>
          <w:w w:val="105"/>
          <w:sz w:val="21"/>
        </w:rPr>
        <w:t>would</w:t>
      </w:r>
      <w:r>
        <w:rPr>
          <w:spacing w:val="-4"/>
          <w:w w:val="105"/>
          <w:sz w:val="21"/>
        </w:rPr>
        <w:t> </w:t>
      </w:r>
      <w:r>
        <w:rPr>
          <w:spacing w:val="-2"/>
          <w:w w:val="105"/>
          <w:sz w:val="21"/>
        </w:rPr>
        <w:t>not</w:t>
      </w:r>
      <w:r>
        <w:rPr>
          <w:spacing w:val="-5"/>
          <w:w w:val="105"/>
          <w:sz w:val="21"/>
        </w:rPr>
        <w:t> </w:t>
      </w:r>
      <w:r>
        <w:rPr>
          <w:w w:val="105"/>
          <w:sz w:val="21"/>
        </w:rPr>
        <w:t>delay</w:t>
      </w:r>
      <w:r>
        <w:rPr>
          <w:spacing w:val="-5"/>
          <w:w w:val="105"/>
          <w:sz w:val="21"/>
        </w:rPr>
        <w:t> </w:t>
      </w:r>
      <w:r>
        <w:rPr>
          <w:spacing w:val="-3"/>
          <w:w w:val="105"/>
          <w:sz w:val="21"/>
        </w:rPr>
        <w:t>administration</w:t>
      </w:r>
      <w:r>
        <w:rPr>
          <w:spacing w:val="-4"/>
          <w:w w:val="105"/>
          <w:sz w:val="21"/>
        </w:rPr>
        <w:t> </w:t>
      </w:r>
      <w:r>
        <w:rPr>
          <w:spacing w:val="-3"/>
          <w:w w:val="105"/>
          <w:sz w:val="21"/>
        </w:rPr>
        <w:t>unduly</w:t>
      </w:r>
      <w:r>
        <w:rPr>
          <w:spacing w:val="-5"/>
          <w:w w:val="105"/>
          <w:sz w:val="21"/>
        </w:rPr>
        <w:t> </w:t>
      </w:r>
      <w:r>
        <w:rPr>
          <w:spacing w:val="-3"/>
          <w:w w:val="105"/>
          <w:sz w:val="21"/>
        </w:rPr>
        <w:t>and,</w:t>
      </w:r>
      <w:r>
        <w:rPr>
          <w:spacing w:val="-4"/>
          <w:w w:val="105"/>
          <w:sz w:val="21"/>
        </w:rPr>
        <w:t> </w:t>
      </w:r>
      <w:r>
        <w:rPr>
          <w:w w:val="105"/>
          <w:sz w:val="21"/>
        </w:rPr>
        <w:t>in</w:t>
      </w:r>
      <w:r>
        <w:rPr>
          <w:spacing w:val="-5"/>
          <w:w w:val="105"/>
          <w:sz w:val="21"/>
        </w:rPr>
        <w:t> </w:t>
      </w:r>
      <w:r>
        <w:rPr>
          <w:w w:val="105"/>
          <w:sz w:val="21"/>
        </w:rPr>
        <w:t>some</w:t>
      </w:r>
      <w:r>
        <w:rPr>
          <w:spacing w:val="-5"/>
          <w:w w:val="105"/>
          <w:sz w:val="21"/>
        </w:rPr>
        <w:t> </w:t>
      </w:r>
      <w:r>
        <w:rPr>
          <w:w w:val="105"/>
          <w:sz w:val="21"/>
        </w:rPr>
        <w:t>cases,</w:t>
      </w:r>
      <w:r>
        <w:rPr>
          <w:spacing w:val="-4"/>
          <w:w w:val="105"/>
          <w:sz w:val="21"/>
        </w:rPr>
        <w:t> </w:t>
      </w:r>
      <w:r>
        <w:rPr>
          <w:w w:val="105"/>
          <w:sz w:val="21"/>
        </w:rPr>
        <w:t>would</w:t>
      </w:r>
      <w:r>
        <w:rPr>
          <w:spacing w:val="-5"/>
          <w:w w:val="105"/>
          <w:sz w:val="21"/>
        </w:rPr>
        <w:t> </w:t>
      </w:r>
      <w:r>
        <w:rPr>
          <w:w w:val="105"/>
          <w:sz w:val="21"/>
        </w:rPr>
        <w:t>avoid</w:t>
      </w:r>
      <w:r>
        <w:rPr>
          <w:spacing w:val="-4"/>
          <w:w w:val="105"/>
          <w:sz w:val="21"/>
        </w:rPr>
        <w:t> </w:t>
      </w:r>
      <w:r>
        <w:rPr>
          <w:w w:val="105"/>
          <w:sz w:val="21"/>
        </w:rPr>
        <w:t>the</w:t>
      </w:r>
      <w:r>
        <w:rPr>
          <w:spacing w:val="-5"/>
          <w:w w:val="105"/>
          <w:sz w:val="21"/>
        </w:rPr>
        <w:t> </w:t>
      </w:r>
      <w:r>
        <w:rPr>
          <w:w w:val="105"/>
          <w:sz w:val="21"/>
        </w:rPr>
        <w:t>costs and delay </w:t>
      </w:r>
      <w:r>
        <w:rPr>
          <w:spacing w:val="-3"/>
          <w:w w:val="105"/>
          <w:sz w:val="21"/>
        </w:rPr>
        <w:t>involved </w:t>
      </w:r>
      <w:r>
        <w:rPr>
          <w:w w:val="105"/>
          <w:sz w:val="21"/>
        </w:rPr>
        <w:t>in </w:t>
      </w:r>
      <w:r>
        <w:rPr>
          <w:spacing w:val="-4"/>
          <w:w w:val="105"/>
          <w:sz w:val="21"/>
        </w:rPr>
        <w:t>‘double</w:t>
      </w:r>
      <w:r>
        <w:rPr>
          <w:spacing w:val="27"/>
          <w:w w:val="105"/>
          <w:sz w:val="21"/>
        </w:rPr>
        <w:t> </w:t>
      </w:r>
      <w:r>
        <w:rPr>
          <w:spacing w:val="-4"/>
          <w:w w:val="105"/>
          <w:sz w:val="21"/>
        </w:rPr>
        <w:t>administration’.</w:t>
      </w:r>
      <w:r>
        <w:rPr>
          <w:spacing w:val="-4"/>
          <w:w w:val="105"/>
          <w:position w:val="7"/>
          <w:sz w:val="12"/>
        </w:rPr>
        <w:t>66</w:t>
      </w:r>
    </w:p>
    <w:p>
      <w:pPr>
        <w:pStyle w:val="ListParagraph"/>
        <w:numPr>
          <w:ilvl w:val="1"/>
          <w:numId w:val="22"/>
        </w:numPr>
        <w:tabs>
          <w:tab w:pos="2380" w:val="left" w:leader="none"/>
          <w:tab w:pos="2381" w:val="left" w:leader="none"/>
        </w:tabs>
        <w:spacing w:line="242" w:lineRule="auto" w:before="126" w:after="0"/>
        <w:ind w:left="2381" w:right="1868" w:hanging="794"/>
        <w:jc w:val="left"/>
        <w:rPr>
          <w:sz w:val="21"/>
        </w:rPr>
      </w:pPr>
      <w:r>
        <w:rPr>
          <w:sz w:val="21"/>
        </w:rPr>
        <w:t>The </w:t>
      </w:r>
      <w:r>
        <w:rPr>
          <w:spacing w:val="-3"/>
          <w:sz w:val="21"/>
        </w:rPr>
        <w:t>Commission </w:t>
      </w:r>
      <w:r>
        <w:rPr>
          <w:sz w:val="21"/>
        </w:rPr>
        <w:t>considers </w:t>
      </w:r>
      <w:r>
        <w:rPr>
          <w:spacing w:val="-3"/>
          <w:sz w:val="21"/>
        </w:rPr>
        <w:t>that </w:t>
      </w:r>
      <w:r>
        <w:rPr>
          <w:sz w:val="21"/>
        </w:rPr>
        <w:t>the </w:t>
      </w:r>
      <w:r>
        <w:rPr>
          <w:spacing w:val="-3"/>
          <w:sz w:val="21"/>
        </w:rPr>
        <w:t>reasons  </w:t>
      </w:r>
      <w:r>
        <w:rPr>
          <w:sz w:val="21"/>
        </w:rPr>
        <w:t>in  support  of  a  survivorship  </w:t>
      </w:r>
      <w:r>
        <w:rPr>
          <w:spacing w:val="-3"/>
          <w:sz w:val="21"/>
        </w:rPr>
        <w:t>requirement are  compelling  </w:t>
      </w:r>
      <w:r>
        <w:rPr>
          <w:sz w:val="21"/>
        </w:rPr>
        <w:t>and </w:t>
      </w:r>
      <w:r>
        <w:rPr>
          <w:spacing w:val="-3"/>
          <w:sz w:val="21"/>
        </w:rPr>
        <w:t>that</w:t>
      </w:r>
      <w:r>
        <w:rPr>
          <w:spacing w:val="41"/>
          <w:sz w:val="21"/>
        </w:rPr>
        <w:t> </w:t>
      </w:r>
      <w:r>
        <w:rPr>
          <w:sz w:val="21"/>
        </w:rPr>
        <w:t>a 30-day survivorship </w:t>
      </w:r>
      <w:r>
        <w:rPr>
          <w:spacing w:val="-3"/>
          <w:sz w:val="21"/>
        </w:rPr>
        <w:t>requirement  </w:t>
      </w:r>
      <w:r>
        <w:rPr>
          <w:sz w:val="21"/>
        </w:rPr>
        <w:t>should operate in </w:t>
      </w:r>
      <w:r>
        <w:rPr>
          <w:spacing w:val="-3"/>
          <w:sz w:val="21"/>
        </w:rPr>
        <w:t>relation    to intestacy, </w:t>
      </w:r>
      <w:r>
        <w:rPr>
          <w:sz w:val="21"/>
        </w:rPr>
        <w:t>unless it would </w:t>
      </w:r>
      <w:r>
        <w:rPr>
          <w:spacing w:val="-3"/>
          <w:sz w:val="21"/>
        </w:rPr>
        <w:t>result </w:t>
      </w:r>
      <w:r>
        <w:rPr>
          <w:sz w:val="21"/>
        </w:rPr>
        <w:t>in </w:t>
      </w:r>
      <w:r>
        <w:rPr>
          <w:i/>
          <w:sz w:val="21"/>
        </w:rPr>
        <w:t>bona </w:t>
      </w:r>
      <w:r>
        <w:rPr>
          <w:i/>
          <w:spacing w:val="-4"/>
          <w:sz w:val="21"/>
        </w:rPr>
        <w:t>vacantia</w:t>
      </w:r>
      <w:r>
        <w:rPr>
          <w:spacing w:val="-4"/>
          <w:sz w:val="21"/>
        </w:rPr>
        <w:t>. </w:t>
      </w:r>
      <w:r>
        <w:rPr>
          <w:sz w:val="21"/>
        </w:rPr>
        <w:t>The </w:t>
      </w:r>
      <w:r>
        <w:rPr>
          <w:spacing w:val="-3"/>
          <w:sz w:val="21"/>
        </w:rPr>
        <w:t>Commission </w:t>
      </w:r>
      <w:r>
        <w:rPr>
          <w:sz w:val="21"/>
        </w:rPr>
        <w:t>considers </w:t>
      </w:r>
      <w:r>
        <w:rPr>
          <w:spacing w:val="-3"/>
          <w:sz w:val="21"/>
        </w:rPr>
        <w:t>that</w:t>
      </w:r>
      <w:r>
        <w:rPr>
          <w:spacing w:val="10"/>
          <w:sz w:val="21"/>
        </w:rPr>
        <w:t> </w:t>
      </w:r>
      <w:r>
        <w:rPr>
          <w:sz w:val="21"/>
        </w:rPr>
        <w:t>the</w:t>
      </w:r>
    </w:p>
    <w:p>
      <w:pPr>
        <w:pStyle w:val="BodyText"/>
        <w:spacing w:line="242" w:lineRule="auto" w:before="3"/>
        <w:ind w:left="2380" w:right="1540"/>
      </w:pPr>
      <w:r>
        <w:rPr>
          <w:w w:val="105"/>
        </w:rPr>
        <w:t>survivorship </w:t>
      </w:r>
      <w:r>
        <w:rPr>
          <w:spacing w:val="-3"/>
          <w:w w:val="105"/>
        </w:rPr>
        <w:t>requirement </w:t>
      </w:r>
      <w:r>
        <w:rPr>
          <w:w w:val="105"/>
        </w:rPr>
        <w:t>should apply </w:t>
      </w:r>
      <w:r>
        <w:rPr>
          <w:spacing w:val="-3"/>
          <w:w w:val="105"/>
        </w:rPr>
        <w:t>to children conceived, </w:t>
      </w:r>
      <w:r>
        <w:rPr>
          <w:w w:val="105"/>
        </w:rPr>
        <w:t>but </w:t>
      </w:r>
      <w:r>
        <w:rPr>
          <w:spacing w:val="-2"/>
          <w:w w:val="105"/>
        </w:rPr>
        <w:t>not </w:t>
      </w:r>
      <w:r>
        <w:rPr>
          <w:w w:val="105"/>
        </w:rPr>
        <w:t>yet born, at the </w:t>
      </w:r>
      <w:r>
        <w:rPr>
          <w:spacing w:val="-3"/>
          <w:w w:val="105"/>
        </w:rPr>
        <w:t>date </w:t>
      </w:r>
      <w:r>
        <w:rPr>
          <w:w w:val="105"/>
        </w:rPr>
        <w:t>of the deceased </w:t>
      </w:r>
      <w:r>
        <w:rPr>
          <w:spacing w:val="-3"/>
          <w:w w:val="105"/>
        </w:rPr>
        <w:t>person’s death, </w:t>
      </w:r>
      <w:r>
        <w:rPr>
          <w:w w:val="105"/>
        </w:rPr>
        <w:t>as recommended by the </w:t>
      </w:r>
      <w:r>
        <w:rPr>
          <w:spacing w:val="-3"/>
          <w:w w:val="105"/>
        </w:rPr>
        <w:t>National Committee.</w:t>
      </w:r>
    </w:p>
    <w:p>
      <w:pPr>
        <w:pStyle w:val="BodyText"/>
        <w:spacing w:before="11"/>
        <w:rPr>
          <w:sz w:val="18"/>
        </w:rPr>
      </w:pPr>
      <w:r>
        <w:rPr/>
        <w:pict>
          <v:line style="position:absolute;mso-position-horizontal-relative:page;mso-position-vertical-relative:paragraph;z-index:3752;mso-wrap-distance-left:0;mso-wrap-distance-right:0" from="79.370003pt,13.987542pt" to="515.905003pt,13.987542pt" stroked="true" strokeweight="1pt" strokecolor="#f9ceca">
            <v:stroke dashstyle="solid"/>
            <w10:wrap type="topAndBottom"/>
          </v:line>
        </w:pict>
      </w:r>
    </w:p>
    <w:p>
      <w:pPr>
        <w:pStyle w:val="ListParagraph"/>
        <w:numPr>
          <w:ilvl w:val="0"/>
          <w:numId w:val="54"/>
        </w:numPr>
        <w:tabs>
          <w:tab w:pos="2380" w:val="left" w:leader="none"/>
          <w:tab w:pos="2382" w:val="left" w:leader="none"/>
        </w:tabs>
        <w:spacing w:line="240" w:lineRule="auto" w:before="117" w:after="0"/>
        <w:ind w:left="2381" w:right="0" w:hanging="794"/>
        <w:jc w:val="left"/>
        <w:rPr>
          <w:sz w:val="13"/>
        </w:rPr>
      </w:pPr>
      <w:r>
        <w:rPr>
          <w:w w:val="105"/>
          <w:sz w:val="13"/>
        </w:rPr>
        <w:t>National</w:t>
      </w:r>
      <w:r>
        <w:rPr>
          <w:spacing w:val="5"/>
          <w:w w:val="105"/>
          <w:sz w:val="13"/>
        </w:rPr>
        <w:t> </w:t>
      </w:r>
      <w:r>
        <w:rPr>
          <w:w w:val="105"/>
          <w:sz w:val="13"/>
        </w:rPr>
        <w:t>Committee</w:t>
      </w:r>
      <w:r>
        <w:rPr>
          <w:spacing w:val="5"/>
          <w:w w:val="105"/>
          <w:sz w:val="13"/>
        </w:rPr>
        <w:t> </w:t>
      </w:r>
      <w:r>
        <w:rPr>
          <w:w w:val="105"/>
          <w:sz w:val="13"/>
        </w:rPr>
        <w:t>for</w:t>
      </w:r>
      <w:r>
        <w:rPr>
          <w:spacing w:val="5"/>
          <w:w w:val="105"/>
          <w:sz w:val="13"/>
        </w:rPr>
        <w:t> </w:t>
      </w:r>
      <w:r>
        <w:rPr>
          <w:w w:val="105"/>
          <w:sz w:val="13"/>
        </w:rPr>
        <w:t>Uniform</w:t>
      </w:r>
      <w:r>
        <w:rPr>
          <w:spacing w:val="5"/>
          <w:w w:val="105"/>
          <w:sz w:val="13"/>
        </w:rPr>
        <w:t> </w:t>
      </w:r>
      <w:r>
        <w:rPr>
          <w:w w:val="105"/>
          <w:sz w:val="13"/>
        </w:rPr>
        <w:t>Succession</w:t>
      </w:r>
      <w:r>
        <w:rPr>
          <w:spacing w:val="6"/>
          <w:w w:val="105"/>
          <w:sz w:val="13"/>
        </w:rPr>
        <w:t> </w:t>
      </w:r>
      <w:r>
        <w:rPr>
          <w:w w:val="105"/>
          <w:sz w:val="13"/>
        </w:rPr>
        <w:t>Laws,</w:t>
      </w:r>
      <w:r>
        <w:rPr>
          <w:spacing w:val="5"/>
          <w:w w:val="105"/>
          <w:sz w:val="13"/>
        </w:rPr>
        <w:t> </w:t>
      </w:r>
      <w:r>
        <w:rPr>
          <w:w w:val="105"/>
          <w:sz w:val="13"/>
        </w:rPr>
        <w:t>above</w:t>
      </w:r>
      <w:r>
        <w:rPr>
          <w:spacing w:val="5"/>
          <w:w w:val="105"/>
          <w:sz w:val="13"/>
        </w:rPr>
        <w:t> </w:t>
      </w:r>
      <w:r>
        <w:rPr>
          <w:w w:val="105"/>
          <w:sz w:val="13"/>
        </w:rPr>
        <w:t>n</w:t>
      </w:r>
      <w:r>
        <w:rPr>
          <w:spacing w:val="5"/>
          <w:w w:val="105"/>
          <w:sz w:val="13"/>
        </w:rPr>
        <w:t> </w:t>
      </w:r>
      <w:r>
        <w:rPr>
          <w:w w:val="105"/>
          <w:sz w:val="13"/>
        </w:rPr>
        <w:t>10,</w:t>
      </w:r>
      <w:r>
        <w:rPr>
          <w:spacing w:val="6"/>
          <w:w w:val="105"/>
          <w:sz w:val="13"/>
        </w:rPr>
        <w:t> </w:t>
      </w:r>
      <w:r>
        <w:rPr>
          <w:spacing w:val="2"/>
          <w:w w:val="105"/>
          <w:sz w:val="13"/>
        </w:rPr>
        <w:t>195–6</w:t>
      </w:r>
      <w:r>
        <w:rPr>
          <w:spacing w:val="5"/>
          <w:w w:val="105"/>
          <w:sz w:val="13"/>
        </w:rPr>
        <w:t> </w:t>
      </w:r>
      <w:r>
        <w:rPr>
          <w:w w:val="105"/>
          <w:sz w:val="13"/>
        </w:rPr>
        <w:t>recommendation</w:t>
      </w:r>
      <w:r>
        <w:rPr>
          <w:spacing w:val="5"/>
          <w:w w:val="105"/>
          <w:sz w:val="13"/>
        </w:rPr>
        <w:t> </w:t>
      </w:r>
      <w:r>
        <w:rPr>
          <w:w w:val="105"/>
          <w:sz w:val="13"/>
        </w:rPr>
        <w:t>40,</w:t>
      </w:r>
      <w:r>
        <w:rPr>
          <w:spacing w:val="5"/>
          <w:w w:val="105"/>
          <w:sz w:val="13"/>
        </w:rPr>
        <w:t> </w:t>
      </w:r>
      <w:r>
        <w:rPr>
          <w:w w:val="105"/>
          <w:sz w:val="13"/>
        </w:rPr>
        <w:t>Draft</w:t>
      </w:r>
      <w:r>
        <w:rPr>
          <w:spacing w:val="6"/>
          <w:w w:val="105"/>
          <w:sz w:val="13"/>
        </w:rPr>
        <w:t> </w:t>
      </w:r>
      <w:r>
        <w:rPr>
          <w:w w:val="105"/>
          <w:sz w:val="13"/>
        </w:rPr>
        <w:t>Intestacy</w:t>
      </w:r>
      <w:r>
        <w:rPr>
          <w:spacing w:val="5"/>
          <w:w w:val="105"/>
          <w:sz w:val="13"/>
        </w:rPr>
        <w:t> </w:t>
      </w:r>
      <w:r>
        <w:rPr>
          <w:w w:val="105"/>
          <w:sz w:val="13"/>
        </w:rPr>
        <w:t>Bill</w:t>
      </w:r>
      <w:r>
        <w:rPr>
          <w:spacing w:val="5"/>
          <w:w w:val="105"/>
          <w:sz w:val="13"/>
        </w:rPr>
        <w:t> </w:t>
      </w:r>
      <w:r>
        <w:rPr>
          <w:w w:val="105"/>
          <w:sz w:val="13"/>
        </w:rPr>
        <w:t>2006</w:t>
      </w:r>
      <w:r>
        <w:rPr>
          <w:spacing w:val="5"/>
          <w:w w:val="105"/>
          <w:sz w:val="13"/>
        </w:rPr>
        <w:t> </w:t>
      </w:r>
      <w:r>
        <w:rPr>
          <w:w w:val="105"/>
          <w:sz w:val="13"/>
        </w:rPr>
        <w:t>cl</w:t>
      </w:r>
      <w:r>
        <w:rPr>
          <w:spacing w:val="6"/>
          <w:w w:val="105"/>
          <w:sz w:val="13"/>
        </w:rPr>
        <w:t> </w:t>
      </w:r>
      <w:r>
        <w:rPr>
          <w:spacing w:val="4"/>
          <w:w w:val="105"/>
          <w:sz w:val="13"/>
        </w:rPr>
        <w:t>4(2)(b).</w:t>
      </w:r>
    </w:p>
    <w:p>
      <w:pPr>
        <w:pStyle w:val="ListParagraph"/>
        <w:numPr>
          <w:ilvl w:val="0"/>
          <w:numId w:val="54"/>
        </w:numPr>
        <w:tabs>
          <w:tab w:pos="2380" w:val="left" w:leader="none"/>
          <w:tab w:pos="2382" w:val="left" w:leader="none"/>
        </w:tabs>
        <w:spacing w:line="240" w:lineRule="auto" w:before="1" w:after="0"/>
        <w:ind w:left="2381" w:right="0" w:hanging="794"/>
        <w:jc w:val="left"/>
        <w:rPr>
          <w:sz w:val="13"/>
        </w:rPr>
      </w:pPr>
      <w:r>
        <w:rPr>
          <w:sz w:val="13"/>
        </w:rPr>
        <w:t>Ibid.</w:t>
      </w:r>
    </w:p>
    <w:p>
      <w:pPr>
        <w:pStyle w:val="ListParagraph"/>
        <w:numPr>
          <w:ilvl w:val="0"/>
          <w:numId w:val="54"/>
        </w:numPr>
        <w:tabs>
          <w:tab w:pos="2381" w:val="left" w:leader="none"/>
          <w:tab w:pos="2382" w:val="left" w:leader="none"/>
        </w:tabs>
        <w:spacing w:line="240" w:lineRule="auto" w:before="2" w:after="0"/>
        <w:ind w:left="2381" w:right="0" w:hanging="794"/>
        <w:jc w:val="left"/>
        <w:rPr>
          <w:sz w:val="13"/>
        </w:rPr>
      </w:pPr>
      <w:r>
        <w:rPr>
          <w:w w:val="105"/>
          <w:sz w:val="13"/>
        </w:rPr>
        <w:t>Ibid</w:t>
      </w:r>
      <w:r>
        <w:rPr>
          <w:spacing w:val="4"/>
          <w:w w:val="105"/>
          <w:sz w:val="13"/>
        </w:rPr>
        <w:t> </w:t>
      </w:r>
      <w:r>
        <w:rPr>
          <w:spacing w:val="2"/>
          <w:w w:val="105"/>
          <w:sz w:val="13"/>
        </w:rPr>
        <w:t>195–6</w:t>
      </w:r>
      <w:r>
        <w:rPr>
          <w:spacing w:val="5"/>
          <w:w w:val="105"/>
          <w:sz w:val="13"/>
        </w:rPr>
        <w:t> </w:t>
      </w:r>
      <w:r>
        <w:rPr>
          <w:w w:val="105"/>
          <w:sz w:val="13"/>
        </w:rPr>
        <w:t>recommendation</w:t>
      </w:r>
      <w:r>
        <w:rPr>
          <w:spacing w:val="5"/>
          <w:w w:val="105"/>
          <w:sz w:val="13"/>
        </w:rPr>
        <w:t> </w:t>
      </w:r>
      <w:r>
        <w:rPr>
          <w:w w:val="105"/>
          <w:sz w:val="13"/>
        </w:rPr>
        <w:t>40,</w:t>
      </w:r>
      <w:r>
        <w:rPr>
          <w:spacing w:val="4"/>
          <w:w w:val="105"/>
          <w:sz w:val="13"/>
        </w:rPr>
        <w:t> </w:t>
      </w:r>
      <w:r>
        <w:rPr>
          <w:w w:val="105"/>
          <w:sz w:val="13"/>
        </w:rPr>
        <w:t>Draft</w:t>
      </w:r>
      <w:r>
        <w:rPr>
          <w:spacing w:val="5"/>
          <w:w w:val="105"/>
          <w:sz w:val="13"/>
        </w:rPr>
        <w:t> </w:t>
      </w:r>
      <w:r>
        <w:rPr>
          <w:w w:val="105"/>
          <w:sz w:val="13"/>
        </w:rPr>
        <w:t>Intestacy</w:t>
      </w:r>
      <w:r>
        <w:rPr>
          <w:spacing w:val="5"/>
          <w:w w:val="105"/>
          <w:sz w:val="13"/>
        </w:rPr>
        <w:t> </w:t>
      </w:r>
      <w:r>
        <w:rPr>
          <w:w w:val="105"/>
          <w:sz w:val="13"/>
        </w:rPr>
        <w:t>Bill</w:t>
      </w:r>
      <w:r>
        <w:rPr>
          <w:spacing w:val="5"/>
          <w:w w:val="105"/>
          <w:sz w:val="13"/>
        </w:rPr>
        <w:t> </w:t>
      </w:r>
      <w:r>
        <w:rPr>
          <w:w w:val="105"/>
          <w:sz w:val="13"/>
        </w:rPr>
        <w:t>2006</w:t>
      </w:r>
      <w:r>
        <w:rPr>
          <w:spacing w:val="4"/>
          <w:w w:val="105"/>
          <w:sz w:val="13"/>
        </w:rPr>
        <w:t> </w:t>
      </w:r>
      <w:r>
        <w:rPr>
          <w:w w:val="105"/>
          <w:sz w:val="13"/>
        </w:rPr>
        <w:t>cls</w:t>
      </w:r>
      <w:r>
        <w:rPr>
          <w:spacing w:val="5"/>
          <w:w w:val="105"/>
          <w:sz w:val="13"/>
        </w:rPr>
        <w:t> 4(2)–(3).</w:t>
      </w:r>
    </w:p>
    <w:p>
      <w:pPr>
        <w:pStyle w:val="ListParagraph"/>
        <w:numPr>
          <w:ilvl w:val="0"/>
          <w:numId w:val="54"/>
        </w:numPr>
        <w:tabs>
          <w:tab w:pos="2381" w:val="left" w:leader="none"/>
          <w:tab w:pos="2382" w:val="left" w:leader="none"/>
        </w:tabs>
        <w:spacing w:line="240" w:lineRule="auto" w:before="1" w:after="0"/>
        <w:ind w:left="2381" w:right="0" w:hanging="794"/>
        <w:jc w:val="left"/>
        <w:rPr>
          <w:sz w:val="13"/>
        </w:rPr>
      </w:pPr>
      <w:r>
        <w:rPr>
          <w:i/>
          <w:w w:val="105"/>
          <w:sz w:val="13"/>
        </w:rPr>
        <w:t>Succession</w:t>
      </w:r>
      <w:r>
        <w:rPr>
          <w:i/>
          <w:spacing w:val="3"/>
          <w:w w:val="105"/>
          <w:sz w:val="13"/>
        </w:rPr>
        <w:t> </w:t>
      </w:r>
      <w:r>
        <w:rPr>
          <w:i/>
          <w:w w:val="105"/>
          <w:sz w:val="13"/>
        </w:rPr>
        <w:t>Act</w:t>
      </w:r>
      <w:r>
        <w:rPr>
          <w:i/>
          <w:spacing w:val="4"/>
          <w:w w:val="105"/>
          <w:sz w:val="13"/>
        </w:rPr>
        <w:t> </w:t>
      </w:r>
      <w:r>
        <w:rPr>
          <w:i/>
          <w:w w:val="105"/>
          <w:sz w:val="13"/>
        </w:rPr>
        <w:t>2006</w:t>
      </w:r>
      <w:r>
        <w:rPr>
          <w:i/>
          <w:spacing w:val="4"/>
          <w:w w:val="105"/>
          <w:sz w:val="13"/>
        </w:rPr>
        <w:t> </w:t>
      </w:r>
      <w:r>
        <w:rPr>
          <w:spacing w:val="3"/>
          <w:w w:val="105"/>
          <w:sz w:val="13"/>
        </w:rPr>
        <w:t>(NSW)</w:t>
      </w:r>
      <w:r>
        <w:rPr>
          <w:spacing w:val="5"/>
          <w:w w:val="105"/>
          <w:sz w:val="13"/>
        </w:rPr>
        <w:t> </w:t>
      </w:r>
      <w:r>
        <w:rPr>
          <w:w w:val="105"/>
          <w:sz w:val="13"/>
        </w:rPr>
        <w:t>s</w:t>
      </w:r>
      <w:r>
        <w:rPr>
          <w:spacing w:val="5"/>
          <w:w w:val="105"/>
          <w:sz w:val="13"/>
        </w:rPr>
        <w:t> </w:t>
      </w:r>
      <w:r>
        <w:rPr>
          <w:w w:val="105"/>
          <w:sz w:val="13"/>
        </w:rPr>
        <w:t>107(1)(b);</w:t>
      </w:r>
      <w:r>
        <w:rPr>
          <w:spacing w:val="4"/>
          <w:w w:val="105"/>
          <w:sz w:val="13"/>
        </w:rPr>
        <w:t> </w:t>
      </w:r>
      <w:r>
        <w:rPr>
          <w:i/>
          <w:w w:val="105"/>
          <w:sz w:val="13"/>
        </w:rPr>
        <w:t>Intestacy</w:t>
      </w:r>
      <w:r>
        <w:rPr>
          <w:i/>
          <w:spacing w:val="4"/>
          <w:w w:val="105"/>
          <w:sz w:val="13"/>
        </w:rPr>
        <w:t> </w:t>
      </w:r>
      <w:r>
        <w:rPr>
          <w:i/>
          <w:w w:val="105"/>
          <w:sz w:val="13"/>
        </w:rPr>
        <w:t>Act</w:t>
      </w:r>
      <w:r>
        <w:rPr>
          <w:i/>
          <w:spacing w:val="4"/>
          <w:w w:val="105"/>
          <w:sz w:val="13"/>
        </w:rPr>
        <w:t> </w:t>
      </w:r>
      <w:r>
        <w:rPr>
          <w:i/>
          <w:spacing w:val="-3"/>
          <w:w w:val="105"/>
          <w:sz w:val="13"/>
        </w:rPr>
        <w:t>2010</w:t>
      </w:r>
      <w:r>
        <w:rPr>
          <w:i/>
          <w:spacing w:val="4"/>
          <w:w w:val="105"/>
          <w:sz w:val="13"/>
        </w:rPr>
        <w:t> </w:t>
      </w:r>
      <w:r>
        <w:rPr>
          <w:w w:val="105"/>
          <w:sz w:val="13"/>
        </w:rPr>
        <w:t>(Tas)</w:t>
      </w:r>
      <w:r>
        <w:rPr>
          <w:spacing w:val="5"/>
          <w:w w:val="105"/>
          <w:sz w:val="13"/>
        </w:rPr>
        <w:t> </w:t>
      </w:r>
      <w:r>
        <w:rPr>
          <w:w w:val="105"/>
          <w:sz w:val="13"/>
        </w:rPr>
        <w:t>s</w:t>
      </w:r>
      <w:r>
        <w:rPr>
          <w:spacing w:val="5"/>
          <w:w w:val="105"/>
          <w:sz w:val="13"/>
        </w:rPr>
        <w:t> </w:t>
      </w:r>
      <w:r>
        <w:rPr>
          <w:spacing w:val="3"/>
          <w:w w:val="105"/>
          <w:sz w:val="13"/>
        </w:rPr>
        <w:t>8(1)(b).</w:t>
      </w:r>
    </w:p>
    <w:p>
      <w:pPr>
        <w:pStyle w:val="ListParagraph"/>
        <w:numPr>
          <w:ilvl w:val="0"/>
          <w:numId w:val="54"/>
        </w:numPr>
        <w:tabs>
          <w:tab w:pos="2381" w:val="left" w:leader="none"/>
          <w:tab w:pos="2382" w:val="left" w:leader="none"/>
        </w:tabs>
        <w:spacing w:line="240" w:lineRule="auto" w:before="1" w:after="0"/>
        <w:ind w:left="2381" w:right="0" w:hanging="794"/>
        <w:jc w:val="left"/>
        <w:rPr>
          <w:sz w:val="13"/>
        </w:rPr>
      </w:pPr>
      <w:r>
        <w:rPr>
          <w:i/>
          <w:w w:val="105"/>
          <w:sz w:val="13"/>
        </w:rPr>
        <w:t>Administration and Probate Act 1958 </w:t>
      </w:r>
      <w:r>
        <w:rPr>
          <w:spacing w:val="2"/>
          <w:w w:val="105"/>
          <w:sz w:val="13"/>
        </w:rPr>
        <w:t>(Vic) </w:t>
      </w:r>
      <w:r>
        <w:rPr>
          <w:w w:val="105"/>
          <w:sz w:val="13"/>
        </w:rPr>
        <w:t>s</w:t>
      </w:r>
      <w:r>
        <w:rPr>
          <w:spacing w:val="25"/>
          <w:w w:val="105"/>
          <w:sz w:val="13"/>
        </w:rPr>
        <w:t> </w:t>
      </w:r>
      <w:r>
        <w:rPr>
          <w:spacing w:val="3"/>
          <w:w w:val="105"/>
          <w:sz w:val="13"/>
        </w:rPr>
        <w:t>5(2).</w:t>
      </w:r>
    </w:p>
    <w:p>
      <w:pPr>
        <w:pStyle w:val="ListParagraph"/>
        <w:numPr>
          <w:ilvl w:val="0"/>
          <w:numId w:val="54"/>
        </w:numPr>
        <w:tabs>
          <w:tab w:pos="2381" w:val="left" w:leader="none"/>
          <w:tab w:pos="2382" w:val="left" w:leader="none"/>
        </w:tabs>
        <w:spacing w:line="240" w:lineRule="auto" w:before="2" w:after="0"/>
        <w:ind w:left="2381" w:right="0" w:hanging="794"/>
        <w:jc w:val="left"/>
        <w:rPr>
          <w:sz w:val="13"/>
        </w:rPr>
      </w:pPr>
      <w:r>
        <w:rPr>
          <w:w w:val="105"/>
          <w:sz w:val="13"/>
        </w:rPr>
        <w:t>Victorian Law Reform Commission, above n 8,</w:t>
      </w:r>
      <w:r>
        <w:rPr>
          <w:spacing w:val="2"/>
          <w:w w:val="105"/>
          <w:sz w:val="13"/>
        </w:rPr>
        <w:t> </w:t>
      </w:r>
      <w:r>
        <w:rPr>
          <w:w w:val="105"/>
          <w:sz w:val="13"/>
        </w:rPr>
        <w:t>23.</w:t>
      </w:r>
    </w:p>
    <w:p>
      <w:pPr>
        <w:pStyle w:val="ListParagraph"/>
        <w:numPr>
          <w:ilvl w:val="0"/>
          <w:numId w:val="54"/>
        </w:numPr>
        <w:tabs>
          <w:tab w:pos="2381" w:val="left" w:leader="none"/>
          <w:tab w:pos="2382" w:val="left" w:leader="none"/>
        </w:tabs>
        <w:spacing w:line="240" w:lineRule="auto" w:before="1" w:after="0"/>
        <w:ind w:left="2381" w:right="1856" w:hanging="794"/>
        <w:jc w:val="left"/>
        <w:rPr>
          <w:sz w:val="13"/>
        </w:rPr>
      </w:pPr>
      <w:r>
        <w:rPr>
          <w:w w:val="105"/>
          <w:sz w:val="13"/>
        </w:rPr>
        <w:t>Submissions </w:t>
      </w:r>
      <w:r>
        <w:rPr>
          <w:spacing w:val="-3"/>
          <w:w w:val="105"/>
          <w:sz w:val="13"/>
        </w:rPr>
        <w:t>14 </w:t>
      </w:r>
      <w:r>
        <w:rPr>
          <w:w w:val="105"/>
          <w:sz w:val="13"/>
        </w:rPr>
        <w:t>(Commercial Bar </w:t>
      </w:r>
      <w:r>
        <w:rPr>
          <w:spacing w:val="2"/>
          <w:w w:val="105"/>
          <w:sz w:val="13"/>
        </w:rPr>
        <w:t>Association); </w:t>
      </w:r>
      <w:r>
        <w:rPr>
          <w:spacing w:val="-3"/>
          <w:w w:val="105"/>
          <w:sz w:val="13"/>
        </w:rPr>
        <w:t>19 </w:t>
      </w:r>
      <w:r>
        <w:rPr>
          <w:spacing w:val="2"/>
          <w:w w:val="105"/>
          <w:sz w:val="13"/>
        </w:rPr>
        <w:t>(Association </w:t>
      </w:r>
      <w:r>
        <w:rPr>
          <w:w w:val="105"/>
          <w:sz w:val="13"/>
        </w:rPr>
        <w:t>of Independent Retirees); 23 (Family Voice Australia); 25 </w:t>
      </w:r>
      <w:r>
        <w:rPr>
          <w:spacing w:val="2"/>
          <w:w w:val="105"/>
          <w:sz w:val="13"/>
        </w:rPr>
        <w:t>(Moores </w:t>
      </w:r>
      <w:r>
        <w:rPr>
          <w:w w:val="105"/>
          <w:sz w:val="13"/>
        </w:rPr>
        <w:t>Legal); 26 </w:t>
      </w:r>
      <w:r>
        <w:rPr>
          <w:spacing w:val="2"/>
          <w:w w:val="105"/>
          <w:sz w:val="13"/>
        </w:rPr>
        <w:t>(Rigby </w:t>
      </w:r>
      <w:r>
        <w:rPr>
          <w:w w:val="105"/>
          <w:sz w:val="13"/>
        </w:rPr>
        <w:t>Cooke </w:t>
      </w:r>
      <w:r>
        <w:rPr>
          <w:spacing w:val="2"/>
          <w:w w:val="105"/>
          <w:sz w:val="13"/>
        </w:rPr>
        <w:t>Lawyers); 30b </w:t>
      </w:r>
      <w:r>
        <w:rPr>
          <w:spacing w:val="3"/>
          <w:w w:val="105"/>
          <w:sz w:val="13"/>
        </w:rPr>
        <w:t>(Law </w:t>
      </w:r>
      <w:r>
        <w:rPr>
          <w:w w:val="105"/>
          <w:sz w:val="13"/>
        </w:rPr>
        <w:t>Institute of </w:t>
      </w:r>
      <w:r>
        <w:rPr>
          <w:spacing w:val="2"/>
          <w:w w:val="105"/>
          <w:sz w:val="13"/>
        </w:rPr>
        <w:t>Victoria); </w:t>
      </w:r>
      <w:r>
        <w:rPr>
          <w:w w:val="105"/>
          <w:sz w:val="13"/>
        </w:rPr>
        <w:t>31 (Seniors Rights </w:t>
      </w:r>
      <w:r>
        <w:rPr>
          <w:spacing w:val="2"/>
          <w:w w:val="105"/>
          <w:sz w:val="13"/>
        </w:rPr>
        <w:t>Victoria); </w:t>
      </w:r>
      <w:r>
        <w:rPr>
          <w:w w:val="105"/>
          <w:sz w:val="13"/>
        </w:rPr>
        <w:t>33 (State Trustees Limited); 35 (Andrew Verspaandonk);</w:t>
      </w:r>
      <w:r>
        <w:rPr>
          <w:spacing w:val="5"/>
          <w:w w:val="105"/>
          <w:sz w:val="13"/>
        </w:rPr>
        <w:t> </w:t>
      </w:r>
      <w:r>
        <w:rPr>
          <w:w w:val="105"/>
          <w:sz w:val="13"/>
        </w:rPr>
        <w:t>36</w:t>
      </w:r>
      <w:r>
        <w:rPr>
          <w:spacing w:val="6"/>
          <w:w w:val="105"/>
          <w:sz w:val="13"/>
        </w:rPr>
        <w:t> </w:t>
      </w:r>
      <w:r>
        <w:rPr>
          <w:spacing w:val="3"/>
          <w:w w:val="105"/>
          <w:sz w:val="13"/>
        </w:rPr>
        <w:t>(Law</w:t>
      </w:r>
      <w:r>
        <w:rPr>
          <w:spacing w:val="6"/>
          <w:w w:val="105"/>
          <w:sz w:val="13"/>
        </w:rPr>
        <w:t> </w:t>
      </w:r>
      <w:r>
        <w:rPr>
          <w:w w:val="105"/>
          <w:sz w:val="13"/>
        </w:rPr>
        <w:t>Society</w:t>
      </w:r>
      <w:r>
        <w:rPr>
          <w:spacing w:val="6"/>
          <w:w w:val="105"/>
          <w:sz w:val="13"/>
        </w:rPr>
        <w:t> </w:t>
      </w:r>
      <w:r>
        <w:rPr>
          <w:w w:val="105"/>
          <w:sz w:val="13"/>
        </w:rPr>
        <w:t>of</w:t>
      </w:r>
      <w:r>
        <w:rPr>
          <w:spacing w:val="6"/>
          <w:w w:val="105"/>
          <w:sz w:val="13"/>
        </w:rPr>
        <w:t> </w:t>
      </w:r>
      <w:r>
        <w:rPr>
          <w:w w:val="105"/>
          <w:sz w:val="13"/>
        </w:rPr>
        <w:t>New</w:t>
      </w:r>
      <w:r>
        <w:rPr>
          <w:spacing w:val="5"/>
          <w:w w:val="105"/>
          <w:sz w:val="13"/>
        </w:rPr>
        <w:t> </w:t>
      </w:r>
      <w:r>
        <w:rPr>
          <w:w w:val="105"/>
          <w:sz w:val="13"/>
        </w:rPr>
        <w:t>South</w:t>
      </w:r>
      <w:r>
        <w:rPr>
          <w:spacing w:val="6"/>
          <w:w w:val="105"/>
          <w:sz w:val="13"/>
        </w:rPr>
        <w:t> </w:t>
      </w:r>
      <w:r>
        <w:rPr>
          <w:w w:val="105"/>
          <w:sz w:val="13"/>
        </w:rPr>
        <w:t>Wales);</w:t>
      </w:r>
      <w:r>
        <w:rPr>
          <w:spacing w:val="6"/>
          <w:w w:val="105"/>
          <w:sz w:val="13"/>
        </w:rPr>
        <w:t> </w:t>
      </w:r>
      <w:r>
        <w:rPr>
          <w:w w:val="105"/>
          <w:sz w:val="13"/>
        </w:rPr>
        <w:t>39</w:t>
      </w:r>
      <w:r>
        <w:rPr>
          <w:spacing w:val="6"/>
          <w:w w:val="105"/>
          <w:sz w:val="13"/>
        </w:rPr>
        <w:t> </w:t>
      </w:r>
      <w:r>
        <w:rPr>
          <w:w w:val="105"/>
          <w:sz w:val="13"/>
        </w:rPr>
        <w:t>(Carolyn</w:t>
      </w:r>
      <w:r>
        <w:rPr>
          <w:spacing w:val="6"/>
          <w:w w:val="105"/>
          <w:sz w:val="13"/>
        </w:rPr>
        <w:t> </w:t>
      </w:r>
      <w:r>
        <w:rPr>
          <w:w w:val="105"/>
          <w:sz w:val="13"/>
        </w:rPr>
        <w:t>Sparke</w:t>
      </w:r>
      <w:r>
        <w:rPr>
          <w:spacing w:val="5"/>
          <w:w w:val="105"/>
          <w:sz w:val="13"/>
        </w:rPr>
        <w:t> </w:t>
      </w:r>
      <w:r>
        <w:rPr>
          <w:w w:val="105"/>
          <w:sz w:val="13"/>
        </w:rPr>
        <w:t>SC);</w:t>
      </w:r>
      <w:r>
        <w:rPr>
          <w:spacing w:val="6"/>
          <w:w w:val="105"/>
          <w:sz w:val="13"/>
        </w:rPr>
        <w:t> </w:t>
      </w:r>
      <w:r>
        <w:rPr>
          <w:w w:val="105"/>
          <w:sz w:val="13"/>
        </w:rPr>
        <w:t>40</w:t>
      </w:r>
      <w:r>
        <w:rPr>
          <w:spacing w:val="6"/>
          <w:w w:val="105"/>
          <w:sz w:val="13"/>
        </w:rPr>
        <w:t> </w:t>
      </w:r>
      <w:r>
        <w:rPr>
          <w:w w:val="105"/>
          <w:sz w:val="13"/>
        </w:rPr>
        <w:t>(Janice</w:t>
      </w:r>
      <w:r>
        <w:rPr>
          <w:spacing w:val="6"/>
          <w:w w:val="105"/>
          <w:sz w:val="13"/>
        </w:rPr>
        <w:t> </w:t>
      </w:r>
      <w:r>
        <w:rPr>
          <w:w w:val="105"/>
          <w:sz w:val="13"/>
        </w:rPr>
        <w:t>Brownfoot).</w:t>
      </w:r>
    </w:p>
    <w:p>
      <w:pPr>
        <w:pStyle w:val="ListParagraph"/>
        <w:numPr>
          <w:ilvl w:val="0"/>
          <w:numId w:val="54"/>
        </w:numPr>
        <w:tabs>
          <w:tab w:pos="2381" w:val="left" w:leader="none"/>
          <w:tab w:pos="2382" w:val="left" w:leader="none"/>
        </w:tabs>
        <w:spacing w:line="240" w:lineRule="auto" w:before="4" w:after="0"/>
        <w:ind w:left="2381" w:right="1876" w:hanging="794"/>
        <w:jc w:val="left"/>
        <w:rPr>
          <w:sz w:val="13"/>
        </w:rPr>
      </w:pPr>
      <w:r>
        <w:rPr>
          <w:sz w:val="13"/>
        </w:rPr>
        <w:t>Submission 8 (Patricia Strachan). The Commission does not consider it a serious risk that the introduction of a survivorship requirement       would</w:t>
      </w:r>
      <w:r>
        <w:rPr>
          <w:spacing w:val="21"/>
          <w:sz w:val="13"/>
        </w:rPr>
        <w:t> </w:t>
      </w:r>
      <w:r>
        <w:rPr>
          <w:sz w:val="13"/>
        </w:rPr>
        <w:t>increase</w:t>
      </w:r>
      <w:r>
        <w:rPr>
          <w:spacing w:val="22"/>
          <w:sz w:val="13"/>
        </w:rPr>
        <w:t> </w:t>
      </w:r>
      <w:r>
        <w:rPr>
          <w:sz w:val="13"/>
        </w:rPr>
        <w:t>the</w:t>
      </w:r>
      <w:r>
        <w:rPr>
          <w:spacing w:val="22"/>
          <w:sz w:val="13"/>
        </w:rPr>
        <w:t> </w:t>
      </w:r>
      <w:r>
        <w:rPr>
          <w:sz w:val="13"/>
        </w:rPr>
        <w:t>likelihood</w:t>
      </w:r>
      <w:r>
        <w:rPr>
          <w:spacing w:val="21"/>
          <w:sz w:val="13"/>
        </w:rPr>
        <w:t> </w:t>
      </w:r>
      <w:r>
        <w:rPr>
          <w:sz w:val="13"/>
        </w:rPr>
        <w:t>of</w:t>
      </w:r>
      <w:r>
        <w:rPr>
          <w:spacing w:val="22"/>
          <w:sz w:val="13"/>
        </w:rPr>
        <w:t> </w:t>
      </w:r>
      <w:r>
        <w:rPr>
          <w:sz w:val="13"/>
        </w:rPr>
        <w:t>beneficiaries</w:t>
      </w:r>
      <w:r>
        <w:rPr>
          <w:spacing w:val="22"/>
          <w:sz w:val="13"/>
        </w:rPr>
        <w:t> </w:t>
      </w:r>
      <w:r>
        <w:rPr>
          <w:sz w:val="13"/>
        </w:rPr>
        <w:t>being</w:t>
      </w:r>
      <w:r>
        <w:rPr>
          <w:spacing w:val="22"/>
          <w:sz w:val="13"/>
        </w:rPr>
        <w:t> </w:t>
      </w:r>
      <w:r>
        <w:rPr>
          <w:sz w:val="13"/>
        </w:rPr>
        <w:t>murdered</w:t>
      </w:r>
      <w:r>
        <w:rPr>
          <w:spacing w:val="21"/>
          <w:sz w:val="13"/>
        </w:rPr>
        <w:t> </w:t>
      </w:r>
      <w:r>
        <w:rPr>
          <w:sz w:val="13"/>
        </w:rPr>
        <w:t>within</w:t>
      </w:r>
      <w:r>
        <w:rPr>
          <w:spacing w:val="22"/>
          <w:sz w:val="13"/>
        </w:rPr>
        <w:t> </w:t>
      </w:r>
      <w:r>
        <w:rPr>
          <w:sz w:val="13"/>
        </w:rPr>
        <w:t>the</w:t>
      </w:r>
      <w:r>
        <w:rPr>
          <w:spacing w:val="22"/>
          <w:sz w:val="13"/>
        </w:rPr>
        <w:t> </w:t>
      </w:r>
      <w:r>
        <w:rPr>
          <w:spacing w:val="2"/>
          <w:sz w:val="13"/>
        </w:rPr>
        <w:t>30-day</w:t>
      </w:r>
      <w:r>
        <w:rPr>
          <w:spacing w:val="21"/>
          <w:sz w:val="13"/>
        </w:rPr>
        <w:t> </w:t>
      </w:r>
      <w:r>
        <w:rPr>
          <w:sz w:val="13"/>
        </w:rPr>
        <w:t>survivorship</w:t>
      </w:r>
      <w:r>
        <w:rPr>
          <w:spacing w:val="22"/>
          <w:sz w:val="13"/>
        </w:rPr>
        <w:t> </w:t>
      </w:r>
      <w:r>
        <w:rPr>
          <w:sz w:val="13"/>
        </w:rPr>
        <w:t>period,</w:t>
      </w:r>
      <w:r>
        <w:rPr>
          <w:spacing w:val="22"/>
          <w:sz w:val="13"/>
        </w:rPr>
        <w:t> </w:t>
      </w:r>
      <w:r>
        <w:rPr>
          <w:sz w:val="13"/>
        </w:rPr>
        <w:t>as</w:t>
      </w:r>
      <w:r>
        <w:rPr>
          <w:spacing w:val="22"/>
          <w:sz w:val="13"/>
        </w:rPr>
        <w:t> </w:t>
      </w:r>
      <w:r>
        <w:rPr>
          <w:sz w:val="13"/>
        </w:rPr>
        <w:t>suggested</w:t>
      </w:r>
      <w:r>
        <w:rPr>
          <w:spacing w:val="21"/>
          <w:sz w:val="13"/>
        </w:rPr>
        <w:t> </w:t>
      </w:r>
      <w:r>
        <w:rPr>
          <w:sz w:val="13"/>
        </w:rPr>
        <w:t>in</w:t>
      </w:r>
      <w:r>
        <w:rPr>
          <w:spacing w:val="22"/>
          <w:sz w:val="13"/>
        </w:rPr>
        <w:t> </w:t>
      </w:r>
      <w:r>
        <w:rPr>
          <w:sz w:val="13"/>
        </w:rPr>
        <w:t>this</w:t>
      </w:r>
      <w:r>
        <w:rPr>
          <w:spacing w:val="22"/>
          <w:sz w:val="13"/>
        </w:rPr>
        <w:t> </w:t>
      </w:r>
      <w:r>
        <w:rPr>
          <w:sz w:val="13"/>
        </w:rPr>
        <w:t>submission.</w:t>
      </w:r>
    </w:p>
    <w:p>
      <w:pPr>
        <w:pStyle w:val="ListParagraph"/>
        <w:numPr>
          <w:ilvl w:val="0"/>
          <w:numId w:val="54"/>
        </w:numPr>
        <w:tabs>
          <w:tab w:pos="2381" w:val="left" w:leader="none"/>
          <w:tab w:pos="2382" w:val="left" w:leader="none"/>
        </w:tabs>
        <w:spacing w:line="240" w:lineRule="auto" w:before="3" w:after="0"/>
        <w:ind w:left="2381" w:right="1638" w:hanging="794"/>
        <w:jc w:val="left"/>
        <w:rPr>
          <w:sz w:val="13"/>
        </w:rPr>
      </w:pPr>
      <w:r>
        <w:rPr>
          <w:w w:val="105"/>
          <w:sz w:val="13"/>
        </w:rPr>
        <w:t>Submissions </w:t>
      </w:r>
      <w:r>
        <w:rPr>
          <w:spacing w:val="-3"/>
          <w:w w:val="105"/>
          <w:sz w:val="13"/>
        </w:rPr>
        <w:t>14 </w:t>
      </w:r>
      <w:r>
        <w:rPr>
          <w:w w:val="105"/>
          <w:sz w:val="13"/>
        </w:rPr>
        <w:t>(Commercial Bar </w:t>
      </w:r>
      <w:r>
        <w:rPr>
          <w:spacing w:val="2"/>
          <w:w w:val="105"/>
          <w:sz w:val="13"/>
        </w:rPr>
        <w:t>Association); </w:t>
      </w:r>
      <w:r>
        <w:rPr>
          <w:w w:val="105"/>
          <w:sz w:val="13"/>
        </w:rPr>
        <w:t>23 (Family Voice Australia); 25 </w:t>
      </w:r>
      <w:r>
        <w:rPr>
          <w:spacing w:val="2"/>
          <w:w w:val="105"/>
          <w:sz w:val="13"/>
        </w:rPr>
        <w:t>(Moores </w:t>
      </w:r>
      <w:r>
        <w:rPr>
          <w:w w:val="105"/>
          <w:sz w:val="13"/>
        </w:rPr>
        <w:t>Legal); 26 </w:t>
      </w:r>
      <w:r>
        <w:rPr>
          <w:spacing w:val="2"/>
          <w:w w:val="105"/>
          <w:sz w:val="13"/>
        </w:rPr>
        <w:t>(Rigby </w:t>
      </w:r>
      <w:r>
        <w:rPr>
          <w:w w:val="105"/>
          <w:sz w:val="13"/>
        </w:rPr>
        <w:t>Cooke </w:t>
      </w:r>
      <w:r>
        <w:rPr>
          <w:spacing w:val="2"/>
          <w:w w:val="105"/>
          <w:sz w:val="13"/>
        </w:rPr>
        <w:t>Lawyers); </w:t>
      </w:r>
      <w:r>
        <w:rPr>
          <w:w w:val="105"/>
          <w:sz w:val="13"/>
        </w:rPr>
        <w:t>31 (Seniors Rights </w:t>
      </w:r>
      <w:r>
        <w:rPr>
          <w:spacing w:val="2"/>
          <w:w w:val="105"/>
          <w:sz w:val="13"/>
        </w:rPr>
        <w:t>Victoria); </w:t>
      </w:r>
      <w:r>
        <w:rPr>
          <w:w w:val="105"/>
          <w:sz w:val="13"/>
        </w:rPr>
        <w:t>35 (Andrew Verspaandonk); 39 (Carolyn Sparke). Members of the Commission’s succession laws </w:t>
      </w:r>
      <w:r>
        <w:rPr>
          <w:spacing w:val="2"/>
          <w:w w:val="105"/>
          <w:sz w:val="13"/>
        </w:rPr>
        <w:t>advisory </w:t>
      </w:r>
      <w:r>
        <w:rPr>
          <w:w w:val="105"/>
          <w:sz w:val="13"/>
        </w:rPr>
        <w:t>committee also made   this point: Advisory Committee (Meeting</w:t>
      </w:r>
      <w:r>
        <w:rPr>
          <w:spacing w:val="23"/>
          <w:w w:val="105"/>
          <w:sz w:val="13"/>
        </w:rPr>
        <w:t> </w:t>
      </w:r>
      <w:r>
        <w:rPr>
          <w:spacing w:val="3"/>
          <w:w w:val="105"/>
          <w:sz w:val="13"/>
        </w:rPr>
        <w:t>3).</w:t>
      </w:r>
    </w:p>
    <w:p>
      <w:pPr>
        <w:pStyle w:val="ListParagraph"/>
        <w:numPr>
          <w:ilvl w:val="0"/>
          <w:numId w:val="54"/>
        </w:numPr>
        <w:tabs>
          <w:tab w:pos="2381" w:val="left" w:leader="none"/>
          <w:tab w:pos="2382" w:val="left" w:leader="none"/>
        </w:tabs>
        <w:spacing w:line="240" w:lineRule="auto" w:before="4" w:after="0"/>
        <w:ind w:left="2381" w:right="0" w:hanging="794"/>
        <w:jc w:val="left"/>
        <w:rPr>
          <w:sz w:val="13"/>
        </w:rPr>
      </w:pPr>
      <w:r>
        <w:rPr>
          <w:w w:val="105"/>
          <w:sz w:val="13"/>
        </w:rPr>
        <w:t>Submission 26 </w:t>
      </w:r>
      <w:r>
        <w:rPr>
          <w:spacing w:val="2"/>
          <w:w w:val="105"/>
          <w:sz w:val="13"/>
        </w:rPr>
        <w:t>(Rigby </w:t>
      </w:r>
      <w:r>
        <w:rPr>
          <w:w w:val="105"/>
          <w:sz w:val="13"/>
        </w:rPr>
        <w:t>Cooke</w:t>
      </w:r>
      <w:r>
        <w:rPr>
          <w:spacing w:val="16"/>
          <w:w w:val="105"/>
          <w:sz w:val="13"/>
        </w:rPr>
        <w:t> </w:t>
      </w:r>
      <w:r>
        <w:rPr>
          <w:spacing w:val="2"/>
          <w:w w:val="105"/>
          <w:sz w:val="13"/>
        </w:rPr>
        <w:t>Lawyers).</w:t>
      </w:r>
    </w:p>
    <w:p>
      <w:pPr>
        <w:pStyle w:val="ListParagraph"/>
        <w:numPr>
          <w:ilvl w:val="0"/>
          <w:numId w:val="54"/>
        </w:numPr>
        <w:tabs>
          <w:tab w:pos="2381" w:val="left" w:leader="none"/>
          <w:tab w:pos="2382" w:val="left" w:leader="none"/>
        </w:tabs>
        <w:spacing w:line="240" w:lineRule="auto" w:before="1" w:after="0"/>
        <w:ind w:left="2381" w:right="0" w:hanging="794"/>
        <w:jc w:val="left"/>
        <w:rPr>
          <w:sz w:val="13"/>
        </w:rPr>
      </w:pPr>
      <w:r>
        <w:rPr>
          <w:w w:val="105"/>
          <w:sz w:val="13"/>
        </w:rPr>
        <w:t>Submissions</w:t>
      </w:r>
      <w:r>
        <w:rPr>
          <w:spacing w:val="4"/>
          <w:w w:val="105"/>
          <w:sz w:val="13"/>
        </w:rPr>
        <w:t> </w:t>
      </w:r>
      <w:r>
        <w:rPr>
          <w:w w:val="105"/>
          <w:sz w:val="13"/>
        </w:rPr>
        <w:t>35</w:t>
      </w:r>
      <w:r>
        <w:rPr>
          <w:spacing w:val="5"/>
          <w:w w:val="105"/>
          <w:sz w:val="13"/>
        </w:rPr>
        <w:t> </w:t>
      </w:r>
      <w:r>
        <w:rPr>
          <w:w w:val="105"/>
          <w:sz w:val="13"/>
        </w:rPr>
        <w:t>(Andrew</w:t>
      </w:r>
      <w:r>
        <w:rPr>
          <w:spacing w:val="5"/>
          <w:w w:val="105"/>
          <w:sz w:val="13"/>
        </w:rPr>
        <w:t> </w:t>
      </w:r>
      <w:r>
        <w:rPr>
          <w:w w:val="105"/>
          <w:sz w:val="13"/>
        </w:rPr>
        <w:t>Verspaandonk);</w:t>
      </w:r>
      <w:r>
        <w:rPr>
          <w:spacing w:val="5"/>
          <w:w w:val="105"/>
          <w:sz w:val="13"/>
        </w:rPr>
        <w:t> </w:t>
      </w:r>
      <w:r>
        <w:rPr>
          <w:w w:val="105"/>
          <w:sz w:val="13"/>
        </w:rPr>
        <w:t>36</w:t>
      </w:r>
      <w:r>
        <w:rPr>
          <w:spacing w:val="5"/>
          <w:w w:val="105"/>
          <w:sz w:val="13"/>
        </w:rPr>
        <w:t> </w:t>
      </w:r>
      <w:r>
        <w:rPr>
          <w:spacing w:val="3"/>
          <w:w w:val="105"/>
          <w:sz w:val="13"/>
        </w:rPr>
        <w:t>(Law</w:t>
      </w:r>
      <w:r>
        <w:rPr>
          <w:spacing w:val="5"/>
          <w:w w:val="105"/>
          <w:sz w:val="13"/>
        </w:rPr>
        <w:t> </w:t>
      </w:r>
      <w:r>
        <w:rPr>
          <w:w w:val="105"/>
          <w:sz w:val="13"/>
        </w:rPr>
        <w:t>Society</w:t>
      </w:r>
      <w:r>
        <w:rPr>
          <w:spacing w:val="5"/>
          <w:w w:val="105"/>
          <w:sz w:val="13"/>
        </w:rPr>
        <w:t> </w:t>
      </w:r>
      <w:r>
        <w:rPr>
          <w:w w:val="105"/>
          <w:sz w:val="13"/>
        </w:rPr>
        <w:t>of</w:t>
      </w:r>
      <w:r>
        <w:rPr>
          <w:spacing w:val="5"/>
          <w:w w:val="105"/>
          <w:sz w:val="13"/>
        </w:rPr>
        <w:t> </w:t>
      </w:r>
      <w:r>
        <w:rPr>
          <w:w w:val="105"/>
          <w:sz w:val="13"/>
        </w:rPr>
        <w:t>New</w:t>
      </w:r>
      <w:r>
        <w:rPr>
          <w:spacing w:val="4"/>
          <w:w w:val="105"/>
          <w:sz w:val="13"/>
        </w:rPr>
        <w:t> </w:t>
      </w:r>
      <w:r>
        <w:rPr>
          <w:w w:val="105"/>
          <w:sz w:val="13"/>
        </w:rPr>
        <w:t>South</w:t>
      </w:r>
      <w:r>
        <w:rPr>
          <w:spacing w:val="5"/>
          <w:w w:val="105"/>
          <w:sz w:val="13"/>
        </w:rPr>
        <w:t> </w:t>
      </w:r>
      <w:r>
        <w:rPr>
          <w:w w:val="105"/>
          <w:sz w:val="13"/>
        </w:rPr>
        <w:t>Wales).</w:t>
      </w:r>
    </w:p>
    <w:p>
      <w:pPr>
        <w:pStyle w:val="ListParagraph"/>
        <w:numPr>
          <w:ilvl w:val="0"/>
          <w:numId w:val="54"/>
        </w:numPr>
        <w:tabs>
          <w:tab w:pos="2381" w:val="left" w:leader="none"/>
          <w:tab w:pos="2382" w:val="left" w:leader="none"/>
        </w:tabs>
        <w:spacing w:line="240" w:lineRule="auto" w:before="1" w:after="0"/>
        <w:ind w:left="2381" w:right="1821" w:hanging="794"/>
        <w:jc w:val="both"/>
        <w:rPr>
          <w:sz w:val="13"/>
        </w:rPr>
      </w:pPr>
      <w:r>
        <w:rPr>
          <w:w w:val="105"/>
          <w:sz w:val="13"/>
        </w:rPr>
        <w:t>Submissions 39 (Carolyn Sparke SC); 40 (Janice Brownfoot). Carolyn Sparke gave the example of a partner of the deceased person who       is not the parent of the deceased person’s children: the majority of the estate may pass to that partner, and then into their estate if they die</w:t>
      </w:r>
      <w:r>
        <w:rPr>
          <w:spacing w:val="4"/>
          <w:w w:val="105"/>
          <w:sz w:val="13"/>
        </w:rPr>
        <w:t> </w:t>
      </w:r>
      <w:r>
        <w:rPr>
          <w:w w:val="105"/>
          <w:sz w:val="13"/>
        </w:rPr>
        <w:t>soon</w:t>
      </w:r>
      <w:r>
        <w:rPr>
          <w:spacing w:val="4"/>
          <w:w w:val="105"/>
          <w:sz w:val="13"/>
        </w:rPr>
        <w:t> </w:t>
      </w:r>
      <w:r>
        <w:rPr>
          <w:w w:val="105"/>
          <w:sz w:val="13"/>
        </w:rPr>
        <w:t>after</w:t>
      </w:r>
      <w:r>
        <w:rPr>
          <w:spacing w:val="4"/>
          <w:w w:val="105"/>
          <w:sz w:val="13"/>
        </w:rPr>
        <w:t> </w:t>
      </w:r>
      <w:r>
        <w:rPr>
          <w:w w:val="105"/>
          <w:sz w:val="13"/>
        </w:rPr>
        <w:t>the</w:t>
      </w:r>
      <w:r>
        <w:rPr>
          <w:spacing w:val="4"/>
          <w:w w:val="105"/>
          <w:sz w:val="13"/>
        </w:rPr>
        <w:t> </w:t>
      </w:r>
      <w:r>
        <w:rPr>
          <w:w w:val="105"/>
          <w:sz w:val="13"/>
        </w:rPr>
        <w:t>deceased</w:t>
      </w:r>
      <w:r>
        <w:rPr>
          <w:spacing w:val="5"/>
          <w:w w:val="105"/>
          <w:sz w:val="13"/>
        </w:rPr>
        <w:t> </w:t>
      </w:r>
      <w:r>
        <w:rPr>
          <w:w w:val="105"/>
          <w:sz w:val="13"/>
        </w:rPr>
        <w:t>person,</w:t>
      </w:r>
      <w:r>
        <w:rPr>
          <w:spacing w:val="4"/>
          <w:w w:val="105"/>
          <w:sz w:val="13"/>
        </w:rPr>
        <w:t> </w:t>
      </w:r>
      <w:r>
        <w:rPr>
          <w:w w:val="105"/>
          <w:sz w:val="13"/>
        </w:rPr>
        <w:t>benefiting</w:t>
      </w:r>
      <w:r>
        <w:rPr>
          <w:spacing w:val="4"/>
          <w:w w:val="105"/>
          <w:sz w:val="13"/>
        </w:rPr>
        <w:t> </w:t>
      </w:r>
      <w:r>
        <w:rPr>
          <w:w w:val="105"/>
          <w:sz w:val="13"/>
        </w:rPr>
        <w:t>the</w:t>
      </w:r>
      <w:r>
        <w:rPr>
          <w:spacing w:val="4"/>
          <w:w w:val="105"/>
          <w:sz w:val="13"/>
        </w:rPr>
        <w:t> </w:t>
      </w:r>
      <w:r>
        <w:rPr>
          <w:w w:val="105"/>
          <w:sz w:val="13"/>
        </w:rPr>
        <w:t>partner’s</w:t>
      </w:r>
      <w:r>
        <w:rPr>
          <w:spacing w:val="4"/>
          <w:w w:val="105"/>
          <w:sz w:val="13"/>
        </w:rPr>
        <w:t> </w:t>
      </w:r>
      <w:r>
        <w:rPr>
          <w:w w:val="105"/>
          <w:sz w:val="13"/>
        </w:rPr>
        <w:t>side</w:t>
      </w:r>
      <w:r>
        <w:rPr>
          <w:spacing w:val="5"/>
          <w:w w:val="105"/>
          <w:sz w:val="13"/>
        </w:rPr>
        <w:t> </w:t>
      </w:r>
      <w:r>
        <w:rPr>
          <w:w w:val="105"/>
          <w:sz w:val="13"/>
        </w:rPr>
        <w:t>of</w:t>
      </w:r>
      <w:r>
        <w:rPr>
          <w:spacing w:val="4"/>
          <w:w w:val="105"/>
          <w:sz w:val="13"/>
        </w:rPr>
        <w:t> </w:t>
      </w:r>
      <w:r>
        <w:rPr>
          <w:w w:val="105"/>
          <w:sz w:val="13"/>
        </w:rPr>
        <w:t>the</w:t>
      </w:r>
      <w:r>
        <w:rPr>
          <w:spacing w:val="4"/>
          <w:w w:val="105"/>
          <w:sz w:val="13"/>
        </w:rPr>
        <w:t> </w:t>
      </w:r>
      <w:r>
        <w:rPr>
          <w:w w:val="105"/>
          <w:sz w:val="13"/>
        </w:rPr>
        <w:t>family</w:t>
      </w:r>
      <w:r>
        <w:rPr>
          <w:spacing w:val="4"/>
          <w:w w:val="105"/>
          <w:sz w:val="13"/>
        </w:rPr>
        <w:t> </w:t>
      </w:r>
      <w:r>
        <w:rPr>
          <w:w w:val="105"/>
          <w:sz w:val="13"/>
        </w:rPr>
        <w:t>rather</w:t>
      </w:r>
      <w:r>
        <w:rPr>
          <w:spacing w:val="4"/>
          <w:w w:val="105"/>
          <w:sz w:val="13"/>
        </w:rPr>
        <w:t> </w:t>
      </w:r>
      <w:r>
        <w:rPr>
          <w:w w:val="105"/>
          <w:sz w:val="13"/>
        </w:rPr>
        <w:t>than</w:t>
      </w:r>
      <w:r>
        <w:rPr>
          <w:spacing w:val="5"/>
          <w:w w:val="105"/>
          <w:sz w:val="13"/>
        </w:rPr>
        <w:t> </w:t>
      </w:r>
      <w:r>
        <w:rPr>
          <w:w w:val="105"/>
          <w:sz w:val="13"/>
        </w:rPr>
        <w:t>the</w:t>
      </w:r>
      <w:r>
        <w:rPr>
          <w:spacing w:val="4"/>
          <w:w w:val="105"/>
          <w:sz w:val="13"/>
        </w:rPr>
        <w:t> </w:t>
      </w:r>
      <w:r>
        <w:rPr>
          <w:w w:val="105"/>
          <w:sz w:val="13"/>
        </w:rPr>
        <w:t>deceased</w:t>
      </w:r>
      <w:r>
        <w:rPr>
          <w:spacing w:val="4"/>
          <w:w w:val="105"/>
          <w:sz w:val="13"/>
        </w:rPr>
        <w:t> </w:t>
      </w:r>
      <w:r>
        <w:rPr>
          <w:w w:val="105"/>
          <w:sz w:val="13"/>
        </w:rPr>
        <w:t>person’s</w:t>
      </w:r>
      <w:r>
        <w:rPr>
          <w:spacing w:val="4"/>
          <w:w w:val="105"/>
          <w:sz w:val="13"/>
        </w:rPr>
        <w:t> </w:t>
      </w:r>
      <w:r>
        <w:rPr>
          <w:w w:val="105"/>
          <w:sz w:val="13"/>
        </w:rPr>
        <w:t>children.</w:t>
      </w:r>
    </w:p>
    <w:p>
      <w:pPr>
        <w:pStyle w:val="ListParagraph"/>
        <w:numPr>
          <w:ilvl w:val="0"/>
          <w:numId w:val="54"/>
        </w:numPr>
        <w:tabs>
          <w:tab w:pos="2381" w:val="left" w:leader="none"/>
          <w:tab w:pos="2382" w:val="left" w:leader="none"/>
        </w:tabs>
        <w:spacing w:line="240" w:lineRule="auto" w:before="4" w:after="0"/>
        <w:ind w:left="2381" w:right="0" w:hanging="794"/>
        <w:jc w:val="left"/>
        <w:rPr>
          <w:sz w:val="13"/>
        </w:rPr>
      </w:pPr>
      <w:r>
        <w:rPr>
          <w:w w:val="105"/>
          <w:sz w:val="13"/>
        </w:rPr>
        <w:t>Consultation 9 </w:t>
      </w:r>
      <w:r>
        <w:rPr>
          <w:spacing w:val="3"/>
          <w:w w:val="105"/>
          <w:sz w:val="13"/>
        </w:rPr>
        <w:t>(NSW </w:t>
      </w:r>
      <w:r>
        <w:rPr>
          <w:w w:val="105"/>
          <w:sz w:val="13"/>
        </w:rPr>
        <w:t>Trustee and</w:t>
      </w:r>
      <w:r>
        <w:rPr>
          <w:spacing w:val="20"/>
          <w:w w:val="105"/>
          <w:sz w:val="13"/>
        </w:rPr>
        <w:t> </w:t>
      </w:r>
      <w:r>
        <w:rPr>
          <w:w w:val="105"/>
          <w:sz w:val="13"/>
        </w:rPr>
        <w:t>Guardian).</w:t>
      </w:r>
    </w:p>
    <w:p>
      <w:pPr>
        <w:pStyle w:val="ListParagraph"/>
        <w:numPr>
          <w:ilvl w:val="0"/>
          <w:numId w:val="54"/>
        </w:numPr>
        <w:tabs>
          <w:tab w:pos="2381" w:val="left" w:leader="none"/>
          <w:tab w:pos="2382" w:val="left" w:leader="none"/>
        </w:tabs>
        <w:spacing w:line="127" w:lineRule="exact" w:before="2" w:after="0"/>
        <w:ind w:left="2381" w:right="0" w:hanging="794"/>
        <w:jc w:val="left"/>
        <w:rPr>
          <w:sz w:val="13"/>
        </w:rPr>
      </w:pPr>
      <w:r>
        <w:rPr>
          <w:w w:val="105"/>
          <w:sz w:val="13"/>
        </w:rPr>
        <w:t>National</w:t>
      </w:r>
      <w:r>
        <w:rPr>
          <w:spacing w:val="4"/>
          <w:w w:val="105"/>
          <w:sz w:val="13"/>
        </w:rPr>
        <w:t> </w:t>
      </w:r>
      <w:r>
        <w:rPr>
          <w:w w:val="105"/>
          <w:sz w:val="13"/>
        </w:rPr>
        <w:t>Committee</w:t>
      </w:r>
      <w:r>
        <w:rPr>
          <w:spacing w:val="5"/>
          <w:w w:val="105"/>
          <w:sz w:val="13"/>
        </w:rPr>
        <w:t> </w:t>
      </w:r>
      <w:r>
        <w:rPr>
          <w:w w:val="105"/>
          <w:sz w:val="13"/>
        </w:rPr>
        <w:t>for</w:t>
      </w:r>
      <w:r>
        <w:rPr>
          <w:spacing w:val="5"/>
          <w:w w:val="105"/>
          <w:sz w:val="13"/>
        </w:rPr>
        <w:t> </w:t>
      </w:r>
      <w:r>
        <w:rPr>
          <w:w w:val="105"/>
          <w:sz w:val="13"/>
        </w:rPr>
        <w:t>Uniform</w:t>
      </w:r>
      <w:r>
        <w:rPr>
          <w:spacing w:val="5"/>
          <w:w w:val="105"/>
          <w:sz w:val="13"/>
        </w:rPr>
        <w:t> </w:t>
      </w:r>
      <w:r>
        <w:rPr>
          <w:w w:val="105"/>
          <w:sz w:val="13"/>
        </w:rPr>
        <w:t>Succession</w:t>
      </w:r>
      <w:r>
        <w:rPr>
          <w:spacing w:val="5"/>
          <w:w w:val="105"/>
          <w:sz w:val="13"/>
        </w:rPr>
        <w:t> </w:t>
      </w:r>
      <w:r>
        <w:rPr>
          <w:w w:val="105"/>
          <w:sz w:val="13"/>
        </w:rPr>
        <w:t>Laws,</w:t>
      </w:r>
      <w:r>
        <w:rPr>
          <w:spacing w:val="4"/>
          <w:w w:val="105"/>
          <w:sz w:val="13"/>
        </w:rPr>
        <w:t> </w:t>
      </w:r>
      <w:r>
        <w:rPr>
          <w:w w:val="105"/>
          <w:sz w:val="13"/>
        </w:rPr>
        <w:t>above</w:t>
      </w:r>
      <w:r>
        <w:rPr>
          <w:spacing w:val="5"/>
          <w:w w:val="105"/>
          <w:sz w:val="13"/>
        </w:rPr>
        <w:t> </w:t>
      </w:r>
      <w:r>
        <w:rPr>
          <w:w w:val="105"/>
          <w:sz w:val="13"/>
        </w:rPr>
        <w:t>n</w:t>
      </w:r>
      <w:r>
        <w:rPr>
          <w:spacing w:val="5"/>
          <w:w w:val="105"/>
          <w:sz w:val="13"/>
        </w:rPr>
        <w:t> </w:t>
      </w:r>
      <w:r>
        <w:rPr>
          <w:w w:val="105"/>
          <w:sz w:val="13"/>
        </w:rPr>
        <w:t>10,</w:t>
      </w:r>
      <w:r>
        <w:rPr>
          <w:spacing w:val="5"/>
          <w:w w:val="105"/>
          <w:sz w:val="13"/>
        </w:rPr>
        <w:t> </w:t>
      </w:r>
      <w:r>
        <w:rPr>
          <w:spacing w:val="2"/>
          <w:w w:val="105"/>
          <w:sz w:val="13"/>
        </w:rPr>
        <w:t>195–6.</w:t>
      </w:r>
    </w:p>
    <w:p>
      <w:pPr>
        <w:tabs>
          <w:tab w:pos="1587" w:val="left" w:leader="none"/>
          <w:tab w:pos="2381" w:val="left" w:leader="none"/>
        </w:tabs>
        <w:spacing w:line="261" w:lineRule="exact" w:before="0"/>
        <w:ind w:left="720" w:right="0" w:firstLine="0"/>
        <w:jc w:val="left"/>
        <w:rPr>
          <w:sz w:val="13"/>
        </w:rPr>
      </w:pPr>
      <w:r>
        <w:rPr>
          <w:b/>
          <w:color w:val="EC5A4F"/>
          <w:w w:val="110"/>
          <w:position w:val="-3"/>
          <w:sz w:val="24"/>
        </w:rPr>
        <w:t>64</w:t>
        <w:tab/>
      </w:r>
      <w:r>
        <w:rPr>
          <w:w w:val="110"/>
          <w:sz w:val="13"/>
        </w:rPr>
        <w:t>66</w:t>
        <w:tab/>
        <w:t>Ibid</w:t>
      </w:r>
      <w:r>
        <w:rPr>
          <w:spacing w:val="3"/>
          <w:w w:val="110"/>
          <w:sz w:val="13"/>
        </w:rPr>
        <w:t> </w:t>
      </w:r>
      <w:r>
        <w:rPr>
          <w:w w:val="110"/>
          <w:sz w:val="13"/>
        </w:rPr>
        <w:t>195.</w:t>
      </w:r>
    </w:p>
    <w:p>
      <w:pPr>
        <w:spacing w:after="0" w:line="261" w:lineRule="exact"/>
        <w:jc w:val="left"/>
        <w:rPr>
          <w:sz w:val="13"/>
        </w:rPr>
        <w:sectPr>
          <w:pgSz w:w="11910" w:h="16840"/>
          <w:pgMar w:header="550" w:footer="0" w:top="1560" w:bottom="280" w:left="0" w:right="0"/>
        </w:sectPr>
      </w:pPr>
    </w:p>
    <w:p>
      <w:pPr>
        <w:pStyle w:val="BodyText"/>
        <w:rPr>
          <w:sz w:val="20"/>
        </w:rPr>
      </w:pPr>
    </w:p>
    <w:p>
      <w:pPr>
        <w:pStyle w:val="BodyText"/>
        <w:spacing w:before="7" w:after="1"/>
        <w:rPr>
          <w:sz w:val="27"/>
        </w:rPr>
      </w:pPr>
    </w:p>
    <w:p>
      <w:pPr>
        <w:pStyle w:val="BodyText"/>
        <w:ind w:left="1222"/>
        <w:rPr>
          <w:sz w:val="20"/>
        </w:rPr>
      </w:pPr>
      <w:r>
        <w:rPr>
          <w:sz w:val="20"/>
        </w:rPr>
        <w:pict>
          <v:group style="width:479.1pt;height:154.550pt;mso-position-horizontal-relative:char;mso-position-vertical-relative:line" coordorigin="0,0" coordsize="9582,3091">
            <v:rect style="position:absolute;left:340;top:0;width:8731;height:3091" filled="true" fillcolor="#fdebea" stroked="false">
              <v:fill type="solid"/>
            </v:rect>
            <v:line style="position:absolute" from="0,751" to="9581,751" stroked="true" strokeweight="2.5pt" strokecolor="#ffffff">
              <v:stroke dashstyle="solid"/>
            </v:line>
            <v:shape style="position:absolute;left:1133;top:987;width:7602;height:1929" type="#_x0000_t202" filled="false" stroked="false">
              <v:textbox inset="0,0,0,0">
                <w:txbxContent>
                  <w:p>
                    <w:pPr>
                      <w:spacing w:line="242" w:lineRule="auto" w:before="0"/>
                      <w:ind w:left="0" w:right="0" w:firstLine="0"/>
                      <w:jc w:val="left"/>
                      <w:rPr>
                        <w:sz w:val="21"/>
                      </w:rPr>
                    </w:pPr>
                    <w:bookmarkStart w:name="The partner’s share" w:id="61"/>
                    <w:bookmarkEnd w:id="61"/>
                    <w:r>
                      <w:rPr/>
                    </w:r>
                    <w:r>
                      <w:rPr>
                        <w:w w:val="115"/>
                        <w:sz w:val="21"/>
                      </w:rPr>
                      <w:t>Next of kin should be required to survive the deceased person for 30 days in order</w:t>
                    </w:r>
                    <w:r>
                      <w:rPr>
                        <w:spacing w:val="-15"/>
                        <w:w w:val="115"/>
                        <w:sz w:val="21"/>
                      </w:rPr>
                      <w:t> </w:t>
                    </w:r>
                    <w:r>
                      <w:rPr>
                        <w:w w:val="115"/>
                        <w:sz w:val="21"/>
                      </w:rPr>
                      <w:t>to</w:t>
                    </w:r>
                    <w:r>
                      <w:rPr>
                        <w:spacing w:val="-15"/>
                        <w:w w:val="115"/>
                        <w:sz w:val="21"/>
                      </w:rPr>
                      <w:t> </w:t>
                    </w:r>
                    <w:r>
                      <w:rPr>
                        <w:w w:val="115"/>
                        <w:sz w:val="21"/>
                      </w:rPr>
                      <w:t>inherit</w:t>
                    </w:r>
                    <w:r>
                      <w:rPr>
                        <w:spacing w:val="-14"/>
                        <w:w w:val="115"/>
                        <w:sz w:val="21"/>
                      </w:rPr>
                      <w:t> </w:t>
                    </w:r>
                    <w:r>
                      <w:rPr>
                        <w:w w:val="115"/>
                        <w:sz w:val="21"/>
                      </w:rPr>
                      <w:t>on</w:t>
                    </w:r>
                    <w:r>
                      <w:rPr>
                        <w:spacing w:val="-15"/>
                        <w:w w:val="115"/>
                        <w:sz w:val="21"/>
                      </w:rPr>
                      <w:t> </w:t>
                    </w:r>
                    <w:r>
                      <w:rPr>
                        <w:w w:val="115"/>
                        <w:sz w:val="21"/>
                      </w:rPr>
                      <w:t>intestacy,</w:t>
                    </w:r>
                    <w:r>
                      <w:rPr>
                        <w:spacing w:val="-14"/>
                        <w:w w:val="115"/>
                        <w:sz w:val="21"/>
                      </w:rPr>
                      <w:t> </w:t>
                    </w:r>
                    <w:r>
                      <w:rPr>
                        <w:w w:val="115"/>
                        <w:sz w:val="21"/>
                      </w:rPr>
                      <w:t>unless</w:t>
                    </w:r>
                    <w:r>
                      <w:rPr>
                        <w:spacing w:val="-15"/>
                        <w:w w:val="115"/>
                        <w:sz w:val="21"/>
                      </w:rPr>
                      <w:t> </w:t>
                    </w:r>
                    <w:r>
                      <w:rPr>
                        <w:w w:val="115"/>
                        <w:sz w:val="21"/>
                      </w:rPr>
                      <w:t>the</w:t>
                    </w:r>
                    <w:r>
                      <w:rPr>
                        <w:spacing w:val="-15"/>
                        <w:w w:val="115"/>
                        <w:sz w:val="21"/>
                      </w:rPr>
                      <w:t> </w:t>
                    </w:r>
                    <w:r>
                      <w:rPr>
                        <w:w w:val="115"/>
                        <w:sz w:val="21"/>
                      </w:rPr>
                      <w:t>survivorship</w:t>
                    </w:r>
                    <w:r>
                      <w:rPr>
                        <w:spacing w:val="-14"/>
                        <w:w w:val="115"/>
                        <w:sz w:val="21"/>
                      </w:rPr>
                      <w:t> </w:t>
                    </w:r>
                    <w:r>
                      <w:rPr>
                        <w:w w:val="115"/>
                        <w:sz w:val="21"/>
                      </w:rPr>
                      <w:t>requirement</w:t>
                    </w:r>
                    <w:r>
                      <w:rPr>
                        <w:spacing w:val="-15"/>
                        <w:w w:val="115"/>
                        <w:sz w:val="21"/>
                      </w:rPr>
                      <w:t> </w:t>
                    </w:r>
                    <w:r>
                      <w:rPr>
                        <w:w w:val="115"/>
                        <w:sz w:val="21"/>
                      </w:rPr>
                      <w:t>would</w:t>
                    </w:r>
                    <w:r>
                      <w:rPr>
                        <w:spacing w:val="-14"/>
                        <w:w w:val="115"/>
                        <w:sz w:val="21"/>
                      </w:rPr>
                      <w:t> </w:t>
                    </w:r>
                    <w:r>
                      <w:rPr>
                        <w:w w:val="115"/>
                        <w:sz w:val="21"/>
                      </w:rPr>
                      <w:t>result in </w:t>
                    </w:r>
                    <w:r>
                      <w:rPr>
                        <w:rFonts w:ascii="Lucida Sans"/>
                        <w:i/>
                        <w:w w:val="115"/>
                        <w:sz w:val="21"/>
                      </w:rPr>
                      <w:t>bona</w:t>
                    </w:r>
                    <w:r>
                      <w:rPr>
                        <w:rFonts w:ascii="Lucida Sans"/>
                        <w:i/>
                        <w:spacing w:val="-26"/>
                        <w:w w:val="115"/>
                        <w:sz w:val="21"/>
                      </w:rPr>
                      <w:t> </w:t>
                    </w:r>
                    <w:r>
                      <w:rPr>
                        <w:rFonts w:ascii="Lucida Sans"/>
                        <w:i/>
                        <w:w w:val="115"/>
                        <w:sz w:val="21"/>
                      </w:rPr>
                      <w:t>vacantia</w:t>
                    </w:r>
                    <w:r>
                      <w:rPr>
                        <w:w w:val="115"/>
                        <w:sz w:val="21"/>
                      </w:rPr>
                      <w:t>.</w:t>
                    </w:r>
                  </w:p>
                  <w:p>
                    <w:pPr>
                      <w:spacing w:line="242" w:lineRule="auto" w:before="116"/>
                      <w:ind w:left="0" w:right="0" w:firstLine="0"/>
                      <w:jc w:val="left"/>
                      <w:rPr>
                        <w:sz w:val="21"/>
                      </w:rPr>
                    </w:pPr>
                    <w:r>
                      <w:rPr>
                        <w:w w:val="115"/>
                        <w:sz w:val="21"/>
                      </w:rPr>
                      <w:t>Children who are conceived but not yet born at the date of the deceased person’s</w:t>
                    </w:r>
                    <w:r>
                      <w:rPr>
                        <w:spacing w:val="-8"/>
                        <w:w w:val="115"/>
                        <w:sz w:val="21"/>
                      </w:rPr>
                      <w:t> </w:t>
                    </w:r>
                    <w:r>
                      <w:rPr>
                        <w:w w:val="115"/>
                        <w:sz w:val="21"/>
                      </w:rPr>
                      <w:t>death</w:t>
                    </w:r>
                    <w:r>
                      <w:rPr>
                        <w:spacing w:val="-7"/>
                        <w:w w:val="115"/>
                        <w:sz w:val="21"/>
                      </w:rPr>
                      <w:t> </w:t>
                    </w:r>
                    <w:r>
                      <w:rPr>
                        <w:w w:val="115"/>
                        <w:sz w:val="21"/>
                      </w:rPr>
                      <w:t>should</w:t>
                    </w:r>
                    <w:r>
                      <w:rPr>
                        <w:spacing w:val="-7"/>
                        <w:w w:val="115"/>
                        <w:sz w:val="21"/>
                      </w:rPr>
                      <w:t> </w:t>
                    </w:r>
                    <w:r>
                      <w:rPr>
                        <w:w w:val="115"/>
                        <w:sz w:val="21"/>
                      </w:rPr>
                      <w:t>be</w:t>
                    </w:r>
                    <w:r>
                      <w:rPr>
                        <w:spacing w:val="-8"/>
                        <w:w w:val="115"/>
                        <w:sz w:val="21"/>
                      </w:rPr>
                      <w:t> </w:t>
                    </w:r>
                    <w:r>
                      <w:rPr>
                        <w:w w:val="115"/>
                        <w:sz w:val="21"/>
                      </w:rPr>
                      <w:t>required</w:t>
                    </w:r>
                    <w:r>
                      <w:rPr>
                        <w:spacing w:val="-7"/>
                        <w:w w:val="115"/>
                        <w:sz w:val="21"/>
                      </w:rPr>
                      <w:t> </w:t>
                    </w:r>
                    <w:r>
                      <w:rPr>
                        <w:w w:val="115"/>
                        <w:sz w:val="21"/>
                      </w:rPr>
                      <w:t>to</w:t>
                    </w:r>
                    <w:r>
                      <w:rPr>
                        <w:spacing w:val="-7"/>
                        <w:w w:val="115"/>
                        <w:sz w:val="21"/>
                      </w:rPr>
                      <w:t> </w:t>
                    </w:r>
                    <w:r>
                      <w:rPr>
                        <w:w w:val="115"/>
                        <w:sz w:val="21"/>
                      </w:rPr>
                      <w:t>survive</w:t>
                    </w:r>
                    <w:r>
                      <w:rPr>
                        <w:spacing w:val="-8"/>
                        <w:w w:val="115"/>
                        <w:sz w:val="21"/>
                      </w:rPr>
                      <w:t> </w:t>
                    </w:r>
                    <w:r>
                      <w:rPr>
                        <w:w w:val="115"/>
                        <w:sz w:val="21"/>
                      </w:rPr>
                      <w:t>for</w:t>
                    </w:r>
                    <w:r>
                      <w:rPr>
                        <w:spacing w:val="-7"/>
                        <w:w w:val="115"/>
                        <w:sz w:val="21"/>
                      </w:rPr>
                      <w:t> </w:t>
                    </w:r>
                    <w:r>
                      <w:rPr>
                        <w:w w:val="115"/>
                        <w:sz w:val="21"/>
                      </w:rPr>
                      <w:t>at</w:t>
                    </w:r>
                    <w:r>
                      <w:rPr>
                        <w:spacing w:val="-7"/>
                        <w:w w:val="115"/>
                        <w:sz w:val="21"/>
                      </w:rPr>
                      <w:t> </w:t>
                    </w:r>
                    <w:r>
                      <w:rPr>
                        <w:w w:val="115"/>
                        <w:sz w:val="21"/>
                      </w:rPr>
                      <w:t>least</w:t>
                    </w:r>
                    <w:r>
                      <w:rPr>
                        <w:spacing w:val="-8"/>
                        <w:w w:val="115"/>
                        <w:sz w:val="21"/>
                      </w:rPr>
                      <w:t> </w:t>
                    </w:r>
                    <w:r>
                      <w:rPr>
                        <w:w w:val="115"/>
                        <w:sz w:val="21"/>
                      </w:rPr>
                      <w:t>30</w:t>
                    </w:r>
                    <w:r>
                      <w:rPr>
                        <w:spacing w:val="-7"/>
                        <w:w w:val="115"/>
                        <w:sz w:val="21"/>
                      </w:rPr>
                      <w:t> </w:t>
                    </w:r>
                    <w:r>
                      <w:rPr>
                        <w:w w:val="115"/>
                        <w:sz w:val="21"/>
                      </w:rPr>
                      <w:t>days</w:t>
                    </w:r>
                    <w:r>
                      <w:rPr>
                        <w:spacing w:val="-7"/>
                        <w:w w:val="115"/>
                        <w:sz w:val="21"/>
                      </w:rPr>
                      <w:t> </w:t>
                    </w:r>
                    <w:r>
                      <w:rPr>
                        <w:w w:val="115"/>
                        <w:sz w:val="21"/>
                      </w:rPr>
                      <w:t>after</w:t>
                    </w:r>
                    <w:r>
                      <w:rPr>
                        <w:spacing w:val="-8"/>
                        <w:w w:val="115"/>
                        <w:sz w:val="21"/>
                      </w:rPr>
                      <w:t> </w:t>
                    </w:r>
                    <w:r>
                      <w:rPr>
                        <w:w w:val="115"/>
                        <w:sz w:val="21"/>
                      </w:rPr>
                      <w:t>birth</w:t>
                    </w:r>
                    <w:r>
                      <w:rPr>
                        <w:spacing w:val="-7"/>
                        <w:w w:val="115"/>
                        <w:sz w:val="21"/>
                      </w:rPr>
                      <w:t> </w:t>
                    </w:r>
                    <w:r>
                      <w:rPr>
                        <w:w w:val="115"/>
                        <w:sz w:val="21"/>
                      </w:rPr>
                      <w:t>in order</w:t>
                    </w:r>
                    <w:r>
                      <w:rPr>
                        <w:spacing w:val="-15"/>
                        <w:w w:val="115"/>
                        <w:sz w:val="21"/>
                      </w:rPr>
                      <w:t> </w:t>
                    </w:r>
                    <w:r>
                      <w:rPr>
                        <w:w w:val="115"/>
                        <w:sz w:val="21"/>
                      </w:rPr>
                      <w:t>to</w:t>
                    </w:r>
                    <w:r>
                      <w:rPr>
                        <w:spacing w:val="-15"/>
                        <w:w w:val="115"/>
                        <w:sz w:val="21"/>
                      </w:rPr>
                      <w:t> </w:t>
                    </w:r>
                    <w:r>
                      <w:rPr>
                        <w:w w:val="115"/>
                        <w:sz w:val="21"/>
                      </w:rPr>
                      <w:t>inherit</w:t>
                    </w:r>
                    <w:r>
                      <w:rPr>
                        <w:spacing w:val="-14"/>
                        <w:w w:val="115"/>
                        <w:sz w:val="21"/>
                      </w:rPr>
                      <w:t> </w:t>
                    </w:r>
                    <w:r>
                      <w:rPr>
                        <w:w w:val="115"/>
                        <w:sz w:val="21"/>
                      </w:rPr>
                      <w:t>on</w:t>
                    </w:r>
                    <w:r>
                      <w:rPr>
                        <w:spacing w:val="-15"/>
                        <w:w w:val="115"/>
                        <w:sz w:val="21"/>
                      </w:rPr>
                      <w:t> </w:t>
                    </w:r>
                    <w:r>
                      <w:rPr>
                        <w:w w:val="115"/>
                        <w:sz w:val="21"/>
                      </w:rPr>
                      <w:t>intestacy,</w:t>
                    </w:r>
                    <w:r>
                      <w:rPr>
                        <w:spacing w:val="-14"/>
                        <w:w w:val="115"/>
                        <w:sz w:val="21"/>
                      </w:rPr>
                      <w:t> </w:t>
                    </w:r>
                    <w:r>
                      <w:rPr>
                        <w:w w:val="115"/>
                        <w:sz w:val="21"/>
                      </w:rPr>
                      <w:t>unless</w:t>
                    </w:r>
                    <w:r>
                      <w:rPr>
                        <w:spacing w:val="-15"/>
                        <w:w w:val="115"/>
                        <w:sz w:val="21"/>
                      </w:rPr>
                      <w:t> </w:t>
                    </w:r>
                    <w:r>
                      <w:rPr>
                        <w:w w:val="115"/>
                        <w:sz w:val="21"/>
                      </w:rPr>
                      <w:t>the</w:t>
                    </w:r>
                    <w:r>
                      <w:rPr>
                        <w:spacing w:val="-15"/>
                        <w:w w:val="115"/>
                        <w:sz w:val="21"/>
                      </w:rPr>
                      <w:t> </w:t>
                    </w:r>
                    <w:r>
                      <w:rPr>
                        <w:w w:val="115"/>
                        <w:sz w:val="21"/>
                      </w:rPr>
                      <w:t>survivorship</w:t>
                    </w:r>
                    <w:r>
                      <w:rPr>
                        <w:spacing w:val="-14"/>
                        <w:w w:val="115"/>
                        <w:sz w:val="21"/>
                      </w:rPr>
                      <w:t> </w:t>
                    </w:r>
                    <w:r>
                      <w:rPr>
                        <w:w w:val="115"/>
                        <w:sz w:val="21"/>
                      </w:rPr>
                      <w:t>requirement</w:t>
                    </w:r>
                    <w:r>
                      <w:rPr>
                        <w:spacing w:val="-15"/>
                        <w:w w:val="115"/>
                        <w:sz w:val="21"/>
                      </w:rPr>
                      <w:t> </w:t>
                    </w:r>
                    <w:r>
                      <w:rPr>
                        <w:w w:val="115"/>
                        <w:sz w:val="21"/>
                      </w:rPr>
                      <w:t>would</w:t>
                    </w:r>
                    <w:r>
                      <w:rPr>
                        <w:spacing w:val="-14"/>
                        <w:w w:val="115"/>
                        <w:sz w:val="21"/>
                      </w:rPr>
                      <w:t> </w:t>
                    </w:r>
                    <w:r>
                      <w:rPr>
                        <w:w w:val="115"/>
                        <w:sz w:val="21"/>
                      </w:rPr>
                      <w:t>result in </w:t>
                    </w:r>
                    <w:r>
                      <w:rPr>
                        <w:rFonts w:ascii="Lucida Sans" w:hAnsi="Lucida Sans"/>
                        <w:i/>
                        <w:w w:val="115"/>
                        <w:sz w:val="21"/>
                      </w:rPr>
                      <w:t>bona</w:t>
                    </w:r>
                    <w:r>
                      <w:rPr>
                        <w:rFonts w:ascii="Lucida Sans" w:hAnsi="Lucida Sans"/>
                        <w:i/>
                        <w:spacing w:val="-26"/>
                        <w:w w:val="115"/>
                        <w:sz w:val="21"/>
                      </w:rPr>
                      <w:t> </w:t>
                    </w:r>
                    <w:r>
                      <w:rPr>
                        <w:rFonts w:ascii="Lucida Sans" w:hAnsi="Lucida Sans"/>
                        <w:i/>
                        <w:w w:val="115"/>
                        <w:sz w:val="21"/>
                      </w:rPr>
                      <w:t>vacantia</w:t>
                    </w:r>
                    <w:r>
                      <w:rPr>
                        <w:w w:val="115"/>
                        <w:sz w:val="21"/>
                      </w:rPr>
                      <w:t>.</w:t>
                    </w:r>
                  </w:p>
                </w:txbxContent>
              </v:textbox>
              <w10:wrap type="none"/>
            </v:shape>
            <v:shape style="position:absolute;left:566;top:987;width:244;height:1149" type="#_x0000_t202" filled="false" stroked="false">
              <v:textbox inset="0,0,0,0">
                <w:txbxContent>
                  <w:p>
                    <w:pPr>
                      <w:spacing w:line="253" w:lineRule="exact" w:before="0"/>
                      <w:ind w:left="0" w:right="0" w:firstLine="0"/>
                      <w:jc w:val="left"/>
                      <w:rPr>
                        <w:sz w:val="21"/>
                      </w:rPr>
                    </w:pPr>
                    <w:r>
                      <w:rPr>
                        <w:spacing w:val="-6"/>
                        <w:w w:val="110"/>
                        <w:sz w:val="21"/>
                      </w:rPr>
                      <w:t>14</w:t>
                    </w:r>
                  </w:p>
                  <w:p>
                    <w:pPr>
                      <w:spacing w:line="240" w:lineRule="auto" w:before="0"/>
                      <w:rPr>
                        <w:sz w:val="24"/>
                      </w:rPr>
                    </w:pPr>
                  </w:p>
                  <w:p>
                    <w:pPr>
                      <w:spacing w:line="240" w:lineRule="auto" w:before="8"/>
                      <w:rPr>
                        <w:sz w:val="28"/>
                      </w:rPr>
                    </w:pPr>
                  </w:p>
                  <w:p>
                    <w:pPr>
                      <w:spacing w:line="252" w:lineRule="exact" w:before="1"/>
                      <w:ind w:left="0" w:right="0" w:firstLine="0"/>
                      <w:jc w:val="left"/>
                      <w:rPr>
                        <w:sz w:val="21"/>
                      </w:rPr>
                    </w:pPr>
                    <w:r>
                      <w:rPr>
                        <w:spacing w:val="-6"/>
                        <w:w w:val="110"/>
                        <w:sz w:val="21"/>
                      </w:rPr>
                      <w:t>15</w:t>
                    </w:r>
                  </w:p>
                </w:txbxContent>
              </v:textbox>
              <w10:wrap type="none"/>
            </v:shape>
            <v:shape style="position:absolute;left:340;top:0;width:8731;height:726" type="#_x0000_t202" filled="true" fillcolor="#fdebea" stroked="false">
              <v:textbox inset="0,0,0,0">
                <w:txbxContent>
                  <w:p>
                    <w:pPr>
                      <w:spacing w:before="166"/>
                      <w:ind w:left="226" w:right="0" w:firstLine="0"/>
                      <w:jc w:val="left"/>
                      <w:rPr>
                        <w:b/>
                        <w:sz w:val="32"/>
                      </w:rPr>
                    </w:pPr>
                    <w:r>
                      <w:rPr>
                        <w:b/>
                        <w:color w:val="EC5A4F"/>
                        <w:w w:val="110"/>
                        <w:sz w:val="32"/>
                      </w:rPr>
                      <w:t>Recommendations</w:t>
                    </w:r>
                  </w:p>
                </w:txbxContent>
              </v:textbox>
              <v:fill type="solid"/>
              <w10:wrap type="none"/>
            </v:shape>
          </v:group>
        </w:pict>
      </w:r>
      <w:r>
        <w:rPr>
          <w:sz w:val="20"/>
        </w:rPr>
      </w:r>
    </w:p>
    <w:p>
      <w:pPr>
        <w:pStyle w:val="Heading4"/>
        <w:spacing w:before="116"/>
      </w:pPr>
      <w:bookmarkStart w:name="_TOC_250053" w:id="62"/>
      <w:bookmarkEnd w:id="62"/>
      <w:r>
        <w:rPr>
          <w:color w:val="EC5A4F"/>
          <w:w w:val="110"/>
        </w:rPr>
        <w:t>The partner’s share</w:t>
      </w:r>
    </w:p>
    <w:p>
      <w:pPr>
        <w:pStyle w:val="Heading5"/>
        <w:spacing w:before="167"/>
      </w:pPr>
      <w:bookmarkStart w:name="_TOC_250052" w:id="63"/>
      <w:bookmarkEnd w:id="63"/>
      <w:r>
        <w:rPr>
          <w:w w:val="115"/>
        </w:rPr>
        <w:t>Current law</w:t>
      </w:r>
    </w:p>
    <w:p>
      <w:pPr>
        <w:pStyle w:val="Heading6"/>
        <w:spacing w:before="201"/>
      </w:pPr>
      <w:r>
        <w:rPr>
          <w:w w:val="120"/>
        </w:rPr>
        <w:t>Recognition of partners on</w:t>
      </w:r>
      <w:r>
        <w:rPr>
          <w:spacing w:val="-54"/>
          <w:w w:val="120"/>
        </w:rPr>
        <w:t> </w:t>
      </w:r>
      <w:r>
        <w:rPr>
          <w:w w:val="120"/>
        </w:rPr>
        <w:t>intestacy</w:t>
      </w:r>
    </w:p>
    <w:p>
      <w:pPr>
        <w:pStyle w:val="ListParagraph"/>
        <w:numPr>
          <w:ilvl w:val="1"/>
          <w:numId w:val="22"/>
        </w:numPr>
        <w:tabs>
          <w:tab w:pos="2381" w:val="left" w:leader="none"/>
          <w:tab w:pos="2382" w:val="left" w:leader="none"/>
        </w:tabs>
        <w:spacing w:line="242" w:lineRule="auto" w:before="151" w:after="0"/>
        <w:ind w:left="2381" w:right="1768" w:hanging="794"/>
        <w:jc w:val="left"/>
        <w:rPr>
          <w:sz w:val="12"/>
        </w:rPr>
      </w:pPr>
      <w:r>
        <w:rPr>
          <w:sz w:val="21"/>
        </w:rPr>
        <w:t>If a person dies </w:t>
      </w:r>
      <w:r>
        <w:rPr>
          <w:spacing w:val="-3"/>
          <w:sz w:val="21"/>
        </w:rPr>
        <w:t>intestate leaving </w:t>
      </w:r>
      <w:r>
        <w:rPr>
          <w:sz w:val="21"/>
        </w:rPr>
        <w:t>a </w:t>
      </w:r>
      <w:r>
        <w:rPr>
          <w:spacing w:val="-3"/>
          <w:sz w:val="21"/>
        </w:rPr>
        <w:t>partner, </w:t>
      </w:r>
      <w:r>
        <w:rPr>
          <w:sz w:val="21"/>
        </w:rPr>
        <w:t>the </w:t>
      </w:r>
      <w:r>
        <w:rPr>
          <w:spacing w:val="-3"/>
          <w:sz w:val="21"/>
        </w:rPr>
        <w:t>hierarchy </w:t>
      </w:r>
      <w:r>
        <w:rPr>
          <w:sz w:val="21"/>
        </w:rPr>
        <w:t>of </w:t>
      </w:r>
      <w:r>
        <w:rPr>
          <w:spacing w:val="-2"/>
          <w:sz w:val="21"/>
        </w:rPr>
        <w:t>distribution </w:t>
      </w:r>
      <w:r>
        <w:rPr>
          <w:sz w:val="21"/>
        </w:rPr>
        <w:t>on intestacy prioritises the </w:t>
      </w:r>
      <w:r>
        <w:rPr>
          <w:spacing w:val="-3"/>
          <w:sz w:val="21"/>
        </w:rPr>
        <w:t>partner. </w:t>
      </w:r>
      <w:r>
        <w:rPr>
          <w:sz w:val="21"/>
        </w:rPr>
        <w:t>For the purposes of </w:t>
      </w:r>
      <w:r>
        <w:rPr>
          <w:spacing w:val="-3"/>
          <w:sz w:val="21"/>
        </w:rPr>
        <w:t>intestacy, </w:t>
      </w:r>
      <w:r>
        <w:rPr>
          <w:sz w:val="21"/>
        </w:rPr>
        <w:t>the </w:t>
      </w:r>
      <w:r>
        <w:rPr>
          <w:spacing w:val="-3"/>
          <w:sz w:val="21"/>
        </w:rPr>
        <w:t>Administration </w:t>
      </w:r>
      <w:r>
        <w:rPr>
          <w:sz w:val="21"/>
        </w:rPr>
        <w:t>and </w:t>
      </w:r>
      <w:r>
        <w:rPr>
          <w:spacing w:val="-3"/>
          <w:sz w:val="21"/>
        </w:rPr>
        <w:t>Probate </w:t>
      </w:r>
      <w:r>
        <w:rPr>
          <w:sz w:val="21"/>
        </w:rPr>
        <w:t>Act defines</w:t>
      </w:r>
      <w:r>
        <w:rPr>
          <w:spacing w:val="11"/>
          <w:sz w:val="21"/>
        </w:rPr>
        <w:t> </w:t>
      </w:r>
      <w:r>
        <w:rPr>
          <w:sz w:val="21"/>
        </w:rPr>
        <w:t>the</w:t>
      </w:r>
      <w:r>
        <w:rPr>
          <w:spacing w:val="12"/>
          <w:sz w:val="21"/>
        </w:rPr>
        <w:t> </w:t>
      </w:r>
      <w:r>
        <w:rPr>
          <w:sz w:val="21"/>
        </w:rPr>
        <w:t>deceased</w:t>
      </w:r>
      <w:r>
        <w:rPr>
          <w:spacing w:val="11"/>
          <w:sz w:val="21"/>
        </w:rPr>
        <w:t> </w:t>
      </w:r>
      <w:r>
        <w:rPr>
          <w:spacing w:val="-3"/>
          <w:sz w:val="21"/>
        </w:rPr>
        <w:t>person’s</w:t>
      </w:r>
      <w:r>
        <w:rPr>
          <w:spacing w:val="12"/>
          <w:sz w:val="21"/>
        </w:rPr>
        <w:t> </w:t>
      </w:r>
      <w:r>
        <w:rPr>
          <w:sz w:val="21"/>
        </w:rPr>
        <w:t>partner</w:t>
      </w:r>
      <w:r>
        <w:rPr>
          <w:spacing w:val="11"/>
          <w:sz w:val="21"/>
        </w:rPr>
        <w:t> </w:t>
      </w:r>
      <w:r>
        <w:rPr>
          <w:sz w:val="21"/>
        </w:rPr>
        <w:t>as</w:t>
      </w:r>
      <w:r>
        <w:rPr>
          <w:spacing w:val="12"/>
          <w:sz w:val="21"/>
        </w:rPr>
        <w:t> </w:t>
      </w:r>
      <w:r>
        <w:rPr>
          <w:sz w:val="21"/>
        </w:rPr>
        <w:t>their</w:t>
      </w:r>
      <w:r>
        <w:rPr>
          <w:spacing w:val="11"/>
          <w:sz w:val="21"/>
        </w:rPr>
        <w:t> </w:t>
      </w:r>
      <w:r>
        <w:rPr>
          <w:sz w:val="21"/>
        </w:rPr>
        <w:t>spouse</w:t>
      </w:r>
      <w:r>
        <w:rPr>
          <w:spacing w:val="12"/>
          <w:sz w:val="21"/>
        </w:rPr>
        <w:t> </w:t>
      </w:r>
      <w:r>
        <w:rPr>
          <w:sz w:val="21"/>
        </w:rPr>
        <w:t>or</w:t>
      </w:r>
      <w:r>
        <w:rPr>
          <w:spacing w:val="11"/>
          <w:sz w:val="21"/>
        </w:rPr>
        <w:t> </w:t>
      </w:r>
      <w:r>
        <w:rPr>
          <w:sz w:val="21"/>
        </w:rPr>
        <w:t>domestic</w:t>
      </w:r>
      <w:r>
        <w:rPr>
          <w:spacing w:val="12"/>
          <w:sz w:val="21"/>
        </w:rPr>
        <w:t> </w:t>
      </w:r>
      <w:r>
        <w:rPr>
          <w:spacing w:val="-3"/>
          <w:sz w:val="21"/>
        </w:rPr>
        <w:t>partner.</w:t>
      </w:r>
      <w:r>
        <w:rPr>
          <w:spacing w:val="-3"/>
          <w:position w:val="7"/>
          <w:sz w:val="12"/>
        </w:rPr>
        <w:t>67</w:t>
      </w:r>
    </w:p>
    <w:p>
      <w:pPr>
        <w:pStyle w:val="BodyText"/>
        <w:spacing w:line="242" w:lineRule="auto" w:before="3"/>
        <w:ind w:left="2381" w:right="1989"/>
        <w:rPr>
          <w:sz w:val="12"/>
        </w:rPr>
      </w:pPr>
      <w:r>
        <w:rPr>
          <w:w w:val="105"/>
        </w:rPr>
        <w:t>Spouse </w:t>
      </w:r>
      <w:r>
        <w:rPr>
          <w:spacing w:val="-3"/>
          <w:w w:val="105"/>
        </w:rPr>
        <w:t>means </w:t>
      </w:r>
      <w:r>
        <w:rPr>
          <w:w w:val="105"/>
        </w:rPr>
        <w:t>someone who was married </w:t>
      </w:r>
      <w:r>
        <w:rPr>
          <w:spacing w:val="-3"/>
          <w:w w:val="105"/>
        </w:rPr>
        <w:t>to </w:t>
      </w:r>
      <w:r>
        <w:rPr>
          <w:w w:val="105"/>
        </w:rPr>
        <w:t>the deceased person at the time of the deceased </w:t>
      </w:r>
      <w:r>
        <w:rPr>
          <w:spacing w:val="-3"/>
          <w:w w:val="105"/>
        </w:rPr>
        <w:t>person’s </w:t>
      </w:r>
      <w:r>
        <w:rPr>
          <w:w w:val="105"/>
        </w:rPr>
        <w:t>death.</w:t>
      </w:r>
      <w:r>
        <w:rPr>
          <w:w w:val="105"/>
          <w:position w:val="7"/>
          <w:sz w:val="12"/>
        </w:rPr>
        <w:t>68 </w:t>
      </w:r>
      <w:r>
        <w:rPr>
          <w:w w:val="105"/>
        </w:rPr>
        <w:t>Domestic partner </w:t>
      </w:r>
      <w:r>
        <w:rPr>
          <w:w w:val="105"/>
          <w:position w:val="7"/>
          <w:sz w:val="12"/>
        </w:rPr>
        <w:t>69 </w:t>
      </w:r>
      <w:r>
        <w:rPr>
          <w:spacing w:val="-3"/>
          <w:w w:val="105"/>
        </w:rPr>
        <w:t>means </w:t>
      </w:r>
      <w:r>
        <w:rPr>
          <w:w w:val="105"/>
        </w:rPr>
        <w:t>either a </w:t>
      </w:r>
      <w:r>
        <w:rPr>
          <w:spacing w:val="-3"/>
          <w:w w:val="105"/>
        </w:rPr>
        <w:t>registered </w:t>
      </w:r>
      <w:r>
        <w:rPr>
          <w:w w:val="105"/>
        </w:rPr>
        <w:t>domestic partner </w:t>
      </w:r>
      <w:r>
        <w:rPr>
          <w:w w:val="105"/>
          <w:position w:val="7"/>
          <w:sz w:val="12"/>
        </w:rPr>
        <w:t>70 </w:t>
      </w:r>
      <w:r>
        <w:rPr>
          <w:w w:val="105"/>
        </w:rPr>
        <w:t>or an </w:t>
      </w:r>
      <w:r>
        <w:rPr>
          <w:spacing w:val="-3"/>
          <w:w w:val="105"/>
        </w:rPr>
        <w:t>unregistered </w:t>
      </w:r>
      <w:r>
        <w:rPr>
          <w:w w:val="105"/>
        </w:rPr>
        <w:t>domestic </w:t>
      </w:r>
      <w:r>
        <w:rPr>
          <w:spacing w:val="-5"/>
          <w:w w:val="105"/>
        </w:rPr>
        <w:t>partner.</w:t>
      </w:r>
      <w:r>
        <w:rPr>
          <w:spacing w:val="-5"/>
          <w:w w:val="105"/>
          <w:position w:val="7"/>
          <w:sz w:val="12"/>
        </w:rPr>
        <w:t>71</w:t>
      </w:r>
    </w:p>
    <w:p>
      <w:pPr>
        <w:pStyle w:val="ListParagraph"/>
        <w:numPr>
          <w:ilvl w:val="1"/>
          <w:numId w:val="22"/>
        </w:numPr>
        <w:tabs>
          <w:tab w:pos="2381" w:val="left" w:leader="none"/>
          <w:tab w:pos="2382" w:val="left" w:leader="none"/>
        </w:tabs>
        <w:spacing w:line="242" w:lineRule="auto" w:before="123" w:after="0"/>
        <w:ind w:left="2381" w:right="2024" w:hanging="794"/>
        <w:jc w:val="left"/>
        <w:rPr>
          <w:sz w:val="12"/>
        </w:rPr>
      </w:pPr>
      <w:r>
        <w:rPr>
          <w:spacing w:val="-2"/>
          <w:sz w:val="21"/>
        </w:rPr>
        <w:t>Registered </w:t>
      </w:r>
      <w:r>
        <w:rPr>
          <w:spacing w:val="-3"/>
          <w:sz w:val="21"/>
        </w:rPr>
        <w:t>caring </w:t>
      </w:r>
      <w:r>
        <w:rPr>
          <w:sz w:val="21"/>
        </w:rPr>
        <w:t>partner is also defined </w:t>
      </w:r>
      <w:r>
        <w:rPr>
          <w:position w:val="7"/>
          <w:sz w:val="12"/>
        </w:rPr>
        <w:t>72 </w:t>
      </w:r>
      <w:r>
        <w:rPr>
          <w:sz w:val="21"/>
        </w:rPr>
        <w:t>and </w:t>
      </w:r>
      <w:r>
        <w:rPr>
          <w:spacing w:val="-3"/>
          <w:sz w:val="21"/>
        </w:rPr>
        <w:t>included  </w:t>
      </w:r>
      <w:r>
        <w:rPr>
          <w:sz w:val="21"/>
        </w:rPr>
        <w:t>in  the  </w:t>
      </w:r>
      <w:r>
        <w:rPr>
          <w:spacing w:val="-3"/>
          <w:sz w:val="21"/>
        </w:rPr>
        <w:t>provisions  that  </w:t>
      </w:r>
      <w:r>
        <w:rPr>
          <w:sz w:val="21"/>
        </w:rPr>
        <w:t>deal with the </w:t>
      </w:r>
      <w:r>
        <w:rPr>
          <w:spacing w:val="-3"/>
          <w:sz w:val="21"/>
        </w:rPr>
        <w:t>situation </w:t>
      </w:r>
      <w:r>
        <w:rPr>
          <w:sz w:val="21"/>
        </w:rPr>
        <w:t>where the deceased person is survived by more </w:t>
      </w:r>
      <w:r>
        <w:rPr>
          <w:spacing w:val="-3"/>
          <w:sz w:val="21"/>
        </w:rPr>
        <w:t>than </w:t>
      </w:r>
      <w:r>
        <w:rPr>
          <w:sz w:val="21"/>
        </w:rPr>
        <w:t>one </w:t>
      </w:r>
      <w:r>
        <w:rPr>
          <w:spacing w:val="-4"/>
          <w:sz w:val="21"/>
        </w:rPr>
        <w:t>partner.</w:t>
      </w:r>
      <w:r>
        <w:rPr>
          <w:spacing w:val="-4"/>
          <w:position w:val="7"/>
          <w:sz w:val="12"/>
        </w:rPr>
        <w:t>73 </w:t>
      </w:r>
      <w:r>
        <w:rPr>
          <w:spacing w:val="-4"/>
          <w:sz w:val="12"/>
        </w:rPr>
        <w:t> </w:t>
      </w:r>
      <w:r>
        <w:rPr>
          <w:spacing w:val="-4"/>
          <w:sz w:val="21"/>
        </w:rPr>
        <w:t>However, </w:t>
      </w:r>
      <w:r>
        <w:rPr>
          <w:spacing w:val="-3"/>
          <w:sz w:val="21"/>
        </w:rPr>
        <w:t>registered caring </w:t>
      </w:r>
      <w:r>
        <w:rPr>
          <w:sz w:val="21"/>
        </w:rPr>
        <w:t>partner is </w:t>
      </w:r>
      <w:r>
        <w:rPr>
          <w:spacing w:val="-2"/>
          <w:sz w:val="21"/>
        </w:rPr>
        <w:t>not </w:t>
      </w:r>
      <w:r>
        <w:rPr>
          <w:spacing w:val="-3"/>
          <w:sz w:val="21"/>
        </w:rPr>
        <w:t>included </w:t>
      </w:r>
      <w:r>
        <w:rPr>
          <w:sz w:val="21"/>
        </w:rPr>
        <w:t>in the definition of</w:t>
      </w:r>
      <w:r>
        <w:rPr>
          <w:spacing w:val="-21"/>
          <w:sz w:val="21"/>
        </w:rPr>
        <w:t> </w:t>
      </w:r>
      <w:r>
        <w:rPr>
          <w:spacing w:val="-5"/>
          <w:sz w:val="21"/>
        </w:rPr>
        <w:t>partner,</w:t>
      </w:r>
      <w:r>
        <w:rPr>
          <w:spacing w:val="-5"/>
          <w:position w:val="7"/>
          <w:sz w:val="12"/>
        </w:rPr>
        <w:t>74</w:t>
      </w:r>
    </w:p>
    <w:p>
      <w:pPr>
        <w:pStyle w:val="BodyText"/>
        <w:spacing w:line="242" w:lineRule="auto" w:before="4"/>
        <w:ind w:left="2381" w:right="2010"/>
      </w:pPr>
      <w:r>
        <w:rPr/>
        <w:t>so registered caring partners do not appear to be entitled to take as the deceased person’s partner on intestacy. This is discussed further from [5.53] below.</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7"/>
        </w:rPr>
      </w:pPr>
      <w:r>
        <w:rPr/>
        <w:pict>
          <v:line style="position:absolute;mso-position-horizontal-relative:page;mso-position-vertical-relative:paragraph;z-index:3872;mso-wrap-distance-left:0;mso-wrap-distance-right:0" from="79.370102pt,13.114136pt" to="515.905102pt,13.114136pt" stroked="true" strokeweight="1pt" strokecolor="#f9ceca">
            <v:stroke dashstyle="solid"/>
            <w10:wrap type="topAndBottom"/>
          </v:line>
        </w:pict>
      </w:r>
    </w:p>
    <w:p>
      <w:pPr>
        <w:pStyle w:val="ListParagraph"/>
        <w:numPr>
          <w:ilvl w:val="0"/>
          <w:numId w:val="55"/>
        </w:numPr>
        <w:tabs>
          <w:tab w:pos="2381" w:val="left" w:leader="none"/>
          <w:tab w:pos="2382" w:val="left" w:leader="none"/>
        </w:tabs>
        <w:spacing w:line="240" w:lineRule="auto" w:before="117" w:after="0"/>
        <w:ind w:left="2381" w:right="0" w:hanging="794"/>
        <w:jc w:val="left"/>
        <w:rPr>
          <w:sz w:val="13"/>
        </w:rPr>
      </w:pPr>
      <w:r>
        <w:rPr>
          <w:i/>
          <w:w w:val="105"/>
          <w:sz w:val="13"/>
        </w:rPr>
        <w:t>Administration and Probate Act 1958 </w:t>
      </w:r>
      <w:r>
        <w:rPr>
          <w:spacing w:val="2"/>
          <w:w w:val="105"/>
          <w:sz w:val="13"/>
        </w:rPr>
        <w:t>(Vic) </w:t>
      </w:r>
      <w:r>
        <w:rPr>
          <w:w w:val="105"/>
          <w:sz w:val="13"/>
        </w:rPr>
        <w:t>s 3(1) (definition of</w:t>
      </w:r>
      <w:r>
        <w:rPr>
          <w:spacing w:val="8"/>
          <w:w w:val="105"/>
          <w:sz w:val="13"/>
        </w:rPr>
        <w:t> </w:t>
      </w:r>
      <w:r>
        <w:rPr>
          <w:w w:val="105"/>
          <w:sz w:val="13"/>
        </w:rPr>
        <w:t>‘partner’).</w:t>
      </w:r>
    </w:p>
    <w:p>
      <w:pPr>
        <w:pStyle w:val="ListParagraph"/>
        <w:numPr>
          <w:ilvl w:val="0"/>
          <w:numId w:val="55"/>
        </w:numPr>
        <w:tabs>
          <w:tab w:pos="2381" w:val="left" w:leader="none"/>
          <w:tab w:pos="2382" w:val="left" w:leader="none"/>
        </w:tabs>
        <w:spacing w:line="240" w:lineRule="auto" w:before="1" w:after="0"/>
        <w:ind w:left="2381" w:right="0" w:hanging="794"/>
        <w:jc w:val="left"/>
        <w:rPr>
          <w:sz w:val="13"/>
        </w:rPr>
      </w:pPr>
      <w:r>
        <w:rPr>
          <w:sz w:val="13"/>
        </w:rPr>
        <w:t>Ibid s 3(1) (definition of</w:t>
      </w:r>
      <w:r>
        <w:rPr>
          <w:spacing w:val="2"/>
          <w:sz w:val="13"/>
        </w:rPr>
        <w:t> </w:t>
      </w:r>
      <w:r>
        <w:rPr>
          <w:sz w:val="13"/>
        </w:rPr>
        <w:t>‘spouse’).</w:t>
      </w:r>
    </w:p>
    <w:p>
      <w:pPr>
        <w:pStyle w:val="ListParagraph"/>
        <w:numPr>
          <w:ilvl w:val="0"/>
          <w:numId w:val="55"/>
        </w:numPr>
        <w:tabs>
          <w:tab w:pos="2381" w:val="left" w:leader="none"/>
          <w:tab w:pos="2382" w:val="left" w:leader="none"/>
        </w:tabs>
        <w:spacing w:line="240" w:lineRule="auto" w:before="2" w:after="0"/>
        <w:ind w:left="2381" w:right="0" w:hanging="794"/>
        <w:jc w:val="left"/>
        <w:rPr>
          <w:sz w:val="13"/>
        </w:rPr>
      </w:pPr>
      <w:r>
        <w:rPr>
          <w:sz w:val="13"/>
        </w:rPr>
        <w:t>Ibid s 3(1) (definition of ‘domestic</w:t>
      </w:r>
      <w:r>
        <w:rPr>
          <w:spacing w:val="9"/>
          <w:sz w:val="13"/>
        </w:rPr>
        <w:t> </w:t>
      </w:r>
      <w:r>
        <w:rPr>
          <w:spacing w:val="2"/>
          <w:sz w:val="13"/>
        </w:rPr>
        <w:t>partner’).</w:t>
      </w:r>
    </w:p>
    <w:p>
      <w:pPr>
        <w:pStyle w:val="ListParagraph"/>
        <w:numPr>
          <w:ilvl w:val="0"/>
          <w:numId w:val="55"/>
        </w:numPr>
        <w:tabs>
          <w:tab w:pos="2381" w:val="left" w:leader="none"/>
          <w:tab w:pos="2382" w:val="left" w:leader="none"/>
        </w:tabs>
        <w:spacing w:line="240" w:lineRule="auto" w:before="1" w:after="0"/>
        <w:ind w:left="2381" w:right="1709" w:hanging="794"/>
        <w:jc w:val="left"/>
        <w:rPr>
          <w:sz w:val="13"/>
        </w:rPr>
      </w:pPr>
      <w:r>
        <w:rPr>
          <w:w w:val="105"/>
          <w:sz w:val="13"/>
        </w:rPr>
        <w:t>Someone who, at the date of the deceased person’s death, was in a registered domestic relationship with the deceased person within the meaning of the </w:t>
      </w:r>
      <w:r>
        <w:rPr>
          <w:i/>
          <w:w w:val="105"/>
          <w:sz w:val="13"/>
        </w:rPr>
        <w:t>Relationships Act 2008 </w:t>
      </w:r>
      <w:r>
        <w:rPr>
          <w:spacing w:val="2"/>
          <w:w w:val="105"/>
          <w:sz w:val="13"/>
        </w:rPr>
        <w:t>(Vic): </w:t>
      </w:r>
      <w:r>
        <w:rPr>
          <w:i/>
          <w:w w:val="105"/>
          <w:sz w:val="13"/>
        </w:rPr>
        <w:t>Administration and Probate Act 1958 </w:t>
      </w:r>
      <w:r>
        <w:rPr>
          <w:spacing w:val="2"/>
          <w:w w:val="105"/>
          <w:sz w:val="13"/>
        </w:rPr>
        <w:t>(Vic) </w:t>
      </w:r>
      <w:r>
        <w:rPr>
          <w:w w:val="105"/>
          <w:sz w:val="13"/>
        </w:rPr>
        <w:t>s 3(1) (definition of ‘registered domestic </w:t>
      </w:r>
      <w:r>
        <w:rPr>
          <w:spacing w:val="2"/>
          <w:w w:val="105"/>
          <w:sz w:val="13"/>
        </w:rPr>
        <w:t>partner’). </w:t>
      </w:r>
      <w:r>
        <w:rPr>
          <w:w w:val="105"/>
          <w:sz w:val="13"/>
        </w:rPr>
        <w:t>‘Registered domestic relationship’ is defined as a relationship, registered in the Relationships Register, involving two people, who are not married</w:t>
      </w:r>
      <w:r>
        <w:rPr>
          <w:spacing w:val="4"/>
          <w:w w:val="105"/>
          <w:sz w:val="13"/>
        </w:rPr>
        <w:t> </w:t>
      </w:r>
      <w:r>
        <w:rPr>
          <w:w w:val="105"/>
          <w:sz w:val="13"/>
        </w:rPr>
        <w:t>or</w:t>
      </w:r>
      <w:r>
        <w:rPr>
          <w:spacing w:val="4"/>
          <w:w w:val="105"/>
          <w:sz w:val="13"/>
        </w:rPr>
        <w:t> </w:t>
      </w:r>
      <w:r>
        <w:rPr>
          <w:w w:val="105"/>
          <w:sz w:val="13"/>
        </w:rPr>
        <w:t>in</w:t>
      </w:r>
      <w:r>
        <w:rPr>
          <w:spacing w:val="4"/>
          <w:w w:val="105"/>
          <w:sz w:val="13"/>
        </w:rPr>
        <w:t> </w:t>
      </w:r>
      <w:r>
        <w:rPr>
          <w:w w:val="105"/>
          <w:sz w:val="13"/>
        </w:rPr>
        <w:t>another</w:t>
      </w:r>
      <w:r>
        <w:rPr>
          <w:spacing w:val="4"/>
          <w:w w:val="105"/>
          <w:sz w:val="13"/>
        </w:rPr>
        <w:t> </w:t>
      </w:r>
      <w:r>
        <w:rPr>
          <w:w w:val="105"/>
          <w:sz w:val="13"/>
        </w:rPr>
        <w:t>registered</w:t>
      </w:r>
      <w:r>
        <w:rPr>
          <w:spacing w:val="4"/>
          <w:w w:val="105"/>
          <w:sz w:val="13"/>
        </w:rPr>
        <w:t> </w:t>
      </w:r>
      <w:r>
        <w:rPr>
          <w:w w:val="105"/>
          <w:sz w:val="13"/>
        </w:rPr>
        <w:t>relationship,</w:t>
      </w:r>
      <w:r>
        <w:rPr>
          <w:spacing w:val="4"/>
          <w:w w:val="105"/>
          <w:sz w:val="13"/>
        </w:rPr>
        <w:t> </w:t>
      </w:r>
      <w:r>
        <w:rPr>
          <w:w w:val="105"/>
          <w:sz w:val="13"/>
        </w:rPr>
        <w:t>where</w:t>
      </w:r>
      <w:r>
        <w:rPr>
          <w:spacing w:val="4"/>
          <w:w w:val="105"/>
          <w:sz w:val="13"/>
        </w:rPr>
        <w:t> </w:t>
      </w:r>
      <w:r>
        <w:rPr>
          <w:w w:val="105"/>
          <w:sz w:val="13"/>
        </w:rPr>
        <w:t>one</w:t>
      </w:r>
      <w:r>
        <w:rPr>
          <w:spacing w:val="4"/>
          <w:w w:val="105"/>
          <w:sz w:val="13"/>
        </w:rPr>
        <w:t> </w:t>
      </w:r>
      <w:r>
        <w:rPr>
          <w:w w:val="105"/>
          <w:sz w:val="13"/>
        </w:rPr>
        <w:t>or</w:t>
      </w:r>
      <w:r>
        <w:rPr>
          <w:spacing w:val="4"/>
          <w:w w:val="105"/>
          <w:sz w:val="13"/>
        </w:rPr>
        <w:t> </w:t>
      </w:r>
      <w:r>
        <w:rPr>
          <w:w w:val="105"/>
          <w:sz w:val="13"/>
        </w:rPr>
        <w:t>both</w:t>
      </w:r>
      <w:r>
        <w:rPr>
          <w:spacing w:val="4"/>
          <w:w w:val="105"/>
          <w:sz w:val="13"/>
        </w:rPr>
        <w:t> </w:t>
      </w:r>
      <w:r>
        <w:rPr>
          <w:w w:val="105"/>
          <w:sz w:val="13"/>
        </w:rPr>
        <w:t>of</w:t>
      </w:r>
      <w:r>
        <w:rPr>
          <w:spacing w:val="5"/>
          <w:w w:val="105"/>
          <w:sz w:val="13"/>
        </w:rPr>
        <w:t> </w:t>
      </w:r>
      <w:r>
        <w:rPr>
          <w:w w:val="105"/>
          <w:sz w:val="13"/>
        </w:rPr>
        <w:t>the</w:t>
      </w:r>
      <w:r>
        <w:rPr>
          <w:spacing w:val="4"/>
          <w:w w:val="105"/>
          <w:sz w:val="13"/>
        </w:rPr>
        <w:t> </w:t>
      </w:r>
      <w:r>
        <w:rPr>
          <w:w w:val="105"/>
          <w:sz w:val="13"/>
        </w:rPr>
        <w:t>parties</w:t>
      </w:r>
      <w:r>
        <w:rPr>
          <w:spacing w:val="4"/>
          <w:w w:val="105"/>
          <w:sz w:val="13"/>
        </w:rPr>
        <w:t> </w:t>
      </w:r>
      <w:r>
        <w:rPr>
          <w:w w:val="105"/>
          <w:sz w:val="13"/>
        </w:rPr>
        <w:t>provide</w:t>
      </w:r>
      <w:r>
        <w:rPr>
          <w:spacing w:val="4"/>
          <w:w w:val="105"/>
          <w:sz w:val="13"/>
        </w:rPr>
        <w:t> </w:t>
      </w:r>
      <w:r>
        <w:rPr>
          <w:w w:val="105"/>
          <w:sz w:val="13"/>
        </w:rPr>
        <w:t>personal</w:t>
      </w:r>
      <w:r>
        <w:rPr>
          <w:spacing w:val="4"/>
          <w:w w:val="105"/>
          <w:sz w:val="13"/>
        </w:rPr>
        <w:t> </w:t>
      </w:r>
      <w:r>
        <w:rPr>
          <w:w w:val="105"/>
          <w:sz w:val="13"/>
        </w:rPr>
        <w:t>or</w:t>
      </w:r>
      <w:r>
        <w:rPr>
          <w:spacing w:val="4"/>
          <w:w w:val="105"/>
          <w:sz w:val="13"/>
        </w:rPr>
        <w:t> </w:t>
      </w:r>
      <w:r>
        <w:rPr>
          <w:w w:val="105"/>
          <w:sz w:val="13"/>
        </w:rPr>
        <w:t>financial</w:t>
      </w:r>
      <w:r>
        <w:rPr>
          <w:spacing w:val="4"/>
          <w:w w:val="105"/>
          <w:sz w:val="13"/>
        </w:rPr>
        <w:t> </w:t>
      </w:r>
      <w:r>
        <w:rPr>
          <w:w w:val="105"/>
          <w:sz w:val="13"/>
        </w:rPr>
        <w:t>commitment</w:t>
      </w:r>
      <w:r>
        <w:rPr>
          <w:spacing w:val="4"/>
          <w:w w:val="105"/>
          <w:sz w:val="13"/>
        </w:rPr>
        <w:t> </w:t>
      </w:r>
      <w:r>
        <w:rPr>
          <w:w w:val="105"/>
          <w:sz w:val="13"/>
        </w:rPr>
        <w:t>and</w:t>
      </w:r>
      <w:r>
        <w:rPr>
          <w:spacing w:val="4"/>
          <w:w w:val="105"/>
          <w:sz w:val="13"/>
        </w:rPr>
        <w:t> </w:t>
      </w:r>
      <w:r>
        <w:rPr>
          <w:w w:val="105"/>
          <w:sz w:val="13"/>
        </w:rPr>
        <w:t>support</w:t>
      </w:r>
      <w:r>
        <w:rPr>
          <w:spacing w:val="4"/>
          <w:w w:val="105"/>
          <w:sz w:val="13"/>
        </w:rPr>
        <w:t> </w:t>
      </w:r>
      <w:r>
        <w:rPr>
          <w:w w:val="105"/>
          <w:sz w:val="13"/>
        </w:rPr>
        <w:t>of</w:t>
      </w:r>
    </w:p>
    <w:p>
      <w:pPr>
        <w:spacing w:before="5"/>
        <w:ind w:left="2381" w:right="2010" w:firstLine="0"/>
        <w:jc w:val="left"/>
        <w:rPr>
          <w:sz w:val="13"/>
        </w:rPr>
      </w:pPr>
      <w:r>
        <w:rPr>
          <w:sz w:val="13"/>
        </w:rPr>
        <w:t>a domestic nature for the material benefit of the other, not for fee or reward and irrespective of their genders and whether or not they are        living</w:t>
      </w:r>
      <w:r>
        <w:rPr>
          <w:spacing w:val="14"/>
          <w:sz w:val="13"/>
        </w:rPr>
        <w:t> </w:t>
      </w:r>
      <w:r>
        <w:rPr>
          <w:sz w:val="13"/>
        </w:rPr>
        <w:t>under</w:t>
      </w:r>
      <w:r>
        <w:rPr>
          <w:spacing w:val="15"/>
          <w:sz w:val="13"/>
        </w:rPr>
        <w:t> </w:t>
      </w:r>
      <w:r>
        <w:rPr>
          <w:sz w:val="13"/>
        </w:rPr>
        <w:t>the</w:t>
      </w:r>
      <w:r>
        <w:rPr>
          <w:spacing w:val="15"/>
          <w:sz w:val="13"/>
        </w:rPr>
        <w:t> </w:t>
      </w:r>
      <w:r>
        <w:rPr>
          <w:sz w:val="13"/>
        </w:rPr>
        <w:t>same</w:t>
      </w:r>
      <w:r>
        <w:rPr>
          <w:spacing w:val="15"/>
          <w:sz w:val="13"/>
        </w:rPr>
        <w:t> </w:t>
      </w:r>
      <w:r>
        <w:rPr>
          <w:sz w:val="13"/>
        </w:rPr>
        <w:t>roof:</w:t>
      </w:r>
      <w:r>
        <w:rPr>
          <w:spacing w:val="15"/>
          <w:sz w:val="13"/>
        </w:rPr>
        <w:t> </w:t>
      </w:r>
      <w:r>
        <w:rPr>
          <w:i/>
          <w:sz w:val="13"/>
        </w:rPr>
        <w:t>Relationships</w:t>
      </w:r>
      <w:r>
        <w:rPr>
          <w:i/>
          <w:spacing w:val="13"/>
          <w:sz w:val="13"/>
        </w:rPr>
        <w:t> </w:t>
      </w:r>
      <w:r>
        <w:rPr>
          <w:i/>
          <w:sz w:val="13"/>
        </w:rPr>
        <w:t>Act</w:t>
      </w:r>
      <w:r>
        <w:rPr>
          <w:i/>
          <w:spacing w:val="14"/>
          <w:sz w:val="13"/>
        </w:rPr>
        <w:t> </w:t>
      </w:r>
      <w:r>
        <w:rPr>
          <w:i/>
          <w:sz w:val="13"/>
        </w:rPr>
        <w:t>2008</w:t>
      </w:r>
      <w:r>
        <w:rPr>
          <w:i/>
          <w:spacing w:val="15"/>
          <w:sz w:val="13"/>
        </w:rPr>
        <w:t> </w:t>
      </w:r>
      <w:r>
        <w:rPr>
          <w:spacing w:val="2"/>
          <w:sz w:val="13"/>
        </w:rPr>
        <w:t>(Vic)</w:t>
      </w:r>
      <w:r>
        <w:rPr>
          <w:spacing w:val="14"/>
          <w:sz w:val="13"/>
        </w:rPr>
        <w:t> </w:t>
      </w:r>
      <w:r>
        <w:rPr>
          <w:sz w:val="13"/>
        </w:rPr>
        <w:t>ss</w:t>
      </w:r>
      <w:r>
        <w:rPr>
          <w:spacing w:val="15"/>
          <w:sz w:val="13"/>
        </w:rPr>
        <w:t> </w:t>
      </w:r>
      <w:r>
        <w:rPr>
          <w:spacing w:val="6"/>
          <w:sz w:val="13"/>
        </w:rPr>
        <w:t>6(b)–(c),</w:t>
      </w:r>
      <w:r>
        <w:rPr>
          <w:spacing w:val="15"/>
          <w:sz w:val="13"/>
        </w:rPr>
        <w:t> </w:t>
      </w:r>
      <w:r>
        <w:rPr>
          <w:spacing w:val="3"/>
          <w:sz w:val="13"/>
        </w:rPr>
        <w:t>10(3)(a),</w:t>
      </w:r>
      <w:r>
        <w:rPr>
          <w:spacing w:val="15"/>
          <w:sz w:val="13"/>
        </w:rPr>
        <w:t> </w:t>
      </w:r>
      <w:r>
        <w:rPr>
          <w:sz w:val="13"/>
        </w:rPr>
        <w:t>5</w:t>
      </w:r>
      <w:r>
        <w:rPr>
          <w:spacing w:val="15"/>
          <w:sz w:val="13"/>
        </w:rPr>
        <w:t> </w:t>
      </w:r>
      <w:r>
        <w:rPr>
          <w:sz w:val="13"/>
        </w:rPr>
        <w:t>(definition</w:t>
      </w:r>
      <w:r>
        <w:rPr>
          <w:spacing w:val="14"/>
          <w:sz w:val="13"/>
        </w:rPr>
        <w:t> </w:t>
      </w:r>
      <w:r>
        <w:rPr>
          <w:sz w:val="13"/>
        </w:rPr>
        <w:t>of</w:t>
      </w:r>
      <w:r>
        <w:rPr>
          <w:spacing w:val="15"/>
          <w:sz w:val="13"/>
        </w:rPr>
        <w:t> </w:t>
      </w:r>
      <w:r>
        <w:rPr>
          <w:sz w:val="13"/>
        </w:rPr>
        <w:t>‘registrable</w:t>
      </w:r>
      <w:r>
        <w:rPr>
          <w:spacing w:val="15"/>
          <w:sz w:val="13"/>
        </w:rPr>
        <w:t> </w:t>
      </w:r>
      <w:r>
        <w:rPr>
          <w:sz w:val="13"/>
        </w:rPr>
        <w:t>domestic</w:t>
      </w:r>
      <w:r>
        <w:rPr>
          <w:spacing w:val="15"/>
          <w:sz w:val="13"/>
        </w:rPr>
        <w:t> </w:t>
      </w:r>
      <w:r>
        <w:rPr>
          <w:sz w:val="13"/>
        </w:rPr>
        <w:t>relationship’).</w:t>
      </w:r>
    </w:p>
    <w:p>
      <w:pPr>
        <w:pStyle w:val="ListParagraph"/>
        <w:numPr>
          <w:ilvl w:val="0"/>
          <w:numId w:val="55"/>
        </w:numPr>
        <w:tabs>
          <w:tab w:pos="2381" w:val="left" w:leader="none"/>
          <w:tab w:pos="2382" w:val="left" w:leader="none"/>
        </w:tabs>
        <w:spacing w:line="240" w:lineRule="auto" w:before="3" w:after="0"/>
        <w:ind w:left="2381" w:right="1589" w:hanging="794"/>
        <w:jc w:val="left"/>
        <w:rPr>
          <w:sz w:val="13"/>
        </w:rPr>
      </w:pPr>
      <w:r>
        <w:rPr>
          <w:w w:val="105"/>
          <w:sz w:val="13"/>
        </w:rPr>
        <w:t>A person other than a registered domestic partner of the deceased person who, although not married to the deceased person, was living    with the deceased person at the time of their death as a couple and on a genuine domestic basis, and had either lived with the deceased person in that manner continuously for the previous two years or is a parent of a child of the deceased person who was under the age of 18   at the time of the deceased person’s death: </w:t>
      </w:r>
      <w:r>
        <w:rPr>
          <w:i/>
          <w:w w:val="105"/>
          <w:sz w:val="13"/>
        </w:rPr>
        <w:t>Administration and Probate Act 1958 </w:t>
      </w:r>
      <w:r>
        <w:rPr>
          <w:spacing w:val="2"/>
          <w:w w:val="105"/>
          <w:sz w:val="13"/>
        </w:rPr>
        <w:t>(Vic) </w:t>
      </w:r>
      <w:r>
        <w:rPr>
          <w:w w:val="105"/>
          <w:sz w:val="13"/>
        </w:rPr>
        <w:t>s 3(1) (definition of ‘unregistered domestic </w:t>
      </w:r>
      <w:r>
        <w:rPr>
          <w:spacing w:val="2"/>
          <w:w w:val="105"/>
          <w:sz w:val="13"/>
        </w:rPr>
        <w:t>partner’).  </w:t>
      </w:r>
      <w:r>
        <w:rPr>
          <w:w w:val="105"/>
          <w:sz w:val="13"/>
        </w:rPr>
        <w:t>In determining whether a person was the deceased person’s unregistered domestic partner, all circumstances of their relationship are taken into account, including certain factors set out in the Relationships Act: </w:t>
      </w:r>
      <w:r>
        <w:rPr>
          <w:i/>
          <w:w w:val="105"/>
          <w:sz w:val="13"/>
        </w:rPr>
        <w:t>Administration and Probate 1958 </w:t>
      </w:r>
      <w:r>
        <w:rPr>
          <w:spacing w:val="2"/>
          <w:w w:val="105"/>
          <w:sz w:val="13"/>
        </w:rPr>
        <w:t>(Vic) </w:t>
      </w:r>
      <w:r>
        <w:rPr>
          <w:w w:val="105"/>
          <w:sz w:val="13"/>
        </w:rPr>
        <w:t>s </w:t>
      </w:r>
      <w:r>
        <w:rPr>
          <w:spacing w:val="4"/>
          <w:w w:val="105"/>
          <w:sz w:val="13"/>
        </w:rPr>
        <w:t>3(3); </w:t>
      </w:r>
      <w:r>
        <w:rPr>
          <w:i/>
          <w:w w:val="105"/>
          <w:sz w:val="13"/>
        </w:rPr>
        <w:t>Relationships Act 2008 </w:t>
      </w:r>
      <w:r>
        <w:rPr>
          <w:spacing w:val="2"/>
          <w:w w:val="105"/>
          <w:sz w:val="13"/>
        </w:rPr>
        <w:t>(Vic) </w:t>
      </w:r>
      <w:r>
        <w:rPr>
          <w:w w:val="105"/>
          <w:sz w:val="13"/>
        </w:rPr>
        <w:t>s</w:t>
      </w:r>
      <w:r>
        <w:rPr>
          <w:spacing w:val="6"/>
          <w:w w:val="105"/>
          <w:sz w:val="13"/>
        </w:rPr>
        <w:t> </w:t>
      </w:r>
      <w:r>
        <w:rPr>
          <w:spacing w:val="2"/>
          <w:w w:val="105"/>
          <w:sz w:val="13"/>
        </w:rPr>
        <w:t>35(2).</w:t>
      </w:r>
    </w:p>
    <w:p>
      <w:pPr>
        <w:pStyle w:val="ListParagraph"/>
        <w:numPr>
          <w:ilvl w:val="0"/>
          <w:numId w:val="55"/>
        </w:numPr>
        <w:tabs>
          <w:tab w:pos="2381" w:val="left" w:leader="none"/>
          <w:tab w:pos="2382" w:val="left" w:leader="none"/>
        </w:tabs>
        <w:spacing w:line="240" w:lineRule="auto" w:before="9" w:after="0"/>
        <w:ind w:left="2381" w:right="1628" w:hanging="794"/>
        <w:jc w:val="left"/>
        <w:rPr>
          <w:sz w:val="13"/>
        </w:rPr>
      </w:pPr>
      <w:r>
        <w:rPr>
          <w:w w:val="105"/>
          <w:sz w:val="13"/>
        </w:rPr>
        <w:t>Someone who was in a registered caring relationship with the deceased person at the time of the deceased person’s death: </w:t>
      </w:r>
      <w:r>
        <w:rPr>
          <w:i/>
          <w:w w:val="105"/>
          <w:sz w:val="13"/>
        </w:rPr>
        <w:t>Administration </w:t>
      </w:r>
      <w:r>
        <w:rPr>
          <w:i/>
          <w:w w:val="105"/>
          <w:sz w:val="13"/>
        </w:rPr>
        <w:t>and Probate Act 1958 </w:t>
      </w:r>
      <w:r>
        <w:rPr>
          <w:spacing w:val="2"/>
          <w:w w:val="105"/>
          <w:sz w:val="13"/>
        </w:rPr>
        <w:t>(Vic) </w:t>
      </w:r>
      <w:r>
        <w:rPr>
          <w:w w:val="105"/>
          <w:sz w:val="13"/>
        </w:rPr>
        <w:t>s 3(1) (definition of ‘registered caring </w:t>
      </w:r>
      <w:r>
        <w:rPr>
          <w:spacing w:val="2"/>
          <w:w w:val="105"/>
          <w:sz w:val="13"/>
        </w:rPr>
        <w:t>partner’). </w:t>
      </w:r>
      <w:r>
        <w:rPr>
          <w:w w:val="105"/>
          <w:sz w:val="13"/>
        </w:rPr>
        <w:t>‘Registered caring relationship’ is defined as a relationship, registered in the Relationships Register, involving two adults, who are not a couple or married to each other, and who may or may not otherwise be related by family, where one or both of the parties provide personal or financial commitment and support of a domestic     nature for the material benefit of the other, not for fee or reward and irrespective of their genders and whether or not they are living under the same roof: </w:t>
      </w:r>
      <w:r>
        <w:rPr>
          <w:i/>
          <w:w w:val="105"/>
          <w:sz w:val="13"/>
        </w:rPr>
        <w:t>Relationships Act 2008 </w:t>
      </w:r>
      <w:r>
        <w:rPr>
          <w:spacing w:val="2"/>
          <w:w w:val="105"/>
          <w:sz w:val="13"/>
        </w:rPr>
        <w:t>(Vic) </w:t>
      </w:r>
      <w:r>
        <w:rPr>
          <w:w w:val="105"/>
          <w:sz w:val="13"/>
        </w:rPr>
        <w:t>ss </w:t>
      </w:r>
      <w:r>
        <w:rPr>
          <w:spacing w:val="6"/>
          <w:w w:val="105"/>
          <w:sz w:val="13"/>
        </w:rPr>
        <w:t>6(b)–(c),</w:t>
      </w:r>
      <w:r>
        <w:rPr>
          <w:spacing w:val="22"/>
          <w:w w:val="105"/>
          <w:sz w:val="13"/>
        </w:rPr>
        <w:t> </w:t>
      </w:r>
      <w:r>
        <w:rPr>
          <w:spacing w:val="3"/>
          <w:w w:val="105"/>
          <w:sz w:val="13"/>
        </w:rPr>
        <w:t>10(3)(ab), </w:t>
      </w:r>
      <w:r>
        <w:rPr>
          <w:w w:val="105"/>
          <w:sz w:val="13"/>
        </w:rPr>
        <w:t>5 (definition of ‘registrable caring relationship’).</w:t>
      </w:r>
    </w:p>
    <w:p>
      <w:pPr>
        <w:pStyle w:val="ListParagraph"/>
        <w:numPr>
          <w:ilvl w:val="0"/>
          <w:numId w:val="55"/>
        </w:numPr>
        <w:tabs>
          <w:tab w:pos="2381" w:val="left" w:leader="none"/>
          <w:tab w:pos="2382" w:val="left" w:leader="none"/>
        </w:tabs>
        <w:spacing w:line="122" w:lineRule="exact" w:before="8" w:after="0"/>
        <w:ind w:left="2381" w:right="0" w:hanging="794"/>
        <w:jc w:val="left"/>
        <w:rPr>
          <w:sz w:val="13"/>
        </w:rPr>
      </w:pPr>
      <w:r>
        <w:rPr>
          <w:i/>
          <w:w w:val="105"/>
          <w:sz w:val="13"/>
        </w:rPr>
        <w:t>Administration and Probate Act 1958 </w:t>
      </w:r>
      <w:r>
        <w:rPr>
          <w:spacing w:val="2"/>
          <w:w w:val="105"/>
          <w:sz w:val="13"/>
        </w:rPr>
        <w:t>(Vic) </w:t>
      </w:r>
      <w:r>
        <w:rPr>
          <w:w w:val="105"/>
          <w:sz w:val="13"/>
        </w:rPr>
        <w:t>s</w:t>
      </w:r>
      <w:r>
        <w:rPr>
          <w:spacing w:val="25"/>
          <w:w w:val="105"/>
          <w:sz w:val="13"/>
        </w:rPr>
        <w:t> </w:t>
      </w:r>
      <w:r>
        <w:rPr>
          <w:w w:val="105"/>
          <w:sz w:val="13"/>
        </w:rPr>
        <w:t>51A.</w:t>
      </w:r>
    </w:p>
    <w:p>
      <w:pPr>
        <w:pStyle w:val="ListParagraph"/>
        <w:numPr>
          <w:ilvl w:val="0"/>
          <w:numId w:val="55"/>
        </w:numPr>
        <w:tabs>
          <w:tab w:pos="2381" w:val="left" w:leader="none"/>
          <w:tab w:pos="2382" w:val="left" w:leader="none"/>
          <w:tab w:pos="11244" w:val="right" w:leader="none"/>
        </w:tabs>
        <w:spacing w:line="256" w:lineRule="exact" w:before="0" w:after="0"/>
        <w:ind w:left="2381" w:right="0" w:hanging="794"/>
        <w:jc w:val="left"/>
        <w:rPr>
          <w:b/>
          <w:sz w:val="24"/>
        </w:rPr>
      </w:pPr>
      <w:r>
        <w:rPr>
          <w:w w:val="105"/>
          <w:sz w:val="13"/>
        </w:rPr>
        <w:t>Ibid s 3(1) (definition</w:t>
      </w:r>
      <w:r>
        <w:rPr>
          <w:spacing w:val="18"/>
          <w:w w:val="105"/>
          <w:sz w:val="13"/>
        </w:rPr>
        <w:t> </w:t>
      </w:r>
      <w:r>
        <w:rPr>
          <w:w w:val="105"/>
          <w:sz w:val="13"/>
        </w:rPr>
        <w:t>of</w:t>
      </w:r>
      <w:r>
        <w:rPr>
          <w:spacing w:val="5"/>
          <w:w w:val="105"/>
          <w:sz w:val="13"/>
        </w:rPr>
        <w:t> </w:t>
      </w:r>
      <w:r>
        <w:rPr>
          <w:w w:val="105"/>
          <w:sz w:val="13"/>
        </w:rPr>
        <w:t>‘partner’).</w:t>
        <w:tab/>
      </w:r>
      <w:r>
        <w:rPr>
          <w:b/>
          <w:color w:val="EC5A4F"/>
          <w:w w:val="105"/>
          <w:position w:val="-2"/>
          <w:sz w:val="24"/>
        </w:rPr>
        <w:t>65</w:t>
      </w:r>
    </w:p>
    <w:p>
      <w:pPr>
        <w:spacing w:after="0" w:line="256" w:lineRule="exact"/>
        <w:jc w:val="left"/>
        <w:rPr>
          <w:sz w:val="24"/>
        </w:rPr>
        <w:sectPr>
          <w:pgSz w:w="11910" w:h="16840"/>
          <w:pgMar w:header="805" w:footer="0" w:top="1360" w:bottom="280" w:left="0" w:right="0"/>
        </w:sectPr>
      </w:pPr>
    </w:p>
    <w:p>
      <w:pPr>
        <w:pStyle w:val="BodyText"/>
        <w:spacing w:before="11"/>
        <w:rPr>
          <w:b/>
          <w:sz w:val="30"/>
        </w:rPr>
      </w:pPr>
    </w:p>
    <w:p>
      <w:pPr>
        <w:pStyle w:val="Heading6"/>
      </w:pPr>
      <w:r>
        <w:rPr>
          <w:w w:val="115"/>
        </w:rPr>
        <w:t>The partner’s share on intestacy</w:t>
      </w:r>
    </w:p>
    <w:p>
      <w:pPr>
        <w:pStyle w:val="ListParagraph"/>
        <w:numPr>
          <w:ilvl w:val="1"/>
          <w:numId w:val="22"/>
        </w:numPr>
        <w:tabs>
          <w:tab w:pos="2380" w:val="left" w:leader="none"/>
          <w:tab w:pos="2381" w:val="left" w:leader="none"/>
        </w:tabs>
        <w:spacing w:line="240" w:lineRule="auto" w:before="151" w:after="0"/>
        <w:ind w:left="2381" w:right="0" w:hanging="794"/>
        <w:jc w:val="left"/>
        <w:rPr>
          <w:sz w:val="21"/>
        </w:rPr>
      </w:pPr>
      <w:r>
        <w:rPr>
          <w:w w:val="105"/>
          <w:sz w:val="21"/>
        </w:rPr>
        <w:t>The deceased </w:t>
      </w:r>
      <w:r>
        <w:rPr>
          <w:spacing w:val="-3"/>
          <w:w w:val="105"/>
          <w:sz w:val="21"/>
        </w:rPr>
        <w:t>person’s </w:t>
      </w:r>
      <w:r>
        <w:rPr>
          <w:w w:val="105"/>
          <w:sz w:val="21"/>
        </w:rPr>
        <w:t>partner’s </w:t>
      </w:r>
      <w:r>
        <w:rPr>
          <w:spacing w:val="-3"/>
          <w:w w:val="105"/>
          <w:sz w:val="21"/>
        </w:rPr>
        <w:t>share </w:t>
      </w:r>
      <w:r>
        <w:rPr>
          <w:w w:val="105"/>
          <w:sz w:val="21"/>
        </w:rPr>
        <w:t>on intestacy </w:t>
      </w:r>
      <w:r>
        <w:rPr>
          <w:spacing w:val="-3"/>
          <w:w w:val="105"/>
          <w:sz w:val="21"/>
        </w:rPr>
        <w:t>will </w:t>
      </w:r>
      <w:r>
        <w:rPr>
          <w:w w:val="105"/>
          <w:sz w:val="21"/>
        </w:rPr>
        <w:t>depend</w:t>
      </w:r>
      <w:r>
        <w:rPr>
          <w:spacing w:val="40"/>
          <w:w w:val="105"/>
          <w:sz w:val="21"/>
        </w:rPr>
        <w:t> </w:t>
      </w:r>
      <w:r>
        <w:rPr>
          <w:w w:val="105"/>
          <w:sz w:val="21"/>
        </w:rPr>
        <w:t>on:</w:t>
      </w:r>
    </w:p>
    <w:p>
      <w:pPr>
        <w:pStyle w:val="ListParagraph"/>
        <w:numPr>
          <w:ilvl w:val="2"/>
          <w:numId w:val="22"/>
        </w:numPr>
        <w:tabs>
          <w:tab w:pos="2721" w:val="left" w:leader="none"/>
          <w:tab w:pos="2722" w:val="left" w:leader="none"/>
        </w:tabs>
        <w:spacing w:line="240" w:lineRule="auto" w:before="124" w:after="0"/>
        <w:ind w:left="2721" w:right="0" w:hanging="340"/>
        <w:jc w:val="left"/>
        <w:rPr>
          <w:sz w:val="21"/>
        </w:rPr>
      </w:pPr>
      <w:r>
        <w:rPr>
          <w:sz w:val="21"/>
        </w:rPr>
        <w:t>the </w:t>
      </w:r>
      <w:r>
        <w:rPr>
          <w:spacing w:val="-3"/>
          <w:sz w:val="21"/>
        </w:rPr>
        <w:t>size </w:t>
      </w:r>
      <w:r>
        <w:rPr>
          <w:sz w:val="21"/>
        </w:rPr>
        <w:t>of the</w:t>
      </w:r>
      <w:r>
        <w:rPr>
          <w:spacing w:val="35"/>
          <w:sz w:val="21"/>
        </w:rPr>
        <w:t> </w:t>
      </w:r>
      <w:r>
        <w:rPr>
          <w:sz w:val="21"/>
        </w:rPr>
        <w:t>estate</w:t>
      </w:r>
    </w:p>
    <w:p>
      <w:pPr>
        <w:pStyle w:val="ListParagraph"/>
        <w:numPr>
          <w:ilvl w:val="2"/>
          <w:numId w:val="22"/>
        </w:numPr>
        <w:tabs>
          <w:tab w:pos="2721" w:val="left" w:leader="none"/>
          <w:tab w:pos="2722" w:val="left" w:leader="none"/>
        </w:tabs>
        <w:spacing w:line="240" w:lineRule="auto" w:before="124" w:after="0"/>
        <w:ind w:left="2721" w:right="0" w:hanging="340"/>
        <w:jc w:val="left"/>
        <w:rPr>
          <w:sz w:val="21"/>
        </w:rPr>
      </w:pPr>
      <w:r>
        <w:rPr>
          <w:sz w:val="21"/>
        </w:rPr>
        <w:t>whether</w:t>
      </w:r>
      <w:r>
        <w:rPr>
          <w:spacing w:val="8"/>
          <w:sz w:val="21"/>
        </w:rPr>
        <w:t> </w:t>
      </w:r>
      <w:r>
        <w:rPr>
          <w:sz w:val="21"/>
        </w:rPr>
        <w:t>the</w:t>
      </w:r>
      <w:r>
        <w:rPr>
          <w:spacing w:val="9"/>
          <w:sz w:val="21"/>
        </w:rPr>
        <w:t> </w:t>
      </w:r>
      <w:r>
        <w:rPr>
          <w:sz w:val="21"/>
        </w:rPr>
        <w:t>deceased</w:t>
      </w:r>
      <w:r>
        <w:rPr>
          <w:spacing w:val="9"/>
          <w:sz w:val="21"/>
        </w:rPr>
        <w:t> </w:t>
      </w:r>
      <w:r>
        <w:rPr>
          <w:sz w:val="21"/>
        </w:rPr>
        <w:t>person</w:t>
      </w:r>
      <w:r>
        <w:rPr>
          <w:spacing w:val="9"/>
          <w:sz w:val="21"/>
        </w:rPr>
        <w:t> </w:t>
      </w:r>
      <w:r>
        <w:rPr>
          <w:sz w:val="21"/>
        </w:rPr>
        <w:t>is</w:t>
      </w:r>
      <w:r>
        <w:rPr>
          <w:spacing w:val="9"/>
          <w:sz w:val="21"/>
        </w:rPr>
        <w:t> </w:t>
      </w:r>
      <w:r>
        <w:rPr>
          <w:sz w:val="21"/>
        </w:rPr>
        <w:t>also</w:t>
      </w:r>
      <w:r>
        <w:rPr>
          <w:spacing w:val="9"/>
          <w:sz w:val="21"/>
        </w:rPr>
        <w:t> </w:t>
      </w:r>
      <w:r>
        <w:rPr>
          <w:sz w:val="21"/>
        </w:rPr>
        <w:t>survived</w:t>
      </w:r>
      <w:r>
        <w:rPr>
          <w:spacing w:val="9"/>
          <w:sz w:val="21"/>
        </w:rPr>
        <w:t> </w:t>
      </w:r>
      <w:r>
        <w:rPr>
          <w:sz w:val="21"/>
        </w:rPr>
        <w:t>by</w:t>
      </w:r>
      <w:r>
        <w:rPr>
          <w:spacing w:val="9"/>
          <w:sz w:val="21"/>
        </w:rPr>
        <w:t> </w:t>
      </w:r>
      <w:r>
        <w:rPr>
          <w:spacing w:val="-3"/>
          <w:sz w:val="21"/>
        </w:rPr>
        <w:t>children</w:t>
      </w:r>
      <w:r>
        <w:rPr>
          <w:spacing w:val="9"/>
          <w:sz w:val="21"/>
        </w:rPr>
        <w:t> </w:t>
      </w:r>
      <w:r>
        <w:rPr>
          <w:sz w:val="21"/>
        </w:rPr>
        <w:t>or</w:t>
      </w:r>
      <w:r>
        <w:rPr>
          <w:spacing w:val="9"/>
          <w:sz w:val="21"/>
        </w:rPr>
        <w:t> </w:t>
      </w:r>
      <w:r>
        <w:rPr>
          <w:sz w:val="21"/>
        </w:rPr>
        <w:t>other</w:t>
      </w:r>
      <w:r>
        <w:rPr>
          <w:spacing w:val="9"/>
          <w:sz w:val="21"/>
        </w:rPr>
        <w:t> </w:t>
      </w:r>
      <w:r>
        <w:rPr>
          <w:spacing w:val="-3"/>
          <w:sz w:val="21"/>
        </w:rPr>
        <w:t>issue</w:t>
      </w:r>
    </w:p>
    <w:p>
      <w:pPr>
        <w:pStyle w:val="ListParagraph"/>
        <w:numPr>
          <w:ilvl w:val="2"/>
          <w:numId w:val="22"/>
        </w:numPr>
        <w:tabs>
          <w:tab w:pos="2721" w:val="left" w:leader="none"/>
          <w:tab w:pos="2722" w:val="left" w:leader="none"/>
        </w:tabs>
        <w:spacing w:line="242" w:lineRule="auto" w:before="124" w:after="0"/>
        <w:ind w:left="2721" w:right="1937" w:hanging="340"/>
        <w:jc w:val="left"/>
        <w:rPr>
          <w:sz w:val="21"/>
        </w:rPr>
      </w:pPr>
      <w:r>
        <w:rPr>
          <w:sz w:val="21"/>
        </w:rPr>
        <w:t>whether the deceased person is also survived by </w:t>
      </w:r>
      <w:r>
        <w:rPr>
          <w:spacing w:val="-3"/>
          <w:sz w:val="21"/>
        </w:rPr>
        <w:t>another </w:t>
      </w:r>
      <w:r>
        <w:rPr>
          <w:sz w:val="21"/>
        </w:rPr>
        <w:t>partner or other partners who </w:t>
      </w:r>
      <w:r>
        <w:rPr>
          <w:spacing w:val="-3"/>
          <w:sz w:val="21"/>
        </w:rPr>
        <w:t>are </w:t>
      </w:r>
      <w:r>
        <w:rPr>
          <w:sz w:val="21"/>
        </w:rPr>
        <w:t>also entitled </w:t>
      </w:r>
      <w:r>
        <w:rPr>
          <w:spacing w:val="-3"/>
          <w:sz w:val="21"/>
        </w:rPr>
        <w:t>to </w:t>
      </w:r>
      <w:r>
        <w:rPr>
          <w:sz w:val="21"/>
        </w:rPr>
        <w:t>a</w:t>
      </w:r>
      <w:r>
        <w:rPr>
          <w:spacing w:val="9"/>
          <w:sz w:val="21"/>
        </w:rPr>
        <w:t> </w:t>
      </w:r>
      <w:r>
        <w:rPr>
          <w:spacing w:val="-4"/>
          <w:sz w:val="21"/>
        </w:rPr>
        <w:t>share.</w:t>
      </w:r>
    </w:p>
    <w:p>
      <w:pPr>
        <w:pStyle w:val="BodyText"/>
        <w:spacing w:line="242" w:lineRule="auto" w:before="122"/>
        <w:ind w:left="2361" w:right="1619"/>
      </w:pPr>
      <w:r>
        <w:rPr/>
        <w:t>Distribution when the deceased person is survived by multiple partners is discussed below from [5.89].</w:t>
      </w:r>
    </w:p>
    <w:p>
      <w:pPr>
        <w:pStyle w:val="ListParagraph"/>
        <w:numPr>
          <w:ilvl w:val="1"/>
          <w:numId w:val="22"/>
        </w:numPr>
        <w:tabs>
          <w:tab w:pos="2380" w:val="left" w:leader="none"/>
          <w:tab w:pos="2381" w:val="left" w:leader="none"/>
        </w:tabs>
        <w:spacing w:line="242" w:lineRule="auto" w:before="122" w:after="0"/>
        <w:ind w:left="2381" w:right="1688" w:hanging="794"/>
        <w:jc w:val="left"/>
        <w:rPr>
          <w:sz w:val="21"/>
        </w:rPr>
      </w:pPr>
      <w:r>
        <w:rPr>
          <w:sz w:val="21"/>
        </w:rPr>
        <w:t>Victorian law recognises two </w:t>
      </w:r>
      <w:r>
        <w:rPr>
          <w:spacing w:val="-3"/>
          <w:sz w:val="21"/>
        </w:rPr>
        <w:t>situations </w:t>
      </w:r>
      <w:r>
        <w:rPr>
          <w:sz w:val="21"/>
        </w:rPr>
        <w:t>in which the deceased </w:t>
      </w:r>
      <w:r>
        <w:rPr>
          <w:spacing w:val="-3"/>
          <w:sz w:val="21"/>
        </w:rPr>
        <w:t>person’s  </w:t>
      </w:r>
      <w:r>
        <w:rPr>
          <w:sz w:val="21"/>
        </w:rPr>
        <w:t>partner is entitled  </w:t>
      </w:r>
      <w:r>
        <w:rPr>
          <w:spacing w:val="-3"/>
          <w:sz w:val="21"/>
        </w:rPr>
        <w:t>to take </w:t>
      </w:r>
      <w:r>
        <w:rPr>
          <w:sz w:val="21"/>
        </w:rPr>
        <w:t>the </w:t>
      </w:r>
      <w:r>
        <w:rPr>
          <w:spacing w:val="-3"/>
          <w:sz w:val="21"/>
        </w:rPr>
        <w:t>entire intestate</w:t>
      </w:r>
      <w:r>
        <w:rPr>
          <w:spacing w:val="6"/>
          <w:sz w:val="21"/>
        </w:rPr>
        <w:t> </w:t>
      </w:r>
      <w:r>
        <w:rPr>
          <w:sz w:val="21"/>
        </w:rPr>
        <w:t>estate:</w:t>
      </w:r>
    </w:p>
    <w:p>
      <w:pPr>
        <w:pStyle w:val="ListParagraph"/>
        <w:numPr>
          <w:ilvl w:val="2"/>
          <w:numId w:val="22"/>
        </w:numPr>
        <w:tabs>
          <w:tab w:pos="2721" w:val="left" w:leader="none"/>
          <w:tab w:pos="2722" w:val="left" w:leader="none"/>
        </w:tabs>
        <w:spacing w:line="240" w:lineRule="auto" w:before="122" w:after="0"/>
        <w:ind w:left="2721" w:right="0" w:hanging="340"/>
        <w:jc w:val="left"/>
        <w:rPr>
          <w:sz w:val="12"/>
        </w:rPr>
      </w:pPr>
      <w:r>
        <w:rPr>
          <w:w w:val="105"/>
          <w:sz w:val="21"/>
        </w:rPr>
        <w:t>where the deceased person is survived by one </w:t>
      </w:r>
      <w:r>
        <w:rPr>
          <w:spacing w:val="-3"/>
          <w:w w:val="105"/>
          <w:sz w:val="21"/>
        </w:rPr>
        <w:t>partner, </w:t>
      </w:r>
      <w:r>
        <w:rPr>
          <w:w w:val="105"/>
          <w:sz w:val="21"/>
        </w:rPr>
        <w:t>but no </w:t>
      </w:r>
      <w:r>
        <w:rPr>
          <w:spacing w:val="-3"/>
          <w:w w:val="105"/>
          <w:sz w:val="21"/>
        </w:rPr>
        <w:t>children </w:t>
      </w:r>
      <w:r>
        <w:rPr>
          <w:w w:val="105"/>
          <w:sz w:val="21"/>
        </w:rPr>
        <w:t>or other issue</w:t>
      </w:r>
      <w:r>
        <w:rPr>
          <w:spacing w:val="-22"/>
          <w:w w:val="105"/>
          <w:sz w:val="21"/>
        </w:rPr>
        <w:t> </w:t>
      </w:r>
      <w:r>
        <w:rPr>
          <w:w w:val="105"/>
          <w:position w:val="7"/>
          <w:sz w:val="12"/>
        </w:rPr>
        <w:t>75</w:t>
      </w:r>
    </w:p>
    <w:p>
      <w:pPr>
        <w:pStyle w:val="ListParagraph"/>
        <w:numPr>
          <w:ilvl w:val="2"/>
          <w:numId w:val="22"/>
        </w:numPr>
        <w:tabs>
          <w:tab w:pos="2721" w:val="left" w:leader="none"/>
          <w:tab w:pos="2722" w:val="left" w:leader="none"/>
        </w:tabs>
        <w:spacing w:line="242" w:lineRule="auto" w:before="124" w:after="0"/>
        <w:ind w:left="2721" w:right="1945" w:hanging="340"/>
        <w:jc w:val="left"/>
        <w:rPr>
          <w:sz w:val="12"/>
        </w:rPr>
      </w:pPr>
      <w:r>
        <w:rPr>
          <w:w w:val="105"/>
          <w:sz w:val="21"/>
        </w:rPr>
        <w:t>where</w:t>
      </w:r>
      <w:r>
        <w:rPr>
          <w:spacing w:val="-11"/>
          <w:w w:val="105"/>
          <w:sz w:val="21"/>
        </w:rPr>
        <w:t> </w:t>
      </w:r>
      <w:r>
        <w:rPr>
          <w:w w:val="105"/>
          <w:sz w:val="21"/>
        </w:rPr>
        <w:t>the</w:t>
      </w:r>
      <w:r>
        <w:rPr>
          <w:spacing w:val="-11"/>
          <w:w w:val="105"/>
          <w:sz w:val="21"/>
        </w:rPr>
        <w:t> </w:t>
      </w:r>
      <w:r>
        <w:rPr>
          <w:w w:val="105"/>
          <w:sz w:val="21"/>
        </w:rPr>
        <w:t>deceased</w:t>
      </w:r>
      <w:r>
        <w:rPr>
          <w:spacing w:val="-11"/>
          <w:w w:val="105"/>
          <w:sz w:val="21"/>
        </w:rPr>
        <w:t> </w:t>
      </w:r>
      <w:r>
        <w:rPr>
          <w:w w:val="105"/>
          <w:sz w:val="21"/>
        </w:rPr>
        <w:t>person</w:t>
      </w:r>
      <w:r>
        <w:rPr>
          <w:spacing w:val="-10"/>
          <w:w w:val="105"/>
          <w:sz w:val="21"/>
        </w:rPr>
        <w:t> </w:t>
      </w:r>
      <w:r>
        <w:rPr>
          <w:w w:val="105"/>
          <w:sz w:val="21"/>
        </w:rPr>
        <w:t>is</w:t>
      </w:r>
      <w:r>
        <w:rPr>
          <w:spacing w:val="-11"/>
          <w:w w:val="105"/>
          <w:sz w:val="21"/>
        </w:rPr>
        <w:t> </w:t>
      </w:r>
      <w:r>
        <w:rPr>
          <w:w w:val="105"/>
          <w:sz w:val="21"/>
        </w:rPr>
        <w:t>survived</w:t>
      </w:r>
      <w:r>
        <w:rPr>
          <w:spacing w:val="-11"/>
          <w:w w:val="105"/>
          <w:sz w:val="21"/>
        </w:rPr>
        <w:t> </w:t>
      </w:r>
      <w:r>
        <w:rPr>
          <w:w w:val="105"/>
          <w:sz w:val="21"/>
        </w:rPr>
        <w:t>by</w:t>
      </w:r>
      <w:r>
        <w:rPr>
          <w:spacing w:val="-10"/>
          <w:w w:val="105"/>
          <w:sz w:val="21"/>
        </w:rPr>
        <w:t> </w:t>
      </w:r>
      <w:r>
        <w:rPr>
          <w:w w:val="105"/>
          <w:sz w:val="21"/>
        </w:rPr>
        <w:t>one</w:t>
      </w:r>
      <w:r>
        <w:rPr>
          <w:spacing w:val="-11"/>
          <w:w w:val="105"/>
          <w:sz w:val="21"/>
        </w:rPr>
        <w:t> </w:t>
      </w:r>
      <w:r>
        <w:rPr>
          <w:spacing w:val="-3"/>
          <w:w w:val="105"/>
          <w:sz w:val="21"/>
        </w:rPr>
        <w:t>partner,</w:t>
      </w:r>
      <w:r>
        <w:rPr>
          <w:spacing w:val="-11"/>
          <w:w w:val="105"/>
          <w:sz w:val="21"/>
        </w:rPr>
        <w:t> </w:t>
      </w:r>
      <w:r>
        <w:rPr>
          <w:w w:val="105"/>
          <w:sz w:val="21"/>
        </w:rPr>
        <w:t>and</w:t>
      </w:r>
      <w:r>
        <w:rPr>
          <w:spacing w:val="-10"/>
          <w:w w:val="105"/>
          <w:sz w:val="21"/>
        </w:rPr>
        <w:t> </w:t>
      </w:r>
      <w:r>
        <w:rPr>
          <w:spacing w:val="-3"/>
          <w:w w:val="105"/>
          <w:sz w:val="21"/>
        </w:rPr>
        <w:t>children</w:t>
      </w:r>
      <w:r>
        <w:rPr>
          <w:spacing w:val="-11"/>
          <w:w w:val="105"/>
          <w:sz w:val="21"/>
        </w:rPr>
        <w:t> </w:t>
      </w:r>
      <w:r>
        <w:rPr>
          <w:w w:val="105"/>
          <w:sz w:val="21"/>
        </w:rPr>
        <w:t>or</w:t>
      </w:r>
      <w:r>
        <w:rPr>
          <w:spacing w:val="-11"/>
          <w:w w:val="105"/>
          <w:sz w:val="21"/>
        </w:rPr>
        <w:t> </w:t>
      </w:r>
      <w:r>
        <w:rPr>
          <w:w w:val="105"/>
          <w:sz w:val="21"/>
        </w:rPr>
        <w:t>other</w:t>
      </w:r>
      <w:r>
        <w:rPr>
          <w:spacing w:val="-10"/>
          <w:w w:val="105"/>
          <w:sz w:val="21"/>
        </w:rPr>
        <w:t> </w:t>
      </w:r>
      <w:r>
        <w:rPr>
          <w:spacing w:val="-3"/>
          <w:w w:val="105"/>
          <w:sz w:val="21"/>
        </w:rPr>
        <w:t>issue, </w:t>
      </w:r>
      <w:r>
        <w:rPr>
          <w:w w:val="105"/>
          <w:sz w:val="21"/>
        </w:rPr>
        <w:t>but the </w:t>
      </w:r>
      <w:r>
        <w:rPr>
          <w:spacing w:val="-3"/>
          <w:w w:val="105"/>
          <w:sz w:val="21"/>
        </w:rPr>
        <w:t>value </w:t>
      </w:r>
      <w:r>
        <w:rPr>
          <w:w w:val="105"/>
          <w:sz w:val="21"/>
        </w:rPr>
        <w:t>of the </w:t>
      </w:r>
      <w:r>
        <w:rPr>
          <w:spacing w:val="-3"/>
          <w:w w:val="105"/>
          <w:sz w:val="21"/>
        </w:rPr>
        <w:t>intestate </w:t>
      </w:r>
      <w:r>
        <w:rPr>
          <w:w w:val="105"/>
          <w:sz w:val="21"/>
        </w:rPr>
        <w:t>estate does </w:t>
      </w:r>
      <w:r>
        <w:rPr>
          <w:spacing w:val="-2"/>
          <w:w w:val="105"/>
          <w:sz w:val="21"/>
        </w:rPr>
        <w:t>not </w:t>
      </w:r>
      <w:r>
        <w:rPr>
          <w:w w:val="105"/>
          <w:sz w:val="21"/>
        </w:rPr>
        <w:t>exceed</w:t>
      </w:r>
      <w:r>
        <w:rPr>
          <w:spacing w:val="42"/>
          <w:w w:val="105"/>
          <w:sz w:val="21"/>
        </w:rPr>
        <w:t> </w:t>
      </w:r>
      <w:r>
        <w:rPr>
          <w:spacing w:val="-4"/>
          <w:w w:val="105"/>
          <w:sz w:val="21"/>
        </w:rPr>
        <w:t>$100,000.</w:t>
      </w:r>
      <w:r>
        <w:rPr>
          <w:spacing w:val="-4"/>
          <w:w w:val="105"/>
          <w:position w:val="7"/>
          <w:sz w:val="12"/>
        </w:rPr>
        <w:t>76</w:t>
      </w:r>
    </w:p>
    <w:p>
      <w:pPr>
        <w:pStyle w:val="ListParagraph"/>
        <w:numPr>
          <w:ilvl w:val="1"/>
          <w:numId w:val="22"/>
        </w:numPr>
        <w:tabs>
          <w:tab w:pos="2382" w:val="left" w:leader="none"/>
        </w:tabs>
        <w:spacing w:line="242" w:lineRule="auto" w:before="122" w:after="0"/>
        <w:ind w:left="2381" w:right="1749" w:hanging="794"/>
        <w:jc w:val="both"/>
        <w:rPr>
          <w:sz w:val="21"/>
        </w:rPr>
      </w:pPr>
      <w:r>
        <w:rPr>
          <w:sz w:val="21"/>
        </w:rPr>
        <w:t>If the deceased person is survived by a partner and </w:t>
      </w:r>
      <w:r>
        <w:rPr>
          <w:spacing w:val="-3"/>
          <w:sz w:val="21"/>
        </w:rPr>
        <w:t>children </w:t>
      </w:r>
      <w:r>
        <w:rPr>
          <w:sz w:val="21"/>
        </w:rPr>
        <w:t>or other </w:t>
      </w:r>
      <w:r>
        <w:rPr>
          <w:spacing w:val="-3"/>
          <w:sz w:val="21"/>
        </w:rPr>
        <w:t>issue,  </w:t>
      </w:r>
      <w:r>
        <w:rPr>
          <w:sz w:val="21"/>
        </w:rPr>
        <w:t>and the </w:t>
      </w:r>
      <w:r>
        <w:rPr>
          <w:spacing w:val="-3"/>
          <w:sz w:val="21"/>
        </w:rPr>
        <w:t>value  </w:t>
      </w:r>
      <w:r>
        <w:rPr>
          <w:sz w:val="21"/>
        </w:rPr>
        <w:t>of the </w:t>
      </w:r>
      <w:r>
        <w:rPr>
          <w:spacing w:val="-3"/>
          <w:sz w:val="21"/>
        </w:rPr>
        <w:t>intestate </w:t>
      </w:r>
      <w:r>
        <w:rPr>
          <w:sz w:val="21"/>
        </w:rPr>
        <w:t>estate exceeds </w:t>
      </w:r>
      <w:r>
        <w:rPr>
          <w:spacing w:val="-3"/>
          <w:sz w:val="21"/>
        </w:rPr>
        <w:t>$100,000, </w:t>
      </w:r>
      <w:r>
        <w:rPr>
          <w:sz w:val="21"/>
        </w:rPr>
        <w:t>the deceased </w:t>
      </w:r>
      <w:r>
        <w:rPr>
          <w:spacing w:val="-3"/>
          <w:sz w:val="21"/>
        </w:rPr>
        <w:t>person’s </w:t>
      </w:r>
      <w:r>
        <w:rPr>
          <w:sz w:val="21"/>
        </w:rPr>
        <w:t>partner must </w:t>
      </w:r>
      <w:r>
        <w:rPr>
          <w:spacing w:val="-3"/>
          <w:sz w:val="21"/>
        </w:rPr>
        <w:t>share </w:t>
      </w:r>
      <w:r>
        <w:rPr>
          <w:sz w:val="21"/>
        </w:rPr>
        <w:t>the </w:t>
      </w:r>
      <w:r>
        <w:rPr>
          <w:spacing w:val="-3"/>
          <w:sz w:val="21"/>
        </w:rPr>
        <w:t>intestate </w:t>
      </w:r>
      <w:r>
        <w:rPr>
          <w:sz w:val="21"/>
        </w:rPr>
        <w:t>estate with the deceased </w:t>
      </w:r>
      <w:r>
        <w:rPr>
          <w:spacing w:val="-3"/>
          <w:sz w:val="21"/>
        </w:rPr>
        <w:t>person’s children </w:t>
      </w:r>
      <w:r>
        <w:rPr>
          <w:sz w:val="21"/>
        </w:rPr>
        <w:t>or other </w:t>
      </w:r>
      <w:r>
        <w:rPr>
          <w:spacing w:val="-4"/>
          <w:sz w:val="21"/>
        </w:rPr>
        <w:t>issue.</w:t>
      </w:r>
      <w:r>
        <w:rPr>
          <w:spacing w:val="-4"/>
          <w:position w:val="7"/>
          <w:sz w:val="12"/>
        </w:rPr>
        <w:t>77 </w:t>
      </w:r>
      <w:r>
        <w:rPr>
          <w:sz w:val="21"/>
        </w:rPr>
        <w:t>In this</w:t>
      </w:r>
      <w:r>
        <w:rPr>
          <w:spacing w:val="35"/>
          <w:sz w:val="21"/>
        </w:rPr>
        <w:t> </w:t>
      </w:r>
      <w:r>
        <w:rPr>
          <w:spacing w:val="-3"/>
          <w:sz w:val="21"/>
        </w:rPr>
        <w:t>situation,</w:t>
      </w:r>
    </w:p>
    <w:p>
      <w:pPr>
        <w:pStyle w:val="BodyText"/>
        <w:spacing w:before="3"/>
        <w:ind w:left="2381"/>
        <w:rPr>
          <w:sz w:val="12"/>
        </w:rPr>
      </w:pPr>
      <w:r>
        <w:rPr>
          <w:w w:val="105"/>
        </w:rPr>
        <w:t>the deceased </w:t>
      </w:r>
      <w:r>
        <w:rPr>
          <w:spacing w:val="-3"/>
          <w:w w:val="105"/>
        </w:rPr>
        <w:t>person’s </w:t>
      </w:r>
      <w:r>
        <w:rPr>
          <w:w w:val="105"/>
        </w:rPr>
        <w:t>partner is entitled </w:t>
      </w:r>
      <w:r>
        <w:rPr>
          <w:spacing w:val="-3"/>
          <w:w w:val="105"/>
        </w:rPr>
        <w:t>to all </w:t>
      </w:r>
      <w:r>
        <w:rPr>
          <w:w w:val="105"/>
        </w:rPr>
        <w:t>of the </w:t>
      </w:r>
      <w:r>
        <w:rPr>
          <w:spacing w:val="-3"/>
          <w:w w:val="105"/>
        </w:rPr>
        <w:t>following:</w:t>
      </w:r>
      <w:r>
        <w:rPr>
          <w:spacing w:val="-3"/>
          <w:w w:val="105"/>
          <w:position w:val="7"/>
          <w:sz w:val="12"/>
        </w:rPr>
        <w:t>78</w:t>
      </w:r>
    </w:p>
    <w:p>
      <w:pPr>
        <w:pStyle w:val="ListParagraph"/>
        <w:numPr>
          <w:ilvl w:val="2"/>
          <w:numId w:val="22"/>
        </w:numPr>
        <w:tabs>
          <w:tab w:pos="2721" w:val="left" w:leader="none"/>
          <w:tab w:pos="2722" w:val="left" w:leader="none"/>
        </w:tabs>
        <w:spacing w:line="240" w:lineRule="auto" w:before="124" w:after="0"/>
        <w:ind w:left="2721" w:right="0" w:hanging="340"/>
        <w:jc w:val="left"/>
        <w:rPr>
          <w:sz w:val="12"/>
        </w:rPr>
      </w:pPr>
      <w:r>
        <w:rPr>
          <w:w w:val="105"/>
          <w:sz w:val="21"/>
        </w:rPr>
        <w:t>the deceased </w:t>
      </w:r>
      <w:r>
        <w:rPr>
          <w:spacing w:val="-3"/>
          <w:w w:val="105"/>
          <w:sz w:val="21"/>
        </w:rPr>
        <w:t>person’s </w:t>
      </w:r>
      <w:r>
        <w:rPr>
          <w:w w:val="105"/>
          <w:sz w:val="21"/>
        </w:rPr>
        <w:t>personal </w:t>
      </w:r>
      <w:r>
        <w:rPr>
          <w:spacing w:val="-3"/>
          <w:w w:val="105"/>
          <w:sz w:val="21"/>
        </w:rPr>
        <w:t>chattels</w:t>
      </w:r>
      <w:r>
        <w:rPr>
          <w:spacing w:val="-7"/>
          <w:w w:val="105"/>
          <w:sz w:val="21"/>
        </w:rPr>
        <w:t> </w:t>
      </w:r>
      <w:r>
        <w:rPr>
          <w:w w:val="105"/>
          <w:position w:val="7"/>
          <w:sz w:val="12"/>
        </w:rPr>
        <w:t>79</w:t>
      </w:r>
    </w:p>
    <w:p>
      <w:pPr>
        <w:pStyle w:val="ListParagraph"/>
        <w:numPr>
          <w:ilvl w:val="2"/>
          <w:numId w:val="22"/>
        </w:numPr>
        <w:tabs>
          <w:tab w:pos="2721" w:val="left" w:leader="none"/>
          <w:tab w:pos="2722" w:val="left" w:leader="none"/>
        </w:tabs>
        <w:spacing w:line="240" w:lineRule="auto" w:before="123" w:after="0"/>
        <w:ind w:left="2721" w:right="0" w:hanging="340"/>
        <w:jc w:val="left"/>
        <w:rPr>
          <w:sz w:val="21"/>
        </w:rPr>
      </w:pPr>
      <w:r>
        <w:rPr>
          <w:spacing w:val="-3"/>
          <w:w w:val="105"/>
          <w:sz w:val="21"/>
        </w:rPr>
        <w:t>$100,000 plus interest </w:t>
      </w:r>
      <w:r>
        <w:rPr>
          <w:w w:val="105"/>
          <w:position w:val="7"/>
          <w:sz w:val="12"/>
        </w:rPr>
        <w:t>80 </w:t>
      </w:r>
      <w:r>
        <w:rPr>
          <w:w w:val="105"/>
          <w:sz w:val="21"/>
        </w:rPr>
        <w:t>on </w:t>
      </w:r>
      <w:r>
        <w:rPr>
          <w:spacing w:val="-3"/>
          <w:w w:val="105"/>
          <w:sz w:val="21"/>
        </w:rPr>
        <w:t>that</w:t>
      </w:r>
      <w:r>
        <w:rPr>
          <w:spacing w:val="3"/>
          <w:w w:val="105"/>
          <w:sz w:val="21"/>
        </w:rPr>
        <w:t> </w:t>
      </w:r>
      <w:r>
        <w:rPr>
          <w:spacing w:val="-3"/>
          <w:w w:val="105"/>
          <w:sz w:val="21"/>
        </w:rPr>
        <w:t>amount</w:t>
      </w:r>
    </w:p>
    <w:p>
      <w:pPr>
        <w:pStyle w:val="ListParagraph"/>
        <w:numPr>
          <w:ilvl w:val="2"/>
          <w:numId w:val="22"/>
        </w:numPr>
        <w:tabs>
          <w:tab w:pos="2721" w:val="left" w:leader="none"/>
          <w:tab w:pos="2722" w:val="left" w:leader="none"/>
        </w:tabs>
        <w:spacing w:line="240" w:lineRule="auto" w:before="124" w:after="0"/>
        <w:ind w:left="2721" w:right="0" w:hanging="340"/>
        <w:jc w:val="left"/>
        <w:rPr>
          <w:sz w:val="21"/>
        </w:rPr>
      </w:pPr>
      <w:r>
        <w:rPr>
          <w:w w:val="105"/>
          <w:sz w:val="21"/>
        </w:rPr>
        <w:t>one </w:t>
      </w:r>
      <w:r>
        <w:rPr>
          <w:spacing w:val="-3"/>
          <w:w w:val="105"/>
          <w:sz w:val="21"/>
        </w:rPr>
        <w:t>third </w:t>
      </w:r>
      <w:r>
        <w:rPr>
          <w:w w:val="105"/>
          <w:sz w:val="21"/>
        </w:rPr>
        <w:t>of the </w:t>
      </w:r>
      <w:r>
        <w:rPr>
          <w:spacing w:val="-3"/>
          <w:w w:val="105"/>
          <w:sz w:val="21"/>
        </w:rPr>
        <w:t>balance </w:t>
      </w:r>
      <w:r>
        <w:rPr>
          <w:w w:val="105"/>
          <w:sz w:val="21"/>
        </w:rPr>
        <w:t>of the</w:t>
      </w:r>
      <w:r>
        <w:rPr>
          <w:spacing w:val="41"/>
          <w:w w:val="105"/>
          <w:sz w:val="21"/>
        </w:rPr>
        <w:t> </w:t>
      </w:r>
      <w:r>
        <w:rPr>
          <w:spacing w:val="-3"/>
          <w:w w:val="105"/>
          <w:sz w:val="21"/>
        </w:rPr>
        <w:t>estate.</w:t>
      </w:r>
    </w:p>
    <w:p>
      <w:pPr>
        <w:pStyle w:val="ListParagraph"/>
        <w:numPr>
          <w:ilvl w:val="1"/>
          <w:numId w:val="22"/>
        </w:numPr>
        <w:tabs>
          <w:tab w:pos="2381" w:val="left" w:leader="none"/>
          <w:tab w:pos="2382" w:val="left" w:leader="none"/>
        </w:tabs>
        <w:spacing w:line="242" w:lineRule="auto" w:before="124" w:after="0"/>
        <w:ind w:left="2381" w:right="1601" w:hanging="794"/>
        <w:jc w:val="left"/>
        <w:rPr>
          <w:sz w:val="21"/>
        </w:rPr>
      </w:pPr>
      <w:r>
        <w:rPr>
          <w:sz w:val="21"/>
        </w:rPr>
        <w:t>In this </w:t>
      </w:r>
      <w:r>
        <w:rPr>
          <w:spacing w:val="-3"/>
          <w:sz w:val="21"/>
        </w:rPr>
        <w:t>situation, </w:t>
      </w:r>
      <w:r>
        <w:rPr>
          <w:sz w:val="21"/>
        </w:rPr>
        <w:t>the deceased </w:t>
      </w:r>
      <w:r>
        <w:rPr>
          <w:spacing w:val="-3"/>
          <w:sz w:val="21"/>
        </w:rPr>
        <w:t>person’s children </w:t>
      </w:r>
      <w:r>
        <w:rPr>
          <w:sz w:val="21"/>
        </w:rPr>
        <w:t>or other issue </w:t>
      </w:r>
      <w:r>
        <w:rPr>
          <w:spacing w:val="-3"/>
          <w:sz w:val="21"/>
        </w:rPr>
        <w:t>share  </w:t>
      </w:r>
      <w:r>
        <w:rPr>
          <w:sz w:val="21"/>
        </w:rPr>
        <w:t>the  </w:t>
      </w:r>
      <w:r>
        <w:rPr>
          <w:spacing w:val="-3"/>
          <w:sz w:val="21"/>
        </w:rPr>
        <w:t>remaining  </w:t>
      </w:r>
      <w:r>
        <w:rPr>
          <w:sz w:val="21"/>
        </w:rPr>
        <w:t>two </w:t>
      </w:r>
      <w:r>
        <w:rPr>
          <w:spacing w:val="-3"/>
          <w:sz w:val="21"/>
        </w:rPr>
        <w:t>thirds </w:t>
      </w:r>
      <w:r>
        <w:rPr>
          <w:sz w:val="21"/>
        </w:rPr>
        <w:t>of the </w:t>
      </w:r>
      <w:r>
        <w:rPr>
          <w:spacing w:val="-3"/>
          <w:sz w:val="21"/>
        </w:rPr>
        <w:t>intestate </w:t>
      </w:r>
      <w:r>
        <w:rPr>
          <w:sz w:val="21"/>
        </w:rPr>
        <w:t>estate between them.</w:t>
      </w:r>
      <w:r>
        <w:rPr>
          <w:position w:val="7"/>
          <w:sz w:val="12"/>
        </w:rPr>
        <w:t>81 </w:t>
      </w:r>
      <w:r>
        <w:rPr>
          <w:sz w:val="21"/>
        </w:rPr>
        <w:t>The deceased </w:t>
      </w:r>
      <w:r>
        <w:rPr>
          <w:spacing w:val="-3"/>
          <w:sz w:val="21"/>
        </w:rPr>
        <w:t>person’s </w:t>
      </w:r>
      <w:r>
        <w:rPr>
          <w:sz w:val="21"/>
        </w:rPr>
        <w:t>partner’s statutory legacy and </w:t>
      </w:r>
      <w:r>
        <w:rPr>
          <w:spacing w:val="-3"/>
          <w:sz w:val="21"/>
        </w:rPr>
        <w:t>share </w:t>
      </w:r>
      <w:r>
        <w:rPr>
          <w:sz w:val="21"/>
        </w:rPr>
        <w:t>of the </w:t>
      </w:r>
      <w:r>
        <w:rPr>
          <w:spacing w:val="-3"/>
          <w:sz w:val="21"/>
        </w:rPr>
        <w:t>remainder are </w:t>
      </w:r>
      <w:r>
        <w:rPr>
          <w:sz w:val="21"/>
        </w:rPr>
        <w:t>only  </w:t>
      </w:r>
      <w:r>
        <w:rPr>
          <w:spacing w:val="-3"/>
          <w:sz w:val="21"/>
        </w:rPr>
        <w:t>relevant  </w:t>
      </w:r>
      <w:r>
        <w:rPr>
          <w:sz w:val="21"/>
        </w:rPr>
        <w:t>where  the  deceased  person  is survived by a partner and </w:t>
      </w:r>
      <w:r>
        <w:rPr>
          <w:spacing w:val="-3"/>
          <w:sz w:val="21"/>
        </w:rPr>
        <w:t>children </w:t>
      </w:r>
      <w:r>
        <w:rPr>
          <w:sz w:val="21"/>
        </w:rPr>
        <w:t>or other issue who </w:t>
      </w:r>
      <w:r>
        <w:rPr>
          <w:spacing w:val="-3"/>
          <w:sz w:val="21"/>
        </w:rPr>
        <w:t>are </w:t>
      </w:r>
      <w:r>
        <w:rPr>
          <w:sz w:val="21"/>
        </w:rPr>
        <w:t>entitled </w:t>
      </w:r>
      <w:r>
        <w:rPr>
          <w:spacing w:val="-3"/>
          <w:sz w:val="21"/>
        </w:rPr>
        <w:t>to </w:t>
      </w:r>
      <w:r>
        <w:rPr>
          <w:sz w:val="21"/>
        </w:rPr>
        <w:t>a </w:t>
      </w:r>
      <w:r>
        <w:rPr>
          <w:spacing w:val="-3"/>
          <w:sz w:val="21"/>
        </w:rPr>
        <w:t>share </w:t>
      </w:r>
      <w:r>
        <w:rPr>
          <w:sz w:val="21"/>
        </w:rPr>
        <w:t>on </w:t>
      </w:r>
      <w:r>
        <w:rPr>
          <w:spacing w:val="-3"/>
          <w:sz w:val="21"/>
        </w:rPr>
        <w:t>intestacy.  </w:t>
      </w:r>
      <w:r>
        <w:rPr>
          <w:sz w:val="21"/>
        </w:rPr>
        <w:t>The </w:t>
      </w:r>
      <w:r>
        <w:rPr>
          <w:spacing w:val="-3"/>
          <w:sz w:val="21"/>
        </w:rPr>
        <w:t>circumstances </w:t>
      </w:r>
      <w:r>
        <w:rPr>
          <w:sz w:val="21"/>
        </w:rPr>
        <w:t>in which the </w:t>
      </w:r>
      <w:r>
        <w:rPr>
          <w:spacing w:val="-3"/>
          <w:sz w:val="21"/>
        </w:rPr>
        <w:t>Commission </w:t>
      </w:r>
      <w:r>
        <w:rPr>
          <w:sz w:val="21"/>
        </w:rPr>
        <w:t>considers </w:t>
      </w:r>
      <w:r>
        <w:rPr>
          <w:spacing w:val="-3"/>
          <w:sz w:val="21"/>
        </w:rPr>
        <w:t>that </w:t>
      </w:r>
      <w:r>
        <w:rPr>
          <w:sz w:val="21"/>
        </w:rPr>
        <w:t>the deceased </w:t>
      </w:r>
      <w:r>
        <w:rPr>
          <w:spacing w:val="-3"/>
          <w:sz w:val="21"/>
        </w:rPr>
        <w:t>person’s children </w:t>
      </w:r>
      <w:r>
        <w:rPr>
          <w:sz w:val="21"/>
        </w:rPr>
        <w:t>should be entitled </w:t>
      </w:r>
      <w:r>
        <w:rPr>
          <w:spacing w:val="-3"/>
          <w:sz w:val="21"/>
        </w:rPr>
        <w:t>to </w:t>
      </w:r>
      <w:r>
        <w:rPr>
          <w:sz w:val="21"/>
        </w:rPr>
        <w:t>a </w:t>
      </w:r>
      <w:r>
        <w:rPr>
          <w:spacing w:val="-3"/>
          <w:sz w:val="21"/>
        </w:rPr>
        <w:t>share </w:t>
      </w:r>
      <w:r>
        <w:rPr>
          <w:sz w:val="21"/>
        </w:rPr>
        <w:t>on intestacy </w:t>
      </w:r>
      <w:r>
        <w:rPr>
          <w:spacing w:val="-3"/>
          <w:sz w:val="21"/>
        </w:rPr>
        <w:t>are </w:t>
      </w:r>
      <w:r>
        <w:rPr>
          <w:sz w:val="21"/>
        </w:rPr>
        <w:t>discussed below </w:t>
      </w:r>
      <w:r>
        <w:rPr>
          <w:spacing w:val="-3"/>
          <w:sz w:val="21"/>
        </w:rPr>
        <w:t>from</w:t>
      </w:r>
      <w:r>
        <w:rPr>
          <w:spacing w:val="16"/>
          <w:sz w:val="21"/>
        </w:rPr>
        <w:t> </w:t>
      </w:r>
      <w:r>
        <w:rPr>
          <w:spacing w:val="-9"/>
          <w:sz w:val="21"/>
        </w:rPr>
        <w:t>[5.117].</w:t>
      </w:r>
    </w:p>
    <w:p>
      <w:pPr>
        <w:pStyle w:val="BodyText"/>
        <w:spacing w:before="2"/>
        <w:rPr>
          <w:sz w:val="25"/>
        </w:rPr>
      </w:pPr>
    </w:p>
    <w:p>
      <w:pPr>
        <w:pStyle w:val="Heading5"/>
      </w:pPr>
      <w:bookmarkStart w:name="_TOC_250051" w:id="64"/>
      <w:r>
        <w:rPr>
          <w:w w:val="110"/>
        </w:rPr>
        <w:t>Proposed</w:t>
      </w:r>
      <w:r>
        <w:rPr>
          <w:spacing w:val="44"/>
          <w:w w:val="110"/>
        </w:rPr>
        <w:t> </w:t>
      </w:r>
      <w:bookmarkEnd w:id="64"/>
      <w:r>
        <w:rPr>
          <w:w w:val="110"/>
        </w:rPr>
        <w:t>change</w:t>
      </w:r>
    </w:p>
    <w:p>
      <w:pPr>
        <w:pStyle w:val="ListParagraph"/>
        <w:numPr>
          <w:ilvl w:val="1"/>
          <w:numId w:val="22"/>
        </w:numPr>
        <w:tabs>
          <w:tab w:pos="2381" w:val="left" w:leader="none"/>
        </w:tabs>
        <w:spacing w:line="242" w:lineRule="auto" w:before="138" w:after="0"/>
        <w:ind w:left="2381" w:right="1683" w:hanging="794"/>
        <w:jc w:val="both"/>
        <w:rPr>
          <w:sz w:val="21"/>
        </w:rPr>
      </w:pPr>
      <w:r>
        <w:rPr>
          <w:w w:val="105"/>
          <w:sz w:val="21"/>
        </w:rPr>
        <w:t>When</w:t>
      </w:r>
      <w:r>
        <w:rPr>
          <w:spacing w:val="-9"/>
          <w:w w:val="105"/>
          <w:sz w:val="21"/>
        </w:rPr>
        <w:t> </w:t>
      </w:r>
      <w:r>
        <w:rPr>
          <w:w w:val="105"/>
          <w:sz w:val="21"/>
        </w:rPr>
        <w:t>the</w:t>
      </w:r>
      <w:r>
        <w:rPr>
          <w:spacing w:val="-9"/>
          <w:w w:val="105"/>
          <w:sz w:val="21"/>
        </w:rPr>
        <w:t> </w:t>
      </w:r>
      <w:r>
        <w:rPr>
          <w:w w:val="105"/>
          <w:sz w:val="21"/>
        </w:rPr>
        <w:t>deceased</w:t>
      </w:r>
      <w:r>
        <w:rPr>
          <w:spacing w:val="-9"/>
          <w:w w:val="105"/>
          <w:sz w:val="21"/>
        </w:rPr>
        <w:t> </w:t>
      </w:r>
      <w:r>
        <w:rPr>
          <w:w w:val="105"/>
          <w:sz w:val="21"/>
        </w:rPr>
        <w:t>person</w:t>
      </w:r>
      <w:r>
        <w:rPr>
          <w:spacing w:val="-9"/>
          <w:w w:val="105"/>
          <w:sz w:val="21"/>
        </w:rPr>
        <w:t> </w:t>
      </w:r>
      <w:r>
        <w:rPr>
          <w:w w:val="105"/>
          <w:sz w:val="21"/>
        </w:rPr>
        <w:t>is</w:t>
      </w:r>
      <w:r>
        <w:rPr>
          <w:spacing w:val="-9"/>
          <w:w w:val="105"/>
          <w:sz w:val="21"/>
        </w:rPr>
        <w:t> </w:t>
      </w:r>
      <w:r>
        <w:rPr>
          <w:w w:val="105"/>
          <w:sz w:val="21"/>
        </w:rPr>
        <w:t>survived</w:t>
      </w:r>
      <w:r>
        <w:rPr>
          <w:spacing w:val="-8"/>
          <w:w w:val="105"/>
          <w:sz w:val="21"/>
        </w:rPr>
        <w:t> </w:t>
      </w:r>
      <w:r>
        <w:rPr>
          <w:w w:val="105"/>
          <w:sz w:val="21"/>
        </w:rPr>
        <w:t>by</w:t>
      </w:r>
      <w:r>
        <w:rPr>
          <w:spacing w:val="-9"/>
          <w:w w:val="105"/>
          <w:sz w:val="21"/>
        </w:rPr>
        <w:t> </w:t>
      </w:r>
      <w:r>
        <w:rPr>
          <w:w w:val="105"/>
          <w:sz w:val="21"/>
        </w:rPr>
        <w:t>both</w:t>
      </w:r>
      <w:r>
        <w:rPr>
          <w:spacing w:val="-9"/>
          <w:w w:val="105"/>
          <w:sz w:val="21"/>
        </w:rPr>
        <w:t> </w:t>
      </w:r>
      <w:r>
        <w:rPr>
          <w:w w:val="105"/>
          <w:sz w:val="21"/>
        </w:rPr>
        <w:t>a</w:t>
      </w:r>
      <w:r>
        <w:rPr>
          <w:spacing w:val="-9"/>
          <w:w w:val="105"/>
          <w:sz w:val="21"/>
        </w:rPr>
        <w:t> </w:t>
      </w:r>
      <w:r>
        <w:rPr>
          <w:w w:val="105"/>
          <w:sz w:val="21"/>
        </w:rPr>
        <w:t>partner</w:t>
      </w:r>
      <w:r>
        <w:rPr>
          <w:spacing w:val="-9"/>
          <w:w w:val="105"/>
          <w:sz w:val="21"/>
        </w:rPr>
        <w:t> </w:t>
      </w:r>
      <w:r>
        <w:rPr>
          <w:w w:val="105"/>
          <w:sz w:val="21"/>
        </w:rPr>
        <w:t>and</w:t>
      </w:r>
      <w:r>
        <w:rPr>
          <w:spacing w:val="-8"/>
          <w:w w:val="105"/>
          <w:sz w:val="21"/>
        </w:rPr>
        <w:t> </w:t>
      </w:r>
      <w:r>
        <w:rPr>
          <w:spacing w:val="-3"/>
          <w:w w:val="105"/>
          <w:sz w:val="21"/>
        </w:rPr>
        <w:t>children</w:t>
      </w:r>
      <w:r>
        <w:rPr>
          <w:spacing w:val="-9"/>
          <w:w w:val="105"/>
          <w:sz w:val="21"/>
        </w:rPr>
        <w:t> </w:t>
      </w:r>
      <w:r>
        <w:rPr>
          <w:w w:val="105"/>
          <w:sz w:val="21"/>
        </w:rPr>
        <w:t>or</w:t>
      </w:r>
      <w:r>
        <w:rPr>
          <w:spacing w:val="-9"/>
          <w:w w:val="105"/>
          <w:sz w:val="21"/>
        </w:rPr>
        <w:t> </w:t>
      </w:r>
      <w:r>
        <w:rPr>
          <w:w w:val="105"/>
          <w:sz w:val="21"/>
        </w:rPr>
        <w:t>other</w:t>
      </w:r>
      <w:r>
        <w:rPr>
          <w:spacing w:val="-9"/>
          <w:w w:val="105"/>
          <w:sz w:val="21"/>
        </w:rPr>
        <w:t> </w:t>
      </w:r>
      <w:r>
        <w:rPr>
          <w:w w:val="105"/>
          <w:sz w:val="21"/>
        </w:rPr>
        <w:t>issue</w:t>
      </w:r>
      <w:r>
        <w:rPr>
          <w:spacing w:val="-9"/>
          <w:w w:val="105"/>
          <w:sz w:val="21"/>
        </w:rPr>
        <w:t> </w:t>
      </w:r>
      <w:r>
        <w:rPr>
          <w:w w:val="105"/>
          <w:sz w:val="21"/>
        </w:rPr>
        <w:t>who </w:t>
      </w:r>
      <w:r>
        <w:rPr>
          <w:spacing w:val="-3"/>
          <w:w w:val="105"/>
          <w:sz w:val="21"/>
        </w:rPr>
        <w:t>are </w:t>
      </w:r>
      <w:r>
        <w:rPr>
          <w:w w:val="105"/>
          <w:sz w:val="21"/>
        </w:rPr>
        <w:t>entitled </w:t>
      </w:r>
      <w:r>
        <w:rPr>
          <w:spacing w:val="-3"/>
          <w:w w:val="105"/>
          <w:sz w:val="21"/>
        </w:rPr>
        <w:t>to </w:t>
      </w:r>
      <w:r>
        <w:rPr>
          <w:w w:val="105"/>
          <w:sz w:val="21"/>
        </w:rPr>
        <w:t>a </w:t>
      </w:r>
      <w:r>
        <w:rPr>
          <w:spacing w:val="-3"/>
          <w:w w:val="105"/>
          <w:sz w:val="21"/>
        </w:rPr>
        <w:t>share </w:t>
      </w:r>
      <w:r>
        <w:rPr>
          <w:w w:val="105"/>
          <w:sz w:val="21"/>
        </w:rPr>
        <w:t>on </w:t>
      </w:r>
      <w:r>
        <w:rPr>
          <w:spacing w:val="-3"/>
          <w:w w:val="105"/>
          <w:sz w:val="21"/>
        </w:rPr>
        <w:t>intestacy, </w:t>
      </w:r>
      <w:r>
        <w:rPr>
          <w:w w:val="105"/>
          <w:sz w:val="21"/>
        </w:rPr>
        <w:t>the </w:t>
      </w:r>
      <w:r>
        <w:rPr>
          <w:spacing w:val="-3"/>
          <w:w w:val="105"/>
          <w:sz w:val="21"/>
        </w:rPr>
        <w:t>National Committee for Uniform Succession </w:t>
      </w:r>
      <w:r>
        <w:rPr>
          <w:w w:val="105"/>
          <w:sz w:val="21"/>
        </w:rPr>
        <w:t>Laws recommended </w:t>
      </w:r>
      <w:r>
        <w:rPr>
          <w:spacing w:val="-3"/>
          <w:w w:val="105"/>
          <w:sz w:val="21"/>
        </w:rPr>
        <w:t>increasing </w:t>
      </w:r>
      <w:r>
        <w:rPr>
          <w:w w:val="105"/>
          <w:sz w:val="21"/>
        </w:rPr>
        <w:t>the partner’s </w:t>
      </w:r>
      <w:r>
        <w:rPr>
          <w:spacing w:val="-3"/>
          <w:w w:val="105"/>
          <w:sz w:val="21"/>
        </w:rPr>
        <w:t>share </w:t>
      </w:r>
      <w:r>
        <w:rPr>
          <w:w w:val="105"/>
          <w:sz w:val="21"/>
        </w:rPr>
        <w:t>of the </w:t>
      </w:r>
      <w:r>
        <w:rPr>
          <w:spacing w:val="-3"/>
          <w:w w:val="105"/>
          <w:sz w:val="21"/>
        </w:rPr>
        <w:t>intestate </w:t>
      </w:r>
      <w:r>
        <w:rPr>
          <w:w w:val="105"/>
          <w:sz w:val="21"/>
        </w:rPr>
        <w:t>estate as</w:t>
      </w:r>
      <w:r>
        <w:rPr>
          <w:spacing w:val="-8"/>
          <w:w w:val="105"/>
          <w:sz w:val="21"/>
        </w:rPr>
        <w:t> </w:t>
      </w:r>
      <w:r>
        <w:rPr>
          <w:w w:val="105"/>
          <w:sz w:val="21"/>
        </w:rPr>
        <w:t>follows:</w:t>
      </w:r>
    </w:p>
    <w:p>
      <w:pPr>
        <w:pStyle w:val="ListParagraph"/>
        <w:numPr>
          <w:ilvl w:val="2"/>
          <w:numId w:val="22"/>
        </w:numPr>
        <w:tabs>
          <w:tab w:pos="2721" w:val="left" w:leader="none"/>
          <w:tab w:pos="2722" w:val="left" w:leader="none"/>
        </w:tabs>
        <w:spacing w:line="242" w:lineRule="auto" w:before="123" w:after="0"/>
        <w:ind w:left="2721" w:right="1799" w:hanging="341"/>
        <w:jc w:val="left"/>
        <w:rPr>
          <w:sz w:val="21"/>
        </w:rPr>
      </w:pPr>
      <w:r>
        <w:rPr>
          <w:spacing w:val="-3"/>
          <w:w w:val="105"/>
          <w:sz w:val="21"/>
        </w:rPr>
        <w:t>increasing </w:t>
      </w:r>
      <w:r>
        <w:rPr>
          <w:w w:val="105"/>
          <w:sz w:val="21"/>
        </w:rPr>
        <w:t>the partner’s statutory legacy </w:t>
      </w:r>
      <w:r>
        <w:rPr>
          <w:spacing w:val="-3"/>
          <w:w w:val="105"/>
          <w:sz w:val="21"/>
        </w:rPr>
        <w:t>to $350,000, </w:t>
      </w:r>
      <w:r>
        <w:rPr>
          <w:w w:val="105"/>
          <w:sz w:val="21"/>
        </w:rPr>
        <w:t>adjusted </w:t>
      </w:r>
      <w:r>
        <w:rPr>
          <w:spacing w:val="-3"/>
          <w:w w:val="105"/>
          <w:sz w:val="21"/>
        </w:rPr>
        <w:t>to </w:t>
      </w:r>
      <w:r>
        <w:rPr>
          <w:w w:val="105"/>
          <w:sz w:val="21"/>
        </w:rPr>
        <w:t>reflect </w:t>
      </w:r>
      <w:r>
        <w:rPr>
          <w:spacing w:val="-3"/>
          <w:w w:val="105"/>
          <w:sz w:val="21"/>
        </w:rPr>
        <w:t>changes </w:t>
      </w:r>
      <w:r>
        <w:rPr>
          <w:w w:val="105"/>
          <w:sz w:val="21"/>
        </w:rPr>
        <w:t>in the </w:t>
      </w:r>
      <w:r>
        <w:rPr>
          <w:spacing w:val="-4"/>
          <w:w w:val="105"/>
          <w:sz w:val="21"/>
        </w:rPr>
        <w:t>Consumer </w:t>
      </w:r>
      <w:r>
        <w:rPr>
          <w:w w:val="105"/>
          <w:sz w:val="21"/>
        </w:rPr>
        <w:t>Price Index (CPI) between 1 January 2006 and 1 January in the </w:t>
      </w:r>
      <w:r>
        <w:rPr>
          <w:spacing w:val="-3"/>
          <w:w w:val="105"/>
          <w:sz w:val="21"/>
        </w:rPr>
        <w:t>year </w:t>
      </w:r>
      <w:r>
        <w:rPr>
          <w:w w:val="105"/>
          <w:sz w:val="21"/>
        </w:rPr>
        <w:t>of the deceased </w:t>
      </w:r>
      <w:r>
        <w:rPr>
          <w:spacing w:val="-3"/>
          <w:w w:val="105"/>
          <w:sz w:val="21"/>
        </w:rPr>
        <w:t>person’s </w:t>
      </w:r>
      <w:r>
        <w:rPr>
          <w:w w:val="105"/>
          <w:sz w:val="21"/>
        </w:rPr>
        <w:t>death,</w:t>
      </w:r>
      <w:r>
        <w:rPr>
          <w:w w:val="105"/>
          <w:position w:val="7"/>
          <w:sz w:val="12"/>
        </w:rPr>
        <w:t>82</w:t>
      </w:r>
      <w:r>
        <w:rPr>
          <w:spacing w:val="20"/>
          <w:w w:val="105"/>
          <w:position w:val="7"/>
          <w:sz w:val="12"/>
        </w:rPr>
        <w:t> </w:t>
      </w:r>
      <w:r>
        <w:rPr>
          <w:w w:val="105"/>
          <w:sz w:val="21"/>
        </w:rPr>
        <w:t>and</w:t>
      </w:r>
    </w:p>
    <w:p>
      <w:pPr>
        <w:pStyle w:val="ListParagraph"/>
        <w:numPr>
          <w:ilvl w:val="2"/>
          <w:numId w:val="22"/>
        </w:numPr>
        <w:tabs>
          <w:tab w:pos="2721" w:val="left" w:leader="none"/>
          <w:tab w:pos="2722" w:val="left" w:leader="none"/>
        </w:tabs>
        <w:spacing w:line="240" w:lineRule="auto" w:before="123" w:after="0"/>
        <w:ind w:left="2721" w:right="0" w:hanging="340"/>
        <w:jc w:val="left"/>
        <w:rPr>
          <w:sz w:val="12"/>
        </w:rPr>
      </w:pPr>
      <w:r>
        <w:rPr>
          <w:spacing w:val="-3"/>
          <w:w w:val="105"/>
          <w:sz w:val="21"/>
        </w:rPr>
        <w:t>increasing </w:t>
      </w:r>
      <w:r>
        <w:rPr>
          <w:w w:val="105"/>
          <w:sz w:val="21"/>
        </w:rPr>
        <w:t>the partner’s </w:t>
      </w:r>
      <w:r>
        <w:rPr>
          <w:spacing w:val="-3"/>
          <w:w w:val="105"/>
          <w:sz w:val="21"/>
        </w:rPr>
        <w:t>share </w:t>
      </w:r>
      <w:r>
        <w:rPr>
          <w:w w:val="105"/>
          <w:sz w:val="21"/>
        </w:rPr>
        <w:t>of the </w:t>
      </w:r>
      <w:r>
        <w:rPr>
          <w:spacing w:val="-3"/>
          <w:w w:val="105"/>
          <w:sz w:val="21"/>
        </w:rPr>
        <w:t>remainder from </w:t>
      </w:r>
      <w:r>
        <w:rPr>
          <w:w w:val="105"/>
          <w:sz w:val="21"/>
        </w:rPr>
        <w:t>one </w:t>
      </w:r>
      <w:r>
        <w:rPr>
          <w:spacing w:val="-3"/>
          <w:w w:val="105"/>
          <w:sz w:val="21"/>
        </w:rPr>
        <w:t>third to</w:t>
      </w:r>
      <w:r>
        <w:rPr>
          <w:spacing w:val="9"/>
          <w:w w:val="105"/>
          <w:sz w:val="21"/>
        </w:rPr>
        <w:t> </w:t>
      </w:r>
      <w:r>
        <w:rPr>
          <w:w w:val="105"/>
          <w:sz w:val="21"/>
        </w:rPr>
        <w:t>one </w:t>
      </w:r>
      <w:r>
        <w:rPr>
          <w:spacing w:val="-3"/>
          <w:w w:val="105"/>
          <w:sz w:val="21"/>
        </w:rPr>
        <w:t>half.</w:t>
      </w:r>
      <w:r>
        <w:rPr>
          <w:spacing w:val="-3"/>
          <w:w w:val="105"/>
          <w:position w:val="7"/>
          <w:sz w:val="12"/>
        </w:rPr>
        <w:t>83</w:t>
      </w:r>
    </w:p>
    <w:p>
      <w:pPr>
        <w:pStyle w:val="BodyText"/>
        <w:rPr>
          <w:sz w:val="20"/>
        </w:rPr>
      </w:pPr>
    </w:p>
    <w:p>
      <w:pPr>
        <w:pStyle w:val="BodyText"/>
        <w:rPr>
          <w:sz w:val="20"/>
        </w:rPr>
      </w:pPr>
    </w:p>
    <w:p>
      <w:pPr>
        <w:pStyle w:val="BodyText"/>
        <w:rPr>
          <w:sz w:val="20"/>
        </w:rPr>
      </w:pPr>
    </w:p>
    <w:p>
      <w:pPr>
        <w:pStyle w:val="BodyText"/>
        <w:spacing w:before="11"/>
        <w:rPr>
          <w:sz w:val="29"/>
        </w:rPr>
      </w:pPr>
      <w:r>
        <w:rPr/>
        <w:pict>
          <v:line style="position:absolute;mso-position-horizontal-relative:page;mso-position-vertical-relative:paragraph;z-index:3896;mso-wrap-distance-left:0;mso-wrap-distance-right:0" from="79.370003pt,20.730137pt" to="515.905003pt,20.730137pt" stroked="true" strokeweight="1pt" strokecolor="#f9ceca">
            <v:stroke dashstyle="solid"/>
            <w10:wrap type="topAndBottom"/>
          </v:line>
        </w:pict>
      </w:r>
    </w:p>
    <w:p>
      <w:pPr>
        <w:tabs>
          <w:tab w:pos="2380" w:val="left" w:leader="none"/>
        </w:tabs>
        <w:spacing w:before="117"/>
        <w:ind w:left="1587" w:right="0" w:firstLine="0"/>
        <w:jc w:val="left"/>
        <w:rPr>
          <w:sz w:val="13"/>
        </w:rPr>
      </w:pPr>
      <w:r>
        <w:rPr>
          <w:w w:val="105"/>
          <w:sz w:val="13"/>
        </w:rPr>
        <w:t>75</w:t>
        <w:tab/>
        <w:t>Ibid s</w:t>
      </w:r>
      <w:r>
        <w:rPr>
          <w:spacing w:val="9"/>
          <w:w w:val="105"/>
          <w:sz w:val="13"/>
        </w:rPr>
        <w:t> </w:t>
      </w:r>
      <w:r>
        <w:rPr>
          <w:w w:val="105"/>
          <w:sz w:val="13"/>
        </w:rPr>
        <w:t>51(1).</w:t>
      </w:r>
    </w:p>
    <w:p>
      <w:pPr>
        <w:tabs>
          <w:tab w:pos="2380" w:val="left" w:leader="none"/>
        </w:tabs>
        <w:spacing w:before="1"/>
        <w:ind w:left="1587" w:right="0" w:firstLine="0"/>
        <w:jc w:val="left"/>
        <w:rPr>
          <w:sz w:val="13"/>
        </w:rPr>
      </w:pPr>
      <w:r>
        <w:rPr>
          <w:sz w:val="13"/>
        </w:rPr>
        <w:t>76</w:t>
        <w:tab/>
        <w:t>Ibid s</w:t>
      </w:r>
      <w:r>
        <w:rPr>
          <w:spacing w:val="12"/>
          <w:sz w:val="13"/>
        </w:rPr>
        <w:t> </w:t>
      </w:r>
      <w:r>
        <w:rPr>
          <w:spacing w:val="2"/>
          <w:sz w:val="13"/>
        </w:rPr>
        <w:t>51(2)(b).</w:t>
      </w:r>
    </w:p>
    <w:p>
      <w:pPr>
        <w:tabs>
          <w:tab w:pos="2380" w:val="left" w:leader="none"/>
        </w:tabs>
        <w:spacing w:before="2"/>
        <w:ind w:left="1587" w:right="0" w:firstLine="0"/>
        <w:jc w:val="left"/>
        <w:rPr>
          <w:sz w:val="13"/>
        </w:rPr>
      </w:pPr>
      <w:r>
        <w:rPr>
          <w:sz w:val="13"/>
        </w:rPr>
        <w:t>77</w:t>
        <w:tab/>
        <w:t>Ibid ss 51(2)(c),</w:t>
      </w:r>
      <w:r>
        <w:rPr>
          <w:spacing w:val="18"/>
          <w:sz w:val="13"/>
        </w:rPr>
        <w:t> </w:t>
      </w:r>
      <w:r>
        <w:rPr>
          <w:spacing w:val="2"/>
          <w:sz w:val="13"/>
        </w:rPr>
        <w:t>52(1)(f).</w:t>
      </w:r>
    </w:p>
    <w:p>
      <w:pPr>
        <w:tabs>
          <w:tab w:pos="2380" w:val="left" w:leader="none"/>
        </w:tabs>
        <w:spacing w:before="1"/>
        <w:ind w:left="1587" w:right="0" w:firstLine="0"/>
        <w:jc w:val="left"/>
        <w:rPr>
          <w:sz w:val="13"/>
        </w:rPr>
      </w:pPr>
      <w:r>
        <w:rPr>
          <w:sz w:val="13"/>
        </w:rPr>
        <w:t>78</w:t>
        <w:tab/>
        <w:t>Ibid s</w:t>
      </w:r>
      <w:r>
        <w:rPr>
          <w:spacing w:val="12"/>
          <w:sz w:val="13"/>
        </w:rPr>
        <w:t> </w:t>
      </w:r>
      <w:r>
        <w:rPr>
          <w:sz w:val="13"/>
        </w:rPr>
        <w:t>51(2)(c).</w:t>
      </w:r>
    </w:p>
    <w:p>
      <w:pPr>
        <w:pStyle w:val="ListParagraph"/>
        <w:numPr>
          <w:ilvl w:val="0"/>
          <w:numId w:val="56"/>
        </w:numPr>
        <w:tabs>
          <w:tab w:pos="2380" w:val="left" w:leader="none"/>
          <w:tab w:pos="2382" w:val="left" w:leader="none"/>
        </w:tabs>
        <w:spacing w:line="240" w:lineRule="auto" w:before="1" w:after="0"/>
        <w:ind w:left="2381" w:right="2204" w:hanging="794"/>
        <w:jc w:val="left"/>
        <w:rPr>
          <w:sz w:val="13"/>
        </w:rPr>
      </w:pPr>
      <w:r>
        <w:rPr>
          <w:sz w:val="13"/>
        </w:rPr>
        <w:t>Personal chattels are personal property, as distinct from real property. Money, securities and </w:t>
      </w:r>
      <w:r>
        <w:rPr>
          <w:spacing w:val="2"/>
          <w:sz w:val="13"/>
        </w:rPr>
        <w:t>property </w:t>
      </w:r>
      <w:r>
        <w:rPr>
          <w:sz w:val="13"/>
        </w:rPr>
        <w:t>used for business purposes          are</w:t>
      </w:r>
      <w:r>
        <w:rPr>
          <w:spacing w:val="9"/>
          <w:sz w:val="13"/>
        </w:rPr>
        <w:t> </w:t>
      </w:r>
      <w:r>
        <w:rPr>
          <w:sz w:val="13"/>
        </w:rPr>
        <w:t>excluded</w:t>
      </w:r>
      <w:r>
        <w:rPr>
          <w:spacing w:val="10"/>
          <w:sz w:val="13"/>
        </w:rPr>
        <w:t> </w:t>
      </w:r>
      <w:r>
        <w:rPr>
          <w:sz w:val="13"/>
        </w:rPr>
        <w:t>from</w:t>
      </w:r>
      <w:r>
        <w:rPr>
          <w:spacing w:val="10"/>
          <w:sz w:val="13"/>
        </w:rPr>
        <w:t> </w:t>
      </w:r>
      <w:r>
        <w:rPr>
          <w:sz w:val="13"/>
        </w:rPr>
        <w:t>the</w:t>
      </w:r>
      <w:r>
        <w:rPr>
          <w:spacing w:val="9"/>
          <w:sz w:val="13"/>
        </w:rPr>
        <w:t> </w:t>
      </w:r>
      <w:r>
        <w:rPr>
          <w:sz w:val="13"/>
        </w:rPr>
        <w:t>definition</w:t>
      </w:r>
      <w:r>
        <w:rPr>
          <w:spacing w:val="10"/>
          <w:sz w:val="13"/>
        </w:rPr>
        <w:t> </w:t>
      </w:r>
      <w:r>
        <w:rPr>
          <w:sz w:val="13"/>
        </w:rPr>
        <w:t>of</w:t>
      </w:r>
      <w:r>
        <w:rPr>
          <w:spacing w:val="10"/>
          <w:sz w:val="13"/>
        </w:rPr>
        <w:t> </w:t>
      </w:r>
      <w:r>
        <w:rPr>
          <w:sz w:val="13"/>
        </w:rPr>
        <w:t>personal</w:t>
      </w:r>
      <w:r>
        <w:rPr>
          <w:spacing w:val="9"/>
          <w:sz w:val="13"/>
        </w:rPr>
        <w:t> </w:t>
      </w:r>
      <w:r>
        <w:rPr>
          <w:sz w:val="13"/>
        </w:rPr>
        <w:t>chattels:</w:t>
      </w:r>
      <w:r>
        <w:rPr>
          <w:spacing w:val="10"/>
          <w:sz w:val="13"/>
        </w:rPr>
        <w:t> </w:t>
      </w:r>
      <w:r>
        <w:rPr>
          <w:sz w:val="13"/>
        </w:rPr>
        <w:t>ibid</w:t>
      </w:r>
      <w:r>
        <w:rPr>
          <w:spacing w:val="10"/>
          <w:sz w:val="13"/>
        </w:rPr>
        <w:t> </w:t>
      </w:r>
      <w:r>
        <w:rPr>
          <w:sz w:val="13"/>
        </w:rPr>
        <w:t>s</w:t>
      </w:r>
      <w:r>
        <w:rPr>
          <w:spacing w:val="10"/>
          <w:sz w:val="13"/>
        </w:rPr>
        <w:t> </w:t>
      </w:r>
      <w:r>
        <w:rPr>
          <w:sz w:val="13"/>
        </w:rPr>
        <w:t>5(1)</w:t>
      </w:r>
      <w:r>
        <w:rPr>
          <w:spacing w:val="9"/>
          <w:sz w:val="13"/>
        </w:rPr>
        <w:t> </w:t>
      </w:r>
      <w:r>
        <w:rPr>
          <w:sz w:val="13"/>
        </w:rPr>
        <w:t>(definition</w:t>
      </w:r>
      <w:r>
        <w:rPr>
          <w:spacing w:val="10"/>
          <w:sz w:val="13"/>
        </w:rPr>
        <w:t> </w:t>
      </w:r>
      <w:r>
        <w:rPr>
          <w:sz w:val="13"/>
        </w:rPr>
        <w:t>of</w:t>
      </w:r>
      <w:r>
        <w:rPr>
          <w:spacing w:val="10"/>
          <w:sz w:val="13"/>
        </w:rPr>
        <w:t> </w:t>
      </w:r>
      <w:r>
        <w:rPr>
          <w:sz w:val="13"/>
        </w:rPr>
        <w:t>‘personal</w:t>
      </w:r>
      <w:r>
        <w:rPr>
          <w:spacing w:val="9"/>
          <w:sz w:val="13"/>
        </w:rPr>
        <w:t> </w:t>
      </w:r>
      <w:r>
        <w:rPr>
          <w:sz w:val="13"/>
        </w:rPr>
        <w:t>chattels’).</w:t>
      </w:r>
    </w:p>
    <w:p>
      <w:pPr>
        <w:pStyle w:val="ListParagraph"/>
        <w:numPr>
          <w:ilvl w:val="0"/>
          <w:numId w:val="56"/>
        </w:numPr>
        <w:tabs>
          <w:tab w:pos="2380" w:val="left" w:leader="none"/>
          <w:tab w:pos="2382" w:val="left" w:leader="none"/>
        </w:tabs>
        <w:spacing w:line="240" w:lineRule="auto" w:before="3" w:after="0"/>
        <w:ind w:left="2381" w:right="1731" w:hanging="794"/>
        <w:jc w:val="left"/>
        <w:rPr>
          <w:sz w:val="13"/>
        </w:rPr>
      </w:pPr>
      <w:r>
        <w:rPr>
          <w:w w:val="105"/>
          <w:sz w:val="13"/>
        </w:rPr>
        <w:t>Interest is calculated from the date of death to the date of payment of the legacy, and the rate of interest is fixed from time to time under section</w:t>
      </w:r>
      <w:r>
        <w:rPr>
          <w:spacing w:val="4"/>
          <w:w w:val="105"/>
          <w:sz w:val="13"/>
        </w:rPr>
        <w:t> </w:t>
      </w:r>
      <w:r>
        <w:rPr>
          <w:w w:val="105"/>
          <w:sz w:val="13"/>
        </w:rPr>
        <w:t>2</w:t>
      </w:r>
      <w:r>
        <w:rPr>
          <w:spacing w:val="4"/>
          <w:w w:val="105"/>
          <w:sz w:val="13"/>
        </w:rPr>
        <w:t> </w:t>
      </w:r>
      <w:r>
        <w:rPr>
          <w:w w:val="105"/>
          <w:sz w:val="13"/>
        </w:rPr>
        <w:t>of</w:t>
      </w:r>
      <w:r>
        <w:rPr>
          <w:spacing w:val="5"/>
          <w:w w:val="105"/>
          <w:sz w:val="13"/>
        </w:rPr>
        <w:t> </w:t>
      </w:r>
      <w:r>
        <w:rPr>
          <w:w w:val="105"/>
          <w:sz w:val="13"/>
        </w:rPr>
        <w:t>the</w:t>
      </w:r>
      <w:r>
        <w:rPr>
          <w:spacing w:val="4"/>
          <w:w w:val="105"/>
          <w:sz w:val="13"/>
        </w:rPr>
        <w:t> </w:t>
      </w:r>
      <w:r>
        <w:rPr>
          <w:i/>
          <w:w w:val="105"/>
          <w:sz w:val="13"/>
        </w:rPr>
        <w:t>Penalty</w:t>
      </w:r>
      <w:r>
        <w:rPr>
          <w:i/>
          <w:spacing w:val="3"/>
          <w:w w:val="105"/>
          <w:sz w:val="13"/>
        </w:rPr>
        <w:t> </w:t>
      </w:r>
      <w:r>
        <w:rPr>
          <w:i/>
          <w:w w:val="105"/>
          <w:sz w:val="13"/>
        </w:rPr>
        <w:t>Interest</w:t>
      </w:r>
      <w:r>
        <w:rPr>
          <w:i/>
          <w:spacing w:val="4"/>
          <w:w w:val="105"/>
          <w:sz w:val="13"/>
        </w:rPr>
        <w:t> </w:t>
      </w:r>
      <w:r>
        <w:rPr>
          <w:i/>
          <w:w w:val="105"/>
          <w:sz w:val="13"/>
        </w:rPr>
        <w:t>Rates</w:t>
      </w:r>
      <w:r>
        <w:rPr>
          <w:i/>
          <w:spacing w:val="3"/>
          <w:w w:val="105"/>
          <w:sz w:val="13"/>
        </w:rPr>
        <w:t> </w:t>
      </w:r>
      <w:r>
        <w:rPr>
          <w:i/>
          <w:w w:val="105"/>
          <w:sz w:val="13"/>
        </w:rPr>
        <w:t>Act</w:t>
      </w:r>
      <w:r>
        <w:rPr>
          <w:i/>
          <w:spacing w:val="3"/>
          <w:w w:val="105"/>
          <w:sz w:val="13"/>
        </w:rPr>
        <w:t> </w:t>
      </w:r>
      <w:r>
        <w:rPr>
          <w:i/>
          <w:w w:val="105"/>
          <w:sz w:val="13"/>
        </w:rPr>
        <w:t>1983</w:t>
      </w:r>
      <w:r>
        <w:rPr>
          <w:i/>
          <w:spacing w:val="5"/>
          <w:w w:val="105"/>
          <w:sz w:val="13"/>
        </w:rPr>
        <w:t> </w:t>
      </w:r>
      <w:r>
        <w:rPr>
          <w:spacing w:val="2"/>
          <w:w w:val="105"/>
          <w:sz w:val="13"/>
        </w:rPr>
        <w:t>(Vic)</w:t>
      </w:r>
      <w:r>
        <w:rPr>
          <w:spacing w:val="4"/>
          <w:w w:val="105"/>
          <w:sz w:val="13"/>
        </w:rPr>
        <w:t> </w:t>
      </w:r>
      <w:r>
        <w:rPr>
          <w:w w:val="105"/>
          <w:sz w:val="13"/>
        </w:rPr>
        <w:t>less</w:t>
      </w:r>
      <w:r>
        <w:rPr>
          <w:spacing w:val="5"/>
          <w:w w:val="105"/>
          <w:sz w:val="13"/>
        </w:rPr>
        <w:t> </w:t>
      </w:r>
      <w:r>
        <w:rPr>
          <w:w w:val="105"/>
          <w:sz w:val="13"/>
        </w:rPr>
        <w:t>2.5%:</w:t>
      </w:r>
      <w:r>
        <w:rPr>
          <w:spacing w:val="4"/>
          <w:w w:val="105"/>
          <w:sz w:val="13"/>
        </w:rPr>
        <w:t> </w:t>
      </w:r>
      <w:r>
        <w:rPr>
          <w:i/>
          <w:w w:val="105"/>
          <w:sz w:val="13"/>
        </w:rPr>
        <w:t>Administration</w:t>
      </w:r>
      <w:r>
        <w:rPr>
          <w:i/>
          <w:spacing w:val="3"/>
          <w:w w:val="105"/>
          <w:sz w:val="13"/>
        </w:rPr>
        <w:t> </w:t>
      </w:r>
      <w:r>
        <w:rPr>
          <w:i/>
          <w:w w:val="105"/>
          <w:sz w:val="13"/>
        </w:rPr>
        <w:t>and</w:t>
      </w:r>
      <w:r>
        <w:rPr>
          <w:i/>
          <w:spacing w:val="4"/>
          <w:w w:val="105"/>
          <w:sz w:val="13"/>
        </w:rPr>
        <w:t> </w:t>
      </w:r>
      <w:r>
        <w:rPr>
          <w:i/>
          <w:w w:val="105"/>
          <w:sz w:val="13"/>
        </w:rPr>
        <w:t>Probate</w:t>
      </w:r>
      <w:r>
        <w:rPr>
          <w:i/>
          <w:spacing w:val="3"/>
          <w:w w:val="105"/>
          <w:sz w:val="13"/>
        </w:rPr>
        <w:t> </w:t>
      </w:r>
      <w:r>
        <w:rPr>
          <w:i/>
          <w:w w:val="105"/>
          <w:sz w:val="13"/>
        </w:rPr>
        <w:t>Act</w:t>
      </w:r>
      <w:r>
        <w:rPr>
          <w:i/>
          <w:spacing w:val="3"/>
          <w:w w:val="105"/>
          <w:sz w:val="13"/>
        </w:rPr>
        <w:t> </w:t>
      </w:r>
      <w:r>
        <w:rPr>
          <w:i/>
          <w:w w:val="105"/>
          <w:sz w:val="13"/>
        </w:rPr>
        <w:t>1958</w:t>
      </w:r>
      <w:r>
        <w:rPr>
          <w:i/>
          <w:spacing w:val="5"/>
          <w:w w:val="105"/>
          <w:sz w:val="13"/>
        </w:rPr>
        <w:t> </w:t>
      </w:r>
      <w:r>
        <w:rPr>
          <w:spacing w:val="2"/>
          <w:w w:val="105"/>
          <w:sz w:val="13"/>
        </w:rPr>
        <w:t>(Vic)</w:t>
      </w:r>
      <w:r>
        <w:rPr>
          <w:spacing w:val="4"/>
          <w:w w:val="105"/>
          <w:sz w:val="13"/>
        </w:rPr>
        <w:t> </w:t>
      </w:r>
      <w:r>
        <w:rPr>
          <w:w w:val="105"/>
          <w:sz w:val="13"/>
        </w:rPr>
        <w:t>ss</w:t>
      </w:r>
      <w:r>
        <w:rPr>
          <w:spacing w:val="5"/>
          <w:w w:val="105"/>
          <w:sz w:val="13"/>
        </w:rPr>
        <w:t> </w:t>
      </w:r>
      <w:r>
        <w:rPr>
          <w:spacing w:val="2"/>
          <w:w w:val="105"/>
          <w:sz w:val="13"/>
        </w:rPr>
        <w:t>51(2)(c)(ii),</w:t>
      </w:r>
      <w:r>
        <w:rPr>
          <w:spacing w:val="4"/>
          <w:w w:val="105"/>
          <w:sz w:val="13"/>
        </w:rPr>
        <w:t> </w:t>
      </w:r>
      <w:r>
        <w:rPr>
          <w:spacing w:val="2"/>
          <w:w w:val="105"/>
          <w:sz w:val="13"/>
        </w:rPr>
        <w:t>(3).</w:t>
      </w:r>
    </w:p>
    <w:p>
      <w:pPr>
        <w:pStyle w:val="ListParagraph"/>
        <w:numPr>
          <w:ilvl w:val="0"/>
          <w:numId w:val="56"/>
        </w:numPr>
        <w:tabs>
          <w:tab w:pos="2380" w:val="left" w:leader="none"/>
          <w:tab w:pos="2382" w:val="left" w:leader="none"/>
        </w:tabs>
        <w:spacing w:line="240" w:lineRule="auto" w:before="3" w:after="0"/>
        <w:ind w:left="2381" w:right="1910" w:hanging="794"/>
        <w:jc w:val="left"/>
        <w:rPr>
          <w:sz w:val="13"/>
        </w:rPr>
      </w:pPr>
      <w:r>
        <w:rPr>
          <w:i/>
          <w:w w:val="105"/>
          <w:sz w:val="13"/>
        </w:rPr>
        <w:t>Administration and Probate Act 1958 </w:t>
      </w:r>
      <w:r>
        <w:rPr>
          <w:spacing w:val="2"/>
          <w:w w:val="105"/>
          <w:sz w:val="13"/>
        </w:rPr>
        <w:t>(Vic) </w:t>
      </w:r>
      <w:r>
        <w:rPr>
          <w:w w:val="105"/>
          <w:sz w:val="13"/>
        </w:rPr>
        <w:t>s </w:t>
      </w:r>
      <w:r>
        <w:rPr>
          <w:spacing w:val="2"/>
          <w:w w:val="105"/>
          <w:sz w:val="13"/>
        </w:rPr>
        <w:t>52(1)(f). </w:t>
      </w:r>
      <w:r>
        <w:rPr>
          <w:w w:val="105"/>
          <w:sz w:val="13"/>
        </w:rPr>
        <w:t>Entitlements of the deceased person’s children or other issue are discussed below at</w:t>
      </w:r>
      <w:r>
        <w:rPr>
          <w:spacing w:val="4"/>
          <w:w w:val="105"/>
          <w:sz w:val="13"/>
        </w:rPr>
        <w:t> </w:t>
      </w:r>
      <w:r>
        <w:rPr>
          <w:w w:val="105"/>
          <w:sz w:val="13"/>
        </w:rPr>
        <w:t>[5.117].</w:t>
      </w:r>
    </w:p>
    <w:p>
      <w:pPr>
        <w:pStyle w:val="ListParagraph"/>
        <w:numPr>
          <w:ilvl w:val="0"/>
          <w:numId w:val="56"/>
        </w:numPr>
        <w:tabs>
          <w:tab w:pos="2380" w:val="left" w:leader="none"/>
          <w:tab w:pos="2382" w:val="left" w:leader="none"/>
        </w:tabs>
        <w:spacing w:line="240" w:lineRule="auto" w:before="2" w:after="0"/>
        <w:ind w:left="2381" w:right="0" w:hanging="794"/>
        <w:jc w:val="left"/>
        <w:rPr>
          <w:sz w:val="13"/>
        </w:rPr>
      </w:pPr>
      <w:r>
        <w:rPr/>
        <w:pict>
          <v:shape style="position:absolute;margin-left:36pt;margin-top:3.643367pt;width:13.5pt;height:14.25pt;mso-position-horizontal-relative:page;mso-position-vertical-relative:paragraph;z-index:5968" type="#_x0000_t202" filled="false" stroked="false">
            <v:textbox inset="0,0,0,0">
              <w:txbxContent>
                <w:p>
                  <w:pPr>
                    <w:spacing w:line="284" w:lineRule="exact" w:before="0"/>
                    <w:ind w:left="0" w:right="0" w:firstLine="0"/>
                    <w:jc w:val="left"/>
                    <w:rPr>
                      <w:b/>
                      <w:sz w:val="24"/>
                    </w:rPr>
                  </w:pPr>
                  <w:r>
                    <w:rPr>
                      <w:b/>
                      <w:color w:val="EC5A4F"/>
                      <w:w w:val="110"/>
                      <w:sz w:val="24"/>
                    </w:rPr>
                    <w:t>66</w:t>
                  </w:r>
                </w:p>
              </w:txbxContent>
            </v:textbox>
            <w10:wrap type="none"/>
          </v:shape>
        </w:pict>
      </w:r>
      <w:r>
        <w:rPr>
          <w:w w:val="105"/>
          <w:sz w:val="13"/>
        </w:rPr>
        <w:t>National</w:t>
      </w:r>
      <w:r>
        <w:rPr>
          <w:spacing w:val="5"/>
          <w:w w:val="105"/>
          <w:sz w:val="13"/>
        </w:rPr>
        <w:t> </w:t>
      </w:r>
      <w:r>
        <w:rPr>
          <w:w w:val="105"/>
          <w:sz w:val="13"/>
        </w:rPr>
        <w:t>Committee</w:t>
      </w:r>
      <w:r>
        <w:rPr>
          <w:spacing w:val="5"/>
          <w:w w:val="105"/>
          <w:sz w:val="13"/>
        </w:rPr>
        <w:t> </w:t>
      </w:r>
      <w:r>
        <w:rPr>
          <w:w w:val="105"/>
          <w:sz w:val="13"/>
        </w:rPr>
        <w:t>for</w:t>
      </w:r>
      <w:r>
        <w:rPr>
          <w:spacing w:val="5"/>
          <w:w w:val="105"/>
          <w:sz w:val="13"/>
        </w:rPr>
        <w:t> </w:t>
      </w:r>
      <w:r>
        <w:rPr>
          <w:w w:val="105"/>
          <w:sz w:val="13"/>
        </w:rPr>
        <w:t>Uniform</w:t>
      </w:r>
      <w:r>
        <w:rPr>
          <w:spacing w:val="6"/>
          <w:w w:val="105"/>
          <w:sz w:val="13"/>
        </w:rPr>
        <w:t> </w:t>
      </w:r>
      <w:r>
        <w:rPr>
          <w:w w:val="105"/>
          <w:sz w:val="13"/>
        </w:rPr>
        <w:t>Succession</w:t>
      </w:r>
      <w:r>
        <w:rPr>
          <w:spacing w:val="5"/>
          <w:w w:val="105"/>
          <w:sz w:val="13"/>
        </w:rPr>
        <w:t> </w:t>
      </w:r>
      <w:r>
        <w:rPr>
          <w:w w:val="105"/>
          <w:sz w:val="13"/>
        </w:rPr>
        <w:t>Laws,</w:t>
      </w:r>
      <w:r>
        <w:rPr>
          <w:spacing w:val="5"/>
          <w:w w:val="105"/>
          <w:sz w:val="13"/>
        </w:rPr>
        <w:t> </w:t>
      </w:r>
      <w:r>
        <w:rPr>
          <w:w w:val="105"/>
          <w:sz w:val="13"/>
        </w:rPr>
        <w:t>above</w:t>
      </w:r>
      <w:r>
        <w:rPr>
          <w:spacing w:val="5"/>
          <w:w w:val="105"/>
          <w:sz w:val="13"/>
        </w:rPr>
        <w:t> </w:t>
      </w:r>
      <w:r>
        <w:rPr>
          <w:w w:val="105"/>
          <w:sz w:val="13"/>
        </w:rPr>
        <w:t>n</w:t>
      </w:r>
      <w:r>
        <w:rPr>
          <w:spacing w:val="6"/>
          <w:w w:val="105"/>
          <w:sz w:val="13"/>
        </w:rPr>
        <w:t> </w:t>
      </w:r>
      <w:r>
        <w:rPr>
          <w:w w:val="105"/>
          <w:sz w:val="13"/>
        </w:rPr>
        <w:t>10,</w:t>
      </w:r>
      <w:r>
        <w:rPr>
          <w:spacing w:val="5"/>
          <w:w w:val="105"/>
          <w:sz w:val="13"/>
        </w:rPr>
        <w:t> </w:t>
      </w:r>
      <w:r>
        <w:rPr>
          <w:w w:val="105"/>
          <w:sz w:val="13"/>
        </w:rPr>
        <w:t>70–1</w:t>
      </w:r>
      <w:r>
        <w:rPr>
          <w:spacing w:val="5"/>
          <w:w w:val="105"/>
          <w:sz w:val="13"/>
        </w:rPr>
        <w:t> </w:t>
      </w:r>
      <w:r>
        <w:rPr>
          <w:w w:val="105"/>
          <w:sz w:val="13"/>
        </w:rPr>
        <w:t>recommendation</w:t>
      </w:r>
      <w:r>
        <w:rPr>
          <w:spacing w:val="5"/>
          <w:w w:val="105"/>
          <w:sz w:val="13"/>
        </w:rPr>
        <w:t> </w:t>
      </w:r>
      <w:r>
        <w:rPr>
          <w:w w:val="105"/>
          <w:sz w:val="13"/>
        </w:rPr>
        <w:t>6,</w:t>
      </w:r>
      <w:r>
        <w:rPr>
          <w:spacing w:val="6"/>
          <w:w w:val="105"/>
          <w:sz w:val="13"/>
        </w:rPr>
        <w:t> </w:t>
      </w:r>
      <w:r>
        <w:rPr>
          <w:w w:val="105"/>
          <w:sz w:val="13"/>
        </w:rPr>
        <w:t>Draft</w:t>
      </w:r>
      <w:r>
        <w:rPr>
          <w:spacing w:val="5"/>
          <w:w w:val="105"/>
          <w:sz w:val="13"/>
        </w:rPr>
        <w:t> </w:t>
      </w:r>
      <w:r>
        <w:rPr>
          <w:w w:val="105"/>
          <w:sz w:val="13"/>
        </w:rPr>
        <w:t>Intestacy</w:t>
      </w:r>
      <w:r>
        <w:rPr>
          <w:spacing w:val="5"/>
          <w:w w:val="105"/>
          <w:sz w:val="13"/>
        </w:rPr>
        <w:t> </w:t>
      </w:r>
      <w:r>
        <w:rPr>
          <w:w w:val="105"/>
          <w:sz w:val="13"/>
        </w:rPr>
        <w:t>Bill</w:t>
      </w:r>
      <w:r>
        <w:rPr>
          <w:spacing w:val="5"/>
          <w:w w:val="105"/>
          <w:sz w:val="13"/>
        </w:rPr>
        <w:t> </w:t>
      </w:r>
      <w:r>
        <w:rPr>
          <w:w w:val="105"/>
          <w:sz w:val="13"/>
        </w:rPr>
        <w:t>2006</w:t>
      </w:r>
      <w:r>
        <w:rPr>
          <w:spacing w:val="6"/>
          <w:w w:val="105"/>
          <w:sz w:val="13"/>
        </w:rPr>
        <w:t> </w:t>
      </w:r>
      <w:r>
        <w:rPr>
          <w:w w:val="105"/>
          <w:sz w:val="13"/>
        </w:rPr>
        <w:t>cls</w:t>
      </w:r>
      <w:r>
        <w:rPr>
          <w:spacing w:val="5"/>
          <w:w w:val="105"/>
          <w:sz w:val="13"/>
        </w:rPr>
        <w:t> </w:t>
      </w:r>
      <w:r>
        <w:rPr>
          <w:spacing w:val="2"/>
          <w:w w:val="105"/>
          <w:sz w:val="13"/>
        </w:rPr>
        <w:t>8(1),</w:t>
      </w:r>
      <w:r>
        <w:rPr>
          <w:spacing w:val="5"/>
          <w:w w:val="105"/>
          <w:sz w:val="13"/>
        </w:rPr>
        <w:t> </w:t>
      </w:r>
      <w:r>
        <w:rPr>
          <w:spacing w:val="3"/>
          <w:w w:val="105"/>
          <w:sz w:val="13"/>
        </w:rPr>
        <w:t>(4),</w:t>
      </w:r>
      <w:r>
        <w:rPr>
          <w:spacing w:val="5"/>
          <w:w w:val="105"/>
          <w:sz w:val="13"/>
        </w:rPr>
        <w:t> </w:t>
      </w:r>
      <w:r>
        <w:rPr>
          <w:spacing w:val="2"/>
          <w:w w:val="105"/>
          <w:sz w:val="13"/>
        </w:rPr>
        <w:t>14(b).</w:t>
      </w:r>
    </w:p>
    <w:p>
      <w:pPr>
        <w:pStyle w:val="ListParagraph"/>
        <w:numPr>
          <w:ilvl w:val="0"/>
          <w:numId w:val="56"/>
        </w:numPr>
        <w:tabs>
          <w:tab w:pos="2380" w:val="left" w:leader="none"/>
          <w:tab w:pos="2382" w:val="left" w:leader="none"/>
        </w:tabs>
        <w:spacing w:line="240" w:lineRule="auto" w:before="2" w:after="0"/>
        <w:ind w:left="2381" w:right="0" w:hanging="794"/>
        <w:jc w:val="left"/>
        <w:rPr>
          <w:sz w:val="13"/>
        </w:rPr>
      </w:pPr>
      <w:r>
        <w:rPr>
          <w:w w:val="105"/>
          <w:sz w:val="13"/>
        </w:rPr>
        <w:t>Ibid</w:t>
      </w:r>
      <w:r>
        <w:rPr>
          <w:spacing w:val="4"/>
          <w:w w:val="105"/>
          <w:sz w:val="13"/>
        </w:rPr>
        <w:t> 75–6</w:t>
      </w:r>
      <w:r>
        <w:rPr>
          <w:spacing w:val="5"/>
          <w:w w:val="105"/>
          <w:sz w:val="13"/>
        </w:rPr>
        <w:t> </w:t>
      </w:r>
      <w:r>
        <w:rPr>
          <w:w w:val="105"/>
          <w:sz w:val="13"/>
        </w:rPr>
        <w:t>recommendation</w:t>
      </w:r>
      <w:r>
        <w:rPr>
          <w:spacing w:val="5"/>
          <w:w w:val="105"/>
          <w:sz w:val="13"/>
        </w:rPr>
        <w:t> </w:t>
      </w:r>
      <w:r>
        <w:rPr>
          <w:w w:val="105"/>
          <w:sz w:val="13"/>
        </w:rPr>
        <w:t>8,</w:t>
      </w:r>
      <w:r>
        <w:rPr>
          <w:spacing w:val="4"/>
          <w:w w:val="105"/>
          <w:sz w:val="13"/>
        </w:rPr>
        <w:t> </w:t>
      </w:r>
      <w:r>
        <w:rPr>
          <w:w w:val="105"/>
          <w:sz w:val="13"/>
        </w:rPr>
        <w:t>Draft</w:t>
      </w:r>
      <w:r>
        <w:rPr>
          <w:spacing w:val="5"/>
          <w:w w:val="105"/>
          <w:sz w:val="13"/>
        </w:rPr>
        <w:t> </w:t>
      </w:r>
      <w:r>
        <w:rPr>
          <w:w w:val="105"/>
          <w:sz w:val="13"/>
        </w:rPr>
        <w:t>Intestacy</w:t>
      </w:r>
      <w:r>
        <w:rPr>
          <w:spacing w:val="5"/>
          <w:w w:val="105"/>
          <w:sz w:val="13"/>
        </w:rPr>
        <w:t> </w:t>
      </w:r>
      <w:r>
        <w:rPr>
          <w:w w:val="105"/>
          <w:sz w:val="13"/>
        </w:rPr>
        <w:t>Bill</w:t>
      </w:r>
      <w:r>
        <w:rPr>
          <w:spacing w:val="5"/>
          <w:w w:val="105"/>
          <w:sz w:val="13"/>
        </w:rPr>
        <w:t> </w:t>
      </w:r>
      <w:r>
        <w:rPr>
          <w:w w:val="105"/>
          <w:sz w:val="13"/>
        </w:rPr>
        <w:t>2006</w:t>
      </w:r>
      <w:r>
        <w:rPr>
          <w:spacing w:val="4"/>
          <w:w w:val="105"/>
          <w:sz w:val="13"/>
        </w:rPr>
        <w:t> </w:t>
      </w:r>
      <w:r>
        <w:rPr>
          <w:w w:val="105"/>
          <w:sz w:val="13"/>
        </w:rPr>
        <w:t>cls</w:t>
      </w:r>
      <w:r>
        <w:rPr>
          <w:spacing w:val="5"/>
          <w:w w:val="105"/>
          <w:sz w:val="13"/>
        </w:rPr>
        <w:t> </w:t>
      </w:r>
      <w:r>
        <w:rPr>
          <w:spacing w:val="2"/>
          <w:w w:val="105"/>
          <w:sz w:val="13"/>
        </w:rPr>
        <w:t>14(c),</w:t>
      </w:r>
      <w:r>
        <w:rPr>
          <w:spacing w:val="5"/>
          <w:w w:val="105"/>
          <w:sz w:val="13"/>
        </w:rPr>
        <w:t> </w:t>
      </w:r>
      <w:r>
        <w:rPr>
          <w:spacing w:val="2"/>
          <w:w w:val="105"/>
          <w:sz w:val="13"/>
        </w:rPr>
        <w:t>28(2).</w:t>
      </w:r>
    </w:p>
    <w:p>
      <w:pPr>
        <w:spacing w:after="0" w:line="240" w:lineRule="auto"/>
        <w:jc w:val="left"/>
        <w:rPr>
          <w:sz w:val="13"/>
        </w:rPr>
        <w:sectPr>
          <w:pgSz w:w="11910" w:h="16840"/>
          <w:pgMar w:header="550" w:footer="0" w:top="1560" w:bottom="280" w:left="0" w:right="0"/>
        </w:sectPr>
      </w:pPr>
    </w:p>
    <w:p>
      <w:pPr>
        <w:pStyle w:val="BodyText"/>
        <w:rPr>
          <w:sz w:val="20"/>
        </w:rPr>
      </w:pPr>
    </w:p>
    <w:p>
      <w:pPr>
        <w:pStyle w:val="BodyText"/>
        <w:rPr>
          <w:sz w:val="19"/>
        </w:rPr>
      </w:pPr>
    </w:p>
    <w:p>
      <w:pPr>
        <w:pStyle w:val="ListParagraph"/>
        <w:numPr>
          <w:ilvl w:val="1"/>
          <w:numId w:val="22"/>
        </w:numPr>
        <w:tabs>
          <w:tab w:pos="2380" w:val="left" w:leader="none"/>
          <w:tab w:pos="2381" w:val="left" w:leader="none"/>
        </w:tabs>
        <w:spacing w:line="242" w:lineRule="auto" w:before="91" w:after="0"/>
        <w:ind w:left="2381" w:right="1933" w:hanging="794"/>
        <w:jc w:val="left"/>
        <w:rPr>
          <w:sz w:val="12"/>
        </w:rPr>
      </w:pPr>
      <w:r>
        <w:rPr>
          <w:w w:val="105"/>
          <w:sz w:val="21"/>
        </w:rPr>
        <w:t>It was the </w:t>
      </w:r>
      <w:r>
        <w:rPr>
          <w:spacing w:val="-3"/>
          <w:w w:val="105"/>
          <w:sz w:val="21"/>
        </w:rPr>
        <w:t>National </w:t>
      </w:r>
      <w:r>
        <w:rPr>
          <w:spacing w:val="-4"/>
          <w:w w:val="105"/>
          <w:sz w:val="21"/>
        </w:rPr>
        <w:t>Committee’s </w:t>
      </w:r>
      <w:r>
        <w:rPr>
          <w:w w:val="105"/>
          <w:sz w:val="21"/>
        </w:rPr>
        <w:t>view </w:t>
      </w:r>
      <w:r>
        <w:rPr>
          <w:spacing w:val="-3"/>
          <w:w w:val="105"/>
          <w:sz w:val="21"/>
        </w:rPr>
        <w:t>that </w:t>
      </w:r>
      <w:r>
        <w:rPr>
          <w:w w:val="105"/>
          <w:sz w:val="21"/>
        </w:rPr>
        <w:t>the statutory legacy should permit the deceased</w:t>
      </w:r>
      <w:r>
        <w:rPr>
          <w:spacing w:val="-6"/>
          <w:w w:val="105"/>
          <w:sz w:val="21"/>
        </w:rPr>
        <w:t> </w:t>
      </w:r>
      <w:r>
        <w:rPr>
          <w:spacing w:val="-3"/>
          <w:w w:val="105"/>
          <w:sz w:val="21"/>
        </w:rPr>
        <w:t>person’s</w:t>
      </w:r>
      <w:r>
        <w:rPr>
          <w:spacing w:val="-5"/>
          <w:w w:val="105"/>
          <w:sz w:val="21"/>
        </w:rPr>
        <w:t> </w:t>
      </w:r>
      <w:r>
        <w:rPr>
          <w:w w:val="105"/>
          <w:sz w:val="21"/>
        </w:rPr>
        <w:t>partner</w:t>
      </w:r>
      <w:r>
        <w:rPr>
          <w:spacing w:val="-5"/>
          <w:w w:val="105"/>
          <w:sz w:val="21"/>
        </w:rPr>
        <w:t> </w:t>
      </w:r>
      <w:r>
        <w:rPr>
          <w:spacing w:val="-3"/>
          <w:w w:val="105"/>
          <w:sz w:val="21"/>
        </w:rPr>
        <w:t>to</w:t>
      </w:r>
      <w:r>
        <w:rPr>
          <w:spacing w:val="-5"/>
          <w:w w:val="105"/>
          <w:sz w:val="21"/>
        </w:rPr>
        <w:t> </w:t>
      </w:r>
      <w:r>
        <w:rPr>
          <w:spacing w:val="-3"/>
          <w:w w:val="105"/>
          <w:sz w:val="21"/>
        </w:rPr>
        <w:t>continue</w:t>
      </w:r>
      <w:r>
        <w:rPr>
          <w:spacing w:val="-5"/>
          <w:w w:val="105"/>
          <w:sz w:val="21"/>
        </w:rPr>
        <w:t> </w:t>
      </w:r>
      <w:r>
        <w:rPr>
          <w:spacing w:val="-3"/>
          <w:w w:val="105"/>
          <w:sz w:val="21"/>
        </w:rPr>
        <w:t>living</w:t>
      </w:r>
      <w:r>
        <w:rPr>
          <w:spacing w:val="-5"/>
          <w:w w:val="105"/>
          <w:sz w:val="21"/>
        </w:rPr>
        <w:t> </w:t>
      </w:r>
      <w:r>
        <w:rPr>
          <w:w w:val="105"/>
          <w:sz w:val="21"/>
        </w:rPr>
        <w:t>in</w:t>
      </w:r>
      <w:r>
        <w:rPr>
          <w:spacing w:val="-6"/>
          <w:w w:val="105"/>
          <w:sz w:val="21"/>
        </w:rPr>
        <w:t> </w:t>
      </w:r>
      <w:r>
        <w:rPr>
          <w:w w:val="105"/>
          <w:sz w:val="21"/>
        </w:rPr>
        <w:t>the</w:t>
      </w:r>
      <w:r>
        <w:rPr>
          <w:spacing w:val="-5"/>
          <w:w w:val="105"/>
          <w:sz w:val="21"/>
        </w:rPr>
        <w:t> </w:t>
      </w:r>
      <w:r>
        <w:rPr>
          <w:spacing w:val="-3"/>
          <w:w w:val="105"/>
          <w:sz w:val="21"/>
        </w:rPr>
        <w:t>manner</w:t>
      </w:r>
      <w:r>
        <w:rPr>
          <w:spacing w:val="-5"/>
          <w:w w:val="105"/>
          <w:sz w:val="21"/>
        </w:rPr>
        <w:t> </w:t>
      </w:r>
      <w:r>
        <w:rPr>
          <w:spacing w:val="-3"/>
          <w:w w:val="105"/>
          <w:sz w:val="21"/>
        </w:rPr>
        <w:t>to</w:t>
      </w:r>
      <w:r>
        <w:rPr>
          <w:spacing w:val="-5"/>
          <w:w w:val="105"/>
          <w:sz w:val="21"/>
        </w:rPr>
        <w:t> </w:t>
      </w:r>
      <w:r>
        <w:rPr>
          <w:w w:val="105"/>
          <w:sz w:val="21"/>
        </w:rPr>
        <w:t>which</w:t>
      </w:r>
      <w:r>
        <w:rPr>
          <w:spacing w:val="-5"/>
          <w:w w:val="105"/>
          <w:sz w:val="21"/>
        </w:rPr>
        <w:t> </w:t>
      </w:r>
      <w:r>
        <w:rPr>
          <w:w w:val="105"/>
          <w:sz w:val="21"/>
        </w:rPr>
        <w:t>they</w:t>
      </w:r>
      <w:r>
        <w:rPr>
          <w:spacing w:val="-5"/>
          <w:w w:val="105"/>
          <w:sz w:val="21"/>
        </w:rPr>
        <w:t> </w:t>
      </w:r>
      <w:r>
        <w:rPr>
          <w:spacing w:val="-2"/>
          <w:w w:val="105"/>
          <w:sz w:val="21"/>
        </w:rPr>
        <w:t>had</w:t>
      </w:r>
      <w:r>
        <w:rPr>
          <w:spacing w:val="-6"/>
          <w:w w:val="105"/>
          <w:sz w:val="21"/>
        </w:rPr>
        <w:t> </w:t>
      </w:r>
      <w:r>
        <w:rPr>
          <w:w w:val="105"/>
          <w:sz w:val="21"/>
        </w:rPr>
        <w:t>become </w:t>
      </w:r>
      <w:r>
        <w:rPr>
          <w:spacing w:val="-3"/>
          <w:w w:val="105"/>
          <w:sz w:val="21"/>
        </w:rPr>
        <w:t>accustomed, </w:t>
      </w:r>
      <w:r>
        <w:rPr>
          <w:w w:val="105"/>
          <w:sz w:val="21"/>
        </w:rPr>
        <w:t>and permit them </w:t>
      </w:r>
      <w:r>
        <w:rPr>
          <w:spacing w:val="-3"/>
          <w:w w:val="105"/>
          <w:sz w:val="21"/>
        </w:rPr>
        <w:t>to </w:t>
      </w:r>
      <w:r>
        <w:rPr>
          <w:w w:val="105"/>
          <w:sz w:val="21"/>
        </w:rPr>
        <w:t>buy essential estate items.</w:t>
      </w:r>
      <w:r>
        <w:rPr>
          <w:w w:val="105"/>
          <w:position w:val="7"/>
          <w:sz w:val="12"/>
        </w:rPr>
        <w:t>84 </w:t>
      </w:r>
      <w:r>
        <w:rPr>
          <w:spacing w:val="-4"/>
          <w:w w:val="105"/>
          <w:sz w:val="21"/>
        </w:rPr>
        <w:t>Further, </w:t>
      </w:r>
      <w:r>
        <w:rPr>
          <w:w w:val="105"/>
          <w:sz w:val="21"/>
        </w:rPr>
        <w:t>the </w:t>
      </w:r>
      <w:r>
        <w:rPr>
          <w:spacing w:val="-3"/>
          <w:w w:val="105"/>
          <w:sz w:val="21"/>
        </w:rPr>
        <w:t>National Committee considered that </w:t>
      </w:r>
      <w:r>
        <w:rPr>
          <w:w w:val="105"/>
          <w:sz w:val="21"/>
        </w:rPr>
        <w:t>the one-third </w:t>
      </w:r>
      <w:r>
        <w:rPr>
          <w:spacing w:val="-3"/>
          <w:w w:val="105"/>
          <w:sz w:val="21"/>
        </w:rPr>
        <w:t>share </w:t>
      </w:r>
      <w:r>
        <w:rPr>
          <w:w w:val="105"/>
          <w:sz w:val="21"/>
        </w:rPr>
        <w:t>of the </w:t>
      </w:r>
      <w:r>
        <w:rPr>
          <w:spacing w:val="-4"/>
          <w:w w:val="105"/>
          <w:sz w:val="21"/>
        </w:rPr>
        <w:t>remainder, </w:t>
      </w:r>
      <w:r>
        <w:rPr>
          <w:w w:val="105"/>
          <w:sz w:val="21"/>
        </w:rPr>
        <w:t>which the deceased </w:t>
      </w:r>
      <w:r>
        <w:rPr>
          <w:spacing w:val="-3"/>
          <w:w w:val="105"/>
          <w:sz w:val="21"/>
        </w:rPr>
        <w:t>person’s </w:t>
      </w:r>
      <w:r>
        <w:rPr>
          <w:w w:val="105"/>
          <w:sz w:val="21"/>
        </w:rPr>
        <w:t>partner </w:t>
      </w:r>
      <w:r>
        <w:rPr>
          <w:spacing w:val="-3"/>
          <w:w w:val="105"/>
          <w:sz w:val="21"/>
        </w:rPr>
        <w:t>currently </w:t>
      </w:r>
      <w:r>
        <w:rPr>
          <w:w w:val="105"/>
          <w:sz w:val="21"/>
        </w:rPr>
        <w:t>receives in Victoria, is too</w:t>
      </w:r>
      <w:r>
        <w:rPr>
          <w:spacing w:val="24"/>
          <w:w w:val="105"/>
          <w:sz w:val="21"/>
        </w:rPr>
        <w:t> </w:t>
      </w:r>
      <w:r>
        <w:rPr>
          <w:spacing w:val="-3"/>
          <w:w w:val="105"/>
          <w:sz w:val="21"/>
        </w:rPr>
        <w:t>small.</w:t>
      </w:r>
      <w:r>
        <w:rPr>
          <w:spacing w:val="-3"/>
          <w:w w:val="105"/>
          <w:position w:val="7"/>
          <w:sz w:val="12"/>
        </w:rPr>
        <w:t>85</w:t>
      </w:r>
    </w:p>
    <w:p>
      <w:pPr>
        <w:pStyle w:val="ListParagraph"/>
        <w:numPr>
          <w:ilvl w:val="1"/>
          <w:numId w:val="22"/>
        </w:numPr>
        <w:tabs>
          <w:tab w:pos="2381" w:val="left" w:leader="none"/>
          <w:tab w:pos="2382" w:val="left" w:leader="none"/>
        </w:tabs>
        <w:spacing w:line="242" w:lineRule="auto" w:before="126" w:after="0"/>
        <w:ind w:left="2381" w:right="1957" w:hanging="794"/>
        <w:jc w:val="left"/>
        <w:rPr>
          <w:sz w:val="12"/>
        </w:rPr>
      </w:pPr>
      <w:r>
        <w:rPr>
          <w:w w:val="105"/>
          <w:sz w:val="21"/>
        </w:rPr>
        <w:t>The</w:t>
      </w:r>
      <w:r>
        <w:rPr>
          <w:spacing w:val="-6"/>
          <w:w w:val="105"/>
          <w:sz w:val="21"/>
        </w:rPr>
        <w:t> </w:t>
      </w:r>
      <w:r>
        <w:rPr>
          <w:spacing w:val="-4"/>
          <w:w w:val="105"/>
          <w:sz w:val="21"/>
        </w:rPr>
        <w:t>Commission’s</w:t>
      </w:r>
      <w:r>
        <w:rPr>
          <w:spacing w:val="-5"/>
          <w:w w:val="105"/>
          <w:sz w:val="21"/>
        </w:rPr>
        <w:t> </w:t>
      </w:r>
      <w:r>
        <w:rPr>
          <w:spacing w:val="-3"/>
          <w:w w:val="105"/>
          <w:sz w:val="21"/>
        </w:rPr>
        <w:t>consultation</w:t>
      </w:r>
      <w:r>
        <w:rPr>
          <w:spacing w:val="-5"/>
          <w:w w:val="105"/>
          <w:sz w:val="21"/>
        </w:rPr>
        <w:t> </w:t>
      </w:r>
      <w:r>
        <w:rPr>
          <w:w w:val="105"/>
          <w:sz w:val="21"/>
        </w:rPr>
        <w:t>paper</w:t>
      </w:r>
      <w:r>
        <w:rPr>
          <w:spacing w:val="-6"/>
          <w:w w:val="105"/>
          <w:sz w:val="21"/>
        </w:rPr>
        <w:t> </w:t>
      </w:r>
      <w:r>
        <w:rPr>
          <w:w w:val="105"/>
          <w:sz w:val="21"/>
        </w:rPr>
        <w:t>on</w:t>
      </w:r>
      <w:r>
        <w:rPr>
          <w:spacing w:val="-5"/>
          <w:w w:val="105"/>
          <w:sz w:val="21"/>
        </w:rPr>
        <w:t> </w:t>
      </w:r>
      <w:r>
        <w:rPr>
          <w:w w:val="105"/>
          <w:sz w:val="21"/>
        </w:rPr>
        <w:t>intestacy</w:t>
      </w:r>
      <w:r>
        <w:rPr>
          <w:spacing w:val="-5"/>
          <w:w w:val="105"/>
          <w:sz w:val="21"/>
        </w:rPr>
        <w:t> </w:t>
      </w:r>
      <w:r>
        <w:rPr>
          <w:spacing w:val="-3"/>
          <w:w w:val="105"/>
          <w:sz w:val="21"/>
        </w:rPr>
        <w:t>asked</w:t>
      </w:r>
      <w:r>
        <w:rPr>
          <w:spacing w:val="-6"/>
          <w:w w:val="105"/>
          <w:sz w:val="21"/>
        </w:rPr>
        <w:t> </w:t>
      </w:r>
      <w:r>
        <w:rPr>
          <w:spacing w:val="-4"/>
          <w:w w:val="105"/>
          <w:sz w:val="21"/>
        </w:rPr>
        <w:t>whether,</w:t>
      </w:r>
      <w:r>
        <w:rPr>
          <w:spacing w:val="-5"/>
          <w:w w:val="105"/>
          <w:sz w:val="21"/>
        </w:rPr>
        <w:t> </w:t>
      </w:r>
      <w:r>
        <w:rPr>
          <w:w w:val="105"/>
          <w:sz w:val="21"/>
        </w:rPr>
        <w:t>when</w:t>
      </w:r>
      <w:r>
        <w:rPr>
          <w:spacing w:val="-5"/>
          <w:w w:val="105"/>
          <w:sz w:val="21"/>
        </w:rPr>
        <w:t> </w:t>
      </w:r>
      <w:r>
        <w:rPr>
          <w:w w:val="105"/>
          <w:sz w:val="21"/>
        </w:rPr>
        <w:t>the</w:t>
      </w:r>
      <w:r>
        <w:rPr>
          <w:spacing w:val="-6"/>
          <w:w w:val="105"/>
          <w:sz w:val="21"/>
        </w:rPr>
        <w:t> </w:t>
      </w:r>
      <w:r>
        <w:rPr>
          <w:w w:val="105"/>
          <w:sz w:val="21"/>
        </w:rPr>
        <w:t>deceased person</w:t>
      </w:r>
      <w:r>
        <w:rPr>
          <w:spacing w:val="-9"/>
          <w:w w:val="105"/>
          <w:sz w:val="21"/>
        </w:rPr>
        <w:t> </w:t>
      </w:r>
      <w:r>
        <w:rPr>
          <w:w w:val="105"/>
          <w:sz w:val="21"/>
        </w:rPr>
        <w:t>is</w:t>
      </w:r>
      <w:r>
        <w:rPr>
          <w:spacing w:val="-9"/>
          <w:w w:val="105"/>
          <w:sz w:val="21"/>
        </w:rPr>
        <w:t> </w:t>
      </w:r>
      <w:r>
        <w:rPr>
          <w:w w:val="105"/>
          <w:sz w:val="21"/>
        </w:rPr>
        <w:t>survived</w:t>
      </w:r>
      <w:r>
        <w:rPr>
          <w:spacing w:val="-8"/>
          <w:w w:val="105"/>
          <w:sz w:val="21"/>
        </w:rPr>
        <w:t> </w:t>
      </w:r>
      <w:r>
        <w:rPr>
          <w:w w:val="105"/>
          <w:sz w:val="21"/>
        </w:rPr>
        <w:t>by</w:t>
      </w:r>
      <w:r>
        <w:rPr>
          <w:spacing w:val="-9"/>
          <w:w w:val="105"/>
          <w:sz w:val="21"/>
        </w:rPr>
        <w:t> </w:t>
      </w:r>
      <w:r>
        <w:rPr>
          <w:w w:val="105"/>
          <w:sz w:val="21"/>
        </w:rPr>
        <w:t>both</w:t>
      </w:r>
      <w:r>
        <w:rPr>
          <w:spacing w:val="-9"/>
          <w:w w:val="105"/>
          <w:sz w:val="21"/>
        </w:rPr>
        <w:t> </w:t>
      </w:r>
      <w:r>
        <w:rPr>
          <w:w w:val="105"/>
          <w:sz w:val="21"/>
        </w:rPr>
        <w:t>a</w:t>
      </w:r>
      <w:r>
        <w:rPr>
          <w:spacing w:val="-8"/>
          <w:w w:val="105"/>
          <w:sz w:val="21"/>
        </w:rPr>
        <w:t> </w:t>
      </w:r>
      <w:r>
        <w:rPr>
          <w:w w:val="105"/>
          <w:sz w:val="21"/>
        </w:rPr>
        <w:t>partner</w:t>
      </w:r>
      <w:r>
        <w:rPr>
          <w:spacing w:val="-9"/>
          <w:w w:val="105"/>
          <w:sz w:val="21"/>
        </w:rPr>
        <w:t> </w:t>
      </w:r>
      <w:r>
        <w:rPr>
          <w:w w:val="105"/>
          <w:sz w:val="21"/>
        </w:rPr>
        <w:t>and</w:t>
      </w:r>
      <w:r>
        <w:rPr>
          <w:spacing w:val="-9"/>
          <w:w w:val="105"/>
          <w:sz w:val="21"/>
        </w:rPr>
        <w:t> </w:t>
      </w:r>
      <w:r>
        <w:rPr>
          <w:spacing w:val="-3"/>
          <w:w w:val="105"/>
          <w:sz w:val="21"/>
        </w:rPr>
        <w:t>children</w:t>
      </w:r>
      <w:r>
        <w:rPr>
          <w:spacing w:val="-8"/>
          <w:w w:val="105"/>
          <w:sz w:val="21"/>
        </w:rPr>
        <w:t> </w:t>
      </w:r>
      <w:r>
        <w:rPr>
          <w:w w:val="105"/>
          <w:sz w:val="21"/>
        </w:rPr>
        <w:t>or</w:t>
      </w:r>
      <w:r>
        <w:rPr>
          <w:spacing w:val="-9"/>
          <w:w w:val="105"/>
          <w:sz w:val="21"/>
        </w:rPr>
        <w:t> </w:t>
      </w:r>
      <w:r>
        <w:rPr>
          <w:w w:val="105"/>
          <w:sz w:val="21"/>
        </w:rPr>
        <w:t>other</w:t>
      </w:r>
      <w:r>
        <w:rPr>
          <w:spacing w:val="-9"/>
          <w:w w:val="105"/>
          <w:sz w:val="21"/>
        </w:rPr>
        <w:t> </w:t>
      </w:r>
      <w:r>
        <w:rPr>
          <w:w w:val="105"/>
          <w:sz w:val="21"/>
        </w:rPr>
        <w:t>issue</w:t>
      </w:r>
      <w:r>
        <w:rPr>
          <w:spacing w:val="-8"/>
          <w:w w:val="105"/>
          <w:sz w:val="21"/>
        </w:rPr>
        <w:t> </w:t>
      </w:r>
      <w:r>
        <w:rPr>
          <w:w w:val="105"/>
          <w:sz w:val="21"/>
        </w:rPr>
        <w:t>who</w:t>
      </w:r>
      <w:r>
        <w:rPr>
          <w:spacing w:val="-9"/>
          <w:w w:val="105"/>
          <w:sz w:val="21"/>
        </w:rPr>
        <w:t> </w:t>
      </w:r>
      <w:r>
        <w:rPr>
          <w:spacing w:val="-3"/>
          <w:w w:val="105"/>
          <w:sz w:val="21"/>
        </w:rPr>
        <w:t>are</w:t>
      </w:r>
      <w:r>
        <w:rPr>
          <w:spacing w:val="-8"/>
          <w:w w:val="105"/>
          <w:sz w:val="21"/>
        </w:rPr>
        <w:t> </w:t>
      </w:r>
      <w:r>
        <w:rPr>
          <w:w w:val="105"/>
          <w:sz w:val="21"/>
        </w:rPr>
        <w:t>also</w:t>
      </w:r>
      <w:r>
        <w:rPr>
          <w:spacing w:val="-9"/>
          <w:w w:val="105"/>
          <w:sz w:val="21"/>
        </w:rPr>
        <w:t> </w:t>
      </w:r>
      <w:r>
        <w:rPr>
          <w:w w:val="105"/>
          <w:sz w:val="21"/>
        </w:rPr>
        <w:t>entitled </w:t>
      </w:r>
      <w:r>
        <w:rPr>
          <w:spacing w:val="-3"/>
          <w:w w:val="105"/>
          <w:sz w:val="21"/>
        </w:rPr>
        <w:t>to </w:t>
      </w:r>
      <w:r>
        <w:rPr>
          <w:w w:val="105"/>
          <w:sz w:val="21"/>
        </w:rPr>
        <w:t>a </w:t>
      </w:r>
      <w:r>
        <w:rPr>
          <w:spacing w:val="-3"/>
          <w:w w:val="105"/>
          <w:sz w:val="21"/>
        </w:rPr>
        <w:t>share </w:t>
      </w:r>
      <w:r>
        <w:rPr>
          <w:w w:val="105"/>
          <w:sz w:val="21"/>
        </w:rPr>
        <w:t>on </w:t>
      </w:r>
      <w:r>
        <w:rPr>
          <w:spacing w:val="-3"/>
          <w:w w:val="105"/>
          <w:sz w:val="21"/>
        </w:rPr>
        <w:t>intestacy, </w:t>
      </w:r>
      <w:r>
        <w:rPr>
          <w:w w:val="105"/>
          <w:sz w:val="21"/>
        </w:rPr>
        <w:t>the deceased </w:t>
      </w:r>
      <w:r>
        <w:rPr>
          <w:spacing w:val="-3"/>
          <w:w w:val="105"/>
          <w:sz w:val="21"/>
        </w:rPr>
        <w:t>person’s </w:t>
      </w:r>
      <w:r>
        <w:rPr>
          <w:w w:val="105"/>
          <w:sz w:val="21"/>
        </w:rPr>
        <w:t>partner’s statutory legacy and </w:t>
      </w:r>
      <w:r>
        <w:rPr>
          <w:spacing w:val="-3"/>
          <w:w w:val="105"/>
          <w:sz w:val="21"/>
        </w:rPr>
        <w:t>share </w:t>
      </w:r>
      <w:r>
        <w:rPr>
          <w:w w:val="105"/>
          <w:sz w:val="21"/>
        </w:rPr>
        <w:t>of the </w:t>
      </w:r>
      <w:r>
        <w:rPr>
          <w:spacing w:val="-3"/>
          <w:w w:val="105"/>
          <w:sz w:val="21"/>
        </w:rPr>
        <w:t>remainder </w:t>
      </w:r>
      <w:r>
        <w:rPr>
          <w:w w:val="105"/>
          <w:sz w:val="21"/>
        </w:rPr>
        <w:t>should be </w:t>
      </w:r>
      <w:r>
        <w:rPr>
          <w:spacing w:val="-3"/>
          <w:w w:val="105"/>
          <w:sz w:val="21"/>
        </w:rPr>
        <w:t>increased </w:t>
      </w:r>
      <w:r>
        <w:rPr>
          <w:w w:val="105"/>
          <w:sz w:val="21"/>
        </w:rPr>
        <w:t>as recommended by the </w:t>
      </w:r>
      <w:r>
        <w:rPr>
          <w:spacing w:val="-3"/>
          <w:w w:val="105"/>
          <w:sz w:val="21"/>
        </w:rPr>
        <w:t>National</w:t>
      </w:r>
      <w:r>
        <w:rPr>
          <w:spacing w:val="-37"/>
          <w:w w:val="105"/>
          <w:sz w:val="21"/>
        </w:rPr>
        <w:t> </w:t>
      </w:r>
      <w:r>
        <w:rPr>
          <w:w w:val="105"/>
          <w:sz w:val="21"/>
        </w:rPr>
        <w:t>Committee.</w:t>
      </w:r>
      <w:r>
        <w:rPr>
          <w:w w:val="105"/>
          <w:position w:val="7"/>
          <w:sz w:val="12"/>
        </w:rPr>
        <w:t>86</w:t>
      </w:r>
    </w:p>
    <w:p>
      <w:pPr>
        <w:pStyle w:val="ListParagraph"/>
        <w:numPr>
          <w:ilvl w:val="1"/>
          <w:numId w:val="22"/>
        </w:numPr>
        <w:tabs>
          <w:tab w:pos="2380" w:val="left" w:leader="none"/>
          <w:tab w:pos="2381" w:val="left" w:leader="none"/>
        </w:tabs>
        <w:spacing w:line="240" w:lineRule="auto" w:before="124" w:after="0"/>
        <w:ind w:left="2380" w:right="0" w:hanging="793"/>
        <w:jc w:val="left"/>
        <w:rPr>
          <w:sz w:val="21"/>
        </w:rPr>
      </w:pPr>
      <w:r>
        <w:rPr>
          <w:w w:val="105"/>
          <w:sz w:val="21"/>
        </w:rPr>
        <w:t>Both </w:t>
      </w:r>
      <w:r>
        <w:rPr>
          <w:spacing w:val="-5"/>
          <w:w w:val="105"/>
          <w:sz w:val="21"/>
        </w:rPr>
        <w:t>Tasmania </w:t>
      </w:r>
      <w:r>
        <w:rPr>
          <w:w w:val="105"/>
          <w:sz w:val="21"/>
        </w:rPr>
        <w:t>and New South </w:t>
      </w:r>
      <w:r>
        <w:rPr>
          <w:spacing w:val="-3"/>
          <w:w w:val="105"/>
          <w:sz w:val="21"/>
        </w:rPr>
        <w:t>Wales have increased </w:t>
      </w:r>
      <w:r>
        <w:rPr>
          <w:w w:val="105"/>
          <w:sz w:val="21"/>
        </w:rPr>
        <w:t>the partner’s statutory legacy</w:t>
      </w:r>
      <w:r>
        <w:rPr>
          <w:spacing w:val="40"/>
          <w:w w:val="105"/>
          <w:sz w:val="21"/>
        </w:rPr>
        <w:t> </w:t>
      </w:r>
      <w:r>
        <w:rPr>
          <w:spacing w:val="-3"/>
          <w:w w:val="105"/>
          <w:sz w:val="21"/>
        </w:rPr>
        <w:t>to</w:t>
      </w:r>
    </w:p>
    <w:p>
      <w:pPr>
        <w:pStyle w:val="BodyText"/>
        <w:spacing w:line="242" w:lineRule="auto" w:before="4"/>
        <w:ind w:left="2381" w:right="1619" w:hanging="1"/>
      </w:pPr>
      <w:r>
        <w:rPr>
          <w:spacing w:val="-3"/>
          <w:w w:val="105"/>
        </w:rPr>
        <w:t>$350,000, </w:t>
      </w:r>
      <w:r>
        <w:rPr>
          <w:w w:val="105"/>
        </w:rPr>
        <w:t>adjusted </w:t>
      </w:r>
      <w:r>
        <w:rPr>
          <w:spacing w:val="-3"/>
          <w:w w:val="105"/>
        </w:rPr>
        <w:t>to </w:t>
      </w:r>
      <w:r>
        <w:rPr>
          <w:w w:val="105"/>
        </w:rPr>
        <w:t>reflect </w:t>
      </w:r>
      <w:r>
        <w:rPr>
          <w:spacing w:val="-3"/>
          <w:w w:val="105"/>
        </w:rPr>
        <w:t>changes </w:t>
      </w:r>
      <w:r>
        <w:rPr>
          <w:w w:val="105"/>
        </w:rPr>
        <w:t>in the </w:t>
      </w:r>
      <w:r>
        <w:rPr>
          <w:spacing w:val="-3"/>
          <w:w w:val="105"/>
        </w:rPr>
        <w:t>CPI </w:t>
      </w:r>
      <w:r>
        <w:rPr>
          <w:w w:val="105"/>
        </w:rPr>
        <w:t>by application of a </w:t>
      </w:r>
      <w:r>
        <w:rPr>
          <w:spacing w:val="-3"/>
          <w:w w:val="105"/>
        </w:rPr>
        <w:t>formula.</w:t>
      </w:r>
      <w:r>
        <w:rPr>
          <w:spacing w:val="-3"/>
          <w:w w:val="105"/>
          <w:position w:val="7"/>
          <w:sz w:val="12"/>
        </w:rPr>
        <w:t>87 </w:t>
      </w:r>
      <w:r>
        <w:rPr>
          <w:spacing w:val="-4"/>
          <w:w w:val="105"/>
        </w:rPr>
        <w:t>However, </w:t>
      </w:r>
      <w:r>
        <w:rPr>
          <w:w w:val="105"/>
        </w:rPr>
        <w:t>the New South </w:t>
      </w:r>
      <w:r>
        <w:rPr>
          <w:spacing w:val="-3"/>
          <w:w w:val="105"/>
        </w:rPr>
        <w:t>Wales formula takes </w:t>
      </w:r>
      <w:r>
        <w:rPr>
          <w:spacing w:val="-4"/>
          <w:w w:val="105"/>
        </w:rPr>
        <w:t>into </w:t>
      </w:r>
      <w:r>
        <w:rPr>
          <w:spacing w:val="-3"/>
          <w:w w:val="105"/>
        </w:rPr>
        <w:t>account changes </w:t>
      </w:r>
      <w:r>
        <w:rPr>
          <w:w w:val="105"/>
        </w:rPr>
        <w:t>between the</w:t>
      </w:r>
      <w:r>
        <w:rPr>
          <w:spacing w:val="35"/>
          <w:w w:val="105"/>
        </w:rPr>
        <w:t> </w:t>
      </w:r>
      <w:r>
        <w:rPr>
          <w:w w:val="105"/>
        </w:rPr>
        <w:t>December</w:t>
      </w:r>
    </w:p>
    <w:p>
      <w:pPr>
        <w:pStyle w:val="BodyText"/>
        <w:spacing w:line="242" w:lineRule="auto" w:before="2"/>
        <w:ind w:left="2381" w:right="1619"/>
      </w:pPr>
      <w:r>
        <w:rPr>
          <w:w w:val="105"/>
        </w:rPr>
        <w:t>2005</w:t>
      </w:r>
      <w:r>
        <w:rPr>
          <w:spacing w:val="-6"/>
          <w:w w:val="105"/>
        </w:rPr>
        <w:t> </w:t>
      </w:r>
      <w:r>
        <w:rPr>
          <w:spacing w:val="-3"/>
          <w:w w:val="105"/>
        </w:rPr>
        <w:t>CPI</w:t>
      </w:r>
      <w:r>
        <w:rPr>
          <w:spacing w:val="-6"/>
          <w:w w:val="105"/>
        </w:rPr>
        <w:t> </w:t>
      </w:r>
      <w:r>
        <w:rPr>
          <w:w w:val="105"/>
        </w:rPr>
        <w:t>number</w:t>
      </w:r>
      <w:r>
        <w:rPr>
          <w:spacing w:val="-5"/>
          <w:w w:val="105"/>
        </w:rPr>
        <w:t> </w:t>
      </w:r>
      <w:r>
        <w:rPr>
          <w:w w:val="105"/>
        </w:rPr>
        <w:t>and</w:t>
      </w:r>
      <w:r>
        <w:rPr>
          <w:spacing w:val="-6"/>
          <w:w w:val="105"/>
        </w:rPr>
        <w:t> </w:t>
      </w:r>
      <w:r>
        <w:rPr>
          <w:w w:val="105"/>
        </w:rPr>
        <w:t>the</w:t>
      </w:r>
      <w:r>
        <w:rPr>
          <w:spacing w:val="-5"/>
          <w:w w:val="105"/>
        </w:rPr>
        <w:t> </w:t>
      </w:r>
      <w:r>
        <w:rPr>
          <w:spacing w:val="-3"/>
          <w:w w:val="105"/>
        </w:rPr>
        <w:t>CPI</w:t>
      </w:r>
      <w:r>
        <w:rPr>
          <w:spacing w:val="-6"/>
          <w:w w:val="105"/>
        </w:rPr>
        <w:t> </w:t>
      </w:r>
      <w:r>
        <w:rPr>
          <w:w w:val="105"/>
        </w:rPr>
        <w:t>number</w:t>
      </w:r>
      <w:r>
        <w:rPr>
          <w:spacing w:val="-5"/>
          <w:w w:val="105"/>
        </w:rPr>
        <w:t> </w:t>
      </w:r>
      <w:r>
        <w:rPr>
          <w:spacing w:val="-3"/>
          <w:w w:val="105"/>
        </w:rPr>
        <w:t>for</w:t>
      </w:r>
      <w:r>
        <w:rPr>
          <w:spacing w:val="-6"/>
          <w:w w:val="105"/>
        </w:rPr>
        <w:t> </w:t>
      </w:r>
      <w:r>
        <w:rPr>
          <w:w w:val="105"/>
        </w:rPr>
        <w:t>the</w:t>
      </w:r>
      <w:r>
        <w:rPr>
          <w:spacing w:val="-5"/>
          <w:w w:val="105"/>
        </w:rPr>
        <w:t> </w:t>
      </w:r>
      <w:r>
        <w:rPr>
          <w:w w:val="105"/>
        </w:rPr>
        <w:t>quarter</w:t>
      </w:r>
      <w:r>
        <w:rPr>
          <w:spacing w:val="-6"/>
          <w:w w:val="105"/>
        </w:rPr>
        <w:t> </w:t>
      </w:r>
      <w:r>
        <w:rPr>
          <w:spacing w:val="-3"/>
          <w:w w:val="105"/>
        </w:rPr>
        <w:t>immediately</w:t>
      </w:r>
      <w:r>
        <w:rPr>
          <w:spacing w:val="-5"/>
          <w:w w:val="105"/>
        </w:rPr>
        <w:t> </w:t>
      </w:r>
      <w:r>
        <w:rPr>
          <w:spacing w:val="-3"/>
          <w:w w:val="105"/>
        </w:rPr>
        <w:t>before</w:t>
      </w:r>
      <w:r>
        <w:rPr>
          <w:spacing w:val="-6"/>
          <w:w w:val="105"/>
        </w:rPr>
        <w:t> </w:t>
      </w:r>
      <w:r>
        <w:rPr>
          <w:w w:val="105"/>
        </w:rPr>
        <w:t>the</w:t>
      </w:r>
      <w:r>
        <w:rPr>
          <w:spacing w:val="-5"/>
          <w:w w:val="105"/>
        </w:rPr>
        <w:t> </w:t>
      </w:r>
      <w:r>
        <w:rPr>
          <w:w w:val="105"/>
        </w:rPr>
        <w:t>deceased </w:t>
      </w:r>
      <w:r>
        <w:rPr>
          <w:spacing w:val="-3"/>
          <w:w w:val="105"/>
        </w:rPr>
        <w:t>person’s death, </w:t>
      </w:r>
      <w:r>
        <w:rPr>
          <w:w w:val="105"/>
        </w:rPr>
        <w:t>while the </w:t>
      </w:r>
      <w:r>
        <w:rPr>
          <w:spacing w:val="-4"/>
          <w:w w:val="105"/>
        </w:rPr>
        <w:t>Tasmanian </w:t>
      </w:r>
      <w:r>
        <w:rPr>
          <w:spacing w:val="-3"/>
          <w:w w:val="105"/>
        </w:rPr>
        <w:t>formula takes </w:t>
      </w:r>
      <w:r>
        <w:rPr>
          <w:spacing w:val="-4"/>
          <w:w w:val="105"/>
        </w:rPr>
        <w:t>into </w:t>
      </w:r>
      <w:r>
        <w:rPr>
          <w:spacing w:val="-3"/>
          <w:w w:val="105"/>
        </w:rPr>
        <w:t>account changes</w:t>
      </w:r>
      <w:r>
        <w:rPr>
          <w:spacing w:val="42"/>
          <w:w w:val="105"/>
        </w:rPr>
        <w:t> </w:t>
      </w:r>
      <w:r>
        <w:rPr>
          <w:w w:val="105"/>
        </w:rPr>
        <w:t>between</w:t>
      </w:r>
    </w:p>
    <w:p>
      <w:pPr>
        <w:pStyle w:val="BodyText"/>
        <w:spacing w:line="242" w:lineRule="auto" w:before="2"/>
        <w:ind w:left="2381" w:right="1898"/>
        <w:rPr>
          <w:sz w:val="12"/>
        </w:rPr>
      </w:pPr>
      <w:r>
        <w:rPr>
          <w:w w:val="105"/>
        </w:rPr>
        <w:t>the December 2009 </w:t>
      </w:r>
      <w:r>
        <w:rPr>
          <w:spacing w:val="-3"/>
          <w:w w:val="105"/>
        </w:rPr>
        <w:t>CPI </w:t>
      </w:r>
      <w:r>
        <w:rPr>
          <w:w w:val="105"/>
        </w:rPr>
        <w:t>quarter and the </w:t>
      </w:r>
      <w:r>
        <w:rPr>
          <w:spacing w:val="-3"/>
          <w:w w:val="105"/>
        </w:rPr>
        <w:t>CPI </w:t>
      </w:r>
      <w:r>
        <w:rPr>
          <w:w w:val="105"/>
        </w:rPr>
        <w:t>quarter </w:t>
      </w:r>
      <w:r>
        <w:rPr>
          <w:spacing w:val="-3"/>
          <w:w w:val="105"/>
        </w:rPr>
        <w:t>immediately before </w:t>
      </w:r>
      <w:r>
        <w:rPr>
          <w:w w:val="105"/>
        </w:rPr>
        <w:t>the deceased </w:t>
      </w:r>
      <w:r>
        <w:rPr>
          <w:spacing w:val="-3"/>
          <w:w w:val="105"/>
        </w:rPr>
        <w:t>person’s </w:t>
      </w:r>
      <w:r>
        <w:rPr>
          <w:w w:val="105"/>
        </w:rPr>
        <w:t>death.</w:t>
      </w:r>
      <w:r>
        <w:rPr>
          <w:w w:val="105"/>
          <w:position w:val="7"/>
          <w:sz w:val="12"/>
        </w:rPr>
        <w:t>88 </w:t>
      </w:r>
      <w:r>
        <w:rPr>
          <w:w w:val="105"/>
        </w:rPr>
        <w:t>The effect of this is </w:t>
      </w:r>
      <w:r>
        <w:rPr>
          <w:spacing w:val="-3"/>
          <w:w w:val="105"/>
        </w:rPr>
        <w:t>that </w:t>
      </w:r>
      <w:r>
        <w:rPr>
          <w:w w:val="105"/>
        </w:rPr>
        <w:t>the statutory legacy in New South </w:t>
      </w:r>
      <w:r>
        <w:rPr>
          <w:spacing w:val="-3"/>
          <w:w w:val="105"/>
        </w:rPr>
        <w:t>Wales </w:t>
      </w:r>
      <w:r>
        <w:rPr>
          <w:w w:val="105"/>
        </w:rPr>
        <w:t>is now </w:t>
      </w:r>
      <w:r>
        <w:rPr>
          <w:spacing w:val="-4"/>
          <w:w w:val="105"/>
        </w:rPr>
        <w:t>$427,684.95,</w:t>
      </w:r>
      <w:r>
        <w:rPr>
          <w:spacing w:val="-4"/>
          <w:w w:val="105"/>
          <w:position w:val="7"/>
          <w:sz w:val="12"/>
        </w:rPr>
        <w:t>89 </w:t>
      </w:r>
      <w:r>
        <w:rPr>
          <w:w w:val="105"/>
        </w:rPr>
        <w:t>while in </w:t>
      </w:r>
      <w:r>
        <w:rPr>
          <w:spacing w:val="-5"/>
          <w:w w:val="105"/>
        </w:rPr>
        <w:t>Tasmania </w:t>
      </w:r>
      <w:r>
        <w:rPr>
          <w:w w:val="105"/>
        </w:rPr>
        <w:t>it is only $380,063.60.</w:t>
      </w:r>
      <w:r>
        <w:rPr>
          <w:w w:val="105"/>
          <w:position w:val="7"/>
          <w:sz w:val="12"/>
        </w:rPr>
        <w:t>90</w:t>
      </w:r>
    </w:p>
    <w:p>
      <w:pPr>
        <w:pStyle w:val="ListParagraph"/>
        <w:numPr>
          <w:ilvl w:val="1"/>
          <w:numId w:val="22"/>
        </w:numPr>
        <w:tabs>
          <w:tab w:pos="2381" w:val="left" w:leader="none"/>
          <w:tab w:pos="2382" w:val="left" w:leader="none"/>
        </w:tabs>
        <w:spacing w:line="242" w:lineRule="auto" w:before="123" w:after="0"/>
        <w:ind w:left="2381" w:right="2377" w:hanging="794"/>
        <w:jc w:val="left"/>
        <w:rPr>
          <w:sz w:val="12"/>
        </w:rPr>
      </w:pPr>
      <w:r>
        <w:rPr>
          <w:sz w:val="21"/>
        </w:rPr>
        <w:t>The </w:t>
      </w:r>
      <w:r>
        <w:rPr>
          <w:spacing w:val="-3"/>
          <w:sz w:val="21"/>
        </w:rPr>
        <w:t>CPI </w:t>
      </w:r>
      <w:r>
        <w:rPr>
          <w:sz w:val="21"/>
        </w:rPr>
        <w:t>number used in both New South </w:t>
      </w:r>
      <w:r>
        <w:rPr>
          <w:spacing w:val="-3"/>
          <w:sz w:val="21"/>
        </w:rPr>
        <w:t>Wales </w:t>
      </w:r>
      <w:r>
        <w:rPr>
          <w:sz w:val="21"/>
        </w:rPr>
        <w:t>and </w:t>
      </w:r>
      <w:r>
        <w:rPr>
          <w:spacing w:val="-5"/>
          <w:sz w:val="21"/>
        </w:rPr>
        <w:t>Tasmania </w:t>
      </w:r>
      <w:r>
        <w:rPr>
          <w:sz w:val="21"/>
        </w:rPr>
        <w:t>is the </w:t>
      </w:r>
      <w:r>
        <w:rPr>
          <w:spacing w:val="-6"/>
          <w:sz w:val="21"/>
        </w:rPr>
        <w:t>‘All </w:t>
      </w:r>
      <w:r>
        <w:rPr>
          <w:spacing w:val="-3"/>
          <w:sz w:val="21"/>
        </w:rPr>
        <w:t>Groups </w:t>
      </w:r>
      <w:r>
        <w:rPr>
          <w:spacing w:val="-4"/>
          <w:sz w:val="21"/>
        </w:rPr>
        <w:t>Consumer </w:t>
      </w:r>
      <w:r>
        <w:rPr>
          <w:sz w:val="21"/>
        </w:rPr>
        <w:t>Price Index </w:t>
      </w:r>
      <w:r>
        <w:rPr>
          <w:spacing w:val="-4"/>
          <w:sz w:val="21"/>
        </w:rPr>
        <w:t>number, </w:t>
      </w:r>
      <w:r>
        <w:rPr>
          <w:sz w:val="21"/>
        </w:rPr>
        <w:t>being the </w:t>
      </w:r>
      <w:r>
        <w:rPr>
          <w:spacing w:val="-3"/>
          <w:sz w:val="21"/>
        </w:rPr>
        <w:t>weighted average </w:t>
      </w:r>
      <w:r>
        <w:rPr>
          <w:sz w:val="21"/>
        </w:rPr>
        <w:t>of the 8 capital cities, </w:t>
      </w:r>
      <w:r>
        <w:rPr>
          <w:spacing w:val="-3"/>
          <w:sz w:val="21"/>
        </w:rPr>
        <w:t>published </w:t>
      </w:r>
      <w:r>
        <w:rPr>
          <w:sz w:val="21"/>
        </w:rPr>
        <w:t>by the </w:t>
      </w:r>
      <w:r>
        <w:rPr>
          <w:spacing w:val="-3"/>
          <w:sz w:val="21"/>
        </w:rPr>
        <w:t>Australian Statistician </w:t>
      </w:r>
      <w:r>
        <w:rPr>
          <w:sz w:val="21"/>
        </w:rPr>
        <w:t>in respect of </w:t>
      </w:r>
      <w:r>
        <w:rPr>
          <w:spacing w:val="-3"/>
          <w:sz w:val="21"/>
        </w:rPr>
        <w:t>that</w:t>
      </w:r>
      <w:r>
        <w:rPr>
          <w:spacing w:val="-6"/>
          <w:sz w:val="21"/>
        </w:rPr>
        <w:t> </w:t>
      </w:r>
      <w:r>
        <w:rPr>
          <w:spacing w:val="-5"/>
          <w:sz w:val="21"/>
        </w:rPr>
        <w:t>quarter.’</w:t>
      </w:r>
      <w:r>
        <w:rPr>
          <w:spacing w:val="-5"/>
          <w:position w:val="7"/>
          <w:sz w:val="12"/>
        </w:rPr>
        <w:t>91</w:t>
      </w:r>
    </w:p>
    <w:p>
      <w:pPr>
        <w:pStyle w:val="ListParagraph"/>
        <w:numPr>
          <w:ilvl w:val="1"/>
          <w:numId w:val="22"/>
        </w:numPr>
        <w:tabs>
          <w:tab w:pos="2381" w:val="left" w:leader="none"/>
          <w:tab w:pos="2382" w:val="left" w:leader="none"/>
        </w:tabs>
        <w:spacing w:line="242" w:lineRule="auto" w:before="123" w:after="0"/>
        <w:ind w:left="2381" w:right="1662" w:hanging="794"/>
        <w:jc w:val="left"/>
        <w:rPr>
          <w:sz w:val="21"/>
        </w:rPr>
      </w:pPr>
      <w:r>
        <w:rPr>
          <w:w w:val="105"/>
          <w:sz w:val="21"/>
        </w:rPr>
        <w:t>Under</w:t>
      </w:r>
      <w:r>
        <w:rPr>
          <w:spacing w:val="-7"/>
          <w:w w:val="105"/>
          <w:sz w:val="21"/>
        </w:rPr>
        <w:t> </w:t>
      </w:r>
      <w:r>
        <w:rPr>
          <w:w w:val="105"/>
          <w:sz w:val="21"/>
        </w:rPr>
        <w:t>the</w:t>
      </w:r>
      <w:r>
        <w:rPr>
          <w:spacing w:val="-7"/>
          <w:w w:val="105"/>
          <w:sz w:val="21"/>
        </w:rPr>
        <w:t> </w:t>
      </w:r>
      <w:r>
        <w:rPr>
          <w:spacing w:val="-3"/>
          <w:w w:val="105"/>
          <w:sz w:val="21"/>
        </w:rPr>
        <w:t>National</w:t>
      </w:r>
      <w:r>
        <w:rPr>
          <w:spacing w:val="-6"/>
          <w:w w:val="105"/>
          <w:sz w:val="21"/>
        </w:rPr>
        <w:t> </w:t>
      </w:r>
      <w:r>
        <w:rPr>
          <w:spacing w:val="-4"/>
          <w:w w:val="105"/>
          <w:sz w:val="21"/>
        </w:rPr>
        <w:t>Committee’s</w:t>
      </w:r>
      <w:r>
        <w:rPr>
          <w:spacing w:val="-7"/>
          <w:w w:val="105"/>
          <w:sz w:val="21"/>
        </w:rPr>
        <w:t> </w:t>
      </w:r>
      <w:r>
        <w:rPr>
          <w:spacing w:val="-3"/>
          <w:w w:val="105"/>
          <w:sz w:val="21"/>
        </w:rPr>
        <w:t>recommendations,</w:t>
      </w:r>
      <w:r>
        <w:rPr>
          <w:spacing w:val="-6"/>
          <w:w w:val="105"/>
          <w:sz w:val="21"/>
        </w:rPr>
        <w:t> </w:t>
      </w:r>
      <w:r>
        <w:rPr>
          <w:w w:val="105"/>
          <w:sz w:val="21"/>
        </w:rPr>
        <w:t>the</w:t>
      </w:r>
      <w:r>
        <w:rPr>
          <w:spacing w:val="-7"/>
          <w:w w:val="105"/>
          <w:sz w:val="21"/>
        </w:rPr>
        <w:t> </w:t>
      </w:r>
      <w:r>
        <w:rPr>
          <w:w w:val="105"/>
          <w:sz w:val="21"/>
        </w:rPr>
        <w:t>deceased</w:t>
      </w:r>
      <w:r>
        <w:rPr>
          <w:spacing w:val="-7"/>
          <w:w w:val="105"/>
          <w:sz w:val="21"/>
        </w:rPr>
        <w:t> </w:t>
      </w:r>
      <w:r>
        <w:rPr>
          <w:spacing w:val="-3"/>
          <w:w w:val="105"/>
          <w:sz w:val="21"/>
        </w:rPr>
        <w:t>person’s</w:t>
      </w:r>
      <w:r>
        <w:rPr>
          <w:spacing w:val="-6"/>
          <w:w w:val="105"/>
          <w:sz w:val="21"/>
        </w:rPr>
        <w:t> </w:t>
      </w:r>
      <w:r>
        <w:rPr>
          <w:w w:val="105"/>
          <w:sz w:val="21"/>
        </w:rPr>
        <w:t>partner</w:t>
      </w:r>
      <w:r>
        <w:rPr>
          <w:spacing w:val="-7"/>
          <w:w w:val="105"/>
          <w:sz w:val="21"/>
        </w:rPr>
        <w:t> </w:t>
      </w:r>
      <w:r>
        <w:rPr>
          <w:spacing w:val="-3"/>
          <w:w w:val="105"/>
          <w:sz w:val="21"/>
        </w:rPr>
        <w:t>would </w:t>
      </w:r>
      <w:r>
        <w:rPr>
          <w:w w:val="105"/>
          <w:sz w:val="21"/>
        </w:rPr>
        <w:t>still </w:t>
      </w:r>
      <w:r>
        <w:rPr>
          <w:spacing w:val="-3"/>
          <w:w w:val="105"/>
          <w:sz w:val="21"/>
        </w:rPr>
        <w:t>take </w:t>
      </w:r>
      <w:r>
        <w:rPr>
          <w:w w:val="105"/>
          <w:sz w:val="21"/>
        </w:rPr>
        <w:t>the </w:t>
      </w:r>
      <w:r>
        <w:rPr>
          <w:spacing w:val="-3"/>
          <w:w w:val="105"/>
          <w:sz w:val="21"/>
        </w:rPr>
        <w:t>entire intestate </w:t>
      </w:r>
      <w:r>
        <w:rPr>
          <w:w w:val="105"/>
          <w:sz w:val="21"/>
        </w:rPr>
        <w:t>estate if the deceased person </w:t>
      </w:r>
      <w:r>
        <w:rPr>
          <w:spacing w:val="-3"/>
          <w:w w:val="105"/>
          <w:sz w:val="21"/>
        </w:rPr>
        <w:t>were </w:t>
      </w:r>
      <w:r>
        <w:rPr>
          <w:spacing w:val="-2"/>
          <w:w w:val="105"/>
          <w:sz w:val="21"/>
        </w:rPr>
        <w:t>not </w:t>
      </w:r>
      <w:r>
        <w:rPr>
          <w:w w:val="105"/>
          <w:sz w:val="21"/>
        </w:rPr>
        <w:t>also survived by </w:t>
      </w:r>
      <w:r>
        <w:rPr>
          <w:spacing w:val="-3"/>
          <w:w w:val="105"/>
          <w:sz w:val="21"/>
        </w:rPr>
        <w:t>children</w:t>
      </w:r>
      <w:r>
        <w:rPr>
          <w:spacing w:val="-10"/>
          <w:w w:val="105"/>
          <w:sz w:val="21"/>
        </w:rPr>
        <w:t> </w:t>
      </w:r>
      <w:r>
        <w:rPr>
          <w:w w:val="105"/>
          <w:sz w:val="21"/>
        </w:rPr>
        <w:t>or</w:t>
      </w:r>
      <w:r>
        <w:rPr>
          <w:spacing w:val="-10"/>
          <w:w w:val="105"/>
          <w:sz w:val="21"/>
        </w:rPr>
        <w:t> </w:t>
      </w:r>
      <w:r>
        <w:rPr>
          <w:w w:val="105"/>
          <w:sz w:val="21"/>
        </w:rPr>
        <w:t>other</w:t>
      </w:r>
      <w:r>
        <w:rPr>
          <w:spacing w:val="-11"/>
          <w:w w:val="105"/>
          <w:sz w:val="21"/>
        </w:rPr>
        <w:t> </w:t>
      </w:r>
      <w:r>
        <w:rPr>
          <w:w w:val="105"/>
          <w:sz w:val="21"/>
        </w:rPr>
        <w:t>issue</w:t>
      </w:r>
      <w:r>
        <w:rPr>
          <w:spacing w:val="-10"/>
          <w:w w:val="105"/>
          <w:sz w:val="21"/>
        </w:rPr>
        <w:t> </w:t>
      </w:r>
      <w:r>
        <w:rPr>
          <w:w w:val="105"/>
          <w:sz w:val="21"/>
        </w:rPr>
        <w:t>who</w:t>
      </w:r>
      <w:r>
        <w:rPr>
          <w:spacing w:val="-10"/>
          <w:w w:val="105"/>
          <w:sz w:val="21"/>
        </w:rPr>
        <w:t> </w:t>
      </w:r>
      <w:r>
        <w:rPr>
          <w:spacing w:val="-3"/>
          <w:w w:val="105"/>
          <w:sz w:val="21"/>
        </w:rPr>
        <w:t>were</w:t>
      </w:r>
      <w:r>
        <w:rPr>
          <w:spacing w:val="-10"/>
          <w:w w:val="105"/>
          <w:sz w:val="21"/>
        </w:rPr>
        <w:t> </w:t>
      </w:r>
      <w:r>
        <w:rPr>
          <w:w w:val="105"/>
          <w:sz w:val="21"/>
        </w:rPr>
        <w:t>entitled</w:t>
      </w:r>
      <w:r>
        <w:rPr>
          <w:spacing w:val="-10"/>
          <w:w w:val="105"/>
          <w:sz w:val="21"/>
        </w:rPr>
        <w:t> </w:t>
      </w:r>
      <w:r>
        <w:rPr>
          <w:spacing w:val="-3"/>
          <w:w w:val="105"/>
          <w:sz w:val="21"/>
        </w:rPr>
        <w:t>to</w:t>
      </w:r>
      <w:r>
        <w:rPr>
          <w:spacing w:val="-10"/>
          <w:w w:val="105"/>
          <w:sz w:val="21"/>
        </w:rPr>
        <w:t> </w:t>
      </w:r>
      <w:r>
        <w:rPr>
          <w:w w:val="105"/>
          <w:sz w:val="21"/>
        </w:rPr>
        <w:t>a</w:t>
      </w:r>
      <w:r>
        <w:rPr>
          <w:spacing w:val="-10"/>
          <w:w w:val="105"/>
          <w:sz w:val="21"/>
        </w:rPr>
        <w:t> </w:t>
      </w:r>
      <w:r>
        <w:rPr>
          <w:w w:val="105"/>
          <w:sz w:val="21"/>
        </w:rPr>
        <w:t>share—these</w:t>
      </w:r>
      <w:r>
        <w:rPr>
          <w:spacing w:val="-10"/>
          <w:w w:val="105"/>
          <w:sz w:val="21"/>
        </w:rPr>
        <w:t> </w:t>
      </w:r>
      <w:r>
        <w:rPr>
          <w:spacing w:val="-3"/>
          <w:w w:val="105"/>
          <w:sz w:val="21"/>
        </w:rPr>
        <w:t>recommendations</w:t>
      </w:r>
      <w:r>
        <w:rPr>
          <w:spacing w:val="-10"/>
          <w:w w:val="105"/>
          <w:sz w:val="21"/>
        </w:rPr>
        <w:t> </w:t>
      </w:r>
      <w:r>
        <w:rPr>
          <w:w w:val="105"/>
          <w:sz w:val="21"/>
        </w:rPr>
        <w:t>only</w:t>
      </w:r>
      <w:r>
        <w:rPr>
          <w:spacing w:val="-10"/>
          <w:w w:val="105"/>
          <w:sz w:val="21"/>
        </w:rPr>
        <w:t> </w:t>
      </w:r>
      <w:r>
        <w:rPr>
          <w:spacing w:val="-3"/>
          <w:w w:val="105"/>
          <w:sz w:val="21"/>
        </w:rPr>
        <w:t>relate to situations </w:t>
      </w:r>
      <w:r>
        <w:rPr>
          <w:w w:val="105"/>
          <w:sz w:val="21"/>
        </w:rPr>
        <w:t>in which the deceased person is survived by both a partner and </w:t>
      </w:r>
      <w:r>
        <w:rPr>
          <w:spacing w:val="-3"/>
          <w:w w:val="105"/>
          <w:sz w:val="21"/>
        </w:rPr>
        <w:t>children </w:t>
      </w:r>
      <w:r>
        <w:rPr>
          <w:w w:val="105"/>
          <w:sz w:val="21"/>
        </w:rPr>
        <w:t>or other issue who </w:t>
      </w:r>
      <w:r>
        <w:rPr>
          <w:spacing w:val="-3"/>
          <w:w w:val="105"/>
          <w:sz w:val="21"/>
        </w:rPr>
        <w:t>are </w:t>
      </w:r>
      <w:r>
        <w:rPr>
          <w:w w:val="105"/>
          <w:sz w:val="21"/>
        </w:rPr>
        <w:t>also entitled </w:t>
      </w:r>
      <w:r>
        <w:rPr>
          <w:spacing w:val="-3"/>
          <w:w w:val="105"/>
          <w:sz w:val="21"/>
        </w:rPr>
        <w:t>to </w:t>
      </w:r>
      <w:r>
        <w:rPr>
          <w:w w:val="105"/>
          <w:sz w:val="21"/>
        </w:rPr>
        <w:t>a </w:t>
      </w:r>
      <w:r>
        <w:rPr>
          <w:spacing w:val="-4"/>
          <w:w w:val="105"/>
          <w:sz w:val="21"/>
        </w:rPr>
        <w:t>share.</w:t>
      </w:r>
      <w:r>
        <w:rPr>
          <w:spacing w:val="-4"/>
          <w:w w:val="105"/>
          <w:position w:val="7"/>
          <w:sz w:val="12"/>
        </w:rPr>
        <w:t>92 </w:t>
      </w:r>
      <w:r>
        <w:rPr>
          <w:w w:val="105"/>
          <w:sz w:val="21"/>
        </w:rPr>
        <w:t>Although the partner’s statutory legacy and </w:t>
      </w:r>
      <w:r>
        <w:rPr>
          <w:spacing w:val="-3"/>
          <w:w w:val="105"/>
          <w:sz w:val="21"/>
        </w:rPr>
        <w:t>share </w:t>
      </w:r>
      <w:r>
        <w:rPr>
          <w:w w:val="105"/>
          <w:sz w:val="21"/>
        </w:rPr>
        <w:t>of the </w:t>
      </w:r>
      <w:r>
        <w:rPr>
          <w:spacing w:val="-3"/>
          <w:w w:val="105"/>
          <w:sz w:val="21"/>
        </w:rPr>
        <w:t>remainder </w:t>
      </w:r>
      <w:r>
        <w:rPr>
          <w:w w:val="105"/>
          <w:sz w:val="21"/>
        </w:rPr>
        <w:t>would </w:t>
      </w:r>
      <w:r>
        <w:rPr>
          <w:spacing w:val="-3"/>
          <w:w w:val="105"/>
          <w:sz w:val="21"/>
        </w:rPr>
        <w:t>increase, </w:t>
      </w:r>
      <w:r>
        <w:rPr>
          <w:w w:val="105"/>
          <w:sz w:val="21"/>
        </w:rPr>
        <w:t>the </w:t>
      </w:r>
      <w:r>
        <w:rPr>
          <w:spacing w:val="-3"/>
          <w:w w:val="105"/>
          <w:sz w:val="21"/>
        </w:rPr>
        <w:t>overall framework </w:t>
      </w:r>
      <w:r>
        <w:rPr>
          <w:w w:val="105"/>
          <w:sz w:val="21"/>
        </w:rPr>
        <w:t>of </w:t>
      </w:r>
      <w:r>
        <w:rPr>
          <w:spacing w:val="-3"/>
          <w:w w:val="105"/>
          <w:sz w:val="21"/>
        </w:rPr>
        <w:t>Victoria’s legislative provisions </w:t>
      </w:r>
      <w:r>
        <w:rPr>
          <w:w w:val="105"/>
          <w:sz w:val="21"/>
        </w:rPr>
        <w:t>in this </w:t>
      </w:r>
      <w:r>
        <w:rPr>
          <w:spacing w:val="-3"/>
          <w:w w:val="105"/>
          <w:sz w:val="21"/>
        </w:rPr>
        <w:t>area </w:t>
      </w:r>
      <w:r>
        <w:rPr>
          <w:w w:val="105"/>
          <w:sz w:val="21"/>
        </w:rPr>
        <w:t>would </w:t>
      </w:r>
      <w:r>
        <w:rPr>
          <w:spacing w:val="-3"/>
          <w:w w:val="105"/>
          <w:sz w:val="21"/>
        </w:rPr>
        <w:t>remain </w:t>
      </w:r>
      <w:r>
        <w:rPr>
          <w:w w:val="105"/>
          <w:sz w:val="21"/>
        </w:rPr>
        <w:t>the </w:t>
      </w:r>
      <w:r>
        <w:rPr>
          <w:spacing w:val="-3"/>
          <w:w w:val="105"/>
          <w:sz w:val="21"/>
        </w:rPr>
        <w:t>same. </w:t>
      </w:r>
      <w:r>
        <w:rPr>
          <w:w w:val="105"/>
          <w:sz w:val="21"/>
        </w:rPr>
        <w:t>The deceased </w:t>
      </w:r>
      <w:r>
        <w:rPr>
          <w:spacing w:val="-3"/>
          <w:w w:val="105"/>
          <w:sz w:val="21"/>
        </w:rPr>
        <w:t>person’s </w:t>
      </w:r>
      <w:r>
        <w:rPr>
          <w:w w:val="105"/>
          <w:sz w:val="21"/>
        </w:rPr>
        <w:t>partner would still receive the deceased </w:t>
      </w:r>
      <w:r>
        <w:rPr>
          <w:spacing w:val="-3"/>
          <w:w w:val="105"/>
          <w:sz w:val="21"/>
        </w:rPr>
        <w:t>person’s </w:t>
      </w:r>
      <w:r>
        <w:rPr>
          <w:w w:val="105"/>
          <w:sz w:val="21"/>
        </w:rPr>
        <w:t>personal </w:t>
      </w:r>
      <w:r>
        <w:rPr>
          <w:spacing w:val="-3"/>
          <w:w w:val="105"/>
          <w:sz w:val="21"/>
        </w:rPr>
        <w:t>chattels, </w:t>
      </w:r>
      <w:r>
        <w:rPr>
          <w:w w:val="105"/>
          <w:sz w:val="21"/>
        </w:rPr>
        <w:t>a statutory legacy </w:t>
      </w:r>
      <w:r>
        <w:rPr>
          <w:spacing w:val="-3"/>
          <w:w w:val="105"/>
          <w:sz w:val="21"/>
        </w:rPr>
        <w:t>plus interest, </w:t>
      </w:r>
      <w:r>
        <w:rPr>
          <w:w w:val="105"/>
          <w:sz w:val="21"/>
        </w:rPr>
        <w:t>and a </w:t>
      </w:r>
      <w:r>
        <w:rPr>
          <w:spacing w:val="-3"/>
          <w:w w:val="105"/>
          <w:sz w:val="21"/>
        </w:rPr>
        <w:t>share</w:t>
      </w:r>
      <w:r>
        <w:rPr>
          <w:spacing w:val="-8"/>
          <w:w w:val="105"/>
          <w:sz w:val="21"/>
        </w:rPr>
        <w:t> </w:t>
      </w:r>
      <w:r>
        <w:rPr>
          <w:w w:val="105"/>
          <w:sz w:val="21"/>
        </w:rPr>
        <w:t>of</w:t>
      </w:r>
      <w:r>
        <w:rPr>
          <w:spacing w:val="-8"/>
          <w:w w:val="105"/>
          <w:sz w:val="21"/>
        </w:rPr>
        <w:t> </w:t>
      </w:r>
      <w:r>
        <w:rPr>
          <w:w w:val="105"/>
          <w:sz w:val="21"/>
        </w:rPr>
        <w:t>the</w:t>
      </w:r>
      <w:r>
        <w:rPr>
          <w:spacing w:val="-7"/>
          <w:w w:val="105"/>
          <w:sz w:val="21"/>
        </w:rPr>
        <w:t> </w:t>
      </w:r>
      <w:r>
        <w:rPr>
          <w:w w:val="105"/>
          <w:sz w:val="21"/>
        </w:rPr>
        <w:t>remainder—only</w:t>
      </w:r>
      <w:r>
        <w:rPr>
          <w:spacing w:val="-8"/>
          <w:w w:val="105"/>
          <w:sz w:val="21"/>
        </w:rPr>
        <w:t> </w:t>
      </w:r>
      <w:r>
        <w:rPr>
          <w:w w:val="105"/>
          <w:sz w:val="21"/>
        </w:rPr>
        <w:t>the</w:t>
      </w:r>
      <w:r>
        <w:rPr>
          <w:spacing w:val="-7"/>
          <w:w w:val="105"/>
          <w:sz w:val="21"/>
        </w:rPr>
        <w:t> </w:t>
      </w:r>
      <w:r>
        <w:rPr>
          <w:spacing w:val="-3"/>
          <w:w w:val="105"/>
          <w:sz w:val="21"/>
        </w:rPr>
        <w:t>size</w:t>
      </w:r>
      <w:r>
        <w:rPr>
          <w:spacing w:val="-8"/>
          <w:w w:val="105"/>
          <w:sz w:val="21"/>
        </w:rPr>
        <w:t> </w:t>
      </w:r>
      <w:r>
        <w:rPr>
          <w:w w:val="105"/>
          <w:sz w:val="21"/>
        </w:rPr>
        <w:t>of</w:t>
      </w:r>
      <w:r>
        <w:rPr>
          <w:spacing w:val="-7"/>
          <w:w w:val="105"/>
          <w:sz w:val="21"/>
        </w:rPr>
        <w:t> </w:t>
      </w:r>
      <w:r>
        <w:rPr>
          <w:w w:val="105"/>
          <w:sz w:val="21"/>
        </w:rPr>
        <w:t>the</w:t>
      </w:r>
      <w:r>
        <w:rPr>
          <w:spacing w:val="-8"/>
          <w:w w:val="105"/>
          <w:sz w:val="21"/>
        </w:rPr>
        <w:t> </w:t>
      </w:r>
      <w:r>
        <w:rPr>
          <w:w w:val="105"/>
          <w:sz w:val="21"/>
        </w:rPr>
        <w:t>statutory</w:t>
      </w:r>
      <w:r>
        <w:rPr>
          <w:spacing w:val="-7"/>
          <w:w w:val="105"/>
          <w:sz w:val="21"/>
        </w:rPr>
        <w:t> </w:t>
      </w:r>
      <w:r>
        <w:rPr>
          <w:w w:val="105"/>
          <w:sz w:val="21"/>
        </w:rPr>
        <w:t>legacy</w:t>
      </w:r>
      <w:r>
        <w:rPr>
          <w:spacing w:val="-8"/>
          <w:w w:val="105"/>
          <w:sz w:val="21"/>
        </w:rPr>
        <w:t> </w:t>
      </w:r>
      <w:r>
        <w:rPr>
          <w:w w:val="105"/>
          <w:sz w:val="21"/>
        </w:rPr>
        <w:t>and</w:t>
      </w:r>
      <w:r>
        <w:rPr>
          <w:spacing w:val="-7"/>
          <w:w w:val="105"/>
          <w:sz w:val="21"/>
        </w:rPr>
        <w:t> </w:t>
      </w:r>
      <w:r>
        <w:rPr>
          <w:spacing w:val="-3"/>
          <w:w w:val="105"/>
          <w:sz w:val="21"/>
        </w:rPr>
        <w:t>share</w:t>
      </w:r>
      <w:r>
        <w:rPr>
          <w:spacing w:val="-8"/>
          <w:w w:val="105"/>
          <w:sz w:val="21"/>
        </w:rPr>
        <w:t> </w:t>
      </w:r>
      <w:r>
        <w:rPr>
          <w:w w:val="105"/>
          <w:sz w:val="21"/>
        </w:rPr>
        <w:t>of</w:t>
      </w:r>
      <w:r>
        <w:rPr>
          <w:spacing w:val="-8"/>
          <w:w w:val="105"/>
          <w:sz w:val="21"/>
        </w:rPr>
        <w:t> </w:t>
      </w:r>
      <w:r>
        <w:rPr>
          <w:w w:val="105"/>
          <w:sz w:val="21"/>
        </w:rPr>
        <w:t>the</w:t>
      </w:r>
      <w:r>
        <w:rPr>
          <w:spacing w:val="-7"/>
          <w:w w:val="105"/>
          <w:sz w:val="21"/>
        </w:rPr>
        <w:t> </w:t>
      </w:r>
      <w:r>
        <w:rPr>
          <w:spacing w:val="-3"/>
          <w:w w:val="105"/>
          <w:sz w:val="21"/>
        </w:rPr>
        <w:t>remainder </w:t>
      </w:r>
      <w:r>
        <w:rPr>
          <w:w w:val="105"/>
          <w:sz w:val="21"/>
        </w:rPr>
        <w:t>would</w:t>
      </w:r>
      <w:r>
        <w:rPr>
          <w:spacing w:val="5"/>
          <w:w w:val="105"/>
          <w:sz w:val="21"/>
        </w:rPr>
        <w:t> </w:t>
      </w:r>
      <w:r>
        <w:rPr>
          <w:spacing w:val="-3"/>
          <w:w w:val="105"/>
          <w:sz w:val="21"/>
        </w:rPr>
        <w:t>change.</w:t>
      </w:r>
    </w:p>
    <w:p>
      <w:pPr>
        <w:pStyle w:val="BodyText"/>
        <w:spacing w:before="8"/>
        <w:rPr>
          <w:sz w:val="25"/>
        </w:rPr>
      </w:pPr>
    </w:p>
    <w:p>
      <w:pPr>
        <w:pStyle w:val="Heading5"/>
      </w:pPr>
      <w:bookmarkStart w:name="_TOC_250050" w:id="65"/>
      <w:bookmarkEnd w:id="65"/>
      <w:r>
        <w:rPr>
          <w:w w:val="115"/>
        </w:rPr>
        <w:t>Views and conclusions</w:t>
      </w:r>
    </w:p>
    <w:p>
      <w:pPr>
        <w:pStyle w:val="Heading6"/>
        <w:spacing w:before="201"/>
      </w:pPr>
      <w:r>
        <w:rPr>
          <w:w w:val="120"/>
        </w:rPr>
        <w:t>The definition of partner</w:t>
      </w:r>
    </w:p>
    <w:p>
      <w:pPr>
        <w:pStyle w:val="ListParagraph"/>
        <w:numPr>
          <w:ilvl w:val="1"/>
          <w:numId w:val="22"/>
        </w:numPr>
        <w:tabs>
          <w:tab w:pos="2380" w:val="left" w:leader="none"/>
          <w:tab w:pos="2381" w:val="left" w:leader="none"/>
        </w:tabs>
        <w:spacing w:line="242" w:lineRule="auto" w:before="151" w:after="0"/>
        <w:ind w:left="2381" w:right="1766" w:hanging="794"/>
        <w:jc w:val="left"/>
        <w:rPr>
          <w:sz w:val="21"/>
        </w:rPr>
      </w:pPr>
      <w:r>
        <w:rPr>
          <w:sz w:val="21"/>
        </w:rPr>
        <w:t>As discussed above at [5.41]–[5.42], the definition of partner in the </w:t>
      </w:r>
      <w:r>
        <w:rPr>
          <w:spacing w:val="-3"/>
          <w:sz w:val="21"/>
        </w:rPr>
        <w:t>Administration </w:t>
      </w:r>
      <w:r>
        <w:rPr>
          <w:sz w:val="21"/>
        </w:rPr>
        <w:t>and </w:t>
      </w:r>
      <w:r>
        <w:rPr>
          <w:spacing w:val="-3"/>
          <w:sz w:val="21"/>
        </w:rPr>
        <w:t>Probate </w:t>
      </w:r>
      <w:r>
        <w:rPr>
          <w:sz w:val="21"/>
        </w:rPr>
        <w:t>Act refers only </w:t>
      </w:r>
      <w:r>
        <w:rPr>
          <w:spacing w:val="-3"/>
          <w:sz w:val="21"/>
        </w:rPr>
        <w:t>to </w:t>
      </w:r>
      <w:r>
        <w:rPr>
          <w:sz w:val="21"/>
        </w:rPr>
        <w:t>spouse and domestic </w:t>
      </w:r>
      <w:r>
        <w:rPr>
          <w:spacing w:val="-4"/>
          <w:sz w:val="21"/>
        </w:rPr>
        <w:t>partner,</w:t>
      </w:r>
      <w:r>
        <w:rPr>
          <w:spacing w:val="-4"/>
          <w:position w:val="7"/>
          <w:sz w:val="12"/>
        </w:rPr>
        <w:t>93 </w:t>
      </w:r>
      <w:r>
        <w:rPr>
          <w:sz w:val="21"/>
        </w:rPr>
        <w:t>and domestic partner </w:t>
      </w:r>
      <w:r>
        <w:rPr>
          <w:spacing w:val="-3"/>
          <w:sz w:val="21"/>
        </w:rPr>
        <w:t>includes </w:t>
      </w:r>
      <w:r>
        <w:rPr>
          <w:sz w:val="21"/>
        </w:rPr>
        <w:t>only </w:t>
      </w:r>
      <w:r>
        <w:rPr>
          <w:spacing w:val="-3"/>
          <w:sz w:val="21"/>
        </w:rPr>
        <w:t>registered </w:t>
      </w:r>
      <w:r>
        <w:rPr>
          <w:sz w:val="21"/>
        </w:rPr>
        <w:t>and </w:t>
      </w:r>
      <w:r>
        <w:rPr>
          <w:spacing w:val="-3"/>
          <w:sz w:val="21"/>
        </w:rPr>
        <w:t>unregistered </w:t>
      </w:r>
      <w:r>
        <w:rPr>
          <w:sz w:val="21"/>
        </w:rPr>
        <w:t>domestic partners. It does </w:t>
      </w:r>
      <w:r>
        <w:rPr>
          <w:spacing w:val="-2"/>
          <w:sz w:val="21"/>
        </w:rPr>
        <w:t>not </w:t>
      </w:r>
      <w:r>
        <w:rPr>
          <w:spacing w:val="-3"/>
          <w:sz w:val="21"/>
        </w:rPr>
        <w:t>include registered caring </w:t>
      </w:r>
      <w:r>
        <w:rPr>
          <w:sz w:val="21"/>
        </w:rPr>
        <w:t>partners.</w:t>
      </w:r>
      <w:r>
        <w:rPr>
          <w:position w:val="7"/>
          <w:sz w:val="12"/>
        </w:rPr>
        <w:t>94 </w:t>
      </w:r>
      <w:r>
        <w:rPr>
          <w:sz w:val="21"/>
        </w:rPr>
        <w:t>The </w:t>
      </w:r>
      <w:r>
        <w:rPr>
          <w:spacing w:val="-3"/>
          <w:sz w:val="21"/>
        </w:rPr>
        <w:t>right to inherit </w:t>
      </w:r>
      <w:r>
        <w:rPr>
          <w:sz w:val="21"/>
        </w:rPr>
        <w:t>on intestacy is </w:t>
      </w:r>
      <w:r>
        <w:rPr>
          <w:spacing w:val="-3"/>
          <w:sz w:val="21"/>
        </w:rPr>
        <w:t>conferred </w:t>
      </w:r>
      <w:r>
        <w:rPr>
          <w:sz w:val="21"/>
        </w:rPr>
        <w:t>on people who </w:t>
      </w:r>
      <w:r>
        <w:rPr>
          <w:spacing w:val="-4"/>
          <w:sz w:val="21"/>
        </w:rPr>
        <w:t>fall </w:t>
      </w:r>
      <w:r>
        <w:rPr>
          <w:spacing w:val="-3"/>
          <w:sz w:val="21"/>
        </w:rPr>
        <w:t>within </w:t>
      </w:r>
      <w:r>
        <w:rPr>
          <w:sz w:val="21"/>
        </w:rPr>
        <w:t>the definition of </w:t>
      </w:r>
      <w:r>
        <w:rPr>
          <w:spacing w:val="-3"/>
          <w:sz w:val="21"/>
        </w:rPr>
        <w:t>partner, </w:t>
      </w:r>
      <w:r>
        <w:rPr>
          <w:sz w:val="21"/>
        </w:rPr>
        <w:t>and so </w:t>
      </w:r>
      <w:r>
        <w:rPr>
          <w:spacing w:val="-3"/>
          <w:sz w:val="21"/>
        </w:rPr>
        <w:t>excludes </w:t>
      </w:r>
      <w:r>
        <w:rPr>
          <w:sz w:val="21"/>
        </w:rPr>
        <w:t>the deceased </w:t>
      </w:r>
      <w:r>
        <w:rPr>
          <w:spacing w:val="-3"/>
          <w:sz w:val="21"/>
        </w:rPr>
        <w:t>person’s registered caring</w:t>
      </w:r>
      <w:r>
        <w:rPr>
          <w:spacing w:val="12"/>
          <w:sz w:val="21"/>
        </w:rPr>
        <w:t> </w:t>
      </w:r>
      <w:r>
        <w:rPr>
          <w:spacing w:val="-3"/>
          <w:sz w:val="21"/>
        </w:rPr>
        <w:t>partner.</w:t>
      </w:r>
    </w:p>
    <w:p>
      <w:pPr>
        <w:pStyle w:val="BodyText"/>
        <w:rPr>
          <w:sz w:val="20"/>
        </w:rPr>
      </w:pPr>
    </w:p>
    <w:p>
      <w:pPr>
        <w:pStyle w:val="BodyText"/>
        <w:rPr>
          <w:sz w:val="20"/>
        </w:rPr>
      </w:pPr>
    </w:p>
    <w:p>
      <w:pPr>
        <w:pStyle w:val="BodyText"/>
        <w:spacing w:before="4"/>
        <w:rPr>
          <w:sz w:val="14"/>
        </w:rPr>
      </w:pPr>
      <w:r>
        <w:rPr/>
        <w:pict>
          <v:line style="position:absolute;mso-position-horizontal-relative:page;mso-position-vertical-relative:paragraph;z-index:3944;mso-wrap-distance-left:0;mso-wrap-distance-right:0" from="79.370003pt,11.231544pt" to="515.905003pt,11.231544pt" stroked="true" strokeweight="1pt" strokecolor="#f9ceca">
            <v:stroke dashstyle="solid"/>
            <w10:wrap type="topAndBottom"/>
          </v:line>
        </w:pict>
      </w:r>
    </w:p>
    <w:p>
      <w:pPr>
        <w:tabs>
          <w:tab w:pos="2380" w:val="left" w:leader="none"/>
        </w:tabs>
        <w:spacing w:before="117"/>
        <w:ind w:left="1587" w:right="0" w:firstLine="0"/>
        <w:jc w:val="left"/>
        <w:rPr>
          <w:sz w:val="13"/>
        </w:rPr>
      </w:pPr>
      <w:r>
        <w:rPr>
          <w:spacing w:val="2"/>
          <w:w w:val="105"/>
          <w:sz w:val="13"/>
        </w:rPr>
        <w:t>84</w:t>
        <w:tab/>
      </w:r>
      <w:r>
        <w:rPr>
          <w:w w:val="105"/>
          <w:sz w:val="13"/>
        </w:rPr>
        <w:t>Ibid</w:t>
      </w:r>
      <w:r>
        <w:rPr>
          <w:spacing w:val="4"/>
          <w:w w:val="105"/>
          <w:sz w:val="13"/>
        </w:rPr>
        <w:t> </w:t>
      </w:r>
      <w:r>
        <w:rPr>
          <w:spacing w:val="3"/>
          <w:w w:val="105"/>
          <w:sz w:val="13"/>
        </w:rPr>
        <w:t>63–4.</w:t>
      </w:r>
    </w:p>
    <w:p>
      <w:pPr>
        <w:pStyle w:val="ListParagraph"/>
        <w:numPr>
          <w:ilvl w:val="0"/>
          <w:numId w:val="57"/>
        </w:numPr>
        <w:tabs>
          <w:tab w:pos="2380" w:val="left" w:leader="none"/>
          <w:tab w:pos="2382" w:val="left" w:leader="none"/>
        </w:tabs>
        <w:spacing w:line="240" w:lineRule="auto" w:before="1" w:after="0"/>
        <w:ind w:left="2381" w:right="0" w:hanging="794"/>
        <w:jc w:val="left"/>
        <w:rPr>
          <w:sz w:val="13"/>
        </w:rPr>
      </w:pPr>
      <w:r>
        <w:rPr>
          <w:w w:val="105"/>
          <w:sz w:val="13"/>
        </w:rPr>
        <w:t>Ibid</w:t>
      </w:r>
      <w:r>
        <w:rPr>
          <w:spacing w:val="4"/>
          <w:w w:val="105"/>
          <w:sz w:val="13"/>
        </w:rPr>
        <w:t> </w:t>
      </w:r>
      <w:r>
        <w:rPr>
          <w:w w:val="105"/>
          <w:sz w:val="13"/>
        </w:rPr>
        <w:t>75.</w:t>
      </w:r>
    </w:p>
    <w:p>
      <w:pPr>
        <w:pStyle w:val="ListParagraph"/>
        <w:numPr>
          <w:ilvl w:val="0"/>
          <w:numId w:val="57"/>
        </w:numPr>
        <w:tabs>
          <w:tab w:pos="2380" w:val="left" w:leader="none"/>
          <w:tab w:pos="2382" w:val="left" w:leader="none"/>
        </w:tabs>
        <w:spacing w:line="240" w:lineRule="auto" w:before="2" w:after="0"/>
        <w:ind w:left="2381" w:right="0" w:hanging="794"/>
        <w:jc w:val="left"/>
        <w:rPr>
          <w:sz w:val="13"/>
        </w:rPr>
      </w:pPr>
      <w:r>
        <w:rPr>
          <w:w w:val="105"/>
          <w:sz w:val="13"/>
        </w:rPr>
        <w:t>Victorian Law Reform Commission, above n 8,</w:t>
      </w:r>
      <w:r>
        <w:rPr>
          <w:spacing w:val="2"/>
          <w:w w:val="105"/>
          <w:sz w:val="13"/>
        </w:rPr>
        <w:t> </w:t>
      </w:r>
      <w:r>
        <w:rPr>
          <w:spacing w:val="-4"/>
          <w:w w:val="105"/>
          <w:sz w:val="13"/>
        </w:rPr>
        <w:t>27.</w:t>
      </w:r>
    </w:p>
    <w:p>
      <w:pPr>
        <w:pStyle w:val="ListParagraph"/>
        <w:numPr>
          <w:ilvl w:val="0"/>
          <w:numId w:val="57"/>
        </w:numPr>
        <w:tabs>
          <w:tab w:pos="2380" w:val="left" w:leader="none"/>
          <w:tab w:pos="2382" w:val="left" w:leader="none"/>
        </w:tabs>
        <w:spacing w:line="240" w:lineRule="auto" w:before="1" w:after="0"/>
        <w:ind w:left="2381" w:right="0" w:hanging="794"/>
        <w:jc w:val="left"/>
        <w:rPr>
          <w:sz w:val="13"/>
        </w:rPr>
      </w:pPr>
      <w:r>
        <w:rPr>
          <w:i/>
          <w:w w:val="105"/>
          <w:sz w:val="13"/>
        </w:rPr>
        <w:t>Succession</w:t>
      </w:r>
      <w:r>
        <w:rPr>
          <w:i/>
          <w:spacing w:val="3"/>
          <w:w w:val="105"/>
          <w:sz w:val="13"/>
        </w:rPr>
        <w:t> </w:t>
      </w:r>
      <w:r>
        <w:rPr>
          <w:i/>
          <w:w w:val="105"/>
          <w:sz w:val="13"/>
        </w:rPr>
        <w:t>Act</w:t>
      </w:r>
      <w:r>
        <w:rPr>
          <w:i/>
          <w:spacing w:val="4"/>
          <w:w w:val="105"/>
          <w:sz w:val="13"/>
        </w:rPr>
        <w:t> </w:t>
      </w:r>
      <w:r>
        <w:rPr>
          <w:i/>
          <w:w w:val="105"/>
          <w:sz w:val="13"/>
        </w:rPr>
        <w:t>2006</w:t>
      </w:r>
      <w:r>
        <w:rPr>
          <w:i/>
          <w:spacing w:val="5"/>
          <w:w w:val="105"/>
          <w:sz w:val="13"/>
        </w:rPr>
        <w:t> </w:t>
      </w:r>
      <w:r>
        <w:rPr>
          <w:spacing w:val="3"/>
          <w:w w:val="105"/>
          <w:sz w:val="13"/>
        </w:rPr>
        <w:t>(NSW)</w:t>
      </w:r>
      <w:r>
        <w:rPr>
          <w:spacing w:val="4"/>
          <w:w w:val="105"/>
          <w:sz w:val="13"/>
        </w:rPr>
        <w:t> </w:t>
      </w:r>
      <w:r>
        <w:rPr>
          <w:w w:val="105"/>
          <w:sz w:val="13"/>
        </w:rPr>
        <w:t>s</w:t>
      </w:r>
      <w:r>
        <w:rPr>
          <w:spacing w:val="5"/>
          <w:w w:val="105"/>
          <w:sz w:val="13"/>
        </w:rPr>
        <w:t> </w:t>
      </w:r>
      <w:r>
        <w:rPr>
          <w:spacing w:val="2"/>
          <w:w w:val="105"/>
          <w:sz w:val="13"/>
        </w:rPr>
        <w:t>106(2);</w:t>
      </w:r>
      <w:r>
        <w:rPr>
          <w:spacing w:val="5"/>
          <w:w w:val="105"/>
          <w:sz w:val="13"/>
        </w:rPr>
        <w:t> </w:t>
      </w:r>
      <w:r>
        <w:rPr>
          <w:i/>
          <w:w w:val="105"/>
          <w:sz w:val="13"/>
        </w:rPr>
        <w:t>Intestacy</w:t>
      </w:r>
      <w:r>
        <w:rPr>
          <w:i/>
          <w:spacing w:val="3"/>
          <w:w w:val="105"/>
          <w:sz w:val="13"/>
        </w:rPr>
        <w:t> </w:t>
      </w:r>
      <w:r>
        <w:rPr>
          <w:i/>
          <w:w w:val="105"/>
          <w:sz w:val="13"/>
        </w:rPr>
        <w:t>Act</w:t>
      </w:r>
      <w:r>
        <w:rPr>
          <w:i/>
          <w:spacing w:val="4"/>
          <w:w w:val="105"/>
          <w:sz w:val="13"/>
        </w:rPr>
        <w:t> </w:t>
      </w:r>
      <w:r>
        <w:rPr>
          <w:i/>
          <w:spacing w:val="-3"/>
          <w:w w:val="105"/>
          <w:sz w:val="13"/>
        </w:rPr>
        <w:t>2010</w:t>
      </w:r>
      <w:r>
        <w:rPr>
          <w:i/>
          <w:spacing w:val="5"/>
          <w:w w:val="105"/>
          <w:sz w:val="13"/>
        </w:rPr>
        <w:t> </w:t>
      </w:r>
      <w:r>
        <w:rPr>
          <w:w w:val="105"/>
          <w:sz w:val="13"/>
        </w:rPr>
        <w:t>(Tas)</w:t>
      </w:r>
      <w:r>
        <w:rPr>
          <w:spacing w:val="4"/>
          <w:w w:val="105"/>
          <w:sz w:val="13"/>
        </w:rPr>
        <w:t> </w:t>
      </w:r>
      <w:r>
        <w:rPr>
          <w:w w:val="105"/>
          <w:sz w:val="13"/>
        </w:rPr>
        <w:t>s</w:t>
      </w:r>
      <w:r>
        <w:rPr>
          <w:spacing w:val="5"/>
          <w:w w:val="105"/>
          <w:sz w:val="13"/>
        </w:rPr>
        <w:t> </w:t>
      </w:r>
      <w:r>
        <w:rPr>
          <w:spacing w:val="2"/>
          <w:w w:val="105"/>
          <w:sz w:val="13"/>
        </w:rPr>
        <w:t>7(2).</w:t>
      </w:r>
    </w:p>
    <w:p>
      <w:pPr>
        <w:pStyle w:val="ListParagraph"/>
        <w:numPr>
          <w:ilvl w:val="0"/>
          <w:numId w:val="57"/>
        </w:numPr>
        <w:tabs>
          <w:tab w:pos="2380" w:val="left" w:leader="none"/>
          <w:tab w:pos="2382" w:val="left" w:leader="none"/>
        </w:tabs>
        <w:spacing w:line="240" w:lineRule="auto" w:before="1" w:after="0"/>
        <w:ind w:left="2381" w:right="0" w:hanging="794"/>
        <w:jc w:val="left"/>
        <w:rPr>
          <w:sz w:val="13"/>
        </w:rPr>
      </w:pPr>
      <w:r>
        <w:rPr>
          <w:sz w:val="13"/>
        </w:rPr>
        <w:t>Ibid.</w:t>
      </w:r>
    </w:p>
    <w:p>
      <w:pPr>
        <w:pStyle w:val="ListParagraph"/>
        <w:numPr>
          <w:ilvl w:val="0"/>
          <w:numId w:val="57"/>
        </w:numPr>
        <w:tabs>
          <w:tab w:pos="2381" w:val="left" w:leader="none"/>
          <w:tab w:pos="2382" w:val="left" w:leader="none"/>
        </w:tabs>
        <w:spacing w:line="240" w:lineRule="auto" w:before="2" w:after="0"/>
        <w:ind w:left="2381" w:right="1697" w:hanging="794"/>
        <w:jc w:val="left"/>
        <w:rPr>
          <w:sz w:val="13"/>
        </w:rPr>
      </w:pPr>
      <w:r>
        <w:rPr>
          <w:w w:val="105"/>
          <w:sz w:val="13"/>
        </w:rPr>
        <w:t>CPI adjusted legacy = $350,000 x (CPI number preceding the deceased person’s </w:t>
      </w:r>
      <w:r>
        <w:rPr>
          <w:spacing w:val="2"/>
          <w:w w:val="105"/>
          <w:sz w:val="13"/>
        </w:rPr>
        <w:t>death/CPI </w:t>
      </w:r>
      <w:r>
        <w:rPr>
          <w:w w:val="105"/>
          <w:sz w:val="13"/>
        </w:rPr>
        <w:t>number for December </w:t>
      </w:r>
      <w:r>
        <w:rPr>
          <w:spacing w:val="2"/>
          <w:w w:val="105"/>
          <w:sz w:val="13"/>
        </w:rPr>
        <w:t>2005). </w:t>
      </w:r>
      <w:r>
        <w:rPr>
          <w:w w:val="105"/>
          <w:sz w:val="13"/>
        </w:rPr>
        <w:t>So for the March </w:t>
      </w:r>
      <w:r>
        <w:rPr>
          <w:spacing w:val="-3"/>
          <w:w w:val="105"/>
          <w:sz w:val="13"/>
        </w:rPr>
        <w:t>2013 </w:t>
      </w:r>
      <w:r>
        <w:rPr>
          <w:w w:val="105"/>
          <w:sz w:val="13"/>
        </w:rPr>
        <w:t>quarter, for example, the CPI adjusted legacy = $350,000 x (102.4 x </w:t>
      </w:r>
      <w:r>
        <w:rPr>
          <w:spacing w:val="2"/>
          <w:w w:val="105"/>
          <w:sz w:val="13"/>
        </w:rPr>
        <w:t>83.8) </w:t>
      </w:r>
      <w:r>
        <w:rPr>
          <w:w w:val="105"/>
          <w:sz w:val="13"/>
        </w:rPr>
        <w:t>= $427,684.95: </w:t>
      </w:r>
      <w:r>
        <w:rPr>
          <w:i/>
          <w:w w:val="105"/>
          <w:sz w:val="13"/>
        </w:rPr>
        <w:t>Succession Act 2006 </w:t>
      </w:r>
      <w:r>
        <w:rPr>
          <w:spacing w:val="3"/>
          <w:w w:val="105"/>
          <w:sz w:val="13"/>
        </w:rPr>
        <w:t>(NSW) </w:t>
      </w:r>
      <w:r>
        <w:rPr>
          <w:w w:val="105"/>
          <w:sz w:val="13"/>
        </w:rPr>
        <w:t>s </w:t>
      </w:r>
      <w:r>
        <w:rPr>
          <w:spacing w:val="2"/>
          <w:w w:val="105"/>
          <w:sz w:val="13"/>
        </w:rPr>
        <w:t>106(2); </w:t>
      </w:r>
      <w:r>
        <w:rPr>
          <w:w w:val="105"/>
          <w:sz w:val="13"/>
        </w:rPr>
        <w:t>Australian Taxation Office, </w:t>
      </w:r>
      <w:r>
        <w:rPr>
          <w:i/>
          <w:w w:val="105"/>
          <w:sz w:val="13"/>
        </w:rPr>
        <w:t>Consumer Price Index </w:t>
      </w:r>
      <w:r>
        <w:rPr>
          <w:i/>
          <w:spacing w:val="2"/>
          <w:w w:val="105"/>
          <w:sz w:val="13"/>
        </w:rPr>
        <w:t>(CPI) </w:t>
      </w:r>
      <w:r>
        <w:rPr>
          <w:i/>
          <w:w w:val="105"/>
          <w:sz w:val="13"/>
        </w:rPr>
        <w:t>Rates </w:t>
      </w:r>
      <w:r>
        <w:rPr>
          <w:w w:val="105"/>
          <w:sz w:val="13"/>
        </w:rPr>
        <w:t>&lt;http://www.ato.gov.au/taxprofessionals/content.aspx?doc=/content/1566. htm&gt;.</w:t>
      </w:r>
    </w:p>
    <w:p>
      <w:pPr>
        <w:pStyle w:val="ListParagraph"/>
        <w:numPr>
          <w:ilvl w:val="0"/>
          <w:numId w:val="57"/>
        </w:numPr>
        <w:tabs>
          <w:tab w:pos="2381" w:val="left" w:leader="none"/>
          <w:tab w:pos="2382" w:val="left" w:leader="none"/>
        </w:tabs>
        <w:spacing w:line="240" w:lineRule="auto" w:before="5" w:after="0"/>
        <w:ind w:left="2381" w:right="1693" w:hanging="794"/>
        <w:jc w:val="left"/>
        <w:rPr>
          <w:sz w:val="13"/>
        </w:rPr>
      </w:pPr>
      <w:r>
        <w:rPr>
          <w:w w:val="105"/>
          <w:sz w:val="13"/>
        </w:rPr>
        <w:t>CPI adjusted legacy = $350,000 x (CPI number preceding the deceased person’s </w:t>
      </w:r>
      <w:r>
        <w:rPr>
          <w:spacing w:val="2"/>
          <w:w w:val="105"/>
          <w:sz w:val="13"/>
        </w:rPr>
        <w:t>death/CPI </w:t>
      </w:r>
      <w:r>
        <w:rPr>
          <w:w w:val="105"/>
          <w:sz w:val="13"/>
        </w:rPr>
        <w:t>number for December </w:t>
      </w:r>
      <w:r>
        <w:rPr>
          <w:spacing w:val="2"/>
          <w:w w:val="105"/>
          <w:sz w:val="13"/>
        </w:rPr>
        <w:t>2009). </w:t>
      </w:r>
      <w:r>
        <w:rPr>
          <w:w w:val="105"/>
          <w:sz w:val="13"/>
        </w:rPr>
        <w:t>So for the March </w:t>
      </w:r>
      <w:r>
        <w:rPr>
          <w:spacing w:val="-3"/>
          <w:w w:val="105"/>
          <w:sz w:val="13"/>
        </w:rPr>
        <w:t>2013  </w:t>
      </w:r>
      <w:r>
        <w:rPr>
          <w:w w:val="105"/>
          <w:sz w:val="13"/>
        </w:rPr>
        <w:t>quarter, for example, the CPI adjusted legacy = $350,000 x (102.4 x </w:t>
      </w:r>
      <w:r>
        <w:rPr>
          <w:spacing w:val="2"/>
          <w:w w:val="105"/>
          <w:sz w:val="13"/>
        </w:rPr>
        <w:t>94.3) </w:t>
      </w:r>
      <w:r>
        <w:rPr>
          <w:w w:val="105"/>
          <w:sz w:val="13"/>
        </w:rPr>
        <w:t>= $380,063.60: </w:t>
      </w:r>
      <w:r>
        <w:rPr>
          <w:i/>
          <w:w w:val="105"/>
          <w:sz w:val="13"/>
        </w:rPr>
        <w:t>Intestacy Act </w:t>
      </w:r>
      <w:r>
        <w:rPr>
          <w:w w:val="105"/>
          <w:sz w:val="13"/>
        </w:rPr>
        <w:t>(2010) s </w:t>
      </w:r>
      <w:r>
        <w:rPr>
          <w:spacing w:val="2"/>
          <w:w w:val="105"/>
          <w:sz w:val="13"/>
        </w:rPr>
        <w:t>7(2); </w:t>
      </w:r>
      <w:r>
        <w:rPr>
          <w:w w:val="105"/>
          <w:sz w:val="13"/>
        </w:rPr>
        <w:t>Australian</w:t>
      </w:r>
      <w:r>
        <w:rPr>
          <w:spacing w:val="30"/>
          <w:w w:val="105"/>
          <w:sz w:val="13"/>
        </w:rPr>
        <w:t> </w:t>
      </w:r>
      <w:r>
        <w:rPr>
          <w:w w:val="105"/>
          <w:sz w:val="13"/>
        </w:rPr>
        <w:t>Taxation Office, above n</w:t>
      </w:r>
      <w:r>
        <w:rPr>
          <w:spacing w:val="18"/>
          <w:w w:val="105"/>
          <w:sz w:val="13"/>
        </w:rPr>
        <w:t> </w:t>
      </w:r>
      <w:r>
        <w:rPr>
          <w:w w:val="105"/>
          <w:sz w:val="13"/>
        </w:rPr>
        <w:t>89.</w:t>
      </w:r>
    </w:p>
    <w:p>
      <w:pPr>
        <w:pStyle w:val="ListParagraph"/>
        <w:numPr>
          <w:ilvl w:val="0"/>
          <w:numId w:val="57"/>
        </w:numPr>
        <w:tabs>
          <w:tab w:pos="2381" w:val="left" w:leader="none"/>
          <w:tab w:pos="2382" w:val="left" w:leader="none"/>
        </w:tabs>
        <w:spacing w:line="240" w:lineRule="auto" w:before="4" w:after="0"/>
        <w:ind w:left="2381" w:right="0" w:hanging="794"/>
        <w:jc w:val="left"/>
        <w:rPr>
          <w:sz w:val="13"/>
        </w:rPr>
      </w:pPr>
      <w:r>
        <w:rPr>
          <w:i/>
          <w:w w:val="105"/>
          <w:sz w:val="13"/>
        </w:rPr>
        <w:t>Succession</w:t>
      </w:r>
      <w:r>
        <w:rPr>
          <w:i/>
          <w:spacing w:val="3"/>
          <w:w w:val="105"/>
          <w:sz w:val="13"/>
        </w:rPr>
        <w:t> </w:t>
      </w:r>
      <w:r>
        <w:rPr>
          <w:i/>
          <w:w w:val="105"/>
          <w:sz w:val="13"/>
        </w:rPr>
        <w:t>Act</w:t>
      </w:r>
      <w:r>
        <w:rPr>
          <w:i/>
          <w:spacing w:val="4"/>
          <w:w w:val="105"/>
          <w:sz w:val="13"/>
        </w:rPr>
        <w:t> </w:t>
      </w:r>
      <w:r>
        <w:rPr>
          <w:i/>
          <w:w w:val="105"/>
          <w:sz w:val="13"/>
        </w:rPr>
        <w:t>2006</w:t>
      </w:r>
      <w:r>
        <w:rPr>
          <w:i/>
          <w:spacing w:val="5"/>
          <w:w w:val="105"/>
          <w:sz w:val="13"/>
        </w:rPr>
        <w:t> </w:t>
      </w:r>
      <w:r>
        <w:rPr>
          <w:spacing w:val="3"/>
          <w:w w:val="105"/>
          <w:sz w:val="13"/>
        </w:rPr>
        <w:t>(NSW)</w:t>
      </w:r>
      <w:r>
        <w:rPr>
          <w:spacing w:val="4"/>
          <w:w w:val="105"/>
          <w:sz w:val="13"/>
        </w:rPr>
        <w:t> </w:t>
      </w:r>
      <w:r>
        <w:rPr>
          <w:w w:val="105"/>
          <w:sz w:val="13"/>
        </w:rPr>
        <w:t>s</w:t>
      </w:r>
      <w:r>
        <w:rPr>
          <w:spacing w:val="5"/>
          <w:w w:val="105"/>
          <w:sz w:val="13"/>
        </w:rPr>
        <w:t> </w:t>
      </w:r>
      <w:r>
        <w:rPr>
          <w:spacing w:val="3"/>
          <w:w w:val="105"/>
          <w:sz w:val="13"/>
        </w:rPr>
        <w:t>106(9);</w:t>
      </w:r>
      <w:r>
        <w:rPr>
          <w:spacing w:val="5"/>
          <w:w w:val="105"/>
          <w:sz w:val="13"/>
        </w:rPr>
        <w:t> </w:t>
      </w:r>
      <w:r>
        <w:rPr>
          <w:i/>
          <w:w w:val="105"/>
          <w:sz w:val="13"/>
        </w:rPr>
        <w:t>Intestacy</w:t>
      </w:r>
      <w:r>
        <w:rPr>
          <w:i/>
          <w:spacing w:val="3"/>
          <w:w w:val="105"/>
          <w:sz w:val="13"/>
        </w:rPr>
        <w:t> </w:t>
      </w:r>
      <w:r>
        <w:rPr>
          <w:i/>
          <w:w w:val="105"/>
          <w:sz w:val="13"/>
        </w:rPr>
        <w:t>Act</w:t>
      </w:r>
      <w:r>
        <w:rPr>
          <w:i/>
          <w:spacing w:val="4"/>
          <w:w w:val="105"/>
          <w:sz w:val="13"/>
        </w:rPr>
        <w:t> </w:t>
      </w:r>
      <w:r>
        <w:rPr>
          <w:i/>
          <w:spacing w:val="-3"/>
          <w:w w:val="105"/>
          <w:sz w:val="13"/>
        </w:rPr>
        <w:t>2010</w:t>
      </w:r>
      <w:r>
        <w:rPr>
          <w:i/>
          <w:spacing w:val="4"/>
          <w:w w:val="105"/>
          <w:sz w:val="13"/>
        </w:rPr>
        <w:t> </w:t>
      </w:r>
      <w:r>
        <w:rPr>
          <w:w w:val="105"/>
          <w:sz w:val="13"/>
        </w:rPr>
        <w:t>(Tas)</w:t>
      </w:r>
      <w:r>
        <w:rPr>
          <w:spacing w:val="4"/>
          <w:w w:val="105"/>
          <w:sz w:val="13"/>
        </w:rPr>
        <w:t> </w:t>
      </w:r>
      <w:r>
        <w:rPr>
          <w:w w:val="105"/>
          <w:sz w:val="13"/>
        </w:rPr>
        <w:t>s</w:t>
      </w:r>
      <w:r>
        <w:rPr>
          <w:spacing w:val="5"/>
          <w:w w:val="105"/>
          <w:sz w:val="13"/>
        </w:rPr>
        <w:t> </w:t>
      </w:r>
      <w:r>
        <w:rPr>
          <w:spacing w:val="3"/>
          <w:w w:val="105"/>
          <w:sz w:val="13"/>
        </w:rPr>
        <w:t>7(9).</w:t>
      </w:r>
    </w:p>
    <w:p>
      <w:pPr>
        <w:pStyle w:val="ListParagraph"/>
        <w:numPr>
          <w:ilvl w:val="0"/>
          <w:numId w:val="57"/>
        </w:numPr>
        <w:tabs>
          <w:tab w:pos="2381" w:val="left" w:leader="none"/>
          <w:tab w:pos="2382" w:val="left" w:leader="none"/>
        </w:tabs>
        <w:spacing w:line="240" w:lineRule="auto" w:before="1" w:after="0"/>
        <w:ind w:left="2381" w:right="2369" w:hanging="794"/>
        <w:jc w:val="left"/>
        <w:rPr>
          <w:sz w:val="13"/>
        </w:rPr>
      </w:pPr>
      <w:r>
        <w:rPr>
          <w:sz w:val="13"/>
        </w:rPr>
        <w:t>See </w:t>
      </w:r>
      <w:r>
        <w:rPr>
          <w:spacing w:val="-3"/>
          <w:sz w:val="13"/>
        </w:rPr>
        <w:t>[5.131] </w:t>
      </w:r>
      <w:r>
        <w:rPr>
          <w:sz w:val="13"/>
        </w:rPr>
        <w:t>below for the Commission’s recommendations in relation to the more limited circumstances in which the deceased  person’s</w:t>
      </w:r>
      <w:r>
        <w:rPr>
          <w:spacing w:val="7"/>
          <w:sz w:val="13"/>
        </w:rPr>
        <w:t> </w:t>
      </w:r>
      <w:r>
        <w:rPr>
          <w:sz w:val="13"/>
        </w:rPr>
        <w:t>children</w:t>
      </w:r>
      <w:r>
        <w:rPr>
          <w:spacing w:val="7"/>
          <w:sz w:val="13"/>
        </w:rPr>
        <w:t> </w:t>
      </w:r>
      <w:r>
        <w:rPr>
          <w:sz w:val="13"/>
        </w:rPr>
        <w:t>should</w:t>
      </w:r>
      <w:r>
        <w:rPr>
          <w:spacing w:val="7"/>
          <w:sz w:val="13"/>
        </w:rPr>
        <w:t> </w:t>
      </w:r>
      <w:r>
        <w:rPr>
          <w:sz w:val="13"/>
        </w:rPr>
        <w:t>be</w:t>
      </w:r>
      <w:r>
        <w:rPr>
          <w:spacing w:val="7"/>
          <w:sz w:val="13"/>
        </w:rPr>
        <w:t> </w:t>
      </w:r>
      <w:r>
        <w:rPr>
          <w:sz w:val="13"/>
        </w:rPr>
        <w:t>able</w:t>
      </w:r>
      <w:r>
        <w:rPr>
          <w:spacing w:val="7"/>
          <w:sz w:val="13"/>
        </w:rPr>
        <w:t> </w:t>
      </w:r>
      <w:r>
        <w:rPr>
          <w:sz w:val="13"/>
        </w:rPr>
        <w:t>to</w:t>
      </w:r>
      <w:r>
        <w:rPr>
          <w:spacing w:val="7"/>
          <w:sz w:val="13"/>
        </w:rPr>
        <w:t> </w:t>
      </w:r>
      <w:r>
        <w:rPr>
          <w:sz w:val="13"/>
        </w:rPr>
        <w:t>inherit</w:t>
      </w:r>
      <w:r>
        <w:rPr>
          <w:spacing w:val="7"/>
          <w:sz w:val="13"/>
        </w:rPr>
        <w:t> </w:t>
      </w:r>
      <w:r>
        <w:rPr>
          <w:sz w:val="13"/>
        </w:rPr>
        <w:t>on</w:t>
      </w:r>
      <w:r>
        <w:rPr>
          <w:spacing w:val="7"/>
          <w:sz w:val="13"/>
        </w:rPr>
        <w:t> </w:t>
      </w:r>
      <w:r>
        <w:rPr>
          <w:sz w:val="13"/>
        </w:rPr>
        <w:t>intestacy.</w:t>
      </w:r>
    </w:p>
    <w:p>
      <w:pPr>
        <w:pStyle w:val="ListParagraph"/>
        <w:numPr>
          <w:ilvl w:val="0"/>
          <w:numId w:val="57"/>
        </w:numPr>
        <w:tabs>
          <w:tab w:pos="2381" w:val="left" w:leader="none"/>
          <w:tab w:pos="2382" w:val="left" w:leader="none"/>
        </w:tabs>
        <w:spacing w:line="240" w:lineRule="auto" w:before="3" w:after="0"/>
        <w:ind w:left="2381" w:right="0" w:hanging="794"/>
        <w:jc w:val="left"/>
        <w:rPr>
          <w:sz w:val="13"/>
        </w:rPr>
      </w:pPr>
      <w:r>
        <w:rPr/>
        <w:pict>
          <v:shape style="position:absolute;margin-left:549.026489pt;margin-top:2.952463pt;width:12.95pt;height:14.25pt;mso-position-horizontal-relative:page;mso-position-vertical-relative:paragraph;z-index:6016" type="#_x0000_t202" filled="false" stroked="false">
            <v:textbox inset="0,0,0,0">
              <w:txbxContent>
                <w:p>
                  <w:pPr>
                    <w:spacing w:line="284" w:lineRule="exact" w:before="0"/>
                    <w:ind w:left="0" w:right="0" w:firstLine="0"/>
                    <w:jc w:val="left"/>
                    <w:rPr>
                      <w:b/>
                      <w:sz w:val="24"/>
                    </w:rPr>
                  </w:pPr>
                  <w:r>
                    <w:rPr>
                      <w:b/>
                      <w:color w:val="EC5A4F"/>
                      <w:spacing w:val="-5"/>
                      <w:w w:val="110"/>
                      <w:sz w:val="24"/>
                    </w:rPr>
                    <w:t>67</w:t>
                  </w:r>
                </w:p>
              </w:txbxContent>
            </v:textbox>
            <w10:wrap type="none"/>
          </v:shape>
        </w:pict>
      </w:r>
      <w:r>
        <w:rPr>
          <w:i/>
          <w:w w:val="105"/>
          <w:sz w:val="13"/>
        </w:rPr>
        <w:t>Administration and Probate Act 1958 </w:t>
      </w:r>
      <w:r>
        <w:rPr>
          <w:spacing w:val="2"/>
          <w:w w:val="105"/>
          <w:sz w:val="13"/>
        </w:rPr>
        <w:t>(Vic) </w:t>
      </w:r>
      <w:r>
        <w:rPr>
          <w:w w:val="105"/>
          <w:sz w:val="13"/>
        </w:rPr>
        <w:t>s 3(1) (definition of</w:t>
      </w:r>
      <w:r>
        <w:rPr>
          <w:spacing w:val="8"/>
          <w:w w:val="105"/>
          <w:sz w:val="13"/>
        </w:rPr>
        <w:t> </w:t>
      </w:r>
      <w:r>
        <w:rPr>
          <w:w w:val="105"/>
          <w:sz w:val="13"/>
        </w:rPr>
        <w:t>‘partner’).</w:t>
      </w:r>
    </w:p>
    <w:p>
      <w:pPr>
        <w:pStyle w:val="ListParagraph"/>
        <w:numPr>
          <w:ilvl w:val="0"/>
          <w:numId w:val="57"/>
        </w:numPr>
        <w:tabs>
          <w:tab w:pos="2381" w:val="left" w:leader="none"/>
          <w:tab w:pos="2382" w:val="left" w:leader="none"/>
        </w:tabs>
        <w:spacing w:line="240" w:lineRule="auto" w:before="1" w:after="0"/>
        <w:ind w:left="2381" w:right="0" w:hanging="794"/>
        <w:jc w:val="left"/>
        <w:rPr>
          <w:sz w:val="13"/>
        </w:rPr>
      </w:pPr>
      <w:r>
        <w:rPr>
          <w:sz w:val="13"/>
        </w:rPr>
        <w:t>Ibid s 3(1) (definition of ‘domestic</w:t>
      </w:r>
      <w:r>
        <w:rPr>
          <w:spacing w:val="9"/>
          <w:sz w:val="13"/>
        </w:rPr>
        <w:t> </w:t>
      </w:r>
      <w:r>
        <w:rPr>
          <w:spacing w:val="2"/>
          <w:sz w:val="13"/>
        </w:rPr>
        <w:t>partner’).</w:t>
      </w:r>
    </w:p>
    <w:p>
      <w:pPr>
        <w:spacing w:after="0" w:line="240" w:lineRule="auto"/>
        <w:jc w:val="left"/>
        <w:rPr>
          <w:sz w:val="13"/>
        </w:rPr>
        <w:sectPr>
          <w:pgSz w:w="11910" w:h="16840"/>
          <w:pgMar w:header="805" w:footer="0" w:top="1360" w:bottom="280" w:left="0" w:right="0"/>
        </w:sectPr>
      </w:pPr>
    </w:p>
    <w:p>
      <w:pPr>
        <w:pStyle w:val="BodyText"/>
        <w:spacing w:before="5"/>
        <w:rPr>
          <w:sz w:val="20"/>
        </w:rPr>
      </w:pPr>
    </w:p>
    <w:p>
      <w:pPr>
        <w:pStyle w:val="BodyText"/>
        <w:spacing w:line="242" w:lineRule="auto" w:before="92"/>
        <w:ind w:left="2381" w:right="1619"/>
        <w:rPr>
          <w:sz w:val="12"/>
        </w:rPr>
      </w:pPr>
      <w:r>
        <w:rPr>
          <w:w w:val="105"/>
        </w:rPr>
        <w:t>The </w:t>
      </w:r>
      <w:r>
        <w:rPr>
          <w:spacing w:val="-3"/>
          <w:w w:val="105"/>
        </w:rPr>
        <w:t>Administration </w:t>
      </w:r>
      <w:r>
        <w:rPr>
          <w:w w:val="105"/>
        </w:rPr>
        <w:t>and </w:t>
      </w:r>
      <w:r>
        <w:rPr>
          <w:spacing w:val="-3"/>
          <w:w w:val="105"/>
        </w:rPr>
        <w:t>Probate </w:t>
      </w:r>
      <w:r>
        <w:rPr>
          <w:w w:val="105"/>
        </w:rPr>
        <w:t>Act defines </w:t>
      </w:r>
      <w:r>
        <w:rPr>
          <w:spacing w:val="-3"/>
          <w:w w:val="105"/>
        </w:rPr>
        <w:t>registered caring partner,</w:t>
      </w:r>
      <w:r>
        <w:rPr>
          <w:spacing w:val="-3"/>
          <w:w w:val="105"/>
          <w:position w:val="7"/>
          <w:sz w:val="12"/>
        </w:rPr>
        <w:t>95 </w:t>
      </w:r>
      <w:r>
        <w:rPr>
          <w:w w:val="105"/>
        </w:rPr>
        <w:t>but this person appears only </w:t>
      </w:r>
      <w:r>
        <w:rPr>
          <w:spacing w:val="-3"/>
          <w:w w:val="105"/>
        </w:rPr>
        <w:t>to </w:t>
      </w:r>
      <w:r>
        <w:rPr>
          <w:w w:val="105"/>
        </w:rPr>
        <w:t>be entitled </w:t>
      </w:r>
      <w:r>
        <w:rPr>
          <w:spacing w:val="-3"/>
          <w:w w:val="105"/>
        </w:rPr>
        <w:t>to inherit </w:t>
      </w:r>
      <w:r>
        <w:rPr>
          <w:w w:val="105"/>
        </w:rPr>
        <w:t>on intestacy in </w:t>
      </w:r>
      <w:r>
        <w:rPr>
          <w:spacing w:val="-3"/>
          <w:w w:val="105"/>
        </w:rPr>
        <w:t>limited circumstances, </w:t>
      </w:r>
      <w:r>
        <w:rPr>
          <w:w w:val="105"/>
        </w:rPr>
        <w:t>where the deceased person is survived by both a </w:t>
      </w:r>
      <w:r>
        <w:rPr>
          <w:spacing w:val="-3"/>
          <w:w w:val="105"/>
        </w:rPr>
        <w:t>registered caring </w:t>
      </w:r>
      <w:r>
        <w:rPr>
          <w:w w:val="105"/>
        </w:rPr>
        <w:t>partner and an </w:t>
      </w:r>
      <w:r>
        <w:rPr>
          <w:spacing w:val="-3"/>
          <w:w w:val="105"/>
        </w:rPr>
        <w:t>unregistered </w:t>
      </w:r>
      <w:r>
        <w:rPr>
          <w:w w:val="105"/>
        </w:rPr>
        <w:t>domestic </w:t>
      </w:r>
      <w:r>
        <w:rPr>
          <w:spacing w:val="-3"/>
          <w:w w:val="105"/>
        </w:rPr>
        <w:t>partner.</w:t>
      </w:r>
      <w:r>
        <w:rPr>
          <w:spacing w:val="-3"/>
          <w:w w:val="105"/>
          <w:position w:val="7"/>
          <w:sz w:val="12"/>
        </w:rPr>
        <w:t>96</w:t>
      </w:r>
    </w:p>
    <w:p>
      <w:pPr>
        <w:pStyle w:val="ListParagraph"/>
        <w:numPr>
          <w:ilvl w:val="1"/>
          <w:numId w:val="22"/>
        </w:numPr>
        <w:tabs>
          <w:tab w:pos="2381" w:val="left" w:leader="none"/>
          <w:tab w:pos="2382" w:val="left" w:leader="none"/>
        </w:tabs>
        <w:spacing w:line="242" w:lineRule="auto" w:before="124" w:after="0"/>
        <w:ind w:left="2381" w:right="1768" w:hanging="794"/>
        <w:jc w:val="left"/>
        <w:rPr>
          <w:sz w:val="12"/>
        </w:rPr>
      </w:pPr>
      <w:r>
        <w:rPr>
          <w:spacing w:val="-3"/>
          <w:sz w:val="21"/>
        </w:rPr>
        <w:t>Submissions </w:t>
      </w:r>
      <w:r>
        <w:rPr>
          <w:sz w:val="21"/>
        </w:rPr>
        <w:t>and </w:t>
      </w:r>
      <w:r>
        <w:rPr>
          <w:spacing w:val="-3"/>
          <w:sz w:val="21"/>
        </w:rPr>
        <w:t>consultations </w:t>
      </w:r>
      <w:r>
        <w:rPr>
          <w:sz w:val="21"/>
        </w:rPr>
        <w:t>did  </w:t>
      </w:r>
      <w:r>
        <w:rPr>
          <w:spacing w:val="-2"/>
          <w:sz w:val="21"/>
        </w:rPr>
        <w:t>not  </w:t>
      </w:r>
      <w:r>
        <w:rPr>
          <w:sz w:val="21"/>
        </w:rPr>
        <w:t>address  whether  </w:t>
      </w:r>
      <w:r>
        <w:rPr>
          <w:spacing w:val="-3"/>
          <w:sz w:val="21"/>
        </w:rPr>
        <w:t>registered  caring  </w:t>
      </w:r>
      <w:r>
        <w:rPr>
          <w:sz w:val="21"/>
        </w:rPr>
        <w:t>partners  </w:t>
      </w:r>
      <w:r>
        <w:rPr>
          <w:spacing w:val="-4"/>
          <w:sz w:val="21"/>
        </w:rPr>
        <w:t>are, </w:t>
      </w:r>
      <w:r>
        <w:rPr>
          <w:sz w:val="21"/>
        </w:rPr>
        <w:t>or should </w:t>
      </w:r>
      <w:r>
        <w:rPr>
          <w:spacing w:val="-3"/>
          <w:sz w:val="21"/>
        </w:rPr>
        <w:t>be, </w:t>
      </w:r>
      <w:r>
        <w:rPr>
          <w:sz w:val="21"/>
        </w:rPr>
        <w:t>entitled </w:t>
      </w:r>
      <w:r>
        <w:rPr>
          <w:spacing w:val="-3"/>
          <w:sz w:val="21"/>
        </w:rPr>
        <w:t>to inherit </w:t>
      </w:r>
      <w:r>
        <w:rPr>
          <w:sz w:val="21"/>
        </w:rPr>
        <w:t>on intestacy in the same </w:t>
      </w:r>
      <w:r>
        <w:rPr>
          <w:spacing w:val="-3"/>
          <w:sz w:val="21"/>
        </w:rPr>
        <w:t>circumstances </w:t>
      </w:r>
      <w:r>
        <w:rPr>
          <w:sz w:val="21"/>
        </w:rPr>
        <w:t>as spouses, </w:t>
      </w:r>
      <w:r>
        <w:rPr>
          <w:spacing w:val="-3"/>
          <w:sz w:val="21"/>
        </w:rPr>
        <w:t>registered </w:t>
      </w:r>
      <w:r>
        <w:rPr>
          <w:sz w:val="21"/>
        </w:rPr>
        <w:t>domestic partners and </w:t>
      </w:r>
      <w:r>
        <w:rPr>
          <w:spacing w:val="-3"/>
          <w:sz w:val="21"/>
        </w:rPr>
        <w:t>unregistered </w:t>
      </w:r>
      <w:r>
        <w:rPr>
          <w:sz w:val="21"/>
        </w:rPr>
        <w:t>domestic partners. </w:t>
      </w:r>
      <w:r>
        <w:rPr>
          <w:spacing w:val="-4"/>
          <w:sz w:val="21"/>
        </w:rPr>
        <w:t>Further, </w:t>
      </w:r>
      <w:r>
        <w:rPr>
          <w:sz w:val="21"/>
        </w:rPr>
        <w:t>the </w:t>
      </w:r>
      <w:r>
        <w:rPr>
          <w:spacing w:val="-3"/>
          <w:sz w:val="21"/>
        </w:rPr>
        <w:t>problem </w:t>
      </w:r>
      <w:r>
        <w:rPr>
          <w:sz w:val="21"/>
        </w:rPr>
        <w:t>does </w:t>
      </w:r>
      <w:r>
        <w:rPr>
          <w:spacing w:val="-2"/>
          <w:sz w:val="21"/>
        </w:rPr>
        <w:t>not </w:t>
      </w:r>
      <w:r>
        <w:rPr>
          <w:sz w:val="21"/>
        </w:rPr>
        <w:t>appear </w:t>
      </w:r>
      <w:r>
        <w:rPr>
          <w:spacing w:val="-3"/>
          <w:sz w:val="21"/>
        </w:rPr>
        <w:t>to have  </w:t>
      </w:r>
      <w:r>
        <w:rPr>
          <w:sz w:val="21"/>
        </w:rPr>
        <w:t>been </w:t>
      </w:r>
      <w:r>
        <w:rPr>
          <w:spacing w:val="-3"/>
          <w:sz w:val="21"/>
        </w:rPr>
        <w:t>considered</w:t>
      </w:r>
      <w:r>
        <w:rPr>
          <w:spacing w:val="41"/>
          <w:sz w:val="21"/>
        </w:rPr>
        <w:t> </w:t>
      </w:r>
      <w:r>
        <w:rPr>
          <w:sz w:val="21"/>
        </w:rPr>
        <w:t>by the </w:t>
      </w:r>
      <w:r>
        <w:rPr>
          <w:spacing w:val="-3"/>
          <w:sz w:val="21"/>
        </w:rPr>
        <w:t>Probate  </w:t>
      </w:r>
      <w:r>
        <w:rPr>
          <w:sz w:val="21"/>
        </w:rPr>
        <w:t>Registry of the </w:t>
      </w:r>
      <w:r>
        <w:rPr>
          <w:spacing w:val="-3"/>
          <w:sz w:val="21"/>
        </w:rPr>
        <w:t>Supreme  Court  </w:t>
      </w:r>
      <w:r>
        <w:rPr>
          <w:sz w:val="21"/>
        </w:rPr>
        <w:t>of Victoria yet, as the </w:t>
      </w:r>
      <w:r>
        <w:rPr>
          <w:spacing w:val="-3"/>
          <w:sz w:val="21"/>
        </w:rPr>
        <w:t>Commission </w:t>
      </w:r>
      <w:r>
        <w:rPr>
          <w:sz w:val="21"/>
        </w:rPr>
        <w:t>understands </w:t>
      </w:r>
      <w:r>
        <w:rPr>
          <w:spacing w:val="-3"/>
          <w:sz w:val="21"/>
        </w:rPr>
        <w:t>that </w:t>
      </w:r>
      <w:r>
        <w:rPr>
          <w:sz w:val="21"/>
        </w:rPr>
        <w:t>the </w:t>
      </w:r>
      <w:r>
        <w:rPr>
          <w:spacing w:val="-3"/>
          <w:sz w:val="21"/>
        </w:rPr>
        <w:t>Supreme Court </w:t>
      </w:r>
      <w:r>
        <w:rPr>
          <w:sz w:val="21"/>
        </w:rPr>
        <w:t>only received its first intestacy </w:t>
      </w:r>
      <w:r>
        <w:rPr>
          <w:spacing w:val="-3"/>
          <w:sz w:val="21"/>
        </w:rPr>
        <w:t>claim </w:t>
      </w:r>
      <w:r>
        <w:rPr>
          <w:sz w:val="21"/>
        </w:rPr>
        <w:t>by a </w:t>
      </w:r>
      <w:r>
        <w:rPr>
          <w:spacing w:val="-3"/>
          <w:sz w:val="21"/>
        </w:rPr>
        <w:t>registered </w:t>
      </w:r>
      <w:r>
        <w:rPr>
          <w:sz w:val="21"/>
        </w:rPr>
        <w:t>domestic partner in</w:t>
      </w:r>
      <w:r>
        <w:rPr>
          <w:spacing w:val="11"/>
          <w:sz w:val="21"/>
        </w:rPr>
        <w:t> </w:t>
      </w:r>
      <w:r>
        <w:rPr>
          <w:spacing w:val="-8"/>
          <w:sz w:val="21"/>
        </w:rPr>
        <w:t>2012.</w:t>
      </w:r>
      <w:r>
        <w:rPr>
          <w:spacing w:val="-8"/>
          <w:position w:val="7"/>
          <w:sz w:val="12"/>
        </w:rPr>
        <w:t>97</w:t>
      </w:r>
    </w:p>
    <w:p>
      <w:pPr>
        <w:pStyle w:val="ListParagraph"/>
        <w:numPr>
          <w:ilvl w:val="1"/>
          <w:numId w:val="22"/>
        </w:numPr>
        <w:tabs>
          <w:tab w:pos="2380" w:val="left" w:leader="none"/>
          <w:tab w:pos="2381" w:val="left" w:leader="none"/>
        </w:tabs>
        <w:spacing w:line="242" w:lineRule="auto" w:before="127" w:after="0"/>
        <w:ind w:left="2381" w:right="1836" w:hanging="794"/>
        <w:jc w:val="left"/>
        <w:rPr>
          <w:sz w:val="12"/>
        </w:rPr>
      </w:pPr>
      <w:r>
        <w:rPr>
          <w:w w:val="105"/>
          <w:sz w:val="21"/>
        </w:rPr>
        <w:t>It</w:t>
      </w:r>
      <w:r>
        <w:rPr>
          <w:spacing w:val="-9"/>
          <w:w w:val="105"/>
          <w:sz w:val="21"/>
        </w:rPr>
        <w:t> </w:t>
      </w:r>
      <w:r>
        <w:rPr>
          <w:w w:val="105"/>
          <w:sz w:val="21"/>
        </w:rPr>
        <w:t>is</w:t>
      </w:r>
      <w:r>
        <w:rPr>
          <w:spacing w:val="-8"/>
          <w:w w:val="105"/>
          <w:sz w:val="21"/>
        </w:rPr>
        <w:t> </w:t>
      </w:r>
      <w:r>
        <w:rPr>
          <w:spacing w:val="-4"/>
          <w:w w:val="105"/>
          <w:sz w:val="21"/>
        </w:rPr>
        <w:t>unlikely</w:t>
      </w:r>
      <w:r>
        <w:rPr>
          <w:spacing w:val="-9"/>
          <w:w w:val="105"/>
          <w:sz w:val="21"/>
        </w:rPr>
        <w:t> </w:t>
      </w:r>
      <w:r>
        <w:rPr>
          <w:spacing w:val="-3"/>
          <w:w w:val="105"/>
          <w:sz w:val="21"/>
        </w:rPr>
        <w:t>that</w:t>
      </w:r>
      <w:r>
        <w:rPr>
          <w:spacing w:val="-8"/>
          <w:w w:val="105"/>
          <w:sz w:val="21"/>
        </w:rPr>
        <w:t> </w:t>
      </w:r>
      <w:r>
        <w:rPr>
          <w:spacing w:val="-3"/>
          <w:w w:val="105"/>
          <w:sz w:val="21"/>
        </w:rPr>
        <w:t>Parliament</w:t>
      </w:r>
      <w:r>
        <w:rPr>
          <w:spacing w:val="-9"/>
          <w:w w:val="105"/>
          <w:sz w:val="21"/>
        </w:rPr>
        <w:t> </w:t>
      </w:r>
      <w:r>
        <w:rPr>
          <w:spacing w:val="-3"/>
          <w:w w:val="105"/>
          <w:sz w:val="21"/>
        </w:rPr>
        <w:t>intended</w:t>
      </w:r>
      <w:r>
        <w:rPr>
          <w:spacing w:val="-8"/>
          <w:w w:val="105"/>
          <w:sz w:val="21"/>
        </w:rPr>
        <w:t> </w:t>
      </w:r>
      <w:r>
        <w:rPr>
          <w:spacing w:val="-3"/>
          <w:w w:val="105"/>
          <w:sz w:val="21"/>
        </w:rPr>
        <w:t>that</w:t>
      </w:r>
      <w:r>
        <w:rPr>
          <w:spacing w:val="-9"/>
          <w:w w:val="105"/>
          <w:sz w:val="21"/>
        </w:rPr>
        <w:t> </w:t>
      </w:r>
      <w:r>
        <w:rPr>
          <w:spacing w:val="-3"/>
          <w:w w:val="105"/>
          <w:sz w:val="21"/>
        </w:rPr>
        <w:t>registered</w:t>
      </w:r>
      <w:r>
        <w:rPr>
          <w:spacing w:val="-8"/>
          <w:w w:val="105"/>
          <w:sz w:val="21"/>
        </w:rPr>
        <w:t> </w:t>
      </w:r>
      <w:r>
        <w:rPr>
          <w:spacing w:val="-3"/>
          <w:w w:val="105"/>
          <w:sz w:val="21"/>
        </w:rPr>
        <w:t>caring</w:t>
      </w:r>
      <w:r>
        <w:rPr>
          <w:spacing w:val="-9"/>
          <w:w w:val="105"/>
          <w:sz w:val="21"/>
        </w:rPr>
        <w:t> </w:t>
      </w:r>
      <w:r>
        <w:rPr>
          <w:w w:val="105"/>
          <w:sz w:val="21"/>
        </w:rPr>
        <w:t>partners</w:t>
      </w:r>
      <w:r>
        <w:rPr>
          <w:spacing w:val="-8"/>
          <w:w w:val="105"/>
          <w:sz w:val="21"/>
        </w:rPr>
        <w:t> </w:t>
      </w:r>
      <w:r>
        <w:rPr>
          <w:spacing w:val="-3"/>
          <w:w w:val="105"/>
          <w:sz w:val="21"/>
        </w:rPr>
        <w:t>inherit</w:t>
      </w:r>
      <w:r>
        <w:rPr>
          <w:spacing w:val="-9"/>
          <w:w w:val="105"/>
          <w:sz w:val="21"/>
        </w:rPr>
        <w:t> </w:t>
      </w:r>
      <w:r>
        <w:rPr>
          <w:w w:val="105"/>
          <w:sz w:val="21"/>
        </w:rPr>
        <w:t>on</w:t>
      </w:r>
      <w:r>
        <w:rPr>
          <w:spacing w:val="-8"/>
          <w:w w:val="105"/>
          <w:sz w:val="21"/>
        </w:rPr>
        <w:t> </w:t>
      </w:r>
      <w:r>
        <w:rPr>
          <w:w w:val="105"/>
          <w:sz w:val="21"/>
        </w:rPr>
        <w:t>intestacy only when the deceased person is survived by both a </w:t>
      </w:r>
      <w:r>
        <w:rPr>
          <w:spacing w:val="-3"/>
          <w:w w:val="105"/>
          <w:sz w:val="21"/>
        </w:rPr>
        <w:t>registered caring </w:t>
      </w:r>
      <w:r>
        <w:rPr>
          <w:w w:val="105"/>
          <w:sz w:val="21"/>
        </w:rPr>
        <w:t>partner and an </w:t>
      </w:r>
      <w:r>
        <w:rPr>
          <w:spacing w:val="-3"/>
          <w:w w:val="105"/>
          <w:sz w:val="21"/>
        </w:rPr>
        <w:t>unregistered</w:t>
      </w:r>
      <w:r>
        <w:rPr>
          <w:spacing w:val="-8"/>
          <w:w w:val="105"/>
          <w:sz w:val="21"/>
        </w:rPr>
        <w:t> </w:t>
      </w:r>
      <w:r>
        <w:rPr>
          <w:w w:val="105"/>
          <w:sz w:val="21"/>
        </w:rPr>
        <w:t>domestic</w:t>
      </w:r>
      <w:r>
        <w:rPr>
          <w:spacing w:val="-8"/>
          <w:w w:val="105"/>
          <w:sz w:val="21"/>
        </w:rPr>
        <w:t> </w:t>
      </w:r>
      <w:r>
        <w:rPr>
          <w:spacing w:val="-3"/>
          <w:w w:val="105"/>
          <w:sz w:val="21"/>
        </w:rPr>
        <w:t>partner,</w:t>
      </w:r>
      <w:r>
        <w:rPr>
          <w:spacing w:val="-8"/>
          <w:w w:val="105"/>
          <w:sz w:val="21"/>
        </w:rPr>
        <w:t> </w:t>
      </w:r>
      <w:r>
        <w:rPr>
          <w:w w:val="105"/>
          <w:sz w:val="21"/>
        </w:rPr>
        <w:t>but</w:t>
      </w:r>
      <w:r>
        <w:rPr>
          <w:spacing w:val="-8"/>
          <w:w w:val="105"/>
          <w:sz w:val="21"/>
        </w:rPr>
        <w:t> </w:t>
      </w:r>
      <w:r>
        <w:rPr>
          <w:spacing w:val="-2"/>
          <w:w w:val="105"/>
          <w:sz w:val="21"/>
        </w:rPr>
        <w:t>not</w:t>
      </w:r>
      <w:r>
        <w:rPr>
          <w:spacing w:val="-7"/>
          <w:w w:val="105"/>
          <w:sz w:val="21"/>
        </w:rPr>
        <w:t> </w:t>
      </w:r>
      <w:r>
        <w:rPr>
          <w:w w:val="105"/>
          <w:sz w:val="21"/>
        </w:rPr>
        <w:t>when</w:t>
      </w:r>
      <w:r>
        <w:rPr>
          <w:spacing w:val="-8"/>
          <w:w w:val="105"/>
          <w:sz w:val="21"/>
        </w:rPr>
        <w:t> </w:t>
      </w:r>
      <w:r>
        <w:rPr>
          <w:w w:val="105"/>
          <w:sz w:val="21"/>
        </w:rPr>
        <w:t>they</w:t>
      </w:r>
      <w:r>
        <w:rPr>
          <w:spacing w:val="-8"/>
          <w:w w:val="105"/>
          <w:sz w:val="21"/>
        </w:rPr>
        <w:t> </w:t>
      </w:r>
      <w:r>
        <w:rPr>
          <w:spacing w:val="-3"/>
          <w:w w:val="105"/>
          <w:sz w:val="21"/>
        </w:rPr>
        <w:t>are</w:t>
      </w:r>
      <w:r>
        <w:rPr>
          <w:spacing w:val="-8"/>
          <w:w w:val="105"/>
          <w:sz w:val="21"/>
        </w:rPr>
        <w:t> </w:t>
      </w:r>
      <w:r>
        <w:rPr>
          <w:w w:val="105"/>
          <w:sz w:val="21"/>
        </w:rPr>
        <w:t>the</w:t>
      </w:r>
      <w:r>
        <w:rPr>
          <w:spacing w:val="-8"/>
          <w:w w:val="105"/>
          <w:sz w:val="21"/>
        </w:rPr>
        <w:t> </w:t>
      </w:r>
      <w:r>
        <w:rPr>
          <w:w w:val="105"/>
          <w:sz w:val="21"/>
        </w:rPr>
        <w:t>only</w:t>
      </w:r>
      <w:r>
        <w:rPr>
          <w:spacing w:val="-7"/>
          <w:w w:val="105"/>
          <w:sz w:val="21"/>
        </w:rPr>
        <w:t> </w:t>
      </w:r>
      <w:r>
        <w:rPr>
          <w:w w:val="105"/>
          <w:sz w:val="21"/>
        </w:rPr>
        <w:t>surviving</w:t>
      </w:r>
      <w:r>
        <w:rPr>
          <w:spacing w:val="-8"/>
          <w:w w:val="105"/>
          <w:sz w:val="21"/>
        </w:rPr>
        <w:t> </w:t>
      </w:r>
      <w:r>
        <w:rPr>
          <w:w w:val="105"/>
          <w:sz w:val="21"/>
        </w:rPr>
        <w:t>partner</w:t>
      </w:r>
      <w:r>
        <w:rPr>
          <w:spacing w:val="-8"/>
          <w:w w:val="105"/>
          <w:sz w:val="21"/>
        </w:rPr>
        <w:t> </w:t>
      </w:r>
      <w:r>
        <w:rPr>
          <w:w w:val="105"/>
          <w:sz w:val="21"/>
        </w:rPr>
        <w:t>of</w:t>
      </w:r>
      <w:r>
        <w:rPr>
          <w:spacing w:val="-8"/>
          <w:w w:val="105"/>
          <w:sz w:val="21"/>
        </w:rPr>
        <w:t> </w:t>
      </w:r>
      <w:r>
        <w:rPr>
          <w:w w:val="105"/>
          <w:sz w:val="21"/>
        </w:rPr>
        <w:t>the deceased person. Indeed, the explanatory </w:t>
      </w:r>
      <w:r>
        <w:rPr>
          <w:spacing w:val="-3"/>
          <w:w w:val="105"/>
          <w:sz w:val="21"/>
        </w:rPr>
        <w:t>memorandum for </w:t>
      </w:r>
      <w:r>
        <w:rPr>
          <w:w w:val="105"/>
          <w:sz w:val="21"/>
        </w:rPr>
        <w:t>the </w:t>
      </w:r>
      <w:r>
        <w:rPr>
          <w:spacing w:val="-3"/>
          <w:w w:val="105"/>
          <w:sz w:val="21"/>
        </w:rPr>
        <w:t>bill that introduced registered caring </w:t>
      </w:r>
      <w:r>
        <w:rPr>
          <w:w w:val="105"/>
          <w:sz w:val="21"/>
        </w:rPr>
        <w:t>partners </w:t>
      </w:r>
      <w:r>
        <w:rPr>
          <w:spacing w:val="-4"/>
          <w:w w:val="105"/>
          <w:sz w:val="21"/>
        </w:rPr>
        <w:t>into </w:t>
      </w:r>
      <w:r>
        <w:rPr>
          <w:w w:val="105"/>
          <w:sz w:val="21"/>
        </w:rPr>
        <w:t>the </w:t>
      </w:r>
      <w:r>
        <w:rPr>
          <w:spacing w:val="-3"/>
          <w:w w:val="105"/>
          <w:sz w:val="21"/>
        </w:rPr>
        <w:t>Administration </w:t>
      </w:r>
      <w:r>
        <w:rPr>
          <w:w w:val="105"/>
          <w:sz w:val="21"/>
        </w:rPr>
        <w:t>and </w:t>
      </w:r>
      <w:r>
        <w:rPr>
          <w:spacing w:val="-3"/>
          <w:w w:val="105"/>
          <w:sz w:val="21"/>
        </w:rPr>
        <w:t>Probate </w:t>
      </w:r>
      <w:r>
        <w:rPr>
          <w:w w:val="105"/>
          <w:sz w:val="21"/>
        </w:rPr>
        <w:t>Act specified </w:t>
      </w:r>
      <w:r>
        <w:rPr>
          <w:spacing w:val="-3"/>
          <w:w w:val="105"/>
          <w:sz w:val="21"/>
        </w:rPr>
        <w:t>that ‘it </w:t>
      </w:r>
      <w:r>
        <w:rPr>
          <w:w w:val="105"/>
          <w:sz w:val="21"/>
        </w:rPr>
        <w:t>is </w:t>
      </w:r>
      <w:r>
        <w:rPr>
          <w:spacing w:val="-3"/>
          <w:w w:val="105"/>
          <w:sz w:val="21"/>
        </w:rPr>
        <w:t>intended that </w:t>
      </w:r>
      <w:r>
        <w:rPr>
          <w:w w:val="105"/>
          <w:sz w:val="21"/>
        </w:rPr>
        <w:t>the </w:t>
      </w:r>
      <w:r>
        <w:rPr>
          <w:spacing w:val="-3"/>
          <w:w w:val="105"/>
          <w:sz w:val="21"/>
        </w:rPr>
        <w:t>provisions </w:t>
      </w:r>
      <w:r>
        <w:rPr>
          <w:w w:val="105"/>
          <w:sz w:val="21"/>
        </w:rPr>
        <w:t>of the </w:t>
      </w:r>
      <w:r>
        <w:rPr>
          <w:i/>
          <w:spacing w:val="-3"/>
          <w:w w:val="105"/>
          <w:sz w:val="21"/>
        </w:rPr>
        <w:t>Administration </w:t>
      </w:r>
      <w:r>
        <w:rPr>
          <w:i/>
          <w:w w:val="105"/>
          <w:sz w:val="21"/>
        </w:rPr>
        <w:t>and Probate Act </w:t>
      </w:r>
      <w:r>
        <w:rPr>
          <w:i/>
          <w:spacing w:val="-6"/>
          <w:w w:val="105"/>
          <w:sz w:val="21"/>
        </w:rPr>
        <w:t>1958 </w:t>
      </w:r>
      <w:r>
        <w:rPr>
          <w:spacing w:val="-3"/>
          <w:w w:val="105"/>
          <w:sz w:val="21"/>
        </w:rPr>
        <w:t>that </w:t>
      </w:r>
      <w:r>
        <w:rPr>
          <w:w w:val="105"/>
          <w:sz w:val="21"/>
        </w:rPr>
        <w:t>apply </w:t>
      </w:r>
      <w:r>
        <w:rPr>
          <w:spacing w:val="-3"/>
          <w:w w:val="105"/>
          <w:sz w:val="21"/>
        </w:rPr>
        <w:t>to </w:t>
      </w:r>
      <w:r>
        <w:rPr>
          <w:w w:val="105"/>
          <w:sz w:val="21"/>
        </w:rPr>
        <w:t>domestic partners apply </w:t>
      </w:r>
      <w:r>
        <w:rPr>
          <w:spacing w:val="-3"/>
          <w:w w:val="105"/>
          <w:sz w:val="21"/>
        </w:rPr>
        <w:t>equally to </w:t>
      </w:r>
      <w:r>
        <w:rPr>
          <w:w w:val="105"/>
          <w:sz w:val="21"/>
        </w:rPr>
        <w:t>partners in </w:t>
      </w:r>
      <w:r>
        <w:rPr>
          <w:spacing w:val="-3"/>
          <w:w w:val="105"/>
          <w:sz w:val="21"/>
        </w:rPr>
        <w:t>registered caring</w:t>
      </w:r>
      <w:r>
        <w:rPr>
          <w:spacing w:val="2"/>
          <w:w w:val="105"/>
          <w:sz w:val="21"/>
        </w:rPr>
        <w:t> </w:t>
      </w:r>
      <w:r>
        <w:rPr>
          <w:spacing w:val="-4"/>
          <w:w w:val="105"/>
          <w:sz w:val="21"/>
        </w:rPr>
        <w:t>relationships’.</w:t>
      </w:r>
      <w:r>
        <w:rPr>
          <w:spacing w:val="-4"/>
          <w:w w:val="105"/>
          <w:position w:val="7"/>
          <w:sz w:val="12"/>
        </w:rPr>
        <w:t>98</w:t>
      </w:r>
    </w:p>
    <w:p>
      <w:pPr>
        <w:pStyle w:val="ListParagraph"/>
        <w:numPr>
          <w:ilvl w:val="1"/>
          <w:numId w:val="22"/>
        </w:numPr>
        <w:tabs>
          <w:tab w:pos="2380" w:val="left" w:leader="none"/>
          <w:tab w:pos="2381" w:val="left" w:leader="none"/>
        </w:tabs>
        <w:spacing w:line="242" w:lineRule="auto" w:before="127" w:after="0"/>
        <w:ind w:left="2381" w:right="1764" w:hanging="794"/>
        <w:jc w:val="left"/>
        <w:rPr>
          <w:sz w:val="21"/>
        </w:rPr>
      </w:pPr>
      <w:r>
        <w:rPr>
          <w:sz w:val="21"/>
        </w:rPr>
        <w:t>For this </w:t>
      </w:r>
      <w:r>
        <w:rPr>
          <w:spacing w:val="-3"/>
          <w:sz w:val="21"/>
        </w:rPr>
        <w:t>reason, </w:t>
      </w:r>
      <w:r>
        <w:rPr>
          <w:sz w:val="21"/>
        </w:rPr>
        <w:t>the </w:t>
      </w:r>
      <w:r>
        <w:rPr>
          <w:spacing w:val="-3"/>
          <w:sz w:val="21"/>
        </w:rPr>
        <w:t>Commission recommends that </w:t>
      </w:r>
      <w:r>
        <w:rPr>
          <w:sz w:val="21"/>
        </w:rPr>
        <w:t>the position of  </w:t>
      </w:r>
      <w:r>
        <w:rPr>
          <w:spacing w:val="-3"/>
          <w:sz w:val="21"/>
        </w:rPr>
        <w:t>registered  caring </w:t>
      </w:r>
      <w:r>
        <w:rPr>
          <w:sz w:val="21"/>
        </w:rPr>
        <w:t>partners under the </w:t>
      </w:r>
      <w:r>
        <w:rPr>
          <w:spacing w:val="-3"/>
          <w:sz w:val="21"/>
        </w:rPr>
        <w:t>Administration </w:t>
      </w:r>
      <w:r>
        <w:rPr>
          <w:sz w:val="21"/>
        </w:rPr>
        <w:t>and </w:t>
      </w:r>
      <w:r>
        <w:rPr>
          <w:spacing w:val="-3"/>
          <w:sz w:val="21"/>
        </w:rPr>
        <w:t>Probate </w:t>
      </w:r>
      <w:r>
        <w:rPr>
          <w:sz w:val="21"/>
        </w:rPr>
        <w:t>Act be clarified </w:t>
      </w:r>
      <w:r>
        <w:rPr>
          <w:spacing w:val="-3"/>
          <w:sz w:val="21"/>
        </w:rPr>
        <w:t>to ensure that registered caring </w:t>
      </w:r>
      <w:r>
        <w:rPr>
          <w:sz w:val="21"/>
        </w:rPr>
        <w:t>partners </w:t>
      </w:r>
      <w:r>
        <w:rPr>
          <w:spacing w:val="-3"/>
          <w:sz w:val="21"/>
        </w:rPr>
        <w:t>are </w:t>
      </w:r>
      <w:r>
        <w:rPr>
          <w:sz w:val="21"/>
        </w:rPr>
        <w:t>entitled </w:t>
      </w:r>
      <w:r>
        <w:rPr>
          <w:spacing w:val="-3"/>
          <w:sz w:val="21"/>
        </w:rPr>
        <w:t>to inherit </w:t>
      </w:r>
      <w:r>
        <w:rPr>
          <w:sz w:val="21"/>
        </w:rPr>
        <w:t>on intestacy in the same </w:t>
      </w:r>
      <w:r>
        <w:rPr>
          <w:spacing w:val="-3"/>
          <w:sz w:val="21"/>
        </w:rPr>
        <w:t>circumstances </w:t>
      </w:r>
      <w:r>
        <w:rPr>
          <w:sz w:val="21"/>
        </w:rPr>
        <w:t>as spouses, </w:t>
      </w:r>
      <w:r>
        <w:rPr>
          <w:spacing w:val="-3"/>
          <w:sz w:val="21"/>
        </w:rPr>
        <w:t>registered </w:t>
      </w:r>
      <w:r>
        <w:rPr>
          <w:sz w:val="21"/>
        </w:rPr>
        <w:t>domestic partners and </w:t>
      </w:r>
      <w:r>
        <w:rPr>
          <w:spacing w:val="-3"/>
          <w:sz w:val="21"/>
        </w:rPr>
        <w:t>unregistered </w:t>
      </w:r>
      <w:r>
        <w:rPr>
          <w:sz w:val="21"/>
        </w:rPr>
        <w:t>domestic</w:t>
      </w:r>
      <w:r>
        <w:rPr>
          <w:spacing w:val="-20"/>
          <w:sz w:val="21"/>
        </w:rPr>
        <w:t> </w:t>
      </w:r>
      <w:r>
        <w:rPr>
          <w:sz w:val="21"/>
        </w:rPr>
        <w:t>partners.</w:t>
      </w:r>
    </w:p>
    <w:p>
      <w:pPr>
        <w:pStyle w:val="BodyText"/>
        <w:spacing w:before="6"/>
        <w:rPr>
          <w:sz w:val="15"/>
        </w:rPr>
      </w:pPr>
      <w:r>
        <w:rPr/>
        <w:pict>
          <v:group style="position:absolute;margin-left:62.362202pt;margin-top:11.426279pt;width:479.1pt;height:154.550pt;mso-position-horizontal-relative:page;mso-position-vertical-relative:paragraph;z-index:4064;mso-wrap-distance-left:0;mso-wrap-distance-right:0" coordorigin="1247,229" coordsize="9582,3091">
            <v:rect style="position:absolute;left:1587;top:228;width:8731;height:3091" filled="true" fillcolor="#fdebea" stroked="false">
              <v:fill type="solid"/>
            </v:rect>
            <v:line style="position:absolute" from="1247,979" to="10828,979" stroked="true" strokeweight="2.5pt" strokecolor="#ffffff">
              <v:stroke dashstyle="solid"/>
            </v:line>
            <v:shape style="position:absolute;left:2381;top:1216;width:7621;height:1929" type="#_x0000_t202" filled="false" stroked="false">
              <v:textbox inset="0,0,0,0">
                <w:txbxContent>
                  <w:p>
                    <w:pPr>
                      <w:spacing w:line="242" w:lineRule="auto" w:before="0"/>
                      <w:ind w:left="0" w:right="274" w:firstLine="0"/>
                      <w:jc w:val="left"/>
                      <w:rPr>
                        <w:sz w:val="21"/>
                      </w:rPr>
                    </w:pPr>
                    <w:r>
                      <w:rPr>
                        <w:w w:val="105"/>
                        <w:sz w:val="21"/>
                      </w:rPr>
                      <w:t>The definition of partner in the </w:t>
                    </w:r>
                    <w:r>
                      <w:rPr>
                        <w:rFonts w:ascii="Lucida Sans"/>
                        <w:i/>
                        <w:w w:val="105"/>
                        <w:sz w:val="21"/>
                      </w:rPr>
                      <w:t>Administration and Probate Act </w:t>
                    </w:r>
                    <w:r>
                      <w:rPr>
                        <w:rFonts w:ascii="Lucida Sans"/>
                        <w:i/>
                        <w:spacing w:val="-4"/>
                        <w:w w:val="105"/>
                        <w:sz w:val="21"/>
                      </w:rPr>
                      <w:t>1958 </w:t>
                    </w:r>
                    <w:r>
                      <w:rPr>
                        <w:w w:val="105"/>
                        <w:sz w:val="21"/>
                      </w:rPr>
                      <w:t>(Vic) should be amended to include registered caring partners, as defined in the </w:t>
                    </w:r>
                    <w:r>
                      <w:rPr>
                        <w:rFonts w:ascii="Lucida Sans"/>
                        <w:i/>
                        <w:w w:val="105"/>
                        <w:sz w:val="21"/>
                      </w:rPr>
                      <w:t>Administration</w:t>
                    </w:r>
                    <w:r>
                      <w:rPr>
                        <w:rFonts w:ascii="Lucida Sans"/>
                        <w:i/>
                        <w:spacing w:val="-48"/>
                        <w:w w:val="105"/>
                        <w:sz w:val="21"/>
                      </w:rPr>
                      <w:t> </w:t>
                    </w:r>
                    <w:r>
                      <w:rPr>
                        <w:rFonts w:ascii="Lucida Sans"/>
                        <w:i/>
                        <w:w w:val="105"/>
                        <w:sz w:val="21"/>
                      </w:rPr>
                      <w:t>and</w:t>
                    </w:r>
                    <w:r>
                      <w:rPr>
                        <w:rFonts w:ascii="Lucida Sans"/>
                        <w:i/>
                        <w:spacing w:val="-48"/>
                        <w:w w:val="105"/>
                        <w:sz w:val="21"/>
                      </w:rPr>
                      <w:t> </w:t>
                    </w:r>
                    <w:r>
                      <w:rPr>
                        <w:rFonts w:ascii="Lucida Sans"/>
                        <w:i/>
                        <w:w w:val="105"/>
                        <w:sz w:val="21"/>
                      </w:rPr>
                      <w:t>Probate</w:t>
                    </w:r>
                    <w:r>
                      <w:rPr>
                        <w:rFonts w:ascii="Lucida Sans"/>
                        <w:i/>
                        <w:spacing w:val="-48"/>
                        <w:w w:val="105"/>
                        <w:sz w:val="21"/>
                      </w:rPr>
                      <w:t> </w:t>
                    </w:r>
                    <w:r>
                      <w:rPr>
                        <w:rFonts w:ascii="Lucida Sans"/>
                        <w:i/>
                        <w:w w:val="105"/>
                        <w:sz w:val="21"/>
                      </w:rPr>
                      <w:t>Act</w:t>
                    </w:r>
                    <w:r>
                      <w:rPr>
                        <w:rFonts w:ascii="Lucida Sans"/>
                        <w:i/>
                        <w:spacing w:val="-48"/>
                        <w:w w:val="105"/>
                        <w:sz w:val="21"/>
                      </w:rPr>
                      <w:t> </w:t>
                    </w:r>
                    <w:r>
                      <w:rPr>
                        <w:rFonts w:ascii="Lucida Sans"/>
                        <w:i/>
                        <w:spacing w:val="-4"/>
                        <w:w w:val="105"/>
                        <w:sz w:val="21"/>
                      </w:rPr>
                      <w:t>1958</w:t>
                    </w:r>
                    <w:r>
                      <w:rPr>
                        <w:rFonts w:ascii="Lucida Sans"/>
                        <w:i/>
                        <w:spacing w:val="-48"/>
                        <w:w w:val="105"/>
                        <w:sz w:val="21"/>
                      </w:rPr>
                      <w:t> </w:t>
                    </w:r>
                    <w:r>
                      <w:rPr>
                        <w:w w:val="105"/>
                        <w:sz w:val="21"/>
                      </w:rPr>
                      <w:t>(Vic)</w:t>
                    </w:r>
                    <w:r>
                      <w:rPr>
                        <w:spacing w:val="-28"/>
                        <w:w w:val="105"/>
                        <w:sz w:val="21"/>
                      </w:rPr>
                      <w:t> </w:t>
                    </w:r>
                    <w:r>
                      <w:rPr>
                        <w:w w:val="105"/>
                        <w:sz w:val="21"/>
                      </w:rPr>
                      <w:t>by</w:t>
                    </w:r>
                    <w:r>
                      <w:rPr>
                        <w:spacing w:val="-28"/>
                        <w:w w:val="105"/>
                        <w:sz w:val="21"/>
                      </w:rPr>
                      <w:t> </w:t>
                    </w:r>
                    <w:r>
                      <w:rPr>
                        <w:w w:val="105"/>
                        <w:sz w:val="21"/>
                      </w:rPr>
                      <w:t>reference</w:t>
                    </w:r>
                    <w:r>
                      <w:rPr>
                        <w:spacing w:val="-28"/>
                        <w:w w:val="105"/>
                        <w:sz w:val="21"/>
                      </w:rPr>
                      <w:t> </w:t>
                    </w:r>
                    <w:r>
                      <w:rPr>
                        <w:w w:val="105"/>
                        <w:sz w:val="21"/>
                      </w:rPr>
                      <w:t>to</w:t>
                    </w:r>
                    <w:r>
                      <w:rPr>
                        <w:spacing w:val="-28"/>
                        <w:w w:val="105"/>
                        <w:sz w:val="21"/>
                      </w:rPr>
                      <w:t> </w:t>
                    </w:r>
                    <w:r>
                      <w:rPr>
                        <w:w w:val="105"/>
                        <w:sz w:val="21"/>
                      </w:rPr>
                      <w:t>the</w:t>
                    </w:r>
                    <w:r>
                      <w:rPr>
                        <w:spacing w:val="-28"/>
                        <w:w w:val="105"/>
                        <w:sz w:val="21"/>
                      </w:rPr>
                      <w:t> </w:t>
                    </w:r>
                    <w:r>
                      <w:rPr>
                        <w:rFonts w:ascii="Lucida Sans"/>
                        <w:i/>
                        <w:w w:val="105"/>
                        <w:sz w:val="21"/>
                      </w:rPr>
                      <w:t>Relationships </w:t>
                    </w:r>
                    <w:r>
                      <w:rPr>
                        <w:rFonts w:ascii="Lucida Sans"/>
                        <w:i/>
                        <w:w w:val="105"/>
                        <w:sz w:val="21"/>
                      </w:rPr>
                      <w:t>Act 2008</w:t>
                    </w:r>
                    <w:r>
                      <w:rPr>
                        <w:rFonts w:ascii="Lucida Sans"/>
                        <w:i/>
                        <w:spacing w:val="-30"/>
                        <w:w w:val="105"/>
                        <w:sz w:val="21"/>
                      </w:rPr>
                      <w:t> </w:t>
                    </w:r>
                    <w:r>
                      <w:rPr>
                        <w:w w:val="105"/>
                        <w:sz w:val="21"/>
                      </w:rPr>
                      <w:t>(Vic).</w:t>
                    </w:r>
                  </w:p>
                  <w:p>
                    <w:pPr>
                      <w:spacing w:line="242" w:lineRule="auto" w:before="111"/>
                      <w:ind w:left="0" w:right="0" w:firstLine="0"/>
                      <w:jc w:val="left"/>
                      <w:rPr>
                        <w:sz w:val="21"/>
                      </w:rPr>
                    </w:pPr>
                    <w:r>
                      <w:rPr>
                        <w:w w:val="115"/>
                        <w:sz w:val="21"/>
                      </w:rPr>
                      <w:t>Registered caring partners should be entitled to inherit on intestacy in the same</w:t>
                    </w:r>
                    <w:r>
                      <w:rPr>
                        <w:spacing w:val="-24"/>
                        <w:w w:val="115"/>
                        <w:sz w:val="21"/>
                      </w:rPr>
                      <w:t> </w:t>
                    </w:r>
                    <w:r>
                      <w:rPr>
                        <w:w w:val="115"/>
                        <w:sz w:val="21"/>
                      </w:rPr>
                      <w:t>circumstances</w:t>
                    </w:r>
                    <w:r>
                      <w:rPr>
                        <w:spacing w:val="-24"/>
                        <w:w w:val="115"/>
                        <w:sz w:val="21"/>
                      </w:rPr>
                      <w:t> </w:t>
                    </w:r>
                    <w:r>
                      <w:rPr>
                        <w:w w:val="115"/>
                        <w:sz w:val="21"/>
                      </w:rPr>
                      <w:t>as</w:t>
                    </w:r>
                    <w:r>
                      <w:rPr>
                        <w:spacing w:val="-23"/>
                        <w:w w:val="115"/>
                        <w:sz w:val="21"/>
                      </w:rPr>
                      <w:t> </w:t>
                    </w:r>
                    <w:r>
                      <w:rPr>
                        <w:w w:val="115"/>
                        <w:sz w:val="21"/>
                      </w:rPr>
                      <w:t>spouses,</w:t>
                    </w:r>
                    <w:r>
                      <w:rPr>
                        <w:spacing w:val="-24"/>
                        <w:w w:val="115"/>
                        <w:sz w:val="21"/>
                      </w:rPr>
                      <w:t> </w:t>
                    </w:r>
                    <w:r>
                      <w:rPr>
                        <w:w w:val="115"/>
                        <w:sz w:val="21"/>
                      </w:rPr>
                      <w:t>registered</w:t>
                    </w:r>
                    <w:r>
                      <w:rPr>
                        <w:spacing w:val="-24"/>
                        <w:w w:val="115"/>
                        <w:sz w:val="21"/>
                      </w:rPr>
                      <w:t> </w:t>
                    </w:r>
                    <w:r>
                      <w:rPr>
                        <w:w w:val="115"/>
                        <w:sz w:val="21"/>
                      </w:rPr>
                      <w:t>domestic</w:t>
                    </w:r>
                    <w:r>
                      <w:rPr>
                        <w:spacing w:val="-23"/>
                        <w:w w:val="115"/>
                        <w:sz w:val="21"/>
                      </w:rPr>
                      <w:t> </w:t>
                    </w:r>
                    <w:r>
                      <w:rPr>
                        <w:w w:val="115"/>
                        <w:sz w:val="21"/>
                      </w:rPr>
                      <w:t>partners</w:t>
                    </w:r>
                    <w:r>
                      <w:rPr>
                        <w:spacing w:val="-24"/>
                        <w:w w:val="115"/>
                        <w:sz w:val="21"/>
                      </w:rPr>
                      <w:t> </w:t>
                    </w:r>
                    <w:r>
                      <w:rPr>
                        <w:w w:val="115"/>
                        <w:sz w:val="21"/>
                      </w:rPr>
                      <w:t>and</w:t>
                    </w:r>
                    <w:r>
                      <w:rPr>
                        <w:spacing w:val="-24"/>
                        <w:w w:val="115"/>
                        <w:sz w:val="21"/>
                      </w:rPr>
                      <w:t> </w:t>
                    </w:r>
                    <w:r>
                      <w:rPr>
                        <w:w w:val="115"/>
                        <w:sz w:val="21"/>
                      </w:rPr>
                      <w:t>unregistered domestic partners.</w:t>
                    </w:r>
                  </w:p>
                </w:txbxContent>
              </v:textbox>
              <w10:wrap type="none"/>
            </v:shape>
            <v:shape style="position:absolute;left:1814;top:1216;width:246;height:1409" type="#_x0000_t202" filled="false" stroked="false">
              <v:textbox inset="0,0,0,0">
                <w:txbxContent>
                  <w:p>
                    <w:pPr>
                      <w:spacing w:line="253" w:lineRule="exact" w:before="0"/>
                      <w:ind w:left="0" w:right="0" w:firstLine="0"/>
                      <w:jc w:val="left"/>
                      <w:rPr>
                        <w:sz w:val="21"/>
                      </w:rPr>
                    </w:pPr>
                    <w:r>
                      <w:rPr>
                        <w:spacing w:val="-5"/>
                        <w:w w:val="110"/>
                        <w:sz w:val="21"/>
                      </w:rPr>
                      <w:t>16</w:t>
                    </w:r>
                  </w:p>
                  <w:p>
                    <w:pPr>
                      <w:spacing w:line="240" w:lineRule="auto" w:before="0"/>
                      <w:rPr>
                        <w:sz w:val="24"/>
                      </w:rPr>
                    </w:pPr>
                  </w:p>
                  <w:p>
                    <w:pPr>
                      <w:spacing w:line="240" w:lineRule="auto" w:before="0"/>
                      <w:rPr>
                        <w:sz w:val="24"/>
                      </w:rPr>
                    </w:pPr>
                  </w:p>
                  <w:p>
                    <w:pPr>
                      <w:spacing w:line="240" w:lineRule="auto" w:before="0"/>
                      <w:rPr>
                        <w:sz w:val="26"/>
                      </w:rPr>
                    </w:pPr>
                  </w:p>
                  <w:p>
                    <w:pPr>
                      <w:spacing w:line="252" w:lineRule="exact" w:before="0"/>
                      <w:ind w:left="0" w:right="0" w:firstLine="0"/>
                      <w:jc w:val="left"/>
                      <w:rPr>
                        <w:sz w:val="21"/>
                      </w:rPr>
                    </w:pPr>
                    <w:r>
                      <w:rPr>
                        <w:spacing w:val="-7"/>
                        <w:w w:val="110"/>
                        <w:sz w:val="21"/>
                      </w:rPr>
                      <w:t>17</w:t>
                    </w:r>
                  </w:p>
                </w:txbxContent>
              </v:textbox>
              <w10:wrap type="none"/>
            </v:shape>
            <v:shape style="position:absolute;left:1587;top:228;width:8731;height:726" type="#_x0000_t202" filled="true" fillcolor="#fdebea" stroked="false">
              <v:textbox inset="0,0,0,0">
                <w:txbxContent>
                  <w:p>
                    <w:pPr>
                      <w:spacing w:before="166"/>
                      <w:ind w:left="226" w:right="0" w:firstLine="0"/>
                      <w:jc w:val="left"/>
                      <w:rPr>
                        <w:b/>
                        <w:sz w:val="32"/>
                      </w:rPr>
                    </w:pPr>
                    <w:r>
                      <w:rPr>
                        <w:b/>
                        <w:color w:val="EC5A4F"/>
                        <w:w w:val="110"/>
                        <w:sz w:val="32"/>
                      </w:rPr>
                      <w:t>Recommendations</w:t>
                    </w:r>
                  </w:p>
                </w:txbxContent>
              </v:textbox>
              <v:fill type="solid"/>
              <w10:wrap type="none"/>
            </v:shap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8"/>
        </w:rPr>
      </w:pPr>
      <w:r>
        <w:rPr/>
        <w:pict>
          <v:line style="position:absolute;mso-position-horizontal-relative:page;mso-position-vertical-relative:paragraph;z-index:4088;mso-wrap-distance-left:0;mso-wrap-distance-right:0" from="79.370102pt,13.584794pt" to="515.905102pt,13.584794pt" stroked="true" strokeweight="1pt" strokecolor="#f9ceca">
            <v:stroke dashstyle="solid"/>
            <w10:wrap type="topAndBottom"/>
          </v:line>
        </w:pict>
      </w:r>
    </w:p>
    <w:p>
      <w:pPr>
        <w:pStyle w:val="ListParagraph"/>
        <w:numPr>
          <w:ilvl w:val="0"/>
          <w:numId w:val="57"/>
        </w:numPr>
        <w:tabs>
          <w:tab w:pos="2380" w:val="left" w:leader="none"/>
          <w:tab w:pos="2382" w:val="left" w:leader="none"/>
        </w:tabs>
        <w:spacing w:line="240" w:lineRule="auto" w:before="117" w:after="0"/>
        <w:ind w:left="2381" w:right="1629" w:hanging="794"/>
        <w:jc w:val="left"/>
        <w:rPr>
          <w:sz w:val="13"/>
        </w:rPr>
      </w:pPr>
      <w:r>
        <w:rPr>
          <w:sz w:val="13"/>
        </w:rPr>
        <w:t>‘Registered caring partner’ is defined as someone who was in a registered caring relationship with the deceased person at the time of the      deceased person’s death: ibid s 3(1) (definition of ‘registered caring </w:t>
      </w:r>
      <w:r>
        <w:rPr>
          <w:spacing w:val="2"/>
          <w:sz w:val="13"/>
        </w:rPr>
        <w:t>partner’). </w:t>
      </w:r>
      <w:r>
        <w:rPr>
          <w:sz w:val="13"/>
        </w:rPr>
        <w:t>‘Registered caring relationship’ is defined  as  a  relationship, registered in the Relationships Register, involving two adults, who are not a couple or married  to  each  other,  and  who  may  or  may  not otherwise be related by family, where  one  or  both  of  the  parties  provide  personal  or  financial  commitment  and  support  of  a  domestic nature for the material benefit of the other, not for fee or reward and irrespective of their genders and whether or not they are living under            the</w:t>
      </w:r>
      <w:r>
        <w:rPr>
          <w:spacing w:val="10"/>
          <w:sz w:val="13"/>
        </w:rPr>
        <w:t> </w:t>
      </w:r>
      <w:r>
        <w:rPr>
          <w:sz w:val="13"/>
        </w:rPr>
        <w:t>same</w:t>
      </w:r>
      <w:r>
        <w:rPr>
          <w:spacing w:val="11"/>
          <w:sz w:val="13"/>
        </w:rPr>
        <w:t> </w:t>
      </w:r>
      <w:r>
        <w:rPr>
          <w:sz w:val="13"/>
        </w:rPr>
        <w:t>roof:</w:t>
      </w:r>
      <w:r>
        <w:rPr>
          <w:spacing w:val="11"/>
          <w:sz w:val="13"/>
        </w:rPr>
        <w:t> </w:t>
      </w:r>
      <w:r>
        <w:rPr>
          <w:i/>
          <w:sz w:val="13"/>
        </w:rPr>
        <w:t>Relationships</w:t>
      </w:r>
      <w:r>
        <w:rPr>
          <w:i/>
          <w:spacing w:val="10"/>
          <w:sz w:val="13"/>
        </w:rPr>
        <w:t> </w:t>
      </w:r>
      <w:r>
        <w:rPr>
          <w:i/>
          <w:sz w:val="13"/>
        </w:rPr>
        <w:t>Act</w:t>
      </w:r>
      <w:r>
        <w:rPr>
          <w:i/>
          <w:spacing w:val="9"/>
          <w:sz w:val="13"/>
        </w:rPr>
        <w:t> </w:t>
      </w:r>
      <w:r>
        <w:rPr>
          <w:i/>
          <w:sz w:val="13"/>
        </w:rPr>
        <w:t>2008</w:t>
      </w:r>
      <w:r>
        <w:rPr>
          <w:i/>
          <w:spacing w:val="11"/>
          <w:sz w:val="13"/>
        </w:rPr>
        <w:t> </w:t>
      </w:r>
      <w:r>
        <w:rPr>
          <w:spacing w:val="2"/>
          <w:sz w:val="13"/>
        </w:rPr>
        <w:t>(Vic)</w:t>
      </w:r>
      <w:r>
        <w:rPr>
          <w:spacing w:val="11"/>
          <w:sz w:val="13"/>
        </w:rPr>
        <w:t> </w:t>
      </w:r>
      <w:r>
        <w:rPr>
          <w:sz w:val="13"/>
        </w:rPr>
        <w:t>ss</w:t>
      </w:r>
      <w:r>
        <w:rPr>
          <w:spacing w:val="11"/>
          <w:sz w:val="13"/>
        </w:rPr>
        <w:t> </w:t>
      </w:r>
      <w:r>
        <w:rPr>
          <w:spacing w:val="6"/>
          <w:sz w:val="13"/>
        </w:rPr>
        <w:t>6(b)–(c),</w:t>
      </w:r>
      <w:r>
        <w:rPr>
          <w:spacing w:val="11"/>
          <w:sz w:val="13"/>
        </w:rPr>
        <w:t> </w:t>
      </w:r>
      <w:r>
        <w:rPr>
          <w:spacing w:val="3"/>
          <w:sz w:val="13"/>
        </w:rPr>
        <w:t>10(3)(ab),</w:t>
      </w:r>
      <w:r>
        <w:rPr>
          <w:spacing w:val="10"/>
          <w:sz w:val="13"/>
        </w:rPr>
        <w:t> </w:t>
      </w:r>
      <w:r>
        <w:rPr>
          <w:sz w:val="13"/>
        </w:rPr>
        <w:t>5</w:t>
      </w:r>
      <w:r>
        <w:rPr>
          <w:spacing w:val="11"/>
          <w:sz w:val="13"/>
        </w:rPr>
        <w:t> </w:t>
      </w:r>
      <w:r>
        <w:rPr>
          <w:sz w:val="13"/>
        </w:rPr>
        <w:t>(definition</w:t>
      </w:r>
      <w:r>
        <w:rPr>
          <w:spacing w:val="11"/>
          <w:sz w:val="13"/>
        </w:rPr>
        <w:t> </w:t>
      </w:r>
      <w:r>
        <w:rPr>
          <w:sz w:val="13"/>
        </w:rPr>
        <w:t>of</w:t>
      </w:r>
      <w:r>
        <w:rPr>
          <w:spacing w:val="11"/>
          <w:sz w:val="13"/>
        </w:rPr>
        <w:t> </w:t>
      </w:r>
      <w:r>
        <w:rPr>
          <w:sz w:val="13"/>
        </w:rPr>
        <w:t>‘registrable</w:t>
      </w:r>
      <w:r>
        <w:rPr>
          <w:spacing w:val="11"/>
          <w:sz w:val="13"/>
        </w:rPr>
        <w:t> </w:t>
      </w:r>
      <w:r>
        <w:rPr>
          <w:sz w:val="13"/>
        </w:rPr>
        <w:t>caring</w:t>
      </w:r>
      <w:r>
        <w:rPr>
          <w:spacing w:val="11"/>
          <w:sz w:val="13"/>
        </w:rPr>
        <w:t> </w:t>
      </w:r>
      <w:r>
        <w:rPr>
          <w:sz w:val="13"/>
        </w:rPr>
        <w:t>relationship’).</w:t>
      </w:r>
    </w:p>
    <w:p>
      <w:pPr>
        <w:pStyle w:val="ListParagraph"/>
        <w:numPr>
          <w:ilvl w:val="0"/>
          <w:numId w:val="57"/>
        </w:numPr>
        <w:tabs>
          <w:tab w:pos="2381" w:val="left" w:leader="none"/>
          <w:tab w:pos="2382" w:val="left" w:leader="none"/>
        </w:tabs>
        <w:spacing w:line="240" w:lineRule="auto" w:before="8" w:after="0"/>
        <w:ind w:left="2381" w:right="0" w:hanging="794"/>
        <w:jc w:val="left"/>
        <w:rPr>
          <w:sz w:val="13"/>
        </w:rPr>
      </w:pPr>
      <w:r>
        <w:rPr>
          <w:i/>
          <w:w w:val="105"/>
          <w:sz w:val="13"/>
        </w:rPr>
        <w:t>Administration and Probate Act 1958 </w:t>
      </w:r>
      <w:r>
        <w:rPr>
          <w:spacing w:val="2"/>
          <w:w w:val="105"/>
          <w:sz w:val="13"/>
        </w:rPr>
        <w:t>(Vic) </w:t>
      </w:r>
      <w:r>
        <w:rPr>
          <w:w w:val="105"/>
          <w:sz w:val="13"/>
        </w:rPr>
        <w:t>s</w:t>
      </w:r>
      <w:r>
        <w:rPr>
          <w:spacing w:val="25"/>
          <w:w w:val="105"/>
          <w:sz w:val="13"/>
        </w:rPr>
        <w:t> </w:t>
      </w:r>
      <w:r>
        <w:rPr>
          <w:w w:val="105"/>
          <w:sz w:val="13"/>
        </w:rPr>
        <w:t>51A.</w:t>
      </w:r>
    </w:p>
    <w:p>
      <w:pPr>
        <w:pStyle w:val="ListParagraph"/>
        <w:numPr>
          <w:ilvl w:val="0"/>
          <w:numId w:val="57"/>
        </w:numPr>
        <w:tabs>
          <w:tab w:pos="2381" w:val="left" w:leader="none"/>
          <w:tab w:pos="2382" w:val="left" w:leader="none"/>
        </w:tabs>
        <w:spacing w:line="240" w:lineRule="auto" w:before="1" w:after="0"/>
        <w:ind w:left="2381" w:right="0" w:hanging="794"/>
        <w:jc w:val="left"/>
        <w:rPr>
          <w:sz w:val="13"/>
        </w:rPr>
      </w:pPr>
      <w:r>
        <w:rPr>
          <w:w w:val="105"/>
          <w:sz w:val="13"/>
        </w:rPr>
        <w:t>Advisory Committee (Meeting</w:t>
      </w:r>
      <w:r>
        <w:rPr>
          <w:spacing w:val="13"/>
          <w:w w:val="105"/>
          <w:sz w:val="13"/>
        </w:rPr>
        <w:t> </w:t>
      </w:r>
      <w:r>
        <w:rPr>
          <w:spacing w:val="3"/>
          <w:w w:val="105"/>
          <w:sz w:val="13"/>
        </w:rPr>
        <w:t>3).</w:t>
      </w:r>
    </w:p>
    <w:p>
      <w:pPr>
        <w:pStyle w:val="ListParagraph"/>
        <w:numPr>
          <w:ilvl w:val="0"/>
          <w:numId w:val="57"/>
        </w:numPr>
        <w:tabs>
          <w:tab w:pos="2381" w:val="left" w:leader="none"/>
          <w:tab w:pos="2382" w:val="left" w:leader="none"/>
        </w:tabs>
        <w:spacing w:line="127" w:lineRule="exact" w:before="2" w:after="0"/>
        <w:ind w:left="2381" w:right="0" w:hanging="794"/>
        <w:jc w:val="left"/>
        <w:rPr>
          <w:i/>
          <w:sz w:val="13"/>
        </w:rPr>
      </w:pPr>
      <w:r>
        <w:rPr>
          <w:w w:val="105"/>
          <w:sz w:val="13"/>
        </w:rPr>
        <w:t>Explanatory</w:t>
      </w:r>
      <w:r>
        <w:rPr>
          <w:spacing w:val="5"/>
          <w:w w:val="105"/>
          <w:sz w:val="13"/>
        </w:rPr>
        <w:t> </w:t>
      </w:r>
      <w:r>
        <w:rPr>
          <w:w w:val="105"/>
          <w:sz w:val="13"/>
        </w:rPr>
        <w:t>Memorandum,</w:t>
      </w:r>
      <w:r>
        <w:rPr>
          <w:spacing w:val="5"/>
          <w:w w:val="105"/>
          <w:sz w:val="13"/>
        </w:rPr>
        <w:t> </w:t>
      </w:r>
      <w:r>
        <w:rPr>
          <w:w w:val="105"/>
          <w:sz w:val="13"/>
        </w:rPr>
        <w:t>Relationships</w:t>
      </w:r>
      <w:r>
        <w:rPr>
          <w:spacing w:val="5"/>
          <w:w w:val="105"/>
          <w:sz w:val="13"/>
        </w:rPr>
        <w:t> </w:t>
      </w:r>
      <w:r>
        <w:rPr>
          <w:w w:val="105"/>
          <w:sz w:val="13"/>
        </w:rPr>
        <w:t>Amendment</w:t>
      </w:r>
      <w:r>
        <w:rPr>
          <w:spacing w:val="5"/>
          <w:w w:val="105"/>
          <w:sz w:val="13"/>
        </w:rPr>
        <w:t> </w:t>
      </w:r>
      <w:r>
        <w:rPr>
          <w:w w:val="105"/>
          <w:sz w:val="13"/>
        </w:rPr>
        <w:t>(Caring</w:t>
      </w:r>
      <w:r>
        <w:rPr>
          <w:spacing w:val="6"/>
          <w:w w:val="105"/>
          <w:sz w:val="13"/>
        </w:rPr>
        <w:t> </w:t>
      </w:r>
      <w:r>
        <w:rPr>
          <w:w w:val="105"/>
          <w:sz w:val="13"/>
        </w:rPr>
        <w:t>Relationships)</w:t>
      </w:r>
      <w:r>
        <w:rPr>
          <w:spacing w:val="5"/>
          <w:w w:val="105"/>
          <w:sz w:val="13"/>
        </w:rPr>
        <w:t> </w:t>
      </w:r>
      <w:r>
        <w:rPr>
          <w:w w:val="105"/>
          <w:sz w:val="13"/>
        </w:rPr>
        <w:t>Bill</w:t>
      </w:r>
      <w:r>
        <w:rPr>
          <w:spacing w:val="5"/>
          <w:w w:val="105"/>
          <w:sz w:val="13"/>
        </w:rPr>
        <w:t> </w:t>
      </w:r>
      <w:r>
        <w:rPr>
          <w:w w:val="105"/>
          <w:sz w:val="13"/>
        </w:rPr>
        <w:t>2008</w:t>
      </w:r>
      <w:r>
        <w:rPr>
          <w:spacing w:val="5"/>
          <w:w w:val="105"/>
          <w:sz w:val="13"/>
        </w:rPr>
        <w:t> </w:t>
      </w:r>
      <w:r>
        <w:rPr>
          <w:spacing w:val="2"/>
          <w:w w:val="105"/>
          <w:sz w:val="13"/>
        </w:rPr>
        <w:t>(Vic)</w:t>
      </w:r>
      <w:r>
        <w:rPr>
          <w:spacing w:val="5"/>
          <w:w w:val="105"/>
          <w:sz w:val="13"/>
        </w:rPr>
        <w:t> </w:t>
      </w:r>
      <w:r>
        <w:rPr>
          <w:w w:val="105"/>
          <w:sz w:val="13"/>
        </w:rPr>
        <w:t>10;</w:t>
      </w:r>
      <w:r>
        <w:rPr>
          <w:spacing w:val="6"/>
          <w:w w:val="105"/>
          <w:sz w:val="13"/>
        </w:rPr>
        <w:t> </w:t>
      </w:r>
      <w:r>
        <w:rPr>
          <w:i/>
          <w:w w:val="105"/>
          <w:sz w:val="13"/>
        </w:rPr>
        <w:t>Relationships</w:t>
      </w:r>
      <w:r>
        <w:rPr>
          <w:i/>
          <w:spacing w:val="4"/>
          <w:w w:val="105"/>
          <w:sz w:val="13"/>
        </w:rPr>
        <w:t> </w:t>
      </w:r>
      <w:r>
        <w:rPr>
          <w:i/>
          <w:w w:val="105"/>
          <w:sz w:val="13"/>
        </w:rPr>
        <w:t>Amendment</w:t>
      </w:r>
      <w:r>
        <w:rPr>
          <w:i/>
          <w:spacing w:val="4"/>
          <w:w w:val="105"/>
          <w:sz w:val="13"/>
        </w:rPr>
        <w:t> </w:t>
      </w:r>
      <w:r>
        <w:rPr>
          <w:i/>
          <w:w w:val="105"/>
          <w:sz w:val="13"/>
        </w:rPr>
        <w:t>(Caring</w:t>
      </w:r>
    </w:p>
    <w:p>
      <w:pPr>
        <w:tabs>
          <w:tab w:pos="2381" w:val="left" w:leader="none"/>
        </w:tabs>
        <w:spacing w:line="261" w:lineRule="exact" w:before="0"/>
        <w:ind w:left="720" w:right="0" w:firstLine="0"/>
        <w:jc w:val="left"/>
        <w:rPr>
          <w:sz w:val="13"/>
        </w:rPr>
      </w:pPr>
      <w:r>
        <w:rPr>
          <w:b/>
          <w:color w:val="EC5A4F"/>
          <w:w w:val="105"/>
          <w:position w:val="-3"/>
          <w:sz w:val="24"/>
        </w:rPr>
        <w:t>68</w:t>
        <w:tab/>
      </w:r>
      <w:r>
        <w:rPr>
          <w:i/>
          <w:w w:val="105"/>
          <w:sz w:val="13"/>
        </w:rPr>
        <w:t>Relationships) Act 2009 </w:t>
      </w:r>
      <w:r>
        <w:rPr>
          <w:spacing w:val="2"/>
          <w:w w:val="105"/>
          <w:sz w:val="13"/>
        </w:rPr>
        <w:t>(Vic) </w:t>
      </w:r>
      <w:r>
        <w:rPr>
          <w:w w:val="105"/>
          <w:sz w:val="13"/>
        </w:rPr>
        <w:t>sch 1 item</w:t>
      </w:r>
      <w:r>
        <w:rPr>
          <w:spacing w:val="27"/>
          <w:w w:val="105"/>
          <w:sz w:val="13"/>
        </w:rPr>
        <w:t> </w:t>
      </w:r>
      <w:r>
        <w:rPr>
          <w:w w:val="105"/>
          <w:sz w:val="13"/>
        </w:rPr>
        <w:t>2.</w:t>
      </w:r>
    </w:p>
    <w:p>
      <w:pPr>
        <w:spacing w:after="0" w:line="261" w:lineRule="exact"/>
        <w:jc w:val="left"/>
        <w:rPr>
          <w:sz w:val="13"/>
        </w:rPr>
        <w:sectPr>
          <w:pgSz w:w="11910" w:h="16840"/>
          <w:pgMar w:header="550" w:footer="0" w:top="1560" w:bottom="280" w:left="0" w:right="0"/>
        </w:sectPr>
      </w:pPr>
    </w:p>
    <w:p>
      <w:pPr>
        <w:pStyle w:val="BodyText"/>
        <w:rPr>
          <w:sz w:val="20"/>
        </w:rPr>
      </w:pPr>
    </w:p>
    <w:p>
      <w:pPr>
        <w:pStyle w:val="BodyText"/>
        <w:spacing w:before="8"/>
        <w:rPr>
          <w:sz w:val="16"/>
        </w:rPr>
      </w:pPr>
    </w:p>
    <w:p>
      <w:pPr>
        <w:pStyle w:val="Heading6"/>
        <w:spacing w:before="100"/>
      </w:pPr>
      <w:r>
        <w:rPr>
          <w:w w:val="115"/>
        </w:rPr>
        <w:t>The partner’s statutory legacy</w:t>
      </w:r>
    </w:p>
    <w:p>
      <w:pPr>
        <w:spacing w:before="215"/>
        <w:ind w:left="1587" w:right="0" w:firstLine="0"/>
        <w:jc w:val="left"/>
        <w:rPr>
          <w:rFonts w:ascii="Gill Sans MT"/>
          <w:sz w:val="22"/>
        </w:rPr>
      </w:pPr>
      <w:r>
        <w:rPr>
          <w:rFonts w:ascii="Gill Sans MT"/>
          <w:color w:val="6D6E71"/>
          <w:w w:val="120"/>
          <w:sz w:val="22"/>
        </w:rPr>
        <w:t>The amount of the statutory legacy</w:t>
      </w:r>
    </w:p>
    <w:p>
      <w:pPr>
        <w:pStyle w:val="ListParagraph"/>
        <w:numPr>
          <w:ilvl w:val="1"/>
          <w:numId w:val="22"/>
        </w:numPr>
        <w:tabs>
          <w:tab w:pos="2381" w:val="left" w:leader="none"/>
          <w:tab w:pos="2382" w:val="left" w:leader="none"/>
        </w:tabs>
        <w:spacing w:line="242" w:lineRule="auto" w:before="151" w:after="0"/>
        <w:ind w:left="2381" w:right="1604" w:hanging="794"/>
        <w:jc w:val="left"/>
        <w:rPr>
          <w:sz w:val="21"/>
        </w:rPr>
      </w:pPr>
      <w:r>
        <w:rPr>
          <w:sz w:val="21"/>
        </w:rPr>
        <w:t>All </w:t>
      </w:r>
      <w:r>
        <w:rPr>
          <w:spacing w:val="-3"/>
          <w:sz w:val="21"/>
        </w:rPr>
        <w:t>submissions that </w:t>
      </w:r>
      <w:r>
        <w:rPr>
          <w:sz w:val="21"/>
        </w:rPr>
        <w:t>responded </w:t>
      </w:r>
      <w:r>
        <w:rPr>
          <w:spacing w:val="-3"/>
          <w:sz w:val="21"/>
        </w:rPr>
        <w:t>to </w:t>
      </w:r>
      <w:r>
        <w:rPr>
          <w:sz w:val="21"/>
        </w:rPr>
        <w:t>this issue supported </w:t>
      </w:r>
      <w:r>
        <w:rPr>
          <w:spacing w:val="-3"/>
          <w:sz w:val="21"/>
        </w:rPr>
        <w:t>increasing </w:t>
      </w:r>
      <w:r>
        <w:rPr>
          <w:sz w:val="21"/>
        </w:rPr>
        <w:t>the deceased </w:t>
      </w:r>
      <w:r>
        <w:rPr>
          <w:spacing w:val="-3"/>
          <w:sz w:val="21"/>
        </w:rPr>
        <w:t>person’s </w:t>
      </w:r>
      <w:r>
        <w:rPr>
          <w:sz w:val="21"/>
        </w:rPr>
        <w:t>partner’s statutory </w:t>
      </w:r>
      <w:r>
        <w:rPr>
          <w:spacing w:val="-3"/>
          <w:sz w:val="21"/>
        </w:rPr>
        <w:t>legacy,</w:t>
      </w:r>
      <w:r>
        <w:rPr>
          <w:spacing w:val="-3"/>
          <w:position w:val="7"/>
          <w:sz w:val="12"/>
        </w:rPr>
        <w:t>99 </w:t>
      </w:r>
      <w:r>
        <w:rPr>
          <w:sz w:val="21"/>
        </w:rPr>
        <w:t>with most supporting an </w:t>
      </w:r>
      <w:r>
        <w:rPr>
          <w:spacing w:val="-3"/>
          <w:sz w:val="21"/>
        </w:rPr>
        <w:t>increase to </w:t>
      </w:r>
      <w:r>
        <w:rPr>
          <w:sz w:val="21"/>
        </w:rPr>
        <w:t>$350,000  adjusted  </w:t>
      </w:r>
      <w:r>
        <w:rPr>
          <w:spacing w:val="-3"/>
          <w:sz w:val="21"/>
        </w:rPr>
        <w:t>to </w:t>
      </w:r>
      <w:r>
        <w:rPr>
          <w:sz w:val="21"/>
        </w:rPr>
        <w:t>reflect </w:t>
      </w:r>
      <w:r>
        <w:rPr>
          <w:spacing w:val="-3"/>
          <w:sz w:val="21"/>
        </w:rPr>
        <w:t>changes </w:t>
      </w:r>
      <w:r>
        <w:rPr>
          <w:sz w:val="21"/>
        </w:rPr>
        <w:t>in the </w:t>
      </w:r>
      <w:r>
        <w:rPr>
          <w:spacing w:val="-5"/>
          <w:sz w:val="21"/>
        </w:rPr>
        <w:t>CPI.</w:t>
      </w:r>
      <w:r>
        <w:rPr>
          <w:spacing w:val="-5"/>
          <w:position w:val="7"/>
          <w:sz w:val="12"/>
        </w:rPr>
        <w:t>100 </w:t>
      </w:r>
      <w:r>
        <w:rPr>
          <w:sz w:val="21"/>
        </w:rPr>
        <w:t>Reasons given in support of </w:t>
      </w:r>
      <w:r>
        <w:rPr>
          <w:spacing w:val="-3"/>
          <w:sz w:val="21"/>
        </w:rPr>
        <w:t>increasing </w:t>
      </w:r>
      <w:r>
        <w:rPr>
          <w:sz w:val="21"/>
        </w:rPr>
        <w:t>the deceased </w:t>
      </w:r>
      <w:r>
        <w:rPr>
          <w:spacing w:val="-3"/>
          <w:sz w:val="21"/>
        </w:rPr>
        <w:t>person’s </w:t>
      </w:r>
      <w:r>
        <w:rPr>
          <w:sz w:val="21"/>
        </w:rPr>
        <w:t>partner’s statutory legacy</w:t>
      </w:r>
      <w:r>
        <w:rPr>
          <w:spacing w:val="25"/>
          <w:sz w:val="21"/>
        </w:rPr>
        <w:t> </w:t>
      </w:r>
      <w:r>
        <w:rPr>
          <w:sz w:val="21"/>
        </w:rPr>
        <w:t>included:</w:t>
      </w:r>
    </w:p>
    <w:p>
      <w:pPr>
        <w:pStyle w:val="ListParagraph"/>
        <w:numPr>
          <w:ilvl w:val="2"/>
          <w:numId w:val="22"/>
        </w:numPr>
        <w:tabs>
          <w:tab w:pos="2721" w:val="left" w:leader="none"/>
          <w:tab w:pos="2722" w:val="left" w:leader="none"/>
        </w:tabs>
        <w:spacing w:line="240" w:lineRule="auto" w:before="124" w:after="0"/>
        <w:ind w:left="2721" w:right="0" w:hanging="340"/>
        <w:jc w:val="left"/>
        <w:rPr>
          <w:sz w:val="12"/>
        </w:rPr>
      </w:pPr>
      <w:r>
        <w:rPr>
          <w:spacing w:val="-3"/>
          <w:w w:val="105"/>
          <w:sz w:val="21"/>
        </w:rPr>
        <w:t>promoting </w:t>
      </w:r>
      <w:r>
        <w:rPr>
          <w:w w:val="105"/>
          <w:sz w:val="21"/>
        </w:rPr>
        <w:t>a </w:t>
      </w:r>
      <w:r>
        <w:rPr>
          <w:spacing w:val="-3"/>
          <w:w w:val="105"/>
          <w:sz w:val="21"/>
        </w:rPr>
        <w:t>nationally consistent </w:t>
      </w:r>
      <w:r>
        <w:rPr>
          <w:w w:val="105"/>
          <w:sz w:val="21"/>
        </w:rPr>
        <w:t>approach </w:t>
      </w:r>
      <w:r>
        <w:rPr>
          <w:spacing w:val="-3"/>
          <w:w w:val="105"/>
          <w:position w:val="7"/>
          <w:sz w:val="12"/>
        </w:rPr>
        <w:t>101</w:t>
      </w:r>
    </w:p>
    <w:p>
      <w:pPr>
        <w:pStyle w:val="ListParagraph"/>
        <w:numPr>
          <w:ilvl w:val="2"/>
          <w:numId w:val="22"/>
        </w:numPr>
        <w:tabs>
          <w:tab w:pos="2721" w:val="left" w:leader="none"/>
          <w:tab w:pos="2722" w:val="left" w:leader="none"/>
        </w:tabs>
        <w:spacing w:line="242" w:lineRule="auto" w:before="124" w:after="0"/>
        <w:ind w:left="2721" w:right="2264" w:hanging="340"/>
        <w:jc w:val="left"/>
        <w:rPr>
          <w:sz w:val="12"/>
        </w:rPr>
      </w:pPr>
      <w:r>
        <w:rPr>
          <w:spacing w:val="-3"/>
          <w:sz w:val="21"/>
        </w:rPr>
        <w:t>ensuring that </w:t>
      </w:r>
      <w:r>
        <w:rPr>
          <w:sz w:val="21"/>
        </w:rPr>
        <w:t>the deceased </w:t>
      </w:r>
      <w:r>
        <w:rPr>
          <w:spacing w:val="-3"/>
          <w:sz w:val="21"/>
        </w:rPr>
        <w:t>person’s </w:t>
      </w:r>
      <w:r>
        <w:rPr>
          <w:sz w:val="21"/>
        </w:rPr>
        <w:t>partner is adequately provided </w:t>
      </w:r>
      <w:r>
        <w:rPr>
          <w:spacing w:val="-6"/>
          <w:sz w:val="21"/>
        </w:rPr>
        <w:t>for, </w:t>
      </w:r>
      <w:r>
        <w:rPr>
          <w:sz w:val="21"/>
        </w:rPr>
        <w:t>so </w:t>
      </w:r>
      <w:r>
        <w:rPr>
          <w:spacing w:val="-3"/>
          <w:sz w:val="21"/>
        </w:rPr>
        <w:t>that </w:t>
      </w:r>
      <w:r>
        <w:rPr>
          <w:sz w:val="21"/>
        </w:rPr>
        <w:t>the</w:t>
      </w:r>
      <w:r>
        <w:rPr>
          <w:spacing w:val="12"/>
          <w:sz w:val="21"/>
        </w:rPr>
        <w:t> </w:t>
      </w:r>
      <w:r>
        <w:rPr>
          <w:spacing w:val="-3"/>
          <w:sz w:val="21"/>
        </w:rPr>
        <w:t>potential</w:t>
      </w:r>
      <w:r>
        <w:rPr>
          <w:spacing w:val="12"/>
          <w:sz w:val="21"/>
        </w:rPr>
        <w:t> </w:t>
      </w:r>
      <w:r>
        <w:rPr>
          <w:spacing w:val="-3"/>
          <w:sz w:val="21"/>
        </w:rPr>
        <w:t>for</w:t>
      </w:r>
      <w:r>
        <w:rPr>
          <w:spacing w:val="12"/>
          <w:sz w:val="21"/>
        </w:rPr>
        <w:t> </w:t>
      </w:r>
      <w:r>
        <w:rPr>
          <w:spacing w:val="-3"/>
          <w:sz w:val="21"/>
        </w:rPr>
        <w:t>family</w:t>
      </w:r>
      <w:r>
        <w:rPr>
          <w:spacing w:val="12"/>
          <w:sz w:val="21"/>
        </w:rPr>
        <w:t> </w:t>
      </w:r>
      <w:r>
        <w:rPr>
          <w:spacing w:val="-3"/>
          <w:sz w:val="21"/>
        </w:rPr>
        <w:t>disputes</w:t>
      </w:r>
      <w:r>
        <w:rPr>
          <w:spacing w:val="13"/>
          <w:sz w:val="21"/>
        </w:rPr>
        <w:t> </w:t>
      </w:r>
      <w:r>
        <w:rPr>
          <w:sz w:val="21"/>
        </w:rPr>
        <w:t>and</w:t>
      </w:r>
      <w:r>
        <w:rPr>
          <w:spacing w:val="12"/>
          <w:sz w:val="21"/>
        </w:rPr>
        <w:t> </w:t>
      </w:r>
      <w:r>
        <w:rPr>
          <w:spacing w:val="-3"/>
          <w:sz w:val="21"/>
        </w:rPr>
        <w:t>litigation</w:t>
      </w:r>
      <w:r>
        <w:rPr>
          <w:spacing w:val="12"/>
          <w:sz w:val="21"/>
        </w:rPr>
        <w:t> </w:t>
      </w:r>
      <w:r>
        <w:rPr>
          <w:sz w:val="21"/>
        </w:rPr>
        <w:t>is</w:t>
      </w:r>
      <w:r>
        <w:rPr>
          <w:spacing w:val="12"/>
          <w:sz w:val="21"/>
        </w:rPr>
        <w:t> </w:t>
      </w:r>
      <w:r>
        <w:rPr>
          <w:spacing w:val="-3"/>
          <w:sz w:val="21"/>
        </w:rPr>
        <w:t>minimised</w:t>
      </w:r>
      <w:r>
        <w:rPr>
          <w:spacing w:val="-24"/>
          <w:sz w:val="21"/>
        </w:rPr>
        <w:t> </w:t>
      </w:r>
      <w:r>
        <w:rPr>
          <w:position w:val="7"/>
          <w:sz w:val="12"/>
        </w:rPr>
        <w:t>102</w:t>
      </w:r>
    </w:p>
    <w:p>
      <w:pPr>
        <w:pStyle w:val="ListParagraph"/>
        <w:numPr>
          <w:ilvl w:val="2"/>
          <w:numId w:val="22"/>
        </w:numPr>
        <w:tabs>
          <w:tab w:pos="2721" w:val="left" w:leader="none"/>
          <w:tab w:pos="2722" w:val="left" w:leader="none"/>
        </w:tabs>
        <w:spacing w:line="240" w:lineRule="auto" w:before="122" w:after="0"/>
        <w:ind w:left="2721" w:right="0" w:hanging="340"/>
        <w:jc w:val="left"/>
        <w:rPr>
          <w:sz w:val="12"/>
        </w:rPr>
      </w:pPr>
      <w:r>
        <w:rPr>
          <w:spacing w:val="-3"/>
          <w:w w:val="105"/>
          <w:sz w:val="21"/>
        </w:rPr>
        <w:t>enabling </w:t>
      </w:r>
      <w:r>
        <w:rPr>
          <w:w w:val="105"/>
          <w:sz w:val="21"/>
        </w:rPr>
        <w:t>the deceased </w:t>
      </w:r>
      <w:r>
        <w:rPr>
          <w:spacing w:val="-3"/>
          <w:w w:val="105"/>
          <w:sz w:val="21"/>
        </w:rPr>
        <w:t>person’s </w:t>
      </w:r>
      <w:r>
        <w:rPr>
          <w:w w:val="105"/>
          <w:sz w:val="21"/>
        </w:rPr>
        <w:t>partner </w:t>
      </w:r>
      <w:r>
        <w:rPr>
          <w:spacing w:val="-3"/>
          <w:w w:val="105"/>
          <w:sz w:val="21"/>
        </w:rPr>
        <w:t>to </w:t>
      </w:r>
      <w:r>
        <w:rPr>
          <w:w w:val="105"/>
          <w:sz w:val="21"/>
        </w:rPr>
        <w:t>modestly house</w:t>
      </w:r>
      <w:r>
        <w:rPr>
          <w:spacing w:val="35"/>
          <w:w w:val="105"/>
          <w:sz w:val="21"/>
        </w:rPr>
        <w:t> </w:t>
      </w:r>
      <w:r>
        <w:rPr>
          <w:spacing w:val="-4"/>
          <w:w w:val="105"/>
          <w:sz w:val="21"/>
        </w:rPr>
        <w:t>themselves.</w:t>
      </w:r>
      <w:r>
        <w:rPr>
          <w:spacing w:val="-4"/>
          <w:w w:val="105"/>
          <w:position w:val="7"/>
          <w:sz w:val="12"/>
        </w:rPr>
        <w:t>103</w:t>
      </w:r>
    </w:p>
    <w:p>
      <w:pPr>
        <w:pStyle w:val="ListParagraph"/>
        <w:numPr>
          <w:ilvl w:val="1"/>
          <w:numId w:val="22"/>
        </w:numPr>
        <w:tabs>
          <w:tab w:pos="2381" w:val="left" w:leader="none"/>
          <w:tab w:pos="2382" w:val="left" w:leader="none"/>
        </w:tabs>
        <w:spacing w:line="242" w:lineRule="auto" w:before="124" w:after="0"/>
        <w:ind w:left="2381" w:right="1746" w:hanging="794"/>
        <w:jc w:val="left"/>
        <w:rPr>
          <w:sz w:val="12"/>
        </w:rPr>
      </w:pPr>
      <w:r>
        <w:rPr>
          <w:w w:val="105"/>
          <w:sz w:val="21"/>
        </w:rPr>
        <w:t>The</w:t>
      </w:r>
      <w:r>
        <w:rPr>
          <w:spacing w:val="-8"/>
          <w:w w:val="105"/>
          <w:sz w:val="21"/>
        </w:rPr>
        <w:t> </w:t>
      </w:r>
      <w:r>
        <w:rPr>
          <w:spacing w:val="-3"/>
          <w:w w:val="105"/>
          <w:sz w:val="21"/>
        </w:rPr>
        <w:t>Supreme</w:t>
      </w:r>
      <w:r>
        <w:rPr>
          <w:spacing w:val="-7"/>
          <w:w w:val="105"/>
          <w:sz w:val="21"/>
        </w:rPr>
        <w:t> </w:t>
      </w:r>
      <w:r>
        <w:rPr>
          <w:spacing w:val="-3"/>
          <w:w w:val="105"/>
          <w:sz w:val="21"/>
        </w:rPr>
        <w:t>Court</w:t>
      </w:r>
      <w:r>
        <w:rPr>
          <w:spacing w:val="-7"/>
          <w:w w:val="105"/>
          <w:sz w:val="21"/>
        </w:rPr>
        <w:t> </w:t>
      </w:r>
      <w:r>
        <w:rPr>
          <w:w w:val="105"/>
          <w:sz w:val="21"/>
        </w:rPr>
        <w:t>of</w:t>
      </w:r>
      <w:r>
        <w:rPr>
          <w:spacing w:val="-8"/>
          <w:w w:val="105"/>
          <w:sz w:val="21"/>
        </w:rPr>
        <w:t> </w:t>
      </w:r>
      <w:r>
        <w:rPr>
          <w:w w:val="105"/>
          <w:sz w:val="21"/>
        </w:rPr>
        <w:t>Victoria</w:t>
      </w:r>
      <w:r>
        <w:rPr>
          <w:spacing w:val="-7"/>
          <w:w w:val="105"/>
          <w:sz w:val="21"/>
        </w:rPr>
        <w:t> </w:t>
      </w:r>
      <w:r>
        <w:rPr>
          <w:w w:val="105"/>
          <w:sz w:val="21"/>
        </w:rPr>
        <w:t>expressed</w:t>
      </w:r>
      <w:r>
        <w:rPr>
          <w:spacing w:val="-7"/>
          <w:w w:val="105"/>
          <w:sz w:val="21"/>
        </w:rPr>
        <w:t> </w:t>
      </w:r>
      <w:r>
        <w:rPr>
          <w:w w:val="105"/>
          <w:sz w:val="21"/>
        </w:rPr>
        <w:t>the</w:t>
      </w:r>
      <w:r>
        <w:rPr>
          <w:spacing w:val="-7"/>
          <w:w w:val="105"/>
          <w:sz w:val="21"/>
        </w:rPr>
        <w:t> </w:t>
      </w:r>
      <w:r>
        <w:rPr>
          <w:w w:val="105"/>
          <w:sz w:val="21"/>
        </w:rPr>
        <w:t>view</w:t>
      </w:r>
      <w:r>
        <w:rPr>
          <w:spacing w:val="-8"/>
          <w:w w:val="105"/>
          <w:sz w:val="21"/>
        </w:rPr>
        <w:t> </w:t>
      </w:r>
      <w:r>
        <w:rPr>
          <w:spacing w:val="-3"/>
          <w:w w:val="105"/>
          <w:sz w:val="21"/>
        </w:rPr>
        <w:t>that</w:t>
      </w:r>
      <w:r>
        <w:rPr>
          <w:spacing w:val="-7"/>
          <w:w w:val="105"/>
          <w:sz w:val="21"/>
        </w:rPr>
        <w:t> </w:t>
      </w:r>
      <w:r>
        <w:rPr>
          <w:w w:val="105"/>
          <w:sz w:val="21"/>
        </w:rPr>
        <w:t>statutory</w:t>
      </w:r>
      <w:r>
        <w:rPr>
          <w:spacing w:val="-7"/>
          <w:w w:val="105"/>
          <w:sz w:val="21"/>
        </w:rPr>
        <w:t> </w:t>
      </w:r>
      <w:r>
        <w:rPr>
          <w:w w:val="105"/>
          <w:sz w:val="21"/>
        </w:rPr>
        <w:t>legacy</w:t>
      </w:r>
      <w:r>
        <w:rPr>
          <w:spacing w:val="-7"/>
          <w:w w:val="105"/>
          <w:sz w:val="21"/>
        </w:rPr>
        <w:t> </w:t>
      </w:r>
      <w:r>
        <w:rPr>
          <w:spacing w:val="-3"/>
          <w:w w:val="105"/>
          <w:sz w:val="21"/>
        </w:rPr>
        <w:t>provisions</w:t>
      </w:r>
      <w:r>
        <w:rPr>
          <w:spacing w:val="-8"/>
          <w:w w:val="105"/>
          <w:sz w:val="21"/>
        </w:rPr>
        <w:t> </w:t>
      </w:r>
      <w:r>
        <w:rPr>
          <w:spacing w:val="-3"/>
          <w:w w:val="105"/>
          <w:sz w:val="21"/>
        </w:rPr>
        <w:t>‘were originally intended to ensure that </w:t>
      </w:r>
      <w:r>
        <w:rPr>
          <w:w w:val="105"/>
          <w:sz w:val="21"/>
        </w:rPr>
        <w:t>the </w:t>
      </w:r>
      <w:r>
        <w:rPr>
          <w:spacing w:val="-3"/>
          <w:w w:val="105"/>
          <w:sz w:val="21"/>
        </w:rPr>
        <w:t>matrimonial </w:t>
      </w:r>
      <w:r>
        <w:rPr>
          <w:w w:val="105"/>
          <w:sz w:val="21"/>
        </w:rPr>
        <w:t>home (if </w:t>
      </w:r>
      <w:r>
        <w:rPr>
          <w:spacing w:val="-3"/>
          <w:w w:val="105"/>
          <w:sz w:val="21"/>
        </w:rPr>
        <w:t>any) </w:t>
      </w:r>
      <w:r>
        <w:rPr>
          <w:w w:val="105"/>
          <w:sz w:val="21"/>
        </w:rPr>
        <w:t>was preserved </w:t>
      </w:r>
      <w:r>
        <w:rPr>
          <w:spacing w:val="-3"/>
          <w:w w:val="105"/>
          <w:sz w:val="21"/>
        </w:rPr>
        <w:t>for </w:t>
      </w:r>
      <w:r>
        <w:rPr>
          <w:w w:val="105"/>
          <w:sz w:val="21"/>
        </w:rPr>
        <w:t>the surviving</w:t>
      </w:r>
      <w:r>
        <w:rPr>
          <w:spacing w:val="-8"/>
          <w:w w:val="105"/>
          <w:sz w:val="21"/>
        </w:rPr>
        <w:t> </w:t>
      </w:r>
      <w:r>
        <w:rPr>
          <w:spacing w:val="-4"/>
          <w:w w:val="105"/>
          <w:sz w:val="21"/>
        </w:rPr>
        <w:t>partner’.</w:t>
      </w:r>
      <w:r>
        <w:rPr>
          <w:spacing w:val="-4"/>
          <w:w w:val="105"/>
          <w:position w:val="7"/>
          <w:sz w:val="12"/>
        </w:rPr>
        <w:t>104</w:t>
      </w:r>
      <w:r>
        <w:rPr>
          <w:spacing w:val="14"/>
          <w:w w:val="105"/>
          <w:position w:val="7"/>
          <w:sz w:val="12"/>
        </w:rPr>
        <w:t> </w:t>
      </w:r>
      <w:r>
        <w:rPr>
          <w:w w:val="105"/>
          <w:sz w:val="21"/>
        </w:rPr>
        <w:t>It</w:t>
      </w:r>
      <w:r>
        <w:rPr>
          <w:spacing w:val="-7"/>
          <w:w w:val="105"/>
          <w:sz w:val="21"/>
        </w:rPr>
        <w:t> </w:t>
      </w:r>
      <w:r>
        <w:rPr>
          <w:spacing w:val="-3"/>
          <w:w w:val="105"/>
          <w:sz w:val="21"/>
        </w:rPr>
        <w:t>considered</w:t>
      </w:r>
      <w:r>
        <w:rPr>
          <w:spacing w:val="-8"/>
          <w:w w:val="105"/>
          <w:sz w:val="21"/>
        </w:rPr>
        <w:t> </w:t>
      </w:r>
      <w:r>
        <w:rPr>
          <w:w w:val="105"/>
          <w:sz w:val="21"/>
        </w:rPr>
        <w:t>the</w:t>
      </w:r>
      <w:r>
        <w:rPr>
          <w:spacing w:val="-8"/>
          <w:w w:val="105"/>
          <w:sz w:val="21"/>
        </w:rPr>
        <w:t> </w:t>
      </w:r>
      <w:r>
        <w:rPr>
          <w:spacing w:val="-3"/>
          <w:w w:val="105"/>
          <w:sz w:val="21"/>
        </w:rPr>
        <w:t>current</w:t>
      </w:r>
      <w:r>
        <w:rPr>
          <w:spacing w:val="-7"/>
          <w:w w:val="105"/>
          <w:sz w:val="21"/>
        </w:rPr>
        <w:t> </w:t>
      </w:r>
      <w:r>
        <w:rPr>
          <w:w w:val="105"/>
          <w:sz w:val="21"/>
        </w:rPr>
        <w:t>statutory</w:t>
      </w:r>
      <w:r>
        <w:rPr>
          <w:spacing w:val="-8"/>
          <w:w w:val="105"/>
          <w:sz w:val="21"/>
        </w:rPr>
        <w:t> </w:t>
      </w:r>
      <w:r>
        <w:rPr>
          <w:w w:val="105"/>
          <w:sz w:val="21"/>
        </w:rPr>
        <w:t>legacy</w:t>
      </w:r>
      <w:r>
        <w:rPr>
          <w:spacing w:val="-7"/>
          <w:w w:val="105"/>
          <w:sz w:val="21"/>
        </w:rPr>
        <w:t> </w:t>
      </w:r>
      <w:r>
        <w:rPr>
          <w:spacing w:val="-3"/>
          <w:w w:val="105"/>
          <w:sz w:val="21"/>
        </w:rPr>
        <w:t>to</w:t>
      </w:r>
      <w:r>
        <w:rPr>
          <w:spacing w:val="-8"/>
          <w:w w:val="105"/>
          <w:sz w:val="21"/>
        </w:rPr>
        <w:t> </w:t>
      </w:r>
      <w:r>
        <w:rPr>
          <w:w w:val="105"/>
          <w:sz w:val="21"/>
        </w:rPr>
        <w:t>be</w:t>
      </w:r>
      <w:r>
        <w:rPr>
          <w:spacing w:val="-8"/>
          <w:w w:val="105"/>
          <w:sz w:val="21"/>
        </w:rPr>
        <w:t> </w:t>
      </w:r>
      <w:r>
        <w:rPr>
          <w:spacing w:val="-3"/>
          <w:w w:val="105"/>
          <w:sz w:val="21"/>
        </w:rPr>
        <w:t>inadequate</w:t>
      </w:r>
      <w:r>
        <w:rPr>
          <w:spacing w:val="-7"/>
          <w:w w:val="105"/>
          <w:sz w:val="21"/>
        </w:rPr>
        <w:t> </w:t>
      </w:r>
      <w:r>
        <w:rPr>
          <w:w w:val="105"/>
          <w:sz w:val="21"/>
        </w:rPr>
        <w:t>and</w:t>
      </w:r>
      <w:r>
        <w:rPr>
          <w:spacing w:val="-8"/>
          <w:w w:val="105"/>
          <w:sz w:val="21"/>
        </w:rPr>
        <w:t> </w:t>
      </w:r>
      <w:r>
        <w:rPr>
          <w:w w:val="105"/>
          <w:sz w:val="21"/>
        </w:rPr>
        <w:t>said </w:t>
      </w:r>
      <w:r>
        <w:rPr>
          <w:spacing w:val="-3"/>
          <w:w w:val="105"/>
          <w:sz w:val="21"/>
        </w:rPr>
        <w:t>that </w:t>
      </w:r>
      <w:r>
        <w:rPr>
          <w:w w:val="105"/>
          <w:sz w:val="21"/>
        </w:rPr>
        <w:t>it </w:t>
      </w:r>
      <w:r>
        <w:rPr>
          <w:spacing w:val="-3"/>
          <w:w w:val="105"/>
          <w:sz w:val="21"/>
        </w:rPr>
        <w:t>‘should </w:t>
      </w:r>
      <w:r>
        <w:rPr>
          <w:w w:val="105"/>
          <w:sz w:val="21"/>
        </w:rPr>
        <w:t>be </w:t>
      </w:r>
      <w:r>
        <w:rPr>
          <w:spacing w:val="-3"/>
          <w:w w:val="105"/>
          <w:sz w:val="21"/>
        </w:rPr>
        <w:t>substantially increased to </w:t>
      </w:r>
      <w:r>
        <w:rPr>
          <w:w w:val="105"/>
          <w:sz w:val="21"/>
        </w:rPr>
        <w:t>preserve the </w:t>
      </w:r>
      <w:r>
        <w:rPr>
          <w:spacing w:val="-3"/>
          <w:w w:val="105"/>
          <w:sz w:val="21"/>
        </w:rPr>
        <w:t>intention </w:t>
      </w:r>
      <w:r>
        <w:rPr>
          <w:w w:val="105"/>
          <w:sz w:val="21"/>
        </w:rPr>
        <w:t>of the</w:t>
      </w:r>
      <w:r>
        <w:rPr>
          <w:spacing w:val="-19"/>
          <w:w w:val="105"/>
          <w:sz w:val="21"/>
        </w:rPr>
        <w:t> </w:t>
      </w:r>
      <w:r>
        <w:rPr>
          <w:spacing w:val="-5"/>
          <w:w w:val="105"/>
          <w:sz w:val="21"/>
        </w:rPr>
        <w:t>provisions’.</w:t>
      </w:r>
      <w:r>
        <w:rPr>
          <w:spacing w:val="-5"/>
          <w:w w:val="105"/>
          <w:position w:val="7"/>
          <w:sz w:val="12"/>
        </w:rPr>
        <w:t>105</w:t>
      </w:r>
    </w:p>
    <w:p>
      <w:pPr>
        <w:pStyle w:val="ListParagraph"/>
        <w:numPr>
          <w:ilvl w:val="1"/>
          <w:numId w:val="22"/>
        </w:numPr>
        <w:tabs>
          <w:tab w:pos="2380" w:val="left" w:leader="none"/>
          <w:tab w:pos="2381" w:val="left" w:leader="none"/>
        </w:tabs>
        <w:spacing w:line="242" w:lineRule="auto" w:before="124" w:after="0"/>
        <w:ind w:left="2381" w:right="1757" w:hanging="794"/>
        <w:jc w:val="left"/>
        <w:rPr>
          <w:sz w:val="21"/>
        </w:rPr>
      </w:pPr>
      <w:r>
        <w:rPr>
          <w:spacing w:val="-4"/>
          <w:w w:val="105"/>
          <w:sz w:val="21"/>
        </w:rPr>
        <w:t>However, </w:t>
      </w:r>
      <w:r>
        <w:rPr>
          <w:w w:val="105"/>
          <w:sz w:val="21"/>
        </w:rPr>
        <w:t>some </w:t>
      </w:r>
      <w:r>
        <w:rPr>
          <w:spacing w:val="-3"/>
          <w:w w:val="105"/>
          <w:sz w:val="21"/>
        </w:rPr>
        <w:t>submissions that </w:t>
      </w:r>
      <w:r>
        <w:rPr>
          <w:w w:val="105"/>
          <w:sz w:val="21"/>
        </w:rPr>
        <w:t>supported an </w:t>
      </w:r>
      <w:r>
        <w:rPr>
          <w:spacing w:val="-3"/>
          <w:w w:val="105"/>
          <w:sz w:val="21"/>
        </w:rPr>
        <w:t>increase </w:t>
      </w:r>
      <w:r>
        <w:rPr>
          <w:w w:val="105"/>
          <w:sz w:val="21"/>
        </w:rPr>
        <w:t>in the statutory legacy </w:t>
      </w:r>
      <w:r>
        <w:rPr>
          <w:spacing w:val="-3"/>
          <w:w w:val="105"/>
          <w:sz w:val="21"/>
        </w:rPr>
        <w:t>were unsure </w:t>
      </w:r>
      <w:r>
        <w:rPr>
          <w:w w:val="105"/>
          <w:sz w:val="21"/>
        </w:rPr>
        <w:t>about the </w:t>
      </w:r>
      <w:r>
        <w:rPr>
          <w:spacing w:val="-3"/>
          <w:w w:val="105"/>
          <w:sz w:val="21"/>
        </w:rPr>
        <w:t>amount </w:t>
      </w:r>
      <w:r>
        <w:rPr>
          <w:w w:val="105"/>
          <w:sz w:val="21"/>
        </w:rPr>
        <w:t>of the </w:t>
      </w:r>
      <w:r>
        <w:rPr>
          <w:spacing w:val="-4"/>
          <w:w w:val="105"/>
          <w:sz w:val="21"/>
        </w:rPr>
        <w:t>increase,</w:t>
      </w:r>
      <w:r>
        <w:rPr>
          <w:spacing w:val="-4"/>
          <w:w w:val="105"/>
          <w:position w:val="7"/>
          <w:sz w:val="12"/>
        </w:rPr>
        <w:t>106 </w:t>
      </w:r>
      <w:r>
        <w:rPr>
          <w:w w:val="105"/>
          <w:sz w:val="21"/>
        </w:rPr>
        <w:t>and others suggested </w:t>
      </w:r>
      <w:r>
        <w:rPr>
          <w:spacing w:val="-3"/>
          <w:w w:val="105"/>
          <w:sz w:val="21"/>
        </w:rPr>
        <w:t>that </w:t>
      </w:r>
      <w:r>
        <w:rPr>
          <w:w w:val="105"/>
          <w:sz w:val="21"/>
        </w:rPr>
        <w:t>it should be </w:t>
      </w:r>
      <w:r>
        <w:rPr>
          <w:spacing w:val="-4"/>
          <w:w w:val="105"/>
          <w:sz w:val="21"/>
        </w:rPr>
        <w:t>linked </w:t>
      </w:r>
      <w:r>
        <w:rPr>
          <w:spacing w:val="-3"/>
          <w:w w:val="105"/>
          <w:sz w:val="21"/>
        </w:rPr>
        <w:t>to </w:t>
      </w:r>
      <w:r>
        <w:rPr>
          <w:w w:val="105"/>
          <w:sz w:val="21"/>
        </w:rPr>
        <w:t>the </w:t>
      </w:r>
      <w:r>
        <w:rPr>
          <w:spacing w:val="-3"/>
          <w:w w:val="105"/>
          <w:sz w:val="21"/>
        </w:rPr>
        <w:t>size </w:t>
      </w:r>
      <w:r>
        <w:rPr>
          <w:w w:val="105"/>
          <w:sz w:val="21"/>
        </w:rPr>
        <w:t>of the </w:t>
      </w:r>
      <w:r>
        <w:rPr>
          <w:spacing w:val="-5"/>
          <w:w w:val="105"/>
          <w:sz w:val="21"/>
        </w:rPr>
        <w:t>estate.</w:t>
      </w:r>
      <w:r>
        <w:rPr>
          <w:spacing w:val="-5"/>
          <w:w w:val="105"/>
          <w:position w:val="7"/>
          <w:sz w:val="12"/>
        </w:rPr>
        <w:t>107 </w:t>
      </w:r>
      <w:r>
        <w:rPr>
          <w:w w:val="105"/>
          <w:sz w:val="21"/>
        </w:rPr>
        <w:t>The Property and </w:t>
      </w:r>
      <w:r>
        <w:rPr>
          <w:spacing w:val="-3"/>
          <w:w w:val="105"/>
          <w:sz w:val="21"/>
        </w:rPr>
        <w:t>Probate </w:t>
      </w:r>
      <w:r>
        <w:rPr>
          <w:w w:val="105"/>
          <w:sz w:val="21"/>
        </w:rPr>
        <w:t>Section of the </w:t>
      </w:r>
      <w:r>
        <w:rPr>
          <w:spacing w:val="-4"/>
          <w:w w:val="105"/>
          <w:sz w:val="21"/>
        </w:rPr>
        <w:t>Commercial </w:t>
      </w:r>
      <w:r>
        <w:rPr>
          <w:w w:val="105"/>
          <w:sz w:val="21"/>
        </w:rPr>
        <w:t>Bar Association was </w:t>
      </w:r>
      <w:r>
        <w:rPr>
          <w:spacing w:val="-3"/>
          <w:w w:val="105"/>
          <w:sz w:val="21"/>
        </w:rPr>
        <w:t>concerned that, </w:t>
      </w:r>
      <w:r>
        <w:rPr>
          <w:w w:val="105"/>
          <w:sz w:val="21"/>
        </w:rPr>
        <w:t>if the legacy </w:t>
      </w:r>
      <w:r>
        <w:rPr>
          <w:spacing w:val="-3"/>
          <w:w w:val="105"/>
          <w:sz w:val="21"/>
        </w:rPr>
        <w:t>were increased to $350,000, </w:t>
      </w:r>
      <w:r>
        <w:rPr>
          <w:w w:val="105"/>
          <w:sz w:val="21"/>
        </w:rPr>
        <w:t>it would </w:t>
      </w:r>
      <w:r>
        <w:rPr>
          <w:spacing w:val="-3"/>
          <w:w w:val="105"/>
          <w:sz w:val="21"/>
        </w:rPr>
        <w:t>reduce </w:t>
      </w:r>
      <w:r>
        <w:rPr>
          <w:w w:val="105"/>
          <w:sz w:val="21"/>
        </w:rPr>
        <w:t>the </w:t>
      </w:r>
      <w:r>
        <w:rPr>
          <w:spacing w:val="-4"/>
          <w:w w:val="105"/>
          <w:sz w:val="21"/>
        </w:rPr>
        <w:t>children’s </w:t>
      </w:r>
      <w:r>
        <w:rPr>
          <w:spacing w:val="-3"/>
          <w:w w:val="105"/>
          <w:sz w:val="21"/>
        </w:rPr>
        <w:t>share </w:t>
      </w:r>
      <w:r>
        <w:rPr>
          <w:w w:val="105"/>
          <w:sz w:val="21"/>
        </w:rPr>
        <w:t>and </w:t>
      </w:r>
      <w:r>
        <w:rPr>
          <w:spacing w:val="-3"/>
          <w:w w:val="105"/>
          <w:sz w:val="21"/>
        </w:rPr>
        <w:t>could result </w:t>
      </w:r>
      <w:r>
        <w:rPr>
          <w:w w:val="105"/>
          <w:sz w:val="21"/>
        </w:rPr>
        <w:t>in </w:t>
      </w:r>
      <w:r>
        <w:rPr>
          <w:spacing w:val="-3"/>
          <w:w w:val="105"/>
          <w:sz w:val="21"/>
        </w:rPr>
        <w:t>claims </w:t>
      </w:r>
      <w:r>
        <w:rPr>
          <w:w w:val="105"/>
          <w:sz w:val="21"/>
        </w:rPr>
        <w:t>being made </w:t>
      </w:r>
      <w:r>
        <w:rPr>
          <w:spacing w:val="-3"/>
          <w:w w:val="105"/>
          <w:sz w:val="21"/>
        </w:rPr>
        <w:t>against </w:t>
      </w:r>
      <w:r>
        <w:rPr>
          <w:w w:val="105"/>
          <w:sz w:val="21"/>
        </w:rPr>
        <w:t>the estate </w:t>
      </w:r>
      <w:r>
        <w:rPr>
          <w:spacing w:val="-3"/>
          <w:w w:val="105"/>
          <w:sz w:val="21"/>
        </w:rPr>
        <w:t>that </w:t>
      </w:r>
      <w:r>
        <w:rPr>
          <w:w w:val="105"/>
          <w:sz w:val="21"/>
        </w:rPr>
        <w:t>would</w:t>
      </w:r>
      <w:r>
        <w:rPr>
          <w:spacing w:val="-7"/>
          <w:w w:val="105"/>
          <w:sz w:val="21"/>
        </w:rPr>
        <w:t> </w:t>
      </w:r>
      <w:r>
        <w:rPr>
          <w:spacing w:val="-3"/>
          <w:w w:val="105"/>
          <w:sz w:val="21"/>
        </w:rPr>
        <w:t>ultimately</w:t>
      </w:r>
      <w:r>
        <w:rPr>
          <w:spacing w:val="-7"/>
          <w:w w:val="105"/>
          <w:sz w:val="21"/>
        </w:rPr>
        <w:t> </w:t>
      </w:r>
      <w:r>
        <w:rPr>
          <w:w w:val="105"/>
          <w:sz w:val="21"/>
        </w:rPr>
        <w:t>deplete</w:t>
      </w:r>
      <w:r>
        <w:rPr>
          <w:spacing w:val="-6"/>
          <w:w w:val="105"/>
          <w:sz w:val="21"/>
        </w:rPr>
        <w:t> </w:t>
      </w:r>
      <w:r>
        <w:rPr>
          <w:spacing w:val="-5"/>
          <w:w w:val="105"/>
          <w:sz w:val="21"/>
        </w:rPr>
        <w:t>it.</w:t>
      </w:r>
      <w:r>
        <w:rPr>
          <w:spacing w:val="-5"/>
          <w:w w:val="105"/>
          <w:position w:val="7"/>
          <w:sz w:val="12"/>
        </w:rPr>
        <w:t>108</w:t>
      </w:r>
      <w:r>
        <w:rPr>
          <w:spacing w:val="15"/>
          <w:w w:val="105"/>
          <w:position w:val="7"/>
          <w:sz w:val="12"/>
        </w:rPr>
        <w:t> </w:t>
      </w:r>
      <w:r>
        <w:rPr>
          <w:w w:val="105"/>
          <w:sz w:val="21"/>
        </w:rPr>
        <w:t>It</w:t>
      </w:r>
      <w:r>
        <w:rPr>
          <w:spacing w:val="-7"/>
          <w:w w:val="105"/>
          <w:sz w:val="21"/>
        </w:rPr>
        <w:t> </w:t>
      </w:r>
      <w:r>
        <w:rPr>
          <w:spacing w:val="-3"/>
          <w:w w:val="105"/>
          <w:sz w:val="21"/>
        </w:rPr>
        <w:t>considered</w:t>
      </w:r>
      <w:r>
        <w:rPr>
          <w:spacing w:val="-6"/>
          <w:w w:val="105"/>
          <w:sz w:val="21"/>
        </w:rPr>
        <w:t> </w:t>
      </w:r>
      <w:r>
        <w:rPr>
          <w:spacing w:val="-3"/>
          <w:w w:val="105"/>
          <w:sz w:val="21"/>
        </w:rPr>
        <w:t>that</w:t>
      </w:r>
      <w:r>
        <w:rPr>
          <w:spacing w:val="-7"/>
          <w:w w:val="105"/>
          <w:sz w:val="21"/>
        </w:rPr>
        <w:t> </w:t>
      </w:r>
      <w:r>
        <w:rPr>
          <w:w w:val="105"/>
          <w:sz w:val="21"/>
        </w:rPr>
        <w:t>the</w:t>
      </w:r>
      <w:r>
        <w:rPr>
          <w:spacing w:val="-7"/>
          <w:w w:val="105"/>
          <w:sz w:val="21"/>
        </w:rPr>
        <w:t> </w:t>
      </w:r>
      <w:r>
        <w:rPr>
          <w:w w:val="105"/>
          <w:sz w:val="21"/>
        </w:rPr>
        <w:t>legacy</w:t>
      </w:r>
      <w:r>
        <w:rPr>
          <w:spacing w:val="-6"/>
          <w:w w:val="105"/>
          <w:sz w:val="21"/>
        </w:rPr>
        <w:t> </w:t>
      </w:r>
      <w:r>
        <w:rPr>
          <w:w w:val="105"/>
          <w:sz w:val="21"/>
        </w:rPr>
        <w:t>should</w:t>
      </w:r>
      <w:r>
        <w:rPr>
          <w:spacing w:val="-7"/>
          <w:w w:val="105"/>
          <w:sz w:val="21"/>
        </w:rPr>
        <w:t> </w:t>
      </w:r>
      <w:r>
        <w:rPr>
          <w:w w:val="105"/>
          <w:sz w:val="21"/>
        </w:rPr>
        <w:t>be</w:t>
      </w:r>
      <w:r>
        <w:rPr>
          <w:spacing w:val="-7"/>
          <w:w w:val="105"/>
          <w:sz w:val="21"/>
        </w:rPr>
        <w:t> </w:t>
      </w:r>
      <w:r>
        <w:rPr>
          <w:w w:val="105"/>
          <w:sz w:val="21"/>
        </w:rPr>
        <w:t>adjusted</w:t>
      </w:r>
      <w:r>
        <w:rPr>
          <w:spacing w:val="-6"/>
          <w:w w:val="105"/>
          <w:sz w:val="21"/>
        </w:rPr>
        <w:t> </w:t>
      </w:r>
      <w:r>
        <w:rPr>
          <w:spacing w:val="-3"/>
          <w:w w:val="105"/>
          <w:sz w:val="21"/>
        </w:rPr>
        <w:t>according to CPI, </w:t>
      </w:r>
      <w:r>
        <w:rPr>
          <w:w w:val="105"/>
          <w:sz w:val="21"/>
        </w:rPr>
        <w:t>with a </w:t>
      </w:r>
      <w:r>
        <w:rPr>
          <w:spacing w:val="-3"/>
          <w:w w:val="105"/>
          <w:sz w:val="21"/>
        </w:rPr>
        <w:t>minimum </w:t>
      </w:r>
      <w:r>
        <w:rPr>
          <w:w w:val="105"/>
          <w:sz w:val="21"/>
        </w:rPr>
        <w:t>of </w:t>
      </w:r>
      <w:r>
        <w:rPr>
          <w:spacing w:val="-4"/>
          <w:w w:val="105"/>
          <w:sz w:val="21"/>
        </w:rPr>
        <w:t>$150,000 </w:t>
      </w:r>
      <w:r>
        <w:rPr>
          <w:w w:val="105"/>
          <w:sz w:val="21"/>
        </w:rPr>
        <w:t>and a maximum of </w:t>
      </w:r>
      <w:r>
        <w:rPr>
          <w:spacing w:val="-4"/>
          <w:w w:val="105"/>
          <w:sz w:val="21"/>
        </w:rPr>
        <w:t>$350,000.</w:t>
      </w:r>
      <w:r>
        <w:rPr>
          <w:spacing w:val="-4"/>
          <w:w w:val="105"/>
          <w:position w:val="7"/>
          <w:sz w:val="12"/>
        </w:rPr>
        <w:t>109 </w:t>
      </w:r>
      <w:r>
        <w:rPr>
          <w:spacing w:val="-3"/>
          <w:w w:val="105"/>
          <w:sz w:val="21"/>
        </w:rPr>
        <w:t>Rigby </w:t>
      </w:r>
      <w:r>
        <w:rPr>
          <w:spacing w:val="-4"/>
          <w:w w:val="105"/>
          <w:sz w:val="21"/>
        </w:rPr>
        <w:t>Cooke </w:t>
      </w:r>
      <w:r>
        <w:rPr>
          <w:w w:val="105"/>
          <w:sz w:val="21"/>
        </w:rPr>
        <w:t>Lawyers </w:t>
      </w:r>
      <w:r>
        <w:rPr>
          <w:spacing w:val="-3"/>
          <w:w w:val="105"/>
          <w:sz w:val="21"/>
        </w:rPr>
        <w:t>considered that </w:t>
      </w:r>
      <w:r>
        <w:rPr>
          <w:w w:val="105"/>
          <w:sz w:val="21"/>
        </w:rPr>
        <w:t>a legacy of $350,000 would be </w:t>
      </w:r>
      <w:r>
        <w:rPr>
          <w:spacing w:val="-2"/>
          <w:w w:val="105"/>
          <w:sz w:val="21"/>
        </w:rPr>
        <w:t>excessive </w:t>
      </w:r>
      <w:r>
        <w:rPr>
          <w:spacing w:val="-3"/>
          <w:w w:val="105"/>
          <w:sz w:val="21"/>
        </w:rPr>
        <w:t>for small</w:t>
      </w:r>
      <w:r>
        <w:rPr>
          <w:spacing w:val="13"/>
          <w:w w:val="105"/>
          <w:sz w:val="21"/>
        </w:rPr>
        <w:t> </w:t>
      </w:r>
      <w:r>
        <w:rPr>
          <w:w w:val="105"/>
          <w:sz w:val="21"/>
        </w:rPr>
        <w:t>estates,</w:t>
      </w:r>
    </w:p>
    <w:p>
      <w:pPr>
        <w:pStyle w:val="BodyText"/>
        <w:spacing w:line="242" w:lineRule="auto" w:before="9"/>
        <w:ind w:left="2381" w:right="2337"/>
        <w:rPr>
          <w:sz w:val="12"/>
        </w:rPr>
      </w:pPr>
      <w:r>
        <w:rPr>
          <w:w w:val="105"/>
        </w:rPr>
        <w:t>and that the legacy should be $150,000 or five per cent of the estate, whichever was greater.</w:t>
      </w:r>
      <w:r>
        <w:rPr>
          <w:w w:val="105"/>
          <w:position w:val="7"/>
          <w:sz w:val="12"/>
        </w:rPr>
        <w:t>110</w:t>
      </w:r>
    </w:p>
    <w:p>
      <w:pPr>
        <w:pStyle w:val="ListParagraph"/>
        <w:numPr>
          <w:ilvl w:val="1"/>
          <w:numId w:val="22"/>
        </w:numPr>
        <w:tabs>
          <w:tab w:pos="2380" w:val="left" w:leader="none"/>
          <w:tab w:pos="2381" w:val="left" w:leader="none"/>
        </w:tabs>
        <w:spacing w:line="242" w:lineRule="auto" w:before="122" w:after="0"/>
        <w:ind w:left="2381" w:right="1803" w:hanging="794"/>
        <w:jc w:val="left"/>
        <w:rPr>
          <w:sz w:val="21"/>
        </w:rPr>
      </w:pPr>
      <w:r>
        <w:rPr>
          <w:w w:val="105"/>
          <w:sz w:val="21"/>
        </w:rPr>
        <w:t>The </w:t>
      </w:r>
      <w:r>
        <w:rPr>
          <w:spacing w:val="-3"/>
          <w:w w:val="105"/>
          <w:sz w:val="21"/>
        </w:rPr>
        <w:t>Commission notes </w:t>
      </w:r>
      <w:r>
        <w:rPr>
          <w:w w:val="105"/>
          <w:sz w:val="21"/>
        </w:rPr>
        <w:t>these </w:t>
      </w:r>
      <w:r>
        <w:rPr>
          <w:spacing w:val="-3"/>
          <w:w w:val="105"/>
          <w:sz w:val="21"/>
        </w:rPr>
        <w:t>concerns, </w:t>
      </w:r>
      <w:r>
        <w:rPr>
          <w:w w:val="105"/>
          <w:sz w:val="21"/>
        </w:rPr>
        <w:t>but is of the view </w:t>
      </w:r>
      <w:r>
        <w:rPr>
          <w:spacing w:val="-3"/>
          <w:w w:val="105"/>
          <w:sz w:val="21"/>
        </w:rPr>
        <w:t>that </w:t>
      </w:r>
      <w:r>
        <w:rPr>
          <w:w w:val="105"/>
          <w:sz w:val="21"/>
        </w:rPr>
        <w:t>the deceased </w:t>
      </w:r>
      <w:r>
        <w:rPr>
          <w:spacing w:val="-3"/>
          <w:w w:val="105"/>
          <w:sz w:val="21"/>
        </w:rPr>
        <w:t>person’s </w:t>
      </w:r>
      <w:r>
        <w:rPr>
          <w:w w:val="105"/>
          <w:sz w:val="21"/>
        </w:rPr>
        <w:t>partner’s needs—for </w:t>
      </w:r>
      <w:r>
        <w:rPr>
          <w:spacing w:val="-3"/>
          <w:w w:val="105"/>
          <w:sz w:val="21"/>
        </w:rPr>
        <w:t>housing, for </w:t>
      </w:r>
      <w:r>
        <w:rPr>
          <w:w w:val="105"/>
          <w:sz w:val="21"/>
        </w:rPr>
        <w:t>example—do </w:t>
      </w:r>
      <w:r>
        <w:rPr>
          <w:spacing w:val="-2"/>
          <w:w w:val="105"/>
          <w:sz w:val="21"/>
        </w:rPr>
        <w:t>not </w:t>
      </w:r>
      <w:r>
        <w:rPr>
          <w:spacing w:val="-3"/>
          <w:w w:val="105"/>
          <w:sz w:val="21"/>
        </w:rPr>
        <w:t>abate </w:t>
      </w:r>
      <w:r>
        <w:rPr>
          <w:w w:val="105"/>
          <w:sz w:val="21"/>
        </w:rPr>
        <w:t>simply because the </w:t>
      </w:r>
      <w:r>
        <w:rPr>
          <w:spacing w:val="-3"/>
          <w:w w:val="105"/>
          <w:sz w:val="21"/>
        </w:rPr>
        <w:t>intestate </w:t>
      </w:r>
      <w:r>
        <w:rPr>
          <w:w w:val="105"/>
          <w:sz w:val="21"/>
        </w:rPr>
        <w:t>estate </w:t>
      </w:r>
      <w:r>
        <w:rPr>
          <w:spacing w:val="-3"/>
          <w:w w:val="105"/>
          <w:sz w:val="21"/>
        </w:rPr>
        <w:t>for </w:t>
      </w:r>
      <w:r>
        <w:rPr>
          <w:spacing w:val="-2"/>
          <w:w w:val="105"/>
          <w:sz w:val="21"/>
        </w:rPr>
        <w:t>distribution </w:t>
      </w:r>
      <w:r>
        <w:rPr>
          <w:w w:val="105"/>
          <w:sz w:val="21"/>
        </w:rPr>
        <w:t>is only modest. The partner’s statutory legacy should be of a fixed </w:t>
      </w:r>
      <w:r>
        <w:rPr>
          <w:spacing w:val="-3"/>
          <w:w w:val="105"/>
          <w:sz w:val="21"/>
        </w:rPr>
        <w:t>amount. </w:t>
      </w:r>
      <w:r>
        <w:rPr>
          <w:w w:val="105"/>
          <w:sz w:val="21"/>
        </w:rPr>
        <w:t>If the </w:t>
      </w:r>
      <w:r>
        <w:rPr>
          <w:spacing w:val="-3"/>
          <w:w w:val="105"/>
          <w:sz w:val="21"/>
        </w:rPr>
        <w:t>intestate </w:t>
      </w:r>
      <w:r>
        <w:rPr>
          <w:w w:val="105"/>
          <w:sz w:val="21"/>
        </w:rPr>
        <w:t>estate is </w:t>
      </w:r>
      <w:r>
        <w:rPr>
          <w:spacing w:val="-2"/>
          <w:w w:val="105"/>
          <w:sz w:val="21"/>
        </w:rPr>
        <w:t>not </w:t>
      </w:r>
      <w:r>
        <w:rPr>
          <w:w w:val="105"/>
          <w:sz w:val="21"/>
        </w:rPr>
        <w:t>sufficiently large </w:t>
      </w:r>
      <w:r>
        <w:rPr>
          <w:spacing w:val="-3"/>
          <w:w w:val="105"/>
          <w:sz w:val="21"/>
        </w:rPr>
        <w:t>to allow for </w:t>
      </w:r>
      <w:r>
        <w:rPr>
          <w:w w:val="105"/>
          <w:sz w:val="21"/>
        </w:rPr>
        <w:t>the partner’s statutory</w:t>
      </w:r>
      <w:r>
        <w:rPr>
          <w:spacing w:val="-7"/>
          <w:w w:val="105"/>
          <w:sz w:val="21"/>
        </w:rPr>
        <w:t> </w:t>
      </w:r>
      <w:r>
        <w:rPr>
          <w:w w:val="105"/>
          <w:sz w:val="21"/>
        </w:rPr>
        <w:t>legacy</w:t>
      </w:r>
      <w:r>
        <w:rPr>
          <w:spacing w:val="-7"/>
          <w:w w:val="105"/>
          <w:sz w:val="21"/>
        </w:rPr>
        <w:t> </w:t>
      </w:r>
      <w:r>
        <w:rPr>
          <w:w w:val="105"/>
          <w:sz w:val="21"/>
        </w:rPr>
        <w:t>and</w:t>
      </w:r>
      <w:r>
        <w:rPr>
          <w:spacing w:val="-7"/>
          <w:w w:val="105"/>
          <w:sz w:val="21"/>
        </w:rPr>
        <w:t> </w:t>
      </w:r>
      <w:r>
        <w:rPr>
          <w:spacing w:val="-3"/>
          <w:w w:val="105"/>
          <w:sz w:val="21"/>
        </w:rPr>
        <w:t>share</w:t>
      </w:r>
      <w:r>
        <w:rPr>
          <w:spacing w:val="-7"/>
          <w:w w:val="105"/>
          <w:sz w:val="21"/>
        </w:rPr>
        <w:t> </w:t>
      </w:r>
      <w:r>
        <w:rPr>
          <w:w w:val="105"/>
          <w:sz w:val="21"/>
        </w:rPr>
        <w:t>of</w:t>
      </w:r>
      <w:r>
        <w:rPr>
          <w:spacing w:val="-7"/>
          <w:w w:val="105"/>
          <w:sz w:val="21"/>
        </w:rPr>
        <w:t> </w:t>
      </w:r>
      <w:r>
        <w:rPr>
          <w:w w:val="105"/>
          <w:sz w:val="21"/>
        </w:rPr>
        <w:t>the</w:t>
      </w:r>
      <w:r>
        <w:rPr>
          <w:spacing w:val="-7"/>
          <w:w w:val="105"/>
          <w:sz w:val="21"/>
        </w:rPr>
        <w:t> </w:t>
      </w:r>
      <w:r>
        <w:rPr>
          <w:spacing w:val="-4"/>
          <w:w w:val="105"/>
          <w:sz w:val="21"/>
        </w:rPr>
        <w:t>remainder,</w:t>
      </w:r>
      <w:r>
        <w:rPr>
          <w:spacing w:val="-7"/>
          <w:w w:val="105"/>
          <w:sz w:val="21"/>
        </w:rPr>
        <w:t> </w:t>
      </w:r>
      <w:r>
        <w:rPr>
          <w:w w:val="105"/>
          <w:sz w:val="21"/>
        </w:rPr>
        <w:t>as</w:t>
      </w:r>
      <w:r>
        <w:rPr>
          <w:spacing w:val="-7"/>
          <w:w w:val="105"/>
          <w:sz w:val="21"/>
        </w:rPr>
        <w:t> </w:t>
      </w:r>
      <w:r>
        <w:rPr>
          <w:spacing w:val="-3"/>
          <w:w w:val="105"/>
          <w:sz w:val="21"/>
        </w:rPr>
        <w:t>well</w:t>
      </w:r>
      <w:r>
        <w:rPr>
          <w:spacing w:val="-7"/>
          <w:w w:val="105"/>
          <w:sz w:val="21"/>
        </w:rPr>
        <w:t> </w:t>
      </w:r>
      <w:r>
        <w:rPr>
          <w:w w:val="105"/>
          <w:sz w:val="21"/>
        </w:rPr>
        <w:t>as</w:t>
      </w:r>
      <w:r>
        <w:rPr>
          <w:spacing w:val="-7"/>
          <w:w w:val="105"/>
          <w:sz w:val="21"/>
        </w:rPr>
        <w:t> </w:t>
      </w:r>
      <w:r>
        <w:rPr>
          <w:w w:val="105"/>
          <w:sz w:val="21"/>
        </w:rPr>
        <w:t>the</w:t>
      </w:r>
      <w:r>
        <w:rPr>
          <w:spacing w:val="-7"/>
          <w:w w:val="105"/>
          <w:sz w:val="21"/>
        </w:rPr>
        <w:t> </w:t>
      </w:r>
      <w:r>
        <w:rPr>
          <w:w w:val="105"/>
          <w:sz w:val="21"/>
        </w:rPr>
        <w:t>deceased</w:t>
      </w:r>
      <w:r>
        <w:rPr>
          <w:spacing w:val="-7"/>
          <w:w w:val="105"/>
          <w:sz w:val="21"/>
        </w:rPr>
        <w:t> </w:t>
      </w:r>
      <w:r>
        <w:rPr>
          <w:spacing w:val="-3"/>
          <w:w w:val="105"/>
          <w:sz w:val="21"/>
        </w:rPr>
        <w:t>person’s</w:t>
      </w:r>
      <w:r>
        <w:rPr>
          <w:spacing w:val="-7"/>
          <w:w w:val="105"/>
          <w:sz w:val="21"/>
        </w:rPr>
        <w:t> </w:t>
      </w:r>
      <w:r>
        <w:rPr>
          <w:spacing w:val="-4"/>
          <w:w w:val="105"/>
          <w:sz w:val="21"/>
        </w:rPr>
        <w:t>children’s </w:t>
      </w:r>
      <w:r>
        <w:rPr>
          <w:spacing w:val="-3"/>
          <w:w w:val="105"/>
          <w:sz w:val="21"/>
        </w:rPr>
        <w:t>share</w:t>
      </w:r>
      <w:r>
        <w:rPr>
          <w:spacing w:val="-7"/>
          <w:w w:val="105"/>
          <w:sz w:val="21"/>
        </w:rPr>
        <w:t> </w:t>
      </w:r>
      <w:r>
        <w:rPr>
          <w:w w:val="105"/>
          <w:sz w:val="21"/>
        </w:rPr>
        <w:t>of</w:t>
      </w:r>
      <w:r>
        <w:rPr>
          <w:spacing w:val="-7"/>
          <w:w w:val="105"/>
          <w:sz w:val="21"/>
        </w:rPr>
        <w:t> </w:t>
      </w:r>
      <w:r>
        <w:rPr>
          <w:w w:val="105"/>
          <w:sz w:val="21"/>
        </w:rPr>
        <w:t>the</w:t>
      </w:r>
      <w:r>
        <w:rPr>
          <w:spacing w:val="-7"/>
          <w:w w:val="105"/>
          <w:sz w:val="21"/>
        </w:rPr>
        <w:t> </w:t>
      </w:r>
      <w:r>
        <w:rPr>
          <w:spacing w:val="-4"/>
          <w:w w:val="105"/>
          <w:sz w:val="21"/>
        </w:rPr>
        <w:t>remainder,</w:t>
      </w:r>
      <w:r>
        <w:rPr>
          <w:spacing w:val="-7"/>
          <w:w w:val="105"/>
          <w:sz w:val="21"/>
        </w:rPr>
        <w:t> </w:t>
      </w:r>
      <w:r>
        <w:rPr>
          <w:w w:val="105"/>
          <w:sz w:val="21"/>
        </w:rPr>
        <w:t>the</w:t>
      </w:r>
      <w:r>
        <w:rPr>
          <w:spacing w:val="-7"/>
          <w:w w:val="105"/>
          <w:sz w:val="21"/>
        </w:rPr>
        <w:t> </w:t>
      </w:r>
      <w:r>
        <w:rPr>
          <w:w w:val="105"/>
          <w:sz w:val="21"/>
        </w:rPr>
        <w:t>deceased</w:t>
      </w:r>
      <w:r>
        <w:rPr>
          <w:spacing w:val="-7"/>
          <w:w w:val="105"/>
          <w:sz w:val="21"/>
        </w:rPr>
        <w:t> </w:t>
      </w:r>
      <w:r>
        <w:rPr>
          <w:spacing w:val="-3"/>
          <w:w w:val="105"/>
          <w:sz w:val="21"/>
        </w:rPr>
        <w:t>person’s</w:t>
      </w:r>
      <w:r>
        <w:rPr>
          <w:spacing w:val="-7"/>
          <w:w w:val="105"/>
          <w:sz w:val="21"/>
        </w:rPr>
        <w:t> </w:t>
      </w:r>
      <w:r>
        <w:rPr>
          <w:spacing w:val="-4"/>
          <w:w w:val="105"/>
          <w:sz w:val="21"/>
        </w:rPr>
        <w:t>children’s</w:t>
      </w:r>
      <w:r>
        <w:rPr>
          <w:spacing w:val="-7"/>
          <w:w w:val="105"/>
          <w:sz w:val="21"/>
        </w:rPr>
        <w:t> </w:t>
      </w:r>
      <w:r>
        <w:rPr>
          <w:spacing w:val="-3"/>
          <w:w w:val="105"/>
          <w:sz w:val="21"/>
        </w:rPr>
        <w:t>share</w:t>
      </w:r>
      <w:r>
        <w:rPr>
          <w:spacing w:val="-7"/>
          <w:w w:val="105"/>
          <w:sz w:val="21"/>
        </w:rPr>
        <w:t> </w:t>
      </w:r>
      <w:r>
        <w:rPr>
          <w:w w:val="105"/>
          <w:sz w:val="21"/>
        </w:rPr>
        <w:t>should</w:t>
      </w:r>
      <w:r>
        <w:rPr>
          <w:spacing w:val="-7"/>
          <w:w w:val="105"/>
          <w:sz w:val="21"/>
        </w:rPr>
        <w:t> </w:t>
      </w:r>
      <w:r>
        <w:rPr>
          <w:w w:val="105"/>
          <w:sz w:val="21"/>
        </w:rPr>
        <w:t>be</w:t>
      </w:r>
      <w:r>
        <w:rPr>
          <w:spacing w:val="-7"/>
          <w:w w:val="105"/>
          <w:sz w:val="21"/>
        </w:rPr>
        <w:t> </w:t>
      </w:r>
      <w:r>
        <w:rPr>
          <w:spacing w:val="-3"/>
          <w:w w:val="105"/>
          <w:sz w:val="21"/>
        </w:rPr>
        <w:t>reduced</w:t>
      </w:r>
      <w:r>
        <w:rPr>
          <w:spacing w:val="-7"/>
          <w:w w:val="105"/>
          <w:sz w:val="21"/>
        </w:rPr>
        <w:t> </w:t>
      </w:r>
      <w:r>
        <w:rPr>
          <w:spacing w:val="-3"/>
          <w:w w:val="105"/>
          <w:sz w:val="21"/>
        </w:rPr>
        <w:t>to</w:t>
      </w:r>
      <w:r>
        <w:rPr>
          <w:spacing w:val="-7"/>
          <w:w w:val="105"/>
          <w:sz w:val="21"/>
        </w:rPr>
        <w:t> </w:t>
      </w:r>
      <w:r>
        <w:rPr>
          <w:w w:val="105"/>
          <w:sz w:val="21"/>
        </w:rPr>
        <w:t>the</w:t>
      </w:r>
    </w:p>
    <w:p>
      <w:pPr>
        <w:pStyle w:val="BodyText"/>
        <w:spacing w:line="242" w:lineRule="auto" w:before="6"/>
        <w:ind w:left="2380" w:right="1619"/>
        <w:rPr>
          <w:sz w:val="12"/>
        </w:rPr>
      </w:pPr>
      <w:r>
        <w:rPr/>
        <w:t>necessary extent. This is consistent with the current approach to partners and children on intestacy—if the value of the intestate estate does not exceed $100,000, the deceased person’s partner takes the entire intestate estate to the exclusion of children or issue.</w:t>
      </w:r>
      <w:r>
        <w:rPr>
          <w:position w:val="7"/>
          <w:sz w:val="12"/>
        </w:rPr>
        <w:t>111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8"/>
        </w:rPr>
      </w:pPr>
      <w:r>
        <w:rPr/>
        <w:pict>
          <v:line style="position:absolute;mso-position-horizontal-relative:page;mso-position-vertical-relative:paragraph;z-index:4112;mso-wrap-distance-left:0;mso-wrap-distance-right:0" from="79.370003pt,13.971321pt" to="515.905003pt,13.971321pt" stroked="true" strokeweight="1pt" strokecolor="#f9ceca">
            <v:stroke dashstyle="solid"/>
            <w10:wrap type="topAndBottom"/>
          </v:line>
        </w:pict>
      </w:r>
    </w:p>
    <w:p>
      <w:pPr>
        <w:pStyle w:val="ListParagraph"/>
        <w:numPr>
          <w:ilvl w:val="0"/>
          <w:numId w:val="58"/>
        </w:numPr>
        <w:tabs>
          <w:tab w:pos="2380" w:val="left" w:leader="none"/>
          <w:tab w:pos="2382" w:val="left" w:leader="none"/>
        </w:tabs>
        <w:spacing w:line="240" w:lineRule="auto" w:before="117" w:after="0"/>
        <w:ind w:left="2381" w:right="1698" w:hanging="794"/>
        <w:jc w:val="left"/>
        <w:rPr>
          <w:sz w:val="13"/>
        </w:rPr>
      </w:pPr>
      <w:r>
        <w:rPr>
          <w:w w:val="105"/>
          <w:sz w:val="13"/>
        </w:rPr>
        <w:t>Submissions </w:t>
      </w:r>
      <w:r>
        <w:rPr>
          <w:spacing w:val="-3"/>
          <w:w w:val="105"/>
          <w:sz w:val="13"/>
        </w:rPr>
        <w:t>14  </w:t>
      </w:r>
      <w:r>
        <w:rPr>
          <w:w w:val="105"/>
          <w:sz w:val="13"/>
        </w:rPr>
        <w:t>(Commercial Bar </w:t>
      </w:r>
      <w:r>
        <w:rPr>
          <w:spacing w:val="2"/>
          <w:w w:val="105"/>
          <w:sz w:val="13"/>
        </w:rPr>
        <w:t>Association); </w:t>
      </w:r>
      <w:r>
        <w:rPr>
          <w:spacing w:val="-3"/>
          <w:w w:val="105"/>
          <w:sz w:val="13"/>
        </w:rPr>
        <w:t>19  </w:t>
      </w:r>
      <w:r>
        <w:rPr>
          <w:spacing w:val="2"/>
          <w:w w:val="105"/>
          <w:sz w:val="13"/>
        </w:rPr>
        <w:t>(Association </w:t>
      </w:r>
      <w:r>
        <w:rPr>
          <w:w w:val="105"/>
          <w:sz w:val="13"/>
        </w:rPr>
        <w:t>of Independent Retirees); 25 </w:t>
      </w:r>
      <w:r>
        <w:rPr>
          <w:spacing w:val="2"/>
          <w:w w:val="105"/>
          <w:sz w:val="13"/>
        </w:rPr>
        <w:t>(Moores </w:t>
      </w:r>
      <w:r>
        <w:rPr>
          <w:w w:val="105"/>
          <w:sz w:val="13"/>
        </w:rPr>
        <w:t>Legal); 26 </w:t>
      </w:r>
      <w:r>
        <w:rPr>
          <w:spacing w:val="2"/>
          <w:w w:val="105"/>
          <w:sz w:val="13"/>
        </w:rPr>
        <w:t>(Rigby </w:t>
      </w:r>
      <w:r>
        <w:rPr>
          <w:w w:val="105"/>
          <w:sz w:val="13"/>
        </w:rPr>
        <w:t>Cooke </w:t>
      </w:r>
      <w:r>
        <w:rPr>
          <w:spacing w:val="2"/>
          <w:w w:val="105"/>
          <w:sz w:val="13"/>
        </w:rPr>
        <w:t>Lawyers);  30b </w:t>
      </w:r>
      <w:r>
        <w:rPr>
          <w:spacing w:val="3"/>
          <w:w w:val="105"/>
          <w:sz w:val="13"/>
        </w:rPr>
        <w:t>(Law </w:t>
      </w:r>
      <w:r>
        <w:rPr>
          <w:w w:val="105"/>
          <w:sz w:val="13"/>
        </w:rPr>
        <w:t>Institute of </w:t>
      </w:r>
      <w:r>
        <w:rPr>
          <w:spacing w:val="2"/>
          <w:w w:val="105"/>
          <w:sz w:val="13"/>
        </w:rPr>
        <w:t>Victoria); </w:t>
      </w:r>
      <w:r>
        <w:rPr>
          <w:w w:val="105"/>
          <w:sz w:val="13"/>
        </w:rPr>
        <w:t>31 (Seniors Rights </w:t>
      </w:r>
      <w:r>
        <w:rPr>
          <w:spacing w:val="2"/>
          <w:w w:val="105"/>
          <w:sz w:val="13"/>
        </w:rPr>
        <w:t>Victoria); </w:t>
      </w:r>
      <w:r>
        <w:rPr>
          <w:w w:val="105"/>
          <w:sz w:val="13"/>
        </w:rPr>
        <w:t>33 (State Trustees Limited); 36 </w:t>
      </w:r>
      <w:r>
        <w:rPr>
          <w:spacing w:val="3"/>
          <w:w w:val="105"/>
          <w:sz w:val="13"/>
        </w:rPr>
        <w:t>(Law </w:t>
      </w:r>
      <w:r>
        <w:rPr>
          <w:w w:val="105"/>
          <w:sz w:val="13"/>
        </w:rPr>
        <w:t>Society of New South Wales); 39 (Carolyn Sparke SC); 40 (Janice</w:t>
      </w:r>
      <w:r>
        <w:rPr>
          <w:spacing w:val="18"/>
          <w:w w:val="105"/>
          <w:sz w:val="13"/>
        </w:rPr>
        <w:t> </w:t>
      </w:r>
      <w:r>
        <w:rPr>
          <w:w w:val="105"/>
          <w:sz w:val="13"/>
        </w:rPr>
        <w:t>Brownfoot).</w:t>
      </w:r>
    </w:p>
    <w:p>
      <w:pPr>
        <w:pStyle w:val="ListParagraph"/>
        <w:numPr>
          <w:ilvl w:val="0"/>
          <w:numId w:val="58"/>
        </w:numPr>
        <w:tabs>
          <w:tab w:pos="2380" w:val="left" w:leader="none"/>
          <w:tab w:pos="2382" w:val="left" w:leader="none"/>
        </w:tabs>
        <w:spacing w:line="240" w:lineRule="auto" w:before="4" w:after="0"/>
        <w:ind w:left="2381" w:right="2526" w:hanging="794"/>
        <w:jc w:val="left"/>
        <w:rPr>
          <w:sz w:val="13"/>
        </w:rPr>
      </w:pPr>
      <w:r>
        <w:rPr>
          <w:w w:val="105"/>
          <w:sz w:val="13"/>
        </w:rPr>
        <w:t>Submissions </w:t>
      </w:r>
      <w:r>
        <w:rPr>
          <w:spacing w:val="-3"/>
          <w:w w:val="105"/>
          <w:sz w:val="13"/>
        </w:rPr>
        <w:t>19 </w:t>
      </w:r>
      <w:r>
        <w:rPr>
          <w:spacing w:val="2"/>
          <w:w w:val="105"/>
          <w:sz w:val="13"/>
        </w:rPr>
        <w:t>(Association </w:t>
      </w:r>
      <w:r>
        <w:rPr>
          <w:w w:val="105"/>
          <w:sz w:val="13"/>
        </w:rPr>
        <w:t>of Independent Retirees); </w:t>
      </w:r>
      <w:r>
        <w:rPr>
          <w:spacing w:val="2"/>
          <w:w w:val="105"/>
          <w:sz w:val="13"/>
        </w:rPr>
        <w:t>30b </w:t>
      </w:r>
      <w:r>
        <w:rPr>
          <w:spacing w:val="3"/>
          <w:w w:val="105"/>
          <w:sz w:val="13"/>
        </w:rPr>
        <w:t>(Law </w:t>
      </w:r>
      <w:r>
        <w:rPr>
          <w:w w:val="105"/>
          <w:sz w:val="13"/>
        </w:rPr>
        <w:t>Institute of </w:t>
      </w:r>
      <w:r>
        <w:rPr>
          <w:spacing w:val="2"/>
          <w:w w:val="105"/>
          <w:sz w:val="13"/>
        </w:rPr>
        <w:t>Victoria); </w:t>
      </w:r>
      <w:r>
        <w:rPr>
          <w:w w:val="105"/>
          <w:sz w:val="13"/>
        </w:rPr>
        <w:t>32 </w:t>
      </w:r>
      <w:r>
        <w:rPr>
          <w:spacing w:val="2"/>
          <w:w w:val="105"/>
          <w:sz w:val="13"/>
        </w:rPr>
        <w:t>(The </w:t>
      </w:r>
      <w:r>
        <w:rPr>
          <w:w w:val="105"/>
          <w:sz w:val="13"/>
        </w:rPr>
        <w:t>Institute of Legal Executives); 33</w:t>
      </w:r>
      <w:r>
        <w:rPr>
          <w:spacing w:val="6"/>
          <w:w w:val="105"/>
          <w:sz w:val="13"/>
        </w:rPr>
        <w:t> </w:t>
      </w:r>
      <w:r>
        <w:rPr>
          <w:w w:val="105"/>
          <w:sz w:val="13"/>
        </w:rPr>
        <w:t>(State</w:t>
      </w:r>
      <w:r>
        <w:rPr>
          <w:spacing w:val="6"/>
          <w:w w:val="105"/>
          <w:sz w:val="13"/>
        </w:rPr>
        <w:t> </w:t>
      </w:r>
      <w:r>
        <w:rPr>
          <w:w w:val="105"/>
          <w:sz w:val="13"/>
        </w:rPr>
        <w:t>Trustees</w:t>
      </w:r>
      <w:r>
        <w:rPr>
          <w:spacing w:val="7"/>
          <w:w w:val="105"/>
          <w:sz w:val="13"/>
        </w:rPr>
        <w:t> </w:t>
      </w:r>
      <w:r>
        <w:rPr>
          <w:w w:val="105"/>
          <w:sz w:val="13"/>
        </w:rPr>
        <w:t>Limited);</w:t>
      </w:r>
      <w:r>
        <w:rPr>
          <w:spacing w:val="6"/>
          <w:w w:val="105"/>
          <w:sz w:val="13"/>
        </w:rPr>
        <w:t> </w:t>
      </w:r>
      <w:r>
        <w:rPr>
          <w:w w:val="105"/>
          <w:sz w:val="13"/>
        </w:rPr>
        <w:t>36</w:t>
      </w:r>
      <w:r>
        <w:rPr>
          <w:spacing w:val="7"/>
          <w:w w:val="105"/>
          <w:sz w:val="13"/>
        </w:rPr>
        <w:t> </w:t>
      </w:r>
      <w:r>
        <w:rPr>
          <w:spacing w:val="3"/>
          <w:w w:val="105"/>
          <w:sz w:val="13"/>
        </w:rPr>
        <w:t>(Law</w:t>
      </w:r>
      <w:r>
        <w:rPr>
          <w:spacing w:val="6"/>
          <w:w w:val="105"/>
          <w:sz w:val="13"/>
        </w:rPr>
        <w:t> </w:t>
      </w:r>
      <w:r>
        <w:rPr>
          <w:w w:val="105"/>
          <w:sz w:val="13"/>
        </w:rPr>
        <w:t>Society</w:t>
      </w:r>
      <w:r>
        <w:rPr>
          <w:spacing w:val="7"/>
          <w:w w:val="105"/>
          <w:sz w:val="13"/>
        </w:rPr>
        <w:t> </w:t>
      </w:r>
      <w:r>
        <w:rPr>
          <w:w w:val="105"/>
          <w:sz w:val="13"/>
        </w:rPr>
        <w:t>of</w:t>
      </w:r>
      <w:r>
        <w:rPr>
          <w:spacing w:val="6"/>
          <w:w w:val="105"/>
          <w:sz w:val="13"/>
        </w:rPr>
        <w:t> </w:t>
      </w:r>
      <w:r>
        <w:rPr>
          <w:w w:val="105"/>
          <w:sz w:val="13"/>
        </w:rPr>
        <w:t>New</w:t>
      </w:r>
      <w:r>
        <w:rPr>
          <w:spacing w:val="7"/>
          <w:w w:val="105"/>
          <w:sz w:val="13"/>
        </w:rPr>
        <w:t> </w:t>
      </w:r>
      <w:r>
        <w:rPr>
          <w:w w:val="105"/>
          <w:sz w:val="13"/>
        </w:rPr>
        <w:t>South</w:t>
      </w:r>
      <w:r>
        <w:rPr>
          <w:spacing w:val="6"/>
          <w:w w:val="105"/>
          <w:sz w:val="13"/>
        </w:rPr>
        <w:t> </w:t>
      </w:r>
      <w:r>
        <w:rPr>
          <w:w w:val="105"/>
          <w:sz w:val="13"/>
        </w:rPr>
        <w:t>Wales);</w:t>
      </w:r>
      <w:r>
        <w:rPr>
          <w:spacing w:val="7"/>
          <w:w w:val="105"/>
          <w:sz w:val="13"/>
        </w:rPr>
        <w:t> </w:t>
      </w:r>
      <w:r>
        <w:rPr>
          <w:w w:val="105"/>
          <w:sz w:val="13"/>
        </w:rPr>
        <w:t>39</w:t>
      </w:r>
      <w:r>
        <w:rPr>
          <w:spacing w:val="6"/>
          <w:w w:val="105"/>
          <w:sz w:val="13"/>
        </w:rPr>
        <w:t> </w:t>
      </w:r>
      <w:r>
        <w:rPr>
          <w:w w:val="105"/>
          <w:sz w:val="13"/>
        </w:rPr>
        <w:t>(Carolyn</w:t>
      </w:r>
      <w:r>
        <w:rPr>
          <w:spacing w:val="7"/>
          <w:w w:val="105"/>
          <w:sz w:val="13"/>
        </w:rPr>
        <w:t> </w:t>
      </w:r>
      <w:r>
        <w:rPr>
          <w:w w:val="105"/>
          <w:sz w:val="13"/>
        </w:rPr>
        <w:t>Sparke</w:t>
      </w:r>
      <w:r>
        <w:rPr>
          <w:spacing w:val="6"/>
          <w:w w:val="105"/>
          <w:sz w:val="13"/>
        </w:rPr>
        <w:t> </w:t>
      </w:r>
      <w:r>
        <w:rPr>
          <w:w w:val="105"/>
          <w:sz w:val="13"/>
        </w:rPr>
        <w:t>SC);</w:t>
      </w:r>
      <w:r>
        <w:rPr>
          <w:spacing w:val="7"/>
          <w:w w:val="105"/>
          <w:sz w:val="13"/>
        </w:rPr>
        <w:t> </w:t>
      </w:r>
      <w:r>
        <w:rPr>
          <w:w w:val="105"/>
          <w:sz w:val="13"/>
        </w:rPr>
        <w:t>40</w:t>
      </w:r>
      <w:r>
        <w:rPr>
          <w:spacing w:val="6"/>
          <w:w w:val="105"/>
          <w:sz w:val="13"/>
        </w:rPr>
        <w:t> </w:t>
      </w:r>
      <w:r>
        <w:rPr>
          <w:w w:val="105"/>
          <w:sz w:val="13"/>
        </w:rPr>
        <w:t>(Janice</w:t>
      </w:r>
      <w:r>
        <w:rPr>
          <w:spacing w:val="7"/>
          <w:w w:val="105"/>
          <w:sz w:val="13"/>
        </w:rPr>
        <w:t> </w:t>
      </w:r>
      <w:r>
        <w:rPr>
          <w:w w:val="105"/>
          <w:sz w:val="13"/>
        </w:rPr>
        <w:t>Brownfoot).</w:t>
      </w:r>
    </w:p>
    <w:p>
      <w:pPr>
        <w:pStyle w:val="ListParagraph"/>
        <w:numPr>
          <w:ilvl w:val="0"/>
          <w:numId w:val="58"/>
        </w:numPr>
        <w:tabs>
          <w:tab w:pos="2381" w:val="left" w:leader="none"/>
          <w:tab w:pos="2382" w:val="left" w:leader="none"/>
        </w:tabs>
        <w:spacing w:line="240" w:lineRule="auto" w:before="3" w:after="0"/>
        <w:ind w:left="2381" w:right="0" w:hanging="794"/>
        <w:jc w:val="left"/>
        <w:rPr>
          <w:sz w:val="13"/>
        </w:rPr>
      </w:pPr>
      <w:r>
        <w:rPr>
          <w:w w:val="105"/>
          <w:sz w:val="13"/>
        </w:rPr>
        <w:t>Submission 36 </w:t>
      </w:r>
      <w:r>
        <w:rPr>
          <w:spacing w:val="3"/>
          <w:w w:val="105"/>
          <w:sz w:val="13"/>
        </w:rPr>
        <w:t>(Law </w:t>
      </w:r>
      <w:r>
        <w:rPr>
          <w:w w:val="105"/>
          <w:sz w:val="13"/>
        </w:rPr>
        <w:t>Society of New South</w:t>
      </w:r>
      <w:r>
        <w:rPr>
          <w:spacing w:val="29"/>
          <w:w w:val="105"/>
          <w:sz w:val="13"/>
        </w:rPr>
        <w:t> </w:t>
      </w:r>
      <w:r>
        <w:rPr>
          <w:w w:val="105"/>
          <w:sz w:val="13"/>
        </w:rPr>
        <w:t>Wales).</w:t>
      </w:r>
    </w:p>
    <w:p>
      <w:pPr>
        <w:pStyle w:val="ListParagraph"/>
        <w:numPr>
          <w:ilvl w:val="0"/>
          <w:numId w:val="58"/>
        </w:numPr>
        <w:tabs>
          <w:tab w:pos="2381" w:val="left" w:leader="none"/>
          <w:tab w:pos="2382" w:val="left" w:leader="none"/>
        </w:tabs>
        <w:spacing w:line="240" w:lineRule="auto" w:before="1" w:after="0"/>
        <w:ind w:left="2381" w:right="0" w:hanging="794"/>
        <w:jc w:val="left"/>
        <w:rPr>
          <w:sz w:val="13"/>
        </w:rPr>
      </w:pPr>
      <w:r>
        <w:rPr>
          <w:w w:val="105"/>
          <w:sz w:val="13"/>
        </w:rPr>
        <w:t>Submission 31 (Seniors Rights</w:t>
      </w:r>
      <w:r>
        <w:rPr>
          <w:spacing w:val="18"/>
          <w:w w:val="105"/>
          <w:sz w:val="13"/>
        </w:rPr>
        <w:t> </w:t>
      </w:r>
      <w:r>
        <w:rPr>
          <w:spacing w:val="2"/>
          <w:w w:val="105"/>
          <w:sz w:val="13"/>
        </w:rPr>
        <w:t>Victoria).</w:t>
      </w:r>
    </w:p>
    <w:p>
      <w:pPr>
        <w:pStyle w:val="ListParagraph"/>
        <w:numPr>
          <w:ilvl w:val="0"/>
          <w:numId w:val="58"/>
        </w:numPr>
        <w:tabs>
          <w:tab w:pos="2381" w:val="left" w:leader="none"/>
          <w:tab w:pos="2382" w:val="left" w:leader="none"/>
        </w:tabs>
        <w:spacing w:line="240" w:lineRule="auto" w:before="1" w:after="0"/>
        <w:ind w:left="2381" w:right="0" w:hanging="794"/>
        <w:jc w:val="left"/>
        <w:rPr>
          <w:sz w:val="13"/>
        </w:rPr>
      </w:pPr>
      <w:r>
        <w:rPr>
          <w:w w:val="105"/>
          <w:sz w:val="13"/>
        </w:rPr>
        <w:t>Submission 39 (Carolyn Sparke</w:t>
      </w:r>
      <w:r>
        <w:rPr>
          <w:spacing w:val="18"/>
          <w:w w:val="105"/>
          <w:sz w:val="13"/>
        </w:rPr>
        <w:t> </w:t>
      </w:r>
      <w:r>
        <w:rPr>
          <w:w w:val="105"/>
          <w:sz w:val="13"/>
        </w:rPr>
        <w:t>SC).</w:t>
      </w:r>
    </w:p>
    <w:p>
      <w:pPr>
        <w:pStyle w:val="ListParagraph"/>
        <w:numPr>
          <w:ilvl w:val="0"/>
          <w:numId w:val="58"/>
        </w:numPr>
        <w:tabs>
          <w:tab w:pos="2381" w:val="left" w:leader="none"/>
          <w:tab w:pos="2382" w:val="left" w:leader="none"/>
        </w:tabs>
        <w:spacing w:line="240" w:lineRule="auto" w:before="2" w:after="0"/>
        <w:ind w:left="2381" w:right="0" w:hanging="794"/>
        <w:jc w:val="left"/>
        <w:rPr>
          <w:sz w:val="13"/>
        </w:rPr>
      </w:pPr>
      <w:r>
        <w:rPr>
          <w:w w:val="105"/>
          <w:sz w:val="13"/>
        </w:rPr>
        <w:t>Submission 37 (Supreme Court of</w:t>
      </w:r>
      <w:r>
        <w:rPr>
          <w:spacing w:val="22"/>
          <w:w w:val="105"/>
          <w:sz w:val="13"/>
        </w:rPr>
        <w:t> </w:t>
      </w:r>
      <w:r>
        <w:rPr>
          <w:spacing w:val="2"/>
          <w:w w:val="105"/>
          <w:sz w:val="13"/>
        </w:rPr>
        <w:t>Victoria).</w:t>
      </w:r>
    </w:p>
    <w:p>
      <w:pPr>
        <w:pStyle w:val="ListParagraph"/>
        <w:numPr>
          <w:ilvl w:val="0"/>
          <w:numId w:val="58"/>
        </w:numPr>
        <w:tabs>
          <w:tab w:pos="2381" w:val="left" w:leader="none"/>
          <w:tab w:pos="2382" w:val="left" w:leader="none"/>
        </w:tabs>
        <w:spacing w:line="240" w:lineRule="auto" w:before="1" w:after="0"/>
        <w:ind w:left="2381" w:right="0" w:hanging="794"/>
        <w:jc w:val="left"/>
        <w:rPr>
          <w:sz w:val="13"/>
        </w:rPr>
      </w:pPr>
      <w:r>
        <w:rPr>
          <w:sz w:val="13"/>
        </w:rPr>
        <w:t>Ibid.</w:t>
      </w:r>
    </w:p>
    <w:p>
      <w:pPr>
        <w:pStyle w:val="ListParagraph"/>
        <w:numPr>
          <w:ilvl w:val="0"/>
          <w:numId w:val="58"/>
        </w:numPr>
        <w:tabs>
          <w:tab w:pos="2381" w:val="left" w:leader="none"/>
          <w:tab w:pos="2382" w:val="left" w:leader="none"/>
        </w:tabs>
        <w:spacing w:line="240" w:lineRule="auto" w:before="1" w:after="0"/>
        <w:ind w:left="2381" w:right="0" w:hanging="794"/>
        <w:jc w:val="left"/>
        <w:rPr>
          <w:sz w:val="13"/>
        </w:rPr>
      </w:pPr>
      <w:r>
        <w:rPr>
          <w:w w:val="105"/>
          <w:sz w:val="13"/>
        </w:rPr>
        <w:t>Submissions 8 (Patricia Strachan); 25 </w:t>
      </w:r>
      <w:r>
        <w:rPr>
          <w:spacing w:val="2"/>
          <w:w w:val="105"/>
          <w:sz w:val="13"/>
        </w:rPr>
        <w:t>(Moores</w:t>
      </w:r>
      <w:r>
        <w:rPr>
          <w:spacing w:val="27"/>
          <w:w w:val="105"/>
          <w:sz w:val="13"/>
        </w:rPr>
        <w:t> </w:t>
      </w:r>
      <w:r>
        <w:rPr>
          <w:w w:val="105"/>
          <w:sz w:val="13"/>
        </w:rPr>
        <w:t>Legal).</w:t>
      </w:r>
    </w:p>
    <w:p>
      <w:pPr>
        <w:pStyle w:val="ListParagraph"/>
        <w:numPr>
          <w:ilvl w:val="0"/>
          <w:numId w:val="58"/>
        </w:numPr>
        <w:tabs>
          <w:tab w:pos="2381" w:val="left" w:leader="none"/>
          <w:tab w:pos="2382" w:val="left" w:leader="none"/>
        </w:tabs>
        <w:spacing w:line="240" w:lineRule="auto" w:before="2" w:after="0"/>
        <w:ind w:left="2381" w:right="0" w:hanging="794"/>
        <w:jc w:val="left"/>
        <w:rPr>
          <w:sz w:val="13"/>
        </w:rPr>
      </w:pPr>
      <w:r>
        <w:rPr>
          <w:w w:val="105"/>
          <w:sz w:val="13"/>
        </w:rPr>
        <w:t>Submissions </w:t>
      </w:r>
      <w:r>
        <w:rPr>
          <w:spacing w:val="-3"/>
          <w:w w:val="105"/>
          <w:sz w:val="13"/>
        </w:rPr>
        <w:t>14 </w:t>
      </w:r>
      <w:r>
        <w:rPr>
          <w:w w:val="105"/>
          <w:sz w:val="13"/>
        </w:rPr>
        <w:t>(Commercial Bar </w:t>
      </w:r>
      <w:r>
        <w:rPr>
          <w:spacing w:val="2"/>
          <w:w w:val="105"/>
          <w:sz w:val="13"/>
        </w:rPr>
        <w:t>Association); </w:t>
      </w:r>
      <w:r>
        <w:rPr>
          <w:w w:val="105"/>
          <w:sz w:val="13"/>
        </w:rPr>
        <w:t>26 </w:t>
      </w:r>
      <w:r>
        <w:rPr>
          <w:spacing w:val="2"/>
          <w:w w:val="105"/>
          <w:sz w:val="13"/>
        </w:rPr>
        <w:t>(Rigby </w:t>
      </w:r>
      <w:r>
        <w:rPr>
          <w:w w:val="105"/>
          <w:sz w:val="13"/>
        </w:rPr>
        <w:t>Cooke</w:t>
      </w:r>
      <w:r>
        <w:rPr>
          <w:spacing w:val="4"/>
          <w:w w:val="105"/>
          <w:sz w:val="13"/>
        </w:rPr>
        <w:t> </w:t>
      </w:r>
      <w:r>
        <w:rPr>
          <w:spacing w:val="2"/>
          <w:w w:val="105"/>
          <w:sz w:val="13"/>
        </w:rPr>
        <w:t>Lawyers).</w:t>
      </w:r>
    </w:p>
    <w:p>
      <w:pPr>
        <w:pStyle w:val="ListParagraph"/>
        <w:numPr>
          <w:ilvl w:val="0"/>
          <w:numId w:val="58"/>
        </w:numPr>
        <w:tabs>
          <w:tab w:pos="2381" w:val="left" w:leader="none"/>
          <w:tab w:pos="2382" w:val="left" w:leader="none"/>
        </w:tabs>
        <w:spacing w:line="240" w:lineRule="auto" w:before="1" w:after="0"/>
        <w:ind w:left="2381" w:right="0" w:hanging="794"/>
        <w:jc w:val="left"/>
        <w:rPr>
          <w:sz w:val="13"/>
        </w:rPr>
      </w:pPr>
      <w:r>
        <w:rPr>
          <w:w w:val="105"/>
          <w:sz w:val="13"/>
        </w:rPr>
        <w:t>Submission </w:t>
      </w:r>
      <w:r>
        <w:rPr>
          <w:spacing w:val="-3"/>
          <w:w w:val="105"/>
          <w:sz w:val="13"/>
        </w:rPr>
        <w:t>14 </w:t>
      </w:r>
      <w:r>
        <w:rPr>
          <w:w w:val="105"/>
          <w:sz w:val="13"/>
        </w:rPr>
        <w:t>(Commercial Bar</w:t>
      </w:r>
      <w:r>
        <w:rPr>
          <w:spacing w:val="21"/>
          <w:w w:val="105"/>
          <w:sz w:val="13"/>
        </w:rPr>
        <w:t> </w:t>
      </w:r>
      <w:r>
        <w:rPr>
          <w:spacing w:val="2"/>
          <w:w w:val="105"/>
          <w:sz w:val="13"/>
        </w:rPr>
        <w:t>Association).</w:t>
      </w:r>
    </w:p>
    <w:p>
      <w:pPr>
        <w:pStyle w:val="ListParagraph"/>
        <w:numPr>
          <w:ilvl w:val="0"/>
          <w:numId w:val="58"/>
        </w:numPr>
        <w:tabs>
          <w:tab w:pos="2381" w:val="left" w:leader="none"/>
          <w:tab w:pos="2382" w:val="left" w:leader="none"/>
        </w:tabs>
        <w:spacing w:line="240" w:lineRule="auto" w:before="1" w:after="0"/>
        <w:ind w:left="2381" w:right="0" w:hanging="794"/>
        <w:jc w:val="left"/>
        <w:rPr>
          <w:sz w:val="13"/>
        </w:rPr>
      </w:pPr>
      <w:r>
        <w:rPr>
          <w:sz w:val="13"/>
        </w:rPr>
        <w:t>Ibid.</w:t>
      </w:r>
    </w:p>
    <w:p>
      <w:pPr>
        <w:pStyle w:val="ListParagraph"/>
        <w:numPr>
          <w:ilvl w:val="0"/>
          <w:numId w:val="58"/>
        </w:numPr>
        <w:tabs>
          <w:tab w:pos="2381" w:val="left" w:leader="none"/>
          <w:tab w:pos="2382" w:val="left" w:leader="none"/>
        </w:tabs>
        <w:spacing w:line="122" w:lineRule="exact" w:before="2" w:after="0"/>
        <w:ind w:left="2381" w:right="0" w:hanging="794"/>
        <w:jc w:val="left"/>
        <w:rPr>
          <w:sz w:val="13"/>
        </w:rPr>
      </w:pPr>
      <w:r>
        <w:rPr>
          <w:w w:val="105"/>
          <w:sz w:val="13"/>
        </w:rPr>
        <w:t>Submission 26 </w:t>
      </w:r>
      <w:r>
        <w:rPr>
          <w:spacing w:val="2"/>
          <w:w w:val="105"/>
          <w:sz w:val="13"/>
        </w:rPr>
        <w:t>(Rigby </w:t>
      </w:r>
      <w:r>
        <w:rPr>
          <w:w w:val="105"/>
          <w:sz w:val="13"/>
        </w:rPr>
        <w:t>Cooke</w:t>
      </w:r>
      <w:r>
        <w:rPr>
          <w:spacing w:val="16"/>
          <w:w w:val="105"/>
          <w:sz w:val="13"/>
        </w:rPr>
        <w:t> </w:t>
      </w:r>
      <w:r>
        <w:rPr>
          <w:spacing w:val="2"/>
          <w:w w:val="105"/>
          <w:sz w:val="13"/>
        </w:rPr>
        <w:t>Lawyers).</w:t>
      </w:r>
    </w:p>
    <w:p>
      <w:pPr>
        <w:pStyle w:val="ListParagraph"/>
        <w:numPr>
          <w:ilvl w:val="0"/>
          <w:numId w:val="58"/>
        </w:numPr>
        <w:tabs>
          <w:tab w:pos="2381" w:val="left" w:leader="none"/>
          <w:tab w:pos="2382" w:val="left" w:leader="none"/>
          <w:tab w:pos="11242" w:val="right" w:leader="none"/>
        </w:tabs>
        <w:spacing w:line="256" w:lineRule="exact" w:before="0" w:after="0"/>
        <w:ind w:left="2381" w:right="0" w:hanging="794"/>
        <w:jc w:val="left"/>
        <w:rPr>
          <w:b/>
          <w:sz w:val="24"/>
        </w:rPr>
      </w:pPr>
      <w:r>
        <w:rPr>
          <w:i/>
          <w:w w:val="105"/>
          <w:sz w:val="13"/>
        </w:rPr>
        <w:t>Administration and Probate Act 1958 </w:t>
      </w:r>
      <w:r>
        <w:rPr>
          <w:spacing w:val="2"/>
          <w:w w:val="105"/>
          <w:sz w:val="13"/>
        </w:rPr>
        <w:t>(Vic)</w:t>
      </w:r>
      <w:r>
        <w:rPr>
          <w:spacing w:val="23"/>
          <w:w w:val="105"/>
          <w:sz w:val="13"/>
        </w:rPr>
        <w:t> </w:t>
      </w:r>
      <w:r>
        <w:rPr>
          <w:w w:val="105"/>
          <w:sz w:val="13"/>
        </w:rPr>
        <w:t>s</w:t>
      </w:r>
      <w:r>
        <w:rPr>
          <w:spacing w:val="4"/>
          <w:w w:val="105"/>
          <w:sz w:val="13"/>
        </w:rPr>
        <w:t> </w:t>
      </w:r>
      <w:r>
        <w:rPr>
          <w:w w:val="105"/>
          <w:sz w:val="13"/>
        </w:rPr>
        <w:t>51(2).</w:t>
        <w:tab/>
      </w:r>
      <w:r>
        <w:rPr>
          <w:b/>
          <w:color w:val="EC5A4F"/>
          <w:w w:val="105"/>
          <w:position w:val="-2"/>
          <w:sz w:val="24"/>
        </w:rPr>
        <w:t>69</w:t>
      </w:r>
    </w:p>
    <w:p>
      <w:pPr>
        <w:spacing w:after="0" w:line="256" w:lineRule="exact"/>
        <w:jc w:val="left"/>
        <w:rPr>
          <w:sz w:val="24"/>
        </w:rPr>
        <w:sectPr>
          <w:pgSz w:w="11910" w:h="16840"/>
          <w:pgMar w:header="805" w:footer="0" w:top="1360" w:bottom="280" w:left="0" w:right="0"/>
        </w:sectPr>
      </w:pPr>
    </w:p>
    <w:p>
      <w:pPr>
        <w:pStyle w:val="BodyText"/>
        <w:spacing w:before="3"/>
        <w:rPr>
          <w:b/>
          <w:sz w:val="30"/>
        </w:rPr>
      </w:pPr>
    </w:p>
    <w:p>
      <w:pPr>
        <w:pStyle w:val="ListParagraph"/>
        <w:numPr>
          <w:ilvl w:val="1"/>
          <w:numId w:val="22"/>
        </w:numPr>
        <w:tabs>
          <w:tab w:pos="2380" w:val="left" w:leader="none"/>
          <w:tab w:pos="2381" w:val="left" w:leader="none"/>
        </w:tabs>
        <w:spacing w:line="242" w:lineRule="auto" w:before="0" w:after="0"/>
        <w:ind w:left="2381" w:right="1670" w:hanging="794"/>
        <w:jc w:val="left"/>
        <w:rPr>
          <w:sz w:val="21"/>
        </w:rPr>
      </w:pPr>
      <w:r>
        <w:rPr>
          <w:w w:val="105"/>
          <w:sz w:val="21"/>
        </w:rPr>
        <w:t>In </w:t>
      </w:r>
      <w:r>
        <w:rPr>
          <w:spacing w:val="-3"/>
          <w:w w:val="105"/>
          <w:sz w:val="21"/>
        </w:rPr>
        <w:t>consultation, </w:t>
      </w:r>
      <w:r>
        <w:rPr>
          <w:w w:val="105"/>
          <w:sz w:val="21"/>
        </w:rPr>
        <w:t>representatives of the NSW </w:t>
      </w:r>
      <w:r>
        <w:rPr>
          <w:spacing w:val="-4"/>
          <w:w w:val="105"/>
          <w:sz w:val="21"/>
        </w:rPr>
        <w:t>Trustee </w:t>
      </w:r>
      <w:r>
        <w:rPr>
          <w:w w:val="105"/>
          <w:sz w:val="21"/>
        </w:rPr>
        <w:t>and </w:t>
      </w:r>
      <w:r>
        <w:rPr>
          <w:spacing w:val="-3"/>
          <w:w w:val="105"/>
          <w:sz w:val="21"/>
        </w:rPr>
        <w:t>Guardian noted that </w:t>
      </w:r>
      <w:r>
        <w:rPr>
          <w:w w:val="105"/>
          <w:sz w:val="21"/>
        </w:rPr>
        <w:t>the partner’s</w:t>
      </w:r>
      <w:r>
        <w:rPr>
          <w:spacing w:val="-7"/>
          <w:w w:val="105"/>
          <w:sz w:val="21"/>
        </w:rPr>
        <w:t> </w:t>
      </w:r>
      <w:r>
        <w:rPr>
          <w:w w:val="105"/>
          <w:sz w:val="21"/>
        </w:rPr>
        <w:t>statutory</w:t>
      </w:r>
      <w:r>
        <w:rPr>
          <w:spacing w:val="-7"/>
          <w:w w:val="105"/>
          <w:sz w:val="21"/>
        </w:rPr>
        <w:t> </w:t>
      </w:r>
      <w:r>
        <w:rPr>
          <w:spacing w:val="-3"/>
          <w:w w:val="105"/>
          <w:sz w:val="21"/>
        </w:rPr>
        <w:t>legacy,</w:t>
      </w:r>
      <w:r>
        <w:rPr>
          <w:spacing w:val="-6"/>
          <w:w w:val="105"/>
          <w:sz w:val="21"/>
        </w:rPr>
        <w:t> </w:t>
      </w:r>
      <w:r>
        <w:rPr>
          <w:spacing w:val="-3"/>
          <w:w w:val="105"/>
          <w:sz w:val="21"/>
        </w:rPr>
        <w:t>increased</w:t>
      </w:r>
      <w:r>
        <w:rPr>
          <w:spacing w:val="-7"/>
          <w:w w:val="105"/>
          <w:sz w:val="21"/>
        </w:rPr>
        <w:t> </w:t>
      </w:r>
      <w:r>
        <w:rPr>
          <w:w w:val="105"/>
          <w:sz w:val="21"/>
        </w:rPr>
        <w:t>in</w:t>
      </w:r>
      <w:r>
        <w:rPr>
          <w:spacing w:val="-6"/>
          <w:w w:val="105"/>
          <w:sz w:val="21"/>
        </w:rPr>
        <w:t> </w:t>
      </w:r>
      <w:r>
        <w:rPr>
          <w:w w:val="105"/>
          <w:sz w:val="21"/>
        </w:rPr>
        <w:t>New</w:t>
      </w:r>
      <w:r>
        <w:rPr>
          <w:spacing w:val="-7"/>
          <w:w w:val="105"/>
          <w:sz w:val="21"/>
        </w:rPr>
        <w:t> </w:t>
      </w:r>
      <w:r>
        <w:rPr>
          <w:w w:val="105"/>
          <w:sz w:val="21"/>
        </w:rPr>
        <w:t>South</w:t>
      </w:r>
      <w:r>
        <w:rPr>
          <w:spacing w:val="-6"/>
          <w:w w:val="105"/>
          <w:sz w:val="21"/>
        </w:rPr>
        <w:t> </w:t>
      </w:r>
      <w:r>
        <w:rPr>
          <w:spacing w:val="-3"/>
          <w:w w:val="105"/>
          <w:sz w:val="21"/>
        </w:rPr>
        <w:t>Wales</w:t>
      </w:r>
      <w:r>
        <w:rPr>
          <w:spacing w:val="-7"/>
          <w:w w:val="105"/>
          <w:sz w:val="21"/>
        </w:rPr>
        <w:t> </w:t>
      </w:r>
      <w:r>
        <w:rPr>
          <w:w w:val="105"/>
          <w:sz w:val="21"/>
        </w:rPr>
        <w:t>in</w:t>
      </w:r>
      <w:r>
        <w:rPr>
          <w:spacing w:val="-6"/>
          <w:w w:val="105"/>
          <w:sz w:val="21"/>
        </w:rPr>
        <w:t> </w:t>
      </w:r>
      <w:r>
        <w:rPr>
          <w:spacing w:val="-3"/>
          <w:w w:val="105"/>
          <w:sz w:val="21"/>
        </w:rPr>
        <w:t>accordance</w:t>
      </w:r>
      <w:r>
        <w:rPr>
          <w:spacing w:val="-7"/>
          <w:w w:val="105"/>
          <w:sz w:val="21"/>
        </w:rPr>
        <w:t> </w:t>
      </w:r>
      <w:r>
        <w:rPr>
          <w:w w:val="105"/>
          <w:sz w:val="21"/>
        </w:rPr>
        <w:t>with</w:t>
      </w:r>
      <w:r>
        <w:rPr>
          <w:spacing w:val="-6"/>
          <w:w w:val="105"/>
          <w:sz w:val="21"/>
        </w:rPr>
        <w:t> </w:t>
      </w:r>
      <w:r>
        <w:rPr>
          <w:w w:val="105"/>
          <w:sz w:val="21"/>
        </w:rPr>
        <w:t>the</w:t>
      </w:r>
      <w:r>
        <w:rPr>
          <w:spacing w:val="-7"/>
          <w:w w:val="105"/>
          <w:sz w:val="21"/>
        </w:rPr>
        <w:t> </w:t>
      </w:r>
      <w:r>
        <w:rPr>
          <w:spacing w:val="-3"/>
          <w:w w:val="105"/>
          <w:sz w:val="21"/>
        </w:rPr>
        <w:t>National </w:t>
      </w:r>
      <w:r>
        <w:rPr>
          <w:spacing w:val="-4"/>
          <w:w w:val="105"/>
          <w:sz w:val="21"/>
        </w:rPr>
        <w:t>Committee’s </w:t>
      </w:r>
      <w:r>
        <w:rPr>
          <w:spacing w:val="-3"/>
          <w:w w:val="105"/>
          <w:sz w:val="21"/>
        </w:rPr>
        <w:t>recommendations, </w:t>
      </w:r>
      <w:r>
        <w:rPr>
          <w:w w:val="105"/>
          <w:sz w:val="21"/>
        </w:rPr>
        <w:t>is now </w:t>
      </w:r>
      <w:r>
        <w:rPr>
          <w:spacing w:val="-3"/>
          <w:w w:val="105"/>
          <w:sz w:val="21"/>
        </w:rPr>
        <w:t>approximately </w:t>
      </w:r>
      <w:r>
        <w:rPr>
          <w:spacing w:val="-5"/>
          <w:w w:val="105"/>
          <w:sz w:val="21"/>
        </w:rPr>
        <w:t>$420,000.</w:t>
      </w:r>
      <w:r>
        <w:rPr>
          <w:spacing w:val="-5"/>
          <w:w w:val="105"/>
          <w:position w:val="7"/>
          <w:sz w:val="12"/>
        </w:rPr>
        <w:t>112 </w:t>
      </w:r>
      <w:r>
        <w:rPr>
          <w:w w:val="105"/>
          <w:sz w:val="21"/>
        </w:rPr>
        <w:t>They</w:t>
      </w:r>
      <w:r>
        <w:rPr>
          <w:spacing w:val="22"/>
          <w:w w:val="105"/>
          <w:sz w:val="21"/>
        </w:rPr>
        <w:t> </w:t>
      </w:r>
      <w:r>
        <w:rPr>
          <w:spacing w:val="-3"/>
          <w:w w:val="105"/>
          <w:sz w:val="21"/>
        </w:rPr>
        <w:t>considered</w:t>
      </w:r>
    </w:p>
    <w:p>
      <w:pPr>
        <w:pStyle w:val="BodyText"/>
        <w:spacing w:line="242" w:lineRule="auto" w:before="3"/>
        <w:ind w:left="2381" w:right="1826"/>
      </w:pPr>
      <w:r>
        <w:rPr/>
        <w:t>the </w:t>
      </w:r>
      <w:r>
        <w:rPr>
          <w:spacing w:val="-3"/>
        </w:rPr>
        <w:t>increase to </w:t>
      </w:r>
      <w:r>
        <w:rPr/>
        <w:t>be an </w:t>
      </w:r>
      <w:r>
        <w:rPr>
          <w:spacing w:val="-3"/>
        </w:rPr>
        <w:t>improvement, </w:t>
      </w:r>
      <w:r>
        <w:rPr/>
        <w:t>but </w:t>
      </w:r>
      <w:r>
        <w:rPr>
          <w:spacing w:val="-3"/>
        </w:rPr>
        <w:t>noted that </w:t>
      </w:r>
      <w:r>
        <w:rPr/>
        <w:t>it </w:t>
      </w:r>
      <w:r>
        <w:rPr>
          <w:spacing w:val="-3"/>
        </w:rPr>
        <w:t>may </w:t>
      </w:r>
      <w:r>
        <w:rPr>
          <w:spacing w:val="-2"/>
        </w:rPr>
        <w:t>not </w:t>
      </w:r>
      <w:r>
        <w:rPr/>
        <w:t>be sufficient </w:t>
      </w:r>
      <w:r>
        <w:rPr>
          <w:spacing w:val="-3"/>
        </w:rPr>
        <w:t>to allow </w:t>
      </w:r>
      <w:r>
        <w:rPr/>
        <w:t>the deceased </w:t>
      </w:r>
      <w:r>
        <w:rPr>
          <w:spacing w:val="-3"/>
        </w:rPr>
        <w:t>person’s </w:t>
      </w:r>
      <w:r>
        <w:rPr/>
        <w:t>partner </w:t>
      </w:r>
      <w:r>
        <w:rPr>
          <w:spacing w:val="-3"/>
        </w:rPr>
        <w:t>to acquire  </w:t>
      </w:r>
      <w:r>
        <w:rPr/>
        <w:t>the </w:t>
      </w:r>
      <w:r>
        <w:rPr>
          <w:spacing w:val="-3"/>
        </w:rPr>
        <w:t>home,</w:t>
      </w:r>
      <w:r>
        <w:rPr>
          <w:spacing w:val="41"/>
        </w:rPr>
        <w:t> </w:t>
      </w:r>
      <w:r>
        <w:rPr/>
        <w:t>if it is located in metropolitan </w:t>
      </w:r>
      <w:r>
        <w:rPr>
          <w:spacing w:val="-8"/>
        </w:rPr>
        <w:t>Sydney.</w:t>
      </w:r>
      <w:r>
        <w:rPr>
          <w:spacing w:val="-8"/>
          <w:position w:val="7"/>
          <w:sz w:val="12"/>
        </w:rPr>
        <w:t>113  </w:t>
      </w:r>
      <w:r>
        <w:rPr/>
        <w:t>The </w:t>
      </w:r>
      <w:r>
        <w:rPr>
          <w:spacing w:val="-3"/>
        </w:rPr>
        <w:t>Commission </w:t>
      </w:r>
      <w:r>
        <w:rPr/>
        <w:t>considers </w:t>
      </w:r>
      <w:r>
        <w:rPr>
          <w:spacing w:val="-3"/>
        </w:rPr>
        <w:t>that </w:t>
      </w:r>
      <w:r>
        <w:rPr/>
        <w:t>this is further reason </w:t>
      </w:r>
      <w:r>
        <w:rPr>
          <w:spacing w:val="-3"/>
        </w:rPr>
        <w:t>to </w:t>
      </w:r>
      <w:r>
        <w:rPr/>
        <w:t>set the </w:t>
      </w:r>
      <w:r>
        <w:rPr>
          <w:spacing w:val="-3"/>
        </w:rPr>
        <w:t>minimum  </w:t>
      </w:r>
      <w:r>
        <w:rPr/>
        <w:t>statutory legacy  at </w:t>
      </w:r>
      <w:r>
        <w:rPr>
          <w:spacing w:val="-3"/>
        </w:rPr>
        <w:t>$350,000, </w:t>
      </w:r>
      <w:r>
        <w:rPr/>
        <w:t>adjusted </w:t>
      </w:r>
      <w:r>
        <w:rPr>
          <w:spacing w:val="-3"/>
        </w:rPr>
        <w:t>to </w:t>
      </w:r>
      <w:r>
        <w:rPr/>
        <w:t>reflect </w:t>
      </w:r>
      <w:r>
        <w:rPr>
          <w:spacing w:val="-3"/>
        </w:rPr>
        <w:t>changes</w:t>
      </w:r>
      <w:r>
        <w:rPr>
          <w:spacing w:val="1"/>
        </w:rPr>
        <w:t> </w:t>
      </w:r>
      <w:r>
        <w:rPr/>
        <w:t>in the CPI.</w:t>
      </w:r>
    </w:p>
    <w:p>
      <w:pPr>
        <w:pStyle w:val="ListParagraph"/>
        <w:numPr>
          <w:ilvl w:val="1"/>
          <w:numId w:val="22"/>
        </w:numPr>
        <w:tabs>
          <w:tab w:pos="2380" w:val="left" w:leader="none"/>
          <w:tab w:pos="2381" w:val="left" w:leader="none"/>
        </w:tabs>
        <w:spacing w:line="242" w:lineRule="auto" w:before="125" w:after="0"/>
        <w:ind w:left="2380" w:right="1747" w:hanging="793"/>
        <w:jc w:val="left"/>
        <w:rPr>
          <w:sz w:val="21"/>
        </w:rPr>
      </w:pPr>
      <w:r>
        <w:rPr>
          <w:w w:val="105"/>
          <w:sz w:val="21"/>
        </w:rPr>
        <w:t>Seniors Rights Victoria </w:t>
      </w:r>
      <w:r>
        <w:rPr>
          <w:spacing w:val="-3"/>
          <w:w w:val="105"/>
          <w:sz w:val="21"/>
        </w:rPr>
        <w:t>considered that, </w:t>
      </w:r>
      <w:r>
        <w:rPr>
          <w:w w:val="105"/>
          <w:sz w:val="21"/>
        </w:rPr>
        <w:t>where the deceased </w:t>
      </w:r>
      <w:r>
        <w:rPr>
          <w:spacing w:val="-3"/>
          <w:w w:val="105"/>
          <w:sz w:val="21"/>
        </w:rPr>
        <w:t>person’s </w:t>
      </w:r>
      <w:r>
        <w:rPr>
          <w:w w:val="105"/>
          <w:sz w:val="21"/>
        </w:rPr>
        <w:t>partner lived with them in the </w:t>
      </w:r>
      <w:r>
        <w:rPr>
          <w:spacing w:val="-3"/>
          <w:w w:val="105"/>
          <w:sz w:val="21"/>
        </w:rPr>
        <w:t>principal place </w:t>
      </w:r>
      <w:r>
        <w:rPr>
          <w:w w:val="105"/>
          <w:sz w:val="21"/>
        </w:rPr>
        <w:t>of </w:t>
      </w:r>
      <w:r>
        <w:rPr>
          <w:spacing w:val="-3"/>
          <w:w w:val="105"/>
          <w:sz w:val="21"/>
        </w:rPr>
        <w:t>residence, </w:t>
      </w:r>
      <w:r>
        <w:rPr>
          <w:w w:val="105"/>
          <w:sz w:val="21"/>
        </w:rPr>
        <w:t>they should receive </w:t>
      </w:r>
      <w:r>
        <w:rPr>
          <w:spacing w:val="-3"/>
          <w:w w:val="105"/>
          <w:sz w:val="21"/>
        </w:rPr>
        <w:t>that residence </w:t>
      </w:r>
      <w:r>
        <w:rPr>
          <w:w w:val="105"/>
          <w:sz w:val="21"/>
        </w:rPr>
        <w:t>in </w:t>
      </w:r>
      <w:r>
        <w:rPr>
          <w:spacing w:val="-3"/>
          <w:w w:val="105"/>
          <w:sz w:val="21"/>
        </w:rPr>
        <w:t>place </w:t>
      </w:r>
      <w:r>
        <w:rPr>
          <w:w w:val="105"/>
          <w:sz w:val="21"/>
        </w:rPr>
        <w:t>of the $350,000 adjusted statutory </w:t>
      </w:r>
      <w:r>
        <w:rPr>
          <w:spacing w:val="-6"/>
          <w:w w:val="105"/>
          <w:sz w:val="21"/>
        </w:rPr>
        <w:t>legacy.</w:t>
      </w:r>
      <w:r>
        <w:rPr>
          <w:spacing w:val="-6"/>
          <w:w w:val="105"/>
          <w:position w:val="7"/>
          <w:sz w:val="12"/>
        </w:rPr>
        <w:t>114 </w:t>
      </w:r>
      <w:r>
        <w:rPr>
          <w:spacing w:val="-4"/>
          <w:w w:val="105"/>
          <w:sz w:val="21"/>
        </w:rPr>
        <w:t>However, </w:t>
      </w:r>
      <w:r>
        <w:rPr>
          <w:w w:val="105"/>
          <w:sz w:val="21"/>
        </w:rPr>
        <w:t>as the partner </w:t>
      </w:r>
      <w:r>
        <w:rPr>
          <w:spacing w:val="-2"/>
          <w:w w:val="105"/>
          <w:sz w:val="21"/>
        </w:rPr>
        <w:t>has </w:t>
      </w:r>
      <w:r>
        <w:rPr>
          <w:w w:val="105"/>
          <w:sz w:val="21"/>
        </w:rPr>
        <w:t>a </w:t>
      </w:r>
      <w:r>
        <w:rPr>
          <w:spacing w:val="-3"/>
          <w:w w:val="105"/>
          <w:sz w:val="21"/>
        </w:rPr>
        <w:t>right to</w:t>
      </w:r>
      <w:r>
        <w:rPr>
          <w:spacing w:val="-22"/>
          <w:w w:val="105"/>
          <w:sz w:val="21"/>
        </w:rPr>
        <w:t> </w:t>
      </w:r>
      <w:r>
        <w:rPr>
          <w:spacing w:val="-3"/>
          <w:w w:val="105"/>
          <w:sz w:val="21"/>
        </w:rPr>
        <w:t>acquire</w:t>
      </w:r>
    </w:p>
    <w:p>
      <w:pPr>
        <w:pStyle w:val="BodyText"/>
        <w:spacing w:line="242" w:lineRule="auto" w:before="3"/>
        <w:ind w:left="2381" w:right="1584" w:hanging="1"/>
      </w:pPr>
      <w:r>
        <w:rPr>
          <w:w w:val="105"/>
        </w:rPr>
        <w:t>certain estate property, discussed below </w:t>
      </w:r>
      <w:r>
        <w:rPr>
          <w:spacing w:val="-3"/>
          <w:w w:val="105"/>
        </w:rPr>
        <w:t>from </w:t>
      </w:r>
      <w:r>
        <w:rPr>
          <w:spacing w:val="-4"/>
          <w:w w:val="105"/>
        </w:rPr>
        <w:t>[5.70]</w:t>
      </w:r>
      <w:r>
        <w:rPr>
          <w:spacing w:val="-4"/>
          <w:w w:val="105"/>
          <w:position w:val="7"/>
          <w:sz w:val="12"/>
        </w:rPr>
        <w:t>115 </w:t>
      </w:r>
      <w:r>
        <w:rPr>
          <w:w w:val="105"/>
        </w:rPr>
        <w:t>the </w:t>
      </w:r>
      <w:r>
        <w:rPr>
          <w:spacing w:val="-3"/>
          <w:w w:val="105"/>
        </w:rPr>
        <w:t>Commission </w:t>
      </w:r>
      <w:r>
        <w:rPr>
          <w:w w:val="105"/>
        </w:rPr>
        <w:t>does </w:t>
      </w:r>
      <w:r>
        <w:rPr>
          <w:spacing w:val="-2"/>
          <w:w w:val="105"/>
        </w:rPr>
        <w:t>not </w:t>
      </w:r>
      <w:r>
        <w:rPr>
          <w:spacing w:val="-3"/>
          <w:w w:val="105"/>
        </w:rPr>
        <w:t>consider that changing </w:t>
      </w:r>
      <w:r>
        <w:rPr>
          <w:w w:val="105"/>
        </w:rPr>
        <w:t>the partner’s statutory legacy in this </w:t>
      </w:r>
      <w:r>
        <w:rPr>
          <w:spacing w:val="-3"/>
          <w:w w:val="105"/>
        </w:rPr>
        <w:t>way </w:t>
      </w:r>
      <w:r>
        <w:rPr>
          <w:w w:val="105"/>
        </w:rPr>
        <w:t>is necessary.</w:t>
      </w:r>
    </w:p>
    <w:p>
      <w:pPr>
        <w:pStyle w:val="BodyText"/>
        <w:spacing w:before="10"/>
        <w:rPr>
          <w:sz w:val="26"/>
        </w:rPr>
      </w:pPr>
    </w:p>
    <w:p>
      <w:pPr>
        <w:pStyle w:val="Heading6"/>
      </w:pPr>
      <w:r>
        <w:rPr>
          <w:color w:val="6D6E71"/>
          <w:w w:val="115"/>
        </w:rPr>
        <w:t>Adjusting the statutory legacy to reflect changes in the Consumer Price Index (CPI)</w:t>
      </w:r>
    </w:p>
    <w:p>
      <w:pPr>
        <w:pStyle w:val="ListParagraph"/>
        <w:numPr>
          <w:ilvl w:val="1"/>
          <w:numId w:val="22"/>
        </w:numPr>
        <w:tabs>
          <w:tab w:pos="2380" w:val="left" w:leader="none"/>
          <w:tab w:pos="2381" w:val="left" w:leader="none"/>
        </w:tabs>
        <w:spacing w:line="242" w:lineRule="auto" w:before="151" w:after="0"/>
        <w:ind w:left="2381" w:right="1791" w:hanging="794"/>
        <w:jc w:val="left"/>
        <w:rPr>
          <w:sz w:val="12"/>
        </w:rPr>
      </w:pPr>
      <w:r>
        <w:rPr>
          <w:spacing w:val="-3"/>
          <w:w w:val="105"/>
          <w:sz w:val="21"/>
        </w:rPr>
        <w:t>Several submissions commented </w:t>
      </w:r>
      <w:r>
        <w:rPr>
          <w:w w:val="105"/>
          <w:sz w:val="21"/>
        </w:rPr>
        <w:t>on the </w:t>
      </w:r>
      <w:r>
        <w:rPr>
          <w:spacing w:val="-3"/>
          <w:w w:val="105"/>
          <w:sz w:val="21"/>
        </w:rPr>
        <w:t>way </w:t>
      </w:r>
      <w:r>
        <w:rPr>
          <w:w w:val="105"/>
          <w:sz w:val="21"/>
        </w:rPr>
        <w:t>in which the statutory legacy should be adjusted </w:t>
      </w:r>
      <w:r>
        <w:rPr>
          <w:spacing w:val="-3"/>
          <w:w w:val="105"/>
          <w:sz w:val="21"/>
        </w:rPr>
        <w:t>to </w:t>
      </w:r>
      <w:r>
        <w:rPr>
          <w:w w:val="105"/>
          <w:sz w:val="21"/>
        </w:rPr>
        <w:t>reflect </w:t>
      </w:r>
      <w:r>
        <w:rPr>
          <w:spacing w:val="-3"/>
          <w:w w:val="105"/>
          <w:sz w:val="21"/>
        </w:rPr>
        <w:t>changes </w:t>
      </w:r>
      <w:r>
        <w:rPr>
          <w:w w:val="105"/>
          <w:sz w:val="21"/>
        </w:rPr>
        <w:t>in the CPI. Moores Legal agreed </w:t>
      </w:r>
      <w:r>
        <w:rPr>
          <w:spacing w:val="-3"/>
          <w:w w:val="105"/>
          <w:sz w:val="21"/>
        </w:rPr>
        <w:t>that </w:t>
      </w:r>
      <w:r>
        <w:rPr>
          <w:w w:val="105"/>
          <w:sz w:val="21"/>
        </w:rPr>
        <w:t>the </w:t>
      </w:r>
      <w:r>
        <w:rPr>
          <w:spacing w:val="-3"/>
          <w:w w:val="105"/>
          <w:sz w:val="21"/>
        </w:rPr>
        <w:t>CPI </w:t>
      </w:r>
      <w:r>
        <w:rPr>
          <w:w w:val="105"/>
          <w:sz w:val="21"/>
        </w:rPr>
        <w:t>would be a </w:t>
      </w:r>
      <w:r>
        <w:rPr>
          <w:spacing w:val="-3"/>
          <w:w w:val="105"/>
          <w:sz w:val="21"/>
        </w:rPr>
        <w:t>useful mechanism for adjusting </w:t>
      </w:r>
      <w:r>
        <w:rPr>
          <w:w w:val="105"/>
          <w:sz w:val="21"/>
        </w:rPr>
        <w:t>the statutory legacy without needing </w:t>
      </w:r>
      <w:r>
        <w:rPr>
          <w:spacing w:val="-3"/>
          <w:w w:val="105"/>
          <w:sz w:val="21"/>
        </w:rPr>
        <w:t>to </w:t>
      </w:r>
      <w:r>
        <w:rPr>
          <w:w w:val="105"/>
          <w:sz w:val="21"/>
        </w:rPr>
        <w:t>amend the </w:t>
      </w:r>
      <w:r>
        <w:rPr>
          <w:spacing w:val="-3"/>
          <w:w w:val="105"/>
          <w:sz w:val="21"/>
        </w:rPr>
        <w:t>legislation</w:t>
      </w:r>
      <w:r>
        <w:rPr>
          <w:spacing w:val="-6"/>
          <w:w w:val="105"/>
          <w:sz w:val="21"/>
        </w:rPr>
        <w:t> </w:t>
      </w:r>
      <w:r>
        <w:rPr>
          <w:spacing w:val="-3"/>
          <w:w w:val="105"/>
          <w:sz w:val="21"/>
        </w:rPr>
        <w:t>from</w:t>
      </w:r>
      <w:r>
        <w:rPr>
          <w:spacing w:val="-5"/>
          <w:w w:val="105"/>
          <w:sz w:val="21"/>
        </w:rPr>
        <w:t> </w:t>
      </w:r>
      <w:r>
        <w:rPr>
          <w:w w:val="105"/>
          <w:sz w:val="21"/>
        </w:rPr>
        <w:t>time</w:t>
      </w:r>
      <w:r>
        <w:rPr>
          <w:spacing w:val="-5"/>
          <w:w w:val="105"/>
          <w:sz w:val="21"/>
        </w:rPr>
        <w:t> </w:t>
      </w:r>
      <w:r>
        <w:rPr>
          <w:spacing w:val="-3"/>
          <w:w w:val="105"/>
          <w:sz w:val="21"/>
        </w:rPr>
        <w:t>to</w:t>
      </w:r>
      <w:r>
        <w:rPr>
          <w:spacing w:val="-5"/>
          <w:w w:val="105"/>
          <w:sz w:val="21"/>
        </w:rPr>
        <w:t> </w:t>
      </w:r>
      <w:r>
        <w:rPr>
          <w:spacing w:val="-7"/>
          <w:w w:val="105"/>
          <w:sz w:val="21"/>
        </w:rPr>
        <w:t>time.</w:t>
      </w:r>
      <w:r>
        <w:rPr>
          <w:spacing w:val="-7"/>
          <w:w w:val="105"/>
          <w:position w:val="7"/>
          <w:sz w:val="12"/>
        </w:rPr>
        <w:t>116</w:t>
      </w:r>
      <w:r>
        <w:rPr>
          <w:spacing w:val="-5"/>
          <w:w w:val="105"/>
          <w:position w:val="7"/>
          <w:sz w:val="12"/>
        </w:rPr>
        <w:t> </w:t>
      </w:r>
      <w:r>
        <w:rPr>
          <w:w w:val="105"/>
          <w:sz w:val="21"/>
        </w:rPr>
        <w:t>The</w:t>
      </w:r>
      <w:r>
        <w:rPr>
          <w:spacing w:val="-5"/>
          <w:w w:val="105"/>
          <w:sz w:val="21"/>
        </w:rPr>
        <w:t> </w:t>
      </w:r>
      <w:r>
        <w:rPr>
          <w:w w:val="105"/>
          <w:sz w:val="21"/>
        </w:rPr>
        <w:t>Law</w:t>
      </w:r>
      <w:r>
        <w:rPr>
          <w:spacing w:val="-6"/>
          <w:w w:val="105"/>
          <w:sz w:val="21"/>
        </w:rPr>
        <w:t> </w:t>
      </w:r>
      <w:r>
        <w:rPr>
          <w:spacing w:val="-3"/>
          <w:w w:val="105"/>
          <w:sz w:val="21"/>
        </w:rPr>
        <w:t>Institute</w:t>
      </w:r>
      <w:r>
        <w:rPr>
          <w:spacing w:val="-5"/>
          <w:w w:val="105"/>
          <w:sz w:val="21"/>
        </w:rPr>
        <w:t> </w:t>
      </w:r>
      <w:r>
        <w:rPr>
          <w:w w:val="105"/>
          <w:sz w:val="21"/>
        </w:rPr>
        <w:t>of</w:t>
      </w:r>
      <w:r>
        <w:rPr>
          <w:spacing w:val="-5"/>
          <w:w w:val="105"/>
          <w:sz w:val="21"/>
        </w:rPr>
        <w:t> </w:t>
      </w:r>
      <w:r>
        <w:rPr>
          <w:w w:val="105"/>
          <w:sz w:val="21"/>
        </w:rPr>
        <w:t>Victoria</w:t>
      </w:r>
      <w:r>
        <w:rPr>
          <w:spacing w:val="-5"/>
          <w:w w:val="105"/>
          <w:sz w:val="21"/>
        </w:rPr>
        <w:t> </w:t>
      </w:r>
      <w:r>
        <w:rPr>
          <w:w w:val="105"/>
          <w:sz w:val="21"/>
        </w:rPr>
        <w:t>expressed</w:t>
      </w:r>
      <w:r>
        <w:rPr>
          <w:spacing w:val="-5"/>
          <w:w w:val="105"/>
          <w:sz w:val="21"/>
        </w:rPr>
        <w:t> </w:t>
      </w:r>
      <w:r>
        <w:rPr>
          <w:w w:val="105"/>
          <w:sz w:val="21"/>
        </w:rPr>
        <w:t>the</w:t>
      </w:r>
      <w:r>
        <w:rPr>
          <w:spacing w:val="-6"/>
          <w:w w:val="105"/>
          <w:sz w:val="21"/>
        </w:rPr>
        <w:t> </w:t>
      </w:r>
      <w:r>
        <w:rPr>
          <w:w w:val="105"/>
          <w:sz w:val="21"/>
        </w:rPr>
        <w:t>view</w:t>
      </w:r>
      <w:r>
        <w:rPr>
          <w:spacing w:val="-5"/>
          <w:w w:val="105"/>
          <w:sz w:val="21"/>
        </w:rPr>
        <w:t> </w:t>
      </w:r>
      <w:r>
        <w:rPr>
          <w:spacing w:val="-3"/>
          <w:w w:val="105"/>
          <w:sz w:val="21"/>
        </w:rPr>
        <w:t>that</w:t>
      </w:r>
      <w:r>
        <w:rPr>
          <w:spacing w:val="-5"/>
          <w:w w:val="105"/>
          <w:sz w:val="21"/>
        </w:rPr>
        <w:t> </w:t>
      </w:r>
      <w:r>
        <w:rPr>
          <w:w w:val="105"/>
          <w:sz w:val="21"/>
        </w:rPr>
        <w:t>the statutory</w:t>
      </w:r>
      <w:r>
        <w:rPr>
          <w:spacing w:val="-9"/>
          <w:w w:val="105"/>
          <w:sz w:val="21"/>
        </w:rPr>
        <w:t> </w:t>
      </w:r>
      <w:r>
        <w:rPr>
          <w:w w:val="105"/>
          <w:sz w:val="21"/>
        </w:rPr>
        <w:t>legacy</w:t>
      </w:r>
      <w:r>
        <w:rPr>
          <w:spacing w:val="-8"/>
          <w:w w:val="105"/>
          <w:sz w:val="21"/>
        </w:rPr>
        <w:t> </w:t>
      </w:r>
      <w:r>
        <w:rPr>
          <w:w w:val="105"/>
          <w:sz w:val="21"/>
        </w:rPr>
        <w:t>should</w:t>
      </w:r>
      <w:r>
        <w:rPr>
          <w:spacing w:val="-9"/>
          <w:w w:val="105"/>
          <w:sz w:val="21"/>
        </w:rPr>
        <w:t> </w:t>
      </w:r>
      <w:r>
        <w:rPr>
          <w:w w:val="105"/>
          <w:sz w:val="21"/>
        </w:rPr>
        <w:t>be</w:t>
      </w:r>
      <w:r>
        <w:rPr>
          <w:spacing w:val="-8"/>
          <w:w w:val="105"/>
          <w:sz w:val="21"/>
        </w:rPr>
        <w:t> </w:t>
      </w:r>
      <w:r>
        <w:rPr>
          <w:w w:val="105"/>
          <w:sz w:val="21"/>
        </w:rPr>
        <w:t>adjusted</w:t>
      </w:r>
      <w:r>
        <w:rPr>
          <w:spacing w:val="-9"/>
          <w:w w:val="105"/>
          <w:sz w:val="21"/>
        </w:rPr>
        <w:t> </w:t>
      </w:r>
      <w:r>
        <w:rPr>
          <w:w w:val="105"/>
          <w:sz w:val="21"/>
        </w:rPr>
        <w:t>by</w:t>
      </w:r>
      <w:r>
        <w:rPr>
          <w:spacing w:val="-8"/>
          <w:w w:val="105"/>
          <w:sz w:val="21"/>
        </w:rPr>
        <w:t> </w:t>
      </w:r>
      <w:r>
        <w:rPr>
          <w:w w:val="105"/>
          <w:sz w:val="21"/>
        </w:rPr>
        <w:t>the</w:t>
      </w:r>
      <w:r>
        <w:rPr>
          <w:spacing w:val="-9"/>
          <w:w w:val="105"/>
          <w:sz w:val="21"/>
        </w:rPr>
        <w:t> </w:t>
      </w:r>
      <w:r>
        <w:rPr>
          <w:spacing w:val="-3"/>
          <w:w w:val="105"/>
          <w:sz w:val="21"/>
        </w:rPr>
        <w:t>CPI</w:t>
      </w:r>
      <w:r>
        <w:rPr>
          <w:spacing w:val="-8"/>
          <w:w w:val="105"/>
          <w:sz w:val="21"/>
        </w:rPr>
        <w:t> </w:t>
      </w:r>
      <w:r>
        <w:rPr>
          <w:w w:val="105"/>
          <w:sz w:val="21"/>
        </w:rPr>
        <w:t>on</w:t>
      </w:r>
      <w:r>
        <w:rPr>
          <w:spacing w:val="-9"/>
          <w:w w:val="105"/>
          <w:sz w:val="21"/>
        </w:rPr>
        <w:t> </w:t>
      </w:r>
      <w:r>
        <w:rPr>
          <w:w w:val="105"/>
          <w:sz w:val="21"/>
        </w:rPr>
        <w:t>the</w:t>
      </w:r>
      <w:r>
        <w:rPr>
          <w:spacing w:val="-8"/>
          <w:w w:val="105"/>
          <w:sz w:val="21"/>
        </w:rPr>
        <w:t> </w:t>
      </w:r>
      <w:r>
        <w:rPr>
          <w:w w:val="105"/>
          <w:sz w:val="21"/>
        </w:rPr>
        <w:t>first</w:t>
      </w:r>
      <w:r>
        <w:rPr>
          <w:spacing w:val="-9"/>
          <w:w w:val="105"/>
          <w:sz w:val="21"/>
        </w:rPr>
        <w:t> </w:t>
      </w:r>
      <w:r>
        <w:rPr>
          <w:w w:val="105"/>
          <w:sz w:val="21"/>
        </w:rPr>
        <w:t>of</w:t>
      </w:r>
      <w:r>
        <w:rPr>
          <w:spacing w:val="-8"/>
          <w:w w:val="105"/>
          <w:sz w:val="21"/>
        </w:rPr>
        <w:t> </w:t>
      </w:r>
      <w:r>
        <w:rPr>
          <w:w w:val="105"/>
          <w:sz w:val="21"/>
        </w:rPr>
        <w:t>January</w:t>
      </w:r>
      <w:r>
        <w:rPr>
          <w:spacing w:val="-9"/>
          <w:w w:val="105"/>
          <w:sz w:val="21"/>
        </w:rPr>
        <w:t> </w:t>
      </w:r>
      <w:r>
        <w:rPr>
          <w:w w:val="105"/>
          <w:sz w:val="21"/>
        </w:rPr>
        <w:t>every</w:t>
      </w:r>
      <w:r>
        <w:rPr>
          <w:spacing w:val="-8"/>
          <w:w w:val="105"/>
          <w:sz w:val="21"/>
        </w:rPr>
        <w:t> </w:t>
      </w:r>
      <w:r>
        <w:rPr>
          <w:spacing w:val="-5"/>
          <w:w w:val="105"/>
          <w:sz w:val="21"/>
        </w:rPr>
        <w:t>year,</w:t>
      </w:r>
      <w:r>
        <w:rPr>
          <w:spacing w:val="-9"/>
          <w:w w:val="105"/>
          <w:sz w:val="21"/>
        </w:rPr>
        <w:t> </w:t>
      </w:r>
      <w:r>
        <w:rPr>
          <w:spacing w:val="-2"/>
          <w:w w:val="105"/>
          <w:sz w:val="21"/>
        </w:rPr>
        <w:t>ideally </w:t>
      </w:r>
      <w:r>
        <w:rPr>
          <w:w w:val="105"/>
          <w:sz w:val="21"/>
        </w:rPr>
        <w:t>by </w:t>
      </w:r>
      <w:r>
        <w:rPr>
          <w:spacing w:val="-3"/>
          <w:w w:val="105"/>
          <w:sz w:val="21"/>
        </w:rPr>
        <w:t>regulation </w:t>
      </w:r>
      <w:r>
        <w:rPr>
          <w:w w:val="105"/>
          <w:sz w:val="21"/>
        </w:rPr>
        <w:t>so </w:t>
      </w:r>
      <w:r>
        <w:rPr>
          <w:spacing w:val="-3"/>
          <w:w w:val="105"/>
          <w:sz w:val="21"/>
        </w:rPr>
        <w:t>that </w:t>
      </w:r>
      <w:r>
        <w:rPr>
          <w:w w:val="105"/>
          <w:sz w:val="21"/>
        </w:rPr>
        <w:t>practitioners do </w:t>
      </w:r>
      <w:r>
        <w:rPr>
          <w:spacing w:val="-2"/>
          <w:w w:val="105"/>
          <w:sz w:val="21"/>
        </w:rPr>
        <w:t>not </w:t>
      </w:r>
      <w:r>
        <w:rPr>
          <w:w w:val="105"/>
          <w:sz w:val="21"/>
        </w:rPr>
        <w:t>need </w:t>
      </w:r>
      <w:r>
        <w:rPr>
          <w:spacing w:val="-3"/>
          <w:w w:val="105"/>
          <w:sz w:val="21"/>
        </w:rPr>
        <w:t>to refer to </w:t>
      </w:r>
      <w:r>
        <w:rPr>
          <w:w w:val="105"/>
          <w:sz w:val="21"/>
        </w:rPr>
        <w:t>the </w:t>
      </w:r>
      <w:r>
        <w:rPr>
          <w:spacing w:val="-7"/>
          <w:w w:val="105"/>
          <w:sz w:val="21"/>
        </w:rPr>
        <w:t>CPI.</w:t>
      </w:r>
      <w:r>
        <w:rPr>
          <w:spacing w:val="-7"/>
          <w:w w:val="105"/>
          <w:position w:val="7"/>
          <w:sz w:val="12"/>
        </w:rPr>
        <w:t>117 </w:t>
      </w:r>
      <w:r>
        <w:rPr>
          <w:w w:val="105"/>
          <w:sz w:val="21"/>
        </w:rPr>
        <w:t>Seniors Rights Victoria agreed </w:t>
      </w:r>
      <w:r>
        <w:rPr>
          <w:spacing w:val="-3"/>
          <w:w w:val="105"/>
          <w:sz w:val="21"/>
        </w:rPr>
        <w:t>that </w:t>
      </w:r>
      <w:r>
        <w:rPr>
          <w:w w:val="105"/>
          <w:sz w:val="21"/>
        </w:rPr>
        <w:t>the legacy should be in </w:t>
      </w:r>
      <w:r>
        <w:rPr>
          <w:spacing w:val="-3"/>
          <w:w w:val="105"/>
          <w:sz w:val="21"/>
        </w:rPr>
        <w:t>regulations, to allow for updates </w:t>
      </w:r>
      <w:r>
        <w:rPr>
          <w:w w:val="105"/>
          <w:sz w:val="21"/>
        </w:rPr>
        <w:t>in </w:t>
      </w:r>
      <w:r>
        <w:rPr>
          <w:spacing w:val="-3"/>
          <w:w w:val="105"/>
          <w:sz w:val="21"/>
        </w:rPr>
        <w:t>accordance </w:t>
      </w:r>
      <w:r>
        <w:rPr>
          <w:w w:val="105"/>
          <w:sz w:val="21"/>
        </w:rPr>
        <w:t>with the </w:t>
      </w:r>
      <w:r>
        <w:rPr>
          <w:spacing w:val="-3"/>
          <w:w w:val="105"/>
          <w:sz w:val="21"/>
        </w:rPr>
        <w:t>CPI, increases </w:t>
      </w:r>
      <w:r>
        <w:rPr>
          <w:w w:val="105"/>
          <w:sz w:val="21"/>
        </w:rPr>
        <w:t>in property </w:t>
      </w:r>
      <w:r>
        <w:rPr>
          <w:spacing w:val="-3"/>
          <w:w w:val="105"/>
          <w:sz w:val="21"/>
        </w:rPr>
        <w:t>values, </w:t>
      </w:r>
      <w:r>
        <w:rPr>
          <w:w w:val="105"/>
          <w:sz w:val="21"/>
        </w:rPr>
        <w:t>or a major </w:t>
      </w:r>
      <w:r>
        <w:rPr>
          <w:spacing w:val="-5"/>
          <w:w w:val="105"/>
          <w:sz w:val="21"/>
        </w:rPr>
        <w:t>recession.</w:t>
      </w:r>
      <w:r>
        <w:rPr>
          <w:spacing w:val="-5"/>
          <w:w w:val="105"/>
          <w:position w:val="7"/>
          <w:sz w:val="12"/>
        </w:rPr>
        <w:t>118 </w:t>
      </w:r>
      <w:r>
        <w:rPr>
          <w:w w:val="105"/>
          <w:sz w:val="21"/>
        </w:rPr>
        <w:t>The </w:t>
      </w:r>
      <w:r>
        <w:rPr>
          <w:spacing w:val="-3"/>
          <w:w w:val="105"/>
          <w:sz w:val="21"/>
        </w:rPr>
        <w:t>Supreme Court </w:t>
      </w:r>
      <w:r>
        <w:rPr>
          <w:w w:val="105"/>
          <w:sz w:val="21"/>
        </w:rPr>
        <w:t>of Victoria </w:t>
      </w:r>
      <w:r>
        <w:rPr>
          <w:spacing w:val="-3"/>
          <w:w w:val="105"/>
          <w:sz w:val="21"/>
        </w:rPr>
        <w:t>considered that </w:t>
      </w:r>
      <w:r>
        <w:rPr>
          <w:w w:val="105"/>
          <w:sz w:val="21"/>
        </w:rPr>
        <w:t>the statutory legacy should be </w:t>
      </w:r>
      <w:r>
        <w:rPr>
          <w:spacing w:val="-3"/>
          <w:w w:val="105"/>
          <w:sz w:val="21"/>
        </w:rPr>
        <w:t>kept </w:t>
      </w:r>
      <w:r>
        <w:rPr>
          <w:w w:val="105"/>
          <w:sz w:val="21"/>
        </w:rPr>
        <w:t>up </w:t>
      </w:r>
      <w:r>
        <w:rPr>
          <w:spacing w:val="-3"/>
          <w:w w:val="105"/>
          <w:sz w:val="21"/>
        </w:rPr>
        <w:t>to date </w:t>
      </w:r>
      <w:r>
        <w:rPr>
          <w:w w:val="105"/>
          <w:sz w:val="21"/>
        </w:rPr>
        <w:t>by </w:t>
      </w:r>
      <w:r>
        <w:rPr>
          <w:spacing w:val="-3"/>
          <w:w w:val="105"/>
          <w:sz w:val="21"/>
        </w:rPr>
        <w:t>way </w:t>
      </w:r>
      <w:r>
        <w:rPr>
          <w:w w:val="105"/>
          <w:sz w:val="21"/>
        </w:rPr>
        <w:t>of </w:t>
      </w:r>
      <w:r>
        <w:rPr>
          <w:spacing w:val="-3"/>
          <w:w w:val="105"/>
          <w:sz w:val="21"/>
        </w:rPr>
        <w:t>regulations </w:t>
      </w:r>
      <w:r>
        <w:rPr>
          <w:w w:val="105"/>
          <w:sz w:val="21"/>
        </w:rPr>
        <w:t>or a statutory </w:t>
      </w:r>
      <w:r>
        <w:rPr>
          <w:spacing w:val="-3"/>
          <w:w w:val="105"/>
          <w:sz w:val="21"/>
        </w:rPr>
        <w:t>formula </w:t>
      </w:r>
      <w:r>
        <w:rPr>
          <w:spacing w:val="-4"/>
          <w:w w:val="105"/>
          <w:sz w:val="21"/>
        </w:rPr>
        <w:t>linked </w:t>
      </w:r>
      <w:r>
        <w:rPr>
          <w:spacing w:val="-3"/>
          <w:w w:val="105"/>
          <w:sz w:val="21"/>
        </w:rPr>
        <w:t>to </w:t>
      </w:r>
      <w:r>
        <w:rPr>
          <w:w w:val="105"/>
          <w:sz w:val="21"/>
        </w:rPr>
        <w:t>the </w:t>
      </w:r>
      <w:r>
        <w:rPr>
          <w:spacing w:val="-3"/>
          <w:w w:val="105"/>
          <w:sz w:val="21"/>
        </w:rPr>
        <w:t>CPI </w:t>
      </w:r>
      <w:r>
        <w:rPr>
          <w:w w:val="105"/>
          <w:sz w:val="21"/>
        </w:rPr>
        <w:t>or </w:t>
      </w:r>
      <w:r>
        <w:rPr>
          <w:spacing w:val="-5"/>
          <w:w w:val="105"/>
          <w:sz w:val="21"/>
        </w:rPr>
        <w:t>similar, </w:t>
      </w:r>
      <w:r>
        <w:rPr>
          <w:w w:val="105"/>
          <w:sz w:val="21"/>
        </w:rPr>
        <w:t>without the need </w:t>
      </w:r>
      <w:r>
        <w:rPr>
          <w:spacing w:val="-3"/>
          <w:w w:val="105"/>
          <w:sz w:val="21"/>
        </w:rPr>
        <w:t>for </w:t>
      </w:r>
      <w:r>
        <w:rPr>
          <w:w w:val="105"/>
          <w:sz w:val="21"/>
        </w:rPr>
        <w:t>statutory</w:t>
      </w:r>
      <w:r>
        <w:rPr>
          <w:spacing w:val="22"/>
          <w:w w:val="105"/>
          <w:sz w:val="21"/>
        </w:rPr>
        <w:t> </w:t>
      </w:r>
      <w:r>
        <w:rPr>
          <w:spacing w:val="-5"/>
          <w:w w:val="105"/>
          <w:sz w:val="21"/>
        </w:rPr>
        <w:t>amendment.</w:t>
      </w:r>
      <w:r>
        <w:rPr>
          <w:spacing w:val="-5"/>
          <w:w w:val="105"/>
          <w:position w:val="7"/>
          <w:sz w:val="12"/>
        </w:rPr>
        <w:t>119</w:t>
      </w:r>
    </w:p>
    <w:p>
      <w:pPr>
        <w:pStyle w:val="ListParagraph"/>
        <w:numPr>
          <w:ilvl w:val="1"/>
          <w:numId w:val="22"/>
        </w:numPr>
        <w:tabs>
          <w:tab w:pos="2381" w:val="left" w:leader="none"/>
          <w:tab w:pos="2382" w:val="left" w:leader="none"/>
        </w:tabs>
        <w:spacing w:line="242" w:lineRule="auto" w:before="132" w:after="0"/>
        <w:ind w:left="2381" w:right="1635" w:hanging="794"/>
        <w:jc w:val="left"/>
        <w:rPr>
          <w:sz w:val="12"/>
        </w:rPr>
      </w:pPr>
      <w:r>
        <w:rPr>
          <w:spacing w:val="-5"/>
          <w:w w:val="105"/>
          <w:sz w:val="21"/>
        </w:rPr>
        <w:t>At </w:t>
      </w:r>
      <w:r>
        <w:rPr>
          <w:spacing w:val="-3"/>
          <w:w w:val="105"/>
          <w:sz w:val="21"/>
        </w:rPr>
        <w:t>the </w:t>
      </w:r>
      <w:r>
        <w:rPr>
          <w:spacing w:val="-4"/>
          <w:w w:val="105"/>
          <w:sz w:val="21"/>
        </w:rPr>
        <w:t>time </w:t>
      </w:r>
      <w:r>
        <w:rPr>
          <w:spacing w:val="-3"/>
          <w:w w:val="105"/>
          <w:sz w:val="21"/>
        </w:rPr>
        <w:t>of </w:t>
      </w:r>
      <w:r>
        <w:rPr>
          <w:spacing w:val="-4"/>
          <w:w w:val="105"/>
          <w:sz w:val="21"/>
        </w:rPr>
        <w:t>writing </w:t>
      </w:r>
      <w:r>
        <w:rPr>
          <w:w w:val="105"/>
          <w:sz w:val="21"/>
        </w:rPr>
        <w:t>its </w:t>
      </w:r>
      <w:r>
        <w:rPr>
          <w:spacing w:val="-4"/>
          <w:w w:val="105"/>
          <w:sz w:val="21"/>
        </w:rPr>
        <w:t>intestacy </w:t>
      </w:r>
      <w:r>
        <w:rPr>
          <w:spacing w:val="-3"/>
          <w:w w:val="105"/>
          <w:sz w:val="21"/>
        </w:rPr>
        <w:t>report, the </w:t>
      </w:r>
      <w:r>
        <w:rPr>
          <w:spacing w:val="-4"/>
          <w:w w:val="105"/>
          <w:sz w:val="21"/>
        </w:rPr>
        <w:t>National </w:t>
      </w:r>
      <w:r>
        <w:rPr>
          <w:spacing w:val="-5"/>
          <w:w w:val="105"/>
          <w:sz w:val="21"/>
        </w:rPr>
        <w:t>Committee </w:t>
      </w:r>
      <w:r>
        <w:rPr>
          <w:spacing w:val="-4"/>
          <w:w w:val="105"/>
          <w:sz w:val="21"/>
        </w:rPr>
        <w:t>chose $350,000 </w:t>
      </w:r>
      <w:r>
        <w:rPr>
          <w:w w:val="105"/>
          <w:sz w:val="21"/>
        </w:rPr>
        <w:t>as </w:t>
      </w:r>
      <w:r>
        <w:rPr>
          <w:spacing w:val="-3"/>
          <w:w w:val="105"/>
          <w:sz w:val="21"/>
        </w:rPr>
        <w:t>an </w:t>
      </w:r>
      <w:r>
        <w:rPr>
          <w:spacing w:val="-5"/>
          <w:w w:val="105"/>
          <w:sz w:val="21"/>
        </w:rPr>
        <w:t>appropriate </w:t>
      </w:r>
      <w:r>
        <w:rPr>
          <w:spacing w:val="-3"/>
          <w:w w:val="105"/>
          <w:sz w:val="21"/>
        </w:rPr>
        <w:t>base </w:t>
      </w:r>
      <w:r>
        <w:rPr>
          <w:spacing w:val="-4"/>
          <w:w w:val="105"/>
          <w:sz w:val="21"/>
        </w:rPr>
        <w:t>amount for </w:t>
      </w:r>
      <w:r>
        <w:rPr>
          <w:spacing w:val="-3"/>
          <w:w w:val="105"/>
          <w:sz w:val="21"/>
        </w:rPr>
        <w:t>the statutory legacy at </w:t>
      </w:r>
      <w:r>
        <w:rPr>
          <w:w w:val="105"/>
          <w:sz w:val="21"/>
        </w:rPr>
        <w:t>1 </w:t>
      </w:r>
      <w:r>
        <w:rPr>
          <w:spacing w:val="-4"/>
          <w:w w:val="105"/>
          <w:sz w:val="21"/>
        </w:rPr>
        <w:t>January </w:t>
      </w:r>
      <w:r>
        <w:rPr>
          <w:spacing w:val="-3"/>
          <w:w w:val="105"/>
          <w:sz w:val="21"/>
        </w:rPr>
        <w:t>2006. </w:t>
      </w:r>
      <w:r>
        <w:rPr>
          <w:w w:val="105"/>
          <w:sz w:val="21"/>
        </w:rPr>
        <w:t>By </w:t>
      </w:r>
      <w:r>
        <w:rPr>
          <w:spacing w:val="-5"/>
          <w:w w:val="105"/>
          <w:sz w:val="21"/>
        </w:rPr>
        <w:t>keeping </w:t>
      </w:r>
      <w:r>
        <w:rPr>
          <w:spacing w:val="-3"/>
          <w:w w:val="105"/>
          <w:sz w:val="21"/>
        </w:rPr>
        <w:t>the base statutory legacy </w:t>
      </w:r>
      <w:r>
        <w:rPr>
          <w:spacing w:val="-4"/>
          <w:w w:val="105"/>
          <w:sz w:val="21"/>
        </w:rPr>
        <w:t>amount </w:t>
      </w:r>
      <w:r>
        <w:rPr>
          <w:spacing w:val="-3"/>
          <w:w w:val="105"/>
          <w:sz w:val="21"/>
        </w:rPr>
        <w:t>the </w:t>
      </w:r>
      <w:r>
        <w:rPr>
          <w:spacing w:val="-4"/>
          <w:w w:val="105"/>
          <w:sz w:val="21"/>
        </w:rPr>
        <w:t>same, </w:t>
      </w:r>
      <w:r>
        <w:rPr>
          <w:spacing w:val="-3"/>
          <w:w w:val="105"/>
          <w:sz w:val="21"/>
        </w:rPr>
        <w:t>but </w:t>
      </w:r>
      <w:r>
        <w:rPr>
          <w:spacing w:val="-4"/>
          <w:w w:val="105"/>
          <w:sz w:val="21"/>
        </w:rPr>
        <w:t>only adjusting from December 2009, </w:t>
      </w:r>
      <w:r>
        <w:rPr>
          <w:spacing w:val="-3"/>
          <w:w w:val="105"/>
          <w:sz w:val="21"/>
        </w:rPr>
        <w:t>the </w:t>
      </w:r>
      <w:r>
        <w:rPr>
          <w:spacing w:val="-6"/>
          <w:w w:val="105"/>
          <w:sz w:val="21"/>
        </w:rPr>
        <w:t>Tasmanian </w:t>
      </w:r>
      <w:r>
        <w:rPr>
          <w:spacing w:val="-5"/>
          <w:w w:val="105"/>
          <w:sz w:val="21"/>
        </w:rPr>
        <w:t>formula </w:t>
      </w:r>
      <w:r>
        <w:rPr>
          <w:w w:val="105"/>
          <w:sz w:val="21"/>
        </w:rPr>
        <w:t>does </w:t>
      </w:r>
      <w:r>
        <w:rPr>
          <w:spacing w:val="-4"/>
          <w:w w:val="105"/>
          <w:sz w:val="21"/>
        </w:rPr>
        <w:t>not </w:t>
      </w:r>
      <w:r>
        <w:rPr>
          <w:spacing w:val="-5"/>
          <w:w w:val="105"/>
          <w:sz w:val="21"/>
        </w:rPr>
        <w:t>take into account </w:t>
      </w:r>
      <w:r>
        <w:rPr>
          <w:spacing w:val="-4"/>
          <w:w w:val="105"/>
          <w:sz w:val="21"/>
        </w:rPr>
        <w:t>changes </w:t>
      </w:r>
      <w:r>
        <w:rPr>
          <w:spacing w:val="-3"/>
          <w:w w:val="105"/>
          <w:sz w:val="21"/>
        </w:rPr>
        <w:t>in the </w:t>
      </w:r>
      <w:r>
        <w:rPr>
          <w:spacing w:val="-4"/>
          <w:w w:val="105"/>
          <w:sz w:val="21"/>
        </w:rPr>
        <w:t>CPI </w:t>
      </w:r>
      <w:r>
        <w:rPr>
          <w:spacing w:val="-3"/>
          <w:w w:val="105"/>
          <w:sz w:val="21"/>
        </w:rPr>
        <w:t>between </w:t>
      </w:r>
      <w:r>
        <w:rPr>
          <w:spacing w:val="-4"/>
          <w:w w:val="105"/>
          <w:sz w:val="21"/>
        </w:rPr>
        <w:t>December </w:t>
      </w:r>
      <w:r>
        <w:rPr>
          <w:spacing w:val="-3"/>
          <w:w w:val="105"/>
          <w:sz w:val="21"/>
        </w:rPr>
        <w:t>2005 </w:t>
      </w:r>
      <w:r>
        <w:rPr>
          <w:spacing w:val="-4"/>
          <w:w w:val="105"/>
          <w:sz w:val="21"/>
        </w:rPr>
        <w:t>and December 2009. </w:t>
      </w:r>
      <w:r>
        <w:rPr>
          <w:spacing w:val="-2"/>
          <w:w w:val="105"/>
          <w:sz w:val="21"/>
        </w:rPr>
        <w:t>The </w:t>
      </w:r>
      <w:r>
        <w:rPr>
          <w:w w:val="105"/>
          <w:sz w:val="21"/>
        </w:rPr>
        <w:t>New </w:t>
      </w:r>
      <w:r>
        <w:rPr>
          <w:spacing w:val="-3"/>
          <w:w w:val="105"/>
          <w:sz w:val="21"/>
        </w:rPr>
        <w:t>South </w:t>
      </w:r>
      <w:r>
        <w:rPr>
          <w:spacing w:val="-5"/>
          <w:w w:val="105"/>
          <w:sz w:val="21"/>
        </w:rPr>
        <w:t>Wales formula, </w:t>
      </w:r>
      <w:r>
        <w:rPr>
          <w:w w:val="105"/>
          <w:sz w:val="21"/>
        </w:rPr>
        <w:t>on </w:t>
      </w:r>
      <w:r>
        <w:rPr>
          <w:spacing w:val="-3"/>
          <w:w w:val="105"/>
          <w:sz w:val="21"/>
        </w:rPr>
        <w:t>the </w:t>
      </w:r>
      <w:r>
        <w:rPr>
          <w:spacing w:val="-4"/>
          <w:w w:val="105"/>
          <w:sz w:val="21"/>
        </w:rPr>
        <w:t>other </w:t>
      </w:r>
      <w:r>
        <w:rPr>
          <w:spacing w:val="-5"/>
          <w:w w:val="105"/>
          <w:sz w:val="21"/>
        </w:rPr>
        <w:t>hand, </w:t>
      </w:r>
      <w:r>
        <w:rPr>
          <w:spacing w:val="-4"/>
          <w:w w:val="105"/>
          <w:sz w:val="21"/>
        </w:rPr>
        <w:t>takes </w:t>
      </w:r>
      <w:r>
        <w:rPr>
          <w:spacing w:val="-5"/>
          <w:w w:val="105"/>
          <w:sz w:val="21"/>
        </w:rPr>
        <w:t>into account </w:t>
      </w:r>
      <w:r>
        <w:rPr>
          <w:spacing w:val="-4"/>
          <w:w w:val="105"/>
          <w:sz w:val="21"/>
        </w:rPr>
        <w:t>changes </w:t>
      </w:r>
      <w:r>
        <w:rPr>
          <w:spacing w:val="-3"/>
          <w:w w:val="105"/>
          <w:sz w:val="21"/>
        </w:rPr>
        <w:t>in the </w:t>
      </w:r>
      <w:r>
        <w:rPr>
          <w:spacing w:val="-4"/>
          <w:w w:val="105"/>
          <w:sz w:val="21"/>
        </w:rPr>
        <w:t>CPI </w:t>
      </w:r>
      <w:r>
        <w:rPr>
          <w:spacing w:val="-3"/>
          <w:w w:val="105"/>
          <w:sz w:val="21"/>
        </w:rPr>
        <w:t>between </w:t>
      </w:r>
      <w:r>
        <w:rPr>
          <w:spacing w:val="-4"/>
          <w:w w:val="105"/>
          <w:sz w:val="21"/>
        </w:rPr>
        <w:t>December </w:t>
      </w:r>
      <w:r>
        <w:rPr>
          <w:spacing w:val="-3"/>
          <w:w w:val="105"/>
          <w:sz w:val="21"/>
        </w:rPr>
        <w:t>2005 </w:t>
      </w:r>
      <w:r>
        <w:rPr>
          <w:spacing w:val="-4"/>
          <w:w w:val="105"/>
          <w:sz w:val="21"/>
        </w:rPr>
        <w:t>and </w:t>
      </w:r>
      <w:r>
        <w:rPr>
          <w:spacing w:val="-3"/>
          <w:w w:val="105"/>
          <w:sz w:val="21"/>
        </w:rPr>
        <w:t>the last </w:t>
      </w:r>
      <w:r>
        <w:rPr>
          <w:spacing w:val="-5"/>
          <w:w w:val="105"/>
          <w:sz w:val="21"/>
        </w:rPr>
        <w:t>published </w:t>
      </w:r>
      <w:r>
        <w:rPr>
          <w:spacing w:val="-4"/>
          <w:w w:val="105"/>
          <w:sz w:val="21"/>
        </w:rPr>
        <w:t>CPI number </w:t>
      </w:r>
      <w:r>
        <w:rPr>
          <w:spacing w:val="-5"/>
          <w:w w:val="105"/>
          <w:sz w:val="21"/>
        </w:rPr>
        <w:t>before </w:t>
      </w:r>
      <w:r>
        <w:rPr>
          <w:spacing w:val="-3"/>
          <w:w w:val="105"/>
          <w:sz w:val="21"/>
        </w:rPr>
        <w:t>the </w:t>
      </w:r>
      <w:r>
        <w:rPr>
          <w:spacing w:val="-4"/>
          <w:w w:val="105"/>
          <w:sz w:val="21"/>
        </w:rPr>
        <w:t>deceased</w:t>
      </w:r>
      <w:r>
        <w:rPr>
          <w:spacing w:val="-7"/>
          <w:w w:val="105"/>
          <w:sz w:val="21"/>
        </w:rPr>
        <w:t> </w:t>
      </w:r>
      <w:r>
        <w:rPr>
          <w:spacing w:val="-5"/>
          <w:w w:val="105"/>
          <w:sz w:val="21"/>
        </w:rPr>
        <w:t>person’s</w:t>
      </w:r>
      <w:r>
        <w:rPr>
          <w:spacing w:val="-7"/>
          <w:w w:val="105"/>
          <w:sz w:val="21"/>
        </w:rPr>
        <w:t> </w:t>
      </w:r>
      <w:r>
        <w:rPr>
          <w:spacing w:val="-4"/>
          <w:w w:val="105"/>
          <w:sz w:val="21"/>
        </w:rPr>
        <w:t>date</w:t>
      </w:r>
      <w:r>
        <w:rPr>
          <w:spacing w:val="-6"/>
          <w:w w:val="105"/>
          <w:sz w:val="21"/>
        </w:rPr>
        <w:t> </w:t>
      </w:r>
      <w:r>
        <w:rPr>
          <w:spacing w:val="-3"/>
          <w:w w:val="105"/>
          <w:sz w:val="21"/>
        </w:rPr>
        <w:t>of</w:t>
      </w:r>
      <w:r>
        <w:rPr>
          <w:spacing w:val="-7"/>
          <w:w w:val="105"/>
          <w:sz w:val="21"/>
        </w:rPr>
        <w:t> </w:t>
      </w:r>
      <w:r>
        <w:rPr>
          <w:spacing w:val="-4"/>
          <w:w w:val="105"/>
          <w:sz w:val="21"/>
        </w:rPr>
        <w:t>death.</w:t>
      </w:r>
      <w:r>
        <w:rPr>
          <w:spacing w:val="-6"/>
          <w:w w:val="105"/>
          <w:sz w:val="21"/>
        </w:rPr>
        <w:t> </w:t>
      </w:r>
      <w:r>
        <w:rPr>
          <w:spacing w:val="-2"/>
          <w:w w:val="105"/>
          <w:sz w:val="21"/>
        </w:rPr>
        <w:t>The</w:t>
      </w:r>
      <w:r>
        <w:rPr>
          <w:spacing w:val="-7"/>
          <w:w w:val="105"/>
          <w:sz w:val="21"/>
        </w:rPr>
        <w:t> </w:t>
      </w:r>
      <w:r>
        <w:rPr>
          <w:spacing w:val="-5"/>
          <w:w w:val="105"/>
          <w:sz w:val="21"/>
        </w:rPr>
        <w:t>current</w:t>
      </w:r>
      <w:r>
        <w:rPr>
          <w:spacing w:val="-7"/>
          <w:w w:val="105"/>
          <w:sz w:val="21"/>
        </w:rPr>
        <w:t> </w:t>
      </w:r>
      <w:r>
        <w:rPr>
          <w:spacing w:val="-4"/>
          <w:w w:val="105"/>
          <w:sz w:val="21"/>
        </w:rPr>
        <w:t>adjusted</w:t>
      </w:r>
      <w:r>
        <w:rPr>
          <w:spacing w:val="-6"/>
          <w:w w:val="105"/>
          <w:sz w:val="21"/>
        </w:rPr>
        <w:t> </w:t>
      </w:r>
      <w:r>
        <w:rPr>
          <w:spacing w:val="-3"/>
          <w:w w:val="105"/>
          <w:sz w:val="21"/>
        </w:rPr>
        <w:t>statutory</w:t>
      </w:r>
      <w:r>
        <w:rPr>
          <w:spacing w:val="-7"/>
          <w:w w:val="105"/>
          <w:sz w:val="21"/>
        </w:rPr>
        <w:t> </w:t>
      </w:r>
      <w:r>
        <w:rPr>
          <w:spacing w:val="-3"/>
          <w:w w:val="105"/>
          <w:sz w:val="21"/>
        </w:rPr>
        <w:t>legacy</w:t>
      </w:r>
      <w:r>
        <w:rPr>
          <w:spacing w:val="-6"/>
          <w:w w:val="105"/>
          <w:sz w:val="21"/>
        </w:rPr>
        <w:t> </w:t>
      </w:r>
      <w:r>
        <w:rPr>
          <w:spacing w:val="-3"/>
          <w:w w:val="105"/>
          <w:sz w:val="21"/>
        </w:rPr>
        <w:t>in</w:t>
      </w:r>
      <w:r>
        <w:rPr>
          <w:spacing w:val="-7"/>
          <w:w w:val="105"/>
          <w:sz w:val="21"/>
        </w:rPr>
        <w:t> </w:t>
      </w:r>
      <w:r>
        <w:rPr>
          <w:w w:val="105"/>
          <w:sz w:val="21"/>
        </w:rPr>
        <w:t>New</w:t>
      </w:r>
      <w:r>
        <w:rPr>
          <w:spacing w:val="-6"/>
          <w:w w:val="105"/>
          <w:sz w:val="21"/>
        </w:rPr>
        <w:t> </w:t>
      </w:r>
      <w:r>
        <w:rPr>
          <w:spacing w:val="-3"/>
          <w:w w:val="105"/>
          <w:sz w:val="21"/>
        </w:rPr>
        <w:t>South</w:t>
      </w:r>
      <w:r>
        <w:rPr>
          <w:spacing w:val="-7"/>
          <w:w w:val="105"/>
          <w:sz w:val="21"/>
        </w:rPr>
        <w:t> </w:t>
      </w:r>
      <w:r>
        <w:rPr>
          <w:spacing w:val="-5"/>
          <w:w w:val="105"/>
          <w:sz w:val="21"/>
        </w:rPr>
        <w:t>Wales </w:t>
      </w:r>
      <w:r>
        <w:rPr>
          <w:spacing w:val="-3"/>
          <w:w w:val="105"/>
          <w:sz w:val="21"/>
        </w:rPr>
        <w:t>is </w:t>
      </w:r>
      <w:r>
        <w:rPr>
          <w:spacing w:val="-8"/>
          <w:w w:val="105"/>
          <w:sz w:val="21"/>
        </w:rPr>
        <w:t>$427,684.95,</w:t>
      </w:r>
      <w:r>
        <w:rPr>
          <w:spacing w:val="-8"/>
          <w:w w:val="105"/>
          <w:position w:val="7"/>
          <w:sz w:val="12"/>
        </w:rPr>
        <w:t>120 </w:t>
      </w:r>
      <w:r>
        <w:rPr>
          <w:spacing w:val="-4"/>
          <w:w w:val="105"/>
          <w:sz w:val="21"/>
        </w:rPr>
        <w:t>while </w:t>
      </w:r>
      <w:r>
        <w:rPr>
          <w:spacing w:val="-3"/>
          <w:w w:val="105"/>
          <w:sz w:val="21"/>
        </w:rPr>
        <w:t>the </w:t>
      </w:r>
      <w:r>
        <w:rPr>
          <w:spacing w:val="-5"/>
          <w:w w:val="105"/>
          <w:sz w:val="21"/>
        </w:rPr>
        <w:t>current </w:t>
      </w:r>
      <w:r>
        <w:rPr>
          <w:spacing w:val="-4"/>
          <w:w w:val="105"/>
          <w:sz w:val="21"/>
        </w:rPr>
        <w:t>adjusted </w:t>
      </w:r>
      <w:r>
        <w:rPr>
          <w:spacing w:val="-3"/>
          <w:w w:val="105"/>
          <w:sz w:val="21"/>
        </w:rPr>
        <w:t>statutory legacy in </w:t>
      </w:r>
      <w:r>
        <w:rPr>
          <w:spacing w:val="-7"/>
          <w:w w:val="105"/>
          <w:sz w:val="21"/>
        </w:rPr>
        <w:t>Tasmania </w:t>
      </w:r>
      <w:r>
        <w:rPr>
          <w:spacing w:val="-3"/>
          <w:w w:val="105"/>
          <w:sz w:val="21"/>
        </w:rPr>
        <w:t>is</w:t>
      </w:r>
      <w:r>
        <w:rPr>
          <w:spacing w:val="1"/>
          <w:w w:val="105"/>
          <w:sz w:val="21"/>
        </w:rPr>
        <w:t> </w:t>
      </w:r>
      <w:r>
        <w:rPr>
          <w:spacing w:val="-6"/>
          <w:w w:val="105"/>
          <w:sz w:val="21"/>
        </w:rPr>
        <w:t>$380,063.60.</w:t>
      </w:r>
      <w:r>
        <w:rPr>
          <w:spacing w:val="-6"/>
          <w:w w:val="105"/>
          <w:position w:val="7"/>
          <w:sz w:val="12"/>
        </w:rPr>
        <w:t>121</w:t>
      </w:r>
    </w:p>
    <w:p>
      <w:pPr>
        <w:pStyle w:val="ListParagraph"/>
        <w:numPr>
          <w:ilvl w:val="1"/>
          <w:numId w:val="22"/>
        </w:numPr>
        <w:tabs>
          <w:tab w:pos="2381" w:val="left" w:leader="none"/>
          <w:tab w:pos="2382" w:val="left" w:leader="none"/>
        </w:tabs>
        <w:spacing w:line="242" w:lineRule="auto" w:before="129" w:after="0"/>
        <w:ind w:left="2381" w:right="1840" w:hanging="794"/>
        <w:jc w:val="left"/>
        <w:rPr>
          <w:sz w:val="21"/>
        </w:rPr>
      </w:pPr>
      <w:r>
        <w:rPr>
          <w:sz w:val="21"/>
        </w:rPr>
        <w:t>The </w:t>
      </w:r>
      <w:r>
        <w:rPr>
          <w:spacing w:val="-3"/>
          <w:sz w:val="21"/>
        </w:rPr>
        <w:t>Commission  </w:t>
      </w:r>
      <w:r>
        <w:rPr>
          <w:sz w:val="21"/>
        </w:rPr>
        <w:t>considers </w:t>
      </w:r>
      <w:r>
        <w:rPr>
          <w:spacing w:val="-3"/>
          <w:sz w:val="21"/>
        </w:rPr>
        <w:t>that</w:t>
      </w:r>
      <w:r>
        <w:rPr>
          <w:spacing w:val="41"/>
          <w:sz w:val="21"/>
        </w:rPr>
        <w:t> </w:t>
      </w:r>
      <w:r>
        <w:rPr>
          <w:sz w:val="21"/>
        </w:rPr>
        <w:t>the New South </w:t>
      </w:r>
      <w:r>
        <w:rPr>
          <w:spacing w:val="-3"/>
          <w:sz w:val="21"/>
        </w:rPr>
        <w:t>Wales  </w:t>
      </w:r>
      <w:r>
        <w:rPr>
          <w:sz w:val="21"/>
        </w:rPr>
        <w:t>approach is more representative  of the </w:t>
      </w:r>
      <w:r>
        <w:rPr>
          <w:spacing w:val="-3"/>
          <w:sz w:val="21"/>
        </w:rPr>
        <w:t>National </w:t>
      </w:r>
      <w:r>
        <w:rPr>
          <w:spacing w:val="-4"/>
          <w:sz w:val="21"/>
        </w:rPr>
        <w:t>Committee’s </w:t>
      </w:r>
      <w:r>
        <w:rPr>
          <w:spacing w:val="-3"/>
          <w:sz w:val="21"/>
        </w:rPr>
        <w:t>intentions for </w:t>
      </w:r>
      <w:r>
        <w:rPr>
          <w:sz w:val="21"/>
        </w:rPr>
        <w:t>adjustment of the partner’s statutory</w:t>
      </w:r>
      <w:r>
        <w:rPr>
          <w:spacing w:val="46"/>
          <w:sz w:val="21"/>
        </w:rPr>
        <w:t> </w:t>
      </w:r>
      <w:r>
        <w:rPr>
          <w:spacing w:val="-3"/>
          <w:sz w:val="21"/>
        </w:rPr>
        <w:t>legacy.</w:t>
      </w:r>
    </w:p>
    <w:p>
      <w:pPr>
        <w:pStyle w:val="BodyText"/>
        <w:spacing w:line="242" w:lineRule="auto" w:before="2"/>
        <w:ind w:left="2381" w:right="1826"/>
      </w:pPr>
      <w:r>
        <w:rPr/>
        <w:t>For consistency with New South </w:t>
      </w:r>
      <w:r>
        <w:rPr>
          <w:spacing w:val="-3"/>
        </w:rPr>
        <w:t>Wales,  </w:t>
      </w:r>
      <w:r>
        <w:rPr/>
        <w:t>the partner’s statutory legacy should be adjusted  in</w:t>
      </w:r>
      <w:r>
        <w:rPr>
          <w:spacing w:val="14"/>
        </w:rPr>
        <w:t> </w:t>
      </w:r>
      <w:r>
        <w:rPr/>
        <w:t>Victoria</w:t>
      </w:r>
      <w:r>
        <w:rPr>
          <w:spacing w:val="15"/>
        </w:rPr>
        <w:t> </w:t>
      </w:r>
      <w:r>
        <w:rPr/>
        <w:t>as</w:t>
      </w:r>
      <w:r>
        <w:rPr>
          <w:spacing w:val="15"/>
        </w:rPr>
        <w:t> </w:t>
      </w:r>
      <w:r>
        <w:rPr/>
        <w:t>it</w:t>
      </w:r>
      <w:r>
        <w:rPr>
          <w:spacing w:val="15"/>
        </w:rPr>
        <w:t> </w:t>
      </w:r>
      <w:r>
        <w:rPr/>
        <w:t>is</w:t>
      </w:r>
      <w:r>
        <w:rPr>
          <w:spacing w:val="15"/>
        </w:rPr>
        <w:t> </w:t>
      </w:r>
      <w:r>
        <w:rPr/>
        <w:t>in</w:t>
      </w:r>
      <w:r>
        <w:rPr>
          <w:spacing w:val="15"/>
        </w:rPr>
        <w:t> </w:t>
      </w:r>
      <w:r>
        <w:rPr/>
        <w:t>New</w:t>
      </w:r>
      <w:r>
        <w:rPr>
          <w:spacing w:val="15"/>
        </w:rPr>
        <w:t> </w:t>
      </w:r>
      <w:r>
        <w:rPr/>
        <w:t>South</w:t>
      </w:r>
      <w:r>
        <w:rPr>
          <w:spacing w:val="15"/>
        </w:rPr>
        <w:t> </w:t>
      </w:r>
      <w:r>
        <w:rPr>
          <w:spacing w:val="-3"/>
        </w:rPr>
        <w:t>Wales.</w:t>
      </w:r>
      <w:r>
        <w:rPr>
          <w:spacing w:val="15"/>
        </w:rPr>
        <w:t> </w:t>
      </w:r>
      <w:r>
        <w:rPr>
          <w:spacing w:val="-3"/>
        </w:rPr>
        <w:t>Calculating</w:t>
      </w:r>
      <w:r>
        <w:rPr>
          <w:spacing w:val="14"/>
        </w:rPr>
        <w:t> </w:t>
      </w:r>
      <w:r>
        <w:rPr/>
        <w:t>the</w:t>
      </w:r>
      <w:r>
        <w:rPr>
          <w:spacing w:val="15"/>
        </w:rPr>
        <w:t> </w:t>
      </w:r>
      <w:r>
        <w:rPr/>
        <w:t>statutory</w:t>
      </w:r>
      <w:r>
        <w:rPr>
          <w:spacing w:val="15"/>
        </w:rPr>
        <w:t> </w:t>
      </w:r>
      <w:r>
        <w:rPr/>
        <w:t>legacy</w:t>
      </w:r>
      <w:r>
        <w:rPr>
          <w:spacing w:val="15"/>
        </w:rPr>
        <w:t> </w:t>
      </w:r>
      <w:r>
        <w:rPr/>
        <w:t>would</w:t>
      </w:r>
      <w:r>
        <w:rPr>
          <w:spacing w:val="15"/>
        </w:rPr>
        <w:t> </w:t>
      </w:r>
      <w:r>
        <w:rPr>
          <w:spacing w:val="-2"/>
        </w:rPr>
        <w:t>not</w:t>
      </w:r>
    </w:p>
    <w:p>
      <w:pPr>
        <w:pStyle w:val="BodyText"/>
        <w:spacing w:line="242" w:lineRule="auto" w:before="2"/>
        <w:ind w:left="2381" w:right="2086"/>
        <w:jc w:val="both"/>
      </w:pPr>
      <w:r>
        <w:rPr>
          <w:spacing w:val="-3"/>
        </w:rPr>
        <w:t>place </w:t>
      </w:r>
      <w:r>
        <w:rPr/>
        <w:t>an </w:t>
      </w:r>
      <w:r>
        <w:rPr>
          <w:spacing w:val="-3"/>
        </w:rPr>
        <w:t>onerous </w:t>
      </w:r>
      <w:r>
        <w:rPr/>
        <w:t>burden on personal representatives </w:t>
      </w:r>
      <w:r>
        <w:rPr>
          <w:spacing w:val="-3"/>
        </w:rPr>
        <w:t>administering intestate  </w:t>
      </w:r>
      <w:r>
        <w:rPr/>
        <w:t>estates, as it only needs </w:t>
      </w:r>
      <w:r>
        <w:rPr>
          <w:spacing w:val="-3"/>
        </w:rPr>
        <w:t>to </w:t>
      </w:r>
      <w:r>
        <w:rPr/>
        <w:t>be done </w:t>
      </w:r>
      <w:r>
        <w:rPr>
          <w:spacing w:val="-3"/>
        </w:rPr>
        <w:t>quarterly. </w:t>
      </w:r>
      <w:r>
        <w:rPr>
          <w:spacing w:val="-4"/>
        </w:rPr>
        <w:t>However, </w:t>
      </w:r>
      <w:r>
        <w:rPr/>
        <w:t>it would be of assistance </w:t>
      </w:r>
      <w:r>
        <w:rPr>
          <w:spacing w:val="-3"/>
        </w:rPr>
        <w:t>to </w:t>
      </w:r>
      <w:r>
        <w:rPr/>
        <w:t>personal representatives if the quarterly </w:t>
      </w:r>
      <w:r>
        <w:rPr>
          <w:spacing w:val="-3"/>
        </w:rPr>
        <w:t>CPI </w:t>
      </w:r>
      <w:r>
        <w:rPr/>
        <w:t>adjusted statutory legacies </w:t>
      </w:r>
      <w:r>
        <w:rPr>
          <w:spacing w:val="-3"/>
        </w:rPr>
        <w:t>were published </w:t>
      </w:r>
      <w:r>
        <w:rPr/>
        <w:t>on the </w:t>
      </w:r>
      <w:r>
        <w:rPr>
          <w:spacing w:val="-3"/>
        </w:rPr>
        <w:t>Supreme Court </w:t>
      </w:r>
      <w:r>
        <w:rPr/>
        <w:t>of Victoria </w:t>
      </w:r>
      <w:r>
        <w:rPr>
          <w:spacing w:val="-3"/>
        </w:rPr>
        <w:t>Probate</w:t>
      </w:r>
      <w:r>
        <w:rPr>
          <w:spacing w:val="-20"/>
        </w:rPr>
        <w:t> </w:t>
      </w:r>
      <w:r>
        <w:rPr/>
        <w:t>Office </w:t>
      </w:r>
      <w:r>
        <w:rPr>
          <w:spacing w:val="-3"/>
        </w:rPr>
        <w:t>website.</w:t>
      </w:r>
    </w:p>
    <w:p>
      <w:pPr>
        <w:pStyle w:val="BodyText"/>
        <w:rPr>
          <w:sz w:val="20"/>
        </w:rPr>
      </w:pPr>
    </w:p>
    <w:p>
      <w:pPr>
        <w:pStyle w:val="BodyText"/>
        <w:spacing w:before="8"/>
        <w:rPr>
          <w:sz w:val="23"/>
        </w:rPr>
      </w:pPr>
      <w:r>
        <w:rPr/>
        <w:pict>
          <v:line style="position:absolute;mso-position-horizontal-relative:page;mso-position-vertical-relative:paragraph;z-index:4136;mso-wrap-distance-left:0;mso-wrap-distance-right:0" from="79.370003pt,16.909824pt" to="515.905003pt,16.909824pt" stroked="true" strokeweight="1pt" strokecolor="#f9ceca">
            <v:stroke dashstyle="solid"/>
            <w10:wrap type="topAndBottom"/>
          </v:line>
        </w:pict>
      </w:r>
    </w:p>
    <w:p>
      <w:pPr>
        <w:pStyle w:val="ListParagraph"/>
        <w:numPr>
          <w:ilvl w:val="0"/>
          <w:numId w:val="58"/>
        </w:numPr>
        <w:tabs>
          <w:tab w:pos="2380" w:val="left" w:leader="none"/>
          <w:tab w:pos="2382" w:val="left" w:leader="none"/>
        </w:tabs>
        <w:spacing w:line="240" w:lineRule="auto" w:before="117" w:after="0"/>
        <w:ind w:left="2381" w:right="0" w:hanging="794"/>
        <w:jc w:val="left"/>
        <w:rPr>
          <w:sz w:val="13"/>
        </w:rPr>
      </w:pPr>
      <w:r>
        <w:rPr>
          <w:w w:val="105"/>
          <w:sz w:val="13"/>
        </w:rPr>
        <w:t>Consultation 9 </w:t>
      </w:r>
      <w:r>
        <w:rPr>
          <w:spacing w:val="3"/>
          <w:w w:val="105"/>
          <w:sz w:val="13"/>
        </w:rPr>
        <w:t>(NSW </w:t>
      </w:r>
      <w:r>
        <w:rPr>
          <w:w w:val="105"/>
          <w:sz w:val="13"/>
        </w:rPr>
        <w:t>Trustee and</w:t>
      </w:r>
      <w:r>
        <w:rPr>
          <w:spacing w:val="20"/>
          <w:w w:val="105"/>
          <w:sz w:val="13"/>
        </w:rPr>
        <w:t> </w:t>
      </w:r>
      <w:r>
        <w:rPr>
          <w:w w:val="105"/>
          <w:sz w:val="13"/>
        </w:rPr>
        <w:t>Guardian).</w:t>
      </w:r>
    </w:p>
    <w:p>
      <w:pPr>
        <w:pStyle w:val="ListParagraph"/>
        <w:numPr>
          <w:ilvl w:val="0"/>
          <w:numId w:val="58"/>
        </w:numPr>
        <w:tabs>
          <w:tab w:pos="2380" w:val="left" w:leader="none"/>
          <w:tab w:pos="2382" w:val="left" w:leader="none"/>
        </w:tabs>
        <w:spacing w:line="240" w:lineRule="auto" w:before="1" w:after="0"/>
        <w:ind w:left="2381" w:right="0" w:hanging="794"/>
        <w:jc w:val="left"/>
        <w:rPr>
          <w:sz w:val="13"/>
        </w:rPr>
      </w:pPr>
      <w:r>
        <w:rPr>
          <w:sz w:val="13"/>
        </w:rPr>
        <w:t>Ibid.</w:t>
      </w:r>
    </w:p>
    <w:p>
      <w:pPr>
        <w:pStyle w:val="ListParagraph"/>
        <w:numPr>
          <w:ilvl w:val="0"/>
          <w:numId w:val="58"/>
        </w:numPr>
        <w:tabs>
          <w:tab w:pos="2380" w:val="left" w:leader="none"/>
          <w:tab w:pos="2382" w:val="left" w:leader="none"/>
        </w:tabs>
        <w:spacing w:line="240" w:lineRule="auto" w:before="2" w:after="0"/>
        <w:ind w:left="2381" w:right="0" w:hanging="794"/>
        <w:jc w:val="left"/>
        <w:rPr>
          <w:sz w:val="13"/>
        </w:rPr>
      </w:pPr>
      <w:r>
        <w:rPr>
          <w:w w:val="105"/>
          <w:sz w:val="13"/>
        </w:rPr>
        <w:t>Submission 31 (Seniors Rights</w:t>
      </w:r>
      <w:r>
        <w:rPr>
          <w:spacing w:val="18"/>
          <w:w w:val="105"/>
          <w:sz w:val="13"/>
        </w:rPr>
        <w:t> </w:t>
      </w:r>
      <w:r>
        <w:rPr>
          <w:spacing w:val="2"/>
          <w:w w:val="105"/>
          <w:sz w:val="13"/>
        </w:rPr>
        <w:t>Victoria).</w:t>
      </w:r>
    </w:p>
    <w:p>
      <w:pPr>
        <w:pStyle w:val="ListParagraph"/>
        <w:numPr>
          <w:ilvl w:val="0"/>
          <w:numId w:val="58"/>
        </w:numPr>
        <w:tabs>
          <w:tab w:pos="2380" w:val="left" w:leader="none"/>
          <w:tab w:pos="2382" w:val="left" w:leader="none"/>
        </w:tabs>
        <w:spacing w:line="240" w:lineRule="auto" w:before="1" w:after="0"/>
        <w:ind w:left="2381" w:right="1585" w:hanging="794"/>
        <w:jc w:val="left"/>
        <w:rPr>
          <w:sz w:val="13"/>
        </w:rPr>
      </w:pPr>
      <w:r>
        <w:rPr>
          <w:w w:val="105"/>
          <w:sz w:val="13"/>
        </w:rPr>
        <w:t>At </w:t>
      </w:r>
      <w:r>
        <w:rPr>
          <w:spacing w:val="2"/>
          <w:w w:val="105"/>
          <w:sz w:val="13"/>
        </w:rPr>
        <w:t>[5.88] </w:t>
      </w:r>
      <w:r>
        <w:rPr>
          <w:w w:val="105"/>
          <w:sz w:val="13"/>
        </w:rPr>
        <w:t>below, the Commission recommends extending the partner’s right of election beyond the shared home to any </w:t>
      </w:r>
      <w:r>
        <w:rPr>
          <w:spacing w:val="2"/>
          <w:w w:val="105"/>
          <w:sz w:val="13"/>
        </w:rPr>
        <w:t>property </w:t>
      </w:r>
      <w:r>
        <w:rPr>
          <w:w w:val="105"/>
          <w:sz w:val="13"/>
        </w:rPr>
        <w:t>that forms part of the residuary</w:t>
      </w:r>
      <w:r>
        <w:rPr>
          <w:spacing w:val="17"/>
          <w:w w:val="105"/>
          <w:sz w:val="13"/>
        </w:rPr>
        <w:t> </w:t>
      </w:r>
      <w:r>
        <w:rPr>
          <w:w w:val="105"/>
          <w:sz w:val="13"/>
        </w:rPr>
        <w:t>estate.</w:t>
      </w:r>
    </w:p>
    <w:p>
      <w:pPr>
        <w:pStyle w:val="ListParagraph"/>
        <w:numPr>
          <w:ilvl w:val="0"/>
          <w:numId w:val="58"/>
        </w:numPr>
        <w:tabs>
          <w:tab w:pos="2380" w:val="left" w:leader="none"/>
          <w:tab w:pos="2382" w:val="left" w:leader="none"/>
        </w:tabs>
        <w:spacing w:line="240" w:lineRule="auto" w:before="3" w:after="0"/>
        <w:ind w:left="2381" w:right="0" w:hanging="794"/>
        <w:jc w:val="left"/>
        <w:rPr>
          <w:sz w:val="13"/>
        </w:rPr>
      </w:pPr>
      <w:r>
        <w:rPr>
          <w:w w:val="105"/>
          <w:sz w:val="13"/>
        </w:rPr>
        <w:t>Submission 25 </w:t>
      </w:r>
      <w:r>
        <w:rPr>
          <w:spacing w:val="2"/>
          <w:w w:val="105"/>
          <w:sz w:val="13"/>
        </w:rPr>
        <w:t>(Moores</w:t>
      </w:r>
      <w:r>
        <w:rPr>
          <w:spacing w:val="13"/>
          <w:w w:val="105"/>
          <w:sz w:val="13"/>
        </w:rPr>
        <w:t> </w:t>
      </w:r>
      <w:r>
        <w:rPr>
          <w:w w:val="105"/>
          <w:sz w:val="13"/>
        </w:rPr>
        <w:t>Legal).</w:t>
      </w:r>
    </w:p>
    <w:p>
      <w:pPr>
        <w:pStyle w:val="ListParagraph"/>
        <w:numPr>
          <w:ilvl w:val="0"/>
          <w:numId w:val="58"/>
        </w:numPr>
        <w:tabs>
          <w:tab w:pos="2380" w:val="left" w:leader="none"/>
          <w:tab w:pos="2382" w:val="left" w:leader="none"/>
        </w:tabs>
        <w:spacing w:line="240" w:lineRule="auto" w:before="1" w:after="0"/>
        <w:ind w:left="2381" w:right="0" w:hanging="794"/>
        <w:jc w:val="left"/>
        <w:rPr>
          <w:sz w:val="13"/>
        </w:rPr>
      </w:pPr>
      <w:r>
        <w:rPr>
          <w:w w:val="105"/>
          <w:sz w:val="13"/>
        </w:rPr>
        <w:t>Submission </w:t>
      </w:r>
      <w:r>
        <w:rPr>
          <w:spacing w:val="2"/>
          <w:w w:val="105"/>
          <w:sz w:val="13"/>
        </w:rPr>
        <w:t>30b </w:t>
      </w:r>
      <w:r>
        <w:rPr>
          <w:spacing w:val="3"/>
          <w:w w:val="105"/>
          <w:sz w:val="13"/>
        </w:rPr>
        <w:t>(Law </w:t>
      </w:r>
      <w:r>
        <w:rPr>
          <w:w w:val="105"/>
          <w:sz w:val="13"/>
        </w:rPr>
        <w:t>Institute of</w:t>
      </w:r>
      <w:r>
        <w:rPr>
          <w:spacing w:val="17"/>
          <w:w w:val="105"/>
          <w:sz w:val="13"/>
        </w:rPr>
        <w:t> </w:t>
      </w:r>
      <w:r>
        <w:rPr>
          <w:spacing w:val="2"/>
          <w:w w:val="105"/>
          <w:sz w:val="13"/>
        </w:rPr>
        <w:t>Victoria).</w:t>
      </w:r>
    </w:p>
    <w:p>
      <w:pPr>
        <w:pStyle w:val="ListParagraph"/>
        <w:numPr>
          <w:ilvl w:val="0"/>
          <w:numId w:val="58"/>
        </w:numPr>
        <w:tabs>
          <w:tab w:pos="2380" w:val="left" w:leader="none"/>
          <w:tab w:pos="2382" w:val="left" w:leader="none"/>
        </w:tabs>
        <w:spacing w:line="240" w:lineRule="auto" w:before="1" w:after="0"/>
        <w:ind w:left="2381" w:right="0" w:hanging="794"/>
        <w:jc w:val="left"/>
        <w:rPr>
          <w:sz w:val="13"/>
        </w:rPr>
      </w:pPr>
      <w:r>
        <w:rPr>
          <w:w w:val="105"/>
          <w:sz w:val="13"/>
        </w:rPr>
        <w:t>Submission 31 (Seniors</w:t>
      </w:r>
      <w:r>
        <w:rPr>
          <w:spacing w:val="13"/>
          <w:w w:val="105"/>
          <w:sz w:val="13"/>
        </w:rPr>
        <w:t> </w:t>
      </w:r>
      <w:r>
        <w:rPr>
          <w:w w:val="105"/>
          <w:sz w:val="13"/>
        </w:rPr>
        <w:t>Rights).</w:t>
      </w:r>
    </w:p>
    <w:p>
      <w:pPr>
        <w:pStyle w:val="ListParagraph"/>
        <w:numPr>
          <w:ilvl w:val="0"/>
          <w:numId w:val="58"/>
        </w:numPr>
        <w:tabs>
          <w:tab w:pos="2381" w:val="left" w:leader="none"/>
          <w:tab w:pos="2382" w:val="left" w:leader="none"/>
        </w:tabs>
        <w:spacing w:line="240" w:lineRule="auto" w:before="2" w:after="0"/>
        <w:ind w:left="2381" w:right="0" w:hanging="794"/>
        <w:jc w:val="left"/>
        <w:rPr>
          <w:sz w:val="13"/>
        </w:rPr>
      </w:pPr>
      <w:r>
        <w:rPr>
          <w:w w:val="105"/>
          <w:sz w:val="13"/>
        </w:rPr>
        <w:t>Submission 37 (Supreme Court of</w:t>
      </w:r>
      <w:r>
        <w:rPr>
          <w:spacing w:val="22"/>
          <w:w w:val="105"/>
          <w:sz w:val="13"/>
        </w:rPr>
        <w:t> </w:t>
      </w:r>
      <w:r>
        <w:rPr>
          <w:spacing w:val="2"/>
          <w:w w:val="105"/>
          <w:sz w:val="13"/>
        </w:rPr>
        <w:t>Victoria).</w:t>
      </w:r>
    </w:p>
    <w:p>
      <w:pPr>
        <w:pStyle w:val="ListParagraph"/>
        <w:numPr>
          <w:ilvl w:val="0"/>
          <w:numId w:val="58"/>
        </w:numPr>
        <w:tabs>
          <w:tab w:pos="2381" w:val="left" w:leader="none"/>
          <w:tab w:pos="2382" w:val="left" w:leader="none"/>
        </w:tabs>
        <w:spacing w:line="240" w:lineRule="auto" w:before="1" w:after="0"/>
        <w:ind w:left="2381" w:right="1697" w:hanging="794"/>
        <w:jc w:val="left"/>
        <w:rPr>
          <w:sz w:val="13"/>
        </w:rPr>
      </w:pPr>
      <w:r>
        <w:rPr>
          <w:w w:val="105"/>
          <w:sz w:val="13"/>
        </w:rPr>
        <w:t>CPI adjusted legacy = $350,000 x (CPI number preceding the deceased person’s </w:t>
      </w:r>
      <w:r>
        <w:rPr>
          <w:spacing w:val="2"/>
          <w:w w:val="105"/>
          <w:sz w:val="13"/>
        </w:rPr>
        <w:t>death/CPI </w:t>
      </w:r>
      <w:r>
        <w:rPr>
          <w:w w:val="105"/>
          <w:sz w:val="13"/>
        </w:rPr>
        <w:t>number for December </w:t>
      </w:r>
      <w:r>
        <w:rPr>
          <w:spacing w:val="2"/>
          <w:w w:val="105"/>
          <w:sz w:val="13"/>
        </w:rPr>
        <w:t>2005). </w:t>
      </w:r>
      <w:r>
        <w:rPr>
          <w:w w:val="105"/>
          <w:sz w:val="13"/>
        </w:rPr>
        <w:t>So for the March </w:t>
      </w:r>
      <w:r>
        <w:rPr>
          <w:spacing w:val="-3"/>
          <w:w w:val="105"/>
          <w:sz w:val="13"/>
        </w:rPr>
        <w:t>2013 </w:t>
      </w:r>
      <w:r>
        <w:rPr>
          <w:w w:val="105"/>
          <w:sz w:val="13"/>
        </w:rPr>
        <w:t>quarter, for example, the CPI adjusted legacy = $350,000 x (102.4 x </w:t>
      </w:r>
      <w:r>
        <w:rPr>
          <w:spacing w:val="2"/>
          <w:w w:val="105"/>
          <w:sz w:val="13"/>
        </w:rPr>
        <w:t>83.8) </w:t>
      </w:r>
      <w:r>
        <w:rPr>
          <w:w w:val="105"/>
          <w:sz w:val="13"/>
        </w:rPr>
        <w:t>= $427,684.95: </w:t>
      </w:r>
      <w:r>
        <w:rPr>
          <w:i/>
          <w:w w:val="105"/>
          <w:sz w:val="13"/>
        </w:rPr>
        <w:t>Succession Act 2006 </w:t>
      </w:r>
      <w:r>
        <w:rPr>
          <w:spacing w:val="3"/>
          <w:w w:val="105"/>
          <w:sz w:val="13"/>
        </w:rPr>
        <w:t>(NSW) </w:t>
      </w:r>
      <w:r>
        <w:rPr>
          <w:w w:val="105"/>
          <w:sz w:val="13"/>
        </w:rPr>
        <w:t>s </w:t>
      </w:r>
      <w:r>
        <w:rPr>
          <w:spacing w:val="2"/>
          <w:w w:val="105"/>
          <w:sz w:val="13"/>
        </w:rPr>
        <w:t>106(2); </w:t>
      </w:r>
      <w:r>
        <w:rPr>
          <w:w w:val="105"/>
          <w:sz w:val="13"/>
        </w:rPr>
        <w:t>Australian Taxation Office, above n</w:t>
      </w:r>
      <w:r>
        <w:rPr>
          <w:spacing w:val="23"/>
          <w:w w:val="105"/>
          <w:sz w:val="13"/>
        </w:rPr>
        <w:t> </w:t>
      </w:r>
      <w:r>
        <w:rPr>
          <w:w w:val="105"/>
          <w:sz w:val="13"/>
        </w:rPr>
        <w:t>89.</w:t>
      </w:r>
    </w:p>
    <w:p>
      <w:pPr>
        <w:pStyle w:val="ListParagraph"/>
        <w:numPr>
          <w:ilvl w:val="0"/>
          <w:numId w:val="58"/>
        </w:numPr>
        <w:tabs>
          <w:tab w:pos="2381" w:val="left" w:leader="none"/>
          <w:tab w:pos="2382" w:val="left" w:leader="none"/>
        </w:tabs>
        <w:spacing w:line="240" w:lineRule="auto" w:before="4" w:after="0"/>
        <w:ind w:left="2381" w:right="1693" w:hanging="794"/>
        <w:jc w:val="left"/>
        <w:rPr>
          <w:sz w:val="13"/>
        </w:rPr>
      </w:pPr>
      <w:r>
        <w:rPr/>
        <w:pict>
          <v:shape style="position:absolute;margin-left:36pt;margin-top:11.740364pt;width:13.15pt;height:14.25pt;mso-position-horizontal-relative:page;mso-position-vertical-relative:paragraph;z-index:6208" type="#_x0000_t202" filled="false" stroked="false">
            <v:textbox inset="0,0,0,0">
              <w:txbxContent>
                <w:p>
                  <w:pPr>
                    <w:spacing w:line="284" w:lineRule="exact" w:before="0"/>
                    <w:ind w:left="0" w:right="0" w:firstLine="0"/>
                    <w:jc w:val="left"/>
                    <w:rPr>
                      <w:b/>
                      <w:sz w:val="24"/>
                    </w:rPr>
                  </w:pPr>
                  <w:r>
                    <w:rPr>
                      <w:b/>
                      <w:color w:val="EC5A4F"/>
                      <w:spacing w:val="-3"/>
                      <w:w w:val="110"/>
                      <w:sz w:val="24"/>
                    </w:rPr>
                    <w:t>70</w:t>
                  </w:r>
                </w:p>
              </w:txbxContent>
            </v:textbox>
            <w10:wrap type="none"/>
          </v:shape>
        </w:pict>
      </w:r>
      <w:r>
        <w:rPr>
          <w:w w:val="105"/>
          <w:sz w:val="13"/>
        </w:rPr>
        <w:t>CPI adjusted legacy = $350,000 x (CPI number preceding the deceased person’s </w:t>
      </w:r>
      <w:r>
        <w:rPr>
          <w:spacing w:val="2"/>
          <w:w w:val="105"/>
          <w:sz w:val="13"/>
        </w:rPr>
        <w:t>death/CPI </w:t>
      </w:r>
      <w:r>
        <w:rPr>
          <w:w w:val="105"/>
          <w:sz w:val="13"/>
        </w:rPr>
        <w:t>number for December </w:t>
      </w:r>
      <w:r>
        <w:rPr>
          <w:spacing w:val="2"/>
          <w:w w:val="105"/>
          <w:sz w:val="13"/>
        </w:rPr>
        <w:t>2009). </w:t>
      </w:r>
      <w:r>
        <w:rPr>
          <w:w w:val="105"/>
          <w:sz w:val="13"/>
        </w:rPr>
        <w:t>So for the March </w:t>
      </w:r>
      <w:r>
        <w:rPr>
          <w:spacing w:val="-3"/>
          <w:w w:val="105"/>
          <w:sz w:val="13"/>
        </w:rPr>
        <w:t>2013  </w:t>
      </w:r>
      <w:r>
        <w:rPr>
          <w:w w:val="105"/>
          <w:sz w:val="13"/>
        </w:rPr>
        <w:t>quarter, for example, the CPI adjusted legacy = $350,000 x (102.4 x </w:t>
      </w:r>
      <w:r>
        <w:rPr>
          <w:spacing w:val="2"/>
          <w:w w:val="105"/>
          <w:sz w:val="13"/>
        </w:rPr>
        <w:t>94.3) </w:t>
      </w:r>
      <w:r>
        <w:rPr>
          <w:w w:val="105"/>
          <w:sz w:val="13"/>
        </w:rPr>
        <w:t>= $380,063.60: </w:t>
      </w:r>
      <w:r>
        <w:rPr>
          <w:i/>
          <w:w w:val="105"/>
          <w:sz w:val="13"/>
        </w:rPr>
        <w:t>Intestacy Act </w:t>
      </w:r>
      <w:r>
        <w:rPr>
          <w:w w:val="105"/>
          <w:sz w:val="13"/>
        </w:rPr>
        <w:t>(2010) s </w:t>
      </w:r>
      <w:r>
        <w:rPr>
          <w:spacing w:val="2"/>
          <w:w w:val="105"/>
          <w:sz w:val="13"/>
        </w:rPr>
        <w:t>7(2); </w:t>
      </w:r>
      <w:r>
        <w:rPr>
          <w:w w:val="105"/>
          <w:sz w:val="13"/>
        </w:rPr>
        <w:t>Australian</w:t>
      </w:r>
      <w:r>
        <w:rPr>
          <w:spacing w:val="30"/>
          <w:w w:val="105"/>
          <w:sz w:val="13"/>
        </w:rPr>
        <w:t> </w:t>
      </w:r>
      <w:r>
        <w:rPr>
          <w:w w:val="105"/>
          <w:sz w:val="13"/>
        </w:rPr>
        <w:t>Taxation Office, above n</w:t>
      </w:r>
      <w:r>
        <w:rPr>
          <w:spacing w:val="18"/>
          <w:w w:val="105"/>
          <w:sz w:val="13"/>
        </w:rPr>
        <w:t> </w:t>
      </w:r>
      <w:r>
        <w:rPr>
          <w:w w:val="105"/>
          <w:sz w:val="13"/>
        </w:rPr>
        <w:t>89.</w:t>
      </w:r>
    </w:p>
    <w:p>
      <w:pPr>
        <w:spacing w:after="0" w:line="240" w:lineRule="auto"/>
        <w:jc w:val="left"/>
        <w:rPr>
          <w:sz w:val="13"/>
        </w:rPr>
        <w:sectPr>
          <w:pgSz w:w="11910" w:h="16840"/>
          <w:pgMar w:header="550" w:footer="0" w:top="1560" w:bottom="280" w:left="0" w:right="0"/>
        </w:sectPr>
      </w:pPr>
    </w:p>
    <w:p>
      <w:pPr>
        <w:pStyle w:val="BodyText"/>
        <w:rPr>
          <w:sz w:val="20"/>
        </w:rPr>
      </w:pPr>
    </w:p>
    <w:p>
      <w:pPr>
        <w:pStyle w:val="BodyText"/>
        <w:spacing w:before="11" w:after="1"/>
        <w:rPr>
          <w:sz w:val="29"/>
        </w:rPr>
      </w:pPr>
    </w:p>
    <w:p>
      <w:pPr>
        <w:pStyle w:val="BodyText"/>
        <w:ind w:left="1222"/>
        <w:rPr>
          <w:sz w:val="20"/>
        </w:rPr>
      </w:pPr>
      <w:r>
        <w:rPr>
          <w:sz w:val="20"/>
        </w:rPr>
        <w:pict>
          <v:group style="width:479.1pt;height:269.55pt;mso-position-horizontal-relative:char;mso-position-vertical-relative:line" coordorigin="0,0" coordsize="9582,5391">
            <v:rect style="position:absolute;left:340;top:0;width:8731;height:5391" filled="true" fillcolor="#fdebea" stroked="false">
              <v:fill type="solid"/>
            </v:rect>
            <v:line style="position:absolute" from="0,751" to="9581,751" stroked="true" strokeweight="2.5pt" strokecolor="#ffffff">
              <v:stroke dashstyle="solid"/>
            </v:line>
            <v:shape style="position:absolute;left:1134;top:4708;width:7335;height:509" type="#_x0000_t202" filled="false" stroked="false">
              <v:textbox inset="0,0,0,0">
                <w:txbxContent>
                  <w:p>
                    <w:pPr>
                      <w:spacing w:line="242" w:lineRule="auto" w:before="0"/>
                      <w:ind w:left="0" w:right="0" w:firstLine="0"/>
                      <w:jc w:val="left"/>
                      <w:rPr>
                        <w:sz w:val="21"/>
                      </w:rPr>
                    </w:pPr>
                    <w:r>
                      <w:rPr>
                        <w:w w:val="115"/>
                        <w:sz w:val="21"/>
                      </w:rPr>
                      <w:t>The</w:t>
                    </w:r>
                    <w:r>
                      <w:rPr>
                        <w:spacing w:val="-11"/>
                        <w:w w:val="115"/>
                        <w:sz w:val="21"/>
                      </w:rPr>
                      <w:t> </w:t>
                    </w:r>
                    <w:r>
                      <w:rPr>
                        <w:w w:val="115"/>
                        <w:sz w:val="21"/>
                      </w:rPr>
                      <w:t>Supreme</w:t>
                    </w:r>
                    <w:r>
                      <w:rPr>
                        <w:spacing w:val="-11"/>
                        <w:w w:val="115"/>
                        <w:sz w:val="21"/>
                      </w:rPr>
                      <w:t> </w:t>
                    </w:r>
                    <w:r>
                      <w:rPr>
                        <w:w w:val="115"/>
                        <w:sz w:val="21"/>
                      </w:rPr>
                      <w:t>Court</w:t>
                    </w:r>
                    <w:r>
                      <w:rPr>
                        <w:spacing w:val="-10"/>
                        <w:w w:val="115"/>
                        <w:sz w:val="21"/>
                      </w:rPr>
                      <w:t> </w:t>
                    </w:r>
                    <w:r>
                      <w:rPr>
                        <w:w w:val="115"/>
                        <w:sz w:val="21"/>
                      </w:rPr>
                      <w:t>of</w:t>
                    </w:r>
                    <w:r>
                      <w:rPr>
                        <w:spacing w:val="-11"/>
                        <w:w w:val="115"/>
                        <w:sz w:val="21"/>
                      </w:rPr>
                      <w:t> </w:t>
                    </w:r>
                    <w:r>
                      <w:rPr>
                        <w:w w:val="115"/>
                        <w:sz w:val="21"/>
                      </w:rPr>
                      <w:t>Victoria</w:t>
                    </w:r>
                    <w:r>
                      <w:rPr>
                        <w:spacing w:val="-10"/>
                        <w:w w:val="115"/>
                        <w:sz w:val="21"/>
                      </w:rPr>
                      <w:t> </w:t>
                    </w:r>
                    <w:r>
                      <w:rPr>
                        <w:w w:val="115"/>
                        <w:sz w:val="21"/>
                      </w:rPr>
                      <w:t>should</w:t>
                    </w:r>
                    <w:r>
                      <w:rPr>
                        <w:spacing w:val="-11"/>
                        <w:w w:val="115"/>
                        <w:sz w:val="21"/>
                      </w:rPr>
                      <w:t> </w:t>
                    </w:r>
                    <w:r>
                      <w:rPr>
                        <w:w w:val="115"/>
                        <w:sz w:val="21"/>
                      </w:rPr>
                      <w:t>publish</w:t>
                    </w:r>
                    <w:r>
                      <w:rPr>
                        <w:spacing w:val="-11"/>
                        <w:w w:val="115"/>
                        <w:sz w:val="21"/>
                      </w:rPr>
                      <w:t> </w:t>
                    </w:r>
                    <w:r>
                      <w:rPr>
                        <w:w w:val="115"/>
                        <w:sz w:val="21"/>
                      </w:rPr>
                      <w:t>the</w:t>
                    </w:r>
                    <w:r>
                      <w:rPr>
                        <w:spacing w:val="-10"/>
                        <w:w w:val="115"/>
                        <w:sz w:val="21"/>
                      </w:rPr>
                      <w:t> </w:t>
                    </w:r>
                    <w:r>
                      <w:rPr>
                        <w:w w:val="115"/>
                        <w:sz w:val="21"/>
                      </w:rPr>
                      <w:t>quarterly</w:t>
                    </w:r>
                    <w:r>
                      <w:rPr>
                        <w:spacing w:val="-11"/>
                        <w:w w:val="115"/>
                        <w:sz w:val="21"/>
                      </w:rPr>
                      <w:t> </w:t>
                    </w:r>
                    <w:r>
                      <w:rPr>
                        <w:w w:val="115"/>
                        <w:sz w:val="21"/>
                      </w:rPr>
                      <w:t>Consumer</w:t>
                    </w:r>
                    <w:r>
                      <w:rPr>
                        <w:spacing w:val="-10"/>
                        <w:w w:val="115"/>
                        <w:sz w:val="21"/>
                      </w:rPr>
                      <w:t> </w:t>
                    </w:r>
                    <w:r>
                      <w:rPr>
                        <w:w w:val="115"/>
                        <w:sz w:val="21"/>
                      </w:rPr>
                      <w:t>Price Index adjusted statutory legacies on its</w:t>
                    </w:r>
                    <w:r>
                      <w:rPr>
                        <w:spacing w:val="-4"/>
                        <w:w w:val="115"/>
                        <w:sz w:val="21"/>
                      </w:rPr>
                      <w:t> </w:t>
                    </w:r>
                    <w:r>
                      <w:rPr>
                        <w:w w:val="115"/>
                        <w:sz w:val="21"/>
                      </w:rPr>
                      <w:t>website.</w:t>
                    </w:r>
                  </w:p>
                </w:txbxContent>
              </v:textbox>
              <w10:wrap type="none"/>
            </v:shape>
            <v:shape style="position:absolute;left:567;top:4708;width:244;height:249" type="#_x0000_t202" filled="false" stroked="false">
              <v:textbox inset="0,0,0,0">
                <w:txbxContent>
                  <w:p>
                    <w:pPr>
                      <w:spacing w:line="249" w:lineRule="exact" w:before="0"/>
                      <w:ind w:left="0" w:right="0" w:firstLine="0"/>
                      <w:jc w:val="left"/>
                      <w:rPr>
                        <w:sz w:val="21"/>
                      </w:rPr>
                    </w:pPr>
                    <w:r>
                      <w:rPr>
                        <w:w w:val="110"/>
                        <w:sz w:val="21"/>
                      </w:rPr>
                      <w:t>19</w:t>
                    </w:r>
                  </w:p>
                </w:txbxContent>
              </v:textbox>
              <w10:wrap type="none"/>
            </v:shape>
            <v:shape style="position:absolute;left:1133;top:987;width:7588;height:3590" type="#_x0000_t202" filled="false" stroked="false">
              <v:textbox inset="0,0,0,0">
                <w:txbxContent>
                  <w:p>
                    <w:pPr>
                      <w:spacing w:line="242" w:lineRule="auto" w:before="0"/>
                      <w:ind w:left="0" w:right="0" w:firstLine="0"/>
                      <w:jc w:val="left"/>
                      <w:rPr>
                        <w:sz w:val="21"/>
                      </w:rPr>
                    </w:pPr>
                    <w:r>
                      <w:rPr>
                        <w:w w:val="115"/>
                        <w:sz w:val="21"/>
                      </w:rPr>
                      <w:t>Where the deceased person is survived by a partner </w:t>
                    </w:r>
                    <w:r>
                      <w:rPr>
                        <w:w w:val="115"/>
                        <w:position w:val="7"/>
                        <w:sz w:val="12"/>
                      </w:rPr>
                      <w:t>122 </w:t>
                    </w:r>
                    <w:r>
                      <w:rPr>
                        <w:w w:val="115"/>
                        <w:sz w:val="21"/>
                      </w:rPr>
                      <w:t>and children or other issue</w:t>
                    </w:r>
                    <w:r>
                      <w:rPr>
                        <w:spacing w:val="-15"/>
                        <w:w w:val="115"/>
                        <w:sz w:val="21"/>
                      </w:rPr>
                      <w:t> </w:t>
                    </w:r>
                    <w:r>
                      <w:rPr>
                        <w:w w:val="115"/>
                        <w:sz w:val="21"/>
                      </w:rPr>
                      <w:t>who</w:t>
                    </w:r>
                    <w:r>
                      <w:rPr>
                        <w:spacing w:val="-14"/>
                        <w:w w:val="115"/>
                        <w:sz w:val="21"/>
                      </w:rPr>
                      <w:t> </w:t>
                    </w:r>
                    <w:r>
                      <w:rPr>
                        <w:w w:val="115"/>
                        <w:sz w:val="21"/>
                      </w:rPr>
                      <w:t>are</w:t>
                    </w:r>
                    <w:r>
                      <w:rPr>
                        <w:spacing w:val="-14"/>
                        <w:w w:val="115"/>
                        <w:sz w:val="21"/>
                      </w:rPr>
                      <w:t> </w:t>
                    </w:r>
                    <w:r>
                      <w:rPr>
                        <w:w w:val="115"/>
                        <w:sz w:val="21"/>
                      </w:rPr>
                      <w:t>entitled</w:t>
                    </w:r>
                    <w:r>
                      <w:rPr>
                        <w:spacing w:val="-14"/>
                        <w:w w:val="115"/>
                        <w:sz w:val="21"/>
                      </w:rPr>
                      <w:t> </w:t>
                    </w:r>
                    <w:r>
                      <w:rPr>
                        <w:w w:val="115"/>
                        <w:sz w:val="21"/>
                      </w:rPr>
                      <w:t>to</w:t>
                    </w:r>
                    <w:r>
                      <w:rPr>
                        <w:spacing w:val="-14"/>
                        <w:w w:val="115"/>
                        <w:sz w:val="21"/>
                      </w:rPr>
                      <w:t> </w:t>
                    </w:r>
                    <w:r>
                      <w:rPr>
                        <w:w w:val="115"/>
                        <w:sz w:val="21"/>
                      </w:rPr>
                      <w:t>a</w:t>
                    </w:r>
                    <w:r>
                      <w:rPr>
                        <w:spacing w:val="-14"/>
                        <w:w w:val="115"/>
                        <w:sz w:val="21"/>
                      </w:rPr>
                      <w:t> </w:t>
                    </w:r>
                    <w:r>
                      <w:rPr>
                        <w:w w:val="115"/>
                        <w:sz w:val="21"/>
                      </w:rPr>
                      <w:t>share</w:t>
                    </w:r>
                    <w:r>
                      <w:rPr>
                        <w:spacing w:val="-14"/>
                        <w:w w:val="115"/>
                        <w:sz w:val="21"/>
                      </w:rPr>
                      <w:t> </w:t>
                    </w:r>
                    <w:r>
                      <w:rPr>
                        <w:w w:val="115"/>
                        <w:sz w:val="21"/>
                      </w:rPr>
                      <w:t>on</w:t>
                    </w:r>
                    <w:r>
                      <w:rPr>
                        <w:spacing w:val="-14"/>
                        <w:w w:val="115"/>
                        <w:sz w:val="21"/>
                      </w:rPr>
                      <w:t> </w:t>
                    </w:r>
                    <w:r>
                      <w:rPr>
                        <w:w w:val="115"/>
                        <w:sz w:val="21"/>
                      </w:rPr>
                      <w:t>intestacy,</w:t>
                    </w:r>
                    <w:r>
                      <w:rPr>
                        <w:spacing w:val="-14"/>
                        <w:w w:val="115"/>
                        <w:sz w:val="21"/>
                      </w:rPr>
                      <w:t> </w:t>
                    </w:r>
                    <w:r>
                      <w:rPr>
                        <w:w w:val="115"/>
                        <w:sz w:val="21"/>
                      </w:rPr>
                      <w:t>the</w:t>
                    </w:r>
                    <w:r>
                      <w:rPr>
                        <w:spacing w:val="-14"/>
                        <w:w w:val="115"/>
                        <w:sz w:val="21"/>
                      </w:rPr>
                      <w:t> </w:t>
                    </w:r>
                    <w:r>
                      <w:rPr>
                        <w:w w:val="115"/>
                        <w:sz w:val="21"/>
                      </w:rPr>
                      <w:t>deceased</w:t>
                    </w:r>
                    <w:r>
                      <w:rPr>
                        <w:spacing w:val="-14"/>
                        <w:w w:val="115"/>
                        <w:sz w:val="21"/>
                      </w:rPr>
                      <w:t> </w:t>
                    </w:r>
                    <w:r>
                      <w:rPr>
                        <w:w w:val="115"/>
                        <w:sz w:val="21"/>
                      </w:rPr>
                      <w:t>person’s</w:t>
                    </w:r>
                    <w:r>
                      <w:rPr>
                        <w:spacing w:val="-14"/>
                        <w:w w:val="115"/>
                        <w:sz w:val="21"/>
                      </w:rPr>
                      <w:t> </w:t>
                    </w:r>
                    <w:r>
                      <w:rPr>
                        <w:w w:val="115"/>
                        <w:sz w:val="21"/>
                      </w:rPr>
                      <w:t>partner’s statutory legacy should be increased to $350,000 and adjusted to reflect changes in the All Groups Consumer Price Index number according to the </w:t>
                    </w:r>
                    <w:r>
                      <w:rPr>
                        <w:spacing w:val="-3"/>
                        <w:w w:val="115"/>
                        <w:sz w:val="21"/>
                      </w:rPr>
                      <w:t>following</w:t>
                    </w:r>
                    <w:r>
                      <w:rPr>
                        <w:spacing w:val="1"/>
                        <w:w w:val="115"/>
                        <w:sz w:val="21"/>
                      </w:rPr>
                      <w:t> </w:t>
                    </w:r>
                    <w:r>
                      <w:rPr>
                        <w:w w:val="115"/>
                        <w:sz w:val="21"/>
                      </w:rPr>
                      <w:t>formula:</w:t>
                    </w:r>
                  </w:p>
                  <w:p>
                    <w:pPr>
                      <w:spacing w:before="122"/>
                      <w:ind w:left="0" w:right="0" w:firstLine="0"/>
                      <w:jc w:val="left"/>
                      <w:rPr>
                        <w:sz w:val="21"/>
                      </w:rPr>
                    </w:pPr>
                    <w:r>
                      <w:rPr>
                        <w:w w:val="110"/>
                        <w:sz w:val="21"/>
                      </w:rPr>
                      <w:t>A = $350,000 x B/C, where</w:t>
                    </w:r>
                  </w:p>
                  <w:p>
                    <w:pPr>
                      <w:numPr>
                        <w:ilvl w:val="0"/>
                        <w:numId w:val="59"/>
                      </w:numPr>
                      <w:tabs>
                        <w:tab w:pos="340" w:val="left" w:leader="none"/>
                        <w:tab w:pos="341" w:val="left" w:leader="none"/>
                      </w:tabs>
                      <w:spacing w:before="123"/>
                      <w:ind w:left="340" w:right="0" w:hanging="340"/>
                      <w:jc w:val="left"/>
                      <w:rPr>
                        <w:sz w:val="21"/>
                      </w:rPr>
                    </w:pPr>
                    <w:r>
                      <w:rPr>
                        <w:w w:val="110"/>
                        <w:sz w:val="21"/>
                      </w:rPr>
                      <w:t>A represents the Consumer Price Index adjusted</w:t>
                    </w:r>
                    <w:r>
                      <w:rPr>
                        <w:spacing w:val="40"/>
                        <w:w w:val="110"/>
                        <w:sz w:val="21"/>
                      </w:rPr>
                      <w:t> </w:t>
                    </w:r>
                    <w:r>
                      <w:rPr>
                        <w:w w:val="110"/>
                        <w:sz w:val="21"/>
                      </w:rPr>
                      <w:t>legacy</w:t>
                    </w:r>
                  </w:p>
                  <w:p>
                    <w:pPr>
                      <w:numPr>
                        <w:ilvl w:val="0"/>
                        <w:numId w:val="59"/>
                      </w:numPr>
                      <w:tabs>
                        <w:tab w:pos="340" w:val="left" w:leader="none"/>
                        <w:tab w:pos="341" w:val="left" w:leader="none"/>
                      </w:tabs>
                      <w:spacing w:line="242" w:lineRule="auto" w:before="124"/>
                      <w:ind w:left="340" w:right="382" w:hanging="340"/>
                      <w:jc w:val="left"/>
                      <w:rPr>
                        <w:sz w:val="21"/>
                      </w:rPr>
                    </w:pPr>
                    <w:r>
                      <w:rPr>
                        <w:w w:val="115"/>
                        <w:sz w:val="21"/>
                      </w:rPr>
                      <w:t>B represents the All Groups Consumer Price Index number for the last quarter</w:t>
                    </w:r>
                    <w:r>
                      <w:rPr>
                        <w:spacing w:val="-6"/>
                        <w:w w:val="115"/>
                        <w:sz w:val="21"/>
                      </w:rPr>
                      <w:t> </w:t>
                    </w:r>
                    <w:r>
                      <w:rPr>
                        <w:w w:val="115"/>
                        <w:sz w:val="21"/>
                      </w:rPr>
                      <w:t>for</w:t>
                    </w:r>
                    <w:r>
                      <w:rPr>
                        <w:spacing w:val="-6"/>
                        <w:w w:val="115"/>
                        <w:sz w:val="21"/>
                      </w:rPr>
                      <w:t> </w:t>
                    </w:r>
                    <w:r>
                      <w:rPr>
                        <w:w w:val="115"/>
                        <w:sz w:val="21"/>
                      </w:rPr>
                      <w:t>which</w:t>
                    </w:r>
                    <w:r>
                      <w:rPr>
                        <w:spacing w:val="-6"/>
                        <w:w w:val="115"/>
                        <w:sz w:val="21"/>
                      </w:rPr>
                      <w:t> </w:t>
                    </w:r>
                    <w:r>
                      <w:rPr>
                        <w:w w:val="115"/>
                        <w:sz w:val="21"/>
                      </w:rPr>
                      <w:t>such</w:t>
                    </w:r>
                    <w:r>
                      <w:rPr>
                        <w:spacing w:val="-5"/>
                        <w:w w:val="115"/>
                        <w:sz w:val="21"/>
                      </w:rPr>
                      <w:t> </w:t>
                    </w:r>
                    <w:r>
                      <w:rPr>
                        <w:w w:val="115"/>
                        <w:sz w:val="21"/>
                      </w:rPr>
                      <w:t>a</w:t>
                    </w:r>
                    <w:r>
                      <w:rPr>
                        <w:spacing w:val="-6"/>
                        <w:w w:val="115"/>
                        <w:sz w:val="21"/>
                      </w:rPr>
                      <w:t> </w:t>
                    </w:r>
                    <w:r>
                      <w:rPr>
                        <w:w w:val="115"/>
                        <w:sz w:val="21"/>
                      </w:rPr>
                      <w:t>number</w:t>
                    </w:r>
                    <w:r>
                      <w:rPr>
                        <w:spacing w:val="-6"/>
                        <w:w w:val="115"/>
                        <w:sz w:val="21"/>
                      </w:rPr>
                      <w:t> </w:t>
                    </w:r>
                    <w:r>
                      <w:rPr>
                        <w:w w:val="115"/>
                        <w:sz w:val="21"/>
                      </w:rPr>
                      <w:t>was</w:t>
                    </w:r>
                    <w:r>
                      <w:rPr>
                        <w:spacing w:val="-6"/>
                        <w:w w:val="115"/>
                        <w:sz w:val="21"/>
                      </w:rPr>
                      <w:t> </w:t>
                    </w:r>
                    <w:r>
                      <w:rPr>
                        <w:w w:val="115"/>
                        <w:sz w:val="21"/>
                      </w:rPr>
                      <w:t>published</w:t>
                    </w:r>
                    <w:r>
                      <w:rPr>
                        <w:spacing w:val="-5"/>
                        <w:w w:val="115"/>
                        <w:sz w:val="21"/>
                      </w:rPr>
                      <w:t> </w:t>
                    </w:r>
                    <w:r>
                      <w:rPr>
                        <w:w w:val="115"/>
                        <w:sz w:val="21"/>
                      </w:rPr>
                      <w:t>before</w:t>
                    </w:r>
                    <w:r>
                      <w:rPr>
                        <w:spacing w:val="-6"/>
                        <w:w w:val="115"/>
                        <w:sz w:val="21"/>
                      </w:rPr>
                      <w:t> </w:t>
                    </w:r>
                    <w:r>
                      <w:rPr>
                        <w:w w:val="115"/>
                        <w:sz w:val="21"/>
                      </w:rPr>
                      <w:t>the</w:t>
                    </w:r>
                    <w:r>
                      <w:rPr>
                        <w:spacing w:val="-6"/>
                        <w:w w:val="115"/>
                        <w:sz w:val="21"/>
                      </w:rPr>
                      <w:t> </w:t>
                    </w:r>
                    <w:r>
                      <w:rPr>
                        <w:w w:val="115"/>
                        <w:sz w:val="21"/>
                      </w:rPr>
                      <w:t>date</w:t>
                    </w:r>
                    <w:r>
                      <w:rPr>
                        <w:spacing w:val="-5"/>
                        <w:w w:val="115"/>
                        <w:sz w:val="21"/>
                      </w:rPr>
                      <w:t> </w:t>
                    </w:r>
                    <w:r>
                      <w:rPr>
                        <w:w w:val="115"/>
                        <w:sz w:val="21"/>
                      </w:rPr>
                      <w:t>of</w:t>
                    </w:r>
                    <w:r>
                      <w:rPr>
                        <w:spacing w:val="-6"/>
                        <w:w w:val="115"/>
                        <w:sz w:val="21"/>
                      </w:rPr>
                      <w:t> </w:t>
                    </w:r>
                    <w:r>
                      <w:rPr>
                        <w:w w:val="115"/>
                        <w:sz w:val="21"/>
                      </w:rPr>
                      <w:t>the deceased person’s</w:t>
                    </w:r>
                    <w:r>
                      <w:rPr>
                        <w:spacing w:val="-1"/>
                        <w:w w:val="115"/>
                        <w:sz w:val="21"/>
                      </w:rPr>
                      <w:t> </w:t>
                    </w:r>
                    <w:r>
                      <w:rPr>
                        <w:w w:val="115"/>
                        <w:sz w:val="21"/>
                      </w:rPr>
                      <w:t>death</w:t>
                    </w:r>
                  </w:p>
                  <w:p>
                    <w:pPr>
                      <w:numPr>
                        <w:ilvl w:val="0"/>
                        <w:numId w:val="59"/>
                      </w:numPr>
                      <w:tabs>
                        <w:tab w:pos="340" w:val="left" w:leader="none"/>
                        <w:tab w:pos="341" w:val="left" w:leader="none"/>
                      </w:tabs>
                      <w:spacing w:line="242" w:lineRule="auto" w:before="123"/>
                      <w:ind w:left="340" w:right="896" w:hanging="340"/>
                      <w:jc w:val="left"/>
                      <w:rPr>
                        <w:sz w:val="21"/>
                      </w:rPr>
                    </w:pPr>
                    <w:r>
                      <w:rPr>
                        <w:w w:val="110"/>
                        <w:sz w:val="21"/>
                      </w:rPr>
                      <w:t>C represents the All Groups Consumer Price Index number for the December 2005</w:t>
                    </w:r>
                    <w:r>
                      <w:rPr>
                        <w:spacing w:val="7"/>
                        <w:w w:val="110"/>
                        <w:sz w:val="21"/>
                      </w:rPr>
                      <w:t> </w:t>
                    </w:r>
                    <w:r>
                      <w:rPr>
                        <w:spacing w:val="-3"/>
                        <w:w w:val="110"/>
                        <w:sz w:val="21"/>
                      </w:rPr>
                      <w:t>quarter.</w:t>
                    </w:r>
                  </w:p>
                </w:txbxContent>
              </v:textbox>
              <w10:wrap type="none"/>
            </v:shape>
            <v:shape style="position:absolute;left:566;top:987;width:246;height:249" type="#_x0000_t202" filled="false" stroked="false">
              <v:textbox inset="0,0,0,0">
                <w:txbxContent>
                  <w:p>
                    <w:pPr>
                      <w:spacing w:line="249" w:lineRule="exact" w:before="0"/>
                      <w:ind w:left="0" w:right="0" w:firstLine="0"/>
                      <w:jc w:val="left"/>
                      <w:rPr>
                        <w:sz w:val="21"/>
                      </w:rPr>
                    </w:pPr>
                    <w:r>
                      <w:rPr>
                        <w:w w:val="110"/>
                        <w:sz w:val="21"/>
                      </w:rPr>
                      <w:t>18</w:t>
                    </w:r>
                  </w:p>
                </w:txbxContent>
              </v:textbox>
              <w10:wrap type="none"/>
            </v:shape>
            <v:shape style="position:absolute;left:340;top:0;width:8731;height:726" type="#_x0000_t202" filled="true" fillcolor="#fdebea" stroked="false">
              <v:textbox inset="0,0,0,0">
                <w:txbxContent>
                  <w:p>
                    <w:pPr>
                      <w:spacing w:before="166"/>
                      <w:ind w:left="226" w:right="0" w:firstLine="0"/>
                      <w:jc w:val="left"/>
                      <w:rPr>
                        <w:b/>
                        <w:sz w:val="32"/>
                      </w:rPr>
                    </w:pPr>
                    <w:r>
                      <w:rPr>
                        <w:b/>
                        <w:color w:val="EC5A4F"/>
                        <w:w w:val="110"/>
                        <w:sz w:val="32"/>
                      </w:rPr>
                      <w:t>Recommendations</w:t>
                    </w:r>
                  </w:p>
                </w:txbxContent>
              </v:textbox>
              <v:fill type="solid"/>
              <w10:wrap type="none"/>
            </v:shape>
          </v:group>
        </w:pict>
      </w:r>
      <w:r>
        <w:rPr>
          <w:sz w:val="20"/>
        </w:rPr>
      </w:r>
    </w:p>
    <w:p>
      <w:pPr>
        <w:pStyle w:val="BodyText"/>
        <w:spacing w:before="1"/>
        <w:rPr>
          <w:sz w:val="12"/>
        </w:rPr>
      </w:pPr>
    </w:p>
    <w:p>
      <w:pPr>
        <w:pStyle w:val="Heading6"/>
        <w:spacing w:before="100"/>
      </w:pPr>
      <w:r>
        <w:rPr>
          <w:w w:val="115"/>
        </w:rPr>
        <w:t>Interest on the statutory legacy</w:t>
      </w:r>
    </w:p>
    <w:p>
      <w:pPr>
        <w:pStyle w:val="ListParagraph"/>
        <w:numPr>
          <w:ilvl w:val="1"/>
          <w:numId w:val="22"/>
        </w:numPr>
        <w:tabs>
          <w:tab w:pos="2380" w:val="left" w:leader="none"/>
          <w:tab w:pos="2381" w:val="left" w:leader="none"/>
        </w:tabs>
        <w:spacing w:line="242" w:lineRule="auto" w:before="151" w:after="0"/>
        <w:ind w:left="2381" w:right="1629" w:hanging="794"/>
        <w:jc w:val="left"/>
        <w:rPr>
          <w:sz w:val="12"/>
        </w:rPr>
      </w:pPr>
      <w:r>
        <w:rPr>
          <w:w w:val="105"/>
          <w:sz w:val="21"/>
        </w:rPr>
        <w:t>As recommended by the </w:t>
      </w:r>
      <w:r>
        <w:rPr>
          <w:spacing w:val="-3"/>
          <w:w w:val="105"/>
          <w:sz w:val="21"/>
        </w:rPr>
        <w:t>National </w:t>
      </w:r>
      <w:r>
        <w:rPr>
          <w:spacing w:val="-5"/>
          <w:w w:val="105"/>
          <w:sz w:val="21"/>
        </w:rPr>
        <w:t>Committee,</w:t>
      </w:r>
      <w:r>
        <w:rPr>
          <w:spacing w:val="-5"/>
          <w:w w:val="105"/>
          <w:position w:val="7"/>
          <w:sz w:val="12"/>
        </w:rPr>
        <w:t>123 </w:t>
      </w:r>
      <w:r>
        <w:rPr>
          <w:w w:val="105"/>
          <w:sz w:val="21"/>
        </w:rPr>
        <w:t>and </w:t>
      </w:r>
      <w:r>
        <w:rPr>
          <w:spacing w:val="-3"/>
          <w:w w:val="105"/>
          <w:sz w:val="21"/>
        </w:rPr>
        <w:t>implemented </w:t>
      </w:r>
      <w:r>
        <w:rPr>
          <w:w w:val="105"/>
          <w:sz w:val="21"/>
        </w:rPr>
        <w:t>in both New South </w:t>
      </w:r>
      <w:r>
        <w:rPr>
          <w:spacing w:val="-3"/>
          <w:w w:val="105"/>
          <w:sz w:val="21"/>
        </w:rPr>
        <w:t>Wales </w:t>
      </w:r>
      <w:r>
        <w:rPr>
          <w:w w:val="105"/>
          <w:sz w:val="21"/>
        </w:rPr>
        <w:t>and </w:t>
      </w:r>
      <w:r>
        <w:rPr>
          <w:spacing w:val="-6"/>
          <w:w w:val="105"/>
          <w:sz w:val="21"/>
        </w:rPr>
        <w:t>Tasmania,</w:t>
      </w:r>
      <w:r>
        <w:rPr>
          <w:spacing w:val="-6"/>
          <w:w w:val="105"/>
          <w:position w:val="7"/>
          <w:sz w:val="12"/>
        </w:rPr>
        <w:t>124 </w:t>
      </w:r>
      <w:r>
        <w:rPr>
          <w:w w:val="105"/>
          <w:sz w:val="21"/>
        </w:rPr>
        <w:t>the </w:t>
      </w:r>
      <w:r>
        <w:rPr>
          <w:spacing w:val="-3"/>
          <w:w w:val="105"/>
          <w:sz w:val="21"/>
        </w:rPr>
        <w:t>Commission </w:t>
      </w:r>
      <w:r>
        <w:rPr>
          <w:w w:val="105"/>
          <w:sz w:val="21"/>
        </w:rPr>
        <w:t>considers </w:t>
      </w:r>
      <w:r>
        <w:rPr>
          <w:spacing w:val="-3"/>
          <w:w w:val="105"/>
          <w:sz w:val="21"/>
        </w:rPr>
        <w:t>that </w:t>
      </w:r>
      <w:r>
        <w:rPr>
          <w:w w:val="105"/>
          <w:sz w:val="21"/>
        </w:rPr>
        <w:t>the deceased </w:t>
      </w:r>
      <w:r>
        <w:rPr>
          <w:spacing w:val="-3"/>
          <w:w w:val="105"/>
          <w:sz w:val="21"/>
        </w:rPr>
        <w:t>person’s </w:t>
      </w:r>
      <w:r>
        <w:rPr>
          <w:w w:val="105"/>
          <w:sz w:val="21"/>
        </w:rPr>
        <w:t>partner should be entitled </w:t>
      </w:r>
      <w:r>
        <w:rPr>
          <w:spacing w:val="-3"/>
          <w:w w:val="105"/>
          <w:sz w:val="21"/>
        </w:rPr>
        <w:t>to interest </w:t>
      </w:r>
      <w:r>
        <w:rPr>
          <w:w w:val="105"/>
          <w:sz w:val="21"/>
        </w:rPr>
        <w:t>on their statutory legacy if it is </w:t>
      </w:r>
      <w:r>
        <w:rPr>
          <w:spacing w:val="-2"/>
          <w:w w:val="105"/>
          <w:sz w:val="21"/>
        </w:rPr>
        <w:t>not </w:t>
      </w:r>
      <w:r>
        <w:rPr>
          <w:spacing w:val="-3"/>
          <w:w w:val="105"/>
          <w:sz w:val="21"/>
        </w:rPr>
        <w:t>paid, </w:t>
      </w:r>
      <w:r>
        <w:rPr>
          <w:w w:val="105"/>
          <w:sz w:val="21"/>
        </w:rPr>
        <w:t>or </w:t>
      </w:r>
      <w:r>
        <w:rPr>
          <w:spacing w:val="-2"/>
          <w:w w:val="105"/>
          <w:sz w:val="21"/>
        </w:rPr>
        <w:t>not </w:t>
      </w:r>
      <w:r>
        <w:rPr>
          <w:w w:val="105"/>
          <w:sz w:val="21"/>
        </w:rPr>
        <w:t>paid in </w:t>
      </w:r>
      <w:r>
        <w:rPr>
          <w:spacing w:val="-4"/>
          <w:w w:val="105"/>
          <w:sz w:val="21"/>
        </w:rPr>
        <w:t>full, </w:t>
      </w:r>
      <w:r>
        <w:rPr>
          <w:spacing w:val="-3"/>
          <w:w w:val="105"/>
          <w:sz w:val="21"/>
        </w:rPr>
        <w:t>within </w:t>
      </w:r>
      <w:r>
        <w:rPr>
          <w:w w:val="105"/>
          <w:sz w:val="21"/>
        </w:rPr>
        <w:t>one </w:t>
      </w:r>
      <w:r>
        <w:rPr>
          <w:spacing w:val="-3"/>
          <w:w w:val="105"/>
          <w:sz w:val="21"/>
        </w:rPr>
        <w:t>year </w:t>
      </w:r>
      <w:r>
        <w:rPr>
          <w:w w:val="105"/>
          <w:sz w:val="21"/>
        </w:rPr>
        <w:t>after the deceased </w:t>
      </w:r>
      <w:r>
        <w:rPr>
          <w:spacing w:val="-3"/>
          <w:w w:val="105"/>
          <w:sz w:val="21"/>
        </w:rPr>
        <w:t>person’s death. </w:t>
      </w:r>
      <w:r>
        <w:rPr>
          <w:w w:val="105"/>
          <w:sz w:val="21"/>
        </w:rPr>
        <w:t>As in New South </w:t>
      </w:r>
      <w:r>
        <w:rPr>
          <w:spacing w:val="-3"/>
          <w:w w:val="105"/>
          <w:sz w:val="21"/>
        </w:rPr>
        <w:t>Wales </w:t>
      </w:r>
      <w:r>
        <w:rPr>
          <w:w w:val="105"/>
          <w:sz w:val="21"/>
        </w:rPr>
        <w:t>and </w:t>
      </w:r>
      <w:r>
        <w:rPr>
          <w:spacing w:val="-5"/>
          <w:w w:val="105"/>
          <w:sz w:val="21"/>
        </w:rPr>
        <w:t>Tasmania, </w:t>
      </w:r>
      <w:r>
        <w:rPr>
          <w:spacing w:val="-3"/>
          <w:w w:val="105"/>
          <w:sz w:val="21"/>
        </w:rPr>
        <w:t>interest </w:t>
      </w:r>
      <w:r>
        <w:rPr>
          <w:w w:val="105"/>
          <w:sz w:val="21"/>
        </w:rPr>
        <w:t>should be paid </w:t>
      </w:r>
      <w:r>
        <w:rPr>
          <w:spacing w:val="-3"/>
          <w:w w:val="105"/>
          <w:sz w:val="21"/>
        </w:rPr>
        <w:t>for </w:t>
      </w:r>
      <w:r>
        <w:rPr>
          <w:w w:val="105"/>
          <w:sz w:val="21"/>
        </w:rPr>
        <w:t>the period between the first anniversary of the deceased </w:t>
      </w:r>
      <w:r>
        <w:rPr>
          <w:spacing w:val="-3"/>
          <w:w w:val="105"/>
          <w:sz w:val="21"/>
        </w:rPr>
        <w:t>person’s </w:t>
      </w:r>
      <w:r>
        <w:rPr>
          <w:w w:val="105"/>
          <w:sz w:val="21"/>
        </w:rPr>
        <w:t>death and the </w:t>
      </w:r>
      <w:r>
        <w:rPr>
          <w:spacing w:val="-3"/>
          <w:w w:val="105"/>
          <w:sz w:val="21"/>
        </w:rPr>
        <w:t>date </w:t>
      </w:r>
      <w:r>
        <w:rPr>
          <w:w w:val="105"/>
          <w:sz w:val="21"/>
        </w:rPr>
        <w:t>of payment of the legacy in </w:t>
      </w:r>
      <w:r>
        <w:rPr>
          <w:spacing w:val="-6"/>
          <w:w w:val="105"/>
          <w:sz w:val="21"/>
        </w:rPr>
        <w:t>full.</w:t>
      </w:r>
      <w:r>
        <w:rPr>
          <w:spacing w:val="-6"/>
          <w:w w:val="105"/>
          <w:position w:val="7"/>
          <w:sz w:val="12"/>
        </w:rPr>
        <w:t>125 </w:t>
      </w:r>
      <w:r>
        <w:rPr>
          <w:w w:val="105"/>
          <w:sz w:val="21"/>
        </w:rPr>
        <w:t>For consistency with New South </w:t>
      </w:r>
      <w:r>
        <w:rPr>
          <w:spacing w:val="-3"/>
          <w:w w:val="105"/>
          <w:sz w:val="21"/>
        </w:rPr>
        <w:t>Wales </w:t>
      </w:r>
      <w:r>
        <w:rPr>
          <w:w w:val="105"/>
          <w:sz w:val="21"/>
        </w:rPr>
        <w:t>and </w:t>
      </w:r>
      <w:r>
        <w:rPr>
          <w:spacing w:val="-5"/>
          <w:w w:val="105"/>
          <w:sz w:val="21"/>
        </w:rPr>
        <w:t>Tasmania, </w:t>
      </w:r>
      <w:r>
        <w:rPr>
          <w:w w:val="105"/>
          <w:sz w:val="21"/>
        </w:rPr>
        <w:t>it should be </w:t>
      </w:r>
      <w:r>
        <w:rPr>
          <w:spacing w:val="-3"/>
          <w:w w:val="105"/>
          <w:sz w:val="21"/>
        </w:rPr>
        <w:t>calculated </w:t>
      </w:r>
      <w:r>
        <w:rPr>
          <w:w w:val="105"/>
          <w:sz w:val="21"/>
        </w:rPr>
        <w:t>at the </w:t>
      </w:r>
      <w:r>
        <w:rPr>
          <w:spacing w:val="-3"/>
          <w:w w:val="105"/>
          <w:sz w:val="21"/>
        </w:rPr>
        <w:t>rate </w:t>
      </w:r>
      <w:r>
        <w:rPr>
          <w:w w:val="105"/>
          <w:sz w:val="21"/>
        </w:rPr>
        <w:t>of two per </w:t>
      </w:r>
      <w:r>
        <w:rPr>
          <w:spacing w:val="-3"/>
          <w:w w:val="105"/>
          <w:sz w:val="21"/>
        </w:rPr>
        <w:t>cent </w:t>
      </w:r>
      <w:r>
        <w:rPr>
          <w:w w:val="105"/>
          <w:sz w:val="21"/>
        </w:rPr>
        <w:t>above the cash </w:t>
      </w:r>
      <w:r>
        <w:rPr>
          <w:spacing w:val="-3"/>
          <w:w w:val="105"/>
          <w:sz w:val="21"/>
        </w:rPr>
        <w:t>rate </w:t>
      </w:r>
      <w:r>
        <w:rPr>
          <w:w w:val="105"/>
          <w:sz w:val="21"/>
        </w:rPr>
        <w:t>last </w:t>
      </w:r>
      <w:r>
        <w:rPr>
          <w:spacing w:val="-3"/>
          <w:w w:val="105"/>
          <w:sz w:val="21"/>
        </w:rPr>
        <w:t>published </w:t>
      </w:r>
      <w:r>
        <w:rPr>
          <w:w w:val="105"/>
          <w:sz w:val="21"/>
        </w:rPr>
        <w:t>by the Reserve Bank of </w:t>
      </w:r>
      <w:r>
        <w:rPr>
          <w:spacing w:val="-3"/>
          <w:w w:val="105"/>
          <w:sz w:val="21"/>
        </w:rPr>
        <w:t>Australia before </w:t>
      </w:r>
      <w:r>
        <w:rPr>
          <w:w w:val="105"/>
          <w:sz w:val="21"/>
        </w:rPr>
        <w:t>1 January in the </w:t>
      </w:r>
      <w:r>
        <w:rPr>
          <w:spacing w:val="-3"/>
          <w:w w:val="105"/>
          <w:sz w:val="21"/>
        </w:rPr>
        <w:t>calendar year </w:t>
      </w:r>
      <w:r>
        <w:rPr>
          <w:w w:val="105"/>
          <w:sz w:val="21"/>
        </w:rPr>
        <w:t>in which </w:t>
      </w:r>
      <w:r>
        <w:rPr>
          <w:spacing w:val="-3"/>
          <w:w w:val="105"/>
          <w:sz w:val="21"/>
        </w:rPr>
        <w:t>interest </w:t>
      </w:r>
      <w:r>
        <w:rPr>
          <w:spacing w:val="-2"/>
          <w:w w:val="105"/>
          <w:sz w:val="21"/>
        </w:rPr>
        <w:t>begins </w:t>
      </w:r>
      <w:r>
        <w:rPr>
          <w:spacing w:val="-3"/>
          <w:w w:val="105"/>
          <w:sz w:val="21"/>
        </w:rPr>
        <w:t>to</w:t>
      </w:r>
      <w:r>
        <w:rPr>
          <w:spacing w:val="38"/>
          <w:w w:val="105"/>
          <w:sz w:val="21"/>
        </w:rPr>
        <w:t> </w:t>
      </w:r>
      <w:r>
        <w:rPr>
          <w:spacing w:val="-6"/>
          <w:w w:val="105"/>
          <w:sz w:val="21"/>
        </w:rPr>
        <w:t>accrue.</w:t>
      </w:r>
      <w:r>
        <w:rPr>
          <w:spacing w:val="-6"/>
          <w:w w:val="105"/>
          <w:position w:val="7"/>
          <w:sz w:val="12"/>
        </w:rPr>
        <w:t>126</w:t>
      </w:r>
    </w:p>
    <w:p>
      <w:pPr>
        <w:pStyle w:val="BodyText"/>
        <w:spacing w:before="8"/>
        <w:rPr>
          <w:sz w:val="19"/>
        </w:rPr>
      </w:pPr>
      <w:r>
        <w:rPr/>
        <w:pict>
          <v:group style="position:absolute;margin-left:62.362202pt;margin-top:13.969424pt;width:479.1pt;height:180.55pt;mso-position-horizontal-relative:page;mso-position-vertical-relative:paragraph;z-index:4400;mso-wrap-distance-left:0;mso-wrap-distance-right:0" coordorigin="1247,279" coordsize="9582,3611">
            <v:rect style="position:absolute;left:1587;top:279;width:8731;height:3611" filled="true" fillcolor="#fdebea" stroked="false">
              <v:fill type="solid"/>
            </v:rect>
            <v:line style="position:absolute" from="1247,1030" to="10828,1030" stroked="true" strokeweight="2.5pt" strokecolor="#ffffff">
              <v:stroke dashstyle="solid"/>
            </v:line>
            <v:shape style="position:absolute;left:2381;top:1267;width:7717;height:2449" type="#_x0000_t202" filled="false" stroked="false">
              <v:textbox inset="0,0,0,0">
                <w:txbxContent>
                  <w:p>
                    <w:pPr>
                      <w:spacing w:line="242" w:lineRule="auto" w:before="0"/>
                      <w:ind w:left="0" w:right="212" w:firstLine="0"/>
                      <w:jc w:val="both"/>
                      <w:rPr>
                        <w:sz w:val="21"/>
                      </w:rPr>
                    </w:pPr>
                    <w:r>
                      <w:rPr>
                        <w:w w:val="115"/>
                        <w:sz w:val="21"/>
                      </w:rPr>
                      <w:t>The</w:t>
                    </w:r>
                    <w:r>
                      <w:rPr>
                        <w:spacing w:val="-12"/>
                        <w:w w:val="115"/>
                        <w:sz w:val="21"/>
                      </w:rPr>
                      <w:t> </w:t>
                    </w:r>
                    <w:r>
                      <w:rPr>
                        <w:w w:val="115"/>
                        <w:sz w:val="21"/>
                      </w:rPr>
                      <w:t>deceased</w:t>
                    </w:r>
                    <w:r>
                      <w:rPr>
                        <w:spacing w:val="-11"/>
                        <w:w w:val="115"/>
                        <w:sz w:val="21"/>
                      </w:rPr>
                      <w:t> </w:t>
                    </w:r>
                    <w:r>
                      <w:rPr>
                        <w:w w:val="115"/>
                        <w:sz w:val="21"/>
                      </w:rPr>
                      <w:t>person’s</w:t>
                    </w:r>
                    <w:r>
                      <w:rPr>
                        <w:spacing w:val="-11"/>
                        <w:w w:val="115"/>
                        <w:sz w:val="21"/>
                      </w:rPr>
                      <w:t> </w:t>
                    </w:r>
                    <w:r>
                      <w:rPr>
                        <w:w w:val="115"/>
                        <w:sz w:val="21"/>
                      </w:rPr>
                      <w:t>partner</w:t>
                    </w:r>
                    <w:r>
                      <w:rPr>
                        <w:spacing w:val="-11"/>
                        <w:w w:val="115"/>
                        <w:sz w:val="21"/>
                      </w:rPr>
                      <w:t> </w:t>
                    </w:r>
                    <w:r>
                      <w:rPr>
                        <w:w w:val="115"/>
                        <w:sz w:val="21"/>
                      </w:rPr>
                      <w:t>should</w:t>
                    </w:r>
                    <w:r>
                      <w:rPr>
                        <w:spacing w:val="-11"/>
                        <w:w w:val="115"/>
                        <w:sz w:val="21"/>
                      </w:rPr>
                      <w:t> </w:t>
                    </w:r>
                    <w:r>
                      <w:rPr>
                        <w:w w:val="115"/>
                        <w:sz w:val="21"/>
                      </w:rPr>
                      <w:t>be</w:t>
                    </w:r>
                    <w:r>
                      <w:rPr>
                        <w:spacing w:val="-11"/>
                        <w:w w:val="115"/>
                        <w:sz w:val="21"/>
                      </w:rPr>
                      <w:t> </w:t>
                    </w:r>
                    <w:r>
                      <w:rPr>
                        <w:w w:val="115"/>
                        <w:sz w:val="21"/>
                      </w:rPr>
                      <w:t>entitled</w:t>
                    </w:r>
                    <w:r>
                      <w:rPr>
                        <w:spacing w:val="-11"/>
                        <w:w w:val="115"/>
                        <w:sz w:val="21"/>
                      </w:rPr>
                      <w:t> </w:t>
                    </w:r>
                    <w:r>
                      <w:rPr>
                        <w:w w:val="115"/>
                        <w:sz w:val="21"/>
                      </w:rPr>
                      <w:t>to</w:t>
                    </w:r>
                    <w:r>
                      <w:rPr>
                        <w:spacing w:val="-11"/>
                        <w:w w:val="115"/>
                        <w:sz w:val="21"/>
                      </w:rPr>
                      <w:t> </w:t>
                    </w:r>
                    <w:r>
                      <w:rPr>
                        <w:w w:val="115"/>
                        <w:sz w:val="21"/>
                      </w:rPr>
                      <w:t>interest</w:t>
                    </w:r>
                    <w:r>
                      <w:rPr>
                        <w:spacing w:val="-11"/>
                        <w:w w:val="115"/>
                        <w:sz w:val="21"/>
                      </w:rPr>
                      <w:t> </w:t>
                    </w:r>
                    <w:r>
                      <w:rPr>
                        <w:w w:val="115"/>
                        <w:sz w:val="21"/>
                      </w:rPr>
                      <w:t>on</w:t>
                    </w:r>
                    <w:r>
                      <w:rPr>
                        <w:spacing w:val="-11"/>
                        <w:w w:val="115"/>
                        <w:sz w:val="21"/>
                      </w:rPr>
                      <w:t> </w:t>
                    </w:r>
                    <w:r>
                      <w:rPr>
                        <w:w w:val="115"/>
                        <w:sz w:val="21"/>
                      </w:rPr>
                      <w:t>the</w:t>
                    </w:r>
                    <w:r>
                      <w:rPr>
                        <w:spacing w:val="-11"/>
                        <w:w w:val="115"/>
                        <w:sz w:val="21"/>
                      </w:rPr>
                      <w:t> </w:t>
                    </w:r>
                    <w:r>
                      <w:rPr>
                        <w:w w:val="115"/>
                        <w:sz w:val="21"/>
                      </w:rPr>
                      <w:t>statutory legacy</w:t>
                    </w:r>
                    <w:r>
                      <w:rPr>
                        <w:spacing w:val="-4"/>
                        <w:w w:val="115"/>
                        <w:sz w:val="21"/>
                      </w:rPr>
                      <w:t> </w:t>
                    </w:r>
                    <w:r>
                      <w:rPr>
                        <w:w w:val="115"/>
                        <w:sz w:val="21"/>
                      </w:rPr>
                      <w:t>to</w:t>
                    </w:r>
                    <w:r>
                      <w:rPr>
                        <w:spacing w:val="-4"/>
                        <w:w w:val="115"/>
                        <w:sz w:val="21"/>
                      </w:rPr>
                      <w:t> </w:t>
                    </w:r>
                    <w:r>
                      <w:rPr>
                        <w:w w:val="115"/>
                        <w:sz w:val="21"/>
                      </w:rPr>
                      <w:t>which</w:t>
                    </w:r>
                    <w:r>
                      <w:rPr>
                        <w:spacing w:val="-4"/>
                        <w:w w:val="115"/>
                        <w:sz w:val="21"/>
                      </w:rPr>
                      <w:t> </w:t>
                    </w:r>
                    <w:r>
                      <w:rPr>
                        <w:w w:val="115"/>
                        <w:sz w:val="21"/>
                      </w:rPr>
                      <w:t>they</w:t>
                    </w:r>
                    <w:r>
                      <w:rPr>
                        <w:spacing w:val="-4"/>
                        <w:w w:val="115"/>
                        <w:sz w:val="21"/>
                      </w:rPr>
                      <w:t> </w:t>
                    </w:r>
                    <w:r>
                      <w:rPr>
                        <w:w w:val="115"/>
                        <w:sz w:val="21"/>
                      </w:rPr>
                      <w:t>are</w:t>
                    </w:r>
                    <w:r>
                      <w:rPr>
                        <w:spacing w:val="-4"/>
                        <w:w w:val="115"/>
                        <w:sz w:val="21"/>
                      </w:rPr>
                      <w:t> </w:t>
                    </w:r>
                    <w:r>
                      <w:rPr>
                        <w:w w:val="115"/>
                        <w:sz w:val="21"/>
                      </w:rPr>
                      <w:t>entitled</w:t>
                    </w:r>
                    <w:r>
                      <w:rPr>
                        <w:spacing w:val="-4"/>
                        <w:w w:val="115"/>
                        <w:sz w:val="21"/>
                      </w:rPr>
                      <w:t> </w:t>
                    </w:r>
                    <w:r>
                      <w:rPr>
                        <w:w w:val="115"/>
                        <w:sz w:val="21"/>
                      </w:rPr>
                      <w:t>on</w:t>
                    </w:r>
                    <w:r>
                      <w:rPr>
                        <w:spacing w:val="-4"/>
                        <w:w w:val="115"/>
                        <w:sz w:val="21"/>
                      </w:rPr>
                      <w:t> </w:t>
                    </w:r>
                    <w:r>
                      <w:rPr>
                        <w:w w:val="115"/>
                        <w:sz w:val="21"/>
                      </w:rPr>
                      <w:t>intestacy,</w:t>
                    </w:r>
                    <w:r>
                      <w:rPr>
                        <w:spacing w:val="-4"/>
                        <w:w w:val="115"/>
                        <w:sz w:val="21"/>
                      </w:rPr>
                      <w:t> </w:t>
                    </w:r>
                    <w:r>
                      <w:rPr>
                        <w:w w:val="115"/>
                        <w:sz w:val="21"/>
                      </w:rPr>
                      <w:t>or</w:t>
                    </w:r>
                    <w:r>
                      <w:rPr>
                        <w:spacing w:val="-4"/>
                        <w:w w:val="115"/>
                        <w:sz w:val="21"/>
                      </w:rPr>
                      <w:t> </w:t>
                    </w:r>
                    <w:r>
                      <w:rPr>
                        <w:spacing w:val="-2"/>
                        <w:w w:val="115"/>
                        <w:sz w:val="21"/>
                      </w:rPr>
                      <w:t>any</w:t>
                    </w:r>
                    <w:r>
                      <w:rPr>
                        <w:spacing w:val="-4"/>
                        <w:w w:val="115"/>
                        <w:sz w:val="21"/>
                      </w:rPr>
                      <w:t> </w:t>
                    </w:r>
                    <w:r>
                      <w:rPr>
                        <w:w w:val="115"/>
                        <w:sz w:val="21"/>
                      </w:rPr>
                      <w:t>part</w:t>
                    </w:r>
                    <w:r>
                      <w:rPr>
                        <w:spacing w:val="-3"/>
                        <w:w w:val="115"/>
                        <w:sz w:val="21"/>
                      </w:rPr>
                      <w:t> thereof,</w:t>
                    </w:r>
                    <w:r>
                      <w:rPr>
                        <w:spacing w:val="-4"/>
                        <w:w w:val="115"/>
                        <w:sz w:val="21"/>
                      </w:rPr>
                      <w:t> </w:t>
                    </w:r>
                    <w:r>
                      <w:rPr>
                        <w:w w:val="115"/>
                        <w:sz w:val="21"/>
                      </w:rPr>
                      <w:t>that</w:t>
                    </w:r>
                    <w:r>
                      <w:rPr>
                        <w:spacing w:val="-4"/>
                        <w:w w:val="115"/>
                        <w:sz w:val="21"/>
                      </w:rPr>
                      <w:t> </w:t>
                    </w:r>
                    <w:r>
                      <w:rPr>
                        <w:w w:val="115"/>
                        <w:sz w:val="21"/>
                      </w:rPr>
                      <w:t>is</w:t>
                    </w:r>
                    <w:r>
                      <w:rPr>
                        <w:spacing w:val="-4"/>
                        <w:w w:val="115"/>
                        <w:sz w:val="21"/>
                      </w:rPr>
                      <w:t> </w:t>
                    </w:r>
                    <w:r>
                      <w:rPr>
                        <w:w w:val="115"/>
                        <w:sz w:val="21"/>
                      </w:rPr>
                      <w:t>not paid within one year after the deceased person’s</w:t>
                    </w:r>
                    <w:r>
                      <w:rPr>
                        <w:spacing w:val="-10"/>
                        <w:w w:val="115"/>
                        <w:sz w:val="21"/>
                      </w:rPr>
                      <w:t> </w:t>
                    </w:r>
                    <w:r>
                      <w:rPr>
                        <w:w w:val="115"/>
                        <w:sz w:val="21"/>
                      </w:rPr>
                      <w:t>death.</w:t>
                    </w:r>
                  </w:p>
                  <w:p>
                    <w:pPr>
                      <w:spacing w:line="242" w:lineRule="auto" w:before="119"/>
                      <w:ind w:left="0" w:right="0" w:firstLine="0"/>
                      <w:jc w:val="left"/>
                      <w:rPr>
                        <w:sz w:val="21"/>
                      </w:rPr>
                    </w:pPr>
                    <w:r>
                      <w:rPr>
                        <w:w w:val="115"/>
                        <w:sz w:val="21"/>
                      </w:rPr>
                      <w:t>Interest on a statutory legacy to which a deceased person’s partner is entitled on intestacy should be calculated between the first anniversary of the deceased person’s death and the date of payment of the legacy in full, in accordance with a </w:t>
                    </w:r>
                    <w:r>
                      <w:rPr>
                        <w:spacing w:val="-3"/>
                        <w:w w:val="115"/>
                        <w:sz w:val="21"/>
                      </w:rPr>
                      <w:t>rate </w:t>
                    </w:r>
                    <w:r>
                      <w:rPr>
                        <w:w w:val="115"/>
                        <w:sz w:val="21"/>
                      </w:rPr>
                      <w:t>that is two per cent above the cash </w:t>
                    </w:r>
                    <w:r>
                      <w:rPr>
                        <w:spacing w:val="-3"/>
                        <w:w w:val="115"/>
                        <w:sz w:val="21"/>
                      </w:rPr>
                      <w:t>rate </w:t>
                    </w:r>
                    <w:r>
                      <w:rPr>
                        <w:w w:val="115"/>
                        <w:sz w:val="21"/>
                      </w:rPr>
                      <w:t>last published by</w:t>
                    </w:r>
                    <w:r>
                      <w:rPr>
                        <w:spacing w:val="-6"/>
                        <w:w w:val="115"/>
                        <w:sz w:val="21"/>
                      </w:rPr>
                      <w:t> </w:t>
                    </w:r>
                    <w:r>
                      <w:rPr>
                        <w:w w:val="115"/>
                        <w:sz w:val="21"/>
                      </w:rPr>
                      <w:t>the</w:t>
                    </w:r>
                    <w:r>
                      <w:rPr>
                        <w:spacing w:val="-7"/>
                        <w:w w:val="115"/>
                        <w:sz w:val="21"/>
                      </w:rPr>
                      <w:t> </w:t>
                    </w:r>
                    <w:r>
                      <w:rPr>
                        <w:w w:val="115"/>
                        <w:sz w:val="21"/>
                      </w:rPr>
                      <w:t>Reserve</w:t>
                    </w:r>
                    <w:r>
                      <w:rPr>
                        <w:spacing w:val="-6"/>
                        <w:w w:val="115"/>
                        <w:sz w:val="21"/>
                      </w:rPr>
                      <w:t> </w:t>
                    </w:r>
                    <w:r>
                      <w:rPr>
                        <w:w w:val="115"/>
                        <w:sz w:val="21"/>
                      </w:rPr>
                      <w:t>Bank</w:t>
                    </w:r>
                    <w:r>
                      <w:rPr>
                        <w:spacing w:val="-6"/>
                        <w:w w:val="115"/>
                        <w:sz w:val="21"/>
                      </w:rPr>
                      <w:t> </w:t>
                    </w:r>
                    <w:r>
                      <w:rPr>
                        <w:w w:val="115"/>
                        <w:sz w:val="21"/>
                      </w:rPr>
                      <w:t>of</w:t>
                    </w:r>
                    <w:r>
                      <w:rPr>
                        <w:spacing w:val="-6"/>
                        <w:w w:val="115"/>
                        <w:sz w:val="21"/>
                      </w:rPr>
                      <w:t> </w:t>
                    </w:r>
                    <w:r>
                      <w:rPr>
                        <w:w w:val="115"/>
                        <w:sz w:val="21"/>
                      </w:rPr>
                      <w:t>Australia</w:t>
                    </w:r>
                    <w:r>
                      <w:rPr>
                        <w:spacing w:val="-6"/>
                        <w:w w:val="115"/>
                        <w:sz w:val="21"/>
                      </w:rPr>
                      <w:t> </w:t>
                    </w:r>
                    <w:r>
                      <w:rPr>
                        <w:w w:val="115"/>
                        <w:sz w:val="21"/>
                      </w:rPr>
                      <w:t>before</w:t>
                    </w:r>
                    <w:r>
                      <w:rPr>
                        <w:spacing w:val="-6"/>
                        <w:w w:val="115"/>
                        <w:sz w:val="21"/>
                      </w:rPr>
                      <w:t> </w:t>
                    </w:r>
                    <w:r>
                      <w:rPr>
                        <w:w w:val="115"/>
                        <w:sz w:val="21"/>
                      </w:rPr>
                      <w:t>1</w:t>
                    </w:r>
                    <w:r>
                      <w:rPr>
                        <w:spacing w:val="-6"/>
                        <w:w w:val="115"/>
                        <w:sz w:val="21"/>
                      </w:rPr>
                      <w:t> </w:t>
                    </w:r>
                    <w:r>
                      <w:rPr>
                        <w:w w:val="115"/>
                        <w:sz w:val="21"/>
                      </w:rPr>
                      <w:t>January</w:t>
                    </w:r>
                    <w:r>
                      <w:rPr>
                        <w:spacing w:val="-6"/>
                        <w:w w:val="115"/>
                        <w:sz w:val="21"/>
                      </w:rPr>
                      <w:t> </w:t>
                    </w:r>
                    <w:r>
                      <w:rPr>
                        <w:w w:val="115"/>
                        <w:sz w:val="21"/>
                      </w:rPr>
                      <w:t>in</w:t>
                    </w:r>
                    <w:r>
                      <w:rPr>
                        <w:spacing w:val="-6"/>
                        <w:w w:val="115"/>
                        <w:sz w:val="21"/>
                      </w:rPr>
                      <w:t> </w:t>
                    </w:r>
                    <w:r>
                      <w:rPr>
                        <w:w w:val="115"/>
                        <w:sz w:val="21"/>
                      </w:rPr>
                      <w:t>the</w:t>
                    </w:r>
                    <w:r>
                      <w:rPr>
                        <w:spacing w:val="-6"/>
                        <w:w w:val="115"/>
                        <w:sz w:val="21"/>
                      </w:rPr>
                      <w:t> </w:t>
                    </w:r>
                    <w:r>
                      <w:rPr>
                        <w:w w:val="115"/>
                        <w:sz w:val="21"/>
                      </w:rPr>
                      <w:t>calendar</w:t>
                    </w:r>
                    <w:r>
                      <w:rPr>
                        <w:spacing w:val="-6"/>
                        <w:w w:val="115"/>
                        <w:sz w:val="21"/>
                      </w:rPr>
                      <w:t> </w:t>
                    </w:r>
                    <w:r>
                      <w:rPr>
                        <w:w w:val="115"/>
                        <w:sz w:val="21"/>
                      </w:rPr>
                      <w:t>year</w:t>
                    </w:r>
                    <w:r>
                      <w:rPr>
                        <w:spacing w:val="-6"/>
                        <w:w w:val="115"/>
                        <w:sz w:val="21"/>
                      </w:rPr>
                      <w:t> </w:t>
                    </w:r>
                    <w:r>
                      <w:rPr>
                        <w:w w:val="115"/>
                        <w:sz w:val="21"/>
                      </w:rPr>
                      <w:t>in</w:t>
                    </w:r>
                    <w:r>
                      <w:rPr>
                        <w:spacing w:val="-6"/>
                        <w:w w:val="115"/>
                        <w:sz w:val="21"/>
                      </w:rPr>
                      <w:t> </w:t>
                    </w:r>
                    <w:r>
                      <w:rPr>
                        <w:w w:val="115"/>
                        <w:sz w:val="21"/>
                      </w:rPr>
                      <w:t>which interest begins to accrue.</w:t>
                    </w:r>
                  </w:p>
                </w:txbxContent>
              </v:textbox>
              <w10:wrap type="none"/>
            </v:shape>
            <v:shape style="position:absolute;left:1814;top:1267;width:253;height:1149" type="#_x0000_t202" filled="false" stroked="false">
              <v:textbox inset="0,0,0,0">
                <w:txbxContent>
                  <w:p>
                    <w:pPr>
                      <w:spacing w:line="253" w:lineRule="exact" w:before="0"/>
                      <w:ind w:left="0" w:right="0" w:firstLine="0"/>
                      <w:jc w:val="left"/>
                      <w:rPr>
                        <w:sz w:val="21"/>
                      </w:rPr>
                    </w:pPr>
                    <w:r>
                      <w:rPr>
                        <w:w w:val="110"/>
                        <w:sz w:val="21"/>
                      </w:rPr>
                      <w:t>20</w:t>
                    </w:r>
                  </w:p>
                  <w:p>
                    <w:pPr>
                      <w:spacing w:line="240" w:lineRule="auto" w:before="0"/>
                      <w:rPr>
                        <w:sz w:val="24"/>
                      </w:rPr>
                    </w:pPr>
                  </w:p>
                  <w:p>
                    <w:pPr>
                      <w:spacing w:line="240" w:lineRule="auto" w:before="8"/>
                      <w:rPr>
                        <w:sz w:val="28"/>
                      </w:rPr>
                    </w:pPr>
                  </w:p>
                  <w:p>
                    <w:pPr>
                      <w:spacing w:line="252" w:lineRule="exact" w:before="1"/>
                      <w:ind w:left="0" w:right="0" w:firstLine="0"/>
                      <w:jc w:val="left"/>
                      <w:rPr>
                        <w:sz w:val="21"/>
                      </w:rPr>
                    </w:pPr>
                    <w:r>
                      <w:rPr>
                        <w:spacing w:val="-5"/>
                        <w:w w:val="110"/>
                        <w:sz w:val="21"/>
                      </w:rPr>
                      <w:t>21</w:t>
                    </w:r>
                  </w:p>
                </w:txbxContent>
              </v:textbox>
              <w10:wrap type="none"/>
            </v:shape>
            <v:shape style="position:absolute;left:1587;top:279;width:8731;height:726" type="#_x0000_t202" filled="true" fillcolor="#fdebea" stroked="false">
              <v:textbox inset="0,0,0,0">
                <w:txbxContent>
                  <w:p>
                    <w:pPr>
                      <w:spacing w:before="166"/>
                      <w:ind w:left="226" w:right="0" w:firstLine="0"/>
                      <w:jc w:val="left"/>
                      <w:rPr>
                        <w:b/>
                        <w:sz w:val="32"/>
                      </w:rPr>
                    </w:pPr>
                    <w:r>
                      <w:rPr>
                        <w:b/>
                        <w:color w:val="EC5A4F"/>
                        <w:w w:val="110"/>
                        <w:sz w:val="32"/>
                      </w:rPr>
                      <w:t>Recommendations</w:t>
                    </w:r>
                  </w:p>
                </w:txbxContent>
              </v:textbox>
              <v:fill type="solid"/>
              <w10:wrap type="none"/>
            </v:shape>
            <w10:wrap type="topAndBottom"/>
          </v:group>
        </w:pict>
      </w:r>
    </w:p>
    <w:p>
      <w:pPr>
        <w:pStyle w:val="BodyText"/>
        <w:rPr>
          <w:sz w:val="20"/>
        </w:rPr>
      </w:pPr>
    </w:p>
    <w:p>
      <w:pPr>
        <w:pStyle w:val="BodyText"/>
        <w:rPr>
          <w:sz w:val="20"/>
        </w:rPr>
      </w:pPr>
    </w:p>
    <w:p>
      <w:pPr>
        <w:pStyle w:val="BodyText"/>
        <w:spacing w:before="9"/>
        <w:rPr>
          <w:sz w:val="28"/>
        </w:rPr>
      </w:pPr>
      <w:r>
        <w:rPr/>
        <w:pict>
          <v:line style="position:absolute;mso-position-horizontal-relative:page;mso-position-vertical-relative:paragraph;z-index:4424;mso-wrap-distance-left:0;mso-wrap-distance-right:0" from="79.370102pt,20.010538pt" to="515.905102pt,20.010538pt" stroked="true" strokeweight="1pt" strokecolor="#f9ceca">
            <v:stroke dashstyle="solid"/>
            <w10:wrap type="topAndBottom"/>
          </v:line>
        </w:pict>
      </w:r>
    </w:p>
    <w:p>
      <w:pPr>
        <w:pStyle w:val="ListParagraph"/>
        <w:numPr>
          <w:ilvl w:val="0"/>
          <w:numId w:val="58"/>
        </w:numPr>
        <w:tabs>
          <w:tab w:pos="2380" w:val="left" w:leader="none"/>
          <w:tab w:pos="2382" w:val="left" w:leader="none"/>
        </w:tabs>
        <w:spacing w:line="240" w:lineRule="auto" w:before="117" w:after="0"/>
        <w:ind w:left="2381" w:right="1591" w:hanging="794"/>
        <w:jc w:val="left"/>
        <w:rPr>
          <w:sz w:val="13"/>
        </w:rPr>
      </w:pPr>
      <w:r>
        <w:rPr>
          <w:w w:val="105"/>
          <w:sz w:val="13"/>
        </w:rPr>
        <w:t>At </w:t>
      </w:r>
      <w:r>
        <w:rPr>
          <w:spacing w:val="-3"/>
          <w:w w:val="105"/>
          <w:sz w:val="13"/>
        </w:rPr>
        <w:t>[5.114] </w:t>
      </w:r>
      <w:r>
        <w:rPr>
          <w:w w:val="105"/>
          <w:sz w:val="13"/>
        </w:rPr>
        <w:t>below, the Commission recommends that where the deceased person is survived by multiple partners, as well as children or other issue</w:t>
      </w:r>
      <w:r>
        <w:rPr>
          <w:spacing w:val="4"/>
          <w:w w:val="105"/>
          <w:sz w:val="13"/>
        </w:rPr>
        <w:t> </w:t>
      </w:r>
      <w:r>
        <w:rPr>
          <w:w w:val="105"/>
          <w:sz w:val="13"/>
        </w:rPr>
        <w:t>who</w:t>
      </w:r>
      <w:r>
        <w:rPr>
          <w:spacing w:val="4"/>
          <w:w w:val="105"/>
          <w:sz w:val="13"/>
        </w:rPr>
        <w:t> </w:t>
      </w:r>
      <w:r>
        <w:rPr>
          <w:w w:val="105"/>
          <w:sz w:val="13"/>
        </w:rPr>
        <w:t>are</w:t>
      </w:r>
      <w:r>
        <w:rPr>
          <w:spacing w:val="4"/>
          <w:w w:val="105"/>
          <w:sz w:val="13"/>
        </w:rPr>
        <w:t> </w:t>
      </w:r>
      <w:r>
        <w:rPr>
          <w:w w:val="105"/>
          <w:sz w:val="13"/>
        </w:rPr>
        <w:t>entitled</w:t>
      </w:r>
      <w:r>
        <w:rPr>
          <w:spacing w:val="4"/>
          <w:w w:val="105"/>
          <w:sz w:val="13"/>
        </w:rPr>
        <w:t> </w:t>
      </w:r>
      <w:r>
        <w:rPr>
          <w:w w:val="105"/>
          <w:sz w:val="13"/>
        </w:rPr>
        <w:t>to</w:t>
      </w:r>
      <w:r>
        <w:rPr>
          <w:spacing w:val="4"/>
          <w:w w:val="105"/>
          <w:sz w:val="13"/>
        </w:rPr>
        <w:t> </w:t>
      </w:r>
      <w:r>
        <w:rPr>
          <w:w w:val="105"/>
          <w:sz w:val="13"/>
        </w:rPr>
        <w:t>a</w:t>
      </w:r>
      <w:r>
        <w:rPr>
          <w:spacing w:val="5"/>
          <w:w w:val="105"/>
          <w:sz w:val="13"/>
        </w:rPr>
        <w:t> </w:t>
      </w:r>
      <w:r>
        <w:rPr>
          <w:w w:val="105"/>
          <w:sz w:val="13"/>
        </w:rPr>
        <w:t>share,</w:t>
      </w:r>
      <w:r>
        <w:rPr>
          <w:spacing w:val="4"/>
          <w:w w:val="105"/>
          <w:sz w:val="13"/>
        </w:rPr>
        <w:t> </w:t>
      </w:r>
      <w:r>
        <w:rPr>
          <w:w w:val="105"/>
          <w:sz w:val="13"/>
        </w:rPr>
        <w:t>the</w:t>
      </w:r>
      <w:r>
        <w:rPr>
          <w:spacing w:val="4"/>
          <w:w w:val="105"/>
          <w:sz w:val="13"/>
        </w:rPr>
        <w:t> </w:t>
      </w:r>
      <w:r>
        <w:rPr>
          <w:w w:val="105"/>
          <w:sz w:val="13"/>
        </w:rPr>
        <w:t>partners</w:t>
      </w:r>
      <w:r>
        <w:rPr>
          <w:spacing w:val="4"/>
          <w:w w:val="105"/>
          <w:sz w:val="13"/>
        </w:rPr>
        <w:t> </w:t>
      </w:r>
      <w:r>
        <w:rPr>
          <w:w w:val="105"/>
          <w:sz w:val="13"/>
        </w:rPr>
        <w:t>should</w:t>
      </w:r>
      <w:r>
        <w:rPr>
          <w:spacing w:val="4"/>
          <w:w w:val="105"/>
          <w:sz w:val="13"/>
        </w:rPr>
        <w:t> </w:t>
      </w:r>
      <w:r>
        <w:rPr>
          <w:w w:val="105"/>
          <w:sz w:val="13"/>
        </w:rPr>
        <w:t>share</w:t>
      </w:r>
      <w:r>
        <w:rPr>
          <w:spacing w:val="5"/>
          <w:w w:val="105"/>
          <w:sz w:val="13"/>
        </w:rPr>
        <w:t> </w:t>
      </w:r>
      <w:r>
        <w:rPr>
          <w:w w:val="105"/>
          <w:sz w:val="13"/>
        </w:rPr>
        <w:t>the</w:t>
      </w:r>
      <w:r>
        <w:rPr>
          <w:spacing w:val="4"/>
          <w:w w:val="105"/>
          <w:sz w:val="13"/>
        </w:rPr>
        <w:t> </w:t>
      </w:r>
      <w:r>
        <w:rPr>
          <w:w w:val="105"/>
          <w:sz w:val="13"/>
        </w:rPr>
        <w:t>statutory</w:t>
      </w:r>
      <w:r>
        <w:rPr>
          <w:spacing w:val="4"/>
          <w:w w:val="105"/>
          <w:sz w:val="13"/>
        </w:rPr>
        <w:t> </w:t>
      </w:r>
      <w:r>
        <w:rPr>
          <w:w w:val="105"/>
          <w:sz w:val="13"/>
        </w:rPr>
        <w:t>legacy</w:t>
      </w:r>
      <w:r>
        <w:rPr>
          <w:spacing w:val="4"/>
          <w:w w:val="105"/>
          <w:sz w:val="13"/>
        </w:rPr>
        <w:t> </w:t>
      </w:r>
      <w:r>
        <w:rPr>
          <w:w w:val="105"/>
          <w:sz w:val="13"/>
        </w:rPr>
        <w:t>that</w:t>
      </w:r>
      <w:r>
        <w:rPr>
          <w:spacing w:val="4"/>
          <w:w w:val="105"/>
          <w:sz w:val="13"/>
        </w:rPr>
        <w:t> </w:t>
      </w:r>
      <w:r>
        <w:rPr>
          <w:w w:val="105"/>
          <w:sz w:val="13"/>
        </w:rPr>
        <w:t>one</w:t>
      </w:r>
      <w:r>
        <w:rPr>
          <w:spacing w:val="4"/>
          <w:w w:val="105"/>
          <w:sz w:val="13"/>
        </w:rPr>
        <w:t> </w:t>
      </w:r>
      <w:r>
        <w:rPr>
          <w:w w:val="105"/>
          <w:sz w:val="13"/>
        </w:rPr>
        <w:t>partner</w:t>
      </w:r>
      <w:r>
        <w:rPr>
          <w:spacing w:val="5"/>
          <w:w w:val="105"/>
          <w:sz w:val="13"/>
        </w:rPr>
        <w:t> </w:t>
      </w:r>
      <w:r>
        <w:rPr>
          <w:w w:val="105"/>
          <w:sz w:val="13"/>
        </w:rPr>
        <w:t>would</w:t>
      </w:r>
      <w:r>
        <w:rPr>
          <w:spacing w:val="4"/>
          <w:w w:val="105"/>
          <w:sz w:val="13"/>
        </w:rPr>
        <w:t> </w:t>
      </w:r>
      <w:r>
        <w:rPr>
          <w:w w:val="105"/>
          <w:sz w:val="13"/>
        </w:rPr>
        <w:t>have</w:t>
      </w:r>
      <w:r>
        <w:rPr>
          <w:spacing w:val="4"/>
          <w:w w:val="105"/>
          <w:sz w:val="13"/>
        </w:rPr>
        <w:t> </w:t>
      </w:r>
      <w:r>
        <w:rPr>
          <w:w w:val="105"/>
          <w:sz w:val="13"/>
        </w:rPr>
        <w:t>received.</w:t>
      </w:r>
    </w:p>
    <w:p>
      <w:pPr>
        <w:pStyle w:val="ListParagraph"/>
        <w:numPr>
          <w:ilvl w:val="0"/>
          <w:numId w:val="58"/>
        </w:numPr>
        <w:tabs>
          <w:tab w:pos="2380" w:val="left" w:leader="none"/>
          <w:tab w:pos="2382" w:val="left" w:leader="none"/>
        </w:tabs>
        <w:spacing w:line="240" w:lineRule="auto" w:before="3" w:after="0"/>
        <w:ind w:left="2381" w:right="0" w:hanging="794"/>
        <w:jc w:val="left"/>
        <w:rPr>
          <w:sz w:val="13"/>
        </w:rPr>
      </w:pPr>
      <w:r>
        <w:rPr>
          <w:w w:val="105"/>
          <w:sz w:val="13"/>
        </w:rPr>
        <w:t>National</w:t>
      </w:r>
      <w:r>
        <w:rPr>
          <w:spacing w:val="4"/>
          <w:w w:val="105"/>
          <w:sz w:val="13"/>
        </w:rPr>
        <w:t> </w:t>
      </w:r>
      <w:r>
        <w:rPr>
          <w:w w:val="105"/>
          <w:sz w:val="13"/>
        </w:rPr>
        <w:t>Committee</w:t>
      </w:r>
      <w:r>
        <w:rPr>
          <w:spacing w:val="5"/>
          <w:w w:val="105"/>
          <w:sz w:val="13"/>
        </w:rPr>
        <w:t> </w:t>
      </w:r>
      <w:r>
        <w:rPr>
          <w:w w:val="105"/>
          <w:sz w:val="13"/>
        </w:rPr>
        <w:t>for</w:t>
      </w:r>
      <w:r>
        <w:rPr>
          <w:spacing w:val="5"/>
          <w:w w:val="105"/>
          <w:sz w:val="13"/>
        </w:rPr>
        <w:t> </w:t>
      </w:r>
      <w:r>
        <w:rPr>
          <w:w w:val="105"/>
          <w:sz w:val="13"/>
        </w:rPr>
        <w:t>Uniform</w:t>
      </w:r>
      <w:r>
        <w:rPr>
          <w:spacing w:val="5"/>
          <w:w w:val="105"/>
          <w:sz w:val="13"/>
        </w:rPr>
        <w:t> </w:t>
      </w:r>
      <w:r>
        <w:rPr>
          <w:w w:val="105"/>
          <w:sz w:val="13"/>
        </w:rPr>
        <w:t>Succession</w:t>
      </w:r>
      <w:r>
        <w:rPr>
          <w:spacing w:val="5"/>
          <w:w w:val="105"/>
          <w:sz w:val="13"/>
        </w:rPr>
        <w:t> </w:t>
      </w:r>
      <w:r>
        <w:rPr>
          <w:w w:val="105"/>
          <w:sz w:val="13"/>
        </w:rPr>
        <w:t>Laws,</w:t>
      </w:r>
      <w:r>
        <w:rPr>
          <w:spacing w:val="4"/>
          <w:w w:val="105"/>
          <w:sz w:val="13"/>
        </w:rPr>
        <w:t> </w:t>
      </w:r>
      <w:r>
        <w:rPr>
          <w:w w:val="105"/>
          <w:sz w:val="13"/>
        </w:rPr>
        <w:t>above</w:t>
      </w:r>
      <w:r>
        <w:rPr>
          <w:spacing w:val="5"/>
          <w:w w:val="105"/>
          <w:sz w:val="13"/>
        </w:rPr>
        <w:t> </w:t>
      </w:r>
      <w:r>
        <w:rPr>
          <w:w w:val="105"/>
          <w:sz w:val="13"/>
        </w:rPr>
        <w:t>n</w:t>
      </w:r>
      <w:r>
        <w:rPr>
          <w:spacing w:val="5"/>
          <w:w w:val="105"/>
          <w:sz w:val="13"/>
        </w:rPr>
        <w:t> </w:t>
      </w:r>
      <w:r>
        <w:rPr>
          <w:w w:val="105"/>
          <w:sz w:val="13"/>
        </w:rPr>
        <w:t>10,</w:t>
      </w:r>
      <w:r>
        <w:rPr>
          <w:spacing w:val="5"/>
          <w:w w:val="105"/>
          <w:sz w:val="13"/>
        </w:rPr>
        <w:t> </w:t>
      </w:r>
      <w:r>
        <w:rPr>
          <w:w w:val="105"/>
          <w:sz w:val="13"/>
        </w:rPr>
        <w:t>21</w:t>
      </w:r>
      <w:r>
        <w:rPr>
          <w:spacing w:val="5"/>
          <w:w w:val="105"/>
          <w:sz w:val="13"/>
        </w:rPr>
        <w:t> </w:t>
      </w:r>
      <w:r>
        <w:rPr>
          <w:w w:val="105"/>
          <w:sz w:val="13"/>
        </w:rPr>
        <w:t>recommendation</w:t>
      </w:r>
      <w:r>
        <w:rPr>
          <w:spacing w:val="5"/>
          <w:w w:val="105"/>
          <w:sz w:val="13"/>
        </w:rPr>
        <w:t> </w:t>
      </w:r>
      <w:r>
        <w:rPr>
          <w:w w:val="105"/>
          <w:sz w:val="13"/>
        </w:rPr>
        <w:t>6.</w:t>
      </w:r>
    </w:p>
    <w:p>
      <w:pPr>
        <w:pStyle w:val="ListParagraph"/>
        <w:numPr>
          <w:ilvl w:val="0"/>
          <w:numId w:val="58"/>
        </w:numPr>
        <w:tabs>
          <w:tab w:pos="2380" w:val="left" w:leader="none"/>
          <w:tab w:pos="2382" w:val="left" w:leader="none"/>
        </w:tabs>
        <w:spacing w:line="240" w:lineRule="auto" w:before="1" w:after="0"/>
        <w:ind w:left="2381" w:right="0" w:hanging="794"/>
        <w:jc w:val="left"/>
        <w:rPr>
          <w:sz w:val="13"/>
        </w:rPr>
      </w:pPr>
      <w:r>
        <w:rPr>
          <w:i/>
          <w:w w:val="105"/>
          <w:sz w:val="13"/>
        </w:rPr>
        <w:t>Succession</w:t>
      </w:r>
      <w:r>
        <w:rPr>
          <w:i/>
          <w:spacing w:val="3"/>
          <w:w w:val="105"/>
          <w:sz w:val="13"/>
        </w:rPr>
        <w:t> </w:t>
      </w:r>
      <w:r>
        <w:rPr>
          <w:i/>
          <w:w w:val="105"/>
          <w:sz w:val="13"/>
        </w:rPr>
        <w:t>Act</w:t>
      </w:r>
      <w:r>
        <w:rPr>
          <w:i/>
          <w:spacing w:val="4"/>
          <w:w w:val="105"/>
          <w:sz w:val="13"/>
        </w:rPr>
        <w:t> </w:t>
      </w:r>
      <w:r>
        <w:rPr>
          <w:i/>
          <w:w w:val="105"/>
          <w:sz w:val="13"/>
        </w:rPr>
        <w:t>2006</w:t>
      </w:r>
      <w:r>
        <w:rPr>
          <w:i/>
          <w:spacing w:val="4"/>
          <w:w w:val="105"/>
          <w:sz w:val="13"/>
        </w:rPr>
        <w:t> </w:t>
      </w:r>
      <w:r>
        <w:rPr>
          <w:spacing w:val="3"/>
          <w:w w:val="105"/>
          <w:sz w:val="13"/>
        </w:rPr>
        <w:t>(NSW)</w:t>
      </w:r>
      <w:r>
        <w:rPr>
          <w:spacing w:val="5"/>
          <w:w w:val="105"/>
          <w:sz w:val="13"/>
        </w:rPr>
        <w:t> </w:t>
      </w:r>
      <w:r>
        <w:rPr>
          <w:w w:val="105"/>
          <w:sz w:val="13"/>
        </w:rPr>
        <w:t>s</w:t>
      </w:r>
      <w:r>
        <w:rPr>
          <w:spacing w:val="5"/>
          <w:w w:val="105"/>
          <w:sz w:val="13"/>
        </w:rPr>
        <w:t> </w:t>
      </w:r>
      <w:r>
        <w:rPr>
          <w:spacing w:val="2"/>
          <w:w w:val="105"/>
          <w:sz w:val="13"/>
        </w:rPr>
        <w:t>106(1)(b);</w:t>
      </w:r>
      <w:r>
        <w:rPr>
          <w:spacing w:val="4"/>
          <w:w w:val="105"/>
          <w:sz w:val="13"/>
        </w:rPr>
        <w:t> </w:t>
      </w:r>
      <w:r>
        <w:rPr>
          <w:i/>
          <w:w w:val="105"/>
          <w:sz w:val="13"/>
        </w:rPr>
        <w:t>Intestacy</w:t>
      </w:r>
      <w:r>
        <w:rPr>
          <w:i/>
          <w:spacing w:val="4"/>
          <w:w w:val="105"/>
          <w:sz w:val="13"/>
        </w:rPr>
        <w:t> </w:t>
      </w:r>
      <w:r>
        <w:rPr>
          <w:i/>
          <w:w w:val="105"/>
          <w:sz w:val="13"/>
        </w:rPr>
        <w:t>Act</w:t>
      </w:r>
      <w:r>
        <w:rPr>
          <w:i/>
          <w:spacing w:val="3"/>
          <w:w w:val="105"/>
          <w:sz w:val="13"/>
        </w:rPr>
        <w:t> </w:t>
      </w:r>
      <w:r>
        <w:rPr>
          <w:i/>
          <w:spacing w:val="-3"/>
          <w:w w:val="105"/>
          <w:sz w:val="13"/>
        </w:rPr>
        <w:t>2010</w:t>
      </w:r>
      <w:r>
        <w:rPr>
          <w:i/>
          <w:spacing w:val="5"/>
          <w:w w:val="105"/>
          <w:sz w:val="13"/>
        </w:rPr>
        <w:t> </w:t>
      </w:r>
      <w:r>
        <w:rPr>
          <w:w w:val="105"/>
          <w:sz w:val="13"/>
        </w:rPr>
        <w:t>(Tas)</w:t>
      </w:r>
      <w:r>
        <w:rPr>
          <w:spacing w:val="5"/>
          <w:w w:val="105"/>
          <w:sz w:val="13"/>
        </w:rPr>
        <w:t> </w:t>
      </w:r>
      <w:r>
        <w:rPr>
          <w:w w:val="105"/>
          <w:sz w:val="13"/>
        </w:rPr>
        <w:t>s</w:t>
      </w:r>
      <w:r>
        <w:rPr>
          <w:spacing w:val="4"/>
          <w:w w:val="105"/>
          <w:sz w:val="13"/>
        </w:rPr>
        <w:t> </w:t>
      </w:r>
      <w:r>
        <w:rPr>
          <w:spacing w:val="2"/>
          <w:w w:val="105"/>
          <w:sz w:val="13"/>
        </w:rPr>
        <w:t>7(1)(b).</w:t>
      </w:r>
    </w:p>
    <w:p>
      <w:pPr>
        <w:pStyle w:val="ListParagraph"/>
        <w:numPr>
          <w:ilvl w:val="0"/>
          <w:numId w:val="58"/>
        </w:numPr>
        <w:tabs>
          <w:tab w:pos="2381" w:val="left" w:leader="none"/>
          <w:tab w:pos="2382" w:val="left" w:leader="none"/>
        </w:tabs>
        <w:spacing w:line="240" w:lineRule="auto" w:before="1" w:after="0"/>
        <w:ind w:left="2381" w:right="0" w:hanging="794"/>
        <w:jc w:val="left"/>
        <w:rPr>
          <w:sz w:val="13"/>
        </w:rPr>
      </w:pPr>
      <w:r>
        <w:rPr/>
        <w:pict>
          <v:shape style="position:absolute;margin-left:549.089478pt;margin-top:2.868966pt;width:13.05pt;height:14.25pt;mso-position-horizontal-relative:page;mso-position-vertical-relative:paragraph;z-index:6496" type="#_x0000_t202" filled="false" stroked="false">
            <v:textbox inset="0,0,0,0">
              <w:txbxContent>
                <w:p>
                  <w:pPr>
                    <w:spacing w:line="284" w:lineRule="exact" w:before="0"/>
                    <w:ind w:left="0" w:right="0" w:firstLine="0"/>
                    <w:jc w:val="left"/>
                    <w:rPr>
                      <w:b/>
                      <w:sz w:val="24"/>
                    </w:rPr>
                  </w:pPr>
                  <w:r>
                    <w:rPr>
                      <w:b/>
                      <w:color w:val="EC5A4F"/>
                      <w:spacing w:val="-4"/>
                      <w:w w:val="110"/>
                      <w:sz w:val="24"/>
                    </w:rPr>
                    <w:t>71</w:t>
                  </w:r>
                </w:p>
              </w:txbxContent>
            </v:textbox>
            <w10:wrap type="none"/>
          </v:shape>
        </w:pict>
      </w:r>
      <w:r>
        <w:rPr>
          <w:sz w:val="13"/>
        </w:rPr>
        <w:t>Ibid.</w:t>
      </w:r>
    </w:p>
    <w:p>
      <w:pPr>
        <w:pStyle w:val="ListParagraph"/>
        <w:numPr>
          <w:ilvl w:val="0"/>
          <w:numId w:val="58"/>
        </w:numPr>
        <w:tabs>
          <w:tab w:pos="2380" w:val="left" w:leader="none"/>
          <w:tab w:pos="2382" w:val="left" w:leader="none"/>
        </w:tabs>
        <w:spacing w:line="240" w:lineRule="auto" w:before="2" w:after="0"/>
        <w:ind w:left="2381" w:right="0" w:hanging="794"/>
        <w:jc w:val="left"/>
        <w:rPr>
          <w:sz w:val="13"/>
        </w:rPr>
      </w:pPr>
      <w:r>
        <w:rPr>
          <w:i/>
          <w:w w:val="105"/>
          <w:sz w:val="13"/>
        </w:rPr>
        <w:t>Succession</w:t>
      </w:r>
      <w:r>
        <w:rPr>
          <w:i/>
          <w:spacing w:val="3"/>
          <w:w w:val="105"/>
          <w:sz w:val="13"/>
        </w:rPr>
        <w:t> </w:t>
      </w:r>
      <w:r>
        <w:rPr>
          <w:i/>
          <w:w w:val="105"/>
          <w:sz w:val="13"/>
        </w:rPr>
        <w:t>Act</w:t>
      </w:r>
      <w:r>
        <w:rPr>
          <w:i/>
          <w:spacing w:val="4"/>
          <w:w w:val="105"/>
          <w:sz w:val="13"/>
        </w:rPr>
        <w:t> </w:t>
      </w:r>
      <w:r>
        <w:rPr>
          <w:i/>
          <w:w w:val="105"/>
          <w:sz w:val="13"/>
        </w:rPr>
        <w:t>2006</w:t>
      </w:r>
      <w:r>
        <w:rPr>
          <w:i/>
          <w:spacing w:val="5"/>
          <w:w w:val="105"/>
          <w:sz w:val="13"/>
        </w:rPr>
        <w:t> </w:t>
      </w:r>
      <w:r>
        <w:rPr>
          <w:spacing w:val="3"/>
          <w:w w:val="105"/>
          <w:sz w:val="13"/>
        </w:rPr>
        <w:t>(NSW)</w:t>
      </w:r>
      <w:r>
        <w:rPr>
          <w:spacing w:val="4"/>
          <w:w w:val="105"/>
          <w:sz w:val="13"/>
        </w:rPr>
        <w:t> </w:t>
      </w:r>
      <w:r>
        <w:rPr>
          <w:w w:val="105"/>
          <w:sz w:val="13"/>
        </w:rPr>
        <w:t>s</w:t>
      </w:r>
      <w:r>
        <w:rPr>
          <w:spacing w:val="5"/>
          <w:w w:val="105"/>
          <w:sz w:val="13"/>
        </w:rPr>
        <w:t> </w:t>
      </w:r>
      <w:r>
        <w:rPr>
          <w:spacing w:val="3"/>
          <w:w w:val="105"/>
          <w:sz w:val="13"/>
        </w:rPr>
        <w:t>106(5);</w:t>
      </w:r>
      <w:r>
        <w:rPr>
          <w:spacing w:val="5"/>
          <w:w w:val="105"/>
          <w:sz w:val="13"/>
        </w:rPr>
        <w:t> </w:t>
      </w:r>
      <w:r>
        <w:rPr>
          <w:i/>
          <w:w w:val="105"/>
          <w:sz w:val="13"/>
        </w:rPr>
        <w:t>Intestacy</w:t>
      </w:r>
      <w:r>
        <w:rPr>
          <w:i/>
          <w:spacing w:val="3"/>
          <w:w w:val="105"/>
          <w:sz w:val="13"/>
        </w:rPr>
        <w:t> </w:t>
      </w:r>
      <w:r>
        <w:rPr>
          <w:i/>
          <w:w w:val="105"/>
          <w:sz w:val="13"/>
        </w:rPr>
        <w:t>Act</w:t>
      </w:r>
      <w:r>
        <w:rPr>
          <w:i/>
          <w:spacing w:val="4"/>
          <w:w w:val="105"/>
          <w:sz w:val="13"/>
        </w:rPr>
        <w:t> </w:t>
      </w:r>
      <w:r>
        <w:rPr>
          <w:i/>
          <w:spacing w:val="-3"/>
          <w:w w:val="105"/>
          <w:sz w:val="13"/>
        </w:rPr>
        <w:t>2010</w:t>
      </w:r>
      <w:r>
        <w:rPr>
          <w:i/>
          <w:spacing w:val="5"/>
          <w:w w:val="105"/>
          <w:sz w:val="13"/>
        </w:rPr>
        <w:t> </w:t>
      </w:r>
      <w:r>
        <w:rPr>
          <w:w w:val="105"/>
          <w:sz w:val="13"/>
        </w:rPr>
        <w:t>(Tas)</w:t>
      </w:r>
      <w:r>
        <w:rPr>
          <w:spacing w:val="4"/>
          <w:w w:val="105"/>
          <w:sz w:val="13"/>
        </w:rPr>
        <w:t> </w:t>
      </w:r>
      <w:r>
        <w:rPr>
          <w:w w:val="105"/>
          <w:sz w:val="13"/>
        </w:rPr>
        <w:t>s</w:t>
      </w:r>
      <w:r>
        <w:rPr>
          <w:spacing w:val="5"/>
          <w:w w:val="105"/>
          <w:sz w:val="13"/>
        </w:rPr>
        <w:t> </w:t>
      </w:r>
      <w:r>
        <w:rPr>
          <w:spacing w:val="2"/>
          <w:w w:val="105"/>
          <w:sz w:val="13"/>
        </w:rPr>
        <w:t>7(5).</w:t>
      </w:r>
    </w:p>
    <w:p>
      <w:pPr>
        <w:spacing w:after="0" w:line="240" w:lineRule="auto"/>
        <w:jc w:val="left"/>
        <w:rPr>
          <w:sz w:val="13"/>
        </w:rPr>
        <w:sectPr>
          <w:pgSz w:w="11910" w:h="16840"/>
          <w:pgMar w:header="805" w:footer="0" w:top="1360" w:bottom="280" w:left="0" w:right="0"/>
        </w:sectPr>
      </w:pPr>
    </w:p>
    <w:p>
      <w:pPr>
        <w:pStyle w:val="BodyText"/>
        <w:spacing w:before="9"/>
        <w:rPr>
          <w:sz w:val="22"/>
        </w:rPr>
      </w:pPr>
    </w:p>
    <w:p>
      <w:pPr>
        <w:pStyle w:val="Heading6"/>
        <w:spacing w:before="100"/>
      </w:pPr>
      <w:bookmarkStart w:name="The partner’s right to elect to acquire " w:id="66"/>
      <w:bookmarkEnd w:id="66"/>
      <w:r>
        <w:rPr/>
      </w:r>
      <w:r>
        <w:rPr>
          <w:w w:val="115"/>
        </w:rPr>
        <w:t>The partner’s share of the remainder</w:t>
      </w:r>
    </w:p>
    <w:p>
      <w:pPr>
        <w:pStyle w:val="ListParagraph"/>
        <w:numPr>
          <w:ilvl w:val="1"/>
          <w:numId w:val="22"/>
        </w:numPr>
        <w:tabs>
          <w:tab w:pos="2381" w:val="left" w:leader="none"/>
          <w:tab w:pos="2382" w:val="left" w:leader="none"/>
        </w:tabs>
        <w:spacing w:line="242" w:lineRule="auto" w:before="151" w:after="0"/>
        <w:ind w:left="2381" w:right="1725" w:hanging="794"/>
        <w:jc w:val="left"/>
        <w:rPr>
          <w:sz w:val="12"/>
        </w:rPr>
      </w:pPr>
      <w:r>
        <w:rPr>
          <w:w w:val="105"/>
          <w:sz w:val="21"/>
        </w:rPr>
        <w:t>Most</w:t>
      </w:r>
      <w:r>
        <w:rPr>
          <w:spacing w:val="-12"/>
          <w:w w:val="105"/>
          <w:sz w:val="21"/>
        </w:rPr>
        <w:t> </w:t>
      </w:r>
      <w:r>
        <w:rPr>
          <w:spacing w:val="-3"/>
          <w:w w:val="105"/>
          <w:sz w:val="21"/>
        </w:rPr>
        <w:t>submissions</w:t>
      </w:r>
      <w:r>
        <w:rPr>
          <w:spacing w:val="-11"/>
          <w:w w:val="105"/>
          <w:sz w:val="21"/>
        </w:rPr>
        <w:t> </w:t>
      </w:r>
      <w:r>
        <w:rPr>
          <w:w w:val="105"/>
          <w:sz w:val="21"/>
        </w:rPr>
        <w:t>also</w:t>
      </w:r>
      <w:r>
        <w:rPr>
          <w:spacing w:val="-11"/>
          <w:w w:val="105"/>
          <w:sz w:val="21"/>
        </w:rPr>
        <w:t> </w:t>
      </w:r>
      <w:r>
        <w:rPr>
          <w:w w:val="105"/>
          <w:sz w:val="21"/>
        </w:rPr>
        <w:t>supported</w:t>
      </w:r>
      <w:r>
        <w:rPr>
          <w:spacing w:val="-11"/>
          <w:w w:val="105"/>
          <w:sz w:val="21"/>
        </w:rPr>
        <w:t> </w:t>
      </w:r>
      <w:r>
        <w:rPr>
          <w:spacing w:val="-3"/>
          <w:w w:val="105"/>
          <w:sz w:val="21"/>
        </w:rPr>
        <w:t>increasing</w:t>
      </w:r>
      <w:r>
        <w:rPr>
          <w:spacing w:val="-12"/>
          <w:w w:val="105"/>
          <w:sz w:val="21"/>
        </w:rPr>
        <w:t> </w:t>
      </w:r>
      <w:r>
        <w:rPr>
          <w:w w:val="105"/>
          <w:sz w:val="21"/>
        </w:rPr>
        <w:t>the</w:t>
      </w:r>
      <w:r>
        <w:rPr>
          <w:spacing w:val="-11"/>
          <w:w w:val="105"/>
          <w:sz w:val="21"/>
        </w:rPr>
        <w:t> </w:t>
      </w:r>
      <w:r>
        <w:rPr>
          <w:w w:val="105"/>
          <w:sz w:val="21"/>
        </w:rPr>
        <w:t>deceased</w:t>
      </w:r>
      <w:r>
        <w:rPr>
          <w:spacing w:val="-11"/>
          <w:w w:val="105"/>
          <w:sz w:val="21"/>
        </w:rPr>
        <w:t> </w:t>
      </w:r>
      <w:r>
        <w:rPr>
          <w:spacing w:val="-3"/>
          <w:w w:val="105"/>
          <w:sz w:val="21"/>
        </w:rPr>
        <w:t>person’s</w:t>
      </w:r>
      <w:r>
        <w:rPr>
          <w:spacing w:val="-11"/>
          <w:w w:val="105"/>
          <w:sz w:val="21"/>
        </w:rPr>
        <w:t> </w:t>
      </w:r>
      <w:r>
        <w:rPr>
          <w:w w:val="105"/>
          <w:sz w:val="21"/>
        </w:rPr>
        <w:t>partner’s</w:t>
      </w:r>
      <w:r>
        <w:rPr>
          <w:spacing w:val="-11"/>
          <w:w w:val="105"/>
          <w:sz w:val="21"/>
        </w:rPr>
        <w:t> </w:t>
      </w:r>
      <w:r>
        <w:rPr>
          <w:spacing w:val="-3"/>
          <w:w w:val="105"/>
          <w:sz w:val="21"/>
        </w:rPr>
        <w:t>share</w:t>
      </w:r>
      <w:r>
        <w:rPr>
          <w:spacing w:val="-12"/>
          <w:w w:val="105"/>
          <w:sz w:val="21"/>
        </w:rPr>
        <w:t> </w:t>
      </w:r>
      <w:r>
        <w:rPr>
          <w:w w:val="105"/>
          <w:sz w:val="21"/>
        </w:rPr>
        <w:t>of</w:t>
      </w:r>
      <w:r>
        <w:rPr>
          <w:spacing w:val="-11"/>
          <w:w w:val="105"/>
          <w:sz w:val="21"/>
        </w:rPr>
        <w:t> </w:t>
      </w:r>
      <w:r>
        <w:rPr>
          <w:w w:val="105"/>
          <w:sz w:val="21"/>
        </w:rPr>
        <w:t>the </w:t>
      </w:r>
      <w:r>
        <w:rPr>
          <w:spacing w:val="-3"/>
          <w:w w:val="105"/>
          <w:sz w:val="21"/>
        </w:rPr>
        <w:t>remainder </w:t>
      </w:r>
      <w:r>
        <w:rPr>
          <w:w w:val="105"/>
          <w:sz w:val="21"/>
        </w:rPr>
        <w:t>of the </w:t>
      </w:r>
      <w:r>
        <w:rPr>
          <w:spacing w:val="-3"/>
          <w:w w:val="105"/>
          <w:sz w:val="21"/>
        </w:rPr>
        <w:t>intestate estate, </w:t>
      </w:r>
      <w:r>
        <w:rPr>
          <w:w w:val="105"/>
          <w:sz w:val="21"/>
        </w:rPr>
        <w:t>after payment of the statutory </w:t>
      </w:r>
      <w:r>
        <w:rPr>
          <w:spacing w:val="-3"/>
          <w:w w:val="105"/>
          <w:sz w:val="21"/>
        </w:rPr>
        <w:t>legacy, to </w:t>
      </w:r>
      <w:r>
        <w:rPr>
          <w:w w:val="105"/>
          <w:sz w:val="21"/>
        </w:rPr>
        <w:t>one</w:t>
      </w:r>
      <w:r>
        <w:rPr>
          <w:spacing w:val="-25"/>
          <w:w w:val="105"/>
          <w:sz w:val="21"/>
        </w:rPr>
        <w:t> </w:t>
      </w:r>
      <w:r>
        <w:rPr>
          <w:spacing w:val="-7"/>
          <w:w w:val="105"/>
          <w:sz w:val="21"/>
        </w:rPr>
        <w:t>half.</w:t>
      </w:r>
      <w:r>
        <w:rPr>
          <w:spacing w:val="-7"/>
          <w:w w:val="105"/>
          <w:position w:val="7"/>
          <w:sz w:val="12"/>
        </w:rPr>
        <w:t>127</w:t>
      </w:r>
    </w:p>
    <w:p>
      <w:pPr>
        <w:pStyle w:val="BodyText"/>
        <w:spacing w:line="242" w:lineRule="auto" w:before="2"/>
        <w:ind w:left="2381" w:right="1826"/>
        <w:rPr>
          <w:sz w:val="12"/>
        </w:rPr>
      </w:pPr>
      <w:r>
        <w:rPr/>
        <w:t>It was </w:t>
      </w:r>
      <w:r>
        <w:rPr>
          <w:spacing w:val="-3"/>
        </w:rPr>
        <w:t>noted that </w:t>
      </w:r>
      <w:r>
        <w:rPr/>
        <w:t>this would be </w:t>
      </w:r>
      <w:r>
        <w:rPr>
          <w:spacing w:val="-3"/>
        </w:rPr>
        <w:t>consistent </w:t>
      </w:r>
      <w:r>
        <w:rPr/>
        <w:t>with the </w:t>
      </w:r>
      <w:r>
        <w:rPr>
          <w:spacing w:val="-3"/>
        </w:rPr>
        <w:t>way that </w:t>
      </w:r>
      <w:r>
        <w:rPr/>
        <w:t>people draft their </w:t>
      </w:r>
      <w:r>
        <w:rPr>
          <w:spacing w:val="-3"/>
        </w:rPr>
        <w:t>wills </w:t>
      </w:r>
      <w:r>
        <w:rPr/>
        <w:t>and would provide the deceased </w:t>
      </w:r>
      <w:r>
        <w:rPr>
          <w:spacing w:val="-3"/>
        </w:rPr>
        <w:t>person’s </w:t>
      </w:r>
      <w:r>
        <w:rPr/>
        <w:t>partner with </w:t>
      </w:r>
      <w:r>
        <w:rPr>
          <w:spacing w:val="-3"/>
        </w:rPr>
        <w:t>greater resources to  purchase  </w:t>
      </w:r>
      <w:r>
        <w:rPr/>
        <w:t>the </w:t>
      </w:r>
      <w:r>
        <w:rPr>
          <w:spacing w:val="-3"/>
        </w:rPr>
        <w:t>family</w:t>
      </w:r>
      <w:r>
        <w:rPr>
          <w:spacing w:val="8"/>
        </w:rPr>
        <w:t> </w:t>
      </w:r>
      <w:r>
        <w:rPr>
          <w:spacing w:val="-6"/>
        </w:rPr>
        <w:t>home.</w:t>
      </w:r>
      <w:r>
        <w:rPr>
          <w:spacing w:val="-6"/>
          <w:position w:val="7"/>
          <w:sz w:val="12"/>
        </w:rPr>
        <w:t>128</w:t>
      </w:r>
    </w:p>
    <w:p>
      <w:pPr>
        <w:pStyle w:val="ListParagraph"/>
        <w:numPr>
          <w:ilvl w:val="1"/>
          <w:numId w:val="22"/>
        </w:numPr>
        <w:tabs>
          <w:tab w:pos="2381" w:val="left" w:leader="none"/>
          <w:tab w:pos="2382" w:val="left" w:leader="none"/>
        </w:tabs>
        <w:spacing w:line="242" w:lineRule="auto" w:before="124" w:after="0"/>
        <w:ind w:left="2381" w:right="1806" w:hanging="794"/>
        <w:jc w:val="left"/>
        <w:rPr>
          <w:sz w:val="21"/>
        </w:rPr>
      </w:pPr>
      <w:r>
        <w:rPr>
          <w:spacing w:val="-4"/>
          <w:w w:val="105"/>
          <w:sz w:val="21"/>
        </w:rPr>
        <w:t>However, </w:t>
      </w:r>
      <w:r>
        <w:rPr>
          <w:w w:val="105"/>
          <w:sz w:val="21"/>
        </w:rPr>
        <w:t>one </w:t>
      </w:r>
      <w:r>
        <w:rPr>
          <w:spacing w:val="-3"/>
          <w:w w:val="105"/>
          <w:sz w:val="21"/>
        </w:rPr>
        <w:t>submission considered that </w:t>
      </w:r>
      <w:r>
        <w:rPr>
          <w:w w:val="105"/>
          <w:sz w:val="21"/>
        </w:rPr>
        <w:t>the partner’s </w:t>
      </w:r>
      <w:r>
        <w:rPr>
          <w:spacing w:val="-3"/>
          <w:w w:val="105"/>
          <w:sz w:val="21"/>
        </w:rPr>
        <w:t>share </w:t>
      </w:r>
      <w:r>
        <w:rPr>
          <w:w w:val="105"/>
          <w:sz w:val="21"/>
        </w:rPr>
        <w:t>of the </w:t>
      </w:r>
      <w:r>
        <w:rPr>
          <w:spacing w:val="-4"/>
          <w:w w:val="105"/>
          <w:sz w:val="21"/>
        </w:rPr>
        <w:t>remainder, </w:t>
      </w:r>
      <w:r>
        <w:rPr>
          <w:w w:val="105"/>
          <w:sz w:val="21"/>
        </w:rPr>
        <w:t>as </w:t>
      </w:r>
      <w:r>
        <w:rPr>
          <w:spacing w:val="-3"/>
          <w:w w:val="105"/>
          <w:sz w:val="21"/>
        </w:rPr>
        <w:t>well </w:t>
      </w:r>
      <w:r>
        <w:rPr>
          <w:w w:val="105"/>
          <w:sz w:val="21"/>
        </w:rPr>
        <w:t>as the statutory </w:t>
      </w:r>
      <w:r>
        <w:rPr>
          <w:spacing w:val="-3"/>
          <w:w w:val="105"/>
          <w:sz w:val="21"/>
        </w:rPr>
        <w:t>legacy, </w:t>
      </w:r>
      <w:r>
        <w:rPr>
          <w:w w:val="105"/>
          <w:sz w:val="21"/>
        </w:rPr>
        <w:t>should be </w:t>
      </w:r>
      <w:r>
        <w:rPr>
          <w:spacing w:val="-4"/>
          <w:w w:val="105"/>
          <w:sz w:val="21"/>
        </w:rPr>
        <w:t>linked </w:t>
      </w:r>
      <w:r>
        <w:rPr>
          <w:spacing w:val="-3"/>
          <w:w w:val="105"/>
          <w:sz w:val="21"/>
        </w:rPr>
        <w:t>to </w:t>
      </w:r>
      <w:r>
        <w:rPr>
          <w:w w:val="105"/>
          <w:sz w:val="21"/>
        </w:rPr>
        <w:t>the </w:t>
      </w:r>
      <w:r>
        <w:rPr>
          <w:spacing w:val="-3"/>
          <w:w w:val="105"/>
          <w:sz w:val="21"/>
        </w:rPr>
        <w:t>size </w:t>
      </w:r>
      <w:r>
        <w:rPr>
          <w:w w:val="105"/>
          <w:sz w:val="21"/>
        </w:rPr>
        <w:t>of the </w:t>
      </w:r>
      <w:r>
        <w:rPr>
          <w:spacing w:val="-5"/>
          <w:w w:val="105"/>
          <w:sz w:val="21"/>
        </w:rPr>
        <w:t>estate.</w:t>
      </w:r>
      <w:r>
        <w:rPr>
          <w:spacing w:val="-5"/>
          <w:w w:val="105"/>
          <w:position w:val="7"/>
          <w:sz w:val="12"/>
        </w:rPr>
        <w:t>129 </w:t>
      </w:r>
      <w:r>
        <w:rPr>
          <w:w w:val="105"/>
          <w:sz w:val="21"/>
        </w:rPr>
        <w:t>Another was</w:t>
      </w:r>
      <w:r>
        <w:rPr>
          <w:spacing w:val="-32"/>
          <w:w w:val="105"/>
          <w:sz w:val="21"/>
        </w:rPr>
        <w:t> </w:t>
      </w:r>
      <w:r>
        <w:rPr>
          <w:spacing w:val="-4"/>
          <w:w w:val="105"/>
          <w:sz w:val="21"/>
        </w:rPr>
        <w:t>unsure</w:t>
      </w:r>
    </w:p>
    <w:p>
      <w:pPr>
        <w:pStyle w:val="BodyText"/>
        <w:spacing w:line="242" w:lineRule="auto" w:before="2"/>
        <w:ind w:left="2381" w:right="1584"/>
        <w:rPr>
          <w:sz w:val="12"/>
        </w:rPr>
      </w:pPr>
      <w:r>
        <w:rPr>
          <w:w w:val="105"/>
        </w:rPr>
        <w:t>whether a one-half </w:t>
      </w:r>
      <w:r>
        <w:rPr>
          <w:spacing w:val="-3"/>
          <w:w w:val="105"/>
        </w:rPr>
        <w:t>share </w:t>
      </w:r>
      <w:r>
        <w:rPr>
          <w:w w:val="105"/>
        </w:rPr>
        <w:t>of the </w:t>
      </w:r>
      <w:r>
        <w:rPr>
          <w:spacing w:val="-3"/>
          <w:w w:val="105"/>
        </w:rPr>
        <w:t>remainder </w:t>
      </w:r>
      <w:r>
        <w:rPr>
          <w:w w:val="105"/>
        </w:rPr>
        <w:t>would be </w:t>
      </w:r>
      <w:r>
        <w:rPr>
          <w:spacing w:val="-3"/>
          <w:w w:val="105"/>
        </w:rPr>
        <w:t>any </w:t>
      </w:r>
      <w:r>
        <w:rPr>
          <w:w w:val="105"/>
        </w:rPr>
        <w:t>better </w:t>
      </w:r>
      <w:r>
        <w:rPr>
          <w:spacing w:val="-3"/>
          <w:w w:val="105"/>
        </w:rPr>
        <w:t>than </w:t>
      </w:r>
      <w:r>
        <w:rPr>
          <w:w w:val="105"/>
        </w:rPr>
        <w:t>one </w:t>
      </w:r>
      <w:r>
        <w:rPr>
          <w:spacing w:val="-3"/>
          <w:w w:val="105"/>
        </w:rPr>
        <w:t>third, </w:t>
      </w:r>
      <w:r>
        <w:rPr>
          <w:w w:val="105"/>
        </w:rPr>
        <w:t>but </w:t>
      </w:r>
      <w:r>
        <w:rPr>
          <w:spacing w:val="-3"/>
          <w:w w:val="105"/>
        </w:rPr>
        <w:t>noted that </w:t>
      </w:r>
      <w:r>
        <w:rPr>
          <w:w w:val="105"/>
        </w:rPr>
        <w:t>this was </w:t>
      </w:r>
      <w:r>
        <w:rPr>
          <w:spacing w:val="-3"/>
          <w:w w:val="105"/>
        </w:rPr>
        <w:t>consistent </w:t>
      </w:r>
      <w:r>
        <w:rPr>
          <w:w w:val="105"/>
        </w:rPr>
        <w:t>with the </w:t>
      </w:r>
      <w:r>
        <w:rPr>
          <w:spacing w:val="-3"/>
          <w:w w:val="105"/>
        </w:rPr>
        <w:t>higher </w:t>
      </w:r>
      <w:r>
        <w:rPr>
          <w:w w:val="105"/>
        </w:rPr>
        <w:t>priority given </w:t>
      </w:r>
      <w:r>
        <w:rPr>
          <w:spacing w:val="-3"/>
          <w:w w:val="105"/>
        </w:rPr>
        <w:t>to </w:t>
      </w:r>
      <w:r>
        <w:rPr>
          <w:w w:val="105"/>
        </w:rPr>
        <w:t>the deceased </w:t>
      </w:r>
      <w:r>
        <w:rPr>
          <w:spacing w:val="-3"/>
          <w:w w:val="105"/>
        </w:rPr>
        <w:t>person’s </w:t>
      </w:r>
      <w:r>
        <w:rPr>
          <w:w w:val="105"/>
        </w:rPr>
        <w:t>partner </w:t>
      </w:r>
      <w:r>
        <w:rPr>
          <w:spacing w:val="-3"/>
          <w:w w:val="105"/>
        </w:rPr>
        <w:t>than </w:t>
      </w:r>
      <w:r>
        <w:rPr>
          <w:w w:val="105"/>
        </w:rPr>
        <w:t>their </w:t>
      </w:r>
      <w:r>
        <w:rPr>
          <w:spacing w:val="-3"/>
          <w:w w:val="105"/>
        </w:rPr>
        <w:t>children </w:t>
      </w:r>
      <w:r>
        <w:rPr>
          <w:w w:val="105"/>
        </w:rPr>
        <w:t>on </w:t>
      </w:r>
      <w:r>
        <w:rPr>
          <w:spacing w:val="-4"/>
          <w:w w:val="105"/>
        </w:rPr>
        <w:t>intestacy.</w:t>
      </w:r>
      <w:r>
        <w:rPr>
          <w:spacing w:val="-4"/>
          <w:w w:val="105"/>
          <w:position w:val="7"/>
          <w:sz w:val="12"/>
        </w:rPr>
        <w:t>130</w:t>
      </w:r>
    </w:p>
    <w:p>
      <w:pPr>
        <w:pStyle w:val="ListParagraph"/>
        <w:numPr>
          <w:ilvl w:val="1"/>
          <w:numId w:val="22"/>
        </w:numPr>
        <w:tabs>
          <w:tab w:pos="2381" w:val="left" w:leader="none"/>
          <w:tab w:pos="2382" w:val="left" w:leader="none"/>
        </w:tabs>
        <w:spacing w:line="242" w:lineRule="auto" w:before="123" w:after="0"/>
        <w:ind w:left="2381" w:right="1608" w:hanging="794"/>
        <w:jc w:val="left"/>
        <w:rPr>
          <w:sz w:val="21"/>
        </w:rPr>
      </w:pPr>
      <w:r>
        <w:rPr>
          <w:w w:val="105"/>
          <w:sz w:val="21"/>
        </w:rPr>
        <w:t>The </w:t>
      </w:r>
      <w:r>
        <w:rPr>
          <w:spacing w:val="-3"/>
          <w:w w:val="105"/>
          <w:sz w:val="21"/>
        </w:rPr>
        <w:t>Commission recommends that, </w:t>
      </w:r>
      <w:r>
        <w:rPr>
          <w:w w:val="105"/>
          <w:sz w:val="21"/>
        </w:rPr>
        <w:t>where the deceased person is survived by a partner and</w:t>
      </w:r>
      <w:r>
        <w:rPr>
          <w:spacing w:val="-7"/>
          <w:w w:val="105"/>
          <w:sz w:val="21"/>
        </w:rPr>
        <w:t> </w:t>
      </w:r>
      <w:r>
        <w:rPr>
          <w:spacing w:val="-3"/>
          <w:w w:val="105"/>
          <w:sz w:val="21"/>
        </w:rPr>
        <w:t>children</w:t>
      </w:r>
      <w:r>
        <w:rPr>
          <w:spacing w:val="-7"/>
          <w:w w:val="105"/>
          <w:sz w:val="21"/>
        </w:rPr>
        <w:t> </w:t>
      </w:r>
      <w:r>
        <w:rPr>
          <w:w w:val="105"/>
          <w:sz w:val="21"/>
        </w:rPr>
        <w:t>who</w:t>
      </w:r>
      <w:r>
        <w:rPr>
          <w:spacing w:val="-7"/>
          <w:w w:val="105"/>
          <w:sz w:val="21"/>
        </w:rPr>
        <w:t> </w:t>
      </w:r>
      <w:r>
        <w:rPr>
          <w:spacing w:val="-3"/>
          <w:w w:val="105"/>
          <w:sz w:val="21"/>
        </w:rPr>
        <w:t>are</w:t>
      </w:r>
      <w:r>
        <w:rPr>
          <w:spacing w:val="-7"/>
          <w:w w:val="105"/>
          <w:sz w:val="21"/>
        </w:rPr>
        <w:t> </w:t>
      </w:r>
      <w:r>
        <w:rPr>
          <w:w w:val="105"/>
          <w:sz w:val="21"/>
        </w:rPr>
        <w:t>entitled</w:t>
      </w:r>
      <w:r>
        <w:rPr>
          <w:spacing w:val="-7"/>
          <w:w w:val="105"/>
          <w:sz w:val="21"/>
        </w:rPr>
        <w:t> </w:t>
      </w:r>
      <w:r>
        <w:rPr>
          <w:spacing w:val="-3"/>
          <w:w w:val="105"/>
          <w:sz w:val="21"/>
        </w:rPr>
        <w:t>to</w:t>
      </w:r>
      <w:r>
        <w:rPr>
          <w:spacing w:val="-7"/>
          <w:w w:val="105"/>
          <w:sz w:val="21"/>
        </w:rPr>
        <w:t> </w:t>
      </w:r>
      <w:r>
        <w:rPr>
          <w:w w:val="105"/>
          <w:sz w:val="21"/>
        </w:rPr>
        <w:t>a</w:t>
      </w:r>
      <w:r>
        <w:rPr>
          <w:spacing w:val="-7"/>
          <w:w w:val="105"/>
          <w:sz w:val="21"/>
        </w:rPr>
        <w:t> </w:t>
      </w:r>
      <w:r>
        <w:rPr>
          <w:spacing w:val="-3"/>
          <w:w w:val="105"/>
          <w:sz w:val="21"/>
        </w:rPr>
        <w:t>share</w:t>
      </w:r>
      <w:r>
        <w:rPr>
          <w:spacing w:val="-7"/>
          <w:w w:val="105"/>
          <w:sz w:val="21"/>
        </w:rPr>
        <w:t> </w:t>
      </w:r>
      <w:r>
        <w:rPr>
          <w:w w:val="105"/>
          <w:sz w:val="21"/>
        </w:rPr>
        <w:t>on</w:t>
      </w:r>
      <w:r>
        <w:rPr>
          <w:spacing w:val="-7"/>
          <w:w w:val="105"/>
          <w:sz w:val="21"/>
        </w:rPr>
        <w:t> </w:t>
      </w:r>
      <w:r>
        <w:rPr>
          <w:spacing w:val="-3"/>
          <w:w w:val="105"/>
          <w:sz w:val="21"/>
        </w:rPr>
        <w:t>intestacy,</w:t>
      </w:r>
      <w:r>
        <w:rPr>
          <w:spacing w:val="-7"/>
          <w:w w:val="105"/>
          <w:sz w:val="21"/>
        </w:rPr>
        <w:t> </w:t>
      </w:r>
      <w:r>
        <w:rPr>
          <w:w w:val="105"/>
          <w:sz w:val="21"/>
        </w:rPr>
        <w:t>the</w:t>
      </w:r>
      <w:r>
        <w:rPr>
          <w:spacing w:val="-7"/>
          <w:w w:val="105"/>
          <w:sz w:val="21"/>
        </w:rPr>
        <w:t> </w:t>
      </w:r>
      <w:r>
        <w:rPr>
          <w:w w:val="105"/>
          <w:sz w:val="21"/>
        </w:rPr>
        <w:t>partner’s</w:t>
      </w:r>
      <w:r>
        <w:rPr>
          <w:spacing w:val="-7"/>
          <w:w w:val="105"/>
          <w:sz w:val="21"/>
        </w:rPr>
        <w:t> </w:t>
      </w:r>
      <w:r>
        <w:rPr>
          <w:spacing w:val="-3"/>
          <w:w w:val="105"/>
          <w:sz w:val="21"/>
        </w:rPr>
        <w:t>share</w:t>
      </w:r>
      <w:r>
        <w:rPr>
          <w:spacing w:val="-7"/>
          <w:w w:val="105"/>
          <w:sz w:val="21"/>
        </w:rPr>
        <w:t> </w:t>
      </w:r>
      <w:r>
        <w:rPr>
          <w:w w:val="105"/>
          <w:sz w:val="21"/>
        </w:rPr>
        <w:t>of</w:t>
      </w:r>
      <w:r>
        <w:rPr>
          <w:spacing w:val="-7"/>
          <w:w w:val="105"/>
          <w:sz w:val="21"/>
        </w:rPr>
        <w:t> </w:t>
      </w:r>
      <w:r>
        <w:rPr>
          <w:w w:val="105"/>
          <w:sz w:val="21"/>
        </w:rPr>
        <w:t>the</w:t>
      </w:r>
      <w:r>
        <w:rPr>
          <w:spacing w:val="-7"/>
          <w:w w:val="105"/>
          <w:sz w:val="21"/>
        </w:rPr>
        <w:t> </w:t>
      </w:r>
      <w:r>
        <w:rPr>
          <w:spacing w:val="-3"/>
          <w:w w:val="105"/>
          <w:sz w:val="21"/>
        </w:rPr>
        <w:t>remainder </w:t>
      </w:r>
      <w:r>
        <w:rPr>
          <w:w w:val="105"/>
          <w:sz w:val="21"/>
        </w:rPr>
        <w:t>of the </w:t>
      </w:r>
      <w:r>
        <w:rPr>
          <w:spacing w:val="-3"/>
          <w:w w:val="105"/>
          <w:sz w:val="21"/>
        </w:rPr>
        <w:t>intestate </w:t>
      </w:r>
      <w:r>
        <w:rPr>
          <w:w w:val="105"/>
          <w:sz w:val="21"/>
        </w:rPr>
        <w:t>estate after payment of the statutory legacy should be </w:t>
      </w:r>
      <w:r>
        <w:rPr>
          <w:spacing w:val="-3"/>
          <w:w w:val="105"/>
          <w:sz w:val="21"/>
        </w:rPr>
        <w:t>increased from </w:t>
      </w:r>
      <w:r>
        <w:rPr>
          <w:w w:val="105"/>
          <w:sz w:val="21"/>
        </w:rPr>
        <w:t>one </w:t>
      </w:r>
      <w:r>
        <w:rPr>
          <w:spacing w:val="-3"/>
          <w:w w:val="105"/>
          <w:sz w:val="21"/>
        </w:rPr>
        <w:t>third to </w:t>
      </w:r>
      <w:r>
        <w:rPr>
          <w:w w:val="105"/>
          <w:sz w:val="21"/>
        </w:rPr>
        <w:t>one </w:t>
      </w:r>
      <w:r>
        <w:rPr>
          <w:spacing w:val="-5"/>
          <w:w w:val="105"/>
          <w:sz w:val="21"/>
        </w:rPr>
        <w:t>half. </w:t>
      </w:r>
      <w:r>
        <w:rPr>
          <w:w w:val="105"/>
          <w:sz w:val="21"/>
        </w:rPr>
        <w:t>The </w:t>
      </w:r>
      <w:r>
        <w:rPr>
          <w:spacing w:val="-3"/>
          <w:w w:val="105"/>
          <w:sz w:val="21"/>
        </w:rPr>
        <w:t>Commission </w:t>
      </w:r>
      <w:r>
        <w:rPr>
          <w:w w:val="105"/>
          <w:sz w:val="21"/>
        </w:rPr>
        <w:t>also considers </w:t>
      </w:r>
      <w:r>
        <w:rPr>
          <w:spacing w:val="-3"/>
          <w:w w:val="105"/>
          <w:sz w:val="21"/>
        </w:rPr>
        <w:t>that, </w:t>
      </w:r>
      <w:r>
        <w:rPr>
          <w:w w:val="105"/>
          <w:sz w:val="21"/>
        </w:rPr>
        <w:t>in these </w:t>
      </w:r>
      <w:r>
        <w:rPr>
          <w:spacing w:val="-3"/>
          <w:w w:val="105"/>
          <w:sz w:val="21"/>
        </w:rPr>
        <w:t>circumstances, </w:t>
      </w:r>
      <w:r>
        <w:rPr>
          <w:w w:val="105"/>
          <w:sz w:val="21"/>
        </w:rPr>
        <w:t>the deceased </w:t>
      </w:r>
      <w:r>
        <w:rPr>
          <w:spacing w:val="-3"/>
          <w:w w:val="105"/>
          <w:sz w:val="21"/>
        </w:rPr>
        <w:t>person’s </w:t>
      </w:r>
      <w:r>
        <w:rPr>
          <w:w w:val="105"/>
          <w:sz w:val="21"/>
        </w:rPr>
        <w:t>partner should </w:t>
      </w:r>
      <w:r>
        <w:rPr>
          <w:spacing w:val="-3"/>
          <w:w w:val="105"/>
          <w:sz w:val="21"/>
        </w:rPr>
        <w:t>continue to </w:t>
      </w:r>
      <w:r>
        <w:rPr>
          <w:w w:val="105"/>
          <w:sz w:val="21"/>
        </w:rPr>
        <w:t>be entitled </w:t>
      </w:r>
      <w:r>
        <w:rPr>
          <w:spacing w:val="-3"/>
          <w:w w:val="105"/>
          <w:sz w:val="21"/>
        </w:rPr>
        <w:t>to </w:t>
      </w:r>
      <w:r>
        <w:rPr>
          <w:w w:val="105"/>
          <w:sz w:val="21"/>
        </w:rPr>
        <w:t>the deceased </w:t>
      </w:r>
      <w:r>
        <w:rPr>
          <w:spacing w:val="-3"/>
          <w:w w:val="105"/>
          <w:sz w:val="21"/>
        </w:rPr>
        <w:t>person’s </w:t>
      </w:r>
      <w:r>
        <w:rPr>
          <w:w w:val="105"/>
          <w:sz w:val="21"/>
        </w:rPr>
        <w:t>personal</w:t>
      </w:r>
      <w:r>
        <w:rPr>
          <w:spacing w:val="5"/>
          <w:w w:val="105"/>
          <w:sz w:val="21"/>
        </w:rPr>
        <w:t> </w:t>
      </w:r>
      <w:r>
        <w:rPr>
          <w:spacing w:val="-3"/>
          <w:w w:val="105"/>
          <w:sz w:val="21"/>
        </w:rPr>
        <w:t>chattels.</w:t>
      </w:r>
    </w:p>
    <w:p>
      <w:pPr>
        <w:pStyle w:val="BodyText"/>
        <w:rPr>
          <w:sz w:val="16"/>
        </w:rPr>
      </w:pPr>
      <w:r>
        <w:rPr/>
        <w:pict>
          <v:group style="position:absolute;margin-left:62.362202pt;margin-top:11.746012pt;width:479.1pt;height:96.55pt;mso-position-horizontal-relative:page;mso-position-vertical-relative:paragraph;z-index:4544;mso-wrap-distance-left:0;mso-wrap-distance-right:0" coordorigin="1247,235" coordsize="9582,1931">
            <v:rect style="position:absolute;left:1587;top:234;width:8731;height:1931" filled="true" fillcolor="#fdebea" stroked="false">
              <v:fill type="solid"/>
            </v:rect>
            <v:line style="position:absolute" from="1247,986" to="10828,986" stroked="true" strokeweight="2.5pt" strokecolor="#ffffff">
              <v:stroke dashstyle="solid"/>
            </v:line>
            <v:shape style="position:absolute;left:2381;top:1222;width:7367;height:769" type="#_x0000_t202" filled="false" stroked="false">
              <v:textbox inset="0,0,0,0">
                <w:txbxContent>
                  <w:p>
                    <w:pPr>
                      <w:spacing w:line="242" w:lineRule="auto" w:before="0"/>
                      <w:ind w:left="0" w:right="0" w:firstLine="0"/>
                      <w:jc w:val="left"/>
                      <w:rPr>
                        <w:sz w:val="21"/>
                      </w:rPr>
                    </w:pPr>
                    <w:r>
                      <w:rPr>
                        <w:w w:val="115"/>
                        <w:sz w:val="21"/>
                      </w:rPr>
                      <w:t>Where</w:t>
                    </w:r>
                    <w:r>
                      <w:rPr>
                        <w:spacing w:val="-11"/>
                        <w:w w:val="115"/>
                        <w:sz w:val="21"/>
                      </w:rPr>
                      <w:t> </w:t>
                    </w:r>
                    <w:r>
                      <w:rPr>
                        <w:w w:val="115"/>
                        <w:sz w:val="21"/>
                      </w:rPr>
                      <w:t>the</w:t>
                    </w:r>
                    <w:r>
                      <w:rPr>
                        <w:spacing w:val="-10"/>
                        <w:w w:val="115"/>
                        <w:sz w:val="21"/>
                      </w:rPr>
                      <w:t> </w:t>
                    </w:r>
                    <w:r>
                      <w:rPr>
                        <w:w w:val="115"/>
                        <w:sz w:val="21"/>
                      </w:rPr>
                      <w:t>deceased</w:t>
                    </w:r>
                    <w:r>
                      <w:rPr>
                        <w:spacing w:val="-10"/>
                        <w:w w:val="115"/>
                        <w:sz w:val="21"/>
                      </w:rPr>
                      <w:t> </w:t>
                    </w:r>
                    <w:r>
                      <w:rPr>
                        <w:w w:val="115"/>
                        <w:sz w:val="21"/>
                      </w:rPr>
                      <w:t>person</w:t>
                    </w:r>
                    <w:r>
                      <w:rPr>
                        <w:spacing w:val="-11"/>
                        <w:w w:val="115"/>
                        <w:sz w:val="21"/>
                      </w:rPr>
                      <w:t> </w:t>
                    </w:r>
                    <w:r>
                      <w:rPr>
                        <w:w w:val="115"/>
                        <w:sz w:val="21"/>
                      </w:rPr>
                      <w:t>is</w:t>
                    </w:r>
                    <w:r>
                      <w:rPr>
                        <w:spacing w:val="-10"/>
                        <w:w w:val="115"/>
                        <w:sz w:val="21"/>
                      </w:rPr>
                      <w:t> </w:t>
                    </w:r>
                    <w:r>
                      <w:rPr>
                        <w:w w:val="115"/>
                        <w:sz w:val="21"/>
                      </w:rPr>
                      <w:t>survived</w:t>
                    </w:r>
                    <w:r>
                      <w:rPr>
                        <w:spacing w:val="-10"/>
                        <w:w w:val="115"/>
                        <w:sz w:val="21"/>
                      </w:rPr>
                      <w:t> </w:t>
                    </w:r>
                    <w:r>
                      <w:rPr>
                        <w:w w:val="115"/>
                        <w:sz w:val="21"/>
                      </w:rPr>
                      <w:t>by</w:t>
                    </w:r>
                    <w:r>
                      <w:rPr>
                        <w:spacing w:val="-10"/>
                        <w:w w:val="115"/>
                        <w:sz w:val="21"/>
                      </w:rPr>
                      <w:t> </w:t>
                    </w:r>
                    <w:r>
                      <w:rPr>
                        <w:w w:val="115"/>
                        <w:sz w:val="21"/>
                      </w:rPr>
                      <w:t>a</w:t>
                    </w:r>
                    <w:r>
                      <w:rPr>
                        <w:spacing w:val="-11"/>
                        <w:w w:val="115"/>
                        <w:sz w:val="21"/>
                      </w:rPr>
                      <w:t> </w:t>
                    </w:r>
                    <w:r>
                      <w:rPr>
                        <w:w w:val="115"/>
                        <w:sz w:val="21"/>
                      </w:rPr>
                      <w:t>partner</w:t>
                    </w:r>
                    <w:r>
                      <w:rPr>
                        <w:spacing w:val="-37"/>
                        <w:w w:val="115"/>
                        <w:sz w:val="21"/>
                      </w:rPr>
                      <w:t> </w:t>
                    </w:r>
                    <w:r>
                      <w:rPr>
                        <w:spacing w:val="-3"/>
                        <w:w w:val="115"/>
                        <w:position w:val="7"/>
                        <w:sz w:val="12"/>
                      </w:rPr>
                      <w:t>131</w:t>
                    </w:r>
                    <w:r>
                      <w:rPr>
                        <w:spacing w:val="-6"/>
                        <w:w w:val="115"/>
                        <w:position w:val="7"/>
                        <w:sz w:val="12"/>
                      </w:rPr>
                      <w:t> </w:t>
                    </w:r>
                    <w:r>
                      <w:rPr>
                        <w:w w:val="115"/>
                        <w:sz w:val="21"/>
                      </w:rPr>
                      <w:t>and</w:t>
                    </w:r>
                    <w:r>
                      <w:rPr>
                        <w:spacing w:val="-10"/>
                        <w:w w:val="115"/>
                        <w:sz w:val="21"/>
                      </w:rPr>
                      <w:t> </w:t>
                    </w:r>
                    <w:r>
                      <w:rPr>
                        <w:w w:val="115"/>
                        <w:sz w:val="21"/>
                      </w:rPr>
                      <w:t>children</w:t>
                    </w:r>
                    <w:r>
                      <w:rPr>
                        <w:spacing w:val="-10"/>
                        <w:w w:val="115"/>
                        <w:sz w:val="21"/>
                      </w:rPr>
                      <w:t> </w:t>
                    </w:r>
                    <w:r>
                      <w:rPr>
                        <w:w w:val="115"/>
                        <w:sz w:val="21"/>
                      </w:rPr>
                      <w:t>or</w:t>
                    </w:r>
                    <w:r>
                      <w:rPr>
                        <w:spacing w:val="-10"/>
                        <w:w w:val="115"/>
                        <w:sz w:val="21"/>
                      </w:rPr>
                      <w:t> </w:t>
                    </w:r>
                    <w:r>
                      <w:rPr>
                        <w:w w:val="115"/>
                        <w:sz w:val="21"/>
                      </w:rPr>
                      <w:t>other issue who are entitled to a share on intestacy, the partner’s share of the remainder of the intestate estate should be increased to one</w:t>
                    </w:r>
                    <w:r>
                      <w:rPr>
                        <w:spacing w:val="-26"/>
                        <w:w w:val="115"/>
                        <w:sz w:val="21"/>
                      </w:rPr>
                      <w:t> </w:t>
                    </w:r>
                    <w:r>
                      <w:rPr>
                        <w:spacing w:val="-4"/>
                        <w:w w:val="115"/>
                        <w:sz w:val="21"/>
                      </w:rPr>
                      <w:t>half.</w:t>
                    </w:r>
                  </w:p>
                </w:txbxContent>
              </v:textbox>
              <w10:wrap type="none"/>
            </v:shape>
            <v:shape style="position:absolute;left:1814;top:1222;width:253;height:249" type="#_x0000_t202" filled="false" stroked="false">
              <v:textbox inset="0,0,0,0">
                <w:txbxContent>
                  <w:p>
                    <w:pPr>
                      <w:spacing w:line="249" w:lineRule="exact" w:before="0"/>
                      <w:ind w:left="0" w:right="0" w:firstLine="0"/>
                      <w:jc w:val="left"/>
                      <w:rPr>
                        <w:sz w:val="21"/>
                      </w:rPr>
                    </w:pPr>
                    <w:r>
                      <w:rPr>
                        <w:w w:val="110"/>
                        <w:sz w:val="21"/>
                      </w:rPr>
                      <w:t>22</w:t>
                    </w:r>
                  </w:p>
                </w:txbxContent>
              </v:textbox>
              <w10:wrap type="none"/>
            </v:shape>
            <v:shape style="position:absolute;left:1587;top:234;width:8731;height:726" type="#_x0000_t202" filled="true" fillcolor="#fdebea" stroked="false">
              <v:textbox inset="0,0,0,0">
                <w:txbxContent>
                  <w:p>
                    <w:pPr>
                      <w:spacing w:before="166"/>
                      <w:ind w:left="226" w:right="0" w:firstLine="0"/>
                      <w:jc w:val="left"/>
                      <w:rPr>
                        <w:b/>
                        <w:sz w:val="32"/>
                      </w:rPr>
                    </w:pPr>
                    <w:r>
                      <w:rPr>
                        <w:b/>
                        <w:color w:val="EC5A4F"/>
                        <w:w w:val="110"/>
                        <w:sz w:val="32"/>
                      </w:rPr>
                      <w:t>Recommendation</w:t>
                    </w:r>
                  </w:p>
                </w:txbxContent>
              </v:textbox>
              <v:fill type="solid"/>
              <w10:wrap type="none"/>
            </v:shape>
            <w10:wrap type="topAndBottom"/>
          </v:group>
        </w:pict>
      </w:r>
    </w:p>
    <w:p>
      <w:pPr>
        <w:pStyle w:val="BodyText"/>
        <w:spacing w:before="10"/>
        <w:rPr>
          <w:sz w:val="12"/>
        </w:rPr>
      </w:pPr>
    </w:p>
    <w:p>
      <w:pPr>
        <w:pStyle w:val="Heading4"/>
        <w:spacing w:line="211" w:lineRule="auto" w:before="131"/>
        <w:ind w:right="3128"/>
      </w:pPr>
      <w:bookmarkStart w:name="_TOC_250049" w:id="67"/>
      <w:bookmarkEnd w:id="67"/>
      <w:r>
        <w:rPr>
          <w:color w:val="EC5A4F"/>
          <w:w w:val="110"/>
        </w:rPr>
        <w:t>The partner’s right to elect to acquire an interest in certain property</w:t>
      </w:r>
    </w:p>
    <w:p>
      <w:pPr>
        <w:pStyle w:val="Heading5"/>
        <w:spacing w:before="174"/>
      </w:pPr>
      <w:bookmarkStart w:name="_TOC_250048" w:id="68"/>
      <w:bookmarkEnd w:id="68"/>
      <w:r>
        <w:rPr>
          <w:w w:val="115"/>
        </w:rPr>
        <w:t>Current law</w:t>
      </w:r>
    </w:p>
    <w:p>
      <w:pPr>
        <w:pStyle w:val="ListParagraph"/>
        <w:numPr>
          <w:ilvl w:val="1"/>
          <w:numId w:val="22"/>
        </w:numPr>
        <w:tabs>
          <w:tab w:pos="2380" w:val="left" w:leader="none"/>
          <w:tab w:pos="2381" w:val="left" w:leader="none"/>
        </w:tabs>
        <w:spacing w:line="242" w:lineRule="auto" w:before="138" w:after="0"/>
        <w:ind w:left="2381" w:right="1629" w:hanging="794"/>
        <w:jc w:val="left"/>
        <w:rPr>
          <w:sz w:val="12"/>
        </w:rPr>
      </w:pPr>
      <w:r>
        <w:rPr>
          <w:w w:val="105"/>
          <w:sz w:val="21"/>
        </w:rPr>
        <w:t>When a person dies </w:t>
      </w:r>
      <w:r>
        <w:rPr>
          <w:spacing w:val="-3"/>
          <w:w w:val="105"/>
          <w:sz w:val="21"/>
        </w:rPr>
        <w:t>intestate, any place </w:t>
      </w:r>
      <w:r>
        <w:rPr>
          <w:w w:val="105"/>
          <w:sz w:val="21"/>
        </w:rPr>
        <w:t>of </w:t>
      </w:r>
      <w:r>
        <w:rPr>
          <w:spacing w:val="-3"/>
          <w:w w:val="105"/>
          <w:sz w:val="21"/>
        </w:rPr>
        <w:t>residence </w:t>
      </w:r>
      <w:r>
        <w:rPr>
          <w:w w:val="105"/>
          <w:sz w:val="21"/>
        </w:rPr>
        <w:t>or part of a </w:t>
      </w:r>
      <w:r>
        <w:rPr>
          <w:spacing w:val="-3"/>
          <w:w w:val="105"/>
          <w:sz w:val="21"/>
        </w:rPr>
        <w:t>place </w:t>
      </w:r>
      <w:r>
        <w:rPr>
          <w:w w:val="105"/>
          <w:sz w:val="21"/>
        </w:rPr>
        <w:t>of </w:t>
      </w:r>
      <w:r>
        <w:rPr>
          <w:spacing w:val="-3"/>
          <w:w w:val="105"/>
          <w:sz w:val="21"/>
        </w:rPr>
        <w:t>residence </w:t>
      </w:r>
      <w:r>
        <w:rPr>
          <w:w w:val="105"/>
          <w:sz w:val="21"/>
        </w:rPr>
        <w:t>owned by them becomes part of the estate </w:t>
      </w:r>
      <w:r>
        <w:rPr>
          <w:spacing w:val="-3"/>
          <w:w w:val="105"/>
          <w:sz w:val="21"/>
        </w:rPr>
        <w:t>that </w:t>
      </w:r>
      <w:r>
        <w:rPr>
          <w:w w:val="105"/>
          <w:sz w:val="21"/>
        </w:rPr>
        <w:t>is </w:t>
      </w:r>
      <w:r>
        <w:rPr>
          <w:spacing w:val="-3"/>
          <w:w w:val="105"/>
          <w:sz w:val="21"/>
        </w:rPr>
        <w:t>distributed according to </w:t>
      </w:r>
      <w:r>
        <w:rPr>
          <w:w w:val="105"/>
          <w:sz w:val="21"/>
        </w:rPr>
        <w:t>the laws of </w:t>
      </w:r>
      <w:r>
        <w:rPr>
          <w:spacing w:val="-3"/>
          <w:w w:val="105"/>
          <w:sz w:val="21"/>
        </w:rPr>
        <w:t>intestacy.</w:t>
      </w:r>
      <w:r>
        <w:rPr>
          <w:spacing w:val="-9"/>
          <w:w w:val="105"/>
          <w:sz w:val="21"/>
        </w:rPr>
        <w:t> </w:t>
      </w:r>
      <w:r>
        <w:rPr>
          <w:w w:val="105"/>
          <w:sz w:val="21"/>
        </w:rPr>
        <w:t>Depending</w:t>
      </w:r>
      <w:r>
        <w:rPr>
          <w:spacing w:val="-8"/>
          <w:w w:val="105"/>
          <w:sz w:val="21"/>
        </w:rPr>
        <w:t> </w:t>
      </w:r>
      <w:r>
        <w:rPr>
          <w:w w:val="105"/>
          <w:sz w:val="21"/>
        </w:rPr>
        <w:t>on</w:t>
      </w:r>
      <w:r>
        <w:rPr>
          <w:spacing w:val="-9"/>
          <w:w w:val="105"/>
          <w:sz w:val="21"/>
        </w:rPr>
        <w:t> </w:t>
      </w:r>
      <w:r>
        <w:rPr>
          <w:w w:val="105"/>
          <w:sz w:val="21"/>
        </w:rPr>
        <w:t>the</w:t>
      </w:r>
      <w:r>
        <w:rPr>
          <w:spacing w:val="-8"/>
          <w:w w:val="105"/>
          <w:sz w:val="21"/>
        </w:rPr>
        <w:t> </w:t>
      </w:r>
      <w:r>
        <w:rPr>
          <w:spacing w:val="-3"/>
          <w:w w:val="105"/>
          <w:sz w:val="21"/>
        </w:rPr>
        <w:t>size</w:t>
      </w:r>
      <w:r>
        <w:rPr>
          <w:spacing w:val="-9"/>
          <w:w w:val="105"/>
          <w:sz w:val="21"/>
        </w:rPr>
        <w:t> </w:t>
      </w:r>
      <w:r>
        <w:rPr>
          <w:w w:val="105"/>
          <w:sz w:val="21"/>
        </w:rPr>
        <w:t>of</w:t>
      </w:r>
      <w:r>
        <w:rPr>
          <w:spacing w:val="-8"/>
          <w:w w:val="105"/>
          <w:sz w:val="21"/>
        </w:rPr>
        <w:t> </w:t>
      </w:r>
      <w:r>
        <w:rPr>
          <w:w w:val="105"/>
          <w:sz w:val="21"/>
        </w:rPr>
        <w:t>the</w:t>
      </w:r>
      <w:r>
        <w:rPr>
          <w:spacing w:val="-8"/>
          <w:w w:val="105"/>
          <w:sz w:val="21"/>
        </w:rPr>
        <w:t> </w:t>
      </w:r>
      <w:r>
        <w:rPr>
          <w:spacing w:val="-3"/>
          <w:w w:val="105"/>
          <w:sz w:val="21"/>
        </w:rPr>
        <w:t>intestate</w:t>
      </w:r>
      <w:r>
        <w:rPr>
          <w:spacing w:val="-9"/>
          <w:w w:val="105"/>
          <w:sz w:val="21"/>
        </w:rPr>
        <w:t> </w:t>
      </w:r>
      <w:r>
        <w:rPr>
          <w:spacing w:val="-3"/>
          <w:w w:val="105"/>
          <w:sz w:val="21"/>
        </w:rPr>
        <w:t>estate,</w:t>
      </w:r>
      <w:r>
        <w:rPr>
          <w:spacing w:val="-8"/>
          <w:w w:val="105"/>
          <w:sz w:val="21"/>
        </w:rPr>
        <w:t> </w:t>
      </w:r>
      <w:r>
        <w:rPr>
          <w:w w:val="105"/>
          <w:sz w:val="21"/>
        </w:rPr>
        <w:t>if</w:t>
      </w:r>
      <w:r>
        <w:rPr>
          <w:spacing w:val="-9"/>
          <w:w w:val="105"/>
          <w:sz w:val="21"/>
        </w:rPr>
        <w:t> </w:t>
      </w:r>
      <w:r>
        <w:rPr>
          <w:w w:val="105"/>
          <w:sz w:val="21"/>
        </w:rPr>
        <w:t>the</w:t>
      </w:r>
      <w:r>
        <w:rPr>
          <w:spacing w:val="-8"/>
          <w:w w:val="105"/>
          <w:sz w:val="21"/>
        </w:rPr>
        <w:t> </w:t>
      </w:r>
      <w:r>
        <w:rPr>
          <w:w w:val="105"/>
          <w:sz w:val="21"/>
        </w:rPr>
        <w:t>deceased</w:t>
      </w:r>
      <w:r>
        <w:rPr>
          <w:spacing w:val="-8"/>
          <w:w w:val="105"/>
          <w:sz w:val="21"/>
        </w:rPr>
        <w:t> </w:t>
      </w:r>
      <w:r>
        <w:rPr>
          <w:w w:val="105"/>
          <w:sz w:val="21"/>
        </w:rPr>
        <w:t>person</w:t>
      </w:r>
      <w:r>
        <w:rPr>
          <w:spacing w:val="-9"/>
          <w:w w:val="105"/>
          <w:sz w:val="21"/>
        </w:rPr>
        <w:t> </w:t>
      </w:r>
      <w:r>
        <w:rPr>
          <w:w w:val="105"/>
          <w:sz w:val="21"/>
        </w:rPr>
        <w:t>is</w:t>
      </w:r>
      <w:r>
        <w:rPr>
          <w:spacing w:val="-8"/>
          <w:w w:val="105"/>
          <w:sz w:val="21"/>
        </w:rPr>
        <w:t> </w:t>
      </w:r>
      <w:r>
        <w:rPr>
          <w:w w:val="105"/>
          <w:sz w:val="21"/>
        </w:rPr>
        <w:t>survived by both a partner and </w:t>
      </w:r>
      <w:r>
        <w:rPr>
          <w:spacing w:val="-3"/>
          <w:w w:val="105"/>
          <w:sz w:val="21"/>
        </w:rPr>
        <w:t>children </w:t>
      </w:r>
      <w:r>
        <w:rPr>
          <w:w w:val="105"/>
          <w:sz w:val="21"/>
        </w:rPr>
        <w:t>or other </w:t>
      </w:r>
      <w:r>
        <w:rPr>
          <w:spacing w:val="-3"/>
          <w:w w:val="105"/>
          <w:sz w:val="21"/>
        </w:rPr>
        <w:t>issue, </w:t>
      </w:r>
      <w:r>
        <w:rPr>
          <w:w w:val="105"/>
          <w:sz w:val="21"/>
        </w:rPr>
        <w:t>the </w:t>
      </w:r>
      <w:r>
        <w:rPr>
          <w:spacing w:val="-3"/>
          <w:w w:val="105"/>
          <w:sz w:val="21"/>
        </w:rPr>
        <w:t>intestate </w:t>
      </w:r>
      <w:r>
        <w:rPr>
          <w:w w:val="105"/>
          <w:sz w:val="21"/>
        </w:rPr>
        <w:t>estate is </w:t>
      </w:r>
      <w:r>
        <w:rPr>
          <w:spacing w:val="-3"/>
          <w:w w:val="105"/>
          <w:sz w:val="21"/>
        </w:rPr>
        <w:t>shared </w:t>
      </w:r>
      <w:r>
        <w:rPr>
          <w:w w:val="105"/>
          <w:sz w:val="21"/>
        </w:rPr>
        <w:t>between the partner and </w:t>
      </w:r>
      <w:r>
        <w:rPr>
          <w:spacing w:val="-3"/>
          <w:w w:val="105"/>
          <w:sz w:val="21"/>
        </w:rPr>
        <w:t>children </w:t>
      </w:r>
      <w:r>
        <w:rPr>
          <w:w w:val="105"/>
          <w:sz w:val="21"/>
        </w:rPr>
        <w:t>or other </w:t>
      </w:r>
      <w:r>
        <w:rPr>
          <w:spacing w:val="-5"/>
          <w:w w:val="105"/>
          <w:sz w:val="21"/>
        </w:rPr>
        <w:t>issue.</w:t>
      </w:r>
      <w:r>
        <w:rPr>
          <w:spacing w:val="-5"/>
          <w:w w:val="105"/>
          <w:position w:val="7"/>
          <w:sz w:val="12"/>
        </w:rPr>
        <w:t>132 </w:t>
      </w:r>
      <w:r>
        <w:rPr>
          <w:spacing w:val="-4"/>
          <w:w w:val="105"/>
          <w:sz w:val="21"/>
        </w:rPr>
        <w:t>Additionally, </w:t>
      </w:r>
      <w:r>
        <w:rPr>
          <w:w w:val="105"/>
          <w:sz w:val="21"/>
        </w:rPr>
        <w:t>if the deceased person is survived by more </w:t>
      </w:r>
      <w:r>
        <w:rPr>
          <w:spacing w:val="-3"/>
          <w:w w:val="105"/>
          <w:sz w:val="21"/>
        </w:rPr>
        <w:t>than </w:t>
      </w:r>
      <w:r>
        <w:rPr>
          <w:w w:val="105"/>
          <w:sz w:val="21"/>
        </w:rPr>
        <w:t>one </w:t>
      </w:r>
      <w:r>
        <w:rPr>
          <w:spacing w:val="-3"/>
          <w:w w:val="105"/>
          <w:sz w:val="21"/>
        </w:rPr>
        <w:t>partner, </w:t>
      </w:r>
      <w:r>
        <w:rPr>
          <w:w w:val="105"/>
          <w:sz w:val="21"/>
        </w:rPr>
        <w:t>they </w:t>
      </w:r>
      <w:r>
        <w:rPr>
          <w:spacing w:val="-3"/>
          <w:w w:val="105"/>
          <w:sz w:val="21"/>
        </w:rPr>
        <w:t>may have to share </w:t>
      </w:r>
      <w:r>
        <w:rPr>
          <w:w w:val="105"/>
          <w:sz w:val="21"/>
        </w:rPr>
        <w:t>the </w:t>
      </w:r>
      <w:r>
        <w:rPr>
          <w:spacing w:val="-3"/>
          <w:w w:val="105"/>
          <w:sz w:val="21"/>
        </w:rPr>
        <w:t>intestate </w:t>
      </w:r>
      <w:r>
        <w:rPr>
          <w:w w:val="105"/>
          <w:sz w:val="21"/>
        </w:rPr>
        <w:t>estate between</w:t>
      </w:r>
      <w:r>
        <w:rPr>
          <w:spacing w:val="-10"/>
          <w:w w:val="105"/>
          <w:sz w:val="21"/>
        </w:rPr>
        <w:t> </w:t>
      </w:r>
      <w:r>
        <w:rPr>
          <w:spacing w:val="-5"/>
          <w:w w:val="105"/>
          <w:sz w:val="21"/>
        </w:rPr>
        <w:t>them.</w:t>
      </w:r>
      <w:r>
        <w:rPr>
          <w:spacing w:val="-5"/>
          <w:w w:val="105"/>
          <w:position w:val="7"/>
          <w:sz w:val="12"/>
        </w:rPr>
        <w:t>133</w:t>
      </w:r>
    </w:p>
    <w:p>
      <w:pPr>
        <w:pStyle w:val="BodyText"/>
        <w:spacing w:line="242" w:lineRule="auto" w:before="6"/>
        <w:ind w:left="2381" w:right="1930"/>
      </w:pPr>
      <w:r>
        <w:rPr/>
        <w:t>In these </w:t>
      </w:r>
      <w:r>
        <w:rPr>
          <w:spacing w:val="-3"/>
        </w:rPr>
        <w:t>situations, </w:t>
      </w:r>
      <w:r>
        <w:rPr/>
        <w:t>it is possible </w:t>
      </w:r>
      <w:r>
        <w:rPr>
          <w:spacing w:val="-3"/>
        </w:rPr>
        <w:t>that </w:t>
      </w:r>
      <w:r>
        <w:rPr/>
        <w:t>the partner who lived with the deceased person at the time of their death </w:t>
      </w:r>
      <w:r>
        <w:rPr>
          <w:spacing w:val="-3"/>
        </w:rPr>
        <w:t>will </w:t>
      </w:r>
      <w:r>
        <w:rPr>
          <w:spacing w:val="-2"/>
        </w:rPr>
        <w:t>not  </w:t>
      </w:r>
      <w:r>
        <w:rPr/>
        <w:t>be entitled </w:t>
      </w:r>
      <w:r>
        <w:rPr>
          <w:spacing w:val="-3"/>
        </w:rPr>
        <w:t>to  </w:t>
      </w:r>
      <w:r>
        <w:rPr/>
        <w:t>the deceased </w:t>
      </w:r>
      <w:r>
        <w:rPr>
          <w:spacing w:val="-3"/>
        </w:rPr>
        <w:t>person’s  share  </w:t>
      </w:r>
      <w:r>
        <w:rPr/>
        <w:t>in the home in which they</w:t>
      </w:r>
      <w:r>
        <w:rPr>
          <w:spacing w:val="24"/>
        </w:rPr>
        <w:t> </w:t>
      </w:r>
      <w:r>
        <w:rPr>
          <w:spacing w:val="-3"/>
        </w:rPr>
        <w:t>lived.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pPr>
      <w:r>
        <w:rPr/>
        <w:pict>
          <v:line style="position:absolute;mso-position-horizontal-relative:page;mso-position-vertical-relative:paragraph;z-index:4568;mso-wrap-distance-left:0;mso-wrap-distance-right:0" from="79.370003pt,15.571622pt" to="515.905003pt,15.571622pt" stroked="true" strokeweight="1pt" strokecolor="#f9ceca">
            <v:stroke dashstyle="solid"/>
            <w10:wrap type="topAndBottom"/>
          </v:line>
        </w:pict>
      </w:r>
    </w:p>
    <w:p>
      <w:pPr>
        <w:pStyle w:val="ListParagraph"/>
        <w:numPr>
          <w:ilvl w:val="0"/>
          <w:numId w:val="58"/>
        </w:numPr>
        <w:tabs>
          <w:tab w:pos="2380" w:val="left" w:leader="none"/>
          <w:tab w:pos="2382" w:val="left" w:leader="none"/>
        </w:tabs>
        <w:spacing w:line="240" w:lineRule="auto" w:before="117" w:after="0"/>
        <w:ind w:left="2381" w:right="1927" w:hanging="794"/>
        <w:jc w:val="left"/>
        <w:rPr>
          <w:sz w:val="13"/>
        </w:rPr>
      </w:pPr>
      <w:r>
        <w:rPr>
          <w:w w:val="105"/>
          <w:sz w:val="13"/>
        </w:rPr>
        <w:t>Submissions 8 (Patricia Strachan); </w:t>
      </w:r>
      <w:r>
        <w:rPr>
          <w:spacing w:val="-3"/>
          <w:w w:val="105"/>
          <w:sz w:val="13"/>
        </w:rPr>
        <w:t>19 </w:t>
      </w:r>
      <w:r>
        <w:rPr>
          <w:spacing w:val="2"/>
          <w:w w:val="105"/>
          <w:sz w:val="13"/>
        </w:rPr>
        <w:t>(Association </w:t>
      </w:r>
      <w:r>
        <w:rPr>
          <w:w w:val="105"/>
          <w:sz w:val="13"/>
        </w:rPr>
        <w:t>of Independent Retirees); 26 </w:t>
      </w:r>
      <w:r>
        <w:rPr>
          <w:spacing w:val="2"/>
          <w:w w:val="105"/>
          <w:sz w:val="13"/>
        </w:rPr>
        <w:t>(Rigby </w:t>
      </w:r>
      <w:r>
        <w:rPr>
          <w:w w:val="105"/>
          <w:sz w:val="13"/>
        </w:rPr>
        <w:t>Cooke </w:t>
      </w:r>
      <w:r>
        <w:rPr>
          <w:spacing w:val="2"/>
          <w:w w:val="105"/>
          <w:sz w:val="13"/>
        </w:rPr>
        <w:t>Lawyers); 30b </w:t>
      </w:r>
      <w:r>
        <w:rPr>
          <w:spacing w:val="3"/>
          <w:w w:val="105"/>
          <w:sz w:val="13"/>
        </w:rPr>
        <w:t>(Law </w:t>
      </w:r>
      <w:r>
        <w:rPr>
          <w:w w:val="105"/>
          <w:sz w:val="13"/>
        </w:rPr>
        <w:t>Institute of </w:t>
      </w:r>
      <w:r>
        <w:rPr>
          <w:spacing w:val="2"/>
          <w:w w:val="105"/>
          <w:sz w:val="13"/>
        </w:rPr>
        <w:t>Victoria); </w:t>
      </w:r>
      <w:r>
        <w:rPr>
          <w:w w:val="105"/>
          <w:sz w:val="13"/>
        </w:rPr>
        <w:t>32</w:t>
      </w:r>
      <w:r>
        <w:rPr>
          <w:spacing w:val="5"/>
          <w:w w:val="105"/>
          <w:sz w:val="13"/>
        </w:rPr>
        <w:t> </w:t>
      </w:r>
      <w:r>
        <w:rPr>
          <w:spacing w:val="2"/>
          <w:w w:val="105"/>
          <w:sz w:val="13"/>
        </w:rPr>
        <w:t>(The</w:t>
      </w:r>
      <w:r>
        <w:rPr>
          <w:spacing w:val="5"/>
          <w:w w:val="105"/>
          <w:sz w:val="13"/>
        </w:rPr>
        <w:t> </w:t>
      </w:r>
      <w:r>
        <w:rPr>
          <w:w w:val="105"/>
          <w:sz w:val="13"/>
        </w:rPr>
        <w:t>Institute</w:t>
      </w:r>
      <w:r>
        <w:rPr>
          <w:spacing w:val="6"/>
          <w:w w:val="105"/>
          <w:sz w:val="13"/>
        </w:rPr>
        <w:t> </w:t>
      </w:r>
      <w:r>
        <w:rPr>
          <w:w w:val="105"/>
          <w:sz w:val="13"/>
        </w:rPr>
        <w:t>of</w:t>
      </w:r>
      <w:r>
        <w:rPr>
          <w:spacing w:val="5"/>
          <w:w w:val="105"/>
          <w:sz w:val="13"/>
        </w:rPr>
        <w:t> </w:t>
      </w:r>
      <w:r>
        <w:rPr>
          <w:w w:val="105"/>
          <w:sz w:val="13"/>
        </w:rPr>
        <w:t>Legal</w:t>
      </w:r>
      <w:r>
        <w:rPr>
          <w:spacing w:val="5"/>
          <w:w w:val="105"/>
          <w:sz w:val="13"/>
        </w:rPr>
        <w:t> </w:t>
      </w:r>
      <w:r>
        <w:rPr>
          <w:w w:val="105"/>
          <w:sz w:val="13"/>
        </w:rPr>
        <w:t>Executives);</w:t>
      </w:r>
      <w:r>
        <w:rPr>
          <w:spacing w:val="6"/>
          <w:w w:val="105"/>
          <w:sz w:val="13"/>
        </w:rPr>
        <w:t> </w:t>
      </w:r>
      <w:r>
        <w:rPr>
          <w:w w:val="105"/>
          <w:sz w:val="13"/>
        </w:rPr>
        <w:t>33</w:t>
      </w:r>
      <w:r>
        <w:rPr>
          <w:spacing w:val="5"/>
          <w:w w:val="105"/>
          <w:sz w:val="13"/>
        </w:rPr>
        <w:t> </w:t>
      </w:r>
      <w:r>
        <w:rPr>
          <w:w w:val="105"/>
          <w:sz w:val="13"/>
        </w:rPr>
        <w:t>(State</w:t>
      </w:r>
      <w:r>
        <w:rPr>
          <w:spacing w:val="6"/>
          <w:w w:val="105"/>
          <w:sz w:val="13"/>
        </w:rPr>
        <w:t> </w:t>
      </w:r>
      <w:r>
        <w:rPr>
          <w:w w:val="105"/>
          <w:sz w:val="13"/>
        </w:rPr>
        <w:t>Trustees</w:t>
      </w:r>
      <w:r>
        <w:rPr>
          <w:spacing w:val="5"/>
          <w:w w:val="105"/>
          <w:sz w:val="13"/>
        </w:rPr>
        <w:t> </w:t>
      </w:r>
      <w:r>
        <w:rPr>
          <w:w w:val="105"/>
          <w:sz w:val="13"/>
        </w:rPr>
        <w:t>Limited);</w:t>
      </w:r>
      <w:r>
        <w:rPr>
          <w:spacing w:val="5"/>
          <w:w w:val="105"/>
          <w:sz w:val="13"/>
        </w:rPr>
        <w:t> </w:t>
      </w:r>
      <w:r>
        <w:rPr>
          <w:w w:val="105"/>
          <w:sz w:val="13"/>
        </w:rPr>
        <w:t>36</w:t>
      </w:r>
      <w:r>
        <w:rPr>
          <w:spacing w:val="6"/>
          <w:w w:val="105"/>
          <w:sz w:val="13"/>
        </w:rPr>
        <w:t> </w:t>
      </w:r>
      <w:r>
        <w:rPr>
          <w:spacing w:val="3"/>
          <w:w w:val="105"/>
          <w:sz w:val="13"/>
        </w:rPr>
        <w:t>(Law</w:t>
      </w:r>
      <w:r>
        <w:rPr>
          <w:spacing w:val="5"/>
          <w:w w:val="105"/>
          <w:sz w:val="13"/>
        </w:rPr>
        <w:t> </w:t>
      </w:r>
      <w:r>
        <w:rPr>
          <w:w w:val="105"/>
          <w:sz w:val="13"/>
        </w:rPr>
        <w:t>Society</w:t>
      </w:r>
      <w:r>
        <w:rPr>
          <w:spacing w:val="6"/>
          <w:w w:val="105"/>
          <w:sz w:val="13"/>
        </w:rPr>
        <w:t> </w:t>
      </w:r>
      <w:r>
        <w:rPr>
          <w:w w:val="105"/>
          <w:sz w:val="13"/>
        </w:rPr>
        <w:t>of</w:t>
      </w:r>
      <w:r>
        <w:rPr>
          <w:spacing w:val="5"/>
          <w:w w:val="105"/>
          <w:sz w:val="13"/>
        </w:rPr>
        <w:t> </w:t>
      </w:r>
      <w:r>
        <w:rPr>
          <w:w w:val="105"/>
          <w:sz w:val="13"/>
        </w:rPr>
        <w:t>New</w:t>
      </w:r>
      <w:r>
        <w:rPr>
          <w:spacing w:val="5"/>
          <w:w w:val="105"/>
          <w:sz w:val="13"/>
        </w:rPr>
        <w:t> </w:t>
      </w:r>
      <w:r>
        <w:rPr>
          <w:w w:val="105"/>
          <w:sz w:val="13"/>
        </w:rPr>
        <w:t>South</w:t>
      </w:r>
      <w:r>
        <w:rPr>
          <w:spacing w:val="6"/>
          <w:w w:val="105"/>
          <w:sz w:val="13"/>
        </w:rPr>
        <w:t> </w:t>
      </w:r>
      <w:r>
        <w:rPr>
          <w:w w:val="105"/>
          <w:sz w:val="13"/>
        </w:rPr>
        <w:t>Wales);</w:t>
      </w:r>
      <w:r>
        <w:rPr>
          <w:spacing w:val="5"/>
          <w:w w:val="105"/>
          <w:sz w:val="13"/>
        </w:rPr>
        <w:t> </w:t>
      </w:r>
      <w:r>
        <w:rPr>
          <w:w w:val="105"/>
          <w:sz w:val="13"/>
        </w:rPr>
        <w:t>40</w:t>
      </w:r>
      <w:r>
        <w:rPr>
          <w:spacing w:val="5"/>
          <w:w w:val="105"/>
          <w:sz w:val="13"/>
        </w:rPr>
        <w:t> </w:t>
      </w:r>
      <w:r>
        <w:rPr>
          <w:w w:val="105"/>
          <w:sz w:val="13"/>
        </w:rPr>
        <w:t>(Janice</w:t>
      </w:r>
      <w:r>
        <w:rPr>
          <w:spacing w:val="6"/>
          <w:w w:val="105"/>
          <w:sz w:val="13"/>
        </w:rPr>
        <w:t> </w:t>
      </w:r>
      <w:r>
        <w:rPr>
          <w:w w:val="105"/>
          <w:sz w:val="13"/>
        </w:rPr>
        <w:t>Brownfoot).</w:t>
      </w:r>
    </w:p>
    <w:p>
      <w:pPr>
        <w:pStyle w:val="ListParagraph"/>
        <w:numPr>
          <w:ilvl w:val="0"/>
          <w:numId w:val="58"/>
        </w:numPr>
        <w:tabs>
          <w:tab w:pos="2381" w:val="left" w:leader="none"/>
          <w:tab w:pos="2382" w:val="left" w:leader="none"/>
        </w:tabs>
        <w:spacing w:line="240" w:lineRule="auto" w:before="3" w:after="0"/>
        <w:ind w:left="2381" w:right="1594" w:hanging="794"/>
        <w:jc w:val="left"/>
        <w:rPr>
          <w:sz w:val="13"/>
        </w:rPr>
      </w:pPr>
      <w:r>
        <w:rPr>
          <w:w w:val="105"/>
          <w:sz w:val="13"/>
        </w:rPr>
        <w:t>Submission 26 </w:t>
      </w:r>
      <w:r>
        <w:rPr>
          <w:spacing w:val="2"/>
          <w:w w:val="105"/>
          <w:sz w:val="13"/>
        </w:rPr>
        <w:t>(Rigby </w:t>
      </w:r>
      <w:r>
        <w:rPr>
          <w:w w:val="105"/>
          <w:sz w:val="13"/>
        </w:rPr>
        <w:t>Cooke </w:t>
      </w:r>
      <w:r>
        <w:rPr>
          <w:spacing w:val="2"/>
          <w:w w:val="105"/>
          <w:sz w:val="13"/>
        </w:rPr>
        <w:t>Lawyers), </w:t>
      </w:r>
      <w:r>
        <w:rPr>
          <w:w w:val="105"/>
          <w:sz w:val="13"/>
        </w:rPr>
        <w:t>although this submission questioned whether there should be an increase in both the legacy and the share of the</w:t>
      </w:r>
      <w:r>
        <w:rPr>
          <w:spacing w:val="13"/>
          <w:w w:val="105"/>
          <w:sz w:val="13"/>
        </w:rPr>
        <w:t> </w:t>
      </w:r>
      <w:r>
        <w:rPr>
          <w:w w:val="105"/>
          <w:sz w:val="13"/>
        </w:rPr>
        <w:t>remainder.</w:t>
      </w:r>
    </w:p>
    <w:p>
      <w:pPr>
        <w:pStyle w:val="ListParagraph"/>
        <w:numPr>
          <w:ilvl w:val="0"/>
          <w:numId w:val="58"/>
        </w:numPr>
        <w:tabs>
          <w:tab w:pos="2381" w:val="left" w:leader="none"/>
          <w:tab w:pos="2382" w:val="left" w:leader="none"/>
        </w:tabs>
        <w:spacing w:line="240" w:lineRule="auto" w:before="2" w:after="0"/>
        <w:ind w:left="1587" w:right="6965" w:firstLine="0"/>
        <w:jc w:val="left"/>
        <w:rPr>
          <w:sz w:val="13"/>
        </w:rPr>
      </w:pPr>
      <w:r>
        <w:rPr>
          <w:w w:val="105"/>
          <w:sz w:val="13"/>
        </w:rPr>
        <w:t>Submission </w:t>
      </w:r>
      <w:r>
        <w:rPr>
          <w:spacing w:val="-3"/>
          <w:w w:val="105"/>
          <w:sz w:val="13"/>
        </w:rPr>
        <w:t>14 </w:t>
      </w:r>
      <w:r>
        <w:rPr>
          <w:w w:val="105"/>
          <w:sz w:val="13"/>
        </w:rPr>
        <w:t>(Commercial Bar </w:t>
      </w:r>
      <w:r>
        <w:rPr>
          <w:spacing w:val="2"/>
          <w:w w:val="105"/>
          <w:sz w:val="13"/>
        </w:rPr>
        <w:t>Association). </w:t>
      </w:r>
      <w:r>
        <w:rPr>
          <w:w w:val="105"/>
          <w:sz w:val="13"/>
        </w:rPr>
        <w:t>130</w:t>
        <w:tab/>
        <w:t>Submission 25 </w:t>
      </w:r>
      <w:r>
        <w:rPr>
          <w:spacing w:val="2"/>
          <w:w w:val="105"/>
          <w:sz w:val="13"/>
        </w:rPr>
        <w:t>(Moores</w:t>
      </w:r>
      <w:r>
        <w:rPr>
          <w:spacing w:val="14"/>
          <w:w w:val="105"/>
          <w:sz w:val="13"/>
        </w:rPr>
        <w:t> </w:t>
      </w:r>
      <w:r>
        <w:rPr>
          <w:w w:val="105"/>
          <w:sz w:val="13"/>
        </w:rPr>
        <w:t>Legal).</w:t>
      </w:r>
    </w:p>
    <w:p>
      <w:pPr>
        <w:pStyle w:val="ListParagraph"/>
        <w:numPr>
          <w:ilvl w:val="0"/>
          <w:numId w:val="60"/>
        </w:numPr>
        <w:tabs>
          <w:tab w:pos="2381" w:val="left" w:leader="none"/>
          <w:tab w:pos="2382" w:val="left" w:leader="none"/>
        </w:tabs>
        <w:spacing w:line="240" w:lineRule="auto" w:before="3" w:after="0"/>
        <w:ind w:left="2381" w:right="1591" w:hanging="794"/>
        <w:jc w:val="left"/>
        <w:rPr>
          <w:sz w:val="13"/>
        </w:rPr>
      </w:pPr>
      <w:r>
        <w:rPr>
          <w:w w:val="105"/>
          <w:sz w:val="13"/>
        </w:rPr>
        <w:t>At </w:t>
      </w:r>
      <w:r>
        <w:rPr>
          <w:spacing w:val="-3"/>
          <w:w w:val="105"/>
          <w:sz w:val="13"/>
        </w:rPr>
        <w:t>[5.114] </w:t>
      </w:r>
      <w:r>
        <w:rPr>
          <w:w w:val="105"/>
          <w:sz w:val="13"/>
        </w:rPr>
        <w:t>below, the Commission recommends that where the deceased person is survived by multiple partners, as well as children or other issue</w:t>
      </w:r>
      <w:r>
        <w:rPr>
          <w:spacing w:val="3"/>
          <w:w w:val="105"/>
          <w:sz w:val="13"/>
        </w:rPr>
        <w:t> </w:t>
      </w:r>
      <w:r>
        <w:rPr>
          <w:w w:val="105"/>
          <w:sz w:val="13"/>
        </w:rPr>
        <w:t>who</w:t>
      </w:r>
      <w:r>
        <w:rPr>
          <w:spacing w:val="4"/>
          <w:w w:val="105"/>
          <w:sz w:val="13"/>
        </w:rPr>
        <w:t> </w:t>
      </w:r>
      <w:r>
        <w:rPr>
          <w:w w:val="105"/>
          <w:sz w:val="13"/>
        </w:rPr>
        <w:t>are</w:t>
      </w:r>
      <w:r>
        <w:rPr>
          <w:spacing w:val="4"/>
          <w:w w:val="105"/>
          <w:sz w:val="13"/>
        </w:rPr>
        <w:t> </w:t>
      </w:r>
      <w:r>
        <w:rPr>
          <w:w w:val="105"/>
          <w:sz w:val="13"/>
        </w:rPr>
        <w:t>entitled</w:t>
      </w:r>
      <w:r>
        <w:rPr>
          <w:spacing w:val="4"/>
          <w:w w:val="105"/>
          <w:sz w:val="13"/>
        </w:rPr>
        <w:t> </w:t>
      </w:r>
      <w:r>
        <w:rPr>
          <w:w w:val="105"/>
          <w:sz w:val="13"/>
        </w:rPr>
        <w:t>to</w:t>
      </w:r>
      <w:r>
        <w:rPr>
          <w:spacing w:val="4"/>
          <w:w w:val="105"/>
          <w:sz w:val="13"/>
        </w:rPr>
        <w:t> </w:t>
      </w:r>
      <w:r>
        <w:rPr>
          <w:w w:val="105"/>
          <w:sz w:val="13"/>
        </w:rPr>
        <w:t>a</w:t>
      </w:r>
      <w:r>
        <w:rPr>
          <w:spacing w:val="4"/>
          <w:w w:val="105"/>
          <w:sz w:val="13"/>
        </w:rPr>
        <w:t> </w:t>
      </w:r>
      <w:r>
        <w:rPr>
          <w:w w:val="105"/>
          <w:sz w:val="13"/>
        </w:rPr>
        <w:t>share,</w:t>
      </w:r>
      <w:r>
        <w:rPr>
          <w:spacing w:val="3"/>
          <w:w w:val="105"/>
          <w:sz w:val="13"/>
        </w:rPr>
        <w:t> </w:t>
      </w:r>
      <w:r>
        <w:rPr>
          <w:w w:val="105"/>
          <w:sz w:val="13"/>
        </w:rPr>
        <w:t>the</w:t>
      </w:r>
      <w:r>
        <w:rPr>
          <w:spacing w:val="4"/>
          <w:w w:val="105"/>
          <w:sz w:val="13"/>
        </w:rPr>
        <w:t> </w:t>
      </w:r>
      <w:r>
        <w:rPr>
          <w:w w:val="105"/>
          <w:sz w:val="13"/>
        </w:rPr>
        <w:t>partners</w:t>
      </w:r>
      <w:r>
        <w:rPr>
          <w:spacing w:val="4"/>
          <w:w w:val="105"/>
          <w:sz w:val="13"/>
        </w:rPr>
        <w:t> </w:t>
      </w:r>
      <w:r>
        <w:rPr>
          <w:w w:val="105"/>
          <w:sz w:val="13"/>
        </w:rPr>
        <w:t>should</w:t>
      </w:r>
      <w:r>
        <w:rPr>
          <w:spacing w:val="4"/>
          <w:w w:val="105"/>
          <w:sz w:val="13"/>
        </w:rPr>
        <w:t> </w:t>
      </w:r>
      <w:r>
        <w:rPr>
          <w:w w:val="105"/>
          <w:sz w:val="13"/>
        </w:rPr>
        <w:t>share</w:t>
      </w:r>
      <w:r>
        <w:rPr>
          <w:spacing w:val="4"/>
          <w:w w:val="105"/>
          <w:sz w:val="13"/>
        </w:rPr>
        <w:t> </w:t>
      </w:r>
      <w:r>
        <w:rPr>
          <w:w w:val="105"/>
          <w:sz w:val="13"/>
        </w:rPr>
        <w:t>the</w:t>
      </w:r>
      <w:r>
        <w:rPr>
          <w:spacing w:val="4"/>
          <w:w w:val="105"/>
          <w:sz w:val="13"/>
        </w:rPr>
        <w:t> </w:t>
      </w:r>
      <w:r>
        <w:rPr>
          <w:w w:val="105"/>
          <w:sz w:val="13"/>
        </w:rPr>
        <w:t>portion</w:t>
      </w:r>
      <w:r>
        <w:rPr>
          <w:spacing w:val="3"/>
          <w:w w:val="105"/>
          <w:sz w:val="13"/>
        </w:rPr>
        <w:t> </w:t>
      </w:r>
      <w:r>
        <w:rPr>
          <w:w w:val="105"/>
          <w:sz w:val="13"/>
        </w:rPr>
        <w:t>of</w:t>
      </w:r>
      <w:r>
        <w:rPr>
          <w:spacing w:val="4"/>
          <w:w w:val="105"/>
          <w:sz w:val="13"/>
        </w:rPr>
        <w:t> </w:t>
      </w:r>
      <w:r>
        <w:rPr>
          <w:w w:val="105"/>
          <w:sz w:val="13"/>
        </w:rPr>
        <w:t>the</w:t>
      </w:r>
      <w:r>
        <w:rPr>
          <w:spacing w:val="4"/>
          <w:w w:val="105"/>
          <w:sz w:val="13"/>
        </w:rPr>
        <w:t> </w:t>
      </w:r>
      <w:r>
        <w:rPr>
          <w:w w:val="105"/>
          <w:sz w:val="13"/>
        </w:rPr>
        <w:t>remainder</w:t>
      </w:r>
      <w:r>
        <w:rPr>
          <w:spacing w:val="4"/>
          <w:w w:val="105"/>
          <w:sz w:val="13"/>
        </w:rPr>
        <w:t> </w:t>
      </w:r>
      <w:r>
        <w:rPr>
          <w:w w:val="105"/>
          <w:sz w:val="13"/>
        </w:rPr>
        <w:t>that</w:t>
      </w:r>
      <w:r>
        <w:rPr>
          <w:spacing w:val="4"/>
          <w:w w:val="105"/>
          <w:sz w:val="13"/>
        </w:rPr>
        <w:t> </w:t>
      </w:r>
      <w:r>
        <w:rPr>
          <w:w w:val="105"/>
          <w:sz w:val="13"/>
        </w:rPr>
        <w:t>one</w:t>
      </w:r>
      <w:r>
        <w:rPr>
          <w:spacing w:val="4"/>
          <w:w w:val="105"/>
          <w:sz w:val="13"/>
        </w:rPr>
        <w:t> </w:t>
      </w:r>
      <w:r>
        <w:rPr>
          <w:w w:val="105"/>
          <w:sz w:val="13"/>
        </w:rPr>
        <w:t>partner</w:t>
      </w:r>
      <w:r>
        <w:rPr>
          <w:spacing w:val="4"/>
          <w:w w:val="105"/>
          <w:sz w:val="13"/>
        </w:rPr>
        <w:t> </w:t>
      </w:r>
      <w:r>
        <w:rPr>
          <w:w w:val="105"/>
          <w:sz w:val="13"/>
        </w:rPr>
        <w:t>would</w:t>
      </w:r>
      <w:r>
        <w:rPr>
          <w:spacing w:val="3"/>
          <w:w w:val="105"/>
          <w:sz w:val="13"/>
        </w:rPr>
        <w:t> </w:t>
      </w:r>
      <w:r>
        <w:rPr>
          <w:w w:val="105"/>
          <w:sz w:val="13"/>
        </w:rPr>
        <w:t>have</w:t>
      </w:r>
      <w:r>
        <w:rPr>
          <w:spacing w:val="4"/>
          <w:w w:val="105"/>
          <w:sz w:val="13"/>
        </w:rPr>
        <w:t> </w:t>
      </w:r>
      <w:r>
        <w:rPr>
          <w:w w:val="105"/>
          <w:sz w:val="13"/>
        </w:rPr>
        <w:t>received.</w:t>
      </w:r>
    </w:p>
    <w:p>
      <w:pPr>
        <w:pStyle w:val="ListParagraph"/>
        <w:numPr>
          <w:ilvl w:val="0"/>
          <w:numId w:val="60"/>
        </w:numPr>
        <w:tabs>
          <w:tab w:pos="2381" w:val="left" w:leader="none"/>
          <w:tab w:pos="2382" w:val="left" w:leader="none"/>
        </w:tabs>
        <w:spacing w:line="240" w:lineRule="auto" w:before="3" w:after="0"/>
        <w:ind w:left="2381" w:right="0" w:hanging="794"/>
        <w:jc w:val="left"/>
        <w:rPr>
          <w:sz w:val="13"/>
        </w:rPr>
      </w:pPr>
      <w:r>
        <w:rPr/>
        <w:pict>
          <v:shape style="position:absolute;margin-left:36pt;margin-top:3.696365pt;width:13.25pt;height:14.25pt;mso-position-horizontal-relative:page;mso-position-vertical-relative:paragraph;z-index:6640" type="#_x0000_t202" filled="false" stroked="false">
            <v:textbox inset="0,0,0,0">
              <w:txbxContent>
                <w:p>
                  <w:pPr>
                    <w:spacing w:line="284" w:lineRule="exact" w:before="0"/>
                    <w:ind w:left="0" w:right="0" w:firstLine="0"/>
                    <w:jc w:val="left"/>
                    <w:rPr>
                      <w:b/>
                      <w:sz w:val="24"/>
                    </w:rPr>
                  </w:pPr>
                  <w:r>
                    <w:rPr>
                      <w:b/>
                      <w:color w:val="EC5A4F"/>
                      <w:spacing w:val="-2"/>
                      <w:w w:val="110"/>
                      <w:sz w:val="24"/>
                    </w:rPr>
                    <w:t>72</w:t>
                  </w:r>
                </w:p>
              </w:txbxContent>
            </v:textbox>
            <w10:wrap type="none"/>
          </v:shape>
        </w:pict>
      </w:r>
      <w:r>
        <w:rPr>
          <w:i/>
          <w:w w:val="105"/>
          <w:sz w:val="13"/>
        </w:rPr>
        <w:t>Administration</w:t>
      </w:r>
      <w:r>
        <w:rPr>
          <w:i/>
          <w:spacing w:val="3"/>
          <w:w w:val="105"/>
          <w:sz w:val="13"/>
        </w:rPr>
        <w:t> </w:t>
      </w:r>
      <w:r>
        <w:rPr>
          <w:i/>
          <w:w w:val="105"/>
          <w:sz w:val="13"/>
        </w:rPr>
        <w:t>and</w:t>
      </w:r>
      <w:r>
        <w:rPr>
          <w:i/>
          <w:spacing w:val="4"/>
          <w:w w:val="105"/>
          <w:sz w:val="13"/>
        </w:rPr>
        <w:t> </w:t>
      </w:r>
      <w:r>
        <w:rPr>
          <w:i/>
          <w:w w:val="105"/>
          <w:sz w:val="13"/>
        </w:rPr>
        <w:t>Probate</w:t>
      </w:r>
      <w:r>
        <w:rPr>
          <w:i/>
          <w:spacing w:val="3"/>
          <w:w w:val="105"/>
          <w:sz w:val="13"/>
        </w:rPr>
        <w:t> </w:t>
      </w:r>
      <w:r>
        <w:rPr>
          <w:i/>
          <w:w w:val="105"/>
          <w:sz w:val="13"/>
        </w:rPr>
        <w:t>Act</w:t>
      </w:r>
      <w:r>
        <w:rPr>
          <w:i/>
          <w:spacing w:val="4"/>
          <w:w w:val="105"/>
          <w:sz w:val="13"/>
        </w:rPr>
        <w:t> </w:t>
      </w:r>
      <w:r>
        <w:rPr>
          <w:i/>
          <w:w w:val="105"/>
          <w:sz w:val="13"/>
        </w:rPr>
        <w:t>1958</w:t>
      </w:r>
      <w:r>
        <w:rPr>
          <w:i/>
          <w:spacing w:val="3"/>
          <w:w w:val="105"/>
          <w:sz w:val="13"/>
        </w:rPr>
        <w:t> </w:t>
      </w:r>
      <w:r>
        <w:rPr>
          <w:spacing w:val="2"/>
          <w:w w:val="105"/>
          <w:sz w:val="13"/>
        </w:rPr>
        <w:t>(Vic)</w:t>
      </w:r>
      <w:r>
        <w:rPr>
          <w:spacing w:val="5"/>
          <w:w w:val="105"/>
          <w:sz w:val="13"/>
        </w:rPr>
        <w:t> </w:t>
      </w:r>
      <w:r>
        <w:rPr>
          <w:w w:val="105"/>
          <w:sz w:val="13"/>
        </w:rPr>
        <w:t>ss</w:t>
      </w:r>
      <w:r>
        <w:rPr>
          <w:spacing w:val="4"/>
          <w:w w:val="105"/>
          <w:sz w:val="13"/>
        </w:rPr>
        <w:t> </w:t>
      </w:r>
      <w:r>
        <w:rPr>
          <w:w w:val="105"/>
          <w:sz w:val="13"/>
        </w:rPr>
        <w:t>51(2),</w:t>
      </w:r>
      <w:r>
        <w:rPr>
          <w:spacing w:val="5"/>
          <w:w w:val="105"/>
          <w:sz w:val="13"/>
        </w:rPr>
        <w:t> </w:t>
      </w:r>
      <w:r>
        <w:rPr>
          <w:spacing w:val="2"/>
          <w:w w:val="105"/>
          <w:sz w:val="13"/>
        </w:rPr>
        <w:t>52(1)(f).</w:t>
      </w:r>
      <w:r>
        <w:rPr>
          <w:spacing w:val="4"/>
          <w:w w:val="105"/>
          <w:sz w:val="13"/>
        </w:rPr>
        <w:t> </w:t>
      </w:r>
      <w:r>
        <w:rPr>
          <w:w w:val="105"/>
          <w:sz w:val="13"/>
        </w:rPr>
        <w:t>See</w:t>
      </w:r>
      <w:r>
        <w:rPr>
          <w:spacing w:val="5"/>
          <w:w w:val="105"/>
          <w:sz w:val="13"/>
        </w:rPr>
        <w:t> </w:t>
      </w:r>
      <w:r>
        <w:rPr>
          <w:w w:val="105"/>
          <w:sz w:val="13"/>
        </w:rPr>
        <w:t>discussion</w:t>
      </w:r>
      <w:r>
        <w:rPr>
          <w:spacing w:val="4"/>
          <w:w w:val="105"/>
          <w:sz w:val="13"/>
        </w:rPr>
        <w:t> </w:t>
      </w:r>
      <w:r>
        <w:rPr>
          <w:w w:val="105"/>
          <w:sz w:val="13"/>
        </w:rPr>
        <w:t>at</w:t>
      </w:r>
      <w:r>
        <w:rPr>
          <w:spacing w:val="5"/>
          <w:w w:val="105"/>
          <w:sz w:val="13"/>
        </w:rPr>
        <w:t> </w:t>
      </w:r>
      <w:r>
        <w:rPr>
          <w:w w:val="105"/>
          <w:sz w:val="13"/>
        </w:rPr>
        <w:t>[5.45]</w:t>
      </w:r>
      <w:r>
        <w:rPr>
          <w:spacing w:val="4"/>
          <w:w w:val="105"/>
          <w:sz w:val="13"/>
        </w:rPr>
        <w:t> </w:t>
      </w:r>
      <w:r>
        <w:rPr>
          <w:w w:val="105"/>
          <w:sz w:val="13"/>
        </w:rPr>
        <w:t>above.</w:t>
      </w:r>
    </w:p>
    <w:p>
      <w:pPr>
        <w:pStyle w:val="ListParagraph"/>
        <w:numPr>
          <w:ilvl w:val="0"/>
          <w:numId w:val="60"/>
        </w:numPr>
        <w:tabs>
          <w:tab w:pos="2381" w:val="left" w:leader="none"/>
          <w:tab w:pos="2382" w:val="left" w:leader="none"/>
        </w:tabs>
        <w:spacing w:line="240" w:lineRule="auto" w:before="1" w:after="0"/>
        <w:ind w:left="2381" w:right="0" w:hanging="794"/>
        <w:jc w:val="left"/>
        <w:rPr>
          <w:sz w:val="13"/>
        </w:rPr>
      </w:pPr>
      <w:r>
        <w:rPr>
          <w:w w:val="105"/>
          <w:sz w:val="13"/>
        </w:rPr>
        <w:t>Ibid s</w:t>
      </w:r>
      <w:r>
        <w:rPr>
          <w:spacing w:val="9"/>
          <w:w w:val="105"/>
          <w:sz w:val="13"/>
        </w:rPr>
        <w:t> </w:t>
      </w:r>
      <w:r>
        <w:rPr>
          <w:w w:val="105"/>
          <w:sz w:val="13"/>
        </w:rPr>
        <w:t>51A.</w:t>
      </w:r>
    </w:p>
    <w:p>
      <w:pPr>
        <w:spacing w:after="0" w:line="240" w:lineRule="auto"/>
        <w:jc w:val="left"/>
        <w:rPr>
          <w:sz w:val="13"/>
        </w:rPr>
        <w:sectPr>
          <w:pgSz w:w="11910" w:h="16840"/>
          <w:pgMar w:header="550" w:footer="0" w:top="1560" w:bottom="280" w:left="0" w:right="0"/>
        </w:sectPr>
      </w:pPr>
    </w:p>
    <w:p>
      <w:pPr>
        <w:pStyle w:val="BodyText"/>
        <w:rPr>
          <w:sz w:val="20"/>
        </w:rPr>
      </w:pPr>
    </w:p>
    <w:p>
      <w:pPr>
        <w:pStyle w:val="BodyText"/>
        <w:rPr>
          <w:sz w:val="19"/>
        </w:rPr>
      </w:pPr>
    </w:p>
    <w:p>
      <w:pPr>
        <w:pStyle w:val="ListParagraph"/>
        <w:numPr>
          <w:ilvl w:val="1"/>
          <w:numId w:val="22"/>
        </w:numPr>
        <w:tabs>
          <w:tab w:pos="2380" w:val="left" w:leader="none"/>
          <w:tab w:pos="2381" w:val="left" w:leader="none"/>
        </w:tabs>
        <w:spacing w:line="242" w:lineRule="auto" w:before="91" w:after="0"/>
        <w:ind w:left="2381" w:right="1970" w:hanging="794"/>
        <w:jc w:val="left"/>
        <w:rPr>
          <w:sz w:val="12"/>
        </w:rPr>
      </w:pPr>
      <w:r>
        <w:rPr>
          <w:sz w:val="21"/>
        </w:rPr>
        <w:t>The </w:t>
      </w:r>
      <w:r>
        <w:rPr>
          <w:spacing w:val="-3"/>
          <w:sz w:val="21"/>
        </w:rPr>
        <w:t>Administration </w:t>
      </w:r>
      <w:r>
        <w:rPr>
          <w:sz w:val="21"/>
        </w:rPr>
        <w:t>and </w:t>
      </w:r>
      <w:r>
        <w:rPr>
          <w:spacing w:val="-3"/>
          <w:sz w:val="21"/>
        </w:rPr>
        <w:t>Probate </w:t>
      </w:r>
      <w:r>
        <w:rPr>
          <w:sz w:val="21"/>
        </w:rPr>
        <w:t>Act </w:t>
      </w:r>
      <w:r>
        <w:rPr>
          <w:spacing w:val="-3"/>
          <w:sz w:val="21"/>
        </w:rPr>
        <w:t>contains </w:t>
      </w:r>
      <w:r>
        <w:rPr>
          <w:sz w:val="21"/>
        </w:rPr>
        <w:t>a </w:t>
      </w:r>
      <w:r>
        <w:rPr>
          <w:spacing w:val="-3"/>
          <w:sz w:val="21"/>
        </w:rPr>
        <w:t>provision to </w:t>
      </w:r>
      <w:r>
        <w:rPr>
          <w:sz w:val="21"/>
        </w:rPr>
        <w:t>remedy this in some </w:t>
      </w:r>
      <w:r>
        <w:rPr>
          <w:spacing w:val="-3"/>
          <w:sz w:val="21"/>
        </w:rPr>
        <w:t>circumstances. </w:t>
      </w:r>
      <w:r>
        <w:rPr>
          <w:sz w:val="21"/>
        </w:rPr>
        <w:t>If a person dies </w:t>
      </w:r>
      <w:r>
        <w:rPr>
          <w:spacing w:val="-3"/>
          <w:sz w:val="21"/>
        </w:rPr>
        <w:t>intestate </w:t>
      </w:r>
      <w:r>
        <w:rPr>
          <w:sz w:val="21"/>
        </w:rPr>
        <w:t>as </w:t>
      </w:r>
      <w:r>
        <w:rPr>
          <w:spacing w:val="-3"/>
          <w:sz w:val="21"/>
        </w:rPr>
        <w:t>to </w:t>
      </w:r>
      <w:r>
        <w:rPr>
          <w:sz w:val="21"/>
        </w:rPr>
        <w:t>an </w:t>
      </w:r>
      <w:r>
        <w:rPr>
          <w:spacing w:val="-3"/>
          <w:sz w:val="21"/>
        </w:rPr>
        <w:t>interest </w:t>
      </w:r>
      <w:r>
        <w:rPr>
          <w:sz w:val="21"/>
        </w:rPr>
        <w:t>in the </w:t>
      </w:r>
      <w:r>
        <w:rPr>
          <w:spacing w:val="-3"/>
          <w:sz w:val="21"/>
        </w:rPr>
        <w:t>shared </w:t>
      </w:r>
      <w:r>
        <w:rPr>
          <w:sz w:val="21"/>
        </w:rPr>
        <w:t>home—that is,  the </w:t>
      </w:r>
      <w:r>
        <w:rPr>
          <w:spacing w:val="-3"/>
          <w:sz w:val="21"/>
        </w:rPr>
        <w:t>principal place </w:t>
      </w:r>
      <w:r>
        <w:rPr>
          <w:sz w:val="21"/>
        </w:rPr>
        <w:t>of </w:t>
      </w:r>
      <w:r>
        <w:rPr>
          <w:spacing w:val="-3"/>
          <w:sz w:val="21"/>
        </w:rPr>
        <w:t>residence that </w:t>
      </w:r>
      <w:r>
        <w:rPr>
          <w:sz w:val="21"/>
        </w:rPr>
        <w:t>they </w:t>
      </w:r>
      <w:r>
        <w:rPr>
          <w:spacing w:val="-3"/>
          <w:sz w:val="21"/>
        </w:rPr>
        <w:t>shared </w:t>
      </w:r>
      <w:r>
        <w:rPr>
          <w:sz w:val="21"/>
        </w:rPr>
        <w:t>with their partner at the time of their death—the deceased </w:t>
      </w:r>
      <w:r>
        <w:rPr>
          <w:spacing w:val="-3"/>
          <w:sz w:val="21"/>
        </w:rPr>
        <w:t>person’s </w:t>
      </w:r>
      <w:r>
        <w:rPr>
          <w:sz w:val="21"/>
        </w:rPr>
        <w:t>partner </w:t>
      </w:r>
      <w:r>
        <w:rPr>
          <w:spacing w:val="-3"/>
          <w:sz w:val="21"/>
        </w:rPr>
        <w:t>may </w:t>
      </w:r>
      <w:r>
        <w:rPr>
          <w:sz w:val="21"/>
        </w:rPr>
        <w:t>elect </w:t>
      </w:r>
      <w:r>
        <w:rPr>
          <w:spacing w:val="-3"/>
          <w:sz w:val="21"/>
        </w:rPr>
        <w:t>to acquire that interest </w:t>
      </w:r>
      <w:r>
        <w:rPr>
          <w:sz w:val="21"/>
        </w:rPr>
        <w:t>at its </w:t>
      </w:r>
      <w:r>
        <w:rPr>
          <w:spacing w:val="-3"/>
          <w:sz w:val="21"/>
        </w:rPr>
        <w:t>value </w:t>
      </w:r>
      <w:r>
        <w:rPr>
          <w:sz w:val="21"/>
        </w:rPr>
        <w:t>at the </w:t>
      </w:r>
      <w:r>
        <w:rPr>
          <w:spacing w:val="-3"/>
          <w:sz w:val="21"/>
        </w:rPr>
        <w:t>date </w:t>
      </w:r>
      <w:r>
        <w:rPr>
          <w:sz w:val="21"/>
        </w:rPr>
        <w:t>of the deceased </w:t>
      </w:r>
      <w:r>
        <w:rPr>
          <w:spacing w:val="-3"/>
          <w:sz w:val="21"/>
        </w:rPr>
        <w:t>person’s</w:t>
      </w:r>
      <w:r>
        <w:rPr>
          <w:spacing w:val="15"/>
          <w:sz w:val="21"/>
        </w:rPr>
        <w:t> </w:t>
      </w:r>
      <w:r>
        <w:rPr>
          <w:spacing w:val="-5"/>
          <w:sz w:val="21"/>
        </w:rPr>
        <w:t>death.</w:t>
      </w:r>
      <w:r>
        <w:rPr>
          <w:spacing w:val="-5"/>
          <w:position w:val="7"/>
          <w:sz w:val="12"/>
        </w:rPr>
        <w:t>134</w:t>
      </w:r>
    </w:p>
    <w:p>
      <w:pPr>
        <w:pStyle w:val="ListParagraph"/>
        <w:numPr>
          <w:ilvl w:val="1"/>
          <w:numId w:val="22"/>
        </w:numPr>
        <w:tabs>
          <w:tab w:pos="2380" w:val="left" w:leader="none"/>
          <w:tab w:pos="2382" w:val="left" w:leader="none"/>
        </w:tabs>
        <w:spacing w:line="242" w:lineRule="auto" w:before="126" w:after="0"/>
        <w:ind w:left="2381" w:right="1618" w:hanging="794"/>
        <w:jc w:val="left"/>
        <w:rPr>
          <w:sz w:val="12"/>
        </w:rPr>
      </w:pPr>
      <w:r>
        <w:rPr>
          <w:sz w:val="21"/>
        </w:rPr>
        <w:t>If the partner elects </w:t>
      </w:r>
      <w:r>
        <w:rPr>
          <w:spacing w:val="-3"/>
          <w:sz w:val="21"/>
        </w:rPr>
        <w:t>to acquire </w:t>
      </w:r>
      <w:r>
        <w:rPr>
          <w:sz w:val="21"/>
        </w:rPr>
        <w:t>the </w:t>
      </w:r>
      <w:r>
        <w:rPr>
          <w:spacing w:val="-3"/>
          <w:sz w:val="21"/>
        </w:rPr>
        <w:t>interest </w:t>
      </w:r>
      <w:r>
        <w:rPr>
          <w:sz w:val="21"/>
        </w:rPr>
        <w:t>in the </w:t>
      </w:r>
      <w:r>
        <w:rPr>
          <w:spacing w:val="-3"/>
          <w:sz w:val="21"/>
        </w:rPr>
        <w:t>shared home, </w:t>
      </w:r>
      <w:r>
        <w:rPr>
          <w:sz w:val="21"/>
        </w:rPr>
        <w:t>their </w:t>
      </w:r>
      <w:r>
        <w:rPr>
          <w:spacing w:val="-3"/>
          <w:sz w:val="21"/>
        </w:rPr>
        <w:t>share </w:t>
      </w:r>
      <w:r>
        <w:rPr>
          <w:sz w:val="21"/>
        </w:rPr>
        <w:t>of the </w:t>
      </w:r>
      <w:r>
        <w:rPr>
          <w:spacing w:val="-3"/>
          <w:sz w:val="21"/>
        </w:rPr>
        <w:t>intestate </w:t>
      </w:r>
      <w:r>
        <w:rPr>
          <w:sz w:val="21"/>
        </w:rPr>
        <w:t>estate is </w:t>
      </w:r>
      <w:r>
        <w:rPr>
          <w:spacing w:val="-3"/>
          <w:sz w:val="21"/>
        </w:rPr>
        <w:t>reduced </w:t>
      </w:r>
      <w:r>
        <w:rPr>
          <w:sz w:val="21"/>
        </w:rPr>
        <w:t>by the </w:t>
      </w:r>
      <w:r>
        <w:rPr>
          <w:spacing w:val="-3"/>
          <w:sz w:val="21"/>
        </w:rPr>
        <w:t>value </w:t>
      </w:r>
      <w:r>
        <w:rPr>
          <w:sz w:val="21"/>
        </w:rPr>
        <w:t>of </w:t>
      </w:r>
      <w:r>
        <w:rPr>
          <w:spacing w:val="-3"/>
          <w:sz w:val="21"/>
        </w:rPr>
        <w:t>that </w:t>
      </w:r>
      <w:r>
        <w:rPr>
          <w:spacing w:val="-5"/>
          <w:sz w:val="21"/>
        </w:rPr>
        <w:t>interest.</w:t>
      </w:r>
      <w:r>
        <w:rPr>
          <w:spacing w:val="-5"/>
          <w:position w:val="7"/>
          <w:sz w:val="12"/>
        </w:rPr>
        <w:t>135 </w:t>
      </w:r>
      <w:r>
        <w:rPr>
          <w:sz w:val="21"/>
        </w:rPr>
        <w:t>If the </w:t>
      </w:r>
      <w:r>
        <w:rPr>
          <w:spacing w:val="-3"/>
          <w:sz w:val="21"/>
        </w:rPr>
        <w:t>value </w:t>
      </w:r>
      <w:r>
        <w:rPr>
          <w:sz w:val="21"/>
        </w:rPr>
        <w:t>of the </w:t>
      </w:r>
      <w:r>
        <w:rPr>
          <w:spacing w:val="-3"/>
          <w:sz w:val="21"/>
        </w:rPr>
        <w:t>interest  </w:t>
      </w:r>
      <w:r>
        <w:rPr>
          <w:sz w:val="21"/>
        </w:rPr>
        <w:t>in the </w:t>
      </w:r>
      <w:r>
        <w:rPr>
          <w:spacing w:val="-3"/>
          <w:sz w:val="21"/>
        </w:rPr>
        <w:t>shared </w:t>
      </w:r>
      <w:r>
        <w:rPr>
          <w:sz w:val="21"/>
        </w:rPr>
        <w:t>home is </w:t>
      </w:r>
      <w:r>
        <w:rPr>
          <w:spacing w:val="-3"/>
          <w:sz w:val="21"/>
        </w:rPr>
        <w:t>greater than </w:t>
      </w:r>
      <w:r>
        <w:rPr>
          <w:sz w:val="21"/>
        </w:rPr>
        <w:t>the partner’s </w:t>
      </w:r>
      <w:r>
        <w:rPr>
          <w:spacing w:val="-3"/>
          <w:sz w:val="21"/>
        </w:rPr>
        <w:t>share </w:t>
      </w:r>
      <w:r>
        <w:rPr>
          <w:sz w:val="21"/>
        </w:rPr>
        <w:t>of the </w:t>
      </w:r>
      <w:r>
        <w:rPr>
          <w:spacing w:val="-3"/>
          <w:sz w:val="21"/>
        </w:rPr>
        <w:t>intestate estate, </w:t>
      </w:r>
      <w:r>
        <w:rPr>
          <w:sz w:val="21"/>
        </w:rPr>
        <w:t>the partner must </w:t>
      </w:r>
      <w:r>
        <w:rPr>
          <w:spacing w:val="-2"/>
          <w:sz w:val="21"/>
        </w:rPr>
        <w:t>pay </w:t>
      </w:r>
      <w:r>
        <w:rPr>
          <w:sz w:val="21"/>
        </w:rPr>
        <w:t>the </w:t>
      </w:r>
      <w:r>
        <w:rPr>
          <w:spacing w:val="-3"/>
          <w:sz w:val="21"/>
        </w:rPr>
        <w:t>difference </w:t>
      </w:r>
      <w:r>
        <w:rPr>
          <w:spacing w:val="-4"/>
          <w:sz w:val="21"/>
        </w:rPr>
        <w:t>into </w:t>
      </w:r>
      <w:r>
        <w:rPr>
          <w:sz w:val="21"/>
        </w:rPr>
        <w:t>the </w:t>
      </w:r>
      <w:r>
        <w:rPr>
          <w:spacing w:val="-3"/>
          <w:sz w:val="21"/>
        </w:rPr>
        <w:t>estate, </w:t>
      </w:r>
      <w:r>
        <w:rPr>
          <w:sz w:val="21"/>
        </w:rPr>
        <w:t>either </w:t>
      </w:r>
      <w:r>
        <w:rPr>
          <w:spacing w:val="-3"/>
          <w:sz w:val="21"/>
        </w:rPr>
        <w:t>before </w:t>
      </w:r>
      <w:r>
        <w:rPr>
          <w:spacing w:val="-2"/>
          <w:sz w:val="21"/>
        </w:rPr>
        <w:t>distribution </w:t>
      </w:r>
      <w:r>
        <w:rPr>
          <w:sz w:val="21"/>
        </w:rPr>
        <w:t>of the estate or </w:t>
      </w:r>
      <w:r>
        <w:rPr>
          <w:spacing w:val="-3"/>
          <w:sz w:val="21"/>
        </w:rPr>
        <w:t>within </w:t>
      </w:r>
      <w:r>
        <w:rPr>
          <w:spacing w:val="-9"/>
          <w:sz w:val="21"/>
        </w:rPr>
        <w:t>12 </w:t>
      </w:r>
      <w:r>
        <w:rPr>
          <w:spacing w:val="-3"/>
          <w:sz w:val="21"/>
        </w:rPr>
        <w:t>months </w:t>
      </w:r>
      <w:r>
        <w:rPr>
          <w:sz w:val="21"/>
        </w:rPr>
        <w:t>of </w:t>
      </w:r>
      <w:r>
        <w:rPr>
          <w:spacing w:val="-3"/>
          <w:sz w:val="21"/>
        </w:rPr>
        <w:t>making </w:t>
      </w:r>
      <w:r>
        <w:rPr>
          <w:sz w:val="21"/>
        </w:rPr>
        <w:t>the election, </w:t>
      </w:r>
      <w:r>
        <w:rPr>
          <w:spacing w:val="-3"/>
          <w:sz w:val="21"/>
        </w:rPr>
        <w:t>whichever </w:t>
      </w:r>
      <w:r>
        <w:rPr>
          <w:sz w:val="21"/>
        </w:rPr>
        <w:t>is</w:t>
      </w:r>
      <w:r>
        <w:rPr>
          <w:spacing w:val="6"/>
          <w:sz w:val="21"/>
        </w:rPr>
        <w:t> </w:t>
      </w:r>
      <w:r>
        <w:rPr>
          <w:spacing w:val="-5"/>
          <w:sz w:val="21"/>
        </w:rPr>
        <w:t>sooner.</w:t>
      </w:r>
      <w:r>
        <w:rPr>
          <w:spacing w:val="-5"/>
          <w:position w:val="7"/>
          <w:sz w:val="12"/>
        </w:rPr>
        <w:t>136</w:t>
      </w:r>
    </w:p>
    <w:p>
      <w:pPr>
        <w:pStyle w:val="ListParagraph"/>
        <w:numPr>
          <w:ilvl w:val="1"/>
          <w:numId w:val="22"/>
        </w:numPr>
        <w:tabs>
          <w:tab w:pos="2381" w:val="left" w:leader="none"/>
        </w:tabs>
        <w:spacing w:line="242" w:lineRule="auto" w:before="125" w:after="0"/>
        <w:ind w:left="2381" w:right="1718" w:hanging="794"/>
        <w:jc w:val="both"/>
        <w:rPr>
          <w:sz w:val="12"/>
        </w:rPr>
      </w:pPr>
      <w:r>
        <w:rPr>
          <w:sz w:val="21"/>
        </w:rPr>
        <w:t>If the </w:t>
      </w:r>
      <w:r>
        <w:rPr>
          <w:spacing w:val="-3"/>
          <w:sz w:val="21"/>
        </w:rPr>
        <w:t>shared </w:t>
      </w:r>
      <w:r>
        <w:rPr>
          <w:sz w:val="21"/>
        </w:rPr>
        <w:t>home is part of a larger property and </w:t>
      </w:r>
      <w:r>
        <w:rPr>
          <w:spacing w:val="-3"/>
          <w:sz w:val="21"/>
        </w:rPr>
        <w:t>cannot </w:t>
      </w:r>
      <w:r>
        <w:rPr>
          <w:sz w:val="21"/>
        </w:rPr>
        <w:t>be severed </w:t>
      </w:r>
      <w:r>
        <w:rPr>
          <w:spacing w:val="-3"/>
          <w:sz w:val="21"/>
        </w:rPr>
        <w:t>from that </w:t>
      </w:r>
      <w:r>
        <w:rPr>
          <w:sz w:val="21"/>
        </w:rPr>
        <w:t>property without </w:t>
      </w:r>
      <w:r>
        <w:rPr>
          <w:spacing w:val="-3"/>
          <w:sz w:val="21"/>
        </w:rPr>
        <w:t>subdivision, </w:t>
      </w:r>
      <w:r>
        <w:rPr>
          <w:sz w:val="21"/>
        </w:rPr>
        <w:t>then a </w:t>
      </w:r>
      <w:r>
        <w:rPr>
          <w:spacing w:val="-3"/>
          <w:sz w:val="21"/>
        </w:rPr>
        <w:t>reference to </w:t>
      </w:r>
      <w:r>
        <w:rPr>
          <w:sz w:val="21"/>
        </w:rPr>
        <w:t>the </w:t>
      </w:r>
      <w:r>
        <w:rPr>
          <w:spacing w:val="-3"/>
          <w:sz w:val="21"/>
        </w:rPr>
        <w:t>shared </w:t>
      </w:r>
      <w:r>
        <w:rPr>
          <w:sz w:val="21"/>
        </w:rPr>
        <w:t>home is deemed </w:t>
      </w:r>
      <w:r>
        <w:rPr>
          <w:spacing w:val="-3"/>
          <w:sz w:val="21"/>
        </w:rPr>
        <w:t>to </w:t>
      </w:r>
      <w:r>
        <w:rPr>
          <w:sz w:val="21"/>
        </w:rPr>
        <w:t>be a </w:t>
      </w:r>
      <w:r>
        <w:rPr>
          <w:spacing w:val="-3"/>
          <w:sz w:val="21"/>
        </w:rPr>
        <w:t>reference  to </w:t>
      </w:r>
      <w:r>
        <w:rPr>
          <w:sz w:val="21"/>
        </w:rPr>
        <w:t>the</w:t>
      </w:r>
      <w:r>
        <w:rPr>
          <w:spacing w:val="21"/>
          <w:sz w:val="21"/>
        </w:rPr>
        <w:t> </w:t>
      </w:r>
      <w:r>
        <w:rPr>
          <w:spacing w:val="-3"/>
          <w:sz w:val="21"/>
        </w:rPr>
        <w:t>entire</w:t>
      </w:r>
      <w:r>
        <w:rPr>
          <w:spacing w:val="22"/>
          <w:sz w:val="21"/>
        </w:rPr>
        <w:t> </w:t>
      </w:r>
      <w:r>
        <w:rPr>
          <w:spacing w:val="-4"/>
          <w:sz w:val="21"/>
        </w:rPr>
        <w:t>property.</w:t>
      </w:r>
      <w:r>
        <w:rPr>
          <w:spacing w:val="-4"/>
          <w:position w:val="7"/>
          <w:sz w:val="12"/>
        </w:rPr>
        <w:t>137</w:t>
      </w:r>
      <w:r>
        <w:rPr>
          <w:spacing w:val="-3"/>
          <w:position w:val="7"/>
          <w:sz w:val="12"/>
        </w:rPr>
        <w:t> </w:t>
      </w:r>
      <w:r>
        <w:rPr>
          <w:sz w:val="21"/>
        </w:rPr>
        <w:t>This</w:t>
      </w:r>
      <w:r>
        <w:rPr>
          <w:spacing w:val="22"/>
          <w:sz w:val="21"/>
        </w:rPr>
        <w:t> </w:t>
      </w:r>
      <w:r>
        <w:rPr>
          <w:spacing w:val="-3"/>
          <w:sz w:val="21"/>
        </w:rPr>
        <w:t>includes</w:t>
      </w:r>
      <w:r>
        <w:rPr>
          <w:spacing w:val="21"/>
          <w:sz w:val="21"/>
        </w:rPr>
        <w:t> </w:t>
      </w:r>
      <w:r>
        <w:rPr>
          <w:spacing w:val="-3"/>
          <w:sz w:val="21"/>
        </w:rPr>
        <w:t>situations</w:t>
      </w:r>
      <w:r>
        <w:rPr>
          <w:spacing w:val="22"/>
          <w:sz w:val="21"/>
        </w:rPr>
        <w:t> </w:t>
      </w:r>
      <w:r>
        <w:rPr>
          <w:sz w:val="21"/>
        </w:rPr>
        <w:t>where</w:t>
      </w:r>
      <w:r>
        <w:rPr>
          <w:spacing w:val="22"/>
          <w:sz w:val="21"/>
        </w:rPr>
        <w:t> </w:t>
      </w:r>
      <w:r>
        <w:rPr>
          <w:sz w:val="21"/>
        </w:rPr>
        <w:t>the</w:t>
      </w:r>
      <w:r>
        <w:rPr>
          <w:spacing w:val="21"/>
          <w:sz w:val="21"/>
        </w:rPr>
        <w:t> </w:t>
      </w:r>
      <w:r>
        <w:rPr>
          <w:spacing w:val="-3"/>
          <w:sz w:val="21"/>
        </w:rPr>
        <w:t>shared</w:t>
      </w:r>
      <w:r>
        <w:rPr>
          <w:spacing w:val="22"/>
          <w:sz w:val="21"/>
        </w:rPr>
        <w:t> </w:t>
      </w:r>
      <w:r>
        <w:rPr>
          <w:sz w:val="21"/>
        </w:rPr>
        <w:t>home</w:t>
      </w:r>
      <w:r>
        <w:rPr>
          <w:spacing w:val="22"/>
          <w:sz w:val="21"/>
        </w:rPr>
        <w:t> </w:t>
      </w:r>
      <w:r>
        <w:rPr>
          <w:sz w:val="21"/>
        </w:rPr>
        <w:t>is</w:t>
      </w:r>
      <w:r>
        <w:rPr>
          <w:spacing w:val="22"/>
          <w:sz w:val="21"/>
        </w:rPr>
        <w:t> </w:t>
      </w:r>
      <w:r>
        <w:rPr>
          <w:sz w:val="21"/>
        </w:rPr>
        <w:t>part</w:t>
      </w:r>
      <w:r>
        <w:rPr>
          <w:spacing w:val="21"/>
          <w:sz w:val="21"/>
        </w:rPr>
        <w:t> </w:t>
      </w:r>
      <w:r>
        <w:rPr>
          <w:sz w:val="21"/>
        </w:rPr>
        <w:t>of</w:t>
      </w:r>
      <w:r>
        <w:rPr>
          <w:spacing w:val="22"/>
          <w:sz w:val="21"/>
        </w:rPr>
        <w:t> </w:t>
      </w:r>
      <w:r>
        <w:rPr>
          <w:sz w:val="21"/>
        </w:rPr>
        <w:t>a</w:t>
      </w:r>
      <w:r>
        <w:rPr>
          <w:spacing w:val="22"/>
          <w:sz w:val="21"/>
        </w:rPr>
        <w:t> </w:t>
      </w:r>
      <w:r>
        <w:rPr>
          <w:spacing w:val="-6"/>
          <w:sz w:val="21"/>
        </w:rPr>
        <w:t>farm.</w:t>
      </w:r>
      <w:r>
        <w:rPr>
          <w:spacing w:val="-6"/>
          <w:position w:val="7"/>
          <w:sz w:val="12"/>
        </w:rPr>
        <w:t>138</w:t>
      </w:r>
    </w:p>
    <w:p>
      <w:pPr>
        <w:pStyle w:val="ListParagraph"/>
        <w:numPr>
          <w:ilvl w:val="1"/>
          <w:numId w:val="22"/>
        </w:numPr>
        <w:tabs>
          <w:tab w:pos="2381" w:val="left" w:leader="none"/>
          <w:tab w:pos="2382" w:val="left" w:leader="none"/>
        </w:tabs>
        <w:spacing w:line="242" w:lineRule="auto" w:before="123" w:after="0"/>
        <w:ind w:left="2381" w:right="1915" w:hanging="794"/>
        <w:jc w:val="left"/>
        <w:rPr>
          <w:sz w:val="21"/>
        </w:rPr>
      </w:pPr>
      <w:r>
        <w:rPr>
          <w:sz w:val="21"/>
        </w:rPr>
        <w:t>The partner’s </w:t>
      </w:r>
      <w:r>
        <w:rPr>
          <w:spacing w:val="-3"/>
          <w:sz w:val="21"/>
        </w:rPr>
        <w:t>right to </w:t>
      </w:r>
      <w:r>
        <w:rPr>
          <w:sz w:val="21"/>
        </w:rPr>
        <w:t>elect </w:t>
      </w:r>
      <w:r>
        <w:rPr>
          <w:spacing w:val="-3"/>
          <w:sz w:val="21"/>
        </w:rPr>
        <w:t>to acquire </w:t>
      </w:r>
      <w:r>
        <w:rPr>
          <w:sz w:val="21"/>
        </w:rPr>
        <w:t>an </w:t>
      </w:r>
      <w:r>
        <w:rPr>
          <w:spacing w:val="-3"/>
          <w:sz w:val="21"/>
        </w:rPr>
        <w:t>interest </w:t>
      </w:r>
      <w:r>
        <w:rPr>
          <w:sz w:val="21"/>
        </w:rPr>
        <w:t>in the </w:t>
      </w:r>
      <w:r>
        <w:rPr>
          <w:spacing w:val="-3"/>
          <w:sz w:val="21"/>
        </w:rPr>
        <w:t>shared </w:t>
      </w:r>
      <w:r>
        <w:rPr>
          <w:sz w:val="21"/>
        </w:rPr>
        <w:t>home exists despite anything </w:t>
      </w:r>
      <w:r>
        <w:rPr>
          <w:spacing w:val="-3"/>
          <w:sz w:val="21"/>
        </w:rPr>
        <w:t>to </w:t>
      </w:r>
      <w:r>
        <w:rPr>
          <w:sz w:val="21"/>
        </w:rPr>
        <w:t>the contrary in the </w:t>
      </w:r>
      <w:r>
        <w:rPr>
          <w:spacing w:val="-3"/>
          <w:sz w:val="21"/>
        </w:rPr>
        <w:t>Administration </w:t>
      </w:r>
      <w:r>
        <w:rPr>
          <w:sz w:val="21"/>
        </w:rPr>
        <w:t>and </w:t>
      </w:r>
      <w:r>
        <w:rPr>
          <w:spacing w:val="-3"/>
          <w:sz w:val="21"/>
        </w:rPr>
        <w:t>Probate  </w:t>
      </w:r>
      <w:r>
        <w:rPr>
          <w:spacing w:val="-5"/>
          <w:sz w:val="21"/>
        </w:rPr>
        <w:t>Act.</w:t>
      </w:r>
      <w:r>
        <w:rPr>
          <w:spacing w:val="-5"/>
          <w:position w:val="7"/>
          <w:sz w:val="12"/>
        </w:rPr>
        <w:t>139</w:t>
      </w:r>
      <w:r>
        <w:rPr>
          <w:spacing w:val="17"/>
          <w:position w:val="7"/>
          <w:sz w:val="12"/>
        </w:rPr>
        <w:t> </w:t>
      </w:r>
      <w:r>
        <w:rPr>
          <w:sz w:val="21"/>
        </w:rPr>
        <w:t>This </w:t>
      </w:r>
      <w:r>
        <w:rPr>
          <w:spacing w:val="-2"/>
          <w:sz w:val="21"/>
        </w:rPr>
        <w:t>raises  </w:t>
      </w:r>
      <w:r>
        <w:rPr>
          <w:sz w:val="21"/>
        </w:rPr>
        <w:t>a number  of</w:t>
      </w:r>
      <w:r>
        <w:rPr>
          <w:spacing w:val="13"/>
          <w:sz w:val="21"/>
        </w:rPr>
        <w:t> </w:t>
      </w:r>
      <w:r>
        <w:rPr>
          <w:sz w:val="21"/>
        </w:rPr>
        <w:t>questions</w:t>
      </w:r>
      <w:r>
        <w:rPr>
          <w:spacing w:val="14"/>
          <w:sz w:val="21"/>
        </w:rPr>
        <w:t> </w:t>
      </w:r>
      <w:r>
        <w:rPr>
          <w:sz w:val="21"/>
        </w:rPr>
        <w:t>about</w:t>
      </w:r>
      <w:r>
        <w:rPr>
          <w:spacing w:val="13"/>
          <w:sz w:val="21"/>
        </w:rPr>
        <w:t> </w:t>
      </w:r>
      <w:r>
        <w:rPr>
          <w:sz w:val="21"/>
        </w:rPr>
        <w:t>the</w:t>
      </w:r>
      <w:r>
        <w:rPr>
          <w:spacing w:val="14"/>
          <w:sz w:val="21"/>
        </w:rPr>
        <w:t> </w:t>
      </w:r>
      <w:r>
        <w:rPr>
          <w:sz w:val="21"/>
        </w:rPr>
        <w:t>effect</w:t>
      </w:r>
      <w:r>
        <w:rPr>
          <w:spacing w:val="13"/>
          <w:sz w:val="21"/>
        </w:rPr>
        <w:t> </w:t>
      </w:r>
      <w:r>
        <w:rPr>
          <w:sz w:val="21"/>
        </w:rPr>
        <w:t>of</w:t>
      </w:r>
      <w:r>
        <w:rPr>
          <w:spacing w:val="14"/>
          <w:sz w:val="21"/>
        </w:rPr>
        <w:t> </w:t>
      </w:r>
      <w:r>
        <w:rPr>
          <w:sz w:val="21"/>
        </w:rPr>
        <w:t>an</w:t>
      </w:r>
      <w:r>
        <w:rPr>
          <w:spacing w:val="13"/>
          <w:sz w:val="21"/>
        </w:rPr>
        <w:t> </w:t>
      </w:r>
      <w:r>
        <w:rPr>
          <w:sz w:val="21"/>
        </w:rPr>
        <w:t>election</w:t>
      </w:r>
      <w:r>
        <w:rPr>
          <w:spacing w:val="14"/>
          <w:sz w:val="21"/>
        </w:rPr>
        <w:t> </w:t>
      </w:r>
      <w:r>
        <w:rPr>
          <w:sz w:val="21"/>
        </w:rPr>
        <w:t>on</w:t>
      </w:r>
      <w:r>
        <w:rPr>
          <w:spacing w:val="14"/>
          <w:sz w:val="21"/>
        </w:rPr>
        <w:t> </w:t>
      </w:r>
      <w:r>
        <w:rPr>
          <w:sz w:val="21"/>
        </w:rPr>
        <w:t>the</w:t>
      </w:r>
      <w:r>
        <w:rPr>
          <w:spacing w:val="13"/>
          <w:sz w:val="21"/>
        </w:rPr>
        <w:t> </w:t>
      </w:r>
      <w:r>
        <w:rPr>
          <w:spacing w:val="-3"/>
          <w:sz w:val="21"/>
        </w:rPr>
        <w:t>administration</w:t>
      </w:r>
      <w:r>
        <w:rPr>
          <w:spacing w:val="14"/>
          <w:sz w:val="21"/>
        </w:rPr>
        <w:t> </w:t>
      </w:r>
      <w:r>
        <w:rPr>
          <w:sz w:val="21"/>
        </w:rPr>
        <w:t>of</w:t>
      </w:r>
      <w:r>
        <w:rPr>
          <w:spacing w:val="13"/>
          <w:sz w:val="21"/>
        </w:rPr>
        <w:t> </w:t>
      </w:r>
      <w:r>
        <w:rPr>
          <w:sz w:val="21"/>
        </w:rPr>
        <w:t>the</w:t>
      </w:r>
      <w:r>
        <w:rPr>
          <w:spacing w:val="14"/>
          <w:sz w:val="21"/>
        </w:rPr>
        <w:t> </w:t>
      </w:r>
      <w:r>
        <w:rPr>
          <w:sz w:val="21"/>
        </w:rPr>
        <w:t>estate:</w:t>
      </w:r>
    </w:p>
    <w:p>
      <w:pPr>
        <w:pStyle w:val="ListParagraph"/>
        <w:numPr>
          <w:ilvl w:val="2"/>
          <w:numId w:val="22"/>
        </w:numPr>
        <w:tabs>
          <w:tab w:pos="2721" w:val="left" w:leader="none"/>
          <w:tab w:pos="2722" w:val="left" w:leader="none"/>
        </w:tabs>
        <w:spacing w:line="242" w:lineRule="auto" w:before="124" w:after="0"/>
        <w:ind w:left="2721" w:right="2116" w:hanging="340"/>
        <w:jc w:val="left"/>
        <w:rPr>
          <w:sz w:val="21"/>
        </w:rPr>
      </w:pPr>
      <w:r>
        <w:rPr>
          <w:spacing w:val="-3"/>
          <w:sz w:val="21"/>
        </w:rPr>
        <w:t>Can </w:t>
      </w:r>
      <w:r>
        <w:rPr>
          <w:sz w:val="21"/>
        </w:rPr>
        <w:t>the personal representative sell a property in respect of which a partner </w:t>
      </w:r>
      <w:r>
        <w:rPr>
          <w:spacing w:val="-2"/>
          <w:sz w:val="21"/>
        </w:rPr>
        <w:t>has </w:t>
      </w:r>
      <w:r>
        <w:rPr>
          <w:sz w:val="21"/>
        </w:rPr>
        <w:t>made an election if it is </w:t>
      </w:r>
      <w:r>
        <w:rPr>
          <w:spacing w:val="-3"/>
          <w:sz w:val="21"/>
        </w:rPr>
        <w:t>required for </w:t>
      </w:r>
      <w:r>
        <w:rPr>
          <w:sz w:val="21"/>
        </w:rPr>
        <w:t>estate </w:t>
      </w:r>
      <w:r>
        <w:rPr>
          <w:spacing w:val="-3"/>
          <w:sz w:val="21"/>
        </w:rPr>
        <w:t>administration</w:t>
      </w:r>
      <w:r>
        <w:rPr>
          <w:spacing w:val="36"/>
          <w:sz w:val="21"/>
        </w:rPr>
        <w:t> </w:t>
      </w:r>
      <w:r>
        <w:rPr>
          <w:spacing w:val="-3"/>
          <w:sz w:val="21"/>
        </w:rPr>
        <w:t>purposes?</w:t>
      </w:r>
    </w:p>
    <w:p>
      <w:pPr>
        <w:pStyle w:val="ListParagraph"/>
        <w:numPr>
          <w:ilvl w:val="2"/>
          <w:numId w:val="22"/>
        </w:numPr>
        <w:tabs>
          <w:tab w:pos="2721" w:val="left" w:leader="none"/>
          <w:tab w:pos="2722" w:val="left" w:leader="none"/>
        </w:tabs>
        <w:spacing w:line="242" w:lineRule="auto" w:before="122" w:after="0"/>
        <w:ind w:left="2721" w:right="1668" w:hanging="340"/>
        <w:jc w:val="left"/>
        <w:rPr>
          <w:sz w:val="21"/>
        </w:rPr>
      </w:pPr>
      <w:r>
        <w:rPr>
          <w:spacing w:val="-3"/>
          <w:w w:val="105"/>
          <w:sz w:val="21"/>
        </w:rPr>
        <w:t>Alternatively, </w:t>
      </w:r>
      <w:r>
        <w:rPr>
          <w:w w:val="105"/>
          <w:sz w:val="21"/>
        </w:rPr>
        <w:t>can the deceased </w:t>
      </w:r>
      <w:r>
        <w:rPr>
          <w:spacing w:val="-3"/>
          <w:w w:val="105"/>
          <w:sz w:val="21"/>
        </w:rPr>
        <w:t>person’s </w:t>
      </w:r>
      <w:r>
        <w:rPr>
          <w:w w:val="105"/>
          <w:sz w:val="21"/>
        </w:rPr>
        <w:t>partner only </w:t>
      </w:r>
      <w:r>
        <w:rPr>
          <w:spacing w:val="-4"/>
          <w:w w:val="105"/>
          <w:sz w:val="21"/>
        </w:rPr>
        <w:t>make </w:t>
      </w:r>
      <w:r>
        <w:rPr>
          <w:w w:val="105"/>
          <w:sz w:val="21"/>
        </w:rPr>
        <w:t>an election after the personal</w:t>
      </w:r>
      <w:r>
        <w:rPr>
          <w:spacing w:val="-22"/>
          <w:w w:val="105"/>
          <w:sz w:val="21"/>
        </w:rPr>
        <w:t> </w:t>
      </w:r>
      <w:r>
        <w:rPr>
          <w:w w:val="105"/>
          <w:sz w:val="21"/>
        </w:rPr>
        <w:t>representative</w:t>
      </w:r>
      <w:r>
        <w:rPr>
          <w:spacing w:val="-22"/>
          <w:w w:val="105"/>
          <w:sz w:val="21"/>
        </w:rPr>
        <w:t> </w:t>
      </w:r>
      <w:r>
        <w:rPr>
          <w:spacing w:val="-2"/>
          <w:w w:val="105"/>
          <w:sz w:val="21"/>
        </w:rPr>
        <w:t>has</w:t>
      </w:r>
      <w:r>
        <w:rPr>
          <w:spacing w:val="-22"/>
          <w:w w:val="105"/>
          <w:sz w:val="21"/>
        </w:rPr>
        <w:t> </w:t>
      </w:r>
      <w:r>
        <w:rPr>
          <w:w w:val="105"/>
          <w:sz w:val="21"/>
        </w:rPr>
        <w:t>paid</w:t>
      </w:r>
      <w:r>
        <w:rPr>
          <w:spacing w:val="-22"/>
          <w:w w:val="105"/>
          <w:sz w:val="21"/>
        </w:rPr>
        <w:t> </w:t>
      </w:r>
      <w:r>
        <w:rPr>
          <w:w w:val="105"/>
          <w:sz w:val="21"/>
        </w:rPr>
        <w:t>debts,</w:t>
      </w:r>
      <w:r>
        <w:rPr>
          <w:spacing w:val="-22"/>
          <w:w w:val="105"/>
          <w:sz w:val="21"/>
        </w:rPr>
        <w:t> </w:t>
      </w:r>
      <w:r>
        <w:rPr>
          <w:spacing w:val="-3"/>
          <w:w w:val="105"/>
          <w:sz w:val="21"/>
        </w:rPr>
        <w:t>liabilities,</w:t>
      </w:r>
      <w:r>
        <w:rPr>
          <w:spacing w:val="-22"/>
          <w:w w:val="105"/>
          <w:sz w:val="21"/>
        </w:rPr>
        <w:t> </w:t>
      </w:r>
      <w:r>
        <w:rPr>
          <w:spacing w:val="-3"/>
          <w:w w:val="105"/>
          <w:sz w:val="21"/>
        </w:rPr>
        <w:t>funeral</w:t>
      </w:r>
      <w:r>
        <w:rPr>
          <w:spacing w:val="-22"/>
          <w:w w:val="105"/>
          <w:sz w:val="21"/>
        </w:rPr>
        <w:t> </w:t>
      </w:r>
      <w:r>
        <w:rPr>
          <w:w w:val="105"/>
          <w:sz w:val="21"/>
        </w:rPr>
        <w:t>and</w:t>
      </w:r>
      <w:r>
        <w:rPr>
          <w:spacing w:val="-22"/>
          <w:w w:val="105"/>
          <w:sz w:val="21"/>
        </w:rPr>
        <w:t> </w:t>
      </w:r>
      <w:r>
        <w:rPr>
          <w:w w:val="105"/>
          <w:sz w:val="21"/>
        </w:rPr>
        <w:t>testamentary</w:t>
      </w:r>
      <w:r>
        <w:rPr>
          <w:spacing w:val="-22"/>
          <w:w w:val="105"/>
          <w:sz w:val="21"/>
        </w:rPr>
        <w:t> </w:t>
      </w:r>
      <w:r>
        <w:rPr>
          <w:w w:val="105"/>
          <w:sz w:val="21"/>
        </w:rPr>
        <w:t>expenses?</w:t>
      </w:r>
    </w:p>
    <w:p>
      <w:pPr>
        <w:pStyle w:val="BodyText"/>
        <w:spacing w:before="10"/>
        <w:rPr>
          <w:sz w:val="24"/>
        </w:rPr>
      </w:pPr>
    </w:p>
    <w:p>
      <w:pPr>
        <w:pStyle w:val="Heading5"/>
      </w:pPr>
      <w:bookmarkStart w:name="_TOC_250047" w:id="69"/>
      <w:bookmarkEnd w:id="69"/>
      <w:r>
        <w:rPr>
          <w:w w:val="115"/>
        </w:rPr>
        <w:t>Proposed change</w:t>
      </w:r>
    </w:p>
    <w:p>
      <w:pPr>
        <w:pStyle w:val="ListParagraph"/>
        <w:numPr>
          <w:ilvl w:val="1"/>
          <w:numId w:val="22"/>
        </w:numPr>
        <w:tabs>
          <w:tab w:pos="2380" w:val="left" w:leader="none"/>
          <w:tab w:pos="2381" w:val="left" w:leader="none"/>
        </w:tabs>
        <w:spacing w:line="242" w:lineRule="auto" w:before="138" w:after="0"/>
        <w:ind w:left="2381" w:right="1866" w:hanging="794"/>
        <w:jc w:val="left"/>
        <w:rPr>
          <w:sz w:val="12"/>
        </w:rPr>
      </w:pPr>
      <w:r>
        <w:rPr>
          <w:sz w:val="21"/>
        </w:rPr>
        <w:t>The </w:t>
      </w:r>
      <w:r>
        <w:rPr>
          <w:spacing w:val="-3"/>
          <w:sz w:val="21"/>
        </w:rPr>
        <w:t>National Committee for Uniform Succession </w:t>
      </w:r>
      <w:r>
        <w:rPr>
          <w:sz w:val="21"/>
        </w:rPr>
        <w:t>Laws </w:t>
      </w:r>
      <w:r>
        <w:rPr>
          <w:spacing w:val="-3"/>
          <w:sz w:val="21"/>
        </w:rPr>
        <w:t>considered that  limiting  </w:t>
      </w:r>
      <w:r>
        <w:rPr>
          <w:sz w:val="21"/>
        </w:rPr>
        <w:t>the partner’s </w:t>
      </w:r>
      <w:r>
        <w:rPr>
          <w:spacing w:val="-3"/>
          <w:sz w:val="21"/>
        </w:rPr>
        <w:t>right </w:t>
      </w:r>
      <w:r>
        <w:rPr>
          <w:sz w:val="21"/>
        </w:rPr>
        <w:t>of election </w:t>
      </w:r>
      <w:r>
        <w:rPr>
          <w:spacing w:val="-3"/>
          <w:sz w:val="21"/>
        </w:rPr>
        <w:t>to </w:t>
      </w:r>
      <w:r>
        <w:rPr>
          <w:sz w:val="21"/>
        </w:rPr>
        <w:t>the </w:t>
      </w:r>
      <w:r>
        <w:rPr>
          <w:spacing w:val="-3"/>
          <w:sz w:val="21"/>
        </w:rPr>
        <w:t>shared </w:t>
      </w:r>
      <w:r>
        <w:rPr>
          <w:sz w:val="21"/>
        </w:rPr>
        <w:t>home </w:t>
      </w:r>
      <w:r>
        <w:rPr>
          <w:spacing w:val="-3"/>
          <w:sz w:val="21"/>
        </w:rPr>
        <w:t>creates </w:t>
      </w:r>
      <w:r>
        <w:rPr>
          <w:sz w:val="21"/>
        </w:rPr>
        <w:t>unnecessary complexity in the </w:t>
      </w:r>
      <w:r>
        <w:rPr>
          <w:spacing w:val="-3"/>
          <w:sz w:val="21"/>
        </w:rPr>
        <w:t>administration </w:t>
      </w:r>
      <w:r>
        <w:rPr>
          <w:sz w:val="21"/>
        </w:rPr>
        <w:t>of </w:t>
      </w:r>
      <w:r>
        <w:rPr>
          <w:spacing w:val="-3"/>
          <w:sz w:val="21"/>
        </w:rPr>
        <w:t>intestate </w:t>
      </w:r>
      <w:r>
        <w:rPr>
          <w:sz w:val="21"/>
        </w:rPr>
        <w:t>estates, and observed </w:t>
      </w:r>
      <w:r>
        <w:rPr>
          <w:spacing w:val="-3"/>
          <w:sz w:val="21"/>
        </w:rPr>
        <w:t>that </w:t>
      </w:r>
      <w:r>
        <w:rPr>
          <w:sz w:val="21"/>
        </w:rPr>
        <w:t>the  deceased  </w:t>
      </w:r>
      <w:r>
        <w:rPr>
          <w:spacing w:val="-3"/>
          <w:sz w:val="21"/>
        </w:rPr>
        <w:t>person’s  </w:t>
      </w:r>
      <w:r>
        <w:rPr>
          <w:sz w:val="21"/>
        </w:rPr>
        <w:t>partner </w:t>
      </w:r>
      <w:r>
        <w:rPr>
          <w:spacing w:val="-3"/>
          <w:sz w:val="21"/>
        </w:rPr>
        <w:t>may </w:t>
      </w:r>
      <w:r>
        <w:rPr>
          <w:sz w:val="21"/>
        </w:rPr>
        <w:t>wish </w:t>
      </w:r>
      <w:r>
        <w:rPr>
          <w:spacing w:val="-3"/>
          <w:sz w:val="21"/>
        </w:rPr>
        <w:t>to acquire </w:t>
      </w:r>
      <w:r>
        <w:rPr>
          <w:sz w:val="21"/>
        </w:rPr>
        <w:t>other property in the </w:t>
      </w:r>
      <w:r>
        <w:rPr>
          <w:spacing w:val="-3"/>
          <w:sz w:val="21"/>
        </w:rPr>
        <w:t>estate, such </w:t>
      </w:r>
      <w:r>
        <w:rPr>
          <w:sz w:val="21"/>
        </w:rPr>
        <w:t>as a </w:t>
      </w:r>
      <w:r>
        <w:rPr>
          <w:spacing w:val="-3"/>
          <w:sz w:val="21"/>
        </w:rPr>
        <w:t>holiday </w:t>
      </w:r>
      <w:r>
        <w:rPr>
          <w:sz w:val="21"/>
        </w:rPr>
        <w:t>home or </w:t>
      </w:r>
      <w:r>
        <w:rPr>
          <w:spacing w:val="-3"/>
          <w:sz w:val="21"/>
        </w:rPr>
        <w:t>intellectual </w:t>
      </w:r>
      <w:r>
        <w:rPr>
          <w:sz w:val="21"/>
        </w:rPr>
        <w:t>property in </w:t>
      </w:r>
      <w:r>
        <w:rPr>
          <w:spacing w:val="-3"/>
          <w:sz w:val="21"/>
        </w:rPr>
        <w:t>relation to </w:t>
      </w:r>
      <w:r>
        <w:rPr>
          <w:sz w:val="21"/>
        </w:rPr>
        <w:t>a business</w:t>
      </w:r>
      <w:r>
        <w:rPr>
          <w:spacing w:val="12"/>
          <w:sz w:val="21"/>
        </w:rPr>
        <w:t> </w:t>
      </w:r>
      <w:r>
        <w:rPr>
          <w:spacing w:val="-5"/>
          <w:sz w:val="21"/>
        </w:rPr>
        <w:t>venture.</w:t>
      </w:r>
      <w:r>
        <w:rPr>
          <w:spacing w:val="-5"/>
          <w:position w:val="7"/>
          <w:sz w:val="12"/>
        </w:rPr>
        <w:t>140</w:t>
      </w:r>
    </w:p>
    <w:p>
      <w:pPr>
        <w:pStyle w:val="ListParagraph"/>
        <w:numPr>
          <w:ilvl w:val="1"/>
          <w:numId w:val="22"/>
        </w:numPr>
        <w:tabs>
          <w:tab w:pos="2381" w:val="left" w:leader="none"/>
          <w:tab w:pos="2382" w:val="left" w:leader="none"/>
        </w:tabs>
        <w:spacing w:line="242" w:lineRule="auto" w:before="125" w:after="0"/>
        <w:ind w:left="2381" w:right="1835" w:hanging="794"/>
        <w:jc w:val="left"/>
        <w:rPr>
          <w:sz w:val="21"/>
        </w:rPr>
      </w:pPr>
      <w:r>
        <w:rPr>
          <w:spacing w:val="-7"/>
          <w:w w:val="105"/>
          <w:sz w:val="21"/>
        </w:rPr>
        <w:t>To </w:t>
      </w:r>
      <w:r>
        <w:rPr>
          <w:w w:val="105"/>
          <w:sz w:val="21"/>
        </w:rPr>
        <w:t>address these </w:t>
      </w:r>
      <w:r>
        <w:rPr>
          <w:spacing w:val="-3"/>
          <w:w w:val="105"/>
          <w:sz w:val="21"/>
        </w:rPr>
        <w:t>concerns, </w:t>
      </w:r>
      <w:r>
        <w:rPr>
          <w:w w:val="105"/>
          <w:sz w:val="21"/>
        </w:rPr>
        <w:t>the </w:t>
      </w:r>
      <w:r>
        <w:rPr>
          <w:spacing w:val="-3"/>
          <w:w w:val="105"/>
          <w:sz w:val="21"/>
        </w:rPr>
        <w:t>National Committee </w:t>
      </w:r>
      <w:r>
        <w:rPr>
          <w:w w:val="105"/>
          <w:sz w:val="21"/>
        </w:rPr>
        <w:t>recommended </w:t>
      </w:r>
      <w:r>
        <w:rPr>
          <w:spacing w:val="-3"/>
          <w:w w:val="105"/>
          <w:sz w:val="21"/>
        </w:rPr>
        <w:t>that </w:t>
      </w:r>
      <w:r>
        <w:rPr>
          <w:w w:val="105"/>
          <w:sz w:val="21"/>
        </w:rPr>
        <w:t>the deceased </w:t>
      </w:r>
      <w:r>
        <w:rPr>
          <w:spacing w:val="-3"/>
          <w:w w:val="105"/>
          <w:sz w:val="21"/>
        </w:rPr>
        <w:t>person’s</w:t>
      </w:r>
      <w:r>
        <w:rPr>
          <w:spacing w:val="-11"/>
          <w:w w:val="105"/>
          <w:sz w:val="21"/>
        </w:rPr>
        <w:t> </w:t>
      </w:r>
      <w:r>
        <w:rPr>
          <w:w w:val="105"/>
          <w:sz w:val="21"/>
        </w:rPr>
        <w:t>partner</w:t>
      </w:r>
      <w:r>
        <w:rPr>
          <w:spacing w:val="-10"/>
          <w:w w:val="105"/>
          <w:sz w:val="21"/>
        </w:rPr>
        <w:t> </w:t>
      </w:r>
      <w:r>
        <w:rPr>
          <w:w w:val="105"/>
          <w:sz w:val="21"/>
        </w:rPr>
        <w:t>should</w:t>
      </w:r>
      <w:r>
        <w:rPr>
          <w:spacing w:val="-11"/>
          <w:w w:val="105"/>
          <w:sz w:val="21"/>
        </w:rPr>
        <w:t> </w:t>
      </w:r>
      <w:r>
        <w:rPr>
          <w:w w:val="105"/>
          <w:sz w:val="21"/>
        </w:rPr>
        <w:t>be</w:t>
      </w:r>
      <w:r>
        <w:rPr>
          <w:spacing w:val="-10"/>
          <w:w w:val="105"/>
          <w:sz w:val="21"/>
        </w:rPr>
        <w:t> </w:t>
      </w:r>
      <w:r>
        <w:rPr>
          <w:w w:val="105"/>
          <w:sz w:val="21"/>
        </w:rPr>
        <w:t>entitled</w:t>
      </w:r>
      <w:r>
        <w:rPr>
          <w:spacing w:val="-10"/>
          <w:w w:val="105"/>
          <w:sz w:val="21"/>
        </w:rPr>
        <w:t> </w:t>
      </w:r>
      <w:r>
        <w:rPr>
          <w:spacing w:val="-3"/>
          <w:w w:val="105"/>
          <w:sz w:val="21"/>
        </w:rPr>
        <w:t>to</w:t>
      </w:r>
      <w:r>
        <w:rPr>
          <w:spacing w:val="-11"/>
          <w:w w:val="105"/>
          <w:sz w:val="21"/>
        </w:rPr>
        <w:t> </w:t>
      </w:r>
      <w:r>
        <w:rPr>
          <w:w w:val="105"/>
          <w:sz w:val="21"/>
        </w:rPr>
        <w:t>elect</w:t>
      </w:r>
      <w:r>
        <w:rPr>
          <w:spacing w:val="-10"/>
          <w:w w:val="105"/>
          <w:sz w:val="21"/>
        </w:rPr>
        <w:t> </w:t>
      </w:r>
      <w:r>
        <w:rPr>
          <w:spacing w:val="-3"/>
          <w:w w:val="105"/>
          <w:sz w:val="21"/>
        </w:rPr>
        <w:t>to</w:t>
      </w:r>
      <w:r>
        <w:rPr>
          <w:spacing w:val="-11"/>
          <w:w w:val="105"/>
          <w:sz w:val="21"/>
        </w:rPr>
        <w:t> </w:t>
      </w:r>
      <w:r>
        <w:rPr>
          <w:spacing w:val="-3"/>
          <w:w w:val="105"/>
          <w:sz w:val="21"/>
        </w:rPr>
        <w:t>acquire</w:t>
      </w:r>
      <w:r>
        <w:rPr>
          <w:spacing w:val="-10"/>
          <w:w w:val="105"/>
          <w:sz w:val="21"/>
        </w:rPr>
        <w:t> </w:t>
      </w:r>
      <w:r>
        <w:rPr>
          <w:w w:val="105"/>
          <w:sz w:val="21"/>
        </w:rPr>
        <w:t>an</w:t>
      </w:r>
      <w:r>
        <w:rPr>
          <w:spacing w:val="-10"/>
          <w:w w:val="105"/>
          <w:sz w:val="21"/>
        </w:rPr>
        <w:t> </w:t>
      </w:r>
      <w:r>
        <w:rPr>
          <w:spacing w:val="-3"/>
          <w:w w:val="105"/>
          <w:sz w:val="21"/>
        </w:rPr>
        <w:t>interest</w:t>
      </w:r>
      <w:r>
        <w:rPr>
          <w:spacing w:val="-11"/>
          <w:w w:val="105"/>
          <w:sz w:val="21"/>
        </w:rPr>
        <w:t> </w:t>
      </w:r>
      <w:r>
        <w:rPr>
          <w:w w:val="105"/>
          <w:sz w:val="21"/>
        </w:rPr>
        <w:t>in</w:t>
      </w:r>
      <w:r>
        <w:rPr>
          <w:spacing w:val="-10"/>
          <w:w w:val="105"/>
          <w:sz w:val="21"/>
        </w:rPr>
        <w:t> </w:t>
      </w:r>
      <w:r>
        <w:rPr>
          <w:spacing w:val="-3"/>
          <w:w w:val="105"/>
          <w:sz w:val="21"/>
        </w:rPr>
        <w:t>any</w:t>
      </w:r>
      <w:r>
        <w:rPr>
          <w:spacing w:val="-11"/>
          <w:w w:val="105"/>
          <w:sz w:val="21"/>
        </w:rPr>
        <w:t> </w:t>
      </w:r>
      <w:r>
        <w:rPr>
          <w:w w:val="105"/>
          <w:sz w:val="21"/>
        </w:rPr>
        <w:t>estate</w:t>
      </w:r>
      <w:r>
        <w:rPr>
          <w:spacing w:val="-10"/>
          <w:w w:val="105"/>
          <w:sz w:val="21"/>
        </w:rPr>
        <w:t> </w:t>
      </w:r>
      <w:r>
        <w:rPr>
          <w:w w:val="105"/>
          <w:sz w:val="21"/>
        </w:rPr>
        <w:t>property in the </w:t>
      </w:r>
      <w:r>
        <w:rPr>
          <w:spacing w:val="-3"/>
          <w:w w:val="105"/>
          <w:sz w:val="21"/>
        </w:rPr>
        <w:t>intestate estate, </w:t>
      </w:r>
      <w:r>
        <w:rPr>
          <w:spacing w:val="-2"/>
          <w:w w:val="105"/>
          <w:sz w:val="21"/>
        </w:rPr>
        <w:t>not </w:t>
      </w:r>
      <w:r>
        <w:rPr>
          <w:w w:val="105"/>
          <w:sz w:val="21"/>
        </w:rPr>
        <w:t>just the </w:t>
      </w:r>
      <w:r>
        <w:rPr>
          <w:spacing w:val="-3"/>
          <w:w w:val="105"/>
          <w:sz w:val="21"/>
        </w:rPr>
        <w:t>shared </w:t>
      </w:r>
      <w:r>
        <w:rPr>
          <w:spacing w:val="-6"/>
          <w:w w:val="105"/>
          <w:sz w:val="21"/>
        </w:rPr>
        <w:t>home.</w:t>
      </w:r>
      <w:r>
        <w:rPr>
          <w:spacing w:val="-6"/>
          <w:w w:val="105"/>
          <w:position w:val="7"/>
          <w:sz w:val="12"/>
        </w:rPr>
        <w:t>141 </w:t>
      </w:r>
      <w:r>
        <w:rPr>
          <w:w w:val="105"/>
          <w:sz w:val="21"/>
        </w:rPr>
        <w:t>It recommended </w:t>
      </w:r>
      <w:r>
        <w:rPr>
          <w:spacing w:val="-3"/>
          <w:w w:val="105"/>
          <w:sz w:val="21"/>
        </w:rPr>
        <w:t>that </w:t>
      </w:r>
      <w:r>
        <w:rPr>
          <w:w w:val="105"/>
          <w:sz w:val="21"/>
        </w:rPr>
        <w:t>the surviving partner</w:t>
      </w:r>
      <w:r>
        <w:rPr>
          <w:spacing w:val="-8"/>
          <w:w w:val="105"/>
          <w:sz w:val="21"/>
        </w:rPr>
        <w:t> </w:t>
      </w:r>
      <w:r>
        <w:rPr>
          <w:w w:val="105"/>
          <w:sz w:val="21"/>
        </w:rPr>
        <w:t>should</w:t>
      </w:r>
      <w:r>
        <w:rPr>
          <w:spacing w:val="-7"/>
          <w:w w:val="105"/>
          <w:sz w:val="21"/>
        </w:rPr>
        <w:t> </w:t>
      </w:r>
      <w:r>
        <w:rPr>
          <w:w w:val="105"/>
          <w:sz w:val="21"/>
        </w:rPr>
        <w:t>provide</w:t>
      </w:r>
      <w:r>
        <w:rPr>
          <w:spacing w:val="-7"/>
          <w:w w:val="105"/>
          <w:sz w:val="21"/>
        </w:rPr>
        <w:t> </w:t>
      </w:r>
      <w:r>
        <w:rPr>
          <w:w w:val="105"/>
          <w:sz w:val="21"/>
        </w:rPr>
        <w:t>satisfaction</w:t>
      </w:r>
      <w:r>
        <w:rPr>
          <w:spacing w:val="-8"/>
          <w:w w:val="105"/>
          <w:sz w:val="21"/>
        </w:rPr>
        <w:t> </w:t>
      </w:r>
      <w:r>
        <w:rPr>
          <w:spacing w:val="-3"/>
          <w:w w:val="105"/>
          <w:sz w:val="21"/>
        </w:rPr>
        <w:t>for</w:t>
      </w:r>
      <w:r>
        <w:rPr>
          <w:spacing w:val="-7"/>
          <w:w w:val="105"/>
          <w:sz w:val="21"/>
        </w:rPr>
        <w:t> </w:t>
      </w:r>
      <w:r>
        <w:rPr>
          <w:w w:val="105"/>
          <w:sz w:val="21"/>
        </w:rPr>
        <w:t>the</w:t>
      </w:r>
      <w:r>
        <w:rPr>
          <w:spacing w:val="-7"/>
          <w:w w:val="105"/>
          <w:sz w:val="21"/>
        </w:rPr>
        <w:t> </w:t>
      </w:r>
      <w:r>
        <w:rPr>
          <w:spacing w:val="-3"/>
          <w:w w:val="105"/>
          <w:sz w:val="21"/>
        </w:rPr>
        <w:t>interest</w:t>
      </w:r>
      <w:r>
        <w:rPr>
          <w:spacing w:val="-7"/>
          <w:w w:val="105"/>
          <w:sz w:val="21"/>
        </w:rPr>
        <w:t> </w:t>
      </w:r>
      <w:r>
        <w:rPr>
          <w:w w:val="105"/>
          <w:sz w:val="21"/>
        </w:rPr>
        <w:t>in</w:t>
      </w:r>
      <w:r>
        <w:rPr>
          <w:spacing w:val="-8"/>
          <w:w w:val="105"/>
          <w:sz w:val="21"/>
        </w:rPr>
        <w:t> </w:t>
      </w:r>
      <w:r>
        <w:rPr>
          <w:w w:val="105"/>
          <w:sz w:val="21"/>
        </w:rPr>
        <w:t>the</w:t>
      </w:r>
      <w:r>
        <w:rPr>
          <w:spacing w:val="-7"/>
          <w:w w:val="105"/>
          <w:sz w:val="21"/>
        </w:rPr>
        <w:t> </w:t>
      </w:r>
      <w:r>
        <w:rPr>
          <w:w w:val="105"/>
          <w:sz w:val="21"/>
        </w:rPr>
        <w:t>property</w:t>
      </w:r>
      <w:r>
        <w:rPr>
          <w:spacing w:val="-7"/>
          <w:w w:val="105"/>
          <w:sz w:val="21"/>
        </w:rPr>
        <w:t> </w:t>
      </w:r>
      <w:r>
        <w:rPr>
          <w:w w:val="105"/>
          <w:sz w:val="21"/>
        </w:rPr>
        <w:t>they</w:t>
      </w:r>
      <w:r>
        <w:rPr>
          <w:spacing w:val="-7"/>
          <w:w w:val="105"/>
          <w:sz w:val="21"/>
        </w:rPr>
        <w:t> </w:t>
      </w:r>
      <w:r>
        <w:rPr>
          <w:spacing w:val="-2"/>
          <w:w w:val="105"/>
          <w:sz w:val="21"/>
        </w:rPr>
        <w:t>had</w:t>
      </w:r>
      <w:r>
        <w:rPr>
          <w:spacing w:val="-8"/>
          <w:w w:val="105"/>
          <w:sz w:val="21"/>
        </w:rPr>
        <w:t> </w:t>
      </w:r>
      <w:r>
        <w:rPr>
          <w:w w:val="105"/>
          <w:sz w:val="21"/>
        </w:rPr>
        <w:t>elected</w:t>
      </w:r>
    </w:p>
    <w:p>
      <w:pPr>
        <w:pStyle w:val="BodyText"/>
        <w:spacing w:line="242" w:lineRule="auto" w:before="5"/>
        <w:ind w:left="2381" w:right="2142"/>
        <w:rPr>
          <w:sz w:val="12"/>
        </w:rPr>
      </w:pPr>
      <w:r>
        <w:rPr>
          <w:spacing w:val="-3"/>
        </w:rPr>
        <w:t>to acquire </w:t>
      </w:r>
      <w:r>
        <w:rPr/>
        <w:t>by first </w:t>
      </w:r>
      <w:r>
        <w:rPr>
          <w:spacing w:val="-3"/>
        </w:rPr>
        <w:t>relying </w:t>
      </w:r>
      <w:r>
        <w:rPr/>
        <w:t>on their </w:t>
      </w:r>
      <w:r>
        <w:rPr>
          <w:spacing w:val="-3"/>
        </w:rPr>
        <w:t>share </w:t>
      </w:r>
      <w:r>
        <w:rPr/>
        <w:t>of the </w:t>
      </w:r>
      <w:r>
        <w:rPr>
          <w:spacing w:val="-3"/>
        </w:rPr>
        <w:t>intestate estate, </w:t>
      </w:r>
      <w:r>
        <w:rPr/>
        <w:t>and then </w:t>
      </w:r>
      <w:r>
        <w:rPr>
          <w:spacing w:val="-3"/>
        </w:rPr>
        <w:t>paying </w:t>
      </w:r>
      <w:r>
        <w:rPr/>
        <w:t>the </w:t>
      </w:r>
      <w:r>
        <w:rPr>
          <w:spacing w:val="-3"/>
        </w:rPr>
        <w:t>difference </w:t>
      </w:r>
      <w:r>
        <w:rPr>
          <w:spacing w:val="-4"/>
        </w:rPr>
        <w:t>into </w:t>
      </w:r>
      <w:r>
        <w:rPr/>
        <w:t>the </w:t>
      </w:r>
      <w:r>
        <w:rPr>
          <w:spacing w:val="-3"/>
        </w:rPr>
        <w:t>intestate estate, </w:t>
      </w:r>
      <w:r>
        <w:rPr/>
        <w:t>if the </w:t>
      </w:r>
      <w:r>
        <w:rPr>
          <w:spacing w:val="-3"/>
        </w:rPr>
        <w:t>value </w:t>
      </w:r>
      <w:r>
        <w:rPr/>
        <w:t>of the </w:t>
      </w:r>
      <w:r>
        <w:rPr>
          <w:spacing w:val="-3"/>
        </w:rPr>
        <w:t>interest </w:t>
      </w:r>
      <w:r>
        <w:rPr/>
        <w:t>is </w:t>
      </w:r>
      <w:r>
        <w:rPr>
          <w:spacing w:val="-3"/>
        </w:rPr>
        <w:t>greater than </w:t>
      </w:r>
      <w:r>
        <w:rPr/>
        <w:t>the </w:t>
      </w:r>
      <w:r>
        <w:rPr>
          <w:spacing w:val="-3"/>
        </w:rPr>
        <w:t>value     </w:t>
      </w:r>
      <w:r>
        <w:rPr/>
        <w:t>of their </w:t>
      </w:r>
      <w:r>
        <w:rPr>
          <w:spacing w:val="-3"/>
        </w:rPr>
        <w:t>share </w:t>
      </w:r>
      <w:r>
        <w:rPr/>
        <w:t>in the </w:t>
      </w:r>
      <w:r>
        <w:rPr>
          <w:spacing w:val="-3"/>
        </w:rPr>
        <w:t>intestate</w:t>
      </w:r>
      <w:r>
        <w:rPr>
          <w:spacing w:val="11"/>
        </w:rPr>
        <w:t> </w:t>
      </w:r>
      <w:r>
        <w:rPr>
          <w:spacing w:val="-5"/>
        </w:rPr>
        <w:t>estate.</w:t>
      </w:r>
      <w:r>
        <w:rPr>
          <w:spacing w:val="-5"/>
          <w:position w:val="7"/>
          <w:sz w:val="12"/>
        </w:rPr>
        <w:t>142</w:t>
      </w:r>
    </w:p>
    <w:p>
      <w:pPr>
        <w:pStyle w:val="ListParagraph"/>
        <w:numPr>
          <w:ilvl w:val="1"/>
          <w:numId w:val="22"/>
        </w:numPr>
        <w:tabs>
          <w:tab w:pos="2380" w:val="left" w:leader="none"/>
          <w:tab w:pos="2381" w:val="left" w:leader="none"/>
        </w:tabs>
        <w:spacing w:line="240" w:lineRule="auto" w:before="123" w:after="0"/>
        <w:ind w:left="2381" w:right="0" w:hanging="794"/>
        <w:jc w:val="left"/>
        <w:rPr>
          <w:sz w:val="21"/>
        </w:rPr>
      </w:pPr>
      <w:r>
        <w:rPr>
          <w:sz w:val="21"/>
        </w:rPr>
        <w:t>The </w:t>
      </w:r>
      <w:r>
        <w:rPr>
          <w:spacing w:val="-3"/>
          <w:sz w:val="21"/>
        </w:rPr>
        <w:t>National Committee </w:t>
      </w:r>
      <w:r>
        <w:rPr>
          <w:sz w:val="21"/>
        </w:rPr>
        <w:t>specified </w:t>
      </w:r>
      <w:r>
        <w:rPr>
          <w:spacing w:val="-3"/>
          <w:sz w:val="21"/>
        </w:rPr>
        <w:t>that </w:t>
      </w:r>
      <w:r>
        <w:rPr>
          <w:sz w:val="21"/>
        </w:rPr>
        <w:t>elections should </w:t>
      </w:r>
      <w:r>
        <w:rPr>
          <w:spacing w:val="-3"/>
          <w:sz w:val="21"/>
        </w:rPr>
        <w:t>require</w:t>
      </w:r>
      <w:r>
        <w:rPr>
          <w:spacing w:val="-13"/>
          <w:sz w:val="21"/>
        </w:rPr>
        <w:t> </w:t>
      </w:r>
      <w:r>
        <w:rPr>
          <w:sz w:val="21"/>
        </w:rPr>
        <w:t>court authorisation if:</w:t>
      </w:r>
    </w:p>
    <w:p>
      <w:pPr>
        <w:pStyle w:val="ListParagraph"/>
        <w:numPr>
          <w:ilvl w:val="2"/>
          <w:numId w:val="22"/>
        </w:numPr>
        <w:tabs>
          <w:tab w:pos="2721" w:val="left" w:leader="none"/>
          <w:tab w:pos="2722" w:val="left" w:leader="none"/>
        </w:tabs>
        <w:spacing w:line="240" w:lineRule="auto" w:before="124" w:after="0"/>
        <w:ind w:left="2721" w:right="0" w:hanging="340"/>
        <w:jc w:val="left"/>
        <w:rPr>
          <w:sz w:val="21"/>
        </w:rPr>
      </w:pPr>
      <w:r>
        <w:rPr>
          <w:w w:val="105"/>
          <w:sz w:val="21"/>
        </w:rPr>
        <w:t>the property </w:t>
      </w:r>
      <w:r>
        <w:rPr>
          <w:spacing w:val="-3"/>
          <w:w w:val="105"/>
          <w:sz w:val="21"/>
        </w:rPr>
        <w:t>forms </w:t>
      </w:r>
      <w:r>
        <w:rPr>
          <w:w w:val="105"/>
          <w:sz w:val="21"/>
        </w:rPr>
        <w:t>part of a larger </w:t>
      </w:r>
      <w:r>
        <w:rPr>
          <w:spacing w:val="-3"/>
          <w:w w:val="105"/>
          <w:sz w:val="21"/>
        </w:rPr>
        <w:t>aggregate,</w:t>
      </w:r>
      <w:r>
        <w:rPr>
          <w:spacing w:val="42"/>
          <w:w w:val="105"/>
          <w:sz w:val="21"/>
        </w:rPr>
        <w:t> </w:t>
      </w:r>
      <w:r>
        <w:rPr>
          <w:w w:val="105"/>
          <w:sz w:val="21"/>
        </w:rPr>
        <w:t>and</w:t>
      </w:r>
    </w:p>
    <w:p>
      <w:pPr>
        <w:pStyle w:val="ListParagraph"/>
        <w:numPr>
          <w:ilvl w:val="2"/>
          <w:numId w:val="22"/>
        </w:numPr>
        <w:tabs>
          <w:tab w:pos="2721" w:val="left" w:leader="none"/>
          <w:tab w:pos="2722" w:val="left" w:leader="none"/>
        </w:tabs>
        <w:spacing w:line="242" w:lineRule="auto" w:before="123" w:after="0"/>
        <w:ind w:left="2721" w:right="1941" w:hanging="340"/>
        <w:jc w:val="left"/>
        <w:rPr>
          <w:sz w:val="12"/>
        </w:rPr>
      </w:pPr>
      <w:r>
        <w:rPr>
          <w:sz w:val="21"/>
        </w:rPr>
        <w:t>the </w:t>
      </w:r>
      <w:r>
        <w:rPr>
          <w:spacing w:val="-3"/>
          <w:sz w:val="21"/>
        </w:rPr>
        <w:t>acquisition could substantially diminish </w:t>
      </w:r>
      <w:r>
        <w:rPr>
          <w:sz w:val="21"/>
        </w:rPr>
        <w:t>the </w:t>
      </w:r>
      <w:r>
        <w:rPr>
          <w:spacing w:val="-3"/>
          <w:sz w:val="21"/>
        </w:rPr>
        <w:t>value </w:t>
      </w:r>
      <w:r>
        <w:rPr>
          <w:sz w:val="21"/>
        </w:rPr>
        <w:t>of the </w:t>
      </w:r>
      <w:r>
        <w:rPr>
          <w:spacing w:val="-3"/>
          <w:sz w:val="21"/>
        </w:rPr>
        <w:t>remainder </w:t>
      </w:r>
      <w:r>
        <w:rPr>
          <w:sz w:val="21"/>
        </w:rPr>
        <w:t>or </w:t>
      </w:r>
      <w:r>
        <w:rPr>
          <w:spacing w:val="-4"/>
          <w:sz w:val="21"/>
        </w:rPr>
        <w:t>make </w:t>
      </w:r>
      <w:r>
        <w:rPr>
          <w:sz w:val="21"/>
        </w:rPr>
        <w:t>the </w:t>
      </w:r>
      <w:r>
        <w:rPr>
          <w:spacing w:val="-3"/>
          <w:sz w:val="21"/>
        </w:rPr>
        <w:t>administration </w:t>
      </w:r>
      <w:r>
        <w:rPr>
          <w:sz w:val="21"/>
        </w:rPr>
        <w:t>of the estate more</w:t>
      </w:r>
      <w:r>
        <w:rPr>
          <w:spacing w:val="4"/>
          <w:sz w:val="21"/>
        </w:rPr>
        <w:t> </w:t>
      </w:r>
      <w:r>
        <w:rPr>
          <w:spacing w:val="-4"/>
          <w:sz w:val="21"/>
        </w:rPr>
        <w:t>difficult.</w:t>
      </w:r>
      <w:r>
        <w:rPr>
          <w:spacing w:val="-4"/>
          <w:position w:val="7"/>
          <w:sz w:val="12"/>
        </w:rPr>
        <w:t>143</w:t>
      </w:r>
    </w:p>
    <w:p>
      <w:pPr>
        <w:pStyle w:val="BodyText"/>
        <w:rPr>
          <w:sz w:val="20"/>
        </w:rPr>
      </w:pPr>
    </w:p>
    <w:p>
      <w:pPr>
        <w:pStyle w:val="BodyText"/>
        <w:spacing w:before="4"/>
        <w:rPr>
          <w:sz w:val="28"/>
        </w:rPr>
      </w:pPr>
      <w:r>
        <w:rPr/>
        <w:pict>
          <v:line style="position:absolute;mso-position-horizontal-relative:page;mso-position-vertical-relative:paragraph;z-index:4616;mso-wrap-distance-left:0;mso-wrap-distance-right:0" from="79.370102pt,19.787891pt" to="515.905102pt,19.787891pt" stroked="true" strokeweight="1pt" strokecolor="#f9ceca">
            <v:stroke dashstyle="solid"/>
            <w10:wrap type="topAndBottom"/>
          </v:line>
        </w:pict>
      </w:r>
    </w:p>
    <w:p>
      <w:pPr>
        <w:pStyle w:val="ListParagraph"/>
        <w:numPr>
          <w:ilvl w:val="0"/>
          <w:numId w:val="60"/>
        </w:numPr>
        <w:tabs>
          <w:tab w:pos="2380" w:val="left" w:leader="none"/>
          <w:tab w:pos="2382" w:val="left" w:leader="none"/>
        </w:tabs>
        <w:spacing w:line="240" w:lineRule="auto" w:before="117" w:after="0"/>
        <w:ind w:left="2381" w:right="1846" w:hanging="794"/>
        <w:jc w:val="left"/>
        <w:rPr>
          <w:sz w:val="13"/>
        </w:rPr>
      </w:pPr>
      <w:r>
        <w:rPr>
          <w:sz w:val="13"/>
        </w:rPr>
        <w:t>Ibid ss 37A(2), </w:t>
      </w:r>
      <w:r>
        <w:rPr>
          <w:spacing w:val="3"/>
          <w:sz w:val="13"/>
        </w:rPr>
        <w:t>(6). </w:t>
      </w:r>
      <w:r>
        <w:rPr>
          <w:sz w:val="13"/>
        </w:rPr>
        <w:t>The deceased person’s personal representative must notify the partner of their right to elect to acquire the deceased  person’s interest in the shared home in writing within 30 days of the  grant  of  administration,  if  the  personal  representative  is  not themselves the deceased  person’s  surviving  partner  who  is  entitled  to  elect:  s  37A(4).  The  partner  must  make  their  election  in  writing: s 37A(5). If the deceased person is survived by children or other issue, notice of the partner’s rights and the election itself must show                 the</w:t>
      </w:r>
      <w:r>
        <w:rPr>
          <w:spacing w:val="9"/>
          <w:sz w:val="13"/>
        </w:rPr>
        <w:t> </w:t>
      </w:r>
      <w:r>
        <w:rPr>
          <w:sz w:val="13"/>
        </w:rPr>
        <w:t>sworn</w:t>
      </w:r>
      <w:r>
        <w:rPr>
          <w:spacing w:val="9"/>
          <w:sz w:val="13"/>
        </w:rPr>
        <w:t> </w:t>
      </w:r>
      <w:r>
        <w:rPr>
          <w:sz w:val="13"/>
        </w:rPr>
        <w:t>value</w:t>
      </w:r>
      <w:r>
        <w:rPr>
          <w:spacing w:val="9"/>
          <w:sz w:val="13"/>
        </w:rPr>
        <w:t> </w:t>
      </w:r>
      <w:r>
        <w:rPr>
          <w:sz w:val="13"/>
        </w:rPr>
        <w:t>of</w:t>
      </w:r>
      <w:r>
        <w:rPr>
          <w:spacing w:val="9"/>
          <w:sz w:val="13"/>
        </w:rPr>
        <w:t> </w:t>
      </w:r>
      <w:r>
        <w:rPr>
          <w:sz w:val="13"/>
        </w:rPr>
        <w:t>the</w:t>
      </w:r>
      <w:r>
        <w:rPr>
          <w:spacing w:val="10"/>
          <w:sz w:val="13"/>
        </w:rPr>
        <w:t> </w:t>
      </w:r>
      <w:r>
        <w:rPr>
          <w:sz w:val="13"/>
        </w:rPr>
        <w:t>deceased</w:t>
      </w:r>
      <w:r>
        <w:rPr>
          <w:spacing w:val="9"/>
          <w:sz w:val="13"/>
        </w:rPr>
        <w:t> </w:t>
      </w:r>
      <w:r>
        <w:rPr>
          <w:sz w:val="13"/>
        </w:rPr>
        <w:t>person’s</w:t>
      </w:r>
      <w:r>
        <w:rPr>
          <w:spacing w:val="9"/>
          <w:sz w:val="13"/>
        </w:rPr>
        <w:t> </w:t>
      </w:r>
      <w:r>
        <w:rPr>
          <w:sz w:val="13"/>
        </w:rPr>
        <w:t>interest</w:t>
      </w:r>
      <w:r>
        <w:rPr>
          <w:spacing w:val="9"/>
          <w:sz w:val="13"/>
        </w:rPr>
        <w:t> </w:t>
      </w:r>
      <w:r>
        <w:rPr>
          <w:sz w:val="13"/>
        </w:rPr>
        <w:t>in</w:t>
      </w:r>
      <w:r>
        <w:rPr>
          <w:spacing w:val="9"/>
          <w:sz w:val="13"/>
        </w:rPr>
        <w:t> </w:t>
      </w:r>
      <w:r>
        <w:rPr>
          <w:sz w:val="13"/>
        </w:rPr>
        <w:t>the</w:t>
      </w:r>
      <w:r>
        <w:rPr>
          <w:spacing w:val="10"/>
          <w:sz w:val="13"/>
        </w:rPr>
        <w:t> </w:t>
      </w:r>
      <w:r>
        <w:rPr>
          <w:sz w:val="13"/>
        </w:rPr>
        <w:t>shared</w:t>
      </w:r>
      <w:r>
        <w:rPr>
          <w:spacing w:val="9"/>
          <w:sz w:val="13"/>
        </w:rPr>
        <w:t> </w:t>
      </w:r>
      <w:r>
        <w:rPr>
          <w:sz w:val="13"/>
        </w:rPr>
        <w:t>home</w:t>
      </w:r>
      <w:r>
        <w:rPr>
          <w:spacing w:val="9"/>
          <w:sz w:val="13"/>
        </w:rPr>
        <w:t> </w:t>
      </w:r>
      <w:r>
        <w:rPr>
          <w:sz w:val="13"/>
        </w:rPr>
        <w:t>at</w:t>
      </w:r>
      <w:r>
        <w:rPr>
          <w:spacing w:val="9"/>
          <w:sz w:val="13"/>
        </w:rPr>
        <w:t> </w:t>
      </w:r>
      <w:r>
        <w:rPr>
          <w:sz w:val="13"/>
        </w:rPr>
        <w:t>the</w:t>
      </w:r>
      <w:r>
        <w:rPr>
          <w:spacing w:val="10"/>
          <w:sz w:val="13"/>
        </w:rPr>
        <w:t> </w:t>
      </w:r>
      <w:r>
        <w:rPr>
          <w:sz w:val="13"/>
        </w:rPr>
        <w:t>date</w:t>
      </w:r>
      <w:r>
        <w:rPr>
          <w:spacing w:val="9"/>
          <w:sz w:val="13"/>
        </w:rPr>
        <w:t> </w:t>
      </w:r>
      <w:r>
        <w:rPr>
          <w:sz w:val="13"/>
        </w:rPr>
        <w:t>of</w:t>
      </w:r>
      <w:r>
        <w:rPr>
          <w:spacing w:val="9"/>
          <w:sz w:val="13"/>
        </w:rPr>
        <w:t> </w:t>
      </w:r>
      <w:r>
        <w:rPr>
          <w:sz w:val="13"/>
        </w:rPr>
        <w:t>death:</w:t>
      </w:r>
      <w:r>
        <w:rPr>
          <w:spacing w:val="9"/>
          <w:sz w:val="13"/>
        </w:rPr>
        <w:t> </w:t>
      </w:r>
      <w:r>
        <w:rPr>
          <w:sz w:val="13"/>
        </w:rPr>
        <w:t>s</w:t>
      </w:r>
      <w:r>
        <w:rPr>
          <w:spacing w:val="9"/>
          <w:sz w:val="13"/>
        </w:rPr>
        <w:t> </w:t>
      </w:r>
      <w:r>
        <w:rPr>
          <w:sz w:val="13"/>
        </w:rPr>
        <w:t>37A(6).</w:t>
      </w:r>
    </w:p>
    <w:p>
      <w:pPr>
        <w:pStyle w:val="ListParagraph"/>
        <w:numPr>
          <w:ilvl w:val="0"/>
          <w:numId w:val="60"/>
        </w:numPr>
        <w:tabs>
          <w:tab w:pos="2380" w:val="left" w:leader="none"/>
          <w:tab w:pos="2382" w:val="left" w:leader="none"/>
        </w:tabs>
        <w:spacing w:line="240" w:lineRule="auto" w:before="7" w:after="0"/>
        <w:ind w:left="1587" w:right="6451" w:firstLine="0"/>
        <w:jc w:val="left"/>
        <w:rPr>
          <w:sz w:val="13"/>
        </w:rPr>
      </w:pPr>
      <w:r>
        <w:rPr>
          <w:i/>
          <w:w w:val="105"/>
          <w:sz w:val="13"/>
        </w:rPr>
        <w:t>Administration and Probate Act 1958 </w:t>
      </w:r>
      <w:r>
        <w:rPr>
          <w:spacing w:val="2"/>
          <w:w w:val="105"/>
          <w:sz w:val="13"/>
        </w:rPr>
        <w:t>(Vic) </w:t>
      </w:r>
      <w:r>
        <w:rPr>
          <w:w w:val="105"/>
          <w:sz w:val="13"/>
        </w:rPr>
        <w:t>s </w:t>
      </w:r>
      <w:r>
        <w:rPr>
          <w:spacing w:val="2"/>
          <w:w w:val="105"/>
          <w:sz w:val="13"/>
        </w:rPr>
        <w:t>37A(7)(a). </w:t>
      </w:r>
      <w:r>
        <w:rPr>
          <w:w w:val="105"/>
          <w:sz w:val="13"/>
        </w:rPr>
        <w:t>136</w:t>
        <w:tab/>
        <w:t>Ibid s</w:t>
      </w:r>
      <w:r>
        <w:rPr>
          <w:spacing w:val="8"/>
          <w:w w:val="105"/>
          <w:sz w:val="13"/>
        </w:rPr>
        <w:t> </w:t>
      </w:r>
      <w:r>
        <w:rPr>
          <w:spacing w:val="2"/>
          <w:w w:val="105"/>
          <w:sz w:val="13"/>
        </w:rPr>
        <w:t>37A(7)(b).</w:t>
      </w:r>
    </w:p>
    <w:p>
      <w:pPr>
        <w:tabs>
          <w:tab w:pos="2381" w:val="left" w:leader="none"/>
        </w:tabs>
        <w:spacing w:before="2"/>
        <w:ind w:left="1587" w:right="0" w:firstLine="0"/>
        <w:jc w:val="left"/>
        <w:rPr>
          <w:sz w:val="13"/>
        </w:rPr>
      </w:pPr>
      <w:r>
        <w:rPr>
          <w:spacing w:val="-3"/>
          <w:w w:val="105"/>
          <w:sz w:val="13"/>
        </w:rPr>
        <w:t>137</w:t>
        <w:tab/>
      </w:r>
      <w:r>
        <w:rPr>
          <w:w w:val="105"/>
          <w:sz w:val="13"/>
        </w:rPr>
        <w:t>Ibid  s</w:t>
      </w:r>
      <w:r>
        <w:rPr>
          <w:spacing w:val="-12"/>
          <w:w w:val="105"/>
          <w:sz w:val="13"/>
        </w:rPr>
        <w:t> </w:t>
      </w:r>
      <w:r>
        <w:rPr>
          <w:w w:val="105"/>
          <w:sz w:val="13"/>
        </w:rPr>
        <w:t>37A(10).</w:t>
      </w:r>
    </w:p>
    <w:p>
      <w:pPr>
        <w:tabs>
          <w:tab w:pos="2381" w:val="left" w:leader="none"/>
        </w:tabs>
        <w:spacing w:before="2"/>
        <w:ind w:left="1587" w:right="0" w:firstLine="0"/>
        <w:jc w:val="left"/>
        <w:rPr>
          <w:sz w:val="13"/>
        </w:rPr>
      </w:pPr>
      <w:r>
        <w:rPr>
          <w:w w:val="105"/>
          <w:sz w:val="13"/>
        </w:rPr>
        <w:t>138</w:t>
        <w:tab/>
        <w:t>Ibid s</w:t>
      </w:r>
      <w:r>
        <w:rPr>
          <w:spacing w:val="5"/>
          <w:w w:val="105"/>
          <w:sz w:val="13"/>
        </w:rPr>
        <w:t> </w:t>
      </w:r>
      <w:r>
        <w:rPr>
          <w:w w:val="105"/>
          <w:sz w:val="13"/>
        </w:rPr>
        <w:t>37A(11).</w:t>
      </w:r>
    </w:p>
    <w:p>
      <w:pPr>
        <w:pStyle w:val="ListParagraph"/>
        <w:numPr>
          <w:ilvl w:val="0"/>
          <w:numId w:val="61"/>
        </w:numPr>
        <w:tabs>
          <w:tab w:pos="2381" w:val="left" w:leader="none"/>
          <w:tab w:pos="2382" w:val="left" w:leader="none"/>
        </w:tabs>
        <w:spacing w:line="240" w:lineRule="auto" w:before="1" w:after="0"/>
        <w:ind w:left="2381" w:right="0" w:hanging="794"/>
        <w:jc w:val="left"/>
        <w:rPr>
          <w:sz w:val="13"/>
        </w:rPr>
      </w:pPr>
      <w:r>
        <w:rPr>
          <w:sz w:val="13"/>
        </w:rPr>
        <w:t>Ibid s</w:t>
      </w:r>
      <w:r>
        <w:rPr>
          <w:spacing w:val="12"/>
          <w:sz w:val="13"/>
        </w:rPr>
        <w:t> </w:t>
      </w:r>
      <w:r>
        <w:rPr>
          <w:sz w:val="13"/>
        </w:rPr>
        <w:t>37A(2).</w:t>
      </w:r>
    </w:p>
    <w:p>
      <w:pPr>
        <w:pStyle w:val="ListParagraph"/>
        <w:numPr>
          <w:ilvl w:val="0"/>
          <w:numId w:val="61"/>
        </w:numPr>
        <w:tabs>
          <w:tab w:pos="2381" w:val="left" w:leader="none"/>
          <w:tab w:pos="2382" w:val="left" w:leader="none"/>
        </w:tabs>
        <w:spacing w:line="240" w:lineRule="auto" w:before="1" w:after="0"/>
        <w:ind w:left="2381" w:right="0" w:hanging="794"/>
        <w:jc w:val="left"/>
        <w:rPr>
          <w:sz w:val="13"/>
        </w:rPr>
      </w:pPr>
      <w:r>
        <w:rPr>
          <w:w w:val="105"/>
          <w:sz w:val="13"/>
        </w:rPr>
        <w:t>National</w:t>
      </w:r>
      <w:r>
        <w:rPr>
          <w:spacing w:val="4"/>
          <w:w w:val="105"/>
          <w:sz w:val="13"/>
        </w:rPr>
        <w:t> </w:t>
      </w:r>
      <w:r>
        <w:rPr>
          <w:w w:val="105"/>
          <w:sz w:val="13"/>
        </w:rPr>
        <w:t>Committee</w:t>
      </w:r>
      <w:r>
        <w:rPr>
          <w:spacing w:val="5"/>
          <w:w w:val="105"/>
          <w:sz w:val="13"/>
        </w:rPr>
        <w:t> </w:t>
      </w:r>
      <w:r>
        <w:rPr>
          <w:w w:val="105"/>
          <w:sz w:val="13"/>
        </w:rPr>
        <w:t>for</w:t>
      </w:r>
      <w:r>
        <w:rPr>
          <w:spacing w:val="5"/>
          <w:w w:val="105"/>
          <w:sz w:val="13"/>
        </w:rPr>
        <w:t> </w:t>
      </w:r>
      <w:r>
        <w:rPr>
          <w:w w:val="105"/>
          <w:sz w:val="13"/>
        </w:rPr>
        <w:t>Uniform</w:t>
      </w:r>
      <w:r>
        <w:rPr>
          <w:spacing w:val="5"/>
          <w:w w:val="105"/>
          <w:sz w:val="13"/>
        </w:rPr>
        <w:t> </w:t>
      </w:r>
      <w:r>
        <w:rPr>
          <w:w w:val="105"/>
          <w:sz w:val="13"/>
        </w:rPr>
        <w:t>Succession</w:t>
      </w:r>
      <w:r>
        <w:rPr>
          <w:spacing w:val="4"/>
          <w:w w:val="105"/>
          <w:sz w:val="13"/>
        </w:rPr>
        <w:t> </w:t>
      </w:r>
      <w:r>
        <w:rPr>
          <w:w w:val="105"/>
          <w:sz w:val="13"/>
        </w:rPr>
        <w:t>Laws,</w:t>
      </w:r>
      <w:r>
        <w:rPr>
          <w:spacing w:val="5"/>
          <w:w w:val="105"/>
          <w:sz w:val="13"/>
        </w:rPr>
        <w:t> </w:t>
      </w:r>
      <w:r>
        <w:rPr>
          <w:w w:val="105"/>
          <w:sz w:val="13"/>
        </w:rPr>
        <w:t>above</w:t>
      </w:r>
      <w:r>
        <w:rPr>
          <w:spacing w:val="5"/>
          <w:w w:val="105"/>
          <w:sz w:val="13"/>
        </w:rPr>
        <w:t> </w:t>
      </w:r>
      <w:r>
        <w:rPr>
          <w:w w:val="105"/>
          <w:sz w:val="13"/>
        </w:rPr>
        <w:t>n</w:t>
      </w:r>
      <w:r>
        <w:rPr>
          <w:spacing w:val="5"/>
          <w:w w:val="105"/>
          <w:sz w:val="13"/>
        </w:rPr>
        <w:t> </w:t>
      </w:r>
      <w:r>
        <w:rPr>
          <w:w w:val="105"/>
          <w:sz w:val="13"/>
        </w:rPr>
        <w:t>10,</w:t>
      </w:r>
      <w:r>
        <w:rPr>
          <w:spacing w:val="4"/>
          <w:w w:val="105"/>
          <w:sz w:val="13"/>
        </w:rPr>
        <w:t> </w:t>
      </w:r>
      <w:r>
        <w:rPr>
          <w:w w:val="105"/>
          <w:sz w:val="13"/>
        </w:rPr>
        <w:t>82–3.</w:t>
      </w:r>
    </w:p>
    <w:p>
      <w:pPr>
        <w:pStyle w:val="ListParagraph"/>
        <w:numPr>
          <w:ilvl w:val="0"/>
          <w:numId w:val="61"/>
        </w:numPr>
        <w:tabs>
          <w:tab w:pos="2381" w:val="left" w:leader="none"/>
          <w:tab w:pos="2382" w:val="left" w:leader="none"/>
        </w:tabs>
        <w:spacing w:line="240" w:lineRule="auto" w:before="2" w:after="0"/>
        <w:ind w:left="2381" w:right="0" w:hanging="794"/>
        <w:jc w:val="left"/>
        <w:rPr>
          <w:sz w:val="13"/>
        </w:rPr>
      </w:pPr>
      <w:r>
        <w:rPr>
          <w:w w:val="105"/>
          <w:sz w:val="13"/>
        </w:rPr>
        <w:t>Ibid</w:t>
      </w:r>
      <w:r>
        <w:rPr>
          <w:spacing w:val="4"/>
          <w:w w:val="105"/>
          <w:sz w:val="13"/>
        </w:rPr>
        <w:t> </w:t>
      </w:r>
      <w:r>
        <w:rPr>
          <w:spacing w:val="2"/>
          <w:w w:val="105"/>
          <w:sz w:val="13"/>
        </w:rPr>
        <w:t>82–6</w:t>
      </w:r>
      <w:r>
        <w:rPr>
          <w:spacing w:val="5"/>
          <w:w w:val="105"/>
          <w:sz w:val="13"/>
        </w:rPr>
        <w:t> </w:t>
      </w:r>
      <w:r>
        <w:rPr>
          <w:w w:val="105"/>
          <w:sz w:val="13"/>
        </w:rPr>
        <w:t>recommendation</w:t>
      </w:r>
      <w:r>
        <w:rPr>
          <w:spacing w:val="5"/>
          <w:w w:val="105"/>
          <w:sz w:val="13"/>
        </w:rPr>
        <w:t> </w:t>
      </w:r>
      <w:r>
        <w:rPr>
          <w:w w:val="105"/>
          <w:sz w:val="13"/>
        </w:rPr>
        <w:t>9,</w:t>
      </w:r>
      <w:r>
        <w:rPr>
          <w:spacing w:val="4"/>
          <w:w w:val="105"/>
          <w:sz w:val="13"/>
        </w:rPr>
        <w:t> </w:t>
      </w:r>
      <w:r>
        <w:rPr>
          <w:w w:val="105"/>
          <w:sz w:val="13"/>
        </w:rPr>
        <w:t>Draft</w:t>
      </w:r>
      <w:r>
        <w:rPr>
          <w:spacing w:val="5"/>
          <w:w w:val="105"/>
          <w:sz w:val="13"/>
        </w:rPr>
        <w:t> </w:t>
      </w:r>
      <w:r>
        <w:rPr>
          <w:w w:val="105"/>
          <w:sz w:val="13"/>
        </w:rPr>
        <w:t>Intestacy</w:t>
      </w:r>
      <w:r>
        <w:rPr>
          <w:spacing w:val="5"/>
          <w:w w:val="105"/>
          <w:sz w:val="13"/>
        </w:rPr>
        <w:t> </w:t>
      </w:r>
      <w:r>
        <w:rPr>
          <w:w w:val="105"/>
          <w:sz w:val="13"/>
        </w:rPr>
        <w:t>Bill</w:t>
      </w:r>
      <w:r>
        <w:rPr>
          <w:spacing w:val="5"/>
          <w:w w:val="105"/>
          <w:sz w:val="13"/>
        </w:rPr>
        <w:t> </w:t>
      </w:r>
      <w:r>
        <w:rPr>
          <w:w w:val="105"/>
          <w:sz w:val="13"/>
        </w:rPr>
        <w:t>2006</w:t>
      </w:r>
      <w:r>
        <w:rPr>
          <w:spacing w:val="4"/>
          <w:w w:val="105"/>
          <w:sz w:val="13"/>
        </w:rPr>
        <w:t> </w:t>
      </w:r>
      <w:r>
        <w:rPr>
          <w:w w:val="105"/>
          <w:sz w:val="13"/>
        </w:rPr>
        <w:t>cl</w:t>
      </w:r>
      <w:r>
        <w:rPr>
          <w:spacing w:val="5"/>
          <w:w w:val="105"/>
          <w:sz w:val="13"/>
        </w:rPr>
        <w:t> </w:t>
      </w:r>
      <w:r>
        <w:rPr>
          <w:w w:val="105"/>
          <w:sz w:val="13"/>
        </w:rPr>
        <w:t>16(1).</w:t>
      </w:r>
    </w:p>
    <w:p>
      <w:pPr>
        <w:pStyle w:val="ListParagraph"/>
        <w:numPr>
          <w:ilvl w:val="0"/>
          <w:numId w:val="61"/>
        </w:numPr>
        <w:tabs>
          <w:tab w:pos="2381" w:val="left" w:leader="none"/>
          <w:tab w:pos="2382" w:val="left" w:leader="none"/>
        </w:tabs>
        <w:spacing w:line="240" w:lineRule="auto" w:before="1" w:after="0"/>
        <w:ind w:left="2381" w:right="0" w:hanging="794"/>
        <w:jc w:val="left"/>
        <w:rPr>
          <w:sz w:val="13"/>
        </w:rPr>
      </w:pPr>
      <w:r>
        <w:rPr>
          <w:w w:val="105"/>
          <w:sz w:val="13"/>
        </w:rPr>
        <w:t>Ibid</w:t>
      </w:r>
      <w:r>
        <w:rPr>
          <w:spacing w:val="4"/>
          <w:w w:val="105"/>
          <w:sz w:val="13"/>
        </w:rPr>
        <w:t> </w:t>
      </w:r>
      <w:r>
        <w:rPr>
          <w:w w:val="105"/>
          <w:sz w:val="13"/>
        </w:rPr>
        <w:t>104</w:t>
      </w:r>
      <w:r>
        <w:rPr>
          <w:spacing w:val="5"/>
          <w:w w:val="105"/>
          <w:sz w:val="13"/>
        </w:rPr>
        <w:t> </w:t>
      </w:r>
      <w:r>
        <w:rPr>
          <w:w w:val="105"/>
          <w:sz w:val="13"/>
        </w:rPr>
        <w:t>recommendation</w:t>
      </w:r>
      <w:r>
        <w:rPr>
          <w:spacing w:val="5"/>
          <w:w w:val="105"/>
          <w:sz w:val="13"/>
        </w:rPr>
        <w:t> </w:t>
      </w:r>
      <w:r>
        <w:rPr>
          <w:w w:val="105"/>
          <w:sz w:val="13"/>
        </w:rPr>
        <w:t>19,</w:t>
      </w:r>
      <w:r>
        <w:rPr>
          <w:spacing w:val="4"/>
          <w:w w:val="105"/>
          <w:sz w:val="13"/>
        </w:rPr>
        <w:t> </w:t>
      </w:r>
      <w:r>
        <w:rPr>
          <w:w w:val="105"/>
          <w:sz w:val="13"/>
        </w:rPr>
        <w:t>Draft</w:t>
      </w:r>
      <w:r>
        <w:rPr>
          <w:spacing w:val="5"/>
          <w:w w:val="105"/>
          <w:sz w:val="13"/>
        </w:rPr>
        <w:t> </w:t>
      </w:r>
      <w:r>
        <w:rPr>
          <w:w w:val="105"/>
          <w:sz w:val="13"/>
        </w:rPr>
        <w:t>Intestacy</w:t>
      </w:r>
      <w:r>
        <w:rPr>
          <w:spacing w:val="5"/>
          <w:w w:val="105"/>
          <w:sz w:val="13"/>
        </w:rPr>
        <w:t> </w:t>
      </w:r>
      <w:r>
        <w:rPr>
          <w:w w:val="105"/>
          <w:sz w:val="13"/>
        </w:rPr>
        <w:t>Bill</w:t>
      </w:r>
      <w:r>
        <w:rPr>
          <w:spacing w:val="5"/>
          <w:w w:val="105"/>
          <w:sz w:val="13"/>
        </w:rPr>
        <w:t> </w:t>
      </w:r>
      <w:r>
        <w:rPr>
          <w:w w:val="105"/>
          <w:sz w:val="13"/>
        </w:rPr>
        <w:t>2006</w:t>
      </w:r>
      <w:r>
        <w:rPr>
          <w:spacing w:val="4"/>
          <w:w w:val="105"/>
          <w:sz w:val="13"/>
        </w:rPr>
        <w:t> </w:t>
      </w:r>
      <w:r>
        <w:rPr>
          <w:w w:val="105"/>
          <w:sz w:val="13"/>
        </w:rPr>
        <w:t>cl</w:t>
      </w:r>
      <w:r>
        <w:rPr>
          <w:spacing w:val="5"/>
          <w:w w:val="105"/>
          <w:sz w:val="13"/>
        </w:rPr>
        <w:t> </w:t>
      </w:r>
      <w:r>
        <w:rPr>
          <w:spacing w:val="-3"/>
          <w:w w:val="105"/>
          <w:sz w:val="13"/>
        </w:rPr>
        <w:t>21.</w:t>
      </w:r>
    </w:p>
    <w:p>
      <w:pPr>
        <w:pStyle w:val="ListParagraph"/>
        <w:numPr>
          <w:ilvl w:val="0"/>
          <w:numId w:val="61"/>
        </w:numPr>
        <w:tabs>
          <w:tab w:pos="2381" w:val="left" w:leader="none"/>
          <w:tab w:pos="2382" w:val="left" w:leader="none"/>
        </w:tabs>
        <w:spacing w:line="240" w:lineRule="auto" w:before="1" w:after="0"/>
        <w:ind w:left="2381" w:right="1937" w:hanging="794"/>
        <w:jc w:val="left"/>
        <w:rPr>
          <w:sz w:val="13"/>
        </w:rPr>
      </w:pPr>
      <w:r>
        <w:rPr/>
        <w:pict>
          <v:shape style="position:absolute;margin-left:549.011475pt;margin-top:2.855465pt;width:13.2pt;height:14.25pt;mso-position-horizontal-relative:page;mso-position-vertical-relative:paragraph;z-index:6688" type="#_x0000_t202" filled="false" stroked="false">
            <v:textbox inset="0,0,0,0">
              <w:txbxContent>
                <w:p>
                  <w:pPr>
                    <w:spacing w:line="284" w:lineRule="exact" w:before="0"/>
                    <w:ind w:left="0" w:right="0" w:firstLine="0"/>
                    <w:jc w:val="left"/>
                    <w:rPr>
                      <w:b/>
                      <w:sz w:val="24"/>
                    </w:rPr>
                  </w:pPr>
                  <w:r>
                    <w:rPr>
                      <w:b/>
                      <w:color w:val="EC5A4F"/>
                      <w:spacing w:val="-2"/>
                      <w:w w:val="110"/>
                      <w:sz w:val="24"/>
                    </w:rPr>
                    <w:t>73</w:t>
                  </w:r>
                </w:p>
              </w:txbxContent>
            </v:textbox>
            <w10:wrap type="none"/>
          </v:shape>
        </w:pict>
      </w:r>
      <w:r>
        <w:rPr>
          <w:sz w:val="13"/>
        </w:rPr>
        <w:t>Ibid 104 recommendation 20, Draft Intestacy Bill 2006 cl </w:t>
      </w:r>
      <w:r>
        <w:rPr>
          <w:spacing w:val="2"/>
          <w:sz w:val="13"/>
        </w:rPr>
        <w:t>16(2). </w:t>
      </w:r>
      <w:r>
        <w:rPr>
          <w:sz w:val="13"/>
        </w:rPr>
        <w:t>It recommended that surviving children or other issue, or the personal representative,</w:t>
      </w:r>
      <w:r>
        <w:rPr>
          <w:spacing w:val="8"/>
          <w:sz w:val="13"/>
        </w:rPr>
        <w:t> </w:t>
      </w:r>
      <w:r>
        <w:rPr>
          <w:sz w:val="13"/>
        </w:rPr>
        <w:t>should</w:t>
      </w:r>
      <w:r>
        <w:rPr>
          <w:spacing w:val="8"/>
          <w:sz w:val="13"/>
        </w:rPr>
        <w:t> </w:t>
      </w:r>
      <w:r>
        <w:rPr>
          <w:sz w:val="13"/>
        </w:rPr>
        <w:t>be</w:t>
      </w:r>
      <w:r>
        <w:rPr>
          <w:spacing w:val="8"/>
          <w:sz w:val="13"/>
        </w:rPr>
        <w:t> </w:t>
      </w:r>
      <w:r>
        <w:rPr>
          <w:sz w:val="13"/>
        </w:rPr>
        <w:t>able</w:t>
      </w:r>
      <w:r>
        <w:rPr>
          <w:spacing w:val="8"/>
          <w:sz w:val="13"/>
        </w:rPr>
        <w:t> </w:t>
      </w:r>
      <w:r>
        <w:rPr>
          <w:sz w:val="13"/>
        </w:rPr>
        <w:t>to</w:t>
      </w:r>
      <w:r>
        <w:rPr>
          <w:spacing w:val="8"/>
          <w:sz w:val="13"/>
        </w:rPr>
        <w:t> </w:t>
      </w:r>
      <w:r>
        <w:rPr>
          <w:sz w:val="13"/>
        </w:rPr>
        <w:t>apply</w:t>
      </w:r>
      <w:r>
        <w:rPr>
          <w:spacing w:val="8"/>
          <w:sz w:val="13"/>
        </w:rPr>
        <w:t> </w:t>
      </w:r>
      <w:r>
        <w:rPr>
          <w:sz w:val="13"/>
        </w:rPr>
        <w:t>to</w:t>
      </w:r>
      <w:r>
        <w:rPr>
          <w:spacing w:val="9"/>
          <w:sz w:val="13"/>
        </w:rPr>
        <w:t> </w:t>
      </w:r>
      <w:r>
        <w:rPr>
          <w:sz w:val="13"/>
        </w:rPr>
        <w:t>the</w:t>
      </w:r>
      <w:r>
        <w:rPr>
          <w:spacing w:val="8"/>
          <w:sz w:val="13"/>
        </w:rPr>
        <w:t> </w:t>
      </w:r>
      <w:r>
        <w:rPr>
          <w:sz w:val="13"/>
        </w:rPr>
        <w:t>Supreme</w:t>
      </w:r>
      <w:r>
        <w:rPr>
          <w:spacing w:val="8"/>
          <w:sz w:val="13"/>
        </w:rPr>
        <w:t> </w:t>
      </w:r>
      <w:r>
        <w:rPr>
          <w:sz w:val="13"/>
        </w:rPr>
        <w:t>Court</w:t>
      </w:r>
      <w:r>
        <w:rPr>
          <w:spacing w:val="8"/>
          <w:sz w:val="13"/>
        </w:rPr>
        <w:t> </w:t>
      </w:r>
      <w:r>
        <w:rPr>
          <w:sz w:val="13"/>
        </w:rPr>
        <w:t>in</w:t>
      </w:r>
      <w:r>
        <w:rPr>
          <w:spacing w:val="8"/>
          <w:sz w:val="13"/>
        </w:rPr>
        <w:t> </w:t>
      </w:r>
      <w:r>
        <w:rPr>
          <w:sz w:val="13"/>
        </w:rPr>
        <w:t>these</w:t>
      </w:r>
      <w:r>
        <w:rPr>
          <w:spacing w:val="8"/>
          <w:sz w:val="13"/>
        </w:rPr>
        <w:t> </w:t>
      </w:r>
      <w:r>
        <w:rPr>
          <w:sz w:val="13"/>
        </w:rPr>
        <w:t>circumstances.</w:t>
      </w:r>
    </w:p>
    <w:p>
      <w:pPr>
        <w:spacing w:after="0" w:line="240" w:lineRule="auto"/>
        <w:jc w:val="left"/>
        <w:rPr>
          <w:sz w:val="13"/>
        </w:rPr>
        <w:sectPr>
          <w:pgSz w:w="11910" w:h="16840"/>
          <w:pgMar w:header="805" w:footer="0" w:top="1360" w:bottom="280" w:left="0" w:right="0"/>
        </w:sectPr>
      </w:pPr>
    </w:p>
    <w:p>
      <w:pPr>
        <w:pStyle w:val="BodyText"/>
        <w:spacing w:before="9"/>
        <w:rPr>
          <w:sz w:val="22"/>
        </w:rPr>
      </w:pPr>
    </w:p>
    <w:p>
      <w:pPr>
        <w:pStyle w:val="ListParagraph"/>
        <w:numPr>
          <w:ilvl w:val="1"/>
          <w:numId w:val="22"/>
        </w:numPr>
        <w:tabs>
          <w:tab w:pos="2381" w:val="left" w:leader="none"/>
          <w:tab w:pos="2382" w:val="left" w:leader="none"/>
        </w:tabs>
        <w:spacing w:line="240" w:lineRule="auto" w:before="92" w:after="0"/>
        <w:ind w:left="2381" w:right="0" w:hanging="794"/>
        <w:jc w:val="left"/>
        <w:rPr>
          <w:sz w:val="21"/>
        </w:rPr>
      </w:pPr>
      <w:r>
        <w:rPr>
          <w:w w:val="105"/>
          <w:sz w:val="21"/>
        </w:rPr>
        <w:t>Examples of this given by the </w:t>
      </w:r>
      <w:r>
        <w:rPr>
          <w:spacing w:val="-3"/>
          <w:w w:val="105"/>
          <w:sz w:val="21"/>
        </w:rPr>
        <w:t>National Committee</w:t>
      </w:r>
      <w:r>
        <w:rPr>
          <w:spacing w:val="37"/>
          <w:w w:val="105"/>
          <w:sz w:val="21"/>
        </w:rPr>
        <w:t> </w:t>
      </w:r>
      <w:r>
        <w:rPr>
          <w:w w:val="105"/>
          <w:sz w:val="21"/>
        </w:rPr>
        <w:t>included:</w:t>
      </w:r>
    </w:p>
    <w:p>
      <w:pPr>
        <w:pStyle w:val="ListParagraph"/>
        <w:numPr>
          <w:ilvl w:val="2"/>
          <w:numId w:val="22"/>
        </w:numPr>
        <w:tabs>
          <w:tab w:pos="2721" w:val="left" w:leader="none"/>
          <w:tab w:pos="2722" w:val="left" w:leader="none"/>
        </w:tabs>
        <w:spacing w:line="240" w:lineRule="auto" w:before="123" w:after="0"/>
        <w:ind w:left="2721" w:right="0" w:hanging="340"/>
        <w:jc w:val="left"/>
        <w:rPr>
          <w:sz w:val="21"/>
        </w:rPr>
      </w:pPr>
      <w:r>
        <w:rPr>
          <w:w w:val="105"/>
          <w:sz w:val="21"/>
        </w:rPr>
        <w:t>a part of a </w:t>
      </w:r>
      <w:r>
        <w:rPr>
          <w:spacing w:val="-3"/>
          <w:w w:val="105"/>
          <w:sz w:val="21"/>
        </w:rPr>
        <w:t>building, </w:t>
      </w:r>
      <w:r>
        <w:rPr>
          <w:w w:val="105"/>
          <w:sz w:val="21"/>
        </w:rPr>
        <w:t>where the deceased person </w:t>
      </w:r>
      <w:r>
        <w:rPr>
          <w:spacing w:val="-2"/>
          <w:w w:val="105"/>
          <w:sz w:val="21"/>
        </w:rPr>
        <w:t>had </w:t>
      </w:r>
      <w:r>
        <w:rPr>
          <w:w w:val="105"/>
          <w:sz w:val="21"/>
        </w:rPr>
        <w:t>an </w:t>
      </w:r>
      <w:r>
        <w:rPr>
          <w:spacing w:val="-3"/>
          <w:w w:val="105"/>
          <w:sz w:val="21"/>
        </w:rPr>
        <w:t>interest </w:t>
      </w:r>
      <w:r>
        <w:rPr>
          <w:w w:val="105"/>
          <w:sz w:val="21"/>
        </w:rPr>
        <w:t>in the whole</w:t>
      </w:r>
      <w:r>
        <w:rPr>
          <w:spacing w:val="49"/>
          <w:w w:val="105"/>
          <w:sz w:val="21"/>
        </w:rPr>
        <w:t> </w:t>
      </w:r>
      <w:r>
        <w:rPr>
          <w:spacing w:val="-3"/>
          <w:w w:val="105"/>
          <w:sz w:val="21"/>
        </w:rPr>
        <w:t>building</w:t>
      </w:r>
    </w:p>
    <w:p>
      <w:pPr>
        <w:pStyle w:val="ListParagraph"/>
        <w:numPr>
          <w:ilvl w:val="2"/>
          <w:numId w:val="22"/>
        </w:numPr>
        <w:tabs>
          <w:tab w:pos="2721" w:val="left" w:leader="none"/>
          <w:tab w:pos="2722" w:val="left" w:leader="none"/>
        </w:tabs>
        <w:spacing w:line="240" w:lineRule="auto" w:before="124" w:after="0"/>
        <w:ind w:left="2721" w:right="0" w:hanging="340"/>
        <w:jc w:val="left"/>
        <w:rPr>
          <w:sz w:val="21"/>
        </w:rPr>
      </w:pPr>
      <w:r>
        <w:rPr>
          <w:spacing w:val="-3"/>
          <w:sz w:val="21"/>
        </w:rPr>
        <w:t>registered</w:t>
      </w:r>
      <w:r>
        <w:rPr>
          <w:spacing w:val="10"/>
          <w:sz w:val="21"/>
        </w:rPr>
        <w:t> </w:t>
      </w:r>
      <w:r>
        <w:rPr>
          <w:sz w:val="21"/>
        </w:rPr>
        <w:t>or</w:t>
      </w:r>
      <w:r>
        <w:rPr>
          <w:spacing w:val="10"/>
          <w:sz w:val="21"/>
        </w:rPr>
        <w:t> </w:t>
      </w:r>
      <w:r>
        <w:rPr>
          <w:spacing w:val="-3"/>
          <w:sz w:val="21"/>
        </w:rPr>
        <w:t>registrable</w:t>
      </w:r>
      <w:r>
        <w:rPr>
          <w:spacing w:val="10"/>
          <w:sz w:val="21"/>
        </w:rPr>
        <w:t> </w:t>
      </w:r>
      <w:r>
        <w:rPr>
          <w:spacing w:val="-3"/>
          <w:sz w:val="21"/>
        </w:rPr>
        <w:t>interest</w:t>
      </w:r>
      <w:r>
        <w:rPr>
          <w:spacing w:val="10"/>
          <w:sz w:val="21"/>
        </w:rPr>
        <w:t> </w:t>
      </w:r>
      <w:r>
        <w:rPr>
          <w:sz w:val="21"/>
        </w:rPr>
        <w:t>in</w:t>
      </w:r>
      <w:r>
        <w:rPr>
          <w:spacing w:val="11"/>
          <w:sz w:val="21"/>
        </w:rPr>
        <w:t> </w:t>
      </w:r>
      <w:r>
        <w:rPr>
          <w:spacing w:val="-3"/>
          <w:sz w:val="21"/>
        </w:rPr>
        <w:t>land</w:t>
      </w:r>
      <w:r>
        <w:rPr>
          <w:spacing w:val="10"/>
          <w:sz w:val="21"/>
        </w:rPr>
        <w:t> </w:t>
      </w:r>
      <w:r>
        <w:rPr>
          <w:sz w:val="21"/>
        </w:rPr>
        <w:t>used</w:t>
      </w:r>
      <w:r>
        <w:rPr>
          <w:spacing w:val="10"/>
          <w:sz w:val="21"/>
        </w:rPr>
        <w:t> </w:t>
      </w:r>
      <w:r>
        <w:rPr>
          <w:spacing w:val="-3"/>
          <w:sz w:val="21"/>
        </w:rPr>
        <w:t>for</w:t>
      </w:r>
      <w:r>
        <w:rPr>
          <w:spacing w:val="10"/>
          <w:sz w:val="21"/>
        </w:rPr>
        <w:t> </w:t>
      </w:r>
      <w:r>
        <w:rPr>
          <w:spacing w:val="-3"/>
          <w:sz w:val="21"/>
        </w:rPr>
        <w:t>agricultural</w:t>
      </w:r>
      <w:r>
        <w:rPr>
          <w:spacing w:val="10"/>
          <w:sz w:val="21"/>
        </w:rPr>
        <w:t> </w:t>
      </w:r>
      <w:r>
        <w:rPr>
          <w:sz w:val="21"/>
        </w:rPr>
        <w:t>purposes</w:t>
      </w:r>
    </w:p>
    <w:p>
      <w:pPr>
        <w:pStyle w:val="ListParagraph"/>
        <w:numPr>
          <w:ilvl w:val="2"/>
          <w:numId w:val="22"/>
        </w:numPr>
        <w:tabs>
          <w:tab w:pos="2721" w:val="left" w:leader="none"/>
          <w:tab w:pos="2722" w:val="left" w:leader="none"/>
        </w:tabs>
        <w:spacing w:line="242" w:lineRule="auto" w:before="124" w:after="0"/>
        <w:ind w:left="2721" w:right="2402" w:hanging="340"/>
        <w:jc w:val="left"/>
        <w:rPr>
          <w:sz w:val="21"/>
        </w:rPr>
      </w:pPr>
      <w:r>
        <w:rPr>
          <w:w w:val="105"/>
          <w:sz w:val="21"/>
        </w:rPr>
        <w:t>a </w:t>
      </w:r>
      <w:r>
        <w:rPr>
          <w:spacing w:val="-3"/>
          <w:w w:val="105"/>
          <w:sz w:val="21"/>
        </w:rPr>
        <w:t>building </w:t>
      </w:r>
      <w:r>
        <w:rPr>
          <w:w w:val="105"/>
          <w:sz w:val="21"/>
        </w:rPr>
        <w:t>used as a </w:t>
      </w:r>
      <w:r>
        <w:rPr>
          <w:spacing w:val="-3"/>
          <w:w w:val="105"/>
          <w:sz w:val="21"/>
        </w:rPr>
        <w:t>hotel, motel, boarding </w:t>
      </w:r>
      <w:r>
        <w:rPr>
          <w:w w:val="105"/>
          <w:sz w:val="21"/>
        </w:rPr>
        <w:t>house or hostel at the time of the deceased </w:t>
      </w:r>
      <w:r>
        <w:rPr>
          <w:spacing w:val="-3"/>
          <w:w w:val="105"/>
          <w:sz w:val="21"/>
        </w:rPr>
        <w:t>person’s</w:t>
      </w:r>
      <w:r>
        <w:rPr>
          <w:spacing w:val="9"/>
          <w:w w:val="105"/>
          <w:sz w:val="21"/>
        </w:rPr>
        <w:t> </w:t>
      </w:r>
      <w:r>
        <w:rPr>
          <w:w w:val="105"/>
          <w:sz w:val="21"/>
        </w:rPr>
        <w:t>death</w:t>
      </w:r>
    </w:p>
    <w:p>
      <w:pPr>
        <w:pStyle w:val="ListParagraph"/>
        <w:numPr>
          <w:ilvl w:val="2"/>
          <w:numId w:val="22"/>
        </w:numPr>
        <w:tabs>
          <w:tab w:pos="2721" w:val="left" w:leader="none"/>
          <w:tab w:pos="2722" w:val="left" w:leader="none"/>
        </w:tabs>
        <w:spacing w:line="242" w:lineRule="auto" w:before="122" w:after="0"/>
        <w:ind w:left="2721" w:right="1687" w:hanging="340"/>
        <w:jc w:val="left"/>
        <w:rPr>
          <w:sz w:val="12"/>
        </w:rPr>
      </w:pPr>
      <w:r>
        <w:rPr>
          <w:w w:val="105"/>
          <w:sz w:val="21"/>
        </w:rPr>
        <w:t>a</w:t>
      </w:r>
      <w:r>
        <w:rPr>
          <w:spacing w:val="-4"/>
          <w:w w:val="105"/>
          <w:sz w:val="21"/>
        </w:rPr>
        <w:t> </w:t>
      </w:r>
      <w:r>
        <w:rPr>
          <w:spacing w:val="-3"/>
          <w:w w:val="105"/>
          <w:sz w:val="21"/>
        </w:rPr>
        <w:t>shared</w:t>
      </w:r>
      <w:r>
        <w:rPr>
          <w:spacing w:val="-4"/>
          <w:w w:val="105"/>
          <w:sz w:val="21"/>
        </w:rPr>
        <w:t> </w:t>
      </w:r>
      <w:r>
        <w:rPr>
          <w:spacing w:val="-3"/>
          <w:w w:val="105"/>
          <w:sz w:val="21"/>
        </w:rPr>
        <w:t>home,</w:t>
      </w:r>
      <w:r>
        <w:rPr>
          <w:spacing w:val="-4"/>
          <w:w w:val="105"/>
          <w:sz w:val="21"/>
        </w:rPr>
        <w:t> </w:t>
      </w:r>
      <w:r>
        <w:rPr>
          <w:w w:val="105"/>
          <w:sz w:val="21"/>
        </w:rPr>
        <w:t>part</w:t>
      </w:r>
      <w:r>
        <w:rPr>
          <w:spacing w:val="-3"/>
          <w:w w:val="105"/>
          <w:sz w:val="21"/>
        </w:rPr>
        <w:t> </w:t>
      </w:r>
      <w:r>
        <w:rPr>
          <w:w w:val="105"/>
          <w:sz w:val="21"/>
        </w:rPr>
        <w:t>of</w:t>
      </w:r>
      <w:r>
        <w:rPr>
          <w:spacing w:val="-4"/>
          <w:w w:val="105"/>
          <w:sz w:val="21"/>
        </w:rPr>
        <w:t> </w:t>
      </w:r>
      <w:r>
        <w:rPr>
          <w:w w:val="105"/>
          <w:sz w:val="21"/>
        </w:rPr>
        <w:t>which</w:t>
      </w:r>
      <w:r>
        <w:rPr>
          <w:spacing w:val="-4"/>
          <w:w w:val="105"/>
          <w:sz w:val="21"/>
        </w:rPr>
        <w:t> </w:t>
      </w:r>
      <w:r>
        <w:rPr>
          <w:w w:val="105"/>
          <w:sz w:val="21"/>
        </w:rPr>
        <w:t>was</w:t>
      </w:r>
      <w:r>
        <w:rPr>
          <w:spacing w:val="-4"/>
          <w:w w:val="105"/>
          <w:sz w:val="21"/>
        </w:rPr>
        <w:t> </w:t>
      </w:r>
      <w:r>
        <w:rPr>
          <w:w w:val="105"/>
          <w:sz w:val="21"/>
        </w:rPr>
        <w:t>used</w:t>
      </w:r>
      <w:r>
        <w:rPr>
          <w:spacing w:val="-3"/>
          <w:w w:val="105"/>
          <w:sz w:val="21"/>
        </w:rPr>
        <w:t> for</w:t>
      </w:r>
      <w:r>
        <w:rPr>
          <w:spacing w:val="-4"/>
          <w:w w:val="105"/>
          <w:sz w:val="21"/>
        </w:rPr>
        <w:t> </w:t>
      </w:r>
      <w:r>
        <w:rPr>
          <w:w w:val="105"/>
          <w:sz w:val="21"/>
        </w:rPr>
        <w:t>a</w:t>
      </w:r>
      <w:r>
        <w:rPr>
          <w:spacing w:val="-4"/>
          <w:w w:val="105"/>
          <w:sz w:val="21"/>
        </w:rPr>
        <w:t> </w:t>
      </w:r>
      <w:r>
        <w:rPr>
          <w:w w:val="105"/>
          <w:sz w:val="21"/>
        </w:rPr>
        <w:t>purpose</w:t>
      </w:r>
      <w:r>
        <w:rPr>
          <w:spacing w:val="-4"/>
          <w:w w:val="105"/>
          <w:sz w:val="21"/>
        </w:rPr>
        <w:t> </w:t>
      </w:r>
      <w:r>
        <w:rPr>
          <w:w w:val="105"/>
          <w:sz w:val="21"/>
        </w:rPr>
        <w:t>other</w:t>
      </w:r>
      <w:r>
        <w:rPr>
          <w:spacing w:val="-3"/>
          <w:w w:val="105"/>
          <w:sz w:val="21"/>
        </w:rPr>
        <w:t> than</w:t>
      </w:r>
      <w:r>
        <w:rPr>
          <w:spacing w:val="-4"/>
          <w:w w:val="105"/>
          <w:sz w:val="21"/>
        </w:rPr>
        <w:t> </w:t>
      </w:r>
      <w:r>
        <w:rPr>
          <w:w w:val="105"/>
          <w:sz w:val="21"/>
        </w:rPr>
        <w:t>a</w:t>
      </w:r>
      <w:r>
        <w:rPr>
          <w:spacing w:val="-4"/>
          <w:w w:val="105"/>
          <w:sz w:val="21"/>
        </w:rPr>
        <w:t> </w:t>
      </w:r>
      <w:r>
        <w:rPr>
          <w:w w:val="105"/>
          <w:sz w:val="21"/>
        </w:rPr>
        <w:t>domestic</w:t>
      </w:r>
      <w:r>
        <w:rPr>
          <w:spacing w:val="-4"/>
          <w:w w:val="105"/>
          <w:sz w:val="21"/>
        </w:rPr>
        <w:t> </w:t>
      </w:r>
      <w:r>
        <w:rPr>
          <w:w w:val="105"/>
          <w:sz w:val="21"/>
        </w:rPr>
        <w:t>purpose at the time of the deceased </w:t>
      </w:r>
      <w:r>
        <w:rPr>
          <w:spacing w:val="-3"/>
          <w:w w:val="105"/>
          <w:sz w:val="21"/>
        </w:rPr>
        <w:t>person’s</w:t>
      </w:r>
      <w:r>
        <w:rPr>
          <w:spacing w:val="30"/>
          <w:w w:val="105"/>
          <w:sz w:val="21"/>
        </w:rPr>
        <w:t> </w:t>
      </w:r>
      <w:r>
        <w:rPr>
          <w:spacing w:val="-4"/>
          <w:w w:val="105"/>
          <w:sz w:val="21"/>
        </w:rPr>
        <w:t>death.</w:t>
      </w:r>
      <w:r>
        <w:rPr>
          <w:spacing w:val="-4"/>
          <w:w w:val="105"/>
          <w:position w:val="7"/>
          <w:sz w:val="12"/>
        </w:rPr>
        <w:t>144</w:t>
      </w:r>
    </w:p>
    <w:p>
      <w:pPr>
        <w:pStyle w:val="ListParagraph"/>
        <w:numPr>
          <w:ilvl w:val="1"/>
          <w:numId w:val="22"/>
        </w:numPr>
        <w:tabs>
          <w:tab w:pos="2381" w:val="left" w:leader="none"/>
        </w:tabs>
        <w:spacing w:line="242" w:lineRule="auto" w:before="122" w:after="0"/>
        <w:ind w:left="2381" w:right="2069" w:hanging="794"/>
        <w:jc w:val="both"/>
        <w:rPr>
          <w:sz w:val="12"/>
        </w:rPr>
      </w:pPr>
      <w:r>
        <w:rPr>
          <w:w w:val="105"/>
          <w:sz w:val="21"/>
        </w:rPr>
        <w:t>When</w:t>
      </w:r>
      <w:r>
        <w:rPr>
          <w:spacing w:val="-6"/>
          <w:w w:val="105"/>
          <w:sz w:val="21"/>
        </w:rPr>
        <w:t> </w:t>
      </w:r>
      <w:r>
        <w:rPr>
          <w:spacing w:val="-3"/>
          <w:w w:val="105"/>
          <w:sz w:val="21"/>
        </w:rPr>
        <w:t>authorising</w:t>
      </w:r>
      <w:r>
        <w:rPr>
          <w:spacing w:val="-6"/>
          <w:w w:val="105"/>
          <w:sz w:val="21"/>
        </w:rPr>
        <w:t> </w:t>
      </w:r>
      <w:r>
        <w:rPr>
          <w:w w:val="105"/>
          <w:sz w:val="21"/>
        </w:rPr>
        <w:t>an</w:t>
      </w:r>
      <w:r>
        <w:rPr>
          <w:spacing w:val="-6"/>
          <w:w w:val="105"/>
          <w:sz w:val="21"/>
        </w:rPr>
        <w:t> </w:t>
      </w:r>
      <w:r>
        <w:rPr>
          <w:w w:val="105"/>
          <w:sz w:val="21"/>
        </w:rPr>
        <w:t>election,</w:t>
      </w:r>
      <w:r>
        <w:rPr>
          <w:spacing w:val="-5"/>
          <w:w w:val="105"/>
          <w:sz w:val="21"/>
        </w:rPr>
        <w:t> </w:t>
      </w:r>
      <w:r>
        <w:rPr>
          <w:w w:val="105"/>
          <w:sz w:val="21"/>
        </w:rPr>
        <w:t>the</w:t>
      </w:r>
      <w:r>
        <w:rPr>
          <w:spacing w:val="-6"/>
          <w:w w:val="105"/>
          <w:sz w:val="21"/>
        </w:rPr>
        <w:t> </w:t>
      </w:r>
      <w:r>
        <w:rPr>
          <w:spacing w:val="-3"/>
          <w:w w:val="105"/>
          <w:sz w:val="21"/>
        </w:rPr>
        <w:t>National</w:t>
      </w:r>
      <w:r>
        <w:rPr>
          <w:spacing w:val="-6"/>
          <w:w w:val="105"/>
          <w:sz w:val="21"/>
        </w:rPr>
        <w:t> </w:t>
      </w:r>
      <w:r>
        <w:rPr>
          <w:spacing w:val="-3"/>
          <w:w w:val="105"/>
          <w:sz w:val="21"/>
        </w:rPr>
        <w:t>Committee</w:t>
      </w:r>
      <w:r>
        <w:rPr>
          <w:spacing w:val="-5"/>
          <w:w w:val="105"/>
          <w:sz w:val="21"/>
        </w:rPr>
        <w:t> </w:t>
      </w:r>
      <w:r>
        <w:rPr>
          <w:w w:val="105"/>
          <w:sz w:val="21"/>
        </w:rPr>
        <w:t>recommended</w:t>
      </w:r>
      <w:r>
        <w:rPr>
          <w:spacing w:val="-6"/>
          <w:w w:val="105"/>
          <w:sz w:val="21"/>
        </w:rPr>
        <w:t> </w:t>
      </w:r>
      <w:r>
        <w:rPr>
          <w:spacing w:val="-3"/>
          <w:w w:val="105"/>
          <w:sz w:val="21"/>
        </w:rPr>
        <w:t>that</w:t>
      </w:r>
      <w:r>
        <w:rPr>
          <w:spacing w:val="-6"/>
          <w:w w:val="105"/>
          <w:sz w:val="21"/>
        </w:rPr>
        <w:t> </w:t>
      </w:r>
      <w:r>
        <w:rPr>
          <w:w w:val="105"/>
          <w:sz w:val="21"/>
        </w:rPr>
        <w:t>the</w:t>
      </w:r>
      <w:r>
        <w:rPr>
          <w:spacing w:val="-5"/>
          <w:w w:val="105"/>
          <w:sz w:val="21"/>
        </w:rPr>
        <w:t> </w:t>
      </w:r>
      <w:r>
        <w:rPr>
          <w:w w:val="105"/>
          <w:sz w:val="21"/>
        </w:rPr>
        <w:t>court should</w:t>
      </w:r>
      <w:r>
        <w:rPr>
          <w:spacing w:val="-6"/>
          <w:w w:val="105"/>
          <w:sz w:val="21"/>
        </w:rPr>
        <w:t> </w:t>
      </w:r>
      <w:r>
        <w:rPr>
          <w:w w:val="105"/>
          <w:sz w:val="21"/>
        </w:rPr>
        <w:t>be</w:t>
      </w:r>
      <w:r>
        <w:rPr>
          <w:spacing w:val="-5"/>
          <w:w w:val="105"/>
          <w:sz w:val="21"/>
        </w:rPr>
        <w:t> </w:t>
      </w:r>
      <w:r>
        <w:rPr>
          <w:w w:val="105"/>
          <w:sz w:val="21"/>
        </w:rPr>
        <w:t>permitted</w:t>
      </w:r>
      <w:r>
        <w:rPr>
          <w:spacing w:val="-5"/>
          <w:w w:val="105"/>
          <w:sz w:val="21"/>
        </w:rPr>
        <w:t> </w:t>
      </w:r>
      <w:r>
        <w:rPr>
          <w:spacing w:val="-3"/>
          <w:w w:val="105"/>
          <w:sz w:val="21"/>
        </w:rPr>
        <w:t>to</w:t>
      </w:r>
      <w:r>
        <w:rPr>
          <w:spacing w:val="-5"/>
          <w:w w:val="105"/>
          <w:sz w:val="21"/>
        </w:rPr>
        <w:t> </w:t>
      </w:r>
      <w:r>
        <w:rPr>
          <w:w w:val="105"/>
          <w:sz w:val="21"/>
        </w:rPr>
        <w:t>impose</w:t>
      </w:r>
      <w:r>
        <w:rPr>
          <w:spacing w:val="-5"/>
          <w:w w:val="105"/>
          <w:sz w:val="21"/>
        </w:rPr>
        <w:t> </w:t>
      </w:r>
      <w:r>
        <w:rPr>
          <w:spacing w:val="-3"/>
          <w:w w:val="105"/>
          <w:sz w:val="21"/>
        </w:rPr>
        <w:t>conditions,</w:t>
      </w:r>
      <w:r>
        <w:rPr>
          <w:spacing w:val="-5"/>
          <w:w w:val="105"/>
          <w:sz w:val="21"/>
        </w:rPr>
        <w:t> </w:t>
      </w:r>
      <w:r>
        <w:rPr>
          <w:spacing w:val="-3"/>
          <w:w w:val="105"/>
          <w:sz w:val="21"/>
        </w:rPr>
        <w:t>including</w:t>
      </w:r>
      <w:r>
        <w:rPr>
          <w:spacing w:val="-5"/>
          <w:w w:val="105"/>
          <w:sz w:val="21"/>
        </w:rPr>
        <w:t> </w:t>
      </w:r>
      <w:r>
        <w:rPr>
          <w:w w:val="105"/>
          <w:sz w:val="21"/>
        </w:rPr>
        <w:t>a</w:t>
      </w:r>
      <w:r>
        <w:rPr>
          <w:spacing w:val="-5"/>
          <w:w w:val="105"/>
          <w:sz w:val="21"/>
        </w:rPr>
        <w:t> </w:t>
      </w:r>
      <w:r>
        <w:rPr>
          <w:spacing w:val="-3"/>
          <w:w w:val="105"/>
          <w:sz w:val="21"/>
        </w:rPr>
        <w:t>condition</w:t>
      </w:r>
      <w:r>
        <w:rPr>
          <w:spacing w:val="-5"/>
          <w:w w:val="105"/>
          <w:sz w:val="21"/>
        </w:rPr>
        <w:t> </w:t>
      </w:r>
      <w:r>
        <w:rPr>
          <w:spacing w:val="-3"/>
          <w:w w:val="105"/>
          <w:sz w:val="21"/>
        </w:rPr>
        <w:t>that</w:t>
      </w:r>
      <w:r>
        <w:rPr>
          <w:spacing w:val="-5"/>
          <w:w w:val="105"/>
          <w:sz w:val="21"/>
        </w:rPr>
        <w:t> </w:t>
      </w:r>
      <w:r>
        <w:rPr>
          <w:w w:val="105"/>
          <w:sz w:val="21"/>
        </w:rPr>
        <w:t>the</w:t>
      </w:r>
      <w:r>
        <w:rPr>
          <w:spacing w:val="-5"/>
          <w:w w:val="105"/>
          <w:sz w:val="21"/>
        </w:rPr>
        <w:t> </w:t>
      </w:r>
      <w:r>
        <w:rPr>
          <w:w w:val="105"/>
          <w:sz w:val="21"/>
        </w:rPr>
        <w:t>partner</w:t>
      </w:r>
      <w:r>
        <w:rPr>
          <w:spacing w:val="-5"/>
          <w:w w:val="105"/>
          <w:sz w:val="21"/>
        </w:rPr>
        <w:t> </w:t>
      </w:r>
      <w:r>
        <w:rPr>
          <w:spacing w:val="-2"/>
          <w:w w:val="105"/>
          <w:sz w:val="21"/>
        </w:rPr>
        <w:t>pay </w:t>
      </w:r>
      <w:r>
        <w:rPr>
          <w:w w:val="105"/>
          <w:sz w:val="21"/>
        </w:rPr>
        <w:t>compensation </w:t>
      </w:r>
      <w:r>
        <w:rPr>
          <w:spacing w:val="-3"/>
          <w:w w:val="105"/>
          <w:sz w:val="21"/>
        </w:rPr>
        <w:t>to </w:t>
      </w:r>
      <w:r>
        <w:rPr>
          <w:w w:val="105"/>
          <w:sz w:val="21"/>
        </w:rPr>
        <w:t>the estate in addition </w:t>
      </w:r>
      <w:r>
        <w:rPr>
          <w:spacing w:val="-3"/>
          <w:w w:val="105"/>
          <w:sz w:val="21"/>
        </w:rPr>
        <w:t>to consideration for </w:t>
      </w:r>
      <w:r>
        <w:rPr>
          <w:w w:val="105"/>
          <w:sz w:val="21"/>
        </w:rPr>
        <w:t>the</w:t>
      </w:r>
      <w:r>
        <w:rPr>
          <w:spacing w:val="10"/>
          <w:w w:val="105"/>
          <w:sz w:val="21"/>
        </w:rPr>
        <w:t> </w:t>
      </w:r>
      <w:r>
        <w:rPr>
          <w:spacing w:val="-4"/>
          <w:w w:val="105"/>
          <w:sz w:val="21"/>
        </w:rPr>
        <w:t>property.</w:t>
      </w:r>
      <w:r>
        <w:rPr>
          <w:spacing w:val="-4"/>
          <w:w w:val="105"/>
          <w:position w:val="7"/>
          <w:sz w:val="12"/>
        </w:rPr>
        <w:t>145</w:t>
      </w:r>
    </w:p>
    <w:p>
      <w:pPr>
        <w:pStyle w:val="ListParagraph"/>
        <w:numPr>
          <w:ilvl w:val="1"/>
          <w:numId w:val="22"/>
        </w:numPr>
        <w:tabs>
          <w:tab w:pos="2381" w:val="left" w:leader="none"/>
        </w:tabs>
        <w:spacing w:line="242" w:lineRule="auto" w:before="123" w:after="0"/>
        <w:ind w:left="2381" w:right="1828" w:hanging="794"/>
        <w:jc w:val="both"/>
        <w:rPr>
          <w:sz w:val="21"/>
        </w:rPr>
      </w:pPr>
      <w:r>
        <w:rPr>
          <w:sz w:val="21"/>
        </w:rPr>
        <w:t>The </w:t>
      </w:r>
      <w:r>
        <w:rPr>
          <w:spacing w:val="-3"/>
          <w:sz w:val="21"/>
        </w:rPr>
        <w:t>National Committee </w:t>
      </w:r>
      <w:r>
        <w:rPr>
          <w:sz w:val="21"/>
        </w:rPr>
        <w:t>also </w:t>
      </w:r>
      <w:r>
        <w:rPr>
          <w:spacing w:val="-3"/>
          <w:sz w:val="21"/>
        </w:rPr>
        <w:t>considered that </w:t>
      </w:r>
      <w:r>
        <w:rPr>
          <w:sz w:val="21"/>
        </w:rPr>
        <w:t>the personal representative should </w:t>
      </w:r>
      <w:r>
        <w:rPr>
          <w:spacing w:val="-2"/>
          <w:sz w:val="21"/>
        </w:rPr>
        <w:t>not </w:t>
      </w:r>
      <w:r>
        <w:rPr>
          <w:sz w:val="21"/>
        </w:rPr>
        <w:t>be permitted </w:t>
      </w:r>
      <w:r>
        <w:rPr>
          <w:spacing w:val="-3"/>
          <w:sz w:val="21"/>
        </w:rPr>
        <w:t>to </w:t>
      </w:r>
      <w:r>
        <w:rPr>
          <w:sz w:val="21"/>
        </w:rPr>
        <w:t>dispose of property </w:t>
      </w:r>
      <w:r>
        <w:rPr>
          <w:spacing w:val="-3"/>
          <w:sz w:val="21"/>
        </w:rPr>
        <w:t>from </w:t>
      </w:r>
      <w:r>
        <w:rPr>
          <w:sz w:val="21"/>
        </w:rPr>
        <w:t>the </w:t>
      </w:r>
      <w:r>
        <w:rPr>
          <w:spacing w:val="-3"/>
          <w:sz w:val="21"/>
        </w:rPr>
        <w:t>intestate estate, except to </w:t>
      </w:r>
      <w:r>
        <w:rPr>
          <w:sz w:val="21"/>
        </w:rPr>
        <w:t>a partner who </w:t>
      </w:r>
      <w:r>
        <w:rPr>
          <w:spacing w:val="-2"/>
          <w:sz w:val="21"/>
        </w:rPr>
        <w:t>has </w:t>
      </w:r>
      <w:r>
        <w:rPr>
          <w:sz w:val="21"/>
        </w:rPr>
        <w:t>elected</w:t>
      </w:r>
      <w:r>
        <w:rPr>
          <w:spacing w:val="9"/>
          <w:sz w:val="21"/>
        </w:rPr>
        <w:t> </w:t>
      </w:r>
      <w:r>
        <w:rPr>
          <w:spacing w:val="-3"/>
          <w:sz w:val="21"/>
        </w:rPr>
        <w:t>to</w:t>
      </w:r>
      <w:r>
        <w:rPr>
          <w:spacing w:val="10"/>
          <w:sz w:val="21"/>
        </w:rPr>
        <w:t> </w:t>
      </w:r>
      <w:r>
        <w:rPr>
          <w:spacing w:val="-3"/>
          <w:sz w:val="21"/>
        </w:rPr>
        <w:t>acquire</w:t>
      </w:r>
      <w:r>
        <w:rPr>
          <w:spacing w:val="10"/>
          <w:sz w:val="21"/>
        </w:rPr>
        <w:t> </w:t>
      </w:r>
      <w:r>
        <w:rPr>
          <w:sz w:val="21"/>
        </w:rPr>
        <w:t>it,</w:t>
      </w:r>
      <w:r>
        <w:rPr>
          <w:spacing w:val="10"/>
          <w:sz w:val="21"/>
        </w:rPr>
        <w:t> </w:t>
      </w:r>
      <w:r>
        <w:rPr>
          <w:sz w:val="21"/>
        </w:rPr>
        <w:t>unless</w:t>
      </w:r>
      <w:r>
        <w:rPr>
          <w:spacing w:val="10"/>
          <w:sz w:val="21"/>
        </w:rPr>
        <w:t> </w:t>
      </w:r>
      <w:r>
        <w:rPr>
          <w:spacing w:val="-3"/>
          <w:sz w:val="21"/>
        </w:rPr>
        <w:t>any</w:t>
      </w:r>
      <w:r>
        <w:rPr>
          <w:spacing w:val="10"/>
          <w:sz w:val="21"/>
        </w:rPr>
        <w:t> </w:t>
      </w:r>
      <w:r>
        <w:rPr>
          <w:sz w:val="21"/>
        </w:rPr>
        <w:t>of</w:t>
      </w:r>
      <w:r>
        <w:rPr>
          <w:spacing w:val="10"/>
          <w:sz w:val="21"/>
        </w:rPr>
        <w:t> </w:t>
      </w:r>
      <w:r>
        <w:rPr>
          <w:sz w:val="21"/>
        </w:rPr>
        <w:t>the</w:t>
      </w:r>
      <w:r>
        <w:rPr>
          <w:spacing w:val="9"/>
          <w:sz w:val="21"/>
        </w:rPr>
        <w:t> </w:t>
      </w:r>
      <w:r>
        <w:rPr>
          <w:spacing w:val="-3"/>
          <w:sz w:val="21"/>
        </w:rPr>
        <w:t>following</w:t>
      </w:r>
      <w:r>
        <w:rPr>
          <w:spacing w:val="10"/>
          <w:sz w:val="21"/>
        </w:rPr>
        <w:t> </w:t>
      </w:r>
      <w:r>
        <w:rPr>
          <w:sz w:val="21"/>
        </w:rPr>
        <w:t>applies:</w:t>
      </w:r>
    </w:p>
    <w:p>
      <w:pPr>
        <w:pStyle w:val="ListParagraph"/>
        <w:numPr>
          <w:ilvl w:val="2"/>
          <w:numId w:val="22"/>
        </w:numPr>
        <w:tabs>
          <w:tab w:pos="2721" w:val="left" w:leader="none"/>
          <w:tab w:pos="2722" w:val="left" w:leader="none"/>
        </w:tabs>
        <w:spacing w:line="240" w:lineRule="auto" w:before="124" w:after="0"/>
        <w:ind w:left="2721" w:right="0" w:hanging="340"/>
        <w:jc w:val="left"/>
        <w:rPr>
          <w:sz w:val="21"/>
        </w:rPr>
      </w:pPr>
      <w:r>
        <w:rPr>
          <w:sz w:val="21"/>
        </w:rPr>
        <w:t>the</w:t>
      </w:r>
      <w:r>
        <w:rPr>
          <w:spacing w:val="8"/>
          <w:sz w:val="21"/>
        </w:rPr>
        <w:t> </w:t>
      </w:r>
      <w:r>
        <w:rPr>
          <w:sz w:val="21"/>
        </w:rPr>
        <w:t>personal</w:t>
      </w:r>
      <w:r>
        <w:rPr>
          <w:spacing w:val="8"/>
          <w:sz w:val="21"/>
        </w:rPr>
        <w:t> </w:t>
      </w:r>
      <w:r>
        <w:rPr>
          <w:sz w:val="21"/>
        </w:rPr>
        <w:t>representative</w:t>
      </w:r>
      <w:r>
        <w:rPr>
          <w:spacing w:val="9"/>
          <w:sz w:val="21"/>
        </w:rPr>
        <w:t> </w:t>
      </w:r>
      <w:r>
        <w:rPr>
          <w:sz w:val="21"/>
        </w:rPr>
        <w:t>is</w:t>
      </w:r>
      <w:r>
        <w:rPr>
          <w:spacing w:val="8"/>
          <w:sz w:val="21"/>
        </w:rPr>
        <w:t> </w:t>
      </w:r>
      <w:r>
        <w:rPr>
          <w:sz w:val="21"/>
        </w:rPr>
        <w:t>the</w:t>
      </w:r>
      <w:r>
        <w:rPr>
          <w:spacing w:val="9"/>
          <w:sz w:val="21"/>
        </w:rPr>
        <w:t> </w:t>
      </w:r>
      <w:r>
        <w:rPr>
          <w:sz w:val="21"/>
        </w:rPr>
        <w:t>partner</w:t>
      </w:r>
      <w:r>
        <w:rPr>
          <w:spacing w:val="8"/>
          <w:sz w:val="21"/>
        </w:rPr>
        <w:t> </w:t>
      </w:r>
      <w:r>
        <w:rPr>
          <w:sz w:val="21"/>
        </w:rPr>
        <w:t>entitled</w:t>
      </w:r>
      <w:r>
        <w:rPr>
          <w:spacing w:val="8"/>
          <w:sz w:val="21"/>
        </w:rPr>
        <w:t> </w:t>
      </w:r>
      <w:r>
        <w:rPr>
          <w:spacing w:val="-3"/>
          <w:sz w:val="21"/>
        </w:rPr>
        <w:t>to</w:t>
      </w:r>
      <w:r>
        <w:rPr>
          <w:spacing w:val="9"/>
          <w:sz w:val="21"/>
        </w:rPr>
        <w:t> </w:t>
      </w:r>
      <w:r>
        <w:rPr>
          <w:spacing w:val="-4"/>
          <w:sz w:val="21"/>
        </w:rPr>
        <w:t>make</w:t>
      </w:r>
      <w:r>
        <w:rPr>
          <w:spacing w:val="8"/>
          <w:sz w:val="21"/>
        </w:rPr>
        <w:t> </w:t>
      </w:r>
      <w:r>
        <w:rPr>
          <w:sz w:val="21"/>
        </w:rPr>
        <w:t>the</w:t>
      </w:r>
      <w:r>
        <w:rPr>
          <w:spacing w:val="9"/>
          <w:sz w:val="21"/>
        </w:rPr>
        <w:t> </w:t>
      </w:r>
      <w:r>
        <w:rPr>
          <w:sz w:val="21"/>
        </w:rPr>
        <w:t>election</w:t>
      </w:r>
    </w:p>
    <w:p>
      <w:pPr>
        <w:pStyle w:val="ListParagraph"/>
        <w:numPr>
          <w:ilvl w:val="2"/>
          <w:numId w:val="22"/>
        </w:numPr>
        <w:tabs>
          <w:tab w:pos="2721" w:val="left" w:leader="none"/>
          <w:tab w:pos="2722" w:val="left" w:leader="none"/>
        </w:tabs>
        <w:spacing w:line="240" w:lineRule="auto" w:before="123" w:after="0"/>
        <w:ind w:left="2721" w:right="0" w:hanging="340"/>
        <w:jc w:val="left"/>
        <w:rPr>
          <w:sz w:val="21"/>
        </w:rPr>
      </w:pPr>
      <w:r>
        <w:rPr>
          <w:w w:val="105"/>
          <w:sz w:val="21"/>
        </w:rPr>
        <w:t>time </w:t>
      </w:r>
      <w:r>
        <w:rPr>
          <w:spacing w:val="-3"/>
          <w:w w:val="105"/>
          <w:sz w:val="21"/>
        </w:rPr>
        <w:t>for exercising </w:t>
      </w:r>
      <w:r>
        <w:rPr>
          <w:w w:val="105"/>
          <w:sz w:val="21"/>
        </w:rPr>
        <w:t>the election </w:t>
      </w:r>
      <w:r>
        <w:rPr>
          <w:spacing w:val="-2"/>
          <w:w w:val="105"/>
          <w:sz w:val="21"/>
        </w:rPr>
        <w:t>has </w:t>
      </w:r>
      <w:r>
        <w:rPr>
          <w:w w:val="105"/>
          <w:sz w:val="21"/>
        </w:rPr>
        <w:t>elapsed and no election </w:t>
      </w:r>
      <w:r>
        <w:rPr>
          <w:spacing w:val="-2"/>
          <w:w w:val="105"/>
          <w:sz w:val="21"/>
        </w:rPr>
        <w:t>has </w:t>
      </w:r>
      <w:r>
        <w:rPr>
          <w:w w:val="105"/>
          <w:sz w:val="21"/>
        </w:rPr>
        <w:t>been</w:t>
      </w:r>
      <w:r>
        <w:rPr>
          <w:spacing w:val="43"/>
          <w:w w:val="105"/>
          <w:sz w:val="21"/>
        </w:rPr>
        <w:t> </w:t>
      </w:r>
      <w:r>
        <w:rPr>
          <w:w w:val="105"/>
          <w:sz w:val="21"/>
        </w:rPr>
        <w:t>made</w:t>
      </w:r>
    </w:p>
    <w:p>
      <w:pPr>
        <w:pStyle w:val="ListParagraph"/>
        <w:numPr>
          <w:ilvl w:val="2"/>
          <w:numId w:val="22"/>
        </w:numPr>
        <w:tabs>
          <w:tab w:pos="2721" w:val="left" w:leader="none"/>
          <w:tab w:pos="2722" w:val="left" w:leader="none"/>
        </w:tabs>
        <w:spacing w:line="242" w:lineRule="auto" w:before="124" w:after="0"/>
        <w:ind w:left="2721" w:right="2011" w:hanging="340"/>
        <w:jc w:val="left"/>
        <w:rPr>
          <w:sz w:val="21"/>
        </w:rPr>
      </w:pPr>
      <w:r>
        <w:rPr>
          <w:sz w:val="21"/>
        </w:rPr>
        <w:t>the election </w:t>
      </w:r>
      <w:r>
        <w:rPr>
          <w:spacing w:val="-3"/>
          <w:sz w:val="21"/>
        </w:rPr>
        <w:t>requires </w:t>
      </w:r>
      <w:r>
        <w:rPr>
          <w:sz w:val="21"/>
        </w:rPr>
        <w:t>court </w:t>
      </w:r>
      <w:r>
        <w:rPr>
          <w:spacing w:val="-3"/>
          <w:sz w:val="21"/>
        </w:rPr>
        <w:t>authorisation, </w:t>
      </w:r>
      <w:r>
        <w:rPr>
          <w:sz w:val="21"/>
        </w:rPr>
        <w:t>but </w:t>
      </w:r>
      <w:r>
        <w:rPr>
          <w:spacing w:val="-3"/>
          <w:sz w:val="21"/>
        </w:rPr>
        <w:t>such </w:t>
      </w:r>
      <w:r>
        <w:rPr>
          <w:sz w:val="21"/>
        </w:rPr>
        <w:t>authorisation </w:t>
      </w:r>
      <w:r>
        <w:rPr>
          <w:spacing w:val="-2"/>
          <w:sz w:val="21"/>
        </w:rPr>
        <w:t>has  </w:t>
      </w:r>
      <w:r>
        <w:rPr>
          <w:sz w:val="21"/>
        </w:rPr>
        <w:t>been </w:t>
      </w:r>
      <w:r>
        <w:rPr>
          <w:spacing w:val="-3"/>
          <w:sz w:val="21"/>
        </w:rPr>
        <w:t>refused  </w:t>
      </w:r>
      <w:r>
        <w:rPr>
          <w:sz w:val="21"/>
        </w:rPr>
        <w:t>or</w:t>
      </w:r>
      <w:r>
        <w:rPr>
          <w:spacing w:val="10"/>
          <w:sz w:val="21"/>
        </w:rPr>
        <w:t> </w:t>
      </w:r>
      <w:r>
        <w:rPr>
          <w:sz w:val="21"/>
        </w:rPr>
        <w:t>the</w:t>
      </w:r>
      <w:r>
        <w:rPr>
          <w:spacing w:val="10"/>
          <w:sz w:val="21"/>
        </w:rPr>
        <w:t> </w:t>
      </w:r>
      <w:r>
        <w:rPr>
          <w:sz w:val="21"/>
        </w:rPr>
        <w:t>application</w:t>
      </w:r>
      <w:r>
        <w:rPr>
          <w:spacing w:val="10"/>
          <w:sz w:val="21"/>
        </w:rPr>
        <w:t> </w:t>
      </w:r>
      <w:r>
        <w:rPr>
          <w:spacing w:val="-3"/>
          <w:sz w:val="21"/>
        </w:rPr>
        <w:t>for</w:t>
      </w:r>
      <w:r>
        <w:rPr>
          <w:spacing w:val="11"/>
          <w:sz w:val="21"/>
        </w:rPr>
        <w:t> </w:t>
      </w:r>
      <w:r>
        <w:rPr>
          <w:sz w:val="21"/>
        </w:rPr>
        <w:t>authorisation</w:t>
      </w:r>
      <w:r>
        <w:rPr>
          <w:spacing w:val="10"/>
          <w:sz w:val="21"/>
        </w:rPr>
        <w:t> </w:t>
      </w:r>
      <w:r>
        <w:rPr>
          <w:spacing w:val="-2"/>
          <w:sz w:val="21"/>
        </w:rPr>
        <w:t>has</w:t>
      </w:r>
      <w:r>
        <w:rPr>
          <w:spacing w:val="10"/>
          <w:sz w:val="21"/>
        </w:rPr>
        <w:t> </w:t>
      </w:r>
      <w:r>
        <w:rPr>
          <w:sz w:val="21"/>
        </w:rPr>
        <w:t>been</w:t>
      </w:r>
      <w:r>
        <w:rPr>
          <w:spacing w:val="10"/>
          <w:sz w:val="21"/>
        </w:rPr>
        <w:t> </w:t>
      </w:r>
      <w:r>
        <w:rPr>
          <w:spacing w:val="-3"/>
          <w:sz w:val="21"/>
        </w:rPr>
        <w:t>withdrawn</w:t>
      </w:r>
    </w:p>
    <w:p>
      <w:pPr>
        <w:pStyle w:val="ListParagraph"/>
        <w:numPr>
          <w:ilvl w:val="2"/>
          <w:numId w:val="22"/>
        </w:numPr>
        <w:tabs>
          <w:tab w:pos="2721" w:val="left" w:leader="none"/>
          <w:tab w:pos="2722" w:val="left" w:leader="none"/>
        </w:tabs>
        <w:spacing w:line="242" w:lineRule="auto" w:before="122" w:after="0"/>
        <w:ind w:left="2721" w:right="1646" w:hanging="340"/>
        <w:jc w:val="left"/>
        <w:rPr>
          <w:sz w:val="21"/>
        </w:rPr>
      </w:pPr>
      <w:r>
        <w:rPr>
          <w:sz w:val="21"/>
        </w:rPr>
        <w:t>the partner </w:t>
      </w:r>
      <w:r>
        <w:rPr>
          <w:spacing w:val="-2"/>
          <w:sz w:val="21"/>
        </w:rPr>
        <w:t>has </w:t>
      </w:r>
      <w:r>
        <w:rPr>
          <w:sz w:val="21"/>
        </w:rPr>
        <w:t>notified the personal representative in writing </w:t>
      </w:r>
      <w:r>
        <w:rPr>
          <w:spacing w:val="-3"/>
          <w:sz w:val="21"/>
        </w:rPr>
        <w:t>that </w:t>
      </w:r>
      <w:r>
        <w:rPr>
          <w:sz w:val="21"/>
        </w:rPr>
        <w:t>he or she does </w:t>
      </w:r>
      <w:r>
        <w:rPr>
          <w:spacing w:val="-2"/>
          <w:sz w:val="21"/>
        </w:rPr>
        <w:t>not </w:t>
      </w:r>
      <w:r>
        <w:rPr>
          <w:spacing w:val="-3"/>
          <w:sz w:val="21"/>
        </w:rPr>
        <w:t>intend</w:t>
      </w:r>
      <w:r>
        <w:rPr>
          <w:spacing w:val="9"/>
          <w:sz w:val="21"/>
        </w:rPr>
        <w:t> </w:t>
      </w:r>
      <w:r>
        <w:rPr>
          <w:spacing w:val="-3"/>
          <w:sz w:val="21"/>
        </w:rPr>
        <w:t>to</w:t>
      </w:r>
      <w:r>
        <w:rPr>
          <w:spacing w:val="9"/>
          <w:sz w:val="21"/>
        </w:rPr>
        <w:t> </w:t>
      </w:r>
      <w:r>
        <w:rPr>
          <w:spacing w:val="-3"/>
          <w:sz w:val="21"/>
        </w:rPr>
        <w:t>acquire</w:t>
      </w:r>
      <w:r>
        <w:rPr>
          <w:spacing w:val="9"/>
          <w:sz w:val="21"/>
        </w:rPr>
        <w:t> </w:t>
      </w:r>
      <w:r>
        <w:rPr>
          <w:sz w:val="21"/>
        </w:rPr>
        <w:t>the</w:t>
      </w:r>
      <w:r>
        <w:rPr>
          <w:spacing w:val="9"/>
          <w:sz w:val="21"/>
        </w:rPr>
        <w:t> </w:t>
      </w:r>
      <w:r>
        <w:rPr>
          <w:sz w:val="21"/>
        </w:rPr>
        <w:t>property</w:t>
      </w:r>
      <w:r>
        <w:rPr>
          <w:spacing w:val="9"/>
          <w:sz w:val="21"/>
        </w:rPr>
        <w:t> </w:t>
      </w:r>
      <w:r>
        <w:rPr>
          <w:spacing w:val="-3"/>
          <w:sz w:val="21"/>
        </w:rPr>
        <w:t>from</w:t>
      </w:r>
      <w:r>
        <w:rPr>
          <w:spacing w:val="9"/>
          <w:sz w:val="21"/>
        </w:rPr>
        <w:t> </w:t>
      </w:r>
      <w:r>
        <w:rPr>
          <w:sz w:val="21"/>
        </w:rPr>
        <w:t>the</w:t>
      </w:r>
      <w:r>
        <w:rPr>
          <w:spacing w:val="9"/>
          <w:sz w:val="21"/>
        </w:rPr>
        <w:t> </w:t>
      </w:r>
      <w:r>
        <w:rPr>
          <w:sz w:val="21"/>
        </w:rPr>
        <w:t>estate</w:t>
      </w:r>
    </w:p>
    <w:p>
      <w:pPr>
        <w:pStyle w:val="ListParagraph"/>
        <w:numPr>
          <w:ilvl w:val="2"/>
          <w:numId w:val="22"/>
        </w:numPr>
        <w:tabs>
          <w:tab w:pos="2721" w:val="left" w:leader="none"/>
          <w:tab w:pos="2722" w:val="left" w:leader="none"/>
        </w:tabs>
        <w:spacing w:line="240" w:lineRule="auto" w:before="123" w:after="0"/>
        <w:ind w:left="2721" w:right="0" w:hanging="340"/>
        <w:jc w:val="left"/>
        <w:rPr>
          <w:sz w:val="21"/>
        </w:rPr>
      </w:pPr>
      <w:r>
        <w:rPr>
          <w:sz w:val="21"/>
        </w:rPr>
        <w:t>sale</w:t>
      </w:r>
      <w:r>
        <w:rPr>
          <w:spacing w:val="8"/>
          <w:sz w:val="21"/>
        </w:rPr>
        <w:t> </w:t>
      </w:r>
      <w:r>
        <w:rPr>
          <w:sz w:val="21"/>
        </w:rPr>
        <w:t>of</w:t>
      </w:r>
      <w:r>
        <w:rPr>
          <w:spacing w:val="9"/>
          <w:sz w:val="21"/>
        </w:rPr>
        <w:t> </w:t>
      </w:r>
      <w:r>
        <w:rPr>
          <w:sz w:val="21"/>
        </w:rPr>
        <w:t>the</w:t>
      </w:r>
      <w:r>
        <w:rPr>
          <w:spacing w:val="8"/>
          <w:sz w:val="21"/>
        </w:rPr>
        <w:t> </w:t>
      </w:r>
      <w:r>
        <w:rPr>
          <w:sz w:val="21"/>
        </w:rPr>
        <w:t>property</w:t>
      </w:r>
      <w:r>
        <w:rPr>
          <w:spacing w:val="9"/>
          <w:sz w:val="21"/>
        </w:rPr>
        <w:t> </w:t>
      </w:r>
      <w:r>
        <w:rPr>
          <w:sz w:val="21"/>
        </w:rPr>
        <w:t>is</w:t>
      </w:r>
      <w:r>
        <w:rPr>
          <w:spacing w:val="9"/>
          <w:sz w:val="21"/>
        </w:rPr>
        <w:t> </w:t>
      </w:r>
      <w:r>
        <w:rPr>
          <w:spacing w:val="-3"/>
          <w:sz w:val="21"/>
        </w:rPr>
        <w:t>required</w:t>
      </w:r>
      <w:r>
        <w:rPr>
          <w:spacing w:val="8"/>
          <w:sz w:val="21"/>
        </w:rPr>
        <w:t> </w:t>
      </w:r>
      <w:r>
        <w:rPr>
          <w:spacing w:val="-3"/>
          <w:sz w:val="21"/>
        </w:rPr>
        <w:t>to</w:t>
      </w:r>
      <w:r>
        <w:rPr>
          <w:spacing w:val="9"/>
          <w:sz w:val="21"/>
        </w:rPr>
        <w:t> </w:t>
      </w:r>
      <w:r>
        <w:rPr>
          <w:sz w:val="21"/>
        </w:rPr>
        <w:t>meet</w:t>
      </w:r>
      <w:r>
        <w:rPr>
          <w:spacing w:val="9"/>
          <w:sz w:val="21"/>
        </w:rPr>
        <w:t> </w:t>
      </w:r>
      <w:r>
        <w:rPr>
          <w:spacing w:val="-3"/>
          <w:sz w:val="21"/>
        </w:rPr>
        <w:t>liabilities</w:t>
      </w:r>
      <w:r>
        <w:rPr>
          <w:spacing w:val="8"/>
          <w:sz w:val="21"/>
        </w:rPr>
        <w:t> </w:t>
      </w:r>
      <w:r>
        <w:rPr>
          <w:sz w:val="21"/>
        </w:rPr>
        <w:t>of</w:t>
      </w:r>
      <w:r>
        <w:rPr>
          <w:spacing w:val="9"/>
          <w:sz w:val="21"/>
        </w:rPr>
        <w:t> </w:t>
      </w:r>
      <w:r>
        <w:rPr>
          <w:sz w:val="21"/>
        </w:rPr>
        <w:t>the</w:t>
      </w:r>
      <w:r>
        <w:rPr>
          <w:spacing w:val="9"/>
          <w:sz w:val="21"/>
        </w:rPr>
        <w:t> </w:t>
      </w:r>
      <w:r>
        <w:rPr>
          <w:sz w:val="21"/>
        </w:rPr>
        <w:t>estate</w:t>
      </w:r>
    </w:p>
    <w:p>
      <w:pPr>
        <w:pStyle w:val="ListParagraph"/>
        <w:numPr>
          <w:ilvl w:val="2"/>
          <w:numId w:val="22"/>
        </w:numPr>
        <w:tabs>
          <w:tab w:pos="2721" w:val="left" w:leader="none"/>
          <w:tab w:pos="2722" w:val="left" w:leader="none"/>
        </w:tabs>
        <w:spacing w:line="240" w:lineRule="auto" w:before="123" w:after="0"/>
        <w:ind w:left="2721" w:right="0" w:hanging="340"/>
        <w:jc w:val="left"/>
        <w:rPr>
          <w:sz w:val="12"/>
        </w:rPr>
      </w:pPr>
      <w:r>
        <w:rPr>
          <w:sz w:val="21"/>
        </w:rPr>
        <w:t>the</w:t>
      </w:r>
      <w:r>
        <w:rPr>
          <w:spacing w:val="8"/>
          <w:sz w:val="21"/>
        </w:rPr>
        <w:t> </w:t>
      </w:r>
      <w:r>
        <w:rPr>
          <w:sz w:val="21"/>
        </w:rPr>
        <w:t>property</w:t>
      </w:r>
      <w:r>
        <w:rPr>
          <w:spacing w:val="9"/>
          <w:sz w:val="21"/>
        </w:rPr>
        <w:t> </w:t>
      </w:r>
      <w:r>
        <w:rPr>
          <w:sz w:val="21"/>
        </w:rPr>
        <w:t>is</w:t>
      </w:r>
      <w:r>
        <w:rPr>
          <w:spacing w:val="9"/>
          <w:sz w:val="21"/>
        </w:rPr>
        <w:t> </w:t>
      </w:r>
      <w:r>
        <w:rPr>
          <w:sz w:val="21"/>
        </w:rPr>
        <w:t>perishable</w:t>
      </w:r>
      <w:r>
        <w:rPr>
          <w:spacing w:val="8"/>
          <w:sz w:val="21"/>
        </w:rPr>
        <w:t> </w:t>
      </w:r>
      <w:r>
        <w:rPr>
          <w:sz w:val="21"/>
        </w:rPr>
        <w:t>or</w:t>
      </w:r>
      <w:r>
        <w:rPr>
          <w:spacing w:val="9"/>
          <w:sz w:val="21"/>
        </w:rPr>
        <w:t> </w:t>
      </w:r>
      <w:r>
        <w:rPr>
          <w:spacing w:val="-4"/>
          <w:sz w:val="21"/>
        </w:rPr>
        <w:t>likely</w:t>
      </w:r>
      <w:r>
        <w:rPr>
          <w:spacing w:val="9"/>
          <w:sz w:val="21"/>
        </w:rPr>
        <w:t> </w:t>
      </w:r>
      <w:r>
        <w:rPr>
          <w:spacing w:val="-3"/>
          <w:sz w:val="21"/>
        </w:rPr>
        <w:t>to</w:t>
      </w:r>
      <w:r>
        <w:rPr>
          <w:spacing w:val="8"/>
          <w:sz w:val="21"/>
        </w:rPr>
        <w:t> </w:t>
      </w:r>
      <w:r>
        <w:rPr>
          <w:sz w:val="21"/>
        </w:rPr>
        <w:t>decrease</w:t>
      </w:r>
      <w:r>
        <w:rPr>
          <w:spacing w:val="9"/>
          <w:sz w:val="21"/>
        </w:rPr>
        <w:t> </w:t>
      </w:r>
      <w:r>
        <w:rPr>
          <w:sz w:val="21"/>
        </w:rPr>
        <w:t>rapidly</w:t>
      </w:r>
      <w:r>
        <w:rPr>
          <w:spacing w:val="9"/>
          <w:sz w:val="21"/>
        </w:rPr>
        <w:t> </w:t>
      </w:r>
      <w:r>
        <w:rPr>
          <w:sz w:val="21"/>
        </w:rPr>
        <w:t>in</w:t>
      </w:r>
      <w:r>
        <w:rPr>
          <w:spacing w:val="9"/>
          <w:sz w:val="21"/>
        </w:rPr>
        <w:t> </w:t>
      </w:r>
      <w:r>
        <w:rPr>
          <w:spacing w:val="-5"/>
          <w:sz w:val="21"/>
        </w:rPr>
        <w:t>value.</w:t>
      </w:r>
      <w:r>
        <w:rPr>
          <w:spacing w:val="-5"/>
          <w:position w:val="7"/>
          <w:sz w:val="12"/>
        </w:rPr>
        <w:t>146</w:t>
      </w:r>
    </w:p>
    <w:p>
      <w:pPr>
        <w:pStyle w:val="ListParagraph"/>
        <w:numPr>
          <w:ilvl w:val="1"/>
          <w:numId w:val="22"/>
        </w:numPr>
        <w:tabs>
          <w:tab w:pos="2381" w:val="left" w:leader="none"/>
          <w:tab w:pos="2382" w:val="left" w:leader="none"/>
        </w:tabs>
        <w:spacing w:line="242" w:lineRule="auto" w:before="123" w:after="0"/>
        <w:ind w:left="2381" w:right="1657" w:hanging="794"/>
        <w:jc w:val="left"/>
        <w:rPr>
          <w:sz w:val="12"/>
        </w:rPr>
      </w:pPr>
      <w:r>
        <w:rPr>
          <w:w w:val="105"/>
          <w:sz w:val="21"/>
        </w:rPr>
        <w:t>As</w:t>
      </w:r>
      <w:r>
        <w:rPr>
          <w:spacing w:val="-7"/>
          <w:w w:val="105"/>
          <w:sz w:val="21"/>
        </w:rPr>
        <w:t> </w:t>
      </w:r>
      <w:r>
        <w:rPr>
          <w:w w:val="105"/>
          <w:sz w:val="21"/>
        </w:rPr>
        <w:t>discussed</w:t>
      </w:r>
      <w:r>
        <w:rPr>
          <w:spacing w:val="-6"/>
          <w:w w:val="105"/>
          <w:sz w:val="21"/>
        </w:rPr>
        <w:t> </w:t>
      </w:r>
      <w:r>
        <w:rPr>
          <w:spacing w:val="-4"/>
          <w:w w:val="105"/>
          <w:sz w:val="21"/>
        </w:rPr>
        <w:t>below,</w:t>
      </w:r>
      <w:r>
        <w:rPr>
          <w:spacing w:val="-6"/>
          <w:w w:val="105"/>
          <w:sz w:val="21"/>
        </w:rPr>
        <w:t> </w:t>
      </w:r>
      <w:r>
        <w:rPr>
          <w:w w:val="105"/>
          <w:sz w:val="21"/>
        </w:rPr>
        <w:t>the</w:t>
      </w:r>
      <w:r>
        <w:rPr>
          <w:spacing w:val="-6"/>
          <w:w w:val="105"/>
          <w:sz w:val="21"/>
        </w:rPr>
        <w:t> </w:t>
      </w:r>
      <w:r>
        <w:rPr>
          <w:spacing w:val="-3"/>
          <w:w w:val="105"/>
          <w:sz w:val="21"/>
        </w:rPr>
        <w:t>National</w:t>
      </w:r>
      <w:r>
        <w:rPr>
          <w:spacing w:val="-6"/>
          <w:w w:val="105"/>
          <w:sz w:val="21"/>
        </w:rPr>
        <w:t> </w:t>
      </w:r>
      <w:r>
        <w:rPr>
          <w:spacing w:val="-3"/>
          <w:w w:val="105"/>
          <w:sz w:val="21"/>
        </w:rPr>
        <w:t>Committee</w:t>
      </w:r>
      <w:r>
        <w:rPr>
          <w:spacing w:val="-6"/>
          <w:w w:val="105"/>
          <w:sz w:val="21"/>
        </w:rPr>
        <w:t> </w:t>
      </w:r>
      <w:r>
        <w:rPr>
          <w:w w:val="105"/>
          <w:sz w:val="21"/>
        </w:rPr>
        <w:t>recommended</w:t>
      </w:r>
      <w:r>
        <w:rPr>
          <w:spacing w:val="-6"/>
          <w:w w:val="105"/>
          <w:sz w:val="21"/>
        </w:rPr>
        <w:t> </w:t>
      </w:r>
      <w:r>
        <w:rPr>
          <w:spacing w:val="-3"/>
          <w:w w:val="105"/>
          <w:sz w:val="21"/>
        </w:rPr>
        <w:t>that</w:t>
      </w:r>
      <w:r>
        <w:rPr>
          <w:spacing w:val="-6"/>
          <w:w w:val="105"/>
          <w:sz w:val="21"/>
        </w:rPr>
        <w:t> </w:t>
      </w:r>
      <w:r>
        <w:rPr>
          <w:w w:val="105"/>
          <w:sz w:val="21"/>
        </w:rPr>
        <w:t>rights</w:t>
      </w:r>
      <w:r>
        <w:rPr>
          <w:spacing w:val="-6"/>
          <w:w w:val="105"/>
          <w:sz w:val="21"/>
        </w:rPr>
        <w:t> </w:t>
      </w:r>
      <w:r>
        <w:rPr>
          <w:w w:val="105"/>
          <w:sz w:val="21"/>
        </w:rPr>
        <w:t>of</w:t>
      </w:r>
      <w:r>
        <w:rPr>
          <w:spacing w:val="-6"/>
          <w:w w:val="105"/>
          <w:sz w:val="21"/>
        </w:rPr>
        <w:t> </w:t>
      </w:r>
      <w:r>
        <w:rPr>
          <w:w w:val="105"/>
          <w:sz w:val="21"/>
        </w:rPr>
        <w:t>election</w:t>
      </w:r>
      <w:r>
        <w:rPr>
          <w:spacing w:val="-6"/>
          <w:w w:val="105"/>
          <w:sz w:val="21"/>
        </w:rPr>
        <w:t> </w:t>
      </w:r>
      <w:r>
        <w:rPr>
          <w:w w:val="105"/>
          <w:sz w:val="21"/>
        </w:rPr>
        <w:t>should </w:t>
      </w:r>
      <w:r>
        <w:rPr>
          <w:spacing w:val="-2"/>
          <w:w w:val="105"/>
          <w:sz w:val="21"/>
        </w:rPr>
        <w:t>not </w:t>
      </w:r>
      <w:r>
        <w:rPr>
          <w:w w:val="105"/>
          <w:sz w:val="21"/>
        </w:rPr>
        <w:t>apply where the deceased person is survived by more </w:t>
      </w:r>
      <w:r>
        <w:rPr>
          <w:spacing w:val="-3"/>
          <w:w w:val="105"/>
          <w:sz w:val="21"/>
        </w:rPr>
        <w:t>than </w:t>
      </w:r>
      <w:r>
        <w:rPr>
          <w:w w:val="105"/>
          <w:sz w:val="21"/>
        </w:rPr>
        <w:t>one </w:t>
      </w:r>
      <w:r>
        <w:rPr>
          <w:spacing w:val="-5"/>
          <w:w w:val="105"/>
          <w:sz w:val="21"/>
        </w:rPr>
        <w:t>partner.</w:t>
      </w:r>
      <w:r>
        <w:rPr>
          <w:spacing w:val="-5"/>
          <w:w w:val="105"/>
          <w:position w:val="7"/>
          <w:sz w:val="12"/>
        </w:rPr>
        <w:t>147 </w:t>
      </w:r>
      <w:r>
        <w:rPr>
          <w:w w:val="105"/>
          <w:sz w:val="21"/>
        </w:rPr>
        <w:t>It also made</w:t>
      </w:r>
      <w:r>
        <w:rPr>
          <w:spacing w:val="-9"/>
          <w:w w:val="105"/>
          <w:sz w:val="21"/>
        </w:rPr>
        <w:t> </w:t>
      </w:r>
      <w:r>
        <w:rPr>
          <w:w w:val="105"/>
          <w:sz w:val="21"/>
        </w:rPr>
        <w:t>a</w:t>
      </w:r>
      <w:r>
        <w:rPr>
          <w:spacing w:val="-8"/>
          <w:w w:val="105"/>
          <w:sz w:val="21"/>
        </w:rPr>
        <w:t> </w:t>
      </w:r>
      <w:r>
        <w:rPr>
          <w:w w:val="105"/>
          <w:sz w:val="21"/>
        </w:rPr>
        <w:t>number</w:t>
      </w:r>
      <w:r>
        <w:rPr>
          <w:spacing w:val="-9"/>
          <w:w w:val="105"/>
          <w:sz w:val="21"/>
        </w:rPr>
        <w:t> </w:t>
      </w:r>
      <w:r>
        <w:rPr>
          <w:w w:val="105"/>
          <w:sz w:val="21"/>
        </w:rPr>
        <w:t>of</w:t>
      </w:r>
      <w:r>
        <w:rPr>
          <w:spacing w:val="-8"/>
          <w:w w:val="105"/>
          <w:sz w:val="21"/>
        </w:rPr>
        <w:t> </w:t>
      </w:r>
      <w:r>
        <w:rPr>
          <w:spacing w:val="-3"/>
          <w:w w:val="105"/>
          <w:sz w:val="21"/>
        </w:rPr>
        <w:t>recommendations</w:t>
      </w:r>
      <w:r>
        <w:rPr>
          <w:spacing w:val="-9"/>
          <w:w w:val="105"/>
          <w:sz w:val="21"/>
        </w:rPr>
        <w:t> </w:t>
      </w:r>
      <w:r>
        <w:rPr>
          <w:w w:val="105"/>
          <w:sz w:val="21"/>
        </w:rPr>
        <w:t>about</w:t>
      </w:r>
      <w:r>
        <w:rPr>
          <w:spacing w:val="-8"/>
          <w:w w:val="105"/>
          <w:sz w:val="21"/>
        </w:rPr>
        <w:t> </w:t>
      </w:r>
      <w:r>
        <w:rPr>
          <w:spacing w:val="-3"/>
          <w:w w:val="105"/>
          <w:sz w:val="21"/>
        </w:rPr>
        <w:t>procedure,</w:t>
      </w:r>
      <w:r>
        <w:rPr>
          <w:spacing w:val="-8"/>
          <w:w w:val="105"/>
          <w:sz w:val="21"/>
        </w:rPr>
        <w:t> </w:t>
      </w:r>
      <w:r>
        <w:rPr>
          <w:spacing w:val="-3"/>
          <w:w w:val="105"/>
          <w:sz w:val="21"/>
        </w:rPr>
        <w:t>notice,</w:t>
      </w:r>
      <w:r>
        <w:rPr>
          <w:spacing w:val="-9"/>
          <w:w w:val="105"/>
          <w:sz w:val="21"/>
        </w:rPr>
        <w:t> </w:t>
      </w:r>
      <w:r>
        <w:rPr>
          <w:w w:val="105"/>
          <w:sz w:val="21"/>
        </w:rPr>
        <w:t>time</w:t>
      </w:r>
      <w:r>
        <w:rPr>
          <w:spacing w:val="-8"/>
          <w:w w:val="105"/>
          <w:sz w:val="21"/>
        </w:rPr>
        <w:t> </w:t>
      </w:r>
      <w:r>
        <w:rPr>
          <w:w w:val="105"/>
          <w:sz w:val="21"/>
        </w:rPr>
        <w:t>periods</w:t>
      </w:r>
      <w:r>
        <w:rPr>
          <w:spacing w:val="-9"/>
          <w:w w:val="105"/>
          <w:sz w:val="21"/>
        </w:rPr>
        <w:t> </w:t>
      </w:r>
      <w:r>
        <w:rPr>
          <w:w w:val="105"/>
          <w:sz w:val="21"/>
        </w:rPr>
        <w:t>and</w:t>
      </w:r>
      <w:r>
        <w:rPr>
          <w:spacing w:val="-8"/>
          <w:w w:val="105"/>
          <w:sz w:val="21"/>
        </w:rPr>
        <w:t> </w:t>
      </w:r>
      <w:r>
        <w:rPr>
          <w:w w:val="105"/>
          <w:sz w:val="21"/>
        </w:rPr>
        <w:t>property </w:t>
      </w:r>
      <w:r>
        <w:rPr>
          <w:spacing w:val="-3"/>
          <w:w w:val="105"/>
          <w:sz w:val="21"/>
        </w:rPr>
        <w:t>valuation for </w:t>
      </w:r>
      <w:r>
        <w:rPr>
          <w:w w:val="105"/>
          <w:sz w:val="21"/>
        </w:rPr>
        <w:t>the purposes of</w:t>
      </w:r>
      <w:r>
        <w:rPr>
          <w:spacing w:val="30"/>
          <w:w w:val="105"/>
          <w:sz w:val="21"/>
        </w:rPr>
        <w:t> </w:t>
      </w:r>
      <w:r>
        <w:rPr>
          <w:spacing w:val="-3"/>
          <w:w w:val="105"/>
          <w:sz w:val="21"/>
        </w:rPr>
        <w:t>election.</w:t>
      </w:r>
      <w:r>
        <w:rPr>
          <w:spacing w:val="-3"/>
          <w:w w:val="105"/>
          <w:position w:val="7"/>
          <w:sz w:val="12"/>
        </w:rPr>
        <w:t>148</w:t>
      </w:r>
    </w:p>
    <w:p>
      <w:pPr>
        <w:pStyle w:val="ListParagraph"/>
        <w:numPr>
          <w:ilvl w:val="1"/>
          <w:numId w:val="22"/>
        </w:numPr>
        <w:tabs>
          <w:tab w:pos="2381" w:val="left" w:leader="none"/>
          <w:tab w:pos="2382" w:val="left" w:leader="none"/>
        </w:tabs>
        <w:spacing w:line="242" w:lineRule="auto" w:before="125" w:after="0"/>
        <w:ind w:left="2381" w:right="2128" w:hanging="794"/>
        <w:jc w:val="left"/>
        <w:rPr>
          <w:sz w:val="21"/>
        </w:rPr>
      </w:pPr>
      <w:r>
        <w:rPr>
          <w:w w:val="105"/>
          <w:sz w:val="21"/>
        </w:rPr>
        <w:t>New South </w:t>
      </w:r>
      <w:r>
        <w:rPr>
          <w:spacing w:val="-3"/>
          <w:w w:val="105"/>
          <w:sz w:val="21"/>
        </w:rPr>
        <w:t>Wales </w:t>
      </w:r>
      <w:r>
        <w:rPr>
          <w:w w:val="105"/>
          <w:sz w:val="21"/>
        </w:rPr>
        <w:t>and </w:t>
      </w:r>
      <w:r>
        <w:rPr>
          <w:spacing w:val="-5"/>
          <w:w w:val="105"/>
          <w:sz w:val="21"/>
        </w:rPr>
        <w:t>Tasmania </w:t>
      </w:r>
      <w:r>
        <w:rPr>
          <w:spacing w:val="-3"/>
          <w:w w:val="105"/>
          <w:sz w:val="21"/>
        </w:rPr>
        <w:t>have implemented </w:t>
      </w:r>
      <w:r>
        <w:rPr>
          <w:w w:val="105"/>
          <w:sz w:val="21"/>
        </w:rPr>
        <w:t>the </w:t>
      </w:r>
      <w:r>
        <w:rPr>
          <w:spacing w:val="-3"/>
          <w:w w:val="105"/>
          <w:sz w:val="21"/>
        </w:rPr>
        <w:t>National </w:t>
      </w:r>
      <w:r>
        <w:rPr>
          <w:spacing w:val="-4"/>
          <w:w w:val="105"/>
          <w:sz w:val="21"/>
        </w:rPr>
        <w:t>Committee’s </w:t>
      </w:r>
      <w:r>
        <w:rPr>
          <w:spacing w:val="-3"/>
          <w:w w:val="105"/>
          <w:sz w:val="21"/>
        </w:rPr>
        <w:t>recommendations</w:t>
      </w:r>
      <w:r>
        <w:rPr>
          <w:spacing w:val="-10"/>
          <w:w w:val="105"/>
          <w:sz w:val="21"/>
        </w:rPr>
        <w:t> </w:t>
      </w:r>
      <w:r>
        <w:rPr>
          <w:w w:val="105"/>
          <w:sz w:val="21"/>
        </w:rPr>
        <w:t>in</w:t>
      </w:r>
      <w:r>
        <w:rPr>
          <w:spacing w:val="-10"/>
          <w:w w:val="105"/>
          <w:sz w:val="21"/>
        </w:rPr>
        <w:t> </w:t>
      </w:r>
      <w:r>
        <w:rPr>
          <w:w w:val="105"/>
          <w:sz w:val="21"/>
        </w:rPr>
        <w:t>these</w:t>
      </w:r>
      <w:r>
        <w:rPr>
          <w:spacing w:val="-9"/>
          <w:w w:val="105"/>
          <w:sz w:val="21"/>
        </w:rPr>
        <w:t> </w:t>
      </w:r>
      <w:r>
        <w:rPr>
          <w:spacing w:val="-3"/>
          <w:w w:val="105"/>
          <w:sz w:val="21"/>
        </w:rPr>
        <w:t>terms,</w:t>
      </w:r>
      <w:r>
        <w:rPr>
          <w:spacing w:val="-10"/>
          <w:w w:val="105"/>
          <w:sz w:val="21"/>
        </w:rPr>
        <w:t> </w:t>
      </w:r>
      <w:r>
        <w:rPr>
          <w:w w:val="105"/>
          <w:sz w:val="21"/>
        </w:rPr>
        <w:t>but</w:t>
      </w:r>
      <w:r>
        <w:rPr>
          <w:spacing w:val="-9"/>
          <w:w w:val="105"/>
          <w:sz w:val="21"/>
        </w:rPr>
        <w:t> </w:t>
      </w:r>
      <w:r>
        <w:rPr>
          <w:spacing w:val="-3"/>
          <w:w w:val="105"/>
          <w:sz w:val="21"/>
        </w:rPr>
        <w:t>have</w:t>
      </w:r>
      <w:r>
        <w:rPr>
          <w:spacing w:val="-10"/>
          <w:w w:val="105"/>
          <w:sz w:val="21"/>
        </w:rPr>
        <w:t> </w:t>
      </w:r>
      <w:r>
        <w:rPr>
          <w:w w:val="105"/>
          <w:sz w:val="21"/>
        </w:rPr>
        <w:t>clarified</w:t>
      </w:r>
      <w:r>
        <w:rPr>
          <w:spacing w:val="-10"/>
          <w:w w:val="105"/>
          <w:sz w:val="21"/>
        </w:rPr>
        <w:t> </w:t>
      </w:r>
      <w:r>
        <w:rPr>
          <w:w w:val="105"/>
          <w:sz w:val="21"/>
        </w:rPr>
        <w:t>some</w:t>
      </w:r>
      <w:r>
        <w:rPr>
          <w:spacing w:val="-9"/>
          <w:w w:val="105"/>
          <w:sz w:val="21"/>
        </w:rPr>
        <w:t> </w:t>
      </w:r>
      <w:r>
        <w:rPr>
          <w:spacing w:val="-3"/>
          <w:w w:val="105"/>
          <w:sz w:val="21"/>
        </w:rPr>
        <w:t>ambiguities</w:t>
      </w:r>
      <w:r>
        <w:rPr>
          <w:spacing w:val="-10"/>
          <w:w w:val="105"/>
          <w:sz w:val="21"/>
        </w:rPr>
        <w:t> </w:t>
      </w:r>
      <w:r>
        <w:rPr>
          <w:spacing w:val="-3"/>
          <w:w w:val="105"/>
          <w:sz w:val="21"/>
        </w:rPr>
        <w:t>that</w:t>
      </w:r>
      <w:r>
        <w:rPr>
          <w:spacing w:val="-9"/>
          <w:w w:val="105"/>
          <w:sz w:val="21"/>
        </w:rPr>
        <w:t> </w:t>
      </w:r>
      <w:r>
        <w:rPr>
          <w:w w:val="105"/>
          <w:sz w:val="21"/>
        </w:rPr>
        <w:t>appeared in the </w:t>
      </w:r>
      <w:r>
        <w:rPr>
          <w:spacing w:val="-3"/>
          <w:w w:val="105"/>
          <w:sz w:val="21"/>
        </w:rPr>
        <w:t>National </w:t>
      </w:r>
      <w:r>
        <w:rPr>
          <w:spacing w:val="-4"/>
          <w:w w:val="105"/>
          <w:sz w:val="21"/>
        </w:rPr>
        <w:t>Committee’s </w:t>
      </w:r>
      <w:r>
        <w:rPr>
          <w:w w:val="105"/>
          <w:sz w:val="21"/>
        </w:rPr>
        <w:t>draft </w:t>
      </w:r>
      <w:r>
        <w:rPr>
          <w:spacing w:val="-4"/>
          <w:w w:val="105"/>
          <w:sz w:val="21"/>
        </w:rPr>
        <w:t>legislation.</w:t>
      </w:r>
      <w:r>
        <w:rPr>
          <w:spacing w:val="-4"/>
          <w:w w:val="105"/>
          <w:position w:val="7"/>
          <w:sz w:val="12"/>
        </w:rPr>
        <w:t>149 </w:t>
      </w:r>
      <w:r>
        <w:rPr>
          <w:w w:val="105"/>
          <w:sz w:val="21"/>
        </w:rPr>
        <w:t>For</w:t>
      </w:r>
      <w:r>
        <w:rPr>
          <w:spacing w:val="36"/>
          <w:w w:val="105"/>
          <w:sz w:val="21"/>
        </w:rPr>
        <w:t> </w:t>
      </w:r>
      <w:r>
        <w:rPr>
          <w:w w:val="105"/>
          <w:sz w:val="21"/>
        </w:rPr>
        <w:t>example:</w:t>
      </w:r>
    </w:p>
    <w:p>
      <w:pPr>
        <w:pStyle w:val="ListParagraph"/>
        <w:numPr>
          <w:ilvl w:val="2"/>
          <w:numId w:val="22"/>
        </w:numPr>
        <w:tabs>
          <w:tab w:pos="2721" w:val="left" w:leader="none"/>
          <w:tab w:pos="2722" w:val="left" w:leader="none"/>
        </w:tabs>
        <w:spacing w:line="242" w:lineRule="auto" w:before="123" w:after="0"/>
        <w:ind w:left="2721" w:right="2005" w:hanging="340"/>
        <w:jc w:val="left"/>
        <w:rPr>
          <w:sz w:val="21"/>
        </w:rPr>
      </w:pPr>
      <w:r>
        <w:rPr>
          <w:sz w:val="21"/>
        </w:rPr>
        <w:t>The New South </w:t>
      </w:r>
      <w:r>
        <w:rPr>
          <w:spacing w:val="-3"/>
          <w:sz w:val="21"/>
        </w:rPr>
        <w:t>Wales legislation  </w:t>
      </w:r>
      <w:r>
        <w:rPr>
          <w:sz w:val="21"/>
        </w:rPr>
        <w:t>provides </w:t>
      </w:r>
      <w:r>
        <w:rPr>
          <w:spacing w:val="-3"/>
          <w:sz w:val="21"/>
        </w:rPr>
        <w:t>that</w:t>
      </w:r>
      <w:r>
        <w:rPr>
          <w:spacing w:val="41"/>
          <w:sz w:val="21"/>
        </w:rPr>
        <w:t> </w:t>
      </w:r>
      <w:r>
        <w:rPr>
          <w:sz w:val="21"/>
        </w:rPr>
        <w:t>the personal representative is </w:t>
      </w:r>
      <w:r>
        <w:rPr>
          <w:spacing w:val="-2"/>
          <w:sz w:val="21"/>
        </w:rPr>
        <w:t>not  </w:t>
      </w:r>
      <w:r>
        <w:rPr>
          <w:spacing w:val="-3"/>
          <w:sz w:val="21"/>
        </w:rPr>
        <w:t>to </w:t>
      </w:r>
      <w:r>
        <w:rPr>
          <w:sz w:val="21"/>
        </w:rPr>
        <w:t>dispose of property unless sale of the property is </w:t>
      </w:r>
      <w:r>
        <w:rPr>
          <w:spacing w:val="-3"/>
          <w:sz w:val="21"/>
        </w:rPr>
        <w:t>required to </w:t>
      </w:r>
      <w:r>
        <w:rPr>
          <w:sz w:val="21"/>
        </w:rPr>
        <w:t>meet</w:t>
      </w:r>
      <w:r>
        <w:rPr>
          <w:spacing w:val="1"/>
          <w:sz w:val="21"/>
        </w:rPr>
        <w:t> </w:t>
      </w:r>
      <w:r>
        <w:rPr>
          <w:spacing w:val="-3"/>
          <w:sz w:val="21"/>
        </w:rPr>
        <w:t>‘funeral </w:t>
      </w:r>
      <w:r>
        <w:rPr>
          <w:sz w:val="21"/>
        </w:rPr>
        <w:t>and</w:t>
      </w:r>
    </w:p>
    <w:p>
      <w:pPr>
        <w:pStyle w:val="BodyText"/>
        <w:spacing w:line="242" w:lineRule="auto" w:before="2"/>
        <w:ind w:left="2721" w:right="2010"/>
        <w:rPr>
          <w:sz w:val="12"/>
        </w:rPr>
      </w:pPr>
      <w:r>
        <w:rPr>
          <w:spacing w:val="-3"/>
        </w:rPr>
        <w:t>administration </w:t>
      </w:r>
      <w:r>
        <w:rPr/>
        <w:t>expenses, debts and other </w:t>
      </w:r>
      <w:r>
        <w:rPr>
          <w:spacing w:val="-3"/>
        </w:rPr>
        <w:t>liabilities </w:t>
      </w:r>
      <w:r>
        <w:rPr/>
        <w:t>of the estate’ (not just </w:t>
      </w:r>
      <w:r>
        <w:rPr>
          <w:spacing w:val="-5"/>
        </w:rPr>
        <w:t>‘liabilities’,  </w:t>
      </w:r>
      <w:r>
        <w:rPr/>
        <w:t>as recommended by the </w:t>
      </w:r>
      <w:r>
        <w:rPr>
          <w:spacing w:val="-3"/>
        </w:rPr>
        <w:t>National</w:t>
      </w:r>
      <w:r>
        <w:rPr>
          <w:spacing w:val="6"/>
        </w:rPr>
        <w:t> </w:t>
      </w:r>
      <w:r>
        <w:rPr>
          <w:spacing w:val="-4"/>
        </w:rPr>
        <w:t>Committee).</w:t>
      </w:r>
      <w:r>
        <w:rPr>
          <w:spacing w:val="-4"/>
          <w:position w:val="7"/>
          <w:sz w:val="12"/>
        </w:rPr>
        <w:t>150</w:t>
      </w:r>
    </w:p>
    <w:p>
      <w:pPr>
        <w:pStyle w:val="ListParagraph"/>
        <w:numPr>
          <w:ilvl w:val="2"/>
          <w:numId w:val="22"/>
        </w:numPr>
        <w:tabs>
          <w:tab w:pos="2721" w:val="left" w:leader="none"/>
          <w:tab w:pos="2722" w:val="left" w:leader="none"/>
        </w:tabs>
        <w:spacing w:line="242" w:lineRule="auto" w:before="123" w:after="0"/>
        <w:ind w:left="2721" w:right="1700" w:hanging="340"/>
        <w:jc w:val="left"/>
        <w:rPr>
          <w:sz w:val="12"/>
        </w:rPr>
      </w:pPr>
      <w:r>
        <w:rPr>
          <w:w w:val="105"/>
          <w:sz w:val="21"/>
        </w:rPr>
        <w:t>Both the New South </w:t>
      </w:r>
      <w:r>
        <w:rPr>
          <w:spacing w:val="-3"/>
          <w:w w:val="105"/>
          <w:sz w:val="21"/>
        </w:rPr>
        <w:t>Wales </w:t>
      </w:r>
      <w:r>
        <w:rPr>
          <w:w w:val="105"/>
          <w:sz w:val="21"/>
        </w:rPr>
        <w:t>and </w:t>
      </w:r>
      <w:r>
        <w:rPr>
          <w:spacing w:val="-4"/>
          <w:w w:val="105"/>
          <w:sz w:val="21"/>
        </w:rPr>
        <w:t>Tasmanian </w:t>
      </w:r>
      <w:r>
        <w:rPr>
          <w:spacing w:val="-3"/>
          <w:w w:val="105"/>
          <w:sz w:val="21"/>
        </w:rPr>
        <w:t>legislation </w:t>
      </w:r>
      <w:r>
        <w:rPr>
          <w:w w:val="105"/>
          <w:sz w:val="21"/>
        </w:rPr>
        <w:t>specify </w:t>
      </w:r>
      <w:r>
        <w:rPr>
          <w:spacing w:val="-3"/>
          <w:w w:val="105"/>
          <w:sz w:val="21"/>
        </w:rPr>
        <w:t>that, </w:t>
      </w:r>
      <w:r>
        <w:rPr>
          <w:w w:val="105"/>
          <w:sz w:val="21"/>
        </w:rPr>
        <w:t>when </w:t>
      </w:r>
      <w:r>
        <w:rPr>
          <w:spacing w:val="-3"/>
          <w:w w:val="105"/>
          <w:sz w:val="21"/>
        </w:rPr>
        <w:t>authorising </w:t>
      </w:r>
      <w:r>
        <w:rPr>
          <w:w w:val="105"/>
          <w:sz w:val="21"/>
        </w:rPr>
        <w:t>an</w:t>
      </w:r>
      <w:r>
        <w:rPr>
          <w:spacing w:val="-7"/>
          <w:w w:val="105"/>
          <w:sz w:val="21"/>
        </w:rPr>
        <w:t> </w:t>
      </w:r>
      <w:r>
        <w:rPr>
          <w:w w:val="105"/>
          <w:sz w:val="21"/>
        </w:rPr>
        <w:t>election,</w:t>
      </w:r>
      <w:r>
        <w:rPr>
          <w:spacing w:val="-6"/>
          <w:w w:val="105"/>
          <w:sz w:val="21"/>
        </w:rPr>
        <w:t> </w:t>
      </w:r>
      <w:r>
        <w:rPr>
          <w:w w:val="105"/>
          <w:sz w:val="21"/>
        </w:rPr>
        <w:t>the</w:t>
      </w:r>
      <w:r>
        <w:rPr>
          <w:spacing w:val="-6"/>
          <w:w w:val="105"/>
          <w:sz w:val="21"/>
        </w:rPr>
        <w:t> </w:t>
      </w:r>
      <w:r>
        <w:rPr>
          <w:spacing w:val="-3"/>
          <w:w w:val="105"/>
          <w:sz w:val="21"/>
        </w:rPr>
        <w:t>Court</w:t>
      </w:r>
      <w:r>
        <w:rPr>
          <w:spacing w:val="-6"/>
          <w:w w:val="105"/>
          <w:sz w:val="21"/>
        </w:rPr>
        <w:t> </w:t>
      </w:r>
      <w:r>
        <w:rPr>
          <w:spacing w:val="-3"/>
          <w:w w:val="105"/>
          <w:sz w:val="21"/>
        </w:rPr>
        <w:t>may</w:t>
      </w:r>
      <w:r>
        <w:rPr>
          <w:spacing w:val="-6"/>
          <w:w w:val="105"/>
          <w:sz w:val="21"/>
        </w:rPr>
        <w:t> </w:t>
      </w:r>
      <w:r>
        <w:rPr>
          <w:spacing w:val="-3"/>
          <w:w w:val="105"/>
          <w:sz w:val="21"/>
        </w:rPr>
        <w:t>‘impose</w:t>
      </w:r>
      <w:r>
        <w:rPr>
          <w:spacing w:val="-6"/>
          <w:w w:val="105"/>
          <w:sz w:val="21"/>
        </w:rPr>
        <w:t> </w:t>
      </w:r>
      <w:r>
        <w:rPr>
          <w:spacing w:val="-3"/>
          <w:w w:val="105"/>
          <w:sz w:val="21"/>
        </w:rPr>
        <w:t>such</w:t>
      </w:r>
      <w:r>
        <w:rPr>
          <w:spacing w:val="-7"/>
          <w:w w:val="105"/>
          <w:sz w:val="21"/>
        </w:rPr>
        <w:t> </w:t>
      </w:r>
      <w:r>
        <w:rPr>
          <w:spacing w:val="-3"/>
          <w:w w:val="105"/>
          <w:sz w:val="21"/>
        </w:rPr>
        <w:t>conditions</w:t>
      </w:r>
      <w:r>
        <w:rPr>
          <w:spacing w:val="-6"/>
          <w:w w:val="105"/>
          <w:sz w:val="21"/>
        </w:rPr>
        <w:t> </w:t>
      </w:r>
      <w:r>
        <w:rPr>
          <w:w w:val="105"/>
          <w:sz w:val="21"/>
        </w:rPr>
        <w:t>as</w:t>
      </w:r>
      <w:r>
        <w:rPr>
          <w:spacing w:val="-6"/>
          <w:w w:val="105"/>
          <w:sz w:val="21"/>
        </w:rPr>
        <w:t> </w:t>
      </w:r>
      <w:r>
        <w:rPr>
          <w:w w:val="105"/>
          <w:sz w:val="21"/>
        </w:rPr>
        <w:t>it</w:t>
      </w:r>
      <w:r>
        <w:rPr>
          <w:spacing w:val="-6"/>
          <w:w w:val="105"/>
          <w:sz w:val="21"/>
        </w:rPr>
        <w:t> </w:t>
      </w:r>
      <w:r>
        <w:rPr>
          <w:w w:val="105"/>
          <w:sz w:val="21"/>
        </w:rPr>
        <w:t>considers</w:t>
      </w:r>
      <w:r>
        <w:rPr>
          <w:spacing w:val="-6"/>
          <w:w w:val="105"/>
          <w:sz w:val="21"/>
        </w:rPr>
        <w:t> </w:t>
      </w:r>
      <w:r>
        <w:rPr>
          <w:w w:val="105"/>
          <w:sz w:val="21"/>
        </w:rPr>
        <w:t>just</w:t>
      </w:r>
      <w:r>
        <w:rPr>
          <w:spacing w:val="-6"/>
          <w:w w:val="105"/>
          <w:sz w:val="21"/>
        </w:rPr>
        <w:t> </w:t>
      </w:r>
      <w:r>
        <w:rPr>
          <w:w w:val="105"/>
          <w:sz w:val="21"/>
        </w:rPr>
        <w:t>and</w:t>
      </w:r>
      <w:r>
        <w:rPr>
          <w:spacing w:val="-6"/>
          <w:w w:val="105"/>
          <w:sz w:val="21"/>
        </w:rPr>
        <w:t> </w:t>
      </w:r>
      <w:r>
        <w:rPr>
          <w:w w:val="105"/>
          <w:sz w:val="21"/>
        </w:rPr>
        <w:t>equitable’ (this </w:t>
      </w:r>
      <w:r>
        <w:rPr>
          <w:spacing w:val="-3"/>
          <w:w w:val="105"/>
          <w:sz w:val="21"/>
        </w:rPr>
        <w:t>guidance </w:t>
      </w:r>
      <w:r>
        <w:rPr>
          <w:w w:val="105"/>
          <w:sz w:val="21"/>
        </w:rPr>
        <w:t>was </w:t>
      </w:r>
      <w:r>
        <w:rPr>
          <w:spacing w:val="-2"/>
          <w:w w:val="105"/>
          <w:sz w:val="21"/>
        </w:rPr>
        <w:t>not </w:t>
      </w:r>
      <w:r>
        <w:rPr>
          <w:spacing w:val="-3"/>
          <w:w w:val="105"/>
          <w:sz w:val="21"/>
        </w:rPr>
        <w:t>included </w:t>
      </w:r>
      <w:r>
        <w:rPr>
          <w:w w:val="105"/>
          <w:sz w:val="21"/>
        </w:rPr>
        <w:t>in the </w:t>
      </w:r>
      <w:r>
        <w:rPr>
          <w:spacing w:val="-3"/>
          <w:w w:val="105"/>
          <w:sz w:val="21"/>
        </w:rPr>
        <w:t>National </w:t>
      </w:r>
      <w:r>
        <w:rPr>
          <w:spacing w:val="-4"/>
          <w:w w:val="105"/>
          <w:sz w:val="21"/>
        </w:rPr>
        <w:t>Committee’s </w:t>
      </w:r>
      <w:r>
        <w:rPr>
          <w:w w:val="105"/>
          <w:sz w:val="21"/>
        </w:rPr>
        <w:t>draft</w:t>
      </w:r>
      <w:r>
        <w:rPr>
          <w:spacing w:val="38"/>
          <w:w w:val="105"/>
          <w:sz w:val="21"/>
        </w:rPr>
        <w:t> </w:t>
      </w:r>
      <w:r>
        <w:rPr>
          <w:spacing w:val="-5"/>
          <w:w w:val="105"/>
          <w:sz w:val="21"/>
        </w:rPr>
        <w:t>provision).</w:t>
      </w:r>
      <w:r>
        <w:rPr>
          <w:spacing w:val="-5"/>
          <w:w w:val="105"/>
          <w:position w:val="7"/>
          <w:sz w:val="12"/>
        </w:rPr>
        <w:t>151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2"/>
        </w:rPr>
      </w:pPr>
      <w:r>
        <w:rPr/>
        <w:pict>
          <v:line style="position:absolute;mso-position-horizontal-relative:page;mso-position-vertical-relative:paragraph;z-index:4664;mso-wrap-distance-left:0;mso-wrap-distance-right:0" from="79.370102pt,10.155381pt" to="515.905102pt,10.155381pt" stroked="true" strokeweight="1pt" strokecolor="#f9ceca">
            <v:stroke dashstyle="solid"/>
            <w10:wrap type="topAndBottom"/>
          </v:line>
        </w:pict>
      </w:r>
    </w:p>
    <w:p>
      <w:pPr>
        <w:pStyle w:val="ListParagraph"/>
        <w:numPr>
          <w:ilvl w:val="0"/>
          <w:numId w:val="61"/>
        </w:numPr>
        <w:tabs>
          <w:tab w:pos="2380" w:val="left" w:leader="none"/>
          <w:tab w:pos="2382" w:val="left" w:leader="none"/>
        </w:tabs>
        <w:spacing w:line="240" w:lineRule="auto" w:before="117" w:after="0"/>
        <w:ind w:left="2381" w:right="0" w:hanging="794"/>
        <w:jc w:val="left"/>
        <w:rPr>
          <w:sz w:val="13"/>
        </w:rPr>
      </w:pPr>
      <w:r>
        <w:rPr>
          <w:w w:val="105"/>
          <w:sz w:val="13"/>
        </w:rPr>
        <w:t>Ibid</w:t>
      </w:r>
      <w:r>
        <w:rPr>
          <w:spacing w:val="4"/>
          <w:w w:val="105"/>
          <w:sz w:val="13"/>
        </w:rPr>
        <w:t> </w:t>
      </w:r>
      <w:r>
        <w:rPr>
          <w:w w:val="105"/>
          <w:sz w:val="13"/>
        </w:rPr>
        <w:t>102.</w:t>
      </w:r>
    </w:p>
    <w:p>
      <w:pPr>
        <w:pStyle w:val="ListParagraph"/>
        <w:numPr>
          <w:ilvl w:val="0"/>
          <w:numId w:val="61"/>
        </w:numPr>
        <w:tabs>
          <w:tab w:pos="2380" w:val="left" w:leader="none"/>
          <w:tab w:pos="2382" w:val="left" w:leader="none"/>
        </w:tabs>
        <w:spacing w:line="240" w:lineRule="auto" w:before="1" w:after="0"/>
        <w:ind w:left="1587" w:right="5929" w:firstLine="0"/>
        <w:jc w:val="left"/>
        <w:rPr>
          <w:sz w:val="13"/>
        </w:rPr>
      </w:pPr>
      <w:r>
        <w:rPr>
          <w:w w:val="105"/>
          <w:sz w:val="13"/>
        </w:rPr>
        <w:t>Ibid 104 recommendation 20, Draft Intestacy Bill 2006 cl </w:t>
      </w:r>
      <w:r>
        <w:rPr>
          <w:spacing w:val="2"/>
          <w:w w:val="105"/>
          <w:sz w:val="13"/>
        </w:rPr>
        <w:t>16(3). </w:t>
      </w:r>
      <w:r>
        <w:rPr>
          <w:w w:val="105"/>
          <w:sz w:val="13"/>
        </w:rPr>
        <w:t>146</w:t>
        <w:tab/>
        <w:t>Ibid 107 recommendation </w:t>
      </w:r>
      <w:r>
        <w:rPr>
          <w:spacing w:val="-4"/>
          <w:w w:val="105"/>
          <w:sz w:val="13"/>
        </w:rPr>
        <w:t>21, </w:t>
      </w:r>
      <w:r>
        <w:rPr>
          <w:w w:val="105"/>
          <w:sz w:val="13"/>
        </w:rPr>
        <w:t>Draft Intestacy Bill 2006 cl</w:t>
      </w:r>
      <w:r>
        <w:rPr>
          <w:spacing w:val="10"/>
          <w:w w:val="105"/>
          <w:sz w:val="13"/>
        </w:rPr>
        <w:t> </w:t>
      </w:r>
      <w:r>
        <w:rPr>
          <w:w w:val="105"/>
          <w:sz w:val="13"/>
        </w:rPr>
        <w:t>22.</w:t>
      </w:r>
    </w:p>
    <w:p>
      <w:pPr>
        <w:pStyle w:val="ListParagraph"/>
        <w:numPr>
          <w:ilvl w:val="0"/>
          <w:numId w:val="62"/>
        </w:numPr>
        <w:tabs>
          <w:tab w:pos="2381" w:val="left" w:leader="none"/>
          <w:tab w:pos="2382" w:val="left" w:leader="none"/>
        </w:tabs>
        <w:spacing w:line="240" w:lineRule="auto" w:before="3" w:after="0"/>
        <w:ind w:left="2381" w:right="0" w:hanging="794"/>
        <w:jc w:val="left"/>
        <w:rPr>
          <w:sz w:val="13"/>
        </w:rPr>
      </w:pPr>
      <w:r>
        <w:rPr>
          <w:w w:val="105"/>
          <w:sz w:val="13"/>
        </w:rPr>
        <w:t>National</w:t>
      </w:r>
      <w:r>
        <w:rPr>
          <w:spacing w:val="5"/>
          <w:w w:val="105"/>
          <w:sz w:val="13"/>
        </w:rPr>
        <w:t> </w:t>
      </w:r>
      <w:r>
        <w:rPr>
          <w:w w:val="105"/>
          <w:sz w:val="13"/>
        </w:rPr>
        <w:t>Committee</w:t>
      </w:r>
      <w:r>
        <w:rPr>
          <w:spacing w:val="5"/>
          <w:w w:val="105"/>
          <w:sz w:val="13"/>
        </w:rPr>
        <w:t> </w:t>
      </w:r>
      <w:r>
        <w:rPr>
          <w:w w:val="105"/>
          <w:sz w:val="13"/>
        </w:rPr>
        <w:t>for</w:t>
      </w:r>
      <w:r>
        <w:rPr>
          <w:spacing w:val="5"/>
          <w:w w:val="105"/>
          <w:sz w:val="13"/>
        </w:rPr>
        <w:t> </w:t>
      </w:r>
      <w:r>
        <w:rPr>
          <w:w w:val="105"/>
          <w:sz w:val="13"/>
        </w:rPr>
        <w:t>Uniform</w:t>
      </w:r>
      <w:r>
        <w:rPr>
          <w:spacing w:val="5"/>
          <w:w w:val="105"/>
          <w:sz w:val="13"/>
        </w:rPr>
        <w:t> </w:t>
      </w:r>
      <w:r>
        <w:rPr>
          <w:w w:val="105"/>
          <w:sz w:val="13"/>
        </w:rPr>
        <w:t>Succession</w:t>
      </w:r>
      <w:r>
        <w:rPr>
          <w:spacing w:val="6"/>
          <w:w w:val="105"/>
          <w:sz w:val="13"/>
        </w:rPr>
        <w:t> </w:t>
      </w:r>
      <w:r>
        <w:rPr>
          <w:w w:val="105"/>
          <w:sz w:val="13"/>
        </w:rPr>
        <w:t>Laws,</w:t>
      </w:r>
      <w:r>
        <w:rPr>
          <w:spacing w:val="5"/>
          <w:w w:val="105"/>
          <w:sz w:val="13"/>
        </w:rPr>
        <w:t> </w:t>
      </w:r>
      <w:r>
        <w:rPr>
          <w:w w:val="105"/>
          <w:sz w:val="13"/>
        </w:rPr>
        <w:t>above</w:t>
      </w:r>
      <w:r>
        <w:rPr>
          <w:spacing w:val="5"/>
          <w:w w:val="105"/>
          <w:sz w:val="13"/>
        </w:rPr>
        <w:t> </w:t>
      </w:r>
      <w:r>
        <w:rPr>
          <w:w w:val="105"/>
          <w:sz w:val="13"/>
        </w:rPr>
        <w:t>n</w:t>
      </w:r>
      <w:r>
        <w:rPr>
          <w:spacing w:val="5"/>
          <w:w w:val="105"/>
          <w:sz w:val="13"/>
        </w:rPr>
        <w:t> </w:t>
      </w:r>
      <w:r>
        <w:rPr>
          <w:w w:val="105"/>
          <w:sz w:val="13"/>
        </w:rPr>
        <w:t>10,</w:t>
      </w:r>
      <w:r>
        <w:rPr>
          <w:spacing w:val="6"/>
          <w:w w:val="105"/>
          <w:sz w:val="13"/>
        </w:rPr>
        <w:t> </w:t>
      </w:r>
      <w:r>
        <w:rPr>
          <w:spacing w:val="-8"/>
          <w:w w:val="105"/>
          <w:sz w:val="13"/>
        </w:rPr>
        <w:t>117,</w:t>
      </w:r>
      <w:r>
        <w:rPr>
          <w:spacing w:val="5"/>
          <w:w w:val="105"/>
          <w:sz w:val="13"/>
        </w:rPr>
        <w:t> </w:t>
      </w:r>
      <w:r>
        <w:rPr>
          <w:w w:val="105"/>
          <w:sz w:val="13"/>
        </w:rPr>
        <w:t>Draft</w:t>
      </w:r>
      <w:r>
        <w:rPr>
          <w:spacing w:val="5"/>
          <w:w w:val="105"/>
          <w:sz w:val="13"/>
        </w:rPr>
        <w:t> </w:t>
      </w:r>
      <w:r>
        <w:rPr>
          <w:w w:val="105"/>
          <w:sz w:val="13"/>
        </w:rPr>
        <w:t>Intestacy</w:t>
      </w:r>
      <w:r>
        <w:rPr>
          <w:spacing w:val="5"/>
          <w:w w:val="105"/>
          <w:sz w:val="13"/>
        </w:rPr>
        <w:t> </w:t>
      </w:r>
      <w:r>
        <w:rPr>
          <w:w w:val="105"/>
          <w:sz w:val="13"/>
        </w:rPr>
        <w:t>Bill</w:t>
      </w:r>
      <w:r>
        <w:rPr>
          <w:spacing w:val="6"/>
          <w:w w:val="105"/>
          <w:sz w:val="13"/>
        </w:rPr>
        <w:t> </w:t>
      </w:r>
      <w:r>
        <w:rPr>
          <w:w w:val="105"/>
          <w:sz w:val="13"/>
        </w:rPr>
        <w:t>2006</w:t>
      </w:r>
      <w:r>
        <w:rPr>
          <w:spacing w:val="5"/>
          <w:w w:val="105"/>
          <w:sz w:val="13"/>
        </w:rPr>
        <w:t> </w:t>
      </w:r>
      <w:r>
        <w:rPr>
          <w:w w:val="105"/>
          <w:sz w:val="13"/>
        </w:rPr>
        <w:t>cl</w:t>
      </w:r>
      <w:r>
        <w:rPr>
          <w:spacing w:val="5"/>
          <w:w w:val="105"/>
          <w:sz w:val="13"/>
        </w:rPr>
        <w:t> </w:t>
      </w:r>
      <w:r>
        <w:rPr>
          <w:spacing w:val="-5"/>
          <w:w w:val="105"/>
          <w:sz w:val="13"/>
        </w:rPr>
        <w:t>11;</w:t>
      </w:r>
      <w:r>
        <w:rPr>
          <w:spacing w:val="5"/>
          <w:w w:val="105"/>
          <w:sz w:val="13"/>
        </w:rPr>
        <w:t> </w:t>
      </w:r>
      <w:r>
        <w:rPr>
          <w:w w:val="105"/>
          <w:sz w:val="13"/>
        </w:rPr>
        <w:t>see</w:t>
      </w:r>
      <w:r>
        <w:rPr>
          <w:spacing w:val="6"/>
          <w:w w:val="105"/>
          <w:sz w:val="13"/>
        </w:rPr>
        <w:t> </w:t>
      </w:r>
      <w:r>
        <w:rPr>
          <w:spacing w:val="-3"/>
          <w:w w:val="105"/>
          <w:sz w:val="13"/>
        </w:rPr>
        <w:t>[5.115]</w:t>
      </w:r>
      <w:r>
        <w:rPr>
          <w:spacing w:val="5"/>
          <w:w w:val="105"/>
          <w:sz w:val="13"/>
        </w:rPr>
        <w:t> </w:t>
      </w:r>
      <w:r>
        <w:rPr>
          <w:w w:val="105"/>
          <w:sz w:val="13"/>
        </w:rPr>
        <w:t>below.</w:t>
      </w:r>
    </w:p>
    <w:p>
      <w:pPr>
        <w:pStyle w:val="ListParagraph"/>
        <w:numPr>
          <w:ilvl w:val="0"/>
          <w:numId w:val="62"/>
        </w:numPr>
        <w:tabs>
          <w:tab w:pos="2381" w:val="left" w:leader="none"/>
          <w:tab w:pos="2382" w:val="left" w:leader="none"/>
        </w:tabs>
        <w:spacing w:line="240" w:lineRule="auto" w:before="1" w:after="0"/>
        <w:ind w:left="2381" w:right="0" w:hanging="794"/>
        <w:jc w:val="left"/>
        <w:rPr>
          <w:sz w:val="13"/>
        </w:rPr>
      </w:pPr>
      <w:r>
        <w:rPr>
          <w:w w:val="105"/>
          <w:sz w:val="13"/>
        </w:rPr>
        <w:t>National</w:t>
      </w:r>
      <w:r>
        <w:rPr>
          <w:spacing w:val="5"/>
          <w:w w:val="105"/>
          <w:sz w:val="13"/>
        </w:rPr>
        <w:t> </w:t>
      </w:r>
      <w:r>
        <w:rPr>
          <w:w w:val="105"/>
          <w:sz w:val="13"/>
        </w:rPr>
        <w:t>Committee</w:t>
      </w:r>
      <w:r>
        <w:rPr>
          <w:spacing w:val="5"/>
          <w:w w:val="105"/>
          <w:sz w:val="13"/>
        </w:rPr>
        <w:t> </w:t>
      </w:r>
      <w:r>
        <w:rPr>
          <w:w w:val="105"/>
          <w:sz w:val="13"/>
        </w:rPr>
        <w:t>for</w:t>
      </w:r>
      <w:r>
        <w:rPr>
          <w:spacing w:val="6"/>
          <w:w w:val="105"/>
          <w:sz w:val="13"/>
        </w:rPr>
        <w:t> </w:t>
      </w:r>
      <w:r>
        <w:rPr>
          <w:w w:val="105"/>
          <w:sz w:val="13"/>
        </w:rPr>
        <w:t>Uniform</w:t>
      </w:r>
      <w:r>
        <w:rPr>
          <w:spacing w:val="5"/>
          <w:w w:val="105"/>
          <w:sz w:val="13"/>
        </w:rPr>
        <w:t> </w:t>
      </w:r>
      <w:r>
        <w:rPr>
          <w:w w:val="105"/>
          <w:sz w:val="13"/>
        </w:rPr>
        <w:t>Succession</w:t>
      </w:r>
      <w:r>
        <w:rPr>
          <w:spacing w:val="6"/>
          <w:w w:val="105"/>
          <w:sz w:val="13"/>
        </w:rPr>
        <w:t> </w:t>
      </w:r>
      <w:r>
        <w:rPr>
          <w:w w:val="105"/>
          <w:sz w:val="13"/>
        </w:rPr>
        <w:t>Laws,</w:t>
      </w:r>
      <w:r>
        <w:rPr>
          <w:spacing w:val="5"/>
          <w:w w:val="105"/>
          <w:sz w:val="13"/>
        </w:rPr>
        <w:t> </w:t>
      </w:r>
      <w:r>
        <w:rPr>
          <w:w w:val="105"/>
          <w:sz w:val="13"/>
        </w:rPr>
        <w:t>above</w:t>
      </w:r>
      <w:r>
        <w:rPr>
          <w:spacing w:val="6"/>
          <w:w w:val="105"/>
          <w:sz w:val="13"/>
        </w:rPr>
        <w:t> </w:t>
      </w:r>
      <w:r>
        <w:rPr>
          <w:w w:val="105"/>
          <w:sz w:val="13"/>
        </w:rPr>
        <w:t>n</w:t>
      </w:r>
      <w:r>
        <w:rPr>
          <w:spacing w:val="5"/>
          <w:w w:val="105"/>
          <w:sz w:val="13"/>
        </w:rPr>
        <w:t> </w:t>
      </w:r>
      <w:r>
        <w:rPr>
          <w:w w:val="105"/>
          <w:sz w:val="13"/>
        </w:rPr>
        <w:t>10,</w:t>
      </w:r>
      <w:r>
        <w:rPr>
          <w:spacing w:val="6"/>
          <w:w w:val="105"/>
          <w:sz w:val="13"/>
        </w:rPr>
        <w:t> </w:t>
      </w:r>
      <w:r>
        <w:rPr>
          <w:spacing w:val="3"/>
          <w:w w:val="105"/>
          <w:sz w:val="13"/>
        </w:rPr>
        <w:t>88–99</w:t>
      </w:r>
      <w:r>
        <w:rPr>
          <w:spacing w:val="5"/>
          <w:w w:val="105"/>
          <w:sz w:val="13"/>
        </w:rPr>
        <w:t> </w:t>
      </w:r>
      <w:r>
        <w:rPr>
          <w:w w:val="105"/>
          <w:sz w:val="13"/>
        </w:rPr>
        <w:t>recommendations</w:t>
      </w:r>
      <w:r>
        <w:rPr>
          <w:spacing w:val="5"/>
          <w:w w:val="105"/>
          <w:sz w:val="13"/>
        </w:rPr>
        <w:t> </w:t>
      </w:r>
      <w:r>
        <w:rPr>
          <w:w w:val="105"/>
          <w:sz w:val="13"/>
        </w:rPr>
        <w:t>10–18,</w:t>
      </w:r>
      <w:r>
        <w:rPr>
          <w:spacing w:val="6"/>
          <w:w w:val="105"/>
          <w:sz w:val="13"/>
        </w:rPr>
        <w:t> </w:t>
      </w:r>
      <w:r>
        <w:rPr>
          <w:w w:val="105"/>
          <w:sz w:val="13"/>
        </w:rPr>
        <w:t>Draft</w:t>
      </w:r>
      <w:r>
        <w:rPr>
          <w:spacing w:val="5"/>
          <w:w w:val="105"/>
          <w:sz w:val="13"/>
        </w:rPr>
        <w:t> </w:t>
      </w:r>
      <w:r>
        <w:rPr>
          <w:w w:val="105"/>
          <w:sz w:val="13"/>
        </w:rPr>
        <w:t>Intestacy</w:t>
      </w:r>
      <w:r>
        <w:rPr>
          <w:spacing w:val="6"/>
          <w:w w:val="105"/>
          <w:sz w:val="13"/>
        </w:rPr>
        <w:t> </w:t>
      </w:r>
      <w:r>
        <w:rPr>
          <w:w w:val="105"/>
          <w:sz w:val="13"/>
        </w:rPr>
        <w:t>Bill</w:t>
      </w:r>
      <w:r>
        <w:rPr>
          <w:spacing w:val="5"/>
          <w:w w:val="105"/>
          <w:sz w:val="13"/>
        </w:rPr>
        <w:t> </w:t>
      </w:r>
      <w:r>
        <w:rPr>
          <w:w w:val="105"/>
          <w:sz w:val="13"/>
        </w:rPr>
        <w:t>2006</w:t>
      </w:r>
      <w:r>
        <w:rPr>
          <w:spacing w:val="6"/>
          <w:w w:val="105"/>
          <w:sz w:val="13"/>
        </w:rPr>
        <w:t> </w:t>
      </w:r>
      <w:r>
        <w:rPr>
          <w:w w:val="105"/>
          <w:sz w:val="13"/>
        </w:rPr>
        <w:t>cls</w:t>
      </w:r>
      <w:r>
        <w:rPr>
          <w:spacing w:val="5"/>
          <w:w w:val="105"/>
          <w:sz w:val="13"/>
        </w:rPr>
        <w:t> </w:t>
      </w:r>
      <w:r>
        <w:rPr>
          <w:w w:val="105"/>
          <w:sz w:val="13"/>
        </w:rPr>
        <w:t>17–20.</w:t>
      </w:r>
    </w:p>
    <w:p>
      <w:pPr>
        <w:pStyle w:val="ListParagraph"/>
        <w:numPr>
          <w:ilvl w:val="0"/>
          <w:numId w:val="62"/>
        </w:numPr>
        <w:tabs>
          <w:tab w:pos="2381" w:val="left" w:leader="none"/>
          <w:tab w:pos="2382" w:val="left" w:leader="none"/>
        </w:tabs>
        <w:spacing w:line="240" w:lineRule="auto" w:before="2" w:after="0"/>
        <w:ind w:left="2381" w:right="0" w:hanging="794"/>
        <w:jc w:val="left"/>
        <w:rPr>
          <w:sz w:val="13"/>
        </w:rPr>
      </w:pPr>
      <w:r>
        <w:rPr>
          <w:i/>
          <w:w w:val="105"/>
          <w:sz w:val="13"/>
        </w:rPr>
        <w:t>Succession</w:t>
      </w:r>
      <w:r>
        <w:rPr>
          <w:i/>
          <w:spacing w:val="3"/>
          <w:w w:val="105"/>
          <w:sz w:val="13"/>
        </w:rPr>
        <w:t> </w:t>
      </w:r>
      <w:r>
        <w:rPr>
          <w:i/>
          <w:w w:val="105"/>
          <w:sz w:val="13"/>
        </w:rPr>
        <w:t>Act</w:t>
      </w:r>
      <w:r>
        <w:rPr>
          <w:i/>
          <w:spacing w:val="4"/>
          <w:w w:val="105"/>
          <w:sz w:val="13"/>
        </w:rPr>
        <w:t> </w:t>
      </w:r>
      <w:r>
        <w:rPr>
          <w:i/>
          <w:w w:val="105"/>
          <w:sz w:val="13"/>
        </w:rPr>
        <w:t>2006</w:t>
      </w:r>
      <w:r>
        <w:rPr>
          <w:i/>
          <w:spacing w:val="5"/>
          <w:w w:val="105"/>
          <w:sz w:val="13"/>
        </w:rPr>
        <w:t> </w:t>
      </w:r>
      <w:r>
        <w:rPr>
          <w:spacing w:val="3"/>
          <w:w w:val="105"/>
          <w:sz w:val="13"/>
        </w:rPr>
        <w:t>(NSW)</w:t>
      </w:r>
      <w:r>
        <w:rPr>
          <w:spacing w:val="5"/>
          <w:w w:val="105"/>
          <w:sz w:val="13"/>
        </w:rPr>
        <w:t> </w:t>
      </w:r>
      <w:r>
        <w:rPr>
          <w:w w:val="105"/>
          <w:sz w:val="13"/>
        </w:rPr>
        <w:t>pt</w:t>
      </w:r>
      <w:r>
        <w:rPr>
          <w:spacing w:val="4"/>
          <w:w w:val="105"/>
          <w:sz w:val="13"/>
        </w:rPr>
        <w:t> </w:t>
      </w:r>
      <w:r>
        <w:rPr>
          <w:w w:val="105"/>
          <w:sz w:val="13"/>
        </w:rPr>
        <w:t>4.2</w:t>
      </w:r>
      <w:r>
        <w:rPr>
          <w:spacing w:val="5"/>
          <w:w w:val="105"/>
          <w:sz w:val="13"/>
        </w:rPr>
        <w:t> </w:t>
      </w:r>
      <w:r>
        <w:rPr>
          <w:w w:val="105"/>
          <w:sz w:val="13"/>
        </w:rPr>
        <w:t>div</w:t>
      </w:r>
      <w:r>
        <w:rPr>
          <w:spacing w:val="5"/>
          <w:w w:val="105"/>
          <w:sz w:val="13"/>
        </w:rPr>
        <w:t> </w:t>
      </w:r>
      <w:r>
        <w:rPr>
          <w:w w:val="105"/>
          <w:sz w:val="13"/>
        </w:rPr>
        <w:t>2;</w:t>
      </w:r>
      <w:r>
        <w:rPr>
          <w:spacing w:val="5"/>
          <w:w w:val="105"/>
          <w:sz w:val="13"/>
        </w:rPr>
        <w:t> </w:t>
      </w:r>
      <w:r>
        <w:rPr>
          <w:i/>
          <w:w w:val="105"/>
          <w:sz w:val="13"/>
        </w:rPr>
        <w:t>Intestacy</w:t>
      </w:r>
      <w:r>
        <w:rPr>
          <w:i/>
          <w:spacing w:val="4"/>
          <w:w w:val="105"/>
          <w:sz w:val="13"/>
        </w:rPr>
        <w:t> </w:t>
      </w:r>
      <w:r>
        <w:rPr>
          <w:i/>
          <w:w w:val="105"/>
          <w:sz w:val="13"/>
        </w:rPr>
        <w:t>Act</w:t>
      </w:r>
      <w:r>
        <w:rPr>
          <w:i/>
          <w:spacing w:val="3"/>
          <w:w w:val="105"/>
          <w:sz w:val="13"/>
        </w:rPr>
        <w:t> </w:t>
      </w:r>
      <w:r>
        <w:rPr>
          <w:i/>
          <w:spacing w:val="-3"/>
          <w:w w:val="105"/>
          <w:sz w:val="13"/>
        </w:rPr>
        <w:t>2010</w:t>
      </w:r>
      <w:r>
        <w:rPr>
          <w:i/>
          <w:spacing w:val="5"/>
          <w:w w:val="105"/>
          <w:sz w:val="13"/>
        </w:rPr>
        <w:t> </w:t>
      </w:r>
      <w:r>
        <w:rPr>
          <w:w w:val="105"/>
          <w:sz w:val="13"/>
        </w:rPr>
        <w:t>(Tas)</w:t>
      </w:r>
      <w:r>
        <w:rPr>
          <w:spacing w:val="5"/>
          <w:w w:val="105"/>
          <w:sz w:val="13"/>
        </w:rPr>
        <w:t> </w:t>
      </w:r>
      <w:r>
        <w:rPr>
          <w:w w:val="105"/>
          <w:sz w:val="13"/>
        </w:rPr>
        <w:t>pt</w:t>
      </w:r>
      <w:r>
        <w:rPr>
          <w:spacing w:val="5"/>
          <w:w w:val="105"/>
          <w:sz w:val="13"/>
        </w:rPr>
        <w:t> </w:t>
      </w:r>
      <w:r>
        <w:rPr>
          <w:w w:val="105"/>
          <w:sz w:val="13"/>
        </w:rPr>
        <w:t>2</w:t>
      </w:r>
      <w:r>
        <w:rPr>
          <w:spacing w:val="5"/>
          <w:w w:val="105"/>
          <w:sz w:val="13"/>
        </w:rPr>
        <w:t> </w:t>
      </w:r>
      <w:r>
        <w:rPr>
          <w:w w:val="105"/>
          <w:sz w:val="13"/>
        </w:rPr>
        <w:t>div</w:t>
      </w:r>
      <w:r>
        <w:rPr>
          <w:spacing w:val="4"/>
          <w:w w:val="105"/>
          <w:sz w:val="13"/>
        </w:rPr>
        <w:t> </w:t>
      </w:r>
      <w:r>
        <w:rPr>
          <w:w w:val="105"/>
          <w:sz w:val="13"/>
        </w:rPr>
        <w:t>2.</w:t>
      </w:r>
    </w:p>
    <w:p>
      <w:pPr>
        <w:pStyle w:val="ListParagraph"/>
        <w:numPr>
          <w:ilvl w:val="0"/>
          <w:numId w:val="62"/>
        </w:numPr>
        <w:tabs>
          <w:tab w:pos="2381" w:val="left" w:leader="none"/>
          <w:tab w:pos="2382" w:val="left" w:leader="none"/>
        </w:tabs>
        <w:spacing w:line="240" w:lineRule="auto" w:before="1" w:after="0"/>
        <w:ind w:left="2381" w:right="0" w:hanging="794"/>
        <w:jc w:val="left"/>
        <w:rPr>
          <w:sz w:val="13"/>
        </w:rPr>
      </w:pPr>
      <w:r>
        <w:rPr/>
        <w:pict>
          <v:shape style="position:absolute;margin-left:36pt;margin-top:3.599363pt;width:12.1pt;height:14.25pt;mso-position-horizontal-relative:page;mso-position-vertical-relative:paragraph;z-index:6736" type="#_x0000_t202" filled="false" stroked="false">
            <v:textbox inset="0,0,0,0">
              <w:txbxContent>
                <w:p>
                  <w:pPr>
                    <w:spacing w:line="284" w:lineRule="exact" w:before="0"/>
                    <w:ind w:left="0" w:right="0" w:firstLine="0"/>
                    <w:jc w:val="left"/>
                    <w:rPr>
                      <w:b/>
                      <w:sz w:val="24"/>
                    </w:rPr>
                  </w:pPr>
                  <w:r>
                    <w:rPr>
                      <w:b/>
                      <w:color w:val="EC5A4F"/>
                      <w:spacing w:val="-13"/>
                      <w:w w:val="110"/>
                      <w:sz w:val="24"/>
                    </w:rPr>
                    <w:t>74</w:t>
                  </w:r>
                </w:p>
              </w:txbxContent>
            </v:textbox>
            <w10:wrap type="none"/>
          </v:shape>
        </w:pict>
      </w:r>
      <w:r>
        <w:rPr>
          <w:i/>
          <w:w w:val="105"/>
          <w:sz w:val="13"/>
        </w:rPr>
        <w:t>Succession Act 2006 </w:t>
      </w:r>
      <w:r>
        <w:rPr>
          <w:spacing w:val="3"/>
          <w:w w:val="105"/>
          <w:sz w:val="13"/>
        </w:rPr>
        <w:t>(NSW) </w:t>
      </w:r>
      <w:r>
        <w:rPr>
          <w:w w:val="105"/>
          <w:sz w:val="13"/>
        </w:rPr>
        <w:t>s</w:t>
      </w:r>
      <w:r>
        <w:rPr>
          <w:spacing w:val="18"/>
          <w:w w:val="105"/>
          <w:sz w:val="13"/>
        </w:rPr>
        <w:t> </w:t>
      </w:r>
      <w:r>
        <w:rPr>
          <w:w w:val="105"/>
          <w:sz w:val="13"/>
        </w:rPr>
        <w:t>121(1)(e).</w:t>
      </w:r>
    </w:p>
    <w:p>
      <w:pPr>
        <w:pStyle w:val="ListParagraph"/>
        <w:numPr>
          <w:ilvl w:val="0"/>
          <w:numId w:val="62"/>
        </w:numPr>
        <w:tabs>
          <w:tab w:pos="2381" w:val="left" w:leader="none"/>
          <w:tab w:pos="2382" w:val="left" w:leader="none"/>
        </w:tabs>
        <w:spacing w:line="240" w:lineRule="auto" w:before="1" w:after="0"/>
        <w:ind w:left="2381" w:right="0" w:hanging="794"/>
        <w:jc w:val="left"/>
        <w:rPr>
          <w:sz w:val="13"/>
        </w:rPr>
      </w:pPr>
      <w:r>
        <w:rPr>
          <w:sz w:val="13"/>
        </w:rPr>
        <w:t>Ibid s 115(3); </w:t>
      </w:r>
      <w:r>
        <w:rPr>
          <w:i/>
          <w:sz w:val="13"/>
        </w:rPr>
        <w:t>Intestacy Act </w:t>
      </w:r>
      <w:r>
        <w:rPr>
          <w:i/>
          <w:spacing w:val="-3"/>
          <w:sz w:val="13"/>
        </w:rPr>
        <w:t>2010 </w:t>
      </w:r>
      <w:r>
        <w:rPr>
          <w:sz w:val="13"/>
        </w:rPr>
        <w:t>(Tas) s</w:t>
      </w:r>
      <w:r>
        <w:rPr>
          <w:spacing w:val="26"/>
          <w:sz w:val="13"/>
        </w:rPr>
        <w:t> </w:t>
      </w:r>
      <w:r>
        <w:rPr>
          <w:spacing w:val="2"/>
          <w:sz w:val="13"/>
        </w:rPr>
        <w:t>16(3).</w:t>
      </w:r>
    </w:p>
    <w:p>
      <w:pPr>
        <w:spacing w:after="0" w:line="240" w:lineRule="auto"/>
        <w:jc w:val="left"/>
        <w:rPr>
          <w:sz w:val="13"/>
        </w:rPr>
        <w:sectPr>
          <w:pgSz w:w="11910" w:h="16840"/>
          <w:pgMar w:header="550" w:footer="0" w:top="1560" w:bottom="280" w:left="0" w:right="0"/>
        </w:sectPr>
      </w:pPr>
    </w:p>
    <w:p>
      <w:pPr>
        <w:pStyle w:val="BodyText"/>
        <w:rPr>
          <w:sz w:val="20"/>
        </w:rPr>
      </w:pPr>
    </w:p>
    <w:p>
      <w:pPr>
        <w:pStyle w:val="BodyText"/>
        <w:spacing w:before="1"/>
        <w:rPr>
          <w:sz w:val="18"/>
        </w:rPr>
      </w:pPr>
    </w:p>
    <w:p>
      <w:pPr>
        <w:pStyle w:val="Heading5"/>
        <w:spacing w:before="99"/>
      </w:pPr>
      <w:bookmarkStart w:name="_TOC_250046" w:id="70"/>
      <w:bookmarkEnd w:id="70"/>
      <w:r>
        <w:rPr>
          <w:w w:val="115"/>
        </w:rPr>
        <w:t>Views and conclusions</w:t>
      </w:r>
    </w:p>
    <w:p>
      <w:pPr>
        <w:pStyle w:val="ListParagraph"/>
        <w:numPr>
          <w:ilvl w:val="1"/>
          <w:numId w:val="22"/>
        </w:numPr>
        <w:tabs>
          <w:tab w:pos="2381" w:val="left" w:leader="none"/>
          <w:tab w:pos="2382" w:val="left" w:leader="none"/>
        </w:tabs>
        <w:spacing w:line="242" w:lineRule="auto" w:before="137" w:after="0"/>
        <w:ind w:left="2381" w:right="1723" w:hanging="794"/>
        <w:jc w:val="left"/>
        <w:rPr>
          <w:sz w:val="12"/>
        </w:rPr>
      </w:pPr>
      <w:r>
        <w:rPr>
          <w:w w:val="105"/>
          <w:sz w:val="21"/>
        </w:rPr>
        <w:t>All but one </w:t>
      </w:r>
      <w:r>
        <w:rPr>
          <w:spacing w:val="-3"/>
          <w:w w:val="105"/>
          <w:position w:val="7"/>
          <w:sz w:val="12"/>
        </w:rPr>
        <w:t>152 </w:t>
      </w:r>
      <w:r>
        <w:rPr>
          <w:w w:val="105"/>
          <w:sz w:val="21"/>
        </w:rPr>
        <w:t>of the </w:t>
      </w:r>
      <w:r>
        <w:rPr>
          <w:spacing w:val="-3"/>
          <w:w w:val="105"/>
          <w:sz w:val="21"/>
        </w:rPr>
        <w:t>submissions that </w:t>
      </w:r>
      <w:r>
        <w:rPr>
          <w:w w:val="105"/>
          <w:sz w:val="21"/>
        </w:rPr>
        <w:t>addressed this question agreed </w:t>
      </w:r>
      <w:r>
        <w:rPr>
          <w:spacing w:val="-3"/>
          <w:w w:val="105"/>
          <w:sz w:val="21"/>
        </w:rPr>
        <w:t>that </w:t>
      </w:r>
      <w:r>
        <w:rPr>
          <w:w w:val="105"/>
          <w:sz w:val="21"/>
        </w:rPr>
        <w:t>the partner’s </w:t>
      </w:r>
      <w:r>
        <w:rPr>
          <w:spacing w:val="-3"/>
          <w:w w:val="105"/>
          <w:sz w:val="21"/>
        </w:rPr>
        <w:t>right to </w:t>
      </w:r>
      <w:r>
        <w:rPr>
          <w:w w:val="105"/>
          <w:sz w:val="21"/>
        </w:rPr>
        <w:t>elect </w:t>
      </w:r>
      <w:r>
        <w:rPr>
          <w:spacing w:val="-3"/>
          <w:w w:val="105"/>
          <w:sz w:val="21"/>
        </w:rPr>
        <w:t>to acquire </w:t>
      </w:r>
      <w:r>
        <w:rPr>
          <w:w w:val="105"/>
          <w:sz w:val="21"/>
        </w:rPr>
        <w:t>estate property should be extended </w:t>
      </w:r>
      <w:r>
        <w:rPr>
          <w:spacing w:val="-3"/>
          <w:w w:val="105"/>
          <w:sz w:val="21"/>
        </w:rPr>
        <w:t>to </w:t>
      </w:r>
      <w:r>
        <w:rPr>
          <w:w w:val="105"/>
          <w:sz w:val="21"/>
        </w:rPr>
        <w:t>other property in the </w:t>
      </w:r>
      <w:r>
        <w:rPr>
          <w:spacing w:val="-3"/>
          <w:w w:val="105"/>
          <w:sz w:val="21"/>
        </w:rPr>
        <w:t>intestate </w:t>
      </w:r>
      <w:r>
        <w:rPr>
          <w:spacing w:val="-5"/>
          <w:w w:val="105"/>
          <w:sz w:val="21"/>
        </w:rPr>
        <w:t>estate.</w:t>
      </w:r>
      <w:r>
        <w:rPr>
          <w:spacing w:val="-5"/>
          <w:w w:val="105"/>
          <w:position w:val="7"/>
          <w:sz w:val="12"/>
        </w:rPr>
        <w:t>153 </w:t>
      </w:r>
      <w:r>
        <w:rPr>
          <w:w w:val="105"/>
          <w:sz w:val="21"/>
        </w:rPr>
        <w:t>The view was expressed </w:t>
      </w:r>
      <w:r>
        <w:rPr>
          <w:spacing w:val="-3"/>
          <w:w w:val="105"/>
          <w:sz w:val="21"/>
        </w:rPr>
        <w:t>that </w:t>
      </w:r>
      <w:r>
        <w:rPr>
          <w:w w:val="105"/>
          <w:sz w:val="21"/>
        </w:rPr>
        <w:t>extending elections would </w:t>
      </w:r>
      <w:r>
        <w:rPr>
          <w:spacing w:val="-3"/>
          <w:w w:val="105"/>
          <w:sz w:val="21"/>
        </w:rPr>
        <w:t>promote national </w:t>
      </w:r>
      <w:r>
        <w:rPr>
          <w:spacing w:val="-4"/>
          <w:w w:val="105"/>
          <w:sz w:val="21"/>
        </w:rPr>
        <w:t>consistency.</w:t>
      </w:r>
      <w:r>
        <w:rPr>
          <w:spacing w:val="-4"/>
          <w:w w:val="105"/>
          <w:position w:val="7"/>
          <w:sz w:val="12"/>
        </w:rPr>
        <w:t>154 </w:t>
      </w:r>
      <w:r>
        <w:rPr>
          <w:w w:val="105"/>
          <w:sz w:val="21"/>
        </w:rPr>
        <w:t>The Property and </w:t>
      </w:r>
      <w:r>
        <w:rPr>
          <w:spacing w:val="-3"/>
          <w:w w:val="105"/>
          <w:sz w:val="21"/>
        </w:rPr>
        <w:t>Probate </w:t>
      </w:r>
      <w:r>
        <w:rPr>
          <w:w w:val="105"/>
          <w:sz w:val="21"/>
        </w:rPr>
        <w:t>Section of the </w:t>
      </w:r>
      <w:r>
        <w:rPr>
          <w:spacing w:val="-4"/>
          <w:w w:val="105"/>
          <w:sz w:val="21"/>
        </w:rPr>
        <w:t>Commercial </w:t>
      </w:r>
      <w:r>
        <w:rPr>
          <w:w w:val="105"/>
          <w:sz w:val="21"/>
        </w:rPr>
        <w:t>Bar Association</w:t>
      </w:r>
      <w:r>
        <w:rPr>
          <w:spacing w:val="-8"/>
          <w:w w:val="105"/>
          <w:sz w:val="21"/>
        </w:rPr>
        <w:t> </w:t>
      </w:r>
      <w:r>
        <w:rPr>
          <w:w w:val="105"/>
          <w:sz w:val="21"/>
        </w:rPr>
        <w:t>suggested</w:t>
      </w:r>
      <w:r>
        <w:rPr>
          <w:spacing w:val="-8"/>
          <w:w w:val="105"/>
          <w:sz w:val="21"/>
        </w:rPr>
        <w:t> </w:t>
      </w:r>
      <w:r>
        <w:rPr>
          <w:spacing w:val="-3"/>
          <w:w w:val="105"/>
          <w:sz w:val="21"/>
        </w:rPr>
        <w:t>that</w:t>
      </w:r>
      <w:r>
        <w:rPr>
          <w:spacing w:val="-7"/>
          <w:w w:val="105"/>
          <w:sz w:val="21"/>
        </w:rPr>
        <w:t> </w:t>
      </w:r>
      <w:r>
        <w:rPr>
          <w:w w:val="105"/>
          <w:sz w:val="21"/>
        </w:rPr>
        <w:t>extending</w:t>
      </w:r>
      <w:r>
        <w:rPr>
          <w:spacing w:val="-8"/>
          <w:w w:val="105"/>
          <w:sz w:val="21"/>
        </w:rPr>
        <w:t> </w:t>
      </w:r>
      <w:r>
        <w:rPr>
          <w:w w:val="105"/>
          <w:sz w:val="21"/>
        </w:rPr>
        <w:t>elections</w:t>
      </w:r>
      <w:r>
        <w:rPr>
          <w:spacing w:val="-7"/>
          <w:w w:val="105"/>
          <w:sz w:val="21"/>
        </w:rPr>
        <w:t> </w:t>
      </w:r>
      <w:r>
        <w:rPr>
          <w:spacing w:val="-3"/>
          <w:w w:val="105"/>
          <w:sz w:val="21"/>
        </w:rPr>
        <w:t>could</w:t>
      </w:r>
      <w:r>
        <w:rPr>
          <w:spacing w:val="-8"/>
          <w:w w:val="105"/>
          <w:sz w:val="21"/>
        </w:rPr>
        <w:t> </w:t>
      </w:r>
      <w:r>
        <w:rPr>
          <w:spacing w:val="-3"/>
          <w:w w:val="105"/>
          <w:sz w:val="21"/>
        </w:rPr>
        <w:t>reduce</w:t>
      </w:r>
      <w:r>
        <w:rPr>
          <w:spacing w:val="-7"/>
          <w:w w:val="105"/>
          <w:sz w:val="21"/>
        </w:rPr>
        <w:t> </w:t>
      </w:r>
      <w:r>
        <w:rPr>
          <w:w w:val="105"/>
          <w:sz w:val="21"/>
        </w:rPr>
        <w:t>the</w:t>
      </w:r>
      <w:r>
        <w:rPr>
          <w:spacing w:val="-8"/>
          <w:w w:val="105"/>
          <w:sz w:val="21"/>
        </w:rPr>
        <w:t> </w:t>
      </w:r>
      <w:r>
        <w:rPr>
          <w:w w:val="105"/>
          <w:sz w:val="21"/>
        </w:rPr>
        <w:t>number</w:t>
      </w:r>
      <w:r>
        <w:rPr>
          <w:spacing w:val="-8"/>
          <w:w w:val="105"/>
          <w:sz w:val="21"/>
        </w:rPr>
        <w:t> </w:t>
      </w:r>
      <w:r>
        <w:rPr>
          <w:w w:val="105"/>
          <w:sz w:val="21"/>
        </w:rPr>
        <w:t>of</w:t>
      </w:r>
      <w:r>
        <w:rPr>
          <w:spacing w:val="-7"/>
          <w:w w:val="105"/>
          <w:sz w:val="21"/>
        </w:rPr>
        <w:t> </w:t>
      </w:r>
      <w:r>
        <w:rPr>
          <w:spacing w:val="-3"/>
          <w:w w:val="105"/>
          <w:sz w:val="21"/>
        </w:rPr>
        <w:t>claims</w:t>
      </w:r>
      <w:r>
        <w:rPr>
          <w:spacing w:val="-8"/>
          <w:w w:val="105"/>
          <w:sz w:val="21"/>
        </w:rPr>
        <w:t> </w:t>
      </w:r>
      <w:r>
        <w:rPr>
          <w:w w:val="105"/>
          <w:sz w:val="21"/>
        </w:rPr>
        <w:t>made </w:t>
      </w:r>
      <w:r>
        <w:rPr>
          <w:spacing w:val="-3"/>
          <w:w w:val="105"/>
          <w:sz w:val="21"/>
        </w:rPr>
        <w:t>against </w:t>
      </w:r>
      <w:r>
        <w:rPr>
          <w:w w:val="105"/>
          <w:sz w:val="21"/>
        </w:rPr>
        <w:t>the estate by partners of the deceased person, in </w:t>
      </w:r>
      <w:r>
        <w:rPr>
          <w:spacing w:val="-3"/>
          <w:w w:val="105"/>
          <w:sz w:val="21"/>
        </w:rPr>
        <w:t>relation to </w:t>
      </w:r>
      <w:r>
        <w:rPr>
          <w:w w:val="105"/>
          <w:sz w:val="21"/>
        </w:rPr>
        <w:t>property </w:t>
      </w:r>
      <w:r>
        <w:rPr>
          <w:spacing w:val="-3"/>
          <w:w w:val="105"/>
          <w:sz w:val="21"/>
        </w:rPr>
        <w:t>that </w:t>
      </w:r>
      <w:r>
        <w:rPr>
          <w:w w:val="105"/>
          <w:sz w:val="21"/>
        </w:rPr>
        <w:t>the partner helped </w:t>
      </w:r>
      <w:r>
        <w:rPr>
          <w:spacing w:val="-3"/>
          <w:w w:val="105"/>
          <w:sz w:val="21"/>
        </w:rPr>
        <w:t>to acquire </w:t>
      </w:r>
      <w:r>
        <w:rPr>
          <w:w w:val="105"/>
          <w:sz w:val="21"/>
        </w:rPr>
        <w:t>or preserve </w:t>
      </w:r>
      <w:r>
        <w:rPr>
          <w:spacing w:val="-3"/>
          <w:w w:val="105"/>
          <w:sz w:val="21"/>
        </w:rPr>
        <w:t>although </w:t>
      </w:r>
      <w:r>
        <w:rPr>
          <w:w w:val="105"/>
          <w:sz w:val="21"/>
        </w:rPr>
        <w:t>they </w:t>
      </w:r>
      <w:r>
        <w:rPr>
          <w:spacing w:val="-3"/>
          <w:w w:val="105"/>
          <w:sz w:val="21"/>
        </w:rPr>
        <w:t>were </w:t>
      </w:r>
      <w:r>
        <w:rPr>
          <w:spacing w:val="-2"/>
          <w:w w:val="105"/>
          <w:sz w:val="21"/>
        </w:rPr>
        <w:t>not </w:t>
      </w:r>
      <w:r>
        <w:rPr>
          <w:spacing w:val="-3"/>
          <w:w w:val="105"/>
          <w:sz w:val="21"/>
        </w:rPr>
        <w:t>registered </w:t>
      </w:r>
      <w:r>
        <w:rPr>
          <w:w w:val="105"/>
          <w:sz w:val="21"/>
        </w:rPr>
        <w:t>on the </w:t>
      </w:r>
      <w:r>
        <w:rPr>
          <w:spacing w:val="-5"/>
          <w:w w:val="105"/>
          <w:sz w:val="21"/>
        </w:rPr>
        <w:t>title.</w:t>
      </w:r>
      <w:r>
        <w:rPr>
          <w:spacing w:val="-5"/>
          <w:w w:val="105"/>
          <w:position w:val="7"/>
          <w:sz w:val="12"/>
        </w:rPr>
        <w:t>155</w:t>
      </w:r>
      <w:r>
        <w:rPr>
          <w:spacing w:val="-5"/>
          <w:w w:val="105"/>
          <w:sz w:val="12"/>
        </w:rPr>
        <w:t> </w:t>
      </w:r>
      <w:r>
        <w:rPr>
          <w:spacing w:val="-3"/>
          <w:w w:val="105"/>
          <w:sz w:val="21"/>
        </w:rPr>
        <w:t>Rigby </w:t>
      </w:r>
      <w:r>
        <w:rPr>
          <w:spacing w:val="-4"/>
          <w:w w:val="105"/>
          <w:sz w:val="21"/>
        </w:rPr>
        <w:t>Cooke </w:t>
      </w:r>
      <w:r>
        <w:rPr>
          <w:w w:val="105"/>
          <w:sz w:val="21"/>
        </w:rPr>
        <w:t>Lawyers </w:t>
      </w:r>
      <w:r>
        <w:rPr>
          <w:spacing w:val="-3"/>
          <w:w w:val="105"/>
          <w:sz w:val="21"/>
        </w:rPr>
        <w:t>noted that </w:t>
      </w:r>
      <w:r>
        <w:rPr>
          <w:w w:val="105"/>
          <w:sz w:val="21"/>
        </w:rPr>
        <w:t>it would be </w:t>
      </w:r>
      <w:r>
        <w:rPr>
          <w:spacing w:val="-3"/>
          <w:w w:val="105"/>
          <w:sz w:val="21"/>
        </w:rPr>
        <w:t>useful </w:t>
      </w:r>
      <w:r>
        <w:rPr>
          <w:w w:val="105"/>
          <w:sz w:val="21"/>
        </w:rPr>
        <w:t>if a deceased </w:t>
      </w:r>
      <w:r>
        <w:rPr>
          <w:spacing w:val="-3"/>
          <w:w w:val="105"/>
          <w:sz w:val="21"/>
        </w:rPr>
        <w:t>person’s </w:t>
      </w:r>
      <w:r>
        <w:rPr>
          <w:w w:val="105"/>
          <w:sz w:val="21"/>
        </w:rPr>
        <w:t>partner </w:t>
      </w:r>
      <w:r>
        <w:rPr>
          <w:spacing w:val="-3"/>
          <w:w w:val="105"/>
          <w:sz w:val="21"/>
        </w:rPr>
        <w:t>were </w:t>
      </w:r>
      <w:r>
        <w:rPr>
          <w:w w:val="105"/>
          <w:sz w:val="21"/>
        </w:rPr>
        <w:t>able </w:t>
      </w:r>
      <w:r>
        <w:rPr>
          <w:spacing w:val="-3"/>
          <w:w w:val="105"/>
          <w:sz w:val="21"/>
        </w:rPr>
        <w:t>to </w:t>
      </w:r>
      <w:r>
        <w:rPr>
          <w:w w:val="105"/>
          <w:sz w:val="21"/>
        </w:rPr>
        <w:t>elect </w:t>
      </w:r>
      <w:r>
        <w:rPr>
          <w:spacing w:val="-3"/>
          <w:w w:val="105"/>
          <w:sz w:val="21"/>
        </w:rPr>
        <w:t>to acquire </w:t>
      </w:r>
      <w:r>
        <w:rPr>
          <w:w w:val="105"/>
          <w:sz w:val="21"/>
        </w:rPr>
        <w:t>an </w:t>
      </w:r>
      <w:r>
        <w:rPr>
          <w:spacing w:val="-3"/>
          <w:w w:val="105"/>
          <w:sz w:val="21"/>
        </w:rPr>
        <w:t>interest </w:t>
      </w:r>
      <w:r>
        <w:rPr>
          <w:w w:val="105"/>
          <w:sz w:val="21"/>
        </w:rPr>
        <w:t>in a business </w:t>
      </w:r>
      <w:r>
        <w:rPr>
          <w:spacing w:val="-3"/>
          <w:w w:val="105"/>
          <w:sz w:val="21"/>
        </w:rPr>
        <w:t>that </w:t>
      </w:r>
      <w:r>
        <w:rPr>
          <w:w w:val="105"/>
          <w:sz w:val="21"/>
        </w:rPr>
        <w:t>they </w:t>
      </w:r>
      <w:r>
        <w:rPr>
          <w:spacing w:val="-2"/>
          <w:w w:val="105"/>
          <w:sz w:val="21"/>
        </w:rPr>
        <w:t>had </w:t>
      </w:r>
      <w:r>
        <w:rPr>
          <w:w w:val="105"/>
          <w:sz w:val="21"/>
        </w:rPr>
        <w:t>been </w:t>
      </w:r>
      <w:r>
        <w:rPr>
          <w:spacing w:val="-3"/>
          <w:w w:val="105"/>
          <w:sz w:val="21"/>
        </w:rPr>
        <w:t>operating </w:t>
      </w:r>
      <w:r>
        <w:rPr>
          <w:w w:val="105"/>
          <w:sz w:val="21"/>
        </w:rPr>
        <w:t>with the deceased person, permitting them </w:t>
      </w:r>
      <w:r>
        <w:rPr>
          <w:spacing w:val="-3"/>
          <w:w w:val="105"/>
          <w:sz w:val="21"/>
        </w:rPr>
        <w:t>to generate future</w:t>
      </w:r>
      <w:r>
        <w:rPr>
          <w:spacing w:val="30"/>
          <w:w w:val="105"/>
          <w:sz w:val="21"/>
        </w:rPr>
        <w:t> </w:t>
      </w:r>
      <w:r>
        <w:rPr>
          <w:spacing w:val="-5"/>
          <w:w w:val="105"/>
          <w:sz w:val="21"/>
        </w:rPr>
        <w:t>income.</w:t>
      </w:r>
      <w:r>
        <w:rPr>
          <w:spacing w:val="-5"/>
          <w:w w:val="105"/>
          <w:position w:val="7"/>
          <w:sz w:val="12"/>
        </w:rPr>
        <w:t>156</w:t>
      </w:r>
    </w:p>
    <w:p>
      <w:pPr>
        <w:pStyle w:val="ListParagraph"/>
        <w:numPr>
          <w:ilvl w:val="1"/>
          <w:numId w:val="22"/>
        </w:numPr>
        <w:tabs>
          <w:tab w:pos="2381" w:val="left" w:leader="none"/>
          <w:tab w:pos="2382" w:val="left" w:leader="none"/>
        </w:tabs>
        <w:spacing w:line="242" w:lineRule="auto" w:before="131" w:after="0"/>
        <w:ind w:left="2381" w:right="1725" w:hanging="794"/>
        <w:jc w:val="left"/>
        <w:rPr>
          <w:sz w:val="12"/>
        </w:rPr>
      </w:pPr>
      <w:r>
        <w:rPr>
          <w:w w:val="105"/>
          <w:sz w:val="21"/>
        </w:rPr>
        <w:t>The</w:t>
      </w:r>
      <w:r>
        <w:rPr>
          <w:spacing w:val="-7"/>
          <w:w w:val="105"/>
          <w:sz w:val="21"/>
        </w:rPr>
        <w:t> </w:t>
      </w:r>
      <w:r>
        <w:rPr>
          <w:spacing w:val="-3"/>
          <w:w w:val="105"/>
          <w:sz w:val="21"/>
        </w:rPr>
        <w:t>submission</w:t>
      </w:r>
      <w:r>
        <w:rPr>
          <w:spacing w:val="-7"/>
          <w:w w:val="105"/>
          <w:sz w:val="21"/>
        </w:rPr>
        <w:t> </w:t>
      </w:r>
      <w:r>
        <w:rPr>
          <w:spacing w:val="-3"/>
          <w:w w:val="105"/>
          <w:sz w:val="21"/>
        </w:rPr>
        <w:t>that</w:t>
      </w:r>
      <w:r>
        <w:rPr>
          <w:spacing w:val="-6"/>
          <w:w w:val="105"/>
          <w:sz w:val="21"/>
        </w:rPr>
        <w:t> </w:t>
      </w:r>
      <w:r>
        <w:rPr>
          <w:w w:val="105"/>
          <w:sz w:val="21"/>
        </w:rPr>
        <w:t>was</w:t>
      </w:r>
      <w:r>
        <w:rPr>
          <w:spacing w:val="-7"/>
          <w:w w:val="105"/>
          <w:sz w:val="21"/>
        </w:rPr>
        <w:t> </w:t>
      </w:r>
      <w:r>
        <w:rPr>
          <w:w w:val="105"/>
          <w:sz w:val="21"/>
        </w:rPr>
        <w:t>opposed</w:t>
      </w:r>
      <w:r>
        <w:rPr>
          <w:spacing w:val="-6"/>
          <w:w w:val="105"/>
          <w:sz w:val="21"/>
        </w:rPr>
        <w:t> </w:t>
      </w:r>
      <w:r>
        <w:rPr>
          <w:spacing w:val="-3"/>
          <w:w w:val="105"/>
          <w:sz w:val="21"/>
        </w:rPr>
        <w:t>to</w:t>
      </w:r>
      <w:r>
        <w:rPr>
          <w:spacing w:val="-7"/>
          <w:w w:val="105"/>
          <w:sz w:val="21"/>
        </w:rPr>
        <w:t> </w:t>
      </w:r>
      <w:r>
        <w:rPr>
          <w:w w:val="105"/>
          <w:sz w:val="21"/>
        </w:rPr>
        <w:t>extending</w:t>
      </w:r>
      <w:r>
        <w:rPr>
          <w:spacing w:val="-6"/>
          <w:w w:val="105"/>
          <w:sz w:val="21"/>
        </w:rPr>
        <w:t> </w:t>
      </w:r>
      <w:r>
        <w:rPr>
          <w:w w:val="105"/>
          <w:sz w:val="21"/>
        </w:rPr>
        <w:t>the</w:t>
      </w:r>
      <w:r>
        <w:rPr>
          <w:spacing w:val="-7"/>
          <w:w w:val="105"/>
          <w:sz w:val="21"/>
        </w:rPr>
        <w:t> </w:t>
      </w:r>
      <w:r>
        <w:rPr>
          <w:w w:val="105"/>
          <w:sz w:val="21"/>
        </w:rPr>
        <w:t>partner’s</w:t>
      </w:r>
      <w:r>
        <w:rPr>
          <w:spacing w:val="-7"/>
          <w:w w:val="105"/>
          <w:sz w:val="21"/>
        </w:rPr>
        <w:t> </w:t>
      </w:r>
      <w:r>
        <w:rPr>
          <w:spacing w:val="-3"/>
          <w:w w:val="105"/>
          <w:sz w:val="21"/>
        </w:rPr>
        <w:t>right</w:t>
      </w:r>
      <w:r>
        <w:rPr>
          <w:spacing w:val="-6"/>
          <w:w w:val="105"/>
          <w:sz w:val="21"/>
        </w:rPr>
        <w:t> </w:t>
      </w:r>
      <w:r>
        <w:rPr>
          <w:w w:val="105"/>
          <w:sz w:val="21"/>
        </w:rPr>
        <w:t>of</w:t>
      </w:r>
      <w:r>
        <w:rPr>
          <w:spacing w:val="-7"/>
          <w:w w:val="105"/>
          <w:sz w:val="21"/>
        </w:rPr>
        <w:t> </w:t>
      </w:r>
      <w:r>
        <w:rPr>
          <w:w w:val="105"/>
          <w:sz w:val="21"/>
        </w:rPr>
        <w:t>election</w:t>
      </w:r>
      <w:r>
        <w:rPr>
          <w:spacing w:val="-6"/>
          <w:w w:val="105"/>
          <w:sz w:val="21"/>
        </w:rPr>
        <w:t> </w:t>
      </w:r>
      <w:r>
        <w:rPr>
          <w:spacing w:val="-3"/>
          <w:w w:val="105"/>
          <w:sz w:val="21"/>
        </w:rPr>
        <w:t>considered that </w:t>
      </w:r>
      <w:r>
        <w:rPr>
          <w:w w:val="105"/>
          <w:sz w:val="21"/>
        </w:rPr>
        <w:t>estate assets </w:t>
      </w:r>
      <w:r>
        <w:rPr>
          <w:spacing w:val="-3"/>
          <w:w w:val="105"/>
          <w:sz w:val="21"/>
        </w:rPr>
        <w:t>might have sentimental value to </w:t>
      </w:r>
      <w:r>
        <w:rPr>
          <w:w w:val="105"/>
          <w:sz w:val="21"/>
        </w:rPr>
        <w:t>the deceased </w:t>
      </w:r>
      <w:r>
        <w:rPr>
          <w:spacing w:val="-3"/>
          <w:w w:val="105"/>
          <w:sz w:val="21"/>
        </w:rPr>
        <w:t>person’s</w:t>
      </w:r>
      <w:r>
        <w:rPr>
          <w:spacing w:val="-4"/>
          <w:w w:val="105"/>
          <w:sz w:val="21"/>
        </w:rPr>
        <w:t> </w:t>
      </w:r>
      <w:r>
        <w:rPr>
          <w:spacing w:val="-5"/>
          <w:w w:val="105"/>
          <w:sz w:val="21"/>
        </w:rPr>
        <w:t>children.</w:t>
      </w:r>
      <w:r>
        <w:rPr>
          <w:spacing w:val="-5"/>
          <w:w w:val="105"/>
          <w:position w:val="7"/>
          <w:sz w:val="12"/>
        </w:rPr>
        <w:t>157</w:t>
      </w:r>
    </w:p>
    <w:p>
      <w:pPr>
        <w:pStyle w:val="BodyText"/>
        <w:spacing w:line="242" w:lineRule="auto" w:before="3"/>
        <w:ind w:left="2381" w:right="1525"/>
        <w:rPr>
          <w:sz w:val="12"/>
        </w:rPr>
      </w:pPr>
      <w:r>
        <w:rPr>
          <w:w w:val="105"/>
        </w:rPr>
        <w:t>A member of the </w:t>
      </w:r>
      <w:r>
        <w:rPr>
          <w:spacing w:val="-4"/>
          <w:w w:val="105"/>
        </w:rPr>
        <w:t>Commission’s </w:t>
      </w:r>
      <w:r>
        <w:rPr>
          <w:spacing w:val="-3"/>
          <w:w w:val="105"/>
        </w:rPr>
        <w:t>succession </w:t>
      </w:r>
      <w:r>
        <w:rPr>
          <w:w w:val="105"/>
        </w:rPr>
        <w:t>laws advisory committee </w:t>
      </w:r>
      <w:r>
        <w:rPr>
          <w:spacing w:val="-3"/>
          <w:w w:val="105"/>
        </w:rPr>
        <w:t>shared </w:t>
      </w:r>
      <w:r>
        <w:rPr>
          <w:w w:val="105"/>
        </w:rPr>
        <w:t>this </w:t>
      </w:r>
      <w:r>
        <w:rPr>
          <w:spacing w:val="-3"/>
          <w:w w:val="105"/>
        </w:rPr>
        <w:t>concern, </w:t>
      </w:r>
      <w:r>
        <w:rPr>
          <w:w w:val="105"/>
        </w:rPr>
        <w:t>particularly in </w:t>
      </w:r>
      <w:r>
        <w:rPr>
          <w:spacing w:val="-3"/>
          <w:w w:val="105"/>
        </w:rPr>
        <w:t>relation to </w:t>
      </w:r>
      <w:r>
        <w:rPr>
          <w:w w:val="105"/>
        </w:rPr>
        <w:t>second partners </w:t>
      </w:r>
      <w:r>
        <w:rPr>
          <w:spacing w:val="-3"/>
          <w:w w:val="105"/>
        </w:rPr>
        <w:t>acquiring </w:t>
      </w:r>
      <w:r>
        <w:rPr>
          <w:w w:val="105"/>
        </w:rPr>
        <w:t>property </w:t>
      </w:r>
      <w:r>
        <w:rPr>
          <w:spacing w:val="-3"/>
          <w:w w:val="105"/>
        </w:rPr>
        <w:t>to </w:t>
      </w:r>
      <w:r>
        <w:rPr>
          <w:w w:val="105"/>
        </w:rPr>
        <w:t>the </w:t>
      </w:r>
      <w:r>
        <w:rPr>
          <w:spacing w:val="-3"/>
          <w:w w:val="105"/>
        </w:rPr>
        <w:t>exclusion </w:t>
      </w:r>
      <w:r>
        <w:rPr>
          <w:w w:val="105"/>
        </w:rPr>
        <w:t>of the </w:t>
      </w:r>
      <w:r>
        <w:rPr>
          <w:spacing w:val="-3"/>
          <w:w w:val="105"/>
        </w:rPr>
        <w:t>children </w:t>
      </w:r>
      <w:r>
        <w:rPr>
          <w:w w:val="105"/>
        </w:rPr>
        <w:t>of an </w:t>
      </w:r>
      <w:r>
        <w:rPr>
          <w:spacing w:val="-3"/>
          <w:w w:val="105"/>
        </w:rPr>
        <w:t>earlier </w:t>
      </w:r>
      <w:r>
        <w:rPr>
          <w:spacing w:val="-4"/>
          <w:w w:val="105"/>
        </w:rPr>
        <w:t>relationship.</w:t>
      </w:r>
      <w:r>
        <w:rPr>
          <w:spacing w:val="-4"/>
          <w:w w:val="105"/>
          <w:position w:val="7"/>
          <w:sz w:val="12"/>
        </w:rPr>
        <w:t>158 </w:t>
      </w:r>
      <w:r>
        <w:rPr>
          <w:w w:val="105"/>
        </w:rPr>
        <w:t>Other members of the advisory committee </w:t>
      </w:r>
      <w:r>
        <w:rPr>
          <w:spacing w:val="-3"/>
          <w:w w:val="105"/>
        </w:rPr>
        <w:t>considered that </w:t>
      </w:r>
      <w:r>
        <w:rPr>
          <w:w w:val="105"/>
        </w:rPr>
        <w:t>the partner’s rights of election should be extended </w:t>
      </w:r>
      <w:r>
        <w:rPr>
          <w:spacing w:val="-3"/>
          <w:w w:val="105"/>
        </w:rPr>
        <w:t>to </w:t>
      </w:r>
      <w:r>
        <w:rPr>
          <w:w w:val="105"/>
        </w:rPr>
        <w:t>other estate </w:t>
      </w:r>
      <w:r>
        <w:rPr>
          <w:spacing w:val="-4"/>
          <w:w w:val="105"/>
        </w:rPr>
        <w:t>property.</w:t>
      </w:r>
      <w:r>
        <w:rPr>
          <w:spacing w:val="-4"/>
          <w:w w:val="105"/>
          <w:position w:val="7"/>
          <w:sz w:val="12"/>
        </w:rPr>
        <w:t>159</w:t>
      </w:r>
    </w:p>
    <w:p>
      <w:pPr>
        <w:pStyle w:val="ListParagraph"/>
        <w:numPr>
          <w:ilvl w:val="1"/>
          <w:numId w:val="22"/>
        </w:numPr>
        <w:tabs>
          <w:tab w:pos="2380" w:val="left" w:leader="none"/>
          <w:tab w:pos="2382" w:val="left" w:leader="none"/>
        </w:tabs>
        <w:spacing w:line="242" w:lineRule="auto" w:before="124" w:after="0"/>
        <w:ind w:left="2381" w:right="1757" w:hanging="794"/>
        <w:jc w:val="left"/>
        <w:rPr>
          <w:sz w:val="21"/>
        </w:rPr>
      </w:pPr>
      <w:r>
        <w:rPr>
          <w:w w:val="105"/>
          <w:sz w:val="21"/>
        </w:rPr>
        <w:t>One</w:t>
      </w:r>
      <w:r>
        <w:rPr>
          <w:spacing w:val="-6"/>
          <w:w w:val="105"/>
          <w:sz w:val="21"/>
        </w:rPr>
        <w:t> </w:t>
      </w:r>
      <w:r>
        <w:rPr>
          <w:spacing w:val="-3"/>
          <w:w w:val="105"/>
          <w:sz w:val="21"/>
        </w:rPr>
        <w:t>submission</w:t>
      </w:r>
      <w:r>
        <w:rPr>
          <w:spacing w:val="-5"/>
          <w:w w:val="105"/>
          <w:sz w:val="21"/>
        </w:rPr>
        <w:t> </w:t>
      </w:r>
      <w:r>
        <w:rPr>
          <w:w w:val="105"/>
          <w:sz w:val="21"/>
        </w:rPr>
        <w:t>suggested</w:t>
      </w:r>
      <w:r>
        <w:rPr>
          <w:spacing w:val="-5"/>
          <w:w w:val="105"/>
          <w:sz w:val="21"/>
        </w:rPr>
        <w:t> </w:t>
      </w:r>
      <w:r>
        <w:rPr>
          <w:spacing w:val="-3"/>
          <w:w w:val="105"/>
          <w:sz w:val="21"/>
        </w:rPr>
        <w:t>that</w:t>
      </w:r>
      <w:r>
        <w:rPr>
          <w:spacing w:val="-5"/>
          <w:w w:val="105"/>
          <w:sz w:val="21"/>
        </w:rPr>
        <w:t> </w:t>
      </w:r>
      <w:r>
        <w:rPr>
          <w:w w:val="105"/>
          <w:sz w:val="21"/>
        </w:rPr>
        <w:t>the</w:t>
      </w:r>
      <w:r>
        <w:rPr>
          <w:spacing w:val="-5"/>
          <w:w w:val="105"/>
          <w:sz w:val="21"/>
        </w:rPr>
        <w:t> </w:t>
      </w:r>
      <w:r>
        <w:rPr>
          <w:w w:val="105"/>
          <w:sz w:val="21"/>
        </w:rPr>
        <w:t>effect</w:t>
      </w:r>
      <w:r>
        <w:rPr>
          <w:spacing w:val="-6"/>
          <w:w w:val="105"/>
          <w:sz w:val="21"/>
        </w:rPr>
        <w:t> </w:t>
      </w:r>
      <w:r>
        <w:rPr>
          <w:w w:val="105"/>
          <w:sz w:val="21"/>
        </w:rPr>
        <w:t>of</w:t>
      </w:r>
      <w:r>
        <w:rPr>
          <w:spacing w:val="-5"/>
          <w:w w:val="105"/>
          <w:sz w:val="21"/>
        </w:rPr>
        <w:t> </w:t>
      </w:r>
      <w:r>
        <w:rPr>
          <w:w w:val="105"/>
          <w:sz w:val="21"/>
        </w:rPr>
        <w:t>elections</w:t>
      </w:r>
      <w:r>
        <w:rPr>
          <w:spacing w:val="-5"/>
          <w:w w:val="105"/>
          <w:sz w:val="21"/>
        </w:rPr>
        <w:t> </w:t>
      </w:r>
      <w:r>
        <w:rPr>
          <w:w w:val="105"/>
          <w:sz w:val="21"/>
        </w:rPr>
        <w:t>on</w:t>
      </w:r>
      <w:r>
        <w:rPr>
          <w:spacing w:val="-5"/>
          <w:w w:val="105"/>
          <w:sz w:val="21"/>
        </w:rPr>
        <w:t> </w:t>
      </w:r>
      <w:r>
        <w:rPr>
          <w:spacing w:val="-3"/>
          <w:w w:val="105"/>
          <w:sz w:val="21"/>
        </w:rPr>
        <w:t>children</w:t>
      </w:r>
      <w:r>
        <w:rPr>
          <w:spacing w:val="-5"/>
          <w:w w:val="105"/>
          <w:sz w:val="21"/>
        </w:rPr>
        <w:t> </w:t>
      </w:r>
      <w:r>
        <w:rPr>
          <w:spacing w:val="-3"/>
          <w:w w:val="105"/>
          <w:sz w:val="21"/>
        </w:rPr>
        <w:t>could</w:t>
      </w:r>
      <w:r>
        <w:rPr>
          <w:spacing w:val="-6"/>
          <w:w w:val="105"/>
          <w:sz w:val="21"/>
        </w:rPr>
        <w:t> </w:t>
      </w:r>
      <w:r>
        <w:rPr>
          <w:w w:val="105"/>
          <w:sz w:val="21"/>
        </w:rPr>
        <w:t>be</w:t>
      </w:r>
      <w:r>
        <w:rPr>
          <w:spacing w:val="-5"/>
          <w:w w:val="105"/>
          <w:sz w:val="21"/>
        </w:rPr>
        <w:t> </w:t>
      </w:r>
      <w:r>
        <w:rPr>
          <w:w w:val="105"/>
          <w:sz w:val="21"/>
        </w:rPr>
        <w:t>tempered</w:t>
      </w:r>
      <w:r>
        <w:rPr>
          <w:spacing w:val="-5"/>
          <w:w w:val="105"/>
          <w:sz w:val="21"/>
        </w:rPr>
        <w:t> </w:t>
      </w:r>
      <w:r>
        <w:rPr>
          <w:w w:val="105"/>
          <w:sz w:val="21"/>
        </w:rPr>
        <w:t>by a </w:t>
      </w:r>
      <w:r>
        <w:rPr>
          <w:spacing w:val="-3"/>
          <w:w w:val="105"/>
          <w:sz w:val="21"/>
        </w:rPr>
        <w:t>right for children to </w:t>
      </w:r>
      <w:r>
        <w:rPr>
          <w:w w:val="105"/>
          <w:sz w:val="21"/>
        </w:rPr>
        <w:t>elect </w:t>
      </w:r>
      <w:r>
        <w:rPr>
          <w:spacing w:val="-3"/>
          <w:w w:val="105"/>
          <w:sz w:val="21"/>
        </w:rPr>
        <w:t>to take </w:t>
      </w:r>
      <w:r>
        <w:rPr>
          <w:w w:val="105"/>
          <w:sz w:val="21"/>
        </w:rPr>
        <w:t>the property ahead of it being sold by the personal </w:t>
      </w:r>
      <w:r>
        <w:rPr>
          <w:spacing w:val="-4"/>
          <w:w w:val="105"/>
          <w:sz w:val="21"/>
        </w:rPr>
        <w:t>representative.</w:t>
      </w:r>
      <w:r>
        <w:rPr>
          <w:spacing w:val="-4"/>
          <w:w w:val="105"/>
          <w:position w:val="7"/>
          <w:sz w:val="12"/>
        </w:rPr>
        <w:t>160 </w:t>
      </w:r>
      <w:r>
        <w:rPr>
          <w:spacing w:val="-4"/>
          <w:w w:val="105"/>
          <w:sz w:val="21"/>
        </w:rPr>
        <w:t>However, </w:t>
      </w:r>
      <w:r>
        <w:rPr>
          <w:w w:val="105"/>
          <w:sz w:val="21"/>
        </w:rPr>
        <w:t>this would </w:t>
      </w:r>
      <w:r>
        <w:rPr>
          <w:spacing w:val="-3"/>
          <w:w w:val="105"/>
          <w:sz w:val="21"/>
        </w:rPr>
        <w:t>create </w:t>
      </w:r>
      <w:r>
        <w:rPr>
          <w:w w:val="105"/>
          <w:sz w:val="21"/>
        </w:rPr>
        <w:t>unnecessary </w:t>
      </w:r>
      <w:r>
        <w:rPr>
          <w:spacing w:val="-3"/>
          <w:w w:val="105"/>
          <w:sz w:val="21"/>
        </w:rPr>
        <w:t>complexity,</w:t>
      </w:r>
      <w:r>
        <w:rPr>
          <w:spacing w:val="11"/>
          <w:w w:val="105"/>
          <w:sz w:val="21"/>
        </w:rPr>
        <w:t> </w:t>
      </w:r>
      <w:r>
        <w:rPr>
          <w:w w:val="105"/>
          <w:sz w:val="21"/>
        </w:rPr>
        <w:t>given</w:t>
      </w:r>
    </w:p>
    <w:p>
      <w:pPr>
        <w:pStyle w:val="BodyText"/>
        <w:spacing w:line="242" w:lineRule="auto" w:before="3"/>
        <w:ind w:left="2381" w:right="1571"/>
        <w:rPr>
          <w:sz w:val="12"/>
        </w:rPr>
      </w:pPr>
      <w:r>
        <w:rPr>
          <w:w w:val="105"/>
        </w:rPr>
        <w:t>the </w:t>
      </w:r>
      <w:r>
        <w:rPr>
          <w:spacing w:val="-4"/>
          <w:w w:val="105"/>
        </w:rPr>
        <w:t>Commission’s </w:t>
      </w:r>
      <w:r>
        <w:rPr>
          <w:w w:val="105"/>
        </w:rPr>
        <w:t>recommended </w:t>
      </w:r>
      <w:r>
        <w:rPr>
          <w:spacing w:val="-2"/>
          <w:w w:val="105"/>
        </w:rPr>
        <w:t>limits </w:t>
      </w:r>
      <w:r>
        <w:rPr>
          <w:w w:val="105"/>
        </w:rPr>
        <w:t>on the </w:t>
      </w:r>
      <w:r>
        <w:rPr>
          <w:spacing w:val="-3"/>
          <w:w w:val="105"/>
        </w:rPr>
        <w:t>circumstances </w:t>
      </w:r>
      <w:r>
        <w:rPr>
          <w:w w:val="105"/>
        </w:rPr>
        <w:t>in which both partner(s) and </w:t>
      </w:r>
      <w:r>
        <w:rPr>
          <w:spacing w:val="-3"/>
          <w:w w:val="105"/>
        </w:rPr>
        <w:t>children are </w:t>
      </w:r>
      <w:r>
        <w:rPr>
          <w:w w:val="105"/>
        </w:rPr>
        <w:t>entitled </w:t>
      </w:r>
      <w:r>
        <w:rPr>
          <w:spacing w:val="-3"/>
          <w:w w:val="105"/>
        </w:rPr>
        <w:t>to </w:t>
      </w:r>
      <w:r>
        <w:rPr>
          <w:spacing w:val="-7"/>
          <w:w w:val="105"/>
        </w:rPr>
        <w:t>take.</w:t>
      </w:r>
      <w:r>
        <w:rPr>
          <w:spacing w:val="-7"/>
          <w:w w:val="105"/>
          <w:position w:val="7"/>
          <w:sz w:val="12"/>
        </w:rPr>
        <w:t>161</w:t>
      </w:r>
    </w:p>
    <w:p>
      <w:pPr>
        <w:pStyle w:val="ListParagraph"/>
        <w:numPr>
          <w:ilvl w:val="1"/>
          <w:numId w:val="22"/>
        </w:numPr>
        <w:tabs>
          <w:tab w:pos="2381" w:val="left" w:leader="none"/>
          <w:tab w:pos="2382" w:val="left" w:leader="none"/>
        </w:tabs>
        <w:spacing w:line="242" w:lineRule="auto" w:before="122" w:after="0"/>
        <w:ind w:left="2381" w:right="1585" w:hanging="794"/>
        <w:jc w:val="left"/>
        <w:rPr>
          <w:sz w:val="21"/>
        </w:rPr>
      </w:pPr>
      <w:r>
        <w:rPr>
          <w:spacing w:val="-7"/>
          <w:sz w:val="21"/>
        </w:rPr>
        <w:t>To </w:t>
      </w:r>
      <w:r>
        <w:rPr>
          <w:spacing w:val="-3"/>
          <w:sz w:val="21"/>
        </w:rPr>
        <w:t>promote </w:t>
      </w:r>
      <w:r>
        <w:rPr>
          <w:sz w:val="21"/>
        </w:rPr>
        <w:t>clarity and  </w:t>
      </w:r>
      <w:r>
        <w:rPr>
          <w:spacing w:val="-3"/>
          <w:sz w:val="21"/>
        </w:rPr>
        <w:t>national  consistency,  </w:t>
      </w:r>
      <w:r>
        <w:rPr>
          <w:sz w:val="21"/>
        </w:rPr>
        <w:t>the  </w:t>
      </w:r>
      <w:r>
        <w:rPr>
          <w:spacing w:val="-3"/>
          <w:sz w:val="21"/>
        </w:rPr>
        <w:t>Commission  recommends  that  </w:t>
      </w:r>
      <w:r>
        <w:rPr>
          <w:sz w:val="21"/>
        </w:rPr>
        <w:t>the </w:t>
      </w:r>
      <w:r>
        <w:rPr>
          <w:spacing w:val="-3"/>
          <w:sz w:val="21"/>
        </w:rPr>
        <w:t>National </w:t>
      </w:r>
      <w:r>
        <w:rPr>
          <w:spacing w:val="-4"/>
          <w:sz w:val="21"/>
        </w:rPr>
        <w:t>Committee’s </w:t>
      </w:r>
      <w:r>
        <w:rPr>
          <w:sz w:val="21"/>
        </w:rPr>
        <w:t>proposals in </w:t>
      </w:r>
      <w:r>
        <w:rPr>
          <w:spacing w:val="-3"/>
          <w:sz w:val="21"/>
        </w:rPr>
        <w:t>relation  to  </w:t>
      </w:r>
      <w:r>
        <w:rPr>
          <w:sz w:val="21"/>
        </w:rPr>
        <w:t>elections should be </w:t>
      </w:r>
      <w:r>
        <w:rPr>
          <w:spacing w:val="-3"/>
          <w:sz w:val="21"/>
        </w:rPr>
        <w:t>implemented</w:t>
      </w:r>
      <w:r>
        <w:rPr>
          <w:spacing w:val="41"/>
          <w:sz w:val="21"/>
        </w:rPr>
        <w:t> </w:t>
      </w:r>
      <w:r>
        <w:rPr>
          <w:sz w:val="21"/>
        </w:rPr>
        <w:t>in Victoria,  in</w:t>
      </w:r>
      <w:r>
        <w:rPr>
          <w:spacing w:val="9"/>
          <w:sz w:val="21"/>
        </w:rPr>
        <w:t> </w:t>
      </w:r>
      <w:r>
        <w:rPr>
          <w:sz w:val="21"/>
        </w:rPr>
        <w:t>the</w:t>
      </w:r>
      <w:r>
        <w:rPr>
          <w:spacing w:val="9"/>
          <w:sz w:val="21"/>
        </w:rPr>
        <w:t> </w:t>
      </w:r>
      <w:r>
        <w:rPr>
          <w:spacing w:val="-3"/>
          <w:sz w:val="21"/>
        </w:rPr>
        <w:t>terms</w:t>
      </w:r>
      <w:r>
        <w:rPr>
          <w:spacing w:val="10"/>
          <w:sz w:val="21"/>
        </w:rPr>
        <w:t> </w:t>
      </w:r>
      <w:r>
        <w:rPr>
          <w:spacing w:val="-3"/>
          <w:sz w:val="21"/>
        </w:rPr>
        <w:t>implemented</w:t>
      </w:r>
      <w:r>
        <w:rPr>
          <w:spacing w:val="9"/>
          <w:sz w:val="21"/>
        </w:rPr>
        <w:t> </w:t>
      </w:r>
      <w:r>
        <w:rPr>
          <w:sz w:val="21"/>
        </w:rPr>
        <w:t>in</w:t>
      </w:r>
      <w:r>
        <w:rPr>
          <w:spacing w:val="10"/>
          <w:sz w:val="21"/>
        </w:rPr>
        <w:t> </w:t>
      </w:r>
      <w:r>
        <w:rPr>
          <w:sz w:val="21"/>
        </w:rPr>
        <w:t>New</w:t>
      </w:r>
      <w:r>
        <w:rPr>
          <w:spacing w:val="9"/>
          <w:sz w:val="21"/>
        </w:rPr>
        <w:t> </w:t>
      </w:r>
      <w:r>
        <w:rPr>
          <w:sz w:val="21"/>
        </w:rPr>
        <w:t>South</w:t>
      </w:r>
      <w:r>
        <w:rPr>
          <w:spacing w:val="10"/>
          <w:sz w:val="21"/>
        </w:rPr>
        <w:t> </w:t>
      </w:r>
      <w:r>
        <w:rPr>
          <w:spacing w:val="-3"/>
          <w:sz w:val="21"/>
        </w:rPr>
        <w:t>Wales.</w:t>
      </w:r>
    </w:p>
    <w:p>
      <w:pPr>
        <w:pStyle w:val="ListParagraph"/>
        <w:numPr>
          <w:ilvl w:val="1"/>
          <w:numId w:val="22"/>
        </w:numPr>
        <w:tabs>
          <w:tab w:pos="2380" w:val="left" w:leader="none"/>
          <w:tab w:pos="2381" w:val="left" w:leader="none"/>
        </w:tabs>
        <w:spacing w:line="242" w:lineRule="auto" w:before="124" w:after="0"/>
        <w:ind w:left="2381" w:right="1601" w:hanging="794"/>
        <w:jc w:val="left"/>
        <w:rPr>
          <w:sz w:val="21"/>
        </w:rPr>
      </w:pPr>
      <w:r>
        <w:rPr>
          <w:sz w:val="21"/>
        </w:rPr>
        <w:t>The </w:t>
      </w:r>
      <w:r>
        <w:rPr>
          <w:spacing w:val="-3"/>
          <w:sz w:val="21"/>
        </w:rPr>
        <w:t>National  </w:t>
      </w:r>
      <w:r>
        <w:rPr>
          <w:spacing w:val="-4"/>
          <w:sz w:val="21"/>
        </w:rPr>
        <w:t>Committee’s  </w:t>
      </w:r>
      <w:r>
        <w:rPr>
          <w:sz w:val="21"/>
        </w:rPr>
        <w:t>recommended  </w:t>
      </w:r>
      <w:r>
        <w:rPr>
          <w:spacing w:val="-3"/>
          <w:sz w:val="21"/>
        </w:rPr>
        <w:t>provisions,  </w:t>
      </w:r>
      <w:r>
        <w:rPr>
          <w:sz w:val="21"/>
        </w:rPr>
        <w:t>as  </w:t>
      </w:r>
      <w:r>
        <w:rPr>
          <w:spacing w:val="-3"/>
          <w:sz w:val="21"/>
        </w:rPr>
        <w:t>implemented  </w:t>
      </w:r>
      <w:r>
        <w:rPr>
          <w:sz w:val="21"/>
        </w:rPr>
        <w:t>in  New  South </w:t>
      </w:r>
      <w:r>
        <w:rPr>
          <w:spacing w:val="-3"/>
          <w:sz w:val="21"/>
        </w:rPr>
        <w:t>Wales, </w:t>
      </w:r>
      <w:r>
        <w:rPr>
          <w:sz w:val="21"/>
        </w:rPr>
        <w:t>would clarify the effect of elections on estate </w:t>
      </w:r>
      <w:r>
        <w:rPr>
          <w:spacing w:val="-3"/>
          <w:sz w:val="21"/>
        </w:rPr>
        <w:t>administration </w:t>
      </w:r>
      <w:r>
        <w:rPr>
          <w:sz w:val="21"/>
        </w:rPr>
        <w:t>and the personal </w:t>
      </w:r>
      <w:r>
        <w:rPr>
          <w:spacing w:val="-3"/>
          <w:sz w:val="21"/>
        </w:rPr>
        <w:t>representative’s </w:t>
      </w:r>
      <w:r>
        <w:rPr>
          <w:sz w:val="21"/>
        </w:rPr>
        <w:t>duties </w:t>
      </w:r>
      <w:r>
        <w:rPr>
          <w:spacing w:val="-3"/>
          <w:sz w:val="21"/>
        </w:rPr>
        <w:t>to </w:t>
      </w:r>
      <w:r>
        <w:rPr>
          <w:spacing w:val="-2"/>
          <w:sz w:val="21"/>
        </w:rPr>
        <w:t>pay </w:t>
      </w:r>
      <w:r>
        <w:rPr>
          <w:sz w:val="21"/>
        </w:rPr>
        <w:t>debts and </w:t>
      </w:r>
      <w:r>
        <w:rPr>
          <w:spacing w:val="-3"/>
          <w:sz w:val="21"/>
        </w:rPr>
        <w:t>liabilities </w:t>
      </w:r>
      <w:r>
        <w:rPr>
          <w:sz w:val="21"/>
        </w:rPr>
        <w:t>of the </w:t>
      </w:r>
      <w:r>
        <w:rPr>
          <w:spacing w:val="-3"/>
          <w:sz w:val="21"/>
        </w:rPr>
        <w:t>estate. </w:t>
      </w:r>
      <w:r>
        <w:rPr>
          <w:sz w:val="21"/>
        </w:rPr>
        <w:t>In New South </w:t>
      </w:r>
      <w:r>
        <w:rPr>
          <w:spacing w:val="-3"/>
          <w:sz w:val="21"/>
        </w:rPr>
        <w:t>Wales, </w:t>
      </w:r>
      <w:r>
        <w:rPr>
          <w:sz w:val="21"/>
        </w:rPr>
        <w:t>the election </w:t>
      </w:r>
      <w:r>
        <w:rPr>
          <w:spacing w:val="-3"/>
          <w:sz w:val="21"/>
        </w:rPr>
        <w:t>provisions </w:t>
      </w:r>
      <w:r>
        <w:rPr>
          <w:sz w:val="21"/>
        </w:rPr>
        <w:t>apply </w:t>
      </w:r>
      <w:r>
        <w:rPr>
          <w:spacing w:val="-3"/>
          <w:sz w:val="21"/>
        </w:rPr>
        <w:t>to any </w:t>
      </w:r>
      <w:r>
        <w:rPr>
          <w:sz w:val="21"/>
        </w:rPr>
        <w:t>property in the </w:t>
      </w:r>
      <w:r>
        <w:rPr>
          <w:spacing w:val="-3"/>
          <w:sz w:val="21"/>
        </w:rPr>
        <w:t>‘intestate estate’—that </w:t>
      </w:r>
      <w:r>
        <w:rPr>
          <w:sz w:val="21"/>
        </w:rPr>
        <w:t>is, in the case of a deceased person who </w:t>
      </w:r>
      <w:r>
        <w:rPr>
          <w:spacing w:val="-3"/>
          <w:sz w:val="21"/>
        </w:rPr>
        <w:t>leaves </w:t>
      </w:r>
      <w:r>
        <w:rPr>
          <w:sz w:val="21"/>
        </w:rPr>
        <w:t>a </w:t>
      </w:r>
      <w:r>
        <w:rPr>
          <w:spacing w:val="-3"/>
          <w:sz w:val="21"/>
        </w:rPr>
        <w:t>will, </w:t>
      </w:r>
      <w:r>
        <w:rPr>
          <w:sz w:val="21"/>
        </w:rPr>
        <w:t>property </w:t>
      </w:r>
      <w:r>
        <w:rPr>
          <w:spacing w:val="-2"/>
          <w:sz w:val="21"/>
        </w:rPr>
        <w:t>not </w:t>
      </w:r>
      <w:r>
        <w:rPr>
          <w:sz w:val="21"/>
        </w:rPr>
        <w:t>effectively disposed of by </w:t>
      </w:r>
      <w:r>
        <w:rPr>
          <w:spacing w:val="-3"/>
          <w:sz w:val="21"/>
        </w:rPr>
        <w:t>will and, </w:t>
      </w:r>
      <w:r>
        <w:rPr>
          <w:sz w:val="21"/>
        </w:rPr>
        <w:t>in </w:t>
      </w:r>
      <w:r>
        <w:rPr>
          <w:spacing w:val="-3"/>
          <w:sz w:val="21"/>
        </w:rPr>
        <w:t>all </w:t>
      </w:r>
      <w:r>
        <w:rPr>
          <w:sz w:val="21"/>
        </w:rPr>
        <w:t>other cases, property left by the deceased </w:t>
      </w:r>
      <w:r>
        <w:rPr>
          <w:spacing w:val="-4"/>
          <w:sz w:val="21"/>
        </w:rPr>
        <w:t>person.</w:t>
      </w:r>
      <w:r>
        <w:rPr>
          <w:spacing w:val="-4"/>
          <w:position w:val="7"/>
          <w:sz w:val="12"/>
        </w:rPr>
        <w:t>162 </w:t>
      </w:r>
      <w:r>
        <w:rPr>
          <w:sz w:val="21"/>
        </w:rPr>
        <w:t>This </w:t>
      </w:r>
      <w:r>
        <w:rPr>
          <w:spacing w:val="-3"/>
          <w:sz w:val="21"/>
        </w:rPr>
        <w:t>means that </w:t>
      </w:r>
      <w:r>
        <w:rPr>
          <w:sz w:val="21"/>
        </w:rPr>
        <w:t>the partner’s </w:t>
      </w:r>
      <w:r>
        <w:rPr>
          <w:spacing w:val="-3"/>
          <w:sz w:val="21"/>
        </w:rPr>
        <w:t>right </w:t>
      </w:r>
      <w:r>
        <w:rPr>
          <w:sz w:val="21"/>
        </w:rPr>
        <w:t>of election applies </w:t>
      </w:r>
      <w:r>
        <w:rPr>
          <w:spacing w:val="-3"/>
          <w:sz w:val="21"/>
        </w:rPr>
        <w:t>to  any  </w:t>
      </w:r>
      <w:r>
        <w:rPr>
          <w:sz w:val="21"/>
        </w:rPr>
        <w:t>property left by the deceased person and </w:t>
      </w:r>
      <w:r>
        <w:rPr>
          <w:spacing w:val="-2"/>
          <w:sz w:val="21"/>
        </w:rPr>
        <w:t>not </w:t>
      </w:r>
      <w:r>
        <w:rPr>
          <w:sz w:val="21"/>
        </w:rPr>
        <w:t>disposed of by </w:t>
      </w:r>
      <w:r>
        <w:rPr>
          <w:spacing w:val="-3"/>
          <w:sz w:val="21"/>
        </w:rPr>
        <w:t>will,  </w:t>
      </w:r>
      <w:r>
        <w:rPr>
          <w:spacing w:val="-2"/>
          <w:sz w:val="21"/>
        </w:rPr>
        <w:t>not </w:t>
      </w:r>
      <w:r>
        <w:rPr>
          <w:sz w:val="21"/>
        </w:rPr>
        <w:t>just </w:t>
      </w:r>
      <w:r>
        <w:rPr>
          <w:spacing w:val="-3"/>
          <w:sz w:val="21"/>
        </w:rPr>
        <w:t>that </w:t>
      </w:r>
      <w:r>
        <w:rPr>
          <w:sz w:val="21"/>
        </w:rPr>
        <w:t>property which </w:t>
      </w:r>
      <w:r>
        <w:rPr>
          <w:spacing w:val="-3"/>
          <w:sz w:val="21"/>
        </w:rPr>
        <w:t>remains </w:t>
      </w:r>
      <w:r>
        <w:rPr>
          <w:sz w:val="21"/>
        </w:rPr>
        <w:t>after </w:t>
      </w:r>
      <w:r>
        <w:rPr>
          <w:spacing w:val="-3"/>
          <w:sz w:val="21"/>
        </w:rPr>
        <w:t>administration </w:t>
      </w:r>
      <w:r>
        <w:rPr>
          <w:sz w:val="21"/>
        </w:rPr>
        <w:t>of the</w:t>
      </w:r>
      <w:r>
        <w:rPr>
          <w:spacing w:val="-12"/>
          <w:sz w:val="21"/>
        </w:rPr>
        <w:t> </w:t>
      </w:r>
      <w:r>
        <w:rPr>
          <w:spacing w:val="-3"/>
          <w:sz w:val="21"/>
        </w:rPr>
        <w:t>estate.</w:t>
      </w:r>
    </w:p>
    <w:p>
      <w:pPr>
        <w:pStyle w:val="ListParagraph"/>
        <w:numPr>
          <w:ilvl w:val="1"/>
          <w:numId w:val="22"/>
        </w:numPr>
        <w:tabs>
          <w:tab w:pos="2381" w:val="left" w:leader="none"/>
          <w:tab w:pos="2382" w:val="left" w:leader="none"/>
        </w:tabs>
        <w:spacing w:line="242" w:lineRule="auto" w:before="128" w:after="0"/>
        <w:ind w:left="2381" w:right="2140" w:hanging="794"/>
        <w:jc w:val="left"/>
        <w:rPr>
          <w:sz w:val="21"/>
        </w:rPr>
      </w:pPr>
      <w:r>
        <w:rPr>
          <w:sz w:val="21"/>
        </w:rPr>
        <w:t>The </w:t>
      </w:r>
      <w:r>
        <w:rPr>
          <w:spacing w:val="-3"/>
          <w:sz w:val="21"/>
        </w:rPr>
        <w:t>legislation </w:t>
      </w:r>
      <w:r>
        <w:rPr>
          <w:sz w:val="21"/>
        </w:rPr>
        <w:t>should also specify </w:t>
      </w:r>
      <w:r>
        <w:rPr>
          <w:spacing w:val="-3"/>
          <w:sz w:val="21"/>
        </w:rPr>
        <w:t>that </w:t>
      </w:r>
      <w:r>
        <w:rPr>
          <w:sz w:val="21"/>
        </w:rPr>
        <w:t>the </w:t>
      </w:r>
      <w:r>
        <w:rPr>
          <w:spacing w:val="-3"/>
          <w:sz w:val="21"/>
        </w:rPr>
        <w:t>onus </w:t>
      </w:r>
      <w:r>
        <w:rPr>
          <w:sz w:val="21"/>
        </w:rPr>
        <w:t>is on the deceased </w:t>
      </w:r>
      <w:r>
        <w:rPr>
          <w:spacing w:val="-3"/>
          <w:sz w:val="21"/>
        </w:rPr>
        <w:t>person’s  </w:t>
      </w:r>
      <w:r>
        <w:rPr>
          <w:sz w:val="21"/>
        </w:rPr>
        <w:t>partner  </w:t>
      </w:r>
      <w:r>
        <w:rPr>
          <w:spacing w:val="-3"/>
          <w:sz w:val="21"/>
        </w:rPr>
        <w:t>to </w:t>
      </w:r>
      <w:r>
        <w:rPr>
          <w:sz w:val="21"/>
        </w:rPr>
        <w:t>apply </w:t>
      </w:r>
      <w:r>
        <w:rPr>
          <w:spacing w:val="-3"/>
          <w:sz w:val="21"/>
        </w:rPr>
        <w:t>to </w:t>
      </w:r>
      <w:r>
        <w:rPr>
          <w:sz w:val="21"/>
        </w:rPr>
        <w:t>the </w:t>
      </w:r>
      <w:r>
        <w:rPr>
          <w:spacing w:val="-3"/>
          <w:sz w:val="21"/>
        </w:rPr>
        <w:t>Court for </w:t>
      </w:r>
      <w:r>
        <w:rPr>
          <w:sz w:val="21"/>
        </w:rPr>
        <w:t>authorisation when </w:t>
      </w:r>
      <w:r>
        <w:rPr>
          <w:spacing w:val="-3"/>
          <w:sz w:val="21"/>
        </w:rPr>
        <w:t>required, </w:t>
      </w:r>
      <w:r>
        <w:rPr>
          <w:sz w:val="21"/>
        </w:rPr>
        <w:t>as they </w:t>
      </w:r>
      <w:r>
        <w:rPr>
          <w:spacing w:val="-3"/>
          <w:sz w:val="21"/>
        </w:rPr>
        <w:t>are </w:t>
      </w:r>
      <w:r>
        <w:rPr>
          <w:sz w:val="21"/>
        </w:rPr>
        <w:t>the party</w:t>
      </w:r>
      <w:r>
        <w:rPr>
          <w:spacing w:val="9"/>
          <w:sz w:val="21"/>
        </w:rPr>
        <w:t> </w:t>
      </w:r>
      <w:r>
        <w:rPr>
          <w:sz w:val="21"/>
        </w:rPr>
        <w:t>seeking</w:t>
      </w:r>
    </w:p>
    <w:p>
      <w:pPr>
        <w:pStyle w:val="BodyText"/>
        <w:spacing w:line="242" w:lineRule="auto" w:before="3"/>
        <w:ind w:left="2381" w:right="1602"/>
      </w:pPr>
      <w:r>
        <w:rPr>
          <w:w w:val="105"/>
        </w:rPr>
        <w:t>authorisation of their election. This was </w:t>
      </w:r>
      <w:r>
        <w:rPr>
          <w:spacing w:val="-2"/>
          <w:w w:val="105"/>
        </w:rPr>
        <w:t>not </w:t>
      </w:r>
      <w:r>
        <w:rPr>
          <w:w w:val="105"/>
        </w:rPr>
        <w:t>made </w:t>
      </w:r>
      <w:r>
        <w:rPr>
          <w:spacing w:val="-3"/>
          <w:w w:val="105"/>
        </w:rPr>
        <w:t>clear </w:t>
      </w:r>
      <w:r>
        <w:rPr>
          <w:w w:val="105"/>
        </w:rPr>
        <w:t>in the </w:t>
      </w:r>
      <w:r>
        <w:rPr>
          <w:spacing w:val="-3"/>
          <w:w w:val="105"/>
        </w:rPr>
        <w:t>National </w:t>
      </w:r>
      <w:r>
        <w:rPr>
          <w:spacing w:val="-4"/>
          <w:w w:val="105"/>
        </w:rPr>
        <w:t>Committee’s </w:t>
      </w:r>
      <w:r>
        <w:rPr>
          <w:w w:val="105"/>
        </w:rPr>
        <w:t>draft </w:t>
      </w:r>
      <w:r>
        <w:rPr>
          <w:spacing w:val="-3"/>
          <w:w w:val="105"/>
        </w:rPr>
        <w:t>provisions </w:t>
      </w:r>
      <w:r>
        <w:rPr>
          <w:w w:val="105"/>
        </w:rPr>
        <w:t>or those </w:t>
      </w:r>
      <w:r>
        <w:rPr>
          <w:spacing w:val="-3"/>
          <w:w w:val="105"/>
        </w:rPr>
        <w:t>implemented </w:t>
      </w:r>
      <w:r>
        <w:rPr>
          <w:w w:val="105"/>
        </w:rPr>
        <w:t>in New South </w:t>
      </w:r>
      <w:r>
        <w:rPr>
          <w:spacing w:val="-3"/>
          <w:w w:val="105"/>
        </w:rPr>
        <w:t>Wales </w:t>
      </w:r>
      <w:r>
        <w:rPr>
          <w:w w:val="105"/>
        </w:rPr>
        <w:t>and </w:t>
      </w:r>
      <w:r>
        <w:rPr>
          <w:spacing w:val="-5"/>
          <w:w w:val="105"/>
        </w:rPr>
        <w:t>Tasmania.</w:t>
      </w:r>
      <w:r>
        <w:rPr>
          <w:spacing w:val="-5"/>
          <w:w w:val="105"/>
          <w:position w:val="7"/>
          <w:sz w:val="12"/>
        </w:rPr>
        <w:t>163 </w:t>
      </w:r>
      <w:r>
        <w:rPr>
          <w:w w:val="105"/>
        </w:rPr>
        <w:t>Otherwise, the </w:t>
      </w:r>
      <w:r>
        <w:rPr>
          <w:spacing w:val="-3"/>
          <w:w w:val="105"/>
        </w:rPr>
        <w:t>Commission </w:t>
      </w:r>
      <w:r>
        <w:rPr>
          <w:w w:val="105"/>
        </w:rPr>
        <w:t>considers </w:t>
      </w:r>
      <w:r>
        <w:rPr>
          <w:spacing w:val="-3"/>
          <w:w w:val="105"/>
        </w:rPr>
        <w:t>that </w:t>
      </w:r>
      <w:r>
        <w:rPr>
          <w:w w:val="105"/>
        </w:rPr>
        <w:t>the </w:t>
      </w:r>
      <w:r>
        <w:rPr>
          <w:spacing w:val="-3"/>
          <w:w w:val="105"/>
        </w:rPr>
        <w:t>National </w:t>
      </w:r>
      <w:r>
        <w:rPr>
          <w:spacing w:val="-4"/>
          <w:w w:val="105"/>
        </w:rPr>
        <w:t>Committee’s </w:t>
      </w:r>
      <w:r>
        <w:rPr>
          <w:spacing w:val="-3"/>
          <w:w w:val="105"/>
        </w:rPr>
        <w:t>recommendations </w:t>
      </w:r>
      <w:r>
        <w:rPr>
          <w:w w:val="105"/>
        </w:rPr>
        <w:t>in </w:t>
      </w:r>
      <w:r>
        <w:rPr>
          <w:spacing w:val="-3"/>
          <w:w w:val="105"/>
        </w:rPr>
        <w:t>relation to </w:t>
      </w:r>
      <w:r>
        <w:rPr>
          <w:w w:val="105"/>
        </w:rPr>
        <w:t>elections should be </w:t>
      </w:r>
      <w:r>
        <w:rPr>
          <w:spacing w:val="-3"/>
          <w:w w:val="105"/>
        </w:rPr>
        <w:t>implemented </w:t>
      </w:r>
      <w:r>
        <w:rPr>
          <w:w w:val="105"/>
        </w:rPr>
        <w:t>in the same </w:t>
      </w:r>
      <w:r>
        <w:rPr>
          <w:spacing w:val="-3"/>
          <w:w w:val="105"/>
        </w:rPr>
        <w:t>manner </w:t>
      </w:r>
      <w:r>
        <w:rPr>
          <w:w w:val="105"/>
        </w:rPr>
        <w:t>as they </w:t>
      </w:r>
      <w:r>
        <w:rPr>
          <w:spacing w:val="-3"/>
          <w:w w:val="105"/>
        </w:rPr>
        <w:t>have </w:t>
      </w:r>
      <w:r>
        <w:rPr>
          <w:w w:val="105"/>
        </w:rPr>
        <w:t>been </w:t>
      </w:r>
      <w:r>
        <w:rPr>
          <w:spacing w:val="-3"/>
          <w:w w:val="105"/>
        </w:rPr>
        <w:t>implemented</w:t>
      </w:r>
    </w:p>
    <w:p>
      <w:pPr>
        <w:spacing w:before="4"/>
        <w:ind w:left="2381" w:right="0" w:firstLine="0"/>
        <w:jc w:val="left"/>
        <w:rPr>
          <w:sz w:val="12"/>
        </w:rPr>
      </w:pPr>
      <w:r>
        <w:rPr>
          <w:w w:val="105"/>
          <w:sz w:val="21"/>
        </w:rPr>
        <w:t>in division 2 of part 4.2 of the </w:t>
      </w:r>
      <w:r>
        <w:rPr>
          <w:i/>
          <w:w w:val="105"/>
          <w:sz w:val="21"/>
        </w:rPr>
        <w:t>Succession Act 2006 </w:t>
      </w:r>
      <w:r>
        <w:rPr>
          <w:w w:val="105"/>
          <w:sz w:val="21"/>
        </w:rPr>
        <w:t>(NSW).</w:t>
      </w:r>
      <w:r>
        <w:rPr>
          <w:w w:val="105"/>
          <w:position w:val="7"/>
          <w:sz w:val="12"/>
        </w:rPr>
        <w:t>164</w:t>
      </w:r>
    </w:p>
    <w:p>
      <w:pPr>
        <w:pStyle w:val="BodyText"/>
        <w:rPr>
          <w:sz w:val="20"/>
        </w:rPr>
      </w:pPr>
    </w:p>
    <w:p>
      <w:pPr>
        <w:pStyle w:val="BodyText"/>
        <w:spacing w:before="9"/>
        <w:rPr>
          <w:sz w:val="15"/>
        </w:rPr>
      </w:pPr>
      <w:r>
        <w:rPr/>
        <w:pict>
          <v:line style="position:absolute;mso-position-horizontal-relative:page;mso-position-vertical-relative:paragraph;z-index:4712;mso-wrap-distance-left:0;mso-wrap-distance-right:0" from="79.370102pt,12.081837pt" to="515.905102pt,12.081837pt" stroked="true" strokeweight="1pt" strokecolor="#f9ceca">
            <v:stroke dashstyle="solid"/>
            <w10:wrap type="topAndBottom"/>
          </v:line>
        </w:pict>
      </w:r>
    </w:p>
    <w:p>
      <w:pPr>
        <w:pStyle w:val="ListParagraph"/>
        <w:numPr>
          <w:ilvl w:val="0"/>
          <w:numId w:val="62"/>
        </w:numPr>
        <w:tabs>
          <w:tab w:pos="2381" w:val="left" w:leader="none"/>
          <w:tab w:pos="2382" w:val="left" w:leader="none"/>
        </w:tabs>
        <w:spacing w:line="240" w:lineRule="auto" w:before="117" w:after="0"/>
        <w:ind w:left="2381" w:right="0" w:hanging="794"/>
        <w:jc w:val="left"/>
        <w:rPr>
          <w:sz w:val="13"/>
        </w:rPr>
      </w:pPr>
      <w:r>
        <w:rPr>
          <w:w w:val="105"/>
          <w:sz w:val="13"/>
        </w:rPr>
        <w:t>Submission 8 (Patricia</w:t>
      </w:r>
      <w:r>
        <w:rPr>
          <w:spacing w:val="13"/>
          <w:w w:val="105"/>
          <w:sz w:val="13"/>
        </w:rPr>
        <w:t> </w:t>
      </w:r>
      <w:r>
        <w:rPr>
          <w:w w:val="105"/>
          <w:sz w:val="13"/>
        </w:rPr>
        <w:t>Strachan).</w:t>
      </w:r>
    </w:p>
    <w:p>
      <w:pPr>
        <w:pStyle w:val="ListParagraph"/>
        <w:numPr>
          <w:ilvl w:val="0"/>
          <w:numId w:val="62"/>
        </w:numPr>
        <w:tabs>
          <w:tab w:pos="2381" w:val="left" w:leader="none"/>
          <w:tab w:pos="2382" w:val="left" w:leader="none"/>
        </w:tabs>
        <w:spacing w:line="240" w:lineRule="auto" w:before="1" w:after="0"/>
        <w:ind w:left="2381" w:right="1849" w:hanging="794"/>
        <w:jc w:val="both"/>
        <w:rPr>
          <w:sz w:val="13"/>
        </w:rPr>
      </w:pPr>
      <w:r>
        <w:rPr>
          <w:w w:val="105"/>
          <w:sz w:val="13"/>
        </w:rPr>
        <w:t>Submissions </w:t>
      </w:r>
      <w:r>
        <w:rPr>
          <w:spacing w:val="-3"/>
          <w:w w:val="105"/>
          <w:sz w:val="13"/>
        </w:rPr>
        <w:t>14 </w:t>
      </w:r>
      <w:r>
        <w:rPr>
          <w:w w:val="105"/>
          <w:sz w:val="13"/>
        </w:rPr>
        <w:t>(Commercial Bar </w:t>
      </w:r>
      <w:r>
        <w:rPr>
          <w:spacing w:val="2"/>
          <w:w w:val="105"/>
          <w:sz w:val="13"/>
        </w:rPr>
        <w:t>Association); </w:t>
      </w:r>
      <w:r>
        <w:rPr>
          <w:spacing w:val="-3"/>
          <w:w w:val="105"/>
          <w:sz w:val="13"/>
        </w:rPr>
        <w:t>19 </w:t>
      </w:r>
      <w:r>
        <w:rPr>
          <w:spacing w:val="2"/>
          <w:w w:val="105"/>
          <w:sz w:val="13"/>
        </w:rPr>
        <w:t>(Association </w:t>
      </w:r>
      <w:r>
        <w:rPr>
          <w:w w:val="105"/>
          <w:sz w:val="13"/>
        </w:rPr>
        <w:t>of Independent Retirees); 25 </w:t>
      </w:r>
      <w:r>
        <w:rPr>
          <w:spacing w:val="2"/>
          <w:w w:val="105"/>
          <w:sz w:val="13"/>
        </w:rPr>
        <w:t>(Moores </w:t>
      </w:r>
      <w:r>
        <w:rPr>
          <w:w w:val="105"/>
          <w:sz w:val="13"/>
        </w:rPr>
        <w:t>Legal); 26 </w:t>
      </w:r>
      <w:r>
        <w:rPr>
          <w:spacing w:val="2"/>
          <w:w w:val="105"/>
          <w:sz w:val="13"/>
        </w:rPr>
        <w:t>(Rigby </w:t>
      </w:r>
      <w:r>
        <w:rPr>
          <w:w w:val="105"/>
          <w:sz w:val="13"/>
        </w:rPr>
        <w:t>Cooke </w:t>
      </w:r>
      <w:r>
        <w:rPr>
          <w:spacing w:val="2"/>
          <w:w w:val="105"/>
          <w:sz w:val="13"/>
        </w:rPr>
        <w:t>Lawyers); 30b </w:t>
      </w:r>
      <w:r>
        <w:rPr>
          <w:spacing w:val="3"/>
          <w:w w:val="105"/>
          <w:sz w:val="13"/>
        </w:rPr>
        <w:t>(Law </w:t>
      </w:r>
      <w:r>
        <w:rPr>
          <w:w w:val="105"/>
          <w:sz w:val="13"/>
        </w:rPr>
        <w:t>Institute of </w:t>
      </w:r>
      <w:r>
        <w:rPr>
          <w:spacing w:val="2"/>
          <w:w w:val="105"/>
          <w:sz w:val="13"/>
        </w:rPr>
        <w:t>Victoria); </w:t>
      </w:r>
      <w:r>
        <w:rPr>
          <w:w w:val="105"/>
          <w:sz w:val="13"/>
        </w:rPr>
        <w:t>32 </w:t>
      </w:r>
      <w:r>
        <w:rPr>
          <w:spacing w:val="2"/>
          <w:w w:val="105"/>
          <w:sz w:val="13"/>
        </w:rPr>
        <w:t>(The </w:t>
      </w:r>
      <w:r>
        <w:rPr>
          <w:w w:val="105"/>
          <w:sz w:val="13"/>
        </w:rPr>
        <w:t>Institute of Legal Executives); 33 (State Trustees Limited); 36 </w:t>
      </w:r>
      <w:r>
        <w:rPr>
          <w:spacing w:val="3"/>
          <w:w w:val="105"/>
          <w:sz w:val="13"/>
        </w:rPr>
        <w:t>(Law </w:t>
      </w:r>
      <w:r>
        <w:rPr>
          <w:w w:val="105"/>
          <w:sz w:val="13"/>
        </w:rPr>
        <w:t>Society of New South Wales); 39 (Carolyn Sparke SC); 40 (Janice</w:t>
      </w:r>
      <w:r>
        <w:rPr>
          <w:spacing w:val="29"/>
          <w:w w:val="105"/>
          <w:sz w:val="13"/>
        </w:rPr>
        <w:t> </w:t>
      </w:r>
      <w:r>
        <w:rPr>
          <w:w w:val="105"/>
          <w:sz w:val="13"/>
        </w:rPr>
        <w:t>Brownfoot).</w:t>
      </w:r>
    </w:p>
    <w:p>
      <w:pPr>
        <w:pStyle w:val="ListParagraph"/>
        <w:numPr>
          <w:ilvl w:val="0"/>
          <w:numId w:val="62"/>
        </w:numPr>
        <w:tabs>
          <w:tab w:pos="2381" w:val="left" w:leader="none"/>
          <w:tab w:pos="2382" w:val="left" w:leader="none"/>
        </w:tabs>
        <w:spacing w:line="240" w:lineRule="auto" w:before="4" w:after="0"/>
        <w:ind w:left="2381" w:right="0" w:hanging="794"/>
        <w:jc w:val="left"/>
        <w:rPr>
          <w:sz w:val="13"/>
        </w:rPr>
      </w:pPr>
      <w:r>
        <w:rPr>
          <w:w w:val="105"/>
          <w:sz w:val="13"/>
        </w:rPr>
        <w:t>Submission 36 </w:t>
      </w:r>
      <w:r>
        <w:rPr>
          <w:spacing w:val="3"/>
          <w:w w:val="105"/>
          <w:sz w:val="13"/>
        </w:rPr>
        <w:t>(Law </w:t>
      </w:r>
      <w:r>
        <w:rPr>
          <w:w w:val="105"/>
          <w:sz w:val="13"/>
        </w:rPr>
        <w:t>Society of New South</w:t>
      </w:r>
      <w:r>
        <w:rPr>
          <w:spacing w:val="29"/>
          <w:w w:val="105"/>
          <w:sz w:val="13"/>
        </w:rPr>
        <w:t> </w:t>
      </w:r>
      <w:r>
        <w:rPr>
          <w:w w:val="105"/>
          <w:sz w:val="13"/>
        </w:rPr>
        <w:t>Wales).</w:t>
      </w:r>
    </w:p>
    <w:p>
      <w:pPr>
        <w:pStyle w:val="ListParagraph"/>
        <w:numPr>
          <w:ilvl w:val="0"/>
          <w:numId w:val="62"/>
        </w:numPr>
        <w:tabs>
          <w:tab w:pos="2381" w:val="left" w:leader="none"/>
          <w:tab w:pos="2382" w:val="left" w:leader="none"/>
        </w:tabs>
        <w:spacing w:line="240" w:lineRule="auto" w:before="2" w:after="0"/>
        <w:ind w:left="2381" w:right="0" w:hanging="794"/>
        <w:jc w:val="left"/>
        <w:rPr>
          <w:sz w:val="13"/>
        </w:rPr>
      </w:pPr>
      <w:r>
        <w:rPr>
          <w:w w:val="105"/>
          <w:sz w:val="13"/>
        </w:rPr>
        <w:t>Submission </w:t>
      </w:r>
      <w:r>
        <w:rPr>
          <w:spacing w:val="-3"/>
          <w:w w:val="105"/>
          <w:sz w:val="13"/>
        </w:rPr>
        <w:t>14 </w:t>
      </w:r>
      <w:r>
        <w:rPr>
          <w:w w:val="105"/>
          <w:sz w:val="13"/>
        </w:rPr>
        <w:t>(Commercial Bar</w:t>
      </w:r>
      <w:r>
        <w:rPr>
          <w:spacing w:val="21"/>
          <w:w w:val="105"/>
          <w:sz w:val="13"/>
        </w:rPr>
        <w:t> </w:t>
      </w:r>
      <w:r>
        <w:rPr>
          <w:spacing w:val="2"/>
          <w:w w:val="105"/>
          <w:sz w:val="13"/>
        </w:rPr>
        <w:t>Association).</w:t>
      </w:r>
    </w:p>
    <w:p>
      <w:pPr>
        <w:pStyle w:val="ListParagraph"/>
        <w:numPr>
          <w:ilvl w:val="0"/>
          <w:numId w:val="62"/>
        </w:numPr>
        <w:tabs>
          <w:tab w:pos="2381" w:val="left" w:leader="none"/>
          <w:tab w:pos="2382" w:val="left" w:leader="none"/>
        </w:tabs>
        <w:spacing w:line="240" w:lineRule="auto" w:before="1" w:after="0"/>
        <w:ind w:left="2381" w:right="0" w:hanging="794"/>
        <w:jc w:val="left"/>
        <w:rPr>
          <w:sz w:val="13"/>
        </w:rPr>
      </w:pPr>
      <w:r>
        <w:rPr>
          <w:w w:val="105"/>
          <w:sz w:val="13"/>
        </w:rPr>
        <w:t>Submission 26 </w:t>
      </w:r>
      <w:r>
        <w:rPr>
          <w:spacing w:val="2"/>
          <w:w w:val="105"/>
          <w:sz w:val="13"/>
        </w:rPr>
        <w:t>(Rigby </w:t>
      </w:r>
      <w:r>
        <w:rPr>
          <w:w w:val="105"/>
          <w:sz w:val="13"/>
        </w:rPr>
        <w:t>Cooke</w:t>
      </w:r>
      <w:r>
        <w:rPr>
          <w:spacing w:val="16"/>
          <w:w w:val="105"/>
          <w:sz w:val="13"/>
        </w:rPr>
        <w:t> </w:t>
      </w:r>
      <w:r>
        <w:rPr>
          <w:spacing w:val="2"/>
          <w:w w:val="105"/>
          <w:sz w:val="13"/>
        </w:rPr>
        <w:t>Lawyers).</w:t>
      </w:r>
    </w:p>
    <w:p>
      <w:pPr>
        <w:pStyle w:val="ListParagraph"/>
        <w:numPr>
          <w:ilvl w:val="0"/>
          <w:numId w:val="62"/>
        </w:numPr>
        <w:tabs>
          <w:tab w:pos="2381" w:val="left" w:leader="none"/>
          <w:tab w:pos="2382" w:val="left" w:leader="none"/>
        </w:tabs>
        <w:spacing w:line="240" w:lineRule="auto" w:before="1" w:after="0"/>
        <w:ind w:left="2381" w:right="0" w:hanging="794"/>
        <w:jc w:val="left"/>
        <w:rPr>
          <w:sz w:val="13"/>
        </w:rPr>
      </w:pPr>
      <w:r>
        <w:rPr>
          <w:w w:val="105"/>
          <w:sz w:val="13"/>
        </w:rPr>
        <w:t>Submission 8 (Patricia</w:t>
      </w:r>
      <w:r>
        <w:rPr>
          <w:spacing w:val="13"/>
          <w:w w:val="105"/>
          <w:sz w:val="13"/>
        </w:rPr>
        <w:t> </w:t>
      </w:r>
      <w:r>
        <w:rPr>
          <w:w w:val="105"/>
          <w:sz w:val="13"/>
        </w:rPr>
        <w:t>Strachan).</w:t>
      </w:r>
    </w:p>
    <w:p>
      <w:pPr>
        <w:pStyle w:val="ListParagraph"/>
        <w:numPr>
          <w:ilvl w:val="0"/>
          <w:numId w:val="62"/>
        </w:numPr>
        <w:tabs>
          <w:tab w:pos="2381" w:val="left" w:leader="none"/>
          <w:tab w:pos="2382" w:val="left" w:leader="none"/>
        </w:tabs>
        <w:spacing w:line="240" w:lineRule="auto" w:before="2" w:after="0"/>
        <w:ind w:left="2381" w:right="0" w:hanging="794"/>
        <w:jc w:val="left"/>
        <w:rPr>
          <w:sz w:val="13"/>
        </w:rPr>
      </w:pPr>
      <w:r>
        <w:rPr>
          <w:w w:val="105"/>
          <w:sz w:val="13"/>
        </w:rPr>
        <w:t>Advisory Committee (Meeting</w:t>
      </w:r>
      <w:r>
        <w:rPr>
          <w:spacing w:val="13"/>
          <w:w w:val="105"/>
          <w:sz w:val="13"/>
        </w:rPr>
        <w:t> </w:t>
      </w:r>
      <w:r>
        <w:rPr>
          <w:spacing w:val="3"/>
          <w:w w:val="105"/>
          <w:sz w:val="13"/>
        </w:rPr>
        <w:t>3).</w:t>
      </w:r>
    </w:p>
    <w:p>
      <w:pPr>
        <w:pStyle w:val="ListParagraph"/>
        <w:numPr>
          <w:ilvl w:val="0"/>
          <w:numId w:val="62"/>
        </w:numPr>
        <w:tabs>
          <w:tab w:pos="2381" w:val="left" w:leader="none"/>
          <w:tab w:pos="2382" w:val="left" w:leader="none"/>
        </w:tabs>
        <w:spacing w:line="240" w:lineRule="auto" w:before="1" w:after="0"/>
        <w:ind w:left="2381" w:right="0" w:hanging="794"/>
        <w:jc w:val="left"/>
        <w:rPr>
          <w:sz w:val="13"/>
        </w:rPr>
      </w:pPr>
      <w:r>
        <w:rPr>
          <w:sz w:val="13"/>
        </w:rPr>
        <w:t>Ibid.</w:t>
      </w:r>
    </w:p>
    <w:p>
      <w:pPr>
        <w:pStyle w:val="ListParagraph"/>
        <w:numPr>
          <w:ilvl w:val="0"/>
          <w:numId w:val="62"/>
        </w:numPr>
        <w:tabs>
          <w:tab w:pos="2381" w:val="left" w:leader="none"/>
          <w:tab w:pos="2382" w:val="left" w:leader="none"/>
        </w:tabs>
        <w:spacing w:line="240" w:lineRule="auto" w:before="1" w:after="0"/>
        <w:ind w:left="2381" w:right="0" w:hanging="794"/>
        <w:jc w:val="left"/>
        <w:rPr>
          <w:sz w:val="13"/>
        </w:rPr>
      </w:pPr>
      <w:r>
        <w:rPr>
          <w:w w:val="105"/>
          <w:sz w:val="13"/>
        </w:rPr>
        <w:t>Submission 25 </w:t>
      </w:r>
      <w:r>
        <w:rPr>
          <w:spacing w:val="2"/>
          <w:w w:val="105"/>
          <w:sz w:val="13"/>
        </w:rPr>
        <w:t>(Moores</w:t>
      </w:r>
      <w:r>
        <w:rPr>
          <w:spacing w:val="13"/>
          <w:w w:val="105"/>
          <w:sz w:val="13"/>
        </w:rPr>
        <w:t> </w:t>
      </w:r>
      <w:r>
        <w:rPr>
          <w:w w:val="105"/>
          <w:sz w:val="13"/>
        </w:rPr>
        <w:t>Legal).</w:t>
      </w:r>
    </w:p>
    <w:p>
      <w:pPr>
        <w:pStyle w:val="ListParagraph"/>
        <w:numPr>
          <w:ilvl w:val="0"/>
          <w:numId w:val="62"/>
        </w:numPr>
        <w:tabs>
          <w:tab w:pos="2381" w:val="left" w:leader="none"/>
          <w:tab w:pos="2382" w:val="left" w:leader="none"/>
        </w:tabs>
        <w:spacing w:line="240" w:lineRule="auto" w:before="2" w:after="0"/>
        <w:ind w:left="2381" w:right="0" w:hanging="794"/>
        <w:jc w:val="left"/>
        <w:rPr>
          <w:sz w:val="13"/>
        </w:rPr>
      </w:pPr>
      <w:r>
        <w:rPr>
          <w:w w:val="105"/>
          <w:sz w:val="13"/>
        </w:rPr>
        <w:t>See discussion at </w:t>
      </w:r>
      <w:r>
        <w:rPr>
          <w:spacing w:val="-4"/>
          <w:w w:val="105"/>
          <w:sz w:val="13"/>
        </w:rPr>
        <w:t>[5.117]</w:t>
      </w:r>
      <w:r>
        <w:rPr>
          <w:spacing w:val="18"/>
          <w:w w:val="105"/>
          <w:sz w:val="13"/>
        </w:rPr>
        <w:t> </w:t>
      </w:r>
      <w:r>
        <w:rPr>
          <w:w w:val="105"/>
          <w:sz w:val="13"/>
        </w:rPr>
        <w:t>below.</w:t>
      </w:r>
    </w:p>
    <w:p>
      <w:pPr>
        <w:pStyle w:val="ListParagraph"/>
        <w:numPr>
          <w:ilvl w:val="0"/>
          <w:numId w:val="62"/>
        </w:numPr>
        <w:tabs>
          <w:tab w:pos="2381" w:val="left" w:leader="none"/>
          <w:tab w:pos="2382" w:val="left" w:leader="none"/>
        </w:tabs>
        <w:spacing w:line="240" w:lineRule="auto" w:before="1" w:after="0"/>
        <w:ind w:left="2381" w:right="0" w:hanging="794"/>
        <w:jc w:val="left"/>
        <w:rPr>
          <w:sz w:val="13"/>
        </w:rPr>
      </w:pPr>
      <w:r>
        <w:rPr>
          <w:i/>
          <w:w w:val="105"/>
          <w:sz w:val="13"/>
        </w:rPr>
        <w:t>Succession Act 2006 </w:t>
      </w:r>
      <w:r>
        <w:rPr>
          <w:spacing w:val="3"/>
          <w:w w:val="105"/>
          <w:sz w:val="13"/>
        </w:rPr>
        <w:t>(NSW) </w:t>
      </w:r>
      <w:r>
        <w:rPr>
          <w:w w:val="105"/>
          <w:sz w:val="13"/>
        </w:rPr>
        <w:t>s </w:t>
      </w:r>
      <w:r>
        <w:rPr>
          <w:spacing w:val="-3"/>
          <w:w w:val="105"/>
          <w:sz w:val="13"/>
        </w:rPr>
        <w:t>101 </w:t>
      </w:r>
      <w:r>
        <w:rPr>
          <w:w w:val="105"/>
          <w:sz w:val="13"/>
        </w:rPr>
        <w:t>(definition of ‘intestate</w:t>
      </w:r>
      <w:r>
        <w:rPr>
          <w:spacing w:val="9"/>
          <w:w w:val="105"/>
          <w:sz w:val="13"/>
        </w:rPr>
        <w:t> </w:t>
      </w:r>
      <w:r>
        <w:rPr>
          <w:spacing w:val="2"/>
          <w:w w:val="105"/>
          <w:sz w:val="13"/>
        </w:rPr>
        <w:t>estate’).</w:t>
      </w:r>
    </w:p>
    <w:p>
      <w:pPr>
        <w:pStyle w:val="ListParagraph"/>
        <w:numPr>
          <w:ilvl w:val="0"/>
          <w:numId w:val="62"/>
        </w:numPr>
        <w:tabs>
          <w:tab w:pos="2381" w:val="left" w:leader="none"/>
          <w:tab w:pos="2382" w:val="left" w:leader="none"/>
        </w:tabs>
        <w:spacing w:line="240" w:lineRule="auto" w:before="1" w:after="0"/>
        <w:ind w:left="2381" w:right="0" w:hanging="794"/>
        <w:jc w:val="left"/>
        <w:rPr>
          <w:sz w:val="13"/>
        </w:rPr>
      </w:pPr>
      <w:r>
        <w:rPr>
          <w:w w:val="105"/>
          <w:sz w:val="13"/>
        </w:rPr>
        <w:t>See</w:t>
      </w:r>
      <w:r>
        <w:rPr>
          <w:spacing w:val="5"/>
          <w:w w:val="105"/>
          <w:sz w:val="13"/>
        </w:rPr>
        <w:t> </w:t>
      </w:r>
      <w:r>
        <w:rPr>
          <w:w w:val="105"/>
          <w:sz w:val="13"/>
        </w:rPr>
        <w:t>National</w:t>
      </w:r>
      <w:r>
        <w:rPr>
          <w:spacing w:val="6"/>
          <w:w w:val="105"/>
          <w:sz w:val="13"/>
        </w:rPr>
        <w:t> </w:t>
      </w:r>
      <w:r>
        <w:rPr>
          <w:w w:val="105"/>
          <w:sz w:val="13"/>
        </w:rPr>
        <w:t>Committee</w:t>
      </w:r>
      <w:r>
        <w:rPr>
          <w:spacing w:val="5"/>
          <w:w w:val="105"/>
          <w:sz w:val="13"/>
        </w:rPr>
        <w:t> </w:t>
      </w:r>
      <w:r>
        <w:rPr>
          <w:w w:val="105"/>
          <w:sz w:val="13"/>
        </w:rPr>
        <w:t>for</w:t>
      </w:r>
      <w:r>
        <w:rPr>
          <w:spacing w:val="6"/>
          <w:w w:val="105"/>
          <w:sz w:val="13"/>
        </w:rPr>
        <w:t> </w:t>
      </w:r>
      <w:r>
        <w:rPr>
          <w:w w:val="105"/>
          <w:sz w:val="13"/>
        </w:rPr>
        <w:t>Uniform</w:t>
      </w:r>
      <w:r>
        <w:rPr>
          <w:spacing w:val="6"/>
          <w:w w:val="105"/>
          <w:sz w:val="13"/>
        </w:rPr>
        <w:t> </w:t>
      </w:r>
      <w:r>
        <w:rPr>
          <w:w w:val="105"/>
          <w:sz w:val="13"/>
        </w:rPr>
        <w:t>Succession</w:t>
      </w:r>
      <w:r>
        <w:rPr>
          <w:spacing w:val="5"/>
          <w:w w:val="105"/>
          <w:sz w:val="13"/>
        </w:rPr>
        <w:t> </w:t>
      </w:r>
      <w:r>
        <w:rPr>
          <w:w w:val="105"/>
          <w:sz w:val="13"/>
        </w:rPr>
        <w:t>Laws,</w:t>
      </w:r>
      <w:r>
        <w:rPr>
          <w:spacing w:val="6"/>
          <w:w w:val="105"/>
          <w:sz w:val="13"/>
        </w:rPr>
        <w:t> </w:t>
      </w:r>
      <w:r>
        <w:rPr>
          <w:w w:val="105"/>
          <w:sz w:val="13"/>
        </w:rPr>
        <w:t>above</w:t>
      </w:r>
      <w:r>
        <w:rPr>
          <w:spacing w:val="6"/>
          <w:w w:val="105"/>
          <w:sz w:val="13"/>
        </w:rPr>
        <w:t> </w:t>
      </w:r>
      <w:r>
        <w:rPr>
          <w:w w:val="105"/>
          <w:sz w:val="13"/>
        </w:rPr>
        <w:t>n</w:t>
      </w:r>
      <w:r>
        <w:rPr>
          <w:spacing w:val="5"/>
          <w:w w:val="105"/>
          <w:sz w:val="13"/>
        </w:rPr>
        <w:t> </w:t>
      </w:r>
      <w:r>
        <w:rPr>
          <w:w w:val="105"/>
          <w:sz w:val="13"/>
        </w:rPr>
        <w:t>10,</w:t>
      </w:r>
      <w:r>
        <w:rPr>
          <w:spacing w:val="6"/>
          <w:w w:val="105"/>
          <w:sz w:val="13"/>
        </w:rPr>
        <w:t> </w:t>
      </w:r>
      <w:r>
        <w:rPr>
          <w:w w:val="105"/>
          <w:sz w:val="13"/>
        </w:rPr>
        <w:t>Draft</w:t>
      </w:r>
      <w:r>
        <w:rPr>
          <w:spacing w:val="6"/>
          <w:w w:val="105"/>
          <w:sz w:val="13"/>
        </w:rPr>
        <w:t> </w:t>
      </w:r>
      <w:r>
        <w:rPr>
          <w:w w:val="105"/>
          <w:sz w:val="13"/>
        </w:rPr>
        <w:t>Intestacy</w:t>
      </w:r>
      <w:r>
        <w:rPr>
          <w:spacing w:val="5"/>
          <w:w w:val="105"/>
          <w:sz w:val="13"/>
        </w:rPr>
        <w:t> </w:t>
      </w:r>
      <w:r>
        <w:rPr>
          <w:w w:val="105"/>
          <w:sz w:val="13"/>
        </w:rPr>
        <w:t>Bill</w:t>
      </w:r>
      <w:r>
        <w:rPr>
          <w:spacing w:val="6"/>
          <w:w w:val="105"/>
          <w:sz w:val="13"/>
        </w:rPr>
        <w:t> </w:t>
      </w:r>
      <w:r>
        <w:rPr>
          <w:w w:val="105"/>
          <w:sz w:val="13"/>
        </w:rPr>
        <w:t>2006</w:t>
      </w:r>
      <w:r>
        <w:rPr>
          <w:spacing w:val="6"/>
          <w:w w:val="105"/>
          <w:sz w:val="13"/>
        </w:rPr>
        <w:t> </w:t>
      </w:r>
      <w:r>
        <w:rPr>
          <w:w w:val="105"/>
          <w:sz w:val="13"/>
        </w:rPr>
        <w:t>cl</w:t>
      </w:r>
      <w:r>
        <w:rPr>
          <w:spacing w:val="5"/>
          <w:w w:val="105"/>
          <w:sz w:val="13"/>
        </w:rPr>
        <w:t> </w:t>
      </w:r>
      <w:r>
        <w:rPr>
          <w:spacing w:val="2"/>
          <w:w w:val="105"/>
          <w:sz w:val="13"/>
        </w:rPr>
        <w:t>16(2);</w:t>
      </w:r>
      <w:r>
        <w:rPr>
          <w:spacing w:val="6"/>
          <w:w w:val="105"/>
          <w:sz w:val="13"/>
        </w:rPr>
        <w:t> </w:t>
      </w:r>
      <w:r>
        <w:rPr>
          <w:i/>
          <w:w w:val="105"/>
          <w:sz w:val="13"/>
        </w:rPr>
        <w:t>Succession</w:t>
      </w:r>
      <w:r>
        <w:rPr>
          <w:i/>
          <w:spacing w:val="4"/>
          <w:w w:val="105"/>
          <w:sz w:val="13"/>
        </w:rPr>
        <w:t> </w:t>
      </w:r>
      <w:r>
        <w:rPr>
          <w:i/>
          <w:w w:val="105"/>
          <w:sz w:val="13"/>
        </w:rPr>
        <w:t>Act</w:t>
      </w:r>
      <w:r>
        <w:rPr>
          <w:i/>
          <w:spacing w:val="5"/>
          <w:w w:val="105"/>
          <w:sz w:val="13"/>
        </w:rPr>
        <w:t> </w:t>
      </w:r>
      <w:r>
        <w:rPr>
          <w:i/>
          <w:w w:val="105"/>
          <w:sz w:val="13"/>
        </w:rPr>
        <w:t>2006</w:t>
      </w:r>
      <w:r>
        <w:rPr>
          <w:i/>
          <w:spacing w:val="6"/>
          <w:w w:val="105"/>
          <w:sz w:val="13"/>
        </w:rPr>
        <w:t> </w:t>
      </w:r>
      <w:r>
        <w:rPr>
          <w:spacing w:val="3"/>
          <w:w w:val="105"/>
          <w:sz w:val="13"/>
        </w:rPr>
        <w:t>(NSW)</w:t>
      </w:r>
      <w:r>
        <w:rPr>
          <w:spacing w:val="5"/>
          <w:w w:val="105"/>
          <w:sz w:val="13"/>
        </w:rPr>
        <w:t> </w:t>
      </w:r>
      <w:r>
        <w:rPr>
          <w:w w:val="105"/>
          <w:sz w:val="13"/>
        </w:rPr>
        <w:t>s</w:t>
      </w:r>
      <w:r>
        <w:rPr>
          <w:spacing w:val="6"/>
          <w:w w:val="105"/>
          <w:sz w:val="13"/>
        </w:rPr>
        <w:t> </w:t>
      </w:r>
      <w:r>
        <w:rPr>
          <w:spacing w:val="-4"/>
          <w:w w:val="105"/>
          <w:sz w:val="13"/>
        </w:rPr>
        <w:t>115;</w:t>
      </w:r>
    </w:p>
    <w:p>
      <w:pPr>
        <w:spacing w:before="2"/>
        <w:ind w:left="2381" w:right="0" w:firstLine="0"/>
        <w:jc w:val="left"/>
        <w:rPr>
          <w:sz w:val="13"/>
        </w:rPr>
      </w:pPr>
      <w:r>
        <w:rPr/>
        <w:pict>
          <v:shape style="position:absolute;margin-left:549.071472pt;margin-top:2.903966pt;width:13.05pt;height:14.25pt;mso-position-horizontal-relative:page;mso-position-vertical-relative:paragraph;z-index:6784" type="#_x0000_t202" filled="false" stroked="false">
            <v:textbox inset="0,0,0,0">
              <w:txbxContent>
                <w:p>
                  <w:pPr>
                    <w:spacing w:line="284" w:lineRule="exact" w:before="0"/>
                    <w:ind w:left="0" w:right="0" w:firstLine="0"/>
                    <w:jc w:val="left"/>
                    <w:rPr>
                      <w:b/>
                      <w:sz w:val="24"/>
                    </w:rPr>
                  </w:pPr>
                  <w:r>
                    <w:rPr>
                      <w:b/>
                      <w:color w:val="EC5A4F"/>
                      <w:spacing w:val="-4"/>
                      <w:w w:val="110"/>
                      <w:sz w:val="24"/>
                    </w:rPr>
                    <w:t>75</w:t>
                  </w:r>
                </w:p>
              </w:txbxContent>
            </v:textbox>
            <w10:wrap type="none"/>
          </v:shape>
        </w:pict>
      </w:r>
      <w:r>
        <w:rPr>
          <w:i/>
          <w:sz w:val="13"/>
        </w:rPr>
        <w:t>Intestacy Act 2010 </w:t>
      </w:r>
      <w:r>
        <w:rPr>
          <w:sz w:val="13"/>
        </w:rPr>
        <w:t>(Tas) s 16(2).</w:t>
      </w:r>
    </w:p>
    <w:p>
      <w:pPr>
        <w:pStyle w:val="ListParagraph"/>
        <w:numPr>
          <w:ilvl w:val="0"/>
          <w:numId w:val="62"/>
        </w:numPr>
        <w:tabs>
          <w:tab w:pos="2381" w:val="left" w:leader="none"/>
          <w:tab w:pos="2382" w:val="left" w:leader="none"/>
        </w:tabs>
        <w:spacing w:line="240" w:lineRule="auto" w:before="1" w:after="0"/>
        <w:ind w:left="2381" w:right="0" w:hanging="794"/>
        <w:jc w:val="left"/>
        <w:rPr>
          <w:sz w:val="13"/>
        </w:rPr>
      </w:pPr>
      <w:r>
        <w:rPr>
          <w:i/>
          <w:w w:val="105"/>
          <w:sz w:val="13"/>
        </w:rPr>
        <w:t>Succession Act 2006 </w:t>
      </w:r>
      <w:r>
        <w:rPr>
          <w:spacing w:val="3"/>
          <w:w w:val="105"/>
          <w:sz w:val="13"/>
        </w:rPr>
        <w:t>(NSW) </w:t>
      </w:r>
      <w:r>
        <w:rPr>
          <w:w w:val="105"/>
          <w:sz w:val="13"/>
        </w:rPr>
        <w:t>ss</w:t>
      </w:r>
      <w:r>
        <w:rPr>
          <w:spacing w:val="18"/>
          <w:w w:val="105"/>
          <w:sz w:val="13"/>
        </w:rPr>
        <w:t> </w:t>
      </w:r>
      <w:r>
        <w:rPr>
          <w:spacing w:val="-3"/>
          <w:w w:val="105"/>
          <w:sz w:val="13"/>
        </w:rPr>
        <w:t>114–21.</w:t>
      </w:r>
    </w:p>
    <w:p>
      <w:pPr>
        <w:spacing w:after="0" w:line="240" w:lineRule="auto"/>
        <w:jc w:val="left"/>
        <w:rPr>
          <w:sz w:val="13"/>
        </w:rPr>
        <w:sectPr>
          <w:pgSz w:w="11910" w:h="16840"/>
          <w:pgMar w:header="805" w:footer="0" w:top="1360" w:bottom="280" w:left="0" w:right="0"/>
        </w:sectPr>
      </w:pPr>
    </w:p>
    <w:p>
      <w:pPr>
        <w:pStyle w:val="BodyText"/>
        <w:rPr>
          <w:sz w:val="20"/>
        </w:rPr>
      </w:pPr>
      <w:r>
        <w:rPr/>
        <w:pict>
          <v:group style="position:absolute;margin-left:62.362202pt;margin-top:99.213013pt;width:479.1pt;height:718.55pt;mso-position-horizontal-relative:page;mso-position-vertical-relative:page;z-index:-301648" coordorigin="1247,1984" coordsize="9582,14371">
            <v:rect style="position:absolute;left:1587;top:1984;width:8731;height:14371" filled="true" fillcolor="#fdebea" stroked="false">
              <v:fill type="solid"/>
            </v:rect>
            <v:line style="position:absolute" from="1247,2735" to="10828,2735" stroked="true" strokeweight="2.5pt" strokecolor="#ffffff">
              <v:stroke dashstyle="solid"/>
            </v:line>
            <w10:wrap type="none"/>
          </v:group>
        </w:pict>
      </w:r>
    </w:p>
    <w:p>
      <w:pPr>
        <w:pStyle w:val="BodyText"/>
        <w:spacing w:before="3"/>
        <w:rPr>
          <w:sz w:val="19"/>
        </w:rPr>
      </w:pPr>
    </w:p>
    <w:p>
      <w:pPr>
        <w:spacing w:before="99"/>
        <w:ind w:left="1814" w:right="0" w:firstLine="0"/>
        <w:jc w:val="left"/>
        <w:rPr>
          <w:b/>
          <w:sz w:val="32"/>
        </w:rPr>
      </w:pPr>
      <w:r>
        <w:rPr>
          <w:b/>
          <w:color w:val="EC5A4F"/>
          <w:w w:val="110"/>
          <w:sz w:val="32"/>
        </w:rPr>
        <w:t>Recommendations</w:t>
      </w:r>
    </w:p>
    <w:p>
      <w:pPr>
        <w:pStyle w:val="BodyText"/>
        <w:spacing w:before="1"/>
        <w:rPr>
          <w:b/>
          <w:sz w:val="27"/>
        </w:rPr>
      </w:pPr>
    </w:p>
    <w:p>
      <w:pPr>
        <w:pStyle w:val="ListParagraph"/>
        <w:numPr>
          <w:ilvl w:val="1"/>
          <w:numId w:val="62"/>
        </w:numPr>
        <w:tabs>
          <w:tab w:pos="2381" w:val="left" w:leader="none"/>
          <w:tab w:pos="2382" w:val="left" w:leader="none"/>
        </w:tabs>
        <w:spacing w:line="242" w:lineRule="auto" w:before="97" w:after="0"/>
        <w:ind w:left="2381" w:right="2806" w:hanging="567"/>
        <w:jc w:val="left"/>
        <w:rPr>
          <w:sz w:val="21"/>
        </w:rPr>
      </w:pPr>
      <w:r>
        <w:rPr>
          <w:w w:val="115"/>
          <w:sz w:val="21"/>
        </w:rPr>
        <w:t>The</w:t>
      </w:r>
      <w:r>
        <w:rPr>
          <w:spacing w:val="-9"/>
          <w:w w:val="115"/>
          <w:sz w:val="21"/>
        </w:rPr>
        <w:t> </w:t>
      </w:r>
      <w:r>
        <w:rPr>
          <w:w w:val="115"/>
          <w:sz w:val="21"/>
        </w:rPr>
        <w:t>deceased</w:t>
      </w:r>
      <w:r>
        <w:rPr>
          <w:spacing w:val="-9"/>
          <w:w w:val="115"/>
          <w:sz w:val="21"/>
        </w:rPr>
        <w:t> </w:t>
      </w:r>
      <w:r>
        <w:rPr>
          <w:w w:val="115"/>
          <w:sz w:val="21"/>
        </w:rPr>
        <w:t>person’s</w:t>
      </w:r>
      <w:r>
        <w:rPr>
          <w:spacing w:val="-9"/>
          <w:w w:val="115"/>
          <w:sz w:val="21"/>
        </w:rPr>
        <w:t> </w:t>
      </w:r>
      <w:r>
        <w:rPr>
          <w:w w:val="115"/>
          <w:sz w:val="21"/>
        </w:rPr>
        <w:t>partner</w:t>
      </w:r>
      <w:r>
        <w:rPr>
          <w:spacing w:val="-9"/>
          <w:w w:val="115"/>
          <w:sz w:val="21"/>
        </w:rPr>
        <w:t> </w:t>
      </w:r>
      <w:r>
        <w:rPr>
          <w:w w:val="115"/>
          <w:sz w:val="21"/>
        </w:rPr>
        <w:t>should</w:t>
      </w:r>
      <w:r>
        <w:rPr>
          <w:spacing w:val="-9"/>
          <w:w w:val="115"/>
          <w:sz w:val="21"/>
        </w:rPr>
        <w:t> </w:t>
      </w:r>
      <w:r>
        <w:rPr>
          <w:spacing w:val="-3"/>
          <w:w w:val="115"/>
          <w:sz w:val="21"/>
        </w:rPr>
        <w:t>have</w:t>
      </w:r>
      <w:r>
        <w:rPr>
          <w:spacing w:val="-9"/>
          <w:w w:val="115"/>
          <w:sz w:val="21"/>
        </w:rPr>
        <w:t> </w:t>
      </w:r>
      <w:r>
        <w:rPr>
          <w:w w:val="115"/>
          <w:sz w:val="21"/>
        </w:rPr>
        <w:t>a</w:t>
      </w:r>
      <w:r>
        <w:rPr>
          <w:spacing w:val="-9"/>
          <w:w w:val="115"/>
          <w:sz w:val="21"/>
        </w:rPr>
        <w:t> </w:t>
      </w:r>
      <w:r>
        <w:rPr>
          <w:w w:val="115"/>
          <w:sz w:val="21"/>
        </w:rPr>
        <w:t>right</w:t>
      </w:r>
      <w:r>
        <w:rPr>
          <w:spacing w:val="-9"/>
          <w:w w:val="115"/>
          <w:sz w:val="21"/>
        </w:rPr>
        <w:t> </w:t>
      </w:r>
      <w:r>
        <w:rPr>
          <w:w w:val="115"/>
          <w:sz w:val="21"/>
        </w:rPr>
        <w:t>to</w:t>
      </w:r>
      <w:r>
        <w:rPr>
          <w:spacing w:val="-9"/>
          <w:w w:val="115"/>
          <w:sz w:val="21"/>
        </w:rPr>
        <w:t> </w:t>
      </w:r>
      <w:r>
        <w:rPr>
          <w:w w:val="115"/>
          <w:sz w:val="21"/>
        </w:rPr>
        <w:t>elect</w:t>
      </w:r>
      <w:r>
        <w:rPr>
          <w:spacing w:val="-9"/>
          <w:w w:val="115"/>
          <w:sz w:val="21"/>
        </w:rPr>
        <w:t> </w:t>
      </w:r>
      <w:r>
        <w:rPr>
          <w:w w:val="115"/>
          <w:sz w:val="21"/>
        </w:rPr>
        <w:t>to</w:t>
      </w:r>
      <w:r>
        <w:rPr>
          <w:spacing w:val="-9"/>
          <w:w w:val="115"/>
          <w:sz w:val="21"/>
        </w:rPr>
        <w:t> </w:t>
      </w:r>
      <w:r>
        <w:rPr>
          <w:w w:val="115"/>
          <w:sz w:val="21"/>
        </w:rPr>
        <w:t>acquire an interest in </w:t>
      </w:r>
      <w:r>
        <w:rPr>
          <w:spacing w:val="-2"/>
          <w:w w:val="115"/>
          <w:sz w:val="21"/>
        </w:rPr>
        <w:t>any </w:t>
      </w:r>
      <w:r>
        <w:rPr>
          <w:w w:val="115"/>
          <w:sz w:val="21"/>
        </w:rPr>
        <w:t>property in the intestate estate on</w:t>
      </w:r>
      <w:r>
        <w:rPr>
          <w:spacing w:val="-34"/>
          <w:w w:val="115"/>
          <w:sz w:val="21"/>
        </w:rPr>
        <w:t> </w:t>
      </w:r>
      <w:r>
        <w:rPr>
          <w:w w:val="115"/>
          <w:sz w:val="21"/>
        </w:rPr>
        <w:t>intestacy.</w:t>
      </w:r>
    </w:p>
    <w:p>
      <w:pPr>
        <w:pStyle w:val="ListParagraph"/>
        <w:numPr>
          <w:ilvl w:val="1"/>
          <w:numId w:val="62"/>
        </w:numPr>
        <w:tabs>
          <w:tab w:pos="2381" w:val="left" w:leader="none"/>
          <w:tab w:pos="2382" w:val="left" w:leader="none"/>
        </w:tabs>
        <w:spacing w:line="242" w:lineRule="auto" w:before="122" w:after="0"/>
        <w:ind w:left="2381" w:right="2491" w:hanging="567"/>
        <w:jc w:val="left"/>
        <w:rPr>
          <w:sz w:val="21"/>
        </w:rPr>
      </w:pPr>
      <w:r>
        <w:rPr>
          <w:w w:val="115"/>
          <w:sz w:val="21"/>
        </w:rPr>
        <w:t>If</w:t>
      </w:r>
      <w:r>
        <w:rPr>
          <w:spacing w:val="-12"/>
          <w:w w:val="115"/>
          <w:sz w:val="21"/>
        </w:rPr>
        <w:t> </w:t>
      </w:r>
      <w:r>
        <w:rPr>
          <w:w w:val="115"/>
          <w:sz w:val="21"/>
        </w:rPr>
        <w:t>the</w:t>
      </w:r>
      <w:r>
        <w:rPr>
          <w:spacing w:val="-11"/>
          <w:w w:val="115"/>
          <w:sz w:val="21"/>
        </w:rPr>
        <w:t> </w:t>
      </w:r>
      <w:r>
        <w:rPr>
          <w:w w:val="115"/>
          <w:sz w:val="21"/>
        </w:rPr>
        <w:t>deceased</w:t>
      </w:r>
      <w:r>
        <w:rPr>
          <w:spacing w:val="-11"/>
          <w:w w:val="115"/>
          <w:sz w:val="21"/>
        </w:rPr>
        <w:t> </w:t>
      </w:r>
      <w:r>
        <w:rPr>
          <w:w w:val="115"/>
          <w:sz w:val="21"/>
        </w:rPr>
        <w:t>person’s</w:t>
      </w:r>
      <w:r>
        <w:rPr>
          <w:spacing w:val="-11"/>
          <w:w w:val="115"/>
          <w:sz w:val="21"/>
        </w:rPr>
        <w:t> </w:t>
      </w:r>
      <w:r>
        <w:rPr>
          <w:w w:val="115"/>
          <w:sz w:val="21"/>
        </w:rPr>
        <w:t>partner</w:t>
      </w:r>
      <w:r>
        <w:rPr>
          <w:spacing w:val="-11"/>
          <w:w w:val="115"/>
          <w:sz w:val="21"/>
        </w:rPr>
        <w:t> </w:t>
      </w:r>
      <w:r>
        <w:rPr>
          <w:w w:val="115"/>
          <w:sz w:val="21"/>
        </w:rPr>
        <w:t>elects</w:t>
      </w:r>
      <w:r>
        <w:rPr>
          <w:spacing w:val="-11"/>
          <w:w w:val="115"/>
          <w:sz w:val="21"/>
        </w:rPr>
        <w:t> </w:t>
      </w:r>
      <w:r>
        <w:rPr>
          <w:w w:val="115"/>
          <w:sz w:val="21"/>
        </w:rPr>
        <w:t>to</w:t>
      </w:r>
      <w:r>
        <w:rPr>
          <w:spacing w:val="-11"/>
          <w:w w:val="115"/>
          <w:sz w:val="21"/>
        </w:rPr>
        <w:t> </w:t>
      </w:r>
      <w:r>
        <w:rPr>
          <w:w w:val="115"/>
          <w:sz w:val="21"/>
        </w:rPr>
        <w:t>acquire</w:t>
      </w:r>
      <w:r>
        <w:rPr>
          <w:spacing w:val="-11"/>
          <w:w w:val="115"/>
          <w:sz w:val="21"/>
        </w:rPr>
        <w:t> </w:t>
      </w:r>
      <w:r>
        <w:rPr>
          <w:w w:val="115"/>
          <w:sz w:val="21"/>
        </w:rPr>
        <w:t>an</w:t>
      </w:r>
      <w:r>
        <w:rPr>
          <w:spacing w:val="-11"/>
          <w:w w:val="115"/>
          <w:sz w:val="21"/>
        </w:rPr>
        <w:t> </w:t>
      </w:r>
      <w:r>
        <w:rPr>
          <w:w w:val="115"/>
          <w:sz w:val="21"/>
        </w:rPr>
        <w:t>interest</w:t>
      </w:r>
      <w:r>
        <w:rPr>
          <w:spacing w:val="-12"/>
          <w:w w:val="115"/>
          <w:sz w:val="21"/>
        </w:rPr>
        <w:t> </w:t>
      </w:r>
      <w:r>
        <w:rPr>
          <w:w w:val="115"/>
          <w:sz w:val="21"/>
        </w:rPr>
        <w:t>in</w:t>
      </w:r>
      <w:r>
        <w:rPr>
          <w:spacing w:val="-11"/>
          <w:w w:val="115"/>
          <w:sz w:val="21"/>
        </w:rPr>
        <w:t> </w:t>
      </w:r>
      <w:r>
        <w:rPr>
          <w:w w:val="115"/>
          <w:sz w:val="21"/>
        </w:rPr>
        <w:t>property from</w:t>
      </w:r>
      <w:r>
        <w:rPr>
          <w:spacing w:val="-8"/>
          <w:w w:val="115"/>
          <w:sz w:val="21"/>
        </w:rPr>
        <w:t> </w:t>
      </w:r>
      <w:r>
        <w:rPr>
          <w:w w:val="115"/>
          <w:sz w:val="21"/>
        </w:rPr>
        <w:t>the</w:t>
      </w:r>
      <w:r>
        <w:rPr>
          <w:spacing w:val="-8"/>
          <w:w w:val="115"/>
          <w:sz w:val="21"/>
        </w:rPr>
        <w:t> </w:t>
      </w:r>
      <w:r>
        <w:rPr>
          <w:w w:val="115"/>
          <w:sz w:val="21"/>
        </w:rPr>
        <w:t>intestate</w:t>
      </w:r>
      <w:r>
        <w:rPr>
          <w:spacing w:val="-8"/>
          <w:w w:val="115"/>
          <w:sz w:val="21"/>
        </w:rPr>
        <w:t> </w:t>
      </w:r>
      <w:r>
        <w:rPr>
          <w:w w:val="115"/>
          <w:sz w:val="21"/>
        </w:rPr>
        <w:t>estate,</w:t>
      </w:r>
      <w:r>
        <w:rPr>
          <w:spacing w:val="-8"/>
          <w:w w:val="115"/>
          <w:sz w:val="21"/>
        </w:rPr>
        <w:t> </w:t>
      </w:r>
      <w:r>
        <w:rPr>
          <w:w w:val="115"/>
          <w:sz w:val="21"/>
        </w:rPr>
        <w:t>they</w:t>
      </w:r>
      <w:r>
        <w:rPr>
          <w:spacing w:val="-8"/>
          <w:w w:val="115"/>
          <w:sz w:val="21"/>
        </w:rPr>
        <w:t> </w:t>
      </w:r>
      <w:r>
        <w:rPr>
          <w:w w:val="115"/>
          <w:sz w:val="21"/>
        </w:rPr>
        <w:t>should</w:t>
      </w:r>
      <w:r>
        <w:rPr>
          <w:spacing w:val="-8"/>
          <w:w w:val="115"/>
          <w:sz w:val="21"/>
        </w:rPr>
        <w:t> </w:t>
      </w:r>
      <w:r>
        <w:rPr>
          <w:w w:val="115"/>
          <w:sz w:val="21"/>
        </w:rPr>
        <w:t>satisfy</w:t>
      </w:r>
      <w:r>
        <w:rPr>
          <w:spacing w:val="-8"/>
          <w:w w:val="115"/>
          <w:sz w:val="21"/>
        </w:rPr>
        <w:t> </w:t>
      </w:r>
      <w:r>
        <w:rPr>
          <w:w w:val="115"/>
          <w:sz w:val="21"/>
        </w:rPr>
        <w:t>the</w:t>
      </w:r>
      <w:r>
        <w:rPr>
          <w:spacing w:val="-8"/>
          <w:w w:val="115"/>
          <w:sz w:val="21"/>
        </w:rPr>
        <w:t> </w:t>
      </w:r>
      <w:r>
        <w:rPr>
          <w:w w:val="115"/>
          <w:sz w:val="21"/>
        </w:rPr>
        <w:t>price</w:t>
      </w:r>
      <w:r>
        <w:rPr>
          <w:spacing w:val="-8"/>
          <w:w w:val="115"/>
          <w:sz w:val="21"/>
        </w:rPr>
        <w:t> </w:t>
      </w:r>
      <w:r>
        <w:rPr>
          <w:w w:val="115"/>
          <w:sz w:val="21"/>
        </w:rPr>
        <w:t>of</w:t>
      </w:r>
      <w:r>
        <w:rPr>
          <w:spacing w:val="-8"/>
          <w:w w:val="115"/>
          <w:sz w:val="21"/>
        </w:rPr>
        <w:t> </w:t>
      </w:r>
      <w:r>
        <w:rPr>
          <w:w w:val="115"/>
          <w:sz w:val="21"/>
        </w:rPr>
        <w:t>this</w:t>
      </w:r>
      <w:r>
        <w:rPr>
          <w:spacing w:val="-8"/>
          <w:w w:val="115"/>
          <w:sz w:val="21"/>
        </w:rPr>
        <w:t> </w:t>
      </w:r>
      <w:r>
        <w:rPr>
          <w:w w:val="115"/>
          <w:sz w:val="21"/>
        </w:rPr>
        <w:t>interest:</w:t>
      </w:r>
    </w:p>
    <w:p>
      <w:pPr>
        <w:pStyle w:val="ListParagraph"/>
        <w:numPr>
          <w:ilvl w:val="2"/>
          <w:numId w:val="62"/>
        </w:numPr>
        <w:tabs>
          <w:tab w:pos="2722" w:val="left" w:leader="none"/>
        </w:tabs>
        <w:spacing w:line="242" w:lineRule="auto" w:before="122" w:after="0"/>
        <w:ind w:left="2721" w:right="1972" w:hanging="340"/>
        <w:jc w:val="left"/>
        <w:rPr>
          <w:sz w:val="21"/>
        </w:rPr>
      </w:pPr>
      <w:r>
        <w:rPr>
          <w:w w:val="115"/>
          <w:sz w:val="21"/>
        </w:rPr>
        <w:t>first</w:t>
      </w:r>
      <w:r>
        <w:rPr>
          <w:spacing w:val="-8"/>
          <w:w w:val="115"/>
          <w:sz w:val="21"/>
        </w:rPr>
        <w:t> </w:t>
      </w:r>
      <w:r>
        <w:rPr>
          <w:w w:val="115"/>
          <w:sz w:val="21"/>
        </w:rPr>
        <w:t>from</w:t>
      </w:r>
      <w:r>
        <w:rPr>
          <w:spacing w:val="-7"/>
          <w:w w:val="115"/>
          <w:sz w:val="21"/>
        </w:rPr>
        <w:t> </w:t>
      </w:r>
      <w:r>
        <w:rPr>
          <w:w w:val="115"/>
          <w:sz w:val="21"/>
        </w:rPr>
        <w:t>money</w:t>
      </w:r>
      <w:r>
        <w:rPr>
          <w:spacing w:val="-8"/>
          <w:w w:val="115"/>
          <w:sz w:val="21"/>
        </w:rPr>
        <w:t> </w:t>
      </w:r>
      <w:r>
        <w:rPr>
          <w:w w:val="115"/>
          <w:sz w:val="21"/>
        </w:rPr>
        <w:t>to</w:t>
      </w:r>
      <w:r>
        <w:rPr>
          <w:spacing w:val="-7"/>
          <w:w w:val="115"/>
          <w:sz w:val="21"/>
        </w:rPr>
        <w:t> </w:t>
      </w:r>
      <w:r>
        <w:rPr>
          <w:w w:val="115"/>
          <w:sz w:val="21"/>
        </w:rPr>
        <w:t>which</w:t>
      </w:r>
      <w:r>
        <w:rPr>
          <w:spacing w:val="-8"/>
          <w:w w:val="115"/>
          <w:sz w:val="21"/>
        </w:rPr>
        <w:t> </w:t>
      </w:r>
      <w:r>
        <w:rPr>
          <w:w w:val="115"/>
          <w:sz w:val="21"/>
        </w:rPr>
        <w:t>the</w:t>
      </w:r>
      <w:r>
        <w:rPr>
          <w:spacing w:val="-7"/>
          <w:w w:val="115"/>
          <w:sz w:val="21"/>
        </w:rPr>
        <w:t> </w:t>
      </w:r>
      <w:r>
        <w:rPr>
          <w:w w:val="115"/>
          <w:sz w:val="21"/>
        </w:rPr>
        <w:t>partner</w:t>
      </w:r>
      <w:r>
        <w:rPr>
          <w:spacing w:val="-8"/>
          <w:w w:val="115"/>
          <w:sz w:val="21"/>
        </w:rPr>
        <w:t> </w:t>
      </w:r>
      <w:r>
        <w:rPr>
          <w:w w:val="115"/>
          <w:sz w:val="21"/>
        </w:rPr>
        <w:t>is</w:t>
      </w:r>
      <w:r>
        <w:rPr>
          <w:spacing w:val="-7"/>
          <w:w w:val="115"/>
          <w:sz w:val="21"/>
        </w:rPr>
        <w:t> </w:t>
      </w:r>
      <w:r>
        <w:rPr>
          <w:w w:val="115"/>
          <w:sz w:val="21"/>
        </w:rPr>
        <w:t>entitled</w:t>
      </w:r>
      <w:r>
        <w:rPr>
          <w:spacing w:val="-7"/>
          <w:w w:val="115"/>
          <w:sz w:val="21"/>
        </w:rPr>
        <w:t> </w:t>
      </w:r>
      <w:r>
        <w:rPr>
          <w:w w:val="115"/>
          <w:sz w:val="21"/>
        </w:rPr>
        <w:t>from</w:t>
      </w:r>
      <w:r>
        <w:rPr>
          <w:spacing w:val="-8"/>
          <w:w w:val="115"/>
          <w:sz w:val="21"/>
        </w:rPr>
        <w:t> </w:t>
      </w:r>
      <w:r>
        <w:rPr>
          <w:w w:val="115"/>
          <w:sz w:val="21"/>
        </w:rPr>
        <w:t>the</w:t>
      </w:r>
      <w:r>
        <w:rPr>
          <w:spacing w:val="-7"/>
          <w:w w:val="115"/>
          <w:sz w:val="21"/>
        </w:rPr>
        <w:t> </w:t>
      </w:r>
      <w:r>
        <w:rPr>
          <w:w w:val="115"/>
          <w:sz w:val="21"/>
        </w:rPr>
        <w:t>intestate</w:t>
      </w:r>
      <w:r>
        <w:rPr>
          <w:spacing w:val="-8"/>
          <w:w w:val="115"/>
          <w:sz w:val="21"/>
        </w:rPr>
        <w:t> </w:t>
      </w:r>
      <w:r>
        <w:rPr>
          <w:w w:val="115"/>
          <w:sz w:val="21"/>
        </w:rPr>
        <w:t>estate and, if that is</w:t>
      </w:r>
      <w:r>
        <w:rPr>
          <w:spacing w:val="3"/>
          <w:w w:val="115"/>
          <w:sz w:val="21"/>
        </w:rPr>
        <w:t> </w:t>
      </w:r>
      <w:r>
        <w:rPr>
          <w:w w:val="115"/>
          <w:sz w:val="21"/>
        </w:rPr>
        <w:t>insufficient,</w:t>
      </w:r>
    </w:p>
    <w:p>
      <w:pPr>
        <w:pStyle w:val="ListParagraph"/>
        <w:numPr>
          <w:ilvl w:val="2"/>
          <w:numId w:val="62"/>
        </w:numPr>
        <w:tabs>
          <w:tab w:pos="2722" w:val="left" w:leader="none"/>
        </w:tabs>
        <w:spacing w:line="242" w:lineRule="auto" w:before="122" w:after="0"/>
        <w:ind w:left="2721" w:right="2582" w:hanging="340"/>
        <w:jc w:val="left"/>
        <w:rPr>
          <w:sz w:val="21"/>
        </w:rPr>
      </w:pPr>
      <w:r>
        <w:rPr>
          <w:w w:val="115"/>
          <w:sz w:val="21"/>
        </w:rPr>
        <w:t>from</w:t>
      </w:r>
      <w:r>
        <w:rPr>
          <w:spacing w:val="-5"/>
          <w:w w:val="115"/>
          <w:sz w:val="21"/>
        </w:rPr>
        <w:t> </w:t>
      </w:r>
      <w:r>
        <w:rPr>
          <w:w w:val="115"/>
          <w:sz w:val="21"/>
        </w:rPr>
        <w:t>money</w:t>
      </w:r>
      <w:r>
        <w:rPr>
          <w:spacing w:val="-5"/>
          <w:w w:val="115"/>
          <w:sz w:val="21"/>
        </w:rPr>
        <w:t> </w:t>
      </w:r>
      <w:r>
        <w:rPr>
          <w:w w:val="115"/>
          <w:sz w:val="21"/>
        </w:rPr>
        <w:t>paid</w:t>
      </w:r>
      <w:r>
        <w:rPr>
          <w:spacing w:val="-4"/>
          <w:w w:val="115"/>
          <w:sz w:val="21"/>
        </w:rPr>
        <w:t> </w:t>
      </w:r>
      <w:r>
        <w:rPr>
          <w:w w:val="115"/>
          <w:sz w:val="21"/>
        </w:rPr>
        <w:t>by</w:t>
      </w:r>
      <w:r>
        <w:rPr>
          <w:spacing w:val="-5"/>
          <w:w w:val="115"/>
          <w:sz w:val="21"/>
        </w:rPr>
        <w:t> </w:t>
      </w:r>
      <w:r>
        <w:rPr>
          <w:w w:val="115"/>
          <w:sz w:val="21"/>
        </w:rPr>
        <w:t>the</w:t>
      </w:r>
      <w:r>
        <w:rPr>
          <w:spacing w:val="-4"/>
          <w:w w:val="115"/>
          <w:sz w:val="21"/>
        </w:rPr>
        <w:t> </w:t>
      </w:r>
      <w:r>
        <w:rPr>
          <w:w w:val="115"/>
          <w:sz w:val="21"/>
        </w:rPr>
        <w:t>partner</w:t>
      </w:r>
      <w:r>
        <w:rPr>
          <w:spacing w:val="-5"/>
          <w:w w:val="115"/>
          <w:sz w:val="21"/>
        </w:rPr>
        <w:t> </w:t>
      </w:r>
      <w:r>
        <w:rPr>
          <w:w w:val="115"/>
          <w:sz w:val="21"/>
        </w:rPr>
        <w:t>to</w:t>
      </w:r>
      <w:r>
        <w:rPr>
          <w:spacing w:val="-5"/>
          <w:w w:val="115"/>
          <w:sz w:val="21"/>
        </w:rPr>
        <w:t> </w:t>
      </w:r>
      <w:r>
        <w:rPr>
          <w:w w:val="115"/>
          <w:sz w:val="21"/>
        </w:rPr>
        <w:t>the</w:t>
      </w:r>
      <w:r>
        <w:rPr>
          <w:spacing w:val="-4"/>
          <w:w w:val="115"/>
          <w:sz w:val="21"/>
        </w:rPr>
        <w:t> </w:t>
      </w:r>
      <w:r>
        <w:rPr>
          <w:w w:val="115"/>
          <w:sz w:val="21"/>
        </w:rPr>
        <w:t>estate</w:t>
      </w:r>
      <w:r>
        <w:rPr>
          <w:spacing w:val="-5"/>
          <w:w w:val="115"/>
          <w:sz w:val="21"/>
        </w:rPr>
        <w:t> </w:t>
      </w:r>
      <w:r>
        <w:rPr>
          <w:w w:val="115"/>
          <w:sz w:val="21"/>
        </w:rPr>
        <w:t>on</w:t>
      </w:r>
      <w:r>
        <w:rPr>
          <w:spacing w:val="-4"/>
          <w:w w:val="115"/>
          <w:sz w:val="21"/>
        </w:rPr>
        <w:t> </w:t>
      </w:r>
      <w:r>
        <w:rPr>
          <w:w w:val="115"/>
          <w:sz w:val="21"/>
        </w:rPr>
        <w:t>or</w:t>
      </w:r>
      <w:r>
        <w:rPr>
          <w:spacing w:val="-5"/>
          <w:w w:val="115"/>
          <w:sz w:val="21"/>
        </w:rPr>
        <w:t> </w:t>
      </w:r>
      <w:r>
        <w:rPr>
          <w:w w:val="115"/>
          <w:sz w:val="21"/>
        </w:rPr>
        <w:t>before</w:t>
      </w:r>
      <w:r>
        <w:rPr>
          <w:spacing w:val="-4"/>
          <w:w w:val="115"/>
          <w:sz w:val="21"/>
        </w:rPr>
        <w:t> </w:t>
      </w:r>
      <w:r>
        <w:rPr>
          <w:w w:val="115"/>
          <w:sz w:val="21"/>
        </w:rPr>
        <w:t>the</w:t>
      </w:r>
      <w:r>
        <w:rPr>
          <w:spacing w:val="-5"/>
          <w:w w:val="115"/>
          <w:sz w:val="21"/>
        </w:rPr>
        <w:t> </w:t>
      </w:r>
      <w:r>
        <w:rPr>
          <w:w w:val="115"/>
          <w:sz w:val="21"/>
        </w:rPr>
        <w:t>date of the</w:t>
      </w:r>
      <w:r>
        <w:rPr>
          <w:spacing w:val="1"/>
          <w:w w:val="115"/>
          <w:sz w:val="21"/>
        </w:rPr>
        <w:t> </w:t>
      </w:r>
      <w:r>
        <w:rPr>
          <w:spacing w:val="-3"/>
          <w:w w:val="115"/>
          <w:sz w:val="21"/>
        </w:rPr>
        <w:t>transfer.</w:t>
      </w:r>
    </w:p>
    <w:p>
      <w:pPr>
        <w:pStyle w:val="ListParagraph"/>
        <w:numPr>
          <w:ilvl w:val="1"/>
          <w:numId w:val="62"/>
        </w:numPr>
        <w:tabs>
          <w:tab w:pos="2381" w:val="left" w:leader="none"/>
          <w:tab w:pos="2382" w:val="left" w:leader="none"/>
        </w:tabs>
        <w:spacing w:line="242" w:lineRule="auto" w:before="123" w:after="0"/>
        <w:ind w:left="2381" w:right="1911" w:hanging="567"/>
        <w:jc w:val="left"/>
        <w:rPr>
          <w:sz w:val="21"/>
        </w:rPr>
      </w:pPr>
      <w:r>
        <w:rPr>
          <w:w w:val="115"/>
          <w:sz w:val="21"/>
        </w:rPr>
        <w:t>If</w:t>
      </w:r>
      <w:r>
        <w:rPr>
          <w:spacing w:val="-8"/>
          <w:w w:val="115"/>
          <w:sz w:val="21"/>
        </w:rPr>
        <w:t> </w:t>
      </w:r>
      <w:r>
        <w:rPr>
          <w:w w:val="115"/>
          <w:sz w:val="21"/>
        </w:rPr>
        <w:t>the</w:t>
      </w:r>
      <w:r>
        <w:rPr>
          <w:spacing w:val="-7"/>
          <w:w w:val="115"/>
          <w:sz w:val="21"/>
        </w:rPr>
        <w:t> </w:t>
      </w:r>
      <w:r>
        <w:rPr>
          <w:w w:val="115"/>
          <w:sz w:val="21"/>
        </w:rPr>
        <w:t>partner</w:t>
      </w:r>
      <w:r>
        <w:rPr>
          <w:spacing w:val="-8"/>
          <w:w w:val="115"/>
          <w:sz w:val="21"/>
        </w:rPr>
        <w:t> </w:t>
      </w:r>
      <w:r>
        <w:rPr>
          <w:w w:val="115"/>
          <w:sz w:val="21"/>
        </w:rPr>
        <w:t>of</w:t>
      </w:r>
      <w:r>
        <w:rPr>
          <w:spacing w:val="-7"/>
          <w:w w:val="115"/>
          <w:sz w:val="21"/>
        </w:rPr>
        <w:t> </w:t>
      </w:r>
      <w:r>
        <w:rPr>
          <w:w w:val="115"/>
          <w:sz w:val="21"/>
        </w:rPr>
        <w:t>the</w:t>
      </w:r>
      <w:r>
        <w:rPr>
          <w:spacing w:val="-7"/>
          <w:w w:val="115"/>
          <w:sz w:val="21"/>
        </w:rPr>
        <w:t> </w:t>
      </w:r>
      <w:r>
        <w:rPr>
          <w:w w:val="115"/>
          <w:sz w:val="21"/>
        </w:rPr>
        <w:t>deceased</w:t>
      </w:r>
      <w:r>
        <w:rPr>
          <w:spacing w:val="-8"/>
          <w:w w:val="115"/>
          <w:sz w:val="21"/>
        </w:rPr>
        <w:t> </w:t>
      </w:r>
      <w:r>
        <w:rPr>
          <w:w w:val="115"/>
          <w:sz w:val="21"/>
        </w:rPr>
        <w:t>person</w:t>
      </w:r>
      <w:r>
        <w:rPr>
          <w:spacing w:val="-7"/>
          <w:w w:val="115"/>
          <w:sz w:val="21"/>
        </w:rPr>
        <w:t> </w:t>
      </w:r>
      <w:r>
        <w:rPr>
          <w:w w:val="115"/>
          <w:sz w:val="21"/>
        </w:rPr>
        <w:t>wishes</w:t>
      </w:r>
      <w:r>
        <w:rPr>
          <w:spacing w:val="-7"/>
          <w:w w:val="115"/>
          <w:sz w:val="21"/>
        </w:rPr>
        <w:t> </w:t>
      </w:r>
      <w:r>
        <w:rPr>
          <w:w w:val="115"/>
          <w:sz w:val="21"/>
        </w:rPr>
        <w:t>to</w:t>
      </w:r>
      <w:r>
        <w:rPr>
          <w:spacing w:val="-8"/>
          <w:w w:val="115"/>
          <w:sz w:val="21"/>
        </w:rPr>
        <w:t> </w:t>
      </w:r>
      <w:r>
        <w:rPr>
          <w:w w:val="115"/>
          <w:sz w:val="21"/>
        </w:rPr>
        <w:t>elect</w:t>
      </w:r>
      <w:r>
        <w:rPr>
          <w:spacing w:val="-7"/>
          <w:w w:val="115"/>
          <w:sz w:val="21"/>
        </w:rPr>
        <w:t> </w:t>
      </w:r>
      <w:r>
        <w:rPr>
          <w:w w:val="115"/>
          <w:sz w:val="21"/>
        </w:rPr>
        <w:t>to</w:t>
      </w:r>
      <w:r>
        <w:rPr>
          <w:spacing w:val="-7"/>
          <w:w w:val="115"/>
          <w:sz w:val="21"/>
        </w:rPr>
        <w:t> </w:t>
      </w:r>
      <w:r>
        <w:rPr>
          <w:w w:val="115"/>
          <w:sz w:val="21"/>
        </w:rPr>
        <w:t>acquire</w:t>
      </w:r>
      <w:r>
        <w:rPr>
          <w:spacing w:val="-8"/>
          <w:w w:val="115"/>
          <w:sz w:val="21"/>
        </w:rPr>
        <w:t> </w:t>
      </w:r>
      <w:r>
        <w:rPr>
          <w:w w:val="115"/>
          <w:sz w:val="21"/>
        </w:rPr>
        <w:t>property</w:t>
      </w:r>
      <w:r>
        <w:rPr>
          <w:spacing w:val="-7"/>
          <w:w w:val="115"/>
          <w:sz w:val="21"/>
        </w:rPr>
        <w:t> </w:t>
      </w:r>
      <w:r>
        <w:rPr>
          <w:w w:val="115"/>
          <w:sz w:val="21"/>
        </w:rPr>
        <w:t>from the intestate estate, they should be required to apply to the Supreme Court for authorisation of the election</w:t>
      </w:r>
      <w:r>
        <w:rPr>
          <w:spacing w:val="3"/>
          <w:w w:val="115"/>
          <w:sz w:val="21"/>
        </w:rPr>
        <w:t> </w:t>
      </w:r>
      <w:r>
        <w:rPr>
          <w:w w:val="115"/>
          <w:sz w:val="21"/>
        </w:rPr>
        <w:t>if:</w:t>
      </w:r>
    </w:p>
    <w:p>
      <w:pPr>
        <w:pStyle w:val="ListParagraph"/>
        <w:numPr>
          <w:ilvl w:val="2"/>
          <w:numId w:val="62"/>
        </w:numPr>
        <w:tabs>
          <w:tab w:pos="2722" w:val="left" w:leader="none"/>
        </w:tabs>
        <w:spacing w:line="240" w:lineRule="auto" w:before="123" w:after="0"/>
        <w:ind w:left="2721" w:right="0" w:hanging="340"/>
        <w:jc w:val="left"/>
        <w:rPr>
          <w:sz w:val="21"/>
        </w:rPr>
      </w:pPr>
      <w:r>
        <w:rPr>
          <w:w w:val="115"/>
          <w:sz w:val="21"/>
        </w:rPr>
        <w:t>the property forms part of a larger aggregate,</w:t>
      </w:r>
      <w:r>
        <w:rPr>
          <w:spacing w:val="8"/>
          <w:w w:val="115"/>
          <w:sz w:val="21"/>
        </w:rPr>
        <w:t> </w:t>
      </w:r>
      <w:r>
        <w:rPr>
          <w:w w:val="115"/>
          <w:sz w:val="21"/>
        </w:rPr>
        <w:t>and,</w:t>
      </w:r>
    </w:p>
    <w:p>
      <w:pPr>
        <w:pStyle w:val="ListParagraph"/>
        <w:numPr>
          <w:ilvl w:val="2"/>
          <w:numId w:val="62"/>
        </w:numPr>
        <w:tabs>
          <w:tab w:pos="2722" w:val="left" w:leader="none"/>
        </w:tabs>
        <w:spacing w:line="242" w:lineRule="auto" w:before="124" w:after="0"/>
        <w:ind w:left="2721" w:right="2358" w:hanging="340"/>
        <w:jc w:val="both"/>
        <w:rPr>
          <w:sz w:val="21"/>
        </w:rPr>
      </w:pPr>
      <w:r>
        <w:rPr>
          <w:w w:val="115"/>
          <w:sz w:val="21"/>
        </w:rPr>
        <w:t>the</w:t>
      </w:r>
      <w:r>
        <w:rPr>
          <w:spacing w:val="-13"/>
          <w:w w:val="115"/>
          <w:sz w:val="21"/>
        </w:rPr>
        <w:t> </w:t>
      </w:r>
      <w:r>
        <w:rPr>
          <w:w w:val="115"/>
          <w:sz w:val="21"/>
        </w:rPr>
        <w:t>acquisition</w:t>
      </w:r>
      <w:r>
        <w:rPr>
          <w:spacing w:val="-12"/>
          <w:w w:val="115"/>
          <w:sz w:val="21"/>
        </w:rPr>
        <w:t> </w:t>
      </w:r>
      <w:r>
        <w:rPr>
          <w:w w:val="115"/>
          <w:sz w:val="21"/>
        </w:rPr>
        <w:t>could</w:t>
      </w:r>
      <w:r>
        <w:rPr>
          <w:spacing w:val="-12"/>
          <w:w w:val="115"/>
          <w:sz w:val="21"/>
        </w:rPr>
        <w:t> </w:t>
      </w:r>
      <w:r>
        <w:rPr>
          <w:w w:val="115"/>
          <w:sz w:val="21"/>
        </w:rPr>
        <w:t>substantially</w:t>
      </w:r>
      <w:r>
        <w:rPr>
          <w:spacing w:val="-12"/>
          <w:w w:val="115"/>
          <w:sz w:val="21"/>
        </w:rPr>
        <w:t> </w:t>
      </w:r>
      <w:r>
        <w:rPr>
          <w:w w:val="115"/>
          <w:sz w:val="21"/>
        </w:rPr>
        <w:t>diminish</w:t>
      </w:r>
      <w:r>
        <w:rPr>
          <w:spacing w:val="-12"/>
          <w:w w:val="115"/>
          <w:sz w:val="21"/>
        </w:rPr>
        <w:t> </w:t>
      </w:r>
      <w:r>
        <w:rPr>
          <w:w w:val="115"/>
          <w:sz w:val="21"/>
        </w:rPr>
        <w:t>the</w:t>
      </w:r>
      <w:r>
        <w:rPr>
          <w:spacing w:val="-13"/>
          <w:w w:val="115"/>
          <w:sz w:val="21"/>
        </w:rPr>
        <w:t> </w:t>
      </w:r>
      <w:r>
        <w:rPr>
          <w:w w:val="115"/>
          <w:sz w:val="21"/>
        </w:rPr>
        <w:t>value</w:t>
      </w:r>
      <w:r>
        <w:rPr>
          <w:spacing w:val="-12"/>
          <w:w w:val="115"/>
          <w:sz w:val="21"/>
        </w:rPr>
        <w:t> </w:t>
      </w:r>
      <w:r>
        <w:rPr>
          <w:w w:val="115"/>
          <w:sz w:val="21"/>
        </w:rPr>
        <w:t>of</w:t>
      </w:r>
      <w:r>
        <w:rPr>
          <w:spacing w:val="-12"/>
          <w:w w:val="115"/>
          <w:sz w:val="21"/>
        </w:rPr>
        <w:t> </w:t>
      </w:r>
      <w:r>
        <w:rPr>
          <w:w w:val="115"/>
          <w:sz w:val="21"/>
        </w:rPr>
        <w:t>the</w:t>
      </w:r>
      <w:r>
        <w:rPr>
          <w:spacing w:val="-12"/>
          <w:w w:val="115"/>
          <w:sz w:val="21"/>
        </w:rPr>
        <w:t> </w:t>
      </w:r>
      <w:r>
        <w:rPr>
          <w:w w:val="115"/>
          <w:sz w:val="21"/>
        </w:rPr>
        <w:t>remainder of the property or </w:t>
      </w:r>
      <w:r>
        <w:rPr>
          <w:spacing w:val="-3"/>
          <w:w w:val="115"/>
          <w:sz w:val="21"/>
        </w:rPr>
        <w:t>make </w:t>
      </w:r>
      <w:r>
        <w:rPr>
          <w:w w:val="115"/>
          <w:sz w:val="21"/>
        </w:rPr>
        <w:t>the administration of the estate substantially more difficult.</w:t>
      </w:r>
    </w:p>
    <w:p>
      <w:pPr>
        <w:pStyle w:val="ListParagraph"/>
        <w:numPr>
          <w:ilvl w:val="1"/>
          <w:numId w:val="62"/>
        </w:numPr>
        <w:tabs>
          <w:tab w:pos="2381" w:val="left" w:leader="none"/>
          <w:tab w:pos="2382" w:val="left" w:leader="none"/>
        </w:tabs>
        <w:spacing w:line="242" w:lineRule="auto" w:before="123" w:after="0"/>
        <w:ind w:left="2381" w:right="2324" w:hanging="567"/>
        <w:jc w:val="left"/>
        <w:rPr>
          <w:sz w:val="21"/>
        </w:rPr>
      </w:pPr>
      <w:r>
        <w:rPr>
          <w:w w:val="115"/>
          <w:sz w:val="21"/>
        </w:rPr>
        <w:t>When</w:t>
      </w:r>
      <w:r>
        <w:rPr>
          <w:spacing w:val="-11"/>
          <w:w w:val="115"/>
          <w:sz w:val="21"/>
        </w:rPr>
        <w:t> </w:t>
      </w:r>
      <w:r>
        <w:rPr>
          <w:w w:val="115"/>
          <w:sz w:val="21"/>
        </w:rPr>
        <w:t>authorising</w:t>
      </w:r>
      <w:r>
        <w:rPr>
          <w:spacing w:val="-11"/>
          <w:w w:val="115"/>
          <w:sz w:val="21"/>
        </w:rPr>
        <w:t> </w:t>
      </w:r>
      <w:r>
        <w:rPr>
          <w:w w:val="115"/>
          <w:sz w:val="21"/>
        </w:rPr>
        <w:t>an</w:t>
      </w:r>
      <w:r>
        <w:rPr>
          <w:spacing w:val="-11"/>
          <w:w w:val="115"/>
          <w:sz w:val="21"/>
        </w:rPr>
        <w:t> </w:t>
      </w:r>
      <w:r>
        <w:rPr>
          <w:w w:val="115"/>
          <w:sz w:val="21"/>
        </w:rPr>
        <w:t>election</w:t>
      </w:r>
      <w:r>
        <w:rPr>
          <w:spacing w:val="-10"/>
          <w:w w:val="115"/>
          <w:sz w:val="21"/>
        </w:rPr>
        <w:t> </w:t>
      </w:r>
      <w:r>
        <w:rPr>
          <w:w w:val="115"/>
          <w:sz w:val="21"/>
        </w:rPr>
        <w:t>by</w:t>
      </w:r>
      <w:r>
        <w:rPr>
          <w:spacing w:val="-11"/>
          <w:w w:val="115"/>
          <w:sz w:val="21"/>
        </w:rPr>
        <w:t> </w:t>
      </w:r>
      <w:r>
        <w:rPr>
          <w:w w:val="115"/>
          <w:sz w:val="21"/>
        </w:rPr>
        <w:t>the</w:t>
      </w:r>
      <w:r>
        <w:rPr>
          <w:spacing w:val="-11"/>
          <w:w w:val="115"/>
          <w:sz w:val="21"/>
        </w:rPr>
        <w:t> </w:t>
      </w:r>
      <w:r>
        <w:rPr>
          <w:w w:val="115"/>
          <w:sz w:val="21"/>
        </w:rPr>
        <w:t>deceased</w:t>
      </w:r>
      <w:r>
        <w:rPr>
          <w:spacing w:val="-11"/>
          <w:w w:val="115"/>
          <w:sz w:val="21"/>
        </w:rPr>
        <w:t> </w:t>
      </w:r>
      <w:r>
        <w:rPr>
          <w:w w:val="115"/>
          <w:sz w:val="21"/>
        </w:rPr>
        <w:t>person’s</w:t>
      </w:r>
      <w:r>
        <w:rPr>
          <w:spacing w:val="-10"/>
          <w:w w:val="115"/>
          <w:sz w:val="21"/>
        </w:rPr>
        <w:t> </w:t>
      </w:r>
      <w:r>
        <w:rPr>
          <w:w w:val="115"/>
          <w:sz w:val="21"/>
        </w:rPr>
        <w:t>partner</w:t>
      </w:r>
      <w:r>
        <w:rPr>
          <w:spacing w:val="-11"/>
          <w:w w:val="115"/>
          <w:sz w:val="21"/>
        </w:rPr>
        <w:t> </w:t>
      </w:r>
      <w:r>
        <w:rPr>
          <w:w w:val="115"/>
          <w:sz w:val="21"/>
        </w:rPr>
        <w:t>to</w:t>
      </w:r>
      <w:r>
        <w:rPr>
          <w:spacing w:val="-11"/>
          <w:w w:val="115"/>
          <w:sz w:val="21"/>
        </w:rPr>
        <w:t> </w:t>
      </w:r>
      <w:r>
        <w:rPr>
          <w:w w:val="115"/>
          <w:sz w:val="21"/>
        </w:rPr>
        <w:t>acquire property from the intestate estate, the Supreme Court</w:t>
      </w:r>
      <w:r>
        <w:rPr>
          <w:spacing w:val="-19"/>
          <w:w w:val="115"/>
          <w:sz w:val="21"/>
        </w:rPr>
        <w:t> </w:t>
      </w:r>
      <w:r>
        <w:rPr>
          <w:w w:val="115"/>
          <w:sz w:val="21"/>
        </w:rPr>
        <w:t>should:</w:t>
      </w:r>
    </w:p>
    <w:p>
      <w:pPr>
        <w:pStyle w:val="ListParagraph"/>
        <w:numPr>
          <w:ilvl w:val="2"/>
          <w:numId w:val="62"/>
        </w:numPr>
        <w:tabs>
          <w:tab w:pos="2722" w:val="left" w:leader="none"/>
        </w:tabs>
        <w:spacing w:line="242" w:lineRule="auto" w:before="122" w:after="0"/>
        <w:ind w:left="2721" w:right="2369" w:hanging="340"/>
        <w:jc w:val="left"/>
        <w:rPr>
          <w:sz w:val="21"/>
        </w:rPr>
      </w:pPr>
      <w:r>
        <w:rPr>
          <w:w w:val="115"/>
          <w:sz w:val="21"/>
        </w:rPr>
        <w:t>be able to impose such conditions as it considers just and equitable, including</w:t>
      </w:r>
      <w:r>
        <w:rPr>
          <w:spacing w:val="-7"/>
          <w:w w:val="115"/>
          <w:sz w:val="21"/>
        </w:rPr>
        <w:t> </w:t>
      </w:r>
      <w:r>
        <w:rPr>
          <w:w w:val="115"/>
          <w:sz w:val="21"/>
        </w:rPr>
        <w:t>a</w:t>
      </w:r>
      <w:r>
        <w:rPr>
          <w:spacing w:val="-6"/>
          <w:w w:val="115"/>
          <w:sz w:val="21"/>
        </w:rPr>
        <w:t> </w:t>
      </w:r>
      <w:r>
        <w:rPr>
          <w:w w:val="115"/>
          <w:sz w:val="21"/>
        </w:rPr>
        <w:t>condition</w:t>
      </w:r>
      <w:r>
        <w:rPr>
          <w:spacing w:val="-6"/>
          <w:w w:val="115"/>
          <w:sz w:val="21"/>
        </w:rPr>
        <w:t> </w:t>
      </w:r>
      <w:r>
        <w:rPr>
          <w:w w:val="115"/>
          <w:sz w:val="21"/>
        </w:rPr>
        <w:t>that</w:t>
      </w:r>
      <w:r>
        <w:rPr>
          <w:spacing w:val="-6"/>
          <w:w w:val="115"/>
          <w:sz w:val="21"/>
        </w:rPr>
        <w:t> </w:t>
      </w:r>
      <w:r>
        <w:rPr>
          <w:w w:val="115"/>
          <w:sz w:val="21"/>
        </w:rPr>
        <w:t>the</w:t>
      </w:r>
      <w:r>
        <w:rPr>
          <w:spacing w:val="-7"/>
          <w:w w:val="115"/>
          <w:sz w:val="21"/>
        </w:rPr>
        <w:t> </w:t>
      </w:r>
      <w:r>
        <w:rPr>
          <w:w w:val="115"/>
          <w:sz w:val="21"/>
        </w:rPr>
        <w:t>partner</w:t>
      </w:r>
      <w:r>
        <w:rPr>
          <w:spacing w:val="-6"/>
          <w:w w:val="115"/>
          <w:sz w:val="21"/>
        </w:rPr>
        <w:t> </w:t>
      </w:r>
      <w:r>
        <w:rPr>
          <w:w w:val="115"/>
          <w:sz w:val="21"/>
        </w:rPr>
        <w:t>pay</w:t>
      </w:r>
      <w:r>
        <w:rPr>
          <w:spacing w:val="-6"/>
          <w:w w:val="115"/>
          <w:sz w:val="21"/>
        </w:rPr>
        <w:t> </w:t>
      </w:r>
      <w:r>
        <w:rPr>
          <w:w w:val="115"/>
          <w:sz w:val="21"/>
        </w:rPr>
        <w:t>compensation</w:t>
      </w:r>
      <w:r>
        <w:rPr>
          <w:spacing w:val="-6"/>
          <w:w w:val="115"/>
          <w:sz w:val="21"/>
        </w:rPr>
        <w:t> </w:t>
      </w:r>
      <w:r>
        <w:rPr>
          <w:w w:val="115"/>
          <w:sz w:val="21"/>
        </w:rPr>
        <w:t>to</w:t>
      </w:r>
      <w:r>
        <w:rPr>
          <w:spacing w:val="-6"/>
          <w:w w:val="115"/>
          <w:sz w:val="21"/>
        </w:rPr>
        <w:t> </w:t>
      </w:r>
      <w:r>
        <w:rPr>
          <w:w w:val="115"/>
          <w:sz w:val="21"/>
        </w:rPr>
        <w:t>the</w:t>
      </w:r>
      <w:r>
        <w:rPr>
          <w:spacing w:val="-7"/>
          <w:w w:val="115"/>
          <w:sz w:val="21"/>
        </w:rPr>
        <w:t> </w:t>
      </w:r>
      <w:r>
        <w:rPr>
          <w:w w:val="115"/>
          <w:sz w:val="21"/>
        </w:rPr>
        <w:t>estate in addition to consideration to be given for the</w:t>
      </w:r>
      <w:r>
        <w:rPr>
          <w:spacing w:val="-1"/>
          <w:w w:val="115"/>
          <w:sz w:val="21"/>
        </w:rPr>
        <w:t> </w:t>
      </w:r>
      <w:r>
        <w:rPr>
          <w:w w:val="115"/>
          <w:sz w:val="21"/>
        </w:rPr>
        <w:t>property</w:t>
      </w:r>
    </w:p>
    <w:p>
      <w:pPr>
        <w:pStyle w:val="ListParagraph"/>
        <w:numPr>
          <w:ilvl w:val="2"/>
          <w:numId w:val="62"/>
        </w:numPr>
        <w:tabs>
          <w:tab w:pos="2722" w:val="left" w:leader="none"/>
        </w:tabs>
        <w:spacing w:line="240" w:lineRule="auto" w:before="124" w:after="0"/>
        <w:ind w:left="2721" w:right="0" w:hanging="340"/>
        <w:jc w:val="left"/>
        <w:rPr>
          <w:sz w:val="21"/>
        </w:rPr>
      </w:pPr>
      <w:r>
        <w:rPr>
          <w:w w:val="115"/>
          <w:sz w:val="21"/>
        </w:rPr>
        <w:t>be required to refuse authorisation of an election if it considers</w:t>
      </w:r>
      <w:r>
        <w:rPr>
          <w:spacing w:val="-8"/>
          <w:w w:val="115"/>
          <w:sz w:val="21"/>
        </w:rPr>
        <w:t> </w:t>
      </w:r>
      <w:r>
        <w:rPr>
          <w:w w:val="115"/>
          <w:sz w:val="21"/>
        </w:rPr>
        <w:t>that</w:t>
      </w:r>
    </w:p>
    <w:p>
      <w:pPr>
        <w:pStyle w:val="BodyText"/>
        <w:spacing w:line="242" w:lineRule="auto" w:before="3"/>
        <w:ind w:left="2721" w:right="2010"/>
      </w:pPr>
      <w:r>
        <w:rPr>
          <w:w w:val="115"/>
        </w:rPr>
        <w:t>the diminution of the value of the remainder of the estate, or difficulties in administration, cannot be adequately addressed by granting an authorisation subject to conditions.</w:t>
      </w:r>
    </w:p>
    <w:p>
      <w:pPr>
        <w:pStyle w:val="ListParagraph"/>
        <w:numPr>
          <w:ilvl w:val="1"/>
          <w:numId w:val="62"/>
        </w:numPr>
        <w:tabs>
          <w:tab w:pos="2381" w:val="left" w:leader="none"/>
          <w:tab w:pos="2382" w:val="left" w:leader="none"/>
        </w:tabs>
        <w:spacing w:line="242" w:lineRule="auto" w:before="124" w:after="0"/>
        <w:ind w:left="2381" w:right="1819" w:hanging="567"/>
        <w:jc w:val="left"/>
        <w:rPr>
          <w:sz w:val="21"/>
        </w:rPr>
      </w:pPr>
      <w:r>
        <w:rPr>
          <w:w w:val="115"/>
          <w:sz w:val="21"/>
        </w:rPr>
        <w:t>A</w:t>
      </w:r>
      <w:r>
        <w:rPr>
          <w:spacing w:val="-8"/>
          <w:w w:val="115"/>
          <w:sz w:val="21"/>
        </w:rPr>
        <w:t> </w:t>
      </w:r>
      <w:r>
        <w:rPr>
          <w:w w:val="115"/>
          <w:sz w:val="21"/>
        </w:rPr>
        <w:t>personal</w:t>
      </w:r>
      <w:r>
        <w:rPr>
          <w:spacing w:val="-7"/>
          <w:w w:val="115"/>
          <w:sz w:val="21"/>
        </w:rPr>
        <w:t> </w:t>
      </w:r>
      <w:r>
        <w:rPr>
          <w:w w:val="115"/>
          <w:sz w:val="21"/>
        </w:rPr>
        <w:t>representative</w:t>
      </w:r>
      <w:r>
        <w:rPr>
          <w:spacing w:val="-8"/>
          <w:w w:val="115"/>
          <w:sz w:val="21"/>
        </w:rPr>
        <w:t> </w:t>
      </w:r>
      <w:r>
        <w:rPr>
          <w:w w:val="115"/>
          <w:sz w:val="21"/>
        </w:rPr>
        <w:t>should</w:t>
      </w:r>
      <w:r>
        <w:rPr>
          <w:spacing w:val="-7"/>
          <w:w w:val="115"/>
          <w:sz w:val="21"/>
        </w:rPr>
        <w:t> </w:t>
      </w:r>
      <w:r>
        <w:rPr>
          <w:w w:val="115"/>
          <w:sz w:val="21"/>
        </w:rPr>
        <w:t>not</w:t>
      </w:r>
      <w:r>
        <w:rPr>
          <w:spacing w:val="-7"/>
          <w:w w:val="115"/>
          <w:sz w:val="21"/>
        </w:rPr>
        <w:t> </w:t>
      </w:r>
      <w:r>
        <w:rPr>
          <w:w w:val="115"/>
          <w:sz w:val="21"/>
        </w:rPr>
        <w:t>be</w:t>
      </w:r>
      <w:r>
        <w:rPr>
          <w:spacing w:val="-8"/>
          <w:w w:val="115"/>
          <w:sz w:val="21"/>
        </w:rPr>
        <w:t> </w:t>
      </w:r>
      <w:r>
        <w:rPr>
          <w:w w:val="115"/>
          <w:sz w:val="21"/>
        </w:rPr>
        <w:t>permitted</w:t>
      </w:r>
      <w:r>
        <w:rPr>
          <w:spacing w:val="-7"/>
          <w:w w:val="115"/>
          <w:sz w:val="21"/>
        </w:rPr>
        <w:t> </w:t>
      </w:r>
      <w:r>
        <w:rPr>
          <w:w w:val="115"/>
          <w:sz w:val="21"/>
        </w:rPr>
        <w:t>to</w:t>
      </w:r>
      <w:r>
        <w:rPr>
          <w:spacing w:val="-8"/>
          <w:w w:val="115"/>
          <w:sz w:val="21"/>
        </w:rPr>
        <w:t> </w:t>
      </w:r>
      <w:r>
        <w:rPr>
          <w:w w:val="115"/>
          <w:sz w:val="21"/>
        </w:rPr>
        <w:t>dispose</w:t>
      </w:r>
      <w:r>
        <w:rPr>
          <w:spacing w:val="-7"/>
          <w:w w:val="115"/>
          <w:sz w:val="21"/>
        </w:rPr>
        <w:t> </w:t>
      </w:r>
      <w:r>
        <w:rPr>
          <w:w w:val="115"/>
          <w:sz w:val="21"/>
        </w:rPr>
        <w:t>of</w:t>
      </w:r>
      <w:r>
        <w:rPr>
          <w:spacing w:val="-7"/>
          <w:w w:val="115"/>
          <w:sz w:val="21"/>
        </w:rPr>
        <w:t> </w:t>
      </w:r>
      <w:r>
        <w:rPr>
          <w:w w:val="115"/>
          <w:sz w:val="21"/>
        </w:rPr>
        <w:t>property</w:t>
      </w:r>
      <w:r>
        <w:rPr>
          <w:spacing w:val="-8"/>
          <w:w w:val="115"/>
          <w:sz w:val="21"/>
        </w:rPr>
        <w:t> </w:t>
      </w:r>
      <w:r>
        <w:rPr>
          <w:w w:val="115"/>
          <w:sz w:val="21"/>
        </w:rPr>
        <w:t>from an intestate estate, except to a partner who has elected to acquire it, unless </w:t>
      </w:r>
      <w:r>
        <w:rPr>
          <w:spacing w:val="-2"/>
          <w:w w:val="115"/>
          <w:sz w:val="21"/>
        </w:rPr>
        <w:t>any </w:t>
      </w:r>
      <w:r>
        <w:rPr>
          <w:w w:val="115"/>
          <w:sz w:val="21"/>
        </w:rPr>
        <w:t>of the </w:t>
      </w:r>
      <w:r>
        <w:rPr>
          <w:spacing w:val="-2"/>
          <w:w w:val="115"/>
          <w:sz w:val="21"/>
        </w:rPr>
        <w:t>following</w:t>
      </w:r>
      <w:r>
        <w:rPr>
          <w:spacing w:val="6"/>
          <w:w w:val="115"/>
          <w:sz w:val="21"/>
        </w:rPr>
        <w:t> </w:t>
      </w:r>
      <w:r>
        <w:rPr>
          <w:w w:val="115"/>
          <w:sz w:val="21"/>
        </w:rPr>
        <w:t>applies:</w:t>
      </w:r>
    </w:p>
    <w:p>
      <w:pPr>
        <w:pStyle w:val="ListParagraph"/>
        <w:numPr>
          <w:ilvl w:val="2"/>
          <w:numId w:val="62"/>
        </w:numPr>
        <w:tabs>
          <w:tab w:pos="2722" w:val="left" w:leader="none"/>
        </w:tabs>
        <w:spacing w:line="240" w:lineRule="auto" w:before="123" w:after="0"/>
        <w:ind w:left="2722" w:right="0" w:hanging="341"/>
        <w:jc w:val="left"/>
        <w:rPr>
          <w:sz w:val="21"/>
        </w:rPr>
      </w:pPr>
      <w:r>
        <w:rPr>
          <w:w w:val="115"/>
          <w:sz w:val="21"/>
        </w:rPr>
        <w:t>the personal representative is the partner entitled to </w:t>
      </w:r>
      <w:r>
        <w:rPr>
          <w:spacing w:val="-3"/>
          <w:w w:val="115"/>
          <w:sz w:val="21"/>
        </w:rPr>
        <w:t>make </w:t>
      </w:r>
      <w:r>
        <w:rPr>
          <w:w w:val="115"/>
          <w:sz w:val="21"/>
        </w:rPr>
        <w:t>the</w:t>
      </w:r>
      <w:r>
        <w:rPr>
          <w:spacing w:val="-10"/>
          <w:w w:val="115"/>
          <w:sz w:val="21"/>
        </w:rPr>
        <w:t> </w:t>
      </w:r>
      <w:r>
        <w:rPr>
          <w:w w:val="115"/>
          <w:sz w:val="21"/>
        </w:rPr>
        <w:t>election</w:t>
      </w:r>
    </w:p>
    <w:p>
      <w:pPr>
        <w:pStyle w:val="ListParagraph"/>
        <w:numPr>
          <w:ilvl w:val="2"/>
          <w:numId w:val="62"/>
        </w:numPr>
        <w:tabs>
          <w:tab w:pos="2722" w:val="left" w:leader="none"/>
        </w:tabs>
        <w:spacing w:line="240" w:lineRule="auto" w:before="124" w:after="0"/>
        <w:ind w:left="2722" w:right="0" w:hanging="341"/>
        <w:jc w:val="left"/>
        <w:rPr>
          <w:sz w:val="21"/>
        </w:rPr>
      </w:pPr>
      <w:r>
        <w:rPr>
          <w:w w:val="115"/>
          <w:sz w:val="21"/>
        </w:rPr>
        <w:t>time for exercising the election has elapsed and no election has been</w:t>
      </w:r>
      <w:r>
        <w:rPr>
          <w:spacing w:val="-20"/>
          <w:w w:val="115"/>
          <w:sz w:val="21"/>
        </w:rPr>
        <w:t> </w:t>
      </w:r>
      <w:r>
        <w:rPr>
          <w:w w:val="115"/>
          <w:sz w:val="21"/>
        </w:rPr>
        <w:t>made</w:t>
      </w:r>
    </w:p>
    <w:p>
      <w:pPr>
        <w:pStyle w:val="ListParagraph"/>
        <w:numPr>
          <w:ilvl w:val="2"/>
          <w:numId w:val="62"/>
        </w:numPr>
        <w:tabs>
          <w:tab w:pos="2722" w:val="left" w:leader="none"/>
        </w:tabs>
        <w:spacing w:line="242" w:lineRule="auto" w:before="123" w:after="0"/>
        <w:ind w:left="2722" w:right="2273" w:hanging="341"/>
        <w:jc w:val="left"/>
        <w:rPr>
          <w:sz w:val="21"/>
        </w:rPr>
      </w:pPr>
      <w:r>
        <w:rPr>
          <w:w w:val="115"/>
          <w:sz w:val="21"/>
        </w:rPr>
        <w:t>the election requires the Court’s authorisation but the necessary authorisation</w:t>
      </w:r>
      <w:r>
        <w:rPr>
          <w:spacing w:val="-9"/>
          <w:w w:val="115"/>
          <w:sz w:val="21"/>
        </w:rPr>
        <w:t> </w:t>
      </w:r>
      <w:r>
        <w:rPr>
          <w:w w:val="115"/>
          <w:sz w:val="21"/>
        </w:rPr>
        <w:t>has</w:t>
      </w:r>
      <w:r>
        <w:rPr>
          <w:spacing w:val="-8"/>
          <w:w w:val="115"/>
          <w:sz w:val="21"/>
        </w:rPr>
        <w:t> </w:t>
      </w:r>
      <w:r>
        <w:rPr>
          <w:w w:val="115"/>
          <w:sz w:val="21"/>
        </w:rPr>
        <w:t>been</w:t>
      </w:r>
      <w:r>
        <w:rPr>
          <w:spacing w:val="-8"/>
          <w:w w:val="115"/>
          <w:sz w:val="21"/>
        </w:rPr>
        <w:t> </w:t>
      </w:r>
      <w:r>
        <w:rPr>
          <w:w w:val="115"/>
          <w:sz w:val="21"/>
        </w:rPr>
        <w:t>refused</w:t>
      </w:r>
      <w:r>
        <w:rPr>
          <w:spacing w:val="-9"/>
          <w:w w:val="115"/>
          <w:sz w:val="21"/>
        </w:rPr>
        <w:t> </w:t>
      </w:r>
      <w:r>
        <w:rPr>
          <w:w w:val="115"/>
          <w:sz w:val="21"/>
        </w:rPr>
        <w:t>or</w:t>
      </w:r>
      <w:r>
        <w:rPr>
          <w:spacing w:val="-8"/>
          <w:w w:val="115"/>
          <w:sz w:val="21"/>
        </w:rPr>
        <w:t> </w:t>
      </w:r>
      <w:r>
        <w:rPr>
          <w:w w:val="115"/>
          <w:sz w:val="21"/>
        </w:rPr>
        <w:t>the</w:t>
      </w:r>
      <w:r>
        <w:rPr>
          <w:spacing w:val="-8"/>
          <w:w w:val="115"/>
          <w:sz w:val="21"/>
        </w:rPr>
        <w:t> </w:t>
      </w:r>
      <w:r>
        <w:rPr>
          <w:w w:val="115"/>
          <w:sz w:val="21"/>
        </w:rPr>
        <w:t>application</w:t>
      </w:r>
      <w:r>
        <w:rPr>
          <w:spacing w:val="-9"/>
          <w:w w:val="115"/>
          <w:sz w:val="21"/>
        </w:rPr>
        <w:t> </w:t>
      </w:r>
      <w:r>
        <w:rPr>
          <w:w w:val="115"/>
          <w:sz w:val="21"/>
        </w:rPr>
        <w:t>for</w:t>
      </w:r>
      <w:r>
        <w:rPr>
          <w:spacing w:val="-8"/>
          <w:w w:val="115"/>
          <w:sz w:val="21"/>
        </w:rPr>
        <w:t> </w:t>
      </w:r>
      <w:r>
        <w:rPr>
          <w:w w:val="115"/>
          <w:sz w:val="21"/>
        </w:rPr>
        <w:t>authorisation</w:t>
      </w:r>
      <w:r>
        <w:rPr>
          <w:spacing w:val="-8"/>
          <w:w w:val="115"/>
          <w:sz w:val="21"/>
        </w:rPr>
        <w:t> </w:t>
      </w:r>
      <w:r>
        <w:rPr>
          <w:w w:val="115"/>
          <w:sz w:val="21"/>
        </w:rPr>
        <w:t>has been withdrawn</w:t>
      </w:r>
    </w:p>
    <w:p>
      <w:pPr>
        <w:pStyle w:val="ListParagraph"/>
        <w:numPr>
          <w:ilvl w:val="2"/>
          <w:numId w:val="62"/>
        </w:numPr>
        <w:tabs>
          <w:tab w:pos="2722" w:val="left" w:leader="none"/>
        </w:tabs>
        <w:spacing w:line="240" w:lineRule="auto" w:before="124" w:after="0"/>
        <w:ind w:left="2722" w:right="0" w:hanging="341"/>
        <w:jc w:val="left"/>
        <w:rPr>
          <w:sz w:val="21"/>
        </w:rPr>
      </w:pPr>
      <w:r>
        <w:rPr>
          <w:w w:val="115"/>
          <w:sz w:val="21"/>
        </w:rPr>
        <w:t>the partner has notified the personal representative, in writing,</w:t>
      </w:r>
      <w:r>
        <w:rPr>
          <w:spacing w:val="-4"/>
          <w:w w:val="115"/>
          <w:sz w:val="21"/>
        </w:rPr>
        <w:t> </w:t>
      </w:r>
      <w:r>
        <w:rPr>
          <w:w w:val="115"/>
          <w:sz w:val="21"/>
        </w:rPr>
        <w:t>that</w:t>
      </w:r>
    </w:p>
    <w:p>
      <w:pPr>
        <w:pStyle w:val="BodyText"/>
        <w:spacing w:line="242" w:lineRule="auto" w:before="3"/>
        <w:ind w:left="2722" w:right="1970"/>
      </w:pPr>
      <w:r>
        <w:rPr>
          <w:w w:val="115"/>
        </w:rPr>
        <w:t>he or she does not propose to exercise the right to acquire property from the estate</w:t>
      </w:r>
    </w:p>
    <w:p>
      <w:pPr>
        <w:pStyle w:val="ListParagraph"/>
        <w:numPr>
          <w:ilvl w:val="2"/>
          <w:numId w:val="62"/>
        </w:numPr>
        <w:tabs>
          <w:tab w:pos="2722" w:val="left" w:leader="none"/>
        </w:tabs>
        <w:spacing w:line="242" w:lineRule="auto" w:before="123" w:after="0"/>
        <w:ind w:left="2722" w:right="2674" w:hanging="341"/>
        <w:jc w:val="left"/>
        <w:rPr>
          <w:sz w:val="21"/>
        </w:rPr>
      </w:pPr>
      <w:r>
        <w:rPr>
          <w:w w:val="115"/>
          <w:sz w:val="21"/>
        </w:rPr>
        <w:t>sale</w:t>
      </w:r>
      <w:r>
        <w:rPr>
          <w:spacing w:val="-7"/>
          <w:w w:val="115"/>
          <w:sz w:val="21"/>
        </w:rPr>
        <w:t> </w:t>
      </w:r>
      <w:r>
        <w:rPr>
          <w:w w:val="115"/>
          <w:sz w:val="21"/>
        </w:rPr>
        <w:t>of</w:t>
      </w:r>
      <w:r>
        <w:rPr>
          <w:spacing w:val="-7"/>
          <w:w w:val="115"/>
          <w:sz w:val="21"/>
        </w:rPr>
        <w:t> </w:t>
      </w:r>
      <w:r>
        <w:rPr>
          <w:w w:val="115"/>
          <w:sz w:val="21"/>
        </w:rPr>
        <w:t>the</w:t>
      </w:r>
      <w:r>
        <w:rPr>
          <w:spacing w:val="-7"/>
          <w:w w:val="115"/>
          <w:sz w:val="21"/>
        </w:rPr>
        <w:t> </w:t>
      </w:r>
      <w:r>
        <w:rPr>
          <w:w w:val="115"/>
          <w:sz w:val="21"/>
        </w:rPr>
        <w:t>property</w:t>
      </w:r>
      <w:r>
        <w:rPr>
          <w:spacing w:val="-7"/>
          <w:w w:val="115"/>
          <w:sz w:val="21"/>
        </w:rPr>
        <w:t> </w:t>
      </w:r>
      <w:r>
        <w:rPr>
          <w:w w:val="115"/>
          <w:sz w:val="21"/>
        </w:rPr>
        <w:t>is</w:t>
      </w:r>
      <w:r>
        <w:rPr>
          <w:spacing w:val="-7"/>
          <w:w w:val="115"/>
          <w:sz w:val="21"/>
        </w:rPr>
        <w:t> </w:t>
      </w:r>
      <w:r>
        <w:rPr>
          <w:w w:val="115"/>
          <w:sz w:val="21"/>
        </w:rPr>
        <w:t>required</w:t>
      </w:r>
      <w:r>
        <w:rPr>
          <w:spacing w:val="-7"/>
          <w:w w:val="115"/>
          <w:sz w:val="21"/>
        </w:rPr>
        <w:t> </w:t>
      </w:r>
      <w:r>
        <w:rPr>
          <w:w w:val="115"/>
          <w:sz w:val="21"/>
        </w:rPr>
        <w:t>to</w:t>
      </w:r>
      <w:r>
        <w:rPr>
          <w:spacing w:val="-7"/>
          <w:w w:val="115"/>
          <w:sz w:val="21"/>
        </w:rPr>
        <w:t> </w:t>
      </w:r>
      <w:r>
        <w:rPr>
          <w:w w:val="115"/>
          <w:sz w:val="21"/>
        </w:rPr>
        <w:t>meet</w:t>
      </w:r>
      <w:r>
        <w:rPr>
          <w:spacing w:val="-6"/>
          <w:w w:val="115"/>
          <w:sz w:val="21"/>
        </w:rPr>
        <w:t> </w:t>
      </w:r>
      <w:r>
        <w:rPr>
          <w:w w:val="115"/>
          <w:sz w:val="21"/>
        </w:rPr>
        <w:t>funeral</w:t>
      </w:r>
      <w:r>
        <w:rPr>
          <w:spacing w:val="-7"/>
          <w:w w:val="115"/>
          <w:sz w:val="21"/>
        </w:rPr>
        <w:t> </w:t>
      </w:r>
      <w:r>
        <w:rPr>
          <w:w w:val="115"/>
          <w:sz w:val="21"/>
        </w:rPr>
        <w:t>and</w:t>
      </w:r>
      <w:r>
        <w:rPr>
          <w:spacing w:val="-7"/>
          <w:w w:val="115"/>
          <w:sz w:val="21"/>
        </w:rPr>
        <w:t> </w:t>
      </w:r>
      <w:r>
        <w:rPr>
          <w:w w:val="115"/>
          <w:sz w:val="21"/>
        </w:rPr>
        <w:t>administration expenses, debts and other </w:t>
      </w:r>
      <w:r>
        <w:rPr>
          <w:spacing w:val="-3"/>
          <w:w w:val="115"/>
          <w:sz w:val="21"/>
        </w:rPr>
        <w:t>liabilities </w:t>
      </w:r>
      <w:r>
        <w:rPr>
          <w:w w:val="115"/>
          <w:sz w:val="21"/>
        </w:rPr>
        <w:t>of the</w:t>
      </w:r>
      <w:r>
        <w:rPr>
          <w:spacing w:val="-1"/>
          <w:w w:val="115"/>
          <w:sz w:val="21"/>
        </w:rPr>
        <w:t> </w:t>
      </w:r>
      <w:r>
        <w:rPr>
          <w:w w:val="115"/>
          <w:sz w:val="21"/>
        </w:rPr>
        <w:t>estate</w:t>
      </w:r>
    </w:p>
    <w:p>
      <w:pPr>
        <w:pStyle w:val="ListParagraph"/>
        <w:numPr>
          <w:ilvl w:val="2"/>
          <w:numId w:val="62"/>
        </w:numPr>
        <w:tabs>
          <w:tab w:pos="2722" w:val="left" w:leader="none"/>
        </w:tabs>
        <w:spacing w:line="240" w:lineRule="auto" w:before="122" w:after="0"/>
        <w:ind w:left="2722" w:right="0" w:hanging="341"/>
        <w:jc w:val="left"/>
        <w:rPr>
          <w:sz w:val="21"/>
        </w:rPr>
      </w:pPr>
      <w:r>
        <w:rPr>
          <w:w w:val="115"/>
          <w:sz w:val="21"/>
        </w:rPr>
        <w:t>the property is perishable or </w:t>
      </w:r>
      <w:r>
        <w:rPr>
          <w:spacing w:val="-3"/>
          <w:w w:val="115"/>
          <w:sz w:val="21"/>
        </w:rPr>
        <w:t>likely </w:t>
      </w:r>
      <w:r>
        <w:rPr>
          <w:w w:val="115"/>
          <w:sz w:val="21"/>
        </w:rPr>
        <w:t>to decrease rapidly in</w:t>
      </w:r>
      <w:r>
        <w:rPr>
          <w:spacing w:val="-1"/>
          <w:w w:val="115"/>
          <w:sz w:val="21"/>
        </w:rPr>
        <w:t> </w:t>
      </w:r>
      <w:r>
        <w:rPr>
          <w:spacing w:val="-3"/>
          <w:w w:val="115"/>
          <w:sz w:val="21"/>
        </w:rPr>
        <w:t>value.</w:t>
      </w:r>
    </w:p>
    <w:p>
      <w:pPr>
        <w:pStyle w:val="ListParagraph"/>
        <w:numPr>
          <w:ilvl w:val="1"/>
          <w:numId w:val="62"/>
        </w:numPr>
        <w:tabs>
          <w:tab w:pos="2381" w:val="left" w:leader="none"/>
          <w:tab w:pos="2383" w:val="left" w:leader="none"/>
        </w:tabs>
        <w:spacing w:line="242" w:lineRule="auto" w:before="124" w:after="0"/>
        <w:ind w:left="2382" w:right="2134" w:hanging="567"/>
        <w:jc w:val="left"/>
        <w:rPr>
          <w:sz w:val="21"/>
        </w:rPr>
      </w:pPr>
      <w:r>
        <w:rPr>
          <w:w w:val="115"/>
          <w:sz w:val="21"/>
        </w:rPr>
        <w:t>Details of the expanded right of the deceased person’s partner to elect to acquire property from the intestate estate, including in relation to notice requirements,</w:t>
      </w:r>
      <w:r>
        <w:rPr>
          <w:spacing w:val="-7"/>
          <w:w w:val="115"/>
          <w:sz w:val="21"/>
        </w:rPr>
        <w:t> </w:t>
      </w:r>
      <w:r>
        <w:rPr>
          <w:w w:val="115"/>
          <w:sz w:val="21"/>
        </w:rPr>
        <w:t>time</w:t>
      </w:r>
      <w:r>
        <w:rPr>
          <w:spacing w:val="-6"/>
          <w:w w:val="115"/>
          <w:sz w:val="21"/>
        </w:rPr>
        <w:t> </w:t>
      </w:r>
      <w:r>
        <w:rPr>
          <w:w w:val="115"/>
          <w:sz w:val="21"/>
        </w:rPr>
        <w:t>limits</w:t>
      </w:r>
      <w:r>
        <w:rPr>
          <w:spacing w:val="-7"/>
          <w:w w:val="115"/>
          <w:sz w:val="21"/>
        </w:rPr>
        <w:t> </w:t>
      </w:r>
      <w:r>
        <w:rPr>
          <w:w w:val="115"/>
          <w:sz w:val="21"/>
        </w:rPr>
        <w:t>and</w:t>
      </w:r>
      <w:r>
        <w:rPr>
          <w:spacing w:val="-6"/>
          <w:w w:val="115"/>
          <w:sz w:val="21"/>
        </w:rPr>
        <w:t> </w:t>
      </w:r>
      <w:r>
        <w:rPr>
          <w:spacing w:val="-3"/>
          <w:w w:val="115"/>
          <w:sz w:val="21"/>
        </w:rPr>
        <w:t>valuation</w:t>
      </w:r>
      <w:r>
        <w:rPr>
          <w:spacing w:val="-6"/>
          <w:w w:val="115"/>
          <w:sz w:val="21"/>
        </w:rPr>
        <w:t> </w:t>
      </w:r>
      <w:r>
        <w:rPr>
          <w:w w:val="115"/>
          <w:sz w:val="21"/>
        </w:rPr>
        <w:t>of</w:t>
      </w:r>
      <w:r>
        <w:rPr>
          <w:spacing w:val="-7"/>
          <w:w w:val="115"/>
          <w:sz w:val="21"/>
        </w:rPr>
        <w:t> </w:t>
      </w:r>
      <w:r>
        <w:rPr>
          <w:w w:val="115"/>
          <w:sz w:val="21"/>
        </w:rPr>
        <w:t>property,</w:t>
      </w:r>
      <w:r>
        <w:rPr>
          <w:spacing w:val="-6"/>
          <w:w w:val="115"/>
          <w:sz w:val="21"/>
        </w:rPr>
        <w:t> </w:t>
      </w:r>
      <w:r>
        <w:rPr>
          <w:w w:val="115"/>
          <w:sz w:val="21"/>
        </w:rPr>
        <w:t>should</w:t>
      </w:r>
      <w:r>
        <w:rPr>
          <w:spacing w:val="-6"/>
          <w:w w:val="115"/>
          <w:sz w:val="21"/>
        </w:rPr>
        <w:t> </w:t>
      </w:r>
      <w:r>
        <w:rPr>
          <w:w w:val="115"/>
          <w:sz w:val="21"/>
        </w:rPr>
        <w:t>be</w:t>
      </w:r>
      <w:r>
        <w:rPr>
          <w:spacing w:val="-7"/>
          <w:w w:val="115"/>
          <w:sz w:val="21"/>
        </w:rPr>
        <w:t> </w:t>
      </w:r>
      <w:r>
        <w:rPr>
          <w:w w:val="115"/>
          <w:sz w:val="21"/>
        </w:rPr>
        <w:t>based</w:t>
      </w:r>
      <w:r>
        <w:rPr>
          <w:spacing w:val="-6"/>
          <w:w w:val="115"/>
          <w:sz w:val="21"/>
        </w:rPr>
        <w:t> </w:t>
      </w:r>
      <w:r>
        <w:rPr>
          <w:w w:val="115"/>
          <w:sz w:val="21"/>
        </w:rPr>
        <w:t>on</w:t>
      </w:r>
      <w:r>
        <w:rPr>
          <w:spacing w:val="-6"/>
          <w:w w:val="115"/>
          <w:sz w:val="21"/>
        </w:rPr>
        <w:t> </w:t>
      </w:r>
      <w:r>
        <w:rPr>
          <w:w w:val="115"/>
          <w:sz w:val="21"/>
        </w:rPr>
        <w:t>the recommendations</w:t>
      </w:r>
      <w:r>
        <w:rPr>
          <w:spacing w:val="-14"/>
          <w:w w:val="115"/>
          <w:sz w:val="21"/>
        </w:rPr>
        <w:t> </w:t>
      </w:r>
      <w:r>
        <w:rPr>
          <w:w w:val="115"/>
          <w:sz w:val="21"/>
        </w:rPr>
        <w:t>of</w:t>
      </w:r>
      <w:r>
        <w:rPr>
          <w:spacing w:val="-13"/>
          <w:w w:val="115"/>
          <w:sz w:val="21"/>
        </w:rPr>
        <w:t> </w:t>
      </w:r>
      <w:r>
        <w:rPr>
          <w:w w:val="115"/>
          <w:sz w:val="21"/>
        </w:rPr>
        <w:t>the</w:t>
      </w:r>
      <w:r>
        <w:rPr>
          <w:spacing w:val="-13"/>
          <w:w w:val="115"/>
          <w:sz w:val="21"/>
        </w:rPr>
        <w:t> </w:t>
      </w:r>
      <w:r>
        <w:rPr>
          <w:w w:val="115"/>
          <w:sz w:val="21"/>
        </w:rPr>
        <w:t>National</w:t>
      </w:r>
      <w:r>
        <w:rPr>
          <w:spacing w:val="-13"/>
          <w:w w:val="115"/>
          <w:sz w:val="21"/>
        </w:rPr>
        <w:t> </w:t>
      </w:r>
      <w:r>
        <w:rPr>
          <w:w w:val="115"/>
          <w:sz w:val="21"/>
        </w:rPr>
        <w:t>Committee</w:t>
      </w:r>
      <w:r>
        <w:rPr>
          <w:spacing w:val="-13"/>
          <w:w w:val="115"/>
          <w:sz w:val="21"/>
        </w:rPr>
        <w:t> </w:t>
      </w:r>
      <w:r>
        <w:rPr>
          <w:w w:val="115"/>
          <w:sz w:val="21"/>
        </w:rPr>
        <w:t>for</w:t>
      </w:r>
      <w:r>
        <w:rPr>
          <w:spacing w:val="-13"/>
          <w:w w:val="115"/>
          <w:sz w:val="21"/>
        </w:rPr>
        <w:t> </w:t>
      </w:r>
      <w:r>
        <w:rPr>
          <w:w w:val="115"/>
          <w:sz w:val="21"/>
        </w:rPr>
        <w:t>Uniform</w:t>
      </w:r>
      <w:r>
        <w:rPr>
          <w:spacing w:val="-13"/>
          <w:w w:val="115"/>
          <w:sz w:val="21"/>
        </w:rPr>
        <w:t> </w:t>
      </w:r>
      <w:r>
        <w:rPr>
          <w:w w:val="115"/>
          <w:sz w:val="21"/>
        </w:rPr>
        <w:t>Succession</w:t>
      </w:r>
      <w:r>
        <w:rPr>
          <w:spacing w:val="-13"/>
          <w:w w:val="115"/>
          <w:sz w:val="21"/>
        </w:rPr>
        <w:t> </w:t>
      </w:r>
      <w:r>
        <w:rPr>
          <w:w w:val="115"/>
          <w:sz w:val="21"/>
        </w:rPr>
        <w:t>Laws,</w:t>
      </w:r>
    </w:p>
    <w:p>
      <w:pPr>
        <w:tabs>
          <w:tab w:pos="2381" w:val="left" w:leader="none"/>
        </w:tabs>
        <w:spacing w:before="1"/>
        <w:ind w:left="720" w:right="0" w:firstLine="0"/>
        <w:jc w:val="left"/>
        <w:rPr>
          <w:sz w:val="21"/>
        </w:rPr>
      </w:pPr>
      <w:r>
        <w:rPr>
          <w:b/>
          <w:color w:val="EC5A4F"/>
          <w:spacing w:val="-4"/>
          <w:w w:val="105"/>
          <w:position w:val="-15"/>
          <w:sz w:val="24"/>
        </w:rPr>
        <w:t>76</w:t>
        <w:tab/>
      </w:r>
      <w:r>
        <w:rPr>
          <w:w w:val="105"/>
          <w:sz w:val="21"/>
        </w:rPr>
        <w:t>as reflected in sections </w:t>
      </w:r>
      <w:r>
        <w:rPr>
          <w:spacing w:val="-8"/>
          <w:w w:val="105"/>
          <w:sz w:val="21"/>
        </w:rPr>
        <w:t>114–121 </w:t>
      </w:r>
      <w:r>
        <w:rPr>
          <w:w w:val="105"/>
          <w:sz w:val="21"/>
        </w:rPr>
        <w:t>of the </w:t>
      </w:r>
      <w:r>
        <w:rPr>
          <w:rFonts w:ascii="Lucida Sans" w:hAnsi="Lucida Sans"/>
          <w:i/>
          <w:w w:val="105"/>
          <w:sz w:val="21"/>
        </w:rPr>
        <w:t>Succession Act 2006</w:t>
      </w:r>
      <w:r>
        <w:rPr>
          <w:rFonts w:ascii="Lucida Sans" w:hAnsi="Lucida Sans"/>
          <w:i/>
          <w:spacing w:val="-37"/>
          <w:w w:val="105"/>
          <w:sz w:val="21"/>
        </w:rPr>
        <w:t> </w:t>
      </w:r>
      <w:r>
        <w:rPr>
          <w:spacing w:val="3"/>
          <w:w w:val="105"/>
          <w:sz w:val="21"/>
        </w:rPr>
        <w:t>(NSW).</w:t>
      </w:r>
    </w:p>
    <w:p>
      <w:pPr>
        <w:spacing w:after="0"/>
        <w:jc w:val="left"/>
        <w:rPr>
          <w:sz w:val="21"/>
        </w:rPr>
        <w:sectPr>
          <w:pgSz w:w="11910" w:h="16840"/>
          <w:pgMar w:header="550" w:footer="0" w:top="1560" w:bottom="280" w:left="0" w:right="0"/>
        </w:sectPr>
      </w:pPr>
    </w:p>
    <w:p>
      <w:pPr>
        <w:pStyle w:val="BodyText"/>
        <w:rPr>
          <w:sz w:val="20"/>
        </w:rPr>
      </w:pPr>
    </w:p>
    <w:p>
      <w:pPr>
        <w:pStyle w:val="BodyText"/>
        <w:spacing w:before="6"/>
        <w:rPr>
          <w:sz w:val="17"/>
        </w:rPr>
      </w:pPr>
    </w:p>
    <w:p>
      <w:pPr>
        <w:pStyle w:val="Heading4"/>
        <w:spacing w:before="99"/>
      </w:pPr>
      <w:bookmarkStart w:name="_TOC_250045" w:id="71"/>
      <w:bookmarkStart w:name="Multiple partners" w:id="72"/>
      <w:r>
        <w:rPr>
          <w:b w:val="0"/>
        </w:rPr>
      </w:r>
      <w:bookmarkEnd w:id="71"/>
      <w:r>
        <w:rPr>
          <w:color w:val="EC5A4F"/>
          <w:w w:val="110"/>
        </w:rPr>
        <w:t>Multiple partners</w:t>
      </w:r>
    </w:p>
    <w:p>
      <w:pPr>
        <w:pStyle w:val="Heading5"/>
        <w:spacing w:before="166"/>
      </w:pPr>
      <w:bookmarkStart w:name="_TOC_250044" w:id="73"/>
      <w:bookmarkEnd w:id="73"/>
      <w:r>
        <w:rPr>
          <w:w w:val="115"/>
        </w:rPr>
        <w:t>Current law</w:t>
      </w:r>
    </w:p>
    <w:p>
      <w:pPr>
        <w:pStyle w:val="ListParagraph"/>
        <w:numPr>
          <w:ilvl w:val="1"/>
          <w:numId w:val="22"/>
        </w:numPr>
        <w:tabs>
          <w:tab w:pos="2381" w:val="left" w:leader="none"/>
          <w:tab w:pos="2382" w:val="left" w:leader="none"/>
        </w:tabs>
        <w:spacing w:line="240" w:lineRule="auto" w:before="137" w:after="0"/>
        <w:ind w:left="2381" w:right="0" w:hanging="794"/>
        <w:jc w:val="left"/>
        <w:rPr>
          <w:sz w:val="21"/>
        </w:rPr>
      </w:pPr>
      <w:r>
        <w:rPr>
          <w:w w:val="105"/>
          <w:sz w:val="21"/>
        </w:rPr>
        <w:t>As </w:t>
      </w:r>
      <w:r>
        <w:rPr>
          <w:spacing w:val="-3"/>
          <w:w w:val="105"/>
          <w:sz w:val="21"/>
        </w:rPr>
        <w:t>noted above, </w:t>
      </w:r>
      <w:r>
        <w:rPr>
          <w:w w:val="105"/>
          <w:sz w:val="21"/>
        </w:rPr>
        <w:t>it is possible </w:t>
      </w:r>
      <w:r>
        <w:rPr>
          <w:spacing w:val="-3"/>
          <w:w w:val="105"/>
          <w:sz w:val="21"/>
        </w:rPr>
        <w:t>for </w:t>
      </w:r>
      <w:r>
        <w:rPr>
          <w:w w:val="105"/>
          <w:sz w:val="21"/>
        </w:rPr>
        <w:t>a deceased person </w:t>
      </w:r>
      <w:r>
        <w:rPr>
          <w:spacing w:val="-3"/>
          <w:w w:val="105"/>
          <w:sz w:val="21"/>
        </w:rPr>
        <w:t>to</w:t>
      </w:r>
      <w:r>
        <w:rPr>
          <w:spacing w:val="6"/>
          <w:w w:val="105"/>
          <w:sz w:val="21"/>
        </w:rPr>
        <w:t> </w:t>
      </w:r>
      <w:r>
        <w:rPr>
          <w:w w:val="105"/>
          <w:sz w:val="21"/>
        </w:rPr>
        <w:t>be survived by both:</w:t>
      </w:r>
    </w:p>
    <w:p>
      <w:pPr>
        <w:pStyle w:val="ListParagraph"/>
        <w:numPr>
          <w:ilvl w:val="2"/>
          <w:numId w:val="22"/>
        </w:numPr>
        <w:tabs>
          <w:tab w:pos="2721" w:val="left" w:leader="none"/>
          <w:tab w:pos="2722" w:val="left" w:leader="none"/>
        </w:tabs>
        <w:spacing w:line="240" w:lineRule="auto" w:before="124" w:after="0"/>
        <w:ind w:left="2721" w:right="0" w:hanging="340"/>
        <w:jc w:val="left"/>
        <w:rPr>
          <w:sz w:val="21"/>
        </w:rPr>
      </w:pPr>
      <w:r>
        <w:rPr>
          <w:w w:val="105"/>
          <w:sz w:val="21"/>
        </w:rPr>
        <w:t>a </w:t>
      </w:r>
      <w:r>
        <w:rPr>
          <w:spacing w:val="-3"/>
          <w:w w:val="105"/>
          <w:sz w:val="21"/>
        </w:rPr>
        <w:t>spouse, registered </w:t>
      </w:r>
      <w:r>
        <w:rPr>
          <w:w w:val="105"/>
          <w:sz w:val="21"/>
        </w:rPr>
        <w:t>domestic partner or </w:t>
      </w:r>
      <w:r>
        <w:rPr>
          <w:spacing w:val="-3"/>
          <w:w w:val="105"/>
          <w:sz w:val="21"/>
        </w:rPr>
        <w:t>registered caring partner,</w:t>
      </w:r>
      <w:r>
        <w:rPr>
          <w:spacing w:val="-2"/>
          <w:w w:val="105"/>
          <w:sz w:val="21"/>
        </w:rPr>
        <w:t> </w:t>
      </w:r>
      <w:r>
        <w:rPr>
          <w:w w:val="105"/>
          <w:sz w:val="21"/>
        </w:rPr>
        <w:t>and</w:t>
      </w:r>
    </w:p>
    <w:p>
      <w:pPr>
        <w:pStyle w:val="ListParagraph"/>
        <w:numPr>
          <w:ilvl w:val="2"/>
          <w:numId w:val="22"/>
        </w:numPr>
        <w:tabs>
          <w:tab w:pos="2721" w:val="left" w:leader="none"/>
          <w:tab w:pos="2722" w:val="left" w:leader="none"/>
        </w:tabs>
        <w:spacing w:line="240" w:lineRule="auto" w:before="124" w:after="0"/>
        <w:ind w:left="2721" w:right="0" w:hanging="340"/>
        <w:jc w:val="left"/>
        <w:rPr>
          <w:sz w:val="12"/>
        </w:rPr>
      </w:pPr>
      <w:r>
        <w:rPr>
          <w:w w:val="105"/>
          <w:sz w:val="21"/>
        </w:rPr>
        <w:t>an </w:t>
      </w:r>
      <w:r>
        <w:rPr>
          <w:spacing w:val="-3"/>
          <w:w w:val="105"/>
          <w:sz w:val="21"/>
        </w:rPr>
        <w:t>unregistered </w:t>
      </w:r>
      <w:r>
        <w:rPr>
          <w:w w:val="105"/>
          <w:sz w:val="21"/>
        </w:rPr>
        <w:t>domestic</w:t>
      </w:r>
      <w:r>
        <w:rPr>
          <w:spacing w:val="18"/>
          <w:w w:val="105"/>
          <w:sz w:val="21"/>
        </w:rPr>
        <w:t> </w:t>
      </w:r>
      <w:r>
        <w:rPr>
          <w:spacing w:val="-5"/>
          <w:w w:val="105"/>
          <w:sz w:val="21"/>
        </w:rPr>
        <w:t>partner.</w:t>
      </w:r>
      <w:r>
        <w:rPr>
          <w:spacing w:val="-5"/>
          <w:w w:val="105"/>
          <w:position w:val="7"/>
          <w:sz w:val="12"/>
        </w:rPr>
        <w:t>165</w:t>
      </w:r>
    </w:p>
    <w:p>
      <w:pPr>
        <w:pStyle w:val="ListParagraph"/>
        <w:numPr>
          <w:ilvl w:val="1"/>
          <w:numId w:val="22"/>
        </w:numPr>
        <w:tabs>
          <w:tab w:pos="2381" w:val="left" w:leader="none"/>
          <w:tab w:pos="2382" w:val="left" w:leader="none"/>
        </w:tabs>
        <w:spacing w:line="242" w:lineRule="auto" w:before="123" w:after="0"/>
        <w:ind w:left="2381" w:right="1781" w:hanging="794"/>
        <w:jc w:val="left"/>
        <w:rPr>
          <w:sz w:val="12"/>
        </w:rPr>
      </w:pPr>
      <w:r>
        <w:rPr>
          <w:sz w:val="21"/>
        </w:rPr>
        <w:t>The </w:t>
      </w:r>
      <w:r>
        <w:rPr>
          <w:spacing w:val="-3"/>
          <w:sz w:val="21"/>
        </w:rPr>
        <w:t>Administration </w:t>
      </w:r>
      <w:r>
        <w:rPr>
          <w:sz w:val="21"/>
        </w:rPr>
        <w:t>and </w:t>
      </w:r>
      <w:r>
        <w:rPr>
          <w:spacing w:val="-3"/>
          <w:sz w:val="21"/>
        </w:rPr>
        <w:t>Probate </w:t>
      </w:r>
      <w:r>
        <w:rPr>
          <w:sz w:val="21"/>
        </w:rPr>
        <w:t>Act establishes a </w:t>
      </w:r>
      <w:r>
        <w:rPr>
          <w:spacing w:val="-3"/>
          <w:sz w:val="21"/>
        </w:rPr>
        <w:t>sliding </w:t>
      </w:r>
      <w:r>
        <w:rPr>
          <w:sz w:val="21"/>
        </w:rPr>
        <w:t>scale </w:t>
      </w:r>
      <w:r>
        <w:rPr>
          <w:spacing w:val="-3"/>
          <w:sz w:val="21"/>
        </w:rPr>
        <w:t>to determine </w:t>
      </w:r>
      <w:r>
        <w:rPr>
          <w:sz w:val="21"/>
        </w:rPr>
        <w:t>how the partner’s </w:t>
      </w:r>
      <w:r>
        <w:rPr>
          <w:spacing w:val="-3"/>
          <w:sz w:val="21"/>
        </w:rPr>
        <w:t>share </w:t>
      </w:r>
      <w:r>
        <w:rPr>
          <w:sz w:val="21"/>
        </w:rPr>
        <w:t>is </w:t>
      </w:r>
      <w:r>
        <w:rPr>
          <w:spacing w:val="-3"/>
          <w:sz w:val="21"/>
        </w:rPr>
        <w:t>to </w:t>
      </w:r>
      <w:r>
        <w:rPr>
          <w:sz w:val="21"/>
        </w:rPr>
        <w:t>be </w:t>
      </w:r>
      <w:r>
        <w:rPr>
          <w:spacing w:val="-3"/>
          <w:sz w:val="21"/>
        </w:rPr>
        <w:t>distributed </w:t>
      </w:r>
      <w:r>
        <w:rPr>
          <w:sz w:val="21"/>
        </w:rPr>
        <w:t>between the </w:t>
      </w:r>
      <w:r>
        <w:rPr>
          <w:spacing w:val="-3"/>
          <w:sz w:val="21"/>
        </w:rPr>
        <w:t>partners.</w:t>
      </w:r>
      <w:r>
        <w:rPr>
          <w:spacing w:val="-3"/>
          <w:position w:val="7"/>
          <w:sz w:val="12"/>
        </w:rPr>
        <w:t>166 </w:t>
      </w:r>
      <w:r>
        <w:rPr>
          <w:sz w:val="21"/>
        </w:rPr>
        <w:t>The partner’s </w:t>
      </w:r>
      <w:r>
        <w:rPr>
          <w:spacing w:val="-3"/>
          <w:sz w:val="21"/>
        </w:rPr>
        <w:t>share may </w:t>
      </w:r>
      <w:r>
        <w:rPr>
          <w:sz w:val="21"/>
        </w:rPr>
        <w:t>comprise the </w:t>
      </w:r>
      <w:r>
        <w:rPr>
          <w:spacing w:val="-3"/>
          <w:sz w:val="21"/>
        </w:rPr>
        <w:t>entire intestate estate, </w:t>
      </w:r>
      <w:r>
        <w:rPr>
          <w:sz w:val="21"/>
        </w:rPr>
        <w:t>if there </w:t>
      </w:r>
      <w:r>
        <w:rPr>
          <w:spacing w:val="-3"/>
          <w:sz w:val="21"/>
        </w:rPr>
        <w:t>are  </w:t>
      </w:r>
      <w:r>
        <w:rPr>
          <w:sz w:val="21"/>
        </w:rPr>
        <w:t>no </w:t>
      </w:r>
      <w:r>
        <w:rPr>
          <w:spacing w:val="-3"/>
          <w:sz w:val="21"/>
        </w:rPr>
        <w:t>children</w:t>
      </w:r>
      <w:r>
        <w:rPr>
          <w:spacing w:val="41"/>
          <w:sz w:val="21"/>
        </w:rPr>
        <w:t> </w:t>
      </w:r>
      <w:r>
        <w:rPr>
          <w:sz w:val="21"/>
        </w:rPr>
        <w:t>or other issue who </w:t>
      </w:r>
      <w:r>
        <w:rPr>
          <w:spacing w:val="-3"/>
          <w:sz w:val="21"/>
        </w:rPr>
        <w:t>are </w:t>
      </w:r>
      <w:r>
        <w:rPr>
          <w:sz w:val="21"/>
        </w:rPr>
        <w:t>entitled </w:t>
      </w:r>
      <w:r>
        <w:rPr>
          <w:spacing w:val="-3"/>
          <w:sz w:val="21"/>
        </w:rPr>
        <w:t>to </w:t>
      </w:r>
      <w:r>
        <w:rPr>
          <w:sz w:val="21"/>
        </w:rPr>
        <w:t>a </w:t>
      </w:r>
      <w:r>
        <w:rPr>
          <w:spacing w:val="-3"/>
          <w:sz w:val="21"/>
        </w:rPr>
        <w:t>share </w:t>
      </w:r>
      <w:r>
        <w:rPr>
          <w:sz w:val="21"/>
        </w:rPr>
        <w:t>on </w:t>
      </w:r>
      <w:r>
        <w:rPr>
          <w:spacing w:val="-3"/>
          <w:sz w:val="21"/>
        </w:rPr>
        <w:t>intestacy, </w:t>
      </w:r>
      <w:r>
        <w:rPr>
          <w:sz w:val="21"/>
        </w:rPr>
        <w:t>or it </w:t>
      </w:r>
      <w:r>
        <w:rPr>
          <w:spacing w:val="-3"/>
          <w:sz w:val="21"/>
        </w:rPr>
        <w:t>may </w:t>
      </w:r>
      <w:r>
        <w:rPr>
          <w:sz w:val="21"/>
        </w:rPr>
        <w:t>comprise a part of the </w:t>
      </w:r>
      <w:r>
        <w:rPr>
          <w:spacing w:val="-3"/>
          <w:sz w:val="21"/>
        </w:rPr>
        <w:t>intestate estate, </w:t>
      </w:r>
      <w:r>
        <w:rPr>
          <w:sz w:val="21"/>
        </w:rPr>
        <w:t>in </w:t>
      </w:r>
      <w:r>
        <w:rPr>
          <w:spacing w:val="-3"/>
          <w:sz w:val="21"/>
        </w:rPr>
        <w:t>accordance </w:t>
      </w:r>
      <w:r>
        <w:rPr>
          <w:sz w:val="21"/>
        </w:rPr>
        <w:t>with the rules </w:t>
      </w:r>
      <w:r>
        <w:rPr>
          <w:spacing w:val="-3"/>
          <w:sz w:val="21"/>
        </w:rPr>
        <w:t>for </w:t>
      </w:r>
      <w:r>
        <w:rPr>
          <w:spacing w:val="-2"/>
          <w:sz w:val="21"/>
        </w:rPr>
        <w:t>distribution </w:t>
      </w:r>
      <w:r>
        <w:rPr>
          <w:sz w:val="21"/>
        </w:rPr>
        <w:t>when the deceased person is survived by both partner(s) and </w:t>
      </w:r>
      <w:r>
        <w:rPr>
          <w:spacing w:val="-3"/>
          <w:sz w:val="21"/>
        </w:rPr>
        <w:t>children </w:t>
      </w:r>
      <w:r>
        <w:rPr>
          <w:sz w:val="21"/>
        </w:rPr>
        <w:t>or other</w:t>
      </w:r>
      <w:r>
        <w:rPr>
          <w:spacing w:val="46"/>
          <w:sz w:val="21"/>
        </w:rPr>
        <w:t> </w:t>
      </w:r>
      <w:r>
        <w:rPr>
          <w:spacing w:val="-5"/>
          <w:sz w:val="21"/>
        </w:rPr>
        <w:t>issue.</w:t>
      </w:r>
      <w:r>
        <w:rPr>
          <w:spacing w:val="-5"/>
          <w:position w:val="7"/>
          <w:sz w:val="12"/>
        </w:rPr>
        <w:t>167</w:t>
      </w:r>
    </w:p>
    <w:p>
      <w:pPr>
        <w:pStyle w:val="ListParagraph"/>
        <w:numPr>
          <w:ilvl w:val="1"/>
          <w:numId w:val="22"/>
        </w:numPr>
        <w:tabs>
          <w:tab w:pos="2381" w:val="left" w:leader="none"/>
          <w:tab w:pos="2382" w:val="left" w:leader="none"/>
        </w:tabs>
        <w:spacing w:line="242" w:lineRule="auto" w:before="127" w:after="0"/>
        <w:ind w:left="2381" w:right="1902" w:hanging="794"/>
        <w:jc w:val="left"/>
        <w:rPr>
          <w:sz w:val="21"/>
        </w:rPr>
      </w:pPr>
      <w:r>
        <w:rPr>
          <w:sz w:val="21"/>
        </w:rPr>
        <w:t>Where the deceased person is survived by more </w:t>
      </w:r>
      <w:r>
        <w:rPr>
          <w:spacing w:val="-3"/>
          <w:sz w:val="21"/>
        </w:rPr>
        <w:t>than </w:t>
      </w:r>
      <w:r>
        <w:rPr>
          <w:sz w:val="21"/>
        </w:rPr>
        <w:t>one </w:t>
      </w:r>
      <w:r>
        <w:rPr>
          <w:spacing w:val="-3"/>
          <w:sz w:val="21"/>
        </w:rPr>
        <w:t>partner, </w:t>
      </w:r>
      <w:r>
        <w:rPr>
          <w:sz w:val="21"/>
        </w:rPr>
        <w:t>the portion of the partner’s </w:t>
      </w:r>
      <w:r>
        <w:rPr>
          <w:spacing w:val="-3"/>
          <w:sz w:val="21"/>
        </w:rPr>
        <w:t>share that </w:t>
      </w:r>
      <w:r>
        <w:rPr>
          <w:sz w:val="21"/>
        </w:rPr>
        <w:t>each partner </w:t>
      </w:r>
      <w:r>
        <w:rPr>
          <w:spacing w:val="-3"/>
          <w:sz w:val="21"/>
        </w:rPr>
        <w:t>will </w:t>
      </w:r>
      <w:r>
        <w:rPr>
          <w:sz w:val="21"/>
        </w:rPr>
        <w:t>receive depends on the length of the </w:t>
      </w:r>
      <w:r>
        <w:rPr>
          <w:spacing w:val="-3"/>
          <w:sz w:val="21"/>
        </w:rPr>
        <w:t>relationship </w:t>
      </w:r>
      <w:r>
        <w:rPr>
          <w:sz w:val="21"/>
        </w:rPr>
        <w:t>between the deceased person and their </w:t>
      </w:r>
      <w:r>
        <w:rPr>
          <w:spacing w:val="-3"/>
          <w:sz w:val="21"/>
        </w:rPr>
        <w:t>unregistered </w:t>
      </w:r>
      <w:r>
        <w:rPr>
          <w:sz w:val="21"/>
        </w:rPr>
        <w:t>domestic </w:t>
      </w:r>
      <w:r>
        <w:rPr>
          <w:spacing w:val="-4"/>
          <w:sz w:val="21"/>
        </w:rPr>
        <w:t>partner.</w:t>
      </w:r>
      <w:r>
        <w:rPr>
          <w:spacing w:val="-4"/>
          <w:position w:val="7"/>
          <w:sz w:val="12"/>
        </w:rPr>
        <w:t>168 </w:t>
      </w:r>
      <w:r>
        <w:rPr>
          <w:spacing w:val="-7"/>
          <w:sz w:val="21"/>
        </w:rPr>
        <w:t>To </w:t>
      </w:r>
      <w:r>
        <w:rPr>
          <w:sz w:val="21"/>
        </w:rPr>
        <w:t>be recognised as the deceased </w:t>
      </w:r>
      <w:r>
        <w:rPr>
          <w:spacing w:val="-3"/>
          <w:sz w:val="21"/>
        </w:rPr>
        <w:t>person’s  unregistered  </w:t>
      </w:r>
      <w:r>
        <w:rPr>
          <w:sz w:val="21"/>
        </w:rPr>
        <w:t>domestic partner </w:t>
      </w:r>
      <w:r>
        <w:rPr>
          <w:spacing w:val="-3"/>
          <w:sz w:val="21"/>
        </w:rPr>
        <w:t>for</w:t>
      </w:r>
      <w:r>
        <w:rPr>
          <w:spacing w:val="41"/>
          <w:sz w:val="21"/>
        </w:rPr>
        <w:t> </w:t>
      </w:r>
      <w:r>
        <w:rPr>
          <w:sz w:val="21"/>
        </w:rPr>
        <w:t>the purposes    of </w:t>
      </w:r>
      <w:r>
        <w:rPr>
          <w:spacing w:val="-3"/>
          <w:sz w:val="21"/>
        </w:rPr>
        <w:t>intestacy, </w:t>
      </w:r>
      <w:r>
        <w:rPr>
          <w:sz w:val="21"/>
        </w:rPr>
        <w:t>a person</w:t>
      </w:r>
      <w:r>
        <w:rPr>
          <w:spacing w:val="37"/>
          <w:sz w:val="21"/>
        </w:rPr>
        <w:t> </w:t>
      </w:r>
      <w:r>
        <w:rPr>
          <w:sz w:val="21"/>
        </w:rPr>
        <w:t>must:</w:t>
      </w:r>
    </w:p>
    <w:p>
      <w:pPr>
        <w:pStyle w:val="ListParagraph"/>
        <w:numPr>
          <w:ilvl w:val="2"/>
          <w:numId w:val="22"/>
        </w:numPr>
        <w:tabs>
          <w:tab w:pos="2721" w:val="left" w:leader="none"/>
          <w:tab w:pos="2722" w:val="left" w:leader="none"/>
        </w:tabs>
        <w:spacing w:line="242" w:lineRule="auto" w:before="125" w:after="0"/>
        <w:ind w:left="2721" w:right="1858" w:hanging="340"/>
        <w:jc w:val="left"/>
        <w:rPr>
          <w:sz w:val="21"/>
        </w:rPr>
      </w:pPr>
      <w:r>
        <w:rPr>
          <w:spacing w:val="-3"/>
          <w:w w:val="105"/>
          <w:sz w:val="21"/>
        </w:rPr>
        <w:t>have</w:t>
      </w:r>
      <w:r>
        <w:rPr>
          <w:spacing w:val="-6"/>
          <w:w w:val="105"/>
          <w:sz w:val="21"/>
        </w:rPr>
        <w:t> </w:t>
      </w:r>
      <w:r>
        <w:rPr>
          <w:w w:val="105"/>
          <w:sz w:val="21"/>
        </w:rPr>
        <w:t>been</w:t>
      </w:r>
      <w:r>
        <w:rPr>
          <w:spacing w:val="-6"/>
          <w:w w:val="105"/>
          <w:sz w:val="21"/>
        </w:rPr>
        <w:t> </w:t>
      </w:r>
      <w:r>
        <w:rPr>
          <w:spacing w:val="-3"/>
          <w:w w:val="105"/>
          <w:sz w:val="21"/>
        </w:rPr>
        <w:t>living</w:t>
      </w:r>
      <w:r>
        <w:rPr>
          <w:spacing w:val="-6"/>
          <w:w w:val="105"/>
          <w:sz w:val="21"/>
        </w:rPr>
        <w:t> </w:t>
      </w:r>
      <w:r>
        <w:rPr>
          <w:w w:val="105"/>
          <w:sz w:val="21"/>
        </w:rPr>
        <w:t>with</w:t>
      </w:r>
      <w:r>
        <w:rPr>
          <w:spacing w:val="-6"/>
          <w:w w:val="105"/>
          <w:sz w:val="21"/>
        </w:rPr>
        <w:t> </w:t>
      </w:r>
      <w:r>
        <w:rPr>
          <w:w w:val="105"/>
          <w:sz w:val="21"/>
        </w:rPr>
        <w:t>the</w:t>
      </w:r>
      <w:r>
        <w:rPr>
          <w:spacing w:val="-5"/>
          <w:w w:val="105"/>
          <w:sz w:val="21"/>
        </w:rPr>
        <w:t> </w:t>
      </w:r>
      <w:r>
        <w:rPr>
          <w:w w:val="105"/>
          <w:sz w:val="21"/>
        </w:rPr>
        <w:t>deceased</w:t>
      </w:r>
      <w:r>
        <w:rPr>
          <w:spacing w:val="-6"/>
          <w:w w:val="105"/>
          <w:sz w:val="21"/>
        </w:rPr>
        <w:t> </w:t>
      </w:r>
      <w:r>
        <w:rPr>
          <w:w w:val="105"/>
          <w:sz w:val="21"/>
        </w:rPr>
        <w:t>person</w:t>
      </w:r>
      <w:r>
        <w:rPr>
          <w:spacing w:val="-6"/>
          <w:w w:val="105"/>
          <w:sz w:val="21"/>
        </w:rPr>
        <w:t> </w:t>
      </w:r>
      <w:r>
        <w:rPr>
          <w:w w:val="105"/>
          <w:sz w:val="21"/>
        </w:rPr>
        <w:t>on</w:t>
      </w:r>
      <w:r>
        <w:rPr>
          <w:spacing w:val="-6"/>
          <w:w w:val="105"/>
          <w:sz w:val="21"/>
        </w:rPr>
        <w:t> </w:t>
      </w:r>
      <w:r>
        <w:rPr>
          <w:w w:val="105"/>
          <w:sz w:val="21"/>
        </w:rPr>
        <w:t>a</w:t>
      </w:r>
      <w:r>
        <w:rPr>
          <w:spacing w:val="-5"/>
          <w:w w:val="105"/>
          <w:sz w:val="21"/>
        </w:rPr>
        <w:t> </w:t>
      </w:r>
      <w:r>
        <w:rPr>
          <w:spacing w:val="-3"/>
          <w:w w:val="105"/>
          <w:sz w:val="21"/>
        </w:rPr>
        <w:t>genuine</w:t>
      </w:r>
      <w:r>
        <w:rPr>
          <w:spacing w:val="-6"/>
          <w:w w:val="105"/>
          <w:sz w:val="21"/>
        </w:rPr>
        <w:t> </w:t>
      </w:r>
      <w:r>
        <w:rPr>
          <w:w w:val="105"/>
          <w:sz w:val="21"/>
        </w:rPr>
        <w:t>domestic</w:t>
      </w:r>
      <w:r>
        <w:rPr>
          <w:spacing w:val="-6"/>
          <w:w w:val="105"/>
          <w:sz w:val="21"/>
        </w:rPr>
        <w:t> </w:t>
      </w:r>
      <w:r>
        <w:rPr>
          <w:w w:val="105"/>
          <w:sz w:val="21"/>
        </w:rPr>
        <w:t>basis</w:t>
      </w:r>
      <w:r>
        <w:rPr>
          <w:spacing w:val="-6"/>
          <w:w w:val="105"/>
          <w:sz w:val="21"/>
        </w:rPr>
        <w:t> </w:t>
      </w:r>
      <w:r>
        <w:rPr>
          <w:w w:val="105"/>
          <w:sz w:val="21"/>
        </w:rPr>
        <w:t>at</w:t>
      </w:r>
      <w:r>
        <w:rPr>
          <w:spacing w:val="-5"/>
          <w:w w:val="105"/>
          <w:sz w:val="21"/>
        </w:rPr>
        <w:t> </w:t>
      </w:r>
      <w:r>
        <w:rPr>
          <w:w w:val="105"/>
          <w:sz w:val="21"/>
        </w:rPr>
        <w:t>the</w:t>
      </w:r>
      <w:r>
        <w:rPr>
          <w:spacing w:val="-6"/>
          <w:w w:val="105"/>
          <w:sz w:val="21"/>
        </w:rPr>
        <w:t> </w:t>
      </w:r>
      <w:r>
        <w:rPr>
          <w:w w:val="105"/>
          <w:sz w:val="21"/>
        </w:rPr>
        <w:t>time of the deceased </w:t>
      </w:r>
      <w:r>
        <w:rPr>
          <w:spacing w:val="-3"/>
          <w:w w:val="105"/>
          <w:sz w:val="21"/>
        </w:rPr>
        <w:t>person’s death,</w:t>
      </w:r>
      <w:r>
        <w:rPr>
          <w:spacing w:val="27"/>
          <w:w w:val="105"/>
          <w:sz w:val="21"/>
        </w:rPr>
        <w:t> </w:t>
      </w:r>
      <w:r>
        <w:rPr>
          <w:w w:val="105"/>
          <w:sz w:val="21"/>
        </w:rPr>
        <w:t>and</w:t>
      </w:r>
    </w:p>
    <w:p>
      <w:pPr>
        <w:pStyle w:val="ListParagraph"/>
        <w:numPr>
          <w:ilvl w:val="2"/>
          <w:numId w:val="22"/>
        </w:numPr>
        <w:tabs>
          <w:tab w:pos="2721" w:val="left" w:leader="none"/>
          <w:tab w:pos="2722" w:val="left" w:leader="none"/>
        </w:tabs>
        <w:spacing w:line="242" w:lineRule="auto" w:before="123" w:after="0"/>
        <w:ind w:left="2721" w:right="2075" w:hanging="340"/>
        <w:jc w:val="left"/>
        <w:rPr>
          <w:sz w:val="21"/>
        </w:rPr>
      </w:pPr>
      <w:r>
        <w:rPr>
          <w:spacing w:val="-3"/>
          <w:sz w:val="21"/>
        </w:rPr>
        <w:t>have </w:t>
      </w:r>
      <w:r>
        <w:rPr>
          <w:sz w:val="21"/>
        </w:rPr>
        <w:t>lived in </w:t>
      </w:r>
      <w:r>
        <w:rPr>
          <w:spacing w:val="-3"/>
          <w:sz w:val="21"/>
        </w:rPr>
        <w:t>that manner for </w:t>
      </w:r>
      <w:r>
        <w:rPr>
          <w:sz w:val="21"/>
        </w:rPr>
        <w:t>at least two years </w:t>
      </w:r>
      <w:r>
        <w:rPr>
          <w:spacing w:val="-3"/>
          <w:sz w:val="21"/>
        </w:rPr>
        <w:t>immediately before </w:t>
      </w:r>
      <w:r>
        <w:rPr>
          <w:sz w:val="21"/>
        </w:rPr>
        <w:t>the deceased </w:t>
      </w:r>
      <w:r>
        <w:rPr>
          <w:spacing w:val="-3"/>
          <w:sz w:val="21"/>
        </w:rPr>
        <w:t>person’s death,</w:t>
      </w:r>
      <w:r>
        <w:rPr>
          <w:spacing w:val="20"/>
          <w:sz w:val="21"/>
        </w:rPr>
        <w:t> </w:t>
      </w:r>
      <w:r>
        <w:rPr>
          <w:sz w:val="21"/>
        </w:rPr>
        <w:t>or</w:t>
      </w:r>
    </w:p>
    <w:p>
      <w:pPr>
        <w:pStyle w:val="ListParagraph"/>
        <w:numPr>
          <w:ilvl w:val="2"/>
          <w:numId w:val="22"/>
        </w:numPr>
        <w:tabs>
          <w:tab w:pos="2721" w:val="left" w:leader="none"/>
          <w:tab w:pos="2722" w:val="left" w:leader="none"/>
        </w:tabs>
        <w:spacing w:line="242" w:lineRule="auto" w:before="122" w:after="0"/>
        <w:ind w:left="2721" w:right="1755" w:hanging="340"/>
        <w:jc w:val="left"/>
        <w:rPr>
          <w:sz w:val="12"/>
        </w:rPr>
      </w:pPr>
      <w:r>
        <w:rPr>
          <w:w w:val="105"/>
          <w:sz w:val="21"/>
        </w:rPr>
        <w:t>be the </w:t>
      </w:r>
      <w:r>
        <w:rPr>
          <w:spacing w:val="-3"/>
          <w:w w:val="105"/>
          <w:sz w:val="21"/>
        </w:rPr>
        <w:t>parent </w:t>
      </w:r>
      <w:r>
        <w:rPr>
          <w:w w:val="105"/>
          <w:sz w:val="21"/>
        </w:rPr>
        <w:t>of a </w:t>
      </w:r>
      <w:r>
        <w:rPr>
          <w:spacing w:val="-3"/>
          <w:w w:val="105"/>
          <w:sz w:val="21"/>
        </w:rPr>
        <w:t>child </w:t>
      </w:r>
      <w:r>
        <w:rPr>
          <w:w w:val="105"/>
          <w:sz w:val="21"/>
        </w:rPr>
        <w:t>of the deceased person who was under the age of </w:t>
      </w:r>
      <w:r>
        <w:rPr>
          <w:spacing w:val="-6"/>
          <w:w w:val="105"/>
          <w:sz w:val="21"/>
        </w:rPr>
        <w:t>18 </w:t>
      </w:r>
      <w:r>
        <w:rPr>
          <w:w w:val="105"/>
          <w:sz w:val="21"/>
        </w:rPr>
        <w:t>at the time of the deceased </w:t>
      </w:r>
      <w:r>
        <w:rPr>
          <w:spacing w:val="-3"/>
          <w:w w:val="105"/>
          <w:sz w:val="21"/>
        </w:rPr>
        <w:t>person’s</w:t>
      </w:r>
      <w:r>
        <w:rPr>
          <w:spacing w:val="24"/>
          <w:w w:val="105"/>
          <w:sz w:val="21"/>
        </w:rPr>
        <w:t> </w:t>
      </w:r>
      <w:r>
        <w:rPr>
          <w:spacing w:val="-5"/>
          <w:w w:val="105"/>
          <w:sz w:val="21"/>
        </w:rPr>
        <w:t>death.</w:t>
      </w:r>
      <w:r>
        <w:rPr>
          <w:spacing w:val="-5"/>
          <w:w w:val="105"/>
          <w:position w:val="7"/>
          <w:sz w:val="12"/>
        </w:rPr>
        <w:t>169</w:t>
      </w:r>
    </w:p>
    <w:p>
      <w:pPr>
        <w:pStyle w:val="ListParagraph"/>
        <w:numPr>
          <w:ilvl w:val="1"/>
          <w:numId w:val="22"/>
        </w:numPr>
        <w:tabs>
          <w:tab w:pos="2380" w:val="left" w:leader="none"/>
          <w:tab w:pos="2381" w:val="left" w:leader="none"/>
        </w:tabs>
        <w:spacing w:line="242" w:lineRule="auto" w:before="122" w:after="0"/>
        <w:ind w:left="2381" w:right="1833" w:hanging="794"/>
        <w:jc w:val="left"/>
        <w:rPr>
          <w:sz w:val="12"/>
        </w:rPr>
      </w:pPr>
      <w:r>
        <w:rPr>
          <w:w w:val="105"/>
          <w:sz w:val="21"/>
        </w:rPr>
        <w:t>Once these </w:t>
      </w:r>
      <w:r>
        <w:rPr>
          <w:spacing w:val="-3"/>
          <w:w w:val="105"/>
          <w:sz w:val="21"/>
        </w:rPr>
        <w:t>requirements are </w:t>
      </w:r>
      <w:r>
        <w:rPr>
          <w:w w:val="105"/>
          <w:sz w:val="21"/>
        </w:rPr>
        <w:t>satisfied in </w:t>
      </w:r>
      <w:r>
        <w:rPr>
          <w:spacing w:val="-3"/>
          <w:w w:val="105"/>
          <w:sz w:val="21"/>
        </w:rPr>
        <w:t>relation to </w:t>
      </w:r>
      <w:r>
        <w:rPr>
          <w:w w:val="105"/>
          <w:sz w:val="21"/>
        </w:rPr>
        <w:t>the </w:t>
      </w:r>
      <w:r>
        <w:rPr>
          <w:spacing w:val="-3"/>
          <w:w w:val="105"/>
          <w:sz w:val="21"/>
        </w:rPr>
        <w:t>unregistered </w:t>
      </w:r>
      <w:r>
        <w:rPr>
          <w:w w:val="105"/>
          <w:sz w:val="21"/>
        </w:rPr>
        <w:t>domestic </w:t>
      </w:r>
      <w:r>
        <w:rPr>
          <w:spacing w:val="-3"/>
          <w:w w:val="105"/>
          <w:sz w:val="21"/>
        </w:rPr>
        <w:t>partner, </w:t>
      </w:r>
      <w:r>
        <w:rPr>
          <w:w w:val="105"/>
          <w:sz w:val="21"/>
        </w:rPr>
        <w:t>division</w:t>
      </w:r>
      <w:r>
        <w:rPr>
          <w:spacing w:val="-9"/>
          <w:w w:val="105"/>
          <w:sz w:val="21"/>
        </w:rPr>
        <w:t> </w:t>
      </w:r>
      <w:r>
        <w:rPr>
          <w:w w:val="105"/>
          <w:sz w:val="21"/>
        </w:rPr>
        <w:t>of</w:t>
      </w:r>
      <w:r>
        <w:rPr>
          <w:spacing w:val="-8"/>
          <w:w w:val="105"/>
          <w:sz w:val="21"/>
        </w:rPr>
        <w:t> </w:t>
      </w:r>
      <w:r>
        <w:rPr>
          <w:w w:val="105"/>
          <w:sz w:val="21"/>
        </w:rPr>
        <w:t>the</w:t>
      </w:r>
      <w:r>
        <w:rPr>
          <w:spacing w:val="-8"/>
          <w:w w:val="105"/>
          <w:sz w:val="21"/>
        </w:rPr>
        <w:t> </w:t>
      </w:r>
      <w:r>
        <w:rPr>
          <w:w w:val="105"/>
          <w:sz w:val="21"/>
        </w:rPr>
        <w:t>partner’s</w:t>
      </w:r>
      <w:r>
        <w:rPr>
          <w:spacing w:val="-8"/>
          <w:w w:val="105"/>
          <w:sz w:val="21"/>
        </w:rPr>
        <w:t> </w:t>
      </w:r>
      <w:r>
        <w:rPr>
          <w:spacing w:val="-3"/>
          <w:w w:val="105"/>
          <w:sz w:val="21"/>
        </w:rPr>
        <w:t>share</w:t>
      </w:r>
      <w:r>
        <w:rPr>
          <w:spacing w:val="-8"/>
          <w:w w:val="105"/>
          <w:sz w:val="21"/>
        </w:rPr>
        <w:t> </w:t>
      </w:r>
      <w:r>
        <w:rPr>
          <w:w w:val="105"/>
          <w:sz w:val="21"/>
        </w:rPr>
        <w:t>between</w:t>
      </w:r>
      <w:r>
        <w:rPr>
          <w:spacing w:val="-8"/>
          <w:w w:val="105"/>
          <w:sz w:val="21"/>
        </w:rPr>
        <w:t> </w:t>
      </w:r>
      <w:r>
        <w:rPr>
          <w:w w:val="105"/>
          <w:sz w:val="21"/>
        </w:rPr>
        <w:t>the</w:t>
      </w:r>
      <w:r>
        <w:rPr>
          <w:spacing w:val="-9"/>
          <w:w w:val="105"/>
          <w:sz w:val="21"/>
        </w:rPr>
        <w:t> </w:t>
      </w:r>
      <w:r>
        <w:rPr>
          <w:w w:val="105"/>
          <w:sz w:val="21"/>
        </w:rPr>
        <w:t>partners</w:t>
      </w:r>
      <w:r>
        <w:rPr>
          <w:spacing w:val="-8"/>
          <w:w w:val="105"/>
          <w:sz w:val="21"/>
        </w:rPr>
        <w:t> </w:t>
      </w:r>
      <w:r>
        <w:rPr>
          <w:w w:val="105"/>
          <w:sz w:val="21"/>
        </w:rPr>
        <w:t>is</w:t>
      </w:r>
      <w:r>
        <w:rPr>
          <w:spacing w:val="-8"/>
          <w:w w:val="105"/>
          <w:sz w:val="21"/>
        </w:rPr>
        <w:t> </w:t>
      </w:r>
      <w:r>
        <w:rPr>
          <w:w w:val="105"/>
          <w:sz w:val="21"/>
        </w:rPr>
        <w:t>subject</w:t>
      </w:r>
      <w:r>
        <w:rPr>
          <w:spacing w:val="-8"/>
          <w:w w:val="105"/>
          <w:sz w:val="21"/>
        </w:rPr>
        <w:t> </w:t>
      </w:r>
      <w:r>
        <w:rPr>
          <w:spacing w:val="-3"/>
          <w:w w:val="105"/>
          <w:sz w:val="21"/>
        </w:rPr>
        <w:t>to</w:t>
      </w:r>
      <w:r>
        <w:rPr>
          <w:spacing w:val="-8"/>
          <w:w w:val="105"/>
          <w:sz w:val="21"/>
        </w:rPr>
        <w:t> </w:t>
      </w:r>
      <w:r>
        <w:rPr>
          <w:w w:val="105"/>
          <w:sz w:val="21"/>
        </w:rPr>
        <w:t>the</w:t>
      </w:r>
      <w:r>
        <w:rPr>
          <w:spacing w:val="-8"/>
          <w:w w:val="105"/>
          <w:sz w:val="21"/>
        </w:rPr>
        <w:t> </w:t>
      </w:r>
      <w:r>
        <w:rPr>
          <w:spacing w:val="-3"/>
          <w:w w:val="105"/>
          <w:sz w:val="21"/>
        </w:rPr>
        <w:t>sliding</w:t>
      </w:r>
      <w:r>
        <w:rPr>
          <w:spacing w:val="-8"/>
          <w:w w:val="105"/>
          <w:sz w:val="21"/>
        </w:rPr>
        <w:t> </w:t>
      </w:r>
      <w:r>
        <w:rPr>
          <w:spacing w:val="-3"/>
          <w:w w:val="105"/>
          <w:sz w:val="21"/>
        </w:rPr>
        <w:t>scale,</w:t>
      </w:r>
      <w:r>
        <w:rPr>
          <w:spacing w:val="-9"/>
          <w:w w:val="105"/>
          <w:sz w:val="21"/>
        </w:rPr>
        <w:t> </w:t>
      </w:r>
      <w:r>
        <w:rPr>
          <w:w w:val="105"/>
          <w:sz w:val="21"/>
        </w:rPr>
        <w:t>with the</w:t>
      </w:r>
      <w:r>
        <w:rPr>
          <w:spacing w:val="-9"/>
          <w:w w:val="105"/>
          <w:sz w:val="21"/>
        </w:rPr>
        <w:t> </w:t>
      </w:r>
      <w:r>
        <w:rPr>
          <w:spacing w:val="-3"/>
          <w:w w:val="105"/>
          <w:sz w:val="21"/>
        </w:rPr>
        <w:t>unregistered</w:t>
      </w:r>
      <w:r>
        <w:rPr>
          <w:spacing w:val="-8"/>
          <w:w w:val="105"/>
          <w:sz w:val="21"/>
        </w:rPr>
        <w:t> </w:t>
      </w:r>
      <w:r>
        <w:rPr>
          <w:w w:val="105"/>
          <w:sz w:val="21"/>
        </w:rPr>
        <w:t>domestic</w:t>
      </w:r>
      <w:r>
        <w:rPr>
          <w:spacing w:val="-9"/>
          <w:w w:val="105"/>
          <w:sz w:val="21"/>
        </w:rPr>
        <w:t> </w:t>
      </w:r>
      <w:r>
        <w:rPr>
          <w:w w:val="105"/>
          <w:sz w:val="21"/>
        </w:rPr>
        <w:t>partner</w:t>
      </w:r>
      <w:r>
        <w:rPr>
          <w:spacing w:val="-8"/>
          <w:w w:val="105"/>
          <w:sz w:val="21"/>
        </w:rPr>
        <w:t> </w:t>
      </w:r>
      <w:r>
        <w:rPr>
          <w:spacing w:val="-3"/>
          <w:w w:val="105"/>
          <w:sz w:val="21"/>
        </w:rPr>
        <w:t>receiving</w:t>
      </w:r>
      <w:r>
        <w:rPr>
          <w:spacing w:val="-8"/>
          <w:w w:val="105"/>
          <w:sz w:val="21"/>
        </w:rPr>
        <w:t> </w:t>
      </w:r>
      <w:r>
        <w:rPr>
          <w:w w:val="105"/>
          <w:sz w:val="21"/>
        </w:rPr>
        <w:t>a</w:t>
      </w:r>
      <w:r>
        <w:rPr>
          <w:spacing w:val="-9"/>
          <w:w w:val="105"/>
          <w:sz w:val="21"/>
        </w:rPr>
        <w:t> </w:t>
      </w:r>
      <w:r>
        <w:rPr>
          <w:w w:val="105"/>
          <w:sz w:val="21"/>
        </w:rPr>
        <w:t>larger</w:t>
      </w:r>
      <w:r>
        <w:rPr>
          <w:spacing w:val="-8"/>
          <w:w w:val="105"/>
          <w:sz w:val="21"/>
        </w:rPr>
        <w:t> </w:t>
      </w:r>
      <w:r>
        <w:rPr>
          <w:spacing w:val="-3"/>
          <w:w w:val="105"/>
          <w:sz w:val="21"/>
        </w:rPr>
        <w:t>share</w:t>
      </w:r>
      <w:r>
        <w:rPr>
          <w:spacing w:val="-8"/>
          <w:w w:val="105"/>
          <w:sz w:val="21"/>
        </w:rPr>
        <w:t> </w:t>
      </w:r>
      <w:r>
        <w:rPr>
          <w:w w:val="105"/>
          <w:sz w:val="21"/>
        </w:rPr>
        <w:t>the</w:t>
      </w:r>
      <w:r>
        <w:rPr>
          <w:spacing w:val="-9"/>
          <w:w w:val="105"/>
          <w:sz w:val="21"/>
        </w:rPr>
        <w:t> </w:t>
      </w:r>
      <w:r>
        <w:rPr>
          <w:w w:val="105"/>
          <w:sz w:val="21"/>
        </w:rPr>
        <w:t>longer</w:t>
      </w:r>
      <w:r>
        <w:rPr>
          <w:spacing w:val="-8"/>
          <w:w w:val="105"/>
          <w:sz w:val="21"/>
        </w:rPr>
        <w:t> </w:t>
      </w:r>
      <w:r>
        <w:rPr>
          <w:w w:val="105"/>
          <w:sz w:val="21"/>
        </w:rPr>
        <w:t>the</w:t>
      </w:r>
      <w:r>
        <w:rPr>
          <w:spacing w:val="-9"/>
          <w:w w:val="105"/>
          <w:sz w:val="21"/>
        </w:rPr>
        <w:t> </w:t>
      </w:r>
      <w:r>
        <w:rPr>
          <w:spacing w:val="-5"/>
          <w:w w:val="105"/>
          <w:sz w:val="21"/>
        </w:rPr>
        <w:t>relationship.</w:t>
      </w:r>
      <w:r>
        <w:rPr>
          <w:spacing w:val="-5"/>
          <w:w w:val="105"/>
          <w:position w:val="7"/>
          <w:sz w:val="12"/>
        </w:rPr>
        <w:t>170</w:t>
      </w:r>
      <w:r>
        <w:rPr>
          <w:spacing w:val="-5"/>
          <w:w w:val="105"/>
          <w:sz w:val="12"/>
        </w:rPr>
        <w:t> </w:t>
      </w:r>
      <w:r>
        <w:rPr>
          <w:w w:val="105"/>
          <w:sz w:val="21"/>
        </w:rPr>
        <w:t>If</w:t>
      </w:r>
      <w:r>
        <w:rPr>
          <w:spacing w:val="-8"/>
          <w:w w:val="105"/>
          <w:sz w:val="21"/>
        </w:rPr>
        <w:t> </w:t>
      </w:r>
      <w:r>
        <w:rPr>
          <w:w w:val="105"/>
          <w:sz w:val="21"/>
        </w:rPr>
        <w:t>the</w:t>
      </w:r>
      <w:r>
        <w:rPr>
          <w:spacing w:val="-8"/>
          <w:w w:val="105"/>
          <w:sz w:val="21"/>
        </w:rPr>
        <w:t> </w:t>
      </w:r>
      <w:r>
        <w:rPr>
          <w:spacing w:val="-3"/>
          <w:w w:val="105"/>
          <w:sz w:val="21"/>
        </w:rPr>
        <w:t>unregistered</w:t>
      </w:r>
      <w:r>
        <w:rPr>
          <w:spacing w:val="-8"/>
          <w:w w:val="105"/>
          <w:sz w:val="21"/>
        </w:rPr>
        <w:t> </w:t>
      </w:r>
      <w:r>
        <w:rPr>
          <w:w w:val="105"/>
          <w:sz w:val="21"/>
        </w:rPr>
        <w:t>domestic</w:t>
      </w:r>
      <w:r>
        <w:rPr>
          <w:spacing w:val="-8"/>
          <w:w w:val="105"/>
          <w:sz w:val="21"/>
        </w:rPr>
        <w:t> </w:t>
      </w:r>
      <w:r>
        <w:rPr>
          <w:spacing w:val="-3"/>
          <w:w w:val="105"/>
          <w:sz w:val="21"/>
        </w:rPr>
        <w:t>relationship</w:t>
      </w:r>
      <w:r>
        <w:rPr>
          <w:spacing w:val="-8"/>
          <w:w w:val="105"/>
          <w:sz w:val="21"/>
        </w:rPr>
        <w:t> </w:t>
      </w:r>
      <w:r>
        <w:rPr>
          <w:w w:val="105"/>
          <w:sz w:val="21"/>
        </w:rPr>
        <w:t>is</w:t>
      </w:r>
      <w:r>
        <w:rPr>
          <w:spacing w:val="-8"/>
          <w:w w:val="105"/>
          <w:sz w:val="21"/>
        </w:rPr>
        <w:t> </w:t>
      </w:r>
      <w:r>
        <w:rPr>
          <w:w w:val="105"/>
          <w:sz w:val="21"/>
        </w:rPr>
        <w:t>six</w:t>
      </w:r>
      <w:r>
        <w:rPr>
          <w:spacing w:val="-8"/>
          <w:w w:val="105"/>
          <w:sz w:val="21"/>
        </w:rPr>
        <w:t> </w:t>
      </w:r>
      <w:r>
        <w:rPr>
          <w:w w:val="105"/>
          <w:sz w:val="21"/>
        </w:rPr>
        <w:t>years</w:t>
      </w:r>
      <w:r>
        <w:rPr>
          <w:spacing w:val="-8"/>
          <w:w w:val="105"/>
          <w:sz w:val="21"/>
        </w:rPr>
        <w:t> </w:t>
      </w:r>
      <w:r>
        <w:rPr>
          <w:w w:val="105"/>
          <w:sz w:val="21"/>
        </w:rPr>
        <w:t>or</w:t>
      </w:r>
      <w:r>
        <w:rPr>
          <w:spacing w:val="-8"/>
          <w:w w:val="105"/>
          <w:sz w:val="21"/>
        </w:rPr>
        <w:t> </w:t>
      </w:r>
      <w:r>
        <w:rPr>
          <w:w w:val="105"/>
          <w:sz w:val="21"/>
        </w:rPr>
        <w:t>more</w:t>
      </w:r>
      <w:r>
        <w:rPr>
          <w:spacing w:val="-8"/>
          <w:w w:val="105"/>
          <w:sz w:val="21"/>
        </w:rPr>
        <w:t> </w:t>
      </w:r>
      <w:r>
        <w:rPr>
          <w:w w:val="105"/>
          <w:sz w:val="21"/>
        </w:rPr>
        <w:t>in</w:t>
      </w:r>
      <w:r>
        <w:rPr>
          <w:spacing w:val="-8"/>
          <w:w w:val="105"/>
          <w:sz w:val="21"/>
        </w:rPr>
        <w:t> </w:t>
      </w:r>
      <w:r>
        <w:rPr>
          <w:spacing w:val="-3"/>
          <w:w w:val="105"/>
          <w:sz w:val="21"/>
        </w:rPr>
        <w:t>length,</w:t>
      </w:r>
      <w:r>
        <w:rPr>
          <w:spacing w:val="-8"/>
          <w:w w:val="105"/>
          <w:sz w:val="21"/>
        </w:rPr>
        <w:t> </w:t>
      </w:r>
      <w:r>
        <w:rPr>
          <w:w w:val="105"/>
          <w:sz w:val="21"/>
        </w:rPr>
        <w:t>the</w:t>
      </w:r>
      <w:r>
        <w:rPr>
          <w:spacing w:val="-8"/>
          <w:w w:val="105"/>
          <w:sz w:val="21"/>
        </w:rPr>
        <w:t> </w:t>
      </w:r>
      <w:r>
        <w:rPr>
          <w:spacing w:val="-3"/>
          <w:w w:val="105"/>
          <w:sz w:val="21"/>
        </w:rPr>
        <w:t>unregistered </w:t>
      </w:r>
      <w:r>
        <w:rPr>
          <w:w w:val="105"/>
          <w:sz w:val="21"/>
        </w:rPr>
        <w:t>domestic partner </w:t>
      </w:r>
      <w:r>
        <w:rPr>
          <w:spacing w:val="-3"/>
          <w:w w:val="105"/>
          <w:sz w:val="21"/>
        </w:rPr>
        <w:t>takes to </w:t>
      </w:r>
      <w:r>
        <w:rPr>
          <w:w w:val="105"/>
          <w:sz w:val="21"/>
        </w:rPr>
        <w:t>the </w:t>
      </w:r>
      <w:r>
        <w:rPr>
          <w:spacing w:val="-3"/>
          <w:w w:val="105"/>
          <w:sz w:val="21"/>
        </w:rPr>
        <w:t>exclusion </w:t>
      </w:r>
      <w:r>
        <w:rPr>
          <w:w w:val="105"/>
          <w:sz w:val="21"/>
        </w:rPr>
        <w:t>of the </w:t>
      </w:r>
      <w:r>
        <w:rPr>
          <w:spacing w:val="-3"/>
          <w:w w:val="105"/>
          <w:sz w:val="21"/>
        </w:rPr>
        <w:t>spouse, registered </w:t>
      </w:r>
      <w:r>
        <w:rPr>
          <w:w w:val="105"/>
          <w:sz w:val="21"/>
        </w:rPr>
        <w:t>domestic partner or </w:t>
      </w:r>
      <w:r>
        <w:rPr>
          <w:spacing w:val="-3"/>
          <w:w w:val="105"/>
          <w:sz w:val="21"/>
        </w:rPr>
        <w:t>registered caring</w:t>
      </w:r>
      <w:r>
        <w:rPr>
          <w:spacing w:val="13"/>
          <w:w w:val="105"/>
          <w:sz w:val="21"/>
        </w:rPr>
        <w:t> </w:t>
      </w:r>
      <w:r>
        <w:rPr>
          <w:spacing w:val="-5"/>
          <w:w w:val="105"/>
          <w:sz w:val="21"/>
        </w:rPr>
        <w:t>partner.</w:t>
      </w:r>
      <w:r>
        <w:rPr>
          <w:spacing w:val="-5"/>
          <w:w w:val="105"/>
          <w:position w:val="7"/>
          <w:sz w:val="12"/>
        </w:rPr>
        <w:t>171</w:t>
      </w:r>
    </w:p>
    <w:p>
      <w:pPr>
        <w:pStyle w:val="ListParagraph"/>
        <w:numPr>
          <w:ilvl w:val="1"/>
          <w:numId w:val="22"/>
        </w:numPr>
        <w:tabs>
          <w:tab w:pos="2381" w:val="left" w:leader="none"/>
          <w:tab w:pos="2382" w:val="left" w:leader="none"/>
        </w:tabs>
        <w:spacing w:line="242" w:lineRule="auto" w:before="126" w:after="0"/>
        <w:ind w:left="2381" w:right="1591" w:hanging="794"/>
        <w:jc w:val="left"/>
        <w:rPr>
          <w:sz w:val="21"/>
        </w:rPr>
      </w:pPr>
      <w:r>
        <w:rPr>
          <w:spacing w:val="-3"/>
          <w:sz w:val="21"/>
        </w:rPr>
        <w:t>The </w:t>
      </w:r>
      <w:r>
        <w:rPr>
          <w:spacing w:val="-6"/>
          <w:sz w:val="21"/>
        </w:rPr>
        <w:t>provisions  </w:t>
      </w:r>
      <w:r>
        <w:rPr>
          <w:spacing w:val="-4"/>
          <w:sz w:val="21"/>
        </w:rPr>
        <w:t>in the </w:t>
      </w:r>
      <w:r>
        <w:rPr>
          <w:spacing w:val="-6"/>
          <w:sz w:val="21"/>
        </w:rPr>
        <w:t>Administration  </w:t>
      </w:r>
      <w:r>
        <w:rPr>
          <w:spacing w:val="-4"/>
          <w:sz w:val="21"/>
        </w:rPr>
        <w:t>and </w:t>
      </w:r>
      <w:r>
        <w:rPr>
          <w:spacing w:val="-5"/>
          <w:sz w:val="21"/>
        </w:rPr>
        <w:t>Probate </w:t>
      </w:r>
      <w:r>
        <w:rPr>
          <w:sz w:val="21"/>
        </w:rPr>
        <w:t>Act do </w:t>
      </w:r>
      <w:r>
        <w:rPr>
          <w:spacing w:val="-4"/>
          <w:sz w:val="21"/>
        </w:rPr>
        <w:t>not </w:t>
      </w:r>
      <w:r>
        <w:rPr>
          <w:spacing w:val="-5"/>
          <w:sz w:val="21"/>
        </w:rPr>
        <w:t>appear </w:t>
      </w:r>
      <w:r>
        <w:rPr>
          <w:spacing w:val="-4"/>
          <w:sz w:val="21"/>
        </w:rPr>
        <w:t>to deal with the </w:t>
      </w:r>
      <w:r>
        <w:rPr>
          <w:spacing w:val="-6"/>
          <w:sz w:val="21"/>
        </w:rPr>
        <w:t>situation    </w:t>
      </w:r>
      <w:r>
        <w:rPr>
          <w:spacing w:val="-4"/>
          <w:sz w:val="21"/>
        </w:rPr>
        <w:t>in</w:t>
      </w:r>
      <w:r>
        <w:rPr>
          <w:spacing w:val="12"/>
          <w:sz w:val="21"/>
        </w:rPr>
        <w:t> </w:t>
      </w:r>
      <w:r>
        <w:rPr>
          <w:spacing w:val="-5"/>
          <w:sz w:val="21"/>
        </w:rPr>
        <w:t>which</w:t>
      </w:r>
      <w:r>
        <w:rPr>
          <w:spacing w:val="12"/>
          <w:sz w:val="21"/>
        </w:rPr>
        <w:t> </w:t>
      </w:r>
      <w:r>
        <w:rPr>
          <w:spacing w:val="-4"/>
          <w:sz w:val="21"/>
        </w:rPr>
        <w:t>the</w:t>
      </w:r>
      <w:r>
        <w:rPr>
          <w:spacing w:val="12"/>
          <w:sz w:val="21"/>
        </w:rPr>
        <w:t> </w:t>
      </w:r>
      <w:r>
        <w:rPr>
          <w:spacing w:val="-5"/>
          <w:sz w:val="21"/>
        </w:rPr>
        <w:t>deceased</w:t>
      </w:r>
      <w:r>
        <w:rPr>
          <w:spacing w:val="12"/>
          <w:sz w:val="21"/>
        </w:rPr>
        <w:t> </w:t>
      </w:r>
      <w:r>
        <w:rPr>
          <w:spacing w:val="-4"/>
          <w:sz w:val="21"/>
        </w:rPr>
        <w:t>person</w:t>
      </w:r>
      <w:r>
        <w:rPr>
          <w:spacing w:val="12"/>
          <w:sz w:val="21"/>
        </w:rPr>
        <w:t> </w:t>
      </w:r>
      <w:r>
        <w:rPr>
          <w:spacing w:val="-3"/>
          <w:sz w:val="21"/>
        </w:rPr>
        <w:t>is</w:t>
      </w:r>
      <w:r>
        <w:rPr>
          <w:spacing w:val="12"/>
          <w:sz w:val="21"/>
        </w:rPr>
        <w:t> </w:t>
      </w:r>
      <w:r>
        <w:rPr>
          <w:spacing w:val="-4"/>
          <w:sz w:val="21"/>
        </w:rPr>
        <w:t>survived</w:t>
      </w:r>
      <w:r>
        <w:rPr>
          <w:spacing w:val="13"/>
          <w:sz w:val="21"/>
        </w:rPr>
        <w:t> </w:t>
      </w:r>
      <w:r>
        <w:rPr>
          <w:spacing w:val="-4"/>
          <w:sz w:val="21"/>
        </w:rPr>
        <w:t>by</w:t>
      </w:r>
      <w:r>
        <w:rPr>
          <w:spacing w:val="12"/>
          <w:sz w:val="21"/>
        </w:rPr>
        <w:t> </w:t>
      </w:r>
      <w:r>
        <w:rPr>
          <w:spacing w:val="-4"/>
          <w:sz w:val="21"/>
        </w:rPr>
        <w:t>more</w:t>
      </w:r>
      <w:r>
        <w:rPr>
          <w:spacing w:val="12"/>
          <w:sz w:val="21"/>
        </w:rPr>
        <w:t> </w:t>
      </w:r>
      <w:r>
        <w:rPr>
          <w:spacing w:val="-5"/>
          <w:sz w:val="21"/>
        </w:rPr>
        <w:t>than</w:t>
      </w:r>
      <w:r>
        <w:rPr>
          <w:spacing w:val="12"/>
          <w:sz w:val="21"/>
        </w:rPr>
        <w:t> </w:t>
      </w:r>
      <w:r>
        <w:rPr>
          <w:spacing w:val="-4"/>
          <w:sz w:val="21"/>
        </w:rPr>
        <w:t>one</w:t>
      </w:r>
      <w:r>
        <w:rPr>
          <w:spacing w:val="12"/>
          <w:sz w:val="21"/>
        </w:rPr>
        <w:t> </w:t>
      </w:r>
      <w:r>
        <w:rPr>
          <w:spacing w:val="-6"/>
          <w:sz w:val="21"/>
        </w:rPr>
        <w:t>unregistered</w:t>
      </w:r>
      <w:r>
        <w:rPr>
          <w:spacing w:val="12"/>
          <w:sz w:val="21"/>
        </w:rPr>
        <w:t> </w:t>
      </w:r>
      <w:r>
        <w:rPr>
          <w:spacing w:val="-5"/>
          <w:sz w:val="21"/>
        </w:rPr>
        <w:t>caring</w:t>
      </w:r>
      <w:r>
        <w:rPr>
          <w:spacing w:val="12"/>
          <w:sz w:val="21"/>
        </w:rPr>
        <w:t> </w:t>
      </w:r>
      <w:r>
        <w:rPr>
          <w:spacing w:val="-6"/>
          <w:sz w:val="21"/>
        </w:rPr>
        <w:t>partner.</w:t>
      </w:r>
    </w:p>
    <w:p>
      <w:pPr>
        <w:pStyle w:val="BodyText"/>
        <w:spacing w:before="11"/>
        <w:rPr>
          <w:sz w:val="24"/>
        </w:rPr>
      </w:pPr>
    </w:p>
    <w:p>
      <w:pPr>
        <w:pStyle w:val="Heading5"/>
      </w:pPr>
      <w:bookmarkStart w:name="_TOC_250043" w:id="74"/>
      <w:bookmarkEnd w:id="74"/>
      <w:r>
        <w:rPr>
          <w:w w:val="115"/>
        </w:rPr>
        <w:t>Proposed change</w:t>
      </w:r>
    </w:p>
    <w:p>
      <w:pPr>
        <w:pStyle w:val="ListParagraph"/>
        <w:numPr>
          <w:ilvl w:val="1"/>
          <w:numId w:val="22"/>
        </w:numPr>
        <w:tabs>
          <w:tab w:pos="2380" w:val="left" w:leader="none"/>
          <w:tab w:pos="2381" w:val="left" w:leader="none"/>
        </w:tabs>
        <w:spacing w:line="242" w:lineRule="auto" w:before="138" w:after="0"/>
        <w:ind w:left="2381" w:right="1713" w:hanging="794"/>
        <w:jc w:val="left"/>
        <w:rPr>
          <w:sz w:val="21"/>
        </w:rPr>
      </w:pPr>
      <w:r>
        <w:rPr>
          <w:sz w:val="21"/>
        </w:rPr>
        <w:t>The </w:t>
      </w:r>
      <w:r>
        <w:rPr>
          <w:spacing w:val="-3"/>
          <w:sz w:val="21"/>
        </w:rPr>
        <w:t>National Committee for Uniform Succession </w:t>
      </w:r>
      <w:r>
        <w:rPr>
          <w:sz w:val="21"/>
        </w:rPr>
        <w:t>Laws proposed two </w:t>
      </w:r>
      <w:r>
        <w:rPr>
          <w:spacing w:val="-3"/>
          <w:sz w:val="21"/>
        </w:rPr>
        <w:t>mechanisms for determining shares </w:t>
      </w:r>
      <w:r>
        <w:rPr>
          <w:sz w:val="21"/>
        </w:rPr>
        <w:t>on intestacy when the deceased person is survived by more </w:t>
      </w:r>
      <w:r>
        <w:rPr>
          <w:spacing w:val="-3"/>
          <w:sz w:val="21"/>
        </w:rPr>
        <w:t>than </w:t>
      </w:r>
      <w:r>
        <w:rPr>
          <w:sz w:val="21"/>
        </w:rPr>
        <w:t>one </w:t>
      </w:r>
      <w:r>
        <w:rPr>
          <w:spacing w:val="-3"/>
          <w:sz w:val="21"/>
        </w:rPr>
        <w:t>partner, </w:t>
      </w:r>
      <w:r>
        <w:rPr>
          <w:sz w:val="21"/>
        </w:rPr>
        <w:t>depending on whether the deceased person is also survived by </w:t>
      </w:r>
      <w:r>
        <w:rPr>
          <w:spacing w:val="-3"/>
          <w:sz w:val="21"/>
        </w:rPr>
        <w:t>children </w:t>
      </w:r>
      <w:r>
        <w:rPr>
          <w:sz w:val="21"/>
        </w:rPr>
        <w:t>or other issue who </w:t>
      </w:r>
      <w:r>
        <w:rPr>
          <w:spacing w:val="-3"/>
          <w:sz w:val="21"/>
        </w:rPr>
        <w:t>are </w:t>
      </w:r>
      <w:r>
        <w:rPr>
          <w:sz w:val="21"/>
        </w:rPr>
        <w:t>also entitled </w:t>
      </w:r>
      <w:r>
        <w:rPr>
          <w:spacing w:val="-3"/>
          <w:sz w:val="21"/>
        </w:rPr>
        <w:t>to</w:t>
      </w:r>
      <w:r>
        <w:rPr>
          <w:spacing w:val="18"/>
          <w:sz w:val="21"/>
        </w:rPr>
        <w:t> </w:t>
      </w:r>
      <w:r>
        <w:rPr>
          <w:sz w:val="21"/>
        </w:rPr>
        <w:t>a </w:t>
      </w:r>
      <w:r>
        <w:rPr>
          <w:spacing w:val="-4"/>
          <w:sz w:val="21"/>
        </w:rPr>
        <w:t>share.</w:t>
      </w:r>
    </w:p>
    <w:p>
      <w:pPr>
        <w:pStyle w:val="ListParagraph"/>
        <w:numPr>
          <w:ilvl w:val="1"/>
          <w:numId w:val="22"/>
        </w:numPr>
        <w:tabs>
          <w:tab w:pos="2380" w:val="left" w:leader="none"/>
          <w:tab w:pos="2381" w:val="left" w:leader="none"/>
        </w:tabs>
        <w:spacing w:line="242" w:lineRule="auto" w:before="124" w:after="0"/>
        <w:ind w:left="2381" w:right="2283" w:hanging="794"/>
        <w:jc w:val="left"/>
        <w:rPr>
          <w:sz w:val="12"/>
        </w:rPr>
      </w:pPr>
      <w:r>
        <w:rPr>
          <w:sz w:val="21"/>
        </w:rPr>
        <w:t>In its </w:t>
      </w:r>
      <w:r>
        <w:rPr>
          <w:spacing w:val="-3"/>
          <w:sz w:val="21"/>
        </w:rPr>
        <w:t>consultation </w:t>
      </w:r>
      <w:r>
        <w:rPr>
          <w:sz w:val="21"/>
        </w:rPr>
        <w:t>paper on </w:t>
      </w:r>
      <w:r>
        <w:rPr>
          <w:spacing w:val="-3"/>
          <w:sz w:val="21"/>
        </w:rPr>
        <w:t>intestacy, </w:t>
      </w:r>
      <w:r>
        <w:rPr>
          <w:sz w:val="21"/>
        </w:rPr>
        <w:t>the </w:t>
      </w:r>
      <w:r>
        <w:rPr>
          <w:spacing w:val="-3"/>
          <w:sz w:val="21"/>
        </w:rPr>
        <w:t>Commission asked </w:t>
      </w:r>
      <w:r>
        <w:rPr>
          <w:sz w:val="21"/>
        </w:rPr>
        <w:t>whether the </w:t>
      </w:r>
      <w:r>
        <w:rPr>
          <w:spacing w:val="-3"/>
          <w:sz w:val="21"/>
        </w:rPr>
        <w:t>National </w:t>
      </w:r>
      <w:r>
        <w:rPr>
          <w:spacing w:val="-4"/>
          <w:sz w:val="21"/>
        </w:rPr>
        <w:t>Committee’s </w:t>
      </w:r>
      <w:r>
        <w:rPr>
          <w:sz w:val="21"/>
        </w:rPr>
        <w:t>recommended approach </w:t>
      </w:r>
      <w:r>
        <w:rPr>
          <w:spacing w:val="-3"/>
          <w:sz w:val="21"/>
        </w:rPr>
        <w:t>to multiple </w:t>
      </w:r>
      <w:r>
        <w:rPr>
          <w:sz w:val="21"/>
        </w:rPr>
        <w:t>partners should be adopted in </w:t>
      </w:r>
      <w:r>
        <w:rPr>
          <w:spacing w:val="-4"/>
          <w:sz w:val="21"/>
        </w:rPr>
        <w:t>Victoria.</w:t>
      </w:r>
      <w:r>
        <w:rPr>
          <w:spacing w:val="-4"/>
          <w:position w:val="7"/>
          <w:sz w:val="12"/>
        </w:rPr>
        <w:t>172</w:t>
      </w:r>
    </w:p>
    <w:p>
      <w:pPr>
        <w:pStyle w:val="BodyText"/>
        <w:rPr>
          <w:sz w:val="20"/>
        </w:rPr>
      </w:pPr>
    </w:p>
    <w:p>
      <w:pPr>
        <w:pStyle w:val="BodyText"/>
        <w:spacing w:before="4"/>
        <w:rPr>
          <w:sz w:val="16"/>
        </w:rPr>
      </w:pPr>
      <w:r>
        <w:rPr/>
        <w:pict>
          <v:line style="position:absolute;mso-position-horizontal-relative:page;mso-position-vertical-relative:paragraph;z-index:4784;mso-wrap-distance-left:0;mso-wrap-distance-right:0" from="79.370003pt,12.444044pt" to="515.905003pt,12.444044pt" stroked="true" strokeweight="1pt" strokecolor="#f9ceca">
            <v:stroke dashstyle="solid"/>
            <w10:wrap type="topAndBottom"/>
          </v:line>
        </w:pict>
      </w:r>
    </w:p>
    <w:p>
      <w:pPr>
        <w:pStyle w:val="ListParagraph"/>
        <w:numPr>
          <w:ilvl w:val="0"/>
          <w:numId w:val="63"/>
        </w:numPr>
        <w:tabs>
          <w:tab w:pos="2380" w:val="left" w:leader="none"/>
          <w:tab w:pos="2382" w:val="left" w:leader="none"/>
        </w:tabs>
        <w:spacing w:line="240" w:lineRule="auto" w:before="117" w:after="0"/>
        <w:ind w:left="2381" w:right="1668" w:hanging="794"/>
        <w:jc w:val="left"/>
        <w:rPr>
          <w:sz w:val="13"/>
        </w:rPr>
      </w:pPr>
      <w:r>
        <w:rPr>
          <w:sz w:val="13"/>
        </w:rPr>
        <w:t>A person can never have a spouse and a registered domestic partner or registered caring partner at the same time. This is because in order               to register a domestic or caring  relationship,  a  person  must  not  be  married  or  in  another  registered  relationship:  </w:t>
      </w:r>
      <w:r>
        <w:rPr>
          <w:i/>
          <w:sz w:val="13"/>
        </w:rPr>
        <w:t>Relationships  Act  2008 </w:t>
      </w:r>
      <w:r>
        <w:rPr>
          <w:spacing w:val="2"/>
          <w:sz w:val="13"/>
        </w:rPr>
        <w:t>(Vic) </w:t>
      </w:r>
      <w:r>
        <w:rPr>
          <w:sz w:val="13"/>
        </w:rPr>
        <w:t>ss</w:t>
      </w:r>
      <w:r>
        <w:rPr>
          <w:spacing w:val="10"/>
          <w:sz w:val="13"/>
        </w:rPr>
        <w:t> </w:t>
      </w:r>
      <w:r>
        <w:rPr>
          <w:spacing w:val="6"/>
          <w:sz w:val="13"/>
        </w:rPr>
        <w:t>6(b)–(c).</w:t>
      </w:r>
    </w:p>
    <w:p>
      <w:pPr>
        <w:pStyle w:val="ListParagraph"/>
        <w:numPr>
          <w:ilvl w:val="0"/>
          <w:numId w:val="63"/>
        </w:numPr>
        <w:tabs>
          <w:tab w:pos="2380" w:val="left" w:leader="none"/>
          <w:tab w:pos="2382" w:val="left" w:leader="none"/>
        </w:tabs>
        <w:spacing w:line="240" w:lineRule="auto" w:before="4" w:after="0"/>
        <w:ind w:left="2381" w:right="0" w:hanging="794"/>
        <w:jc w:val="left"/>
        <w:rPr>
          <w:sz w:val="13"/>
        </w:rPr>
      </w:pPr>
      <w:r>
        <w:rPr>
          <w:i/>
          <w:w w:val="105"/>
          <w:sz w:val="13"/>
        </w:rPr>
        <w:t>Administration and Probate Act 1958 </w:t>
      </w:r>
      <w:r>
        <w:rPr>
          <w:spacing w:val="2"/>
          <w:w w:val="105"/>
          <w:sz w:val="13"/>
        </w:rPr>
        <w:t>(Vic) </w:t>
      </w:r>
      <w:r>
        <w:rPr>
          <w:w w:val="105"/>
          <w:sz w:val="13"/>
        </w:rPr>
        <w:t>s</w:t>
      </w:r>
      <w:r>
        <w:rPr>
          <w:spacing w:val="25"/>
          <w:w w:val="105"/>
          <w:sz w:val="13"/>
        </w:rPr>
        <w:t> </w:t>
      </w:r>
      <w:r>
        <w:rPr>
          <w:w w:val="105"/>
          <w:sz w:val="13"/>
        </w:rPr>
        <w:t>51A(1).</w:t>
      </w:r>
    </w:p>
    <w:p>
      <w:pPr>
        <w:pStyle w:val="ListParagraph"/>
        <w:numPr>
          <w:ilvl w:val="0"/>
          <w:numId w:val="63"/>
        </w:numPr>
        <w:tabs>
          <w:tab w:pos="2380" w:val="left" w:leader="none"/>
          <w:tab w:pos="2382" w:val="left" w:leader="none"/>
        </w:tabs>
        <w:spacing w:line="240" w:lineRule="auto" w:before="1" w:after="0"/>
        <w:ind w:left="2381" w:right="0" w:hanging="794"/>
        <w:jc w:val="left"/>
        <w:rPr>
          <w:sz w:val="13"/>
        </w:rPr>
      </w:pPr>
      <w:r>
        <w:rPr>
          <w:sz w:val="13"/>
        </w:rPr>
        <w:t>Ibid  s</w:t>
      </w:r>
      <w:r>
        <w:rPr>
          <w:spacing w:val="22"/>
          <w:sz w:val="13"/>
        </w:rPr>
        <w:t> </w:t>
      </w:r>
      <w:r>
        <w:rPr>
          <w:sz w:val="13"/>
        </w:rPr>
        <w:t>51A(2).</w:t>
      </w:r>
    </w:p>
    <w:p>
      <w:pPr>
        <w:pStyle w:val="ListParagraph"/>
        <w:numPr>
          <w:ilvl w:val="0"/>
          <w:numId w:val="63"/>
        </w:numPr>
        <w:tabs>
          <w:tab w:pos="2380" w:val="left" w:leader="none"/>
          <w:tab w:pos="2382" w:val="left" w:leader="none"/>
        </w:tabs>
        <w:spacing w:line="240" w:lineRule="auto" w:before="2" w:after="0"/>
        <w:ind w:left="2381" w:right="0" w:hanging="794"/>
        <w:jc w:val="left"/>
        <w:rPr>
          <w:sz w:val="13"/>
        </w:rPr>
      </w:pPr>
      <w:r>
        <w:rPr>
          <w:sz w:val="13"/>
        </w:rPr>
        <w:t>Ibid  s</w:t>
      </w:r>
      <w:r>
        <w:rPr>
          <w:spacing w:val="15"/>
          <w:sz w:val="13"/>
        </w:rPr>
        <w:t> </w:t>
      </w:r>
      <w:r>
        <w:rPr>
          <w:sz w:val="13"/>
        </w:rPr>
        <w:t>51A(1).</w:t>
      </w:r>
    </w:p>
    <w:p>
      <w:pPr>
        <w:pStyle w:val="ListParagraph"/>
        <w:numPr>
          <w:ilvl w:val="0"/>
          <w:numId w:val="63"/>
        </w:numPr>
        <w:tabs>
          <w:tab w:pos="2380" w:val="left" w:leader="none"/>
          <w:tab w:pos="2382" w:val="left" w:leader="none"/>
        </w:tabs>
        <w:spacing w:line="240" w:lineRule="auto" w:before="1" w:after="0"/>
        <w:ind w:left="2381" w:right="1674" w:hanging="794"/>
        <w:jc w:val="left"/>
        <w:rPr>
          <w:sz w:val="13"/>
        </w:rPr>
      </w:pPr>
      <w:r>
        <w:rPr>
          <w:sz w:val="13"/>
        </w:rPr>
        <w:t>Ibid s 3(1) (definition of ‘unregistered domestic </w:t>
      </w:r>
      <w:r>
        <w:rPr>
          <w:spacing w:val="2"/>
          <w:sz w:val="13"/>
        </w:rPr>
        <w:t>partner’). </w:t>
      </w:r>
      <w:r>
        <w:rPr>
          <w:sz w:val="13"/>
        </w:rPr>
        <w:t>When determining whether persons were unregistered domestic partners, all circumstances</w:t>
      </w:r>
      <w:r>
        <w:rPr>
          <w:spacing w:val="19"/>
          <w:sz w:val="13"/>
        </w:rPr>
        <w:t> </w:t>
      </w:r>
      <w:r>
        <w:rPr>
          <w:sz w:val="13"/>
        </w:rPr>
        <w:t>of</w:t>
      </w:r>
      <w:r>
        <w:rPr>
          <w:spacing w:val="19"/>
          <w:sz w:val="13"/>
        </w:rPr>
        <w:t> </w:t>
      </w:r>
      <w:r>
        <w:rPr>
          <w:sz w:val="13"/>
        </w:rPr>
        <w:t>their</w:t>
      </w:r>
      <w:r>
        <w:rPr>
          <w:spacing w:val="19"/>
          <w:sz w:val="13"/>
        </w:rPr>
        <w:t> </w:t>
      </w:r>
      <w:r>
        <w:rPr>
          <w:sz w:val="13"/>
        </w:rPr>
        <w:t>relationship</w:t>
      </w:r>
      <w:r>
        <w:rPr>
          <w:spacing w:val="19"/>
          <w:sz w:val="13"/>
        </w:rPr>
        <w:t> </w:t>
      </w:r>
      <w:r>
        <w:rPr>
          <w:sz w:val="13"/>
        </w:rPr>
        <w:t>are</w:t>
      </w:r>
      <w:r>
        <w:rPr>
          <w:spacing w:val="19"/>
          <w:sz w:val="13"/>
        </w:rPr>
        <w:t> </w:t>
      </w:r>
      <w:r>
        <w:rPr>
          <w:sz w:val="13"/>
        </w:rPr>
        <w:t>to</w:t>
      </w:r>
      <w:r>
        <w:rPr>
          <w:spacing w:val="19"/>
          <w:sz w:val="13"/>
        </w:rPr>
        <w:t> </w:t>
      </w:r>
      <w:r>
        <w:rPr>
          <w:sz w:val="13"/>
        </w:rPr>
        <w:t>be</w:t>
      </w:r>
      <w:r>
        <w:rPr>
          <w:spacing w:val="19"/>
          <w:sz w:val="13"/>
        </w:rPr>
        <w:t> </w:t>
      </w:r>
      <w:r>
        <w:rPr>
          <w:sz w:val="13"/>
        </w:rPr>
        <w:t>taken</w:t>
      </w:r>
      <w:r>
        <w:rPr>
          <w:spacing w:val="19"/>
          <w:sz w:val="13"/>
        </w:rPr>
        <w:t> </w:t>
      </w:r>
      <w:r>
        <w:rPr>
          <w:sz w:val="13"/>
        </w:rPr>
        <w:t>into</w:t>
      </w:r>
      <w:r>
        <w:rPr>
          <w:spacing w:val="19"/>
          <w:sz w:val="13"/>
        </w:rPr>
        <w:t> </w:t>
      </w:r>
      <w:r>
        <w:rPr>
          <w:sz w:val="13"/>
        </w:rPr>
        <w:t>account,</w:t>
      </w:r>
      <w:r>
        <w:rPr>
          <w:spacing w:val="19"/>
          <w:sz w:val="13"/>
        </w:rPr>
        <w:t> </w:t>
      </w:r>
      <w:r>
        <w:rPr>
          <w:sz w:val="13"/>
        </w:rPr>
        <w:t>including</w:t>
      </w:r>
      <w:r>
        <w:rPr>
          <w:spacing w:val="19"/>
          <w:sz w:val="13"/>
        </w:rPr>
        <w:t> </w:t>
      </w:r>
      <w:r>
        <w:rPr>
          <w:sz w:val="13"/>
        </w:rPr>
        <w:t>factors</w:t>
      </w:r>
      <w:r>
        <w:rPr>
          <w:spacing w:val="19"/>
          <w:sz w:val="13"/>
        </w:rPr>
        <w:t> </w:t>
      </w:r>
      <w:r>
        <w:rPr>
          <w:sz w:val="13"/>
        </w:rPr>
        <w:t>set</w:t>
      </w:r>
      <w:r>
        <w:rPr>
          <w:spacing w:val="19"/>
          <w:sz w:val="13"/>
        </w:rPr>
        <w:t> </w:t>
      </w:r>
      <w:r>
        <w:rPr>
          <w:sz w:val="13"/>
        </w:rPr>
        <w:t>out</w:t>
      </w:r>
      <w:r>
        <w:rPr>
          <w:spacing w:val="19"/>
          <w:sz w:val="13"/>
        </w:rPr>
        <w:t> </w:t>
      </w:r>
      <w:r>
        <w:rPr>
          <w:sz w:val="13"/>
        </w:rPr>
        <w:t>in</w:t>
      </w:r>
      <w:r>
        <w:rPr>
          <w:spacing w:val="19"/>
          <w:sz w:val="13"/>
        </w:rPr>
        <w:t> </w:t>
      </w:r>
      <w:r>
        <w:rPr>
          <w:sz w:val="13"/>
        </w:rPr>
        <w:t>the</w:t>
      </w:r>
      <w:r>
        <w:rPr>
          <w:spacing w:val="19"/>
          <w:sz w:val="13"/>
        </w:rPr>
        <w:t> </w:t>
      </w:r>
      <w:r>
        <w:rPr>
          <w:i/>
          <w:sz w:val="13"/>
        </w:rPr>
        <w:t>Relationships</w:t>
      </w:r>
      <w:r>
        <w:rPr>
          <w:i/>
          <w:spacing w:val="18"/>
          <w:sz w:val="13"/>
        </w:rPr>
        <w:t> </w:t>
      </w:r>
      <w:r>
        <w:rPr>
          <w:i/>
          <w:sz w:val="13"/>
        </w:rPr>
        <w:t>Act</w:t>
      </w:r>
      <w:r>
        <w:rPr>
          <w:i/>
          <w:spacing w:val="17"/>
          <w:sz w:val="13"/>
        </w:rPr>
        <w:t> </w:t>
      </w:r>
      <w:r>
        <w:rPr>
          <w:i/>
          <w:sz w:val="13"/>
        </w:rPr>
        <w:t>2008</w:t>
      </w:r>
      <w:r>
        <w:rPr>
          <w:i/>
          <w:spacing w:val="19"/>
          <w:sz w:val="13"/>
        </w:rPr>
        <w:t> </w:t>
      </w:r>
      <w:r>
        <w:rPr>
          <w:spacing w:val="2"/>
          <w:sz w:val="13"/>
        </w:rPr>
        <w:t>(Vic)</w:t>
      </w:r>
      <w:r>
        <w:rPr>
          <w:spacing w:val="19"/>
          <w:sz w:val="13"/>
        </w:rPr>
        <w:t> </w:t>
      </w:r>
      <w:r>
        <w:rPr>
          <w:sz w:val="13"/>
        </w:rPr>
        <w:t>s</w:t>
      </w:r>
      <w:r>
        <w:rPr>
          <w:spacing w:val="19"/>
          <w:sz w:val="13"/>
        </w:rPr>
        <w:t> </w:t>
      </w:r>
      <w:r>
        <w:rPr>
          <w:spacing w:val="2"/>
          <w:sz w:val="13"/>
        </w:rPr>
        <w:t>35(2):</w:t>
      </w:r>
      <w:r>
        <w:rPr>
          <w:spacing w:val="19"/>
          <w:sz w:val="13"/>
        </w:rPr>
        <w:t> </w:t>
      </w:r>
      <w:r>
        <w:rPr>
          <w:sz w:val="13"/>
        </w:rPr>
        <w:t>s</w:t>
      </w:r>
      <w:r>
        <w:rPr>
          <w:spacing w:val="19"/>
          <w:sz w:val="13"/>
        </w:rPr>
        <w:t> </w:t>
      </w:r>
      <w:r>
        <w:rPr>
          <w:spacing w:val="3"/>
          <w:sz w:val="13"/>
        </w:rPr>
        <w:t>3(3).</w:t>
      </w:r>
    </w:p>
    <w:p>
      <w:pPr>
        <w:pStyle w:val="ListParagraph"/>
        <w:numPr>
          <w:ilvl w:val="0"/>
          <w:numId w:val="63"/>
        </w:numPr>
        <w:tabs>
          <w:tab w:pos="2381" w:val="left" w:leader="none"/>
          <w:tab w:pos="2382" w:val="left" w:leader="none"/>
        </w:tabs>
        <w:spacing w:line="240" w:lineRule="auto" w:before="3" w:after="0"/>
        <w:ind w:left="2381" w:right="0" w:hanging="794"/>
        <w:jc w:val="left"/>
        <w:rPr>
          <w:sz w:val="13"/>
        </w:rPr>
      </w:pPr>
      <w:r>
        <w:rPr>
          <w:i/>
          <w:w w:val="105"/>
          <w:sz w:val="13"/>
        </w:rPr>
        <w:t>Administration and Probate Act 1958 </w:t>
      </w:r>
      <w:r>
        <w:rPr>
          <w:spacing w:val="2"/>
          <w:w w:val="105"/>
          <w:sz w:val="13"/>
        </w:rPr>
        <w:t>(Vic) </w:t>
      </w:r>
      <w:r>
        <w:rPr>
          <w:w w:val="105"/>
          <w:sz w:val="13"/>
        </w:rPr>
        <w:t>s</w:t>
      </w:r>
      <w:r>
        <w:rPr>
          <w:spacing w:val="25"/>
          <w:w w:val="105"/>
          <w:sz w:val="13"/>
        </w:rPr>
        <w:t> </w:t>
      </w:r>
      <w:r>
        <w:rPr>
          <w:w w:val="105"/>
          <w:sz w:val="13"/>
        </w:rPr>
        <w:t>51A(1).</w:t>
      </w:r>
    </w:p>
    <w:p>
      <w:pPr>
        <w:pStyle w:val="ListParagraph"/>
        <w:numPr>
          <w:ilvl w:val="0"/>
          <w:numId w:val="63"/>
        </w:numPr>
        <w:tabs>
          <w:tab w:pos="2381" w:val="left" w:leader="none"/>
          <w:tab w:pos="2382" w:val="left" w:leader="none"/>
        </w:tabs>
        <w:spacing w:line="240" w:lineRule="auto" w:before="1" w:after="0"/>
        <w:ind w:left="2381" w:right="0" w:hanging="794"/>
        <w:jc w:val="left"/>
        <w:rPr>
          <w:sz w:val="13"/>
        </w:rPr>
      </w:pPr>
      <w:r>
        <w:rPr/>
        <w:pict>
          <v:shape style="position:absolute;margin-left:548.96051pt;margin-top:2.861466pt;width:13.2pt;height:14.25pt;mso-position-horizontal-relative:page;mso-position-vertical-relative:paragraph;z-index:6856" type="#_x0000_t202" filled="false" stroked="false">
            <v:textbox inset="0,0,0,0">
              <w:txbxContent>
                <w:p>
                  <w:pPr>
                    <w:spacing w:line="284" w:lineRule="exact" w:before="0"/>
                    <w:ind w:left="0" w:right="0" w:firstLine="0"/>
                    <w:jc w:val="left"/>
                    <w:rPr>
                      <w:b/>
                      <w:sz w:val="24"/>
                    </w:rPr>
                  </w:pPr>
                  <w:r>
                    <w:rPr>
                      <w:b/>
                      <w:color w:val="EC5A4F"/>
                      <w:spacing w:val="-2"/>
                      <w:w w:val="110"/>
                      <w:sz w:val="24"/>
                    </w:rPr>
                    <w:t>77</w:t>
                  </w:r>
                </w:p>
              </w:txbxContent>
            </v:textbox>
            <w10:wrap type="none"/>
          </v:shape>
        </w:pict>
      </w:r>
      <w:r>
        <w:rPr>
          <w:sz w:val="13"/>
        </w:rPr>
        <w:t>Ibid.</w:t>
      </w:r>
    </w:p>
    <w:p>
      <w:pPr>
        <w:pStyle w:val="ListParagraph"/>
        <w:numPr>
          <w:ilvl w:val="0"/>
          <w:numId w:val="63"/>
        </w:numPr>
        <w:tabs>
          <w:tab w:pos="2381" w:val="left" w:leader="none"/>
          <w:tab w:pos="2382" w:val="left" w:leader="none"/>
        </w:tabs>
        <w:spacing w:line="240" w:lineRule="auto" w:before="1" w:after="0"/>
        <w:ind w:left="2381" w:right="0" w:hanging="794"/>
        <w:jc w:val="left"/>
        <w:rPr>
          <w:sz w:val="13"/>
        </w:rPr>
      </w:pPr>
      <w:r>
        <w:rPr>
          <w:w w:val="105"/>
          <w:sz w:val="13"/>
        </w:rPr>
        <w:t>Victorian Law Reform Commission, above n 8,</w:t>
      </w:r>
      <w:r>
        <w:rPr>
          <w:spacing w:val="2"/>
          <w:w w:val="105"/>
          <w:sz w:val="13"/>
        </w:rPr>
        <w:t> </w:t>
      </w:r>
      <w:r>
        <w:rPr>
          <w:w w:val="105"/>
          <w:sz w:val="13"/>
        </w:rPr>
        <w:t>28–9.</w:t>
      </w:r>
    </w:p>
    <w:p>
      <w:pPr>
        <w:spacing w:after="0" w:line="240" w:lineRule="auto"/>
        <w:jc w:val="left"/>
        <w:rPr>
          <w:sz w:val="13"/>
        </w:rPr>
        <w:sectPr>
          <w:pgSz w:w="11910" w:h="16840"/>
          <w:pgMar w:header="805" w:footer="0" w:top="1360" w:bottom="280" w:left="0" w:right="0"/>
        </w:sectPr>
      </w:pPr>
    </w:p>
    <w:p>
      <w:pPr>
        <w:pStyle w:val="BodyText"/>
        <w:spacing w:before="9"/>
        <w:rPr>
          <w:sz w:val="22"/>
        </w:rPr>
      </w:pPr>
    </w:p>
    <w:p>
      <w:pPr>
        <w:pStyle w:val="Heading6"/>
        <w:spacing w:before="100"/>
      </w:pPr>
      <w:r>
        <w:rPr>
          <w:w w:val="115"/>
        </w:rPr>
        <w:t>Where there are no children or other issue who are entitled to a share</w:t>
      </w:r>
    </w:p>
    <w:p>
      <w:pPr>
        <w:pStyle w:val="ListParagraph"/>
        <w:numPr>
          <w:ilvl w:val="1"/>
          <w:numId w:val="22"/>
        </w:numPr>
        <w:tabs>
          <w:tab w:pos="2381" w:val="left" w:leader="none"/>
          <w:tab w:pos="2382" w:val="left" w:leader="none"/>
        </w:tabs>
        <w:spacing w:line="242" w:lineRule="auto" w:before="151" w:after="0"/>
        <w:ind w:left="2381" w:right="1895" w:hanging="794"/>
        <w:jc w:val="left"/>
        <w:rPr>
          <w:sz w:val="21"/>
        </w:rPr>
      </w:pPr>
      <w:r>
        <w:rPr>
          <w:sz w:val="21"/>
        </w:rPr>
        <w:t>The </w:t>
      </w:r>
      <w:r>
        <w:rPr>
          <w:spacing w:val="-3"/>
          <w:sz w:val="21"/>
        </w:rPr>
        <w:t>National Committee </w:t>
      </w:r>
      <w:r>
        <w:rPr>
          <w:sz w:val="21"/>
        </w:rPr>
        <w:t>recommended </w:t>
      </w:r>
      <w:r>
        <w:rPr>
          <w:spacing w:val="-3"/>
          <w:sz w:val="21"/>
        </w:rPr>
        <w:t>that,  </w:t>
      </w:r>
      <w:r>
        <w:rPr>
          <w:sz w:val="21"/>
        </w:rPr>
        <w:t>where  the  deceased  person  is  survived by </w:t>
      </w:r>
      <w:r>
        <w:rPr>
          <w:spacing w:val="-3"/>
          <w:sz w:val="21"/>
        </w:rPr>
        <w:t>multiple </w:t>
      </w:r>
      <w:r>
        <w:rPr>
          <w:sz w:val="21"/>
        </w:rPr>
        <w:t>partners but no </w:t>
      </w:r>
      <w:r>
        <w:rPr>
          <w:spacing w:val="-3"/>
          <w:sz w:val="21"/>
        </w:rPr>
        <w:t>children </w:t>
      </w:r>
      <w:r>
        <w:rPr>
          <w:sz w:val="21"/>
        </w:rPr>
        <w:t>or other issue who </w:t>
      </w:r>
      <w:r>
        <w:rPr>
          <w:spacing w:val="-3"/>
          <w:sz w:val="21"/>
        </w:rPr>
        <w:t>are </w:t>
      </w:r>
      <w:r>
        <w:rPr>
          <w:sz w:val="21"/>
        </w:rPr>
        <w:t>also entitled </w:t>
      </w:r>
      <w:r>
        <w:rPr>
          <w:spacing w:val="-3"/>
          <w:sz w:val="21"/>
        </w:rPr>
        <w:t>to </w:t>
      </w:r>
      <w:r>
        <w:rPr>
          <w:sz w:val="21"/>
        </w:rPr>
        <w:t>a </w:t>
      </w:r>
      <w:r>
        <w:rPr>
          <w:spacing w:val="-4"/>
          <w:sz w:val="21"/>
        </w:rPr>
        <w:t>share, </w:t>
      </w:r>
      <w:r>
        <w:rPr>
          <w:sz w:val="21"/>
        </w:rPr>
        <w:t>the </w:t>
      </w:r>
      <w:r>
        <w:rPr>
          <w:spacing w:val="-3"/>
          <w:sz w:val="21"/>
        </w:rPr>
        <w:t>intestate</w:t>
      </w:r>
      <w:r>
        <w:rPr>
          <w:spacing w:val="9"/>
          <w:sz w:val="21"/>
        </w:rPr>
        <w:t> </w:t>
      </w:r>
      <w:r>
        <w:rPr>
          <w:sz w:val="21"/>
        </w:rPr>
        <w:t>estate</w:t>
      </w:r>
      <w:r>
        <w:rPr>
          <w:spacing w:val="10"/>
          <w:sz w:val="21"/>
        </w:rPr>
        <w:t> </w:t>
      </w:r>
      <w:r>
        <w:rPr>
          <w:sz w:val="21"/>
        </w:rPr>
        <w:t>should</w:t>
      </w:r>
      <w:r>
        <w:rPr>
          <w:spacing w:val="10"/>
          <w:sz w:val="21"/>
        </w:rPr>
        <w:t> </w:t>
      </w:r>
      <w:r>
        <w:rPr>
          <w:sz w:val="21"/>
        </w:rPr>
        <w:t>be</w:t>
      </w:r>
      <w:r>
        <w:rPr>
          <w:spacing w:val="10"/>
          <w:sz w:val="21"/>
        </w:rPr>
        <w:t> </w:t>
      </w:r>
      <w:r>
        <w:rPr>
          <w:spacing w:val="-3"/>
          <w:sz w:val="21"/>
        </w:rPr>
        <w:t>distributed</w:t>
      </w:r>
      <w:r>
        <w:rPr>
          <w:spacing w:val="10"/>
          <w:sz w:val="21"/>
        </w:rPr>
        <w:t> </w:t>
      </w:r>
      <w:r>
        <w:rPr>
          <w:sz w:val="21"/>
        </w:rPr>
        <w:t>between</w:t>
      </w:r>
      <w:r>
        <w:rPr>
          <w:spacing w:val="10"/>
          <w:sz w:val="21"/>
        </w:rPr>
        <w:t> </w:t>
      </w:r>
      <w:r>
        <w:rPr>
          <w:sz w:val="21"/>
        </w:rPr>
        <w:t>the</w:t>
      </w:r>
      <w:r>
        <w:rPr>
          <w:spacing w:val="9"/>
          <w:sz w:val="21"/>
        </w:rPr>
        <w:t> </w:t>
      </w:r>
      <w:r>
        <w:rPr>
          <w:sz w:val="21"/>
        </w:rPr>
        <w:t>partners:</w:t>
      </w:r>
    </w:p>
    <w:p>
      <w:pPr>
        <w:pStyle w:val="ListParagraph"/>
        <w:numPr>
          <w:ilvl w:val="2"/>
          <w:numId w:val="22"/>
        </w:numPr>
        <w:tabs>
          <w:tab w:pos="2721" w:val="left" w:leader="none"/>
          <w:tab w:pos="2722" w:val="left" w:leader="none"/>
        </w:tabs>
        <w:spacing w:line="240" w:lineRule="auto" w:before="123" w:after="0"/>
        <w:ind w:left="2721" w:right="0" w:hanging="340"/>
        <w:jc w:val="left"/>
        <w:rPr>
          <w:sz w:val="21"/>
        </w:rPr>
      </w:pPr>
      <w:r>
        <w:rPr>
          <w:sz w:val="21"/>
        </w:rPr>
        <w:t>in </w:t>
      </w:r>
      <w:r>
        <w:rPr>
          <w:spacing w:val="-3"/>
          <w:sz w:val="21"/>
        </w:rPr>
        <w:t>accordance </w:t>
      </w:r>
      <w:r>
        <w:rPr>
          <w:sz w:val="21"/>
        </w:rPr>
        <w:t>with a written </w:t>
      </w:r>
      <w:r>
        <w:rPr>
          <w:spacing w:val="-2"/>
          <w:sz w:val="21"/>
        </w:rPr>
        <w:t>distribution agreement </w:t>
      </w:r>
      <w:r>
        <w:rPr>
          <w:sz w:val="21"/>
        </w:rPr>
        <w:t>made between the partners,</w:t>
      </w:r>
      <w:r>
        <w:rPr>
          <w:spacing w:val="1"/>
          <w:sz w:val="21"/>
        </w:rPr>
        <w:t> </w:t>
      </w:r>
      <w:r>
        <w:rPr>
          <w:sz w:val="21"/>
        </w:rPr>
        <w:t>or</w:t>
      </w:r>
    </w:p>
    <w:p>
      <w:pPr>
        <w:pStyle w:val="ListParagraph"/>
        <w:numPr>
          <w:ilvl w:val="2"/>
          <w:numId w:val="22"/>
        </w:numPr>
        <w:tabs>
          <w:tab w:pos="2721" w:val="left" w:leader="none"/>
          <w:tab w:pos="2722" w:val="left" w:leader="none"/>
        </w:tabs>
        <w:spacing w:line="242" w:lineRule="auto" w:before="124" w:after="0"/>
        <w:ind w:left="2721" w:right="1664" w:hanging="340"/>
        <w:jc w:val="left"/>
        <w:rPr>
          <w:sz w:val="21"/>
        </w:rPr>
      </w:pPr>
      <w:r>
        <w:rPr>
          <w:sz w:val="21"/>
        </w:rPr>
        <w:t>in </w:t>
      </w:r>
      <w:r>
        <w:rPr>
          <w:spacing w:val="-3"/>
          <w:sz w:val="21"/>
        </w:rPr>
        <w:t>accordance </w:t>
      </w:r>
      <w:r>
        <w:rPr>
          <w:sz w:val="21"/>
        </w:rPr>
        <w:t>with a </w:t>
      </w:r>
      <w:r>
        <w:rPr>
          <w:spacing w:val="-2"/>
          <w:sz w:val="21"/>
        </w:rPr>
        <w:t>distribution  </w:t>
      </w:r>
      <w:r>
        <w:rPr>
          <w:sz w:val="21"/>
        </w:rPr>
        <w:t>order made by the court on application by a partner  or the personal </w:t>
      </w:r>
      <w:r>
        <w:rPr>
          <w:spacing w:val="-3"/>
          <w:sz w:val="21"/>
        </w:rPr>
        <w:t>representative,</w:t>
      </w:r>
      <w:r>
        <w:rPr>
          <w:spacing w:val="33"/>
          <w:sz w:val="21"/>
        </w:rPr>
        <w:t> </w:t>
      </w:r>
      <w:r>
        <w:rPr>
          <w:sz w:val="21"/>
        </w:rPr>
        <w:t>or</w:t>
      </w:r>
    </w:p>
    <w:p>
      <w:pPr>
        <w:pStyle w:val="ListParagraph"/>
        <w:numPr>
          <w:ilvl w:val="2"/>
          <w:numId w:val="22"/>
        </w:numPr>
        <w:tabs>
          <w:tab w:pos="2721" w:val="left" w:leader="none"/>
          <w:tab w:pos="2722" w:val="left" w:leader="none"/>
        </w:tabs>
        <w:spacing w:line="240" w:lineRule="auto" w:before="122" w:after="0"/>
        <w:ind w:left="2721" w:right="0" w:hanging="340"/>
        <w:jc w:val="left"/>
        <w:rPr>
          <w:sz w:val="12"/>
        </w:rPr>
      </w:pPr>
      <w:r>
        <w:rPr>
          <w:spacing w:val="-3"/>
          <w:w w:val="105"/>
          <w:sz w:val="21"/>
        </w:rPr>
        <w:t>equally </w:t>
      </w:r>
      <w:r>
        <w:rPr>
          <w:w w:val="105"/>
          <w:sz w:val="21"/>
        </w:rPr>
        <w:t>between the</w:t>
      </w:r>
      <w:r>
        <w:rPr>
          <w:spacing w:val="18"/>
          <w:w w:val="105"/>
          <w:sz w:val="21"/>
        </w:rPr>
        <w:t> </w:t>
      </w:r>
      <w:r>
        <w:rPr>
          <w:spacing w:val="-4"/>
          <w:w w:val="105"/>
          <w:sz w:val="21"/>
        </w:rPr>
        <w:t>partners.</w:t>
      </w:r>
      <w:r>
        <w:rPr>
          <w:spacing w:val="-4"/>
          <w:w w:val="105"/>
          <w:position w:val="7"/>
          <w:sz w:val="12"/>
        </w:rPr>
        <w:t>173</w:t>
      </w:r>
    </w:p>
    <w:p>
      <w:pPr>
        <w:pStyle w:val="ListParagraph"/>
        <w:numPr>
          <w:ilvl w:val="1"/>
          <w:numId w:val="22"/>
        </w:numPr>
        <w:tabs>
          <w:tab w:pos="2380" w:val="left" w:leader="none"/>
          <w:tab w:pos="2381" w:val="left" w:leader="none"/>
        </w:tabs>
        <w:spacing w:line="242" w:lineRule="auto" w:before="124" w:after="0"/>
        <w:ind w:left="2381" w:right="1784" w:hanging="794"/>
        <w:jc w:val="left"/>
        <w:rPr>
          <w:sz w:val="21"/>
        </w:rPr>
      </w:pPr>
      <w:r>
        <w:rPr>
          <w:w w:val="105"/>
          <w:sz w:val="21"/>
        </w:rPr>
        <w:t>It </w:t>
      </w:r>
      <w:r>
        <w:rPr>
          <w:spacing w:val="-3"/>
          <w:w w:val="105"/>
          <w:sz w:val="21"/>
        </w:rPr>
        <w:t>recommended that, </w:t>
      </w:r>
      <w:r>
        <w:rPr>
          <w:w w:val="105"/>
          <w:sz w:val="21"/>
        </w:rPr>
        <w:t>if the parties </w:t>
      </w:r>
      <w:r>
        <w:rPr>
          <w:spacing w:val="-5"/>
          <w:w w:val="105"/>
          <w:sz w:val="21"/>
        </w:rPr>
        <w:t>make </w:t>
      </w:r>
      <w:r>
        <w:rPr>
          <w:w w:val="105"/>
          <w:sz w:val="21"/>
        </w:rPr>
        <w:t>a </w:t>
      </w:r>
      <w:r>
        <w:rPr>
          <w:spacing w:val="-3"/>
          <w:w w:val="105"/>
          <w:sz w:val="21"/>
        </w:rPr>
        <w:t>distribution </w:t>
      </w:r>
      <w:r>
        <w:rPr>
          <w:spacing w:val="-4"/>
          <w:w w:val="105"/>
          <w:sz w:val="21"/>
        </w:rPr>
        <w:t>agreement, </w:t>
      </w:r>
      <w:r>
        <w:rPr>
          <w:w w:val="105"/>
          <w:sz w:val="21"/>
        </w:rPr>
        <w:t>the </w:t>
      </w:r>
      <w:r>
        <w:rPr>
          <w:spacing w:val="-4"/>
          <w:w w:val="105"/>
          <w:sz w:val="21"/>
        </w:rPr>
        <w:t>agreement </w:t>
      </w:r>
      <w:r>
        <w:rPr>
          <w:spacing w:val="-3"/>
          <w:w w:val="105"/>
          <w:sz w:val="21"/>
        </w:rPr>
        <w:t>should </w:t>
      </w:r>
      <w:r>
        <w:rPr>
          <w:w w:val="105"/>
          <w:sz w:val="21"/>
        </w:rPr>
        <w:t>be </w:t>
      </w:r>
      <w:r>
        <w:rPr>
          <w:spacing w:val="-3"/>
          <w:w w:val="105"/>
          <w:sz w:val="21"/>
        </w:rPr>
        <w:t>submitted to </w:t>
      </w:r>
      <w:r>
        <w:rPr>
          <w:w w:val="105"/>
          <w:sz w:val="21"/>
        </w:rPr>
        <w:t>the </w:t>
      </w:r>
      <w:r>
        <w:rPr>
          <w:spacing w:val="-3"/>
          <w:w w:val="105"/>
          <w:sz w:val="21"/>
        </w:rPr>
        <w:t>personal </w:t>
      </w:r>
      <w:r>
        <w:rPr>
          <w:spacing w:val="-5"/>
          <w:w w:val="105"/>
          <w:sz w:val="21"/>
        </w:rPr>
        <w:t>representative.</w:t>
      </w:r>
      <w:r>
        <w:rPr>
          <w:spacing w:val="-5"/>
          <w:w w:val="105"/>
          <w:position w:val="7"/>
          <w:sz w:val="12"/>
        </w:rPr>
        <w:t>174 </w:t>
      </w:r>
      <w:r>
        <w:rPr>
          <w:w w:val="105"/>
          <w:sz w:val="21"/>
        </w:rPr>
        <w:t>It </w:t>
      </w:r>
      <w:r>
        <w:rPr>
          <w:spacing w:val="-3"/>
          <w:w w:val="105"/>
          <w:sz w:val="21"/>
        </w:rPr>
        <w:t>recommended that either </w:t>
      </w:r>
      <w:r>
        <w:rPr>
          <w:w w:val="105"/>
          <w:sz w:val="21"/>
        </w:rPr>
        <w:t>a partner</w:t>
      </w:r>
      <w:r>
        <w:rPr>
          <w:spacing w:val="-8"/>
          <w:w w:val="105"/>
          <w:sz w:val="21"/>
        </w:rPr>
        <w:t> </w:t>
      </w:r>
      <w:r>
        <w:rPr>
          <w:w w:val="105"/>
          <w:sz w:val="21"/>
        </w:rPr>
        <w:t>or</w:t>
      </w:r>
      <w:r>
        <w:rPr>
          <w:spacing w:val="-8"/>
          <w:w w:val="105"/>
          <w:sz w:val="21"/>
        </w:rPr>
        <w:t> </w:t>
      </w:r>
      <w:r>
        <w:rPr>
          <w:w w:val="105"/>
          <w:sz w:val="21"/>
        </w:rPr>
        <w:t>the</w:t>
      </w:r>
      <w:r>
        <w:rPr>
          <w:spacing w:val="-7"/>
          <w:w w:val="105"/>
          <w:sz w:val="21"/>
        </w:rPr>
        <w:t> </w:t>
      </w:r>
      <w:r>
        <w:rPr>
          <w:spacing w:val="-3"/>
          <w:w w:val="105"/>
          <w:sz w:val="21"/>
        </w:rPr>
        <w:t>personal</w:t>
      </w:r>
      <w:r>
        <w:rPr>
          <w:spacing w:val="-8"/>
          <w:w w:val="105"/>
          <w:sz w:val="21"/>
        </w:rPr>
        <w:t> </w:t>
      </w:r>
      <w:r>
        <w:rPr>
          <w:spacing w:val="-3"/>
          <w:w w:val="105"/>
          <w:sz w:val="21"/>
        </w:rPr>
        <w:t>representative</w:t>
      </w:r>
      <w:r>
        <w:rPr>
          <w:spacing w:val="-7"/>
          <w:w w:val="105"/>
          <w:sz w:val="21"/>
        </w:rPr>
        <w:t> </w:t>
      </w:r>
      <w:r>
        <w:rPr>
          <w:spacing w:val="-3"/>
          <w:w w:val="105"/>
          <w:sz w:val="21"/>
        </w:rPr>
        <w:t>should</w:t>
      </w:r>
      <w:r>
        <w:rPr>
          <w:spacing w:val="-8"/>
          <w:w w:val="105"/>
          <w:sz w:val="21"/>
        </w:rPr>
        <w:t> </w:t>
      </w:r>
      <w:r>
        <w:rPr>
          <w:spacing w:val="-3"/>
          <w:w w:val="105"/>
          <w:sz w:val="21"/>
        </w:rPr>
        <w:t>also</w:t>
      </w:r>
      <w:r>
        <w:rPr>
          <w:spacing w:val="-7"/>
          <w:w w:val="105"/>
          <w:sz w:val="21"/>
        </w:rPr>
        <w:t> </w:t>
      </w:r>
      <w:r>
        <w:rPr>
          <w:w w:val="105"/>
          <w:sz w:val="21"/>
        </w:rPr>
        <w:t>be</w:t>
      </w:r>
      <w:r>
        <w:rPr>
          <w:spacing w:val="-8"/>
          <w:w w:val="105"/>
          <w:sz w:val="21"/>
        </w:rPr>
        <w:t> </w:t>
      </w:r>
      <w:r>
        <w:rPr>
          <w:spacing w:val="-3"/>
          <w:w w:val="105"/>
          <w:sz w:val="21"/>
        </w:rPr>
        <w:t>able</w:t>
      </w:r>
      <w:r>
        <w:rPr>
          <w:spacing w:val="-7"/>
          <w:w w:val="105"/>
          <w:sz w:val="21"/>
        </w:rPr>
        <w:t> </w:t>
      </w:r>
      <w:r>
        <w:rPr>
          <w:spacing w:val="-3"/>
          <w:w w:val="105"/>
          <w:sz w:val="21"/>
        </w:rPr>
        <w:t>to</w:t>
      </w:r>
      <w:r>
        <w:rPr>
          <w:spacing w:val="-8"/>
          <w:w w:val="105"/>
          <w:sz w:val="21"/>
        </w:rPr>
        <w:t> </w:t>
      </w:r>
      <w:r>
        <w:rPr>
          <w:spacing w:val="-3"/>
          <w:w w:val="105"/>
          <w:sz w:val="21"/>
        </w:rPr>
        <w:t>apply</w:t>
      </w:r>
      <w:r>
        <w:rPr>
          <w:spacing w:val="-7"/>
          <w:w w:val="105"/>
          <w:sz w:val="21"/>
        </w:rPr>
        <w:t> </w:t>
      </w:r>
      <w:r>
        <w:rPr>
          <w:spacing w:val="-3"/>
          <w:w w:val="105"/>
          <w:sz w:val="21"/>
        </w:rPr>
        <w:t>to</w:t>
      </w:r>
      <w:r>
        <w:rPr>
          <w:spacing w:val="-8"/>
          <w:w w:val="105"/>
          <w:sz w:val="21"/>
        </w:rPr>
        <w:t> </w:t>
      </w:r>
      <w:r>
        <w:rPr>
          <w:w w:val="105"/>
          <w:sz w:val="21"/>
        </w:rPr>
        <w:t>the</w:t>
      </w:r>
      <w:r>
        <w:rPr>
          <w:spacing w:val="-7"/>
          <w:w w:val="105"/>
          <w:sz w:val="21"/>
        </w:rPr>
        <w:t> </w:t>
      </w:r>
      <w:r>
        <w:rPr>
          <w:spacing w:val="-4"/>
          <w:w w:val="105"/>
          <w:sz w:val="21"/>
        </w:rPr>
        <w:t>Supreme</w:t>
      </w:r>
      <w:r>
        <w:rPr>
          <w:spacing w:val="-8"/>
          <w:w w:val="105"/>
          <w:sz w:val="21"/>
        </w:rPr>
        <w:t> </w:t>
      </w:r>
      <w:r>
        <w:rPr>
          <w:spacing w:val="-3"/>
          <w:w w:val="105"/>
          <w:sz w:val="21"/>
        </w:rPr>
        <w:t>Court for </w:t>
      </w:r>
      <w:r>
        <w:rPr>
          <w:w w:val="105"/>
          <w:sz w:val="21"/>
        </w:rPr>
        <w:t>a </w:t>
      </w:r>
      <w:r>
        <w:rPr>
          <w:spacing w:val="-3"/>
          <w:w w:val="105"/>
          <w:sz w:val="21"/>
        </w:rPr>
        <w:t>distribution </w:t>
      </w:r>
      <w:r>
        <w:rPr>
          <w:spacing w:val="-7"/>
          <w:w w:val="105"/>
          <w:sz w:val="21"/>
        </w:rPr>
        <w:t>order.</w:t>
      </w:r>
      <w:r>
        <w:rPr>
          <w:spacing w:val="-7"/>
          <w:w w:val="105"/>
          <w:position w:val="7"/>
          <w:sz w:val="12"/>
        </w:rPr>
        <w:t>175 </w:t>
      </w:r>
      <w:r>
        <w:rPr>
          <w:w w:val="105"/>
          <w:sz w:val="21"/>
        </w:rPr>
        <w:t>On </w:t>
      </w:r>
      <w:r>
        <w:rPr>
          <w:spacing w:val="-3"/>
          <w:w w:val="105"/>
          <w:sz w:val="21"/>
        </w:rPr>
        <w:t>application for </w:t>
      </w:r>
      <w:r>
        <w:rPr>
          <w:w w:val="105"/>
          <w:sz w:val="21"/>
        </w:rPr>
        <w:t>a </w:t>
      </w:r>
      <w:r>
        <w:rPr>
          <w:spacing w:val="-3"/>
          <w:w w:val="105"/>
          <w:sz w:val="21"/>
        </w:rPr>
        <w:t>distribution </w:t>
      </w:r>
      <w:r>
        <w:rPr>
          <w:spacing w:val="-5"/>
          <w:w w:val="105"/>
          <w:sz w:val="21"/>
        </w:rPr>
        <w:t>order, </w:t>
      </w:r>
      <w:r>
        <w:rPr>
          <w:w w:val="105"/>
          <w:sz w:val="21"/>
        </w:rPr>
        <w:t>the </w:t>
      </w:r>
      <w:r>
        <w:rPr>
          <w:spacing w:val="-3"/>
          <w:w w:val="105"/>
          <w:sz w:val="21"/>
        </w:rPr>
        <w:t>National </w:t>
      </w:r>
      <w:r>
        <w:rPr>
          <w:spacing w:val="-4"/>
          <w:w w:val="105"/>
          <w:sz w:val="21"/>
        </w:rPr>
        <w:t>Committee </w:t>
      </w:r>
      <w:r>
        <w:rPr>
          <w:spacing w:val="-3"/>
          <w:w w:val="105"/>
          <w:sz w:val="21"/>
        </w:rPr>
        <w:t>recommended that </w:t>
      </w:r>
      <w:r>
        <w:rPr>
          <w:w w:val="105"/>
          <w:sz w:val="21"/>
        </w:rPr>
        <w:t>the </w:t>
      </w:r>
      <w:r>
        <w:rPr>
          <w:spacing w:val="-3"/>
          <w:w w:val="105"/>
          <w:sz w:val="21"/>
        </w:rPr>
        <w:t>Court should </w:t>
      </w:r>
      <w:r>
        <w:rPr>
          <w:w w:val="105"/>
          <w:sz w:val="21"/>
        </w:rPr>
        <w:t>be </w:t>
      </w:r>
      <w:r>
        <w:rPr>
          <w:spacing w:val="-3"/>
          <w:w w:val="105"/>
          <w:sz w:val="21"/>
        </w:rPr>
        <w:t>able to order that </w:t>
      </w:r>
      <w:r>
        <w:rPr>
          <w:w w:val="105"/>
          <w:sz w:val="21"/>
        </w:rPr>
        <w:t>the property be </w:t>
      </w:r>
      <w:r>
        <w:rPr>
          <w:spacing w:val="-3"/>
          <w:w w:val="105"/>
          <w:sz w:val="21"/>
        </w:rPr>
        <w:t>distributed </w:t>
      </w:r>
      <w:r>
        <w:rPr>
          <w:w w:val="105"/>
          <w:sz w:val="21"/>
        </w:rPr>
        <w:t>between the partners </w:t>
      </w:r>
      <w:r>
        <w:rPr>
          <w:spacing w:val="-3"/>
          <w:w w:val="105"/>
          <w:sz w:val="21"/>
        </w:rPr>
        <w:t>in </w:t>
      </w:r>
      <w:r>
        <w:rPr>
          <w:spacing w:val="-4"/>
          <w:w w:val="105"/>
          <w:sz w:val="21"/>
        </w:rPr>
        <w:t>any </w:t>
      </w:r>
      <w:r>
        <w:rPr>
          <w:spacing w:val="-3"/>
          <w:w w:val="105"/>
          <w:sz w:val="21"/>
        </w:rPr>
        <w:t>way </w:t>
      </w:r>
      <w:r>
        <w:rPr>
          <w:w w:val="105"/>
          <w:sz w:val="21"/>
        </w:rPr>
        <w:t>it </w:t>
      </w:r>
      <w:r>
        <w:rPr>
          <w:spacing w:val="-3"/>
          <w:w w:val="105"/>
          <w:sz w:val="21"/>
        </w:rPr>
        <w:t>considers just and </w:t>
      </w:r>
      <w:r>
        <w:rPr>
          <w:spacing w:val="-4"/>
          <w:w w:val="105"/>
          <w:sz w:val="21"/>
        </w:rPr>
        <w:t>equitable, including awarding </w:t>
      </w:r>
      <w:r>
        <w:rPr>
          <w:w w:val="105"/>
          <w:sz w:val="21"/>
        </w:rPr>
        <w:t>the </w:t>
      </w:r>
      <w:r>
        <w:rPr>
          <w:spacing w:val="-4"/>
          <w:w w:val="105"/>
          <w:sz w:val="21"/>
        </w:rPr>
        <w:t>entire intestate </w:t>
      </w:r>
      <w:r>
        <w:rPr>
          <w:spacing w:val="-3"/>
          <w:w w:val="105"/>
          <w:sz w:val="21"/>
        </w:rPr>
        <w:t>estate to </w:t>
      </w:r>
      <w:r>
        <w:rPr>
          <w:w w:val="105"/>
          <w:sz w:val="21"/>
        </w:rPr>
        <w:t>one partner </w:t>
      </w:r>
      <w:r>
        <w:rPr>
          <w:spacing w:val="-3"/>
          <w:w w:val="105"/>
          <w:sz w:val="21"/>
        </w:rPr>
        <w:t>to </w:t>
      </w:r>
      <w:r>
        <w:rPr>
          <w:w w:val="105"/>
          <w:sz w:val="21"/>
        </w:rPr>
        <w:t>the </w:t>
      </w:r>
      <w:r>
        <w:rPr>
          <w:spacing w:val="-4"/>
          <w:w w:val="105"/>
          <w:sz w:val="21"/>
        </w:rPr>
        <w:t>exclusion </w:t>
      </w:r>
      <w:r>
        <w:rPr>
          <w:spacing w:val="-3"/>
          <w:w w:val="105"/>
          <w:sz w:val="21"/>
        </w:rPr>
        <w:t>of </w:t>
      </w:r>
      <w:r>
        <w:rPr>
          <w:w w:val="105"/>
          <w:sz w:val="21"/>
        </w:rPr>
        <w:t>the </w:t>
      </w:r>
      <w:r>
        <w:rPr>
          <w:spacing w:val="-5"/>
          <w:w w:val="105"/>
          <w:sz w:val="21"/>
        </w:rPr>
        <w:t>other(s).</w:t>
      </w:r>
      <w:r>
        <w:rPr>
          <w:spacing w:val="-5"/>
          <w:w w:val="105"/>
          <w:position w:val="7"/>
          <w:sz w:val="12"/>
        </w:rPr>
        <w:t>176 </w:t>
      </w:r>
      <w:r>
        <w:rPr>
          <w:w w:val="105"/>
          <w:sz w:val="21"/>
        </w:rPr>
        <w:t>The </w:t>
      </w:r>
      <w:r>
        <w:rPr>
          <w:spacing w:val="-3"/>
          <w:w w:val="105"/>
          <w:sz w:val="21"/>
        </w:rPr>
        <w:t>order</w:t>
      </w:r>
      <w:r>
        <w:rPr>
          <w:spacing w:val="-31"/>
          <w:w w:val="105"/>
          <w:sz w:val="21"/>
        </w:rPr>
        <w:t> </w:t>
      </w:r>
      <w:r>
        <w:rPr>
          <w:spacing w:val="-3"/>
          <w:w w:val="105"/>
          <w:sz w:val="21"/>
        </w:rPr>
        <w:t>may</w:t>
      </w:r>
    </w:p>
    <w:p>
      <w:pPr>
        <w:pStyle w:val="BodyText"/>
        <w:spacing w:line="242" w:lineRule="auto" w:before="7"/>
        <w:ind w:left="2381" w:right="1619" w:hanging="1"/>
      </w:pPr>
      <w:r>
        <w:rPr>
          <w:spacing w:val="-3"/>
          <w:w w:val="105"/>
        </w:rPr>
        <w:t>also </w:t>
      </w:r>
      <w:r>
        <w:rPr>
          <w:spacing w:val="-4"/>
          <w:w w:val="105"/>
        </w:rPr>
        <w:t>include </w:t>
      </w:r>
      <w:r>
        <w:rPr>
          <w:spacing w:val="-5"/>
          <w:w w:val="105"/>
        </w:rPr>
        <w:t>conditions.</w:t>
      </w:r>
      <w:r>
        <w:rPr>
          <w:spacing w:val="-5"/>
          <w:w w:val="105"/>
          <w:position w:val="7"/>
          <w:sz w:val="12"/>
        </w:rPr>
        <w:t>177 </w:t>
      </w:r>
      <w:r>
        <w:rPr>
          <w:w w:val="105"/>
        </w:rPr>
        <w:t>No </w:t>
      </w:r>
      <w:r>
        <w:rPr>
          <w:spacing w:val="-4"/>
          <w:w w:val="105"/>
        </w:rPr>
        <w:t>criteria </w:t>
      </w:r>
      <w:r>
        <w:rPr>
          <w:spacing w:val="-3"/>
          <w:w w:val="105"/>
        </w:rPr>
        <w:t>were recommended to guide </w:t>
      </w:r>
      <w:r>
        <w:rPr>
          <w:w w:val="105"/>
        </w:rPr>
        <w:t>the </w:t>
      </w:r>
      <w:r>
        <w:rPr>
          <w:spacing w:val="-3"/>
          <w:w w:val="105"/>
        </w:rPr>
        <w:t>Court in </w:t>
      </w:r>
      <w:r>
        <w:rPr>
          <w:w w:val="105"/>
        </w:rPr>
        <w:t>its </w:t>
      </w:r>
      <w:r>
        <w:rPr>
          <w:spacing w:val="-3"/>
          <w:w w:val="105"/>
        </w:rPr>
        <w:t>decision </w:t>
      </w:r>
      <w:r>
        <w:rPr>
          <w:spacing w:val="-4"/>
          <w:w w:val="105"/>
        </w:rPr>
        <w:t>making, </w:t>
      </w:r>
      <w:r>
        <w:rPr>
          <w:w w:val="105"/>
        </w:rPr>
        <w:t>nor </w:t>
      </w:r>
      <w:r>
        <w:rPr>
          <w:spacing w:val="-3"/>
          <w:w w:val="105"/>
        </w:rPr>
        <w:t>were </w:t>
      </w:r>
      <w:r>
        <w:rPr>
          <w:spacing w:val="-4"/>
          <w:w w:val="105"/>
        </w:rPr>
        <w:t>any criteria </w:t>
      </w:r>
      <w:r>
        <w:rPr>
          <w:spacing w:val="-3"/>
          <w:w w:val="105"/>
        </w:rPr>
        <w:t>included in </w:t>
      </w:r>
      <w:r>
        <w:rPr>
          <w:w w:val="105"/>
        </w:rPr>
        <w:t>New </w:t>
      </w:r>
      <w:r>
        <w:rPr>
          <w:spacing w:val="-3"/>
          <w:w w:val="105"/>
        </w:rPr>
        <w:t>South </w:t>
      </w:r>
      <w:r>
        <w:rPr>
          <w:spacing w:val="-4"/>
          <w:w w:val="105"/>
        </w:rPr>
        <w:t>Wales </w:t>
      </w:r>
      <w:r>
        <w:rPr>
          <w:w w:val="105"/>
        </w:rPr>
        <w:t>or </w:t>
      </w:r>
      <w:r>
        <w:rPr>
          <w:spacing w:val="-5"/>
          <w:w w:val="105"/>
        </w:rPr>
        <w:t>Tasmanian </w:t>
      </w:r>
      <w:r>
        <w:rPr>
          <w:spacing w:val="-4"/>
          <w:w w:val="105"/>
        </w:rPr>
        <w:t>legislation.</w:t>
      </w:r>
    </w:p>
    <w:p>
      <w:pPr>
        <w:pStyle w:val="ListParagraph"/>
        <w:numPr>
          <w:ilvl w:val="1"/>
          <w:numId w:val="22"/>
        </w:numPr>
        <w:tabs>
          <w:tab w:pos="2380" w:val="left" w:leader="none"/>
          <w:tab w:pos="2381" w:val="left" w:leader="none"/>
        </w:tabs>
        <w:spacing w:line="242" w:lineRule="auto" w:before="123" w:after="0"/>
        <w:ind w:left="2381" w:right="1887" w:hanging="794"/>
        <w:jc w:val="left"/>
        <w:rPr>
          <w:sz w:val="21"/>
        </w:rPr>
      </w:pPr>
      <w:r>
        <w:rPr>
          <w:sz w:val="21"/>
        </w:rPr>
        <w:t>The </w:t>
      </w:r>
      <w:r>
        <w:rPr>
          <w:spacing w:val="-3"/>
          <w:sz w:val="21"/>
        </w:rPr>
        <w:t>National Committee </w:t>
      </w:r>
      <w:r>
        <w:rPr>
          <w:sz w:val="21"/>
        </w:rPr>
        <w:t>recommended </w:t>
      </w:r>
      <w:r>
        <w:rPr>
          <w:spacing w:val="-3"/>
          <w:sz w:val="21"/>
        </w:rPr>
        <w:t>that  </w:t>
      </w:r>
      <w:r>
        <w:rPr>
          <w:sz w:val="21"/>
        </w:rPr>
        <w:t>certain  </w:t>
      </w:r>
      <w:r>
        <w:rPr>
          <w:spacing w:val="-3"/>
          <w:sz w:val="21"/>
        </w:rPr>
        <w:t>notice  </w:t>
      </w:r>
      <w:r>
        <w:rPr>
          <w:sz w:val="21"/>
        </w:rPr>
        <w:t>should  </w:t>
      </w:r>
      <w:r>
        <w:rPr>
          <w:spacing w:val="-3"/>
          <w:sz w:val="21"/>
        </w:rPr>
        <w:t>have  </w:t>
      </w:r>
      <w:r>
        <w:rPr>
          <w:sz w:val="21"/>
        </w:rPr>
        <w:t>been  </w:t>
      </w:r>
      <w:r>
        <w:rPr>
          <w:spacing w:val="-3"/>
          <w:sz w:val="21"/>
        </w:rPr>
        <w:t>given, </w:t>
      </w:r>
      <w:r>
        <w:rPr>
          <w:sz w:val="21"/>
        </w:rPr>
        <w:t>and certain time periods should </w:t>
      </w:r>
      <w:r>
        <w:rPr>
          <w:spacing w:val="-3"/>
          <w:sz w:val="21"/>
        </w:rPr>
        <w:t>have </w:t>
      </w:r>
      <w:r>
        <w:rPr>
          <w:sz w:val="21"/>
        </w:rPr>
        <w:t>elapsed, </w:t>
      </w:r>
      <w:r>
        <w:rPr>
          <w:spacing w:val="-3"/>
          <w:sz w:val="21"/>
        </w:rPr>
        <w:t>before </w:t>
      </w:r>
      <w:r>
        <w:rPr>
          <w:sz w:val="21"/>
        </w:rPr>
        <w:t>the personal representative </w:t>
      </w:r>
      <w:r>
        <w:rPr>
          <w:spacing w:val="-3"/>
          <w:sz w:val="21"/>
        </w:rPr>
        <w:t>could distribute </w:t>
      </w:r>
      <w:r>
        <w:rPr>
          <w:sz w:val="21"/>
        </w:rPr>
        <w:t>the estate </w:t>
      </w:r>
      <w:r>
        <w:rPr>
          <w:spacing w:val="-3"/>
          <w:sz w:val="21"/>
        </w:rPr>
        <w:t>equally </w:t>
      </w:r>
      <w:r>
        <w:rPr>
          <w:sz w:val="21"/>
        </w:rPr>
        <w:t>between the </w:t>
      </w:r>
      <w:r>
        <w:rPr>
          <w:spacing w:val="-4"/>
          <w:sz w:val="21"/>
        </w:rPr>
        <w:t>parties.</w:t>
      </w:r>
      <w:r>
        <w:rPr>
          <w:spacing w:val="-4"/>
          <w:position w:val="7"/>
          <w:sz w:val="12"/>
        </w:rPr>
        <w:t>178 </w:t>
      </w:r>
      <w:r>
        <w:rPr>
          <w:sz w:val="21"/>
        </w:rPr>
        <w:t>It also recommended </w:t>
      </w:r>
      <w:r>
        <w:rPr>
          <w:spacing w:val="-3"/>
          <w:sz w:val="21"/>
        </w:rPr>
        <w:t>that, </w:t>
      </w:r>
      <w:r>
        <w:rPr>
          <w:sz w:val="21"/>
        </w:rPr>
        <w:t>under these </w:t>
      </w:r>
      <w:r>
        <w:rPr>
          <w:spacing w:val="-3"/>
          <w:sz w:val="21"/>
        </w:rPr>
        <w:t>provisions, </w:t>
      </w:r>
      <w:r>
        <w:rPr>
          <w:sz w:val="21"/>
        </w:rPr>
        <w:t>none of the deceased </w:t>
      </w:r>
      <w:r>
        <w:rPr>
          <w:spacing w:val="-3"/>
          <w:sz w:val="21"/>
        </w:rPr>
        <w:t>person’s </w:t>
      </w:r>
      <w:r>
        <w:rPr>
          <w:sz w:val="21"/>
        </w:rPr>
        <w:t>partners should </w:t>
      </w:r>
      <w:r>
        <w:rPr>
          <w:spacing w:val="-3"/>
          <w:sz w:val="21"/>
        </w:rPr>
        <w:t>have </w:t>
      </w:r>
      <w:r>
        <w:rPr>
          <w:sz w:val="21"/>
        </w:rPr>
        <w:t>specific</w:t>
      </w:r>
      <w:r>
        <w:rPr>
          <w:spacing w:val="3"/>
          <w:sz w:val="21"/>
        </w:rPr>
        <w:t> </w:t>
      </w:r>
      <w:r>
        <w:rPr>
          <w:sz w:val="21"/>
        </w:rPr>
        <w:t>rights</w:t>
      </w:r>
    </w:p>
    <w:p>
      <w:pPr>
        <w:pStyle w:val="BodyText"/>
        <w:spacing w:before="4"/>
        <w:ind w:left="2381"/>
        <w:rPr>
          <w:sz w:val="12"/>
        </w:rPr>
      </w:pPr>
      <w:r>
        <w:rPr>
          <w:spacing w:val="-3"/>
          <w:w w:val="105"/>
        </w:rPr>
        <w:t>to </w:t>
      </w:r>
      <w:r>
        <w:rPr>
          <w:w w:val="105"/>
        </w:rPr>
        <w:t>the deceased </w:t>
      </w:r>
      <w:r>
        <w:rPr>
          <w:spacing w:val="-3"/>
          <w:w w:val="105"/>
        </w:rPr>
        <w:t>person’s </w:t>
      </w:r>
      <w:r>
        <w:rPr>
          <w:w w:val="105"/>
        </w:rPr>
        <w:t>personal effects or </w:t>
      </w:r>
      <w:r>
        <w:rPr>
          <w:spacing w:val="-3"/>
          <w:w w:val="105"/>
        </w:rPr>
        <w:t>to </w:t>
      </w:r>
      <w:r>
        <w:rPr>
          <w:w w:val="105"/>
        </w:rPr>
        <w:t>a statutory </w:t>
      </w:r>
      <w:r>
        <w:rPr>
          <w:spacing w:val="-5"/>
          <w:w w:val="105"/>
        </w:rPr>
        <w:t>legacy.</w:t>
      </w:r>
      <w:r>
        <w:rPr>
          <w:spacing w:val="-5"/>
          <w:w w:val="105"/>
          <w:position w:val="7"/>
          <w:sz w:val="12"/>
        </w:rPr>
        <w:t>179</w:t>
      </w:r>
    </w:p>
    <w:p>
      <w:pPr>
        <w:pStyle w:val="ListParagraph"/>
        <w:numPr>
          <w:ilvl w:val="1"/>
          <w:numId w:val="22"/>
        </w:numPr>
        <w:tabs>
          <w:tab w:pos="2380" w:val="left" w:leader="none"/>
          <w:tab w:pos="2381" w:val="left" w:leader="none"/>
        </w:tabs>
        <w:spacing w:line="242" w:lineRule="auto" w:before="124" w:after="0"/>
        <w:ind w:left="2381" w:right="2169" w:hanging="794"/>
        <w:jc w:val="left"/>
        <w:rPr>
          <w:sz w:val="12"/>
        </w:rPr>
      </w:pPr>
      <w:r>
        <w:rPr>
          <w:w w:val="105"/>
          <w:sz w:val="21"/>
        </w:rPr>
        <w:t>The</w:t>
      </w:r>
      <w:r>
        <w:rPr>
          <w:spacing w:val="-6"/>
          <w:w w:val="105"/>
          <w:sz w:val="21"/>
        </w:rPr>
        <w:t> </w:t>
      </w:r>
      <w:r>
        <w:rPr>
          <w:spacing w:val="-3"/>
          <w:w w:val="105"/>
          <w:sz w:val="21"/>
        </w:rPr>
        <w:t>National</w:t>
      </w:r>
      <w:r>
        <w:rPr>
          <w:spacing w:val="-6"/>
          <w:w w:val="105"/>
          <w:sz w:val="21"/>
        </w:rPr>
        <w:t> </w:t>
      </w:r>
      <w:r>
        <w:rPr>
          <w:spacing w:val="-3"/>
          <w:w w:val="105"/>
          <w:sz w:val="21"/>
        </w:rPr>
        <w:t>Committee</w:t>
      </w:r>
      <w:r>
        <w:rPr>
          <w:spacing w:val="-6"/>
          <w:w w:val="105"/>
          <w:sz w:val="21"/>
        </w:rPr>
        <w:t> </w:t>
      </w:r>
      <w:r>
        <w:rPr>
          <w:spacing w:val="-3"/>
          <w:w w:val="105"/>
          <w:sz w:val="21"/>
        </w:rPr>
        <w:t>considered</w:t>
      </w:r>
      <w:r>
        <w:rPr>
          <w:spacing w:val="-6"/>
          <w:w w:val="105"/>
          <w:sz w:val="21"/>
        </w:rPr>
        <w:t> </w:t>
      </w:r>
      <w:r>
        <w:rPr>
          <w:spacing w:val="-3"/>
          <w:w w:val="105"/>
          <w:sz w:val="21"/>
        </w:rPr>
        <w:t>that,</w:t>
      </w:r>
      <w:r>
        <w:rPr>
          <w:spacing w:val="-6"/>
          <w:w w:val="105"/>
          <w:sz w:val="21"/>
        </w:rPr>
        <w:t> </w:t>
      </w:r>
      <w:r>
        <w:rPr>
          <w:w w:val="105"/>
          <w:sz w:val="21"/>
        </w:rPr>
        <w:t>under</w:t>
      </w:r>
      <w:r>
        <w:rPr>
          <w:spacing w:val="-6"/>
          <w:w w:val="105"/>
          <w:sz w:val="21"/>
        </w:rPr>
        <w:t> </w:t>
      </w:r>
      <w:r>
        <w:rPr>
          <w:w w:val="105"/>
          <w:sz w:val="21"/>
        </w:rPr>
        <w:t>these</w:t>
      </w:r>
      <w:r>
        <w:rPr>
          <w:spacing w:val="-6"/>
          <w:w w:val="105"/>
          <w:sz w:val="21"/>
        </w:rPr>
        <w:t> </w:t>
      </w:r>
      <w:r>
        <w:rPr>
          <w:spacing w:val="-3"/>
          <w:w w:val="105"/>
          <w:sz w:val="21"/>
        </w:rPr>
        <w:t>provisions,</w:t>
      </w:r>
      <w:r>
        <w:rPr>
          <w:spacing w:val="-6"/>
          <w:w w:val="105"/>
          <w:sz w:val="21"/>
        </w:rPr>
        <w:t> </w:t>
      </w:r>
      <w:r>
        <w:rPr>
          <w:w w:val="105"/>
          <w:sz w:val="21"/>
        </w:rPr>
        <w:t>the</w:t>
      </w:r>
      <w:r>
        <w:rPr>
          <w:spacing w:val="-5"/>
          <w:w w:val="105"/>
          <w:sz w:val="21"/>
        </w:rPr>
        <w:t> </w:t>
      </w:r>
      <w:r>
        <w:rPr>
          <w:spacing w:val="-2"/>
          <w:w w:val="105"/>
          <w:sz w:val="21"/>
        </w:rPr>
        <w:t>distribution</w:t>
      </w:r>
      <w:r>
        <w:rPr>
          <w:spacing w:val="-6"/>
          <w:w w:val="105"/>
          <w:sz w:val="21"/>
        </w:rPr>
        <w:t> </w:t>
      </w:r>
      <w:r>
        <w:rPr>
          <w:w w:val="105"/>
          <w:sz w:val="21"/>
        </w:rPr>
        <w:t>of particular </w:t>
      </w:r>
      <w:r>
        <w:rPr>
          <w:spacing w:val="-3"/>
          <w:w w:val="105"/>
          <w:sz w:val="21"/>
        </w:rPr>
        <w:t>items from </w:t>
      </w:r>
      <w:r>
        <w:rPr>
          <w:w w:val="105"/>
          <w:sz w:val="21"/>
        </w:rPr>
        <w:t>the </w:t>
      </w:r>
      <w:r>
        <w:rPr>
          <w:spacing w:val="-3"/>
          <w:w w:val="105"/>
          <w:sz w:val="21"/>
        </w:rPr>
        <w:t>intestate </w:t>
      </w:r>
      <w:r>
        <w:rPr>
          <w:w w:val="105"/>
          <w:sz w:val="21"/>
        </w:rPr>
        <w:t>estate </w:t>
      </w:r>
      <w:r>
        <w:rPr>
          <w:spacing w:val="-3"/>
          <w:w w:val="105"/>
          <w:sz w:val="21"/>
        </w:rPr>
        <w:t>could </w:t>
      </w:r>
      <w:r>
        <w:rPr>
          <w:w w:val="105"/>
          <w:sz w:val="21"/>
        </w:rPr>
        <w:t>be subject </w:t>
      </w:r>
      <w:r>
        <w:rPr>
          <w:spacing w:val="-3"/>
          <w:w w:val="105"/>
          <w:sz w:val="21"/>
        </w:rPr>
        <w:t>to </w:t>
      </w:r>
      <w:r>
        <w:rPr>
          <w:w w:val="105"/>
          <w:sz w:val="21"/>
        </w:rPr>
        <w:t>negotiation between the </w:t>
      </w:r>
      <w:r>
        <w:rPr>
          <w:spacing w:val="-3"/>
          <w:w w:val="105"/>
          <w:sz w:val="21"/>
        </w:rPr>
        <w:t>partners.</w:t>
      </w:r>
      <w:r>
        <w:rPr>
          <w:spacing w:val="-3"/>
          <w:w w:val="105"/>
          <w:position w:val="7"/>
          <w:sz w:val="12"/>
        </w:rPr>
        <w:t>180 </w:t>
      </w:r>
      <w:r>
        <w:rPr>
          <w:w w:val="105"/>
          <w:sz w:val="21"/>
        </w:rPr>
        <w:t>These </w:t>
      </w:r>
      <w:r>
        <w:rPr>
          <w:spacing w:val="-3"/>
          <w:w w:val="105"/>
          <w:sz w:val="21"/>
        </w:rPr>
        <w:t>recommendations </w:t>
      </w:r>
      <w:r>
        <w:rPr>
          <w:w w:val="105"/>
          <w:sz w:val="21"/>
        </w:rPr>
        <w:t>in </w:t>
      </w:r>
      <w:r>
        <w:rPr>
          <w:spacing w:val="-3"/>
          <w:w w:val="105"/>
          <w:sz w:val="21"/>
        </w:rPr>
        <w:t>relation to multiple </w:t>
      </w:r>
      <w:r>
        <w:rPr>
          <w:w w:val="105"/>
          <w:sz w:val="21"/>
        </w:rPr>
        <w:t>partners </w:t>
      </w:r>
      <w:r>
        <w:rPr>
          <w:spacing w:val="-3"/>
          <w:w w:val="105"/>
          <w:sz w:val="21"/>
        </w:rPr>
        <w:t>were </w:t>
      </w:r>
      <w:r>
        <w:rPr>
          <w:w w:val="105"/>
          <w:sz w:val="21"/>
        </w:rPr>
        <w:t>based on law </w:t>
      </w:r>
      <w:r>
        <w:rPr>
          <w:spacing w:val="-3"/>
          <w:w w:val="105"/>
          <w:sz w:val="21"/>
        </w:rPr>
        <w:t>already </w:t>
      </w:r>
      <w:r>
        <w:rPr>
          <w:w w:val="105"/>
          <w:sz w:val="21"/>
        </w:rPr>
        <w:t>in operation in </w:t>
      </w:r>
      <w:r>
        <w:rPr>
          <w:spacing w:val="-3"/>
          <w:w w:val="105"/>
          <w:sz w:val="21"/>
        </w:rPr>
        <w:t>Queensland </w:t>
      </w:r>
      <w:r>
        <w:rPr>
          <w:spacing w:val="-3"/>
          <w:w w:val="105"/>
          <w:position w:val="7"/>
          <w:sz w:val="12"/>
        </w:rPr>
        <w:t>181 </w:t>
      </w:r>
      <w:r>
        <w:rPr>
          <w:w w:val="105"/>
          <w:sz w:val="21"/>
        </w:rPr>
        <w:t>and </w:t>
      </w:r>
      <w:r>
        <w:rPr>
          <w:spacing w:val="-3"/>
          <w:w w:val="105"/>
          <w:sz w:val="21"/>
        </w:rPr>
        <w:t>have since </w:t>
      </w:r>
      <w:r>
        <w:rPr>
          <w:w w:val="105"/>
          <w:sz w:val="21"/>
        </w:rPr>
        <w:t>been </w:t>
      </w:r>
      <w:r>
        <w:rPr>
          <w:spacing w:val="-3"/>
          <w:w w:val="105"/>
          <w:sz w:val="21"/>
        </w:rPr>
        <w:t>implemented </w:t>
      </w:r>
      <w:r>
        <w:rPr>
          <w:w w:val="105"/>
          <w:sz w:val="21"/>
        </w:rPr>
        <w:t>in the recommended </w:t>
      </w:r>
      <w:r>
        <w:rPr>
          <w:spacing w:val="-3"/>
          <w:w w:val="105"/>
          <w:sz w:val="21"/>
        </w:rPr>
        <w:t>form </w:t>
      </w:r>
      <w:r>
        <w:rPr>
          <w:w w:val="105"/>
          <w:sz w:val="21"/>
        </w:rPr>
        <w:t>in New South </w:t>
      </w:r>
      <w:r>
        <w:rPr>
          <w:spacing w:val="-3"/>
          <w:w w:val="105"/>
          <w:sz w:val="21"/>
        </w:rPr>
        <w:t>Wales </w:t>
      </w:r>
      <w:r>
        <w:rPr>
          <w:w w:val="105"/>
          <w:sz w:val="21"/>
        </w:rPr>
        <w:t>and</w:t>
      </w:r>
      <w:r>
        <w:rPr>
          <w:spacing w:val="35"/>
          <w:w w:val="105"/>
          <w:sz w:val="21"/>
        </w:rPr>
        <w:t> </w:t>
      </w:r>
      <w:r>
        <w:rPr>
          <w:spacing w:val="-5"/>
          <w:w w:val="105"/>
          <w:sz w:val="21"/>
        </w:rPr>
        <w:t>Tasmania.</w:t>
      </w:r>
      <w:r>
        <w:rPr>
          <w:spacing w:val="-5"/>
          <w:w w:val="105"/>
          <w:position w:val="7"/>
          <w:sz w:val="12"/>
        </w:rPr>
        <w:t>182</w:t>
      </w:r>
    </w:p>
    <w:p>
      <w:pPr>
        <w:pStyle w:val="BodyText"/>
        <w:spacing w:before="1"/>
        <w:rPr>
          <w:sz w:val="27"/>
        </w:rPr>
      </w:pPr>
    </w:p>
    <w:p>
      <w:pPr>
        <w:pStyle w:val="Heading6"/>
      </w:pPr>
      <w:r>
        <w:rPr>
          <w:w w:val="115"/>
        </w:rPr>
        <w:t>Where there are children or other issue who are entitled to a share</w:t>
      </w:r>
    </w:p>
    <w:p>
      <w:pPr>
        <w:pStyle w:val="ListParagraph"/>
        <w:numPr>
          <w:ilvl w:val="1"/>
          <w:numId w:val="22"/>
        </w:numPr>
        <w:tabs>
          <w:tab w:pos="2381" w:val="left" w:leader="none"/>
          <w:tab w:pos="2382" w:val="left" w:leader="none"/>
        </w:tabs>
        <w:spacing w:line="242" w:lineRule="auto" w:before="151" w:after="0"/>
        <w:ind w:left="2381" w:right="1639" w:hanging="794"/>
        <w:jc w:val="left"/>
        <w:rPr>
          <w:sz w:val="12"/>
        </w:rPr>
      </w:pPr>
      <w:r>
        <w:rPr>
          <w:w w:val="105"/>
          <w:sz w:val="21"/>
        </w:rPr>
        <w:t>Where the deceased person is survived by </w:t>
      </w:r>
      <w:r>
        <w:rPr>
          <w:spacing w:val="-3"/>
          <w:w w:val="105"/>
          <w:sz w:val="21"/>
        </w:rPr>
        <w:t>multiple </w:t>
      </w:r>
      <w:r>
        <w:rPr>
          <w:w w:val="105"/>
          <w:sz w:val="21"/>
        </w:rPr>
        <w:t>partners and </w:t>
      </w:r>
      <w:r>
        <w:rPr>
          <w:spacing w:val="-3"/>
          <w:w w:val="105"/>
          <w:sz w:val="21"/>
        </w:rPr>
        <w:t>children </w:t>
      </w:r>
      <w:r>
        <w:rPr>
          <w:w w:val="105"/>
          <w:sz w:val="21"/>
        </w:rPr>
        <w:t>or other </w:t>
      </w:r>
      <w:r>
        <w:rPr>
          <w:spacing w:val="-3"/>
          <w:w w:val="105"/>
          <w:sz w:val="21"/>
        </w:rPr>
        <w:t>issue </w:t>
      </w:r>
      <w:r>
        <w:rPr>
          <w:w w:val="105"/>
          <w:sz w:val="21"/>
        </w:rPr>
        <w:t>who </w:t>
      </w:r>
      <w:r>
        <w:rPr>
          <w:spacing w:val="-3"/>
          <w:w w:val="105"/>
          <w:sz w:val="21"/>
        </w:rPr>
        <w:t>are </w:t>
      </w:r>
      <w:r>
        <w:rPr>
          <w:w w:val="105"/>
          <w:sz w:val="21"/>
        </w:rPr>
        <w:t>also entitled </w:t>
      </w:r>
      <w:r>
        <w:rPr>
          <w:spacing w:val="-3"/>
          <w:w w:val="105"/>
          <w:sz w:val="21"/>
        </w:rPr>
        <w:t>to </w:t>
      </w:r>
      <w:r>
        <w:rPr>
          <w:w w:val="105"/>
          <w:sz w:val="21"/>
        </w:rPr>
        <w:t>a </w:t>
      </w:r>
      <w:r>
        <w:rPr>
          <w:spacing w:val="-3"/>
          <w:w w:val="105"/>
          <w:sz w:val="21"/>
        </w:rPr>
        <w:t>share </w:t>
      </w:r>
      <w:r>
        <w:rPr>
          <w:w w:val="105"/>
          <w:sz w:val="21"/>
        </w:rPr>
        <w:t>on </w:t>
      </w:r>
      <w:r>
        <w:rPr>
          <w:spacing w:val="-3"/>
          <w:w w:val="105"/>
          <w:sz w:val="21"/>
        </w:rPr>
        <w:t>intestacy, </w:t>
      </w:r>
      <w:r>
        <w:rPr>
          <w:w w:val="105"/>
          <w:sz w:val="21"/>
        </w:rPr>
        <w:t>the </w:t>
      </w:r>
      <w:r>
        <w:rPr>
          <w:spacing w:val="-3"/>
          <w:w w:val="105"/>
          <w:sz w:val="21"/>
        </w:rPr>
        <w:t>National Committee </w:t>
      </w:r>
      <w:r>
        <w:rPr>
          <w:w w:val="105"/>
          <w:sz w:val="21"/>
        </w:rPr>
        <w:t>recommended </w:t>
      </w:r>
      <w:r>
        <w:rPr>
          <w:spacing w:val="-3"/>
          <w:w w:val="105"/>
          <w:sz w:val="21"/>
        </w:rPr>
        <w:t>that </w:t>
      </w:r>
      <w:r>
        <w:rPr>
          <w:w w:val="105"/>
          <w:sz w:val="21"/>
        </w:rPr>
        <w:t>the</w:t>
      </w:r>
      <w:r>
        <w:rPr>
          <w:spacing w:val="-14"/>
          <w:w w:val="105"/>
          <w:sz w:val="21"/>
        </w:rPr>
        <w:t> </w:t>
      </w:r>
      <w:r>
        <w:rPr>
          <w:w w:val="105"/>
          <w:sz w:val="21"/>
        </w:rPr>
        <w:t>partners</w:t>
      </w:r>
      <w:r>
        <w:rPr>
          <w:spacing w:val="-13"/>
          <w:w w:val="105"/>
          <w:sz w:val="21"/>
        </w:rPr>
        <w:t> </w:t>
      </w:r>
      <w:r>
        <w:rPr>
          <w:w w:val="105"/>
          <w:sz w:val="21"/>
        </w:rPr>
        <w:t>should</w:t>
      </w:r>
      <w:r>
        <w:rPr>
          <w:spacing w:val="-13"/>
          <w:w w:val="105"/>
          <w:sz w:val="21"/>
        </w:rPr>
        <w:t> </w:t>
      </w:r>
      <w:r>
        <w:rPr>
          <w:w w:val="105"/>
          <w:sz w:val="21"/>
        </w:rPr>
        <w:t>each</w:t>
      </w:r>
      <w:r>
        <w:rPr>
          <w:spacing w:val="-13"/>
          <w:w w:val="105"/>
          <w:sz w:val="21"/>
        </w:rPr>
        <w:t> </w:t>
      </w:r>
      <w:r>
        <w:rPr>
          <w:w w:val="105"/>
          <w:sz w:val="21"/>
        </w:rPr>
        <w:t>be</w:t>
      </w:r>
      <w:r>
        <w:rPr>
          <w:spacing w:val="-13"/>
          <w:w w:val="105"/>
          <w:sz w:val="21"/>
        </w:rPr>
        <w:t> </w:t>
      </w:r>
      <w:r>
        <w:rPr>
          <w:w w:val="105"/>
          <w:sz w:val="21"/>
        </w:rPr>
        <w:t>entitled</w:t>
      </w:r>
      <w:r>
        <w:rPr>
          <w:spacing w:val="-13"/>
          <w:w w:val="105"/>
          <w:sz w:val="21"/>
        </w:rPr>
        <w:t> </w:t>
      </w:r>
      <w:r>
        <w:rPr>
          <w:spacing w:val="-3"/>
          <w:w w:val="105"/>
          <w:sz w:val="21"/>
        </w:rPr>
        <w:t>to</w:t>
      </w:r>
      <w:r>
        <w:rPr>
          <w:spacing w:val="-13"/>
          <w:w w:val="105"/>
          <w:sz w:val="21"/>
        </w:rPr>
        <w:t> </w:t>
      </w:r>
      <w:r>
        <w:rPr>
          <w:w w:val="105"/>
          <w:sz w:val="21"/>
        </w:rPr>
        <w:t>their</w:t>
      </w:r>
      <w:r>
        <w:rPr>
          <w:spacing w:val="-13"/>
          <w:w w:val="105"/>
          <w:sz w:val="21"/>
        </w:rPr>
        <w:t> </w:t>
      </w:r>
      <w:r>
        <w:rPr>
          <w:w w:val="105"/>
          <w:sz w:val="21"/>
        </w:rPr>
        <w:t>own</w:t>
      </w:r>
      <w:r>
        <w:rPr>
          <w:spacing w:val="-13"/>
          <w:w w:val="105"/>
          <w:sz w:val="21"/>
        </w:rPr>
        <w:t> </w:t>
      </w:r>
      <w:r>
        <w:rPr>
          <w:w w:val="105"/>
          <w:sz w:val="21"/>
        </w:rPr>
        <w:t>statutory</w:t>
      </w:r>
      <w:r>
        <w:rPr>
          <w:spacing w:val="-13"/>
          <w:w w:val="105"/>
          <w:sz w:val="21"/>
        </w:rPr>
        <w:t> </w:t>
      </w:r>
      <w:r>
        <w:rPr>
          <w:w w:val="105"/>
          <w:sz w:val="21"/>
        </w:rPr>
        <w:t>legacy—rateably</w:t>
      </w:r>
      <w:r>
        <w:rPr>
          <w:spacing w:val="-13"/>
          <w:w w:val="105"/>
          <w:sz w:val="21"/>
        </w:rPr>
        <w:t> </w:t>
      </w:r>
      <w:r>
        <w:rPr>
          <w:w w:val="105"/>
          <w:sz w:val="21"/>
        </w:rPr>
        <w:t>if</w:t>
      </w:r>
      <w:r>
        <w:rPr>
          <w:spacing w:val="-13"/>
          <w:w w:val="105"/>
          <w:sz w:val="21"/>
        </w:rPr>
        <w:t> </w:t>
      </w:r>
      <w:r>
        <w:rPr>
          <w:w w:val="105"/>
          <w:sz w:val="21"/>
        </w:rPr>
        <w:t>there</w:t>
      </w:r>
      <w:r>
        <w:rPr>
          <w:spacing w:val="-13"/>
          <w:w w:val="105"/>
          <w:sz w:val="21"/>
        </w:rPr>
        <w:t> </w:t>
      </w:r>
      <w:r>
        <w:rPr>
          <w:spacing w:val="-3"/>
          <w:w w:val="105"/>
          <w:sz w:val="21"/>
        </w:rPr>
        <w:t>were </w:t>
      </w:r>
      <w:r>
        <w:rPr>
          <w:w w:val="105"/>
          <w:sz w:val="21"/>
        </w:rPr>
        <w:t>insufficient funds—and a </w:t>
      </w:r>
      <w:r>
        <w:rPr>
          <w:spacing w:val="-3"/>
          <w:w w:val="105"/>
          <w:sz w:val="21"/>
        </w:rPr>
        <w:t>share </w:t>
      </w:r>
      <w:r>
        <w:rPr>
          <w:w w:val="105"/>
          <w:sz w:val="21"/>
        </w:rPr>
        <w:t>of </w:t>
      </w:r>
      <w:r>
        <w:rPr>
          <w:spacing w:val="-3"/>
          <w:w w:val="105"/>
          <w:sz w:val="21"/>
        </w:rPr>
        <w:t>half </w:t>
      </w:r>
      <w:r>
        <w:rPr>
          <w:w w:val="105"/>
          <w:sz w:val="21"/>
        </w:rPr>
        <w:t>the </w:t>
      </w:r>
      <w:r>
        <w:rPr>
          <w:spacing w:val="-3"/>
          <w:w w:val="105"/>
          <w:sz w:val="21"/>
        </w:rPr>
        <w:t>residue </w:t>
      </w:r>
      <w:r>
        <w:rPr>
          <w:w w:val="105"/>
          <w:sz w:val="21"/>
        </w:rPr>
        <w:t>of the</w:t>
      </w:r>
      <w:r>
        <w:rPr>
          <w:spacing w:val="43"/>
          <w:w w:val="105"/>
          <w:sz w:val="21"/>
        </w:rPr>
        <w:t> </w:t>
      </w:r>
      <w:r>
        <w:rPr>
          <w:spacing w:val="-4"/>
          <w:w w:val="105"/>
          <w:sz w:val="21"/>
        </w:rPr>
        <w:t>estate.</w:t>
      </w:r>
      <w:r>
        <w:rPr>
          <w:spacing w:val="-4"/>
          <w:w w:val="105"/>
          <w:position w:val="7"/>
          <w:sz w:val="12"/>
        </w:rPr>
        <w:t>183</w:t>
      </w:r>
    </w:p>
    <w:p>
      <w:pPr>
        <w:pStyle w:val="ListParagraph"/>
        <w:numPr>
          <w:ilvl w:val="1"/>
          <w:numId w:val="22"/>
        </w:numPr>
        <w:tabs>
          <w:tab w:pos="2380" w:val="left" w:leader="none"/>
          <w:tab w:pos="2381" w:val="left" w:leader="none"/>
        </w:tabs>
        <w:spacing w:line="242" w:lineRule="auto" w:before="125" w:after="0"/>
        <w:ind w:left="2381" w:right="1657" w:hanging="794"/>
        <w:jc w:val="left"/>
        <w:rPr>
          <w:sz w:val="21"/>
        </w:rPr>
      </w:pPr>
      <w:r>
        <w:rPr>
          <w:spacing w:val="-5"/>
          <w:sz w:val="21"/>
        </w:rPr>
        <w:t>Tasmania </w:t>
      </w:r>
      <w:r>
        <w:rPr>
          <w:spacing w:val="-4"/>
          <w:sz w:val="21"/>
        </w:rPr>
        <w:t>implemented </w:t>
      </w:r>
      <w:r>
        <w:rPr>
          <w:sz w:val="21"/>
        </w:rPr>
        <w:t>the </w:t>
      </w:r>
      <w:r>
        <w:rPr>
          <w:spacing w:val="-4"/>
          <w:sz w:val="21"/>
        </w:rPr>
        <w:t>provisions </w:t>
      </w:r>
      <w:r>
        <w:rPr>
          <w:sz w:val="21"/>
        </w:rPr>
        <w:t>as </w:t>
      </w:r>
      <w:r>
        <w:rPr>
          <w:spacing w:val="-3"/>
          <w:sz w:val="21"/>
        </w:rPr>
        <w:t>recommended by  </w:t>
      </w:r>
      <w:r>
        <w:rPr>
          <w:sz w:val="21"/>
        </w:rPr>
        <w:t>the  </w:t>
      </w:r>
      <w:r>
        <w:rPr>
          <w:spacing w:val="-3"/>
          <w:sz w:val="21"/>
        </w:rPr>
        <w:t>National  </w:t>
      </w:r>
      <w:r>
        <w:rPr>
          <w:spacing w:val="-4"/>
          <w:sz w:val="21"/>
        </w:rPr>
        <w:t>Committee, providing</w:t>
      </w:r>
      <w:r>
        <w:rPr>
          <w:spacing w:val="16"/>
          <w:sz w:val="21"/>
        </w:rPr>
        <w:t> </w:t>
      </w:r>
      <w:r>
        <w:rPr>
          <w:spacing w:val="-3"/>
          <w:sz w:val="21"/>
        </w:rPr>
        <w:t>that</w:t>
      </w:r>
      <w:r>
        <w:rPr>
          <w:spacing w:val="16"/>
          <w:sz w:val="21"/>
        </w:rPr>
        <w:t> </w:t>
      </w:r>
      <w:r>
        <w:rPr>
          <w:spacing w:val="-3"/>
          <w:sz w:val="21"/>
        </w:rPr>
        <w:t>where</w:t>
      </w:r>
      <w:r>
        <w:rPr>
          <w:spacing w:val="16"/>
          <w:sz w:val="21"/>
        </w:rPr>
        <w:t> </w:t>
      </w:r>
      <w:r>
        <w:rPr>
          <w:spacing w:val="-4"/>
          <w:sz w:val="21"/>
        </w:rPr>
        <w:t>any</w:t>
      </w:r>
      <w:r>
        <w:rPr>
          <w:spacing w:val="16"/>
          <w:sz w:val="21"/>
        </w:rPr>
        <w:t> </w:t>
      </w:r>
      <w:r>
        <w:rPr>
          <w:spacing w:val="-4"/>
          <w:sz w:val="21"/>
        </w:rPr>
        <w:t>children</w:t>
      </w:r>
      <w:r>
        <w:rPr>
          <w:spacing w:val="17"/>
          <w:sz w:val="21"/>
        </w:rPr>
        <w:t> </w:t>
      </w:r>
      <w:r>
        <w:rPr>
          <w:sz w:val="21"/>
        </w:rPr>
        <w:t>or</w:t>
      </w:r>
      <w:r>
        <w:rPr>
          <w:spacing w:val="16"/>
          <w:sz w:val="21"/>
        </w:rPr>
        <w:t> </w:t>
      </w:r>
      <w:r>
        <w:rPr>
          <w:spacing w:val="-3"/>
          <w:sz w:val="21"/>
        </w:rPr>
        <w:t>issue</w:t>
      </w:r>
      <w:r>
        <w:rPr>
          <w:spacing w:val="16"/>
          <w:sz w:val="21"/>
        </w:rPr>
        <w:t> </w:t>
      </w:r>
      <w:r>
        <w:rPr>
          <w:spacing w:val="-3"/>
          <w:sz w:val="21"/>
        </w:rPr>
        <w:t>are</w:t>
      </w:r>
      <w:r>
        <w:rPr>
          <w:spacing w:val="16"/>
          <w:sz w:val="21"/>
        </w:rPr>
        <w:t> </w:t>
      </w:r>
      <w:r>
        <w:rPr>
          <w:spacing w:val="-3"/>
          <w:sz w:val="21"/>
        </w:rPr>
        <w:t>also</w:t>
      </w:r>
      <w:r>
        <w:rPr>
          <w:spacing w:val="17"/>
          <w:sz w:val="21"/>
        </w:rPr>
        <w:t> </w:t>
      </w:r>
      <w:r>
        <w:rPr>
          <w:spacing w:val="-3"/>
          <w:sz w:val="21"/>
        </w:rPr>
        <w:t>entitled</w:t>
      </w:r>
      <w:r>
        <w:rPr>
          <w:spacing w:val="16"/>
          <w:sz w:val="21"/>
        </w:rPr>
        <w:t> </w:t>
      </w:r>
      <w:r>
        <w:rPr>
          <w:spacing w:val="-3"/>
          <w:sz w:val="21"/>
        </w:rPr>
        <w:t>to</w:t>
      </w:r>
      <w:r>
        <w:rPr>
          <w:spacing w:val="16"/>
          <w:sz w:val="21"/>
        </w:rPr>
        <w:t> </w:t>
      </w:r>
      <w:r>
        <w:rPr>
          <w:sz w:val="21"/>
        </w:rPr>
        <w:t>a</w:t>
      </w:r>
      <w:r>
        <w:rPr>
          <w:spacing w:val="16"/>
          <w:sz w:val="21"/>
        </w:rPr>
        <w:t> </w:t>
      </w:r>
      <w:r>
        <w:rPr>
          <w:spacing w:val="-5"/>
          <w:sz w:val="21"/>
        </w:rPr>
        <w:t>share,</w:t>
      </w:r>
      <w:r>
        <w:rPr>
          <w:spacing w:val="17"/>
          <w:sz w:val="21"/>
        </w:rPr>
        <w:t> </w:t>
      </w:r>
      <w:r>
        <w:rPr>
          <w:sz w:val="21"/>
        </w:rPr>
        <w:t>the</w:t>
      </w:r>
      <w:r>
        <w:rPr>
          <w:spacing w:val="16"/>
          <w:sz w:val="21"/>
        </w:rPr>
        <w:t> </w:t>
      </w:r>
      <w:r>
        <w:rPr>
          <w:sz w:val="21"/>
        </w:rPr>
        <w:t>partners</w:t>
      </w:r>
      <w:r>
        <w:rPr>
          <w:spacing w:val="16"/>
          <w:sz w:val="21"/>
        </w:rPr>
        <w:t> </w:t>
      </w:r>
      <w:r>
        <w:rPr>
          <w:spacing w:val="-3"/>
          <w:sz w:val="21"/>
        </w:rPr>
        <w:t>receive:</w:t>
      </w:r>
    </w:p>
    <w:p>
      <w:pPr>
        <w:pStyle w:val="ListParagraph"/>
        <w:numPr>
          <w:ilvl w:val="2"/>
          <w:numId w:val="22"/>
        </w:numPr>
        <w:tabs>
          <w:tab w:pos="2721" w:val="left" w:leader="none"/>
          <w:tab w:pos="2722" w:val="left" w:leader="none"/>
        </w:tabs>
        <w:spacing w:line="240" w:lineRule="auto" w:before="122" w:after="0"/>
        <w:ind w:left="2721" w:right="0" w:hanging="340"/>
        <w:jc w:val="left"/>
        <w:rPr>
          <w:sz w:val="21"/>
        </w:rPr>
      </w:pPr>
      <w:r>
        <w:rPr>
          <w:w w:val="105"/>
          <w:sz w:val="21"/>
        </w:rPr>
        <w:t>the deceased </w:t>
      </w:r>
      <w:r>
        <w:rPr>
          <w:spacing w:val="-3"/>
          <w:w w:val="105"/>
          <w:sz w:val="21"/>
        </w:rPr>
        <w:t>person’s </w:t>
      </w:r>
      <w:r>
        <w:rPr>
          <w:w w:val="105"/>
          <w:sz w:val="21"/>
        </w:rPr>
        <w:t>personal effects, in </w:t>
      </w:r>
      <w:r>
        <w:rPr>
          <w:spacing w:val="-3"/>
          <w:w w:val="105"/>
          <w:sz w:val="21"/>
        </w:rPr>
        <w:t>accordance </w:t>
      </w:r>
      <w:r>
        <w:rPr>
          <w:w w:val="105"/>
          <w:sz w:val="21"/>
        </w:rPr>
        <w:t>with the </w:t>
      </w:r>
      <w:r>
        <w:rPr>
          <w:spacing w:val="-3"/>
          <w:w w:val="105"/>
          <w:sz w:val="21"/>
        </w:rPr>
        <w:t>sharing</w:t>
      </w:r>
      <w:r>
        <w:rPr>
          <w:spacing w:val="31"/>
          <w:w w:val="105"/>
          <w:sz w:val="21"/>
        </w:rPr>
        <w:t> </w:t>
      </w:r>
      <w:r>
        <w:rPr>
          <w:spacing w:val="-3"/>
          <w:w w:val="105"/>
          <w:sz w:val="21"/>
        </w:rPr>
        <w:t>provisions</w:t>
      </w:r>
    </w:p>
    <w:p>
      <w:pPr>
        <w:pStyle w:val="ListParagraph"/>
        <w:numPr>
          <w:ilvl w:val="2"/>
          <w:numId w:val="22"/>
        </w:numPr>
        <w:tabs>
          <w:tab w:pos="2721" w:val="left" w:leader="none"/>
          <w:tab w:pos="2722" w:val="left" w:leader="none"/>
        </w:tabs>
        <w:spacing w:line="240" w:lineRule="auto" w:before="124" w:after="0"/>
        <w:ind w:left="2721" w:right="0" w:hanging="340"/>
        <w:jc w:val="left"/>
        <w:rPr>
          <w:sz w:val="21"/>
        </w:rPr>
      </w:pPr>
      <w:r>
        <w:rPr>
          <w:w w:val="105"/>
          <w:sz w:val="21"/>
        </w:rPr>
        <w:t>a statutory legacy</w:t>
      </w:r>
      <w:r>
        <w:rPr>
          <w:spacing w:val="15"/>
          <w:w w:val="105"/>
          <w:sz w:val="21"/>
        </w:rPr>
        <w:t> </w:t>
      </w:r>
      <w:r>
        <w:rPr>
          <w:w w:val="105"/>
          <w:sz w:val="21"/>
        </w:rPr>
        <w:t>each</w:t>
      </w:r>
    </w:p>
    <w:p>
      <w:pPr>
        <w:pStyle w:val="ListParagraph"/>
        <w:numPr>
          <w:ilvl w:val="2"/>
          <w:numId w:val="22"/>
        </w:numPr>
        <w:tabs>
          <w:tab w:pos="2721" w:val="left" w:leader="none"/>
          <w:tab w:pos="2722" w:val="left" w:leader="none"/>
        </w:tabs>
        <w:spacing w:line="242" w:lineRule="auto" w:before="123" w:after="0"/>
        <w:ind w:left="2721" w:right="1910" w:hanging="340"/>
        <w:jc w:val="left"/>
        <w:rPr>
          <w:sz w:val="12"/>
        </w:rPr>
      </w:pPr>
      <w:r>
        <w:rPr>
          <w:w w:val="105"/>
          <w:sz w:val="21"/>
        </w:rPr>
        <w:t>a </w:t>
      </w:r>
      <w:r>
        <w:rPr>
          <w:spacing w:val="-3"/>
          <w:w w:val="105"/>
          <w:sz w:val="21"/>
        </w:rPr>
        <w:t>share </w:t>
      </w:r>
      <w:r>
        <w:rPr>
          <w:w w:val="105"/>
          <w:sz w:val="21"/>
        </w:rPr>
        <w:t>of one </w:t>
      </w:r>
      <w:r>
        <w:rPr>
          <w:spacing w:val="-3"/>
          <w:w w:val="105"/>
          <w:sz w:val="21"/>
        </w:rPr>
        <w:t>half </w:t>
      </w:r>
      <w:r>
        <w:rPr>
          <w:w w:val="105"/>
          <w:sz w:val="21"/>
        </w:rPr>
        <w:t>of the </w:t>
      </w:r>
      <w:r>
        <w:rPr>
          <w:spacing w:val="-3"/>
          <w:w w:val="105"/>
          <w:sz w:val="21"/>
        </w:rPr>
        <w:t>remainder </w:t>
      </w:r>
      <w:r>
        <w:rPr>
          <w:w w:val="105"/>
          <w:sz w:val="21"/>
        </w:rPr>
        <w:t>of the </w:t>
      </w:r>
      <w:r>
        <w:rPr>
          <w:spacing w:val="-3"/>
          <w:w w:val="105"/>
          <w:sz w:val="21"/>
        </w:rPr>
        <w:t>intestate estate, </w:t>
      </w:r>
      <w:r>
        <w:rPr>
          <w:w w:val="105"/>
          <w:sz w:val="21"/>
        </w:rPr>
        <w:t>in </w:t>
      </w:r>
      <w:r>
        <w:rPr>
          <w:spacing w:val="-3"/>
          <w:w w:val="105"/>
          <w:sz w:val="21"/>
        </w:rPr>
        <w:t>accordance </w:t>
      </w:r>
      <w:r>
        <w:rPr>
          <w:w w:val="105"/>
          <w:sz w:val="21"/>
        </w:rPr>
        <w:t>with the </w:t>
      </w:r>
      <w:r>
        <w:rPr>
          <w:spacing w:val="-3"/>
          <w:w w:val="105"/>
          <w:sz w:val="21"/>
        </w:rPr>
        <w:t>sharing</w:t>
      </w:r>
      <w:r>
        <w:rPr>
          <w:spacing w:val="5"/>
          <w:w w:val="105"/>
          <w:sz w:val="21"/>
        </w:rPr>
        <w:t> </w:t>
      </w:r>
      <w:r>
        <w:rPr>
          <w:spacing w:val="-4"/>
          <w:w w:val="105"/>
          <w:sz w:val="21"/>
        </w:rPr>
        <w:t>provisions.</w:t>
      </w:r>
      <w:r>
        <w:rPr>
          <w:spacing w:val="-4"/>
          <w:w w:val="105"/>
          <w:position w:val="7"/>
          <w:sz w:val="12"/>
        </w:rPr>
        <w:t>184</w:t>
      </w:r>
    </w:p>
    <w:p>
      <w:pPr>
        <w:pStyle w:val="BodyText"/>
        <w:rPr>
          <w:sz w:val="20"/>
        </w:rPr>
      </w:pPr>
    </w:p>
    <w:p>
      <w:pPr>
        <w:pStyle w:val="BodyText"/>
        <w:spacing w:before="11"/>
        <w:rPr>
          <w:sz w:val="23"/>
        </w:rPr>
      </w:pPr>
      <w:r>
        <w:rPr/>
        <w:pict>
          <v:line style="position:absolute;mso-position-horizontal-relative:page;mso-position-vertical-relative:paragraph;z-index:4832;mso-wrap-distance-left:0;mso-wrap-distance-right:0" from="79.370102pt,17.053476pt" to="515.905102pt,17.053476pt" stroked="true" strokeweight="1pt" strokecolor="#f9ceca">
            <v:stroke dashstyle="solid"/>
            <w10:wrap type="topAndBottom"/>
          </v:line>
        </w:pict>
      </w:r>
    </w:p>
    <w:p>
      <w:pPr>
        <w:pStyle w:val="ListParagraph"/>
        <w:numPr>
          <w:ilvl w:val="0"/>
          <w:numId w:val="63"/>
        </w:numPr>
        <w:tabs>
          <w:tab w:pos="2380" w:val="left" w:leader="none"/>
          <w:tab w:pos="2382" w:val="left" w:leader="none"/>
        </w:tabs>
        <w:spacing w:line="240" w:lineRule="auto" w:before="117" w:after="0"/>
        <w:ind w:left="2381" w:right="0" w:hanging="794"/>
        <w:jc w:val="left"/>
        <w:rPr>
          <w:sz w:val="13"/>
        </w:rPr>
      </w:pPr>
      <w:r>
        <w:rPr>
          <w:w w:val="105"/>
          <w:sz w:val="13"/>
        </w:rPr>
        <w:t>National</w:t>
      </w:r>
      <w:r>
        <w:rPr>
          <w:spacing w:val="5"/>
          <w:w w:val="105"/>
          <w:sz w:val="13"/>
        </w:rPr>
        <w:t> </w:t>
      </w:r>
      <w:r>
        <w:rPr>
          <w:w w:val="105"/>
          <w:sz w:val="13"/>
        </w:rPr>
        <w:t>Committee</w:t>
      </w:r>
      <w:r>
        <w:rPr>
          <w:spacing w:val="5"/>
          <w:w w:val="105"/>
          <w:sz w:val="13"/>
        </w:rPr>
        <w:t> </w:t>
      </w:r>
      <w:r>
        <w:rPr>
          <w:w w:val="105"/>
          <w:sz w:val="13"/>
        </w:rPr>
        <w:t>for</w:t>
      </w:r>
      <w:r>
        <w:rPr>
          <w:spacing w:val="5"/>
          <w:w w:val="105"/>
          <w:sz w:val="13"/>
        </w:rPr>
        <w:t> </w:t>
      </w:r>
      <w:r>
        <w:rPr>
          <w:w w:val="105"/>
          <w:sz w:val="13"/>
        </w:rPr>
        <w:t>Uniform</w:t>
      </w:r>
      <w:r>
        <w:rPr>
          <w:spacing w:val="6"/>
          <w:w w:val="105"/>
          <w:sz w:val="13"/>
        </w:rPr>
        <w:t> </w:t>
      </w:r>
      <w:r>
        <w:rPr>
          <w:w w:val="105"/>
          <w:sz w:val="13"/>
        </w:rPr>
        <w:t>Succession</w:t>
      </w:r>
      <w:r>
        <w:rPr>
          <w:spacing w:val="5"/>
          <w:w w:val="105"/>
          <w:sz w:val="13"/>
        </w:rPr>
        <w:t> </w:t>
      </w:r>
      <w:r>
        <w:rPr>
          <w:w w:val="105"/>
          <w:sz w:val="13"/>
        </w:rPr>
        <w:t>Laws,</w:t>
      </w:r>
      <w:r>
        <w:rPr>
          <w:spacing w:val="5"/>
          <w:w w:val="105"/>
          <w:sz w:val="13"/>
        </w:rPr>
        <w:t> </w:t>
      </w:r>
      <w:r>
        <w:rPr>
          <w:w w:val="105"/>
          <w:sz w:val="13"/>
        </w:rPr>
        <w:t>above</w:t>
      </w:r>
      <w:r>
        <w:rPr>
          <w:spacing w:val="6"/>
          <w:w w:val="105"/>
          <w:sz w:val="13"/>
        </w:rPr>
        <w:t> </w:t>
      </w:r>
      <w:r>
        <w:rPr>
          <w:w w:val="105"/>
          <w:sz w:val="13"/>
        </w:rPr>
        <w:t>n</w:t>
      </w:r>
      <w:r>
        <w:rPr>
          <w:spacing w:val="5"/>
          <w:w w:val="105"/>
          <w:sz w:val="13"/>
        </w:rPr>
        <w:t> </w:t>
      </w:r>
      <w:r>
        <w:rPr>
          <w:w w:val="105"/>
          <w:sz w:val="13"/>
        </w:rPr>
        <w:t>10,</w:t>
      </w:r>
      <w:r>
        <w:rPr>
          <w:spacing w:val="5"/>
          <w:w w:val="105"/>
          <w:sz w:val="13"/>
        </w:rPr>
        <w:t> </w:t>
      </w:r>
      <w:r>
        <w:rPr>
          <w:spacing w:val="-5"/>
          <w:w w:val="105"/>
          <w:sz w:val="13"/>
        </w:rPr>
        <w:t>118</w:t>
      </w:r>
      <w:r>
        <w:rPr>
          <w:spacing w:val="6"/>
          <w:w w:val="105"/>
          <w:sz w:val="13"/>
        </w:rPr>
        <w:t> </w:t>
      </w:r>
      <w:r>
        <w:rPr>
          <w:w w:val="105"/>
          <w:sz w:val="13"/>
        </w:rPr>
        <w:t>recommendation</w:t>
      </w:r>
      <w:r>
        <w:rPr>
          <w:spacing w:val="5"/>
          <w:w w:val="105"/>
          <w:sz w:val="13"/>
        </w:rPr>
        <w:t> </w:t>
      </w:r>
      <w:r>
        <w:rPr>
          <w:w w:val="105"/>
          <w:sz w:val="13"/>
        </w:rPr>
        <w:t>23,</w:t>
      </w:r>
      <w:r>
        <w:rPr>
          <w:spacing w:val="5"/>
          <w:w w:val="105"/>
          <w:sz w:val="13"/>
        </w:rPr>
        <w:t> </w:t>
      </w:r>
      <w:r>
        <w:rPr>
          <w:w w:val="105"/>
          <w:sz w:val="13"/>
        </w:rPr>
        <w:t>Draft</w:t>
      </w:r>
      <w:r>
        <w:rPr>
          <w:spacing w:val="5"/>
          <w:w w:val="105"/>
          <w:sz w:val="13"/>
        </w:rPr>
        <w:t> </w:t>
      </w:r>
      <w:r>
        <w:rPr>
          <w:w w:val="105"/>
          <w:sz w:val="13"/>
        </w:rPr>
        <w:t>Intestacy</w:t>
      </w:r>
      <w:r>
        <w:rPr>
          <w:spacing w:val="6"/>
          <w:w w:val="105"/>
          <w:sz w:val="13"/>
        </w:rPr>
        <w:t> </w:t>
      </w:r>
      <w:r>
        <w:rPr>
          <w:w w:val="105"/>
          <w:sz w:val="13"/>
        </w:rPr>
        <w:t>Bill</w:t>
      </w:r>
      <w:r>
        <w:rPr>
          <w:spacing w:val="5"/>
          <w:w w:val="105"/>
          <w:sz w:val="13"/>
        </w:rPr>
        <w:t> </w:t>
      </w:r>
      <w:r>
        <w:rPr>
          <w:w w:val="105"/>
          <w:sz w:val="13"/>
        </w:rPr>
        <w:t>2006</w:t>
      </w:r>
      <w:r>
        <w:rPr>
          <w:spacing w:val="5"/>
          <w:w w:val="105"/>
          <w:sz w:val="13"/>
        </w:rPr>
        <w:t> </w:t>
      </w:r>
      <w:r>
        <w:rPr>
          <w:w w:val="105"/>
          <w:sz w:val="13"/>
        </w:rPr>
        <w:t>cl</w:t>
      </w:r>
      <w:r>
        <w:rPr>
          <w:spacing w:val="6"/>
          <w:w w:val="105"/>
          <w:sz w:val="13"/>
        </w:rPr>
        <w:t> </w:t>
      </w:r>
      <w:r>
        <w:rPr>
          <w:w w:val="105"/>
          <w:sz w:val="13"/>
        </w:rPr>
        <w:t>26.</w:t>
      </w:r>
    </w:p>
    <w:p>
      <w:pPr>
        <w:pStyle w:val="ListParagraph"/>
        <w:numPr>
          <w:ilvl w:val="0"/>
          <w:numId w:val="63"/>
        </w:numPr>
        <w:tabs>
          <w:tab w:pos="2380" w:val="left" w:leader="none"/>
          <w:tab w:pos="2382" w:val="left" w:leader="none"/>
        </w:tabs>
        <w:spacing w:line="240" w:lineRule="auto" w:before="1" w:after="0"/>
        <w:ind w:left="2381" w:right="0" w:hanging="794"/>
        <w:jc w:val="left"/>
        <w:rPr>
          <w:sz w:val="13"/>
        </w:rPr>
      </w:pPr>
      <w:r>
        <w:rPr>
          <w:sz w:val="13"/>
        </w:rPr>
        <w:t>Ibid Draft Intestacy Bill 2006 cl</w:t>
      </w:r>
      <w:r>
        <w:rPr>
          <w:spacing w:val="9"/>
          <w:sz w:val="13"/>
        </w:rPr>
        <w:t> </w:t>
      </w:r>
      <w:r>
        <w:rPr>
          <w:spacing w:val="3"/>
          <w:sz w:val="13"/>
        </w:rPr>
        <w:t>23(2)(a).</w:t>
      </w:r>
    </w:p>
    <w:p>
      <w:pPr>
        <w:pStyle w:val="ListParagraph"/>
        <w:numPr>
          <w:ilvl w:val="0"/>
          <w:numId w:val="63"/>
        </w:numPr>
        <w:tabs>
          <w:tab w:pos="2380" w:val="left" w:leader="none"/>
          <w:tab w:pos="2382" w:val="left" w:leader="none"/>
        </w:tabs>
        <w:spacing w:line="240" w:lineRule="auto" w:before="2" w:after="0"/>
        <w:ind w:left="1587" w:right="5816" w:firstLine="0"/>
        <w:jc w:val="left"/>
        <w:rPr>
          <w:sz w:val="13"/>
        </w:rPr>
      </w:pPr>
      <w:r>
        <w:rPr>
          <w:sz w:val="13"/>
        </w:rPr>
        <w:t>Ibid Draft Intestacy Bill 2006 cls 4(1) (definition  of  ‘Court’),  27(1). </w:t>
      </w:r>
      <w:r>
        <w:rPr>
          <w:spacing w:val="-4"/>
          <w:sz w:val="13"/>
        </w:rPr>
        <w:t>176</w:t>
        <w:tab/>
      </w:r>
      <w:r>
        <w:rPr>
          <w:sz w:val="13"/>
        </w:rPr>
        <w:t>Ibid cls</w:t>
      </w:r>
      <w:r>
        <w:rPr>
          <w:spacing w:val="12"/>
          <w:sz w:val="13"/>
        </w:rPr>
        <w:t> </w:t>
      </w:r>
      <w:r>
        <w:rPr>
          <w:spacing w:val="4"/>
          <w:sz w:val="13"/>
        </w:rPr>
        <w:t>27(3)–(4).</w:t>
      </w:r>
    </w:p>
    <w:p>
      <w:pPr>
        <w:pStyle w:val="ListParagraph"/>
        <w:numPr>
          <w:ilvl w:val="0"/>
          <w:numId w:val="64"/>
        </w:numPr>
        <w:tabs>
          <w:tab w:pos="2381" w:val="left" w:leader="none"/>
          <w:tab w:pos="2382" w:val="left" w:leader="none"/>
        </w:tabs>
        <w:spacing w:line="240" w:lineRule="auto" w:before="2" w:after="0"/>
        <w:ind w:left="2381" w:right="0" w:hanging="794"/>
        <w:jc w:val="left"/>
        <w:rPr>
          <w:sz w:val="13"/>
        </w:rPr>
      </w:pPr>
      <w:r>
        <w:rPr>
          <w:sz w:val="13"/>
        </w:rPr>
        <w:t>Ibid Draft Intestacy Bill 2006 cl</w:t>
      </w:r>
      <w:r>
        <w:rPr>
          <w:spacing w:val="9"/>
          <w:sz w:val="13"/>
        </w:rPr>
        <w:t> </w:t>
      </w:r>
      <w:r>
        <w:rPr>
          <w:spacing w:val="2"/>
          <w:sz w:val="13"/>
        </w:rPr>
        <w:t>27(5).</w:t>
      </w:r>
    </w:p>
    <w:p>
      <w:pPr>
        <w:pStyle w:val="ListParagraph"/>
        <w:numPr>
          <w:ilvl w:val="0"/>
          <w:numId w:val="64"/>
        </w:numPr>
        <w:tabs>
          <w:tab w:pos="2381" w:val="left" w:leader="none"/>
          <w:tab w:pos="2382" w:val="left" w:leader="none"/>
        </w:tabs>
        <w:spacing w:line="240" w:lineRule="auto" w:before="2" w:after="0"/>
        <w:ind w:left="2381" w:right="0" w:hanging="794"/>
        <w:jc w:val="left"/>
        <w:rPr>
          <w:sz w:val="13"/>
        </w:rPr>
      </w:pPr>
      <w:r>
        <w:rPr>
          <w:sz w:val="13"/>
        </w:rPr>
        <w:t>Ibid Draft Intestacy Bill 2006 cls</w:t>
      </w:r>
      <w:r>
        <w:rPr>
          <w:spacing w:val="9"/>
          <w:sz w:val="13"/>
        </w:rPr>
        <w:t> </w:t>
      </w:r>
      <w:r>
        <w:rPr>
          <w:spacing w:val="5"/>
          <w:sz w:val="13"/>
        </w:rPr>
        <w:t>26(2)–(4).</w:t>
      </w:r>
    </w:p>
    <w:p>
      <w:pPr>
        <w:pStyle w:val="ListParagraph"/>
        <w:numPr>
          <w:ilvl w:val="0"/>
          <w:numId w:val="64"/>
        </w:numPr>
        <w:tabs>
          <w:tab w:pos="2381" w:val="left" w:leader="none"/>
          <w:tab w:pos="2382" w:val="left" w:leader="none"/>
        </w:tabs>
        <w:spacing w:line="240" w:lineRule="auto" w:before="1" w:after="0"/>
        <w:ind w:left="2381" w:right="0" w:hanging="794"/>
        <w:jc w:val="left"/>
        <w:rPr>
          <w:sz w:val="13"/>
        </w:rPr>
      </w:pPr>
      <w:r>
        <w:rPr>
          <w:w w:val="105"/>
          <w:sz w:val="13"/>
        </w:rPr>
        <w:t>Ibid</w:t>
      </w:r>
      <w:r>
        <w:rPr>
          <w:spacing w:val="4"/>
          <w:w w:val="105"/>
          <w:sz w:val="13"/>
        </w:rPr>
        <w:t> </w:t>
      </w:r>
      <w:r>
        <w:rPr>
          <w:spacing w:val="-7"/>
          <w:w w:val="105"/>
          <w:sz w:val="13"/>
        </w:rPr>
        <w:t>117.</w:t>
      </w:r>
    </w:p>
    <w:p>
      <w:pPr>
        <w:pStyle w:val="ListParagraph"/>
        <w:numPr>
          <w:ilvl w:val="0"/>
          <w:numId w:val="64"/>
        </w:numPr>
        <w:tabs>
          <w:tab w:pos="2381" w:val="left" w:leader="none"/>
          <w:tab w:pos="2382" w:val="left" w:leader="none"/>
        </w:tabs>
        <w:spacing w:line="240" w:lineRule="auto" w:before="1" w:after="0"/>
        <w:ind w:left="2381" w:right="0" w:hanging="794"/>
        <w:jc w:val="left"/>
        <w:rPr>
          <w:sz w:val="13"/>
        </w:rPr>
      </w:pPr>
      <w:r>
        <w:rPr>
          <w:sz w:val="13"/>
        </w:rPr>
        <w:t>Ibid.</w:t>
      </w:r>
    </w:p>
    <w:p>
      <w:pPr>
        <w:pStyle w:val="ListParagraph"/>
        <w:numPr>
          <w:ilvl w:val="0"/>
          <w:numId w:val="64"/>
        </w:numPr>
        <w:tabs>
          <w:tab w:pos="2381" w:val="left" w:leader="none"/>
          <w:tab w:pos="2382" w:val="left" w:leader="none"/>
        </w:tabs>
        <w:spacing w:line="240" w:lineRule="auto" w:before="2" w:after="0"/>
        <w:ind w:left="2381" w:right="0" w:hanging="794"/>
        <w:jc w:val="left"/>
        <w:rPr>
          <w:sz w:val="13"/>
        </w:rPr>
      </w:pPr>
      <w:r>
        <w:rPr>
          <w:i/>
          <w:w w:val="105"/>
          <w:sz w:val="13"/>
        </w:rPr>
        <w:t>Succession</w:t>
      </w:r>
      <w:r>
        <w:rPr>
          <w:i/>
          <w:spacing w:val="4"/>
          <w:w w:val="105"/>
          <w:sz w:val="13"/>
        </w:rPr>
        <w:t> </w:t>
      </w:r>
      <w:r>
        <w:rPr>
          <w:i/>
          <w:w w:val="105"/>
          <w:sz w:val="13"/>
        </w:rPr>
        <w:t>Act</w:t>
      </w:r>
      <w:r>
        <w:rPr>
          <w:i/>
          <w:spacing w:val="5"/>
          <w:w w:val="105"/>
          <w:sz w:val="13"/>
        </w:rPr>
        <w:t> </w:t>
      </w:r>
      <w:r>
        <w:rPr>
          <w:i/>
          <w:spacing w:val="-3"/>
          <w:w w:val="105"/>
          <w:sz w:val="13"/>
        </w:rPr>
        <w:t>1981</w:t>
      </w:r>
      <w:r>
        <w:rPr>
          <w:i/>
          <w:spacing w:val="5"/>
          <w:w w:val="105"/>
          <w:sz w:val="13"/>
        </w:rPr>
        <w:t> </w:t>
      </w:r>
      <w:r>
        <w:rPr>
          <w:spacing w:val="2"/>
          <w:w w:val="105"/>
          <w:sz w:val="13"/>
        </w:rPr>
        <w:t>(Qld)</w:t>
      </w:r>
      <w:r>
        <w:rPr>
          <w:spacing w:val="6"/>
          <w:w w:val="105"/>
          <w:sz w:val="13"/>
        </w:rPr>
        <w:t> </w:t>
      </w:r>
      <w:r>
        <w:rPr>
          <w:w w:val="105"/>
          <w:sz w:val="13"/>
        </w:rPr>
        <w:t>ss</w:t>
      </w:r>
      <w:r>
        <w:rPr>
          <w:spacing w:val="5"/>
          <w:w w:val="105"/>
          <w:sz w:val="13"/>
        </w:rPr>
        <w:t> </w:t>
      </w:r>
      <w:r>
        <w:rPr>
          <w:w w:val="105"/>
          <w:sz w:val="13"/>
        </w:rPr>
        <w:t>35(1),</w:t>
      </w:r>
      <w:r>
        <w:rPr>
          <w:spacing w:val="6"/>
          <w:w w:val="105"/>
          <w:sz w:val="13"/>
        </w:rPr>
        <w:t> </w:t>
      </w:r>
      <w:r>
        <w:rPr>
          <w:w w:val="105"/>
          <w:sz w:val="13"/>
        </w:rPr>
        <w:t>36,</w:t>
      </w:r>
      <w:r>
        <w:rPr>
          <w:spacing w:val="5"/>
          <w:w w:val="105"/>
          <w:sz w:val="13"/>
        </w:rPr>
        <w:t> </w:t>
      </w:r>
      <w:r>
        <w:rPr>
          <w:w w:val="105"/>
          <w:sz w:val="13"/>
        </w:rPr>
        <w:t>sch</w:t>
      </w:r>
      <w:r>
        <w:rPr>
          <w:spacing w:val="6"/>
          <w:w w:val="105"/>
          <w:sz w:val="13"/>
        </w:rPr>
        <w:t> </w:t>
      </w:r>
      <w:r>
        <w:rPr>
          <w:w w:val="105"/>
          <w:sz w:val="13"/>
        </w:rPr>
        <w:t>2</w:t>
      </w:r>
      <w:r>
        <w:rPr>
          <w:spacing w:val="5"/>
          <w:w w:val="105"/>
          <w:sz w:val="13"/>
        </w:rPr>
        <w:t> </w:t>
      </w:r>
      <w:r>
        <w:rPr>
          <w:w w:val="105"/>
          <w:sz w:val="13"/>
        </w:rPr>
        <w:t>pt</w:t>
      </w:r>
      <w:r>
        <w:rPr>
          <w:spacing w:val="6"/>
          <w:w w:val="105"/>
          <w:sz w:val="13"/>
        </w:rPr>
        <w:t> </w:t>
      </w:r>
      <w:r>
        <w:rPr>
          <w:w w:val="105"/>
          <w:sz w:val="13"/>
        </w:rPr>
        <w:t>1</w:t>
      </w:r>
      <w:r>
        <w:rPr>
          <w:spacing w:val="5"/>
          <w:w w:val="105"/>
          <w:sz w:val="13"/>
        </w:rPr>
        <w:t> </w:t>
      </w:r>
      <w:r>
        <w:rPr>
          <w:w w:val="105"/>
          <w:sz w:val="13"/>
        </w:rPr>
        <w:t>cls</w:t>
      </w:r>
      <w:r>
        <w:rPr>
          <w:spacing w:val="6"/>
          <w:w w:val="105"/>
          <w:sz w:val="13"/>
        </w:rPr>
        <w:t> </w:t>
      </w:r>
      <w:r>
        <w:rPr>
          <w:w w:val="105"/>
          <w:sz w:val="13"/>
        </w:rPr>
        <w:t>1–2;</w:t>
      </w:r>
      <w:r>
        <w:rPr>
          <w:spacing w:val="6"/>
          <w:w w:val="105"/>
          <w:sz w:val="13"/>
        </w:rPr>
        <w:t> </w:t>
      </w:r>
      <w:r>
        <w:rPr>
          <w:w w:val="105"/>
          <w:sz w:val="13"/>
        </w:rPr>
        <w:t>National</w:t>
      </w:r>
      <w:r>
        <w:rPr>
          <w:spacing w:val="5"/>
          <w:w w:val="105"/>
          <w:sz w:val="13"/>
        </w:rPr>
        <w:t> </w:t>
      </w:r>
      <w:r>
        <w:rPr>
          <w:w w:val="105"/>
          <w:sz w:val="13"/>
        </w:rPr>
        <w:t>Committee</w:t>
      </w:r>
      <w:r>
        <w:rPr>
          <w:spacing w:val="6"/>
          <w:w w:val="105"/>
          <w:sz w:val="13"/>
        </w:rPr>
        <w:t> </w:t>
      </w:r>
      <w:r>
        <w:rPr>
          <w:w w:val="105"/>
          <w:sz w:val="13"/>
        </w:rPr>
        <w:t>for</w:t>
      </w:r>
      <w:r>
        <w:rPr>
          <w:spacing w:val="5"/>
          <w:w w:val="105"/>
          <w:sz w:val="13"/>
        </w:rPr>
        <w:t> </w:t>
      </w:r>
      <w:r>
        <w:rPr>
          <w:w w:val="105"/>
          <w:sz w:val="13"/>
        </w:rPr>
        <w:t>Uniform</w:t>
      </w:r>
      <w:r>
        <w:rPr>
          <w:spacing w:val="6"/>
          <w:w w:val="105"/>
          <w:sz w:val="13"/>
        </w:rPr>
        <w:t> </w:t>
      </w:r>
      <w:r>
        <w:rPr>
          <w:w w:val="105"/>
          <w:sz w:val="13"/>
        </w:rPr>
        <w:t>Succession</w:t>
      </w:r>
      <w:r>
        <w:rPr>
          <w:spacing w:val="5"/>
          <w:w w:val="105"/>
          <w:sz w:val="13"/>
        </w:rPr>
        <w:t> </w:t>
      </w:r>
      <w:r>
        <w:rPr>
          <w:w w:val="105"/>
          <w:sz w:val="13"/>
        </w:rPr>
        <w:t>Laws,</w:t>
      </w:r>
      <w:r>
        <w:rPr>
          <w:spacing w:val="6"/>
          <w:w w:val="105"/>
          <w:sz w:val="13"/>
        </w:rPr>
        <w:t> </w:t>
      </w:r>
      <w:r>
        <w:rPr>
          <w:w w:val="105"/>
          <w:sz w:val="13"/>
        </w:rPr>
        <w:t>above</w:t>
      </w:r>
      <w:r>
        <w:rPr>
          <w:spacing w:val="5"/>
          <w:w w:val="105"/>
          <w:sz w:val="13"/>
        </w:rPr>
        <w:t> </w:t>
      </w:r>
      <w:r>
        <w:rPr>
          <w:w w:val="105"/>
          <w:sz w:val="13"/>
        </w:rPr>
        <w:t>n</w:t>
      </w:r>
      <w:r>
        <w:rPr>
          <w:spacing w:val="6"/>
          <w:w w:val="105"/>
          <w:sz w:val="13"/>
        </w:rPr>
        <w:t> </w:t>
      </w:r>
      <w:r>
        <w:rPr>
          <w:w w:val="105"/>
          <w:sz w:val="13"/>
        </w:rPr>
        <w:t>10,</w:t>
      </w:r>
      <w:r>
        <w:rPr>
          <w:spacing w:val="6"/>
          <w:w w:val="105"/>
          <w:sz w:val="13"/>
        </w:rPr>
        <w:t> </w:t>
      </w:r>
      <w:r>
        <w:rPr>
          <w:spacing w:val="-4"/>
          <w:w w:val="105"/>
          <w:sz w:val="13"/>
        </w:rPr>
        <w:t>116.</w:t>
      </w:r>
    </w:p>
    <w:p>
      <w:pPr>
        <w:pStyle w:val="ListParagraph"/>
        <w:numPr>
          <w:ilvl w:val="0"/>
          <w:numId w:val="64"/>
        </w:numPr>
        <w:tabs>
          <w:tab w:pos="2381" w:val="left" w:leader="none"/>
          <w:tab w:pos="2382" w:val="left" w:leader="none"/>
        </w:tabs>
        <w:spacing w:line="240" w:lineRule="auto" w:before="1" w:after="0"/>
        <w:ind w:left="2381" w:right="0" w:hanging="794"/>
        <w:jc w:val="left"/>
        <w:rPr>
          <w:sz w:val="13"/>
        </w:rPr>
      </w:pPr>
      <w:r>
        <w:rPr>
          <w:i/>
          <w:w w:val="105"/>
          <w:sz w:val="13"/>
        </w:rPr>
        <w:t>Succession</w:t>
      </w:r>
      <w:r>
        <w:rPr>
          <w:i/>
          <w:spacing w:val="3"/>
          <w:w w:val="105"/>
          <w:sz w:val="13"/>
        </w:rPr>
        <w:t> </w:t>
      </w:r>
      <w:r>
        <w:rPr>
          <w:i/>
          <w:w w:val="105"/>
          <w:sz w:val="13"/>
        </w:rPr>
        <w:t>Act</w:t>
      </w:r>
      <w:r>
        <w:rPr>
          <w:i/>
          <w:spacing w:val="4"/>
          <w:w w:val="105"/>
          <w:sz w:val="13"/>
        </w:rPr>
        <w:t> </w:t>
      </w:r>
      <w:r>
        <w:rPr>
          <w:i/>
          <w:w w:val="105"/>
          <w:sz w:val="13"/>
        </w:rPr>
        <w:t>2006</w:t>
      </w:r>
      <w:r>
        <w:rPr>
          <w:i/>
          <w:spacing w:val="5"/>
          <w:w w:val="105"/>
          <w:sz w:val="13"/>
        </w:rPr>
        <w:t> </w:t>
      </w:r>
      <w:r>
        <w:rPr>
          <w:spacing w:val="3"/>
          <w:w w:val="105"/>
          <w:sz w:val="13"/>
        </w:rPr>
        <w:t>(NSW)</w:t>
      </w:r>
      <w:r>
        <w:rPr>
          <w:spacing w:val="4"/>
          <w:w w:val="105"/>
          <w:sz w:val="13"/>
        </w:rPr>
        <w:t> </w:t>
      </w:r>
      <w:r>
        <w:rPr>
          <w:w w:val="105"/>
          <w:sz w:val="13"/>
        </w:rPr>
        <w:t>ss</w:t>
      </w:r>
      <w:r>
        <w:rPr>
          <w:spacing w:val="5"/>
          <w:w w:val="105"/>
          <w:sz w:val="13"/>
        </w:rPr>
        <w:t> </w:t>
      </w:r>
      <w:r>
        <w:rPr>
          <w:w w:val="105"/>
          <w:sz w:val="13"/>
        </w:rPr>
        <w:t>122,</w:t>
      </w:r>
      <w:r>
        <w:rPr>
          <w:spacing w:val="5"/>
          <w:w w:val="105"/>
          <w:sz w:val="13"/>
        </w:rPr>
        <w:t> </w:t>
      </w:r>
      <w:r>
        <w:rPr>
          <w:w w:val="105"/>
          <w:sz w:val="13"/>
        </w:rPr>
        <w:t>125;</w:t>
      </w:r>
      <w:r>
        <w:rPr>
          <w:spacing w:val="5"/>
          <w:w w:val="105"/>
          <w:sz w:val="13"/>
        </w:rPr>
        <w:t> </w:t>
      </w:r>
      <w:r>
        <w:rPr>
          <w:i/>
          <w:w w:val="105"/>
          <w:sz w:val="13"/>
        </w:rPr>
        <w:t>Intestacy</w:t>
      </w:r>
      <w:r>
        <w:rPr>
          <w:i/>
          <w:spacing w:val="3"/>
          <w:w w:val="105"/>
          <w:sz w:val="13"/>
        </w:rPr>
        <w:t> </w:t>
      </w:r>
      <w:r>
        <w:rPr>
          <w:i/>
          <w:w w:val="105"/>
          <w:sz w:val="13"/>
        </w:rPr>
        <w:t>Act</w:t>
      </w:r>
      <w:r>
        <w:rPr>
          <w:i/>
          <w:spacing w:val="4"/>
          <w:w w:val="105"/>
          <w:sz w:val="13"/>
        </w:rPr>
        <w:t> </w:t>
      </w:r>
      <w:r>
        <w:rPr>
          <w:i/>
          <w:spacing w:val="-3"/>
          <w:w w:val="105"/>
          <w:sz w:val="13"/>
        </w:rPr>
        <w:t>2010</w:t>
      </w:r>
      <w:r>
        <w:rPr>
          <w:i/>
          <w:spacing w:val="5"/>
          <w:w w:val="105"/>
          <w:sz w:val="13"/>
        </w:rPr>
        <w:t> </w:t>
      </w:r>
      <w:r>
        <w:rPr>
          <w:w w:val="105"/>
          <w:sz w:val="13"/>
        </w:rPr>
        <w:t>(Tas)</w:t>
      </w:r>
      <w:r>
        <w:rPr>
          <w:spacing w:val="5"/>
          <w:w w:val="105"/>
          <w:sz w:val="13"/>
        </w:rPr>
        <w:t> </w:t>
      </w:r>
      <w:r>
        <w:rPr>
          <w:w w:val="105"/>
          <w:sz w:val="13"/>
        </w:rPr>
        <w:t>ss</w:t>
      </w:r>
      <w:r>
        <w:rPr>
          <w:spacing w:val="4"/>
          <w:w w:val="105"/>
          <w:sz w:val="13"/>
        </w:rPr>
        <w:t> </w:t>
      </w:r>
      <w:r>
        <w:rPr>
          <w:w w:val="105"/>
          <w:sz w:val="13"/>
        </w:rPr>
        <w:t>23–7.</w:t>
      </w:r>
    </w:p>
    <w:p>
      <w:pPr>
        <w:pStyle w:val="ListParagraph"/>
        <w:numPr>
          <w:ilvl w:val="0"/>
          <w:numId w:val="64"/>
        </w:numPr>
        <w:tabs>
          <w:tab w:pos="2381" w:val="left" w:leader="none"/>
          <w:tab w:pos="2382" w:val="left" w:leader="none"/>
        </w:tabs>
        <w:spacing w:line="240" w:lineRule="auto" w:before="1" w:after="0"/>
        <w:ind w:left="1587" w:right="2627" w:firstLine="0"/>
        <w:jc w:val="left"/>
        <w:rPr>
          <w:sz w:val="13"/>
        </w:rPr>
      </w:pPr>
      <w:r>
        <w:rPr/>
        <w:pict>
          <v:shape style="position:absolute;margin-left:36pt;margin-top:3.593367pt;width:13.2pt;height:14.25pt;mso-position-horizontal-relative:page;mso-position-vertical-relative:paragraph;z-index:6904" type="#_x0000_t202" filled="false" stroked="false">
            <v:textbox inset="0,0,0,0">
              <w:txbxContent>
                <w:p>
                  <w:pPr>
                    <w:spacing w:line="284" w:lineRule="exact" w:before="0"/>
                    <w:ind w:left="0" w:right="0" w:firstLine="0"/>
                    <w:jc w:val="left"/>
                    <w:rPr>
                      <w:b/>
                      <w:sz w:val="24"/>
                    </w:rPr>
                  </w:pPr>
                  <w:r>
                    <w:rPr>
                      <w:b/>
                      <w:color w:val="EC5A4F"/>
                      <w:spacing w:val="-2"/>
                      <w:w w:val="110"/>
                      <w:sz w:val="24"/>
                    </w:rPr>
                    <w:t>78</w:t>
                  </w:r>
                </w:p>
              </w:txbxContent>
            </v:textbox>
            <w10:wrap type="none"/>
          </v:shape>
        </w:pict>
      </w:r>
      <w:r>
        <w:rPr>
          <w:w w:val="105"/>
          <w:sz w:val="13"/>
        </w:rPr>
        <w:t>National Committee for Uniform Succession Laws, above n 10, </w:t>
      </w:r>
      <w:r>
        <w:rPr>
          <w:spacing w:val="-3"/>
          <w:w w:val="105"/>
          <w:sz w:val="13"/>
        </w:rPr>
        <w:t>117–8 </w:t>
      </w:r>
      <w:r>
        <w:rPr>
          <w:w w:val="105"/>
          <w:sz w:val="13"/>
        </w:rPr>
        <w:t>recommendation 23, Draft Intestacy Bill 2006 cl 25. 184</w:t>
        <w:tab/>
      </w:r>
      <w:r>
        <w:rPr>
          <w:i/>
          <w:w w:val="105"/>
          <w:sz w:val="13"/>
        </w:rPr>
        <w:t>Intestacy Act </w:t>
      </w:r>
      <w:r>
        <w:rPr>
          <w:i/>
          <w:spacing w:val="-3"/>
          <w:w w:val="105"/>
          <w:sz w:val="13"/>
        </w:rPr>
        <w:t>2010 </w:t>
      </w:r>
      <w:r>
        <w:rPr>
          <w:w w:val="105"/>
          <w:sz w:val="13"/>
        </w:rPr>
        <w:t>(Tas)</w:t>
      </w:r>
      <w:r>
        <w:rPr>
          <w:spacing w:val="19"/>
          <w:w w:val="105"/>
          <w:sz w:val="13"/>
        </w:rPr>
        <w:t> </w:t>
      </w:r>
      <w:r>
        <w:rPr>
          <w:w w:val="105"/>
          <w:sz w:val="13"/>
        </w:rPr>
        <w:t>25.</w:t>
      </w:r>
    </w:p>
    <w:p>
      <w:pPr>
        <w:spacing w:after="0" w:line="240" w:lineRule="auto"/>
        <w:jc w:val="left"/>
        <w:rPr>
          <w:sz w:val="13"/>
        </w:rPr>
        <w:sectPr>
          <w:pgSz w:w="11910" w:h="16840"/>
          <w:pgMar w:header="550" w:footer="0" w:top="1560" w:bottom="280" w:left="0" w:right="0"/>
        </w:sectPr>
      </w:pPr>
    </w:p>
    <w:p>
      <w:pPr>
        <w:pStyle w:val="BodyText"/>
        <w:rPr>
          <w:sz w:val="20"/>
        </w:rPr>
      </w:pPr>
    </w:p>
    <w:p>
      <w:pPr>
        <w:pStyle w:val="BodyText"/>
        <w:rPr>
          <w:sz w:val="19"/>
        </w:rPr>
      </w:pPr>
    </w:p>
    <w:p>
      <w:pPr>
        <w:pStyle w:val="ListParagraph"/>
        <w:numPr>
          <w:ilvl w:val="1"/>
          <w:numId w:val="22"/>
        </w:numPr>
        <w:tabs>
          <w:tab w:pos="2381" w:val="left" w:leader="none"/>
          <w:tab w:pos="2382" w:val="left" w:leader="none"/>
        </w:tabs>
        <w:spacing w:line="242" w:lineRule="auto" w:before="91" w:after="0"/>
        <w:ind w:left="2381" w:right="1597" w:hanging="794"/>
        <w:jc w:val="left"/>
        <w:rPr>
          <w:sz w:val="12"/>
        </w:rPr>
      </w:pPr>
      <w:r>
        <w:rPr>
          <w:w w:val="105"/>
          <w:sz w:val="21"/>
        </w:rPr>
        <w:t>New</w:t>
      </w:r>
      <w:r>
        <w:rPr>
          <w:spacing w:val="-6"/>
          <w:w w:val="105"/>
          <w:sz w:val="21"/>
        </w:rPr>
        <w:t> </w:t>
      </w:r>
      <w:r>
        <w:rPr>
          <w:w w:val="105"/>
          <w:sz w:val="21"/>
        </w:rPr>
        <w:t>South</w:t>
      </w:r>
      <w:r>
        <w:rPr>
          <w:spacing w:val="-6"/>
          <w:w w:val="105"/>
          <w:sz w:val="21"/>
        </w:rPr>
        <w:t> </w:t>
      </w:r>
      <w:r>
        <w:rPr>
          <w:spacing w:val="-3"/>
          <w:w w:val="105"/>
          <w:sz w:val="21"/>
        </w:rPr>
        <w:t>Wales</w:t>
      </w:r>
      <w:r>
        <w:rPr>
          <w:spacing w:val="-6"/>
          <w:w w:val="105"/>
          <w:sz w:val="21"/>
        </w:rPr>
        <w:t> </w:t>
      </w:r>
      <w:r>
        <w:rPr>
          <w:w w:val="105"/>
          <w:sz w:val="21"/>
        </w:rPr>
        <w:t>took</w:t>
      </w:r>
      <w:r>
        <w:rPr>
          <w:spacing w:val="-6"/>
          <w:w w:val="105"/>
          <w:sz w:val="21"/>
        </w:rPr>
        <w:t> </w:t>
      </w:r>
      <w:r>
        <w:rPr>
          <w:w w:val="105"/>
          <w:sz w:val="21"/>
        </w:rPr>
        <w:t>the</w:t>
      </w:r>
      <w:r>
        <w:rPr>
          <w:spacing w:val="-6"/>
          <w:w w:val="105"/>
          <w:sz w:val="21"/>
        </w:rPr>
        <w:t> </w:t>
      </w:r>
      <w:r>
        <w:rPr>
          <w:w w:val="105"/>
          <w:sz w:val="21"/>
        </w:rPr>
        <w:t>same</w:t>
      </w:r>
      <w:r>
        <w:rPr>
          <w:spacing w:val="-6"/>
          <w:w w:val="105"/>
          <w:sz w:val="21"/>
        </w:rPr>
        <w:t> </w:t>
      </w:r>
      <w:r>
        <w:rPr>
          <w:w w:val="105"/>
          <w:sz w:val="21"/>
        </w:rPr>
        <w:t>approach</w:t>
      </w:r>
      <w:r>
        <w:rPr>
          <w:spacing w:val="-6"/>
          <w:w w:val="105"/>
          <w:sz w:val="21"/>
        </w:rPr>
        <w:t> </w:t>
      </w:r>
      <w:r>
        <w:rPr>
          <w:w w:val="105"/>
          <w:sz w:val="21"/>
        </w:rPr>
        <w:t>in</w:t>
      </w:r>
      <w:r>
        <w:rPr>
          <w:spacing w:val="-5"/>
          <w:w w:val="105"/>
          <w:sz w:val="21"/>
        </w:rPr>
        <w:t> </w:t>
      </w:r>
      <w:r>
        <w:rPr>
          <w:spacing w:val="-3"/>
          <w:w w:val="105"/>
          <w:sz w:val="21"/>
        </w:rPr>
        <w:t>all</w:t>
      </w:r>
      <w:r>
        <w:rPr>
          <w:spacing w:val="-6"/>
          <w:w w:val="105"/>
          <w:sz w:val="21"/>
        </w:rPr>
        <w:t> </w:t>
      </w:r>
      <w:r>
        <w:rPr>
          <w:w w:val="105"/>
          <w:sz w:val="21"/>
        </w:rPr>
        <w:t>but</w:t>
      </w:r>
      <w:r>
        <w:rPr>
          <w:spacing w:val="-6"/>
          <w:w w:val="105"/>
          <w:sz w:val="21"/>
        </w:rPr>
        <w:t> </w:t>
      </w:r>
      <w:r>
        <w:rPr>
          <w:w w:val="105"/>
          <w:sz w:val="21"/>
        </w:rPr>
        <w:t>one</w:t>
      </w:r>
      <w:r>
        <w:rPr>
          <w:spacing w:val="-6"/>
          <w:w w:val="105"/>
          <w:sz w:val="21"/>
        </w:rPr>
        <w:t> </w:t>
      </w:r>
      <w:r>
        <w:rPr>
          <w:w w:val="105"/>
          <w:sz w:val="21"/>
        </w:rPr>
        <w:t>respect—in</w:t>
      </w:r>
      <w:r>
        <w:rPr>
          <w:spacing w:val="-6"/>
          <w:w w:val="105"/>
          <w:sz w:val="21"/>
        </w:rPr>
        <w:t> </w:t>
      </w:r>
      <w:r>
        <w:rPr>
          <w:w w:val="105"/>
          <w:sz w:val="21"/>
        </w:rPr>
        <w:t>these</w:t>
      </w:r>
      <w:r>
        <w:rPr>
          <w:spacing w:val="-6"/>
          <w:w w:val="105"/>
          <w:sz w:val="21"/>
        </w:rPr>
        <w:t> </w:t>
      </w:r>
      <w:r>
        <w:rPr>
          <w:spacing w:val="-3"/>
          <w:w w:val="105"/>
          <w:sz w:val="21"/>
        </w:rPr>
        <w:t>circumstances, multiple </w:t>
      </w:r>
      <w:r>
        <w:rPr>
          <w:w w:val="105"/>
          <w:sz w:val="21"/>
        </w:rPr>
        <w:t>partners </w:t>
      </w:r>
      <w:r>
        <w:rPr>
          <w:spacing w:val="-3"/>
          <w:w w:val="105"/>
          <w:sz w:val="21"/>
        </w:rPr>
        <w:t>share </w:t>
      </w:r>
      <w:r>
        <w:rPr>
          <w:w w:val="105"/>
          <w:sz w:val="21"/>
        </w:rPr>
        <w:t>one statutory legacy </w:t>
      </w:r>
      <w:r>
        <w:rPr>
          <w:spacing w:val="-3"/>
          <w:w w:val="105"/>
          <w:sz w:val="21"/>
        </w:rPr>
        <w:t>instead </w:t>
      </w:r>
      <w:r>
        <w:rPr>
          <w:w w:val="105"/>
          <w:sz w:val="21"/>
        </w:rPr>
        <w:t>of each </w:t>
      </w:r>
      <w:r>
        <w:rPr>
          <w:spacing w:val="-3"/>
          <w:w w:val="105"/>
          <w:sz w:val="21"/>
        </w:rPr>
        <w:t>receiving </w:t>
      </w:r>
      <w:r>
        <w:rPr>
          <w:w w:val="105"/>
          <w:sz w:val="21"/>
        </w:rPr>
        <w:t>their</w:t>
      </w:r>
      <w:r>
        <w:rPr>
          <w:spacing w:val="4"/>
          <w:w w:val="105"/>
          <w:sz w:val="21"/>
        </w:rPr>
        <w:t> </w:t>
      </w:r>
      <w:r>
        <w:rPr>
          <w:spacing w:val="-5"/>
          <w:w w:val="105"/>
          <w:sz w:val="21"/>
        </w:rPr>
        <w:t>own.</w:t>
      </w:r>
      <w:r>
        <w:rPr>
          <w:spacing w:val="-5"/>
          <w:w w:val="105"/>
          <w:position w:val="7"/>
          <w:sz w:val="12"/>
        </w:rPr>
        <w:t>185</w:t>
      </w:r>
    </w:p>
    <w:p>
      <w:pPr>
        <w:pStyle w:val="BodyText"/>
        <w:spacing w:before="10"/>
        <w:rPr>
          <w:sz w:val="26"/>
        </w:rPr>
      </w:pPr>
    </w:p>
    <w:p>
      <w:pPr>
        <w:pStyle w:val="Heading6"/>
        <w:spacing w:before="1"/>
      </w:pPr>
      <w:r>
        <w:rPr>
          <w:w w:val="115"/>
        </w:rPr>
        <w:t>The partner’s right to elect to acquire property</w:t>
      </w:r>
    </w:p>
    <w:p>
      <w:pPr>
        <w:pStyle w:val="ListParagraph"/>
        <w:numPr>
          <w:ilvl w:val="1"/>
          <w:numId w:val="22"/>
        </w:numPr>
        <w:tabs>
          <w:tab w:pos="2380" w:val="left" w:leader="none"/>
          <w:tab w:pos="2381" w:val="left" w:leader="none"/>
        </w:tabs>
        <w:spacing w:line="242" w:lineRule="auto" w:before="151" w:after="0"/>
        <w:ind w:left="2381" w:right="1795" w:hanging="794"/>
        <w:jc w:val="left"/>
        <w:rPr>
          <w:sz w:val="12"/>
        </w:rPr>
      </w:pPr>
      <w:r>
        <w:rPr>
          <w:sz w:val="21"/>
        </w:rPr>
        <w:t>The </w:t>
      </w:r>
      <w:r>
        <w:rPr>
          <w:spacing w:val="-3"/>
          <w:sz w:val="21"/>
        </w:rPr>
        <w:t>National Committee </w:t>
      </w:r>
      <w:r>
        <w:rPr>
          <w:sz w:val="21"/>
        </w:rPr>
        <w:t>recommended </w:t>
      </w:r>
      <w:r>
        <w:rPr>
          <w:spacing w:val="-3"/>
          <w:sz w:val="21"/>
        </w:rPr>
        <w:t>that </w:t>
      </w:r>
      <w:r>
        <w:rPr>
          <w:sz w:val="21"/>
        </w:rPr>
        <w:t>the partner’s </w:t>
      </w:r>
      <w:r>
        <w:rPr>
          <w:spacing w:val="-3"/>
          <w:sz w:val="21"/>
        </w:rPr>
        <w:t>right to acquire </w:t>
      </w:r>
      <w:r>
        <w:rPr>
          <w:sz w:val="21"/>
        </w:rPr>
        <w:t>certain estate property should </w:t>
      </w:r>
      <w:r>
        <w:rPr>
          <w:spacing w:val="-2"/>
          <w:sz w:val="21"/>
        </w:rPr>
        <w:t>not </w:t>
      </w:r>
      <w:r>
        <w:rPr>
          <w:sz w:val="21"/>
        </w:rPr>
        <w:t>apply when the deceased person is survived by more </w:t>
      </w:r>
      <w:r>
        <w:rPr>
          <w:spacing w:val="-3"/>
          <w:sz w:val="21"/>
        </w:rPr>
        <w:t>than </w:t>
      </w:r>
      <w:r>
        <w:rPr>
          <w:sz w:val="21"/>
        </w:rPr>
        <w:t>one </w:t>
      </w:r>
      <w:r>
        <w:rPr>
          <w:spacing w:val="-5"/>
          <w:sz w:val="21"/>
        </w:rPr>
        <w:t>partner.</w:t>
      </w:r>
      <w:r>
        <w:rPr>
          <w:spacing w:val="-5"/>
          <w:position w:val="7"/>
          <w:sz w:val="12"/>
        </w:rPr>
        <w:t>186</w:t>
      </w:r>
      <w:r>
        <w:rPr>
          <w:spacing w:val="-4"/>
          <w:position w:val="7"/>
          <w:sz w:val="12"/>
        </w:rPr>
        <w:t> </w:t>
      </w:r>
      <w:r>
        <w:rPr>
          <w:sz w:val="21"/>
        </w:rPr>
        <w:t>This</w:t>
      </w:r>
      <w:r>
        <w:rPr>
          <w:spacing w:val="19"/>
          <w:sz w:val="21"/>
        </w:rPr>
        <w:t> </w:t>
      </w:r>
      <w:r>
        <w:rPr>
          <w:sz w:val="21"/>
        </w:rPr>
        <w:t>is</w:t>
      </w:r>
      <w:r>
        <w:rPr>
          <w:spacing w:val="19"/>
          <w:sz w:val="21"/>
        </w:rPr>
        <w:t> </w:t>
      </w:r>
      <w:r>
        <w:rPr>
          <w:sz w:val="21"/>
        </w:rPr>
        <w:t>the</w:t>
      </w:r>
      <w:r>
        <w:rPr>
          <w:spacing w:val="19"/>
          <w:sz w:val="21"/>
        </w:rPr>
        <w:t> </w:t>
      </w:r>
      <w:r>
        <w:rPr>
          <w:sz w:val="21"/>
        </w:rPr>
        <w:t>case</w:t>
      </w:r>
      <w:r>
        <w:rPr>
          <w:spacing w:val="19"/>
          <w:sz w:val="21"/>
        </w:rPr>
        <w:t> </w:t>
      </w:r>
      <w:r>
        <w:rPr>
          <w:sz w:val="21"/>
        </w:rPr>
        <w:t>under</w:t>
      </w:r>
      <w:r>
        <w:rPr>
          <w:spacing w:val="19"/>
          <w:sz w:val="21"/>
        </w:rPr>
        <w:t> </w:t>
      </w:r>
      <w:r>
        <w:rPr>
          <w:sz w:val="21"/>
        </w:rPr>
        <w:t>the</w:t>
      </w:r>
      <w:r>
        <w:rPr>
          <w:spacing w:val="19"/>
          <w:sz w:val="21"/>
        </w:rPr>
        <w:t> </w:t>
      </w:r>
      <w:r>
        <w:rPr>
          <w:sz w:val="21"/>
        </w:rPr>
        <w:t>New</w:t>
      </w:r>
      <w:r>
        <w:rPr>
          <w:spacing w:val="19"/>
          <w:sz w:val="21"/>
        </w:rPr>
        <w:t> </w:t>
      </w:r>
      <w:r>
        <w:rPr>
          <w:sz w:val="21"/>
        </w:rPr>
        <w:t>South</w:t>
      </w:r>
      <w:r>
        <w:rPr>
          <w:spacing w:val="20"/>
          <w:sz w:val="21"/>
        </w:rPr>
        <w:t> </w:t>
      </w:r>
      <w:r>
        <w:rPr>
          <w:spacing w:val="-3"/>
          <w:sz w:val="21"/>
        </w:rPr>
        <w:t>Wales</w:t>
      </w:r>
      <w:r>
        <w:rPr>
          <w:spacing w:val="19"/>
          <w:sz w:val="21"/>
        </w:rPr>
        <w:t> </w:t>
      </w:r>
      <w:r>
        <w:rPr>
          <w:sz w:val="21"/>
        </w:rPr>
        <w:t>and</w:t>
      </w:r>
      <w:r>
        <w:rPr>
          <w:spacing w:val="19"/>
          <w:sz w:val="21"/>
        </w:rPr>
        <w:t> </w:t>
      </w:r>
      <w:r>
        <w:rPr>
          <w:spacing w:val="-4"/>
          <w:sz w:val="21"/>
        </w:rPr>
        <w:t>Tasmanian</w:t>
      </w:r>
      <w:r>
        <w:rPr>
          <w:spacing w:val="19"/>
          <w:sz w:val="21"/>
        </w:rPr>
        <w:t> </w:t>
      </w:r>
      <w:r>
        <w:rPr>
          <w:spacing w:val="-4"/>
          <w:sz w:val="21"/>
        </w:rPr>
        <w:t>legislation.</w:t>
      </w:r>
      <w:r>
        <w:rPr>
          <w:spacing w:val="-4"/>
          <w:position w:val="7"/>
          <w:sz w:val="12"/>
        </w:rPr>
        <w:t>187</w:t>
      </w:r>
    </w:p>
    <w:p>
      <w:pPr>
        <w:pStyle w:val="BodyText"/>
        <w:spacing w:before="11"/>
        <w:rPr>
          <w:sz w:val="24"/>
        </w:rPr>
      </w:pPr>
    </w:p>
    <w:p>
      <w:pPr>
        <w:pStyle w:val="Heading5"/>
      </w:pPr>
      <w:bookmarkStart w:name="_TOC_250042" w:id="75"/>
      <w:bookmarkEnd w:id="75"/>
      <w:r>
        <w:rPr>
          <w:w w:val="115"/>
        </w:rPr>
        <w:t>Views and conclusions</w:t>
      </w:r>
    </w:p>
    <w:p>
      <w:pPr>
        <w:pStyle w:val="Heading6"/>
        <w:spacing w:before="202"/>
      </w:pPr>
      <w:r>
        <w:rPr>
          <w:w w:val="115"/>
        </w:rPr>
        <w:t>Where there are no children or other issue who are entitled to a share</w:t>
      </w:r>
    </w:p>
    <w:p>
      <w:pPr>
        <w:pStyle w:val="ListParagraph"/>
        <w:numPr>
          <w:ilvl w:val="1"/>
          <w:numId w:val="22"/>
        </w:numPr>
        <w:tabs>
          <w:tab w:pos="2381" w:val="left" w:leader="none"/>
          <w:tab w:pos="2382" w:val="left" w:leader="none"/>
        </w:tabs>
        <w:spacing w:line="242" w:lineRule="auto" w:before="151" w:after="0"/>
        <w:ind w:left="2381" w:right="1676" w:hanging="794"/>
        <w:jc w:val="left"/>
        <w:rPr>
          <w:sz w:val="12"/>
        </w:rPr>
      </w:pPr>
      <w:r>
        <w:rPr>
          <w:sz w:val="21"/>
        </w:rPr>
        <w:t>The </w:t>
      </w:r>
      <w:r>
        <w:rPr>
          <w:spacing w:val="-3"/>
          <w:sz w:val="21"/>
        </w:rPr>
        <w:t>Commission </w:t>
      </w:r>
      <w:r>
        <w:rPr>
          <w:sz w:val="21"/>
        </w:rPr>
        <w:t>received mixed views in </w:t>
      </w:r>
      <w:r>
        <w:rPr>
          <w:spacing w:val="-3"/>
          <w:sz w:val="21"/>
        </w:rPr>
        <w:t>submissions. Many </w:t>
      </w:r>
      <w:r>
        <w:rPr>
          <w:sz w:val="21"/>
        </w:rPr>
        <w:t>agreed </w:t>
      </w:r>
      <w:r>
        <w:rPr>
          <w:spacing w:val="-3"/>
          <w:sz w:val="21"/>
        </w:rPr>
        <w:t>that, </w:t>
      </w:r>
      <w:r>
        <w:rPr>
          <w:sz w:val="21"/>
        </w:rPr>
        <w:t>where the deceased person is </w:t>
      </w:r>
      <w:r>
        <w:rPr>
          <w:spacing w:val="-2"/>
          <w:sz w:val="21"/>
        </w:rPr>
        <w:t>not </w:t>
      </w:r>
      <w:r>
        <w:rPr>
          <w:sz w:val="21"/>
        </w:rPr>
        <w:t>also survived by </w:t>
      </w:r>
      <w:r>
        <w:rPr>
          <w:spacing w:val="-3"/>
          <w:sz w:val="21"/>
        </w:rPr>
        <w:t>children </w:t>
      </w:r>
      <w:r>
        <w:rPr>
          <w:sz w:val="21"/>
        </w:rPr>
        <w:t>or issue who </w:t>
      </w:r>
      <w:r>
        <w:rPr>
          <w:spacing w:val="-3"/>
          <w:sz w:val="21"/>
        </w:rPr>
        <w:t>are </w:t>
      </w:r>
      <w:r>
        <w:rPr>
          <w:sz w:val="21"/>
        </w:rPr>
        <w:t>entitled </w:t>
      </w:r>
      <w:r>
        <w:rPr>
          <w:spacing w:val="-3"/>
          <w:sz w:val="21"/>
        </w:rPr>
        <w:t>to </w:t>
      </w:r>
      <w:r>
        <w:rPr>
          <w:sz w:val="21"/>
        </w:rPr>
        <w:t>a </w:t>
      </w:r>
      <w:r>
        <w:rPr>
          <w:spacing w:val="-3"/>
          <w:sz w:val="21"/>
        </w:rPr>
        <w:t>share </w:t>
      </w:r>
      <w:r>
        <w:rPr>
          <w:sz w:val="21"/>
        </w:rPr>
        <w:t>on </w:t>
      </w:r>
      <w:r>
        <w:rPr>
          <w:spacing w:val="-3"/>
          <w:sz w:val="21"/>
        </w:rPr>
        <w:t>intestacy, </w:t>
      </w:r>
      <w:r>
        <w:rPr>
          <w:sz w:val="21"/>
        </w:rPr>
        <w:t>the deceased </w:t>
      </w:r>
      <w:r>
        <w:rPr>
          <w:spacing w:val="-3"/>
          <w:sz w:val="21"/>
        </w:rPr>
        <w:t>person’s </w:t>
      </w:r>
      <w:r>
        <w:rPr>
          <w:sz w:val="21"/>
        </w:rPr>
        <w:t>partners should be able </w:t>
      </w:r>
      <w:r>
        <w:rPr>
          <w:spacing w:val="-3"/>
          <w:sz w:val="21"/>
        </w:rPr>
        <w:t>to share </w:t>
      </w:r>
      <w:r>
        <w:rPr>
          <w:sz w:val="21"/>
        </w:rPr>
        <w:t>the </w:t>
      </w:r>
      <w:r>
        <w:rPr>
          <w:spacing w:val="-3"/>
          <w:sz w:val="21"/>
        </w:rPr>
        <w:t>intestate </w:t>
      </w:r>
      <w:r>
        <w:rPr>
          <w:sz w:val="21"/>
        </w:rPr>
        <w:t>estate between them by </w:t>
      </w:r>
      <w:r>
        <w:rPr>
          <w:spacing w:val="-2"/>
          <w:sz w:val="21"/>
        </w:rPr>
        <w:t>distribution agreement, distribution  </w:t>
      </w:r>
      <w:r>
        <w:rPr>
          <w:spacing w:val="-4"/>
          <w:sz w:val="21"/>
        </w:rPr>
        <w:t>order,  </w:t>
      </w:r>
      <w:r>
        <w:rPr>
          <w:sz w:val="21"/>
        </w:rPr>
        <w:t>or  </w:t>
      </w:r>
      <w:r>
        <w:rPr>
          <w:spacing w:val="-5"/>
          <w:sz w:val="21"/>
        </w:rPr>
        <w:t>equally.</w:t>
      </w:r>
      <w:r>
        <w:rPr>
          <w:spacing w:val="-5"/>
          <w:position w:val="7"/>
          <w:sz w:val="12"/>
        </w:rPr>
        <w:t>188  </w:t>
      </w:r>
      <w:r>
        <w:rPr>
          <w:sz w:val="21"/>
        </w:rPr>
        <w:t>The  Property and </w:t>
      </w:r>
      <w:r>
        <w:rPr>
          <w:spacing w:val="-3"/>
          <w:sz w:val="21"/>
        </w:rPr>
        <w:t>Probate  </w:t>
      </w:r>
      <w:r>
        <w:rPr>
          <w:sz w:val="21"/>
        </w:rPr>
        <w:t>Section of the </w:t>
      </w:r>
      <w:r>
        <w:rPr>
          <w:spacing w:val="-4"/>
          <w:sz w:val="21"/>
        </w:rPr>
        <w:t>Commercial  </w:t>
      </w:r>
      <w:r>
        <w:rPr>
          <w:sz w:val="21"/>
        </w:rPr>
        <w:t>Bar Association </w:t>
      </w:r>
      <w:r>
        <w:rPr>
          <w:spacing w:val="-3"/>
          <w:sz w:val="21"/>
        </w:rPr>
        <w:t>noted  that  </w:t>
      </w:r>
      <w:r>
        <w:rPr>
          <w:sz w:val="21"/>
        </w:rPr>
        <w:t>the ability </w:t>
      </w:r>
      <w:r>
        <w:rPr>
          <w:spacing w:val="-3"/>
          <w:sz w:val="21"/>
        </w:rPr>
        <w:t>to</w:t>
      </w:r>
      <w:r>
        <w:rPr>
          <w:spacing w:val="41"/>
          <w:sz w:val="21"/>
        </w:rPr>
        <w:t> </w:t>
      </w:r>
      <w:r>
        <w:rPr>
          <w:sz w:val="21"/>
        </w:rPr>
        <w:t>apply </w:t>
      </w:r>
      <w:r>
        <w:rPr>
          <w:spacing w:val="-3"/>
          <w:sz w:val="21"/>
        </w:rPr>
        <w:t>for  </w:t>
      </w:r>
      <w:r>
        <w:rPr>
          <w:sz w:val="21"/>
        </w:rPr>
        <w:t>a </w:t>
      </w:r>
      <w:r>
        <w:rPr>
          <w:spacing w:val="-2"/>
          <w:sz w:val="21"/>
        </w:rPr>
        <w:t>distribution </w:t>
      </w:r>
      <w:r>
        <w:rPr>
          <w:sz w:val="21"/>
        </w:rPr>
        <w:t>order in the </w:t>
      </w:r>
      <w:r>
        <w:rPr>
          <w:spacing w:val="-3"/>
          <w:sz w:val="21"/>
        </w:rPr>
        <w:t>event </w:t>
      </w:r>
      <w:r>
        <w:rPr>
          <w:sz w:val="21"/>
        </w:rPr>
        <w:t>of a </w:t>
      </w:r>
      <w:r>
        <w:rPr>
          <w:spacing w:val="-3"/>
          <w:sz w:val="21"/>
        </w:rPr>
        <w:t>dispute may reduce </w:t>
      </w:r>
      <w:r>
        <w:rPr>
          <w:sz w:val="21"/>
        </w:rPr>
        <w:t>the number of </w:t>
      </w:r>
      <w:r>
        <w:rPr>
          <w:spacing w:val="-3"/>
          <w:sz w:val="21"/>
        </w:rPr>
        <w:t>family provision claims </w:t>
      </w:r>
      <w:r>
        <w:rPr>
          <w:spacing w:val="-5"/>
          <w:sz w:val="21"/>
        </w:rPr>
        <w:t>brought.</w:t>
      </w:r>
      <w:r>
        <w:rPr>
          <w:spacing w:val="-5"/>
          <w:position w:val="7"/>
          <w:sz w:val="12"/>
        </w:rPr>
        <w:t>189 </w:t>
      </w:r>
      <w:r>
        <w:rPr>
          <w:sz w:val="21"/>
        </w:rPr>
        <w:t>The Law Society of New South </w:t>
      </w:r>
      <w:r>
        <w:rPr>
          <w:spacing w:val="-3"/>
          <w:sz w:val="21"/>
        </w:rPr>
        <w:t>Wales </w:t>
      </w:r>
      <w:r>
        <w:rPr>
          <w:sz w:val="21"/>
        </w:rPr>
        <w:t>was in </w:t>
      </w:r>
      <w:r>
        <w:rPr>
          <w:spacing w:val="-3"/>
          <w:sz w:val="21"/>
        </w:rPr>
        <w:t>favour </w:t>
      </w:r>
      <w:r>
        <w:rPr>
          <w:sz w:val="21"/>
        </w:rPr>
        <w:t>of a </w:t>
      </w:r>
      <w:r>
        <w:rPr>
          <w:spacing w:val="-3"/>
          <w:sz w:val="21"/>
        </w:rPr>
        <w:t>nationally consistent</w:t>
      </w:r>
      <w:r>
        <w:rPr>
          <w:spacing w:val="8"/>
          <w:sz w:val="21"/>
        </w:rPr>
        <w:t> </w:t>
      </w:r>
      <w:r>
        <w:rPr>
          <w:spacing w:val="-4"/>
          <w:sz w:val="21"/>
        </w:rPr>
        <w:t>position.</w:t>
      </w:r>
      <w:r>
        <w:rPr>
          <w:spacing w:val="-4"/>
          <w:position w:val="7"/>
          <w:sz w:val="12"/>
        </w:rPr>
        <w:t>190</w:t>
      </w:r>
    </w:p>
    <w:p>
      <w:pPr>
        <w:pStyle w:val="ListParagraph"/>
        <w:numPr>
          <w:ilvl w:val="1"/>
          <w:numId w:val="22"/>
        </w:numPr>
        <w:tabs>
          <w:tab w:pos="2381" w:val="left" w:leader="none"/>
          <w:tab w:pos="2382" w:val="left" w:leader="none"/>
        </w:tabs>
        <w:spacing w:line="242" w:lineRule="auto" w:before="128" w:after="0"/>
        <w:ind w:left="2381" w:right="1779" w:hanging="794"/>
        <w:jc w:val="left"/>
        <w:rPr>
          <w:sz w:val="21"/>
        </w:rPr>
      </w:pPr>
      <w:r>
        <w:rPr>
          <w:w w:val="105"/>
          <w:sz w:val="21"/>
        </w:rPr>
        <w:t>Some </w:t>
      </w:r>
      <w:r>
        <w:rPr>
          <w:spacing w:val="-3"/>
          <w:w w:val="105"/>
          <w:sz w:val="21"/>
        </w:rPr>
        <w:t>submissions, </w:t>
      </w:r>
      <w:r>
        <w:rPr>
          <w:spacing w:val="-4"/>
          <w:w w:val="105"/>
          <w:sz w:val="21"/>
        </w:rPr>
        <w:t>however, </w:t>
      </w:r>
      <w:r>
        <w:rPr>
          <w:spacing w:val="-3"/>
          <w:w w:val="105"/>
          <w:sz w:val="21"/>
        </w:rPr>
        <w:t>considered that </w:t>
      </w:r>
      <w:r>
        <w:rPr>
          <w:w w:val="105"/>
          <w:sz w:val="21"/>
        </w:rPr>
        <w:t>there should be no </w:t>
      </w:r>
      <w:r>
        <w:rPr>
          <w:spacing w:val="-3"/>
          <w:w w:val="105"/>
          <w:sz w:val="21"/>
        </w:rPr>
        <w:t>change to </w:t>
      </w:r>
      <w:r>
        <w:rPr>
          <w:w w:val="105"/>
          <w:sz w:val="21"/>
        </w:rPr>
        <w:t>the existing </w:t>
      </w:r>
      <w:r>
        <w:rPr>
          <w:spacing w:val="-7"/>
          <w:w w:val="105"/>
          <w:sz w:val="21"/>
        </w:rPr>
        <w:t>law.</w:t>
      </w:r>
      <w:r>
        <w:rPr>
          <w:spacing w:val="-7"/>
          <w:w w:val="105"/>
          <w:position w:val="7"/>
          <w:sz w:val="12"/>
        </w:rPr>
        <w:t>191  </w:t>
      </w:r>
      <w:r>
        <w:rPr>
          <w:spacing w:val="-3"/>
          <w:w w:val="105"/>
          <w:sz w:val="21"/>
        </w:rPr>
        <w:t>State </w:t>
      </w:r>
      <w:r>
        <w:rPr>
          <w:spacing w:val="-4"/>
          <w:w w:val="105"/>
          <w:sz w:val="21"/>
        </w:rPr>
        <w:t>Trustees </w:t>
      </w:r>
      <w:r>
        <w:rPr>
          <w:w w:val="105"/>
          <w:sz w:val="21"/>
        </w:rPr>
        <w:t>and </w:t>
      </w:r>
      <w:r>
        <w:rPr>
          <w:spacing w:val="-3"/>
          <w:w w:val="105"/>
          <w:sz w:val="21"/>
        </w:rPr>
        <w:t>Carolyn Sparke </w:t>
      </w:r>
      <w:r>
        <w:rPr>
          <w:w w:val="105"/>
          <w:sz w:val="21"/>
        </w:rPr>
        <w:t>SC </w:t>
      </w:r>
      <w:r>
        <w:rPr>
          <w:spacing w:val="-3"/>
          <w:w w:val="105"/>
          <w:sz w:val="21"/>
        </w:rPr>
        <w:t>noted that </w:t>
      </w:r>
      <w:r>
        <w:rPr>
          <w:w w:val="105"/>
          <w:sz w:val="21"/>
        </w:rPr>
        <w:t>it is </w:t>
      </w:r>
      <w:r>
        <w:rPr>
          <w:spacing w:val="-3"/>
          <w:w w:val="105"/>
          <w:sz w:val="21"/>
        </w:rPr>
        <w:t>rare for </w:t>
      </w:r>
      <w:r>
        <w:rPr>
          <w:w w:val="105"/>
          <w:sz w:val="21"/>
        </w:rPr>
        <w:t>a deceased person </w:t>
      </w:r>
      <w:r>
        <w:rPr>
          <w:spacing w:val="-3"/>
          <w:w w:val="105"/>
          <w:sz w:val="21"/>
        </w:rPr>
        <w:t>to </w:t>
      </w:r>
      <w:r>
        <w:rPr>
          <w:w w:val="105"/>
          <w:sz w:val="21"/>
        </w:rPr>
        <w:t>be survived by more </w:t>
      </w:r>
      <w:r>
        <w:rPr>
          <w:spacing w:val="-3"/>
          <w:w w:val="105"/>
          <w:sz w:val="21"/>
        </w:rPr>
        <w:t>than </w:t>
      </w:r>
      <w:r>
        <w:rPr>
          <w:w w:val="105"/>
          <w:sz w:val="21"/>
        </w:rPr>
        <w:t>one </w:t>
      </w:r>
      <w:r>
        <w:rPr>
          <w:spacing w:val="-5"/>
          <w:w w:val="105"/>
          <w:sz w:val="21"/>
        </w:rPr>
        <w:t>partner.</w:t>
      </w:r>
      <w:r>
        <w:rPr>
          <w:spacing w:val="-5"/>
          <w:w w:val="105"/>
          <w:position w:val="7"/>
          <w:sz w:val="12"/>
        </w:rPr>
        <w:t>192 </w:t>
      </w:r>
      <w:r>
        <w:rPr>
          <w:spacing w:val="-3"/>
          <w:w w:val="105"/>
          <w:sz w:val="21"/>
        </w:rPr>
        <w:t>Rigby </w:t>
      </w:r>
      <w:r>
        <w:rPr>
          <w:spacing w:val="-4"/>
          <w:w w:val="105"/>
          <w:sz w:val="21"/>
        </w:rPr>
        <w:t>Cooke </w:t>
      </w:r>
      <w:r>
        <w:rPr>
          <w:w w:val="105"/>
          <w:sz w:val="21"/>
        </w:rPr>
        <w:t>Lawyers expressed </w:t>
      </w:r>
      <w:r>
        <w:rPr>
          <w:spacing w:val="-3"/>
          <w:w w:val="105"/>
          <w:sz w:val="21"/>
        </w:rPr>
        <w:t>concern that </w:t>
      </w:r>
      <w:r>
        <w:rPr>
          <w:spacing w:val="-4"/>
          <w:w w:val="105"/>
          <w:sz w:val="21"/>
        </w:rPr>
        <w:t>failure </w:t>
      </w:r>
      <w:r>
        <w:rPr>
          <w:spacing w:val="-3"/>
          <w:w w:val="105"/>
          <w:sz w:val="21"/>
        </w:rPr>
        <w:t>to reach </w:t>
      </w:r>
      <w:r>
        <w:rPr>
          <w:w w:val="105"/>
          <w:sz w:val="21"/>
        </w:rPr>
        <w:t>a </w:t>
      </w:r>
      <w:r>
        <w:rPr>
          <w:spacing w:val="-2"/>
          <w:w w:val="105"/>
          <w:sz w:val="21"/>
        </w:rPr>
        <w:t>distribution agreement </w:t>
      </w:r>
      <w:r>
        <w:rPr>
          <w:spacing w:val="-3"/>
          <w:w w:val="105"/>
          <w:sz w:val="21"/>
        </w:rPr>
        <w:t>could result </w:t>
      </w:r>
      <w:r>
        <w:rPr>
          <w:w w:val="105"/>
          <w:sz w:val="21"/>
        </w:rPr>
        <w:t>in </w:t>
      </w:r>
      <w:r>
        <w:rPr>
          <w:spacing w:val="-3"/>
          <w:w w:val="105"/>
          <w:sz w:val="21"/>
        </w:rPr>
        <w:t>litigation </w:t>
      </w:r>
      <w:r>
        <w:rPr>
          <w:w w:val="105"/>
          <w:sz w:val="21"/>
        </w:rPr>
        <w:t>and </w:t>
      </w:r>
      <w:r>
        <w:rPr>
          <w:spacing w:val="-3"/>
          <w:w w:val="105"/>
          <w:sz w:val="21"/>
        </w:rPr>
        <w:t>that </w:t>
      </w:r>
      <w:r>
        <w:rPr>
          <w:w w:val="105"/>
          <w:sz w:val="21"/>
        </w:rPr>
        <w:t>seeking</w:t>
      </w:r>
      <w:r>
        <w:rPr>
          <w:spacing w:val="-4"/>
          <w:w w:val="105"/>
          <w:sz w:val="21"/>
        </w:rPr>
        <w:t> </w:t>
      </w:r>
      <w:r>
        <w:rPr>
          <w:w w:val="105"/>
          <w:sz w:val="21"/>
        </w:rPr>
        <w:t>a</w:t>
      </w:r>
    </w:p>
    <w:p>
      <w:pPr>
        <w:pStyle w:val="BodyText"/>
        <w:spacing w:line="242" w:lineRule="auto" w:before="5"/>
        <w:ind w:left="2381" w:right="1619" w:hanging="1"/>
        <w:rPr>
          <w:sz w:val="12"/>
        </w:rPr>
      </w:pPr>
      <w:r>
        <w:rPr/>
        <w:t>distribution order could result in costs to the estate.</w:t>
      </w:r>
      <w:r>
        <w:rPr>
          <w:position w:val="7"/>
          <w:sz w:val="12"/>
        </w:rPr>
        <w:t>193 </w:t>
      </w:r>
      <w:r>
        <w:rPr/>
        <w:t>Some submissions noted that equal distribution between the parties would not usually be a fair outcome.</w:t>
      </w:r>
      <w:r>
        <w:rPr>
          <w:position w:val="7"/>
          <w:sz w:val="12"/>
        </w:rPr>
        <w:t>194</w:t>
      </w:r>
    </w:p>
    <w:p>
      <w:pPr>
        <w:pStyle w:val="ListParagraph"/>
        <w:numPr>
          <w:ilvl w:val="1"/>
          <w:numId w:val="22"/>
        </w:numPr>
        <w:tabs>
          <w:tab w:pos="2381" w:val="left" w:leader="none"/>
          <w:tab w:pos="2382" w:val="left" w:leader="none"/>
        </w:tabs>
        <w:spacing w:line="242" w:lineRule="auto" w:before="122" w:after="0"/>
        <w:ind w:left="2381" w:right="1833" w:hanging="794"/>
        <w:jc w:val="left"/>
        <w:rPr>
          <w:sz w:val="21"/>
        </w:rPr>
      </w:pPr>
      <w:r>
        <w:rPr>
          <w:sz w:val="21"/>
        </w:rPr>
        <w:t>Moores Legal suggested </w:t>
      </w:r>
      <w:r>
        <w:rPr>
          <w:spacing w:val="-3"/>
          <w:sz w:val="21"/>
        </w:rPr>
        <w:t>that </w:t>
      </w:r>
      <w:r>
        <w:rPr>
          <w:sz w:val="21"/>
        </w:rPr>
        <w:t>a </w:t>
      </w:r>
      <w:r>
        <w:rPr>
          <w:spacing w:val="-2"/>
          <w:sz w:val="21"/>
        </w:rPr>
        <w:t>distribution agreement </w:t>
      </w:r>
      <w:r>
        <w:rPr>
          <w:sz w:val="21"/>
        </w:rPr>
        <w:t>should  be  lodged  with  the </w:t>
      </w:r>
      <w:r>
        <w:rPr>
          <w:spacing w:val="-3"/>
          <w:sz w:val="21"/>
        </w:rPr>
        <w:t>Probate </w:t>
      </w:r>
      <w:r>
        <w:rPr>
          <w:spacing w:val="-4"/>
          <w:sz w:val="21"/>
        </w:rPr>
        <w:t>Registry.</w:t>
      </w:r>
      <w:r>
        <w:rPr>
          <w:spacing w:val="-4"/>
          <w:position w:val="7"/>
          <w:sz w:val="12"/>
        </w:rPr>
        <w:t>195 </w:t>
      </w:r>
      <w:r>
        <w:rPr>
          <w:spacing w:val="-4"/>
          <w:sz w:val="21"/>
        </w:rPr>
        <w:t>However, </w:t>
      </w:r>
      <w:r>
        <w:rPr>
          <w:sz w:val="21"/>
        </w:rPr>
        <w:t>the </w:t>
      </w:r>
      <w:r>
        <w:rPr>
          <w:spacing w:val="-3"/>
          <w:sz w:val="21"/>
        </w:rPr>
        <w:t>Commission </w:t>
      </w:r>
      <w:r>
        <w:rPr>
          <w:sz w:val="21"/>
        </w:rPr>
        <w:t>considers </w:t>
      </w:r>
      <w:r>
        <w:rPr>
          <w:spacing w:val="-3"/>
          <w:sz w:val="21"/>
        </w:rPr>
        <w:t>that submitting </w:t>
      </w:r>
      <w:r>
        <w:rPr>
          <w:sz w:val="21"/>
        </w:rPr>
        <w:t>the </w:t>
      </w:r>
      <w:r>
        <w:rPr>
          <w:spacing w:val="-2"/>
          <w:sz w:val="21"/>
        </w:rPr>
        <w:t>distribution agreement</w:t>
      </w:r>
      <w:r>
        <w:rPr>
          <w:spacing w:val="9"/>
          <w:sz w:val="21"/>
        </w:rPr>
        <w:t> </w:t>
      </w:r>
      <w:r>
        <w:rPr>
          <w:spacing w:val="-3"/>
          <w:sz w:val="21"/>
        </w:rPr>
        <w:t>to</w:t>
      </w:r>
      <w:r>
        <w:rPr>
          <w:spacing w:val="9"/>
          <w:sz w:val="21"/>
        </w:rPr>
        <w:t> </w:t>
      </w:r>
      <w:r>
        <w:rPr>
          <w:sz w:val="21"/>
        </w:rPr>
        <w:t>the</w:t>
      </w:r>
      <w:r>
        <w:rPr>
          <w:spacing w:val="9"/>
          <w:sz w:val="21"/>
        </w:rPr>
        <w:t> </w:t>
      </w:r>
      <w:r>
        <w:rPr>
          <w:sz w:val="21"/>
        </w:rPr>
        <w:t>personal</w:t>
      </w:r>
      <w:r>
        <w:rPr>
          <w:spacing w:val="9"/>
          <w:sz w:val="21"/>
        </w:rPr>
        <w:t> </w:t>
      </w:r>
      <w:r>
        <w:rPr>
          <w:sz w:val="21"/>
        </w:rPr>
        <w:t>representative</w:t>
      </w:r>
      <w:r>
        <w:rPr>
          <w:spacing w:val="10"/>
          <w:sz w:val="21"/>
        </w:rPr>
        <w:t> </w:t>
      </w:r>
      <w:r>
        <w:rPr>
          <w:sz w:val="21"/>
        </w:rPr>
        <w:t>in</w:t>
      </w:r>
      <w:r>
        <w:rPr>
          <w:spacing w:val="9"/>
          <w:sz w:val="21"/>
        </w:rPr>
        <w:t> </w:t>
      </w:r>
      <w:r>
        <w:rPr>
          <w:sz w:val="21"/>
        </w:rPr>
        <w:t>writing</w:t>
      </w:r>
      <w:r>
        <w:rPr>
          <w:spacing w:val="9"/>
          <w:sz w:val="21"/>
        </w:rPr>
        <w:t> </w:t>
      </w:r>
      <w:r>
        <w:rPr>
          <w:sz w:val="21"/>
        </w:rPr>
        <w:t>is</w:t>
      </w:r>
      <w:r>
        <w:rPr>
          <w:spacing w:val="9"/>
          <w:sz w:val="21"/>
        </w:rPr>
        <w:t> </w:t>
      </w:r>
      <w:r>
        <w:rPr>
          <w:sz w:val="21"/>
        </w:rPr>
        <w:t>sufficient.</w:t>
      </w:r>
    </w:p>
    <w:p>
      <w:pPr>
        <w:pStyle w:val="ListParagraph"/>
        <w:numPr>
          <w:ilvl w:val="1"/>
          <w:numId w:val="22"/>
        </w:numPr>
        <w:tabs>
          <w:tab w:pos="2380" w:val="left" w:leader="none"/>
          <w:tab w:pos="2381" w:val="left" w:leader="none"/>
        </w:tabs>
        <w:spacing w:line="242" w:lineRule="auto" w:before="123" w:after="0"/>
        <w:ind w:left="2380" w:right="1587" w:hanging="793"/>
        <w:jc w:val="left"/>
        <w:rPr>
          <w:sz w:val="12"/>
        </w:rPr>
      </w:pPr>
      <w:r>
        <w:rPr>
          <w:w w:val="105"/>
          <w:sz w:val="21"/>
        </w:rPr>
        <w:t>The </w:t>
      </w:r>
      <w:r>
        <w:rPr>
          <w:spacing w:val="-3"/>
          <w:w w:val="105"/>
          <w:sz w:val="21"/>
        </w:rPr>
        <w:t>Institute </w:t>
      </w:r>
      <w:r>
        <w:rPr>
          <w:w w:val="105"/>
          <w:sz w:val="21"/>
        </w:rPr>
        <w:t>of Legal Executives expressed the view </w:t>
      </w:r>
      <w:r>
        <w:rPr>
          <w:spacing w:val="-3"/>
          <w:w w:val="105"/>
          <w:sz w:val="21"/>
        </w:rPr>
        <w:t>that, </w:t>
      </w:r>
      <w:r>
        <w:rPr>
          <w:w w:val="105"/>
          <w:sz w:val="21"/>
        </w:rPr>
        <w:t>if a </w:t>
      </w:r>
      <w:r>
        <w:rPr>
          <w:spacing w:val="-2"/>
          <w:w w:val="105"/>
          <w:sz w:val="21"/>
        </w:rPr>
        <w:t>distribution agreement </w:t>
      </w:r>
      <w:r>
        <w:rPr>
          <w:w w:val="105"/>
          <w:sz w:val="21"/>
        </w:rPr>
        <w:t>is adopted, there should be no adverse duty </w:t>
      </w:r>
      <w:r>
        <w:rPr>
          <w:spacing w:val="-4"/>
          <w:w w:val="105"/>
          <w:sz w:val="21"/>
        </w:rPr>
        <w:t>implications.</w:t>
      </w:r>
      <w:r>
        <w:rPr>
          <w:spacing w:val="-4"/>
          <w:w w:val="105"/>
          <w:position w:val="7"/>
          <w:sz w:val="12"/>
        </w:rPr>
        <w:t>196 </w:t>
      </w:r>
      <w:r>
        <w:rPr>
          <w:w w:val="105"/>
          <w:sz w:val="21"/>
        </w:rPr>
        <w:t>Under the </w:t>
      </w:r>
      <w:r>
        <w:rPr>
          <w:i/>
          <w:w w:val="105"/>
          <w:sz w:val="21"/>
        </w:rPr>
        <w:t>Duties Act 2000 </w:t>
      </w:r>
      <w:r>
        <w:rPr>
          <w:w w:val="105"/>
          <w:sz w:val="21"/>
        </w:rPr>
        <w:t>(Vic),</w:t>
      </w:r>
      <w:r>
        <w:rPr>
          <w:spacing w:val="-8"/>
          <w:w w:val="105"/>
          <w:sz w:val="21"/>
        </w:rPr>
        <w:t> </w:t>
      </w:r>
      <w:r>
        <w:rPr>
          <w:spacing w:val="-2"/>
          <w:w w:val="105"/>
          <w:sz w:val="21"/>
        </w:rPr>
        <w:t>distribution</w:t>
      </w:r>
      <w:r>
        <w:rPr>
          <w:spacing w:val="-9"/>
          <w:w w:val="105"/>
          <w:sz w:val="21"/>
        </w:rPr>
        <w:t> </w:t>
      </w:r>
      <w:r>
        <w:rPr>
          <w:spacing w:val="-3"/>
          <w:w w:val="105"/>
          <w:sz w:val="21"/>
        </w:rPr>
        <w:t>pursuant</w:t>
      </w:r>
      <w:r>
        <w:rPr>
          <w:spacing w:val="-8"/>
          <w:w w:val="105"/>
          <w:sz w:val="21"/>
        </w:rPr>
        <w:t> </w:t>
      </w:r>
      <w:r>
        <w:rPr>
          <w:spacing w:val="-3"/>
          <w:w w:val="105"/>
          <w:sz w:val="21"/>
        </w:rPr>
        <w:t>to</w:t>
      </w:r>
      <w:r>
        <w:rPr>
          <w:spacing w:val="-8"/>
          <w:w w:val="105"/>
          <w:sz w:val="21"/>
        </w:rPr>
        <w:t> </w:t>
      </w:r>
      <w:r>
        <w:rPr>
          <w:w w:val="105"/>
          <w:sz w:val="21"/>
        </w:rPr>
        <w:t>a</w:t>
      </w:r>
      <w:r>
        <w:rPr>
          <w:spacing w:val="-8"/>
          <w:w w:val="105"/>
          <w:sz w:val="21"/>
        </w:rPr>
        <w:t> </w:t>
      </w:r>
      <w:r>
        <w:rPr>
          <w:spacing w:val="-2"/>
          <w:w w:val="105"/>
          <w:sz w:val="21"/>
        </w:rPr>
        <w:t>distribution</w:t>
      </w:r>
      <w:r>
        <w:rPr>
          <w:spacing w:val="-8"/>
          <w:w w:val="105"/>
          <w:sz w:val="21"/>
        </w:rPr>
        <w:t> </w:t>
      </w:r>
      <w:r>
        <w:rPr>
          <w:spacing w:val="-2"/>
          <w:w w:val="105"/>
          <w:sz w:val="21"/>
        </w:rPr>
        <w:t>agreement</w:t>
      </w:r>
      <w:r>
        <w:rPr>
          <w:spacing w:val="-8"/>
          <w:w w:val="105"/>
          <w:sz w:val="21"/>
        </w:rPr>
        <w:t> </w:t>
      </w:r>
      <w:r>
        <w:rPr>
          <w:w w:val="105"/>
          <w:sz w:val="21"/>
        </w:rPr>
        <w:t>would</w:t>
      </w:r>
      <w:r>
        <w:rPr>
          <w:spacing w:val="-8"/>
          <w:w w:val="105"/>
          <w:sz w:val="21"/>
        </w:rPr>
        <w:t> </w:t>
      </w:r>
      <w:r>
        <w:rPr>
          <w:w w:val="105"/>
          <w:sz w:val="21"/>
        </w:rPr>
        <w:t>be</w:t>
      </w:r>
      <w:r>
        <w:rPr>
          <w:spacing w:val="-8"/>
          <w:w w:val="105"/>
          <w:sz w:val="21"/>
        </w:rPr>
        <w:t> </w:t>
      </w:r>
      <w:r>
        <w:rPr>
          <w:w w:val="105"/>
          <w:sz w:val="21"/>
        </w:rPr>
        <w:t>subject</w:t>
      </w:r>
      <w:r>
        <w:rPr>
          <w:spacing w:val="-8"/>
          <w:w w:val="105"/>
          <w:sz w:val="21"/>
        </w:rPr>
        <w:t> </w:t>
      </w:r>
      <w:r>
        <w:rPr>
          <w:spacing w:val="-3"/>
          <w:w w:val="105"/>
          <w:sz w:val="21"/>
        </w:rPr>
        <w:t>to</w:t>
      </w:r>
      <w:r>
        <w:rPr>
          <w:spacing w:val="-8"/>
          <w:w w:val="105"/>
          <w:sz w:val="21"/>
        </w:rPr>
        <w:t> </w:t>
      </w:r>
      <w:r>
        <w:rPr>
          <w:w w:val="105"/>
          <w:sz w:val="21"/>
        </w:rPr>
        <w:t>the</w:t>
      </w:r>
      <w:r>
        <w:rPr>
          <w:spacing w:val="-8"/>
          <w:w w:val="105"/>
          <w:sz w:val="21"/>
        </w:rPr>
        <w:t> </w:t>
      </w:r>
      <w:r>
        <w:rPr>
          <w:w w:val="105"/>
          <w:sz w:val="21"/>
        </w:rPr>
        <w:t>exemption </w:t>
      </w:r>
      <w:r>
        <w:rPr>
          <w:spacing w:val="-3"/>
          <w:w w:val="105"/>
          <w:sz w:val="21"/>
        </w:rPr>
        <w:t>for </w:t>
      </w:r>
      <w:r>
        <w:rPr>
          <w:w w:val="105"/>
          <w:sz w:val="21"/>
        </w:rPr>
        <w:t>property passing on intestacy and no duty would be</w:t>
      </w:r>
      <w:r>
        <w:rPr>
          <w:spacing w:val="38"/>
          <w:w w:val="105"/>
          <w:sz w:val="21"/>
        </w:rPr>
        <w:t> </w:t>
      </w:r>
      <w:r>
        <w:rPr>
          <w:spacing w:val="-5"/>
          <w:w w:val="105"/>
          <w:sz w:val="21"/>
        </w:rPr>
        <w:t>chargeable.</w:t>
      </w:r>
      <w:r>
        <w:rPr>
          <w:spacing w:val="-5"/>
          <w:w w:val="105"/>
          <w:position w:val="7"/>
          <w:sz w:val="12"/>
        </w:rPr>
        <w:t>197</w:t>
      </w:r>
    </w:p>
    <w:p>
      <w:pPr>
        <w:pStyle w:val="ListParagraph"/>
        <w:numPr>
          <w:ilvl w:val="1"/>
          <w:numId w:val="22"/>
        </w:numPr>
        <w:tabs>
          <w:tab w:pos="2381" w:val="left" w:leader="none"/>
          <w:tab w:pos="2382" w:val="left" w:leader="none"/>
        </w:tabs>
        <w:spacing w:line="242" w:lineRule="auto" w:before="125" w:after="0"/>
        <w:ind w:left="2381" w:right="1688" w:hanging="794"/>
        <w:jc w:val="left"/>
        <w:rPr>
          <w:sz w:val="21"/>
        </w:rPr>
      </w:pPr>
      <w:r>
        <w:rPr>
          <w:sz w:val="21"/>
        </w:rPr>
        <w:t>The </w:t>
      </w:r>
      <w:r>
        <w:rPr>
          <w:spacing w:val="-3"/>
          <w:sz w:val="21"/>
        </w:rPr>
        <w:t>Commission </w:t>
      </w:r>
      <w:r>
        <w:rPr>
          <w:sz w:val="21"/>
        </w:rPr>
        <w:t>considers </w:t>
      </w:r>
      <w:r>
        <w:rPr>
          <w:spacing w:val="-3"/>
          <w:sz w:val="21"/>
        </w:rPr>
        <w:t>that  </w:t>
      </w:r>
      <w:r>
        <w:rPr>
          <w:sz w:val="21"/>
        </w:rPr>
        <w:t>the  </w:t>
      </w:r>
      <w:r>
        <w:rPr>
          <w:spacing w:val="-3"/>
          <w:sz w:val="21"/>
        </w:rPr>
        <w:t>National  </w:t>
      </w:r>
      <w:r>
        <w:rPr>
          <w:spacing w:val="-4"/>
          <w:sz w:val="21"/>
        </w:rPr>
        <w:t>Committee’s  </w:t>
      </w:r>
      <w:r>
        <w:rPr>
          <w:spacing w:val="-3"/>
          <w:sz w:val="21"/>
        </w:rPr>
        <w:t>recommendations  </w:t>
      </w:r>
      <w:r>
        <w:rPr>
          <w:sz w:val="21"/>
        </w:rPr>
        <w:t>about </w:t>
      </w:r>
      <w:r>
        <w:rPr>
          <w:spacing w:val="-3"/>
          <w:sz w:val="21"/>
        </w:rPr>
        <w:t>multiple </w:t>
      </w:r>
      <w:r>
        <w:rPr>
          <w:sz w:val="21"/>
        </w:rPr>
        <w:t>partners’ entitlements, where there </w:t>
      </w:r>
      <w:r>
        <w:rPr>
          <w:spacing w:val="-3"/>
          <w:sz w:val="21"/>
        </w:rPr>
        <w:t>are  </w:t>
      </w:r>
      <w:r>
        <w:rPr>
          <w:sz w:val="21"/>
        </w:rPr>
        <w:t>no </w:t>
      </w:r>
      <w:r>
        <w:rPr>
          <w:spacing w:val="-3"/>
          <w:sz w:val="21"/>
        </w:rPr>
        <w:t>children</w:t>
      </w:r>
      <w:r>
        <w:rPr>
          <w:spacing w:val="41"/>
          <w:sz w:val="21"/>
        </w:rPr>
        <w:t> </w:t>
      </w:r>
      <w:r>
        <w:rPr>
          <w:sz w:val="21"/>
        </w:rPr>
        <w:t>or other issue who </w:t>
      </w:r>
      <w:r>
        <w:rPr>
          <w:spacing w:val="-3"/>
          <w:sz w:val="21"/>
        </w:rPr>
        <w:t>are </w:t>
      </w:r>
      <w:r>
        <w:rPr>
          <w:sz w:val="21"/>
        </w:rPr>
        <w:t>entitled </w:t>
      </w:r>
      <w:r>
        <w:rPr>
          <w:spacing w:val="-3"/>
          <w:sz w:val="21"/>
        </w:rPr>
        <w:t>to </w:t>
      </w:r>
      <w:r>
        <w:rPr>
          <w:sz w:val="21"/>
        </w:rPr>
        <w:t>a </w:t>
      </w:r>
      <w:r>
        <w:rPr>
          <w:spacing w:val="-4"/>
          <w:sz w:val="21"/>
        </w:rPr>
        <w:t>share, </w:t>
      </w:r>
      <w:r>
        <w:rPr>
          <w:sz w:val="21"/>
        </w:rPr>
        <w:t>would </w:t>
      </w:r>
      <w:r>
        <w:rPr>
          <w:spacing w:val="-3"/>
          <w:sz w:val="21"/>
        </w:rPr>
        <w:t>allow </w:t>
      </w:r>
      <w:r>
        <w:rPr>
          <w:sz w:val="21"/>
        </w:rPr>
        <w:t>parties or the </w:t>
      </w:r>
      <w:r>
        <w:rPr>
          <w:spacing w:val="-3"/>
          <w:sz w:val="21"/>
        </w:rPr>
        <w:t>Court to </w:t>
      </w:r>
      <w:r>
        <w:rPr>
          <w:sz w:val="21"/>
        </w:rPr>
        <w:t>arrive at the </w:t>
      </w:r>
      <w:r>
        <w:rPr>
          <w:spacing w:val="-3"/>
          <w:sz w:val="21"/>
        </w:rPr>
        <w:t>fairest  </w:t>
      </w:r>
      <w:r>
        <w:rPr>
          <w:sz w:val="21"/>
        </w:rPr>
        <w:t>possible </w:t>
      </w:r>
      <w:r>
        <w:rPr>
          <w:spacing w:val="-3"/>
          <w:sz w:val="21"/>
        </w:rPr>
        <w:t>outcome. </w:t>
      </w:r>
      <w:r>
        <w:rPr>
          <w:sz w:val="21"/>
        </w:rPr>
        <w:t>It is more tailored </w:t>
      </w:r>
      <w:r>
        <w:rPr>
          <w:spacing w:val="-3"/>
          <w:sz w:val="21"/>
        </w:rPr>
        <w:t>than Victoria’s current </w:t>
      </w:r>
      <w:r>
        <w:rPr>
          <w:sz w:val="21"/>
        </w:rPr>
        <w:t>one-size-fits-all </w:t>
      </w:r>
      <w:r>
        <w:rPr>
          <w:spacing w:val="-3"/>
          <w:sz w:val="21"/>
        </w:rPr>
        <w:t>sliding </w:t>
      </w:r>
      <w:r>
        <w:rPr>
          <w:sz w:val="21"/>
        </w:rPr>
        <w:t>scale approach and is </w:t>
      </w:r>
      <w:r>
        <w:rPr>
          <w:spacing w:val="-3"/>
          <w:sz w:val="21"/>
        </w:rPr>
        <w:t>far </w:t>
      </w:r>
      <w:r>
        <w:rPr>
          <w:spacing w:val="-4"/>
          <w:sz w:val="21"/>
        </w:rPr>
        <w:t>likelier </w:t>
      </w:r>
      <w:r>
        <w:rPr>
          <w:spacing w:val="-3"/>
          <w:sz w:val="21"/>
        </w:rPr>
        <w:t>to result </w:t>
      </w:r>
      <w:r>
        <w:rPr>
          <w:sz w:val="21"/>
        </w:rPr>
        <w:t>in an </w:t>
      </w:r>
      <w:r>
        <w:rPr>
          <w:spacing w:val="-3"/>
          <w:sz w:val="21"/>
        </w:rPr>
        <w:t>outcome that all </w:t>
      </w:r>
      <w:r>
        <w:rPr>
          <w:sz w:val="21"/>
        </w:rPr>
        <w:t>parties </w:t>
      </w:r>
      <w:r>
        <w:rPr>
          <w:spacing w:val="-3"/>
          <w:sz w:val="21"/>
        </w:rPr>
        <w:t>are </w:t>
      </w:r>
      <w:r>
        <w:rPr>
          <w:sz w:val="21"/>
        </w:rPr>
        <w:t>satisfied with. Although there </w:t>
      </w:r>
      <w:r>
        <w:rPr>
          <w:spacing w:val="-3"/>
          <w:sz w:val="21"/>
        </w:rPr>
        <w:t>may </w:t>
      </w:r>
      <w:r>
        <w:rPr>
          <w:sz w:val="21"/>
        </w:rPr>
        <w:t>be some expense </w:t>
      </w:r>
      <w:r>
        <w:rPr>
          <w:spacing w:val="-3"/>
          <w:sz w:val="21"/>
        </w:rPr>
        <w:t>involved </w:t>
      </w:r>
      <w:r>
        <w:rPr>
          <w:sz w:val="21"/>
        </w:rPr>
        <w:t>in </w:t>
      </w:r>
      <w:r>
        <w:rPr>
          <w:spacing w:val="-3"/>
          <w:sz w:val="21"/>
        </w:rPr>
        <w:t>reaching  </w:t>
      </w:r>
      <w:r>
        <w:rPr>
          <w:sz w:val="21"/>
        </w:rPr>
        <w:t>an  </w:t>
      </w:r>
      <w:r>
        <w:rPr>
          <w:spacing w:val="-2"/>
          <w:sz w:val="21"/>
        </w:rPr>
        <w:t>agreement  </w:t>
      </w:r>
      <w:r>
        <w:rPr>
          <w:sz w:val="21"/>
        </w:rPr>
        <w:t>or  </w:t>
      </w:r>
      <w:r>
        <w:rPr>
          <w:spacing w:val="-3"/>
          <w:sz w:val="21"/>
        </w:rPr>
        <w:t>obtaining  </w:t>
      </w:r>
      <w:r>
        <w:rPr>
          <w:sz w:val="21"/>
        </w:rPr>
        <w:t>a  </w:t>
      </w:r>
      <w:r>
        <w:rPr>
          <w:spacing w:val="-2"/>
          <w:sz w:val="21"/>
        </w:rPr>
        <w:t>distribution </w:t>
      </w:r>
      <w:r>
        <w:rPr>
          <w:spacing w:val="-4"/>
          <w:sz w:val="21"/>
        </w:rPr>
        <w:t>order, </w:t>
      </w:r>
      <w:r>
        <w:rPr>
          <w:sz w:val="21"/>
        </w:rPr>
        <w:t>it is </w:t>
      </w:r>
      <w:r>
        <w:rPr>
          <w:spacing w:val="-4"/>
          <w:sz w:val="21"/>
        </w:rPr>
        <w:t>likely </w:t>
      </w:r>
      <w:r>
        <w:rPr>
          <w:spacing w:val="-3"/>
          <w:sz w:val="21"/>
        </w:rPr>
        <w:t>to </w:t>
      </w:r>
      <w:r>
        <w:rPr>
          <w:sz w:val="21"/>
        </w:rPr>
        <w:t>be less </w:t>
      </w:r>
      <w:r>
        <w:rPr>
          <w:spacing w:val="-3"/>
          <w:sz w:val="21"/>
        </w:rPr>
        <w:t>than </w:t>
      </w:r>
      <w:r>
        <w:rPr>
          <w:sz w:val="21"/>
        </w:rPr>
        <w:t>the cost of </w:t>
      </w:r>
      <w:r>
        <w:rPr>
          <w:spacing w:val="-3"/>
          <w:sz w:val="21"/>
        </w:rPr>
        <w:t>commencing family provision</w:t>
      </w:r>
      <w:r>
        <w:rPr>
          <w:spacing w:val="-2"/>
          <w:sz w:val="21"/>
        </w:rPr>
        <w:t> </w:t>
      </w:r>
      <w:r>
        <w:rPr>
          <w:spacing w:val="-3"/>
          <w:sz w:val="21"/>
        </w:rPr>
        <w:t>proceedings</w:t>
      </w:r>
    </w:p>
    <w:p>
      <w:pPr>
        <w:pStyle w:val="BodyText"/>
        <w:spacing w:line="242" w:lineRule="auto" w:before="7"/>
        <w:ind w:left="2381" w:right="2289"/>
      </w:pPr>
      <w:r>
        <w:rPr>
          <w:spacing w:val="-3"/>
        </w:rPr>
        <w:t>to </w:t>
      </w:r>
      <w:r>
        <w:rPr/>
        <w:t>redress an </w:t>
      </w:r>
      <w:r>
        <w:rPr>
          <w:spacing w:val="-4"/>
        </w:rPr>
        <w:t>unfair </w:t>
      </w:r>
      <w:r>
        <w:rPr>
          <w:spacing w:val="-3"/>
        </w:rPr>
        <w:t>outcome. </w:t>
      </w:r>
      <w:r>
        <w:rPr/>
        <w:t>The option </w:t>
      </w:r>
      <w:r>
        <w:rPr>
          <w:spacing w:val="-3"/>
        </w:rPr>
        <w:t>for distributing </w:t>
      </w:r>
      <w:r>
        <w:rPr/>
        <w:t>the estate </w:t>
      </w:r>
      <w:r>
        <w:rPr>
          <w:spacing w:val="-3"/>
        </w:rPr>
        <w:t>equally  </w:t>
      </w:r>
      <w:r>
        <w:rPr/>
        <w:t>between the</w:t>
      </w:r>
      <w:r>
        <w:rPr>
          <w:spacing w:val="10"/>
        </w:rPr>
        <w:t> </w:t>
      </w:r>
      <w:r>
        <w:rPr/>
        <w:t>parties</w:t>
      </w:r>
      <w:r>
        <w:rPr>
          <w:spacing w:val="10"/>
        </w:rPr>
        <w:t> </w:t>
      </w:r>
      <w:r>
        <w:rPr/>
        <w:t>would</w:t>
      </w:r>
      <w:r>
        <w:rPr>
          <w:spacing w:val="10"/>
        </w:rPr>
        <w:t> </w:t>
      </w:r>
      <w:r>
        <w:rPr/>
        <w:t>exist,</w:t>
      </w:r>
      <w:r>
        <w:rPr>
          <w:spacing w:val="10"/>
        </w:rPr>
        <w:t> </w:t>
      </w:r>
      <w:r>
        <w:rPr/>
        <w:t>in</w:t>
      </w:r>
      <w:r>
        <w:rPr>
          <w:spacing w:val="10"/>
        </w:rPr>
        <w:t> </w:t>
      </w:r>
      <w:r>
        <w:rPr>
          <w:spacing w:val="-3"/>
        </w:rPr>
        <w:t>any</w:t>
      </w:r>
      <w:r>
        <w:rPr>
          <w:spacing w:val="10"/>
        </w:rPr>
        <w:t> </w:t>
      </w:r>
      <w:r>
        <w:rPr>
          <w:spacing w:val="-3"/>
        </w:rPr>
        <w:t>event,</w:t>
      </w:r>
      <w:r>
        <w:rPr>
          <w:spacing w:val="10"/>
        </w:rPr>
        <w:t> </w:t>
      </w:r>
      <w:r>
        <w:rPr/>
        <w:t>as</w:t>
      </w:r>
      <w:r>
        <w:rPr>
          <w:spacing w:val="10"/>
        </w:rPr>
        <w:t> </w:t>
      </w:r>
      <w:r>
        <w:rPr/>
        <w:t>a</w:t>
      </w:r>
      <w:r>
        <w:rPr>
          <w:spacing w:val="10"/>
        </w:rPr>
        <w:t> </w:t>
      </w:r>
      <w:r>
        <w:rPr/>
        <w:t>low-cost</w:t>
      </w:r>
      <w:r>
        <w:rPr>
          <w:spacing w:val="10"/>
        </w:rPr>
        <w:t> </w:t>
      </w:r>
      <w:r>
        <w:rPr>
          <w:spacing w:val="-3"/>
        </w:rPr>
        <w:t>alternative.</w:t>
      </w:r>
    </w:p>
    <w:p>
      <w:pPr>
        <w:pStyle w:val="BodyText"/>
        <w:spacing w:before="7"/>
        <w:rPr>
          <w:sz w:val="16"/>
        </w:rPr>
      </w:pPr>
      <w:r>
        <w:rPr/>
        <w:pict>
          <v:line style="position:absolute;mso-position-horizontal-relative:page;mso-position-vertical-relative:paragraph;z-index:4880;mso-wrap-distance-left:0;mso-wrap-distance-right:0" from="79.370003pt,12.571596pt" to="515.905003pt,12.571596pt" stroked="true" strokeweight="1pt" strokecolor="#f9ceca">
            <v:stroke dashstyle="solid"/>
            <w10:wrap type="topAndBottom"/>
          </v:line>
        </w:pict>
      </w:r>
    </w:p>
    <w:p>
      <w:pPr>
        <w:pStyle w:val="ListParagraph"/>
        <w:numPr>
          <w:ilvl w:val="0"/>
          <w:numId w:val="65"/>
        </w:numPr>
        <w:tabs>
          <w:tab w:pos="2380" w:val="left" w:leader="none"/>
          <w:tab w:pos="2382" w:val="left" w:leader="none"/>
        </w:tabs>
        <w:spacing w:line="240" w:lineRule="auto" w:before="117" w:after="0"/>
        <w:ind w:left="2381" w:right="0" w:hanging="794"/>
        <w:jc w:val="left"/>
        <w:rPr>
          <w:sz w:val="13"/>
        </w:rPr>
      </w:pPr>
      <w:r>
        <w:rPr>
          <w:i/>
          <w:w w:val="105"/>
          <w:sz w:val="13"/>
        </w:rPr>
        <w:t>Succession Act 2006 </w:t>
      </w:r>
      <w:r>
        <w:rPr>
          <w:spacing w:val="3"/>
          <w:w w:val="105"/>
          <w:sz w:val="13"/>
        </w:rPr>
        <w:t>(NSW) </w:t>
      </w:r>
      <w:r>
        <w:rPr>
          <w:w w:val="105"/>
          <w:sz w:val="13"/>
        </w:rPr>
        <w:t>s</w:t>
      </w:r>
      <w:r>
        <w:rPr>
          <w:spacing w:val="18"/>
          <w:w w:val="105"/>
          <w:sz w:val="13"/>
        </w:rPr>
        <w:t> </w:t>
      </w:r>
      <w:r>
        <w:rPr>
          <w:w w:val="105"/>
          <w:sz w:val="13"/>
        </w:rPr>
        <w:t>124.</w:t>
      </w:r>
    </w:p>
    <w:p>
      <w:pPr>
        <w:pStyle w:val="ListParagraph"/>
        <w:numPr>
          <w:ilvl w:val="0"/>
          <w:numId w:val="65"/>
        </w:numPr>
        <w:tabs>
          <w:tab w:pos="2381" w:val="left" w:leader="none"/>
          <w:tab w:pos="2382" w:val="left" w:leader="none"/>
        </w:tabs>
        <w:spacing w:line="240" w:lineRule="auto" w:before="1" w:after="0"/>
        <w:ind w:left="2381" w:right="0" w:hanging="794"/>
        <w:jc w:val="left"/>
        <w:rPr>
          <w:sz w:val="13"/>
        </w:rPr>
      </w:pPr>
      <w:r>
        <w:rPr>
          <w:w w:val="105"/>
          <w:sz w:val="13"/>
        </w:rPr>
        <w:t>National</w:t>
      </w:r>
      <w:r>
        <w:rPr>
          <w:spacing w:val="5"/>
          <w:w w:val="105"/>
          <w:sz w:val="13"/>
        </w:rPr>
        <w:t> </w:t>
      </w:r>
      <w:r>
        <w:rPr>
          <w:w w:val="105"/>
          <w:sz w:val="13"/>
        </w:rPr>
        <w:t>Committee</w:t>
      </w:r>
      <w:r>
        <w:rPr>
          <w:spacing w:val="5"/>
          <w:w w:val="105"/>
          <w:sz w:val="13"/>
        </w:rPr>
        <w:t> </w:t>
      </w:r>
      <w:r>
        <w:rPr>
          <w:w w:val="105"/>
          <w:sz w:val="13"/>
        </w:rPr>
        <w:t>for</w:t>
      </w:r>
      <w:r>
        <w:rPr>
          <w:spacing w:val="5"/>
          <w:w w:val="105"/>
          <w:sz w:val="13"/>
        </w:rPr>
        <w:t> </w:t>
      </w:r>
      <w:r>
        <w:rPr>
          <w:w w:val="105"/>
          <w:sz w:val="13"/>
        </w:rPr>
        <w:t>Uniform</w:t>
      </w:r>
      <w:r>
        <w:rPr>
          <w:spacing w:val="5"/>
          <w:w w:val="105"/>
          <w:sz w:val="13"/>
        </w:rPr>
        <w:t> </w:t>
      </w:r>
      <w:r>
        <w:rPr>
          <w:w w:val="105"/>
          <w:sz w:val="13"/>
        </w:rPr>
        <w:t>Succession</w:t>
      </w:r>
      <w:r>
        <w:rPr>
          <w:spacing w:val="5"/>
          <w:w w:val="105"/>
          <w:sz w:val="13"/>
        </w:rPr>
        <w:t> </w:t>
      </w:r>
      <w:r>
        <w:rPr>
          <w:w w:val="105"/>
          <w:sz w:val="13"/>
        </w:rPr>
        <w:t>Laws,</w:t>
      </w:r>
      <w:r>
        <w:rPr>
          <w:spacing w:val="5"/>
          <w:w w:val="105"/>
          <w:sz w:val="13"/>
        </w:rPr>
        <w:t> </w:t>
      </w:r>
      <w:r>
        <w:rPr>
          <w:w w:val="105"/>
          <w:sz w:val="13"/>
        </w:rPr>
        <w:t>above</w:t>
      </w:r>
      <w:r>
        <w:rPr>
          <w:spacing w:val="5"/>
          <w:w w:val="105"/>
          <w:sz w:val="13"/>
        </w:rPr>
        <w:t> </w:t>
      </w:r>
      <w:r>
        <w:rPr>
          <w:w w:val="105"/>
          <w:sz w:val="13"/>
        </w:rPr>
        <w:t>n</w:t>
      </w:r>
      <w:r>
        <w:rPr>
          <w:spacing w:val="5"/>
          <w:w w:val="105"/>
          <w:sz w:val="13"/>
        </w:rPr>
        <w:t> </w:t>
      </w:r>
      <w:r>
        <w:rPr>
          <w:w w:val="105"/>
          <w:sz w:val="13"/>
        </w:rPr>
        <w:t>10,</w:t>
      </w:r>
      <w:r>
        <w:rPr>
          <w:spacing w:val="5"/>
          <w:w w:val="105"/>
          <w:sz w:val="13"/>
        </w:rPr>
        <w:t> </w:t>
      </w:r>
      <w:r>
        <w:rPr>
          <w:spacing w:val="-8"/>
          <w:w w:val="105"/>
          <w:sz w:val="13"/>
        </w:rPr>
        <w:t>117,</w:t>
      </w:r>
      <w:r>
        <w:rPr>
          <w:spacing w:val="5"/>
          <w:w w:val="105"/>
          <w:sz w:val="13"/>
        </w:rPr>
        <w:t> </w:t>
      </w:r>
      <w:r>
        <w:rPr>
          <w:w w:val="105"/>
          <w:sz w:val="13"/>
        </w:rPr>
        <w:t>Draft</w:t>
      </w:r>
      <w:r>
        <w:rPr>
          <w:spacing w:val="5"/>
          <w:w w:val="105"/>
          <w:sz w:val="13"/>
        </w:rPr>
        <w:t> </w:t>
      </w:r>
      <w:r>
        <w:rPr>
          <w:w w:val="105"/>
          <w:sz w:val="13"/>
        </w:rPr>
        <w:t>Intestacy</w:t>
      </w:r>
      <w:r>
        <w:rPr>
          <w:spacing w:val="5"/>
          <w:w w:val="105"/>
          <w:sz w:val="13"/>
        </w:rPr>
        <w:t> </w:t>
      </w:r>
      <w:r>
        <w:rPr>
          <w:w w:val="105"/>
          <w:sz w:val="13"/>
        </w:rPr>
        <w:t>Bill</w:t>
      </w:r>
      <w:r>
        <w:rPr>
          <w:spacing w:val="5"/>
          <w:w w:val="105"/>
          <w:sz w:val="13"/>
        </w:rPr>
        <w:t> </w:t>
      </w:r>
      <w:r>
        <w:rPr>
          <w:w w:val="105"/>
          <w:sz w:val="13"/>
        </w:rPr>
        <w:t>2006</w:t>
      </w:r>
      <w:r>
        <w:rPr>
          <w:spacing w:val="5"/>
          <w:w w:val="105"/>
          <w:sz w:val="13"/>
        </w:rPr>
        <w:t> </w:t>
      </w:r>
      <w:r>
        <w:rPr>
          <w:w w:val="105"/>
          <w:sz w:val="13"/>
        </w:rPr>
        <w:t>cl</w:t>
      </w:r>
      <w:r>
        <w:rPr>
          <w:spacing w:val="6"/>
          <w:w w:val="105"/>
          <w:sz w:val="13"/>
        </w:rPr>
        <w:t> </w:t>
      </w:r>
      <w:r>
        <w:rPr>
          <w:spacing w:val="-6"/>
          <w:w w:val="105"/>
          <w:sz w:val="13"/>
        </w:rPr>
        <w:t>11.</w:t>
      </w:r>
    </w:p>
    <w:p>
      <w:pPr>
        <w:pStyle w:val="ListParagraph"/>
        <w:numPr>
          <w:ilvl w:val="0"/>
          <w:numId w:val="65"/>
        </w:numPr>
        <w:tabs>
          <w:tab w:pos="2381" w:val="left" w:leader="none"/>
          <w:tab w:pos="2382" w:val="left" w:leader="none"/>
        </w:tabs>
        <w:spacing w:line="240" w:lineRule="auto" w:before="2" w:after="0"/>
        <w:ind w:left="2381" w:right="0" w:hanging="794"/>
        <w:jc w:val="left"/>
        <w:rPr>
          <w:sz w:val="13"/>
        </w:rPr>
      </w:pPr>
      <w:r>
        <w:rPr>
          <w:i/>
          <w:w w:val="105"/>
          <w:sz w:val="13"/>
        </w:rPr>
        <w:t>Succession</w:t>
      </w:r>
      <w:r>
        <w:rPr>
          <w:i/>
          <w:spacing w:val="3"/>
          <w:w w:val="105"/>
          <w:sz w:val="13"/>
        </w:rPr>
        <w:t> </w:t>
      </w:r>
      <w:r>
        <w:rPr>
          <w:i/>
          <w:w w:val="105"/>
          <w:sz w:val="13"/>
        </w:rPr>
        <w:t>Act</w:t>
      </w:r>
      <w:r>
        <w:rPr>
          <w:i/>
          <w:spacing w:val="4"/>
          <w:w w:val="105"/>
          <w:sz w:val="13"/>
        </w:rPr>
        <w:t> </w:t>
      </w:r>
      <w:r>
        <w:rPr>
          <w:i/>
          <w:w w:val="105"/>
          <w:sz w:val="13"/>
        </w:rPr>
        <w:t>2006</w:t>
      </w:r>
      <w:r>
        <w:rPr>
          <w:i/>
          <w:spacing w:val="5"/>
          <w:w w:val="105"/>
          <w:sz w:val="13"/>
        </w:rPr>
        <w:t> </w:t>
      </w:r>
      <w:r>
        <w:rPr>
          <w:spacing w:val="3"/>
          <w:w w:val="105"/>
          <w:sz w:val="13"/>
        </w:rPr>
        <w:t>(NSW)</w:t>
      </w:r>
      <w:r>
        <w:rPr>
          <w:spacing w:val="4"/>
          <w:w w:val="105"/>
          <w:sz w:val="13"/>
        </w:rPr>
        <w:t> </w:t>
      </w:r>
      <w:r>
        <w:rPr>
          <w:w w:val="105"/>
          <w:sz w:val="13"/>
        </w:rPr>
        <w:t>s</w:t>
      </w:r>
      <w:r>
        <w:rPr>
          <w:spacing w:val="5"/>
          <w:w w:val="105"/>
          <w:sz w:val="13"/>
        </w:rPr>
        <w:t> </w:t>
      </w:r>
      <w:r>
        <w:rPr>
          <w:spacing w:val="-3"/>
          <w:w w:val="105"/>
          <w:sz w:val="13"/>
        </w:rPr>
        <w:t>114;</w:t>
      </w:r>
      <w:r>
        <w:rPr>
          <w:spacing w:val="5"/>
          <w:w w:val="105"/>
          <w:sz w:val="13"/>
        </w:rPr>
        <w:t> </w:t>
      </w:r>
      <w:r>
        <w:rPr>
          <w:i/>
          <w:w w:val="105"/>
          <w:sz w:val="13"/>
        </w:rPr>
        <w:t>Intestacy</w:t>
      </w:r>
      <w:r>
        <w:rPr>
          <w:i/>
          <w:spacing w:val="4"/>
          <w:w w:val="105"/>
          <w:sz w:val="13"/>
        </w:rPr>
        <w:t> </w:t>
      </w:r>
      <w:r>
        <w:rPr>
          <w:i/>
          <w:w w:val="105"/>
          <w:sz w:val="13"/>
        </w:rPr>
        <w:t>Act</w:t>
      </w:r>
      <w:r>
        <w:rPr>
          <w:i/>
          <w:spacing w:val="3"/>
          <w:w w:val="105"/>
          <w:sz w:val="13"/>
        </w:rPr>
        <w:t> </w:t>
      </w:r>
      <w:r>
        <w:rPr>
          <w:i/>
          <w:spacing w:val="-3"/>
          <w:w w:val="105"/>
          <w:sz w:val="13"/>
        </w:rPr>
        <w:t>2010</w:t>
      </w:r>
      <w:r>
        <w:rPr>
          <w:i/>
          <w:spacing w:val="5"/>
          <w:w w:val="105"/>
          <w:sz w:val="13"/>
        </w:rPr>
        <w:t> </w:t>
      </w:r>
      <w:r>
        <w:rPr>
          <w:w w:val="105"/>
          <w:sz w:val="13"/>
        </w:rPr>
        <w:t>(Tas)</w:t>
      </w:r>
      <w:r>
        <w:rPr>
          <w:spacing w:val="5"/>
          <w:w w:val="105"/>
          <w:sz w:val="13"/>
        </w:rPr>
        <w:t> </w:t>
      </w:r>
      <w:r>
        <w:rPr>
          <w:w w:val="105"/>
          <w:sz w:val="13"/>
        </w:rPr>
        <w:t>s</w:t>
      </w:r>
      <w:r>
        <w:rPr>
          <w:spacing w:val="5"/>
          <w:w w:val="105"/>
          <w:sz w:val="13"/>
        </w:rPr>
        <w:t> </w:t>
      </w:r>
      <w:r>
        <w:rPr>
          <w:w w:val="105"/>
          <w:sz w:val="13"/>
        </w:rPr>
        <w:t>15.</w:t>
      </w:r>
    </w:p>
    <w:p>
      <w:pPr>
        <w:pStyle w:val="ListParagraph"/>
        <w:numPr>
          <w:ilvl w:val="0"/>
          <w:numId w:val="65"/>
        </w:numPr>
        <w:tabs>
          <w:tab w:pos="2381" w:val="left" w:leader="none"/>
          <w:tab w:pos="2382" w:val="left" w:leader="none"/>
        </w:tabs>
        <w:spacing w:line="240" w:lineRule="auto" w:before="1" w:after="0"/>
        <w:ind w:left="2381" w:right="1845" w:hanging="794"/>
        <w:jc w:val="left"/>
        <w:rPr>
          <w:sz w:val="13"/>
        </w:rPr>
      </w:pPr>
      <w:r>
        <w:rPr>
          <w:w w:val="105"/>
          <w:sz w:val="13"/>
        </w:rPr>
        <w:t>Submissions </w:t>
      </w:r>
      <w:r>
        <w:rPr>
          <w:spacing w:val="-3"/>
          <w:w w:val="105"/>
          <w:sz w:val="13"/>
        </w:rPr>
        <w:t>14 </w:t>
      </w:r>
      <w:r>
        <w:rPr>
          <w:w w:val="105"/>
          <w:sz w:val="13"/>
        </w:rPr>
        <w:t>(Commercial Bar </w:t>
      </w:r>
      <w:r>
        <w:rPr>
          <w:spacing w:val="2"/>
          <w:w w:val="105"/>
          <w:sz w:val="13"/>
        </w:rPr>
        <w:t>Association), </w:t>
      </w:r>
      <w:r>
        <w:rPr>
          <w:w w:val="105"/>
          <w:sz w:val="13"/>
        </w:rPr>
        <w:t>although the Commercial Bar Association expressed reservations about whether dividing the estate equally between the parties would produce a just outcome; </w:t>
      </w:r>
      <w:r>
        <w:rPr>
          <w:spacing w:val="-3"/>
          <w:w w:val="105"/>
          <w:sz w:val="13"/>
        </w:rPr>
        <w:t>19  </w:t>
      </w:r>
      <w:r>
        <w:rPr>
          <w:spacing w:val="2"/>
          <w:w w:val="105"/>
          <w:sz w:val="13"/>
        </w:rPr>
        <w:t>(Association </w:t>
      </w:r>
      <w:r>
        <w:rPr>
          <w:w w:val="105"/>
          <w:sz w:val="13"/>
        </w:rPr>
        <w:t>of Independent Retirees); 25 </w:t>
      </w:r>
      <w:r>
        <w:rPr>
          <w:spacing w:val="2"/>
          <w:w w:val="105"/>
          <w:sz w:val="13"/>
        </w:rPr>
        <w:t>(Moores </w:t>
      </w:r>
      <w:r>
        <w:rPr>
          <w:w w:val="105"/>
          <w:sz w:val="13"/>
        </w:rPr>
        <w:t>Legal);    </w:t>
      </w:r>
      <w:r>
        <w:rPr>
          <w:spacing w:val="2"/>
          <w:w w:val="105"/>
          <w:sz w:val="13"/>
        </w:rPr>
        <w:t>30b</w:t>
      </w:r>
      <w:r>
        <w:rPr>
          <w:spacing w:val="5"/>
          <w:w w:val="105"/>
          <w:sz w:val="13"/>
        </w:rPr>
        <w:t> </w:t>
      </w:r>
      <w:r>
        <w:rPr>
          <w:spacing w:val="3"/>
          <w:w w:val="105"/>
          <w:sz w:val="13"/>
        </w:rPr>
        <w:t>(Law</w:t>
      </w:r>
      <w:r>
        <w:rPr>
          <w:spacing w:val="5"/>
          <w:w w:val="105"/>
          <w:sz w:val="13"/>
        </w:rPr>
        <w:t> </w:t>
      </w:r>
      <w:r>
        <w:rPr>
          <w:w w:val="105"/>
          <w:sz w:val="13"/>
        </w:rPr>
        <w:t>Institute</w:t>
      </w:r>
      <w:r>
        <w:rPr>
          <w:spacing w:val="5"/>
          <w:w w:val="105"/>
          <w:sz w:val="13"/>
        </w:rPr>
        <w:t> </w:t>
      </w:r>
      <w:r>
        <w:rPr>
          <w:w w:val="105"/>
          <w:sz w:val="13"/>
        </w:rPr>
        <w:t>of</w:t>
      </w:r>
      <w:r>
        <w:rPr>
          <w:spacing w:val="5"/>
          <w:w w:val="105"/>
          <w:sz w:val="13"/>
        </w:rPr>
        <w:t> </w:t>
      </w:r>
      <w:r>
        <w:rPr>
          <w:spacing w:val="2"/>
          <w:w w:val="105"/>
          <w:sz w:val="13"/>
        </w:rPr>
        <w:t>Victoria);</w:t>
      </w:r>
      <w:r>
        <w:rPr>
          <w:spacing w:val="5"/>
          <w:w w:val="105"/>
          <w:sz w:val="13"/>
        </w:rPr>
        <w:t> </w:t>
      </w:r>
      <w:r>
        <w:rPr>
          <w:w w:val="105"/>
          <w:sz w:val="13"/>
        </w:rPr>
        <w:t>31</w:t>
      </w:r>
      <w:r>
        <w:rPr>
          <w:spacing w:val="5"/>
          <w:w w:val="105"/>
          <w:sz w:val="13"/>
        </w:rPr>
        <w:t> </w:t>
      </w:r>
      <w:r>
        <w:rPr>
          <w:w w:val="105"/>
          <w:sz w:val="13"/>
        </w:rPr>
        <w:t>(Seniors</w:t>
      </w:r>
      <w:r>
        <w:rPr>
          <w:spacing w:val="5"/>
          <w:w w:val="105"/>
          <w:sz w:val="13"/>
        </w:rPr>
        <w:t> </w:t>
      </w:r>
      <w:r>
        <w:rPr>
          <w:w w:val="105"/>
          <w:sz w:val="13"/>
        </w:rPr>
        <w:t>Rights</w:t>
      </w:r>
      <w:r>
        <w:rPr>
          <w:spacing w:val="6"/>
          <w:w w:val="105"/>
          <w:sz w:val="13"/>
        </w:rPr>
        <w:t> </w:t>
      </w:r>
      <w:r>
        <w:rPr>
          <w:spacing w:val="2"/>
          <w:w w:val="105"/>
          <w:sz w:val="13"/>
        </w:rPr>
        <w:t>Victoria);</w:t>
      </w:r>
      <w:r>
        <w:rPr>
          <w:spacing w:val="5"/>
          <w:w w:val="105"/>
          <w:sz w:val="13"/>
        </w:rPr>
        <w:t> </w:t>
      </w:r>
      <w:r>
        <w:rPr>
          <w:w w:val="105"/>
          <w:sz w:val="13"/>
        </w:rPr>
        <w:t>36</w:t>
      </w:r>
      <w:r>
        <w:rPr>
          <w:spacing w:val="5"/>
          <w:w w:val="105"/>
          <w:sz w:val="13"/>
        </w:rPr>
        <w:t> </w:t>
      </w:r>
      <w:r>
        <w:rPr>
          <w:spacing w:val="3"/>
          <w:w w:val="105"/>
          <w:sz w:val="13"/>
        </w:rPr>
        <w:t>(Law</w:t>
      </w:r>
      <w:r>
        <w:rPr>
          <w:spacing w:val="5"/>
          <w:w w:val="105"/>
          <w:sz w:val="13"/>
        </w:rPr>
        <w:t> </w:t>
      </w:r>
      <w:r>
        <w:rPr>
          <w:w w:val="105"/>
          <w:sz w:val="13"/>
        </w:rPr>
        <w:t>Society</w:t>
      </w:r>
      <w:r>
        <w:rPr>
          <w:spacing w:val="5"/>
          <w:w w:val="105"/>
          <w:sz w:val="13"/>
        </w:rPr>
        <w:t> </w:t>
      </w:r>
      <w:r>
        <w:rPr>
          <w:w w:val="105"/>
          <w:sz w:val="13"/>
        </w:rPr>
        <w:t>of</w:t>
      </w:r>
      <w:r>
        <w:rPr>
          <w:spacing w:val="5"/>
          <w:w w:val="105"/>
          <w:sz w:val="13"/>
        </w:rPr>
        <w:t> </w:t>
      </w:r>
      <w:r>
        <w:rPr>
          <w:w w:val="105"/>
          <w:sz w:val="13"/>
        </w:rPr>
        <w:t>New</w:t>
      </w:r>
      <w:r>
        <w:rPr>
          <w:spacing w:val="5"/>
          <w:w w:val="105"/>
          <w:sz w:val="13"/>
        </w:rPr>
        <w:t> </w:t>
      </w:r>
      <w:r>
        <w:rPr>
          <w:w w:val="105"/>
          <w:sz w:val="13"/>
        </w:rPr>
        <w:t>South</w:t>
      </w:r>
      <w:r>
        <w:rPr>
          <w:spacing w:val="5"/>
          <w:w w:val="105"/>
          <w:sz w:val="13"/>
        </w:rPr>
        <w:t> </w:t>
      </w:r>
      <w:r>
        <w:rPr>
          <w:w w:val="105"/>
          <w:sz w:val="13"/>
        </w:rPr>
        <w:t>Wales);</w:t>
      </w:r>
      <w:r>
        <w:rPr>
          <w:spacing w:val="6"/>
          <w:w w:val="105"/>
          <w:sz w:val="13"/>
        </w:rPr>
        <w:t> </w:t>
      </w:r>
      <w:r>
        <w:rPr>
          <w:w w:val="105"/>
          <w:sz w:val="13"/>
        </w:rPr>
        <w:t>40</w:t>
      </w:r>
      <w:r>
        <w:rPr>
          <w:spacing w:val="5"/>
          <w:w w:val="105"/>
          <w:sz w:val="13"/>
        </w:rPr>
        <w:t> </w:t>
      </w:r>
      <w:r>
        <w:rPr>
          <w:w w:val="105"/>
          <w:sz w:val="13"/>
        </w:rPr>
        <w:t>(Janice</w:t>
      </w:r>
      <w:r>
        <w:rPr>
          <w:spacing w:val="5"/>
          <w:w w:val="105"/>
          <w:sz w:val="13"/>
        </w:rPr>
        <w:t> </w:t>
      </w:r>
      <w:r>
        <w:rPr>
          <w:w w:val="105"/>
          <w:sz w:val="13"/>
        </w:rPr>
        <w:t>Brownfoot).</w:t>
      </w:r>
    </w:p>
    <w:p>
      <w:pPr>
        <w:pStyle w:val="ListParagraph"/>
        <w:numPr>
          <w:ilvl w:val="0"/>
          <w:numId w:val="65"/>
        </w:numPr>
        <w:tabs>
          <w:tab w:pos="2381" w:val="left" w:leader="none"/>
          <w:tab w:pos="2382" w:val="left" w:leader="none"/>
        </w:tabs>
        <w:spacing w:line="240" w:lineRule="auto" w:before="4" w:after="0"/>
        <w:ind w:left="2381" w:right="0" w:hanging="794"/>
        <w:jc w:val="left"/>
        <w:rPr>
          <w:sz w:val="13"/>
        </w:rPr>
      </w:pPr>
      <w:r>
        <w:rPr>
          <w:w w:val="105"/>
          <w:sz w:val="13"/>
        </w:rPr>
        <w:t>Submission </w:t>
      </w:r>
      <w:r>
        <w:rPr>
          <w:spacing w:val="-3"/>
          <w:w w:val="105"/>
          <w:sz w:val="13"/>
        </w:rPr>
        <w:t>14 </w:t>
      </w:r>
      <w:r>
        <w:rPr>
          <w:w w:val="105"/>
          <w:sz w:val="13"/>
        </w:rPr>
        <w:t>(Commercial Bar</w:t>
      </w:r>
      <w:r>
        <w:rPr>
          <w:spacing w:val="21"/>
          <w:w w:val="105"/>
          <w:sz w:val="13"/>
        </w:rPr>
        <w:t> </w:t>
      </w:r>
      <w:r>
        <w:rPr>
          <w:spacing w:val="2"/>
          <w:w w:val="105"/>
          <w:sz w:val="13"/>
        </w:rPr>
        <w:t>Association).</w:t>
      </w:r>
    </w:p>
    <w:p>
      <w:pPr>
        <w:pStyle w:val="ListParagraph"/>
        <w:numPr>
          <w:ilvl w:val="0"/>
          <w:numId w:val="65"/>
        </w:numPr>
        <w:tabs>
          <w:tab w:pos="2381" w:val="left" w:leader="none"/>
          <w:tab w:pos="2382" w:val="left" w:leader="none"/>
        </w:tabs>
        <w:spacing w:line="240" w:lineRule="auto" w:before="1" w:after="0"/>
        <w:ind w:left="2381" w:right="0" w:hanging="794"/>
        <w:jc w:val="left"/>
        <w:rPr>
          <w:sz w:val="13"/>
        </w:rPr>
      </w:pPr>
      <w:r>
        <w:rPr>
          <w:w w:val="105"/>
          <w:sz w:val="13"/>
        </w:rPr>
        <w:t>Submission 36 </w:t>
      </w:r>
      <w:r>
        <w:rPr>
          <w:spacing w:val="3"/>
          <w:w w:val="105"/>
          <w:sz w:val="13"/>
        </w:rPr>
        <w:t>(Law </w:t>
      </w:r>
      <w:r>
        <w:rPr>
          <w:w w:val="105"/>
          <w:sz w:val="13"/>
        </w:rPr>
        <w:t>Society of New South</w:t>
      </w:r>
      <w:r>
        <w:rPr>
          <w:spacing w:val="29"/>
          <w:w w:val="105"/>
          <w:sz w:val="13"/>
        </w:rPr>
        <w:t> </w:t>
      </w:r>
      <w:r>
        <w:rPr>
          <w:w w:val="105"/>
          <w:sz w:val="13"/>
        </w:rPr>
        <w:t>Wales).</w:t>
      </w:r>
    </w:p>
    <w:p>
      <w:pPr>
        <w:pStyle w:val="ListParagraph"/>
        <w:numPr>
          <w:ilvl w:val="0"/>
          <w:numId w:val="65"/>
        </w:numPr>
        <w:tabs>
          <w:tab w:pos="2381" w:val="left" w:leader="none"/>
          <w:tab w:pos="2382" w:val="left" w:leader="none"/>
        </w:tabs>
        <w:spacing w:line="240" w:lineRule="auto" w:before="2" w:after="0"/>
        <w:ind w:left="2381" w:right="1867" w:hanging="794"/>
        <w:jc w:val="left"/>
        <w:rPr>
          <w:sz w:val="13"/>
        </w:rPr>
      </w:pPr>
      <w:r>
        <w:rPr>
          <w:sz w:val="13"/>
        </w:rPr>
        <w:t>Submissions 8 (Patricia Strachan); 26 </w:t>
      </w:r>
      <w:r>
        <w:rPr>
          <w:spacing w:val="2"/>
          <w:sz w:val="13"/>
        </w:rPr>
        <w:t>(Rigby  </w:t>
      </w:r>
      <w:r>
        <w:rPr>
          <w:sz w:val="13"/>
        </w:rPr>
        <w:t>Cooke  </w:t>
      </w:r>
      <w:r>
        <w:rPr>
          <w:spacing w:val="2"/>
          <w:sz w:val="13"/>
        </w:rPr>
        <w:t>Lawyers);  </w:t>
      </w:r>
      <w:r>
        <w:rPr>
          <w:sz w:val="13"/>
        </w:rPr>
        <w:t>33  (State  Trustees  Limited);  39  (Carolyn  Sparke  SC),  although  she  stated that</w:t>
      </w:r>
      <w:r>
        <w:rPr>
          <w:spacing w:val="20"/>
          <w:sz w:val="13"/>
        </w:rPr>
        <w:t> </w:t>
      </w:r>
      <w:r>
        <w:rPr>
          <w:sz w:val="13"/>
        </w:rPr>
        <w:t>she</w:t>
      </w:r>
      <w:r>
        <w:rPr>
          <w:spacing w:val="20"/>
          <w:sz w:val="13"/>
        </w:rPr>
        <w:t> </w:t>
      </w:r>
      <w:r>
        <w:rPr>
          <w:sz w:val="13"/>
        </w:rPr>
        <w:t>did</w:t>
      </w:r>
      <w:r>
        <w:rPr>
          <w:spacing w:val="21"/>
          <w:sz w:val="13"/>
        </w:rPr>
        <w:t> </w:t>
      </w:r>
      <w:r>
        <w:rPr>
          <w:sz w:val="13"/>
        </w:rPr>
        <w:t>not</w:t>
      </w:r>
      <w:r>
        <w:rPr>
          <w:spacing w:val="20"/>
          <w:sz w:val="13"/>
        </w:rPr>
        <w:t> </w:t>
      </w:r>
      <w:r>
        <w:rPr>
          <w:sz w:val="13"/>
        </w:rPr>
        <w:t>have</w:t>
      </w:r>
      <w:r>
        <w:rPr>
          <w:spacing w:val="21"/>
          <w:sz w:val="13"/>
        </w:rPr>
        <w:t> </w:t>
      </w:r>
      <w:r>
        <w:rPr>
          <w:sz w:val="13"/>
        </w:rPr>
        <w:t>strong</w:t>
      </w:r>
      <w:r>
        <w:rPr>
          <w:spacing w:val="20"/>
          <w:sz w:val="13"/>
        </w:rPr>
        <w:t> </w:t>
      </w:r>
      <w:r>
        <w:rPr>
          <w:sz w:val="13"/>
        </w:rPr>
        <w:t>views</w:t>
      </w:r>
      <w:r>
        <w:rPr>
          <w:spacing w:val="21"/>
          <w:sz w:val="13"/>
        </w:rPr>
        <w:t> </w:t>
      </w:r>
      <w:r>
        <w:rPr>
          <w:sz w:val="13"/>
        </w:rPr>
        <w:t>about</w:t>
      </w:r>
      <w:r>
        <w:rPr>
          <w:spacing w:val="20"/>
          <w:sz w:val="13"/>
        </w:rPr>
        <w:t> </w:t>
      </w:r>
      <w:r>
        <w:rPr>
          <w:sz w:val="13"/>
        </w:rPr>
        <w:t>this</w:t>
      </w:r>
      <w:r>
        <w:rPr>
          <w:spacing w:val="21"/>
          <w:sz w:val="13"/>
        </w:rPr>
        <w:t> </w:t>
      </w:r>
      <w:r>
        <w:rPr>
          <w:sz w:val="13"/>
        </w:rPr>
        <w:t>and</w:t>
      </w:r>
      <w:r>
        <w:rPr>
          <w:spacing w:val="20"/>
          <w:sz w:val="13"/>
        </w:rPr>
        <w:t> </w:t>
      </w:r>
      <w:r>
        <w:rPr>
          <w:sz w:val="13"/>
        </w:rPr>
        <w:t>could</w:t>
      </w:r>
      <w:r>
        <w:rPr>
          <w:spacing w:val="20"/>
          <w:sz w:val="13"/>
        </w:rPr>
        <w:t> </w:t>
      </w:r>
      <w:r>
        <w:rPr>
          <w:sz w:val="13"/>
        </w:rPr>
        <w:t>see</w:t>
      </w:r>
      <w:r>
        <w:rPr>
          <w:spacing w:val="21"/>
          <w:sz w:val="13"/>
        </w:rPr>
        <w:t> </w:t>
      </w:r>
      <w:r>
        <w:rPr>
          <w:sz w:val="13"/>
        </w:rPr>
        <w:t>some</w:t>
      </w:r>
      <w:r>
        <w:rPr>
          <w:spacing w:val="20"/>
          <w:sz w:val="13"/>
        </w:rPr>
        <w:t> </w:t>
      </w:r>
      <w:r>
        <w:rPr>
          <w:sz w:val="13"/>
        </w:rPr>
        <w:t>merit</w:t>
      </w:r>
      <w:r>
        <w:rPr>
          <w:spacing w:val="21"/>
          <w:sz w:val="13"/>
        </w:rPr>
        <w:t> </w:t>
      </w:r>
      <w:r>
        <w:rPr>
          <w:sz w:val="13"/>
        </w:rPr>
        <w:t>in</w:t>
      </w:r>
      <w:r>
        <w:rPr>
          <w:spacing w:val="20"/>
          <w:sz w:val="13"/>
        </w:rPr>
        <w:t> </w:t>
      </w:r>
      <w:r>
        <w:rPr>
          <w:sz w:val="13"/>
        </w:rPr>
        <w:t>allowing</w:t>
      </w:r>
      <w:r>
        <w:rPr>
          <w:spacing w:val="21"/>
          <w:sz w:val="13"/>
        </w:rPr>
        <w:t> </w:t>
      </w:r>
      <w:r>
        <w:rPr>
          <w:sz w:val="13"/>
        </w:rPr>
        <w:t>for</w:t>
      </w:r>
      <w:r>
        <w:rPr>
          <w:spacing w:val="20"/>
          <w:sz w:val="13"/>
        </w:rPr>
        <w:t> </w:t>
      </w:r>
      <w:r>
        <w:rPr>
          <w:sz w:val="13"/>
        </w:rPr>
        <w:t>distribution</w:t>
      </w:r>
      <w:r>
        <w:rPr>
          <w:spacing w:val="21"/>
          <w:sz w:val="13"/>
        </w:rPr>
        <w:t> </w:t>
      </w:r>
      <w:r>
        <w:rPr>
          <w:sz w:val="13"/>
        </w:rPr>
        <w:t>agreements</w:t>
      </w:r>
      <w:r>
        <w:rPr>
          <w:spacing w:val="20"/>
          <w:sz w:val="13"/>
        </w:rPr>
        <w:t> </w:t>
      </w:r>
      <w:r>
        <w:rPr>
          <w:sz w:val="13"/>
        </w:rPr>
        <w:t>and</w:t>
      </w:r>
      <w:r>
        <w:rPr>
          <w:spacing w:val="20"/>
          <w:sz w:val="13"/>
        </w:rPr>
        <w:t> </w:t>
      </w:r>
      <w:r>
        <w:rPr>
          <w:sz w:val="13"/>
        </w:rPr>
        <w:t>distribution</w:t>
      </w:r>
      <w:r>
        <w:rPr>
          <w:spacing w:val="21"/>
          <w:sz w:val="13"/>
        </w:rPr>
        <w:t> </w:t>
      </w:r>
      <w:r>
        <w:rPr>
          <w:sz w:val="13"/>
        </w:rPr>
        <w:t>orders.</w:t>
      </w:r>
    </w:p>
    <w:p>
      <w:pPr>
        <w:pStyle w:val="ListParagraph"/>
        <w:numPr>
          <w:ilvl w:val="0"/>
          <w:numId w:val="65"/>
        </w:numPr>
        <w:tabs>
          <w:tab w:pos="2381" w:val="left" w:leader="none"/>
          <w:tab w:pos="2382" w:val="left" w:leader="none"/>
        </w:tabs>
        <w:spacing w:line="240" w:lineRule="auto" w:before="2" w:after="0"/>
        <w:ind w:left="2381" w:right="0" w:hanging="794"/>
        <w:jc w:val="left"/>
        <w:rPr>
          <w:sz w:val="13"/>
        </w:rPr>
      </w:pPr>
      <w:r>
        <w:rPr>
          <w:w w:val="105"/>
          <w:sz w:val="13"/>
        </w:rPr>
        <w:t>Submissions 33 (State Trustees Limited); 39 (Carolyn Sparke</w:t>
      </w:r>
      <w:r>
        <w:rPr>
          <w:spacing w:val="6"/>
          <w:w w:val="105"/>
          <w:sz w:val="13"/>
        </w:rPr>
        <w:t> </w:t>
      </w:r>
      <w:r>
        <w:rPr>
          <w:w w:val="105"/>
          <w:sz w:val="13"/>
        </w:rPr>
        <w:t>SC).</w:t>
      </w:r>
    </w:p>
    <w:p>
      <w:pPr>
        <w:pStyle w:val="ListParagraph"/>
        <w:numPr>
          <w:ilvl w:val="0"/>
          <w:numId w:val="65"/>
        </w:numPr>
        <w:tabs>
          <w:tab w:pos="2381" w:val="left" w:leader="none"/>
          <w:tab w:pos="2382" w:val="left" w:leader="none"/>
        </w:tabs>
        <w:spacing w:line="240" w:lineRule="auto" w:before="2" w:after="0"/>
        <w:ind w:left="2381" w:right="0" w:hanging="794"/>
        <w:jc w:val="left"/>
        <w:rPr>
          <w:sz w:val="13"/>
        </w:rPr>
      </w:pPr>
      <w:r>
        <w:rPr>
          <w:w w:val="105"/>
          <w:sz w:val="13"/>
        </w:rPr>
        <w:t>Submission 26 </w:t>
      </w:r>
      <w:r>
        <w:rPr>
          <w:spacing w:val="2"/>
          <w:w w:val="105"/>
          <w:sz w:val="13"/>
        </w:rPr>
        <w:t>(Rigby </w:t>
      </w:r>
      <w:r>
        <w:rPr>
          <w:w w:val="105"/>
          <w:sz w:val="13"/>
        </w:rPr>
        <w:t>Cooke</w:t>
      </w:r>
      <w:r>
        <w:rPr>
          <w:spacing w:val="16"/>
          <w:w w:val="105"/>
          <w:sz w:val="13"/>
        </w:rPr>
        <w:t> </w:t>
      </w:r>
      <w:r>
        <w:rPr>
          <w:spacing w:val="2"/>
          <w:w w:val="105"/>
          <w:sz w:val="13"/>
        </w:rPr>
        <w:t>Lawyers).</w:t>
      </w:r>
    </w:p>
    <w:p>
      <w:pPr>
        <w:pStyle w:val="ListParagraph"/>
        <w:numPr>
          <w:ilvl w:val="0"/>
          <w:numId w:val="65"/>
        </w:numPr>
        <w:tabs>
          <w:tab w:pos="2381" w:val="left" w:leader="none"/>
          <w:tab w:pos="2382" w:val="left" w:leader="none"/>
        </w:tabs>
        <w:spacing w:line="240" w:lineRule="auto" w:before="1" w:after="0"/>
        <w:ind w:left="2381" w:right="0" w:hanging="794"/>
        <w:jc w:val="left"/>
        <w:rPr>
          <w:sz w:val="13"/>
        </w:rPr>
      </w:pPr>
      <w:r>
        <w:rPr>
          <w:w w:val="105"/>
          <w:sz w:val="13"/>
        </w:rPr>
        <w:t>Submissions</w:t>
      </w:r>
      <w:r>
        <w:rPr>
          <w:spacing w:val="4"/>
          <w:w w:val="105"/>
          <w:sz w:val="13"/>
        </w:rPr>
        <w:t> </w:t>
      </w:r>
      <w:r>
        <w:rPr>
          <w:spacing w:val="-3"/>
          <w:w w:val="105"/>
          <w:sz w:val="13"/>
        </w:rPr>
        <w:t>14</w:t>
      </w:r>
      <w:r>
        <w:rPr>
          <w:spacing w:val="5"/>
          <w:w w:val="105"/>
          <w:sz w:val="13"/>
        </w:rPr>
        <w:t> </w:t>
      </w:r>
      <w:r>
        <w:rPr>
          <w:w w:val="105"/>
          <w:sz w:val="13"/>
        </w:rPr>
        <w:t>(Commercial</w:t>
      </w:r>
      <w:r>
        <w:rPr>
          <w:spacing w:val="5"/>
          <w:w w:val="105"/>
          <w:sz w:val="13"/>
        </w:rPr>
        <w:t> </w:t>
      </w:r>
      <w:r>
        <w:rPr>
          <w:w w:val="105"/>
          <w:sz w:val="13"/>
        </w:rPr>
        <w:t>Bar</w:t>
      </w:r>
      <w:r>
        <w:rPr>
          <w:spacing w:val="5"/>
          <w:w w:val="105"/>
          <w:sz w:val="13"/>
        </w:rPr>
        <w:t> </w:t>
      </w:r>
      <w:r>
        <w:rPr>
          <w:spacing w:val="2"/>
          <w:w w:val="105"/>
          <w:sz w:val="13"/>
        </w:rPr>
        <w:t>Association);</w:t>
      </w:r>
      <w:r>
        <w:rPr>
          <w:spacing w:val="4"/>
          <w:w w:val="105"/>
          <w:sz w:val="13"/>
        </w:rPr>
        <w:t> </w:t>
      </w:r>
      <w:r>
        <w:rPr>
          <w:w w:val="105"/>
          <w:sz w:val="13"/>
        </w:rPr>
        <w:t>26</w:t>
      </w:r>
      <w:r>
        <w:rPr>
          <w:spacing w:val="5"/>
          <w:w w:val="105"/>
          <w:sz w:val="13"/>
        </w:rPr>
        <w:t> </w:t>
      </w:r>
      <w:r>
        <w:rPr>
          <w:spacing w:val="2"/>
          <w:w w:val="105"/>
          <w:sz w:val="13"/>
        </w:rPr>
        <w:t>(Rigby</w:t>
      </w:r>
      <w:r>
        <w:rPr>
          <w:spacing w:val="5"/>
          <w:w w:val="105"/>
          <w:sz w:val="13"/>
        </w:rPr>
        <w:t> </w:t>
      </w:r>
      <w:r>
        <w:rPr>
          <w:w w:val="105"/>
          <w:sz w:val="13"/>
        </w:rPr>
        <w:t>Cooke</w:t>
      </w:r>
      <w:r>
        <w:rPr>
          <w:spacing w:val="5"/>
          <w:w w:val="105"/>
          <w:sz w:val="13"/>
        </w:rPr>
        <w:t> </w:t>
      </w:r>
      <w:r>
        <w:rPr>
          <w:spacing w:val="2"/>
          <w:w w:val="105"/>
          <w:sz w:val="13"/>
        </w:rPr>
        <w:t>Lawyers);</w:t>
      </w:r>
      <w:r>
        <w:rPr>
          <w:spacing w:val="4"/>
          <w:w w:val="105"/>
          <w:sz w:val="13"/>
        </w:rPr>
        <w:t> </w:t>
      </w:r>
      <w:r>
        <w:rPr>
          <w:w w:val="105"/>
          <w:sz w:val="13"/>
        </w:rPr>
        <w:t>40</w:t>
      </w:r>
      <w:r>
        <w:rPr>
          <w:spacing w:val="5"/>
          <w:w w:val="105"/>
          <w:sz w:val="13"/>
        </w:rPr>
        <w:t> </w:t>
      </w:r>
      <w:r>
        <w:rPr>
          <w:w w:val="105"/>
          <w:sz w:val="13"/>
        </w:rPr>
        <w:t>(Janice</w:t>
      </w:r>
      <w:r>
        <w:rPr>
          <w:spacing w:val="5"/>
          <w:w w:val="105"/>
          <w:sz w:val="13"/>
        </w:rPr>
        <w:t> </w:t>
      </w:r>
      <w:r>
        <w:rPr>
          <w:w w:val="105"/>
          <w:sz w:val="13"/>
        </w:rPr>
        <w:t>Brownfoot).</w:t>
      </w:r>
    </w:p>
    <w:p>
      <w:pPr>
        <w:pStyle w:val="ListParagraph"/>
        <w:numPr>
          <w:ilvl w:val="0"/>
          <w:numId w:val="65"/>
        </w:numPr>
        <w:tabs>
          <w:tab w:pos="2381" w:val="left" w:leader="none"/>
          <w:tab w:pos="2382" w:val="left" w:leader="none"/>
        </w:tabs>
        <w:spacing w:line="132" w:lineRule="exact" w:before="1" w:after="0"/>
        <w:ind w:left="2381" w:right="0" w:hanging="794"/>
        <w:jc w:val="left"/>
        <w:rPr>
          <w:sz w:val="13"/>
        </w:rPr>
      </w:pPr>
      <w:r>
        <w:rPr>
          <w:w w:val="105"/>
          <w:sz w:val="13"/>
        </w:rPr>
        <w:t>Submission 25 </w:t>
      </w:r>
      <w:r>
        <w:rPr>
          <w:spacing w:val="2"/>
          <w:w w:val="105"/>
          <w:sz w:val="13"/>
        </w:rPr>
        <w:t>(Moores</w:t>
      </w:r>
      <w:r>
        <w:rPr>
          <w:spacing w:val="13"/>
          <w:w w:val="105"/>
          <w:sz w:val="13"/>
        </w:rPr>
        <w:t> </w:t>
      </w:r>
      <w:r>
        <w:rPr>
          <w:w w:val="105"/>
          <w:sz w:val="13"/>
        </w:rPr>
        <w:t>Legal).</w:t>
      </w:r>
    </w:p>
    <w:p>
      <w:pPr>
        <w:pStyle w:val="ListParagraph"/>
        <w:numPr>
          <w:ilvl w:val="0"/>
          <w:numId w:val="65"/>
        </w:numPr>
        <w:tabs>
          <w:tab w:pos="2381" w:val="left" w:leader="none"/>
          <w:tab w:pos="2382" w:val="left" w:leader="none"/>
          <w:tab w:pos="11243" w:val="right" w:leader="none"/>
        </w:tabs>
        <w:spacing w:line="227" w:lineRule="exact" w:before="0" w:after="0"/>
        <w:ind w:left="2381" w:right="0" w:hanging="794"/>
        <w:jc w:val="left"/>
        <w:rPr>
          <w:b/>
          <w:sz w:val="24"/>
        </w:rPr>
      </w:pPr>
      <w:r>
        <w:rPr>
          <w:w w:val="105"/>
          <w:sz w:val="13"/>
        </w:rPr>
        <w:t>Submission 32 </w:t>
      </w:r>
      <w:r>
        <w:rPr>
          <w:spacing w:val="2"/>
          <w:w w:val="105"/>
          <w:sz w:val="13"/>
        </w:rPr>
        <w:t>(The </w:t>
      </w:r>
      <w:r>
        <w:rPr>
          <w:w w:val="105"/>
          <w:sz w:val="13"/>
        </w:rPr>
        <w:t>Institute of</w:t>
      </w:r>
      <w:r>
        <w:rPr>
          <w:spacing w:val="21"/>
          <w:w w:val="105"/>
          <w:sz w:val="13"/>
        </w:rPr>
        <w:t> </w:t>
      </w:r>
      <w:r>
        <w:rPr>
          <w:w w:val="105"/>
          <w:sz w:val="13"/>
        </w:rPr>
        <w:t>Legal</w:t>
      </w:r>
      <w:r>
        <w:rPr>
          <w:spacing w:val="4"/>
          <w:w w:val="105"/>
          <w:sz w:val="13"/>
        </w:rPr>
        <w:t> </w:t>
      </w:r>
      <w:r>
        <w:rPr>
          <w:w w:val="105"/>
          <w:sz w:val="13"/>
        </w:rPr>
        <w:t>Executives).</w:t>
        <w:tab/>
      </w:r>
      <w:r>
        <w:rPr>
          <w:b/>
          <w:color w:val="EC5A4F"/>
          <w:w w:val="105"/>
          <w:position w:val="-4"/>
          <w:sz w:val="24"/>
        </w:rPr>
        <w:t>79</w:t>
      </w:r>
    </w:p>
    <w:p>
      <w:pPr>
        <w:pStyle w:val="ListParagraph"/>
        <w:numPr>
          <w:ilvl w:val="0"/>
          <w:numId w:val="65"/>
        </w:numPr>
        <w:tabs>
          <w:tab w:pos="2381" w:val="left" w:leader="none"/>
          <w:tab w:pos="2382" w:val="left" w:leader="none"/>
        </w:tabs>
        <w:spacing w:line="120" w:lineRule="exact" w:before="0" w:after="0"/>
        <w:ind w:left="2381" w:right="0" w:hanging="794"/>
        <w:jc w:val="left"/>
        <w:rPr>
          <w:sz w:val="13"/>
        </w:rPr>
      </w:pPr>
      <w:r>
        <w:rPr>
          <w:i/>
          <w:w w:val="105"/>
          <w:sz w:val="13"/>
        </w:rPr>
        <w:t>Duties Act 2000 </w:t>
      </w:r>
      <w:r>
        <w:rPr>
          <w:spacing w:val="2"/>
          <w:w w:val="105"/>
          <w:sz w:val="13"/>
        </w:rPr>
        <w:t>(Vic) </w:t>
      </w:r>
      <w:r>
        <w:rPr>
          <w:w w:val="105"/>
          <w:sz w:val="13"/>
        </w:rPr>
        <w:t>s</w:t>
      </w:r>
      <w:r>
        <w:rPr>
          <w:spacing w:val="19"/>
          <w:w w:val="105"/>
          <w:sz w:val="13"/>
        </w:rPr>
        <w:t> </w:t>
      </w:r>
      <w:r>
        <w:rPr>
          <w:w w:val="105"/>
          <w:sz w:val="13"/>
        </w:rPr>
        <w:t>42.</w:t>
      </w:r>
    </w:p>
    <w:p>
      <w:pPr>
        <w:spacing w:after="0" w:line="120" w:lineRule="exact"/>
        <w:jc w:val="left"/>
        <w:rPr>
          <w:sz w:val="13"/>
        </w:rPr>
        <w:sectPr>
          <w:pgSz w:w="11910" w:h="16840"/>
          <w:pgMar w:header="805" w:footer="0" w:top="1360" w:bottom="280" w:left="0" w:right="0"/>
        </w:sectPr>
      </w:pPr>
    </w:p>
    <w:p>
      <w:pPr>
        <w:pStyle w:val="BodyText"/>
        <w:rPr>
          <w:sz w:val="20"/>
        </w:rPr>
      </w:pPr>
    </w:p>
    <w:p>
      <w:pPr>
        <w:pStyle w:val="BodyText"/>
        <w:spacing w:before="9"/>
        <w:rPr>
          <w:sz w:val="13"/>
        </w:rPr>
      </w:pPr>
    </w:p>
    <w:p>
      <w:pPr>
        <w:pStyle w:val="BodyText"/>
        <w:ind w:left="1222"/>
        <w:rPr>
          <w:sz w:val="20"/>
        </w:rPr>
      </w:pPr>
      <w:r>
        <w:rPr>
          <w:sz w:val="20"/>
        </w:rPr>
        <w:pict>
          <v:group style="width:479.1pt;height:153.550pt;mso-position-horizontal-relative:char;mso-position-vertical-relative:line" coordorigin="0,0" coordsize="9582,3071">
            <v:rect style="position:absolute;left:340;top:0;width:8731;height:3071" filled="true" fillcolor="#fdebea" stroked="false">
              <v:fill type="solid"/>
            </v:rect>
            <v:line style="position:absolute" from="0,751" to="9581,751" stroked="true" strokeweight="2.5pt" strokecolor="#ffffff">
              <v:stroke dashstyle="solid"/>
            </v:line>
            <v:shape style="position:absolute;left:1133;top:987;width:7729;height:1910" type="#_x0000_t202" filled="false" stroked="false">
              <v:textbox inset="0,0,0,0">
                <w:txbxContent>
                  <w:p>
                    <w:pPr>
                      <w:spacing w:line="240" w:lineRule="auto" w:before="0"/>
                      <w:ind w:left="0" w:right="102" w:firstLine="0"/>
                      <w:jc w:val="left"/>
                      <w:rPr>
                        <w:rFonts w:ascii="Lucida Sans"/>
                        <w:i/>
                        <w:sz w:val="21"/>
                      </w:rPr>
                    </w:pPr>
                    <w:r>
                      <w:rPr>
                        <w:w w:val="115"/>
                        <w:sz w:val="21"/>
                      </w:rPr>
                      <w:t>Where the deceased person is survived by multiple partners, but no children or</w:t>
                    </w:r>
                    <w:r>
                      <w:rPr>
                        <w:spacing w:val="-35"/>
                        <w:w w:val="115"/>
                        <w:sz w:val="21"/>
                      </w:rPr>
                      <w:t> </w:t>
                    </w:r>
                    <w:r>
                      <w:rPr>
                        <w:w w:val="115"/>
                        <w:sz w:val="21"/>
                      </w:rPr>
                      <w:t>other</w:t>
                    </w:r>
                    <w:r>
                      <w:rPr>
                        <w:spacing w:val="-34"/>
                        <w:w w:val="115"/>
                        <w:sz w:val="21"/>
                      </w:rPr>
                      <w:t> </w:t>
                    </w:r>
                    <w:r>
                      <w:rPr>
                        <w:w w:val="115"/>
                        <w:sz w:val="21"/>
                      </w:rPr>
                      <w:t>issue</w:t>
                    </w:r>
                    <w:r>
                      <w:rPr>
                        <w:spacing w:val="-34"/>
                        <w:w w:val="115"/>
                        <w:sz w:val="21"/>
                      </w:rPr>
                      <w:t> </w:t>
                    </w:r>
                    <w:r>
                      <w:rPr>
                        <w:w w:val="115"/>
                        <w:sz w:val="21"/>
                      </w:rPr>
                      <w:t>who</w:t>
                    </w:r>
                    <w:r>
                      <w:rPr>
                        <w:spacing w:val="-35"/>
                        <w:w w:val="115"/>
                        <w:sz w:val="21"/>
                      </w:rPr>
                      <w:t> </w:t>
                    </w:r>
                    <w:r>
                      <w:rPr>
                        <w:w w:val="115"/>
                        <w:sz w:val="21"/>
                      </w:rPr>
                      <w:t>are</w:t>
                    </w:r>
                    <w:r>
                      <w:rPr>
                        <w:spacing w:val="-34"/>
                        <w:w w:val="115"/>
                        <w:sz w:val="21"/>
                      </w:rPr>
                      <w:t> </w:t>
                    </w:r>
                    <w:r>
                      <w:rPr>
                        <w:w w:val="115"/>
                        <w:sz w:val="21"/>
                      </w:rPr>
                      <w:t>entitled</w:t>
                    </w:r>
                    <w:r>
                      <w:rPr>
                        <w:spacing w:val="-34"/>
                        <w:w w:val="115"/>
                        <w:sz w:val="21"/>
                      </w:rPr>
                      <w:t> </w:t>
                    </w:r>
                    <w:r>
                      <w:rPr>
                        <w:w w:val="115"/>
                        <w:sz w:val="21"/>
                      </w:rPr>
                      <w:t>to</w:t>
                    </w:r>
                    <w:r>
                      <w:rPr>
                        <w:spacing w:val="-35"/>
                        <w:w w:val="115"/>
                        <w:sz w:val="21"/>
                      </w:rPr>
                      <w:t> </w:t>
                    </w:r>
                    <w:r>
                      <w:rPr>
                        <w:w w:val="115"/>
                        <w:sz w:val="21"/>
                      </w:rPr>
                      <w:t>a</w:t>
                    </w:r>
                    <w:r>
                      <w:rPr>
                        <w:spacing w:val="-34"/>
                        <w:w w:val="115"/>
                        <w:sz w:val="21"/>
                      </w:rPr>
                      <w:t> </w:t>
                    </w:r>
                    <w:r>
                      <w:rPr>
                        <w:w w:val="115"/>
                        <w:sz w:val="21"/>
                      </w:rPr>
                      <w:t>share</w:t>
                    </w:r>
                    <w:r>
                      <w:rPr>
                        <w:spacing w:val="-34"/>
                        <w:w w:val="115"/>
                        <w:sz w:val="21"/>
                      </w:rPr>
                      <w:t> </w:t>
                    </w:r>
                    <w:r>
                      <w:rPr>
                        <w:w w:val="115"/>
                        <w:sz w:val="21"/>
                      </w:rPr>
                      <w:t>on</w:t>
                    </w:r>
                    <w:r>
                      <w:rPr>
                        <w:spacing w:val="-35"/>
                        <w:w w:val="115"/>
                        <w:sz w:val="21"/>
                      </w:rPr>
                      <w:t> </w:t>
                    </w:r>
                    <w:r>
                      <w:rPr>
                        <w:w w:val="115"/>
                        <w:sz w:val="21"/>
                      </w:rPr>
                      <w:t>intestacy,</w:t>
                    </w:r>
                    <w:r>
                      <w:rPr>
                        <w:spacing w:val="-34"/>
                        <w:w w:val="115"/>
                        <w:sz w:val="21"/>
                      </w:rPr>
                      <w:t> </w:t>
                    </w:r>
                    <w:r>
                      <w:rPr>
                        <w:w w:val="115"/>
                        <w:sz w:val="21"/>
                      </w:rPr>
                      <w:t>the</w:t>
                    </w:r>
                    <w:r>
                      <w:rPr>
                        <w:spacing w:val="-34"/>
                        <w:w w:val="115"/>
                        <w:sz w:val="21"/>
                      </w:rPr>
                      <w:t> </w:t>
                    </w:r>
                    <w:r>
                      <w:rPr>
                        <w:rFonts w:ascii="Lucida Sans"/>
                        <w:i/>
                        <w:w w:val="115"/>
                        <w:sz w:val="21"/>
                      </w:rPr>
                      <w:t>Administration</w:t>
                    </w:r>
                    <w:r>
                      <w:rPr>
                        <w:rFonts w:ascii="Lucida Sans"/>
                        <w:i/>
                        <w:spacing w:val="-56"/>
                        <w:w w:val="115"/>
                        <w:sz w:val="21"/>
                      </w:rPr>
                      <w:t> </w:t>
                    </w:r>
                    <w:r>
                      <w:rPr>
                        <w:rFonts w:ascii="Lucida Sans"/>
                        <w:i/>
                        <w:w w:val="115"/>
                        <w:sz w:val="21"/>
                      </w:rPr>
                      <w:t>and</w:t>
                    </w:r>
                  </w:p>
                  <w:p>
                    <w:pPr>
                      <w:spacing w:before="0"/>
                      <w:ind w:left="0" w:right="0" w:firstLine="0"/>
                      <w:jc w:val="left"/>
                      <w:rPr>
                        <w:sz w:val="21"/>
                      </w:rPr>
                    </w:pPr>
                    <w:r>
                      <w:rPr>
                        <w:rFonts w:ascii="Lucida Sans"/>
                        <w:i/>
                        <w:w w:val="110"/>
                        <w:sz w:val="21"/>
                      </w:rPr>
                      <w:t>Probate</w:t>
                    </w:r>
                    <w:r>
                      <w:rPr>
                        <w:rFonts w:ascii="Lucida Sans"/>
                        <w:i/>
                        <w:spacing w:val="-26"/>
                        <w:w w:val="110"/>
                        <w:sz w:val="21"/>
                      </w:rPr>
                      <w:t> </w:t>
                    </w:r>
                    <w:r>
                      <w:rPr>
                        <w:rFonts w:ascii="Lucida Sans"/>
                        <w:i/>
                        <w:w w:val="110"/>
                        <w:sz w:val="21"/>
                      </w:rPr>
                      <w:t>Act</w:t>
                    </w:r>
                    <w:r>
                      <w:rPr>
                        <w:rFonts w:ascii="Lucida Sans"/>
                        <w:i/>
                        <w:spacing w:val="-25"/>
                        <w:w w:val="110"/>
                        <w:sz w:val="21"/>
                      </w:rPr>
                      <w:t> </w:t>
                    </w:r>
                    <w:r>
                      <w:rPr>
                        <w:rFonts w:ascii="Lucida Sans"/>
                        <w:i/>
                        <w:spacing w:val="-4"/>
                        <w:w w:val="110"/>
                        <w:sz w:val="21"/>
                      </w:rPr>
                      <w:t>1958</w:t>
                    </w:r>
                    <w:r>
                      <w:rPr>
                        <w:rFonts w:ascii="Lucida Sans"/>
                        <w:i/>
                        <w:spacing w:val="-26"/>
                        <w:w w:val="110"/>
                        <w:sz w:val="21"/>
                      </w:rPr>
                      <w:t> </w:t>
                    </w:r>
                    <w:r>
                      <w:rPr>
                        <w:w w:val="110"/>
                        <w:sz w:val="21"/>
                      </w:rPr>
                      <w:t>(Vic)</w:t>
                    </w:r>
                    <w:r>
                      <w:rPr>
                        <w:spacing w:val="-4"/>
                        <w:w w:val="110"/>
                        <w:sz w:val="21"/>
                      </w:rPr>
                      <w:t> </w:t>
                    </w:r>
                    <w:r>
                      <w:rPr>
                        <w:w w:val="110"/>
                        <w:sz w:val="21"/>
                      </w:rPr>
                      <w:t>should</w:t>
                    </w:r>
                    <w:r>
                      <w:rPr>
                        <w:spacing w:val="-5"/>
                        <w:w w:val="110"/>
                        <w:sz w:val="21"/>
                      </w:rPr>
                      <w:t> </w:t>
                    </w:r>
                    <w:r>
                      <w:rPr>
                        <w:w w:val="110"/>
                        <w:sz w:val="21"/>
                      </w:rPr>
                      <w:t>provide</w:t>
                    </w:r>
                    <w:r>
                      <w:rPr>
                        <w:spacing w:val="-4"/>
                        <w:w w:val="110"/>
                        <w:sz w:val="21"/>
                      </w:rPr>
                      <w:t> </w:t>
                    </w:r>
                    <w:r>
                      <w:rPr>
                        <w:w w:val="110"/>
                        <w:sz w:val="21"/>
                      </w:rPr>
                      <w:t>for</w:t>
                    </w:r>
                    <w:r>
                      <w:rPr>
                        <w:spacing w:val="-5"/>
                        <w:w w:val="110"/>
                        <w:sz w:val="21"/>
                      </w:rPr>
                      <w:t> </w:t>
                    </w:r>
                    <w:r>
                      <w:rPr>
                        <w:w w:val="110"/>
                        <w:sz w:val="21"/>
                      </w:rPr>
                      <w:t>the</w:t>
                    </w:r>
                    <w:r>
                      <w:rPr>
                        <w:spacing w:val="-4"/>
                        <w:w w:val="110"/>
                        <w:sz w:val="21"/>
                      </w:rPr>
                      <w:t> </w:t>
                    </w:r>
                    <w:r>
                      <w:rPr>
                        <w:w w:val="110"/>
                        <w:sz w:val="21"/>
                      </w:rPr>
                      <w:t>intestate</w:t>
                    </w:r>
                    <w:r>
                      <w:rPr>
                        <w:spacing w:val="-5"/>
                        <w:w w:val="110"/>
                        <w:sz w:val="21"/>
                      </w:rPr>
                      <w:t> </w:t>
                    </w:r>
                    <w:r>
                      <w:rPr>
                        <w:w w:val="110"/>
                        <w:sz w:val="21"/>
                      </w:rPr>
                      <w:t>estate</w:t>
                    </w:r>
                    <w:r>
                      <w:rPr>
                        <w:spacing w:val="-4"/>
                        <w:w w:val="110"/>
                        <w:sz w:val="21"/>
                      </w:rPr>
                      <w:t> </w:t>
                    </w:r>
                    <w:r>
                      <w:rPr>
                        <w:w w:val="110"/>
                        <w:sz w:val="21"/>
                      </w:rPr>
                      <w:t>to</w:t>
                    </w:r>
                    <w:r>
                      <w:rPr>
                        <w:spacing w:val="-5"/>
                        <w:w w:val="110"/>
                        <w:sz w:val="21"/>
                      </w:rPr>
                      <w:t> </w:t>
                    </w:r>
                    <w:r>
                      <w:rPr>
                        <w:w w:val="110"/>
                        <w:sz w:val="21"/>
                      </w:rPr>
                      <w:t>be</w:t>
                    </w:r>
                    <w:r>
                      <w:rPr>
                        <w:spacing w:val="-4"/>
                        <w:w w:val="110"/>
                        <w:sz w:val="21"/>
                      </w:rPr>
                      <w:t> </w:t>
                    </w:r>
                    <w:r>
                      <w:rPr>
                        <w:w w:val="110"/>
                        <w:sz w:val="21"/>
                      </w:rPr>
                      <w:t>distributed:</w:t>
                    </w:r>
                  </w:p>
                  <w:p>
                    <w:pPr>
                      <w:numPr>
                        <w:ilvl w:val="0"/>
                        <w:numId w:val="66"/>
                      </w:numPr>
                      <w:tabs>
                        <w:tab w:pos="341" w:val="left" w:leader="none"/>
                      </w:tabs>
                      <w:spacing w:before="121"/>
                      <w:ind w:left="340" w:right="0" w:hanging="340"/>
                      <w:jc w:val="left"/>
                      <w:rPr>
                        <w:sz w:val="21"/>
                      </w:rPr>
                    </w:pPr>
                    <w:r>
                      <w:rPr>
                        <w:w w:val="115"/>
                        <w:sz w:val="21"/>
                      </w:rPr>
                      <w:t>in accordance with a distribution agreement,</w:t>
                    </w:r>
                    <w:r>
                      <w:rPr>
                        <w:spacing w:val="-2"/>
                        <w:w w:val="115"/>
                        <w:sz w:val="21"/>
                      </w:rPr>
                      <w:t> </w:t>
                    </w:r>
                    <w:r>
                      <w:rPr>
                        <w:w w:val="115"/>
                        <w:sz w:val="21"/>
                      </w:rPr>
                      <w:t>or</w:t>
                    </w:r>
                  </w:p>
                  <w:p>
                    <w:pPr>
                      <w:numPr>
                        <w:ilvl w:val="0"/>
                        <w:numId w:val="66"/>
                      </w:numPr>
                      <w:tabs>
                        <w:tab w:pos="341" w:val="left" w:leader="none"/>
                      </w:tabs>
                      <w:spacing w:before="124"/>
                      <w:ind w:left="340" w:right="0" w:hanging="340"/>
                      <w:jc w:val="left"/>
                      <w:rPr>
                        <w:sz w:val="21"/>
                      </w:rPr>
                    </w:pPr>
                    <w:r>
                      <w:rPr>
                        <w:w w:val="115"/>
                        <w:sz w:val="21"/>
                      </w:rPr>
                      <w:t>in accordance with a distribution </w:t>
                    </w:r>
                    <w:r>
                      <w:rPr>
                        <w:spacing w:val="-3"/>
                        <w:w w:val="115"/>
                        <w:sz w:val="21"/>
                      </w:rPr>
                      <w:t>order,</w:t>
                    </w:r>
                    <w:r>
                      <w:rPr>
                        <w:spacing w:val="-1"/>
                        <w:w w:val="115"/>
                        <w:sz w:val="21"/>
                      </w:rPr>
                      <w:t> </w:t>
                    </w:r>
                    <w:r>
                      <w:rPr>
                        <w:w w:val="115"/>
                        <w:sz w:val="21"/>
                      </w:rPr>
                      <w:t>or</w:t>
                    </w:r>
                  </w:p>
                  <w:p>
                    <w:pPr>
                      <w:numPr>
                        <w:ilvl w:val="0"/>
                        <w:numId w:val="66"/>
                      </w:numPr>
                      <w:tabs>
                        <w:tab w:pos="341" w:val="left" w:leader="none"/>
                      </w:tabs>
                      <w:spacing w:line="252" w:lineRule="exact" w:before="123"/>
                      <w:ind w:left="340" w:right="0" w:hanging="340"/>
                      <w:jc w:val="left"/>
                      <w:rPr>
                        <w:sz w:val="21"/>
                      </w:rPr>
                    </w:pPr>
                    <w:r>
                      <w:rPr>
                        <w:w w:val="115"/>
                        <w:sz w:val="21"/>
                      </w:rPr>
                      <w:t>equally between the</w:t>
                    </w:r>
                    <w:r>
                      <w:rPr>
                        <w:spacing w:val="1"/>
                        <w:w w:val="115"/>
                        <w:sz w:val="21"/>
                      </w:rPr>
                      <w:t> </w:t>
                    </w:r>
                    <w:r>
                      <w:rPr>
                        <w:w w:val="115"/>
                        <w:sz w:val="21"/>
                      </w:rPr>
                      <w:t>partners.</w:t>
                    </w:r>
                  </w:p>
                </w:txbxContent>
              </v:textbox>
              <w10:wrap type="none"/>
            </v:shape>
            <v:shape style="position:absolute;left:566;top:987;width:253;height:249" type="#_x0000_t202" filled="false" stroked="false">
              <v:textbox inset="0,0,0,0">
                <w:txbxContent>
                  <w:p>
                    <w:pPr>
                      <w:spacing w:line="249" w:lineRule="exact" w:before="0"/>
                      <w:ind w:left="0" w:right="0" w:firstLine="0"/>
                      <w:jc w:val="left"/>
                      <w:rPr>
                        <w:sz w:val="21"/>
                      </w:rPr>
                    </w:pPr>
                    <w:r>
                      <w:rPr>
                        <w:w w:val="110"/>
                        <w:sz w:val="21"/>
                      </w:rPr>
                      <w:t>29</w:t>
                    </w:r>
                  </w:p>
                </w:txbxContent>
              </v:textbox>
              <w10:wrap type="none"/>
            </v:shape>
            <v:shape style="position:absolute;left:340;top:0;width:8731;height:726" type="#_x0000_t202" filled="true" fillcolor="#fdebea" stroked="false">
              <v:textbox inset="0,0,0,0">
                <w:txbxContent>
                  <w:p>
                    <w:pPr>
                      <w:spacing w:before="166"/>
                      <w:ind w:left="226" w:right="0" w:firstLine="0"/>
                      <w:jc w:val="left"/>
                      <w:rPr>
                        <w:b/>
                        <w:sz w:val="32"/>
                      </w:rPr>
                    </w:pPr>
                    <w:r>
                      <w:rPr>
                        <w:b/>
                        <w:color w:val="EC5A4F"/>
                        <w:w w:val="110"/>
                        <w:sz w:val="32"/>
                      </w:rPr>
                      <w:t>Recommendation</w:t>
                    </w:r>
                  </w:p>
                </w:txbxContent>
              </v:textbox>
              <v:fill type="solid"/>
              <w10:wrap type="none"/>
            </v:shape>
          </v:group>
        </w:pict>
      </w:r>
      <w:r>
        <w:rPr>
          <w:sz w:val="20"/>
        </w:rPr>
      </w:r>
    </w:p>
    <w:p>
      <w:pPr>
        <w:pStyle w:val="BodyText"/>
        <w:spacing w:before="3"/>
        <w:rPr>
          <w:sz w:val="23"/>
        </w:rPr>
      </w:pPr>
    </w:p>
    <w:p>
      <w:pPr>
        <w:pStyle w:val="Heading6"/>
      </w:pPr>
      <w:r>
        <w:rPr>
          <w:w w:val="115"/>
        </w:rPr>
        <w:t>Where there are children or other issue who are entitled to a share</w:t>
      </w:r>
    </w:p>
    <w:p>
      <w:pPr>
        <w:pStyle w:val="ListParagraph"/>
        <w:numPr>
          <w:ilvl w:val="1"/>
          <w:numId w:val="22"/>
        </w:numPr>
        <w:tabs>
          <w:tab w:pos="2381" w:val="left" w:leader="none"/>
          <w:tab w:pos="2382" w:val="left" w:leader="none"/>
        </w:tabs>
        <w:spacing w:line="242" w:lineRule="auto" w:before="151" w:after="0"/>
        <w:ind w:left="2381" w:right="2014" w:hanging="794"/>
        <w:jc w:val="left"/>
        <w:rPr>
          <w:sz w:val="12"/>
        </w:rPr>
      </w:pPr>
      <w:r>
        <w:rPr>
          <w:spacing w:val="-3"/>
          <w:sz w:val="21"/>
        </w:rPr>
        <w:t>Several submissions </w:t>
      </w:r>
      <w:r>
        <w:rPr>
          <w:sz w:val="21"/>
        </w:rPr>
        <w:t>agreed with the </w:t>
      </w:r>
      <w:r>
        <w:rPr>
          <w:spacing w:val="-3"/>
          <w:sz w:val="21"/>
        </w:rPr>
        <w:t>National Committee that, </w:t>
      </w:r>
      <w:r>
        <w:rPr>
          <w:sz w:val="21"/>
        </w:rPr>
        <w:t>where the deceased person is survived by </w:t>
      </w:r>
      <w:r>
        <w:rPr>
          <w:spacing w:val="-3"/>
          <w:sz w:val="21"/>
        </w:rPr>
        <w:t>multiple </w:t>
      </w:r>
      <w:r>
        <w:rPr>
          <w:sz w:val="21"/>
        </w:rPr>
        <w:t>partners and </w:t>
      </w:r>
      <w:r>
        <w:rPr>
          <w:spacing w:val="-3"/>
          <w:sz w:val="21"/>
        </w:rPr>
        <w:t>children  </w:t>
      </w:r>
      <w:r>
        <w:rPr>
          <w:sz w:val="21"/>
        </w:rPr>
        <w:t>or other issue who </w:t>
      </w:r>
      <w:r>
        <w:rPr>
          <w:spacing w:val="-3"/>
          <w:sz w:val="21"/>
        </w:rPr>
        <w:t>are</w:t>
      </w:r>
      <w:r>
        <w:rPr>
          <w:spacing w:val="41"/>
          <w:sz w:val="21"/>
        </w:rPr>
        <w:t> </w:t>
      </w:r>
      <w:r>
        <w:rPr>
          <w:sz w:val="21"/>
        </w:rPr>
        <w:t>entitled </w:t>
      </w:r>
      <w:r>
        <w:rPr>
          <w:spacing w:val="-3"/>
          <w:sz w:val="21"/>
        </w:rPr>
        <w:t>to  </w:t>
      </w:r>
      <w:r>
        <w:rPr>
          <w:sz w:val="21"/>
        </w:rPr>
        <w:t>a </w:t>
      </w:r>
      <w:r>
        <w:rPr>
          <w:spacing w:val="-4"/>
          <w:sz w:val="21"/>
        </w:rPr>
        <w:t>share, </w:t>
      </w:r>
      <w:r>
        <w:rPr>
          <w:sz w:val="21"/>
        </w:rPr>
        <w:t>each partner should receive their own statutory</w:t>
      </w:r>
      <w:r>
        <w:rPr>
          <w:spacing w:val="5"/>
          <w:sz w:val="21"/>
        </w:rPr>
        <w:t> </w:t>
      </w:r>
      <w:r>
        <w:rPr>
          <w:spacing w:val="-4"/>
          <w:sz w:val="21"/>
        </w:rPr>
        <w:t>legacy.</w:t>
      </w:r>
      <w:r>
        <w:rPr>
          <w:spacing w:val="-4"/>
          <w:position w:val="7"/>
          <w:sz w:val="12"/>
        </w:rPr>
        <w:t>198</w:t>
      </w:r>
    </w:p>
    <w:p>
      <w:pPr>
        <w:pStyle w:val="ListParagraph"/>
        <w:numPr>
          <w:ilvl w:val="1"/>
          <w:numId w:val="22"/>
        </w:numPr>
        <w:tabs>
          <w:tab w:pos="2380" w:val="left" w:leader="none"/>
          <w:tab w:pos="2381" w:val="left" w:leader="none"/>
        </w:tabs>
        <w:spacing w:line="242" w:lineRule="auto" w:before="124" w:after="0"/>
        <w:ind w:left="2380" w:right="1796" w:hanging="793"/>
        <w:jc w:val="left"/>
        <w:rPr>
          <w:sz w:val="21"/>
        </w:rPr>
      </w:pPr>
      <w:r>
        <w:rPr>
          <w:spacing w:val="-4"/>
          <w:w w:val="105"/>
          <w:sz w:val="21"/>
        </w:rPr>
        <w:t>However, </w:t>
      </w:r>
      <w:r>
        <w:rPr>
          <w:w w:val="105"/>
          <w:sz w:val="21"/>
        </w:rPr>
        <w:t>a number of </w:t>
      </w:r>
      <w:r>
        <w:rPr>
          <w:spacing w:val="-3"/>
          <w:w w:val="105"/>
          <w:sz w:val="21"/>
        </w:rPr>
        <w:t>submissions </w:t>
      </w:r>
      <w:r>
        <w:rPr>
          <w:w w:val="105"/>
          <w:sz w:val="21"/>
        </w:rPr>
        <w:t>expressed the view </w:t>
      </w:r>
      <w:r>
        <w:rPr>
          <w:spacing w:val="-3"/>
          <w:w w:val="105"/>
          <w:sz w:val="21"/>
        </w:rPr>
        <w:t>that </w:t>
      </w:r>
      <w:r>
        <w:rPr>
          <w:w w:val="105"/>
          <w:sz w:val="21"/>
        </w:rPr>
        <w:t>the partners should </w:t>
      </w:r>
      <w:r>
        <w:rPr>
          <w:spacing w:val="-3"/>
          <w:w w:val="105"/>
          <w:sz w:val="21"/>
        </w:rPr>
        <w:t>share </w:t>
      </w:r>
      <w:r>
        <w:rPr>
          <w:w w:val="105"/>
          <w:sz w:val="21"/>
        </w:rPr>
        <w:t>the statutory legacy </w:t>
      </w:r>
      <w:r>
        <w:rPr>
          <w:spacing w:val="-3"/>
          <w:w w:val="105"/>
          <w:sz w:val="21"/>
        </w:rPr>
        <w:t>that </w:t>
      </w:r>
      <w:r>
        <w:rPr>
          <w:w w:val="105"/>
          <w:sz w:val="21"/>
        </w:rPr>
        <w:t>one partner would </w:t>
      </w:r>
      <w:r>
        <w:rPr>
          <w:spacing w:val="-3"/>
          <w:w w:val="105"/>
          <w:sz w:val="21"/>
        </w:rPr>
        <w:t>have received, </w:t>
      </w:r>
      <w:r>
        <w:rPr>
          <w:w w:val="105"/>
          <w:sz w:val="21"/>
        </w:rPr>
        <w:t>as </w:t>
      </w:r>
      <w:r>
        <w:rPr>
          <w:spacing w:val="-3"/>
          <w:w w:val="105"/>
          <w:sz w:val="21"/>
        </w:rPr>
        <w:t>well </w:t>
      </w:r>
      <w:r>
        <w:rPr>
          <w:w w:val="105"/>
          <w:sz w:val="21"/>
        </w:rPr>
        <w:t>as </w:t>
      </w:r>
      <w:r>
        <w:rPr>
          <w:spacing w:val="-3"/>
          <w:w w:val="105"/>
          <w:sz w:val="21"/>
        </w:rPr>
        <w:t>sharing </w:t>
      </w:r>
      <w:r>
        <w:rPr>
          <w:w w:val="105"/>
          <w:sz w:val="21"/>
        </w:rPr>
        <w:t>the deceased </w:t>
      </w:r>
      <w:r>
        <w:rPr>
          <w:spacing w:val="-3"/>
          <w:w w:val="105"/>
          <w:sz w:val="21"/>
        </w:rPr>
        <w:t>person’s </w:t>
      </w:r>
      <w:r>
        <w:rPr>
          <w:w w:val="105"/>
          <w:sz w:val="21"/>
        </w:rPr>
        <w:t>personal </w:t>
      </w:r>
      <w:r>
        <w:rPr>
          <w:spacing w:val="-3"/>
          <w:w w:val="105"/>
          <w:sz w:val="21"/>
        </w:rPr>
        <w:t>chattels </w:t>
      </w:r>
      <w:r>
        <w:rPr>
          <w:w w:val="105"/>
          <w:sz w:val="21"/>
        </w:rPr>
        <w:t>and one </w:t>
      </w:r>
      <w:r>
        <w:rPr>
          <w:spacing w:val="-3"/>
          <w:w w:val="105"/>
          <w:sz w:val="21"/>
        </w:rPr>
        <w:t>half </w:t>
      </w:r>
      <w:r>
        <w:rPr>
          <w:w w:val="105"/>
          <w:sz w:val="21"/>
        </w:rPr>
        <w:t>of the </w:t>
      </w:r>
      <w:r>
        <w:rPr>
          <w:spacing w:val="-5"/>
          <w:w w:val="105"/>
          <w:sz w:val="21"/>
        </w:rPr>
        <w:t>remainder.</w:t>
      </w:r>
      <w:r>
        <w:rPr>
          <w:spacing w:val="-5"/>
          <w:w w:val="105"/>
          <w:position w:val="7"/>
          <w:sz w:val="12"/>
        </w:rPr>
        <w:t>199 </w:t>
      </w:r>
      <w:r>
        <w:rPr>
          <w:w w:val="105"/>
          <w:sz w:val="21"/>
        </w:rPr>
        <w:t>Some </w:t>
      </w:r>
      <w:r>
        <w:rPr>
          <w:spacing w:val="-3"/>
          <w:w w:val="105"/>
          <w:sz w:val="21"/>
        </w:rPr>
        <w:t>submissions </w:t>
      </w:r>
      <w:r>
        <w:rPr>
          <w:w w:val="105"/>
          <w:sz w:val="21"/>
        </w:rPr>
        <w:t>argued </w:t>
      </w:r>
      <w:r>
        <w:rPr>
          <w:spacing w:val="-3"/>
          <w:w w:val="105"/>
          <w:sz w:val="21"/>
        </w:rPr>
        <w:t>that </w:t>
      </w:r>
      <w:r>
        <w:rPr>
          <w:w w:val="105"/>
          <w:sz w:val="21"/>
        </w:rPr>
        <w:t>it </w:t>
      </w:r>
      <w:r>
        <w:rPr>
          <w:spacing w:val="-3"/>
          <w:w w:val="105"/>
          <w:sz w:val="21"/>
        </w:rPr>
        <w:t>may </w:t>
      </w:r>
      <w:r>
        <w:rPr>
          <w:w w:val="105"/>
          <w:sz w:val="21"/>
        </w:rPr>
        <w:t>be </w:t>
      </w:r>
      <w:r>
        <w:rPr>
          <w:spacing w:val="-4"/>
          <w:w w:val="105"/>
          <w:sz w:val="21"/>
        </w:rPr>
        <w:t>unfair </w:t>
      </w:r>
      <w:r>
        <w:rPr>
          <w:spacing w:val="-3"/>
          <w:w w:val="105"/>
          <w:sz w:val="21"/>
        </w:rPr>
        <w:t>for </w:t>
      </w:r>
      <w:r>
        <w:rPr>
          <w:w w:val="105"/>
          <w:sz w:val="21"/>
        </w:rPr>
        <w:t>each partner </w:t>
      </w:r>
      <w:r>
        <w:rPr>
          <w:spacing w:val="-3"/>
          <w:w w:val="105"/>
          <w:sz w:val="21"/>
        </w:rPr>
        <w:t>to </w:t>
      </w:r>
      <w:r>
        <w:rPr>
          <w:w w:val="105"/>
          <w:sz w:val="21"/>
        </w:rPr>
        <w:t>receive their own legacy </w:t>
      </w:r>
      <w:r>
        <w:rPr>
          <w:w w:val="105"/>
          <w:position w:val="7"/>
          <w:sz w:val="12"/>
        </w:rPr>
        <w:t>200 </w:t>
      </w:r>
      <w:r>
        <w:rPr>
          <w:w w:val="105"/>
          <w:sz w:val="21"/>
        </w:rPr>
        <w:t>and </w:t>
      </w:r>
      <w:r>
        <w:rPr>
          <w:spacing w:val="-3"/>
          <w:w w:val="105"/>
          <w:sz w:val="21"/>
        </w:rPr>
        <w:t>that </w:t>
      </w:r>
      <w:r>
        <w:rPr>
          <w:w w:val="105"/>
          <w:sz w:val="21"/>
        </w:rPr>
        <w:t>this </w:t>
      </w:r>
      <w:r>
        <w:rPr>
          <w:spacing w:val="-3"/>
          <w:w w:val="105"/>
          <w:sz w:val="21"/>
        </w:rPr>
        <w:t>could result </w:t>
      </w:r>
      <w:r>
        <w:rPr>
          <w:w w:val="105"/>
          <w:sz w:val="21"/>
        </w:rPr>
        <w:t>in the deceased </w:t>
      </w:r>
      <w:r>
        <w:rPr>
          <w:spacing w:val="-3"/>
          <w:w w:val="105"/>
          <w:sz w:val="21"/>
        </w:rPr>
        <w:t>person’s children missing </w:t>
      </w:r>
      <w:r>
        <w:rPr>
          <w:w w:val="105"/>
          <w:sz w:val="21"/>
        </w:rPr>
        <w:t>out </w:t>
      </w:r>
      <w:r>
        <w:rPr>
          <w:spacing w:val="-3"/>
          <w:w w:val="105"/>
          <w:sz w:val="21"/>
        </w:rPr>
        <w:t>entirely </w:t>
      </w:r>
      <w:r>
        <w:rPr>
          <w:w w:val="105"/>
          <w:sz w:val="21"/>
        </w:rPr>
        <w:t>unless</w:t>
      </w:r>
      <w:r>
        <w:rPr>
          <w:spacing w:val="-3"/>
          <w:w w:val="105"/>
          <w:sz w:val="21"/>
        </w:rPr>
        <w:t> </w:t>
      </w:r>
      <w:r>
        <w:rPr>
          <w:w w:val="105"/>
          <w:sz w:val="21"/>
        </w:rPr>
        <w:t>the</w:t>
      </w:r>
    </w:p>
    <w:p>
      <w:pPr>
        <w:pStyle w:val="BodyText"/>
        <w:spacing w:line="242" w:lineRule="auto" w:before="5"/>
        <w:ind w:left="2381" w:right="1912"/>
        <w:jc w:val="both"/>
      </w:pPr>
      <w:r>
        <w:rPr>
          <w:w w:val="105"/>
        </w:rPr>
        <w:t>estate is </w:t>
      </w:r>
      <w:r>
        <w:rPr>
          <w:spacing w:val="-3"/>
          <w:w w:val="105"/>
        </w:rPr>
        <w:t>large.</w:t>
      </w:r>
      <w:r>
        <w:rPr>
          <w:spacing w:val="-3"/>
          <w:w w:val="105"/>
          <w:position w:val="7"/>
          <w:sz w:val="12"/>
        </w:rPr>
        <w:t>201 </w:t>
      </w:r>
      <w:r>
        <w:rPr>
          <w:w w:val="105"/>
        </w:rPr>
        <w:t>The Law Society of New South </w:t>
      </w:r>
      <w:r>
        <w:rPr>
          <w:spacing w:val="-3"/>
          <w:w w:val="105"/>
        </w:rPr>
        <w:t>Wales </w:t>
      </w:r>
      <w:r>
        <w:rPr>
          <w:w w:val="105"/>
        </w:rPr>
        <w:t>stated </w:t>
      </w:r>
      <w:r>
        <w:rPr>
          <w:spacing w:val="-3"/>
          <w:w w:val="105"/>
        </w:rPr>
        <w:t>that </w:t>
      </w:r>
      <w:r>
        <w:rPr>
          <w:w w:val="105"/>
        </w:rPr>
        <w:t>it </w:t>
      </w:r>
      <w:r>
        <w:rPr>
          <w:spacing w:val="-3"/>
          <w:w w:val="105"/>
        </w:rPr>
        <w:t>favoured national consistency,</w:t>
      </w:r>
      <w:r>
        <w:rPr>
          <w:spacing w:val="-3"/>
          <w:w w:val="105"/>
          <w:position w:val="7"/>
          <w:sz w:val="12"/>
        </w:rPr>
        <w:t>202 </w:t>
      </w:r>
      <w:r>
        <w:rPr>
          <w:w w:val="105"/>
        </w:rPr>
        <w:t>and the </w:t>
      </w:r>
      <w:r>
        <w:rPr>
          <w:spacing w:val="-3"/>
          <w:w w:val="105"/>
        </w:rPr>
        <w:t>Commission notes that </w:t>
      </w:r>
      <w:r>
        <w:rPr>
          <w:w w:val="105"/>
        </w:rPr>
        <w:t>New South </w:t>
      </w:r>
      <w:r>
        <w:rPr>
          <w:spacing w:val="-3"/>
          <w:w w:val="105"/>
        </w:rPr>
        <w:t>Wales </w:t>
      </w:r>
      <w:r>
        <w:rPr>
          <w:spacing w:val="-2"/>
          <w:w w:val="105"/>
        </w:rPr>
        <w:t>has not </w:t>
      </w:r>
      <w:r>
        <w:rPr>
          <w:spacing w:val="-3"/>
          <w:w w:val="105"/>
        </w:rPr>
        <w:t>implemented </w:t>
      </w:r>
      <w:r>
        <w:rPr>
          <w:w w:val="105"/>
        </w:rPr>
        <w:t>this</w:t>
      </w:r>
      <w:r>
        <w:rPr>
          <w:spacing w:val="-14"/>
          <w:w w:val="105"/>
        </w:rPr>
        <w:t> </w:t>
      </w:r>
      <w:r>
        <w:rPr>
          <w:w w:val="105"/>
        </w:rPr>
        <w:t>recommendation—the</w:t>
      </w:r>
      <w:r>
        <w:rPr>
          <w:spacing w:val="-13"/>
          <w:w w:val="105"/>
        </w:rPr>
        <w:t> </w:t>
      </w:r>
      <w:r>
        <w:rPr>
          <w:w w:val="105"/>
        </w:rPr>
        <w:t>partners</w:t>
      </w:r>
      <w:r>
        <w:rPr>
          <w:spacing w:val="-14"/>
          <w:w w:val="105"/>
        </w:rPr>
        <w:t> </w:t>
      </w:r>
      <w:r>
        <w:rPr>
          <w:spacing w:val="-3"/>
          <w:w w:val="105"/>
        </w:rPr>
        <w:t>share</w:t>
      </w:r>
      <w:r>
        <w:rPr>
          <w:spacing w:val="-13"/>
          <w:w w:val="105"/>
        </w:rPr>
        <w:t> </w:t>
      </w:r>
      <w:r>
        <w:rPr>
          <w:w w:val="105"/>
        </w:rPr>
        <w:t>the</w:t>
      </w:r>
      <w:r>
        <w:rPr>
          <w:spacing w:val="-13"/>
          <w:w w:val="105"/>
        </w:rPr>
        <w:t> </w:t>
      </w:r>
      <w:r>
        <w:rPr>
          <w:w w:val="105"/>
        </w:rPr>
        <w:t>statutory</w:t>
      </w:r>
      <w:r>
        <w:rPr>
          <w:spacing w:val="-14"/>
          <w:w w:val="105"/>
        </w:rPr>
        <w:t> </w:t>
      </w:r>
      <w:r>
        <w:rPr>
          <w:w w:val="105"/>
        </w:rPr>
        <w:t>legacy</w:t>
      </w:r>
      <w:r>
        <w:rPr>
          <w:spacing w:val="-13"/>
          <w:w w:val="105"/>
        </w:rPr>
        <w:t> </w:t>
      </w:r>
      <w:r>
        <w:rPr>
          <w:spacing w:val="-3"/>
          <w:w w:val="105"/>
        </w:rPr>
        <w:t>that</w:t>
      </w:r>
      <w:r>
        <w:rPr>
          <w:spacing w:val="-13"/>
          <w:w w:val="105"/>
        </w:rPr>
        <w:t> </w:t>
      </w:r>
      <w:r>
        <w:rPr>
          <w:w w:val="105"/>
        </w:rPr>
        <w:t>one</w:t>
      </w:r>
      <w:r>
        <w:rPr>
          <w:spacing w:val="-14"/>
          <w:w w:val="105"/>
        </w:rPr>
        <w:t> </w:t>
      </w:r>
      <w:r>
        <w:rPr>
          <w:w w:val="105"/>
        </w:rPr>
        <w:t>partner</w:t>
      </w:r>
      <w:r>
        <w:rPr>
          <w:spacing w:val="-13"/>
          <w:w w:val="105"/>
        </w:rPr>
        <w:t> </w:t>
      </w:r>
      <w:r>
        <w:rPr>
          <w:spacing w:val="-3"/>
          <w:w w:val="105"/>
        </w:rPr>
        <w:t>would have</w:t>
      </w:r>
      <w:r>
        <w:rPr>
          <w:spacing w:val="5"/>
          <w:w w:val="105"/>
        </w:rPr>
        <w:t> </w:t>
      </w:r>
      <w:r>
        <w:rPr>
          <w:spacing w:val="-3"/>
          <w:w w:val="105"/>
        </w:rPr>
        <w:t>received.</w:t>
      </w:r>
    </w:p>
    <w:p>
      <w:pPr>
        <w:pStyle w:val="ListParagraph"/>
        <w:numPr>
          <w:ilvl w:val="1"/>
          <w:numId w:val="22"/>
        </w:numPr>
        <w:tabs>
          <w:tab w:pos="2380" w:val="left" w:leader="none"/>
          <w:tab w:pos="2382" w:val="left" w:leader="none"/>
        </w:tabs>
        <w:spacing w:line="242" w:lineRule="auto" w:before="125" w:after="0"/>
        <w:ind w:left="2381" w:right="1588" w:hanging="794"/>
        <w:jc w:val="left"/>
        <w:rPr>
          <w:sz w:val="21"/>
        </w:rPr>
      </w:pPr>
      <w:r>
        <w:rPr>
          <w:w w:val="105"/>
          <w:sz w:val="21"/>
        </w:rPr>
        <w:t>This is one </w:t>
      </w:r>
      <w:r>
        <w:rPr>
          <w:spacing w:val="-3"/>
          <w:w w:val="105"/>
          <w:sz w:val="21"/>
        </w:rPr>
        <w:t>area </w:t>
      </w:r>
      <w:r>
        <w:rPr>
          <w:w w:val="105"/>
          <w:sz w:val="21"/>
        </w:rPr>
        <w:t>in which there is a distinction between </w:t>
      </w:r>
      <w:r>
        <w:rPr>
          <w:spacing w:val="-3"/>
          <w:w w:val="105"/>
          <w:sz w:val="21"/>
        </w:rPr>
        <w:t>national </w:t>
      </w:r>
      <w:r>
        <w:rPr>
          <w:w w:val="105"/>
          <w:sz w:val="21"/>
        </w:rPr>
        <w:t>consistency and the </w:t>
      </w:r>
      <w:r>
        <w:rPr>
          <w:spacing w:val="-3"/>
          <w:w w:val="105"/>
          <w:sz w:val="21"/>
        </w:rPr>
        <w:t>National </w:t>
      </w:r>
      <w:r>
        <w:rPr>
          <w:spacing w:val="-4"/>
          <w:w w:val="105"/>
          <w:sz w:val="21"/>
        </w:rPr>
        <w:t>Committee’s </w:t>
      </w:r>
      <w:r>
        <w:rPr>
          <w:spacing w:val="-3"/>
          <w:w w:val="105"/>
          <w:sz w:val="21"/>
        </w:rPr>
        <w:t>recommendations, </w:t>
      </w:r>
      <w:r>
        <w:rPr>
          <w:w w:val="105"/>
          <w:sz w:val="21"/>
        </w:rPr>
        <w:t>as New South </w:t>
      </w:r>
      <w:r>
        <w:rPr>
          <w:spacing w:val="-3"/>
          <w:w w:val="105"/>
          <w:sz w:val="21"/>
        </w:rPr>
        <w:t>Wales </w:t>
      </w:r>
      <w:r>
        <w:rPr>
          <w:spacing w:val="-2"/>
          <w:w w:val="105"/>
          <w:sz w:val="21"/>
        </w:rPr>
        <w:t>has </w:t>
      </w:r>
      <w:r>
        <w:rPr>
          <w:w w:val="105"/>
          <w:sz w:val="21"/>
        </w:rPr>
        <w:t>diverged </w:t>
      </w:r>
      <w:r>
        <w:rPr>
          <w:spacing w:val="-3"/>
          <w:w w:val="105"/>
          <w:sz w:val="21"/>
        </w:rPr>
        <w:t>from </w:t>
      </w:r>
      <w:r>
        <w:rPr>
          <w:w w:val="105"/>
          <w:sz w:val="21"/>
        </w:rPr>
        <w:t>the </w:t>
      </w:r>
      <w:r>
        <w:rPr>
          <w:spacing w:val="-3"/>
          <w:w w:val="105"/>
          <w:sz w:val="21"/>
        </w:rPr>
        <w:t>National </w:t>
      </w:r>
      <w:r>
        <w:rPr>
          <w:spacing w:val="-4"/>
          <w:w w:val="105"/>
          <w:sz w:val="21"/>
        </w:rPr>
        <w:t>Committee’s </w:t>
      </w:r>
      <w:r>
        <w:rPr>
          <w:spacing w:val="-3"/>
          <w:w w:val="105"/>
          <w:sz w:val="21"/>
        </w:rPr>
        <w:t>recommendation </w:t>
      </w:r>
      <w:r>
        <w:rPr>
          <w:w w:val="105"/>
          <w:sz w:val="21"/>
        </w:rPr>
        <w:t>on this </w:t>
      </w:r>
      <w:r>
        <w:rPr>
          <w:spacing w:val="-3"/>
          <w:w w:val="105"/>
          <w:sz w:val="21"/>
        </w:rPr>
        <w:t>point. </w:t>
      </w:r>
      <w:r>
        <w:rPr>
          <w:w w:val="105"/>
          <w:sz w:val="21"/>
        </w:rPr>
        <w:t>The </w:t>
      </w:r>
      <w:r>
        <w:rPr>
          <w:spacing w:val="-3"/>
          <w:w w:val="105"/>
          <w:sz w:val="21"/>
        </w:rPr>
        <w:t>Commission </w:t>
      </w:r>
      <w:r>
        <w:rPr>
          <w:w w:val="105"/>
          <w:sz w:val="21"/>
        </w:rPr>
        <w:t>considers </w:t>
      </w:r>
      <w:r>
        <w:rPr>
          <w:spacing w:val="-3"/>
          <w:w w:val="105"/>
          <w:sz w:val="21"/>
        </w:rPr>
        <w:t>that, </w:t>
      </w:r>
      <w:r>
        <w:rPr>
          <w:w w:val="105"/>
          <w:sz w:val="21"/>
        </w:rPr>
        <w:t>where </w:t>
      </w:r>
      <w:r>
        <w:rPr>
          <w:spacing w:val="-3"/>
          <w:w w:val="105"/>
          <w:sz w:val="21"/>
        </w:rPr>
        <w:t>national </w:t>
      </w:r>
      <w:r>
        <w:rPr>
          <w:w w:val="105"/>
          <w:sz w:val="21"/>
        </w:rPr>
        <w:t>consistency is </w:t>
      </w:r>
      <w:r>
        <w:rPr>
          <w:spacing w:val="-2"/>
          <w:w w:val="105"/>
          <w:sz w:val="21"/>
        </w:rPr>
        <w:t>not </w:t>
      </w:r>
      <w:r>
        <w:rPr>
          <w:spacing w:val="-3"/>
          <w:w w:val="105"/>
          <w:sz w:val="21"/>
        </w:rPr>
        <w:t>possible, </w:t>
      </w:r>
      <w:r>
        <w:rPr>
          <w:w w:val="105"/>
          <w:sz w:val="21"/>
        </w:rPr>
        <w:t>consistency between Victoria and New South </w:t>
      </w:r>
      <w:r>
        <w:rPr>
          <w:spacing w:val="-3"/>
          <w:w w:val="105"/>
          <w:sz w:val="21"/>
        </w:rPr>
        <w:t>Wales </w:t>
      </w:r>
      <w:r>
        <w:rPr>
          <w:w w:val="105"/>
          <w:sz w:val="21"/>
        </w:rPr>
        <w:t>is </w:t>
      </w:r>
      <w:r>
        <w:rPr>
          <w:spacing w:val="-3"/>
          <w:w w:val="105"/>
          <w:sz w:val="21"/>
        </w:rPr>
        <w:t>desirable. </w:t>
      </w:r>
      <w:r>
        <w:rPr>
          <w:spacing w:val="-4"/>
          <w:w w:val="105"/>
          <w:sz w:val="21"/>
        </w:rPr>
        <w:t>Further, </w:t>
      </w:r>
      <w:r>
        <w:rPr>
          <w:w w:val="105"/>
          <w:sz w:val="21"/>
        </w:rPr>
        <w:t>the </w:t>
      </w:r>
      <w:r>
        <w:rPr>
          <w:spacing w:val="-3"/>
          <w:w w:val="105"/>
          <w:sz w:val="21"/>
        </w:rPr>
        <w:t>Commission </w:t>
      </w:r>
      <w:r>
        <w:rPr>
          <w:w w:val="105"/>
          <w:sz w:val="21"/>
        </w:rPr>
        <w:t>agrees </w:t>
      </w:r>
      <w:r>
        <w:rPr>
          <w:spacing w:val="-3"/>
          <w:w w:val="105"/>
          <w:sz w:val="21"/>
        </w:rPr>
        <w:t>that, </w:t>
      </w:r>
      <w:r>
        <w:rPr>
          <w:w w:val="105"/>
          <w:sz w:val="21"/>
        </w:rPr>
        <w:t>in </w:t>
      </w:r>
      <w:r>
        <w:rPr>
          <w:spacing w:val="-3"/>
          <w:w w:val="105"/>
          <w:sz w:val="21"/>
        </w:rPr>
        <w:t>many circumstances, </w:t>
      </w:r>
      <w:r>
        <w:rPr>
          <w:w w:val="105"/>
          <w:sz w:val="21"/>
        </w:rPr>
        <w:t>each partner</w:t>
      </w:r>
      <w:r>
        <w:rPr>
          <w:spacing w:val="-11"/>
          <w:w w:val="105"/>
          <w:sz w:val="21"/>
        </w:rPr>
        <w:t> </w:t>
      </w:r>
      <w:r>
        <w:rPr>
          <w:spacing w:val="-3"/>
          <w:w w:val="105"/>
          <w:sz w:val="21"/>
        </w:rPr>
        <w:t>receiving</w:t>
      </w:r>
      <w:r>
        <w:rPr>
          <w:spacing w:val="-10"/>
          <w:w w:val="105"/>
          <w:sz w:val="21"/>
        </w:rPr>
        <w:t> </w:t>
      </w:r>
      <w:r>
        <w:rPr>
          <w:w w:val="105"/>
          <w:sz w:val="21"/>
        </w:rPr>
        <w:t>their</w:t>
      </w:r>
      <w:r>
        <w:rPr>
          <w:spacing w:val="-11"/>
          <w:w w:val="105"/>
          <w:sz w:val="21"/>
        </w:rPr>
        <w:t> </w:t>
      </w:r>
      <w:r>
        <w:rPr>
          <w:w w:val="105"/>
          <w:sz w:val="21"/>
        </w:rPr>
        <w:t>own</w:t>
      </w:r>
      <w:r>
        <w:rPr>
          <w:spacing w:val="-10"/>
          <w:w w:val="105"/>
          <w:sz w:val="21"/>
        </w:rPr>
        <w:t> </w:t>
      </w:r>
      <w:r>
        <w:rPr>
          <w:w w:val="105"/>
          <w:sz w:val="21"/>
        </w:rPr>
        <w:t>statutory</w:t>
      </w:r>
      <w:r>
        <w:rPr>
          <w:spacing w:val="-10"/>
          <w:w w:val="105"/>
          <w:sz w:val="21"/>
        </w:rPr>
        <w:t> </w:t>
      </w:r>
      <w:r>
        <w:rPr>
          <w:w w:val="105"/>
          <w:sz w:val="21"/>
        </w:rPr>
        <w:t>legacy</w:t>
      </w:r>
      <w:r>
        <w:rPr>
          <w:spacing w:val="-11"/>
          <w:w w:val="105"/>
          <w:sz w:val="21"/>
        </w:rPr>
        <w:t> </w:t>
      </w:r>
      <w:r>
        <w:rPr>
          <w:w w:val="105"/>
          <w:sz w:val="21"/>
        </w:rPr>
        <w:t>would</w:t>
      </w:r>
      <w:r>
        <w:rPr>
          <w:spacing w:val="-10"/>
          <w:w w:val="105"/>
          <w:sz w:val="21"/>
        </w:rPr>
        <w:t> </w:t>
      </w:r>
      <w:r>
        <w:rPr>
          <w:spacing w:val="-3"/>
          <w:w w:val="105"/>
          <w:sz w:val="21"/>
        </w:rPr>
        <w:t>exclude</w:t>
      </w:r>
      <w:r>
        <w:rPr>
          <w:spacing w:val="-10"/>
          <w:w w:val="105"/>
          <w:sz w:val="21"/>
        </w:rPr>
        <w:t> </w:t>
      </w:r>
      <w:r>
        <w:rPr>
          <w:w w:val="105"/>
          <w:sz w:val="21"/>
        </w:rPr>
        <w:t>the</w:t>
      </w:r>
      <w:r>
        <w:rPr>
          <w:spacing w:val="-11"/>
          <w:w w:val="105"/>
          <w:sz w:val="21"/>
        </w:rPr>
        <w:t> </w:t>
      </w:r>
      <w:r>
        <w:rPr>
          <w:w w:val="105"/>
          <w:sz w:val="21"/>
        </w:rPr>
        <w:t>deceased</w:t>
      </w:r>
      <w:r>
        <w:rPr>
          <w:spacing w:val="-10"/>
          <w:w w:val="105"/>
          <w:sz w:val="21"/>
        </w:rPr>
        <w:t> </w:t>
      </w:r>
      <w:r>
        <w:rPr>
          <w:spacing w:val="-3"/>
          <w:w w:val="105"/>
          <w:sz w:val="21"/>
        </w:rPr>
        <w:t>person’s</w:t>
      </w:r>
      <w:r>
        <w:rPr>
          <w:spacing w:val="-11"/>
          <w:w w:val="105"/>
          <w:sz w:val="21"/>
        </w:rPr>
        <w:t> </w:t>
      </w:r>
      <w:r>
        <w:rPr>
          <w:spacing w:val="-3"/>
          <w:w w:val="105"/>
          <w:sz w:val="21"/>
        </w:rPr>
        <w:t>children </w:t>
      </w:r>
      <w:r>
        <w:rPr>
          <w:w w:val="105"/>
          <w:sz w:val="21"/>
        </w:rPr>
        <w:t>or issue who </w:t>
      </w:r>
      <w:r>
        <w:rPr>
          <w:spacing w:val="-3"/>
          <w:w w:val="105"/>
          <w:sz w:val="21"/>
        </w:rPr>
        <w:t>are </w:t>
      </w:r>
      <w:r>
        <w:rPr>
          <w:w w:val="105"/>
          <w:sz w:val="21"/>
        </w:rPr>
        <w:t>entitled </w:t>
      </w:r>
      <w:r>
        <w:rPr>
          <w:spacing w:val="-3"/>
          <w:w w:val="105"/>
          <w:sz w:val="21"/>
        </w:rPr>
        <w:t>to </w:t>
      </w:r>
      <w:r>
        <w:rPr>
          <w:w w:val="105"/>
          <w:sz w:val="21"/>
        </w:rPr>
        <w:t>a </w:t>
      </w:r>
      <w:r>
        <w:rPr>
          <w:spacing w:val="-3"/>
          <w:w w:val="105"/>
          <w:sz w:val="21"/>
        </w:rPr>
        <w:t>share </w:t>
      </w:r>
      <w:r>
        <w:rPr>
          <w:w w:val="105"/>
          <w:sz w:val="21"/>
        </w:rPr>
        <w:t>on</w:t>
      </w:r>
      <w:r>
        <w:rPr>
          <w:spacing w:val="45"/>
          <w:w w:val="105"/>
          <w:sz w:val="21"/>
        </w:rPr>
        <w:t> </w:t>
      </w:r>
      <w:r>
        <w:rPr>
          <w:spacing w:val="-3"/>
          <w:w w:val="105"/>
          <w:sz w:val="21"/>
        </w:rPr>
        <w:t>intestacy.</w:t>
      </w:r>
    </w:p>
    <w:p>
      <w:pPr>
        <w:pStyle w:val="ListParagraph"/>
        <w:numPr>
          <w:ilvl w:val="1"/>
          <w:numId w:val="22"/>
        </w:numPr>
        <w:tabs>
          <w:tab w:pos="2380" w:val="left" w:leader="none"/>
          <w:tab w:pos="2381" w:val="left" w:leader="none"/>
        </w:tabs>
        <w:spacing w:line="242" w:lineRule="auto" w:before="127" w:after="0"/>
        <w:ind w:left="2380" w:right="1683" w:hanging="793"/>
        <w:jc w:val="left"/>
        <w:rPr>
          <w:sz w:val="21"/>
        </w:rPr>
      </w:pPr>
      <w:r>
        <w:rPr>
          <w:w w:val="105"/>
          <w:sz w:val="21"/>
        </w:rPr>
        <w:t>The</w:t>
      </w:r>
      <w:r>
        <w:rPr>
          <w:spacing w:val="-6"/>
          <w:w w:val="105"/>
          <w:sz w:val="21"/>
        </w:rPr>
        <w:t> </w:t>
      </w:r>
      <w:r>
        <w:rPr>
          <w:w w:val="105"/>
          <w:sz w:val="21"/>
        </w:rPr>
        <w:t>New</w:t>
      </w:r>
      <w:r>
        <w:rPr>
          <w:spacing w:val="-6"/>
          <w:w w:val="105"/>
          <w:sz w:val="21"/>
        </w:rPr>
        <w:t> </w:t>
      </w:r>
      <w:r>
        <w:rPr>
          <w:w w:val="105"/>
          <w:sz w:val="21"/>
        </w:rPr>
        <w:t>South</w:t>
      </w:r>
      <w:r>
        <w:rPr>
          <w:spacing w:val="-6"/>
          <w:w w:val="105"/>
          <w:sz w:val="21"/>
        </w:rPr>
        <w:t> </w:t>
      </w:r>
      <w:r>
        <w:rPr>
          <w:spacing w:val="-3"/>
          <w:w w:val="105"/>
          <w:sz w:val="21"/>
        </w:rPr>
        <w:t>Wales</w:t>
      </w:r>
      <w:r>
        <w:rPr>
          <w:spacing w:val="-6"/>
          <w:w w:val="105"/>
          <w:sz w:val="21"/>
        </w:rPr>
        <w:t> </w:t>
      </w:r>
      <w:r>
        <w:rPr>
          <w:spacing w:val="-3"/>
          <w:w w:val="105"/>
          <w:sz w:val="21"/>
        </w:rPr>
        <w:t>legislation</w:t>
      </w:r>
      <w:r>
        <w:rPr>
          <w:spacing w:val="-6"/>
          <w:w w:val="105"/>
          <w:sz w:val="21"/>
        </w:rPr>
        <w:t> </w:t>
      </w:r>
      <w:r>
        <w:rPr>
          <w:w w:val="105"/>
          <w:sz w:val="21"/>
        </w:rPr>
        <w:t>specifies</w:t>
      </w:r>
      <w:r>
        <w:rPr>
          <w:spacing w:val="-6"/>
          <w:w w:val="105"/>
          <w:sz w:val="21"/>
        </w:rPr>
        <w:t> </w:t>
      </w:r>
      <w:r>
        <w:rPr>
          <w:spacing w:val="-3"/>
          <w:w w:val="105"/>
          <w:sz w:val="21"/>
        </w:rPr>
        <w:t>that</w:t>
      </w:r>
      <w:r>
        <w:rPr>
          <w:spacing w:val="-6"/>
          <w:w w:val="105"/>
          <w:sz w:val="21"/>
        </w:rPr>
        <w:t> </w:t>
      </w:r>
      <w:r>
        <w:rPr>
          <w:spacing w:val="-3"/>
          <w:w w:val="105"/>
          <w:sz w:val="21"/>
        </w:rPr>
        <w:t>sharing</w:t>
      </w:r>
      <w:r>
        <w:rPr>
          <w:spacing w:val="-6"/>
          <w:w w:val="105"/>
          <w:sz w:val="21"/>
        </w:rPr>
        <w:t> </w:t>
      </w:r>
      <w:r>
        <w:rPr>
          <w:w w:val="105"/>
          <w:sz w:val="21"/>
        </w:rPr>
        <w:t>of</w:t>
      </w:r>
      <w:r>
        <w:rPr>
          <w:spacing w:val="-6"/>
          <w:w w:val="105"/>
          <w:sz w:val="21"/>
        </w:rPr>
        <w:t> </w:t>
      </w:r>
      <w:r>
        <w:rPr>
          <w:w w:val="105"/>
          <w:sz w:val="21"/>
        </w:rPr>
        <w:t>the</w:t>
      </w:r>
      <w:r>
        <w:rPr>
          <w:spacing w:val="-6"/>
          <w:w w:val="105"/>
          <w:sz w:val="21"/>
        </w:rPr>
        <w:t> </w:t>
      </w:r>
      <w:r>
        <w:rPr>
          <w:w w:val="105"/>
          <w:sz w:val="21"/>
        </w:rPr>
        <w:t>deceased</w:t>
      </w:r>
      <w:r>
        <w:rPr>
          <w:spacing w:val="-6"/>
          <w:w w:val="105"/>
          <w:sz w:val="21"/>
        </w:rPr>
        <w:t> </w:t>
      </w:r>
      <w:r>
        <w:rPr>
          <w:spacing w:val="-3"/>
          <w:w w:val="105"/>
          <w:sz w:val="21"/>
        </w:rPr>
        <w:t>person’s</w:t>
      </w:r>
      <w:r>
        <w:rPr>
          <w:spacing w:val="-6"/>
          <w:w w:val="105"/>
          <w:sz w:val="21"/>
        </w:rPr>
        <w:t> </w:t>
      </w:r>
      <w:r>
        <w:rPr>
          <w:w w:val="105"/>
          <w:sz w:val="21"/>
        </w:rPr>
        <w:t>personal effects, statutory legacy and </w:t>
      </w:r>
      <w:r>
        <w:rPr>
          <w:spacing w:val="-3"/>
          <w:w w:val="105"/>
          <w:sz w:val="21"/>
        </w:rPr>
        <w:t>share </w:t>
      </w:r>
      <w:r>
        <w:rPr>
          <w:w w:val="105"/>
          <w:sz w:val="21"/>
        </w:rPr>
        <w:t>of the </w:t>
      </w:r>
      <w:r>
        <w:rPr>
          <w:spacing w:val="-3"/>
          <w:w w:val="105"/>
          <w:sz w:val="21"/>
        </w:rPr>
        <w:t>remainder </w:t>
      </w:r>
      <w:r>
        <w:rPr>
          <w:w w:val="105"/>
          <w:sz w:val="21"/>
        </w:rPr>
        <w:t>is </w:t>
      </w:r>
      <w:r>
        <w:rPr>
          <w:spacing w:val="-3"/>
          <w:w w:val="105"/>
          <w:sz w:val="21"/>
        </w:rPr>
        <w:t>to </w:t>
      </w:r>
      <w:r>
        <w:rPr>
          <w:w w:val="105"/>
          <w:sz w:val="21"/>
        </w:rPr>
        <w:t>be done in </w:t>
      </w:r>
      <w:r>
        <w:rPr>
          <w:spacing w:val="-3"/>
          <w:w w:val="105"/>
          <w:sz w:val="21"/>
        </w:rPr>
        <w:t>accordance</w:t>
      </w:r>
      <w:r>
        <w:rPr>
          <w:spacing w:val="-18"/>
          <w:w w:val="105"/>
          <w:sz w:val="21"/>
        </w:rPr>
        <w:t> </w:t>
      </w:r>
      <w:r>
        <w:rPr>
          <w:w w:val="105"/>
          <w:sz w:val="21"/>
        </w:rPr>
        <w:t>with</w:t>
      </w:r>
    </w:p>
    <w:p>
      <w:pPr>
        <w:pStyle w:val="BodyText"/>
        <w:spacing w:line="242" w:lineRule="auto" w:before="2"/>
        <w:ind w:left="2380" w:right="1895"/>
        <w:jc w:val="both"/>
        <w:rPr>
          <w:sz w:val="12"/>
        </w:rPr>
      </w:pPr>
      <w:r>
        <w:rPr/>
        <w:t>the general sharing provisions—that is, by distribution agreement, distribution order or equally between the parties.</w:t>
      </w:r>
      <w:r>
        <w:rPr>
          <w:position w:val="7"/>
          <w:sz w:val="12"/>
        </w:rPr>
        <w:t>203</w:t>
      </w:r>
    </w:p>
    <w:p>
      <w:pPr>
        <w:pStyle w:val="ListParagraph"/>
        <w:numPr>
          <w:ilvl w:val="1"/>
          <w:numId w:val="22"/>
        </w:numPr>
        <w:tabs>
          <w:tab w:pos="2380" w:val="left" w:leader="none"/>
          <w:tab w:pos="2381" w:val="left" w:leader="none"/>
        </w:tabs>
        <w:spacing w:line="242" w:lineRule="auto" w:before="122" w:after="0"/>
        <w:ind w:left="2381" w:right="1600" w:hanging="794"/>
        <w:jc w:val="left"/>
        <w:rPr>
          <w:sz w:val="21"/>
        </w:rPr>
      </w:pPr>
      <w:r>
        <w:rPr>
          <w:w w:val="105"/>
          <w:sz w:val="21"/>
        </w:rPr>
        <w:t>Although the </w:t>
      </w:r>
      <w:r>
        <w:rPr>
          <w:spacing w:val="-3"/>
          <w:w w:val="105"/>
          <w:sz w:val="21"/>
        </w:rPr>
        <w:t>Commission </w:t>
      </w:r>
      <w:r>
        <w:rPr>
          <w:w w:val="105"/>
          <w:sz w:val="21"/>
        </w:rPr>
        <w:t>recognises </w:t>
      </w:r>
      <w:r>
        <w:rPr>
          <w:spacing w:val="-3"/>
          <w:w w:val="105"/>
          <w:sz w:val="21"/>
        </w:rPr>
        <w:t>that </w:t>
      </w:r>
      <w:r>
        <w:rPr>
          <w:w w:val="105"/>
          <w:sz w:val="21"/>
        </w:rPr>
        <w:t>a partner’s needs do </w:t>
      </w:r>
      <w:r>
        <w:rPr>
          <w:spacing w:val="-2"/>
          <w:w w:val="105"/>
          <w:sz w:val="21"/>
        </w:rPr>
        <w:t>not </w:t>
      </w:r>
      <w:r>
        <w:rPr>
          <w:spacing w:val="-3"/>
          <w:w w:val="105"/>
          <w:sz w:val="21"/>
        </w:rPr>
        <w:t>abate </w:t>
      </w:r>
      <w:r>
        <w:rPr>
          <w:w w:val="105"/>
          <w:sz w:val="21"/>
        </w:rPr>
        <w:t>because of the existence</w:t>
      </w:r>
      <w:r>
        <w:rPr>
          <w:spacing w:val="-11"/>
          <w:w w:val="105"/>
          <w:sz w:val="21"/>
        </w:rPr>
        <w:t> </w:t>
      </w:r>
      <w:r>
        <w:rPr>
          <w:w w:val="105"/>
          <w:sz w:val="21"/>
        </w:rPr>
        <w:t>of</w:t>
      </w:r>
      <w:r>
        <w:rPr>
          <w:spacing w:val="-10"/>
          <w:w w:val="105"/>
          <w:sz w:val="21"/>
        </w:rPr>
        <w:t> </w:t>
      </w:r>
      <w:r>
        <w:rPr>
          <w:w w:val="105"/>
          <w:sz w:val="21"/>
        </w:rPr>
        <w:t>other</w:t>
      </w:r>
      <w:r>
        <w:rPr>
          <w:spacing w:val="-10"/>
          <w:w w:val="105"/>
          <w:sz w:val="21"/>
        </w:rPr>
        <w:t> </w:t>
      </w:r>
      <w:r>
        <w:rPr>
          <w:w w:val="105"/>
          <w:sz w:val="21"/>
        </w:rPr>
        <w:t>partners,</w:t>
      </w:r>
      <w:r>
        <w:rPr>
          <w:spacing w:val="-11"/>
          <w:w w:val="105"/>
          <w:sz w:val="21"/>
        </w:rPr>
        <w:t> </w:t>
      </w:r>
      <w:r>
        <w:rPr>
          <w:w w:val="105"/>
          <w:sz w:val="21"/>
        </w:rPr>
        <w:t>the</w:t>
      </w:r>
      <w:r>
        <w:rPr>
          <w:spacing w:val="-10"/>
          <w:w w:val="105"/>
          <w:sz w:val="21"/>
        </w:rPr>
        <w:t> </w:t>
      </w:r>
      <w:r>
        <w:rPr>
          <w:spacing w:val="-3"/>
          <w:w w:val="105"/>
          <w:sz w:val="21"/>
        </w:rPr>
        <w:t>circumstances</w:t>
      </w:r>
      <w:r>
        <w:rPr>
          <w:spacing w:val="-10"/>
          <w:w w:val="105"/>
          <w:sz w:val="21"/>
        </w:rPr>
        <w:t> </w:t>
      </w:r>
      <w:r>
        <w:rPr>
          <w:w w:val="105"/>
          <w:sz w:val="21"/>
        </w:rPr>
        <w:t>in</w:t>
      </w:r>
      <w:r>
        <w:rPr>
          <w:spacing w:val="-11"/>
          <w:w w:val="105"/>
          <w:sz w:val="21"/>
        </w:rPr>
        <w:t> </w:t>
      </w:r>
      <w:r>
        <w:rPr>
          <w:w w:val="105"/>
          <w:sz w:val="21"/>
        </w:rPr>
        <w:t>which</w:t>
      </w:r>
      <w:r>
        <w:rPr>
          <w:spacing w:val="-10"/>
          <w:w w:val="105"/>
          <w:sz w:val="21"/>
        </w:rPr>
        <w:t> </w:t>
      </w:r>
      <w:r>
        <w:rPr>
          <w:spacing w:val="-3"/>
          <w:w w:val="105"/>
          <w:sz w:val="21"/>
        </w:rPr>
        <w:t>multiple</w:t>
      </w:r>
      <w:r>
        <w:rPr>
          <w:spacing w:val="-10"/>
          <w:w w:val="105"/>
          <w:sz w:val="21"/>
        </w:rPr>
        <w:t> </w:t>
      </w:r>
      <w:r>
        <w:rPr>
          <w:w w:val="105"/>
          <w:sz w:val="21"/>
        </w:rPr>
        <w:t>partners</w:t>
      </w:r>
      <w:r>
        <w:rPr>
          <w:spacing w:val="-11"/>
          <w:w w:val="105"/>
          <w:sz w:val="21"/>
        </w:rPr>
        <w:t> </w:t>
      </w:r>
      <w:r>
        <w:rPr>
          <w:spacing w:val="-3"/>
          <w:w w:val="105"/>
          <w:sz w:val="21"/>
        </w:rPr>
        <w:t>are</w:t>
      </w:r>
      <w:r>
        <w:rPr>
          <w:spacing w:val="-10"/>
          <w:w w:val="105"/>
          <w:sz w:val="21"/>
        </w:rPr>
        <w:t> </w:t>
      </w:r>
      <w:r>
        <w:rPr>
          <w:w w:val="105"/>
          <w:sz w:val="21"/>
        </w:rPr>
        <w:t>entitled</w:t>
      </w:r>
      <w:r>
        <w:rPr>
          <w:spacing w:val="-10"/>
          <w:w w:val="105"/>
          <w:sz w:val="21"/>
        </w:rPr>
        <w:t> </w:t>
      </w:r>
      <w:r>
        <w:rPr>
          <w:spacing w:val="-3"/>
          <w:w w:val="105"/>
          <w:sz w:val="21"/>
        </w:rPr>
        <w:t>to</w:t>
      </w:r>
      <w:r>
        <w:rPr>
          <w:spacing w:val="-11"/>
          <w:w w:val="105"/>
          <w:sz w:val="21"/>
        </w:rPr>
        <w:t> </w:t>
      </w:r>
      <w:r>
        <w:rPr>
          <w:w w:val="105"/>
          <w:sz w:val="21"/>
        </w:rPr>
        <w:t>a </w:t>
      </w:r>
      <w:r>
        <w:rPr>
          <w:spacing w:val="-3"/>
          <w:w w:val="105"/>
          <w:sz w:val="21"/>
        </w:rPr>
        <w:t>share </w:t>
      </w:r>
      <w:r>
        <w:rPr>
          <w:w w:val="105"/>
          <w:sz w:val="21"/>
        </w:rPr>
        <w:t>is </w:t>
      </w:r>
      <w:r>
        <w:rPr>
          <w:spacing w:val="-4"/>
          <w:w w:val="105"/>
          <w:sz w:val="21"/>
        </w:rPr>
        <w:t>unusual. </w:t>
      </w:r>
      <w:r>
        <w:rPr>
          <w:w w:val="105"/>
          <w:sz w:val="21"/>
        </w:rPr>
        <w:t>In these </w:t>
      </w:r>
      <w:r>
        <w:rPr>
          <w:spacing w:val="-3"/>
          <w:w w:val="105"/>
          <w:sz w:val="21"/>
        </w:rPr>
        <w:t>unusual circumstances, </w:t>
      </w:r>
      <w:r>
        <w:rPr>
          <w:w w:val="105"/>
          <w:sz w:val="21"/>
        </w:rPr>
        <w:t>the </w:t>
      </w:r>
      <w:r>
        <w:rPr>
          <w:spacing w:val="-3"/>
          <w:w w:val="105"/>
          <w:sz w:val="21"/>
        </w:rPr>
        <w:t>Commission </w:t>
      </w:r>
      <w:r>
        <w:rPr>
          <w:w w:val="105"/>
          <w:sz w:val="21"/>
        </w:rPr>
        <w:t>considers </w:t>
      </w:r>
      <w:r>
        <w:rPr>
          <w:spacing w:val="-3"/>
          <w:w w:val="105"/>
          <w:sz w:val="21"/>
        </w:rPr>
        <w:t>that </w:t>
      </w:r>
      <w:r>
        <w:rPr>
          <w:w w:val="105"/>
          <w:sz w:val="21"/>
        </w:rPr>
        <w:t>the New South</w:t>
      </w:r>
      <w:r>
        <w:rPr>
          <w:spacing w:val="-8"/>
          <w:w w:val="105"/>
          <w:sz w:val="21"/>
        </w:rPr>
        <w:t> </w:t>
      </w:r>
      <w:r>
        <w:rPr>
          <w:spacing w:val="-3"/>
          <w:w w:val="105"/>
          <w:sz w:val="21"/>
        </w:rPr>
        <w:t>Wales</w:t>
      </w:r>
      <w:r>
        <w:rPr>
          <w:spacing w:val="-8"/>
          <w:w w:val="105"/>
          <w:sz w:val="21"/>
        </w:rPr>
        <w:t> </w:t>
      </w:r>
      <w:r>
        <w:rPr>
          <w:spacing w:val="-3"/>
          <w:w w:val="105"/>
          <w:sz w:val="21"/>
        </w:rPr>
        <w:t>position,</w:t>
      </w:r>
      <w:r>
        <w:rPr>
          <w:spacing w:val="-8"/>
          <w:w w:val="105"/>
          <w:sz w:val="21"/>
        </w:rPr>
        <w:t> </w:t>
      </w:r>
      <w:r>
        <w:rPr>
          <w:w w:val="105"/>
          <w:sz w:val="21"/>
        </w:rPr>
        <w:t>which</w:t>
      </w:r>
      <w:r>
        <w:rPr>
          <w:spacing w:val="-8"/>
          <w:w w:val="105"/>
          <w:sz w:val="21"/>
        </w:rPr>
        <w:t> </w:t>
      </w:r>
      <w:r>
        <w:rPr>
          <w:w w:val="105"/>
          <w:sz w:val="21"/>
        </w:rPr>
        <w:t>permits</w:t>
      </w:r>
      <w:r>
        <w:rPr>
          <w:spacing w:val="-7"/>
          <w:w w:val="105"/>
          <w:sz w:val="21"/>
        </w:rPr>
        <w:t> </w:t>
      </w:r>
      <w:r>
        <w:rPr>
          <w:spacing w:val="-3"/>
          <w:w w:val="105"/>
          <w:sz w:val="21"/>
        </w:rPr>
        <w:t>sharing</w:t>
      </w:r>
      <w:r>
        <w:rPr>
          <w:spacing w:val="-8"/>
          <w:w w:val="105"/>
          <w:sz w:val="21"/>
        </w:rPr>
        <w:t> </w:t>
      </w:r>
      <w:r>
        <w:rPr>
          <w:w w:val="105"/>
          <w:sz w:val="21"/>
        </w:rPr>
        <w:t>of</w:t>
      </w:r>
      <w:r>
        <w:rPr>
          <w:spacing w:val="-8"/>
          <w:w w:val="105"/>
          <w:sz w:val="21"/>
        </w:rPr>
        <w:t> </w:t>
      </w:r>
      <w:r>
        <w:rPr>
          <w:w w:val="105"/>
          <w:sz w:val="21"/>
        </w:rPr>
        <w:t>the</w:t>
      </w:r>
      <w:r>
        <w:rPr>
          <w:spacing w:val="-8"/>
          <w:w w:val="105"/>
          <w:sz w:val="21"/>
        </w:rPr>
        <w:t> </w:t>
      </w:r>
      <w:r>
        <w:rPr>
          <w:w w:val="105"/>
          <w:sz w:val="21"/>
        </w:rPr>
        <w:t>statutory</w:t>
      </w:r>
      <w:r>
        <w:rPr>
          <w:spacing w:val="-8"/>
          <w:w w:val="105"/>
          <w:sz w:val="21"/>
        </w:rPr>
        <w:t> </w:t>
      </w:r>
      <w:r>
        <w:rPr>
          <w:w w:val="105"/>
          <w:sz w:val="21"/>
        </w:rPr>
        <w:t>legacy</w:t>
      </w:r>
      <w:r>
        <w:rPr>
          <w:spacing w:val="-7"/>
          <w:w w:val="105"/>
          <w:sz w:val="21"/>
        </w:rPr>
        <w:t> </w:t>
      </w:r>
      <w:r>
        <w:rPr>
          <w:w w:val="105"/>
          <w:sz w:val="21"/>
        </w:rPr>
        <w:t>between</w:t>
      </w:r>
      <w:r>
        <w:rPr>
          <w:spacing w:val="-8"/>
          <w:w w:val="105"/>
          <w:sz w:val="21"/>
        </w:rPr>
        <w:t> </w:t>
      </w:r>
      <w:r>
        <w:rPr>
          <w:w w:val="105"/>
          <w:sz w:val="21"/>
        </w:rPr>
        <w:t>the</w:t>
      </w:r>
      <w:r>
        <w:rPr>
          <w:spacing w:val="-8"/>
          <w:w w:val="105"/>
          <w:sz w:val="21"/>
        </w:rPr>
        <w:t> </w:t>
      </w:r>
      <w:r>
        <w:rPr>
          <w:w w:val="105"/>
          <w:sz w:val="21"/>
        </w:rPr>
        <w:t>partners by </w:t>
      </w:r>
      <w:r>
        <w:rPr>
          <w:spacing w:val="-2"/>
          <w:w w:val="105"/>
          <w:sz w:val="21"/>
        </w:rPr>
        <w:t>distribution agreement </w:t>
      </w:r>
      <w:r>
        <w:rPr>
          <w:w w:val="105"/>
          <w:sz w:val="21"/>
        </w:rPr>
        <w:t>or </w:t>
      </w:r>
      <w:r>
        <w:rPr>
          <w:spacing w:val="-2"/>
          <w:w w:val="105"/>
          <w:sz w:val="21"/>
        </w:rPr>
        <w:t>distribution </w:t>
      </w:r>
      <w:r>
        <w:rPr>
          <w:spacing w:val="-4"/>
          <w:w w:val="105"/>
          <w:sz w:val="21"/>
        </w:rPr>
        <w:t>order, </w:t>
      </w:r>
      <w:r>
        <w:rPr>
          <w:w w:val="105"/>
          <w:sz w:val="21"/>
        </w:rPr>
        <w:t>provides a better solution </w:t>
      </w:r>
      <w:r>
        <w:rPr>
          <w:spacing w:val="-3"/>
          <w:w w:val="105"/>
          <w:sz w:val="21"/>
        </w:rPr>
        <w:t>than Victoria’s current </w:t>
      </w:r>
      <w:r>
        <w:rPr>
          <w:w w:val="105"/>
          <w:sz w:val="21"/>
        </w:rPr>
        <w:t>one-size-fits-all statutory</w:t>
      </w:r>
      <w:r>
        <w:rPr>
          <w:spacing w:val="16"/>
          <w:w w:val="105"/>
          <w:sz w:val="21"/>
        </w:rPr>
        <w:t> </w:t>
      </w:r>
      <w:r>
        <w:rPr>
          <w:spacing w:val="-3"/>
          <w:w w:val="105"/>
          <w:sz w:val="21"/>
        </w:rPr>
        <w:t>formula.</w:t>
      </w:r>
    </w:p>
    <w:p>
      <w:pPr>
        <w:pStyle w:val="ListParagraph"/>
        <w:numPr>
          <w:ilvl w:val="1"/>
          <w:numId w:val="22"/>
        </w:numPr>
        <w:tabs>
          <w:tab w:pos="2380" w:val="left" w:leader="none"/>
          <w:tab w:pos="2381" w:val="left" w:leader="none"/>
        </w:tabs>
        <w:spacing w:line="242" w:lineRule="auto" w:before="127" w:after="0"/>
        <w:ind w:left="2380" w:right="1656" w:hanging="793"/>
        <w:jc w:val="left"/>
        <w:rPr>
          <w:sz w:val="21"/>
        </w:rPr>
      </w:pPr>
      <w:r>
        <w:rPr>
          <w:sz w:val="21"/>
        </w:rPr>
        <w:t>If a partner feels </w:t>
      </w:r>
      <w:r>
        <w:rPr>
          <w:spacing w:val="-3"/>
          <w:sz w:val="21"/>
        </w:rPr>
        <w:t>that  </w:t>
      </w:r>
      <w:r>
        <w:rPr>
          <w:spacing w:val="-2"/>
          <w:sz w:val="21"/>
        </w:rPr>
        <w:t>distribution </w:t>
      </w:r>
      <w:r>
        <w:rPr>
          <w:sz w:val="21"/>
        </w:rPr>
        <w:t>in </w:t>
      </w:r>
      <w:r>
        <w:rPr>
          <w:spacing w:val="-3"/>
          <w:sz w:val="21"/>
        </w:rPr>
        <w:t>accordance</w:t>
      </w:r>
      <w:r>
        <w:rPr>
          <w:spacing w:val="41"/>
          <w:sz w:val="21"/>
        </w:rPr>
        <w:t> </w:t>
      </w:r>
      <w:r>
        <w:rPr>
          <w:sz w:val="21"/>
        </w:rPr>
        <w:t>with these </w:t>
      </w:r>
      <w:r>
        <w:rPr>
          <w:spacing w:val="-3"/>
          <w:sz w:val="21"/>
        </w:rPr>
        <w:t>provisions,  including  sharing  </w:t>
      </w:r>
      <w:r>
        <w:rPr>
          <w:sz w:val="21"/>
        </w:rPr>
        <w:t>the statutory </w:t>
      </w:r>
      <w:r>
        <w:rPr>
          <w:spacing w:val="-3"/>
          <w:sz w:val="21"/>
        </w:rPr>
        <w:t>legacy, </w:t>
      </w:r>
      <w:r>
        <w:rPr>
          <w:sz w:val="21"/>
        </w:rPr>
        <w:t>does </w:t>
      </w:r>
      <w:r>
        <w:rPr>
          <w:spacing w:val="-2"/>
          <w:sz w:val="21"/>
        </w:rPr>
        <w:t>not </w:t>
      </w:r>
      <w:r>
        <w:rPr>
          <w:spacing w:val="-4"/>
          <w:sz w:val="21"/>
        </w:rPr>
        <w:t>make </w:t>
      </w:r>
      <w:r>
        <w:rPr>
          <w:spacing w:val="-3"/>
          <w:sz w:val="21"/>
        </w:rPr>
        <w:t>adequate provision for </w:t>
      </w:r>
      <w:r>
        <w:rPr>
          <w:sz w:val="21"/>
        </w:rPr>
        <w:t>their proper </w:t>
      </w:r>
      <w:r>
        <w:rPr>
          <w:spacing w:val="-3"/>
          <w:sz w:val="21"/>
        </w:rPr>
        <w:t>maintenance </w:t>
      </w:r>
      <w:r>
        <w:rPr>
          <w:sz w:val="21"/>
        </w:rPr>
        <w:t>and support,</w:t>
      </w:r>
      <w:r>
        <w:rPr>
          <w:spacing w:val="11"/>
          <w:sz w:val="21"/>
        </w:rPr>
        <w:t> </w:t>
      </w:r>
      <w:r>
        <w:rPr>
          <w:sz w:val="21"/>
        </w:rPr>
        <w:t>it</w:t>
      </w:r>
      <w:r>
        <w:rPr>
          <w:spacing w:val="11"/>
          <w:sz w:val="21"/>
        </w:rPr>
        <w:t> </w:t>
      </w:r>
      <w:r>
        <w:rPr>
          <w:spacing w:val="-3"/>
          <w:sz w:val="21"/>
        </w:rPr>
        <w:t>will</w:t>
      </w:r>
      <w:r>
        <w:rPr>
          <w:spacing w:val="11"/>
          <w:sz w:val="21"/>
        </w:rPr>
        <w:t> </w:t>
      </w:r>
      <w:r>
        <w:rPr>
          <w:sz w:val="21"/>
        </w:rPr>
        <w:t>still</w:t>
      </w:r>
      <w:r>
        <w:rPr>
          <w:spacing w:val="11"/>
          <w:sz w:val="21"/>
        </w:rPr>
        <w:t> </w:t>
      </w:r>
      <w:r>
        <w:rPr>
          <w:sz w:val="21"/>
        </w:rPr>
        <w:t>be</w:t>
      </w:r>
      <w:r>
        <w:rPr>
          <w:spacing w:val="11"/>
          <w:sz w:val="21"/>
        </w:rPr>
        <w:t> </w:t>
      </w:r>
      <w:r>
        <w:rPr>
          <w:sz w:val="21"/>
        </w:rPr>
        <w:t>possible</w:t>
      </w:r>
      <w:r>
        <w:rPr>
          <w:spacing w:val="11"/>
          <w:sz w:val="21"/>
        </w:rPr>
        <w:t> </w:t>
      </w:r>
      <w:r>
        <w:rPr>
          <w:spacing w:val="-3"/>
          <w:sz w:val="21"/>
        </w:rPr>
        <w:t>for</w:t>
      </w:r>
      <w:r>
        <w:rPr>
          <w:spacing w:val="11"/>
          <w:sz w:val="21"/>
        </w:rPr>
        <w:t> </w:t>
      </w:r>
      <w:r>
        <w:rPr>
          <w:sz w:val="21"/>
        </w:rPr>
        <w:t>them</w:t>
      </w:r>
      <w:r>
        <w:rPr>
          <w:spacing w:val="12"/>
          <w:sz w:val="21"/>
        </w:rPr>
        <w:t> </w:t>
      </w:r>
      <w:r>
        <w:rPr>
          <w:spacing w:val="-3"/>
          <w:sz w:val="21"/>
        </w:rPr>
        <w:t>to</w:t>
      </w:r>
      <w:r>
        <w:rPr>
          <w:spacing w:val="11"/>
          <w:sz w:val="21"/>
        </w:rPr>
        <w:t> </w:t>
      </w:r>
      <w:r>
        <w:rPr>
          <w:spacing w:val="-4"/>
          <w:sz w:val="21"/>
        </w:rPr>
        <w:t>make</w:t>
      </w:r>
      <w:r>
        <w:rPr>
          <w:spacing w:val="11"/>
          <w:sz w:val="21"/>
        </w:rPr>
        <w:t> </w:t>
      </w:r>
      <w:r>
        <w:rPr>
          <w:sz w:val="21"/>
        </w:rPr>
        <w:t>a</w:t>
      </w:r>
      <w:r>
        <w:rPr>
          <w:spacing w:val="11"/>
          <w:sz w:val="21"/>
        </w:rPr>
        <w:t> </w:t>
      </w:r>
      <w:r>
        <w:rPr>
          <w:spacing w:val="-3"/>
          <w:sz w:val="21"/>
        </w:rPr>
        <w:t>family</w:t>
      </w:r>
      <w:r>
        <w:rPr>
          <w:spacing w:val="11"/>
          <w:sz w:val="21"/>
        </w:rPr>
        <w:t> </w:t>
      </w:r>
      <w:r>
        <w:rPr>
          <w:spacing w:val="-3"/>
          <w:sz w:val="21"/>
        </w:rPr>
        <w:t>provision</w:t>
      </w:r>
      <w:r>
        <w:rPr>
          <w:spacing w:val="11"/>
          <w:sz w:val="21"/>
        </w:rPr>
        <w:t> </w:t>
      </w:r>
      <w:r>
        <w:rPr>
          <w:spacing w:val="-3"/>
          <w:sz w:val="21"/>
        </w:rPr>
        <w:t>claim.</w:t>
      </w:r>
    </w:p>
    <w:p>
      <w:pPr>
        <w:pStyle w:val="BodyText"/>
        <w:rPr>
          <w:sz w:val="20"/>
        </w:rPr>
      </w:pPr>
    </w:p>
    <w:p>
      <w:pPr>
        <w:pStyle w:val="BodyText"/>
        <w:spacing w:before="8"/>
        <w:rPr>
          <w:sz w:val="17"/>
        </w:rPr>
      </w:pPr>
      <w:r>
        <w:rPr/>
        <w:pict>
          <v:line style="position:absolute;mso-position-horizontal-relative:page;mso-position-vertical-relative:paragraph;z-index:5000;mso-wrap-distance-left:0;mso-wrap-distance-right:0" from="79.370102pt,13.271322pt" to="515.905102pt,13.271322pt" stroked="true" strokeweight="1pt" strokecolor="#f9ceca">
            <v:stroke dashstyle="solid"/>
            <w10:wrap type="topAndBottom"/>
          </v:line>
        </w:pict>
      </w:r>
    </w:p>
    <w:p>
      <w:pPr>
        <w:pStyle w:val="ListParagraph"/>
        <w:numPr>
          <w:ilvl w:val="0"/>
          <w:numId w:val="65"/>
        </w:numPr>
        <w:tabs>
          <w:tab w:pos="2380" w:val="left" w:leader="none"/>
          <w:tab w:pos="2382" w:val="left" w:leader="none"/>
        </w:tabs>
        <w:spacing w:line="240" w:lineRule="auto" w:before="117" w:after="0"/>
        <w:ind w:left="2381" w:right="0" w:hanging="794"/>
        <w:jc w:val="left"/>
        <w:rPr>
          <w:sz w:val="13"/>
        </w:rPr>
      </w:pPr>
      <w:r>
        <w:rPr>
          <w:w w:val="105"/>
          <w:sz w:val="13"/>
        </w:rPr>
        <w:t>Submissions</w:t>
      </w:r>
      <w:r>
        <w:rPr>
          <w:spacing w:val="4"/>
          <w:w w:val="105"/>
          <w:sz w:val="13"/>
        </w:rPr>
        <w:t> </w:t>
      </w:r>
      <w:r>
        <w:rPr>
          <w:spacing w:val="-3"/>
          <w:w w:val="105"/>
          <w:sz w:val="13"/>
        </w:rPr>
        <w:t>14</w:t>
      </w:r>
      <w:r>
        <w:rPr>
          <w:spacing w:val="4"/>
          <w:w w:val="105"/>
          <w:sz w:val="13"/>
        </w:rPr>
        <w:t> </w:t>
      </w:r>
      <w:r>
        <w:rPr>
          <w:w w:val="105"/>
          <w:sz w:val="13"/>
        </w:rPr>
        <w:t>(Commercial</w:t>
      </w:r>
      <w:r>
        <w:rPr>
          <w:spacing w:val="5"/>
          <w:w w:val="105"/>
          <w:sz w:val="13"/>
        </w:rPr>
        <w:t> </w:t>
      </w:r>
      <w:r>
        <w:rPr>
          <w:w w:val="105"/>
          <w:sz w:val="13"/>
        </w:rPr>
        <w:t>Bar</w:t>
      </w:r>
      <w:r>
        <w:rPr>
          <w:spacing w:val="4"/>
          <w:w w:val="105"/>
          <w:sz w:val="13"/>
        </w:rPr>
        <w:t> </w:t>
      </w:r>
      <w:r>
        <w:rPr>
          <w:spacing w:val="2"/>
          <w:w w:val="105"/>
          <w:sz w:val="13"/>
        </w:rPr>
        <w:t>Association);</w:t>
      </w:r>
      <w:r>
        <w:rPr>
          <w:spacing w:val="4"/>
          <w:w w:val="105"/>
          <w:sz w:val="13"/>
        </w:rPr>
        <w:t> </w:t>
      </w:r>
      <w:r>
        <w:rPr>
          <w:spacing w:val="-3"/>
          <w:w w:val="105"/>
          <w:sz w:val="13"/>
        </w:rPr>
        <w:t>19</w:t>
      </w:r>
      <w:r>
        <w:rPr>
          <w:spacing w:val="5"/>
          <w:w w:val="105"/>
          <w:sz w:val="13"/>
        </w:rPr>
        <w:t> </w:t>
      </w:r>
      <w:r>
        <w:rPr>
          <w:spacing w:val="2"/>
          <w:w w:val="105"/>
          <w:sz w:val="13"/>
        </w:rPr>
        <w:t>(Association</w:t>
      </w:r>
      <w:r>
        <w:rPr>
          <w:spacing w:val="4"/>
          <w:w w:val="105"/>
          <w:sz w:val="13"/>
        </w:rPr>
        <w:t> </w:t>
      </w:r>
      <w:r>
        <w:rPr>
          <w:w w:val="105"/>
          <w:sz w:val="13"/>
        </w:rPr>
        <w:t>of</w:t>
      </w:r>
      <w:r>
        <w:rPr>
          <w:spacing w:val="4"/>
          <w:w w:val="105"/>
          <w:sz w:val="13"/>
        </w:rPr>
        <w:t> </w:t>
      </w:r>
      <w:r>
        <w:rPr>
          <w:w w:val="105"/>
          <w:sz w:val="13"/>
        </w:rPr>
        <w:t>Independent</w:t>
      </w:r>
      <w:r>
        <w:rPr>
          <w:spacing w:val="5"/>
          <w:w w:val="105"/>
          <w:sz w:val="13"/>
        </w:rPr>
        <w:t> </w:t>
      </w:r>
      <w:r>
        <w:rPr>
          <w:w w:val="105"/>
          <w:sz w:val="13"/>
        </w:rPr>
        <w:t>Retirees);</w:t>
      </w:r>
      <w:r>
        <w:rPr>
          <w:spacing w:val="4"/>
          <w:w w:val="105"/>
          <w:sz w:val="13"/>
        </w:rPr>
        <w:t> </w:t>
      </w:r>
      <w:r>
        <w:rPr>
          <w:spacing w:val="2"/>
          <w:w w:val="105"/>
          <w:sz w:val="13"/>
        </w:rPr>
        <w:t>30b</w:t>
      </w:r>
      <w:r>
        <w:rPr>
          <w:spacing w:val="4"/>
          <w:w w:val="105"/>
          <w:sz w:val="13"/>
        </w:rPr>
        <w:t> </w:t>
      </w:r>
      <w:r>
        <w:rPr>
          <w:spacing w:val="3"/>
          <w:w w:val="105"/>
          <w:sz w:val="13"/>
        </w:rPr>
        <w:t>(Law</w:t>
      </w:r>
      <w:r>
        <w:rPr>
          <w:spacing w:val="5"/>
          <w:w w:val="105"/>
          <w:sz w:val="13"/>
        </w:rPr>
        <w:t> </w:t>
      </w:r>
      <w:r>
        <w:rPr>
          <w:w w:val="105"/>
          <w:sz w:val="13"/>
        </w:rPr>
        <w:t>Institute</w:t>
      </w:r>
      <w:r>
        <w:rPr>
          <w:spacing w:val="4"/>
          <w:w w:val="105"/>
          <w:sz w:val="13"/>
        </w:rPr>
        <w:t> </w:t>
      </w:r>
      <w:r>
        <w:rPr>
          <w:w w:val="105"/>
          <w:sz w:val="13"/>
        </w:rPr>
        <w:t>of</w:t>
      </w:r>
      <w:r>
        <w:rPr>
          <w:spacing w:val="5"/>
          <w:w w:val="105"/>
          <w:sz w:val="13"/>
        </w:rPr>
        <w:t> </w:t>
      </w:r>
      <w:r>
        <w:rPr>
          <w:spacing w:val="2"/>
          <w:w w:val="105"/>
          <w:sz w:val="13"/>
        </w:rPr>
        <w:t>Victoria).</w:t>
      </w:r>
    </w:p>
    <w:p>
      <w:pPr>
        <w:pStyle w:val="ListParagraph"/>
        <w:numPr>
          <w:ilvl w:val="0"/>
          <w:numId w:val="65"/>
        </w:numPr>
        <w:tabs>
          <w:tab w:pos="2381" w:val="left" w:leader="none"/>
          <w:tab w:pos="2382" w:val="left" w:leader="none"/>
        </w:tabs>
        <w:spacing w:line="240" w:lineRule="auto" w:before="1" w:after="0"/>
        <w:ind w:left="2381" w:right="0" w:hanging="794"/>
        <w:jc w:val="left"/>
        <w:rPr>
          <w:sz w:val="13"/>
        </w:rPr>
      </w:pPr>
      <w:r>
        <w:rPr>
          <w:w w:val="105"/>
          <w:sz w:val="13"/>
        </w:rPr>
        <w:t>Submissions</w:t>
      </w:r>
      <w:r>
        <w:rPr>
          <w:spacing w:val="4"/>
          <w:w w:val="105"/>
          <w:sz w:val="13"/>
        </w:rPr>
        <w:t> </w:t>
      </w:r>
      <w:r>
        <w:rPr>
          <w:w w:val="105"/>
          <w:sz w:val="13"/>
        </w:rPr>
        <w:t>36</w:t>
      </w:r>
      <w:r>
        <w:rPr>
          <w:spacing w:val="5"/>
          <w:w w:val="105"/>
          <w:sz w:val="13"/>
        </w:rPr>
        <w:t> </w:t>
      </w:r>
      <w:r>
        <w:rPr>
          <w:spacing w:val="3"/>
          <w:w w:val="105"/>
          <w:sz w:val="13"/>
        </w:rPr>
        <w:t>(Law</w:t>
      </w:r>
      <w:r>
        <w:rPr>
          <w:spacing w:val="5"/>
          <w:w w:val="105"/>
          <w:sz w:val="13"/>
        </w:rPr>
        <w:t> </w:t>
      </w:r>
      <w:r>
        <w:rPr>
          <w:w w:val="105"/>
          <w:sz w:val="13"/>
        </w:rPr>
        <w:t>Society</w:t>
      </w:r>
      <w:r>
        <w:rPr>
          <w:spacing w:val="4"/>
          <w:w w:val="105"/>
          <w:sz w:val="13"/>
        </w:rPr>
        <w:t> </w:t>
      </w:r>
      <w:r>
        <w:rPr>
          <w:w w:val="105"/>
          <w:sz w:val="13"/>
        </w:rPr>
        <w:t>of</w:t>
      </w:r>
      <w:r>
        <w:rPr>
          <w:spacing w:val="5"/>
          <w:w w:val="105"/>
          <w:sz w:val="13"/>
        </w:rPr>
        <w:t> </w:t>
      </w:r>
      <w:r>
        <w:rPr>
          <w:w w:val="105"/>
          <w:sz w:val="13"/>
        </w:rPr>
        <w:t>New</w:t>
      </w:r>
      <w:r>
        <w:rPr>
          <w:spacing w:val="5"/>
          <w:w w:val="105"/>
          <w:sz w:val="13"/>
        </w:rPr>
        <w:t> </w:t>
      </w:r>
      <w:r>
        <w:rPr>
          <w:w w:val="105"/>
          <w:sz w:val="13"/>
        </w:rPr>
        <w:t>South</w:t>
      </w:r>
      <w:r>
        <w:rPr>
          <w:spacing w:val="4"/>
          <w:w w:val="105"/>
          <w:sz w:val="13"/>
        </w:rPr>
        <w:t> </w:t>
      </w:r>
      <w:r>
        <w:rPr>
          <w:w w:val="105"/>
          <w:sz w:val="13"/>
        </w:rPr>
        <w:t>Wales);</w:t>
      </w:r>
      <w:r>
        <w:rPr>
          <w:spacing w:val="5"/>
          <w:w w:val="105"/>
          <w:sz w:val="13"/>
        </w:rPr>
        <w:t> </w:t>
      </w:r>
      <w:r>
        <w:rPr>
          <w:w w:val="105"/>
          <w:sz w:val="13"/>
        </w:rPr>
        <w:t>25</w:t>
      </w:r>
      <w:r>
        <w:rPr>
          <w:spacing w:val="5"/>
          <w:w w:val="105"/>
          <w:sz w:val="13"/>
        </w:rPr>
        <w:t> </w:t>
      </w:r>
      <w:r>
        <w:rPr>
          <w:spacing w:val="2"/>
          <w:w w:val="105"/>
          <w:sz w:val="13"/>
        </w:rPr>
        <w:t>(Moores</w:t>
      </w:r>
      <w:r>
        <w:rPr>
          <w:spacing w:val="4"/>
          <w:w w:val="105"/>
          <w:sz w:val="13"/>
        </w:rPr>
        <w:t> </w:t>
      </w:r>
      <w:r>
        <w:rPr>
          <w:w w:val="105"/>
          <w:sz w:val="13"/>
        </w:rPr>
        <w:t>Legal);</w:t>
      </w:r>
      <w:r>
        <w:rPr>
          <w:spacing w:val="5"/>
          <w:w w:val="105"/>
          <w:sz w:val="13"/>
        </w:rPr>
        <w:t> </w:t>
      </w:r>
      <w:r>
        <w:rPr>
          <w:w w:val="105"/>
          <w:sz w:val="13"/>
        </w:rPr>
        <w:t>33</w:t>
      </w:r>
      <w:r>
        <w:rPr>
          <w:spacing w:val="5"/>
          <w:w w:val="105"/>
          <w:sz w:val="13"/>
        </w:rPr>
        <w:t> </w:t>
      </w:r>
      <w:r>
        <w:rPr>
          <w:w w:val="105"/>
          <w:sz w:val="13"/>
        </w:rPr>
        <w:t>(State</w:t>
      </w:r>
      <w:r>
        <w:rPr>
          <w:spacing w:val="4"/>
          <w:w w:val="105"/>
          <w:sz w:val="13"/>
        </w:rPr>
        <w:t> </w:t>
      </w:r>
      <w:r>
        <w:rPr>
          <w:w w:val="105"/>
          <w:sz w:val="13"/>
        </w:rPr>
        <w:t>Trustees</w:t>
      </w:r>
      <w:r>
        <w:rPr>
          <w:spacing w:val="5"/>
          <w:w w:val="105"/>
          <w:sz w:val="13"/>
        </w:rPr>
        <w:t> </w:t>
      </w:r>
      <w:r>
        <w:rPr>
          <w:w w:val="105"/>
          <w:sz w:val="13"/>
        </w:rPr>
        <w:t>Limited).</w:t>
      </w:r>
    </w:p>
    <w:p>
      <w:pPr>
        <w:pStyle w:val="ListParagraph"/>
        <w:numPr>
          <w:ilvl w:val="0"/>
          <w:numId w:val="65"/>
        </w:numPr>
        <w:tabs>
          <w:tab w:pos="2381" w:val="left" w:leader="none"/>
          <w:tab w:pos="2382" w:val="left" w:leader="none"/>
        </w:tabs>
        <w:spacing w:line="240" w:lineRule="auto" w:before="2" w:after="0"/>
        <w:ind w:left="2381" w:right="0" w:hanging="794"/>
        <w:jc w:val="left"/>
        <w:rPr>
          <w:sz w:val="13"/>
        </w:rPr>
      </w:pPr>
      <w:r>
        <w:rPr>
          <w:w w:val="105"/>
          <w:sz w:val="13"/>
        </w:rPr>
        <w:t>Submissions 25 </w:t>
      </w:r>
      <w:r>
        <w:rPr>
          <w:spacing w:val="2"/>
          <w:w w:val="105"/>
          <w:sz w:val="13"/>
        </w:rPr>
        <w:t>(Moores </w:t>
      </w:r>
      <w:r>
        <w:rPr>
          <w:w w:val="105"/>
          <w:sz w:val="13"/>
        </w:rPr>
        <w:t>Legal); 39 (Carolyn Sparke SC).</w:t>
      </w:r>
    </w:p>
    <w:p>
      <w:pPr>
        <w:pStyle w:val="ListParagraph"/>
        <w:numPr>
          <w:ilvl w:val="0"/>
          <w:numId w:val="65"/>
        </w:numPr>
        <w:tabs>
          <w:tab w:pos="2381" w:val="left" w:leader="none"/>
          <w:tab w:pos="2382" w:val="left" w:leader="none"/>
        </w:tabs>
        <w:spacing w:line="240" w:lineRule="auto" w:before="1" w:after="0"/>
        <w:ind w:left="2381" w:right="0" w:hanging="794"/>
        <w:jc w:val="left"/>
        <w:rPr>
          <w:sz w:val="13"/>
        </w:rPr>
      </w:pPr>
      <w:r>
        <w:rPr>
          <w:w w:val="105"/>
          <w:sz w:val="13"/>
        </w:rPr>
        <w:t>Submissions 25 </w:t>
      </w:r>
      <w:r>
        <w:rPr>
          <w:spacing w:val="2"/>
          <w:w w:val="105"/>
          <w:sz w:val="13"/>
        </w:rPr>
        <w:t>(Moores </w:t>
      </w:r>
      <w:r>
        <w:rPr>
          <w:w w:val="105"/>
          <w:sz w:val="13"/>
        </w:rPr>
        <w:t>Legal); 33 (State Trustees</w:t>
      </w:r>
      <w:r>
        <w:rPr>
          <w:spacing w:val="29"/>
          <w:w w:val="105"/>
          <w:sz w:val="13"/>
        </w:rPr>
        <w:t> </w:t>
      </w:r>
      <w:r>
        <w:rPr>
          <w:w w:val="105"/>
          <w:sz w:val="13"/>
        </w:rPr>
        <w:t>Limited).</w:t>
      </w:r>
    </w:p>
    <w:p>
      <w:pPr>
        <w:pStyle w:val="ListParagraph"/>
        <w:numPr>
          <w:ilvl w:val="0"/>
          <w:numId w:val="65"/>
        </w:numPr>
        <w:tabs>
          <w:tab w:pos="2381" w:val="left" w:leader="none"/>
          <w:tab w:pos="2382" w:val="left" w:leader="none"/>
        </w:tabs>
        <w:spacing w:line="240" w:lineRule="auto" w:before="1" w:after="0"/>
        <w:ind w:left="2381" w:right="0" w:hanging="794"/>
        <w:jc w:val="left"/>
        <w:rPr>
          <w:sz w:val="13"/>
        </w:rPr>
      </w:pPr>
      <w:r>
        <w:rPr/>
        <w:pict>
          <v:shape style="position:absolute;margin-left:36pt;margin-top:3.602365pt;width:13.75pt;height:14.25pt;mso-position-horizontal-relative:page;mso-position-vertical-relative:paragraph;z-index:7072" type="#_x0000_t202" filled="false" stroked="false">
            <v:textbox inset="0,0,0,0">
              <w:txbxContent>
                <w:p>
                  <w:pPr>
                    <w:spacing w:line="284" w:lineRule="exact" w:before="0"/>
                    <w:ind w:left="0" w:right="0" w:firstLine="0"/>
                    <w:jc w:val="left"/>
                    <w:rPr>
                      <w:b/>
                      <w:sz w:val="24"/>
                    </w:rPr>
                  </w:pPr>
                  <w:r>
                    <w:rPr>
                      <w:b/>
                      <w:color w:val="EC5A4F"/>
                      <w:w w:val="110"/>
                      <w:sz w:val="24"/>
                    </w:rPr>
                    <w:t>80</w:t>
                  </w:r>
                </w:p>
              </w:txbxContent>
            </v:textbox>
            <w10:wrap type="none"/>
          </v:shape>
        </w:pict>
      </w:r>
      <w:r>
        <w:rPr>
          <w:w w:val="105"/>
          <w:sz w:val="13"/>
        </w:rPr>
        <w:t>Submission 36 </w:t>
      </w:r>
      <w:r>
        <w:rPr>
          <w:spacing w:val="3"/>
          <w:w w:val="105"/>
          <w:sz w:val="13"/>
        </w:rPr>
        <w:t>(Law </w:t>
      </w:r>
      <w:r>
        <w:rPr>
          <w:w w:val="105"/>
          <w:sz w:val="13"/>
        </w:rPr>
        <w:t>Society of New South</w:t>
      </w:r>
      <w:r>
        <w:rPr>
          <w:spacing w:val="29"/>
          <w:w w:val="105"/>
          <w:sz w:val="13"/>
        </w:rPr>
        <w:t> </w:t>
      </w:r>
      <w:r>
        <w:rPr>
          <w:w w:val="105"/>
          <w:sz w:val="13"/>
        </w:rPr>
        <w:t>Wales).</w:t>
      </w:r>
    </w:p>
    <w:p>
      <w:pPr>
        <w:pStyle w:val="ListParagraph"/>
        <w:numPr>
          <w:ilvl w:val="0"/>
          <w:numId w:val="65"/>
        </w:numPr>
        <w:tabs>
          <w:tab w:pos="2381" w:val="left" w:leader="none"/>
          <w:tab w:pos="2382" w:val="left" w:leader="none"/>
        </w:tabs>
        <w:spacing w:line="240" w:lineRule="auto" w:before="2" w:after="0"/>
        <w:ind w:left="2381" w:right="0" w:hanging="794"/>
        <w:jc w:val="left"/>
        <w:rPr>
          <w:sz w:val="13"/>
        </w:rPr>
      </w:pPr>
      <w:r>
        <w:rPr>
          <w:i/>
          <w:w w:val="105"/>
          <w:sz w:val="13"/>
        </w:rPr>
        <w:t>Succession Act 2006 </w:t>
      </w:r>
      <w:r>
        <w:rPr>
          <w:spacing w:val="3"/>
          <w:w w:val="105"/>
          <w:sz w:val="13"/>
        </w:rPr>
        <w:t>(NSW) </w:t>
      </w:r>
      <w:r>
        <w:rPr>
          <w:w w:val="105"/>
          <w:sz w:val="13"/>
        </w:rPr>
        <w:t>ss 124,</w:t>
      </w:r>
      <w:r>
        <w:rPr>
          <w:spacing w:val="23"/>
          <w:w w:val="105"/>
          <w:sz w:val="13"/>
        </w:rPr>
        <w:t> </w:t>
      </w:r>
      <w:r>
        <w:rPr>
          <w:w w:val="105"/>
          <w:sz w:val="13"/>
        </w:rPr>
        <w:t>125(1).</w:t>
      </w:r>
    </w:p>
    <w:p>
      <w:pPr>
        <w:spacing w:after="0" w:line="240" w:lineRule="auto"/>
        <w:jc w:val="left"/>
        <w:rPr>
          <w:sz w:val="13"/>
        </w:rPr>
        <w:sectPr>
          <w:pgSz w:w="11910" w:h="16840"/>
          <w:pgMar w:header="550" w:footer="0" w:top="1560" w:bottom="280" w:left="0" w:right="0"/>
        </w:sectPr>
      </w:pPr>
    </w:p>
    <w:p>
      <w:pPr>
        <w:pStyle w:val="BodyText"/>
        <w:rPr>
          <w:sz w:val="20"/>
        </w:rPr>
      </w:pPr>
    </w:p>
    <w:p>
      <w:pPr>
        <w:pStyle w:val="BodyText"/>
        <w:spacing w:before="11" w:after="1"/>
        <w:rPr>
          <w:sz w:val="29"/>
        </w:rPr>
      </w:pPr>
    </w:p>
    <w:p>
      <w:pPr>
        <w:pStyle w:val="BodyText"/>
        <w:ind w:left="1222"/>
        <w:rPr>
          <w:sz w:val="20"/>
        </w:rPr>
      </w:pPr>
      <w:r>
        <w:rPr>
          <w:sz w:val="20"/>
        </w:rPr>
        <w:pict>
          <v:group style="width:479.1pt;height:179.55pt;mso-position-horizontal-relative:char;mso-position-vertical-relative:line" coordorigin="0,0" coordsize="9582,3591">
            <v:rect style="position:absolute;left:340;top:0;width:8731;height:3591" filled="true" fillcolor="#fdebea" stroked="false">
              <v:fill type="solid"/>
            </v:rect>
            <v:line style="position:absolute" from="0,751" to="9581,751" stroked="true" strokeweight="2.5pt" strokecolor="#ffffff">
              <v:stroke dashstyle="solid"/>
            </v:line>
            <v:shape style="position:absolute;left:1133;top:987;width:7641;height:2430" type="#_x0000_t202" filled="false" stroked="false">
              <v:textbox inset="0,0,0,0">
                <w:txbxContent>
                  <w:p>
                    <w:pPr>
                      <w:spacing w:line="242" w:lineRule="auto" w:before="0"/>
                      <w:ind w:left="0" w:right="0" w:firstLine="0"/>
                      <w:jc w:val="left"/>
                      <w:rPr>
                        <w:sz w:val="21"/>
                      </w:rPr>
                    </w:pPr>
                    <w:r>
                      <w:rPr>
                        <w:w w:val="115"/>
                        <w:sz w:val="21"/>
                      </w:rPr>
                      <w:t>Where the deceased person is survived by multiple partners and children or other issue who are entitled to a share on intestacy, the deceased person’s personal</w:t>
                    </w:r>
                    <w:r>
                      <w:rPr>
                        <w:spacing w:val="-13"/>
                        <w:w w:val="115"/>
                        <w:sz w:val="21"/>
                      </w:rPr>
                      <w:t> </w:t>
                    </w:r>
                    <w:r>
                      <w:rPr>
                        <w:w w:val="115"/>
                        <w:sz w:val="21"/>
                      </w:rPr>
                      <w:t>chattels,</w:t>
                    </w:r>
                    <w:r>
                      <w:rPr>
                        <w:spacing w:val="-13"/>
                        <w:w w:val="115"/>
                        <w:sz w:val="21"/>
                      </w:rPr>
                      <w:t> </w:t>
                    </w:r>
                    <w:r>
                      <w:rPr>
                        <w:w w:val="115"/>
                        <w:sz w:val="21"/>
                      </w:rPr>
                      <w:t>adjusted</w:t>
                    </w:r>
                    <w:r>
                      <w:rPr>
                        <w:spacing w:val="-12"/>
                        <w:w w:val="115"/>
                        <w:sz w:val="21"/>
                      </w:rPr>
                      <w:t> </w:t>
                    </w:r>
                    <w:r>
                      <w:rPr>
                        <w:w w:val="115"/>
                        <w:sz w:val="21"/>
                      </w:rPr>
                      <w:t>statutory</w:t>
                    </w:r>
                    <w:r>
                      <w:rPr>
                        <w:spacing w:val="-13"/>
                        <w:w w:val="115"/>
                        <w:sz w:val="21"/>
                      </w:rPr>
                      <w:t> </w:t>
                    </w:r>
                    <w:r>
                      <w:rPr>
                        <w:w w:val="115"/>
                        <w:sz w:val="21"/>
                      </w:rPr>
                      <w:t>legacy,</w:t>
                    </w:r>
                    <w:r>
                      <w:rPr>
                        <w:spacing w:val="-13"/>
                        <w:w w:val="115"/>
                        <w:sz w:val="21"/>
                      </w:rPr>
                      <w:t> </w:t>
                    </w:r>
                    <w:r>
                      <w:rPr>
                        <w:w w:val="115"/>
                        <w:sz w:val="21"/>
                      </w:rPr>
                      <w:t>interest</w:t>
                    </w:r>
                    <w:r>
                      <w:rPr>
                        <w:spacing w:val="-12"/>
                        <w:w w:val="115"/>
                        <w:sz w:val="21"/>
                      </w:rPr>
                      <w:t> </w:t>
                    </w:r>
                    <w:r>
                      <w:rPr>
                        <w:w w:val="115"/>
                        <w:sz w:val="21"/>
                      </w:rPr>
                      <w:t>on</w:t>
                    </w:r>
                    <w:r>
                      <w:rPr>
                        <w:spacing w:val="-13"/>
                        <w:w w:val="115"/>
                        <w:sz w:val="21"/>
                      </w:rPr>
                      <w:t> </w:t>
                    </w:r>
                    <w:r>
                      <w:rPr>
                        <w:w w:val="115"/>
                        <w:sz w:val="21"/>
                      </w:rPr>
                      <w:t>the</w:t>
                    </w:r>
                    <w:r>
                      <w:rPr>
                        <w:spacing w:val="-12"/>
                        <w:w w:val="115"/>
                        <w:sz w:val="21"/>
                      </w:rPr>
                      <w:t> </w:t>
                    </w:r>
                    <w:r>
                      <w:rPr>
                        <w:w w:val="115"/>
                        <w:sz w:val="21"/>
                      </w:rPr>
                      <w:t>adjusted</w:t>
                    </w:r>
                    <w:r>
                      <w:rPr>
                        <w:spacing w:val="-13"/>
                        <w:w w:val="115"/>
                        <w:sz w:val="21"/>
                      </w:rPr>
                      <w:t> </w:t>
                    </w:r>
                    <w:r>
                      <w:rPr>
                        <w:w w:val="115"/>
                        <w:sz w:val="21"/>
                      </w:rPr>
                      <w:t>statutory legacy (if any) and one half of the remainder of the intestate estate should be shared between the</w:t>
                    </w:r>
                    <w:r>
                      <w:rPr>
                        <w:spacing w:val="1"/>
                        <w:w w:val="115"/>
                        <w:sz w:val="21"/>
                      </w:rPr>
                      <w:t> </w:t>
                    </w:r>
                    <w:r>
                      <w:rPr>
                        <w:w w:val="115"/>
                        <w:sz w:val="21"/>
                      </w:rPr>
                      <w:t>partners:</w:t>
                    </w:r>
                  </w:p>
                  <w:p>
                    <w:pPr>
                      <w:numPr>
                        <w:ilvl w:val="0"/>
                        <w:numId w:val="67"/>
                      </w:numPr>
                      <w:tabs>
                        <w:tab w:pos="341" w:val="left" w:leader="none"/>
                      </w:tabs>
                      <w:spacing w:before="122"/>
                      <w:ind w:left="340" w:right="0" w:hanging="340"/>
                      <w:jc w:val="left"/>
                      <w:rPr>
                        <w:sz w:val="21"/>
                      </w:rPr>
                    </w:pPr>
                    <w:r>
                      <w:rPr>
                        <w:w w:val="115"/>
                        <w:sz w:val="21"/>
                      </w:rPr>
                      <w:t>in accordance with a distribution agreement,</w:t>
                    </w:r>
                    <w:r>
                      <w:rPr>
                        <w:spacing w:val="-2"/>
                        <w:w w:val="115"/>
                        <w:sz w:val="21"/>
                      </w:rPr>
                      <w:t> </w:t>
                    </w:r>
                    <w:r>
                      <w:rPr>
                        <w:w w:val="115"/>
                        <w:sz w:val="21"/>
                      </w:rPr>
                      <w:t>or</w:t>
                    </w:r>
                  </w:p>
                  <w:p>
                    <w:pPr>
                      <w:numPr>
                        <w:ilvl w:val="0"/>
                        <w:numId w:val="67"/>
                      </w:numPr>
                      <w:tabs>
                        <w:tab w:pos="341" w:val="left" w:leader="none"/>
                      </w:tabs>
                      <w:spacing w:before="123"/>
                      <w:ind w:left="340" w:right="0" w:hanging="340"/>
                      <w:jc w:val="left"/>
                      <w:rPr>
                        <w:sz w:val="21"/>
                      </w:rPr>
                    </w:pPr>
                    <w:r>
                      <w:rPr>
                        <w:w w:val="115"/>
                        <w:sz w:val="21"/>
                      </w:rPr>
                      <w:t>in accordance with a distribution </w:t>
                    </w:r>
                    <w:r>
                      <w:rPr>
                        <w:spacing w:val="-3"/>
                        <w:w w:val="115"/>
                        <w:sz w:val="21"/>
                      </w:rPr>
                      <w:t>order,</w:t>
                    </w:r>
                    <w:r>
                      <w:rPr>
                        <w:spacing w:val="-1"/>
                        <w:w w:val="115"/>
                        <w:sz w:val="21"/>
                      </w:rPr>
                      <w:t> </w:t>
                    </w:r>
                    <w:r>
                      <w:rPr>
                        <w:w w:val="115"/>
                        <w:sz w:val="21"/>
                      </w:rPr>
                      <w:t>or</w:t>
                    </w:r>
                  </w:p>
                  <w:p>
                    <w:pPr>
                      <w:numPr>
                        <w:ilvl w:val="0"/>
                        <w:numId w:val="67"/>
                      </w:numPr>
                      <w:tabs>
                        <w:tab w:pos="341" w:val="left" w:leader="none"/>
                      </w:tabs>
                      <w:spacing w:line="252" w:lineRule="exact" w:before="124"/>
                      <w:ind w:left="340" w:right="0" w:hanging="340"/>
                      <w:jc w:val="left"/>
                      <w:rPr>
                        <w:sz w:val="21"/>
                      </w:rPr>
                    </w:pPr>
                    <w:r>
                      <w:rPr>
                        <w:w w:val="115"/>
                        <w:sz w:val="21"/>
                      </w:rPr>
                      <w:t>equally between the</w:t>
                    </w:r>
                    <w:r>
                      <w:rPr>
                        <w:spacing w:val="1"/>
                        <w:w w:val="115"/>
                        <w:sz w:val="21"/>
                      </w:rPr>
                      <w:t> </w:t>
                    </w:r>
                    <w:r>
                      <w:rPr>
                        <w:w w:val="115"/>
                        <w:sz w:val="21"/>
                      </w:rPr>
                      <w:t>partners.</w:t>
                    </w:r>
                  </w:p>
                </w:txbxContent>
              </v:textbox>
              <w10:wrap type="none"/>
            </v:shape>
            <v:shape style="position:absolute;left:566;top:987;width:255;height:249" type="#_x0000_t202" filled="false" stroked="false">
              <v:textbox inset="0,0,0,0">
                <w:txbxContent>
                  <w:p>
                    <w:pPr>
                      <w:spacing w:line="249" w:lineRule="exact" w:before="0"/>
                      <w:ind w:left="0" w:right="0" w:firstLine="0"/>
                      <w:jc w:val="left"/>
                      <w:rPr>
                        <w:sz w:val="21"/>
                      </w:rPr>
                    </w:pPr>
                    <w:r>
                      <w:rPr>
                        <w:w w:val="110"/>
                        <w:sz w:val="21"/>
                      </w:rPr>
                      <w:t>30</w:t>
                    </w:r>
                  </w:p>
                </w:txbxContent>
              </v:textbox>
              <w10:wrap type="none"/>
            </v:shape>
            <v:shape style="position:absolute;left:340;top:0;width:8731;height:726" type="#_x0000_t202" filled="true" fillcolor="#fdebea" stroked="false">
              <v:textbox inset="0,0,0,0">
                <w:txbxContent>
                  <w:p>
                    <w:pPr>
                      <w:spacing w:before="166"/>
                      <w:ind w:left="226" w:right="0" w:firstLine="0"/>
                      <w:jc w:val="left"/>
                      <w:rPr>
                        <w:b/>
                        <w:sz w:val="32"/>
                      </w:rPr>
                    </w:pPr>
                    <w:r>
                      <w:rPr>
                        <w:b/>
                        <w:color w:val="EC5A4F"/>
                        <w:w w:val="110"/>
                        <w:sz w:val="32"/>
                      </w:rPr>
                      <w:t>Recommendation</w:t>
                    </w:r>
                  </w:p>
                </w:txbxContent>
              </v:textbox>
              <v:fill type="solid"/>
              <w10:wrap type="none"/>
            </v:shape>
          </v:group>
        </w:pict>
      </w:r>
      <w:r>
        <w:rPr>
          <w:sz w:val="20"/>
        </w:rPr>
      </w:r>
    </w:p>
    <w:p>
      <w:pPr>
        <w:pStyle w:val="BodyText"/>
        <w:spacing w:before="8"/>
        <w:rPr>
          <w:sz w:val="14"/>
        </w:rPr>
      </w:pPr>
    </w:p>
    <w:p>
      <w:pPr>
        <w:pStyle w:val="Heading6"/>
        <w:spacing w:before="100"/>
      </w:pPr>
      <w:r>
        <w:rPr>
          <w:w w:val="115"/>
        </w:rPr>
        <w:t>The partner’s right to elect to acquire property</w:t>
      </w:r>
    </w:p>
    <w:p>
      <w:pPr>
        <w:pStyle w:val="ListParagraph"/>
        <w:numPr>
          <w:ilvl w:val="1"/>
          <w:numId w:val="22"/>
        </w:numPr>
        <w:tabs>
          <w:tab w:pos="2381" w:val="left" w:leader="none"/>
          <w:tab w:pos="2382" w:val="left" w:leader="none"/>
        </w:tabs>
        <w:spacing w:line="242" w:lineRule="auto" w:before="151" w:after="0"/>
        <w:ind w:left="2381" w:right="1832" w:hanging="794"/>
        <w:jc w:val="left"/>
        <w:rPr>
          <w:sz w:val="21"/>
        </w:rPr>
      </w:pPr>
      <w:r>
        <w:rPr>
          <w:w w:val="105"/>
          <w:sz w:val="21"/>
        </w:rPr>
        <w:t>The</w:t>
      </w:r>
      <w:r>
        <w:rPr>
          <w:spacing w:val="-5"/>
          <w:w w:val="105"/>
          <w:sz w:val="21"/>
        </w:rPr>
        <w:t> </w:t>
      </w:r>
      <w:r>
        <w:rPr>
          <w:w w:val="105"/>
          <w:sz w:val="21"/>
        </w:rPr>
        <w:t>Law</w:t>
      </w:r>
      <w:r>
        <w:rPr>
          <w:spacing w:val="-4"/>
          <w:w w:val="105"/>
          <w:sz w:val="21"/>
        </w:rPr>
        <w:t> </w:t>
      </w:r>
      <w:r>
        <w:rPr>
          <w:spacing w:val="-3"/>
          <w:w w:val="105"/>
          <w:sz w:val="21"/>
        </w:rPr>
        <w:t>Institute</w:t>
      </w:r>
      <w:r>
        <w:rPr>
          <w:spacing w:val="-4"/>
          <w:w w:val="105"/>
          <w:sz w:val="21"/>
        </w:rPr>
        <w:t> </w:t>
      </w:r>
      <w:r>
        <w:rPr>
          <w:w w:val="105"/>
          <w:sz w:val="21"/>
        </w:rPr>
        <w:t>of</w:t>
      </w:r>
      <w:r>
        <w:rPr>
          <w:spacing w:val="-4"/>
          <w:w w:val="105"/>
          <w:sz w:val="21"/>
        </w:rPr>
        <w:t> </w:t>
      </w:r>
      <w:r>
        <w:rPr>
          <w:w w:val="105"/>
          <w:sz w:val="21"/>
        </w:rPr>
        <w:t>Victoria</w:t>
      </w:r>
      <w:r>
        <w:rPr>
          <w:spacing w:val="-4"/>
          <w:w w:val="105"/>
          <w:sz w:val="21"/>
        </w:rPr>
        <w:t> </w:t>
      </w:r>
      <w:r>
        <w:rPr>
          <w:w w:val="105"/>
          <w:sz w:val="21"/>
        </w:rPr>
        <w:t>suggested</w:t>
      </w:r>
      <w:r>
        <w:rPr>
          <w:spacing w:val="-4"/>
          <w:w w:val="105"/>
          <w:sz w:val="21"/>
        </w:rPr>
        <w:t> </w:t>
      </w:r>
      <w:r>
        <w:rPr>
          <w:spacing w:val="-3"/>
          <w:w w:val="105"/>
          <w:sz w:val="21"/>
        </w:rPr>
        <w:t>that</w:t>
      </w:r>
      <w:r>
        <w:rPr>
          <w:spacing w:val="-4"/>
          <w:w w:val="105"/>
          <w:sz w:val="21"/>
        </w:rPr>
        <w:t> </w:t>
      </w:r>
      <w:r>
        <w:rPr>
          <w:spacing w:val="-3"/>
          <w:w w:val="105"/>
          <w:sz w:val="21"/>
        </w:rPr>
        <w:t>whichever</w:t>
      </w:r>
      <w:r>
        <w:rPr>
          <w:spacing w:val="-5"/>
          <w:w w:val="105"/>
          <w:sz w:val="21"/>
        </w:rPr>
        <w:t> </w:t>
      </w:r>
      <w:r>
        <w:rPr>
          <w:w w:val="105"/>
          <w:sz w:val="21"/>
        </w:rPr>
        <w:t>partner</w:t>
      </w:r>
      <w:r>
        <w:rPr>
          <w:spacing w:val="-4"/>
          <w:w w:val="105"/>
          <w:sz w:val="21"/>
        </w:rPr>
        <w:t> </w:t>
      </w:r>
      <w:r>
        <w:rPr>
          <w:spacing w:val="-2"/>
          <w:w w:val="105"/>
          <w:sz w:val="21"/>
        </w:rPr>
        <w:t>had</w:t>
      </w:r>
      <w:r>
        <w:rPr>
          <w:spacing w:val="-4"/>
          <w:w w:val="105"/>
          <w:sz w:val="21"/>
        </w:rPr>
        <w:t> </w:t>
      </w:r>
      <w:r>
        <w:rPr>
          <w:w w:val="105"/>
          <w:sz w:val="21"/>
        </w:rPr>
        <w:t>been</w:t>
      </w:r>
      <w:r>
        <w:rPr>
          <w:spacing w:val="-4"/>
          <w:w w:val="105"/>
          <w:sz w:val="21"/>
        </w:rPr>
        <w:t> </w:t>
      </w:r>
      <w:r>
        <w:rPr>
          <w:spacing w:val="-3"/>
          <w:w w:val="105"/>
          <w:sz w:val="21"/>
        </w:rPr>
        <w:t>living</w:t>
      </w:r>
      <w:r>
        <w:rPr>
          <w:spacing w:val="-4"/>
          <w:w w:val="105"/>
          <w:sz w:val="21"/>
        </w:rPr>
        <w:t> </w:t>
      </w:r>
      <w:r>
        <w:rPr>
          <w:w w:val="105"/>
          <w:sz w:val="21"/>
        </w:rPr>
        <w:t>with</w:t>
      </w:r>
      <w:r>
        <w:rPr>
          <w:spacing w:val="-4"/>
          <w:w w:val="105"/>
          <w:sz w:val="21"/>
        </w:rPr>
        <w:t> </w:t>
      </w:r>
      <w:r>
        <w:rPr>
          <w:w w:val="105"/>
          <w:sz w:val="21"/>
        </w:rPr>
        <w:t>the deceased</w:t>
      </w:r>
      <w:r>
        <w:rPr>
          <w:spacing w:val="-5"/>
          <w:w w:val="105"/>
          <w:sz w:val="21"/>
        </w:rPr>
        <w:t> </w:t>
      </w:r>
      <w:r>
        <w:rPr>
          <w:w w:val="105"/>
          <w:sz w:val="21"/>
        </w:rPr>
        <w:t>person</w:t>
      </w:r>
      <w:r>
        <w:rPr>
          <w:spacing w:val="-4"/>
          <w:w w:val="105"/>
          <w:sz w:val="21"/>
        </w:rPr>
        <w:t> </w:t>
      </w:r>
      <w:r>
        <w:rPr>
          <w:w w:val="105"/>
          <w:sz w:val="21"/>
        </w:rPr>
        <w:t>in</w:t>
      </w:r>
      <w:r>
        <w:rPr>
          <w:spacing w:val="-4"/>
          <w:w w:val="105"/>
          <w:sz w:val="21"/>
        </w:rPr>
        <w:t> </w:t>
      </w:r>
      <w:r>
        <w:rPr>
          <w:w w:val="105"/>
          <w:sz w:val="21"/>
        </w:rPr>
        <w:t>the</w:t>
      </w:r>
      <w:r>
        <w:rPr>
          <w:spacing w:val="-4"/>
          <w:w w:val="105"/>
          <w:sz w:val="21"/>
        </w:rPr>
        <w:t> </w:t>
      </w:r>
      <w:r>
        <w:rPr>
          <w:spacing w:val="-3"/>
          <w:w w:val="105"/>
          <w:sz w:val="21"/>
        </w:rPr>
        <w:t>shared</w:t>
      </w:r>
      <w:r>
        <w:rPr>
          <w:spacing w:val="-4"/>
          <w:w w:val="105"/>
          <w:sz w:val="21"/>
        </w:rPr>
        <w:t> </w:t>
      </w:r>
      <w:r>
        <w:rPr>
          <w:w w:val="105"/>
          <w:sz w:val="21"/>
        </w:rPr>
        <w:t>home</w:t>
      </w:r>
      <w:r>
        <w:rPr>
          <w:spacing w:val="-4"/>
          <w:w w:val="105"/>
          <w:sz w:val="21"/>
        </w:rPr>
        <w:t> </w:t>
      </w:r>
      <w:r>
        <w:rPr>
          <w:w w:val="105"/>
          <w:sz w:val="21"/>
        </w:rPr>
        <w:t>at</w:t>
      </w:r>
      <w:r>
        <w:rPr>
          <w:spacing w:val="-4"/>
          <w:w w:val="105"/>
          <w:sz w:val="21"/>
        </w:rPr>
        <w:t> </w:t>
      </w:r>
      <w:r>
        <w:rPr>
          <w:w w:val="105"/>
          <w:sz w:val="21"/>
        </w:rPr>
        <w:t>the</w:t>
      </w:r>
      <w:r>
        <w:rPr>
          <w:spacing w:val="-4"/>
          <w:w w:val="105"/>
          <w:sz w:val="21"/>
        </w:rPr>
        <w:t> </w:t>
      </w:r>
      <w:r>
        <w:rPr>
          <w:w w:val="105"/>
          <w:sz w:val="21"/>
        </w:rPr>
        <w:t>deceased</w:t>
      </w:r>
      <w:r>
        <w:rPr>
          <w:spacing w:val="-4"/>
          <w:w w:val="105"/>
          <w:sz w:val="21"/>
        </w:rPr>
        <w:t> </w:t>
      </w:r>
      <w:r>
        <w:rPr>
          <w:spacing w:val="-3"/>
          <w:w w:val="105"/>
          <w:sz w:val="21"/>
        </w:rPr>
        <w:t>person’s</w:t>
      </w:r>
      <w:r>
        <w:rPr>
          <w:spacing w:val="-4"/>
          <w:w w:val="105"/>
          <w:sz w:val="21"/>
        </w:rPr>
        <w:t> </w:t>
      </w:r>
      <w:r>
        <w:rPr>
          <w:spacing w:val="-3"/>
          <w:w w:val="105"/>
          <w:sz w:val="21"/>
        </w:rPr>
        <w:t>date</w:t>
      </w:r>
      <w:r>
        <w:rPr>
          <w:spacing w:val="-4"/>
          <w:w w:val="105"/>
          <w:sz w:val="21"/>
        </w:rPr>
        <w:t> </w:t>
      </w:r>
      <w:r>
        <w:rPr>
          <w:w w:val="105"/>
          <w:sz w:val="21"/>
        </w:rPr>
        <w:t>of</w:t>
      </w:r>
      <w:r>
        <w:rPr>
          <w:spacing w:val="-4"/>
          <w:w w:val="105"/>
          <w:sz w:val="21"/>
        </w:rPr>
        <w:t> </w:t>
      </w:r>
      <w:r>
        <w:rPr>
          <w:w w:val="105"/>
          <w:sz w:val="21"/>
        </w:rPr>
        <w:t>death</w:t>
      </w:r>
      <w:r>
        <w:rPr>
          <w:spacing w:val="-4"/>
          <w:w w:val="105"/>
          <w:sz w:val="21"/>
        </w:rPr>
        <w:t> </w:t>
      </w:r>
      <w:r>
        <w:rPr>
          <w:w w:val="105"/>
          <w:sz w:val="21"/>
        </w:rPr>
        <w:t>should</w:t>
      </w:r>
    </w:p>
    <w:p>
      <w:pPr>
        <w:pStyle w:val="BodyText"/>
        <w:spacing w:line="242" w:lineRule="auto" w:before="2"/>
        <w:ind w:left="2381" w:right="1581"/>
        <w:rPr>
          <w:sz w:val="12"/>
        </w:rPr>
      </w:pPr>
      <w:r>
        <w:rPr>
          <w:w w:val="105"/>
        </w:rPr>
        <w:t>be permitted </w:t>
      </w:r>
      <w:r>
        <w:rPr>
          <w:spacing w:val="-3"/>
          <w:w w:val="105"/>
        </w:rPr>
        <w:t>to </w:t>
      </w:r>
      <w:r>
        <w:rPr>
          <w:w w:val="105"/>
        </w:rPr>
        <w:t>elect </w:t>
      </w:r>
      <w:r>
        <w:rPr>
          <w:spacing w:val="-3"/>
          <w:w w:val="105"/>
        </w:rPr>
        <w:t>to acquire </w:t>
      </w:r>
      <w:r>
        <w:rPr>
          <w:w w:val="105"/>
        </w:rPr>
        <w:t>the deceased </w:t>
      </w:r>
      <w:r>
        <w:rPr>
          <w:spacing w:val="-3"/>
          <w:w w:val="105"/>
        </w:rPr>
        <w:t>person’s interest </w:t>
      </w:r>
      <w:r>
        <w:rPr>
          <w:w w:val="105"/>
        </w:rPr>
        <w:t>in the </w:t>
      </w:r>
      <w:r>
        <w:rPr>
          <w:spacing w:val="-3"/>
          <w:w w:val="105"/>
        </w:rPr>
        <w:t>shared </w:t>
      </w:r>
      <w:r>
        <w:rPr>
          <w:w w:val="105"/>
        </w:rPr>
        <w:t>home.</w:t>
      </w:r>
      <w:r>
        <w:rPr>
          <w:w w:val="105"/>
          <w:position w:val="7"/>
          <w:sz w:val="12"/>
        </w:rPr>
        <w:t>204 </w:t>
      </w:r>
      <w:r>
        <w:rPr>
          <w:spacing w:val="-4"/>
          <w:w w:val="105"/>
        </w:rPr>
        <w:t>However, </w:t>
      </w:r>
      <w:r>
        <w:rPr>
          <w:w w:val="105"/>
        </w:rPr>
        <w:t>the </w:t>
      </w:r>
      <w:r>
        <w:rPr>
          <w:spacing w:val="-3"/>
          <w:w w:val="105"/>
        </w:rPr>
        <w:t>National Committee </w:t>
      </w:r>
      <w:r>
        <w:rPr>
          <w:w w:val="105"/>
        </w:rPr>
        <w:t>recommended </w:t>
      </w:r>
      <w:r>
        <w:rPr>
          <w:spacing w:val="-3"/>
          <w:w w:val="105"/>
        </w:rPr>
        <w:t>against </w:t>
      </w:r>
      <w:r>
        <w:rPr>
          <w:w w:val="105"/>
        </w:rPr>
        <w:t>this where the deceased person is survived by </w:t>
      </w:r>
      <w:r>
        <w:rPr>
          <w:spacing w:val="-3"/>
          <w:w w:val="105"/>
        </w:rPr>
        <w:t>multiple </w:t>
      </w:r>
      <w:r>
        <w:rPr>
          <w:w w:val="105"/>
        </w:rPr>
        <w:t>partners, and rights of election do </w:t>
      </w:r>
      <w:r>
        <w:rPr>
          <w:spacing w:val="-2"/>
          <w:w w:val="105"/>
        </w:rPr>
        <w:t>not </w:t>
      </w:r>
      <w:r>
        <w:rPr>
          <w:w w:val="105"/>
        </w:rPr>
        <w:t>apply in New South </w:t>
      </w:r>
      <w:r>
        <w:rPr>
          <w:spacing w:val="-3"/>
          <w:w w:val="105"/>
        </w:rPr>
        <w:t>Wales </w:t>
      </w:r>
      <w:r>
        <w:rPr>
          <w:w w:val="105"/>
        </w:rPr>
        <w:t>and </w:t>
      </w:r>
      <w:r>
        <w:rPr>
          <w:spacing w:val="-5"/>
          <w:w w:val="105"/>
        </w:rPr>
        <w:t>Tasmania </w:t>
      </w:r>
      <w:r>
        <w:rPr>
          <w:w w:val="105"/>
        </w:rPr>
        <w:t>in these circumstances.</w:t>
      </w:r>
      <w:r>
        <w:rPr>
          <w:w w:val="105"/>
          <w:position w:val="7"/>
          <w:sz w:val="12"/>
        </w:rPr>
        <w:t>205</w:t>
      </w:r>
    </w:p>
    <w:p>
      <w:pPr>
        <w:pStyle w:val="ListParagraph"/>
        <w:numPr>
          <w:ilvl w:val="1"/>
          <w:numId w:val="22"/>
        </w:numPr>
        <w:tabs>
          <w:tab w:pos="2381" w:val="left" w:leader="none"/>
          <w:tab w:pos="2382" w:val="left" w:leader="none"/>
        </w:tabs>
        <w:spacing w:line="242" w:lineRule="auto" w:before="125" w:after="0"/>
        <w:ind w:left="2381" w:right="1756" w:hanging="794"/>
        <w:jc w:val="left"/>
        <w:rPr>
          <w:sz w:val="21"/>
        </w:rPr>
      </w:pPr>
      <w:r>
        <w:rPr>
          <w:sz w:val="21"/>
        </w:rPr>
        <w:t>The </w:t>
      </w:r>
      <w:r>
        <w:rPr>
          <w:spacing w:val="-3"/>
          <w:sz w:val="21"/>
        </w:rPr>
        <w:t>Commission </w:t>
      </w:r>
      <w:r>
        <w:rPr>
          <w:sz w:val="21"/>
        </w:rPr>
        <w:t>considers </w:t>
      </w:r>
      <w:r>
        <w:rPr>
          <w:spacing w:val="-3"/>
          <w:sz w:val="21"/>
        </w:rPr>
        <w:t>that allowing </w:t>
      </w:r>
      <w:r>
        <w:rPr>
          <w:sz w:val="21"/>
        </w:rPr>
        <w:t>partners </w:t>
      </w:r>
      <w:r>
        <w:rPr>
          <w:spacing w:val="-3"/>
          <w:sz w:val="21"/>
        </w:rPr>
        <w:t>to </w:t>
      </w:r>
      <w:r>
        <w:rPr>
          <w:sz w:val="21"/>
        </w:rPr>
        <w:t>elect </w:t>
      </w:r>
      <w:r>
        <w:rPr>
          <w:spacing w:val="-3"/>
          <w:sz w:val="21"/>
        </w:rPr>
        <w:t>to acquire </w:t>
      </w:r>
      <w:r>
        <w:rPr>
          <w:sz w:val="21"/>
        </w:rPr>
        <w:t>the home </w:t>
      </w:r>
      <w:r>
        <w:rPr>
          <w:spacing w:val="-3"/>
          <w:sz w:val="21"/>
        </w:rPr>
        <w:t>that </w:t>
      </w:r>
      <w:r>
        <w:rPr>
          <w:sz w:val="21"/>
        </w:rPr>
        <w:t>they </w:t>
      </w:r>
      <w:r>
        <w:rPr>
          <w:spacing w:val="-3"/>
          <w:sz w:val="21"/>
        </w:rPr>
        <w:t>shared </w:t>
      </w:r>
      <w:r>
        <w:rPr>
          <w:sz w:val="21"/>
        </w:rPr>
        <w:t>with the deceased person, where the deceased person is survived by more </w:t>
      </w:r>
      <w:r>
        <w:rPr>
          <w:spacing w:val="-3"/>
          <w:sz w:val="21"/>
        </w:rPr>
        <w:t>than </w:t>
      </w:r>
      <w:r>
        <w:rPr>
          <w:sz w:val="21"/>
        </w:rPr>
        <w:t>one </w:t>
      </w:r>
      <w:r>
        <w:rPr>
          <w:spacing w:val="-3"/>
          <w:sz w:val="21"/>
        </w:rPr>
        <w:t>partner, </w:t>
      </w:r>
      <w:r>
        <w:rPr>
          <w:sz w:val="21"/>
        </w:rPr>
        <w:t>would </w:t>
      </w:r>
      <w:r>
        <w:rPr>
          <w:spacing w:val="-3"/>
          <w:sz w:val="21"/>
        </w:rPr>
        <w:t>unduly complicate </w:t>
      </w:r>
      <w:r>
        <w:rPr>
          <w:sz w:val="21"/>
        </w:rPr>
        <w:t>estate </w:t>
      </w:r>
      <w:r>
        <w:rPr>
          <w:spacing w:val="-3"/>
          <w:sz w:val="21"/>
        </w:rPr>
        <w:t>administration. </w:t>
      </w:r>
      <w:r>
        <w:rPr>
          <w:sz w:val="21"/>
        </w:rPr>
        <w:t>It is </w:t>
      </w:r>
      <w:r>
        <w:rPr>
          <w:spacing w:val="-4"/>
          <w:sz w:val="21"/>
        </w:rPr>
        <w:t>likely </w:t>
      </w:r>
      <w:r>
        <w:rPr>
          <w:spacing w:val="-3"/>
          <w:sz w:val="21"/>
        </w:rPr>
        <w:t>that </w:t>
      </w:r>
      <w:r>
        <w:rPr>
          <w:sz w:val="21"/>
        </w:rPr>
        <w:t>a </w:t>
      </w:r>
      <w:r>
        <w:rPr>
          <w:spacing w:val="-2"/>
          <w:sz w:val="21"/>
        </w:rPr>
        <w:t>distribution agreement </w:t>
      </w:r>
      <w:r>
        <w:rPr>
          <w:spacing w:val="-3"/>
          <w:sz w:val="21"/>
        </w:rPr>
        <w:t>reached </w:t>
      </w:r>
      <w:r>
        <w:rPr>
          <w:sz w:val="21"/>
        </w:rPr>
        <w:t>between the parties, or a </w:t>
      </w:r>
      <w:r>
        <w:rPr>
          <w:spacing w:val="-2"/>
          <w:sz w:val="21"/>
        </w:rPr>
        <w:t>distribution </w:t>
      </w:r>
      <w:r>
        <w:rPr>
          <w:sz w:val="21"/>
        </w:rPr>
        <w:t>order  made  by  the  </w:t>
      </w:r>
      <w:r>
        <w:rPr>
          <w:spacing w:val="-3"/>
          <w:sz w:val="21"/>
        </w:rPr>
        <w:t>Court, </w:t>
      </w:r>
      <w:r>
        <w:rPr>
          <w:sz w:val="21"/>
        </w:rPr>
        <w:t>would </w:t>
      </w:r>
      <w:r>
        <w:rPr>
          <w:spacing w:val="-3"/>
          <w:sz w:val="21"/>
        </w:rPr>
        <w:t>take </w:t>
      </w:r>
      <w:r>
        <w:rPr>
          <w:spacing w:val="-4"/>
          <w:sz w:val="21"/>
        </w:rPr>
        <w:t>into </w:t>
      </w:r>
      <w:r>
        <w:rPr>
          <w:spacing w:val="-3"/>
          <w:sz w:val="21"/>
        </w:rPr>
        <w:t>account </w:t>
      </w:r>
      <w:r>
        <w:rPr>
          <w:sz w:val="21"/>
        </w:rPr>
        <w:t>whether a partner resided in a house </w:t>
      </w:r>
      <w:r>
        <w:rPr>
          <w:spacing w:val="-3"/>
          <w:sz w:val="21"/>
        </w:rPr>
        <w:t>that </w:t>
      </w:r>
      <w:r>
        <w:rPr>
          <w:sz w:val="21"/>
        </w:rPr>
        <w:t>formed part of the </w:t>
      </w:r>
      <w:r>
        <w:rPr>
          <w:spacing w:val="-3"/>
          <w:sz w:val="21"/>
        </w:rPr>
        <w:t>intestate estate. </w:t>
      </w:r>
      <w:r>
        <w:rPr>
          <w:sz w:val="21"/>
        </w:rPr>
        <w:t>The </w:t>
      </w:r>
      <w:r>
        <w:rPr>
          <w:spacing w:val="-3"/>
          <w:sz w:val="21"/>
        </w:rPr>
        <w:t>Commission </w:t>
      </w:r>
      <w:r>
        <w:rPr>
          <w:sz w:val="21"/>
        </w:rPr>
        <w:t>does </w:t>
      </w:r>
      <w:r>
        <w:rPr>
          <w:spacing w:val="-2"/>
          <w:sz w:val="21"/>
        </w:rPr>
        <w:t>not </w:t>
      </w:r>
      <w:r>
        <w:rPr>
          <w:spacing w:val="-3"/>
          <w:sz w:val="21"/>
        </w:rPr>
        <w:t>consider that </w:t>
      </w:r>
      <w:r>
        <w:rPr>
          <w:sz w:val="21"/>
        </w:rPr>
        <w:t>the partner’s </w:t>
      </w:r>
      <w:r>
        <w:rPr>
          <w:spacing w:val="-3"/>
          <w:sz w:val="21"/>
        </w:rPr>
        <w:t>right </w:t>
      </w:r>
      <w:r>
        <w:rPr>
          <w:sz w:val="21"/>
        </w:rPr>
        <w:t>of election should apply where there </w:t>
      </w:r>
      <w:r>
        <w:rPr>
          <w:spacing w:val="-3"/>
          <w:sz w:val="21"/>
        </w:rPr>
        <w:t>are multiple</w:t>
      </w:r>
      <w:r>
        <w:rPr>
          <w:spacing w:val="10"/>
          <w:sz w:val="21"/>
        </w:rPr>
        <w:t> </w:t>
      </w:r>
      <w:r>
        <w:rPr>
          <w:sz w:val="21"/>
        </w:rPr>
        <w:t>partners.</w:t>
      </w:r>
    </w:p>
    <w:p>
      <w:pPr>
        <w:pStyle w:val="BodyText"/>
        <w:spacing w:before="1"/>
        <w:rPr>
          <w:sz w:val="15"/>
        </w:rPr>
      </w:pPr>
      <w:r>
        <w:rPr/>
        <w:pict>
          <v:group style="position:absolute;margin-left:62.362202pt;margin-top:11.187494pt;width:479.1pt;height:83.55pt;mso-position-horizontal-relative:page;mso-position-vertical-relative:paragraph;z-index:5216;mso-wrap-distance-left:0;mso-wrap-distance-right:0" coordorigin="1247,224" coordsize="9582,1671">
            <v:rect style="position:absolute;left:1587;top:223;width:8731;height:1671" filled="true" fillcolor="#fdebea" stroked="false">
              <v:fill type="solid"/>
            </v:rect>
            <v:line style="position:absolute" from="1247,974" to="10828,974" stroked="true" strokeweight="2.5pt" strokecolor="#ffffff">
              <v:stroke dashstyle="solid"/>
            </v:line>
            <v:shape style="position:absolute;left:2381;top:1211;width:7164;height:509" type="#_x0000_t202" filled="false" stroked="false">
              <v:textbox inset="0,0,0,0">
                <w:txbxContent>
                  <w:p>
                    <w:pPr>
                      <w:spacing w:line="242" w:lineRule="auto" w:before="0"/>
                      <w:ind w:left="0" w:right="0" w:firstLine="0"/>
                      <w:jc w:val="left"/>
                      <w:rPr>
                        <w:sz w:val="21"/>
                      </w:rPr>
                    </w:pPr>
                    <w:r>
                      <w:rPr>
                        <w:w w:val="115"/>
                        <w:sz w:val="21"/>
                      </w:rPr>
                      <w:t>Where</w:t>
                    </w:r>
                    <w:r>
                      <w:rPr>
                        <w:spacing w:val="-14"/>
                        <w:w w:val="115"/>
                        <w:sz w:val="21"/>
                      </w:rPr>
                      <w:t> </w:t>
                    </w:r>
                    <w:r>
                      <w:rPr>
                        <w:w w:val="115"/>
                        <w:sz w:val="21"/>
                      </w:rPr>
                      <w:t>the</w:t>
                    </w:r>
                    <w:r>
                      <w:rPr>
                        <w:spacing w:val="-14"/>
                        <w:w w:val="115"/>
                        <w:sz w:val="21"/>
                      </w:rPr>
                      <w:t> </w:t>
                    </w:r>
                    <w:r>
                      <w:rPr>
                        <w:w w:val="115"/>
                        <w:sz w:val="21"/>
                      </w:rPr>
                      <w:t>deceased</w:t>
                    </w:r>
                    <w:r>
                      <w:rPr>
                        <w:spacing w:val="-14"/>
                        <w:w w:val="115"/>
                        <w:sz w:val="21"/>
                      </w:rPr>
                      <w:t> </w:t>
                    </w:r>
                    <w:r>
                      <w:rPr>
                        <w:w w:val="115"/>
                        <w:sz w:val="21"/>
                      </w:rPr>
                      <w:t>person</w:t>
                    </w:r>
                    <w:r>
                      <w:rPr>
                        <w:spacing w:val="-14"/>
                        <w:w w:val="115"/>
                        <w:sz w:val="21"/>
                      </w:rPr>
                      <w:t> </w:t>
                    </w:r>
                    <w:r>
                      <w:rPr>
                        <w:w w:val="115"/>
                        <w:sz w:val="21"/>
                      </w:rPr>
                      <w:t>is</w:t>
                    </w:r>
                    <w:r>
                      <w:rPr>
                        <w:spacing w:val="-14"/>
                        <w:w w:val="115"/>
                        <w:sz w:val="21"/>
                      </w:rPr>
                      <w:t> </w:t>
                    </w:r>
                    <w:r>
                      <w:rPr>
                        <w:w w:val="115"/>
                        <w:sz w:val="21"/>
                      </w:rPr>
                      <w:t>survived</w:t>
                    </w:r>
                    <w:r>
                      <w:rPr>
                        <w:spacing w:val="-14"/>
                        <w:w w:val="115"/>
                        <w:sz w:val="21"/>
                      </w:rPr>
                      <w:t> </w:t>
                    </w:r>
                    <w:r>
                      <w:rPr>
                        <w:w w:val="115"/>
                        <w:sz w:val="21"/>
                      </w:rPr>
                      <w:t>by</w:t>
                    </w:r>
                    <w:r>
                      <w:rPr>
                        <w:spacing w:val="-14"/>
                        <w:w w:val="115"/>
                        <w:sz w:val="21"/>
                      </w:rPr>
                      <w:t> </w:t>
                    </w:r>
                    <w:r>
                      <w:rPr>
                        <w:w w:val="115"/>
                        <w:sz w:val="21"/>
                      </w:rPr>
                      <w:t>multiple</w:t>
                    </w:r>
                    <w:r>
                      <w:rPr>
                        <w:spacing w:val="-14"/>
                        <w:w w:val="115"/>
                        <w:sz w:val="21"/>
                      </w:rPr>
                      <w:t> </w:t>
                    </w:r>
                    <w:r>
                      <w:rPr>
                        <w:w w:val="115"/>
                        <w:sz w:val="21"/>
                      </w:rPr>
                      <w:t>partners,</w:t>
                    </w:r>
                    <w:r>
                      <w:rPr>
                        <w:spacing w:val="-14"/>
                        <w:w w:val="115"/>
                        <w:sz w:val="21"/>
                      </w:rPr>
                      <w:t> </w:t>
                    </w:r>
                    <w:r>
                      <w:rPr>
                        <w:w w:val="115"/>
                        <w:sz w:val="21"/>
                      </w:rPr>
                      <w:t>there</w:t>
                    </w:r>
                    <w:r>
                      <w:rPr>
                        <w:spacing w:val="-14"/>
                        <w:w w:val="115"/>
                        <w:sz w:val="21"/>
                      </w:rPr>
                      <w:t> </w:t>
                    </w:r>
                    <w:r>
                      <w:rPr>
                        <w:w w:val="115"/>
                        <w:sz w:val="21"/>
                      </w:rPr>
                      <w:t>should be</w:t>
                    </w:r>
                    <w:r>
                      <w:rPr>
                        <w:spacing w:val="-5"/>
                        <w:w w:val="115"/>
                        <w:sz w:val="21"/>
                      </w:rPr>
                      <w:t> </w:t>
                    </w:r>
                    <w:r>
                      <w:rPr>
                        <w:w w:val="115"/>
                        <w:sz w:val="21"/>
                      </w:rPr>
                      <w:t>no</w:t>
                    </w:r>
                    <w:r>
                      <w:rPr>
                        <w:spacing w:val="-4"/>
                        <w:w w:val="115"/>
                        <w:sz w:val="21"/>
                      </w:rPr>
                      <w:t> </w:t>
                    </w:r>
                    <w:r>
                      <w:rPr>
                        <w:w w:val="115"/>
                        <w:sz w:val="21"/>
                      </w:rPr>
                      <w:t>right</w:t>
                    </w:r>
                    <w:r>
                      <w:rPr>
                        <w:spacing w:val="-5"/>
                        <w:w w:val="115"/>
                        <w:sz w:val="21"/>
                      </w:rPr>
                      <w:t> </w:t>
                    </w:r>
                    <w:r>
                      <w:rPr>
                        <w:w w:val="115"/>
                        <w:sz w:val="21"/>
                      </w:rPr>
                      <w:t>to</w:t>
                    </w:r>
                    <w:r>
                      <w:rPr>
                        <w:spacing w:val="-4"/>
                        <w:w w:val="115"/>
                        <w:sz w:val="21"/>
                      </w:rPr>
                      <w:t> </w:t>
                    </w:r>
                    <w:r>
                      <w:rPr>
                        <w:w w:val="115"/>
                        <w:sz w:val="21"/>
                      </w:rPr>
                      <w:t>elect</w:t>
                    </w:r>
                    <w:r>
                      <w:rPr>
                        <w:spacing w:val="-4"/>
                        <w:w w:val="115"/>
                        <w:sz w:val="21"/>
                      </w:rPr>
                      <w:t> </w:t>
                    </w:r>
                    <w:r>
                      <w:rPr>
                        <w:w w:val="115"/>
                        <w:sz w:val="21"/>
                      </w:rPr>
                      <w:t>to</w:t>
                    </w:r>
                    <w:r>
                      <w:rPr>
                        <w:spacing w:val="-5"/>
                        <w:w w:val="115"/>
                        <w:sz w:val="21"/>
                      </w:rPr>
                      <w:t> </w:t>
                    </w:r>
                    <w:r>
                      <w:rPr>
                        <w:w w:val="115"/>
                        <w:sz w:val="21"/>
                      </w:rPr>
                      <w:t>acquire</w:t>
                    </w:r>
                    <w:r>
                      <w:rPr>
                        <w:spacing w:val="-4"/>
                        <w:w w:val="115"/>
                        <w:sz w:val="21"/>
                      </w:rPr>
                      <w:t> </w:t>
                    </w:r>
                    <w:r>
                      <w:rPr>
                        <w:w w:val="115"/>
                        <w:sz w:val="21"/>
                      </w:rPr>
                      <w:t>an</w:t>
                    </w:r>
                    <w:r>
                      <w:rPr>
                        <w:spacing w:val="-4"/>
                        <w:w w:val="115"/>
                        <w:sz w:val="21"/>
                      </w:rPr>
                      <w:t> </w:t>
                    </w:r>
                    <w:r>
                      <w:rPr>
                        <w:w w:val="115"/>
                        <w:sz w:val="21"/>
                      </w:rPr>
                      <w:t>interest</w:t>
                    </w:r>
                    <w:r>
                      <w:rPr>
                        <w:spacing w:val="-5"/>
                        <w:w w:val="115"/>
                        <w:sz w:val="21"/>
                      </w:rPr>
                      <w:t> </w:t>
                    </w:r>
                    <w:r>
                      <w:rPr>
                        <w:w w:val="115"/>
                        <w:sz w:val="21"/>
                      </w:rPr>
                      <w:t>in</w:t>
                    </w:r>
                    <w:r>
                      <w:rPr>
                        <w:spacing w:val="-4"/>
                        <w:w w:val="115"/>
                        <w:sz w:val="21"/>
                      </w:rPr>
                      <w:t> </w:t>
                    </w:r>
                    <w:r>
                      <w:rPr>
                        <w:w w:val="115"/>
                        <w:sz w:val="21"/>
                      </w:rPr>
                      <w:t>particular</w:t>
                    </w:r>
                    <w:r>
                      <w:rPr>
                        <w:spacing w:val="-4"/>
                        <w:w w:val="115"/>
                        <w:sz w:val="21"/>
                      </w:rPr>
                      <w:t> </w:t>
                    </w:r>
                    <w:r>
                      <w:rPr>
                        <w:w w:val="115"/>
                        <w:sz w:val="21"/>
                      </w:rPr>
                      <w:t>estate</w:t>
                    </w:r>
                    <w:r>
                      <w:rPr>
                        <w:spacing w:val="-5"/>
                        <w:w w:val="115"/>
                        <w:sz w:val="21"/>
                      </w:rPr>
                      <w:t> </w:t>
                    </w:r>
                    <w:r>
                      <w:rPr>
                        <w:w w:val="115"/>
                        <w:sz w:val="21"/>
                      </w:rPr>
                      <w:t>property.</w:t>
                    </w:r>
                  </w:p>
                </w:txbxContent>
              </v:textbox>
              <w10:wrap type="none"/>
            </v:shape>
            <v:shape style="position:absolute;left:1814;top:1211;width:246;height:249" type="#_x0000_t202" filled="false" stroked="false">
              <v:textbox inset="0,0,0,0">
                <w:txbxContent>
                  <w:p>
                    <w:pPr>
                      <w:spacing w:line="249" w:lineRule="exact" w:before="0"/>
                      <w:ind w:left="0" w:right="0" w:firstLine="0"/>
                      <w:jc w:val="left"/>
                      <w:rPr>
                        <w:sz w:val="21"/>
                      </w:rPr>
                    </w:pPr>
                    <w:r>
                      <w:rPr>
                        <w:w w:val="110"/>
                        <w:sz w:val="21"/>
                      </w:rPr>
                      <w:t>31</w:t>
                    </w:r>
                  </w:p>
                </w:txbxContent>
              </v:textbox>
              <w10:wrap type="none"/>
            </v:shape>
            <v:shape style="position:absolute;left:1587;top:223;width:8731;height:726" type="#_x0000_t202" filled="true" fillcolor="#fdebea" stroked="false">
              <v:textbox inset="0,0,0,0">
                <w:txbxContent>
                  <w:p>
                    <w:pPr>
                      <w:spacing w:before="166"/>
                      <w:ind w:left="226" w:right="0" w:firstLine="0"/>
                      <w:jc w:val="left"/>
                      <w:rPr>
                        <w:b/>
                        <w:sz w:val="32"/>
                      </w:rPr>
                    </w:pPr>
                    <w:r>
                      <w:rPr>
                        <w:b/>
                        <w:color w:val="EC5A4F"/>
                        <w:w w:val="110"/>
                        <w:sz w:val="32"/>
                      </w:rPr>
                      <w:t>Recommendation</w:t>
                    </w:r>
                  </w:p>
                </w:txbxContent>
              </v:textbox>
              <v:fill type="solid"/>
              <w10:wrap type="none"/>
            </v:shap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pPr>
      <w:r>
        <w:rPr/>
        <w:pict>
          <v:line style="position:absolute;mso-position-horizontal-relative:page;mso-position-vertical-relative:paragraph;z-index:5240;mso-wrap-distance-left:0;mso-wrap-distance-right:0" from="79.370102pt,15.398131pt" to="515.905102pt,15.398131pt" stroked="true" strokeweight="1pt" strokecolor="#f9ceca">
            <v:stroke dashstyle="solid"/>
            <w10:wrap type="topAndBottom"/>
          </v:line>
        </w:pict>
      </w:r>
    </w:p>
    <w:p>
      <w:pPr>
        <w:pStyle w:val="ListParagraph"/>
        <w:numPr>
          <w:ilvl w:val="0"/>
          <w:numId w:val="65"/>
        </w:numPr>
        <w:tabs>
          <w:tab w:pos="2380" w:val="left" w:leader="none"/>
          <w:tab w:pos="2382" w:val="left" w:leader="none"/>
        </w:tabs>
        <w:spacing w:line="240" w:lineRule="auto" w:before="117" w:after="0"/>
        <w:ind w:left="2381" w:right="0" w:hanging="794"/>
        <w:jc w:val="left"/>
        <w:rPr>
          <w:sz w:val="13"/>
        </w:rPr>
      </w:pPr>
      <w:r>
        <w:rPr>
          <w:w w:val="105"/>
          <w:sz w:val="13"/>
        </w:rPr>
        <w:t>Submission </w:t>
      </w:r>
      <w:r>
        <w:rPr>
          <w:spacing w:val="2"/>
          <w:w w:val="105"/>
          <w:sz w:val="13"/>
        </w:rPr>
        <w:t>30b </w:t>
      </w:r>
      <w:r>
        <w:rPr>
          <w:spacing w:val="3"/>
          <w:w w:val="105"/>
          <w:sz w:val="13"/>
        </w:rPr>
        <w:t>(Law </w:t>
      </w:r>
      <w:r>
        <w:rPr>
          <w:w w:val="105"/>
          <w:sz w:val="13"/>
        </w:rPr>
        <w:t>Institute of</w:t>
      </w:r>
      <w:r>
        <w:rPr>
          <w:spacing w:val="17"/>
          <w:w w:val="105"/>
          <w:sz w:val="13"/>
        </w:rPr>
        <w:t> </w:t>
      </w:r>
      <w:r>
        <w:rPr>
          <w:spacing w:val="2"/>
          <w:w w:val="105"/>
          <w:sz w:val="13"/>
        </w:rPr>
        <w:t>Victoria).</w:t>
      </w:r>
    </w:p>
    <w:p>
      <w:pPr>
        <w:pStyle w:val="ListParagraph"/>
        <w:numPr>
          <w:ilvl w:val="0"/>
          <w:numId w:val="65"/>
        </w:numPr>
        <w:tabs>
          <w:tab w:pos="2380" w:val="left" w:leader="none"/>
          <w:tab w:pos="2382" w:val="left" w:leader="none"/>
        </w:tabs>
        <w:spacing w:line="240" w:lineRule="auto" w:before="1" w:after="0"/>
        <w:ind w:left="2381" w:right="0" w:hanging="794"/>
        <w:jc w:val="left"/>
        <w:rPr>
          <w:sz w:val="13"/>
        </w:rPr>
      </w:pPr>
      <w:r>
        <w:rPr/>
        <w:pict>
          <v:shape style="position:absolute;margin-left:549.038513pt;margin-top:2.873463pt;width:12.9pt;height:14.25pt;mso-position-horizontal-relative:page;mso-position-vertical-relative:paragraph;z-index:7312" type="#_x0000_t202" filled="false" stroked="false">
            <v:textbox inset="0,0,0,0">
              <w:txbxContent>
                <w:p>
                  <w:pPr>
                    <w:spacing w:line="284" w:lineRule="exact" w:before="0"/>
                    <w:ind w:left="0" w:right="0" w:firstLine="0"/>
                    <w:jc w:val="left"/>
                    <w:rPr>
                      <w:b/>
                      <w:sz w:val="24"/>
                    </w:rPr>
                  </w:pPr>
                  <w:r>
                    <w:rPr>
                      <w:b/>
                      <w:color w:val="EC5A4F"/>
                      <w:spacing w:val="-5"/>
                      <w:w w:val="110"/>
                      <w:sz w:val="24"/>
                    </w:rPr>
                    <w:t>81</w:t>
                  </w:r>
                </w:p>
              </w:txbxContent>
            </v:textbox>
            <w10:wrap type="none"/>
          </v:shape>
        </w:pict>
      </w:r>
      <w:r>
        <w:rPr>
          <w:w w:val="105"/>
          <w:sz w:val="13"/>
        </w:rPr>
        <w:t>National</w:t>
      </w:r>
      <w:r>
        <w:rPr>
          <w:spacing w:val="5"/>
          <w:w w:val="105"/>
          <w:sz w:val="13"/>
        </w:rPr>
        <w:t> </w:t>
      </w:r>
      <w:r>
        <w:rPr>
          <w:w w:val="105"/>
          <w:sz w:val="13"/>
        </w:rPr>
        <w:t>Committee</w:t>
      </w:r>
      <w:r>
        <w:rPr>
          <w:spacing w:val="6"/>
          <w:w w:val="105"/>
          <w:sz w:val="13"/>
        </w:rPr>
        <w:t> </w:t>
      </w:r>
      <w:r>
        <w:rPr>
          <w:w w:val="105"/>
          <w:sz w:val="13"/>
        </w:rPr>
        <w:t>for</w:t>
      </w:r>
      <w:r>
        <w:rPr>
          <w:spacing w:val="6"/>
          <w:w w:val="105"/>
          <w:sz w:val="13"/>
        </w:rPr>
        <w:t> </w:t>
      </w:r>
      <w:r>
        <w:rPr>
          <w:w w:val="105"/>
          <w:sz w:val="13"/>
        </w:rPr>
        <w:t>Uniform</w:t>
      </w:r>
      <w:r>
        <w:rPr>
          <w:spacing w:val="6"/>
          <w:w w:val="105"/>
          <w:sz w:val="13"/>
        </w:rPr>
        <w:t> </w:t>
      </w:r>
      <w:r>
        <w:rPr>
          <w:w w:val="105"/>
          <w:sz w:val="13"/>
        </w:rPr>
        <w:t>Succession</w:t>
      </w:r>
      <w:r>
        <w:rPr>
          <w:spacing w:val="6"/>
          <w:w w:val="105"/>
          <w:sz w:val="13"/>
        </w:rPr>
        <w:t> </w:t>
      </w:r>
      <w:r>
        <w:rPr>
          <w:w w:val="105"/>
          <w:sz w:val="13"/>
        </w:rPr>
        <w:t>Laws,</w:t>
      </w:r>
      <w:r>
        <w:rPr>
          <w:spacing w:val="5"/>
          <w:w w:val="105"/>
          <w:sz w:val="13"/>
        </w:rPr>
        <w:t> </w:t>
      </w:r>
      <w:r>
        <w:rPr>
          <w:w w:val="105"/>
          <w:sz w:val="13"/>
        </w:rPr>
        <w:t>above</w:t>
      </w:r>
      <w:r>
        <w:rPr>
          <w:spacing w:val="6"/>
          <w:w w:val="105"/>
          <w:sz w:val="13"/>
        </w:rPr>
        <w:t> </w:t>
      </w:r>
      <w:r>
        <w:rPr>
          <w:w w:val="105"/>
          <w:sz w:val="13"/>
        </w:rPr>
        <w:t>n</w:t>
      </w:r>
      <w:r>
        <w:rPr>
          <w:spacing w:val="6"/>
          <w:w w:val="105"/>
          <w:sz w:val="13"/>
        </w:rPr>
        <w:t> </w:t>
      </w:r>
      <w:r>
        <w:rPr>
          <w:w w:val="105"/>
          <w:sz w:val="13"/>
        </w:rPr>
        <w:t>10,</w:t>
      </w:r>
      <w:r>
        <w:rPr>
          <w:spacing w:val="6"/>
          <w:w w:val="105"/>
          <w:sz w:val="13"/>
        </w:rPr>
        <w:t> </w:t>
      </w:r>
      <w:r>
        <w:rPr>
          <w:spacing w:val="-8"/>
          <w:w w:val="105"/>
          <w:sz w:val="13"/>
        </w:rPr>
        <w:t>117,</w:t>
      </w:r>
      <w:r>
        <w:rPr>
          <w:spacing w:val="6"/>
          <w:w w:val="105"/>
          <w:sz w:val="13"/>
        </w:rPr>
        <w:t> </w:t>
      </w:r>
      <w:r>
        <w:rPr>
          <w:w w:val="105"/>
          <w:sz w:val="13"/>
        </w:rPr>
        <w:t>Draft</w:t>
      </w:r>
      <w:r>
        <w:rPr>
          <w:spacing w:val="6"/>
          <w:w w:val="105"/>
          <w:sz w:val="13"/>
        </w:rPr>
        <w:t> </w:t>
      </w:r>
      <w:r>
        <w:rPr>
          <w:w w:val="105"/>
          <w:sz w:val="13"/>
        </w:rPr>
        <w:t>Intestacy</w:t>
      </w:r>
      <w:r>
        <w:rPr>
          <w:spacing w:val="5"/>
          <w:w w:val="105"/>
          <w:sz w:val="13"/>
        </w:rPr>
        <w:t> </w:t>
      </w:r>
      <w:r>
        <w:rPr>
          <w:w w:val="105"/>
          <w:sz w:val="13"/>
        </w:rPr>
        <w:t>Bill</w:t>
      </w:r>
      <w:r>
        <w:rPr>
          <w:spacing w:val="6"/>
          <w:w w:val="105"/>
          <w:sz w:val="13"/>
        </w:rPr>
        <w:t> </w:t>
      </w:r>
      <w:r>
        <w:rPr>
          <w:w w:val="105"/>
          <w:sz w:val="13"/>
        </w:rPr>
        <w:t>2006</w:t>
      </w:r>
      <w:r>
        <w:rPr>
          <w:spacing w:val="6"/>
          <w:w w:val="105"/>
          <w:sz w:val="13"/>
        </w:rPr>
        <w:t> </w:t>
      </w:r>
      <w:r>
        <w:rPr>
          <w:w w:val="105"/>
          <w:sz w:val="13"/>
        </w:rPr>
        <w:t>cl</w:t>
      </w:r>
      <w:r>
        <w:rPr>
          <w:spacing w:val="6"/>
          <w:w w:val="105"/>
          <w:sz w:val="13"/>
        </w:rPr>
        <w:t> </w:t>
      </w:r>
      <w:r>
        <w:rPr>
          <w:spacing w:val="-5"/>
          <w:w w:val="105"/>
          <w:sz w:val="13"/>
        </w:rPr>
        <w:t>11;</w:t>
      </w:r>
      <w:r>
        <w:rPr>
          <w:spacing w:val="6"/>
          <w:w w:val="105"/>
          <w:sz w:val="13"/>
        </w:rPr>
        <w:t> </w:t>
      </w:r>
      <w:r>
        <w:rPr>
          <w:i/>
          <w:w w:val="105"/>
          <w:sz w:val="13"/>
        </w:rPr>
        <w:t>Succession</w:t>
      </w:r>
      <w:r>
        <w:rPr>
          <w:i/>
          <w:spacing w:val="5"/>
          <w:w w:val="105"/>
          <w:sz w:val="13"/>
        </w:rPr>
        <w:t> </w:t>
      </w:r>
      <w:r>
        <w:rPr>
          <w:i/>
          <w:w w:val="105"/>
          <w:sz w:val="13"/>
        </w:rPr>
        <w:t>Act</w:t>
      </w:r>
      <w:r>
        <w:rPr>
          <w:i/>
          <w:spacing w:val="4"/>
          <w:w w:val="105"/>
          <w:sz w:val="13"/>
        </w:rPr>
        <w:t> </w:t>
      </w:r>
      <w:r>
        <w:rPr>
          <w:i/>
          <w:w w:val="105"/>
          <w:sz w:val="13"/>
        </w:rPr>
        <w:t>2006</w:t>
      </w:r>
      <w:r>
        <w:rPr>
          <w:i/>
          <w:spacing w:val="6"/>
          <w:w w:val="105"/>
          <w:sz w:val="13"/>
        </w:rPr>
        <w:t> </w:t>
      </w:r>
      <w:r>
        <w:rPr>
          <w:spacing w:val="3"/>
          <w:w w:val="105"/>
          <w:sz w:val="13"/>
        </w:rPr>
        <w:t>(NSW)</w:t>
      </w:r>
      <w:r>
        <w:rPr>
          <w:spacing w:val="6"/>
          <w:w w:val="105"/>
          <w:sz w:val="13"/>
        </w:rPr>
        <w:t> </w:t>
      </w:r>
      <w:r>
        <w:rPr>
          <w:w w:val="105"/>
          <w:sz w:val="13"/>
        </w:rPr>
        <w:t>s</w:t>
      </w:r>
      <w:r>
        <w:rPr>
          <w:spacing w:val="6"/>
          <w:w w:val="105"/>
          <w:sz w:val="13"/>
        </w:rPr>
        <w:t> </w:t>
      </w:r>
      <w:r>
        <w:rPr>
          <w:spacing w:val="-3"/>
          <w:w w:val="105"/>
          <w:sz w:val="13"/>
        </w:rPr>
        <w:t>114;</w:t>
      </w:r>
    </w:p>
    <w:p>
      <w:pPr>
        <w:spacing w:before="2"/>
        <w:ind w:left="2381" w:right="0" w:firstLine="0"/>
        <w:jc w:val="left"/>
        <w:rPr>
          <w:sz w:val="13"/>
        </w:rPr>
      </w:pPr>
      <w:r>
        <w:rPr>
          <w:i/>
          <w:sz w:val="13"/>
        </w:rPr>
        <w:t>Intestacy Act 2010 </w:t>
      </w:r>
      <w:r>
        <w:rPr>
          <w:sz w:val="13"/>
        </w:rPr>
        <w:t>(Tas) s 15.</w:t>
      </w:r>
    </w:p>
    <w:p>
      <w:pPr>
        <w:spacing w:after="0"/>
        <w:jc w:val="left"/>
        <w:rPr>
          <w:sz w:val="13"/>
        </w:rPr>
        <w:sectPr>
          <w:pgSz w:w="11910" w:h="16840"/>
          <w:pgMar w:header="805" w:footer="0" w:top="1360" w:bottom="280" w:left="0" w:right="0"/>
        </w:sectPr>
      </w:pPr>
    </w:p>
    <w:p>
      <w:pPr>
        <w:pStyle w:val="BodyText"/>
        <w:spacing w:before="3"/>
      </w:pPr>
    </w:p>
    <w:p>
      <w:pPr>
        <w:pStyle w:val="Heading4"/>
        <w:spacing w:before="99"/>
      </w:pPr>
      <w:bookmarkStart w:name="_TOC_250041" w:id="76"/>
      <w:bookmarkStart w:name="Entitlements of the deceased person’s ch" w:id="77"/>
      <w:r>
        <w:rPr>
          <w:b w:val="0"/>
        </w:rPr>
      </w:r>
      <w:r>
        <w:rPr>
          <w:color w:val="EC5A4F"/>
          <w:w w:val="110"/>
        </w:rPr>
        <w:t>Entitlements of the deceased person’s children or</w:t>
      </w:r>
      <w:r>
        <w:rPr>
          <w:color w:val="EC5A4F"/>
          <w:spacing w:val="63"/>
          <w:w w:val="110"/>
        </w:rPr>
        <w:t> </w:t>
      </w:r>
      <w:bookmarkEnd w:id="76"/>
      <w:r>
        <w:rPr>
          <w:color w:val="EC5A4F"/>
          <w:w w:val="110"/>
        </w:rPr>
        <w:t>issue</w:t>
      </w:r>
    </w:p>
    <w:p>
      <w:pPr>
        <w:pStyle w:val="Heading5"/>
        <w:spacing w:before="166"/>
      </w:pPr>
      <w:bookmarkStart w:name="_TOC_250040" w:id="78"/>
      <w:bookmarkEnd w:id="78"/>
      <w:r>
        <w:rPr>
          <w:w w:val="115"/>
        </w:rPr>
        <w:t>Current law</w:t>
      </w:r>
    </w:p>
    <w:p>
      <w:pPr>
        <w:pStyle w:val="ListParagraph"/>
        <w:numPr>
          <w:ilvl w:val="1"/>
          <w:numId w:val="22"/>
        </w:numPr>
        <w:tabs>
          <w:tab w:pos="2380" w:val="left" w:leader="none"/>
          <w:tab w:pos="2381" w:val="left" w:leader="none"/>
        </w:tabs>
        <w:spacing w:line="242" w:lineRule="auto" w:before="138" w:after="0"/>
        <w:ind w:left="2381" w:right="2053" w:hanging="794"/>
        <w:jc w:val="left"/>
        <w:rPr>
          <w:sz w:val="12"/>
        </w:rPr>
      </w:pPr>
      <w:r>
        <w:rPr>
          <w:sz w:val="21"/>
        </w:rPr>
        <w:t>If the deceased person is survived by </w:t>
      </w:r>
      <w:r>
        <w:rPr>
          <w:spacing w:val="-3"/>
          <w:sz w:val="21"/>
        </w:rPr>
        <w:t>children, </w:t>
      </w:r>
      <w:r>
        <w:rPr>
          <w:sz w:val="21"/>
        </w:rPr>
        <w:t>but is </w:t>
      </w:r>
      <w:r>
        <w:rPr>
          <w:spacing w:val="-2"/>
          <w:sz w:val="21"/>
        </w:rPr>
        <w:t>not </w:t>
      </w:r>
      <w:r>
        <w:rPr>
          <w:sz w:val="21"/>
        </w:rPr>
        <w:t>survived by a </w:t>
      </w:r>
      <w:r>
        <w:rPr>
          <w:spacing w:val="-3"/>
          <w:sz w:val="21"/>
        </w:rPr>
        <w:t>partner, </w:t>
      </w:r>
      <w:r>
        <w:rPr>
          <w:sz w:val="21"/>
        </w:rPr>
        <w:t>the deceased </w:t>
      </w:r>
      <w:r>
        <w:rPr>
          <w:spacing w:val="-3"/>
          <w:sz w:val="21"/>
        </w:rPr>
        <w:t>person’s children share </w:t>
      </w:r>
      <w:r>
        <w:rPr>
          <w:sz w:val="21"/>
        </w:rPr>
        <w:t>the </w:t>
      </w:r>
      <w:r>
        <w:rPr>
          <w:spacing w:val="-3"/>
          <w:sz w:val="21"/>
        </w:rPr>
        <w:t>entire intestate </w:t>
      </w:r>
      <w:r>
        <w:rPr>
          <w:sz w:val="21"/>
        </w:rPr>
        <w:t>estate </w:t>
      </w:r>
      <w:r>
        <w:rPr>
          <w:spacing w:val="-3"/>
          <w:sz w:val="21"/>
        </w:rPr>
        <w:t>equally </w:t>
      </w:r>
      <w:r>
        <w:rPr>
          <w:sz w:val="21"/>
        </w:rPr>
        <w:t>between</w:t>
      </w:r>
      <w:r>
        <w:rPr>
          <w:spacing w:val="-20"/>
          <w:sz w:val="21"/>
        </w:rPr>
        <w:t> </w:t>
      </w:r>
      <w:r>
        <w:rPr>
          <w:sz w:val="21"/>
        </w:rPr>
        <w:t>them.</w:t>
      </w:r>
      <w:r>
        <w:rPr>
          <w:position w:val="7"/>
          <w:sz w:val="12"/>
        </w:rPr>
        <w:t>206</w:t>
      </w:r>
    </w:p>
    <w:p>
      <w:pPr>
        <w:pStyle w:val="ListParagraph"/>
        <w:numPr>
          <w:ilvl w:val="1"/>
          <w:numId w:val="22"/>
        </w:numPr>
        <w:tabs>
          <w:tab w:pos="2381" w:val="left" w:leader="none"/>
          <w:tab w:pos="2382" w:val="left" w:leader="none"/>
        </w:tabs>
        <w:spacing w:line="242" w:lineRule="auto" w:before="122" w:after="0"/>
        <w:ind w:left="2381" w:right="1585" w:hanging="794"/>
        <w:jc w:val="left"/>
        <w:rPr>
          <w:sz w:val="21"/>
        </w:rPr>
      </w:pPr>
      <w:r>
        <w:rPr>
          <w:w w:val="105"/>
          <w:sz w:val="21"/>
        </w:rPr>
        <w:t>As</w:t>
      </w:r>
      <w:r>
        <w:rPr>
          <w:spacing w:val="-9"/>
          <w:w w:val="105"/>
          <w:sz w:val="21"/>
        </w:rPr>
        <w:t> </w:t>
      </w:r>
      <w:r>
        <w:rPr>
          <w:w w:val="105"/>
          <w:sz w:val="21"/>
        </w:rPr>
        <w:t>discussed</w:t>
      </w:r>
      <w:r>
        <w:rPr>
          <w:spacing w:val="-8"/>
          <w:w w:val="105"/>
          <w:sz w:val="21"/>
        </w:rPr>
        <w:t> </w:t>
      </w:r>
      <w:r>
        <w:rPr>
          <w:spacing w:val="-3"/>
          <w:w w:val="105"/>
          <w:sz w:val="21"/>
        </w:rPr>
        <w:t>above,</w:t>
      </w:r>
      <w:r>
        <w:rPr>
          <w:spacing w:val="-8"/>
          <w:w w:val="105"/>
          <w:sz w:val="21"/>
        </w:rPr>
        <w:t> </w:t>
      </w:r>
      <w:r>
        <w:rPr>
          <w:w w:val="105"/>
          <w:sz w:val="21"/>
        </w:rPr>
        <w:t>when</w:t>
      </w:r>
      <w:r>
        <w:rPr>
          <w:spacing w:val="-8"/>
          <w:w w:val="105"/>
          <w:sz w:val="21"/>
        </w:rPr>
        <w:t> </w:t>
      </w:r>
      <w:r>
        <w:rPr>
          <w:w w:val="105"/>
          <w:sz w:val="21"/>
        </w:rPr>
        <w:t>the</w:t>
      </w:r>
      <w:r>
        <w:rPr>
          <w:spacing w:val="-8"/>
          <w:w w:val="105"/>
          <w:sz w:val="21"/>
        </w:rPr>
        <w:t> </w:t>
      </w:r>
      <w:r>
        <w:rPr>
          <w:w w:val="105"/>
          <w:sz w:val="21"/>
        </w:rPr>
        <w:t>deceased</w:t>
      </w:r>
      <w:r>
        <w:rPr>
          <w:spacing w:val="-8"/>
          <w:w w:val="105"/>
          <w:sz w:val="21"/>
        </w:rPr>
        <w:t> </w:t>
      </w:r>
      <w:r>
        <w:rPr>
          <w:w w:val="105"/>
          <w:sz w:val="21"/>
        </w:rPr>
        <w:t>person</w:t>
      </w:r>
      <w:r>
        <w:rPr>
          <w:spacing w:val="-8"/>
          <w:w w:val="105"/>
          <w:sz w:val="21"/>
        </w:rPr>
        <w:t> </w:t>
      </w:r>
      <w:r>
        <w:rPr>
          <w:w w:val="105"/>
          <w:sz w:val="21"/>
        </w:rPr>
        <w:t>is</w:t>
      </w:r>
      <w:r>
        <w:rPr>
          <w:spacing w:val="-9"/>
          <w:w w:val="105"/>
          <w:sz w:val="21"/>
        </w:rPr>
        <w:t> </w:t>
      </w:r>
      <w:r>
        <w:rPr>
          <w:w w:val="105"/>
          <w:sz w:val="21"/>
        </w:rPr>
        <w:t>survived</w:t>
      </w:r>
      <w:r>
        <w:rPr>
          <w:spacing w:val="-8"/>
          <w:w w:val="105"/>
          <w:sz w:val="21"/>
        </w:rPr>
        <w:t> </w:t>
      </w:r>
      <w:r>
        <w:rPr>
          <w:w w:val="105"/>
          <w:sz w:val="21"/>
        </w:rPr>
        <w:t>by</w:t>
      </w:r>
      <w:r>
        <w:rPr>
          <w:spacing w:val="-8"/>
          <w:w w:val="105"/>
          <w:sz w:val="21"/>
        </w:rPr>
        <w:t> </w:t>
      </w:r>
      <w:r>
        <w:rPr>
          <w:w w:val="105"/>
          <w:sz w:val="21"/>
        </w:rPr>
        <w:t>both</w:t>
      </w:r>
      <w:r>
        <w:rPr>
          <w:spacing w:val="-8"/>
          <w:w w:val="105"/>
          <w:sz w:val="21"/>
        </w:rPr>
        <w:t> </w:t>
      </w:r>
      <w:r>
        <w:rPr>
          <w:w w:val="105"/>
          <w:sz w:val="21"/>
        </w:rPr>
        <w:t>a</w:t>
      </w:r>
      <w:r>
        <w:rPr>
          <w:spacing w:val="-8"/>
          <w:w w:val="105"/>
          <w:sz w:val="21"/>
        </w:rPr>
        <w:t> </w:t>
      </w:r>
      <w:r>
        <w:rPr>
          <w:w w:val="105"/>
          <w:sz w:val="21"/>
        </w:rPr>
        <w:t>partner</w:t>
      </w:r>
      <w:r>
        <w:rPr>
          <w:spacing w:val="-8"/>
          <w:w w:val="105"/>
          <w:sz w:val="21"/>
        </w:rPr>
        <w:t> </w:t>
      </w:r>
      <w:r>
        <w:rPr>
          <w:w w:val="105"/>
          <w:sz w:val="21"/>
        </w:rPr>
        <w:t>and</w:t>
      </w:r>
      <w:r>
        <w:rPr>
          <w:spacing w:val="-8"/>
          <w:w w:val="105"/>
          <w:sz w:val="21"/>
        </w:rPr>
        <w:t> </w:t>
      </w:r>
      <w:r>
        <w:rPr>
          <w:spacing w:val="-3"/>
          <w:w w:val="105"/>
          <w:sz w:val="21"/>
        </w:rPr>
        <w:t>children, </w:t>
      </w:r>
      <w:r>
        <w:rPr>
          <w:w w:val="105"/>
          <w:sz w:val="21"/>
        </w:rPr>
        <w:t>and</w:t>
      </w:r>
      <w:r>
        <w:rPr>
          <w:spacing w:val="-9"/>
          <w:w w:val="105"/>
          <w:sz w:val="21"/>
        </w:rPr>
        <w:t> </w:t>
      </w:r>
      <w:r>
        <w:rPr>
          <w:w w:val="105"/>
          <w:sz w:val="21"/>
        </w:rPr>
        <w:t>the</w:t>
      </w:r>
      <w:r>
        <w:rPr>
          <w:spacing w:val="-9"/>
          <w:w w:val="105"/>
          <w:sz w:val="21"/>
        </w:rPr>
        <w:t> </w:t>
      </w:r>
      <w:r>
        <w:rPr>
          <w:spacing w:val="-3"/>
          <w:w w:val="105"/>
          <w:sz w:val="21"/>
        </w:rPr>
        <w:t>intestate</w:t>
      </w:r>
      <w:r>
        <w:rPr>
          <w:spacing w:val="-9"/>
          <w:w w:val="105"/>
          <w:sz w:val="21"/>
        </w:rPr>
        <w:t> </w:t>
      </w:r>
      <w:r>
        <w:rPr>
          <w:w w:val="105"/>
          <w:sz w:val="21"/>
        </w:rPr>
        <w:t>estate</w:t>
      </w:r>
      <w:r>
        <w:rPr>
          <w:spacing w:val="-8"/>
          <w:w w:val="105"/>
          <w:sz w:val="21"/>
        </w:rPr>
        <w:t> </w:t>
      </w:r>
      <w:r>
        <w:rPr>
          <w:w w:val="105"/>
          <w:sz w:val="21"/>
        </w:rPr>
        <w:t>is</w:t>
      </w:r>
      <w:r>
        <w:rPr>
          <w:spacing w:val="-9"/>
          <w:w w:val="105"/>
          <w:sz w:val="21"/>
        </w:rPr>
        <w:t> </w:t>
      </w:r>
      <w:r>
        <w:rPr>
          <w:w w:val="105"/>
          <w:sz w:val="21"/>
        </w:rPr>
        <w:t>large</w:t>
      </w:r>
      <w:r>
        <w:rPr>
          <w:spacing w:val="-9"/>
          <w:w w:val="105"/>
          <w:sz w:val="21"/>
        </w:rPr>
        <w:t> </w:t>
      </w:r>
      <w:r>
        <w:rPr>
          <w:w w:val="105"/>
          <w:sz w:val="21"/>
        </w:rPr>
        <w:t>enough</w:t>
      </w:r>
      <w:r>
        <w:rPr>
          <w:spacing w:val="-9"/>
          <w:w w:val="105"/>
          <w:sz w:val="21"/>
        </w:rPr>
        <w:t> </w:t>
      </w:r>
      <w:r>
        <w:rPr>
          <w:spacing w:val="-3"/>
          <w:w w:val="105"/>
          <w:sz w:val="21"/>
        </w:rPr>
        <w:t>to</w:t>
      </w:r>
      <w:r>
        <w:rPr>
          <w:spacing w:val="-8"/>
          <w:w w:val="105"/>
          <w:sz w:val="21"/>
        </w:rPr>
        <w:t> </w:t>
      </w:r>
      <w:r>
        <w:rPr>
          <w:spacing w:val="-3"/>
          <w:w w:val="105"/>
          <w:sz w:val="21"/>
        </w:rPr>
        <w:t>accommodate</w:t>
      </w:r>
      <w:r>
        <w:rPr>
          <w:spacing w:val="-9"/>
          <w:w w:val="105"/>
          <w:sz w:val="21"/>
        </w:rPr>
        <w:t> </w:t>
      </w:r>
      <w:r>
        <w:rPr>
          <w:w w:val="105"/>
          <w:sz w:val="21"/>
        </w:rPr>
        <w:t>both</w:t>
      </w:r>
      <w:r>
        <w:rPr>
          <w:spacing w:val="-9"/>
          <w:w w:val="105"/>
          <w:sz w:val="21"/>
        </w:rPr>
        <w:t> </w:t>
      </w:r>
      <w:r>
        <w:rPr>
          <w:w w:val="105"/>
          <w:sz w:val="21"/>
        </w:rPr>
        <w:t>the</w:t>
      </w:r>
      <w:r>
        <w:rPr>
          <w:spacing w:val="-8"/>
          <w:w w:val="105"/>
          <w:sz w:val="21"/>
        </w:rPr>
        <w:t> </w:t>
      </w:r>
      <w:r>
        <w:rPr>
          <w:w w:val="105"/>
          <w:sz w:val="21"/>
        </w:rPr>
        <w:t>interests</w:t>
      </w:r>
      <w:r>
        <w:rPr>
          <w:spacing w:val="-9"/>
          <w:w w:val="105"/>
          <w:sz w:val="21"/>
        </w:rPr>
        <w:t> </w:t>
      </w:r>
      <w:r>
        <w:rPr>
          <w:w w:val="105"/>
          <w:sz w:val="21"/>
        </w:rPr>
        <w:t>of</w:t>
      </w:r>
      <w:r>
        <w:rPr>
          <w:spacing w:val="-9"/>
          <w:w w:val="105"/>
          <w:sz w:val="21"/>
        </w:rPr>
        <w:t> </w:t>
      </w:r>
      <w:r>
        <w:rPr>
          <w:w w:val="105"/>
          <w:sz w:val="21"/>
        </w:rPr>
        <w:t>the</w:t>
      </w:r>
      <w:r>
        <w:rPr>
          <w:spacing w:val="-9"/>
          <w:w w:val="105"/>
          <w:sz w:val="21"/>
        </w:rPr>
        <w:t> </w:t>
      </w:r>
      <w:r>
        <w:rPr>
          <w:w w:val="105"/>
          <w:sz w:val="21"/>
        </w:rPr>
        <w:t>partner and </w:t>
      </w:r>
      <w:r>
        <w:rPr>
          <w:spacing w:val="-3"/>
          <w:w w:val="105"/>
          <w:sz w:val="21"/>
        </w:rPr>
        <w:t>children, </w:t>
      </w:r>
      <w:r>
        <w:rPr>
          <w:w w:val="105"/>
          <w:sz w:val="21"/>
        </w:rPr>
        <w:t>the </w:t>
      </w:r>
      <w:r>
        <w:rPr>
          <w:spacing w:val="-3"/>
          <w:w w:val="105"/>
          <w:sz w:val="21"/>
        </w:rPr>
        <w:t>intestate </w:t>
      </w:r>
      <w:r>
        <w:rPr>
          <w:w w:val="105"/>
          <w:sz w:val="21"/>
        </w:rPr>
        <w:t>estate is </w:t>
      </w:r>
      <w:r>
        <w:rPr>
          <w:spacing w:val="-3"/>
          <w:w w:val="105"/>
          <w:sz w:val="21"/>
        </w:rPr>
        <w:t>shared </w:t>
      </w:r>
      <w:r>
        <w:rPr>
          <w:w w:val="105"/>
          <w:sz w:val="21"/>
        </w:rPr>
        <w:t>between them.</w:t>
      </w:r>
      <w:r>
        <w:rPr>
          <w:w w:val="105"/>
          <w:position w:val="7"/>
          <w:sz w:val="12"/>
        </w:rPr>
        <w:t>207 </w:t>
      </w:r>
      <w:r>
        <w:rPr>
          <w:w w:val="105"/>
          <w:sz w:val="21"/>
        </w:rPr>
        <w:t>If the estate is sufficiently </w:t>
      </w:r>
      <w:r>
        <w:rPr>
          <w:spacing w:val="-3"/>
          <w:w w:val="105"/>
          <w:sz w:val="21"/>
        </w:rPr>
        <w:t>large,</w:t>
      </w:r>
      <w:r>
        <w:rPr>
          <w:spacing w:val="-10"/>
          <w:w w:val="105"/>
          <w:sz w:val="21"/>
        </w:rPr>
        <w:t> </w:t>
      </w:r>
      <w:r>
        <w:rPr>
          <w:w w:val="105"/>
          <w:sz w:val="21"/>
        </w:rPr>
        <w:t>the</w:t>
      </w:r>
      <w:r>
        <w:rPr>
          <w:spacing w:val="-9"/>
          <w:w w:val="105"/>
          <w:sz w:val="21"/>
        </w:rPr>
        <w:t> </w:t>
      </w:r>
      <w:r>
        <w:rPr>
          <w:w w:val="105"/>
          <w:sz w:val="21"/>
        </w:rPr>
        <w:t>deceased</w:t>
      </w:r>
      <w:r>
        <w:rPr>
          <w:spacing w:val="-9"/>
          <w:w w:val="105"/>
          <w:sz w:val="21"/>
        </w:rPr>
        <w:t> </w:t>
      </w:r>
      <w:r>
        <w:rPr>
          <w:spacing w:val="-3"/>
          <w:w w:val="105"/>
          <w:sz w:val="21"/>
        </w:rPr>
        <w:t>person’s</w:t>
      </w:r>
      <w:r>
        <w:rPr>
          <w:spacing w:val="-10"/>
          <w:w w:val="105"/>
          <w:sz w:val="21"/>
        </w:rPr>
        <w:t> </w:t>
      </w:r>
      <w:r>
        <w:rPr>
          <w:w w:val="105"/>
          <w:sz w:val="21"/>
        </w:rPr>
        <w:t>partner</w:t>
      </w:r>
      <w:r>
        <w:rPr>
          <w:spacing w:val="-9"/>
          <w:w w:val="105"/>
          <w:sz w:val="21"/>
        </w:rPr>
        <w:t> </w:t>
      </w:r>
      <w:r>
        <w:rPr>
          <w:w w:val="105"/>
          <w:sz w:val="21"/>
        </w:rPr>
        <w:t>receives:</w:t>
      </w:r>
      <w:r>
        <w:rPr>
          <w:spacing w:val="-9"/>
          <w:w w:val="105"/>
          <w:sz w:val="21"/>
        </w:rPr>
        <w:t> </w:t>
      </w:r>
      <w:r>
        <w:rPr>
          <w:w w:val="105"/>
          <w:sz w:val="21"/>
        </w:rPr>
        <w:t>the</w:t>
      </w:r>
      <w:r>
        <w:rPr>
          <w:spacing w:val="-10"/>
          <w:w w:val="105"/>
          <w:sz w:val="21"/>
        </w:rPr>
        <w:t> </w:t>
      </w:r>
      <w:r>
        <w:rPr>
          <w:w w:val="105"/>
          <w:sz w:val="21"/>
        </w:rPr>
        <w:t>deceased</w:t>
      </w:r>
      <w:r>
        <w:rPr>
          <w:spacing w:val="-9"/>
          <w:w w:val="105"/>
          <w:sz w:val="21"/>
        </w:rPr>
        <w:t> </w:t>
      </w:r>
      <w:r>
        <w:rPr>
          <w:spacing w:val="-3"/>
          <w:w w:val="105"/>
          <w:sz w:val="21"/>
        </w:rPr>
        <w:t>person’s</w:t>
      </w:r>
      <w:r>
        <w:rPr>
          <w:spacing w:val="-9"/>
          <w:w w:val="105"/>
          <w:sz w:val="21"/>
        </w:rPr>
        <w:t> </w:t>
      </w:r>
      <w:r>
        <w:rPr>
          <w:w w:val="105"/>
          <w:sz w:val="21"/>
        </w:rPr>
        <w:t>personal</w:t>
      </w:r>
      <w:r>
        <w:rPr>
          <w:spacing w:val="-10"/>
          <w:w w:val="105"/>
          <w:sz w:val="21"/>
        </w:rPr>
        <w:t> </w:t>
      </w:r>
      <w:r>
        <w:rPr>
          <w:w w:val="105"/>
          <w:sz w:val="21"/>
        </w:rPr>
        <w:t>chattels;</w:t>
      </w:r>
    </w:p>
    <w:p>
      <w:pPr>
        <w:pStyle w:val="BodyText"/>
        <w:spacing w:line="242" w:lineRule="auto" w:before="4"/>
        <w:ind w:left="2381" w:right="1682"/>
        <w:rPr>
          <w:sz w:val="12"/>
        </w:rPr>
      </w:pPr>
      <w:r>
        <w:rPr>
          <w:w w:val="105"/>
        </w:rPr>
        <w:t>a statutory </w:t>
      </w:r>
      <w:r>
        <w:rPr>
          <w:spacing w:val="-3"/>
          <w:w w:val="105"/>
        </w:rPr>
        <w:t>legacy, </w:t>
      </w:r>
      <w:r>
        <w:rPr>
          <w:w w:val="105"/>
        </w:rPr>
        <w:t>which is a </w:t>
      </w:r>
      <w:r>
        <w:rPr>
          <w:spacing w:val="-3"/>
          <w:w w:val="105"/>
        </w:rPr>
        <w:t>lump sum plus interest; </w:t>
      </w:r>
      <w:r>
        <w:rPr>
          <w:w w:val="105"/>
        </w:rPr>
        <w:t>and a </w:t>
      </w:r>
      <w:r>
        <w:rPr>
          <w:spacing w:val="-3"/>
          <w:w w:val="105"/>
        </w:rPr>
        <w:t>share </w:t>
      </w:r>
      <w:r>
        <w:rPr>
          <w:w w:val="105"/>
        </w:rPr>
        <w:t>of the </w:t>
      </w:r>
      <w:r>
        <w:rPr>
          <w:spacing w:val="-3"/>
          <w:w w:val="105"/>
        </w:rPr>
        <w:t>remainder </w:t>
      </w:r>
      <w:r>
        <w:rPr>
          <w:w w:val="105"/>
        </w:rPr>
        <w:t>of the </w:t>
      </w:r>
      <w:r>
        <w:rPr>
          <w:spacing w:val="-3"/>
          <w:w w:val="105"/>
        </w:rPr>
        <w:t>intestate </w:t>
      </w:r>
      <w:r>
        <w:rPr>
          <w:w w:val="105"/>
        </w:rPr>
        <w:t>estate.</w:t>
      </w:r>
      <w:r>
        <w:rPr>
          <w:w w:val="105"/>
          <w:position w:val="7"/>
          <w:sz w:val="12"/>
        </w:rPr>
        <w:t>208 </w:t>
      </w:r>
      <w:r>
        <w:rPr>
          <w:w w:val="105"/>
        </w:rPr>
        <w:t>The deceased </w:t>
      </w:r>
      <w:r>
        <w:rPr>
          <w:spacing w:val="-3"/>
          <w:w w:val="105"/>
        </w:rPr>
        <w:t>person’s children share </w:t>
      </w:r>
      <w:r>
        <w:rPr>
          <w:w w:val="105"/>
        </w:rPr>
        <w:t>the </w:t>
      </w:r>
      <w:r>
        <w:rPr>
          <w:spacing w:val="-3"/>
          <w:w w:val="105"/>
        </w:rPr>
        <w:t>remainder </w:t>
      </w:r>
      <w:r>
        <w:rPr>
          <w:w w:val="105"/>
        </w:rPr>
        <w:t>of the </w:t>
      </w:r>
      <w:r>
        <w:rPr>
          <w:spacing w:val="-3"/>
          <w:w w:val="105"/>
        </w:rPr>
        <w:t>intestate </w:t>
      </w:r>
      <w:r>
        <w:rPr>
          <w:w w:val="105"/>
        </w:rPr>
        <w:t>estate between them in equal shares.</w:t>
      </w:r>
      <w:r>
        <w:rPr>
          <w:w w:val="105"/>
          <w:position w:val="7"/>
          <w:sz w:val="12"/>
        </w:rPr>
        <w:t>209</w:t>
      </w:r>
    </w:p>
    <w:p>
      <w:pPr>
        <w:pStyle w:val="ListParagraph"/>
        <w:numPr>
          <w:ilvl w:val="1"/>
          <w:numId w:val="22"/>
        </w:numPr>
        <w:tabs>
          <w:tab w:pos="2381" w:val="left" w:leader="none"/>
          <w:tab w:pos="2382" w:val="left" w:leader="none"/>
        </w:tabs>
        <w:spacing w:line="242" w:lineRule="auto" w:before="124" w:after="0"/>
        <w:ind w:left="2381" w:right="1664" w:hanging="794"/>
        <w:jc w:val="left"/>
        <w:rPr>
          <w:sz w:val="12"/>
        </w:rPr>
      </w:pPr>
      <w:r>
        <w:rPr>
          <w:sz w:val="21"/>
        </w:rPr>
        <w:t>If </w:t>
      </w:r>
      <w:r>
        <w:rPr>
          <w:spacing w:val="-3"/>
          <w:sz w:val="21"/>
        </w:rPr>
        <w:t>any </w:t>
      </w:r>
      <w:r>
        <w:rPr>
          <w:sz w:val="21"/>
        </w:rPr>
        <w:t>of the deceased </w:t>
      </w:r>
      <w:r>
        <w:rPr>
          <w:spacing w:val="-3"/>
          <w:sz w:val="21"/>
        </w:rPr>
        <w:t>person’s  children  have  already  </w:t>
      </w:r>
      <w:r>
        <w:rPr>
          <w:sz w:val="21"/>
        </w:rPr>
        <w:t>died, their </w:t>
      </w:r>
      <w:r>
        <w:rPr>
          <w:spacing w:val="-3"/>
          <w:sz w:val="21"/>
        </w:rPr>
        <w:t>children</w:t>
      </w:r>
      <w:r>
        <w:rPr>
          <w:spacing w:val="41"/>
          <w:sz w:val="21"/>
        </w:rPr>
        <w:t> </w:t>
      </w:r>
      <w:r>
        <w:rPr>
          <w:sz w:val="21"/>
        </w:rPr>
        <w:t>or other </w:t>
      </w:r>
      <w:r>
        <w:rPr>
          <w:spacing w:val="-3"/>
          <w:sz w:val="21"/>
        </w:rPr>
        <w:t>issue take </w:t>
      </w:r>
      <w:r>
        <w:rPr>
          <w:sz w:val="21"/>
        </w:rPr>
        <w:t>as their </w:t>
      </w:r>
      <w:r>
        <w:rPr>
          <w:spacing w:val="-3"/>
          <w:sz w:val="21"/>
        </w:rPr>
        <w:t>representatives.</w:t>
      </w:r>
      <w:r>
        <w:rPr>
          <w:spacing w:val="-3"/>
          <w:position w:val="7"/>
          <w:sz w:val="12"/>
        </w:rPr>
        <w:t>210 </w:t>
      </w:r>
      <w:r>
        <w:rPr>
          <w:spacing w:val="-3"/>
          <w:sz w:val="21"/>
        </w:rPr>
        <w:t>References to </w:t>
      </w:r>
      <w:r>
        <w:rPr>
          <w:spacing w:val="-4"/>
          <w:sz w:val="21"/>
        </w:rPr>
        <w:t>‘children’ </w:t>
      </w:r>
      <w:r>
        <w:rPr>
          <w:sz w:val="21"/>
        </w:rPr>
        <w:t>in the </w:t>
      </w:r>
      <w:r>
        <w:rPr>
          <w:spacing w:val="-3"/>
          <w:sz w:val="21"/>
        </w:rPr>
        <w:t>following  </w:t>
      </w:r>
      <w:r>
        <w:rPr>
          <w:sz w:val="21"/>
        </w:rPr>
        <w:t>discussion </w:t>
      </w:r>
      <w:r>
        <w:rPr>
          <w:spacing w:val="-3"/>
          <w:sz w:val="21"/>
        </w:rPr>
        <w:t>include</w:t>
      </w:r>
      <w:r>
        <w:rPr>
          <w:spacing w:val="41"/>
          <w:sz w:val="21"/>
        </w:rPr>
        <w:t> </w:t>
      </w:r>
      <w:r>
        <w:rPr>
          <w:sz w:val="21"/>
        </w:rPr>
        <w:t>the </w:t>
      </w:r>
      <w:r>
        <w:rPr>
          <w:spacing w:val="-3"/>
          <w:sz w:val="21"/>
        </w:rPr>
        <w:t>children </w:t>
      </w:r>
      <w:r>
        <w:rPr>
          <w:sz w:val="21"/>
        </w:rPr>
        <w:t>or other issue of </w:t>
      </w:r>
      <w:r>
        <w:rPr>
          <w:spacing w:val="-3"/>
          <w:sz w:val="21"/>
        </w:rPr>
        <w:t>children </w:t>
      </w:r>
      <w:r>
        <w:rPr>
          <w:sz w:val="21"/>
        </w:rPr>
        <w:t>who died </w:t>
      </w:r>
      <w:r>
        <w:rPr>
          <w:spacing w:val="-3"/>
          <w:sz w:val="21"/>
        </w:rPr>
        <w:t>before </w:t>
      </w:r>
      <w:r>
        <w:rPr>
          <w:sz w:val="21"/>
        </w:rPr>
        <w:t>the deceased</w:t>
      </w:r>
      <w:r>
        <w:rPr>
          <w:spacing w:val="35"/>
          <w:sz w:val="21"/>
        </w:rPr>
        <w:t> </w:t>
      </w:r>
      <w:r>
        <w:rPr>
          <w:spacing w:val="-4"/>
          <w:sz w:val="21"/>
        </w:rPr>
        <w:t>person.</w:t>
      </w:r>
      <w:r>
        <w:rPr>
          <w:spacing w:val="-4"/>
          <w:position w:val="7"/>
          <w:sz w:val="12"/>
        </w:rPr>
        <w:t>211</w:t>
      </w:r>
    </w:p>
    <w:p>
      <w:pPr>
        <w:pStyle w:val="BodyText"/>
        <w:spacing w:before="11"/>
        <w:rPr>
          <w:sz w:val="24"/>
        </w:rPr>
      </w:pPr>
    </w:p>
    <w:p>
      <w:pPr>
        <w:pStyle w:val="Heading5"/>
      </w:pPr>
      <w:bookmarkStart w:name="_TOC_250039" w:id="79"/>
      <w:bookmarkEnd w:id="79"/>
      <w:r>
        <w:rPr>
          <w:w w:val="115"/>
        </w:rPr>
        <w:t>Proposed change</w:t>
      </w:r>
    </w:p>
    <w:p>
      <w:pPr>
        <w:pStyle w:val="ListParagraph"/>
        <w:numPr>
          <w:ilvl w:val="1"/>
          <w:numId w:val="22"/>
        </w:numPr>
        <w:tabs>
          <w:tab w:pos="2381" w:val="left" w:leader="none"/>
          <w:tab w:pos="2382" w:val="left" w:leader="none"/>
        </w:tabs>
        <w:spacing w:line="242" w:lineRule="auto" w:before="138" w:after="0"/>
        <w:ind w:left="2381" w:right="1801" w:hanging="794"/>
        <w:jc w:val="left"/>
        <w:rPr>
          <w:sz w:val="12"/>
        </w:rPr>
      </w:pPr>
      <w:r>
        <w:rPr>
          <w:sz w:val="21"/>
        </w:rPr>
        <w:t>The </w:t>
      </w:r>
      <w:r>
        <w:rPr>
          <w:spacing w:val="-3"/>
          <w:sz w:val="21"/>
        </w:rPr>
        <w:t>National Committee for Uniform Succession </w:t>
      </w:r>
      <w:r>
        <w:rPr>
          <w:sz w:val="21"/>
        </w:rPr>
        <w:t>Laws </w:t>
      </w:r>
      <w:r>
        <w:rPr>
          <w:spacing w:val="-3"/>
          <w:sz w:val="21"/>
        </w:rPr>
        <w:t>considered that allowing for </w:t>
      </w:r>
      <w:r>
        <w:rPr>
          <w:sz w:val="21"/>
        </w:rPr>
        <w:t>the deceased </w:t>
      </w:r>
      <w:r>
        <w:rPr>
          <w:spacing w:val="-3"/>
          <w:sz w:val="21"/>
        </w:rPr>
        <w:t>person’s children to inherit </w:t>
      </w:r>
      <w:r>
        <w:rPr>
          <w:sz w:val="21"/>
        </w:rPr>
        <w:t>on intestacy in </w:t>
      </w:r>
      <w:r>
        <w:rPr>
          <w:spacing w:val="-3"/>
          <w:sz w:val="21"/>
        </w:rPr>
        <w:t>circumstances </w:t>
      </w:r>
      <w:r>
        <w:rPr>
          <w:sz w:val="21"/>
        </w:rPr>
        <w:t>where their surviving </w:t>
      </w:r>
      <w:r>
        <w:rPr>
          <w:spacing w:val="-3"/>
          <w:sz w:val="21"/>
        </w:rPr>
        <w:t>parent </w:t>
      </w:r>
      <w:r>
        <w:rPr>
          <w:sz w:val="21"/>
        </w:rPr>
        <w:t>is entitled </w:t>
      </w:r>
      <w:r>
        <w:rPr>
          <w:spacing w:val="-3"/>
          <w:sz w:val="21"/>
        </w:rPr>
        <w:t>to </w:t>
      </w:r>
      <w:r>
        <w:rPr>
          <w:sz w:val="21"/>
        </w:rPr>
        <w:t>a </w:t>
      </w:r>
      <w:r>
        <w:rPr>
          <w:spacing w:val="-3"/>
          <w:sz w:val="21"/>
        </w:rPr>
        <w:t>share creates </w:t>
      </w:r>
      <w:r>
        <w:rPr>
          <w:sz w:val="21"/>
        </w:rPr>
        <w:t>unnecessary </w:t>
      </w:r>
      <w:r>
        <w:rPr>
          <w:spacing w:val="-3"/>
          <w:sz w:val="21"/>
        </w:rPr>
        <w:t>complexity, </w:t>
      </w:r>
      <w:r>
        <w:rPr>
          <w:sz w:val="21"/>
        </w:rPr>
        <w:t>given </w:t>
      </w:r>
      <w:r>
        <w:rPr>
          <w:spacing w:val="-3"/>
          <w:sz w:val="21"/>
        </w:rPr>
        <w:t>that  </w:t>
      </w:r>
      <w:r>
        <w:rPr>
          <w:sz w:val="21"/>
        </w:rPr>
        <w:t>those </w:t>
      </w:r>
      <w:r>
        <w:rPr>
          <w:spacing w:val="-3"/>
          <w:sz w:val="21"/>
        </w:rPr>
        <w:t>children could </w:t>
      </w:r>
      <w:r>
        <w:rPr>
          <w:sz w:val="21"/>
        </w:rPr>
        <w:t>expect </w:t>
      </w:r>
      <w:r>
        <w:rPr>
          <w:spacing w:val="-3"/>
          <w:sz w:val="21"/>
        </w:rPr>
        <w:t>to inherit from </w:t>
      </w:r>
      <w:r>
        <w:rPr>
          <w:sz w:val="21"/>
        </w:rPr>
        <w:t>their other </w:t>
      </w:r>
      <w:r>
        <w:rPr>
          <w:spacing w:val="-3"/>
          <w:sz w:val="21"/>
        </w:rPr>
        <w:t>parent later </w:t>
      </w:r>
      <w:r>
        <w:rPr>
          <w:sz w:val="21"/>
        </w:rPr>
        <w:t>in  </w:t>
      </w:r>
      <w:r>
        <w:rPr>
          <w:spacing w:val="-4"/>
          <w:sz w:val="21"/>
        </w:rPr>
        <w:t>life.</w:t>
      </w:r>
      <w:r>
        <w:rPr>
          <w:spacing w:val="-4"/>
          <w:position w:val="7"/>
          <w:sz w:val="12"/>
        </w:rPr>
        <w:t>212  </w:t>
      </w:r>
      <w:r>
        <w:rPr>
          <w:spacing w:val="-3"/>
          <w:sz w:val="21"/>
        </w:rPr>
        <w:t>Providing  </w:t>
      </w:r>
      <w:r>
        <w:rPr>
          <w:sz w:val="21"/>
        </w:rPr>
        <w:t>the  </w:t>
      </w:r>
      <w:r>
        <w:rPr>
          <w:spacing w:val="-3"/>
          <w:sz w:val="21"/>
        </w:rPr>
        <w:t>children  </w:t>
      </w:r>
      <w:r>
        <w:rPr>
          <w:sz w:val="21"/>
        </w:rPr>
        <w:t>a </w:t>
      </w:r>
      <w:r>
        <w:rPr>
          <w:spacing w:val="-3"/>
          <w:sz w:val="21"/>
        </w:rPr>
        <w:t>share </w:t>
      </w:r>
      <w:r>
        <w:rPr>
          <w:sz w:val="21"/>
        </w:rPr>
        <w:t>in these </w:t>
      </w:r>
      <w:r>
        <w:rPr>
          <w:spacing w:val="-3"/>
          <w:sz w:val="21"/>
        </w:rPr>
        <w:t>circumstances may </w:t>
      </w:r>
      <w:r>
        <w:rPr>
          <w:sz w:val="21"/>
        </w:rPr>
        <w:t>necessitate sale of the </w:t>
      </w:r>
      <w:r>
        <w:rPr>
          <w:spacing w:val="-3"/>
          <w:sz w:val="21"/>
        </w:rPr>
        <w:t>family </w:t>
      </w:r>
      <w:r>
        <w:rPr>
          <w:sz w:val="21"/>
        </w:rPr>
        <w:t>home and the </w:t>
      </w:r>
      <w:r>
        <w:rPr>
          <w:spacing w:val="-3"/>
          <w:sz w:val="21"/>
        </w:rPr>
        <w:t>National Committee </w:t>
      </w:r>
      <w:r>
        <w:rPr>
          <w:sz w:val="21"/>
        </w:rPr>
        <w:t>expressed </w:t>
      </w:r>
      <w:r>
        <w:rPr>
          <w:spacing w:val="-3"/>
          <w:sz w:val="21"/>
        </w:rPr>
        <w:t>concern that, </w:t>
      </w:r>
      <w:r>
        <w:rPr>
          <w:sz w:val="21"/>
        </w:rPr>
        <w:t>with an ageing </w:t>
      </w:r>
      <w:r>
        <w:rPr>
          <w:spacing w:val="-3"/>
          <w:sz w:val="21"/>
        </w:rPr>
        <w:t>population, </w:t>
      </w:r>
      <w:r>
        <w:rPr>
          <w:sz w:val="21"/>
        </w:rPr>
        <w:t>the needs of an elderly spouse</w:t>
      </w:r>
      <w:r>
        <w:rPr>
          <w:spacing w:val="13"/>
          <w:sz w:val="21"/>
        </w:rPr>
        <w:t> </w:t>
      </w:r>
      <w:r>
        <w:rPr>
          <w:spacing w:val="-3"/>
          <w:sz w:val="21"/>
        </w:rPr>
        <w:t>are</w:t>
      </w:r>
      <w:r>
        <w:rPr>
          <w:spacing w:val="13"/>
          <w:sz w:val="21"/>
        </w:rPr>
        <w:t> </w:t>
      </w:r>
      <w:r>
        <w:rPr>
          <w:spacing w:val="-4"/>
          <w:sz w:val="21"/>
        </w:rPr>
        <w:t>likely</w:t>
      </w:r>
      <w:r>
        <w:rPr>
          <w:spacing w:val="14"/>
          <w:sz w:val="21"/>
        </w:rPr>
        <w:t> </w:t>
      </w:r>
      <w:r>
        <w:rPr>
          <w:spacing w:val="-3"/>
          <w:sz w:val="21"/>
        </w:rPr>
        <w:t>to</w:t>
      </w:r>
      <w:r>
        <w:rPr>
          <w:spacing w:val="13"/>
          <w:sz w:val="21"/>
        </w:rPr>
        <w:t> </w:t>
      </w:r>
      <w:r>
        <w:rPr>
          <w:sz w:val="21"/>
        </w:rPr>
        <w:t>be</w:t>
      </w:r>
      <w:r>
        <w:rPr>
          <w:spacing w:val="14"/>
          <w:sz w:val="21"/>
        </w:rPr>
        <w:t> </w:t>
      </w:r>
      <w:r>
        <w:rPr>
          <w:spacing w:val="-3"/>
          <w:sz w:val="21"/>
        </w:rPr>
        <w:t>greater</w:t>
      </w:r>
      <w:r>
        <w:rPr>
          <w:spacing w:val="13"/>
          <w:sz w:val="21"/>
        </w:rPr>
        <w:t> </w:t>
      </w:r>
      <w:r>
        <w:rPr>
          <w:spacing w:val="-3"/>
          <w:sz w:val="21"/>
        </w:rPr>
        <w:t>than</w:t>
      </w:r>
      <w:r>
        <w:rPr>
          <w:spacing w:val="14"/>
          <w:sz w:val="21"/>
        </w:rPr>
        <w:t> </w:t>
      </w:r>
      <w:r>
        <w:rPr>
          <w:sz w:val="21"/>
        </w:rPr>
        <w:t>those</w:t>
      </w:r>
      <w:r>
        <w:rPr>
          <w:spacing w:val="13"/>
          <w:sz w:val="21"/>
        </w:rPr>
        <w:t> </w:t>
      </w:r>
      <w:r>
        <w:rPr>
          <w:sz w:val="21"/>
        </w:rPr>
        <w:t>of</w:t>
      </w:r>
      <w:r>
        <w:rPr>
          <w:spacing w:val="14"/>
          <w:sz w:val="21"/>
        </w:rPr>
        <w:t> </w:t>
      </w:r>
      <w:r>
        <w:rPr>
          <w:sz w:val="21"/>
        </w:rPr>
        <w:t>independent,</w:t>
      </w:r>
      <w:r>
        <w:rPr>
          <w:spacing w:val="13"/>
          <w:sz w:val="21"/>
        </w:rPr>
        <w:t> </w:t>
      </w:r>
      <w:r>
        <w:rPr>
          <w:spacing w:val="-3"/>
          <w:sz w:val="21"/>
        </w:rPr>
        <w:t>adult</w:t>
      </w:r>
      <w:r>
        <w:rPr>
          <w:spacing w:val="13"/>
          <w:sz w:val="21"/>
        </w:rPr>
        <w:t> </w:t>
      </w:r>
      <w:r>
        <w:rPr>
          <w:spacing w:val="-4"/>
          <w:sz w:val="21"/>
        </w:rPr>
        <w:t>children.</w:t>
      </w:r>
      <w:r>
        <w:rPr>
          <w:spacing w:val="-4"/>
          <w:position w:val="7"/>
          <w:sz w:val="12"/>
        </w:rPr>
        <w:t>213</w:t>
      </w:r>
    </w:p>
    <w:p>
      <w:pPr>
        <w:pStyle w:val="ListParagraph"/>
        <w:numPr>
          <w:ilvl w:val="1"/>
          <w:numId w:val="22"/>
        </w:numPr>
        <w:tabs>
          <w:tab w:pos="2381" w:val="left" w:leader="none"/>
          <w:tab w:pos="2382" w:val="left" w:leader="none"/>
        </w:tabs>
        <w:spacing w:line="242" w:lineRule="auto" w:before="127" w:after="0"/>
        <w:ind w:left="2381" w:right="1847" w:hanging="794"/>
        <w:jc w:val="left"/>
        <w:rPr>
          <w:sz w:val="21"/>
        </w:rPr>
      </w:pPr>
      <w:r>
        <w:rPr>
          <w:w w:val="105"/>
          <w:sz w:val="21"/>
        </w:rPr>
        <w:t>In</w:t>
      </w:r>
      <w:r>
        <w:rPr>
          <w:spacing w:val="-9"/>
          <w:w w:val="105"/>
          <w:sz w:val="21"/>
        </w:rPr>
        <w:t> </w:t>
      </w:r>
      <w:r>
        <w:rPr>
          <w:w w:val="105"/>
          <w:sz w:val="21"/>
        </w:rPr>
        <w:t>response</w:t>
      </w:r>
      <w:r>
        <w:rPr>
          <w:spacing w:val="-8"/>
          <w:w w:val="105"/>
          <w:sz w:val="21"/>
        </w:rPr>
        <w:t> </w:t>
      </w:r>
      <w:r>
        <w:rPr>
          <w:spacing w:val="-3"/>
          <w:w w:val="105"/>
          <w:sz w:val="21"/>
        </w:rPr>
        <w:t>to</w:t>
      </w:r>
      <w:r>
        <w:rPr>
          <w:spacing w:val="-9"/>
          <w:w w:val="105"/>
          <w:sz w:val="21"/>
        </w:rPr>
        <w:t> </w:t>
      </w:r>
      <w:r>
        <w:rPr>
          <w:w w:val="105"/>
          <w:sz w:val="21"/>
        </w:rPr>
        <w:t>these</w:t>
      </w:r>
      <w:r>
        <w:rPr>
          <w:spacing w:val="-8"/>
          <w:w w:val="105"/>
          <w:sz w:val="21"/>
        </w:rPr>
        <w:t> </w:t>
      </w:r>
      <w:r>
        <w:rPr>
          <w:spacing w:val="-3"/>
          <w:w w:val="105"/>
          <w:sz w:val="21"/>
        </w:rPr>
        <w:t>concerns,</w:t>
      </w:r>
      <w:r>
        <w:rPr>
          <w:spacing w:val="-9"/>
          <w:w w:val="105"/>
          <w:sz w:val="21"/>
        </w:rPr>
        <w:t> </w:t>
      </w:r>
      <w:r>
        <w:rPr>
          <w:w w:val="105"/>
          <w:sz w:val="21"/>
        </w:rPr>
        <w:t>the</w:t>
      </w:r>
      <w:r>
        <w:rPr>
          <w:spacing w:val="-8"/>
          <w:w w:val="105"/>
          <w:sz w:val="21"/>
        </w:rPr>
        <w:t> </w:t>
      </w:r>
      <w:r>
        <w:rPr>
          <w:spacing w:val="-3"/>
          <w:w w:val="105"/>
          <w:sz w:val="21"/>
        </w:rPr>
        <w:t>National</w:t>
      </w:r>
      <w:r>
        <w:rPr>
          <w:spacing w:val="-9"/>
          <w:w w:val="105"/>
          <w:sz w:val="21"/>
        </w:rPr>
        <w:t> </w:t>
      </w:r>
      <w:r>
        <w:rPr>
          <w:spacing w:val="-3"/>
          <w:w w:val="105"/>
          <w:sz w:val="21"/>
        </w:rPr>
        <w:t>Committee</w:t>
      </w:r>
      <w:r>
        <w:rPr>
          <w:spacing w:val="-8"/>
          <w:w w:val="105"/>
          <w:sz w:val="21"/>
        </w:rPr>
        <w:t> </w:t>
      </w:r>
      <w:r>
        <w:rPr>
          <w:w w:val="105"/>
          <w:sz w:val="21"/>
        </w:rPr>
        <w:t>recommended</w:t>
      </w:r>
      <w:r>
        <w:rPr>
          <w:spacing w:val="-9"/>
          <w:w w:val="105"/>
          <w:sz w:val="21"/>
        </w:rPr>
        <w:t> </w:t>
      </w:r>
      <w:r>
        <w:rPr>
          <w:spacing w:val="-3"/>
          <w:w w:val="105"/>
          <w:sz w:val="21"/>
        </w:rPr>
        <w:t>that</w:t>
      </w:r>
      <w:r>
        <w:rPr>
          <w:spacing w:val="-8"/>
          <w:w w:val="105"/>
          <w:sz w:val="21"/>
        </w:rPr>
        <w:t> </w:t>
      </w:r>
      <w:r>
        <w:rPr>
          <w:w w:val="105"/>
          <w:sz w:val="21"/>
        </w:rPr>
        <w:t>the</w:t>
      </w:r>
      <w:r>
        <w:rPr>
          <w:spacing w:val="-9"/>
          <w:w w:val="105"/>
          <w:sz w:val="21"/>
        </w:rPr>
        <w:t> </w:t>
      </w:r>
      <w:r>
        <w:rPr>
          <w:spacing w:val="-3"/>
          <w:w w:val="105"/>
          <w:sz w:val="21"/>
        </w:rPr>
        <w:t>children </w:t>
      </w:r>
      <w:r>
        <w:rPr>
          <w:w w:val="105"/>
          <w:sz w:val="21"/>
        </w:rPr>
        <w:t>of the deceased person should </w:t>
      </w:r>
      <w:r>
        <w:rPr>
          <w:spacing w:val="-2"/>
          <w:w w:val="105"/>
          <w:sz w:val="21"/>
        </w:rPr>
        <w:t>not </w:t>
      </w:r>
      <w:r>
        <w:rPr>
          <w:w w:val="105"/>
          <w:sz w:val="21"/>
        </w:rPr>
        <w:t>be entitled </w:t>
      </w:r>
      <w:r>
        <w:rPr>
          <w:spacing w:val="-3"/>
          <w:w w:val="105"/>
          <w:sz w:val="21"/>
        </w:rPr>
        <w:t>to </w:t>
      </w:r>
      <w:r>
        <w:rPr>
          <w:w w:val="105"/>
          <w:sz w:val="21"/>
        </w:rPr>
        <w:t>a </w:t>
      </w:r>
      <w:r>
        <w:rPr>
          <w:spacing w:val="-3"/>
          <w:w w:val="105"/>
          <w:sz w:val="21"/>
        </w:rPr>
        <w:t>share </w:t>
      </w:r>
      <w:r>
        <w:rPr>
          <w:w w:val="105"/>
          <w:sz w:val="21"/>
        </w:rPr>
        <w:t>on intestacy</w:t>
      </w:r>
      <w:r>
        <w:rPr>
          <w:spacing w:val="17"/>
          <w:w w:val="105"/>
          <w:sz w:val="21"/>
        </w:rPr>
        <w:t> </w:t>
      </w:r>
      <w:r>
        <w:rPr>
          <w:w w:val="105"/>
          <w:sz w:val="21"/>
        </w:rPr>
        <w:t>if:</w:t>
      </w:r>
    </w:p>
    <w:p>
      <w:pPr>
        <w:pStyle w:val="ListParagraph"/>
        <w:numPr>
          <w:ilvl w:val="2"/>
          <w:numId w:val="22"/>
        </w:numPr>
        <w:tabs>
          <w:tab w:pos="2721" w:val="left" w:leader="none"/>
          <w:tab w:pos="2722" w:val="left" w:leader="none"/>
        </w:tabs>
        <w:spacing w:line="242" w:lineRule="auto" w:before="123" w:after="0"/>
        <w:ind w:left="2721" w:right="1627" w:hanging="340"/>
        <w:jc w:val="left"/>
        <w:rPr>
          <w:sz w:val="21"/>
        </w:rPr>
      </w:pPr>
      <w:r>
        <w:rPr>
          <w:sz w:val="21"/>
        </w:rPr>
        <w:t>their other </w:t>
      </w:r>
      <w:r>
        <w:rPr>
          <w:spacing w:val="-3"/>
          <w:sz w:val="21"/>
        </w:rPr>
        <w:t>parent </w:t>
      </w:r>
      <w:r>
        <w:rPr>
          <w:sz w:val="21"/>
        </w:rPr>
        <w:t>survives the deceased person and is entitled </w:t>
      </w:r>
      <w:r>
        <w:rPr>
          <w:spacing w:val="-3"/>
          <w:sz w:val="21"/>
        </w:rPr>
        <w:t>to </w:t>
      </w:r>
      <w:r>
        <w:rPr>
          <w:sz w:val="21"/>
        </w:rPr>
        <w:t>a </w:t>
      </w:r>
      <w:r>
        <w:rPr>
          <w:spacing w:val="-3"/>
          <w:sz w:val="21"/>
        </w:rPr>
        <w:t>share </w:t>
      </w:r>
      <w:r>
        <w:rPr>
          <w:sz w:val="21"/>
        </w:rPr>
        <w:t>on </w:t>
      </w:r>
      <w:r>
        <w:rPr>
          <w:spacing w:val="-3"/>
          <w:sz w:val="21"/>
        </w:rPr>
        <w:t>intestacy, </w:t>
      </w:r>
      <w:r>
        <w:rPr>
          <w:sz w:val="21"/>
        </w:rPr>
        <w:t>and</w:t>
      </w:r>
    </w:p>
    <w:p>
      <w:pPr>
        <w:pStyle w:val="ListParagraph"/>
        <w:numPr>
          <w:ilvl w:val="2"/>
          <w:numId w:val="22"/>
        </w:numPr>
        <w:tabs>
          <w:tab w:pos="2721" w:val="left" w:leader="none"/>
          <w:tab w:pos="2722" w:val="left" w:leader="none"/>
        </w:tabs>
        <w:spacing w:line="242" w:lineRule="auto" w:before="122" w:after="0"/>
        <w:ind w:left="2721" w:right="1698" w:hanging="340"/>
        <w:jc w:val="left"/>
        <w:rPr>
          <w:sz w:val="12"/>
        </w:rPr>
      </w:pPr>
      <w:r>
        <w:rPr>
          <w:spacing w:val="-3"/>
          <w:w w:val="105"/>
          <w:sz w:val="21"/>
        </w:rPr>
        <w:t>all</w:t>
      </w:r>
      <w:r>
        <w:rPr>
          <w:spacing w:val="-9"/>
          <w:w w:val="105"/>
          <w:sz w:val="21"/>
        </w:rPr>
        <w:t> </w:t>
      </w:r>
      <w:r>
        <w:rPr>
          <w:w w:val="105"/>
          <w:sz w:val="21"/>
        </w:rPr>
        <w:t>surviving</w:t>
      </w:r>
      <w:r>
        <w:rPr>
          <w:spacing w:val="-8"/>
          <w:w w:val="105"/>
          <w:sz w:val="21"/>
        </w:rPr>
        <w:t> </w:t>
      </w:r>
      <w:r>
        <w:rPr>
          <w:spacing w:val="-3"/>
          <w:w w:val="105"/>
          <w:sz w:val="21"/>
        </w:rPr>
        <w:t>children</w:t>
      </w:r>
      <w:r>
        <w:rPr>
          <w:spacing w:val="-9"/>
          <w:w w:val="105"/>
          <w:sz w:val="21"/>
        </w:rPr>
        <w:t> </w:t>
      </w:r>
      <w:r>
        <w:rPr>
          <w:w w:val="105"/>
          <w:sz w:val="21"/>
        </w:rPr>
        <w:t>of</w:t>
      </w:r>
      <w:r>
        <w:rPr>
          <w:spacing w:val="-8"/>
          <w:w w:val="105"/>
          <w:sz w:val="21"/>
        </w:rPr>
        <w:t> </w:t>
      </w:r>
      <w:r>
        <w:rPr>
          <w:w w:val="105"/>
          <w:sz w:val="21"/>
        </w:rPr>
        <w:t>the</w:t>
      </w:r>
      <w:r>
        <w:rPr>
          <w:spacing w:val="-9"/>
          <w:w w:val="105"/>
          <w:sz w:val="21"/>
        </w:rPr>
        <w:t> </w:t>
      </w:r>
      <w:r>
        <w:rPr>
          <w:w w:val="105"/>
          <w:sz w:val="21"/>
        </w:rPr>
        <w:t>deceased</w:t>
      </w:r>
      <w:r>
        <w:rPr>
          <w:spacing w:val="-8"/>
          <w:w w:val="105"/>
          <w:sz w:val="21"/>
        </w:rPr>
        <w:t> </w:t>
      </w:r>
      <w:r>
        <w:rPr>
          <w:w w:val="105"/>
          <w:sz w:val="21"/>
        </w:rPr>
        <w:t>person</w:t>
      </w:r>
      <w:r>
        <w:rPr>
          <w:spacing w:val="-9"/>
          <w:w w:val="105"/>
          <w:sz w:val="21"/>
        </w:rPr>
        <w:t> </w:t>
      </w:r>
      <w:r>
        <w:rPr>
          <w:spacing w:val="-3"/>
          <w:w w:val="105"/>
          <w:sz w:val="21"/>
        </w:rPr>
        <w:t>are</w:t>
      </w:r>
      <w:r>
        <w:rPr>
          <w:spacing w:val="-8"/>
          <w:w w:val="105"/>
          <w:sz w:val="21"/>
        </w:rPr>
        <w:t> </w:t>
      </w:r>
      <w:r>
        <w:rPr>
          <w:w w:val="105"/>
          <w:sz w:val="21"/>
        </w:rPr>
        <w:t>also</w:t>
      </w:r>
      <w:r>
        <w:rPr>
          <w:spacing w:val="-9"/>
          <w:w w:val="105"/>
          <w:sz w:val="21"/>
        </w:rPr>
        <w:t> </w:t>
      </w:r>
      <w:r>
        <w:rPr>
          <w:spacing w:val="-3"/>
          <w:w w:val="105"/>
          <w:sz w:val="21"/>
        </w:rPr>
        <w:t>children</w:t>
      </w:r>
      <w:r>
        <w:rPr>
          <w:spacing w:val="-8"/>
          <w:w w:val="105"/>
          <w:sz w:val="21"/>
        </w:rPr>
        <w:t> </w:t>
      </w:r>
      <w:r>
        <w:rPr>
          <w:w w:val="105"/>
          <w:sz w:val="21"/>
        </w:rPr>
        <w:t>of</w:t>
      </w:r>
      <w:r>
        <w:rPr>
          <w:spacing w:val="-9"/>
          <w:w w:val="105"/>
          <w:sz w:val="21"/>
        </w:rPr>
        <w:t> </w:t>
      </w:r>
      <w:r>
        <w:rPr>
          <w:spacing w:val="-3"/>
          <w:w w:val="105"/>
          <w:sz w:val="21"/>
        </w:rPr>
        <w:t>that</w:t>
      </w:r>
      <w:r>
        <w:rPr>
          <w:spacing w:val="-8"/>
          <w:w w:val="105"/>
          <w:sz w:val="21"/>
        </w:rPr>
        <w:t> </w:t>
      </w:r>
      <w:r>
        <w:rPr>
          <w:w w:val="105"/>
          <w:sz w:val="21"/>
        </w:rPr>
        <w:t>surviving</w:t>
      </w:r>
      <w:r>
        <w:rPr>
          <w:spacing w:val="-9"/>
          <w:w w:val="105"/>
          <w:sz w:val="21"/>
        </w:rPr>
        <w:t> </w:t>
      </w:r>
      <w:r>
        <w:rPr>
          <w:spacing w:val="-3"/>
          <w:w w:val="105"/>
          <w:sz w:val="21"/>
        </w:rPr>
        <w:t>parent </w:t>
      </w:r>
      <w:r>
        <w:rPr>
          <w:w w:val="105"/>
          <w:sz w:val="21"/>
        </w:rPr>
        <w:t>or</w:t>
      </w:r>
      <w:r>
        <w:rPr>
          <w:spacing w:val="-6"/>
          <w:w w:val="105"/>
          <w:sz w:val="21"/>
        </w:rPr>
        <w:t> </w:t>
      </w:r>
      <w:r>
        <w:rPr>
          <w:spacing w:val="-3"/>
          <w:w w:val="105"/>
          <w:sz w:val="21"/>
        </w:rPr>
        <w:t>another</w:t>
      </w:r>
      <w:r>
        <w:rPr>
          <w:spacing w:val="-5"/>
          <w:w w:val="105"/>
          <w:sz w:val="21"/>
        </w:rPr>
        <w:t> </w:t>
      </w:r>
      <w:r>
        <w:rPr>
          <w:w w:val="105"/>
          <w:sz w:val="21"/>
        </w:rPr>
        <w:t>partner</w:t>
      </w:r>
      <w:r>
        <w:rPr>
          <w:spacing w:val="-6"/>
          <w:w w:val="105"/>
          <w:sz w:val="21"/>
        </w:rPr>
        <w:t> </w:t>
      </w:r>
      <w:r>
        <w:rPr>
          <w:w w:val="105"/>
          <w:sz w:val="21"/>
        </w:rPr>
        <w:t>of</w:t>
      </w:r>
      <w:r>
        <w:rPr>
          <w:spacing w:val="-5"/>
          <w:w w:val="105"/>
          <w:sz w:val="21"/>
        </w:rPr>
        <w:t> </w:t>
      </w:r>
      <w:r>
        <w:rPr>
          <w:w w:val="105"/>
          <w:sz w:val="21"/>
        </w:rPr>
        <w:t>the</w:t>
      </w:r>
      <w:r>
        <w:rPr>
          <w:spacing w:val="-5"/>
          <w:w w:val="105"/>
          <w:sz w:val="21"/>
        </w:rPr>
        <w:t> </w:t>
      </w:r>
      <w:r>
        <w:rPr>
          <w:w w:val="105"/>
          <w:sz w:val="21"/>
        </w:rPr>
        <w:t>deceased</w:t>
      </w:r>
      <w:r>
        <w:rPr>
          <w:spacing w:val="-6"/>
          <w:w w:val="105"/>
          <w:sz w:val="21"/>
        </w:rPr>
        <w:t> </w:t>
      </w:r>
      <w:r>
        <w:rPr>
          <w:w w:val="105"/>
          <w:sz w:val="21"/>
        </w:rPr>
        <w:t>person</w:t>
      </w:r>
      <w:r>
        <w:rPr>
          <w:spacing w:val="-5"/>
          <w:w w:val="105"/>
          <w:sz w:val="21"/>
        </w:rPr>
        <w:t> </w:t>
      </w:r>
      <w:r>
        <w:rPr>
          <w:w w:val="105"/>
          <w:sz w:val="21"/>
        </w:rPr>
        <w:t>who</w:t>
      </w:r>
      <w:r>
        <w:rPr>
          <w:spacing w:val="-6"/>
          <w:w w:val="105"/>
          <w:sz w:val="21"/>
        </w:rPr>
        <w:t> </w:t>
      </w:r>
      <w:r>
        <w:rPr>
          <w:w w:val="105"/>
          <w:sz w:val="21"/>
        </w:rPr>
        <w:t>is</w:t>
      </w:r>
      <w:r>
        <w:rPr>
          <w:spacing w:val="-5"/>
          <w:w w:val="105"/>
          <w:sz w:val="21"/>
        </w:rPr>
        <w:t> </w:t>
      </w:r>
      <w:r>
        <w:rPr>
          <w:w w:val="105"/>
          <w:sz w:val="21"/>
        </w:rPr>
        <w:t>entitled</w:t>
      </w:r>
      <w:r>
        <w:rPr>
          <w:spacing w:val="-5"/>
          <w:w w:val="105"/>
          <w:sz w:val="21"/>
        </w:rPr>
        <w:t> </w:t>
      </w:r>
      <w:r>
        <w:rPr>
          <w:spacing w:val="-3"/>
          <w:w w:val="105"/>
          <w:sz w:val="21"/>
        </w:rPr>
        <w:t>to</w:t>
      </w:r>
      <w:r>
        <w:rPr>
          <w:spacing w:val="-6"/>
          <w:w w:val="105"/>
          <w:sz w:val="21"/>
        </w:rPr>
        <w:t> </w:t>
      </w:r>
      <w:r>
        <w:rPr>
          <w:w w:val="105"/>
          <w:sz w:val="21"/>
        </w:rPr>
        <w:t>a</w:t>
      </w:r>
      <w:r>
        <w:rPr>
          <w:spacing w:val="-5"/>
          <w:w w:val="105"/>
          <w:sz w:val="21"/>
        </w:rPr>
        <w:t> </w:t>
      </w:r>
      <w:r>
        <w:rPr>
          <w:spacing w:val="-3"/>
          <w:w w:val="105"/>
          <w:sz w:val="21"/>
        </w:rPr>
        <w:t>share</w:t>
      </w:r>
      <w:r>
        <w:rPr>
          <w:spacing w:val="-5"/>
          <w:w w:val="105"/>
          <w:sz w:val="21"/>
        </w:rPr>
        <w:t> </w:t>
      </w:r>
      <w:r>
        <w:rPr>
          <w:w w:val="105"/>
          <w:sz w:val="21"/>
        </w:rPr>
        <w:t>on</w:t>
      </w:r>
      <w:r>
        <w:rPr>
          <w:spacing w:val="-6"/>
          <w:w w:val="105"/>
          <w:sz w:val="21"/>
        </w:rPr>
        <w:t> </w:t>
      </w:r>
      <w:r>
        <w:rPr>
          <w:spacing w:val="-3"/>
          <w:w w:val="105"/>
          <w:sz w:val="21"/>
        </w:rPr>
        <w:t>intestacy.</w:t>
      </w:r>
      <w:r>
        <w:rPr>
          <w:spacing w:val="-3"/>
          <w:w w:val="105"/>
          <w:position w:val="7"/>
          <w:sz w:val="12"/>
        </w:rPr>
        <w:t>214</w:t>
      </w:r>
    </w:p>
    <w:p>
      <w:pPr>
        <w:pStyle w:val="ListParagraph"/>
        <w:numPr>
          <w:ilvl w:val="1"/>
          <w:numId w:val="22"/>
        </w:numPr>
        <w:tabs>
          <w:tab w:pos="2382" w:val="left" w:leader="none"/>
        </w:tabs>
        <w:spacing w:line="242" w:lineRule="auto" w:before="122" w:after="0"/>
        <w:ind w:left="2381" w:right="1935" w:hanging="794"/>
        <w:jc w:val="both"/>
        <w:rPr>
          <w:sz w:val="21"/>
        </w:rPr>
      </w:pPr>
      <w:r>
        <w:rPr>
          <w:spacing w:val="-7"/>
          <w:w w:val="105"/>
          <w:sz w:val="21"/>
        </w:rPr>
        <w:t>To </w:t>
      </w:r>
      <w:r>
        <w:rPr>
          <w:spacing w:val="-3"/>
          <w:w w:val="105"/>
          <w:sz w:val="21"/>
        </w:rPr>
        <w:t>ensure that children </w:t>
      </w:r>
      <w:r>
        <w:rPr>
          <w:w w:val="105"/>
          <w:sz w:val="21"/>
        </w:rPr>
        <w:t>of other </w:t>
      </w:r>
      <w:r>
        <w:rPr>
          <w:spacing w:val="-3"/>
          <w:w w:val="105"/>
          <w:sz w:val="21"/>
        </w:rPr>
        <w:t>relationships—that </w:t>
      </w:r>
      <w:r>
        <w:rPr>
          <w:w w:val="105"/>
          <w:sz w:val="21"/>
        </w:rPr>
        <w:t>is, </w:t>
      </w:r>
      <w:r>
        <w:rPr>
          <w:spacing w:val="-3"/>
          <w:w w:val="105"/>
          <w:sz w:val="21"/>
        </w:rPr>
        <w:t>children </w:t>
      </w:r>
      <w:r>
        <w:rPr>
          <w:w w:val="105"/>
          <w:sz w:val="21"/>
        </w:rPr>
        <w:t>who </w:t>
      </w:r>
      <w:r>
        <w:rPr>
          <w:spacing w:val="-3"/>
          <w:w w:val="105"/>
          <w:sz w:val="21"/>
        </w:rPr>
        <w:t>were </w:t>
      </w:r>
      <w:r>
        <w:rPr>
          <w:spacing w:val="-2"/>
          <w:w w:val="105"/>
          <w:sz w:val="21"/>
        </w:rPr>
        <w:t>not </w:t>
      </w:r>
      <w:r>
        <w:rPr>
          <w:spacing w:val="-3"/>
          <w:w w:val="105"/>
          <w:sz w:val="21"/>
        </w:rPr>
        <w:t>children </w:t>
      </w:r>
      <w:r>
        <w:rPr>
          <w:w w:val="105"/>
          <w:sz w:val="21"/>
        </w:rPr>
        <w:t>of</w:t>
      </w:r>
      <w:r>
        <w:rPr>
          <w:spacing w:val="-11"/>
          <w:w w:val="105"/>
          <w:sz w:val="21"/>
        </w:rPr>
        <w:t> </w:t>
      </w:r>
      <w:r>
        <w:rPr>
          <w:w w:val="105"/>
          <w:sz w:val="21"/>
        </w:rPr>
        <w:t>a</w:t>
      </w:r>
      <w:r>
        <w:rPr>
          <w:spacing w:val="-11"/>
          <w:w w:val="105"/>
          <w:sz w:val="21"/>
        </w:rPr>
        <w:t> </w:t>
      </w:r>
      <w:r>
        <w:rPr>
          <w:w w:val="105"/>
          <w:sz w:val="21"/>
        </w:rPr>
        <w:t>surviving</w:t>
      </w:r>
      <w:r>
        <w:rPr>
          <w:spacing w:val="-11"/>
          <w:w w:val="105"/>
          <w:sz w:val="21"/>
        </w:rPr>
        <w:t> </w:t>
      </w:r>
      <w:r>
        <w:rPr>
          <w:w w:val="105"/>
          <w:sz w:val="21"/>
        </w:rPr>
        <w:t>partner</w:t>
      </w:r>
      <w:r>
        <w:rPr>
          <w:spacing w:val="-10"/>
          <w:w w:val="105"/>
          <w:sz w:val="21"/>
        </w:rPr>
        <w:t> </w:t>
      </w:r>
      <w:r>
        <w:rPr>
          <w:w w:val="105"/>
          <w:sz w:val="21"/>
        </w:rPr>
        <w:t>of</w:t>
      </w:r>
      <w:r>
        <w:rPr>
          <w:spacing w:val="-11"/>
          <w:w w:val="105"/>
          <w:sz w:val="21"/>
        </w:rPr>
        <w:t> </w:t>
      </w:r>
      <w:r>
        <w:rPr>
          <w:w w:val="105"/>
          <w:sz w:val="21"/>
        </w:rPr>
        <w:t>the</w:t>
      </w:r>
      <w:r>
        <w:rPr>
          <w:spacing w:val="-11"/>
          <w:w w:val="105"/>
          <w:sz w:val="21"/>
        </w:rPr>
        <w:t> </w:t>
      </w:r>
      <w:r>
        <w:rPr>
          <w:w w:val="105"/>
          <w:sz w:val="21"/>
        </w:rPr>
        <w:t>deceased</w:t>
      </w:r>
      <w:r>
        <w:rPr>
          <w:spacing w:val="-11"/>
          <w:w w:val="105"/>
          <w:sz w:val="21"/>
        </w:rPr>
        <w:t> </w:t>
      </w:r>
      <w:r>
        <w:rPr>
          <w:w w:val="105"/>
          <w:sz w:val="21"/>
        </w:rPr>
        <w:t>person—are</w:t>
      </w:r>
      <w:r>
        <w:rPr>
          <w:spacing w:val="-10"/>
          <w:w w:val="105"/>
          <w:sz w:val="21"/>
        </w:rPr>
        <w:t> </w:t>
      </w:r>
      <w:r>
        <w:rPr>
          <w:w w:val="105"/>
          <w:sz w:val="21"/>
        </w:rPr>
        <w:t>provided</w:t>
      </w:r>
      <w:r>
        <w:rPr>
          <w:spacing w:val="-11"/>
          <w:w w:val="105"/>
          <w:sz w:val="21"/>
        </w:rPr>
        <w:t> </w:t>
      </w:r>
      <w:r>
        <w:rPr>
          <w:spacing w:val="-6"/>
          <w:w w:val="105"/>
          <w:sz w:val="21"/>
        </w:rPr>
        <w:t>for,</w:t>
      </w:r>
      <w:r>
        <w:rPr>
          <w:spacing w:val="-11"/>
          <w:w w:val="105"/>
          <w:sz w:val="21"/>
        </w:rPr>
        <w:t> </w:t>
      </w:r>
      <w:r>
        <w:rPr>
          <w:w w:val="105"/>
          <w:sz w:val="21"/>
        </w:rPr>
        <w:t>it</w:t>
      </w:r>
      <w:r>
        <w:rPr>
          <w:spacing w:val="-10"/>
          <w:w w:val="105"/>
          <w:sz w:val="21"/>
        </w:rPr>
        <w:t> </w:t>
      </w:r>
      <w:r>
        <w:rPr>
          <w:w w:val="105"/>
          <w:sz w:val="21"/>
        </w:rPr>
        <w:t>recommended</w:t>
      </w:r>
      <w:r>
        <w:rPr>
          <w:spacing w:val="-11"/>
          <w:w w:val="105"/>
          <w:sz w:val="21"/>
        </w:rPr>
        <w:t> </w:t>
      </w:r>
      <w:r>
        <w:rPr>
          <w:spacing w:val="-3"/>
          <w:w w:val="105"/>
          <w:sz w:val="21"/>
        </w:rPr>
        <w:t>that </w:t>
      </w:r>
      <w:r>
        <w:rPr>
          <w:w w:val="105"/>
          <w:sz w:val="21"/>
        </w:rPr>
        <w:t>they should be entitled </w:t>
      </w:r>
      <w:r>
        <w:rPr>
          <w:spacing w:val="-3"/>
          <w:w w:val="105"/>
          <w:sz w:val="21"/>
        </w:rPr>
        <w:t>to </w:t>
      </w:r>
      <w:r>
        <w:rPr>
          <w:w w:val="105"/>
          <w:sz w:val="21"/>
        </w:rPr>
        <w:t>a </w:t>
      </w:r>
      <w:r>
        <w:rPr>
          <w:spacing w:val="-3"/>
          <w:w w:val="105"/>
          <w:sz w:val="21"/>
        </w:rPr>
        <w:t>share </w:t>
      </w:r>
      <w:r>
        <w:rPr>
          <w:w w:val="105"/>
          <w:sz w:val="21"/>
        </w:rPr>
        <w:t>on </w:t>
      </w:r>
      <w:r>
        <w:rPr>
          <w:spacing w:val="-3"/>
          <w:w w:val="105"/>
          <w:sz w:val="21"/>
        </w:rPr>
        <w:t>intestacy.</w:t>
      </w:r>
      <w:r>
        <w:rPr>
          <w:spacing w:val="-3"/>
          <w:w w:val="105"/>
          <w:position w:val="7"/>
          <w:sz w:val="12"/>
        </w:rPr>
        <w:t>215 </w:t>
      </w:r>
      <w:r>
        <w:rPr>
          <w:spacing w:val="-7"/>
          <w:w w:val="105"/>
          <w:sz w:val="21"/>
        </w:rPr>
        <w:t>To </w:t>
      </w:r>
      <w:r>
        <w:rPr>
          <w:spacing w:val="-3"/>
          <w:w w:val="105"/>
          <w:sz w:val="21"/>
        </w:rPr>
        <w:t>prevent disharmony </w:t>
      </w:r>
      <w:r>
        <w:rPr>
          <w:w w:val="105"/>
          <w:sz w:val="21"/>
        </w:rPr>
        <w:t>in</w:t>
      </w:r>
      <w:r>
        <w:rPr>
          <w:spacing w:val="-31"/>
          <w:w w:val="105"/>
          <w:sz w:val="21"/>
        </w:rPr>
        <w:t> </w:t>
      </w:r>
      <w:r>
        <w:rPr>
          <w:spacing w:val="-3"/>
          <w:w w:val="105"/>
          <w:sz w:val="21"/>
        </w:rPr>
        <w:t>families,</w:t>
      </w:r>
    </w:p>
    <w:p>
      <w:pPr>
        <w:pStyle w:val="BodyText"/>
        <w:spacing w:line="242" w:lineRule="auto" w:before="3"/>
        <w:ind w:left="2381" w:right="1645"/>
        <w:rPr>
          <w:sz w:val="12"/>
        </w:rPr>
      </w:pPr>
      <w:r>
        <w:rPr>
          <w:w w:val="105"/>
        </w:rPr>
        <w:t>the </w:t>
      </w:r>
      <w:r>
        <w:rPr>
          <w:spacing w:val="-3"/>
          <w:w w:val="105"/>
        </w:rPr>
        <w:t>National Committee </w:t>
      </w:r>
      <w:r>
        <w:rPr>
          <w:w w:val="105"/>
        </w:rPr>
        <w:t>recommended </w:t>
      </w:r>
      <w:r>
        <w:rPr>
          <w:spacing w:val="-3"/>
          <w:w w:val="105"/>
        </w:rPr>
        <w:t>that, </w:t>
      </w:r>
      <w:r>
        <w:rPr>
          <w:w w:val="105"/>
        </w:rPr>
        <w:t>where </w:t>
      </w:r>
      <w:r>
        <w:rPr>
          <w:spacing w:val="-3"/>
          <w:w w:val="105"/>
        </w:rPr>
        <w:t>any such children </w:t>
      </w:r>
      <w:r>
        <w:rPr>
          <w:w w:val="105"/>
        </w:rPr>
        <w:t>exist, the </w:t>
      </w:r>
      <w:r>
        <w:rPr>
          <w:spacing w:val="-3"/>
          <w:w w:val="105"/>
        </w:rPr>
        <w:t>intestate </w:t>
      </w:r>
      <w:r>
        <w:rPr>
          <w:w w:val="105"/>
        </w:rPr>
        <w:t>estate should be </w:t>
      </w:r>
      <w:r>
        <w:rPr>
          <w:spacing w:val="-3"/>
          <w:w w:val="105"/>
        </w:rPr>
        <w:t>shared </w:t>
      </w:r>
      <w:r>
        <w:rPr>
          <w:w w:val="105"/>
        </w:rPr>
        <w:t>between the surviving partner(s) and </w:t>
      </w:r>
      <w:r>
        <w:rPr>
          <w:spacing w:val="-3"/>
          <w:w w:val="105"/>
        </w:rPr>
        <w:t>all children </w:t>
      </w:r>
      <w:r>
        <w:rPr>
          <w:w w:val="105"/>
        </w:rPr>
        <w:t>of the deceased person.</w:t>
      </w:r>
      <w:r>
        <w:rPr>
          <w:w w:val="105"/>
          <w:position w:val="7"/>
          <w:sz w:val="12"/>
        </w:rPr>
        <w:t>216</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pPr>
      <w:r>
        <w:rPr/>
        <w:pict>
          <v:line style="position:absolute;mso-position-horizontal-relative:page;mso-position-vertical-relative:paragraph;z-index:5288;mso-wrap-distance-left:0;mso-wrap-distance-right:0" from="79.370003pt,15.629649pt" to="515.905003pt,15.629649pt" stroked="true" strokeweight="1pt" strokecolor="#f9ceca">
            <v:stroke dashstyle="solid"/>
            <w10:wrap type="topAndBottom"/>
          </v:line>
        </w:pict>
      </w:r>
    </w:p>
    <w:p>
      <w:pPr>
        <w:pStyle w:val="ListParagraph"/>
        <w:numPr>
          <w:ilvl w:val="0"/>
          <w:numId w:val="65"/>
        </w:numPr>
        <w:tabs>
          <w:tab w:pos="2380" w:val="left" w:leader="none"/>
          <w:tab w:pos="2382" w:val="left" w:leader="none"/>
        </w:tabs>
        <w:spacing w:line="240" w:lineRule="auto" w:before="117" w:after="0"/>
        <w:ind w:left="1587" w:right="6561" w:firstLine="0"/>
        <w:jc w:val="left"/>
        <w:rPr>
          <w:sz w:val="13"/>
        </w:rPr>
      </w:pPr>
      <w:r>
        <w:rPr>
          <w:i/>
          <w:w w:val="105"/>
          <w:sz w:val="13"/>
        </w:rPr>
        <w:t>Administration and Probate Act 1958 </w:t>
      </w:r>
      <w:r>
        <w:rPr>
          <w:spacing w:val="2"/>
          <w:w w:val="105"/>
          <w:sz w:val="13"/>
        </w:rPr>
        <w:t>(Vic) </w:t>
      </w:r>
      <w:r>
        <w:rPr>
          <w:w w:val="105"/>
          <w:sz w:val="13"/>
        </w:rPr>
        <w:t>s </w:t>
      </w:r>
      <w:r>
        <w:rPr>
          <w:spacing w:val="2"/>
          <w:w w:val="105"/>
          <w:sz w:val="13"/>
        </w:rPr>
        <w:t>52(1)(f). </w:t>
      </w:r>
      <w:r>
        <w:rPr>
          <w:w w:val="105"/>
          <w:sz w:val="13"/>
        </w:rPr>
        <w:t>207</w:t>
        <w:tab/>
        <w:t>See</w:t>
      </w:r>
      <w:r>
        <w:rPr>
          <w:spacing w:val="4"/>
          <w:w w:val="105"/>
          <w:sz w:val="13"/>
        </w:rPr>
        <w:t> </w:t>
      </w:r>
      <w:r>
        <w:rPr>
          <w:spacing w:val="2"/>
          <w:w w:val="105"/>
          <w:sz w:val="13"/>
        </w:rPr>
        <w:t>[5.45].</w:t>
      </w:r>
    </w:p>
    <w:p>
      <w:pPr>
        <w:tabs>
          <w:tab w:pos="2380" w:val="left" w:leader="none"/>
        </w:tabs>
        <w:spacing w:before="3"/>
        <w:ind w:left="2381" w:right="1619" w:hanging="794"/>
        <w:jc w:val="left"/>
        <w:rPr>
          <w:sz w:val="13"/>
        </w:rPr>
      </w:pPr>
      <w:r>
        <w:rPr>
          <w:w w:val="105"/>
          <w:sz w:val="13"/>
        </w:rPr>
        <w:t>208</w:t>
        <w:tab/>
      </w:r>
      <w:r>
        <w:rPr>
          <w:i/>
          <w:w w:val="105"/>
          <w:sz w:val="13"/>
        </w:rPr>
        <w:t>Administration and Probate Act 1958 </w:t>
      </w:r>
      <w:r>
        <w:rPr>
          <w:spacing w:val="2"/>
          <w:w w:val="105"/>
          <w:sz w:val="13"/>
        </w:rPr>
        <w:t>(Vic) </w:t>
      </w:r>
      <w:r>
        <w:rPr>
          <w:w w:val="105"/>
          <w:sz w:val="13"/>
        </w:rPr>
        <w:t>s 51(2). The Commission has recommended that the deceased person’s partner’s statutory legacy be increased to $350,000 indexed to the Consumer Price Index and that the deceased person’s partner receive one half of the remainder, rather than one</w:t>
      </w:r>
      <w:r>
        <w:rPr>
          <w:spacing w:val="13"/>
          <w:w w:val="105"/>
          <w:sz w:val="13"/>
        </w:rPr>
        <w:t> </w:t>
      </w:r>
      <w:r>
        <w:rPr>
          <w:w w:val="105"/>
          <w:sz w:val="13"/>
        </w:rPr>
        <w:t>third.</w:t>
      </w:r>
    </w:p>
    <w:p>
      <w:pPr>
        <w:tabs>
          <w:tab w:pos="2380" w:val="left" w:leader="none"/>
        </w:tabs>
        <w:spacing w:before="4"/>
        <w:ind w:left="1587" w:right="0" w:firstLine="0"/>
        <w:jc w:val="left"/>
        <w:rPr>
          <w:sz w:val="13"/>
        </w:rPr>
      </w:pPr>
      <w:r>
        <w:rPr>
          <w:sz w:val="13"/>
        </w:rPr>
        <w:t>209</w:t>
        <w:tab/>
        <w:t>Ibid s</w:t>
      </w:r>
      <w:r>
        <w:rPr>
          <w:spacing w:val="12"/>
          <w:sz w:val="13"/>
        </w:rPr>
        <w:t> </w:t>
      </w:r>
      <w:r>
        <w:rPr>
          <w:spacing w:val="2"/>
          <w:sz w:val="13"/>
        </w:rPr>
        <w:t>52(1)(f).</w:t>
      </w:r>
    </w:p>
    <w:p>
      <w:pPr>
        <w:pStyle w:val="ListParagraph"/>
        <w:numPr>
          <w:ilvl w:val="0"/>
          <w:numId w:val="68"/>
        </w:numPr>
        <w:tabs>
          <w:tab w:pos="2380" w:val="left" w:leader="none"/>
          <w:tab w:pos="2382" w:val="left" w:leader="none"/>
        </w:tabs>
        <w:spacing w:line="240" w:lineRule="auto" w:before="1" w:after="0"/>
        <w:ind w:left="2381" w:right="0" w:hanging="794"/>
        <w:jc w:val="left"/>
        <w:rPr>
          <w:sz w:val="13"/>
        </w:rPr>
      </w:pPr>
      <w:r>
        <w:rPr>
          <w:sz w:val="13"/>
        </w:rPr>
        <w:t>Ibid.</w:t>
      </w:r>
    </w:p>
    <w:p>
      <w:pPr>
        <w:pStyle w:val="ListParagraph"/>
        <w:numPr>
          <w:ilvl w:val="0"/>
          <w:numId w:val="68"/>
        </w:numPr>
        <w:tabs>
          <w:tab w:pos="2380" w:val="left" w:leader="none"/>
          <w:tab w:pos="2382" w:val="left" w:leader="none"/>
        </w:tabs>
        <w:spacing w:line="240" w:lineRule="auto" w:before="1" w:after="0"/>
        <w:ind w:left="2381" w:right="1963" w:hanging="794"/>
        <w:jc w:val="left"/>
        <w:rPr>
          <w:sz w:val="13"/>
        </w:rPr>
      </w:pPr>
      <w:r>
        <w:rPr>
          <w:w w:val="105"/>
          <w:sz w:val="13"/>
        </w:rPr>
        <w:t>Or, under the Commission’s recommended survivorship requirement, fail to survive the deceased person by 30 days. See [5.31] above for discussion of</w:t>
      </w:r>
      <w:r>
        <w:rPr>
          <w:spacing w:val="13"/>
          <w:w w:val="105"/>
          <w:sz w:val="13"/>
        </w:rPr>
        <w:t> </w:t>
      </w:r>
      <w:r>
        <w:rPr>
          <w:w w:val="105"/>
          <w:sz w:val="13"/>
        </w:rPr>
        <w:t>survivorship.</w:t>
      </w:r>
    </w:p>
    <w:p>
      <w:pPr>
        <w:pStyle w:val="ListParagraph"/>
        <w:numPr>
          <w:ilvl w:val="0"/>
          <w:numId w:val="68"/>
        </w:numPr>
        <w:tabs>
          <w:tab w:pos="2380" w:val="left" w:leader="none"/>
          <w:tab w:pos="2382" w:val="left" w:leader="none"/>
        </w:tabs>
        <w:spacing w:line="240" w:lineRule="auto" w:before="3" w:after="0"/>
        <w:ind w:left="2381" w:right="0" w:hanging="794"/>
        <w:jc w:val="left"/>
        <w:rPr>
          <w:sz w:val="13"/>
        </w:rPr>
      </w:pPr>
      <w:r>
        <w:rPr>
          <w:w w:val="105"/>
          <w:sz w:val="13"/>
        </w:rPr>
        <w:t>National</w:t>
      </w:r>
      <w:r>
        <w:rPr>
          <w:spacing w:val="4"/>
          <w:w w:val="105"/>
          <w:sz w:val="13"/>
        </w:rPr>
        <w:t> </w:t>
      </w:r>
      <w:r>
        <w:rPr>
          <w:w w:val="105"/>
          <w:sz w:val="13"/>
        </w:rPr>
        <w:t>Committee</w:t>
      </w:r>
      <w:r>
        <w:rPr>
          <w:spacing w:val="5"/>
          <w:w w:val="105"/>
          <w:sz w:val="13"/>
        </w:rPr>
        <w:t> </w:t>
      </w:r>
      <w:r>
        <w:rPr>
          <w:w w:val="105"/>
          <w:sz w:val="13"/>
        </w:rPr>
        <w:t>for</w:t>
      </w:r>
      <w:r>
        <w:rPr>
          <w:spacing w:val="5"/>
          <w:w w:val="105"/>
          <w:sz w:val="13"/>
        </w:rPr>
        <w:t> </w:t>
      </w:r>
      <w:r>
        <w:rPr>
          <w:w w:val="105"/>
          <w:sz w:val="13"/>
        </w:rPr>
        <w:t>Uniform</w:t>
      </w:r>
      <w:r>
        <w:rPr>
          <w:spacing w:val="5"/>
          <w:w w:val="105"/>
          <w:sz w:val="13"/>
        </w:rPr>
        <w:t> </w:t>
      </w:r>
      <w:r>
        <w:rPr>
          <w:w w:val="105"/>
          <w:sz w:val="13"/>
        </w:rPr>
        <w:t>Succession</w:t>
      </w:r>
      <w:r>
        <w:rPr>
          <w:spacing w:val="4"/>
          <w:w w:val="105"/>
          <w:sz w:val="13"/>
        </w:rPr>
        <w:t> </w:t>
      </w:r>
      <w:r>
        <w:rPr>
          <w:w w:val="105"/>
          <w:sz w:val="13"/>
        </w:rPr>
        <w:t>Laws,</w:t>
      </w:r>
      <w:r>
        <w:rPr>
          <w:spacing w:val="5"/>
          <w:w w:val="105"/>
          <w:sz w:val="13"/>
        </w:rPr>
        <w:t> </w:t>
      </w:r>
      <w:r>
        <w:rPr>
          <w:w w:val="105"/>
          <w:sz w:val="13"/>
        </w:rPr>
        <w:t>above</w:t>
      </w:r>
      <w:r>
        <w:rPr>
          <w:spacing w:val="5"/>
          <w:w w:val="105"/>
          <w:sz w:val="13"/>
        </w:rPr>
        <w:t> </w:t>
      </w:r>
      <w:r>
        <w:rPr>
          <w:w w:val="105"/>
          <w:sz w:val="13"/>
        </w:rPr>
        <w:t>n</w:t>
      </w:r>
      <w:r>
        <w:rPr>
          <w:spacing w:val="5"/>
          <w:w w:val="105"/>
          <w:sz w:val="13"/>
        </w:rPr>
        <w:t> </w:t>
      </w:r>
      <w:r>
        <w:rPr>
          <w:w w:val="105"/>
          <w:sz w:val="13"/>
        </w:rPr>
        <w:t>10,</w:t>
      </w:r>
      <w:r>
        <w:rPr>
          <w:spacing w:val="4"/>
          <w:w w:val="105"/>
          <w:sz w:val="13"/>
        </w:rPr>
        <w:t> </w:t>
      </w:r>
      <w:r>
        <w:rPr>
          <w:w w:val="105"/>
          <w:sz w:val="13"/>
        </w:rPr>
        <w:t>35.</w:t>
      </w:r>
    </w:p>
    <w:p>
      <w:pPr>
        <w:pStyle w:val="ListParagraph"/>
        <w:numPr>
          <w:ilvl w:val="0"/>
          <w:numId w:val="68"/>
        </w:numPr>
        <w:tabs>
          <w:tab w:pos="2380" w:val="left" w:leader="none"/>
          <w:tab w:pos="2382" w:val="left" w:leader="none"/>
        </w:tabs>
        <w:spacing w:line="240" w:lineRule="auto" w:before="1" w:after="0"/>
        <w:ind w:left="2381" w:right="0" w:hanging="794"/>
        <w:jc w:val="left"/>
        <w:rPr>
          <w:sz w:val="13"/>
        </w:rPr>
      </w:pPr>
      <w:r>
        <w:rPr>
          <w:w w:val="105"/>
          <w:sz w:val="13"/>
        </w:rPr>
        <w:t>Ibid</w:t>
      </w:r>
      <w:r>
        <w:rPr>
          <w:spacing w:val="4"/>
          <w:w w:val="105"/>
          <w:sz w:val="13"/>
        </w:rPr>
        <w:t> </w:t>
      </w:r>
      <w:r>
        <w:rPr>
          <w:w w:val="105"/>
          <w:sz w:val="13"/>
        </w:rPr>
        <w:t>36.</w:t>
      </w:r>
    </w:p>
    <w:p>
      <w:pPr>
        <w:pStyle w:val="ListParagraph"/>
        <w:numPr>
          <w:ilvl w:val="0"/>
          <w:numId w:val="68"/>
        </w:numPr>
        <w:tabs>
          <w:tab w:pos="2380" w:val="left" w:leader="none"/>
          <w:tab w:pos="2382" w:val="left" w:leader="none"/>
        </w:tabs>
        <w:spacing w:line="240" w:lineRule="auto" w:before="2" w:after="0"/>
        <w:ind w:left="2381" w:right="0" w:hanging="794"/>
        <w:jc w:val="left"/>
        <w:rPr>
          <w:sz w:val="13"/>
        </w:rPr>
      </w:pPr>
      <w:r>
        <w:rPr>
          <w:w w:val="105"/>
          <w:sz w:val="13"/>
        </w:rPr>
        <w:t>Ibid</w:t>
      </w:r>
      <w:r>
        <w:rPr>
          <w:spacing w:val="4"/>
          <w:w w:val="105"/>
          <w:sz w:val="13"/>
        </w:rPr>
        <w:t> </w:t>
      </w:r>
      <w:r>
        <w:rPr>
          <w:w w:val="105"/>
          <w:sz w:val="13"/>
        </w:rPr>
        <w:t>52</w:t>
      </w:r>
      <w:r>
        <w:rPr>
          <w:spacing w:val="5"/>
          <w:w w:val="105"/>
          <w:sz w:val="13"/>
        </w:rPr>
        <w:t> </w:t>
      </w:r>
      <w:r>
        <w:rPr>
          <w:w w:val="105"/>
          <w:sz w:val="13"/>
        </w:rPr>
        <w:t>recommendation</w:t>
      </w:r>
      <w:r>
        <w:rPr>
          <w:spacing w:val="5"/>
          <w:w w:val="105"/>
          <w:sz w:val="13"/>
        </w:rPr>
        <w:t> </w:t>
      </w:r>
      <w:r>
        <w:rPr>
          <w:w w:val="105"/>
          <w:sz w:val="13"/>
        </w:rPr>
        <w:t>4,</w:t>
      </w:r>
      <w:r>
        <w:rPr>
          <w:spacing w:val="5"/>
          <w:w w:val="105"/>
          <w:sz w:val="13"/>
        </w:rPr>
        <w:t> </w:t>
      </w:r>
      <w:r>
        <w:rPr>
          <w:w w:val="105"/>
          <w:sz w:val="13"/>
        </w:rPr>
        <w:t>Draft</w:t>
      </w:r>
      <w:r>
        <w:rPr>
          <w:spacing w:val="4"/>
          <w:w w:val="105"/>
          <w:sz w:val="13"/>
        </w:rPr>
        <w:t> </w:t>
      </w:r>
      <w:r>
        <w:rPr>
          <w:w w:val="105"/>
          <w:sz w:val="13"/>
        </w:rPr>
        <w:t>Intestacy</w:t>
      </w:r>
      <w:r>
        <w:rPr>
          <w:spacing w:val="5"/>
          <w:w w:val="105"/>
          <w:sz w:val="13"/>
        </w:rPr>
        <w:t> </w:t>
      </w:r>
      <w:r>
        <w:rPr>
          <w:w w:val="105"/>
          <w:sz w:val="13"/>
        </w:rPr>
        <w:t>Bill</w:t>
      </w:r>
      <w:r>
        <w:rPr>
          <w:spacing w:val="5"/>
          <w:w w:val="105"/>
          <w:sz w:val="13"/>
        </w:rPr>
        <w:t> </w:t>
      </w:r>
      <w:r>
        <w:rPr>
          <w:w w:val="105"/>
          <w:sz w:val="13"/>
        </w:rPr>
        <w:t>2006</w:t>
      </w:r>
      <w:r>
        <w:rPr>
          <w:spacing w:val="5"/>
          <w:w w:val="105"/>
          <w:sz w:val="13"/>
        </w:rPr>
        <w:t> </w:t>
      </w:r>
      <w:r>
        <w:rPr>
          <w:w w:val="105"/>
          <w:sz w:val="13"/>
        </w:rPr>
        <w:t>cls</w:t>
      </w:r>
      <w:r>
        <w:rPr>
          <w:spacing w:val="4"/>
          <w:w w:val="105"/>
          <w:sz w:val="13"/>
        </w:rPr>
        <w:t> </w:t>
      </w:r>
      <w:r>
        <w:rPr>
          <w:spacing w:val="-3"/>
          <w:w w:val="105"/>
          <w:sz w:val="13"/>
        </w:rPr>
        <w:t>13,</w:t>
      </w:r>
      <w:r>
        <w:rPr>
          <w:spacing w:val="5"/>
          <w:w w:val="105"/>
          <w:sz w:val="13"/>
        </w:rPr>
        <w:t> </w:t>
      </w:r>
      <w:r>
        <w:rPr>
          <w:spacing w:val="2"/>
          <w:w w:val="105"/>
          <w:sz w:val="13"/>
        </w:rPr>
        <w:t>28(2).</w:t>
      </w:r>
    </w:p>
    <w:p>
      <w:pPr>
        <w:pStyle w:val="ListParagraph"/>
        <w:numPr>
          <w:ilvl w:val="0"/>
          <w:numId w:val="68"/>
        </w:numPr>
        <w:tabs>
          <w:tab w:pos="2380" w:val="left" w:leader="none"/>
          <w:tab w:pos="2382" w:val="left" w:leader="none"/>
        </w:tabs>
        <w:spacing w:line="240" w:lineRule="auto" w:before="1" w:after="0"/>
        <w:ind w:left="2381" w:right="0" w:hanging="794"/>
        <w:jc w:val="left"/>
        <w:rPr>
          <w:sz w:val="13"/>
        </w:rPr>
      </w:pPr>
      <w:r>
        <w:rPr/>
        <w:pict>
          <v:shape style="position:absolute;margin-left:36pt;margin-top:3.590364pt;width:13.4pt;height:14.25pt;mso-position-horizontal-relative:page;mso-position-vertical-relative:paragraph;z-index:7360" type="#_x0000_t202" filled="false" stroked="false">
            <v:textbox inset="0,0,0,0">
              <w:txbxContent>
                <w:p>
                  <w:pPr>
                    <w:spacing w:line="284" w:lineRule="exact" w:before="0"/>
                    <w:ind w:left="0" w:right="0" w:firstLine="0"/>
                    <w:jc w:val="left"/>
                    <w:rPr>
                      <w:b/>
                      <w:sz w:val="24"/>
                    </w:rPr>
                  </w:pPr>
                  <w:r>
                    <w:rPr>
                      <w:b/>
                      <w:color w:val="EC5A4F"/>
                      <w:w w:val="110"/>
                      <w:sz w:val="24"/>
                    </w:rPr>
                    <w:t>82</w:t>
                  </w:r>
                </w:p>
              </w:txbxContent>
            </v:textbox>
            <w10:wrap type="none"/>
          </v:shape>
        </w:pict>
      </w:r>
      <w:r>
        <w:rPr>
          <w:w w:val="105"/>
          <w:sz w:val="13"/>
        </w:rPr>
        <w:t>Ibid</w:t>
      </w:r>
      <w:r>
        <w:rPr>
          <w:spacing w:val="4"/>
          <w:w w:val="105"/>
          <w:sz w:val="13"/>
        </w:rPr>
        <w:t> </w:t>
      </w:r>
      <w:r>
        <w:rPr>
          <w:w w:val="105"/>
          <w:sz w:val="13"/>
        </w:rPr>
        <w:t>50,</w:t>
      </w:r>
      <w:r>
        <w:rPr>
          <w:spacing w:val="5"/>
          <w:w w:val="105"/>
          <w:sz w:val="13"/>
        </w:rPr>
        <w:t> </w:t>
      </w:r>
      <w:r>
        <w:rPr>
          <w:w w:val="105"/>
          <w:sz w:val="13"/>
        </w:rPr>
        <w:t>52</w:t>
      </w:r>
      <w:r>
        <w:rPr>
          <w:spacing w:val="5"/>
          <w:w w:val="105"/>
          <w:sz w:val="13"/>
        </w:rPr>
        <w:t> </w:t>
      </w:r>
      <w:r>
        <w:rPr>
          <w:w w:val="105"/>
          <w:sz w:val="13"/>
        </w:rPr>
        <w:t>recommendation</w:t>
      </w:r>
      <w:r>
        <w:rPr>
          <w:spacing w:val="5"/>
          <w:w w:val="105"/>
          <w:sz w:val="13"/>
        </w:rPr>
        <w:t> </w:t>
      </w:r>
      <w:r>
        <w:rPr>
          <w:w w:val="105"/>
          <w:sz w:val="13"/>
        </w:rPr>
        <w:t>4,</w:t>
      </w:r>
      <w:r>
        <w:rPr>
          <w:spacing w:val="5"/>
          <w:w w:val="105"/>
          <w:sz w:val="13"/>
        </w:rPr>
        <w:t> </w:t>
      </w:r>
      <w:r>
        <w:rPr>
          <w:w w:val="105"/>
          <w:sz w:val="13"/>
        </w:rPr>
        <w:t>Draft</w:t>
      </w:r>
      <w:r>
        <w:rPr>
          <w:spacing w:val="5"/>
          <w:w w:val="105"/>
          <w:sz w:val="13"/>
        </w:rPr>
        <w:t> </w:t>
      </w:r>
      <w:r>
        <w:rPr>
          <w:w w:val="105"/>
          <w:sz w:val="13"/>
        </w:rPr>
        <w:t>Intestacy</w:t>
      </w:r>
      <w:r>
        <w:rPr>
          <w:spacing w:val="4"/>
          <w:w w:val="105"/>
          <w:sz w:val="13"/>
        </w:rPr>
        <w:t> </w:t>
      </w:r>
      <w:r>
        <w:rPr>
          <w:w w:val="105"/>
          <w:sz w:val="13"/>
        </w:rPr>
        <w:t>Bill</w:t>
      </w:r>
      <w:r>
        <w:rPr>
          <w:spacing w:val="5"/>
          <w:w w:val="105"/>
          <w:sz w:val="13"/>
        </w:rPr>
        <w:t> </w:t>
      </w:r>
      <w:r>
        <w:rPr>
          <w:w w:val="105"/>
          <w:sz w:val="13"/>
        </w:rPr>
        <w:t>2006</w:t>
      </w:r>
      <w:r>
        <w:rPr>
          <w:spacing w:val="5"/>
          <w:w w:val="105"/>
          <w:sz w:val="13"/>
        </w:rPr>
        <w:t> </w:t>
      </w:r>
      <w:r>
        <w:rPr>
          <w:w w:val="105"/>
          <w:sz w:val="13"/>
        </w:rPr>
        <w:t>cls</w:t>
      </w:r>
      <w:r>
        <w:rPr>
          <w:spacing w:val="5"/>
          <w:w w:val="105"/>
          <w:sz w:val="13"/>
        </w:rPr>
        <w:t> </w:t>
      </w:r>
      <w:r>
        <w:rPr>
          <w:spacing w:val="-3"/>
          <w:w w:val="105"/>
          <w:sz w:val="13"/>
        </w:rPr>
        <w:t>13,</w:t>
      </w:r>
      <w:r>
        <w:rPr>
          <w:spacing w:val="5"/>
          <w:w w:val="105"/>
          <w:sz w:val="13"/>
        </w:rPr>
        <w:t> </w:t>
      </w:r>
      <w:r>
        <w:rPr>
          <w:spacing w:val="2"/>
          <w:w w:val="105"/>
          <w:sz w:val="13"/>
        </w:rPr>
        <w:t>28(2).</w:t>
      </w:r>
    </w:p>
    <w:p>
      <w:pPr>
        <w:pStyle w:val="ListParagraph"/>
        <w:numPr>
          <w:ilvl w:val="0"/>
          <w:numId w:val="68"/>
        </w:numPr>
        <w:tabs>
          <w:tab w:pos="2380" w:val="left" w:leader="none"/>
          <w:tab w:pos="2382" w:val="left" w:leader="none"/>
        </w:tabs>
        <w:spacing w:line="240" w:lineRule="auto" w:before="1" w:after="0"/>
        <w:ind w:left="2381" w:right="0" w:hanging="794"/>
        <w:jc w:val="left"/>
        <w:rPr>
          <w:sz w:val="13"/>
        </w:rPr>
      </w:pPr>
      <w:r>
        <w:rPr>
          <w:w w:val="105"/>
          <w:sz w:val="13"/>
        </w:rPr>
        <w:t>Ibid</w:t>
      </w:r>
      <w:r>
        <w:rPr>
          <w:spacing w:val="4"/>
          <w:w w:val="105"/>
          <w:sz w:val="13"/>
        </w:rPr>
        <w:t> </w:t>
      </w:r>
      <w:r>
        <w:rPr>
          <w:w w:val="105"/>
          <w:sz w:val="13"/>
        </w:rPr>
        <w:t>52</w:t>
      </w:r>
      <w:r>
        <w:rPr>
          <w:spacing w:val="5"/>
          <w:w w:val="105"/>
          <w:sz w:val="13"/>
        </w:rPr>
        <w:t> </w:t>
      </w:r>
      <w:r>
        <w:rPr>
          <w:w w:val="105"/>
          <w:sz w:val="13"/>
        </w:rPr>
        <w:t>recommendation</w:t>
      </w:r>
      <w:r>
        <w:rPr>
          <w:spacing w:val="5"/>
          <w:w w:val="105"/>
          <w:sz w:val="13"/>
        </w:rPr>
        <w:t> </w:t>
      </w:r>
      <w:r>
        <w:rPr>
          <w:w w:val="105"/>
          <w:sz w:val="13"/>
        </w:rPr>
        <w:t>4,</w:t>
      </w:r>
      <w:r>
        <w:rPr>
          <w:spacing w:val="5"/>
          <w:w w:val="105"/>
          <w:sz w:val="13"/>
        </w:rPr>
        <w:t> </w:t>
      </w:r>
      <w:r>
        <w:rPr>
          <w:w w:val="105"/>
          <w:sz w:val="13"/>
        </w:rPr>
        <w:t>Draft</w:t>
      </w:r>
      <w:r>
        <w:rPr>
          <w:spacing w:val="4"/>
          <w:w w:val="105"/>
          <w:sz w:val="13"/>
        </w:rPr>
        <w:t> </w:t>
      </w:r>
      <w:r>
        <w:rPr>
          <w:w w:val="105"/>
          <w:sz w:val="13"/>
        </w:rPr>
        <w:t>Intestacy</w:t>
      </w:r>
      <w:r>
        <w:rPr>
          <w:spacing w:val="5"/>
          <w:w w:val="105"/>
          <w:sz w:val="13"/>
        </w:rPr>
        <w:t> </w:t>
      </w:r>
      <w:r>
        <w:rPr>
          <w:w w:val="105"/>
          <w:sz w:val="13"/>
        </w:rPr>
        <w:t>Bill</w:t>
      </w:r>
      <w:r>
        <w:rPr>
          <w:spacing w:val="5"/>
          <w:w w:val="105"/>
          <w:sz w:val="13"/>
        </w:rPr>
        <w:t> </w:t>
      </w:r>
      <w:r>
        <w:rPr>
          <w:w w:val="105"/>
          <w:sz w:val="13"/>
        </w:rPr>
        <w:t>2006</w:t>
      </w:r>
      <w:r>
        <w:rPr>
          <w:spacing w:val="5"/>
          <w:w w:val="105"/>
          <w:sz w:val="13"/>
        </w:rPr>
        <w:t> </w:t>
      </w:r>
      <w:r>
        <w:rPr>
          <w:w w:val="105"/>
          <w:sz w:val="13"/>
        </w:rPr>
        <w:t>cls</w:t>
      </w:r>
      <w:r>
        <w:rPr>
          <w:spacing w:val="4"/>
          <w:w w:val="105"/>
          <w:sz w:val="13"/>
        </w:rPr>
        <w:t> </w:t>
      </w:r>
      <w:r>
        <w:rPr>
          <w:spacing w:val="-3"/>
          <w:w w:val="105"/>
          <w:sz w:val="13"/>
        </w:rPr>
        <w:t>13,</w:t>
      </w:r>
      <w:r>
        <w:rPr>
          <w:spacing w:val="5"/>
          <w:w w:val="105"/>
          <w:sz w:val="13"/>
        </w:rPr>
        <w:t> </w:t>
      </w:r>
      <w:r>
        <w:rPr>
          <w:spacing w:val="2"/>
          <w:w w:val="105"/>
          <w:sz w:val="13"/>
        </w:rPr>
        <w:t>28(2).</w:t>
      </w:r>
    </w:p>
    <w:p>
      <w:pPr>
        <w:spacing w:after="0" w:line="240" w:lineRule="auto"/>
        <w:jc w:val="left"/>
        <w:rPr>
          <w:sz w:val="13"/>
        </w:rPr>
        <w:sectPr>
          <w:pgSz w:w="11910" w:h="16840"/>
          <w:pgMar w:header="550" w:footer="0" w:top="1560" w:bottom="280" w:left="0" w:right="0"/>
        </w:sectPr>
      </w:pPr>
    </w:p>
    <w:p>
      <w:pPr>
        <w:pStyle w:val="BodyText"/>
        <w:rPr>
          <w:sz w:val="20"/>
        </w:rPr>
      </w:pPr>
    </w:p>
    <w:p>
      <w:pPr>
        <w:pStyle w:val="BodyText"/>
        <w:rPr>
          <w:sz w:val="19"/>
        </w:rPr>
      </w:pPr>
    </w:p>
    <w:p>
      <w:pPr>
        <w:pStyle w:val="ListParagraph"/>
        <w:numPr>
          <w:ilvl w:val="1"/>
          <w:numId w:val="22"/>
        </w:numPr>
        <w:tabs>
          <w:tab w:pos="2381" w:val="left" w:leader="none"/>
          <w:tab w:pos="2382" w:val="left" w:leader="none"/>
        </w:tabs>
        <w:spacing w:line="242" w:lineRule="auto" w:before="91" w:after="0"/>
        <w:ind w:left="2381" w:right="1728" w:hanging="794"/>
        <w:jc w:val="left"/>
        <w:rPr>
          <w:sz w:val="12"/>
        </w:rPr>
      </w:pPr>
      <w:r>
        <w:rPr>
          <w:w w:val="105"/>
          <w:sz w:val="21"/>
        </w:rPr>
        <w:t>The deceased </w:t>
      </w:r>
      <w:r>
        <w:rPr>
          <w:spacing w:val="-3"/>
          <w:w w:val="105"/>
          <w:sz w:val="21"/>
        </w:rPr>
        <w:t>person’s children </w:t>
      </w:r>
      <w:r>
        <w:rPr>
          <w:w w:val="105"/>
          <w:sz w:val="21"/>
        </w:rPr>
        <w:t>would </w:t>
      </w:r>
      <w:r>
        <w:rPr>
          <w:spacing w:val="-3"/>
          <w:w w:val="105"/>
          <w:sz w:val="21"/>
        </w:rPr>
        <w:t>share </w:t>
      </w:r>
      <w:r>
        <w:rPr>
          <w:w w:val="105"/>
          <w:sz w:val="21"/>
        </w:rPr>
        <w:t>the </w:t>
      </w:r>
      <w:r>
        <w:rPr>
          <w:spacing w:val="-3"/>
          <w:w w:val="105"/>
          <w:sz w:val="21"/>
        </w:rPr>
        <w:t>remaining intestate estate, </w:t>
      </w:r>
      <w:r>
        <w:rPr>
          <w:w w:val="105"/>
          <w:sz w:val="21"/>
        </w:rPr>
        <w:t>after payment</w:t>
      </w:r>
      <w:r>
        <w:rPr>
          <w:spacing w:val="-7"/>
          <w:w w:val="105"/>
          <w:sz w:val="21"/>
        </w:rPr>
        <w:t> </w:t>
      </w:r>
      <w:r>
        <w:rPr>
          <w:w w:val="105"/>
          <w:sz w:val="21"/>
        </w:rPr>
        <w:t>of</w:t>
      </w:r>
      <w:r>
        <w:rPr>
          <w:spacing w:val="-7"/>
          <w:w w:val="105"/>
          <w:sz w:val="21"/>
        </w:rPr>
        <w:t> </w:t>
      </w:r>
      <w:r>
        <w:rPr>
          <w:w w:val="105"/>
          <w:sz w:val="21"/>
        </w:rPr>
        <w:t>the</w:t>
      </w:r>
      <w:r>
        <w:rPr>
          <w:spacing w:val="-6"/>
          <w:w w:val="105"/>
          <w:sz w:val="21"/>
        </w:rPr>
        <w:t> </w:t>
      </w:r>
      <w:r>
        <w:rPr>
          <w:w w:val="105"/>
          <w:sz w:val="21"/>
        </w:rPr>
        <w:t>statutory</w:t>
      </w:r>
      <w:r>
        <w:rPr>
          <w:spacing w:val="-7"/>
          <w:w w:val="105"/>
          <w:sz w:val="21"/>
        </w:rPr>
        <w:t> </w:t>
      </w:r>
      <w:r>
        <w:rPr>
          <w:w w:val="105"/>
          <w:sz w:val="21"/>
        </w:rPr>
        <w:t>legacy</w:t>
      </w:r>
      <w:r>
        <w:rPr>
          <w:spacing w:val="-6"/>
          <w:w w:val="105"/>
          <w:sz w:val="21"/>
        </w:rPr>
        <w:t> </w:t>
      </w:r>
      <w:r>
        <w:rPr>
          <w:w w:val="105"/>
          <w:sz w:val="21"/>
        </w:rPr>
        <w:t>and</w:t>
      </w:r>
      <w:r>
        <w:rPr>
          <w:spacing w:val="-7"/>
          <w:w w:val="105"/>
          <w:sz w:val="21"/>
        </w:rPr>
        <w:t> </w:t>
      </w:r>
      <w:r>
        <w:rPr>
          <w:w w:val="105"/>
          <w:sz w:val="21"/>
        </w:rPr>
        <w:t>one</w:t>
      </w:r>
      <w:r>
        <w:rPr>
          <w:spacing w:val="-7"/>
          <w:w w:val="105"/>
          <w:sz w:val="21"/>
        </w:rPr>
        <w:t> </w:t>
      </w:r>
      <w:r>
        <w:rPr>
          <w:spacing w:val="-3"/>
          <w:w w:val="105"/>
          <w:sz w:val="21"/>
        </w:rPr>
        <w:t>half</w:t>
      </w:r>
      <w:r>
        <w:rPr>
          <w:spacing w:val="-6"/>
          <w:w w:val="105"/>
          <w:sz w:val="21"/>
        </w:rPr>
        <w:t> </w:t>
      </w:r>
      <w:r>
        <w:rPr>
          <w:w w:val="105"/>
          <w:sz w:val="21"/>
        </w:rPr>
        <w:t>of</w:t>
      </w:r>
      <w:r>
        <w:rPr>
          <w:spacing w:val="-7"/>
          <w:w w:val="105"/>
          <w:sz w:val="21"/>
        </w:rPr>
        <w:t> </w:t>
      </w:r>
      <w:r>
        <w:rPr>
          <w:w w:val="105"/>
          <w:sz w:val="21"/>
        </w:rPr>
        <w:t>the</w:t>
      </w:r>
      <w:r>
        <w:rPr>
          <w:spacing w:val="-6"/>
          <w:w w:val="105"/>
          <w:sz w:val="21"/>
        </w:rPr>
        <w:t> </w:t>
      </w:r>
      <w:r>
        <w:rPr>
          <w:spacing w:val="-3"/>
          <w:w w:val="105"/>
          <w:sz w:val="21"/>
        </w:rPr>
        <w:t>remainder</w:t>
      </w:r>
      <w:r>
        <w:rPr>
          <w:spacing w:val="-7"/>
          <w:w w:val="105"/>
          <w:sz w:val="21"/>
        </w:rPr>
        <w:t> </w:t>
      </w:r>
      <w:r>
        <w:rPr>
          <w:spacing w:val="-3"/>
          <w:w w:val="105"/>
          <w:sz w:val="21"/>
        </w:rPr>
        <w:t>to</w:t>
      </w:r>
      <w:r>
        <w:rPr>
          <w:spacing w:val="-6"/>
          <w:w w:val="105"/>
          <w:sz w:val="21"/>
        </w:rPr>
        <w:t> </w:t>
      </w:r>
      <w:r>
        <w:rPr>
          <w:w w:val="105"/>
          <w:sz w:val="21"/>
        </w:rPr>
        <w:t>the</w:t>
      </w:r>
      <w:r>
        <w:rPr>
          <w:spacing w:val="-7"/>
          <w:w w:val="105"/>
          <w:sz w:val="21"/>
        </w:rPr>
        <w:t> </w:t>
      </w:r>
      <w:r>
        <w:rPr>
          <w:w w:val="105"/>
          <w:sz w:val="21"/>
        </w:rPr>
        <w:t>deceased</w:t>
      </w:r>
      <w:r>
        <w:rPr>
          <w:spacing w:val="-7"/>
          <w:w w:val="105"/>
          <w:sz w:val="21"/>
        </w:rPr>
        <w:t> </w:t>
      </w:r>
      <w:r>
        <w:rPr>
          <w:spacing w:val="-3"/>
          <w:w w:val="105"/>
          <w:sz w:val="21"/>
        </w:rPr>
        <w:t>person’s </w:t>
      </w:r>
      <w:r>
        <w:rPr>
          <w:w w:val="105"/>
          <w:sz w:val="21"/>
        </w:rPr>
        <w:t>partner(s), between them in equal </w:t>
      </w:r>
      <w:r>
        <w:rPr>
          <w:spacing w:val="-3"/>
          <w:w w:val="105"/>
          <w:sz w:val="21"/>
        </w:rPr>
        <w:t>shares.</w:t>
      </w:r>
      <w:r>
        <w:rPr>
          <w:spacing w:val="-3"/>
          <w:w w:val="105"/>
          <w:position w:val="7"/>
          <w:sz w:val="12"/>
        </w:rPr>
        <w:t>217 </w:t>
      </w:r>
      <w:r>
        <w:rPr>
          <w:w w:val="105"/>
          <w:sz w:val="21"/>
        </w:rPr>
        <w:t>If </w:t>
      </w:r>
      <w:r>
        <w:rPr>
          <w:spacing w:val="-3"/>
          <w:w w:val="105"/>
          <w:sz w:val="21"/>
        </w:rPr>
        <w:t>any children </w:t>
      </w:r>
      <w:r>
        <w:rPr>
          <w:w w:val="105"/>
          <w:sz w:val="21"/>
        </w:rPr>
        <w:t>of the deceased person did </w:t>
      </w:r>
      <w:r>
        <w:rPr>
          <w:spacing w:val="-2"/>
          <w:w w:val="105"/>
          <w:sz w:val="21"/>
        </w:rPr>
        <w:t>not</w:t>
      </w:r>
      <w:r>
        <w:rPr>
          <w:spacing w:val="-10"/>
          <w:w w:val="105"/>
          <w:sz w:val="21"/>
        </w:rPr>
        <w:t> </w:t>
      </w:r>
      <w:r>
        <w:rPr>
          <w:w w:val="105"/>
          <w:sz w:val="21"/>
        </w:rPr>
        <w:t>survive</w:t>
      </w:r>
      <w:r>
        <w:rPr>
          <w:spacing w:val="-10"/>
          <w:w w:val="105"/>
          <w:sz w:val="21"/>
        </w:rPr>
        <w:t> </w:t>
      </w:r>
      <w:r>
        <w:rPr>
          <w:w w:val="105"/>
          <w:sz w:val="21"/>
        </w:rPr>
        <w:t>the</w:t>
      </w:r>
      <w:r>
        <w:rPr>
          <w:spacing w:val="-9"/>
          <w:w w:val="105"/>
          <w:sz w:val="21"/>
        </w:rPr>
        <w:t> </w:t>
      </w:r>
      <w:r>
        <w:rPr>
          <w:w w:val="105"/>
          <w:sz w:val="21"/>
        </w:rPr>
        <w:t>deceased</w:t>
      </w:r>
      <w:r>
        <w:rPr>
          <w:spacing w:val="-10"/>
          <w:w w:val="105"/>
          <w:sz w:val="21"/>
        </w:rPr>
        <w:t> </w:t>
      </w:r>
      <w:r>
        <w:rPr>
          <w:w w:val="105"/>
          <w:sz w:val="21"/>
        </w:rPr>
        <w:t>person</w:t>
      </w:r>
      <w:r>
        <w:rPr>
          <w:spacing w:val="-10"/>
          <w:w w:val="105"/>
          <w:sz w:val="21"/>
        </w:rPr>
        <w:t> </w:t>
      </w:r>
      <w:r>
        <w:rPr>
          <w:w w:val="105"/>
          <w:sz w:val="21"/>
        </w:rPr>
        <w:t>by</w:t>
      </w:r>
      <w:r>
        <w:rPr>
          <w:spacing w:val="-9"/>
          <w:w w:val="105"/>
          <w:sz w:val="21"/>
        </w:rPr>
        <w:t> </w:t>
      </w:r>
      <w:r>
        <w:rPr>
          <w:w w:val="105"/>
          <w:sz w:val="21"/>
        </w:rPr>
        <w:t>30</w:t>
      </w:r>
      <w:r>
        <w:rPr>
          <w:spacing w:val="-10"/>
          <w:w w:val="105"/>
          <w:sz w:val="21"/>
        </w:rPr>
        <w:t> </w:t>
      </w:r>
      <w:r>
        <w:rPr>
          <w:w w:val="105"/>
          <w:sz w:val="21"/>
        </w:rPr>
        <w:t>days,</w:t>
      </w:r>
      <w:r>
        <w:rPr>
          <w:spacing w:val="-10"/>
          <w:w w:val="105"/>
          <w:sz w:val="21"/>
        </w:rPr>
        <w:t> </w:t>
      </w:r>
      <w:r>
        <w:rPr>
          <w:spacing w:val="-3"/>
          <w:w w:val="105"/>
          <w:sz w:val="21"/>
        </w:rPr>
        <w:t>leaving</w:t>
      </w:r>
      <w:r>
        <w:rPr>
          <w:spacing w:val="-9"/>
          <w:w w:val="105"/>
          <w:sz w:val="21"/>
        </w:rPr>
        <w:t> </w:t>
      </w:r>
      <w:r>
        <w:rPr>
          <w:spacing w:val="-3"/>
          <w:w w:val="105"/>
          <w:sz w:val="21"/>
        </w:rPr>
        <w:t>children</w:t>
      </w:r>
      <w:r>
        <w:rPr>
          <w:spacing w:val="-10"/>
          <w:w w:val="105"/>
          <w:sz w:val="21"/>
        </w:rPr>
        <w:t> </w:t>
      </w:r>
      <w:r>
        <w:rPr>
          <w:w w:val="105"/>
          <w:sz w:val="21"/>
        </w:rPr>
        <w:t>or</w:t>
      </w:r>
      <w:r>
        <w:rPr>
          <w:spacing w:val="-10"/>
          <w:w w:val="105"/>
          <w:sz w:val="21"/>
        </w:rPr>
        <w:t> </w:t>
      </w:r>
      <w:r>
        <w:rPr>
          <w:w w:val="105"/>
          <w:sz w:val="21"/>
        </w:rPr>
        <w:t>other</w:t>
      </w:r>
      <w:r>
        <w:rPr>
          <w:spacing w:val="-9"/>
          <w:w w:val="105"/>
          <w:sz w:val="21"/>
        </w:rPr>
        <w:t> </w:t>
      </w:r>
      <w:r>
        <w:rPr>
          <w:w w:val="105"/>
          <w:sz w:val="21"/>
        </w:rPr>
        <w:t>issue</w:t>
      </w:r>
      <w:r>
        <w:rPr>
          <w:spacing w:val="-10"/>
          <w:w w:val="105"/>
          <w:sz w:val="21"/>
        </w:rPr>
        <w:t> </w:t>
      </w:r>
      <w:r>
        <w:rPr>
          <w:w w:val="105"/>
          <w:sz w:val="21"/>
        </w:rPr>
        <w:t>who</w:t>
      </w:r>
      <w:r>
        <w:rPr>
          <w:spacing w:val="-10"/>
          <w:w w:val="105"/>
          <w:sz w:val="21"/>
        </w:rPr>
        <w:t> </w:t>
      </w:r>
      <w:r>
        <w:rPr>
          <w:w w:val="105"/>
          <w:sz w:val="21"/>
        </w:rPr>
        <w:t>survived the</w:t>
      </w:r>
      <w:r>
        <w:rPr>
          <w:spacing w:val="-9"/>
          <w:w w:val="105"/>
          <w:sz w:val="21"/>
        </w:rPr>
        <w:t> </w:t>
      </w:r>
      <w:r>
        <w:rPr>
          <w:w w:val="105"/>
          <w:sz w:val="21"/>
        </w:rPr>
        <w:t>deceased</w:t>
      </w:r>
      <w:r>
        <w:rPr>
          <w:spacing w:val="-9"/>
          <w:w w:val="105"/>
          <w:sz w:val="21"/>
        </w:rPr>
        <w:t> </w:t>
      </w:r>
      <w:r>
        <w:rPr>
          <w:w w:val="105"/>
          <w:sz w:val="21"/>
        </w:rPr>
        <w:t>person</w:t>
      </w:r>
      <w:r>
        <w:rPr>
          <w:spacing w:val="-9"/>
          <w:w w:val="105"/>
          <w:sz w:val="21"/>
        </w:rPr>
        <w:t> </w:t>
      </w:r>
      <w:r>
        <w:rPr>
          <w:w w:val="105"/>
          <w:sz w:val="21"/>
        </w:rPr>
        <w:t>by</w:t>
      </w:r>
      <w:r>
        <w:rPr>
          <w:spacing w:val="-9"/>
          <w:w w:val="105"/>
          <w:sz w:val="21"/>
        </w:rPr>
        <w:t> </w:t>
      </w:r>
      <w:r>
        <w:rPr>
          <w:w w:val="105"/>
          <w:sz w:val="21"/>
        </w:rPr>
        <w:t>30</w:t>
      </w:r>
      <w:r>
        <w:rPr>
          <w:spacing w:val="-9"/>
          <w:w w:val="105"/>
          <w:sz w:val="21"/>
        </w:rPr>
        <w:t> </w:t>
      </w:r>
      <w:r>
        <w:rPr>
          <w:w w:val="105"/>
          <w:sz w:val="21"/>
        </w:rPr>
        <w:t>days,</w:t>
      </w:r>
      <w:r>
        <w:rPr>
          <w:spacing w:val="-9"/>
          <w:w w:val="105"/>
          <w:sz w:val="21"/>
        </w:rPr>
        <w:t> </w:t>
      </w:r>
      <w:r>
        <w:rPr>
          <w:w w:val="105"/>
          <w:sz w:val="21"/>
        </w:rPr>
        <w:t>those</w:t>
      </w:r>
      <w:r>
        <w:rPr>
          <w:spacing w:val="-9"/>
          <w:w w:val="105"/>
          <w:sz w:val="21"/>
        </w:rPr>
        <w:t> </w:t>
      </w:r>
      <w:r>
        <w:rPr>
          <w:spacing w:val="-3"/>
          <w:w w:val="105"/>
          <w:sz w:val="21"/>
        </w:rPr>
        <w:t>children</w:t>
      </w:r>
      <w:r>
        <w:rPr>
          <w:spacing w:val="-9"/>
          <w:w w:val="105"/>
          <w:sz w:val="21"/>
        </w:rPr>
        <w:t> </w:t>
      </w:r>
      <w:r>
        <w:rPr>
          <w:w w:val="105"/>
          <w:sz w:val="21"/>
        </w:rPr>
        <w:t>or</w:t>
      </w:r>
      <w:r>
        <w:rPr>
          <w:spacing w:val="-9"/>
          <w:w w:val="105"/>
          <w:sz w:val="21"/>
        </w:rPr>
        <w:t> </w:t>
      </w:r>
      <w:r>
        <w:rPr>
          <w:w w:val="105"/>
          <w:sz w:val="21"/>
        </w:rPr>
        <w:t>other</w:t>
      </w:r>
      <w:r>
        <w:rPr>
          <w:spacing w:val="-9"/>
          <w:w w:val="105"/>
          <w:sz w:val="21"/>
        </w:rPr>
        <w:t> </w:t>
      </w:r>
      <w:r>
        <w:rPr>
          <w:w w:val="105"/>
          <w:sz w:val="21"/>
        </w:rPr>
        <w:t>issue</w:t>
      </w:r>
      <w:r>
        <w:rPr>
          <w:spacing w:val="-9"/>
          <w:w w:val="105"/>
          <w:sz w:val="21"/>
        </w:rPr>
        <w:t> </w:t>
      </w:r>
      <w:r>
        <w:rPr>
          <w:w w:val="105"/>
          <w:sz w:val="21"/>
        </w:rPr>
        <w:t>would</w:t>
      </w:r>
      <w:r>
        <w:rPr>
          <w:spacing w:val="-9"/>
          <w:w w:val="105"/>
          <w:sz w:val="21"/>
        </w:rPr>
        <w:t> </w:t>
      </w:r>
      <w:r>
        <w:rPr>
          <w:spacing w:val="-3"/>
          <w:w w:val="105"/>
          <w:sz w:val="21"/>
        </w:rPr>
        <w:t>take</w:t>
      </w:r>
      <w:r>
        <w:rPr>
          <w:spacing w:val="-9"/>
          <w:w w:val="105"/>
          <w:sz w:val="21"/>
        </w:rPr>
        <w:t> </w:t>
      </w:r>
      <w:r>
        <w:rPr>
          <w:w w:val="105"/>
          <w:sz w:val="21"/>
        </w:rPr>
        <w:t>the</w:t>
      </w:r>
      <w:r>
        <w:rPr>
          <w:spacing w:val="-8"/>
          <w:w w:val="105"/>
          <w:sz w:val="21"/>
        </w:rPr>
        <w:t> </w:t>
      </w:r>
      <w:r>
        <w:rPr>
          <w:spacing w:val="-3"/>
          <w:w w:val="105"/>
          <w:sz w:val="21"/>
        </w:rPr>
        <w:t>share</w:t>
      </w:r>
      <w:r>
        <w:rPr>
          <w:spacing w:val="-9"/>
          <w:w w:val="105"/>
          <w:sz w:val="21"/>
        </w:rPr>
        <w:t> </w:t>
      </w:r>
      <w:r>
        <w:rPr>
          <w:w w:val="105"/>
          <w:sz w:val="21"/>
        </w:rPr>
        <w:t>their deceased </w:t>
      </w:r>
      <w:r>
        <w:rPr>
          <w:spacing w:val="-3"/>
          <w:w w:val="105"/>
          <w:sz w:val="21"/>
        </w:rPr>
        <w:t>parent </w:t>
      </w:r>
      <w:r>
        <w:rPr>
          <w:w w:val="105"/>
          <w:sz w:val="21"/>
        </w:rPr>
        <w:t>(the deceased </w:t>
      </w:r>
      <w:r>
        <w:rPr>
          <w:spacing w:val="-3"/>
          <w:w w:val="105"/>
          <w:sz w:val="21"/>
        </w:rPr>
        <w:t>person’s </w:t>
      </w:r>
      <w:r>
        <w:rPr>
          <w:w w:val="105"/>
          <w:sz w:val="21"/>
        </w:rPr>
        <w:t>child) would </w:t>
      </w:r>
      <w:r>
        <w:rPr>
          <w:spacing w:val="-3"/>
          <w:w w:val="105"/>
          <w:sz w:val="21"/>
        </w:rPr>
        <w:t>have </w:t>
      </w:r>
      <w:r>
        <w:rPr>
          <w:w w:val="105"/>
          <w:sz w:val="21"/>
        </w:rPr>
        <w:t>been entitled</w:t>
      </w:r>
      <w:r>
        <w:rPr>
          <w:spacing w:val="1"/>
          <w:w w:val="105"/>
          <w:sz w:val="21"/>
        </w:rPr>
        <w:t> </w:t>
      </w:r>
      <w:r>
        <w:rPr>
          <w:spacing w:val="-3"/>
          <w:w w:val="105"/>
          <w:sz w:val="21"/>
        </w:rPr>
        <w:t>to.</w:t>
      </w:r>
      <w:r>
        <w:rPr>
          <w:spacing w:val="-3"/>
          <w:w w:val="105"/>
          <w:position w:val="7"/>
          <w:sz w:val="12"/>
        </w:rPr>
        <w:t>218</w:t>
      </w:r>
    </w:p>
    <w:p>
      <w:pPr>
        <w:pStyle w:val="ListParagraph"/>
        <w:numPr>
          <w:ilvl w:val="1"/>
          <w:numId w:val="22"/>
        </w:numPr>
        <w:tabs>
          <w:tab w:pos="2382" w:val="left" w:leader="none"/>
        </w:tabs>
        <w:spacing w:line="242" w:lineRule="auto" w:before="127" w:after="0"/>
        <w:ind w:left="2381" w:right="2242" w:hanging="794"/>
        <w:jc w:val="both"/>
        <w:rPr>
          <w:sz w:val="12"/>
        </w:rPr>
      </w:pPr>
      <w:r>
        <w:rPr>
          <w:sz w:val="21"/>
        </w:rPr>
        <w:t>Where the deceased person is </w:t>
      </w:r>
      <w:r>
        <w:rPr>
          <w:spacing w:val="-2"/>
          <w:sz w:val="21"/>
        </w:rPr>
        <w:t>not </w:t>
      </w:r>
      <w:r>
        <w:rPr>
          <w:sz w:val="21"/>
        </w:rPr>
        <w:t>survived by a </w:t>
      </w:r>
      <w:r>
        <w:rPr>
          <w:spacing w:val="-3"/>
          <w:sz w:val="21"/>
        </w:rPr>
        <w:t>partner, </w:t>
      </w:r>
      <w:r>
        <w:rPr>
          <w:sz w:val="21"/>
        </w:rPr>
        <w:t>but is survived by </w:t>
      </w:r>
      <w:r>
        <w:rPr>
          <w:spacing w:val="-3"/>
          <w:sz w:val="21"/>
        </w:rPr>
        <w:t>children  </w:t>
      </w:r>
      <w:r>
        <w:rPr>
          <w:sz w:val="21"/>
        </w:rPr>
        <w:t>or </w:t>
      </w:r>
      <w:r>
        <w:rPr>
          <w:spacing w:val="-3"/>
          <w:sz w:val="21"/>
        </w:rPr>
        <w:t>issue, </w:t>
      </w:r>
      <w:r>
        <w:rPr>
          <w:sz w:val="21"/>
        </w:rPr>
        <w:t>they would </w:t>
      </w:r>
      <w:r>
        <w:rPr>
          <w:spacing w:val="-3"/>
          <w:sz w:val="21"/>
        </w:rPr>
        <w:t>share </w:t>
      </w:r>
      <w:r>
        <w:rPr>
          <w:sz w:val="21"/>
        </w:rPr>
        <w:t>the </w:t>
      </w:r>
      <w:r>
        <w:rPr>
          <w:spacing w:val="-3"/>
          <w:sz w:val="21"/>
        </w:rPr>
        <w:t>entire intestate </w:t>
      </w:r>
      <w:r>
        <w:rPr>
          <w:sz w:val="21"/>
        </w:rPr>
        <w:t>estate between them, as is </w:t>
      </w:r>
      <w:r>
        <w:rPr>
          <w:spacing w:val="-3"/>
          <w:sz w:val="21"/>
        </w:rPr>
        <w:t>currently </w:t>
      </w:r>
      <w:r>
        <w:rPr>
          <w:sz w:val="21"/>
        </w:rPr>
        <w:t>the</w:t>
      </w:r>
      <w:r>
        <w:rPr>
          <w:spacing w:val="8"/>
          <w:sz w:val="21"/>
        </w:rPr>
        <w:t> </w:t>
      </w:r>
      <w:r>
        <w:rPr>
          <w:spacing w:val="-3"/>
          <w:sz w:val="21"/>
        </w:rPr>
        <w:t>case.</w:t>
      </w:r>
      <w:r>
        <w:rPr>
          <w:spacing w:val="-3"/>
          <w:position w:val="7"/>
          <w:sz w:val="12"/>
        </w:rPr>
        <w:t>219</w:t>
      </w:r>
    </w:p>
    <w:p>
      <w:pPr>
        <w:pStyle w:val="ListParagraph"/>
        <w:numPr>
          <w:ilvl w:val="1"/>
          <w:numId w:val="22"/>
        </w:numPr>
        <w:tabs>
          <w:tab w:pos="2380" w:val="left" w:leader="none"/>
          <w:tab w:pos="2381" w:val="left" w:leader="none"/>
        </w:tabs>
        <w:spacing w:line="242" w:lineRule="auto" w:before="123" w:after="0"/>
        <w:ind w:left="2381" w:right="1686" w:hanging="794"/>
        <w:jc w:val="left"/>
        <w:rPr>
          <w:sz w:val="12"/>
        </w:rPr>
      </w:pPr>
      <w:r>
        <w:rPr>
          <w:w w:val="105"/>
          <w:sz w:val="21"/>
        </w:rPr>
        <w:t>Both New South </w:t>
      </w:r>
      <w:r>
        <w:rPr>
          <w:spacing w:val="-3"/>
          <w:w w:val="105"/>
          <w:sz w:val="21"/>
        </w:rPr>
        <w:t>Wales </w:t>
      </w:r>
      <w:r>
        <w:rPr>
          <w:w w:val="105"/>
          <w:sz w:val="21"/>
        </w:rPr>
        <w:t>and </w:t>
      </w:r>
      <w:r>
        <w:rPr>
          <w:spacing w:val="-5"/>
          <w:w w:val="105"/>
          <w:sz w:val="21"/>
        </w:rPr>
        <w:t>Tasmania </w:t>
      </w:r>
      <w:r>
        <w:rPr>
          <w:spacing w:val="-3"/>
          <w:w w:val="105"/>
          <w:sz w:val="21"/>
        </w:rPr>
        <w:t>have </w:t>
      </w:r>
      <w:r>
        <w:rPr>
          <w:w w:val="105"/>
          <w:sz w:val="21"/>
        </w:rPr>
        <w:t>adopted these </w:t>
      </w:r>
      <w:r>
        <w:rPr>
          <w:spacing w:val="-3"/>
          <w:w w:val="105"/>
          <w:sz w:val="21"/>
        </w:rPr>
        <w:t>recommendations </w:t>
      </w:r>
      <w:r>
        <w:rPr>
          <w:w w:val="105"/>
          <w:sz w:val="21"/>
        </w:rPr>
        <w:t>of the </w:t>
      </w:r>
      <w:r>
        <w:rPr>
          <w:spacing w:val="-3"/>
          <w:w w:val="105"/>
          <w:sz w:val="21"/>
        </w:rPr>
        <w:t>National Committee.</w:t>
      </w:r>
      <w:r>
        <w:rPr>
          <w:spacing w:val="-3"/>
          <w:w w:val="105"/>
          <w:position w:val="7"/>
          <w:sz w:val="12"/>
        </w:rPr>
        <w:t>220 </w:t>
      </w:r>
      <w:r>
        <w:rPr>
          <w:w w:val="105"/>
          <w:sz w:val="21"/>
        </w:rPr>
        <w:t>The </w:t>
      </w:r>
      <w:r>
        <w:rPr>
          <w:spacing w:val="-4"/>
          <w:w w:val="105"/>
          <w:sz w:val="21"/>
        </w:rPr>
        <w:t>Commission’s </w:t>
      </w:r>
      <w:r>
        <w:rPr>
          <w:spacing w:val="-3"/>
          <w:w w:val="105"/>
          <w:sz w:val="21"/>
        </w:rPr>
        <w:t>consultation </w:t>
      </w:r>
      <w:r>
        <w:rPr>
          <w:w w:val="105"/>
          <w:sz w:val="21"/>
        </w:rPr>
        <w:t>paper on intestacy </w:t>
      </w:r>
      <w:r>
        <w:rPr>
          <w:spacing w:val="-3"/>
          <w:w w:val="105"/>
          <w:sz w:val="21"/>
        </w:rPr>
        <w:t>asked </w:t>
      </w:r>
      <w:r>
        <w:rPr>
          <w:w w:val="105"/>
          <w:sz w:val="21"/>
        </w:rPr>
        <w:t>whether Victoria should adopt this approach </w:t>
      </w:r>
      <w:r>
        <w:rPr>
          <w:spacing w:val="-3"/>
          <w:w w:val="105"/>
          <w:sz w:val="21"/>
        </w:rPr>
        <w:t>to </w:t>
      </w:r>
      <w:r>
        <w:rPr>
          <w:w w:val="105"/>
          <w:sz w:val="21"/>
        </w:rPr>
        <w:t>the entitlements of</w:t>
      </w:r>
      <w:r>
        <w:rPr>
          <w:spacing w:val="16"/>
          <w:w w:val="105"/>
          <w:sz w:val="21"/>
        </w:rPr>
        <w:t> </w:t>
      </w:r>
      <w:r>
        <w:rPr>
          <w:spacing w:val="-3"/>
          <w:w w:val="105"/>
          <w:sz w:val="21"/>
        </w:rPr>
        <w:t>children.</w:t>
      </w:r>
      <w:r>
        <w:rPr>
          <w:spacing w:val="-3"/>
          <w:w w:val="105"/>
          <w:position w:val="7"/>
          <w:sz w:val="12"/>
        </w:rPr>
        <w:t>221</w:t>
      </w:r>
    </w:p>
    <w:p>
      <w:pPr>
        <w:pStyle w:val="BodyText"/>
        <w:spacing w:before="12"/>
        <w:rPr>
          <w:sz w:val="24"/>
        </w:rPr>
      </w:pPr>
    </w:p>
    <w:p>
      <w:pPr>
        <w:pStyle w:val="Heading5"/>
      </w:pPr>
      <w:bookmarkStart w:name="_TOC_250038" w:id="80"/>
      <w:bookmarkEnd w:id="80"/>
      <w:r>
        <w:rPr>
          <w:w w:val="115"/>
        </w:rPr>
        <w:t>Views and conclusions</w:t>
      </w:r>
    </w:p>
    <w:p>
      <w:pPr>
        <w:pStyle w:val="ListParagraph"/>
        <w:numPr>
          <w:ilvl w:val="1"/>
          <w:numId w:val="22"/>
        </w:numPr>
        <w:tabs>
          <w:tab w:pos="2381" w:val="left" w:leader="none"/>
          <w:tab w:pos="2382" w:val="left" w:leader="none"/>
        </w:tabs>
        <w:spacing w:line="242" w:lineRule="auto" w:before="137" w:after="0"/>
        <w:ind w:left="2381" w:right="1586" w:hanging="794"/>
        <w:jc w:val="left"/>
        <w:rPr>
          <w:sz w:val="12"/>
        </w:rPr>
      </w:pPr>
      <w:r>
        <w:rPr>
          <w:w w:val="105"/>
          <w:sz w:val="21"/>
        </w:rPr>
        <w:t>In</w:t>
      </w:r>
      <w:r>
        <w:rPr>
          <w:spacing w:val="-8"/>
          <w:w w:val="105"/>
          <w:sz w:val="21"/>
        </w:rPr>
        <w:t> </w:t>
      </w:r>
      <w:r>
        <w:rPr>
          <w:spacing w:val="-3"/>
          <w:w w:val="105"/>
          <w:sz w:val="21"/>
        </w:rPr>
        <w:t>submissions</w:t>
      </w:r>
      <w:r>
        <w:rPr>
          <w:spacing w:val="-8"/>
          <w:w w:val="105"/>
          <w:sz w:val="21"/>
        </w:rPr>
        <w:t> </w:t>
      </w:r>
      <w:r>
        <w:rPr>
          <w:spacing w:val="-3"/>
          <w:w w:val="105"/>
          <w:sz w:val="21"/>
        </w:rPr>
        <w:t>to</w:t>
      </w:r>
      <w:r>
        <w:rPr>
          <w:spacing w:val="-8"/>
          <w:w w:val="105"/>
          <w:sz w:val="21"/>
        </w:rPr>
        <w:t> </w:t>
      </w:r>
      <w:r>
        <w:rPr>
          <w:w w:val="105"/>
          <w:sz w:val="21"/>
        </w:rPr>
        <w:t>the</w:t>
      </w:r>
      <w:r>
        <w:rPr>
          <w:spacing w:val="-7"/>
          <w:w w:val="105"/>
          <w:sz w:val="21"/>
        </w:rPr>
        <w:t> </w:t>
      </w:r>
      <w:r>
        <w:rPr>
          <w:spacing w:val="-4"/>
          <w:w w:val="105"/>
          <w:sz w:val="21"/>
        </w:rPr>
        <w:t>Commission’s</w:t>
      </w:r>
      <w:r>
        <w:rPr>
          <w:spacing w:val="-8"/>
          <w:w w:val="105"/>
          <w:sz w:val="21"/>
        </w:rPr>
        <w:t> </w:t>
      </w:r>
      <w:r>
        <w:rPr>
          <w:spacing w:val="-3"/>
          <w:w w:val="105"/>
          <w:sz w:val="21"/>
        </w:rPr>
        <w:t>consultation</w:t>
      </w:r>
      <w:r>
        <w:rPr>
          <w:spacing w:val="-8"/>
          <w:w w:val="105"/>
          <w:sz w:val="21"/>
        </w:rPr>
        <w:t> </w:t>
      </w:r>
      <w:r>
        <w:rPr>
          <w:w w:val="105"/>
          <w:sz w:val="21"/>
        </w:rPr>
        <w:t>paper</w:t>
      </w:r>
      <w:r>
        <w:rPr>
          <w:spacing w:val="-7"/>
          <w:w w:val="105"/>
          <w:sz w:val="21"/>
        </w:rPr>
        <w:t> </w:t>
      </w:r>
      <w:r>
        <w:rPr>
          <w:w w:val="105"/>
          <w:sz w:val="21"/>
        </w:rPr>
        <w:t>on</w:t>
      </w:r>
      <w:r>
        <w:rPr>
          <w:spacing w:val="-8"/>
          <w:w w:val="105"/>
          <w:sz w:val="21"/>
        </w:rPr>
        <w:t> </w:t>
      </w:r>
      <w:r>
        <w:rPr>
          <w:spacing w:val="-3"/>
          <w:w w:val="105"/>
          <w:sz w:val="21"/>
        </w:rPr>
        <w:t>intestacy,</w:t>
      </w:r>
      <w:r>
        <w:rPr>
          <w:spacing w:val="-8"/>
          <w:w w:val="105"/>
          <w:sz w:val="21"/>
        </w:rPr>
        <w:t> </w:t>
      </w:r>
      <w:r>
        <w:rPr>
          <w:w w:val="105"/>
          <w:sz w:val="21"/>
        </w:rPr>
        <w:t>there</w:t>
      </w:r>
      <w:r>
        <w:rPr>
          <w:spacing w:val="-7"/>
          <w:w w:val="105"/>
          <w:sz w:val="21"/>
        </w:rPr>
        <w:t> </w:t>
      </w:r>
      <w:r>
        <w:rPr>
          <w:w w:val="105"/>
          <w:sz w:val="21"/>
        </w:rPr>
        <w:t>was</w:t>
      </w:r>
      <w:r>
        <w:rPr>
          <w:spacing w:val="-8"/>
          <w:w w:val="105"/>
          <w:sz w:val="21"/>
        </w:rPr>
        <w:t> </w:t>
      </w:r>
      <w:r>
        <w:rPr>
          <w:w w:val="105"/>
          <w:sz w:val="21"/>
        </w:rPr>
        <w:t>widespread support </w:t>
      </w:r>
      <w:r>
        <w:rPr>
          <w:spacing w:val="-3"/>
          <w:w w:val="105"/>
          <w:sz w:val="21"/>
        </w:rPr>
        <w:t>for </w:t>
      </w:r>
      <w:r>
        <w:rPr>
          <w:w w:val="105"/>
          <w:sz w:val="21"/>
        </w:rPr>
        <w:t>the </w:t>
      </w:r>
      <w:r>
        <w:rPr>
          <w:spacing w:val="-3"/>
          <w:w w:val="105"/>
          <w:sz w:val="21"/>
        </w:rPr>
        <w:t>National </w:t>
      </w:r>
      <w:r>
        <w:rPr>
          <w:spacing w:val="-4"/>
          <w:w w:val="105"/>
          <w:sz w:val="21"/>
        </w:rPr>
        <w:t>Committee’s </w:t>
      </w:r>
      <w:r>
        <w:rPr>
          <w:spacing w:val="-3"/>
          <w:w w:val="105"/>
          <w:sz w:val="21"/>
        </w:rPr>
        <w:t>recommendations </w:t>
      </w:r>
      <w:r>
        <w:rPr>
          <w:w w:val="105"/>
          <w:sz w:val="21"/>
        </w:rPr>
        <w:t>in </w:t>
      </w:r>
      <w:r>
        <w:rPr>
          <w:spacing w:val="-3"/>
          <w:w w:val="105"/>
          <w:sz w:val="21"/>
        </w:rPr>
        <w:t>relation to </w:t>
      </w:r>
      <w:r>
        <w:rPr>
          <w:w w:val="105"/>
          <w:sz w:val="21"/>
        </w:rPr>
        <w:t>the entitlements of partners and children.</w:t>
      </w:r>
      <w:r>
        <w:rPr>
          <w:w w:val="105"/>
          <w:position w:val="7"/>
          <w:sz w:val="12"/>
        </w:rPr>
        <w:t>222 </w:t>
      </w:r>
      <w:r>
        <w:rPr>
          <w:w w:val="105"/>
          <w:sz w:val="21"/>
        </w:rPr>
        <w:t>The Law </w:t>
      </w:r>
      <w:r>
        <w:rPr>
          <w:spacing w:val="-3"/>
          <w:w w:val="105"/>
          <w:sz w:val="21"/>
        </w:rPr>
        <w:t>Institute </w:t>
      </w:r>
      <w:r>
        <w:rPr>
          <w:w w:val="105"/>
          <w:sz w:val="21"/>
        </w:rPr>
        <w:t>of Victoria said </w:t>
      </w:r>
      <w:r>
        <w:rPr>
          <w:spacing w:val="-3"/>
          <w:w w:val="105"/>
          <w:sz w:val="21"/>
        </w:rPr>
        <w:t>that </w:t>
      </w:r>
      <w:r>
        <w:rPr>
          <w:w w:val="105"/>
          <w:sz w:val="21"/>
        </w:rPr>
        <w:t>this approach is </w:t>
      </w:r>
      <w:r>
        <w:rPr>
          <w:spacing w:val="-3"/>
          <w:w w:val="105"/>
          <w:sz w:val="21"/>
        </w:rPr>
        <w:t>consistent </w:t>
      </w:r>
      <w:r>
        <w:rPr>
          <w:w w:val="105"/>
          <w:sz w:val="21"/>
        </w:rPr>
        <w:t>with how people draft their</w:t>
      </w:r>
      <w:r>
        <w:rPr>
          <w:spacing w:val="24"/>
          <w:w w:val="105"/>
          <w:sz w:val="21"/>
        </w:rPr>
        <w:t> </w:t>
      </w:r>
      <w:r>
        <w:rPr>
          <w:w w:val="105"/>
          <w:sz w:val="21"/>
        </w:rPr>
        <w:t>wills.</w:t>
      </w:r>
      <w:r>
        <w:rPr>
          <w:w w:val="105"/>
          <w:position w:val="7"/>
          <w:sz w:val="12"/>
        </w:rPr>
        <w:t>223</w:t>
      </w:r>
    </w:p>
    <w:p>
      <w:pPr>
        <w:pStyle w:val="ListParagraph"/>
        <w:numPr>
          <w:ilvl w:val="1"/>
          <w:numId w:val="22"/>
        </w:numPr>
        <w:tabs>
          <w:tab w:pos="2380" w:val="left" w:leader="none"/>
          <w:tab w:pos="2381" w:val="left" w:leader="none"/>
        </w:tabs>
        <w:spacing w:line="242" w:lineRule="auto" w:before="124" w:after="0"/>
        <w:ind w:left="2381" w:right="1867" w:hanging="794"/>
        <w:jc w:val="left"/>
        <w:rPr>
          <w:sz w:val="12"/>
        </w:rPr>
      </w:pPr>
      <w:r>
        <w:rPr>
          <w:w w:val="105"/>
          <w:sz w:val="21"/>
        </w:rPr>
        <w:t>Moores Legal also suggested </w:t>
      </w:r>
      <w:r>
        <w:rPr>
          <w:spacing w:val="-3"/>
          <w:w w:val="105"/>
          <w:sz w:val="21"/>
        </w:rPr>
        <w:t>that children </w:t>
      </w:r>
      <w:r>
        <w:rPr>
          <w:w w:val="105"/>
          <w:sz w:val="21"/>
        </w:rPr>
        <w:t>should be able </w:t>
      </w:r>
      <w:r>
        <w:rPr>
          <w:spacing w:val="-3"/>
          <w:w w:val="105"/>
          <w:sz w:val="21"/>
        </w:rPr>
        <w:t>to </w:t>
      </w:r>
      <w:r>
        <w:rPr>
          <w:spacing w:val="-4"/>
          <w:w w:val="105"/>
          <w:sz w:val="21"/>
        </w:rPr>
        <w:t>make </w:t>
      </w:r>
      <w:r>
        <w:rPr>
          <w:w w:val="105"/>
          <w:sz w:val="21"/>
        </w:rPr>
        <w:t>an application </w:t>
      </w:r>
      <w:r>
        <w:rPr>
          <w:spacing w:val="-3"/>
          <w:w w:val="105"/>
          <w:sz w:val="21"/>
        </w:rPr>
        <w:t>to </w:t>
      </w:r>
      <w:r>
        <w:rPr>
          <w:w w:val="105"/>
          <w:sz w:val="21"/>
        </w:rPr>
        <w:t>the</w:t>
      </w:r>
      <w:r>
        <w:rPr>
          <w:spacing w:val="-5"/>
          <w:w w:val="105"/>
          <w:sz w:val="21"/>
        </w:rPr>
        <w:t> </w:t>
      </w:r>
      <w:r>
        <w:rPr>
          <w:w w:val="105"/>
          <w:sz w:val="21"/>
        </w:rPr>
        <w:t>court</w:t>
      </w:r>
      <w:r>
        <w:rPr>
          <w:spacing w:val="-5"/>
          <w:w w:val="105"/>
          <w:sz w:val="21"/>
        </w:rPr>
        <w:t> </w:t>
      </w:r>
      <w:r>
        <w:rPr>
          <w:w w:val="105"/>
          <w:sz w:val="21"/>
        </w:rPr>
        <w:t>where</w:t>
      </w:r>
      <w:r>
        <w:rPr>
          <w:spacing w:val="-4"/>
          <w:w w:val="105"/>
          <w:sz w:val="21"/>
        </w:rPr>
        <w:t> </w:t>
      </w:r>
      <w:r>
        <w:rPr>
          <w:w w:val="105"/>
          <w:sz w:val="21"/>
        </w:rPr>
        <w:t>the</w:t>
      </w:r>
      <w:r>
        <w:rPr>
          <w:spacing w:val="-5"/>
          <w:w w:val="105"/>
          <w:sz w:val="21"/>
        </w:rPr>
        <w:t> </w:t>
      </w:r>
      <w:r>
        <w:rPr>
          <w:w w:val="105"/>
          <w:sz w:val="21"/>
        </w:rPr>
        <w:t>operation</w:t>
      </w:r>
      <w:r>
        <w:rPr>
          <w:spacing w:val="-4"/>
          <w:w w:val="105"/>
          <w:sz w:val="21"/>
        </w:rPr>
        <w:t> </w:t>
      </w:r>
      <w:r>
        <w:rPr>
          <w:w w:val="105"/>
          <w:sz w:val="21"/>
        </w:rPr>
        <w:t>of</w:t>
      </w:r>
      <w:r>
        <w:rPr>
          <w:spacing w:val="-5"/>
          <w:w w:val="105"/>
          <w:sz w:val="21"/>
        </w:rPr>
        <w:t> </w:t>
      </w:r>
      <w:r>
        <w:rPr>
          <w:w w:val="105"/>
          <w:sz w:val="21"/>
        </w:rPr>
        <w:t>the</w:t>
      </w:r>
      <w:r>
        <w:rPr>
          <w:spacing w:val="-5"/>
          <w:w w:val="105"/>
          <w:sz w:val="21"/>
        </w:rPr>
        <w:t> </w:t>
      </w:r>
      <w:r>
        <w:rPr>
          <w:spacing w:val="-3"/>
          <w:w w:val="105"/>
          <w:sz w:val="21"/>
        </w:rPr>
        <w:t>default</w:t>
      </w:r>
      <w:r>
        <w:rPr>
          <w:spacing w:val="-4"/>
          <w:w w:val="105"/>
          <w:sz w:val="21"/>
        </w:rPr>
        <w:t> </w:t>
      </w:r>
      <w:r>
        <w:rPr>
          <w:w w:val="105"/>
          <w:sz w:val="21"/>
        </w:rPr>
        <w:t>scheme</w:t>
      </w:r>
      <w:r>
        <w:rPr>
          <w:spacing w:val="-5"/>
          <w:w w:val="105"/>
          <w:sz w:val="21"/>
        </w:rPr>
        <w:t> </w:t>
      </w:r>
      <w:r>
        <w:rPr>
          <w:w w:val="105"/>
          <w:sz w:val="21"/>
        </w:rPr>
        <w:t>would</w:t>
      </w:r>
      <w:r>
        <w:rPr>
          <w:spacing w:val="-4"/>
          <w:w w:val="105"/>
          <w:sz w:val="21"/>
        </w:rPr>
        <w:t> </w:t>
      </w:r>
      <w:r>
        <w:rPr>
          <w:spacing w:val="-3"/>
          <w:w w:val="105"/>
          <w:sz w:val="21"/>
        </w:rPr>
        <w:t>have</w:t>
      </w:r>
      <w:r>
        <w:rPr>
          <w:spacing w:val="-5"/>
          <w:w w:val="105"/>
          <w:sz w:val="21"/>
        </w:rPr>
        <w:t> </w:t>
      </w:r>
      <w:r>
        <w:rPr>
          <w:w w:val="105"/>
          <w:sz w:val="21"/>
        </w:rPr>
        <w:t>an</w:t>
      </w:r>
      <w:r>
        <w:rPr>
          <w:spacing w:val="-4"/>
          <w:w w:val="105"/>
          <w:sz w:val="21"/>
        </w:rPr>
        <w:t> unfair</w:t>
      </w:r>
      <w:r>
        <w:rPr>
          <w:spacing w:val="-5"/>
          <w:w w:val="105"/>
          <w:sz w:val="21"/>
        </w:rPr>
        <w:t> </w:t>
      </w:r>
      <w:r>
        <w:rPr>
          <w:spacing w:val="-3"/>
          <w:w w:val="105"/>
          <w:sz w:val="21"/>
        </w:rPr>
        <w:t>outcome.</w:t>
      </w:r>
      <w:r>
        <w:rPr>
          <w:spacing w:val="-3"/>
          <w:w w:val="105"/>
          <w:position w:val="7"/>
          <w:sz w:val="12"/>
        </w:rPr>
        <w:t>224</w:t>
      </w:r>
    </w:p>
    <w:p>
      <w:pPr>
        <w:pStyle w:val="BodyText"/>
        <w:spacing w:line="242" w:lineRule="auto" w:before="3"/>
        <w:ind w:left="2381" w:right="1619"/>
      </w:pPr>
      <w:r>
        <w:rPr/>
        <w:t>However, the Commission considers the family provision jurisdiction sufficient to redress outcomes that are perceived as unfair.</w:t>
      </w:r>
    </w:p>
    <w:p>
      <w:pPr>
        <w:pStyle w:val="ListParagraph"/>
        <w:numPr>
          <w:ilvl w:val="1"/>
          <w:numId w:val="22"/>
        </w:numPr>
        <w:tabs>
          <w:tab w:pos="2380" w:val="left" w:leader="none"/>
          <w:tab w:pos="2382" w:val="left" w:leader="none"/>
        </w:tabs>
        <w:spacing w:line="242" w:lineRule="auto" w:before="122" w:after="0"/>
        <w:ind w:left="2381" w:right="1740" w:hanging="794"/>
        <w:jc w:val="left"/>
        <w:rPr>
          <w:sz w:val="21"/>
        </w:rPr>
      </w:pPr>
      <w:r>
        <w:rPr>
          <w:spacing w:val="-3"/>
          <w:w w:val="105"/>
          <w:sz w:val="21"/>
        </w:rPr>
        <w:t>Several submissions, </w:t>
      </w:r>
      <w:r>
        <w:rPr>
          <w:spacing w:val="-4"/>
          <w:w w:val="105"/>
          <w:sz w:val="21"/>
        </w:rPr>
        <w:t>however, </w:t>
      </w:r>
      <w:r>
        <w:rPr>
          <w:spacing w:val="-3"/>
          <w:w w:val="105"/>
          <w:sz w:val="21"/>
        </w:rPr>
        <w:t>were </w:t>
      </w:r>
      <w:r>
        <w:rPr>
          <w:w w:val="105"/>
          <w:sz w:val="21"/>
        </w:rPr>
        <w:t>opposed </w:t>
      </w:r>
      <w:r>
        <w:rPr>
          <w:spacing w:val="-3"/>
          <w:w w:val="105"/>
          <w:sz w:val="21"/>
        </w:rPr>
        <w:t>to </w:t>
      </w:r>
      <w:r>
        <w:rPr>
          <w:w w:val="105"/>
          <w:sz w:val="21"/>
        </w:rPr>
        <w:t>the </w:t>
      </w:r>
      <w:r>
        <w:rPr>
          <w:spacing w:val="-2"/>
          <w:w w:val="105"/>
          <w:sz w:val="21"/>
        </w:rPr>
        <w:t>recommendation.</w:t>
      </w:r>
      <w:r>
        <w:rPr>
          <w:spacing w:val="-2"/>
          <w:w w:val="105"/>
          <w:position w:val="7"/>
          <w:sz w:val="12"/>
        </w:rPr>
        <w:t>225 </w:t>
      </w:r>
      <w:r>
        <w:rPr>
          <w:w w:val="105"/>
          <w:sz w:val="21"/>
        </w:rPr>
        <w:t>The Property and </w:t>
      </w:r>
      <w:r>
        <w:rPr>
          <w:spacing w:val="-3"/>
          <w:w w:val="105"/>
          <w:sz w:val="21"/>
        </w:rPr>
        <w:t>Probate </w:t>
      </w:r>
      <w:r>
        <w:rPr>
          <w:w w:val="105"/>
          <w:sz w:val="21"/>
        </w:rPr>
        <w:t>Section of the </w:t>
      </w:r>
      <w:r>
        <w:rPr>
          <w:spacing w:val="-4"/>
          <w:w w:val="105"/>
          <w:sz w:val="21"/>
        </w:rPr>
        <w:t>Commercial </w:t>
      </w:r>
      <w:r>
        <w:rPr>
          <w:w w:val="105"/>
          <w:sz w:val="21"/>
        </w:rPr>
        <w:t>Bar Association expressed strong opposition on the basis </w:t>
      </w:r>
      <w:r>
        <w:rPr>
          <w:spacing w:val="-3"/>
          <w:w w:val="105"/>
          <w:sz w:val="21"/>
        </w:rPr>
        <w:t>that removing provision for children </w:t>
      </w:r>
      <w:r>
        <w:rPr>
          <w:w w:val="105"/>
          <w:sz w:val="21"/>
        </w:rPr>
        <w:t>on intestacy would be </w:t>
      </w:r>
      <w:r>
        <w:rPr>
          <w:spacing w:val="-3"/>
          <w:w w:val="105"/>
          <w:sz w:val="21"/>
        </w:rPr>
        <w:t>inconsistent </w:t>
      </w:r>
      <w:r>
        <w:rPr>
          <w:w w:val="105"/>
          <w:sz w:val="21"/>
        </w:rPr>
        <w:t>with the </w:t>
      </w:r>
      <w:r>
        <w:rPr>
          <w:spacing w:val="-3"/>
          <w:w w:val="105"/>
          <w:sz w:val="21"/>
        </w:rPr>
        <w:t>responsibility to </w:t>
      </w:r>
      <w:r>
        <w:rPr>
          <w:w w:val="105"/>
          <w:sz w:val="21"/>
        </w:rPr>
        <w:t>provide </w:t>
      </w:r>
      <w:r>
        <w:rPr>
          <w:spacing w:val="-3"/>
          <w:w w:val="105"/>
          <w:sz w:val="21"/>
        </w:rPr>
        <w:t>for children that </w:t>
      </w:r>
      <w:r>
        <w:rPr>
          <w:w w:val="105"/>
          <w:sz w:val="21"/>
        </w:rPr>
        <w:t>is clearly recognised in the </w:t>
      </w:r>
      <w:r>
        <w:rPr>
          <w:spacing w:val="-3"/>
          <w:w w:val="105"/>
          <w:sz w:val="21"/>
        </w:rPr>
        <w:t>family provision </w:t>
      </w:r>
      <w:r>
        <w:rPr>
          <w:w w:val="105"/>
          <w:sz w:val="21"/>
        </w:rPr>
        <w:t>jurisdiction.</w:t>
      </w:r>
      <w:r>
        <w:rPr>
          <w:w w:val="105"/>
          <w:position w:val="7"/>
          <w:sz w:val="12"/>
        </w:rPr>
        <w:t>226 </w:t>
      </w:r>
      <w:r>
        <w:rPr>
          <w:spacing w:val="-4"/>
          <w:w w:val="105"/>
          <w:sz w:val="21"/>
        </w:rPr>
        <w:t>However, </w:t>
      </w:r>
      <w:r>
        <w:rPr>
          <w:w w:val="105"/>
          <w:sz w:val="21"/>
        </w:rPr>
        <w:t>the </w:t>
      </w:r>
      <w:r>
        <w:rPr>
          <w:spacing w:val="-3"/>
          <w:w w:val="105"/>
          <w:sz w:val="21"/>
        </w:rPr>
        <w:t>Commission </w:t>
      </w:r>
      <w:r>
        <w:rPr>
          <w:w w:val="105"/>
          <w:sz w:val="21"/>
        </w:rPr>
        <w:t>does </w:t>
      </w:r>
      <w:r>
        <w:rPr>
          <w:spacing w:val="-2"/>
          <w:w w:val="105"/>
          <w:sz w:val="21"/>
        </w:rPr>
        <w:t>not </w:t>
      </w:r>
      <w:r>
        <w:rPr>
          <w:w w:val="105"/>
          <w:sz w:val="21"/>
        </w:rPr>
        <w:t>believe </w:t>
      </w:r>
      <w:r>
        <w:rPr>
          <w:spacing w:val="-3"/>
          <w:w w:val="105"/>
          <w:sz w:val="21"/>
        </w:rPr>
        <w:t>that </w:t>
      </w:r>
      <w:r>
        <w:rPr>
          <w:w w:val="105"/>
          <w:sz w:val="21"/>
        </w:rPr>
        <w:t>this </w:t>
      </w:r>
      <w:r>
        <w:rPr>
          <w:spacing w:val="-3"/>
          <w:w w:val="105"/>
          <w:sz w:val="21"/>
        </w:rPr>
        <w:t>recommendation </w:t>
      </w:r>
      <w:r>
        <w:rPr>
          <w:w w:val="105"/>
          <w:sz w:val="21"/>
        </w:rPr>
        <w:t>removes </w:t>
      </w:r>
      <w:r>
        <w:rPr>
          <w:spacing w:val="-3"/>
          <w:w w:val="105"/>
          <w:sz w:val="21"/>
        </w:rPr>
        <w:t>provision for children </w:t>
      </w:r>
      <w:r>
        <w:rPr>
          <w:w w:val="105"/>
          <w:sz w:val="21"/>
        </w:rPr>
        <w:t>of the deceased, as suggested by the </w:t>
      </w:r>
      <w:r>
        <w:rPr>
          <w:spacing w:val="-4"/>
          <w:w w:val="105"/>
          <w:sz w:val="21"/>
        </w:rPr>
        <w:t>Commercial </w:t>
      </w:r>
      <w:r>
        <w:rPr>
          <w:w w:val="105"/>
          <w:sz w:val="21"/>
        </w:rPr>
        <w:t>Bar Association.</w:t>
      </w:r>
      <w:r>
        <w:rPr>
          <w:spacing w:val="-11"/>
          <w:w w:val="105"/>
          <w:sz w:val="21"/>
        </w:rPr>
        <w:t> </w:t>
      </w:r>
      <w:r>
        <w:rPr>
          <w:spacing w:val="-4"/>
          <w:w w:val="105"/>
          <w:sz w:val="21"/>
        </w:rPr>
        <w:t>Rather,</w:t>
      </w:r>
      <w:r>
        <w:rPr>
          <w:spacing w:val="-10"/>
          <w:w w:val="105"/>
          <w:sz w:val="21"/>
        </w:rPr>
        <w:t> </w:t>
      </w:r>
      <w:r>
        <w:rPr>
          <w:w w:val="105"/>
          <w:sz w:val="21"/>
        </w:rPr>
        <w:t>it</w:t>
      </w:r>
      <w:r>
        <w:rPr>
          <w:spacing w:val="-10"/>
          <w:w w:val="105"/>
          <w:sz w:val="21"/>
        </w:rPr>
        <w:t> </w:t>
      </w:r>
      <w:r>
        <w:rPr>
          <w:w w:val="105"/>
          <w:sz w:val="21"/>
        </w:rPr>
        <w:t>defers</w:t>
      </w:r>
      <w:r>
        <w:rPr>
          <w:spacing w:val="-8"/>
          <w:w w:val="105"/>
          <w:sz w:val="21"/>
        </w:rPr>
        <w:t> </w:t>
      </w:r>
      <w:r>
        <w:rPr>
          <w:spacing w:val="-3"/>
          <w:w w:val="105"/>
          <w:sz w:val="21"/>
        </w:rPr>
        <w:t>provision</w:t>
      </w:r>
      <w:r>
        <w:rPr>
          <w:spacing w:val="-10"/>
          <w:w w:val="105"/>
          <w:sz w:val="21"/>
        </w:rPr>
        <w:t> </w:t>
      </w:r>
      <w:r>
        <w:rPr>
          <w:spacing w:val="-3"/>
          <w:w w:val="105"/>
          <w:sz w:val="21"/>
        </w:rPr>
        <w:t>for</w:t>
      </w:r>
      <w:r>
        <w:rPr>
          <w:spacing w:val="-10"/>
          <w:w w:val="105"/>
          <w:sz w:val="21"/>
        </w:rPr>
        <w:t> </w:t>
      </w:r>
      <w:r>
        <w:rPr>
          <w:w w:val="105"/>
          <w:sz w:val="21"/>
        </w:rPr>
        <w:t>them</w:t>
      </w:r>
      <w:r>
        <w:rPr>
          <w:spacing w:val="-10"/>
          <w:w w:val="105"/>
          <w:sz w:val="21"/>
        </w:rPr>
        <w:t> </w:t>
      </w:r>
      <w:r>
        <w:rPr>
          <w:spacing w:val="-3"/>
          <w:w w:val="105"/>
          <w:sz w:val="21"/>
        </w:rPr>
        <w:t>until</w:t>
      </w:r>
      <w:r>
        <w:rPr>
          <w:spacing w:val="-10"/>
          <w:w w:val="105"/>
          <w:sz w:val="21"/>
        </w:rPr>
        <w:t> </w:t>
      </w:r>
      <w:r>
        <w:rPr>
          <w:w w:val="105"/>
          <w:sz w:val="21"/>
        </w:rPr>
        <w:t>their</w:t>
      </w:r>
      <w:r>
        <w:rPr>
          <w:spacing w:val="-10"/>
          <w:w w:val="105"/>
          <w:sz w:val="21"/>
        </w:rPr>
        <w:t> </w:t>
      </w:r>
      <w:r>
        <w:rPr>
          <w:w w:val="105"/>
          <w:sz w:val="21"/>
        </w:rPr>
        <w:t>surviving</w:t>
      </w:r>
      <w:r>
        <w:rPr>
          <w:spacing w:val="-10"/>
          <w:w w:val="105"/>
          <w:sz w:val="21"/>
        </w:rPr>
        <w:t> </w:t>
      </w:r>
      <w:r>
        <w:rPr>
          <w:spacing w:val="-3"/>
          <w:w w:val="105"/>
          <w:sz w:val="21"/>
        </w:rPr>
        <w:t>parent</w:t>
      </w:r>
      <w:r>
        <w:rPr>
          <w:spacing w:val="-10"/>
          <w:w w:val="105"/>
          <w:sz w:val="21"/>
        </w:rPr>
        <w:t> </w:t>
      </w:r>
      <w:r>
        <w:rPr>
          <w:w w:val="105"/>
          <w:sz w:val="21"/>
        </w:rPr>
        <w:t>dies,</w:t>
      </w:r>
      <w:r>
        <w:rPr>
          <w:spacing w:val="-10"/>
          <w:w w:val="105"/>
          <w:sz w:val="21"/>
        </w:rPr>
        <w:t> </w:t>
      </w:r>
      <w:r>
        <w:rPr>
          <w:w w:val="105"/>
          <w:sz w:val="21"/>
        </w:rPr>
        <w:t>with</w:t>
      </w:r>
      <w:r>
        <w:rPr>
          <w:spacing w:val="-10"/>
          <w:w w:val="105"/>
          <w:sz w:val="21"/>
        </w:rPr>
        <w:t> </w:t>
      </w:r>
      <w:r>
        <w:rPr>
          <w:w w:val="105"/>
          <w:sz w:val="21"/>
        </w:rPr>
        <w:t>the </w:t>
      </w:r>
      <w:r>
        <w:rPr>
          <w:spacing w:val="-3"/>
          <w:w w:val="105"/>
          <w:sz w:val="21"/>
        </w:rPr>
        <w:t>aim </w:t>
      </w:r>
      <w:r>
        <w:rPr>
          <w:w w:val="105"/>
          <w:sz w:val="21"/>
        </w:rPr>
        <w:t>of </w:t>
      </w:r>
      <w:r>
        <w:rPr>
          <w:spacing w:val="-3"/>
          <w:w w:val="105"/>
          <w:sz w:val="21"/>
        </w:rPr>
        <w:t>minimising disruption </w:t>
      </w:r>
      <w:r>
        <w:rPr>
          <w:w w:val="105"/>
          <w:sz w:val="21"/>
        </w:rPr>
        <w:t>and </w:t>
      </w:r>
      <w:r>
        <w:rPr>
          <w:spacing w:val="-3"/>
          <w:w w:val="105"/>
          <w:sz w:val="21"/>
        </w:rPr>
        <w:t>prioritising </w:t>
      </w:r>
      <w:r>
        <w:rPr>
          <w:w w:val="105"/>
          <w:sz w:val="21"/>
        </w:rPr>
        <w:t>the deceased </w:t>
      </w:r>
      <w:r>
        <w:rPr>
          <w:spacing w:val="-3"/>
          <w:w w:val="105"/>
          <w:sz w:val="21"/>
        </w:rPr>
        <w:t>person’s </w:t>
      </w:r>
      <w:r>
        <w:rPr>
          <w:w w:val="105"/>
          <w:sz w:val="21"/>
        </w:rPr>
        <w:t>spouse at the time of the deceased </w:t>
      </w:r>
      <w:r>
        <w:rPr>
          <w:spacing w:val="-3"/>
          <w:w w:val="105"/>
          <w:sz w:val="21"/>
        </w:rPr>
        <w:t>person’s death. </w:t>
      </w:r>
      <w:r>
        <w:rPr>
          <w:w w:val="105"/>
          <w:sz w:val="21"/>
        </w:rPr>
        <w:t>Despite the fact </w:t>
      </w:r>
      <w:r>
        <w:rPr>
          <w:spacing w:val="-3"/>
          <w:w w:val="105"/>
          <w:sz w:val="21"/>
        </w:rPr>
        <w:t>that </w:t>
      </w:r>
      <w:r>
        <w:rPr>
          <w:w w:val="105"/>
          <w:sz w:val="21"/>
        </w:rPr>
        <w:t>the deceased</w:t>
      </w:r>
      <w:r>
        <w:rPr>
          <w:spacing w:val="-35"/>
          <w:w w:val="105"/>
          <w:sz w:val="21"/>
        </w:rPr>
        <w:t> </w:t>
      </w:r>
      <w:r>
        <w:rPr>
          <w:spacing w:val="-3"/>
          <w:w w:val="105"/>
          <w:sz w:val="21"/>
        </w:rPr>
        <w:t>person’s child may</w:t>
      </w:r>
    </w:p>
    <w:p>
      <w:pPr>
        <w:pStyle w:val="BodyText"/>
        <w:spacing w:line="242" w:lineRule="auto" w:before="9"/>
        <w:ind w:left="2381" w:right="1711"/>
      </w:pPr>
      <w:r>
        <w:rPr>
          <w:spacing w:val="-2"/>
        </w:rPr>
        <w:t>not </w:t>
      </w:r>
      <w:r>
        <w:rPr/>
        <w:t>be entitled on intestacy at the time of their </w:t>
      </w:r>
      <w:r>
        <w:rPr>
          <w:spacing w:val="-3"/>
        </w:rPr>
        <w:t>parent’s death, </w:t>
      </w:r>
      <w:r>
        <w:rPr/>
        <w:t>they would still be able </w:t>
      </w:r>
      <w:r>
        <w:rPr>
          <w:spacing w:val="-3"/>
        </w:rPr>
        <w:t>to </w:t>
      </w:r>
      <w:r>
        <w:rPr>
          <w:spacing w:val="-4"/>
        </w:rPr>
        <w:t>make </w:t>
      </w:r>
      <w:r>
        <w:rPr/>
        <w:t>a </w:t>
      </w:r>
      <w:r>
        <w:rPr>
          <w:spacing w:val="-3"/>
        </w:rPr>
        <w:t>family provision </w:t>
      </w:r>
      <w:r>
        <w:rPr/>
        <w:t>application at </w:t>
      </w:r>
      <w:r>
        <w:rPr>
          <w:spacing w:val="-3"/>
        </w:rPr>
        <w:t>that time.  </w:t>
      </w:r>
      <w:r>
        <w:rPr/>
        <w:t>This would address </w:t>
      </w:r>
      <w:r>
        <w:rPr>
          <w:spacing w:val="-3"/>
        </w:rPr>
        <w:t>any</w:t>
      </w:r>
      <w:r>
        <w:rPr>
          <w:spacing w:val="41"/>
        </w:rPr>
        <w:t> </w:t>
      </w:r>
      <w:r>
        <w:rPr>
          <w:spacing w:val="-3"/>
        </w:rPr>
        <w:t>immediate  </w:t>
      </w:r>
      <w:r>
        <w:rPr/>
        <w:t>needs of the deceased </w:t>
      </w:r>
      <w:r>
        <w:rPr>
          <w:spacing w:val="-3"/>
        </w:rPr>
        <w:t>person’s children that are </w:t>
      </w:r>
      <w:r>
        <w:rPr>
          <w:spacing w:val="-2"/>
        </w:rPr>
        <w:t>not </w:t>
      </w:r>
      <w:r>
        <w:rPr/>
        <w:t>recognised  by  </w:t>
      </w:r>
      <w:r>
        <w:rPr>
          <w:spacing w:val="-3"/>
        </w:rPr>
        <w:t>deferring  </w:t>
      </w:r>
      <w:r>
        <w:rPr/>
        <w:t>their  </w:t>
      </w:r>
      <w:r>
        <w:rPr>
          <w:spacing w:val="-3"/>
        </w:rPr>
        <w:t>inheritance until </w:t>
      </w:r>
      <w:r>
        <w:rPr/>
        <w:t>their surviving </w:t>
      </w:r>
      <w:r>
        <w:rPr>
          <w:spacing w:val="-3"/>
        </w:rPr>
        <w:t>parent</w:t>
      </w:r>
      <w:r>
        <w:rPr>
          <w:spacing w:val="36"/>
        </w:rPr>
        <w:t> </w:t>
      </w:r>
      <w:r>
        <w:rPr/>
        <w:t>dies.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4"/>
        </w:rPr>
      </w:pPr>
      <w:r>
        <w:rPr/>
        <w:pict>
          <v:line style="position:absolute;mso-position-horizontal-relative:page;mso-position-vertical-relative:paragraph;z-index:5336;mso-wrap-distance-left:0;mso-wrap-distance-right:0" from="79.370102pt,11.468995pt" to="515.905102pt,11.468995pt" stroked="true" strokeweight="1pt" strokecolor="#f9ceca">
            <v:stroke dashstyle="solid"/>
            <w10:wrap type="topAndBottom"/>
          </v:line>
        </w:pict>
      </w:r>
    </w:p>
    <w:p>
      <w:pPr>
        <w:pStyle w:val="ListParagraph"/>
        <w:numPr>
          <w:ilvl w:val="0"/>
          <w:numId w:val="68"/>
        </w:numPr>
        <w:tabs>
          <w:tab w:pos="2380" w:val="left" w:leader="none"/>
          <w:tab w:pos="2382" w:val="left" w:leader="none"/>
        </w:tabs>
        <w:spacing w:line="240" w:lineRule="auto" w:before="117" w:after="0"/>
        <w:ind w:left="2381" w:right="2395" w:hanging="794"/>
        <w:jc w:val="left"/>
        <w:rPr>
          <w:sz w:val="13"/>
        </w:rPr>
      </w:pPr>
      <w:r>
        <w:rPr>
          <w:w w:val="105"/>
          <w:sz w:val="13"/>
        </w:rPr>
        <w:t>Ibid 52 recommendation 4, Draft Intestacy Bill 2006 cl </w:t>
      </w:r>
      <w:r>
        <w:rPr>
          <w:spacing w:val="4"/>
          <w:w w:val="105"/>
          <w:sz w:val="13"/>
        </w:rPr>
        <w:t>28(3)(b). </w:t>
      </w:r>
      <w:r>
        <w:rPr>
          <w:w w:val="105"/>
          <w:sz w:val="13"/>
        </w:rPr>
        <w:t>If there is only one child, that child takes the entire remainder of</w:t>
      </w:r>
      <w:r>
        <w:rPr>
          <w:spacing w:val="4"/>
          <w:w w:val="105"/>
          <w:sz w:val="13"/>
        </w:rPr>
        <w:t> </w:t>
      </w:r>
      <w:r>
        <w:rPr>
          <w:w w:val="105"/>
          <w:sz w:val="13"/>
        </w:rPr>
        <w:t>the</w:t>
      </w:r>
      <w:r>
        <w:rPr>
          <w:spacing w:val="4"/>
          <w:w w:val="105"/>
          <w:sz w:val="13"/>
        </w:rPr>
        <w:t> </w:t>
      </w:r>
      <w:r>
        <w:rPr>
          <w:w w:val="105"/>
          <w:sz w:val="13"/>
        </w:rPr>
        <w:t>residuary</w:t>
      </w:r>
      <w:r>
        <w:rPr>
          <w:spacing w:val="4"/>
          <w:w w:val="105"/>
          <w:sz w:val="13"/>
        </w:rPr>
        <w:t> </w:t>
      </w:r>
      <w:r>
        <w:rPr>
          <w:w w:val="105"/>
          <w:sz w:val="13"/>
        </w:rPr>
        <w:t>estate,</w:t>
      </w:r>
      <w:r>
        <w:rPr>
          <w:spacing w:val="4"/>
          <w:w w:val="105"/>
          <w:sz w:val="13"/>
        </w:rPr>
        <w:t> </w:t>
      </w:r>
      <w:r>
        <w:rPr>
          <w:w w:val="105"/>
          <w:sz w:val="13"/>
        </w:rPr>
        <w:t>after</w:t>
      </w:r>
      <w:r>
        <w:rPr>
          <w:spacing w:val="4"/>
          <w:w w:val="105"/>
          <w:sz w:val="13"/>
        </w:rPr>
        <w:t> </w:t>
      </w:r>
      <w:r>
        <w:rPr>
          <w:w w:val="105"/>
          <w:sz w:val="13"/>
        </w:rPr>
        <w:t>payment</w:t>
      </w:r>
      <w:r>
        <w:rPr>
          <w:spacing w:val="4"/>
          <w:w w:val="105"/>
          <w:sz w:val="13"/>
        </w:rPr>
        <w:t> </w:t>
      </w:r>
      <w:r>
        <w:rPr>
          <w:w w:val="105"/>
          <w:sz w:val="13"/>
        </w:rPr>
        <w:t>of</w:t>
      </w:r>
      <w:r>
        <w:rPr>
          <w:spacing w:val="5"/>
          <w:w w:val="105"/>
          <w:sz w:val="13"/>
        </w:rPr>
        <w:t> </w:t>
      </w:r>
      <w:r>
        <w:rPr>
          <w:w w:val="105"/>
          <w:sz w:val="13"/>
        </w:rPr>
        <w:t>the</w:t>
      </w:r>
      <w:r>
        <w:rPr>
          <w:spacing w:val="4"/>
          <w:w w:val="105"/>
          <w:sz w:val="13"/>
        </w:rPr>
        <w:t> </w:t>
      </w:r>
      <w:r>
        <w:rPr>
          <w:w w:val="105"/>
          <w:sz w:val="13"/>
        </w:rPr>
        <w:t>partner’s</w:t>
      </w:r>
      <w:r>
        <w:rPr>
          <w:spacing w:val="4"/>
          <w:w w:val="105"/>
          <w:sz w:val="13"/>
        </w:rPr>
        <w:t> </w:t>
      </w:r>
      <w:r>
        <w:rPr>
          <w:w w:val="105"/>
          <w:sz w:val="13"/>
        </w:rPr>
        <w:t>statutory</w:t>
      </w:r>
      <w:r>
        <w:rPr>
          <w:spacing w:val="4"/>
          <w:w w:val="105"/>
          <w:sz w:val="13"/>
        </w:rPr>
        <w:t> </w:t>
      </w:r>
      <w:r>
        <w:rPr>
          <w:w w:val="105"/>
          <w:sz w:val="13"/>
        </w:rPr>
        <w:t>legacy</w:t>
      </w:r>
      <w:r>
        <w:rPr>
          <w:spacing w:val="4"/>
          <w:w w:val="105"/>
          <w:sz w:val="13"/>
        </w:rPr>
        <w:t> </w:t>
      </w:r>
      <w:r>
        <w:rPr>
          <w:w w:val="105"/>
          <w:sz w:val="13"/>
        </w:rPr>
        <w:t>and</w:t>
      </w:r>
      <w:r>
        <w:rPr>
          <w:spacing w:val="4"/>
          <w:w w:val="105"/>
          <w:sz w:val="13"/>
        </w:rPr>
        <w:t> </w:t>
      </w:r>
      <w:r>
        <w:rPr>
          <w:w w:val="105"/>
          <w:sz w:val="13"/>
        </w:rPr>
        <w:t>share</w:t>
      </w:r>
      <w:r>
        <w:rPr>
          <w:spacing w:val="4"/>
          <w:w w:val="105"/>
          <w:sz w:val="13"/>
        </w:rPr>
        <w:t> </w:t>
      </w:r>
      <w:r>
        <w:rPr>
          <w:w w:val="105"/>
          <w:sz w:val="13"/>
        </w:rPr>
        <w:t>of</w:t>
      </w:r>
      <w:r>
        <w:rPr>
          <w:spacing w:val="5"/>
          <w:w w:val="105"/>
          <w:sz w:val="13"/>
        </w:rPr>
        <w:t> </w:t>
      </w:r>
      <w:r>
        <w:rPr>
          <w:w w:val="105"/>
          <w:sz w:val="13"/>
        </w:rPr>
        <w:t>the</w:t>
      </w:r>
      <w:r>
        <w:rPr>
          <w:spacing w:val="4"/>
          <w:w w:val="105"/>
          <w:sz w:val="13"/>
        </w:rPr>
        <w:t> </w:t>
      </w:r>
      <w:r>
        <w:rPr>
          <w:w w:val="105"/>
          <w:sz w:val="13"/>
        </w:rPr>
        <w:t>remainder:</w:t>
      </w:r>
      <w:r>
        <w:rPr>
          <w:spacing w:val="4"/>
          <w:w w:val="105"/>
          <w:sz w:val="13"/>
        </w:rPr>
        <w:t> </w:t>
      </w:r>
      <w:r>
        <w:rPr>
          <w:w w:val="105"/>
          <w:sz w:val="13"/>
        </w:rPr>
        <w:t>cl</w:t>
      </w:r>
      <w:r>
        <w:rPr>
          <w:spacing w:val="4"/>
          <w:w w:val="105"/>
          <w:sz w:val="13"/>
        </w:rPr>
        <w:t> </w:t>
      </w:r>
      <w:r>
        <w:rPr>
          <w:spacing w:val="3"/>
          <w:w w:val="105"/>
          <w:sz w:val="13"/>
        </w:rPr>
        <w:t>28(3)(a).</w:t>
      </w:r>
    </w:p>
    <w:p>
      <w:pPr>
        <w:pStyle w:val="ListParagraph"/>
        <w:numPr>
          <w:ilvl w:val="0"/>
          <w:numId w:val="68"/>
        </w:numPr>
        <w:tabs>
          <w:tab w:pos="2380" w:val="left" w:leader="none"/>
          <w:tab w:pos="2382" w:val="left" w:leader="none"/>
        </w:tabs>
        <w:spacing w:line="240" w:lineRule="auto" w:before="3" w:after="0"/>
        <w:ind w:left="2381" w:right="0" w:hanging="794"/>
        <w:jc w:val="left"/>
        <w:rPr>
          <w:sz w:val="13"/>
        </w:rPr>
      </w:pPr>
      <w:r>
        <w:rPr>
          <w:sz w:val="13"/>
        </w:rPr>
        <w:t>Ibid Draft Intestacy Bill 2006 cl</w:t>
      </w:r>
      <w:r>
        <w:rPr>
          <w:spacing w:val="9"/>
          <w:sz w:val="13"/>
        </w:rPr>
        <w:t> </w:t>
      </w:r>
      <w:r>
        <w:rPr>
          <w:spacing w:val="3"/>
          <w:sz w:val="13"/>
        </w:rPr>
        <w:t>28(4).</w:t>
      </w:r>
    </w:p>
    <w:p>
      <w:pPr>
        <w:pStyle w:val="ListParagraph"/>
        <w:numPr>
          <w:ilvl w:val="0"/>
          <w:numId w:val="68"/>
        </w:numPr>
        <w:tabs>
          <w:tab w:pos="2381" w:val="left" w:leader="none"/>
          <w:tab w:pos="2382" w:val="left" w:leader="none"/>
        </w:tabs>
        <w:spacing w:line="240" w:lineRule="auto" w:before="1" w:after="0"/>
        <w:ind w:left="2381" w:right="0" w:hanging="794"/>
        <w:jc w:val="left"/>
        <w:rPr>
          <w:sz w:val="13"/>
        </w:rPr>
      </w:pPr>
      <w:r>
        <w:rPr>
          <w:sz w:val="13"/>
        </w:rPr>
        <w:t>Ibid Draft Intestacy Bill 2006 cl</w:t>
      </w:r>
      <w:r>
        <w:rPr>
          <w:spacing w:val="9"/>
          <w:sz w:val="13"/>
        </w:rPr>
        <w:t> </w:t>
      </w:r>
      <w:r>
        <w:rPr>
          <w:sz w:val="13"/>
        </w:rPr>
        <w:t>28.</w:t>
      </w:r>
    </w:p>
    <w:p>
      <w:pPr>
        <w:pStyle w:val="ListParagraph"/>
        <w:numPr>
          <w:ilvl w:val="0"/>
          <w:numId w:val="68"/>
        </w:numPr>
        <w:tabs>
          <w:tab w:pos="2381" w:val="left" w:leader="none"/>
          <w:tab w:pos="2382" w:val="left" w:leader="none"/>
        </w:tabs>
        <w:spacing w:line="240" w:lineRule="auto" w:before="1" w:after="0"/>
        <w:ind w:left="2381" w:right="1741" w:hanging="794"/>
        <w:jc w:val="left"/>
        <w:rPr>
          <w:sz w:val="13"/>
        </w:rPr>
      </w:pPr>
      <w:r>
        <w:rPr>
          <w:i/>
          <w:sz w:val="13"/>
        </w:rPr>
        <w:t>Succession Act 2006 </w:t>
      </w:r>
      <w:r>
        <w:rPr>
          <w:spacing w:val="3"/>
          <w:sz w:val="13"/>
        </w:rPr>
        <w:t>(NSW) </w:t>
      </w:r>
      <w:r>
        <w:rPr>
          <w:sz w:val="13"/>
        </w:rPr>
        <w:t>s </w:t>
      </w:r>
      <w:r>
        <w:rPr>
          <w:spacing w:val="-5"/>
          <w:sz w:val="13"/>
        </w:rPr>
        <w:t>112, </w:t>
      </w:r>
      <w:r>
        <w:rPr>
          <w:spacing w:val="-3"/>
          <w:sz w:val="13"/>
        </w:rPr>
        <w:t>127; </w:t>
      </w:r>
      <w:r>
        <w:rPr>
          <w:i/>
          <w:sz w:val="13"/>
        </w:rPr>
        <w:t>Intestacy Act </w:t>
      </w:r>
      <w:r>
        <w:rPr>
          <w:i/>
          <w:spacing w:val="-3"/>
          <w:sz w:val="13"/>
        </w:rPr>
        <w:t>2010 </w:t>
      </w:r>
      <w:r>
        <w:rPr>
          <w:sz w:val="13"/>
        </w:rPr>
        <w:t>(Tas)  s  </w:t>
      </w:r>
      <w:r>
        <w:rPr>
          <w:spacing w:val="2"/>
          <w:sz w:val="13"/>
        </w:rPr>
        <w:t>28(2). As </w:t>
      </w:r>
      <w:r>
        <w:rPr>
          <w:sz w:val="13"/>
        </w:rPr>
        <w:t>noted  in  the  consultation  paper,  the  position  in  all  other  states and territories is similar to that in </w:t>
      </w:r>
      <w:r>
        <w:rPr>
          <w:spacing w:val="2"/>
          <w:sz w:val="13"/>
        </w:rPr>
        <w:t>Victoria—children </w:t>
      </w:r>
      <w:r>
        <w:rPr>
          <w:sz w:val="13"/>
        </w:rPr>
        <w:t>are entitled to a share of the remainder regardless of whether they are also children               of the deceased person’s surviving</w:t>
      </w:r>
      <w:r>
        <w:rPr>
          <w:spacing w:val="3"/>
          <w:sz w:val="13"/>
        </w:rPr>
        <w:t> </w:t>
      </w:r>
      <w:r>
        <w:rPr>
          <w:sz w:val="13"/>
        </w:rPr>
        <w:t>partner.</w:t>
      </w:r>
    </w:p>
    <w:p>
      <w:pPr>
        <w:pStyle w:val="ListParagraph"/>
        <w:numPr>
          <w:ilvl w:val="0"/>
          <w:numId w:val="68"/>
        </w:numPr>
        <w:tabs>
          <w:tab w:pos="2381" w:val="left" w:leader="none"/>
          <w:tab w:pos="2382" w:val="left" w:leader="none"/>
        </w:tabs>
        <w:spacing w:line="240" w:lineRule="auto" w:before="4" w:after="0"/>
        <w:ind w:left="2381" w:right="0" w:hanging="794"/>
        <w:jc w:val="left"/>
        <w:rPr>
          <w:sz w:val="13"/>
        </w:rPr>
      </w:pPr>
      <w:r>
        <w:rPr>
          <w:w w:val="105"/>
          <w:sz w:val="13"/>
        </w:rPr>
        <w:t>Victorian Law Reform Commission, above n 8,</w:t>
      </w:r>
      <w:r>
        <w:rPr>
          <w:spacing w:val="2"/>
          <w:w w:val="105"/>
          <w:sz w:val="13"/>
        </w:rPr>
        <w:t> </w:t>
      </w:r>
      <w:r>
        <w:rPr>
          <w:spacing w:val="-3"/>
          <w:w w:val="105"/>
          <w:sz w:val="13"/>
        </w:rPr>
        <w:t>31.</w:t>
      </w:r>
    </w:p>
    <w:p>
      <w:pPr>
        <w:pStyle w:val="ListParagraph"/>
        <w:numPr>
          <w:ilvl w:val="0"/>
          <w:numId w:val="68"/>
        </w:numPr>
        <w:tabs>
          <w:tab w:pos="2381" w:val="left" w:leader="none"/>
          <w:tab w:pos="2382" w:val="left" w:leader="none"/>
        </w:tabs>
        <w:spacing w:line="240" w:lineRule="auto" w:before="2" w:after="0"/>
        <w:ind w:left="2381" w:right="1997" w:hanging="794"/>
        <w:jc w:val="left"/>
        <w:rPr>
          <w:sz w:val="13"/>
        </w:rPr>
      </w:pPr>
      <w:r>
        <w:rPr>
          <w:w w:val="105"/>
          <w:sz w:val="13"/>
        </w:rPr>
        <w:t>Submissions </w:t>
      </w:r>
      <w:r>
        <w:rPr>
          <w:spacing w:val="-3"/>
          <w:w w:val="105"/>
          <w:sz w:val="13"/>
        </w:rPr>
        <w:t>19 </w:t>
      </w:r>
      <w:r>
        <w:rPr>
          <w:spacing w:val="2"/>
          <w:w w:val="105"/>
          <w:sz w:val="13"/>
        </w:rPr>
        <w:t>(Association </w:t>
      </w:r>
      <w:r>
        <w:rPr>
          <w:w w:val="105"/>
          <w:sz w:val="13"/>
        </w:rPr>
        <w:t>of Independent Retirees); 25 </w:t>
      </w:r>
      <w:r>
        <w:rPr>
          <w:spacing w:val="2"/>
          <w:w w:val="105"/>
          <w:sz w:val="13"/>
        </w:rPr>
        <w:t>(Moores </w:t>
      </w:r>
      <w:r>
        <w:rPr>
          <w:w w:val="105"/>
          <w:sz w:val="13"/>
        </w:rPr>
        <w:t>Legal); </w:t>
      </w:r>
      <w:r>
        <w:rPr>
          <w:spacing w:val="2"/>
          <w:w w:val="105"/>
          <w:sz w:val="13"/>
        </w:rPr>
        <w:t>30b </w:t>
      </w:r>
      <w:r>
        <w:rPr>
          <w:spacing w:val="3"/>
          <w:w w:val="105"/>
          <w:sz w:val="13"/>
        </w:rPr>
        <w:t>(Law </w:t>
      </w:r>
      <w:r>
        <w:rPr>
          <w:w w:val="105"/>
          <w:sz w:val="13"/>
        </w:rPr>
        <w:t>Institute of </w:t>
      </w:r>
      <w:r>
        <w:rPr>
          <w:spacing w:val="2"/>
          <w:w w:val="105"/>
          <w:sz w:val="13"/>
        </w:rPr>
        <w:t>Victoria); </w:t>
      </w:r>
      <w:r>
        <w:rPr>
          <w:w w:val="105"/>
          <w:sz w:val="13"/>
        </w:rPr>
        <w:t>33 (State Trustees Limited); 36</w:t>
      </w:r>
      <w:r>
        <w:rPr>
          <w:spacing w:val="4"/>
          <w:w w:val="105"/>
          <w:sz w:val="13"/>
        </w:rPr>
        <w:t> </w:t>
      </w:r>
      <w:r>
        <w:rPr>
          <w:spacing w:val="3"/>
          <w:w w:val="105"/>
          <w:sz w:val="13"/>
        </w:rPr>
        <w:t>(Law</w:t>
      </w:r>
      <w:r>
        <w:rPr>
          <w:spacing w:val="5"/>
          <w:w w:val="105"/>
          <w:sz w:val="13"/>
        </w:rPr>
        <w:t> </w:t>
      </w:r>
      <w:r>
        <w:rPr>
          <w:w w:val="105"/>
          <w:sz w:val="13"/>
        </w:rPr>
        <w:t>Society</w:t>
      </w:r>
      <w:r>
        <w:rPr>
          <w:spacing w:val="5"/>
          <w:w w:val="105"/>
          <w:sz w:val="13"/>
        </w:rPr>
        <w:t> </w:t>
      </w:r>
      <w:r>
        <w:rPr>
          <w:w w:val="105"/>
          <w:sz w:val="13"/>
        </w:rPr>
        <w:t>of</w:t>
      </w:r>
      <w:r>
        <w:rPr>
          <w:spacing w:val="5"/>
          <w:w w:val="105"/>
          <w:sz w:val="13"/>
        </w:rPr>
        <w:t> </w:t>
      </w:r>
      <w:r>
        <w:rPr>
          <w:w w:val="105"/>
          <w:sz w:val="13"/>
        </w:rPr>
        <w:t>New</w:t>
      </w:r>
      <w:r>
        <w:rPr>
          <w:spacing w:val="5"/>
          <w:w w:val="105"/>
          <w:sz w:val="13"/>
        </w:rPr>
        <w:t> </w:t>
      </w:r>
      <w:r>
        <w:rPr>
          <w:w w:val="105"/>
          <w:sz w:val="13"/>
        </w:rPr>
        <w:t>South</w:t>
      </w:r>
      <w:r>
        <w:rPr>
          <w:spacing w:val="5"/>
          <w:w w:val="105"/>
          <w:sz w:val="13"/>
        </w:rPr>
        <w:t> </w:t>
      </w:r>
      <w:r>
        <w:rPr>
          <w:w w:val="105"/>
          <w:sz w:val="13"/>
        </w:rPr>
        <w:t>Wales);</w:t>
      </w:r>
      <w:r>
        <w:rPr>
          <w:spacing w:val="5"/>
          <w:w w:val="105"/>
          <w:sz w:val="13"/>
        </w:rPr>
        <w:t> </w:t>
      </w:r>
      <w:r>
        <w:rPr>
          <w:w w:val="105"/>
          <w:sz w:val="13"/>
        </w:rPr>
        <w:t>40</w:t>
      </w:r>
      <w:r>
        <w:rPr>
          <w:spacing w:val="4"/>
          <w:w w:val="105"/>
          <w:sz w:val="13"/>
        </w:rPr>
        <w:t> </w:t>
      </w:r>
      <w:r>
        <w:rPr>
          <w:w w:val="105"/>
          <w:sz w:val="13"/>
        </w:rPr>
        <w:t>(Janice</w:t>
      </w:r>
      <w:r>
        <w:rPr>
          <w:spacing w:val="5"/>
          <w:w w:val="105"/>
          <w:sz w:val="13"/>
        </w:rPr>
        <w:t> </w:t>
      </w:r>
      <w:r>
        <w:rPr>
          <w:w w:val="105"/>
          <w:sz w:val="13"/>
        </w:rPr>
        <w:t>Brownfoot).</w:t>
      </w:r>
    </w:p>
    <w:p>
      <w:pPr>
        <w:pStyle w:val="ListParagraph"/>
        <w:numPr>
          <w:ilvl w:val="0"/>
          <w:numId w:val="68"/>
        </w:numPr>
        <w:tabs>
          <w:tab w:pos="2381" w:val="left" w:leader="none"/>
          <w:tab w:pos="2382" w:val="left" w:leader="none"/>
        </w:tabs>
        <w:spacing w:line="240" w:lineRule="auto" w:before="2" w:after="0"/>
        <w:ind w:left="2381" w:right="0" w:hanging="794"/>
        <w:jc w:val="left"/>
        <w:rPr>
          <w:sz w:val="13"/>
        </w:rPr>
      </w:pPr>
      <w:r>
        <w:rPr>
          <w:w w:val="105"/>
          <w:sz w:val="13"/>
        </w:rPr>
        <w:t>Submission </w:t>
      </w:r>
      <w:r>
        <w:rPr>
          <w:spacing w:val="2"/>
          <w:w w:val="105"/>
          <w:sz w:val="13"/>
        </w:rPr>
        <w:t>30b </w:t>
      </w:r>
      <w:r>
        <w:rPr>
          <w:spacing w:val="3"/>
          <w:w w:val="105"/>
          <w:sz w:val="13"/>
        </w:rPr>
        <w:t>(Law </w:t>
      </w:r>
      <w:r>
        <w:rPr>
          <w:w w:val="105"/>
          <w:sz w:val="13"/>
        </w:rPr>
        <w:t>Institute of</w:t>
      </w:r>
      <w:r>
        <w:rPr>
          <w:spacing w:val="17"/>
          <w:w w:val="105"/>
          <w:sz w:val="13"/>
        </w:rPr>
        <w:t> </w:t>
      </w:r>
      <w:r>
        <w:rPr>
          <w:spacing w:val="2"/>
          <w:w w:val="105"/>
          <w:sz w:val="13"/>
        </w:rPr>
        <w:t>Victoria).</w:t>
      </w:r>
    </w:p>
    <w:p>
      <w:pPr>
        <w:pStyle w:val="ListParagraph"/>
        <w:numPr>
          <w:ilvl w:val="0"/>
          <w:numId w:val="68"/>
        </w:numPr>
        <w:tabs>
          <w:tab w:pos="2381" w:val="left" w:leader="none"/>
          <w:tab w:pos="2382" w:val="left" w:leader="none"/>
        </w:tabs>
        <w:spacing w:line="240" w:lineRule="auto" w:before="2" w:after="0"/>
        <w:ind w:left="2381" w:right="0" w:hanging="794"/>
        <w:jc w:val="left"/>
        <w:rPr>
          <w:sz w:val="13"/>
        </w:rPr>
      </w:pPr>
      <w:r>
        <w:rPr>
          <w:w w:val="105"/>
          <w:sz w:val="13"/>
        </w:rPr>
        <w:t>Submission 25 </w:t>
      </w:r>
      <w:r>
        <w:rPr>
          <w:spacing w:val="2"/>
          <w:w w:val="105"/>
          <w:sz w:val="13"/>
        </w:rPr>
        <w:t>(Moores</w:t>
      </w:r>
      <w:r>
        <w:rPr>
          <w:spacing w:val="13"/>
          <w:w w:val="105"/>
          <w:sz w:val="13"/>
        </w:rPr>
        <w:t> </w:t>
      </w:r>
      <w:r>
        <w:rPr>
          <w:w w:val="105"/>
          <w:sz w:val="13"/>
        </w:rPr>
        <w:t>Legal).</w:t>
      </w:r>
    </w:p>
    <w:p>
      <w:pPr>
        <w:pStyle w:val="ListParagraph"/>
        <w:numPr>
          <w:ilvl w:val="0"/>
          <w:numId w:val="68"/>
        </w:numPr>
        <w:tabs>
          <w:tab w:pos="2381" w:val="left" w:leader="none"/>
          <w:tab w:pos="2382" w:val="left" w:leader="none"/>
        </w:tabs>
        <w:spacing w:line="240" w:lineRule="auto" w:before="1" w:after="0"/>
        <w:ind w:left="2381" w:right="0" w:hanging="794"/>
        <w:jc w:val="left"/>
        <w:rPr>
          <w:sz w:val="13"/>
        </w:rPr>
      </w:pPr>
      <w:r>
        <w:rPr/>
        <w:pict>
          <v:shape style="position:absolute;margin-left:548.915527pt;margin-top:2.856965pt;width:13.35pt;height:14.25pt;mso-position-horizontal-relative:page;mso-position-vertical-relative:paragraph;z-index:7408" type="#_x0000_t202" filled="false" stroked="false">
            <v:textbox inset="0,0,0,0">
              <w:txbxContent>
                <w:p>
                  <w:pPr>
                    <w:spacing w:line="284" w:lineRule="exact" w:before="0"/>
                    <w:ind w:left="0" w:right="0" w:firstLine="0"/>
                    <w:jc w:val="left"/>
                    <w:rPr>
                      <w:b/>
                      <w:sz w:val="24"/>
                    </w:rPr>
                  </w:pPr>
                  <w:r>
                    <w:rPr>
                      <w:b/>
                      <w:color w:val="EC5A4F"/>
                      <w:w w:val="105"/>
                      <w:sz w:val="24"/>
                    </w:rPr>
                    <w:t>83</w:t>
                  </w:r>
                </w:p>
              </w:txbxContent>
            </v:textbox>
            <w10:wrap type="none"/>
          </v:shape>
        </w:pict>
      </w:r>
      <w:r>
        <w:rPr>
          <w:w w:val="105"/>
          <w:sz w:val="13"/>
        </w:rPr>
        <w:t>Submissions</w:t>
      </w:r>
      <w:r>
        <w:rPr>
          <w:spacing w:val="4"/>
          <w:w w:val="105"/>
          <w:sz w:val="13"/>
        </w:rPr>
        <w:t> </w:t>
      </w:r>
      <w:r>
        <w:rPr>
          <w:w w:val="105"/>
          <w:sz w:val="13"/>
        </w:rPr>
        <w:t>8</w:t>
      </w:r>
      <w:r>
        <w:rPr>
          <w:spacing w:val="5"/>
          <w:w w:val="105"/>
          <w:sz w:val="13"/>
        </w:rPr>
        <w:t> </w:t>
      </w:r>
      <w:r>
        <w:rPr>
          <w:w w:val="105"/>
          <w:sz w:val="13"/>
        </w:rPr>
        <w:t>(Patricia</w:t>
      </w:r>
      <w:r>
        <w:rPr>
          <w:spacing w:val="4"/>
          <w:w w:val="105"/>
          <w:sz w:val="13"/>
        </w:rPr>
        <w:t> </w:t>
      </w:r>
      <w:r>
        <w:rPr>
          <w:w w:val="105"/>
          <w:sz w:val="13"/>
        </w:rPr>
        <w:t>Strachan);</w:t>
      </w:r>
      <w:r>
        <w:rPr>
          <w:spacing w:val="5"/>
          <w:w w:val="105"/>
          <w:sz w:val="13"/>
        </w:rPr>
        <w:t> </w:t>
      </w:r>
      <w:r>
        <w:rPr>
          <w:spacing w:val="-3"/>
          <w:w w:val="105"/>
          <w:sz w:val="13"/>
        </w:rPr>
        <w:t>14</w:t>
      </w:r>
      <w:r>
        <w:rPr>
          <w:spacing w:val="4"/>
          <w:w w:val="105"/>
          <w:sz w:val="13"/>
        </w:rPr>
        <w:t> </w:t>
      </w:r>
      <w:r>
        <w:rPr>
          <w:w w:val="105"/>
          <w:sz w:val="13"/>
        </w:rPr>
        <w:t>(Commercial</w:t>
      </w:r>
      <w:r>
        <w:rPr>
          <w:spacing w:val="5"/>
          <w:w w:val="105"/>
          <w:sz w:val="13"/>
        </w:rPr>
        <w:t> </w:t>
      </w:r>
      <w:r>
        <w:rPr>
          <w:w w:val="105"/>
          <w:sz w:val="13"/>
        </w:rPr>
        <w:t>Bar</w:t>
      </w:r>
      <w:r>
        <w:rPr>
          <w:spacing w:val="5"/>
          <w:w w:val="105"/>
          <w:sz w:val="13"/>
        </w:rPr>
        <w:t> </w:t>
      </w:r>
      <w:r>
        <w:rPr>
          <w:spacing w:val="2"/>
          <w:w w:val="105"/>
          <w:sz w:val="13"/>
        </w:rPr>
        <w:t>Association);</w:t>
      </w:r>
      <w:r>
        <w:rPr>
          <w:spacing w:val="4"/>
          <w:w w:val="105"/>
          <w:sz w:val="13"/>
        </w:rPr>
        <w:t> </w:t>
      </w:r>
      <w:r>
        <w:rPr>
          <w:w w:val="105"/>
          <w:sz w:val="13"/>
        </w:rPr>
        <w:t>26</w:t>
      </w:r>
      <w:r>
        <w:rPr>
          <w:spacing w:val="5"/>
          <w:w w:val="105"/>
          <w:sz w:val="13"/>
        </w:rPr>
        <w:t> </w:t>
      </w:r>
      <w:r>
        <w:rPr>
          <w:spacing w:val="2"/>
          <w:w w:val="105"/>
          <w:sz w:val="13"/>
        </w:rPr>
        <w:t>(Rigby</w:t>
      </w:r>
      <w:r>
        <w:rPr>
          <w:spacing w:val="4"/>
          <w:w w:val="105"/>
          <w:sz w:val="13"/>
        </w:rPr>
        <w:t> </w:t>
      </w:r>
      <w:r>
        <w:rPr>
          <w:w w:val="105"/>
          <w:sz w:val="13"/>
        </w:rPr>
        <w:t>Cooke</w:t>
      </w:r>
      <w:r>
        <w:rPr>
          <w:spacing w:val="5"/>
          <w:w w:val="105"/>
          <w:sz w:val="13"/>
        </w:rPr>
        <w:t> </w:t>
      </w:r>
      <w:r>
        <w:rPr>
          <w:spacing w:val="2"/>
          <w:w w:val="105"/>
          <w:sz w:val="13"/>
        </w:rPr>
        <w:t>Lawyers).</w:t>
      </w:r>
    </w:p>
    <w:p>
      <w:pPr>
        <w:pStyle w:val="ListParagraph"/>
        <w:numPr>
          <w:ilvl w:val="0"/>
          <w:numId w:val="68"/>
        </w:numPr>
        <w:tabs>
          <w:tab w:pos="2381" w:val="left" w:leader="none"/>
          <w:tab w:pos="2382" w:val="left" w:leader="none"/>
        </w:tabs>
        <w:spacing w:line="240" w:lineRule="auto" w:before="1" w:after="0"/>
        <w:ind w:left="2381" w:right="0" w:hanging="794"/>
        <w:jc w:val="left"/>
        <w:rPr>
          <w:sz w:val="13"/>
        </w:rPr>
      </w:pPr>
      <w:r>
        <w:rPr>
          <w:w w:val="105"/>
          <w:sz w:val="13"/>
        </w:rPr>
        <w:t>Submission </w:t>
      </w:r>
      <w:r>
        <w:rPr>
          <w:spacing w:val="-3"/>
          <w:w w:val="105"/>
          <w:sz w:val="13"/>
        </w:rPr>
        <w:t>14 </w:t>
      </w:r>
      <w:r>
        <w:rPr>
          <w:w w:val="105"/>
          <w:sz w:val="13"/>
        </w:rPr>
        <w:t>(Commercial Bar</w:t>
      </w:r>
      <w:r>
        <w:rPr>
          <w:spacing w:val="21"/>
          <w:w w:val="105"/>
          <w:sz w:val="13"/>
        </w:rPr>
        <w:t> </w:t>
      </w:r>
      <w:r>
        <w:rPr>
          <w:spacing w:val="2"/>
          <w:w w:val="105"/>
          <w:sz w:val="13"/>
        </w:rPr>
        <w:t>Association).</w:t>
      </w:r>
    </w:p>
    <w:p>
      <w:pPr>
        <w:spacing w:after="0" w:line="240" w:lineRule="auto"/>
        <w:jc w:val="left"/>
        <w:rPr>
          <w:sz w:val="13"/>
        </w:rPr>
        <w:sectPr>
          <w:pgSz w:w="11910" w:h="16840"/>
          <w:pgMar w:header="805" w:footer="0" w:top="1360" w:bottom="280" w:left="0" w:right="0"/>
        </w:sectPr>
      </w:pPr>
    </w:p>
    <w:p>
      <w:pPr>
        <w:pStyle w:val="BodyText"/>
        <w:spacing w:before="9"/>
        <w:rPr>
          <w:sz w:val="22"/>
        </w:rPr>
      </w:pPr>
    </w:p>
    <w:p>
      <w:pPr>
        <w:pStyle w:val="ListParagraph"/>
        <w:numPr>
          <w:ilvl w:val="1"/>
          <w:numId w:val="22"/>
        </w:numPr>
        <w:tabs>
          <w:tab w:pos="2381" w:val="left" w:leader="none"/>
          <w:tab w:pos="2382" w:val="left" w:leader="none"/>
        </w:tabs>
        <w:spacing w:line="242" w:lineRule="auto" w:before="92" w:after="0"/>
        <w:ind w:left="2381" w:right="2095" w:hanging="794"/>
        <w:jc w:val="left"/>
        <w:rPr>
          <w:sz w:val="21"/>
        </w:rPr>
      </w:pPr>
      <w:r>
        <w:rPr>
          <w:spacing w:val="-3"/>
          <w:w w:val="105"/>
          <w:sz w:val="21"/>
        </w:rPr>
        <w:t>Carolyn Sparke </w:t>
      </w:r>
      <w:r>
        <w:rPr>
          <w:w w:val="105"/>
          <w:sz w:val="21"/>
        </w:rPr>
        <w:t>SC </w:t>
      </w:r>
      <w:r>
        <w:rPr>
          <w:spacing w:val="-3"/>
          <w:w w:val="105"/>
          <w:sz w:val="21"/>
        </w:rPr>
        <w:t>noted that </w:t>
      </w:r>
      <w:r>
        <w:rPr>
          <w:w w:val="105"/>
          <w:sz w:val="21"/>
        </w:rPr>
        <w:t>if the partner’s statutory legacy is sufficiently </w:t>
      </w:r>
      <w:r>
        <w:rPr>
          <w:spacing w:val="-3"/>
          <w:w w:val="105"/>
          <w:sz w:val="21"/>
        </w:rPr>
        <w:t>large, </w:t>
      </w:r>
      <w:r>
        <w:rPr>
          <w:w w:val="105"/>
          <w:sz w:val="21"/>
        </w:rPr>
        <w:t>the</w:t>
      </w:r>
      <w:r>
        <w:rPr>
          <w:spacing w:val="-5"/>
          <w:w w:val="105"/>
          <w:sz w:val="21"/>
        </w:rPr>
        <w:t> </w:t>
      </w:r>
      <w:r>
        <w:rPr>
          <w:spacing w:val="-3"/>
          <w:w w:val="105"/>
          <w:sz w:val="21"/>
        </w:rPr>
        <w:t>family</w:t>
      </w:r>
      <w:r>
        <w:rPr>
          <w:spacing w:val="-4"/>
          <w:w w:val="105"/>
          <w:sz w:val="21"/>
        </w:rPr>
        <w:t> </w:t>
      </w:r>
      <w:r>
        <w:rPr>
          <w:w w:val="105"/>
          <w:sz w:val="21"/>
        </w:rPr>
        <w:t>home</w:t>
      </w:r>
      <w:r>
        <w:rPr>
          <w:spacing w:val="-4"/>
          <w:w w:val="105"/>
          <w:sz w:val="21"/>
        </w:rPr>
        <w:t> </w:t>
      </w:r>
      <w:r>
        <w:rPr>
          <w:spacing w:val="-3"/>
          <w:w w:val="105"/>
          <w:sz w:val="21"/>
        </w:rPr>
        <w:t>may</w:t>
      </w:r>
      <w:r>
        <w:rPr>
          <w:spacing w:val="-5"/>
          <w:w w:val="105"/>
          <w:sz w:val="21"/>
        </w:rPr>
        <w:t> </w:t>
      </w:r>
      <w:r>
        <w:rPr>
          <w:spacing w:val="-2"/>
          <w:w w:val="105"/>
          <w:sz w:val="21"/>
        </w:rPr>
        <w:t>not</w:t>
      </w:r>
      <w:r>
        <w:rPr>
          <w:spacing w:val="-4"/>
          <w:w w:val="105"/>
          <w:sz w:val="21"/>
        </w:rPr>
        <w:t> </w:t>
      </w:r>
      <w:r>
        <w:rPr>
          <w:w w:val="105"/>
          <w:sz w:val="21"/>
        </w:rPr>
        <w:t>need</w:t>
      </w:r>
      <w:r>
        <w:rPr>
          <w:spacing w:val="-4"/>
          <w:w w:val="105"/>
          <w:sz w:val="21"/>
        </w:rPr>
        <w:t> </w:t>
      </w:r>
      <w:r>
        <w:rPr>
          <w:spacing w:val="-3"/>
          <w:w w:val="105"/>
          <w:sz w:val="21"/>
        </w:rPr>
        <w:t>to</w:t>
      </w:r>
      <w:r>
        <w:rPr>
          <w:spacing w:val="-4"/>
          <w:w w:val="105"/>
          <w:sz w:val="21"/>
        </w:rPr>
        <w:t> </w:t>
      </w:r>
      <w:r>
        <w:rPr>
          <w:w w:val="105"/>
          <w:sz w:val="21"/>
        </w:rPr>
        <w:t>be</w:t>
      </w:r>
      <w:r>
        <w:rPr>
          <w:spacing w:val="-5"/>
          <w:w w:val="105"/>
          <w:sz w:val="21"/>
        </w:rPr>
        <w:t> </w:t>
      </w:r>
      <w:r>
        <w:rPr>
          <w:w w:val="105"/>
          <w:sz w:val="21"/>
        </w:rPr>
        <w:t>sold,</w:t>
      </w:r>
      <w:r>
        <w:rPr>
          <w:spacing w:val="-4"/>
          <w:w w:val="105"/>
          <w:sz w:val="21"/>
        </w:rPr>
        <w:t> </w:t>
      </w:r>
      <w:r>
        <w:rPr>
          <w:w w:val="105"/>
          <w:sz w:val="21"/>
        </w:rPr>
        <w:t>resolving</w:t>
      </w:r>
      <w:r>
        <w:rPr>
          <w:spacing w:val="-4"/>
          <w:w w:val="105"/>
          <w:sz w:val="21"/>
        </w:rPr>
        <w:t> </w:t>
      </w:r>
      <w:r>
        <w:rPr>
          <w:w w:val="105"/>
          <w:sz w:val="21"/>
        </w:rPr>
        <w:t>one</w:t>
      </w:r>
      <w:r>
        <w:rPr>
          <w:spacing w:val="-4"/>
          <w:w w:val="105"/>
          <w:sz w:val="21"/>
        </w:rPr>
        <w:t> </w:t>
      </w:r>
      <w:r>
        <w:rPr>
          <w:w w:val="105"/>
          <w:sz w:val="21"/>
        </w:rPr>
        <w:t>of</w:t>
      </w:r>
      <w:r>
        <w:rPr>
          <w:spacing w:val="-5"/>
          <w:w w:val="105"/>
          <w:sz w:val="21"/>
        </w:rPr>
        <w:t> </w:t>
      </w:r>
      <w:r>
        <w:rPr>
          <w:w w:val="105"/>
          <w:sz w:val="21"/>
        </w:rPr>
        <w:t>the</w:t>
      </w:r>
      <w:r>
        <w:rPr>
          <w:spacing w:val="-4"/>
          <w:w w:val="105"/>
          <w:sz w:val="21"/>
        </w:rPr>
        <w:t> </w:t>
      </w:r>
      <w:r>
        <w:rPr>
          <w:spacing w:val="-3"/>
          <w:w w:val="105"/>
          <w:sz w:val="21"/>
        </w:rPr>
        <w:t>main</w:t>
      </w:r>
      <w:r>
        <w:rPr>
          <w:spacing w:val="-4"/>
          <w:w w:val="105"/>
          <w:sz w:val="21"/>
        </w:rPr>
        <w:t> </w:t>
      </w:r>
      <w:r>
        <w:rPr>
          <w:spacing w:val="-3"/>
          <w:w w:val="105"/>
          <w:sz w:val="21"/>
        </w:rPr>
        <w:t>criticisms</w:t>
      </w:r>
      <w:r>
        <w:rPr>
          <w:spacing w:val="-5"/>
          <w:w w:val="105"/>
          <w:sz w:val="21"/>
        </w:rPr>
        <w:t> </w:t>
      </w:r>
      <w:r>
        <w:rPr>
          <w:w w:val="105"/>
          <w:sz w:val="21"/>
        </w:rPr>
        <w:t>of</w:t>
      </w:r>
      <w:r>
        <w:rPr>
          <w:spacing w:val="-4"/>
          <w:w w:val="105"/>
          <w:sz w:val="21"/>
        </w:rPr>
        <w:t> </w:t>
      </w:r>
      <w:r>
        <w:rPr>
          <w:w w:val="105"/>
          <w:sz w:val="21"/>
        </w:rPr>
        <w:t>the </w:t>
      </w:r>
      <w:r>
        <w:rPr>
          <w:spacing w:val="-3"/>
          <w:w w:val="105"/>
          <w:sz w:val="21"/>
        </w:rPr>
        <w:t>current </w:t>
      </w:r>
      <w:r>
        <w:rPr>
          <w:w w:val="105"/>
          <w:sz w:val="21"/>
        </w:rPr>
        <w:t>approach </w:t>
      </w:r>
      <w:r>
        <w:rPr>
          <w:spacing w:val="-3"/>
          <w:w w:val="105"/>
          <w:sz w:val="21"/>
        </w:rPr>
        <w:t>to </w:t>
      </w:r>
      <w:r>
        <w:rPr>
          <w:w w:val="105"/>
          <w:sz w:val="21"/>
        </w:rPr>
        <w:t>partners and </w:t>
      </w:r>
      <w:r>
        <w:rPr>
          <w:spacing w:val="-3"/>
          <w:w w:val="105"/>
          <w:sz w:val="21"/>
        </w:rPr>
        <w:t>children.</w:t>
      </w:r>
      <w:r>
        <w:rPr>
          <w:spacing w:val="-3"/>
          <w:w w:val="105"/>
          <w:position w:val="7"/>
          <w:sz w:val="12"/>
        </w:rPr>
        <w:t>227 </w:t>
      </w:r>
      <w:r>
        <w:rPr>
          <w:spacing w:val="-4"/>
          <w:w w:val="105"/>
          <w:sz w:val="21"/>
        </w:rPr>
        <w:t>However, </w:t>
      </w:r>
      <w:r>
        <w:rPr>
          <w:w w:val="105"/>
          <w:sz w:val="21"/>
        </w:rPr>
        <w:t>the </w:t>
      </w:r>
      <w:r>
        <w:rPr>
          <w:spacing w:val="-3"/>
          <w:w w:val="105"/>
          <w:sz w:val="21"/>
        </w:rPr>
        <w:t>National</w:t>
      </w:r>
      <w:r>
        <w:rPr>
          <w:spacing w:val="7"/>
          <w:w w:val="105"/>
          <w:sz w:val="21"/>
        </w:rPr>
        <w:t> </w:t>
      </w:r>
      <w:r>
        <w:rPr>
          <w:spacing w:val="-4"/>
          <w:w w:val="105"/>
          <w:sz w:val="21"/>
        </w:rPr>
        <w:t>Committee’s</w:t>
      </w:r>
    </w:p>
    <w:p>
      <w:pPr>
        <w:pStyle w:val="BodyText"/>
        <w:spacing w:line="242" w:lineRule="auto" w:before="3"/>
        <w:ind w:left="2381" w:right="1681"/>
      </w:pPr>
      <w:r>
        <w:rPr>
          <w:spacing w:val="-3"/>
          <w:w w:val="105"/>
        </w:rPr>
        <w:t>recommendation </w:t>
      </w:r>
      <w:r>
        <w:rPr>
          <w:w w:val="105"/>
        </w:rPr>
        <w:t>in </w:t>
      </w:r>
      <w:r>
        <w:rPr>
          <w:spacing w:val="-3"/>
          <w:w w:val="105"/>
        </w:rPr>
        <w:t>relation to </w:t>
      </w:r>
      <w:r>
        <w:rPr>
          <w:w w:val="105"/>
        </w:rPr>
        <w:t>the entitlements of the deceased </w:t>
      </w:r>
      <w:r>
        <w:rPr>
          <w:spacing w:val="-3"/>
          <w:w w:val="105"/>
        </w:rPr>
        <w:t>person’s children would ensure that </w:t>
      </w:r>
      <w:r>
        <w:rPr>
          <w:w w:val="105"/>
        </w:rPr>
        <w:t>the </w:t>
      </w:r>
      <w:r>
        <w:rPr>
          <w:spacing w:val="-3"/>
          <w:w w:val="105"/>
        </w:rPr>
        <w:t>family </w:t>
      </w:r>
      <w:r>
        <w:rPr>
          <w:w w:val="105"/>
        </w:rPr>
        <w:t>home would </w:t>
      </w:r>
      <w:r>
        <w:rPr>
          <w:spacing w:val="-2"/>
          <w:w w:val="105"/>
        </w:rPr>
        <w:t>not </w:t>
      </w:r>
      <w:r>
        <w:rPr>
          <w:w w:val="105"/>
        </w:rPr>
        <w:t>need </w:t>
      </w:r>
      <w:r>
        <w:rPr>
          <w:spacing w:val="-3"/>
          <w:w w:val="105"/>
        </w:rPr>
        <w:t>to </w:t>
      </w:r>
      <w:r>
        <w:rPr>
          <w:w w:val="105"/>
        </w:rPr>
        <w:t>be sold in the majority of cases. The </w:t>
      </w:r>
      <w:r>
        <w:rPr>
          <w:spacing w:val="-3"/>
          <w:w w:val="105"/>
        </w:rPr>
        <w:t>Commission </w:t>
      </w:r>
      <w:r>
        <w:rPr>
          <w:w w:val="105"/>
        </w:rPr>
        <w:t>considers this </w:t>
      </w:r>
      <w:r>
        <w:rPr>
          <w:spacing w:val="-3"/>
          <w:w w:val="105"/>
        </w:rPr>
        <w:t>to </w:t>
      </w:r>
      <w:r>
        <w:rPr>
          <w:w w:val="105"/>
        </w:rPr>
        <w:t>be a </w:t>
      </w:r>
      <w:r>
        <w:rPr>
          <w:spacing w:val="-3"/>
          <w:w w:val="105"/>
        </w:rPr>
        <w:t>desirable outcome.</w:t>
      </w:r>
    </w:p>
    <w:p>
      <w:pPr>
        <w:pStyle w:val="ListParagraph"/>
        <w:numPr>
          <w:ilvl w:val="1"/>
          <w:numId w:val="22"/>
        </w:numPr>
        <w:tabs>
          <w:tab w:pos="2380" w:val="left" w:leader="none"/>
          <w:tab w:pos="2382" w:val="left" w:leader="none"/>
        </w:tabs>
        <w:spacing w:line="242" w:lineRule="auto" w:before="123" w:after="0"/>
        <w:ind w:left="2381" w:right="1649" w:hanging="794"/>
        <w:jc w:val="left"/>
        <w:rPr>
          <w:sz w:val="21"/>
        </w:rPr>
      </w:pPr>
      <w:r>
        <w:rPr>
          <w:sz w:val="21"/>
        </w:rPr>
        <w:t>Where the deceased person is survived by partner(s) and </w:t>
      </w:r>
      <w:r>
        <w:rPr>
          <w:spacing w:val="-3"/>
          <w:sz w:val="21"/>
        </w:rPr>
        <w:t>children, </w:t>
      </w:r>
      <w:r>
        <w:rPr>
          <w:sz w:val="21"/>
        </w:rPr>
        <w:t>the </w:t>
      </w:r>
      <w:r>
        <w:rPr>
          <w:spacing w:val="-3"/>
          <w:sz w:val="21"/>
        </w:rPr>
        <w:t>Commission  </w:t>
      </w:r>
      <w:r>
        <w:rPr>
          <w:sz w:val="21"/>
        </w:rPr>
        <w:t>considers </w:t>
      </w:r>
      <w:r>
        <w:rPr>
          <w:spacing w:val="-3"/>
          <w:sz w:val="21"/>
        </w:rPr>
        <w:t>that </w:t>
      </w:r>
      <w:r>
        <w:rPr>
          <w:sz w:val="21"/>
        </w:rPr>
        <w:t>the </w:t>
      </w:r>
      <w:r>
        <w:rPr>
          <w:spacing w:val="-3"/>
          <w:sz w:val="21"/>
        </w:rPr>
        <w:t>National </w:t>
      </w:r>
      <w:r>
        <w:rPr>
          <w:spacing w:val="-4"/>
          <w:sz w:val="21"/>
        </w:rPr>
        <w:t>Committee’s </w:t>
      </w:r>
      <w:r>
        <w:rPr>
          <w:sz w:val="21"/>
        </w:rPr>
        <w:t>recommended approach </w:t>
      </w:r>
      <w:r>
        <w:rPr>
          <w:spacing w:val="-3"/>
          <w:sz w:val="21"/>
        </w:rPr>
        <w:t>to </w:t>
      </w:r>
      <w:r>
        <w:rPr>
          <w:spacing w:val="-2"/>
          <w:sz w:val="21"/>
        </w:rPr>
        <w:t>distribution </w:t>
      </w:r>
      <w:r>
        <w:rPr>
          <w:sz w:val="21"/>
        </w:rPr>
        <w:t>between partners and </w:t>
      </w:r>
      <w:r>
        <w:rPr>
          <w:spacing w:val="-3"/>
          <w:sz w:val="21"/>
        </w:rPr>
        <w:t>children strikes </w:t>
      </w:r>
      <w:r>
        <w:rPr>
          <w:sz w:val="21"/>
        </w:rPr>
        <w:t>a </w:t>
      </w:r>
      <w:r>
        <w:rPr>
          <w:spacing w:val="-4"/>
          <w:sz w:val="21"/>
        </w:rPr>
        <w:t>fair </w:t>
      </w:r>
      <w:r>
        <w:rPr>
          <w:spacing w:val="-3"/>
          <w:sz w:val="21"/>
        </w:rPr>
        <w:t>balance. </w:t>
      </w:r>
      <w:r>
        <w:rPr>
          <w:sz w:val="21"/>
        </w:rPr>
        <w:t>It  is  </w:t>
      </w:r>
      <w:r>
        <w:rPr>
          <w:spacing w:val="-3"/>
          <w:sz w:val="21"/>
        </w:rPr>
        <w:t>desirable  to  </w:t>
      </w:r>
      <w:r>
        <w:rPr>
          <w:sz w:val="21"/>
        </w:rPr>
        <w:t>defer  </w:t>
      </w:r>
      <w:r>
        <w:rPr>
          <w:spacing w:val="-4"/>
          <w:sz w:val="21"/>
        </w:rPr>
        <w:t>children’s  </w:t>
      </w:r>
      <w:r>
        <w:rPr>
          <w:spacing w:val="-3"/>
          <w:sz w:val="21"/>
        </w:rPr>
        <w:t>inheritance </w:t>
      </w:r>
      <w:r>
        <w:rPr>
          <w:sz w:val="21"/>
        </w:rPr>
        <w:t>and </w:t>
      </w:r>
      <w:r>
        <w:rPr>
          <w:spacing w:val="-3"/>
          <w:sz w:val="21"/>
        </w:rPr>
        <w:t>minimise disruption </w:t>
      </w:r>
      <w:r>
        <w:rPr>
          <w:sz w:val="21"/>
        </w:rPr>
        <w:t>where their surviving </w:t>
      </w:r>
      <w:r>
        <w:rPr>
          <w:spacing w:val="-3"/>
          <w:sz w:val="21"/>
        </w:rPr>
        <w:t>parent </w:t>
      </w:r>
      <w:r>
        <w:rPr>
          <w:sz w:val="21"/>
        </w:rPr>
        <w:t>is a partner of the deceased who is entitled </w:t>
      </w:r>
      <w:r>
        <w:rPr>
          <w:spacing w:val="-3"/>
          <w:sz w:val="21"/>
        </w:rPr>
        <w:t>to </w:t>
      </w:r>
      <w:r>
        <w:rPr>
          <w:sz w:val="21"/>
        </w:rPr>
        <w:t>a </w:t>
      </w:r>
      <w:r>
        <w:rPr>
          <w:spacing w:val="-3"/>
          <w:sz w:val="21"/>
        </w:rPr>
        <w:t>share </w:t>
      </w:r>
      <w:r>
        <w:rPr>
          <w:sz w:val="21"/>
        </w:rPr>
        <w:t>on </w:t>
      </w:r>
      <w:r>
        <w:rPr>
          <w:spacing w:val="-3"/>
          <w:sz w:val="21"/>
        </w:rPr>
        <w:t>intestacy. </w:t>
      </w:r>
      <w:r>
        <w:rPr>
          <w:sz w:val="21"/>
        </w:rPr>
        <w:t>The </w:t>
      </w:r>
      <w:r>
        <w:rPr>
          <w:spacing w:val="-3"/>
          <w:sz w:val="21"/>
        </w:rPr>
        <w:t>National </w:t>
      </w:r>
      <w:r>
        <w:rPr>
          <w:spacing w:val="-4"/>
          <w:sz w:val="21"/>
        </w:rPr>
        <w:t>Committee’s </w:t>
      </w:r>
      <w:r>
        <w:rPr>
          <w:sz w:val="21"/>
        </w:rPr>
        <w:t>recommended approach </w:t>
      </w:r>
      <w:r>
        <w:rPr>
          <w:spacing w:val="-3"/>
          <w:sz w:val="21"/>
        </w:rPr>
        <w:t>takes adequate</w:t>
      </w:r>
      <w:r>
        <w:rPr>
          <w:spacing w:val="10"/>
          <w:sz w:val="21"/>
        </w:rPr>
        <w:t> </w:t>
      </w:r>
      <w:r>
        <w:rPr>
          <w:spacing w:val="-3"/>
          <w:sz w:val="21"/>
        </w:rPr>
        <w:t>account</w:t>
      </w:r>
      <w:r>
        <w:rPr>
          <w:spacing w:val="11"/>
          <w:sz w:val="21"/>
        </w:rPr>
        <w:t> </w:t>
      </w:r>
      <w:r>
        <w:rPr>
          <w:sz w:val="21"/>
        </w:rPr>
        <w:t>of</w:t>
      </w:r>
      <w:r>
        <w:rPr>
          <w:spacing w:val="10"/>
          <w:sz w:val="21"/>
        </w:rPr>
        <w:t> </w:t>
      </w:r>
      <w:r>
        <w:rPr>
          <w:spacing w:val="-3"/>
          <w:sz w:val="21"/>
        </w:rPr>
        <w:t>children</w:t>
      </w:r>
      <w:r>
        <w:rPr>
          <w:spacing w:val="11"/>
          <w:sz w:val="21"/>
        </w:rPr>
        <w:t> </w:t>
      </w:r>
      <w:r>
        <w:rPr>
          <w:sz w:val="21"/>
        </w:rPr>
        <w:t>of</w:t>
      </w:r>
      <w:r>
        <w:rPr>
          <w:spacing w:val="10"/>
          <w:sz w:val="21"/>
        </w:rPr>
        <w:t> </w:t>
      </w:r>
      <w:r>
        <w:rPr>
          <w:spacing w:val="-3"/>
          <w:sz w:val="21"/>
        </w:rPr>
        <w:t>previous</w:t>
      </w:r>
      <w:r>
        <w:rPr>
          <w:spacing w:val="11"/>
          <w:sz w:val="21"/>
        </w:rPr>
        <w:t> </w:t>
      </w:r>
      <w:r>
        <w:rPr>
          <w:spacing w:val="-3"/>
          <w:sz w:val="21"/>
        </w:rPr>
        <w:t>relationships.</w:t>
      </w:r>
    </w:p>
    <w:p>
      <w:pPr>
        <w:pStyle w:val="ListParagraph"/>
        <w:numPr>
          <w:ilvl w:val="1"/>
          <w:numId w:val="22"/>
        </w:numPr>
        <w:tabs>
          <w:tab w:pos="2380" w:val="left" w:leader="none"/>
          <w:tab w:pos="2381" w:val="left" w:leader="none"/>
        </w:tabs>
        <w:spacing w:line="242" w:lineRule="auto" w:before="127" w:after="0"/>
        <w:ind w:left="2380" w:right="2030" w:hanging="793"/>
        <w:jc w:val="left"/>
        <w:rPr>
          <w:sz w:val="21"/>
        </w:rPr>
      </w:pPr>
      <w:r>
        <w:rPr>
          <w:sz w:val="21"/>
        </w:rPr>
        <w:t>In order </w:t>
      </w:r>
      <w:r>
        <w:rPr>
          <w:spacing w:val="-3"/>
          <w:sz w:val="21"/>
        </w:rPr>
        <w:t>to promote national consistency, </w:t>
      </w:r>
      <w:r>
        <w:rPr>
          <w:sz w:val="21"/>
        </w:rPr>
        <w:t>and simplify </w:t>
      </w:r>
      <w:r>
        <w:rPr>
          <w:spacing w:val="-2"/>
          <w:sz w:val="21"/>
        </w:rPr>
        <w:t>distribution </w:t>
      </w:r>
      <w:r>
        <w:rPr>
          <w:sz w:val="21"/>
        </w:rPr>
        <w:t>of </w:t>
      </w:r>
      <w:r>
        <w:rPr>
          <w:spacing w:val="-3"/>
          <w:sz w:val="21"/>
        </w:rPr>
        <w:t>intestate </w:t>
      </w:r>
      <w:r>
        <w:rPr>
          <w:sz w:val="21"/>
        </w:rPr>
        <w:t>estates between partners and </w:t>
      </w:r>
      <w:r>
        <w:rPr>
          <w:spacing w:val="-3"/>
          <w:sz w:val="21"/>
        </w:rPr>
        <w:t>children, </w:t>
      </w:r>
      <w:r>
        <w:rPr>
          <w:sz w:val="21"/>
        </w:rPr>
        <w:t>the </w:t>
      </w:r>
      <w:r>
        <w:rPr>
          <w:spacing w:val="-3"/>
          <w:sz w:val="21"/>
        </w:rPr>
        <w:t>Commission recommends that children </w:t>
      </w:r>
      <w:r>
        <w:rPr>
          <w:sz w:val="21"/>
        </w:rPr>
        <w:t>of the deceased person should only </w:t>
      </w:r>
      <w:r>
        <w:rPr>
          <w:spacing w:val="-3"/>
          <w:sz w:val="21"/>
        </w:rPr>
        <w:t>take </w:t>
      </w:r>
      <w:r>
        <w:rPr>
          <w:sz w:val="21"/>
        </w:rPr>
        <w:t>where </w:t>
      </w:r>
      <w:r>
        <w:rPr>
          <w:spacing w:val="-3"/>
          <w:sz w:val="21"/>
        </w:rPr>
        <w:t>any children </w:t>
      </w:r>
      <w:r>
        <w:rPr>
          <w:sz w:val="21"/>
        </w:rPr>
        <w:t>of the deceased </w:t>
      </w:r>
      <w:r>
        <w:rPr>
          <w:spacing w:val="-3"/>
          <w:sz w:val="21"/>
        </w:rPr>
        <w:t>are </w:t>
      </w:r>
      <w:r>
        <w:rPr>
          <w:spacing w:val="-2"/>
          <w:sz w:val="21"/>
        </w:rPr>
        <w:t>not </w:t>
      </w:r>
      <w:r>
        <w:rPr>
          <w:sz w:val="21"/>
        </w:rPr>
        <w:t>also </w:t>
      </w:r>
      <w:r>
        <w:rPr>
          <w:spacing w:val="-3"/>
          <w:sz w:val="21"/>
        </w:rPr>
        <w:t>children </w:t>
      </w:r>
      <w:r>
        <w:rPr>
          <w:sz w:val="21"/>
        </w:rPr>
        <w:t>of a surviving partner who is entitled </w:t>
      </w:r>
      <w:r>
        <w:rPr>
          <w:spacing w:val="-3"/>
          <w:sz w:val="21"/>
        </w:rPr>
        <w:t>to </w:t>
      </w:r>
      <w:r>
        <w:rPr>
          <w:sz w:val="21"/>
        </w:rPr>
        <w:t>a </w:t>
      </w:r>
      <w:r>
        <w:rPr>
          <w:spacing w:val="-3"/>
          <w:sz w:val="21"/>
        </w:rPr>
        <w:t>share </w:t>
      </w:r>
      <w:r>
        <w:rPr>
          <w:sz w:val="21"/>
        </w:rPr>
        <w:t>on</w:t>
      </w:r>
      <w:r>
        <w:rPr>
          <w:spacing w:val="5"/>
          <w:sz w:val="21"/>
        </w:rPr>
        <w:t> </w:t>
      </w:r>
      <w:r>
        <w:rPr>
          <w:spacing w:val="-3"/>
          <w:sz w:val="21"/>
        </w:rPr>
        <w:t>intestacy.</w:t>
      </w:r>
    </w:p>
    <w:p>
      <w:pPr>
        <w:pStyle w:val="BodyText"/>
        <w:spacing w:before="8"/>
        <w:rPr>
          <w:sz w:val="18"/>
        </w:rPr>
      </w:pPr>
      <w:r>
        <w:rPr/>
        <w:pict>
          <v:group style="position:absolute;margin-left:62.362202pt;margin-top:13.337359pt;width:479.1pt;height:218.55pt;mso-position-horizontal-relative:page;mso-position-vertical-relative:paragraph;z-index:5456;mso-wrap-distance-left:0;mso-wrap-distance-right:0" coordorigin="1247,267" coordsize="9582,4371">
            <v:rect style="position:absolute;left:1587;top:266;width:8731;height:4371" filled="true" fillcolor="#fdebea" stroked="false">
              <v:fill type="solid"/>
            </v:rect>
            <v:line style="position:absolute" from="1247,1017" to="10828,1017" stroked="true" strokeweight="2.5pt" strokecolor="#ffffff">
              <v:stroke dashstyle="solid"/>
            </v:line>
            <v:shape style="position:absolute;left:2381;top:1254;width:7567;height:3210" type="#_x0000_t202" filled="false" stroked="false">
              <v:textbox inset="0,0,0,0">
                <w:txbxContent>
                  <w:p>
                    <w:pPr>
                      <w:spacing w:line="242" w:lineRule="auto" w:before="0"/>
                      <w:ind w:left="0" w:right="0" w:firstLine="0"/>
                      <w:jc w:val="left"/>
                      <w:rPr>
                        <w:sz w:val="21"/>
                      </w:rPr>
                    </w:pPr>
                    <w:r>
                      <w:rPr>
                        <w:w w:val="115"/>
                        <w:sz w:val="21"/>
                      </w:rPr>
                      <w:t>Children</w:t>
                    </w:r>
                    <w:r>
                      <w:rPr>
                        <w:spacing w:val="-8"/>
                        <w:w w:val="115"/>
                        <w:sz w:val="21"/>
                      </w:rPr>
                      <w:t> </w:t>
                    </w:r>
                    <w:r>
                      <w:rPr>
                        <w:w w:val="115"/>
                        <w:sz w:val="21"/>
                      </w:rPr>
                      <w:t>or</w:t>
                    </w:r>
                    <w:r>
                      <w:rPr>
                        <w:spacing w:val="-8"/>
                        <w:w w:val="115"/>
                        <w:sz w:val="21"/>
                      </w:rPr>
                      <w:t> </w:t>
                    </w:r>
                    <w:r>
                      <w:rPr>
                        <w:w w:val="115"/>
                        <w:sz w:val="21"/>
                      </w:rPr>
                      <w:t>other</w:t>
                    </w:r>
                    <w:r>
                      <w:rPr>
                        <w:spacing w:val="-8"/>
                        <w:w w:val="115"/>
                        <w:sz w:val="21"/>
                      </w:rPr>
                      <w:t> </w:t>
                    </w:r>
                    <w:r>
                      <w:rPr>
                        <w:w w:val="115"/>
                        <w:sz w:val="21"/>
                      </w:rPr>
                      <w:t>issue</w:t>
                    </w:r>
                    <w:r>
                      <w:rPr>
                        <w:spacing w:val="-8"/>
                        <w:w w:val="115"/>
                        <w:sz w:val="21"/>
                      </w:rPr>
                      <w:t> </w:t>
                    </w:r>
                    <w:r>
                      <w:rPr>
                        <w:w w:val="115"/>
                        <w:sz w:val="21"/>
                      </w:rPr>
                      <w:t>of</w:t>
                    </w:r>
                    <w:r>
                      <w:rPr>
                        <w:spacing w:val="-8"/>
                        <w:w w:val="115"/>
                        <w:sz w:val="21"/>
                      </w:rPr>
                      <w:t> </w:t>
                    </w:r>
                    <w:r>
                      <w:rPr>
                        <w:w w:val="115"/>
                        <w:sz w:val="21"/>
                      </w:rPr>
                      <w:t>a</w:t>
                    </w:r>
                    <w:r>
                      <w:rPr>
                        <w:spacing w:val="-8"/>
                        <w:w w:val="115"/>
                        <w:sz w:val="21"/>
                      </w:rPr>
                      <w:t> </w:t>
                    </w:r>
                    <w:r>
                      <w:rPr>
                        <w:w w:val="115"/>
                        <w:sz w:val="21"/>
                      </w:rPr>
                      <w:t>deceased</w:t>
                    </w:r>
                    <w:r>
                      <w:rPr>
                        <w:spacing w:val="-8"/>
                        <w:w w:val="115"/>
                        <w:sz w:val="21"/>
                      </w:rPr>
                      <w:t> </w:t>
                    </w:r>
                    <w:r>
                      <w:rPr>
                        <w:w w:val="115"/>
                        <w:sz w:val="21"/>
                      </w:rPr>
                      <w:t>person</w:t>
                    </w:r>
                    <w:r>
                      <w:rPr>
                        <w:spacing w:val="-8"/>
                        <w:w w:val="115"/>
                        <w:sz w:val="21"/>
                      </w:rPr>
                      <w:t> </w:t>
                    </w:r>
                    <w:r>
                      <w:rPr>
                        <w:w w:val="115"/>
                        <w:sz w:val="21"/>
                      </w:rPr>
                      <w:t>should</w:t>
                    </w:r>
                    <w:r>
                      <w:rPr>
                        <w:spacing w:val="-7"/>
                        <w:w w:val="115"/>
                        <w:sz w:val="21"/>
                      </w:rPr>
                      <w:t> </w:t>
                    </w:r>
                    <w:r>
                      <w:rPr>
                        <w:w w:val="115"/>
                        <w:sz w:val="21"/>
                      </w:rPr>
                      <w:t>not</w:t>
                    </w:r>
                    <w:r>
                      <w:rPr>
                        <w:spacing w:val="-8"/>
                        <w:w w:val="115"/>
                        <w:sz w:val="21"/>
                      </w:rPr>
                      <w:t> </w:t>
                    </w:r>
                    <w:r>
                      <w:rPr>
                        <w:w w:val="115"/>
                        <w:sz w:val="21"/>
                      </w:rPr>
                      <w:t>be</w:t>
                    </w:r>
                    <w:r>
                      <w:rPr>
                        <w:spacing w:val="-8"/>
                        <w:w w:val="115"/>
                        <w:sz w:val="21"/>
                      </w:rPr>
                      <w:t> </w:t>
                    </w:r>
                    <w:r>
                      <w:rPr>
                        <w:w w:val="115"/>
                        <w:sz w:val="21"/>
                      </w:rPr>
                      <w:t>entitled</w:t>
                    </w:r>
                    <w:r>
                      <w:rPr>
                        <w:spacing w:val="-8"/>
                        <w:w w:val="115"/>
                        <w:sz w:val="21"/>
                      </w:rPr>
                      <w:t> </w:t>
                    </w:r>
                    <w:r>
                      <w:rPr>
                        <w:w w:val="115"/>
                        <w:sz w:val="21"/>
                      </w:rPr>
                      <w:t>to</w:t>
                    </w:r>
                    <w:r>
                      <w:rPr>
                        <w:spacing w:val="-8"/>
                        <w:w w:val="115"/>
                        <w:sz w:val="21"/>
                      </w:rPr>
                      <w:t> </w:t>
                    </w:r>
                    <w:r>
                      <w:rPr>
                        <w:w w:val="115"/>
                        <w:sz w:val="21"/>
                      </w:rPr>
                      <w:t>a</w:t>
                    </w:r>
                    <w:r>
                      <w:rPr>
                        <w:spacing w:val="-8"/>
                        <w:w w:val="115"/>
                        <w:sz w:val="21"/>
                      </w:rPr>
                      <w:t> </w:t>
                    </w:r>
                    <w:r>
                      <w:rPr>
                        <w:w w:val="115"/>
                        <w:sz w:val="21"/>
                      </w:rPr>
                      <w:t>share on intestacy</w:t>
                    </w:r>
                    <w:r>
                      <w:rPr>
                        <w:spacing w:val="1"/>
                        <w:w w:val="115"/>
                        <w:sz w:val="21"/>
                      </w:rPr>
                      <w:t> </w:t>
                    </w:r>
                    <w:r>
                      <w:rPr>
                        <w:w w:val="115"/>
                        <w:sz w:val="21"/>
                      </w:rPr>
                      <w:t>if:</w:t>
                    </w:r>
                  </w:p>
                  <w:p>
                    <w:pPr>
                      <w:numPr>
                        <w:ilvl w:val="0"/>
                        <w:numId w:val="69"/>
                      </w:numPr>
                      <w:tabs>
                        <w:tab w:pos="341" w:val="left" w:leader="none"/>
                      </w:tabs>
                      <w:spacing w:line="242" w:lineRule="auto" w:before="118"/>
                      <w:ind w:left="340" w:right="315" w:hanging="340"/>
                      <w:jc w:val="left"/>
                      <w:rPr>
                        <w:sz w:val="21"/>
                      </w:rPr>
                    </w:pPr>
                    <w:r>
                      <w:rPr>
                        <w:w w:val="115"/>
                        <w:sz w:val="21"/>
                      </w:rPr>
                      <w:t>they</w:t>
                    </w:r>
                    <w:r>
                      <w:rPr>
                        <w:spacing w:val="-9"/>
                        <w:w w:val="115"/>
                        <w:sz w:val="21"/>
                      </w:rPr>
                      <w:t> </w:t>
                    </w:r>
                    <w:r>
                      <w:rPr>
                        <w:w w:val="115"/>
                        <w:sz w:val="21"/>
                      </w:rPr>
                      <w:t>are</w:t>
                    </w:r>
                    <w:r>
                      <w:rPr>
                        <w:spacing w:val="-8"/>
                        <w:w w:val="115"/>
                        <w:sz w:val="21"/>
                      </w:rPr>
                      <w:t> </w:t>
                    </w:r>
                    <w:r>
                      <w:rPr>
                        <w:w w:val="115"/>
                        <w:sz w:val="21"/>
                      </w:rPr>
                      <w:t>children</w:t>
                    </w:r>
                    <w:r>
                      <w:rPr>
                        <w:spacing w:val="-9"/>
                        <w:w w:val="115"/>
                        <w:sz w:val="21"/>
                      </w:rPr>
                      <w:t> </w:t>
                    </w:r>
                    <w:r>
                      <w:rPr>
                        <w:w w:val="115"/>
                        <w:sz w:val="21"/>
                      </w:rPr>
                      <w:t>or</w:t>
                    </w:r>
                    <w:r>
                      <w:rPr>
                        <w:spacing w:val="-8"/>
                        <w:w w:val="115"/>
                        <w:sz w:val="21"/>
                      </w:rPr>
                      <w:t> </w:t>
                    </w:r>
                    <w:r>
                      <w:rPr>
                        <w:w w:val="115"/>
                        <w:sz w:val="21"/>
                      </w:rPr>
                      <w:t>issue</w:t>
                    </w:r>
                    <w:r>
                      <w:rPr>
                        <w:spacing w:val="-8"/>
                        <w:w w:val="115"/>
                        <w:sz w:val="21"/>
                      </w:rPr>
                      <w:t> </w:t>
                    </w:r>
                    <w:r>
                      <w:rPr>
                        <w:w w:val="115"/>
                        <w:sz w:val="21"/>
                      </w:rPr>
                      <w:t>of</w:t>
                    </w:r>
                    <w:r>
                      <w:rPr>
                        <w:spacing w:val="-9"/>
                        <w:w w:val="115"/>
                        <w:sz w:val="21"/>
                      </w:rPr>
                      <w:t> </w:t>
                    </w:r>
                    <w:r>
                      <w:rPr>
                        <w:w w:val="115"/>
                        <w:sz w:val="21"/>
                      </w:rPr>
                      <w:t>a</w:t>
                    </w:r>
                    <w:r>
                      <w:rPr>
                        <w:spacing w:val="-8"/>
                        <w:w w:val="115"/>
                        <w:sz w:val="21"/>
                      </w:rPr>
                      <w:t> </w:t>
                    </w:r>
                    <w:r>
                      <w:rPr>
                        <w:w w:val="115"/>
                        <w:sz w:val="21"/>
                      </w:rPr>
                      <w:t>surviving</w:t>
                    </w:r>
                    <w:r>
                      <w:rPr>
                        <w:spacing w:val="-8"/>
                        <w:w w:val="115"/>
                        <w:sz w:val="21"/>
                      </w:rPr>
                      <w:t> </w:t>
                    </w:r>
                    <w:r>
                      <w:rPr>
                        <w:w w:val="115"/>
                        <w:sz w:val="21"/>
                      </w:rPr>
                      <w:t>partner</w:t>
                    </w:r>
                    <w:r>
                      <w:rPr>
                        <w:spacing w:val="-9"/>
                        <w:w w:val="115"/>
                        <w:sz w:val="21"/>
                      </w:rPr>
                      <w:t> </w:t>
                    </w:r>
                    <w:r>
                      <w:rPr>
                        <w:w w:val="115"/>
                        <w:sz w:val="21"/>
                      </w:rPr>
                      <w:t>of</w:t>
                    </w:r>
                    <w:r>
                      <w:rPr>
                        <w:spacing w:val="-8"/>
                        <w:w w:val="115"/>
                        <w:sz w:val="21"/>
                      </w:rPr>
                      <w:t> </w:t>
                    </w:r>
                    <w:r>
                      <w:rPr>
                        <w:w w:val="115"/>
                        <w:sz w:val="21"/>
                      </w:rPr>
                      <w:t>the</w:t>
                    </w:r>
                    <w:r>
                      <w:rPr>
                        <w:spacing w:val="-9"/>
                        <w:w w:val="115"/>
                        <w:sz w:val="21"/>
                      </w:rPr>
                      <w:t> </w:t>
                    </w:r>
                    <w:r>
                      <w:rPr>
                        <w:w w:val="115"/>
                        <w:sz w:val="21"/>
                      </w:rPr>
                      <w:t>deceased</w:t>
                    </w:r>
                    <w:r>
                      <w:rPr>
                        <w:spacing w:val="-8"/>
                        <w:w w:val="115"/>
                        <w:sz w:val="21"/>
                      </w:rPr>
                      <w:t> </w:t>
                    </w:r>
                    <w:r>
                      <w:rPr>
                        <w:w w:val="115"/>
                        <w:sz w:val="21"/>
                      </w:rPr>
                      <w:t>person who is entitled to a share on intestacy,</w:t>
                    </w:r>
                    <w:r>
                      <w:rPr>
                        <w:spacing w:val="-3"/>
                        <w:w w:val="115"/>
                        <w:sz w:val="21"/>
                      </w:rPr>
                      <w:t> </w:t>
                    </w:r>
                    <w:r>
                      <w:rPr>
                        <w:w w:val="115"/>
                        <w:sz w:val="21"/>
                      </w:rPr>
                      <w:t>and</w:t>
                    </w:r>
                  </w:p>
                  <w:p>
                    <w:pPr>
                      <w:numPr>
                        <w:ilvl w:val="0"/>
                        <w:numId w:val="69"/>
                      </w:numPr>
                      <w:tabs>
                        <w:tab w:pos="341" w:val="left" w:leader="none"/>
                      </w:tabs>
                      <w:spacing w:line="242" w:lineRule="auto" w:before="123"/>
                      <w:ind w:left="340" w:right="468" w:hanging="340"/>
                      <w:jc w:val="left"/>
                      <w:rPr>
                        <w:sz w:val="21"/>
                      </w:rPr>
                    </w:pPr>
                    <w:r>
                      <w:rPr>
                        <w:spacing w:val="-3"/>
                        <w:w w:val="115"/>
                        <w:sz w:val="21"/>
                      </w:rPr>
                      <w:t>all</w:t>
                    </w:r>
                    <w:r>
                      <w:rPr>
                        <w:spacing w:val="-11"/>
                        <w:w w:val="115"/>
                        <w:sz w:val="21"/>
                      </w:rPr>
                      <w:t> </w:t>
                    </w:r>
                    <w:r>
                      <w:rPr>
                        <w:w w:val="115"/>
                        <w:sz w:val="21"/>
                      </w:rPr>
                      <w:t>surviving</w:t>
                    </w:r>
                    <w:r>
                      <w:rPr>
                        <w:spacing w:val="-10"/>
                        <w:w w:val="115"/>
                        <w:sz w:val="21"/>
                      </w:rPr>
                      <w:t> </w:t>
                    </w:r>
                    <w:r>
                      <w:rPr>
                        <w:w w:val="115"/>
                        <w:sz w:val="21"/>
                      </w:rPr>
                      <w:t>children</w:t>
                    </w:r>
                    <w:r>
                      <w:rPr>
                        <w:spacing w:val="-10"/>
                        <w:w w:val="115"/>
                        <w:sz w:val="21"/>
                      </w:rPr>
                      <w:t> </w:t>
                    </w:r>
                    <w:r>
                      <w:rPr>
                        <w:w w:val="115"/>
                        <w:sz w:val="21"/>
                      </w:rPr>
                      <w:t>or</w:t>
                    </w:r>
                    <w:r>
                      <w:rPr>
                        <w:spacing w:val="-11"/>
                        <w:w w:val="115"/>
                        <w:sz w:val="21"/>
                      </w:rPr>
                      <w:t> </w:t>
                    </w:r>
                    <w:r>
                      <w:rPr>
                        <w:w w:val="115"/>
                        <w:sz w:val="21"/>
                      </w:rPr>
                      <w:t>issue</w:t>
                    </w:r>
                    <w:r>
                      <w:rPr>
                        <w:spacing w:val="-10"/>
                        <w:w w:val="115"/>
                        <w:sz w:val="21"/>
                      </w:rPr>
                      <w:t> </w:t>
                    </w:r>
                    <w:r>
                      <w:rPr>
                        <w:w w:val="115"/>
                        <w:sz w:val="21"/>
                      </w:rPr>
                      <w:t>of</w:t>
                    </w:r>
                    <w:r>
                      <w:rPr>
                        <w:spacing w:val="-10"/>
                        <w:w w:val="115"/>
                        <w:sz w:val="21"/>
                      </w:rPr>
                      <w:t> </w:t>
                    </w:r>
                    <w:r>
                      <w:rPr>
                        <w:w w:val="115"/>
                        <w:sz w:val="21"/>
                      </w:rPr>
                      <w:t>the</w:t>
                    </w:r>
                    <w:r>
                      <w:rPr>
                        <w:spacing w:val="-11"/>
                        <w:w w:val="115"/>
                        <w:sz w:val="21"/>
                      </w:rPr>
                      <w:t> </w:t>
                    </w:r>
                    <w:r>
                      <w:rPr>
                        <w:w w:val="115"/>
                        <w:sz w:val="21"/>
                      </w:rPr>
                      <w:t>deceased</w:t>
                    </w:r>
                    <w:r>
                      <w:rPr>
                        <w:spacing w:val="-10"/>
                        <w:w w:val="115"/>
                        <w:sz w:val="21"/>
                      </w:rPr>
                      <w:t> </w:t>
                    </w:r>
                    <w:r>
                      <w:rPr>
                        <w:w w:val="115"/>
                        <w:sz w:val="21"/>
                      </w:rPr>
                      <w:t>person</w:t>
                    </w:r>
                    <w:r>
                      <w:rPr>
                        <w:spacing w:val="-10"/>
                        <w:w w:val="115"/>
                        <w:sz w:val="21"/>
                      </w:rPr>
                      <w:t> </w:t>
                    </w:r>
                    <w:r>
                      <w:rPr>
                        <w:w w:val="115"/>
                        <w:sz w:val="21"/>
                      </w:rPr>
                      <w:t>are</w:t>
                    </w:r>
                    <w:r>
                      <w:rPr>
                        <w:spacing w:val="-10"/>
                        <w:w w:val="115"/>
                        <w:sz w:val="21"/>
                      </w:rPr>
                      <w:t> </w:t>
                    </w:r>
                    <w:r>
                      <w:rPr>
                        <w:w w:val="115"/>
                        <w:sz w:val="21"/>
                      </w:rPr>
                      <w:t>also</w:t>
                    </w:r>
                    <w:r>
                      <w:rPr>
                        <w:spacing w:val="-11"/>
                        <w:w w:val="115"/>
                        <w:sz w:val="21"/>
                      </w:rPr>
                      <w:t> </w:t>
                    </w:r>
                    <w:r>
                      <w:rPr>
                        <w:w w:val="115"/>
                        <w:sz w:val="21"/>
                      </w:rPr>
                      <w:t>children or issue of that surviving partner or another partner of the deceased person who is entitled to a share on</w:t>
                    </w:r>
                    <w:r>
                      <w:rPr>
                        <w:spacing w:val="-7"/>
                        <w:w w:val="115"/>
                        <w:sz w:val="21"/>
                      </w:rPr>
                      <w:t> </w:t>
                    </w:r>
                    <w:r>
                      <w:rPr>
                        <w:w w:val="115"/>
                        <w:sz w:val="21"/>
                      </w:rPr>
                      <w:t>intestacy.</w:t>
                    </w:r>
                  </w:p>
                  <w:p>
                    <w:pPr>
                      <w:spacing w:line="242" w:lineRule="auto" w:before="123"/>
                      <w:ind w:left="0" w:right="193" w:firstLine="0"/>
                      <w:jc w:val="left"/>
                      <w:rPr>
                        <w:sz w:val="21"/>
                      </w:rPr>
                    </w:pPr>
                    <w:r>
                      <w:rPr>
                        <w:w w:val="115"/>
                        <w:sz w:val="21"/>
                      </w:rPr>
                      <w:t>If any of the children of a deceased person are not children of a surviving partner of the deceased person who is entitled to a share on intestacy, then all children of the deceased person should be entitled to an equal share on intestacy.</w:t>
                    </w:r>
                  </w:p>
                </w:txbxContent>
              </v:textbox>
              <w10:wrap type="none"/>
            </v:shape>
            <v:shape style="position:absolute;left:1814;top:1254;width:252;height:2430" type="#_x0000_t202" filled="false" stroked="false">
              <v:textbox inset="0,0,0,0">
                <w:txbxContent>
                  <w:p>
                    <w:pPr>
                      <w:spacing w:line="253" w:lineRule="exact" w:before="0"/>
                      <w:ind w:left="0" w:right="0" w:firstLine="0"/>
                      <w:jc w:val="left"/>
                      <w:rPr>
                        <w:sz w:val="21"/>
                      </w:rPr>
                    </w:pPr>
                    <w:r>
                      <w:rPr>
                        <w:w w:val="110"/>
                        <w:sz w:val="21"/>
                      </w:rPr>
                      <w:t>32</w:t>
                    </w: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52" w:lineRule="exact" w:before="166"/>
                      <w:ind w:left="0" w:right="0" w:firstLine="0"/>
                      <w:jc w:val="left"/>
                      <w:rPr>
                        <w:sz w:val="21"/>
                      </w:rPr>
                    </w:pPr>
                    <w:r>
                      <w:rPr>
                        <w:w w:val="110"/>
                        <w:sz w:val="21"/>
                      </w:rPr>
                      <w:t>33</w:t>
                    </w:r>
                  </w:p>
                </w:txbxContent>
              </v:textbox>
              <w10:wrap type="none"/>
            </v:shape>
            <v:shape style="position:absolute;left:1587;top:266;width:8731;height:726" type="#_x0000_t202" filled="true" fillcolor="#fdebea" stroked="false">
              <v:textbox inset="0,0,0,0">
                <w:txbxContent>
                  <w:p>
                    <w:pPr>
                      <w:spacing w:before="166"/>
                      <w:ind w:left="226" w:right="0" w:firstLine="0"/>
                      <w:jc w:val="left"/>
                      <w:rPr>
                        <w:b/>
                        <w:sz w:val="32"/>
                      </w:rPr>
                    </w:pPr>
                    <w:r>
                      <w:rPr>
                        <w:b/>
                        <w:color w:val="EC5A4F"/>
                        <w:w w:val="110"/>
                        <w:sz w:val="32"/>
                      </w:rPr>
                      <w:t>Recommendations</w:t>
                    </w:r>
                  </w:p>
                </w:txbxContent>
              </v:textbox>
              <v:fill type="solid"/>
              <w10:wrap type="none"/>
            </v:shap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4"/>
        </w:rPr>
      </w:pPr>
      <w:r>
        <w:rPr/>
        <w:pict>
          <v:line style="position:absolute;mso-position-horizontal-relative:page;mso-position-vertical-relative:paragraph;z-index:5480;mso-wrap-distance-left:0;mso-wrap-distance-right:0" from="79.370102pt,17.406006pt" to="515.905102pt,17.406006pt" stroked="true" strokeweight="1pt" strokecolor="#f9ceca">
            <v:stroke dashstyle="solid"/>
            <w10:wrap type="topAndBottom"/>
          </v:line>
        </w:pict>
      </w:r>
    </w:p>
    <w:p>
      <w:pPr>
        <w:tabs>
          <w:tab w:pos="1587" w:val="left" w:leader="none"/>
          <w:tab w:pos="2380" w:val="left" w:leader="none"/>
        </w:tabs>
        <w:spacing w:before="27"/>
        <w:ind w:left="720" w:right="0" w:firstLine="0"/>
        <w:jc w:val="left"/>
        <w:rPr>
          <w:sz w:val="13"/>
        </w:rPr>
      </w:pPr>
      <w:r>
        <w:rPr>
          <w:b/>
          <w:color w:val="EC5A4F"/>
          <w:w w:val="105"/>
          <w:sz w:val="24"/>
        </w:rPr>
        <w:t>84</w:t>
        <w:tab/>
      </w:r>
      <w:r>
        <w:rPr>
          <w:w w:val="105"/>
          <w:position w:val="1"/>
          <w:sz w:val="13"/>
        </w:rPr>
        <w:t>227</w:t>
        <w:tab/>
        <w:t>Submission 39 (Carolyn Sparke</w:t>
      </w:r>
      <w:r>
        <w:rPr>
          <w:spacing w:val="18"/>
          <w:w w:val="105"/>
          <w:position w:val="1"/>
          <w:sz w:val="13"/>
        </w:rPr>
        <w:t> </w:t>
      </w:r>
      <w:r>
        <w:rPr>
          <w:w w:val="105"/>
          <w:position w:val="1"/>
          <w:sz w:val="13"/>
        </w:rPr>
        <w:t>SC).</w:t>
      </w:r>
    </w:p>
    <w:p>
      <w:pPr>
        <w:spacing w:after="0"/>
        <w:jc w:val="left"/>
        <w:rPr>
          <w:sz w:val="13"/>
        </w:rPr>
        <w:sectPr>
          <w:pgSz w:w="11910" w:h="16840"/>
          <w:pgMar w:header="550" w:footer="0" w:top="1560" w:bottom="280" w:left="0" w:right="0"/>
        </w:sectPr>
      </w:pPr>
    </w:p>
    <w:p>
      <w:pPr>
        <w:pStyle w:val="BodyText"/>
        <w:rPr>
          <w:sz w:val="20"/>
        </w:rPr>
      </w:pPr>
      <w:r>
        <w:rPr/>
        <w:pict>
          <v:shape style="position:absolute;margin-left:548.919128pt;margin-top:802.179626pt;width:13.35pt;height:14.25pt;mso-position-horizontal-relative:page;mso-position-vertical-relative:page;z-index:7624" type="#_x0000_t202" filled="false" stroked="false">
            <v:textbox inset="0,0,0,0">
              <w:txbxContent>
                <w:p>
                  <w:pPr>
                    <w:spacing w:line="284" w:lineRule="exact" w:before="0"/>
                    <w:ind w:left="0" w:right="0" w:firstLine="0"/>
                    <w:jc w:val="left"/>
                    <w:rPr>
                      <w:b/>
                      <w:sz w:val="24"/>
                    </w:rPr>
                  </w:pPr>
                  <w:r>
                    <w:rPr>
                      <w:b/>
                      <w:color w:val="EC5A4F"/>
                      <w:w w:val="105"/>
                      <w:sz w:val="24"/>
                    </w:rPr>
                    <w:t>85</w:t>
                  </w:r>
                </w:p>
              </w:txbxContent>
            </v:textbox>
            <w10:wrap type="none"/>
          </v:shape>
        </w:pict>
      </w:r>
    </w:p>
    <w:p>
      <w:pPr>
        <w:pStyle w:val="BodyText"/>
        <w:spacing w:before="5"/>
        <w:rPr>
          <w:sz w:val="18"/>
        </w:rPr>
      </w:pPr>
    </w:p>
    <w:p>
      <w:pPr>
        <w:pStyle w:val="Heading6"/>
        <w:spacing w:before="92"/>
        <w:rPr>
          <w:rFonts w:ascii="Lucida Sans"/>
          <w:b/>
        </w:rPr>
      </w:pPr>
      <w:r>
        <w:rPr>
          <w:rFonts w:ascii="Lucida Sans"/>
          <w:b/>
        </w:rPr>
        <w:t>Examples</w:t>
      </w:r>
    </w:p>
    <w:p>
      <w:pPr>
        <w:pStyle w:val="ListParagraph"/>
        <w:numPr>
          <w:ilvl w:val="1"/>
          <w:numId w:val="22"/>
        </w:numPr>
        <w:tabs>
          <w:tab w:pos="2380" w:val="left" w:leader="none"/>
          <w:tab w:pos="2381" w:val="left" w:leader="none"/>
        </w:tabs>
        <w:spacing w:line="242" w:lineRule="auto" w:before="152" w:after="0"/>
        <w:ind w:left="2381" w:right="1621" w:hanging="794"/>
        <w:jc w:val="left"/>
        <w:rPr>
          <w:sz w:val="21"/>
        </w:rPr>
      </w:pPr>
      <w:r>
        <w:rPr>
          <w:sz w:val="21"/>
        </w:rPr>
        <w:t>In the example </w:t>
      </w:r>
      <w:r>
        <w:rPr>
          <w:spacing w:val="-3"/>
          <w:sz w:val="21"/>
        </w:rPr>
        <w:t>illustrated </w:t>
      </w:r>
      <w:r>
        <w:rPr>
          <w:sz w:val="21"/>
        </w:rPr>
        <w:t>by </w:t>
      </w:r>
      <w:r>
        <w:rPr>
          <w:rFonts w:ascii="Lucida Sans" w:hAnsi="Lucida Sans"/>
          <w:b/>
          <w:sz w:val="21"/>
        </w:rPr>
        <w:t>Figure 2</w:t>
      </w:r>
      <w:r>
        <w:rPr>
          <w:sz w:val="21"/>
        </w:rPr>
        <w:t>, the deceased </w:t>
      </w:r>
      <w:r>
        <w:rPr>
          <w:spacing w:val="-3"/>
          <w:sz w:val="21"/>
        </w:rPr>
        <w:t>person’s children </w:t>
      </w:r>
      <w:r>
        <w:rPr>
          <w:sz w:val="21"/>
        </w:rPr>
        <w:t>would </w:t>
      </w:r>
      <w:r>
        <w:rPr>
          <w:spacing w:val="-2"/>
          <w:sz w:val="21"/>
        </w:rPr>
        <w:t>not </w:t>
      </w:r>
      <w:r>
        <w:rPr>
          <w:sz w:val="21"/>
        </w:rPr>
        <w:t>be entitled </w:t>
      </w:r>
      <w:r>
        <w:rPr>
          <w:spacing w:val="-3"/>
          <w:sz w:val="21"/>
        </w:rPr>
        <w:t>to </w:t>
      </w:r>
      <w:r>
        <w:rPr>
          <w:sz w:val="21"/>
        </w:rPr>
        <w:t>a </w:t>
      </w:r>
      <w:r>
        <w:rPr>
          <w:spacing w:val="-3"/>
          <w:sz w:val="21"/>
        </w:rPr>
        <w:t>share </w:t>
      </w:r>
      <w:r>
        <w:rPr>
          <w:sz w:val="21"/>
        </w:rPr>
        <w:t>on </w:t>
      </w:r>
      <w:r>
        <w:rPr>
          <w:spacing w:val="-3"/>
          <w:sz w:val="21"/>
        </w:rPr>
        <w:t>intestacy, </w:t>
      </w:r>
      <w:r>
        <w:rPr>
          <w:sz w:val="21"/>
        </w:rPr>
        <w:t>as they </w:t>
      </w:r>
      <w:r>
        <w:rPr>
          <w:spacing w:val="-3"/>
          <w:sz w:val="21"/>
        </w:rPr>
        <w:t>are all </w:t>
      </w:r>
      <w:r>
        <w:rPr>
          <w:sz w:val="21"/>
        </w:rPr>
        <w:t>also </w:t>
      </w:r>
      <w:r>
        <w:rPr>
          <w:spacing w:val="-3"/>
          <w:sz w:val="21"/>
        </w:rPr>
        <w:t>children </w:t>
      </w:r>
      <w:r>
        <w:rPr>
          <w:sz w:val="21"/>
        </w:rPr>
        <w:t>of a partner of the deceased person at the time of the deceased </w:t>
      </w:r>
      <w:r>
        <w:rPr>
          <w:spacing w:val="-3"/>
          <w:sz w:val="21"/>
        </w:rPr>
        <w:t>person’s  death,  </w:t>
      </w:r>
      <w:r>
        <w:rPr>
          <w:sz w:val="21"/>
        </w:rPr>
        <w:t>who  is  entitled  on  </w:t>
      </w:r>
      <w:r>
        <w:rPr>
          <w:spacing w:val="-3"/>
          <w:sz w:val="21"/>
        </w:rPr>
        <w:t>intestacy. Therefore, </w:t>
      </w:r>
      <w:r>
        <w:rPr>
          <w:sz w:val="21"/>
        </w:rPr>
        <w:t>the deceased </w:t>
      </w:r>
      <w:r>
        <w:rPr>
          <w:spacing w:val="-3"/>
          <w:sz w:val="21"/>
        </w:rPr>
        <w:t>person’s children could </w:t>
      </w:r>
      <w:r>
        <w:rPr>
          <w:sz w:val="21"/>
        </w:rPr>
        <w:t>expect </w:t>
      </w:r>
      <w:r>
        <w:rPr>
          <w:spacing w:val="-3"/>
          <w:sz w:val="21"/>
        </w:rPr>
        <w:t>to  inherit  from  </w:t>
      </w:r>
      <w:r>
        <w:rPr>
          <w:sz w:val="21"/>
        </w:rPr>
        <w:t>their  surviving </w:t>
      </w:r>
      <w:r>
        <w:rPr>
          <w:spacing w:val="-3"/>
          <w:sz w:val="21"/>
        </w:rPr>
        <w:t>parent later </w:t>
      </w:r>
      <w:r>
        <w:rPr>
          <w:sz w:val="21"/>
        </w:rPr>
        <w:t>in </w:t>
      </w:r>
      <w:r>
        <w:rPr>
          <w:spacing w:val="-4"/>
          <w:sz w:val="21"/>
        </w:rPr>
        <w:t>life. </w:t>
      </w:r>
      <w:r>
        <w:rPr>
          <w:sz w:val="21"/>
        </w:rPr>
        <w:t>The deceased </w:t>
      </w:r>
      <w:r>
        <w:rPr>
          <w:spacing w:val="-3"/>
          <w:sz w:val="21"/>
        </w:rPr>
        <w:t>person’s </w:t>
      </w:r>
      <w:r>
        <w:rPr>
          <w:sz w:val="21"/>
        </w:rPr>
        <w:t>partner would be entitled </w:t>
      </w:r>
      <w:r>
        <w:rPr>
          <w:spacing w:val="-3"/>
          <w:sz w:val="21"/>
        </w:rPr>
        <w:t>to </w:t>
      </w:r>
      <w:r>
        <w:rPr>
          <w:sz w:val="21"/>
        </w:rPr>
        <w:t>the </w:t>
      </w:r>
      <w:r>
        <w:rPr>
          <w:spacing w:val="-3"/>
          <w:sz w:val="21"/>
        </w:rPr>
        <w:t>entire intestate </w:t>
      </w:r>
      <w:r>
        <w:rPr>
          <w:spacing w:val="-4"/>
          <w:sz w:val="21"/>
        </w:rPr>
        <w:t>estate.</w:t>
      </w:r>
    </w:p>
    <w:p>
      <w:pPr>
        <w:pStyle w:val="Heading6"/>
        <w:spacing w:before="117"/>
        <w:rPr>
          <w:rFonts w:ascii="Calibri"/>
        </w:rPr>
      </w:pPr>
      <w:r>
        <w:rPr>
          <w:rFonts w:ascii="Calibri"/>
          <w:color w:val="F18C84"/>
          <w:w w:val="115"/>
        </w:rPr>
        <w:t>Figure 2: Survived by a partner and children of that relationship</w:t>
      </w:r>
    </w:p>
    <w:p>
      <w:pPr>
        <w:pStyle w:val="BodyText"/>
        <w:spacing w:before="9"/>
        <w:rPr>
          <w:sz w:val="8"/>
        </w:rPr>
      </w:pPr>
      <w:r>
        <w:rPr/>
        <w:pict>
          <v:group style="position:absolute;margin-left:79.371002pt;margin-top:7.331756pt;width:436.55pt;height:152.4pt;mso-position-horizontal-relative:page;mso-position-vertical-relative:paragraph;z-index:5504;mso-wrap-distance-left:0;mso-wrap-distance-right:0" coordorigin="1587,147" coordsize="8731,3048">
            <v:rect style="position:absolute;left:1587;top:146;width:8731;height:3048" filled="true" fillcolor="#ec5a4f" stroked="false">
              <v:fill type="solid"/>
            </v:rect>
            <v:rect style="position:absolute;left:6270;top:482;width:2973;height:700" filled="true" fillcolor="#000000" stroked="false">
              <v:fill type="solid"/>
            </v:rect>
            <v:rect style="position:absolute;left:2848;top:2081;width:1956;height:700" filled="true" fillcolor="#000000" stroked="false">
              <v:fill type="solid"/>
            </v:rect>
            <v:rect style="position:absolute;left:7376;top:2081;width:1956;height:700" filled="true" fillcolor="#000000" stroked="false">
              <v:fill type="solid"/>
            </v:rect>
            <v:rect style="position:absolute;left:5112;top:2081;width:1956;height:700" filled="true" fillcolor="#000000" stroked="false">
              <v:fill type="solid"/>
            </v:rect>
            <v:rect style="position:absolute;left:2944;top:482;width:2973;height:700" filled="true" fillcolor="#ffffff" stroked="false">
              <v:fill type="solid"/>
            </v:rect>
            <v:line style="position:absolute" from="5919,825" to="6272,825" stroked="true" strokeweight="1.919pt" strokecolor="#000000">
              <v:stroke dashstyle="solid"/>
            </v:line>
            <v:shape style="position:absolute;left:3777;top:1783;width:4567;height:349" coordorigin="3777,1784" coordsize="4567,349" path="m3777,2132l3777,1784,8343,1784,8343,2113e" filled="false" stroked="true" strokeweight="1.919pt" strokecolor="#000000">
              <v:path arrowok="t"/>
              <v:stroke dashstyle="solid"/>
            </v:shape>
            <v:line style="position:absolute" from="6076,839" to="6076,2094" stroked="true" strokeweight="1.919pt" strokecolor="#000000">
              <v:stroke dashstyle="solid"/>
            </v:line>
            <v:shape style="position:absolute;left:3826;top:748;width:1160;height:170" type="#_x0000_t75" stroked="false">
              <v:imagedata r:id="rId49" o:title=""/>
            </v:shape>
            <v:shape style="position:absolute;left:6923;top:746;width:1667;height:172" type="#_x0000_t75" stroked="false">
              <v:imagedata r:id="rId50" o:title=""/>
            </v:shape>
            <v:shape style="position:absolute;left:5837;top:2363;width:312;height:135" type="#_x0000_t75" stroked="false">
              <v:imagedata r:id="rId51" o:title=""/>
            </v:shape>
            <v:shape style="position:absolute;left:6209;top:2371;width:75;height:125" coordorigin="6209,2372" coordsize="75,125" path="m6272,2382l6258,2382,6267,2391,6267,2404,6265,2416,6258,2429,6248,2442,6238,2454,6209,2485,6209,2496,6283,2496,6283,2485,6224,2485,6247,2461,6259,2447,6269,2433,6277,2418,6280,2404,6278,2389,6272,2382xm6245,2372l6235,2372,6223,2375,6214,2380,6216,2391,6226,2385,6234,2382,6272,2382,6270,2379,6259,2373,6245,2372xe" filled="true" fillcolor="#ffffff" stroked="false">
              <v:path arrowok="t"/>
              <v:fill type="solid"/>
            </v:shape>
            <v:shape style="position:absolute;left:3567;top:2363;width:312;height:135" type="#_x0000_t75" stroked="false">
              <v:imagedata r:id="rId52" o:title=""/>
            </v:shape>
            <v:shape style="position:absolute;left:3952;top:2372;width:39;height:124" coordorigin="3952,2373" coordsize="39,124" path="m3991,2387l3979,2387,3979,2496,3991,2496,3991,2387xm3991,2373l3980,2373,3952,2396,3959,2404,3979,2387,3991,2387,3991,2373xe" filled="true" fillcolor="#ffffff" stroked="false">
              <v:path arrowok="t"/>
              <v:fill type="solid"/>
            </v:shape>
            <v:shape style="position:absolute;left:8129;top:2363;width:312;height:135" type="#_x0000_t75" stroked="false">
              <v:imagedata r:id="rId53" o:title=""/>
            </v:shape>
            <v:shape style="position:absolute;left:8501;top:2371;width:75;height:126" coordorigin="8502,2372" coordsize="75,126" path="m8503,2481l8502,2492,8512,2496,8522,2497,8532,2497,8550,2495,8564,2488,8565,2487,8524,2487,8513,2485,8503,2481xm8568,2382l8549,2382,8564,2388,8564,2402,8560,2416,8550,2423,8536,2426,8523,2427,8519,2427,8519,2437,8531,2437,8542,2438,8553,2441,8561,2448,8564,2461,8562,2473,8554,2481,8544,2485,8533,2487,8565,2487,8573,2477,8577,2462,8577,2445,8567,2433,8551,2432,8551,2432,8566,2428,8577,2417,8577,2402,8573,2388,8568,2382xm8537,2372l8527,2372,8517,2374,8508,2377,8509,2389,8517,2385,8526,2382,8568,2382,8565,2379,8552,2373,8537,2372xe" filled="true" fillcolor="#ffffff" stroked="false">
              <v:path arrowok="t"/>
              <v:fill type="solid"/>
            </v:shape>
            <w10:wrap type="topAndBottom"/>
          </v:group>
        </w:pict>
      </w:r>
    </w:p>
    <w:p>
      <w:pPr>
        <w:pStyle w:val="ListParagraph"/>
        <w:numPr>
          <w:ilvl w:val="1"/>
          <w:numId w:val="22"/>
        </w:numPr>
        <w:tabs>
          <w:tab w:pos="2381" w:val="left" w:leader="none"/>
          <w:tab w:pos="2382" w:val="left" w:leader="none"/>
        </w:tabs>
        <w:spacing w:line="242" w:lineRule="auto" w:before="194" w:after="0"/>
        <w:ind w:left="2380" w:right="1964" w:hanging="793"/>
        <w:jc w:val="left"/>
        <w:rPr>
          <w:sz w:val="21"/>
        </w:rPr>
      </w:pPr>
      <w:r>
        <w:rPr>
          <w:sz w:val="21"/>
        </w:rPr>
        <w:t>In the </w:t>
      </w:r>
      <w:r>
        <w:rPr>
          <w:spacing w:val="-3"/>
          <w:sz w:val="21"/>
        </w:rPr>
        <w:t>situation illustrated </w:t>
      </w:r>
      <w:r>
        <w:rPr>
          <w:sz w:val="21"/>
        </w:rPr>
        <w:t>by </w:t>
      </w:r>
      <w:r>
        <w:rPr>
          <w:rFonts w:ascii="Lucida Sans" w:hAnsi="Lucida Sans"/>
          <w:b/>
          <w:sz w:val="21"/>
        </w:rPr>
        <w:t>Figure </w:t>
      </w:r>
      <w:r>
        <w:rPr>
          <w:rFonts w:ascii="Lucida Sans" w:hAnsi="Lucida Sans"/>
          <w:b/>
          <w:spacing w:val="-4"/>
          <w:sz w:val="21"/>
        </w:rPr>
        <w:t>3</w:t>
      </w:r>
      <w:r>
        <w:rPr>
          <w:spacing w:val="-4"/>
          <w:sz w:val="21"/>
        </w:rPr>
        <w:t>, </w:t>
      </w:r>
      <w:r>
        <w:rPr>
          <w:sz w:val="21"/>
        </w:rPr>
        <w:t>the deceased </w:t>
      </w:r>
      <w:r>
        <w:rPr>
          <w:spacing w:val="-3"/>
          <w:sz w:val="21"/>
        </w:rPr>
        <w:t>person’s children </w:t>
      </w:r>
      <w:r>
        <w:rPr>
          <w:sz w:val="21"/>
        </w:rPr>
        <w:t>would </w:t>
      </w:r>
      <w:r>
        <w:rPr>
          <w:spacing w:val="-3"/>
          <w:sz w:val="21"/>
        </w:rPr>
        <w:t>all </w:t>
      </w:r>
      <w:r>
        <w:rPr>
          <w:sz w:val="21"/>
        </w:rPr>
        <w:t>be entitled </w:t>
      </w:r>
      <w:r>
        <w:rPr>
          <w:spacing w:val="-3"/>
          <w:sz w:val="21"/>
        </w:rPr>
        <w:t>to </w:t>
      </w:r>
      <w:r>
        <w:rPr>
          <w:sz w:val="21"/>
        </w:rPr>
        <w:t>a </w:t>
      </w:r>
      <w:r>
        <w:rPr>
          <w:spacing w:val="-3"/>
          <w:sz w:val="21"/>
        </w:rPr>
        <w:t>share </w:t>
      </w:r>
      <w:r>
        <w:rPr>
          <w:sz w:val="21"/>
        </w:rPr>
        <w:t>on </w:t>
      </w:r>
      <w:r>
        <w:rPr>
          <w:spacing w:val="-3"/>
          <w:sz w:val="21"/>
        </w:rPr>
        <w:t>intestacy, </w:t>
      </w:r>
      <w:r>
        <w:rPr>
          <w:sz w:val="21"/>
        </w:rPr>
        <w:t>because </w:t>
      </w:r>
      <w:r>
        <w:rPr>
          <w:spacing w:val="-3"/>
          <w:sz w:val="21"/>
        </w:rPr>
        <w:t>child </w:t>
      </w:r>
      <w:r>
        <w:rPr>
          <w:sz w:val="21"/>
        </w:rPr>
        <w:t>1 is a </w:t>
      </w:r>
      <w:r>
        <w:rPr>
          <w:spacing w:val="-3"/>
          <w:sz w:val="21"/>
        </w:rPr>
        <w:t>child </w:t>
      </w:r>
      <w:r>
        <w:rPr>
          <w:sz w:val="21"/>
        </w:rPr>
        <w:t>of the deceased </w:t>
      </w:r>
      <w:r>
        <w:rPr>
          <w:spacing w:val="-3"/>
          <w:sz w:val="21"/>
        </w:rPr>
        <w:t>person’s previous partner, </w:t>
      </w:r>
      <w:r>
        <w:rPr>
          <w:sz w:val="21"/>
        </w:rPr>
        <w:t>who is </w:t>
      </w:r>
      <w:r>
        <w:rPr>
          <w:spacing w:val="-2"/>
          <w:sz w:val="21"/>
        </w:rPr>
        <w:t>not </w:t>
      </w:r>
      <w:r>
        <w:rPr>
          <w:sz w:val="21"/>
        </w:rPr>
        <w:t>entitled </w:t>
      </w:r>
      <w:r>
        <w:rPr>
          <w:spacing w:val="-3"/>
          <w:sz w:val="21"/>
        </w:rPr>
        <w:t>to </w:t>
      </w:r>
      <w:r>
        <w:rPr>
          <w:sz w:val="21"/>
        </w:rPr>
        <w:t>a </w:t>
      </w:r>
      <w:r>
        <w:rPr>
          <w:spacing w:val="-3"/>
          <w:sz w:val="21"/>
        </w:rPr>
        <w:t>share </w:t>
      </w:r>
      <w:r>
        <w:rPr>
          <w:sz w:val="21"/>
        </w:rPr>
        <w:t>on </w:t>
      </w:r>
      <w:r>
        <w:rPr>
          <w:spacing w:val="-3"/>
          <w:sz w:val="21"/>
        </w:rPr>
        <w:t>intestacy. </w:t>
      </w:r>
      <w:r>
        <w:rPr>
          <w:sz w:val="21"/>
        </w:rPr>
        <w:t>In this </w:t>
      </w:r>
      <w:r>
        <w:rPr>
          <w:spacing w:val="-3"/>
          <w:sz w:val="21"/>
        </w:rPr>
        <w:t>situation, all </w:t>
      </w:r>
      <w:r>
        <w:rPr>
          <w:sz w:val="21"/>
        </w:rPr>
        <w:t>of the deceased </w:t>
      </w:r>
      <w:r>
        <w:rPr>
          <w:spacing w:val="-3"/>
          <w:sz w:val="21"/>
        </w:rPr>
        <w:t>person’s children are </w:t>
      </w:r>
      <w:r>
        <w:rPr>
          <w:sz w:val="21"/>
        </w:rPr>
        <w:t>entitled </w:t>
      </w:r>
      <w:r>
        <w:rPr>
          <w:spacing w:val="-3"/>
          <w:sz w:val="21"/>
        </w:rPr>
        <w:t>to </w:t>
      </w:r>
      <w:r>
        <w:rPr>
          <w:sz w:val="21"/>
        </w:rPr>
        <w:t>a </w:t>
      </w:r>
      <w:r>
        <w:rPr>
          <w:spacing w:val="-3"/>
          <w:sz w:val="21"/>
        </w:rPr>
        <w:t>share </w:t>
      </w:r>
      <w:r>
        <w:rPr>
          <w:sz w:val="21"/>
        </w:rPr>
        <w:t>on </w:t>
      </w:r>
      <w:r>
        <w:rPr>
          <w:spacing w:val="-3"/>
          <w:sz w:val="21"/>
        </w:rPr>
        <w:t>intestacy. </w:t>
      </w:r>
      <w:r>
        <w:rPr>
          <w:sz w:val="21"/>
        </w:rPr>
        <w:t>The deceased </w:t>
      </w:r>
      <w:r>
        <w:rPr>
          <w:spacing w:val="-3"/>
          <w:sz w:val="21"/>
        </w:rPr>
        <w:t>person’s </w:t>
      </w:r>
      <w:r>
        <w:rPr>
          <w:sz w:val="21"/>
        </w:rPr>
        <w:t>partner</w:t>
      </w:r>
      <w:r>
        <w:rPr>
          <w:spacing w:val="10"/>
          <w:sz w:val="21"/>
        </w:rPr>
        <w:t> </w:t>
      </w:r>
      <w:r>
        <w:rPr>
          <w:sz w:val="21"/>
        </w:rPr>
        <w:t>at</w:t>
      </w:r>
      <w:r>
        <w:rPr>
          <w:spacing w:val="11"/>
          <w:sz w:val="21"/>
        </w:rPr>
        <w:t> </w:t>
      </w:r>
      <w:r>
        <w:rPr>
          <w:sz w:val="21"/>
        </w:rPr>
        <w:t>the</w:t>
      </w:r>
      <w:r>
        <w:rPr>
          <w:spacing w:val="10"/>
          <w:sz w:val="21"/>
        </w:rPr>
        <w:t> </w:t>
      </w:r>
      <w:r>
        <w:rPr>
          <w:sz w:val="21"/>
        </w:rPr>
        <w:t>time</w:t>
      </w:r>
      <w:r>
        <w:rPr>
          <w:spacing w:val="11"/>
          <w:sz w:val="21"/>
        </w:rPr>
        <w:t> </w:t>
      </w:r>
      <w:r>
        <w:rPr>
          <w:sz w:val="21"/>
        </w:rPr>
        <w:t>of</w:t>
      </w:r>
      <w:r>
        <w:rPr>
          <w:spacing w:val="10"/>
          <w:sz w:val="21"/>
        </w:rPr>
        <w:t> </w:t>
      </w:r>
      <w:r>
        <w:rPr>
          <w:sz w:val="21"/>
        </w:rPr>
        <w:t>the</w:t>
      </w:r>
      <w:r>
        <w:rPr>
          <w:spacing w:val="11"/>
          <w:sz w:val="21"/>
        </w:rPr>
        <w:t> </w:t>
      </w:r>
      <w:r>
        <w:rPr>
          <w:sz w:val="21"/>
        </w:rPr>
        <w:t>deceased</w:t>
      </w:r>
      <w:r>
        <w:rPr>
          <w:spacing w:val="11"/>
          <w:sz w:val="21"/>
        </w:rPr>
        <w:t> </w:t>
      </w:r>
      <w:r>
        <w:rPr>
          <w:spacing w:val="-3"/>
          <w:sz w:val="21"/>
        </w:rPr>
        <w:t>person’s</w:t>
      </w:r>
      <w:r>
        <w:rPr>
          <w:spacing w:val="10"/>
          <w:sz w:val="21"/>
        </w:rPr>
        <w:t> </w:t>
      </w:r>
      <w:r>
        <w:rPr>
          <w:sz w:val="21"/>
        </w:rPr>
        <w:t>death</w:t>
      </w:r>
      <w:r>
        <w:rPr>
          <w:spacing w:val="11"/>
          <w:sz w:val="21"/>
        </w:rPr>
        <w:t> </w:t>
      </w:r>
      <w:r>
        <w:rPr>
          <w:sz w:val="21"/>
        </w:rPr>
        <w:t>would</w:t>
      </w:r>
      <w:r>
        <w:rPr>
          <w:spacing w:val="10"/>
          <w:sz w:val="21"/>
        </w:rPr>
        <w:t> </w:t>
      </w:r>
      <w:r>
        <w:rPr>
          <w:sz w:val="21"/>
        </w:rPr>
        <w:t>be</w:t>
      </w:r>
      <w:r>
        <w:rPr>
          <w:spacing w:val="11"/>
          <w:sz w:val="21"/>
        </w:rPr>
        <w:t> </w:t>
      </w:r>
      <w:r>
        <w:rPr>
          <w:sz w:val="21"/>
        </w:rPr>
        <w:t>entitled</w:t>
      </w:r>
      <w:r>
        <w:rPr>
          <w:spacing w:val="10"/>
          <w:sz w:val="21"/>
        </w:rPr>
        <w:t> </w:t>
      </w:r>
      <w:r>
        <w:rPr>
          <w:sz w:val="21"/>
        </w:rPr>
        <w:t>to:</w:t>
      </w:r>
    </w:p>
    <w:p>
      <w:pPr>
        <w:pStyle w:val="ListParagraph"/>
        <w:numPr>
          <w:ilvl w:val="2"/>
          <w:numId w:val="22"/>
        </w:numPr>
        <w:tabs>
          <w:tab w:pos="2721" w:val="left" w:leader="none"/>
          <w:tab w:pos="2722" w:val="left" w:leader="none"/>
        </w:tabs>
        <w:spacing w:line="240" w:lineRule="auto" w:before="125" w:after="0"/>
        <w:ind w:left="2721" w:right="0" w:hanging="341"/>
        <w:jc w:val="left"/>
        <w:rPr>
          <w:sz w:val="21"/>
        </w:rPr>
      </w:pPr>
      <w:r>
        <w:rPr>
          <w:sz w:val="21"/>
        </w:rPr>
        <w:t>the deceased </w:t>
      </w:r>
      <w:r>
        <w:rPr>
          <w:spacing w:val="-3"/>
          <w:sz w:val="21"/>
        </w:rPr>
        <w:t>person’s </w:t>
      </w:r>
      <w:r>
        <w:rPr>
          <w:sz w:val="21"/>
        </w:rPr>
        <w:t>personal</w:t>
      </w:r>
      <w:r>
        <w:rPr>
          <w:spacing w:val="37"/>
          <w:sz w:val="21"/>
        </w:rPr>
        <w:t> </w:t>
      </w:r>
      <w:r>
        <w:rPr>
          <w:spacing w:val="-3"/>
          <w:sz w:val="21"/>
        </w:rPr>
        <w:t>chattels</w:t>
      </w:r>
    </w:p>
    <w:p>
      <w:pPr>
        <w:pStyle w:val="ListParagraph"/>
        <w:numPr>
          <w:ilvl w:val="2"/>
          <w:numId w:val="22"/>
        </w:numPr>
        <w:tabs>
          <w:tab w:pos="2721" w:val="left" w:leader="none"/>
          <w:tab w:pos="2722" w:val="left" w:leader="none"/>
        </w:tabs>
        <w:spacing w:line="240" w:lineRule="auto" w:before="124" w:after="0"/>
        <w:ind w:left="2721" w:right="0" w:hanging="341"/>
        <w:jc w:val="left"/>
        <w:rPr>
          <w:sz w:val="21"/>
        </w:rPr>
      </w:pPr>
      <w:r>
        <w:rPr>
          <w:w w:val="105"/>
          <w:sz w:val="21"/>
        </w:rPr>
        <w:t>a statutory legacy of </w:t>
      </w:r>
      <w:r>
        <w:rPr>
          <w:spacing w:val="-3"/>
          <w:w w:val="105"/>
          <w:sz w:val="21"/>
        </w:rPr>
        <w:t>$350,000, </w:t>
      </w:r>
      <w:r>
        <w:rPr>
          <w:w w:val="105"/>
          <w:sz w:val="21"/>
        </w:rPr>
        <w:t>adjusted </w:t>
      </w:r>
      <w:r>
        <w:rPr>
          <w:spacing w:val="-3"/>
          <w:w w:val="105"/>
          <w:sz w:val="21"/>
        </w:rPr>
        <w:t>to </w:t>
      </w:r>
      <w:r>
        <w:rPr>
          <w:w w:val="105"/>
          <w:sz w:val="21"/>
        </w:rPr>
        <w:t>reflect </w:t>
      </w:r>
      <w:r>
        <w:rPr>
          <w:spacing w:val="-3"/>
          <w:w w:val="105"/>
          <w:sz w:val="21"/>
        </w:rPr>
        <w:t>changes</w:t>
      </w:r>
      <w:r>
        <w:rPr>
          <w:spacing w:val="11"/>
          <w:w w:val="105"/>
          <w:sz w:val="21"/>
        </w:rPr>
        <w:t> </w:t>
      </w:r>
      <w:r>
        <w:rPr>
          <w:w w:val="105"/>
          <w:sz w:val="21"/>
        </w:rPr>
        <w:t>in the </w:t>
      </w:r>
      <w:r>
        <w:rPr>
          <w:spacing w:val="-3"/>
          <w:w w:val="105"/>
          <w:sz w:val="21"/>
        </w:rPr>
        <w:t>CPI</w:t>
      </w:r>
    </w:p>
    <w:p>
      <w:pPr>
        <w:pStyle w:val="ListParagraph"/>
        <w:numPr>
          <w:ilvl w:val="2"/>
          <w:numId w:val="22"/>
        </w:numPr>
        <w:tabs>
          <w:tab w:pos="2721" w:val="left" w:leader="none"/>
          <w:tab w:pos="2722" w:val="left" w:leader="none"/>
        </w:tabs>
        <w:spacing w:line="240" w:lineRule="auto" w:before="124" w:after="0"/>
        <w:ind w:left="2721" w:right="0" w:hanging="341"/>
        <w:jc w:val="left"/>
        <w:rPr>
          <w:sz w:val="21"/>
        </w:rPr>
      </w:pPr>
      <w:r>
        <w:rPr>
          <w:spacing w:val="-3"/>
          <w:w w:val="105"/>
          <w:sz w:val="21"/>
        </w:rPr>
        <w:t>interest </w:t>
      </w:r>
      <w:r>
        <w:rPr>
          <w:w w:val="105"/>
          <w:sz w:val="21"/>
        </w:rPr>
        <w:t>on the statutory </w:t>
      </w:r>
      <w:r>
        <w:rPr>
          <w:spacing w:val="-3"/>
          <w:w w:val="105"/>
          <w:sz w:val="21"/>
        </w:rPr>
        <w:t>legacy, </w:t>
      </w:r>
      <w:r>
        <w:rPr>
          <w:w w:val="105"/>
          <w:sz w:val="21"/>
        </w:rPr>
        <w:t>if</w:t>
      </w:r>
      <w:r>
        <w:rPr>
          <w:spacing w:val="34"/>
          <w:w w:val="105"/>
          <w:sz w:val="21"/>
        </w:rPr>
        <w:t> </w:t>
      </w:r>
      <w:r>
        <w:rPr>
          <w:spacing w:val="-3"/>
          <w:w w:val="105"/>
          <w:sz w:val="21"/>
        </w:rPr>
        <w:t>applicable</w:t>
      </w:r>
    </w:p>
    <w:p>
      <w:pPr>
        <w:pStyle w:val="ListParagraph"/>
        <w:numPr>
          <w:ilvl w:val="2"/>
          <w:numId w:val="22"/>
        </w:numPr>
        <w:tabs>
          <w:tab w:pos="2721" w:val="left" w:leader="none"/>
          <w:tab w:pos="2722" w:val="left" w:leader="none"/>
        </w:tabs>
        <w:spacing w:line="240" w:lineRule="auto" w:before="124" w:after="0"/>
        <w:ind w:left="2721" w:right="0" w:hanging="341"/>
        <w:jc w:val="left"/>
        <w:rPr>
          <w:sz w:val="12"/>
        </w:rPr>
      </w:pPr>
      <w:r>
        <w:rPr>
          <w:w w:val="105"/>
          <w:sz w:val="21"/>
        </w:rPr>
        <w:t>one </w:t>
      </w:r>
      <w:r>
        <w:rPr>
          <w:spacing w:val="-3"/>
          <w:w w:val="105"/>
          <w:sz w:val="21"/>
        </w:rPr>
        <w:t>half </w:t>
      </w:r>
      <w:r>
        <w:rPr>
          <w:w w:val="105"/>
          <w:sz w:val="21"/>
        </w:rPr>
        <w:t>of the </w:t>
      </w:r>
      <w:r>
        <w:rPr>
          <w:spacing w:val="-3"/>
          <w:w w:val="105"/>
          <w:sz w:val="21"/>
        </w:rPr>
        <w:t>remainder </w:t>
      </w:r>
      <w:r>
        <w:rPr>
          <w:w w:val="105"/>
          <w:sz w:val="21"/>
        </w:rPr>
        <w:t>of the </w:t>
      </w:r>
      <w:r>
        <w:rPr>
          <w:spacing w:val="-3"/>
          <w:w w:val="105"/>
          <w:sz w:val="21"/>
        </w:rPr>
        <w:t>intestate</w:t>
      </w:r>
      <w:r>
        <w:rPr>
          <w:spacing w:val="42"/>
          <w:w w:val="105"/>
          <w:sz w:val="21"/>
        </w:rPr>
        <w:t> </w:t>
      </w:r>
      <w:r>
        <w:rPr>
          <w:w w:val="105"/>
          <w:sz w:val="21"/>
        </w:rPr>
        <w:t>estate.</w:t>
      </w:r>
      <w:r>
        <w:rPr>
          <w:w w:val="105"/>
          <w:position w:val="7"/>
          <w:sz w:val="12"/>
        </w:rPr>
        <w:t>228</w:t>
      </w:r>
    </w:p>
    <w:p>
      <w:pPr>
        <w:pStyle w:val="ListParagraph"/>
        <w:numPr>
          <w:ilvl w:val="1"/>
          <w:numId w:val="22"/>
        </w:numPr>
        <w:tabs>
          <w:tab w:pos="2380" w:val="left" w:leader="none"/>
          <w:tab w:pos="2381" w:val="left" w:leader="none"/>
        </w:tabs>
        <w:spacing w:line="242" w:lineRule="auto" w:before="123" w:after="0"/>
        <w:ind w:left="2381" w:right="1913" w:hanging="794"/>
        <w:jc w:val="left"/>
        <w:rPr>
          <w:sz w:val="21"/>
        </w:rPr>
      </w:pPr>
      <w:r>
        <w:rPr>
          <w:spacing w:val="-4"/>
          <w:w w:val="105"/>
          <w:sz w:val="21"/>
        </w:rPr>
        <w:t>Child </w:t>
      </w:r>
      <w:r>
        <w:rPr>
          <w:spacing w:val="-8"/>
          <w:w w:val="105"/>
          <w:sz w:val="21"/>
        </w:rPr>
        <w:t>1, </w:t>
      </w:r>
      <w:r>
        <w:rPr>
          <w:spacing w:val="-3"/>
          <w:w w:val="105"/>
          <w:sz w:val="21"/>
        </w:rPr>
        <w:t>child </w:t>
      </w:r>
      <w:r>
        <w:rPr>
          <w:spacing w:val="-4"/>
          <w:w w:val="105"/>
          <w:sz w:val="21"/>
        </w:rPr>
        <w:t>2, </w:t>
      </w:r>
      <w:r>
        <w:rPr>
          <w:spacing w:val="-3"/>
          <w:w w:val="105"/>
          <w:sz w:val="21"/>
        </w:rPr>
        <w:t>child </w:t>
      </w:r>
      <w:r>
        <w:rPr>
          <w:w w:val="105"/>
          <w:sz w:val="21"/>
        </w:rPr>
        <w:t>3 and </w:t>
      </w:r>
      <w:r>
        <w:rPr>
          <w:spacing w:val="-3"/>
          <w:w w:val="105"/>
          <w:sz w:val="21"/>
        </w:rPr>
        <w:t>child </w:t>
      </w:r>
      <w:r>
        <w:rPr>
          <w:w w:val="105"/>
          <w:sz w:val="21"/>
        </w:rPr>
        <w:t>4 would </w:t>
      </w:r>
      <w:r>
        <w:rPr>
          <w:spacing w:val="-3"/>
          <w:w w:val="105"/>
          <w:sz w:val="21"/>
        </w:rPr>
        <w:t>share </w:t>
      </w:r>
      <w:r>
        <w:rPr>
          <w:w w:val="105"/>
          <w:sz w:val="21"/>
        </w:rPr>
        <w:t>the </w:t>
      </w:r>
      <w:r>
        <w:rPr>
          <w:spacing w:val="-3"/>
          <w:w w:val="105"/>
          <w:sz w:val="21"/>
        </w:rPr>
        <w:t>remaining </w:t>
      </w:r>
      <w:r>
        <w:rPr>
          <w:w w:val="105"/>
          <w:sz w:val="21"/>
        </w:rPr>
        <w:t>one </w:t>
      </w:r>
      <w:r>
        <w:rPr>
          <w:spacing w:val="-3"/>
          <w:w w:val="105"/>
          <w:sz w:val="21"/>
        </w:rPr>
        <w:t>half </w:t>
      </w:r>
      <w:r>
        <w:rPr>
          <w:w w:val="105"/>
          <w:sz w:val="21"/>
        </w:rPr>
        <w:t>of the </w:t>
      </w:r>
      <w:r>
        <w:rPr>
          <w:spacing w:val="-3"/>
          <w:w w:val="105"/>
          <w:sz w:val="21"/>
        </w:rPr>
        <w:t>intestate </w:t>
      </w:r>
      <w:r>
        <w:rPr>
          <w:w w:val="105"/>
          <w:sz w:val="21"/>
        </w:rPr>
        <w:t>estate in equal</w:t>
      </w:r>
      <w:r>
        <w:rPr>
          <w:spacing w:val="14"/>
          <w:w w:val="105"/>
          <w:sz w:val="21"/>
        </w:rPr>
        <w:t> </w:t>
      </w:r>
      <w:r>
        <w:rPr>
          <w:spacing w:val="-3"/>
          <w:w w:val="105"/>
          <w:sz w:val="21"/>
        </w:rPr>
        <w:t>shares.</w:t>
      </w:r>
    </w:p>
    <w:p>
      <w:pPr>
        <w:pStyle w:val="Heading6"/>
        <w:spacing w:line="232" w:lineRule="auto" w:before="119"/>
        <w:ind w:right="2318"/>
        <w:rPr>
          <w:rFonts w:ascii="Calibri"/>
        </w:rPr>
      </w:pPr>
      <w:r>
        <w:rPr>
          <w:rFonts w:ascii="Calibri"/>
          <w:color w:val="F18C84"/>
          <w:w w:val="115"/>
        </w:rPr>
        <w:t>Figure 3: Survived by a partner and by children of both that relationship and a previous relationship</w:t>
      </w:r>
    </w:p>
    <w:p>
      <w:pPr>
        <w:pStyle w:val="BodyText"/>
        <w:spacing w:before="4"/>
        <w:rPr>
          <w:sz w:val="9"/>
        </w:rPr>
      </w:pPr>
      <w:r>
        <w:rPr/>
        <w:pict>
          <v:group style="position:absolute;margin-left:79.371002pt;margin-top:7.675436pt;width:436.55pt;height:104.75pt;mso-position-horizontal-relative:page;mso-position-vertical-relative:paragraph;z-index:5528;mso-wrap-distance-left:0;mso-wrap-distance-right:0" coordorigin="1587,154" coordsize="8731,2095">
            <v:rect style="position:absolute;left:1587;top:153;width:8731;height:2095" filled="true" fillcolor="#ec5a4f" stroked="false">
              <v:fill type="solid"/>
            </v:rect>
            <v:shape style="position:absolute;left:5695;top:384;width:4329;height:481" type="#_x0000_t75" stroked="false">
              <v:imagedata r:id="rId54" o:title=""/>
            </v:shape>
            <v:rect style="position:absolute;left:1802;top:384;width:2043;height:481" filled="true" fillcolor="#000000" stroked="false">
              <v:fill type="solid"/>
            </v:rect>
            <v:shape style="position:absolute;left:2183;top:536;width:569;height:167" type="#_x0000_t75" stroked="false">
              <v:imagedata r:id="rId55" o:title=""/>
            </v:shape>
            <v:shape style="position:absolute;left:2809;top:549;width:502;height:153" type="#_x0000_t75" stroked="false">
              <v:imagedata r:id="rId56" o:title=""/>
            </v:shape>
            <v:rect style="position:absolute;left:5629;top:1483;width:1344;height:481" filled="true" fillcolor="#000000" stroked="false">
              <v:fill type="solid"/>
            </v:rect>
            <v:rect style="position:absolute;left:4066;top:1483;width:1344;height:481" filled="true" fillcolor="#000000" stroked="false">
              <v:fill type="solid"/>
            </v:rect>
            <v:rect style="position:absolute;left:8741;top:1483;width:1344;height:481" filled="true" fillcolor="#000000" stroked="false">
              <v:fill type="solid"/>
            </v:rect>
            <v:shape style="position:absolute;left:9185;top:1641;width:312;height:135" type="#_x0000_t75" stroked="false">
              <v:imagedata r:id="rId57" o:title=""/>
            </v:shape>
            <v:shape style="position:absolute;left:9552;top:1650;width:90;height:124" coordorigin="9552,1651" coordsize="90,124" path="m9623,1746l9611,1746,9611,1774,9623,1774,9623,1746xm9623,1651l9608,1651,9552,1734,9552,1746,9642,1746,9642,1735,9564,1735,9611,1663,9623,1663,9623,1651xm9623,1663l9611,1663,9611,1735,9623,1735,9623,1663xe" filled="true" fillcolor="#ffffff" stroked="false">
              <v:path arrowok="t"/>
              <v:fill type="solid"/>
            </v:shape>
            <v:rect style="position:absolute;left:7185;top:1483;width:1344;height:481" filled="true" fillcolor="#000000" stroked="false">
              <v:fill type="solid"/>
            </v:rect>
            <v:shape style="position:absolute;left:6078;top:1647;width:312;height:135" type="#_x0000_t75" stroked="false">
              <v:imagedata r:id="rId58" o:title=""/>
            </v:shape>
            <v:shape style="position:absolute;left:6450;top:1655;width:75;height:125" coordorigin="6450,1655" coordsize="75,125" path="m6513,1666l6499,1666,6508,1675,6508,1688,6506,1700,6499,1712,6489,1725,6478,1738,6450,1769,6450,1780,6524,1780,6524,1769,6465,1769,6487,1745,6499,1731,6510,1716,6518,1702,6521,1687,6519,1673,6513,1666xm6486,1655l6476,1655,6464,1659,6455,1663,6457,1675,6466,1669,6475,1666,6513,1666,6511,1663,6500,1657,6486,1655xe" filled="true" fillcolor="#ffffff" stroked="false">
              <v:path arrowok="t"/>
              <v:fill type="solid"/>
            </v:shape>
            <v:shape style="position:absolute;left:4520;top:1641;width:312;height:135" type="#_x0000_t75" stroked="false">
              <v:imagedata r:id="rId59" o:title=""/>
            </v:shape>
            <v:shape style="position:absolute;left:4905;top:1650;width:39;height:124" coordorigin="4905,1651" coordsize="39,124" path="m4944,1664l4932,1664,4932,1774,4944,1774,4944,1664xm4944,1651l4933,1651,4905,1674,4912,1682,4932,1664,4944,1664,4944,1651xe" filled="true" fillcolor="#ffffff" stroked="false">
              <v:path arrowok="t"/>
              <v:fill type="solid"/>
            </v:shape>
            <v:shape style="position:absolute;left:7633;top:1641;width:312;height:135" type="#_x0000_t75" stroked="false">
              <v:imagedata r:id="rId60" o:title=""/>
            </v:shape>
            <v:shape style="position:absolute;left:8005;top:1649;width:75;height:126" coordorigin="8006,1649" coordsize="75,126" path="m8007,1759l8006,1770,8016,1774,8026,1775,8036,1775,8054,1773,8068,1766,8069,1765,8028,1765,8017,1763,8007,1759xm8072,1660l8054,1660,8069,1666,8069,1680,8064,1694,8054,1701,8040,1704,8027,1705,8024,1705,8024,1715,8035,1715,8046,1716,8057,1719,8065,1726,8069,1739,8066,1751,8058,1759,8048,1763,8037,1765,8069,1765,8077,1755,8081,1740,8081,1723,8072,1711,8055,1710,8055,1710,8070,1706,8081,1695,8081,1680,8078,1666,8072,1660xm8042,1649l8031,1649,8021,1652,8012,1655,8013,1667,8021,1663,8031,1660,8072,1660,8069,1657,8056,1651,8042,1649xe" filled="true" fillcolor="#ffffff" stroked="false">
              <v:path arrowok="t"/>
              <v:fill type="solid"/>
            </v:shape>
            <v:shape style="position:absolute;left:6277;top:1270;width:3139;height:240" coordorigin="6278,1270" coordsize="3139,240" path="m6278,1510l6278,1270,9416,1270,9416,1496e" filled="false" stroked="true" strokeweight="1.319pt" strokecolor="#000000">
              <v:path arrowok="t"/>
              <v:stroke dashstyle="solid"/>
            </v:shape>
            <v:line style="position:absolute" from="7857,620" to="7857,1483" stroked="true" strokeweight="1.319pt" strokecolor="#000000">
              <v:stroke dashstyle="solid"/>
            </v:line>
            <v:line style="position:absolute" from="3812,606" to="3812,633" stroked="true" strokeweight=".659pt" strokecolor="#000000">
              <v:stroke dashstyle="solid"/>
            </v:line>
            <v:line style="position:absolute" from="3844,619" to="3936,619" stroked="true" strokeweight="1.319pt" strokecolor="#000000">
              <v:stroke dashstyle="shortdot"/>
            </v:line>
            <v:line style="position:absolute" from="3949,619" to="5662,619" stroked="true" strokeweight="1.319pt" strokecolor="#000000">
              <v:stroke dashstyle="shortdot"/>
            </v:line>
            <v:line style="position:absolute" from="5682,606" to="5682,633" stroked="true" strokeweight=".659pt" strokecolor="#000000">
              <v:stroke dashstyle="solid"/>
            </v:line>
            <v:line style="position:absolute" from="4745,620" to="4745,1483" stroked="true" strokeweight="1.319pt" strokecolor="#000000">
              <v:stroke dashstyle="solid"/>
            </v:lin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8"/>
        </w:rPr>
      </w:pPr>
      <w:r>
        <w:rPr/>
        <w:pict>
          <v:line style="position:absolute;mso-position-horizontal-relative:page;mso-position-vertical-relative:paragraph;z-index:5552;mso-wrap-distance-left:0;mso-wrap-distance-right:0" from="79.370102pt,14.010412pt" to="515.905102pt,14.010412pt" stroked="true" strokeweight="1pt" strokecolor="#f9ceca">
            <v:stroke dashstyle="solid"/>
            <w10:wrap type="topAndBottom"/>
          </v:line>
        </w:pict>
      </w:r>
    </w:p>
    <w:p>
      <w:pPr>
        <w:tabs>
          <w:tab w:pos="2380" w:val="left" w:leader="none"/>
        </w:tabs>
        <w:spacing w:before="117"/>
        <w:ind w:left="2381" w:right="2289" w:hanging="794"/>
        <w:jc w:val="left"/>
        <w:rPr>
          <w:sz w:val="13"/>
        </w:rPr>
      </w:pPr>
      <w:r>
        <w:rPr>
          <w:w w:val="105"/>
          <w:sz w:val="13"/>
        </w:rPr>
        <w:t>228</w:t>
        <w:tab/>
        <w:t>See above at </w:t>
      </w:r>
      <w:r>
        <w:rPr>
          <w:spacing w:val="3"/>
          <w:w w:val="105"/>
          <w:sz w:val="13"/>
        </w:rPr>
        <w:t>[5.65]–[5.66], </w:t>
      </w:r>
      <w:r>
        <w:rPr>
          <w:w w:val="105"/>
          <w:sz w:val="13"/>
        </w:rPr>
        <w:t>[5.69] and </w:t>
      </w:r>
      <w:r>
        <w:rPr>
          <w:spacing w:val="3"/>
          <w:w w:val="105"/>
          <w:sz w:val="13"/>
        </w:rPr>
        <w:t>[5.88], </w:t>
      </w:r>
      <w:r>
        <w:rPr>
          <w:w w:val="105"/>
          <w:sz w:val="13"/>
        </w:rPr>
        <w:t>where the Commission makes recommendations in relation to the partner’s share</w:t>
      </w:r>
      <w:r>
        <w:rPr>
          <w:spacing w:val="30"/>
          <w:w w:val="105"/>
          <w:sz w:val="13"/>
        </w:rPr>
        <w:t> </w:t>
      </w:r>
      <w:r>
        <w:rPr>
          <w:w w:val="105"/>
          <w:sz w:val="13"/>
        </w:rPr>
        <w:t>of the intestate</w:t>
      </w:r>
      <w:r>
        <w:rPr>
          <w:spacing w:val="13"/>
          <w:w w:val="105"/>
          <w:sz w:val="13"/>
        </w:rPr>
        <w:t> </w:t>
      </w:r>
      <w:r>
        <w:rPr>
          <w:w w:val="105"/>
          <w:sz w:val="13"/>
        </w:rPr>
        <w:t>estate.</w:t>
      </w:r>
    </w:p>
    <w:p>
      <w:pPr>
        <w:spacing w:after="0"/>
        <w:jc w:val="left"/>
        <w:rPr>
          <w:sz w:val="13"/>
        </w:rPr>
        <w:sectPr>
          <w:pgSz w:w="11910" w:h="16840"/>
          <w:pgMar w:header="805" w:footer="0" w:top="1360" w:bottom="280" w:left="0" w:right="0"/>
        </w:sectPr>
      </w:pPr>
    </w:p>
    <w:p>
      <w:pPr>
        <w:pStyle w:val="BodyText"/>
        <w:spacing w:before="3"/>
      </w:pPr>
    </w:p>
    <w:p>
      <w:pPr>
        <w:spacing w:before="99"/>
        <w:ind w:left="1587" w:right="0" w:firstLine="0"/>
        <w:jc w:val="left"/>
        <w:rPr>
          <w:b/>
          <w:sz w:val="28"/>
        </w:rPr>
      </w:pPr>
      <w:bookmarkStart w:name="Per stirpes or per capita distribution" w:id="81"/>
      <w:bookmarkEnd w:id="81"/>
      <w:r>
        <w:rPr/>
      </w:r>
      <w:r>
        <w:rPr>
          <w:rFonts w:ascii="Trebuchet MS"/>
          <w:b/>
          <w:i/>
          <w:color w:val="EC5A4F"/>
          <w:w w:val="105"/>
          <w:sz w:val="28"/>
        </w:rPr>
        <w:t>Per stirpes </w:t>
      </w:r>
      <w:r>
        <w:rPr>
          <w:b/>
          <w:color w:val="EC5A4F"/>
          <w:w w:val="105"/>
          <w:sz w:val="28"/>
        </w:rPr>
        <w:t>or </w:t>
      </w:r>
      <w:r>
        <w:rPr>
          <w:rFonts w:ascii="Trebuchet MS"/>
          <w:b/>
          <w:i/>
          <w:color w:val="EC5A4F"/>
          <w:w w:val="105"/>
          <w:sz w:val="28"/>
        </w:rPr>
        <w:t>per capita </w:t>
      </w:r>
      <w:r>
        <w:rPr>
          <w:b/>
          <w:color w:val="EC5A4F"/>
          <w:w w:val="105"/>
          <w:sz w:val="28"/>
        </w:rPr>
        <w:t>distribution</w:t>
      </w:r>
    </w:p>
    <w:p>
      <w:pPr>
        <w:pStyle w:val="Heading5"/>
        <w:spacing w:before="166"/>
      </w:pPr>
      <w:bookmarkStart w:name="_TOC_250037" w:id="82"/>
      <w:bookmarkEnd w:id="82"/>
      <w:r>
        <w:rPr>
          <w:w w:val="115"/>
        </w:rPr>
        <w:t>Current law</w:t>
      </w:r>
    </w:p>
    <w:p>
      <w:pPr>
        <w:pStyle w:val="ListParagraph"/>
        <w:numPr>
          <w:ilvl w:val="1"/>
          <w:numId w:val="22"/>
        </w:numPr>
        <w:tabs>
          <w:tab w:pos="2381" w:val="left" w:leader="none"/>
          <w:tab w:pos="2382" w:val="left" w:leader="none"/>
        </w:tabs>
        <w:spacing w:line="242" w:lineRule="auto" w:before="138" w:after="0"/>
        <w:ind w:left="2381" w:right="1760" w:hanging="794"/>
        <w:jc w:val="left"/>
        <w:rPr>
          <w:sz w:val="21"/>
        </w:rPr>
      </w:pPr>
      <w:r>
        <w:rPr>
          <w:sz w:val="21"/>
        </w:rPr>
        <w:t>If a </w:t>
      </w:r>
      <w:r>
        <w:rPr>
          <w:spacing w:val="-3"/>
          <w:sz w:val="21"/>
        </w:rPr>
        <w:t>child </w:t>
      </w:r>
      <w:r>
        <w:rPr>
          <w:sz w:val="21"/>
        </w:rPr>
        <w:t>or </w:t>
      </w:r>
      <w:r>
        <w:rPr>
          <w:spacing w:val="-3"/>
          <w:sz w:val="21"/>
        </w:rPr>
        <w:t>sibling </w:t>
      </w:r>
      <w:r>
        <w:rPr>
          <w:sz w:val="21"/>
        </w:rPr>
        <w:t>of the deceased person would </w:t>
      </w:r>
      <w:r>
        <w:rPr>
          <w:spacing w:val="-3"/>
          <w:sz w:val="21"/>
        </w:rPr>
        <w:t>have </w:t>
      </w:r>
      <w:r>
        <w:rPr>
          <w:sz w:val="21"/>
        </w:rPr>
        <w:t>been entitled </w:t>
      </w:r>
      <w:r>
        <w:rPr>
          <w:spacing w:val="-3"/>
          <w:sz w:val="21"/>
        </w:rPr>
        <w:t>to </w:t>
      </w:r>
      <w:r>
        <w:rPr>
          <w:sz w:val="21"/>
        </w:rPr>
        <w:t>a </w:t>
      </w:r>
      <w:r>
        <w:rPr>
          <w:spacing w:val="-3"/>
          <w:sz w:val="21"/>
        </w:rPr>
        <w:t>share  </w:t>
      </w:r>
      <w:r>
        <w:rPr>
          <w:sz w:val="21"/>
        </w:rPr>
        <w:t>on </w:t>
      </w:r>
      <w:r>
        <w:rPr>
          <w:spacing w:val="-3"/>
          <w:sz w:val="21"/>
        </w:rPr>
        <w:t>intestacy, </w:t>
      </w:r>
      <w:r>
        <w:rPr>
          <w:sz w:val="21"/>
        </w:rPr>
        <w:t>but did </w:t>
      </w:r>
      <w:r>
        <w:rPr>
          <w:spacing w:val="-2"/>
          <w:sz w:val="21"/>
        </w:rPr>
        <w:t>not </w:t>
      </w:r>
      <w:r>
        <w:rPr>
          <w:sz w:val="21"/>
        </w:rPr>
        <w:t>survive the deceased person, their  </w:t>
      </w:r>
      <w:r>
        <w:rPr>
          <w:spacing w:val="-3"/>
          <w:sz w:val="21"/>
        </w:rPr>
        <w:t>children  are  </w:t>
      </w:r>
      <w:r>
        <w:rPr>
          <w:sz w:val="21"/>
        </w:rPr>
        <w:t>entitled  </w:t>
      </w:r>
      <w:r>
        <w:rPr>
          <w:spacing w:val="-3"/>
          <w:sz w:val="21"/>
        </w:rPr>
        <w:t>to  take </w:t>
      </w:r>
      <w:r>
        <w:rPr>
          <w:sz w:val="21"/>
        </w:rPr>
        <w:t>their </w:t>
      </w:r>
      <w:r>
        <w:rPr>
          <w:spacing w:val="-4"/>
          <w:sz w:val="21"/>
        </w:rPr>
        <w:t>share. </w:t>
      </w:r>
      <w:r>
        <w:rPr>
          <w:sz w:val="21"/>
        </w:rPr>
        <w:t>In Victoria, </w:t>
      </w:r>
      <w:r>
        <w:rPr>
          <w:spacing w:val="-3"/>
          <w:sz w:val="21"/>
        </w:rPr>
        <w:t>that person’s children take  </w:t>
      </w:r>
      <w:r>
        <w:rPr>
          <w:sz w:val="21"/>
        </w:rPr>
        <w:t>their </w:t>
      </w:r>
      <w:r>
        <w:rPr>
          <w:spacing w:val="-3"/>
          <w:sz w:val="21"/>
        </w:rPr>
        <w:t>share</w:t>
      </w:r>
      <w:r>
        <w:rPr>
          <w:spacing w:val="41"/>
          <w:sz w:val="21"/>
        </w:rPr>
        <w:t> </w:t>
      </w:r>
      <w:r>
        <w:rPr>
          <w:sz w:val="21"/>
        </w:rPr>
        <w:t>either </w:t>
      </w:r>
      <w:r>
        <w:rPr>
          <w:i/>
          <w:sz w:val="21"/>
        </w:rPr>
        <w:t>per stirpes </w:t>
      </w:r>
      <w:r>
        <w:rPr>
          <w:sz w:val="21"/>
        </w:rPr>
        <w:t>(by stock) or </w:t>
      </w:r>
      <w:r>
        <w:rPr>
          <w:i/>
          <w:sz w:val="21"/>
        </w:rPr>
        <w:t>per capita </w:t>
      </w:r>
      <w:r>
        <w:rPr>
          <w:sz w:val="21"/>
        </w:rPr>
        <w:t>(by</w:t>
      </w:r>
      <w:r>
        <w:rPr>
          <w:spacing w:val="32"/>
          <w:sz w:val="21"/>
        </w:rPr>
        <w:t> </w:t>
      </w:r>
      <w:r>
        <w:rPr>
          <w:sz w:val="21"/>
        </w:rPr>
        <w:t>head).</w:t>
      </w:r>
    </w:p>
    <w:p>
      <w:pPr>
        <w:pStyle w:val="ListParagraph"/>
        <w:numPr>
          <w:ilvl w:val="1"/>
          <w:numId w:val="22"/>
        </w:numPr>
        <w:tabs>
          <w:tab w:pos="2380" w:val="left" w:leader="none"/>
          <w:tab w:pos="2381" w:val="left" w:leader="none"/>
        </w:tabs>
        <w:spacing w:line="242" w:lineRule="auto" w:before="124" w:after="0"/>
        <w:ind w:left="2381" w:right="1590" w:hanging="794"/>
        <w:jc w:val="left"/>
        <w:rPr>
          <w:sz w:val="21"/>
        </w:rPr>
      </w:pPr>
      <w:r>
        <w:rPr>
          <w:w w:val="105"/>
          <w:sz w:val="21"/>
        </w:rPr>
        <w:t>If a </w:t>
      </w:r>
      <w:r>
        <w:rPr>
          <w:spacing w:val="-5"/>
          <w:w w:val="105"/>
          <w:sz w:val="21"/>
        </w:rPr>
        <w:t>child </w:t>
      </w:r>
      <w:r>
        <w:rPr>
          <w:spacing w:val="-3"/>
          <w:w w:val="105"/>
          <w:sz w:val="21"/>
        </w:rPr>
        <w:t>of </w:t>
      </w:r>
      <w:r>
        <w:rPr>
          <w:spacing w:val="-4"/>
          <w:w w:val="105"/>
          <w:sz w:val="21"/>
        </w:rPr>
        <w:t>the deceased </w:t>
      </w:r>
      <w:r>
        <w:rPr>
          <w:spacing w:val="-3"/>
          <w:w w:val="105"/>
          <w:sz w:val="21"/>
        </w:rPr>
        <w:t>person </w:t>
      </w:r>
      <w:r>
        <w:rPr>
          <w:spacing w:val="-5"/>
          <w:w w:val="105"/>
          <w:sz w:val="21"/>
        </w:rPr>
        <w:t>would have </w:t>
      </w:r>
      <w:r>
        <w:rPr>
          <w:spacing w:val="-3"/>
          <w:w w:val="105"/>
          <w:sz w:val="21"/>
        </w:rPr>
        <w:t>been </w:t>
      </w:r>
      <w:r>
        <w:rPr>
          <w:spacing w:val="-5"/>
          <w:w w:val="105"/>
          <w:sz w:val="21"/>
        </w:rPr>
        <w:t>entitled </w:t>
      </w:r>
      <w:r>
        <w:rPr>
          <w:spacing w:val="-4"/>
          <w:w w:val="105"/>
          <w:sz w:val="21"/>
        </w:rPr>
        <w:t>to </w:t>
      </w:r>
      <w:r>
        <w:rPr>
          <w:w w:val="105"/>
          <w:sz w:val="21"/>
        </w:rPr>
        <w:t>a </w:t>
      </w:r>
      <w:r>
        <w:rPr>
          <w:spacing w:val="-5"/>
          <w:w w:val="105"/>
          <w:sz w:val="21"/>
        </w:rPr>
        <w:t>share </w:t>
      </w:r>
      <w:r>
        <w:rPr>
          <w:w w:val="105"/>
          <w:sz w:val="21"/>
        </w:rPr>
        <w:t>on </w:t>
      </w:r>
      <w:r>
        <w:rPr>
          <w:spacing w:val="-4"/>
          <w:w w:val="105"/>
          <w:sz w:val="21"/>
        </w:rPr>
        <w:t>intestacy but did not survive the deceased person, </w:t>
      </w:r>
      <w:r>
        <w:rPr>
          <w:spacing w:val="-5"/>
          <w:w w:val="105"/>
          <w:sz w:val="21"/>
        </w:rPr>
        <w:t>leaving children </w:t>
      </w:r>
      <w:r>
        <w:rPr>
          <w:spacing w:val="-3"/>
          <w:w w:val="105"/>
          <w:sz w:val="21"/>
        </w:rPr>
        <w:t>who </w:t>
      </w:r>
      <w:r>
        <w:rPr>
          <w:spacing w:val="-4"/>
          <w:w w:val="105"/>
          <w:sz w:val="21"/>
        </w:rPr>
        <w:t>survive the deceased person, </w:t>
      </w:r>
      <w:r>
        <w:rPr>
          <w:spacing w:val="-5"/>
          <w:w w:val="105"/>
          <w:sz w:val="21"/>
        </w:rPr>
        <w:t>that </w:t>
      </w:r>
      <w:r>
        <w:rPr>
          <w:spacing w:val="-6"/>
          <w:w w:val="105"/>
          <w:sz w:val="21"/>
        </w:rPr>
        <w:t>child’s</w:t>
      </w:r>
      <w:r>
        <w:rPr>
          <w:spacing w:val="-11"/>
          <w:w w:val="105"/>
          <w:sz w:val="21"/>
        </w:rPr>
        <w:t> </w:t>
      </w:r>
      <w:r>
        <w:rPr>
          <w:spacing w:val="-5"/>
          <w:w w:val="105"/>
          <w:sz w:val="21"/>
        </w:rPr>
        <w:t>children—the</w:t>
      </w:r>
      <w:r>
        <w:rPr>
          <w:spacing w:val="-10"/>
          <w:w w:val="105"/>
          <w:sz w:val="21"/>
        </w:rPr>
        <w:t> </w:t>
      </w:r>
      <w:r>
        <w:rPr>
          <w:spacing w:val="-4"/>
          <w:w w:val="105"/>
          <w:sz w:val="21"/>
        </w:rPr>
        <w:t>deceased</w:t>
      </w:r>
      <w:r>
        <w:rPr>
          <w:spacing w:val="-10"/>
          <w:w w:val="105"/>
          <w:sz w:val="21"/>
        </w:rPr>
        <w:t> </w:t>
      </w:r>
      <w:r>
        <w:rPr>
          <w:spacing w:val="-5"/>
          <w:w w:val="105"/>
          <w:sz w:val="21"/>
        </w:rPr>
        <w:t>person’s</w:t>
      </w:r>
      <w:r>
        <w:rPr>
          <w:spacing w:val="-10"/>
          <w:w w:val="105"/>
          <w:sz w:val="21"/>
        </w:rPr>
        <w:t> </w:t>
      </w:r>
      <w:r>
        <w:rPr>
          <w:spacing w:val="-5"/>
          <w:w w:val="105"/>
          <w:sz w:val="21"/>
        </w:rPr>
        <w:t>grandchildren—take</w:t>
      </w:r>
      <w:r>
        <w:rPr>
          <w:spacing w:val="-10"/>
          <w:w w:val="105"/>
          <w:sz w:val="21"/>
        </w:rPr>
        <w:t> </w:t>
      </w:r>
      <w:r>
        <w:rPr>
          <w:spacing w:val="-5"/>
          <w:w w:val="105"/>
          <w:sz w:val="21"/>
        </w:rPr>
        <w:t>their</w:t>
      </w:r>
      <w:r>
        <w:rPr>
          <w:spacing w:val="-10"/>
          <w:w w:val="105"/>
          <w:sz w:val="21"/>
        </w:rPr>
        <w:t> </w:t>
      </w:r>
      <w:r>
        <w:rPr>
          <w:spacing w:val="-4"/>
          <w:w w:val="105"/>
          <w:sz w:val="21"/>
        </w:rPr>
        <w:t>deceased</w:t>
      </w:r>
      <w:r>
        <w:rPr>
          <w:spacing w:val="-10"/>
          <w:w w:val="105"/>
          <w:sz w:val="21"/>
        </w:rPr>
        <w:t> </w:t>
      </w:r>
      <w:r>
        <w:rPr>
          <w:spacing w:val="-5"/>
          <w:w w:val="105"/>
          <w:sz w:val="21"/>
        </w:rPr>
        <w:t>parent’s</w:t>
      </w:r>
      <w:r>
        <w:rPr>
          <w:spacing w:val="-10"/>
          <w:w w:val="105"/>
          <w:sz w:val="21"/>
        </w:rPr>
        <w:t> </w:t>
      </w:r>
      <w:r>
        <w:rPr>
          <w:spacing w:val="-5"/>
          <w:w w:val="105"/>
          <w:sz w:val="21"/>
        </w:rPr>
        <w:t>share</w:t>
      </w:r>
      <w:r>
        <w:rPr>
          <w:spacing w:val="-10"/>
          <w:w w:val="105"/>
          <w:sz w:val="21"/>
        </w:rPr>
        <w:t> </w:t>
      </w:r>
      <w:r>
        <w:rPr>
          <w:spacing w:val="-5"/>
          <w:w w:val="105"/>
          <w:sz w:val="21"/>
        </w:rPr>
        <w:t>as representatives.</w:t>
      </w:r>
      <w:r>
        <w:rPr>
          <w:spacing w:val="-5"/>
          <w:w w:val="105"/>
          <w:position w:val="7"/>
          <w:sz w:val="12"/>
        </w:rPr>
        <w:t>229 </w:t>
      </w:r>
      <w:r>
        <w:rPr>
          <w:spacing w:val="-5"/>
          <w:w w:val="105"/>
          <w:sz w:val="21"/>
        </w:rPr>
        <w:t>Distribution </w:t>
      </w:r>
      <w:r>
        <w:rPr>
          <w:spacing w:val="-4"/>
          <w:w w:val="105"/>
          <w:sz w:val="21"/>
        </w:rPr>
        <w:t>to the deceased </w:t>
      </w:r>
      <w:r>
        <w:rPr>
          <w:spacing w:val="-5"/>
          <w:w w:val="105"/>
          <w:sz w:val="21"/>
        </w:rPr>
        <w:t>person’s grandchildren </w:t>
      </w:r>
      <w:r>
        <w:rPr>
          <w:spacing w:val="-3"/>
          <w:w w:val="105"/>
          <w:sz w:val="21"/>
        </w:rPr>
        <w:t>in </w:t>
      </w:r>
      <w:r>
        <w:rPr>
          <w:spacing w:val="-5"/>
          <w:w w:val="105"/>
          <w:sz w:val="21"/>
        </w:rPr>
        <w:t>this</w:t>
      </w:r>
      <w:r>
        <w:rPr>
          <w:spacing w:val="-37"/>
          <w:w w:val="105"/>
          <w:sz w:val="21"/>
        </w:rPr>
        <w:t> </w:t>
      </w:r>
      <w:r>
        <w:rPr>
          <w:spacing w:val="-5"/>
          <w:w w:val="105"/>
          <w:sz w:val="21"/>
        </w:rPr>
        <w:t>circumstance</w:t>
      </w:r>
    </w:p>
    <w:p>
      <w:pPr>
        <w:pStyle w:val="BodyText"/>
        <w:spacing w:line="242" w:lineRule="auto" w:before="4"/>
        <w:ind w:left="2381" w:right="1588"/>
        <w:rPr>
          <w:sz w:val="12"/>
        </w:rPr>
      </w:pPr>
      <w:r>
        <w:rPr/>
        <w:t>is </w:t>
      </w:r>
      <w:r>
        <w:rPr>
          <w:i/>
        </w:rPr>
        <w:t>per stirpes</w:t>
      </w:r>
      <w:r>
        <w:rPr/>
        <w:t>—they share their deceased parent’s share equally between them, but do not become equal recipients with the deceased person’s surviving children.</w:t>
      </w:r>
      <w:r>
        <w:rPr>
          <w:position w:val="7"/>
          <w:sz w:val="12"/>
        </w:rPr>
        <w:t>230 </w:t>
      </w:r>
      <w:r>
        <w:rPr/>
        <w:t>Even if all of the deceased person’s children fail to survive the deceased person, leaving only grandchildren or other issue, those grandchildren or issue still only take </w:t>
      </w:r>
      <w:r>
        <w:rPr>
          <w:i/>
        </w:rPr>
        <w:t>per stirpes</w:t>
      </w:r>
      <w:r>
        <w:rPr/>
        <w:t>, as representatives.</w:t>
      </w:r>
      <w:r>
        <w:rPr>
          <w:position w:val="7"/>
          <w:sz w:val="12"/>
        </w:rPr>
        <w:t>231</w:t>
      </w:r>
    </w:p>
    <w:p>
      <w:pPr>
        <w:pStyle w:val="ListParagraph"/>
        <w:numPr>
          <w:ilvl w:val="1"/>
          <w:numId w:val="22"/>
        </w:numPr>
        <w:tabs>
          <w:tab w:pos="2381" w:val="left" w:leader="none"/>
          <w:tab w:pos="2382" w:val="left" w:leader="none"/>
        </w:tabs>
        <w:spacing w:line="242" w:lineRule="auto" w:before="125" w:after="0"/>
        <w:ind w:left="2381" w:right="1625" w:hanging="794"/>
        <w:jc w:val="left"/>
        <w:rPr>
          <w:sz w:val="12"/>
        </w:rPr>
      </w:pPr>
      <w:r>
        <w:rPr>
          <w:w w:val="105"/>
          <w:sz w:val="21"/>
        </w:rPr>
        <w:t>Where one of the deceased </w:t>
      </w:r>
      <w:r>
        <w:rPr>
          <w:spacing w:val="-3"/>
          <w:w w:val="105"/>
          <w:sz w:val="21"/>
        </w:rPr>
        <w:t>person’s siblings </w:t>
      </w:r>
      <w:r>
        <w:rPr>
          <w:w w:val="105"/>
          <w:sz w:val="21"/>
        </w:rPr>
        <w:t>would </w:t>
      </w:r>
      <w:r>
        <w:rPr>
          <w:spacing w:val="-3"/>
          <w:w w:val="105"/>
          <w:sz w:val="21"/>
        </w:rPr>
        <w:t>have </w:t>
      </w:r>
      <w:r>
        <w:rPr>
          <w:w w:val="105"/>
          <w:sz w:val="21"/>
        </w:rPr>
        <w:t>been entitled </w:t>
      </w:r>
      <w:r>
        <w:rPr>
          <w:spacing w:val="-3"/>
          <w:w w:val="105"/>
          <w:sz w:val="21"/>
        </w:rPr>
        <w:t>to </w:t>
      </w:r>
      <w:r>
        <w:rPr>
          <w:w w:val="105"/>
          <w:sz w:val="21"/>
        </w:rPr>
        <w:t>a </w:t>
      </w:r>
      <w:r>
        <w:rPr>
          <w:spacing w:val="-3"/>
          <w:w w:val="105"/>
          <w:sz w:val="21"/>
        </w:rPr>
        <w:t>share </w:t>
      </w:r>
      <w:r>
        <w:rPr>
          <w:w w:val="105"/>
          <w:sz w:val="21"/>
        </w:rPr>
        <w:t>on </w:t>
      </w:r>
      <w:r>
        <w:rPr>
          <w:spacing w:val="-3"/>
          <w:w w:val="105"/>
          <w:sz w:val="21"/>
        </w:rPr>
        <w:t>intestacy, </w:t>
      </w:r>
      <w:r>
        <w:rPr>
          <w:w w:val="105"/>
          <w:sz w:val="21"/>
        </w:rPr>
        <w:t>but did </w:t>
      </w:r>
      <w:r>
        <w:rPr>
          <w:spacing w:val="-2"/>
          <w:w w:val="105"/>
          <w:sz w:val="21"/>
        </w:rPr>
        <w:t>not </w:t>
      </w:r>
      <w:r>
        <w:rPr>
          <w:w w:val="105"/>
          <w:sz w:val="21"/>
        </w:rPr>
        <w:t>survive the deceased person, </w:t>
      </w:r>
      <w:r>
        <w:rPr>
          <w:spacing w:val="-3"/>
          <w:w w:val="105"/>
          <w:sz w:val="21"/>
        </w:rPr>
        <w:t>leaving children </w:t>
      </w:r>
      <w:r>
        <w:rPr>
          <w:w w:val="105"/>
          <w:sz w:val="21"/>
        </w:rPr>
        <w:t>who survive the deceased person, </w:t>
      </w:r>
      <w:r>
        <w:rPr>
          <w:spacing w:val="-3"/>
          <w:w w:val="105"/>
          <w:sz w:val="21"/>
        </w:rPr>
        <w:t>that </w:t>
      </w:r>
      <w:r>
        <w:rPr>
          <w:spacing w:val="-4"/>
          <w:w w:val="105"/>
          <w:sz w:val="21"/>
        </w:rPr>
        <w:t>sibling’s </w:t>
      </w:r>
      <w:r>
        <w:rPr>
          <w:w w:val="105"/>
          <w:sz w:val="21"/>
        </w:rPr>
        <w:t>children—the deceased </w:t>
      </w:r>
      <w:r>
        <w:rPr>
          <w:spacing w:val="-3"/>
          <w:w w:val="105"/>
          <w:sz w:val="21"/>
        </w:rPr>
        <w:t>person’s </w:t>
      </w:r>
      <w:r>
        <w:rPr>
          <w:w w:val="105"/>
          <w:sz w:val="21"/>
        </w:rPr>
        <w:t>nieces or nephews— </w:t>
      </w:r>
      <w:r>
        <w:rPr>
          <w:spacing w:val="-3"/>
          <w:w w:val="105"/>
          <w:sz w:val="21"/>
        </w:rPr>
        <w:t>take</w:t>
      </w:r>
      <w:r>
        <w:rPr>
          <w:spacing w:val="-12"/>
          <w:w w:val="105"/>
          <w:sz w:val="21"/>
        </w:rPr>
        <w:t> </w:t>
      </w:r>
      <w:r>
        <w:rPr>
          <w:w w:val="105"/>
          <w:sz w:val="21"/>
        </w:rPr>
        <w:t>their</w:t>
      </w:r>
      <w:r>
        <w:rPr>
          <w:spacing w:val="-12"/>
          <w:w w:val="105"/>
          <w:sz w:val="21"/>
        </w:rPr>
        <w:t> </w:t>
      </w:r>
      <w:r>
        <w:rPr>
          <w:w w:val="105"/>
          <w:sz w:val="21"/>
        </w:rPr>
        <w:t>deceased</w:t>
      </w:r>
      <w:r>
        <w:rPr>
          <w:spacing w:val="-12"/>
          <w:w w:val="105"/>
          <w:sz w:val="21"/>
        </w:rPr>
        <w:t> </w:t>
      </w:r>
      <w:r>
        <w:rPr>
          <w:spacing w:val="-3"/>
          <w:w w:val="105"/>
          <w:sz w:val="21"/>
        </w:rPr>
        <w:t>parent’s</w:t>
      </w:r>
      <w:r>
        <w:rPr>
          <w:spacing w:val="-12"/>
          <w:w w:val="105"/>
          <w:sz w:val="21"/>
        </w:rPr>
        <w:t> </w:t>
      </w:r>
      <w:r>
        <w:rPr>
          <w:spacing w:val="-3"/>
          <w:w w:val="105"/>
          <w:sz w:val="21"/>
        </w:rPr>
        <w:t>share</w:t>
      </w:r>
      <w:r>
        <w:rPr>
          <w:spacing w:val="-12"/>
          <w:w w:val="105"/>
          <w:sz w:val="21"/>
        </w:rPr>
        <w:t> </w:t>
      </w:r>
      <w:r>
        <w:rPr>
          <w:w w:val="105"/>
          <w:sz w:val="21"/>
        </w:rPr>
        <w:t>as</w:t>
      </w:r>
      <w:r>
        <w:rPr>
          <w:spacing w:val="-12"/>
          <w:w w:val="105"/>
          <w:sz w:val="21"/>
        </w:rPr>
        <w:t> </w:t>
      </w:r>
      <w:r>
        <w:rPr>
          <w:w w:val="105"/>
          <w:sz w:val="21"/>
        </w:rPr>
        <w:t>representatives.</w:t>
      </w:r>
      <w:r>
        <w:rPr>
          <w:w w:val="105"/>
          <w:position w:val="7"/>
          <w:sz w:val="12"/>
        </w:rPr>
        <w:t>232</w:t>
      </w:r>
      <w:r>
        <w:rPr>
          <w:spacing w:val="10"/>
          <w:w w:val="105"/>
          <w:position w:val="7"/>
          <w:sz w:val="12"/>
        </w:rPr>
        <w:t> </w:t>
      </w:r>
      <w:r>
        <w:rPr>
          <w:spacing w:val="-4"/>
          <w:w w:val="105"/>
          <w:sz w:val="21"/>
        </w:rPr>
        <w:t>Similarly,</w:t>
      </w:r>
      <w:r>
        <w:rPr>
          <w:spacing w:val="-12"/>
          <w:w w:val="105"/>
          <w:sz w:val="21"/>
        </w:rPr>
        <w:t> </w:t>
      </w:r>
      <w:r>
        <w:rPr>
          <w:w w:val="105"/>
          <w:sz w:val="21"/>
        </w:rPr>
        <w:t>where</w:t>
      </w:r>
      <w:r>
        <w:rPr>
          <w:spacing w:val="-12"/>
          <w:w w:val="105"/>
          <w:sz w:val="21"/>
        </w:rPr>
        <w:t> </w:t>
      </w:r>
      <w:r>
        <w:rPr>
          <w:spacing w:val="-3"/>
          <w:w w:val="105"/>
          <w:sz w:val="21"/>
        </w:rPr>
        <w:t>some,</w:t>
      </w:r>
      <w:r>
        <w:rPr>
          <w:spacing w:val="-12"/>
          <w:w w:val="105"/>
          <w:sz w:val="21"/>
        </w:rPr>
        <w:t> </w:t>
      </w:r>
      <w:r>
        <w:rPr>
          <w:w w:val="105"/>
          <w:sz w:val="21"/>
        </w:rPr>
        <w:t>but</w:t>
      </w:r>
      <w:r>
        <w:rPr>
          <w:spacing w:val="-12"/>
          <w:w w:val="105"/>
          <w:sz w:val="21"/>
        </w:rPr>
        <w:t> </w:t>
      </w:r>
      <w:r>
        <w:rPr>
          <w:spacing w:val="-2"/>
          <w:w w:val="105"/>
          <w:sz w:val="21"/>
        </w:rPr>
        <w:t>not</w:t>
      </w:r>
      <w:r>
        <w:rPr>
          <w:spacing w:val="-12"/>
          <w:w w:val="105"/>
          <w:sz w:val="21"/>
        </w:rPr>
        <w:t> </w:t>
      </w:r>
      <w:r>
        <w:rPr>
          <w:spacing w:val="-3"/>
          <w:w w:val="105"/>
          <w:sz w:val="21"/>
        </w:rPr>
        <w:t>all, </w:t>
      </w:r>
      <w:r>
        <w:rPr>
          <w:w w:val="105"/>
          <w:sz w:val="21"/>
        </w:rPr>
        <w:t>of the deceased </w:t>
      </w:r>
      <w:r>
        <w:rPr>
          <w:spacing w:val="-3"/>
          <w:w w:val="105"/>
          <w:sz w:val="21"/>
        </w:rPr>
        <w:t>person’s siblings </w:t>
      </w:r>
      <w:r>
        <w:rPr>
          <w:w w:val="105"/>
          <w:sz w:val="21"/>
        </w:rPr>
        <w:t>would </w:t>
      </w:r>
      <w:r>
        <w:rPr>
          <w:spacing w:val="-3"/>
          <w:w w:val="105"/>
          <w:sz w:val="21"/>
        </w:rPr>
        <w:t>have </w:t>
      </w:r>
      <w:r>
        <w:rPr>
          <w:w w:val="105"/>
          <w:sz w:val="21"/>
        </w:rPr>
        <w:t>been entitled </w:t>
      </w:r>
      <w:r>
        <w:rPr>
          <w:spacing w:val="-3"/>
          <w:w w:val="105"/>
          <w:sz w:val="21"/>
        </w:rPr>
        <w:t>to </w:t>
      </w:r>
      <w:r>
        <w:rPr>
          <w:w w:val="105"/>
          <w:sz w:val="21"/>
        </w:rPr>
        <w:t>a </w:t>
      </w:r>
      <w:r>
        <w:rPr>
          <w:spacing w:val="-3"/>
          <w:w w:val="105"/>
          <w:sz w:val="21"/>
        </w:rPr>
        <w:t>share </w:t>
      </w:r>
      <w:r>
        <w:rPr>
          <w:w w:val="105"/>
          <w:sz w:val="21"/>
        </w:rPr>
        <w:t>on </w:t>
      </w:r>
      <w:r>
        <w:rPr>
          <w:spacing w:val="-3"/>
          <w:w w:val="105"/>
          <w:sz w:val="21"/>
        </w:rPr>
        <w:t>intestacy, </w:t>
      </w:r>
      <w:r>
        <w:rPr>
          <w:w w:val="105"/>
          <w:sz w:val="21"/>
        </w:rPr>
        <w:t>but </w:t>
      </w:r>
      <w:r>
        <w:rPr>
          <w:spacing w:val="-3"/>
          <w:w w:val="105"/>
          <w:sz w:val="21"/>
        </w:rPr>
        <w:t>failed to </w:t>
      </w:r>
      <w:r>
        <w:rPr>
          <w:w w:val="105"/>
          <w:sz w:val="21"/>
        </w:rPr>
        <w:t>survive the deceased person, </w:t>
      </w:r>
      <w:r>
        <w:rPr>
          <w:spacing w:val="-3"/>
          <w:w w:val="105"/>
          <w:sz w:val="21"/>
        </w:rPr>
        <w:t>leaving children </w:t>
      </w:r>
      <w:r>
        <w:rPr>
          <w:w w:val="105"/>
          <w:sz w:val="21"/>
        </w:rPr>
        <w:t>who survive the deceased person, the </w:t>
      </w:r>
      <w:r>
        <w:rPr>
          <w:spacing w:val="-3"/>
          <w:w w:val="105"/>
          <w:sz w:val="21"/>
        </w:rPr>
        <w:t>children </w:t>
      </w:r>
      <w:r>
        <w:rPr>
          <w:w w:val="105"/>
          <w:sz w:val="21"/>
        </w:rPr>
        <w:t>of those </w:t>
      </w:r>
      <w:r>
        <w:rPr>
          <w:spacing w:val="-3"/>
          <w:w w:val="105"/>
          <w:sz w:val="21"/>
        </w:rPr>
        <w:t>siblings take </w:t>
      </w:r>
      <w:r>
        <w:rPr>
          <w:w w:val="105"/>
          <w:sz w:val="21"/>
        </w:rPr>
        <w:t>their deceased </w:t>
      </w:r>
      <w:r>
        <w:rPr>
          <w:spacing w:val="-3"/>
          <w:w w:val="105"/>
          <w:sz w:val="21"/>
        </w:rPr>
        <w:t>parent’s share </w:t>
      </w:r>
      <w:r>
        <w:rPr>
          <w:w w:val="105"/>
          <w:sz w:val="21"/>
        </w:rPr>
        <w:t>as representatives.</w:t>
      </w:r>
      <w:r>
        <w:rPr>
          <w:w w:val="105"/>
          <w:position w:val="7"/>
          <w:sz w:val="12"/>
        </w:rPr>
        <w:t>233</w:t>
      </w:r>
      <w:r>
        <w:rPr>
          <w:w w:val="105"/>
          <w:sz w:val="12"/>
        </w:rPr>
        <w:t> </w:t>
      </w:r>
      <w:r>
        <w:rPr>
          <w:w w:val="105"/>
          <w:sz w:val="21"/>
        </w:rPr>
        <w:t>Distribution </w:t>
      </w:r>
      <w:r>
        <w:rPr>
          <w:spacing w:val="-3"/>
          <w:w w:val="105"/>
          <w:sz w:val="21"/>
        </w:rPr>
        <w:t>to </w:t>
      </w:r>
      <w:r>
        <w:rPr>
          <w:w w:val="105"/>
          <w:sz w:val="21"/>
        </w:rPr>
        <w:t>the deceased </w:t>
      </w:r>
      <w:r>
        <w:rPr>
          <w:spacing w:val="-3"/>
          <w:w w:val="105"/>
          <w:sz w:val="21"/>
        </w:rPr>
        <w:t>person’s </w:t>
      </w:r>
      <w:r>
        <w:rPr>
          <w:w w:val="105"/>
          <w:sz w:val="21"/>
        </w:rPr>
        <w:t>nieces and nephews in these </w:t>
      </w:r>
      <w:r>
        <w:rPr>
          <w:spacing w:val="-3"/>
          <w:w w:val="105"/>
          <w:sz w:val="21"/>
        </w:rPr>
        <w:t>circumstance </w:t>
      </w:r>
      <w:r>
        <w:rPr>
          <w:w w:val="105"/>
          <w:sz w:val="21"/>
        </w:rPr>
        <w:t>is </w:t>
      </w:r>
      <w:r>
        <w:rPr>
          <w:i/>
          <w:w w:val="105"/>
          <w:sz w:val="21"/>
        </w:rPr>
        <w:t>per </w:t>
      </w:r>
      <w:r>
        <w:rPr>
          <w:i/>
          <w:w w:val="105"/>
          <w:sz w:val="21"/>
        </w:rPr>
        <w:t>stirpes</w:t>
      </w:r>
      <w:r>
        <w:rPr>
          <w:w w:val="105"/>
          <w:sz w:val="21"/>
        </w:rPr>
        <w:t>—they </w:t>
      </w:r>
      <w:r>
        <w:rPr>
          <w:spacing w:val="-3"/>
          <w:w w:val="105"/>
          <w:sz w:val="21"/>
        </w:rPr>
        <w:t>share </w:t>
      </w:r>
      <w:r>
        <w:rPr>
          <w:w w:val="105"/>
          <w:sz w:val="21"/>
        </w:rPr>
        <w:t>their deceased </w:t>
      </w:r>
      <w:r>
        <w:rPr>
          <w:spacing w:val="-3"/>
          <w:w w:val="105"/>
          <w:sz w:val="21"/>
        </w:rPr>
        <w:t>parent’s share equally </w:t>
      </w:r>
      <w:r>
        <w:rPr>
          <w:w w:val="105"/>
          <w:sz w:val="21"/>
        </w:rPr>
        <w:t>between them, but do </w:t>
      </w:r>
      <w:r>
        <w:rPr>
          <w:spacing w:val="-2"/>
          <w:w w:val="105"/>
          <w:sz w:val="21"/>
        </w:rPr>
        <w:t>not </w:t>
      </w:r>
      <w:r>
        <w:rPr>
          <w:w w:val="105"/>
          <w:sz w:val="21"/>
        </w:rPr>
        <w:t>become equal recipients with the deceased </w:t>
      </w:r>
      <w:r>
        <w:rPr>
          <w:spacing w:val="-3"/>
          <w:w w:val="105"/>
          <w:sz w:val="21"/>
        </w:rPr>
        <w:t>person’s </w:t>
      </w:r>
      <w:r>
        <w:rPr>
          <w:w w:val="105"/>
          <w:sz w:val="21"/>
        </w:rPr>
        <w:t>surviving</w:t>
      </w:r>
      <w:r>
        <w:rPr>
          <w:spacing w:val="7"/>
          <w:w w:val="105"/>
          <w:sz w:val="21"/>
        </w:rPr>
        <w:t> </w:t>
      </w:r>
      <w:r>
        <w:rPr>
          <w:w w:val="105"/>
          <w:sz w:val="21"/>
        </w:rPr>
        <w:t>siblings.</w:t>
      </w:r>
      <w:r>
        <w:rPr>
          <w:w w:val="105"/>
          <w:position w:val="7"/>
          <w:sz w:val="12"/>
        </w:rPr>
        <w:t>234</w:t>
      </w:r>
    </w:p>
    <w:p>
      <w:pPr>
        <w:pStyle w:val="ListParagraph"/>
        <w:numPr>
          <w:ilvl w:val="1"/>
          <w:numId w:val="22"/>
        </w:numPr>
        <w:tabs>
          <w:tab w:pos="2381" w:val="left" w:leader="none"/>
          <w:tab w:pos="2382" w:val="left" w:leader="none"/>
        </w:tabs>
        <w:spacing w:line="242" w:lineRule="auto" w:before="131" w:after="0"/>
        <w:ind w:left="2381" w:right="1760" w:hanging="794"/>
        <w:jc w:val="left"/>
        <w:rPr>
          <w:sz w:val="12"/>
        </w:rPr>
      </w:pPr>
      <w:r>
        <w:rPr>
          <w:spacing w:val="-4"/>
          <w:sz w:val="21"/>
        </w:rPr>
        <w:t>However, </w:t>
      </w:r>
      <w:r>
        <w:rPr>
          <w:spacing w:val="-2"/>
          <w:sz w:val="21"/>
        </w:rPr>
        <w:t>distribution </w:t>
      </w:r>
      <w:r>
        <w:rPr>
          <w:spacing w:val="-3"/>
          <w:sz w:val="21"/>
        </w:rPr>
        <w:t>to </w:t>
      </w:r>
      <w:r>
        <w:rPr>
          <w:sz w:val="21"/>
        </w:rPr>
        <w:t>the deceased </w:t>
      </w:r>
      <w:r>
        <w:rPr>
          <w:spacing w:val="-3"/>
          <w:sz w:val="21"/>
        </w:rPr>
        <w:t>person’s  </w:t>
      </w:r>
      <w:r>
        <w:rPr>
          <w:sz w:val="21"/>
        </w:rPr>
        <w:t>nieces and nephews is </w:t>
      </w:r>
      <w:r>
        <w:rPr>
          <w:spacing w:val="-3"/>
          <w:sz w:val="21"/>
        </w:rPr>
        <w:t>different</w:t>
      </w:r>
      <w:r>
        <w:rPr>
          <w:spacing w:val="41"/>
          <w:sz w:val="21"/>
        </w:rPr>
        <w:t> </w:t>
      </w:r>
      <w:r>
        <w:rPr>
          <w:sz w:val="21"/>
        </w:rPr>
        <w:t>when </w:t>
      </w:r>
      <w:r>
        <w:rPr>
          <w:i/>
          <w:sz w:val="21"/>
        </w:rPr>
        <w:t>all  </w:t>
      </w:r>
      <w:r>
        <w:rPr>
          <w:sz w:val="21"/>
        </w:rPr>
        <w:t>of the deceased </w:t>
      </w:r>
      <w:r>
        <w:rPr>
          <w:spacing w:val="-3"/>
          <w:sz w:val="21"/>
        </w:rPr>
        <w:t>person’s siblings </w:t>
      </w:r>
      <w:r>
        <w:rPr>
          <w:spacing w:val="-4"/>
          <w:sz w:val="21"/>
        </w:rPr>
        <w:t>fail </w:t>
      </w:r>
      <w:r>
        <w:rPr>
          <w:spacing w:val="-3"/>
          <w:sz w:val="21"/>
        </w:rPr>
        <w:t>to </w:t>
      </w:r>
      <w:r>
        <w:rPr>
          <w:sz w:val="21"/>
        </w:rPr>
        <w:t>survive the deceased person. In this </w:t>
      </w:r>
      <w:r>
        <w:rPr>
          <w:spacing w:val="-3"/>
          <w:sz w:val="21"/>
        </w:rPr>
        <w:t>situation, all </w:t>
      </w:r>
      <w:r>
        <w:rPr>
          <w:sz w:val="21"/>
        </w:rPr>
        <w:t>nieces and nephews </w:t>
      </w:r>
      <w:r>
        <w:rPr>
          <w:spacing w:val="-3"/>
          <w:sz w:val="21"/>
        </w:rPr>
        <w:t>take  </w:t>
      </w:r>
      <w:r>
        <w:rPr>
          <w:sz w:val="21"/>
        </w:rPr>
        <w:t>in equal </w:t>
      </w:r>
      <w:r>
        <w:rPr>
          <w:spacing w:val="-3"/>
          <w:sz w:val="21"/>
        </w:rPr>
        <w:t>shares,</w:t>
      </w:r>
      <w:r>
        <w:rPr>
          <w:spacing w:val="41"/>
          <w:sz w:val="21"/>
        </w:rPr>
        <w:t> </w:t>
      </w:r>
      <w:r>
        <w:rPr>
          <w:i/>
          <w:sz w:val="21"/>
        </w:rPr>
        <w:t>per </w:t>
      </w:r>
      <w:r>
        <w:rPr>
          <w:i/>
          <w:spacing w:val="-3"/>
          <w:sz w:val="21"/>
        </w:rPr>
        <w:t>capita</w:t>
      </w:r>
      <w:r>
        <w:rPr>
          <w:spacing w:val="-3"/>
          <w:sz w:val="21"/>
        </w:rPr>
        <w:t>,  </w:t>
      </w:r>
      <w:r>
        <w:rPr>
          <w:spacing w:val="-2"/>
          <w:sz w:val="21"/>
        </w:rPr>
        <w:t>not  </w:t>
      </w:r>
      <w:r>
        <w:rPr>
          <w:i/>
          <w:sz w:val="21"/>
        </w:rPr>
        <w:t>per stirpes </w:t>
      </w:r>
      <w:r>
        <w:rPr>
          <w:sz w:val="21"/>
        </w:rPr>
        <w:t>as representatives   of their deceased parents.</w:t>
      </w:r>
      <w:r>
        <w:rPr>
          <w:position w:val="7"/>
          <w:sz w:val="12"/>
        </w:rPr>
        <w:t>235 </w:t>
      </w:r>
      <w:r>
        <w:rPr>
          <w:sz w:val="21"/>
        </w:rPr>
        <w:t>This is </w:t>
      </w:r>
      <w:r>
        <w:rPr>
          <w:spacing w:val="-3"/>
          <w:sz w:val="21"/>
        </w:rPr>
        <w:t>different from </w:t>
      </w:r>
      <w:r>
        <w:rPr>
          <w:sz w:val="21"/>
        </w:rPr>
        <w:t>the </w:t>
      </w:r>
      <w:r>
        <w:rPr>
          <w:spacing w:val="-3"/>
          <w:sz w:val="21"/>
        </w:rPr>
        <w:t>treatment </w:t>
      </w:r>
      <w:r>
        <w:rPr>
          <w:sz w:val="21"/>
        </w:rPr>
        <w:t>of </w:t>
      </w:r>
      <w:r>
        <w:rPr>
          <w:spacing w:val="-3"/>
          <w:sz w:val="21"/>
        </w:rPr>
        <w:t>grandchildren </w:t>
      </w:r>
      <w:r>
        <w:rPr>
          <w:sz w:val="21"/>
        </w:rPr>
        <w:t>of the deceased, </w:t>
      </w:r>
      <w:r>
        <w:rPr>
          <w:spacing w:val="-3"/>
          <w:sz w:val="21"/>
        </w:rPr>
        <w:t>for example, </w:t>
      </w:r>
      <w:r>
        <w:rPr>
          <w:sz w:val="21"/>
        </w:rPr>
        <w:t>when </w:t>
      </w:r>
      <w:r>
        <w:rPr>
          <w:spacing w:val="-3"/>
          <w:sz w:val="21"/>
        </w:rPr>
        <w:t>all children </w:t>
      </w:r>
      <w:r>
        <w:rPr>
          <w:sz w:val="21"/>
        </w:rPr>
        <w:t>of the deceased person </w:t>
      </w:r>
      <w:r>
        <w:rPr>
          <w:spacing w:val="-4"/>
          <w:sz w:val="21"/>
        </w:rPr>
        <w:t>fail </w:t>
      </w:r>
      <w:r>
        <w:rPr>
          <w:spacing w:val="-3"/>
          <w:sz w:val="21"/>
        </w:rPr>
        <w:t>to </w:t>
      </w:r>
      <w:r>
        <w:rPr>
          <w:sz w:val="21"/>
        </w:rPr>
        <w:t>survive</w:t>
      </w:r>
      <w:r>
        <w:rPr>
          <w:spacing w:val="6"/>
          <w:sz w:val="21"/>
        </w:rPr>
        <w:t> </w:t>
      </w:r>
      <w:r>
        <w:rPr>
          <w:sz w:val="21"/>
        </w:rPr>
        <w:t>them.</w:t>
      </w:r>
      <w:r>
        <w:rPr>
          <w:position w:val="7"/>
          <w:sz w:val="12"/>
        </w:rPr>
        <w:t>236</w:t>
      </w:r>
    </w:p>
    <w:p>
      <w:pPr>
        <w:pStyle w:val="BodyText"/>
        <w:spacing w:before="7"/>
        <w:rPr>
          <w:sz w:val="24"/>
        </w:rPr>
      </w:pPr>
    </w:p>
    <w:p>
      <w:pPr>
        <w:pStyle w:val="Heading5"/>
      </w:pPr>
      <w:bookmarkStart w:name="_TOC_250036" w:id="83"/>
      <w:bookmarkEnd w:id="83"/>
      <w:r>
        <w:rPr>
          <w:w w:val="115"/>
        </w:rPr>
        <w:t>Proposed change</w:t>
      </w:r>
    </w:p>
    <w:p>
      <w:pPr>
        <w:pStyle w:val="ListParagraph"/>
        <w:numPr>
          <w:ilvl w:val="1"/>
          <w:numId w:val="22"/>
        </w:numPr>
        <w:tabs>
          <w:tab w:pos="2380" w:val="left" w:leader="none"/>
          <w:tab w:pos="2381" w:val="left" w:leader="none"/>
        </w:tabs>
        <w:spacing w:line="242" w:lineRule="auto" w:before="137" w:after="0"/>
        <w:ind w:left="2381" w:right="1772" w:hanging="794"/>
        <w:jc w:val="left"/>
        <w:rPr>
          <w:sz w:val="21"/>
        </w:rPr>
      </w:pPr>
      <w:r>
        <w:rPr>
          <w:w w:val="105"/>
          <w:sz w:val="21"/>
        </w:rPr>
        <w:t>The </w:t>
      </w:r>
      <w:r>
        <w:rPr>
          <w:spacing w:val="-3"/>
          <w:w w:val="105"/>
          <w:sz w:val="21"/>
        </w:rPr>
        <w:t>National Committee considered that </w:t>
      </w:r>
      <w:r>
        <w:rPr>
          <w:w w:val="105"/>
          <w:sz w:val="21"/>
        </w:rPr>
        <w:t>it would be </w:t>
      </w:r>
      <w:r>
        <w:rPr>
          <w:spacing w:val="-3"/>
          <w:w w:val="105"/>
          <w:sz w:val="21"/>
        </w:rPr>
        <w:t>illogical to allow for </w:t>
      </w:r>
      <w:r>
        <w:rPr>
          <w:i/>
          <w:w w:val="105"/>
          <w:sz w:val="21"/>
        </w:rPr>
        <w:t>per </w:t>
      </w:r>
      <w:r>
        <w:rPr>
          <w:i/>
          <w:spacing w:val="-2"/>
          <w:w w:val="105"/>
          <w:sz w:val="21"/>
        </w:rPr>
        <w:t>capita </w:t>
      </w:r>
      <w:r>
        <w:rPr>
          <w:spacing w:val="-2"/>
          <w:w w:val="105"/>
          <w:sz w:val="21"/>
        </w:rPr>
        <w:t>distribution </w:t>
      </w:r>
      <w:r>
        <w:rPr>
          <w:spacing w:val="-3"/>
          <w:w w:val="105"/>
          <w:sz w:val="21"/>
        </w:rPr>
        <w:t>to collateral relatives </w:t>
      </w:r>
      <w:r>
        <w:rPr>
          <w:w w:val="105"/>
          <w:sz w:val="21"/>
        </w:rPr>
        <w:t>only (nieces, nephews and cousins), </w:t>
      </w:r>
      <w:r>
        <w:rPr>
          <w:w w:val="105"/>
          <w:position w:val="7"/>
          <w:sz w:val="12"/>
        </w:rPr>
        <w:t>237 </w:t>
      </w:r>
      <w:r>
        <w:rPr>
          <w:w w:val="105"/>
          <w:sz w:val="21"/>
        </w:rPr>
        <w:t>and </w:t>
      </w:r>
      <w:r>
        <w:rPr>
          <w:spacing w:val="-2"/>
          <w:w w:val="105"/>
          <w:sz w:val="21"/>
        </w:rPr>
        <w:t>not </w:t>
      </w:r>
      <w:r>
        <w:rPr>
          <w:spacing w:val="-3"/>
          <w:w w:val="105"/>
          <w:sz w:val="21"/>
        </w:rPr>
        <w:t>lineal relatives (grandchildren, great-grandchildren </w:t>
      </w:r>
      <w:r>
        <w:rPr>
          <w:w w:val="105"/>
          <w:sz w:val="21"/>
        </w:rPr>
        <w:t>and so on).</w:t>
      </w:r>
      <w:r>
        <w:rPr>
          <w:w w:val="105"/>
          <w:position w:val="7"/>
          <w:sz w:val="12"/>
        </w:rPr>
        <w:t>238 </w:t>
      </w:r>
      <w:r>
        <w:rPr>
          <w:w w:val="105"/>
          <w:sz w:val="21"/>
        </w:rPr>
        <w:t>The </w:t>
      </w:r>
      <w:r>
        <w:rPr>
          <w:spacing w:val="-3"/>
          <w:w w:val="105"/>
          <w:sz w:val="21"/>
        </w:rPr>
        <w:t>National Committee </w:t>
      </w:r>
      <w:r>
        <w:rPr>
          <w:w w:val="105"/>
          <w:sz w:val="21"/>
        </w:rPr>
        <w:t>also </w:t>
      </w:r>
      <w:r>
        <w:rPr>
          <w:spacing w:val="-3"/>
          <w:w w:val="105"/>
          <w:sz w:val="21"/>
        </w:rPr>
        <w:t>noted that, </w:t>
      </w:r>
      <w:r>
        <w:rPr>
          <w:w w:val="105"/>
          <w:sz w:val="21"/>
        </w:rPr>
        <w:t>even if </w:t>
      </w:r>
      <w:r>
        <w:rPr>
          <w:i/>
          <w:w w:val="105"/>
          <w:sz w:val="21"/>
        </w:rPr>
        <w:t>per capita </w:t>
      </w:r>
      <w:r>
        <w:rPr>
          <w:spacing w:val="-2"/>
          <w:w w:val="105"/>
          <w:sz w:val="21"/>
        </w:rPr>
        <w:t>distribution </w:t>
      </w:r>
      <w:r>
        <w:rPr>
          <w:spacing w:val="-3"/>
          <w:w w:val="105"/>
          <w:sz w:val="21"/>
        </w:rPr>
        <w:t>were equally </w:t>
      </w:r>
      <w:r>
        <w:rPr>
          <w:w w:val="105"/>
          <w:sz w:val="21"/>
        </w:rPr>
        <w:t>applied </w:t>
      </w:r>
      <w:r>
        <w:rPr>
          <w:spacing w:val="-3"/>
          <w:w w:val="105"/>
          <w:sz w:val="21"/>
        </w:rPr>
        <w:t>to collateral </w:t>
      </w:r>
      <w:r>
        <w:rPr>
          <w:w w:val="105"/>
          <w:sz w:val="21"/>
        </w:rPr>
        <w:t>and </w:t>
      </w:r>
      <w:r>
        <w:rPr>
          <w:spacing w:val="-3"/>
          <w:w w:val="105"/>
          <w:sz w:val="21"/>
        </w:rPr>
        <w:t>lineal </w:t>
      </w:r>
      <w:r>
        <w:rPr>
          <w:w w:val="105"/>
          <w:sz w:val="21"/>
        </w:rPr>
        <w:t>relatives:</w:t>
      </w:r>
    </w:p>
    <w:p>
      <w:pPr>
        <w:pStyle w:val="ListParagraph"/>
        <w:numPr>
          <w:ilvl w:val="2"/>
          <w:numId w:val="22"/>
        </w:numPr>
        <w:tabs>
          <w:tab w:pos="2721" w:val="left" w:leader="none"/>
          <w:tab w:pos="2722" w:val="left" w:leader="none"/>
        </w:tabs>
        <w:spacing w:line="240" w:lineRule="auto" w:before="126" w:after="0"/>
        <w:ind w:left="2721" w:right="0" w:hanging="340"/>
        <w:jc w:val="left"/>
        <w:rPr>
          <w:sz w:val="21"/>
        </w:rPr>
      </w:pPr>
      <w:r>
        <w:rPr>
          <w:sz w:val="21"/>
        </w:rPr>
        <w:t>the rule would still be</w:t>
      </w:r>
      <w:r>
        <w:rPr>
          <w:spacing w:val="39"/>
          <w:sz w:val="21"/>
        </w:rPr>
        <w:t> </w:t>
      </w:r>
      <w:r>
        <w:rPr>
          <w:sz w:val="21"/>
        </w:rPr>
        <w:t>arbitrary</w:t>
      </w:r>
    </w:p>
    <w:p>
      <w:pPr>
        <w:pStyle w:val="ListParagraph"/>
        <w:numPr>
          <w:ilvl w:val="2"/>
          <w:numId w:val="22"/>
        </w:numPr>
        <w:tabs>
          <w:tab w:pos="2721" w:val="left" w:leader="none"/>
          <w:tab w:pos="2722" w:val="left" w:leader="none"/>
        </w:tabs>
        <w:spacing w:line="240" w:lineRule="auto" w:before="124" w:after="0"/>
        <w:ind w:left="2721" w:right="0" w:hanging="340"/>
        <w:jc w:val="left"/>
        <w:rPr>
          <w:sz w:val="21"/>
        </w:rPr>
      </w:pPr>
      <w:r>
        <w:rPr>
          <w:sz w:val="21"/>
        </w:rPr>
        <w:t>the</w:t>
      </w:r>
      <w:r>
        <w:rPr>
          <w:spacing w:val="8"/>
          <w:sz w:val="21"/>
        </w:rPr>
        <w:t> </w:t>
      </w:r>
      <w:r>
        <w:rPr>
          <w:sz w:val="21"/>
        </w:rPr>
        <w:t>need</w:t>
      </w:r>
      <w:r>
        <w:rPr>
          <w:spacing w:val="9"/>
          <w:sz w:val="21"/>
        </w:rPr>
        <w:t> </w:t>
      </w:r>
      <w:r>
        <w:rPr>
          <w:spacing w:val="-3"/>
          <w:sz w:val="21"/>
        </w:rPr>
        <w:t>for</w:t>
      </w:r>
      <w:r>
        <w:rPr>
          <w:spacing w:val="9"/>
          <w:sz w:val="21"/>
        </w:rPr>
        <w:t> </w:t>
      </w:r>
      <w:r>
        <w:rPr>
          <w:i/>
          <w:sz w:val="21"/>
        </w:rPr>
        <w:t>per</w:t>
      </w:r>
      <w:r>
        <w:rPr>
          <w:i/>
          <w:spacing w:val="9"/>
          <w:sz w:val="21"/>
        </w:rPr>
        <w:t> </w:t>
      </w:r>
      <w:r>
        <w:rPr>
          <w:i/>
          <w:sz w:val="21"/>
        </w:rPr>
        <w:t>capita</w:t>
      </w:r>
      <w:r>
        <w:rPr>
          <w:i/>
          <w:spacing w:val="8"/>
          <w:sz w:val="21"/>
        </w:rPr>
        <w:t> </w:t>
      </w:r>
      <w:r>
        <w:rPr>
          <w:spacing w:val="-2"/>
          <w:sz w:val="21"/>
        </w:rPr>
        <w:t>distribution</w:t>
      </w:r>
      <w:r>
        <w:rPr>
          <w:spacing w:val="9"/>
          <w:sz w:val="21"/>
        </w:rPr>
        <w:t> </w:t>
      </w:r>
      <w:r>
        <w:rPr>
          <w:sz w:val="21"/>
        </w:rPr>
        <w:t>would</w:t>
      </w:r>
      <w:r>
        <w:rPr>
          <w:spacing w:val="9"/>
          <w:sz w:val="21"/>
        </w:rPr>
        <w:t> </w:t>
      </w:r>
      <w:r>
        <w:rPr>
          <w:sz w:val="21"/>
        </w:rPr>
        <w:t>arise</w:t>
      </w:r>
      <w:r>
        <w:rPr>
          <w:spacing w:val="9"/>
          <w:sz w:val="21"/>
        </w:rPr>
        <w:t> </w:t>
      </w:r>
      <w:r>
        <w:rPr>
          <w:sz w:val="21"/>
        </w:rPr>
        <w:t>only</w:t>
      </w:r>
      <w:r>
        <w:rPr>
          <w:spacing w:val="9"/>
          <w:sz w:val="21"/>
        </w:rPr>
        <w:t> </w:t>
      </w:r>
      <w:r>
        <w:rPr>
          <w:spacing w:val="-3"/>
          <w:sz w:val="21"/>
        </w:rPr>
        <w:t>rarely</w:t>
      </w:r>
    </w:p>
    <w:p>
      <w:pPr>
        <w:pStyle w:val="ListParagraph"/>
        <w:numPr>
          <w:ilvl w:val="2"/>
          <w:numId w:val="22"/>
        </w:numPr>
        <w:tabs>
          <w:tab w:pos="2721" w:val="left" w:leader="none"/>
          <w:tab w:pos="2722" w:val="left" w:leader="none"/>
        </w:tabs>
        <w:spacing w:line="230" w:lineRule="auto" w:before="131" w:after="0"/>
        <w:ind w:left="2721" w:right="2179" w:hanging="340"/>
        <w:jc w:val="left"/>
        <w:rPr>
          <w:sz w:val="14"/>
        </w:rPr>
      </w:pPr>
      <w:r>
        <w:rPr/>
        <w:pict>
          <v:line style="position:absolute;mso-position-horizontal-relative:page;mso-position-vertical-relative:paragraph;z-index:5600;mso-wrap-distance-left:0;mso-wrap-distance-right:0" from="79.370003pt,35.947056pt" to="515.905003pt,35.947056pt" stroked="true" strokeweight="1pt" strokecolor="#f9ceca">
            <v:stroke dashstyle="solid"/>
            <w10:wrap type="topAndBottom"/>
          </v:line>
        </w:pict>
      </w:r>
      <w:r>
        <w:rPr>
          <w:sz w:val="21"/>
        </w:rPr>
        <w:t>application of </w:t>
      </w:r>
      <w:r>
        <w:rPr>
          <w:i/>
          <w:sz w:val="21"/>
        </w:rPr>
        <w:t>per stirpes </w:t>
      </w:r>
      <w:r>
        <w:rPr>
          <w:spacing w:val="-2"/>
          <w:sz w:val="21"/>
        </w:rPr>
        <w:t>distribution </w:t>
      </w:r>
      <w:r>
        <w:rPr>
          <w:sz w:val="21"/>
        </w:rPr>
        <w:t>in some </w:t>
      </w:r>
      <w:r>
        <w:rPr>
          <w:spacing w:val="-2"/>
          <w:sz w:val="21"/>
        </w:rPr>
        <w:t>instances </w:t>
      </w:r>
      <w:r>
        <w:rPr>
          <w:sz w:val="21"/>
        </w:rPr>
        <w:t>and </w:t>
      </w:r>
      <w:r>
        <w:rPr>
          <w:i/>
          <w:sz w:val="21"/>
        </w:rPr>
        <w:t>per capita </w:t>
      </w:r>
      <w:r>
        <w:rPr>
          <w:sz w:val="21"/>
        </w:rPr>
        <w:t>in others would </w:t>
      </w:r>
      <w:r>
        <w:rPr>
          <w:spacing w:val="-3"/>
          <w:sz w:val="21"/>
        </w:rPr>
        <w:t>involve </w:t>
      </w:r>
      <w:r>
        <w:rPr>
          <w:sz w:val="21"/>
        </w:rPr>
        <w:t>complexity and </w:t>
      </w:r>
      <w:r>
        <w:rPr>
          <w:spacing w:val="-4"/>
          <w:sz w:val="21"/>
        </w:rPr>
        <w:t>delay.</w:t>
      </w:r>
      <w:r>
        <w:rPr>
          <w:spacing w:val="24"/>
          <w:sz w:val="21"/>
        </w:rPr>
        <w:t> </w:t>
      </w:r>
      <w:r>
        <w:rPr>
          <w:position w:val="8"/>
          <w:sz w:val="14"/>
        </w:rPr>
        <w:t>239</w:t>
      </w:r>
    </w:p>
    <w:p>
      <w:pPr>
        <w:tabs>
          <w:tab w:pos="2380" w:val="left" w:leader="none"/>
        </w:tabs>
        <w:spacing w:before="117"/>
        <w:ind w:left="2381" w:right="1711" w:hanging="794"/>
        <w:jc w:val="left"/>
        <w:rPr>
          <w:sz w:val="13"/>
        </w:rPr>
      </w:pPr>
      <w:r>
        <w:rPr>
          <w:w w:val="105"/>
          <w:sz w:val="13"/>
        </w:rPr>
        <w:t>229</w:t>
        <w:tab/>
      </w:r>
      <w:r>
        <w:rPr>
          <w:i/>
          <w:w w:val="105"/>
          <w:sz w:val="13"/>
        </w:rPr>
        <w:t>Administration and Probate Act 1958 </w:t>
      </w:r>
      <w:r>
        <w:rPr>
          <w:spacing w:val="2"/>
          <w:w w:val="105"/>
          <w:sz w:val="13"/>
        </w:rPr>
        <w:t>(Vic) </w:t>
      </w:r>
      <w:r>
        <w:rPr>
          <w:w w:val="105"/>
          <w:sz w:val="13"/>
        </w:rPr>
        <w:t>s </w:t>
      </w:r>
      <w:r>
        <w:rPr>
          <w:spacing w:val="2"/>
          <w:w w:val="105"/>
          <w:sz w:val="13"/>
        </w:rPr>
        <w:t>52(1)(f). </w:t>
      </w:r>
      <w:r>
        <w:rPr>
          <w:w w:val="105"/>
          <w:sz w:val="13"/>
        </w:rPr>
        <w:t>References to the deceased person’s children’s children here include other issue down this</w:t>
      </w:r>
      <w:r>
        <w:rPr>
          <w:spacing w:val="5"/>
          <w:w w:val="105"/>
          <w:sz w:val="13"/>
        </w:rPr>
        <w:t> </w:t>
      </w:r>
      <w:r>
        <w:rPr>
          <w:w w:val="105"/>
          <w:sz w:val="13"/>
        </w:rPr>
        <w:t>line,</w:t>
      </w:r>
      <w:r>
        <w:rPr>
          <w:spacing w:val="5"/>
          <w:w w:val="105"/>
          <w:sz w:val="13"/>
        </w:rPr>
        <w:t> </w:t>
      </w:r>
      <w:r>
        <w:rPr>
          <w:w w:val="105"/>
          <w:sz w:val="13"/>
        </w:rPr>
        <w:t>for</w:t>
      </w:r>
      <w:r>
        <w:rPr>
          <w:spacing w:val="5"/>
          <w:w w:val="105"/>
          <w:sz w:val="13"/>
        </w:rPr>
        <w:t> </w:t>
      </w:r>
      <w:r>
        <w:rPr>
          <w:w w:val="105"/>
          <w:sz w:val="13"/>
        </w:rPr>
        <w:t>example,</w:t>
      </w:r>
      <w:r>
        <w:rPr>
          <w:spacing w:val="5"/>
          <w:w w:val="105"/>
          <w:sz w:val="13"/>
        </w:rPr>
        <w:t> </w:t>
      </w:r>
      <w:r>
        <w:rPr>
          <w:w w:val="105"/>
          <w:sz w:val="13"/>
        </w:rPr>
        <w:t>the</w:t>
      </w:r>
      <w:r>
        <w:rPr>
          <w:spacing w:val="5"/>
          <w:w w:val="105"/>
          <w:sz w:val="13"/>
        </w:rPr>
        <w:t> </w:t>
      </w:r>
      <w:r>
        <w:rPr>
          <w:w w:val="105"/>
          <w:sz w:val="13"/>
        </w:rPr>
        <w:t>deceased</w:t>
      </w:r>
      <w:r>
        <w:rPr>
          <w:spacing w:val="5"/>
          <w:w w:val="105"/>
          <w:sz w:val="13"/>
        </w:rPr>
        <w:t> </w:t>
      </w:r>
      <w:r>
        <w:rPr>
          <w:w w:val="105"/>
          <w:sz w:val="13"/>
        </w:rPr>
        <w:t>person’s</w:t>
      </w:r>
      <w:r>
        <w:rPr>
          <w:spacing w:val="5"/>
          <w:w w:val="105"/>
          <w:sz w:val="13"/>
        </w:rPr>
        <w:t> </w:t>
      </w:r>
      <w:r>
        <w:rPr>
          <w:w w:val="105"/>
          <w:sz w:val="13"/>
        </w:rPr>
        <w:t>great-grandchildren,</w:t>
      </w:r>
      <w:r>
        <w:rPr>
          <w:spacing w:val="5"/>
          <w:w w:val="105"/>
          <w:sz w:val="13"/>
        </w:rPr>
        <w:t> </w:t>
      </w:r>
      <w:r>
        <w:rPr>
          <w:w w:val="105"/>
          <w:sz w:val="13"/>
        </w:rPr>
        <w:t>great-great-grandchildren,</w:t>
      </w:r>
      <w:r>
        <w:rPr>
          <w:spacing w:val="5"/>
          <w:w w:val="105"/>
          <w:sz w:val="13"/>
        </w:rPr>
        <w:t> </w:t>
      </w:r>
      <w:r>
        <w:rPr>
          <w:w w:val="105"/>
          <w:sz w:val="13"/>
        </w:rPr>
        <w:t>and</w:t>
      </w:r>
      <w:r>
        <w:rPr>
          <w:spacing w:val="5"/>
          <w:w w:val="105"/>
          <w:sz w:val="13"/>
        </w:rPr>
        <w:t> </w:t>
      </w:r>
      <w:r>
        <w:rPr>
          <w:w w:val="105"/>
          <w:sz w:val="13"/>
        </w:rPr>
        <w:t>so</w:t>
      </w:r>
      <w:r>
        <w:rPr>
          <w:spacing w:val="5"/>
          <w:w w:val="105"/>
          <w:sz w:val="13"/>
        </w:rPr>
        <w:t> </w:t>
      </w:r>
      <w:r>
        <w:rPr>
          <w:w w:val="105"/>
          <w:sz w:val="13"/>
        </w:rPr>
        <w:t>on.</w:t>
      </w:r>
    </w:p>
    <w:p>
      <w:pPr>
        <w:tabs>
          <w:tab w:pos="2380" w:val="left" w:leader="none"/>
        </w:tabs>
        <w:spacing w:before="3"/>
        <w:ind w:left="1587" w:right="0" w:firstLine="0"/>
        <w:jc w:val="left"/>
        <w:rPr>
          <w:sz w:val="13"/>
        </w:rPr>
      </w:pPr>
      <w:r>
        <w:rPr>
          <w:sz w:val="13"/>
        </w:rPr>
        <w:t>230</w:t>
        <w:tab/>
        <w:t>Ibid s</w:t>
      </w:r>
      <w:r>
        <w:rPr>
          <w:spacing w:val="12"/>
          <w:sz w:val="13"/>
        </w:rPr>
        <w:t> </w:t>
      </w:r>
      <w:r>
        <w:rPr>
          <w:spacing w:val="2"/>
          <w:sz w:val="13"/>
        </w:rPr>
        <w:t>52(1)(f)(ii).</w:t>
      </w:r>
    </w:p>
    <w:p>
      <w:pPr>
        <w:pStyle w:val="ListParagraph"/>
        <w:numPr>
          <w:ilvl w:val="0"/>
          <w:numId w:val="70"/>
        </w:numPr>
        <w:tabs>
          <w:tab w:pos="2380" w:val="left" w:leader="none"/>
          <w:tab w:pos="2382" w:val="left" w:leader="none"/>
        </w:tabs>
        <w:spacing w:line="240" w:lineRule="auto" w:before="1" w:after="0"/>
        <w:ind w:left="2381" w:right="0" w:hanging="794"/>
        <w:jc w:val="left"/>
        <w:rPr>
          <w:sz w:val="13"/>
        </w:rPr>
      </w:pPr>
      <w:r>
        <w:rPr>
          <w:sz w:val="13"/>
        </w:rPr>
        <w:t>Ibid.</w:t>
      </w:r>
    </w:p>
    <w:p>
      <w:pPr>
        <w:pStyle w:val="ListParagraph"/>
        <w:numPr>
          <w:ilvl w:val="0"/>
          <w:numId w:val="70"/>
        </w:numPr>
        <w:tabs>
          <w:tab w:pos="2380" w:val="left" w:leader="none"/>
          <w:tab w:pos="2382" w:val="left" w:leader="none"/>
        </w:tabs>
        <w:spacing w:line="240" w:lineRule="auto" w:before="1" w:after="0"/>
        <w:ind w:left="2381" w:right="1609" w:hanging="794"/>
        <w:jc w:val="left"/>
        <w:rPr>
          <w:sz w:val="13"/>
        </w:rPr>
      </w:pPr>
      <w:r>
        <w:rPr>
          <w:w w:val="105"/>
          <w:sz w:val="13"/>
        </w:rPr>
        <w:t>Ibid s </w:t>
      </w:r>
      <w:r>
        <w:rPr>
          <w:spacing w:val="2"/>
          <w:w w:val="105"/>
          <w:sz w:val="13"/>
        </w:rPr>
        <w:t>52(1)(f)(iii). </w:t>
      </w:r>
      <w:r>
        <w:rPr>
          <w:w w:val="105"/>
          <w:sz w:val="13"/>
        </w:rPr>
        <w:t>Also note that there is no representation down this line after the deceased person’s brothers’ and sisters’ children. This means that although nieces’ and nephews’ children (the deceased person’s great-nieces and great-nephews), and others down this line,       can</w:t>
      </w:r>
      <w:r>
        <w:rPr>
          <w:spacing w:val="3"/>
          <w:w w:val="105"/>
          <w:sz w:val="13"/>
        </w:rPr>
        <w:t> </w:t>
      </w:r>
      <w:r>
        <w:rPr>
          <w:w w:val="105"/>
          <w:sz w:val="13"/>
        </w:rPr>
        <w:t>inherit</w:t>
      </w:r>
      <w:r>
        <w:rPr>
          <w:spacing w:val="3"/>
          <w:w w:val="105"/>
          <w:sz w:val="13"/>
        </w:rPr>
        <w:t> </w:t>
      </w:r>
      <w:r>
        <w:rPr>
          <w:w w:val="105"/>
          <w:sz w:val="13"/>
        </w:rPr>
        <w:t>on</w:t>
      </w:r>
      <w:r>
        <w:rPr>
          <w:spacing w:val="2"/>
          <w:w w:val="105"/>
          <w:sz w:val="13"/>
        </w:rPr>
        <w:t> </w:t>
      </w:r>
      <w:r>
        <w:rPr>
          <w:w w:val="105"/>
          <w:sz w:val="13"/>
        </w:rPr>
        <w:t>intestacy,</w:t>
      </w:r>
      <w:r>
        <w:rPr>
          <w:spacing w:val="3"/>
          <w:w w:val="105"/>
          <w:sz w:val="13"/>
        </w:rPr>
        <w:t> </w:t>
      </w:r>
      <w:r>
        <w:rPr>
          <w:w w:val="105"/>
          <w:sz w:val="13"/>
        </w:rPr>
        <w:t>they</w:t>
      </w:r>
      <w:r>
        <w:rPr>
          <w:spacing w:val="3"/>
          <w:w w:val="105"/>
          <w:sz w:val="13"/>
        </w:rPr>
        <w:t> </w:t>
      </w:r>
      <w:r>
        <w:rPr>
          <w:w w:val="105"/>
          <w:sz w:val="13"/>
        </w:rPr>
        <w:t>only</w:t>
      </w:r>
      <w:r>
        <w:rPr>
          <w:spacing w:val="3"/>
          <w:w w:val="105"/>
          <w:sz w:val="13"/>
        </w:rPr>
        <w:t> </w:t>
      </w:r>
      <w:r>
        <w:rPr>
          <w:w w:val="105"/>
          <w:sz w:val="13"/>
        </w:rPr>
        <w:t>take</w:t>
      </w:r>
      <w:r>
        <w:rPr>
          <w:spacing w:val="3"/>
          <w:w w:val="105"/>
          <w:sz w:val="13"/>
        </w:rPr>
        <w:t> </w:t>
      </w:r>
      <w:r>
        <w:rPr>
          <w:w w:val="105"/>
          <w:sz w:val="13"/>
        </w:rPr>
        <w:t>if</w:t>
      </w:r>
      <w:r>
        <w:rPr>
          <w:spacing w:val="3"/>
          <w:w w:val="105"/>
          <w:sz w:val="13"/>
        </w:rPr>
        <w:t> </w:t>
      </w:r>
      <w:r>
        <w:rPr>
          <w:w w:val="105"/>
          <w:sz w:val="13"/>
        </w:rPr>
        <w:t>they</w:t>
      </w:r>
      <w:r>
        <w:rPr>
          <w:spacing w:val="3"/>
          <w:w w:val="105"/>
          <w:sz w:val="13"/>
        </w:rPr>
        <w:t> </w:t>
      </w:r>
      <w:r>
        <w:rPr>
          <w:w w:val="105"/>
          <w:sz w:val="13"/>
        </w:rPr>
        <w:t>are</w:t>
      </w:r>
      <w:r>
        <w:rPr>
          <w:spacing w:val="3"/>
          <w:w w:val="105"/>
          <w:sz w:val="13"/>
        </w:rPr>
        <w:t> </w:t>
      </w:r>
      <w:r>
        <w:rPr>
          <w:w w:val="105"/>
          <w:sz w:val="13"/>
        </w:rPr>
        <w:t>the</w:t>
      </w:r>
      <w:r>
        <w:rPr>
          <w:spacing w:val="3"/>
          <w:w w:val="105"/>
          <w:sz w:val="13"/>
        </w:rPr>
        <w:t> </w:t>
      </w:r>
      <w:r>
        <w:rPr>
          <w:w w:val="105"/>
          <w:sz w:val="13"/>
        </w:rPr>
        <w:t>deceased</w:t>
      </w:r>
      <w:r>
        <w:rPr>
          <w:spacing w:val="3"/>
          <w:w w:val="105"/>
          <w:sz w:val="13"/>
        </w:rPr>
        <w:t> </w:t>
      </w:r>
      <w:r>
        <w:rPr>
          <w:w w:val="105"/>
          <w:sz w:val="13"/>
        </w:rPr>
        <w:t>person’s</w:t>
      </w:r>
      <w:r>
        <w:rPr>
          <w:spacing w:val="3"/>
          <w:w w:val="105"/>
          <w:sz w:val="13"/>
        </w:rPr>
        <w:t> </w:t>
      </w:r>
      <w:r>
        <w:rPr>
          <w:spacing w:val="2"/>
          <w:w w:val="105"/>
          <w:sz w:val="13"/>
        </w:rPr>
        <w:t>next</w:t>
      </w:r>
      <w:r>
        <w:rPr>
          <w:spacing w:val="3"/>
          <w:w w:val="105"/>
          <w:sz w:val="13"/>
        </w:rPr>
        <w:t> </w:t>
      </w:r>
      <w:r>
        <w:rPr>
          <w:w w:val="105"/>
          <w:sz w:val="13"/>
        </w:rPr>
        <w:t>of</w:t>
      </w:r>
      <w:r>
        <w:rPr>
          <w:spacing w:val="3"/>
          <w:w w:val="105"/>
          <w:sz w:val="13"/>
        </w:rPr>
        <w:t> </w:t>
      </w:r>
      <w:r>
        <w:rPr>
          <w:w w:val="105"/>
          <w:sz w:val="13"/>
        </w:rPr>
        <w:t>kin;</w:t>
      </w:r>
      <w:r>
        <w:rPr>
          <w:spacing w:val="3"/>
          <w:w w:val="105"/>
          <w:sz w:val="13"/>
        </w:rPr>
        <w:t> </w:t>
      </w:r>
      <w:r>
        <w:rPr>
          <w:w w:val="105"/>
          <w:sz w:val="13"/>
        </w:rPr>
        <w:t>they</w:t>
      </w:r>
      <w:r>
        <w:rPr>
          <w:spacing w:val="3"/>
          <w:w w:val="105"/>
          <w:sz w:val="13"/>
        </w:rPr>
        <w:t> </w:t>
      </w:r>
      <w:r>
        <w:rPr>
          <w:w w:val="105"/>
          <w:sz w:val="13"/>
        </w:rPr>
        <w:t>do</w:t>
      </w:r>
      <w:r>
        <w:rPr>
          <w:spacing w:val="3"/>
          <w:w w:val="105"/>
          <w:sz w:val="13"/>
        </w:rPr>
        <w:t> </w:t>
      </w:r>
      <w:r>
        <w:rPr>
          <w:w w:val="105"/>
          <w:sz w:val="13"/>
        </w:rPr>
        <w:t>not</w:t>
      </w:r>
      <w:r>
        <w:rPr>
          <w:spacing w:val="3"/>
          <w:w w:val="105"/>
          <w:sz w:val="13"/>
        </w:rPr>
        <w:t> </w:t>
      </w:r>
      <w:r>
        <w:rPr>
          <w:w w:val="105"/>
          <w:sz w:val="13"/>
        </w:rPr>
        <w:t>take</w:t>
      </w:r>
      <w:r>
        <w:rPr>
          <w:spacing w:val="3"/>
          <w:w w:val="105"/>
          <w:sz w:val="13"/>
        </w:rPr>
        <w:t> </w:t>
      </w:r>
      <w:r>
        <w:rPr>
          <w:w w:val="105"/>
          <w:sz w:val="13"/>
        </w:rPr>
        <w:t>as</w:t>
      </w:r>
      <w:r>
        <w:rPr>
          <w:spacing w:val="3"/>
          <w:w w:val="105"/>
          <w:sz w:val="13"/>
        </w:rPr>
        <w:t> </w:t>
      </w:r>
      <w:r>
        <w:rPr>
          <w:w w:val="105"/>
          <w:sz w:val="13"/>
        </w:rPr>
        <w:t>a</w:t>
      </w:r>
      <w:r>
        <w:rPr>
          <w:spacing w:val="3"/>
          <w:w w:val="105"/>
          <w:sz w:val="13"/>
        </w:rPr>
        <w:t> </w:t>
      </w:r>
      <w:r>
        <w:rPr>
          <w:w w:val="105"/>
          <w:sz w:val="13"/>
        </w:rPr>
        <w:t>deceased</w:t>
      </w:r>
      <w:r>
        <w:rPr>
          <w:spacing w:val="3"/>
          <w:w w:val="105"/>
          <w:sz w:val="13"/>
        </w:rPr>
        <w:t> </w:t>
      </w:r>
      <w:r>
        <w:rPr>
          <w:w w:val="105"/>
          <w:sz w:val="13"/>
        </w:rPr>
        <w:t>sibling’s</w:t>
      </w:r>
      <w:r>
        <w:rPr>
          <w:spacing w:val="3"/>
          <w:w w:val="105"/>
          <w:sz w:val="13"/>
        </w:rPr>
        <w:t> </w:t>
      </w:r>
      <w:r>
        <w:rPr>
          <w:w w:val="105"/>
          <w:sz w:val="13"/>
        </w:rPr>
        <w:t>representative.</w:t>
      </w:r>
    </w:p>
    <w:p>
      <w:pPr>
        <w:pStyle w:val="ListParagraph"/>
        <w:numPr>
          <w:ilvl w:val="0"/>
          <w:numId w:val="70"/>
        </w:numPr>
        <w:tabs>
          <w:tab w:pos="2380" w:val="left" w:leader="none"/>
          <w:tab w:pos="2382" w:val="left" w:leader="none"/>
        </w:tabs>
        <w:spacing w:line="240" w:lineRule="auto" w:before="4" w:after="0"/>
        <w:ind w:left="2381" w:right="0" w:hanging="794"/>
        <w:jc w:val="left"/>
        <w:rPr>
          <w:sz w:val="13"/>
        </w:rPr>
      </w:pPr>
      <w:r>
        <w:rPr>
          <w:sz w:val="13"/>
        </w:rPr>
        <w:t>Ibid.</w:t>
      </w:r>
    </w:p>
    <w:p>
      <w:pPr>
        <w:tabs>
          <w:tab w:pos="2380" w:val="left" w:leader="none"/>
        </w:tabs>
        <w:spacing w:before="2"/>
        <w:ind w:left="1587" w:right="0" w:firstLine="0"/>
        <w:jc w:val="left"/>
        <w:rPr>
          <w:sz w:val="13"/>
        </w:rPr>
      </w:pPr>
      <w:r>
        <w:rPr>
          <w:sz w:val="13"/>
        </w:rPr>
        <w:t>234</w:t>
        <w:tab/>
        <w:t>Ibid  s</w:t>
      </w:r>
      <w:r>
        <w:rPr>
          <w:spacing w:val="5"/>
          <w:sz w:val="13"/>
        </w:rPr>
        <w:t> </w:t>
      </w:r>
      <w:r>
        <w:rPr>
          <w:spacing w:val="2"/>
          <w:sz w:val="13"/>
        </w:rPr>
        <w:t>52(1)(f)(ii).</w:t>
      </w:r>
    </w:p>
    <w:p>
      <w:pPr>
        <w:tabs>
          <w:tab w:pos="2380" w:val="left" w:leader="none"/>
        </w:tabs>
        <w:spacing w:before="1"/>
        <w:ind w:left="1587" w:right="0" w:firstLine="0"/>
        <w:jc w:val="left"/>
        <w:rPr>
          <w:sz w:val="13"/>
        </w:rPr>
      </w:pPr>
      <w:r>
        <w:rPr>
          <w:sz w:val="13"/>
        </w:rPr>
        <w:t>235</w:t>
        <w:tab/>
        <w:t>Ibid  s</w:t>
      </w:r>
      <w:r>
        <w:rPr>
          <w:spacing w:val="5"/>
          <w:sz w:val="13"/>
        </w:rPr>
        <w:t> </w:t>
      </w:r>
      <w:r>
        <w:rPr>
          <w:spacing w:val="2"/>
          <w:sz w:val="13"/>
        </w:rPr>
        <w:t>52(1)(f)(vi).</w:t>
      </w:r>
    </w:p>
    <w:p>
      <w:pPr>
        <w:pStyle w:val="ListParagraph"/>
        <w:numPr>
          <w:ilvl w:val="0"/>
          <w:numId w:val="71"/>
        </w:numPr>
        <w:tabs>
          <w:tab w:pos="2381" w:val="left" w:leader="none"/>
          <w:tab w:pos="2382" w:val="left" w:leader="none"/>
        </w:tabs>
        <w:spacing w:line="240" w:lineRule="auto" w:before="1" w:after="0"/>
        <w:ind w:left="2381" w:right="0" w:hanging="794"/>
        <w:jc w:val="left"/>
        <w:rPr>
          <w:sz w:val="13"/>
        </w:rPr>
      </w:pPr>
      <w:r>
        <w:rPr>
          <w:w w:val="105"/>
          <w:sz w:val="13"/>
        </w:rPr>
        <w:t>See discussion at [5.136]</w:t>
      </w:r>
      <w:r>
        <w:rPr>
          <w:spacing w:val="18"/>
          <w:w w:val="105"/>
          <w:sz w:val="13"/>
        </w:rPr>
        <w:t> </w:t>
      </w:r>
      <w:r>
        <w:rPr>
          <w:w w:val="105"/>
          <w:sz w:val="13"/>
        </w:rPr>
        <w:t>above.</w:t>
      </w:r>
    </w:p>
    <w:p>
      <w:pPr>
        <w:pStyle w:val="ListParagraph"/>
        <w:numPr>
          <w:ilvl w:val="0"/>
          <w:numId w:val="71"/>
        </w:numPr>
        <w:tabs>
          <w:tab w:pos="2381" w:val="left" w:leader="none"/>
          <w:tab w:pos="2382" w:val="left" w:leader="none"/>
        </w:tabs>
        <w:spacing w:line="240" w:lineRule="auto" w:before="2" w:after="0"/>
        <w:ind w:left="2381" w:right="1583" w:hanging="794"/>
        <w:jc w:val="left"/>
        <w:rPr>
          <w:sz w:val="13"/>
        </w:rPr>
      </w:pPr>
      <w:r>
        <w:rPr>
          <w:w w:val="105"/>
          <w:sz w:val="13"/>
        </w:rPr>
        <w:t>Note that this reference to cousins is relevant only to South Australian law, not Victorian law. First cousins take </w:t>
      </w:r>
      <w:r>
        <w:rPr>
          <w:i/>
          <w:w w:val="105"/>
          <w:sz w:val="13"/>
        </w:rPr>
        <w:t>per capita </w:t>
      </w:r>
      <w:r>
        <w:rPr>
          <w:w w:val="105"/>
          <w:sz w:val="13"/>
        </w:rPr>
        <w:t>at each generation</w:t>
      </w:r>
      <w:r>
        <w:rPr>
          <w:spacing w:val="30"/>
          <w:w w:val="105"/>
          <w:sz w:val="13"/>
        </w:rPr>
        <w:t> </w:t>
      </w:r>
      <w:r>
        <w:rPr>
          <w:w w:val="105"/>
          <w:sz w:val="13"/>
        </w:rPr>
        <w:t>in</w:t>
      </w:r>
      <w:r>
        <w:rPr>
          <w:spacing w:val="3"/>
          <w:w w:val="105"/>
          <w:sz w:val="13"/>
        </w:rPr>
        <w:t> </w:t>
      </w:r>
      <w:r>
        <w:rPr>
          <w:w w:val="105"/>
          <w:sz w:val="13"/>
        </w:rPr>
        <w:t>South</w:t>
      </w:r>
      <w:r>
        <w:rPr>
          <w:spacing w:val="4"/>
          <w:w w:val="105"/>
          <w:sz w:val="13"/>
        </w:rPr>
        <w:t> </w:t>
      </w:r>
      <w:r>
        <w:rPr>
          <w:w w:val="105"/>
          <w:sz w:val="13"/>
        </w:rPr>
        <w:t>Australia,</w:t>
      </w:r>
      <w:r>
        <w:rPr>
          <w:spacing w:val="4"/>
          <w:w w:val="105"/>
          <w:sz w:val="13"/>
        </w:rPr>
        <w:t> </w:t>
      </w:r>
      <w:r>
        <w:rPr>
          <w:w w:val="105"/>
          <w:sz w:val="13"/>
        </w:rPr>
        <w:t>but</w:t>
      </w:r>
      <w:r>
        <w:rPr>
          <w:spacing w:val="4"/>
          <w:w w:val="105"/>
          <w:sz w:val="13"/>
        </w:rPr>
        <w:t> </w:t>
      </w:r>
      <w:r>
        <w:rPr>
          <w:w w:val="105"/>
          <w:sz w:val="13"/>
        </w:rPr>
        <w:t>do</w:t>
      </w:r>
      <w:r>
        <w:rPr>
          <w:spacing w:val="4"/>
          <w:w w:val="105"/>
          <w:sz w:val="13"/>
        </w:rPr>
        <w:t> </w:t>
      </w:r>
      <w:r>
        <w:rPr>
          <w:w w:val="105"/>
          <w:sz w:val="13"/>
        </w:rPr>
        <w:t>not</w:t>
      </w:r>
      <w:r>
        <w:rPr>
          <w:spacing w:val="4"/>
          <w:w w:val="105"/>
          <w:sz w:val="13"/>
        </w:rPr>
        <w:t> </w:t>
      </w:r>
      <w:r>
        <w:rPr>
          <w:w w:val="105"/>
          <w:sz w:val="13"/>
        </w:rPr>
        <w:t>take</w:t>
      </w:r>
      <w:r>
        <w:rPr>
          <w:spacing w:val="4"/>
          <w:w w:val="105"/>
          <w:sz w:val="13"/>
        </w:rPr>
        <w:t> </w:t>
      </w:r>
      <w:r>
        <w:rPr>
          <w:w w:val="105"/>
          <w:sz w:val="13"/>
        </w:rPr>
        <w:t>by</w:t>
      </w:r>
      <w:r>
        <w:rPr>
          <w:spacing w:val="4"/>
          <w:w w:val="105"/>
          <w:sz w:val="13"/>
        </w:rPr>
        <w:t> </w:t>
      </w:r>
      <w:r>
        <w:rPr>
          <w:w w:val="105"/>
          <w:sz w:val="13"/>
        </w:rPr>
        <w:t>representation</w:t>
      </w:r>
      <w:r>
        <w:rPr>
          <w:spacing w:val="4"/>
          <w:w w:val="105"/>
          <w:sz w:val="13"/>
        </w:rPr>
        <w:t> </w:t>
      </w:r>
      <w:r>
        <w:rPr>
          <w:w w:val="105"/>
          <w:sz w:val="13"/>
        </w:rPr>
        <w:t>in</w:t>
      </w:r>
      <w:r>
        <w:rPr>
          <w:spacing w:val="4"/>
          <w:w w:val="105"/>
          <w:sz w:val="13"/>
        </w:rPr>
        <w:t> </w:t>
      </w:r>
      <w:r>
        <w:rPr>
          <w:spacing w:val="2"/>
          <w:w w:val="105"/>
          <w:sz w:val="13"/>
        </w:rPr>
        <w:t>Victoria:</w:t>
      </w:r>
      <w:r>
        <w:rPr>
          <w:spacing w:val="4"/>
          <w:w w:val="105"/>
          <w:sz w:val="13"/>
        </w:rPr>
        <w:t> </w:t>
      </w:r>
      <w:r>
        <w:rPr>
          <w:i/>
          <w:w w:val="105"/>
          <w:sz w:val="13"/>
        </w:rPr>
        <w:t>Administration</w:t>
      </w:r>
      <w:r>
        <w:rPr>
          <w:i/>
          <w:spacing w:val="3"/>
          <w:w w:val="105"/>
          <w:sz w:val="13"/>
        </w:rPr>
        <w:t> </w:t>
      </w:r>
      <w:r>
        <w:rPr>
          <w:i/>
          <w:w w:val="105"/>
          <w:sz w:val="13"/>
        </w:rPr>
        <w:t>and</w:t>
      </w:r>
      <w:r>
        <w:rPr>
          <w:i/>
          <w:spacing w:val="2"/>
          <w:w w:val="105"/>
          <w:sz w:val="13"/>
        </w:rPr>
        <w:t> </w:t>
      </w:r>
      <w:r>
        <w:rPr>
          <w:i/>
          <w:w w:val="105"/>
          <w:sz w:val="13"/>
        </w:rPr>
        <w:t>Probate</w:t>
      </w:r>
      <w:r>
        <w:rPr>
          <w:i/>
          <w:spacing w:val="3"/>
          <w:w w:val="105"/>
          <w:sz w:val="13"/>
        </w:rPr>
        <w:t> </w:t>
      </w:r>
      <w:r>
        <w:rPr>
          <w:i/>
          <w:w w:val="105"/>
          <w:sz w:val="13"/>
        </w:rPr>
        <w:t>Act</w:t>
      </w:r>
      <w:r>
        <w:rPr>
          <w:i/>
          <w:spacing w:val="3"/>
          <w:w w:val="105"/>
          <w:sz w:val="13"/>
        </w:rPr>
        <w:t> </w:t>
      </w:r>
      <w:r>
        <w:rPr>
          <w:i/>
          <w:w w:val="105"/>
          <w:sz w:val="13"/>
        </w:rPr>
        <w:t>1958</w:t>
      </w:r>
      <w:r>
        <w:rPr>
          <w:i/>
          <w:spacing w:val="4"/>
          <w:w w:val="105"/>
          <w:sz w:val="13"/>
        </w:rPr>
        <w:t> </w:t>
      </w:r>
      <w:r>
        <w:rPr>
          <w:spacing w:val="2"/>
          <w:w w:val="105"/>
          <w:sz w:val="13"/>
        </w:rPr>
        <w:t>(Vic)</w:t>
      </w:r>
      <w:r>
        <w:rPr>
          <w:spacing w:val="4"/>
          <w:w w:val="105"/>
          <w:sz w:val="13"/>
        </w:rPr>
        <w:t> </w:t>
      </w:r>
      <w:r>
        <w:rPr>
          <w:w w:val="105"/>
          <w:sz w:val="13"/>
        </w:rPr>
        <w:t>s</w:t>
      </w:r>
      <w:r>
        <w:rPr>
          <w:spacing w:val="4"/>
          <w:w w:val="105"/>
          <w:sz w:val="13"/>
        </w:rPr>
        <w:t> </w:t>
      </w:r>
      <w:r>
        <w:rPr>
          <w:spacing w:val="2"/>
          <w:w w:val="105"/>
          <w:sz w:val="13"/>
        </w:rPr>
        <w:t>52(1)(f)(iii).</w:t>
      </w:r>
    </w:p>
    <w:p>
      <w:pPr>
        <w:pStyle w:val="ListParagraph"/>
        <w:numPr>
          <w:ilvl w:val="0"/>
          <w:numId w:val="71"/>
        </w:numPr>
        <w:tabs>
          <w:tab w:pos="2381" w:val="left" w:leader="none"/>
          <w:tab w:pos="2382" w:val="left" w:leader="none"/>
        </w:tabs>
        <w:spacing w:line="240" w:lineRule="auto" w:before="2" w:after="0"/>
        <w:ind w:left="1587" w:right="5703" w:firstLine="0"/>
        <w:jc w:val="left"/>
        <w:rPr>
          <w:sz w:val="13"/>
        </w:rPr>
      </w:pPr>
      <w:r>
        <w:rPr/>
        <w:pict>
          <v:shape style="position:absolute;margin-left:36pt;margin-top:3.638865pt;width:13.6pt;height:14.25pt;mso-position-horizontal-relative:page;mso-position-vertical-relative:paragraph;z-index:7672" type="#_x0000_t202" filled="false" stroked="false">
            <v:textbox inset="0,0,0,0">
              <w:txbxContent>
                <w:p>
                  <w:pPr>
                    <w:spacing w:line="284" w:lineRule="exact" w:before="0"/>
                    <w:ind w:left="0" w:right="0" w:firstLine="0"/>
                    <w:jc w:val="left"/>
                    <w:rPr>
                      <w:b/>
                      <w:sz w:val="24"/>
                    </w:rPr>
                  </w:pPr>
                  <w:r>
                    <w:rPr>
                      <w:b/>
                      <w:color w:val="EC5A4F"/>
                      <w:w w:val="110"/>
                      <w:sz w:val="24"/>
                    </w:rPr>
                    <w:t>86</w:t>
                  </w:r>
                </w:p>
              </w:txbxContent>
            </v:textbox>
            <w10:wrap type="none"/>
          </v:shape>
        </w:pict>
      </w:r>
      <w:r>
        <w:rPr>
          <w:w w:val="105"/>
          <w:sz w:val="13"/>
        </w:rPr>
        <w:t>National Committee for Uniform Succession Laws, above n 10, </w:t>
      </w:r>
      <w:r>
        <w:rPr>
          <w:spacing w:val="-5"/>
          <w:w w:val="105"/>
          <w:sz w:val="13"/>
        </w:rPr>
        <w:t>147. </w:t>
      </w:r>
      <w:r>
        <w:rPr>
          <w:w w:val="105"/>
          <w:sz w:val="13"/>
        </w:rPr>
        <w:t>239</w:t>
        <w:tab/>
        <w:t>Ibid</w:t>
      </w:r>
      <w:r>
        <w:rPr>
          <w:spacing w:val="4"/>
          <w:w w:val="105"/>
          <w:sz w:val="13"/>
        </w:rPr>
        <w:t> </w:t>
      </w:r>
      <w:r>
        <w:rPr>
          <w:w w:val="105"/>
          <w:sz w:val="13"/>
        </w:rPr>
        <w:t>147–8.</w:t>
      </w:r>
    </w:p>
    <w:p>
      <w:pPr>
        <w:spacing w:after="0" w:line="240" w:lineRule="auto"/>
        <w:jc w:val="left"/>
        <w:rPr>
          <w:sz w:val="13"/>
        </w:rPr>
        <w:sectPr>
          <w:pgSz w:w="11910" w:h="16840"/>
          <w:pgMar w:header="550" w:footer="0" w:top="1560" w:bottom="280" w:left="0" w:right="0"/>
        </w:sectPr>
      </w:pPr>
    </w:p>
    <w:p>
      <w:pPr>
        <w:pStyle w:val="BodyText"/>
        <w:rPr>
          <w:sz w:val="20"/>
        </w:rPr>
      </w:pPr>
    </w:p>
    <w:p>
      <w:pPr>
        <w:pStyle w:val="BodyText"/>
        <w:spacing w:before="11"/>
        <w:rPr>
          <w:sz w:val="18"/>
        </w:rPr>
      </w:pPr>
    </w:p>
    <w:p>
      <w:pPr>
        <w:pStyle w:val="ListParagraph"/>
        <w:numPr>
          <w:ilvl w:val="1"/>
          <w:numId w:val="22"/>
        </w:numPr>
        <w:tabs>
          <w:tab w:pos="2381" w:val="left" w:leader="none"/>
          <w:tab w:pos="2382" w:val="left" w:leader="none"/>
        </w:tabs>
        <w:spacing w:line="242" w:lineRule="auto" w:before="92" w:after="0"/>
        <w:ind w:left="2381" w:right="1602" w:hanging="794"/>
        <w:jc w:val="left"/>
        <w:rPr>
          <w:sz w:val="21"/>
        </w:rPr>
      </w:pPr>
      <w:r>
        <w:rPr>
          <w:spacing w:val="-4"/>
          <w:w w:val="105"/>
          <w:sz w:val="21"/>
        </w:rPr>
        <w:t>Accordingly, </w:t>
      </w:r>
      <w:r>
        <w:rPr>
          <w:w w:val="105"/>
          <w:sz w:val="21"/>
        </w:rPr>
        <w:t>it recommended </w:t>
      </w:r>
      <w:r>
        <w:rPr>
          <w:spacing w:val="-3"/>
          <w:w w:val="105"/>
          <w:sz w:val="21"/>
        </w:rPr>
        <w:t>that </w:t>
      </w:r>
      <w:r>
        <w:rPr>
          <w:i/>
          <w:w w:val="105"/>
          <w:sz w:val="21"/>
        </w:rPr>
        <w:t>per capita </w:t>
      </w:r>
      <w:r>
        <w:rPr>
          <w:spacing w:val="-2"/>
          <w:w w:val="105"/>
          <w:sz w:val="21"/>
        </w:rPr>
        <w:t>distribution </w:t>
      </w:r>
      <w:r>
        <w:rPr>
          <w:w w:val="105"/>
          <w:sz w:val="21"/>
        </w:rPr>
        <w:t>should be abolished and </w:t>
      </w:r>
      <w:r>
        <w:rPr>
          <w:spacing w:val="-3"/>
          <w:w w:val="105"/>
          <w:sz w:val="21"/>
        </w:rPr>
        <w:t>that </w:t>
      </w:r>
      <w:r>
        <w:rPr>
          <w:spacing w:val="-2"/>
          <w:w w:val="105"/>
          <w:sz w:val="21"/>
        </w:rPr>
        <w:t>distribution</w:t>
      </w:r>
      <w:r>
        <w:rPr>
          <w:spacing w:val="-11"/>
          <w:w w:val="105"/>
          <w:sz w:val="21"/>
        </w:rPr>
        <w:t> </w:t>
      </w:r>
      <w:r>
        <w:rPr>
          <w:w w:val="105"/>
          <w:sz w:val="21"/>
        </w:rPr>
        <w:t>should</w:t>
      </w:r>
      <w:r>
        <w:rPr>
          <w:spacing w:val="-10"/>
          <w:w w:val="105"/>
          <w:sz w:val="21"/>
        </w:rPr>
        <w:t> </w:t>
      </w:r>
      <w:r>
        <w:rPr>
          <w:w w:val="105"/>
          <w:sz w:val="21"/>
        </w:rPr>
        <w:t>be</w:t>
      </w:r>
      <w:r>
        <w:rPr>
          <w:spacing w:val="-11"/>
          <w:w w:val="105"/>
          <w:sz w:val="21"/>
        </w:rPr>
        <w:t> </w:t>
      </w:r>
      <w:r>
        <w:rPr>
          <w:i/>
          <w:w w:val="105"/>
          <w:sz w:val="21"/>
        </w:rPr>
        <w:t>per</w:t>
      </w:r>
      <w:r>
        <w:rPr>
          <w:i/>
          <w:spacing w:val="-10"/>
          <w:w w:val="105"/>
          <w:sz w:val="21"/>
        </w:rPr>
        <w:t> </w:t>
      </w:r>
      <w:r>
        <w:rPr>
          <w:i/>
          <w:w w:val="105"/>
          <w:sz w:val="21"/>
        </w:rPr>
        <w:t>stirpes</w:t>
      </w:r>
      <w:r>
        <w:rPr>
          <w:i/>
          <w:spacing w:val="-11"/>
          <w:w w:val="105"/>
          <w:sz w:val="21"/>
        </w:rPr>
        <w:t> </w:t>
      </w:r>
      <w:r>
        <w:rPr>
          <w:w w:val="105"/>
          <w:sz w:val="21"/>
        </w:rPr>
        <w:t>in</w:t>
      </w:r>
      <w:r>
        <w:rPr>
          <w:spacing w:val="-10"/>
          <w:w w:val="105"/>
          <w:sz w:val="21"/>
        </w:rPr>
        <w:t> </w:t>
      </w:r>
      <w:r>
        <w:rPr>
          <w:spacing w:val="-3"/>
          <w:w w:val="105"/>
          <w:sz w:val="21"/>
        </w:rPr>
        <w:t>all</w:t>
      </w:r>
      <w:r>
        <w:rPr>
          <w:spacing w:val="-10"/>
          <w:w w:val="105"/>
          <w:sz w:val="21"/>
        </w:rPr>
        <w:t> </w:t>
      </w:r>
      <w:r>
        <w:rPr>
          <w:w w:val="105"/>
          <w:sz w:val="21"/>
        </w:rPr>
        <w:t>circumstances.</w:t>
      </w:r>
      <w:r>
        <w:rPr>
          <w:w w:val="105"/>
          <w:position w:val="7"/>
          <w:sz w:val="12"/>
        </w:rPr>
        <w:t>240</w:t>
      </w:r>
      <w:r>
        <w:rPr>
          <w:spacing w:val="11"/>
          <w:w w:val="105"/>
          <w:position w:val="7"/>
          <w:sz w:val="12"/>
        </w:rPr>
        <w:t> </w:t>
      </w:r>
      <w:r>
        <w:rPr>
          <w:w w:val="105"/>
          <w:sz w:val="21"/>
        </w:rPr>
        <w:t>This</w:t>
      </w:r>
      <w:r>
        <w:rPr>
          <w:spacing w:val="-10"/>
          <w:w w:val="105"/>
          <w:sz w:val="21"/>
        </w:rPr>
        <w:t> </w:t>
      </w:r>
      <w:r>
        <w:rPr>
          <w:w w:val="105"/>
          <w:sz w:val="21"/>
        </w:rPr>
        <w:t>would</w:t>
      </w:r>
      <w:r>
        <w:rPr>
          <w:spacing w:val="-11"/>
          <w:w w:val="105"/>
          <w:sz w:val="21"/>
        </w:rPr>
        <w:t> </w:t>
      </w:r>
      <w:r>
        <w:rPr>
          <w:w w:val="105"/>
          <w:sz w:val="21"/>
        </w:rPr>
        <w:t>mean</w:t>
      </w:r>
      <w:r>
        <w:rPr>
          <w:spacing w:val="-10"/>
          <w:w w:val="105"/>
          <w:sz w:val="21"/>
        </w:rPr>
        <w:t> </w:t>
      </w:r>
      <w:r>
        <w:rPr>
          <w:spacing w:val="-3"/>
          <w:w w:val="105"/>
          <w:sz w:val="21"/>
        </w:rPr>
        <w:t>that</w:t>
      </w:r>
      <w:r>
        <w:rPr>
          <w:spacing w:val="-11"/>
          <w:w w:val="105"/>
          <w:sz w:val="21"/>
        </w:rPr>
        <w:t> </w:t>
      </w:r>
      <w:r>
        <w:rPr>
          <w:spacing w:val="-2"/>
          <w:w w:val="105"/>
          <w:sz w:val="21"/>
        </w:rPr>
        <w:t>distribution </w:t>
      </w:r>
      <w:r>
        <w:rPr>
          <w:spacing w:val="-3"/>
          <w:w w:val="105"/>
          <w:sz w:val="21"/>
        </w:rPr>
        <w:t>to</w:t>
      </w:r>
      <w:r>
        <w:rPr>
          <w:spacing w:val="-5"/>
          <w:w w:val="105"/>
          <w:sz w:val="21"/>
        </w:rPr>
        <w:t> </w:t>
      </w:r>
      <w:r>
        <w:rPr>
          <w:w w:val="105"/>
          <w:sz w:val="21"/>
        </w:rPr>
        <w:t>the</w:t>
      </w:r>
      <w:r>
        <w:rPr>
          <w:spacing w:val="-5"/>
          <w:w w:val="105"/>
          <w:sz w:val="21"/>
        </w:rPr>
        <w:t> </w:t>
      </w:r>
      <w:r>
        <w:rPr>
          <w:w w:val="105"/>
          <w:sz w:val="21"/>
        </w:rPr>
        <w:t>deceased</w:t>
      </w:r>
      <w:r>
        <w:rPr>
          <w:spacing w:val="-4"/>
          <w:w w:val="105"/>
          <w:sz w:val="21"/>
        </w:rPr>
        <w:t> </w:t>
      </w:r>
      <w:r>
        <w:rPr>
          <w:spacing w:val="-3"/>
          <w:w w:val="105"/>
          <w:sz w:val="21"/>
        </w:rPr>
        <w:t>person’s</w:t>
      </w:r>
      <w:r>
        <w:rPr>
          <w:spacing w:val="-5"/>
          <w:w w:val="105"/>
          <w:sz w:val="21"/>
        </w:rPr>
        <w:t> </w:t>
      </w:r>
      <w:r>
        <w:rPr>
          <w:w w:val="105"/>
          <w:sz w:val="21"/>
        </w:rPr>
        <w:t>nieces</w:t>
      </w:r>
      <w:r>
        <w:rPr>
          <w:spacing w:val="-5"/>
          <w:w w:val="105"/>
          <w:sz w:val="21"/>
        </w:rPr>
        <w:t> </w:t>
      </w:r>
      <w:r>
        <w:rPr>
          <w:w w:val="105"/>
          <w:sz w:val="21"/>
        </w:rPr>
        <w:t>and</w:t>
      </w:r>
      <w:r>
        <w:rPr>
          <w:spacing w:val="-4"/>
          <w:w w:val="105"/>
          <w:sz w:val="21"/>
        </w:rPr>
        <w:t> </w:t>
      </w:r>
      <w:r>
        <w:rPr>
          <w:w w:val="105"/>
          <w:sz w:val="21"/>
        </w:rPr>
        <w:t>nephews</w:t>
      </w:r>
      <w:r>
        <w:rPr>
          <w:spacing w:val="-5"/>
          <w:w w:val="105"/>
          <w:sz w:val="21"/>
        </w:rPr>
        <w:t> </w:t>
      </w:r>
      <w:r>
        <w:rPr>
          <w:w w:val="105"/>
          <w:sz w:val="21"/>
        </w:rPr>
        <w:t>would</w:t>
      </w:r>
      <w:r>
        <w:rPr>
          <w:spacing w:val="-4"/>
          <w:w w:val="105"/>
          <w:sz w:val="21"/>
        </w:rPr>
        <w:t> </w:t>
      </w:r>
      <w:r>
        <w:rPr>
          <w:w w:val="105"/>
          <w:sz w:val="21"/>
        </w:rPr>
        <w:t>always</w:t>
      </w:r>
      <w:r>
        <w:rPr>
          <w:spacing w:val="-5"/>
          <w:w w:val="105"/>
          <w:sz w:val="21"/>
        </w:rPr>
        <w:t> </w:t>
      </w:r>
      <w:r>
        <w:rPr>
          <w:w w:val="105"/>
          <w:sz w:val="21"/>
        </w:rPr>
        <w:t>be</w:t>
      </w:r>
      <w:r>
        <w:rPr>
          <w:spacing w:val="-5"/>
          <w:w w:val="105"/>
          <w:sz w:val="21"/>
        </w:rPr>
        <w:t> </w:t>
      </w:r>
      <w:r>
        <w:rPr>
          <w:i/>
          <w:w w:val="105"/>
          <w:sz w:val="21"/>
        </w:rPr>
        <w:t>per</w:t>
      </w:r>
      <w:r>
        <w:rPr>
          <w:i/>
          <w:spacing w:val="-4"/>
          <w:w w:val="105"/>
          <w:sz w:val="21"/>
        </w:rPr>
        <w:t> </w:t>
      </w:r>
      <w:r>
        <w:rPr>
          <w:i/>
          <w:spacing w:val="-3"/>
          <w:w w:val="105"/>
          <w:sz w:val="21"/>
        </w:rPr>
        <w:t>stirpes</w:t>
      </w:r>
      <w:r>
        <w:rPr>
          <w:spacing w:val="-3"/>
          <w:w w:val="105"/>
          <w:sz w:val="21"/>
        </w:rPr>
        <w:t>,</w:t>
      </w:r>
      <w:r>
        <w:rPr>
          <w:spacing w:val="-5"/>
          <w:w w:val="105"/>
          <w:sz w:val="21"/>
        </w:rPr>
        <w:t> </w:t>
      </w:r>
      <w:r>
        <w:rPr>
          <w:w w:val="105"/>
          <w:sz w:val="21"/>
        </w:rPr>
        <w:t>even</w:t>
      </w:r>
      <w:r>
        <w:rPr>
          <w:spacing w:val="-4"/>
          <w:w w:val="105"/>
          <w:sz w:val="21"/>
        </w:rPr>
        <w:t> </w:t>
      </w:r>
      <w:r>
        <w:rPr>
          <w:w w:val="105"/>
          <w:sz w:val="21"/>
        </w:rPr>
        <w:t>where</w:t>
      </w:r>
    </w:p>
    <w:p>
      <w:pPr>
        <w:pStyle w:val="BodyText"/>
        <w:spacing w:line="242" w:lineRule="auto" w:before="4"/>
        <w:ind w:left="2381" w:right="1918"/>
      </w:pPr>
      <w:r>
        <w:rPr>
          <w:spacing w:val="-3"/>
          <w:w w:val="105"/>
        </w:rPr>
        <w:t>all </w:t>
      </w:r>
      <w:r>
        <w:rPr>
          <w:w w:val="105"/>
        </w:rPr>
        <w:t>of the deceased </w:t>
      </w:r>
      <w:r>
        <w:rPr>
          <w:spacing w:val="-3"/>
          <w:w w:val="105"/>
        </w:rPr>
        <w:t>person’s siblings are </w:t>
      </w:r>
      <w:r>
        <w:rPr>
          <w:w w:val="105"/>
        </w:rPr>
        <w:t>deceased. This would </w:t>
      </w:r>
      <w:r>
        <w:rPr>
          <w:spacing w:val="-3"/>
          <w:w w:val="105"/>
        </w:rPr>
        <w:t>bring </w:t>
      </w:r>
      <w:r>
        <w:rPr>
          <w:spacing w:val="-2"/>
          <w:w w:val="105"/>
        </w:rPr>
        <w:t>distribution </w:t>
      </w:r>
      <w:r>
        <w:rPr>
          <w:spacing w:val="-3"/>
          <w:w w:val="105"/>
        </w:rPr>
        <w:t>to </w:t>
      </w:r>
      <w:r>
        <w:rPr>
          <w:w w:val="105"/>
        </w:rPr>
        <w:t>the deceased </w:t>
      </w:r>
      <w:r>
        <w:rPr>
          <w:spacing w:val="-3"/>
          <w:w w:val="105"/>
        </w:rPr>
        <w:t>person’s </w:t>
      </w:r>
      <w:r>
        <w:rPr>
          <w:w w:val="105"/>
        </w:rPr>
        <w:t>nieces and nephews </w:t>
      </w:r>
      <w:r>
        <w:rPr>
          <w:spacing w:val="-4"/>
          <w:w w:val="105"/>
        </w:rPr>
        <w:t>into </w:t>
      </w:r>
      <w:r>
        <w:rPr>
          <w:spacing w:val="-3"/>
          <w:w w:val="105"/>
        </w:rPr>
        <w:t>line </w:t>
      </w:r>
      <w:r>
        <w:rPr>
          <w:w w:val="105"/>
        </w:rPr>
        <w:t>with </w:t>
      </w:r>
      <w:r>
        <w:rPr>
          <w:spacing w:val="-2"/>
          <w:w w:val="105"/>
        </w:rPr>
        <w:t>distribution </w:t>
      </w:r>
      <w:r>
        <w:rPr>
          <w:spacing w:val="-3"/>
          <w:w w:val="105"/>
        </w:rPr>
        <w:t>to grandchildren, great-grandchildren </w:t>
      </w:r>
      <w:r>
        <w:rPr>
          <w:w w:val="105"/>
        </w:rPr>
        <w:t>and so </w:t>
      </w:r>
      <w:r>
        <w:rPr>
          <w:spacing w:val="-2"/>
          <w:w w:val="105"/>
        </w:rPr>
        <w:t>on.</w:t>
      </w:r>
    </w:p>
    <w:p>
      <w:pPr>
        <w:pStyle w:val="ListParagraph"/>
        <w:numPr>
          <w:ilvl w:val="1"/>
          <w:numId w:val="22"/>
        </w:numPr>
        <w:tabs>
          <w:tab w:pos="2380" w:val="left" w:leader="none"/>
          <w:tab w:pos="2382" w:val="left" w:leader="none"/>
        </w:tabs>
        <w:spacing w:line="242" w:lineRule="auto" w:before="123" w:after="0"/>
        <w:ind w:left="2381" w:right="1623" w:hanging="794"/>
        <w:jc w:val="left"/>
        <w:rPr>
          <w:sz w:val="12"/>
        </w:rPr>
      </w:pPr>
      <w:r>
        <w:rPr>
          <w:w w:val="105"/>
          <w:sz w:val="21"/>
        </w:rPr>
        <w:t>The </w:t>
      </w:r>
      <w:r>
        <w:rPr>
          <w:spacing w:val="-4"/>
          <w:w w:val="105"/>
          <w:sz w:val="21"/>
        </w:rPr>
        <w:t>Commission’s </w:t>
      </w:r>
      <w:r>
        <w:rPr>
          <w:spacing w:val="-3"/>
          <w:w w:val="105"/>
          <w:sz w:val="21"/>
        </w:rPr>
        <w:t>consultation </w:t>
      </w:r>
      <w:r>
        <w:rPr>
          <w:w w:val="105"/>
          <w:sz w:val="21"/>
        </w:rPr>
        <w:t>paper on intestacy </w:t>
      </w:r>
      <w:r>
        <w:rPr>
          <w:spacing w:val="-3"/>
          <w:w w:val="105"/>
          <w:sz w:val="21"/>
        </w:rPr>
        <w:t>asked </w:t>
      </w:r>
      <w:r>
        <w:rPr>
          <w:w w:val="105"/>
          <w:sz w:val="21"/>
        </w:rPr>
        <w:t>whether </w:t>
      </w:r>
      <w:r>
        <w:rPr>
          <w:i/>
          <w:w w:val="105"/>
          <w:sz w:val="21"/>
        </w:rPr>
        <w:t>per capita </w:t>
      </w:r>
      <w:r>
        <w:rPr>
          <w:spacing w:val="-2"/>
          <w:w w:val="105"/>
          <w:sz w:val="21"/>
        </w:rPr>
        <w:t>distribution </w:t>
      </w:r>
      <w:r>
        <w:rPr>
          <w:w w:val="105"/>
          <w:sz w:val="21"/>
        </w:rPr>
        <w:t>should</w:t>
      </w:r>
      <w:r>
        <w:rPr>
          <w:spacing w:val="-9"/>
          <w:w w:val="105"/>
          <w:sz w:val="21"/>
        </w:rPr>
        <w:t> </w:t>
      </w:r>
      <w:r>
        <w:rPr>
          <w:w w:val="105"/>
          <w:sz w:val="21"/>
        </w:rPr>
        <w:t>be</w:t>
      </w:r>
      <w:r>
        <w:rPr>
          <w:spacing w:val="-9"/>
          <w:w w:val="105"/>
          <w:sz w:val="21"/>
        </w:rPr>
        <w:t> </w:t>
      </w:r>
      <w:r>
        <w:rPr>
          <w:w w:val="105"/>
          <w:sz w:val="21"/>
        </w:rPr>
        <w:t>abolished</w:t>
      </w:r>
      <w:r>
        <w:rPr>
          <w:spacing w:val="-8"/>
          <w:w w:val="105"/>
          <w:sz w:val="21"/>
        </w:rPr>
        <w:t> </w:t>
      </w:r>
      <w:r>
        <w:rPr>
          <w:w w:val="105"/>
          <w:sz w:val="21"/>
        </w:rPr>
        <w:t>in</w:t>
      </w:r>
      <w:r>
        <w:rPr>
          <w:spacing w:val="-9"/>
          <w:w w:val="105"/>
          <w:sz w:val="21"/>
        </w:rPr>
        <w:t> </w:t>
      </w:r>
      <w:r>
        <w:rPr>
          <w:w w:val="105"/>
          <w:sz w:val="21"/>
        </w:rPr>
        <w:t>Victoria</w:t>
      </w:r>
      <w:r>
        <w:rPr>
          <w:spacing w:val="-8"/>
          <w:w w:val="105"/>
          <w:sz w:val="21"/>
        </w:rPr>
        <w:t> </w:t>
      </w:r>
      <w:r>
        <w:rPr>
          <w:w w:val="105"/>
          <w:sz w:val="21"/>
        </w:rPr>
        <w:t>and</w:t>
      </w:r>
      <w:r>
        <w:rPr>
          <w:spacing w:val="-9"/>
          <w:w w:val="105"/>
          <w:sz w:val="21"/>
        </w:rPr>
        <w:t> </w:t>
      </w:r>
      <w:r>
        <w:rPr>
          <w:i/>
          <w:w w:val="105"/>
          <w:sz w:val="21"/>
        </w:rPr>
        <w:t>per</w:t>
      </w:r>
      <w:r>
        <w:rPr>
          <w:i/>
          <w:spacing w:val="-8"/>
          <w:w w:val="105"/>
          <w:sz w:val="21"/>
        </w:rPr>
        <w:t> </w:t>
      </w:r>
      <w:r>
        <w:rPr>
          <w:i/>
          <w:w w:val="105"/>
          <w:sz w:val="21"/>
        </w:rPr>
        <w:t>stirpes</w:t>
      </w:r>
      <w:r>
        <w:rPr>
          <w:i/>
          <w:spacing w:val="-9"/>
          <w:w w:val="105"/>
          <w:sz w:val="21"/>
        </w:rPr>
        <w:t> </w:t>
      </w:r>
      <w:r>
        <w:rPr>
          <w:spacing w:val="-2"/>
          <w:w w:val="105"/>
          <w:sz w:val="21"/>
        </w:rPr>
        <w:t>distribution</w:t>
      </w:r>
      <w:r>
        <w:rPr>
          <w:spacing w:val="-8"/>
          <w:w w:val="105"/>
          <w:sz w:val="21"/>
        </w:rPr>
        <w:t> </w:t>
      </w:r>
      <w:r>
        <w:rPr>
          <w:w w:val="105"/>
          <w:sz w:val="21"/>
        </w:rPr>
        <w:t>applied</w:t>
      </w:r>
      <w:r>
        <w:rPr>
          <w:spacing w:val="-9"/>
          <w:w w:val="105"/>
          <w:sz w:val="21"/>
        </w:rPr>
        <w:t> </w:t>
      </w:r>
      <w:r>
        <w:rPr>
          <w:w w:val="105"/>
          <w:sz w:val="21"/>
        </w:rPr>
        <w:t>in</w:t>
      </w:r>
      <w:r>
        <w:rPr>
          <w:spacing w:val="-8"/>
          <w:w w:val="105"/>
          <w:sz w:val="21"/>
        </w:rPr>
        <w:t> </w:t>
      </w:r>
      <w:r>
        <w:rPr>
          <w:spacing w:val="-3"/>
          <w:w w:val="105"/>
          <w:sz w:val="21"/>
        </w:rPr>
        <w:t>all</w:t>
      </w:r>
      <w:r>
        <w:rPr>
          <w:spacing w:val="-9"/>
          <w:w w:val="105"/>
          <w:sz w:val="21"/>
        </w:rPr>
        <w:t> </w:t>
      </w:r>
      <w:r>
        <w:rPr>
          <w:spacing w:val="-3"/>
          <w:w w:val="105"/>
          <w:sz w:val="21"/>
        </w:rPr>
        <w:t>circumstances</w:t>
      </w:r>
      <w:r>
        <w:rPr>
          <w:spacing w:val="-8"/>
          <w:w w:val="105"/>
          <w:sz w:val="21"/>
        </w:rPr>
        <w:t> </w:t>
      </w:r>
      <w:r>
        <w:rPr>
          <w:spacing w:val="-6"/>
          <w:w w:val="105"/>
          <w:sz w:val="21"/>
        </w:rPr>
        <w:t>or, </w:t>
      </w:r>
      <w:r>
        <w:rPr>
          <w:spacing w:val="-4"/>
          <w:w w:val="105"/>
          <w:sz w:val="21"/>
        </w:rPr>
        <w:t>alternatively,</w:t>
      </w:r>
      <w:r>
        <w:rPr>
          <w:spacing w:val="-13"/>
          <w:w w:val="105"/>
          <w:sz w:val="21"/>
        </w:rPr>
        <w:t> </w:t>
      </w:r>
      <w:r>
        <w:rPr>
          <w:w w:val="105"/>
          <w:sz w:val="21"/>
        </w:rPr>
        <w:t>whether</w:t>
      </w:r>
      <w:r>
        <w:rPr>
          <w:spacing w:val="-13"/>
          <w:w w:val="105"/>
          <w:sz w:val="21"/>
        </w:rPr>
        <w:t> </w:t>
      </w:r>
      <w:r>
        <w:rPr>
          <w:i/>
          <w:w w:val="105"/>
          <w:sz w:val="21"/>
        </w:rPr>
        <w:t>per</w:t>
      </w:r>
      <w:r>
        <w:rPr>
          <w:i/>
          <w:spacing w:val="-13"/>
          <w:w w:val="105"/>
          <w:sz w:val="21"/>
        </w:rPr>
        <w:t> </w:t>
      </w:r>
      <w:r>
        <w:rPr>
          <w:i/>
          <w:w w:val="105"/>
          <w:sz w:val="21"/>
        </w:rPr>
        <w:t>capita</w:t>
      </w:r>
      <w:r>
        <w:rPr>
          <w:i/>
          <w:spacing w:val="-12"/>
          <w:w w:val="105"/>
          <w:sz w:val="21"/>
        </w:rPr>
        <w:t> </w:t>
      </w:r>
      <w:r>
        <w:rPr>
          <w:spacing w:val="-2"/>
          <w:w w:val="105"/>
          <w:sz w:val="21"/>
        </w:rPr>
        <w:t>distribution</w:t>
      </w:r>
      <w:r>
        <w:rPr>
          <w:spacing w:val="-13"/>
          <w:w w:val="105"/>
          <w:sz w:val="21"/>
        </w:rPr>
        <w:t> </w:t>
      </w:r>
      <w:r>
        <w:rPr>
          <w:w w:val="105"/>
          <w:sz w:val="21"/>
        </w:rPr>
        <w:t>should</w:t>
      </w:r>
      <w:r>
        <w:rPr>
          <w:spacing w:val="-13"/>
          <w:w w:val="105"/>
          <w:sz w:val="21"/>
        </w:rPr>
        <w:t> </w:t>
      </w:r>
      <w:r>
        <w:rPr>
          <w:w w:val="105"/>
          <w:sz w:val="21"/>
        </w:rPr>
        <w:t>be</w:t>
      </w:r>
      <w:r>
        <w:rPr>
          <w:spacing w:val="-12"/>
          <w:w w:val="105"/>
          <w:sz w:val="21"/>
        </w:rPr>
        <w:t> </w:t>
      </w:r>
      <w:r>
        <w:rPr>
          <w:spacing w:val="-3"/>
          <w:w w:val="105"/>
          <w:sz w:val="21"/>
        </w:rPr>
        <w:t>retained</w:t>
      </w:r>
      <w:r>
        <w:rPr>
          <w:spacing w:val="-13"/>
          <w:w w:val="105"/>
          <w:sz w:val="21"/>
        </w:rPr>
        <w:t> </w:t>
      </w:r>
      <w:r>
        <w:rPr>
          <w:w w:val="105"/>
          <w:sz w:val="21"/>
        </w:rPr>
        <w:t>and</w:t>
      </w:r>
      <w:r>
        <w:rPr>
          <w:spacing w:val="-13"/>
          <w:w w:val="105"/>
          <w:sz w:val="21"/>
        </w:rPr>
        <w:t> </w:t>
      </w:r>
      <w:r>
        <w:rPr>
          <w:w w:val="105"/>
          <w:sz w:val="21"/>
        </w:rPr>
        <w:t>extended</w:t>
      </w:r>
      <w:r>
        <w:rPr>
          <w:spacing w:val="-13"/>
          <w:w w:val="105"/>
          <w:sz w:val="21"/>
        </w:rPr>
        <w:t> </w:t>
      </w:r>
      <w:r>
        <w:rPr>
          <w:w w:val="105"/>
          <w:sz w:val="21"/>
        </w:rPr>
        <w:t>beyond</w:t>
      </w:r>
      <w:r>
        <w:rPr>
          <w:spacing w:val="-13"/>
          <w:w w:val="105"/>
          <w:sz w:val="21"/>
        </w:rPr>
        <w:t> </w:t>
      </w:r>
      <w:r>
        <w:rPr>
          <w:w w:val="105"/>
          <w:sz w:val="21"/>
        </w:rPr>
        <w:t>the deceased </w:t>
      </w:r>
      <w:r>
        <w:rPr>
          <w:spacing w:val="-3"/>
          <w:w w:val="105"/>
          <w:sz w:val="21"/>
        </w:rPr>
        <w:t>person’s </w:t>
      </w:r>
      <w:r>
        <w:rPr>
          <w:w w:val="105"/>
          <w:sz w:val="21"/>
        </w:rPr>
        <w:t>nieces and nephews at each</w:t>
      </w:r>
      <w:r>
        <w:rPr>
          <w:spacing w:val="30"/>
          <w:w w:val="105"/>
          <w:sz w:val="21"/>
        </w:rPr>
        <w:t> </w:t>
      </w:r>
      <w:r>
        <w:rPr>
          <w:spacing w:val="-3"/>
          <w:w w:val="105"/>
          <w:sz w:val="21"/>
        </w:rPr>
        <w:t>generation.</w:t>
      </w:r>
      <w:r>
        <w:rPr>
          <w:spacing w:val="-3"/>
          <w:w w:val="105"/>
          <w:position w:val="7"/>
          <w:sz w:val="12"/>
        </w:rPr>
        <w:t>241</w:t>
      </w:r>
    </w:p>
    <w:p>
      <w:pPr>
        <w:pStyle w:val="ListParagraph"/>
        <w:numPr>
          <w:ilvl w:val="1"/>
          <w:numId w:val="22"/>
        </w:numPr>
        <w:tabs>
          <w:tab w:pos="2380" w:val="left" w:leader="none"/>
          <w:tab w:pos="2381" w:val="left" w:leader="none"/>
        </w:tabs>
        <w:spacing w:line="242" w:lineRule="auto" w:before="124" w:after="0"/>
        <w:ind w:left="2381" w:right="1630" w:hanging="794"/>
        <w:jc w:val="left"/>
        <w:rPr>
          <w:sz w:val="21"/>
        </w:rPr>
      </w:pPr>
      <w:r>
        <w:rPr>
          <w:w w:val="105"/>
          <w:sz w:val="21"/>
        </w:rPr>
        <w:t>Victoria</w:t>
      </w:r>
      <w:r>
        <w:rPr>
          <w:spacing w:val="-8"/>
          <w:w w:val="105"/>
          <w:sz w:val="21"/>
        </w:rPr>
        <w:t> </w:t>
      </w:r>
      <w:r>
        <w:rPr>
          <w:w w:val="105"/>
          <w:sz w:val="21"/>
        </w:rPr>
        <w:t>is</w:t>
      </w:r>
      <w:r>
        <w:rPr>
          <w:spacing w:val="-7"/>
          <w:w w:val="105"/>
          <w:sz w:val="21"/>
        </w:rPr>
        <w:t> </w:t>
      </w:r>
      <w:r>
        <w:rPr>
          <w:w w:val="105"/>
          <w:sz w:val="21"/>
        </w:rPr>
        <w:t>one</w:t>
      </w:r>
      <w:r>
        <w:rPr>
          <w:spacing w:val="-8"/>
          <w:w w:val="105"/>
          <w:sz w:val="21"/>
        </w:rPr>
        <w:t> </w:t>
      </w:r>
      <w:r>
        <w:rPr>
          <w:w w:val="105"/>
          <w:sz w:val="21"/>
        </w:rPr>
        <w:t>of</w:t>
      </w:r>
      <w:r>
        <w:rPr>
          <w:spacing w:val="-7"/>
          <w:w w:val="105"/>
          <w:sz w:val="21"/>
        </w:rPr>
        <w:t> </w:t>
      </w:r>
      <w:r>
        <w:rPr>
          <w:w w:val="105"/>
          <w:sz w:val="21"/>
        </w:rPr>
        <w:t>only</w:t>
      </w:r>
      <w:r>
        <w:rPr>
          <w:spacing w:val="-7"/>
          <w:w w:val="105"/>
          <w:sz w:val="21"/>
        </w:rPr>
        <w:t> </w:t>
      </w:r>
      <w:r>
        <w:rPr>
          <w:w w:val="105"/>
          <w:sz w:val="21"/>
        </w:rPr>
        <w:t>two</w:t>
      </w:r>
      <w:r>
        <w:rPr>
          <w:spacing w:val="-8"/>
          <w:w w:val="105"/>
          <w:sz w:val="21"/>
        </w:rPr>
        <w:t> </w:t>
      </w:r>
      <w:r>
        <w:rPr>
          <w:w w:val="105"/>
          <w:sz w:val="21"/>
        </w:rPr>
        <w:t>states</w:t>
      </w:r>
      <w:r>
        <w:rPr>
          <w:spacing w:val="-7"/>
          <w:w w:val="105"/>
          <w:sz w:val="21"/>
        </w:rPr>
        <w:t> </w:t>
      </w:r>
      <w:r>
        <w:rPr>
          <w:spacing w:val="-3"/>
          <w:w w:val="105"/>
          <w:sz w:val="21"/>
        </w:rPr>
        <w:t>that</w:t>
      </w:r>
      <w:r>
        <w:rPr>
          <w:spacing w:val="-8"/>
          <w:w w:val="105"/>
          <w:sz w:val="21"/>
        </w:rPr>
        <w:t> </w:t>
      </w:r>
      <w:r>
        <w:rPr>
          <w:spacing w:val="-3"/>
          <w:w w:val="105"/>
          <w:sz w:val="21"/>
        </w:rPr>
        <w:t>retain</w:t>
      </w:r>
      <w:r>
        <w:rPr>
          <w:spacing w:val="-7"/>
          <w:w w:val="105"/>
          <w:sz w:val="21"/>
        </w:rPr>
        <w:t> </w:t>
      </w:r>
      <w:r>
        <w:rPr>
          <w:i/>
          <w:w w:val="105"/>
          <w:sz w:val="21"/>
        </w:rPr>
        <w:t>per</w:t>
      </w:r>
      <w:r>
        <w:rPr>
          <w:i/>
          <w:spacing w:val="-7"/>
          <w:w w:val="105"/>
          <w:sz w:val="21"/>
        </w:rPr>
        <w:t> </w:t>
      </w:r>
      <w:r>
        <w:rPr>
          <w:i/>
          <w:w w:val="105"/>
          <w:sz w:val="21"/>
        </w:rPr>
        <w:t>capita</w:t>
      </w:r>
      <w:r>
        <w:rPr>
          <w:i/>
          <w:spacing w:val="-8"/>
          <w:w w:val="105"/>
          <w:sz w:val="21"/>
        </w:rPr>
        <w:t> </w:t>
      </w:r>
      <w:r>
        <w:rPr>
          <w:w w:val="105"/>
          <w:sz w:val="21"/>
        </w:rPr>
        <w:t>distribution</w:t>
      </w:r>
      <w:r>
        <w:rPr>
          <w:spacing w:val="-7"/>
          <w:w w:val="105"/>
          <w:sz w:val="21"/>
        </w:rPr>
        <w:t> </w:t>
      </w:r>
      <w:r>
        <w:rPr>
          <w:w w:val="105"/>
          <w:sz w:val="21"/>
        </w:rPr>
        <w:t>in</w:t>
      </w:r>
      <w:r>
        <w:rPr>
          <w:spacing w:val="-7"/>
          <w:w w:val="105"/>
          <w:sz w:val="21"/>
        </w:rPr>
        <w:t> </w:t>
      </w:r>
      <w:r>
        <w:rPr>
          <w:spacing w:val="-3"/>
          <w:w w:val="105"/>
          <w:sz w:val="21"/>
        </w:rPr>
        <w:t>any</w:t>
      </w:r>
      <w:r>
        <w:rPr>
          <w:spacing w:val="-8"/>
          <w:w w:val="105"/>
          <w:sz w:val="21"/>
        </w:rPr>
        <w:t> </w:t>
      </w:r>
      <w:r>
        <w:rPr>
          <w:spacing w:val="-3"/>
          <w:w w:val="105"/>
          <w:sz w:val="21"/>
        </w:rPr>
        <w:t>form</w:t>
      </w:r>
      <w:r>
        <w:rPr>
          <w:spacing w:val="-7"/>
          <w:w w:val="105"/>
          <w:sz w:val="21"/>
        </w:rPr>
        <w:t> </w:t>
      </w:r>
      <w:r>
        <w:rPr>
          <w:w w:val="105"/>
          <w:sz w:val="21"/>
        </w:rPr>
        <w:t>when</w:t>
      </w:r>
      <w:r>
        <w:rPr>
          <w:spacing w:val="-8"/>
          <w:w w:val="105"/>
          <w:sz w:val="21"/>
        </w:rPr>
        <w:t> </w:t>
      </w:r>
      <w:r>
        <w:rPr>
          <w:w w:val="105"/>
          <w:sz w:val="21"/>
        </w:rPr>
        <w:t>next of </w:t>
      </w:r>
      <w:r>
        <w:rPr>
          <w:spacing w:val="-2"/>
          <w:w w:val="105"/>
          <w:sz w:val="21"/>
        </w:rPr>
        <w:t>kin </w:t>
      </w:r>
      <w:r>
        <w:rPr>
          <w:spacing w:val="-3"/>
          <w:w w:val="105"/>
          <w:sz w:val="21"/>
        </w:rPr>
        <w:t>take </w:t>
      </w:r>
      <w:r>
        <w:rPr>
          <w:w w:val="105"/>
          <w:sz w:val="21"/>
        </w:rPr>
        <w:t>by representation.</w:t>
      </w:r>
      <w:r>
        <w:rPr>
          <w:w w:val="105"/>
          <w:position w:val="7"/>
          <w:sz w:val="12"/>
        </w:rPr>
        <w:t>242 </w:t>
      </w:r>
      <w:r>
        <w:rPr>
          <w:spacing w:val="-3"/>
          <w:w w:val="105"/>
          <w:sz w:val="21"/>
        </w:rPr>
        <w:t>Adopting </w:t>
      </w:r>
      <w:r>
        <w:rPr>
          <w:w w:val="105"/>
          <w:sz w:val="21"/>
        </w:rPr>
        <w:t>the </w:t>
      </w:r>
      <w:r>
        <w:rPr>
          <w:spacing w:val="-3"/>
          <w:w w:val="105"/>
          <w:sz w:val="21"/>
        </w:rPr>
        <w:t>National </w:t>
      </w:r>
      <w:r>
        <w:rPr>
          <w:spacing w:val="-4"/>
          <w:w w:val="105"/>
          <w:sz w:val="21"/>
        </w:rPr>
        <w:t>Committee’s </w:t>
      </w:r>
      <w:r>
        <w:rPr>
          <w:spacing w:val="-3"/>
          <w:w w:val="105"/>
          <w:sz w:val="21"/>
        </w:rPr>
        <w:t>recommendations </w:t>
      </w:r>
      <w:r>
        <w:rPr>
          <w:w w:val="105"/>
          <w:sz w:val="21"/>
        </w:rPr>
        <w:t>would </w:t>
      </w:r>
      <w:r>
        <w:rPr>
          <w:spacing w:val="-3"/>
          <w:w w:val="105"/>
          <w:sz w:val="21"/>
        </w:rPr>
        <w:t>bring </w:t>
      </w:r>
      <w:r>
        <w:rPr>
          <w:w w:val="105"/>
          <w:sz w:val="21"/>
        </w:rPr>
        <w:t>Victoria </w:t>
      </w:r>
      <w:r>
        <w:rPr>
          <w:spacing w:val="-4"/>
          <w:w w:val="105"/>
          <w:sz w:val="21"/>
        </w:rPr>
        <w:t>into </w:t>
      </w:r>
      <w:r>
        <w:rPr>
          <w:spacing w:val="-3"/>
          <w:w w:val="105"/>
          <w:sz w:val="21"/>
        </w:rPr>
        <w:t>line </w:t>
      </w:r>
      <w:r>
        <w:rPr>
          <w:w w:val="105"/>
          <w:sz w:val="21"/>
        </w:rPr>
        <w:t>with most other states and</w:t>
      </w:r>
      <w:r>
        <w:rPr>
          <w:spacing w:val="32"/>
          <w:w w:val="105"/>
          <w:sz w:val="21"/>
        </w:rPr>
        <w:t> </w:t>
      </w:r>
      <w:r>
        <w:rPr>
          <w:spacing w:val="-3"/>
          <w:w w:val="105"/>
          <w:sz w:val="21"/>
        </w:rPr>
        <w:t>territories.</w:t>
      </w:r>
    </w:p>
    <w:p>
      <w:pPr>
        <w:pStyle w:val="BodyText"/>
        <w:spacing w:before="5"/>
        <w:rPr>
          <w:sz w:val="24"/>
        </w:rPr>
      </w:pPr>
    </w:p>
    <w:p>
      <w:pPr>
        <w:pStyle w:val="Heading5"/>
      </w:pPr>
      <w:bookmarkStart w:name="_TOC_250035" w:id="84"/>
      <w:bookmarkEnd w:id="84"/>
      <w:r>
        <w:rPr>
          <w:w w:val="115"/>
        </w:rPr>
        <w:t>Views and conclusions</w:t>
      </w:r>
    </w:p>
    <w:p>
      <w:pPr>
        <w:pStyle w:val="ListParagraph"/>
        <w:numPr>
          <w:ilvl w:val="1"/>
          <w:numId w:val="22"/>
        </w:numPr>
        <w:tabs>
          <w:tab w:pos="2381" w:val="left" w:leader="none"/>
          <w:tab w:pos="2382" w:val="left" w:leader="none"/>
        </w:tabs>
        <w:spacing w:line="242" w:lineRule="auto" w:before="138" w:after="0"/>
        <w:ind w:left="2381" w:right="1585" w:hanging="794"/>
        <w:jc w:val="left"/>
        <w:rPr>
          <w:sz w:val="12"/>
        </w:rPr>
      </w:pPr>
      <w:r>
        <w:rPr>
          <w:w w:val="105"/>
          <w:sz w:val="21"/>
        </w:rPr>
        <w:t>Most </w:t>
      </w:r>
      <w:r>
        <w:rPr>
          <w:spacing w:val="-5"/>
          <w:w w:val="105"/>
          <w:sz w:val="21"/>
        </w:rPr>
        <w:t>submissions </w:t>
      </w:r>
      <w:r>
        <w:rPr>
          <w:spacing w:val="-4"/>
          <w:w w:val="105"/>
          <w:sz w:val="21"/>
        </w:rPr>
        <w:t>that addressed this question agreed </w:t>
      </w:r>
      <w:r>
        <w:rPr>
          <w:spacing w:val="-3"/>
          <w:w w:val="105"/>
          <w:sz w:val="21"/>
        </w:rPr>
        <w:t>with the </w:t>
      </w:r>
      <w:r>
        <w:rPr>
          <w:spacing w:val="-4"/>
          <w:w w:val="105"/>
          <w:sz w:val="21"/>
        </w:rPr>
        <w:t>National </w:t>
      </w:r>
      <w:r>
        <w:rPr>
          <w:spacing w:val="-6"/>
          <w:w w:val="105"/>
          <w:sz w:val="21"/>
        </w:rPr>
        <w:t>Committee’s </w:t>
      </w:r>
      <w:r>
        <w:rPr>
          <w:spacing w:val="-4"/>
          <w:w w:val="105"/>
          <w:sz w:val="21"/>
        </w:rPr>
        <w:t>proposal that </w:t>
      </w:r>
      <w:r>
        <w:rPr>
          <w:i/>
          <w:w w:val="105"/>
          <w:sz w:val="21"/>
        </w:rPr>
        <w:t>per </w:t>
      </w:r>
      <w:r>
        <w:rPr>
          <w:i/>
          <w:spacing w:val="-4"/>
          <w:w w:val="105"/>
          <w:sz w:val="21"/>
        </w:rPr>
        <w:t>capita </w:t>
      </w:r>
      <w:r>
        <w:rPr>
          <w:spacing w:val="-4"/>
          <w:w w:val="105"/>
          <w:sz w:val="21"/>
        </w:rPr>
        <w:t>distribution should </w:t>
      </w:r>
      <w:r>
        <w:rPr>
          <w:w w:val="105"/>
          <w:sz w:val="21"/>
        </w:rPr>
        <w:t>be </w:t>
      </w:r>
      <w:r>
        <w:rPr>
          <w:spacing w:val="-4"/>
          <w:w w:val="105"/>
          <w:sz w:val="21"/>
        </w:rPr>
        <w:t>abolished and </w:t>
      </w:r>
      <w:r>
        <w:rPr>
          <w:i/>
          <w:w w:val="105"/>
          <w:sz w:val="21"/>
        </w:rPr>
        <w:t>per </w:t>
      </w:r>
      <w:r>
        <w:rPr>
          <w:i/>
          <w:spacing w:val="-3"/>
          <w:w w:val="105"/>
          <w:sz w:val="21"/>
        </w:rPr>
        <w:t>stirp</w:t>
      </w:r>
      <w:r>
        <w:rPr>
          <w:spacing w:val="-3"/>
          <w:w w:val="105"/>
          <w:sz w:val="21"/>
        </w:rPr>
        <w:t>es </w:t>
      </w:r>
      <w:r>
        <w:rPr>
          <w:spacing w:val="-4"/>
          <w:w w:val="105"/>
          <w:sz w:val="21"/>
        </w:rPr>
        <w:t>distribution </w:t>
      </w:r>
      <w:r>
        <w:rPr>
          <w:spacing w:val="-5"/>
          <w:w w:val="105"/>
          <w:sz w:val="21"/>
        </w:rPr>
        <w:t>should </w:t>
      </w:r>
      <w:r>
        <w:rPr>
          <w:w w:val="105"/>
          <w:sz w:val="21"/>
        </w:rPr>
        <w:t>be </w:t>
      </w:r>
      <w:r>
        <w:rPr>
          <w:spacing w:val="-4"/>
          <w:w w:val="105"/>
          <w:sz w:val="21"/>
        </w:rPr>
        <w:t>applied </w:t>
      </w:r>
      <w:r>
        <w:rPr>
          <w:spacing w:val="-3"/>
          <w:w w:val="105"/>
          <w:sz w:val="21"/>
        </w:rPr>
        <w:t>in </w:t>
      </w:r>
      <w:r>
        <w:rPr>
          <w:spacing w:val="-4"/>
          <w:w w:val="105"/>
          <w:sz w:val="21"/>
        </w:rPr>
        <w:t>all </w:t>
      </w:r>
      <w:r>
        <w:rPr>
          <w:spacing w:val="-3"/>
          <w:w w:val="105"/>
          <w:sz w:val="21"/>
        </w:rPr>
        <w:t>cases.</w:t>
      </w:r>
      <w:r>
        <w:rPr>
          <w:spacing w:val="-3"/>
          <w:w w:val="105"/>
          <w:position w:val="7"/>
          <w:sz w:val="12"/>
        </w:rPr>
        <w:t>243 </w:t>
      </w:r>
      <w:r>
        <w:rPr>
          <w:w w:val="105"/>
          <w:sz w:val="21"/>
        </w:rPr>
        <w:t>In </w:t>
      </w:r>
      <w:r>
        <w:rPr>
          <w:spacing w:val="-3"/>
          <w:w w:val="105"/>
          <w:sz w:val="21"/>
        </w:rPr>
        <w:t>support of </w:t>
      </w:r>
      <w:r>
        <w:rPr>
          <w:i/>
          <w:w w:val="105"/>
          <w:sz w:val="21"/>
        </w:rPr>
        <w:t>per </w:t>
      </w:r>
      <w:r>
        <w:rPr>
          <w:i/>
          <w:spacing w:val="-4"/>
          <w:w w:val="105"/>
          <w:sz w:val="21"/>
        </w:rPr>
        <w:t>stirpes </w:t>
      </w:r>
      <w:r>
        <w:rPr>
          <w:spacing w:val="-5"/>
          <w:w w:val="105"/>
          <w:sz w:val="21"/>
        </w:rPr>
        <w:t>distribution, Carolyn Sparke </w:t>
      </w:r>
      <w:r>
        <w:rPr>
          <w:spacing w:val="-3"/>
          <w:w w:val="105"/>
          <w:sz w:val="21"/>
        </w:rPr>
        <w:t>SC expressed the view </w:t>
      </w:r>
      <w:r>
        <w:rPr>
          <w:spacing w:val="-4"/>
          <w:w w:val="105"/>
          <w:sz w:val="21"/>
        </w:rPr>
        <w:t>that </w:t>
      </w:r>
      <w:r>
        <w:rPr>
          <w:i/>
          <w:w w:val="105"/>
          <w:sz w:val="21"/>
        </w:rPr>
        <w:t>per </w:t>
      </w:r>
      <w:r>
        <w:rPr>
          <w:i/>
          <w:spacing w:val="-4"/>
          <w:w w:val="105"/>
          <w:sz w:val="21"/>
        </w:rPr>
        <w:t>stirpes </w:t>
      </w:r>
      <w:r>
        <w:rPr>
          <w:spacing w:val="-4"/>
          <w:w w:val="105"/>
          <w:sz w:val="21"/>
        </w:rPr>
        <w:t>distribution ‘best </w:t>
      </w:r>
      <w:r>
        <w:rPr>
          <w:w w:val="105"/>
          <w:sz w:val="21"/>
        </w:rPr>
        <w:t>reflects </w:t>
      </w:r>
      <w:r>
        <w:rPr>
          <w:spacing w:val="-3"/>
          <w:w w:val="105"/>
          <w:sz w:val="21"/>
        </w:rPr>
        <w:t>our </w:t>
      </w:r>
      <w:r>
        <w:rPr>
          <w:spacing w:val="-4"/>
          <w:w w:val="105"/>
          <w:sz w:val="21"/>
        </w:rPr>
        <w:t>general notion </w:t>
      </w:r>
      <w:r>
        <w:rPr>
          <w:spacing w:val="-3"/>
          <w:w w:val="105"/>
          <w:sz w:val="21"/>
        </w:rPr>
        <w:t>of the </w:t>
      </w:r>
      <w:r>
        <w:rPr>
          <w:spacing w:val="-4"/>
          <w:w w:val="105"/>
          <w:sz w:val="21"/>
        </w:rPr>
        <w:t>way </w:t>
      </w:r>
      <w:r>
        <w:rPr>
          <w:spacing w:val="-5"/>
          <w:w w:val="105"/>
          <w:sz w:val="21"/>
        </w:rPr>
        <w:t>private </w:t>
      </w:r>
      <w:r>
        <w:rPr>
          <w:spacing w:val="-3"/>
          <w:w w:val="105"/>
          <w:sz w:val="21"/>
        </w:rPr>
        <w:t>property is passed down—that it </w:t>
      </w:r>
      <w:r>
        <w:rPr>
          <w:spacing w:val="-5"/>
          <w:w w:val="105"/>
          <w:sz w:val="21"/>
        </w:rPr>
        <w:t>primarily </w:t>
      </w:r>
      <w:r>
        <w:rPr>
          <w:spacing w:val="-4"/>
          <w:w w:val="105"/>
          <w:sz w:val="21"/>
        </w:rPr>
        <w:t>tends to </w:t>
      </w:r>
      <w:r>
        <w:rPr>
          <w:spacing w:val="-3"/>
          <w:w w:val="105"/>
          <w:sz w:val="21"/>
        </w:rPr>
        <w:t>pass down the </w:t>
      </w:r>
      <w:r>
        <w:rPr>
          <w:spacing w:val="-5"/>
          <w:w w:val="105"/>
          <w:sz w:val="21"/>
        </w:rPr>
        <w:t>family branches’.</w:t>
      </w:r>
      <w:r>
        <w:rPr>
          <w:spacing w:val="-5"/>
          <w:w w:val="105"/>
          <w:position w:val="7"/>
          <w:sz w:val="12"/>
        </w:rPr>
        <w:t>244 </w:t>
      </w:r>
      <w:r>
        <w:rPr>
          <w:spacing w:val="-3"/>
          <w:w w:val="105"/>
          <w:sz w:val="21"/>
        </w:rPr>
        <w:t>Some </w:t>
      </w:r>
      <w:r>
        <w:rPr>
          <w:spacing w:val="-5"/>
          <w:w w:val="105"/>
          <w:sz w:val="21"/>
        </w:rPr>
        <w:t>submissions </w:t>
      </w:r>
      <w:r>
        <w:rPr>
          <w:spacing w:val="-4"/>
          <w:w w:val="105"/>
          <w:sz w:val="21"/>
        </w:rPr>
        <w:t>agreed that </w:t>
      </w:r>
      <w:r>
        <w:rPr>
          <w:spacing w:val="-5"/>
          <w:w w:val="105"/>
          <w:sz w:val="21"/>
        </w:rPr>
        <w:t>distributing intestate </w:t>
      </w:r>
      <w:r>
        <w:rPr>
          <w:spacing w:val="-3"/>
          <w:w w:val="105"/>
          <w:sz w:val="21"/>
        </w:rPr>
        <w:t>estates </w:t>
      </w:r>
      <w:r>
        <w:rPr>
          <w:i/>
          <w:w w:val="105"/>
          <w:sz w:val="21"/>
        </w:rPr>
        <w:t>per </w:t>
      </w:r>
      <w:r>
        <w:rPr>
          <w:i/>
          <w:spacing w:val="-4"/>
          <w:w w:val="105"/>
          <w:sz w:val="21"/>
        </w:rPr>
        <w:t>stirpes </w:t>
      </w:r>
      <w:r>
        <w:rPr>
          <w:spacing w:val="-3"/>
          <w:w w:val="105"/>
          <w:sz w:val="21"/>
        </w:rPr>
        <w:t>in </w:t>
      </w:r>
      <w:r>
        <w:rPr>
          <w:spacing w:val="-4"/>
          <w:w w:val="105"/>
          <w:sz w:val="21"/>
        </w:rPr>
        <w:t>all instances would </w:t>
      </w:r>
      <w:r>
        <w:rPr>
          <w:w w:val="105"/>
          <w:sz w:val="21"/>
        </w:rPr>
        <w:t>be </w:t>
      </w:r>
      <w:r>
        <w:rPr>
          <w:spacing w:val="-4"/>
          <w:w w:val="105"/>
          <w:sz w:val="21"/>
        </w:rPr>
        <w:t>more </w:t>
      </w:r>
      <w:r>
        <w:rPr>
          <w:spacing w:val="-5"/>
          <w:w w:val="105"/>
          <w:sz w:val="21"/>
        </w:rPr>
        <w:t>consistent </w:t>
      </w:r>
      <w:r>
        <w:rPr>
          <w:spacing w:val="-3"/>
          <w:w w:val="105"/>
          <w:sz w:val="21"/>
        </w:rPr>
        <w:t>with the </w:t>
      </w:r>
      <w:r>
        <w:rPr>
          <w:spacing w:val="-4"/>
          <w:w w:val="105"/>
          <w:sz w:val="21"/>
        </w:rPr>
        <w:t>way wills are prepared,</w:t>
      </w:r>
      <w:r>
        <w:rPr>
          <w:spacing w:val="-4"/>
          <w:w w:val="105"/>
          <w:position w:val="7"/>
          <w:sz w:val="12"/>
        </w:rPr>
        <w:t>245 </w:t>
      </w:r>
      <w:r>
        <w:rPr>
          <w:spacing w:val="-4"/>
          <w:w w:val="105"/>
          <w:sz w:val="21"/>
        </w:rPr>
        <w:t>and </w:t>
      </w:r>
      <w:r>
        <w:rPr>
          <w:spacing w:val="-3"/>
          <w:w w:val="105"/>
          <w:sz w:val="21"/>
        </w:rPr>
        <w:t>with the </w:t>
      </w:r>
      <w:r>
        <w:rPr>
          <w:spacing w:val="-4"/>
          <w:w w:val="105"/>
          <w:sz w:val="21"/>
        </w:rPr>
        <w:t>distribution </w:t>
      </w:r>
      <w:r>
        <w:rPr>
          <w:spacing w:val="-3"/>
          <w:w w:val="105"/>
          <w:sz w:val="21"/>
        </w:rPr>
        <w:t>of </w:t>
      </w:r>
      <w:r>
        <w:rPr>
          <w:spacing w:val="-5"/>
          <w:w w:val="105"/>
          <w:sz w:val="21"/>
        </w:rPr>
        <w:t>intestate </w:t>
      </w:r>
      <w:r>
        <w:rPr>
          <w:spacing w:val="-3"/>
          <w:w w:val="105"/>
          <w:sz w:val="21"/>
        </w:rPr>
        <w:t>estates in </w:t>
      </w:r>
      <w:r>
        <w:rPr>
          <w:spacing w:val="-4"/>
          <w:w w:val="105"/>
          <w:sz w:val="21"/>
        </w:rPr>
        <w:t>other </w:t>
      </w:r>
      <w:r>
        <w:rPr>
          <w:w w:val="105"/>
          <w:sz w:val="21"/>
        </w:rPr>
        <w:t>parts </w:t>
      </w:r>
      <w:r>
        <w:rPr>
          <w:spacing w:val="-3"/>
          <w:w w:val="105"/>
          <w:sz w:val="21"/>
        </w:rPr>
        <w:t>of </w:t>
      </w:r>
      <w:r>
        <w:rPr>
          <w:spacing w:val="-4"/>
          <w:w w:val="105"/>
          <w:sz w:val="21"/>
        </w:rPr>
        <w:t>Australia.</w:t>
      </w:r>
      <w:r>
        <w:rPr>
          <w:spacing w:val="-4"/>
          <w:w w:val="105"/>
          <w:position w:val="7"/>
          <w:sz w:val="12"/>
        </w:rPr>
        <w:t>246 </w:t>
      </w:r>
      <w:r>
        <w:rPr>
          <w:spacing w:val="-3"/>
          <w:w w:val="105"/>
          <w:sz w:val="21"/>
        </w:rPr>
        <w:t>Moores </w:t>
      </w:r>
      <w:r>
        <w:rPr>
          <w:spacing w:val="-4"/>
          <w:w w:val="105"/>
          <w:sz w:val="21"/>
        </w:rPr>
        <w:t>Legal concluded that, </w:t>
      </w:r>
      <w:r>
        <w:rPr>
          <w:spacing w:val="-5"/>
          <w:w w:val="105"/>
          <w:sz w:val="21"/>
        </w:rPr>
        <w:t>since ‘either </w:t>
      </w:r>
      <w:r>
        <w:rPr>
          <w:spacing w:val="-4"/>
          <w:w w:val="105"/>
          <w:sz w:val="21"/>
        </w:rPr>
        <w:t>rule </w:t>
      </w:r>
      <w:r>
        <w:rPr>
          <w:spacing w:val="-3"/>
          <w:w w:val="105"/>
          <w:sz w:val="21"/>
        </w:rPr>
        <w:t>is </w:t>
      </w:r>
      <w:r>
        <w:rPr>
          <w:spacing w:val="-5"/>
          <w:w w:val="105"/>
          <w:sz w:val="21"/>
        </w:rPr>
        <w:t>fairly arbitrary’, </w:t>
      </w:r>
      <w:r>
        <w:rPr>
          <w:w w:val="105"/>
          <w:sz w:val="21"/>
        </w:rPr>
        <w:t>a </w:t>
      </w:r>
      <w:r>
        <w:rPr>
          <w:spacing w:val="-4"/>
          <w:w w:val="105"/>
          <w:sz w:val="21"/>
        </w:rPr>
        <w:t>rule that </w:t>
      </w:r>
      <w:r>
        <w:rPr>
          <w:spacing w:val="-3"/>
          <w:w w:val="105"/>
          <w:sz w:val="21"/>
        </w:rPr>
        <w:t>is </w:t>
      </w:r>
      <w:r>
        <w:rPr>
          <w:spacing w:val="-5"/>
          <w:w w:val="105"/>
          <w:sz w:val="21"/>
        </w:rPr>
        <w:t>consistent </w:t>
      </w:r>
      <w:r>
        <w:rPr>
          <w:spacing w:val="-3"/>
          <w:w w:val="105"/>
          <w:sz w:val="21"/>
        </w:rPr>
        <w:t>with </w:t>
      </w:r>
      <w:r>
        <w:rPr>
          <w:spacing w:val="-4"/>
          <w:w w:val="105"/>
          <w:sz w:val="21"/>
        </w:rPr>
        <w:t>broader practice </w:t>
      </w:r>
      <w:r>
        <w:rPr>
          <w:spacing w:val="-3"/>
          <w:w w:val="105"/>
          <w:sz w:val="21"/>
        </w:rPr>
        <w:t>is</w:t>
      </w:r>
      <w:r>
        <w:rPr>
          <w:spacing w:val="23"/>
          <w:w w:val="105"/>
          <w:sz w:val="21"/>
        </w:rPr>
        <w:t> </w:t>
      </w:r>
      <w:r>
        <w:rPr>
          <w:spacing w:val="-5"/>
          <w:w w:val="105"/>
          <w:sz w:val="21"/>
        </w:rPr>
        <w:t>preferable.</w:t>
      </w:r>
      <w:r>
        <w:rPr>
          <w:spacing w:val="-5"/>
          <w:w w:val="105"/>
          <w:position w:val="7"/>
          <w:sz w:val="12"/>
        </w:rPr>
        <w:t>247</w:t>
      </w:r>
    </w:p>
    <w:p>
      <w:pPr>
        <w:pStyle w:val="ListParagraph"/>
        <w:numPr>
          <w:ilvl w:val="1"/>
          <w:numId w:val="22"/>
        </w:numPr>
        <w:tabs>
          <w:tab w:pos="2381" w:val="left" w:leader="none"/>
          <w:tab w:pos="2382" w:val="left" w:leader="none"/>
        </w:tabs>
        <w:spacing w:line="242" w:lineRule="auto" w:before="130" w:after="0"/>
        <w:ind w:left="2381" w:right="1588" w:hanging="794"/>
        <w:jc w:val="left"/>
        <w:rPr>
          <w:sz w:val="21"/>
        </w:rPr>
      </w:pPr>
      <w:r>
        <w:rPr>
          <w:w w:val="105"/>
          <w:sz w:val="21"/>
        </w:rPr>
        <w:t>The Law </w:t>
      </w:r>
      <w:r>
        <w:rPr>
          <w:spacing w:val="-3"/>
          <w:w w:val="105"/>
          <w:sz w:val="21"/>
        </w:rPr>
        <w:t>Institute </w:t>
      </w:r>
      <w:r>
        <w:rPr>
          <w:w w:val="105"/>
          <w:sz w:val="21"/>
        </w:rPr>
        <w:t>of Victoria </w:t>
      </w:r>
      <w:r>
        <w:rPr>
          <w:spacing w:val="-3"/>
          <w:w w:val="105"/>
          <w:sz w:val="21"/>
        </w:rPr>
        <w:t>preferred retaining </w:t>
      </w:r>
      <w:r>
        <w:rPr>
          <w:i/>
          <w:w w:val="105"/>
          <w:sz w:val="21"/>
        </w:rPr>
        <w:t>per capita </w:t>
      </w:r>
      <w:r>
        <w:rPr>
          <w:spacing w:val="-3"/>
          <w:w w:val="105"/>
          <w:sz w:val="21"/>
        </w:rPr>
        <w:t>distribution, </w:t>
      </w:r>
      <w:r>
        <w:rPr>
          <w:w w:val="105"/>
          <w:sz w:val="21"/>
        </w:rPr>
        <w:t>but applying it </w:t>
      </w:r>
      <w:r>
        <w:rPr>
          <w:spacing w:val="-3"/>
          <w:w w:val="105"/>
          <w:sz w:val="21"/>
        </w:rPr>
        <w:t>equally to </w:t>
      </w:r>
      <w:r>
        <w:rPr>
          <w:w w:val="105"/>
          <w:sz w:val="21"/>
        </w:rPr>
        <w:t>nieces and nephews and </w:t>
      </w:r>
      <w:r>
        <w:rPr>
          <w:spacing w:val="-3"/>
          <w:w w:val="105"/>
          <w:sz w:val="21"/>
        </w:rPr>
        <w:t>grandchildren, </w:t>
      </w:r>
      <w:r>
        <w:rPr>
          <w:w w:val="105"/>
          <w:sz w:val="21"/>
        </w:rPr>
        <w:t>when </w:t>
      </w:r>
      <w:r>
        <w:rPr>
          <w:spacing w:val="-3"/>
          <w:w w:val="105"/>
          <w:sz w:val="21"/>
        </w:rPr>
        <w:t>all siblings </w:t>
      </w:r>
      <w:r>
        <w:rPr>
          <w:w w:val="105"/>
          <w:sz w:val="21"/>
        </w:rPr>
        <w:t>or </w:t>
      </w:r>
      <w:r>
        <w:rPr>
          <w:spacing w:val="-3"/>
          <w:w w:val="105"/>
          <w:sz w:val="21"/>
        </w:rPr>
        <w:t>children </w:t>
      </w:r>
      <w:r>
        <w:rPr>
          <w:w w:val="105"/>
          <w:sz w:val="21"/>
        </w:rPr>
        <w:t>of the deceased person </w:t>
      </w:r>
      <w:r>
        <w:rPr>
          <w:spacing w:val="-3"/>
          <w:w w:val="105"/>
          <w:sz w:val="21"/>
        </w:rPr>
        <w:t>have already </w:t>
      </w:r>
      <w:r>
        <w:rPr>
          <w:w w:val="105"/>
          <w:sz w:val="21"/>
        </w:rPr>
        <w:t>died.</w:t>
      </w:r>
      <w:r>
        <w:rPr>
          <w:w w:val="105"/>
          <w:position w:val="7"/>
          <w:sz w:val="12"/>
        </w:rPr>
        <w:t>248 </w:t>
      </w:r>
      <w:r>
        <w:rPr>
          <w:spacing w:val="-4"/>
          <w:w w:val="105"/>
          <w:sz w:val="21"/>
        </w:rPr>
        <w:t>However, </w:t>
      </w:r>
      <w:r>
        <w:rPr>
          <w:w w:val="105"/>
          <w:sz w:val="21"/>
        </w:rPr>
        <w:t>the </w:t>
      </w:r>
      <w:r>
        <w:rPr>
          <w:spacing w:val="-3"/>
          <w:w w:val="105"/>
          <w:sz w:val="21"/>
        </w:rPr>
        <w:t>Commission </w:t>
      </w:r>
      <w:r>
        <w:rPr>
          <w:w w:val="105"/>
          <w:sz w:val="21"/>
        </w:rPr>
        <w:t>agrees with the view expressed in other </w:t>
      </w:r>
      <w:r>
        <w:rPr>
          <w:spacing w:val="-3"/>
          <w:w w:val="105"/>
          <w:sz w:val="21"/>
        </w:rPr>
        <w:t>submissions </w:t>
      </w:r>
      <w:r>
        <w:rPr>
          <w:w w:val="105"/>
          <w:sz w:val="21"/>
        </w:rPr>
        <w:t>and by the </w:t>
      </w:r>
      <w:r>
        <w:rPr>
          <w:spacing w:val="-3"/>
          <w:w w:val="105"/>
          <w:sz w:val="21"/>
        </w:rPr>
        <w:t>National Committee that, </w:t>
      </w:r>
      <w:r>
        <w:rPr>
          <w:w w:val="105"/>
          <w:sz w:val="21"/>
        </w:rPr>
        <w:t>given the arbitrary </w:t>
      </w:r>
      <w:r>
        <w:rPr>
          <w:spacing w:val="-3"/>
          <w:w w:val="105"/>
          <w:sz w:val="21"/>
        </w:rPr>
        <w:t>nature </w:t>
      </w:r>
      <w:r>
        <w:rPr>
          <w:w w:val="105"/>
          <w:sz w:val="21"/>
        </w:rPr>
        <w:t>of either </w:t>
      </w:r>
      <w:r>
        <w:rPr>
          <w:spacing w:val="-3"/>
          <w:w w:val="105"/>
          <w:sz w:val="21"/>
        </w:rPr>
        <w:t>rule, </w:t>
      </w:r>
      <w:r>
        <w:rPr>
          <w:w w:val="105"/>
          <w:sz w:val="21"/>
        </w:rPr>
        <w:t>it is </w:t>
      </w:r>
      <w:r>
        <w:rPr>
          <w:spacing w:val="-3"/>
          <w:w w:val="105"/>
          <w:sz w:val="21"/>
        </w:rPr>
        <w:t>preferable to promote </w:t>
      </w:r>
      <w:r>
        <w:rPr>
          <w:w w:val="105"/>
          <w:sz w:val="21"/>
        </w:rPr>
        <w:t>consistency with other </w:t>
      </w:r>
      <w:r>
        <w:rPr>
          <w:spacing w:val="-3"/>
          <w:w w:val="105"/>
          <w:sz w:val="21"/>
        </w:rPr>
        <w:t>Australian </w:t>
      </w:r>
      <w:r>
        <w:rPr>
          <w:w w:val="105"/>
          <w:sz w:val="21"/>
        </w:rPr>
        <w:t>states and</w:t>
      </w:r>
      <w:r>
        <w:rPr>
          <w:spacing w:val="-7"/>
          <w:w w:val="105"/>
          <w:sz w:val="21"/>
        </w:rPr>
        <w:t> </w:t>
      </w:r>
      <w:r>
        <w:rPr>
          <w:spacing w:val="-3"/>
          <w:w w:val="105"/>
          <w:sz w:val="21"/>
        </w:rPr>
        <w:t>territories.</w:t>
      </w:r>
      <w:r>
        <w:rPr>
          <w:spacing w:val="-6"/>
          <w:w w:val="105"/>
          <w:sz w:val="21"/>
        </w:rPr>
        <w:t> </w:t>
      </w:r>
      <w:r>
        <w:rPr>
          <w:w w:val="105"/>
          <w:sz w:val="21"/>
        </w:rPr>
        <w:t>Only</w:t>
      </w:r>
      <w:r>
        <w:rPr>
          <w:spacing w:val="-6"/>
          <w:w w:val="105"/>
          <w:sz w:val="21"/>
        </w:rPr>
        <w:t> </w:t>
      </w:r>
      <w:r>
        <w:rPr>
          <w:w w:val="105"/>
          <w:sz w:val="21"/>
        </w:rPr>
        <w:t>Victoria</w:t>
      </w:r>
      <w:r>
        <w:rPr>
          <w:spacing w:val="-6"/>
          <w:w w:val="105"/>
          <w:sz w:val="21"/>
        </w:rPr>
        <w:t> </w:t>
      </w:r>
      <w:r>
        <w:rPr>
          <w:w w:val="105"/>
          <w:sz w:val="21"/>
        </w:rPr>
        <w:t>and</w:t>
      </w:r>
      <w:r>
        <w:rPr>
          <w:spacing w:val="-7"/>
          <w:w w:val="105"/>
          <w:sz w:val="21"/>
        </w:rPr>
        <w:t> </w:t>
      </w:r>
      <w:r>
        <w:rPr>
          <w:w w:val="105"/>
          <w:sz w:val="21"/>
        </w:rPr>
        <w:t>South</w:t>
      </w:r>
      <w:r>
        <w:rPr>
          <w:spacing w:val="-6"/>
          <w:w w:val="105"/>
          <w:sz w:val="21"/>
        </w:rPr>
        <w:t> </w:t>
      </w:r>
      <w:r>
        <w:rPr>
          <w:spacing w:val="-3"/>
          <w:w w:val="105"/>
          <w:sz w:val="21"/>
        </w:rPr>
        <w:t>Australia</w:t>
      </w:r>
      <w:r>
        <w:rPr>
          <w:spacing w:val="-6"/>
          <w:w w:val="105"/>
          <w:sz w:val="21"/>
        </w:rPr>
        <w:t> </w:t>
      </w:r>
      <w:r>
        <w:rPr>
          <w:spacing w:val="-3"/>
          <w:w w:val="105"/>
          <w:sz w:val="21"/>
        </w:rPr>
        <w:t>retain</w:t>
      </w:r>
      <w:r>
        <w:rPr>
          <w:spacing w:val="-6"/>
          <w:w w:val="105"/>
          <w:sz w:val="21"/>
        </w:rPr>
        <w:t> </w:t>
      </w:r>
      <w:r>
        <w:rPr>
          <w:spacing w:val="-3"/>
          <w:w w:val="105"/>
          <w:sz w:val="21"/>
        </w:rPr>
        <w:t>any</w:t>
      </w:r>
      <w:r>
        <w:rPr>
          <w:spacing w:val="-7"/>
          <w:w w:val="105"/>
          <w:sz w:val="21"/>
        </w:rPr>
        <w:t> </w:t>
      </w:r>
      <w:r>
        <w:rPr>
          <w:spacing w:val="-3"/>
          <w:w w:val="105"/>
          <w:sz w:val="21"/>
        </w:rPr>
        <w:t>form</w:t>
      </w:r>
      <w:r>
        <w:rPr>
          <w:spacing w:val="-6"/>
          <w:w w:val="105"/>
          <w:sz w:val="21"/>
        </w:rPr>
        <w:t> </w:t>
      </w:r>
      <w:r>
        <w:rPr>
          <w:w w:val="105"/>
          <w:sz w:val="21"/>
        </w:rPr>
        <w:t>of</w:t>
      </w:r>
      <w:r>
        <w:rPr>
          <w:spacing w:val="-6"/>
          <w:w w:val="105"/>
          <w:sz w:val="21"/>
        </w:rPr>
        <w:t> </w:t>
      </w:r>
      <w:r>
        <w:rPr>
          <w:i/>
          <w:w w:val="105"/>
          <w:sz w:val="21"/>
        </w:rPr>
        <w:t>per</w:t>
      </w:r>
      <w:r>
        <w:rPr>
          <w:i/>
          <w:spacing w:val="-6"/>
          <w:w w:val="105"/>
          <w:sz w:val="21"/>
        </w:rPr>
        <w:t> </w:t>
      </w:r>
      <w:r>
        <w:rPr>
          <w:i/>
          <w:w w:val="105"/>
          <w:sz w:val="21"/>
        </w:rPr>
        <w:t>capita</w:t>
      </w:r>
      <w:r>
        <w:rPr>
          <w:i/>
          <w:spacing w:val="-7"/>
          <w:w w:val="105"/>
          <w:sz w:val="21"/>
        </w:rPr>
        <w:t> </w:t>
      </w:r>
      <w:r>
        <w:rPr>
          <w:spacing w:val="-3"/>
          <w:w w:val="105"/>
          <w:sz w:val="21"/>
        </w:rPr>
        <w:t>distribution, </w:t>
      </w:r>
      <w:r>
        <w:rPr>
          <w:w w:val="105"/>
          <w:sz w:val="21"/>
        </w:rPr>
        <w:t>so </w:t>
      </w:r>
      <w:r>
        <w:rPr>
          <w:spacing w:val="-3"/>
          <w:w w:val="105"/>
          <w:sz w:val="21"/>
        </w:rPr>
        <w:t>to promote national consistency, </w:t>
      </w:r>
      <w:r>
        <w:rPr>
          <w:w w:val="105"/>
          <w:sz w:val="21"/>
        </w:rPr>
        <w:t>the </w:t>
      </w:r>
      <w:r>
        <w:rPr>
          <w:spacing w:val="-3"/>
          <w:w w:val="105"/>
          <w:sz w:val="21"/>
        </w:rPr>
        <w:t>Commission recommends that </w:t>
      </w:r>
      <w:r>
        <w:rPr>
          <w:i/>
          <w:w w:val="105"/>
          <w:sz w:val="21"/>
        </w:rPr>
        <w:t>per </w:t>
      </w:r>
      <w:r>
        <w:rPr>
          <w:i/>
          <w:spacing w:val="-2"/>
          <w:w w:val="105"/>
          <w:sz w:val="21"/>
        </w:rPr>
        <w:t>capita </w:t>
      </w:r>
      <w:r>
        <w:rPr>
          <w:spacing w:val="-2"/>
          <w:w w:val="105"/>
          <w:sz w:val="21"/>
        </w:rPr>
        <w:t>distribution </w:t>
      </w:r>
      <w:r>
        <w:rPr>
          <w:w w:val="105"/>
          <w:sz w:val="21"/>
        </w:rPr>
        <w:t>should be abolished and </w:t>
      </w:r>
      <w:r>
        <w:rPr>
          <w:i/>
          <w:w w:val="105"/>
          <w:sz w:val="21"/>
        </w:rPr>
        <w:t>per stirpes </w:t>
      </w:r>
      <w:r>
        <w:rPr>
          <w:spacing w:val="-2"/>
          <w:w w:val="105"/>
          <w:sz w:val="21"/>
        </w:rPr>
        <w:t>distribution </w:t>
      </w:r>
      <w:r>
        <w:rPr>
          <w:w w:val="105"/>
          <w:sz w:val="21"/>
        </w:rPr>
        <w:t>applied in </w:t>
      </w:r>
      <w:r>
        <w:rPr>
          <w:spacing w:val="-3"/>
          <w:w w:val="105"/>
          <w:sz w:val="21"/>
        </w:rPr>
        <w:t>all </w:t>
      </w:r>
      <w:r>
        <w:rPr>
          <w:w w:val="105"/>
          <w:sz w:val="21"/>
        </w:rPr>
        <w:t>cases, </w:t>
      </w:r>
      <w:r>
        <w:rPr>
          <w:spacing w:val="-3"/>
          <w:w w:val="105"/>
          <w:sz w:val="21"/>
        </w:rPr>
        <w:t>including </w:t>
      </w:r>
      <w:r>
        <w:rPr>
          <w:w w:val="105"/>
          <w:sz w:val="21"/>
        </w:rPr>
        <w:t>where </w:t>
      </w:r>
      <w:r>
        <w:rPr>
          <w:spacing w:val="-3"/>
          <w:w w:val="105"/>
          <w:sz w:val="21"/>
        </w:rPr>
        <w:t>all </w:t>
      </w:r>
      <w:r>
        <w:rPr>
          <w:w w:val="105"/>
          <w:sz w:val="21"/>
        </w:rPr>
        <w:t>members of the </w:t>
      </w:r>
      <w:r>
        <w:rPr>
          <w:spacing w:val="-3"/>
          <w:w w:val="105"/>
          <w:sz w:val="21"/>
        </w:rPr>
        <w:t>preceding </w:t>
      </w:r>
      <w:r>
        <w:rPr>
          <w:spacing w:val="-2"/>
          <w:w w:val="105"/>
          <w:sz w:val="21"/>
        </w:rPr>
        <w:t>generation </w:t>
      </w:r>
      <w:r>
        <w:rPr>
          <w:spacing w:val="-3"/>
          <w:w w:val="105"/>
          <w:sz w:val="21"/>
        </w:rPr>
        <w:t>are</w:t>
      </w:r>
      <w:r>
        <w:rPr>
          <w:spacing w:val="35"/>
          <w:w w:val="105"/>
          <w:sz w:val="21"/>
        </w:rPr>
        <w:t> </w:t>
      </w:r>
      <w:r>
        <w:rPr>
          <w:w w:val="105"/>
          <w:sz w:val="21"/>
        </w:rPr>
        <w:t>deceased.</w:t>
      </w:r>
    </w:p>
    <w:p>
      <w:pPr>
        <w:pStyle w:val="BodyText"/>
        <w:spacing w:before="9"/>
        <w:rPr>
          <w:sz w:val="15"/>
        </w:rPr>
      </w:pPr>
      <w:r>
        <w:rPr/>
        <w:pict>
          <v:group style="position:absolute;margin-left:62.362202pt;margin-top:11.603109pt;width:479.1pt;height:83.55pt;mso-position-horizontal-relative:page;mso-position-vertical-relative:paragraph;z-index:5720;mso-wrap-distance-left:0;mso-wrap-distance-right:0" coordorigin="1247,232" coordsize="9582,1671">
            <v:rect style="position:absolute;left:1587;top:232;width:8731;height:1671" filled="true" fillcolor="#fdebea" stroked="false">
              <v:fill type="solid"/>
            </v:rect>
            <v:line style="position:absolute" from="1247,983" to="10828,983" stroked="true" strokeweight="2.5pt" strokecolor="#ffffff">
              <v:stroke dashstyle="solid"/>
            </v:line>
            <v:shape style="position:absolute;left:2381;top:1219;width:7584;height:509" type="#_x0000_t202" filled="false" stroked="false">
              <v:textbox inset="0,0,0,0">
                <w:txbxContent>
                  <w:p>
                    <w:pPr>
                      <w:spacing w:line="240" w:lineRule="auto" w:before="0"/>
                      <w:ind w:left="0" w:right="0" w:firstLine="0"/>
                      <w:jc w:val="left"/>
                      <w:rPr>
                        <w:sz w:val="21"/>
                      </w:rPr>
                    </w:pPr>
                    <w:r>
                      <w:rPr>
                        <w:w w:val="115"/>
                        <w:sz w:val="21"/>
                      </w:rPr>
                      <w:t>Where</w:t>
                    </w:r>
                    <w:r>
                      <w:rPr>
                        <w:spacing w:val="-21"/>
                        <w:w w:val="115"/>
                        <w:sz w:val="21"/>
                      </w:rPr>
                      <w:t> </w:t>
                    </w:r>
                    <w:r>
                      <w:rPr>
                        <w:w w:val="115"/>
                        <w:sz w:val="21"/>
                      </w:rPr>
                      <w:t>next</w:t>
                    </w:r>
                    <w:r>
                      <w:rPr>
                        <w:spacing w:val="-21"/>
                        <w:w w:val="115"/>
                        <w:sz w:val="21"/>
                      </w:rPr>
                      <w:t> </w:t>
                    </w:r>
                    <w:r>
                      <w:rPr>
                        <w:w w:val="115"/>
                        <w:sz w:val="21"/>
                      </w:rPr>
                      <w:t>of</w:t>
                    </w:r>
                    <w:r>
                      <w:rPr>
                        <w:spacing w:val="-21"/>
                        <w:w w:val="115"/>
                        <w:sz w:val="21"/>
                      </w:rPr>
                      <w:t> </w:t>
                    </w:r>
                    <w:r>
                      <w:rPr>
                        <w:w w:val="115"/>
                        <w:sz w:val="21"/>
                      </w:rPr>
                      <w:t>kin</w:t>
                    </w:r>
                    <w:r>
                      <w:rPr>
                        <w:spacing w:val="-21"/>
                        <w:w w:val="115"/>
                        <w:sz w:val="21"/>
                      </w:rPr>
                      <w:t> </w:t>
                    </w:r>
                    <w:r>
                      <w:rPr>
                        <w:spacing w:val="-3"/>
                        <w:w w:val="115"/>
                        <w:sz w:val="21"/>
                      </w:rPr>
                      <w:t>take</w:t>
                    </w:r>
                    <w:r>
                      <w:rPr>
                        <w:spacing w:val="-21"/>
                        <w:w w:val="115"/>
                        <w:sz w:val="21"/>
                      </w:rPr>
                      <w:t> </w:t>
                    </w:r>
                    <w:r>
                      <w:rPr>
                        <w:w w:val="115"/>
                        <w:sz w:val="21"/>
                      </w:rPr>
                      <w:t>by</w:t>
                    </w:r>
                    <w:r>
                      <w:rPr>
                        <w:spacing w:val="-21"/>
                        <w:w w:val="115"/>
                        <w:sz w:val="21"/>
                      </w:rPr>
                      <w:t> </w:t>
                    </w:r>
                    <w:r>
                      <w:rPr>
                        <w:w w:val="115"/>
                        <w:sz w:val="21"/>
                      </w:rPr>
                      <w:t>representation,</w:t>
                    </w:r>
                    <w:r>
                      <w:rPr>
                        <w:spacing w:val="-21"/>
                        <w:w w:val="115"/>
                        <w:sz w:val="21"/>
                      </w:rPr>
                      <w:t> </w:t>
                    </w:r>
                    <w:r>
                      <w:rPr>
                        <w:rFonts w:ascii="Lucida Sans"/>
                        <w:i/>
                        <w:w w:val="115"/>
                        <w:sz w:val="21"/>
                      </w:rPr>
                      <w:t>per</w:t>
                    </w:r>
                    <w:r>
                      <w:rPr>
                        <w:rFonts w:ascii="Lucida Sans"/>
                        <w:i/>
                        <w:spacing w:val="-43"/>
                        <w:w w:val="115"/>
                        <w:sz w:val="21"/>
                      </w:rPr>
                      <w:t> </w:t>
                    </w:r>
                    <w:r>
                      <w:rPr>
                        <w:rFonts w:ascii="Lucida Sans"/>
                        <w:i/>
                        <w:w w:val="115"/>
                        <w:sz w:val="21"/>
                      </w:rPr>
                      <w:t>capita</w:t>
                    </w:r>
                    <w:r>
                      <w:rPr>
                        <w:rFonts w:ascii="Lucida Sans"/>
                        <w:i/>
                        <w:spacing w:val="-43"/>
                        <w:w w:val="115"/>
                        <w:sz w:val="21"/>
                      </w:rPr>
                      <w:t> </w:t>
                    </w:r>
                    <w:r>
                      <w:rPr>
                        <w:w w:val="115"/>
                        <w:sz w:val="21"/>
                      </w:rPr>
                      <w:t>distribution</w:t>
                    </w:r>
                    <w:r>
                      <w:rPr>
                        <w:spacing w:val="-21"/>
                        <w:w w:val="115"/>
                        <w:sz w:val="21"/>
                      </w:rPr>
                      <w:t> </w:t>
                    </w:r>
                    <w:r>
                      <w:rPr>
                        <w:w w:val="115"/>
                        <w:sz w:val="21"/>
                      </w:rPr>
                      <w:t>on</w:t>
                    </w:r>
                    <w:r>
                      <w:rPr>
                        <w:spacing w:val="-21"/>
                        <w:w w:val="115"/>
                        <w:sz w:val="21"/>
                      </w:rPr>
                      <w:t> </w:t>
                    </w:r>
                    <w:r>
                      <w:rPr>
                        <w:w w:val="115"/>
                        <w:sz w:val="21"/>
                      </w:rPr>
                      <w:t>intestacy should</w:t>
                    </w:r>
                    <w:r>
                      <w:rPr>
                        <w:spacing w:val="-23"/>
                        <w:w w:val="115"/>
                        <w:sz w:val="21"/>
                      </w:rPr>
                      <w:t> </w:t>
                    </w:r>
                    <w:r>
                      <w:rPr>
                        <w:w w:val="115"/>
                        <w:sz w:val="21"/>
                      </w:rPr>
                      <w:t>be</w:t>
                    </w:r>
                    <w:r>
                      <w:rPr>
                        <w:spacing w:val="-23"/>
                        <w:w w:val="115"/>
                        <w:sz w:val="21"/>
                      </w:rPr>
                      <w:t> </w:t>
                    </w:r>
                    <w:r>
                      <w:rPr>
                        <w:w w:val="115"/>
                        <w:sz w:val="21"/>
                      </w:rPr>
                      <w:t>abolished</w:t>
                    </w:r>
                    <w:r>
                      <w:rPr>
                        <w:spacing w:val="-23"/>
                        <w:w w:val="115"/>
                        <w:sz w:val="21"/>
                      </w:rPr>
                      <w:t> </w:t>
                    </w:r>
                    <w:r>
                      <w:rPr>
                        <w:w w:val="115"/>
                        <w:sz w:val="21"/>
                      </w:rPr>
                      <w:t>and</w:t>
                    </w:r>
                    <w:r>
                      <w:rPr>
                        <w:spacing w:val="-23"/>
                        <w:w w:val="115"/>
                        <w:sz w:val="21"/>
                      </w:rPr>
                      <w:t> </w:t>
                    </w:r>
                    <w:r>
                      <w:rPr>
                        <w:rFonts w:ascii="Lucida Sans"/>
                        <w:i/>
                        <w:w w:val="115"/>
                        <w:sz w:val="21"/>
                      </w:rPr>
                      <w:t>per</w:t>
                    </w:r>
                    <w:r>
                      <w:rPr>
                        <w:rFonts w:ascii="Lucida Sans"/>
                        <w:i/>
                        <w:spacing w:val="-45"/>
                        <w:w w:val="115"/>
                        <w:sz w:val="21"/>
                      </w:rPr>
                      <w:t> </w:t>
                    </w:r>
                    <w:r>
                      <w:rPr>
                        <w:rFonts w:ascii="Lucida Sans"/>
                        <w:i/>
                        <w:w w:val="115"/>
                        <w:sz w:val="21"/>
                      </w:rPr>
                      <w:t>stirpes</w:t>
                    </w:r>
                    <w:r>
                      <w:rPr>
                        <w:rFonts w:ascii="Lucida Sans"/>
                        <w:i/>
                        <w:spacing w:val="-45"/>
                        <w:w w:val="115"/>
                        <w:sz w:val="21"/>
                      </w:rPr>
                      <w:t> </w:t>
                    </w:r>
                    <w:r>
                      <w:rPr>
                        <w:w w:val="115"/>
                        <w:sz w:val="21"/>
                      </w:rPr>
                      <w:t>distribution</w:t>
                    </w:r>
                    <w:r>
                      <w:rPr>
                        <w:spacing w:val="-23"/>
                        <w:w w:val="115"/>
                        <w:sz w:val="21"/>
                      </w:rPr>
                      <w:t> </w:t>
                    </w:r>
                    <w:r>
                      <w:rPr>
                        <w:w w:val="115"/>
                        <w:sz w:val="21"/>
                      </w:rPr>
                      <w:t>should</w:t>
                    </w:r>
                    <w:r>
                      <w:rPr>
                        <w:spacing w:val="-23"/>
                        <w:w w:val="115"/>
                        <w:sz w:val="21"/>
                      </w:rPr>
                      <w:t> </w:t>
                    </w:r>
                    <w:r>
                      <w:rPr>
                        <w:w w:val="115"/>
                        <w:sz w:val="21"/>
                      </w:rPr>
                      <w:t>be</w:t>
                    </w:r>
                    <w:r>
                      <w:rPr>
                        <w:spacing w:val="-23"/>
                        <w:w w:val="115"/>
                        <w:sz w:val="21"/>
                      </w:rPr>
                      <w:t> </w:t>
                    </w:r>
                    <w:r>
                      <w:rPr>
                        <w:w w:val="115"/>
                        <w:sz w:val="21"/>
                      </w:rPr>
                      <w:t>applied</w:t>
                    </w:r>
                    <w:r>
                      <w:rPr>
                        <w:spacing w:val="-23"/>
                        <w:w w:val="115"/>
                        <w:sz w:val="21"/>
                      </w:rPr>
                      <w:t> </w:t>
                    </w:r>
                    <w:r>
                      <w:rPr>
                        <w:w w:val="115"/>
                        <w:sz w:val="21"/>
                      </w:rPr>
                      <w:t>in</w:t>
                    </w:r>
                    <w:r>
                      <w:rPr>
                        <w:spacing w:val="-23"/>
                        <w:w w:val="115"/>
                        <w:sz w:val="21"/>
                      </w:rPr>
                      <w:t> </w:t>
                    </w:r>
                    <w:r>
                      <w:rPr>
                        <w:spacing w:val="-3"/>
                        <w:w w:val="115"/>
                        <w:sz w:val="21"/>
                      </w:rPr>
                      <w:t>all</w:t>
                    </w:r>
                    <w:r>
                      <w:rPr>
                        <w:spacing w:val="-23"/>
                        <w:w w:val="115"/>
                        <w:sz w:val="21"/>
                      </w:rPr>
                      <w:t> </w:t>
                    </w:r>
                    <w:r>
                      <w:rPr>
                        <w:w w:val="115"/>
                        <w:sz w:val="21"/>
                      </w:rPr>
                      <w:t>cases.</w:t>
                    </w:r>
                  </w:p>
                </w:txbxContent>
              </v:textbox>
              <w10:wrap type="none"/>
            </v:shape>
            <v:shape style="position:absolute;left:1814;top:1219;width:256;height:249" type="#_x0000_t202" filled="false" stroked="false">
              <v:textbox inset="0,0,0,0">
                <w:txbxContent>
                  <w:p>
                    <w:pPr>
                      <w:spacing w:line="249" w:lineRule="exact" w:before="0"/>
                      <w:ind w:left="0" w:right="0" w:firstLine="0"/>
                      <w:jc w:val="left"/>
                      <w:rPr>
                        <w:sz w:val="21"/>
                      </w:rPr>
                    </w:pPr>
                    <w:r>
                      <w:rPr>
                        <w:w w:val="110"/>
                        <w:sz w:val="21"/>
                      </w:rPr>
                      <w:t>34</w:t>
                    </w:r>
                  </w:p>
                </w:txbxContent>
              </v:textbox>
              <w10:wrap type="none"/>
            </v:shape>
            <v:shape style="position:absolute;left:1587;top:232;width:8731;height:726" type="#_x0000_t202" filled="true" fillcolor="#fdebea" stroked="false">
              <v:textbox inset="0,0,0,0">
                <w:txbxContent>
                  <w:p>
                    <w:pPr>
                      <w:spacing w:before="166"/>
                      <w:ind w:left="226" w:right="0" w:firstLine="0"/>
                      <w:jc w:val="left"/>
                      <w:rPr>
                        <w:b/>
                        <w:sz w:val="32"/>
                      </w:rPr>
                    </w:pPr>
                    <w:r>
                      <w:rPr>
                        <w:b/>
                        <w:color w:val="EC5A4F"/>
                        <w:w w:val="110"/>
                        <w:sz w:val="32"/>
                      </w:rPr>
                      <w:t>Recommendation</w:t>
                    </w:r>
                  </w:p>
                </w:txbxContent>
              </v:textbox>
              <v:fill type="solid"/>
              <w10:wrap type="none"/>
            </v:shape>
            <w10:wrap type="topAndBottom"/>
          </v:group>
        </w:pict>
      </w:r>
    </w:p>
    <w:p>
      <w:pPr>
        <w:pStyle w:val="BodyText"/>
        <w:rPr>
          <w:sz w:val="20"/>
        </w:rPr>
      </w:pPr>
    </w:p>
    <w:p>
      <w:pPr>
        <w:pStyle w:val="BodyText"/>
        <w:rPr>
          <w:sz w:val="20"/>
        </w:rPr>
      </w:pPr>
    </w:p>
    <w:p>
      <w:pPr>
        <w:pStyle w:val="BodyText"/>
        <w:spacing w:before="10"/>
        <w:rPr>
          <w:sz w:val="29"/>
        </w:rPr>
      </w:pPr>
      <w:r>
        <w:rPr/>
        <w:pict>
          <v:line style="position:absolute;mso-position-horizontal-relative:page;mso-position-vertical-relative:paragraph;z-index:5744;mso-wrap-distance-left:0;mso-wrap-distance-right:0" from="79.370102pt,20.663538pt" to="515.905102pt,20.663538pt" stroked="true" strokeweight="1pt" strokecolor="#f9ceca">
            <v:stroke dashstyle="solid"/>
            <w10:wrap type="topAndBottom"/>
          </v:line>
        </w:pict>
      </w:r>
    </w:p>
    <w:p>
      <w:pPr>
        <w:pStyle w:val="ListParagraph"/>
        <w:numPr>
          <w:ilvl w:val="0"/>
          <w:numId w:val="72"/>
        </w:numPr>
        <w:tabs>
          <w:tab w:pos="2380" w:val="left" w:leader="none"/>
          <w:tab w:pos="2382" w:val="left" w:leader="none"/>
        </w:tabs>
        <w:spacing w:line="240" w:lineRule="auto" w:before="117" w:after="0"/>
        <w:ind w:left="2381" w:right="0" w:hanging="794"/>
        <w:jc w:val="left"/>
        <w:rPr>
          <w:sz w:val="13"/>
        </w:rPr>
      </w:pPr>
      <w:r>
        <w:rPr>
          <w:w w:val="105"/>
          <w:sz w:val="13"/>
        </w:rPr>
        <w:t>Ibid 147–8 recommendation</w:t>
      </w:r>
      <w:r>
        <w:rPr>
          <w:spacing w:val="13"/>
          <w:w w:val="105"/>
          <w:sz w:val="13"/>
        </w:rPr>
        <w:t> </w:t>
      </w:r>
      <w:r>
        <w:rPr>
          <w:w w:val="105"/>
          <w:sz w:val="13"/>
        </w:rPr>
        <w:t>28.</w:t>
      </w:r>
    </w:p>
    <w:p>
      <w:pPr>
        <w:pStyle w:val="ListParagraph"/>
        <w:numPr>
          <w:ilvl w:val="0"/>
          <w:numId w:val="72"/>
        </w:numPr>
        <w:tabs>
          <w:tab w:pos="2380" w:val="left" w:leader="none"/>
          <w:tab w:pos="2382" w:val="left" w:leader="none"/>
        </w:tabs>
        <w:spacing w:line="240" w:lineRule="auto" w:before="1" w:after="0"/>
        <w:ind w:left="2381" w:right="0" w:hanging="794"/>
        <w:jc w:val="left"/>
        <w:rPr>
          <w:sz w:val="13"/>
        </w:rPr>
      </w:pPr>
      <w:r>
        <w:rPr>
          <w:w w:val="105"/>
          <w:sz w:val="13"/>
        </w:rPr>
        <w:t>Victorian Law Reform Commission, above n 8</w:t>
      </w:r>
      <w:r>
        <w:rPr>
          <w:spacing w:val="2"/>
          <w:w w:val="105"/>
          <w:sz w:val="13"/>
        </w:rPr>
        <w:t> </w:t>
      </w:r>
      <w:r>
        <w:rPr>
          <w:w w:val="105"/>
          <w:sz w:val="13"/>
        </w:rPr>
        <w:t>36.</w:t>
      </w:r>
    </w:p>
    <w:p>
      <w:pPr>
        <w:pStyle w:val="ListParagraph"/>
        <w:numPr>
          <w:ilvl w:val="0"/>
          <w:numId w:val="72"/>
        </w:numPr>
        <w:tabs>
          <w:tab w:pos="2380" w:val="left" w:leader="none"/>
          <w:tab w:pos="2382" w:val="left" w:leader="none"/>
        </w:tabs>
        <w:spacing w:line="240" w:lineRule="auto" w:before="2" w:after="0"/>
        <w:ind w:left="2381" w:right="1774" w:hanging="794"/>
        <w:jc w:val="left"/>
        <w:rPr>
          <w:sz w:val="13"/>
        </w:rPr>
      </w:pPr>
      <w:r>
        <w:rPr>
          <w:w w:val="105"/>
          <w:sz w:val="13"/>
        </w:rPr>
        <w:t>South Australia allows for </w:t>
      </w:r>
      <w:r>
        <w:rPr>
          <w:i/>
          <w:w w:val="105"/>
          <w:sz w:val="13"/>
        </w:rPr>
        <w:t>per capita </w:t>
      </w:r>
      <w:r>
        <w:rPr>
          <w:w w:val="105"/>
          <w:sz w:val="13"/>
        </w:rPr>
        <w:t>distribution to the deceased person’s nieces and nephews if all of the deceased person’s siblings are deceased and to the deceased person’s first cousins if all of the deceased person’s aunts and uncles are deceased: </w:t>
      </w:r>
      <w:r>
        <w:rPr>
          <w:i/>
          <w:w w:val="105"/>
          <w:sz w:val="13"/>
        </w:rPr>
        <w:t>Administration and </w:t>
      </w:r>
      <w:r>
        <w:rPr>
          <w:i/>
          <w:w w:val="105"/>
          <w:sz w:val="13"/>
        </w:rPr>
        <w:t>Probate</w:t>
      </w:r>
      <w:r>
        <w:rPr>
          <w:i/>
          <w:spacing w:val="4"/>
          <w:w w:val="105"/>
          <w:sz w:val="13"/>
        </w:rPr>
        <w:t> </w:t>
      </w:r>
      <w:r>
        <w:rPr>
          <w:i/>
          <w:w w:val="105"/>
          <w:sz w:val="13"/>
        </w:rPr>
        <w:t>Act</w:t>
      </w:r>
      <w:r>
        <w:rPr>
          <w:i/>
          <w:spacing w:val="4"/>
          <w:w w:val="105"/>
          <w:sz w:val="13"/>
        </w:rPr>
        <w:t> </w:t>
      </w:r>
      <w:r>
        <w:rPr>
          <w:i/>
          <w:spacing w:val="-5"/>
          <w:w w:val="105"/>
          <w:sz w:val="13"/>
        </w:rPr>
        <w:t>1919</w:t>
      </w:r>
      <w:r>
        <w:rPr>
          <w:i/>
          <w:spacing w:val="5"/>
          <w:w w:val="105"/>
          <w:sz w:val="13"/>
        </w:rPr>
        <w:t> </w:t>
      </w:r>
      <w:r>
        <w:rPr>
          <w:spacing w:val="2"/>
          <w:w w:val="105"/>
          <w:sz w:val="13"/>
        </w:rPr>
        <w:t>(SA)</w:t>
      </w:r>
      <w:r>
        <w:rPr>
          <w:spacing w:val="5"/>
          <w:w w:val="105"/>
          <w:sz w:val="13"/>
        </w:rPr>
        <w:t> </w:t>
      </w:r>
      <w:r>
        <w:rPr>
          <w:w w:val="105"/>
          <w:sz w:val="13"/>
        </w:rPr>
        <w:t>s</w:t>
      </w:r>
      <w:r>
        <w:rPr>
          <w:spacing w:val="5"/>
          <w:w w:val="105"/>
          <w:sz w:val="13"/>
        </w:rPr>
        <w:t> </w:t>
      </w:r>
      <w:r>
        <w:rPr>
          <w:spacing w:val="3"/>
          <w:w w:val="105"/>
          <w:sz w:val="13"/>
        </w:rPr>
        <w:t>72J(b)(iv);</w:t>
      </w:r>
      <w:r>
        <w:rPr>
          <w:spacing w:val="5"/>
          <w:w w:val="105"/>
          <w:sz w:val="13"/>
        </w:rPr>
        <w:t> </w:t>
      </w:r>
      <w:r>
        <w:rPr>
          <w:w w:val="105"/>
          <w:sz w:val="13"/>
        </w:rPr>
        <w:t>National</w:t>
      </w:r>
      <w:r>
        <w:rPr>
          <w:spacing w:val="5"/>
          <w:w w:val="105"/>
          <w:sz w:val="13"/>
        </w:rPr>
        <w:t> </w:t>
      </w:r>
      <w:r>
        <w:rPr>
          <w:w w:val="105"/>
          <w:sz w:val="13"/>
        </w:rPr>
        <w:t>Committee</w:t>
      </w:r>
      <w:r>
        <w:rPr>
          <w:spacing w:val="5"/>
          <w:w w:val="105"/>
          <w:sz w:val="13"/>
        </w:rPr>
        <w:t> </w:t>
      </w:r>
      <w:r>
        <w:rPr>
          <w:w w:val="105"/>
          <w:sz w:val="13"/>
        </w:rPr>
        <w:t>for</w:t>
      </w:r>
      <w:r>
        <w:rPr>
          <w:spacing w:val="5"/>
          <w:w w:val="105"/>
          <w:sz w:val="13"/>
        </w:rPr>
        <w:t> </w:t>
      </w:r>
      <w:r>
        <w:rPr>
          <w:w w:val="105"/>
          <w:sz w:val="13"/>
        </w:rPr>
        <w:t>Uniform</w:t>
      </w:r>
      <w:r>
        <w:rPr>
          <w:spacing w:val="5"/>
          <w:w w:val="105"/>
          <w:sz w:val="13"/>
        </w:rPr>
        <w:t> </w:t>
      </w:r>
      <w:r>
        <w:rPr>
          <w:w w:val="105"/>
          <w:sz w:val="13"/>
        </w:rPr>
        <w:t>Succession</w:t>
      </w:r>
      <w:r>
        <w:rPr>
          <w:spacing w:val="5"/>
          <w:w w:val="105"/>
          <w:sz w:val="13"/>
        </w:rPr>
        <w:t> </w:t>
      </w:r>
      <w:r>
        <w:rPr>
          <w:w w:val="105"/>
          <w:sz w:val="13"/>
        </w:rPr>
        <w:t>Laws,</w:t>
      </w:r>
      <w:r>
        <w:rPr>
          <w:spacing w:val="5"/>
          <w:w w:val="105"/>
          <w:sz w:val="13"/>
        </w:rPr>
        <w:t> </w:t>
      </w:r>
      <w:r>
        <w:rPr>
          <w:w w:val="105"/>
          <w:sz w:val="13"/>
        </w:rPr>
        <w:t>above</w:t>
      </w:r>
      <w:r>
        <w:rPr>
          <w:spacing w:val="6"/>
          <w:w w:val="105"/>
          <w:sz w:val="13"/>
        </w:rPr>
        <w:t> </w:t>
      </w:r>
      <w:r>
        <w:rPr>
          <w:w w:val="105"/>
          <w:sz w:val="13"/>
        </w:rPr>
        <w:t>n</w:t>
      </w:r>
      <w:r>
        <w:rPr>
          <w:spacing w:val="5"/>
          <w:w w:val="105"/>
          <w:sz w:val="13"/>
        </w:rPr>
        <w:t> </w:t>
      </w:r>
      <w:r>
        <w:rPr>
          <w:w w:val="105"/>
          <w:sz w:val="13"/>
        </w:rPr>
        <w:t>10,</w:t>
      </w:r>
      <w:r>
        <w:rPr>
          <w:spacing w:val="5"/>
          <w:w w:val="105"/>
          <w:sz w:val="13"/>
        </w:rPr>
        <w:t> </w:t>
      </w:r>
      <w:r>
        <w:rPr>
          <w:w w:val="105"/>
          <w:sz w:val="13"/>
        </w:rPr>
        <w:t>140.</w:t>
      </w:r>
    </w:p>
    <w:p>
      <w:pPr>
        <w:pStyle w:val="ListParagraph"/>
        <w:numPr>
          <w:ilvl w:val="0"/>
          <w:numId w:val="72"/>
        </w:numPr>
        <w:tabs>
          <w:tab w:pos="2380" w:val="left" w:leader="none"/>
          <w:tab w:pos="2381" w:val="left" w:leader="none"/>
        </w:tabs>
        <w:spacing w:line="240" w:lineRule="auto" w:before="4" w:after="0"/>
        <w:ind w:left="2380" w:right="2222" w:hanging="793"/>
        <w:jc w:val="left"/>
        <w:rPr>
          <w:sz w:val="13"/>
        </w:rPr>
      </w:pPr>
      <w:r>
        <w:rPr>
          <w:w w:val="105"/>
          <w:sz w:val="13"/>
        </w:rPr>
        <w:t>Submissions 8 (Patricia Strachan); </w:t>
      </w:r>
      <w:r>
        <w:rPr>
          <w:spacing w:val="-3"/>
          <w:w w:val="105"/>
          <w:sz w:val="13"/>
        </w:rPr>
        <w:t>14 </w:t>
      </w:r>
      <w:r>
        <w:rPr>
          <w:w w:val="105"/>
          <w:sz w:val="13"/>
        </w:rPr>
        <w:t>(Commercial Bar </w:t>
      </w:r>
      <w:r>
        <w:rPr>
          <w:spacing w:val="2"/>
          <w:w w:val="105"/>
          <w:sz w:val="13"/>
        </w:rPr>
        <w:t>Association); </w:t>
      </w:r>
      <w:r>
        <w:rPr>
          <w:spacing w:val="-3"/>
          <w:w w:val="105"/>
          <w:sz w:val="13"/>
        </w:rPr>
        <w:t>19 </w:t>
      </w:r>
      <w:r>
        <w:rPr>
          <w:spacing w:val="2"/>
          <w:w w:val="105"/>
          <w:sz w:val="13"/>
        </w:rPr>
        <w:t>(Association </w:t>
      </w:r>
      <w:r>
        <w:rPr>
          <w:w w:val="105"/>
          <w:sz w:val="13"/>
        </w:rPr>
        <w:t>of Independent Retirees); 25 </w:t>
      </w:r>
      <w:r>
        <w:rPr>
          <w:spacing w:val="2"/>
          <w:w w:val="105"/>
          <w:sz w:val="13"/>
        </w:rPr>
        <w:t>(Moores </w:t>
      </w:r>
      <w:r>
        <w:rPr>
          <w:w w:val="105"/>
          <w:sz w:val="13"/>
        </w:rPr>
        <w:t>Legal); 26</w:t>
      </w:r>
      <w:r>
        <w:rPr>
          <w:spacing w:val="5"/>
          <w:w w:val="105"/>
          <w:sz w:val="13"/>
        </w:rPr>
        <w:t> </w:t>
      </w:r>
      <w:r>
        <w:rPr>
          <w:spacing w:val="2"/>
          <w:w w:val="105"/>
          <w:sz w:val="13"/>
        </w:rPr>
        <w:t>(Rigby</w:t>
      </w:r>
      <w:r>
        <w:rPr>
          <w:spacing w:val="5"/>
          <w:w w:val="105"/>
          <w:sz w:val="13"/>
        </w:rPr>
        <w:t> </w:t>
      </w:r>
      <w:r>
        <w:rPr>
          <w:w w:val="105"/>
          <w:sz w:val="13"/>
        </w:rPr>
        <w:t>Cooke</w:t>
      </w:r>
      <w:r>
        <w:rPr>
          <w:spacing w:val="6"/>
          <w:w w:val="105"/>
          <w:sz w:val="13"/>
        </w:rPr>
        <w:t> </w:t>
      </w:r>
      <w:r>
        <w:rPr>
          <w:spacing w:val="2"/>
          <w:w w:val="105"/>
          <w:sz w:val="13"/>
        </w:rPr>
        <w:t>Lawyers);</w:t>
      </w:r>
      <w:r>
        <w:rPr>
          <w:spacing w:val="5"/>
          <w:w w:val="105"/>
          <w:sz w:val="13"/>
        </w:rPr>
        <w:t> </w:t>
      </w:r>
      <w:r>
        <w:rPr>
          <w:w w:val="105"/>
          <w:sz w:val="13"/>
        </w:rPr>
        <w:t>33</w:t>
      </w:r>
      <w:r>
        <w:rPr>
          <w:spacing w:val="6"/>
          <w:w w:val="105"/>
          <w:sz w:val="13"/>
        </w:rPr>
        <w:t> </w:t>
      </w:r>
      <w:r>
        <w:rPr>
          <w:w w:val="105"/>
          <w:sz w:val="13"/>
        </w:rPr>
        <w:t>(State</w:t>
      </w:r>
      <w:r>
        <w:rPr>
          <w:spacing w:val="5"/>
          <w:w w:val="105"/>
          <w:sz w:val="13"/>
        </w:rPr>
        <w:t> </w:t>
      </w:r>
      <w:r>
        <w:rPr>
          <w:w w:val="105"/>
          <w:sz w:val="13"/>
        </w:rPr>
        <w:t>Trustees</w:t>
      </w:r>
      <w:r>
        <w:rPr>
          <w:spacing w:val="6"/>
          <w:w w:val="105"/>
          <w:sz w:val="13"/>
        </w:rPr>
        <w:t> </w:t>
      </w:r>
      <w:r>
        <w:rPr>
          <w:w w:val="105"/>
          <w:sz w:val="13"/>
        </w:rPr>
        <w:t>Limited);</w:t>
      </w:r>
      <w:r>
        <w:rPr>
          <w:spacing w:val="5"/>
          <w:w w:val="105"/>
          <w:sz w:val="13"/>
        </w:rPr>
        <w:t> </w:t>
      </w:r>
      <w:r>
        <w:rPr>
          <w:w w:val="105"/>
          <w:sz w:val="13"/>
        </w:rPr>
        <w:t>36</w:t>
      </w:r>
      <w:r>
        <w:rPr>
          <w:spacing w:val="5"/>
          <w:w w:val="105"/>
          <w:sz w:val="13"/>
        </w:rPr>
        <w:t> </w:t>
      </w:r>
      <w:r>
        <w:rPr>
          <w:spacing w:val="3"/>
          <w:w w:val="105"/>
          <w:sz w:val="13"/>
        </w:rPr>
        <w:t>(Law</w:t>
      </w:r>
      <w:r>
        <w:rPr>
          <w:spacing w:val="6"/>
          <w:w w:val="105"/>
          <w:sz w:val="13"/>
        </w:rPr>
        <w:t> </w:t>
      </w:r>
      <w:r>
        <w:rPr>
          <w:w w:val="105"/>
          <w:sz w:val="13"/>
        </w:rPr>
        <w:t>Society</w:t>
      </w:r>
      <w:r>
        <w:rPr>
          <w:spacing w:val="5"/>
          <w:w w:val="105"/>
          <w:sz w:val="13"/>
        </w:rPr>
        <w:t> </w:t>
      </w:r>
      <w:r>
        <w:rPr>
          <w:w w:val="105"/>
          <w:sz w:val="13"/>
        </w:rPr>
        <w:t>of</w:t>
      </w:r>
      <w:r>
        <w:rPr>
          <w:spacing w:val="6"/>
          <w:w w:val="105"/>
          <w:sz w:val="13"/>
        </w:rPr>
        <w:t> </w:t>
      </w:r>
      <w:r>
        <w:rPr>
          <w:w w:val="105"/>
          <w:sz w:val="13"/>
        </w:rPr>
        <w:t>New</w:t>
      </w:r>
      <w:r>
        <w:rPr>
          <w:spacing w:val="5"/>
          <w:w w:val="105"/>
          <w:sz w:val="13"/>
        </w:rPr>
        <w:t> </w:t>
      </w:r>
      <w:r>
        <w:rPr>
          <w:w w:val="105"/>
          <w:sz w:val="13"/>
        </w:rPr>
        <w:t>South</w:t>
      </w:r>
      <w:r>
        <w:rPr>
          <w:spacing w:val="6"/>
          <w:w w:val="105"/>
          <w:sz w:val="13"/>
        </w:rPr>
        <w:t> </w:t>
      </w:r>
      <w:r>
        <w:rPr>
          <w:w w:val="105"/>
          <w:sz w:val="13"/>
        </w:rPr>
        <w:t>Wales);</w:t>
      </w:r>
      <w:r>
        <w:rPr>
          <w:spacing w:val="5"/>
          <w:w w:val="105"/>
          <w:sz w:val="13"/>
        </w:rPr>
        <w:t> </w:t>
      </w:r>
      <w:r>
        <w:rPr>
          <w:w w:val="105"/>
          <w:sz w:val="13"/>
        </w:rPr>
        <w:t>40</w:t>
      </w:r>
      <w:r>
        <w:rPr>
          <w:spacing w:val="5"/>
          <w:w w:val="105"/>
          <w:sz w:val="13"/>
        </w:rPr>
        <w:t> </w:t>
      </w:r>
      <w:r>
        <w:rPr>
          <w:w w:val="105"/>
          <w:sz w:val="13"/>
        </w:rPr>
        <w:t>(Janice</w:t>
      </w:r>
      <w:r>
        <w:rPr>
          <w:spacing w:val="6"/>
          <w:w w:val="105"/>
          <w:sz w:val="13"/>
        </w:rPr>
        <w:t> </w:t>
      </w:r>
      <w:r>
        <w:rPr>
          <w:w w:val="105"/>
          <w:sz w:val="13"/>
        </w:rPr>
        <w:t>Brownfoot).</w:t>
      </w:r>
    </w:p>
    <w:p>
      <w:pPr>
        <w:pStyle w:val="ListParagraph"/>
        <w:numPr>
          <w:ilvl w:val="0"/>
          <w:numId w:val="72"/>
        </w:numPr>
        <w:tabs>
          <w:tab w:pos="2380" w:val="left" w:leader="none"/>
          <w:tab w:pos="2381" w:val="left" w:leader="none"/>
        </w:tabs>
        <w:spacing w:line="240" w:lineRule="auto" w:before="2" w:after="0"/>
        <w:ind w:left="2380" w:right="1708" w:hanging="793"/>
        <w:jc w:val="left"/>
        <w:rPr>
          <w:sz w:val="13"/>
        </w:rPr>
      </w:pPr>
      <w:r>
        <w:rPr>
          <w:sz w:val="13"/>
        </w:rPr>
        <w:t>Submission 39 (Carolyn Sparke  SC).  While  Carolyn  Sparke  contended  that  </w:t>
      </w:r>
      <w:r>
        <w:rPr>
          <w:spacing w:val="3"/>
          <w:sz w:val="13"/>
        </w:rPr>
        <w:t>‘[t]he  </w:t>
      </w:r>
      <w:r>
        <w:rPr>
          <w:sz w:val="13"/>
        </w:rPr>
        <w:t>present  system  of  </w:t>
      </w:r>
      <w:r>
        <w:rPr>
          <w:i/>
          <w:sz w:val="13"/>
        </w:rPr>
        <w:t>per  stirpes  </w:t>
      </w:r>
      <w:r>
        <w:rPr>
          <w:sz w:val="13"/>
        </w:rPr>
        <w:t>distribution  is  appropriate and does not need change’, application of </w:t>
      </w:r>
      <w:r>
        <w:rPr>
          <w:i/>
          <w:sz w:val="13"/>
        </w:rPr>
        <w:t>per stirpes </w:t>
      </w:r>
      <w:r>
        <w:rPr>
          <w:sz w:val="13"/>
        </w:rPr>
        <w:t>distribution in all instances, including to the deceased person’s nieces and nephews,        would require</w:t>
      </w:r>
      <w:r>
        <w:rPr>
          <w:spacing w:val="12"/>
          <w:sz w:val="13"/>
        </w:rPr>
        <w:t> </w:t>
      </w:r>
      <w:r>
        <w:rPr>
          <w:sz w:val="13"/>
        </w:rPr>
        <w:t>change.</w:t>
      </w:r>
    </w:p>
    <w:p>
      <w:pPr>
        <w:pStyle w:val="ListParagraph"/>
        <w:numPr>
          <w:ilvl w:val="0"/>
          <w:numId w:val="72"/>
        </w:numPr>
        <w:tabs>
          <w:tab w:pos="2380" w:val="left" w:leader="none"/>
          <w:tab w:pos="2381" w:val="left" w:leader="none"/>
        </w:tabs>
        <w:spacing w:line="240" w:lineRule="auto" w:before="4" w:after="0"/>
        <w:ind w:left="2380" w:right="0" w:hanging="793"/>
        <w:jc w:val="left"/>
        <w:rPr>
          <w:sz w:val="13"/>
        </w:rPr>
      </w:pPr>
      <w:r>
        <w:rPr>
          <w:w w:val="105"/>
          <w:sz w:val="13"/>
        </w:rPr>
        <w:t>Submissions 25 </w:t>
      </w:r>
      <w:r>
        <w:rPr>
          <w:spacing w:val="2"/>
          <w:w w:val="105"/>
          <w:sz w:val="13"/>
        </w:rPr>
        <w:t>(Moores </w:t>
      </w:r>
      <w:r>
        <w:rPr>
          <w:w w:val="105"/>
          <w:sz w:val="13"/>
        </w:rPr>
        <w:t>Legal); 26 </w:t>
      </w:r>
      <w:r>
        <w:rPr>
          <w:spacing w:val="2"/>
          <w:w w:val="105"/>
          <w:sz w:val="13"/>
        </w:rPr>
        <w:t>(Rigby </w:t>
      </w:r>
      <w:r>
        <w:rPr>
          <w:w w:val="105"/>
          <w:sz w:val="13"/>
        </w:rPr>
        <w:t>Cooke</w:t>
      </w:r>
      <w:r>
        <w:rPr>
          <w:spacing w:val="28"/>
          <w:w w:val="105"/>
          <w:sz w:val="13"/>
        </w:rPr>
        <w:t> </w:t>
      </w:r>
      <w:r>
        <w:rPr>
          <w:spacing w:val="2"/>
          <w:w w:val="105"/>
          <w:sz w:val="13"/>
        </w:rPr>
        <w:t>Lawyers).</w:t>
      </w:r>
    </w:p>
    <w:p>
      <w:pPr>
        <w:pStyle w:val="ListParagraph"/>
        <w:numPr>
          <w:ilvl w:val="0"/>
          <w:numId w:val="72"/>
        </w:numPr>
        <w:tabs>
          <w:tab w:pos="2380" w:val="left" w:leader="none"/>
          <w:tab w:pos="2382" w:val="left" w:leader="none"/>
        </w:tabs>
        <w:spacing w:line="240" w:lineRule="auto" w:before="2" w:after="0"/>
        <w:ind w:left="2381" w:right="0" w:hanging="794"/>
        <w:jc w:val="left"/>
        <w:rPr>
          <w:sz w:val="13"/>
        </w:rPr>
      </w:pPr>
      <w:r>
        <w:rPr>
          <w:w w:val="105"/>
          <w:sz w:val="13"/>
        </w:rPr>
        <w:t>Submissions</w:t>
      </w:r>
      <w:r>
        <w:rPr>
          <w:spacing w:val="4"/>
          <w:w w:val="105"/>
          <w:sz w:val="13"/>
        </w:rPr>
        <w:t> </w:t>
      </w:r>
      <w:r>
        <w:rPr>
          <w:w w:val="105"/>
          <w:sz w:val="13"/>
        </w:rPr>
        <w:t>25</w:t>
      </w:r>
      <w:r>
        <w:rPr>
          <w:spacing w:val="5"/>
          <w:w w:val="105"/>
          <w:sz w:val="13"/>
        </w:rPr>
        <w:t> </w:t>
      </w:r>
      <w:r>
        <w:rPr>
          <w:spacing w:val="2"/>
          <w:w w:val="105"/>
          <w:sz w:val="13"/>
        </w:rPr>
        <w:t>(Moores</w:t>
      </w:r>
      <w:r>
        <w:rPr>
          <w:spacing w:val="5"/>
          <w:w w:val="105"/>
          <w:sz w:val="13"/>
        </w:rPr>
        <w:t> </w:t>
      </w:r>
      <w:r>
        <w:rPr>
          <w:w w:val="105"/>
          <w:sz w:val="13"/>
        </w:rPr>
        <w:t>Legal);</w:t>
      </w:r>
      <w:r>
        <w:rPr>
          <w:spacing w:val="4"/>
          <w:w w:val="105"/>
          <w:sz w:val="13"/>
        </w:rPr>
        <w:t> </w:t>
      </w:r>
      <w:r>
        <w:rPr>
          <w:w w:val="105"/>
          <w:sz w:val="13"/>
        </w:rPr>
        <w:t>36</w:t>
      </w:r>
      <w:r>
        <w:rPr>
          <w:spacing w:val="5"/>
          <w:w w:val="105"/>
          <w:sz w:val="13"/>
        </w:rPr>
        <w:t> </w:t>
      </w:r>
      <w:r>
        <w:rPr>
          <w:spacing w:val="3"/>
          <w:w w:val="105"/>
          <w:sz w:val="13"/>
        </w:rPr>
        <w:t>(Law</w:t>
      </w:r>
      <w:r>
        <w:rPr>
          <w:spacing w:val="5"/>
          <w:w w:val="105"/>
          <w:sz w:val="13"/>
        </w:rPr>
        <w:t> </w:t>
      </w:r>
      <w:r>
        <w:rPr>
          <w:w w:val="105"/>
          <w:sz w:val="13"/>
        </w:rPr>
        <w:t>Society</w:t>
      </w:r>
      <w:r>
        <w:rPr>
          <w:spacing w:val="5"/>
          <w:w w:val="105"/>
          <w:sz w:val="13"/>
        </w:rPr>
        <w:t> </w:t>
      </w:r>
      <w:r>
        <w:rPr>
          <w:w w:val="105"/>
          <w:sz w:val="13"/>
        </w:rPr>
        <w:t>of</w:t>
      </w:r>
      <w:r>
        <w:rPr>
          <w:spacing w:val="4"/>
          <w:w w:val="105"/>
          <w:sz w:val="13"/>
        </w:rPr>
        <w:t> </w:t>
      </w:r>
      <w:r>
        <w:rPr>
          <w:w w:val="105"/>
          <w:sz w:val="13"/>
        </w:rPr>
        <w:t>New</w:t>
      </w:r>
      <w:r>
        <w:rPr>
          <w:spacing w:val="5"/>
          <w:w w:val="105"/>
          <w:sz w:val="13"/>
        </w:rPr>
        <w:t> </w:t>
      </w:r>
      <w:r>
        <w:rPr>
          <w:w w:val="105"/>
          <w:sz w:val="13"/>
        </w:rPr>
        <w:t>South</w:t>
      </w:r>
      <w:r>
        <w:rPr>
          <w:spacing w:val="5"/>
          <w:w w:val="105"/>
          <w:sz w:val="13"/>
        </w:rPr>
        <w:t> </w:t>
      </w:r>
      <w:r>
        <w:rPr>
          <w:w w:val="105"/>
          <w:sz w:val="13"/>
        </w:rPr>
        <w:t>Wales).</w:t>
      </w:r>
    </w:p>
    <w:p>
      <w:pPr>
        <w:pStyle w:val="ListParagraph"/>
        <w:numPr>
          <w:ilvl w:val="0"/>
          <w:numId w:val="72"/>
        </w:numPr>
        <w:tabs>
          <w:tab w:pos="2381" w:val="left" w:leader="none"/>
          <w:tab w:pos="2382" w:val="left" w:leader="none"/>
        </w:tabs>
        <w:spacing w:line="240" w:lineRule="auto" w:before="1" w:after="0"/>
        <w:ind w:left="2381" w:right="0" w:hanging="794"/>
        <w:jc w:val="left"/>
        <w:rPr>
          <w:sz w:val="13"/>
        </w:rPr>
      </w:pPr>
      <w:r>
        <w:rPr/>
        <w:pict>
          <v:shape style="position:absolute;margin-left:548.96051pt;margin-top:2.856965pt;width:13.2pt;height:14.25pt;mso-position-horizontal-relative:page;mso-position-vertical-relative:paragraph;z-index:7816" type="#_x0000_t202" filled="false" stroked="false">
            <v:textbox inset="0,0,0,0">
              <w:txbxContent>
                <w:p>
                  <w:pPr>
                    <w:spacing w:line="284" w:lineRule="exact" w:before="0"/>
                    <w:ind w:left="0" w:right="0" w:firstLine="0"/>
                    <w:jc w:val="left"/>
                    <w:rPr>
                      <w:b/>
                      <w:sz w:val="24"/>
                    </w:rPr>
                  </w:pPr>
                  <w:r>
                    <w:rPr>
                      <w:b/>
                      <w:color w:val="EC5A4F"/>
                      <w:spacing w:val="-2"/>
                      <w:w w:val="110"/>
                      <w:sz w:val="24"/>
                    </w:rPr>
                    <w:t>87</w:t>
                  </w:r>
                </w:p>
              </w:txbxContent>
            </v:textbox>
            <w10:wrap type="none"/>
          </v:shape>
        </w:pict>
      </w:r>
      <w:r>
        <w:rPr>
          <w:w w:val="105"/>
          <w:sz w:val="13"/>
        </w:rPr>
        <w:t>Submission 25 </w:t>
      </w:r>
      <w:r>
        <w:rPr>
          <w:spacing w:val="2"/>
          <w:w w:val="105"/>
          <w:sz w:val="13"/>
        </w:rPr>
        <w:t>(Moores</w:t>
      </w:r>
      <w:r>
        <w:rPr>
          <w:spacing w:val="13"/>
          <w:w w:val="105"/>
          <w:sz w:val="13"/>
        </w:rPr>
        <w:t> </w:t>
      </w:r>
      <w:r>
        <w:rPr>
          <w:w w:val="105"/>
          <w:sz w:val="13"/>
        </w:rPr>
        <w:t>Legal).</w:t>
      </w:r>
    </w:p>
    <w:p>
      <w:pPr>
        <w:pStyle w:val="ListParagraph"/>
        <w:numPr>
          <w:ilvl w:val="0"/>
          <w:numId w:val="72"/>
        </w:numPr>
        <w:tabs>
          <w:tab w:pos="2381" w:val="left" w:leader="none"/>
          <w:tab w:pos="2382" w:val="left" w:leader="none"/>
        </w:tabs>
        <w:spacing w:line="240" w:lineRule="auto" w:before="1" w:after="0"/>
        <w:ind w:left="2381" w:right="0" w:hanging="794"/>
        <w:jc w:val="left"/>
        <w:rPr>
          <w:sz w:val="13"/>
        </w:rPr>
      </w:pPr>
      <w:r>
        <w:rPr>
          <w:w w:val="105"/>
          <w:sz w:val="13"/>
        </w:rPr>
        <w:t>Submission </w:t>
      </w:r>
      <w:r>
        <w:rPr>
          <w:spacing w:val="2"/>
          <w:w w:val="105"/>
          <w:sz w:val="13"/>
        </w:rPr>
        <w:t>30b </w:t>
      </w:r>
      <w:r>
        <w:rPr>
          <w:spacing w:val="3"/>
          <w:w w:val="105"/>
          <w:sz w:val="13"/>
        </w:rPr>
        <w:t>(Law </w:t>
      </w:r>
      <w:r>
        <w:rPr>
          <w:w w:val="105"/>
          <w:sz w:val="13"/>
        </w:rPr>
        <w:t>Institute of</w:t>
      </w:r>
      <w:r>
        <w:rPr>
          <w:spacing w:val="17"/>
          <w:w w:val="105"/>
          <w:sz w:val="13"/>
        </w:rPr>
        <w:t> </w:t>
      </w:r>
      <w:r>
        <w:rPr>
          <w:spacing w:val="2"/>
          <w:w w:val="105"/>
          <w:sz w:val="13"/>
        </w:rPr>
        <w:t>Victoria).</w:t>
      </w:r>
    </w:p>
    <w:p>
      <w:pPr>
        <w:spacing w:after="0" w:line="240" w:lineRule="auto"/>
        <w:jc w:val="left"/>
        <w:rPr>
          <w:sz w:val="13"/>
        </w:rPr>
        <w:sectPr>
          <w:pgSz w:w="11910" w:h="16840"/>
          <w:pgMar w:header="805" w:footer="0" w:top="1360" w:bottom="280" w:left="0" w:right="0"/>
        </w:sectPr>
      </w:pPr>
    </w:p>
    <w:p>
      <w:pPr>
        <w:pStyle w:val="BodyText"/>
        <w:spacing w:before="2"/>
        <w:rPr>
          <w:sz w:val="22"/>
        </w:rPr>
      </w:pPr>
    </w:p>
    <w:p>
      <w:pPr>
        <w:pStyle w:val="Heading6"/>
        <w:spacing w:before="92"/>
        <w:rPr>
          <w:rFonts w:ascii="Lucida Sans"/>
          <w:b/>
        </w:rPr>
      </w:pPr>
      <w:r>
        <w:rPr>
          <w:rFonts w:ascii="Lucida Sans"/>
          <w:b/>
        </w:rPr>
        <w:t>Examples</w:t>
      </w:r>
    </w:p>
    <w:p>
      <w:pPr>
        <w:pStyle w:val="ListParagraph"/>
        <w:numPr>
          <w:ilvl w:val="1"/>
          <w:numId w:val="22"/>
        </w:numPr>
        <w:tabs>
          <w:tab w:pos="2380" w:val="left" w:leader="none"/>
          <w:tab w:pos="2381" w:val="left" w:leader="none"/>
        </w:tabs>
        <w:spacing w:line="242" w:lineRule="auto" w:before="152" w:after="0"/>
        <w:ind w:left="2381" w:right="1855" w:hanging="794"/>
        <w:jc w:val="left"/>
        <w:rPr>
          <w:sz w:val="21"/>
        </w:rPr>
      </w:pPr>
      <w:r>
        <w:rPr>
          <w:sz w:val="21"/>
        </w:rPr>
        <w:t>Distribution under the recommended scheme in the </w:t>
      </w:r>
      <w:r>
        <w:rPr>
          <w:spacing w:val="-3"/>
          <w:sz w:val="21"/>
        </w:rPr>
        <w:t>situation illustrated </w:t>
      </w:r>
      <w:r>
        <w:rPr>
          <w:sz w:val="21"/>
        </w:rPr>
        <w:t>by </w:t>
      </w:r>
      <w:r>
        <w:rPr>
          <w:rFonts w:ascii="Lucida Sans"/>
          <w:b/>
          <w:sz w:val="21"/>
        </w:rPr>
        <w:t>Figure 4 </w:t>
      </w:r>
      <w:r>
        <w:rPr>
          <w:sz w:val="21"/>
        </w:rPr>
        <w:t>would be the same as </w:t>
      </w:r>
      <w:r>
        <w:rPr>
          <w:spacing w:val="-2"/>
          <w:sz w:val="21"/>
        </w:rPr>
        <w:t>distribution </w:t>
      </w:r>
      <w:r>
        <w:rPr>
          <w:sz w:val="21"/>
        </w:rPr>
        <w:t>under the </w:t>
      </w:r>
      <w:r>
        <w:rPr>
          <w:spacing w:val="-3"/>
          <w:sz w:val="21"/>
        </w:rPr>
        <w:t>current </w:t>
      </w:r>
      <w:r>
        <w:rPr>
          <w:sz w:val="21"/>
        </w:rPr>
        <w:t>Victorian </w:t>
      </w:r>
      <w:r>
        <w:rPr>
          <w:spacing w:val="-5"/>
          <w:sz w:val="21"/>
        </w:rPr>
        <w:t>law. </w:t>
      </w:r>
      <w:r>
        <w:rPr>
          <w:sz w:val="21"/>
        </w:rPr>
        <w:t>As is the case under the </w:t>
      </w:r>
      <w:r>
        <w:rPr>
          <w:spacing w:val="-3"/>
          <w:sz w:val="21"/>
        </w:rPr>
        <w:t>current</w:t>
      </w:r>
      <w:r>
        <w:rPr>
          <w:spacing w:val="16"/>
          <w:sz w:val="21"/>
        </w:rPr>
        <w:t> </w:t>
      </w:r>
      <w:r>
        <w:rPr>
          <w:sz w:val="21"/>
        </w:rPr>
        <w:t>law:</w:t>
      </w:r>
    </w:p>
    <w:p>
      <w:pPr>
        <w:pStyle w:val="ListParagraph"/>
        <w:numPr>
          <w:ilvl w:val="2"/>
          <w:numId w:val="22"/>
        </w:numPr>
        <w:tabs>
          <w:tab w:pos="2721" w:val="left" w:leader="none"/>
          <w:tab w:pos="2722" w:val="left" w:leader="none"/>
        </w:tabs>
        <w:spacing w:line="240" w:lineRule="auto" w:before="124" w:after="0"/>
        <w:ind w:left="2721" w:right="0" w:hanging="340"/>
        <w:jc w:val="left"/>
        <w:rPr>
          <w:sz w:val="21"/>
        </w:rPr>
      </w:pPr>
      <w:r>
        <w:rPr>
          <w:spacing w:val="-3"/>
          <w:sz w:val="21"/>
        </w:rPr>
        <w:t>grandchild </w:t>
      </w:r>
      <w:r>
        <w:rPr>
          <w:sz w:val="21"/>
        </w:rPr>
        <w:t>1 would </w:t>
      </w:r>
      <w:r>
        <w:rPr>
          <w:spacing w:val="-3"/>
          <w:sz w:val="21"/>
        </w:rPr>
        <w:t>take child </w:t>
      </w:r>
      <w:r>
        <w:rPr>
          <w:spacing w:val="-8"/>
          <w:sz w:val="21"/>
        </w:rPr>
        <w:t>1’s </w:t>
      </w:r>
      <w:r>
        <w:rPr>
          <w:spacing w:val="-3"/>
          <w:sz w:val="21"/>
        </w:rPr>
        <w:t>share </w:t>
      </w:r>
      <w:r>
        <w:rPr>
          <w:sz w:val="21"/>
        </w:rPr>
        <w:t>as </w:t>
      </w:r>
      <w:r>
        <w:rPr>
          <w:spacing w:val="-3"/>
          <w:sz w:val="21"/>
        </w:rPr>
        <w:t>child</w:t>
      </w:r>
      <w:r>
        <w:rPr>
          <w:spacing w:val="5"/>
          <w:sz w:val="21"/>
        </w:rPr>
        <w:t> </w:t>
      </w:r>
      <w:r>
        <w:rPr>
          <w:spacing w:val="-8"/>
          <w:sz w:val="21"/>
        </w:rPr>
        <w:t>1’s </w:t>
      </w:r>
      <w:r>
        <w:rPr>
          <w:sz w:val="21"/>
        </w:rPr>
        <w:t>representative</w:t>
      </w:r>
    </w:p>
    <w:p>
      <w:pPr>
        <w:pStyle w:val="ListParagraph"/>
        <w:numPr>
          <w:ilvl w:val="2"/>
          <w:numId w:val="22"/>
        </w:numPr>
        <w:tabs>
          <w:tab w:pos="2721" w:val="left" w:leader="none"/>
          <w:tab w:pos="2722" w:val="left" w:leader="none"/>
        </w:tabs>
        <w:spacing w:line="242" w:lineRule="auto" w:before="124" w:after="0"/>
        <w:ind w:left="2721" w:right="2277" w:hanging="340"/>
        <w:jc w:val="left"/>
        <w:rPr>
          <w:sz w:val="21"/>
        </w:rPr>
      </w:pPr>
      <w:r>
        <w:rPr>
          <w:spacing w:val="-3"/>
          <w:w w:val="105"/>
          <w:sz w:val="21"/>
        </w:rPr>
        <w:t>child</w:t>
      </w:r>
      <w:r>
        <w:rPr>
          <w:spacing w:val="-8"/>
          <w:w w:val="105"/>
          <w:sz w:val="21"/>
        </w:rPr>
        <w:t> </w:t>
      </w:r>
      <w:r>
        <w:rPr>
          <w:w w:val="105"/>
          <w:sz w:val="21"/>
        </w:rPr>
        <w:t>2</w:t>
      </w:r>
      <w:r>
        <w:rPr>
          <w:spacing w:val="-7"/>
          <w:w w:val="105"/>
          <w:sz w:val="21"/>
        </w:rPr>
        <w:t> </w:t>
      </w:r>
      <w:r>
        <w:rPr>
          <w:w w:val="105"/>
          <w:sz w:val="21"/>
        </w:rPr>
        <w:t>would</w:t>
      </w:r>
      <w:r>
        <w:rPr>
          <w:spacing w:val="-8"/>
          <w:w w:val="105"/>
          <w:sz w:val="21"/>
        </w:rPr>
        <w:t> </w:t>
      </w:r>
      <w:r>
        <w:rPr>
          <w:spacing w:val="-3"/>
          <w:w w:val="105"/>
          <w:sz w:val="21"/>
        </w:rPr>
        <w:t>take</w:t>
      </w:r>
      <w:r>
        <w:rPr>
          <w:spacing w:val="-7"/>
          <w:w w:val="105"/>
          <w:sz w:val="21"/>
        </w:rPr>
        <w:t> </w:t>
      </w:r>
      <w:r>
        <w:rPr>
          <w:w w:val="105"/>
          <w:sz w:val="21"/>
        </w:rPr>
        <w:t>their</w:t>
      </w:r>
      <w:r>
        <w:rPr>
          <w:spacing w:val="-7"/>
          <w:w w:val="105"/>
          <w:sz w:val="21"/>
        </w:rPr>
        <w:t> </w:t>
      </w:r>
      <w:r>
        <w:rPr>
          <w:w w:val="105"/>
          <w:sz w:val="21"/>
        </w:rPr>
        <w:t>own</w:t>
      </w:r>
      <w:r>
        <w:rPr>
          <w:spacing w:val="-8"/>
          <w:w w:val="105"/>
          <w:sz w:val="21"/>
        </w:rPr>
        <w:t> </w:t>
      </w:r>
      <w:r>
        <w:rPr>
          <w:spacing w:val="-4"/>
          <w:w w:val="105"/>
          <w:sz w:val="21"/>
        </w:rPr>
        <w:t>share,</w:t>
      </w:r>
      <w:r>
        <w:rPr>
          <w:spacing w:val="-7"/>
          <w:w w:val="105"/>
          <w:sz w:val="21"/>
        </w:rPr>
        <w:t> </w:t>
      </w:r>
      <w:r>
        <w:rPr>
          <w:w w:val="105"/>
          <w:sz w:val="21"/>
        </w:rPr>
        <w:t>as</w:t>
      </w:r>
      <w:r>
        <w:rPr>
          <w:spacing w:val="-7"/>
          <w:w w:val="105"/>
          <w:sz w:val="21"/>
        </w:rPr>
        <w:t> </w:t>
      </w:r>
      <w:r>
        <w:rPr>
          <w:w w:val="105"/>
          <w:sz w:val="21"/>
        </w:rPr>
        <w:t>they</w:t>
      </w:r>
      <w:r>
        <w:rPr>
          <w:spacing w:val="-8"/>
          <w:w w:val="105"/>
          <w:sz w:val="21"/>
        </w:rPr>
        <w:t> </w:t>
      </w:r>
      <w:r>
        <w:rPr>
          <w:spacing w:val="-3"/>
          <w:w w:val="105"/>
          <w:sz w:val="21"/>
        </w:rPr>
        <w:t>have</w:t>
      </w:r>
      <w:r>
        <w:rPr>
          <w:spacing w:val="-7"/>
          <w:w w:val="105"/>
          <w:sz w:val="21"/>
        </w:rPr>
        <w:t> </w:t>
      </w:r>
      <w:r>
        <w:rPr>
          <w:w w:val="105"/>
          <w:sz w:val="21"/>
        </w:rPr>
        <w:t>survived</w:t>
      </w:r>
      <w:r>
        <w:rPr>
          <w:spacing w:val="-7"/>
          <w:w w:val="105"/>
          <w:sz w:val="21"/>
        </w:rPr>
        <w:t> </w:t>
      </w:r>
      <w:r>
        <w:rPr>
          <w:w w:val="105"/>
          <w:sz w:val="21"/>
        </w:rPr>
        <w:t>the</w:t>
      </w:r>
      <w:r>
        <w:rPr>
          <w:spacing w:val="-8"/>
          <w:w w:val="105"/>
          <w:sz w:val="21"/>
        </w:rPr>
        <w:t> </w:t>
      </w:r>
      <w:r>
        <w:rPr>
          <w:w w:val="105"/>
          <w:sz w:val="21"/>
        </w:rPr>
        <w:t>deceased</w:t>
      </w:r>
      <w:r>
        <w:rPr>
          <w:spacing w:val="-7"/>
          <w:w w:val="105"/>
          <w:sz w:val="21"/>
        </w:rPr>
        <w:t> </w:t>
      </w:r>
      <w:r>
        <w:rPr>
          <w:w w:val="105"/>
          <w:sz w:val="21"/>
        </w:rPr>
        <w:t>person by 30 days; </w:t>
      </w:r>
      <w:r>
        <w:rPr>
          <w:w w:val="105"/>
          <w:position w:val="7"/>
          <w:sz w:val="12"/>
        </w:rPr>
        <w:t>249 </w:t>
      </w:r>
      <w:r>
        <w:rPr>
          <w:spacing w:val="-3"/>
          <w:w w:val="105"/>
          <w:sz w:val="21"/>
        </w:rPr>
        <w:t>grandchild </w:t>
      </w:r>
      <w:r>
        <w:rPr>
          <w:w w:val="105"/>
          <w:sz w:val="21"/>
        </w:rPr>
        <w:t>2 and </w:t>
      </w:r>
      <w:r>
        <w:rPr>
          <w:spacing w:val="-3"/>
          <w:w w:val="105"/>
          <w:sz w:val="21"/>
        </w:rPr>
        <w:t>grandchild </w:t>
      </w:r>
      <w:r>
        <w:rPr>
          <w:w w:val="105"/>
          <w:sz w:val="21"/>
        </w:rPr>
        <w:t>3 would </w:t>
      </w:r>
      <w:r>
        <w:rPr>
          <w:spacing w:val="-2"/>
          <w:w w:val="105"/>
          <w:sz w:val="21"/>
        </w:rPr>
        <w:t>not </w:t>
      </w:r>
      <w:r>
        <w:rPr>
          <w:w w:val="105"/>
          <w:sz w:val="21"/>
        </w:rPr>
        <w:t>receive a</w:t>
      </w:r>
      <w:r>
        <w:rPr>
          <w:spacing w:val="9"/>
          <w:w w:val="105"/>
          <w:sz w:val="21"/>
        </w:rPr>
        <w:t> </w:t>
      </w:r>
      <w:r>
        <w:rPr>
          <w:spacing w:val="-3"/>
          <w:w w:val="105"/>
          <w:sz w:val="21"/>
        </w:rPr>
        <w:t>share</w:t>
      </w:r>
    </w:p>
    <w:p>
      <w:pPr>
        <w:pStyle w:val="ListParagraph"/>
        <w:numPr>
          <w:ilvl w:val="2"/>
          <w:numId w:val="22"/>
        </w:numPr>
        <w:tabs>
          <w:tab w:pos="2721" w:val="left" w:leader="none"/>
          <w:tab w:pos="2722" w:val="left" w:leader="none"/>
        </w:tabs>
        <w:spacing w:line="242" w:lineRule="auto" w:before="122" w:after="0"/>
        <w:ind w:left="2721" w:right="2277" w:hanging="340"/>
        <w:jc w:val="left"/>
        <w:rPr>
          <w:sz w:val="21"/>
        </w:rPr>
      </w:pPr>
      <w:r>
        <w:rPr>
          <w:spacing w:val="-3"/>
          <w:w w:val="105"/>
          <w:sz w:val="21"/>
        </w:rPr>
        <w:t>child</w:t>
      </w:r>
      <w:r>
        <w:rPr>
          <w:spacing w:val="-8"/>
          <w:w w:val="105"/>
          <w:sz w:val="21"/>
        </w:rPr>
        <w:t> </w:t>
      </w:r>
      <w:r>
        <w:rPr>
          <w:w w:val="105"/>
          <w:sz w:val="21"/>
        </w:rPr>
        <w:t>3</w:t>
      </w:r>
      <w:r>
        <w:rPr>
          <w:spacing w:val="-7"/>
          <w:w w:val="105"/>
          <w:sz w:val="21"/>
        </w:rPr>
        <w:t> </w:t>
      </w:r>
      <w:r>
        <w:rPr>
          <w:w w:val="105"/>
          <w:sz w:val="21"/>
        </w:rPr>
        <w:t>would</w:t>
      </w:r>
      <w:r>
        <w:rPr>
          <w:spacing w:val="-8"/>
          <w:w w:val="105"/>
          <w:sz w:val="21"/>
        </w:rPr>
        <w:t> </w:t>
      </w:r>
      <w:r>
        <w:rPr>
          <w:spacing w:val="-3"/>
          <w:w w:val="105"/>
          <w:sz w:val="21"/>
        </w:rPr>
        <w:t>take</w:t>
      </w:r>
      <w:r>
        <w:rPr>
          <w:spacing w:val="-7"/>
          <w:w w:val="105"/>
          <w:sz w:val="21"/>
        </w:rPr>
        <w:t> </w:t>
      </w:r>
      <w:r>
        <w:rPr>
          <w:w w:val="105"/>
          <w:sz w:val="21"/>
        </w:rPr>
        <w:t>their</w:t>
      </w:r>
      <w:r>
        <w:rPr>
          <w:spacing w:val="-7"/>
          <w:w w:val="105"/>
          <w:sz w:val="21"/>
        </w:rPr>
        <w:t> </w:t>
      </w:r>
      <w:r>
        <w:rPr>
          <w:w w:val="105"/>
          <w:sz w:val="21"/>
        </w:rPr>
        <w:t>own</w:t>
      </w:r>
      <w:r>
        <w:rPr>
          <w:spacing w:val="-8"/>
          <w:w w:val="105"/>
          <w:sz w:val="21"/>
        </w:rPr>
        <w:t> </w:t>
      </w:r>
      <w:r>
        <w:rPr>
          <w:spacing w:val="-4"/>
          <w:w w:val="105"/>
          <w:sz w:val="21"/>
        </w:rPr>
        <w:t>share,</w:t>
      </w:r>
      <w:r>
        <w:rPr>
          <w:spacing w:val="-7"/>
          <w:w w:val="105"/>
          <w:sz w:val="21"/>
        </w:rPr>
        <w:t> </w:t>
      </w:r>
      <w:r>
        <w:rPr>
          <w:w w:val="105"/>
          <w:sz w:val="21"/>
        </w:rPr>
        <w:t>as</w:t>
      </w:r>
      <w:r>
        <w:rPr>
          <w:spacing w:val="-7"/>
          <w:w w:val="105"/>
          <w:sz w:val="21"/>
        </w:rPr>
        <w:t> </w:t>
      </w:r>
      <w:r>
        <w:rPr>
          <w:w w:val="105"/>
          <w:sz w:val="21"/>
        </w:rPr>
        <w:t>they</w:t>
      </w:r>
      <w:r>
        <w:rPr>
          <w:spacing w:val="-8"/>
          <w:w w:val="105"/>
          <w:sz w:val="21"/>
        </w:rPr>
        <w:t> </w:t>
      </w:r>
      <w:r>
        <w:rPr>
          <w:spacing w:val="-3"/>
          <w:w w:val="105"/>
          <w:sz w:val="21"/>
        </w:rPr>
        <w:t>have</w:t>
      </w:r>
      <w:r>
        <w:rPr>
          <w:spacing w:val="-7"/>
          <w:w w:val="105"/>
          <w:sz w:val="21"/>
        </w:rPr>
        <w:t> </w:t>
      </w:r>
      <w:r>
        <w:rPr>
          <w:w w:val="105"/>
          <w:sz w:val="21"/>
        </w:rPr>
        <w:t>survived</w:t>
      </w:r>
      <w:r>
        <w:rPr>
          <w:spacing w:val="-7"/>
          <w:w w:val="105"/>
          <w:sz w:val="21"/>
        </w:rPr>
        <w:t> </w:t>
      </w:r>
      <w:r>
        <w:rPr>
          <w:w w:val="105"/>
          <w:sz w:val="21"/>
        </w:rPr>
        <w:t>the</w:t>
      </w:r>
      <w:r>
        <w:rPr>
          <w:spacing w:val="-8"/>
          <w:w w:val="105"/>
          <w:sz w:val="21"/>
        </w:rPr>
        <w:t> </w:t>
      </w:r>
      <w:r>
        <w:rPr>
          <w:w w:val="105"/>
          <w:sz w:val="21"/>
        </w:rPr>
        <w:t>deceased</w:t>
      </w:r>
      <w:r>
        <w:rPr>
          <w:spacing w:val="-7"/>
          <w:w w:val="105"/>
          <w:sz w:val="21"/>
        </w:rPr>
        <w:t> </w:t>
      </w:r>
      <w:r>
        <w:rPr>
          <w:w w:val="105"/>
          <w:sz w:val="21"/>
        </w:rPr>
        <w:t>person by 30</w:t>
      </w:r>
      <w:r>
        <w:rPr>
          <w:spacing w:val="10"/>
          <w:w w:val="105"/>
          <w:sz w:val="21"/>
        </w:rPr>
        <w:t> </w:t>
      </w:r>
      <w:r>
        <w:rPr>
          <w:w w:val="105"/>
          <w:sz w:val="21"/>
        </w:rPr>
        <w:t>days</w:t>
      </w:r>
    </w:p>
    <w:p>
      <w:pPr>
        <w:pStyle w:val="ListParagraph"/>
        <w:numPr>
          <w:ilvl w:val="2"/>
          <w:numId w:val="22"/>
        </w:numPr>
        <w:tabs>
          <w:tab w:pos="2721" w:val="left" w:leader="none"/>
          <w:tab w:pos="2722" w:val="left" w:leader="none"/>
        </w:tabs>
        <w:spacing w:line="242" w:lineRule="auto" w:before="122" w:after="0"/>
        <w:ind w:left="2721" w:right="2239" w:hanging="340"/>
        <w:jc w:val="left"/>
        <w:rPr>
          <w:sz w:val="21"/>
        </w:rPr>
      </w:pPr>
      <w:r>
        <w:rPr>
          <w:spacing w:val="-3"/>
          <w:w w:val="105"/>
          <w:sz w:val="21"/>
        </w:rPr>
        <w:t>grandchild </w:t>
      </w:r>
      <w:r>
        <w:rPr>
          <w:w w:val="105"/>
          <w:sz w:val="21"/>
        </w:rPr>
        <w:t>4, </w:t>
      </w:r>
      <w:r>
        <w:rPr>
          <w:spacing w:val="-3"/>
          <w:w w:val="105"/>
          <w:sz w:val="21"/>
        </w:rPr>
        <w:t>grandchild </w:t>
      </w:r>
      <w:r>
        <w:rPr>
          <w:w w:val="105"/>
          <w:sz w:val="21"/>
        </w:rPr>
        <w:t>5 and </w:t>
      </w:r>
      <w:r>
        <w:rPr>
          <w:spacing w:val="-3"/>
          <w:w w:val="105"/>
          <w:sz w:val="21"/>
        </w:rPr>
        <w:t>grandchild </w:t>
      </w:r>
      <w:r>
        <w:rPr>
          <w:w w:val="105"/>
          <w:sz w:val="21"/>
        </w:rPr>
        <w:t>6 would </w:t>
      </w:r>
      <w:r>
        <w:rPr>
          <w:spacing w:val="-3"/>
          <w:w w:val="105"/>
          <w:sz w:val="21"/>
        </w:rPr>
        <w:t>share child </w:t>
      </w:r>
      <w:r>
        <w:rPr>
          <w:spacing w:val="-5"/>
          <w:w w:val="105"/>
          <w:sz w:val="21"/>
        </w:rPr>
        <w:t>4’s </w:t>
      </w:r>
      <w:r>
        <w:rPr>
          <w:spacing w:val="-3"/>
          <w:w w:val="105"/>
          <w:sz w:val="21"/>
        </w:rPr>
        <w:t>share equally </w:t>
      </w:r>
      <w:r>
        <w:rPr>
          <w:w w:val="105"/>
          <w:sz w:val="21"/>
        </w:rPr>
        <w:t>between them as </w:t>
      </w:r>
      <w:r>
        <w:rPr>
          <w:spacing w:val="-3"/>
          <w:w w:val="105"/>
          <w:sz w:val="21"/>
        </w:rPr>
        <w:t>child </w:t>
      </w:r>
      <w:r>
        <w:rPr>
          <w:spacing w:val="-5"/>
          <w:w w:val="105"/>
          <w:sz w:val="21"/>
        </w:rPr>
        <w:t>4’s</w:t>
      </w:r>
      <w:r>
        <w:rPr>
          <w:spacing w:val="21"/>
          <w:w w:val="105"/>
          <w:sz w:val="21"/>
        </w:rPr>
        <w:t> </w:t>
      </w:r>
      <w:r>
        <w:rPr>
          <w:w w:val="105"/>
          <w:sz w:val="21"/>
        </w:rPr>
        <w:t>representatives.</w:t>
      </w:r>
    </w:p>
    <w:p>
      <w:pPr>
        <w:pStyle w:val="Heading6"/>
        <w:spacing w:line="232" w:lineRule="auto" w:before="119"/>
        <w:ind w:right="2150"/>
        <w:rPr>
          <w:rFonts w:ascii="Calibri"/>
        </w:rPr>
      </w:pPr>
      <w:r>
        <w:rPr>
          <w:rFonts w:ascii="Calibri"/>
          <w:color w:val="F18C84"/>
          <w:w w:val="115"/>
        </w:rPr>
        <w:t>Figure 4: One or more children who would have been entitled to a share do not survive the deceased person by 30 days</w:t>
      </w:r>
    </w:p>
    <w:p>
      <w:pPr>
        <w:pStyle w:val="BodyText"/>
        <w:spacing w:before="10"/>
        <w:rPr>
          <w:sz w:val="12"/>
        </w:rPr>
      </w:pPr>
      <w:r>
        <w:rPr/>
        <w:pict>
          <v:group style="position:absolute;margin-left:79.370003pt;margin-top:9.788658pt;width:436.55pt;height:226.8pt;mso-position-horizontal-relative:page;mso-position-vertical-relative:paragraph;z-index:5792;mso-wrap-distance-left:0;mso-wrap-distance-right:0" coordorigin="1587,196" coordsize="8731,4536">
            <v:rect style="position:absolute;left:1587;top:195;width:8731;height:4536" filled="true" fillcolor="#ec5a4f" stroked="false">
              <v:fill type="solid"/>
            </v:rect>
            <v:shape style="position:absolute;left:1770;top:4348;width:4453;height:172" type="#_x0000_t75" stroked="false">
              <v:imagedata r:id="rId61" o:title=""/>
            </v:shape>
            <v:rect style="position:absolute;left:3778;top:2087;width:1352;height:484" filled="true" fillcolor="#000000" stroked="false">
              <v:fill type="solid"/>
            </v:rect>
            <v:shape style="position:absolute;left:4213;top:2261;width:314;height:136" type="#_x0000_t75" stroked="false">
              <v:imagedata r:id="rId62" o:title=""/>
            </v:shape>
            <v:shape style="position:absolute;left:4587;top:2269;width:75;height:126" coordorigin="4588,2269" coordsize="75,126" path="m4651,2280l4636,2280,4646,2289,4646,2302,4643,2314,4637,2327,4627,2340,4616,2353,4588,2384,4588,2395,4662,2395,4662,2384,4603,2384,4625,2359,4637,2346,4648,2331,4656,2316,4659,2302,4656,2287,4651,2280xm4623,2269l4613,2269,4601,2273,4592,2278,4594,2289,4604,2283,4613,2280,4651,2280,4649,2277,4637,2271,4623,2269xe" filled="true" fillcolor="#ffffff" stroked="false">
              <v:path arrowok="t"/>
              <v:fill type="solid"/>
            </v:shape>
            <v:rect style="position:absolute;left:5651;top:2087;width:1352;height:484" filled="true" fillcolor="#000000" stroked="false">
              <v:fill type="solid"/>
            </v:rect>
            <v:shape style="position:absolute;left:6093;top:2261;width:314;height:136" type="#_x0000_t75" stroked="false">
              <v:imagedata r:id="rId63" o:title=""/>
            </v:shape>
            <v:shape style="position:absolute;left:6468;top:2269;width:76;height:127" coordorigin="6468,2269" coordsize="76,127" path="m6469,2379l6468,2391,6478,2395,6488,2396,6499,2396,6516,2393,6530,2386,6531,2385,6490,2385,6480,2384,6469,2379xm6535,2280l6516,2280,6531,2286,6531,2300,6527,2314,6516,2321,6503,2324,6489,2325,6486,2325,6486,2336,6497,2336,6508,2336,6519,2339,6528,2346,6531,2359,6528,2371,6521,2379,6511,2384,6499,2385,6531,2385,6540,2375,6543,2360,6543,2344,6534,2331,6518,2330,6518,2330,6533,2326,6543,2315,6543,2300,6540,2286,6535,2280xm6504,2269l6494,2269,6483,2272,6474,2275,6475,2287,6484,2283,6493,2280,6535,2280,6531,2276,6519,2271,6504,2269xe" filled="true" fillcolor="#ffffff" stroked="false">
              <v:path arrowok="t"/>
              <v:fill type="solid"/>
            </v:shape>
            <v:rect style="position:absolute;left:1842;top:2087;width:1352;height:484" filled="true" fillcolor="#000000" stroked="false">
              <v:fill type="solid"/>
            </v:rect>
            <v:rect style="position:absolute;left:1842;top:3446;width:1352;height:484" filled="true" fillcolor="#000000" stroked="false">
              <v:fill type="solid"/>
            </v:rect>
            <v:shape style="position:absolute;left:2055;top:3602;width:730;height:172" type="#_x0000_t75" stroked="false">
              <v:imagedata r:id="rId64" o:title=""/>
            </v:shape>
            <v:shape style="position:absolute;left:2858;top:3611;width:40;height:124" coordorigin="2858,3612" coordsize="40,124" path="m2898,3625l2885,3625,2885,3736,2898,3736,2898,3625xm2898,3612l2887,3612,2858,3635,2865,3643,2885,3625,2898,3625,2898,3612xe" filled="true" fillcolor="#ffffff" stroked="false">
              <v:path arrowok="t"/>
              <v:fill type="solid"/>
            </v:shape>
            <v:rect style="position:absolute;left:3334;top:3446;width:1104;height:484" filled="true" fillcolor="#000000" stroked="false">
              <v:fill type="solid"/>
            </v:rect>
            <v:shape style="position:absolute;left:3458;top:3602;width:730;height:172" type="#_x0000_t75" stroked="false">
              <v:imagedata r:id="rId65" o:title=""/>
            </v:shape>
            <v:shape style="position:absolute;left:4248;top:3610;width:75;height:126" coordorigin="4249,3610" coordsize="75,126" path="m4312,3621l4297,3621,4307,3630,4307,3643,4304,3655,4298,3668,4288,3681,4277,3693,4249,3725,4249,3736,4323,3736,4323,3725,4264,3725,4286,3700,4298,3687,4309,3672,4317,3657,4320,3643,4318,3628,4312,3621xm4284,3610l4274,3610,4262,3614,4253,3619,4255,3630,4265,3624,4274,3621,4312,3621,4310,3618,4299,3612,4284,3610xe" filled="true" fillcolor="#ffffff" stroked="false">
              <v:path arrowok="t"/>
              <v:fill type="solid"/>
            </v:shape>
            <v:rect style="position:absolute;left:4589;top:3446;width:1104;height:484" filled="true" fillcolor="#000000" stroked="false">
              <v:fill type="solid"/>
            </v:rect>
            <v:rect style="position:absolute;left:5331;top:478;width:2055;height:484" filled="true" fillcolor="#ffffff" stroked="false">
              <v:fill type="solid"/>
            </v:rect>
            <v:shape style="position:absolute;left:3362;top:1623;width:4895;height:480" coordorigin="3362,1623" coordsize="4895,480" path="m3362,1864l3362,1623,8257,1623,8257,2103e" filled="false" stroked="true" strokeweight="1.326pt" strokecolor="#000000">
              <v:path arrowok="t"/>
              <v:stroke dashstyle="solid"/>
            </v:shape>
            <v:shape style="position:absolute;left:2518;top:1862;width:1676;height:241" coordorigin="2519,1862" coordsize="1676,241" path="m2519,2103l2519,1862,4194,1862,4194,2090e" filled="false" stroked="true" strokeweight="1.326pt" strokecolor="#000000">
              <v:path arrowok="t"/>
              <v:stroke dashstyle="solid"/>
            </v:shape>
            <v:shape style="position:absolute;left:3704;top:2856;width:1064;height:588" coordorigin="3705,2857" coordsize="1064,588" path="m3705,3444l3705,2857,4768,2857,4768,3442e" filled="false" stroked="true" strokeweight="1.326pt" strokecolor="#000000">
              <v:path arrowok="t"/>
              <v:stroke dashstyle="solid"/>
            </v:shape>
            <v:shape style="position:absolute;left:6442;top:2087;width:3632;height:1843" type="#_x0000_t75" stroked="false">
              <v:imagedata r:id="rId66" o:title=""/>
            </v:shape>
            <v:line style="position:absolute" from="6338,965" to="6338,2152" stroked="true" strokeweight="1.329pt" strokecolor="#000000">
              <v:stroke dashstyle="solid"/>
            </v:line>
            <v:line style="position:absolute" from="2516,2527" to="2516,3444" stroked="true" strokeweight="1.326pt" strokecolor="#000000">
              <v:stroke dashstyle="solid"/>
            </v:line>
            <v:line style="position:absolute" from="4465,2527" to="4465,2855" stroked="true" strokeweight="1.326pt" strokecolor="#000000">
              <v:stroke dashstyle="solid"/>
            </v:line>
            <v:shape style="position:absolute;left:4696;top:3602;width:730;height:172" type="#_x0000_t75" stroked="false">
              <v:imagedata r:id="rId67" o:title=""/>
            </v:shape>
            <v:shape style="position:absolute;left:5486;top:3610;width:76;height:127" coordorigin="5486,3610" coordsize="76,127" path="m5488,3720l5486,3732,5496,3736,5506,3737,5517,3737,5534,3734,5549,3727,5550,3726,5509,3726,5498,3725,5488,3720xm5553,3621l5534,3621,5549,3627,5549,3641,5545,3655,5535,3662,5521,3665,5507,3666,5504,3666,5504,3677,5515,3677,5526,3677,5537,3680,5546,3687,5549,3700,5547,3712,5539,3720,5529,3725,5518,3726,5550,3726,5558,3716,5562,3701,5562,3685,5552,3672,5536,3671,5536,3671,5551,3667,5562,3656,5562,3641,5558,3627,5553,3621xm5522,3610l5512,3610,5501,3613,5492,3616,5493,3628,5502,3624,5511,3621,5553,3621,5550,3617,5537,3612,5522,3610xe" filled="true" fillcolor="#ffffff" stroked="false">
              <v:path arrowok="t"/>
              <v:fill type="solid"/>
            </v:shape>
            <v:line style="position:absolute" from="1735,4439" to="2733,4439" stroked="true" strokeweight=".75pt" strokecolor="#fdefed">
              <v:stroke dashstyle="solid"/>
            </v:line>
            <v:shape style="position:absolute;left:2270;top:2261;width:314;height:136" type="#_x0000_t75" stroked="false">
              <v:imagedata r:id="rId68" o:title=""/>
            </v:shape>
            <v:shape style="position:absolute;left:2657;top:2270;width:40;height:124" coordorigin="2657,2271" coordsize="40,124" path="m2696,2284l2684,2284,2684,2395,2696,2395,2696,2284xm2696,2271l2685,2271,2657,2294,2664,2302,2684,2284,2696,2284,2696,2271xe" filled="true" fillcolor="#ffffff" stroked="false">
              <v:path arrowok="t"/>
              <v:fill type="solid"/>
            </v:shape>
            <v:line style="position:absolute" from="2046,2349" to="2959,2349" stroked="true" strokeweight=".75pt" strokecolor="#fdefed">
              <v:stroke dashstyle="solid"/>
            </v:line>
            <v:shape style="position:absolute;left:5750;top:635;width:1160;height:170" type="#_x0000_t75" stroked="false">
              <v:imagedata r:id="rId69" o:title=""/>
            </v:shape>
            <w10:wrap type="topAndBottom"/>
          </v:group>
        </w:pict>
      </w:r>
    </w:p>
    <w:p>
      <w:pPr>
        <w:pStyle w:val="BodyText"/>
        <w:spacing w:before="4"/>
        <w:rPr>
          <w:sz w:val="24"/>
        </w:rPr>
      </w:pPr>
    </w:p>
    <w:p>
      <w:pPr>
        <w:pStyle w:val="ListParagraph"/>
        <w:numPr>
          <w:ilvl w:val="1"/>
          <w:numId w:val="22"/>
        </w:numPr>
        <w:tabs>
          <w:tab w:pos="2380" w:val="left" w:leader="none"/>
          <w:tab w:pos="2381" w:val="left" w:leader="none"/>
        </w:tabs>
        <w:spacing w:line="242" w:lineRule="auto" w:before="0" w:after="0"/>
        <w:ind w:left="2381" w:right="1855" w:hanging="794"/>
        <w:jc w:val="left"/>
        <w:rPr>
          <w:sz w:val="21"/>
        </w:rPr>
      </w:pPr>
      <w:r>
        <w:rPr>
          <w:sz w:val="21"/>
        </w:rPr>
        <w:t>Distribution under the recommended scheme in the </w:t>
      </w:r>
      <w:r>
        <w:rPr>
          <w:spacing w:val="-3"/>
          <w:sz w:val="21"/>
        </w:rPr>
        <w:t>situation illustrated </w:t>
      </w:r>
      <w:r>
        <w:rPr>
          <w:sz w:val="21"/>
        </w:rPr>
        <w:t>by </w:t>
      </w:r>
      <w:r>
        <w:rPr>
          <w:rFonts w:ascii="Lucida Sans"/>
          <w:b/>
          <w:sz w:val="21"/>
        </w:rPr>
        <w:t>Figure 5 </w:t>
      </w:r>
      <w:r>
        <w:rPr>
          <w:sz w:val="21"/>
        </w:rPr>
        <w:t>would be the same as </w:t>
      </w:r>
      <w:r>
        <w:rPr>
          <w:spacing w:val="-2"/>
          <w:sz w:val="21"/>
        </w:rPr>
        <w:t>distribution </w:t>
      </w:r>
      <w:r>
        <w:rPr>
          <w:sz w:val="21"/>
        </w:rPr>
        <w:t>under the </w:t>
      </w:r>
      <w:r>
        <w:rPr>
          <w:spacing w:val="-3"/>
          <w:sz w:val="21"/>
        </w:rPr>
        <w:t>current </w:t>
      </w:r>
      <w:r>
        <w:rPr>
          <w:sz w:val="21"/>
        </w:rPr>
        <w:t>Victorian </w:t>
      </w:r>
      <w:r>
        <w:rPr>
          <w:spacing w:val="-5"/>
          <w:sz w:val="21"/>
        </w:rPr>
        <w:t>law. </w:t>
      </w:r>
      <w:r>
        <w:rPr>
          <w:sz w:val="21"/>
        </w:rPr>
        <w:t>As is the case under the </w:t>
      </w:r>
      <w:r>
        <w:rPr>
          <w:spacing w:val="-3"/>
          <w:sz w:val="21"/>
        </w:rPr>
        <w:t>current</w:t>
      </w:r>
      <w:r>
        <w:rPr>
          <w:spacing w:val="16"/>
          <w:sz w:val="21"/>
        </w:rPr>
        <w:t> </w:t>
      </w:r>
      <w:r>
        <w:rPr>
          <w:sz w:val="21"/>
        </w:rPr>
        <w:t>law:</w:t>
      </w:r>
    </w:p>
    <w:p>
      <w:pPr>
        <w:pStyle w:val="ListParagraph"/>
        <w:numPr>
          <w:ilvl w:val="2"/>
          <w:numId w:val="22"/>
        </w:numPr>
        <w:tabs>
          <w:tab w:pos="2721" w:val="left" w:leader="none"/>
          <w:tab w:pos="2722" w:val="left" w:leader="none"/>
        </w:tabs>
        <w:spacing w:line="240" w:lineRule="auto" w:before="124" w:after="0"/>
        <w:ind w:left="2721" w:right="0" w:hanging="341"/>
        <w:jc w:val="left"/>
        <w:rPr>
          <w:sz w:val="21"/>
        </w:rPr>
      </w:pPr>
      <w:r>
        <w:rPr>
          <w:spacing w:val="-3"/>
          <w:sz w:val="21"/>
        </w:rPr>
        <w:t>grandchild </w:t>
      </w:r>
      <w:r>
        <w:rPr>
          <w:sz w:val="21"/>
        </w:rPr>
        <w:t>1 would </w:t>
      </w:r>
      <w:r>
        <w:rPr>
          <w:spacing w:val="-3"/>
          <w:sz w:val="21"/>
        </w:rPr>
        <w:t>take child </w:t>
      </w:r>
      <w:r>
        <w:rPr>
          <w:spacing w:val="-8"/>
          <w:sz w:val="21"/>
        </w:rPr>
        <w:t>1’s </w:t>
      </w:r>
      <w:r>
        <w:rPr>
          <w:spacing w:val="-3"/>
          <w:sz w:val="21"/>
        </w:rPr>
        <w:t>share </w:t>
      </w:r>
      <w:r>
        <w:rPr>
          <w:sz w:val="21"/>
        </w:rPr>
        <w:t>as </w:t>
      </w:r>
      <w:r>
        <w:rPr>
          <w:spacing w:val="-3"/>
          <w:sz w:val="21"/>
        </w:rPr>
        <w:t>child</w:t>
      </w:r>
      <w:r>
        <w:rPr>
          <w:spacing w:val="5"/>
          <w:sz w:val="21"/>
        </w:rPr>
        <w:t> </w:t>
      </w:r>
      <w:r>
        <w:rPr>
          <w:spacing w:val="-8"/>
          <w:sz w:val="21"/>
        </w:rPr>
        <w:t>1’s </w:t>
      </w:r>
      <w:r>
        <w:rPr>
          <w:sz w:val="21"/>
        </w:rPr>
        <w:t>representative</w:t>
      </w:r>
    </w:p>
    <w:p>
      <w:pPr>
        <w:pStyle w:val="ListParagraph"/>
        <w:numPr>
          <w:ilvl w:val="2"/>
          <w:numId w:val="22"/>
        </w:numPr>
        <w:tabs>
          <w:tab w:pos="2721" w:val="left" w:leader="none"/>
          <w:tab w:pos="2722" w:val="left" w:leader="none"/>
        </w:tabs>
        <w:spacing w:line="240" w:lineRule="auto" w:before="124" w:after="0"/>
        <w:ind w:left="2721" w:right="0" w:hanging="341"/>
        <w:jc w:val="left"/>
        <w:rPr>
          <w:sz w:val="21"/>
        </w:rPr>
      </w:pPr>
      <w:r>
        <w:rPr>
          <w:spacing w:val="-3"/>
          <w:w w:val="105"/>
          <w:sz w:val="21"/>
        </w:rPr>
        <w:t>grandchild</w:t>
      </w:r>
      <w:r>
        <w:rPr>
          <w:spacing w:val="3"/>
          <w:w w:val="105"/>
          <w:sz w:val="21"/>
        </w:rPr>
        <w:t> </w:t>
      </w:r>
      <w:r>
        <w:rPr>
          <w:w w:val="105"/>
          <w:sz w:val="21"/>
        </w:rPr>
        <w:t>2</w:t>
      </w:r>
      <w:r>
        <w:rPr>
          <w:spacing w:val="3"/>
          <w:w w:val="105"/>
          <w:sz w:val="21"/>
        </w:rPr>
        <w:t> </w:t>
      </w:r>
      <w:r>
        <w:rPr>
          <w:w w:val="105"/>
          <w:sz w:val="21"/>
        </w:rPr>
        <w:t>and</w:t>
      </w:r>
      <w:r>
        <w:rPr>
          <w:spacing w:val="3"/>
          <w:w w:val="105"/>
          <w:sz w:val="21"/>
        </w:rPr>
        <w:t> </w:t>
      </w:r>
      <w:r>
        <w:rPr>
          <w:spacing w:val="-3"/>
          <w:w w:val="105"/>
          <w:sz w:val="21"/>
        </w:rPr>
        <w:t>grandchild</w:t>
      </w:r>
      <w:r>
        <w:rPr>
          <w:spacing w:val="3"/>
          <w:w w:val="105"/>
          <w:sz w:val="21"/>
        </w:rPr>
        <w:t> </w:t>
      </w:r>
      <w:r>
        <w:rPr>
          <w:w w:val="105"/>
          <w:sz w:val="21"/>
        </w:rPr>
        <w:t>3</w:t>
      </w:r>
      <w:r>
        <w:rPr>
          <w:spacing w:val="3"/>
          <w:w w:val="105"/>
          <w:sz w:val="21"/>
        </w:rPr>
        <w:t> </w:t>
      </w:r>
      <w:r>
        <w:rPr>
          <w:w w:val="105"/>
          <w:sz w:val="21"/>
        </w:rPr>
        <w:t>would</w:t>
      </w:r>
      <w:r>
        <w:rPr>
          <w:spacing w:val="4"/>
          <w:w w:val="105"/>
          <w:sz w:val="21"/>
        </w:rPr>
        <w:t> </w:t>
      </w:r>
      <w:r>
        <w:rPr>
          <w:spacing w:val="-3"/>
          <w:w w:val="105"/>
          <w:sz w:val="21"/>
        </w:rPr>
        <w:t>share</w:t>
      </w:r>
      <w:r>
        <w:rPr>
          <w:spacing w:val="3"/>
          <w:w w:val="105"/>
          <w:sz w:val="21"/>
        </w:rPr>
        <w:t> </w:t>
      </w:r>
      <w:r>
        <w:rPr>
          <w:spacing w:val="-3"/>
          <w:w w:val="105"/>
          <w:sz w:val="21"/>
        </w:rPr>
        <w:t>child</w:t>
      </w:r>
      <w:r>
        <w:rPr>
          <w:spacing w:val="3"/>
          <w:w w:val="105"/>
          <w:sz w:val="21"/>
        </w:rPr>
        <w:t> </w:t>
      </w:r>
      <w:r>
        <w:rPr>
          <w:spacing w:val="-5"/>
          <w:w w:val="105"/>
          <w:sz w:val="21"/>
        </w:rPr>
        <w:t>2’s</w:t>
      </w:r>
      <w:r>
        <w:rPr>
          <w:spacing w:val="3"/>
          <w:w w:val="105"/>
          <w:sz w:val="21"/>
        </w:rPr>
        <w:t> </w:t>
      </w:r>
      <w:r>
        <w:rPr>
          <w:spacing w:val="-3"/>
          <w:w w:val="105"/>
          <w:sz w:val="21"/>
        </w:rPr>
        <w:t>share</w:t>
      </w:r>
      <w:r>
        <w:rPr>
          <w:spacing w:val="3"/>
          <w:w w:val="105"/>
          <w:sz w:val="21"/>
        </w:rPr>
        <w:t> </w:t>
      </w:r>
      <w:r>
        <w:rPr>
          <w:w w:val="105"/>
          <w:sz w:val="21"/>
        </w:rPr>
        <w:t>as</w:t>
      </w:r>
      <w:r>
        <w:rPr>
          <w:spacing w:val="4"/>
          <w:w w:val="105"/>
          <w:sz w:val="21"/>
        </w:rPr>
        <w:t> </w:t>
      </w:r>
      <w:r>
        <w:rPr>
          <w:spacing w:val="-3"/>
          <w:w w:val="105"/>
          <w:sz w:val="21"/>
        </w:rPr>
        <w:t>child</w:t>
      </w:r>
      <w:r>
        <w:rPr>
          <w:spacing w:val="3"/>
          <w:w w:val="105"/>
          <w:sz w:val="21"/>
        </w:rPr>
        <w:t> </w:t>
      </w:r>
      <w:r>
        <w:rPr>
          <w:spacing w:val="-5"/>
          <w:w w:val="105"/>
          <w:sz w:val="21"/>
        </w:rPr>
        <w:t>2’s</w:t>
      </w:r>
      <w:r>
        <w:rPr>
          <w:spacing w:val="3"/>
          <w:w w:val="105"/>
          <w:sz w:val="21"/>
        </w:rPr>
        <w:t> </w:t>
      </w:r>
      <w:r>
        <w:rPr>
          <w:w w:val="105"/>
          <w:sz w:val="21"/>
        </w:rPr>
        <w:t>representatives</w:t>
      </w:r>
    </w:p>
    <w:p>
      <w:pPr>
        <w:pStyle w:val="ListParagraph"/>
        <w:numPr>
          <w:ilvl w:val="2"/>
          <w:numId w:val="22"/>
        </w:numPr>
        <w:tabs>
          <w:tab w:pos="2721" w:val="left" w:leader="none"/>
          <w:tab w:pos="2722" w:val="left" w:leader="none"/>
        </w:tabs>
        <w:spacing w:line="242" w:lineRule="auto" w:before="123" w:after="0"/>
        <w:ind w:left="2721" w:right="1651" w:hanging="341"/>
        <w:jc w:val="left"/>
        <w:rPr>
          <w:sz w:val="21"/>
        </w:rPr>
      </w:pPr>
      <w:r>
        <w:rPr>
          <w:spacing w:val="-3"/>
          <w:sz w:val="21"/>
        </w:rPr>
        <w:t>child </w:t>
      </w:r>
      <w:r>
        <w:rPr>
          <w:spacing w:val="-4"/>
          <w:sz w:val="21"/>
        </w:rPr>
        <w:t>3’s </w:t>
      </w:r>
      <w:r>
        <w:rPr>
          <w:spacing w:val="-3"/>
          <w:sz w:val="21"/>
        </w:rPr>
        <w:t>share </w:t>
      </w:r>
      <w:r>
        <w:rPr>
          <w:sz w:val="21"/>
        </w:rPr>
        <w:t>would go back </w:t>
      </w:r>
      <w:r>
        <w:rPr>
          <w:spacing w:val="-4"/>
          <w:sz w:val="21"/>
        </w:rPr>
        <w:t>into </w:t>
      </w:r>
      <w:r>
        <w:rPr>
          <w:sz w:val="21"/>
        </w:rPr>
        <w:t>the </w:t>
      </w:r>
      <w:r>
        <w:rPr>
          <w:spacing w:val="-3"/>
          <w:sz w:val="21"/>
        </w:rPr>
        <w:t>intestate </w:t>
      </w:r>
      <w:r>
        <w:rPr>
          <w:sz w:val="21"/>
        </w:rPr>
        <w:t>estate </w:t>
      </w:r>
      <w:r>
        <w:rPr>
          <w:spacing w:val="-3"/>
          <w:sz w:val="21"/>
        </w:rPr>
        <w:t>to </w:t>
      </w:r>
      <w:r>
        <w:rPr>
          <w:sz w:val="21"/>
        </w:rPr>
        <w:t>be </w:t>
      </w:r>
      <w:r>
        <w:rPr>
          <w:spacing w:val="-3"/>
          <w:sz w:val="21"/>
        </w:rPr>
        <w:t>shared </w:t>
      </w:r>
      <w:r>
        <w:rPr>
          <w:sz w:val="21"/>
        </w:rPr>
        <w:t>among the others who </w:t>
      </w:r>
      <w:r>
        <w:rPr>
          <w:spacing w:val="-3"/>
          <w:sz w:val="21"/>
        </w:rPr>
        <w:t>are </w:t>
      </w:r>
      <w:r>
        <w:rPr>
          <w:sz w:val="21"/>
        </w:rPr>
        <w:t>entitled </w:t>
      </w:r>
      <w:r>
        <w:rPr>
          <w:spacing w:val="-3"/>
          <w:sz w:val="21"/>
        </w:rPr>
        <w:t>to </w:t>
      </w:r>
      <w:r>
        <w:rPr>
          <w:sz w:val="21"/>
        </w:rPr>
        <w:t>a </w:t>
      </w:r>
      <w:r>
        <w:rPr>
          <w:spacing w:val="-4"/>
          <w:sz w:val="21"/>
        </w:rPr>
        <w:t>share, </w:t>
      </w:r>
      <w:r>
        <w:rPr>
          <w:sz w:val="21"/>
        </w:rPr>
        <w:t>as </w:t>
      </w:r>
      <w:r>
        <w:rPr>
          <w:spacing w:val="-3"/>
          <w:sz w:val="21"/>
        </w:rPr>
        <w:t>child </w:t>
      </w:r>
      <w:r>
        <w:rPr>
          <w:sz w:val="21"/>
        </w:rPr>
        <w:t>3 is </w:t>
      </w:r>
      <w:r>
        <w:rPr>
          <w:spacing w:val="-2"/>
          <w:sz w:val="21"/>
        </w:rPr>
        <w:t>not </w:t>
      </w:r>
      <w:r>
        <w:rPr>
          <w:sz w:val="21"/>
        </w:rPr>
        <w:t>survived by </w:t>
      </w:r>
      <w:r>
        <w:rPr>
          <w:spacing w:val="-3"/>
          <w:sz w:val="21"/>
        </w:rPr>
        <w:t>children</w:t>
      </w:r>
      <w:r>
        <w:rPr>
          <w:spacing w:val="3"/>
          <w:sz w:val="21"/>
        </w:rPr>
        <w:t> </w:t>
      </w:r>
      <w:r>
        <w:rPr>
          <w:sz w:val="21"/>
        </w:rPr>
        <w:t>or </w:t>
      </w:r>
      <w:r>
        <w:rPr>
          <w:spacing w:val="-3"/>
          <w:sz w:val="21"/>
        </w:rPr>
        <w:t>issue</w:t>
      </w:r>
    </w:p>
    <w:p>
      <w:pPr>
        <w:pStyle w:val="ListParagraph"/>
        <w:numPr>
          <w:ilvl w:val="2"/>
          <w:numId w:val="22"/>
        </w:numPr>
        <w:tabs>
          <w:tab w:pos="2721" w:val="left" w:leader="none"/>
          <w:tab w:pos="2722" w:val="left" w:leader="none"/>
        </w:tabs>
        <w:spacing w:line="242" w:lineRule="auto" w:before="123" w:after="0"/>
        <w:ind w:left="2721" w:right="2239" w:hanging="341"/>
        <w:jc w:val="left"/>
        <w:rPr>
          <w:sz w:val="21"/>
        </w:rPr>
      </w:pPr>
      <w:r>
        <w:rPr>
          <w:spacing w:val="-3"/>
          <w:w w:val="105"/>
          <w:sz w:val="21"/>
        </w:rPr>
        <w:t>grandchild </w:t>
      </w:r>
      <w:r>
        <w:rPr>
          <w:w w:val="105"/>
          <w:sz w:val="21"/>
        </w:rPr>
        <w:t>4, </w:t>
      </w:r>
      <w:r>
        <w:rPr>
          <w:spacing w:val="-3"/>
          <w:w w:val="105"/>
          <w:sz w:val="21"/>
        </w:rPr>
        <w:t>grandchild </w:t>
      </w:r>
      <w:r>
        <w:rPr>
          <w:w w:val="105"/>
          <w:sz w:val="21"/>
        </w:rPr>
        <w:t>5 and </w:t>
      </w:r>
      <w:r>
        <w:rPr>
          <w:spacing w:val="-3"/>
          <w:w w:val="105"/>
          <w:sz w:val="21"/>
        </w:rPr>
        <w:t>grandchild </w:t>
      </w:r>
      <w:r>
        <w:rPr>
          <w:w w:val="105"/>
          <w:sz w:val="21"/>
        </w:rPr>
        <w:t>6 would </w:t>
      </w:r>
      <w:r>
        <w:rPr>
          <w:spacing w:val="-3"/>
          <w:w w:val="105"/>
          <w:sz w:val="21"/>
        </w:rPr>
        <w:t>share child </w:t>
      </w:r>
      <w:r>
        <w:rPr>
          <w:spacing w:val="-6"/>
          <w:w w:val="105"/>
          <w:sz w:val="21"/>
        </w:rPr>
        <w:t>4’s </w:t>
      </w:r>
      <w:r>
        <w:rPr>
          <w:spacing w:val="-3"/>
          <w:w w:val="105"/>
          <w:sz w:val="21"/>
        </w:rPr>
        <w:t>share equally </w:t>
      </w:r>
      <w:r>
        <w:rPr>
          <w:w w:val="105"/>
          <w:sz w:val="21"/>
        </w:rPr>
        <w:t>between them as </w:t>
      </w:r>
      <w:r>
        <w:rPr>
          <w:spacing w:val="-3"/>
          <w:w w:val="105"/>
          <w:sz w:val="21"/>
        </w:rPr>
        <w:t>child </w:t>
      </w:r>
      <w:r>
        <w:rPr>
          <w:spacing w:val="-5"/>
          <w:w w:val="105"/>
          <w:sz w:val="21"/>
        </w:rPr>
        <w:t>4’s</w:t>
      </w:r>
      <w:r>
        <w:rPr>
          <w:spacing w:val="21"/>
          <w:w w:val="105"/>
          <w:sz w:val="21"/>
        </w:rPr>
        <w:t> </w:t>
      </w:r>
      <w:r>
        <w:rPr>
          <w:w w:val="105"/>
          <w:sz w:val="21"/>
        </w:rPr>
        <w:t>representatives.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3"/>
        </w:rPr>
      </w:pPr>
      <w:r>
        <w:rPr/>
        <w:pict>
          <v:line style="position:absolute;mso-position-horizontal-relative:page;mso-position-vertical-relative:paragraph;z-index:5816;mso-wrap-distance-left:0;mso-wrap-distance-right:0" from="79.370003pt,16.626949pt" to="515.905003pt,16.626949pt" stroked="true" strokeweight="1pt" strokecolor="#f9ceca">
            <v:stroke dashstyle="solid"/>
            <w10:wrap type="topAndBottom"/>
          </v:line>
        </w:pict>
      </w:r>
    </w:p>
    <w:p>
      <w:pPr>
        <w:tabs>
          <w:tab w:pos="1587" w:val="left" w:leader="none"/>
          <w:tab w:pos="2380" w:val="left" w:leader="none"/>
        </w:tabs>
        <w:spacing w:before="27"/>
        <w:ind w:left="720" w:right="0" w:firstLine="0"/>
        <w:jc w:val="left"/>
        <w:rPr>
          <w:sz w:val="13"/>
        </w:rPr>
      </w:pPr>
      <w:r>
        <w:rPr>
          <w:b/>
          <w:color w:val="EC5A4F"/>
          <w:w w:val="105"/>
          <w:sz w:val="24"/>
        </w:rPr>
        <w:t>88</w:t>
        <w:tab/>
      </w:r>
      <w:r>
        <w:rPr>
          <w:w w:val="105"/>
          <w:position w:val="1"/>
          <w:sz w:val="13"/>
        </w:rPr>
        <w:t>249</w:t>
        <w:tab/>
        <w:t>See</w:t>
      </w:r>
      <w:r>
        <w:rPr>
          <w:spacing w:val="4"/>
          <w:w w:val="105"/>
          <w:position w:val="1"/>
          <w:sz w:val="13"/>
        </w:rPr>
        <w:t> </w:t>
      </w:r>
      <w:r>
        <w:rPr>
          <w:spacing w:val="2"/>
          <w:w w:val="105"/>
          <w:position w:val="1"/>
          <w:sz w:val="13"/>
        </w:rPr>
        <w:t>[5.40]</w:t>
      </w:r>
      <w:r>
        <w:rPr>
          <w:spacing w:val="5"/>
          <w:w w:val="105"/>
          <w:position w:val="1"/>
          <w:sz w:val="13"/>
        </w:rPr>
        <w:t> </w:t>
      </w:r>
      <w:r>
        <w:rPr>
          <w:w w:val="105"/>
          <w:position w:val="1"/>
          <w:sz w:val="13"/>
        </w:rPr>
        <w:t>above,</w:t>
      </w:r>
      <w:r>
        <w:rPr>
          <w:spacing w:val="4"/>
          <w:w w:val="105"/>
          <w:position w:val="1"/>
          <w:sz w:val="13"/>
        </w:rPr>
        <w:t> </w:t>
      </w:r>
      <w:r>
        <w:rPr>
          <w:w w:val="105"/>
          <w:position w:val="1"/>
          <w:sz w:val="13"/>
        </w:rPr>
        <w:t>where</w:t>
      </w:r>
      <w:r>
        <w:rPr>
          <w:spacing w:val="5"/>
          <w:w w:val="105"/>
          <w:position w:val="1"/>
          <w:sz w:val="13"/>
        </w:rPr>
        <w:t> </w:t>
      </w:r>
      <w:r>
        <w:rPr>
          <w:w w:val="105"/>
          <w:position w:val="1"/>
          <w:sz w:val="13"/>
        </w:rPr>
        <w:t>the</w:t>
      </w:r>
      <w:r>
        <w:rPr>
          <w:spacing w:val="5"/>
          <w:w w:val="105"/>
          <w:position w:val="1"/>
          <w:sz w:val="13"/>
        </w:rPr>
        <w:t> </w:t>
      </w:r>
      <w:r>
        <w:rPr>
          <w:w w:val="105"/>
          <w:position w:val="1"/>
          <w:sz w:val="13"/>
        </w:rPr>
        <w:t>Commission</w:t>
      </w:r>
      <w:r>
        <w:rPr>
          <w:spacing w:val="4"/>
          <w:w w:val="105"/>
          <w:position w:val="1"/>
          <w:sz w:val="13"/>
        </w:rPr>
        <w:t> </w:t>
      </w:r>
      <w:r>
        <w:rPr>
          <w:w w:val="105"/>
          <w:position w:val="1"/>
          <w:sz w:val="13"/>
        </w:rPr>
        <w:t>recommends</w:t>
      </w:r>
      <w:r>
        <w:rPr>
          <w:spacing w:val="5"/>
          <w:w w:val="105"/>
          <w:position w:val="1"/>
          <w:sz w:val="13"/>
        </w:rPr>
        <w:t> </w:t>
      </w:r>
      <w:r>
        <w:rPr>
          <w:w w:val="105"/>
          <w:position w:val="1"/>
          <w:sz w:val="13"/>
        </w:rPr>
        <w:t>introduction</w:t>
      </w:r>
      <w:r>
        <w:rPr>
          <w:spacing w:val="5"/>
          <w:w w:val="105"/>
          <w:position w:val="1"/>
          <w:sz w:val="13"/>
        </w:rPr>
        <w:t> </w:t>
      </w:r>
      <w:r>
        <w:rPr>
          <w:w w:val="105"/>
          <w:position w:val="1"/>
          <w:sz w:val="13"/>
        </w:rPr>
        <w:t>of</w:t>
      </w:r>
      <w:r>
        <w:rPr>
          <w:spacing w:val="4"/>
          <w:w w:val="105"/>
          <w:position w:val="1"/>
          <w:sz w:val="13"/>
        </w:rPr>
        <w:t> </w:t>
      </w:r>
      <w:r>
        <w:rPr>
          <w:w w:val="105"/>
          <w:position w:val="1"/>
          <w:sz w:val="13"/>
        </w:rPr>
        <w:t>a</w:t>
      </w:r>
      <w:r>
        <w:rPr>
          <w:spacing w:val="5"/>
          <w:w w:val="105"/>
          <w:position w:val="1"/>
          <w:sz w:val="13"/>
        </w:rPr>
        <w:t> </w:t>
      </w:r>
      <w:r>
        <w:rPr>
          <w:spacing w:val="2"/>
          <w:w w:val="105"/>
          <w:position w:val="1"/>
          <w:sz w:val="13"/>
        </w:rPr>
        <w:t>30-day</w:t>
      </w:r>
      <w:r>
        <w:rPr>
          <w:spacing w:val="5"/>
          <w:w w:val="105"/>
          <w:position w:val="1"/>
          <w:sz w:val="13"/>
        </w:rPr>
        <w:t> </w:t>
      </w:r>
      <w:r>
        <w:rPr>
          <w:w w:val="105"/>
          <w:position w:val="1"/>
          <w:sz w:val="13"/>
        </w:rPr>
        <w:t>survivorship</w:t>
      </w:r>
      <w:r>
        <w:rPr>
          <w:spacing w:val="4"/>
          <w:w w:val="105"/>
          <w:position w:val="1"/>
          <w:sz w:val="13"/>
        </w:rPr>
        <w:t> </w:t>
      </w:r>
      <w:r>
        <w:rPr>
          <w:w w:val="105"/>
          <w:position w:val="1"/>
          <w:sz w:val="13"/>
        </w:rPr>
        <w:t>requirement</w:t>
      </w:r>
      <w:r>
        <w:rPr>
          <w:spacing w:val="5"/>
          <w:w w:val="105"/>
          <w:position w:val="1"/>
          <w:sz w:val="13"/>
        </w:rPr>
        <w:t> </w:t>
      </w:r>
      <w:r>
        <w:rPr>
          <w:w w:val="105"/>
          <w:position w:val="1"/>
          <w:sz w:val="13"/>
        </w:rPr>
        <w:t>on</w:t>
      </w:r>
      <w:r>
        <w:rPr>
          <w:spacing w:val="5"/>
          <w:w w:val="105"/>
          <w:position w:val="1"/>
          <w:sz w:val="13"/>
        </w:rPr>
        <w:t> </w:t>
      </w:r>
      <w:r>
        <w:rPr>
          <w:w w:val="105"/>
          <w:position w:val="1"/>
          <w:sz w:val="13"/>
        </w:rPr>
        <w:t>intestacy.</w:t>
      </w:r>
    </w:p>
    <w:p>
      <w:pPr>
        <w:spacing w:after="0"/>
        <w:jc w:val="left"/>
        <w:rPr>
          <w:sz w:val="13"/>
        </w:rPr>
        <w:sectPr>
          <w:pgSz w:w="11910" w:h="16840"/>
          <w:pgMar w:header="550" w:footer="0" w:top="1560" w:bottom="280" w:left="0" w:right="0"/>
        </w:sectPr>
      </w:pPr>
    </w:p>
    <w:p>
      <w:pPr>
        <w:pStyle w:val="BodyText"/>
        <w:rPr>
          <w:sz w:val="20"/>
        </w:rPr>
      </w:pPr>
    </w:p>
    <w:p>
      <w:pPr>
        <w:pStyle w:val="BodyText"/>
        <w:spacing w:before="5"/>
        <w:rPr>
          <w:sz w:val="18"/>
        </w:rPr>
      </w:pPr>
    </w:p>
    <w:p>
      <w:pPr>
        <w:pStyle w:val="Heading6"/>
        <w:spacing w:line="232" w:lineRule="auto" w:before="103"/>
        <w:ind w:right="1779"/>
        <w:rPr>
          <w:rFonts w:ascii="Calibri"/>
        </w:rPr>
      </w:pPr>
      <w:r>
        <w:rPr>
          <w:rFonts w:ascii="Calibri"/>
          <w:color w:val="F18C84"/>
          <w:w w:val="115"/>
        </w:rPr>
        <w:t>Figure 5: None of the children who would have been entitled to a share survive the deceased person by 30 days</w:t>
      </w:r>
    </w:p>
    <w:p>
      <w:pPr>
        <w:pStyle w:val="BodyText"/>
        <w:spacing w:before="11"/>
        <w:rPr>
          <w:sz w:val="12"/>
        </w:rPr>
      </w:pPr>
      <w:r>
        <w:rPr/>
        <w:pict>
          <v:group style="position:absolute;margin-left:79.371002pt;margin-top:9.870436pt;width:436.55pt;height:226.8pt;mso-position-horizontal-relative:page;mso-position-vertical-relative:paragraph;z-index:5840;mso-wrap-distance-left:0;mso-wrap-distance-right:0" coordorigin="1587,197" coordsize="8731,4536">
            <v:rect style="position:absolute;left:1587;top:197;width:8731;height:4536" filled="true" fillcolor="#ec5a4f" stroked="false">
              <v:fill type="solid"/>
            </v:rect>
            <v:rect style="position:absolute;left:3778;top:2089;width:1352;height:484" filled="true" fillcolor="#000000" stroked="false">
              <v:fill type="solid"/>
            </v:rect>
            <v:rect style="position:absolute;left:5651;top:2089;width:1352;height:484" filled="true" fillcolor="#000000" stroked="false">
              <v:fill type="solid"/>
            </v:rect>
            <v:rect style="position:absolute;left:1842;top:2089;width:1352;height:484" filled="true" fillcolor="#000000" stroked="false">
              <v:fill type="solid"/>
            </v:rect>
            <v:rect style="position:absolute;left:1842;top:3448;width:1352;height:484" filled="true" fillcolor="#000000" stroked="false">
              <v:fill type="solid"/>
            </v:rect>
            <v:rect style="position:absolute;left:3334;top:3448;width:1104;height:484" filled="true" fillcolor="#000000" stroked="false">
              <v:fill type="solid"/>
            </v:rect>
            <v:rect style="position:absolute;left:4589;top:3448;width:1104;height:484" filled="true" fillcolor="#000000" stroked="false">
              <v:fill type="solid"/>
            </v:rect>
            <v:rect style="position:absolute;left:5331;top:480;width:2055;height:484" filled="true" fillcolor="#ffffff" stroked="false">
              <v:fill type="solid"/>
            </v:rect>
            <v:shape style="position:absolute;left:3362;top:1625;width:4895;height:480" coordorigin="3362,1625" coordsize="4895,480" path="m3362,1866l3362,1625,8257,1625,8257,2105e" filled="false" stroked="true" strokeweight="1.326pt" strokecolor="#000000">
              <v:path arrowok="t"/>
              <v:stroke dashstyle="solid"/>
            </v:shape>
            <v:shape style="position:absolute;left:2518;top:1863;width:1676;height:241" coordorigin="2519,1864" coordsize="1676,241" path="m2519,2105l2519,1864,4194,1864,4194,2091e" filled="false" stroked="true" strokeweight="1.326pt" strokecolor="#000000">
              <v:path arrowok="t"/>
              <v:stroke dashstyle="solid"/>
            </v:shape>
            <v:shape style="position:absolute;left:3704;top:2858;width:1064;height:588" coordorigin="3705,2858" coordsize="1064,588" path="m3705,3446l3705,2858,4768,2858,4768,3444e" filled="false" stroked="true" strokeweight="1.326pt" strokecolor="#000000">
              <v:path arrowok="t"/>
              <v:stroke dashstyle="solid"/>
            </v:shape>
            <v:shape style="position:absolute;left:5895;top:2089;width:4179;height:1843" type="#_x0000_t75" stroked="false">
              <v:imagedata r:id="rId70" o:title=""/>
            </v:shape>
            <v:line style="position:absolute" from="6338,967" to="6338,2153" stroked="true" strokeweight="1.329pt" strokecolor="#000000">
              <v:stroke dashstyle="solid"/>
            </v:line>
            <v:line style="position:absolute" from="2516,2529" to="2516,3446" stroked="true" strokeweight="1.326pt" strokecolor="#000000">
              <v:stroke dashstyle="solid"/>
            </v:line>
            <v:line style="position:absolute" from="4465,2529" to="4465,2857" stroked="true" strokeweight="1.326pt" strokecolor="#000000">
              <v:stroke dashstyle="solid"/>
            </v:line>
            <v:shape style="position:absolute;left:1734;top:4350;width:4489;height:172" type="#_x0000_t75" stroked="false">
              <v:imagedata r:id="rId71" o:title=""/>
            </v:shape>
            <v:line style="position:absolute" from="1996,2351" to="2908,2351" stroked="true" strokeweight=".75pt" strokecolor="#fdefed">
              <v:stroke dashstyle="solid"/>
            </v:line>
            <v:line style="position:absolute" from="3997,2341" to="4904,2341" stroked="true" strokeweight=".663pt" strokecolor="#ffffff">
              <v:stroke dashstyle="solid"/>
            </v:line>
            <v:shape style="position:absolute;left:4213;top:2263;width:314;height:136" type="#_x0000_t75" stroked="false">
              <v:imagedata r:id="rId72" o:title=""/>
            </v:shape>
            <v:shape style="position:absolute;left:4587;top:2271;width:75;height:126" coordorigin="4588,2271" coordsize="75,126" path="m4651,2282l4636,2282,4646,2291,4646,2304,4643,2316,4637,2329,4627,2341,4616,2354,4588,2386,4588,2396,4662,2396,4662,2386,4603,2386,4625,2361,4637,2347,4648,2333,4656,2318,4659,2304,4656,2289,4651,2282xm4623,2271l4613,2271,4601,2275,4592,2279,4594,2291,4604,2285,4613,2282,4651,2282,4649,2279,4637,2273,4623,2271xe" filled="true" fillcolor="#ffffff" stroked="false">
              <v:path arrowok="t"/>
              <v:fill type="solid"/>
            </v:shape>
            <v:shape style="position:absolute;left:2055;top:3603;width:730;height:172" type="#_x0000_t75" stroked="false">
              <v:imagedata r:id="rId73" o:title=""/>
            </v:shape>
            <v:shape style="position:absolute;left:2858;top:3613;width:40;height:124" coordorigin="2858,3613" coordsize="40,124" path="m2898,3627l2885,3627,2885,3737,2898,3737,2898,3627xm2898,3613l2887,3613,2858,3637,2865,3645,2885,3627,2898,3627,2898,3613xe" filled="true" fillcolor="#ffffff" stroked="false">
              <v:path arrowok="t"/>
              <v:fill type="solid"/>
            </v:shape>
            <v:shape style="position:absolute;left:3458;top:3603;width:730;height:172" type="#_x0000_t75" stroked="false">
              <v:imagedata r:id="rId74" o:title=""/>
            </v:shape>
            <v:shape style="position:absolute;left:4248;top:3611;width:75;height:126" coordorigin="4249,3612" coordsize="75,126" path="m4312,3623l4297,3623,4307,3632,4307,3645,4304,3657,4298,3670,4288,3682,4277,3695,4249,3727,4249,3737,4323,3737,4323,3727,4264,3727,4286,3702,4298,3688,4309,3674,4317,3659,4320,3645,4318,3630,4312,3623xm4284,3612l4274,3612,4262,3616,4253,3620,4255,3632,4265,3626,4274,3623,4312,3623,4310,3620,4299,3614,4284,3612xe" filled="true" fillcolor="#ffffff" stroked="false">
              <v:path arrowok="t"/>
              <v:fill type="solid"/>
            </v:shape>
            <v:shape style="position:absolute;left:4696;top:3603;width:730;height:172" type="#_x0000_t75" stroked="false">
              <v:imagedata r:id="rId75" o:title=""/>
            </v:shape>
            <v:shape style="position:absolute;left:5486;top:3611;width:76;height:127" coordorigin="5486,3612" coordsize="76,127" path="m5488,3722l5486,3733,5496,3737,5506,3738,5517,3738,5534,3736,5549,3729,5550,3728,5509,3728,5498,3727,5488,3722xm5553,3623l5534,3623,5549,3629,5549,3643,5545,3656,5535,3664,5521,3667,5507,3668,5504,3668,5504,3678,5515,3678,5526,3679,5537,3682,5546,3689,5549,3702,5547,3714,5539,3722,5529,3726,5518,3728,5550,3728,5558,3718,5562,3703,5562,3686,5552,3673,5536,3673,5536,3672,5551,3669,5562,3658,5562,3643,5558,3629,5553,3623xm5522,3612l5512,3612,5501,3614,5492,3618,5493,3629,5502,3625,5511,3623,5553,3623,5550,3619,5537,3614,5522,3612xe" filled="true" fillcolor="#ffffff" stroked="false">
              <v:path arrowok="t"/>
              <v:fill type="solid"/>
            </v:shape>
            <v:shape style="position:absolute;left:2219;top:2263;width:314;height:136" type="#_x0000_t75" stroked="false">
              <v:imagedata r:id="rId76" o:title=""/>
            </v:shape>
            <v:shape style="position:absolute;left:2606;top:2272;width:40;height:124" coordorigin="2607,2272" coordsize="40,124" path="m2646,2286l2634,2286,2634,2396,2646,2396,2646,2286xm2646,2272l2635,2272,2607,2296,2614,2304,2634,2286,2646,2286,2646,2272xe" filled="true" fillcolor="#ffffff" stroked="false">
              <v:path arrowok="t"/>
              <v:fill type="solid"/>
            </v:shape>
            <v:shape style="position:absolute;left:5750;top:637;width:1160;height:170" type="#_x0000_t75" stroked="false">
              <v:imagedata r:id="rId77" o:title=""/>
            </v:shape>
            <w10:wrap type="topAndBottom"/>
          </v:group>
        </w:pict>
      </w:r>
    </w:p>
    <w:p>
      <w:pPr>
        <w:pStyle w:val="BodyText"/>
        <w:spacing w:before="3"/>
        <w:rPr>
          <w:sz w:val="24"/>
        </w:rPr>
      </w:pPr>
    </w:p>
    <w:p>
      <w:pPr>
        <w:pStyle w:val="ListParagraph"/>
        <w:numPr>
          <w:ilvl w:val="1"/>
          <w:numId w:val="22"/>
        </w:numPr>
        <w:tabs>
          <w:tab w:pos="2381" w:val="left" w:leader="none"/>
          <w:tab w:pos="2382" w:val="left" w:leader="none"/>
        </w:tabs>
        <w:spacing w:line="242" w:lineRule="auto" w:before="0" w:after="0"/>
        <w:ind w:left="2381" w:right="1854" w:hanging="794"/>
        <w:jc w:val="left"/>
        <w:rPr>
          <w:sz w:val="21"/>
        </w:rPr>
      </w:pPr>
      <w:r>
        <w:rPr>
          <w:sz w:val="21"/>
        </w:rPr>
        <w:t>Distribution under the recommended scheme in the </w:t>
      </w:r>
      <w:r>
        <w:rPr>
          <w:spacing w:val="-3"/>
          <w:sz w:val="21"/>
        </w:rPr>
        <w:t>situation illustrated </w:t>
      </w:r>
      <w:r>
        <w:rPr>
          <w:sz w:val="21"/>
        </w:rPr>
        <w:t>by </w:t>
      </w:r>
      <w:r>
        <w:rPr>
          <w:rFonts w:ascii="Lucida Sans"/>
          <w:b/>
          <w:sz w:val="21"/>
        </w:rPr>
        <w:t>Figure 6 </w:t>
      </w:r>
      <w:r>
        <w:rPr>
          <w:sz w:val="21"/>
        </w:rPr>
        <w:t>would be the same as </w:t>
      </w:r>
      <w:r>
        <w:rPr>
          <w:spacing w:val="-2"/>
          <w:sz w:val="21"/>
        </w:rPr>
        <w:t>distribution </w:t>
      </w:r>
      <w:r>
        <w:rPr>
          <w:sz w:val="21"/>
        </w:rPr>
        <w:t>under the </w:t>
      </w:r>
      <w:r>
        <w:rPr>
          <w:spacing w:val="-3"/>
          <w:sz w:val="21"/>
        </w:rPr>
        <w:t>current </w:t>
      </w:r>
      <w:r>
        <w:rPr>
          <w:sz w:val="21"/>
        </w:rPr>
        <w:t>Victorian </w:t>
      </w:r>
      <w:r>
        <w:rPr>
          <w:spacing w:val="-5"/>
          <w:sz w:val="21"/>
        </w:rPr>
        <w:t>law. </w:t>
      </w:r>
      <w:r>
        <w:rPr>
          <w:sz w:val="21"/>
        </w:rPr>
        <w:t>As is the case under the </w:t>
      </w:r>
      <w:r>
        <w:rPr>
          <w:spacing w:val="-3"/>
          <w:sz w:val="21"/>
        </w:rPr>
        <w:t>current</w:t>
      </w:r>
      <w:r>
        <w:rPr>
          <w:spacing w:val="16"/>
          <w:sz w:val="21"/>
        </w:rPr>
        <w:t> </w:t>
      </w:r>
      <w:r>
        <w:rPr>
          <w:sz w:val="21"/>
        </w:rPr>
        <w:t>law:</w:t>
      </w:r>
    </w:p>
    <w:p>
      <w:pPr>
        <w:pStyle w:val="ListParagraph"/>
        <w:numPr>
          <w:ilvl w:val="2"/>
          <w:numId w:val="22"/>
        </w:numPr>
        <w:tabs>
          <w:tab w:pos="2721" w:val="left" w:leader="none"/>
          <w:tab w:pos="2722" w:val="left" w:leader="none"/>
        </w:tabs>
        <w:spacing w:line="242" w:lineRule="auto" w:before="123" w:after="0"/>
        <w:ind w:left="2721" w:right="2129" w:hanging="340"/>
        <w:jc w:val="left"/>
        <w:rPr>
          <w:sz w:val="12"/>
        </w:rPr>
      </w:pPr>
      <w:r>
        <w:rPr>
          <w:spacing w:val="-3"/>
          <w:w w:val="105"/>
          <w:sz w:val="21"/>
        </w:rPr>
        <w:t>sibling</w:t>
      </w:r>
      <w:r>
        <w:rPr>
          <w:spacing w:val="-8"/>
          <w:w w:val="105"/>
          <w:sz w:val="21"/>
        </w:rPr>
        <w:t> </w:t>
      </w:r>
      <w:r>
        <w:rPr>
          <w:w w:val="105"/>
          <w:sz w:val="21"/>
        </w:rPr>
        <w:t>1</w:t>
      </w:r>
      <w:r>
        <w:rPr>
          <w:spacing w:val="-7"/>
          <w:w w:val="105"/>
          <w:sz w:val="21"/>
        </w:rPr>
        <w:t> </w:t>
      </w:r>
      <w:r>
        <w:rPr>
          <w:w w:val="105"/>
          <w:sz w:val="21"/>
        </w:rPr>
        <w:t>would</w:t>
      </w:r>
      <w:r>
        <w:rPr>
          <w:spacing w:val="-7"/>
          <w:w w:val="105"/>
          <w:sz w:val="21"/>
        </w:rPr>
        <w:t> </w:t>
      </w:r>
      <w:r>
        <w:rPr>
          <w:spacing w:val="-3"/>
          <w:w w:val="105"/>
          <w:sz w:val="21"/>
        </w:rPr>
        <w:t>take</w:t>
      </w:r>
      <w:r>
        <w:rPr>
          <w:spacing w:val="-7"/>
          <w:w w:val="105"/>
          <w:sz w:val="21"/>
        </w:rPr>
        <w:t> </w:t>
      </w:r>
      <w:r>
        <w:rPr>
          <w:w w:val="105"/>
          <w:sz w:val="21"/>
        </w:rPr>
        <w:t>their</w:t>
      </w:r>
      <w:r>
        <w:rPr>
          <w:spacing w:val="-7"/>
          <w:w w:val="105"/>
          <w:sz w:val="21"/>
        </w:rPr>
        <w:t> </w:t>
      </w:r>
      <w:r>
        <w:rPr>
          <w:w w:val="105"/>
          <w:sz w:val="21"/>
        </w:rPr>
        <w:t>own</w:t>
      </w:r>
      <w:r>
        <w:rPr>
          <w:spacing w:val="-7"/>
          <w:w w:val="105"/>
          <w:sz w:val="21"/>
        </w:rPr>
        <w:t> </w:t>
      </w:r>
      <w:r>
        <w:rPr>
          <w:spacing w:val="-4"/>
          <w:w w:val="105"/>
          <w:sz w:val="21"/>
        </w:rPr>
        <w:t>share,</w:t>
      </w:r>
      <w:r>
        <w:rPr>
          <w:spacing w:val="-7"/>
          <w:w w:val="105"/>
          <w:sz w:val="21"/>
        </w:rPr>
        <w:t> </w:t>
      </w:r>
      <w:r>
        <w:rPr>
          <w:w w:val="105"/>
          <w:sz w:val="21"/>
        </w:rPr>
        <w:t>as</w:t>
      </w:r>
      <w:r>
        <w:rPr>
          <w:spacing w:val="-7"/>
          <w:w w:val="105"/>
          <w:sz w:val="21"/>
        </w:rPr>
        <w:t> </w:t>
      </w:r>
      <w:r>
        <w:rPr>
          <w:w w:val="105"/>
          <w:sz w:val="21"/>
        </w:rPr>
        <w:t>they</w:t>
      </w:r>
      <w:r>
        <w:rPr>
          <w:spacing w:val="-7"/>
          <w:w w:val="105"/>
          <w:sz w:val="21"/>
        </w:rPr>
        <w:t> </w:t>
      </w:r>
      <w:r>
        <w:rPr>
          <w:spacing w:val="-3"/>
          <w:w w:val="105"/>
          <w:sz w:val="21"/>
        </w:rPr>
        <w:t>have</w:t>
      </w:r>
      <w:r>
        <w:rPr>
          <w:spacing w:val="-7"/>
          <w:w w:val="105"/>
          <w:sz w:val="21"/>
        </w:rPr>
        <w:t> </w:t>
      </w:r>
      <w:r>
        <w:rPr>
          <w:w w:val="105"/>
          <w:sz w:val="21"/>
        </w:rPr>
        <w:t>survived</w:t>
      </w:r>
      <w:r>
        <w:rPr>
          <w:spacing w:val="-7"/>
          <w:w w:val="105"/>
          <w:sz w:val="21"/>
        </w:rPr>
        <w:t> </w:t>
      </w:r>
      <w:r>
        <w:rPr>
          <w:w w:val="105"/>
          <w:sz w:val="21"/>
        </w:rPr>
        <w:t>the</w:t>
      </w:r>
      <w:r>
        <w:rPr>
          <w:spacing w:val="-7"/>
          <w:w w:val="105"/>
          <w:sz w:val="21"/>
        </w:rPr>
        <w:t> </w:t>
      </w:r>
      <w:r>
        <w:rPr>
          <w:w w:val="105"/>
          <w:sz w:val="21"/>
        </w:rPr>
        <w:t>deceased</w:t>
      </w:r>
      <w:r>
        <w:rPr>
          <w:spacing w:val="-7"/>
          <w:w w:val="105"/>
          <w:sz w:val="21"/>
        </w:rPr>
        <w:t> </w:t>
      </w:r>
      <w:r>
        <w:rPr>
          <w:w w:val="105"/>
          <w:sz w:val="21"/>
        </w:rPr>
        <w:t>person by 30 days</w:t>
      </w:r>
      <w:r>
        <w:rPr>
          <w:spacing w:val="-18"/>
          <w:w w:val="105"/>
          <w:sz w:val="21"/>
        </w:rPr>
        <w:t> </w:t>
      </w:r>
      <w:r>
        <w:rPr>
          <w:w w:val="105"/>
          <w:position w:val="7"/>
          <w:sz w:val="12"/>
        </w:rPr>
        <w:t>250</w:t>
      </w:r>
    </w:p>
    <w:p>
      <w:pPr>
        <w:pStyle w:val="ListParagraph"/>
        <w:numPr>
          <w:ilvl w:val="2"/>
          <w:numId w:val="22"/>
        </w:numPr>
        <w:tabs>
          <w:tab w:pos="2721" w:val="left" w:leader="none"/>
          <w:tab w:pos="2722" w:val="left" w:leader="none"/>
        </w:tabs>
        <w:spacing w:line="240" w:lineRule="auto" w:before="122" w:after="0"/>
        <w:ind w:left="2721" w:right="0" w:hanging="340"/>
        <w:jc w:val="left"/>
        <w:rPr>
          <w:sz w:val="21"/>
        </w:rPr>
      </w:pPr>
      <w:r>
        <w:rPr>
          <w:sz w:val="21"/>
        </w:rPr>
        <w:t>niece/nephew</w:t>
      </w:r>
      <w:r>
        <w:rPr>
          <w:spacing w:val="10"/>
          <w:sz w:val="21"/>
        </w:rPr>
        <w:t> </w:t>
      </w:r>
      <w:r>
        <w:rPr>
          <w:sz w:val="21"/>
        </w:rPr>
        <w:t>3</w:t>
      </w:r>
      <w:r>
        <w:rPr>
          <w:spacing w:val="10"/>
          <w:sz w:val="21"/>
        </w:rPr>
        <w:t> </w:t>
      </w:r>
      <w:r>
        <w:rPr>
          <w:sz w:val="21"/>
        </w:rPr>
        <w:t>would</w:t>
      </w:r>
      <w:r>
        <w:rPr>
          <w:spacing w:val="11"/>
          <w:sz w:val="21"/>
        </w:rPr>
        <w:t> </w:t>
      </w:r>
      <w:r>
        <w:rPr>
          <w:spacing w:val="-3"/>
          <w:sz w:val="21"/>
        </w:rPr>
        <w:t>take</w:t>
      </w:r>
      <w:r>
        <w:rPr>
          <w:spacing w:val="10"/>
          <w:sz w:val="21"/>
        </w:rPr>
        <w:t> </w:t>
      </w:r>
      <w:r>
        <w:rPr>
          <w:spacing w:val="-3"/>
          <w:sz w:val="21"/>
        </w:rPr>
        <w:t>sibling</w:t>
      </w:r>
      <w:r>
        <w:rPr>
          <w:spacing w:val="10"/>
          <w:sz w:val="21"/>
        </w:rPr>
        <w:t> </w:t>
      </w:r>
      <w:r>
        <w:rPr>
          <w:spacing w:val="-5"/>
          <w:sz w:val="21"/>
        </w:rPr>
        <w:t>2’s</w:t>
      </w:r>
      <w:r>
        <w:rPr>
          <w:spacing w:val="11"/>
          <w:sz w:val="21"/>
        </w:rPr>
        <w:t> </w:t>
      </w:r>
      <w:r>
        <w:rPr>
          <w:spacing w:val="-3"/>
          <w:sz w:val="21"/>
        </w:rPr>
        <w:t>share</w:t>
      </w:r>
      <w:r>
        <w:rPr>
          <w:spacing w:val="10"/>
          <w:sz w:val="21"/>
        </w:rPr>
        <w:t> </w:t>
      </w:r>
      <w:r>
        <w:rPr>
          <w:sz w:val="21"/>
        </w:rPr>
        <w:t>as</w:t>
      </w:r>
      <w:r>
        <w:rPr>
          <w:spacing w:val="10"/>
          <w:sz w:val="21"/>
        </w:rPr>
        <w:t> </w:t>
      </w:r>
      <w:r>
        <w:rPr>
          <w:spacing w:val="-3"/>
          <w:sz w:val="21"/>
        </w:rPr>
        <w:t>sibling</w:t>
      </w:r>
      <w:r>
        <w:rPr>
          <w:spacing w:val="11"/>
          <w:sz w:val="21"/>
        </w:rPr>
        <w:t> </w:t>
      </w:r>
      <w:r>
        <w:rPr>
          <w:spacing w:val="-5"/>
          <w:sz w:val="21"/>
        </w:rPr>
        <w:t>2’s</w:t>
      </w:r>
      <w:r>
        <w:rPr>
          <w:spacing w:val="10"/>
          <w:sz w:val="21"/>
        </w:rPr>
        <w:t> </w:t>
      </w:r>
      <w:r>
        <w:rPr>
          <w:sz w:val="21"/>
        </w:rPr>
        <w:t>representative</w:t>
      </w:r>
    </w:p>
    <w:p>
      <w:pPr>
        <w:pStyle w:val="ListParagraph"/>
        <w:numPr>
          <w:ilvl w:val="2"/>
          <w:numId w:val="22"/>
        </w:numPr>
        <w:tabs>
          <w:tab w:pos="2721" w:val="left" w:leader="none"/>
          <w:tab w:pos="2722" w:val="left" w:leader="none"/>
        </w:tabs>
        <w:spacing w:line="240" w:lineRule="auto" w:before="124" w:after="0"/>
        <w:ind w:left="2721" w:right="0" w:hanging="340"/>
        <w:jc w:val="left"/>
        <w:rPr>
          <w:sz w:val="21"/>
        </w:rPr>
      </w:pPr>
      <w:r>
        <w:rPr>
          <w:w w:val="105"/>
          <w:sz w:val="21"/>
        </w:rPr>
        <w:t>nieces/nephews</w:t>
      </w:r>
      <w:r>
        <w:rPr>
          <w:spacing w:val="3"/>
          <w:w w:val="105"/>
          <w:sz w:val="21"/>
        </w:rPr>
        <w:t> </w:t>
      </w:r>
      <w:r>
        <w:rPr>
          <w:w w:val="105"/>
          <w:sz w:val="21"/>
        </w:rPr>
        <w:t>4,</w:t>
      </w:r>
      <w:r>
        <w:rPr>
          <w:spacing w:val="3"/>
          <w:w w:val="105"/>
          <w:sz w:val="21"/>
        </w:rPr>
        <w:t> </w:t>
      </w:r>
      <w:r>
        <w:rPr>
          <w:w w:val="105"/>
          <w:sz w:val="21"/>
        </w:rPr>
        <w:t>5</w:t>
      </w:r>
      <w:r>
        <w:rPr>
          <w:spacing w:val="3"/>
          <w:w w:val="105"/>
          <w:sz w:val="21"/>
        </w:rPr>
        <w:t> </w:t>
      </w:r>
      <w:r>
        <w:rPr>
          <w:w w:val="105"/>
          <w:sz w:val="21"/>
        </w:rPr>
        <w:t>and</w:t>
      </w:r>
      <w:r>
        <w:rPr>
          <w:spacing w:val="4"/>
          <w:w w:val="105"/>
          <w:sz w:val="21"/>
        </w:rPr>
        <w:t> </w:t>
      </w:r>
      <w:r>
        <w:rPr>
          <w:w w:val="105"/>
          <w:sz w:val="21"/>
        </w:rPr>
        <w:t>6</w:t>
      </w:r>
      <w:r>
        <w:rPr>
          <w:spacing w:val="3"/>
          <w:w w:val="105"/>
          <w:sz w:val="21"/>
        </w:rPr>
        <w:t> </w:t>
      </w:r>
      <w:r>
        <w:rPr>
          <w:w w:val="105"/>
          <w:sz w:val="21"/>
        </w:rPr>
        <w:t>would</w:t>
      </w:r>
      <w:r>
        <w:rPr>
          <w:spacing w:val="3"/>
          <w:w w:val="105"/>
          <w:sz w:val="21"/>
        </w:rPr>
        <w:t> </w:t>
      </w:r>
      <w:r>
        <w:rPr>
          <w:spacing w:val="-3"/>
          <w:w w:val="105"/>
          <w:sz w:val="21"/>
        </w:rPr>
        <w:t>take</w:t>
      </w:r>
      <w:r>
        <w:rPr>
          <w:spacing w:val="3"/>
          <w:w w:val="105"/>
          <w:sz w:val="21"/>
        </w:rPr>
        <w:t> </w:t>
      </w:r>
      <w:r>
        <w:rPr>
          <w:spacing w:val="-3"/>
          <w:w w:val="105"/>
          <w:sz w:val="21"/>
        </w:rPr>
        <w:t>sibling</w:t>
      </w:r>
      <w:r>
        <w:rPr>
          <w:spacing w:val="4"/>
          <w:w w:val="105"/>
          <w:sz w:val="21"/>
        </w:rPr>
        <w:t> </w:t>
      </w:r>
      <w:r>
        <w:rPr>
          <w:spacing w:val="-4"/>
          <w:w w:val="105"/>
          <w:sz w:val="21"/>
        </w:rPr>
        <w:t>3’s</w:t>
      </w:r>
      <w:r>
        <w:rPr>
          <w:spacing w:val="3"/>
          <w:w w:val="105"/>
          <w:sz w:val="21"/>
        </w:rPr>
        <w:t> </w:t>
      </w:r>
      <w:r>
        <w:rPr>
          <w:spacing w:val="-3"/>
          <w:w w:val="105"/>
          <w:sz w:val="21"/>
        </w:rPr>
        <w:t>share</w:t>
      </w:r>
      <w:r>
        <w:rPr>
          <w:spacing w:val="3"/>
          <w:w w:val="105"/>
          <w:sz w:val="21"/>
        </w:rPr>
        <w:t> </w:t>
      </w:r>
      <w:r>
        <w:rPr>
          <w:w w:val="105"/>
          <w:sz w:val="21"/>
        </w:rPr>
        <w:t>as</w:t>
      </w:r>
      <w:r>
        <w:rPr>
          <w:spacing w:val="4"/>
          <w:w w:val="105"/>
          <w:sz w:val="21"/>
        </w:rPr>
        <w:t> </w:t>
      </w:r>
      <w:r>
        <w:rPr>
          <w:spacing w:val="-3"/>
          <w:w w:val="105"/>
          <w:sz w:val="21"/>
        </w:rPr>
        <w:t>sibling</w:t>
      </w:r>
      <w:r>
        <w:rPr>
          <w:spacing w:val="3"/>
          <w:w w:val="105"/>
          <w:sz w:val="21"/>
        </w:rPr>
        <w:t> </w:t>
      </w:r>
      <w:r>
        <w:rPr>
          <w:spacing w:val="-4"/>
          <w:w w:val="105"/>
          <w:sz w:val="21"/>
        </w:rPr>
        <w:t>3’s</w:t>
      </w:r>
      <w:r>
        <w:rPr>
          <w:spacing w:val="3"/>
          <w:w w:val="105"/>
          <w:sz w:val="21"/>
        </w:rPr>
        <w:t> </w:t>
      </w:r>
      <w:r>
        <w:rPr>
          <w:spacing w:val="-3"/>
          <w:w w:val="105"/>
          <w:sz w:val="21"/>
        </w:rPr>
        <w:t>representatives.</w:t>
      </w:r>
    </w:p>
    <w:p>
      <w:pPr>
        <w:pStyle w:val="Heading6"/>
        <w:spacing w:line="232" w:lineRule="auto" w:before="120"/>
        <w:ind w:right="2010"/>
        <w:rPr>
          <w:rFonts w:ascii="Calibri"/>
        </w:rPr>
      </w:pPr>
      <w:r>
        <w:rPr>
          <w:rFonts w:ascii="Calibri"/>
          <w:color w:val="F18C84"/>
          <w:w w:val="110"/>
        </w:rPr>
        <w:t>Figure 6: One or more siblings who would have been entitled to a share do not survive the deceased person by 30 days</w:t>
      </w:r>
    </w:p>
    <w:p>
      <w:pPr>
        <w:pStyle w:val="BodyText"/>
        <w:spacing w:before="5"/>
        <w:rPr>
          <w:sz w:val="13"/>
        </w:rPr>
      </w:pPr>
      <w:r>
        <w:rPr/>
        <w:pict>
          <v:group style="position:absolute;margin-left:79.371002pt;margin-top:10.148877pt;width:436.55pt;height:226.8pt;mso-position-horizontal-relative:page;mso-position-vertical-relative:paragraph;z-index:5864;mso-wrap-distance-left:0;mso-wrap-distance-right:0" coordorigin="1587,203" coordsize="8731,4536">
            <v:rect style="position:absolute;left:1587;top:202;width:8731;height:4536" filled="true" fillcolor="#ec5a4f" stroked="false">
              <v:fill type="solid"/>
            </v:rect>
            <v:rect style="position:absolute;left:4688;top:2094;width:1351;height:484" filled="true" fillcolor="#000000" stroked="false">
              <v:fill type="solid"/>
            </v:rect>
            <v:rect style="position:absolute;left:7643;top:2094;width:1351;height:484" filled="true" fillcolor="#000000" stroked="false">
              <v:fill type="solid"/>
            </v:rect>
            <v:rect style="position:absolute;left:2329;top:2054;width:1351;height:484" filled="true" fillcolor="#000000" stroked="false">
              <v:fill type="solid"/>
            </v:rect>
            <v:rect style="position:absolute;left:4699;top:3452;width:1351;height:484" filled="true" fillcolor="#000000" stroked="false">
              <v:fill type="solid"/>
            </v:rect>
            <v:rect style="position:absolute;left:1786;top:3412;width:1104;height:484" filled="true" fillcolor="#000000" stroked="false">
              <v:fill type="solid"/>
            </v:rect>
            <v:rect style="position:absolute;left:3041;top:3412;width:1104;height:484" filled="true" fillcolor="#000000" stroked="false">
              <v:fill type="solid"/>
            </v:rect>
            <v:rect style="position:absolute;left:4373;top:485;width:2054;height:484" filled="true" fillcolor="#ffffff" stroked="false">
              <v:fill type="solid"/>
            </v:rect>
            <v:shape style="position:absolute;left:2965;top:1630;width:5353;height:480" coordorigin="2965,1630" coordsize="5353,480" path="m2965,2094l2965,1630,8318,1630,8318,2110e" filled="false" stroked="true" strokeweight="1.326pt" strokecolor="#000000">
              <v:path arrowok="t"/>
              <v:stroke dashstyle="solid"/>
            </v:shape>
            <v:shape style="position:absolute;left:2340;top:2862;width:1229;height:588" coordorigin="2341,2863" coordsize="1229,588" path="m2341,3451l2341,2863,3569,2863,3569,3448e" filled="false" stroked="true" strokeweight="1.326pt" strokecolor="#000000">
              <v:path arrowok="t"/>
              <v:stroke dashstyle="solid"/>
            </v:shape>
            <v:rect style="position:absolute;left:7776;top:3452;width:1104;height:484" filled="true" fillcolor="#000000" stroked="false">
              <v:fill type="solid"/>
            </v:rect>
            <v:rect style="position:absolute;left:6503;top:3452;width:1104;height:484" filled="true" fillcolor="#000000" stroked="false">
              <v:fill type="solid"/>
            </v:rect>
            <v:rect style="position:absolute;left:9031;top:3452;width:1104;height:484" filled="true" fillcolor="#000000" stroked="false">
              <v:fill type="solid"/>
            </v:rect>
            <v:shape style="position:absolute;left:7087;top:2862;width:2528;height:588" coordorigin="7087,2863" coordsize="2528,588" path="m7087,3451l7087,2863,9615,2863,9615,3448e" filled="false" stroked="true" strokeweight="1.326pt" strokecolor="#000000">
              <v:path arrowok="t"/>
              <v:stroke dashstyle="solid"/>
            </v:shape>
            <v:line style="position:absolute" from="5436,977" to="5436,2158" stroked="true" strokeweight="1.326pt" strokecolor="#000000">
              <v:stroke dashstyle="solid"/>
            </v:line>
            <v:line style="position:absolute" from="5428,2554" to="5428,3451" stroked="true" strokeweight="1.326pt" strokecolor="#000000">
              <v:stroke dashstyle="solid"/>
            </v:line>
            <v:line style="position:absolute" from="2973,2583" to="2973,2867" stroked="true" strokeweight="1.326pt" strokecolor="#000000">
              <v:stroke dashstyle="solid"/>
            </v:line>
            <v:line style="position:absolute" from="4894,2320" to="5749,2320" stroked="true" strokeweight=".663pt" strokecolor="#ffffff">
              <v:stroke dashstyle="solid"/>
            </v:line>
            <v:line style="position:absolute" from="8318,3448" to="8318,2574" stroked="true" strokeweight="1.326pt" strokecolor="#000000">
              <v:stroke dashstyle="solid"/>
            </v:line>
            <v:line style="position:absolute" from="7880,2320" to="8735,2320" stroked="true" strokeweight=".663pt" strokecolor="#ffffff">
              <v:stroke dashstyle="solid"/>
            </v:line>
            <v:shape style="position:absolute;left:5064;top:2249;width:433;height:172" type="#_x0000_t75" stroked="false">
              <v:imagedata r:id="rId78" o:title=""/>
            </v:shape>
            <v:shape style="position:absolute;left:5557;top:2257;width:75;height:126" coordorigin="5557,2258" coordsize="75,126" path="m5620,2269l5606,2269,5615,2278,5615,2291,5613,2303,5606,2315,5597,2328,5586,2341,5557,2372,5557,2383,5632,2383,5632,2372,5572,2372,5595,2348,5607,2334,5618,2319,5626,2305,5629,2290,5626,2276,5620,2269xm5593,2258l5583,2258,5571,2262,5562,2266,5564,2277,5574,2272,5582,2269,5620,2269,5618,2266,5607,2260,5593,2258xe" filled="true" fillcolor="#ffffff" stroked="false">
              <v:path arrowok="t"/>
              <v:fill type="solid"/>
            </v:shape>
            <v:shape style="position:absolute;left:8019;top:2249;width:433;height:172" type="#_x0000_t75" stroked="false">
              <v:imagedata r:id="rId79" o:title=""/>
            </v:shape>
            <v:shape style="position:absolute;left:8512;top:2257;width:76;height:127" coordorigin="8513,2258" coordsize="76,127" path="m8514,2368l8513,2379,8523,2383,8533,2384,8543,2384,8561,2382,8575,2375,8576,2374,8535,2374,8524,2372,8514,2368xm8579,2269l8561,2269,8576,2275,8576,2289,8572,2302,8561,2310,8547,2313,8534,2313,8530,2313,8530,2324,8542,2324,8553,2325,8564,2328,8572,2335,8576,2348,8573,2360,8565,2368,8555,2372,8544,2374,8576,2374,8584,2364,8588,2349,8588,2332,8579,2319,8562,2319,8562,2318,8577,2315,8588,2304,8588,2289,8585,2274,8579,2269xm8549,2258l8538,2258,8528,2260,8519,2264,8520,2275,8528,2271,8538,2269,8579,2269,8576,2265,8563,2260,8549,2258xe" filled="true" fillcolor="#ffffff" stroked="false">
              <v:path arrowok="t"/>
              <v:fill type="solid"/>
            </v:shape>
            <v:shape style="position:absolute;left:2705;top:2209;width:433;height:172" type="#_x0000_t75" stroked="false">
              <v:imagedata r:id="rId80" o:title=""/>
            </v:shape>
            <v:shape style="position:absolute;left:3211;top:2219;width:40;height:124" coordorigin="3211,2219" coordsize="40,124" path="m3250,2233l3238,2233,3238,2343,3250,2343,3250,2233xm3250,2219l3239,2219,3211,2243,3218,2251,3238,2233,3250,2233,3250,2219xe" filled="true" fillcolor="#ffffff" stroked="false">
              <v:path arrowok="t"/>
              <v:fill type="solid"/>
            </v:shape>
            <v:shape style="position:absolute;left:5235;top:3663;width:72;height:93" coordorigin="5235,3664" coordsize="72,93" path="m5246,3666l5235,3666,5236,3673,5236,3756,5247,3756,5247,3706,5248,3695,5253,3684,5255,3682,5246,3682,5246,3666xm5299,3673l5289,3673,5295,3684,5295,3756,5306,3756,5306,3698,5305,3685,5299,3674,5299,3673xm5276,3664l5257,3664,5250,3674,5246,3682,5255,3682,5261,3676,5274,3673,5299,3673,5290,3666,5276,3664xe" filled="true" fillcolor="#ffffff" stroked="false">
              <v:path arrowok="t"/>
              <v:fill type="solid"/>
            </v:shape>
            <v:shape style="position:absolute;left:5368;top:3631;width:76;height:127" coordorigin="5368,3631" coordsize="76,127" path="m5369,3741l5368,3753,5378,3756,5388,3758,5399,3758,5416,3755,5430,3748,5431,3747,5390,3747,5380,3746,5369,3741xm5435,3642l5416,3642,5431,3648,5431,3662,5427,3675,5416,3683,5403,3686,5389,3687,5386,3687,5386,3697,5397,3697,5408,3698,5419,3701,5428,3708,5431,3721,5428,3733,5421,3741,5411,3745,5399,3747,5431,3747,5440,3737,5443,3722,5443,3705,5434,3693,5418,3692,5418,3691,5433,3688,5443,3677,5443,3662,5440,3648,5435,3642xm5404,3631l5394,3631,5383,3633,5374,3637,5375,3648,5384,3644,5393,3642,5435,3642,5431,3638,5419,3633,5404,3631xe" filled="true" fillcolor="#ffffff" stroked="false">
              <v:path arrowok="t"/>
              <v:fill type="solid"/>
            </v:shape>
            <v:shape style="position:absolute;left:2251;top:3623;width:72;height:93" coordorigin="2251,3624" coordsize="72,93" path="m2262,3626l2251,3626,2252,3633,2252,3716,2263,3716,2263,3666,2265,3655,2269,3644,2271,3642,2262,3642,2262,3626xm2315,3633l2306,3633,2312,3644,2312,3716,2323,3716,2323,3658,2321,3645,2316,3634,2315,3633xm2292,3624l2273,3624,2266,3634,2263,3642,2271,3642,2277,3636,2290,3633,2315,3633,2306,3626,2292,3624xe" filled="true" fillcolor="#ffffff" stroked="false">
              <v:path arrowok="t"/>
              <v:fill type="solid"/>
            </v:shape>
            <v:shape style="position:absolute;left:2397;top:3592;width:40;height:124" coordorigin="2397,3592" coordsize="40,124" path="m2436,3606l2424,3606,2424,3716,2436,3716,2436,3606xm2436,3592l2425,3592,2397,3616,2404,3624,2424,3606,2436,3606,2436,3592xe" filled="true" fillcolor="#ffffff" stroked="false">
              <v:path arrowok="t"/>
              <v:fill type="solid"/>
            </v:shape>
            <v:shape style="position:absolute;left:3506;top:3623;width:72;height:93" coordorigin="3506,3624" coordsize="72,93" path="m3517,3626l3506,3626,3507,3633,3507,3716,3518,3716,3518,3666,3519,3655,3524,3644,3526,3642,3517,3642,3517,3626xm3570,3633l3560,3633,3566,3644,3566,3716,3578,3716,3578,3658,3576,3645,3571,3634,3570,3633xm3547,3624l3528,3624,3521,3634,3517,3642,3526,3642,3532,3636,3545,3633,3570,3633,3561,3626,3547,3624xe" filled="true" fillcolor="#ffffff" stroked="false">
              <v:path arrowok="t"/>
              <v:fill type="solid"/>
            </v:shape>
            <v:shape style="position:absolute;left:3639;top:3591;width:75;height:126" coordorigin="3639,3591" coordsize="75,126" path="m3702,3602l3688,3602,3697,3611,3697,3624,3695,3636,3688,3649,3679,3662,3668,3674,3639,3706,3639,3716,3714,3716,3714,3706,3654,3706,3677,3681,3689,3667,3700,3653,3708,3638,3711,3624,3708,3609,3702,3602xm3675,3591l3665,3591,3653,3595,3644,3599,3646,3611,3656,3605,3664,3602,3702,3602,3700,3599,3689,3593,3675,3591xe" filled="true" fillcolor="#ffffff" stroked="false">
              <v:path arrowok="t"/>
              <v:fill type="solid"/>
            </v:shape>
            <v:shape style="position:absolute;left:4785;top:642;width:1166;height:171" type="#_x0000_t75" stroked="false">
              <v:imagedata r:id="rId81" o:title=""/>
            </v:shape>
            <v:shape style="position:absolute;left:8241;top:3663;width:72;height:93" coordorigin="8241,3664" coordsize="72,93" path="m8252,3666l8241,3666,8242,3673,8242,3756,8253,3756,8253,3706,8255,3695,8259,3684,8261,3682,8252,3682,8252,3666xm8305,3673l8296,3673,8301,3684,8302,3756,8313,3756,8313,3698,8311,3685,8306,3674,8305,3673xm8282,3664l8263,3664,8256,3674,8253,3682,8261,3682,8267,3676,8280,3673,8305,3673,8296,3666,8282,3664xe" filled="true" fillcolor="#ffffff" stroked="false">
              <v:path arrowok="t"/>
              <v:fill type="solid"/>
            </v:shape>
            <v:shape style="position:absolute;left:8380;top:3632;width:72;height:126" coordorigin="8381,3632" coordsize="72,126" path="m8381,3741l8381,3753,8389,3756,8398,3758,8407,3758,8425,3755,8440,3747,8440,3747,8398,3747,8389,3745,8381,3741xm8443,3691l8409,3691,8423,3692,8432,3698,8438,3706,8440,3719,8437,3731,8430,3740,8419,3745,8407,3747,8440,3747,8449,3734,8452,3716,8450,3701,8443,3691xm8447,3632l8383,3632,8382,3695,8391,3692,8398,3691,8443,3691,8442,3690,8430,3683,8395,3683,8395,3643,8447,3643,8447,3632xm8413,3680l8404,3680,8399,3681,8395,3683,8430,3683,8430,3683,8413,3680xe" filled="true" fillcolor="#ffffff" stroked="false">
              <v:path arrowok="t"/>
              <v:fill type="solid"/>
            </v:shape>
            <v:shape style="position:absolute;left:6968;top:3663;width:72;height:93" coordorigin="6969,3664" coordsize="72,93" path="m6980,3666l6969,3666,6970,3673,6970,3756,6981,3756,6981,3706,6982,3695,6986,3684,6989,3682,6980,3682,6980,3666xm7033,3673l7023,3673,7029,3684,7029,3756,7040,3756,7040,3698,7039,3685,7033,3674,7033,3673xm7009,3664l6991,3664,6984,3674,6980,3682,6989,3682,6995,3676,7008,3673,7033,3673,7024,3666,7009,3664xe" filled="true" fillcolor="#ffffff" stroked="false">
              <v:path arrowok="t"/>
              <v:fill type="solid"/>
            </v:shape>
            <v:shape style="position:absolute;left:7097;top:3632;width:90;height:124" coordorigin="7097,3632" coordsize="90,124" path="m7168,3728l7156,3728,7156,3756,7168,3756,7168,3728xm7168,3632l7153,3632,7097,3716,7097,3728,7187,3728,7187,3717,7108,3717,7156,3645,7168,3645,7168,3632xm7168,3645l7156,3645,7156,3717,7168,3717,7168,3645xe" filled="true" fillcolor="#ffffff" stroked="false">
              <v:path arrowok="t"/>
              <v:fill type="solid"/>
            </v:shape>
            <v:shape style="position:absolute;left:9496;top:3663;width:72;height:93" coordorigin="9496,3664" coordsize="72,93" path="m9507,3666l9496,3666,9497,3673,9497,3756,9508,3756,9508,3706,9509,3695,9514,3684,9516,3682,9507,3682,9507,3666xm9560,3673l9550,3673,9556,3684,9556,3756,9568,3756,9568,3698,9566,3685,9561,3674,9560,3673xm9537,3664l9518,3664,9511,3674,9507,3682,9516,3682,9522,3676,9535,3673,9560,3673,9551,3666,9537,3664xe" filled="true" fillcolor="#ffffff" stroked="false">
              <v:path arrowok="t"/>
              <v:fill type="solid"/>
            </v:shape>
            <v:shape style="position:absolute;left:9630;top:3631;width:81;height:127" coordorigin="9630,3631" coordsize="81,127" path="m9693,3631l9686,3631,9660,3636,9642,3651,9633,3672,9630,3698,9630,3700,9632,3720,9638,3739,9650,3752,9670,3758,9687,3755,9699,3747,9670,3747,9658,3744,9650,3737,9645,3727,9644,3717,9644,3700,9650,3693,9642,3693,9644,3675,9651,3658,9664,3646,9684,3642,9705,3642,9706,3634,9699,3632,9693,3631xm9699,3689l9689,3689,9698,3699,9698,3718,9696,3729,9691,3738,9682,3745,9670,3747,9699,3747,9700,3746,9708,3733,9710,3718,9710,3716,9707,3698,9699,3689xm9672,3678l9660,3678,9649,3683,9643,3693,9650,3693,9654,3689,9699,3689,9697,3686,9685,3680,9672,3678xm9705,3642l9691,3642,9700,3643,9705,3646,9705,3642xe" filled="true" fillcolor="#ffffff" stroked="false">
              <v:path arrowok="t"/>
              <v:fill type="solid"/>
            </v:shape>
            <w10:wrap type="topAndBottom"/>
          </v:group>
        </w:pict>
      </w:r>
    </w:p>
    <w:p>
      <w:pPr>
        <w:pStyle w:val="BodyText"/>
        <w:rPr>
          <w:sz w:val="20"/>
        </w:rPr>
      </w:pPr>
    </w:p>
    <w:p>
      <w:pPr>
        <w:pStyle w:val="BodyText"/>
        <w:rPr>
          <w:sz w:val="20"/>
        </w:rPr>
      </w:pPr>
    </w:p>
    <w:p>
      <w:pPr>
        <w:pStyle w:val="BodyText"/>
        <w:spacing w:before="10"/>
        <w:rPr>
          <w:sz w:val="27"/>
        </w:rPr>
      </w:pPr>
      <w:r>
        <w:rPr/>
        <w:pict>
          <v:line style="position:absolute;mso-position-horizontal-relative:page;mso-position-vertical-relative:paragraph;z-index:5888;mso-wrap-distance-left:0;mso-wrap-distance-right:0" from="79.370003pt,19.432537pt" to="515.905003pt,19.432537pt" stroked="true" strokeweight="1pt" strokecolor="#f9ceca">
            <v:stroke dashstyle="solid"/>
            <w10:wrap type="topAndBottom"/>
          </v:line>
        </w:pict>
      </w:r>
    </w:p>
    <w:p>
      <w:pPr>
        <w:tabs>
          <w:tab w:pos="2380" w:val="left" w:leader="none"/>
          <w:tab w:pos="11246" w:val="right" w:leader="none"/>
        </w:tabs>
        <w:spacing w:before="12"/>
        <w:ind w:left="1587" w:right="0" w:firstLine="0"/>
        <w:jc w:val="left"/>
        <w:rPr>
          <w:b/>
          <w:sz w:val="24"/>
        </w:rPr>
      </w:pPr>
      <w:r>
        <w:rPr>
          <w:w w:val="105"/>
          <w:sz w:val="13"/>
        </w:rPr>
        <w:t>250</w:t>
        <w:tab/>
        <w:t>See</w:t>
      </w:r>
      <w:r>
        <w:rPr>
          <w:spacing w:val="4"/>
          <w:w w:val="105"/>
          <w:sz w:val="13"/>
        </w:rPr>
        <w:t> </w:t>
      </w:r>
      <w:r>
        <w:rPr>
          <w:spacing w:val="2"/>
          <w:w w:val="105"/>
          <w:sz w:val="13"/>
        </w:rPr>
        <w:t>[5.40]</w:t>
      </w:r>
      <w:r>
        <w:rPr>
          <w:spacing w:val="5"/>
          <w:w w:val="105"/>
          <w:sz w:val="13"/>
        </w:rPr>
        <w:t> </w:t>
      </w:r>
      <w:r>
        <w:rPr>
          <w:w w:val="105"/>
          <w:sz w:val="13"/>
        </w:rPr>
        <w:t>above,</w:t>
      </w:r>
      <w:r>
        <w:rPr>
          <w:spacing w:val="5"/>
          <w:w w:val="105"/>
          <w:sz w:val="13"/>
        </w:rPr>
        <w:t> </w:t>
      </w:r>
      <w:r>
        <w:rPr>
          <w:w w:val="105"/>
          <w:sz w:val="13"/>
        </w:rPr>
        <w:t>where</w:t>
      </w:r>
      <w:r>
        <w:rPr>
          <w:spacing w:val="5"/>
          <w:w w:val="105"/>
          <w:sz w:val="13"/>
        </w:rPr>
        <w:t> </w:t>
      </w:r>
      <w:r>
        <w:rPr>
          <w:w w:val="105"/>
          <w:sz w:val="13"/>
        </w:rPr>
        <w:t>the</w:t>
      </w:r>
      <w:r>
        <w:rPr>
          <w:spacing w:val="5"/>
          <w:w w:val="105"/>
          <w:sz w:val="13"/>
        </w:rPr>
        <w:t> </w:t>
      </w:r>
      <w:r>
        <w:rPr>
          <w:w w:val="105"/>
          <w:sz w:val="13"/>
        </w:rPr>
        <w:t>Commission</w:t>
      </w:r>
      <w:r>
        <w:rPr>
          <w:spacing w:val="5"/>
          <w:w w:val="105"/>
          <w:sz w:val="13"/>
        </w:rPr>
        <w:t> </w:t>
      </w:r>
      <w:r>
        <w:rPr>
          <w:w w:val="105"/>
          <w:sz w:val="13"/>
        </w:rPr>
        <w:t>recommends</w:t>
      </w:r>
      <w:r>
        <w:rPr>
          <w:spacing w:val="5"/>
          <w:w w:val="105"/>
          <w:sz w:val="13"/>
        </w:rPr>
        <w:t> </w:t>
      </w:r>
      <w:r>
        <w:rPr>
          <w:w w:val="105"/>
          <w:sz w:val="13"/>
        </w:rPr>
        <w:t>introduction</w:t>
      </w:r>
      <w:r>
        <w:rPr>
          <w:spacing w:val="5"/>
          <w:w w:val="105"/>
          <w:sz w:val="13"/>
        </w:rPr>
        <w:t> </w:t>
      </w:r>
      <w:r>
        <w:rPr>
          <w:w w:val="105"/>
          <w:sz w:val="13"/>
        </w:rPr>
        <w:t>of</w:t>
      </w:r>
      <w:r>
        <w:rPr>
          <w:spacing w:val="4"/>
          <w:w w:val="105"/>
          <w:sz w:val="13"/>
        </w:rPr>
        <w:t> </w:t>
      </w:r>
      <w:r>
        <w:rPr>
          <w:w w:val="105"/>
          <w:sz w:val="13"/>
        </w:rPr>
        <w:t>a</w:t>
      </w:r>
      <w:r>
        <w:rPr>
          <w:spacing w:val="5"/>
          <w:w w:val="105"/>
          <w:sz w:val="13"/>
        </w:rPr>
        <w:t> </w:t>
      </w:r>
      <w:r>
        <w:rPr>
          <w:spacing w:val="2"/>
          <w:w w:val="105"/>
          <w:sz w:val="13"/>
        </w:rPr>
        <w:t>30-day</w:t>
      </w:r>
      <w:r>
        <w:rPr>
          <w:spacing w:val="5"/>
          <w:w w:val="105"/>
          <w:sz w:val="13"/>
        </w:rPr>
        <w:t> </w:t>
      </w:r>
      <w:r>
        <w:rPr>
          <w:w w:val="105"/>
          <w:sz w:val="13"/>
        </w:rPr>
        <w:t>survivorship</w:t>
      </w:r>
      <w:r>
        <w:rPr>
          <w:spacing w:val="5"/>
          <w:w w:val="105"/>
          <w:sz w:val="13"/>
        </w:rPr>
        <w:t> </w:t>
      </w:r>
      <w:r>
        <w:rPr>
          <w:w w:val="105"/>
          <w:sz w:val="13"/>
        </w:rPr>
        <w:t>requirement</w:t>
      </w:r>
      <w:r>
        <w:rPr>
          <w:spacing w:val="5"/>
          <w:w w:val="105"/>
          <w:sz w:val="13"/>
        </w:rPr>
        <w:t> </w:t>
      </w:r>
      <w:r>
        <w:rPr>
          <w:w w:val="105"/>
          <w:sz w:val="13"/>
        </w:rPr>
        <w:t>on</w:t>
      </w:r>
      <w:r>
        <w:rPr>
          <w:spacing w:val="5"/>
          <w:w w:val="105"/>
          <w:sz w:val="13"/>
        </w:rPr>
        <w:t> </w:t>
      </w:r>
      <w:r>
        <w:rPr>
          <w:w w:val="105"/>
          <w:sz w:val="13"/>
        </w:rPr>
        <w:t>intestacy.</w:t>
        <w:tab/>
      </w:r>
      <w:r>
        <w:rPr>
          <w:b/>
          <w:color w:val="EC5A4F"/>
          <w:w w:val="105"/>
          <w:sz w:val="24"/>
        </w:rPr>
        <w:t>89</w:t>
      </w:r>
    </w:p>
    <w:p>
      <w:pPr>
        <w:spacing w:after="0"/>
        <w:jc w:val="left"/>
        <w:rPr>
          <w:sz w:val="24"/>
        </w:rPr>
        <w:sectPr>
          <w:pgSz w:w="11910" w:h="16840"/>
          <w:pgMar w:header="805" w:footer="0" w:top="1360" w:bottom="280" w:left="0" w:right="0"/>
        </w:sectPr>
      </w:pPr>
    </w:p>
    <w:p>
      <w:pPr>
        <w:pStyle w:val="BodyText"/>
        <w:spacing w:before="11"/>
        <w:rPr>
          <w:b/>
          <w:sz w:val="29"/>
        </w:rPr>
      </w:pPr>
    </w:p>
    <w:p>
      <w:pPr>
        <w:pStyle w:val="ListParagraph"/>
        <w:numPr>
          <w:ilvl w:val="1"/>
          <w:numId w:val="22"/>
        </w:numPr>
        <w:tabs>
          <w:tab w:pos="2381" w:val="left" w:leader="none"/>
          <w:tab w:pos="2382" w:val="left" w:leader="none"/>
        </w:tabs>
        <w:spacing w:line="242" w:lineRule="auto" w:before="0" w:after="0"/>
        <w:ind w:left="2381" w:right="1867" w:hanging="794"/>
        <w:jc w:val="left"/>
        <w:rPr>
          <w:sz w:val="21"/>
        </w:rPr>
      </w:pPr>
      <w:r>
        <w:rPr>
          <w:sz w:val="21"/>
        </w:rPr>
        <w:t>Distribution under the recommended scheme in the </w:t>
      </w:r>
      <w:r>
        <w:rPr>
          <w:spacing w:val="-3"/>
          <w:sz w:val="21"/>
        </w:rPr>
        <w:t>situation illustrated </w:t>
      </w:r>
      <w:r>
        <w:rPr>
          <w:sz w:val="21"/>
        </w:rPr>
        <w:t>by </w:t>
      </w:r>
      <w:r>
        <w:rPr>
          <w:rFonts w:ascii="Lucida Sans"/>
          <w:b/>
          <w:sz w:val="21"/>
        </w:rPr>
        <w:t>Figure 7 </w:t>
      </w:r>
      <w:r>
        <w:rPr>
          <w:sz w:val="21"/>
        </w:rPr>
        <w:t>would be </w:t>
      </w:r>
      <w:r>
        <w:rPr>
          <w:spacing w:val="-3"/>
          <w:sz w:val="21"/>
        </w:rPr>
        <w:t>different from </w:t>
      </w:r>
      <w:r>
        <w:rPr>
          <w:spacing w:val="-2"/>
          <w:sz w:val="21"/>
        </w:rPr>
        <w:t>distribution </w:t>
      </w:r>
      <w:r>
        <w:rPr>
          <w:sz w:val="21"/>
        </w:rPr>
        <w:t>under the </w:t>
      </w:r>
      <w:r>
        <w:rPr>
          <w:spacing w:val="-3"/>
          <w:sz w:val="21"/>
        </w:rPr>
        <w:t>current </w:t>
      </w:r>
      <w:r>
        <w:rPr>
          <w:sz w:val="21"/>
        </w:rPr>
        <w:t>Victorian </w:t>
      </w:r>
      <w:r>
        <w:rPr>
          <w:spacing w:val="-5"/>
          <w:sz w:val="21"/>
        </w:rPr>
        <w:t>law. </w:t>
      </w:r>
      <w:r>
        <w:rPr>
          <w:sz w:val="21"/>
        </w:rPr>
        <w:t>Under the </w:t>
      </w:r>
      <w:r>
        <w:rPr>
          <w:spacing w:val="-3"/>
          <w:sz w:val="21"/>
        </w:rPr>
        <w:t>current </w:t>
      </w:r>
      <w:r>
        <w:rPr>
          <w:sz w:val="21"/>
        </w:rPr>
        <w:t>Victorian </w:t>
      </w:r>
      <w:r>
        <w:rPr>
          <w:spacing w:val="-5"/>
          <w:sz w:val="21"/>
        </w:rPr>
        <w:t>law, </w:t>
      </w:r>
      <w:r>
        <w:rPr>
          <w:spacing w:val="-3"/>
          <w:sz w:val="21"/>
        </w:rPr>
        <w:t>all </w:t>
      </w:r>
      <w:r>
        <w:rPr>
          <w:sz w:val="21"/>
        </w:rPr>
        <w:t>nieces/nephews in </w:t>
      </w:r>
      <w:r>
        <w:rPr>
          <w:rFonts w:ascii="Lucida Sans"/>
          <w:b/>
          <w:sz w:val="21"/>
        </w:rPr>
        <w:t>Figure 7 </w:t>
      </w:r>
      <w:r>
        <w:rPr>
          <w:sz w:val="21"/>
        </w:rPr>
        <w:t>would </w:t>
      </w:r>
      <w:r>
        <w:rPr>
          <w:spacing w:val="-3"/>
          <w:sz w:val="21"/>
        </w:rPr>
        <w:t>take </w:t>
      </w:r>
      <w:r>
        <w:rPr>
          <w:sz w:val="21"/>
        </w:rPr>
        <w:t>in equal </w:t>
      </w:r>
      <w:r>
        <w:rPr>
          <w:spacing w:val="-3"/>
          <w:sz w:val="21"/>
        </w:rPr>
        <w:t>shares, </w:t>
      </w:r>
      <w:r>
        <w:rPr>
          <w:i/>
          <w:sz w:val="21"/>
        </w:rPr>
        <w:t>per </w:t>
      </w:r>
      <w:r>
        <w:rPr>
          <w:i/>
          <w:spacing w:val="-4"/>
          <w:sz w:val="21"/>
        </w:rPr>
        <w:t>capita</w:t>
      </w:r>
      <w:r>
        <w:rPr>
          <w:spacing w:val="-4"/>
          <w:sz w:val="21"/>
        </w:rPr>
        <w:t>.</w:t>
      </w:r>
      <w:r>
        <w:rPr>
          <w:spacing w:val="-4"/>
          <w:position w:val="7"/>
          <w:sz w:val="12"/>
        </w:rPr>
        <w:t>251</w:t>
      </w:r>
      <w:r>
        <w:rPr>
          <w:spacing w:val="-4"/>
          <w:sz w:val="12"/>
        </w:rPr>
        <w:t> </w:t>
      </w:r>
      <w:r>
        <w:rPr>
          <w:spacing w:val="-4"/>
          <w:sz w:val="21"/>
        </w:rPr>
        <w:t>However, </w:t>
      </w:r>
      <w:r>
        <w:rPr>
          <w:sz w:val="21"/>
        </w:rPr>
        <w:t>under the recommended</w:t>
      </w:r>
      <w:r>
        <w:rPr>
          <w:spacing w:val="-4"/>
          <w:sz w:val="21"/>
        </w:rPr>
        <w:t> </w:t>
      </w:r>
      <w:r>
        <w:rPr>
          <w:sz w:val="21"/>
        </w:rPr>
        <w:t>scheme:</w:t>
      </w:r>
    </w:p>
    <w:p>
      <w:pPr>
        <w:pStyle w:val="ListParagraph"/>
        <w:numPr>
          <w:ilvl w:val="2"/>
          <w:numId w:val="22"/>
        </w:numPr>
        <w:tabs>
          <w:tab w:pos="2721" w:val="left" w:leader="none"/>
          <w:tab w:pos="2722" w:val="left" w:leader="none"/>
        </w:tabs>
        <w:spacing w:line="242" w:lineRule="auto" w:before="120" w:after="0"/>
        <w:ind w:left="2721" w:right="1836" w:hanging="340"/>
        <w:jc w:val="left"/>
        <w:rPr>
          <w:sz w:val="21"/>
        </w:rPr>
      </w:pPr>
      <w:r>
        <w:rPr>
          <w:sz w:val="21"/>
        </w:rPr>
        <w:t>nieces/nephews 1 and 2 would </w:t>
      </w:r>
      <w:r>
        <w:rPr>
          <w:spacing w:val="-3"/>
          <w:sz w:val="21"/>
        </w:rPr>
        <w:t>take sibling </w:t>
      </w:r>
      <w:r>
        <w:rPr>
          <w:spacing w:val="-8"/>
          <w:sz w:val="21"/>
        </w:rPr>
        <w:t>1’s </w:t>
      </w:r>
      <w:r>
        <w:rPr>
          <w:spacing w:val="-3"/>
          <w:sz w:val="21"/>
        </w:rPr>
        <w:t>share </w:t>
      </w:r>
      <w:r>
        <w:rPr>
          <w:sz w:val="21"/>
        </w:rPr>
        <w:t>as </w:t>
      </w:r>
      <w:r>
        <w:rPr>
          <w:spacing w:val="-3"/>
          <w:sz w:val="21"/>
        </w:rPr>
        <w:t>sibling </w:t>
      </w:r>
      <w:r>
        <w:rPr>
          <w:spacing w:val="-8"/>
          <w:sz w:val="21"/>
        </w:rPr>
        <w:t>1’s </w:t>
      </w:r>
      <w:r>
        <w:rPr>
          <w:sz w:val="21"/>
        </w:rPr>
        <w:t>representatives— one sixth of the </w:t>
      </w:r>
      <w:r>
        <w:rPr>
          <w:spacing w:val="-3"/>
          <w:sz w:val="21"/>
        </w:rPr>
        <w:t>intestate </w:t>
      </w:r>
      <w:r>
        <w:rPr>
          <w:sz w:val="21"/>
        </w:rPr>
        <w:t>estate</w:t>
      </w:r>
      <w:r>
        <w:rPr>
          <w:spacing w:val="6"/>
          <w:sz w:val="21"/>
        </w:rPr>
        <w:t> </w:t>
      </w:r>
      <w:r>
        <w:rPr>
          <w:sz w:val="21"/>
        </w:rPr>
        <w:t>each</w:t>
      </w:r>
    </w:p>
    <w:p>
      <w:pPr>
        <w:pStyle w:val="ListParagraph"/>
        <w:numPr>
          <w:ilvl w:val="2"/>
          <w:numId w:val="22"/>
        </w:numPr>
        <w:tabs>
          <w:tab w:pos="2721" w:val="left" w:leader="none"/>
          <w:tab w:pos="2722" w:val="left" w:leader="none"/>
        </w:tabs>
        <w:spacing w:line="242" w:lineRule="auto" w:before="122" w:after="0"/>
        <w:ind w:left="2721" w:right="2618" w:hanging="340"/>
        <w:jc w:val="left"/>
        <w:rPr>
          <w:sz w:val="21"/>
        </w:rPr>
      </w:pPr>
      <w:r>
        <w:rPr>
          <w:sz w:val="21"/>
        </w:rPr>
        <w:t>niece/nephew 3 would </w:t>
      </w:r>
      <w:r>
        <w:rPr>
          <w:spacing w:val="-3"/>
          <w:sz w:val="21"/>
        </w:rPr>
        <w:t>take sibling </w:t>
      </w:r>
      <w:r>
        <w:rPr>
          <w:spacing w:val="-5"/>
          <w:sz w:val="21"/>
        </w:rPr>
        <w:t>2’s </w:t>
      </w:r>
      <w:r>
        <w:rPr>
          <w:spacing w:val="-3"/>
          <w:sz w:val="21"/>
        </w:rPr>
        <w:t>share </w:t>
      </w:r>
      <w:r>
        <w:rPr>
          <w:sz w:val="21"/>
        </w:rPr>
        <w:t>as </w:t>
      </w:r>
      <w:r>
        <w:rPr>
          <w:spacing w:val="-3"/>
          <w:sz w:val="21"/>
        </w:rPr>
        <w:t>sibling </w:t>
      </w:r>
      <w:r>
        <w:rPr>
          <w:spacing w:val="-5"/>
          <w:sz w:val="21"/>
        </w:rPr>
        <w:t>2’s </w:t>
      </w:r>
      <w:r>
        <w:rPr>
          <w:sz w:val="21"/>
        </w:rPr>
        <w:t>representative— one </w:t>
      </w:r>
      <w:r>
        <w:rPr>
          <w:spacing w:val="-3"/>
          <w:sz w:val="21"/>
        </w:rPr>
        <w:t>third </w:t>
      </w:r>
      <w:r>
        <w:rPr>
          <w:sz w:val="21"/>
        </w:rPr>
        <w:t>of the </w:t>
      </w:r>
      <w:r>
        <w:rPr>
          <w:spacing w:val="-3"/>
          <w:sz w:val="21"/>
        </w:rPr>
        <w:t>intestate</w:t>
      </w:r>
      <w:r>
        <w:rPr>
          <w:spacing w:val="1"/>
          <w:sz w:val="21"/>
        </w:rPr>
        <w:t> </w:t>
      </w:r>
      <w:r>
        <w:rPr>
          <w:sz w:val="21"/>
        </w:rPr>
        <w:t>estate</w:t>
      </w:r>
    </w:p>
    <w:p>
      <w:pPr>
        <w:pStyle w:val="ListParagraph"/>
        <w:numPr>
          <w:ilvl w:val="2"/>
          <w:numId w:val="22"/>
        </w:numPr>
        <w:tabs>
          <w:tab w:pos="2721" w:val="left" w:leader="none"/>
          <w:tab w:pos="2722" w:val="left" w:leader="none"/>
        </w:tabs>
        <w:spacing w:line="242" w:lineRule="auto" w:before="123" w:after="0"/>
        <w:ind w:left="2721" w:right="1585" w:hanging="340"/>
        <w:jc w:val="left"/>
        <w:rPr>
          <w:sz w:val="21"/>
        </w:rPr>
      </w:pPr>
      <w:r>
        <w:rPr>
          <w:w w:val="105"/>
          <w:sz w:val="21"/>
        </w:rPr>
        <w:t>nieces/nephews</w:t>
      </w:r>
      <w:r>
        <w:rPr>
          <w:spacing w:val="-5"/>
          <w:w w:val="105"/>
          <w:sz w:val="21"/>
        </w:rPr>
        <w:t> </w:t>
      </w:r>
      <w:r>
        <w:rPr>
          <w:w w:val="105"/>
          <w:sz w:val="21"/>
        </w:rPr>
        <w:t>4,</w:t>
      </w:r>
      <w:r>
        <w:rPr>
          <w:spacing w:val="-5"/>
          <w:w w:val="105"/>
          <w:sz w:val="21"/>
        </w:rPr>
        <w:t> </w:t>
      </w:r>
      <w:r>
        <w:rPr>
          <w:w w:val="105"/>
          <w:sz w:val="21"/>
        </w:rPr>
        <w:t>5</w:t>
      </w:r>
      <w:r>
        <w:rPr>
          <w:spacing w:val="-4"/>
          <w:w w:val="105"/>
          <w:sz w:val="21"/>
        </w:rPr>
        <w:t> </w:t>
      </w:r>
      <w:r>
        <w:rPr>
          <w:w w:val="105"/>
          <w:sz w:val="21"/>
        </w:rPr>
        <w:t>and</w:t>
      </w:r>
      <w:r>
        <w:rPr>
          <w:spacing w:val="-5"/>
          <w:w w:val="105"/>
          <w:sz w:val="21"/>
        </w:rPr>
        <w:t> </w:t>
      </w:r>
      <w:r>
        <w:rPr>
          <w:w w:val="105"/>
          <w:sz w:val="21"/>
        </w:rPr>
        <w:t>6</w:t>
      </w:r>
      <w:r>
        <w:rPr>
          <w:spacing w:val="-4"/>
          <w:w w:val="105"/>
          <w:sz w:val="21"/>
        </w:rPr>
        <w:t> </w:t>
      </w:r>
      <w:r>
        <w:rPr>
          <w:w w:val="105"/>
          <w:sz w:val="21"/>
        </w:rPr>
        <w:t>would</w:t>
      </w:r>
      <w:r>
        <w:rPr>
          <w:spacing w:val="-5"/>
          <w:w w:val="105"/>
          <w:sz w:val="21"/>
        </w:rPr>
        <w:t> </w:t>
      </w:r>
      <w:r>
        <w:rPr>
          <w:spacing w:val="-3"/>
          <w:w w:val="105"/>
          <w:sz w:val="21"/>
        </w:rPr>
        <w:t>take</w:t>
      </w:r>
      <w:r>
        <w:rPr>
          <w:spacing w:val="-5"/>
          <w:w w:val="105"/>
          <w:sz w:val="21"/>
        </w:rPr>
        <w:t> </w:t>
      </w:r>
      <w:r>
        <w:rPr>
          <w:spacing w:val="-3"/>
          <w:w w:val="105"/>
          <w:sz w:val="21"/>
        </w:rPr>
        <w:t>sibling</w:t>
      </w:r>
      <w:r>
        <w:rPr>
          <w:spacing w:val="-4"/>
          <w:w w:val="105"/>
          <w:sz w:val="21"/>
        </w:rPr>
        <w:t> 3’s</w:t>
      </w:r>
      <w:r>
        <w:rPr>
          <w:spacing w:val="-5"/>
          <w:w w:val="105"/>
          <w:sz w:val="21"/>
        </w:rPr>
        <w:t> </w:t>
      </w:r>
      <w:r>
        <w:rPr>
          <w:spacing w:val="-3"/>
          <w:w w:val="105"/>
          <w:sz w:val="21"/>
        </w:rPr>
        <w:t>share</w:t>
      </w:r>
      <w:r>
        <w:rPr>
          <w:spacing w:val="-4"/>
          <w:w w:val="105"/>
          <w:sz w:val="21"/>
        </w:rPr>
        <w:t> </w:t>
      </w:r>
      <w:r>
        <w:rPr>
          <w:w w:val="105"/>
          <w:sz w:val="21"/>
        </w:rPr>
        <w:t>as</w:t>
      </w:r>
      <w:r>
        <w:rPr>
          <w:spacing w:val="-5"/>
          <w:w w:val="105"/>
          <w:sz w:val="21"/>
        </w:rPr>
        <w:t> </w:t>
      </w:r>
      <w:r>
        <w:rPr>
          <w:spacing w:val="-3"/>
          <w:w w:val="105"/>
          <w:sz w:val="21"/>
        </w:rPr>
        <w:t>sibling</w:t>
      </w:r>
      <w:r>
        <w:rPr>
          <w:spacing w:val="-4"/>
          <w:w w:val="105"/>
          <w:sz w:val="21"/>
        </w:rPr>
        <w:t> 3’s</w:t>
      </w:r>
      <w:r>
        <w:rPr>
          <w:spacing w:val="-5"/>
          <w:w w:val="105"/>
          <w:sz w:val="21"/>
        </w:rPr>
        <w:t> </w:t>
      </w:r>
      <w:r>
        <w:rPr>
          <w:w w:val="105"/>
          <w:sz w:val="21"/>
        </w:rPr>
        <w:t>representatives— one </w:t>
      </w:r>
      <w:r>
        <w:rPr>
          <w:spacing w:val="-3"/>
          <w:w w:val="105"/>
          <w:sz w:val="21"/>
        </w:rPr>
        <w:t>ninth </w:t>
      </w:r>
      <w:r>
        <w:rPr>
          <w:w w:val="105"/>
          <w:sz w:val="21"/>
        </w:rPr>
        <w:t>of the </w:t>
      </w:r>
      <w:r>
        <w:rPr>
          <w:spacing w:val="-3"/>
          <w:w w:val="105"/>
          <w:sz w:val="21"/>
        </w:rPr>
        <w:t>intestate </w:t>
      </w:r>
      <w:r>
        <w:rPr>
          <w:w w:val="105"/>
          <w:sz w:val="21"/>
        </w:rPr>
        <w:t>estate</w:t>
      </w:r>
      <w:r>
        <w:rPr>
          <w:spacing w:val="34"/>
          <w:w w:val="105"/>
          <w:sz w:val="21"/>
        </w:rPr>
        <w:t> </w:t>
      </w:r>
      <w:r>
        <w:rPr>
          <w:spacing w:val="-3"/>
          <w:w w:val="105"/>
          <w:sz w:val="21"/>
        </w:rPr>
        <w:t>each.</w:t>
      </w:r>
    </w:p>
    <w:p>
      <w:pPr>
        <w:pStyle w:val="Heading6"/>
        <w:spacing w:line="232" w:lineRule="auto" w:before="118"/>
        <w:ind w:right="1619"/>
        <w:rPr>
          <w:rFonts w:ascii="Calibri"/>
        </w:rPr>
      </w:pPr>
      <w:r>
        <w:rPr>
          <w:rFonts w:ascii="Calibri"/>
          <w:color w:val="F18C84"/>
          <w:spacing w:val="-3"/>
          <w:w w:val="115"/>
        </w:rPr>
        <w:t>Figure </w:t>
      </w:r>
      <w:r>
        <w:rPr>
          <w:rFonts w:ascii="Calibri"/>
          <w:color w:val="F18C84"/>
          <w:spacing w:val="-4"/>
          <w:w w:val="115"/>
        </w:rPr>
        <w:t>7: </w:t>
      </w:r>
      <w:r>
        <w:rPr>
          <w:rFonts w:ascii="Calibri"/>
          <w:color w:val="F18C84"/>
          <w:w w:val="115"/>
        </w:rPr>
        <w:t>None of the siblings who would </w:t>
      </w:r>
      <w:r>
        <w:rPr>
          <w:rFonts w:ascii="Calibri"/>
          <w:color w:val="F18C84"/>
          <w:spacing w:val="-3"/>
          <w:w w:val="115"/>
        </w:rPr>
        <w:t>have </w:t>
      </w:r>
      <w:r>
        <w:rPr>
          <w:rFonts w:ascii="Calibri"/>
          <w:color w:val="F18C84"/>
          <w:w w:val="115"/>
        </w:rPr>
        <w:t>been entitled to a share survive the deceased person by 30 days</w:t>
      </w:r>
    </w:p>
    <w:p>
      <w:pPr>
        <w:pStyle w:val="BodyText"/>
        <w:spacing w:before="9"/>
        <w:rPr>
          <w:sz w:val="13"/>
        </w:rPr>
      </w:pPr>
      <w:r>
        <w:rPr/>
        <w:pict>
          <v:group style="position:absolute;margin-left:79.371002pt;margin-top:10.348769pt;width:436.55pt;height:235.3pt;mso-position-horizontal-relative:page;mso-position-vertical-relative:paragraph;z-index:5912;mso-wrap-distance-left:0;mso-wrap-distance-right:0" coordorigin="1587,207" coordsize="8731,4706">
            <v:rect style="position:absolute;left:1587;top:206;width:8731;height:4706" filled="true" fillcolor="#ec5a4f" stroked="false">
              <v:fill type="solid"/>
            </v:rect>
            <v:rect style="position:absolute;left:4707;top:2095;width:1350;height:483" filled="true" fillcolor="#000000" stroked="false">
              <v:fill type="solid"/>
            </v:rect>
            <v:rect style="position:absolute;left:7659;top:2095;width:1350;height:483" filled="true" fillcolor="#000000" stroked="false">
              <v:fill type="solid"/>
            </v:rect>
            <v:rect style="position:absolute;left:2352;top:2095;width:1350;height:483" filled="true" fillcolor="#000000" stroked="false">
              <v:fill type="solid"/>
            </v:rect>
            <v:rect style="position:absolute;left:4718;top:3452;width:1350;height:483" filled="true" fillcolor="#000000" stroked="false">
              <v:fill type="solid"/>
            </v:rect>
            <v:rect style="position:absolute;left:1809;top:3452;width:1103;height:483" filled="true" fillcolor="#000000" stroked="false">
              <v:fill type="solid"/>
            </v:rect>
            <v:rect style="position:absolute;left:3062;top:3452;width:1103;height:483" filled="true" fillcolor="#000000" stroked="false">
              <v:fill type="solid"/>
            </v:rect>
            <v:rect style="position:absolute;left:4393;top:489;width:2051;height:483" filled="true" fillcolor="#ffffff" stroked="false">
              <v:fill type="solid"/>
            </v:rect>
            <v:shape style="position:absolute;left:2987;top:1632;width:5346;height:479" coordorigin="2987,1632" coordsize="5346,479" path="m2987,2096l2987,1632,8332,1632,8332,2111e" filled="false" stroked="true" strokeweight="1.324pt" strokecolor="#000000">
              <v:path arrowok="t"/>
              <v:stroke dashstyle="solid"/>
            </v:shape>
            <v:shape style="position:absolute;left:2363;top:2863;width:1227;height:587" coordorigin="2364,2863" coordsize="1227,587" path="m2364,3450l2364,2863,3590,2863,3590,3448e" filled="false" stroked="true" strokeweight="1.324pt" strokecolor="#000000">
              <v:path arrowok="t"/>
              <v:stroke dashstyle="solid"/>
            </v:shape>
            <v:rect style="position:absolute;left:7791;top:3452;width:1103;height:483" filled="true" fillcolor="#000000" stroked="false">
              <v:fill type="solid"/>
            </v:rect>
            <v:rect style="position:absolute;left:6521;top:3452;width:1103;height:483" filled="true" fillcolor="#000000" stroked="false">
              <v:fill type="solid"/>
            </v:rect>
            <v:rect style="position:absolute;left:9045;top:3452;width:1103;height:483" filled="true" fillcolor="#000000" stroked="false">
              <v:fill type="solid"/>
            </v:rect>
            <v:shape style="position:absolute;left:7048;top:2863;width:2525;height:587" coordorigin="7048,2863" coordsize="2525,587" path="m7048,3450l7048,2863,9572,2863,9572,3448e" filled="false" stroked="true" strokeweight="1.324pt" strokecolor="#000000">
              <v:path arrowok="t"/>
              <v:stroke dashstyle="solid"/>
            </v:shape>
            <v:line style="position:absolute" from="5399,980" to="5399,2160" stroked="true" strokeweight="1.324pt" strokecolor="#000000">
              <v:stroke dashstyle="solid"/>
            </v:line>
            <v:line style="position:absolute" from="5391,2560" to="5391,3450" stroked="true" strokeweight="1.324pt" strokecolor="#000000">
              <v:stroke dashstyle="solid"/>
            </v:line>
            <v:line style="position:absolute" from="2939,2560" to="2939,2868" stroked="true" strokeweight="1.324pt" strokecolor="#000000">
              <v:stroke dashstyle="solid"/>
            </v:line>
            <v:line style="position:absolute" from="8332,3448" to="8332,2574" stroked="true" strokeweight="1.324pt" strokecolor="#000000">
              <v:stroke dashstyle="solid"/>
            </v:line>
            <v:line style="position:absolute" from="2592,2300" to="3346,2300" stroked="true" strokeweight=".662pt" strokecolor="#ffffff">
              <v:stroke dashstyle="solid"/>
            </v:line>
            <v:shape style="position:absolute;left:1755;top:4357;width:4484;height:383" type="#_x0000_t75" stroked="false">
              <v:imagedata r:id="rId82" o:title=""/>
            </v:shape>
            <v:line style="position:absolute" from="4909,2298" to="5816,2298" stroked="true" strokeweight=".663pt" strokecolor="#ffffff">
              <v:stroke dashstyle="solid"/>
            </v:line>
            <v:line style="position:absolute" from="7889,2298" to="8796,2298" stroked="true" strokeweight=".663pt" strokecolor="#ffffff">
              <v:stroke dashstyle="solid"/>
            </v:line>
            <v:shape style="position:absolute;left:5083;top:2219;width:432;height:172" type="#_x0000_t75" stroked="false">
              <v:imagedata r:id="rId83" o:title=""/>
            </v:shape>
            <v:shape style="position:absolute;left:5575;top:2227;width:75;height:126" coordorigin="5576,2227" coordsize="75,126" path="m5639,2238l5624,2238,5634,2247,5634,2260,5631,2272,5625,2285,5615,2298,5604,2310,5576,2342,5576,2352,5650,2352,5650,2342,5591,2342,5613,2317,5625,2303,5636,2289,5644,2274,5647,2260,5644,2245,5639,2238xm5611,2227l5601,2227,5589,2231,5580,2236,5582,2247,5592,2241,5601,2238,5639,2238,5637,2235,5625,2229,5611,2227xe" filled="true" fillcolor="#ffffff" stroked="false">
              <v:path arrowok="t"/>
              <v:fill type="solid"/>
            </v:shape>
            <v:shape style="position:absolute;left:8034;top:2219;width:432;height:172" type="#_x0000_t75" stroked="false">
              <v:imagedata r:id="rId84" o:title=""/>
            </v:shape>
            <v:shape style="position:absolute;left:8527;top:2227;width:76;height:127" coordorigin="8527,2227" coordsize="76,127" path="m8529,2337l8527,2349,8537,2352,8547,2354,8558,2354,8575,2351,8589,2344,8590,2343,8550,2343,8539,2342,8529,2337xm8594,2238l8575,2238,8590,2244,8590,2258,8586,2272,8576,2279,8562,2282,8548,2283,8545,2283,8545,2293,8556,2293,8567,2294,8578,2297,8587,2304,8590,2317,8587,2329,8580,2337,8570,2342,8558,2343,8590,2343,8599,2333,8602,2318,8602,2301,8593,2289,8577,2288,8577,2288,8592,2284,8602,2273,8602,2258,8599,2244,8594,2238xm8563,2227l8553,2227,8542,2230,8533,2233,8534,2245,8543,2240,8552,2238,8594,2238,8590,2234,8578,2229,8563,2227xe" filled="true" fillcolor="#ffffff" stroked="false">
              <v:path arrowok="t"/>
              <v:fill type="solid"/>
            </v:shape>
            <v:shape style="position:absolute;left:2274;top:3663;width:72;height:93" coordorigin="2274,3663" coordsize="72,93" path="m2285,3665l2274,3665,2275,3672,2275,3756,2286,3756,2286,3706,2287,3694,2292,3683,2294,3681,2285,3681,2285,3665xm2338,3673l2328,3673,2334,3683,2334,3756,2346,3756,2346,3698,2344,3684,2338,3673,2338,3673xm2315,3663l2296,3663,2289,3673,2285,3681,2294,3681,2300,3676,2313,3673,2338,3673,2329,3666,2315,3663xe" filled="true" fillcolor="#ffffff" stroked="false">
              <v:path arrowok="t"/>
              <v:fill type="solid"/>
            </v:shape>
            <v:shape style="position:absolute;left:2419;top:3631;width:40;height:124" coordorigin="2420,3632" coordsize="40,124" path="m2459,3646l2447,3646,2447,3756,2459,3756,2459,3646xm2459,3632l2448,3632,2420,3655,2427,3663,2447,3646,2459,3646,2459,3632xe" filled="true" fillcolor="#ffffff" stroked="false">
              <v:path arrowok="t"/>
              <v:fill type="solid"/>
            </v:shape>
            <v:shape style="position:absolute;left:3527;top:3663;width:72;height:93" coordorigin="3527,3663" coordsize="72,93" path="m3538,3665l3527,3665,3528,3672,3528,3756,3539,3756,3539,3706,3541,3694,3545,3683,3547,3681,3538,3681,3538,3665xm3591,3673l3582,3673,3587,3683,3588,3756,3599,3756,3599,3698,3597,3684,3592,3673,3591,3673xm3568,3663l3549,3663,3542,3673,3539,3681,3547,3681,3553,3676,3566,3673,3591,3673,3582,3666,3568,3663xe" filled="true" fillcolor="#ffffff" stroked="false">
              <v:path arrowok="t"/>
              <v:fill type="solid"/>
            </v:shape>
            <v:shape style="position:absolute;left:3660;top:3630;width:75;height:126" coordorigin="3660,3631" coordsize="75,126" path="m3723,3641l3709,3641,3718,3650,3718,3664,3716,3675,3709,3688,3700,3701,3689,3714,3660,3745,3660,3756,3734,3756,3734,3745,3675,3745,3698,3720,3710,3707,3721,3692,3729,3677,3732,3663,3729,3649,3723,3641xm3696,3631l3686,3631,3674,3634,3665,3639,3667,3650,3677,3644,3685,3641,3723,3641,3721,3638,3710,3632,3696,3631xe" filled="true" fillcolor="#ffffff" stroked="false">
              <v:path arrowok="t"/>
              <v:fill type="solid"/>
            </v:shape>
            <v:shape style="position:absolute;left:4831;top:645;width:1164;height:171" type="#_x0000_t75" stroked="false">
              <v:imagedata r:id="rId85" o:title=""/>
            </v:shape>
            <v:shape style="position:absolute;left:8256;top:3663;width:72;height:93" coordorigin="8256,3663" coordsize="72,93" path="m8267,3665l8256,3665,8257,3672,8257,3756,8268,3756,8268,3706,8269,3694,8274,3683,8276,3681,8267,3681,8267,3665xm8320,3673l8310,3673,8316,3683,8316,3756,8328,3756,8328,3698,8326,3684,8321,3673,8320,3673xm8297,3663l8278,3663,8271,3673,8267,3681,8276,3681,8282,3676,8295,3673,8320,3673,8311,3666,8297,3663xe" filled="true" fillcolor="#ffffff" stroked="false">
              <v:path arrowok="t"/>
              <v:fill type="solid"/>
            </v:shape>
            <v:shape style="position:absolute;left:8395;top:3631;width:72;height:126" coordorigin="8395,3632" coordsize="72,126" path="m8395,3740l8395,3752,8404,3756,8413,3757,8422,3757,8440,3754,8454,3747,8455,3746,8413,3746,8403,3744,8395,3740xm8457,3690l8424,3690,8437,3692,8447,3697,8453,3706,8455,3718,8452,3731,8444,3739,8434,3745,8422,3746,8455,3746,8464,3734,8467,3716,8464,3700,8457,3690xm8461,3632l8398,3632,8397,3694,8406,3691,8413,3690,8457,3690,8456,3689,8445,3682,8409,3682,8410,3642,8461,3642,8461,3632xm8428,3680l8418,3680,8413,3681,8409,3682,8445,3682,8444,3682,8428,3680xe" filled="true" fillcolor="#ffffff" stroked="false">
              <v:path arrowok="t"/>
              <v:fill type="solid"/>
            </v:shape>
            <v:shape style="position:absolute;left:5253;top:3663;width:72;height:93" coordorigin="5254,3663" coordsize="72,93" path="m5265,3665l5254,3665,5255,3672,5255,3756,5266,3756,5266,3706,5267,3694,5272,3683,5274,3681,5265,3681,5265,3665xm5318,3673l5308,3673,5314,3683,5314,3756,5325,3756,5325,3698,5324,3684,5318,3673,5318,3673xm5294,3663l5276,3663,5269,3673,5265,3681,5274,3681,5280,3676,5293,3673,5318,3673,5309,3666,5294,3663xe" filled="true" fillcolor="#ffffff" stroked="false">
              <v:path arrowok="t"/>
              <v:fill type="solid"/>
            </v:shape>
            <v:shape style="position:absolute;left:5386;top:3630;width:76;height:127" coordorigin="5387,3631" coordsize="76,127" path="m5388,3740l5387,3752,5397,3756,5407,3757,5417,3757,5435,3754,5449,3747,5450,3746,5409,3746,5398,3745,5388,3740xm5453,3641l5435,3641,5450,3647,5450,3661,5445,3675,5435,3682,5421,3685,5408,3686,5404,3686,5404,3697,5416,3697,5427,3697,5438,3700,5446,3708,5450,3720,5447,3732,5439,3740,5429,3745,5418,3746,5450,3746,5458,3736,5462,3721,5462,3705,5453,3692,5436,3691,5436,3691,5451,3687,5462,3676,5462,3661,5459,3647,5453,3641xm5423,3631l5412,3631,5402,3633,5393,3636,5394,3648,5402,3644,5412,3641,5453,3641,5450,3638,5437,3632,5423,3631xe" filled="true" fillcolor="#ffffff" stroked="false">
              <v:path arrowok="t"/>
              <v:fill type="solid"/>
            </v:shape>
            <v:shape style="position:absolute;left:6985;top:3663;width:72;height:93" coordorigin="6985,3663" coordsize="72,93" path="m6996,3665l6985,3665,6986,3672,6986,3756,6997,3756,6997,3706,6999,3694,7003,3683,7005,3681,6996,3681,6996,3665xm7049,3673l7040,3673,7046,3683,7046,3756,7057,3756,7057,3698,7055,3684,7050,3673,7049,3673xm7026,3663l7007,3663,7000,3673,6997,3681,7005,3681,7011,3676,7024,3673,7049,3673,7040,3666,7026,3663xe" filled="true" fillcolor="#ffffff" stroked="false">
              <v:path arrowok="t"/>
              <v:fill type="solid"/>
            </v:shape>
            <v:shape style="position:absolute;left:7113;top:3631;width:90;height:124" coordorigin="7113,3632" coordsize="90,124" path="m7185,3727l7172,3727,7172,3756,7185,3756,7185,3727xm7185,3632l7169,3632,7113,3715,7113,3727,7203,3727,7203,3716,7125,3716,7172,3644,7185,3644,7185,3632xm7185,3644l7172,3644,7172,3716,7185,3716,7185,3644xe" filled="true" fillcolor="#ffffff" stroked="false">
              <v:path arrowok="t"/>
              <v:fill type="solid"/>
            </v:shape>
            <v:shape style="position:absolute;left:9509;top:3663;width:72;height:93" coordorigin="9509,3663" coordsize="72,93" path="m9520,3665l9509,3665,9510,3672,9510,3756,9521,3756,9521,3706,9523,3694,9527,3683,9529,3681,9520,3681,9520,3665xm9573,3673l9564,3673,9570,3683,9570,3756,9581,3756,9581,3698,9579,3684,9574,3673,9573,3673xm9550,3663l9531,3663,9524,3673,9521,3681,9529,3681,9535,3676,9548,3673,9573,3673,9564,3666,9550,3663xe" filled="true" fillcolor="#ffffff" stroked="false">
              <v:path arrowok="t"/>
              <v:fill type="solid"/>
            </v:shape>
            <v:shape style="position:absolute;left:9643;top:3630;width:80;height:127" coordorigin="9643,3631" coordsize="80,127" path="m9706,3631l9699,3631,9673,3636,9655,3650,9646,3672,9643,3697,9643,3699,9645,3720,9651,3738,9663,3752,9683,3757,9700,3754,9712,3746,9683,3746,9671,3744,9663,3737,9658,3727,9657,3716,9657,3699,9663,3693,9655,3693,9657,3674,9664,3657,9677,3645,9697,3641,9718,3641,9719,3633,9712,3632,9706,3631xm9712,3688l9702,3688,9711,3699,9711,3717,9709,3729,9704,3738,9695,3744,9683,3746,9712,3746,9713,3745,9721,3733,9723,3717,9723,3716,9720,3697,9712,3688xm9685,3677l9673,3677,9662,3682,9656,3693,9663,3693,9667,3688,9712,3688,9710,3685,9698,3679,9685,3677xm9718,3641l9705,3641,9713,3643,9718,3645,9718,3641xe" filled="true" fillcolor="#ffffff" stroked="false">
              <v:path arrowok="t"/>
              <v:fill type="solid"/>
            </v:shape>
            <v:shape style="position:absolute;left:2727;top:2219;width:432;height:172" type="#_x0000_t75" stroked="false">
              <v:imagedata r:id="rId86" o:title=""/>
            </v:shape>
            <v:shape style="position:absolute;left:3232;top:2228;width:40;height:124" coordorigin="3233,2229" coordsize="40,124" path="m3272,2242l3260,2242,3260,2352,3272,2352,3272,2242xm3272,2229l3261,2229,3233,2252,3240,2260,3260,2242,3272,2242,3272,2229xe" filled="true" fillcolor="#ffffff" stroked="false">
              <v:path arrowok="t"/>
              <v:fill type="solid"/>
            </v:shap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7"/>
        </w:rPr>
      </w:pPr>
      <w:r>
        <w:rPr/>
        <w:pict>
          <v:line style="position:absolute;mso-position-horizontal-relative:page;mso-position-vertical-relative:paragraph;z-index:5936;mso-wrap-distance-left:0;mso-wrap-distance-right:0" from="79.370102pt,19.170944pt" to="515.905102pt,19.170944pt" stroked="true" strokeweight="1pt" strokecolor="#f9ceca">
            <v:stroke dashstyle="solid"/>
            <w10:wrap type="topAndBottom"/>
          </v:line>
        </w:pict>
      </w:r>
    </w:p>
    <w:p>
      <w:pPr>
        <w:tabs>
          <w:tab w:pos="1587" w:val="left" w:leader="none"/>
          <w:tab w:pos="2380" w:val="left" w:leader="none"/>
        </w:tabs>
        <w:spacing w:before="27"/>
        <w:ind w:left="720" w:right="0" w:firstLine="0"/>
        <w:jc w:val="left"/>
        <w:rPr>
          <w:sz w:val="13"/>
        </w:rPr>
      </w:pPr>
      <w:r>
        <w:rPr>
          <w:b/>
          <w:color w:val="EC5A4F"/>
          <w:w w:val="105"/>
          <w:sz w:val="24"/>
        </w:rPr>
        <w:t>90</w:t>
        <w:tab/>
      </w:r>
      <w:r>
        <w:rPr>
          <w:spacing w:val="-3"/>
          <w:w w:val="105"/>
          <w:position w:val="1"/>
          <w:sz w:val="13"/>
        </w:rPr>
        <w:t>251</w:t>
        <w:tab/>
      </w:r>
      <w:r>
        <w:rPr>
          <w:i/>
          <w:w w:val="105"/>
          <w:position w:val="1"/>
          <w:sz w:val="13"/>
        </w:rPr>
        <w:t>Administration and Probate Act 1958 </w:t>
      </w:r>
      <w:r>
        <w:rPr>
          <w:spacing w:val="2"/>
          <w:w w:val="105"/>
          <w:position w:val="1"/>
          <w:sz w:val="13"/>
        </w:rPr>
        <w:t>(Vic) </w:t>
      </w:r>
      <w:r>
        <w:rPr>
          <w:w w:val="105"/>
          <w:position w:val="1"/>
          <w:sz w:val="13"/>
        </w:rPr>
        <w:t>s</w:t>
      </w:r>
      <w:r>
        <w:rPr>
          <w:spacing w:val="24"/>
          <w:w w:val="105"/>
          <w:position w:val="1"/>
          <w:sz w:val="13"/>
        </w:rPr>
        <w:t> </w:t>
      </w:r>
      <w:r>
        <w:rPr>
          <w:spacing w:val="2"/>
          <w:w w:val="105"/>
          <w:position w:val="1"/>
          <w:sz w:val="13"/>
        </w:rPr>
        <w:t>52(1)(f)(vi).</w:t>
      </w:r>
    </w:p>
    <w:p>
      <w:pPr>
        <w:spacing w:after="0"/>
        <w:jc w:val="left"/>
        <w:rPr>
          <w:sz w:val="13"/>
        </w:rPr>
        <w:sectPr>
          <w:pgSz w:w="11910" w:h="16840"/>
          <w:pgMar w:header="550" w:footer="0" w:top="1560" w:bottom="280" w:left="0" w:right="0"/>
        </w:sectPr>
      </w:pPr>
    </w:p>
    <w:p>
      <w:pPr>
        <w:pStyle w:val="BodyText"/>
        <w:rPr>
          <w:sz w:val="20"/>
        </w:rPr>
      </w:pPr>
    </w:p>
    <w:p>
      <w:pPr>
        <w:pStyle w:val="BodyText"/>
        <w:spacing w:before="6"/>
        <w:rPr>
          <w:sz w:val="17"/>
        </w:rPr>
      </w:pPr>
    </w:p>
    <w:p>
      <w:pPr>
        <w:pStyle w:val="Heading4"/>
        <w:spacing w:before="99"/>
      </w:pPr>
      <w:bookmarkStart w:name="_TOC_250034" w:id="85"/>
      <w:bookmarkStart w:name="Taking benefits into account" w:id="86"/>
      <w:r>
        <w:rPr>
          <w:b w:val="0"/>
        </w:rPr>
      </w:r>
      <w:bookmarkEnd w:id="85"/>
      <w:r>
        <w:rPr>
          <w:color w:val="EC5A4F"/>
          <w:w w:val="115"/>
        </w:rPr>
        <w:t>Taking benefits into account</w:t>
      </w:r>
    </w:p>
    <w:p>
      <w:pPr>
        <w:pStyle w:val="Heading5"/>
        <w:spacing w:before="166"/>
      </w:pPr>
      <w:bookmarkStart w:name="_TOC_250033" w:id="87"/>
      <w:bookmarkEnd w:id="87"/>
      <w:r>
        <w:rPr>
          <w:w w:val="115"/>
        </w:rPr>
        <w:t>Current law</w:t>
      </w:r>
    </w:p>
    <w:p>
      <w:pPr>
        <w:pStyle w:val="ListParagraph"/>
        <w:numPr>
          <w:ilvl w:val="1"/>
          <w:numId w:val="22"/>
        </w:numPr>
        <w:tabs>
          <w:tab w:pos="2381" w:val="left" w:leader="none"/>
          <w:tab w:pos="2382" w:val="left" w:leader="none"/>
        </w:tabs>
        <w:spacing w:line="242" w:lineRule="auto" w:before="137" w:after="0"/>
        <w:ind w:left="2381" w:right="1728" w:hanging="794"/>
        <w:jc w:val="left"/>
        <w:rPr>
          <w:sz w:val="21"/>
        </w:rPr>
      </w:pPr>
      <w:r>
        <w:rPr>
          <w:w w:val="105"/>
          <w:sz w:val="21"/>
        </w:rPr>
        <w:t>In Victoria, some types of benefit received by the deceased </w:t>
      </w:r>
      <w:r>
        <w:rPr>
          <w:spacing w:val="-3"/>
          <w:w w:val="105"/>
          <w:sz w:val="21"/>
        </w:rPr>
        <w:t>person’s children during </w:t>
      </w:r>
      <w:r>
        <w:rPr>
          <w:w w:val="105"/>
          <w:sz w:val="21"/>
        </w:rPr>
        <w:t>the deceased </w:t>
      </w:r>
      <w:r>
        <w:rPr>
          <w:spacing w:val="-3"/>
          <w:w w:val="105"/>
          <w:sz w:val="21"/>
        </w:rPr>
        <w:t>person’s lifetime </w:t>
      </w:r>
      <w:r>
        <w:rPr>
          <w:w w:val="105"/>
          <w:sz w:val="21"/>
        </w:rPr>
        <w:t>must be </w:t>
      </w:r>
      <w:r>
        <w:rPr>
          <w:spacing w:val="-3"/>
          <w:w w:val="105"/>
          <w:sz w:val="21"/>
        </w:rPr>
        <w:t>taken </w:t>
      </w:r>
      <w:r>
        <w:rPr>
          <w:spacing w:val="-4"/>
          <w:w w:val="105"/>
          <w:sz w:val="21"/>
        </w:rPr>
        <w:t>into </w:t>
      </w:r>
      <w:r>
        <w:rPr>
          <w:spacing w:val="-3"/>
          <w:w w:val="105"/>
          <w:sz w:val="21"/>
        </w:rPr>
        <w:t>account </w:t>
      </w:r>
      <w:r>
        <w:rPr>
          <w:w w:val="105"/>
          <w:sz w:val="21"/>
        </w:rPr>
        <w:t>when </w:t>
      </w:r>
      <w:r>
        <w:rPr>
          <w:spacing w:val="-3"/>
          <w:w w:val="105"/>
          <w:sz w:val="21"/>
        </w:rPr>
        <w:t>determining that </w:t>
      </w:r>
      <w:r>
        <w:rPr>
          <w:spacing w:val="-4"/>
          <w:w w:val="105"/>
          <w:sz w:val="21"/>
        </w:rPr>
        <w:t>child’s </w:t>
      </w:r>
      <w:r>
        <w:rPr>
          <w:spacing w:val="-3"/>
          <w:w w:val="105"/>
          <w:sz w:val="21"/>
        </w:rPr>
        <w:t>share </w:t>
      </w:r>
      <w:r>
        <w:rPr>
          <w:w w:val="105"/>
          <w:sz w:val="21"/>
        </w:rPr>
        <w:t>on </w:t>
      </w:r>
      <w:r>
        <w:rPr>
          <w:spacing w:val="-2"/>
          <w:w w:val="105"/>
          <w:sz w:val="21"/>
        </w:rPr>
        <w:t>intestacy.</w:t>
      </w:r>
      <w:r>
        <w:rPr>
          <w:spacing w:val="-2"/>
          <w:w w:val="105"/>
          <w:position w:val="7"/>
          <w:sz w:val="12"/>
        </w:rPr>
        <w:t>252 </w:t>
      </w:r>
      <w:r>
        <w:rPr>
          <w:w w:val="105"/>
          <w:sz w:val="21"/>
        </w:rPr>
        <w:t>Only benefits in the </w:t>
      </w:r>
      <w:r>
        <w:rPr>
          <w:spacing w:val="-3"/>
          <w:w w:val="105"/>
          <w:sz w:val="21"/>
        </w:rPr>
        <w:t>form </w:t>
      </w:r>
      <w:r>
        <w:rPr>
          <w:w w:val="105"/>
          <w:sz w:val="21"/>
        </w:rPr>
        <w:t>of settlement or </w:t>
      </w:r>
      <w:r>
        <w:rPr>
          <w:spacing w:val="-3"/>
          <w:w w:val="105"/>
          <w:sz w:val="21"/>
        </w:rPr>
        <w:t>advancement </w:t>
      </w:r>
      <w:r>
        <w:rPr>
          <w:w w:val="105"/>
          <w:sz w:val="21"/>
        </w:rPr>
        <w:t>need </w:t>
      </w:r>
      <w:r>
        <w:rPr>
          <w:spacing w:val="-3"/>
          <w:w w:val="105"/>
          <w:sz w:val="21"/>
        </w:rPr>
        <w:t>to </w:t>
      </w:r>
      <w:r>
        <w:rPr>
          <w:w w:val="105"/>
          <w:sz w:val="21"/>
        </w:rPr>
        <w:t>be </w:t>
      </w:r>
      <w:r>
        <w:rPr>
          <w:spacing w:val="-3"/>
          <w:w w:val="105"/>
          <w:sz w:val="21"/>
        </w:rPr>
        <w:t>accounted </w:t>
      </w:r>
      <w:r>
        <w:rPr>
          <w:spacing w:val="-4"/>
          <w:w w:val="105"/>
          <w:sz w:val="21"/>
        </w:rPr>
        <w:t>for.</w:t>
      </w:r>
      <w:r>
        <w:rPr>
          <w:spacing w:val="-4"/>
          <w:w w:val="105"/>
          <w:position w:val="7"/>
          <w:sz w:val="12"/>
        </w:rPr>
        <w:t>253 </w:t>
      </w:r>
      <w:r>
        <w:rPr>
          <w:spacing w:val="-3"/>
          <w:w w:val="105"/>
          <w:sz w:val="21"/>
        </w:rPr>
        <w:t>Advancement means something </w:t>
      </w:r>
      <w:r>
        <w:rPr>
          <w:w w:val="105"/>
          <w:sz w:val="21"/>
        </w:rPr>
        <w:t>given by the </w:t>
      </w:r>
      <w:r>
        <w:rPr>
          <w:spacing w:val="-3"/>
          <w:w w:val="105"/>
          <w:sz w:val="21"/>
        </w:rPr>
        <w:t>parent to </w:t>
      </w:r>
      <w:r>
        <w:rPr>
          <w:w w:val="105"/>
          <w:sz w:val="21"/>
        </w:rPr>
        <w:t>establish</w:t>
      </w:r>
      <w:r>
        <w:rPr>
          <w:spacing w:val="4"/>
          <w:w w:val="105"/>
          <w:sz w:val="21"/>
        </w:rPr>
        <w:t> </w:t>
      </w:r>
      <w:r>
        <w:rPr>
          <w:w w:val="105"/>
          <w:sz w:val="21"/>
        </w:rPr>
        <w:t>the</w:t>
      </w:r>
    </w:p>
    <w:p>
      <w:pPr>
        <w:pStyle w:val="BodyText"/>
        <w:spacing w:line="242" w:lineRule="auto" w:before="5"/>
        <w:ind w:left="2381" w:right="1826" w:hanging="1"/>
        <w:rPr>
          <w:sz w:val="12"/>
        </w:rPr>
      </w:pPr>
      <w:r>
        <w:rPr>
          <w:spacing w:val="-3"/>
        </w:rPr>
        <w:t>child </w:t>
      </w:r>
      <w:r>
        <w:rPr/>
        <w:t>in </w:t>
      </w:r>
      <w:r>
        <w:rPr>
          <w:spacing w:val="-3"/>
        </w:rPr>
        <w:t>life </w:t>
      </w:r>
      <w:r>
        <w:rPr/>
        <w:t>or </w:t>
      </w:r>
      <w:r>
        <w:rPr>
          <w:spacing w:val="-3"/>
        </w:rPr>
        <w:t>to </w:t>
      </w:r>
      <w:r>
        <w:rPr>
          <w:spacing w:val="-4"/>
        </w:rPr>
        <w:t>make </w:t>
      </w:r>
      <w:r>
        <w:rPr>
          <w:spacing w:val="-3"/>
        </w:rPr>
        <w:t>provision for him </w:t>
      </w:r>
      <w:r>
        <w:rPr/>
        <w:t>or </w:t>
      </w:r>
      <w:r>
        <w:rPr>
          <w:spacing w:val="-5"/>
        </w:rPr>
        <w:t>her, </w:t>
      </w:r>
      <w:r>
        <w:rPr>
          <w:spacing w:val="-2"/>
        </w:rPr>
        <w:t>not </w:t>
      </w:r>
      <w:r>
        <w:rPr>
          <w:spacing w:val="-7"/>
        </w:rPr>
        <w:t>‘a </w:t>
      </w:r>
      <w:r>
        <w:rPr/>
        <w:t>mere </w:t>
      </w:r>
      <w:r>
        <w:rPr>
          <w:spacing w:val="-3"/>
        </w:rPr>
        <w:t>casual payment’.</w:t>
      </w:r>
      <w:r>
        <w:rPr>
          <w:spacing w:val="-3"/>
          <w:position w:val="7"/>
          <w:sz w:val="12"/>
        </w:rPr>
        <w:t>254 </w:t>
      </w:r>
      <w:r>
        <w:rPr/>
        <w:t>Settlement </w:t>
      </w:r>
      <w:r>
        <w:rPr>
          <w:spacing w:val="-3"/>
        </w:rPr>
        <w:t>means </w:t>
      </w:r>
      <w:r>
        <w:rPr/>
        <w:t>a gift of property </w:t>
      </w:r>
      <w:r>
        <w:rPr>
          <w:spacing w:val="-3"/>
        </w:rPr>
        <w:t>for </w:t>
      </w:r>
      <w:r>
        <w:rPr/>
        <w:t>permanent </w:t>
      </w:r>
      <w:r>
        <w:rPr>
          <w:spacing w:val="-3"/>
        </w:rPr>
        <w:t>provision, </w:t>
      </w:r>
      <w:r>
        <w:rPr/>
        <w:t>or </w:t>
      </w:r>
      <w:r>
        <w:rPr>
          <w:spacing w:val="-3"/>
        </w:rPr>
        <w:t>provision that continues </w:t>
      </w:r>
      <w:r>
        <w:rPr>
          <w:spacing w:val="-4"/>
        </w:rPr>
        <w:t>into  </w:t>
      </w:r>
      <w:r>
        <w:rPr/>
        <w:t>the </w:t>
      </w:r>
      <w:r>
        <w:rPr>
          <w:spacing w:val="-3"/>
        </w:rPr>
        <w:t>future.</w:t>
      </w:r>
      <w:r>
        <w:rPr>
          <w:spacing w:val="-3"/>
          <w:position w:val="7"/>
          <w:sz w:val="12"/>
        </w:rPr>
        <w:t>255 </w:t>
      </w:r>
      <w:r>
        <w:rPr/>
        <w:t>The rule </w:t>
      </w:r>
      <w:r>
        <w:rPr>
          <w:spacing w:val="-3"/>
        </w:rPr>
        <w:t>requiring lifetime </w:t>
      </w:r>
      <w:r>
        <w:rPr/>
        <w:t>benefits </w:t>
      </w:r>
      <w:r>
        <w:rPr>
          <w:spacing w:val="-3"/>
        </w:rPr>
        <w:t>to </w:t>
      </w:r>
      <w:r>
        <w:rPr/>
        <w:t>be </w:t>
      </w:r>
      <w:r>
        <w:rPr>
          <w:spacing w:val="-3"/>
        </w:rPr>
        <w:t>taken  </w:t>
      </w:r>
      <w:r>
        <w:rPr>
          <w:spacing w:val="-4"/>
        </w:rPr>
        <w:t>into  </w:t>
      </w:r>
      <w:r>
        <w:rPr>
          <w:spacing w:val="-3"/>
        </w:rPr>
        <w:t>account  </w:t>
      </w:r>
      <w:r>
        <w:rPr/>
        <w:t>on  intestacy  is </w:t>
      </w:r>
      <w:r>
        <w:rPr>
          <w:spacing w:val="-3"/>
        </w:rPr>
        <w:t>referred to </w:t>
      </w:r>
      <w:r>
        <w:rPr/>
        <w:t>as the </w:t>
      </w:r>
      <w:r>
        <w:rPr>
          <w:spacing w:val="-3"/>
        </w:rPr>
        <w:t>‘hotchpot’ rule. </w:t>
      </w:r>
      <w:r>
        <w:rPr/>
        <w:t>The rule </w:t>
      </w:r>
      <w:r>
        <w:rPr>
          <w:spacing w:val="-3"/>
        </w:rPr>
        <w:t>originates  from  </w:t>
      </w:r>
      <w:r>
        <w:rPr/>
        <w:t>the  </w:t>
      </w:r>
      <w:r>
        <w:rPr>
          <w:spacing w:val="-3"/>
        </w:rPr>
        <w:t>Statute  </w:t>
      </w:r>
      <w:r>
        <w:rPr/>
        <w:t>of  </w:t>
      </w:r>
      <w:r>
        <w:rPr>
          <w:spacing w:val="-3"/>
        </w:rPr>
        <w:t>Distributions, </w:t>
      </w:r>
      <w:r>
        <w:rPr/>
        <w:t>which was enacted in </w:t>
      </w:r>
      <w:r>
        <w:rPr>
          <w:spacing w:val="-3"/>
        </w:rPr>
        <w:t>England  </w:t>
      </w:r>
      <w:r>
        <w:rPr/>
        <w:t>in  </w:t>
      </w:r>
      <w:r>
        <w:rPr>
          <w:spacing w:val="-6"/>
        </w:rPr>
        <w:t>1670  </w:t>
      </w:r>
      <w:r>
        <w:rPr/>
        <w:t>and  on  which  </w:t>
      </w:r>
      <w:r>
        <w:rPr>
          <w:spacing w:val="-3"/>
        </w:rPr>
        <w:t>Victoria’s  </w:t>
      </w:r>
      <w:r>
        <w:rPr/>
        <w:t>intestacy  laws  </w:t>
      </w:r>
      <w:r>
        <w:rPr>
          <w:spacing w:val="-3"/>
        </w:rPr>
        <w:t>are </w:t>
      </w:r>
      <w:r>
        <w:rPr/>
        <w:t>based.</w:t>
      </w:r>
      <w:r>
        <w:rPr>
          <w:position w:val="7"/>
          <w:sz w:val="12"/>
        </w:rPr>
        <w:t>256</w:t>
      </w:r>
    </w:p>
    <w:p>
      <w:pPr>
        <w:pStyle w:val="ListParagraph"/>
        <w:numPr>
          <w:ilvl w:val="1"/>
          <w:numId w:val="22"/>
        </w:numPr>
        <w:tabs>
          <w:tab w:pos="2382" w:val="left" w:leader="none"/>
        </w:tabs>
        <w:spacing w:line="242" w:lineRule="auto" w:before="126" w:after="0"/>
        <w:ind w:left="2381" w:right="1779" w:hanging="794"/>
        <w:jc w:val="both"/>
        <w:rPr>
          <w:sz w:val="12"/>
        </w:rPr>
      </w:pPr>
      <w:r>
        <w:rPr>
          <w:sz w:val="21"/>
        </w:rPr>
        <w:t>Benefits received by the deceased </w:t>
      </w:r>
      <w:r>
        <w:rPr>
          <w:spacing w:val="-3"/>
          <w:sz w:val="21"/>
        </w:rPr>
        <w:t>person’s children </w:t>
      </w:r>
      <w:r>
        <w:rPr>
          <w:sz w:val="21"/>
        </w:rPr>
        <w:t>or other issue under a </w:t>
      </w:r>
      <w:r>
        <w:rPr>
          <w:spacing w:val="-3"/>
          <w:sz w:val="21"/>
        </w:rPr>
        <w:t>will </w:t>
      </w:r>
      <w:r>
        <w:rPr>
          <w:sz w:val="21"/>
        </w:rPr>
        <w:t>on partial intestacy must also be </w:t>
      </w:r>
      <w:r>
        <w:rPr>
          <w:spacing w:val="-3"/>
          <w:sz w:val="21"/>
        </w:rPr>
        <w:t>taken </w:t>
      </w:r>
      <w:r>
        <w:rPr>
          <w:spacing w:val="-4"/>
          <w:sz w:val="21"/>
        </w:rPr>
        <w:t>into </w:t>
      </w:r>
      <w:r>
        <w:rPr>
          <w:spacing w:val="-3"/>
          <w:sz w:val="21"/>
        </w:rPr>
        <w:t>account </w:t>
      </w:r>
      <w:r>
        <w:rPr>
          <w:sz w:val="21"/>
        </w:rPr>
        <w:t>when </w:t>
      </w:r>
      <w:r>
        <w:rPr>
          <w:spacing w:val="-3"/>
          <w:sz w:val="21"/>
        </w:rPr>
        <w:t>determining </w:t>
      </w:r>
      <w:r>
        <w:rPr>
          <w:sz w:val="21"/>
        </w:rPr>
        <w:t>their </w:t>
      </w:r>
      <w:r>
        <w:rPr>
          <w:spacing w:val="-3"/>
          <w:sz w:val="21"/>
        </w:rPr>
        <w:t>share </w:t>
      </w:r>
      <w:r>
        <w:rPr>
          <w:sz w:val="21"/>
        </w:rPr>
        <w:t>of the </w:t>
      </w:r>
      <w:r>
        <w:rPr>
          <w:spacing w:val="-3"/>
          <w:sz w:val="21"/>
        </w:rPr>
        <w:t>intestate </w:t>
      </w:r>
      <w:r>
        <w:rPr>
          <w:sz w:val="21"/>
        </w:rPr>
        <w:t>estate.</w:t>
      </w:r>
      <w:r>
        <w:rPr>
          <w:position w:val="7"/>
          <w:sz w:val="12"/>
        </w:rPr>
        <w:t>257</w:t>
      </w:r>
    </w:p>
    <w:p>
      <w:pPr>
        <w:pStyle w:val="BodyText"/>
        <w:rPr>
          <w:sz w:val="25"/>
        </w:rPr>
      </w:pPr>
    </w:p>
    <w:p>
      <w:pPr>
        <w:pStyle w:val="Heading5"/>
      </w:pPr>
      <w:bookmarkStart w:name="_TOC_250032" w:id="88"/>
      <w:bookmarkEnd w:id="88"/>
      <w:r>
        <w:rPr>
          <w:w w:val="115"/>
        </w:rPr>
        <w:t>Proposed change</w:t>
      </w:r>
    </w:p>
    <w:p>
      <w:pPr>
        <w:pStyle w:val="ListParagraph"/>
        <w:numPr>
          <w:ilvl w:val="1"/>
          <w:numId w:val="22"/>
        </w:numPr>
        <w:tabs>
          <w:tab w:pos="2380" w:val="left" w:leader="none"/>
          <w:tab w:pos="2381" w:val="left" w:leader="none"/>
        </w:tabs>
        <w:spacing w:line="242" w:lineRule="auto" w:before="137" w:after="0"/>
        <w:ind w:left="2381" w:right="1871" w:hanging="794"/>
        <w:jc w:val="left"/>
        <w:rPr>
          <w:sz w:val="12"/>
        </w:rPr>
      </w:pPr>
      <w:r>
        <w:rPr>
          <w:sz w:val="21"/>
        </w:rPr>
        <w:t>The </w:t>
      </w:r>
      <w:r>
        <w:rPr>
          <w:spacing w:val="-3"/>
          <w:sz w:val="21"/>
        </w:rPr>
        <w:t>National Committee considered that any </w:t>
      </w:r>
      <w:r>
        <w:rPr>
          <w:sz w:val="21"/>
        </w:rPr>
        <w:t>advantages of a rule </w:t>
      </w:r>
      <w:r>
        <w:rPr>
          <w:spacing w:val="-3"/>
          <w:sz w:val="21"/>
        </w:rPr>
        <w:t>requiring lifetime </w:t>
      </w:r>
      <w:r>
        <w:rPr>
          <w:sz w:val="21"/>
        </w:rPr>
        <w:t>benefits </w:t>
      </w:r>
      <w:r>
        <w:rPr>
          <w:spacing w:val="-3"/>
          <w:sz w:val="21"/>
        </w:rPr>
        <w:t>to </w:t>
      </w:r>
      <w:r>
        <w:rPr>
          <w:sz w:val="21"/>
        </w:rPr>
        <w:t>be </w:t>
      </w:r>
      <w:r>
        <w:rPr>
          <w:spacing w:val="-3"/>
          <w:sz w:val="21"/>
        </w:rPr>
        <w:t>taken </w:t>
      </w:r>
      <w:r>
        <w:rPr>
          <w:spacing w:val="-4"/>
          <w:sz w:val="21"/>
        </w:rPr>
        <w:t>into </w:t>
      </w:r>
      <w:r>
        <w:rPr>
          <w:spacing w:val="-3"/>
          <w:sz w:val="21"/>
        </w:rPr>
        <w:t>account (hotchpot) were </w:t>
      </w:r>
      <w:r>
        <w:rPr>
          <w:sz w:val="21"/>
        </w:rPr>
        <w:t>equivocal at best, and </w:t>
      </w:r>
      <w:r>
        <w:rPr>
          <w:spacing w:val="-3"/>
          <w:sz w:val="21"/>
        </w:rPr>
        <w:t>that </w:t>
      </w:r>
      <w:r>
        <w:rPr>
          <w:sz w:val="21"/>
        </w:rPr>
        <w:t>the difficulties </w:t>
      </w:r>
      <w:r>
        <w:rPr>
          <w:spacing w:val="-3"/>
          <w:sz w:val="21"/>
        </w:rPr>
        <w:t>involved </w:t>
      </w:r>
      <w:r>
        <w:rPr>
          <w:sz w:val="21"/>
        </w:rPr>
        <w:t>in </w:t>
      </w:r>
      <w:r>
        <w:rPr>
          <w:spacing w:val="-3"/>
          <w:sz w:val="21"/>
        </w:rPr>
        <w:t>accounting for </w:t>
      </w:r>
      <w:r>
        <w:rPr>
          <w:sz w:val="21"/>
        </w:rPr>
        <w:t>those benefits outweighed </w:t>
      </w:r>
      <w:r>
        <w:rPr>
          <w:spacing w:val="-3"/>
          <w:sz w:val="21"/>
        </w:rPr>
        <w:t>any </w:t>
      </w:r>
      <w:r>
        <w:rPr>
          <w:sz w:val="21"/>
        </w:rPr>
        <w:t>perceived equality </w:t>
      </w:r>
      <w:r>
        <w:rPr>
          <w:spacing w:val="-3"/>
          <w:sz w:val="21"/>
        </w:rPr>
        <w:t>that </w:t>
      </w:r>
      <w:r>
        <w:rPr>
          <w:sz w:val="21"/>
        </w:rPr>
        <w:t>the rule achieved.</w:t>
      </w:r>
      <w:r>
        <w:rPr>
          <w:position w:val="7"/>
          <w:sz w:val="12"/>
        </w:rPr>
        <w:t>258 </w:t>
      </w:r>
      <w:r>
        <w:rPr>
          <w:sz w:val="21"/>
        </w:rPr>
        <w:t>It recommended </w:t>
      </w:r>
      <w:r>
        <w:rPr>
          <w:spacing w:val="-3"/>
          <w:sz w:val="21"/>
        </w:rPr>
        <w:t>that </w:t>
      </w:r>
      <w:r>
        <w:rPr>
          <w:sz w:val="21"/>
        </w:rPr>
        <w:t>this </w:t>
      </w:r>
      <w:r>
        <w:rPr>
          <w:spacing w:val="-3"/>
          <w:sz w:val="21"/>
        </w:rPr>
        <w:t>requirement </w:t>
      </w:r>
      <w:r>
        <w:rPr>
          <w:sz w:val="21"/>
        </w:rPr>
        <w:t>be</w:t>
      </w:r>
      <w:r>
        <w:rPr>
          <w:spacing w:val="4"/>
          <w:sz w:val="21"/>
        </w:rPr>
        <w:t> </w:t>
      </w:r>
      <w:r>
        <w:rPr>
          <w:sz w:val="21"/>
        </w:rPr>
        <w:t>abolished.</w:t>
      </w:r>
      <w:r>
        <w:rPr>
          <w:position w:val="7"/>
          <w:sz w:val="12"/>
        </w:rPr>
        <w:t>259</w:t>
      </w:r>
    </w:p>
    <w:p>
      <w:pPr>
        <w:pStyle w:val="ListParagraph"/>
        <w:numPr>
          <w:ilvl w:val="1"/>
          <w:numId w:val="22"/>
        </w:numPr>
        <w:tabs>
          <w:tab w:pos="2381" w:val="left" w:leader="none"/>
        </w:tabs>
        <w:spacing w:line="242" w:lineRule="auto" w:before="125" w:after="0"/>
        <w:ind w:left="2381" w:right="1617" w:hanging="794"/>
        <w:jc w:val="both"/>
        <w:rPr>
          <w:sz w:val="12"/>
        </w:rPr>
      </w:pPr>
      <w:r>
        <w:rPr>
          <w:sz w:val="21"/>
        </w:rPr>
        <w:t>It also took the view </w:t>
      </w:r>
      <w:r>
        <w:rPr>
          <w:spacing w:val="-3"/>
          <w:sz w:val="21"/>
        </w:rPr>
        <w:t>that, having  </w:t>
      </w:r>
      <w:r>
        <w:rPr>
          <w:sz w:val="21"/>
        </w:rPr>
        <w:t>recommended abolition of </w:t>
      </w:r>
      <w:r>
        <w:rPr>
          <w:spacing w:val="-3"/>
          <w:sz w:val="21"/>
        </w:rPr>
        <w:t>hotchpot,</w:t>
      </w:r>
      <w:r>
        <w:rPr>
          <w:spacing w:val="41"/>
          <w:sz w:val="21"/>
        </w:rPr>
        <w:t> </w:t>
      </w:r>
      <w:r>
        <w:rPr>
          <w:sz w:val="21"/>
        </w:rPr>
        <w:t>there was no need  </w:t>
      </w:r>
      <w:r>
        <w:rPr>
          <w:spacing w:val="-3"/>
          <w:sz w:val="21"/>
        </w:rPr>
        <w:t>to continue </w:t>
      </w:r>
      <w:r>
        <w:rPr>
          <w:sz w:val="21"/>
        </w:rPr>
        <w:t>taking testamentary benefits </w:t>
      </w:r>
      <w:r>
        <w:rPr>
          <w:spacing w:val="-4"/>
          <w:sz w:val="21"/>
        </w:rPr>
        <w:t>into </w:t>
      </w:r>
      <w:r>
        <w:rPr>
          <w:spacing w:val="-3"/>
          <w:sz w:val="21"/>
        </w:rPr>
        <w:t>account </w:t>
      </w:r>
      <w:r>
        <w:rPr>
          <w:sz w:val="21"/>
        </w:rPr>
        <w:t>on partial intestacy.</w:t>
      </w:r>
      <w:r>
        <w:rPr>
          <w:position w:val="7"/>
          <w:sz w:val="12"/>
        </w:rPr>
        <w:t>260 </w:t>
      </w:r>
      <w:r>
        <w:rPr>
          <w:sz w:val="21"/>
        </w:rPr>
        <w:t>It </w:t>
      </w:r>
      <w:r>
        <w:rPr>
          <w:spacing w:val="-3"/>
          <w:sz w:val="21"/>
        </w:rPr>
        <w:t>contended that </w:t>
      </w:r>
      <w:r>
        <w:rPr>
          <w:sz w:val="21"/>
        </w:rPr>
        <w:t>abolition of the </w:t>
      </w:r>
      <w:r>
        <w:rPr>
          <w:spacing w:val="-3"/>
          <w:sz w:val="21"/>
        </w:rPr>
        <w:t>requirements to take lifetime </w:t>
      </w:r>
      <w:r>
        <w:rPr>
          <w:sz w:val="21"/>
        </w:rPr>
        <w:t>and testamentary benefits </w:t>
      </w:r>
      <w:r>
        <w:rPr>
          <w:spacing w:val="-4"/>
          <w:sz w:val="21"/>
        </w:rPr>
        <w:t>into </w:t>
      </w:r>
      <w:r>
        <w:rPr>
          <w:spacing w:val="-3"/>
          <w:sz w:val="21"/>
        </w:rPr>
        <w:t>account </w:t>
      </w:r>
      <w:r>
        <w:rPr>
          <w:sz w:val="21"/>
        </w:rPr>
        <w:t>when </w:t>
      </w:r>
      <w:r>
        <w:rPr>
          <w:spacing w:val="-3"/>
          <w:sz w:val="21"/>
        </w:rPr>
        <w:t>determining shares </w:t>
      </w:r>
      <w:r>
        <w:rPr>
          <w:sz w:val="21"/>
        </w:rPr>
        <w:t>on intestacy would simplify the </w:t>
      </w:r>
      <w:r>
        <w:rPr>
          <w:spacing w:val="-3"/>
          <w:sz w:val="21"/>
        </w:rPr>
        <w:t>administration </w:t>
      </w:r>
      <w:r>
        <w:rPr>
          <w:sz w:val="21"/>
        </w:rPr>
        <w:t>of</w:t>
      </w:r>
      <w:r>
        <w:rPr>
          <w:spacing w:val="15"/>
          <w:sz w:val="21"/>
        </w:rPr>
        <w:t> </w:t>
      </w:r>
      <w:r>
        <w:rPr>
          <w:spacing w:val="-3"/>
          <w:sz w:val="21"/>
        </w:rPr>
        <w:t>estates.</w:t>
      </w:r>
      <w:r>
        <w:rPr>
          <w:spacing w:val="-3"/>
          <w:position w:val="7"/>
          <w:sz w:val="12"/>
        </w:rPr>
        <w:t>261</w:t>
      </w:r>
    </w:p>
    <w:p>
      <w:pPr>
        <w:pStyle w:val="ListParagraph"/>
        <w:numPr>
          <w:ilvl w:val="1"/>
          <w:numId w:val="22"/>
        </w:numPr>
        <w:tabs>
          <w:tab w:pos="2381" w:val="left" w:leader="none"/>
          <w:tab w:pos="2382" w:val="left" w:leader="none"/>
        </w:tabs>
        <w:spacing w:line="242" w:lineRule="auto" w:before="124" w:after="0"/>
        <w:ind w:left="2381" w:right="1677" w:hanging="794"/>
        <w:jc w:val="left"/>
        <w:rPr>
          <w:sz w:val="21"/>
        </w:rPr>
      </w:pPr>
      <w:r>
        <w:rPr>
          <w:w w:val="105"/>
          <w:sz w:val="21"/>
        </w:rPr>
        <w:t>The </w:t>
      </w:r>
      <w:r>
        <w:rPr>
          <w:spacing w:val="-4"/>
          <w:w w:val="105"/>
          <w:sz w:val="21"/>
        </w:rPr>
        <w:t>Commission’s </w:t>
      </w:r>
      <w:r>
        <w:rPr>
          <w:spacing w:val="-3"/>
          <w:w w:val="105"/>
          <w:sz w:val="21"/>
        </w:rPr>
        <w:t>consultation </w:t>
      </w:r>
      <w:r>
        <w:rPr>
          <w:w w:val="105"/>
          <w:sz w:val="21"/>
        </w:rPr>
        <w:t>paper on intestacy </w:t>
      </w:r>
      <w:r>
        <w:rPr>
          <w:spacing w:val="-3"/>
          <w:w w:val="105"/>
          <w:sz w:val="21"/>
        </w:rPr>
        <w:t>asked </w:t>
      </w:r>
      <w:r>
        <w:rPr>
          <w:w w:val="105"/>
          <w:sz w:val="21"/>
        </w:rPr>
        <w:t>whether the </w:t>
      </w:r>
      <w:r>
        <w:rPr>
          <w:spacing w:val="-3"/>
          <w:w w:val="105"/>
          <w:sz w:val="21"/>
        </w:rPr>
        <w:t>requirements to take</w:t>
      </w:r>
      <w:r>
        <w:rPr>
          <w:spacing w:val="-12"/>
          <w:w w:val="105"/>
          <w:sz w:val="21"/>
        </w:rPr>
        <w:t> </w:t>
      </w:r>
      <w:r>
        <w:rPr>
          <w:spacing w:val="-3"/>
          <w:w w:val="105"/>
          <w:sz w:val="21"/>
        </w:rPr>
        <w:t>lifetime</w:t>
      </w:r>
      <w:r>
        <w:rPr>
          <w:spacing w:val="-11"/>
          <w:w w:val="105"/>
          <w:sz w:val="21"/>
        </w:rPr>
        <w:t> </w:t>
      </w:r>
      <w:r>
        <w:rPr>
          <w:w w:val="105"/>
          <w:sz w:val="21"/>
        </w:rPr>
        <w:t>and</w:t>
      </w:r>
      <w:r>
        <w:rPr>
          <w:spacing w:val="-11"/>
          <w:w w:val="105"/>
          <w:sz w:val="21"/>
        </w:rPr>
        <w:t> </w:t>
      </w:r>
      <w:r>
        <w:rPr>
          <w:w w:val="105"/>
          <w:sz w:val="21"/>
        </w:rPr>
        <w:t>testamentary</w:t>
      </w:r>
      <w:r>
        <w:rPr>
          <w:spacing w:val="-11"/>
          <w:w w:val="105"/>
          <w:sz w:val="21"/>
        </w:rPr>
        <w:t> </w:t>
      </w:r>
      <w:r>
        <w:rPr>
          <w:w w:val="105"/>
          <w:sz w:val="21"/>
        </w:rPr>
        <w:t>benefits</w:t>
      </w:r>
      <w:r>
        <w:rPr>
          <w:spacing w:val="-11"/>
          <w:w w:val="105"/>
          <w:sz w:val="21"/>
        </w:rPr>
        <w:t> </w:t>
      </w:r>
      <w:r>
        <w:rPr>
          <w:spacing w:val="-4"/>
          <w:w w:val="105"/>
          <w:sz w:val="21"/>
        </w:rPr>
        <w:t>into</w:t>
      </w:r>
      <w:r>
        <w:rPr>
          <w:spacing w:val="-11"/>
          <w:w w:val="105"/>
          <w:sz w:val="21"/>
        </w:rPr>
        <w:t> </w:t>
      </w:r>
      <w:r>
        <w:rPr>
          <w:spacing w:val="-3"/>
          <w:w w:val="105"/>
          <w:sz w:val="21"/>
        </w:rPr>
        <w:t>account</w:t>
      </w:r>
      <w:r>
        <w:rPr>
          <w:spacing w:val="-12"/>
          <w:w w:val="105"/>
          <w:sz w:val="21"/>
        </w:rPr>
        <w:t> </w:t>
      </w:r>
      <w:r>
        <w:rPr>
          <w:w w:val="105"/>
          <w:sz w:val="21"/>
        </w:rPr>
        <w:t>should</w:t>
      </w:r>
      <w:r>
        <w:rPr>
          <w:spacing w:val="-11"/>
          <w:w w:val="105"/>
          <w:sz w:val="21"/>
        </w:rPr>
        <w:t> </w:t>
      </w:r>
      <w:r>
        <w:rPr>
          <w:w w:val="105"/>
          <w:sz w:val="21"/>
        </w:rPr>
        <w:t>be</w:t>
      </w:r>
      <w:r>
        <w:rPr>
          <w:spacing w:val="-11"/>
          <w:w w:val="105"/>
          <w:sz w:val="21"/>
        </w:rPr>
        <w:t> </w:t>
      </w:r>
      <w:r>
        <w:rPr>
          <w:w w:val="105"/>
          <w:sz w:val="21"/>
        </w:rPr>
        <w:t>abolished</w:t>
      </w:r>
      <w:r>
        <w:rPr>
          <w:spacing w:val="-11"/>
          <w:w w:val="105"/>
          <w:sz w:val="21"/>
        </w:rPr>
        <w:t> </w:t>
      </w:r>
      <w:r>
        <w:rPr>
          <w:spacing w:val="-6"/>
          <w:w w:val="105"/>
          <w:sz w:val="21"/>
        </w:rPr>
        <w:t>or,</w:t>
      </w:r>
      <w:r>
        <w:rPr>
          <w:spacing w:val="-11"/>
          <w:w w:val="105"/>
          <w:sz w:val="21"/>
        </w:rPr>
        <w:t> </w:t>
      </w:r>
      <w:r>
        <w:rPr>
          <w:spacing w:val="-4"/>
          <w:w w:val="105"/>
          <w:sz w:val="21"/>
        </w:rPr>
        <w:t>alternatively, </w:t>
      </w:r>
      <w:r>
        <w:rPr>
          <w:w w:val="105"/>
          <w:sz w:val="21"/>
        </w:rPr>
        <w:t>whether:</w:t>
      </w:r>
    </w:p>
    <w:p>
      <w:pPr>
        <w:pStyle w:val="ListParagraph"/>
        <w:numPr>
          <w:ilvl w:val="2"/>
          <w:numId w:val="22"/>
        </w:numPr>
        <w:tabs>
          <w:tab w:pos="2721" w:val="left" w:leader="none"/>
          <w:tab w:pos="2722" w:val="left" w:leader="none"/>
        </w:tabs>
        <w:spacing w:line="242" w:lineRule="auto" w:before="123" w:after="0"/>
        <w:ind w:left="2721" w:right="1771" w:hanging="340"/>
        <w:jc w:val="left"/>
        <w:rPr>
          <w:sz w:val="21"/>
        </w:rPr>
      </w:pPr>
      <w:r>
        <w:rPr>
          <w:w w:val="105"/>
          <w:sz w:val="21"/>
        </w:rPr>
        <w:t>the</w:t>
      </w:r>
      <w:r>
        <w:rPr>
          <w:spacing w:val="-5"/>
          <w:w w:val="105"/>
          <w:sz w:val="21"/>
        </w:rPr>
        <w:t> </w:t>
      </w:r>
      <w:r>
        <w:rPr>
          <w:spacing w:val="-3"/>
          <w:w w:val="105"/>
          <w:sz w:val="21"/>
        </w:rPr>
        <w:t>requirements</w:t>
      </w:r>
      <w:r>
        <w:rPr>
          <w:spacing w:val="-5"/>
          <w:w w:val="105"/>
          <w:sz w:val="21"/>
        </w:rPr>
        <w:t> </w:t>
      </w:r>
      <w:r>
        <w:rPr>
          <w:spacing w:val="-3"/>
          <w:w w:val="105"/>
          <w:sz w:val="21"/>
        </w:rPr>
        <w:t>to</w:t>
      </w:r>
      <w:r>
        <w:rPr>
          <w:spacing w:val="-4"/>
          <w:w w:val="105"/>
          <w:sz w:val="21"/>
        </w:rPr>
        <w:t> </w:t>
      </w:r>
      <w:r>
        <w:rPr>
          <w:spacing w:val="-3"/>
          <w:w w:val="105"/>
          <w:sz w:val="21"/>
        </w:rPr>
        <w:t>take</w:t>
      </w:r>
      <w:r>
        <w:rPr>
          <w:spacing w:val="-5"/>
          <w:w w:val="105"/>
          <w:sz w:val="21"/>
        </w:rPr>
        <w:t> </w:t>
      </w:r>
      <w:r>
        <w:rPr>
          <w:w w:val="105"/>
          <w:sz w:val="21"/>
        </w:rPr>
        <w:t>both</w:t>
      </w:r>
      <w:r>
        <w:rPr>
          <w:spacing w:val="-5"/>
          <w:w w:val="105"/>
          <w:sz w:val="21"/>
        </w:rPr>
        <w:t> </w:t>
      </w:r>
      <w:r>
        <w:rPr>
          <w:w w:val="105"/>
          <w:sz w:val="21"/>
        </w:rPr>
        <w:t>types</w:t>
      </w:r>
      <w:r>
        <w:rPr>
          <w:spacing w:val="-4"/>
          <w:w w:val="105"/>
          <w:sz w:val="21"/>
        </w:rPr>
        <w:t> </w:t>
      </w:r>
      <w:r>
        <w:rPr>
          <w:w w:val="105"/>
          <w:sz w:val="21"/>
        </w:rPr>
        <w:t>of</w:t>
      </w:r>
      <w:r>
        <w:rPr>
          <w:spacing w:val="-5"/>
          <w:w w:val="105"/>
          <w:sz w:val="21"/>
        </w:rPr>
        <w:t> </w:t>
      </w:r>
      <w:r>
        <w:rPr>
          <w:w w:val="105"/>
          <w:sz w:val="21"/>
        </w:rPr>
        <w:t>benefits</w:t>
      </w:r>
      <w:r>
        <w:rPr>
          <w:spacing w:val="-5"/>
          <w:w w:val="105"/>
          <w:sz w:val="21"/>
        </w:rPr>
        <w:t> </w:t>
      </w:r>
      <w:r>
        <w:rPr>
          <w:spacing w:val="-4"/>
          <w:w w:val="105"/>
          <w:sz w:val="21"/>
        </w:rPr>
        <w:t>into </w:t>
      </w:r>
      <w:r>
        <w:rPr>
          <w:spacing w:val="-3"/>
          <w:w w:val="105"/>
          <w:sz w:val="21"/>
        </w:rPr>
        <w:t>account</w:t>
      </w:r>
      <w:r>
        <w:rPr>
          <w:spacing w:val="-5"/>
          <w:w w:val="105"/>
          <w:sz w:val="21"/>
        </w:rPr>
        <w:t> </w:t>
      </w:r>
      <w:r>
        <w:rPr>
          <w:w w:val="105"/>
          <w:sz w:val="21"/>
        </w:rPr>
        <w:t>should</w:t>
      </w:r>
      <w:r>
        <w:rPr>
          <w:spacing w:val="-5"/>
          <w:w w:val="105"/>
          <w:sz w:val="21"/>
        </w:rPr>
        <w:t> </w:t>
      </w:r>
      <w:r>
        <w:rPr>
          <w:w w:val="105"/>
          <w:sz w:val="21"/>
        </w:rPr>
        <w:t>be</w:t>
      </w:r>
      <w:r>
        <w:rPr>
          <w:spacing w:val="-4"/>
          <w:w w:val="105"/>
          <w:sz w:val="21"/>
        </w:rPr>
        <w:t> </w:t>
      </w:r>
      <w:r>
        <w:rPr>
          <w:spacing w:val="-3"/>
          <w:w w:val="105"/>
          <w:sz w:val="21"/>
        </w:rPr>
        <w:t>retained</w:t>
      </w:r>
      <w:r>
        <w:rPr>
          <w:spacing w:val="-5"/>
          <w:w w:val="105"/>
          <w:sz w:val="21"/>
        </w:rPr>
        <w:t> </w:t>
      </w:r>
      <w:r>
        <w:rPr>
          <w:w w:val="105"/>
          <w:sz w:val="21"/>
        </w:rPr>
        <w:t>and extended beyond the deceased </w:t>
      </w:r>
      <w:r>
        <w:rPr>
          <w:spacing w:val="-3"/>
          <w:w w:val="105"/>
          <w:sz w:val="21"/>
        </w:rPr>
        <w:t>person’s children </w:t>
      </w:r>
      <w:r>
        <w:rPr>
          <w:w w:val="105"/>
          <w:sz w:val="21"/>
        </w:rPr>
        <w:t>and other </w:t>
      </w:r>
      <w:r>
        <w:rPr>
          <w:spacing w:val="-3"/>
          <w:w w:val="105"/>
          <w:sz w:val="21"/>
        </w:rPr>
        <w:t>issue,</w:t>
      </w:r>
      <w:r>
        <w:rPr>
          <w:spacing w:val="13"/>
          <w:w w:val="105"/>
          <w:sz w:val="21"/>
        </w:rPr>
        <w:t> </w:t>
      </w:r>
      <w:r>
        <w:rPr>
          <w:w w:val="105"/>
          <w:sz w:val="21"/>
        </w:rPr>
        <w:t>and</w:t>
      </w:r>
    </w:p>
    <w:p>
      <w:pPr>
        <w:pStyle w:val="ListParagraph"/>
        <w:numPr>
          <w:ilvl w:val="2"/>
          <w:numId w:val="22"/>
        </w:numPr>
        <w:tabs>
          <w:tab w:pos="2721" w:val="left" w:leader="none"/>
          <w:tab w:pos="2722" w:val="left" w:leader="none"/>
        </w:tabs>
        <w:spacing w:line="242" w:lineRule="auto" w:before="123" w:after="0"/>
        <w:ind w:left="2721" w:right="1933" w:hanging="340"/>
        <w:jc w:val="left"/>
        <w:rPr>
          <w:sz w:val="12"/>
        </w:rPr>
      </w:pPr>
      <w:r>
        <w:rPr>
          <w:spacing w:val="-3"/>
          <w:w w:val="105"/>
          <w:sz w:val="21"/>
        </w:rPr>
        <w:t>references</w:t>
      </w:r>
      <w:r>
        <w:rPr>
          <w:spacing w:val="-11"/>
          <w:w w:val="105"/>
          <w:sz w:val="21"/>
        </w:rPr>
        <w:t> </w:t>
      </w:r>
      <w:r>
        <w:rPr>
          <w:spacing w:val="-3"/>
          <w:w w:val="105"/>
          <w:sz w:val="21"/>
        </w:rPr>
        <w:t>to</w:t>
      </w:r>
      <w:r>
        <w:rPr>
          <w:spacing w:val="-11"/>
          <w:w w:val="105"/>
          <w:sz w:val="21"/>
        </w:rPr>
        <w:t> </w:t>
      </w:r>
      <w:r>
        <w:rPr>
          <w:spacing w:val="-3"/>
          <w:w w:val="105"/>
          <w:sz w:val="21"/>
        </w:rPr>
        <w:t>advancement</w:t>
      </w:r>
      <w:r>
        <w:rPr>
          <w:spacing w:val="-11"/>
          <w:w w:val="105"/>
          <w:sz w:val="21"/>
        </w:rPr>
        <w:t> </w:t>
      </w:r>
      <w:r>
        <w:rPr>
          <w:w w:val="105"/>
          <w:sz w:val="21"/>
        </w:rPr>
        <w:t>and</w:t>
      </w:r>
      <w:r>
        <w:rPr>
          <w:spacing w:val="-10"/>
          <w:w w:val="105"/>
          <w:sz w:val="21"/>
        </w:rPr>
        <w:t> </w:t>
      </w:r>
      <w:r>
        <w:rPr>
          <w:w w:val="105"/>
          <w:sz w:val="21"/>
        </w:rPr>
        <w:t>settlement</w:t>
      </w:r>
      <w:r>
        <w:rPr>
          <w:spacing w:val="-11"/>
          <w:w w:val="105"/>
          <w:sz w:val="21"/>
        </w:rPr>
        <w:t> </w:t>
      </w:r>
      <w:r>
        <w:rPr>
          <w:w w:val="105"/>
          <w:sz w:val="21"/>
        </w:rPr>
        <w:t>should</w:t>
      </w:r>
      <w:r>
        <w:rPr>
          <w:spacing w:val="-11"/>
          <w:w w:val="105"/>
          <w:sz w:val="21"/>
        </w:rPr>
        <w:t> </w:t>
      </w:r>
      <w:r>
        <w:rPr>
          <w:w w:val="105"/>
          <w:sz w:val="21"/>
        </w:rPr>
        <w:t>be</w:t>
      </w:r>
      <w:r>
        <w:rPr>
          <w:spacing w:val="-11"/>
          <w:w w:val="105"/>
          <w:sz w:val="21"/>
        </w:rPr>
        <w:t> </w:t>
      </w:r>
      <w:r>
        <w:rPr>
          <w:spacing w:val="-3"/>
          <w:w w:val="105"/>
          <w:sz w:val="21"/>
        </w:rPr>
        <w:t>replaced</w:t>
      </w:r>
      <w:r>
        <w:rPr>
          <w:spacing w:val="-10"/>
          <w:w w:val="105"/>
          <w:sz w:val="21"/>
        </w:rPr>
        <w:t> </w:t>
      </w:r>
      <w:r>
        <w:rPr>
          <w:w w:val="105"/>
          <w:sz w:val="21"/>
        </w:rPr>
        <w:t>with</w:t>
      </w:r>
      <w:r>
        <w:rPr>
          <w:spacing w:val="-11"/>
          <w:w w:val="105"/>
          <w:sz w:val="21"/>
        </w:rPr>
        <w:t> </w:t>
      </w:r>
      <w:r>
        <w:rPr>
          <w:w w:val="105"/>
          <w:sz w:val="21"/>
        </w:rPr>
        <w:t>more</w:t>
      </w:r>
      <w:r>
        <w:rPr>
          <w:spacing w:val="-11"/>
          <w:w w:val="105"/>
          <w:sz w:val="21"/>
        </w:rPr>
        <w:t> </w:t>
      </w:r>
      <w:r>
        <w:rPr>
          <w:w w:val="105"/>
          <w:sz w:val="21"/>
        </w:rPr>
        <w:t>modern, simplified</w:t>
      </w:r>
      <w:r>
        <w:rPr>
          <w:spacing w:val="5"/>
          <w:w w:val="105"/>
          <w:sz w:val="21"/>
        </w:rPr>
        <w:t> </w:t>
      </w:r>
      <w:r>
        <w:rPr>
          <w:spacing w:val="-3"/>
          <w:w w:val="105"/>
          <w:sz w:val="21"/>
        </w:rPr>
        <w:t>terminology.</w:t>
      </w:r>
      <w:r>
        <w:rPr>
          <w:spacing w:val="-3"/>
          <w:w w:val="105"/>
          <w:position w:val="7"/>
          <w:sz w:val="12"/>
        </w:rPr>
        <w:t>262</w:t>
      </w:r>
    </w:p>
    <w:p>
      <w:pPr>
        <w:pStyle w:val="ListParagraph"/>
        <w:numPr>
          <w:ilvl w:val="1"/>
          <w:numId w:val="22"/>
        </w:numPr>
        <w:tabs>
          <w:tab w:pos="2380" w:val="left" w:leader="none"/>
          <w:tab w:pos="2381" w:val="left" w:leader="none"/>
        </w:tabs>
        <w:spacing w:line="242" w:lineRule="auto" w:before="122" w:after="0"/>
        <w:ind w:left="2381" w:right="1600" w:hanging="794"/>
        <w:jc w:val="left"/>
        <w:rPr>
          <w:sz w:val="12"/>
        </w:rPr>
      </w:pPr>
      <w:r>
        <w:rPr>
          <w:spacing w:val="-3"/>
          <w:w w:val="105"/>
          <w:sz w:val="21"/>
        </w:rPr>
        <w:t>Adopting </w:t>
      </w:r>
      <w:r>
        <w:rPr>
          <w:w w:val="105"/>
          <w:sz w:val="21"/>
        </w:rPr>
        <w:t>the </w:t>
      </w:r>
      <w:r>
        <w:rPr>
          <w:spacing w:val="-3"/>
          <w:w w:val="105"/>
          <w:sz w:val="21"/>
        </w:rPr>
        <w:t>National </w:t>
      </w:r>
      <w:r>
        <w:rPr>
          <w:spacing w:val="-4"/>
          <w:w w:val="105"/>
          <w:sz w:val="21"/>
        </w:rPr>
        <w:t>Committee’s </w:t>
      </w:r>
      <w:r>
        <w:rPr>
          <w:w w:val="105"/>
          <w:sz w:val="21"/>
        </w:rPr>
        <w:t>proposed </w:t>
      </w:r>
      <w:r>
        <w:rPr>
          <w:spacing w:val="-3"/>
          <w:w w:val="105"/>
          <w:sz w:val="21"/>
        </w:rPr>
        <w:t>change </w:t>
      </w:r>
      <w:r>
        <w:rPr>
          <w:w w:val="105"/>
          <w:sz w:val="21"/>
        </w:rPr>
        <w:t>would </w:t>
      </w:r>
      <w:r>
        <w:rPr>
          <w:spacing w:val="-3"/>
          <w:w w:val="105"/>
          <w:sz w:val="21"/>
        </w:rPr>
        <w:t>bring </w:t>
      </w:r>
      <w:r>
        <w:rPr>
          <w:w w:val="105"/>
          <w:sz w:val="21"/>
        </w:rPr>
        <w:t>Victorian law </w:t>
      </w:r>
      <w:r>
        <w:rPr>
          <w:spacing w:val="-4"/>
          <w:w w:val="105"/>
          <w:sz w:val="21"/>
        </w:rPr>
        <w:t>into </w:t>
      </w:r>
      <w:r>
        <w:rPr>
          <w:spacing w:val="-3"/>
          <w:w w:val="105"/>
          <w:sz w:val="21"/>
        </w:rPr>
        <w:t>line </w:t>
      </w:r>
      <w:r>
        <w:rPr>
          <w:w w:val="105"/>
          <w:sz w:val="21"/>
        </w:rPr>
        <w:t>with the law in New South Wales,</w:t>
      </w:r>
      <w:r>
        <w:rPr>
          <w:w w:val="105"/>
          <w:position w:val="7"/>
          <w:sz w:val="12"/>
        </w:rPr>
        <w:t>263 </w:t>
      </w:r>
      <w:r>
        <w:rPr>
          <w:spacing w:val="-3"/>
          <w:w w:val="105"/>
          <w:sz w:val="21"/>
        </w:rPr>
        <w:t>Tasmania,</w:t>
      </w:r>
      <w:r>
        <w:rPr>
          <w:spacing w:val="-3"/>
          <w:w w:val="105"/>
          <w:position w:val="7"/>
          <w:sz w:val="12"/>
        </w:rPr>
        <w:t>264 </w:t>
      </w:r>
      <w:r>
        <w:rPr>
          <w:spacing w:val="-3"/>
          <w:w w:val="105"/>
          <w:sz w:val="21"/>
        </w:rPr>
        <w:t>Queensland </w:t>
      </w:r>
      <w:r>
        <w:rPr>
          <w:w w:val="105"/>
          <w:position w:val="7"/>
          <w:sz w:val="12"/>
        </w:rPr>
        <w:t>265 </w:t>
      </w:r>
      <w:r>
        <w:rPr>
          <w:w w:val="105"/>
          <w:sz w:val="21"/>
        </w:rPr>
        <w:t>and Western</w:t>
      </w:r>
      <w:r>
        <w:rPr>
          <w:spacing w:val="-12"/>
          <w:w w:val="105"/>
          <w:sz w:val="21"/>
        </w:rPr>
        <w:t> </w:t>
      </w:r>
      <w:r>
        <w:rPr>
          <w:w w:val="105"/>
          <w:sz w:val="21"/>
        </w:rPr>
        <w:t>Australia.</w:t>
      </w:r>
      <w:r>
        <w:rPr>
          <w:w w:val="105"/>
          <w:position w:val="7"/>
          <w:sz w:val="12"/>
        </w:rPr>
        <w:t>266</w:t>
      </w:r>
    </w:p>
    <w:p>
      <w:pPr>
        <w:pStyle w:val="BodyText"/>
        <w:spacing w:before="9"/>
        <w:rPr>
          <w:sz w:val="24"/>
        </w:rPr>
      </w:pPr>
      <w:r>
        <w:rPr/>
        <w:pict>
          <v:line style="position:absolute;mso-position-horizontal-relative:page;mso-position-vertical-relative:paragraph;z-index:5960;mso-wrap-distance-left:0;mso-wrap-distance-right:0" from="79.370003pt,17.583984pt" to="515.905003pt,17.583984pt" stroked="true" strokeweight="1pt" strokecolor="#f9ceca">
            <v:stroke dashstyle="solid"/>
            <w10:wrap type="topAndBottom"/>
          </v:line>
        </w:pict>
      </w:r>
    </w:p>
    <w:p>
      <w:pPr>
        <w:pStyle w:val="ListParagraph"/>
        <w:numPr>
          <w:ilvl w:val="0"/>
          <w:numId w:val="73"/>
        </w:numPr>
        <w:tabs>
          <w:tab w:pos="2380" w:val="left" w:leader="none"/>
          <w:tab w:pos="2382" w:val="left" w:leader="none"/>
        </w:tabs>
        <w:spacing w:line="240" w:lineRule="auto" w:before="117" w:after="0"/>
        <w:ind w:left="2381" w:right="1833" w:hanging="794"/>
        <w:jc w:val="left"/>
        <w:rPr>
          <w:sz w:val="13"/>
        </w:rPr>
      </w:pPr>
      <w:r>
        <w:rPr>
          <w:sz w:val="13"/>
        </w:rPr>
        <w:t>Ibid s </w:t>
      </w:r>
      <w:r>
        <w:rPr>
          <w:spacing w:val="2"/>
          <w:sz w:val="13"/>
        </w:rPr>
        <w:t>52(1)(f)(i). </w:t>
      </w:r>
      <w:r>
        <w:rPr>
          <w:sz w:val="13"/>
        </w:rPr>
        <w:t>If a child of the deceased person predeceases the deceased person, benefits received by that child during the deceased  person’s</w:t>
      </w:r>
      <w:r>
        <w:rPr>
          <w:spacing w:val="10"/>
          <w:sz w:val="13"/>
        </w:rPr>
        <w:t> </w:t>
      </w:r>
      <w:r>
        <w:rPr>
          <w:sz w:val="13"/>
        </w:rPr>
        <w:t>lifetime</w:t>
      </w:r>
      <w:r>
        <w:rPr>
          <w:spacing w:val="10"/>
          <w:sz w:val="13"/>
        </w:rPr>
        <w:t> </w:t>
      </w:r>
      <w:r>
        <w:rPr>
          <w:sz w:val="13"/>
        </w:rPr>
        <w:t>are</w:t>
      </w:r>
      <w:r>
        <w:rPr>
          <w:spacing w:val="10"/>
          <w:sz w:val="13"/>
        </w:rPr>
        <w:t> </w:t>
      </w:r>
      <w:r>
        <w:rPr>
          <w:sz w:val="13"/>
        </w:rPr>
        <w:t>also</w:t>
      </w:r>
      <w:r>
        <w:rPr>
          <w:spacing w:val="11"/>
          <w:sz w:val="13"/>
        </w:rPr>
        <w:t> </w:t>
      </w:r>
      <w:r>
        <w:rPr>
          <w:sz w:val="13"/>
        </w:rPr>
        <w:t>taken</w:t>
      </w:r>
      <w:r>
        <w:rPr>
          <w:spacing w:val="10"/>
          <w:sz w:val="13"/>
        </w:rPr>
        <w:t> </w:t>
      </w:r>
      <w:r>
        <w:rPr>
          <w:sz w:val="13"/>
        </w:rPr>
        <w:t>into</w:t>
      </w:r>
      <w:r>
        <w:rPr>
          <w:spacing w:val="10"/>
          <w:sz w:val="13"/>
        </w:rPr>
        <w:t> </w:t>
      </w:r>
      <w:r>
        <w:rPr>
          <w:sz w:val="13"/>
        </w:rPr>
        <w:t>account</w:t>
      </w:r>
      <w:r>
        <w:rPr>
          <w:spacing w:val="11"/>
          <w:sz w:val="13"/>
        </w:rPr>
        <w:t> </w:t>
      </w:r>
      <w:r>
        <w:rPr>
          <w:sz w:val="13"/>
        </w:rPr>
        <w:t>when</w:t>
      </w:r>
      <w:r>
        <w:rPr>
          <w:spacing w:val="10"/>
          <w:sz w:val="13"/>
        </w:rPr>
        <w:t> </w:t>
      </w:r>
      <w:r>
        <w:rPr>
          <w:sz w:val="13"/>
        </w:rPr>
        <w:t>determining</w:t>
      </w:r>
      <w:r>
        <w:rPr>
          <w:spacing w:val="10"/>
          <w:sz w:val="13"/>
        </w:rPr>
        <w:t> </w:t>
      </w:r>
      <w:r>
        <w:rPr>
          <w:sz w:val="13"/>
        </w:rPr>
        <w:t>that</w:t>
      </w:r>
      <w:r>
        <w:rPr>
          <w:spacing w:val="11"/>
          <w:sz w:val="13"/>
        </w:rPr>
        <w:t> </w:t>
      </w:r>
      <w:r>
        <w:rPr>
          <w:sz w:val="13"/>
        </w:rPr>
        <w:t>child’s</w:t>
      </w:r>
      <w:r>
        <w:rPr>
          <w:spacing w:val="10"/>
          <w:sz w:val="13"/>
        </w:rPr>
        <w:t> </w:t>
      </w:r>
      <w:r>
        <w:rPr>
          <w:sz w:val="13"/>
        </w:rPr>
        <w:t>representatives’</w:t>
      </w:r>
      <w:r>
        <w:rPr>
          <w:spacing w:val="10"/>
          <w:sz w:val="13"/>
        </w:rPr>
        <w:t> </w:t>
      </w:r>
      <w:r>
        <w:rPr>
          <w:sz w:val="13"/>
        </w:rPr>
        <w:t>share</w:t>
      </w:r>
      <w:r>
        <w:rPr>
          <w:spacing w:val="10"/>
          <w:sz w:val="13"/>
        </w:rPr>
        <w:t> </w:t>
      </w:r>
      <w:r>
        <w:rPr>
          <w:sz w:val="13"/>
        </w:rPr>
        <w:t>on</w:t>
      </w:r>
      <w:r>
        <w:rPr>
          <w:spacing w:val="11"/>
          <w:sz w:val="13"/>
        </w:rPr>
        <w:t> </w:t>
      </w:r>
      <w:r>
        <w:rPr>
          <w:sz w:val="13"/>
        </w:rPr>
        <w:t>intestacy.</w:t>
      </w:r>
    </w:p>
    <w:p>
      <w:pPr>
        <w:pStyle w:val="ListParagraph"/>
        <w:numPr>
          <w:ilvl w:val="0"/>
          <w:numId w:val="73"/>
        </w:numPr>
        <w:tabs>
          <w:tab w:pos="2380" w:val="left" w:leader="none"/>
          <w:tab w:pos="2382" w:val="left" w:leader="none"/>
        </w:tabs>
        <w:spacing w:line="240" w:lineRule="auto" w:before="3" w:after="0"/>
        <w:ind w:left="2381" w:right="0" w:hanging="794"/>
        <w:jc w:val="left"/>
        <w:rPr>
          <w:sz w:val="13"/>
        </w:rPr>
      </w:pPr>
      <w:r>
        <w:rPr>
          <w:sz w:val="13"/>
        </w:rPr>
        <w:t>Ibid.</w:t>
      </w:r>
    </w:p>
    <w:p>
      <w:pPr>
        <w:pStyle w:val="ListParagraph"/>
        <w:numPr>
          <w:ilvl w:val="0"/>
          <w:numId w:val="73"/>
        </w:numPr>
        <w:tabs>
          <w:tab w:pos="2380" w:val="left" w:leader="none"/>
          <w:tab w:pos="2382" w:val="left" w:leader="none"/>
        </w:tabs>
        <w:spacing w:line="240" w:lineRule="auto" w:before="1" w:after="0"/>
        <w:ind w:left="2381" w:right="0" w:hanging="794"/>
        <w:jc w:val="left"/>
        <w:rPr>
          <w:sz w:val="13"/>
        </w:rPr>
      </w:pPr>
      <w:r>
        <w:rPr>
          <w:i/>
          <w:w w:val="105"/>
          <w:sz w:val="13"/>
        </w:rPr>
        <w:t>Taylor v Taylor </w:t>
      </w:r>
      <w:r>
        <w:rPr>
          <w:w w:val="105"/>
          <w:sz w:val="13"/>
        </w:rPr>
        <w:t>(1875) LR 20 Eq 155,</w:t>
      </w:r>
      <w:r>
        <w:rPr>
          <w:spacing w:val="2"/>
          <w:w w:val="105"/>
          <w:sz w:val="13"/>
        </w:rPr>
        <w:t> </w:t>
      </w:r>
      <w:r>
        <w:rPr>
          <w:spacing w:val="-4"/>
          <w:w w:val="105"/>
          <w:sz w:val="13"/>
        </w:rPr>
        <w:t>157.</w:t>
      </w:r>
    </w:p>
    <w:p>
      <w:pPr>
        <w:pStyle w:val="ListParagraph"/>
        <w:numPr>
          <w:ilvl w:val="0"/>
          <w:numId w:val="73"/>
        </w:numPr>
        <w:tabs>
          <w:tab w:pos="2381" w:val="left" w:leader="none"/>
          <w:tab w:pos="2382" w:val="left" w:leader="none"/>
        </w:tabs>
        <w:spacing w:line="240" w:lineRule="auto" w:before="1" w:after="0"/>
        <w:ind w:left="2381" w:right="0" w:hanging="794"/>
        <w:jc w:val="left"/>
        <w:rPr>
          <w:sz w:val="13"/>
        </w:rPr>
      </w:pPr>
      <w:r>
        <w:rPr>
          <w:w w:val="105"/>
          <w:sz w:val="13"/>
        </w:rPr>
        <w:t>I</w:t>
      </w:r>
      <w:r>
        <w:rPr>
          <w:spacing w:val="5"/>
          <w:w w:val="105"/>
          <w:sz w:val="13"/>
        </w:rPr>
        <w:t> </w:t>
      </w:r>
      <w:r>
        <w:rPr>
          <w:w w:val="105"/>
          <w:sz w:val="13"/>
        </w:rPr>
        <w:t>J</w:t>
      </w:r>
      <w:r>
        <w:rPr>
          <w:spacing w:val="5"/>
          <w:w w:val="105"/>
          <w:sz w:val="13"/>
        </w:rPr>
        <w:t> </w:t>
      </w:r>
      <w:r>
        <w:rPr>
          <w:w w:val="105"/>
          <w:sz w:val="13"/>
        </w:rPr>
        <w:t>Hardingham,</w:t>
      </w:r>
      <w:r>
        <w:rPr>
          <w:spacing w:val="5"/>
          <w:w w:val="105"/>
          <w:sz w:val="13"/>
        </w:rPr>
        <w:t> </w:t>
      </w:r>
      <w:r>
        <w:rPr>
          <w:w w:val="105"/>
          <w:sz w:val="13"/>
        </w:rPr>
        <w:t>M</w:t>
      </w:r>
      <w:r>
        <w:rPr>
          <w:spacing w:val="5"/>
          <w:w w:val="105"/>
          <w:sz w:val="13"/>
        </w:rPr>
        <w:t> </w:t>
      </w:r>
      <w:r>
        <w:rPr>
          <w:w w:val="105"/>
          <w:sz w:val="13"/>
        </w:rPr>
        <w:t>A</w:t>
      </w:r>
      <w:r>
        <w:rPr>
          <w:spacing w:val="5"/>
          <w:w w:val="105"/>
          <w:sz w:val="13"/>
        </w:rPr>
        <w:t> </w:t>
      </w:r>
      <w:r>
        <w:rPr>
          <w:w w:val="105"/>
          <w:sz w:val="13"/>
        </w:rPr>
        <w:t>Neave</w:t>
      </w:r>
      <w:r>
        <w:rPr>
          <w:spacing w:val="5"/>
          <w:w w:val="105"/>
          <w:sz w:val="13"/>
        </w:rPr>
        <w:t> </w:t>
      </w:r>
      <w:r>
        <w:rPr>
          <w:w w:val="105"/>
          <w:sz w:val="13"/>
        </w:rPr>
        <w:t>and</w:t>
      </w:r>
      <w:r>
        <w:rPr>
          <w:spacing w:val="5"/>
          <w:w w:val="105"/>
          <w:sz w:val="13"/>
        </w:rPr>
        <w:t> </w:t>
      </w:r>
      <w:r>
        <w:rPr>
          <w:w w:val="105"/>
          <w:sz w:val="13"/>
        </w:rPr>
        <w:t>H</w:t>
      </w:r>
      <w:r>
        <w:rPr>
          <w:spacing w:val="5"/>
          <w:w w:val="105"/>
          <w:sz w:val="13"/>
        </w:rPr>
        <w:t> </w:t>
      </w:r>
      <w:r>
        <w:rPr>
          <w:w w:val="105"/>
          <w:sz w:val="13"/>
        </w:rPr>
        <w:t>A</w:t>
      </w:r>
      <w:r>
        <w:rPr>
          <w:spacing w:val="5"/>
          <w:w w:val="105"/>
          <w:sz w:val="13"/>
        </w:rPr>
        <w:t> </w:t>
      </w:r>
      <w:r>
        <w:rPr>
          <w:w w:val="105"/>
          <w:sz w:val="13"/>
        </w:rPr>
        <w:t>J</w:t>
      </w:r>
      <w:r>
        <w:rPr>
          <w:spacing w:val="5"/>
          <w:w w:val="105"/>
          <w:sz w:val="13"/>
        </w:rPr>
        <w:t> </w:t>
      </w:r>
      <w:r>
        <w:rPr>
          <w:w w:val="105"/>
          <w:sz w:val="13"/>
        </w:rPr>
        <w:t>Ford,</w:t>
      </w:r>
      <w:r>
        <w:rPr>
          <w:spacing w:val="5"/>
          <w:w w:val="105"/>
          <w:sz w:val="13"/>
        </w:rPr>
        <w:t> </w:t>
      </w:r>
      <w:r>
        <w:rPr>
          <w:i/>
          <w:w w:val="105"/>
          <w:sz w:val="13"/>
        </w:rPr>
        <w:t>Wills</w:t>
      </w:r>
      <w:r>
        <w:rPr>
          <w:i/>
          <w:spacing w:val="4"/>
          <w:w w:val="105"/>
          <w:sz w:val="13"/>
        </w:rPr>
        <w:t> </w:t>
      </w:r>
      <w:r>
        <w:rPr>
          <w:i/>
          <w:w w:val="105"/>
          <w:sz w:val="13"/>
        </w:rPr>
        <w:t>and</w:t>
      </w:r>
      <w:r>
        <w:rPr>
          <w:i/>
          <w:spacing w:val="4"/>
          <w:w w:val="105"/>
          <w:sz w:val="13"/>
        </w:rPr>
        <w:t> </w:t>
      </w:r>
      <w:r>
        <w:rPr>
          <w:i/>
          <w:w w:val="105"/>
          <w:sz w:val="13"/>
        </w:rPr>
        <w:t>Intestacy</w:t>
      </w:r>
      <w:r>
        <w:rPr>
          <w:i/>
          <w:spacing w:val="4"/>
          <w:w w:val="105"/>
          <w:sz w:val="13"/>
        </w:rPr>
        <w:t> </w:t>
      </w:r>
      <w:r>
        <w:rPr>
          <w:i/>
          <w:w w:val="105"/>
          <w:sz w:val="13"/>
        </w:rPr>
        <w:t>in</w:t>
      </w:r>
      <w:r>
        <w:rPr>
          <w:i/>
          <w:spacing w:val="4"/>
          <w:w w:val="105"/>
          <w:sz w:val="13"/>
        </w:rPr>
        <w:t> </w:t>
      </w:r>
      <w:r>
        <w:rPr>
          <w:i/>
          <w:w w:val="105"/>
          <w:sz w:val="13"/>
        </w:rPr>
        <w:t>Australia</w:t>
      </w:r>
      <w:r>
        <w:rPr>
          <w:i/>
          <w:spacing w:val="4"/>
          <w:w w:val="105"/>
          <w:sz w:val="13"/>
        </w:rPr>
        <w:t> </w:t>
      </w:r>
      <w:r>
        <w:rPr>
          <w:i/>
          <w:w w:val="105"/>
          <w:sz w:val="13"/>
        </w:rPr>
        <w:t>and</w:t>
      </w:r>
      <w:r>
        <w:rPr>
          <w:i/>
          <w:spacing w:val="4"/>
          <w:w w:val="105"/>
          <w:sz w:val="13"/>
        </w:rPr>
        <w:t> </w:t>
      </w:r>
      <w:r>
        <w:rPr>
          <w:i/>
          <w:w w:val="105"/>
          <w:sz w:val="13"/>
        </w:rPr>
        <w:t>New</w:t>
      </w:r>
      <w:r>
        <w:rPr>
          <w:i/>
          <w:spacing w:val="4"/>
          <w:w w:val="105"/>
          <w:sz w:val="13"/>
        </w:rPr>
        <w:t> </w:t>
      </w:r>
      <w:r>
        <w:rPr>
          <w:i/>
          <w:w w:val="105"/>
          <w:sz w:val="13"/>
        </w:rPr>
        <w:t>Zealand</w:t>
      </w:r>
      <w:r>
        <w:rPr>
          <w:i/>
          <w:spacing w:val="5"/>
          <w:w w:val="105"/>
          <w:sz w:val="13"/>
        </w:rPr>
        <w:t> </w:t>
      </w:r>
      <w:r>
        <w:rPr>
          <w:spacing w:val="3"/>
          <w:w w:val="105"/>
          <w:sz w:val="13"/>
        </w:rPr>
        <w:t>(Law</w:t>
      </w:r>
      <w:r>
        <w:rPr>
          <w:spacing w:val="5"/>
          <w:w w:val="105"/>
          <w:sz w:val="13"/>
        </w:rPr>
        <w:t> </w:t>
      </w:r>
      <w:r>
        <w:rPr>
          <w:w w:val="105"/>
          <w:sz w:val="13"/>
        </w:rPr>
        <w:t>Book</w:t>
      </w:r>
      <w:r>
        <w:rPr>
          <w:spacing w:val="5"/>
          <w:w w:val="105"/>
          <w:sz w:val="13"/>
        </w:rPr>
        <w:t> </w:t>
      </w:r>
      <w:r>
        <w:rPr>
          <w:w w:val="105"/>
          <w:sz w:val="13"/>
        </w:rPr>
        <w:t>Company,</w:t>
      </w:r>
      <w:r>
        <w:rPr>
          <w:spacing w:val="5"/>
          <w:w w:val="105"/>
          <w:sz w:val="13"/>
        </w:rPr>
        <w:t> </w:t>
      </w:r>
      <w:r>
        <w:rPr>
          <w:w w:val="105"/>
          <w:sz w:val="13"/>
        </w:rPr>
        <w:t>2nd</w:t>
      </w:r>
      <w:r>
        <w:rPr>
          <w:spacing w:val="5"/>
          <w:w w:val="105"/>
          <w:sz w:val="13"/>
        </w:rPr>
        <w:t> </w:t>
      </w:r>
      <w:r>
        <w:rPr>
          <w:w w:val="105"/>
          <w:sz w:val="13"/>
        </w:rPr>
        <w:t>ed,</w:t>
      </w:r>
      <w:r>
        <w:rPr>
          <w:spacing w:val="5"/>
          <w:w w:val="105"/>
          <w:sz w:val="13"/>
        </w:rPr>
        <w:t> </w:t>
      </w:r>
      <w:r>
        <w:rPr>
          <w:w w:val="105"/>
          <w:sz w:val="13"/>
        </w:rPr>
        <w:t>1989)</w:t>
      </w:r>
      <w:r>
        <w:rPr>
          <w:spacing w:val="5"/>
          <w:w w:val="105"/>
          <w:sz w:val="13"/>
        </w:rPr>
        <w:t> </w:t>
      </w:r>
      <w:r>
        <w:rPr>
          <w:w w:val="105"/>
          <w:sz w:val="13"/>
        </w:rPr>
        <w:t>442.</w:t>
      </w:r>
    </w:p>
    <w:p>
      <w:pPr>
        <w:pStyle w:val="ListParagraph"/>
        <w:numPr>
          <w:ilvl w:val="0"/>
          <w:numId w:val="73"/>
        </w:numPr>
        <w:tabs>
          <w:tab w:pos="2380" w:val="left" w:leader="none"/>
          <w:tab w:pos="2382" w:val="left" w:leader="none"/>
        </w:tabs>
        <w:spacing w:line="240" w:lineRule="auto" w:before="2" w:after="0"/>
        <w:ind w:left="2381" w:right="0" w:hanging="794"/>
        <w:jc w:val="left"/>
        <w:rPr>
          <w:sz w:val="13"/>
        </w:rPr>
      </w:pPr>
      <w:r>
        <w:rPr>
          <w:w w:val="105"/>
          <w:sz w:val="13"/>
        </w:rPr>
        <w:t>For</w:t>
      </w:r>
      <w:r>
        <w:rPr>
          <w:spacing w:val="4"/>
          <w:w w:val="105"/>
          <w:sz w:val="13"/>
        </w:rPr>
        <w:t> </w:t>
      </w:r>
      <w:r>
        <w:rPr>
          <w:w w:val="105"/>
          <w:sz w:val="13"/>
        </w:rPr>
        <w:t>further</w:t>
      </w:r>
      <w:r>
        <w:rPr>
          <w:spacing w:val="5"/>
          <w:w w:val="105"/>
          <w:sz w:val="13"/>
        </w:rPr>
        <w:t> </w:t>
      </w:r>
      <w:r>
        <w:rPr>
          <w:w w:val="105"/>
          <w:sz w:val="13"/>
        </w:rPr>
        <w:t>discussion</w:t>
      </w:r>
      <w:r>
        <w:rPr>
          <w:spacing w:val="5"/>
          <w:w w:val="105"/>
          <w:sz w:val="13"/>
        </w:rPr>
        <w:t> </w:t>
      </w:r>
      <w:r>
        <w:rPr>
          <w:w w:val="105"/>
          <w:sz w:val="13"/>
        </w:rPr>
        <w:t>of</w:t>
      </w:r>
      <w:r>
        <w:rPr>
          <w:spacing w:val="4"/>
          <w:w w:val="105"/>
          <w:sz w:val="13"/>
        </w:rPr>
        <w:t> </w:t>
      </w:r>
      <w:r>
        <w:rPr>
          <w:w w:val="105"/>
          <w:sz w:val="13"/>
        </w:rPr>
        <w:t>the</w:t>
      </w:r>
      <w:r>
        <w:rPr>
          <w:spacing w:val="5"/>
          <w:w w:val="105"/>
          <w:sz w:val="13"/>
        </w:rPr>
        <w:t> </w:t>
      </w:r>
      <w:r>
        <w:rPr>
          <w:w w:val="105"/>
          <w:sz w:val="13"/>
        </w:rPr>
        <w:t>origins</w:t>
      </w:r>
      <w:r>
        <w:rPr>
          <w:spacing w:val="5"/>
          <w:w w:val="105"/>
          <w:sz w:val="13"/>
        </w:rPr>
        <w:t> </w:t>
      </w:r>
      <w:r>
        <w:rPr>
          <w:w w:val="105"/>
          <w:sz w:val="13"/>
        </w:rPr>
        <w:t>and</w:t>
      </w:r>
      <w:r>
        <w:rPr>
          <w:spacing w:val="4"/>
          <w:w w:val="105"/>
          <w:sz w:val="13"/>
        </w:rPr>
        <w:t> </w:t>
      </w:r>
      <w:r>
        <w:rPr>
          <w:w w:val="105"/>
          <w:sz w:val="13"/>
        </w:rPr>
        <w:t>operation</w:t>
      </w:r>
      <w:r>
        <w:rPr>
          <w:spacing w:val="5"/>
          <w:w w:val="105"/>
          <w:sz w:val="13"/>
        </w:rPr>
        <w:t> </w:t>
      </w:r>
      <w:r>
        <w:rPr>
          <w:w w:val="105"/>
          <w:sz w:val="13"/>
        </w:rPr>
        <w:t>of</w:t>
      </w:r>
      <w:r>
        <w:rPr>
          <w:spacing w:val="5"/>
          <w:w w:val="105"/>
          <w:sz w:val="13"/>
        </w:rPr>
        <w:t> </w:t>
      </w:r>
      <w:r>
        <w:rPr>
          <w:w w:val="105"/>
          <w:sz w:val="13"/>
        </w:rPr>
        <w:t>the</w:t>
      </w:r>
      <w:r>
        <w:rPr>
          <w:spacing w:val="4"/>
          <w:w w:val="105"/>
          <w:sz w:val="13"/>
        </w:rPr>
        <w:t> </w:t>
      </w:r>
      <w:r>
        <w:rPr>
          <w:w w:val="105"/>
          <w:sz w:val="13"/>
        </w:rPr>
        <w:t>hotchpot</w:t>
      </w:r>
      <w:r>
        <w:rPr>
          <w:spacing w:val="5"/>
          <w:w w:val="105"/>
          <w:sz w:val="13"/>
        </w:rPr>
        <w:t> </w:t>
      </w:r>
      <w:r>
        <w:rPr>
          <w:w w:val="105"/>
          <w:sz w:val="13"/>
        </w:rPr>
        <w:t>rule,</w:t>
      </w:r>
      <w:r>
        <w:rPr>
          <w:spacing w:val="5"/>
          <w:w w:val="105"/>
          <w:sz w:val="13"/>
        </w:rPr>
        <w:t> </w:t>
      </w:r>
      <w:r>
        <w:rPr>
          <w:w w:val="105"/>
          <w:sz w:val="13"/>
        </w:rPr>
        <w:t>see</w:t>
      </w:r>
      <w:r>
        <w:rPr>
          <w:spacing w:val="4"/>
          <w:w w:val="105"/>
          <w:sz w:val="13"/>
        </w:rPr>
        <w:t> </w:t>
      </w:r>
      <w:r>
        <w:rPr>
          <w:w w:val="105"/>
          <w:sz w:val="13"/>
        </w:rPr>
        <w:t>ibid</w:t>
      </w:r>
      <w:r>
        <w:rPr>
          <w:spacing w:val="5"/>
          <w:w w:val="105"/>
          <w:sz w:val="13"/>
        </w:rPr>
        <w:t> </w:t>
      </w:r>
      <w:r>
        <w:rPr>
          <w:spacing w:val="-3"/>
          <w:w w:val="105"/>
          <w:sz w:val="13"/>
        </w:rPr>
        <w:t>212–19.</w:t>
      </w:r>
    </w:p>
    <w:p>
      <w:pPr>
        <w:pStyle w:val="ListParagraph"/>
        <w:numPr>
          <w:ilvl w:val="0"/>
          <w:numId w:val="73"/>
        </w:numPr>
        <w:tabs>
          <w:tab w:pos="2380" w:val="left" w:leader="none"/>
          <w:tab w:pos="2382" w:val="left" w:leader="none"/>
        </w:tabs>
        <w:spacing w:line="240" w:lineRule="auto" w:before="1" w:after="0"/>
        <w:ind w:left="2381" w:right="0" w:hanging="794"/>
        <w:jc w:val="left"/>
        <w:rPr>
          <w:sz w:val="13"/>
        </w:rPr>
      </w:pPr>
      <w:r>
        <w:rPr>
          <w:i/>
          <w:w w:val="105"/>
          <w:sz w:val="13"/>
        </w:rPr>
        <w:t>Administration and Probate Act 1958 </w:t>
      </w:r>
      <w:r>
        <w:rPr>
          <w:spacing w:val="2"/>
          <w:w w:val="105"/>
          <w:sz w:val="13"/>
        </w:rPr>
        <w:t>(Vic) </w:t>
      </w:r>
      <w:r>
        <w:rPr>
          <w:w w:val="105"/>
          <w:sz w:val="13"/>
        </w:rPr>
        <w:t>s</w:t>
      </w:r>
      <w:r>
        <w:rPr>
          <w:spacing w:val="25"/>
          <w:w w:val="105"/>
          <w:sz w:val="13"/>
        </w:rPr>
        <w:t> </w:t>
      </w:r>
      <w:r>
        <w:rPr>
          <w:spacing w:val="3"/>
          <w:w w:val="105"/>
          <w:sz w:val="13"/>
        </w:rPr>
        <w:t>53(a).</w:t>
      </w:r>
    </w:p>
    <w:p>
      <w:pPr>
        <w:pStyle w:val="ListParagraph"/>
        <w:numPr>
          <w:ilvl w:val="0"/>
          <w:numId w:val="73"/>
        </w:numPr>
        <w:tabs>
          <w:tab w:pos="2380" w:val="left" w:leader="none"/>
          <w:tab w:pos="2382" w:val="left" w:leader="none"/>
        </w:tabs>
        <w:spacing w:line="240" w:lineRule="auto" w:before="1" w:after="0"/>
        <w:ind w:left="2381" w:right="0" w:hanging="794"/>
        <w:jc w:val="left"/>
        <w:rPr>
          <w:sz w:val="13"/>
        </w:rPr>
      </w:pPr>
      <w:r>
        <w:rPr>
          <w:w w:val="105"/>
          <w:sz w:val="13"/>
        </w:rPr>
        <w:t>National</w:t>
      </w:r>
      <w:r>
        <w:rPr>
          <w:spacing w:val="4"/>
          <w:w w:val="105"/>
          <w:sz w:val="13"/>
        </w:rPr>
        <w:t> </w:t>
      </w:r>
      <w:r>
        <w:rPr>
          <w:w w:val="105"/>
          <w:sz w:val="13"/>
        </w:rPr>
        <w:t>Committee</w:t>
      </w:r>
      <w:r>
        <w:rPr>
          <w:spacing w:val="5"/>
          <w:w w:val="105"/>
          <w:sz w:val="13"/>
        </w:rPr>
        <w:t> </w:t>
      </w:r>
      <w:r>
        <w:rPr>
          <w:w w:val="105"/>
          <w:sz w:val="13"/>
        </w:rPr>
        <w:t>for</w:t>
      </w:r>
      <w:r>
        <w:rPr>
          <w:spacing w:val="5"/>
          <w:w w:val="105"/>
          <w:sz w:val="13"/>
        </w:rPr>
        <w:t> </w:t>
      </w:r>
      <w:r>
        <w:rPr>
          <w:w w:val="105"/>
          <w:sz w:val="13"/>
        </w:rPr>
        <w:t>Uniform</w:t>
      </w:r>
      <w:r>
        <w:rPr>
          <w:spacing w:val="5"/>
          <w:w w:val="105"/>
          <w:sz w:val="13"/>
        </w:rPr>
        <w:t> </w:t>
      </w:r>
      <w:r>
        <w:rPr>
          <w:w w:val="105"/>
          <w:sz w:val="13"/>
        </w:rPr>
        <w:t>Succession</w:t>
      </w:r>
      <w:r>
        <w:rPr>
          <w:spacing w:val="4"/>
          <w:w w:val="105"/>
          <w:sz w:val="13"/>
        </w:rPr>
        <w:t> </w:t>
      </w:r>
      <w:r>
        <w:rPr>
          <w:w w:val="105"/>
          <w:sz w:val="13"/>
        </w:rPr>
        <w:t>Laws,</w:t>
      </w:r>
      <w:r>
        <w:rPr>
          <w:spacing w:val="5"/>
          <w:w w:val="105"/>
          <w:sz w:val="13"/>
        </w:rPr>
        <w:t> </w:t>
      </w:r>
      <w:r>
        <w:rPr>
          <w:w w:val="105"/>
          <w:sz w:val="13"/>
        </w:rPr>
        <w:t>above</w:t>
      </w:r>
      <w:r>
        <w:rPr>
          <w:spacing w:val="5"/>
          <w:w w:val="105"/>
          <w:sz w:val="13"/>
        </w:rPr>
        <w:t> </w:t>
      </w:r>
      <w:r>
        <w:rPr>
          <w:w w:val="105"/>
          <w:sz w:val="13"/>
        </w:rPr>
        <w:t>n</w:t>
      </w:r>
      <w:r>
        <w:rPr>
          <w:spacing w:val="5"/>
          <w:w w:val="105"/>
          <w:sz w:val="13"/>
        </w:rPr>
        <w:t> </w:t>
      </w:r>
      <w:r>
        <w:rPr>
          <w:w w:val="105"/>
          <w:sz w:val="13"/>
        </w:rPr>
        <w:t>10,</w:t>
      </w:r>
      <w:r>
        <w:rPr>
          <w:spacing w:val="5"/>
          <w:w w:val="105"/>
          <w:sz w:val="13"/>
        </w:rPr>
        <w:t> </w:t>
      </w:r>
      <w:r>
        <w:rPr>
          <w:spacing w:val="-3"/>
          <w:w w:val="105"/>
          <w:sz w:val="13"/>
        </w:rPr>
        <w:t>219.</w:t>
      </w:r>
    </w:p>
    <w:p>
      <w:pPr>
        <w:pStyle w:val="ListParagraph"/>
        <w:numPr>
          <w:ilvl w:val="0"/>
          <w:numId w:val="73"/>
        </w:numPr>
        <w:tabs>
          <w:tab w:pos="2381" w:val="left" w:leader="none"/>
          <w:tab w:pos="2382" w:val="left" w:leader="none"/>
        </w:tabs>
        <w:spacing w:line="240" w:lineRule="auto" w:before="2" w:after="0"/>
        <w:ind w:left="2381" w:right="0" w:hanging="794"/>
        <w:jc w:val="left"/>
        <w:rPr>
          <w:sz w:val="13"/>
        </w:rPr>
      </w:pPr>
      <w:r>
        <w:rPr>
          <w:w w:val="105"/>
          <w:sz w:val="13"/>
        </w:rPr>
        <w:t>Ibid</w:t>
      </w:r>
      <w:r>
        <w:rPr>
          <w:spacing w:val="4"/>
          <w:w w:val="105"/>
          <w:sz w:val="13"/>
        </w:rPr>
        <w:t> </w:t>
      </w:r>
      <w:r>
        <w:rPr>
          <w:spacing w:val="-3"/>
          <w:w w:val="105"/>
          <w:sz w:val="13"/>
        </w:rPr>
        <w:t>219</w:t>
      </w:r>
      <w:r>
        <w:rPr>
          <w:spacing w:val="5"/>
          <w:w w:val="105"/>
          <w:sz w:val="13"/>
        </w:rPr>
        <w:t> </w:t>
      </w:r>
      <w:r>
        <w:rPr>
          <w:w w:val="105"/>
          <w:sz w:val="13"/>
        </w:rPr>
        <w:t>recommendation</w:t>
      </w:r>
      <w:r>
        <w:rPr>
          <w:spacing w:val="5"/>
          <w:w w:val="105"/>
          <w:sz w:val="13"/>
        </w:rPr>
        <w:t> </w:t>
      </w:r>
      <w:r>
        <w:rPr>
          <w:w w:val="105"/>
          <w:sz w:val="13"/>
        </w:rPr>
        <w:t>43,</w:t>
      </w:r>
      <w:r>
        <w:rPr>
          <w:spacing w:val="5"/>
          <w:w w:val="105"/>
          <w:sz w:val="13"/>
        </w:rPr>
        <w:t> </w:t>
      </w:r>
      <w:r>
        <w:rPr>
          <w:w w:val="105"/>
          <w:sz w:val="13"/>
        </w:rPr>
        <w:t>Draft</w:t>
      </w:r>
      <w:r>
        <w:rPr>
          <w:spacing w:val="4"/>
          <w:w w:val="105"/>
          <w:sz w:val="13"/>
        </w:rPr>
        <w:t> </w:t>
      </w:r>
      <w:r>
        <w:rPr>
          <w:w w:val="105"/>
          <w:sz w:val="13"/>
        </w:rPr>
        <w:t>Intestacy</w:t>
      </w:r>
      <w:r>
        <w:rPr>
          <w:spacing w:val="5"/>
          <w:w w:val="105"/>
          <w:sz w:val="13"/>
        </w:rPr>
        <w:t> </w:t>
      </w:r>
      <w:r>
        <w:rPr>
          <w:w w:val="105"/>
          <w:sz w:val="13"/>
        </w:rPr>
        <w:t>Bill</w:t>
      </w:r>
      <w:r>
        <w:rPr>
          <w:spacing w:val="5"/>
          <w:w w:val="105"/>
          <w:sz w:val="13"/>
        </w:rPr>
        <w:t> </w:t>
      </w:r>
      <w:r>
        <w:rPr>
          <w:w w:val="105"/>
          <w:sz w:val="13"/>
        </w:rPr>
        <w:t>2006</w:t>
      </w:r>
      <w:r>
        <w:rPr>
          <w:spacing w:val="4"/>
          <w:w w:val="105"/>
          <w:sz w:val="13"/>
        </w:rPr>
        <w:t> </w:t>
      </w:r>
      <w:r>
        <w:rPr>
          <w:w w:val="105"/>
          <w:sz w:val="13"/>
        </w:rPr>
        <w:t>cl</w:t>
      </w:r>
      <w:r>
        <w:rPr>
          <w:spacing w:val="5"/>
          <w:w w:val="105"/>
          <w:sz w:val="13"/>
        </w:rPr>
        <w:t> </w:t>
      </w:r>
      <w:r>
        <w:rPr>
          <w:w w:val="105"/>
          <w:sz w:val="13"/>
        </w:rPr>
        <w:t>41(a).</w:t>
      </w:r>
    </w:p>
    <w:p>
      <w:pPr>
        <w:pStyle w:val="ListParagraph"/>
        <w:numPr>
          <w:ilvl w:val="0"/>
          <w:numId w:val="73"/>
        </w:numPr>
        <w:tabs>
          <w:tab w:pos="2381" w:val="left" w:leader="none"/>
          <w:tab w:pos="2382" w:val="left" w:leader="none"/>
        </w:tabs>
        <w:spacing w:line="240" w:lineRule="auto" w:before="1" w:after="0"/>
        <w:ind w:left="1587" w:right="5783" w:firstLine="0"/>
        <w:jc w:val="left"/>
        <w:rPr>
          <w:sz w:val="13"/>
        </w:rPr>
      </w:pPr>
      <w:r>
        <w:rPr>
          <w:w w:val="105"/>
          <w:sz w:val="13"/>
        </w:rPr>
        <w:t>Ibid 224–5 recommendation </w:t>
      </w:r>
      <w:r>
        <w:rPr>
          <w:spacing w:val="2"/>
          <w:w w:val="105"/>
          <w:sz w:val="13"/>
        </w:rPr>
        <w:t>44, </w:t>
      </w:r>
      <w:r>
        <w:rPr>
          <w:w w:val="105"/>
          <w:sz w:val="13"/>
        </w:rPr>
        <w:t>Draft Intestacy Bill 2006 cl 41(b). 261</w:t>
        <w:tab/>
        <w:t>Ibid </w:t>
      </w:r>
      <w:r>
        <w:rPr>
          <w:spacing w:val="-3"/>
          <w:w w:val="105"/>
          <w:sz w:val="13"/>
        </w:rPr>
        <w:t>219,</w:t>
      </w:r>
      <w:r>
        <w:rPr>
          <w:spacing w:val="9"/>
          <w:w w:val="105"/>
          <w:sz w:val="13"/>
        </w:rPr>
        <w:t> </w:t>
      </w:r>
      <w:r>
        <w:rPr>
          <w:w w:val="105"/>
          <w:sz w:val="13"/>
        </w:rPr>
        <w:t>225.</w:t>
      </w:r>
    </w:p>
    <w:p>
      <w:pPr>
        <w:pStyle w:val="ListParagraph"/>
        <w:numPr>
          <w:ilvl w:val="0"/>
          <w:numId w:val="74"/>
        </w:numPr>
        <w:tabs>
          <w:tab w:pos="2381" w:val="left" w:leader="none"/>
          <w:tab w:pos="2382" w:val="left" w:leader="none"/>
        </w:tabs>
        <w:spacing w:line="240" w:lineRule="auto" w:before="3" w:after="0"/>
        <w:ind w:left="2381" w:right="0" w:hanging="794"/>
        <w:jc w:val="left"/>
        <w:rPr>
          <w:sz w:val="13"/>
        </w:rPr>
      </w:pPr>
      <w:r>
        <w:rPr>
          <w:w w:val="105"/>
          <w:sz w:val="13"/>
        </w:rPr>
        <w:t>Victorian Law Reform Commission, above n 8, 38,</w:t>
      </w:r>
      <w:r>
        <w:rPr>
          <w:spacing w:val="7"/>
          <w:w w:val="105"/>
          <w:sz w:val="13"/>
        </w:rPr>
        <w:t> </w:t>
      </w:r>
      <w:r>
        <w:rPr>
          <w:w w:val="105"/>
          <w:sz w:val="13"/>
        </w:rPr>
        <w:t>40.</w:t>
      </w:r>
    </w:p>
    <w:p>
      <w:pPr>
        <w:pStyle w:val="ListParagraph"/>
        <w:numPr>
          <w:ilvl w:val="0"/>
          <w:numId w:val="74"/>
        </w:numPr>
        <w:tabs>
          <w:tab w:pos="2381" w:val="left" w:leader="none"/>
          <w:tab w:pos="2382" w:val="left" w:leader="none"/>
        </w:tabs>
        <w:spacing w:line="240" w:lineRule="auto" w:before="1" w:after="0"/>
        <w:ind w:left="2381" w:right="1616" w:hanging="794"/>
        <w:jc w:val="left"/>
        <w:rPr>
          <w:sz w:val="13"/>
        </w:rPr>
      </w:pPr>
      <w:r>
        <w:rPr>
          <w:w w:val="105"/>
          <w:sz w:val="13"/>
        </w:rPr>
        <w:t>New South Wales had repealed its hotchpot provisions in 1977 and had not had a requirement to bring testamentary benefits into account: for discussion of this, see National Committee for Uniform Succession Laws, above n 10, </w:t>
      </w:r>
      <w:r>
        <w:rPr>
          <w:spacing w:val="-6"/>
          <w:w w:val="105"/>
          <w:sz w:val="13"/>
        </w:rPr>
        <w:t>217, </w:t>
      </w:r>
      <w:r>
        <w:rPr>
          <w:w w:val="105"/>
          <w:sz w:val="13"/>
        </w:rPr>
        <w:t>222. The </w:t>
      </w:r>
      <w:r>
        <w:rPr>
          <w:i/>
          <w:w w:val="105"/>
          <w:sz w:val="13"/>
        </w:rPr>
        <w:t>Succession Act 2006 </w:t>
      </w:r>
      <w:r>
        <w:rPr>
          <w:spacing w:val="3"/>
          <w:w w:val="105"/>
          <w:sz w:val="13"/>
        </w:rPr>
        <w:t>(NSW) </w:t>
      </w:r>
      <w:r>
        <w:rPr>
          <w:w w:val="105"/>
          <w:sz w:val="13"/>
        </w:rPr>
        <w:t>now contains</w:t>
      </w:r>
      <w:r>
        <w:rPr>
          <w:spacing w:val="4"/>
          <w:w w:val="105"/>
          <w:sz w:val="13"/>
        </w:rPr>
        <w:t> </w:t>
      </w:r>
      <w:r>
        <w:rPr>
          <w:w w:val="105"/>
          <w:sz w:val="13"/>
        </w:rPr>
        <w:t>an</w:t>
      </w:r>
      <w:r>
        <w:rPr>
          <w:spacing w:val="5"/>
          <w:w w:val="105"/>
          <w:sz w:val="13"/>
        </w:rPr>
        <w:t> </w:t>
      </w:r>
      <w:r>
        <w:rPr>
          <w:w w:val="105"/>
          <w:sz w:val="13"/>
        </w:rPr>
        <w:t>express</w:t>
      </w:r>
      <w:r>
        <w:rPr>
          <w:spacing w:val="5"/>
          <w:w w:val="105"/>
          <w:sz w:val="13"/>
        </w:rPr>
        <w:t> </w:t>
      </w:r>
      <w:r>
        <w:rPr>
          <w:w w:val="105"/>
          <w:sz w:val="13"/>
        </w:rPr>
        <w:t>provision</w:t>
      </w:r>
      <w:r>
        <w:rPr>
          <w:spacing w:val="5"/>
          <w:w w:val="105"/>
          <w:sz w:val="13"/>
        </w:rPr>
        <w:t> </w:t>
      </w:r>
      <w:r>
        <w:rPr>
          <w:w w:val="105"/>
          <w:sz w:val="13"/>
        </w:rPr>
        <w:t>stating</w:t>
      </w:r>
      <w:r>
        <w:rPr>
          <w:spacing w:val="5"/>
          <w:w w:val="105"/>
          <w:sz w:val="13"/>
        </w:rPr>
        <w:t> </w:t>
      </w:r>
      <w:r>
        <w:rPr>
          <w:w w:val="105"/>
          <w:sz w:val="13"/>
        </w:rPr>
        <w:t>that</w:t>
      </w:r>
      <w:r>
        <w:rPr>
          <w:spacing w:val="4"/>
          <w:w w:val="105"/>
          <w:sz w:val="13"/>
        </w:rPr>
        <w:t> </w:t>
      </w:r>
      <w:r>
        <w:rPr>
          <w:w w:val="105"/>
          <w:sz w:val="13"/>
        </w:rPr>
        <w:t>testamentary</w:t>
      </w:r>
      <w:r>
        <w:rPr>
          <w:spacing w:val="5"/>
          <w:w w:val="105"/>
          <w:sz w:val="13"/>
        </w:rPr>
        <w:t> </w:t>
      </w:r>
      <w:r>
        <w:rPr>
          <w:w w:val="105"/>
          <w:sz w:val="13"/>
        </w:rPr>
        <w:t>and</w:t>
      </w:r>
      <w:r>
        <w:rPr>
          <w:spacing w:val="5"/>
          <w:w w:val="105"/>
          <w:sz w:val="13"/>
        </w:rPr>
        <w:t> </w:t>
      </w:r>
      <w:r>
        <w:rPr>
          <w:w w:val="105"/>
          <w:sz w:val="13"/>
        </w:rPr>
        <w:t>lifetime</w:t>
      </w:r>
      <w:r>
        <w:rPr>
          <w:spacing w:val="5"/>
          <w:w w:val="105"/>
          <w:sz w:val="13"/>
        </w:rPr>
        <w:t> </w:t>
      </w:r>
      <w:r>
        <w:rPr>
          <w:w w:val="105"/>
          <w:sz w:val="13"/>
        </w:rPr>
        <w:t>benefits</w:t>
      </w:r>
      <w:r>
        <w:rPr>
          <w:spacing w:val="5"/>
          <w:w w:val="105"/>
          <w:sz w:val="13"/>
        </w:rPr>
        <w:t> </w:t>
      </w:r>
      <w:r>
        <w:rPr>
          <w:w w:val="105"/>
          <w:sz w:val="13"/>
        </w:rPr>
        <w:t>do</w:t>
      </w:r>
      <w:r>
        <w:rPr>
          <w:spacing w:val="5"/>
          <w:w w:val="105"/>
          <w:sz w:val="13"/>
        </w:rPr>
        <w:t> </w:t>
      </w:r>
      <w:r>
        <w:rPr>
          <w:w w:val="105"/>
          <w:sz w:val="13"/>
        </w:rPr>
        <w:t>not</w:t>
      </w:r>
      <w:r>
        <w:rPr>
          <w:spacing w:val="4"/>
          <w:w w:val="105"/>
          <w:sz w:val="13"/>
        </w:rPr>
        <w:t> </w:t>
      </w:r>
      <w:r>
        <w:rPr>
          <w:w w:val="105"/>
          <w:sz w:val="13"/>
        </w:rPr>
        <w:t>affect</w:t>
      </w:r>
      <w:r>
        <w:rPr>
          <w:spacing w:val="5"/>
          <w:w w:val="105"/>
          <w:sz w:val="13"/>
        </w:rPr>
        <w:t> </w:t>
      </w:r>
      <w:r>
        <w:rPr>
          <w:w w:val="105"/>
          <w:sz w:val="13"/>
        </w:rPr>
        <w:t>shares</w:t>
      </w:r>
      <w:r>
        <w:rPr>
          <w:spacing w:val="5"/>
          <w:w w:val="105"/>
          <w:sz w:val="13"/>
        </w:rPr>
        <w:t> </w:t>
      </w:r>
      <w:r>
        <w:rPr>
          <w:w w:val="105"/>
          <w:sz w:val="13"/>
        </w:rPr>
        <w:t>on</w:t>
      </w:r>
      <w:r>
        <w:rPr>
          <w:spacing w:val="5"/>
          <w:w w:val="105"/>
          <w:sz w:val="13"/>
        </w:rPr>
        <w:t> </w:t>
      </w:r>
      <w:r>
        <w:rPr>
          <w:w w:val="105"/>
          <w:sz w:val="13"/>
        </w:rPr>
        <w:t>intestacy:</w:t>
      </w:r>
      <w:r>
        <w:rPr>
          <w:spacing w:val="5"/>
          <w:w w:val="105"/>
          <w:sz w:val="13"/>
        </w:rPr>
        <w:t> </w:t>
      </w:r>
      <w:r>
        <w:rPr>
          <w:w w:val="105"/>
          <w:sz w:val="13"/>
        </w:rPr>
        <w:t>s</w:t>
      </w:r>
      <w:r>
        <w:rPr>
          <w:spacing w:val="4"/>
          <w:w w:val="105"/>
          <w:sz w:val="13"/>
        </w:rPr>
        <w:t> </w:t>
      </w:r>
      <w:r>
        <w:rPr>
          <w:w w:val="105"/>
          <w:sz w:val="13"/>
        </w:rPr>
        <w:t>140.</w:t>
      </w:r>
    </w:p>
    <w:p>
      <w:pPr>
        <w:pStyle w:val="ListParagraph"/>
        <w:numPr>
          <w:ilvl w:val="0"/>
          <w:numId w:val="74"/>
        </w:numPr>
        <w:tabs>
          <w:tab w:pos="2381" w:val="left" w:leader="none"/>
          <w:tab w:pos="2382" w:val="left" w:leader="none"/>
        </w:tabs>
        <w:spacing w:line="240" w:lineRule="auto" w:before="4" w:after="0"/>
        <w:ind w:left="2381" w:right="1799" w:hanging="794"/>
        <w:jc w:val="left"/>
        <w:rPr>
          <w:sz w:val="13"/>
        </w:rPr>
      </w:pPr>
      <w:r>
        <w:rPr>
          <w:w w:val="105"/>
          <w:sz w:val="13"/>
        </w:rPr>
        <w:t>Following the National Committee’s intestacy report, Tasmania introduced a provision stating that testamentary and lifetime benefits do not</w:t>
      </w:r>
      <w:r>
        <w:rPr>
          <w:spacing w:val="4"/>
          <w:w w:val="105"/>
          <w:sz w:val="13"/>
        </w:rPr>
        <w:t> </w:t>
      </w:r>
      <w:r>
        <w:rPr>
          <w:w w:val="105"/>
          <w:sz w:val="13"/>
        </w:rPr>
        <w:t>affect</w:t>
      </w:r>
      <w:r>
        <w:rPr>
          <w:spacing w:val="5"/>
          <w:w w:val="105"/>
          <w:sz w:val="13"/>
        </w:rPr>
        <w:t> </w:t>
      </w:r>
      <w:r>
        <w:rPr>
          <w:w w:val="105"/>
          <w:sz w:val="13"/>
        </w:rPr>
        <w:t>shares</w:t>
      </w:r>
      <w:r>
        <w:rPr>
          <w:spacing w:val="4"/>
          <w:w w:val="105"/>
          <w:sz w:val="13"/>
        </w:rPr>
        <w:t> </w:t>
      </w:r>
      <w:r>
        <w:rPr>
          <w:w w:val="105"/>
          <w:sz w:val="13"/>
        </w:rPr>
        <w:t>on</w:t>
      </w:r>
      <w:r>
        <w:rPr>
          <w:spacing w:val="5"/>
          <w:w w:val="105"/>
          <w:sz w:val="13"/>
        </w:rPr>
        <w:t> </w:t>
      </w:r>
      <w:r>
        <w:rPr>
          <w:w w:val="105"/>
          <w:sz w:val="13"/>
        </w:rPr>
        <w:t>intestacy:</w:t>
      </w:r>
      <w:r>
        <w:rPr>
          <w:spacing w:val="5"/>
          <w:w w:val="105"/>
          <w:sz w:val="13"/>
        </w:rPr>
        <w:t> </w:t>
      </w:r>
      <w:r>
        <w:rPr>
          <w:i/>
          <w:w w:val="105"/>
          <w:sz w:val="13"/>
        </w:rPr>
        <w:t>Intestacy</w:t>
      </w:r>
      <w:r>
        <w:rPr>
          <w:i/>
          <w:spacing w:val="3"/>
          <w:w w:val="105"/>
          <w:sz w:val="13"/>
        </w:rPr>
        <w:t> </w:t>
      </w:r>
      <w:r>
        <w:rPr>
          <w:i/>
          <w:w w:val="105"/>
          <w:sz w:val="13"/>
        </w:rPr>
        <w:t>Act</w:t>
      </w:r>
      <w:r>
        <w:rPr>
          <w:i/>
          <w:spacing w:val="4"/>
          <w:w w:val="105"/>
          <w:sz w:val="13"/>
        </w:rPr>
        <w:t> </w:t>
      </w:r>
      <w:r>
        <w:rPr>
          <w:i/>
          <w:spacing w:val="-3"/>
          <w:w w:val="105"/>
          <w:sz w:val="13"/>
        </w:rPr>
        <w:t>2010</w:t>
      </w:r>
      <w:r>
        <w:rPr>
          <w:i/>
          <w:spacing w:val="5"/>
          <w:w w:val="105"/>
          <w:sz w:val="13"/>
        </w:rPr>
        <w:t> </w:t>
      </w:r>
      <w:r>
        <w:rPr>
          <w:w w:val="105"/>
          <w:sz w:val="13"/>
        </w:rPr>
        <w:t>(Tas)</w:t>
      </w:r>
      <w:r>
        <w:rPr>
          <w:spacing w:val="4"/>
          <w:w w:val="105"/>
          <w:sz w:val="13"/>
        </w:rPr>
        <w:t> </w:t>
      </w:r>
      <w:r>
        <w:rPr>
          <w:w w:val="105"/>
          <w:sz w:val="13"/>
        </w:rPr>
        <w:t>s</w:t>
      </w:r>
      <w:r>
        <w:rPr>
          <w:spacing w:val="5"/>
          <w:w w:val="105"/>
          <w:sz w:val="13"/>
        </w:rPr>
        <w:t> </w:t>
      </w:r>
      <w:r>
        <w:rPr>
          <w:spacing w:val="-4"/>
          <w:w w:val="105"/>
          <w:sz w:val="13"/>
        </w:rPr>
        <w:t>41.</w:t>
      </w:r>
    </w:p>
    <w:p>
      <w:pPr>
        <w:pStyle w:val="ListParagraph"/>
        <w:numPr>
          <w:ilvl w:val="0"/>
          <w:numId w:val="74"/>
        </w:numPr>
        <w:tabs>
          <w:tab w:pos="2381" w:val="left" w:leader="none"/>
          <w:tab w:pos="2382" w:val="left" w:leader="none"/>
        </w:tabs>
        <w:spacing w:line="240" w:lineRule="auto" w:before="3" w:after="0"/>
        <w:ind w:left="2381" w:right="1691" w:hanging="794"/>
        <w:jc w:val="left"/>
        <w:rPr>
          <w:sz w:val="13"/>
        </w:rPr>
      </w:pPr>
      <w:r>
        <w:rPr>
          <w:sz w:val="13"/>
        </w:rPr>
        <w:t>Queensland was the first jurisdiction to repeal its hotchpot provisions in 1968: </w:t>
      </w:r>
      <w:r>
        <w:rPr>
          <w:i/>
          <w:sz w:val="13"/>
        </w:rPr>
        <w:t>Succession Acts Amendment Act 1968 </w:t>
      </w:r>
      <w:r>
        <w:rPr>
          <w:spacing w:val="2"/>
          <w:sz w:val="13"/>
        </w:rPr>
        <w:t>(Qld). </w:t>
      </w:r>
      <w:r>
        <w:rPr>
          <w:sz w:val="13"/>
        </w:rPr>
        <w:t>It had not had                  a requirement to bring testamentary benefits into account.  For  discussion  of  this,  see  National  Committee  for  Uniform  Succession  Laws, above n 10, </w:t>
      </w:r>
      <w:r>
        <w:rPr>
          <w:spacing w:val="-6"/>
          <w:sz w:val="13"/>
        </w:rPr>
        <w:t>217,</w:t>
      </w:r>
      <w:r>
        <w:rPr>
          <w:spacing w:val="2"/>
          <w:sz w:val="13"/>
        </w:rPr>
        <w:t> </w:t>
      </w:r>
      <w:r>
        <w:rPr>
          <w:sz w:val="13"/>
        </w:rPr>
        <w:t>222.</w:t>
      </w:r>
    </w:p>
    <w:p>
      <w:pPr>
        <w:pStyle w:val="ListParagraph"/>
        <w:numPr>
          <w:ilvl w:val="0"/>
          <w:numId w:val="74"/>
        </w:numPr>
        <w:tabs>
          <w:tab w:pos="2381" w:val="left" w:leader="none"/>
          <w:tab w:pos="2382" w:val="left" w:leader="none"/>
        </w:tabs>
        <w:spacing w:line="240" w:lineRule="auto" w:before="4" w:after="0"/>
        <w:ind w:left="2381" w:right="1583" w:hanging="794"/>
        <w:jc w:val="left"/>
        <w:rPr>
          <w:sz w:val="13"/>
        </w:rPr>
      </w:pPr>
      <w:r>
        <w:rPr/>
        <w:pict>
          <v:shape style="position:absolute;margin-left:549.044495pt;margin-top:10.994964pt;width:12.85pt;height:14.25pt;mso-position-horizontal-relative:page;mso-position-vertical-relative:paragraph;z-index:8032" type="#_x0000_t202" filled="false" stroked="false">
            <v:textbox inset="0,0,0,0">
              <w:txbxContent>
                <w:p>
                  <w:pPr>
                    <w:spacing w:line="284" w:lineRule="exact" w:before="0"/>
                    <w:ind w:left="0" w:right="0" w:firstLine="0"/>
                    <w:jc w:val="left"/>
                    <w:rPr>
                      <w:b/>
                      <w:sz w:val="24"/>
                    </w:rPr>
                  </w:pPr>
                  <w:r>
                    <w:rPr>
                      <w:b/>
                      <w:color w:val="EC5A4F"/>
                      <w:spacing w:val="-6"/>
                      <w:w w:val="110"/>
                      <w:sz w:val="24"/>
                    </w:rPr>
                    <w:t>91</w:t>
                  </w:r>
                </w:p>
              </w:txbxContent>
            </v:textbox>
            <w10:wrap type="none"/>
          </v:shape>
        </w:pict>
      </w:r>
      <w:r>
        <w:rPr>
          <w:w w:val="105"/>
          <w:sz w:val="13"/>
        </w:rPr>
        <w:t>Western Australia repealed its hotchpot provisions in 1976: </w:t>
      </w:r>
      <w:r>
        <w:rPr>
          <w:i/>
          <w:w w:val="105"/>
          <w:sz w:val="13"/>
        </w:rPr>
        <w:t>Administration Act Amendment Act </w:t>
      </w:r>
      <w:r>
        <w:rPr>
          <w:i/>
          <w:spacing w:val="-4"/>
          <w:w w:val="105"/>
          <w:sz w:val="13"/>
        </w:rPr>
        <w:t>1976  </w:t>
      </w:r>
      <w:r>
        <w:rPr>
          <w:w w:val="105"/>
          <w:sz w:val="13"/>
        </w:rPr>
        <w:t>(WA) s 3. It had not had a requirement</w:t>
      </w:r>
      <w:r>
        <w:rPr>
          <w:spacing w:val="30"/>
          <w:w w:val="105"/>
          <w:sz w:val="13"/>
        </w:rPr>
        <w:t> </w:t>
      </w:r>
      <w:r>
        <w:rPr>
          <w:w w:val="105"/>
          <w:sz w:val="13"/>
        </w:rPr>
        <w:t>to bring testamentary benefits into account. For discussion of this, see National Committee for Uniform Succession Laws, above n 10, 214,   </w:t>
      </w:r>
      <w:r>
        <w:rPr>
          <w:spacing w:val="-6"/>
          <w:w w:val="105"/>
          <w:sz w:val="13"/>
        </w:rPr>
        <w:t>217,</w:t>
      </w:r>
      <w:r>
        <w:rPr>
          <w:spacing w:val="4"/>
          <w:w w:val="105"/>
          <w:sz w:val="13"/>
        </w:rPr>
        <w:t> </w:t>
      </w:r>
      <w:r>
        <w:rPr>
          <w:w w:val="105"/>
          <w:sz w:val="13"/>
        </w:rPr>
        <w:t>222.</w:t>
      </w:r>
    </w:p>
    <w:p>
      <w:pPr>
        <w:spacing w:after="0" w:line="240" w:lineRule="auto"/>
        <w:jc w:val="left"/>
        <w:rPr>
          <w:sz w:val="13"/>
        </w:rPr>
        <w:sectPr>
          <w:pgSz w:w="11910" w:h="16840"/>
          <w:pgMar w:header="805" w:footer="0" w:top="1360" w:bottom="280" w:left="0" w:right="0"/>
        </w:sectPr>
      </w:pPr>
    </w:p>
    <w:p>
      <w:pPr>
        <w:pStyle w:val="BodyText"/>
        <w:spacing w:before="11"/>
      </w:pPr>
    </w:p>
    <w:p>
      <w:pPr>
        <w:pStyle w:val="Heading5"/>
        <w:spacing w:before="99"/>
      </w:pPr>
      <w:bookmarkStart w:name="_TOC_250031" w:id="89"/>
      <w:bookmarkEnd w:id="89"/>
      <w:r>
        <w:rPr>
          <w:w w:val="115"/>
        </w:rPr>
        <w:t>Views and conclusions</w:t>
      </w:r>
    </w:p>
    <w:p>
      <w:pPr>
        <w:pStyle w:val="ListParagraph"/>
        <w:numPr>
          <w:ilvl w:val="1"/>
          <w:numId w:val="22"/>
        </w:numPr>
        <w:tabs>
          <w:tab w:pos="2380" w:val="left" w:leader="none"/>
          <w:tab w:pos="2381" w:val="left" w:leader="none"/>
        </w:tabs>
        <w:spacing w:line="242" w:lineRule="auto" w:before="137" w:after="0"/>
        <w:ind w:left="2381" w:right="1778" w:hanging="794"/>
        <w:jc w:val="left"/>
        <w:rPr>
          <w:sz w:val="21"/>
        </w:rPr>
      </w:pPr>
      <w:r>
        <w:rPr>
          <w:w w:val="105"/>
          <w:sz w:val="21"/>
        </w:rPr>
        <w:t>Of the </w:t>
      </w:r>
      <w:r>
        <w:rPr>
          <w:spacing w:val="-3"/>
          <w:w w:val="105"/>
          <w:sz w:val="21"/>
        </w:rPr>
        <w:t>submissions to </w:t>
      </w:r>
      <w:r>
        <w:rPr>
          <w:w w:val="105"/>
          <w:sz w:val="21"/>
        </w:rPr>
        <w:t>the </w:t>
      </w:r>
      <w:r>
        <w:rPr>
          <w:spacing w:val="-4"/>
          <w:w w:val="105"/>
          <w:sz w:val="21"/>
        </w:rPr>
        <w:t>Commission’s </w:t>
      </w:r>
      <w:r>
        <w:rPr>
          <w:spacing w:val="-3"/>
          <w:w w:val="105"/>
          <w:sz w:val="21"/>
        </w:rPr>
        <w:t>consultation </w:t>
      </w:r>
      <w:r>
        <w:rPr>
          <w:w w:val="105"/>
          <w:sz w:val="21"/>
        </w:rPr>
        <w:t>paper on intestacy </w:t>
      </w:r>
      <w:r>
        <w:rPr>
          <w:spacing w:val="-3"/>
          <w:w w:val="105"/>
          <w:sz w:val="21"/>
        </w:rPr>
        <w:t>that </w:t>
      </w:r>
      <w:r>
        <w:rPr>
          <w:w w:val="105"/>
          <w:sz w:val="21"/>
        </w:rPr>
        <w:t>addressed this question, </w:t>
      </w:r>
      <w:r>
        <w:rPr>
          <w:spacing w:val="-3"/>
          <w:w w:val="105"/>
          <w:sz w:val="21"/>
        </w:rPr>
        <w:t>all except </w:t>
      </w:r>
      <w:r>
        <w:rPr>
          <w:w w:val="105"/>
          <w:sz w:val="21"/>
        </w:rPr>
        <w:t>one </w:t>
      </w:r>
      <w:r>
        <w:rPr>
          <w:spacing w:val="-3"/>
          <w:w w:val="105"/>
          <w:sz w:val="21"/>
        </w:rPr>
        <w:t>considered that </w:t>
      </w:r>
      <w:r>
        <w:rPr>
          <w:w w:val="105"/>
          <w:sz w:val="21"/>
        </w:rPr>
        <w:t>the rule </w:t>
      </w:r>
      <w:r>
        <w:rPr>
          <w:spacing w:val="-3"/>
          <w:w w:val="105"/>
          <w:sz w:val="21"/>
        </w:rPr>
        <w:t>requiring lifetime </w:t>
      </w:r>
      <w:r>
        <w:rPr>
          <w:w w:val="105"/>
          <w:sz w:val="21"/>
        </w:rPr>
        <w:t>benefits </w:t>
      </w:r>
      <w:r>
        <w:rPr>
          <w:spacing w:val="-3"/>
          <w:w w:val="105"/>
          <w:sz w:val="21"/>
        </w:rPr>
        <w:t>to </w:t>
      </w:r>
      <w:r>
        <w:rPr>
          <w:w w:val="105"/>
          <w:sz w:val="21"/>
        </w:rPr>
        <w:t>be </w:t>
      </w:r>
      <w:r>
        <w:rPr>
          <w:spacing w:val="-3"/>
          <w:w w:val="105"/>
          <w:sz w:val="21"/>
        </w:rPr>
        <w:t>taken </w:t>
      </w:r>
      <w:r>
        <w:rPr>
          <w:spacing w:val="-4"/>
          <w:w w:val="105"/>
          <w:sz w:val="21"/>
        </w:rPr>
        <w:t>into </w:t>
      </w:r>
      <w:r>
        <w:rPr>
          <w:spacing w:val="-3"/>
          <w:w w:val="105"/>
          <w:sz w:val="21"/>
        </w:rPr>
        <w:t>account (hotchpot) </w:t>
      </w:r>
      <w:r>
        <w:rPr>
          <w:w w:val="105"/>
          <w:sz w:val="21"/>
        </w:rPr>
        <w:t>should be abolished.</w:t>
      </w:r>
      <w:r>
        <w:rPr>
          <w:w w:val="105"/>
          <w:position w:val="7"/>
          <w:sz w:val="12"/>
        </w:rPr>
        <w:t>267 </w:t>
      </w:r>
      <w:r>
        <w:rPr>
          <w:w w:val="105"/>
          <w:sz w:val="21"/>
        </w:rPr>
        <w:t>In support of </w:t>
      </w:r>
      <w:r>
        <w:rPr>
          <w:spacing w:val="-3"/>
          <w:w w:val="105"/>
          <w:sz w:val="21"/>
        </w:rPr>
        <w:t>abolishing hotchpot, </w:t>
      </w:r>
      <w:r>
        <w:rPr>
          <w:w w:val="105"/>
          <w:sz w:val="21"/>
        </w:rPr>
        <w:t>the Property and </w:t>
      </w:r>
      <w:r>
        <w:rPr>
          <w:spacing w:val="-3"/>
          <w:w w:val="105"/>
          <w:sz w:val="21"/>
        </w:rPr>
        <w:t>Probate </w:t>
      </w:r>
      <w:r>
        <w:rPr>
          <w:w w:val="105"/>
          <w:sz w:val="21"/>
        </w:rPr>
        <w:t>Section of the </w:t>
      </w:r>
      <w:r>
        <w:rPr>
          <w:spacing w:val="-4"/>
          <w:w w:val="105"/>
          <w:sz w:val="21"/>
        </w:rPr>
        <w:t>Commercial </w:t>
      </w:r>
      <w:r>
        <w:rPr>
          <w:w w:val="105"/>
          <w:sz w:val="21"/>
        </w:rPr>
        <w:t>Bar Association </w:t>
      </w:r>
      <w:r>
        <w:rPr>
          <w:spacing w:val="-3"/>
          <w:w w:val="105"/>
          <w:sz w:val="21"/>
        </w:rPr>
        <w:t>contended that abolishing </w:t>
      </w:r>
      <w:r>
        <w:rPr>
          <w:w w:val="105"/>
          <w:sz w:val="21"/>
        </w:rPr>
        <w:t>the </w:t>
      </w:r>
      <w:r>
        <w:rPr>
          <w:spacing w:val="-3"/>
          <w:w w:val="105"/>
          <w:sz w:val="21"/>
        </w:rPr>
        <w:t>hotchpot </w:t>
      </w:r>
      <w:r>
        <w:rPr>
          <w:w w:val="105"/>
          <w:sz w:val="21"/>
        </w:rPr>
        <w:t>rule would be </w:t>
      </w:r>
      <w:r>
        <w:rPr>
          <w:spacing w:val="-4"/>
          <w:w w:val="105"/>
          <w:sz w:val="21"/>
        </w:rPr>
        <w:t>likely </w:t>
      </w:r>
      <w:r>
        <w:rPr>
          <w:spacing w:val="-3"/>
          <w:w w:val="105"/>
          <w:sz w:val="21"/>
        </w:rPr>
        <w:t>to promote </w:t>
      </w:r>
      <w:r>
        <w:rPr>
          <w:w w:val="105"/>
          <w:sz w:val="21"/>
        </w:rPr>
        <w:t>certainty.</w:t>
      </w:r>
      <w:r>
        <w:rPr>
          <w:w w:val="105"/>
          <w:position w:val="7"/>
          <w:sz w:val="12"/>
        </w:rPr>
        <w:t>268 </w:t>
      </w:r>
      <w:r>
        <w:rPr>
          <w:w w:val="105"/>
          <w:sz w:val="21"/>
        </w:rPr>
        <w:t>Moores </w:t>
      </w:r>
      <w:r>
        <w:rPr>
          <w:spacing w:val="-3"/>
          <w:w w:val="105"/>
          <w:sz w:val="21"/>
        </w:rPr>
        <w:t>Legal noted</w:t>
      </w:r>
      <w:r>
        <w:rPr>
          <w:spacing w:val="-5"/>
          <w:w w:val="105"/>
          <w:sz w:val="21"/>
        </w:rPr>
        <w:t> </w:t>
      </w:r>
      <w:r>
        <w:rPr>
          <w:spacing w:val="-3"/>
          <w:w w:val="105"/>
          <w:sz w:val="21"/>
        </w:rPr>
        <w:t>that</w:t>
      </w:r>
      <w:r>
        <w:rPr>
          <w:spacing w:val="-4"/>
          <w:w w:val="105"/>
          <w:sz w:val="21"/>
        </w:rPr>
        <w:t> </w:t>
      </w:r>
      <w:r>
        <w:rPr>
          <w:w w:val="105"/>
          <w:sz w:val="21"/>
        </w:rPr>
        <w:t>the</w:t>
      </w:r>
      <w:r>
        <w:rPr>
          <w:spacing w:val="-4"/>
          <w:w w:val="105"/>
          <w:sz w:val="21"/>
        </w:rPr>
        <w:t> </w:t>
      </w:r>
      <w:r>
        <w:rPr>
          <w:w w:val="105"/>
          <w:sz w:val="21"/>
        </w:rPr>
        <w:t>rule</w:t>
      </w:r>
      <w:r>
        <w:rPr>
          <w:spacing w:val="-5"/>
          <w:w w:val="105"/>
          <w:sz w:val="21"/>
        </w:rPr>
        <w:t> </w:t>
      </w:r>
      <w:r>
        <w:rPr>
          <w:spacing w:val="-3"/>
          <w:w w:val="105"/>
          <w:sz w:val="21"/>
        </w:rPr>
        <w:t>arbitrarily</w:t>
      </w:r>
      <w:r>
        <w:rPr>
          <w:spacing w:val="-4"/>
          <w:w w:val="105"/>
          <w:sz w:val="21"/>
        </w:rPr>
        <w:t> </w:t>
      </w:r>
      <w:r>
        <w:rPr>
          <w:w w:val="105"/>
          <w:sz w:val="21"/>
        </w:rPr>
        <w:t>assumes</w:t>
      </w:r>
      <w:r>
        <w:rPr>
          <w:spacing w:val="-4"/>
          <w:w w:val="105"/>
          <w:sz w:val="21"/>
        </w:rPr>
        <w:t> </w:t>
      </w:r>
      <w:r>
        <w:rPr>
          <w:spacing w:val="-3"/>
          <w:w w:val="105"/>
          <w:sz w:val="21"/>
        </w:rPr>
        <w:t>that</w:t>
      </w:r>
      <w:r>
        <w:rPr>
          <w:spacing w:val="-5"/>
          <w:w w:val="105"/>
          <w:sz w:val="21"/>
        </w:rPr>
        <w:t> </w:t>
      </w:r>
      <w:r>
        <w:rPr>
          <w:w w:val="105"/>
          <w:sz w:val="21"/>
        </w:rPr>
        <w:t>the</w:t>
      </w:r>
      <w:r>
        <w:rPr>
          <w:spacing w:val="-4"/>
          <w:w w:val="105"/>
          <w:sz w:val="21"/>
        </w:rPr>
        <w:t> </w:t>
      </w:r>
      <w:r>
        <w:rPr>
          <w:w w:val="105"/>
          <w:sz w:val="21"/>
        </w:rPr>
        <w:t>deceased</w:t>
      </w:r>
      <w:r>
        <w:rPr>
          <w:spacing w:val="-4"/>
          <w:w w:val="105"/>
          <w:sz w:val="21"/>
        </w:rPr>
        <w:t> </w:t>
      </w:r>
      <w:r>
        <w:rPr>
          <w:w w:val="105"/>
          <w:sz w:val="21"/>
        </w:rPr>
        <w:t>person</w:t>
      </w:r>
      <w:r>
        <w:rPr>
          <w:spacing w:val="-5"/>
          <w:w w:val="105"/>
          <w:sz w:val="21"/>
        </w:rPr>
        <w:t> </w:t>
      </w:r>
      <w:r>
        <w:rPr>
          <w:w w:val="105"/>
          <w:sz w:val="21"/>
        </w:rPr>
        <w:t>would</w:t>
      </w:r>
      <w:r>
        <w:rPr>
          <w:spacing w:val="-4"/>
          <w:w w:val="105"/>
          <w:sz w:val="21"/>
        </w:rPr>
        <w:t> </w:t>
      </w:r>
      <w:r>
        <w:rPr>
          <w:spacing w:val="-3"/>
          <w:w w:val="105"/>
          <w:sz w:val="21"/>
        </w:rPr>
        <w:t>have</w:t>
      </w:r>
      <w:r>
        <w:rPr>
          <w:spacing w:val="-4"/>
          <w:w w:val="105"/>
          <w:sz w:val="21"/>
        </w:rPr>
        <w:t> </w:t>
      </w:r>
      <w:r>
        <w:rPr>
          <w:spacing w:val="-3"/>
          <w:w w:val="105"/>
          <w:sz w:val="21"/>
        </w:rPr>
        <w:t>wanted</w:t>
      </w:r>
    </w:p>
    <w:p>
      <w:pPr>
        <w:pStyle w:val="BodyText"/>
        <w:spacing w:line="242" w:lineRule="auto" w:before="7"/>
        <w:ind w:left="2381" w:right="2337"/>
        <w:rPr>
          <w:sz w:val="12"/>
        </w:rPr>
      </w:pPr>
      <w:r>
        <w:rPr>
          <w:spacing w:val="-3"/>
        </w:rPr>
        <w:t>to treat </w:t>
      </w:r>
      <w:r>
        <w:rPr/>
        <w:t>their </w:t>
      </w:r>
      <w:r>
        <w:rPr>
          <w:spacing w:val="-3"/>
        </w:rPr>
        <w:t>children </w:t>
      </w:r>
      <w:r>
        <w:rPr>
          <w:spacing w:val="-4"/>
        </w:rPr>
        <w:t>equally,  </w:t>
      </w:r>
      <w:r>
        <w:rPr/>
        <w:t>which is often </w:t>
      </w:r>
      <w:r>
        <w:rPr>
          <w:spacing w:val="-2"/>
        </w:rPr>
        <w:t>not </w:t>
      </w:r>
      <w:r>
        <w:rPr/>
        <w:t>the </w:t>
      </w:r>
      <w:r>
        <w:rPr>
          <w:spacing w:val="-3"/>
        </w:rPr>
        <w:t>case, </w:t>
      </w:r>
      <w:r>
        <w:rPr/>
        <w:t>and </w:t>
      </w:r>
      <w:r>
        <w:rPr>
          <w:spacing w:val="-3"/>
        </w:rPr>
        <w:t>considered that </w:t>
      </w:r>
      <w:r>
        <w:rPr/>
        <w:t>there    is no justification </w:t>
      </w:r>
      <w:r>
        <w:rPr>
          <w:spacing w:val="-3"/>
        </w:rPr>
        <w:t>for </w:t>
      </w:r>
      <w:r>
        <w:rPr/>
        <w:t>the rule applying only </w:t>
      </w:r>
      <w:r>
        <w:rPr>
          <w:spacing w:val="-3"/>
        </w:rPr>
        <w:t>to </w:t>
      </w:r>
      <w:r>
        <w:rPr/>
        <w:t>benefits received by the deceased </w:t>
      </w:r>
      <w:r>
        <w:rPr>
          <w:spacing w:val="-3"/>
        </w:rPr>
        <w:t>person’s</w:t>
      </w:r>
      <w:r>
        <w:rPr>
          <w:spacing w:val="8"/>
        </w:rPr>
        <w:t> </w:t>
      </w:r>
      <w:r>
        <w:rPr>
          <w:spacing w:val="-3"/>
        </w:rPr>
        <w:t>children.</w:t>
      </w:r>
      <w:r>
        <w:rPr>
          <w:spacing w:val="-3"/>
          <w:position w:val="7"/>
          <w:sz w:val="12"/>
        </w:rPr>
        <w:t>269</w:t>
      </w:r>
    </w:p>
    <w:p>
      <w:pPr>
        <w:pStyle w:val="ListParagraph"/>
        <w:numPr>
          <w:ilvl w:val="1"/>
          <w:numId w:val="22"/>
        </w:numPr>
        <w:tabs>
          <w:tab w:pos="2382" w:val="left" w:leader="none"/>
        </w:tabs>
        <w:spacing w:line="242" w:lineRule="auto" w:before="123" w:after="0"/>
        <w:ind w:left="2381" w:right="2018" w:hanging="794"/>
        <w:jc w:val="both"/>
        <w:rPr>
          <w:sz w:val="12"/>
        </w:rPr>
      </w:pPr>
      <w:r>
        <w:rPr>
          <w:w w:val="105"/>
          <w:sz w:val="21"/>
        </w:rPr>
        <w:t>Although </w:t>
      </w:r>
      <w:r>
        <w:rPr>
          <w:spacing w:val="-3"/>
          <w:w w:val="105"/>
          <w:sz w:val="21"/>
        </w:rPr>
        <w:t>Carolyn Sparke </w:t>
      </w:r>
      <w:r>
        <w:rPr>
          <w:w w:val="105"/>
          <w:sz w:val="21"/>
        </w:rPr>
        <w:t>SC </w:t>
      </w:r>
      <w:r>
        <w:rPr>
          <w:spacing w:val="-3"/>
          <w:w w:val="105"/>
          <w:sz w:val="21"/>
        </w:rPr>
        <w:t>noted that </w:t>
      </w:r>
      <w:r>
        <w:rPr>
          <w:w w:val="105"/>
          <w:sz w:val="21"/>
        </w:rPr>
        <w:t>she did </w:t>
      </w:r>
      <w:r>
        <w:rPr>
          <w:spacing w:val="-2"/>
          <w:w w:val="105"/>
          <w:sz w:val="21"/>
        </w:rPr>
        <w:t>not </w:t>
      </w:r>
      <w:r>
        <w:rPr>
          <w:spacing w:val="-3"/>
          <w:w w:val="105"/>
          <w:sz w:val="21"/>
        </w:rPr>
        <w:t>have </w:t>
      </w:r>
      <w:r>
        <w:rPr>
          <w:w w:val="105"/>
          <w:sz w:val="21"/>
        </w:rPr>
        <w:t>strong views on this </w:t>
      </w:r>
      <w:r>
        <w:rPr>
          <w:spacing w:val="-4"/>
          <w:w w:val="105"/>
          <w:sz w:val="21"/>
        </w:rPr>
        <w:t>matter, </w:t>
      </w:r>
      <w:r>
        <w:rPr>
          <w:w w:val="105"/>
          <w:sz w:val="21"/>
        </w:rPr>
        <w:t>she</w:t>
      </w:r>
      <w:r>
        <w:rPr>
          <w:spacing w:val="-8"/>
          <w:w w:val="105"/>
          <w:sz w:val="21"/>
        </w:rPr>
        <w:t> </w:t>
      </w:r>
      <w:r>
        <w:rPr>
          <w:spacing w:val="-3"/>
          <w:w w:val="105"/>
          <w:sz w:val="21"/>
        </w:rPr>
        <w:t>considered</w:t>
      </w:r>
      <w:r>
        <w:rPr>
          <w:spacing w:val="-8"/>
          <w:w w:val="105"/>
          <w:sz w:val="21"/>
        </w:rPr>
        <w:t> </w:t>
      </w:r>
      <w:r>
        <w:rPr>
          <w:spacing w:val="-3"/>
          <w:w w:val="105"/>
          <w:sz w:val="21"/>
        </w:rPr>
        <w:t>that</w:t>
      </w:r>
      <w:r>
        <w:rPr>
          <w:spacing w:val="-7"/>
          <w:w w:val="105"/>
          <w:sz w:val="21"/>
        </w:rPr>
        <w:t> </w:t>
      </w:r>
      <w:r>
        <w:rPr>
          <w:spacing w:val="-3"/>
          <w:w w:val="105"/>
          <w:sz w:val="21"/>
        </w:rPr>
        <w:t>hotchpot</w:t>
      </w:r>
      <w:r>
        <w:rPr>
          <w:spacing w:val="-8"/>
          <w:w w:val="105"/>
          <w:sz w:val="21"/>
        </w:rPr>
        <w:t> </w:t>
      </w:r>
      <w:r>
        <w:rPr>
          <w:w w:val="105"/>
          <w:sz w:val="21"/>
        </w:rPr>
        <w:t>should</w:t>
      </w:r>
      <w:r>
        <w:rPr>
          <w:spacing w:val="-8"/>
          <w:w w:val="105"/>
          <w:sz w:val="21"/>
        </w:rPr>
        <w:t> </w:t>
      </w:r>
      <w:r>
        <w:rPr>
          <w:w w:val="105"/>
          <w:sz w:val="21"/>
        </w:rPr>
        <w:t>be</w:t>
      </w:r>
      <w:r>
        <w:rPr>
          <w:spacing w:val="-7"/>
          <w:w w:val="105"/>
          <w:sz w:val="21"/>
        </w:rPr>
        <w:t> </w:t>
      </w:r>
      <w:r>
        <w:rPr>
          <w:spacing w:val="-3"/>
          <w:w w:val="105"/>
          <w:sz w:val="21"/>
        </w:rPr>
        <w:t>retained</w:t>
      </w:r>
      <w:r>
        <w:rPr>
          <w:spacing w:val="-8"/>
          <w:w w:val="105"/>
          <w:sz w:val="21"/>
        </w:rPr>
        <w:t> </w:t>
      </w:r>
      <w:r>
        <w:rPr>
          <w:w w:val="105"/>
          <w:sz w:val="21"/>
        </w:rPr>
        <w:t>and</w:t>
      </w:r>
      <w:r>
        <w:rPr>
          <w:spacing w:val="-7"/>
          <w:w w:val="105"/>
          <w:sz w:val="21"/>
        </w:rPr>
        <w:t> </w:t>
      </w:r>
      <w:r>
        <w:rPr>
          <w:w w:val="105"/>
          <w:sz w:val="21"/>
        </w:rPr>
        <w:t>extended</w:t>
      </w:r>
      <w:r>
        <w:rPr>
          <w:spacing w:val="-8"/>
          <w:w w:val="105"/>
          <w:sz w:val="21"/>
        </w:rPr>
        <w:t> </w:t>
      </w:r>
      <w:r>
        <w:rPr>
          <w:w w:val="105"/>
          <w:sz w:val="21"/>
        </w:rPr>
        <w:t>beyond</w:t>
      </w:r>
      <w:r>
        <w:rPr>
          <w:spacing w:val="-8"/>
          <w:w w:val="105"/>
          <w:sz w:val="21"/>
        </w:rPr>
        <w:t> </w:t>
      </w:r>
      <w:r>
        <w:rPr>
          <w:w w:val="105"/>
          <w:sz w:val="21"/>
        </w:rPr>
        <w:t>the</w:t>
      </w:r>
      <w:r>
        <w:rPr>
          <w:spacing w:val="-7"/>
          <w:w w:val="105"/>
          <w:sz w:val="21"/>
        </w:rPr>
        <w:t> </w:t>
      </w:r>
      <w:r>
        <w:rPr>
          <w:w w:val="105"/>
          <w:sz w:val="21"/>
        </w:rPr>
        <w:t>deceased </w:t>
      </w:r>
      <w:r>
        <w:rPr>
          <w:spacing w:val="-3"/>
          <w:w w:val="105"/>
          <w:sz w:val="21"/>
        </w:rPr>
        <w:t>person’s children </w:t>
      </w:r>
      <w:r>
        <w:rPr>
          <w:w w:val="105"/>
          <w:sz w:val="21"/>
        </w:rPr>
        <w:t>and their</w:t>
      </w:r>
      <w:r>
        <w:rPr>
          <w:spacing w:val="20"/>
          <w:w w:val="105"/>
          <w:sz w:val="21"/>
        </w:rPr>
        <w:t> </w:t>
      </w:r>
      <w:r>
        <w:rPr>
          <w:w w:val="105"/>
          <w:sz w:val="21"/>
        </w:rPr>
        <w:t>representatives.</w:t>
      </w:r>
      <w:r>
        <w:rPr>
          <w:w w:val="105"/>
          <w:position w:val="7"/>
          <w:sz w:val="12"/>
        </w:rPr>
        <w:t>270</w:t>
      </w:r>
    </w:p>
    <w:p>
      <w:pPr>
        <w:pStyle w:val="ListParagraph"/>
        <w:numPr>
          <w:ilvl w:val="1"/>
          <w:numId w:val="22"/>
        </w:numPr>
        <w:tabs>
          <w:tab w:pos="2381" w:val="left" w:leader="none"/>
          <w:tab w:pos="2382" w:val="left" w:leader="none"/>
        </w:tabs>
        <w:spacing w:line="242" w:lineRule="auto" w:before="123" w:after="0"/>
        <w:ind w:left="2381" w:right="1903" w:hanging="794"/>
        <w:jc w:val="left"/>
        <w:rPr>
          <w:sz w:val="12"/>
        </w:rPr>
      </w:pPr>
      <w:r>
        <w:rPr>
          <w:w w:val="105"/>
          <w:sz w:val="21"/>
        </w:rPr>
        <w:t>In </w:t>
      </w:r>
      <w:r>
        <w:rPr>
          <w:spacing w:val="-3"/>
          <w:w w:val="105"/>
          <w:sz w:val="21"/>
        </w:rPr>
        <w:t>consultation, </w:t>
      </w:r>
      <w:r>
        <w:rPr>
          <w:w w:val="105"/>
          <w:sz w:val="21"/>
        </w:rPr>
        <w:t>representatives of the NSW </w:t>
      </w:r>
      <w:r>
        <w:rPr>
          <w:spacing w:val="-4"/>
          <w:w w:val="105"/>
          <w:sz w:val="21"/>
        </w:rPr>
        <w:t>Trustee </w:t>
      </w:r>
      <w:r>
        <w:rPr>
          <w:w w:val="105"/>
          <w:sz w:val="21"/>
        </w:rPr>
        <w:t>and </w:t>
      </w:r>
      <w:r>
        <w:rPr>
          <w:spacing w:val="-3"/>
          <w:w w:val="105"/>
          <w:sz w:val="21"/>
        </w:rPr>
        <w:t>Guardian </w:t>
      </w:r>
      <w:r>
        <w:rPr>
          <w:w w:val="105"/>
          <w:sz w:val="21"/>
        </w:rPr>
        <w:t>expressed the view </w:t>
      </w:r>
      <w:r>
        <w:rPr>
          <w:spacing w:val="-3"/>
          <w:w w:val="105"/>
          <w:sz w:val="21"/>
        </w:rPr>
        <w:t>that</w:t>
      </w:r>
      <w:r>
        <w:rPr>
          <w:spacing w:val="-5"/>
          <w:w w:val="105"/>
          <w:sz w:val="21"/>
        </w:rPr>
        <w:t> </w:t>
      </w:r>
      <w:r>
        <w:rPr>
          <w:w w:val="105"/>
          <w:sz w:val="21"/>
        </w:rPr>
        <w:t>taking</w:t>
      </w:r>
      <w:r>
        <w:rPr>
          <w:spacing w:val="-4"/>
          <w:w w:val="105"/>
          <w:sz w:val="21"/>
        </w:rPr>
        <w:t> </w:t>
      </w:r>
      <w:r>
        <w:rPr>
          <w:spacing w:val="-3"/>
          <w:w w:val="105"/>
          <w:sz w:val="21"/>
        </w:rPr>
        <w:t>lifetime</w:t>
      </w:r>
      <w:r>
        <w:rPr>
          <w:spacing w:val="-5"/>
          <w:w w:val="105"/>
          <w:sz w:val="21"/>
        </w:rPr>
        <w:t> </w:t>
      </w:r>
      <w:r>
        <w:rPr>
          <w:w w:val="105"/>
          <w:sz w:val="21"/>
        </w:rPr>
        <w:t>benefits</w:t>
      </w:r>
      <w:r>
        <w:rPr>
          <w:spacing w:val="-4"/>
          <w:w w:val="105"/>
          <w:sz w:val="21"/>
        </w:rPr>
        <w:t> into</w:t>
      </w:r>
      <w:r>
        <w:rPr>
          <w:spacing w:val="-5"/>
          <w:w w:val="105"/>
          <w:sz w:val="21"/>
        </w:rPr>
        <w:t> </w:t>
      </w:r>
      <w:r>
        <w:rPr>
          <w:spacing w:val="-3"/>
          <w:w w:val="105"/>
          <w:sz w:val="21"/>
        </w:rPr>
        <w:t>account</w:t>
      </w:r>
      <w:r>
        <w:rPr>
          <w:spacing w:val="-4"/>
          <w:w w:val="105"/>
          <w:sz w:val="21"/>
        </w:rPr>
        <w:t> </w:t>
      </w:r>
      <w:r>
        <w:rPr>
          <w:w w:val="105"/>
          <w:sz w:val="21"/>
        </w:rPr>
        <w:t>is</w:t>
      </w:r>
      <w:r>
        <w:rPr>
          <w:spacing w:val="-5"/>
          <w:w w:val="105"/>
          <w:sz w:val="21"/>
        </w:rPr>
        <w:t> </w:t>
      </w:r>
      <w:r>
        <w:rPr>
          <w:w w:val="105"/>
          <w:sz w:val="21"/>
        </w:rPr>
        <w:t>very</w:t>
      </w:r>
      <w:r>
        <w:rPr>
          <w:spacing w:val="-4"/>
          <w:w w:val="105"/>
          <w:sz w:val="21"/>
        </w:rPr>
        <w:t> </w:t>
      </w:r>
      <w:r>
        <w:rPr>
          <w:w w:val="105"/>
          <w:sz w:val="21"/>
        </w:rPr>
        <w:t>difficult</w:t>
      </w:r>
      <w:r>
        <w:rPr>
          <w:spacing w:val="-4"/>
          <w:w w:val="105"/>
          <w:sz w:val="21"/>
        </w:rPr>
        <w:t> </w:t>
      </w:r>
      <w:r>
        <w:rPr>
          <w:w w:val="105"/>
          <w:sz w:val="21"/>
        </w:rPr>
        <w:t>and</w:t>
      </w:r>
      <w:r>
        <w:rPr>
          <w:spacing w:val="-5"/>
          <w:w w:val="105"/>
          <w:sz w:val="21"/>
        </w:rPr>
        <w:t> </w:t>
      </w:r>
      <w:r>
        <w:rPr>
          <w:spacing w:val="-3"/>
          <w:w w:val="105"/>
          <w:sz w:val="21"/>
        </w:rPr>
        <w:t>that</w:t>
      </w:r>
      <w:r>
        <w:rPr>
          <w:spacing w:val="-4"/>
          <w:w w:val="105"/>
          <w:sz w:val="21"/>
        </w:rPr>
        <w:t> </w:t>
      </w:r>
      <w:r>
        <w:rPr>
          <w:w w:val="105"/>
          <w:sz w:val="21"/>
        </w:rPr>
        <w:t>a</w:t>
      </w:r>
      <w:r>
        <w:rPr>
          <w:spacing w:val="-5"/>
          <w:w w:val="105"/>
          <w:sz w:val="21"/>
        </w:rPr>
        <w:t> </w:t>
      </w:r>
      <w:r>
        <w:rPr>
          <w:spacing w:val="-3"/>
          <w:w w:val="105"/>
          <w:sz w:val="21"/>
        </w:rPr>
        <w:t>line</w:t>
      </w:r>
      <w:r>
        <w:rPr>
          <w:spacing w:val="-4"/>
          <w:w w:val="105"/>
          <w:sz w:val="21"/>
        </w:rPr>
        <w:t> </w:t>
      </w:r>
      <w:r>
        <w:rPr>
          <w:w w:val="105"/>
          <w:sz w:val="21"/>
        </w:rPr>
        <w:t>must</w:t>
      </w:r>
      <w:r>
        <w:rPr>
          <w:spacing w:val="-5"/>
          <w:w w:val="105"/>
          <w:sz w:val="21"/>
        </w:rPr>
        <w:t> </w:t>
      </w:r>
      <w:r>
        <w:rPr>
          <w:w w:val="105"/>
          <w:sz w:val="21"/>
        </w:rPr>
        <w:t>be</w:t>
      </w:r>
      <w:r>
        <w:rPr>
          <w:spacing w:val="-4"/>
          <w:w w:val="105"/>
          <w:sz w:val="21"/>
        </w:rPr>
        <w:t> </w:t>
      </w:r>
      <w:r>
        <w:rPr>
          <w:w w:val="105"/>
          <w:sz w:val="21"/>
        </w:rPr>
        <w:t>drawn </w:t>
      </w:r>
      <w:r>
        <w:rPr>
          <w:spacing w:val="-3"/>
          <w:w w:val="105"/>
          <w:sz w:val="21"/>
        </w:rPr>
        <w:t>somewhere.</w:t>
      </w:r>
      <w:r>
        <w:rPr>
          <w:spacing w:val="-3"/>
          <w:w w:val="105"/>
          <w:position w:val="7"/>
          <w:sz w:val="12"/>
        </w:rPr>
        <w:t>271</w:t>
      </w:r>
    </w:p>
    <w:p>
      <w:pPr>
        <w:pStyle w:val="ListParagraph"/>
        <w:numPr>
          <w:ilvl w:val="1"/>
          <w:numId w:val="22"/>
        </w:numPr>
        <w:tabs>
          <w:tab w:pos="2381" w:val="left" w:leader="none"/>
          <w:tab w:pos="2382" w:val="left" w:leader="none"/>
        </w:tabs>
        <w:spacing w:line="242" w:lineRule="auto" w:before="123" w:after="0"/>
        <w:ind w:left="2381" w:right="1948" w:hanging="794"/>
        <w:jc w:val="left"/>
        <w:rPr>
          <w:sz w:val="12"/>
        </w:rPr>
      </w:pPr>
      <w:r>
        <w:rPr>
          <w:w w:val="105"/>
          <w:sz w:val="21"/>
        </w:rPr>
        <w:t>Most </w:t>
      </w:r>
      <w:r>
        <w:rPr>
          <w:spacing w:val="-3"/>
          <w:w w:val="105"/>
          <w:sz w:val="21"/>
        </w:rPr>
        <w:t>submissions </w:t>
      </w:r>
      <w:r>
        <w:rPr>
          <w:w w:val="105"/>
          <w:sz w:val="21"/>
        </w:rPr>
        <w:t>agreed with the </w:t>
      </w:r>
      <w:r>
        <w:rPr>
          <w:spacing w:val="-3"/>
          <w:w w:val="105"/>
          <w:sz w:val="21"/>
        </w:rPr>
        <w:t>National Committee that, </w:t>
      </w:r>
      <w:r>
        <w:rPr>
          <w:w w:val="105"/>
          <w:sz w:val="21"/>
        </w:rPr>
        <w:t>once </w:t>
      </w:r>
      <w:r>
        <w:rPr>
          <w:spacing w:val="-3"/>
          <w:w w:val="105"/>
          <w:sz w:val="21"/>
        </w:rPr>
        <w:t>hotchpot </w:t>
      </w:r>
      <w:r>
        <w:rPr>
          <w:w w:val="105"/>
          <w:sz w:val="21"/>
        </w:rPr>
        <w:t>was </w:t>
      </w:r>
      <w:r>
        <w:rPr>
          <w:spacing w:val="-3"/>
          <w:w w:val="105"/>
          <w:sz w:val="21"/>
        </w:rPr>
        <w:t>abolished,</w:t>
      </w:r>
      <w:r>
        <w:rPr>
          <w:spacing w:val="-9"/>
          <w:w w:val="105"/>
          <w:sz w:val="21"/>
        </w:rPr>
        <w:t> </w:t>
      </w:r>
      <w:r>
        <w:rPr>
          <w:w w:val="105"/>
          <w:sz w:val="21"/>
        </w:rPr>
        <w:t>there</w:t>
      </w:r>
      <w:r>
        <w:rPr>
          <w:spacing w:val="-8"/>
          <w:w w:val="105"/>
          <w:sz w:val="21"/>
        </w:rPr>
        <w:t> </w:t>
      </w:r>
      <w:r>
        <w:rPr>
          <w:w w:val="105"/>
          <w:sz w:val="21"/>
        </w:rPr>
        <w:t>should</w:t>
      </w:r>
      <w:r>
        <w:rPr>
          <w:spacing w:val="-9"/>
          <w:w w:val="105"/>
          <w:sz w:val="21"/>
        </w:rPr>
        <w:t> </w:t>
      </w:r>
      <w:r>
        <w:rPr>
          <w:w w:val="105"/>
          <w:sz w:val="21"/>
        </w:rPr>
        <w:t>no</w:t>
      </w:r>
      <w:r>
        <w:rPr>
          <w:spacing w:val="-8"/>
          <w:w w:val="105"/>
          <w:sz w:val="21"/>
        </w:rPr>
        <w:t> </w:t>
      </w:r>
      <w:r>
        <w:rPr>
          <w:w w:val="105"/>
          <w:sz w:val="21"/>
        </w:rPr>
        <w:t>longer</w:t>
      </w:r>
      <w:r>
        <w:rPr>
          <w:spacing w:val="-9"/>
          <w:w w:val="105"/>
          <w:sz w:val="21"/>
        </w:rPr>
        <w:t> </w:t>
      </w:r>
      <w:r>
        <w:rPr>
          <w:w w:val="105"/>
          <w:sz w:val="21"/>
        </w:rPr>
        <w:t>be</w:t>
      </w:r>
      <w:r>
        <w:rPr>
          <w:spacing w:val="-8"/>
          <w:w w:val="105"/>
          <w:sz w:val="21"/>
        </w:rPr>
        <w:t> </w:t>
      </w:r>
      <w:r>
        <w:rPr>
          <w:w w:val="105"/>
          <w:sz w:val="21"/>
        </w:rPr>
        <w:t>a</w:t>
      </w:r>
      <w:r>
        <w:rPr>
          <w:spacing w:val="-9"/>
          <w:w w:val="105"/>
          <w:sz w:val="21"/>
        </w:rPr>
        <w:t> </w:t>
      </w:r>
      <w:r>
        <w:rPr>
          <w:spacing w:val="-3"/>
          <w:w w:val="105"/>
          <w:sz w:val="21"/>
        </w:rPr>
        <w:t>requirement</w:t>
      </w:r>
      <w:r>
        <w:rPr>
          <w:spacing w:val="-8"/>
          <w:w w:val="105"/>
          <w:sz w:val="21"/>
        </w:rPr>
        <w:t> </w:t>
      </w:r>
      <w:r>
        <w:rPr>
          <w:spacing w:val="-3"/>
          <w:w w:val="105"/>
          <w:sz w:val="21"/>
        </w:rPr>
        <w:t>to</w:t>
      </w:r>
      <w:r>
        <w:rPr>
          <w:spacing w:val="-9"/>
          <w:w w:val="105"/>
          <w:sz w:val="21"/>
        </w:rPr>
        <w:t> </w:t>
      </w:r>
      <w:r>
        <w:rPr>
          <w:spacing w:val="-3"/>
          <w:w w:val="105"/>
          <w:sz w:val="21"/>
        </w:rPr>
        <w:t>take</w:t>
      </w:r>
      <w:r>
        <w:rPr>
          <w:spacing w:val="-8"/>
          <w:w w:val="105"/>
          <w:sz w:val="21"/>
        </w:rPr>
        <w:t> </w:t>
      </w:r>
      <w:r>
        <w:rPr>
          <w:w w:val="105"/>
          <w:sz w:val="21"/>
        </w:rPr>
        <w:t>testamentary</w:t>
      </w:r>
      <w:r>
        <w:rPr>
          <w:spacing w:val="-8"/>
          <w:w w:val="105"/>
          <w:sz w:val="21"/>
        </w:rPr>
        <w:t> </w:t>
      </w:r>
      <w:r>
        <w:rPr>
          <w:w w:val="105"/>
          <w:sz w:val="21"/>
        </w:rPr>
        <w:t>benefits</w:t>
      </w:r>
      <w:r>
        <w:rPr>
          <w:spacing w:val="-9"/>
          <w:w w:val="105"/>
          <w:sz w:val="21"/>
        </w:rPr>
        <w:t> </w:t>
      </w:r>
      <w:r>
        <w:rPr>
          <w:spacing w:val="-4"/>
          <w:w w:val="105"/>
          <w:sz w:val="21"/>
        </w:rPr>
        <w:t>into </w:t>
      </w:r>
      <w:r>
        <w:rPr>
          <w:spacing w:val="-3"/>
          <w:w w:val="105"/>
          <w:sz w:val="21"/>
        </w:rPr>
        <w:t>account.</w:t>
      </w:r>
      <w:r>
        <w:rPr>
          <w:spacing w:val="-3"/>
          <w:w w:val="105"/>
          <w:position w:val="7"/>
          <w:sz w:val="12"/>
        </w:rPr>
        <w:t>272 </w:t>
      </w:r>
      <w:r>
        <w:rPr>
          <w:spacing w:val="-3"/>
          <w:w w:val="105"/>
          <w:sz w:val="21"/>
        </w:rPr>
        <w:t>Again, Carolyn Sparke </w:t>
      </w:r>
      <w:r>
        <w:rPr>
          <w:w w:val="105"/>
          <w:sz w:val="21"/>
        </w:rPr>
        <w:t>SC </w:t>
      </w:r>
      <w:r>
        <w:rPr>
          <w:spacing w:val="-3"/>
          <w:w w:val="105"/>
          <w:sz w:val="21"/>
        </w:rPr>
        <w:t>considered that </w:t>
      </w:r>
      <w:r>
        <w:rPr>
          <w:w w:val="105"/>
          <w:sz w:val="21"/>
        </w:rPr>
        <w:t>the rule </w:t>
      </w:r>
      <w:r>
        <w:rPr>
          <w:spacing w:val="-3"/>
          <w:w w:val="105"/>
          <w:sz w:val="21"/>
        </w:rPr>
        <w:t>requiring </w:t>
      </w:r>
      <w:r>
        <w:rPr>
          <w:w w:val="105"/>
          <w:sz w:val="21"/>
        </w:rPr>
        <w:t>testamentary benefits </w:t>
      </w:r>
      <w:r>
        <w:rPr>
          <w:spacing w:val="-3"/>
          <w:w w:val="105"/>
          <w:sz w:val="21"/>
        </w:rPr>
        <w:t>to </w:t>
      </w:r>
      <w:r>
        <w:rPr>
          <w:w w:val="105"/>
          <w:sz w:val="21"/>
        </w:rPr>
        <w:t>be </w:t>
      </w:r>
      <w:r>
        <w:rPr>
          <w:spacing w:val="-3"/>
          <w:w w:val="105"/>
          <w:sz w:val="21"/>
        </w:rPr>
        <w:t>taken </w:t>
      </w:r>
      <w:r>
        <w:rPr>
          <w:spacing w:val="-4"/>
          <w:w w:val="105"/>
          <w:sz w:val="21"/>
        </w:rPr>
        <w:t>into </w:t>
      </w:r>
      <w:r>
        <w:rPr>
          <w:spacing w:val="-3"/>
          <w:w w:val="105"/>
          <w:sz w:val="21"/>
        </w:rPr>
        <w:t>account </w:t>
      </w:r>
      <w:r>
        <w:rPr>
          <w:w w:val="105"/>
          <w:sz w:val="21"/>
        </w:rPr>
        <w:t>when </w:t>
      </w:r>
      <w:r>
        <w:rPr>
          <w:spacing w:val="-3"/>
          <w:w w:val="105"/>
          <w:sz w:val="21"/>
        </w:rPr>
        <w:t>determining shares </w:t>
      </w:r>
      <w:r>
        <w:rPr>
          <w:w w:val="105"/>
          <w:sz w:val="21"/>
        </w:rPr>
        <w:t>on intestacy should be </w:t>
      </w:r>
      <w:r>
        <w:rPr>
          <w:spacing w:val="-3"/>
          <w:w w:val="105"/>
          <w:sz w:val="21"/>
        </w:rPr>
        <w:t>retained</w:t>
      </w:r>
      <w:r>
        <w:rPr>
          <w:spacing w:val="-14"/>
          <w:w w:val="105"/>
          <w:sz w:val="21"/>
        </w:rPr>
        <w:t> </w:t>
      </w:r>
      <w:r>
        <w:rPr>
          <w:w w:val="105"/>
          <w:sz w:val="21"/>
        </w:rPr>
        <w:t>and</w:t>
      </w:r>
      <w:r>
        <w:rPr>
          <w:spacing w:val="-13"/>
          <w:w w:val="105"/>
          <w:sz w:val="21"/>
        </w:rPr>
        <w:t> </w:t>
      </w:r>
      <w:r>
        <w:rPr>
          <w:w w:val="105"/>
          <w:sz w:val="21"/>
        </w:rPr>
        <w:t>extended</w:t>
      </w:r>
      <w:r>
        <w:rPr>
          <w:spacing w:val="-13"/>
          <w:w w:val="105"/>
          <w:sz w:val="21"/>
        </w:rPr>
        <w:t> </w:t>
      </w:r>
      <w:r>
        <w:rPr>
          <w:w w:val="105"/>
          <w:sz w:val="21"/>
        </w:rPr>
        <w:t>beyond</w:t>
      </w:r>
      <w:r>
        <w:rPr>
          <w:spacing w:val="-13"/>
          <w:w w:val="105"/>
          <w:sz w:val="21"/>
        </w:rPr>
        <w:t> </w:t>
      </w:r>
      <w:r>
        <w:rPr>
          <w:w w:val="105"/>
          <w:sz w:val="21"/>
        </w:rPr>
        <w:t>the</w:t>
      </w:r>
      <w:r>
        <w:rPr>
          <w:spacing w:val="-13"/>
          <w:w w:val="105"/>
          <w:sz w:val="21"/>
        </w:rPr>
        <w:t> </w:t>
      </w:r>
      <w:r>
        <w:rPr>
          <w:w w:val="105"/>
          <w:sz w:val="21"/>
        </w:rPr>
        <w:t>deceased</w:t>
      </w:r>
      <w:r>
        <w:rPr>
          <w:spacing w:val="-14"/>
          <w:w w:val="105"/>
          <w:sz w:val="21"/>
        </w:rPr>
        <w:t> </w:t>
      </w:r>
      <w:r>
        <w:rPr>
          <w:spacing w:val="-3"/>
          <w:w w:val="105"/>
          <w:sz w:val="21"/>
        </w:rPr>
        <w:t>person’s</w:t>
      </w:r>
      <w:r>
        <w:rPr>
          <w:spacing w:val="-13"/>
          <w:w w:val="105"/>
          <w:sz w:val="21"/>
        </w:rPr>
        <w:t> </w:t>
      </w:r>
      <w:r>
        <w:rPr>
          <w:spacing w:val="-3"/>
          <w:w w:val="105"/>
          <w:sz w:val="21"/>
        </w:rPr>
        <w:t>children</w:t>
      </w:r>
      <w:r>
        <w:rPr>
          <w:spacing w:val="-13"/>
          <w:w w:val="105"/>
          <w:sz w:val="21"/>
        </w:rPr>
        <w:t> </w:t>
      </w:r>
      <w:r>
        <w:rPr>
          <w:w w:val="105"/>
          <w:sz w:val="21"/>
        </w:rPr>
        <w:t>and</w:t>
      </w:r>
      <w:r>
        <w:rPr>
          <w:spacing w:val="-13"/>
          <w:w w:val="105"/>
          <w:sz w:val="21"/>
        </w:rPr>
        <w:t> </w:t>
      </w:r>
      <w:r>
        <w:rPr>
          <w:w w:val="105"/>
          <w:sz w:val="21"/>
        </w:rPr>
        <w:t>representatives.</w:t>
      </w:r>
      <w:r>
        <w:rPr>
          <w:w w:val="105"/>
          <w:position w:val="7"/>
          <w:sz w:val="12"/>
        </w:rPr>
        <w:t>273</w:t>
      </w:r>
    </w:p>
    <w:p>
      <w:pPr>
        <w:pStyle w:val="ListParagraph"/>
        <w:numPr>
          <w:ilvl w:val="1"/>
          <w:numId w:val="22"/>
        </w:numPr>
        <w:tabs>
          <w:tab w:pos="2381" w:val="left" w:leader="none"/>
          <w:tab w:pos="2382" w:val="left" w:leader="none"/>
        </w:tabs>
        <w:spacing w:line="242" w:lineRule="auto" w:before="126" w:after="0"/>
        <w:ind w:left="2381" w:right="1812" w:hanging="794"/>
        <w:jc w:val="left"/>
        <w:rPr>
          <w:sz w:val="21"/>
        </w:rPr>
      </w:pPr>
      <w:r>
        <w:rPr>
          <w:sz w:val="21"/>
        </w:rPr>
        <w:t>The </w:t>
      </w:r>
      <w:r>
        <w:rPr>
          <w:spacing w:val="-3"/>
          <w:sz w:val="21"/>
        </w:rPr>
        <w:t>Commission </w:t>
      </w:r>
      <w:r>
        <w:rPr>
          <w:sz w:val="21"/>
        </w:rPr>
        <w:t>considers </w:t>
      </w:r>
      <w:r>
        <w:rPr>
          <w:spacing w:val="-3"/>
          <w:sz w:val="21"/>
        </w:rPr>
        <w:t>that, </w:t>
      </w:r>
      <w:r>
        <w:rPr>
          <w:sz w:val="21"/>
        </w:rPr>
        <w:t>in order </w:t>
      </w:r>
      <w:r>
        <w:rPr>
          <w:spacing w:val="-3"/>
          <w:sz w:val="21"/>
        </w:rPr>
        <w:t>to promote national </w:t>
      </w:r>
      <w:r>
        <w:rPr>
          <w:sz w:val="21"/>
        </w:rPr>
        <w:t>consistency and in the absence of strong </w:t>
      </w:r>
      <w:r>
        <w:rPr>
          <w:spacing w:val="-3"/>
          <w:sz w:val="21"/>
        </w:rPr>
        <w:t>reasons to </w:t>
      </w:r>
      <w:r>
        <w:rPr>
          <w:sz w:val="21"/>
        </w:rPr>
        <w:t>the </w:t>
      </w:r>
      <w:r>
        <w:rPr>
          <w:spacing w:val="-3"/>
          <w:sz w:val="21"/>
        </w:rPr>
        <w:t>contrary, </w:t>
      </w:r>
      <w:r>
        <w:rPr>
          <w:sz w:val="21"/>
        </w:rPr>
        <w:t>there should no longer be a </w:t>
      </w:r>
      <w:r>
        <w:rPr>
          <w:spacing w:val="-3"/>
          <w:sz w:val="21"/>
        </w:rPr>
        <w:t>requirement  to  take lifetime </w:t>
      </w:r>
      <w:r>
        <w:rPr>
          <w:sz w:val="21"/>
        </w:rPr>
        <w:t>and testamentary benefits received by a </w:t>
      </w:r>
      <w:r>
        <w:rPr>
          <w:spacing w:val="-3"/>
          <w:sz w:val="21"/>
        </w:rPr>
        <w:t>child </w:t>
      </w:r>
      <w:r>
        <w:rPr>
          <w:sz w:val="21"/>
        </w:rPr>
        <w:t>of the deceased person </w:t>
      </w:r>
      <w:r>
        <w:rPr>
          <w:spacing w:val="-4"/>
          <w:sz w:val="21"/>
        </w:rPr>
        <w:t>into </w:t>
      </w:r>
      <w:r>
        <w:rPr>
          <w:spacing w:val="-3"/>
          <w:sz w:val="21"/>
        </w:rPr>
        <w:t>account </w:t>
      </w:r>
      <w:r>
        <w:rPr>
          <w:sz w:val="21"/>
        </w:rPr>
        <w:t>when </w:t>
      </w:r>
      <w:r>
        <w:rPr>
          <w:spacing w:val="-3"/>
          <w:sz w:val="21"/>
        </w:rPr>
        <w:t>determining that child’s, </w:t>
      </w:r>
      <w:r>
        <w:rPr>
          <w:sz w:val="21"/>
        </w:rPr>
        <w:t>or their </w:t>
      </w:r>
      <w:r>
        <w:rPr>
          <w:spacing w:val="-4"/>
          <w:sz w:val="21"/>
        </w:rPr>
        <w:t>representatives’, </w:t>
      </w:r>
      <w:r>
        <w:rPr>
          <w:spacing w:val="-3"/>
          <w:sz w:val="21"/>
        </w:rPr>
        <w:t>share </w:t>
      </w:r>
      <w:r>
        <w:rPr>
          <w:sz w:val="21"/>
        </w:rPr>
        <w:t>on </w:t>
      </w:r>
      <w:r>
        <w:rPr>
          <w:spacing w:val="-3"/>
          <w:sz w:val="21"/>
        </w:rPr>
        <w:t>intestacy. </w:t>
      </w:r>
      <w:r>
        <w:rPr>
          <w:sz w:val="21"/>
        </w:rPr>
        <w:t>This should be </w:t>
      </w:r>
      <w:r>
        <w:rPr>
          <w:spacing w:val="-3"/>
          <w:sz w:val="21"/>
        </w:rPr>
        <w:t>achieved </w:t>
      </w:r>
      <w:r>
        <w:rPr>
          <w:sz w:val="21"/>
        </w:rPr>
        <w:t>by </w:t>
      </w:r>
      <w:r>
        <w:rPr>
          <w:spacing w:val="-3"/>
          <w:sz w:val="21"/>
        </w:rPr>
        <w:t>way </w:t>
      </w:r>
      <w:r>
        <w:rPr>
          <w:sz w:val="21"/>
        </w:rPr>
        <w:t>of a specific </w:t>
      </w:r>
      <w:r>
        <w:rPr>
          <w:spacing w:val="-3"/>
          <w:sz w:val="21"/>
        </w:rPr>
        <w:t>legislative provision, </w:t>
      </w:r>
      <w:r>
        <w:rPr>
          <w:sz w:val="21"/>
        </w:rPr>
        <w:t>in the </w:t>
      </w:r>
      <w:r>
        <w:rPr>
          <w:spacing w:val="-3"/>
          <w:sz w:val="21"/>
        </w:rPr>
        <w:t>terms  </w:t>
      </w:r>
      <w:r>
        <w:rPr>
          <w:sz w:val="21"/>
        </w:rPr>
        <w:t>recommended  by the </w:t>
      </w:r>
      <w:r>
        <w:rPr>
          <w:spacing w:val="-3"/>
          <w:sz w:val="21"/>
        </w:rPr>
        <w:t>National Committee </w:t>
      </w:r>
      <w:r>
        <w:rPr>
          <w:sz w:val="21"/>
        </w:rPr>
        <w:t>and </w:t>
      </w:r>
      <w:r>
        <w:rPr>
          <w:spacing w:val="-3"/>
          <w:sz w:val="21"/>
        </w:rPr>
        <w:t>implemented </w:t>
      </w:r>
      <w:r>
        <w:rPr>
          <w:sz w:val="21"/>
        </w:rPr>
        <w:t>in New South </w:t>
      </w:r>
      <w:r>
        <w:rPr>
          <w:spacing w:val="-3"/>
          <w:sz w:val="21"/>
        </w:rPr>
        <w:t>Wales </w:t>
      </w:r>
      <w:r>
        <w:rPr>
          <w:sz w:val="21"/>
        </w:rPr>
        <w:t>and</w:t>
      </w:r>
      <w:r>
        <w:rPr>
          <w:spacing w:val="38"/>
          <w:sz w:val="21"/>
        </w:rPr>
        <w:t> </w:t>
      </w:r>
      <w:r>
        <w:rPr>
          <w:spacing w:val="-4"/>
          <w:sz w:val="21"/>
        </w:rPr>
        <w:t>Tasmania.</w:t>
      </w:r>
    </w:p>
    <w:p>
      <w:pPr>
        <w:pStyle w:val="BodyText"/>
        <w:rPr>
          <w:sz w:val="16"/>
        </w:rPr>
      </w:pPr>
      <w:r>
        <w:rPr/>
        <w:pict>
          <v:group style="position:absolute;margin-left:62.362202pt;margin-top:11.723707pt;width:479.1pt;height:134.550pt;mso-position-horizontal-relative:page;mso-position-vertical-relative:paragraph;z-index:6080;mso-wrap-distance-left:0;mso-wrap-distance-right:0" coordorigin="1247,234" coordsize="9582,2691">
            <v:rect style="position:absolute;left:1587;top:234;width:8731;height:2691" filled="true" fillcolor="#fdebea" stroked="false">
              <v:fill type="solid"/>
            </v:rect>
            <v:line style="position:absolute" from="1247,985" to="10828,985" stroked="true" strokeweight="2.5pt" strokecolor="#ffffff">
              <v:stroke dashstyle="solid"/>
            </v:line>
            <v:shape style="position:absolute;left:2381;top:1222;width:7683;height:1530" type="#_x0000_t202" filled="false" stroked="false">
              <v:textbox inset="0,0,0,0">
                <w:txbxContent>
                  <w:p>
                    <w:pPr>
                      <w:spacing w:line="242" w:lineRule="auto" w:before="0"/>
                      <w:ind w:left="0" w:right="18" w:hanging="1"/>
                      <w:jc w:val="left"/>
                      <w:rPr>
                        <w:sz w:val="21"/>
                      </w:rPr>
                    </w:pPr>
                    <w:r>
                      <w:rPr>
                        <w:w w:val="105"/>
                        <w:sz w:val="21"/>
                      </w:rPr>
                      <w:t>The </w:t>
                    </w:r>
                    <w:r>
                      <w:rPr>
                        <w:rFonts w:ascii="Lucida Sans"/>
                        <w:i/>
                        <w:w w:val="105"/>
                        <w:sz w:val="21"/>
                      </w:rPr>
                      <w:t>Administration and Probate Act </w:t>
                    </w:r>
                    <w:r>
                      <w:rPr>
                        <w:rFonts w:ascii="Lucida Sans"/>
                        <w:i/>
                        <w:spacing w:val="-4"/>
                        <w:w w:val="105"/>
                        <w:sz w:val="21"/>
                      </w:rPr>
                      <w:t>1958 </w:t>
                    </w:r>
                    <w:r>
                      <w:rPr>
                        <w:w w:val="105"/>
                        <w:sz w:val="21"/>
                      </w:rPr>
                      <w:t>(Vic) should be amended to provide that the distribution of an  intestate  estate  is  not  affected  by  dispositions  made by the deceased</w:t>
                    </w:r>
                    <w:r>
                      <w:rPr>
                        <w:spacing w:val="21"/>
                        <w:w w:val="105"/>
                        <w:sz w:val="21"/>
                      </w:rPr>
                      <w:t> </w:t>
                    </w:r>
                    <w:r>
                      <w:rPr>
                        <w:w w:val="105"/>
                        <w:sz w:val="21"/>
                      </w:rPr>
                      <w:t>person:</w:t>
                    </w:r>
                  </w:p>
                  <w:p>
                    <w:pPr>
                      <w:numPr>
                        <w:ilvl w:val="0"/>
                        <w:numId w:val="75"/>
                      </w:numPr>
                      <w:tabs>
                        <w:tab w:pos="340" w:val="left" w:leader="none"/>
                        <w:tab w:pos="341" w:val="left" w:leader="none"/>
                      </w:tabs>
                      <w:spacing w:before="116"/>
                      <w:ind w:left="340" w:right="0" w:hanging="340"/>
                      <w:jc w:val="left"/>
                      <w:rPr>
                        <w:sz w:val="21"/>
                      </w:rPr>
                    </w:pPr>
                    <w:r>
                      <w:rPr>
                        <w:w w:val="115"/>
                        <w:sz w:val="21"/>
                      </w:rPr>
                      <w:t>during the deceased person’s lifetime,</w:t>
                    </w:r>
                    <w:r>
                      <w:rPr>
                        <w:spacing w:val="-2"/>
                        <w:w w:val="115"/>
                        <w:sz w:val="21"/>
                      </w:rPr>
                      <w:t> </w:t>
                    </w:r>
                    <w:r>
                      <w:rPr>
                        <w:w w:val="115"/>
                        <w:sz w:val="21"/>
                      </w:rPr>
                      <w:t>or</w:t>
                    </w:r>
                  </w:p>
                  <w:p>
                    <w:pPr>
                      <w:numPr>
                        <w:ilvl w:val="0"/>
                        <w:numId w:val="75"/>
                      </w:numPr>
                      <w:tabs>
                        <w:tab w:pos="340" w:val="left" w:leader="none"/>
                        <w:tab w:pos="341" w:val="left" w:leader="none"/>
                      </w:tabs>
                      <w:spacing w:line="252" w:lineRule="exact" w:before="124"/>
                      <w:ind w:left="340" w:right="0" w:hanging="340"/>
                      <w:jc w:val="left"/>
                      <w:rPr>
                        <w:sz w:val="21"/>
                      </w:rPr>
                    </w:pPr>
                    <w:r>
                      <w:rPr>
                        <w:w w:val="115"/>
                        <w:sz w:val="21"/>
                      </w:rPr>
                      <w:t>in the case of a partial intestacy, by</w:t>
                    </w:r>
                    <w:r>
                      <w:rPr>
                        <w:spacing w:val="2"/>
                        <w:w w:val="115"/>
                        <w:sz w:val="21"/>
                      </w:rPr>
                      <w:t> </w:t>
                    </w:r>
                    <w:r>
                      <w:rPr>
                        <w:spacing w:val="-3"/>
                        <w:w w:val="115"/>
                        <w:sz w:val="21"/>
                      </w:rPr>
                      <w:t>will.</w:t>
                    </w:r>
                  </w:p>
                </w:txbxContent>
              </v:textbox>
              <w10:wrap type="none"/>
            </v:shape>
            <v:shape style="position:absolute;left:1814;top:1222;width:252;height:249" type="#_x0000_t202" filled="false" stroked="false">
              <v:textbox inset="0,0,0,0">
                <w:txbxContent>
                  <w:p>
                    <w:pPr>
                      <w:spacing w:line="249" w:lineRule="exact" w:before="0"/>
                      <w:ind w:left="0" w:right="0" w:firstLine="0"/>
                      <w:jc w:val="left"/>
                      <w:rPr>
                        <w:sz w:val="21"/>
                      </w:rPr>
                    </w:pPr>
                    <w:r>
                      <w:rPr>
                        <w:w w:val="110"/>
                        <w:sz w:val="21"/>
                      </w:rPr>
                      <w:t>35</w:t>
                    </w:r>
                  </w:p>
                </w:txbxContent>
              </v:textbox>
              <w10:wrap type="none"/>
            </v:shape>
            <v:shape style="position:absolute;left:1587;top:234;width:8731;height:726" type="#_x0000_t202" filled="true" fillcolor="#fdebea" stroked="false">
              <v:textbox inset="0,0,0,0">
                <w:txbxContent>
                  <w:p>
                    <w:pPr>
                      <w:spacing w:before="166"/>
                      <w:ind w:left="226" w:right="0" w:firstLine="0"/>
                      <w:jc w:val="left"/>
                      <w:rPr>
                        <w:b/>
                        <w:sz w:val="32"/>
                      </w:rPr>
                    </w:pPr>
                    <w:r>
                      <w:rPr>
                        <w:b/>
                        <w:color w:val="EC5A4F"/>
                        <w:w w:val="110"/>
                        <w:sz w:val="32"/>
                      </w:rPr>
                      <w:t>Recommendation</w:t>
                    </w:r>
                  </w:p>
                </w:txbxContent>
              </v:textbox>
              <v:fill type="solid"/>
              <w10:wrap type="none"/>
            </v:shap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2"/>
        </w:rPr>
      </w:pPr>
      <w:r>
        <w:rPr/>
        <w:pict>
          <v:line style="position:absolute;mso-position-horizontal-relative:page;mso-position-vertical-relative:paragraph;z-index:6104;mso-wrap-distance-left:0;mso-wrap-distance-right:0" from="79.370102pt,10.05335pt" to="515.905102pt,10.05335pt" stroked="true" strokeweight="1pt" strokecolor="#f9ceca">
            <v:stroke dashstyle="solid"/>
            <w10:wrap type="topAndBottom"/>
          </v:line>
        </w:pict>
      </w:r>
    </w:p>
    <w:p>
      <w:pPr>
        <w:spacing w:before="117"/>
        <w:ind w:left="2381" w:right="1619" w:firstLine="0"/>
        <w:jc w:val="left"/>
        <w:rPr>
          <w:sz w:val="13"/>
        </w:rPr>
      </w:pPr>
      <w:r>
        <w:rPr>
          <w:w w:val="105"/>
          <w:sz w:val="13"/>
        </w:rPr>
        <w:t>Submissions 8 (Patricia Strachan); 14 (Commercial Bar Association); 19 (Association of Independent Retirees); 25 (Moores Legal); 26 (Rigby Cooke Lawyers); 30b (Law Institute of Victoria); 33 (State Trustees Limited); 36 (Law Society of New South Wales); 40 (Janice Brownfoot). Submission 14 (Commercial Bar Association).</w:t>
      </w:r>
    </w:p>
    <w:p>
      <w:pPr>
        <w:spacing w:before="4"/>
        <w:ind w:left="2381" w:right="7228" w:firstLine="0"/>
        <w:jc w:val="left"/>
        <w:rPr>
          <w:sz w:val="13"/>
        </w:rPr>
      </w:pPr>
      <w:r>
        <w:rPr/>
        <w:pict>
          <v:shape style="position:absolute;margin-left:34.321079pt;margin-top:-23.537031pt;width:57.75pt;height:73.55pt;mso-position-horizontal-relative:page;mso-position-vertical-relative:paragraph;z-index:8176"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99"/>
                    <w:gridCol w:w="555"/>
                  </w:tblGrid>
                  <w:tr>
                    <w:trPr>
                      <w:trHeight w:val="235" w:hRule="atLeast"/>
                    </w:trPr>
                    <w:tc>
                      <w:tcPr>
                        <w:tcW w:w="599" w:type="dxa"/>
                        <w:vMerge w:val="restart"/>
                      </w:tcPr>
                      <w:p>
                        <w:pPr>
                          <w:pStyle w:val="TableParagraph"/>
                          <w:spacing w:line="240" w:lineRule="auto"/>
                          <w:rPr>
                            <w:rFonts w:ascii="Times New Roman"/>
                            <w:sz w:val="18"/>
                          </w:rPr>
                        </w:pPr>
                      </w:p>
                    </w:tc>
                    <w:tc>
                      <w:tcPr>
                        <w:tcW w:w="555" w:type="dxa"/>
                      </w:tcPr>
                      <w:p>
                        <w:pPr>
                          <w:pStyle w:val="TableParagraph"/>
                          <w:spacing w:line="153" w:lineRule="exact"/>
                          <w:ind w:right="33"/>
                          <w:jc w:val="right"/>
                          <w:rPr>
                            <w:sz w:val="13"/>
                          </w:rPr>
                        </w:pPr>
                        <w:r>
                          <w:rPr>
                            <w:w w:val="105"/>
                            <w:sz w:val="13"/>
                          </w:rPr>
                          <w:t>267</w:t>
                        </w:r>
                      </w:p>
                    </w:tc>
                  </w:tr>
                  <w:tr>
                    <w:trPr>
                      <w:trHeight w:val="240" w:hRule="atLeast"/>
                    </w:trPr>
                    <w:tc>
                      <w:tcPr>
                        <w:tcW w:w="599" w:type="dxa"/>
                        <w:vMerge/>
                        <w:tcBorders>
                          <w:top w:val="nil"/>
                        </w:tcBorders>
                      </w:tcPr>
                      <w:p>
                        <w:pPr>
                          <w:rPr>
                            <w:sz w:val="2"/>
                            <w:szCs w:val="2"/>
                          </w:rPr>
                        </w:pPr>
                      </w:p>
                    </w:tc>
                    <w:tc>
                      <w:tcPr>
                        <w:tcW w:w="555" w:type="dxa"/>
                      </w:tcPr>
                      <w:p>
                        <w:pPr>
                          <w:pStyle w:val="TableParagraph"/>
                          <w:spacing w:line="141" w:lineRule="exact" w:before="79"/>
                          <w:ind w:right="31"/>
                          <w:jc w:val="right"/>
                          <w:rPr>
                            <w:sz w:val="13"/>
                          </w:rPr>
                        </w:pPr>
                        <w:r>
                          <w:rPr>
                            <w:w w:val="110"/>
                            <w:sz w:val="13"/>
                          </w:rPr>
                          <w:t>268</w:t>
                        </w:r>
                      </w:p>
                    </w:tc>
                  </w:tr>
                  <w:tr>
                    <w:trPr>
                      <w:trHeight w:val="160" w:hRule="atLeast"/>
                    </w:trPr>
                    <w:tc>
                      <w:tcPr>
                        <w:tcW w:w="599" w:type="dxa"/>
                        <w:vMerge/>
                        <w:tcBorders>
                          <w:top w:val="nil"/>
                        </w:tcBorders>
                      </w:tcPr>
                      <w:p>
                        <w:pPr>
                          <w:rPr>
                            <w:sz w:val="2"/>
                            <w:szCs w:val="2"/>
                          </w:rPr>
                        </w:pPr>
                      </w:p>
                    </w:tc>
                    <w:tc>
                      <w:tcPr>
                        <w:tcW w:w="555" w:type="dxa"/>
                      </w:tcPr>
                      <w:p>
                        <w:pPr>
                          <w:pStyle w:val="TableParagraph"/>
                          <w:ind w:right="34"/>
                          <w:jc w:val="right"/>
                          <w:rPr>
                            <w:sz w:val="13"/>
                          </w:rPr>
                        </w:pPr>
                        <w:r>
                          <w:rPr>
                            <w:w w:val="110"/>
                            <w:sz w:val="13"/>
                          </w:rPr>
                          <w:t>269</w:t>
                        </w:r>
                      </w:p>
                    </w:tc>
                  </w:tr>
                  <w:tr>
                    <w:trPr>
                      <w:trHeight w:val="160" w:hRule="atLeast"/>
                    </w:trPr>
                    <w:tc>
                      <w:tcPr>
                        <w:tcW w:w="599" w:type="dxa"/>
                        <w:vMerge/>
                        <w:tcBorders>
                          <w:top w:val="nil"/>
                        </w:tcBorders>
                      </w:tcPr>
                      <w:p>
                        <w:pPr>
                          <w:rPr>
                            <w:sz w:val="2"/>
                            <w:szCs w:val="2"/>
                          </w:rPr>
                        </w:pPr>
                      </w:p>
                    </w:tc>
                    <w:tc>
                      <w:tcPr>
                        <w:tcW w:w="555" w:type="dxa"/>
                      </w:tcPr>
                      <w:p>
                        <w:pPr>
                          <w:pStyle w:val="TableParagraph"/>
                          <w:ind w:right="36"/>
                          <w:jc w:val="right"/>
                          <w:rPr>
                            <w:sz w:val="13"/>
                          </w:rPr>
                        </w:pPr>
                        <w:r>
                          <w:rPr>
                            <w:w w:val="110"/>
                            <w:sz w:val="13"/>
                          </w:rPr>
                          <w:t>270</w:t>
                        </w:r>
                      </w:p>
                    </w:tc>
                  </w:tr>
                  <w:tr>
                    <w:trPr>
                      <w:trHeight w:val="160" w:hRule="atLeast"/>
                    </w:trPr>
                    <w:tc>
                      <w:tcPr>
                        <w:tcW w:w="599" w:type="dxa"/>
                        <w:vMerge/>
                        <w:tcBorders>
                          <w:top w:val="nil"/>
                        </w:tcBorders>
                      </w:tcPr>
                      <w:p>
                        <w:pPr>
                          <w:rPr>
                            <w:sz w:val="2"/>
                            <w:szCs w:val="2"/>
                          </w:rPr>
                        </w:pPr>
                      </w:p>
                    </w:tc>
                    <w:tc>
                      <w:tcPr>
                        <w:tcW w:w="555" w:type="dxa"/>
                      </w:tcPr>
                      <w:p>
                        <w:pPr>
                          <w:pStyle w:val="TableParagraph"/>
                          <w:ind w:right="42"/>
                          <w:jc w:val="right"/>
                          <w:rPr>
                            <w:sz w:val="13"/>
                          </w:rPr>
                        </w:pPr>
                        <w:r>
                          <w:rPr>
                            <w:w w:val="110"/>
                            <w:sz w:val="13"/>
                          </w:rPr>
                          <w:t>271</w:t>
                        </w:r>
                      </w:p>
                    </w:tc>
                  </w:tr>
                  <w:tr>
                    <w:trPr>
                      <w:trHeight w:val="192" w:hRule="atLeast"/>
                    </w:trPr>
                    <w:tc>
                      <w:tcPr>
                        <w:tcW w:w="599" w:type="dxa"/>
                        <w:vMerge/>
                        <w:tcBorders>
                          <w:top w:val="nil"/>
                        </w:tcBorders>
                      </w:tcPr>
                      <w:p>
                        <w:pPr>
                          <w:rPr>
                            <w:sz w:val="2"/>
                            <w:szCs w:val="2"/>
                          </w:rPr>
                        </w:pPr>
                      </w:p>
                    </w:tc>
                    <w:tc>
                      <w:tcPr>
                        <w:tcW w:w="555" w:type="dxa"/>
                      </w:tcPr>
                      <w:p>
                        <w:pPr>
                          <w:pStyle w:val="TableParagraph"/>
                          <w:spacing w:line="158" w:lineRule="exact"/>
                          <w:ind w:right="36"/>
                          <w:jc w:val="right"/>
                          <w:rPr>
                            <w:sz w:val="13"/>
                          </w:rPr>
                        </w:pPr>
                        <w:r>
                          <w:rPr>
                            <w:w w:val="110"/>
                            <w:sz w:val="13"/>
                          </w:rPr>
                          <w:t>272</w:t>
                        </w:r>
                      </w:p>
                    </w:tc>
                  </w:tr>
                  <w:tr>
                    <w:trPr>
                      <w:trHeight w:val="321" w:hRule="atLeast"/>
                    </w:trPr>
                    <w:tc>
                      <w:tcPr>
                        <w:tcW w:w="599" w:type="dxa"/>
                      </w:tcPr>
                      <w:p>
                        <w:pPr>
                          <w:pStyle w:val="TableParagraph"/>
                          <w:spacing w:line="266" w:lineRule="exact" w:before="36"/>
                          <w:ind w:left="33"/>
                          <w:rPr>
                            <w:b/>
                            <w:sz w:val="24"/>
                          </w:rPr>
                        </w:pPr>
                        <w:r>
                          <w:rPr>
                            <w:b/>
                            <w:color w:val="EC5A4F"/>
                            <w:w w:val="110"/>
                            <w:sz w:val="24"/>
                          </w:rPr>
                          <w:t>92</w:t>
                        </w:r>
                      </w:p>
                    </w:tc>
                    <w:tc>
                      <w:tcPr>
                        <w:tcW w:w="555" w:type="dxa"/>
                      </w:tcPr>
                      <w:p>
                        <w:pPr>
                          <w:pStyle w:val="TableParagraph"/>
                          <w:spacing w:line="240" w:lineRule="auto" w:before="4"/>
                          <w:rPr>
                            <w:sz w:val="10"/>
                          </w:rPr>
                        </w:pPr>
                      </w:p>
                      <w:p>
                        <w:pPr>
                          <w:pStyle w:val="TableParagraph"/>
                          <w:spacing w:line="240" w:lineRule="auto"/>
                          <w:ind w:right="35"/>
                          <w:jc w:val="right"/>
                          <w:rPr>
                            <w:sz w:val="13"/>
                          </w:rPr>
                        </w:pPr>
                        <w:r>
                          <w:rPr>
                            <w:w w:val="110"/>
                            <w:sz w:val="13"/>
                          </w:rPr>
                          <w:t>273</w:t>
                        </w:r>
                      </w:p>
                    </w:tc>
                  </w:tr>
                </w:tbl>
                <w:p>
                  <w:pPr>
                    <w:pStyle w:val="BodyText"/>
                  </w:pPr>
                </w:p>
              </w:txbxContent>
            </v:textbox>
            <w10:wrap type="none"/>
          </v:shape>
        </w:pict>
      </w:r>
      <w:r>
        <w:rPr>
          <w:w w:val="105"/>
          <w:sz w:val="13"/>
        </w:rPr>
        <w:t>Submission 25 (Moores Legal). Submission 39 (Carolyn Sparke SC).</w:t>
      </w:r>
    </w:p>
    <w:p>
      <w:pPr>
        <w:spacing w:before="3"/>
        <w:ind w:left="2381" w:right="0" w:firstLine="0"/>
        <w:jc w:val="left"/>
        <w:rPr>
          <w:sz w:val="13"/>
        </w:rPr>
      </w:pPr>
      <w:r>
        <w:rPr>
          <w:w w:val="105"/>
          <w:sz w:val="13"/>
        </w:rPr>
        <w:t>Consultation 9 (NSW Trustee and Guardian).</w:t>
      </w:r>
    </w:p>
    <w:p>
      <w:pPr>
        <w:spacing w:before="1"/>
        <w:ind w:left="2381" w:right="2010" w:firstLine="0"/>
        <w:jc w:val="left"/>
        <w:rPr>
          <w:sz w:val="13"/>
        </w:rPr>
      </w:pPr>
      <w:r>
        <w:rPr>
          <w:w w:val="105"/>
          <w:sz w:val="13"/>
        </w:rPr>
        <w:t>Submissions 14 (Commercial Bar Association); 19 (Association of Independent Retirees); 25 (Moores Legal); 26 (Rigby Cooke Lawyers); 30b (Law Institute of Victoria); 33 (State Trustees Limited); 40 (Janice Brownfoot).</w:t>
      </w:r>
    </w:p>
    <w:p>
      <w:pPr>
        <w:spacing w:before="3"/>
        <w:ind w:left="2381" w:right="0" w:firstLine="0"/>
        <w:jc w:val="left"/>
        <w:rPr>
          <w:sz w:val="13"/>
        </w:rPr>
      </w:pPr>
      <w:r>
        <w:rPr>
          <w:w w:val="105"/>
          <w:sz w:val="13"/>
        </w:rPr>
        <w:t>Submission 39 (Carolyn Sparke SC).</w:t>
      </w:r>
    </w:p>
    <w:p>
      <w:pPr>
        <w:spacing w:after="0"/>
        <w:jc w:val="left"/>
        <w:rPr>
          <w:sz w:val="13"/>
        </w:rPr>
        <w:sectPr>
          <w:pgSz w:w="11910" w:h="16840"/>
          <w:pgMar w:header="550" w:footer="0" w:top="1560" w:bottom="280" w:left="0" w:right="0"/>
        </w:sectPr>
      </w:pPr>
    </w:p>
    <w:p>
      <w:pPr>
        <w:pStyle w:val="BodyText"/>
        <w:rPr>
          <w:sz w:val="20"/>
        </w:rPr>
      </w:pPr>
    </w:p>
    <w:p>
      <w:pPr>
        <w:pStyle w:val="BodyText"/>
        <w:spacing w:before="6"/>
        <w:rPr>
          <w:sz w:val="17"/>
        </w:rPr>
      </w:pPr>
    </w:p>
    <w:p>
      <w:pPr>
        <w:pStyle w:val="Heading4"/>
        <w:spacing w:before="99"/>
      </w:pPr>
      <w:bookmarkStart w:name="_TOC_250030" w:id="90"/>
      <w:bookmarkStart w:name="Intestate estates of Indigenous people" w:id="91"/>
      <w:r>
        <w:rPr>
          <w:b w:val="0"/>
        </w:rPr>
      </w:r>
      <w:bookmarkEnd w:id="90"/>
      <w:r>
        <w:rPr>
          <w:color w:val="EC5A4F"/>
          <w:w w:val="115"/>
        </w:rPr>
        <w:t>Intestate estates of Indigenous people</w:t>
      </w:r>
    </w:p>
    <w:p>
      <w:pPr>
        <w:pStyle w:val="Heading5"/>
        <w:spacing w:before="166"/>
      </w:pPr>
      <w:bookmarkStart w:name="_TOC_250029" w:id="92"/>
      <w:bookmarkEnd w:id="92"/>
      <w:r>
        <w:rPr>
          <w:w w:val="110"/>
        </w:rPr>
        <w:t>The problem</w:t>
      </w:r>
    </w:p>
    <w:p>
      <w:pPr>
        <w:pStyle w:val="ListParagraph"/>
        <w:numPr>
          <w:ilvl w:val="1"/>
          <w:numId w:val="22"/>
        </w:numPr>
        <w:tabs>
          <w:tab w:pos="2380" w:val="left" w:leader="none"/>
          <w:tab w:pos="2381" w:val="left" w:leader="none"/>
        </w:tabs>
        <w:spacing w:line="242" w:lineRule="auto" w:before="137" w:after="0"/>
        <w:ind w:left="2381" w:right="1622" w:hanging="794"/>
        <w:jc w:val="left"/>
        <w:rPr>
          <w:sz w:val="12"/>
        </w:rPr>
      </w:pPr>
      <w:r>
        <w:rPr>
          <w:sz w:val="21"/>
        </w:rPr>
        <w:t>Intestacy laws often provide an </w:t>
      </w:r>
      <w:r>
        <w:rPr>
          <w:spacing w:val="-3"/>
          <w:sz w:val="21"/>
        </w:rPr>
        <w:t>inadequate framework for </w:t>
      </w:r>
      <w:r>
        <w:rPr>
          <w:sz w:val="21"/>
        </w:rPr>
        <w:t>the </w:t>
      </w:r>
      <w:r>
        <w:rPr>
          <w:spacing w:val="-2"/>
          <w:sz w:val="21"/>
        </w:rPr>
        <w:t>distribution </w:t>
      </w:r>
      <w:r>
        <w:rPr>
          <w:sz w:val="21"/>
        </w:rPr>
        <w:t>of the </w:t>
      </w:r>
      <w:r>
        <w:rPr>
          <w:spacing w:val="-3"/>
          <w:sz w:val="21"/>
        </w:rPr>
        <w:t>intestate </w:t>
      </w:r>
      <w:r>
        <w:rPr>
          <w:sz w:val="21"/>
        </w:rPr>
        <w:t>estates of </w:t>
      </w:r>
      <w:r>
        <w:rPr>
          <w:spacing w:val="-3"/>
          <w:sz w:val="21"/>
        </w:rPr>
        <w:t>Aboriginal </w:t>
      </w:r>
      <w:r>
        <w:rPr>
          <w:sz w:val="21"/>
        </w:rPr>
        <w:t>and </w:t>
      </w:r>
      <w:r>
        <w:rPr>
          <w:spacing w:val="-4"/>
          <w:sz w:val="21"/>
        </w:rPr>
        <w:t>Torres Strait </w:t>
      </w:r>
      <w:r>
        <w:rPr>
          <w:sz w:val="21"/>
        </w:rPr>
        <w:t>Islander people, and the </w:t>
      </w:r>
      <w:r>
        <w:rPr>
          <w:spacing w:val="-3"/>
          <w:sz w:val="21"/>
        </w:rPr>
        <w:t>National Committee for Uniform Succession </w:t>
      </w:r>
      <w:r>
        <w:rPr>
          <w:sz w:val="21"/>
        </w:rPr>
        <w:t>Laws  questioned  ‘whether  it  is  </w:t>
      </w:r>
      <w:r>
        <w:rPr>
          <w:spacing w:val="-3"/>
          <w:sz w:val="21"/>
        </w:rPr>
        <w:t>appropriate,  </w:t>
      </w:r>
      <w:r>
        <w:rPr>
          <w:sz w:val="21"/>
        </w:rPr>
        <w:t>or  always  </w:t>
      </w:r>
      <w:r>
        <w:rPr>
          <w:spacing w:val="-3"/>
          <w:sz w:val="21"/>
        </w:rPr>
        <w:t>appropriate, for  </w:t>
      </w:r>
      <w:r>
        <w:rPr>
          <w:sz w:val="21"/>
        </w:rPr>
        <w:t>the general law </w:t>
      </w:r>
      <w:r>
        <w:rPr>
          <w:spacing w:val="-3"/>
          <w:sz w:val="21"/>
        </w:rPr>
        <w:t>to</w:t>
      </w:r>
      <w:r>
        <w:rPr>
          <w:spacing w:val="41"/>
          <w:sz w:val="21"/>
        </w:rPr>
        <w:t> </w:t>
      </w:r>
      <w:r>
        <w:rPr>
          <w:sz w:val="21"/>
        </w:rPr>
        <w:t>apply without </w:t>
      </w:r>
      <w:r>
        <w:rPr>
          <w:spacing w:val="-2"/>
          <w:sz w:val="21"/>
        </w:rPr>
        <w:t>qualification  </w:t>
      </w:r>
      <w:r>
        <w:rPr>
          <w:sz w:val="21"/>
        </w:rPr>
        <w:t>in cases where an Indigenous person   dies </w:t>
      </w:r>
      <w:r>
        <w:rPr>
          <w:spacing w:val="-4"/>
          <w:sz w:val="21"/>
        </w:rPr>
        <w:t>intestate’.</w:t>
      </w:r>
      <w:r>
        <w:rPr>
          <w:spacing w:val="-4"/>
          <w:position w:val="7"/>
          <w:sz w:val="12"/>
        </w:rPr>
        <w:t>274 </w:t>
      </w:r>
      <w:r>
        <w:rPr>
          <w:sz w:val="21"/>
        </w:rPr>
        <w:t>It </w:t>
      </w:r>
      <w:r>
        <w:rPr>
          <w:spacing w:val="-3"/>
          <w:sz w:val="21"/>
        </w:rPr>
        <w:t>noted that </w:t>
      </w:r>
      <w:r>
        <w:rPr>
          <w:spacing w:val="-2"/>
          <w:sz w:val="21"/>
        </w:rPr>
        <w:t>distribution </w:t>
      </w:r>
      <w:r>
        <w:rPr>
          <w:sz w:val="21"/>
        </w:rPr>
        <w:t>on intestacy in </w:t>
      </w:r>
      <w:r>
        <w:rPr>
          <w:spacing w:val="-3"/>
          <w:sz w:val="21"/>
        </w:rPr>
        <w:t>Australian </w:t>
      </w:r>
      <w:r>
        <w:rPr>
          <w:sz w:val="21"/>
        </w:rPr>
        <w:t>law is reflective  of </w:t>
      </w:r>
      <w:r>
        <w:rPr>
          <w:spacing w:val="-3"/>
          <w:sz w:val="21"/>
        </w:rPr>
        <w:t>English </w:t>
      </w:r>
      <w:r>
        <w:rPr>
          <w:sz w:val="21"/>
        </w:rPr>
        <w:t>law and society and </w:t>
      </w:r>
      <w:r>
        <w:rPr>
          <w:spacing w:val="-5"/>
          <w:sz w:val="21"/>
        </w:rPr>
        <w:t>may, </w:t>
      </w:r>
      <w:r>
        <w:rPr>
          <w:spacing w:val="-3"/>
          <w:sz w:val="21"/>
        </w:rPr>
        <w:t>therefore, </w:t>
      </w:r>
      <w:r>
        <w:rPr>
          <w:sz w:val="21"/>
        </w:rPr>
        <w:t>be </w:t>
      </w:r>
      <w:r>
        <w:rPr>
          <w:spacing w:val="-3"/>
          <w:sz w:val="21"/>
        </w:rPr>
        <w:t>inappropriate for </w:t>
      </w:r>
      <w:r>
        <w:rPr>
          <w:sz w:val="21"/>
        </w:rPr>
        <w:t>the </w:t>
      </w:r>
      <w:r>
        <w:rPr>
          <w:spacing w:val="-2"/>
          <w:sz w:val="21"/>
        </w:rPr>
        <w:t>distribution </w:t>
      </w:r>
      <w:r>
        <w:rPr>
          <w:sz w:val="21"/>
        </w:rPr>
        <w:t>of some </w:t>
      </w:r>
      <w:r>
        <w:rPr>
          <w:spacing w:val="-3"/>
          <w:sz w:val="21"/>
        </w:rPr>
        <w:t>Aboriginal </w:t>
      </w:r>
      <w:r>
        <w:rPr>
          <w:sz w:val="21"/>
        </w:rPr>
        <w:t>and </w:t>
      </w:r>
      <w:r>
        <w:rPr>
          <w:spacing w:val="-4"/>
          <w:sz w:val="21"/>
        </w:rPr>
        <w:t>Torres Strait </w:t>
      </w:r>
      <w:r>
        <w:rPr>
          <w:sz w:val="21"/>
        </w:rPr>
        <w:t>Islander </w:t>
      </w:r>
      <w:r>
        <w:rPr>
          <w:spacing w:val="-3"/>
          <w:sz w:val="21"/>
        </w:rPr>
        <w:t>people’s</w:t>
      </w:r>
      <w:r>
        <w:rPr>
          <w:spacing w:val="-27"/>
          <w:sz w:val="21"/>
        </w:rPr>
        <w:t> </w:t>
      </w:r>
      <w:r>
        <w:rPr>
          <w:sz w:val="21"/>
        </w:rPr>
        <w:t>estates on </w:t>
      </w:r>
      <w:r>
        <w:rPr>
          <w:spacing w:val="-3"/>
          <w:sz w:val="21"/>
        </w:rPr>
        <w:t>intestacy.</w:t>
      </w:r>
      <w:r>
        <w:rPr>
          <w:spacing w:val="-3"/>
          <w:position w:val="7"/>
          <w:sz w:val="12"/>
        </w:rPr>
        <w:t>275</w:t>
      </w:r>
    </w:p>
    <w:p>
      <w:pPr>
        <w:pStyle w:val="ListParagraph"/>
        <w:numPr>
          <w:ilvl w:val="1"/>
          <w:numId w:val="22"/>
        </w:numPr>
        <w:tabs>
          <w:tab w:pos="2381" w:val="left" w:leader="none"/>
          <w:tab w:pos="2382" w:val="left" w:leader="none"/>
        </w:tabs>
        <w:spacing w:line="242" w:lineRule="auto" w:before="128" w:after="0"/>
        <w:ind w:left="2381" w:right="1729" w:hanging="794"/>
        <w:jc w:val="left"/>
        <w:rPr>
          <w:sz w:val="21"/>
        </w:rPr>
      </w:pPr>
      <w:r>
        <w:rPr>
          <w:w w:val="105"/>
          <w:sz w:val="21"/>
        </w:rPr>
        <w:t>Academic</w:t>
      </w:r>
      <w:r>
        <w:rPr>
          <w:spacing w:val="-6"/>
          <w:w w:val="105"/>
          <w:sz w:val="21"/>
        </w:rPr>
        <w:t> </w:t>
      </w:r>
      <w:r>
        <w:rPr>
          <w:spacing w:val="-4"/>
          <w:w w:val="105"/>
          <w:sz w:val="21"/>
        </w:rPr>
        <w:t>literature</w:t>
      </w:r>
      <w:r>
        <w:rPr>
          <w:spacing w:val="-6"/>
          <w:w w:val="105"/>
          <w:sz w:val="21"/>
        </w:rPr>
        <w:t> </w:t>
      </w:r>
      <w:r>
        <w:rPr>
          <w:w w:val="105"/>
          <w:sz w:val="21"/>
        </w:rPr>
        <w:t>suggests</w:t>
      </w:r>
      <w:r>
        <w:rPr>
          <w:spacing w:val="-5"/>
          <w:w w:val="105"/>
          <w:sz w:val="21"/>
        </w:rPr>
        <w:t> </w:t>
      </w:r>
      <w:r>
        <w:rPr>
          <w:spacing w:val="-3"/>
          <w:w w:val="105"/>
          <w:sz w:val="21"/>
        </w:rPr>
        <w:t>that</w:t>
      </w:r>
      <w:r>
        <w:rPr>
          <w:spacing w:val="-6"/>
          <w:w w:val="105"/>
          <w:sz w:val="21"/>
        </w:rPr>
        <w:t> </w:t>
      </w:r>
      <w:r>
        <w:rPr>
          <w:spacing w:val="-3"/>
          <w:w w:val="105"/>
          <w:sz w:val="21"/>
        </w:rPr>
        <w:t>different</w:t>
      </w:r>
      <w:r>
        <w:rPr>
          <w:spacing w:val="-6"/>
          <w:w w:val="105"/>
          <w:sz w:val="21"/>
        </w:rPr>
        <w:t> </w:t>
      </w:r>
      <w:r>
        <w:rPr>
          <w:spacing w:val="-3"/>
          <w:w w:val="105"/>
          <w:sz w:val="21"/>
        </w:rPr>
        <w:t>conceptions</w:t>
      </w:r>
      <w:r>
        <w:rPr>
          <w:spacing w:val="-5"/>
          <w:w w:val="105"/>
          <w:sz w:val="21"/>
        </w:rPr>
        <w:t> </w:t>
      </w:r>
      <w:r>
        <w:rPr>
          <w:w w:val="105"/>
          <w:sz w:val="21"/>
        </w:rPr>
        <w:t>of</w:t>
      </w:r>
      <w:r>
        <w:rPr>
          <w:spacing w:val="-6"/>
          <w:w w:val="105"/>
          <w:sz w:val="21"/>
        </w:rPr>
        <w:t> </w:t>
      </w:r>
      <w:r>
        <w:rPr>
          <w:w w:val="105"/>
          <w:sz w:val="21"/>
        </w:rPr>
        <w:t>ownership</w:t>
      </w:r>
      <w:r>
        <w:rPr>
          <w:spacing w:val="-6"/>
          <w:w w:val="105"/>
          <w:sz w:val="21"/>
        </w:rPr>
        <w:t> </w:t>
      </w:r>
      <w:r>
        <w:rPr>
          <w:w w:val="105"/>
          <w:sz w:val="21"/>
        </w:rPr>
        <w:t>of</w:t>
      </w:r>
      <w:r>
        <w:rPr>
          <w:spacing w:val="-5"/>
          <w:w w:val="105"/>
          <w:sz w:val="21"/>
        </w:rPr>
        <w:t> </w:t>
      </w:r>
      <w:r>
        <w:rPr>
          <w:w w:val="105"/>
          <w:sz w:val="21"/>
        </w:rPr>
        <w:t>property,</w:t>
      </w:r>
      <w:r>
        <w:rPr>
          <w:spacing w:val="-24"/>
          <w:w w:val="105"/>
          <w:sz w:val="21"/>
        </w:rPr>
        <w:t> </w:t>
      </w:r>
      <w:r>
        <w:rPr>
          <w:w w:val="105"/>
          <w:position w:val="7"/>
          <w:sz w:val="12"/>
        </w:rPr>
        <w:t>276</w:t>
      </w:r>
      <w:r>
        <w:rPr>
          <w:spacing w:val="16"/>
          <w:w w:val="105"/>
          <w:position w:val="7"/>
          <w:sz w:val="12"/>
        </w:rPr>
        <w:t> </w:t>
      </w:r>
      <w:r>
        <w:rPr>
          <w:w w:val="105"/>
          <w:sz w:val="21"/>
        </w:rPr>
        <w:t>and </w:t>
      </w:r>
      <w:r>
        <w:rPr>
          <w:spacing w:val="-3"/>
          <w:w w:val="105"/>
          <w:sz w:val="21"/>
        </w:rPr>
        <w:t>different kinship </w:t>
      </w:r>
      <w:r>
        <w:rPr>
          <w:w w:val="105"/>
          <w:sz w:val="21"/>
        </w:rPr>
        <w:t>patterns,</w:t>
      </w:r>
      <w:r>
        <w:rPr>
          <w:w w:val="105"/>
          <w:position w:val="7"/>
          <w:sz w:val="12"/>
        </w:rPr>
        <w:t>277 </w:t>
      </w:r>
      <w:r>
        <w:rPr>
          <w:w w:val="105"/>
          <w:sz w:val="21"/>
        </w:rPr>
        <w:t>mean </w:t>
      </w:r>
      <w:r>
        <w:rPr>
          <w:spacing w:val="-3"/>
          <w:w w:val="105"/>
          <w:sz w:val="21"/>
        </w:rPr>
        <w:t>that </w:t>
      </w:r>
      <w:r>
        <w:rPr>
          <w:w w:val="105"/>
          <w:sz w:val="21"/>
        </w:rPr>
        <w:t>the general intestacy law is often </w:t>
      </w:r>
      <w:r>
        <w:rPr>
          <w:spacing w:val="-2"/>
          <w:w w:val="105"/>
          <w:sz w:val="21"/>
        </w:rPr>
        <w:t>not </w:t>
      </w:r>
      <w:r>
        <w:rPr>
          <w:spacing w:val="-3"/>
          <w:w w:val="105"/>
          <w:sz w:val="21"/>
        </w:rPr>
        <w:t>applicable </w:t>
      </w:r>
      <w:r>
        <w:rPr>
          <w:w w:val="105"/>
          <w:sz w:val="21"/>
        </w:rPr>
        <w:t>in the Indigenous context. </w:t>
      </w:r>
      <w:r>
        <w:rPr>
          <w:spacing w:val="-4"/>
          <w:w w:val="105"/>
          <w:sz w:val="21"/>
        </w:rPr>
        <w:t>Further, </w:t>
      </w:r>
      <w:r>
        <w:rPr>
          <w:w w:val="105"/>
          <w:sz w:val="21"/>
        </w:rPr>
        <w:t>intestacy laws affect a </w:t>
      </w:r>
      <w:r>
        <w:rPr>
          <w:spacing w:val="-3"/>
          <w:w w:val="105"/>
          <w:sz w:val="21"/>
        </w:rPr>
        <w:t>high </w:t>
      </w:r>
      <w:r>
        <w:rPr>
          <w:w w:val="105"/>
          <w:sz w:val="21"/>
        </w:rPr>
        <w:t>proportion of </w:t>
      </w:r>
      <w:r>
        <w:rPr>
          <w:spacing w:val="-3"/>
          <w:w w:val="105"/>
          <w:sz w:val="21"/>
        </w:rPr>
        <w:t>Aboriginal </w:t>
      </w:r>
      <w:r>
        <w:rPr>
          <w:w w:val="105"/>
          <w:sz w:val="21"/>
        </w:rPr>
        <w:t>and </w:t>
      </w:r>
      <w:r>
        <w:rPr>
          <w:spacing w:val="-4"/>
          <w:w w:val="105"/>
          <w:sz w:val="21"/>
        </w:rPr>
        <w:t>Torres Strait </w:t>
      </w:r>
      <w:r>
        <w:rPr>
          <w:w w:val="105"/>
          <w:sz w:val="21"/>
        </w:rPr>
        <w:t>Islander people, as </w:t>
      </w:r>
      <w:r>
        <w:rPr>
          <w:spacing w:val="-3"/>
          <w:w w:val="105"/>
          <w:sz w:val="21"/>
        </w:rPr>
        <w:t>rates </w:t>
      </w:r>
      <w:r>
        <w:rPr>
          <w:w w:val="105"/>
          <w:sz w:val="21"/>
        </w:rPr>
        <w:t>of will-making </w:t>
      </w:r>
      <w:r>
        <w:rPr>
          <w:spacing w:val="-3"/>
          <w:w w:val="105"/>
          <w:sz w:val="21"/>
        </w:rPr>
        <w:t>are low.</w:t>
      </w:r>
      <w:r>
        <w:rPr>
          <w:spacing w:val="-3"/>
          <w:w w:val="105"/>
          <w:position w:val="7"/>
          <w:sz w:val="12"/>
        </w:rPr>
        <w:t>278 </w:t>
      </w:r>
      <w:r>
        <w:rPr>
          <w:w w:val="105"/>
          <w:sz w:val="21"/>
        </w:rPr>
        <w:t>No statistics about intestacy of Indigenous people </w:t>
      </w:r>
      <w:r>
        <w:rPr>
          <w:spacing w:val="-3"/>
          <w:w w:val="105"/>
          <w:sz w:val="21"/>
        </w:rPr>
        <w:t>were </w:t>
      </w:r>
      <w:r>
        <w:rPr>
          <w:w w:val="105"/>
          <w:sz w:val="21"/>
        </w:rPr>
        <w:t>obtained </w:t>
      </w:r>
      <w:r>
        <w:rPr>
          <w:spacing w:val="-3"/>
          <w:w w:val="105"/>
          <w:sz w:val="21"/>
        </w:rPr>
        <w:t>through submissions </w:t>
      </w:r>
      <w:r>
        <w:rPr>
          <w:w w:val="105"/>
          <w:sz w:val="21"/>
        </w:rPr>
        <w:t>and </w:t>
      </w:r>
      <w:r>
        <w:rPr>
          <w:spacing w:val="-3"/>
          <w:w w:val="105"/>
          <w:sz w:val="21"/>
        </w:rPr>
        <w:t>consultations, </w:t>
      </w:r>
      <w:r>
        <w:rPr>
          <w:w w:val="105"/>
          <w:sz w:val="21"/>
        </w:rPr>
        <w:t>but the Arts Law </w:t>
      </w:r>
      <w:r>
        <w:rPr>
          <w:spacing w:val="-4"/>
          <w:w w:val="105"/>
          <w:sz w:val="21"/>
        </w:rPr>
        <w:t>Centre </w:t>
      </w:r>
      <w:r>
        <w:rPr>
          <w:w w:val="105"/>
          <w:sz w:val="21"/>
        </w:rPr>
        <w:t>of </w:t>
      </w:r>
      <w:r>
        <w:rPr>
          <w:spacing w:val="-3"/>
          <w:w w:val="105"/>
          <w:sz w:val="21"/>
        </w:rPr>
        <w:t>Australia </w:t>
      </w:r>
      <w:r>
        <w:rPr>
          <w:w w:val="105"/>
          <w:sz w:val="21"/>
        </w:rPr>
        <w:t>made this</w:t>
      </w:r>
      <w:r>
        <w:rPr>
          <w:spacing w:val="49"/>
          <w:w w:val="105"/>
          <w:sz w:val="21"/>
        </w:rPr>
        <w:t> </w:t>
      </w:r>
      <w:r>
        <w:rPr>
          <w:w w:val="105"/>
          <w:sz w:val="21"/>
        </w:rPr>
        <w:t>point:</w:t>
      </w:r>
    </w:p>
    <w:p>
      <w:pPr>
        <w:spacing w:line="254" w:lineRule="auto" w:before="136"/>
        <w:ind w:left="2721" w:right="1843" w:firstLine="0"/>
        <w:jc w:val="both"/>
        <w:rPr>
          <w:sz w:val="11"/>
        </w:rPr>
      </w:pPr>
      <w:r>
        <w:rPr>
          <w:sz w:val="20"/>
        </w:rPr>
        <w:t>our experience is that the personal hardship and emotional stress felt by Aboriginal and Torres Strait Islander families dealing with intestacy is so great that reforms are justified even if the statistics are low. We suspect that many families just give up in this situation either forfeiting, or failing to understand, their entitlements.</w:t>
      </w:r>
      <w:r>
        <w:rPr>
          <w:position w:val="7"/>
          <w:sz w:val="11"/>
        </w:rPr>
        <w:t>279</w:t>
      </w:r>
    </w:p>
    <w:p>
      <w:pPr>
        <w:pStyle w:val="BodyText"/>
        <w:spacing w:before="8"/>
        <w:rPr>
          <w:sz w:val="22"/>
        </w:rPr>
      </w:pPr>
    </w:p>
    <w:p>
      <w:pPr>
        <w:pStyle w:val="Heading5"/>
      </w:pPr>
      <w:bookmarkStart w:name="_TOC_250028" w:id="93"/>
      <w:bookmarkEnd w:id="93"/>
      <w:r>
        <w:rPr>
          <w:w w:val="115"/>
        </w:rPr>
        <w:t>The National Committee’s proposed change</w:t>
      </w:r>
    </w:p>
    <w:p>
      <w:pPr>
        <w:pStyle w:val="ListParagraph"/>
        <w:numPr>
          <w:ilvl w:val="1"/>
          <w:numId w:val="22"/>
        </w:numPr>
        <w:tabs>
          <w:tab w:pos="2380" w:val="left" w:leader="none"/>
          <w:tab w:pos="2381" w:val="left" w:leader="none"/>
        </w:tabs>
        <w:spacing w:line="242" w:lineRule="auto" w:before="138" w:after="0"/>
        <w:ind w:left="2381" w:right="1696" w:hanging="794"/>
        <w:jc w:val="left"/>
        <w:rPr>
          <w:sz w:val="12"/>
        </w:rPr>
      </w:pPr>
      <w:r>
        <w:rPr>
          <w:w w:val="105"/>
          <w:sz w:val="21"/>
        </w:rPr>
        <w:t>The </w:t>
      </w:r>
      <w:r>
        <w:rPr>
          <w:spacing w:val="-3"/>
          <w:w w:val="105"/>
          <w:sz w:val="21"/>
        </w:rPr>
        <w:t>National Committee </w:t>
      </w:r>
      <w:r>
        <w:rPr>
          <w:w w:val="105"/>
          <w:sz w:val="21"/>
        </w:rPr>
        <w:t>recommended </w:t>
      </w:r>
      <w:r>
        <w:rPr>
          <w:spacing w:val="-3"/>
          <w:w w:val="105"/>
          <w:sz w:val="21"/>
        </w:rPr>
        <w:t>provisions </w:t>
      </w:r>
      <w:r>
        <w:rPr>
          <w:w w:val="105"/>
          <w:sz w:val="21"/>
        </w:rPr>
        <w:t>based on </w:t>
      </w:r>
      <w:r>
        <w:rPr>
          <w:spacing w:val="-3"/>
          <w:w w:val="105"/>
          <w:sz w:val="21"/>
        </w:rPr>
        <w:t>legislation that </w:t>
      </w:r>
      <w:r>
        <w:rPr>
          <w:w w:val="105"/>
          <w:sz w:val="21"/>
        </w:rPr>
        <w:t>was </w:t>
      </w:r>
      <w:r>
        <w:rPr>
          <w:spacing w:val="-3"/>
          <w:w w:val="105"/>
          <w:sz w:val="21"/>
        </w:rPr>
        <w:t>already </w:t>
      </w:r>
      <w:r>
        <w:rPr>
          <w:w w:val="105"/>
          <w:sz w:val="21"/>
        </w:rPr>
        <w:t>in operation in the Northern </w:t>
      </w:r>
      <w:r>
        <w:rPr>
          <w:spacing w:val="-3"/>
          <w:w w:val="105"/>
          <w:sz w:val="21"/>
        </w:rPr>
        <w:t>Territory.</w:t>
      </w:r>
      <w:r>
        <w:rPr>
          <w:spacing w:val="-3"/>
          <w:w w:val="105"/>
          <w:position w:val="7"/>
          <w:sz w:val="12"/>
        </w:rPr>
        <w:t>280 </w:t>
      </w:r>
      <w:r>
        <w:rPr>
          <w:w w:val="105"/>
          <w:sz w:val="21"/>
        </w:rPr>
        <w:t>The </w:t>
      </w:r>
      <w:r>
        <w:rPr>
          <w:spacing w:val="-3"/>
          <w:w w:val="105"/>
          <w:sz w:val="21"/>
        </w:rPr>
        <w:t>provisions </w:t>
      </w:r>
      <w:r>
        <w:rPr>
          <w:w w:val="105"/>
          <w:sz w:val="21"/>
        </w:rPr>
        <w:t>permit a person, who </w:t>
      </w:r>
      <w:r>
        <w:rPr>
          <w:spacing w:val="-3"/>
          <w:w w:val="105"/>
          <w:sz w:val="21"/>
        </w:rPr>
        <w:t>claims to </w:t>
      </w:r>
      <w:r>
        <w:rPr>
          <w:w w:val="105"/>
          <w:sz w:val="21"/>
        </w:rPr>
        <w:t>be</w:t>
      </w:r>
      <w:r>
        <w:rPr>
          <w:spacing w:val="-6"/>
          <w:w w:val="105"/>
          <w:sz w:val="21"/>
        </w:rPr>
        <w:t> </w:t>
      </w:r>
      <w:r>
        <w:rPr>
          <w:w w:val="105"/>
          <w:sz w:val="21"/>
        </w:rPr>
        <w:t>entitled</w:t>
      </w:r>
      <w:r>
        <w:rPr>
          <w:spacing w:val="-5"/>
          <w:w w:val="105"/>
          <w:sz w:val="21"/>
        </w:rPr>
        <w:t> </w:t>
      </w:r>
      <w:r>
        <w:rPr>
          <w:spacing w:val="-3"/>
          <w:w w:val="105"/>
          <w:sz w:val="21"/>
        </w:rPr>
        <w:t>to</w:t>
      </w:r>
      <w:r>
        <w:rPr>
          <w:spacing w:val="-6"/>
          <w:w w:val="105"/>
          <w:sz w:val="21"/>
        </w:rPr>
        <w:t> </w:t>
      </w:r>
      <w:r>
        <w:rPr>
          <w:w w:val="105"/>
          <w:sz w:val="21"/>
        </w:rPr>
        <w:t>a</w:t>
      </w:r>
      <w:r>
        <w:rPr>
          <w:spacing w:val="-5"/>
          <w:w w:val="105"/>
          <w:sz w:val="21"/>
        </w:rPr>
        <w:t> </w:t>
      </w:r>
      <w:r>
        <w:rPr>
          <w:spacing w:val="-3"/>
          <w:w w:val="105"/>
          <w:sz w:val="21"/>
        </w:rPr>
        <w:t>share</w:t>
      </w:r>
      <w:r>
        <w:rPr>
          <w:spacing w:val="-6"/>
          <w:w w:val="105"/>
          <w:sz w:val="21"/>
        </w:rPr>
        <w:t> </w:t>
      </w:r>
      <w:r>
        <w:rPr>
          <w:w w:val="105"/>
          <w:sz w:val="21"/>
        </w:rPr>
        <w:t>of</w:t>
      </w:r>
      <w:r>
        <w:rPr>
          <w:spacing w:val="-5"/>
          <w:w w:val="105"/>
          <w:sz w:val="21"/>
        </w:rPr>
        <w:t> </w:t>
      </w:r>
      <w:r>
        <w:rPr>
          <w:w w:val="105"/>
          <w:sz w:val="21"/>
        </w:rPr>
        <w:t>an</w:t>
      </w:r>
      <w:r>
        <w:rPr>
          <w:spacing w:val="-6"/>
          <w:w w:val="105"/>
          <w:sz w:val="21"/>
        </w:rPr>
        <w:t> </w:t>
      </w:r>
      <w:r>
        <w:rPr>
          <w:w w:val="105"/>
          <w:sz w:val="21"/>
        </w:rPr>
        <w:t>Indigenous</w:t>
      </w:r>
      <w:r>
        <w:rPr>
          <w:spacing w:val="-5"/>
          <w:w w:val="105"/>
          <w:sz w:val="21"/>
        </w:rPr>
        <w:t> </w:t>
      </w:r>
      <w:r>
        <w:rPr>
          <w:spacing w:val="-3"/>
          <w:w w:val="105"/>
          <w:sz w:val="21"/>
        </w:rPr>
        <w:t>person’s</w:t>
      </w:r>
      <w:r>
        <w:rPr>
          <w:spacing w:val="-6"/>
          <w:w w:val="105"/>
          <w:sz w:val="21"/>
        </w:rPr>
        <w:t> </w:t>
      </w:r>
      <w:r>
        <w:rPr>
          <w:spacing w:val="-3"/>
          <w:w w:val="105"/>
          <w:sz w:val="21"/>
        </w:rPr>
        <w:t>intestate</w:t>
      </w:r>
      <w:r>
        <w:rPr>
          <w:spacing w:val="-5"/>
          <w:w w:val="105"/>
          <w:sz w:val="21"/>
        </w:rPr>
        <w:t> </w:t>
      </w:r>
      <w:r>
        <w:rPr>
          <w:spacing w:val="-3"/>
          <w:w w:val="105"/>
          <w:sz w:val="21"/>
        </w:rPr>
        <w:t>estate,</w:t>
      </w:r>
      <w:r>
        <w:rPr>
          <w:spacing w:val="-6"/>
          <w:w w:val="105"/>
          <w:sz w:val="21"/>
        </w:rPr>
        <w:t> </w:t>
      </w:r>
      <w:r>
        <w:rPr>
          <w:spacing w:val="-3"/>
          <w:w w:val="105"/>
          <w:sz w:val="21"/>
        </w:rPr>
        <w:t>to</w:t>
      </w:r>
      <w:r>
        <w:rPr>
          <w:spacing w:val="-5"/>
          <w:w w:val="105"/>
          <w:sz w:val="21"/>
        </w:rPr>
        <w:t> </w:t>
      </w:r>
      <w:r>
        <w:rPr>
          <w:w w:val="105"/>
          <w:sz w:val="21"/>
        </w:rPr>
        <w:t>apply</w:t>
      </w:r>
      <w:r>
        <w:rPr>
          <w:spacing w:val="-6"/>
          <w:w w:val="105"/>
          <w:sz w:val="21"/>
        </w:rPr>
        <w:t> </w:t>
      </w:r>
      <w:r>
        <w:rPr>
          <w:spacing w:val="-3"/>
          <w:w w:val="105"/>
          <w:sz w:val="21"/>
        </w:rPr>
        <w:t>to</w:t>
      </w:r>
      <w:r>
        <w:rPr>
          <w:spacing w:val="-5"/>
          <w:w w:val="105"/>
          <w:sz w:val="21"/>
        </w:rPr>
        <w:t> </w:t>
      </w:r>
      <w:r>
        <w:rPr>
          <w:w w:val="105"/>
          <w:sz w:val="21"/>
        </w:rPr>
        <w:t>the</w:t>
      </w:r>
      <w:r>
        <w:rPr>
          <w:spacing w:val="-6"/>
          <w:w w:val="105"/>
          <w:sz w:val="21"/>
        </w:rPr>
        <w:t> </w:t>
      </w:r>
      <w:r>
        <w:rPr>
          <w:spacing w:val="-3"/>
          <w:w w:val="105"/>
          <w:sz w:val="21"/>
        </w:rPr>
        <w:t>Supreme Court for </w:t>
      </w:r>
      <w:r>
        <w:rPr>
          <w:w w:val="105"/>
          <w:sz w:val="21"/>
        </w:rPr>
        <w:t>what is effectively a </w:t>
      </w:r>
      <w:r>
        <w:rPr>
          <w:spacing w:val="-3"/>
          <w:w w:val="105"/>
          <w:sz w:val="21"/>
        </w:rPr>
        <w:t>variation </w:t>
      </w:r>
      <w:r>
        <w:rPr>
          <w:w w:val="105"/>
          <w:sz w:val="21"/>
        </w:rPr>
        <w:t>of the general intestacy</w:t>
      </w:r>
      <w:r>
        <w:rPr>
          <w:spacing w:val="39"/>
          <w:w w:val="105"/>
          <w:sz w:val="21"/>
        </w:rPr>
        <w:t> </w:t>
      </w:r>
      <w:r>
        <w:rPr>
          <w:spacing w:val="-3"/>
          <w:w w:val="105"/>
          <w:sz w:val="21"/>
        </w:rPr>
        <w:t>law.</w:t>
      </w:r>
      <w:r>
        <w:rPr>
          <w:spacing w:val="-3"/>
          <w:w w:val="105"/>
          <w:position w:val="7"/>
          <w:sz w:val="12"/>
        </w:rPr>
        <w:t>281</w:t>
      </w:r>
    </w:p>
    <w:p>
      <w:pPr>
        <w:pStyle w:val="ListParagraph"/>
        <w:numPr>
          <w:ilvl w:val="1"/>
          <w:numId w:val="22"/>
        </w:numPr>
        <w:tabs>
          <w:tab w:pos="2380" w:val="left" w:leader="none"/>
          <w:tab w:pos="2381" w:val="left" w:leader="none"/>
        </w:tabs>
        <w:spacing w:line="242" w:lineRule="auto" w:before="124" w:after="0"/>
        <w:ind w:left="2381" w:right="1772" w:hanging="794"/>
        <w:jc w:val="left"/>
        <w:rPr>
          <w:sz w:val="12"/>
        </w:rPr>
      </w:pPr>
      <w:r>
        <w:rPr>
          <w:w w:val="105"/>
          <w:sz w:val="21"/>
        </w:rPr>
        <w:t>The </w:t>
      </w:r>
      <w:r>
        <w:rPr>
          <w:spacing w:val="-3"/>
          <w:w w:val="105"/>
          <w:sz w:val="21"/>
        </w:rPr>
        <w:t>National Committee </w:t>
      </w:r>
      <w:r>
        <w:rPr>
          <w:w w:val="105"/>
          <w:sz w:val="21"/>
        </w:rPr>
        <w:t>recommended </w:t>
      </w:r>
      <w:r>
        <w:rPr>
          <w:spacing w:val="-3"/>
          <w:w w:val="105"/>
          <w:sz w:val="21"/>
        </w:rPr>
        <w:t>that, </w:t>
      </w:r>
      <w:r>
        <w:rPr>
          <w:w w:val="105"/>
          <w:sz w:val="21"/>
        </w:rPr>
        <w:t>as in the Northern </w:t>
      </w:r>
      <w:r>
        <w:rPr>
          <w:spacing w:val="-4"/>
          <w:w w:val="105"/>
          <w:sz w:val="21"/>
        </w:rPr>
        <w:t>Territory, </w:t>
      </w:r>
      <w:r>
        <w:rPr>
          <w:w w:val="105"/>
          <w:sz w:val="21"/>
        </w:rPr>
        <w:t>the person who </w:t>
      </w:r>
      <w:r>
        <w:rPr>
          <w:spacing w:val="-3"/>
          <w:w w:val="105"/>
          <w:sz w:val="21"/>
        </w:rPr>
        <w:t>claims to </w:t>
      </w:r>
      <w:r>
        <w:rPr>
          <w:w w:val="105"/>
          <w:sz w:val="21"/>
        </w:rPr>
        <w:t>be entitled </w:t>
      </w:r>
      <w:r>
        <w:rPr>
          <w:spacing w:val="-4"/>
          <w:w w:val="105"/>
          <w:sz w:val="21"/>
        </w:rPr>
        <w:t>‘under </w:t>
      </w:r>
      <w:r>
        <w:rPr>
          <w:w w:val="105"/>
          <w:sz w:val="21"/>
        </w:rPr>
        <w:t>the </w:t>
      </w:r>
      <w:r>
        <w:rPr>
          <w:spacing w:val="-3"/>
          <w:w w:val="105"/>
          <w:sz w:val="21"/>
        </w:rPr>
        <w:t>customs </w:t>
      </w:r>
      <w:r>
        <w:rPr>
          <w:w w:val="105"/>
          <w:sz w:val="21"/>
        </w:rPr>
        <w:t>and </w:t>
      </w:r>
      <w:r>
        <w:rPr>
          <w:spacing w:val="-3"/>
          <w:w w:val="105"/>
          <w:sz w:val="21"/>
        </w:rPr>
        <w:t>traditions </w:t>
      </w:r>
      <w:r>
        <w:rPr>
          <w:w w:val="105"/>
          <w:sz w:val="21"/>
        </w:rPr>
        <w:t>of the community or </w:t>
      </w:r>
      <w:r>
        <w:rPr>
          <w:spacing w:val="-3"/>
          <w:w w:val="105"/>
          <w:sz w:val="21"/>
        </w:rPr>
        <w:t>group’ to </w:t>
      </w:r>
      <w:r>
        <w:rPr>
          <w:w w:val="105"/>
          <w:sz w:val="21"/>
        </w:rPr>
        <w:t>which the deceased Indigenous person belonged should be able </w:t>
      </w:r>
      <w:r>
        <w:rPr>
          <w:spacing w:val="-3"/>
          <w:w w:val="105"/>
          <w:sz w:val="21"/>
        </w:rPr>
        <w:t>to </w:t>
      </w:r>
      <w:r>
        <w:rPr>
          <w:w w:val="105"/>
          <w:sz w:val="21"/>
        </w:rPr>
        <w:t>apply </w:t>
      </w:r>
      <w:r>
        <w:rPr>
          <w:spacing w:val="-3"/>
          <w:w w:val="105"/>
          <w:sz w:val="21"/>
        </w:rPr>
        <w:t>to </w:t>
      </w:r>
      <w:r>
        <w:rPr>
          <w:w w:val="105"/>
          <w:sz w:val="21"/>
        </w:rPr>
        <w:t>the </w:t>
      </w:r>
      <w:r>
        <w:rPr>
          <w:spacing w:val="-3"/>
          <w:w w:val="105"/>
          <w:sz w:val="21"/>
        </w:rPr>
        <w:t>Supreme Court for </w:t>
      </w:r>
      <w:r>
        <w:rPr>
          <w:w w:val="105"/>
          <w:sz w:val="21"/>
        </w:rPr>
        <w:t>an </w:t>
      </w:r>
      <w:r>
        <w:rPr>
          <w:spacing w:val="-3"/>
          <w:w w:val="105"/>
          <w:sz w:val="21"/>
        </w:rPr>
        <w:t>order.</w:t>
      </w:r>
      <w:r>
        <w:rPr>
          <w:spacing w:val="-3"/>
          <w:w w:val="105"/>
          <w:position w:val="7"/>
          <w:sz w:val="12"/>
        </w:rPr>
        <w:t>282 </w:t>
      </w:r>
      <w:r>
        <w:rPr>
          <w:w w:val="105"/>
          <w:sz w:val="21"/>
        </w:rPr>
        <w:t>It recommended </w:t>
      </w:r>
      <w:r>
        <w:rPr>
          <w:spacing w:val="-3"/>
          <w:w w:val="105"/>
          <w:sz w:val="21"/>
        </w:rPr>
        <w:t>that </w:t>
      </w:r>
      <w:r>
        <w:rPr>
          <w:w w:val="105"/>
          <w:sz w:val="21"/>
        </w:rPr>
        <w:t>the application be </w:t>
      </w:r>
      <w:r>
        <w:rPr>
          <w:spacing w:val="-3"/>
          <w:w w:val="105"/>
          <w:sz w:val="21"/>
        </w:rPr>
        <w:t>accompanied </w:t>
      </w:r>
      <w:r>
        <w:rPr>
          <w:w w:val="105"/>
          <w:sz w:val="21"/>
        </w:rPr>
        <w:t>by a </w:t>
      </w:r>
      <w:r>
        <w:rPr>
          <w:spacing w:val="-2"/>
          <w:w w:val="105"/>
          <w:sz w:val="21"/>
        </w:rPr>
        <w:t>distribution </w:t>
      </w:r>
      <w:r>
        <w:rPr>
          <w:spacing w:val="-3"/>
          <w:w w:val="105"/>
          <w:sz w:val="21"/>
        </w:rPr>
        <w:t>plan, prepared </w:t>
      </w:r>
      <w:r>
        <w:rPr>
          <w:w w:val="105"/>
          <w:sz w:val="21"/>
        </w:rPr>
        <w:t>in </w:t>
      </w:r>
      <w:r>
        <w:rPr>
          <w:spacing w:val="-3"/>
          <w:w w:val="105"/>
          <w:sz w:val="21"/>
        </w:rPr>
        <w:t>accordance </w:t>
      </w:r>
      <w:r>
        <w:rPr>
          <w:w w:val="105"/>
          <w:sz w:val="21"/>
        </w:rPr>
        <w:t>with the </w:t>
      </w:r>
      <w:r>
        <w:rPr>
          <w:spacing w:val="-3"/>
          <w:w w:val="105"/>
          <w:sz w:val="21"/>
        </w:rPr>
        <w:t>traditions </w:t>
      </w:r>
      <w:r>
        <w:rPr>
          <w:w w:val="105"/>
          <w:sz w:val="21"/>
        </w:rPr>
        <w:t>of the deceased </w:t>
      </w:r>
      <w:r>
        <w:rPr>
          <w:spacing w:val="-3"/>
          <w:w w:val="105"/>
          <w:sz w:val="21"/>
        </w:rPr>
        <w:t>person’s group </w:t>
      </w:r>
      <w:r>
        <w:rPr>
          <w:w w:val="105"/>
          <w:sz w:val="21"/>
        </w:rPr>
        <w:t>or</w:t>
      </w:r>
      <w:r>
        <w:rPr>
          <w:spacing w:val="14"/>
          <w:w w:val="105"/>
          <w:sz w:val="21"/>
        </w:rPr>
        <w:t> </w:t>
      </w:r>
      <w:r>
        <w:rPr>
          <w:spacing w:val="-3"/>
          <w:w w:val="105"/>
          <w:sz w:val="21"/>
        </w:rPr>
        <w:t>community.</w:t>
      </w:r>
      <w:r>
        <w:rPr>
          <w:spacing w:val="-3"/>
          <w:w w:val="105"/>
          <w:position w:val="7"/>
          <w:sz w:val="12"/>
        </w:rPr>
        <w:t>283</w:t>
      </w:r>
    </w:p>
    <w:p>
      <w:pPr>
        <w:pStyle w:val="ListParagraph"/>
        <w:numPr>
          <w:ilvl w:val="1"/>
          <w:numId w:val="22"/>
        </w:numPr>
        <w:tabs>
          <w:tab w:pos="2380" w:val="left" w:leader="none"/>
          <w:tab w:pos="2381" w:val="left" w:leader="none"/>
        </w:tabs>
        <w:spacing w:line="242" w:lineRule="auto" w:before="127" w:after="0"/>
        <w:ind w:left="2381" w:right="2522" w:hanging="794"/>
        <w:jc w:val="left"/>
        <w:rPr>
          <w:sz w:val="12"/>
        </w:rPr>
      </w:pPr>
      <w:r>
        <w:rPr>
          <w:w w:val="105"/>
          <w:sz w:val="21"/>
        </w:rPr>
        <w:t>The</w:t>
      </w:r>
      <w:r>
        <w:rPr>
          <w:spacing w:val="-8"/>
          <w:w w:val="105"/>
          <w:sz w:val="21"/>
        </w:rPr>
        <w:t> </w:t>
      </w:r>
      <w:r>
        <w:rPr>
          <w:spacing w:val="-3"/>
          <w:w w:val="105"/>
          <w:sz w:val="21"/>
        </w:rPr>
        <w:t>provisions</w:t>
      </w:r>
      <w:r>
        <w:rPr>
          <w:spacing w:val="-7"/>
          <w:w w:val="105"/>
          <w:sz w:val="21"/>
        </w:rPr>
        <w:t> </w:t>
      </w:r>
      <w:r>
        <w:rPr>
          <w:w w:val="105"/>
          <w:sz w:val="21"/>
        </w:rPr>
        <w:t>recommended</w:t>
      </w:r>
      <w:r>
        <w:rPr>
          <w:spacing w:val="-8"/>
          <w:w w:val="105"/>
          <w:sz w:val="21"/>
        </w:rPr>
        <w:t> </w:t>
      </w:r>
      <w:r>
        <w:rPr>
          <w:w w:val="105"/>
          <w:sz w:val="21"/>
        </w:rPr>
        <w:t>by</w:t>
      </w:r>
      <w:r>
        <w:rPr>
          <w:spacing w:val="-7"/>
          <w:w w:val="105"/>
          <w:sz w:val="21"/>
        </w:rPr>
        <w:t> </w:t>
      </w:r>
      <w:r>
        <w:rPr>
          <w:w w:val="105"/>
          <w:sz w:val="21"/>
        </w:rPr>
        <w:t>the</w:t>
      </w:r>
      <w:r>
        <w:rPr>
          <w:spacing w:val="-8"/>
          <w:w w:val="105"/>
          <w:sz w:val="21"/>
        </w:rPr>
        <w:t> </w:t>
      </w:r>
      <w:r>
        <w:rPr>
          <w:spacing w:val="-3"/>
          <w:w w:val="105"/>
          <w:sz w:val="21"/>
        </w:rPr>
        <w:t>National</w:t>
      </w:r>
      <w:r>
        <w:rPr>
          <w:spacing w:val="-7"/>
          <w:w w:val="105"/>
          <w:sz w:val="21"/>
        </w:rPr>
        <w:t> </w:t>
      </w:r>
      <w:r>
        <w:rPr>
          <w:spacing w:val="-3"/>
          <w:w w:val="105"/>
          <w:sz w:val="21"/>
        </w:rPr>
        <w:t>Committee</w:t>
      </w:r>
      <w:r>
        <w:rPr>
          <w:spacing w:val="-8"/>
          <w:w w:val="105"/>
          <w:sz w:val="21"/>
        </w:rPr>
        <w:t> </w:t>
      </w:r>
      <w:r>
        <w:rPr>
          <w:spacing w:val="-3"/>
          <w:w w:val="105"/>
          <w:sz w:val="21"/>
        </w:rPr>
        <w:t>have</w:t>
      </w:r>
      <w:r>
        <w:rPr>
          <w:spacing w:val="-7"/>
          <w:w w:val="105"/>
          <w:sz w:val="21"/>
        </w:rPr>
        <w:t> </w:t>
      </w:r>
      <w:r>
        <w:rPr>
          <w:w w:val="105"/>
          <w:sz w:val="21"/>
        </w:rPr>
        <w:t>been</w:t>
      </w:r>
      <w:r>
        <w:rPr>
          <w:spacing w:val="-8"/>
          <w:w w:val="105"/>
          <w:sz w:val="21"/>
        </w:rPr>
        <w:t> </w:t>
      </w:r>
      <w:r>
        <w:rPr>
          <w:w w:val="105"/>
          <w:sz w:val="21"/>
        </w:rPr>
        <w:t>adopted</w:t>
      </w:r>
      <w:r>
        <w:rPr>
          <w:spacing w:val="-7"/>
          <w:w w:val="105"/>
          <w:sz w:val="21"/>
        </w:rPr>
        <w:t> </w:t>
      </w:r>
      <w:r>
        <w:rPr>
          <w:w w:val="105"/>
          <w:sz w:val="21"/>
        </w:rPr>
        <w:t>in New South </w:t>
      </w:r>
      <w:r>
        <w:rPr>
          <w:spacing w:val="-3"/>
          <w:w w:val="105"/>
          <w:sz w:val="21"/>
        </w:rPr>
        <w:t>Wales </w:t>
      </w:r>
      <w:r>
        <w:rPr>
          <w:w w:val="105"/>
          <w:sz w:val="21"/>
        </w:rPr>
        <w:t>and</w:t>
      </w:r>
      <w:r>
        <w:rPr>
          <w:spacing w:val="24"/>
          <w:w w:val="105"/>
          <w:sz w:val="21"/>
        </w:rPr>
        <w:t> </w:t>
      </w:r>
      <w:r>
        <w:rPr>
          <w:spacing w:val="-3"/>
          <w:w w:val="105"/>
          <w:sz w:val="21"/>
        </w:rPr>
        <w:t>Tasmania.</w:t>
      </w:r>
      <w:r>
        <w:rPr>
          <w:spacing w:val="-3"/>
          <w:w w:val="105"/>
          <w:position w:val="7"/>
          <w:sz w:val="12"/>
        </w:rPr>
        <w:t>284</w:t>
      </w:r>
    </w:p>
    <w:p>
      <w:pPr>
        <w:pStyle w:val="ListParagraph"/>
        <w:numPr>
          <w:ilvl w:val="1"/>
          <w:numId w:val="22"/>
        </w:numPr>
        <w:tabs>
          <w:tab w:pos="2382" w:val="left" w:leader="none"/>
        </w:tabs>
        <w:spacing w:line="242" w:lineRule="auto" w:before="122" w:after="0"/>
        <w:ind w:left="2381" w:right="2221" w:hanging="794"/>
        <w:jc w:val="both"/>
        <w:rPr>
          <w:sz w:val="12"/>
        </w:rPr>
      </w:pPr>
      <w:r>
        <w:rPr>
          <w:w w:val="105"/>
          <w:sz w:val="21"/>
        </w:rPr>
        <w:t>In</w:t>
      </w:r>
      <w:r>
        <w:rPr>
          <w:spacing w:val="-8"/>
          <w:w w:val="105"/>
          <w:sz w:val="21"/>
        </w:rPr>
        <w:t> </w:t>
      </w:r>
      <w:r>
        <w:rPr>
          <w:w w:val="105"/>
          <w:sz w:val="21"/>
        </w:rPr>
        <w:t>its</w:t>
      </w:r>
      <w:r>
        <w:rPr>
          <w:spacing w:val="-7"/>
          <w:w w:val="105"/>
          <w:sz w:val="21"/>
        </w:rPr>
        <w:t> </w:t>
      </w:r>
      <w:r>
        <w:rPr>
          <w:spacing w:val="-3"/>
          <w:w w:val="105"/>
          <w:sz w:val="21"/>
        </w:rPr>
        <w:t>consultation</w:t>
      </w:r>
      <w:r>
        <w:rPr>
          <w:spacing w:val="-7"/>
          <w:w w:val="105"/>
          <w:sz w:val="21"/>
        </w:rPr>
        <w:t> </w:t>
      </w:r>
      <w:r>
        <w:rPr>
          <w:w w:val="105"/>
          <w:sz w:val="21"/>
        </w:rPr>
        <w:t>paper</w:t>
      </w:r>
      <w:r>
        <w:rPr>
          <w:spacing w:val="-7"/>
          <w:w w:val="105"/>
          <w:sz w:val="21"/>
        </w:rPr>
        <w:t> </w:t>
      </w:r>
      <w:r>
        <w:rPr>
          <w:w w:val="105"/>
          <w:sz w:val="21"/>
        </w:rPr>
        <w:t>on</w:t>
      </w:r>
      <w:r>
        <w:rPr>
          <w:spacing w:val="-7"/>
          <w:w w:val="105"/>
          <w:sz w:val="21"/>
        </w:rPr>
        <w:t> </w:t>
      </w:r>
      <w:r>
        <w:rPr>
          <w:spacing w:val="-3"/>
          <w:w w:val="105"/>
          <w:sz w:val="21"/>
        </w:rPr>
        <w:t>intestacy,</w:t>
      </w:r>
      <w:r>
        <w:rPr>
          <w:spacing w:val="-8"/>
          <w:w w:val="105"/>
          <w:sz w:val="21"/>
        </w:rPr>
        <w:t> </w:t>
      </w:r>
      <w:r>
        <w:rPr>
          <w:w w:val="105"/>
          <w:sz w:val="21"/>
        </w:rPr>
        <w:t>the</w:t>
      </w:r>
      <w:r>
        <w:rPr>
          <w:spacing w:val="-7"/>
          <w:w w:val="105"/>
          <w:sz w:val="21"/>
        </w:rPr>
        <w:t> </w:t>
      </w:r>
      <w:r>
        <w:rPr>
          <w:spacing w:val="-3"/>
          <w:w w:val="105"/>
          <w:sz w:val="21"/>
        </w:rPr>
        <w:t>Commission</w:t>
      </w:r>
      <w:r>
        <w:rPr>
          <w:spacing w:val="-7"/>
          <w:w w:val="105"/>
          <w:sz w:val="21"/>
        </w:rPr>
        <w:t> </w:t>
      </w:r>
      <w:r>
        <w:rPr>
          <w:spacing w:val="-3"/>
          <w:w w:val="105"/>
          <w:sz w:val="21"/>
        </w:rPr>
        <w:t>asked</w:t>
      </w:r>
      <w:r>
        <w:rPr>
          <w:spacing w:val="-7"/>
          <w:w w:val="105"/>
          <w:sz w:val="21"/>
        </w:rPr>
        <w:t> </w:t>
      </w:r>
      <w:r>
        <w:rPr>
          <w:w w:val="105"/>
          <w:sz w:val="21"/>
        </w:rPr>
        <w:t>whether</w:t>
      </w:r>
      <w:r>
        <w:rPr>
          <w:spacing w:val="-7"/>
          <w:w w:val="105"/>
          <w:sz w:val="21"/>
        </w:rPr>
        <w:t> </w:t>
      </w:r>
      <w:r>
        <w:rPr>
          <w:w w:val="105"/>
          <w:sz w:val="21"/>
        </w:rPr>
        <w:t>more</w:t>
      </w:r>
      <w:r>
        <w:rPr>
          <w:spacing w:val="-8"/>
          <w:w w:val="105"/>
          <w:sz w:val="21"/>
        </w:rPr>
        <w:t> </w:t>
      </w:r>
      <w:r>
        <w:rPr>
          <w:w w:val="105"/>
          <w:sz w:val="21"/>
        </w:rPr>
        <w:t>flexible </w:t>
      </w:r>
      <w:r>
        <w:rPr>
          <w:spacing w:val="-3"/>
          <w:w w:val="105"/>
          <w:sz w:val="21"/>
        </w:rPr>
        <w:t>provisions</w:t>
      </w:r>
      <w:r>
        <w:rPr>
          <w:spacing w:val="-8"/>
          <w:w w:val="105"/>
          <w:sz w:val="21"/>
        </w:rPr>
        <w:t> </w:t>
      </w:r>
      <w:r>
        <w:rPr>
          <w:spacing w:val="-3"/>
          <w:w w:val="105"/>
          <w:sz w:val="21"/>
        </w:rPr>
        <w:t>are</w:t>
      </w:r>
      <w:r>
        <w:rPr>
          <w:spacing w:val="-7"/>
          <w:w w:val="105"/>
          <w:sz w:val="21"/>
        </w:rPr>
        <w:t> </w:t>
      </w:r>
      <w:r>
        <w:rPr>
          <w:w w:val="105"/>
          <w:sz w:val="21"/>
        </w:rPr>
        <w:t>needed</w:t>
      </w:r>
      <w:r>
        <w:rPr>
          <w:spacing w:val="-7"/>
          <w:w w:val="105"/>
          <w:sz w:val="21"/>
        </w:rPr>
        <w:t> </w:t>
      </w:r>
      <w:r>
        <w:rPr>
          <w:spacing w:val="-3"/>
          <w:w w:val="105"/>
          <w:sz w:val="21"/>
        </w:rPr>
        <w:t>for</w:t>
      </w:r>
      <w:r>
        <w:rPr>
          <w:spacing w:val="-8"/>
          <w:w w:val="105"/>
          <w:sz w:val="21"/>
        </w:rPr>
        <w:t> </w:t>
      </w:r>
      <w:r>
        <w:rPr>
          <w:w w:val="105"/>
          <w:sz w:val="21"/>
        </w:rPr>
        <w:t>the</w:t>
      </w:r>
      <w:r>
        <w:rPr>
          <w:spacing w:val="-7"/>
          <w:w w:val="105"/>
          <w:sz w:val="21"/>
        </w:rPr>
        <w:t> </w:t>
      </w:r>
      <w:r>
        <w:rPr>
          <w:spacing w:val="-2"/>
          <w:w w:val="105"/>
          <w:sz w:val="21"/>
        </w:rPr>
        <w:t>distribution</w:t>
      </w:r>
      <w:r>
        <w:rPr>
          <w:spacing w:val="-7"/>
          <w:w w:val="105"/>
          <w:sz w:val="21"/>
        </w:rPr>
        <w:t> </w:t>
      </w:r>
      <w:r>
        <w:rPr>
          <w:w w:val="105"/>
          <w:sz w:val="21"/>
        </w:rPr>
        <w:t>of</w:t>
      </w:r>
      <w:r>
        <w:rPr>
          <w:spacing w:val="-7"/>
          <w:w w:val="105"/>
          <w:sz w:val="21"/>
        </w:rPr>
        <w:t> </w:t>
      </w:r>
      <w:r>
        <w:rPr>
          <w:w w:val="105"/>
          <w:sz w:val="21"/>
        </w:rPr>
        <w:t>Indigenous</w:t>
      </w:r>
      <w:r>
        <w:rPr>
          <w:spacing w:val="-8"/>
          <w:w w:val="105"/>
          <w:sz w:val="21"/>
        </w:rPr>
        <w:t> </w:t>
      </w:r>
      <w:r>
        <w:rPr>
          <w:spacing w:val="-3"/>
          <w:w w:val="105"/>
          <w:sz w:val="21"/>
        </w:rPr>
        <w:t>intestate</w:t>
      </w:r>
      <w:r>
        <w:rPr>
          <w:spacing w:val="-7"/>
          <w:w w:val="105"/>
          <w:sz w:val="21"/>
        </w:rPr>
        <w:t> </w:t>
      </w:r>
      <w:r>
        <w:rPr>
          <w:w w:val="105"/>
          <w:sz w:val="21"/>
        </w:rPr>
        <w:t>estates</w:t>
      </w:r>
      <w:r>
        <w:rPr>
          <w:spacing w:val="-7"/>
          <w:w w:val="105"/>
          <w:sz w:val="21"/>
        </w:rPr>
        <w:t> </w:t>
      </w:r>
      <w:r>
        <w:rPr>
          <w:spacing w:val="-3"/>
          <w:w w:val="105"/>
          <w:sz w:val="21"/>
        </w:rPr>
        <w:t>and,</w:t>
      </w:r>
      <w:r>
        <w:rPr>
          <w:spacing w:val="-7"/>
          <w:w w:val="105"/>
          <w:sz w:val="21"/>
        </w:rPr>
        <w:t> </w:t>
      </w:r>
      <w:r>
        <w:rPr>
          <w:w w:val="105"/>
          <w:sz w:val="21"/>
        </w:rPr>
        <w:t>if</w:t>
      </w:r>
      <w:r>
        <w:rPr>
          <w:spacing w:val="-8"/>
          <w:w w:val="105"/>
          <w:sz w:val="21"/>
        </w:rPr>
        <w:t> </w:t>
      </w:r>
      <w:r>
        <w:rPr>
          <w:spacing w:val="-3"/>
          <w:w w:val="105"/>
          <w:sz w:val="21"/>
        </w:rPr>
        <w:t>so, </w:t>
      </w:r>
      <w:r>
        <w:rPr>
          <w:w w:val="105"/>
          <w:sz w:val="21"/>
        </w:rPr>
        <w:t>what </w:t>
      </w:r>
      <w:r>
        <w:rPr>
          <w:spacing w:val="-3"/>
          <w:w w:val="105"/>
          <w:sz w:val="21"/>
        </w:rPr>
        <w:t>form </w:t>
      </w:r>
      <w:r>
        <w:rPr>
          <w:w w:val="105"/>
          <w:sz w:val="21"/>
        </w:rPr>
        <w:t>they should</w:t>
      </w:r>
      <w:r>
        <w:rPr>
          <w:spacing w:val="24"/>
          <w:w w:val="105"/>
          <w:sz w:val="21"/>
        </w:rPr>
        <w:t> </w:t>
      </w:r>
      <w:r>
        <w:rPr>
          <w:spacing w:val="-3"/>
          <w:w w:val="105"/>
          <w:sz w:val="21"/>
        </w:rPr>
        <w:t>take.</w:t>
      </w:r>
      <w:r>
        <w:rPr>
          <w:spacing w:val="-3"/>
          <w:w w:val="105"/>
          <w:position w:val="7"/>
          <w:sz w:val="12"/>
        </w:rPr>
        <w:t>285</w:t>
      </w:r>
    </w:p>
    <w:p>
      <w:pPr>
        <w:pStyle w:val="BodyText"/>
        <w:spacing w:before="12"/>
        <w:rPr>
          <w:sz w:val="19"/>
        </w:rPr>
      </w:pPr>
      <w:r>
        <w:rPr/>
        <w:pict>
          <v:line style="position:absolute;mso-position-horizontal-relative:page;mso-position-vertical-relative:paragraph;z-index:6152;mso-wrap-distance-left:0;mso-wrap-distance-right:0" from="79.370102pt,14.64834pt" to="515.905102pt,14.64834pt" stroked="true" strokeweight="1pt" strokecolor="#f9ceca">
            <v:stroke dashstyle="solid"/>
            <w10:wrap type="topAndBottom"/>
          </v:line>
        </w:pict>
      </w:r>
    </w:p>
    <w:p>
      <w:pPr>
        <w:pStyle w:val="ListParagraph"/>
        <w:numPr>
          <w:ilvl w:val="0"/>
          <w:numId w:val="76"/>
        </w:numPr>
        <w:tabs>
          <w:tab w:pos="2381" w:val="left" w:leader="none"/>
          <w:tab w:pos="2382" w:val="left" w:leader="none"/>
        </w:tabs>
        <w:spacing w:line="240" w:lineRule="auto" w:before="117" w:after="0"/>
        <w:ind w:left="2381" w:right="0" w:hanging="794"/>
        <w:jc w:val="left"/>
        <w:rPr>
          <w:sz w:val="13"/>
        </w:rPr>
      </w:pPr>
      <w:r>
        <w:rPr>
          <w:w w:val="105"/>
          <w:sz w:val="13"/>
        </w:rPr>
        <w:t>National</w:t>
      </w:r>
      <w:r>
        <w:rPr>
          <w:spacing w:val="4"/>
          <w:w w:val="105"/>
          <w:sz w:val="13"/>
        </w:rPr>
        <w:t> </w:t>
      </w:r>
      <w:r>
        <w:rPr>
          <w:w w:val="105"/>
          <w:sz w:val="13"/>
        </w:rPr>
        <w:t>Committee</w:t>
      </w:r>
      <w:r>
        <w:rPr>
          <w:spacing w:val="5"/>
          <w:w w:val="105"/>
          <w:sz w:val="13"/>
        </w:rPr>
        <w:t> </w:t>
      </w:r>
      <w:r>
        <w:rPr>
          <w:w w:val="105"/>
          <w:sz w:val="13"/>
        </w:rPr>
        <w:t>for</w:t>
      </w:r>
      <w:r>
        <w:rPr>
          <w:spacing w:val="5"/>
          <w:w w:val="105"/>
          <w:sz w:val="13"/>
        </w:rPr>
        <w:t> </w:t>
      </w:r>
      <w:r>
        <w:rPr>
          <w:w w:val="105"/>
          <w:sz w:val="13"/>
        </w:rPr>
        <w:t>Uniform</w:t>
      </w:r>
      <w:r>
        <w:rPr>
          <w:spacing w:val="5"/>
          <w:w w:val="105"/>
          <w:sz w:val="13"/>
        </w:rPr>
        <w:t> </w:t>
      </w:r>
      <w:r>
        <w:rPr>
          <w:w w:val="105"/>
          <w:sz w:val="13"/>
        </w:rPr>
        <w:t>Succession</w:t>
      </w:r>
      <w:r>
        <w:rPr>
          <w:spacing w:val="4"/>
          <w:w w:val="105"/>
          <w:sz w:val="13"/>
        </w:rPr>
        <w:t> </w:t>
      </w:r>
      <w:r>
        <w:rPr>
          <w:w w:val="105"/>
          <w:sz w:val="13"/>
        </w:rPr>
        <w:t>Laws,</w:t>
      </w:r>
      <w:r>
        <w:rPr>
          <w:spacing w:val="5"/>
          <w:w w:val="105"/>
          <w:sz w:val="13"/>
        </w:rPr>
        <w:t> </w:t>
      </w:r>
      <w:r>
        <w:rPr>
          <w:w w:val="105"/>
          <w:sz w:val="13"/>
        </w:rPr>
        <w:t>above</w:t>
      </w:r>
      <w:r>
        <w:rPr>
          <w:spacing w:val="5"/>
          <w:w w:val="105"/>
          <w:sz w:val="13"/>
        </w:rPr>
        <w:t> </w:t>
      </w:r>
      <w:r>
        <w:rPr>
          <w:w w:val="105"/>
          <w:sz w:val="13"/>
        </w:rPr>
        <w:t>n</w:t>
      </w:r>
      <w:r>
        <w:rPr>
          <w:spacing w:val="5"/>
          <w:w w:val="105"/>
          <w:sz w:val="13"/>
        </w:rPr>
        <w:t> </w:t>
      </w:r>
      <w:r>
        <w:rPr>
          <w:w w:val="105"/>
          <w:sz w:val="13"/>
        </w:rPr>
        <w:t>10,</w:t>
      </w:r>
      <w:r>
        <w:rPr>
          <w:spacing w:val="5"/>
          <w:w w:val="105"/>
          <w:sz w:val="13"/>
        </w:rPr>
        <w:t> </w:t>
      </w:r>
      <w:r>
        <w:rPr>
          <w:w w:val="105"/>
          <w:sz w:val="13"/>
        </w:rPr>
        <w:t>228.</w:t>
      </w:r>
    </w:p>
    <w:p>
      <w:pPr>
        <w:pStyle w:val="ListParagraph"/>
        <w:numPr>
          <w:ilvl w:val="0"/>
          <w:numId w:val="76"/>
        </w:numPr>
        <w:tabs>
          <w:tab w:pos="2381" w:val="left" w:leader="none"/>
          <w:tab w:pos="2382" w:val="left" w:leader="none"/>
        </w:tabs>
        <w:spacing w:line="240" w:lineRule="auto" w:before="1" w:after="0"/>
        <w:ind w:left="2381" w:right="0" w:hanging="794"/>
        <w:jc w:val="left"/>
        <w:rPr>
          <w:sz w:val="13"/>
        </w:rPr>
      </w:pPr>
      <w:r>
        <w:rPr>
          <w:sz w:val="13"/>
        </w:rPr>
        <w:t>Ibid.</w:t>
      </w:r>
    </w:p>
    <w:p>
      <w:pPr>
        <w:pStyle w:val="ListParagraph"/>
        <w:numPr>
          <w:ilvl w:val="0"/>
          <w:numId w:val="76"/>
        </w:numPr>
        <w:tabs>
          <w:tab w:pos="2381" w:val="left" w:leader="none"/>
          <w:tab w:pos="2382" w:val="left" w:leader="none"/>
        </w:tabs>
        <w:spacing w:line="240" w:lineRule="auto" w:before="2" w:after="0"/>
        <w:ind w:left="2381" w:right="1855" w:hanging="794"/>
        <w:jc w:val="left"/>
        <w:rPr>
          <w:sz w:val="13"/>
        </w:rPr>
      </w:pPr>
      <w:r>
        <w:rPr>
          <w:w w:val="105"/>
          <w:sz w:val="13"/>
        </w:rPr>
        <w:t>Lidia Xynas, ‘Succession and Indigenous Australians: Addressing Indigenous Customary Law Notions of “Property” and “Kinship” in a Succession Law Context’ </w:t>
      </w:r>
      <w:r>
        <w:rPr>
          <w:spacing w:val="-3"/>
          <w:w w:val="105"/>
          <w:sz w:val="13"/>
        </w:rPr>
        <w:t>(2011) 19 </w:t>
      </w:r>
      <w:r>
        <w:rPr>
          <w:i/>
          <w:w w:val="105"/>
          <w:sz w:val="13"/>
        </w:rPr>
        <w:t>Australian Property Law Journal </w:t>
      </w:r>
      <w:r>
        <w:rPr>
          <w:w w:val="105"/>
          <w:sz w:val="13"/>
        </w:rPr>
        <w:t>199, 207–12; Prue Vines, ‘Consequences of Intestacy for Indigenous People</w:t>
      </w:r>
      <w:r>
        <w:rPr>
          <w:spacing w:val="4"/>
          <w:w w:val="105"/>
          <w:sz w:val="13"/>
        </w:rPr>
        <w:t> </w:t>
      </w:r>
      <w:r>
        <w:rPr>
          <w:w w:val="105"/>
          <w:sz w:val="13"/>
        </w:rPr>
        <w:t>in</w:t>
      </w:r>
      <w:r>
        <w:rPr>
          <w:spacing w:val="5"/>
          <w:w w:val="105"/>
          <w:sz w:val="13"/>
        </w:rPr>
        <w:t> </w:t>
      </w:r>
      <w:r>
        <w:rPr>
          <w:w w:val="105"/>
          <w:sz w:val="13"/>
        </w:rPr>
        <w:t>Australia:</w:t>
      </w:r>
      <w:r>
        <w:rPr>
          <w:spacing w:val="5"/>
          <w:w w:val="105"/>
          <w:sz w:val="13"/>
        </w:rPr>
        <w:t> </w:t>
      </w:r>
      <w:r>
        <w:rPr>
          <w:w w:val="105"/>
          <w:sz w:val="13"/>
        </w:rPr>
        <w:t>The</w:t>
      </w:r>
      <w:r>
        <w:rPr>
          <w:spacing w:val="5"/>
          <w:w w:val="105"/>
          <w:sz w:val="13"/>
        </w:rPr>
        <w:t> </w:t>
      </w:r>
      <w:r>
        <w:rPr>
          <w:w w:val="105"/>
          <w:sz w:val="13"/>
        </w:rPr>
        <w:t>Passing</w:t>
      </w:r>
      <w:r>
        <w:rPr>
          <w:spacing w:val="5"/>
          <w:w w:val="105"/>
          <w:sz w:val="13"/>
        </w:rPr>
        <w:t> </w:t>
      </w:r>
      <w:r>
        <w:rPr>
          <w:w w:val="105"/>
          <w:sz w:val="13"/>
        </w:rPr>
        <w:t>of</w:t>
      </w:r>
      <w:r>
        <w:rPr>
          <w:spacing w:val="5"/>
          <w:w w:val="105"/>
          <w:sz w:val="13"/>
        </w:rPr>
        <w:t> </w:t>
      </w:r>
      <w:r>
        <w:rPr>
          <w:spacing w:val="2"/>
          <w:w w:val="105"/>
          <w:sz w:val="13"/>
        </w:rPr>
        <w:t>Property</w:t>
      </w:r>
      <w:r>
        <w:rPr>
          <w:spacing w:val="4"/>
          <w:w w:val="105"/>
          <w:sz w:val="13"/>
        </w:rPr>
        <w:t> </w:t>
      </w:r>
      <w:r>
        <w:rPr>
          <w:w w:val="105"/>
          <w:sz w:val="13"/>
        </w:rPr>
        <w:t>and</w:t>
      </w:r>
      <w:r>
        <w:rPr>
          <w:spacing w:val="5"/>
          <w:w w:val="105"/>
          <w:sz w:val="13"/>
        </w:rPr>
        <w:t> </w:t>
      </w:r>
      <w:r>
        <w:rPr>
          <w:w w:val="105"/>
          <w:sz w:val="13"/>
        </w:rPr>
        <w:t>Burial</w:t>
      </w:r>
      <w:r>
        <w:rPr>
          <w:spacing w:val="5"/>
          <w:w w:val="105"/>
          <w:sz w:val="13"/>
        </w:rPr>
        <w:t> </w:t>
      </w:r>
      <w:r>
        <w:rPr>
          <w:w w:val="105"/>
          <w:sz w:val="13"/>
        </w:rPr>
        <w:t>Rights’</w:t>
      </w:r>
      <w:r>
        <w:rPr>
          <w:spacing w:val="5"/>
          <w:w w:val="105"/>
          <w:sz w:val="13"/>
        </w:rPr>
        <w:t> </w:t>
      </w:r>
      <w:r>
        <w:rPr>
          <w:spacing w:val="2"/>
          <w:w w:val="105"/>
          <w:sz w:val="13"/>
        </w:rPr>
        <w:t>(2004)</w:t>
      </w:r>
      <w:r>
        <w:rPr>
          <w:spacing w:val="5"/>
          <w:w w:val="105"/>
          <w:sz w:val="13"/>
        </w:rPr>
        <w:t> </w:t>
      </w:r>
      <w:r>
        <w:rPr>
          <w:w w:val="105"/>
          <w:sz w:val="13"/>
        </w:rPr>
        <w:t>8</w:t>
      </w:r>
      <w:r>
        <w:rPr>
          <w:spacing w:val="5"/>
          <w:w w:val="105"/>
          <w:sz w:val="13"/>
        </w:rPr>
        <w:t> </w:t>
      </w:r>
      <w:r>
        <w:rPr>
          <w:i/>
          <w:w w:val="105"/>
          <w:sz w:val="13"/>
        </w:rPr>
        <w:t>Australian</w:t>
      </w:r>
      <w:r>
        <w:rPr>
          <w:i/>
          <w:spacing w:val="4"/>
          <w:w w:val="105"/>
          <w:sz w:val="13"/>
        </w:rPr>
        <w:t> </w:t>
      </w:r>
      <w:r>
        <w:rPr>
          <w:i/>
          <w:w w:val="105"/>
          <w:sz w:val="13"/>
        </w:rPr>
        <w:t>Indigenous</w:t>
      </w:r>
      <w:r>
        <w:rPr>
          <w:i/>
          <w:spacing w:val="3"/>
          <w:w w:val="105"/>
          <w:sz w:val="13"/>
        </w:rPr>
        <w:t> </w:t>
      </w:r>
      <w:r>
        <w:rPr>
          <w:i/>
          <w:w w:val="105"/>
          <w:sz w:val="13"/>
        </w:rPr>
        <w:t>Law</w:t>
      </w:r>
      <w:r>
        <w:rPr>
          <w:i/>
          <w:spacing w:val="4"/>
          <w:w w:val="105"/>
          <w:sz w:val="13"/>
        </w:rPr>
        <w:t> </w:t>
      </w:r>
      <w:r>
        <w:rPr>
          <w:i/>
          <w:w w:val="105"/>
          <w:sz w:val="13"/>
        </w:rPr>
        <w:t>Review</w:t>
      </w:r>
      <w:r>
        <w:rPr>
          <w:i/>
          <w:spacing w:val="5"/>
          <w:w w:val="105"/>
          <w:sz w:val="13"/>
        </w:rPr>
        <w:t> </w:t>
      </w:r>
      <w:r>
        <w:rPr>
          <w:spacing w:val="-3"/>
          <w:w w:val="105"/>
          <w:sz w:val="13"/>
        </w:rPr>
        <w:t>1,</w:t>
      </w:r>
      <w:r>
        <w:rPr>
          <w:spacing w:val="5"/>
          <w:w w:val="105"/>
          <w:sz w:val="13"/>
        </w:rPr>
        <w:t> </w:t>
      </w:r>
      <w:r>
        <w:rPr>
          <w:w w:val="105"/>
          <w:sz w:val="13"/>
        </w:rPr>
        <w:t>1–2.</w:t>
      </w:r>
    </w:p>
    <w:p>
      <w:pPr>
        <w:pStyle w:val="ListParagraph"/>
        <w:numPr>
          <w:ilvl w:val="0"/>
          <w:numId w:val="76"/>
        </w:numPr>
        <w:tabs>
          <w:tab w:pos="2381" w:val="left" w:leader="none"/>
          <w:tab w:pos="2382" w:val="left" w:leader="none"/>
        </w:tabs>
        <w:spacing w:line="240" w:lineRule="auto" w:before="4" w:after="0"/>
        <w:ind w:left="2381" w:right="0" w:hanging="794"/>
        <w:jc w:val="left"/>
        <w:rPr>
          <w:sz w:val="13"/>
        </w:rPr>
      </w:pPr>
      <w:r>
        <w:rPr>
          <w:w w:val="105"/>
          <w:sz w:val="13"/>
        </w:rPr>
        <w:t>Vines, above n 276,</w:t>
      </w:r>
      <w:r>
        <w:rPr>
          <w:spacing w:val="18"/>
          <w:w w:val="105"/>
          <w:sz w:val="13"/>
        </w:rPr>
        <w:t> </w:t>
      </w:r>
      <w:r>
        <w:rPr>
          <w:w w:val="105"/>
          <w:sz w:val="13"/>
        </w:rPr>
        <w:t>1–2.</w:t>
      </w:r>
    </w:p>
    <w:p>
      <w:pPr>
        <w:pStyle w:val="ListParagraph"/>
        <w:numPr>
          <w:ilvl w:val="0"/>
          <w:numId w:val="76"/>
        </w:numPr>
        <w:tabs>
          <w:tab w:pos="2381" w:val="left" w:leader="none"/>
          <w:tab w:pos="2382" w:val="left" w:leader="none"/>
        </w:tabs>
        <w:spacing w:line="240" w:lineRule="auto" w:before="1" w:after="0"/>
        <w:ind w:left="2381" w:right="1626" w:hanging="794"/>
        <w:jc w:val="both"/>
        <w:rPr>
          <w:sz w:val="13"/>
        </w:rPr>
      </w:pPr>
      <w:r>
        <w:rPr>
          <w:w w:val="105"/>
          <w:sz w:val="13"/>
        </w:rPr>
        <w:t>National Committee for Uniform Succession Laws, above n 10, 229; Xynas, above n 276, 207–12; Vines, above n 276, </w:t>
      </w:r>
      <w:r>
        <w:rPr>
          <w:spacing w:val="-3"/>
          <w:w w:val="105"/>
          <w:sz w:val="13"/>
        </w:rPr>
        <w:t>1.  </w:t>
      </w:r>
      <w:r>
        <w:rPr>
          <w:w w:val="105"/>
          <w:sz w:val="13"/>
        </w:rPr>
        <w:t>This was reiterated    in one submission and in consultations: submission </w:t>
      </w:r>
      <w:r>
        <w:rPr>
          <w:spacing w:val="-6"/>
          <w:w w:val="105"/>
          <w:sz w:val="13"/>
        </w:rPr>
        <w:t>11 </w:t>
      </w:r>
      <w:r>
        <w:rPr>
          <w:spacing w:val="3"/>
          <w:w w:val="105"/>
          <w:sz w:val="13"/>
        </w:rPr>
        <w:t>(Arts </w:t>
      </w:r>
      <w:r>
        <w:rPr>
          <w:w w:val="105"/>
          <w:sz w:val="13"/>
        </w:rPr>
        <w:t>Law Centre of Australia); consultations 8 </w:t>
      </w:r>
      <w:r>
        <w:rPr>
          <w:spacing w:val="3"/>
          <w:w w:val="105"/>
          <w:sz w:val="13"/>
        </w:rPr>
        <w:t>(Dr </w:t>
      </w:r>
      <w:r>
        <w:rPr>
          <w:w w:val="105"/>
          <w:sz w:val="13"/>
        </w:rPr>
        <w:t>Mark McMillan) and 10 </w:t>
      </w:r>
      <w:r>
        <w:rPr>
          <w:spacing w:val="3"/>
          <w:w w:val="105"/>
          <w:sz w:val="13"/>
        </w:rPr>
        <w:t>(Arts </w:t>
      </w:r>
      <w:r>
        <w:rPr>
          <w:w w:val="105"/>
          <w:sz w:val="13"/>
        </w:rPr>
        <w:t>Law Centre of</w:t>
      </w:r>
      <w:r>
        <w:rPr>
          <w:spacing w:val="9"/>
          <w:w w:val="105"/>
          <w:sz w:val="13"/>
        </w:rPr>
        <w:t> </w:t>
      </w:r>
      <w:r>
        <w:rPr>
          <w:w w:val="105"/>
          <w:sz w:val="13"/>
        </w:rPr>
        <w:t>Australia).</w:t>
      </w:r>
    </w:p>
    <w:p>
      <w:pPr>
        <w:pStyle w:val="ListParagraph"/>
        <w:numPr>
          <w:ilvl w:val="0"/>
          <w:numId w:val="76"/>
        </w:numPr>
        <w:tabs>
          <w:tab w:pos="2381" w:val="left" w:leader="none"/>
          <w:tab w:pos="2382" w:val="left" w:leader="none"/>
        </w:tabs>
        <w:spacing w:line="240" w:lineRule="auto" w:before="4" w:after="0"/>
        <w:ind w:left="2381" w:right="1686" w:hanging="794"/>
        <w:jc w:val="left"/>
        <w:rPr>
          <w:i/>
          <w:sz w:val="13"/>
        </w:rPr>
      </w:pPr>
      <w:r>
        <w:rPr>
          <w:w w:val="105"/>
          <w:sz w:val="13"/>
        </w:rPr>
        <w:t>Submission </w:t>
      </w:r>
      <w:r>
        <w:rPr>
          <w:spacing w:val="-6"/>
          <w:w w:val="105"/>
          <w:sz w:val="13"/>
        </w:rPr>
        <w:t>11 </w:t>
      </w:r>
      <w:r>
        <w:rPr>
          <w:spacing w:val="3"/>
          <w:w w:val="105"/>
          <w:sz w:val="13"/>
        </w:rPr>
        <w:t>(Arts </w:t>
      </w:r>
      <w:r>
        <w:rPr>
          <w:w w:val="105"/>
          <w:sz w:val="13"/>
        </w:rPr>
        <w:t>Law Centre of Australia). The </w:t>
      </w:r>
      <w:r>
        <w:rPr>
          <w:spacing w:val="3"/>
          <w:w w:val="105"/>
          <w:sz w:val="13"/>
        </w:rPr>
        <w:t>Arts </w:t>
      </w:r>
      <w:r>
        <w:rPr>
          <w:w w:val="105"/>
          <w:sz w:val="13"/>
        </w:rPr>
        <w:t>Law Centre is the national community legal centre for the </w:t>
      </w:r>
      <w:r>
        <w:rPr>
          <w:spacing w:val="2"/>
          <w:w w:val="105"/>
          <w:sz w:val="13"/>
        </w:rPr>
        <w:t>arts, </w:t>
      </w:r>
      <w:r>
        <w:rPr>
          <w:w w:val="105"/>
          <w:sz w:val="13"/>
        </w:rPr>
        <w:t>providing legal information on a range of arts-related legal issues to </w:t>
      </w:r>
      <w:r>
        <w:rPr>
          <w:spacing w:val="2"/>
          <w:w w:val="105"/>
          <w:sz w:val="13"/>
        </w:rPr>
        <w:t>artists </w:t>
      </w:r>
      <w:r>
        <w:rPr>
          <w:w w:val="105"/>
          <w:sz w:val="13"/>
        </w:rPr>
        <w:t>and art organisations. It is involved ‘in the worlds of both art and law’ and represents</w:t>
      </w:r>
      <w:r>
        <w:rPr>
          <w:spacing w:val="6"/>
          <w:w w:val="105"/>
          <w:sz w:val="13"/>
        </w:rPr>
        <w:t> </w:t>
      </w:r>
      <w:r>
        <w:rPr>
          <w:spacing w:val="-3"/>
          <w:w w:val="105"/>
          <w:sz w:val="13"/>
        </w:rPr>
        <w:t>‘a</w:t>
      </w:r>
      <w:r>
        <w:rPr>
          <w:spacing w:val="7"/>
          <w:w w:val="105"/>
          <w:sz w:val="13"/>
        </w:rPr>
        <w:t> </w:t>
      </w:r>
      <w:r>
        <w:rPr>
          <w:w w:val="105"/>
          <w:sz w:val="13"/>
        </w:rPr>
        <w:t>large</w:t>
      </w:r>
      <w:r>
        <w:rPr>
          <w:spacing w:val="7"/>
          <w:w w:val="105"/>
          <w:sz w:val="13"/>
        </w:rPr>
        <w:t> </w:t>
      </w:r>
      <w:r>
        <w:rPr>
          <w:w w:val="105"/>
          <w:sz w:val="13"/>
        </w:rPr>
        <w:t>group</w:t>
      </w:r>
      <w:r>
        <w:rPr>
          <w:spacing w:val="7"/>
          <w:w w:val="105"/>
          <w:sz w:val="13"/>
        </w:rPr>
        <w:t> </w:t>
      </w:r>
      <w:r>
        <w:rPr>
          <w:w w:val="105"/>
          <w:sz w:val="13"/>
        </w:rPr>
        <w:t>of</w:t>
      </w:r>
      <w:r>
        <w:rPr>
          <w:spacing w:val="7"/>
          <w:w w:val="105"/>
          <w:sz w:val="13"/>
        </w:rPr>
        <w:t> </w:t>
      </w:r>
      <w:r>
        <w:rPr>
          <w:w w:val="105"/>
          <w:sz w:val="13"/>
        </w:rPr>
        <w:t>Aboriginal</w:t>
      </w:r>
      <w:r>
        <w:rPr>
          <w:spacing w:val="7"/>
          <w:w w:val="105"/>
          <w:sz w:val="13"/>
        </w:rPr>
        <w:t> </w:t>
      </w:r>
      <w:r>
        <w:rPr>
          <w:w w:val="105"/>
          <w:sz w:val="13"/>
        </w:rPr>
        <w:t>and</w:t>
      </w:r>
      <w:r>
        <w:rPr>
          <w:spacing w:val="7"/>
          <w:w w:val="105"/>
          <w:sz w:val="13"/>
        </w:rPr>
        <w:t> </w:t>
      </w:r>
      <w:r>
        <w:rPr>
          <w:w w:val="105"/>
          <w:sz w:val="13"/>
        </w:rPr>
        <w:t>Torres</w:t>
      </w:r>
      <w:r>
        <w:rPr>
          <w:spacing w:val="7"/>
          <w:w w:val="105"/>
          <w:sz w:val="13"/>
        </w:rPr>
        <w:t> </w:t>
      </w:r>
      <w:r>
        <w:rPr>
          <w:w w:val="105"/>
          <w:sz w:val="13"/>
        </w:rPr>
        <w:t>Strait</w:t>
      </w:r>
      <w:r>
        <w:rPr>
          <w:spacing w:val="7"/>
          <w:w w:val="105"/>
          <w:sz w:val="13"/>
        </w:rPr>
        <w:t> </w:t>
      </w:r>
      <w:r>
        <w:rPr>
          <w:w w:val="105"/>
          <w:sz w:val="13"/>
        </w:rPr>
        <w:t>Islander</w:t>
      </w:r>
      <w:r>
        <w:rPr>
          <w:spacing w:val="7"/>
          <w:w w:val="105"/>
          <w:sz w:val="13"/>
        </w:rPr>
        <w:t> </w:t>
      </w:r>
      <w:r>
        <w:rPr>
          <w:w w:val="105"/>
          <w:sz w:val="13"/>
        </w:rPr>
        <w:t>artists,</w:t>
      </w:r>
      <w:r>
        <w:rPr>
          <w:spacing w:val="7"/>
          <w:w w:val="105"/>
          <w:sz w:val="13"/>
        </w:rPr>
        <w:t> </w:t>
      </w:r>
      <w:r>
        <w:rPr>
          <w:w w:val="105"/>
          <w:sz w:val="13"/>
        </w:rPr>
        <w:t>including</w:t>
      </w:r>
      <w:r>
        <w:rPr>
          <w:spacing w:val="7"/>
          <w:w w:val="105"/>
          <w:sz w:val="13"/>
        </w:rPr>
        <w:t> </w:t>
      </w:r>
      <w:r>
        <w:rPr>
          <w:w w:val="105"/>
          <w:sz w:val="13"/>
        </w:rPr>
        <w:t>Victorian</w:t>
      </w:r>
      <w:r>
        <w:rPr>
          <w:spacing w:val="7"/>
          <w:w w:val="105"/>
          <w:sz w:val="13"/>
        </w:rPr>
        <w:t> </w:t>
      </w:r>
      <w:r>
        <w:rPr>
          <w:w w:val="105"/>
          <w:sz w:val="13"/>
        </w:rPr>
        <w:t>artists’:</w:t>
      </w:r>
      <w:r>
        <w:rPr>
          <w:spacing w:val="7"/>
          <w:w w:val="105"/>
          <w:sz w:val="13"/>
        </w:rPr>
        <w:t> </w:t>
      </w:r>
      <w:r>
        <w:rPr>
          <w:spacing w:val="3"/>
          <w:w w:val="105"/>
          <w:sz w:val="13"/>
        </w:rPr>
        <w:t>Arts</w:t>
      </w:r>
      <w:r>
        <w:rPr>
          <w:spacing w:val="6"/>
          <w:w w:val="105"/>
          <w:sz w:val="13"/>
        </w:rPr>
        <w:t> </w:t>
      </w:r>
      <w:r>
        <w:rPr>
          <w:w w:val="105"/>
          <w:sz w:val="13"/>
        </w:rPr>
        <w:t>Law</w:t>
      </w:r>
      <w:r>
        <w:rPr>
          <w:spacing w:val="7"/>
          <w:w w:val="105"/>
          <w:sz w:val="13"/>
        </w:rPr>
        <w:t> </w:t>
      </w:r>
      <w:r>
        <w:rPr>
          <w:w w:val="105"/>
          <w:sz w:val="13"/>
        </w:rPr>
        <w:t>Centre</w:t>
      </w:r>
      <w:r>
        <w:rPr>
          <w:spacing w:val="7"/>
          <w:w w:val="105"/>
          <w:sz w:val="13"/>
        </w:rPr>
        <w:t> </w:t>
      </w:r>
      <w:r>
        <w:rPr>
          <w:w w:val="105"/>
          <w:sz w:val="13"/>
        </w:rPr>
        <w:t>of</w:t>
      </w:r>
      <w:r>
        <w:rPr>
          <w:spacing w:val="7"/>
          <w:w w:val="105"/>
          <w:sz w:val="13"/>
        </w:rPr>
        <w:t> </w:t>
      </w:r>
      <w:r>
        <w:rPr>
          <w:w w:val="105"/>
          <w:sz w:val="13"/>
        </w:rPr>
        <w:t>Australia,</w:t>
      </w:r>
      <w:r>
        <w:rPr>
          <w:spacing w:val="7"/>
          <w:w w:val="105"/>
          <w:sz w:val="13"/>
        </w:rPr>
        <w:t> </w:t>
      </w:r>
      <w:r>
        <w:rPr>
          <w:i/>
          <w:w w:val="105"/>
          <w:sz w:val="13"/>
        </w:rPr>
        <w:t>About</w:t>
      </w:r>
      <w:r>
        <w:rPr>
          <w:i/>
          <w:spacing w:val="6"/>
          <w:w w:val="105"/>
          <w:sz w:val="13"/>
        </w:rPr>
        <w:t> </w:t>
      </w:r>
      <w:r>
        <w:rPr>
          <w:i/>
          <w:w w:val="105"/>
          <w:sz w:val="13"/>
        </w:rPr>
        <w:t>Us</w:t>
      </w:r>
    </w:p>
    <w:p>
      <w:pPr>
        <w:spacing w:before="4"/>
        <w:ind w:left="2381" w:right="0" w:firstLine="0"/>
        <w:jc w:val="left"/>
        <w:rPr>
          <w:sz w:val="13"/>
        </w:rPr>
      </w:pPr>
      <w:r>
        <w:rPr>
          <w:spacing w:val="2"/>
          <w:sz w:val="13"/>
        </w:rPr>
        <w:t>&lt;</w:t>
      </w:r>
      <w:hyperlink r:id="rId87">
        <w:r>
          <w:rPr>
            <w:spacing w:val="2"/>
            <w:sz w:val="13"/>
          </w:rPr>
          <w:t>http://www.artslaw.com.au/about/</w:t>
        </w:r>
      </w:hyperlink>
      <w:r>
        <w:rPr>
          <w:spacing w:val="2"/>
          <w:sz w:val="13"/>
        </w:rPr>
        <w:t>&gt;.</w:t>
      </w:r>
    </w:p>
    <w:p>
      <w:pPr>
        <w:pStyle w:val="ListParagraph"/>
        <w:numPr>
          <w:ilvl w:val="0"/>
          <w:numId w:val="76"/>
        </w:numPr>
        <w:tabs>
          <w:tab w:pos="2381" w:val="left" w:leader="none"/>
          <w:tab w:pos="2382" w:val="left" w:leader="none"/>
        </w:tabs>
        <w:spacing w:line="240" w:lineRule="auto" w:before="1" w:after="0"/>
        <w:ind w:left="2381" w:right="0" w:hanging="794"/>
        <w:jc w:val="left"/>
        <w:rPr>
          <w:sz w:val="13"/>
        </w:rPr>
      </w:pPr>
      <w:r>
        <w:rPr>
          <w:w w:val="105"/>
          <w:sz w:val="13"/>
        </w:rPr>
        <w:t>National</w:t>
      </w:r>
      <w:r>
        <w:rPr>
          <w:spacing w:val="5"/>
          <w:w w:val="105"/>
          <w:sz w:val="13"/>
        </w:rPr>
        <w:t> </w:t>
      </w:r>
      <w:r>
        <w:rPr>
          <w:w w:val="105"/>
          <w:sz w:val="13"/>
        </w:rPr>
        <w:t>Committee</w:t>
      </w:r>
      <w:r>
        <w:rPr>
          <w:spacing w:val="5"/>
          <w:w w:val="105"/>
          <w:sz w:val="13"/>
        </w:rPr>
        <w:t> </w:t>
      </w:r>
      <w:r>
        <w:rPr>
          <w:w w:val="105"/>
          <w:sz w:val="13"/>
        </w:rPr>
        <w:t>for</w:t>
      </w:r>
      <w:r>
        <w:rPr>
          <w:spacing w:val="5"/>
          <w:w w:val="105"/>
          <w:sz w:val="13"/>
        </w:rPr>
        <w:t> </w:t>
      </w:r>
      <w:r>
        <w:rPr>
          <w:w w:val="105"/>
          <w:sz w:val="13"/>
        </w:rPr>
        <w:t>Uniform</w:t>
      </w:r>
      <w:r>
        <w:rPr>
          <w:spacing w:val="5"/>
          <w:w w:val="105"/>
          <w:sz w:val="13"/>
        </w:rPr>
        <w:t> </w:t>
      </w:r>
      <w:r>
        <w:rPr>
          <w:w w:val="105"/>
          <w:sz w:val="13"/>
        </w:rPr>
        <w:t>Succession</w:t>
      </w:r>
      <w:r>
        <w:rPr>
          <w:spacing w:val="5"/>
          <w:w w:val="105"/>
          <w:sz w:val="13"/>
        </w:rPr>
        <w:t> </w:t>
      </w:r>
      <w:r>
        <w:rPr>
          <w:w w:val="105"/>
          <w:sz w:val="13"/>
        </w:rPr>
        <w:t>Laws,</w:t>
      </w:r>
      <w:r>
        <w:rPr>
          <w:spacing w:val="5"/>
          <w:w w:val="105"/>
          <w:sz w:val="13"/>
        </w:rPr>
        <w:t> </w:t>
      </w:r>
      <w:r>
        <w:rPr>
          <w:w w:val="105"/>
          <w:sz w:val="13"/>
        </w:rPr>
        <w:t>above</w:t>
      </w:r>
      <w:r>
        <w:rPr>
          <w:spacing w:val="5"/>
          <w:w w:val="105"/>
          <w:sz w:val="13"/>
        </w:rPr>
        <w:t> </w:t>
      </w:r>
      <w:r>
        <w:rPr>
          <w:w w:val="105"/>
          <w:sz w:val="13"/>
        </w:rPr>
        <w:t>n</w:t>
      </w:r>
      <w:r>
        <w:rPr>
          <w:spacing w:val="5"/>
          <w:w w:val="105"/>
          <w:sz w:val="13"/>
        </w:rPr>
        <w:t> </w:t>
      </w:r>
      <w:r>
        <w:rPr>
          <w:w w:val="105"/>
          <w:sz w:val="13"/>
        </w:rPr>
        <w:t>10,</w:t>
      </w:r>
      <w:r>
        <w:rPr>
          <w:spacing w:val="5"/>
          <w:w w:val="105"/>
          <w:sz w:val="13"/>
        </w:rPr>
        <w:t> </w:t>
      </w:r>
      <w:r>
        <w:rPr>
          <w:w w:val="105"/>
          <w:sz w:val="13"/>
        </w:rPr>
        <w:t>237–46,</w:t>
      </w:r>
      <w:r>
        <w:rPr>
          <w:spacing w:val="5"/>
          <w:w w:val="105"/>
          <w:sz w:val="13"/>
        </w:rPr>
        <w:t> </w:t>
      </w:r>
      <w:r>
        <w:rPr>
          <w:w w:val="105"/>
          <w:sz w:val="13"/>
        </w:rPr>
        <w:t>recommendation</w:t>
      </w:r>
      <w:r>
        <w:rPr>
          <w:spacing w:val="5"/>
          <w:w w:val="105"/>
          <w:sz w:val="13"/>
        </w:rPr>
        <w:t> </w:t>
      </w:r>
      <w:r>
        <w:rPr>
          <w:w w:val="105"/>
          <w:sz w:val="13"/>
        </w:rPr>
        <w:t>45.</w:t>
      </w:r>
    </w:p>
    <w:p>
      <w:pPr>
        <w:pStyle w:val="ListParagraph"/>
        <w:numPr>
          <w:ilvl w:val="0"/>
          <w:numId w:val="76"/>
        </w:numPr>
        <w:tabs>
          <w:tab w:pos="2381" w:val="left" w:leader="none"/>
          <w:tab w:pos="2382" w:val="left" w:leader="none"/>
        </w:tabs>
        <w:spacing w:line="240" w:lineRule="auto" w:before="2" w:after="0"/>
        <w:ind w:left="2381" w:right="0" w:hanging="794"/>
        <w:jc w:val="left"/>
        <w:rPr>
          <w:sz w:val="13"/>
        </w:rPr>
      </w:pPr>
      <w:r>
        <w:rPr>
          <w:i/>
          <w:w w:val="105"/>
          <w:sz w:val="13"/>
        </w:rPr>
        <w:t>Administration and Probate Act 1969 </w:t>
      </w:r>
      <w:r>
        <w:rPr>
          <w:spacing w:val="4"/>
          <w:w w:val="105"/>
          <w:sz w:val="13"/>
        </w:rPr>
        <w:t>(NT) </w:t>
      </w:r>
      <w:r>
        <w:rPr>
          <w:w w:val="105"/>
          <w:sz w:val="13"/>
        </w:rPr>
        <w:t>pt </w:t>
      </w:r>
      <w:r>
        <w:rPr>
          <w:spacing w:val="2"/>
          <w:w w:val="105"/>
          <w:sz w:val="13"/>
        </w:rPr>
        <w:t>III </w:t>
      </w:r>
      <w:r>
        <w:rPr>
          <w:w w:val="105"/>
          <w:sz w:val="13"/>
        </w:rPr>
        <w:t>div</w:t>
      </w:r>
      <w:r>
        <w:rPr>
          <w:spacing w:val="30"/>
          <w:w w:val="105"/>
          <w:sz w:val="13"/>
        </w:rPr>
        <w:t> </w:t>
      </w:r>
      <w:r>
        <w:rPr>
          <w:spacing w:val="2"/>
          <w:w w:val="105"/>
          <w:sz w:val="13"/>
        </w:rPr>
        <w:t>4A.</w:t>
      </w:r>
    </w:p>
    <w:p>
      <w:pPr>
        <w:pStyle w:val="ListParagraph"/>
        <w:numPr>
          <w:ilvl w:val="0"/>
          <w:numId w:val="76"/>
        </w:numPr>
        <w:tabs>
          <w:tab w:pos="2381" w:val="left" w:leader="none"/>
          <w:tab w:pos="2382" w:val="left" w:leader="none"/>
        </w:tabs>
        <w:spacing w:line="240" w:lineRule="auto" w:before="1" w:after="0"/>
        <w:ind w:left="2381" w:right="2005" w:hanging="794"/>
        <w:jc w:val="left"/>
        <w:rPr>
          <w:sz w:val="13"/>
        </w:rPr>
      </w:pPr>
      <w:r>
        <w:rPr>
          <w:w w:val="105"/>
          <w:sz w:val="13"/>
        </w:rPr>
        <w:t>National Committee for Uniform Succession Laws, above n 10, 246 recommendation 45; </w:t>
      </w:r>
      <w:r>
        <w:rPr>
          <w:i/>
          <w:w w:val="105"/>
          <w:sz w:val="13"/>
        </w:rPr>
        <w:t>Administration and Probate Act 1969 </w:t>
      </w:r>
      <w:r>
        <w:rPr>
          <w:spacing w:val="4"/>
          <w:w w:val="105"/>
          <w:sz w:val="13"/>
        </w:rPr>
        <w:t>(NT) </w:t>
      </w:r>
      <w:r>
        <w:rPr>
          <w:w w:val="105"/>
          <w:sz w:val="13"/>
        </w:rPr>
        <w:t>s 71B(1).</w:t>
      </w:r>
    </w:p>
    <w:p>
      <w:pPr>
        <w:pStyle w:val="ListParagraph"/>
        <w:numPr>
          <w:ilvl w:val="0"/>
          <w:numId w:val="76"/>
        </w:numPr>
        <w:tabs>
          <w:tab w:pos="2381" w:val="left" w:leader="none"/>
          <w:tab w:pos="2382" w:val="left" w:leader="none"/>
        </w:tabs>
        <w:spacing w:line="240" w:lineRule="auto" w:before="3" w:after="0"/>
        <w:ind w:left="2381" w:right="2005" w:hanging="794"/>
        <w:jc w:val="left"/>
        <w:rPr>
          <w:sz w:val="13"/>
        </w:rPr>
      </w:pPr>
      <w:r>
        <w:rPr>
          <w:w w:val="105"/>
          <w:sz w:val="13"/>
        </w:rPr>
        <w:t>National Committee for Uniform Succession Laws, above n 10, 246 recommendation 45; </w:t>
      </w:r>
      <w:r>
        <w:rPr>
          <w:i/>
          <w:w w:val="105"/>
          <w:sz w:val="13"/>
        </w:rPr>
        <w:t>Administration and Probate Act 1969 </w:t>
      </w:r>
      <w:r>
        <w:rPr>
          <w:spacing w:val="4"/>
          <w:w w:val="105"/>
          <w:sz w:val="13"/>
        </w:rPr>
        <w:t>(NT) </w:t>
      </w:r>
      <w:r>
        <w:rPr>
          <w:w w:val="105"/>
          <w:sz w:val="13"/>
        </w:rPr>
        <w:t>s 71B(2).</w:t>
      </w:r>
    </w:p>
    <w:p>
      <w:pPr>
        <w:pStyle w:val="ListParagraph"/>
        <w:numPr>
          <w:ilvl w:val="0"/>
          <w:numId w:val="76"/>
        </w:numPr>
        <w:tabs>
          <w:tab w:pos="2381" w:val="left" w:leader="none"/>
          <w:tab w:pos="2382" w:val="left" w:leader="none"/>
        </w:tabs>
        <w:spacing w:line="240" w:lineRule="auto" w:before="2" w:after="0"/>
        <w:ind w:left="2381" w:right="0" w:hanging="794"/>
        <w:jc w:val="left"/>
        <w:rPr>
          <w:sz w:val="13"/>
        </w:rPr>
      </w:pPr>
      <w:r>
        <w:rPr/>
        <w:pict>
          <v:shape style="position:absolute;margin-left:548.974304pt;margin-top:2.896466pt;width:13.15pt;height:14.25pt;mso-position-horizontal-relative:page;mso-position-vertical-relative:paragraph;z-index:8224" type="#_x0000_t202" filled="false" stroked="false">
            <v:textbox inset="0,0,0,0">
              <w:txbxContent>
                <w:p>
                  <w:pPr>
                    <w:spacing w:line="284" w:lineRule="exact" w:before="0"/>
                    <w:ind w:left="0" w:right="0" w:firstLine="0"/>
                    <w:jc w:val="left"/>
                    <w:rPr>
                      <w:b/>
                      <w:sz w:val="24"/>
                    </w:rPr>
                  </w:pPr>
                  <w:r>
                    <w:rPr>
                      <w:b/>
                      <w:color w:val="EC5A4F"/>
                      <w:spacing w:val="-3"/>
                      <w:w w:val="110"/>
                      <w:sz w:val="24"/>
                    </w:rPr>
                    <w:t>93</w:t>
                  </w:r>
                </w:p>
              </w:txbxContent>
            </v:textbox>
            <w10:wrap type="none"/>
          </v:shape>
        </w:pict>
      </w:r>
      <w:r>
        <w:rPr>
          <w:i/>
          <w:w w:val="105"/>
          <w:sz w:val="13"/>
        </w:rPr>
        <w:t>Succession</w:t>
      </w:r>
      <w:r>
        <w:rPr>
          <w:i/>
          <w:spacing w:val="3"/>
          <w:w w:val="105"/>
          <w:sz w:val="13"/>
        </w:rPr>
        <w:t> </w:t>
      </w:r>
      <w:r>
        <w:rPr>
          <w:i/>
          <w:w w:val="105"/>
          <w:sz w:val="13"/>
        </w:rPr>
        <w:t>Act</w:t>
      </w:r>
      <w:r>
        <w:rPr>
          <w:i/>
          <w:spacing w:val="4"/>
          <w:w w:val="105"/>
          <w:sz w:val="13"/>
        </w:rPr>
        <w:t> </w:t>
      </w:r>
      <w:r>
        <w:rPr>
          <w:i/>
          <w:w w:val="105"/>
          <w:sz w:val="13"/>
        </w:rPr>
        <w:t>2006</w:t>
      </w:r>
      <w:r>
        <w:rPr>
          <w:i/>
          <w:spacing w:val="5"/>
          <w:w w:val="105"/>
          <w:sz w:val="13"/>
        </w:rPr>
        <w:t> </w:t>
      </w:r>
      <w:r>
        <w:rPr>
          <w:spacing w:val="3"/>
          <w:w w:val="105"/>
          <w:sz w:val="13"/>
        </w:rPr>
        <w:t>(NSW)</w:t>
      </w:r>
      <w:r>
        <w:rPr>
          <w:spacing w:val="5"/>
          <w:w w:val="105"/>
          <w:sz w:val="13"/>
        </w:rPr>
        <w:t> </w:t>
      </w:r>
      <w:r>
        <w:rPr>
          <w:w w:val="105"/>
          <w:sz w:val="13"/>
        </w:rPr>
        <w:t>ss</w:t>
      </w:r>
      <w:r>
        <w:rPr>
          <w:spacing w:val="5"/>
          <w:w w:val="105"/>
          <w:sz w:val="13"/>
        </w:rPr>
        <w:t> </w:t>
      </w:r>
      <w:r>
        <w:rPr>
          <w:w w:val="105"/>
          <w:sz w:val="13"/>
        </w:rPr>
        <w:t>133–5;</w:t>
      </w:r>
      <w:r>
        <w:rPr>
          <w:spacing w:val="4"/>
          <w:w w:val="105"/>
          <w:sz w:val="13"/>
        </w:rPr>
        <w:t> </w:t>
      </w:r>
      <w:r>
        <w:rPr>
          <w:i/>
          <w:w w:val="105"/>
          <w:sz w:val="13"/>
        </w:rPr>
        <w:t>Intestacy</w:t>
      </w:r>
      <w:r>
        <w:rPr>
          <w:i/>
          <w:spacing w:val="4"/>
          <w:w w:val="105"/>
          <w:sz w:val="13"/>
        </w:rPr>
        <w:t> </w:t>
      </w:r>
      <w:r>
        <w:rPr>
          <w:i/>
          <w:w w:val="105"/>
          <w:sz w:val="13"/>
        </w:rPr>
        <w:t>Act</w:t>
      </w:r>
      <w:r>
        <w:rPr>
          <w:i/>
          <w:spacing w:val="4"/>
          <w:w w:val="105"/>
          <w:sz w:val="13"/>
        </w:rPr>
        <w:t> </w:t>
      </w:r>
      <w:r>
        <w:rPr>
          <w:i/>
          <w:spacing w:val="-3"/>
          <w:w w:val="105"/>
          <w:sz w:val="13"/>
        </w:rPr>
        <w:t>2010</w:t>
      </w:r>
      <w:r>
        <w:rPr>
          <w:i/>
          <w:spacing w:val="5"/>
          <w:w w:val="105"/>
          <w:sz w:val="13"/>
        </w:rPr>
        <w:t> </w:t>
      </w:r>
      <w:r>
        <w:rPr>
          <w:w w:val="105"/>
          <w:sz w:val="13"/>
        </w:rPr>
        <w:t>(Tas)</w:t>
      </w:r>
      <w:r>
        <w:rPr>
          <w:spacing w:val="5"/>
          <w:w w:val="105"/>
          <w:sz w:val="13"/>
        </w:rPr>
        <w:t> </w:t>
      </w:r>
      <w:r>
        <w:rPr>
          <w:w w:val="105"/>
          <w:sz w:val="13"/>
        </w:rPr>
        <w:t>ss</w:t>
      </w:r>
      <w:r>
        <w:rPr>
          <w:spacing w:val="4"/>
          <w:w w:val="105"/>
          <w:sz w:val="13"/>
        </w:rPr>
        <w:t> 34–6.</w:t>
      </w:r>
    </w:p>
    <w:p>
      <w:pPr>
        <w:pStyle w:val="ListParagraph"/>
        <w:numPr>
          <w:ilvl w:val="0"/>
          <w:numId w:val="76"/>
        </w:numPr>
        <w:tabs>
          <w:tab w:pos="2381" w:val="left" w:leader="none"/>
          <w:tab w:pos="2382" w:val="left" w:leader="none"/>
        </w:tabs>
        <w:spacing w:line="240" w:lineRule="auto" w:before="2" w:after="0"/>
        <w:ind w:left="2381" w:right="0" w:hanging="794"/>
        <w:jc w:val="left"/>
        <w:rPr>
          <w:sz w:val="13"/>
        </w:rPr>
      </w:pPr>
      <w:r>
        <w:rPr>
          <w:w w:val="105"/>
          <w:sz w:val="13"/>
        </w:rPr>
        <w:t>Victorian Law Reform Commission, above n 8,</w:t>
      </w:r>
      <w:r>
        <w:rPr>
          <w:spacing w:val="2"/>
          <w:w w:val="105"/>
          <w:sz w:val="13"/>
        </w:rPr>
        <w:t> </w:t>
      </w:r>
      <w:r>
        <w:rPr>
          <w:w w:val="105"/>
          <w:sz w:val="13"/>
        </w:rPr>
        <w:t>42.</w:t>
      </w:r>
    </w:p>
    <w:p>
      <w:pPr>
        <w:spacing w:after="0" w:line="240" w:lineRule="auto"/>
        <w:jc w:val="left"/>
        <w:rPr>
          <w:sz w:val="13"/>
        </w:rPr>
        <w:sectPr>
          <w:pgSz w:w="11910" w:h="16840"/>
          <w:pgMar w:header="805" w:footer="0" w:top="1360" w:bottom="280" w:left="0" w:right="0"/>
        </w:sectPr>
      </w:pPr>
    </w:p>
    <w:p>
      <w:pPr>
        <w:pStyle w:val="BodyText"/>
        <w:spacing w:before="11"/>
      </w:pPr>
    </w:p>
    <w:p>
      <w:pPr>
        <w:pStyle w:val="Heading5"/>
        <w:spacing w:before="99"/>
      </w:pPr>
      <w:bookmarkStart w:name="_TOC_250027" w:id="94"/>
      <w:bookmarkEnd w:id="94"/>
      <w:r>
        <w:rPr>
          <w:w w:val="115"/>
        </w:rPr>
        <w:t>Views and conclusions</w:t>
      </w:r>
    </w:p>
    <w:p>
      <w:pPr>
        <w:pStyle w:val="ListParagraph"/>
        <w:numPr>
          <w:ilvl w:val="1"/>
          <w:numId w:val="22"/>
        </w:numPr>
        <w:tabs>
          <w:tab w:pos="2381" w:val="left" w:leader="none"/>
          <w:tab w:pos="2382" w:val="left" w:leader="none"/>
        </w:tabs>
        <w:spacing w:line="242" w:lineRule="auto" w:before="137" w:after="0"/>
        <w:ind w:left="2381" w:right="1612" w:hanging="794"/>
        <w:jc w:val="left"/>
        <w:rPr>
          <w:sz w:val="21"/>
        </w:rPr>
      </w:pPr>
      <w:r>
        <w:rPr>
          <w:w w:val="105"/>
          <w:sz w:val="21"/>
        </w:rPr>
        <w:t>The </w:t>
      </w:r>
      <w:r>
        <w:rPr>
          <w:spacing w:val="-4"/>
          <w:w w:val="105"/>
          <w:sz w:val="21"/>
        </w:rPr>
        <w:t>Commission’s </w:t>
      </w:r>
      <w:r>
        <w:rPr>
          <w:spacing w:val="-3"/>
          <w:w w:val="105"/>
          <w:sz w:val="21"/>
        </w:rPr>
        <w:t>consultation </w:t>
      </w:r>
      <w:r>
        <w:rPr>
          <w:w w:val="105"/>
          <w:sz w:val="21"/>
        </w:rPr>
        <w:t>paper on intestacy </w:t>
      </w:r>
      <w:r>
        <w:rPr>
          <w:spacing w:val="-3"/>
          <w:w w:val="105"/>
          <w:sz w:val="21"/>
        </w:rPr>
        <w:t>highlighted </w:t>
      </w:r>
      <w:r>
        <w:rPr>
          <w:w w:val="105"/>
          <w:sz w:val="21"/>
        </w:rPr>
        <w:t>a number of </w:t>
      </w:r>
      <w:r>
        <w:rPr>
          <w:spacing w:val="-2"/>
          <w:w w:val="105"/>
          <w:sz w:val="21"/>
        </w:rPr>
        <w:t>problems </w:t>
      </w:r>
      <w:r>
        <w:rPr>
          <w:w w:val="105"/>
          <w:sz w:val="21"/>
        </w:rPr>
        <w:t>with the Northern </w:t>
      </w:r>
      <w:r>
        <w:rPr>
          <w:spacing w:val="-3"/>
          <w:w w:val="105"/>
          <w:sz w:val="21"/>
        </w:rPr>
        <w:t>Territory provisions </w:t>
      </w:r>
      <w:r>
        <w:rPr>
          <w:w w:val="105"/>
          <w:sz w:val="21"/>
        </w:rPr>
        <w:t>and the </w:t>
      </w:r>
      <w:r>
        <w:rPr>
          <w:spacing w:val="-3"/>
          <w:w w:val="105"/>
          <w:sz w:val="21"/>
        </w:rPr>
        <w:t>National </w:t>
      </w:r>
      <w:r>
        <w:rPr>
          <w:spacing w:val="-4"/>
          <w:w w:val="105"/>
          <w:sz w:val="21"/>
        </w:rPr>
        <w:t>Committee’s </w:t>
      </w:r>
      <w:r>
        <w:rPr>
          <w:w w:val="105"/>
          <w:sz w:val="21"/>
        </w:rPr>
        <w:t>proposed </w:t>
      </w:r>
      <w:r>
        <w:rPr>
          <w:spacing w:val="-3"/>
          <w:w w:val="105"/>
          <w:sz w:val="21"/>
        </w:rPr>
        <w:t>provisions. </w:t>
      </w:r>
      <w:r>
        <w:rPr>
          <w:w w:val="105"/>
          <w:sz w:val="21"/>
        </w:rPr>
        <w:t>The </w:t>
      </w:r>
      <w:r>
        <w:rPr>
          <w:spacing w:val="-3"/>
          <w:w w:val="105"/>
          <w:sz w:val="21"/>
        </w:rPr>
        <w:t>National Committee provisions went </w:t>
      </w:r>
      <w:r>
        <w:rPr>
          <w:w w:val="105"/>
          <w:sz w:val="21"/>
        </w:rPr>
        <w:t>some </w:t>
      </w:r>
      <w:r>
        <w:rPr>
          <w:spacing w:val="-3"/>
          <w:w w:val="105"/>
          <w:sz w:val="21"/>
        </w:rPr>
        <w:t>way to </w:t>
      </w:r>
      <w:r>
        <w:rPr>
          <w:w w:val="105"/>
          <w:sz w:val="21"/>
        </w:rPr>
        <w:t>remedying two </w:t>
      </w:r>
      <w:r>
        <w:rPr>
          <w:spacing w:val="-2"/>
          <w:w w:val="105"/>
          <w:sz w:val="21"/>
        </w:rPr>
        <w:t>problems </w:t>
      </w:r>
      <w:r>
        <w:rPr>
          <w:w w:val="105"/>
          <w:sz w:val="21"/>
        </w:rPr>
        <w:t>identified in </w:t>
      </w:r>
      <w:r>
        <w:rPr>
          <w:spacing w:val="-3"/>
          <w:w w:val="105"/>
          <w:sz w:val="21"/>
        </w:rPr>
        <w:t>relation to </w:t>
      </w:r>
      <w:r>
        <w:rPr>
          <w:w w:val="105"/>
          <w:sz w:val="21"/>
        </w:rPr>
        <w:t>the Northern </w:t>
      </w:r>
      <w:r>
        <w:rPr>
          <w:spacing w:val="-3"/>
          <w:w w:val="105"/>
          <w:sz w:val="21"/>
        </w:rPr>
        <w:t>Territory</w:t>
      </w:r>
      <w:r>
        <w:rPr>
          <w:spacing w:val="25"/>
          <w:w w:val="105"/>
          <w:sz w:val="21"/>
        </w:rPr>
        <w:t> </w:t>
      </w:r>
      <w:r>
        <w:rPr>
          <w:w w:val="105"/>
          <w:sz w:val="21"/>
        </w:rPr>
        <w:t>legislation:</w:t>
      </w:r>
    </w:p>
    <w:p>
      <w:pPr>
        <w:pStyle w:val="ListParagraph"/>
        <w:numPr>
          <w:ilvl w:val="2"/>
          <w:numId w:val="22"/>
        </w:numPr>
        <w:tabs>
          <w:tab w:pos="2721" w:val="left" w:leader="none"/>
          <w:tab w:pos="2722" w:val="left" w:leader="none"/>
        </w:tabs>
        <w:spacing w:line="242" w:lineRule="auto" w:before="124" w:after="0"/>
        <w:ind w:left="2721" w:right="1973" w:hanging="340"/>
        <w:jc w:val="left"/>
        <w:rPr>
          <w:sz w:val="21"/>
        </w:rPr>
      </w:pPr>
      <w:r>
        <w:rPr>
          <w:sz w:val="21"/>
        </w:rPr>
        <w:t>In the Northern </w:t>
      </w:r>
      <w:r>
        <w:rPr>
          <w:spacing w:val="-3"/>
          <w:sz w:val="21"/>
        </w:rPr>
        <w:t>Territory legislation, </w:t>
      </w:r>
      <w:r>
        <w:rPr>
          <w:sz w:val="21"/>
        </w:rPr>
        <w:t>no </w:t>
      </w:r>
      <w:r>
        <w:rPr>
          <w:spacing w:val="-3"/>
          <w:sz w:val="21"/>
        </w:rPr>
        <w:t>guidance  </w:t>
      </w:r>
      <w:r>
        <w:rPr>
          <w:sz w:val="21"/>
        </w:rPr>
        <w:t>is provided </w:t>
      </w:r>
      <w:r>
        <w:rPr>
          <w:spacing w:val="-3"/>
          <w:sz w:val="21"/>
        </w:rPr>
        <w:t>to</w:t>
      </w:r>
      <w:r>
        <w:rPr>
          <w:spacing w:val="41"/>
          <w:sz w:val="21"/>
        </w:rPr>
        <w:t> </w:t>
      </w:r>
      <w:r>
        <w:rPr>
          <w:sz w:val="21"/>
        </w:rPr>
        <w:t>the </w:t>
      </w:r>
      <w:r>
        <w:rPr>
          <w:spacing w:val="-3"/>
          <w:sz w:val="21"/>
        </w:rPr>
        <w:t>Court  </w:t>
      </w:r>
      <w:r>
        <w:rPr>
          <w:sz w:val="21"/>
        </w:rPr>
        <w:t>about how</w:t>
      </w:r>
      <w:r>
        <w:rPr>
          <w:spacing w:val="19"/>
          <w:sz w:val="21"/>
        </w:rPr>
        <w:t> </w:t>
      </w:r>
      <w:r>
        <w:rPr>
          <w:sz w:val="21"/>
        </w:rPr>
        <w:t>the</w:t>
      </w:r>
      <w:r>
        <w:rPr>
          <w:spacing w:val="19"/>
          <w:sz w:val="21"/>
        </w:rPr>
        <w:t> </w:t>
      </w:r>
      <w:r>
        <w:rPr>
          <w:sz w:val="21"/>
        </w:rPr>
        <w:t>Indigenous</w:t>
      </w:r>
      <w:r>
        <w:rPr>
          <w:spacing w:val="19"/>
          <w:sz w:val="21"/>
        </w:rPr>
        <w:t> </w:t>
      </w:r>
      <w:r>
        <w:rPr>
          <w:sz w:val="21"/>
        </w:rPr>
        <w:t>intestacy</w:t>
      </w:r>
      <w:r>
        <w:rPr>
          <w:spacing w:val="19"/>
          <w:sz w:val="21"/>
        </w:rPr>
        <w:t> </w:t>
      </w:r>
      <w:r>
        <w:rPr>
          <w:spacing w:val="-3"/>
          <w:sz w:val="21"/>
        </w:rPr>
        <w:t>provisions</w:t>
      </w:r>
      <w:r>
        <w:rPr>
          <w:spacing w:val="19"/>
          <w:sz w:val="21"/>
        </w:rPr>
        <w:t> </w:t>
      </w:r>
      <w:r>
        <w:rPr>
          <w:sz w:val="21"/>
        </w:rPr>
        <w:t>should</w:t>
      </w:r>
      <w:r>
        <w:rPr>
          <w:spacing w:val="20"/>
          <w:sz w:val="21"/>
        </w:rPr>
        <w:t> </w:t>
      </w:r>
      <w:r>
        <w:rPr>
          <w:spacing w:val="-3"/>
          <w:sz w:val="21"/>
        </w:rPr>
        <w:t>interact</w:t>
      </w:r>
      <w:r>
        <w:rPr>
          <w:spacing w:val="19"/>
          <w:sz w:val="21"/>
        </w:rPr>
        <w:t> </w:t>
      </w:r>
      <w:r>
        <w:rPr>
          <w:sz w:val="21"/>
        </w:rPr>
        <w:t>with</w:t>
      </w:r>
      <w:r>
        <w:rPr>
          <w:spacing w:val="19"/>
          <w:sz w:val="21"/>
        </w:rPr>
        <w:t> </w:t>
      </w:r>
      <w:r>
        <w:rPr>
          <w:sz w:val="21"/>
        </w:rPr>
        <w:t>the</w:t>
      </w:r>
      <w:r>
        <w:rPr>
          <w:spacing w:val="19"/>
          <w:sz w:val="21"/>
        </w:rPr>
        <w:t> </w:t>
      </w:r>
      <w:r>
        <w:rPr>
          <w:sz w:val="21"/>
        </w:rPr>
        <w:t>general</w:t>
      </w:r>
      <w:r>
        <w:rPr>
          <w:spacing w:val="19"/>
          <w:sz w:val="21"/>
        </w:rPr>
        <w:t> </w:t>
      </w:r>
      <w:r>
        <w:rPr>
          <w:sz w:val="21"/>
        </w:rPr>
        <w:t>intestacy</w:t>
      </w:r>
    </w:p>
    <w:p>
      <w:pPr>
        <w:pStyle w:val="BodyText"/>
        <w:spacing w:line="242" w:lineRule="auto" w:before="3"/>
        <w:ind w:left="2721" w:right="1619"/>
      </w:pPr>
      <w:r>
        <w:rPr>
          <w:spacing w:val="-3"/>
          <w:w w:val="105"/>
        </w:rPr>
        <w:t>provisions </w:t>
      </w:r>
      <w:r>
        <w:rPr>
          <w:w w:val="105"/>
        </w:rPr>
        <w:t>in the </w:t>
      </w:r>
      <w:r>
        <w:rPr>
          <w:spacing w:val="-3"/>
          <w:w w:val="105"/>
        </w:rPr>
        <w:t>event </w:t>
      </w:r>
      <w:r>
        <w:rPr>
          <w:w w:val="105"/>
        </w:rPr>
        <w:t>of a </w:t>
      </w:r>
      <w:r>
        <w:rPr>
          <w:spacing w:val="-2"/>
          <w:w w:val="105"/>
        </w:rPr>
        <w:t>dispute.</w:t>
      </w:r>
      <w:r>
        <w:rPr>
          <w:spacing w:val="-2"/>
          <w:w w:val="105"/>
          <w:position w:val="7"/>
          <w:sz w:val="12"/>
        </w:rPr>
        <w:t>286 </w:t>
      </w:r>
      <w:r>
        <w:rPr>
          <w:w w:val="105"/>
        </w:rPr>
        <w:t>The </w:t>
      </w:r>
      <w:r>
        <w:rPr>
          <w:spacing w:val="-3"/>
          <w:w w:val="105"/>
        </w:rPr>
        <w:t>National </w:t>
      </w:r>
      <w:r>
        <w:rPr>
          <w:spacing w:val="-4"/>
          <w:w w:val="105"/>
        </w:rPr>
        <w:t>Committee’s </w:t>
      </w:r>
      <w:r>
        <w:rPr>
          <w:w w:val="105"/>
        </w:rPr>
        <w:t>proposed </w:t>
      </w:r>
      <w:r>
        <w:rPr>
          <w:spacing w:val="-3"/>
          <w:w w:val="105"/>
        </w:rPr>
        <w:t>provisions </w:t>
      </w:r>
      <w:r>
        <w:rPr>
          <w:w w:val="105"/>
        </w:rPr>
        <w:t>specified </w:t>
      </w:r>
      <w:r>
        <w:rPr>
          <w:spacing w:val="-3"/>
          <w:w w:val="105"/>
        </w:rPr>
        <w:t>that </w:t>
      </w:r>
      <w:r>
        <w:rPr>
          <w:w w:val="105"/>
        </w:rPr>
        <w:t>a </w:t>
      </w:r>
      <w:r>
        <w:rPr>
          <w:spacing w:val="-2"/>
          <w:w w:val="105"/>
        </w:rPr>
        <w:t>distribution </w:t>
      </w:r>
      <w:r>
        <w:rPr>
          <w:w w:val="105"/>
        </w:rPr>
        <w:t>order operates ‘to the </w:t>
      </w:r>
      <w:r>
        <w:rPr>
          <w:spacing w:val="-3"/>
          <w:w w:val="105"/>
        </w:rPr>
        <w:t>exclusion </w:t>
      </w:r>
      <w:r>
        <w:rPr>
          <w:w w:val="105"/>
        </w:rPr>
        <w:t>of </w:t>
      </w:r>
      <w:r>
        <w:rPr>
          <w:spacing w:val="-3"/>
          <w:w w:val="105"/>
        </w:rPr>
        <w:t>all </w:t>
      </w:r>
      <w:r>
        <w:rPr>
          <w:w w:val="105"/>
        </w:rPr>
        <w:t>other </w:t>
      </w:r>
      <w:r>
        <w:rPr>
          <w:spacing w:val="-3"/>
          <w:w w:val="105"/>
        </w:rPr>
        <w:t>provisions governing </w:t>
      </w:r>
      <w:r>
        <w:rPr>
          <w:w w:val="105"/>
        </w:rPr>
        <w:t>the </w:t>
      </w:r>
      <w:r>
        <w:rPr>
          <w:spacing w:val="-2"/>
          <w:w w:val="105"/>
        </w:rPr>
        <w:t>distribution </w:t>
      </w:r>
      <w:r>
        <w:rPr>
          <w:w w:val="105"/>
        </w:rPr>
        <w:t>of the </w:t>
      </w:r>
      <w:r>
        <w:rPr>
          <w:spacing w:val="-3"/>
          <w:w w:val="105"/>
        </w:rPr>
        <w:t>intestate estate’.</w:t>
      </w:r>
      <w:r>
        <w:rPr>
          <w:spacing w:val="-3"/>
          <w:w w:val="105"/>
          <w:position w:val="7"/>
          <w:sz w:val="12"/>
        </w:rPr>
        <w:t>287 </w:t>
      </w:r>
      <w:r>
        <w:rPr>
          <w:spacing w:val="-4"/>
          <w:w w:val="105"/>
        </w:rPr>
        <w:t>However, </w:t>
      </w:r>
      <w:r>
        <w:rPr>
          <w:w w:val="105"/>
        </w:rPr>
        <w:t>it </w:t>
      </w:r>
      <w:r>
        <w:rPr>
          <w:spacing w:val="-3"/>
          <w:w w:val="105"/>
        </w:rPr>
        <w:t>remains unclear </w:t>
      </w:r>
      <w:r>
        <w:rPr>
          <w:spacing w:val="-4"/>
          <w:w w:val="105"/>
        </w:rPr>
        <w:t>whether, </w:t>
      </w:r>
      <w:r>
        <w:rPr>
          <w:w w:val="105"/>
        </w:rPr>
        <w:t>in the </w:t>
      </w:r>
      <w:r>
        <w:rPr>
          <w:spacing w:val="-3"/>
          <w:w w:val="105"/>
        </w:rPr>
        <w:t>event </w:t>
      </w:r>
      <w:r>
        <w:rPr>
          <w:w w:val="105"/>
        </w:rPr>
        <w:t>of a </w:t>
      </w:r>
      <w:r>
        <w:rPr>
          <w:spacing w:val="-3"/>
          <w:w w:val="105"/>
        </w:rPr>
        <w:t>dispute, </w:t>
      </w:r>
      <w:r>
        <w:rPr>
          <w:w w:val="105"/>
        </w:rPr>
        <w:t>the </w:t>
      </w:r>
      <w:r>
        <w:rPr>
          <w:spacing w:val="-3"/>
          <w:w w:val="105"/>
        </w:rPr>
        <w:t>Court </w:t>
      </w:r>
      <w:r>
        <w:rPr>
          <w:w w:val="105"/>
        </w:rPr>
        <w:t>would </w:t>
      </w:r>
      <w:r>
        <w:rPr>
          <w:spacing w:val="-4"/>
          <w:w w:val="105"/>
        </w:rPr>
        <w:t>make </w:t>
      </w:r>
      <w:r>
        <w:rPr>
          <w:w w:val="105"/>
        </w:rPr>
        <w:t>a </w:t>
      </w:r>
      <w:r>
        <w:rPr>
          <w:spacing w:val="-2"/>
          <w:w w:val="105"/>
        </w:rPr>
        <w:t>distribution </w:t>
      </w:r>
      <w:r>
        <w:rPr>
          <w:spacing w:val="-4"/>
          <w:w w:val="105"/>
        </w:rPr>
        <w:t>order.</w:t>
      </w:r>
    </w:p>
    <w:p>
      <w:pPr>
        <w:pStyle w:val="ListParagraph"/>
        <w:numPr>
          <w:ilvl w:val="2"/>
          <w:numId w:val="22"/>
        </w:numPr>
        <w:tabs>
          <w:tab w:pos="2721" w:val="left" w:leader="none"/>
          <w:tab w:pos="2722" w:val="left" w:leader="none"/>
        </w:tabs>
        <w:spacing w:line="242" w:lineRule="auto" w:before="124" w:after="0"/>
        <w:ind w:left="2721" w:right="1585" w:hanging="340"/>
        <w:jc w:val="left"/>
        <w:rPr>
          <w:sz w:val="12"/>
        </w:rPr>
      </w:pPr>
      <w:r>
        <w:rPr>
          <w:w w:val="105"/>
          <w:sz w:val="21"/>
        </w:rPr>
        <w:t>The Northern </w:t>
      </w:r>
      <w:r>
        <w:rPr>
          <w:spacing w:val="-3"/>
          <w:w w:val="105"/>
          <w:sz w:val="21"/>
        </w:rPr>
        <w:t>Territory provisions </w:t>
      </w:r>
      <w:r>
        <w:rPr>
          <w:w w:val="105"/>
          <w:sz w:val="21"/>
        </w:rPr>
        <w:t>apply only </w:t>
      </w:r>
      <w:r>
        <w:rPr>
          <w:spacing w:val="-3"/>
          <w:w w:val="105"/>
          <w:sz w:val="21"/>
        </w:rPr>
        <w:t>to Aboriginal </w:t>
      </w:r>
      <w:r>
        <w:rPr>
          <w:w w:val="105"/>
          <w:sz w:val="21"/>
        </w:rPr>
        <w:t>and </w:t>
      </w:r>
      <w:r>
        <w:rPr>
          <w:spacing w:val="-4"/>
          <w:w w:val="105"/>
          <w:sz w:val="21"/>
        </w:rPr>
        <w:t>Torres Strait </w:t>
      </w:r>
      <w:r>
        <w:rPr>
          <w:w w:val="105"/>
          <w:sz w:val="21"/>
        </w:rPr>
        <w:t>Islander people who </w:t>
      </w:r>
      <w:r>
        <w:rPr>
          <w:spacing w:val="-3"/>
          <w:w w:val="105"/>
          <w:sz w:val="21"/>
        </w:rPr>
        <w:t>have </w:t>
      </w:r>
      <w:r>
        <w:rPr>
          <w:spacing w:val="-2"/>
          <w:w w:val="105"/>
          <w:sz w:val="21"/>
        </w:rPr>
        <w:t>not </w:t>
      </w:r>
      <w:r>
        <w:rPr>
          <w:spacing w:val="-3"/>
          <w:w w:val="105"/>
          <w:sz w:val="21"/>
        </w:rPr>
        <w:t>entered </w:t>
      </w:r>
      <w:r>
        <w:rPr>
          <w:spacing w:val="-4"/>
          <w:w w:val="105"/>
          <w:sz w:val="21"/>
        </w:rPr>
        <w:t>into </w:t>
      </w:r>
      <w:r>
        <w:rPr>
          <w:w w:val="105"/>
          <w:sz w:val="21"/>
        </w:rPr>
        <w:t>a marriage under the </w:t>
      </w:r>
      <w:r>
        <w:rPr>
          <w:i/>
          <w:w w:val="105"/>
          <w:sz w:val="21"/>
        </w:rPr>
        <w:t>Marriage Act </w:t>
      </w:r>
      <w:r>
        <w:rPr>
          <w:i/>
          <w:spacing w:val="-7"/>
          <w:w w:val="105"/>
          <w:sz w:val="21"/>
        </w:rPr>
        <w:t>1961 </w:t>
      </w:r>
      <w:r>
        <w:rPr>
          <w:w w:val="105"/>
          <w:sz w:val="21"/>
        </w:rPr>
        <w:t>(Cth).</w:t>
      </w:r>
      <w:r>
        <w:rPr>
          <w:w w:val="105"/>
          <w:position w:val="7"/>
          <w:sz w:val="12"/>
        </w:rPr>
        <w:t>288</w:t>
      </w:r>
      <w:r>
        <w:rPr>
          <w:w w:val="105"/>
          <w:sz w:val="12"/>
        </w:rPr>
        <w:t> </w:t>
      </w:r>
      <w:r>
        <w:rPr>
          <w:w w:val="105"/>
          <w:sz w:val="21"/>
        </w:rPr>
        <w:t>This</w:t>
      </w:r>
      <w:r>
        <w:rPr>
          <w:spacing w:val="-9"/>
          <w:w w:val="105"/>
          <w:sz w:val="21"/>
        </w:rPr>
        <w:t> </w:t>
      </w:r>
      <w:r>
        <w:rPr>
          <w:spacing w:val="-3"/>
          <w:w w:val="105"/>
          <w:sz w:val="21"/>
        </w:rPr>
        <w:t>limitation</w:t>
      </w:r>
      <w:r>
        <w:rPr>
          <w:spacing w:val="-9"/>
          <w:w w:val="105"/>
          <w:sz w:val="21"/>
        </w:rPr>
        <w:t> </w:t>
      </w:r>
      <w:r>
        <w:rPr>
          <w:w w:val="105"/>
          <w:sz w:val="21"/>
        </w:rPr>
        <w:t>is</w:t>
      </w:r>
      <w:r>
        <w:rPr>
          <w:spacing w:val="-9"/>
          <w:w w:val="105"/>
          <w:sz w:val="21"/>
        </w:rPr>
        <w:t> </w:t>
      </w:r>
      <w:r>
        <w:rPr>
          <w:spacing w:val="-2"/>
          <w:w w:val="105"/>
          <w:sz w:val="21"/>
        </w:rPr>
        <w:t>not</w:t>
      </w:r>
      <w:r>
        <w:rPr>
          <w:spacing w:val="-9"/>
          <w:w w:val="105"/>
          <w:sz w:val="21"/>
        </w:rPr>
        <w:t> </w:t>
      </w:r>
      <w:r>
        <w:rPr>
          <w:spacing w:val="-3"/>
          <w:w w:val="105"/>
          <w:sz w:val="21"/>
        </w:rPr>
        <w:t>included</w:t>
      </w:r>
      <w:r>
        <w:rPr>
          <w:spacing w:val="-9"/>
          <w:w w:val="105"/>
          <w:sz w:val="21"/>
        </w:rPr>
        <w:t> </w:t>
      </w:r>
      <w:r>
        <w:rPr>
          <w:w w:val="105"/>
          <w:sz w:val="21"/>
        </w:rPr>
        <w:t>in</w:t>
      </w:r>
      <w:r>
        <w:rPr>
          <w:spacing w:val="-9"/>
          <w:w w:val="105"/>
          <w:sz w:val="21"/>
        </w:rPr>
        <w:t> </w:t>
      </w:r>
      <w:r>
        <w:rPr>
          <w:w w:val="105"/>
          <w:sz w:val="21"/>
        </w:rPr>
        <w:t>the</w:t>
      </w:r>
      <w:r>
        <w:rPr>
          <w:spacing w:val="-9"/>
          <w:w w:val="105"/>
          <w:sz w:val="21"/>
        </w:rPr>
        <w:t> </w:t>
      </w:r>
      <w:r>
        <w:rPr>
          <w:spacing w:val="-3"/>
          <w:w w:val="105"/>
          <w:sz w:val="21"/>
        </w:rPr>
        <w:t>National</w:t>
      </w:r>
      <w:r>
        <w:rPr>
          <w:spacing w:val="-8"/>
          <w:w w:val="105"/>
          <w:sz w:val="21"/>
        </w:rPr>
        <w:t> </w:t>
      </w:r>
      <w:r>
        <w:rPr>
          <w:spacing w:val="-4"/>
          <w:w w:val="105"/>
          <w:sz w:val="21"/>
        </w:rPr>
        <w:t>Committee’s</w:t>
      </w:r>
      <w:r>
        <w:rPr>
          <w:spacing w:val="-9"/>
          <w:w w:val="105"/>
          <w:sz w:val="21"/>
        </w:rPr>
        <w:t> </w:t>
      </w:r>
      <w:r>
        <w:rPr>
          <w:w w:val="105"/>
          <w:sz w:val="21"/>
        </w:rPr>
        <w:t>recommended</w:t>
      </w:r>
      <w:r>
        <w:rPr>
          <w:spacing w:val="-9"/>
          <w:w w:val="105"/>
          <w:sz w:val="21"/>
        </w:rPr>
        <w:t> </w:t>
      </w:r>
      <w:r>
        <w:rPr>
          <w:w w:val="105"/>
          <w:sz w:val="21"/>
        </w:rPr>
        <w:t>provisions.</w:t>
      </w:r>
      <w:r>
        <w:rPr>
          <w:w w:val="105"/>
          <w:position w:val="7"/>
          <w:sz w:val="12"/>
        </w:rPr>
        <w:t>289</w:t>
      </w:r>
    </w:p>
    <w:p>
      <w:pPr>
        <w:pStyle w:val="ListParagraph"/>
        <w:numPr>
          <w:ilvl w:val="1"/>
          <w:numId w:val="22"/>
        </w:numPr>
        <w:tabs>
          <w:tab w:pos="2381" w:val="left" w:leader="none"/>
          <w:tab w:pos="2382" w:val="left" w:leader="none"/>
        </w:tabs>
        <w:spacing w:line="240" w:lineRule="auto" w:before="123" w:after="0"/>
        <w:ind w:left="2381" w:right="0" w:hanging="794"/>
        <w:jc w:val="left"/>
        <w:rPr>
          <w:sz w:val="21"/>
        </w:rPr>
      </w:pPr>
      <w:r>
        <w:rPr>
          <w:spacing w:val="-3"/>
          <w:sz w:val="21"/>
        </w:rPr>
        <w:t>Several</w:t>
      </w:r>
      <w:r>
        <w:rPr>
          <w:spacing w:val="9"/>
          <w:sz w:val="21"/>
        </w:rPr>
        <w:t> </w:t>
      </w:r>
      <w:r>
        <w:rPr>
          <w:sz w:val="21"/>
        </w:rPr>
        <w:t>other</w:t>
      </w:r>
      <w:r>
        <w:rPr>
          <w:spacing w:val="9"/>
          <w:sz w:val="21"/>
        </w:rPr>
        <w:t> </w:t>
      </w:r>
      <w:r>
        <w:rPr>
          <w:sz w:val="21"/>
        </w:rPr>
        <w:t>problems</w:t>
      </w:r>
      <w:r>
        <w:rPr>
          <w:spacing w:val="9"/>
          <w:sz w:val="21"/>
        </w:rPr>
        <w:t> </w:t>
      </w:r>
      <w:r>
        <w:rPr>
          <w:spacing w:val="-3"/>
          <w:sz w:val="21"/>
        </w:rPr>
        <w:t>remain</w:t>
      </w:r>
      <w:r>
        <w:rPr>
          <w:spacing w:val="9"/>
          <w:sz w:val="21"/>
        </w:rPr>
        <w:t> </w:t>
      </w:r>
      <w:r>
        <w:rPr>
          <w:sz w:val="21"/>
        </w:rPr>
        <w:t>with</w:t>
      </w:r>
      <w:r>
        <w:rPr>
          <w:spacing w:val="9"/>
          <w:sz w:val="21"/>
        </w:rPr>
        <w:t> </w:t>
      </w:r>
      <w:r>
        <w:rPr>
          <w:sz w:val="21"/>
        </w:rPr>
        <w:t>the</w:t>
      </w:r>
      <w:r>
        <w:rPr>
          <w:spacing w:val="9"/>
          <w:sz w:val="21"/>
        </w:rPr>
        <w:t> </w:t>
      </w:r>
      <w:r>
        <w:rPr>
          <w:sz w:val="21"/>
        </w:rPr>
        <w:t>proposed</w:t>
      </w:r>
      <w:r>
        <w:rPr>
          <w:spacing w:val="9"/>
          <w:sz w:val="21"/>
        </w:rPr>
        <w:t> </w:t>
      </w:r>
      <w:r>
        <w:rPr>
          <w:spacing w:val="-3"/>
          <w:sz w:val="21"/>
        </w:rPr>
        <w:t>provisions:</w:t>
      </w:r>
    </w:p>
    <w:p>
      <w:pPr>
        <w:pStyle w:val="ListParagraph"/>
        <w:numPr>
          <w:ilvl w:val="2"/>
          <w:numId w:val="22"/>
        </w:numPr>
        <w:tabs>
          <w:tab w:pos="2721" w:val="left" w:leader="none"/>
          <w:tab w:pos="2722" w:val="left" w:leader="none"/>
        </w:tabs>
        <w:spacing w:line="242" w:lineRule="auto" w:before="124" w:after="0"/>
        <w:ind w:left="2721" w:right="1811" w:hanging="340"/>
        <w:jc w:val="left"/>
        <w:rPr>
          <w:sz w:val="21"/>
        </w:rPr>
      </w:pPr>
      <w:r>
        <w:rPr>
          <w:spacing w:val="-3"/>
          <w:sz w:val="21"/>
        </w:rPr>
        <w:t>Provisions </w:t>
      </w:r>
      <w:r>
        <w:rPr>
          <w:sz w:val="21"/>
        </w:rPr>
        <w:t>of this type </w:t>
      </w:r>
      <w:r>
        <w:rPr>
          <w:spacing w:val="-3"/>
          <w:sz w:val="21"/>
        </w:rPr>
        <w:t>have </w:t>
      </w:r>
      <w:r>
        <w:rPr>
          <w:sz w:val="21"/>
        </w:rPr>
        <w:t>been used very </w:t>
      </w:r>
      <w:r>
        <w:rPr>
          <w:spacing w:val="-3"/>
          <w:sz w:val="21"/>
        </w:rPr>
        <w:t>rarely </w:t>
      </w:r>
      <w:r>
        <w:rPr>
          <w:sz w:val="21"/>
        </w:rPr>
        <w:t>in the Northern </w:t>
      </w:r>
      <w:r>
        <w:rPr>
          <w:spacing w:val="-4"/>
          <w:sz w:val="21"/>
        </w:rPr>
        <w:t>Territory. </w:t>
      </w:r>
      <w:r>
        <w:rPr>
          <w:sz w:val="21"/>
        </w:rPr>
        <w:t>This </w:t>
      </w:r>
      <w:r>
        <w:rPr>
          <w:spacing w:val="-3"/>
          <w:sz w:val="21"/>
        </w:rPr>
        <w:t>may indicate that </w:t>
      </w:r>
      <w:r>
        <w:rPr>
          <w:sz w:val="21"/>
        </w:rPr>
        <w:t>the process of </w:t>
      </w:r>
      <w:r>
        <w:rPr>
          <w:spacing w:val="-3"/>
          <w:sz w:val="21"/>
        </w:rPr>
        <w:t>making </w:t>
      </w:r>
      <w:r>
        <w:rPr>
          <w:sz w:val="21"/>
        </w:rPr>
        <w:t>a </w:t>
      </w:r>
      <w:r>
        <w:rPr>
          <w:spacing w:val="-3"/>
          <w:sz w:val="21"/>
        </w:rPr>
        <w:t>Supreme Court </w:t>
      </w:r>
      <w:r>
        <w:rPr>
          <w:sz w:val="21"/>
        </w:rPr>
        <w:t>application is</w:t>
      </w:r>
      <w:r>
        <w:rPr>
          <w:spacing w:val="1"/>
          <w:sz w:val="21"/>
        </w:rPr>
        <w:t> </w:t>
      </w:r>
      <w:r>
        <w:rPr>
          <w:spacing w:val="-3"/>
          <w:sz w:val="21"/>
        </w:rPr>
        <w:t>inaccessible.</w:t>
      </w:r>
    </w:p>
    <w:p>
      <w:pPr>
        <w:pStyle w:val="ListParagraph"/>
        <w:numPr>
          <w:ilvl w:val="2"/>
          <w:numId w:val="22"/>
        </w:numPr>
        <w:tabs>
          <w:tab w:pos="2721" w:val="left" w:leader="none"/>
          <w:tab w:pos="2722" w:val="left" w:leader="none"/>
        </w:tabs>
        <w:spacing w:line="242" w:lineRule="auto" w:before="122" w:after="0"/>
        <w:ind w:left="2721" w:right="1719" w:hanging="340"/>
        <w:jc w:val="left"/>
        <w:rPr>
          <w:sz w:val="12"/>
        </w:rPr>
      </w:pPr>
      <w:r>
        <w:rPr>
          <w:w w:val="105"/>
          <w:sz w:val="21"/>
        </w:rPr>
        <w:t>The </w:t>
      </w:r>
      <w:r>
        <w:rPr>
          <w:spacing w:val="-3"/>
          <w:w w:val="105"/>
          <w:sz w:val="21"/>
        </w:rPr>
        <w:t>provisions are </w:t>
      </w:r>
      <w:r>
        <w:rPr>
          <w:spacing w:val="-2"/>
          <w:w w:val="105"/>
          <w:sz w:val="21"/>
        </w:rPr>
        <w:t>not </w:t>
      </w:r>
      <w:r>
        <w:rPr>
          <w:spacing w:val="-3"/>
          <w:w w:val="105"/>
          <w:sz w:val="21"/>
        </w:rPr>
        <w:t>clear </w:t>
      </w:r>
      <w:r>
        <w:rPr>
          <w:w w:val="105"/>
          <w:sz w:val="21"/>
        </w:rPr>
        <w:t>about the evidence or </w:t>
      </w:r>
      <w:r>
        <w:rPr>
          <w:spacing w:val="-3"/>
          <w:w w:val="105"/>
          <w:sz w:val="21"/>
        </w:rPr>
        <w:t>criteria that </w:t>
      </w:r>
      <w:r>
        <w:rPr>
          <w:w w:val="105"/>
          <w:sz w:val="21"/>
        </w:rPr>
        <w:t>the </w:t>
      </w:r>
      <w:r>
        <w:rPr>
          <w:spacing w:val="-3"/>
          <w:w w:val="105"/>
          <w:sz w:val="21"/>
        </w:rPr>
        <w:t>Court </w:t>
      </w:r>
      <w:r>
        <w:rPr>
          <w:w w:val="105"/>
          <w:sz w:val="21"/>
        </w:rPr>
        <w:t>must </w:t>
      </w:r>
      <w:r>
        <w:rPr>
          <w:spacing w:val="-3"/>
          <w:w w:val="105"/>
          <w:sz w:val="21"/>
        </w:rPr>
        <w:t>take </w:t>
      </w:r>
      <w:r>
        <w:rPr>
          <w:spacing w:val="-4"/>
          <w:w w:val="105"/>
          <w:sz w:val="21"/>
        </w:rPr>
        <w:t>into </w:t>
      </w:r>
      <w:r>
        <w:rPr>
          <w:spacing w:val="-3"/>
          <w:w w:val="105"/>
          <w:sz w:val="21"/>
        </w:rPr>
        <w:t>account </w:t>
      </w:r>
      <w:r>
        <w:rPr>
          <w:w w:val="105"/>
          <w:sz w:val="21"/>
        </w:rPr>
        <w:t>when </w:t>
      </w:r>
      <w:r>
        <w:rPr>
          <w:spacing w:val="-2"/>
          <w:w w:val="105"/>
          <w:sz w:val="21"/>
        </w:rPr>
        <w:t>deciding </w:t>
      </w:r>
      <w:r>
        <w:rPr>
          <w:w w:val="105"/>
          <w:sz w:val="21"/>
        </w:rPr>
        <w:t>whether </w:t>
      </w:r>
      <w:r>
        <w:rPr>
          <w:spacing w:val="-3"/>
          <w:w w:val="105"/>
          <w:sz w:val="21"/>
        </w:rPr>
        <w:t>to </w:t>
      </w:r>
      <w:r>
        <w:rPr>
          <w:spacing w:val="-4"/>
          <w:w w:val="105"/>
          <w:sz w:val="21"/>
        </w:rPr>
        <w:t>make </w:t>
      </w:r>
      <w:r>
        <w:rPr>
          <w:w w:val="105"/>
          <w:sz w:val="21"/>
        </w:rPr>
        <w:t>a </w:t>
      </w:r>
      <w:r>
        <w:rPr>
          <w:spacing w:val="-2"/>
          <w:w w:val="105"/>
          <w:sz w:val="21"/>
        </w:rPr>
        <w:t>distribution </w:t>
      </w:r>
      <w:r>
        <w:rPr>
          <w:spacing w:val="-4"/>
          <w:w w:val="105"/>
          <w:sz w:val="21"/>
        </w:rPr>
        <w:t>order. </w:t>
      </w:r>
      <w:r>
        <w:rPr>
          <w:w w:val="105"/>
          <w:sz w:val="21"/>
        </w:rPr>
        <w:t>The </w:t>
      </w:r>
      <w:r>
        <w:rPr>
          <w:spacing w:val="-3"/>
          <w:w w:val="105"/>
          <w:sz w:val="21"/>
        </w:rPr>
        <w:t>references </w:t>
      </w:r>
      <w:r>
        <w:rPr>
          <w:w w:val="105"/>
          <w:sz w:val="21"/>
        </w:rPr>
        <w:t>in the </w:t>
      </w:r>
      <w:r>
        <w:rPr>
          <w:spacing w:val="-3"/>
          <w:w w:val="105"/>
          <w:sz w:val="21"/>
        </w:rPr>
        <w:t>National </w:t>
      </w:r>
      <w:r>
        <w:rPr>
          <w:spacing w:val="-4"/>
          <w:w w:val="105"/>
          <w:sz w:val="21"/>
        </w:rPr>
        <w:t>Committee’s </w:t>
      </w:r>
      <w:r>
        <w:rPr>
          <w:w w:val="105"/>
          <w:sz w:val="21"/>
        </w:rPr>
        <w:t>recommended </w:t>
      </w:r>
      <w:r>
        <w:rPr>
          <w:spacing w:val="-3"/>
          <w:w w:val="105"/>
          <w:sz w:val="21"/>
        </w:rPr>
        <w:t>provision to ‘laws, customs, traditions </w:t>
      </w:r>
      <w:r>
        <w:rPr>
          <w:w w:val="105"/>
          <w:sz w:val="21"/>
        </w:rPr>
        <w:t>and practices</w:t>
      </w:r>
      <w:r>
        <w:rPr>
          <w:spacing w:val="-7"/>
          <w:w w:val="105"/>
          <w:sz w:val="21"/>
        </w:rPr>
        <w:t> </w:t>
      </w:r>
      <w:r>
        <w:rPr>
          <w:w w:val="105"/>
          <w:sz w:val="21"/>
        </w:rPr>
        <w:t>of</w:t>
      </w:r>
      <w:r>
        <w:rPr>
          <w:spacing w:val="-6"/>
          <w:w w:val="105"/>
          <w:sz w:val="21"/>
        </w:rPr>
        <w:t> </w:t>
      </w:r>
      <w:r>
        <w:rPr>
          <w:w w:val="105"/>
          <w:sz w:val="21"/>
        </w:rPr>
        <w:t>the</w:t>
      </w:r>
      <w:r>
        <w:rPr>
          <w:spacing w:val="-6"/>
          <w:w w:val="105"/>
          <w:sz w:val="21"/>
        </w:rPr>
        <w:t> </w:t>
      </w:r>
      <w:r>
        <w:rPr>
          <w:w w:val="105"/>
          <w:sz w:val="21"/>
        </w:rPr>
        <w:t>Indigenous</w:t>
      </w:r>
      <w:r>
        <w:rPr>
          <w:spacing w:val="-7"/>
          <w:w w:val="105"/>
          <w:sz w:val="21"/>
        </w:rPr>
        <w:t> </w:t>
      </w:r>
      <w:r>
        <w:rPr>
          <w:w w:val="105"/>
          <w:sz w:val="21"/>
        </w:rPr>
        <w:t>community</w:t>
      </w:r>
      <w:r>
        <w:rPr>
          <w:spacing w:val="-6"/>
          <w:w w:val="105"/>
          <w:sz w:val="21"/>
        </w:rPr>
        <w:t> </w:t>
      </w:r>
      <w:r>
        <w:rPr>
          <w:w w:val="105"/>
          <w:sz w:val="21"/>
        </w:rPr>
        <w:t>or</w:t>
      </w:r>
      <w:r>
        <w:rPr>
          <w:spacing w:val="-6"/>
          <w:w w:val="105"/>
          <w:sz w:val="21"/>
        </w:rPr>
        <w:t> </w:t>
      </w:r>
      <w:r>
        <w:rPr>
          <w:spacing w:val="-3"/>
          <w:w w:val="105"/>
          <w:sz w:val="21"/>
        </w:rPr>
        <w:t>group</w:t>
      </w:r>
      <w:r>
        <w:rPr>
          <w:spacing w:val="-7"/>
          <w:w w:val="105"/>
          <w:sz w:val="21"/>
        </w:rPr>
        <w:t> </w:t>
      </w:r>
      <w:r>
        <w:rPr>
          <w:spacing w:val="-3"/>
          <w:w w:val="105"/>
          <w:sz w:val="21"/>
        </w:rPr>
        <w:t>to</w:t>
      </w:r>
      <w:r>
        <w:rPr>
          <w:spacing w:val="-6"/>
          <w:w w:val="105"/>
          <w:sz w:val="21"/>
        </w:rPr>
        <w:t> </w:t>
      </w:r>
      <w:r>
        <w:rPr>
          <w:w w:val="105"/>
          <w:sz w:val="21"/>
        </w:rPr>
        <w:t>which</w:t>
      </w:r>
      <w:r>
        <w:rPr>
          <w:spacing w:val="-6"/>
          <w:w w:val="105"/>
          <w:sz w:val="21"/>
        </w:rPr>
        <w:t> </w:t>
      </w:r>
      <w:r>
        <w:rPr>
          <w:w w:val="105"/>
          <w:sz w:val="21"/>
        </w:rPr>
        <w:t>the</w:t>
      </w:r>
      <w:r>
        <w:rPr>
          <w:spacing w:val="-6"/>
          <w:w w:val="105"/>
          <w:sz w:val="21"/>
        </w:rPr>
        <w:t> </w:t>
      </w:r>
      <w:r>
        <w:rPr>
          <w:spacing w:val="-3"/>
          <w:w w:val="105"/>
          <w:sz w:val="21"/>
        </w:rPr>
        <w:t>intestate</w:t>
      </w:r>
      <w:r>
        <w:rPr>
          <w:spacing w:val="-7"/>
          <w:w w:val="105"/>
          <w:sz w:val="21"/>
        </w:rPr>
        <w:t> </w:t>
      </w:r>
      <w:r>
        <w:rPr>
          <w:w w:val="105"/>
          <w:sz w:val="21"/>
        </w:rPr>
        <w:t>belonged’</w:t>
      </w:r>
      <w:r>
        <w:rPr>
          <w:spacing w:val="-6"/>
          <w:w w:val="105"/>
          <w:sz w:val="21"/>
        </w:rPr>
        <w:t> </w:t>
      </w:r>
      <w:r>
        <w:rPr>
          <w:w w:val="105"/>
          <w:sz w:val="21"/>
        </w:rPr>
        <w:t>do </w:t>
      </w:r>
      <w:r>
        <w:rPr>
          <w:spacing w:val="-2"/>
          <w:w w:val="105"/>
          <w:sz w:val="21"/>
        </w:rPr>
        <w:t>not </w:t>
      </w:r>
      <w:r>
        <w:rPr>
          <w:w w:val="105"/>
          <w:sz w:val="21"/>
        </w:rPr>
        <w:t>specify how </w:t>
      </w:r>
      <w:r>
        <w:rPr>
          <w:spacing w:val="-3"/>
          <w:w w:val="105"/>
          <w:sz w:val="21"/>
        </w:rPr>
        <w:t>such </w:t>
      </w:r>
      <w:r>
        <w:rPr>
          <w:w w:val="105"/>
          <w:sz w:val="21"/>
        </w:rPr>
        <w:t>evidence should be put </w:t>
      </w:r>
      <w:r>
        <w:rPr>
          <w:spacing w:val="-3"/>
          <w:w w:val="105"/>
          <w:sz w:val="21"/>
        </w:rPr>
        <w:t>before </w:t>
      </w:r>
      <w:r>
        <w:rPr>
          <w:w w:val="105"/>
          <w:sz w:val="21"/>
        </w:rPr>
        <w:t>the</w:t>
      </w:r>
      <w:r>
        <w:rPr>
          <w:spacing w:val="43"/>
          <w:w w:val="105"/>
          <w:sz w:val="21"/>
        </w:rPr>
        <w:t> </w:t>
      </w:r>
      <w:r>
        <w:rPr>
          <w:w w:val="105"/>
          <w:sz w:val="21"/>
        </w:rPr>
        <w:t>Court.</w:t>
      </w:r>
      <w:r>
        <w:rPr>
          <w:w w:val="105"/>
          <w:position w:val="7"/>
          <w:sz w:val="12"/>
        </w:rPr>
        <w:t>290</w:t>
      </w:r>
    </w:p>
    <w:p>
      <w:pPr>
        <w:pStyle w:val="ListParagraph"/>
        <w:numPr>
          <w:ilvl w:val="1"/>
          <w:numId w:val="22"/>
        </w:numPr>
        <w:tabs>
          <w:tab w:pos="2381" w:val="left" w:leader="none"/>
          <w:tab w:pos="2382" w:val="left" w:leader="none"/>
        </w:tabs>
        <w:spacing w:line="242" w:lineRule="auto" w:before="125" w:after="0"/>
        <w:ind w:left="2381" w:right="1619" w:hanging="794"/>
        <w:jc w:val="left"/>
        <w:rPr>
          <w:sz w:val="12"/>
        </w:rPr>
      </w:pPr>
      <w:r>
        <w:rPr>
          <w:w w:val="105"/>
          <w:sz w:val="21"/>
        </w:rPr>
        <w:t>Few</w:t>
      </w:r>
      <w:r>
        <w:rPr>
          <w:spacing w:val="-9"/>
          <w:w w:val="105"/>
          <w:sz w:val="21"/>
        </w:rPr>
        <w:t> </w:t>
      </w:r>
      <w:r>
        <w:rPr>
          <w:spacing w:val="-3"/>
          <w:w w:val="105"/>
          <w:sz w:val="21"/>
        </w:rPr>
        <w:t>submissions</w:t>
      </w:r>
      <w:r>
        <w:rPr>
          <w:spacing w:val="-9"/>
          <w:w w:val="105"/>
          <w:sz w:val="21"/>
        </w:rPr>
        <w:t> </w:t>
      </w:r>
      <w:r>
        <w:rPr>
          <w:spacing w:val="-3"/>
          <w:w w:val="105"/>
          <w:sz w:val="21"/>
        </w:rPr>
        <w:t>commented</w:t>
      </w:r>
      <w:r>
        <w:rPr>
          <w:spacing w:val="-8"/>
          <w:w w:val="105"/>
          <w:sz w:val="21"/>
        </w:rPr>
        <w:t> </w:t>
      </w:r>
      <w:r>
        <w:rPr>
          <w:w w:val="105"/>
          <w:sz w:val="21"/>
        </w:rPr>
        <w:t>on</w:t>
      </w:r>
      <w:r>
        <w:rPr>
          <w:spacing w:val="-9"/>
          <w:w w:val="105"/>
          <w:sz w:val="21"/>
        </w:rPr>
        <w:t> </w:t>
      </w:r>
      <w:r>
        <w:rPr>
          <w:w w:val="105"/>
          <w:sz w:val="21"/>
        </w:rPr>
        <w:t>the</w:t>
      </w:r>
      <w:r>
        <w:rPr>
          <w:spacing w:val="-8"/>
          <w:w w:val="105"/>
          <w:sz w:val="21"/>
        </w:rPr>
        <w:t> </w:t>
      </w:r>
      <w:r>
        <w:rPr>
          <w:w w:val="105"/>
          <w:sz w:val="21"/>
        </w:rPr>
        <w:t>question</w:t>
      </w:r>
      <w:r>
        <w:rPr>
          <w:spacing w:val="-9"/>
          <w:w w:val="105"/>
          <w:sz w:val="21"/>
        </w:rPr>
        <w:t> </w:t>
      </w:r>
      <w:r>
        <w:rPr>
          <w:w w:val="105"/>
          <w:sz w:val="21"/>
        </w:rPr>
        <w:t>of</w:t>
      </w:r>
      <w:r>
        <w:rPr>
          <w:spacing w:val="-9"/>
          <w:w w:val="105"/>
          <w:sz w:val="21"/>
        </w:rPr>
        <w:t> </w:t>
      </w:r>
      <w:r>
        <w:rPr>
          <w:w w:val="105"/>
          <w:sz w:val="21"/>
        </w:rPr>
        <w:t>Indigenous</w:t>
      </w:r>
      <w:r>
        <w:rPr>
          <w:spacing w:val="-8"/>
          <w:w w:val="105"/>
          <w:sz w:val="21"/>
        </w:rPr>
        <w:t> </w:t>
      </w:r>
      <w:r>
        <w:rPr>
          <w:spacing w:val="-3"/>
          <w:w w:val="105"/>
          <w:sz w:val="21"/>
        </w:rPr>
        <w:t>intestate</w:t>
      </w:r>
      <w:r>
        <w:rPr>
          <w:spacing w:val="-9"/>
          <w:w w:val="105"/>
          <w:sz w:val="21"/>
        </w:rPr>
        <w:t> </w:t>
      </w:r>
      <w:r>
        <w:rPr>
          <w:w w:val="105"/>
          <w:sz w:val="21"/>
        </w:rPr>
        <w:t>estates.</w:t>
      </w:r>
      <w:r>
        <w:rPr>
          <w:w w:val="105"/>
          <w:position w:val="7"/>
          <w:sz w:val="12"/>
        </w:rPr>
        <w:t>291</w:t>
      </w:r>
      <w:r>
        <w:rPr>
          <w:spacing w:val="14"/>
          <w:w w:val="105"/>
          <w:position w:val="7"/>
          <w:sz w:val="12"/>
        </w:rPr>
        <w:t> </w:t>
      </w:r>
      <w:r>
        <w:rPr>
          <w:spacing w:val="-4"/>
          <w:w w:val="105"/>
          <w:sz w:val="21"/>
        </w:rPr>
        <w:t>However, </w:t>
      </w:r>
      <w:r>
        <w:rPr>
          <w:w w:val="105"/>
          <w:sz w:val="21"/>
        </w:rPr>
        <w:t>those </w:t>
      </w:r>
      <w:r>
        <w:rPr>
          <w:spacing w:val="-3"/>
          <w:w w:val="105"/>
          <w:sz w:val="21"/>
        </w:rPr>
        <w:t>that </w:t>
      </w:r>
      <w:r>
        <w:rPr>
          <w:w w:val="105"/>
          <w:sz w:val="21"/>
        </w:rPr>
        <w:t>did </w:t>
      </w:r>
      <w:r>
        <w:rPr>
          <w:spacing w:val="-3"/>
          <w:w w:val="105"/>
          <w:sz w:val="21"/>
        </w:rPr>
        <w:t>were </w:t>
      </w:r>
      <w:r>
        <w:rPr>
          <w:w w:val="105"/>
          <w:sz w:val="21"/>
        </w:rPr>
        <w:t>in general </w:t>
      </w:r>
      <w:r>
        <w:rPr>
          <w:spacing w:val="-2"/>
          <w:w w:val="105"/>
          <w:sz w:val="21"/>
        </w:rPr>
        <w:t>agreement </w:t>
      </w:r>
      <w:r>
        <w:rPr>
          <w:spacing w:val="-3"/>
          <w:w w:val="105"/>
          <w:sz w:val="21"/>
        </w:rPr>
        <w:t>that </w:t>
      </w:r>
      <w:r>
        <w:rPr>
          <w:w w:val="105"/>
          <w:sz w:val="21"/>
        </w:rPr>
        <w:t>more flexible </w:t>
      </w:r>
      <w:r>
        <w:rPr>
          <w:spacing w:val="-3"/>
          <w:w w:val="105"/>
          <w:sz w:val="21"/>
        </w:rPr>
        <w:t>provisions are required for </w:t>
      </w:r>
      <w:r>
        <w:rPr>
          <w:w w:val="105"/>
          <w:sz w:val="21"/>
        </w:rPr>
        <w:t>the </w:t>
      </w:r>
      <w:r>
        <w:rPr>
          <w:spacing w:val="-2"/>
          <w:w w:val="105"/>
          <w:sz w:val="21"/>
        </w:rPr>
        <w:t>distribution </w:t>
      </w:r>
      <w:r>
        <w:rPr>
          <w:w w:val="105"/>
          <w:sz w:val="21"/>
        </w:rPr>
        <w:t>of </w:t>
      </w:r>
      <w:r>
        <w:rPr>
          <w:spacing w:val="-3"/>
          <w:w w:val="105"/>
          <w:sz w:val="21"/>
        </w:rPr>
        <w:t>intestate </w:t>
      </w:r>
      <w:r>
        <w:rPr>
          <w:w w:val="105"/>
          <w:sz w:val="21"/>
        </w:rPr>
        <w:t>estates of Indigenous people.</w:t>
      </w:r>
      <w:r>
        <w:rPr>
          <w:w w:val="105"/>
          <w:position w:val="7"/>
          <w:sz w:val="12"/>
        </w:rPr>
        <w:t>292 </w:t>
      </w:r>
      <w:r>
        <w:rPr>
          <w:w w:val="105"/>
          <w:sz w:val="21"/>
        </w:rPr>
        <w:t>Among these </w:t>
      </w:r>
      <w:r>
        <w:rPr>
          <w:spacing w:val="-3"/>
          <w:w w:val="105"/>
          <w:sz w:val="21"/>
        </w:rPr>
        <w:t>submissions, </w:t>
      </w:r>
      <w:r>
        <w:rPr>
          <w:w w:val="105"/>
          <w:sz w:val="21"/>
        </w:rPr>
        <w:t>there </w:t>
      </w:r>
      <w:r>
        <w:rPr>
          <w:spacing w:val="-3"/>
          <w:w w:val="105"/>
          <w:sz w:val="21"/>
        </w:rPr>
        <w:t>were </w:t>
      </w:r>
      <w:r>
        <w:rPr>
          <w:w w:val="105"/>
          <w:sz w:val="21"/>
        </w:rPr>
        <w:t>mixed views about the </w:t>
      </w:r>
      <w:r>
        <w:rPr>
          <w:spacing w:val="-3"/>
          <w:w w:val="105"/>
          <w:sz w:val="21"/>
        </w:rPr>
        <w:t>form that such provisions </w:t>
      </w:r>
      <w:r>
        <w:rPr>
          <w:w w:val="105"/>
          <w:sz w:val="21"/>
        </w:rPr>
        <w:t>should </w:t>
      </w:r>
      <w:r>
        <w:rPr>
          <w:spacing w:val="-4"/>
          <w:w w:val="105"/>
          <w:sz w:val="21"/>
        </w:rPr>
        <w:t>take. </w:t>
      </w:r>
      <w:r>
        <w:rPr>
          <w:w w:val="105"/>
          <w:sz w:val="21"/>
        </w:rPr>
        <w:t>Some supported </w:t>
      </w:r>
      <w:r>
        <w:rPr>
          <w:spacing w:val="-3"/>
          <w:w w:val="105"/>
          <w:sz w:val="21"/>
        </w:rPr>
        <w:t>provisions </w:t>
      </w:r>
      <w:r>
        <w:rPr>
          <w:w w:val="105"/>
          <w:sz w:val="21"/>
        </w:rPr>
        <w:t>along the </w:t>
      </w:r>
      <w:r>
        <w:rPr>
          <w:spacing w:val="-3"/>
          <w:w w:val="105"/>
          <w:sz w:val="21"/>
        </w:rPr>
        <w:t>lines </w:t>
      </w:r>
      <w:r>
        <w:rPr>
          <w:w w:val="105"/>
          <w:sz w:val="21"/>
        </w:rPr>
        <w:t>of the Northern </w:t>
      </w:r>
      <w:r>
        <w:rPr>
          <w:spacing w:val="-3"/>
          <w:w w:val="105"/>
          <w:sz w:val="21"/>
        </w:rPr>
        <w:t>Territory provisions, </w:t>
      </w:r>
      <w:r>
        <w:rPr>
          <w:w w:val="105"/>
          <w:sz w:val="21"/>
        </w:rPr>
        <w:t>recommended by the </w:t>
      </w:r>
      <w:r>
        <w:rPr>
          <w:spacing w:val="-3"/>
          <w:w w:val="105"/>
          <w:sz w:val="21"/>
        </w:rPr>
        <w:t>National Committee.</w:t>
      </w:r>
      <w:r>
        <w:rPr>
          <w:spacing w:val="-3"/>
          <w:w w:val="105"/>
          <w:position w:val="7"/>
          <w:sz w:val="12"/>
        </w:rPr>
        <w:t>293 </w:t>
      </w:r>
      <w:r>
        <w:rPr>
          <w:w w:val="105"/>
          <w:sz w:val="21"/>
        </w:rPr>
        <w:t>Other </w:t>
      </w:r>
      <w:r>
        <w:rPr>
          <w:spacing w:val="-3"/>
          <w:w w:val="105"/>
          <w:sz w:val="21"/>
        </w:rPr>
        <w:t>submissions </w:t>
      </w:r>
      <w:r>
        <w:rPr>
          <w:w w:val="105"/>
          <w:sz w:val="21"/>
        </w:rPr>
        <w:t>suggested </w:t>
      </w:r>
      <w:r>
        <w:rPr>
          <w:spacing w:val="-3"/>
          <w:w w:val="105"/>
          <w:sz w:val="21"/>
        </w:rPr>
        <w:t>alternatives to </w:t>
      </w:r>
      <w:r>
        <w:rPr>
          <w:w w:val="105"/>
          <w:sz w:val="21"/>
        </w:rPr>
        <w:t>the </w:t>
      </w:r>
      <w:r>
        <w:rPr>
          <w:spacing w:val="-3"/>
          <w:w w:val="105"/>
          <w:sz w:val="21"/>
        </w:rPr>
        <w:t>National </w:t>
      </w:r>
      <w:r>
        <w:rPr>
          <w:spacing w:val="-4"/>
          <w:w w:val="105"/>
          <w:sz w:val="21"/>
        </w:rPr>
        <w:t>Committee’s</w:t>
      </w:r>
      <w:r>
        <w:rPr>
          <w:spacing w:val="5"/>
          <w:w w:val="105"/>
          <w:sz w:val="21"/>
        </w:rPr>
        <w:t> </w:t>
      </w:r>
      <w:r>
        <w:rPr>
          <w:w w:val="105"/>
          <w:sz w:val="21"/>
        </w:rPr>
        <w:t>model.</w:t>
      </w:r>
      <w:r>
        <w:rPr>
          <w:w w:val="105"/>
          <w:position w:val="7"/>
          <w:sz w:val="12"/>
        </w:rPr>
        <w:t>294</w:t>
      </w:r>
    </w:p>
    <w:p>
      <w:pPr>
        <w:pStyle w:val="ListParagraph"/>
        <w:numPr>
          <w:ilvl w:val="1"/>
          <w:numId w:val="22"/>
        </w:numPr>
        <w:tabs>
          <w:tab w:pos="2380" w:val="left" w:leader="none"/>
          <w:tab w:pos="2381" w:val="left" w:leader="none"/>
        </w:tabs>
        <w:spacing w:line="230" w:lineRule="auto" w:before="136" w:after="0"/>
        <w:ind w:left="2381" w:right="1985" w:hanging="794"/>
        <w:jc w:val="left"/>
        <w:rPr>
          <w:sz w:val="14"/>
        </w:rPr>
      </w:pPr>
      <w:r>
        <w:rPr>
          <w:w w:val="105"/>
          <w:sz w:val="21"/>
        </w:rPr>
        <w:t>The Arts Law </w:t>
      </w:r>
      <w:r>
        <w:rPr>
          <w:spacing w:val="-4"/>
          <w:w w:val="105"/>
          <w:sz w:val="21"/>
        </w:rPr>
        <w:t>Centre </w:t>
      </w:r>
      <w:r>
        <w:rPr>
          <w:w w:val="105"/>
          <w:sz w:val="21"/>
        </w:rPr>
        <w:t>of </w:t>
      </w:r>
      <w:r>
        <w:rPr>
          <w:spacing w:val="-3"/>
          <w:w w:val="105"/>
          <w:sz w:val="21"/>
        </w:rPr>
        <w:t>Australia reiterated that </w:t>
      </w:r>
      <w:r>
        <w:rPr>
          <w:w w:val="105"/>
          <w:sz w:val="21"/>
        </w:rPr>
        <w:t>the scheme should </w:t>
      </w:r>
      <w:r>
        <w:rPr>
          <w:spacing w:val="-2"/>
          <w:w w:val="105"/>
          <w:sz w:val="21"/>
        </w:rPr>
        <w:t>not </w:t>
      </w:r>
      <w:r>
        <w:rPr>
          <w:w w:val="105"/>
          <w:sz w:val="21"/>
        </w:rPr>
        <w:t>be</w:t>
      </w:r>
      <w:r>
        <w:rPr>
          <w:spacing w:val="-34"/>
          <w:w w:val="105"/>
          <w:sz w:val="21"/>
        </w:rPr>
        <w:t> </w:t>
      </w:r>
      <w:r>
        <w:rPr>
          <w:w w:val="105"/>
          <w:sz w:val="21"/>
        </w:rPr>
        <w:t>dependent on a court application and made the </w:t>
      </w:r>
      <w:r>
        <w:rPr>
          <w:spacing w:val="-3"/>
          <w:w w:val="105"/>
          <w:sz w:val="21"/>
        </w:rPr>
        <w:t>following </w:t>
      </w:r>
      <w:r>
        <w:rPr>
          <w:w w:val="105"/>
          <w:sz w:val="21"/>
        </w:rPr>
        <w:t>points:</w:t>
      </w:r>
      <w:r>
        <w:rPr>
          <w:spacing w:val="18"/>
          <w:w w:val="105"/>
          <w:sz w:val="21"/>
        </w:rPr>
        <w:t> </w:t>
      </w:r>
      <w:r>
        <w:rPr>
          <w:w w:val="105"/>
          <w:position w:val="8"/>
          <w:sz w:val="14"/>
        </w:rPr>
        <w:t>295</w:t>
      </w:r>
    </w:p>
    <w:p>
      <w:pPr>
        <w:pStyle w:val="ListParagraph"/>
        <w:numPr>
          <w:ilvl w:val="2"/>
          <w:numId w:val="22"/>
        </w:numPr>
        <w:tabs>
          <w:tab w:pos="2721" w:val="left" w:leader="none"/>
          <w:tab w:pos="2722" w:val="left" w:leader="none"/>
        </w:tabs>
        <w:spacing w:line="242" w:lineRule="auto" w:before="127" w:after="0"/>
        <w:ind w:left="2721" w:right="1752" w:hanging="340"/>
        <w:jc w:val="left"/>
        <w:rPr>
          <w:sz w:val="21"/>
        </w:rPr>
      </w:pPr>
      <w:r>
        <w:rPr>
          <w:w w:val="105"/>
          <w:sz w:val="21"/>
        </w:rPr>
        <w:t>There needs </w:t>
      </w:r>
      <w:r>
        <w:rPr>
          <w:spacing w:val="-3"/>
          <w:w w:val="105"/>
          <w:sz w:val="21"/>
        </w:rPr>
        <w:t>to </w:t>
      </w:r>
      <w:r>
        <w:rPr>
          <w:w w:val="105"/>
          <w:sz w:val="21"/>
        </w:rPr>
        <w:t>be a </w:t>
      </w:r>
      <w:r>
        <w:rPr>
          <w:spacing w:val="-3"/>
          <w:w w:val="105"/>
          <w:sz w:val="21"/>
        </w:rPr>
        <w:t>different </w:t>
      </w:r>
      <w:r>
        <w:rPr>
          <w:w w:val="105"/>
          <w:sz w:val="21"/>
        </w:rPr>
        <w:t>starting point </w:t>
      </w:r>
      <w:r>
        <w:rPr>
          <w:spacing w:val="-3"/>
          <w:w w:val="105"/>
          <w:sz w:val="21"/>
        </w:rPr>
        <w:t>for Aboriginal </w:t>
      </w:r>
      <w:r>
        <w:rPr>
          <w:w w:val="105"/>
          <w:sz w:val="21"/>
        </w:rPr>
        <w:t>and </w:t>
      </w:r>
      <w:r>
        <w:rPr>
          <w:spacing w:val="-4"/>
          <w:w w:val="105"/>
          <w:sz w:val="21"/>
        </w:rPr>
        <w:t>Torres Strait </w:t>
      </w:r>
      <w:r>
        <w:rPr>
          <w:w w:val="105"/>
          <w:sz w:val="21"/>
        </w:rPr>
        <w:t>Islander people on </w:t>
      </w:r>
      <w:r>
        <w:rPr>
          <w:spacing w:val="-3"/>
          <w:w w:val="105"/>
          <w:sz w:val="21"/>
        </w:rPr>
        <w:t>intestacy. </w:t>
      </w:r>
      <w:r>
        <w:rPr>
          <w:w w:val="105"/>
          <w:sz w:val="21"/>
        </w:rPr>
        <w:t>This should be </w:t>
      </w:r>
      <w:r>
        <w:rPr>
          <w:spacing w:val="-3"/>
          <w:w w:val="105"/>
          <w:sz w:val="21"/>
        </w:rPr>
        <w:t>achieved </w:t>
      </w:r>
      <w:r>
        <w:rPr>
          <w:w w:val="105"/>
          <w:sz w:val="21"/>
        </w:rPr>
        <w:t>by giving less priority </w:t>
      </w:r>
      <w:r>
        <w:rPr>
          <w:spacing w:val="-3"/>
          <w:w w:val="105"/>
          <w:sz w:val="21"/>
        </w:rPr>
        <w:t>to </w:t>
      </w:r>
      <w:r>
        <w:rPr>
          <w:w w:val="105"/>
          <w:sz w:val="21"/>
        </w:rPr>
        <w:t>the deceased </w:t>
      </w:r>
      <w:r>
        <w:rPr>
          <w:spacing w:val="-3"/>
          <w:w w:val="105"/>
          <w:sz w:val="21"/>
        </w:rPr>
        <w:t>person’s</w:t>
      </w:r>
      <w:r>
        <w:rPr>
          <w:spacing w:val="-9"/>
          <w:w w:val="105"/>
          <w:sz w:val="21"/>
        </w:rPr>
        <w:t> </w:t>
      </w:r>
      <w:r>
        <w:rPr>
          <w:w w:val="105"/>
          <w:sz w:val="21"/>
        </w:rPr>
        <w:t>partner</w:t>
      </w:r>
      <w:r>
        <w:rPr>
          <w:spacing w:val="-8"/>
          <w:w w:val="105"/>
          <w:sz w:val="21"/>
        </w:rPr>
        <w:t> </w:t>
      </w:r>
      <w:r>
        <w:rPr>
          <w:w w:val="105"/>
          <w:sz w:val="21"/>
        </w:rPr>
        <w:t>over</w:t>
      </w:r>
      <w:r>
        <w:rPr>
          <w:spacing w:val="-9"/>
          <w:w w:val="105"/>
          <w:sz w:val="21"/>
        </w:rPr>
        <w:t> </w:t>
      </w:r>
      <w:r>
        <w:rPr>
          <w:w w:val="105"/>
          <w:sz w:val="21"/>
        </w:rPr>
        <w:t>their</w:t>
      </w:r>
      <w:r>
        <w:rPr>
          <w:spacing w:val="-8"/>
          <w:w w:val="105"/>
          <w:sz w:val="21"/>
        </w:rPr>
        <w:t> </w:t>
      </w:r>
      <w:r>
        <w:rPr>
          <w:spacing w:val="-3"/>
          <w:w w:val="105"/>
          <w:sz w:val="21"/>
        </w:rPr>
        <w:t>children</w:t>
      </w:r>
      <w:r>
        <w:rPr>
          <w:spacing w:val="-9"/>
          <w:w w:val="105"/>
          <w:sz w:val="21"/>
        </w:rPr>
        <w:t> </w:t>
      </w:r>
      <w:r>
        <w:rPr>
          <w:w w:val="105"/>
          <w:sz w:val="21"/>
        </w:rPr>
        <w:t>and</w:t>
      </w:r>
      <w:r>
        <w:rPr>
          <w:spacing w:val="-8"/>
          <w:w w:val="105"/>
          <w:sz w:val="21"/>
        </w:rPr>
        <w:t> </w:t>
      </w:r>
      <w:r>
        <w:rPr>
          <w:spacing w:val="-3"/>
          <w:w w:val="105"/>
          <w:sz w:val="21"/>
        </w:rPr>
        <w:t>recognising</w:t>
      </w:r>
      <w:r>
        <w:rPr>
          <w:spacing w:val="-8"/>
          <w:w w:val="105"/>
          <w:sz w:val="21"/>
        </w:rPr>
        <w:t> </w:t>
      </w:r>
      <w:r>
        <w:rPr>
          <w:spacing w:val="-3"/>
          <w:w w:val="105"/>
          <w:sz w:val="21"/>
        </w:rPr>
        <w:t>traditional</w:t>
      </w:r>
      <w:r>
        <w:rPr>
          <w:spacing w:val="-9"/>
          <w:w w:val="105"/>
          <w:sz w:val="21"/>
        </w:rPr>
        <w:t> </w:t>
      </w:r>
      <w:r>
        <w:rPr>
          <w:w w:val="105"/>
          <w:sz w:val="21"/>
        </w:rPr>
        <w:t>law</w:t>
      </w:r>
      <w:r>
        <w:rPr>
          <w:spacing w:val="-8"/>
          <w:w w:val="105"/>
          <w:sz w:val="21"/>
        </w:rPr>
        <w:t> </w:t>
      </w:r>
      <w:r>
        <w:rPr>
          <w:w w:val="105"/>
          <w:sz w:val="21"/>
        </w:rPr>
        <w:t>adoptions,</w:t>
      </w:r>
      <w:r>
        <w:rPr>
          <w:spacing w:val="-9"/>
          <w:w w:val="105"/>
          <w:sz w:val="21"/>
        </w:rPr>
        <w:t> </w:t>
      </w:r>
      <w:r>
        <w:rPr>
          <w:spacing w:val="-3"/>
          <w:w w:val="105"/>
          <w:sz w:val="21"/>
        </w:rPr>
        <w:t>within </w:t>
      </w:r>
      <w:r>
        <w:rPr>
          <w:w w:val="105"/>
          <w:sz w:val="21"/>
        </w:rPr>
        <w:t>the </w:t>
      </w:r>
      <w:r>
        <w:rPr>
          <w:spacing w:val="-3"/>
          <w:w w:val="105"/>
          <w:sz w:val="21"/>
        </w:rPr>
        <w:t>framework </w:t>
      </w:r>
      <w:r>
        <w:rPr>
          <w:w w:val="105"/>
          <w:sz w:val="21"/>
        </w:rPr>
        <w:t>of the general intestacy</w:t>
      </w:r>
      <w:r>
        <w:rPr>
          <w:spacing w:val="30"/>
          <w:w w:val="105"/>
          <w:sz w:val="21"/>
        </w:rPr>
        <w:t> </w:t>
      </w:r>
      <w:r>
        <w:rPr>
          <w:spacing w:val="-5"/>
          <w:w w:val="105"/>
          <w:sz w:val="21"/>
        </w:rPr>
        <w:t>law.</w:t>
      </w:r>
    </w:p>
    <w:p>
      <w:pPr>
        <w:pStyle w:val="ListParagraph"/>
        <w:numPr>
          <w:ilvl w:val="2"/>
          <w:numId w:val="22"/>
        </w:numPr>
        <w:tabs>
          <w:tab w:pos="2722" w:val="left" w:leader="none"/>
        </w:tabs>
        <w:spacing w:line="242" w:lineRule="auto" w:before="124" w:after="0"/>
        <w:ind w:left="2721" w:right="1962" w:hanging="340"/>
        <w:jc w:val="both"/>
        <w:rPr>
          <w:sz w:val="21"/>
        </w:rPr>
      </w:pPr>
      <w:r>
        <w:rPr>
          <w:sz w:val="21"/>
        </w:rPr>
        <w:t>The scheme should apply if the deceased person identified as </w:t>
      </w:r>
      <w:r>
        <w:rPr>
          <w:spacing w:val="-3"/>
          <w:sz w:val="21"/>
        </w:rPr>
        <w:t>Aboriginal </w:t>
      </w:r>
      <w:r>
        <w:rPr>
          <w:sz w:val="21"/>
        </w:rPr>
        <w:t>or </w:t>
      </w:r>
      <w:r>
        <w:rPr>
          <w:spacing w:val="-4"/>
          <w:sz w:val="21"/>
        </w:rPr>
        <w:t>Torres Strait Islander. </w:t>
      </w:r>
      <w:r>
        <w:rPr>
          <w:sz w:val="21"/>
        </w:rPr>
        <w:t>An </w:t>
      </w:r>
      <w:r>
        <w:rPr>
          <w:spacing w:val="-3"/>
          <w:sz w:val="21"/>
        </w:rPr>
        <w:t>opt-in  </w:t>
      </w:r>
      <w:r>
        <w:rPr>
          <w:sz w:val="21"/>
        </w:rPr>
        <w:t>or opt-out </w:t>
      </w:r>
      <w:r>
        <w:rPr>
          <w:spacing w:val="-3"/>
          <w:sz w:val="21"/>
        </w:rPr>
        <w:t>approach,</w:t>
      </w:r>
      <w:r>
        <w:rPr>
          <w:spacing w:val="41"/>
          <w:sz w:val="21"/>
        </w:rPr>
        <w:t> </w:t>
      </w:r>
      <w:r>
        <w:rPr>
          <w:spacing w:val="-3"/>
          <w:sz w:val="21"/>
        </w:rPr>
        <w:t>that  relies  </w:t>
      </w:r>
      <w:r>
        <w:rPr>
          <w:sz w:val="21"/>
        </w:rPr>
        <w:t>on application </w:t>
      </w:r>
      <w:r>
        <w:rPr>
          <w:spacing w:val="-3"/>
          <w:sz w:val="21"/>
        </w:rPr>
        <w:t>to  </w:t>
      </w:r>
      <w:r>
        <w:rPr>
          <w:sz w:val="21"/>
        </w:rPr>
        <w:t>a court, is </w:t>
      </w:r>
      <w:r>
        <w:rPr>
          <w:spacing w:val="-2"/>
          <w:sz w:val="21"/>
        </w:rPr>
        <w:t>not</w:t>
      </w:r>
      <w:r>
        <w:rPr>
          <w:spacing w:val="16"/>
          <w:sz w:val="21"/>
        </w:rPr>
        <w:t> </w:t>
      </w:r>
      <w:r>
        <w:rPr>
          <w:spacing w:val="-3"/>
          <w:sz w:val="21"/>
        </w:rPr>
        <w:t>workable.</w:t>
      </w:r>
    </w:p>
    <w:p>
      <w:pPr>
        <w:pStyle w:val="BodyText"/>
        <w:rPr>
          <w:sz w:val="20"/>
        </w:rPr>
      </w:pPr>
    </w:p>
    <w:p>
      <w:pPr>
        <w:pStyle w:val="BodyText"/>
        <w:rPr>
          <w:sz w:val="19"/>
        </w:rPr>
      </w:pPr>
      <w:r>
        <w:rPr/>
        <w:pict>
          <v:line style="position:absolute;mso-position-horizontal-relative:page;mso-position-vertical-relative:paragraph;z-index:6200;mso-wrap-distance-left:0;mso-wrap-distance-right:0" from="79.370003pt,14.063584pt" to="515.905003pt,14.063584pt" stroked="true" strokeweight="1pt" strokecolor="#f9ceca">
            <v:stroke dashstyle="solid"/>
            <w10:wrap type="topAndBottom"/>
          </v:line>
        </w:pict>
      </w:r>
    </w:p>
    <w:p>
      <w:pPr>
        <w:pStyle w:val="ListParagraph"/>
        <w:numPr>
          <w:ilvl w:val="0"/>
          <w:numId w:val="76"/>
        </w:numPr>
        <w:tabs>
          <w:tab w:pos="2380" w:val="left" w:leader="none"/>
          <w:tab w:pos="2382" w:val="left" w:leader="none"/>
        </w:tabs>
        <w:spacing w:line="240" w:lineRule="auto" w:before="117" w:after="0"/>
        <w:ind w:left="2381" w:right="0" w:hanging="794"/>
        <w:jc w:val="left"/>
        <w:rPr>
          <w:i/>
          <w:sz w:val="13"/>
        </w:rPr>
      </w:pPr>
      <w:r>
        <w:rPr>
          <w:w w:val="105"/>
          <w:sz w:val="13"/>
        </w:rPr>
        <w:t>This</w:t>
      </w:r>
      <w:r>
        <w:rPr>
          <w:spacing w:val="4"/>
          <w:w w:val="105"/>
          <w:sz w:val="13"/>
        </w:rPr>
        <w:t> </w:t>
      </w:r>
      <w:r>
        <w:rPr>
          <w:w w:val="105"/>
          <w:sz w:val="13"/>
        </w:rPr>
        <w:t>problem</w:t>
      </w:r>
      <w:r>
        <w:rPr>
          <w:spacing w:val="4"/>
          <w:w w:val="105"/>
          <w:sz w:val="13"/>
        </w:rPr>
        <w:t> </w:t>
      </w:r>
      <w:r>
        <w:rPr>
          <w:w w:val="105"/>
          <w:sz w:val="13"/>
        </w:rPr>
        <w:t>was</w:t>
      </w:r>
      <w:r>
        <w:rPr>
          <w:spacing w:val="4"/>
          <w:w w:val="105"/>
          <w:sz w:val="13"/>
        </w:rPr>
        <w:t> </w:t>
      </w:r>
      <w:r>
        <w:rPr>
          <w:w w:val="105"/>
          <w:sz w:val="13"/>
        </w:rPr>
        <w:t>raised</w:t>
      </w:r>
      <w:r>
        <w:rPr>
          <w:spacing w:val="4"/>
          <w:w w:val="105"/>
          <w:sz w:val="13"/>
        </w:rPr>
        <w:t> </w:t>
      </w:r>
      <w:r>
        <w:rPr>
          <w:w w:val="105"/>
          <w:sz w:val="13"/>
        </w:rPr>
        <w:t>by</w:t>
      </w:r>
      <w:r>
        <w:rPr>
          <w:spacing w:val="4"/>
          <w:w w:val="105"/>
          <w:sz w:val="13"/>
        </w:rPr>
        <w:t> </w:t>
      </w:r>
      <w:r>
        <w:rPr>
          <w:w w:val="105"/>
          <w:sz w:val="13"/>
        </w:rPr>
        <w:t>the</w:t>
      </w:r>
      <w:r>
        <w:rPr>
          <w:spacing w:val="4"/>
          <w:w w:val="105"/>
          <w:sz w:val="13"/>
        </w:rPr>
        <w:t> </w:t>
      </w:r>
      <w:r>
        <w:rPr>
          <w:w w:val="105"/>
          <w:sz w:val="13"/>
        </w:rPr>
        <w:t>Court</w:t>
      </w:r>
      <w:r>
        <w:rPr>
          <w:spacing w:val="4"/>
          <w:w w:val="105"/>
          <w:sz w:val="13"/>
        </w:rPr>
        <w:t> </w:t>
      </w:r>
      <w:r>
        <w:rPr>
          <w:w w:val="105"/>
          <w:sz w:val="13"/>
        </w:rPr>
        <w:t>in</w:t>
      </w:r>
      <w:r>
        <w:rPr>
          <w:spacing w:val="4"/>
          <w:w w:val="105"/>
          <w:sz w:val="13"/>
        </w:rPr>
        <w:t> </w:t>
      </w:r>
      <w:r>
        <w:rPr>
          <w:w w:val="105"/>
          <w:sz w:val="13"/>
        </w:rPr>
        <w:t>one</w:t>
      </w:r>
      <w:r>
        <w:rPr>
          <w:spacing w:val="4"/>
          <w:w w:val="105"/>
          <w:sz w:val="13"/>
        </w:rPr>
        <w:t> </w:t>
      </w:r>
      <w:r>
        <w:rPr>
          <w:w w:val="105"/>
          <w:sz w:val="13"/>
        </w:rPr>
        <w:t>of</w:t>
      </w:r>
      <w:r>
        <w:rPr>
          <w:spacing w:val="4"/>
          <w:w w:val="105"/>
          <w:sz w:val="13"/>
        </w:rPr>
        <w:t> </w:t>
      </w:r>
      <w:r>
        <w:rPr>
          <w:w w:val="105"/>
          <w:sz w:val="13"/>
        </w:rPr>
        <w:t>the</w:t>
      </w:r>
      <w:r>
        <w:rPr>
          <w:spacing w:val="5"/>
          <w:w w:val="105"/>
          <w:sz w:val="13"/>
        </w:rPr>
        <w:t> </w:t>
      </w:r>
      <w:r>
        <w:rPr>
          <w:w w:val="105"/>
          <w:sz w:val="13"/>
        </w:rPr>
        <w:t>few</w:t>
      </w:r>
      <w:r>
        <w:rPr>
          <w:spacing w:val="4"/>
          <w:w w:val="105"/>
          <w:sz w:val="13"/>
        </w:rPr>
        <w:t> </w:t>
      </w:r>
      <w:r>
        <w:rPr>
          <w:spacing w:val="2"/>
          <w:w w:val="105"/>
          <w:sz w:val="13"/>
        </w:rPr>
        <w:t>Northern</w:t>
      </w:r>
      <w:r>
        <w:rPr>
          <w:spacing w:val="4"/>
          <w:w w:val="105"/>
          <w:sz w:val="13"/>
        </w:rPr>
        <w:t> </w:t>
      </w:r>
      <w:r>
        <w:rPr>
          <w:w w:val="105"/>
          <w:sz w:val="13"/>
        </w:rPr>
        <w:t>Territory</w:t>
      </w:r>
      <w:r>
        <w:rPr>
          <w:spacing w:val="4"/>
          <w:w w:val="105"/>
          <w:sz w:val="13"/>
        </w:rPr>
        <w:t> </w:t>
      </w:r>
      <w:r>
        <w:rPr>
          <w:w w:val="105"/>
          <w:sz w:val="13"/>
        </w:rPr>
        <w:t>cases:</w:t>
      </w:r>
      <w:r>
        <w:rPr>
          <w:spacing w:val="4"/>
          <w:w w:val="105"/>
          <w:sz w:val="13"/>
        </w:rPr>
        <w:t> </w:t>
      </w:r>
      <w:r>
        <w:rPr>
          <w:i/>
          <w:w w:val="105"/>
          <w:sz w:val="13"/>
        </w:rPr>
        <w:t>Application</w:t>
      </w:r>
      <w:r>
        <w:rPr>
          <w:i/>
          <w:spacing w:val="3"/>
          <w:w w:val="105"/>
          <w:sz w:val="13"/>
        </w:rPr>
        <w:t> </w:t>
      </w:r>
      <w:r>
        <w:rPr>
          <w:i/>
          <w:w w:val="105"/>
          <w:sz w:val="13"/>
        </w:rPr>
        <w:t>by</w:t>
      </w:r>
      <w:r>
        <w:rPr>
          <w:i/>
          <w:spacing w:val="3"/>
          <w:w w:val="105"/>
          <w:sz w:val="13"/>
        </w:rPr>
        <w:t> </w:t>
      </w:r>
      <w:r>
        <w:rPr>
          <w:i/>
          <w:w w:val="105"/>
          <w:sz w:val="13"/>
        </w:rPr>
        <w:t>the</w:t>
      </w:r>
      <w:r>
        <w:rPr>
          <w:i/>
          <w:spacing w:val="3"/>
          <w:w w:val="105"/>
          <w:sz w:val="13"/>
        </w:rPr>
        <w:t> </w:t>
      </w:r>
      <w:r>
        <w:rPr>
          <w:i/>
          <w:w w:val="105"/>
          <w:sz w:val="13"/>
        </w:rPr>
        <w:t>Public</w:t>
      </w:r>
      <w:r>
        <w:rPr>
          <w:i/>
          <w:spacing w:val="3"/>
          <w:w w:val="105"/>
          <w:sz w:val="13"/>
        </w:rPr>
        <w:t> </w:t>
      </w:r>
      <w:r>
        <w:rPr>
          <w:i/>
          <w:w w:val="105"/>
          <w:sz w:val="13"/>
        </w:rPr>
        <w:t>Trustee</w:t>
      </w:r>
      <w:r>
        <w:rPr>
          <w:i/>
          <w:spacing w:val="3"/>
          <w:w w:val="105"/>
          <w:sz w:val="13"/>
        </w:rPr>
        <w:t> </w:t>
      </w:r>
      <w:r>
        <w:rPr>
          <w:i/>
          <w:w w:val="105"/>
          <w:sz w:val="13"/>
        </w:rPr>
        <w:t>for</w:t>
      </w:r>
      <w:r>
        <w:rPr>
          <w:i/>
          <w:spacing w:val="3"/>
          <w:w w:val="105"/>
          <w:sz w:val="13"/>
        </w:rPr>
        <w:t> </w:t>
      </w:r>
      <w:r>
        <w:rPr>
          <w:i/>
          <w:w w:val="105"/>
          <w:sz w:val="13"/>
        </w:rPr>
        <w:t>the</w:t>
      </w:r>
      <w:r>
        <w:rPr>
          <w:i/>
          <w:spacing w:val="4"/>
          <w:w w:val="105"/>
          <w:sz w:val="13"/>
        </w:rPr>
        <w:t> </w:t>
      </w:r>
      <w:r>
        <w:rPr>
          <w:i/>
          <w:w w:val="105"/>
          <w:sz w:val="13"/>
        </w:rPr>
        <w:t>Northern</w:t>
      </w:r>
      <w:r>
        <w:rPr>
          <w:i/>
          <w:spacing w:val="3"/>
          <w:w w:val="105"/>
          <w:sz w:val="13"/>
        </w:rPr>
        <w:t> </w:t>
      </w:r>
      <w:r>
        <w:rPr>
          <w:i/>
          <w:w w:val="105"/>
          <w:sz w:val="13"/>
        </w:rPr>
        <w:t>Territory</w:t>
      </w:r>
    </w:p>
    <w:p>
      <w:pPr>
        <w:spacing w:before="1"/>
        <w:ind w:left="2381" w:right="0" w:firstLine="0"/>
        <w:jc w:val="left"/>
        <w:rPr>
          <w:sz w:val="13"/>
        </w:rPr>
      </w:pPr>
      <w:r>
        <w:rPr>
          <w:w w:val="105"/>
          <w:sz w:val="13"/>
        </w:rPr>
        <w:t>[2000] NTSC 52 (30 June 2000).</w:t>
      </w:r>
    </w:p>
    <w:p>
      <w:pPr>
        <w:pStyle w:val="ListParagraph"/>
        <w:numPr>
          <w:ilvl w:val="0"/>
          <w:numId w:val="76"/>
        </w:numPr>
        <w:tabs>
          <w:tab w:pos="2380" w:val="left" w:leader="none"/>
          <w:tab w:pos="2382" w:val="left" w:leader="none"/>
        </w:tabs>
        <w:spacing w:line="240" w:lineRule="auto" w:before="2" w:after="0"/>
        <w:ind w:left="2381" w:right="0" w:hanging="794"/>
        <w:jc w:val="left"/>
        <w:rPr>
          <w:sz w:val="13"/>
        </w:rPr>
      </w:pPr>
      <w:r>
        <w:rPr>
          <w:w w:val="105"/>
          <w:sz w:val="13"/>
        </w:rPr>
        <w:t>National</w:t>
      </w:r>
      <w:r>
        <w:rPr>
          <w:spacing w:val="4"/>
          <w:w w:val="105"/>
          <w:sz w:val="13"/>
        </w:rPr>
        <w:t> </w:t>
      </w:r>
      <w:r>
        <w:rPr>
          <w:w w:val="105"/>
          <w:sz w:val="13"/>
        </w:rPr>
        <w:t>Committee</w:t>
      </w:r>
      <w:r>
        <w:rPr>
          <w:spacing w:val="5"/>
          <w:w w:val="105"/>
          <w:sz w:val="13"/>
        </w:rPr>
        <w:t> </w:t>
      </w:r>
      <w:r>
        <w:rPr>
          <w:w w:val="105"/>
          <w:sz w:val="13"/>
        </w:rPr>
        <w:t>for</w:t>
      </w:r>
      <w:r>
        <w:rPr>
          <w:spacing w:val="5"/>
          <w:w w:val="105"/>
          <w:sz w:val="13"/>
        </w:rPr>
        <w:t> </w:t>
      </w:r>
      <w:r>
        <w:rPr>
          <w:w w:val="105"/>
          <w:sz w:val="13"/>
        </w:rPr>
        <w:t>Uniform</w:t>
      </w:r>
      <w:r>
        <w:rPr>
          <w:spacing w:val="5"/>
          <w:w w:val="105"/>
          <w:sz w:val="13"/>
        </w:rPr>
        <w:t> </w:t>
      </w:r>
      <w:r>
        <w:rPr>
          <w:w w:val="105"/>
          <w:sz w:val="13"/>
        </w:rPr>
        <w:t>Succession</w:t>
      </w:r>
      <w:r>
        <w:rPr>
          <w:spacing w:val="5"/>
          <w:w w:val="105"/>
          <w:sz w:val="13"/>
        </w:rPr>
        <w:t> </w:t>
      </w:r>
      <w:r>
        <w:rPr>
          <w:w w:val="105"/>
          <w:sz w:val="13"/>
        </w:rPr>
        <w:t>Laws,</w:t>
      </w:r>
      <w:r>
        <w:rPr>
          <w:spacing w:val="5"/>
          <w:w w:val="105"/>
          <w:sz w:val="13"/>
        </w:rPr>
        <w:t> </w:t>
      </w:r>
      <w:r>
        <w:rPr>
          <w:w w:val="105"/>
          <w:sz w:val="13"/>
        </w:rPr>
        <w:t>above</w:t>
      </w:r>
      <w:r>
        <w:rPr>
          <w:spacing w:val="5"/>
          <w:w w:val="105"/>
          <w:sz w:val="13"/>
        </w:rPr>
        <w:t> </w:t>
      </w:r>
      <w:r>
        <w:rPr>
          <w:w w:val="105"/>
          <w:sz w:val="13"/>
        </w:rPr>
        <w:t>n</w:t>
      </w:r>
      <w:r>
        <w:rPr>
          <w:spacing w:val="5"/>
          <w:w w:val="105"/>
          <w:sz w:val="13"/>
        </w:rPr>
        <w:t> </w:t>
      </w:r>
      <w:r>
        <w:rPr>
          <w:w w:val="105"/>
          <w:sz w:val="13"/>
        </w:rPr>
        <w:t>10,</w:t>
      </w:r>
      <w:r>
        <w:rPr>
          <w:spacing w:val="5"/>
          <w:w w:val="105"/>
          <w:sz w:val="13"/>
        </w:rPr>
        <w:t> </w:t>
      </w:r>
      <w:r>
        <w:rPr>
          <w:w w:val="105"/>
          <w:sz w:val="13"/>
        </w:rPr>
        <w:t>Draft</w:t>
      </w:r>
      <w:r>
        <w:rPr>
          <w:spacing w:val="5"/>
          <w:w w:val="105"/>
          <w:sz w:val="13"/>
        </w:rPr>
        <w:t> </w:t>
      </w:r>
      <w:r>
        <w:rPr>
          <w:w w:val="105"/>
          <w:sz w:val="13"/>
        </w:rPr>
        <w:t>Intestacy</w:t>
      </w:r>
      <w:r>
        <w:rPr>
          <w:spacing w:val="5"/>
          <w:w w:val="105"/>
          <w:sz w:val="13"/>
        </w:rPr>
        <w:t> </w:t>
      </w:r>
      <w:r>
        <w:rPr>
          <w:w w:val="105"/>
          <w:sz w:val="13"/>
        </w:rPr>
        <w:t>Bill</w:t>
      </w:r>
      <w:r>
        <w:rPr>
          <w:spacing w:val="5"/>
          <w:w w:val="105"/>
          <w:sz w:val="13"/>
        </w:rPr>
        <w:t> </w:t>
      </w:r>
      <w:r>
        <w:rPr>
          <w:w w:val="105"/>
          <w:sz w:val="13"/>
        </w:rPr>
        <w:t>2006</w:t>
      </w:r>
      <w:r>
        <w:rPr>
          <w:spacing w:val="5"/>
          <w:w w:val="105"/>
          <w:sz w:val="13"/>
        </w:rPr>
        <w:t> </w:t>
      </w:r>
      <w:r>
        <w:rPr>
          <w:w w:val="105"/>
          <w:sz w:val="13"/>
        </w:rPr>
        <w:t>cl</w:t>
      </w:r>
      <w:r>
        <w:rPr>
          <w:spacing w:val="5"/>
          <w:w w:val="105"/>
          <w:sz w:val="13"/>
        </w:rPr>
        <w:t> </w:t>
      </w:r>
      <w:r>
        <w:rPr>
          <w:w w:val="105"/>
          <w:sz w:val="13"/>
        </w:rPr>
        <w:t>36.</w:t>
      </w:r>
    </w:p>
    <w:p>
      <w:pPr>
        <w:pStyle w:val="ListParagraph"/>
        <w:numPr>
          <w:ilvl w:val="0"/>
          <w:numId w:val="76"/>
        </w:numPr>
        <w:tabs>
          <w:tab w:pos="2380" w:val="left" w:leader="none"/>
          <w:tab w:pos="2382" w:val="left" w:leader="none"/>
        </w:tabs>
        <w:spacing w:line="240" w:lineRule="auto" w:before="1" w:after="0"/>
        <w:ind w:left="2381" w:right="0" w:hanging="794"/>
        <w:jc w:val="left"/>
        <w:rPr>
          <w:sz w:val="13"/>
        </w:rPr>
      </w:pPr>
      <w:r>
        <w:rPr>
          <w:i/>
          <w:w w:val="105"/>
          <w:sz w:val="13"/>
        </w:rPr>
        <w:t>Administration and Probate Act 1969 </w:t>
      </w:r>
      <w:r>
        <w:rPr>
          <w:spacing w:val="4"/>
          <w:w w:val="105"/>
          <w:sz w:val="13"/>
        </w:rPr>
        <w:t>(NT) </w:t>
      </w:r>
      <w:r>
        <w:rPr>
          <w:w w:val="105"/>
          <w:sz w:val="13"/>
        </w:rPr>
        <w:t>s</w:t>
      </w:r>
      <w:r>
        <w:rPr>
          <w:spacing w:val="23"/>
          <w:w w:val="105"/>
          <w:sz w:val="13"/>
        </w:rPr>
        <w:t> </w:t>
      </w:r>
      <w:r>
        <w:rPr>
          <w:spacing w:val="-3"/>
          <w:w w:val="105"/>
          <w:sz w:val="13"/>
        </w:rPr>
        <w:t>71.</w:t>
      </w:r>
    </w:p>
    <w:p>
      <w:pPr>
        <w:pStyle w:val="ListParagraph"/>
        <w:numPr>
          <w:ilvl w:val="0"/>
          <w:numId w:val="76"/>
        </w:numPr>
        <w:tabs>
          <w:tab w:pos="2381" w:val="left" w:leader="none"/>
          <w:tab w:pos="2382" w:val="left" w:leader="none"/>
        </w:tabs>
        <w:spacing w:line="240" w:lineRule="auto" w:before="1" w:after="0"/>
        <w:ind w:left="2381" w:right="0" w:hanging="794"/>
        <w:jc w:val="left"/>
        <w:rPr>
          <w:sz w:val="13"/>
        </w:rPr>
      </w:pPr>
      <w:r>
        <w:rPr>
          <w:w w:val="105"/>
          <w:sz w:val="13"/>
        </w:rPr>
        <w:t>National</w:t>
      </w:r>
      <w:r>
        <w:rPr>
          <w:spacing w:val="4"/>
          <w:w w:val="105"/>
          <w:sz w:val="13"/>
        </w:rPr>
        <w:t> </w:t>
      </w:r>
      <w:r>
        <w:rPr>
          <w:w w:val="105"/>
          <w:sz w:val="13"/>
        </w:rPr>
        <w:t>Committee</w:t>
      </w:r>
      <w:r>
        <w:rPr>
          <w:spacing w:val="5"/>
          <w:w w:val="105"/>
          <w:sz w:val="13"/>
        </w:rPr>
        <w:t> </w:t>
      </w:r>
      <w:r>
        <w:rPr>
          <w:w w:val="105"/>
          <w:sz w:val="13"/>
        </w:rPr>
        <w:t>for</w:t>
      </w:r>
      <w:r>
        <w:rPr>
          <w:spacing w:val="5"/>
          <w:w w:val="105"/>
          <w:sz w:val="13"/>
        </w:rPr>
        <w:t> </w:t>
      </w:r>
      <w:r>
        <w:rPr>
          <w:w w:val="105"/>
          <w:sz w:val="13"/>
        </w:rPr>
        <w:t>Uniform</w:t>
      </w:r>
      <w:r>
        <w:rPr>
          <w:spacing w:val="5"/>
          <w:w w:val="105"/>
          <w:sz w:val="13"/>
        </w:rPr>
        <w:t> </w:t>
      </w:r>
      <w:r>
        <w:rPr>
          <w:w w:val="105"/>
          <w:sz w:val="13"/>
        </w:rPr>
        <w:t>Succession</w:t>
      </w:r>
      <w:r>
        <w:rPr>
          <w:spacing w:val="5"/>
          <w:w w:val="105"/>
          <w:sz w:val="13"/>
        </w:rPr>
        <w:t> </w:t>
      </w:r>
      <w:r>
        <w:rPr>
          <w:w w:val="105"/>
          <w:sz w:val="13"/>
        </w:rPr>
        <w:t>Laws,</w:t>
      </w:r>
      <w:r>
        <w:rPr>
          <w:spacing w:val="5"/>
          <w:w w:val="105"/>
          <w:sz w:val="13"/>
        </w:rPr>
        <w:t> </w:t>
      </w:r>
      <w:r>
        <w:rPr>
          <w:w w:val="105"/>
          <w:sz w:val="13"/>
        </w:rPr>
        <w:t>above</w:t>
      </w:r>
      <w:r>
        <w:rPr>
          <w:spacing w:val="5"/>
          <w:w w:val="105"/>
          <w:sz w:val="13"/>
        </w:rPr>
        <w:t> </w:t>
      </w:r>
      <w:r>
        <w:rPr>
          <w:w w:val="105"/>
          <w:sz w:val="13"/>
        </w:rPr>
        <w:t>n</w:t>
      </w:r>
      <w:r>
        <w:rPr>
          <w:spacing w:val="5"/>
          <w:w w:val="105"/>
          <w:sz w:val="13"/>
        </w:rPr>
        <w:t> </w:t>
      </w:r>
      <w:r>
        <w:rPr>
          <w:w w:val="105"/>
          <w:sz w:val="13"/>
        </w:rPr>
        <w:t>10,</w:t>
      </w:r>
      <w:r>
        <w:rPr>
          <w:spacing w:val="5"/>
          <w:w w:val="105"/>
          <w:sz w:val="13"/>
        </w:rPr>
        <w:t> </w:t>
      </w:r>
      <w:r>
        <w:rPr>
          <w:w w:val="105"/>
          <w:sz w:val="13"/>
        </w:rPr>
        <w:t>Draft</w:t>
      </w:r>
      <w:r>
        <w:rPr>
          <w:spacing w:val="5"/>
          <w:w w:val="105"/>
          <w:sz w:val="13"/>
        </w:rPr>
        <w:t> </w:t>
      </w:r>
      <w:r>
        <w:rPr>
          <w:w w:val="105"/>
          <w:sz w:val="13"/>
        </w:rPr>
        <w:t>Intestacy</w:t>
      </w:r>
      <w:r>
        <w:rPr>
          <w:spacing w:val="5"/>
          <w:w w:val="105"/>
          <w:sz w:val="13"/>
        </w:rPr>
        <w:t> </w:t>
      </w:r>
      <w:r>
        <w:rPr>
          <w:w w:val="105"/>
          <w:sz w:val="13"/>
        </w:rPr>
        <w:t>Bill</w:t>
      </w:r>
      <w:r>
        <w:rPr>
          <w:spacing w:val="5"/>
          <w:w w:val="105"/>
          <w:sz w:val="13"/>
        </w:rPr>
        <w:t> </w:t>
      </w:r>
      <w:r>
        <w:rPr>
          <w:w w:val="105"/>
          <w:sz w:val="13"/>
        </w:rPr>
        <w:t>2006</w:t>
      </w:r>
      <w:r>
        <w:rPr>
          <w:spacing w:val="4"/>
          <w:w w:val="105"/>
          <w:sz w:val="13"/>
        </w:rPr>
        <w:t> </w:t>
      </w:r>
      <w:r>
        <w:rPr>
          <w:w w:val="105"/>
          <w:sz w:val="13"/>
        </w:rPr>
        <w:t>pt</w:t>
      </w:r>
      <w:r>
        <w:rPr>
          <w:spacing w:val="5"/>
          <w:w w:val="105"/>
          <w:sz w:val="13"/>
        </w:rPr>
        <w:t> </w:t>
      </w:r>
      <w:r>
        <w:rPr>
          <w:w w:val="105"/>
          <w:sz w:val="13"/>
        </w:rPr>
        <w:t>4.</w:t>
      </w:r>
    </w:p>
    <w:p>
      <w:pPr>
        <w:pStyle w:val="ListParagraph"/>
        <w:numPr>
          <w:ilvl w:val="0"/>
          <w:numId w:val="76"/>
        </w:numPr>
        <w:tabs>
          <w:tab w:pos="2381" w:val="left" w:leader="none"/>
          <w:tab w:pos="2382" w:val="left" w:leader="none"/>
        </w:tabs>
        <w:spacing w:line="240" w:lineRule="auto" w:before="2" w:after="0"/>
        <w:ind w:left="2381" w:right="2193" w:hanging="794"/>
        <w:jc w:val="left"/>
        <w:rPr>
          <w:sz w:val="13"/>
        </w:rPr>
      </w:pPr>
      <w:r>
        <w:rPr>
          <w:w w:val="105"/>
          <w:sz w:val="13"/>
        </w:rPr>
        <w:t>Ibid Draft Intestacy Bill 2006 cl </w:t>
      </w:r>
      <w:r>
        <w:rPr>
          <w:spacing w:val="3"/>
          <w:w w:val="105"/>
          <w:sz w:val="13"/>
        </w:rPr>
        <w:t>35(3). </w:t>
      </w:r>
      <w:r>
        <w:rPr>
          <w:w w:val="105"/>
          <w:sz w:val="13"/>
        </w:rPr>
        <w:t>The </w:t>
      </w:r>
      <w:r>
        <w:rPr>
          <w:spacing w:val="3"/>
          <w:w w:val="105"/>
          <w:sz w:val="13"/>
        </w:rPr>
        <w:t>Arts </w:t>
      </w:r>
      <w:r>
        <w:rPr>
          <w:w w:val="105"/>
          <w:sz w:val="13"/>
        </w:rPr>
        <w:t>Law Centre of Australia reiterated this point in its submission and in consultations: submission </w:t>
      </w:r>
      <w:r>
        <w:rPr>
          <w:spacing w:val="-6"/>
          <w:w w:val="105"/>
          <w:sz w:val="13"/>
        </w:rPr>
        <w:t>11 </w:t>
      </w:r>
      <w:r>
        <w:rPr>
          <w:spacing w:val="3"/>
          <w:w w:val="105"/>
          <w:sz w:val="13"/>
        </w:rPr>
        <w:t>(Arts </w:t>
      </w:r>
      <w:r>
        <w:rPr>
          <w:w w:val="105"/>
          <w:sz w:val="13"/>
        </w:rPr>
        <w:t>Law Centre of Australia); consultation 10 </w:t>
      </w:r>
      <w:r>
        <w:rPr>
          <w:spacing w:val="3"/>
          <w:w w:val="105"/>
          <w:sz w:val="13"/>
        </w:rPr>
        <w:t>(Arts </w:t>
      </w:r>
      <w:r>
        <w:rPr>
          <w:w w:val="105"/>
          <w:sz w:val="13"/>
        </w:rPr>
        <w:t>Law Centre of</w:t>
      </w:r>
      <w:r>
        <w:rPr>
          <w:spacing w:val="10"/>
          <w:w w:val="105"/>
          <w:sz w:val="13"/>
        </w:rPr>
        <w:t> </w:t>
      </w:r>
      <w:r>
        <w:rPr>
          <w:w w:val="105"/>
          <w:sz w:val="13"/>
        </w:rPr>
        <w:t>Australia).</w:t>
      </w:r>
    </w:p>
    <w:p>
      <w:pPr>
        <w:pStyle w:val="ListParagraph"/>
        <w:numPr>
          <w:ilvl w:val="0"/>
          <w:numId w:val="76"/>
        </w:numPr>
        <w:tabs>
          <w:tab w:pos="2381" w:val="left" w:leader="none"/>
          <w:tab w:pos="2382" w:val="left" w:leader="none"/>
        </w:tabs>
        <w:spacing w:line="240" w:lineRule="auto" w:before="2" w:after="0"/>
        <w:ind w:left="2381" w:right="1661" w:hanging="794"/>
        <w:jc w:val="both"/>
        <w:rPr>
          <w:sz w:val="13"/>
        </w:rPr>
      </w:pPr>
      <w:r>
        <w:rPr>
          <w:w w:val="105"/>
          <w:sz w:val="13"/>
        </w:rPr>
        <w:t>Submissions 8 (Patricia Strachan); </w:t>
      </w:r>
      <w:r>
        <w:rPr>
          <w:spacing w:val="-3"/>
          <w:w w:val="105"/>
          <w:sz w:val="13"/>
        </w:rPr>
        <w:t>19 </w:t>
      </w:r>
      <w:r>
        <w:rPr>
          <w:spacing w:val="2"/>
          <w:w w:val="105"/>
          <w:sz w:val="13"/>
        </w:rPr>
        <w:t>(Association </w:t>
      </w:r>
      <w:r>
        <w:rPr>
          <w:w w:val="105"/>
          <w:sz w:val="13"/>
        </w:rPr>
        <w:t>of Independent Retirees); 25 </w:t>
      </w:r>
      <w:r>
        <w:rPr>
          <w:spacing w:val="2"/>
          <w:w w:val="105"/>
          <w:sz w:val="13"/>
        </w:rPr>
        <w:t>(Moores </w:t>
      </w:r>
      <w:r>
        <w:rPr>
          <w:w w:val="105"/>
          <w:sz w:val="13"/>
        </w:rPr>
        <w:t>Legal); 26 </w:t>
      </w:r>
      <w:r>
        <w:rPr>
          <w:spacing w:val="2"/>
          <w:w w:val="105"/>
          <w:sz w:val="13"/>
        </w:rPr>
        <w:t>(Rigby </w:t>
      </w:r>
      <w:r>
        <w:rPr>
          <w:w w:val="105"/>
          <w:sz w:val="13"/>
        </w:rPr>
        <w:t>Cooke </w:t>
      </w:r>
      <w:r>
        <w:rPr>
          <w:spacing w:val="2"/>
          <w:w w:val="105"/>
          <w:sz w:val="13"/>
        </w:rPr>
        <w:t>Lawyers); </w:t>
      </w:r>
      <w:r>
        <w:rPr>
          <w:w w:val="105"/>
          <w:sz w:val="13"/>
        </w:rPr>
        <w:t>36 </w:t>
      </w:r>
      <w:r>
        <w:rPr>
          <w:spacing w:val="3"/>
          <w:w w:val="105"/>
          <w:sz w:val="13"/>
        </w:rPr>
        <w:t>(Law </w:t>
      </w:r>
      <w:r>
        <w:rPr>
          <w:w w:val="105"/>
          <w:sz w:val="13"/>
        </w:rPr>
        <w:t>Society</w:t>
      </w:r>
      <w:r>
        <w:rPr>
          <w:spacing w:val="30"/>
          <w:w w:val="105"/>
          <w:sz w:val="13"/>
        </w:rPr>
        <w:t> </w:t>
      </w:r>
      <w:r>
        <w:rPr>
          <w:w w:val="105"/>
          <w:sz w:val="13"/>
        </w:rPr>
        <w:t>of New South Wales). State Trustees Limited said that it had no strong view, but noted that cultural matters could be taken into account in     a family provision application: submission 33 (State Trustees</w:t>
      </w:r>
      <w:r>
        <w:rPr>
          <w:spacing w:val="4"/>
          <w:w w:val="105"/>
          <w:sz w:val="13"/>
        </w:rPr>
        <w:t> </w:t>
      </w:r>
      <w:r>
        <w:rPr>
          <w:w w:val="105"/>
          <w:sz w:val="13"/>
        </w:rPr>
        <w:t>Limited).</w:t>
      </w:r>
    </w:p>
    <w:p>
      <w:pPr>
        <w:pStyle w:val="ListParagraph"/>
        <w:numPr>
          <w:ilvl w:val="0"/>
          <w:numId w:val="76"/>
        </w:numPr>
        <w:tabs>
          <w:tab w:pos="2381" w:val="left" w:leader="none"/>
          <w:tab w:pos="2382" w:val="left" w:leader="none"/>
        </w:tabs>
        <w:spacing w:line="240" w:lineRule="auto" w:before="4" w:after="0"/>
        <w:ind w:left="2381" w:right="1755" w:hanging="794"/>
        <w:jc w:val="left"/>
        <w:rPr>
          <w:sz w:val="13"/>
        </w:rPr>
      </w:pPr>
      <w:r>
        <w:rPr>
          <w:w w:val="105"/>
          <w:sz w:val="13"/>
        </w:rPr>
        <w:t>Submissions </w:t>
      </w:r>
      <w:r>
        <w:rPr>
          <w:spacing w:val="-6"/>
          <w:w w:val="105"/>
          <w:sz w:val="13"/>
        </w:rPr>
        <w:t>11 </w:t>
      </w:r>
      <w:r>
        <w:rPr>
          <w:spacing w:val="3"/>
          <w:w w:val="105"/>
          <w:sz w:val="13"/>
        </w:rPr>
        <w:t>(Arts </w:t>
      </w:r>
      <w:r>
        <w:rPr>
          <w:w w:val="105"/>
          <w:sz w:val="13"/>
        </w:rPr>
        <w:t>Law Centre of Australia); </w:t>
      </w:r>
      <w:r>
        <w:rPr>
          <w:spacing w:val="-3"/>
          <w:w w:val="105"/>
          <w:sz w:val="13"/>
        </w:rPr>
        <w:t>14 </w:t>
      </w:r>
      <w:r>
        <w:rPr>
          <w:w w:val="105"/>
          <w:sz w:val="13"/>
        </w:rPr>
        <w:t>(Commercial Bar </w:t>
      </w:r>
      <w:r>
        <w:rPr>
          <w:spacing w:val="2"/>
          <w:w w:val="105"/>
          <w:sz w:val="13"/>
        </w:rPr>
        <w:t>Association); 30b </w:t>
      </w:r>
      <w:r>
        <w:rPr>
          <w:spacing w:val="3"/>
          <w:w w:val="105"/>
          <w:sz w:val="13"/>
        </w:rPr>
        <w:t>(Law </w:t>
      </w:r>
      <w:r>
        <w:rPr>
          <w:w w:val="105"/>
          <w:sz w:val="13"/>
        </w:rPr>
        <w:t>Institute of </w:t>
      </w:r>
      <w:r>
        <w:rPr>
          <w:spacing w:val="2"/>
          <w:w w:val="105"/>
          <w:sz w:val="13"/>
        </w:rPr>
        <w:t>Victoria); </w:t>
      </w:r>
      <w:r>
        <w:rPr>
          <w:w w:val="105"/>
          <w:sz w:val="13"/>
        </w:rPr>
        <w:t>32 </w:t>
      </w:r>
      <w:r>
        <w:rPr>
          <w:spacing w:val="2"/>
          <w:w w:val="105"/>
          <w:sz w:val="13"/>
        </w:rPr>
        <w:t>(The </w:t>
      </w:r>
      <w:r>
        <w:rPr>
          <w:w w:val="105"/>
          <w:sz w:val="13"/>
        </w:rPr>
        <w:t>Institute of Legal Executives); 40 (Janice</w:t>
      </w:r>
      <w:r>
        <w:rPr>
          <w:spacing w:val="13"/>
          <w:w w:val="105"/>
          <w:sz w:val="13"/>
        </w:rPr>
        <w:t> </w:t>
      </w:r>
      <w:r>
        <w:rPr>
          <w:w w:val="105"/>
          <w:sz w:val="13"/>
        </w:rPr>
        <w:t>Brownfoot).</w:t>
      </w:r>
    </w:p>
    <w:p>
      <w:pPr>
        <w:pStyle w:val="ListParagraph"/>
        <w:numPr>
          <w:ilvl w:val="0"/>
          <w:numId w:val="76"/>
        </w:numPr>
        <w:tabs>
          <w:tab w:pos="2381" w:val="left" w:leader="none"/>
          <w:tab w:pos="2382" w:val="left" w:leader="none"/>
        </w:tabs>
        <w:spacing w:line="240" w:lineRule="auto" w:before="3" w:after="0"/>
        <w:ind w:left="2381" w:right="1776" w:hanging="794"/>
        <w:jc w:val="left"/>
        <w:rPr>
          <w:sz w:val="13"/>
        </w:rPr>
      </w:pPr>
      <w:r>
        <w:rPr>
          <w:w w:val="105"/>
          <w:sz w:val="13"/>
        </w:rPr>
        <w:t>Submissions </w:t>
      </w:r>
      <w:r>
        <w:rPr>
          <w:spacing w:val="2"/>
          <w:w w:val="105"/>
          <w:sz w:val="13"/>
        </w:rPr>
        <w:t>30b </w:t>
      </w:r>
      <w:r>
        <w:rPr>
          <w:spacing w:val="3"/>
          <w:w w:val="105"/>
          <w:sz w:val="13"/>
        </w:rPr>
        <w:t>(Law </w:t>
      </w:r>
      <w:r>
        <w:rPr>
          <w:w w:val="105"/>
          <w:sz w:val="13"/>
        </w:rPr>
        <w:t>Institute of </w:t>
      </w:r>
      <w:r>
        <w:rPr>
          <w:spacing w:val="2"/>
          <w:w w:val="105"/>
          <w:sz w:val="13"/>
        </w:rPr>
        <w:t>Victoria)—the </w:t>
      </w:r>
      <w:r>
        <w:rPr>
          <w:w w:val="105"/>
          <w:sz w:val="13"/>
        </w:rPr>
        <w:t>Law Institute also suggested that there should be a definition of ‘tribal </w:t>
      </w:r>
      <w:r>
        <w:rPr>
          <w:spacing w:val="2"/>
          <w:w w:val="105"/>
          <w:sz w:val="13"/>
        </w:rPr>
        <w:t>next </w:t>
      </w:r>
      <w:r>
        <w:rPr>
          <w:w w:val="105"/>
          <w:sz w:val="13"/>
        </w:rPr>
        <w:t>of kin’ who are</w:t>
      </w:r>
      <w:r>
        <w:rPr>
          <w:spacing w:val="4"/>
          <w:w w:val="105"/>
          <w:sz w:val="13"/>
        </w:rPr>
        <w:t> </w:t>
      </w:r>
      <w:r>
        <w:rPr>
          <w:w w:val="105"/>
          <w:sz w:val="13"/>
        </w:rPr>
        <w:t>entitled</w:t>
      </w:r>
      <w:r>
        <w:rPr>
          <w:spacing w:val="5"/>
          <w:w w:val="105"/>
          <w:sz w:val="13"/>
        </w:rPr>
        <w:t> </w:t>
      </w:r>
      <w:r>
        <w:rPr>
          <w:w w:val="105"/>
          <w:sz w:val="13"/>
        </w:rPr>
        <w:t>to</w:t>
      </w:r>
      <w:r>
        <w:rPr>
          <w:spacing w:val="4"/>
          <w:w w:val="105"/>
          <w:sz w:val="13"/>
        </w:rPr>
        <w:t> </w:t>
      </w:r>
      <w:r>
        <w:rPr>
          <w:w w:val="105"/>
          <w:sz w:val="13"/>
        </w:rPr>
        <w:t>apply;</w:t>
      </w:r>
      <w:r>
        <w:rPr>
          <w:spacing w:val="5"/>
          <w:w w:val="105"/>
          <w:sz w:val="13"/>
        </w:rPr>
        <w:t> </w:t>
      </w:r>
      <w:r>
        <w:rPr>
          <w:w w:val="105"/>
          <w:sz w:val="13"/>
        </w:rPr>
        <w:t>32</w:t>
      </w:r>
      <w:r>
        <w:rPr>
          <w:spacing w:val="4"/>
          <w:w w:val="105"/>
          <w:sz w:val="13"/>
        </w:rPr>
        <w:t> </w:t>
      </w:r>
      <w:r>
        <w:rPr>
          <w:spacing w:val="2"/>
          <w:w w:val="105"/>
          <w:sz w:val="13"/>
        </w:rPr>
        <w:t>(The</w:t>
      </w:r>
      <w:r>
        <w:rPr>
          <w:spacing w:val="5"/>
          <w:w w:val="105"/>
          <w:sz w:val="13"/>
        </w:rPr>
        <w:t> </w:t>
      </w:r>
      <w:r>
        <w:rPr>
          <w:w w:val="105"/>
          <w:sz w:val="13"/>
        </w:rPr>
        <w:t>Institute</w:t>
      </w:r>
      <w:r>
        <w:rPr>
          <w:spacing w:val="5"/>
          <w:w w:val="105"/>
          <w:sz w:val="13"/>
        </w:rPr>
        <w:t> </w:t>
      </w:r>
      <w:r>
        <w:rPr>
          <w:w w:val="105"/>
          <w:sz w:val="13"/>
        </w:rPr>
        <w:t>of</w:t>
      </w:r>
      <w:r>
        <w:rPr>
          <w:spacing w:val="4"/>
          <w:w w:val="105"/>
          <w:sz w:val="13"/>
        </w:rPr>
        <w:t> </w:t>
      </w:r>
      <w:r>
        <w:rPr>
          <w:w w:val="105"/>
          <w:sz w:val="13"/>
        </w:rPr>
        <w:t>Legal</w:t>
      </w:r>
      <w:r>
        <w:rPr>
          <w:spacing w:val="5"/>
          <w:w w:val="105"/>
          <w:sz w:val="13"/>
        </w:rPr>
        <w:t> </w:t>
      </w:r>
      <w:r>
        <w:rPr>
          <w:w w:val="105"/>
          <w:sz w:val="13"/>
        </w:rPr>
        <w:t>Executives);</w:t>
      </w:r>
      <w:r>
        <w:rPr>
          <w:spacing w:val="4"/>
          <w:w w:val="105"/>
          <w:sz w:val="13"/>
        </w:rPr>
        <w:t> </w:t>
      </w:r>
      <w:r>
        <w:rPr>
          <w:w w:val="105"/>
          <w:sz w:val="13"/>
        </w:rPr>
        <w:t>40</w:t>
      </w:r>
      <w:r>
        <w:rPr>
          <w:spacing w:val="5"/>
          <w:w w:val="105"/>
          <w:sz w:val="13"/>
        </w:rPr>
        <w:t> </w:t>
      </w:r>
      <w:r>
        <w:rPr>
          <w:w w:val="105"/>
          <w:sz w:val="13"/>
        </w:rPr>
        <w:t>(Janice</w:t>
      </w:r>
      <w:r>
        <w:rPr>
          <w:spacing w:val="4"/>
          <w:w w:val="105"/>
          <w:sz w:val="13"/>
        </w:rPr>
        <w:t> </w:t>
      </w:r>
      <w:r>
        <w:rPr>
          <w:w w:val="105"/>
          <w:sz w:val="13"/>
        </w:rPr>
        <w:t>Brownfoot).</w:t>
      </w:r>
    </w:p>
    <w:p>
      <w:pPr>
        <w:pStyle w:val="ListParagraph"/>
        <w:numPr>
          <w:ilvl w:val="0"/>
          <w:numId w:val="76"/>
        </w:numPr>
        <w:tabs>
          <w:tab w:pos="2381" w:val="left" w:leader="none"/>
          <w:tab w:pos="2382" w:val="left" w:leader="none"/>
        </w:tabs>
        <w:spacing w:line="240" w:lineRule="auto" w:before="3" w:after="0"/>
        <w:ind w:left="2381" w:right="0" w:hanging="794"/>
        <w:jc w:val="left"/>
        <w:rPr>
          <w:sz w:val="13"/>
        </w:rPr>
      </w:pPr>
      <w:r>
        <w:rPr/>
        <w:pict>
          <v:shape style="position:absolute;margin-left:36pt;margin-top:3.687366pt;width:13.7pt;height:14.25pt;mso-position-horizontal-relative:page;mso-position-vertical-relative:paragraph;z-index:8272" type="#_x0000_t202" filled="false" stroked="false">
            <v:textbox inset="0,0,0,0">
              <w:txbxContent>
                <w:p>
                  <w:pPr>
                    <w:spacing w:line="284" w:lineRule="exact" w:before="0"/>
                    <w:ind w:left="0" w:right="0" w:firstLine="0"/>
                    <w:jc w:val="left"/>
                    <w:rPr>
                      <w:b/>
                      <w:sz w:val="24"/>
                    </w:rPr>
                  </w:pPr>
                  <w:r>
                    <w:rPr>
                      <w:b/>
                      <w:color w:val="EC5A4F"/>
                      <w:w w:val="110"/>
                      <w:sz w:val="24"/>
                    </w:rPr>
                    <w:t>94</w:t>
                  </w:r>
                </w:p>
              </w:txbxContent>
            </v:textbox>
            <w10:wrap type="none"/>
          </v:shape>
        </w:pict>
      </w:r>
      <w:r>
        <w:rPr>
          <w:w w:val="105"/>
          <w:sz w:val="13"/>
        </w:rPr>
        <w:t>Submissions </w:t>
      </w:r>
      <w:r>
        <w:rPr>
          <w:spacing w:val="-6"/>
          <w:w w:val="105"/>
          <w:sz w:val="13"/>
        </w:rPr>
        <w:t>11 </w:t>
      </w:r>
      <w:r>
        <w:rPr>
          <w:spacing w:val="3"/>
          <w:w w:val="105"/>
          <w:sz w:val="13"/>
        </w:rPr>
        <w:t>(Arts </w:t>
      </w:r>
      <w:r>
        <w:rPr>
          <w:w w:val="105"/>
          <w:sz w:val="13"/>
        </w:rPr>
        <w:t>Law Centre of Australia); </w:t>
      </w:r>
      <w:r>
        <w:rPr>
          <w:spacing w:val="-3"/>
          <w:w w:val="105"/>
          <w:sz w:val="13"/>
        </w:rPr>
        <w:t>14 </w:t>
      </w:r>
      <w:r>
        <w:rPr>
          <w:w w:val="105"/>
          <w:sz w:val="13"/>
        </w:rPr>
        <w:t>(Commercial Bar</w:t>
      </w:r>
      <w:r>
        <w:rPr>
          <w:spacing w:val="28"/>
          <w:w w:val="105"/>
          <w:sz w:val="13"/>
        </w:rPr>
        <w:t> </w:t>
      </w:r>
      <w:r>
        <w:rPr>
          <w:spacing w:val="2"/>
          <w:w w:val="105"/>
          <w:sz w:val="13"/>
        </w:rPr>
        <w:t>Association).</w:t>
      </w:r>
    </w:p>
    <w:p>
      <w:pPr>
        <w:pStyle w:val="ListParagraph"/>
        <w:numPr>
          <w:ilvl w:val="0"/>
          <w:numId w:val="76"/>
        </w:numPr>
        <w:tabs>
          <w:tab w:pos="2381" w:val="left" w:leader="none"/>
          <w:tab w:pos="2382" w:val="left" w:leader="none"/>
        </w:tabs>
        <w:spacing w:line="240" w:lineRule="auto" w:before="1" w:after="0"/>
        <w:ind w:left="2381" w:right="0" w:hanging="794"/>
        <w:jc w:val="left"/>
        <w:rPr>
          <w:sz w:val="13"/>
        </w:rPr>
      </w:pPr>
      <w:r>
        <w:rPr>
          <w:w w:val="105"/>
          <w:sz w:val="13"/>
        </w:rPr>
        <w:t>Submission </w:t>
      </w:r>
      <w:r>
        <w:rPr>
          <w:spacing w:val="-6"/>
          <w:w w:val="105"/>
          <w:sz w:val="13"/>
        </w:rPr>
        <w:t>11 </w:t>
      </w:r>
      <w:r>
        <w:rPr>
          <w:spacing w:val="3"/>
          <w:w w:val="105"/>
          <w:sz w:val="13"/>
        </w:rPr>
        <w:t>(Arts </w:t>
      </w:r>
      <w:r>
        <w:rPr>
          <w:w w:val="105"/>
          <w:sz w:val="13"/>
        </w:rPr>
        <w:t>Law Centre of Australia); consultation 10 </w:t>
      </w:r>
      <w:r>
        <w:rPr>
          <w:spacing w:val="3"/>
          <w:w w:val="105"/>
          <w:sz w:val="13"/>
        </w:rPr>
        <w:t>(Arts </w:t>
      </w:r>
      <w:r>
        <w:rPr>
          <w:w w:val="105"/>
          <w:sz w:val="13"/>
        </w:rPr>
        <w:t>Law Centre of</w:t>
      </w:r>
      <w:r>
        <w:rPr>
          <w:spacing w:val="7"/>
          <w:w w:val="105"/>
          <w:sz w:val="13"/>
        </w:rPr>
        <w:t> </w:t>
      </w:r>
      <w:r>
        <w:rPr>
          <w:w w:val="105"/>
          <w:sz w:val="13"/>
        </w:rPr>
        <w:t>Australia).</w:t>
      </w:r>
    </w:p>
    <w:p>
      <w:pPr>
        <w:spacing w:after="0" w:line="240" w:lineRule="auto"/>
        <w:jc w:val="left"/>
        <w:rPr>
          <w:sz w:val="13"/>
        </w:rPr>
        <w:sectPr>
          <w:pgSz w:w="11910" w:h="16840"/>
          <w:pgMar w:header="550" w:footer="0" w:top="1560" w:bottom="280" w:left="0" w:right="0"/>
        </w:sectPr>
      </w:pPr>
    </w:p>
    <w:p>
      <w:pPr>
        <w:pStyle w:val="BodyText"/>
        <w:rPr>
          <w:sz w:val="20"/>
        </w:rPr>
      </w:pPr>
    </w:p>
    <w:p>
      <w:pPr>
        <w:pStyle w:val="BodyText"/>
        <w:rPr>
          <w:sz w:val="19"/>
        </w:rPr>
      </w:pPr>
    </w:p>
    <w:p>
      <w:pPr>
        <w:pStyle w:val="ListParagraph"/>
        <w:numPr>
          <w:ilvl w:val="1"/>
          <w:numId w:val="22"/>
        </w:numPr>
        <w:tabs>
          <w:tab w:pos="2381" w:val="left" w:leader="none"/>
          <w:tab w:pos="2382" w:val="left" w:leader="none"/>
        </w:tabs>
        <w:spacing w:line="242" w:lineRule="auto" w:before="91" w:after="0"/>
        <w:ind w:left="2381" w:right="1721" w:hanging="794"/>
        <w:jc w:val="left"/>
        <w:rPr>
          <w:sz w:val="12"/>
        </w:rPr>
      </w:pPr>
      <w:r>
        <w:rPr>
          <w:w w:val="105"/>
          <w:sz w:val="21"/>
        </w:rPr>
        <w:t>Dr Mark </w:t>
      </w:r>
      <w:r>
        <w:rPr>
          <w:spacing w:val="-3"/>
          <w:w w:val="105"/>
          <w:sz w:val="21"/>
        </w:rPr>
        <w:t>McMillan </w:t>
      </w:r>
      <w:r>
        <w:rPr>
          <w:w w:val="105"/>
          <w:sz w:val="21"/>
        </w:rPr>
        <w:t>expressed the view </w:t>
      </w:r>
      <w:r>
        <w:rPr>
          <w:spacing w:val="-3"/>
          <w:w w:val="105"/>
          <w:sz w:val="21"/>
        </w:rPr>
        <w:t>that any </w:t>
      </w:r>
      <w:r>
        <w:rPr>
          <w:w w:val="105"/>
          <w:sz w:val="21"/>
        </w:rPr>
        <w:t>solution must be localised and </w:t>
      </w:r>
      <w:r>
        <w:rPr>
          <w:spacing w:val="-3"/>
          <w:w w:val="105"/>
          <w:sz w:val="21"/>
        </w:rPr>
        <w:t>recognise </w:t>
      </w:r>
      <w:r>
        <w:rPr>
          <w:w w:val="105"/>
          <w:sz w:val="21"/>
        </w:rPr>
        <w:t>the </w:t>
      </w:r>
      <w:r>
        <w:rPr>
          <w:spacing w:val="-3"/>
          <w:w w:val="105"/>
          <w:sz w:val="21"/>
        </w:rPr>
        <w:t>differences </w:t>
      </w:r>
      <w:r>
        <w:rPr>
          <w:w w:val="105"/>
          <w:sz w:val="21"/>
        </w:rPr>
        <w:t>in </w:t>
      </w:r>
      <w:r>
        <w:rPr>
          <w:spacing w:val="-3"/>
          <w:w w:val="105"/>
          <w:sz w:val="21"/>
        </w:rPr>
        <w:t>communities, </w:t>
      </w:r>
      <w:r>
        <w:rPr>
          <w:w w:val="105"/>
          <w:sz w:val="21"/>
        </w:rPr>
        <w:t>and </w:t>
      </w:r>
      <w:r>
        <w:rPr>
          <w:spacing w:val="-3"/>
          <w:w w:val="105"/>
          <w:sz w:val="21"/>
        </w:rPr>
        <w:t>that </w:t>
      </w:r>
      <w:r>
        <w:rPr>
          <w:w w:val="105"/>
          <w:sz w:val="21"/>
        </w:rPr>
        <w:t>a standardised </w:t>
      </w:r>
      <w:r>
        <w:rPr>
          <w:spacing w:val="-3"/>
          <w:w w:val="105"/>
          <w:sz w:val="21"/>
        </w:rPr>
        <w:t>national </w:t>
      </w:r>
      <w:r>
        <w:rPr>
          <w:w w:val="105"/>
          <w:sz w:val="21"/>
        </w:rPr>
        <w:t>approach is </w:t>
      </w:r>
      <w:r>
        <w:rPr>
          <w:spacing w:val="-4"/>
          <w:w w:val="105"/>
          <w:sz w:val="21"/>
        </w:rPr>
        <w:t>unlikely </w:t>
      </w:r>
      <w:r>
        <w:rPr>
          <w:spacing w:val="-3"/>
          <w:w w:val="105"/>
          <w:sz w:val="21"/>
        </w:rPr>
        <w:t>to </w:t>
      </w:r>
      <w:r>
        <w:rPr>
          <w:w w:val="105"/>
          <w:sz w:val="21"/>
        </w:rPr>
        <w:t>do</w:t>
      </w:r>
      <w:r>
        <w:rPr>
          <w:spacing w:val="-9"/>
          <w:w w:val="105"/>
          <w:sz w:val="21"/>
        </w:rPr>
        <w:t> </w:t>
      </w:r>
      <w:r>
        <w:rPr>
          <w:w w:val="105"/>
          <w:sz w:val="21"/>
        </w:rPr>
        <w:t>this.</w:t>
      </w:r>
      <w:r>
        <w:rPr>
          <w:w w:val="105"/>
          <w:position w:val="7"/>
          <w:sz w:val="12"/>
        </w:rPr>
        <w:t>296</w:t>
      </w:r>
      <w:r>
        <w:rPr>
          <w:spacing w:val="14"/>
          <w:w w:val="105"/>
          <w:position w:val="7"/>
          <w:sz w:val="12"/>
        </w:rPr>
        <w:t> </w:t>
      </w:r>
      <w:r>
        <w:rPr>
          <w:w w:val="105"/>
          <w:sz w:val="21"/>
        </w:rPr>
        <w:t>He</w:t>
      </w:r>
      <w:r>
        <w:rPr>
          <w:spacing w:val="-9"/>
          <w:w w:val="105"/>
          <w:sz w:val="21"/>
        </w:rPr>
        <w:t> </w:t>
      </w:r>
      <w:r>
        <w:rPr>
          <w:spacing w:val="-3"/>
          <w:w w:val="105"/>
          <w:sz w:val="21"/>
        </w:rPr>
        <w:t>noted</w:t>
      </w:r>
      <w:r>
        <w:rPr>
          <w:spacing w:val="-8"/>
          <w:w w:val="105"/>
          <w:sz w:val="21"/>
        </w:rPr>
        <w:t> </w:t>
      </w:r>
      <w:r>
        <w:rPr>
          <w:spacing w:val="-3"/>
          <w:w w:val="105"/>
          <w:sz w:val="21"/>
        </w:rPr>
        <w:t>that</w:t>
      </w:r>
      <w:r>
        <w:rPr>
          <w:spacing w:val="-9"/>
          <w:w w:val="105"/>
          <w:sz w:val="21"/>
        </w:rPr>
        <w:t> </w:t>
      </w:r>
      <w:r>
        <w:rPr>
          <w:w w:val="105"/>
          <w:sz w:val="21"/>
        </w:rPr>
        <w:t>the</w:t>
      </w:r>
      <w:r>
        <w:rPr>
          <w:spacing w:val="-8"/>
          <w:w w:val="105"/>
          <w:sz w:val="21"/>
        </w:rPr>
        <w:t> </w:t>
      </w:r>
      <w:r>
        <w:rPr>
          <w:w w:val="105"/>
          <w:sz w:val="21"/>
        </w:rPr>
        <w:t>experience</w:t>
      </w:r>
      <w:r>
        <w:rPr>
          <w:spacing w:val="-8"/>
          <w:w w:val="105"/>
          <w:sz w:val="21"/>
        </w:rPr>
        <w:t> </w:t>
      </w:r>
      <w:r>
        <w:rPr>
          <w:w w:val="105"/>
          <w:sz w:val="21"/>
        </w:rPr>
        <w:t>of</w:t>
      </w:r>
      <w:r>
        <w:rPr>
          <w:spacing w:val="-9"/>
          <w:w w:val="105"/>
          <w:sz w:val="21"/>
        </w:rPr>
        <w:t> </w:t>
      </w:r>
      <w:r>
        <w:rPr>
          <w:w w:val="105"/>
          <w:sz w:val="21"/>
        </w:rPr>
        <w:t>Indigenous</w:t>
      </w:r>
      <w:r>
        <w:rPr>
          <w:spacing w:val="-8"/>
          <w:w w:val="105"/>
          <w:sz w:val="21"/>
        </w:rPr>
        <w:t> </w:t>
      </w:r>
      <w:r>
        <w:rPr>
          <w:w w:val="105"/>
          <w:sz w:val="21"/>
        </w:rPr>
        <w:t>people</w:t>
      </w:r>
      <w:r>
        <w:rPr>
          <w:spacing w:val="-9"/>
          <w:w w:val="105"/>
          <w:sz w:val="21"/>
        </w:rPr>
        <w:t> </w:t>
      </w:r>
      <w:r>
        <w:rPr>
          <w:w w:val="105"/>
          <w:sz w:val="21"/>
        </w:rPr>
        <w:t>in</w:t>
      </w:r>
      <w:r>
        <w:rPr>
          <w:spacing w:val="-8"/>
          <w:w w:val="105"/>
          <w:sz w:val="21"/>
        </w:rPr>
        <w:t> </w:t>
      </w:r>
      <w:r>
        <w:rPr>
          <w:w w:val="105"/>
          <w:sz w:val="21"/>
        </w:rPr>
        <w:t>the</w:t>
      </w:r>
      <w:r>
        <w:rPr>
          <w:spacing w:val="-8"/>
          <w:w w:val="105"/>
          <w:sz w:val="21"/>
        </w:rPr>
        <w:t> </w:t>
      </w:r>
      <w:r>
        <w:rPr>
          <w:w w:val="105"/>
          <w:sz w:val="21"/>
        </w:rPr>
        <w:t>Northern</w:t>
      </w:r>
      <w:r>
        <w:rPr>
          <w:spacing w:val="-9"/>
          <w:w w:val="105"/>
          <w:sz w:val="21"/>
        </w:rPr>
        <w:t> </w:t>
      </w:r>
      <w:r>
        <w:rPr>
          <w:spacing w:val="-3"/>
          <w:w w:val="105"/>
          <w:sz w:val="21"/>
        </w:rPr>
        <w:t>Territory</w:t>
      </w:r>
      <w:r>
        <w:rPr>
          <w:spacing w:val="-8"/>
          <w:w w:val="105"/>
          <w:sz w:val="21"/>
        </w:rPr>
        <w:t> </w:t>
      </w:r>
      <w:r>
        <w:rPr>
          <w:w w:val="105"/>
          <w:sz w:val="21"/>
        </w:rPr>
        <w:t>is </w:t>
      </w:r>
      <w:r>
        <w:rPr>
          <w:spacing w:val="-2"/>
          <w:w w:val="105"/>
          <w:sz w:val="21"/>
        </w:rPr>
        <w:t>not </w:t>
      </w:r>
      <w:r>
        <w:rPr>
          <w:w w:val="105"/>
          <w:sz w:val="21"/>
        </w:rPr>
        <w:t>necessarily the same as </w:t>
      </w:r>
      <w:r>
        <w:rPr>
          <w:spacing w:val="-3"/>
          <w:w w:val="105"/>
          <w:sz w:val="21"/>
        </w:rPr>
        <w:t>that </w:t>
      </w:r>
      <w:r>
        <w:rPr>
          <w:w w:val="105"/>
          <w:sz w:val="21"/>
        </w:rPr>
        <w:t>in</w:t>
      </w:r>
      <w:r>
        <w:rPr>
          <w:spacing w:val="33"/>
          <w:w w:val="105"/>
          <w:sz w:val="21"/>
        </w:rPr>
        <w:t> </w:t>
      </w:r>
      <w:r>
        <w:rPr>
          <w:w w:val="105"/>
          <w:sz w:val="21"/>
        </w:rPr>
        <w:t>Victoria.</w:t>
      </w:r>
      <w:r>
        <w:rPr>
          <w:w w:val="105"/>
          <w:position w:val="7"/>
          <w:sz w:val="12"/>
        </w:rPr>
        <w:t>297</w:t>
      </w:r>
    </w:p>
    <w:p>
      <w:pPr>
        <w:pStyle w:val="ListParagraph"/>
        <w:numPr>
          <w:ilvl w:val="1"/>
          <w:numId w:val="22"/>
        </w:numPr>
        <w:tabs>
          <w:tab w:pos="2381" w:val="left" w:leader="none"/>
          <w:tab w:pos="2382" w:val="left" w:leader="none"/>
        </w:tabs>
        <w:spacing w:line="242" w:lineRule="auto" w:before="124" w:after="0"/>
        <w:ind w:left="2381" w:right="1764" w:hanging="794"/>
        <w:jc w:val="left"/>
        <w:rPr>
          <w:sz w:val="21"/>
        </w:rPr>
      </w:pPr>
      <w:r>
        <w:rPr>
          <w:w w:val="105"/>
          <w:sz w:val="21"/>
        </w:rPr>
        <w:t>The </w:t>
      </w:r>
      <w:r>
        <w:rPr>
          <w:spacing w:val="-3"/>
          <w:w w:val="105"/>
          <w:sz w:val="21"/>
        </w:rPr>
        <w:t>Commission </w:t>
      </w:r>
      <w:r>
        <w:rPr>
          <w:spacing w:val="-2"/>
          <w:w w:val="105"/>
          <w:sz w:val="21"/>
        </w:rPr>
        <w:t>has </w:t>
      </w:r>
      <w:r>
        <w:rPr>
          <w:spacing w:val="-3"/>
          <w:w w:val="105"/>
          <w:sz w:val="21"/>
        </w:rPr>
        <w:t>carefully considered </w:t>
      </w:r>
      <w:r>
        <w:rPr>
          <w:w w:val="105"/>
          <w:sz w:val="21"/>
        </w:rPr>
        <w:t>the </w:t>
      </w:r>
      <w:r>
        <w:rPr>
          <w:spacing w:val="-3"/>
          <w:w w:val="105"/>
          <w:sz w:val="21"/>
        </w:rPr>
        <w:t>criticisms </w:t>
      </w:r>
      <w:r>
        <w:rPr>
          <w:w w:val="105"/>
          <w:sz w:val="21"/>
        </w:rPr>
        <w:t>of the </w:t>
      </w:r>
      <w:r>
        <w:rPr>
          <w:spacing w:val="-3"/>
          <w:w w:val="105"/>
          <w:sz w:val="21"/>
        </w:rPr>
        <w:t>National </w:t>
      </w:r>
      <w:r>
        <w:rPr>
          <w:spacing w:val="-4"/>
          <w:w w:val="105"/>
          <w:sz w:val="21"/>
        </w:rPr>
        <w:t>Committee’s </w:t>
      </w:r>
      <w:r>
        <w:rPr>
          <w:w w:val="105"/>
          <w:sz w:val="21"/>
        </w:rPr>
        <w:t>recommended</w:t>
      </w:r>
      <w:r>
        <w:rPr>
          <w:spacing w:val="-8"/>
          <w:w w:val="105"/>
          <w:sz w:val="21"/>
        </w:rPr>
        <w:t> </w:t>
      </w:r>
      <w:r>
        <w:rPr>
          <w:w w:val="105"/>
          <w:sz w:val="21"/>
        </w:rPr>
        <w:t>model,</w:t>
      </w:r>
      <w:r>
        <w:rPr>
          <w:spacing w:val="-7"/>
          <w:w w:val="105"/>
          <w:sz w:val="21"/>
        </w:rPr>
        <w:t> </w:t>
      </w:r>
      <w:r>
        <w:rPr>
          <w:spacing w:val="-3"/>
          <w:w w:val="105"/>
          <w:sz w:val="21"/>
        </w:rPr>
        <w:t>including</w:t>
      </w:r>
      <w:r>
        <w:rPr>
          <w:spacing w:val="-7"/>
          <w:w w:val="105"/>
          <w:sz w:val="21"/>
        </w:rPr>
        <w:t> </w:t>
      </w:r>
      <w:r>
        <w:rPr>
          <w:w w:val="105"/>
          <w:sz w:val="21"/>
        </w:rPr>
        <w:t>its</w:t>
      </w:r>
      <w:r>
        <w:rPr>
          <w:spacing w:val="-7"/>
          <w:w w:val="105"/>
          <w:sz w:val="21"/>
        </w:rPr>
        <w:t> </w:t>
      </w:r>
      <w:r>
        <w:rPr>
          <w:spacing w:val="-3"/>
          <w:w w:val="105"/>
          <w:sz w:val="21"/>
        </w:rPr>
        <w:t>opt-in</w:t>
      </w:r>
      <w:r>
        <w:rPr>
          <w:spacing w:val="-7"/>
          <w:w w:val="105"/>
          <w:sz w:val="21"/>
        </w:rPr>
        <w:t> </w:t>
      </w:r>
      <w:r>
        <w:rPr>
          <w:w w:val="105"/>
          <w:sz w:val="21"/>
        </w:rPr>
        <w:t>application</w:t>
      </w:r>
      <w:r>
        <w:rPr>
          <w:spacing w:val="-7"/>
          <w:w w:val="105"/>
          <w:sz w:val="21"/>
        </w:rPr>
        <w:t> </w:t>
      </w:r>
      <w:r>
        <w:rPr>
          <w:w w:val="105"/>
          <w:sz w:val="21"/>
        </w:rPr>
        <w:t>and</w:t>
      </w:r>
      <w:r>
        <w:rPr>
          <w:spacing w:val="-7"/>
          <w:w w:val="105"/>
          <w:sz w:val="21"/>
        </w:rPr>
        <w:t> </w:t>
      </w:r>
      <w:r>
        <w:rPr>
          <w:spacing w:val="-3"/>
          <w:w w:val="105"/>
          <w:sz w:val="21"/>
        </w:rPr>
        <w:t>reliance</w:t>
      </w:r>
      <w:r>
        <w:rPr>
          <w:spacing w:val="-7"/>
          <w:w w:val="105"/>
          <w:sz w:val="21"/>
        </w:rPr>
        <w:t> </w:t>
      </w:r>
      <w:r>
        <w:rPr>
          <w:w w:val="105"/>
          <w:sz w:val="21"/>
        </w:rPr>
        <w:t>on</w:t>
      </w:r>
      <w:r>
        <w:rPr>
          <w:spacing w:val="-7"/>
          <w:w w:val="105"/>
          <w:sz w:val="21"/>
        </w:rPr>
        <w:t> </w:t>
      </w:r>
      <w:r>
        <w:rPr>
          <w:w w:val="105"/>
          <w:sz w:val="21"/>
        </w:rPr>
        <w:t>court</w:t>
      </w:r>
      <w:r>
        <w:rPr>
          <w:spacing w:val="-7"/>
          <w:w w:val="105"/>
          <w:sz w:val="21"/>
        </w:rPr>
        <w:t> </w:t>
      </w:r>
      <w:r>
        <w:rPr>
          <w:spacing w:val="-3"/>
          <w:w w:val="105"/>
          <w:sz w:val="21"/>
        </w:rPr>
        <w:t>proceedings.</w:t>
      </w:r>
    </w:p>
    <w:p>
      <w:pPr>
        <w:pStyle w:val="BodyText"/>
        <w:spacing w:line="242" w:lineRule="auto" w:before="3"/>
        <w:ind w:left="2381" w:right="2064"/>
      </w:pPr>
      <w:r>
        <w:rPr/>
        <w:t>Any scheme </w:t>
      </w:r>
      <w:r>
        <w:rPr>
          <w:spacing w:val="-3"/>
        </w:rPr>
        <w:t>that  </w:t>
      </w:r>
      <w:r>
        <w:rPr/>
        <w:t>operates </w:t>
      </w:r>
      <w:r>
        <w:rPr>
          <w:spacing w:val="-3"/>
        </w:rPr>
        <w:t>parallel</w:t>
      </w:r>
      <w:r>
        <w:rPr>
          <w:spacing w:val="41"/>
        </w:rPr>
        <w:t> </w:t>
      </w:r>
      <w:r>
        <w:rPr>
          <w:spacing w:val="-3"/>
        </w:rPr>
        <w:t>to  </w:t>
      </w:r>
      <w:r>
        <w:rPr/>
        <w:t>the general intestacy law </w:t>
      </w:r>
      <w:r>
        <w:rPr>
          <w:spacing w:val="-3"/>
        </w:rPr>
        <w:t>will  </w:t>
      </w:r>
      <w:r>
        <w:rPr/>
        <w:t>necessarily </w:t>
      </w:r>
      <w:r>
        <w:rPr>
          <w:spacing w:val="-3"/>
        </w:rPr>
        <w:t>involve  </w:t>
      </w:r>
      <w:r>
        <w:rPr/>
        <w:t>a </w:t>
      </w:r>
      <w:r>
        <w:rPr>
          <w:spacing w:val="-3"/>
        </w:rPr>
        <w:t>determination </w:t>
      </w:r>
      <w:r>
        <w:rPr/>
        <w:t>by someone about whether the </w:t>
      </w:r>
      <w:r>
        <w:rPr>
          <w:spacing w:val="-3"/>
        </w:rPr>
        <w:t>provisions </w:t>
      </w:r>
      <w:r>
        <w:rPr/>
        <w:t>applying </w:t>
      </w:r>
      <w:r>
        <w:rPr>
          <w:spacing w:val="-3"/>
        </w:rPr>
        <w:t>to Aboriginal </w:t>
      </w:r>
      <w:r>
        <w:rPr/>
        <w:t>and </w:t>
      </w:r>
      <w:r>
        <w:rPr>
          <w:spacing w:val="-4"/>
        </w:rPr>
        <w:t>Torres Strait </w:t>
      </w:r>
      <w:r>
        <w:rPr/>
        <w:t>Islander people should apply in a particular </w:t>
      </w:r>
      <w:r>
        <w:rPr>
          <w:spacing w:val="-3"/>
        </w:rPr>
        <w:t>instance, </w:t>
      </w:r>
      <w:r>
        <w:rPr/>
        <w:t>and who should be entitled </w:t>
      </w:r>
      <w:r>
        <w:rPr>
          <w:spacing w:val="-3"/>
        </w:rPr>
        <w:t>to </w:t>
      </w:r>
      <w:r>
        <w:rPr/>
        <w:t>a </w:t>
      </w:r>
      <w:r>
        <w:rPr>
          <w:spacing w:val="-3"/>
        </w:rPr>
        <w:t>share </w:t>
      </w:r>
      <w:r>
        <w:rPr/>
        <w:t>under </w:t>
      </w:r>
      <w:r>
        <w:rPr>
          <w:spacing w:val="-3"/>
        </w:rPr>
        <w:t>such provisions. </w:t>
      </w:r>
      <w:r>
        <w:rPr/>
        <w:t>As an </w:t>
      </w:r>
      <w:r>
        <w:rPr>
          <w:spacing w:val="-3"/>
        </w:rPr>
        <w:t>alternative to </w:t>
      </w:r>
      <w:r>
        <w:rPr/>
        <w:t>the </w:t>
      </w:r>
      <w:r>
        <w:rPr>
          <w:spacing w:val="-3"/>
        </w:rPr>
        <w:t>Supreme Court,</w:t>
      </w:r>
      <w:r>
        <w:rPr>
          <w:spacing w:val="1"/>
        </w:rPr>
        <w:t> </w:t>
      </w:r>
      <w:r>
        <w:rPr/>
        <w:t>the</w:t>
      </w:r>
    </w:p>
    <w:p>
      <w:pPr>
        <w:pStyle w:val="BodyText"/>
        <w:spacing w:line="242" w:lineRule="auto" w:before="4"/>
        <w:ind w:left="2381" w:right="1619"/>
      </w:pPr>
      <w:r>
        <w:rPr/>
        <w:t>Arts Law </w:t>
      </w:r>
      <w:r>
        <w:rPr>
          <w:spacing w:val="-4"/>
        </w:rPr>
        <w:t>Centre </w:t>
      </w:r>
      <w:r>
        <w:rPr/>
        <w:t>suggested </w:t>
      </w:r>
      <w:r>
        <w:rPr>
          <w:spacing w:val="-3"/>
        </w:rPr>
        <w:t>that </w:t>
      </w:r>
      <w:r>
        <w:rPr/>
        <w:t>a </w:t>
      </w:r>
      <w:r>
        <w:rPr>
          <w:spacing w:val="-3"/>
        </w:rPr>
        <w:t>determination could </w:t>
      </w:r>
      <w:r>
        <w:rPr/>
        <w:t>be made by </w:t>
      </w:r>
      <w:r>
        <w:rPr>
          <w:spacing w:val="-3"/>
        </w:rPr>
        <w:t>State </w:t>
      </w:r>
      <w:r>
        <w:rPr>
          <w:spacing w:val="-4"/>
        </w:rPr>
        <w:t>Trustees </w:t>
      </w:r>
      <w:r>
        <w:rPr/>
        <w:t>or the Victorian </w:t>
      </w:r>
      <w:r>
        <w:rPr>
          <w:spacing w:val="-3"/>
        </w:rPr>
        <w:t>Civil </w:t>
      </w:r>
      <w:r>
        <w:rPr/>
        <w:t>and </w:t>
      </w:r>
      <w:r>
        <w:rPr>
          <w:spacing w:val="-3"/>
        </w:rPr>
        <w:t>Administrative Tribunal.</w:t>
      </w:r>
      <w:r>
        <w:rPr>
          <w:spacing w:val="-3"/>
          <w:position w:val="7"/>
          <w:sz w:val="12"/>
        </w:rPr>
        <w:t>298 </w:t>
      </w:r>
      <w:r>
        <w:rPr>
          <w:spacing w:val="-4"/>
        </w:rPr>
        <w:t>However, </w:t>
      </w:r>
      <w:r>
        <w:rPr/>
        <w:t>the </w:t>
      </w:r>
      <w:r>
        <w:rPr>
          <w:spacing w:val="-3"/>
        </w:rPr>
        <w:t>Commission  </w:t>
      </w:r>
      <w:r>
        <w:rPr/>
        <w:t>does  </w:t>
      </w:r>
      <w:r>
        <w:rPr>
          <w:spacing w:val="-2"/>
        </w:rPr>
        <w:t>not  </w:t>
      </w:r>
      <w:r>
        <w:rPr>
          <w:spacing w:val="-3"/>
        </w:rPr>
        <w:t>consider that </w:t>
      </w:r>
      <w:r>
        <w:rPr/>
        <w:t>either of these processes would necessarily be more </w:t>
      </w:r>
      <w:r>
        <w:rPr>
          <w:spacing w:val="-3"/>
        </w:rPr>
        <w:t>accessible, </w:t>
      </w:r>
      <w:r>
        <w:rPr/>
        <w:t>expert or </w:t>
      </w:r>
      <w:r>
        <w:rPr>
          <w:spacing w:val="-3"/>
        </w:rPr>
        <w:t>substantially </w:t>
      </w:r>
      <w:r>
        <w:rPr/>
        <w:t>more cost-effective </w:t>
      </w:r>
      <w:r>
        <w:rPr>
          <w:spacing w:val="-3"/>
        </w:rPr>
        <w:t>than </w:t>
      </w:r>
      <w:r>
        <w:rPr/>
        <w:t>the </w:t>
      </w:r>
      <w:r>
        <w:rPr>
          <w:spacing w:val="-3"/>
        </w:rPr>
        <w:t>Supreme</w:t>
      </w:r>
      <w:r>
        <w:rPr>
          <w:spacing w:val="6"/>
        </w:rPr>
        <w:t> </w:t>
      </w:r>
      <w:r>
        <w:rPr>
          <w:spacing w:val="-3"/>
        </w:rPr>
        <w:t>Court.</w:t>
      </w:r>
    </w:p>
    <w:p>
      <w:pPr>
        <w:pStyle w:val="ListParagraph"/>
        <w:numPr>
          <w:ilvl w:val="1"/>
          <w:numId w:val="22"/>
        </w:numPr>
        <w:tabs>
          <w:tab w:pos="2380" w:val="left" w:leader="none"/>
          <w:tab w:pos="2382" w:val="left" w:leader="none"/>
        </w:tabs>
        <w:spacing w:line="242" w:lineRule="auto" w:before="124" w:after="0"/>
        <w:ind w:left="2381" w:right="1736" w:hanging="794"/>
        <w:jc w:val="left"/>
        <w:rPr>
          <w:sz w:val="21"/>
        </w:rPr>
      </w:pPr>
      <w:r>
        <w:rPr>
          <w:w w:val="105"/>
          <w:sz w:val="21"/>
        </w:rPr>
        <w:t>While</w:t>
      </w:r>
      <w:r>
        <w:rPr>
          <w:spacing w:val="-9"/>
          <w:w w:val="105"/>
          <w:sz w:val="21"/>
        </w:rPr>
        <w:t> </w:t>
      </w:r>
      <w:r>
        <w:rPr>
          <w:w w:val="105"/>
          <w:sz w:val="21"/>
        </w:rPr>
        <w:t>the</w:t>
      </w:r>
      <w:r>
        <w:rPr>
          <w:spacing w:val="-9"/>
          <w:w w:val="105"/>
          <w:sz w:val="21"/>
        </w:rPr>
        <w:t> </w:t>
      </w:r>
      <w:r>
        <w:rPr>
          <w:spacing w:val="-3"/>
          <w:w w:val="105"/>
          <w:sz w:val="21"/>
        </w:rPr>
        <w:t>Commission</w:t>
      </w:r>
      <w:r>
        <w:rPr>
          <w:spacing w:val="-9"/>
          <w:w w:val="105"/>
          <w:sz w:val="21"/>
        </w:rPr>
        <w:t> </w:t>
      </w:r>
      <w:r>
        <w:rPr>
          <w:w w:val="105"/>
          <w:sz w:val="21"/>
        </w:rPr>
        <w:t>considers</w:t>
      </w:r>
      <w:r>
        <w:rPr>
          <w:spacing w:val="-9"/>
          <w:w w:val="105"/>
          <w:sz w:val="21"/>
        </w:rPr>
        <w:t> </w:t>
      </w:r>
      <w:r>
        <w:rPr>
          <w:spacing w:val="-3"/>
          <w:w w:val="105"/>
          <w:sz w:val="21"/>
        </w:rPr>
        <w:t>that</w:t>
      </w:r>
      <w:r>
        <w:rPr>
          <w:spacing w:val="-9"/>
          <w:w w:val="105"/>
          <w:sz w:val="21"/>
        </w:rPr>
        <w:t> </w:t>
      </w:r>
      <w:r>
        <w:rPr>
          <w:w w:val="105"/>
          <w:sz w:val="21"/>
        </w:rPr>
        <w:t>the</w:t>
      </w:r>
      <w:r>
        <w:rPr>
          <w:spacing w:val="-9"/>
          <w:w w:val="105"/>
          <w:sz w:val="21"/>
        </w:rPr>
        <w:t> </w:t>
      </w:r>
      <w:r>
        <w:rPr>
          <w:spacing w:val="-3"/>
          <w:w w:val="105"/>
          <w:sz w:val="21"/>
        </w:rPr>
        <w:t>National</w:t>
      </w:r>
      <w:r>
        <w:rPr>
          <w:spacing w:val="-9"/>
          <w:w w:val="105"/>
          <w:sz w:val="21"/>
        </w:rPr>
        <w:t> </w:t>
      </w:r>
      <w:r>
        <w:rPr>
          <w:spacing w:val="-4"/>
          <w:w w:val="105"/>
          <w:sz w:val="21"/>
        </w:rPr>
        <w:t>Committee’s</w:t>
      </w:r>
      <w:r>
        <w:rPr>
          <w:spacing w:val="-8"/>
          <w:w w:val="105"/>
          <w:sz w:val="21"/>
        </w:rPr>
        <w:t> </w:t>
      </w:r>
      <w:r>
        <w:rPr>
          <w:w w:val="105"/>
          <w:sz w:val="21"/>
        </w:rPr>
        <w:t>recommended</w:t>
      </w:r>
      <w:r>
        <w:rPr>
          <w:spacing w:val="-9"/>
          <w:w w:val="105"/>
          <w:sz w:val="21"/>
        </w:rPr>
        <w:t> </w:t>
      </w:r>
      <w:r>
        <w:rPr>
          <w:w w:val="105"/>
          <w:sz w:val="21"/>
        </w:rPr>
        <w:t>approach is broad enough </w:t>
      </w:r>
      <w:r>
        <w:rPr>
          <w:spacing w:val="-3"/>
          <w:w w:val="105"/>
          <w:sz w:val="21"/>
        </w:rPr>
        <w:t>to take account </w:t>
      </w:r>
      <w:r>
        <w:rPr>
          <w:w w:val="105"/>
          <w:sz w:val="21"/>
        </w:rPr>
        <w:t>of </w:t>
      </w:r>
      <w:r>
        <w:rPr>
          <w:spacing w:val="-3"/>
          <w:w w:val="105"/>
          <w:sz w:val="21"/>
        </w:rPr>
        <w:t>traditional </w:t>
      </w:r>
      <w:r>
        <w:rPr>
          <w:w w:val="105"/>
          <w:sz w:val="21"/>
        </w:rPr>
        <w:t>law adoptions and the </w:t>
      </w:r>
      <w:r>
        <w:rPr>
          <w:spacing w:val="-3"/>
          <w:w w:val="105"/>
          <w:sz w:val="21"/>
        </w:rPr>
        <w:t>different </w:t>
      </w:r>
      <w:r>
        <w:rPr>
          <w:w w:val="105"/>
          <w:sz w:val="21"/>
        </w:rPr>
        <w:t>priority </w:t>
      </w:r>
      <w:r>
        <w:rPr>
          <w:spacing w:val="-3"/>
          <w:w w:val="105"/>
          <w:sz w:val="21"/>
        </w:rPr>
        <w:t>that </w:t>
      </w:r>
      <w:r>
        <w:rPr>
          <w:w w:val="105"/>
          <w:sz w:val="21"/>
        </w:rPr>
        <w:t>partners </w:t>
      </w:r>
      <w:r>
        <w:rPr>
          <w:spacing w:val="-4"/>
          <w:w w:val="105"/>
          <w:sz w:val="21"/>
        </w:rPr>
        <w:t>have, </w:t>
      </w:r>
      <w:r>
        <w:rPr>
          <w:spacing w:val="-3"/>
          <w:w w:val="105"/>
          <w:sz w:val="21"/>
        </w:rPr>
        <w:t>compared to children, </w:t>
      </w:r>
      <w:r>
        <w:rPr>
          <w:w w:val="105"/>
          <w:sz w:val="21"/>
        </w:rPr>
        <w:t>in some </w:t>
      </w:r>
      <w:r>
        <w:rPr>
          <w:spacing w:val="-3"/>
          <w:w w:val="105"/>
          <w:sz w:val="21"/>
        </w:rPr>
        <w:t>communities, </w:t>
      </w:r>
      <w:r>
        <w:rPr>
          <w:w w:val="105"/>
          <w:sz w:val="21"/>
        </w:rPr>
        <w:t>it acknowledges </w:t>
      </w:r>
      <w:r>
        <w:rPr>
          <w:spacing w:val="-3"/>
          <w:w w:val="105"/>
          <w:sz w:val="21"/>
        </w:rPr>
        <w:t>that</w:t>
      </w:r>
    </w:p>
    <w:p>
      <w:pPr>
        <w:pStyle w:val="BodyText"/>
        <w:spacing w:line="242" w:lineRule="auto" w:before="4"/>
        <w:ind w:left="2381" w:right="1826"/>
      </w:pPr>
      <w:r>
        <w:rPr/>
        <w:t>it does </w:t>
      </w:r>
      <w:r>
        <w:rPr>
          <w:spacing w:val="-2"/>
        </w:rPr>
        <w:t>not </w:t>
      </w:r>
      <w:r>
        <w:rPr/>
        <w:t>provide a </w:t>
      </w:r>
      <w:r>
        <w:rPr>
          <w:spacing w:val="-3"/>
        </w:rPr>
        <w:t>different </w:t>
      </w:r>
      <w:r>
        <w:rPr/>
        <w:t>starting point </w:t>
      </w:r>
      <w:r>
        <w:rPr>
          <w:spacing w:val="-3"/>
        </w:rPr>
        <w:t>for </w:t>
      </w:r>
      <w:r>
        <w:rPr/>
        <w:t>Indigenous people. </w:t>
      </w:r>
      <w:r>
        <w:rPr>
          <w:spacing w:val="-3"/>
        </w:rPr>
        <w:t>Instead, </w:t>
      </w:r>
      <w:r>
        <w:rPr/>
        <w:t>it </w:t>
      </w:r>
      <w:r>
        <w:rPr>
          <w:spacing w:val="-3"/>
        </w:rPr>
        <w:t>requires </w:t>
      </w:r>
      <w:r>
        <w:rPr/>
        <w:t>people </w:t>
      </w:r>
      <w:r>
        <w:rPr>
          <w:spacing w:val="-3"/>
        </w:rPr>
        <w:t>to </w:t>
      </w:r>
      <w:r>
        <w:rPr/>
        <w:t>apply </w:t>
      </w:r>
      <w:r>
        <w:rPr>
          <w:spacing w:val="-3"/>
        </w:rPr>
        <w:t>to </w:t>
      </w:r>
      <w:r>
        <w:rPr/>
        <w:t>the </w:t>
      </w:r>
      <w:r>
        <w:rPr>
          <w:spacing w:val="-3"/>
        </w:rPr>
        <w:t>Supreme Court for </w:t>
      </w:r>
      <w:r>
        <w:rPr/>
        <w:t>a </w:t>
      </w:r>
      <w:r>
        <w:rPr>
          <w:spacing w:val="-3"/>
        </w:rPr>
        <w:t>variation  </w:t>
      </w:r>
      <w:r>
        <w:rPr/>
        <w:t>of the general intestacy </w:t>
      </w:r>
      <w:r>
        <w:rPr>
          <w:spacing w:val="-5"/>
        </w:rPr>
        <w:t>law.  </w:t>
      </w:r>
      <w:r>
        <w:rPr/>
        <w:t>It does </w:t>
      </w:r>
      <w:r>
        <w:rPr>
          <w:spacing w:val="-2"/>
        </w:rPr>
        <w:t>not </w:t>
      </w:r>
      <w:r>
        <w:rPr/>
        <w:t>import concepts of </w:t>
      </w:r>
      <w:r>
        <w:rPr>
          <w:spacing w:val="-3"/>
        </w:rPr>
        <w:t>kinship </w:t>
      </w:r>
      <w:r>
        <w:rPr/>
        <w:t>and next of </w:t>
      </w:r>
      <w:r>
        <w:rPr>
          <w:spacing w:val="-3"/>
        </w:rPr>
        <w:t>kin,  </w:t>
      </w:r>
      <w:r>
        <w:rPr/>
        <w:t>specific </w:t>
      </w:r>
      <w:r>
        <w:rPr>
          <w:spacing w:val="-3"/>
        </w:rPr>
        <w:t>to</w:t>
      </w:r>
      <w:r>
        <w:rPr>
          <w:spacing w:val="41"/>
        </w:rPr>
        <w:t> </w:t>
      </w:r>
      <w:r>
        <w:rPr/>
        <w:t>Indigenous </w:t>
      </w:r>
      <w:r>
        <w:rPr>
          <w:spacing w:val="-3"/>
        </w:rPr>
        <w:t>communities,  </w:t>
      </w:r>
      <w:r>
        <w:rPr>
          <w:spacing w:val="-4"/>
        </w:rPr>
        <w:t>into  </w:t>
      </w:r>
      <w:r>
        <w:rPr/>
        <w:t>the general </w:t>
      </w:r>
      <w:r>
        <w:rPr>
          <w:spacing w:val="-5"/>
        </w:rPr>
        <w:t>law. </w:t>
      </w:r>
      <w:r>
        <w:rPr/>
        <w:t>Implementation of  the  </w:t>
      </w:r>
      <w:r>
        <w:rPr>
          <w:spacing w:val="-3"/>
        </w:rPr>
        <w:t>National  </w:t>
      </w:r>
      <w:r>
        <w:rPr>
          <w:spacing w:val="-4"/>
        </w:rPr>
        <w:t>Committee’s  </w:t>
      </w:r>
      <w:r>
        <w:rPr/>
        <w:t>recommended  model would </w:t>
      </w:r>
      <w:r>
        <w:rPr>
          <w:spacing w:val="-3"/>
        </w:rPr>
        <w:t>promote national consistency. </w:t>
      </w:r>
      <w:r>
        <w:rPr>
          <w:spacing w:val="-4"/>
        </w:rPr>
        <w:t>However, </w:t>
      </w:r>
      <w:r>
        <w:rPr/>
        <w:t>the </w:t>
      </w:r>
      <w:r>
        <w:rPr>
          <w:spacing w:val="-3"/>
        </w:rPr>
        <w:t>Commission </w:t>
      </w:r>
      <w:r>
        <w:rPr/>
        <w:t>is </w:t>
      </w:r>
      <w:r>
        <w:rPr>
          <w:spacing w:val="-2"/>
        </w:rPr>
        <w:t>not </w:t>
      </w:r>
      <w:r>
        <w:rPr/>
        <w:t>satisfied, </w:t>
      </w:r>
      <w:r>
        <w:rPr>
          <w:spacing w:val="-3"/>
        </w:rPr>
        <w:t>following research </w:t>
      </w:r>
      <w:r>
        <w:rPr/>
        <w:t>and </w:t>
      </w:r>
      <w:r>
        <w:rPr>
          <w:spacing w:val="-3"/>
        </w:rPr>
        <w:t>consultation, that </w:t>
      </w:r>
      <w:r>
        <w:rPr/>
        <w:t>the recommended model would </w:t>
      </w:r>
      <w:r>
        <w:rPr>
          <w:spacing w:val="-3"/>
        </w:rPr>
        <w:t>greatly  </w:t>
      </w:r>
      <w:r>
        <w:rPr/>
        <w:t>assist </w:t>
      </w:r>
      <w:r>
        <w:rPr>
          <w:spacing w:val="-3"/>
        </w:rPr>
        <w:t>Aboriginal  </w:t>
      </w:r>
      <w:r>
        <w:rPr/>
        <w:t>and </w:t>
      </w:r>
      <w:r>
        <w:rPr>
          <w:spacing w:val="-4"/>
        </w:rPr>
        <w:t>Torres Strait </w:t>
      </w:r>
      <w:r>
        <w:rPr/>
        <w:t>Islander </w:t>
      </w:r>
      <w:r>
        <w:rPr>
          <w:spacing w:val="-3"/>
        </w:rPr>
        <w:t>families </w:t>
      </w:r>
      <w:r>
        <w:rPr/>
        <w:t>in</w:t>
      </w:r>
      <w:r>
        <w:rPr>
          <w:spacing w:val="14"/>
        </w:rPr>
        <w:t> </w:t>
      </w:r>
      <w:r>
        <w:rPr/>
        <w:t>Victoria.</w:t>
      </w:r>
    </w:p>
    <w:p>
      <w:pPr>
        <w:pStyle w:val="ListParagraph"/>
        <w:numPr>
          <w:ilvl w:val="1"/>
          <w:numId w:val="22"/>
        </w:numPr>
        <w:tabs>
          <w:tab w:pos="2380" w:val="left" w:leader="none"/>
          <w:tab w:pos="2381" w:val="left" w:leader="none"/>
        </w:tabs>
        <w:spacing w:line="242" w:lineRule="auto" w:before="127" w:after="0"/>
        <w:ind w:left="2380" w:right="2066" w:hanging="793"/>
        <w:jc w:val="left"/>
        <w:rPr>
          <w:sz w:val="21"/>
        </w:rPr>
      </w:pPr>
      <w:r>
        <w:rPr>
          <w:w w:val="105"/>
          <w:sz w:val="21"/>
        </w:rPr>
        <w:t>For these </w:t>
      </w:r>
      <w:r>
        <w:rPr>
          <w:spacing w:val="-3"/>
          <w:w w:val="105"/>
          <w:sz w:val="21"/>
        </w:rPr>
        <w:t>reasons, </w:t>
      </w:r>
      <w:r>
        <w:rPr>
          <w:w w:val="105"/>
          <w:sz w:val="21"/>
        </w:rPr>
        <w:t>the </w:t>
      </w:r>
      <w:r>
        <w:rPr>
          <w:spacing w:val="-3"/>
          <w:w w:val="105"/>
          <w:sz w:val="21"/>
        </w:rPr>
        <w:t>Commission </w:t>
      </w:r>
      <w:r>
        <w:rPr>
          <w:w w:val="105"/>
          <w:sz w:val="21"/>
        </w:rPr>
        <w:t>does </w:t>
      </w:r>
      <w:r>
        <w:rPr>
          <w:spacing w:val="-2"/>
          <w:w w:val="105"/>
          <w:sz w:val="21"/>
        </w:rPr>
        <w:t>not </w:t>
      </w:r>
      <w:r>
        <w:rPr>
          <w:spacing w:val="-3"/>
          <w:w w:val="105"/>
          <w:sz w:val="21"/>
        </w:rPr>
        <w:t>recommend </w:t>
      </w:r>
      <w:r>
        <w:rPr>
          <w:w w:val="105"/>
          <w:sz w:val="21"/>
        </w:rPr>
        <w:t>adoption of the </w:t>
      </w:r>
      <w:r>
        <w:rPr>
          <w:spacing w:val="-3"/>
          <w:w w:val="105"/>
          <w:sz w:val="21"/>
        </w:rPr>
        <w:t>provisions </w:t>
      </w:r>
      <w:r>
        <w:rPr>
          <w:w w:val="105"/>
          <w:sz w:val="21"/>
        </w:rPr>
        <w:t>recommended</w:t>
      </w:r>
      <w:r>
        <w:rPr>
          <w:spacing w:val="-5"/>
          <w:w w:val="105"/>
          <w:sz w:val="21"/>
        </w:rPr>
        <w:t> </w:t>
      </w:r>
      <w:r>
        <w:rPr>
          <w:w w:val="105"/>
          <w:sz w:val="21"/>
        </w:rPr>
        <w:t>by</w:t>
      </w:r>
      <w:r>
        <w:rPr>
          <w:spacing w:val="-5"/>
          <w:w w:val="105"/>
          <w:sz w:val="21"/>
        </w:rPr>
        <w:t> </w:t>
      </w:r>
      <w:r>
        <w:rPr>
          <w:w w:val="105"/>
          <w:sz w:val="21"/>
        </w:rPr>
        <w:t>the</w:t>
      </w:r>
      <w:r>
        <w:rPr>
          <w:spacing w:val="-4"/>
          <w:w w:val="105"/>
          <w:sz w:val="21"/>
        </w:rPr>
        <w:t> </w:t>
      </w:r>
      <w:r>
        <w:rPr>
          <w:spacing w:val="-3"/>
          <w:w w:val="105"/>
          <w:sz w:val="21"/>
        </w:rPr>
        <w:t>National</w:t>
      </w:r>
      <w:r>
        <w:rPr>
          <w:spacing w:val="-5"/>
          <w:w w:val="105"/>
          <w:sz w:val="21"/>
        </w:rPr>
        <w:t> </w:t>
      </w:r>
      <w:r>
        <w:rPr>
          <w:spacing w:val="-3"/>
          <w:w w:val="105"/>
          <w:sz w:val="21"/>
        </w:rPr>
        <w:t>Committee,</w:t>
      </w:r>
      <w:r>
        <w:rPr>
          <w:spacing w:val="-4"/>
          <w:w w:val="105"/>
          <w:sz w:val="21"/>
        </w:rPr>
        <w:t> </w:t>
      </w:r>
      <w:r>
        <w:rPr>
          <w:w w:val="105"/>
          <w:sz w:val="21"/>
        </w:rPr>
        <w:t>as</w:t>
      </w:r>
      <w:r>
        <w:rPr>
          <w:spacing w:val="-5"/>
          <w:w w:val="105"/>
          <w:sz w:val="21"/>
        </w:rPr>
        <w:t> </w:t>
      </w:r>
      <w:r>
        <w:rPr>
          <w:spacing w:val="-3"/>
          <w:w w:val="105"/>
          <w:sz w:val="21"/>
        </w:rPr>
        <w:t>implemented</w:t>
      </w:r>
      <w:r>
        <w:rPr>
          <w:spacing w:val="-4"/>
          <w:w w:val="105"/>
          <w:sz w:val="21"/>
        </w:rPr>
        <w:t> </w:t>
      </w:r>
      <w:r>
        <w:rPr>
          <w:w w:val="105"/>
          <w:sz w:val="21"/>
        </w:rPr>
        <w:t>in</w:t>
      </w:r>
      <w:r>
        <w:rPr>
          <w:spacing w:val="-5"/>
          <w:w w:val="105"/>
          <w:sz w:val="21"/>
        </w:rPr>
        <w:t> </w:t>
      </w:r>
      <w:r>
        <w:rPr>
          <w:w w:val="105"/>
          <w:sz w:val="21"/>
        </w:rPr>
        <w:t>New</w:t>
      </w:r>
      <w:r>
        <w:rPr>
          <w:spacing w:val="-4"/>
          <w:w w:val="105"/>
          <w:sz w:val="21"/>
        </w:rPr>
        <w:t> </w:t>
      </w:r>
      <w:r>
        <w:rPr>
          <w:w w:val="105"/>
          <w:sz w:val="21"/>
        </w:rPr>
        <w:t>South</w:t>
      </w:r>
      <w:r>
        <w:rPr>
          <w:spacing w:val="-5"/>
          <w:w w:val="105"/>
          <w:sz w:val="21"/>
        </w:rPr>
        <w:t> </w:t>
      </w:r>
      <w:r>
        <w:rPr>
          <w:spacing w:val="-3"/>
          <w:w w:val="105"/>
          <w:sz w:val="21"/>
        </w:rPr>
        <w:t>Wales</w:t>
      </w:r>
      <w:r>
        <w:rPr>
          <w:spacing w:val="-4"/>
          <w:w w:val="105"/>
          <w:sz w:val="21"/>
        </w:rPr>
        <w:t> </w:t>
      </w:r>
      <w:r>
        <w:rPr>
          <w:w w:val="105"/>
          <w:sz w:val="21"/>
        </w:rPr>
        <w:t>and </w:t>
      </w:r>
      <w:r>
        <w:rPr>
          <w:spacing w:val="-5"/>
          <w:w w:val="105"/>
          <w:sz w:val="21"/>
        </w:rPr>
        <w:t>Tasmania.</w:t>
      </w:r>
    </w:p>
    <w:p>
      <w:pPr>
        <w:pStyle w:val="ListParagraph"/>
        <w:numPr>
          <w:ilvl w:val="1"/>
          <w:numId w:val="22"/>
        </w:numPr>
        <w:tabs>
          <w:tab w:pos="2380" w:val="left" w:leader="none"/>
          <w:tab w:pos="2381" w:val="left" w:leader="none"/>
        </w:tabs>
        <w:spacing w:line="242" w:lineRule="auto" w:before="124" w:after="0"/>
        <w:ind w:left="2380" w:right="2042" w:hanging="793"/>
        <w:jc w:val="left"/>
        <w:rPr>
          <w:sz w:val="21"/>
        </w:rPr>
      </w:pPr>
      <w:r>
        <w:rPr>
          <w:w w:val="105"/>
          <w:sz w:val="21"/>
        </w:rPr>
        <w:t>In</w:t>
      </w:r>
      <w:r>
        <w:rPr>
          <w:spacing w:val="-6"/>
          <w:w w:val="105"/>
          <w:sz w:val="21"/>
        </w:rPr>
        <w:t> </w:t>
      </w:r>
      <w:r>
        <w:rPr>
          <w:w w:val="105"/>
          <w:sz w:val="21"/>
        </w:rPr>
        <w:t>this</w:t>
      </w:r>
      <w:r>
        <w:rPr>
          <w:spacing w:val="-6"/>
          <w:w w:val="105"/>
          <w:sz w:val="21"/>
        </w:rPr>
        <w:t> </w:t>
      </w:r>
      <w:r>
        <w:rPr>
          <w:w w:val="105"/>
          <w:sz w:val="21"/>
        </w:rPr>
        <w:t>important</w:t>
      </w:r>
      <w:r>
        <w:rPr>
          <w:spacing w:val="-6"/>
          <w:w w:val="105"/>
          <w:sz w:val="21"/>
        </w:rPr>
        <w:t> </w:t>
      </w:r>
      <w:r>
        <w:rPr>
          <w:spacing w:val="-3"/>
          <w:w w:val="105"/>
          <w:sz w:val="21"/>
        </w:rPr>
        <w:t>area,</w:t>
      </w:r>
      <w:r>
        <w:rPr>
          <w:spacing w:val="-5"/>
          <w:w w:val="105"/>
          <w:sz w:val="21"/>
        </w:rPr>
        <w:t> </w:t>
      </w:r>
      <w:r>
        <w:rPr>
          <w:w w:val="105"/>
          <w:sz w:val="21"/>
        </w:rPr>
        <w:t>where</w:t>
      </w:r>
      <w:r>
        <w:rPr>
          <w:spacing w:val="-6"/>
          <w:w w:val="105"/>
          <w:sz w:val="21"/>
        </w:rPr>
        <w:t> </w:t>
      </w:r>
      <w:r>
        <w:rPr>
          <w:spacing w:val="-2"/>
          <w:w w:val="105"/>
          <w:sz w:val="21"/>
        </w:rPr>
        <w:t>access</w:t>
      </w:r>
      <w:r>
        <w:rPr>
          <w:spacing w:val="-6"/>
          <w:w w:val="105"/>
          <w:sz w:val="21"/>
        </w:rPr>
        <w:t> </w:t>
      </w:r>
      <w:r>
        <w:rPr>
          <w:w w:val="105"/>
          <w:sz w:val="21"/>
        </w:rPr>
        <w:t>and</w:t>
      </w:r>
      <w:r>
        <w:rPr>
          <w:spacing w:val="-5"/>
          <w:w w:val="105"/>
          <w:sz w:val="21"/>
        </w:rPr>
        <w:t> </w:t>
      </w:r>
      <w:r>
        <w:rPr>
          <w:spacing w:val="-3"/>
          <w:w w:val="105"/>
          <w:sz w:val="21"/>
        </w:rPr>
        <w:t>enfranchisement</w:t>
      </w:r>
      <w:r>
        <w:rPr>
          <w:spacing w:val="-6"/>
          <w:w w:val="105"/>
          <w:sz w:val="21"/>
        </w:rPr>
        <w:t> </w:t>
      </w:r>
      <w:r>
        <w:rPr>
          <w:w w:val="105"/>
          <w:sz w:val="21"/>
        </w:rPr>
        <w:t>is</w:t>
      </w:r>
      <w:r>
        <w:rPr>
          <w:spacing w:val="-6"/>
          <w:w w:val="105"/>
          <w:sz w:val="21"/>
        </w:rPr>
        <w:t> </w:t>
      </w:r>
      <w:r>
        <w:rPr>
          <w:w w:val="105"/>
          <w:sz w:val="21"/>
        </w:rPr>
        <w:t>of</w:t>
      </w:r>
      <w:r>
        <w:rPr>
          <w:spacing w:val="-6"/>
          <w:w w:val="105"/>
          <w:sz w:val="21"/>
        </w:rPr>
        <w:t> </w:t>
      </w:r>
      <w:r>
        <w:rPr>
          <w:spacing w:val="-3"/>
          <w:w w:val="105"/>
          <w:sz w:val="21"/>
        </w:rPr>
        <w:t>great</w:t>
      </w:r>
      <w:r>
        <w:rPr>
          <w:spacing w:val="-5"/>
          <w:w w:val="105"/>
          <w:sz w:val="21"/>
        </w:rPr>
        <w:t> </w:t>
      </w:r>
      <w:r>
        <w:rPr>
          <w:spacing w:val="-3"/>
          <w:w w:val="105"/>
          <w:sz w:val="21"/>
        </w:rPr>
        <w:t>significance,</w:t>
      </w:r>
      <w:r>
        <w:rPr>
          <w:spacing w:val="-6"/>
          <w:w w:val="105"/>
          <w:sz w:val="21"/>
        </w:rPr>
        <w:t> </w:t>
      </w:r>
      <w:r>
        <w:rPr>
          <w:w w:val="105"/>
          <w:sz w:val="21"/>
        </w:rPr>
        <w:t>the </w:t>
      </w:r>
      <w:r>
        <w:rPr>
          <w:spacing w:val="-3"/>
          <w:w w:val="105"/>
          <w:sz w:val="21"/>
        </w:rPr>
        <w:t>Commission recommends that </w:t>
      </w:r>
      <w:r>
        <w:rPr>
          <w:w w:val="105"/>
          <w:sz w:val="21"/>
        </w:rPr>
        <w:t>further </w:t>
      </w:r>
      <w:r>
        <w:rPr>
          <w:spacing w:val="-3"/>
          <w:w w:val="105"/>
          <w:sz w:val="21"/>
        </w:rPr>
        <w:t>consideration </w:t>
      </w:r>
      <w:r>
        <w:rPr>
          <w:w w:val="105"/>
          <w:sz w:val="21"/>
        </w:rPr>
        <w:t>should be given</w:t>
      </w:r>
      <w:r>
        <w:rPr>
          <w:spacing w:val="31"/>
          <w:w w:val="105"/>
          <w:sz w:val="21"/>
        </w:rPr>
        <w:t> </w:t>
      </w:r>
      <w:r>
        <w:rPr>
          <w:w w:val="105"/>
          <w:sz w:val="21"/>
        </w:rPr>
        <w:t>to:</w:t>
      </w:r>
    </w:p>
    <w:p>
      <w:pPr>
        <w:pStyle w:val="ListParagraph"/>
        <w:numPr>
          <w:ilvl w:val="2"/>
          <w:numId w:val="22"/>
        </w:numPr>
        <w:tabs>
          <w:tab w:pos="2720" w:val="left" w:leader="none"/>
          <w:tab w:pos="2721" w:val="left" w:leader="none"/>
        </w:tabs>
        <w:spacing w:line="242" w:lineRule="auto" w:before="122" w:after="0"/>
        <w:ind w:left="2720" w:right="1861" w:hanging="340"/>
        <w:jc w:val="left"/>
        <w:rPr>
          <w:sz w:val="21"/>
        </w:rPr>
      </w:pPr>
      <w:r>
        <w:rPr>
          <w:spacing w:val="-3"/>
          <w:sz w:val="21"/>
        </w:rPr>
        <w:t>designing </w:t>
      </w:r>
      <w:r>
        <w:rPr>
          <w:sz w:val="21"/>
        </w:rPr>
        <w:t>a more </w:t>
      </w:r>
      <w:r>
        <w:rPr>
          <w:spacing w:val="-3"/>
          <w:sz w:val="21"/>
        </w:rPr>
        <w:t>accessible </w:t>
      </w:r>
      <w:r>
        <w:rPr>
          <w:sz w:val="21"/>
        </w:rPr>
        <w:t>scheme </w:t>
      </w:r>
      <w:r>
        <w:rPr>
          <w:spacing w:val="-3"/>
          <w:sz w:val="21"/>
        </w:rPr>
        <w:t>for </w:t>
      </w:r>
      <w:r>
        <w:rPr>
          <w:spacing w:val="-2"/>
          <w:sz w:val="21"/>
        </w:rPr>
        <w:t>distribution </w:t>
      </w:r>
      <w:r>
        <w:rPr>
          <w:sz w:val="21"/>
        </w:rPr>
        <w:t>of Indigenous </w:t>
      </w:r>
      <w:r>
        <w:rPr>
          <w:spacing w:val="-3"/>
          <w:sz w:val="21"/>
        </w:rPr>
        <w:t>intestate </w:t>
      </w:r>
      <w:r>
        <w:rPr>
          <w:sz w:val="21"/>
        </w:rPr>
        <w:t>estates, </w:t>
      </w:r>
      <w:r>
        <w:rPr>
          <w:spacing w:val="-3"/>
          <w:sz w:val="21"/>
        </w:rPr>
        <w:t>that</w:t>
      </w:r>
      <w:r>
        <w:rPr>
          <w:spacing w:val="10"/>
          <w:sz w:val="21"/>
        </w:rPr>
        <w:t> </w:t>
      </w:r>
      <w:r>
        <w:rPr>
          <w:sz w:val="21"/>
        </w:rPr>
        <w:t>does</w:t>
      </w:r>
      <w:r>
        <w:rPr>
          <w:spacing w:val="11"/>
          <w:sz w:val="21"/>
        </w:rPr>
        <w:t> </w:t>
      </w:r>
      <w:r>
        <w:rPr>
          <w:spacing w:val="-2"/>
          <w:sz w:val="21"/>
        </w:rPr>
        <w:t>not</w:t>
      </w:r>
      <w:r>
        <w:rPr>
          <w:spacing w:val="11"/>
          <w:sz w:val="21"/>
        </w:rPr>
        <w:t> </w:t>
      </w:r>
      <w:r>
        <w:rPr>
          <w:sz w:val="21"/>
        </w:rPr>
        <w:t>necessarily</w:t>
      </w:r>
      <w:r>
        <w:rPr>
          <w:spacing w:val="11"/>
          <w:sz w:val="21"/>
        </w:rPr>
        <w:t> </w:t>
      </w:r>
      <w:r>
        <w:rPr>
          <w:spacing w:val="-3"/>
          <w:sz w:val="21"/>
        </w:rPr>
        <w:t>require</w:t>
      </w:r>
      <w:r>
        <w:rPr>
          <w:spacing w:val="11"/>
          <w:sz w:val="21"/>
        </w:rPr>
        <w:t> </w:t>
      </w:r>
      <w:r>
        <w:rPr>
          <w:sz w:val="21"/>
        </w:rPr>
        <w:t>a</w:t>
      </w:r>
      <w:r>
        <w:rPr>
          <w:spacing w:val="11"/>
          <w:sz w:val="21"/>
        </w:rPr>
        <w:t> </w:t>
      </w:r>
      <w:r>
        <w:rPr>
          <w:spacing w:val="-3"/>
          <w:sz w:val="21"/>
        </w:rPr>
        <w:t>Supreme</w:t>
      </w:r>
      <w:r>
        <w:rPr>
          <w:spacing w:val="10"/>
          <w:sz w:val="21"/>
        </w:rPr>
        <w:t> </w:t>
      </w:r>
      <w:r>
        <w:rPr>
          <w:spacing w:val="-3"/>
          <w:sz w:val="21"/>
        </w:rPr>
        <w:t>Court</w:t>
      </w:r>
      <w:r>
        <w:rPr>
          <w:spacing w:val="11"/>
          <w:sz w:val="21"/>
        </w:rPr>
        <w:t> </w:t>
      </w:r>
      <w:r>
        <w:rPr>
          <w:sz w:val="21"/>
        </w:rPr>
        <w:t>application</w:t>
      </w:r>
    </w:p>
    <w:p>
      <w:pPr>
        <w:pStyle w:val="ListParagraph"/>
        <w:numPr>
          <w:ilvl w:val="2"/>
          <w:numId w:val="22"/>
        </w:numPr>
        <w:tabs>
          <w:tab w:pos="2720" w:val="left" w:leader="none"/>
          <w:tab w:pos="2721" w:val="left" w:leader="none"/>
        </w:tabs>
        <w:spacing w:line="242" w:lineRule="auto" w:before="122" w:after="0"/>
        <w:ind w:left="2720" w:right="2194" w:hanging="340"/>
        <w:jc w:val="left"/>
        <w:rPr>
          <w:sz w:val="21"/>
        </w:rPr>
      </w:pPr>
      <w:r>
        <w:rPr>
          <w:spacing w:val="-3"/>
          <w:w w:val="105"/>
          <w:sz w:val="21"/>
        </w:rPr>
        <w:t>determining </w:t>
      </w:r>
      <w:r>
        <w:rPr>
          <w:w w:val="105"/>
          <w:sz w:val="21"/>
        </w:rPr>
        <w:t>whether a decision </w:t>
      </w:r>
      <w:r>
        <w:rPr>
          <w:spacing w:val="-4"/>
          <w:w w:val="105"/>
          <w:sz w:val="21"/>
        </w:rPr>
        <w:t>maker </w:t>
      </w:r>
      <w:r>
        <w:rPr>
          <w:w w:val="105"/>
          <w:sz w:val="21"/>
        </w:rPr>
        <w:t>is needed </w:t>
      </w:r>
      <w:r>
        <w:rPr>
          <w:spacing w:val="-3"/>
          <w:w w:val="105"/>
          <w:sz w:val="21"/>
        </w:rPr>
        <w:t>to determine </w:t>
      </w:r>
      <w:r>
        <w:rPr>
          <w:w w:val="105"/>
          <w:sz w:val="21"/>
        </w:rPr>
        <w:t>whether the Indigenous</w:t>
      </w:r>
      <w:r>
        <w:rPr>
          <w:spacing w:val="-11"/>
          <w:w w:val="105"/>
          <w:sz w:val="21"/>
        </w:rPr>
        <w:t> </w:t>
      </w:r>
      <w:r>
        <w:rPr>
          <w:w w:val="105"/>
          <w:sz w:val="21"/>
        </w:rPr>
        <w:t>intestacy</w:t>
      </w:r>
      <w:r>
        <w:rPr>
          <w:spacing w:val="-11"/>
          <w:w w:val="105"/>
          <w:sz w:val="21"/>
        </w:rPr>
        <w:t> </w:t>
      </w:r>
      <w:r>
        <w:rPr>
          <w:w w:val="105"/>
          <w:sz w:val="21"/>
        </w:rPr>
        <w:t>scheme</w:t>
      </w:r>
      <w:r>
        <w:rPr>
          <w:spacing w:val="-11"/>
          <w:w w:val="105"/>
          <w:sz w:val="21"/>
        </w:rPr>
        <w:t> </w:t>
      </w:r>
      <w:r>
        <w:rPr>
          <w:w w:val="105"/>
          <w:sz w:val="21"/>
        </w:rPr>
        <w:t>applies</w:t>
      </w:r>
      <w:r>
        <w:rPr>
          <w:spacing w:val="-11"/>
          <w:w w:val="105"/>
          <w:sz w:val="21"/>
        </w:rPr>
        <w:t> </w:t>
      </w:r>
      <w:r>
        <w:rPr>
          <w:w w:val="105"/>
          <w:sz w:val="21"/>
        </w:rPr>
        <w:t>in</w:t>
      </w:r>
      <w:r>
        <w:rPr>
          <w:spacing w:val="-11"/>
          <w:w w:val="105"/>
          <w:sz w:val="21"/>
        </w:rPr>
        <w:t> </w:t>
      </w:r>
      <w:r>
        <w:rPr>
          <w:w w:val="105"/>
          <w:sz w:val="21"/>
        </w:rPr>
        <w:t>a</w:t>
      </w:r>
      <w:r>
        <w:rPr>
          <w:spacing w:val="-11"/>
          <w:w w:val="105"/>
          <w:sz w:val="21"/>
        </w:rPr>
        <w:t> </w:t>
      </w:r>
      <w:r>
        <w:rPr>
          <w:w w:val="105"/>
          <w:sz w:val="21"/>
        </w:rPr>
        <w:t>particular</w:t>
      </w:r>
      <w:r>
        <w:rPr>
          <w:spacing w:val="-11"/>
          <w:w w:val="105"/>
          <w:sz w:val="21"/>
        </w:rPr>
        <w:t> </w:t>
      </w:r>
      <w:r>
        <w:rPr>
          <w:spacing w:val="-3"/>
          <w:w w:val="105"/>
          <w:sz w:val="21"/>
        </w:rPr>
        <w:t>instance</w:t>
      </w:r>
      <w:r>
        <w:rPr>
          <w:spacing w:val="-11"/>
          <w:w w:val="105"/>
          <w:sz w:val="21"/>
        </w:rPr>
        <w:t> </w:t>
      </w:r>
      <w:r>
        <w:rPr>
          <w:w w:val="105"/>
          <w:sz w:val="21"/>
        </w:rPr>
        <w:t>and</w:t>
      </w:r>
      <w:r>
        <w:rPr>
          <w:spacing w:val="-11"/>
          <w:w w:val="105"/>
          <w:sz w:val="21"/>
        </w:rPr>
        <w:t> </w:t>
      </w:r>
      <w:r>
        <w:rPr>
          <w:w w:val="105"/>
          <w:sz w:val="21"/>
        </w:rPr>
        <w:t>who</w:t>
      </w:r>
      <w:r>
        <w:rPr>
          <w:spacing w:val="-11"/>
          <w:w w:val="105"/>
          <w:sz w:val="21"/>
        </w:rPr>
        <w:t> </w:t>
      </w:r>
      <w:r>
        <w:rPr>
          <w:w w:val="105"/>
          <w:sz w:val="21"/>
        </w:rPr>
        <w:t>should</w:t>
      </w:r>
      <w:r>
        <w:rPr>
          <w:spacing w:val="-11"/>
          <w:w w:val="105"/>
          <w:sz w:val="21"/>
        </w:rPr>
        <w:t> </w:t>
      </w:r>
      <w:r>
        <w:rPr>
          <w:w w:val="105"/>
          <w:sz w:val="21"/>
        </w:rPr>
        <w:t>be entitled </w:t>
      </w:r>
      <w:r>
        <w:rPr>
          <w:spacing w:val="-3"/>
          <w:w w:val="105"/>
          <w:sz w:val="21"/>
        </w:rPr>
        <w:t>to </w:t>
      </w:r>
      <w:r>
        <w:rPr>
          <w:w w:val="105"/>
          <w:sz w:val="21"/>
        </w:rPr>
        <w:t>a </w:t>
      </w:r>
      <w:r>
        <w:rPr>
          <w:spacing w:val="-3"/>
          <w:w w:val="105"/>
          <w:sz w:val="21"/>
        </w:rPr>
        <w:t>share and, </w:t>
      </w:r>
      <w:r>
        <w:rPr>
          <w:w w:val="105"/>
          <w:sz w:val="21"/>
        </w:rPr>
        <w:t>if </w:t>
      </w:r>
      <w:r>
        <w:rPr>
          <w:spacing w:val="-3"/>
          <w:w w:val="105"/>
          <w:sz w:val="21"/>
        </w:rPr>
        <w:t>so, </w:t>
      </w:r>
      <w:r>
        <w:rPr>
          <w:w w:val="105"/>
          <w:sz w:val="21"/>
        </w:rPr>
        <w:t>who </w:t>
      </w:r>
      <w:r>
        <w:rPr>
          <w:spacing w:val="-3"/>
          <w:w w:val="105"/>
          <w:sz w:val="21"/>
        </w:rPr>
        <w:t>that </w:t>
      </w:r>
      <w:r>
        <w:rPr>
          <w:w w:val="105"/>
          <w:sz w:val="21"/>
        </w:rPr>
        <w:t>decision </w:t>
      </w:r>
      <w:r>
        <w:rPr>
          <w:spacing w:val="-4"/>
          <w:w w:val="105"/>
          <w:sz w:val="21"/>
        </w:rPr>
        <w:t>maker </w:t>
      </w:r>
      <w:r>
        <w:rPr>
          <w:w w:val="105"/>
          <w:sz w:val="21"/>
        </w:rPr>
        <w:t>should be</w:t>
      </w:r>
    </w:p>
    <w:p>
      <w:pPr>
        <w:pStyle w:val="ListParagraph"/>
        <w:numPr>
          <w:ilvl w:val="2"/>
          <w:numId w:val="22"/>
        </w:numPr>
        <w:tabs>
          <w:tab w:pos="2720" w:val="left" w:leader="none"/>
          <w:tab w:pos="2721" w:val="left" w:leader="none"/>
        </w:tabs>
        <w:spacing w:line="242" w:lineRule="auto" w:before="123" w:after="0"/>
        <w:ind w:left="2720" w:right="1585" w:hanging="340"/>
        <w:jc w:val="left"/>
        <w:rPr>
          <w:sz w:val="21"/>
        </w:rPr>
      </w:pPr>
      <w:r>
        <w:rPr>
          <w:spacing w:val="-3"/>
          <w:w w:val="105"/>
          <w:sz w:val="21"/>
        </w:rPr>
        <w:t>incorporating </w:t>
      </w:r>
      <w:r>
        <w:rPr>
          <w:w w:val="105"/>
          <w:sz w:val="21"/>
        </w:rPr>
        <w:t>concepts of </w:t>
      </w:r>
      <w:r>
        <w:rPr>
          <w:spacing w:val="-3"/>
          <w:w w:val="105"/>
          <w:sz w:val="21"/>
        </w:rPr>
        <w:t>traditional </w:t>
      </w:r>
      <w:r>
        <w:rPr>
          <w:w w:val="105"/>
          <w:sz w:val="21"/>
        </w:rPr>
        <w:t>law adoption and next of </w:t>
      </w:r>
      <w:r>
        <w:rPr>
          <w:spacing w:val="-3"/>
          <w:w w:val="105"/>
          <w:sz w:val="21"/>
        </w:rPr>
        <w:t>kin, </w:t>
      </w:r>
      <w:r>
        <w:rPr>
          <w:w w:val="105"/>
          <w:sz w:val="21"/>
        </w:rPr>
        <w:t>as </w:t>
      </w:r>
      <w:r>
        <w:rPr>
          <w:spacing w:val="-3"/>
          <w:w w:val="105"/>
          <w:sz w:val="21"/>
        </w:rPr>
        <w:t>relevant to </w:t>
      </w:r>
      <w:r>
        <w:rPr>
          <w:w w:val="105"/>
          <w:sz w:val="21"/>
        </w:rPr>
        <w:t>Indigenous</w:t>
      </w:r>
      <w:r>
        <w:rPr>
          <w:spacing w:val="-10"/>
          <w:w w:val="105"/>
          <w:sz w:val="21"/>
        </w:rPr>
        <w:t> </w:t>
      </w:r>
      <w:r>
        <w:rPr>
          <w:spacing w:val="-3"/>
          <w:w w:val="105"/>
          <w:sz w:val="21"/>
        </w:rPr>
        <w:t>communities</w:t>
      </w:r>
      <w:r>
        <w:rPr>
          <w:spacing w:val="-9"/>
          <w:w w:val="105"/>
          <w:sz w:val="21"/>
        </w:rPr>
        <w:t> </w:t>
      </w:r>
      <w:r>
        <w:rPr>
          <w:w w:val="105"/>
          <w:sz w:val="21"/>
        </w:rPr>
        <w:t>in</w:t>
      </w:r>
      <w:r>
        <w:rPr>
          <w:spacing w:val="-10"/>
          <w:w w:val="105"/>
          <w:sz w:val="21"/>
        </w:rPr>
        <w:t> </w:t>
      </w:r>
      <w:r>
        <w:rPr>
          <w:w w:val="105"/>
          <w:sz w:val="21"/>
        </w:rPr>
        <w:t>Victoria,</w:t>
      </w:r>
      <w:r>
        <w:rPr>
          <w:spacing w:val="-9"/>
          <w:w w:val="105"/>
          <w:sz w:val="21"/>
        </w:rPr>
        <w:t> </w:t>
      </w:r>
      <w:r>
        <w:rPr>
          <w:spacing w:val="-4"/>
          <w:w w:val="105"/>
          <w:sz w:val="21"/>
        </w:rPr>
        <w:t>into</w:t>
      </w:r>
      <w:r>
        <w:rPr>
          <w:spacing w:val="-10"/>
          <w:w w:val="105"/>
          <w:sz w:val="21"/>
        </w:rPr>
        <w:t> </w:t>
      </w:r>
      <w:r>
        <w:rPr>
          <w:w w:val="105"/>
          <w:sz w:val="21"/>
        </w:rPr>
        <w:t>the</w:t>
      </w:r>
      <w:r>
        <w:rPr>
          <w:spacing w:val="-9"/>
          <w:w w:val="105"/>
          <w:sz w:val="21"/>
        </w:rPr>
        <w:t> </w:t>
      </w:r>
      <w:r>
        <w:rPr>
          <w:w w:val="105"/>
          <w:sz w:val="21"/>
        </w:rPr>
        <w:t>general</w:t>
      </w:r>
      <w:r>
        <w:rPr>
          <w:spacing w:val="-10"/>
          <w:w w:val="105"/>
          <w:sz w:val="21"/>
        </w:rPr>
        <w:t> </w:t>
      </w:r>
      <w:r>
        <w:rPr>
          <w:w w:val="105"/>
          <w:sz w:val="21"/>
        </w:rPr>
        <w:t>intestacy</w:t>
      </w:r>
      <w:r>
        <w:rPr>
          <w:spacing w:val="-9"/>
          <w:w w:val="105"/>
          <w:sz w:val="21"/>
        </w:rPr>
        <w:t> </w:t>
      </w:r>
      <w:r>
        <w:rPr>
          <w:w w:val="105"/>
          <w:sz w:val="21"/>
        </w:rPr>
        <w:t>law</w:t>
      </w:r>
      <w:r>
        <w:rPr>
          <w:spacing w:val="-10"/>
          <w:w w:val="105"/>
          <w:sz w:val="21"/>
        </w:rPr>
        <w:t> </w:t>
      </w:r>
      <w:r>
        <w:rPr>
          <w:w w:val="105"/>
          <w:sz w:val="21"/>
        </w:rPr>
        <w:t>by</w:t>
      </w:r>
      <w:r>
        <w:rPr>
          <w:spacing w:val="-9"/>
          <w:w w:val="105"/>
          <w:sz w:val="21"/>
        </w:rPr>
        <w:t> </w:t>
      </w:r>
      <w:r>
        <w:rPr>
          <w:spacing w:val="-3"/>
          <w:w w:val="105"/>
          <w:sz w:val="21"/>
        </w:rPr>
        <w:t>way</w:t>
      </w:r>
      <w:r>
        <w:rPr>
          <w:spacing w:val="-9"/>
          <w:w w:val="105"/>
          <w:sz w:val="21"/>
        </w:rPr>
        <w:t> </w:t>
      </w:r>
      <w:r>
        <w:rPr>
          <w:w w:val="105"/>
          <w:sz w:val="21"/>
        </w:rPr>
        <w:t>of</w:t>
      </w:r>
      <w:r>
        <w:rPr>
          <w:spacing w:val="-10"/>
          <w:w w:val="105"/>
          <w:sz w:val="21"/>
        </w:rPr>
        <w:t> </w:t>
      </w:r>
      <w:r>
        <w:rPr>
          <w:w w:val="105"/>
          <w:sz w:val="21"/>
        </w:rPr>
        <w:t>definition</w:t>
      </w:r>
    </w:p>
    <w:p>
      <w:pPr>
        <w:pStyle w:val="BodyText"/>
        <w:spacing w:before="4"/>
        <w:rPr>
          <w:sz w:val="31"/>
        </w:rPr>
      </w:pPr>
    </w:p>
    <w:p>
      <w:pPr>
        <w:pStyle w:val="ListParagraph"/>
        <w:numPr>
          <w:ilvl w:val="2"/>
          <w:numId w:val="22"/>
        </w:numPr>
        <w:tabs>
          <w:tab w:pos="2721" w:val="left" w:leader="none"/>
        </w:tabs>
        <w:spacing w:line="242" w:lineRule="auto" w:before="0" w:after="0"/>
        <w:ind w:left="2720" w:right="1622" w:hanging="340"/>
        <w:jc w:val="both"/>
        <w:rPr>
          <w:sz w:val="21"/>
        </w:rPr>
      </w:pPr>
      <w:r>
        <w:rPr>
          <w:w w:val="105"/>
          <w:sz w:val="21"/>
        </w:rPr>
        <w:t>defining the types of </w:t>
      </w:r>
      <w:r>
        <w:rPr>
          <w:spacing w:val="-3"/>
          <w:w w:val="105"/>
          <w:sz w:val="21"/>
        </w:rPr>
        <w:t>information that </w:t>
      </w:r>
      <w:r>
        <w:rPr>
          <w:w w:val="105"/>
          <w:sz w:val="21"/>
        </w:rPr>
        <w:t>should be </w:t>
      </w:r>
      <w:r>
        <w:rPr>
          <w:spacing w:val="-3"/>
          <w:w w:val="105"/>
          <w:sz w:val="21"/>
        </w:rPr>
        <w:t>accepted to prove </w:t>
      </w:r>
      <w:r>
        <w:rPr>
          <w:w w:val="105"/>
          <w:sz w:val="21"/>
        </w:rPr>
        <w:t>the laws, </w:t>
      </w:r>
      <w:r>
        <w:rPr>
          <w:spacing w:val="-3"/>
          <w:w w:val="105"/>
          <w:sz w:val="21"/>
        </w:rPr>
        <w:t>customs, traditions</w:t>
      </w:r>
      <w:r>
        <w:rPr>
          <w:spacing w:val="-6"/>
          <w:w w:val="105"/>
          <w:sz w:val="21"/>
        </w:rPr>
        <w:t> </w:t>
      </w:r>
      <w:r>
        <w:rPr>
          <w:w w:val="105"/>
          <w:sz w:val="21"/>
        </w:rPr>
        <w:t>and</w:t>
      </w:r>
      <w:r>
        <w:rPr>
          <w:spacing w:val="-5"/>
          <w:w w:val="105"/>
          <w:sz w:val="21"/>
        </w:rPr>
        <w:t> </w:t>
      </w:r>
      <w:r>
        <w:rPr>
          <w:w w:val="105"/>
          <w:sz w:val="21"/>
        </w:rPr>
        <w:t>practices</w:t>
      </w:r>
      <w:r>
        <w:rPr>
          <w:spacing w:val="-5"/>
          <w:w w:val="105"/>
          <w:sz w:val="21"/>
        </w:rPr>
        <w:t> </w:t>
      </w:r>
      <w:r>
        <w:rPr>
          <w:w w:val="105"/>
          <w:sz w:val="21"/>
        </w:rPr>
        <w:t>of</w:t>
      </w:r>
      <w:r>
        <w:rPr>
          <w:spacing w:val="-6"/>
          <w:w w:val="105"/>
          <w:sz w:val="21"/>
        </w:rPr>
        <w:t> </w:t>
      </w:r>
      <w:r>
        <w:rPr>
          <w:w w:val="105"/>
          <w:sz w:val="21"/>
        </w:rPr>
        <w:t>the</w:t>
      </w:r>
      <w:r>
        <w:rPr>
          <w:spacing w:val="-5"/>
          <w:w w:val="105"/>
          <w:sz w:val="21"/>
        </w:rPr>
        <w:t> </w:t>
      </w:r>
      <w:r>
        <w:rPr>
          <w:spacing w:val="-3"/>
          <w:w w:val="105"/>
          <w:sz w:val="21"/>
        </w:rPr>
        <w:t>group</w:t>
      </w:r>
      <w:r>
        <w:rPr>
          <w:spacing w:val="-5"/>
          <w:w w:val="105"/>
          <w:sz w:val="21"/>
        </w:rPr>
        <w:t> </w:t>
      </w:r>
      <w:r>
        <w:rPr>
          <w:spacing w:val="-3"/>
          <w:w w:val="105"/>
          <w:sz w:val="21"/>
        </w:rPr>
        <w:t>to</w:t>
      </w:r>
      <w:r>
        <w:rPr>
          <w:spacing w:val="-5"/>
          <w:w w:val="105"/>
          <w:sz w:val="21"/>
        </w:rPr>
        <w:t> </w:t>
      </w:r>
      <w:r>
        <w:rPr>
          <w:w w:val="105"/>
          <w:sz w:val="21"/>
        </w:rPr>
        <w:t>which</w:t>
      </w:r>
      <w:r>
        <w:rPr>
          <w:spacing w:val="-6"/>
          <w:w w:val="105"/>
          <w:sz w:val="21"/>
        </w:rPr>
        <w:t> </w:t>
      </w:r>
      <w:r>
        <w:rPr>
          <w:w w:val="105"/>
          <w:sz w:val="21"/>
        </w:rPr>
        <w:t>the</w:t>
      </w:r>
      <w:r>
        <w:rPr>
          <w:spacing w:val="-5"/>
          <w:w w:val="105"/>
          <w:sz w:val="21"/>
        </w:rPr>
        <w:t> </w:t>
      </w:r>
      <w:r>
        <w:rPr>
          <w:w w:val="105"/>
          <w:sz w:val="21"/>
        </w:rPr>
        <w:t>deceased</w:t>
      </w:r>
      <w:r>
        <w:rPr>
          <w:spacing w:val="-5"/>
          <w:w w:val="105"/>
          <w:sz w:val="21"/>
        </w:rPr>
        <w:t> </w:t>
      </w:r>
      <w:r>
        <w:rPr>
          <w:w w:val="105"/>
          <w:sz w:val="21"/>
        </w:rPr>
        <w:t>person</w:t>
      </w:r>
      <w:r>
        <w:rPr>
          <w:spacing w:val="-5"/>
          <w:w w:val="105"/>
          <w:sz w:val="21"/>
        </w:rPr>
        <w:t> </w:t>
      </w:r>
      <w:r>
        <w:rPr>
          <w:w w:val="105"/>
          <w:sz w:val="21"/>
        </w:rPr>
        <w:t>belonged</w:t>
      </w:r>
      <w:r>
        <w:rPr>
          <w:spacing w:val="-6"/>
          <w:w w:val="105"/>
          <w:sz w:val="21"/>
        </w:rPr>
        <w:t> </w:t>
      </w:r>
      <w:r>
        <w:rPr>
          <w:w w:val="105"/>
          <w:sz w:val="21"/>
        </w:rPr>
        <w:t>and</w:t>
      </w:r>
      <w:r>
        <w:rPr>
          <w:spacing w:val="-5"/>
          <w:w w:val="105"/>
          <w:sz w:val="21"/>
        </w:rPr>
        <w:t> </w:t>
      </w:r>
      <w:r>
        <w:rPr>
          <w:w w:val="105"/>
          <w:sz w:val="21"/>
        </w:rPr>
        <w:t>the existence of a </w:t>
      </w:r>
      <w:r>
        <w:rPr>
          <w:spacing w:val="-3"/>
          <w:w w:val="105"/>
          <w:sz w:val="21"/>
        </w:rPr>
        <w:t>relationship </w:t>
      </w:r>
      <w:r>
        <w:rPr>
          <w:w w:val="105"/>
          <w:sz w:val="21"/>
        </w:rPr>
        <w:t>with the deceased</w:t>
      </w:r>
      <w:r>
        <w:rPr>
          <w:spacing w:val="26"/>
          <w:w w:val="105"/>
          <w:sz w:val="21"/>
        </w:rPr>
        <w:t> </w:t>
      </w:r>
      <w:r>
        <w:rPr>
          <w:w w:val="105"/>
          <w:sz w:val="21"/>
        </w:rPr>
        <w:t>person.</w:t>
      </w:r>
    </w:p>
    <w:p>
      <w:pPr>
        <w:pStyle w:val="ListParagraph"/>
        <w:numPr>
          <w:ilvl w:val="1"/>
          <w:numId w:val="22"/>
        </w:numPr>
        <w:tabs>
          <w:tab w:pos="2380" w:val="left" w:leader="none"/>
          <w:tab w:pos="2381" w:val="left" w:leader="none"/>
        </w:tabs>
        <w:spacing w:line="242" w:lineRule="auto" w:before="124" w:after="0"/>
        <w:ind w:left="2380" w:right="1587" w:hanging="793"/>
        <w:jc w:val="left"/>
        <w:rPr>
          <w:sz w:val="21"/>
        </w:rPr>
      </w:pPr>
      <w:r>
        <w:rPr>
          <w:sz w:val="21"/>
        </w:rPr>
        <w:t>The </w:t>
      </w:r>
      <w:r>
        <w:rPr>
          <w:spacing w:val="-3"/>
          <w:sz w:val="21"/>
        </w:rPr>
        <w:t>Commission </w:t>
      </w:r>
      <w:r>
        <w:rPr>
          <w:sz w:val="21"/>
        </w:rPr>
        <w:t>considers </w:t>
      </w:r>
      <w:r>
        <w:rPr>
          <w:spacing w:val="-3"/>
          <w:sz w:val="21"/>
        </w:rPr>
        <w:t>that  </w:t>
      </w:r>
      <w:r>
        <w:rPr>
          <w:sz w:val="21"/>
        </w:rPr>
        <w:t>further </w:t>
      </w:r>
      <w:r>
        <w:rPr>
          <w:spacing w:val="-3"/>
          <w:sz w:val="21"/>
        </w:rPr>
        <w:t>research</w:t>
      </w:r>
      <w:r>
        <w:rPr>
          <w:spacing w:val="41"/>
          <w:sz w:val="21"/>
        </w:rPr>
        <w:t> </w:t>
      </w:r>
      <w:r>
        <w:rPr>
          <w:sz w:val="21"/>
        </w:rPr>
        <w:t>and community </w:t>
      </w:r>
      <w:r>
        <w:rPr>
          <w:spacing w:val="-3"/>
          <w:sz w:val="21"/>
        </w:rPr>
        <w:t>consultation  </w:t>
      </w:r>
      <w:r>
        <w:rPr>
          <w:sz w:val="21"/>
        </w:rPr>
        <w:t>is necessary  </w:t>
      </w:r>
      <w:r>
        <w:rPr>
          <w:spacing w:val="-3"/>
          <w:sz w:val="21"/>
        </w:rPr>
        <w:t>to  </w:t>
      </w:r>
      <w:r>
        <w:rPr>
          <w:sz w:val="21"/>
        </w:rPr>
        <w:t>design a scheme </w:t>
      </w:r>
      <w:r>
        <w:rPr>
          <w:spacing w:val="-3"/>
          <w:sz w:val="21"/>
        </w:rPr>
        <w:t>for</w:t>
      </w:r>
      <w:r>
        <w:rPr>
          <w:spacing w:val="41"/>
          <w:sz w:val="21"/>
        </w:rPr>
        <w:t> </w:t>
      </w:r>
      <w:r>
        <w:rPr>
          <w:spacing w:val="-2"/>
          <w:sz w:val="21"/>
        </w:rPr>
        <w:t>distribution  </w:t>
      </w:r>
      <w:r>
        <w:rPr>
          <w:sz w:val="21"/>
        </w:rPr>
        <w:t>of the estates of Indigenous people who die </w:t>
      </w:r>
      <w:r>
        <w:rPr>
          <w:spacing w:val="-3"/>
          <w:sz w:val="21"/>
        </w:rPr>
        <w:t>intestate    </w:t>
      </w:r>
      <w:r>
        <w:rPr>
          <w:sz w:val="21"/>
        </w:rPr>
        <w:t>in Victoria. It is the </w:t>
      </w:r>
      <w:r>
        <w:rPr>
          <w:spacing w:val="-4"/>
          <w:sz w:val="21"/>
        </w:rPr>
        <w:t>Commission’s </w:t>
      </w:r>
      <w:r>
        <w:rPr>
          <w:sz w:val="21"/>
        </w:rPr>
        <w:t>view </w:t>
      </w:r>
      <w:r>
        <w:rPr>
          <w:spacing w:val="-3"/>
          <w:sz w:val="21"/>
        </w:rPr>
        <w:t>that </w:t>
      </w:r>
      <w:r>
        <w:rPr>
          <w:sz w:val="21"/>
        </w:rPr>
        <w:t>the general intestacy law is </w:t>
      </w:r>
      <w:r>
        <w:rPr>
          <w:spacing w:val="-2"/>
          <w:sz w:val="21"/>
        </w:rPr>
        <w:t>not </w:t>
      </w:r>
      <w:r>
        <w:rPr>
          <w:spacing w:val="-3"/>
          <w:sz w:val="21"/>
        </w:rPr>
        <w:t>appropriate for many </w:t>
      </w:r>
      <w:r>
        <w:rPr>
          <w:sz w:val="21"/>
        </w:rPr>
        <w:t>Indigenous people and </w:t>
      </w:r>
      <w:r>
        <w:rPr>
          <w:spacing w:val="-3"/>
          <w:sz w:val="21"/>
        </w:rPr>
        <w:t>that </w:t>
      </w:r>
      <w:r>
        <w:rPr>
          <w:sz w:val="21"/>
        </w:rPr>
        <w:t>it should be tailored </w:t>
      </w:r>
      <w:r>
        <w:rPr>
          <w:spacing w:val="-3"/>
          <w:sz w:val="21"/>
        </w:rPr>
        <w:t>to </w:t>
      </w:r>
      <w:r>
        <w:rPr>
          <w:sz w:val="21"/>
        </w:rPr>
        <w:t>the specific needs of Indigenous </w:t>
      </w:r>
      <w:r>
        <w:rPr>
          <w:spacing w:val="-3"/>
          <w:sz w:val="21"/>
        </w:rPr>
        <w:t>communities </w:t>
      </w:r>
      <w:r>
        <w:rPr>
          <w:sz w:val="21"/>
        </w:rPr>
        <w:t>in</w:t>
      </w:r>
      <w:r>
        <w:rPr>
          <w:spacing w:val="19"/>
          <w:sz w:val="21"/>
        </w:rPr>
        <w:t> </w:t>
      </w:r>
      <w:r>
        <w:rPr>
          <w:sz w:val="21"/>
        </w:rPr>
        <w:t>Victoria.</w:t>
      </w:r>
    </w:p>
    <w:p>
      <w:pPr>
        <w:pStyle w:val="BodyText"/>
        <w:rPr>
          <w:sz w:val="20"/>
        </w:rPr>
      </w:pPr>
    </w:p>
    <w:p>
      <w:pPr>
        <w:pStyle w:val="BodyText"/>
        <w:rPr>
          <w:sz w:val="20"/>
        </w:rPr>
      </w:pPr>
    </w:p>
    <w:p>
      <w:pPr>
        <w:pStyle w:val="BodyText"/>
        <w:rPr>
          <w:sz w:val="20"/>
        </w:rPr>
      </w:pPr>
    </w:p>
    <w:p>
      <w:pPr>
        <w:pStyle w:val="BodyText"/>
        <w:spacing w:before="1"/>
        <w:rPr>
          <w:sz w:val="14"/>
        </w:rPr>
      </w:pPr>
      <w:r>
        <w:rPr/>
        <w:pict>
          <v:line style="position:absolute;mso-position-horizontal-relative:page;mso-position-vertical-relative:paragraph;z-index:6248;mso-wrap-distance-left:0;mso-wrap-distance-right:0" from="79.370102pt,11.079004pt" to="515.905102pt,11.079004pt" stroked="true" strokeweight="1pt" strokecolor="#f9ceca">
            <v:stroke dashstyle="solid"/>
            <w10:wrap type="topAndBottom"/>
          </v:line>
        </w:pict>
      </w:r>
    </w:p>
    <w:p>
      <w:pPr>
        <w:pStyle w:val="BodyText"/>
        <w:spacing w:before="1"/>
        <w:rPr>
          <w:sz w:val="19"/>
        </w:rPr>
      </w:pPr>
    </w:p>
    <w:p>
      <w:pPr>
        <w:spacing w:before="99"/>
        <w:ind w:left="0" w:right="659" w:firstLine="0"/>
        <w:jc w:val="right"/>
        <w:rPr>
          <w:b/>
          <w:sz w:val="24"/>
        </w:rPr>
      </w:pPr>
      <w:r>
        <w:rPr/>
        <w:pict>
          <v:shape style="position:absolute;margin-left:77.691177pt;margin-top:-5.54572pt;width:176.15pt;height:23.55pt;mso-position-horizontal-relative:page;mso-position-vertical-relative:paragraph;z-index:8320"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41"/>
                    <w:gridCol w:w="2981"/>
                  </w:tblGrid>
                  <w:tr>
                    <w:trPr>
                      <w:trHeight w:val="155" w:hRule="atLeast"/>
                    </w:trPr>
                    <w:tc>
                      <w:tcPr>
                        <w:tcW w:w="541" w:type="dxa"/>
                      </w:tcPr>
                      <w:p>
                        <w:pPr>
                          <w:pStyle w:val="TableParagraph"/>
                          <w:spacing w:line="135" w:lineRule="exact"/>
                          <w:ind w:left="33"/>
                          <w:rPr>
                            <w:sz w:val="13"/>
                          </w:rPr>
                        </w:pPr>
                        <w:r>
                          <w:rPr>
                            <w:w w:val="110"/>
                            <w:sz w:val="13"/>
                          </w:rPr>
                          <w:t>296</w:t>
                        </w:r>
                      </w:p>
                    </w:tc>
                    <w:tc>
                      <w:tcPr>
                        <w:tcW w:w="2981" w:type="dxa"/>
                      </w:tcPr>
                      <w:p>
                        <w:pPr>
                          <w:pStyle w:val="TableParagraph"/>
                          <w:spacing w:line="135" w:lineRule="exact"/>
                          <w:ind w:left="286"/>
                          <w:rPr>
                            <w:sz w:val="13"/>
                          </w:rPr>
                        </w:pPr>
                        <w:r>
                          <w:rPr>
                            <w:w w:val="105"/>
                            <w:sz w:val="13"/>
                          </w:rPr>
                          <w:t>Consultation 8 (Dr Mark McMillan).</w:t>
                        </w:r>
                      </w:p>
                    </w:tc>
                  </w:tr>
                  <w:tr>
                    <w:trPr>
                      <w:trHeight w:val="160" w:hRule="atLeast"/>
                    </w:trPr>
                    <w:tc>
                      <w:tcPr>
                        <w:tcW w:w="541" w:type="dxa"/>
                      </w:tcPr>
                      <w:p>
                        <w:pPr>
                          <w:pStyle w:val="TableParagraph"/>
                          <w:ind w:left="33"/>
                          <w:rPr>
                            <w:sz w:val="13"/>
                          </w:rPr>
                        </w:pPr>
                        <w:r>
                          <w:rPr>
                            <w:w w:val="110"/>
                            <w:sz w:val="13"/>
                          </w:rPr>
                          <w:t>297</w:t>
                        </w:r>
                      </w:p>
                    </w:tc>
                    <w:tc>
                      <w:tcPr>
                        <w:tcW w:w="2981" w:type="dxa"/>
                      </w:tcPr>
                      <w:p>
                        <w:pPr>
                          <w:pStyle w:val="TableParagraph"/>
                          <w:ind w:left="286"/>
                          <w:rPr>
                            <w:sz w:val="13"/>
                          </w:rPr>
                        </w:pPr>
                        <w:r>
                          <w:rPr>
                            <w:sz w:val="13"/>
                          </w:rPr>
                          <w:t>Ibid.</w:t>
                        </w:r>
                      </w:p>
                    </w:tc>
                  </w:tr>
                  <w:tr>
                    <w:trPr>
                      <w:trHeight w:val="155" w:hRule="atLeast"/>
                    </w:trPr>
                    <w:tc>
                      <w:tcPr>
                        <w:tcW w:w="541" w:type="dxa"/>
                      </w:tcPr>
                      <w:p>
                        <w:pPr>
                          <w:pStyle w:val="TableParagraph"/>
                          <w:spacing w:line="135" w:lineRule="exact"/>
                          <w:ind w:left="33"/>
                          <w:rPr>
                            <w:sz w:val="13"/>
                          </w:rPr>
                        </w:pPr>
                        <w:r>
                          <w:rPr>
                            <w:w w:val="110"/>
                            <w:sz w:val="13"/>
                          </w:rPr>
                          <w:t>298</w:t>
                        </w:r>
                      </w:p>
                    </w:tc>
                    <w:tc>
                      <w:tcPr>
                        <w:tcW w:w="2981" w:type="dxa"/>
                      </w:tcPr>
                      <w:p>
                        <w:pPr>
                          <w:pStyle w:val="TableParagraph"/>
                          <w:spacing w:line="135" w:lineRule="exact"/>
                          <w:ind w:left="286"/>
                          <w:rPr>
                            <w:sz w:val="13"/>
                          </w:rPr>
                        </w:pPr>
                        <w:r>
                          <w:rPr>
                            <w:w w:val="105"/>
                            <w:sz w:val="13"/>
                          </w:rPr>
                          <w:t>Consultation 10 (Arts Law Centre of Australia).</w:t>
                        </w:r>
                      </w:p>
                    </w:tc>
                  </w:tr>
                </w:tbl>
                <w:p>
                  <w:pPr>
                    <w:pStyle w:val="BodyText"/>
                  </w:pPr>
                </w:p>
              </w:txbxContent>
            </v:textbox>
            <w10:wrap type="none"/>
          </v:shape>
        </w:pict>
      </w:r>
      <w:r>
        <w:rPr>
          <w:b/>
          <w:color w:val="EC5A4F"/>
          <w:w w:val="105"/>
          <w:sz w:val="24"/>
        </w:rPr>
        <w:t>95</w:t>
      </w:r>
    </w:p>
    <w:p>
      <w:pPr>
        <w:spacing w:after="0"/>
        <w:jc w:val="right"/>
        <w:rPr>
          <w:sz w:val="24"/>
        </w:rPr>
        <w:sectPr>
          <w:pgSz w:w="11910" w:h="16840"/>
          <w:pgMar w:header="805" w:footer="0" w:top="1360" w:bottom="280" w:left="0" w:right="0"/>
        </w:sectPr>
      </w:pPr>
    </w:p>
    <w:p>
      <w:pPr>
        <w:pStyle w:val="BodyText"/>
        <w:spacing w:before="12"/>
        <w:rPr>
          <w:b/>
          <w:sz w:val="23"/>
        </w:rPr>
      </w:pPr>
    </w:p>
    <w:p>
      <w:pPr>
        <w:pStyle w:val="ListParagraph"/>
        <w:numPr>
          <w:ilvl w:val="1"/>
          <w:numId w:val="22"/>
        </w:numPr>
        <w:tabs>
          <w:tab w:pos="2381" w:val="left" w:leader="none"/>
          <w:tab w:pos="2382" w:val="left" w:leader="none"/>
        </w:tabs>
        <w:spacing w:line="242" w:lineRule="auto" w:before="91" w:after="0"/>
        <w:ind w:left="2381" w:right="1914" w:hanging="794"/>
        <w:jc w:val="left"/>
        <w:rPr>
          <w:sz w:val="12"/>
        </w:rPr>
      </w:pPr>
      <w:r>
        <w:rPr>
          <w:w w:val="105"/>
          <w:sz w:val="21"/>
        </w:rPr>
        <w:t>The </w:t>
      </w:r>
      <w:r>
        <w:rPr>
          <w:spacing w:val="-3"/>
          <w:w w:val="105"/>
          <w:sz w:val="21"/>
        </w:rPr>
        <w:t>Koori </w:t>
      </w:r>
      <w:r>
        <w:rPr>
          <w:w w:val="105"/>
          <w:sz w:val="21"/>
        </w:rPr>
        <w:t>Justice Unit </w:t>
      </w:r>
      <w:r>
        <w:rPr>
          <w:spacing w:val="-3"/>
          <w:w w:val="105"/>
          <w:sz w:val="21"/>
        </w:rPr>
        <w:t>within </w:t>
      </w:r>
      <w:r>
        <w:rPr>
          <w:w w:val="105"/>
          <w:sz w:val="21"/>
        </w:rPr>
        <w:t>the Victorian Department of Justice </w:t>
      </w:r>
      <w:r>
        <w:rPr>
          <w:spacing w:val="-3"/>
          <w:w w:val="105"/>
          <w:sz w:val="21"/>
        </w:rPr>
        <w:t>coordinates </w:t>
      </w:r>
      <w:r>
        <w:rPr>
          <w:w w:val="105"/>
          <w:sz w:val="21"/>
        </w:rPr>
        <w:t>development</w:t>
      </w:r>
      <w:r>
        <w:rPr>
          <w:spacing w:val="-7"/>
          <w:w w:val="105"/>
          <w:sz w:val="21"/>
        </w:rPr>
        <w:t> </w:t>
      </w:r>
      <w:r>
        <w:rPr>
          <w:w w:val="105"/>
          <w:sz w:val="21"/>
        </w:rPr>
        <w:t>and</w:t>
      </w:r>
      <w:r>
        <w:rPr>
          <w:spacing w:val="-6"/>
          <w:w w:val="105"/>
          <w:sz w:val="21"/>
        </w:rPr>
        <w:t> </w:t>
      </w:r>
      <w:r>
        <w:rPr>
          <w:w w:val="105"/>
          <w:sz w:val="21"/>
        </w:rPr>
        <w:t>delivery</w:t>
      </w:r>
      <w:r>
        <w:rPr>
          <w:spacing w:val="-6"/>
          <w:w w:val="105"/>
          <w:sz w:val="21"/>
        </w:rPr>
        <w:t> </w:t>
      </w:r>
      <w:r>
        <w:rPr>
          <w:w w:val="105"/>
          <w:sz w:val="21"/>
        </w:rPr>
        <w:t>of</w:t>
      </w:r>
      <w:r>
        <w:rPr>
          <w:spacing w:val="-6"/>
          <w:w w:val="105"/>
          <w:sz w:val="21"/>
        </w:rPr>
        <w:t> </w:t>
      </w:r>
      <w:r>
        <w:rPr>
          <w:spacing w:val="-3"/>
          <w:w w:val="105"/>
          <w:sz w:val="21"/>
        </w:rPr>
        <w:t>Victoria’s</w:t>
      </w:r>
      <w:r>
        <w:rPr>
          <w:spacing w:val="-6"/>
          <w:w w:val="105"/>
          <w:sz w:val="21"/>
        </w:rPr>
        <w:t> </w:t>
      </w:r>
      <w:r>
        <w:rPr>
          <w:spacing w:val="-3"/>
          <w:w w:val="105"/>
          <w:sz w:val="21"/>
        </w:rPr>
        <w:t>Koori</w:t>
      </w:r>
      <w:r>
        <w:rPr>
          <w:spacing w:val="-33"/>
          <w:w w:val="105"/>
          <w:sz w:val="21"/>
        </w:rPr>
        <w:t> </w:t>
      </w:r>
      <w:r>
        <w:rPr>
          <w:w w:val="105"/>
          <w:position w:val="7"/>
          <w:sz w:val="12"/>
        </w:rPr>
        <w:t>299</w:t>
      </w:r>
      <w:r>
        <w:rPr>
          <w:spacing w:val="16"/>
          <w:w w:val="105"/>
          <w:position w:val="7"/>
          <w:sz w:val="12"/>
        </w:rPr>
        <w:t> </w:t>
      </w:r>
      <w:r>
        <w:rPr>
          <w:spacing w:val="-3"/>
          <w:w w:val="105"/>
          <w:sz w:val="21"/>
        </w:rPr>
        <w:t>justice</w:t>
      </w:r>
      <w:r>
        <w:rPr>
          <w:spacing w:val="-6"/>
          <w:w w:val="105"/>
          <w:sz w:val="21"/>
        </w:rPr>
        <w:t> </w:t>
      </w:r>
      <w:r>
        <w:rPr>
          <w:w w:val="105"/>
          <w:sz w:val="21"/>
        </w:rPr>
        <w:t>policies</w:t>
      </w:r>
      <w:r>
        <w:rPr>
          <w:spacing w:val="-6"/>
          <w:w w:val="105"/>
          <w:sz w:val="21"/>
        </w:rPr>
        <w:t> </w:t>
      </w:r>
      <w:r>
        <w:rPr>
          <w:w w:val="105"/>
          <w:sz w:val="21"/>
        </w:rPr>
        <w:t>and</w:t>
      </w:r>
      <w:r>
        <w:rPr>
          <w:spacing w:val="-6"/>
          <w:w w:val="105"/>
          <w:sz w:val="21"/>
        </w:rPr>
        <w:t> </w:t>
      </w:r>
      <w:r>
        <w:rPr>
          <w:spacing w:val="-3"/>
          <w:w w:val="105"/>
          <w:sz w:val="21"/>
        </w:rPr>
        <w:t>programs,</w:t>
      </w:r>
      <w:r>
        <w:rPr>
          <w:spacing w:val="-7"/>
          <w:w w:val="105"/>
          <w:sz w:val="21"/>
        </w:rPr>
        <w:t> </w:t>
      </w:r>
      <w:r>
        <w:rPr>
          <w:spacing w:val="-3"/>
          <w:w w:val="105"/>
          <w:sz w:val="21"/>
        </w:rPr>
        <w:t>including </w:t>
      </w:r>
      <w:r>
        <w:rPr>
          <w:w w:val="105"/>
          <w:sz w:val="21"/>
        </w:rPr>
        <w:t>the </w:t>
      </w:r>
      <w:r>
        <w:rPr>
          <w:spacing w:val="-3"/>
          <w:w w:val="105"/>
          <w:sz w:val="21"/>
        </w:rPr>
        <w:t>Aboriginal </w:t>
      </w:r>
      <w:r>
        <w:rPr>
          <w:w w:val="105"/>
          <w:sz w:val="21"/>
        </w:rPr>
        <w:t>Justice Agreement.</w:t>
      </w:r>
      <w:r>
        <w:rPr>
          <w:w w:val="105"/>
          <w:position w:val="7"/>
          <w:sz w:val="12"/>
        </w:rPr>
        <w:t>300 </w:t>
      </w:r>
      <w:r>
        <w:rPr>
          <w:w w:val="105"/>
          <w:sz w:val="21"/>
        </w:rPr>
        <w:t>The Unit </w:t>
      </w:r>
      <w:r>
        <w:rPr>
          <w:spacing w:val="-3"/>
          <w:w w:val="105"/>
          <w:sz w:val="21"/>
        </w:rPr>
        <w:t>promotes </w:t>
      </w:r>
      <w:r>
        <w:rPr>
          <w:w w:val="105"/>
          <w:sz w:val="21"/>
        </w:rPr>
        <w:t>the partnership between the Victorian </w:t>
      </w:r>
      <w:r>
        <w:rPr>
          <w:spacing w:val="-3"/>
          <w:w w:val="105"/>
          <w:sz w:val="21"/>
        </w:rPr>
        <w:t>Government </w:t>
      </w:r>
      <w:r>
        <w:rPr>
          <w:w w:val="105"/>
          <w:sz w:val="21"/>
        </w:rPr>
        <w:t>and </w:t>
      </w:r>
      <w:r>
        <w:rPr>
          <w:spacing w:val="-3"/>
          <w:w w:val="105"/>
          <w:sz w:val="21"/>
        </w:rPr>
        <w:t>Koori communities, </w:t>
      </w:r>
      <w:r>
        <w:rPr>
          <w:w w:val="105"/>
          <w:sz w:val="21"/>
        </w:rPr>
        <w:t>and establishes networks </w:t>
      </w:r>
      <w:r>
        <w:rPr>
          <w:spacing w:val="-3"/>
          <w:w w:val="105"/>
          <w:sz w:val="21"/>
        </w:rPr>
        <w:t>to facilitate </w:t>
      </w:r>
      <w:r>
        <w:rPr>
          <w:w w:val="105"/>
          <w:sz w:val="21"/>
        </w:rPr>
        <w:t>community engagement in </w:t>
      </w:r>
      <w:r>
        <w:rPr>
          <w:spacing w:val="-3"/>
          <w:w w:val="105"/>
          <w:sz w:val="21"/>
        </w:rPr>
        <w:t>Koori justice programs, </w:t>
      </w:r>
      <w:r>
        <w:rPr>
          <w:w w:val="105"/>
          <w:sz w:val="21"/>
        </w:rPr>
        <w:t>policies and</w:t>
      </w:r>
      <w:r>
        <w:rPr>
          <w:spacing w:val="20"/>
          <w:w w:val="105"/>
          <w:sz w:val="21"/>
        </w:rPr>
        <w:t> </w:t>
      </w:r>
      <w:r>
        <w:rPr>
          <w:spacing w:val="-3"/>
          <w:w w:val="105"/>
          <w:sz w:val="21"/>
        </w:rPr>
        <w:t>initiatives.</w:t>
      </w:r>
      <w:r>
        <w:rPr>
          <w:spacing w:val="-3"/>
          <w:w w:val="105"/>
          <w:position w:val="7"/>
          <w:sz w:val="12"/>
        </w:rPr>
        <w:t>301</w:t>
      </w:r>
    </w:p>
    <w:p>
      <w:pPr>
        <w:pStyle w:val="ListParagraph"/>
        <w:numPr>
          <w:ilvl w:val="1"/>
          <w:numId w:val="22"/>
        </w:numPr>
        <w:tabs>
          <w:tab w:pos="2380" w:val="left" w:leader="none"/>
          <w:tab w:pos="2381" w:val="left" w:leader="none"/>
        </w:tabs>
        <w:spacing w:line="242" w:lineRule="auto" w:before="126" w:after="0"/>
        <w:ind w:left="2381" w:right="1850" w:hanging="794"/>
        <w:jc w:val="left"/>
        <w:rPr>
          <w:sz w:val="12"/>
        </w:rPr>
      </w:pPr>
      <w:r>
        <w:rPr>
          <w:sz w:val="21"/>
        </w:rPr>
        <w:t>An </w:t>
      </w:r>
      <w:r>
        <w:rPr>
          <w:spacing w:val="-3"/>
          <w:sz w:val="21"/>
        </w:rPr>
        <w:t>Aboriginal </w:t>
      </w:r>
      <w:r>
        <w:rPr>
          <w:sz w:val="21"/>
        </w:rPr>
        <w:t>Justice Forum meets at least three times per </w:t>
      </w:r>
      <w:r>
        <w:rPr>
          <w:spacing w:val="-5"/>
          <w:sz w:val="21"/>
        </w:rPr>
        <w:t>year, </w:t>
      </w:r>
      <w:r>
        <w:rPr>
          <w:sz w:val="21"/>
        </w:rPr>
        <w:t>and </w:t>
      </w:r>
      <w:r>
        <w:rPr>
          <w:spacing w:val="-3"/>
          <w:sz w:val="21"/>
        </w:rPr>
        <w:t>brings </w:t>
      </w:r>
      <w:r>
        <w:rPr>
          <w:sz w:val="21"/>
        </w:rPr>
        <w:t>together senior representatives of the </w:t>
      </w:r>
      <w:r>
        <w:rPr>
          <w:spacing w:val="-3"/>
          <w:sz w:val="21"/>
        </w:rPr>
        <w:t>Koori Community </w:t>
      </w:r>
      <w:r>
        <w:rPr>
          <w:sz w:val="21"/>
        </w:rPr>
        <w:t>and the </w:t>
      </w:r>
      <w:r>
        <w:rPr>
          <w:spacing w:val="-3"/>
          <w:sz w:val="21"/>
        </w:rPr>
        <w:t>Justice, Human </w:t>
      </w:r>
      <w:r>
        <w:rPr>
          <w:sz w:val="21"/>
        </w:rPr>
        <w:t>Services, Health and </w:t>
      </w:r>
      <w:r>
        <w:rPr>
          <w:spacing w:val="-3"/>
          <w:sz w:val="21"/>
        </w:rPr>
        <w:t>Education government </w:t>
      </w:r>
      <w:r>
        <w:rPr>
          <w:sz w:val="21"/>
        </w:rPr>
        <w:t>portfolios.</w:t>
      </w:r>
      <w:r>
        <w:rPr>
          <w:position w:val="7"/>
          <w:sz w:val="12"/>
        </w:rPr>
        <w:t>302 </w:t>
      </w:r>
      <w:r>
        <w:rPr>
          <w:sz w:val="21"/>
        </w:rPr>
        <w:t>There </w:t>
      </w:r>
      <w:r>
        <w:rPr>
          <w:spacing w:val="-3"/>
          <w:sz w:val="21"/>
        </w:rPr>
        <w:t>are </w:t>
      </w:r>
      <w:r>
        <w:rPr>
          <w:sz w:val="21"/>
        </w:rPr>
        <w:t>also </w:t>
      </w:r>
      <w:r>
        <w:rPr>
          <w:spacing w:val="-3"/>
          <w:sz w:val="21"/>
        </w:rPr>
        <w:t>nine Regional Aboriginal </w:t>
      </w:r>
      <w:r>
        <w:rPr>
          <w:sz w:val="21"/>
        </w:rPr>
        <w:t>Justice Advisory </w:t>
      </w:r>
      <w:r>
        <w:rPr>
          <w:spacing w:val="-3"/>
          <w:sz w:val="21"/>
        </w:rPr>
        <w:t>Committees, </w:t>
      </w:r>
      <w:r>
        <w:rPr>
          <w:sz w:val="21"/>
        </w:rPr>
        <w:t>which </w:t>
      </w:r>
      <w:r>
        <w:rPr>
          <w:spacing w:val="-3"/>
          <w:sz w:val="21"/>
        </w:rPr>
        <w:t>form </w:t>
      </w:r>
      <w:r>
        <w:rPr>
          <w:sz w:val="21"/>
        </w:rPr>
        <w:t>a network </w:t>
      </w:r>
      <w:r>
        <w:rPr>
          <w:spacing w:val="-3"/>
          <w:sz w:val="21"/>
        </w:rPr>
        <w:t>that </w:t>
      </w:r>
      <w:r>
        <w:rPr>
          <w:spacing w:val="-2"/>
          <w:sz w:val="21"/>
        </w:rPr>
        <w:t>has </w:t>
      </w:r>
      <w:r>
        <w:rPr>
          <w:sz w:val="21"/>
        </w:rPr>
        <w:t>a number of </w:t>
      </w:r>
      <w:r>
        <w:rPr>
          <w:spacing w:val="-3"/>
          <w:sz w:val="21"/>
        </w:rPr>
        <w:t>responsibilities, including to </w:t>
      </w:r>
      <w:r>
        <w:rPr>
          <w:sz w:val="21"/>
        </w:rPr>
        <w:t>advocate </w:t>
      </w:r>
      <w:r>
        <w:rPr>
          <w:spacing w:val="-3"/>
          <w:sz w:val="21"/>
        </w:rPr>
        <w:t>for </w:t>
      </w:r>
      <w:r>
        <w:rPr>
          <w:sz w:val="21"/>
        </w:rPr>
        <w:t>and </w:t>
      </w:r>
      <w:r>
        <w:rPr>
          <w:spacing w:val="-3"/>
          <w:sz w:val="21"/>
        </w:rPr>
        <w:t>promote improved justice outcomes </w:t>
      </w:r>
      <w:r>
        <w:rPr>
          <w:sz w:val="21"/>
        </w:rPr>
        <w:t>and </w:t>
      </w:r>
      <w:r>
        <w:rPr>
          <w:spacing w:val="-3"/>
          <w:sz w:val="21"/>
        </w:rPr>
        <w:t>Koori justice initiatives</w:t>
      </w:r>
      <w:r>
        <w:rPr>
          <w:spacing w:val="12"/>
          <w:sz w:val="21"/>
        </w:rPr>
        <w:t> </w:t>
      </w:r>
      <w:r>
        <w:rPr>
          <w:spacing w:val="-3"/>
          <w:sz w:val="21"/>
        </w:rPr>
        <w:t>to</w:t>
      </w:r>
      <w:r>
        <w:rPr>
          <w:spacing w:val="13"/>
          <w:sz w:val="21"/>
        </w:rPr>
        <w:t> </w:t>
      </w:r>
      <w:r>
        <w:rPr>
          <w:sz w:val="21"/>
        </w:rPr>
        <w:t>both</w:t>
      </w:r>
      <w:r>
        <w:rPr>
          <w:spacing w:val="13"/>
          <w:sz w:val="21"/>
        </w:rPr>
        <w:t> </w:t>
      </w:r>
      <w:r>
        <w:rPr>
          <w:spacing w:val="-3"/>
          <w:sz w:val="21"/>
        </w:rPr>
        <w:t>Koori</w:t>
      </w:r>
      <w:r>
        <w:rPr>
          <w:spacing w:val="13"/>
          <w:sz w:val="21"/>
        </w:rPr>
        <w:t> </w:t>
      </w:r>
      <w:r>
        <w:rPr>
          <w:spacing w:val="-3"/>
          <w:sz w:val="21"/>
        </w:rPr>
        <w:t>communities</w:t>
      </w:r>
      <w:r>
        <w:rPr>
          <w:spacing w:val="13"/>
          <w:sz w:val="21"/>
        </w:rPr>
        <w:t> </w:t>
      </w:r>
      <w:r>
        <w:rPr>
          <w:sz w:val="21"/>
        </w:rPr>
        <w:t>and</w:t>
      </w:r>
      <w:r>
        <w:rPr>
          <w:spacing w:val="13"/>
          <w:sz w:val="21"/>
        </w:rPr>
        <w:t> </w:t>
      </w:r>
      <w:r>
        <w:rPr>
          <w:spacing w:val="-3"/>
          <w:sz w:val="21"/>
        </w:rPr>
        <w:t>government</w:t>
      </w:r>
      <w:r>
        <w:rPr>
          <w:spacing w:val="12"/>
          <w:sz w:val="21"/>
        </w:rPr>
        <w:t> </w:t>
      </w:r>
      <w:r>
        <w:rPr>
          <w:sz w:val="21"/>
        </w:rPr>
        <w:t>agencies.</w:t>
      </w:r>
      <w:r>
        <w:rPr>
          <w:position w:val="7"/>
          <w:sz w:val="12"/>
        </w:rPr>
        <w:t>303</w:t>
      </w:r>
    </w:p>
    <w:p>
      <w:pPr>
        <w:pStyle w:val="ListParagraph"/>
        <w:numPr>
          <w:ilvl w:val="1"/>
          <w:numId w:val="22"/>
        </w:numPr>
        <w:tabs>
          <w:tab w:pos="2381" w:val="left" w:leader="none"/>
          <w:tab w:pos="2382" w:val="left" w:leader="none"/>
        </w:tabs>
        <w:spacing w:line="242" w:lineRule="auto" w:before="126" w:after="0"/>
        <w:ind w:left="2381" w:right="1709" w:hanging="794"/>
        <w:jc w:val="left"/>
        <w:rPr>
          <w:sz w:val="21"/>
        </w:rPr>
      </w:pPr>
      <w:r>
        <w:rPr>
          <w:w w:val="105"/>
          <w:sz w:val="21"/>
        </w:rPr>
        <w:t>The </w:t>
      </w:r>
      <w:r>
        <w:rPr>
          <w:spacing w:val="-3"/>
          <w:w w:val="105"/>
          <w:sz w:val="21"/>
        </w:rPr>
        <w:t>Commission </w:t>
      </w:r>
      <w:r>
        <w:rPr>
          <w:w w:val="105"/>
          <w:sz w:val="21"/>
        </w:rPr>
        <w:t>considers </w:t>
      </w:r>
      <w:r>
        <w:rPr>
          <w:spacing w:val="-3"/>
          <w:w w:val="105"/>
          <w:sz w:val="21"/>
        </w:rPr>
        <w:t>that </w:t>
      </w:r>
      <w:r>
        <w:rPr>
          <w:w w:val="105"/>
          <w:sz w:val="21"/>
        </w:rPr>
        <w:t>this important work should be furthered and </w:t>
      </w:r>
      <w:r>
        <w:rPr>
          <w:spacing w:val="-3"/>
          <w:w w:val="105"/>
          <w:sz w:val="21"/>
        </w:rPr>
        <w:t>built upon, </w:t>
      </w:r>
      <w:r>
        <w:rPr>
          <w:w w:val="105"/>
          <w:sz w:val="21"/>
        </w:rPr>
        <w:t>and </w:t>
      </w:r>
      <w:r>
        <w:rPr>
          <w:spacing w:val="-3"/>
          <w:w w:val="105"/>
          <w:sz w:val="21"/>
        </w:rPr>
        <w:t>that </w:t>
      </w:r>
      <w:r>
        <w:rPr>
          <w:w w:val="105"/>
          <w:sz w:val="21"/>
        </w:rPr>
        <w:t>the Department of </w:t>
      </w:r>
      <w:r>
        <w:rPr>
          <w:spacing w:val="-3"/>
          <w:w w:val="105"/>
          <w:sz w:val="21"/>
        </w:rPr>
        <w:t>Justice, through </w:t>
      </w:r>
      <w:r>
        <w:rPr>
          <w:w w:val="105"/>
          <w:sz w:val="21"/>
        </w:rPr>
        <w:t>the </w:t>
      </w:r>
      <w:r>
        <w:rPr>
          <w:spacing w:val="-3"/>
          <w:w w:val="105"/>
          <w:sz w:val="21"/>
        </w:rPr>
        <w:t>Koori </w:t>
      </w:r>
      <w:r>
        <w:rPr>
          <w:w w:val="105"/>
          <w:sz w:val="21"/>
        </w:rPr>
        <w:t>Justice Unit, the </w:t>
      </w:r>
      <w:r>
        <w:rPr>
          <w:spacing w:val="-3"/>
          <w:w w:val="105"/>
          <w:sz w:val="21"/>
        </w:rPr>
        <w:t>Aboriginal </w:t>
      </w:r>
      <w:r>
        <w:rPr>
          <w:w w:val="105"/>
          <w:sz w:val="21"/>
        </w:rPr>
        <w:t>Justice Forum and </w:t>
      </w:r>
      <w:r>
        <w:rPr>
          <w:spacing w:val="-3"/>
          <w:w w:val="105"/>
          <w:sz w:val="21"/>
        </w:rPr>
        <w:t>relevant </w:t>
      </w:r>
      <w:r>
        <w:rPr>
          <w:w w:val="105"/>
          <w:sz w:val="21"/>
        </w:rPr>
        <w:t>networks, should conduct further </w:t>
      </w:r>
      <w:r>
        <w:rPr>
          <w:spacing w:val="-3"/>
          <w:w w:val="105"/>
          <w:sz w:val="21"/>
        </w:rPr>
        <w:t>consultation </w:t>
      </w:r>
      <w:r>
        <w:rPr>
          <w:w w:val="105"/>
          <w:sz w:val="21"/>
        </w:rPr>
        <w:t>in </w:t>
      </w:r>
      <w:r>
        <w:rPr>
          <w:spacing w:val="-3"/>
          <w:w w:val="105"/>
          <w:sz w:val="21"/>
        </w:rPr>
        <w:t>relation to </w:t>
      </w:r>
      <w:r>
        <w:rPr>
          <w:w w:val="105"/>
          <w:sz w:val="21"/>
        </w:rPr>
        <w:t>the </w:t>
      </w:r>
      <w:r>
        <w:rPr>
          <w:spacing w:val="-3"/>
          <w:w w:val="105"/>
          <w:sz w:val="21"/>
        </w:rPr>
        <w:t>intestate </w:t>
      </w:r>
      <w:r>
        <w:rPr>
          <w:w w:val="105"/>
          <w:sz w:val="21"/>
        </w:rPr>
        <w:t>estates of Indigenous people. </w:t>
      </w:r>
      <w:r>
        <w:rPr>
          <w:spacing w:val="-3"/>
          <w:w w:val="105"/>
          <w:sz w:val="21"/>
        </w:rPr>
        <w:t>Such consultation </w:t>
      </w:r>
      <w:r>
        <w:rPr>
          <w:w w:val="105"/>
          <w:sz w:val="21"/>
        </w:rPr>
        <w:t>should be undertaken</w:t>
      </w:r>
      <w:r>
        <w:rPr>
          <w:spacing w:val="-30"/>
          <w:w w:val="105"/>
          <w:sz w:val="21"/>
        </w:rPr>
        <w:t> </w:t>
      </w:r>
      <w:r>
        <w:rPr>
          <w:w w:val="105"/>
          <w:sz w:val="21"/>
        </w:rPr>
        <w:t>with</w:t>
      </w:r>
    </w:p>
    <w:p>
      <w:pPr>
        <w:pStyle w:val="BodyText"/>
        <w:spacing w:line="242" w:lineRule="auto" w:before="4"/>
        <w:ind w:left="2381" w:right="2162"/>
      </w:pPr>
      <w:r>
        <w:rPr>
          <w:w w:val="105"/>
        </w:rPr>
        <w:t>the </w:t>
      </w:r>
      <w:r>
        <w:rPr>
          <w:spacing w:val="-3"/>
          <w:w w:val="105"/>
        </w:rPr>
        <w:t>aim </w:t>
      </w:r>
      <w:r>
        <w:rPr>
          <w:w w:val="105"/>
        </w:rPr>
        <w:t>of </w:t>
      </w:r>
      <w:r>
        <w:rPr>
          <w:spacing w:val="-3"/>
          <w:w w:val="105"/>
        </w:rPr>
        <w:t>devising </w:t>
      </w:r>
      <w:r>
        <w:rPr>
          <w:w w:val="105"/>
        </w:rPr>
        <w:t>an </w:t>
      </w:r>
      <w:r>
        <w:rPr>
          <w:spacing w:val="-3"/>
          <w:w w:val="105"/>
        </w:rPr>
        <w:t>appropriate </w:t>
      </w:r>
      <w:r>
        <w:rPr>
          <w:w w:val="105"/>
        </w:rPr>
        <w:t>intestacy scheme </w:t>
      </w:r>
      <w:r>
        <w:rPr>
          <w:spacing w:val="-3"/>
          <w:w w:val="105"/>
        </w:rPr>
        <w:t>that </w:t>
      </w:r>
      <w:r>
        <w:rPr>
          <w:w w:val="105"/>
        </w:rPr>
        <w:t>is tailored </w:t>
      </w:r>
      <w:r>
        <w:rPr>
          <w:spacing w:val="-3"/>
          <w:w w:val="105"/>
        </w:rPr>
        <w:t>to </w:t>
      </w:r>
      <w:r>
        <w:rPr>
          <w:w w:val="105"/>
        </w:rPr>
        <w:t>the needs of Indigenous </w:t>
      </w:r>
      <w:r>
        <w:rPr>
          <w:spacing w:val="-3"/>
          <w:w w:val="105"/>
        </w:rPr>
        <w:t>communities </w:t>
      </w:r>
      <w:r>
        <w:rPr>
          <w:w w:val="105"/>
        </w:rPr>
        <w:t>in Victoria.</w:t>
      </w:r>
    </w:p>
    <w:p>
      <w:pPr>
        <w:pStyle w:val="BodyText"/>
        <w:rPr>
          <w:sz w:val="15"/>
        </w:rPr>
      </w:pPr>
      <w:r>
        <w:rPr/>
        <w:pict>
          <v:group style="position:absolute;margin-left:62.362202pt;margin-top:11.126451pt;width:479.1pt;height:122.55pt;mso-position-horizontal-relative:page;mso-position-vertical-relative:paragraph;z-index:6368;mso-wrap-distance-left:0;mso-wrap-distance-right:0" coordorigin="1247,223" coordsize="9582,2451">
            <v:rect style="position:absolute;left:1587;top:222;width:8731;height:2451" filled="true" fillcolor="#fdebea" stroked="false">
              <v:fill type="solid"/>
            </v:rect>
            <v:line style="position:absolute" from="1247,973" to="10828,973" stroked="true" strokeweight="2.5pt" strokecolor="#ffffff">
              <v:stroke dashstyle="solid"/>
            </v:line>
            <v:shape style="position:absolute;left:2381;top:1210;width:7718;height:1289" type="#_x0000_t202" filled="false" stroked="false">
              <v:textbox inset="0,0,0,0">
                <w:txbxContent>
                  <w:p>
                    <w:pPr>
                      <w:spacing w:line="242" w:lineRule="auto" w:before="0"/>
                      <w:ind w:left="0" w:right="-19" w:firstLine="0"/>
                      <w:jc w:val="left"/>
                      <w:rPr>
                        <w:sz w:val="21"/>
                      </w:rPr>
                    </w:pPr>
                    <w:r>
                      <w:rPr>
                        <w:w w:val="115"/>
                        <w:sz w:val="21"/>
                      </w:rPr>
                      <w:t>The Attorney-General should have the Department of Justice prepare a report about the distribution of the intestate estates of Indigenous people in Victoria, including the need for any legislative reform. This report should build on the work of the National Committee for Uniform Succession Laws and the findings of the Commission, and be based on further community consultation.</w:t>
                    </w:r>
                  </w:p>
                </w:txbxContent>
              </v:textbox>
              <w10:wrap type="none"/>
            </v:shape>
            <v:shape style="position:absolute;left:1814;top:1210;width:254;height:249" type="#_x0000_t202" filled="false" stroked="false">
              <v:textbox inset="0,0,0,0">
                <w:txbxContent>
                  <w:p>
                    <w:pPr>
                      <w:spacing w:line="249" w:lineRule="exact" w:before="0"/>
                      <w:ind w:left="0" w:right="0" w:firstLine="0"/>
                      <w:jc w:val="left"/>
                      <w:rPr>
                        <w:sz w:val="21"/>
                      </w:rPr>
                    </w:pPr>
                    <w:r>
                      <w:rPr>
                        <w:w w:val="110"/>
                        <w:sz w:val="21"/>
                      </w:rPr>
                      <w:t>36</w:t>
                    </w:r>
                  </w:p>
                </w:txbxContent>
              </v:textbox>
              <w10:wrap type="none"/>
            </v:shape>
            <v:shape style="position:absolute;left:1587;top:222;width:8731;height:726" type="#_x0000_t202" filled="true" fillcolor="#fdebea" stroked="false">
              <v:textbox inset="0,0,0,0">
                <w:txbxContent>
                  <w:p>
                    <w:pPr>
                      <w:spacing w:before="166"/>
                      <w:ind w:left="226" w:right="0" w:firstLine="0"/>
                      <w:jc w:val="left"/>
                      <w:rPr>
                        <w:b/>
                        <w:sz w:val="32"/>
                      </w:rPr>
                    </w:pPr>
                    <w:r>
                      <w:rPr>
                        <w:b/>
                        <w:color w:val="EC5A4F"/>
                        <w:w w:val="110"/>
                        <w:sz w:val="32"/>
                      </w:rPr>
                      <w:t>Recommendation</w:t>
                    </w:r>
                  </w:p>
                </w:txbxContent>
              </v:textbox>
              <v:fill type="solid"/>
              <w10:wrap type="none"/>
            </v:shap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9"/>
        </w:rPr>
      </w:pPr>
      <w:r>
        <w:rPr/>
        <w:pict>
          <v:line style="position:absolute;mso-position-horizontal-relative:page;mso-position-vertical-relative:paragraph;z-index:6392;mso-wrap-distance-left:0;mso-wrap-distance-right:0" from="79.370102pt,14.544406pt" to="515.905102pt,14.544406pt" stroked="true" strokeweight="1pt" strokecolor="#f9ceca">
            <v:stroke dashstyle="solid"/>
            <w10:wrap type="topAndBottom"/>
          </v:line>
        </w:pict>
      </w:r>
    </w:p>
    <w:p>
      <w:pPr>
        <w:pStyle w:val="ListParagraph"/>
        <w:numPr>
          <w:ilvl w:val="0"/>
          <w:numId w:val="77"/>
        </w:numPr>
        <w:tabs>
          <w:tab w:pos="2380" w:val="left" w:leader="none"/>
          <w:tab w:pos="2382" w:val="left" w:leader="none"/>
        </w:tabs>
        <w:spacing w:line="240" w:lineRule="auto" w:before="117" w:after="0"/>
        <w:ind w:left="2381" w:right="1651" w:hanging="794"/>
        <w:jc w:val="left"/>
        <w:rPr>
          <w:sz w:val="13"/>
        </w:rPr>
      </w:pPr>
      <w:r>
        <w:rPr>
          <w:sz w:val="13"/>
        </w:rPr>
        <w:t>‘Koori’ is the  preferred  term  for  use  in  relation  to  the  Victorian  Aboriginal  Justice  Agreement  and  all  related  </w:t>
      </w:r>
      <w:r>
        <w:rPr>
          <w:spacing w:val="2"/>
          <w:sz w:val="13"/>
        </w:rPr>
        <w:t>reports,  </w:t>
      </w:r>
      <w:r>
        <w:rPr>
          <w:sz w:val="13"/>
        </w:rPr>
        <w:t>policies,  programs and initiatives: Department of Justice, Victoria, </w:t>
      </w:r>
      <w:r>
        <w:rPr>
          <w:i/>
          <w:sz w:val="13"/>
        </w:rPr>
        <w:t>Victorian Aboriginal Justice Agreement Phase 3 </w:t>
      </w:r>
      <w:r>
        <w:rPr>
          <w:i/>
          <w:spacing w:val="2"/>
          <w:sz w:val="13"/>
        </w:rPr>
        <w:t>(AJA3): </w:t>
      </w:r>
      <w:r>
        <w:rPr>
          <w:i/>
          <w:sz w:val="13"/>
        </w:rPr>
        <w:t>A Partnership between the Victorian </w:t>
      </w:r>
      <w:r>
        <w:rPr>
          <w:i/>
          <w:sz w:val="13"/>
        </w:rPr>
        <w:t>Government and Koori Community </w:t>
      </w:r>
      <w:r>
        <w:rPr>
          <w:sz w:val="13"/>
        </w:rPr>
        <w:t>(2013) 7 (‘</w:t>
      </w:r>
      <w:r>
        <w:rPr>
          <w:i/>
          <w:sz w:val="13"/>
        </w:rPr>
        <w:t>Victorian Aboriginal Justice Agreement Phase</w:t>
      </w:r>
      <w:r>
        <w:rPr>
          <w:i/>
          <w:spacing w:val="5"/>
          <w:sz w:val="13"/>
        </w:rPr>
        <w:t> </w:t>
      </w:r>
      <w:r>
        <w:rPr>
          <w:i/>
          <w:spacing w:val="4"/>
          <w:sz w:val="13"/>
        </w:rPr>
        <w:t>3</w:t>
      </w:r>
      <w:r>
        <w:rPr>
          <w:spacing w:val="4"/>
          <w:sz w:val="13"/>
        </w:rPr>
        <w:t>’).</w:t>
      </w:r>
    </w:p>
    <w:p>
      <w:pPr>
        <w:pStyle w:val="ListParagraph"/>
        <w:numPr>
          <w:ilvl w:val="0"/>
          <w:numId w:val="77"/>
        </w:numPr>
        <w:tabs>
          <w:tab w:pos="2380" w:val="left" w:leader="none"/>
          <w:tab w:pos="2381" w:val="left" w:leader="none"/>
        </w:tabs>
        <w:spacing w:line="240" w:lineRule="auto" w:before="4" w:after="0"/>
        <w:ind w:left="2380" w:right="1846" w:hanging="793"/>
        <w:jc w:val="left"/>
        <w:rPr>
          <w:sz w:val="13"/>
        </w:rPr>
      </w:pPr>
      <w:r>
        <w:rPr>
          <w:w w:val="105"/>
          <w:sz w:val="13"/>
        </w:rPr>
        <w:t>The Victorian Aboriginal Justice Agreement was developed by the Victorian Government, the Victorian Aboriginal Justice Advisory Committee, the Aboriginal and Torres Strait Islander Commission and the Aboriginal community, with the aim of maximising Aboriginal participation in the development of policies and programs in all areas of the justice </w:t>
      </w:r>
      <w:r>
        <w:rPr>
          <w:spacing w:val="2"/>
          <w:w w:val="105"/>
          <w:sz w:val="13"/>
        </w:rPr>
        <w:t>system: </w:t>
      </w:r>
      <w:r>
        <w:rPr>
          <w:w w:val="105"/>
          <w:sz w:val="13"/>
        </w:rPr>
        <w:t>Department of Justice, Victoria, </w:t>
      </w:r>
      <w:r>
        <w:rPr>
          <w:i/>
          <w:w w:val="105"/>
          <w:sz w:val="13"/>
        </w:rPr>
        <w:t>Victorian </w:t>
      </w:r>
      <w:r>
        <w:rPr>
          <w:i/>
          <w:w w:val="105"/>
          <w:sz w:val="13"/>
        </w:rPr>
        <w:t>Aboriginal</w:t>
      </w:r>
      <w:r>
        <w:rPr>
          <w:i/>
          <w:spacing w:val="5"/>
          <w:w w:val="105"/>
          <w:sz w:val="13"/>
        </w:rPr>
        <w:t> </w:t>
      </w:r>
      <w:r>
        <w:rPr>
          <w:i/>
          <w:w w:val="105"/>
          <w:sz w:val="13"/>
        </w:rPr>
        <w:t>Justice</w:t>
      </w:r>
      <w:r>
        <w:rPr>
          <w:i/>
          <w:spacing w:val="6"/>
          <w:w w:val="105"/>
          <w:sz w:val="13"/>
        </w:rPr>
        <w:t> </w:t>
      </w:r>
      <w:r>
        <w:rPr>
          <w:i/>
          <w:w w:val="105"/>
          <w:sz w:val="13"/>
        </w:rPr>
        <w:t>Agreement</w:t>
      </w:r>
      <w:r>
        <w:rPr>
          <w:i/>
          <w:spacing w:val="6"/>
          <w:w w:val="105"/>
          <w:sz w:val="13"/>
        </w:rPr>
        <w:t> </w:t>
      </w:r>
      <w:r>
        <w:rPr>
          <w:i/>
          <w:w w:val="105"/>
          <w:sz w:val="13"/>
        </w:rPr>
        <w:t>Phase</w:t>
      </w:r>
      <w:r>
        <w:rPr>
          <w:i/>
          <w:spacing w:val="6"/>
          <w:w w:val="105"/>
          <w:sz w:val="13"/>
        </w:rPr>
        <w:t> </w:t>
      </w:r>
      <w:r>
        <w:rPr>
          <w:i/>
          <w:w w:val="105"/>
          <w:sz w:val="13"/>
        </w:rPr>
        <w:t>1</w:t>
      </w:r>
      <w:r>
        <w:rPr>
          <w:i/>
          <w:spacing w:val="6"/>
          <w:w w:val="105"/>
          <w:sz w:val="13"/>
        </w:rPr>
        <w:t> </w:t>
      </w:r>
      <w:r>
        <w:rPr>
          <w:i/>
          <w:w w:val="105"/>
          <w:sz w:val="13"/>
        </w:rPr>
        <w:t>(AJA1):</w:t>
      </w:r>
      <w:r>
        <w:rPr>
          <w:i/>
          <w:spacing w:val="5"/>
          <w:w w:val="105"/>
          <w:sz w:val="13"/>
        </w:rPr>
        <w:t> </w:t>
      </w:r>
      <w:r>
        <w:rPr>
          <w:i/>
          <w:w w:val="105"/>
          <w:sz w:val="13"/>
        </w:rPr>
        <w:t>A</w:t>
      </w:r>
      <w:r>
        <w:rPr>
          <w:i/>
          <w:spacing w:val="6"/>
          <w:w w:val="105"/>
          <w:sz w:val="13"/>
        </w:rPr>
        <w:t> </w:t>
      </w:r>
      <w:r>
        <w:rPr>
          <w:i/>
          <w:w w:val="105"/>
          <w:sz w:val="13"/>
        </w:rPr>
        <w:t>Partnership</w:t>
      </w:r>
      <w:r>
        <w:rPr>
          <w:i/>
          <w:spacing w:val="6"/>
          <w:w w:val="105"/>
          <w:sz w:val="13"/>
        </w:rPr>
        <w:t> </w:t>
      </w:r>
      <w:r>
        <w:rPr>
          <w:i/>
          <w:w w:val="105"/>
          <w:sz w:val="13"/>
        </w:rPr>
        <w:t>between</w:t>
      </w:r>
      <w:r>
        <w:rPr>
          <w:i/>
          <w:spacing w:val="6"/>
          <w:w w:val="105"/>
          <w:sz w:val="13"/>
        </w:rPr>
        <w:t> </w:t>
      </w:r>
      <w:r>
        <w:rPr>
          <w:i/>
          <w:w w:val="105"/>
          <w:sz w:val="13"/>
        </w:rPr>
        <w:t>the</w:t>
      </w:r>
      <w:r>
        <w:rPr>
          <w:i/>
          <w:spacing w:val="5"/>
          <w:w w:val="105"/>
          <w:sz w:val="13"/>
        </w:rPr>
        <w:t> </w:t>
      </w:r>
      <w:r>
        <w:rPr>
          <w:i/>
          <w:w w:val="105"/>
          <w:sz w:val="13"/>
        </w:rPr>
        <w:t>Victorian</w:t>
      </w:r>
      <w:r>
        <w:rPr>
          <w:i/>
          <w:spacing w:val="6"/>
          <w:w w:val="105"/>
          <w:sz w:val="13"/>
        </w:rPr>
        <w:t> </w:t>
      </w:r>
      <w:r>
        <w:rPr>
          <w:i/>
          <w:w w:val="105"/>
          <w:sz w:val="13"/>
        </w:rPr>
        <w:t>Government</w:t>
      </w:r>
      <w:r>
        <w:rPr>
          <w:i/>
          <w:spacing w:val="6"/>
          <w:w w:val="105"/>
          <w:sz w:val="13"/>
        </w:rPr>
        <w:t> </w:t>
      </w:r>
      <w:r>
        <w:rPr>
          <w:i/>
          <w:w w:val="105"/>
          <w:sz w:val="13"/>
        </w:rPr>
        <w:t>and</w:t>
      </w:r>
      <w:r>
        <w:rPr>
          <w:i/>
          <w:spacing w:val="6"/>
          <w:w w:val="105"/>
          <w:sz w:val="13"/>
        </w:rPr>
        <w:t> </w:t>
      </w:r>
      <w:r>
        <w:rPr>
          <w:i/>
          <w:w w:val="105"/>
          <w:sz w:val="13"/>
        </w:rPr>
        <w:t>Koori</w:t>
      </w:r>
      <w:r>
        <w:rPr>
          <w:i/>
          <w:spacing w:val="6"/>
          <w:w w:val="105"/>
          <w:sz w:val="13"/>
        </w:rPr>
        <w:t> </w:t>
      </w:r>
      <w:r>
        <w:rPr>
          <w:i/>
          <w:w w:val="105"/>
          <w:sz w:val="13"/>
        </w:rPr>
        <w:t>Community</w:t>
      </w:r>
      <w:r>
        <w:rPr>
          <w:i/>
          <w:spacing w:val="7"/>
          <w:w w:val="105"/>
          <w:sz w:val="13"/>
        </w:rPr>
        <w:t> </w:t>
      </w:r>
      <w:r>
        <w:rPr>
          <w:spacing w:val="2"/>
          <w:w w:val="105"/>
          <w:sz w:val="13"/>
        </w:rPr>
        <w:t>(2004)</w:t>
      </w:r>
      <w:r>
        <w:rPr>
          <w:spacing w:val="6"/>
          <w:w w:val="105"/>
          <w:sz w:val="13"/>
        </w:rPr>
        <w:t> </w:t>
      </w:r>
      <w:r>
        <w:rPr>
          <w:w w:val="105"/>
          <w:sz w:val="13"/>
        </w:rPr>
        <w:t>3.</w:t>
      </w:r>
    </w:p>
    <w:p>
      <w:pPr>
        <w:spacing w:before="5"/>
        <w:ind w:left="2380" w:right="0" w:firstLine="0"/>
        <w:jc w:val="left"/>
        <w:rPr>
          <w:sz w:val="13"/>
        </w:rPr>
      </w:pPr>
      <w:r>
        <w:rPr>
          <w:w w:val="105"/>
          <w:sz w:val="13"/>
        </w:rPr>
        <w:t>Phase 2 was launched in 2006 and Phase 3 in 2013.</w:t>
      </w:r>
    </w:p>
    <w:p>
      <w:pPr>
        <w:pStyle w:val="ListParagraph"/>
        <w:numPr>
          <w:ilvl w:val="0"/>
          <w:numId w:val="77"/>
        </w:numPr>
        <w:tabs>
          <w:tab w:pos="2380" w:val="left" w:leader="none"/>
          <w:tab w:pos="2382" w:val="left" w:leader="none"/>
        </w:tabs>
        <w:spacing w:line="240" w:lineRule="auto" w:before="2" w:after="0"/>
        <w:ind w:left="2381" w:right="0" w:hanging="794"/>
        <w:jc w:val="left"/>
        <w:rPr>
          <w:sz w:val="13"/>
        </w:rPr>
      </w:pPr>
      <w:r>
        <w:rPr>
          <w:w w:val="105"/>
          <w:sz w:val="13"/>
        </w:rPr>
        <w:t>Department of Justice, Victoria, </w:t>
      </w:r>
      <w:r>
        <w:rPr>
          <w:i/>
          <w:w w:val="105"/>
          <w:sz w:val="13"/>
        </w:rPr>
        <w:t>Koori Justice Unit</w:t>
      </w:r>
      <w:r>
        <w:rPr>
          <w:i/>
          <w:spacing w:val="24"/>
          <w:w w:val="105"/>
          <w:sz w:val="13"/>
        </w:rPr>
        <w:t> </w:t>
      </w:r>
      <w:r>
        <w:rPr>
          <w:spacing w:val="2"/>
          <w:w w:val="105"/>
          <w:sz w:val="13"/>
        </w:rPr>
        <w:t>&lt;</w:t>
      </w:r>
      <w:hyperlink r:id="rId88">
        <w:r>
          <w:rPr>
            <w:spacing w:val="2"/>
            <w:w w:val="105"/>
            <w:sz w:val="13"/>
          </w:rPr>
          <w:t>http://www.justice.vic.gov.au/utility/contact+us/koori+justice+unit.shtml</w:t>
        </w:r>
      </w:hyperlink>
      <w:r>
        <w:rPr>
          <w:spacing w:val="2"/>
          <w:w w:val="105"/>
          <w:sz w:val="13"/>
        </w:rPr>
        <w:t>&gt;.</w:t>
      </w:r>
    </w:p>
    <w:p>
      <w:pPr>
        <w:pStyle w:val="ListParagraph"/>
        <w:numPr>
          <w:ilvl w:val="0"/>
          <w:numId w:val="77"/>
        </w:numPr>
        <w:tabs>
          <w:tab w:pos="2380" w:val="left" w:leader="none"/>
          <w:tab w:pos="2381" w:val="left" w:leader="none"/>
        </w:tabs>
        <w:spacing w:line="240" w:lineRule="auto" w:before="1" w:after="0"/>
        <w:ind w:left="2380" w:right="0" w:hanging="793"/>
        <w:jc w:val="left"/>
        <w:rPr>
          <w:sz w:val="13"/>
        </w:rPr>
      </w:pPr>
      <w:r>
        <w:rPr>
          <w:w w:val="105"/>
          <w:sz w:val="13"/>
        </w:rPr>
        <w:t>Department</w:t>
      </w:r>
      <w:r>
        <w:rPr>
          <w:spacing w:val="4"/>
          <w:w w:val="105"/>
          <w:sz w:val="13"/>
        </w:rPr>
        <w:t> </w:t>
      </w:r>
      <w:r>
        <w:rPr>
          <w:w w:val="105"/>
          <w:sz w:val="13"/>
        </w:rPr>
        <w:t>of</w:t>
      </w:r>
      <w:r>
        <w:rPr>
          <w:spacing w:val="5"/>
          <w:w w:val="105"/>
          <w:sz w:val="13"/>
        </w:rPr>
        <w:t> </w:t>
      </w:r>
      <w:r>
        <w:rPr>
          <w:w w:val="105"/>
          <w:sz w:val="13"/>
        </w:rPr>
        <w:t>Justice,</w:t>
      </w:r>
      <w:r>
        <w:rPr>
          <w:spacing w:val="5"/>
          <w:w w:val="105"/>
          <w:sz w:val="13"/>
        </w:rPr>
        <w:t> </w:t>
      </w:r>
      <w:r>
        <w:rPr>
          <w:w w:val="105"/>
          <w:sz w:val="13"/>
        </w:rPr>
        <w:t>Victoria,</w:t>
      </w:r>
      <w:r>
        <w:rPr>
          <w:spacing w:val="5"/>
          <w:w w:val="105"/>
          <w:sz w:val="13"/>
        </w:rPr>
        <w:t> </w:t>
      </w:r>
      <w:r>
        <w:rPr>
          <w:i/>
          <w:w w:val="105"/>
          <w:sz w:val="13"/>
        </w:rPr>
        <w:t>Victorian</w:t>
      </w:r>
      <w:r>
        <w:rPr>
          <w:i/>
          <w:spacing w:val="4"/>
          <w:w w:val="105"/>
          <w:sz w:val="13"/>
        </w:rPr>
        <w:t> </w:t>
      </w:r>
      <w:r>
        <w:rPr>
          <w:i/>
          <w:w w:val="105"/>
          <w:sz w:val="13"/>
        </w:rPr>
        <w:t>Aboriginal</w:t>
      </w:r>
      <w:r>
        <w:rPr>
          <w:i/>
          <w:spacing w:val="4"/>
          <w:w w:val="105"/>
          <w:sz w:val="13"/>
        </w:rPr>
        <w:t> </w:t>
      </w:r>
      <w:r>
        <w:rPr>
          <w:i/>
          <w:w w:val="105"/>
          <w:sz w:val="13"/>
        </w:rPr>
        <w:t>Justice</w:t>
      </w:r>
      <w:r>
        <w:rPr>
          <w:i/>
          <w:spacing w:val="4"/>
          <w:w w:val="105"/>
          <w:sz w:val="13"/>
        </w:rPr>
        <w:t> </w:t>
      </w:r>
      <w:r>
        <w:rPr>
          <w:i/>
          <w:w w:val="105"/>
          <w:sz w:val="13"/>
        </w:rPr>
        <w:t>Agreement</w:t>
      </w:r>
      <w:r>
        <w:rPr>
          <w:i/>
          <w:spacing w:val="4"/>
          <w:w w:val="105"/>
          <w:sz w:val="13"/>
        </w:rPr>
        <w:t> </w:t>
      </w:r>
      <w:r>
        <w:rPr>
          <w:i/>
          <w:w w:val="105"/>
          <w:sz w:val="13"/>
        </w:rPr>
        <w:t>Phase</w:t>
      </w:r>
      <w:r>
        <w:rPr>
          <w:i/>
          <w:spacing w:val="4"/>
          <w:w w:val="105"/>
          <w:sz w:val="13"/>
        </w:rPr>
        <w:t> </w:t>
      </w:r>
      <w:r>
        <w:rPr>
          <w:i/>
          <w:spacing w:val="-3"/>
          <w:w w:val="105"/>
          <w:sz w:val="13"/>
        </w:rPr>
        <w:t>3</w:t>
      </w:r>
      <w:r>
        <w:rPr>
          <w:spacing w:val="-3"/>
          <w:w w:val="105"/>
          <w:sz w:val="13"/>
        </w:rPr>
        <w:t>,</w:t>
      </w:r>
      <w:r>
        <w:rPr>
          <w:spacing w:val="5"/>
          <w:w w:val="105"/>
          <w:sz w:val="13"/>
        </w:rPr>
        <w:t> </w:t>
      </w:r>
      <w:r>
        <w:rPr>
          <w:w w:val="105"/>
          <w:sz w:val="13"/>
        </w:rPr>
        <w:t>above</w:t>
      </w:r>
      <w:r>
        <w:rPr>
          <w:spacing w:val="5"/>
          <w:w w:val="105"/>
          <w:sz w:val="13"/>
        </w:rPr>
        <w:t> </w:t>
      </w:r>
      <w:r>
        <w:rPr>
          <w:w w:val="105"/>
          <w:sz w:val="13"/>
        </w:rPr>
        <w:t>n</w:t>
      </w:r>
      <w:r>
        <w:rPr>
          <w:spacing w:val="5"/>
          <w:w w:val="105"/>
          <w:sz w:val="13"/>
        </w:rPr>
        <w:t> </w:t>
      </w:r>
      <w:r>
        <w:rPr>
          <w:w w:val="105"/>
          <w:sz w:val="13"/>
        </w:rPr>
        <w:t>299,</w:t>
      </w:r>
      <w:r>
        <w:rPr>
          <w:spacing w:val="5"/>
          <w:w w:val="105"/>
          <w:sz w:val="13"/>
        </w:rPr>
        <w:t> </w:t>
      </w:r>
      <w:r>
        <w:rPr>
          <w:w w:val="105"/>
          <w:sz w:val="13"/>
        </w:rPr>
        <w:t>68.</w:t>
      </w:r>
    </w:p>
    <w:p>
      <w:pPr>
        <w:pStyle w:val="ListParagraph"/>
        <w:numPr>
          <w:ilvl w:val="0"/>
          <w:numId w:val="77"/>
        </w:numPr>
        <w:tabs>
          <w:tab w:pos="2380" w:val="left" w:leader="none"/>
          <w:tab w:pos="2381" w:val="left" w:leader="none"/>
        </w:tabs>
        <w:spacing w:line="240" w:lineRule="auto" w:before="1" w:after="0"/>
        <w:ind w:left="2380" w:right="0" w:hanging="793"/>
        <w:jc w:val="left"/>
        <w:rPr>
          <w:i/>
          <w:sz w:val="13"/>
        </w:rPr>
      </w:pPr>
      <w:r>
        <w:rPr/>
        <w:pict>
          <v:shape style="position:absolute;margin-left:36pt;margin-top:2.859964pt;width:13.6pt;height:14.25pt;mso-position-horizontal-relative:page;mso-position-vertical-relative:paragraph;z-index:8464" type="#_x0000_t202" filled="false" stroked="false">
            <v:textbox inset="0,0,0,0">
              <w:txbxContent>
                <w:p>
                  <w:pPr>
                    <w:spacing w:line="284" w:lineRule="exact" w:before="0"/>
                    <w:ind w:left="0" w:right="0" w:firstLine="0"/>
                    <w:jc w:val="left"/>
                    <w:rPr>
                      <w:b/>
                      <w:sz w:val="24"/>
                    </w:rPr>
                  </w:pPr>
                  <w:r>
                    <w:rPr>
                      <w:b/>
                      <w:color w:val="EC5A4F"/>
                      <w:w w:val="110"/>
                      <w:sz w:val="24"/>
                    </w:rPr>
                    <w:t>96</w:t>
                  </w:r>
                </w:p>
              </w:txbxContent>
            </v:textbox>
            <w10:wrap type="none"/>
          </v:shape>
        </w:pict>
      </w:r>
      <w:r>
        <w:rPr>
          <w:w w:val="105"/>
          <w:sz w:val="13"/>
        </w:rPr>
        <w:t>Department of Justice, Victoria, </w:t>
      </w:r>
      <w:r>
        <w:rPr>
          <w:i/>
          <w:w w:val="105"/>
          <w:sz w:val="13"/>
        </w:rPr>
        <w:t>Regional Aboriginal Justice Advisory</w:t>
      </w:r>
      <w:r>
        <w:rPr>
          <w:i/>
          <w:spacing w:val="3"/>
          <w:w w:val="105"/>
          <w:sz w:val="13"/>
        </w:rPr>
        <w:t> </w:t>
      </w:r>
      <w:r>
        <w:rPr>
          <w:i/>
          <w:w w:val="105"/>
          <w:sz w:val="13"/>
        </w:rPr>
        <w:t>Committee</w:t>
      </w:r>
    </w:p>
    <w:p>
      <w:pPr>
        <w:spacing w:before="2"/>
        <w:ind w:left="2380" w:right="0" w:firstLine="0"/>
        <w:jc w:val="left"/>
        <w:rPr>
          <w:sz w:val="13"/>
        </w:rPr>
      </w:pPr>
      <w:r>
        <w:rPr>
          <w:sz w:val="13"/>
        </w:rPr>
        <w:t>&lt;</w:t>
      </w:r>
      <w:hyperlink r:id="rId89">
        <w:r>
          <w:rPr>
            <w:sz w:val="13"/>
          </w:rPr>
          <w:t>http://www.justice.vic.gov.au/utility/contact+us/regional+aboriginal+justice+advisory+committee.shtml</w:t>
        </w:r>
      </w:hyperlink>
      <w:r>
        <w:rPr>
          <w:sz w:val="13"/>
        </w:rPr>
        <w:t>&gt;.</w:t>
      </w:r>
    </w:p>
    <w:p>
      <w:pPr>
        <w:spacing w:after="0"/>
        <w:jc w:val="left"/>
        <w:rPr>
          <w:sz w:val="13"/>
        </w:rPr>
        <w:sectPr>
          <w:pgSz w:w="11910" w:h="16840"/>
          <w:pgMar w:header="550" w:footer="0" w:top="1560" w:bottom="280" w:left="0" w:right="0"/>
        </w:sectPr>
      </w:pPr>
    </w:p>
    <w:p>
      <w:pPr>
        <w:pStyle w:val="Heading1"/>
        <w:tabs>
          <w:tab w:pos="1417" w:val="left" w:leader="none"/>
        </w:tabs>
        <w:jc w:val="right"/>
      </w:pPr>
      <w:r>
        <w:rPr/>
        <w:pict>
          <v:shape style="position:absolute;margin-left:538.582581pt;margin-top:4.373536pt;width:13.35pt;height:28.45pt;mso-position-horizontal-relative:page;mso-position-vertical-relative:paragraph;z-index:-299824" type="#_x0000_t202" filled="false" stroked="false">
            <v:textbox inset="0,0,0,0">
              <w:txbxContent>
                <w:p>
                  <w:pPr>
                    <w:spacing w:line="569" w:lineRule="exact" w:before="0"/>
                    <w:ind w:left="0" w:right="0" w:firstLine="0"/>
                    <w:jc w:val="left"/>
                    <w:rPr>
                      <w:b/>
                      <w:sz w:val="48"/>
                    </w:rPr>
                  </w:pPr>
                  <w:r>
                    <w:rPr>
                      <w:b/>
                      <w:color w:val="FFFFFF"/>
                      <w:w w:val="109"/>
                      <w:sz w:val="48"/>
                    </w:rPr>
                    <w:t>1</w:t>
                  </w:r>
                </w:p>
              </w:txbxContent>
            </v:textbox>
            <w10:wrap type="none"/>
          </v:shape>
        </w:pict>
      </w:r>
      <w:r>
        <w:rPr/>
        <w:pict>
          <v:rect style="position:absolute;margin-left:0pt;margin-top:0pt;width:595.276001pt;height:841.890015pt;mso-position-horizontal-relative:page;mso-position-vertical-relative:page;z-index:-299800" filled="true" fillcolor="#fdefed" stroked="false">
            <v:fill type="solid"/>
            <w10:wrap type="none"/>
          </v:rect>
        </w:pict>
      </w:r>
      <w:r>
        <w:rPr>
          <w:color w:val="FFFFFF"/>
          <w:w w:val="122"/>
          <w:shd w:fill="EC5A4F" w:color="auto" w:val="clear"/>
        </w:rPr>
        <w:t> </w:t>
      </w:r>
      <w:r>
        <w:rPr>
          <w:color w:val="FFFFFF"/>
          <w:spacing w:val="41"/>
          <w:shd w:fill="EC5A4F" w:color="auto" w:val="clear"/>
        </w:rPr>
        <w:t> </w:t>
      </w:r>
      <w:r>
        <w:rPr>
          <w:color w:val="FFFFFF"/>
          <w:w w:val="105"/>
          <w:shd w:fill="EC5A4F" w:color="auto" w:val="clear"/>
        </w:rPr>
        <w:t>6</w:t>
      </w:r>
      <w:r>
        <w:rPr>
          <w:color w:val="FFFFFF"/>
          <w:shd w:fill="EC5A4F" w:color="auto" w:val="clear"/>
        </w:rPr>
        <w:tab/>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1"/>
        <w:rPr>
          <w:b/>
          <w:sz w:val="19"/>
        </w:rPr>
      </w:pPr>
    </w:p>
    <w:p>
      <w:pPr>
        <w:tabs>
          <w:tab w:pos="1417" w:val="left" w:leader="none"/>
          <w:tab w:pos="8896" w:val="left" w:leader="none"/>
        </w:tabs>
        <w:spacing w:before="95"/>
        <w:ind w:left="0" w:right="0" w:firstLine="0"/>
        <w:jc w:val="left"/>
        <w:rPr>
          <w:b/>
          <w:sz w:val="96"/>
        </w:rPr>
      </w:pPr>
      <w:r>
        <w:rPr>
          <w:b/>
          <w:color w:val="EC5A4F"/>
          <w:w w:val="122"/>
          <w:sz w:val="96"/>
          <w:shd w:fill="FFFFFF" w:color="auto" w:val="clear"/>
        </w:rPr>
        <w:t> </w:t>
      </w:r>
      <w:r>
        <w:rPr>
          <w:b/>
          <w:color w:val="EC5A4F"/>
          <w:sz w:val="96"/>
          <w:shd w:fill="FFFFFF" w:color="auto" w:val="clear"/>
        </w:rPr>
        <w:tab/>
      </w:r>
      <w:r>
        <w:rPr>
          <w:b/>
          <w:color w:val="EC5A4F"/>
          <w:spacing w:val="-18"/>
          <w:w w:val="115"/>
          <w:sz w:val="96"/>
          <w:shd w:fill="FFFFFF" w:color="auto" w:val="clear"/>
        </w:rPr>
        <w:t>Family</w:t>
      </w:r>
      <w:r>
        <w:rPr>
          <w:b/>
          <w:color w:val="EC5A4F"/>
          <w:spacing w:val="-111"/>
          <w:w w:val="115"/>
          <w:sz w:val="96"/>
          <w:shd w:fill="FFFFFF" w:color="auto" w:val="clear"/>
        </w:rPr>
        <w:t> </w:t>
      </w:r>
      <w:r>
        <w:rPr>
          <w:b/>
          <w:color w:val="EC5A4F"/>
          <w:spacing w:val="-14"/>
          <w:w w:val="115"/>
          <w:sz w:val="96"/>
          <w:shd w:fill="FFFFFF" w:color="auto" w:val="clear"/>
        </w:rPr>
        <w:t>provision</w:t>
      </w:r>
      <w:r>
        <w:rPr>
          <w:b/>
          <w:color w:val="EC5A4F"/>
          <w:spacing w:val="-14"/>
          <w:sz w:val="96"/>
          <w:shd w:fill="FFFFFF" w:color="auto" w:val="clear"/>
        </w:rPr>
        <w:tab/>
      </w:r>
    </w:p>
    <w:p>
      <w:pPr>
        <w:pStyle w:val="BodyText"/>
        <w:rPr>
          <w:b/>
          <w:sz w:val="20"/>
        </w:rPr>
      </w:pPr>
    </w:p>
    <w:p>
      <w:pPr>
        <w:pStyle w:val="BodyText"/>
        <w:rPr>
          <w:b/>
          <w:sz w:val="20"/>
        </w:rPr>
      </w:pPr>
    </w:p>
    <w:p>
      <w:pPr>
        <w:pStyle w:val="BodyText"/>
        <w:spacing w:before="1"/>
        <w:rPr>
          <w:b/>
          <w:sz w:val="24"/>
        </w:rPr>
      </w:pPr>
    </w:p>
    <w:p>
      <w:pPr>
        <w:pStyle w:val="Heading5"/>
        <w:tabs>
          <w:tab w:pos="1984" w:val="left" w:leader="none"/>
        </w:tabs>
        <w:spacing w:before="99"/>
        <w:ind w:left="1417"/>
      </w:pPr>
      <w:r>
        <w:rPr/>
        <w:pict>
          <v:line style="position:absolute;mso-position-horizontal-relative:page;mso-position-vertical-relative:paragraph;z-index:6440;mso-wrap-distance-left:0;mso-wrap-distance-right:0" from="70.866096pt,23.04508pt" to="96.378096pt,23.04508pt" stroked="true" strokeweight="2pt" strokecolor="#ffffff">
            <v:stroke dashstyle="solid"/>
            <w10:wrap type="topAndBottom"/>
          </v:line>
        </w:pict>
      </w:r>
      <w:r>
        <w:rPr>
          <w:w w:val="110"/>
        </w:rPr>
        <w:t>98</w:t>
        <w:tab/>
        <w:t>Introduction</w:t>
      </w:r>
    </w:p>
    <w:p>
      <w:pPr>
        <w:spacing w:before="62" w:after="49"/>
        <w:ind w:left="1417" w:right="0" w:firstLine="0"/>
        <w:jc w:val="left"/>
        <w:rPr>
          <w:b/>
          <w:sz w:val="24"/>
        </w:rPr>
      </w:pPr>
      <w:r>
        <w:rPr>
          <w:b/>
          <w:w w:val="110"/>
          <w:sz w:val="24"/>
        </w:rPr>
        <w:t>104 Court jurisdiction</w:t>
      </w:r>
    </w:p>
    <w:p>
      <w:pPr>
        <w:pStyle w:val="BodyText"/>
        <w:spacing w:line="40" w:lineRule="exact"/>
        <w:ind w:left="1397"/>
        <w:rPr>
          <w:sz w:val="4"/>
        </w:rPr>
      </w:pPr>
      <w:r>
        <w:rPr>
          <w:position w:val="0"/>
          <w:sz w:val="4"/>
        </w:rPr>
        <w:pict>
          <v:group style="width:25.55pt;height:2pt;mso-position-horizontal-relative:char;mso-position-vertical-relative:line" coordorigin="0,0" coordsize="511,40">
            <v:line style="position:absolute" from="0,20" to="510,20" stroked="true" strokeweight="2pt" strokecolor="#ffffff">
              <v:stroke dashstyle="solid"/>
            </v:line>
          </v:group>
        </w:pict>
      </w:r>
      <w:r>
        <w:rPr>
          <w:position w:val="0"/>
          <w:sz w:val="4"/>
        </w:rPr>
      </w:r>
    </w:p>
    <w:p>
      <w:pPr>
        <w:spacing w:before="91"/>
        <w:ind w:left="1417" w:right="0" w:firstLine="0"/>
        <w:jc w:val="left"/>
        <w:rPr>
          <w:b/>
          <w:sz w:val="24"/>
        </w:rPr>
      </w:pPr>
      <w:r>
        <w:rPr/>
        <w:pict>
          <v:line style="position:absolute;mso-position-horizontal-relative:page;mso-position-vertical-relative:paragraph;z-index:6488;mso-wrap-distance-left:0;mso-wrap-distance-right:0" from="70.866096pt,22.655577pt" to="96.378096pt,22.655577pt" stroked="true" strokeweight="2pt" strokecolor="#ffffff">
            <v:stroke dashstyle="solid"/>
            <w10:wrap type="topAndBottom"/>
          </v:line>
        </w:pict>
      </w:r>
      <w:r>
        <w:rPr>
          <w:b/>
          <w:w w:val="115"/>
          <w:sz w:val="24"/>
        </w:rPr>
        <w:t>107 Eligibility to make a family provision claim</w:t>
      </w:r>
    </w:p>
    <w:p>
      <w:pPr>
        <w:spacing w:before="62" w:after="49"/>
        <w:ind w:left="1417" w:right="0" w:firstLine="0"/>
        <w:jc w:val="left"/>
        <w:rPr>
          <w:b/>
          <w:sz w:val="24"/>
        </w:rPr>
      </w:pPr>
      <w:r>
        <w:rPr>
          <w:b/>
          <w:w w:val="110"/>
          <w:sz w:val="24"/>
        </w:rPr>
        <w:t>115 Costs rules</w:t>
      </w:r>
    </w:p>
    <w:p>
      <w:pPr>
        <w:pStyle w:val="BodyText"/>
        <w:spacing w:line="40" w:lineRule="exact"/>
        <w:ind w:left="1397"/>
        <w:rPr>
          <w:sz w:val="4"/>
        </w:rPr>
      </w:pPr>
      <w:r>
        <w:rPr>
          <w:position w:val="0"/>
          <w:sz w:val="4"/>
        </w:rPr>
        <w:pict>
          <v:group style="width:25.55pt;height:2pt;mso-position-horizontal-relative:char;mso-position-vertical-relative:line" coordorigin="0,0" coordsize="511,40">
            <v:line style="position:absolute" from="0,20" to="510,20" stroked="true" strokeweight="2pt" strokecolor="#ffffff">
              <v:stroke dashstyle="solid"/>
            </v:line>
          </v:group>
        </w:pict>
      </w:r>
      <w:r>
        <w:rPr>
          <w:position w:val="0"/>
          <w:sz w:val="4"/>
        </w:rPr>
      </w:r>
    </w:p>
    <w:p>
      <w:pPr>
        <w:spacing w:before="91"/>
        <w:ind w:left="1417" w:right="0" w:firstLine="0"/>
        <w:jc w:val="left"/>
        <w:rPr>
          <w:b/>
          <w:sz w:val="24"/>
        </w:rPr>
      </w:pPr>
      <w:r>
        <w:rPr/>
        <w:pict>
          <v:line style="position:absolute;mso-position-horizontal-relative:page;mso-position-vertical-relative:paragraph;z-index:6536;mso-wrap-distance-left:0;mso-wrap-distance-right:0" from="70.866096pt,22.666174pt" to="96.378096pt,22.666174pt" stroked="true" strokeweight="2pt" strokecolor="#ffffff">
            <v:stroke dashstyle="solid"/>
            <w10:wrap type="topAndBottom"/>
          </v:line>
        </w:pict>
      </w:r>
      <w:r>
        <w:rPr>
          <w:b/>
          <w:w w:val="110"/>
          <w:sz w:val="24"/>
        </w:rPr>
        <w:t>122 Procedure</w:t>
      </w:r>
    </w:p>
    <w:p>
      <w:pPr>
        <w:spacing w:before="62" w:after="49"/>
        <w:ind w:left="1417" w:right="0" w:firstLine="0"/>
        <w:jc w:val="left"/>
        <w:rPr>
          <w:b/>
          <w:sz w:val="24"/>
        </w:rPr>
      </w:pPr>
      <w:r>
        <w:rPr>
          <w:b/>
          <w:w w:val="110"/>
          <w:sz w:val="24"/>
        </w:rPr>
        <w:t>129 Other areas for reform raised in the Commission’s consultation paper</w:t>
      </w:r>
    </w:p>
    <w:p>
      <w:pPr>
        <w:pStyle w:val="BodyText"/>
        <w:spacing w:line="40" w:lineRule="exact"/>
        <w:ind w:left="1397"/>
        <w:rPr>
          <w:sz w:val="4"/>
        </w:rPr>
      </w:pPr>
      <w:r>
        <w:rPr>
          <w:position w:val="0"/>
          <w:sz w:val="4"/>
        </w:rPr>
        <w:pict>
          <v:group style="width:25.55pt;height:2pt;mso-position-horizontal-relative:char;mso-position-vertical-relative:line" coordorigin="0,0" coordsize="511,40">
            <v:line style="position:absolute" from="0,20" to="510,20" stroked="true" strokeweight="2pt" strokecolor="#ffffff">
              <v:stroke dashstyle="solid"/>
            </v:line>
          </v:group>
        </w:pict>
      </w:r>
      <w:r>
        <w:rPr>
          <w:position w:val="0"/>
          <w:sz w:val="4"/>
        </w:rPr>
      </w:r>
    </w:p>
    <w:p>
      <w:pPr>
        <w:spacing w:after="0" w:line="40" w:lineRule="exact"/>
        <w:rPr>
          <w:sz w:val="4"/>
        </w:rPr>
        <w:sectPr>
          <w:headerReference w:type="default" r:id="rId90"/>
          <w:headerReference w:type="even" r:id="rId91"/>
          <w:pgSz w:w="11910" w:h="16840"/>
          <w:pgMar w:header="0" w:footer="0" w:top="700" w:bottom="280" w:left="0" w:right="0"/>
        </w:sectPr>
      </w:pPr>
    </w:p>
    <w:p>
      <w:pPr>
        <w:pStyle w:val="BodyText"/>
        <w:spacing w:before="10"/>
        <w:rPr>
          <w:b/>
          <w:sz w:val="18"/>
        </w:rPr>
      </w:pPr>
    </w:p>
    <w:p>
      <w:pPr>
        <w:pStyle w:val="Heading2"/>
        <w:numPr>
          <w:ilvl w:val="0"/>
          <w:numId w:val="22"/>
        </w:numPr>
        <w:tabs>
          <w:tab w:pos="1058" w:val="left" w:leader="none"/>
        </w:tabs>
        <w:spacing w:line="240" w:lineRule="auto" w:before="98" w:after="0"/>
        <w:ind w:left="1057" w:right="0" w:hanging="491"/>
        <w:jc w:val="left"/>
      </w:pPr>
      <w:bookmarkStart w:name="_TOC_250026" w:id="95"/>
      <w:bookmarkStart w:name="6. Family provision" w:id="96"/>
      <w:r>
        <w:rPr>
          <w:b w:val="0"/>
        </w:rPr>
      </w:r>
      <w:bookmarkStart w:name="Introduction" w:id="97"/>
      <w:bookmarkEnd w:id="97"/>
      <w:r>
        <w:rPr>
          <w:b w:val="0"/>
        </w:rPr>
      </w:r>
      <w:bookmarkStart w:name="Introduction" w:id="98"/>
      <w:bookmarkEnd w:id="98"/>
      <w:r>
        <w:rPr>
          <w:color w:val="EC5A4F"/>
          <w:spacing w:val="-6"/>
          <w:w w:val="115"/>
        </w:rPr>
        <w:t>F</w:t>
      </w:r>
      <w:r>
        <w:rPr>
          <w:color w:val="EC5A4F"/>
          <w:spacing w:val="-6"/>
          <w:w w:val="115"/>
        </w:rPr>
        <w:t>amily</w:t>
      </w:r>
      <w:r>
        <w:rPr>
          <w:color w:val="EC5A4F"/>
          <w:spacing w:val="6"/>
          <w:w w:val="115"/>
        </w:rPr>
        <w:t> </w:t>
      </w:r>
      <w:bookmarkEnd w:id="95"/>
      <w:r>
        <w:rPr>
          <w:color w:val="EC5A4F"/>
          <w:spacing w:val="-4"/>
          <w:w w:val="115"/>
        </w:rPr>
        <w:t>provision</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27"/>
        </w:rPr>
      </w:pPr>
    </w:p>
    <w:p>
      <w:pPr>
        <w:pStyle w:val="Heading4"/>
        <w:spacing w:before="99"/>
      </w:pPr>
      <w:bookmarkStart w:name="_TOC_250025" w:id="99"/>
      <w:bookmarkEnd w:id="99"/>
      <w:r>
        <w:rPr>
          <w:color w:val="EC5A4F"/>
          <w:w w:val="110"/>
        </w:rPr>
        <w:t>Introduction</w:t>
      </w:r>
    </w:p>
    <w:p>
      <w:pPr>
        <w:pStyle w:val="Heading5"/>
        <w:spacing w:before="166"/>
      </w:pPr>
      <w:bookmarkStart w:name="_TOC_250024" w:id="100"/>
      <w:bookmarkEnd w:id="100"/>
      <w:r>
        <w:rPr>
          <w:w w:val="115"/>
        </w:rPr>
        <w:t>Current law and terms of reference</w:t>
      </w:r>
    </w:p>
    <w:p>
      <w:pPr>
        <w:pStyle w:val="ListParagraph"/>
        <w:numPr>
          <w:ilvl w:val="1"/>
          <w:numId w:val="22"/>
        </w:numPr>
        <w:tabs>
          <w:tab w:pos="2380" w:val="left" w:leader="none"/>
          <w:tab w:pos="2381" w:val="left" w:leader="none"/>
        </w:tabs>
        <w:spacing w:line="242" w:lineRule="auto" w:before="138" w:after="0"/>
        <w:ind w:left="2381" w:right="1699" w:hanging="794"/>
        <w:jc w:val="left"/>
        <w:rPr>
          <w:sz w:val="21"/>
        </w:rPr>
      </w:pPr>
      <w:r>
        <w:rPr>
          <w:sz w:val="21"/>
        </w:rPr>
        <w:t>In Victoria, </w:t>
      </w:r>
      <w:r>
        <w:rPr>
          <w:spacing w:val="-3"/>
          <w:sz w:val="21"/>
        </w:rPr>
        <w:t>any </w:t>
      </w:r>
      <w:r>
        <w:rPr>
          <w:sz w:val="21"/>
        </w:rPr>
        <w:t>person can apply </w:t>
      </w:r>
      <w:r>
        <w:rPr>
          <w:spacing w:val="-3"/>
          <w:sz w:val="21"/>
        </w:rPr>
        <w:t>for </w:t>
      </w:r>
      <w:r>
        <w:rPr>
          <w:sz w:val="21"/>
        </w:rPr>
        <w:t>a court order </w:t>
      </w:r>
      <w:r>
        <w:rPr>
          <w:spacing w:val="-3"/>
          <w:sz w:val="21"/>
        </w:rPr>
        <w:t>to  redistribute  </w:t>
      </w:r>
      <w:r>
        <w:rPr>
          <w:sz w:val="21"/>
        </w:rPr>
        <w:t>a deceased </w:t>
      </w:r>
      <w:r>
        <w:rPr>
          <w:spacing w:val="-3"/>
          <w:sz w:val="21"/>
        </w:rPr>
        <w:t>person’s </w:t>
      </w:r>
      <w:r>
        <w:rPr>
          <w:sz w:val="21"/>
        </w:rPr>
        <w:t>estate in their </w:t>
      </w:r>
      <w:r>
        <w:rPr>
          <w:spacing w:val="-3"/>
          <w:sz w:val="21"/>
        </w:rPr>
        <w:t>favour </w:t>
      </w:r>
      <w:r>
        <w:rPr>
          <w:sz w:val="21"/>
        </w:rPr>
        <w:t>if they believe </w:t>
      </w:r>
      <w:r>
        <w:rPr>
          <w:spacing w:val="-3"/>
          <w:sz w:val="21"/>
        </w:rPr>
        <w:t>that </w:t>
      </w:r>
      <w:r>
        <w:rPr>
          <w:sz w:val="21"/>
        </w:rPr>
        <w:t>the deceased person </w:t>
      </w:r>
      <w:r>
        <w:rPr>
          <w:spacing w:val="-2"/>
          <w:sz w:val="21"/>
        </w:rPr>
        <w:t>had </w:t>
      </w:r>
      <w:r>
        <w:rPr>
          <w:sz w:val="21"/>
        </w:rPr>
        <w:t>a </w:t>
      </w:r>
      <w:r>
        <w:rPr>
          <w:spacing w:val="-3"/>
          <w:sz w:val="21"/>
        </w:rPr>
        <w:t>responsibility  to </w:t>
      </w:r>
      <w:r>
        <w:rPr>
          <w:sz w:val="21"/>
        </w:rPr>
        <w:t>provide </w:t>
      </w:r>
      <w:r>
        <w:rPr>
          <w:spacing w:val="-3"/>
          <w:sz w:val="21"/>
        </w:rPr>
        <w:t>for </w:t>
      </w:r>
      <w:r>
        <w:rPr>
          <w:sz w:val="21"/>
        </w:rPr>
        <w:t>them, and did </w:t>
      </w:r>
      <w:r>
        <w:rPr>
          <w:spacing w:val="-2"/>
          <w:sz w:val="21"/>
        </w:rPr>
        <w:t>not  </w:t>
      </w:r>
      <w:r>
        <w:rPr>
          <w:sz w:val="21"/>
        </w:rPr>
        <w:t>do so. This </w:t>
      </w:r>
      <w:r>
        <w:rPr>
          <w:spacing w:val="-3"/>
          <w:sz w:val="21"/>
        </w:rPr>
        <w:t>area  </w:t>
      </w:r>
      <w:r>
        <w:rPr>
          <w:sz w:val="21"/>
        </w:rPr>
        <w:t>of </w:t>
      </w:r>
      <w:r>
        <w:rPr>
          <w:spacing w:val="-5"/>
          <w:sz w:val="21"/>
        </w:rPr>
        <w:t>law,  </w:t>
      </w:r>
      <w:r>
        <w:rPr>
          <w:spacing w:val="-3"/>
          <w:sz w:val="21"/>
        </w:rPr>
        <w:t>family  provision,  </w:t>
      </w:r>
      <w:r>
        <w:rPr>
          <w:sz w:val="21"/>
        </w:rPr>
        <w:t>exists in some  </w:t>
      </w:r>
      <w:r>
        <w:rPr>
          <w:spacing w:val="-3"/>
          <w:sz w:val="21"/>
        </w:rPr>
        <w:t>form </w:t>
      </w:r>
      <w:r>
        <w:rPr>
          <w:sz w:val="21"/>
        </w:rPr>
        <w:t>in </w:t>
      </w:r>
      <w:r>
        <w:rPr>
          <w:spacing w:val="-3"/>
          <w:sz w:val="21"/>
        </w:rPr>
        <w:t>all Australian </w:t>
      </w:r>
      <w:r>
        <w:rPr>
          <w:sz w:val="21"/>
        </w:rPr>
        <w:t>states and </w:t>
      </w:r>
      <w:r>
        <w:rPr>
          <w:spacing w:val="-3"/>
          <w:sz w:val="21"/>
        </w:rPr>
        <w:t>territories. </w:t>
      </w:r>
      <w:r>
        <w:rPr>
          <w:spacing w:val="-4"/>
          <w:sz w:val="21"/>
        </w:rPr>
        <w:t>Family </w:t>
      </w:r>
      <w:r>
        <w:rPr>
          <w:spacing w:val="-3"/>
          <w:sz w:val="21"/>
        </w:rPr>
        <w:t>provision </w:t>
      </w:r>
      <w:r>
        <w:rPr>
          <w:sz w:val="21"/>
        </w:rPr>
        <w:t>law recognises </w:t>
      </w:r>
      <w:r>
        <w:rPr>
          <w:spacing w:val="-3"/>
          <w:sz w:val="21"/>
        </w:rPr>
        <w:t>that, although </w:t>
      </w:r>
      <w:r>
        <w:rPr>
          <w:sz w:val="21"/>
        </w:rPr>
        <w:t>people </w:t>
      </w:r>
      <w:r>
        <w:rPr>
          <w:spacing w:val="-3"/>
          <w:sz w:val="21"/>
        </w:rPr>
        <w:t>are </w:t>
      </w:r>
      <w:r>
        <w:rPr>
          <w:sz w:val="21"/>
        </w:rPr>
        <w:t>free </w:t>
      </w:r>
      <w:r>
        <w:rPr>
          <w:spacing w:val="-3"/>
          <w:sz w:val="21"/>
        </w:rPr>
        <w:t>to </w:t>
      </w:r>
      <w:r>
        <w:rPr>
          <w:sz w:val="21"/>
        </w:rPr>
        <w:t>give </w:t>
      </w:r>
      <w:r>
        <w:rPr>
          <w:spacing w:val="-3"/>
          <w:sz w:val="21"/>
        </w:rPr>
        <w:t>away </w:t>
      </w:r>
      <w:r>
        <w:rPr>
          <w:sz w:val="21"/>
        </w:rPr>
        <w:t>their property by </w:t>
      </w:r>
      <w:r>
        <w:rPr>
          <w:spacing w:val="-3"/>
          <w:sz w:val="21"/>
        </w:rPr>
        <w:t>will </w:t>
      </w:r>
      <w:r>
        <w:rPr>
          <w:sz w:val="21"/>
        </w:rPr>
        <w:t>after they </w:t>
      </w:r>
      <w:r>
        <w:rPr>
          <w:spacing w:val="-3"/>
          <w:sz w:val="21"/>
        </w:rPr>
        <w:t>die, </w:t>
      </w:r>
      <w:r>
        <w:rPr>
          <w:sz w:val="21"/>
        </w:rPr>
        <w:t>or </w:t>
      </w:r>
      <w:r>
        <w:rPr>
          <w:spacing w:val="-3"/>
          <w:sz w:val="21"/>
        </w:rPr>
        <w:t>to  </w:t>
      </w:r>
      <w:r>
        <w:rPr>
          <w:spacing w:val="-2"/>
          <w:sz w:val="21"/>
        </w:rPr>
        <w:t>not </w:t>
      </w:r>
      <w:r>
        <w:rPr>
          <w:spacing w:val="-4"/>
          <w:sz w:val="21"/>
        </w:rPr>
        <w:t>make</w:t>
      </w:r>
      <w:r>
        <w:rPr>
          <w:spacing w:val="39"/>
          <w:sz w:val="21"/>
        </w:rPr>
        <w:t> </w:t>
      </w:r>
      <w:r>
        <w:rPr>
          <w:sz w:val="21"/>
        </w:rPr>
        <w:t>a </w:t>
      </w:r>
      <w:r>
        <w:rPr>
          <w:spacing w:val="-3"/>
          <w:sz w:val="21"/>
        </w:rPr>
        <w:t>will  </w:t>
      </w:r>
      <w:r>
        <w:rPr>
          <w:sz w:val="21"/>
        </w:rPr>
        <w:t>at </w:t>
      </w:r>
      <w:r>
        <w:rPr>
          <w:spacing w:val="-3"/>
          <w:sz w:val="21"/>
        </w:rPr>
        <w:t>all,</w:t>
      </w:r>
      <w:r>
        <w:rPr>
          <w:spacing w:val="15"/>
          <w:sz w:val="21"/>
        </w:rPr>
        <w:t> </w:t>
      </w:r>
      <w:r>
        <w:rPr>
          <w:sz w:val="21"/>
        </w:rPr>
        <w:t>they</w:t>
      </w:r>
      <w:r>
        <w:rPr>
          <w:spacing w:val="15"/>
          <w:sz w:val="21"/>
        </w:rPr>
        <w:t> </w:t>
      </w:r>
      <w:r>
        <w:rPr>
          <w:sz w:val="21"/>
        </w:rPr>
        <w:t>also</w:t>
      </w:r>
      <w:r>
        <w:rPr>
          <w:spacing w:val="15"/>
          <w:sz w:val="21"/>
        </w:rPr>
        <w:t> </w:t>
      </w:r>
      <w:r>
        <w:rPr>
          <w:spacing w:val="-3"/>
          <w:sz w:val="21"/>
        </w:rPr>
        <w:t>have</w:t>
      </w:r>
      <w:r>
        <w:rPr>
          <w:spacing w:val="16"/>
          <w:sz w:val="21"/>
        </w:rPr>
        <w:t> </w:t>
      </w:r>
      <w:r>
        <w:rPr>
          <w:sz w:val="21"/>
        </w:rPr>
        <w:t>a</w:t>
      </w:r>
      <w:r>
        <w:rPr>
          <w:spacing w:val="15"/>
          <w:sz w:val="21"/>
        </w:rPr>
        <w:t> </w:t>
      </w:r>
      <w:r>
        <w:rPr>
          <w:spacing w:val="-3"/>
          <w:sz w:val="21"/>
        </w:rPr>
        <w:t>responsibility</w:t>
      </w:r>
      <w:r>
        <w:rPr>
          <w:spacing w:val="15"/>
          <w:sz w:val="21"/>
        </w:rPr>
        <w:t> </w:t>
      </w:r>
      <w:r>
        <w:rPr>
          <w:spacing w:val="-3"/>
          <w:sz w:val="21"/>
        </w:rPr>
        <w:t>to</w:t>
      </w:r>
      <w:r>
        <w:rPr>
          <w:spacing w:val="16"/>
          <w:sz w:val="21"/>
        </w:rPr>
        <w:t> </w:t>
      </w:r>
      <w:r>
        <w:rPr>
          <w:sz w:val="21"/>
        </w:rPr>
        <w:t>provide</w:t>
      </w:r>
      <w:r>
        <w:rPr>
          <w:spacing w:val="15"/>
          <w:sz w:val="21"/>
        </w:rPr>
        <w:t> </w:t>
      </w:r>
      <w:r>
        <w:rPr>
          <w:spacing w:val="-3"/>
          <w:sz w:val="21"/>
        </w:rPr>
        <w:t>for</w:t>
      </w:r>
      <w:r>
        <w:rPr>
          <w:spacing w:val="15"/>
          <w:sz w:val="21"/>
        </w:rPr>
        <w:t> </w:t>
      </w:r>
      <w:r>
        <w:rPr>
          <w:sz w:val="21"/>
        </w:rPr>
        <w:t>certain</w:t>
      </w:r>
      <w:r>
        <w:rPr>
          <w:spacing w:val="16"/>
          <w:sz w:val="21"/>
        </w:rPr>
        <w:t> </w:t>
      </w:r>
      <w:r>
        <w:rPr>
          <w:sz w:val="21"/>
        </w:rPr>
        <w:t>people,</w:t>
      </w:r>
      <w:r>
        <w:rPr>
          <w:spacing w:val="15"/>
          <w:sz w:val="21"/>
        </w:rPr>
        <w:t> </w:t>
      </w:r>
      <w:r>
        <w:rPr>
          <w:spacing w:val="-3"/>
          <w:sz w:val="21"/>
        </w:rPr>
        <w:t>usually</w:t>
      </w:r>
      <w:r>
        <w:rPr>
          <w:spacing w:val="15"/>
          <w:sz w:val="21"/>
        </w:rPr>
        <w:t> </w:t>
      </w:r>
      <w:r>
        <w:rPr>
          <w:spacing w:val="-3"/>
          <w:sz w:val="21"/>
        </w:rPr>
        <w:t>family</w:t>
      </w:r>
      <w:r>
        <w:rPr>
          <w:spacing w:val="15"/>
          <w:sz w:val="21"/>
        </w:rPr>
        <w:t> </w:t>
      </w:r>
      <w:r>
        <w:rPr>
          <w:sz w:val="21"/>
        </w:rPr>
        <w:t>members.</w:t>
      </w:r>
    </w:p>
    <w:p>
      <w:pPr>
        <w:pStyle w:val="ListParagraph"/>
        <w:numPr>
          <w:ilvl w:val="1"/>
          <w:numId w:val="22"/>
        </w:numPr>
        <w:tabs>
          <w:tab w:pos="2380" w:val="left" w:leader="none"/>
          <w:tab w:pos="2381" w:val="left" w:leader="none"/>
        </w:tabs>
        <w:spacing w:line="242" w:lineRule="auto" w:before="126" w:after="0"/>
        <w:ind w:left="2381" w:right="1773" w:hanging="794"/>
        <w:jc w:val="left"/>
        <w:rPr>
          <w:sz w:val="21"/>
        </w:rPr>
      </w:pPr>
      <w:r>
        <w:rPr>
          <w:sz w:val="21"/>
        </w:rPr>
        <w:t>In Victoria, </w:t>
      </w:r>
      <w:r>
        <w:rPr>
          <w:spacing w:val="-3"/>
          <w:sz w:val="21"/>
        </w:rPr>
        <w:t>family provision </w:t>
      </w:r>
      <w:r>
        <w:rPr>
          <w:sz w:val="21"/>
        </w:rPr>
        <w:t>is governed by Part IV of the </w:t>
      </w:r>
      <w:r>
        <w:rPr>
          <w:i/>
          <w:spacing w:val="-3"/>
          <w:sz w:val="21"/>
        </w:rPr>
        <w:t>Administration </w:t>
      </w:r>
      <w:r>
        <w:rPr>
          <w:i/>
          <w:sz w:val="21"/>
        </w:rPr>
        <w:t>and Probate Act </w:t>
      </w:r>
      <w:r>
        <w:rPr>
          <w:i/>
          <w:spacing w:val="-6"/>
          <w:sz w:val="21"/>
        </w:rPr>
        <w:t>1958 </w:t>
      </w:r>
      <w:r>
        <w:rPr>
          <w:sz w:val="21"/>
        </w:rPr>
        <w:t>(Vic). The </w:t>
      </w:r>
      <w:r>
        <w:rPr>
          <w:spacing w:val="-4"/>
          <w:sz w:val="21"/>
        </w:rPr>
        <w:t>Commission’s </w:t>
      </w:r>
      <w:r>
        <w:rPr>
          <w:spacing w:val="-3"/>
          <w:sz w:val="21"/>
        </w:rPr>
        <w:t>terms </w:t>
      </w:r>
      <w:r>
        <w:rPr>
          <w:sz w:val="21"/>
        </w:rPr>
        <w:t>of </w:t>
      </w:r>
      <w:r>
        <w:rPr>
          <w:spacing w:val="-3"/>
          <w:sz w:val="21"/>
        </w:rPr>
        <w:t>reference </w:t>
      </w:r>
      <w:r>
        <w:rPr>
          <w:sz w:val="21"/>
        </w:rPr>
        <w:t>directed it </w:t>
      </w:r>
      <w:r>
        <w:rPr>
          <w:spacing w:val="-3"/>
          <w:sz w:val="21"/>
        </w:rPr>
        <w:t>to </w:t>
      </w:r>
      <w:r>
        <w:rPr>
          <w:sz w:val="21"/>
        </w:rPr>
        <w:t>review and report</w:t>
      </w:r>
      <w:r>
        <w:rPr>
          <w:spacing w:val="21"/>
          <w:sz w:val="21"/>
        </w:rPr>
        <w:t> </w:t>
      </w:r>
      <w:r>
        <w:rPr>
          <w:sz w:val="21"/>
        </w:rPr>
        <w:t>on:</w:t>
      </w:r>
    </w:p>
    <w:p>
      <w:pPr>
        <w:spacing w:line="254" w:lineRule="auto" w:before="132"/>
        <w:ind w:left="2721" w:right="1619" w:firstLine="0"/>
        <w:jc w:val="left"/>
        <w:rPr>
          <w:sz w:val="20"/>
        </w:rPr>
      </w:pPr>
      <w:r>
        <w:rPr>
          <w:w w:val="105"/>
          <w:sz w:val="20"/>
        </w:rPr>
        <w:t>whether Part IV of the </w:t>
      </w:r>
      <w:r>
        <w:rPr>
          <w:i/>
          <w:spacing w:val="-3"/>
          <w:w w:val="105"/>
          <w:sz w:val="20"/>
        </w:rPr>
        <w:t>Administration </w:t>
      </w:r>
      <w:r>
        <w:rPr>
          <w:i/>
          <w:w w:val="105"/>
          <w:sz w:val="20"/>
        </w:rPr>
        <w:t>and Probate Act </w:t>
      </w:r>
      <w:r>
        <w:rPr>
          <w:i/>
          <w:spacing w:val="-6"/>
          <w:w w:val="105"/>
          <w:sz w:val="20"/>
        </w:rPr>
        <w:t>1958 </w:t>
      </w:r>
      <w:r>
        <w:rPr>
          <w:spacing w:val="-3"/>
          <w:w w:val="105"/>
          <w:sz w:val="20"/>
        </w:rPr>
        <w:t>concerning family </w:t>
      </w:r>
      <w:r>
        <w:rPr>
          <w:w w:val="105"/>
          <w:sz w:val="20"/>
        </w:rPr>
        <w:t>provision applications</w:t>
      </w:r>
      <w:r>
        <w:rPr>
          <w:spacing w:val="-14"/>
          <w:w w:val="105"/>
          <w:sz w:val="20"/>
        </w:rPr>
        <w:t> </w:t>
      </w:r>
      <w:r>
        <w:rPr>
          <w:w w:val="105"/>
          <w:sz w:val="20"/>
        </w:rPr>
        <w:t>is</w:t>
      </w:r>
      <w:r>
        <w:rPr>
          <w:spacing w:val="-14"/>
          <w:w w:val="105"/>
          <w:sz w:val="20"/>
        </w:rPr>
        <w:t> </w:t>
      </w:r>
      <w:r>
        <w:rPr>
          <w:w w:val="105"/>
          <w:sz w:val="20"/>
        </w:rPr>
        <w:t>operating</w:t>
      </w:r>
      <w:r>
        <w:rPr>
          <w:spacing w:val="-14"/>
          <w:w w:val="105"/>
          <w:sz w:val="20"/>
        </w:rPr>
        <w:t> </w:t>
      </w:r>
      <w:r>
        <w:rPr>
          <w:w w:val="105"/>
          <w:sz w:val="20"/>
        </w:rPr>
        <w:t>justly</w:t>
      </w:r>
      <w:r>
        <w:rPr>
          <w:spacing w:val="-14"/>
          <w:w w:val="105"/>
          <w:sz w:val="20"/>
        </w:rPr>
        <w:t> </w:t>
      </w:r>
      <w:r>
        <w:rPr>
          <w:w w:val="105"/>
          <w:sz w:val="20"/>
        </w:rPr>
        <w:t>and</w:t>
      </w:r>
      <w:r>
        <w:rPr>
          <w:spacing w:val="-14"/>
          <w:w w:val="105"/>
          <w:sz w:val="20"/>
        </w:rPr>
        <w:t> </w:t>
      </w:r>
      <w:r>
        <w:rPr>
          <w:w w:val="105"/>
          <w:sz w:val="20"/>
        </w:rPr>
        <w:t>effectively,</w:t>
      </w:r>
      <w:r>
        <w:rPr>
          <w:spacing w:val="-14"/>
          <w:w w:val="105"/>
          <w:sz w:val="20"/>
        </w:rPr>
        <w:t> </w:t>
      </w:r>
      <w:r>
        <w:rPr>
          <w:w w:val="105"/>
          <w:sz w:val="20"/>
        </w:rPr>
        <w:t>having</w:t>
      </w:r>
      <w:r>
        <w:rPr>
          <w:spacing w:val="-14"/>
          <w:w w:val="105"/>
          <w:sz w:val="20"/>
        </w:rPr>
        <w:t> </w:t>
      </w:r>
      <w:r>
        <w:rPr>
          <w:w w:val="105"/>
          <w:sz w:val="20"/>
        </w:rPr>
        <w:t>regard</w:t>
      </w:r>
      <w:r>
        <w:rPr>
          <w:spacing w:val="-14"/>
          <w:w w:val="105"/>
          <w:sz w:val="20"/>
        </w:rPr>
        <w:t> </w:t>
      </w:r>
      <w:r>
        <w:rPr>
          <w:w w:val="105"/>
          <w:sz w:val="20"/>
        </w:rPr>
        <w:t>to</w:t>
      </w:r>
      <w:r>
        <w:rPr>
          <w:spacing w:val="-14"/>
          <w:w w:val="105"/>
          <w:sz w:val="20"/>
        </w:rPr>
        <w:t> </w:t>
      </w:r>
      <w:r>
        <w:rPr>
          <w:w w:val="105"/>
          <w:sz w:val="20"/>
        </w:rPr>
        <w:t>its</w:t>
      </w:r>
      <w:r>
        <w:rPr>
          <w:spacing w:val="-14"/>
          <w:w w:val="105"/>
          <w:sz w:val="20"/>
        </w:rPr>
        <w:t> </w:t>
      </w:r>
      <w:r>
        <w:rPr>
          <w:w w:val="105"/>
          <w:sz w:val="20"/>
        </w:rPr>
        <w:t>objective</w:t>
      </w:r>
      <w:r>
        <w:rPr>
          <w:spacing w:val="-14"/>
          <w:w w:val="105"/>
          <w:sz w:val="20"/>
        </w:rPr>
        <w:t> </w:t>
      </w:r>
      <w:r>
        <w:rPr>
          <w:w w:val="105"/>
          <w:sz w:val="20"/>
        </w:rPr>
        <w:t>of</w:t>
      </w:r>
      <w:r>
        <w:rPr>
          <w:spacing w:val="-14"/>
          <w:w w:val="105"/>
          <w:sz w:val="20"/>
        </w:rPr>
        <w:t> </w:t>
      </w:r>
      <w:r>
        <w:rPr>
          <w:w w:val="105"/>
          <w:sz w:val="20"/>
        </w:rPr>
        <w:t>providing for the proper </w:t>
      </w:r>
      <w:r>
        <w:rPr>
          <w:spacing w:val="-3"/>
          <w:w w:val="105"/>
          <w:sz w:val="20"/>
        </w:rPr>
        <w:t>maintenance </w:t>
      </w:r>
      <w:r>
        <w:rPr>
          <w:w w:val="105"/>
          <w:sz w:val="20"/>
        </w:rPr>
        <w:t>and support of persons for whom a deceased had a responsibility to </w:t>
      </w:r>
      <w:r>
        <w:rPr>
          <w:spacing w:val="-3"/>
          <w:w w:val="105"/>
          <w:sz w:val="20"/>
        </w:rPr>
        <w:t>make</w:t>
      </w:r>
      <w:r>
        <w:rPr>
          <w:spacing w:val="13"/>
          <w:w w:val="105"/>
          <w:sz w:val="20"/>
        </w:rPr>
        <w:t> </w:t>
      </w:r>
      <w:r>
        <w:rPr>
          <w:w w:val="105"/>
          <w:sz w:val="20"/>
        </w:rPr>
        <w:t>provision.</w:t>
      </w:r>
    </w:p>
    <w:p>
      <w:pPr>
        <w:pStyle w:val="ListParagraph"/>
        <w:numPr>
          <w:ilvl w:val="1"/>
          <w:numId w:val="22"/>
        </w:numPr>
        <w:tabs>
          <w:tab w:pos="2380" w:val="left" w:leader="none"/>
          <w:tab w:pos="2381" w:val="left" w:leader="none"/>
        </w:tabs>
        <w:spacing w:line="242" w:lineRule="auto" w:before="115" w:after="0"/>
        <w:ind w:left="2381" w:right="1586" w:hanging="794"/>
        <w:jc w:val="left"/>
        <w:rPr>
          <w:sz w:val="21"/>
        </w:rPr>
      </w:pPr>
      <w:r>
        <w:rPr>
          <w:w w:val="105"/>
          <w:sz w:val="21"/>
        </w:rPr>
        <w:t>Under the </w:t>
      </w:r>
      <w:r>
        <w:rPr>
          <w:spacing w:val="-3"/>
          <w:w w:val="105"/>
          <w:sz w:val="21"/>
        </w:rPr>
        <w:t>Administration </w:t>
      </w:r>
      <w:r>
        <w:rPr>
          <w:w w:val="105"/>
          <w:sz w:val="21"/>
        </w:rPr>
        <w:t>and </w:t>
      </w:r>
      <w:r>
        <w:rPr>
          <w:spacing w:val="-3"/>
          <w:w w:val="105"/>
          <w:sz w:val="21"/>
        </w:rPr>
        <w:t>Probate </w:t>
      </w:r>
      <w:r>
        <w:rPr>
          <w:w w:val="105"/>
          <w:sz w:val="21"/>
        </w:rPr>
        <w:t>Act, </w:t>
      </w:r>
      <w:r>
        <w:rPr>
          <w:spacing w:val="-3"/>
          <w:w w:val="105"/>
          <w:sz w:val="21"/>
        </w:rPr>
        <w:t>any </w:t>
      </w:r>
      <w:r>
        <w:rPr>
          <w:w w:val="105"/>
          <w:sz w:val="21"/>
        </w:rPr>
        <w:t>person can apply </w:t>
      </w:r>
      <w:r>
        <w:rPr>
          <w:spacing w:val="-3"/>
          <w:w w:val="105"/>
          <w:sz w:val="21"/>
        </w:rPr>
        <w:t>to </w:t>
      </w:r>
      <w:r>
        <w:rPr>
          <w:w w:val="105"/>
          <w:sz w:val="21"/>
        </w:rPr>
        <w:t>the </w:t>
      </w:r>
      <w:r>
        <w:rPr>
          <w:spacing w:val="-3"/>
          <w:w w:val="105"/>
          <w:sz w:val="21"/>
        </w:rPr>
        <w:t>County Court </w:t>
      </w:r>
      <w:r>
        <w:rPr>
          <w:w w:val="105"/>
          <w:sz w:val="21"/>
        </w:rPr>
        <w:t>or </w:t>
      </w:r>
      <w:r>
        <w:rPr>
          <w:spacing w:val="-3"/>
          <w:w w:val="105"/>
          <w:sz w:val="21"/>
        </w:rPr>
        <w:t>Supreme Court for </w:t>
      </w:r>
      <w:r>
        <w:rPr>
          <w:w w:val="105"/>
          <w:sz w:val="21"/>
        </w:rPr>
        <w:t>a </w:t>
      </w:r>
      <w:r>
        <w:rPr>
          <w:spacing w:val="-4"/>
          <w:w w:val="105"/>
          <w:sz w:val="21"/>
        </w:rPr>
        <w:t>share, </w:t>
      </w:r>
      <w:r>
        <w:rPr>
          <w:w w:val="105"/>
          <w:sz w:val="21"/>
        </w:rPr>
        <w:t>or a larger </w:t>
      </w:r>
      <w:r>
        <w:rPr>
          <w:spacing w:val="-4"/>
          <w:w w:val="105"/>
          <w:sz w:val="21"/>
        </w:rPr>
        <w:t>share, </w:t>
      </w:r>
      <w:r>
        <w:rPr>
          <w:w w:val="105"/>
          <w:sz w:val="21"/>
        </w:rPr>
        <w:t>of a deceased </w:t>
      </w:r>
      <w:r>
        <w:rPr>
          <w:spacing w:val="-3"/>
          <w:w w:val="105"/>
          <w:sz w:val="21"/>
        </w:rPr>
        <w:t>person’s estate. </w:t>
      </w:r>
      <w:r>
        <w:rPr>
          <w:w w:val="105"/>
          <w:sz w:val="21"/>
        </w:rPr>
        <w:t>When </w:t>
      </w:r>
      <w:r>
        <w:rPr>
          <w:spacing w:val="-3"/>
          <w:w w:val="105"/>
          <w:sz w:val="21"/>
        </w:rPr>
        <w:t>hearing </w:t>
      </w:r>
      <w:r>
        <w:rPr>
          <w:w w:val="105"/>
          <w:sz w:val="21"/>
        </w:rPr>
        <w:t>a </w:t>
      </w:r>
      <w:r>
        <w:rPr>
          <w:spacing w:val="-3"/>
          <w:w w:val="105"/>
          <w:sz w:val="21"/>
        </w:rPr>
        <w:t>family provision claim, </w:t>
      </w:r>
      <w:r>
        <w:rPr>
          <w:w w:val="105"/>
          <w:sz w:val="21"/>
        </w:rPr>
        <w:t>the court must decide</w:t>
      </w:r>
      <w:r>
        <w:rPr>
          <w:spacing w:val="38"/>
          <w:w w:val="105"/>
          <w:sz w:val="21"/>
        </w:rPr>
        <w:t> </w:t>
      </w:r>
      <w:r>
        <w:rPr>
          <w:w w:val="105"/>
          <w:sz w:val="21"/>
        </w:rPr>
        <w:t>whether:</w:t>
      </w:r>
    </w:p>
    <w:p>
      <w:pPr>
        <w:pStyle w:val="ListParagraph"/>
        <w:numPr>
          <w:ilvl w:val="2"/>
          <w:numId w:val="22"/>
        </w:numPr>
        <w:tabs>
          <w:tab w:pos="2721" w:val="left" w:leader="none"/>
          <w:tab w:pos="2722" w:val="left" w:leader="none"/>
        </w:tabs>
        <w:spacing w:line="242" w:lineRule="auto" w:before="123" w:after="0"/>
        <w:ind w:left="2721" w:right="2460" w:hanging="340"/>
        <w:jc w:val="left"/>
        <w:rPr>
          <w:sz w:val="21"/>
        </w:rPr>
      </w:pPr>
      <w:r>
        <w:rPr>
          <w:sz w:val="21"/>
        </w:rPr>
        <w:t>the deceased person </w:t>
      </w:r>
      <w:r>
        <w:rPr>
          <w:spacing w:val="-2"/>
          <w:sz w:val="21"/>
        </w:rPr>
        <w:t>had </w:t>
      </w:r>
      <w:r>
        <w:rPr>
          <w:spacing w:val="-3"/>
          <w:sz w:val="21"/>
        </w:rPr>
        <w:t>responsibility to </w:t>
      </w:r>
      <w:r>
        <w:rPr>
          <w:sz w:val="21"/>
        </w:rPr>
        <w:t>provide </w:t>
      </w:r>
      <w:r>
        <w:rPr>
          <w:spacing w:val="-3"/>
          <w:sz w:val="21"/>
        </w:rPr>
        <w:t>for </w:t>
      </w:r>
      <w:r>
        <w:rPr>
          <w:sz w:val="21"/>
        </w:rPr>
        <w:t>the person </w:t>
      </w:r>
      <w:r>
        <w:rPr>
          <w:spacing w:val="-3"/>
          <w:sz w:val="21"/>
        </w:rPr>
        <w:t>making </w:t>
      </w:r>
      <w:r>
        <w:rPr>
          <w:sz w:val="21"/>
        </w:rPr>
        <w:t>the application (the</w:t>
      </w:r>
      <w:r>
        <w:rPr>
          <w:spacing w:val="16"/>
          <w:sz w:val="21"/>
        </w:rPr>
        <w:t> </w:t>
      </w:r>
      <w:r>
        <w:rPr>
          <w:spacing w:val="-3"/>
          <w:sz w:val="21"/>
        </w:rPr>
        <w:t>applicant)</w:t>
      </w:r>
    </w:p>
    <w:p>
      <w:pPr>
        <w:pStyle w:val="ListParagraph"/>
        <w:numPr>
          <w:ilvl w:val="2"/>
          <w:numId w:val="22"/>
        </w:numPr>
        <w:tabs>
          <w:tab w:pos="2721" w:val="left" w:leader="none"/>
          <w:tab w:pos="2722" w:val="left" w:leader="none"/>
        </w:tabs>
        <w:spacing w:line="237" w:lineRule="auto" w:before="125" w:after="0"/>
        <w:ind w:left="2721" w:right="1843" w:hanging="340"/>
        <w:jc w:val="left"/>
        <w:rPr>
          <w:sz w:val="14"/>
        </w:rPr>
      </w:pPr>
      <w:r>
        <w:rPr>
          <w:spacing w:val="-2"/>
          <w:w w:val="105"/>
          <w:sz w:val="21"/>
        </w:rPr>
        <w:t>distribution </w:t>
      </w:r>
      <w:r>
        <w:rPr>
          <w:w w:val="105"/>
          <w:sz w:val="21"/>
        </w:rPr>
        <w:t>of the deceased </w:t>
      </w:r>
      <w:r>
        <w:rPr>
          <w:spacing w:val="-3"/>
          <w:w w:val="105"/>
          <w:sz w:val="21"/>
        </w:rPr>
        <w:t>person’s </w:t>
      </w:r>
      <w:r>
        <w:rPr>
          <w:w w:val="105"/>
          <w:sz w:val="21"/>
        </w:rPr>
        <w:t>estate by their </w:t>
      </w:r>
      <w:r>
        <w:rPr>
          <w:spacing w:val="-3"/>
          <w:w w:val="105"/>
          <w:sz w:val="21"/>
        </w:rPr>
        <w:t>will, </w:t>
      </w:r>
      <w:r>
        <w:rPr>
          <w:w w:val="105"/>
          <w:sz w:val="21"/>
        </w:rPr>
        <w:t>intestacy laws, or </w:t>
      </w:r>
      <w:r>
        <w:rPr>
          <w:spacing w:val="-3"/>
          <w:w w:val="105"/>
          <w:sz w:val="21"/>
        </w:rPr>
        <w:t>both, makes</w:t>
      </w:r>
      <w:r>
        <w:rPr>
          <w:spacing w:val="-5"/>
          <w:w w:val="105"/>
          <w:sz w:val="21"/>
        </w:rPr>
        <w:t> </w:t>
      </w:r>
      <w:r>
        <w:rPr>
          <w:spacing w:val="-3"/>
          <w:w w:val="105"/>
          <w:sz w:val="21"/>
        </w:rPr>
        <w:t>adequate</w:t>
      </w:r>
      <w:r>
        <w:rPr>
          <w:spacing w:val="-5"/>
          <w:w w:val="105"/>
          <w:sz w:val="21"/>
        </w:rPr>
        <w:t> </w:t>
      </w:r>
      <w:r>
        <w:rPr>
          <w:spacing w:val="-3"/>
          <w:w w:val="105"/>
          <w:sz w:val="21"/>
        </w:rPr>
        <w:t>provision</w:t>
      </w:r>
      <w:r>
        <w:rPr>
          <w:spacing w:val="-5"/>
          <w:w w:val="105"/>
          <w:sz w:val="21"/>
        </w:rPr>
        <w:t> </w:t>
      </w:r>
      <w:r>
        <w:rPr>
          <w:spacing w:val="-3"/>
          <w:w w:val="105"/>
          <w:sz w:val="21"/>
        </w:rPr>
        <w:t>for</w:t>
      </w:r>
      <w:r>
        <w:rPr>
          <w:spacing w:val="-5"/>
          <w:w w:val="105"/>
          <w:sz w:val="21"/>
        </w:rPr>
        <w:t> </w:t>
      </w:r>
      <w:r>
        <w:rPr>
          <w:w w:val="105"/>
          <w:sz w:val="21"/>
        </w:rPr>
        <w:t>the</w:t>
      </w:r>
      <w:r>
        <w:rPr>
          <w:spacing w:val="-5"/>
          <w:w w:val="105"/>
          <w:sz w:val="21"/>
        </w:rPr>
        <w:t> </w:t>
      </w:r>
      <w:r>
        <w:rPr>
          <w:w w:val="105"/>
          <w:sz w:val="21"/>
        </w:rPr>
        <w:t>proper</w:t>
      </w:r>
      <w:r>
        <w:rPr>
          <w:spacing w:val="-5"/>
          <w:w w:val="105"/>
          <w:sz w:val="21"/>
        </w:rPr>
        <w:t> </w:t>
      </w:r>
      <w:r>
        <w:rPr>
          <w:spacing w:val="-3"/>
          <w:w w:val="105"/>
          <w:sz w:val="21"/>
        </w:rPr>
        <w:t>maintenance</w:t>
      </w:r>
      <w:r>
        <w:rPr>
          <w:spacing w:val="-5"/>
          <w:w w:val="105"/>
          <w:sz w:val="21"/>
        </w:rPr>
        <w:t> </w:t>
      </w:r>
      <w:r>
        <w:rPr>
          <w:w w:val="105"/>
          <w:sz w:val="21"/>
        </w:rPr>
        <w:t>and</w:t>
      </w:r>
      <w:r>
        <w:rPr>
          <w:spacing w:val="-5"/>
          <w:w w:val="105"/>
          <w:sz w:val="21"/>
        </w:rPr>
        <w:t> </w:t>
      </w:r>
      <w:r>
        <w:rPr>
          <w:w w:val="105"/>
          <w:sz w:val="21"/>
        </w:rPr>
        <w:t>support</w:t>
      </w:r>
      <w:r>
        <w:rPr>
          <w:spacing w:val="-4"/>
          <w:w w:val="105"/>
          <w:sz w:val="21"/>
        </w:rPr>
        <w:t> </w:t>
      </w:r>
      <w:r>
        <w:rPr>
          <w:w w:val="105"/>
          <w:sz w:val="21"/>
        </w:rPr>
        <w:t>of</w:t>
      </w:r>
      <w:r>
        <w:rPr>
          <w:spacing w:val="-5"/>
          <w:w w:val="105"/>
          <w:sz w:val="21"/>
        </w:rPr>
        <w:t> </w:t>
      </w:r>
      <w:r>
        <w:rPr>
          <w:w w:val="105"/>
          <w:sz w:val="21"/>
        </w:rPr>
        <w:t>the</w:t>
      </w:r>
      <w:r>
        <w:rPr>
          <w:spacing w:val="-5"/>
          <w:w w:val="105"/>
          <w:sz w:val="21"/>
        </w:rPr>
        <w:t> </w:t>
      </w:r>
      <w:r>
        <w:rPr>
          <w:spacing w:val="-3"/>
          <w:w w:val="105"/>
          <w:sz w:val="21"/>
        </w:rPr>
        <w:t>applicant and, </w:t>
      </w:r>
      <w:r>
        <w:rPr>
          <w:w w:val="105"/>
          <w:sz w:val="21"/>
        </w:rPr>
        <w:t>if not, the </w:t>
      </w:r>
      <w:r>
        <w:rPr>
          <w:spacing w:val="-3"/>
          <w:w w:val="105"/>
          <w:sz w:val="21"/>
        </w:rPr>
        <w:t>amount </w:t>
      </w:r>
      <w:r>
        <w:rPr>
          <w:w w:val="105"/>
          <w:sz w:val="21"/>
        </w:rPr>
        <w:t>of further </w:t>
      </w:r>
      <w:r>
        <w:rPr>
          <w:spacing w:val="-3"/>
          <w:w w:val="105"/>
          <w:sz w:val="21"/>
        </w:rPr>
        <w:t>provision that </w:t>
      </w:r>
      <w:r>
        <w:rPr>
          <w:w w:val="105"/>
          <w:sz w:val="21"/>
        </w:rPr>
        <w:t>should be </w:t>
      </w:r>
      <w:r>
        <w:rPr>
          <w:spacing w:val="-5"/>
          <w:w w:val="105"/>
          <w:sz w:val="21"/>
        </w:rPr>
        <w:t>made.</w:t>
      </w:r>
      <w:r>
        <w:rPr>
          <w:spacing w:val="-5"/>
          <w:w w:val="105"/>
          <w:position w:val="8"/>
          <w:sz w:val="14"/>
        </w:rPr>
        <w:t>1</w:t>
      </w:r>
    </w:p>
    <w:p>
      <w:pPr>
        <w:pStyle w:val="ListParagraph"/>
        <w:numPr>
          <w:ilvl w:val="1"/>
          <w:numId w:val="22"/>
        </w:numPr>
        <w:tabs>
          <w:tab w:pos="2380" w:val="left" w:leader="none"/>
          <w:tab w:pos="2381" w:val="left" w:leader="none"/>
        </w:tabs>
        <w:spacing w:line="240" w:lineRule="auto" w:before="123" w:after="0"/>
        <w:ind w:left="2381" w:right="0" w:hanging="794"/>
        <w:jc w:val="left"/>
        <w:rPr>
          <w:sz w:val="21"/>
        </w:rPr>
      </w:pPr>
      <w:r>
        <w:rPr>
          <w:sz w:val="21"/>
        </w:rPr>
        <w:t>The </w:t>
      </w:r>
      <w:r>
        <w:rPr>
          <w:spacing w:val="-3"/>
          <w:sz w:val="21"/>
        </w:rPr>
        <w:t>many </w:t>
      </w:r>
      <w:r>
        <w:rPr>
          <w:sz w:val="21"/>
        </w:rPr>
        <w:t>factors </w:t>
      </w:r>
      <w:r>
        <w:rPr>
          <w:spacing w:val="-3"/>
          <w:sz w:val="21"/>
        </w:rPr>
        <w:t>that </w:t>
      </w:r>
      <w:r>
        <w:rPr>
          <w:sz w:val="21"/>
        </w:rPr>
        <w:t>the court must </w:t>
      </w:r>
      <w:r>
        <w:rPr>
          <w:spacing w:val="-3"/>
          <w:sz w:val="21"/>
        </w:rPr>
        <w:t>consider </w:t>
      </w:r>
      <w:r>
        <w:rPr>
          <w:sz w:val="21"/>
        </w:rPr>
        <w:t>in </w:t>
      </w:r>
      <w:r>
        <w:rPr>
          <w:spacing w:val="-3"/>
          <w:sz w:val="21"/>
        </w:rPr>
        <w:t>making</w:t>
      </w:r>
      <w:r>
        <w:rPr>
          <w:spacing w:val="2"/>
          <w:sz w:val="21"/>
        </w:rPr>
        <w:t> </w:t>
      </w:r>
      <w:r>
        <w:rPr>
          <w:sz w:val="21"/>
        </w:rPr>
        <w:t>these decisions include:</w:t>
      </w:r>
    </w:p>
    <w:p>
      <w:pPr>
        <w:pStyle w:val="ListParagraph"/>
        <w:numPr>
          <w:ilvl w:val="2"/>
          <w:numId w:val="22"/>
        </w:numPr>
        <w:tabs>
          <w:tab w:pos="2721" w:val="left" w:leader="none"/>
          <w:tab w:pos="2722" w:val="left" w:leader="none"/>
        </w:tabs>
        <w:spacing w:line="240" w:lineRule="auto" w:before="124" w:after="0"/>
        <w:ind w:left="2721" w:right="0" w:hanging="340"/>
        <w:jc w:val="left"/>
        <w:rPr>
          <w:sz w:val="21"/>
        </w:rPr>
      </w:pPr>
      <w:r>
        <w:rPr>
          <w:sz w:val="21"/>
        </w:rPr>
        <w:t>the </w:t>
      </w:r>
      <w:r>
        <w:rPr>
          <w:spacing w:val="-3"/>
          <w:sz w:val="21"/>
        </w:rPr>
        <w:t>nature </w:t>
      </w:r>
      <w:r>
        <w:rPr>
          <w:sz w:val="21"/>
        </w:rPr>
        <w:t>of the </w:t>
      </w:r>
      <w:r>
        <w:rPr>
          <w:spacing w:val="-3"/>
          <w:sz w:val="21"/>
        </w:rPr>
        <w:t>relationship </w:t>
      </w:r>
      <w:r>
        <w:rPr>
          <w:sz w:val="21"/>
        </w:rPr>
        <w:t>between the </w:t>
      </w:r>
      <w:r>
        <w:rPr>
          <w:spacing w:val="-3"/>
          <w:sz w:val="21"/>
        </w:rPr>
        <w:t>applicant </w:t>
      </w:r>
      <w:r>
        <w:rPr>
          <w:sz w:val="21"/>
        </w:rPr>
        <w:t>and the deceased</w:t>
      </w:r>
      <w:r>
        <w:rPr>
          <w:spacing w:val="-6"/>
          <w:sz w:val="21"/>
        </w:rPr>
        <w:t> </w:t>
      </w:r>
      <w:r>
        <w:rPr>
          <w:sz w:val="21"/>
        </w:rPr>
        <w:t>person</w:t>
      </w:r>
    </w:p>
    <w:p>
      <w:pPr>
        <w:pStyle w:val="ListParagraph"/>
        <w:numPr>
          <w:ilvl w:val="2"/>
          <w:numId w:val="22"/>
        </w:numPr>
        <w:tabs>
          <w:tab w:pos="2721" w:val="left" w:leader="none"/>
          <w:tab w:pos="2722" w:val="left" w:leader="none"/>
        </w:tabs>
        <w:spacing w:line="240" w:lineRule="auto" w:before="123" w:after="0"/>
        <w:ind w:left="2721" w:right="0" w:hanging="340"/>
        <w:jc w:val="left"/>
        <w:rPr>
          <w:sz w:val="21"/>
        </w:rPr>
      </w:pPr>
      <w:r>
        <w:rPr>
          <w:sz w:val="21"/>
        </w:rPr>
        <w:t>the </w:t>
      </w:r>
      <w:r>
        <w:rPr>
          <w:spacing w:val="-3"/>
          <w:sz w:val="21"/>
        </w:rPr>
        <w:t>size </w:t>
      </w:r>
      <w:r>
        <w:rPr>
          <w:sz w:val="21"/>
        </w:rPr>
        <w:t>of the</w:t>
      </w:r>
      <w:r>
        <w:rPr>
          <w:spacing w:val="35"/>
          <w:sz w:val="21"/>
        </w:rPr>
        <w:t> </w:t>
      </w:r>
      <w:r>
        <w:rPr>
          <w:sz w:val="21"/>
        </w:rPr>
        <w:t>estate</w:t>
      </w:r>
    </w:p>
    <w:p>
      <w:pPr>
        <w:pStyle w:val="ListParagraph"/>
        <w:numPr>
          <w:ilvl w:val="2"/>
          <w:numId w:val="22"/>
        </w:numPr>
        <w:tabs>
          <w:tab w:pos="2721" w:val="left" w:leader="none"/>
          <w:tab w:pos="2722" w:val="left" w:leader="none"/>
        </w:tabs>
        <w:spacing w:line="240" w:lineRule="auto" w:before="124" w:after="0"/>
        <w:ind w:left="2721" w:right="0" w:hanging="340"/>
        <w:jc w:val="left"/>
        <w:rPr>
          <w:sz w:val="21"/>
        </w:rPr>
      </w:pPr>
      <w:r>
        <w:rPr>
          <w:w w:val="105"/>
          <w:sz w:val="21"/>
        </w:rPr>
        <w:t>the </w:t>
      </w:r>
      <w:r>
        <w:rPr>
          <w:spacing w:val="-3"/>
          <w:w w:val="105"/>
          <w:sz w:val="21"/>
        </w:rPr>
        <w:t>financial resources </w:t>
      </w:r>
      <w:r>
        <w:rPr>
          <w:w w:val="105"/>
          <w:sz w:val="21"/>
        </w:rPr>
        <w:t>and needs of the</w:t>
      </w:r>
      <w:r>
        <w:rPr>
          <w:spacing w:val="39"/>
          <w:w w:val="105"/>
          <w:sz w:val="21"/>
        </w:rPr>
        <w:t> </w:t>
      </w:r>
      <w:r>
        <w:rPr>
          <w:spacing w:val="-3"/>
          <w:w w:val="105"/>
          <w:sz w:val="21"/>
        </w:rPr>
        <w:t>applicant</w:t>
      </w:r>
    </w:p>
    <w:p>
      <w:pPr>
        <w:pStyle w:val="ListParagraph"/>
        <w:numPr>
          <w:ilvl w:val="2"/>
          <w:numId w:val="22"/>
        </w:numPr>
        <w:tabs>
          <w:tab w:pos="2721" w:val="left" w:leader="none"/>
          <w:tab w:pos="2722" w:val="left" w:leader="none"/>
        </w:tabs>
        <w:spacing w:line="240" w:lineRule="auto" w:before="124" w:after="0"/>
        <w:ind w:left="2721" w:right="0" w:hanging="340"/>
        <w:jc w:val="left"/>
        <w:rPr>
          <w:sz w:val="12"/>
        </w:rPr>
      </w:pPr>
      <w:r>
        <w:rPr>
          <w:spacing w:val="-3"/>
          <w:w w:val="105"/>
          <w:sz w:val="21"/>
        </w:rPr>
        <w:t>contributions </w:t>
      </w:r>
      <w:r>
        <w:rPr>
          <w:w w:val="105"/>
          <w:sz w:val="21"/>
        </w:rPr>
        <w:t>by the </w:t>
      </w:r>
      <w:r>
        <w:rPr>
          <w:spacing w:val="-3"/>
          <w:w w:val="105"/>
          <w:sz w:val="21"/>
        </w:rPr>
        <w:t>applicant to building </w:t>
      </w:r>
      <w:r>
        <w:rPr>
          <w:w w:val="105"/>
          <w:sz w:val="21"/>
        </w:rPr>
        <w:t>up the</w:t>
      </w:r>
      <w:r>
        <w:rPr>
          <w:spacing w:val="49"/>
          <w:w w:val="105"/>
          <w:sz w:val="21"/>
        </w:rPr>
        <w:t> </w:t>
      </w:r>
      <w:r>
        <w:rPr>
          <w:w w:val="105"/>
          <w:sz w:val="21"/>
        </w:rPr>
        <w:t>estate.</w:t>
      </w:r>
      <w:r>
        <w:rPr>
          <w:w w:val="105"/>
          <w:position w:val="7"/>
          <w:sz w:val="12"/>
        </w:rPr>
        <w:t>2</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3"/>
        </w:rPr>
      </w:pPr>
      <w:r>
        <w:rPr/>
        <w:pict>
          <v:line style="position:absolute;mso-position-horizontal-relative:page;mso-position-vertical-relative:paragraph;z-index:6632;mso-wrap-distance-left:0;mso-wrap-distance-right:0" from="79.370102pt,16.99239pt" to="515.905102pt,16.99239pt" stroked="true" strokeweight="1pt" strokecolor="#f9ceca">
            <v:stroke dashstyle="solid"/>
            <w10:wrap type="topAndBottom"/>
          </v:line>
        </w:pict>
      </w:r>
    </w:p>
    <w:p>
      <w:pPr>
        <w:pStyle w:val="ListParagraph"/>
        <w:numPr>
          <w:ilvl w:val="0"/>
          <w:numId w:val="78"/>
        </w:numPr>
        <w:tabs>
          <w:tab w:pos="2380" w:val="left" w:leader="none"/>
          <w:tab w:pos="2382" w:val="left" w:leader="none"/>
        </w:tabs>
        <w:spacing w:line="240" w:lineRule="auto" w:before="117" w:after="0"/>
        <w:ind w:left="2381" w:right="1746" w:hanging="794"/>
        <w:jc w:val="left"/>
        <w:rPr>
          <w:sz w:val="13"/>
        </w:rPr>
      </w:pPr>
      <w:r>
        <w:rPr>
          <w:i/>
          <w:w w:val="105"/>
          <w:sz w:val="13"/>
        </w:rPr>
        <w:t>Administration and Probate Act 1958 </w:t>
      </w:r>
      <w:r>
        <w:rPr>
          <w:spacing w:val="2"/>
          <w:w w:val="105"/>
          <w:sz w:val="13"/>
        </w:rPr>
        <w:t>(Vic) </w:t>
      </w:r>
      <w:r>
        <w:rPr>
          <w:w w:val="105"/>
          <w:sz w:val="13"/>
        </w:rPr>
        <w:t>ss 91(1), </w:t>
      </w:r>
      <w:r>
        <w:rPr>
          <w:spacing w:val="5"/>
          <w:w w:val="105"/>
          <w:sz w:val="13"/>
        </w:rPr>
        <w:t>(3)–(4). </w:t>
      </w:r>
      <w:r>
        <w:rPr>
          <w:w w:val="105"/>
          <w:sz w:val="13"/>
        </w:rPr>
        <w:t>Intestacy laws determine how a person’s </w:t>
      </w:r>
      <w:r>
        <w:rPr>
          <w:spacing w:val="2"/>
          <w:w w:val="105"/>
          <w:sz w:val="13"/>
        </w:rPr>
        <w:t>property </w:t>
      </w:r>
      <w:r>
        <w:rPr>
          <w:w w:val="105"/>
          <w:sz w:val="13"/>
        </w:rPr>
        <w:t>is distributed after they die if</w:t>
      </w:r>
      <w:r>
        <w:rPr>
          <w:spacing w:val="4"/>
          <w:w w:val="105"/>
          <w:sz w:val="13"/>
        </w:rPr>
        <w:t> </w:t>
      </w:r>
      <w:r>
        <w:rPr>
          <w:w w:val="105"/>
          <w:sz w:val="13"/>
        </w:rPr>
        <w:t>it</w:t>
      </w:r>
      <w:r>
        <w:rPr>
          <w:spacing w:val="5"/>
          <w:w w:val="105"/>
          <w:sz w:val="13"/>
        </w:rPr>
        <w:t> </w:t>
      </w:r>
      <w:r>
        <w:rPr>
          <w:w w:val="105"/>
          <w:sz w:val="13"/>
        </w:rPr>
        <w:t>is</w:t>
      </w:r>
      <w:r>
        <w:rPr>
          <w:spacing w:val="4"/>
          <w:w w:val="105"/>
          <w:sz w:val="13"/>
        </w:rPr>
        <w:t> </w:t>
      </w:r>
      <w:r>
        <w:rPr>
          <w:w w:val="105"/>
          <w:sz w:val="13"/>
        </w:rPr>
        <w:t>not</w:t>
      </w:r>
      <w:r>
        <w:rPr>
          <w:spacing w:val="5"/>
          <w:w w:val="105"/>
          <w:sz w:val="13"/>
        </w:rPr>
        <w:t> </w:t>
      </w:r>
      <w:r>
        <w:rPr>
          <w:w w:val="105"/>
          <w:sz w:val="13"/>
        </w:rPr>
        <w:t>disposed</w:t>
      </w:r>
      <w:r>
        <w:rPr>
          <w:spacing w:val="4"/>
          <w:w w:val="105"/>
          <w:sz w:val="13"/>
        </w:rPr>
        <w:t> </w:t>
      </w:r>
      <w:r>
        <w:rPr>
          <w:w w:val="105"/>
          <w:sz w:val="13"/>
        </w:rPr>
        <w:t>of</w:t>
      </w:r>
      <w:r>
        <w:rPr>
          <w:spacing w:val="5"/>
          <w:w w:val="105"/>
          <w:sz w:val="13"/>
        </w:rPr>
        <w:t> </w:t>
      </w:r>
      <w:r>
        <w:rPr>
          <w:w w:val="105"/>
          <w:sz w:val="13"/>
        </w:rPr>
        <w:t>by</w:t>
      </w:r>
      <w:r>
        <w:rPr>
          <w:spacing w:val="4"/>
          <w:w w:val="105"/>
          <w:sz w:val="13"/>
        </w:rPr>
        <w:t> </w:t>
      </w:r>
      <w:r>
        <w:rPr>
          <w:w w:val="105"/>
          <w:sz w:val="13"/>
        </w:rPr>
        <w:t>a</w:t>
      </w:r>
      <w:r>
        <w:rPr>
          <w:spacing w:val="5"/>
          <w:w w:val="105"/>
          <w:sz w:val="13"/>
        </w:rPr>
        <w:t> </w:t>
      </w:r>
      <w:r>
        <w:rPr>
          <w:w w:val="105"/>
          <w:sz w:val="13"/>
        </w:rPr>
        <w:t>will.</w:t>
      </w:r>
      <w:r>
        <w:rPr>
          <w:spacing w:val="5"/>
          <w:w w:val="105"/>
          <w:sz w:val="13"/>
        </w:rPr>
        <w:t> </w:t>
      </w:r>
      <w:r>
        <w:rPr>
          <w:w w:val="105"/>
          <w:sz w:val="13"/>
        </w:rPr>
        <w:t>Intestacy</w:t>
      </w:r>
      <w:r>
        <w:rPr>
          <w:spacing w:val="4"/>
          <w:w w:val="105"/>
          <w:sz w:val="13"/>
        </w:rPr>
        <w:t> </w:t>
      </w:r>
      <w:r>
        <w:rPr>
          <w:w w:val="105"/>
          <w:sz w:val="13"/>
        </w:rPr>
        <w:t>is</w:t>
      </w:r>
      <w:r>
        <w:rPr>
          <w:spacing w:val="5"/>
          <w:w w:val="105"/>
          <w:sz w:val="13"/>
        </w:rPr>
        <w:t> </w:t>
      </w:r>
      <w:r>
        <w:rPr>
          <w:w w:val="105"/>
          <w:sz w:val="13"/>
        </w:rPr>
        <w:t>defined</w:t>
      </w:r>
      <w:r>
        <w:rPr>
          <w:spacing w:val="4"/>
          <w:w w:val="105"/>
          <w:sz w:val="13"/>
        </w:rPr>
        <w:t> </w:t>
      </w:r>
      <w:r>
        <w:rPr>
          <w:w w:val="105"/>
          <w:sz w:val="13"/>
        </w:rPr>
        <w:t>in</w:t>
      </w:r>
      <w:r>
        <w:rPr>
          <w:spacing w:val="5"/>
          <w:w w:val="105"/>
          <w:sz w:val="13"/>
        </w:rPr>
        <w:t> </w:t>
      </w:r>
      <w:r>
        <w:rPr>
          <w:w w:val="105"/>
          <w:sz w:val="13"/>
        </w:rPr>
        <w:t>the</w:t>
      </w:r>
      <w:r>
        <w:rPr>
          <w:spacing w:val="4"/>
          <w:w w:val="105"/>
          <w:sz w:val="13"/>
        </w:rPr>
        <w:t> </w:t>
      </w:r>
      <w:r>
        <w:rPr>
          <w:spacing w:val="2"/>
          <w:w w:val="105"/>
          <w:sz w:val="13"/>
        </w:rPr>
        <w:t>glossary</w:t>
      </w:r>
      <w:r>
        <w:rPr>
          <w:spacing w:val="5"/>
          <w:w w:val="105"/>
          <w:sz w:val="13"/>
        </w:rPr>
        <w:t> </w:t>
      </w:r>
      <w:r>
        <w:rPr>
          <w:w w:val="105"/>
          <w:sz w:val="13"/>
        </w:rPr>
        <w:t>and</w:t>
      </w:r>
      <w:r>
        <w:rPr>
          <w:spacing w:val="4"/>
          <w:w w:val="105"/>
          <w:sz w:val="13"/>
        </w:rPr>
        <w:t> </w:t>
      </w:r>
      <w:r>
        <w:rPr>
          <w:w w:val="105"/>
          <w:sz w:val="13"/>
        </w:rPr>
        <w:t>discussed</w:t>
      </w:r>
      <w:r>
        <w:rPr>
          <w:spacing w:val="5"/>
          <w:w w:val="105"/>
          <w:sz w:val="13"/>
        </w:rPr>
        <w:t> </w:t>
      </w:r>
      <w:r>
        <w:rPr>
          <w:w w:val="105"/>
          <w:sz w:val="13"/>
        </w:rPr>
        <w:t>in</w:t>
      </w:r>
      <w:r>
        <w:rPr>
          <w:spacing w:val="5"/>
          <w:w w:val="105"/>
          <w:sz w:val="13"/>
        </w:rPr>
        <w:t> </w:t>
      </w:r>
      <w:r>
        <w:rPr>
          <w:w w:val="105"/>
          <w:sz w:val="13"/>
        </w:rPr>
        <w:t>Chapter</w:t>
      </w:r>
      <w:r>
        <w:rPr>
          <w:spacing w:val="4"/>
          <w:w w:val="105"/>
          <w:sz w:val="13"/>
        </w:rPr>
        <w:t> </w:t>
      </w:r>
      <w:r>
        <w:rPr>
          <w:w w:val="105"/>
          <w:sz w:val="13"/>
        </w:rPr>
        <w:t>5.</w:t>
      </w:r>
    </w:p>
    <w:p>
      <w:pPr>
        <w:pStyle w:val="ListParagraph"/>
        <w:numPr>
          <w:ilvl w:val="0"/>
          <w:numId w:val="78"/>
        </w:numPr>
        <w:tabs>
          <w:tab w:pos="2380" w:val="left" w:leader="none"/>
          <w:tab w:pos="2382" w:val="left" w:leader="none"/>
        </w:tabs>
        <w:spacing w:line="240" w:lineRule="auto" w:before="3" w:after="0"/>
        <w:ind w:left="2381" w:right="1742" w:hanging="794"/>
        <w:jc w:val="left"/>
        <w:rPr>
          <w:sz w:val="13"/>
        </w:rPr>
      </w:pPr>
      <w:r>
        <w:rPr/>
        <w:pict>
          <v:shape style="position:absolute;margin-left:36pt;margin-top:3.705463pt;width:13.6pt;height:14.25pt;mso-position-horizontal-relative:page;mso-position-vertical-relative:paragraph;z-index:8704" type="#_x0000_t202" filled="false" stroked="false">
            <v:textbox inset="0,0,0,0">
              <w:txbxContent>
                <w:p>
                  <w:pPr>
                    <w:spacing w:line="284" w:lineRule="exact" w:before="0"/>
                    <w:ind w:left="0" w:right="0" w:firstLine="0"/>
                    <w:jc w:val="left"/>
                    <w:rPr>
                      <w:b/>
                      <w:sz w:val="24"/>
                    </w:rPr>
                  </w:pPr>
                  <w:r>
                    <w:rPr>
                      <w:b/>
                      <w:color w:val="EC5A4F"/>
                      <w:w w:val="110"/>
                      <w:sz w:val="24"/>
                    </w:rPr>
                    <w:t>98</w:t>
                  </w:r>
                </w:p>
              </w:txbxContent>
            </v:textbox>
            <w10:wrap type="none"/>
          </v:shape>
        </w:pict>
      </w:r>
      <w:r>
        <w:rPr>
          <w:i/>
          <w:w w:val="105"/>
          <w:sz w:val="13"/>
        </w:rPr>
        <w:t>Administration and Probate Act 1958 </w:t>
      </w:r>
      <w:r>
        <w:rPr>
          <w:spacing w:val="2"/>
          <w:w w:val="105"/>
          <w:sz w:val="13"/>
        </w:rPr>
        <w:t>(Vic) </w:t>
      </w:r>
      <w:r>
        <w:rPr>
          <w:w w:val="105"/>
          <w:sz w:val="13"/>
        </w:rPr>
        <w:t>ss </w:t>
      </w:r>
      <w:r>
        <w:rPr>
          <w:spacing w:val="4"/>
          <w:w w:val="105"/>
          <w:sz w:val="13"/>
        </w:rPr>
        <w:t>91(4)(e)–(p). </w:t>
      </w:r>
      <w:r>
        <w:rPr>
          <w:w w:val="105"/>
          <w:sz w:val="13"/>
        </w:rPr>
        <w:t>For discussion of this, see Victorian Law Reform Commission, </w:t>
      </w:r>
      <w:r>
        <w:rPr>
          <w:i/>
          <w:w w:val="105"/>
          <w:sz w:val="13"/>
        </w:rPr>
        <w:t>Succession Laws: </w:t>
      </w:r>
      <w:r>
        <w:rPr>
          <w:i/>
          <w:w w:val="105"/>
          <w:sz w:val="13"/>
        </w:rPr>
        <w:t>Family Provision</w:t>
      </w:r>
      <w:r>
        <w:rPr>
          <w:w w:val="105"/>
          <w:sz w:val="13"/>
        </w:rPr>
        <w:t>, Consultation Paper No </w:t>
      </w:r>
      <w:r>
        <w:rPr>
          <w:spacing w:val="-4"/>
          <w:w w:val="105"/>
          <w:sz w:val="13"/>
        </w:rPr>
        <w:t>12 </w:t>
      </w:r>
      <w:r>
        <w:rPr>
          <w:w w:val="105"/>
          <w:sz w:val="13"/>
        </w:rPr>
        <w:t>(2012)</w:t>
      </w:r>
      <w:r>
        <w:rPr>
          <w:spacing w:val="7"/>
          <w:w w:val="105"/>
          <w:sz w:val="13"/>
        </w:rPr>
        <w:t> </w:t>
      </w:r>
      <w:r>
        <w:rPr>
          <w:w w:val="105"/>
          <w:sz w:val="13"/>
        </w:rPr>
        <w:t>19.</w:t>
      </w:r>
    </w:p>
    <w:p>
      <w:pPr>
        <w:spacing w:after="0" w:line="240" w:lineRule="auto"/>
        <w:jc w:val="left"/>
        <w:rPr>
          <w:sz w:val="13"/>
        </w:rPr>
        <w:sectPr>
          <w:pgSz w:w="11910" w:h="16840"/>
          <w:pgMar w:header="550" w:footer="0" w:top="1560" w:bottom="280" w:left="0" w:right="0"/>
        </w:sectPr>
      </w:pPr>
    </w:p>
    <w:p>
      <w:pPr>
        <w:pStyle w:val="BodyText"/>
        <w:rPr>
          <w:sz w:val="20"/>
        </w:rPr>
      </w:pPr>
    </w:p>
    <w:p>
      <w:pPr>
        <w:pStyle w:val="BodyText"/>
        <w:rPr>
          <w:sz w:val="19"/>
        </w:rPr>
      </w:pPr>
    </w:p>
    <w:p>
      <w:pPr>
        <w:pStyle w:val="ListParagraph"/>
        <w:numPr>
          <w:ilvl w:val="1"/>
          <w:numId w:val="22"/>
        </w:numPr>
        <w:tabs>
          <w:tab w:pos="2381" w:val="left" w:leader="none"/>
          <w:tab w:pos="2382" w:val="left" w:leader="none"/>
        </w:tabs>
        <w:spacing w:line="242" w:lineRule="auto" w:before="91" w:after="0"/>
        <w:ind w:left="2381" w:right="1730" w:hanging="794"/>
        <w:jc w:val="left"/>
        <w:rPr>
          <w:sz w:val="12"/>
        </w:rPr>
      </w:pPr>
      <w:r>
        <w:rPr>
          <w:sz w:val="21"/>
        </w:rPr>
        <w:t>If the court is satisfied </w:t>
      </w:r>
      <w:r>
        <w:rPr>
          <w:spacing w:val="-3"/>
          <w:sz w:val="21"/>
        </w:rPr>
        <w:t>that </w:t>
      </w:r>
      <w:r>
        <w:rPr>
          <w:sz w:val="21"/>
        </w:rPr>
        <w:t>the deceased person </w:t>
      </w:r>
      <w:r>
        <w:rPr>
          <w:spacing w:val="-2"/>
          <w:sz w:val="21"/>
        </w:rPr>
        <w:t>had </w:t>
      </w:r>
      <w:r>
        <w:rPr>
          <w:spacing w:val="-3"/>
          <w:sz w:val="21"/>
        </w:rPr>
        <w:t>responsibility to </w:t>
      </w:r>
      <w:r>
        <w:rPr>
          <w:sz w:val="21"/>
        </w:rPr>
        <w:t>provide </w:t>
      </w:r>
      <w:r>
        <w:rPr>
          <w:spacing w:val="-3"/>
          <w:sz w:val="21"/>
        </w:rPr>
        <w:t>for </w:t>
      </w:r>
      <w:r>
        <w:rPr>
          <w:sz w:val="21"/>
        </w:rPr>
        <w:t>the </w:t>
      </w:r>
      <w:r>
        <w:rPr>
          <w:spacing w:val="-3"/>
          <w:sz w:val="21"/>
        </w:rPr>
        <w:t>applicant, </w:t>
      </w:r>
      <w:r>
        <w:rPr>
          <w:sz w:val="21"/>
        </w:rPr>
        <w:t>and </w:t>
      </w:r>
      <w:r>
        <w:rPr>
          <w:spacing w:val="-3"/>
          <w:sz w:val="21"/>
        </w:rPr>
        <w:t>that </w:t>
      </w:r>
      <w:r>
        <w:rPr>
          <w:sz w:val="21"/>
        </w:rPr>
        <w:t>the </w:t>
      </w:r>
      <w:r>
        <w:rPr>
          <w:spacing w:val="-3"/>
          <w:sz w:val="21"/>
        </w:rPr>
        <w:t>will </w:t>
      </w:r>
      <w:r>
        <w:rPr>
          <w:sz w:val="21"/>
        </w:rPr>
        <w:t>or intestacy </w:t>
      </w:r>
      <w:r>
        <w:rPr>
          <w:spacing w:val="-3"/>
          <w:sz w:val="21"/>
        </w:rPr>
        <w:t>provisions failed to  </w:t>
      </w:r>
      <w:r>
        <w:rPr>
          <w:spacing w:val="-4"/>
          <w:sz w:val="21"/>
        </w:rPr>
        <w:t>make  </w:t>
      </w:r>
      <w:r>
        <w:rPr>
          <w:spacing w:val="-3"/>
          <w:sz w:val="21"/>
        </w:rPr>
        <w:t>adequate  provision  for </w:t>
      </w:r>
      <w:r>
        <w:rPr>
          <w:sz w:val="21"/>
        </w:rPr>
        <w:t>the proper </w:t>
      </w:r>
      <w:r>
        <w:rPr>
          <w:spacing w:val="-3"/>
          <w:sz w:val="21"/>
        </w:rPr>
        <w:t>maintenance </w:t>
      </w:r>
      <w:r>
        <w:rPr>
          <w:sz w:val="21"/>
        </w:rPr>
        <w:t>and support of the </w:t>
      </w:r>
      <w:r>
        <w:rPr>
          <w:spacing w:val="-3"/>
          <w:sz w:val="21"/>
        </w:rPr>
        <w:t>applicant, </w:t>
      </w:r>
      <w:r>
        <w:rPr>
          <w:sz w:val="21"/>
        </w:rPr>
        <w:t>it </w:t>
      </w:r>
      <w:r>
        <w:rPr>
          <w:spacing w:val="-3"/>
          <w:sz w:val="21"/>
        </w:rPr>
        <w:t>may </w:t>
      </w:r>
      <w:r>
        <w:rPr>
          <w:sz w:val="21"/>
        </w:rPr>
        <w:t>order </w:t>
      </w:r>
      <w:r>
        <w:rPr>
          <w:spacing w:val="-3"/>
          <w:sz w:val="21"/>
        </w:rPr>
        <w:t>that </w:t>
      </w:r>
      <w:r>
        <w:rPr>
          <w:sz w:val="21"/>
        </w:rPr>
        <w:t>further </w:t>
      </w:r>
      <w:r>
        <w:rPr>
          <w:spacing w:val="-3"/>
          <w:sz w:val="21"/>
        </w:rPr>
        <w:t>provision </w:t>
      </w:r>
      <w:r>
        <w:rPr>
          <w:sz w:val="21"/>
        </w:rPr>
        <w:t>should be made </w:t>
      </w:r>
      <w:r>
        <w:rPr>
          <w:spacing w:val="-3"/>
          <w:sz w:val="21"/>
        </w:rPr>
        <w:t>for </w:t>
      </w:r>
      <w:r>
        <w:rPr>
          <w:sz w:val="21"/>
        </w:rPr>
        <w:t>the </w:t>
      </w:r>
      <w:r>
        <w:rPr>
          <w:spacing w:val="-3"/>
          <w:sz w:val="21"/>
        </w:rPr>
        <w:t>applicant </w:t>
      </w:r>
      <w:r>
        <w:rPr>
          <w:sz w:val="21"/>
        </w:rPr>
        <w:t>out of the deceased </w:t>
      </w:r>
      <w:r>
        <w:rPr>
          <w:spacing w:val="-3"/>
          <w:sz w:val="21"/>
        </w:rPr>
        <w:t>person’s</w:t>
      </w:r>
      <w:r>
        <w:rPr>
          <w:spacing w:val="4"/>
          <w:sz w:val="21"/>
        </w:rPr>
        <w:t> </w:t>
      </w:r>
      <w:r>
        <w:rPr>
          <w:spacing w:val="-3"/>
          <w:sz w:val="21"/>
        </w:rPr>
        <w:t>estate.</w:t>
      </w:r>
      <w:r>
        <w:rPr>
          <w:spacing w:val="-3"/>
          <w:position w:val="7"/>
          <w:sz w:val="12"/>
        </w:rPr>
        <w:t>3</w:t>
      </w:r>
    </w:p>
    <w:p>
      <w:pPr>
        <w:pStyle w:val="ListParagraph"/>
        <w:numPr>
          <w:ilvl w:val="1"/>
          <w:numId w:val="22"/>
        </w:numPr>
        <w:tabs>
          <w:tab w:pos="2381" w:val="left" w:leader="none"/>
          <w:tab w:pos="2382" w:val="left" w:leader="none"/>
        </w:tabs>
        <w:spacing w:line="242" w:lineRule="auto" w:before="124" w:after="0"/>
        <w:ind w:left="2381" w:right="1980" w:hanging="794"/>
        <w:jc w:val="left"/>
        <w:rPr>
          <w:sz w:val="12"/>
        </w:rPr>
      </w:pPr>
      <w:r>
        <w:rPr>
          <w:w w:val="105"/>
          <w:sz w:val="21"/>
        </w:rPr>
        <w:t>The court decides each case on its own merits, after </w:t>
      </w:r>
      <w:r>
        <w:rPr>
          <w:spacing w:val="-3"/>
          <w:w w:val="105"/>
          <w:sz w:val="21"/>
        </w:rPr>
        <w:t>balancing </w:t>
      </w:r>
      <w:r>
        <w:rPr>
          <w:w w:val="105"/>
          <w:sz w:val="21"/>
        </w:rPr>
        <w:t>the </w:t>
      </w:r>
      <w:r>
        <w:rPr>
          <w:spacing w:val="-3"/>
          <w:w w:val="105"/>
          <w:sz w:val="21"/>
        </w:rPr>
        <w:t>relevant </w:t>
      </w:r>
      <w:r>
        <w:rPr>
          <w:w w:val="105"/>
          <w:sz w:val="21"/>
        </w:rPr>
        <w:t>statutory </w:t>
      </w:r>
      <w:r>
        <w:rPr>
          <w:spacing w:val="-3"/>
          <w:w w:val="105"/>
          <w:sz w:val="21"/>
        </w:rPr>
        <w:t>criteria.</w:t>
      </w:r>
      <w:r>
        <w:rPr>
          <w:spacing w:val="-8"/>
          <w:w w:val="105"/>
          <w:sz w:val="21"/>
        </w:rPr>
        <w:t> </w:t>
      </w:r>
      <w:r>
        <w:rPr>
          <w:w w:val="105"/>
          <w:sz w:val="21"/>
        </w:rPr>
        <w:t>There</w:t>
      </w:r>
      <w:r>
        <w:rPr>
          <w:spacing w:val="-8"/>
          <w:w w:val="105"/>
          <w:sz w:val="21"/>
        </w:rPr>
        <w:t> </w:t>
      </w:r>
      <w:r>
        <w:rPr>
          <w:spacing w:val="-3"/>
          <w:w w:val="105"/>
          <w:sz w:val="21"/>
        </w:rPr>
        <w:t>are</w:t>
      </w:r>
      <w:r>
        <w:rPr>
          <w:spacing w:val="-8"/>
          <w:w w:val="105"/>
          <w:sz w:val="21"/>
        </w:rPr>
        <w:t> </w:t>
      </w:r>
      <w:r>
        <w:rPr>
          <w:w w:val="105"/>
          <w:sz w:val="21"/>
        </w:rPr>
        <w:t>no</w:t>
      </w:r>
      <w:r>
        <w:rPr>
          <w:spacing w:val="-8"/>
          <w:w w:val="105"/>
          <w:sz w:val="21"/>
        </w:rPr>
        <w:t> </w:t>
      </w:r>
      <w:r>
        <w:rPr>
          <w:w w:val="105"/>
          <w:sz w:val="21"/>
        </w:rPr>
        <w:t>definitive</w:t>
      </w:r>
      <w:r>
        <w:rPr>
          <w:spacing w:val="-8"/>
          <w:w w:val="105"/>
          <w:sz w:val="21"/>
        </w:rPr>
        <w:t> </w:t>
      </w:r>
      <w:r>
        <w:rPr>
          <w:w w:val="105"/>
          <w:sz w:val="21"/>
        </w:rPr>
        <w:t>rules</w:t>
      </w:r>
      <w:r>
        <w:rPr>
          <w:spacing w:val="-8"/>
          <w:w w:val="105"/>
          <w:sz w:val="21"/>
        </w:rPr>
        <w:t> </w:t>
      </w:r>
      <w:r>
        <w:rPr>
          <w:w w:val="105"/>
          <w:sz w:val="21"/>
        </w:rPr>
        <w:t>about</w:t>
      </w:r>
      <w:r>
        <w:rPr>
          <w:spacing w:val="-8"/>
          <w:w w:val="105"/>
          <w:sz w:val="21"/>
        </w:rPr>
        <w:t> </w:t>
      </w:r>
      <w:r>
        <w:rPr>
          <w:w w:val="105"/>
          <w:sz w:val="21"/>
        </w:rPr>
        <w:t>when</w:t>
      </w:r>
      <w:r>
        <w:rPr>
          <w:spacing w:val="-8"/>
          <w:w w:val="105"/>
          <w:sz w:val="21"/>
        </w:rPr>
        <w:t> </w:t>
      </w:r>
      <w:r>
        <w:rPr>
          <w:w w:val="105"/>
          <w:sz w:val="21"/>
        </w:rPr>
        <w:t>a</w:t>
      </w:r>
      <w:r>
        <w:rPr>
          <w:spacing w:val="-7"/>
          <w:w w:val="105"/>
          <w:sz w:val="21"/>
        </w:rPr>
        <w:t> </w:t>
      </w:r>
      <w:r>
        <w:rPr>
          <w:spacing w:val="-3"/>
          <w:w w:val="105"/>
          <w:sz w:val="21"/>
        </w:rPr>
        <w:t>family</w:t>
      </w:r>
      <w:r>
        <w:rPr>
          <w:spacing w:val="-8"/>
          <w:w w:val="105"/>
          <w:sz w:val="21"/>
        </w:rPr>
        <w:t> </w:t>
      </w:r>
      <w:r>
        <w:rPr>
          <w:spacing w:val="-3"/>
          <w:w w:val="105"/>
          <w:sz w:val="21"/>
        </w:rPr>
        <w:t>provision</w:t>
      </w:r>
      <w:r>
        <w:rPr>
          <w:spacing w:val="-8"/>
          <w:w w:val="105"/>
          <w:sz w:val="21"/>
        </w:rPr>
        <w:t> </w:t>
      </w:r>
      <w:r>
        <w:rPr>
          <w:spacing w:val="-3"/>
          <w:w w:val="105"/>
          <w:sz w:val="21"/>
        </w:rPr>
        <w:t>claim</w:t>
      </w:r>
      <w:r>
        <w:rPr>
          <w:spacing w:val="-8"/>
          <w:w w:val="105"/>
          <w:sz w:val="21"/>
        </w:rPr>
        <w:t> </w:t>
      </w:r>
      <w:r>
        <w:rPr>
          <w:spacing w:val="-3"/>
          <w:w w:val="105"/>
          <w:sz w:val="21"/>
        </w:rPr>
        <w:t>will</w:t>
      </w:r>
      <w:r>
        <w:rPr>
          <w:spacing w:val="-8"/>
          <w:w w:val="105"/>
          <w:sz w:val="21"/>
        </w:rPr>
        <w:t> </w:t>
      </w:r>
      <w:r>
        <w:rPr>
          <w:spacing w:val="-3"/>
          <w:w w:val="105"/>
          <w:sz w:val="21"/>
        </w:rPr>
        <w:t>succeed. </w:t>
      </w:r>
      <w:r>
        <w:rPr>
          <w:w w:val="105"/>
          <w:sz w:val="21"/>
        </w:rPr>
        <w:t>As discussed in the </w:t>
      </w:r>
      <w:r>
        <w:rPr>
          <w:spacing w:val="-4"/>
          <w:w w:val="105"/>
          <w:sz w:val="21"/>
        </w:rPr>
        <w:t>Commission’s </w:t>
      </w:r>
      <w:r>
        <w:rPr>
          <w:spacing w:val="-3"/>
          <w:w w:val="105"/>
          <w:sz w:val="21"/>
        </w:rPr>
        <w:t>consultation </w:t>
      </w:r>
      <w:r>
        <w:rPr>
          <w:w w:val="105"/>
          <w:sz w:val="21"/>
        </w:rPr>
        <w:t>paper on </w:t>
      </w:r>
      <w:r>
        <w:rPr>
          <w:spacing w:val="-3"/>
          <w:w w:val="105"/>
          <w:sz w:val="21"/>
        </w:rPr>
        <w:t>family provision, </w:t>
      </w:r>
      <w:r>
        <w:rPr>
          <w:w w:val="105"/>
          <w:sz w:val="21"/>
        </w:rPr>
        <w:t>applicants in</w:t>
      </w:r>
      <w:r>
        <w:rPr>
          <w:spacing w:val="-5"/>
          <w:w w:val="105"/>
          <w:sz w:val="21"/>
        </w:rPr>
        <w:t> </w:t>
      </w:r>
      <w:r>
        <w:rPr>
          <w:w w:val="105"/>
          <w:sz w:val="21"/>
        </w:rPr>
        <w:t>a</w:t>
      </w:r>
      <w:r>
        <w:rPr>
          <w:spacing w:val="-5"/>
          <w:w w:val="105"/>
          <w:sz w:val="21"/>
        </w:rPr>
        <w:t> </w:t>
      </w:r>
      <w:r>
        <w:rPr>
          <w:spacing w:val="-3"/>
          <w:w w:val="105"/>
          <w:sz w:val="21"/>
        </w:rPr>
        <w:t>range</w:t>
      </w:r>
      <w:r>
        <w:rPr>
          <w:spacing w:val="-5"/>
          <w:w w:val="105"/>
          <w:sz w:val="21"/>
        </w:rPr>
        <w:t> </w:t>
      </w:r>
      <w:r>
        <w:rPr>
          <w:w w:val="105"/>
          <w:sz w:val="21"/>
        </w:rPr>
        <w:t>of</w:t>
      </w:r>
      <w:r>
        <w:rPr>
          <w:spacing w:val="-5"/>
          <w:w w:val="105"/>
          <w:sz w:val="21"/>
        </w:rPr>
        <w:t> </w:t>
      </w:r>
      <w:r>
        <w:rPr>
          <w:spacing w:val="-3"/>
          <w:w w:val="105"/>
          <w:sz w:val="21"/>
        </w:rPr>
        <w:t>different</w:t>
      </w:r>
      <w:r>
        <w:rPr>
          <w:spacing w:val="-5"/>
          <w:w w:val="105"/>
          <w:sz w:val="21"/>
        </w:rPr>
        <w:t> </w:t>
      </w:r>
      <w:r>
        <w:rPr>
          <w:spacing w:val="-3"/>
          <w:w w:val="105"/>
          <w:sz w:val="21"/>
        </w:rPr>
        <w:t>relationships</w:t>
      </w:r>
      <w:r>
        <w:rPr>
          <w:spacing w:val="-5"/>
          <w:w w:val="105"/>
          <w:sz w:val="21"/>
        </w:rPr>
        <w:t> </w:t>
      </w:r>
      <w:r>
        <w:rPr>
          <w:w w:val="105"/>
          <w:sz w:val="21"/>
        </w:rPr>
        <w:t>with</w:t>
      </w:r>
      <w:r>
        <w:rPr>
          <w:spacing w:val="-5"/>
          <w:w w:val="105"/>
          <w:sz w:val="21"/>
        </w:rPr>
        <w:t> </w:t>
      </w:r>
      <w:r>
        <w:rPr>
          <w:w w:val="105"/>
          <w:sz w:val="21"/>
        </w:rPr>
        <w:t>the</w:t>
      </w:r>
      <w:r>
        <w:rPr>
          <w:spacing w:val="-5"/>
          <w:w w:val="105"/>
          <w:sz w:val="21"/>
        </w:rPr>
        <w:t> </w:t>
      </w:r>
      <w:r>
        <w:rPr>
          <w:w w:val="105"/>
          <w:sz w:val="21"/>
        </w:rPr>
        <w:t>deceased</w:t>
      </w:r>
      <w:r>
        <w:rPr>
          <w:spacing w:val="-5"/>
          <w:w w:val="105"/>
          <w:sz w:val="21"/>
        </w:rPr>
        <w:t> </w:t>
      </w:r>
      <w:r>
        <w:rPr>
          <w:w w:val="105"/>
          <w:sz w:val="21"/>
        </w:rPr>
        <w:t>person</w:t>
      </w:r>
      <w:r>
        <w:rPr>
          <w:spacing w:val="-5"/>
          <w:w w:val="105"/>
          <w:sz w:val="21"/>
        </w:rPr>
        <w:t> </w:t>
      </w:r>
      <w:r>
        <w:rPr>
          <w:spacing w:val="-3"/>
          <w:w w:val="105"/>
          <w:sz w:val="21"/>
        </w:rPr>
        <w:t>have</w:t>
      </w:r>
      <w:r>
        <w:rPr>
          <w:spacing w:val="-5"/>
          <w:w w:val="105"/>
          <w:sz w:val="21"/>
        </w:rPr>
        <w:t> </w:t>
      </w:r>
      <w:r>
        <w:rPr>
          <w:w w:val="105"/>
          <w:sz w:val="21"/>
        </w:rPr>
        <w:t>been</w:t>
      </w:r>
      <w:r>
        <w:rPr>
          <w:spacing w:val="-5"/>
          <w:w w:val="105"/>
          <w:sz w:val="21"/>
        </w:rPr>
        <w:t> </w:t>
      </w:r>
      <w:r>
        <w:rPr>
          <w:spacing w:val="-3"/>
          <w:w w:val="105"/>
          <w:sz w:val="21"/>
        </w:rPr>
        <w:t>successful</w:t>
      </w:r>
      <w:r>
        <w:rPr>
          <w:spacing w:val="-5"/>
          <w:w w:val="105"/>
          <w:sz w:val="21"/>
        </w:rPr>
        <w:t> </w:t>
      </w:r>
      <w:r>
        <w:rPr>
          <w:w w:val="105"/>
          <w:sz w:val="21"/>
        </w:rPr>
        <w:t>or </w:t>
      </w:r>
      <w:r>
        <w:rPr>
          <w:spacing w:val="-3"/>
          <w:w w:val="105"/>
          <w:sz w:val="21"/>
        </w:rPr>
        <w:t>unsuccessful, </w:t>
      </w:r>
      <w:r>
        <w:rPr>
          <w:w w:val="105"/>
          <w:sz w:val="21"/>
        </w:rPr>
        <w:t>based on the </w:t>
      </w:r>
      <w:r>
        <w:rPr>
          <w:spacing w:val="-3"/>
          <w:w w:val="105"/>
          <w:sz w:val="21"/>
        </w:rPr>
        <w:t>individual circumstances </w:t>
      </w:r>
      <w:r>
        <w:rPr>
          <w:w w:val="105"/>
          <w:sz w:val="21"/>
        </w:rPr>
        <w:t>of each</w:t>
      </w:r>
      <w:r>
        <w:rPr>
          <w:spacing w:val="38"/>
          <w:w w:val="105"/>
          <w:sz w:val="21"/>
        </w:rPr>
        <w:t> </w:t>
      </w:r>
      <w:r>
        <w:rPr>
          <w:spacing w:val="-3"/>
          <w:w w:val="105"/>
          <w:sz w:val="21"/>
        </w:rPr>
        <w:t>case.</w:t>
      </w:r>
      <w:r>
        <w:rPr>
          <w:spacing w:val="-3"/>
          <w:w w:val="105"/>
          <w:position w:val="7"/>
          <w:sz w:val="12"/>
        </w:rPr>
        <w:t>4</w:t>
      </w:r>
    </w:p>
    <w:p>
      <w:pPr>
        <w:pStyle w:val="ListParagraph"/>
        <w:numPr>
          <w:ilvl w:val="1"/>
          <w:numId w:val="22"/>
        </w:numPr>
        <w:tabs>
          <w:tab w:pos="2381" w:val="left" w:leader="none"/>
          <w:tab w:pos="2382" w:val="left" w:leader="none"/>
        </w:tabs>
        <w:spacing w:line="242" w:lineRule="auto" w:before="126" w:after="0"/>
        <w:ind w:left="2381" w:right="1717" w:hanging="794"/>
        <w:jc w:val="left"/>
        <w:rPr>
          <w:sz w:val="21"/>
        </w:rPr>
      </w:pPr>
      <w:r>
        <w:rPr>
          <w:sz w:val="21"/>
        </w:rPr>
        <w:t>It </w:t>
      </w:r>
      <w:r>
        <w:rPr>
          <w:spacing w:val="-3"/>
          <w:sz w:val="21"/>
        </w:rPr>
        <w:t>is </w:t>
      </w:r>
      <w:r>
        <w:rPr>
          <w:spacing w:val="-5"/>
          <w:sz w:val="21"/>
        </w:rPr>
        <w:t>important </w:t>
      </w:r>
      <w:r>
        <w:rPr>
          <w:spacing w:val="-4"/>
          <w:sz w:val="21"/>
        </w:rPr>
        <w:t>to </w:t>
      </w:r>
      <w:r>
        <w:rPr>
          <w:spacing w:val="-6"/>
          <w:sz w:val="21"/>
        </w:rPr>
        <w:t>note, </w:t>
      </w:r>
      <w:r>
        <w:rPr>
          <w:spacing w:val="-7"/>
          <w:sz w:val="21"/>
        </w:rPr>
        <w:t>however, </w:t>
      </w:r>
      <w:r>
        <w:rPr>
          <w:spacing w:val="-5"/>
          <w:sz w:val="21"/>
        </w:rPr>
        <w:t>that </w:t>
      </w:r>
      <w:r>
        <w:rPr>
          <w:spacing w:val="-4"/>
          <w:sz w:val="21"/>
        </w:rPr>
        <w:t>the vast </w:t>
      </w:r>
      <w:r>
        <w:rPr>
          <w:spacing w:val="-5"/>
          <w:sz w:val="21"/>
        </w:rPr>
        <w:t>majority </w:t>
      </w:r>
      <w:r>
        <w:rPr>
          <w:spacing w:val="-4"/>
          <w:sz w:val="21"/>
        </w:rPr>
        <w:t>of </w:t>
      </w:r>
      <w:r>
        <w:rPr>
          <w:spacing w:val="-6"/>
          <w:sz w:val="21"/>
        </w:rPr>
        <w:t>family </w:t>
      </w:r>
      <w:r>
        <w:rPr>
          <w:spacing w:val="-5"/>
          <w:sz w:val="21"/>
        </w:rPr>
        <w:t>provision </w:t>
      </w:r>
      <w:r>
        <w:rPr>
          <w:spacing w:val="-6"/>
          <w:sz w:val="21"/>
        </w:rPr>
        <w:t>claims </w:t>
      </w:r>
      <w:r>
        <w:rPr>
          <w:spacing w:val="-5"/>
          <w:sz w:val="21"/>
        </w:rPr>
        <w:t>are </w:t>
      </w:r>
      <w:r>
        <w:rPr>
          <w:spacing w:val="-4"/>
          <w:sz w:val="21"/>
        </w:rPr>
        <w:t>not </w:t>
      </w:r>
      <w:r>
        <w:rPr>
          <w:spacing w:val="-6"/>
          <w:sz w:val="21"/>
        </w:rPr>
        <w:t>ultimately</w:t>
      </w:r>
      <w:r>
        <w:rPr>
          <w:spacing w:val="16"/>
          <w:sz w:val="21"/>
        </w:rPr>
        <w:t> </w:t>
      </w:r>
      <w:r>
        <w:rPr>
          <w:spacing w:val="-4"/>
          <w:sz w:val="21"/>
        </w:rPr>
        <w:t>decided</w:t>
      </w:r>
      <w:r>
        <w:rPr>
          <w:spacing w:val="17"/>
          <w:sz w:val="21"/>
        </w:rPr>
        <w:t> </w:t>
      </w:r>
      <w:r>
        <w:rPr>
          <w:spacing w:val="-4"/>
          <w:sz w:val="21"/>
        </w:rPr>
        <w:t>by</w:t>
      </w:r>
      <w:r>
        <w:rPr>
          <w:spacing w:val="17"/>
          <w:sz w:val="21"/>
        </w:rPr>
        <w:t> </w:t>
      </w:r>
      <w:r>
        <w:rPr>
          <w:spacing w:val="-4"/>
          <w:sz w:val="21"/>
        </w:rPr>
        <w:t>the</w:t>
      </w:r>
      <w:r>
        <w:rPr>
          <w:spacing w:val="16"/>
          <w:sz w:val="21"/>
        </w:rPr>
        <w:t> </w:t>
      </w:r>
      <w:r>
        <w:rPr>
          <w:spacing w:val="-4"/>
          <w:sz w:val="21"/>
        </w:rPr>
        <w:t>courts;</w:t>
      </w:r>
      <w:r>
        <w:rPr>
          <w:spacing w:val="17"/>
          <w:sz w:val="21"/>
        </w:rPr>
        <w:t> </w:t>
      </w:r>
      <w:r>
        <w:rPr>
          <w:spacing w:val="-4"/>
          <w:sz w:val="21"/>
        </w:rPr>
        <w:t>they</w:t>
      </w:r>
      <w:r>
        <w:rPr>
          <w:spacing w:val="17"/>
          <w:sz w:val="21"/>
        </w:rPr>
        <w:t> </w:t>
      </w:r>
      <w:r>
        <w:rPr>
          <w:spacing w:val="-5"/>
          <w:sz w:val="21"/>
        </w:rPr>
        <w:t>are</w:t>
      </w:r>
      <w:r>
        <w:rPr>
          <w:spacing w:val="16"/>
          <w:sz w:val="21"/>
        </w:rPr>
        <w:t> </w:t>
      </w:r>
      <w:r>
        <w:rPr>
          <w:spacing w:val="-6"/>
          <w:sz w:val="21"/>
        </w:rPr>
        <w:t>usually</w:t>
      </w:r>
      <w:r>
        <w:rPr>
          <w:spacing w:val="17"/>
          <w:sz w:val="21"/>
        </w:rPr>
        <w:t> </w:t>
      </w:r>
      <w:r>
        <w:rPr>
          <w:spacing w:val="-4"/>
          <w:sz w:val="21"/>
        </w:rPr>
        <w:t>settled</w:t>
      </w:r>
      <w:r>
        <w:rPr>
          <w:spacing w:val="17"/>
          <w:sz w:val="21"/>
        </w:rPr>
        <w:t> </w:t>
      </w:r>
      <w:r>
        <w:rPr>
          <w:spacing w:val="-4"/>
          <w:sz w:val="21"/>
        </w:rPr>
        <w:t>by</w:t>
      </w:r>
      <w:r>
        <w:rPr>
          <w:spacing w:val="16"/>
          <w:sz w:val="21"/>
        </w:rPr>
        <w:t> </w:t>
      </w:r>
      <w:r>
        <w:rPr>
          <w:spacing w:val="-5"/>
          <w:sz w:val="21"/>
        </w:rPr>
        <w:t>agreement</w:t>
      </w:r>
      <w:r>
        <w:rPr>
          <w:spacing w:val="17"/>
          <w:sz w:val="21"/>
        </w:rPr>
        <w:t> </w:t>
      </w:r>
      <w:r>
        <w:rPr>
          <w:spacing w:val="-4"/>
          <w:sz w:val="21"/>
        </w:rPr>
        <w:t>between</w:t>
      </w:r>
      <w:r>
        <w:rPr>
          <w:spacing w:val="17"/>
          <w:sz w:val="21"/>
        </w:rPr>
        <w:t> </w:t>
      </w:r>
      <w:r>
        <w:rPr>
          <w:spacing w:val="-4"/>
          <w:sz w:val="21"/>
        </w:rPr>
        <w:t>the</w:t>
      </w:r>
      <w:r>
        <w:rPr>
          <w:spacing w:val="16"/>
          <w:sz w:val="21"/>
        </w:rPr>
        <w:t> </w:t>
      </w:r>
      <w:r>
        <w:rPr>
          <w:spacing w:val="-5"/>
          <w:sz w:val="21"/>
        </w:rPr>
        <w:t>parties.</w:t>
      </w:r>
    </w:p>
    <w:p>
      <w:pPr>
        <w:pStyle w:val="BodyText"/>
        <w:spacing w:before="10"/>
        <w:rPr>
          <w:sz w:val="24"/>
        </w:rPr>
      </w:pPr>
    </w:p>
    <w:p>
      <w:pPr>
        <w:pStyle w:val="Heading5"/>
        <w:spacing w:before="1"/>
      </w:pPr>
      <w:bookmarkStart w:name="_TOC_250023" w:id="101"/>
      <w:bookmarkEnd w:id="101"/>
      <w:r>
        <w:rPr>
          <w:w w:val="115"/>
        </w:rPr>
        <w:t>Overview of the problems with family provision law in Victoria</w:t>
      </w:r>
    </w:p>
    <w:p>
      <w:pPr>
        <w:pStyle w:val="ListParagraph"/>
        <w:numPr>
          <w:ilvl w:val="1"/>
          <w:numId w:val="22"/>
        </w:numPr>
        <w:tabs>
          <w:tab w:pos="2380" w:val="left" w:leader="none"/>
          <w:tab w:pos="2381" w:val="left" w:leader="none"/>
        </w:tabs>
        <w:spacing w:line="242" w:lineRule="auto" w:before="137" w:after="0"/>
        <w:ind w:left="2381" w:right="1782" w:hanging="794"/>
        <w:jc w:val="left"/>
        <w:rPr>
          <w:sz w:val="21"/>
        </w:rPr>
      </w:pPr>
      <w:r>
        <w:rPr>
          <w:w w:val="105"/>
          <w:sz w:val="21"/>
        </w:rPr>
        <w:t>In the course of this </w:t>
      </w:r>
      <w:r>
        <w:rPr>
          <w:spacing w:val="-4"/>
          <w:w w:val="105"/>
          <w:sz w:val="21"/>
        </w:rPr>
        <w:t>reference, </w:t>
      </w:r>
      <w:r>
        <w:rPr>
          <w:w w:val="105"/>
          <w:sz w:val="21"/>
        </w:rPr>
        <w:t>the </w:t>
      </w:r>
      <w:r>
        <w:rPr>
          <w:spacing w:val="-3"/>
          <w:w w:val="105"/>
          <w:sz w:val="21"/>
        </w:rPr>
        <w:t>Commission </w:t>
      </w:r>
      <w:r>
        <w:rPr>
          <w:spacing w:val="-2"/>
          <w:w w:val="105"/>
          <w:sz w:val="21"/>
        </w:rPr>
        <w:t>has </w:t>
      </w:r>
      <w:r>
        <w:rPr>
          <w:spacing w:val="-3"/>
          <w:w w:val="105"/>
          <w:sz w:val="21"/>
        </w:rPr>
        <w:t>heard </w:t>
      </w:r>
      <w:r>
        <w:rPr>
          <w:w w:val="105"/>
          <w:sz w:val="21"/>
        </w:rPr>
        <w:t>a number of </w:t>
      </w:r>
      <w:r>
        <w:rPr>
          <w:spacing w:val="-3"/>
          <w:w w:val="105"/>
          <w:sz w:val="21"/>
        </w:rPr>
        <w:t>criticisms </w:t>
      </w:r>
      <w:r>
        <w:rPr>
          <w:w w:val="105"/>
          <w:sz w:val="21"/>
        </w:rPr>
        <w:t>about the</w:t>
      </w:r>
      <w:r>
        <w:rPr>
          <w:spacing w:val="-9"/>
          <w:w w:val="105"/>
          <w:sz w:val="21"/>
        </w:rPr>
        <w:t> </w:t>
      </w:r>
      <w:r>
        <w:rPr>
          <w:w w:val="105"/>
          <w:sz w:val="21"/>
        </w:rPr>
        <w:t>operation</w:t>
      </w:r>
      <w:r>
        <w:rPr>
          <w:spacing w:val="-8"/>
          <w:w w:val="105"/>
          <w:sz w:val="21"/>
        </w:rPr>
        <w:t> </w:t>
      </w:r>
      <w:r>
        <w:rPr>
          <w:w w:val="105"/>
          <w:sz w:val="21"/>
        </w:rPr>
        <w:t>of</w:t>
      </w:r>
      <w:r>
        <w:rPr>
          <w:spacing w:val="-9"/>
          <w:w w:val="105"/>
          <w:sz w:val="21"/>
        </w:rPr>
        <w:t> </w:t>
      </w:r>
      <w:r>
        <w:rPr>
          <w:spacing w:val="-3"/>
          <w:w w:val="105"/>
          <w:sz w:val="21"/>
        </w:rPr>
        <w:t>family</w:t>
      </w:r>
      <w:r>
        <w:rPr>
          <w:spacing w:val="-8"/>
          <w:w w:val="105"/>
          <w:sz w:val="21"/>
        </w:rPr>
        <w:t> </w:t>
      </w:r>
      <w:r>
        <w:rPr>
          <w:spacing w:val="-3"/>
          <w:w w:val="105"/>
          <w:sz w:val="21"/>
        </w:rPr>
        <w:t>provision</w:t>
      </w:r>
      <w:r>
        <w:rPr>
          <w:spacing w:val="-9"/>
          <w:w w:val="105"/>
          <w:sz w:val="21"/>
        </w:rPr>
        <w:t> </w:t>
      </w:r>
      <w:r>
        <w:rPr>
          <w:w w:val="105"/>
          <w:sz w:val="21"/>
        </w:rPr>
        <w:t>law</w:t>
      </w:r>
      <w:r>
        <w:rPr>
          <w:spacing w:val="-8"/>
          <w:w w:val="105"/>
          <w:sz w:val="21"/>
        </w:rPr>
        <w:t> </w:t>
      </w:r>
      <w:r>
        <w:rPr>
          <w:w w:val="105"/>
          <w:sz w:val="21"/>
        </w:rPr>
        <w:t>in</w:t>
      </w:r>
      <w:r>
        <w:rPr>
          <w:spacing w:val="-9"/>
          <w:w w:val="105"/>
          <w:sz w:val="21"/>
        </w:rPr>
        <w:t> </w:t>
      </w:r>
      <w:r>
        <w:rPr>
          <w:w w:val="105"/>
          <w:sz w:val="21"/>
        </w:rPr>
        <w:t>Victoria.</w:t>
      </w:r>
      <w:r>
        <w:rPr>
          <w:spacing w:val="-8"/>
          <w:w w:val="105"/>
          <w:sz w:val="21"/>
        </w:rPr>
        <w:t> </w:t>
      </w:r>
      <w:r>
        <w:rPr>
          <w:w w:val="105"/>
          <w:sz w:val="21"/>
        </w:rPr>
        <w:t>The</w:t>
      </w:r>
      <w:r>
        <w:rPr>
          <w:spacing w:val="-9"/>
          <w:w w:val="105"/>
          <w:sz w:val="21"/>
        </w:rPr>
        <w:t> </w:t>
      </w:r>
      <w:r>
        <w:rPr>
          <w:spacing w:val="-3"/>
          <w:w w:val="105"/>
          <w:sz w:val="21"/>
        </w:rPr>
        <w:t>Commission</w:t>
      </w:r>
      <w:r>
        <w:rPr>
          <w:spacing w:val="-8"/>
          <w:w w:val="105"/>
          <w:sz w:val="21"/>
        </w:rPr>
        <w:t> </w:t>
      </w:r>
      <w:r>
        <w:rPr>
          <w:w w:val="105"/>
          <w:sz w:val="21"/>
        </w:rPr>
        <w:t>identified</w:t>
      </w:r>
      <w:r>
        <w:rPr>
          <w:spacing w:val="-9"/>
          <w:w w:val="105"/>
          <w:sz w:val="21"/>
        </w:rPr>
        <w:t> </w:t>
      </w:r>
      <w:r>
        <w:rPr>
          <w:spacing w:val="-3"/>
          <w:w w:val="105"/>
          <w:sz w:val="21"/>
        </w:rPr>
        <w:t>several</w:t>
      </w:r>
      <w:r>
        <w:rPr>
          <w:spacing w:val="-8"/>
          <w:w w:val="105"/>
          <w:sz w:val="21"/>
        </w:rPr>
        <w:t> </w:t>
      </w:r>
      <w:r>
        <w:rPr>
          <w:w w:val="105"/>
          <w:sz w:val="21"/>
        </w:rPr>
        <w:t>in</w:t>
      </w:r>
      <w:r>
        <w:rPr>
          <w:spacing w:val="-9"/>
          <w:w w:val="105"/>
          <w:sz w:val="21"/>
        </w:rPr>
        <w:t> </w:t>
      </w:r>
      <w:r>
        <w:rPr>
          <w:w w:val="105"/>
          <w:sz w:val="21"/>
        </w:rPr>
        <w:t>its </w:t>
      </w:r>
      <w:r>
        <w:rPr>
          <w:spacing w:val="-3"/>
          <w:w w:val="105"/>
          <w:sz w:val="21"/>
        </w:rPr>
        <w:t>consultation </w:t>
      </w:r>
      <w:r>
        <w:rPr>
          <w:w w:val="105"/>
          <w:sz w:val="21"/>
        </w:rPr>
        <w:t>paper on </w:t>
      </w:r>
      <w:r>
        <w:rPr>
          <w:spacing w:val="-3"/>
          <w:w w:val="105"/>
          <w:sz w:val="21"/>
        </w:rPr>
        <w:t>family</w:t>
      </w:r>
      <w:r>
        <w:rPr>
          <w:spacing w:val="21"/>
          <w:w w:val="105"/>
          <w:sz w:val="21"/>
        </w:rPr>
        <w:t> </w:t>
      </w:r>
      <w:r>
        <w:rPr>
          <w:w w:val="105"/>
          <w:sz w:val="21"/>
        </w:rPr>
        <w:t>provision:</w:t>
      </w:r>
    </w:p>
    <w:p>
      <w:pPr>
        <w:pStyle w:val="ListParagraph"/>
        <w:numPr>
          <w:ilvl w:val="2"/>
          <w:numId w:val="22"/>
        </w:numPr>
        <w:tabs>
          <w:tab w:pos="2721" w:val="left" w:leader="none"/>
          <w:tab w:pos="2722" w:val="left" w:leader="none"/>
        </w:tabs>
        <w:spacing w:line="240" w:lineRule="auto" w:before="123" w:after="0"/>
        <w:ind w:left="2721" w:right="0" w:hanging="340"/>
        <w:jc w:val="left"/>
        <w:rPr>
          <w:sz w:val="21"/>
        </w:rPr>
      </w:pPr>
      <w:r>
        <w:rPr>
          <w:w w:val="105"/>
          <w:sz w:val="21"/>
        </w:rPr>
        <w:t>a belief </w:t>
      </w:r>
      <w:r>
        <w:rPr>
          <w:spacing w:val="-3"/>
          <w:w w:val="105"/>
          <w:sz w:val="21"/>
        </w:rPr>
        <w:t>that </w:t>
      </w:r>
      <w:r>
        <w:rPr>
          <w:w w:val="105"/>
          <w:sz w:val="21"/>
        </w:rPr>
        <w:t>the </w:t>
      </w:r>
      <w:r>
        <w:rPr>
          <w:spacing w:val="-3"/>
          <w:w w:val="105"/>
          <w:sz w:val="21"/>
        </w:rPr>
        <w:t>current </w:t>
      </w:r>
      <w:r>
        <w:rPr>
          <w:w w:val="105"/>
          <w:sz w:val="21"/>
        </w:rPr>
        <w:t>law </w:t>
      </w:r>
      <w:r>
        <w:rPr>
          <w:spacing w:val="-3"/>
          <w:w w:val="105"/>
          <w:sz w:val="21"/>
        </w:rPr>
        <w:t>encourages </w:t>
      </w:r>
      <w:r>
        <w:rPr>
          <w:w w:val="105"/>
          <w:sz w:val="21"/>
        </w:rPr>
        <w:t>opportunistic or non-genuine</w:t>
      </w:r>
      <w:r>
        <w:rPr>
          <w:spacing w:val="41"/>
          <w:w w:val="105"/>
          <w:sz w:val="21"/>
        </w:rPr>
        <w:t> </w:t>
      </w:r>
      <w:r>
        <w:rPr>
          <w:spacing w:val="-3"/>
          <w:w w:val="105"/>
          <w:sz w:val="21"/>
        </w:rPr>
        <w:t>claims</w:t>
      </w:r>
    </w:p>
    <w:p>
      <w:pPr>
        <w:pStyle w:val="ListParagraph"/>
        <w:numPr>
          <w:ilvl w:val="2"/>
          <w:numId w:val="22"/>
        </w:numPr>
        <w:tabs>
          <w:tab w:pos="2721" w:val="left" w:leader="none"/>
          <w:tab w:pos="2722" w:val="left" w:leader="none"/>
        </w:tabs>
        <w:spacing w:line="242" w:lineRule="auto" w:before="124" w:after="0"/>
        <w:ind w:left="2721" w:right="1885" w:hanging="340"/>
        <w:jc w:val="left"/>
        <w:rPr>
          <w:sz w:val="21"/>
        </w:rPr>
      </w:pPr>
      <w:r>
        <w:rPr>
          <w:w w:val="105"/>
          <w:sz w:val="21"/>
        </w:rPr>
        <w:t>the </w:t>
      </w:r>
      <w:r>
        <w:rPr>
          <w:spacing w:val="-3"/>
          <w:w w:val="105"/>
          <w:sz w:val="21"/>
        </w:rPr>
        <w:t>high </w:t>
      </w:r>
      <w:r>
        <w:rPr>
          <w:w w:val="105"/>
          <w:sz w:val="21"/>
        </w:rPr>
        <w:t>legal costs in </w:t>
      </w:r>
      <w:r>
        <w:rPr>
          <w:spacing w:val="-3"/>
          <w:w w:val="105"/>
          <w:sz w:val="21"/>
        </w:rPr>
        <w:t>family provision proceedings </w:t>
      </w:r>
      <w:r>
        <w:rPr>
          <w:w w:val="105"/>
          <w:sz w:val="21"/>
        </w:rPr>
        <w:t>and the fact </w:t>
      </w:r>
      <w:r>
        <w:rPr>
          <w:spacing w:val="-3"/>
          <w:w w:val="105"/>
          <w:sz w:val="21"/>
        </w:rPr>
        <w:t>that </w:t>
      </w:r>
      <w:r>
        <w:rPr>
          <w:w w:val="105"/>
          <w:sz w:val="21"/>
        </w:rPr>
        <w:t>they </w:t>
      </w:r>
      <w:r>
        <w:rPr>
          <w:spacing w:val="-3"/>
          <w:w w:val="105"/>
          <w:sz w:val="21"/>
        </w:rPr>
        <w:t>are </w:t>
      </w:r>
      <w:r>
        <w:rPr>
          <w:w w:val="105"/>
          <w:sz w:val="21"/>
        </w:rPr>
        <w:t>often borne by the </w:t>
      </w:r>
      <w:r>
        <w:rPr>
          <w:spacing w:val="-3"/>
          <w:w w:val="105"/>
          <w:sz w:val="21"/>
        </w:rPr>
        <w:t>estate, </w:t>
      </w:r>
      <w:r>
        <w:rPr>
          <w:w w:val="105"/>
          <w:sz w:val="21"/>
        </w:rPr>
        <w:t>even where a </w:t>
      </w:r>
      <w:r>
        <w:rPr>
          <w:spacing w:val="-3"/>
          <w:w w:val="105"/>
          <w:sz w:val="21"/>
        </w:rPr>
        <w:t>family provision claim</w:t>
      </w:r>
      <w:r>
        <w:rPr>
          <w:spacing w:val="35"/>
          <w:w w:val="105"/>
          <w:sz w:val="21"/>
        </w:rPr>
        <w:t> </w:t>
      </w:r>
      <w:r>
        <w:rPr>
          <w:spacing w:val="-4"/>
          <w:w w:val="105"/>
          <w:sz w:val="21"/>
        </w:rPr>
        <w:t>fails</w:t>
      </w:r>
    </w:p>
    <w:p>
      <w:pPr>
        <w:pStyle w:val="ListParagraph"/>
        <w:numPr>
          <w:ilvl w:val="2"/>
          <w:numId w:val="22"/>
        </w:numPr>
        <w:tabs>
          <w:tab w:pos="2721" w:val="left" w:leader="none"/>
          <w:tab w:pos="2722" w:val="left" w:leader="none"/>
        </w:tabs>
        <w:spacing w:line="242" w:lineRule="auto" w:before="122" w:after="0"/>
        <w:ind w:left="2721" w:right="1664" w:hanging="340"/>
        <w:jc w:val="left"/>
        <w:rPr>
          <w:sz w:val="21"/>
        </w:rPr>
      </w:pPr>
      <w:r>
        <w:rPr>
          <w:w w:val="105"/>
          <w:sz w:val="21"/>
        </w:rPr>
        <w:t>the</w:t>
      </w:r>
      <w:r>
        <w:rPr>
          <w:spacing w:val="-7"/>
          <w:w w:val="105"/>
          <w:sz w:val="21"/>
        </w:rPr>
        <w:t> </w:t>
      </w:r>
      <w:r>
        <w:rPr>
          <w:w w:val="105"/>
          <w:sz w:val="21"/>
        </w:rPr>
        <w:t>settlement</w:t>
      </w:r>
      <w:r>
        <w:rPr>
          <w:spacing w:val="-6"/>
          <w:w w:val="105"/>
          <w:sz w:val="21"/>
        </w:rPr>
        <w:t> </w:t>
      </w:r>
      <w:r>
        <w:rPr>
          <w:w w:val="105"/>
          <w:sz w:val="21"/>
        </w:rPr>
        <w:t>of</w:t>
      </w:r>
      <w:r>
        <w:rPr>
          <w:spacing w:val="-6"/>
          <w:w w:val="105"/>
          <w:sz w:val="21"/>
        </w:rPr>
        <w:t> </w:t>
      </w:r>
      <w:r>
        <w:rPr>
          <w:w w:val="105"/>
          <w:sz w:val="21"/>
        </w:rPr>
        <w:t>a</w:t>
      </w:r>
      <w:r>
        <w:rPr>
          <w:spacing w:val="-6"/>
          <w:w w:val="105"/>
          <w:sz w:val="21"/>
        </w:rPr>
        <w:t> </w:t>
      </w:r>
      <w:r>
        <w:rPr>
          <w:spacing w:val="-3"/>
          <w:w w:val="105"/>
          <w:sz w:val="21"/>
        </w:rPr>
        <w:t>high</w:t>
      </w:r>
      <w:r>
        <w:rPr>
          <w:spacing w:val="-6"/>
          <w:w w:val="105"/>
          <w:sz w:val="21"/>
        </w:rPr>
        <w:t> </w:t>
      </w:r>
      <w:r>
        <w:rPr>
          <w:w w:val="105"/>
          <w:sz w:val="21"/>
        </w:rPr>
        <w:t>proportion</w:t>
      </w:r>
      <w:r>
        <w:rPr>
          <w:spacing w:val="-6"/>
          <w:w w:val="105"/>
          <w:sz w:val="21"/>
        </w:rPr>
        <w:t> </w:t>
      </w:r>
      <w:r>
        <w:rPr>
          <w:w w:val="105"/>
          <w:sz w:val="21"/>
        </w:rPr>
        <w:t>of</w:t>
      </w:r>
      <w:r>
        <w:rPr>
          <w:spacing w:val="-7"/>
          <w:w w:val="105"/>
          <w:sz w:val="21"/>
        </w:rPr>
        <w:t> </w:t>
      </w:r>
      <w:r>
        <w:rPr>
          <w:spacing w:val="-3"/>
          <w:w w:val="105"/>
          <w:sz w:val="21"/>
        </w:rPr>
        <w:t>claims</w:t>
      </w:r>
      <w:r>
        <w:rPr>
          <w:spacing w:val="-6"/>
          <w:w w:val="105"/>
          <w:sz w:val="21"/>
        </w:rPr>
        <w:t> </w:t>
      </w:r>
      <w:r>
        <w:rPr>
          <w:spacing w:val="-3"/>
          <w:w w:val="105"/>
          <w:sz w:val="21"/>
        </w:rPr>
        <w:t>that</w:t>
      </w:r>
      <w:r>
        <w:rPr>
          <w:spacing w:val="-6"/>
          <w:w w:val="105"/>
          <w:sz w:val="21"/>
        </w:rPr>
        <w:t> </w:t>
      </w:r>
      <w:r>
        <w:rPr>
          <w:spacing w:val="-3"/>
          <w:w w:val="105"/>
          <w:sz w:val="21"/>
        </w:rPr>
        <w:t>may</w:t>
      </w:r>
      <w:r>
        <w:rPr>
          <w:spacing w:val="-6"/>
          <w:w w:val="105"/>
          <w:sz w:val="21"/>
        </w:rPr>
        <w:t> </w:t>
      </w:r>
      <w:r>
        <w:rPr>
          <w:spacing w:val="-2"/>
          <w:w w:val="105"/>
          <w:sz w:val="21"/>
        </w:rPr>
        <w:t>not</w:t>
      </w:r>
      <w:r>
        <w:rPr>
          <w:spacing w:val="-6"/>
          <w:w w:val="105"/>
          <w:sz w:val="21"/>
        </w:rPr>
        <w:t> </w:t>
      </w:r>
      <w:r>
        <w:rPr>
          <w:w w:val="105"/>
          <w:sz w:val="21"/>
        </w:rPr>
        <w:t>otherwise</w:t>
      </w:r>
      <w:r>
        <w:rPr>
          <w:spacing w:val="-6"/>
          <w:w w:val="105"/>
          <w:sz w:val="21"/>
        </w:rPr>
        <w:t> </w:t>
      </w:r>
      <w:r>
        <w:rPr>
          <w:spacing w:val="-3"/>
          <w:w w:val="105"/>
          <w:sz w:val="21"/>
        </w:rPr>
        <w:t>have</w:t>
      </w:r>
      <w:r>
        <w:rPr>
          <w:spacing w:val="-7"/>
          <w:w w:val="105"/>
          <w:sz w:val="21"/>
        </w:rPr>
        <w:t> </w:t>
      </w:r>
      <w:r>
        <w:rPr>
          <w:spacing w:val="-2"/>
          <w:w w:val="105"/>
          <w:sz w:val="21"/>
        </w:rPr>
        <w:t>succeeded </w:t>
      </w:r>
      <w:r>
        <w:rPr>
          <w:w w:val="105"/>
          <w:sz w:val="21"/>
        </w:rPr>
        <w:t>at</w:t>
      </w:r>
      <w:r>
        <w:rPr>
          <w:spacing w:val="5"/>
          <w:w w:val="105"/>
          <w:sz w:val="21"/>
        </w:rPr>
        <w:t> </w:t>
      </w:r>
      <w:r>
        <w:rPr>
          <w:w w:val="105"/>
          <w:sz w:val="21"/>
        </w:rPr>
        <w:t>trial</w:t>
      </w:r>
    </w:p>
    <w:p>
      <w:pPr>
        <w:pStyle w:val="ListParagraph"/>
        <w:numPr>
          <w:ilvl w:val="2"/>
          <w:numId w:val="22"/>
        </w:numPr>
        <w:tabs>
          <w:tab w:pos="2721" w:val="left" w:leader="none"/>
          <w:tab w:pos="2722" w:val="left" w:leader="none"/>
        </w:tabs>
        <w:spacing w:line="242" w:lineRule="auto" w:before="123" w:after="0"/>
        <w:ind w:left="2721" w:right="1790" w:hanging="340"/>
        <w:jc w:val="left"/>
        <w:rPr>
          <w:sz w:val="21"/>
        </w:rPr>
      </w:pPr>
      <w:r>
        <w:rPr>
          <w:sz w:val="21"/>
        </w:rPr>
        <w:t>the fact </w:t>
      </w:r>
      <w:r>
        <w:rPr>
          <w:spacing w:val="-3"/>
          <w:sz w:val="21"/>
        </w:rPr>
        <w:t>that, </w:t>
      </w:r>
      <w:r>
        <w:rPr>
          <w:sz w:val="21"/>
        </w:rPr>
        <w:t>due </w:t>
      </w:r>
      <w:r>
        <w:rPr>
          <w:spacing w:val="-3"/>
          <w:sz w:val="21"/>
        </w:rPr>
        <w:t>to </w:t>
      </w:r>
      <w:r>
        <w:rPr>
          <w:sz w:val="21"/>
        </w:rPr>
        <w:t>the </w:t>
      </w:r>
      <w:r>
        <w:rPr>
          <w:spacing w:val="-3"/>
          <w:sz w:val="21"/>
        </w:rPr>
        <w:t>high rate </w:t>
      </w:r>
      <w:r>
        <w:rPr>
          <w:sz w:val="21"/>
        </w:rPr>
        <w:t>of settlement, the courts </w:t>
      </w:r>
      <w:r>
        <w:rPr>
          <w:spacing w:val="-3"/>
          <w:sz w:val="21"/>
        </w:rPr>
        <w:t>have </w:t>
      </w:r>
      <w:r>
        <w:rPr>
          <w:sz w:val="21"/>
        </w:rPr>
        <w:t>little </w:t>
      </w:r>
      <w:r>
        <w:rPr>
          <w:spacing w:val="-3"/>
          <w:sz w:val="21"/>
        </w:rPr>
        <w:t>oversight </w:t>
      </w:r>
      <w:r>
        <w:rPr>
          <w:sz w:val="21"/>
        </w:rPr>
        <w:t>over costs in </w:t>
      </w:r>
      <w:r>
        <w:rPr>
          <w:spacing w:val="-3"/>
          <w:sz w:val="21"/>
        </w:rPr>
        <w:t>family provision</w:t>
      </w:r>
      <w:r>
        <w:rPr>
          <w:spacing w:val="36"/>
          <w:sz w:val="21"/>
        </w:rPr>
        <w:t> </w:t>
      </w:r>
      <w:r>
        <w:rPr>
          <w:sz w:val="21"/>
        </w:rPr>
        <w:t>matters</w:t>
      </w:r>
    </w:p>
    <w:p>
      <w:pPr>
        <w:pStyle w:val="ListParagraph"/>
        <w:numPr>
          <w:ilvl w:val="2"/>
          <w:numId w:val="22"/>
        </w:numPr>
        <w:tabs>
          <w:tab w:pos="2721" w:val="left" w:leader="none"/>
          <w:tab w:pos="2722" w:val="left" w:leader="none"/>
        </w:tabs>
        <w:spacing w:line="242" w:lineRule="auto" w:before="122" w:after="0"/>
        <w:ind w:left="2721" w:right="1826" w:hanging="340"/>
        <w:jc w:val="left"/>
        <w:rPr>
          <w:sz w:val="21"/>
        </w:rPr>
      </w:pPr>
      <w:r>
        <w:rPr>
          <w:sz w:val="21"/>
        </w:rPr>
        <w:t>the lack of certainty </w:t>
      </w:r>
      <w:r>
        <w:rPr>
          <w:spacing w:val="-3"/>
          <w:sz w:val="21"/>
        </w:rPr>
        <w:t>that </w:t>
      </w:r>
      <w:r>
        <w:rPr>
          <w:sz w:val="21"/>
        </w:rPr>
        <w:t>exists in this jurisdiction and the difficulties experienced by legal</w:t>
      </w:r>
      <w:r>
        <w:rPr>
          <w:spacing w:val="16"/>
          <w:sz w:val="21"/>
        </w:rPr>
        <w:t> </w:t>
      </w:r>
      <w:r>
        <w:rPr>
          <w:sz w:val="21"/>
        </w:rPr>
        <w:t>practitioners</w:t>
      </w:r>
      <w:r>
        <w:rPr>
          <w:spacing w:val="16"/>
          <w:sz w:val="21"/>
        </w:rPr>
        <w:t> </w:t>
      </w:r>
      <w:r>
        <w:rPr>
          <w:sz w:val="21"/>
        </w:rPr>
        <w:t>when</w:t>
      </w:r>
      <w:r>
        <w:rPr>
          <w:spacing w:val="17"/>
          <w:sz w:val="21"/>
        </w:rPr>
        <w:t> </w:t>
      </w:r>
      <w:r>
        <w:rPr>
          <w:spacing w:val="-2"/>
          <w:sz w:val="21"/>
        </w:rPr>
        <w:t>advising</w:t>
      </w:r>
      <w:r>
        <w:rPr>
          <w:spacing w:val="16"/>
          <w:sz w:val="21"/>
        </w:rPr>
        <w:t> </w:t>
      </w:r>
      <w:r>
        <w:rPr>
          <w:sz w:val="21"/>
        </w:rPr>
        <w:t>clients</w:t>
      </w:r>
      <w:r>
        <w:rPr>
          <w:spacing w:val="17"/>
          <w:sz w:val="21"/>
        </w:rPr>
        <w:t> </w:t>
      </w:r>
      <w:r>
        <w:rPr>
          <w:sz w:val="21"/>
        </w:rPr>
        <w:t>about</w:t>
      </w:r>
      <w:r>
        <w:rPr>
          <w:spacing w:val="16"/>
          <w:sz w:val="21"/>
        </w:rPr>
        <w:t> </w:t>
      </w:r>
      <w:r>
        <w:rPr>
          <w:sz w:val="21"/>
        </w:rPr>
        <w:t>the</w:t>
      </w:r>
      <w:r>
        <w:rPr>
          <w:spacing w:val="17"/>
          <w:sz w:val="21"/>
        </w:rPr>
        <w:t> </w:t>
      </w:r>
      <w:r>
        <w:rPr>
          <w:sz w:val="21"/>
        </w:rPr>
        <w:t>validity</w:t>
      </w:r>
      <w:r>
        <w:rPr>
          <w:spacing w:val="16"/>
          <w:sz w:val="21"/>
        </w:rPr>
        <w:t> </w:t>
      </w:r>
      <w:r>
        <w:rPr>
          <w:sz w:val="21"/>
        </w:rPr>
        <w:t>and</w:t>
      </w:r>
      <w:r>
        <w:rPr>
          <w:spacing w:val="17"/>
          <w:sz w:val="21"/>
        </w:rPr>
        <w:t> </w:t>
      </w:r>
      <w:r>
        <w:rPr>
          <w:sz w:val="21"/>
        </w:rPr>
        <w:t>strength</w:t>
      </w:r>
      <w:r>
        <w:rPr>
          <w:spacing w:val="16"/>
          <w:sz w:val="21"/>
        </w:rPr>
        <w:t> </w:t>
      </w:r>
      <w:r>
        <w:rPr>
          <w:sz w:val="21"/>
        </w:rPr>
        <w:t>of</w:t>
      </w:r>
      <w:r>
        <w:rPr>
          <w:spacing w:val="16"/>
          <w:sz w:val="21"/>
        </w:rPr>
        <w:t> </w:t>
      </w:r>
      <w:r>
        <w:rPr>
          <w:sz w:val="21"/>
        </w:rPr>
        <w:t>the</w:t>
      </w:r>
      <w:r>
        <w:rPr>
          <w:spacing w:val="17"/>
          <w:sz w:val="21"/>
        </w:rPr>
        <w:t> </w:t>
      </w:r>
      <w:r>
        <w:rPr>
          <w:spacing w:val="-3"/>
          <w:sz w:val="21"/>
        </w:rPr>
        <w:t>claim</w:t>
      </w:r>
    </w:p>
    <w:p>
      <w:pPr>
        <w:pStyle w:val="ListParagraph"/>
        <w:numPr>
          <w:ilvl w:val="2"/>
          <w:numId w:val="22"/>
        </w:numPr>
        <w:tabs>
          <w:tab w:pos="2721" w:val="left" w:leader="none"/>
          <w:tab w:pos="2722" w:val="left" w:leader="none"/>
        </w:tabs>
        <w:spacing w:line="242" w:lineRule="auto" w:before="122" w:after="0"/>
        <w:ind w:left="2721" w:right="1971" w:hanging="340"/>
        <w:jc w:val="left"/>
        <w:rPr>
          <w:sz w:val="21"/>
        </w:rPr>
      </w:pPr>
      <w:r>
        <w:rPr>
          <w:w w:val="105"/>
          <w:sz w:val="21"/>
        </w:rPr>
        <w:t>the perception of some members of the </w:t>
      </w:r>
      <w:r>
        <w:rPr>
          <w:spacing w:val="-3"/>
          <w:w w:val="105"/>
          <w:sz w:val="21"/>
        </w:rPr>
        <w:t>public that </w:t>
      </w:r>
      <w:r>
        <w:rPr>
          <w:w w:val="105"/>
          <w:sz w:val="21"/>
        </w:rPr>
        <w:t>their </w:t>
      </w:r>
      <w:r>
        <w:rPr>
          <w:spacing w:val="-3"/>
          <w:w w:val="105"/>
          <w:sz w:val="21"/>
        </w:rPr>
        <w:t>will </w:t>
      </w:r>
      <w:r>
        <w:rPr>
          <w:w w:val="105"/>
          <w:sz w:val="21"/>
        </w:rPr>
        <w:t>can effectively be </w:t>
      </w:r>
      <w:r>
        <w:rPr>
          <w:spacing w:val="-3"/>
          <w:w w:val="105"/>
          <w:sz w:val="21"/>
        </w:rPr>
        <w:t>challenged</w:t>
      </w:r>
      <w:r>
        <w:rPr>
          <w:spacing w:val="-6"/>
          <w:w w:val="105"/>
          <w:sz w:val="21"/>
        </w:rPr>
        <w:t> </w:t>
      </w:r>
      <w:r>
        <w:rPr>
          <w:w w:val="105"/>
          <w:sz w:val="21"/>
        </w:rPr>
        <w:t>by</w:t>
      </w:r>
      <w:r>
        <w:rPr>
          <w:spacing w:val="-5"/>
          <w:w w:val="105"/>
          <w:sz w:val="21"/>
        </w:rPr>
        <w:t> </w:t>
      </w:r>
      <w:r>
        <w:rPr>
          <w:spacing w:val="-4"/>
          <w:w w:val="105"/>
          <w:sz w:val="21"/>
        </w:rPr>
        <w:t>anyone,</w:t>
      </w:r>
      <w:r>
        <w:rPr>
          <w:spacing w:val="-5"/>
          <w:w w:val="105"/>
          <w:sz w:val="21"/>
        </w:rPr>
        <w:t> </w:t>
      </w:r>
      <w:r>
        <w:rPr>
          <w:w w:val="105"/>
          <w:sz w:val="21"/>
        </w:rPr>
        <w:t>and</w:t>
      </w:r>
      <w:r>
        <w:rPr>
          <w:spacing w:val="-5"/>
          <w:w w:val="105"/>
          <w:sz w:val="21"/>
        </w:rPr>
        <w:t> </w:t>
      </w:r>
      <w:r>
        <w:rPr>
          <w:spacing w:val="-3"/>
          <w:w w:val="105"/>
          <w:sz w:val="21"/>
        </w:rPr>
        <w:t>that</w:t>
      </w:r>
      <w:r>
        <w:rPr>
          <w:spacing w:val="-5"/>
          <w:w w:val="105"/>
          <w:sz w:val="21"/>
        </w:rPr>
        <w:t> </w:t>
      </w:r>
      <w:r>
        <w:rPr>
          <w:w w:val="105"/>
          <w:sz w:val="21"/>
        </w:rPr>
        <w:t>they</w:t>
      </w:r>
      <w:r>
        <w:rPr>
          <w:spacing w:val="-6"/>
          <w:w w:val="105"/>
          <w:sz w:val="21"/>
        </w:rPr>
        <w:t> </w:t>
      </w:r>
      <w:r>
        <w:rPr>
          <w:w w:val="105"/>
          <w:sz w:val="21"/>
        </w:rPr>
        <w:t>do</w:t>
      </w:r>
      <w:r>
        <w:rPr>
          <w:spacing w:val="-5"/>
          <w:w w:val="105"/>
          <w:sz w:val="21"/>
        </w:rPr>
        <w:t> </w:t>
      </w:r>
      <w:r>
        <w:rPr>
          <w:spacing w:val="-2"/>
          <w:w w:val="105"/>
          <w:sz w:val="21"/>
        </w:rPr>
        <w:t>not</w:t>
      </w:r>
      <w:r>
        <w:rPr>
          <w:spacing w:val="-5"/>
          <w:w w:val="105"/>
          <w:sz w:val="21"/>
        </w:rPr>
        <w:t> </w:t>
      </w:r>
      <w:r>
        <w:rPr>
          <w:w w:val="105"/>
          <w:sz w:val="21"/>
        </w:rPr>
        <w:t>truly</w:t>
      </w:r>
      <w:r>
        <w:rPr>
          <w:spacing w:val="-5"/>
          <w:w w:val="105"/>
          <w:sz w:val="21"/>
        </w:rPr>
        <w:t> </w:t>
      </w:r>
      <w:r>
        <w:rPr>
          <w:spacing w:val="-3"/>
          <w:w w:val="105"/>
          <w:sz w:val="21"/>
        </w:rPr>
        <w:t>have</w:t>
      </w:r>
      <w:r>
        <w:rPr>
          <w:spacing w:val="-5"/>
          <w:w w:val="105"/>
          <w:sz w:val="21"/>
        </w:rPr>
        <w:t> </w:t>
      </w:r>
      <w:r>
        <w:rPr>
          <w:w w:val="105"/>
          <w:sz w:val="21"/>
        </w:rPr>
        <w:t>freedom</w:t>
      </w:r>
      <w:r>
        <w:rPr>
          <w:spacing w:val="-5"/>
          <w:w w:val="105"/>
          <w:sz w:val="21"/>
        </w:rPr>
        <w:t> </w:t>
      </w:r>
      <w:r>
        <w:rPr>
          <w:spacing w:val="-3"/>
          <w:w w:val="105"/>
          <w:sz w:val="21"/>
        </w:rPr>
        <w:t>to</w:t>
      </w:r>
      <w:r>
        <w:rPr>
          <w:spacing w:val="-6"/>
          <w:w w:val="105"/>
          <w:sz w:val="21"/>
        </w:rPr>
        <w:t> </w:t>
      </w:r>
      <w:r>
        <w:rPr>
          <w:w w:val="105"/>
          <w:sz w:val="21"/>
        </w:rPr>
        <w:t>dispose</w:t>
      </w:r>
      <w:r>
        <w:rPr>
          <w:spacing w:val="-5"/>
          <w:w w:val="105"/>
          <w:sz w:val="21"/>
        </w:rPr>
        <w:t> </w:t>
      </w:r>
      <w:r>
        <w:rPr>
          <w:w w:val="105"/>
          <w:sz w:val="21"/>
        </w:rPr>
        <w:t>of</w:t>
      </w:r>
      <w:r>
        <w:rPr>
          <w:spacing w:val="-5"/>
          <w:w w:val="105"/>
          <w:sz w:val="21"/>
        </w:rPr>
        <w:t> </w:t>
      </w:r>
      <w:r>
        <w:rPr>
          <w:w w:val="105"/>
          <w:sz w:val="21"/>
        </w:rPr>
        <w:t>their property by</w:t>
      </w:r>
      <w:r>
        <w:rPr>
          <w:spacing w:val="10"/>
          <w:w w:val="105"/>
          <w:sz w:val="21"/>
        </w:rPr>
        <w:t> </w:t>
      </w:r>
      <w:r>
        <w:rPr>
          <w:spacing w:val="-3"/>
          <w:w w:val="105"/>
          <w:sz w:val="21"/>
        </w:rPr>
        <w:t>will.</w:t>
      </w:r>
    </w:p>
    <w:p>
      <w:pPr>
        <w:pStyle w:val="ListParagraph"/>
        <w:numPr>
          <w:ilvl w:val="1"/>
          <w:numId w:val="22"/>
        </w:numPr>
        <w:tabs>
          <w:tab w:pos="2381" w:val="left" w:leader="none"/>
          <w:tab w:pos="2382" w:val="left" w:leader="none"/>
        </w:tabs>
        <w:spacing w:line="240" w:lineRule="auto" w:before="123" w:after="0"/>
        <w:ind w:left="2381" w:right="0" w:hanging="794"/>
        <w:jc w:val="left"/>
        <w:rPr>
          <w:sz w:val="21"/>
        </w:rPr>
      </w:pPr>
      <w:r>
        <w:rPr>
          <w:w w:val="105"/>
          <w:sz w:val="21"/>
        </w:rPr>
        <w:t>In </w:t>
      </w:r>
      <w:r>
        <w:rPr>
          <w:spacing w:val="-3"/>
          <w:w w:val="105"/>
          <w:sz w:val="21"/>
        </w:rPr>
        <w:t>relation to such concerns, </w:t>
      </w:r>
      <w:r>
        <w:rPr>
          <w:w w:val="105"/>
          <w:sz w:val="21"/>
        </w:rPr>
        <w:t>the </w:t>
      </w:r>
      <w:r>
        <w:rPr>
          <w:spacing w:val="-3"/>
          <w:w w:val="105"/>
          <w:sz w:val="21"/>
        </w:rPr>
        <w:t>Commission sought</w:t>
      </w:r>
      <w:r>
        <w:rPr>
          <w:spacing w:val="10"/>
          <w:w w:val="105"/>
          <w:sz w:val="21"/>
        </w:rPr>
        <w:t> </w:t>
      </w:r>
      <w:r>
        <w:rPr>
          <w:w w:val="105"/>
          <w:sz w:val="21"/>
        </w:rPr>
        <w:t>comments about:</w:t>
      </w:r>
    </w:p>
    <w:p>
      <w:pPr>
        <w:pStyle w:val="ListParagraph"/>
        <w:numPr>
          <w:ilvl w:val="2"/>
          <w:numId w:val="22"/>
        </w:numPr>
        <w:tabs>
          <w:tab w:pos="2721" w:val="left" w:leader="none"/>
          <w:tab w:pos="2722" w:val="left" w:leader="none"/>
        </w:tabs>
        <w:spacing w:line="240" w:lineRule="auto" w:before="124" w:after="0"/>
        <w:ind w:left="2721" w:right="0" w:hanging="340"/>
        <w:jc w:val="left"/>
        <w:rPr>
          <w:sz w:val="21"/>
        </w:rPr>
      </w:pPr>
      <w:r>
        <w:rPr>
          <w:w w:val="105"/>
          <w:sz w:val="21"/>
        </w:rPr>
        <w:t>the factors </w:t>
      </w:r>
      <w:r>
        <w:rPr>
          <w:spacing w:val="-3"/>
          <w:w w:val="105"/>
          <w:sz w:val="21"/>
        </w:rPr>
        <w:t>that </w:t>
      </w:r>
      <w:r>
        <w:rPr>
          <w:w w:val="105"/>
          <w:sz w:val="21"/>
        </w:rPr>
        <w:t>affect a decision </w:t>
      </w:r>
      <w:r>
        <w:rPr>
          <w:spacing w:val="-3"/>
          <w:w w:val="105"/>
          <w:sz w:val="21"/>
        </w:rPr>
        <w:t>to </w:t>
      </w:r>
      <w:r>
        <w:rPr>
          <w:w w:val="105"/>
          <w:sz w:val="21"/>
        </w:rPr>
        <w:t>settle a </w:t>
      </w:r>
      <w:r>
        <w:rPr>
          <w:spacing w:val="-3"/>
          <w:w w:val="105"/>
          <w:sz w:val="21"/>
        </w:rPr>
        <w:t>family provision</w:t>
      </w:r>
      <w:r>
        <w:rPr>
          <w:w w:val="105"/>
          <w:sz w:val="21"/>
        </w:rPr>
        <w:t> </w:t>
      </w:r>
      <w:r>
        <w:rPr>
          <w:spacing w:val="-3"/>
          <w:w w:val="105"/>
          <w:sz w:val="21"/>
        </w:rPr>
        <w:t>proceeding</w:t>
      </w:r>
    </w:p>
    <w:p>
      <w:pPr>
        <w:pStyle w:val="ListParagraph"/>
        <w:numPr>
          <w:ilvl w:val="2"/>
          <w:numId w:val="22"/>
        </w:numPr>
        <w:tabs>
          <w:tab w:pos="2721" w:val="left" w:leader="none"/>
          <w:tab w:pos="2722" w:val="left" w:leader="none"/>
        </w:tabs>
        <w:spacing w:line="242" w:lineRule="auto" w:before="124" w:after="0"/>
        <w:ind w:left="2721" w:right="1728" w:hanging="340"/>
        <w:jc w:val="left"/>
        <w:rPr>
          <w:sz w:val="21"/>
        </w:rPr>
      </w:pPr>
      <w:r>
        <w:rPr>
          <w:sz w:val="21"/>
        </w:rPr>
        <w:t>the extent </w:t>
      </w:r>
      <w:r>
        <w:rPr>
          <w:spacing w:val="-3"/>
          <w:sz w:val="21"/>
        </w:rPr>
        <w:t>to </w:t>
      </w:r>
      <w:r>
        <w:rPr>
          <w:sz w:val="21"/>
        </w:rPr>
        <w:t>which the </w:t>
      </w:r>
      <w:r>
        <w:rPr>
          <w:spacing w:val="-3"/>
          <w:sz w:val="21"/>
        </w:rPr>
        <w:t>current </w:t>
      </w:r>
      <w:r>
        <w:rPr>
          <w:sz w:val="21"/>
        </w:rPr>
        <w:t>law allows applicants </w:t>
      </w:r>
      <w:r>
        <w:rPr>
          <w:spacing w:val="-3"/>
          <w:sz w:val="21"/>
        </w:rPr>
        <w:t>to </w:t>
      </w:r>
      <w:r>
        <w:rPr>
          <w:spacing w:val="-4"/>
          <w:sz w:val="21"/>
        </w:rPr>
        <w:t>make </w:t>
      </w:r>
      <w:r>
        <w:rPr>
          <w:spacing w:val="-3"/>
          <w:sz w:val="21"/>
        </w:rPr>
        <w:t>family provision claims that are </w:t>
      </w:r>
      <w:r>
        <w:rPr>
          <w:sz w:val="21"/>
        </w:rPr>
        <w:t>opportunistic or</w:t>
      </w:r>
      <w:r>
        <w:rPr>
          <w:spacing w:val="41"/>
          <w:sz w:val="21"/>
        </w:rPr>
        <w:t> </w:t>
      </w:r>
      <w:r>
        <w:rPr>
          <w:sz w:val="21"/>
        </w:rPr>
        <w:t>non-genuine</w:t>
      </w:r>
    </w:p>
    <w:p>
      <w:pPr>
        <w:pStyle w:val="ListParagraph"/>
        <w:numPr>
          <w:ilvl w:val="2"/>
          <w:numId w:val="22"/>
        </w:numPr>
        <w:tabs>
          <w:tab w:pos="2721" w:val="left" w:leader="none"/>
          <w:tab w:pos="2722" w:val="left" w:leader="none"/>
        </w:tabs>
        <w:spacing w:line="242" w:lineRule="auto" w:before="122" w:after="0"/>
        <w:ind w:left="2721" w:right="1964" w:hanging="340"/>
        <w:jc w:val="left"/>
        <w:rPr>
          <w:sz w:val="21"/>
        </w:rPr>
      </w:pPr>
      <w:r>
        <w:rPr>
          <w:sz w:val="21"/>
        </w:rPr>
        <w:t>whether summary dismissal </w:t>
      </w:r>
      <w:r>
        <w:rPr>
          <w:spacing w:val="-3"/>
          <w:sz w:val="21"/>
        </w:rPr>
        <w:t>proceedings </w:t>
      </w:r>
      <w:r>
        <w:rPr>
          <w:sz w:val="21"/>
        </w:rPr>
        <w:t>or existing costs rules deter opportunistic </w:t>
      </w:r>
      <w:r>
        <w:rPr>
          <w:spacing w:val="-3"/>
          <w:sz w:val="21"/>
        </w:rPr>
        <w:t>family provision</w:t>
      </w:r>
      <w:r>
        <w:rPr>
          <w:spacing w:val="20"/>
          <w:sz w:val="21"/>
        </w:rPr>
        <w:t> </w:t>
      </w:r>
      <w:r>
        <w:rPr>
          <w:sz w:val="21"/>
        </w:rPr>
        <w:t>applicants</w:t>
      </w:r>
    </w:p>
    <w:p>
      <w:pPr>
        <w:pStyle w:val="ListParagraph"/>
        <w:numPr>
          <w:ilvl w:val="2"/>
          <w:numId w:val="22"/>
        </w:numPr>
        <w:tabs>
          <w:tab w:pos="2721" w:val="left" w:leader="none"/>
          <w:tab w:pos="2722" w:val="left" w:leader="none"/>
        </w:tabs>
        <w:spacing w:line="240" w:lineRule="auto" w:before="122" w:after="0"/>
        <w:ind w:left="2721" w:right="0" w:hanging="340"/>
        <w:jc w:val="left"/>
        <w:rPr>
          <w:sz w:val="21"/>
        </w:rPr>
      </w:pPr>
      <w:r>
        <w:rPr>
          <w:sz w:val="21"/>
        </w:rPr>
        <w:t>whether costs orders </w:t>
      </w:r>
      <w:r>
        <w:rPr>
          <w:spacing w:val="-3"/>
          <w:sz w:val="21"/>
        </w:rPr>
        <w:t>unfairly </w:t>
      </w:r>
      <w:r>
        <w:rPr>
          <w:sz w:val="21"/>
        </w:rPr>
        <w:t>impact on</w:t>
      </w:r>
      <w:r>
        <w:rPr>
          <w:spacing w:val="6"/>
          <w:sz w:val="21"/>
        </w:rPr>
        <w:t> </w:t>
      </w:r>
      <w:r>
        <w:rPr>
          <w:sz w:val="21"/>
        </w:rPr>
        <w:t>estates</w:t>
      </w:r>
    </w:p>
    <w:p>
      <w:pPr>
        <w:pStyle w:val="ListParagraph"/>
        <w:numPr>
          <w:ilvl w:val="2"/>
          <w:numId w:val="22"/>
        </w:numPr>
        <w:tabs>
          <w:tab w:pos="2721" w:val="left" w:leader="none"/>
          <w:tab w:pos="2722" w:val="left" w:leader="none"/>
        </w:tabs>
        <w:spacing w:line="242" w:lineRule="auto" w:before="124" w:after="0"/>
        <w:ind w:left="2721" w:right="1605" w:hanging="340"/>
        <w:jc w:val="left"/>
        <w:rPr>
          <w:sz w:val="21"/>
        </w:rPr>
      </w:pPr>
      <w:r>
        <w:rPr>
          <w:w w:val="105"/>
          <w:sz w:val="21"/>
        </w:rPr>
        <w:t>which </w:t>
      </w:r>
      <w:r>
        <w:rPr>
          <w:spacing w:val="-3"/>
          <w:w w:val="105"/>
          <w:sz w:val="21"/>
        </w:rPr>
        <w:t>procedures </w:t>
      </w:r>
      <w:r>
        <w:rPr>
          <w:w w:val="105"/>
          <w:sz w:val="21"/>
        </w:rPr>
        <w:t>in the </w:t>
      </w:r>
      <w:r>
        <w:rPr>
          <w:spacing w:val="-3"/>
          <w:w w:val="105"/>
          <w:sz w:val="21"/>
        </w:rPr>
        <w:t>County Court </w:t>
      </w:r>
      <w:r>
        <w:rPr>
          <w:w w:val="105"/>
          <w:sz w:val="21"/>
        </w:rPr>
        <w:t>and </w:t>
      </w:r>
      <w:r>
        <w:rPr>
          <w:spacing w:val="-3"/>
          <w:w w:val="105"/>
          <w:sz w:val="21"/>
        </w:rPr>
        <w:t>Supreme Court are working well to reduce </w:t>
      </w:r>
      <w:r>
        <w:rPr>
          <w:w w:val="105"/>
          <w:sz w:val="21"/>
        </w:rPr>
        <w:t>costs, and whether </w:t>
      </w:r>
      <w:r>
        <w:rPr>
          <w:spacing w:val="-3"/>
          <w:w w:val="105"/>
          <w:sz w:val="21"/>
        </w:rPr>
        <w:t>any additional measures </w:t>
      </w:r>
      <w:r>
        <w:rPr>
          <w:w w:val="105"/>
          <w:sz w:val="21"/>
        </w:rPr>
        <w:t>would assist with</w:t>
      </w:r>
      <w:r>
        <w:rPr>
          <w:spacing w:val="31"/>
          <w:w w:val="105"/>
          <w:sz w:val="21"/>
        </w:rPr>
        <w:t> </w:t>
      </w:r>
      <w:r>
        <w:rPr>
          <w:spacing w:val="-3"/>
          <w:w w:val="105"/>
          <w:sz w:val="21"/>
        </w:rPr>
        <w:t>this.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7"/>
        </w:rPr>
      </w:pPr>
      <w:r>
        <w:rPr/>
        <w:pict>
          <v:line style="position:absolute;mso-position-horizontal-relative:page;mso-position-vertical-relative:paragraph;z-index:6680;mso-wrap-distance-left:0;mso-wrap-distance-right:0" from="79.370102pt,13.290577pt" to="515.905102pt,13.290577pt" stroked="true" strokeweight="1pt" strokecolor="#f9ceca">
            <v:stroke dashstyle="solid"/>
            <w10:wrap type="topAndBottom"/>
          </v:line>
        </w:pict>
      </w:r>
    </w:p>
    <w:p>
      <w:pPr>
        <w:pStyle w:val="ListParagraph"/>
        <w:numPr>
          <w:ilvl w:val="0"/>
          <w:numId w:val="78"/>
        </w:numPr>
        <w:tabs>
          <w:tab w:pos="2380" w:val="left" w:leader="none"/>
          <w:tab w:pos="2382" w:val="left" w:leader="none"/>
        </w:tabs>
        <w:spacing w:line="240" w:lineRule="auto" w:before="117" w:after="0"/>
        <w:ind w:left="2381" w:right="2084" w:hanging="794"/>
        <w:jc w:val="left"/>
        <w:rPr>
          <w:sz w:val="13"/>
        </w:rPr>
      </w:pPr>
      <w:r>
        <w:rPr>
          <w:i/>
          <w:w w:val="105"/>
          <w:sz w:val="13"/>
        </w:rPr>
        <w:t>Administration and Probate Act 1958 </w:t>
      </w:r>
      <w:r>
        <w:rPr>
          <w:spacing w:val="2"/>
          <w:w w:val="105"/>
          <w:sz w:val="13"/>
        </w:rPr>
        <w:t>(Vic) </w:t>
      </w:r>
      <w:r>
        <w:rPr>
          <w:w w:val="105"/>
          <w:sz w:val="13"/>
        </w:rPr>
        <w:t>ss </w:t>
      </w:r>
      <w:r>
        <w:rPr>
          <w:spacing w:val="3"/>
          <w:w w:val="105"/>
          <w:sz w:val="13"/>
        </w:rPr>
        <w:t>91(1)–(3). </w:t>
      </w:r>
      <w:r>
        <w:rPr>
          <w:w w:val="105"/>
          <w:sz w:val="13"/>
        </w:rPr>
        <w:t>This order is called a ‘maintenance order’ in the Act. The Commission refers to this as a ‘family provision order’ for</w:t>
      </w:r>
      <w:r>
        <w:rPr>
          <w:spacing w:val="4"/>
          <w:w w:val="105"/>
          <w:sz w:val="13"/>
        </w:rPr>
        <w:t> </w:t>
      </w:r>
      <w:r>
        <w:rPr>
          <w:w w:val="105"/>
          <w:sz w:val="13"/>
        </w:rPr>
        <w:t>clarity.</w:t>
      </w:r>
    </w:p>
    <w:p>
      <w:pPr>
        <w:pStyle w:val="ListParagraph"/>
        <w:numPr>
          <w:ilvl w:val="0"/>
          <w:numId w:val="78"/>
        </w:numPr>
        <w:tabs>
          <w:tab w:pos="2380" w:val="left" w:leader="none"/>
          <w:tab w:pos="2382" w:val="left" w:leader="none"/>
        </w:tabs>
        <w:spacing w:line="240" w:lineRule="auto" w:before="3" w:after="0"/>
        <w:ind w:left="2381" w:right="0" w:hanging="794"/>
        <w:jc w:val="left"/>
        <w:rPr>
          <w:sz w:val="13"/>
        </w:rPr>
      </w:pPr>
      <w:r>
        <w:rPr/>
        <w:pict>
          <v:shape style="position:absolute;margin-left:548.887878pt;margin-top:-5.028036pt;width:13.5pt;height:14.25pt;mso-position-horizontal-relative:page;mso-position-vertical-relative:paragraph;z-index:8752" type="#_x0000_t202" filled="false" stroked="false">
            <v:textbox inset="0,0,0,0">
              <w:txbxContent>
                <w:p>
                  <w:pPr>
                    <w:spacing w:line="284" w:lineRule="exact" w:before="0"/>
                    <w:ind w:left="0" w:right="0" w:firstLine="0"/>
                    <w:jc w:val="left"/>
                    <w:rPr>
                      <w:b/>
                      <w:sz w:val="24"/>
                    </w:rPr>
                  </w:pPr>
                  <w:r>
                    <w:rPr>
                      <w:b/>
                      <w:color w:val="EC5A4F"/>
                      <w:w w:val="110"/>
                      <w:sz w:val="24"/>
                    </w:rPr>
                    <w:t>99</w:t>
                  </w:r>
                </w:p>
              </w:txbxContent>
            </v:textbox>
            <w10:wrap type="none"/>
          </v:shape>
        </w:pict>
      </w:r>
      <w:r>
        <w:rPr>
          <w:w w:val="105"/>
          <w:sz w:val="13"/>
        </w:rPr>
        <w:t>For</w:t>
      </w:r>
      <w:r>
        <w:rPr>
          <w:spacing w:val="4"/>
          <w:w w:val="105"/>
          <w:sz w:val="13"/>
        </w:rPr>
        <w:t> </w:t>
      </w:r>
      <w:r>
        <w:rPr>
          <w:w w:val="105"/>
          <w:sz w:val="13"/>
        </w:rPr>
        <w:t>discussion</w:t>
      </w:r>
      <w:r>
        <w:rPr>
          <w:spacing w:val="5"/>
          <w:w w:val="105"/>
          <w:sz w:val="13"/>
        </w:rPr>
        <w:t> </w:t>
      </w:r>
      <w:r>
        <w:rPr>
          <w:w w:val="105"/>
          <w:sz w:val="13"/>
        </w:rPr>
        <w:t>of</w:t>
      </w:r>
      <w:r>
        <w:rPr>
          <w:spacing w:val="5"/>
          <w:w w:val="105"/>
          <w:sz w:val="13"/>
        </w:rPr>
        <w:t> </w:t>
      </w:r>
      <w:r>
        <w:rPr>
          <w:w w:val="105"/>
          <w:sz w:val="13"/>
        </w:rPr>
        <w:t>this,</w:t>
      </w:r>
      <w:r>
        <w:rPr>
          <w:spacing w:val="5"/>
          <w:w w:val="105"/>
          <w:sz w:val="13"/>
        </w:rPr>
        <w:t> </w:t>
      </w:r>
      <w:r>
        <w:rPr>
          <w:w w:val="105"/>
          <w:sz w:val="13"/>
        </w:rPr>
        <w:t>see</w:t>
      </w:r>
      <w:r>
        <w:rPr>
          <w:spacing w:val="5"/>
          <w:w w:val="105"/>
          <w:sz w:val="13"/>
        </w:rPr>
        <w:t> </w:t>
      </w:r>
      <w:r>
        <w:rPr>
          <w:w w:val="105"/>
          <w:sz w:val="13"/>
        </w:rPr>
        <w:t>Victorian</w:t>
      </w:r>
      <w:r>
        <w:rPr>
          <w:spacing w:val="4"/>
          <w:w w:val="105"/>
          <w:sz w:val="13"/>
        </w:rPr>
        <w:t> </w:t>
      </w:r>
      <w:r>
        <w:rPr>
          <w:w w:val="105"/>
          <w:sz w:val="13"/>
        </w:rPr>
        <w:t>Law</w:t>
      </w:r>
      <w:r>
        <w:rPr>
          <w:spacing w:val="5"/>
          <w:w w:val="105"/>
          <w:sz w:val="13"/>
        </w:rPr>
        <w:t> </w:t>
      </w:r>
      <w:r>
        <w:rPr>
          <w:w w:val="105"/>
          <w:sz w:val="13"/>
        </w:rPr>
        <w:t>Reform</w:t>
      </w:r>
      <w:r>
        <w:rPr>
          <w:spacing w:val="5"/>
          <w:w w:val="105"/>
          <w:sz w:val="13"/>
        </w:rPr>
        <w:t> </w:t>
      </w:r>
      <w:r>
        <w:rPr>
          <w:w w:val="105"/>
          <w:sz w:val="13"/>
        </w:rPr>
        <w:t>Commission,</w:t>
      </w:r>
      <w:r>
        <w:rPr>
          <w:spacing w:val="5"/>
          <w:w w:val="105"/>
          <w:sz w:val="13"/>
        </w:rPr>
        <w:t> </w:t>
      </w:r>
      <w:r>
        <w:rPr>
          <w:w w:val="105"/>
          <w:sz w:val="13"/>
        </w:rPr>
        <w:t>above</w:t>
      </w:r>
      <w:r>
        <w:rPr>
          <w:spacing w:val="5"/>
          <w:w w:val="105"/>
          <w:sz w:val="13"/>
        </w:rPr>
        <w:t> </w:t>
      </w:r>
      <w:r>
        <w:rPr>
          <w:w w:val="105"/>
          <w:sz w:val="13"/>
        </w:rPr>
        <w:t>n</w:t>
      </w:r>
      <w:r>
        <w:rPr>
          <w:spacing w:val="4"/>
          <w:w w:val="105"/>
          <w:sz w:val="13"/>
        </w:rPr>
        <w:t> </w:t>
      </w:r>
      <w:r>
        <w:rPr>
          <w:w w:val="105"/>
          <w:sz w:val="13"/>
        </w:rPr>
        <w:t>2,</w:t>
      </w:r>
      <w:r>
        <w:rPr>
          <w:spacing w:val="5"/>
          <w:w w:val="105"/>
          <w:sz w:val="13"/>
        </w:rPr>
        <w:t> </w:t>
      </w:r>
      <w:r>
        <w:rPr>
          <w:w w:val="105"/>
          <w:sz w:val="13"/>
        </w:rPr>
        <w:t>20–3.</w:t>
      </w:r>
    </w:p>
    <w:p>
      <w:pPr>
        <w:spacing w:after="0" w:line="240" w:lineRule="auto"/>
        <w:jc w:val="left"/>
        <w:rPr>
          <w:sz w:val="13"/>
        </w:rPr>
        <w:sectPr>
          <w:headerReference w:type="default" r:id="rId92"/>
          <w:headerReference w:type="even" r:id="rId93"/>
          <w:pgSz w:w="11910" w:h="16840"/>
          <w:pgMar w:header="805" w:footer="0" w:top="1360" w:bottom="280" w:left="0" w:right="0"/>
        </w:sectPr>
      </w:pPr>
    </w:p>
    <w:p>
      <w:pPr>
        <w:pStyle w:val="BodyText"/>
        <w:spacing w:before="2"/>
      </w:pPr>
    </w:p>
    <w:p>
      <w:pPr>
        <w:pStyle w:val="ListParagraph"/>
        <w:numPr>
          <w:ilvl w:val="1"/>
          <w:numId w:val="22"/>
        </w:numPr>
        <w:tabs>
          <w:tab w:pos="2380" w:val="left" w:leader="none"/>
          <w:tab w:pos="2381" w:val="left" w:leader="none"/>
        </w:tabs>
        <w:spacing w:line="242" w:lineRule="auto" w:before="92" w:after="0"/>
        <w:ind w:left="2381" w:right="1699" w:hanging="794"/>
        <w:jc w:val="left"/>
        <w:rPr>
          <w:rFonts w:ascii="SimSun" w:hAnsi="SimSun"/>
          <w:sz w:val="12"/>
        </w:rPr>
      </w:pPr>
      <w:r>
        <w:rPr>
          <w:spacing w:val="-3"/>
          <w:sz w:val="21"/>
        </w:rPr>
        <w:t>Many submissions </w:t>
      </w:r>
      <w:r>
        <w:rPr>
          <w:sz w:val="21"/>
        </w:rPr>
        <w:t>expressed the view </w:t>
      </w:r>
      <w:r>
        <w:rPr>
          <w:spacing w:val="-3"/>
          <w:sz w:val="21"/>
        </w:rPr>
        <w:t>that </w:t>
      </w:r>
      <w:r>
        <w:rPr>
          <w:sz w:val="21"/>
        </w:rPr>
        <w:t>costs rules and the power of the court </w:t>
      </w:r>
      <w:r>
        <w:rPr>
          <w:spacing w:val="-3"/>
          <w:sz w:val="21"/>
        </w:rPr>
        <w:t>to summarily dismiss claims are </w:t>
      </w:r>
      <w:r>
        <w:rPr>
          <w:spacing w:val="-2"/>
          <w:sz w:val="21"/>
        </w:rPr>
        <w:t>not </w:t>
      </w:r>
      <w:r>
        <w:rPr>
          <w:sz w:val="21"/>
        </w:rPr>
        <w:t>effective in </w:t>
      </w:r>
      <w:r>
        <w:rPr>
          <w:spacing w:val="-3"/>
          <w:sz w:val="21"/>
        </w:rPr>
        <w:t>deterring </w:t>
      </w:r>
      <w:r>
        <w:rPr>
          <w:sz w:val="21"/>
        </w:rPr>
        <w:t>opportunistic  or  non-genuine </w:t>
      </w:r>
      <w:r>
        <w:rPr>
          <w:spacing w:val="-3"/>
          <w:sz w:val="21"/>
        </w:rPr>
        <w:t>claims.</w:t>
      </w:r>
      <w:r>
        <w:rPr>
          <w:spacing w:val="-3"/>
          <w:position w:val="7"/>
          <w:sz w:val="12"/>
        </w:rPr>
        <w:t>5 </w:t>
      </w:r>
      <w:r>
        <w:rPr>
          <w:sz w:val="21"/>
        </w:rPr>
        <w:t>Both the Law </w:t>
      </w:r>
      <w:r>
        <w:rPr>
          <w:spacing w:val="-3"/>
          <w:sz w:val="21"/>
        </w:rPr>
        <w:t>Institute </w:t>
      </w:r>
      <w:r>
        <w:rPr>
          <w:sz w:val="21"/>
        </w:rPr>
        <w:t>of Victoria and Arnold Bloch Leibler </w:t>
      </w:r>
      <w:r>
        <w:rPr>
          <w:spacing w:val="-3"/>
          <w:sz w:val="21"/>
        </w:rPr>
        <w:t>considered that </w:t>
      </w:r>
      <w:r>
        <w:rPr>
          <w:sz w:val="21"/>
        </w:rPr>
        <w:t>the </w:t>
      </w:r>
      <w:r>
        <w:rPr>
          <w:spacing w:val="-3"/>
          <w:sz w:val="21"/>
        </w:rPr>
        <w:t>current </w:t>
      </w:r>
      <w:r>
        <w:rPr>
          <w:sz w:val="21"/>
        </w:rPr>
        <w:t>law allows opportunistic and non-genuine </w:t>
      </w:r>
      <w:r>
        <w:rPr>
          <w:spacing w:val="-3"/>
          <w:sz w:val="21"/>
        </w:rPr>
        <w:t>family provision claims </w:t>
      </w:r>
      <w:r>
        <w:rPr>
          <w:sz w:val="21"/>
        </w:rPr>
        <w:t>‘to a </w:t>
      </w:r>
      <w:r>
        <w:rPr>
          <w:spacing w:val="-3"/>
          <w:sz w:val="21"/>
        </w:rPr>
        <w:t>significant </w:t>
      </w:r>
      <w:r>
        <w:rPr>
          <w:spacing w:val="-4"/>
          <w:sz w:val="21"/>
        </w:rPr>
        <w:t>extent’.</w:t>
      </w:r>
      <w:r>
        <w:rPr>
          <w:spacing w:val="-4"/>
          <w:position w:val="7"/>
          <w:sz w:val="12"/>
        </w:rPr>
        <w:t>6 </w:t>
      </w:r>
      <w:r>
        <w:rPr>
          <w:spacing w:val="-3"/>
          <w:sz w:val="21"/>
        </w:rPr>
        <w:t>State </w:t>
      </w:r>
      <w:r>
        <w:rPr>
          <w:spacing w:val="-4"/>
          <w:sz w:val="21"/>
        </w:rPr>
        <w:t>Trustees </w:t>
      </w:r>
      <w:r>
        <w:rPr>
          <w:sz w:val="21"/>
        </w:rPr>
        <w:t>said </w:t>
      </w:r>
      <w:r>
        <w:rPr>
          <w:spacing w:val="-3"/>
          <w:sz w:val="21"/>
        </w:rPr>
        <w:t>that </w:t>
      </w:r>
      <w:r>
        <w:rPr>
          <w:sz w:val="21"/>
        </w:rPr>
        <w:t>it </w:t>
      </w:r>
      <w:r>
        <w:rPr>
          <w:spacing w:val="-2"/>
          <w:sz w:val="21"/>
        </w:rPr>
        <w:t>had </w:t>
      </w:r>
      <w:r>
        <w:rPr>
          <w:sz w:val="21"/>
        </w:rPr>
        <w:t>experienced </w:t>
      </w:r>
      <w:r>
        <w:rPr>
          <w:spacing w:val="-3"/>
          <w:sz w:val="21"/>
        </w:rPr>
        <w:t>such claims </w:t>
      </w:r>
      <w:r>
        <w:rPr>
          <w:sz w:val="21"/>
        </w:rPr>
        <w:t>on </w:t>
      </w:r>
      <w:r>
        <w:rPr>
          <w:spacing w:val="-3"/>
          <w:sz w:val="21"/>
        </w:rPr>
        <w:t>many  occasions.</w:t>
      </w:r>
      <w:r>
        <w:rPr>
          <w:spacing w:val="-3"/>
          <w:position w:val="7"/>
          <w:sz w:val="12"/>
        </w:rPr>
        <w:t>7  </w:t>
      </w:r>
      <w:r>
        <w:rPr>
          <w:sz w:val="21"/>
        </w:rPr>
        <w:t>A </w:t>
      </w:r>
      <w:r>
        <w:rPr>
          <w:spacing w:val="-3"/>
          <w:sz w:val="21"/>
        </w:rPr>
        <w:t>County Court </w:t>
      </w:r>
      <w:r>
        <w:rPr>
          <w:sz w:val="21"/>
        </w:rPr>
        <w:t>practice </w:t>
      </w:r>
      <w:r>
        <w:rPr>
          <w:spacing w:val="-3"/>
          <w:sz w:val="21"/>
        </w:rPr>
        <w:t>note </w:t>
      </w:r>
      <w:r>
        <w:rPr>
          <w:sz w:val="21"/>
        </w:rPr>
        <w:t>adverts </w:t>
      </w:r>
      <w:r>
        <w:rPr>
          <w:spacing w:val="-3"/>
          <w:sz w:val="21"/>
        </w:rPr>
        <w:t>to </w:t>
      </w:r>
      <w:r>
        <w:rPr>
          <w:sz w:val="21"/>
        </w:rPr>
        <w:t>the existence of </w:t>
      </w:r>
      <w:r>
        <w:rPr>
          <w:spacing w:val="-3"/>
          <w:sz w:val="21"/>
        </w:rPr>
        <w:t>such </w:t>
      </w:r>
      <w:r>
        <w:rPr>
          <w:sz w:val="21"/>
        </w:rPr>
        <w:t>a </w:t>
      </w:r>
      <w:r>
        <w:rPr>
          <w:spacing w:val="-3"/>
          <w:sz w:val="21"/>
        </w:rPr>
        <w:t>problem,  </w:t>
      </w:r>
      <w:r>
        <w:rPr>
          <w:sz w:val="21"/>
        </w:rPr>
        <w:t>stating </w:t>
      </w:r>
      <w:r>
        <w:rPr>
          <w:spacing w:val="-3"/>
          <w:sz w:val="21"/>
        </w:rPr>
        <w:t>that,</w:t>
      </w:r>
      <w:r>
        <w:rPr>
          <w:spacing w:val="41"/>
          <w:sz w:val="21"/>
        </w:rPr>
        <w:t> </w:t>
      </w:r>
      <w:r>
        <w:rPr>
          <w:sz w:val="21"/>
        </w:rPr>
        <w:t>‘In some cases, a plaintiff </w:t>
      </w:r>
      <w:r>
        <w:rPr>
          <w:spacing w:val="-3"/>
          <w:sz w:val="21"/>
        </w:rPr>
        <w:t>may </w:t>
      </w:r>
      <w:r>
        <w:rPr>
          <w:sz w:val="21"/>
        </w:rPr>
        <w:t>issue </w:t>
      </w:r>
      <w:r>
        <w:rPr>
          <w:spacing w:val="-3"/>
          <w:sz w:val="21"/>
        </w:rPr>
        <w:t>proceedings </w:t>
      </w:r>
      <w:r>
        <w:rPr>
          <w:sz w:val="21"/>
        </w:rPr>
        <w:t>where there is little merit in the </w:t>
      </w:r>
      <w:r>
        <w:rPr>
          <w:spacing w:val="-3"/>
          <w:sz w:val="21"/>
        </w:rPr>
        <w:t>claim </w:t>
      </w:r>
      <w:r>
        <w:rPr>
          <w:sz w:val="21"/>
        </w:rPr>
        <w:t>or </w:t>
      </w:r>
      <w:r>
        <w:rPr>
          <w:spacing w:val="-3"/>
          <w:sz w:val="21"/>
        </w:rPr>
        <w:t>alternatively </w:t>
      </w:r>
      <w:r>
        <w:rPr>
          <w:sz w:val="21"/>
        </w:rPr>
        <w:t>an </w:t>
      </w:r>
      <w:r>
        <w:rPr>
          <w:spacing w:val="-3"/>
          <w:sz w:val="21"/>
        </w:rPr>
        <w:t>appearance </w:t>
      </w:r>
      <w:r>
        <w:rPr>
          <w:sz w:val="21"/>
        </w:rPr>
        <w:t>is filed where a </w:t>
      </w:r>
      <w:r>
        <w:rPr>
          <w:spacing w:val="-3"/>
          <w:sz w:val="21"/>
        </w:rPr>
        <w:t>defendant </w:t>
      </w:r>
      <w:r>
        <w:rPr>
          <w:spacing w:val="-2"/>
          <w:sz w:val="21"/>
        </w:rPr>
        <w:t>has </w:t>
      </w:r>
      <w:r>
        <w:rPr>
          <w:sz w:val="21"/>
        </w:rPr>
        <w:t>no </w:t>
      </w:r>
      <w:r>
        <w:rPr>
          <w:spacing w:val="-3"/>
          <w:sz w:val="21"/>
        </w:rPr>
        <w:t>real</w:t>
      </w:r>
      <w:r>
        <w:rPr>
          <w:spacing w:val="-18"/>
          <w:sz w:val="21"/>
        </w:rPr>
        <w:t> </w:t>
      </w:r>
      <w:r>
        <w:rPr>
          <w:spacing w:val="-5"/>
          <w:sz w:val="21"/>
        </w:rPr>
        <w:t>defence’.</w:t>
      </w:r>
      <w:r>
        <w:rPr>
          <w:rFonts w:ascii="SimSun" w:hAnsi="SimSun"/>
          <w:spacing w:val="-5"/>
          <w:position w:val="7"/>
          <w:sz w:val="12"/>
        </w:rPr>
        <w:t>8</w:t>
      </w:r>
    </w:p>
    <w:p>
      <w:pPr>
        <w:pStyle w:val="ListParagraph"/>
        <w:numPr>
          <w:ilvl w:val="1"/>
          <w:numId w:val="22"/>
        </w:numPr>
        <w:tabs>
          <w:tab w:pos="2381" w:val="left" w:leader="none"/>
          <w:tab w:pos="2382" w:val="left" w:leader="none"/>
        </w:tabs>
        <w:spacing w:line="242" w:lineRule="auto" w:before="129" w:after="0"/>
        <w:ind w:left="2381" w:right="1784" w:hanging="794"/>
        <w:jc w:val="left"/>
        <w:rPr>
          <w:sz w:val="21"/>
        </w:rPr>
      </w:pPr>
      <w:r>
        <w:rPr>
          <w:sz w:val="21"/>
        </w:rPr>
        <w:t>Some legal practitioners, </w:t>
      </w:r>
      <w:r>
        <w:rPr>
          <w:spacing w:val="-4"/>
          <w:sz w:val="21"/>
        </w:rPr>
        <w:t>however,  </w:t>
      </w:r>
      <w:r>
        <w:rPr>
          <w:spacing w:val="-3"/>
          <w:sz w:val="21"/>
        </w:rPr>
        <w:t>considered  that  </w:t>
      </w:r>
      <w:r>
        <w:rPr>
          <w:sz w:val="21"/>
        </w:rPr>
        <w:t>the problem of opportunistic </w:t>
      </w:r>
      <w:r>
        <w:rPr>
          <w:spacing w:val="-3"/>
          <w:sz w:val="21"/>
        </w:rPr>
        <w:t>claims   </w:t>
      </w:r>
      <w:r>
        <w:rPr>
          <w:sz w:val="21"/>
        </w:rPr>
        <w:t>is </w:t>
      </w:r>
      <w:r>
        <w:rPr>
          <w:spacing w:val="-2"/>
          <w:sz w:val="21"/>
        </w:rPr>
        <w:t>not </w:t>
      </w:r>
      <w:r>
        <w:rPr>
          <w:spacing w:val="-3"/>
          <w:sz w:val="21"/>
        </w:rPr>
        <w:t>widespread.</w:t>
      </w:r>
      <w:r>
        <w:rPr>
          <w:spacing w:val="-3"/>
          <w:position w:val="7"/>
          <w:sz w:val="12"/>
        </w:rPr>
        <w:t>9 </w:t>
      </w:r>
      <w:r>
        <w:rPr>
          <w:sz w:val="21"/>
        </w:rPr>
        <w:t>Barrister Andrew  </w:t>
      </w:r>
      <w:r>
        <w:rPr>
          <w:spacing w:val="-3"/>
          <w:sz w:val="21"/>
        </w:rPr>
        <w:t>Verspaandonk  </w:t>
      </w:r>
      <w:r>
        <w:rPr>
          <w:sz w:val="21"/>
        </w:rPr>
        <w:t>said  </w:t>
      </w:r>
      <w:r>
        <w:rPr>
          <w:spacing w:val="-3"/>
          <w:sz w:val="21"/>
        </w:rPr>
        <w:t>that,  although  </w:t>
      </w:r>
      <w:r>
        <w:rPr>
          <w:sz w:val="21"/>
        </w:rPr>
        <w:t>‘try  </w:t>
      </w:r>
      <w:r>
        <w:rPr>
          <w:spacing w:val="-3"/>
          <w:sz w:val="21"/>
        </w:rPr>
        <w:t>on’  claims are made, </w:t>
      </w:r>
      <w:r>
        <w:rPr>
          <w:sz w:val="21"/>
        </w:rPr>
        <w:t>they </w:t>
      </w:r>
      <w:r>
        <w:rPr>
          <w:spacing w:val="-3"/>
          <w:sz w:val="21"/>
        </w:rPr>
        <w:t>represent </w:t>
      </w:r>
      <w:r>
        <w:rPr>
          <w:sz w:val="21"/>
        </w:rPr>
        <w:t>a </w:t>
      </w:r>
      <w:r>
        <w:rPr>
          <w:spacing w:val="-3"/>
          <w:sz w:val="21"/>
        </w:rPr>
        <w:t>relatively </w:t>
      </w:r>
      <w:r>
        <w:rPr>
          <w:sz w:val="21"/>
        </w:rPr>
        <w:t>modest proportion of the </w:t>
      </w:r>
      <w:r>
        <w:rPr>
          <w:spacing w:val="-3"/>
          <w:sz w:val="21"/>
        </w:rPr>
        <w:t>overall </w:t>
      </w:r>
      <w:r>
        <w:rPr>
          <w:sz w:val="21"/>
        </w:rPr>
        <w:t>number of </w:t>
      </w:r>
      <w:r>
        <w:rPr>
          <w:spacing w:val="-3"/>
          <w:sz w:val="21"/>
        </w:rPr>
        <w:t>claims made, </w:t>
      </w:r>
      <w:r>
        <w:rPr>
          <w:sz w:val="21"/>
        </w:rPr>
        <w:t>but they do </w:t>
      </w:r>
      <w:r>
        <w:rPr>
          <w:spacing w:val="-3"/>
          <w:sz w:val="21"/>
        </w:rPr>
        <w:t>gain </w:t>
      </w:r>
      <w:r>
        <w:rPr>
          <w:spacing w:val="-5"/>
          <w:sz w:val="21"/>
        </w:rPr>
        <w:t>notoriety.</w:t>
      </w:r>
      <w:r>
        <w:rPr>
          <w:spacing w:val="-5"/>
          <w:position w:val="7"/>
          <w:sz w:val="12"/>
        </w:rPr>
        <w:t>10 </w:t>
      </w:r>
      <w:r>
        <w:rPr>
          <w:spacing w:val="-3"/>
          <w:sz w:val="21"/>
        </w:rPr>
        <w:t>Carolyn Sparke </w:t>
      </w:r>
      <w:r>
        <w:rPr>
          <w:sz w:val="21"/>
        </w:rPr>
        <w:t>SC agreed </w:t>
      </w:r>
      <w:r>
        <w:rPr>
          <w:spacing w:val="-3"/>
          <w:sz w:val="21"/>
        </w:rPr>
        <w:t>that marginal </w:t>
      </w:r>
      <w:r>
        <w:rPr>
          <w:sz w:val="21"/>
        </w:rPr>
        <w:t>cases </w:t>
      </w:r>
      <w:r>
        <w:rPr>
          <w:spacing w:val="-3"/>
          <w:sz w:val="21"/>
        </w:rPr>
        <w:t>are relatively few </w:t>
      </w:r>
      <w:r>
        <w:rPr>
          <w:sz w:val="21"/>
        </w:rPr>
        <w:t>in </w:t>
      </w:r>
      <w:r>
        <w:rPr>
          <w:spacing w:val="-4"/>
          <w:sz w:val="21"/>
        </w:rPr>
        <w:t>number, </w:t>
      </w:r>
      <w:r>
        <w:rPr>
          <w:sz w:val="21"/>
        </w:rPr>
        <w:t>but </w:t>
      </w:r>
      <w:r>
        <w:rPr>
          <w:spacing w:val="-3"/>
          <w:sz w:val="21"/>
        </w:rPr>
        <w:t>are overrepresented </w:t>
      </w:r>
      <w:r>
        <w:rPr>
          <w:sz w:val="21"/>
        </w:rPr>
        <w:t>in the </w:t>
      </w:r>
      <w:r>
        <w:rPr>
          <w:spacing w:val="-6"/>
          <w:sz w:val="21"/>
        </w:rPr>
        <w:t>media.</w:t>
      </w:r>
      <w:r>
        <w:rPr>
          <w:spacing w:val="-6"/>
          <w:position w:val="7"/>
          <w:sz w:val="12"/>
        </w:rPr>
        <w:t>11 </w:t>
      </w:r>
      <w:r>
        <w:rPr>
          <w:spacing w:val="-3"/>
          <w:sz w:val="21"/>
        </w:rPr>
        <w:t>Whatever </w:t>
      </w:r>
      <w:r>
        <w:rPr>
          <w:sz w:val="21"/>
        </w:rPr>
        <w:t>the extent</w:t>
      </w:r>
      <w:r>
        <w:rPr>
          <w:spacing w:val="5"/>
          <w:sz w:val="21"/>
        </w:rPr>
        <w:t> </w:t>
      </w:r>
      <w:r>
        <w:rPr>
          <w:sz w:val="21"/>
        </w:rPr>
        <w:t>of</w:t>
      </w:r>
    </w:p>
    <w:p>
      <w:pPr>
        <w:pStyle w:val="BodyText"/>
        <w:spacing w:line="242" w:lineRule="auto" w:before="5"/>
        <w:ind w:left="2381" w:right="1619"/>
      </w:pPr>
      <w:r>
        <w:rPr/>
        <w:t>the problem, it is clear that opportunistic claims, legal costs, uncertainty in the jurisdiction and the high rate of settlement are closely related.</w:t>
      </w:r>
    </w:p>
    <w:p>
      <w:pPr>
        <w:pStyle w:val="ListParagraph"/>
        <w:numPr>
          <w:ilvl w:val="1"/>
          <w:numId w:val="22"/>
        </w:numPr>
        <w:tabs>
          <w:tab w:pos="2380" w:val="left" w:leader="none"/>
          <w:tab w:pos="2381" w:val="left" w:leader="none"/>
        </w:tabs>
        <w:spacing w:line="242" w:lineRule="auto" w:before="122" w:after="0"/>
        <w:ind w:left="2380" w:right="1688" w:hanging="793"/>
        <w:jc w:val="left"/>
        <w:rPr>
          <w:sz w:val="21"/>
        </w:rPr>
      </w:pPr>
      <w:r>
        <w:rPr>
          <w:sz w:val="21"/>
        </w:rPr>
        <w:t>Settlement is </w:t>
      </w:r>
      <w:r>
        <w:rPr>
          <w:spacing w:val="-3"/>
          <w:sz w:val="21"/>
        </w:rPr>
        <w:t>prevalent </w:t>
      </w:r>
      <w:r>
        <w:rPr>
          <w:sz w:val="21"/>
        </w:rPr>
        <w:t>in the </w:t>
      </w:r>
      <w:r>
        <w:rPr>
          <w:spacing w:val="-3"/>
          <w:sz w:val="21"/>
        </w:rPr>
        <w:t>family provision  jurisdiction,  </w:t>
      </w:r>
      <w:r>
        <w:rPr>
          <w:sz w:val="21"/>
        </w:rPr>
        <w:t>with one barrister </w:t>
      </w:r>
      <w:r>
        <w:rPr>
          <w:spacing w:val="-3"/>
          <w:sz w:val="21"/>
        </w:rPr>
        <w:t>noting</w:t>
      </w:r>
      <w:r>
        <w:rPr>
          <w:spacing w:val="41"/>
          <w:sz w:val="21"/>
        </w:rPr>
        <w:t> </w:t>
      </w:r>
      <w:r>
        <w:rPr>
          <w:spacing w:val="-3"/>
          <w:sz w:val="21"/>
        </w:rPr>
        <w:t>that, </w:t>
      </w:r>
      <w:r>
        <w:rPr>
          <w:sz w:val="21"/>
        </w:rPr>
        <w:t>‘In my experience, almost </w:t>
      </w:r>
      <w:r>
        <w:rPr>
          <w:spacing w:val="-3"/>
          <w:sz w:val="21"/>
        </w:rPr>
        <w:t>all such  claims  </w:t>
      </w:r>
      <w:r>
        <w:rPr>
          <w:sz w:val="21"/>
        </w:rPr>
        <w:t>resolve  at  the  point  of  </w:t>
      </w:r>
      <w:r>
        <w:rPr>
          <w:spacing w:val="-6"/>
          <w:sz w:val="21"/>
        </w:rPr>
        <w:t>mediation’.</w:t>
      </w:r>
      <w:r>
        <w:rPr>
          <w:spacing w:val="-6"/>
          <w:position w:val="7"/>
          <w:sz w:val="12"/>
        </w:rPr>
        <w:t>12</w:t>
      </w:r>
      <w:r>
        <w:rPr>
          <w:spacing w:val="15"/>
          <w:position w:val="7"/>
          <w:sz w:val="12"/>
        </w:rPr>
        <w:t> </w:t>
      </w:r>
      <w:r>
        <w:rPr>
          <w:spacing w:val="-3"/>
          <w:sz w:val="21"/>
        </w:rPr>
        <w:t>Although </w:t>
      </w:r>
      <w:r>
        <w:rPr>
          <w:sz w:val="21"/>
        </w:rPr>
        <w:t>the merits of a </w:t>
      </w:r>
      <w:r>
        <w:rPr>
          <w:spacing w:val="-6"/>
          <w:sz w:val="21"/>
        </w:rPr>
        <w:t>claim</w:t>
      </w:r>
      <w:r>
        <w:rPr>
          <w:spacing w:val="-6"/>
          <w:position w:val="7"/>
          <w:sz w:val="12"/>
        </w:rPr>
        <w:t>13 </w:t>
      </w:r>
      <w:r>
        <w:rPr>
          <w:sz w:val="21"/>
        </w:rPr>
        <w:t>and the </w:t>
      </w:r>
      <w:r>
        <w:rPr>
          <w:spacing w:val="-3"/>
          <w:sz w:val="21"/>
        </w:rPr>
        <w:t>desire to </w:t>
      </w:r>
      <w:r>
        <w:rPr>
          <w:sz w:val="21"/>
        </w:rPr>
        <w:t>preserve </w:t>
      </w:r>
      <w:r>
        <w:rPr>
          <w:spacing w:val="-3"/>
          <w:sz w:val="21"/>
        </w:rPr>
        <w:t>family </w:t>
      </w:r>
      <w:r>
        <w:rPr>
          <w:spacing w:val="-4"/>
          <w:sz w:val="21"/>
        </w:rPr>
        <w:t>relationships</w:t>
      </w:r>
      <w:r>
        <w:rPr>
          <w:spacing w:val="-4"/>
          <w:position w:val="7"/>
          <w:sz w:val="12"/>
        </w:rPr>
        <w:t>14 </w:t>
      </w:r>
      <w:r>
        <w:rPr>
          <w:sz w:val="21"/>
        </w:rPr>
        <w:t>affect the decision about whether </w:t>
      </w:r>
      <w:r>
        <w:rPr>
          <w:spacing w:val="-3"/>
          <w:sz w:val="21"/>
        </w:rPr>
        <w:t>to </w:t>
      </w:r>
      <w:r>
        <w:rPr>
          <w:sz w:val="21"/>
        </w:rPr>
        <w:t>settle, a number of </w:t>
      </w:r>
      <w:r>
        <w:rPr>
          <w:spacing w:val="-3"/>
          <w:sz w:val="21"/>
        </w:rPr>
        <w:t>submissions </w:t>
      </w:r>
      <w:r>
        <w:rPr>
          <w:sz w:val="21"/>
        </w:rPr>
        <w:t>expressed the view </w:t>
      </w:r>
      <w:r>
        <w:rPr>
          <w:spacing w:val="-3"/>
          <w:sz w:val="21"/>
        </w:rPr>
        <w:t>that  </w:t>
      </w:r>
      <w:r>
        <w:rPr>
          <w:sz w:val="21"/>
        </w:rPr>
        <w:t>settlement is  </w:t>
      </w:r>
      <w:r>
        <w:rPr>
          <w:spacing w:val="-2"/>
          <w:sz w:val="21"/>
        </w:rPr>
        <w:t>not </w:t>
      </w:r>
      <w:r>
        <w:rPr>
          <w:sz w:val="21"/>
        </w:rPr>
        <w:t>always, or even </w:t>
      </w:r>
      <w:r>
        <w:rPr>
          <w:spacing w:val="-4"/>
          <w:sz w:val="21"/>
        </w:rPr>
        <w:t>usually, </w:t>
      </w:r>
      <w:r>
        <w:rPr>
          <w:sz w:val="21"/>
        </w:rPr>
        <w:t>based on the merits of the </w:t>
      </w:r>
      <w:r>
        <w:rPr>
          <w:spacing w:val="-3"/>
          <w:sz w:val="21"/>
        </w:rPr>
        <w:t>claim </w:t>
      </w:r>
      <w:r>
        <w:rPr>
          <w:sz w:val="21"/>
        </w:rPr>
        <w:t>and an </w:t>
      </w:r>
      <w:r>
        <w:rPr>
          <w:spacing w:val="-3"/>
          <w:sz w:val="21"/>
        </w:rPr>
        <w:t>outcome that  </w:t>
      </w:r>
      <w:r>
        <w:rPr>
          <w:sz w:val="21"/>
        </w:rPr>
        <w:t>is best  </w:t>
      </w:r>
      <w:r>
        <w:rPr>
          <w:spacing w:val="-3"/>
          <w:sz w:val="21"/>
        </w:rPr>
        <w:t>for all</w:t>
      </w:r>
      <w:r>
        <w:rPr>
          <w:spacing w:val="19"/>
          <w:sz w:val="21"/>
        </w:rPr>
        <w:t> </w:t>
      </w:r>
      <w:r>
        <w:rPr>
          <w:sz w:val="21"/>
        </w:rPr>
        <w:t>parties.</w:t>
      </w:r>
    </w:p>
    <w:p>
      <w:pPr>
        <w:pStyle w:val="BodyText"/>
        <w:spacing w:before="3"/>
        <w:rPr>
          <w:sz w:val="27"/>
        </w:rPr>
      </w:pPr>
    </w:p>
    <w:p>
      <w:pPr>
        <w:pStyle w:val="Heading6"/>
      </w:pPr>
      <w:r>
        <w:rPr>
          <w:w w:val="110"/>
        </w:rPr>
        <w:t>Concerns about costs</w:t>
      </w:r>
    </w:p>
    <w:p>
      <w:pPr>
        <w:pStyle w:val="ListParagraph"/>
        <w:numPr>
          <w:ilvl w:val="1"/>
          <w:numId w:val="22"/>
        </w:numPr>
        <w:tabs>
          <w:tab w:pos="2380" w:val="left" w:leader="none"/>
          <w:tab w:pos="2381" w:val="left" w:leader="none"/>
        </w:tabs>
        <w:spacing w:line="242" w:lineRule="auto" w:before="151" w:after="0"/>
        <w:ind w:left="2381" w:right="1839" w:hanging="794"/>
        <w:jc w:val="left"/>
        <w:rPr>
          <w:sz w:val="21"/>
        </w:rPr>
      </w:pPr>
      <w:r>
        <w:rPr>
          <w:w w:val="105"/>
          <w:sz w:val="21"/>
        </w:rPr>
        <w:t>The </w:t>
      </w:r>
      <w:r>
        <w:rPr>
          <w:spacing w:val="-3"/>
          <w:w w:val="105"/>
          <w:sz w:val="21"/>
        </w:rPr>
        <w:t>Legal </w:t>
      </w:r>
      <w:r>
        <w:rPr>
          <w:w w:val="105"/>
          <w:sz w:val="21"/>
        </w:rPr>
        <w:t>Services </w:t>
      </w:r>
      <w:r>
        <w:rPr>
          <w:spacing w:val="-4"/>
          <w:w w:val="105"/>
          <w:sz w:val="21"/>
        </w:rPr>
        <w:t>Commissioner </w:t>
      </w:r>
      <w:r>
        <w:rPr>
          <w:w w:val="105"/>
          <w:sz w:val="21"/>
        </w:rPr>
        <w:t>said </w:t>
      </w:r>
      <w:r>
        <w:rPr>
          <w:spacing w:val="-3"/>
          <w:w w:val="105"/>
          <w:sz w:val="21"/>
        </w:rPr>
        <w:t>that, in </w:t>
      </w:r>
      <w:r>
        <w:rPr>
          <w:spacing w:val="-4"/>
          <w:w w:val="105"/>
          <w:sz w:val="21"/>
        </w:rPr>
        <w:t>complaints </w:t>
      </w:r>
      <w:r>
        <w:rPr>
          <w:spacing w:val="-3"/>
          <w:w w:val="105"/>
          <w:sz w:val="21"/>
        </w:rPr>
        <w:t>made in </w:t>
      </w:r>
      <w:r>
        <w:rPr>
          <w:spacing w:val="-4"/>
          <w:w w:val="105"/>
          <w:sz w:val="21"/>
        </w:rPr>
        <w:t>relation </w:t>
      </w:r>
      <w:r>
        <w:rPr>
          <w:spacing w:val="-3"/>
          <w:w w:val="105"/>
          <w:sz w:val="21"/>
        </w:rPr>
        <w:t>to </w:t>
      </w:r>
      <w:r>
        <w:rPr>
          <w:spacing w:val="-4"/>
          <w:w w:val="105"/>
          <w:sz w:val="21"/>
        </w:rPr>
        <w:t>family provision proceedings, </w:t>
      </w:r>
      <w:r>
        <w:rPr>
          <w:w w:val="105"/>
          <w:sz w:val="21"/>
        </w:rPr>
        <w:t>some </w:t>
      </w:r>
      <w:r>
        <w:rPr>
          <w:spacing w:val="-4"/>
          <w:w w:val="105"/>
          <w:sz w:val="21"/>
        </w:rPr>
        <w:t>unmeritorious claims </w:t>
      </w:r>
      <w:r>
        <w:rPr>
          <w:spacing w:val="-3"/>
          <w:w w:val="105"/>
          <w:sz w:val="21"/>
        </w:rPr>
        <w:t>appear to </w:t>
      </w:r>
      <w:r>
        <w:rPr>
          <w:spacing w:val="-4"/>
          <w:w w:val="105"/>
          <w:sz w:val="21"/>
        </w:rPr>
        <w:t>have </w:t>
      </w:r>
      <w:r>
        <w:rPr>
          <w:w w:val="105"/>
          <w:sz w:val="21"/>
        </w:rPr>
        <w:t>been settled </w:t>
      </w:r>
      <w:r>
        <w:rPr>
          <w:spacing w:val="-3"/>
          <w:w w:val="105"/>
          <w:sz w:val="21"/>
        </w:rPr>
        <w:t>not </w:t>
      </w:r>
      <w:r>
        <w:rPr>
          <w:w w:val="105"/>
          <w:sz w:val="21"/>
        </w:rPr>
        <w:t>on the</w:t>
      </w:r>
      <w:r>
        <w:rPr>
          <w:spacing w:val="-5"/>
          <w:w w:val="105"/>
          <w:sz w:val="21"/>
        </w:rPr>
        <w:t> </w:t>
      </w:r>
      <w:r>
        <w:rPr>
          <w:w w:val="105"/>
          <w:sz w:val="21"/>
        </w:rPr>
        <w:t>merits</w:t>
      </w:r>
      <w:r>
        <w:rPr>
          <w:spacing w:val="-6"/>
          <w:w w:val="105"/>
          <w:sz w:val="21"/>
        </w:rPr>
        <w:t> </w:t>
      </w:r>
      <w:r>
        <w:rPr>
          <w:spacing w:val="-3"/>
          <w:w w:val="105"/>
          <w:sz w:val="21"/>
        </w:rPr>
        <w:t>of</w:t>
      </w:r>
      <w:r>
        <w:rPr>
          <w:spacing w:val="-5"/>
          <w:w w:val="105"/>
          <w:sz w:val="21"/>
        </w:rPr>
        <w:t> </w:t>
      </w:r>
      <w:r>
        <w:rPr>
          <w:w w:val="105"/>
          <w:sz w:val="21"/>
        </w:rPr>
        <w:t>the</w:t>
      </w:r>
      <w:r>
        <w:rPr>
          <w:spacing w:val="-5"/>
          <w:w w:val="105"/>
          <w:sz w:val="21"/>
        </w:rPr>
        <w:t> </w:t>
      </w:r>
      <w:r>
        <w:rPr>
          <w:spacing w:val="-4"/>
          <w:w w:val="105"/>
          <w:sz w:val="21"/>
        </w:rPr>
        <w:t>claim,</w:t>
      </w:r>
      <w:r>
        <w:rPr>
          <w:spacing w:val="-5"/>
          <w:w w:val="105"/>
          <w:sz w:val="21"/>
        </w:rPr>
        <w:t> </w:t>
      </w:r>
      <w:r>
        <w:rPr>
          <w:spacing w:val="-3"/>
          <w:w w:val="105"/>
          <w:sz w:val="21"/>
        </w:rPr>
        <w:t>but</w:t>
      </w:r>
      <w:r>
        <w:rPr>
          <w:spacing w:val="-5"/>
          <w:w w:val="105"/>
          <w:sz w:val="21"/>
        </w:rPr>
        <w:t> </w:t>
      </w:r>
      <w:r>
        <w:rPr>
          <w:spacing w:val="-3"/>
          <w:w w:val="105"/>
          <w:sz w:val="21"/>
        </w:rPr>
        <w:t>because</w:t>
      </w:r>
      <w:r>
        <w:rPr>
          <w:spacing w:val="-5"/>
          <w:w w:val="105"/>
          <w:sz w:val="21"/>
        </w:rPr>
        <w:t> </w:t>
      </w:r>
      <w:r>
        <w:rPr>
          <w:w w:val="105"/>
          <w:sz w:val="21"/>
        </w:rPr>
        <w:t>costs</w:t>
      </w:r>
      <w:r>
        <w:rPr>
          <w:spacing w:val="-5"/>
          <w:w w:val="105"/>
          <w:sz w:val="21"/>
        </w:rPr>
        <w:t> </w:t>
      </w:r>
      <w:r>
        <w:rPr>
          <w:spacing w:val="-3"/>
          <w:w w:val="105"/>
          <w:sz w:val="21"/>
        </w:rPr>
        <w:t>of</w:t>
      </w:r>
      <w:r>
        <w:rPr>
          <w:spacing w:val="-5"/>
          <w:w w:val="105"/>
          <w:sz w:val="21"/>
        </w:rPr>
        <w:t> </w:t>
      </w:r>
      <w:r>
        <w:rPr>
          <w:w w:val="105"/>
          <w:sz w:val="21"/>
        </w:rPr>
        <w:t>the</w:t>
      </w:r>
      <w:r>
        <w:rPr>
          <w:spacing w:val="-5"/>
          <w:w w:val="105"/>
          <w:sz w:val="21"/>
        </w:rPr>
        <w:t> </w:t>
      </w:r>
      <w:r>
        <w:rPr>
          <w:spacing w:val="-4"/>
          <w:w w:val="105"/>
          <w:sz w:val="21"/>
        </w:rPr>
        <w:t>litigation</w:t>
      </w:r>
      <w:r>
        <w:rPr>
          <w:spacing w:val="-5"/>
          <w:w w:val="105"/>
          <w:sz w:val="21"/>
        </w:rPr>
        <w:t> </w:t>
      </w:r>
      <w:r>
        <w:rPr>
          <w:spacing w:val="-3"/>
          <w:w w:val="105"/>
          <w:sz w:val="21"/>
        </w:rPr>
        <w:t>are</w:t>
      </w:r>
      <w:r>
        <w:rPr>
          <w:spacing w:val="-5"/>
          <w:w w:val="105"/>
          <w:sz w:val="21"/>
        </w:rPr>
        <w:t> </w:t>
      </w:r>
      <w:r>
        <w:rPr>
          <w:spacing w:val="-4"/>
          <w:w w:val="105"/>
          <w:sz w:val="21"/>
        </w:rPr>
        <w:t>likely</w:t>
      </w:r>
      <w:r>
        <w:rPr>
          <w:spacing w:val="-5"/>
          <w:w w:val="105"/>
          <w:sz w:val="21"/>
        </w:rPr>
        <w:t> </w:t>
      </w:r>
      <w:r>
        <w:rPr>
          <w:spacing w:val="-3"/>
          <w:w w:val="105"/>
          <w:sz w:val="21"/>
        </w:rPr>
        <w:t>to</w:t>
      </w:r>
      <w:r>
        <w:rPr>
          <w:spacing w:val="-5"/>
          <w:w w:val="105"/>
          <w:sz w:val="21"/>
        </w:rPr>
        <w:t> </w:t>
      </w:r>
      <w:r>
        <w:rPr>
          <w:w w:val="105"/>
          <w:sz w:val="21"/>
        </w:rPr>
        <w:t>be</w:t>
      </w:r>
      <w:r>
        <w:rPr>
          <w:spacing w:val="-5"/>
          <w:w w:val="105"/>
          <w:sz w:val="21"/>
        </w:rPr>
        <w:t> </w:t>
      </w:r>
      <w:r>
        <w:rPr>
          <w:spacing w:val="-3"/>
          <w:w w:val="105"/>
          <w:sz w:val="21"/>
        </w:rPr>
        <w:t>paid</w:t>
      </w:r>
      <w:r>
        <w:rPr>
          <w:spacing w:val="-5"/>
          <w:w w:val="105"/>
          <w:sz w:val="21"/>
        </w:rPr>
        <w:t> </w:t>
      </w:r>
      <w:r>
        <w:rPr>
          <w:w w:val="105"/>
          <w:sz w:val="21"/>
        </w:rPr>
        <w:t>out</w:t>
      </w:r>
      <w:r>
        <w:rPr>
          <w:spacing w:val="-5"/>
          <w:w w:val="105"/>
          <w:sz w:val="21"/>
        </w:rPr>
        <w:t> </w:t>
      </w:r>
      <w:r>
        <w:rPr>
          <w:spacing w:val="-3"/>
          <w:w w:val="105"/>
          <w:sz w:val="21"/>
        </w:rPr>
        <w:t>of</w:t>
      </w:r>
      <w:r>
        <w:rPr>
          <w:spacing w:val="-5"/>
          <w:w w:val="105"/>
          <w:sz w:val="21"/>
        </w:rPr>
        <w:t> </w:t>
      </w:r>
      <w:r>
        <w:rPr>
          <w:w w:val="105"/>
          <w:sz w:val="21"/>
        </w:rPr>
        <w:t>the </w:t>
      </w:r>
      <w:r>
        <w:rPr>
          <w:spacing w:val="-6"/>
          <w:w w:val="105"/>
          <w:sz w:val="21"/>
        </w:rPr>
        <w:t>estate.</w:t>
      </w:r>
      <w:r>
        <w:rPr>
          <w:spacing w:val="-6"/>
          <w:w w:val="105"/>
          <w:position w:val="7"/>
          <w:sz w:val="12"/>
        </w:rPr>
        <w:t>15 </w:t>
      </w:r>
      <w:r>
        <w:rPr>
          <w:w w:val="105"/>
          <w:sz w:val="21"/>
        </w:rPr>
        <w:t>In </w:t>
      </w:r>
      <w:r>
        <w:rPr>
          <w:spacing w:val="-4"/>
          <w:w w:val="105"/>
          <w:sz w:val="21"/>
        </w:rPr>
        <w:t>preliminary </w:t>
      </w:r>
      <w:r>
        <w:rPr>
          <w:spacing w:val="-3"/>
          <w:w w:val="105"/>
          <w:sz w:val="21"/>
        </w:rPr>
        <w:t>comments </w:t>
      </w:r>
      <w:r>
        <w:rPr>
          <w:w w:val="105"/>
          <w:sz w:val="21"/>
        </w:rPr>
        <w:t>on the</w:t>
      </w:r>
      <w:r>
        <w:rPr>
          <w:spacing w:val="-36"/>
          <w:w w:val="105"/>
          <w:sz w:val="21"/>
        </w:rPr>
        <w:t> </w:t>
      </w:r>
      <w:r>
        <w:rPr>
          <w:spacing w:val="-3"/>
          <w:w w:val="105"/>
          <w:sz w:val="21"/>
        </w:rPr>
        <w:t>terms of </w:t>
      </w:r>
      <w:r>
        <w:rPr>
          <w:spacing w:val="-5"/>
          <w:w w:val="105"/>
          <w:sz w:val="21"/>
        </w:rPr>
        <w:t>reference, </w:t>
      </w:r>
      <w:r>
        <w:rPr>
          <w:spacing w:val="-3"/>
          <w:w w:val="105"/>
          <w:sz w:val="21"/>
        </w:rPr>
        <w:t>Equity </w:t>
      </w:r>
      <w:r>
        <w:rPr>
          <w:spacing w:val="-5"/>
          <w:w w:val="105"/>
          <w:sz w:val="21"/>
        </w:rPr>
        <w:t>Trustees </w:t>
      </w:r>
      <w:r>
        <w:rPr>
          <w:spacing w:val="-4"/>
          <w:w w:val="105"/>
          <w:sz w:val="21"/>
        </w:rPr>
        <w:t>Ltd </w:t>
      </w:r>
      <w:r>
        <w:rPr>
          <w:spacing w:val="-3"/>
          <w:w w:val="105"/>
          <w:sz w:val="21"/>
        </w:rPr>
        <w:t>agreed</w:t>
      </w:r>
    </w:p>
    <w:p>
      <w:pPr>
        <w:pStyle w:val="BodyText"/>
        <w:spacing w:before="4"/>
        <w:ind w:left="2381"/>
        <w:rPr>
          <w:sz w:val="12"/>
        </w:rPr>
      </w:pPr>
      <w:r>
        <w:rPr>
          <w:spacing w:val="-3"/>
          <w:w w:val="105"/>
        </w:rPr>
        <w:t>with this </w:t>
      </w:r>
      <w:r>
        <w:rPr>
          <w:spacing w:val="-4"/>
          <w:w w:val="105"/>
        </w:rPr>
        <w:t>contention, noting </w:t>
      </w:r>
      <w:r>
        <w:rPr>
          <w:spacing w:val="-3"/>
          <w:w w:val="105"/>
        </w:rPr>
        <w:t>that settlement </w:t>
      </w:r>
      <w:r>
        <w:rPr>
          <w:w w:val="105"/>
        </w:rPr>
        <w:t>does </w:t>
      </w:r>
      <w:r>
        <w:rPr>
          <w:spacing w:val="-3"/>
          <w:w w:val="105"/>
        </w:rPr>
        <w:t>occur to protect </w:t>
      </w:r>
      <w:r>
        <w:rPr>
          <w:w w:val="105"/>
        </w:rPr>
        <w:t>the </w:t>
      </w:r>
      <w:r>
        <w:rPr>
          <w:spacing w:val="-4"/>
          <w:w w:val="105"/>
        </w:rPr>
        <w:t>value </w:t>
      </w:r>
      <w:r>
        <w:rPr>
          <w:spacing w:val="-3"/>
          <w:w w:val="105"/>
        </w:rPr>
        <w:t>of </w:t>
      </w:r>
      <w:r>
        <w:rPr>
          <w:w w:val="105"/>
        </w:rPr>
        <w:t>the </w:t>
      </w:r>
      <w:r>
        <w:rPr>
          <w:spacing w:val="-6"/>
          <w:w w:val="105"/>
        </w:rPr>
        <w:t>estate.</w:t>
      </w:r>
      <w:r>
        <w:rPr>
          <w:spacing w:val="-6"/>
          <w:w w:val="105"/>
          <w:position w:val="7"/>
          <w:sz w:val="12"/>
        </w:rPr>
        <w:t>16</w:t>
      </w:r>
    </w:p>
    <w:p>
      <w:pPr>
        <w:pStyle w:val="ListParagraph"/>
        <w:numPr>
          <w:ilvl w:val="1"/>
          <w:numId w:val="22"/>
        </w:numPr>
        <w:tabs>
          <w:tab w:pos="2380" w:val="left" w:leader="none"/>
          <w:tab w:pos="2381" w:val="left" w:leader="none"/>
        </w:tabs>
        <w:spacing w:line="242" w:lineRule="auto" w:before="124" w:after="0"/>
        <w:ind w:left="2381" w:right="1826" w:hanging="794"/>
        <w:jc w:val="left"/>
        <w:rPr>
          <w:sz w:val="12"/>
        </w:rPr>
      </w:pPr>
      <w:r>
        <w:rPr>
          <w:sz w:val="21"/>
        </w:rPr>
        <w:t>The Property and </w:t>
      </w:r>
      <w:r>
        <w:rPr>
          <w:spacing w:val="-3"/>
          <w:sz w:val="21"/>
        </w:rPr>
        <w:t>Probate </w:t>
      </w:r>
      <w:r>
        <w:rPr>
          <w:sz w:val="21"/>
        </w:rPr>
        <w:t>Section of the </w:t>
      </w:r>
      <w:r>
        <w:rPr>
          <w:spacing w:val="-4"/>
          <w:sz w:val="21"/>
        </w:rPr>
        <w:t>Commercial </w:t>
      </w:r>
      <w:r>
        <w:rPr>
          <w:sz w:val="21"/>
        </w:rPr>
        <w:t>Bar Association and  the  Law </w:t>
      </w:r>
      <w:r>
        <w:rPr>
          <w:spacing w:val="-3"/>
          <w:sz w:val="21"/>
        </w:rPr>
        <w:t>Institute </w:t>
      </w:r>
      <w:r>
        <w:rPr>
          <w:sz w:val="21"/>
        </w:rPr>
        <w:t>of Victoria agreed </w:t>
      </w:r>
      <w:r>
        <w:rPr>
          <w:spacing w:val="-3"/>
          <w:sz w:val="21"/>
        </w:rPr>
        <w:t>that </w:t>
      </w:r>
      <w:r>
        <w:rPr>
          <w:sz w:val="21"/>
        </w:rPr>
        <w:t>the risk </w:t>
      </w:r>
      <w:r>
        <w:rPr>
          <w:spacing w:val="-3"/>
          <w:sz w:val="21"/>
        </w:rPr>
        <w:t>that </w:t>
      </w:r>
      <w:r>
        <w:rPr>
          <w:sz w:val="21"/>
        </w:rPr>
        <w:t>an </w:t>
      </w:r>
      <w:r>
        <w:rPr>
          <w:spacing w:val="-3"/>
          <w:sz w:val="21"/>
        </w:rPr>
        <w:t>unsuccessful </w:t>
      </w:r>
      <w:r>
        <w:rPr>
          <w:sz w:val="21"/>
        </w:rPr>
        <w:t>plaintiff </w:t>
      </w:r>
      <w:r>
        <w:rPr>
          <w:spacing w:val="-3"/>
          <w:sz w:val="21"/>
        </w:rPr>
        <w:t>will  </w:t>
      </w:r>
      <w:r>
        <w:rPr>
          <w:sz w:val="21"/>
        </w:rPr>
        <w:t>receive their costs out of the estate </w:t>
      </w:r>
      <w:r>
        <w:rPr>
          <w:spacing w:val="-3"/>
          <w:sz w:val="21"/>
        </w:rPr>
        <w:t>motivates </w:t>
      </w:r>
      <w:r>
        <w:rPr>
          <w:sz w:val="21"/>
        </w:rPr>
        <w:t>some </w:t>
      </w:r>
      <w:r>
        <w:rPr>
          <w:spacing w:val="-3"/>
          <w:sz w:val="21"/>
        </w:rPr>
        <w:t>defendant </w:t>
      </w:r>
      <w:r>
        <w:rPr>
          <w:sz w:val="21"/>
        </w:rPr>
        <w:t>personal representatives </w:t>
      </w:r>
      <w:r>
        <w:rPr>
          <w:spacing w:val="-3"/>
          <w:sz w:val="21"/>
        </w:rPr>
        <w:t>to </w:t>
      </w:r>
      <w:r>
        <w:rPr>
          <w:sz w:val="21"/>
        </w:rPr>
        <w:t>settle </w:t>
      </w:r>
      <w:r>
        <w:rPr>
          <w:spacing w:val="-6"/>
          <w:sz w:val="21"/>
        </w:rPr>
        <w:t>claims.</w:t>
      </w:r>
      <w:r>
        <w:rPr>
          <w:spacing w:val="-6"/>
          <w:position w:val="7"/>
          <w:sz w:val="12"/>
        </w:rPr>
        <w:t>17 </w:t>
      </w:r>
      <w:r>
        <w:rPr>
          <w:spacing w:val="-3"/>
          <w:sz w:val="21"/>
        </w:rPr>
        <w:t>State </w:t>
      </w:r>
      <w:r>
        <w:rPr>
          <w:spacing w:val="-4"/>
          <w:sz w:val="21"/>
        </w:rPr>
        <w:t>Trustees </w:t>
      </w:r>
      <w:r>
        <w:rPr>
          <w:sz w:val="21"/>
        </w:rPr>
        <w:t>also </w:t>
      </w:r>
      <w:r>
        <w:rPr>
          <w:spacing w:val="-3"/>
          <w:sz w:val="21"/>
        </w:rPr>
        <w:t>noted </w:t>
      </w:r>
      <w:r>
        <w:rPr>
          <w:sz w:val="21"/>
        </w:rPr>
        <w:t>the existence of the practice of settling </w:t>
      </w:r>
      <w:r>
        <w:rPr>
          <w:spacing w:val="-3"/>
          <w:sz w:val="21"/>
        </w:rPr>
        <w:t>unmeritorious claims to prevent incurring </w:t>
      </w:r>
      <w:r>
        <w:rPr>
          <w:sz w:val="21"/>
        </w:rPr>
        <w:t>further legal costs and </w:t>
      </w:r>
      <w:r>
        <w:rPr>
          <w:spacing w:val="-3"/>
          <w:sz w:val="21"/>
        </w:rPr>
        <w:t>eroding </w:t>
      </w:r>
      <w:r>
        <w:rPr>
          <w:sz w:val="21"/>
        </w:rPr>
        <w:t>the </w:t>
      </w:r>
      <w:r>
        <w:rPr>
          <w:spacing w:val="-3"/>
          <w:sz w:val="21"/>
        </w:rPr>
        <w:t>estate, referred to colloquially </w:t>
      </w:r>
      <w:r>
        <w:rPr>
          <w:sz w:val="21"/>
        </w:rPr>
        <w:t>as </w:t>
      </w:r>
      <w:r>
        <w:rPr>
          <w:spacing w:val="-4"/>
          <w:sz w:val="21"/>
        </w:rPr>
        <w:t>‘go </w:t>
      </w:r>
      <w:r>
        <w:rPr>
          <w:spacing w:val="-3"/>
          <w:sz w:val="21"/>
        </w:rPr>
        <w:t>away</w:t>
      </w:r>
      <w:r>
        <w:rPr>
          <w:spacing w:val="1"/>
          <w:sz w:val="21"/>
        </w:rPr>
        <w:t> </w:t>
      </w:r>
      <w:r>
        <w:rPr>
          <w:spacing w:val="-7"/>
          <w:sz w:val="21"/>
        </w:rPr>
        <w:t>money’.</w:t>
      </w:r>
      <w:r>
        <w:rPr>
          <w:spacing w:val="-7"/>
          <w:position w:val="7"/>
          <w:sz w:val="12"/>
        </w:rPr>
        <w:t>18</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pPr>
      <w:r>
        <w:rPr/>
        <w:pict>
          <v:line style="position:absolute;mso-position-horizontal-relative:page;mso-position-vertical-relative:paragraph;z-index:6728;mso-wrap-distance-left:0;mso-wrap-distance-right:0" from="79.370003pt,15.373613pt" to="515.905003pt,15.373613pt" stroked="true" strokeweight="1pt" strokecolor="#f9ceca">
            <v:stroke dashstyle="solid"/>
            <w10:wrap type="topAndBottom"/>
          </v:line>
        </w:pict>
      </w:r>
    </w:p>
    <w:p>
      <w:pPr>
        <w:pStyle w:val="ListParagraph"/>
        <w:numPr>
          <w:ilvl w:val="0"/>
          <w:numId w:val="78"/>
        </w:numPr>
        <w:tabs>
          <w:tab w:pos="2380" w:val="left" w:leader="none"/>
          <w:tab w:pos="2382" w:val="left" w:leader="none"/>
        </w:tabs>
        <w:spacing w:line="240" w:lineRule="auto" w:before="117" w:after="0"/>
        <w:ind w:left="2381" w:right="1607" w:hanging="794"/>
        <w:jc w:val="left"/>
        <w:rPr>
          <w:sz w:val="13"/>
        </w:rPr>
      </w:pPr>
      <w:r>
        <w:rPr>
          <w:w w:val="105"/>
          <w:sz w:val="13"/>
        </w:rPr>
        <w:t>Submissions 25 </w:t>
      </w:r>
      <w:r>
        <w:rPr>
          <w:spacing w:val="2"/>
          <w:w w:val="105"/>
          <w:sz w:val="13"/>
        </w:rPr>
        <w:t>(Moores </w:t>
      </w:r>
      <w:r>
        <w:rPr>
          <w:w w:val="105"/>
          <w:sz w:val="13"/>
        </w:rPr>
        <w:t>Legal); 30a </w:t>
      </w:r>
      <w:r>
        <w:rPr>
          <w:spacing w:val="3"/>
          <w:w w:val="105"/>
          <w:sz w:val="13"/>
        </w:rPr>
        <w:t>(Law </w:t>
      </w:r>
      <w:r>
        <w:rPr>
          <w:w w:val="105"/>
          <w:sz w:val="13"/>
        </w:rPr>
        <w:t>Institute of </w:t>
      </w:r>
      <w:r>
        <w:rPr>
          <w:spacing w:val="2"/>
          <w:w w:val="105"/>
          <w:sz w:val="13"/>
        </w:rPr>
        <w:t>Victoria); </w:t>
      </w:r>
      <w:r>
        <w:rPr>
          <w:w w:val="105"/>
          <w:sz w:val="13"/>
        </w:rPr>
        <w:t>33 (State Trustees Limited);  35  (Andrew  Verspaandonk);  39  (Carolyn Sparke); 42b (Arnold Bloch Leibler); 46 </w:t>
      </w:r>
      <w:r>
        <w:rPr>
          <w:spacing w:val="2"/>
          <w:w w:val="105"/>
          <w:sz w:val="13"/>
        </w:rPr>
        <w:t>(Robert </w:t>
      </w:r>
      <w:r>
        <w:rPr>
          <w:w w:val="105"/>
          <w:sz w:val="13"/>
        </w:rPr>
        <w:t>Cornall </w:t>
      </w:r>
      <w:r>
        <w:rPr>
          <w:spacing w:val="2"/>
          <w:w w:val="105"/>
          <w:sz w:val="13"/>
        </w:rPr>
        <w:t>AO). </w:t>
      </w:r>
      <w:r>
        <w:rPr>
          <w:w w:val="105"/>
          <w:sz w:val="13"/>
        </w:rPr>
        <w:t>Equity Trustees Limited also expressed the preliminary view that changes to the way in which costs are awarded in family provision matters ‘may reduce the frequency of marginal claims’: preliminary comments on terms   of</w:t>
      </w:r>
      <w:r>
        <w:rPr>
          <w:spacing w:val="4"/>
          <w:w w:val="105"/>
          <w:sz w:val="13"/>
        </w:rPr>
        <w:t> </w:t>
      </w:r>
      <w:r>
        <w:rPr>
          <w:w w:val="105"/>
          <w:sz w:val="13"/>
        </w:rPr>
        <w:t>reference,</w:t>
      </w:r>
      <w:r>
        <w:rPr>
          <w:spacing w:val="4"/>
          <w:w w:val="105"/>
          <w:sz w:val="13"/>
        </w:rPr>
        <w:t> </w:t>
      </w:r>
      <w:r>
        <w:rPr>
          <w:w w:val="105"/>
          <w:sz w:val="13"/>
        </w:rPr>
        <w:t>provided</w:t>
      </w:r>
      <w:r>
        <w:rPr>
          <w:spacing w:val="4"/>
          <w:w w:val="105"/>
          <w:sz w:val="13"/>
        </w:rPr>
        <w:t> </w:t>
      </w:r>
      <w:r>
        <w:rPr>
          <w:w w:val="105"/>
          <w:sz w:val="13"/>
        </w:rPr>
        <w:t>by</w:t>
      </w:r>
      <w:r>
        <w:rPr>
          <w:spacing w:val="4"/>
          <w:w w:val="105"/>
          <w:sz w:val="13"/>
        </w:rPr>
        <w:t> </w:t>
      </w:r>
      <w:r>
        <w:rPr>
          <w:w w:val="105"/>
          <w:sz w:val="13"/>
        </w:rPr>
        <w:t>Equity</w:t>
      </w:r>
      <w:r>
        <w:rPr>
          <w:spacing w:val="5"/>
          <w:w w:val="105"/>
          <w:sz w:val="13"/>
        </w:rPr>
        <w:t> </w:t>
      </w:r>
      <w:r>
        <w:rPr>
          <w:w w:val="105"/>
          <w:sz w:val="13"/>
        </w:rPr>
        <w:t>Trustees</w:t>
      </w:r>
      <w:r>
        <w:rPr>
          <w:spacing w:val="4"/>
          <w:w w:val="105"/>
          <w:sz w:val="13"/>
        </w:rPr>
        <w:t> </w:t>
      </w:r>
      <w:r>
        <w:rPr>
          <w:w w:val="105"/>
          <w:sz w:val="13"/>
        </w:rPr>
        <w:t>Ltd</w:t>
      </w:r>
      <w:r>
        <w:rPr>
          <w:spacing w:val="4"/>
          <w:w w:val="105"/>
          <w:sz w:val="13"/>
        </w:rPr>
        <w:t> </w:t>
      </w:r>
      <w:r>
        <w:rPr>
          <w:w w:val="105"/>
          <w:sz w:val="13"/>
        </w:rPr>
        <w:t>at</w:t>
      </w:r>
      <w:r>
        <w:rPr>
          <w:spacing w:val="4"/>
          <w:w w:val="105"/>
          <w:sz w:val="13"/>
        </w:rPr>
        <w:t> </w:t>
      </w:r>
      <w:r>
        <w:rPr>
          <w:w w:val="105"/>
          <w:sz w:val="13"/>
        </w:rPr>
        <w:t>meeting</w:t>
      </w:r>
      <w:r>
        <w:rPr>
          <w:spacing w:val="5"/>
          <w:w w:val="105"/>
          <w:sz w:val="13"/>
        </w:rPr>
        <w:t> </w:t>
      </w:r>
      <w:r>
        <w:rPr>
          <w:w w:val="105"/>
          <w:sz w:val="13"/>
        </w:rPr>
        <w:t>with</w:t>
      </w:r>
      <w:r>
        <w:rPr>
          <w:spacing w:val="4"/>
          <w:w w:val="105"/>
          <w:sz w:val="13"/>
        </w:rPr>
        <w:t> </w:t>
      </w:r>
      <w:r>
        <w:rPr>
          <w:w w:val="105"/>
          <w:sz w:val="13"/>
        </w:rPr>
        <w:t>the</w:t>
      </w:r>
      <w:r>
        <w:rPr>
          <w:spacing w:val="4"/>
          <w:w w:val="105"/>
          <w:sz w:val="13"/>
        </w:rPr>
        <w:t> </w:t>
      </w:r>
      <w:r>
        <w:rPr>
          <w:w w:val="105"/>
          <w:sz w:val="13"/>
        </w:rPr>
        <w:t>Financial</w:t>
      </w:r>
      <w:r>
        <w:rPr>
          <w:spacing w:val="4"/>
          <w:w w:val="105"/>
          <w:sz w:val="13"/>
        </w:rPr>
        <w:t> </w:t>
      </w:r>
      <w:r>
        <w:rPr>
          <w:w w:val="105"/>
          <w:sz w:val="13"/>
        </w:rPr>
        <w:t>Services</w:t>
      </w:r>
      <w:r>
        <w:rPr>
          <w:spacing w:val="4"/>
          <w:w w:val="105"/>
          <w:sz w:val="13"/>
        </w:rPr>
        <w:t> </w:t>
      </w:r>
      <w:r>
        <w:rPr>
          <w:w w:val="105"/>
          <w:sz w:val="13"/>
        </w:rPr>
        <w:t>Council</w:t>
      </w:r>
      <w:r>
        <w:rPr>
          <w:spacing w:val="5"/>
          <w:w w:val="105"/>
          <w:sz w:val="13"/>
        </w:rPr>
        <w:t> </w:t>
      </w:r>
      <w:r>
        <w:rPr>
          <w:w w:val="105"/>
          <w:sz w:val="13"/>
        </w:rPr>
        <w:t>(21</w:t>
      </w:r>
      <w:r>
        <w:rPr>
          <w:spacing w:val="4"/>
          <w:w w:val="105"/>
          <w:sz w:val="13"/>
        </w:rPr>
        <w:t> </w:t>
      </w:r>
      <w:r>
        <w:rPr>
          <w:w w:val="105"/>
          <w:sz w:val="13"/>
        </w:rPr>
        <w:t>September</w:t>
      </w:r>
      <w:r>
        <w:rPr>
          <w:spacing w:val="4"/>
          <w:w w:val="105"/>
          <w:sz w:val="13"/>
        </w:rPr>
        <w:t> </w:t>
      </w:r>
      <w:r>
        <w:rPr>
          <w:w w:val="105"/>
          <w:sz w:val="13"/>
        </w:rPr>
        <w:t>2012).</w:t>
      </w:r>
    </w:p>
    <w:p>
      <w:pPr>
        <w:pStyle w:val="ListParagraph"/>
        <w:numPr>
          <w:ilvl w:val="0"/>
          <w:numId w:val="78"/>
        </w:numPr>
        <w:tabs>
          <w:tab w:pos="2380" w:val="left" w:leader="none"/>
          <w:tab w:pos="2382" w:val="left" w:leader="none"/>
        </w:tabs>
        <w:spacing w:line="240" w:lineRule="auto" w:before="5" w:after="0"/>
        <w:ind w:left="2381" w:right="0" w:hanging="794"/>
        <w:jc w:val="left"/>
        <w:rPr>
          <w:sz w:val="13"/>
        </w:rPr>
      </w:pPr>
      <w:r>
        <w:rPr>
          <w:w w:val="105"/>
          <w:sz w:val="13"/>
        </w:rPr>
        <w:t>Submissions 30a </w:t>
      </w:r>
      <w:r>
        <w:rPr>
          <w:spacing w:val="3"/>
          <w:w w:val="105"/>
          <w:sz w:val="13"/>
        </w:rPr>
        <w:t>(Law </w:t>
      </w:r>
      <w:r>
        <w:rPr>
          <w:w w:val="105"/>
          <w:sz w:val="13"/>
        </w:rPr>
        <w:t>Institute of </w:t>
      </w:r>
      <w:r>
        <w:rPr>
          <w:spacing w:val="2"/>
          <w:w w:val="105"/>
          <w:sz w:val="13"/>
        </w:rPr>
        <w:t>Victoria); </w:t>
      </w:r>
      <w:r>
        <w:rPr>
          <w:w w:val="105"/>
          <w:sz w:val="13"/>
        </w:rPr>
        <w:t>42b (Arnold Bloch</w:t>
      </w:r>
      <w:r>
        <w:rPr>
          <w:spacing w:val="5"/>
          <w:w w:val="105"/>
          <w:sz w:val="13"/>
        </w:rPr>
        <w:t> </w:t>
      </w:r>
      <w:r>
        <w:rPr>
          <w:w w:val="105"/>
          <w:sz w:val="13"/>
        </w:rPr>
        <w:t>Leibler).</w:t>
      </w:r>
    </w:p>
    <w:p>
      <w:pPr>
        <w:pStyle w:val="ListParagraph"/>
        <w:numPr>
          <w:ilvl w:val="0"/>
          <w:numId w:val="78"/>
        </w:numPr>
        <w:tabs>
          <w:tab w:pos="2380" w:val="left" w:leader="none"/>
          <w:tab w:pos="2382" w:val="left" w:leader="none"/>
        </w:tabs>
        <w:spacing w:line="240" w:lineRule="auto" w:before="2" w:after="0"/>
        <w:ind w:left="2381" w:right="0" w:hanging="794"/>
        <w:jc w:val="left"/>
        <w:rPr>
          <w:sz w:val="13"/>
        </w:rPr>
      </w:pPr>
      <w:r>
        <w:rPr>
          <w:w w:val="105"/>
          <w:sz w:val="13"/>
        </w:rPr>
        <w:t>Submission 33 (State Trustees</w:t>
      </w:r>
      <w:r>
        <w:rPr>
          <w:spacing w:val="18"/>
          <w:w w:val="105"/>
          <w:sz w:val="13"/>
        </w:rPr>
        <w:t> </w:t>
      </w:r>
      <w:r>
        <w:rPr>
          <w:w w:val="105"/>
          <w:sz w:val="13"/>
        </w:rPr>
        <w:t>Limited).</w:t>
      </w:r>
    </w:p>
    <w:p>
      <w:pPr>
        <w:pStyle w:val="ListParagraph"/>
        <w:numPr>
          <w:ilvl w:val="0"/>
          <w:numId w:val="78"/>
        </w:numPr>
        <w:tabs>
          <w:tab w:pos="2380" w:val="left" w:leader="none"/>
          <w:tab w:pos="2382" w:val="left" w:leader="none"/>
        </w:tabs>
        <w:spacing w:line="240" w:lineRule="auto" w:before="1" w:after="0"/>
        <w:ind w:left="2381" w:right="1775" w:hanging="794"/>
        <w:jc w:val="left"/>
        <w:rPr>
          <w:sz w:val="13"/>
        </w:rPr>
      </w:pPr>
      <w:r>
        <w:rPr>
          <w:w w:val="105"/>
          <w:sz w:val="13"/>
        </w:rPr>
        <w:t>County Court of Victoria, </w:t>
      </w:r>
      <w:r>
        <w:rPr>
          <w:i/>
          <w:w w:val="105"/>
          <w:sz w:val="13"/>
        </w:rPr>
        <w:t>Practice Note No PNCI </w:t>
      </w:r>
      <w:r>
        <w:rPr>
          <w:i/>
          <w:spacing w:val="-3"/>
          <w:w w:val="105"/>
          <w:sz w:val="13"/>
        </w:rPr>
        <w:t>2-2012  </w:t>
      </w:r>
      <w:r>
        <w:rPr>
          <w:w w:val="105"/>
          <w:sz w:val="13"/>
        </w:rPr>
        <w:t>— </w:t>
      </w:r>
      <w:r>
        <w:rPr>
          <w:i/>
          <w:w w:val="105"/>
          <w:sz w:val="13"/>
        </w:rPr>
        <w:t>Operation and Management of the Damages and Compensation List (Revised)</w:t>
      </w:r>
      <w:r>
        <w:rPr>
          <w:w w:val="105"/>
          <w:sz w:val="13"/>
        </w:rPr>
        <w:t>,    1 November </w:t>
      </w:r>
      <w:r>
        <w:rPr>
          <w:spacing w:val="-3"/>
          <w:w w:val="105"/>
          <w:sz w:val="13"/>
        </w:rPr>
        <w:t>2012,</w:t>
      </w:r>
      <w:r>
        <w:rPr>
          <w:spacing w:val="13"/>
          <w:w w:val="105"/>
          <w:sz w:val="13"/>
        </w:rPr>
        <w:t> </w:t>
      </w:r>
      <w:r>
        <w:rPr>
          <w:spacing w:val="-3"/>
          <w:w w:val="105"/>
          <w:sz w:val="13"/>
        </w:rPr>
        <w:t>21.</w:t>
      </w:r>
    </w:p>
    <w:p>
      <w:pPr>
        <w:pStyle w:val="ListParagraph"/>
        <w:numPr>
          <w:ilvl w:val="0"/>
          <w:numId w:val="78"/>
        </w:numPr>
        <w:tabs>
          <w:tab w:pos="2380" w:val="left" w:leader="none"/>
          <w:tab w:pos="2382" w:val="left" w:leader="none"/>
        </w:tabs>
        <w:spacing w:line="240" w:lineRule="auto" w:before="3" w:after="0"/>
        <w:ind w:left="2381" w:right="1758" w:hanging="794"/>
        <w:jc w:val="both"/>
        <w:rPr>
          <w:sz w:val="13"/>
        </w:rPr>
      </w:pPr>
      <w:r>
        <w:rPr>
          <w:w w:val="105"/>
          <w:sz w:val="13"/>
        </w:rPr>
        <w:t>Submissions 10 (Shane </w:t>
      </w:r>
      <w:r>
        <w:rPr>
          <w:spacing w:val="2"/>
          <w:w w:val="105"/>
          <w:sz w:val="13"/>
        </w:rPr>
        <w:t>Newton); </w:t>
      </w:r>
      <w:r>
        <w:rPr>
          <w:w w:val="105"/>
          <w:sz w:val="13"/>
        </w:rPr>
        <w:t>35 (Andrew Verspaandonk). Consultation 7 </w:t>
      </w:r>
      <w:r>
        <w:rPr>
          <w:spacing w:val="3"/>
          <w:w w:val="105"/>
          <w:sz w:val="13"/>
        </w:rPr>
        <w:t>(Law </w:t>
      </w:r>
      <w:r>
        <w:rPr>
          <w:w w:val="105"/>
          <w:sz w:val="13"/>
        </w:rPr>
        <w:t>Institute of Victoria Wills &amp; Estates Discussion Group). Equity Trustees Limited questioned the extent to which the concern about opportunistic claims is based in fact: preliminary comments on terms</w:t>
      </w:r>
      <w:r>
        <w:rPr>
          <w:spacing w:val="3"/>
          <w:w w:val="105"/>
          <w:sz w:val="13"/>
        </w:rPr>
        <w:t> </w:t>
      </w:r>
      <w:r>
        <w:rPr>
          <w:w w:val="105"/>
          <w:sz w:val="13"/>
        </w:rPr>
        <w:t>of</w:t>
      </w:r>
      <w:r>
        <w:rPr>
          <w:spacing w:val="4"/>
          <w:w w:val="105"/>
          <w:sz w:val="13"/>
        </w:rPr>
        <w:t> </w:t>
      </w:r>
      <w:r>
        <w:rPr>
          <w:w w:val="105"/>
          <w:sz w:val="13"/>
        </w:rPr>
        <w:t>reference,</w:t>
      </w:r>
      <w:r>
        <w:rPr>
          <w:spacing w:val="4"/>
          <w:w w:val="105"/>
          <w:sz w:val="13"/>
        </w:rPr>
        <w:t> </w:t>
      </w:r>
      <w:r>
        <w:rPr>
          <w:w w:val="105"/>
          <w:sz w:val="13"/>
        </w:rPr>
        <w:t>provided</w:t>
      </w:r>
      <w:r>
        <w:rPr>
          <w:spacing w:val="4"/>
          <w:w w:val="105"/>
          <w:sz w:val="13"/>
        </w:rPr>
        <w:t> </w:t>
      </w:r>
      <w:r>
        <w:rPr>
          <w:w w:val="105"/>
          <w:sz w:val="13"/>
        </w:rPr>
        <w:t>by</w:t>
      </w:r>
      <w:r>
        <w:rPr>
          <w:spacing w:val="4"/>
          <w:w w:val="105"/>
          <w:sz w:val="13"/>
        </w:rPr>
        <w:t> </w:t>
      </w:r>
      <w:r>
        <w:rPr>
          <w:w w:val="105"/>
          <w:sz w:val="13"/>
        </w:rPr>
        <w:t>Equity</w:t>
      </w:r>
      <w:r>
        <w:rPr>
          <w:spacing w:val="4"/>
          <w:w w:val="105"/>
          <w:sz w:val="13"/>
        </w:rPr>
        <w:t> </w:t>
      </w:r>
      <w:r>
        <w:rPr>
          <w:w w:val="105"/>
          <w:sz w:val="13"/>
        </w:rPr>
        <w:t>Trustees</w:t>
      </w:r>
      <w:r>
        <w:rPr>
          <w:spacing w:val="4"/>
          <w:w w:val="105"/>
          <w:sz w:val="13"/>
        </w:rPr>
        <w:t> </w:t>
      </w:r>
      <w:r>
        <w:rPr>
          <w:w w:val="105"/>
          <w:sz w:val="13"/>
        </w:rPr>
        <w:t>Ltd</w:t>
      </w:r>
      <w:r>
        <w:rPr>
          <w:spacing w:val="4"/>
          <w:w w:val="105"/>
          <w:sz w:val="13"/>
        </w:rPr>
        <w:t> </w:t>
      </w:r>
      <w:r>
        <w:rPr>
          <w:w w:val="105"/>
          <w:sz w:val="13"/>
        </w:rPr>
        <w:t>at</w:t>
      </w:r>
      <w:r>
        <w:rPr>
          <w:spacing w:val="4"/>
          <w:w w:val="105"/>
          <w:sz w:val="13"/>
        </w:rPr>
        <w:t> </w:t>
      </w:r>
      <w:r>
        <w:rPr>
          <w:w w:val="105"/>
          <w:sz w:val="13"/>
        </w:rPr>
        <w:t>meeting</w:t>
      </w:r>
      <w:r>
        <w:rPr>
          <w:spacing w:val="4"/>
          <w:w w:val="105"/>
          <w:sz w:val="13"/>
        </w:rPr>
        <w:t> </w:t>
      </w:r>
      <w:r>
        <w:rPr>
          <w:w w:val="105"/>
          <w:sz w:val="13"/>
        </w:rPr>
        <w:t>with</w:t>
      </w:r>
      <w:r>
        <w:rPr>
          <w:spacing w:val="4"/>
          <w:w w:val="105"/>
          <w:sz w:val="13"/>
        </w:rPr>
        <w:t> </w:t>
      </w:r>
      <w:r>
        <w:rPr>
          <w:w w:val="105"/>
          <w:sz w:val="13"/>
        </w:rPr>
        <w:t>the</w:t>
      </w:r>
      <w:r>
        <w:rPr>
          <w:spacing w:val="4"/>
          <w:w w:val="105"/>
          <w:sz w:val="13"/>
        </w:rPr>
        <w:t> </w:t>
      </w:r>
      <w:r>
        <w:rPr>
          <w:w w:val="105"/>
          <w:sz w:val="13"/>
        </w:rPr>
        <w:t>Financial</w:t>
      </w:r>
      <w:r>
        <w:rPr>
          <w:spacing w:val="4"/>
          <w:w w:val="105"/>
          <w:sz w:val="13"/>
        </w:rPr>
        <w:t> </w:t>
      </w:r>
      <w:r>
        <w:rPr>
          <w:w w:val="105"/>
          <w:sz w:val="13"/>
        </w:rPr>
        <w:t>Services</w:t>
      </w:r>
      <w:r>
        <w:rPr>
          <w:spacing w:val="4"/>
          <w:w w:val="105"/>
          <w:sz w:val="13"/>
        </w:rPr>
        <w:t> </w:t>
      </w:r>
      <w:r>
        <w:rPr>
          <w:w w:val="105"/>
          <w:sz w:val="13"/>
        </w:rPr>
        <w:t>Council</w:t>
      </w:r>
      <w:r>
        <w:rPr>
          <w:spacing w:val="4"/>
          <w:w w:val="105"/>
          <w:sz w:val="13"/>
        </w:rPr>
        <w:t> </w:t>
      </w:r>
      <w:r>
        <w:rPr>
          <w:w w:val="105"/>
          <w:sz w:val="13"/>
        </w:rPr>
        <w:t>(21</w:t>
      </w:r>
      <w:r>
        <w:rPr>
          <w:spacing w:val="4"/>
          <w:w w:val="105"/>
          <w:sz w:val="13"/>
        </w:rPr>
        <w:t> </w:t>
      </w:r>
      <w:r>
        <w:rPr>
          <w:w w:val="105"/>
          <w:sz w:val="13"/>
        </w:rPr>
        <w:t>September</w:t>
      </w:r>
      <w:r>
        <w:rPr>
          <w:spacing w:val="4"/>
          <w:w w:val="105"/>
          <w:sz w:val="13"/>
        </w:rPr>
        <w:t> </w:t>
      </w:r>
      <w:r>
        <w:rPr>
          <w:w w:val="105"/>
          <w:sz w:val="13"/>
        </w:rPr>
        <w:t>2012).</w:t>
      </w:r>
    </w:p>
    <w:p>
      <w:pPr>
        <w:pStyle w:val="ListParagraph"/>
        <w:numPr>
          <w:ilvl w:val="0"/>
          <w:numId w:val="78"/>
        </w:numPr>
        <w:tabs>
          <w:tab w:pos="2380" w:val="left" w:leader="none"/>
          <w:tab w:pos="2382" w:val="left" w:leader="none"/>
        </w:tabs>
        <w:spacing w:line="240" w:lineRule="auto" w:before="4" w:after="0"/>
        <w:ind w:left="2381" w:right="0" w:hanging="794"/>
        <w:jc w:val="left"/>
        <w:rPr>
          <w:sz w:val="13"/>
        </w:rPr>
      </w:pPr>
      <w:r>
        <w:rPr>
          <w:w w:val="105"/>
          <w:sz w:val="13"/>
        </w:rPr>
        <w:t>Submission 35 (Andrew</w:t>
      </w:r>
      <w:r>
        <w:rPr>
          <w:spacing w:val="14"/>
          <w:w w:val="105"/>
          <w:sz w:val="13"/>
        </w:rPr>
        <w:t> </w:t>
      </w:r>
      <w:r>
        <w:rPr>
          <w:w w:val="105"/>
          <w:sz w:val="13"/>
        </w:rPr>
        <w:t>Verspaandonk).</w:t>
      </w:r>
    </w:p>
    <w:p>
      <w:pPr>
        <w:pStyle w:val="ListParagraph"/>
        <w:numPr>
          <w:ilvl w:val="0"/>
          <w:numId w:val="78"/>
        </w:numPr>
        <w:tabs>
          <w:tab w:pos="2381" w:val="left" w:leader="none"/>
          <w:tab w:pos="2382" w:val="left" w:leader="none"/>
        </w:tabs>
        <w:spacing w:line="240" w:lineRule="auto" w:before="1" w:after="0"/>
        <w:ind w:left="2381" w:right="0" w:hanging="794"/>
        <w:jc w:val="left"/>
        <w:rPr>
          <w:sz w:val="13"/>
        </w:rPr>
      </w:pPr>
      <w:r>
        <w:rPr>
          <w:w w:val="105"/>
          <w:sz w:val="13"/>
        </w:rPr>
        <w:t>Submission 39 (Carolyn Sparke</w:t>
      </w:r>
      <w:r>
        <w:rPr>
          <w:spacing w:val="18"/>
          <w:w w:val="105"/>
          <w:sz w:val="13"/>
        </w:rPr>
        <w:t> </w:t>
      </w:r>
      <w:r>
        <w:rPr>
          <w:w w:val="105"/>
          <w:sz w:val="13"/>
        </w:rPr>
        <w:t>SC).</w:t>
      </w:r>
    </w:p>
    <w:p>
      <w:pPr>
        <w:pStyle w:val="ListParagraph"/>
        <w:numPr>
          <w:ilvl w:val="0"/>
          <w:numId w:val="78"/>
        </w:numPr>
        <w:tabs>
          <w:tab w:pos="2381" w:val="left" w:leader="none"/>
          <w:tab w:pos="2382" w:val="left" w:leader="none"/>
        </w:tabs>
        <w:spacing w:line="240" w:lineRule="auto" w:before="1" w:after="0"/>
        <w:ind w:left="2381" w:right="0" w:hanging="794"/>
        <w:jc w:val="left"/>
        <w:rPr>
          <w:sz w:val="13"/>
        </w:rPr>
      </w:pPr>
      <w:r>
        <w:rPr>
          <w:w w:val="105"/>
          <w:sz w:val="13"/>
        </w:rPr>
        <w:t>Submission 35 (Andrew</w:t>
      </w:r>
      <w:r>
        <w:rPr>
          <w:spacing w:val="14"/>
          <w:w w:val="105"/>
          <w:sz w:val="13"/>
        </w:rPr>
        <w:t> </w:t>
      </w:r>
      <w:r>
        <w:rPr>
          <w:w w:val="105"/>
          <w:sz w:val="13"/>
        </w:rPr>
        <w:t>Verspaandonk).</w:t>
      </w:r>
    </w:p>
    <w:p>
      <w:pPr>
        <w:pStyle w:val="ListParagraph"/>
        <w:numPr>
          <w:ilvl w:val="0"/>
          <w:numId w:val="78"/>
        </w:numPr>
        <w:tabs>
          <w:tab w:pos="2381" w:val="left" w:leader="none"/>
          <w:tab w:pos="2382" w:val="left" w:leader="none"/>
        </w:tabs>
        <w:spacing w:line="240" w:lineRule="auto" w:before="2" w:after="0"/>
        <w:ind w:left="2381" w:right="0" w:hanging="794"/>
        <w:jc w:val="left"/>
        <w:rPr>
          <w:sz w:val="13"/>
        </w:rPr>
      </w:pPr>
      <w:r>
        <w:rPr>
          <w:w w:val="105"/>
          <w:sz w:val="13"/>
        </w:rPr>
        <w:t>Submissions 30a </w:t>
      </w:r>
      <w:r>
        <w:rPr>
          <w:spacing w:val="3"/>
          <w:w w:val="105"/>
          <w:sz w:val="13"/>
        </w:rPr>
        <w:t>(Law </w:t>
      </w:r>
      <w:r>
        <w:rPr>
          <w:w w:val="105"/>
          <w:sz w:val="13"/>
        </w:rPr>
        <w:t>Institute of </w:t>
      </w:r>
      <w:r>
        <w:rPr>
          <w:spacing w:val="2"/>
          <w:w w:val="105"/>
          <w:sz w:val="13"/>
        </w:rPr>
        <w:t>Victoria); </w:t>
      </w:r>
      <w:r>
        <w:rPr>
          <w:w w:val="105"/>
          <w:sz w:val="13"/>
        </w:rPr>
        <w:t>42b (Arnold Bloch</w:t>
      </w:r>
      <w:r>
        <w:rPr>
          <w:spacing w:val="5"/>
          <w:w w:val="105"/>
          <w:sz w:val="13"/>
        </w:rPr>
        <w:t> </w:t>
      </w:r>
      <w:r>
        <w:rPr>
          <w:w w:val="105"/>
          <w:sz w:val="13"/>
        </w:rPr>
        <w:t>Leibler).</w:t>
      </w:r>
    </w:p>
    <w:p>
      <w:pPr>
        <w:pStyle w:val="ListParagraph"/>
        <w:numPr>
          <w:ilvl w:val="0"/>
          <w:numId w:val="78"/>
        </w:numPr>
        <w:tabs>
          <w:tab w:pos="2381" w:val="left" w:leader="none"/>
          <w:tab w:pos="2382" w:val="left" w:leader="none"/>
        </w:tabs>
        <w:spacing w:line="240" w:lineRule="auto" w:before="1" w:after="0"/>
        <w:ind w:left="2381" w:right="0" w:hanging="794"/>
        <w:jc w:val="left"/>
        <w:rPr>
          <w:sz w:val="13"/>
        </w:rPr>
      </w:pPr>
      <w:r>
        <w:rPr>
          <w:w w:val="105"/>
          <w:sz w:val="13"/>
        </w:rPr>
        <w:t>Submissions</w:t>
      </w:r>
      <w:r>
        <w:rPr>
          <w:spacing w:val="4"/>
          <w:w w:val="105"/>
          <w:sz w:val="13"/>
        </w:rPr>
        <w:t> </w:t>
      </w:r>
      <w:r>
        <w:rPr>
          <w:w w:val="105"/>
          <w:sz w:val="13"/>
        </w:rPr>
        <w:t>25</w:t>
      </w:r>
      <w:r>
        <w:rPr>
          <w:spacing w:val="4"/>
          <w:w w:val="105"/>
          <w:sz w:val="13"/>
        </w:rPr>
        <w:t> </w:t>
      </w:r>
      <w:r>
        <w:rPr>
          <w:spacing w:val="2"/>
          <w:w w:val="105"/>
          <w:sz w:val="13"/>
        </w:rPr>
        <w:t>(Moores</w:t>
      </w:r>
      <w:r>
        <w:rPr>
          <w:spacing w:val="5"/>
          <w:w w:val="105"/>
          <w:sz w:val="13"/>
        </w:rPr>
        <w:t> </w:t>
      </w:r>
      <w:r>
        <w:rPr>
          <w:w w:val="105"/>
          <w:sz w:val="13"/>
        </w:rPr>
        <w:t>Legal);</w:t>
      </w:r>
      <w:r>
        <w:rPr>
          <w:spacing w:val="4"/>
          <w:w w:val="105"/>
          <w:sz w:val="13"/>
        </w:rPr>
        <w:t> </w:t>
      </w:r>
      <w:r>
        <w:rPr>
          <w:w w:val="105"/>
          <w:sz w:val="13"/>
        </w:rPr>
        <w:t>30a</w:t>
      </w:r>
      <w:r>
        <w:rPr>
          <w:spacing w:val="5"/>
          <w:w w:val="105"/>
          <w:sz w:val="13"/>
        </w:rPr>
        <w:t> </w:t>
      </w:r>
      <w:r>
        <w:rPr>
          <w:spacing w:val="3"/>
          <w:w w:val="105"/>
          <w:sz w:val="13"/>
        </w:rPr>
        <w:t>(Law</w:t>
      </w:r>
      <w:r>
        <w:rPr>
          <w:spacing w:val="4"/>
          <w:w w:val="105"/>
          <w:sz w:val="13"/>
        </w:rPr>
        <w:t> </w:t>
      </w:r>
      <w:r>
        <w:rPr>
          <w:w w:val="105"/>
          <w:sz w:val="13"/>
        </w:rPr>
        <w:t>Institute</w:t>
      </w:r>
      <w:r>
        <w:rPr>
          <w:spacing w:val="5"/>
          <w:w w:val="105"/>
          <w:sz w:val="13"/>
        </w:rPr>
        <w:t> </w:t>
      </w:r>
      <w:r>
        <w:rPr>
          <w:w w:val="105"/>
          <w:sz w:val="13"/>
        </w:rPr>
        <w:t>of</w:t>
      </w:r>
      <w:r>
        <w:rPr>
          <w:spacing w:val="4"/>
          <w:w w:val="105"/>
          <w:sz w:val="13"/>
        </w:rPr>
        <w:t> </w:t>
      </w:r>
      <w:r>
        <w:rPr>
          <w:spacing w:val="2"/>
          <w:w w:val="105"/>
          <w:sz w:val="13"/>
        </w:rPr>
        <w:t>Victoria);</w:t>
      </w:r>
      <w:r>
        <w:rPr>
          <w:spacing w:val="5"/>
          <w:w w:val="105"/>
          <w:sz w:val="13"/>
        </w:rPr>
        <w:t> </w:t>
      </w:r>
      <w:r>
        <w:rPr>
          <w:w w:val="105"/>
          <w:sz w:val="13"/>
        </w:rPr>
        <w:t>32</w:t>
      </w:r>
      <w:r>
        <w:rPr>
          <w:spacing w:val="4"/>
          <w:w w:val="105"/>
          <w:sz w:val="13"/>
        </w:rPr>
        <w:t> </w:t>
      </w:r>
      <w:r>
        <w:rPr>
          <w:spacing w:val="2"/>
          <w:w w:val="105"/>
          <w:sz w:val="13"/>
        </w:rPr>
        <w:t>(The</w:t>
      </w:r>
      <w:r>
        <w:rPr>
          <w:spacing w:val="5"/>
          <w:w w:val="105"/>
          <w:sz w:val="13"/>
        </w:rPr>
        <w:t> </w:t>
      </w:r>
      <w:r>
        <w:rPr>
          <w:w w:val="105"/>
          <w:sz w:val="13"/>
        </w:rPr>
        <w:t>Institute</w:t>
      </w:r>
      <w:r>
        <w:rPr>
          <w:spacing w:val="4"/>
          <w:w w:val="105"/>
          <w:sz w:val="13"/>
        </w:rPr>
        <w:t> </w:t>
      </w:r>
      <w:r>
        <w:rPr>
          <w:w w:val="105"/>
          <w:sz w:val="13"/>
        </w:rPr>
        <w:t>of</w:t>
      </w:r>
      <w:r>
        <w:rPr>
          <w:spacing w:val="5"/>
          <w:w w:val="105"/>
          <w:sz w:val="13"/>
        </w:rPr>
        <w:t> </w:t>
      </w:r>
      <w:r>
        <w:rPr>
          <w:w w:val="105"/>
          <w:sz w:val="13"/>
        </w:rPr>
        <w:t>Legal</w:t>
      </w:r>
      <w:r>
        <w:rPr>
          <w:spacing w:val="4"/>
          <w:w w:val="105"/>
          <w:sz w:val="13"/>
        </w:rPr>
        <w:t> </w:t>
      </w:r>
      <w:r>
        <w:rPr>
          <w:w w:val="105"/>
          <w:sz w:val="13"/>
        </w:rPr>
        <w:t>Executives).</w:t>
      </w:r>
    </w:p>
    <w:p>
      <w:pPr>
        <w:pStyle w:val="ListParagraph"/>
        <w:numPr>
          <w:ilvl w:val="0"/>
          <w:numId w:val="78"/>
        </w:numPr>
        <w:tabs>
          <w:tab w:pos="2381" w:val="left" w:leader="none"/>
          <w:tab w:pos="2382" w:val="left" w:leader="none"/>
        </w:tabs>
        <w:spacing w:line="240" w:lineRule="auto" w:before="1" w:after="0"/>
        <w:ind w:left="2381" w:right="0" w:hanging="794"/>
        <w:jc w:val="left"/>
        <w:rPr>
          <w:sz w:val="13"/>
        </w:rPr>
      </w:pPr>
      <w:r>
        <w:rPr>
          <w:w w:val="105"/>
          <w:sz w:val="13"/>
        </w:rPr>
        <w:t>Submission 1 </w:t>
      </w:r>
      <w:r>
        <w:rPr>
          <w:spacing w:val="2"/>
          <w:w w:val="105"/>
          <w:sz w:val="13"/>
        </w:rPr>
        <w:t>(Legal </w:t>
      </w:r>
      <w:r>
        <w:rPr>
          <w:w w:val="105"/>
          <w:sz w:val="13"/>
        </w:rPr>
        <w:t>Services</w:t>
      </w:r>
      <w:r>
        <w:rPr>
          <w:spacing w:val="16"/>
          <w:w w:val="105"/>
          <w:sz w:val="13"/>
        </w:rPr>
        <w:t> </w:t>
      </w:r>
      <w:r>
        <w:rPr>
          <w:w w:val="105"/>
          <w:sz w:val="13"/>
        </w:rPr>
        <w:t>Commissioner).</w:t>
      </w:r>
    </w:p>
    <w:p>
      <w:pPr>
        <w:pStyle w:val="ListParagraph"/>
        <w:numPr>
          <w:ilvl w:val="0"/>
          <w:numId w:val="78"/>
        </w:numPr>
        <w:tabs>
          <w:tab w:pos="2381" w:val="left" w:leader="none"/>
          <w:tab w:pos="2382" w:val="left" w:leader="none"/>
        </w:tabs>
        <w:spacing w:line="240" w:lineRule="auto" w:before="2" w:after="0"/>
        <w:ind w:left="2381" w:right="1682" w:hanging="794"/>
        <w:jc w:val="left"/>
        <w:rPr>
          <w:sz w:val="13"/>
        </w:rPr>
      </w:pPr>
      <w:r>
        <w:rPr>
          <w:sz w:val="13"/>
        </w:rPr>
        <w:t>Preliminary comments on terms of reference, provided by Equity Trustees Ltd at meeting with the Financial Services Council (21 September      2012).</w:t>
      </w:r>
    </w:p>
    <w:p>
      <w:pPr>
        <w:pStyle w:val="ListParagraph"/>
        <w:numPr>
          <w:ilvl w:val="0"/>
          <w:numId w:val="78"/>
        </w:numPr>
        <w:tabs>
          <w:tab w:pos="2381" w:val="left" w:leader="none"/>
          <w:tab w:pos="2382" w:val="left" w:leader="none"/>
        </w:tabs>
        <w:spacing w:line="240" w:lineRule="auto" w:before="2" w:after="0"/>
        <w:ind w:left="2381" w:right="0" w:hanging="793"/>
        <w:jc w:val="left"/>
        <w:rPr>
          <w:sz w:val="13"/>
        </w:rPr>
      </w:pPr>
      <w:r>
        <w:rPr>
          <w:w w:val="105"/>
          <w:sz w:val="13"/>
        </w:rPr>
        <w:t>Submission</w:t>
      </w:r>
      <w:r>
        <w:rPr>
          <w:spacing w:val="4"/>
          <w:w w:val="105"/>
          <w:sz w:val="13"/>
        </w:rPr>
        <w:t> </w:t>
      </w:r>
      <w:r>
        <w:rPr>
          <w:spacing w:val="-3"/>
          <w:w w:val="105"/>
          <w:sz w:val="13"/>
        </w:rPr>
        <w:t>14</w:t>
      </w:r>
      <w:r>
        <w:rPr>
          <w:spacing w:val="5"/>
          <w:w w:val="105"/>
          <w:sz w:val="13"/>
        </w:rPr>
        <w:t> </w:t>
      </w:r>
      <w:r>
        <w:rPr>
          <w:w w:val="105"/>
          <w:sz w:val="13"/>
        </w:rPr>
        <w:t>(Commercial</w:t>
      </w:r>
      <w:r>
        <w:rPr>
          <w:spacing w:val="4"/>
          <w:w w:val="105"/>
          <w:sz w:val="13"/>
        </w:rPr>
        <w:t> </w:t>
      </w:r>
      <w:r>
        <w:rPr>
          <w:w w:val="105"/>
          <w:sz w:val="13"/>
        </w:rPr>
        <w:t>Bar</w:t>
      </w:r>
      <w:r>
        <w:rPr>
          <w:spacing w:val="5"/>
          <w:w w:val="105"/>
          <w:sz w:val="13"/>
        </w:rPr>
        <w:t> </w:t>
      </w:r>
      <w:r>
        <w:rPr>
          <w:spacing w:val="2"/>
          <w:w w:val="105"/>
          <w:sz w:val="13"/>
        </w:rPr>
        <w:t>Association);</w:t>
      </w:r>
      <w:r>
        <w:rPr>
          <w:spacing w:val="5"/>
          <w:w w:val="105"/>
          <w:sz w:val="13"/>
        </w:rPr>
        <w:t> </w:t>
      </w:r>
      <w:r>
        <w:rPr>
          <w:w w:val="105"/>
          <w:sz w:val="13"/>
        </w:rPr>
        <w:t>32a</w:t>
      </w:r>
      <w:r>
        <w:rPr>
          <w:spacing w:val="4"/>
          <w:w w:val="105"/>
          <w:sz w:val="13"/>
        </w:rPr>
        <w:t> </w:t>
      </w:r>
      <w:r>
        <w:rPr>
          <w:spacing w:val="3"/>
          <w:w w:val="105"/>
          <w:sz w:val="13"/>
        </w:rPr>
        <w:t>(Law</w:t>
      </w:r>
      <w:r>
        <w:rPr>
          <w:spacing w:val="5"/>
          <w:w w:val="105"/>
          <w:sz w:val="13"/>
        </w:rPr>
        <w:t> </w:t>
      </w:r>
      <w:r>
        <w:rPr>
          <w:w w:val="105"/>
          <w:sz w:val="13"/>
        </w:rPr>
        <w:t>Institute</w:t>
      </w:r>
      <w:r>
        <w:rPr>
          <w:spacing w:val="4"/>
          <w:w w:val="105"/>
          <w:sz w:val="13"/>
        </w:rPr>
        <w:t> </w:t>
      </w:r>
      <w:r>
        <w:rPr>
          <w:w w:val="105"/>
          <w:sz w:val="13"/>
        </w:rPr>
        <w:t>of</w:t>
      </w:r>
      <w:r>
        <w:rPr>
          <w:spacing w:val="5"/>
          <w:w w:val="105"/>
          <w:sz w:val="13"/>
        </w:rPr>
        <w:t> </w:t>
      </w:r>
      <w:r>
        <w:rPr>
          <w:spacing w:val="2"/>
          <w:w w:val="105"/>
          <w:sz w:val="13"/>
        </w:rPr>
        <w:t>Victoria).</w:t>
      </w:r>
      <w:r>
        <w:rPr>
          <w:spacing w:val="5"/>
          <w:w w:val="105"/>
          <w:sz w:val="13"/>
        </w:rPr>
        <w:t> </w:t>
      </w:r>
      <w:r>
        <w:rPr>
          <w:w w:val="105"/>
          <w:sz w:val="13"/>
        </w:rPr>
        <w:t>See</w:t>
      </w:r>
      <w:r>
        <w:rPr>
          <w:spacing w:val="4"/>
          <w:w w:val="105"/>
          <w:sz w:val="13"/>
        </w:rPr>
        <w:t> </w:t>
      </w:r>
      <w:r>
        <w:rPr>
          <w:w w:val="105"/>
          <w:sz w:val="13"/>
        </w:rPr>
        <w:t>also</w:t>
      </w:r>
      <w:r>
        <w:rPr>
          <w:spacing w:val="5"/>
          <w:w w:val="105"/>
          <w:sz w:val="13"/>
        </w:rPr>
        <w:t> </w:t>
      </w:r>
      <w:r>
        <w:rPr>
          <w:w w:val="105"/>
          <w:sz w:val="13"/>
        </w:rPr>
        <w:t>submission</w:t>
      </w:r>
      <w:r>
        <w:rPr>
          <w:spacing w:val="4"/>
          <w:w w:val="105"/>
          <w:sz w:val="13"/>
        </w:rPr>
        <w:t> </w:t>
      </w:r>
      <w:r>
        <w:rPr>
          <w:w w:val="105"/>
          <w:sz w:val="13"/>
        </w:rPr>
        <w:t>46</w:t>
      </w:r>
      <w:r>
        <w:rPr>
          <w:spacing w:val="5"/>
          <w:w w:val="105"/>
          <w:sz w:val="13"/>
        </w:rPr>
        <w:t> </w:t>
      </w:r>
      <w:r>
        <w:rPr>
          <w:spacing w:val="2"/>
          <w:w w:val="105"/>
          <w:sz w:val="13"/>
        </w:rPr>
        <w:t>(Robert</w:t>
      </w:r>
      <w:r>
        <w:rPr>
          <w:spacing w:val="5"/>
          <w:w w:val="105"/>
          <w:sz w:val="13"/>
        </w:rPr>
        <w:t> </w:t>
      </w:r>
      <w:r>
        <w:rPr>
          <w:w w:val="105"/>
          <w:sz w:val="13"/>
        </w:rPr>
        <w:t>Cornall</w:t>
      </w:r>
      <w:r>
        <w:rPr>
          <w:spacing w:val="4"/>
          <w:w w:val="105"/>
          <w:sz w:val="13"/>
        </w:rPr>
        <w:t> </w:t>
      </w:r>
      <w:r>
        <w:rPr>
          <w:spacing w:val="2"/>
          <w:w w:val="105"/>
          <w:sz w:val="13"/>
        </w:rPr>
        <w:t>AO).</w:t>
      </w:r>
    </w:p>
    <w:p>
      <w:pPr>
        <w:pStyle w:val="ListParagraph"/>
        <w:numPr>
          <w:ilvl w:val="0"/>
          <w:numId w:val="78"/>
        </w:numPr>
        <w:tabs>
          <w:tab w:pos="2381" w:val="left" w:leader="none"/>
          <w:tab w:pos="2382" w:val="left" w:leader="none"/>
        </w:tabs>
        <w:spacing w:line="122" w:lineRule="exact" w:before="2" w:after="0"/>
        <w:ind w:left="2381" w:right="0" w:hanging="793"/>
        <w:jc w:val="left"/>
        <w:rPr>
          <w:sz w:val="13"/>
        </w:rPr>
      </w:pPr>
      <w:r>
        <w:rPr>
          <w:sz w:val="13"/>
        </w:rPr>
        <w:t>Submission</w:t>
      </w:r>
      <w:r>
        <w:rPr>
          <w:spacing w:val="10"/>
          <w:sz w:val="13"/>
        </w:rPr>
        <w:t> </w:t>
      </w:r>
      <w:r>
        <w:rPr>
          <w:sz w:val="13"/>
        </w:rPr>
        <w:t>33</w:t>
      </w:r>
      <w:r>
        <w:rPr>
          <w:spacing w:val="11"/>
          <w:sz w:val="13"/>
        </w:rPr>
        <w:t> </w:t>
      </w:r>
      <w:r>
        <w:rPr>
          <w:sz w:val="13"/>
        </w:rPr>
        <w:t>(State</w:t>
      </w:r>
      <w:r>
        <w:rPr>
          <w:spacing w:val="11"/>
          <w:sz w:val="13"/>
        </w:rPr>
        <w:t> </w:t>
      </w:r>
      <w:r>
        <w:rPr>
          <w:sz w:val="13"/>
        </w:rPr>
        <w:t>Trustees</w:t>
      </w:r>
      <w:r>
        <w:rPr>
          <w:spacing w:val="11"/>
          <w:sz w:val="13"/>
        </w:rPr>
        <w:t> </w:t>
      </w:r>
      <w:r>
        <w:rPr>
          <w:sz w:val="13"/>
        </w:rPr>
        <w:t>Limited).</w:t>
      </w:r>
      <w:r>
        <w:rPr>
          <w:spacing w:val="11"/>
          <w:sz w:val="13"/>
        </w:rPr>
        <w:t> </w:t>
      </w:r>
      <w:r>
        <w:rPr>
          <w:sz w:val="13"/>
        </w:rPr>
        <w:t>This</w:t>
      </w:r>
      <w:r>
        <w:rPr>
          <w:spacing w:val="11"/>
          <w:sz w:val="13"/>
        </w:rPr>
        <w:t> </w:t>
      </w:r>
      <w:r>
        <w:rPr>
          <w:sz w:val="13"/>
        </w:rPr>
        <w:t>practice</w:t>
      </w:r>
      <w:r>
        <w:rPr>
          <w:spacing w:val="11"/>
          <w:sz w:val="13"/>
        </w:rPr>
        <w:t> </w:t>
      </w:r>
      <w:r>
        <w:rPr>
          <w:sz w:val="13"/>
        </w:rPr>
        <w:t>was</w:t>
      </w:r>
      <w:r>
        <w:rPr>
          <w:spacing w:val="11"/>
          <w:sz w:val="13"/>
        </w:rPr>
        <w:t> </w:t>
      </w:r>
      <w:r>
        <w:rPr>
          <w:sz w:val="13"/>
        </w:rPr>
        <w:t>also</w:t>
      </w:r>
      <w:r>
        <w:rPr>
          <w:spacing w:val="11"/>
          <w:sz w:val="13"/>
        </w:rPr>
        <w:t> </w:t>
      </w:r>
      <w:r>
        <w:rPr>
          <w:sz w:val="13"/>
        </w:rPr>
        <w:t>noted</w:t>
      </w:r>
      <w:r>
        <w:rPr>
          <w:spacing w:val="11"/>
          <w:sz w:val="13"/>
        </w:rPr>
        <w:t> </w:t>
      </w:r>
      <w:r>
        <w:rPr>
          <w:sz w:val="13"/>
        </w:rPr>
        <w:t>in</w:t>
      </w:r>
      <w:r>
        <w:rPr>
          <w:spacing w:val="11"/>
          <w:sz w:val="13"/>
        </w:rPr>
        <w:t> </w:t>
      </w:r>
      <w:r>
        <w:rPr>
          <w:sz w:val="13"/>
        </w:rPr>
        <w:t>consultation:</w:t>
      </w:r>
      <w:r>
        <w:rPr>
          <w:spacing w:val="11"/>
          <w:sz w:val="13"/>
        </w:rPr>
        <w:t> </w:t>
      </w:r>
      <w:r>
        <w:rPr>
          <w:sz w:val="13"/>
        </w:rPr>
        <w:t>consultations</w:t>
      </w:r>
      <w:r>
        <w:rPr>
          <w:spacing w:val="11"/>
          <w:sz w:val="13"/>
        </w:rPr>
        <w:t> </w:t>
      </w:r>
      <w:r>
        <w:rPr>
          <w:sz w:val="13"/>
        </w:rPr>
        <w:t>6</w:t>
      </w:r>
      <w:r>
        <w:rPr>
          <w:spacing w:val="11"/>
          <w:sz w:val="13"/>
        </w:rPr>
        <w:t> </w:t>
      </w:r>
      <w:r>
        <w:rPr>
          <w:spacing w:val="3"/>
          <w:sz w:val="13"/>
        </w:rPr>
        <w:t>(Law</w:t>
      </w:r>
      <w:r>
        <w:rPr>
          <w:spacing w:val="11"/>
          <w:sz w:val="13"/>
        </w:rPr>
        <w:t> </w:t>
      </w:r>
      <w:r>
        <w:rPr>
          <w:sz w:val="13"/>
        </w:rPr>
        <w:t>Institute</w:t>
      </w:r>
      <w:r>
        <w:rPr>
          <w:spacing w:val="11"/>
          <w:sz w:val="13"/>
        </w:rPr>
        <w:t> </w:t>
      </w:r>
      <w:r>
        <w:rPr>
          <w:sz w:val="13"/>
        </w:rPr>
        <w:t>of</w:t>
      </w:r>
      <w:r>
        <w:rPr>
          <w:spacing w:val="11"/>
          <w:sz w:val="13"/>
        </w:rPr>
        <w:t> </w:t>
      </w:r>
      <w:r>
        <w:rPr>
          <w:sz w:val="13"/>
        </w:rPr>
        <w:t>Victoria</w:t>
      </w:r>
      <w:r>
        <w:rPr>
          <w:spacing w:val="11"/>
          <w:sz w:val="13"/>
        </w:rPr>
        <w:t> </w:t>
      </w:r>
      <w:r>
        <w:rPr>
          <w:sz w:val="13"/>
        </w:rPr>
        <w:t>Wills</w:t>
      </w:r>
      <w:r>
        <w:rPr>
          <w:spacing w:val="11"/>
          <w:sz w:val="13"/>
        </w:rPr>
        <w:t> </w:t>
      </w:r>
      <w:r>
        <w:rPr>
          <w:sz w:val="13"/>
        </w:rPr>
        <w:t>&amp;</w:t>
      </w:r>
      <w:r>
        <w:rPr>
          <w:spacing w:val="11"/>
          <w:sz w:val="13"/>
        </w:rPr>
        <w:t> </w:t>
      </w:r>
      <w:r>
        <w:rPr>
          <w:sz w:val="13"/>
        </w:rPr>
        <w:t>Estates</w:t>
      </w:r>
    </w:p>
    <w:p>
      <w:pPr>
        <w:tabs>
          <w:tab w:pos="2381" w:val="left" w:leader="none"/>
        </w:tabs>
        <w:spacing w:line="256" w:lineRule="exact" w:before="0"/>
        <w:ind w:left="720" w:right="0" w:firstLine="0"/>
        <w:jc w:val="left"/>
        <w:rPr>
          <w:sz w:val="13"/>
        </w:rPr>
      </w:pPr>
      <w:r>
        <w:rPr>
          <w:b/>
          <w:color w:val="EC5A4F"/>
          <w:w w:val="105"/>
          <w:position w:val="-2"/>
          <w:sz w:val="24"/>
        </w:rPr>
        <w:t>100</w:t>
        <w:tab/>
      </w:r>
      <w:r>
        <w:rPr>
          <w:w w:val="105"/>
          <w:sz w:val="13"/>
        </w:rPr>
        <w:t>Discussion Group); 18 </w:t>
      </w:r>
      <w:r>
        <w:rPr>
          <w:spacing w:val="2"/>
          <w:w w:val="105"/>
          <w:sz w:val="13"/>
        </w:rPr>
        <w:t>(Legal </w:t>
      </w:r>
      <w:r>
        <w:rPr>
          <w:w w:val="105"/>
          <w:sz w:val="13"/>
        </w:rPr>
        <w:t>practitioners in</w:t>
      </w:r>
      <w:r>
        <w:rPr>
          <w:spacing w:val="26"/>
          <w:w w:val="105"/>
          <w:sz w:val="13"/>
        </w:rPr>
        <w:t> </w:t>
      </w:r>
      <w:r>
        <w:rPr>
          <w:w w:val="105"/>
          <w:sz w:val="13"/>
        </w:rPr>
        <w:t>Wodonga).</w:t>
      </w:r>
    </w:p>
    <w:p>
      <w:pPr>
        <w:spacing w:after="0" w:line="256" w:lineRule="exact"/>
        <w:jc w:val="left"/>
        <w:rPr>
          <w:sz w:val="13"/>
        </w:rPr>
        <w:sectPr>
          <w:pgSz w:w="11910" w:h="16840"/>
          <w:pgMar w:header="550" w:footer="0" w:top="1560" w:bottom="280" w:left="0" w:right="0"/>
        </w:sectPr>
      </w:pPr>
    </w:p>
    <w:p>
      <w:pPr>
        <w:pStyle w:val="BodyText"/>
        <w:rPr>
          <w:sz w:val="20"/>
        </w:rPr>
      </w:pPr>
    </w:p>
    <w:p>
      <w:pPr>
        <w:pStyle w:val="BodyText"/>
        <w:spacing w:before="5"/>
        <w:rPr>
          <w:sz w:val="17"/>
        </w:rPr>
      </w:pPr>
    </w:p>
    <w:p>
      <w:pPr>
        <w:pStyle w:val="ListParagraph"/>
        <w:numPr>
          <w:ilvl w:val="1"/>
          <w:numId w:val="22"/>
        </w:numPr>
        <w:tabs>
          <w:tab w:pos="2381" w:val="left" w:leader="none"/>
          <w:tab w:pos="2382" w:val="left" w:leader="none"/>
        </w:tabs>
        <w:spacing w:line="242" w:lineRule="auto" w:before="92" w:after="0"/>
        <w:ind w:left="2381" w:right="1851" w:hanging="794"/>
        <w:jc w:val="left"/>
        <w:rPr>
          <w:sz w:val="21"/>
        </w:rPr>
      </w:pPr>
      <w:r>
        <w:rPr>
          <w:sz w:val="21"/>
        </w:rPr>
        <w:t>Arnold Bloch Leibler expressed the view </w:t>
      </w:r>
      <w:r>
        <w:rPr>
          <w:spacing w:val="-3"/>
          <w:sz w:val="21"/>
        </w:rPr>
        <w:t>that, </w:t>
      </w:r>
      <w:r>
        <w:rPr>
          <w:sz w:val="21"/>
        </w:rPr>
        <w:t>even if a </w:t>
      </w:r>
      <w:r>
        <w:rPr>
          <w:spacing w:val="-3"/>
          <w:sz w:val="21"/>
        </w:rPr>
        <w:t>family provision claim  </w:t>
      </w:r>
      <w:r>
        <w:rPr>
          <w:sz w:val="21"/>
        </w:rPr>
        <w:t>is </w:t>
      </w:r>
      <w:r>
        <w:rPr>
          <w:spacing w:val="-3"/>
          <w:sz w:val="21"/>
        </w:rPr>
        <w:t>successfully defended,  </w:t>
      </w:r>
      <w:r>
        <w:rPr>
          <w:sz w:val="21"/>
        </w:rPr>
        <w:t>‘there is very little prospect </w:t>
      </w:r>
      <w:r>
        <w:rPr>
          <w:spacing w:val="-3"/>
          <w:sz w:val="21"/>
        </w:rPr>
        <w:t>that</w:t>
      </w:r>
      <w:r>
        <w:rPr>
          <w:spacing w:val="41"/>
          <w:sz w:val="21"/>
        </w:rPr>
        <w:t> </w:t>
      </w:r>
      <w:r>
        <w:rPr>
          <w:sz w:val="21"/>
        </w:rPr>
        <w:t>the plaintiff </w:t>
      </w:r>
      <w:r>
        <w:rPr>
          <w:spacing w:val="-3"/>
          <w:sz w:val="21"/>
        </w:rPr>
        <w:t>will  </w:t>
      </w:r>
      <w:r>
        <w:rPr>
          <w:sz w:val="21"/>
        </w:rPr>
        <w:t>be ordered </w:t>
      </w:r>
      <w:r>
        <w:rPr>
          <w:spacing w:val="-3"/>
          <w:sz w:val="21"/>
        </w:rPr>
        <w:t>to </w:t>
      </w:r>
      <w:r>
        <w:rPr>
          <w:spacing w:val="-2"/>
          <w:sz w:val="21"/>
        </w:rPr>
        <w:t>pay </w:t>
      </w:r>
      <w:r>
        <w:rPr>
          <w:sz w:val="21"/>
        </w:rPr>
        <w:t>the </w:t>
      </w:r>
      <w:r>
        <w:rPr>
          <w:spacing w:val="-3"/>
          <w:sz w:val="21"/>
        </w:rPr>
        <w:t>estate’s </w:t>
      </w:r>
      <w:r>
        <w:rPr>
          <w:spacing w:val="-6"/>
          <w:sz w:val="21"/>
        </w:rPr>
        <w:t>costs’.</w:t>
      </w:r>
      <w:r>
        <w:rPr>
          <w:spacing w:val="-6"/>
          <w:position w:val="7"/>
          <w:sz w:val="12"/>
        </w:rPr>
        <w:t>19 </w:t>
      </w:r>
      <w:r>
        <w:rPr>
          <w:spacing w:val="-3"/>
          <w:sz w:val="21"/>
        </w:rPr>
        <w:t>State </w:t>
      </w:r>
      <w:r>
        <w:rPr>
          <w:spacing w:val="-4"/>
          <w:sz w:val="21"/>
        </w:rPr>
        <w:t>Trustees </w:t>
      </w:r>
      <w:r>
        <w:rPr>
          <w:spacing w:val="-3"/>
          <w:sz w:val="21"/>
        </w:rPr>
        <w:t>noted that </w:t>
      </w:r>
      <w:r>
        <w:rPr>
          <w:sz w:val="21"/>
        </w:rPr>
        <w:t>costs still </w:t>
      </w:r>
      <w:r>
        <w:rPr>
          <w:spacing w:val="-4"/>
          <w:sz w:val="21"/>
        </w:rPr>
        <w:t>‘default’ </w:t>
      </w:r>
      <w:r>
        <w:rPr>
          <w:spacing w:val="-3"/>
          <w:sz w:val="21"/>
        </w:rPr>
        <w:t>to </w:t>
      </w:r>
      <w:r>
        <w:rPr>
          <w:sz w:val="21"/>
        </w:rPr>
        <w:t>the estate in the majority of instances.</w:t>
      </w:r>
      <w:r>
        <w:rPr>
          <w:position w:val="7"/>
          <w:sz w:val="12"/>
        </w:rPr>
        <w:t>20 </w:t>
      </w:r>
      <w:r>
        <w:rPr>
          <w:spacing w:val="-4"/>
          <w:sz w:val="21"/>
        </w:rPr>
        <w:t>Further, </w:t>
      </w:r>
      <w:r>
        <w:rPr>
          <w:sz w:val="21"/>
        </w:rPr>
        <w:t>the Law </w:t>
      </w:r>
      <w:r>
        <w:rPr>
          <w:spacing w:val="-3"/>
          <w:sz w:val="21"/>
        </w:rPr>
        <w:t>Institute </w:t>
      </w:r>
      <w:r>
        <w:rPr>
          <w:sz w:val="21"/>
        </w:rPr>
        <w:t>of Victoria </w:t>
      </w:r>
      <w:r>
        <w:rPr>
          <w:spacing w:val="-3"/>
          <w:sz w:val="21"/>
        </w:rPr>
        <w:t>considered</w:t>
      </w:r>
      <w:r>
        <w:rPr>
          <w:spacing w:val="37"/>
          <w:sz w:val="21"/>
        </w:rPr>
        <w:t> </w:t>
      </w:r>
      <w:r>
        <w:rPr>
          <w:sz w:val="21"/>
        </w:rPr>
        <w:t>that:</w:t>
      </w:r>
    </w:p>
    <w:p>
      <w:pPr>
        <w:spacing w:line="254" w:lineRule="auto" w:before="134"/>
        <w:ind w:left="2721" w:right="1899" w:firstLine="0"/>
        <w:jc w:val="both"/>
        <w:rPr>
          <w:sz w:val="11"/>
        </w:rPr>
      </w:pPr>
      <w:r>
        <w:rPr>
          <w:w w:val="105"/>
          <w:sz w:val="20"/>
        </w:rPr>
        <w:t>plaintiffs</w:t>
      </w:r>
      <w:r>
        <w:rPr>
          <w:spacing w:val="-11"/>
          <w:w w:val="105"/>
          <w:sz w:val="20"/>
        </w:rPr>
        <w:t> </w:t>
      </w:r>
      <w:r>
        <w:rPr>
          <w:w w:val="105"/>
          <w:sz w:val="20"/>
        </w:rPr>
        <w:t>can</w:t>
      </w:r>
      <w:r>
        <w:rPr>
          <w:spacing w:val="-10"/>
          <w:w w:val="105"/>
          <w:sz w:val="20"/>
        </w:rPr>
        <w:t> </w:t>
      </w:r>
      <w:r>
        <w:rPr>
          <w:w w:val="105"/>
          <w:sz w:val="20"/>
        </w:rPr>
        <w:t>expect</w:t>
      </w:r>
      <w:r>
        <w:rPr>
          <w:spacing w:val="-10"/>
          <w:w w:val="105"/>
          <w:sz w:val="20"/>
        </w:rPr>
        <w:t> </w:t>
      </w:r>
      <w:r>
        <w:rPr>
          <w:spacing w:val="-3"/>
          <w:w w:val="105"/>
          <w:sz w:val="20"/>
        </w:rPr>
        <w:t>solicitor-client</w:t>
      </w:r>
      <w:r>
        <w:rPr>
          <w:spacing w:val="-10"/>
          <w:w w:val="105"/>
          <w:sz w:val="20"/>
        </w:rPr>
        <w:t> </w:t>
      </w:r>
      <w:r>
        <w:rPr>
          <w:w w:val="105"/>
          <w:sz w:val="20"/>
        </w:rPr>
        <w:t>costs</w:t>
      </w:r>
      <w:r>
        <w:rPr>
          <w:spacing w:val="-10"/>
          <w:w w:val="105"/>
          <w:sz w:val="20"/>
        </w:rPr>
        <w:t> </w:t>
      </w:r>
      <w:r>
        <w:rPr>
          <w:w w:val="105"/>
          <w:sz w:val="20"/>
        </w:rPr>
        <w:t>from</w:t>
      </w:r>
      <w:r>
        <w:rPr>
          <w:spacing w:val="-10"/>
          <w:w w:val="105"/>
          <w:sz w:val="20"/>
        </w:rPr>
        <w:t> </w:t>
      </w:r>
      <w:r>
        <w:rPr>
          <w:w w:val="105"/>
          <w:sz w:val="20"/>
        </w:rPr>
        <w:t>the</w:t>
      </w:r>
      <w:r>
        <w:rPr>
          <w:spacing w:val="-10"/>
          <w:w w:val="105"/>
          <w:sz w:val="20"/>
        </w:rPr>
        <w:t> </w:t>
      </w:r>
      <w:r>
        <w:rPr>
          <w:w w:val="105"/>
          <w:sz w:val="20"/>
        </w:rPr>
        <w:t>estate</w:t>
      </w:r>
      <w:r>
        <w:rPr>
          <w:spacing w:val="-10"/>
          <w:w w:val="105"/>
          <w:sz w:val="20"/>
        </w:rPr>
        <w:t> </w:t>
      </w:r>
      <w:r>
        <w:rPr>
          <w:w w:val="105"/>
          <w:sz w:val="20"/>
        </w:rPr>
        <w:t>despite</w:t>
      </w:r>
      <w:r>
        <w:rPr>
          <w:spacing w:val="-10"/>
          <w:w w:val="105"/>
          <w:sz w:val="20"/>
        </w:rPr>
        <w:t> </w:t>
      </w:r>
      <w:r>
        <w:rPr>
          <w:w w:val="105"/>
          <w:sz w:val="20"/>
        </w:rPr>
        <w:t>being</w:t>
      </w:r>
      <w:r>
        <w:rPr>
          <w:spacing w:val="-11"/>
          <w:w w:val="105"/>
          <w:sz w:val="20"/>
        </w:rPr>
        <w:t> </w:t>
      </w:r>
      <w:r>
        <w:rPr>
          <w:w w:val="105"/>
          <w:sz w:val="20"/>
        </w:rPr>
        <w:t>unsuccessful</w:t>
      </w:r>
      <w:r>
        <w:rPr>
          <w:spacing w:val="-10"/>
          <w:w w:val="105"/>
          <w:sz w:val="20"/>
        </w:rPr>
        <w:t> </w:t>
      </w:r>
      <w:r>
        <w:rPr>
          <w:w w:val="105"/>
          <w:sz w:val="20"/>
        </w:rPr>
        <w:t>at </w:t>
      </w:r>
      <w:r>
        <w:rPr>
          <w:spacing w:val="-3"/>
          <w:w w:val="105"/>
          <w:sz w:val="20"/>
        </w:rPr>
        <w:t>trial,</w:t>
      </w:r>
      <w:r>
        <w:rPr>
          <w:spacing w:val="-8"/>
          <w:w w:val="105"/>
          <w:sz w:val="20"/>
        </w:rPr>
        <w:t> </w:t>
      </w:r>
      <w:r>
        <w:rPr>
          <w:w w:val="105"/>
          <w:sz w:val="20"/>
        </w:rPr>
        <w:t>which</w:t>
      </w:r>
      <w:r>
        <w:rPr>
          <w:spacing w:val="-8"/>
          <w:w w:val="105"/>
          <w:sz w:val="20"/>
        </w:rPr>
        <w:t> </w:t>
      </w:r>
      <w:r>
        <w:rPr>
          <w:w w:val="105"/>
          <w:sz w:val="20"/>
        </w:rPr>
        <w:t>has</w:t>
      </w:r>
      <w:r>
        <w:rPr>
          <w:spacing w:val="-8"/>
          <w:w w:val="105"/>
          <w:sz w:val="20"/>
        </w:rPr>
        <w:t> </w:t>
      </w:r>
      <w:r>
        <w:rPr>
          <w:w w:val="105"/>
          <w:sz w:val="20"/>
        </w:rPr>
        <w:t>a</w:t>
      </w:r>
      <w:r>
        <w:rPr>
          <w:spacing w:val="-8"/>
          <w:w w:val="105"/>
          <w:sz w:val="20"/>
        </w:rPr>
        <w:t> </w:t>
      </w:r>
      <w:r>
        <w:rPr>
          <w:spacing w:val="-3"/>
          <w:w w:val="105"/>
          <w:sz w:val="20"/>
        </w:rPr>
        <w:t>chilling</w:t>
      </w:r>
      <w:r>
        <w:rPr>
          <w:spacing w:val="-8"/>
          <w:w w:val="105"/>
          <w:sz w:val="20"/>
        </w:rPr>
        <w:t> </w:t>
      </w:r>
      <w:r>
        <w:rPr>
          <w:w w:val="105"/>
          <w:sz w:val="20"/>
        </w:rPr>
        <w:t>effect</w:t>
      </w:r>
      <w:r>
        <w:rPr>
          <w:spacing w:val="-7"/>
          <w:w w:val="105"/>
          <w:sz w:val="20"/>
        </w:rPr>
        <w:t> </w:t>
      </w:r>
      <w:r>
        <w:rPr>
          <w:w w:val="105"/>
          <w:sz w:val="20"/>
        </w:rPr>
        <w:t>on</w:t>
      </w:r>
      <w:r>
        <w:rPr>
          <w:spacing w:val="-8"/>
          <w:w w:val="105"/>
          <w:sz w:val="20"/>
        </w:rPr>
        <w:t> </w:t>
      </w:r>
      <w:r>
        <w:rPr>
          <w:w w:val="105"/>
          <w:sz w:val="20"/>
        </w:rPr>
        <w:t>mediations</w:t>
      </w:r>
      <w:r>
        <w:rPr>
          <w:spacing w:val="-8"/>
          <w:w w:val="105"/>
          <w:sz w:val="20"/>
        </w:rPr>
        <w:t> </w:t>
      </w:r>
      <w:r>
        <w:rPr>
          <w:w w:val="105"/>
          <w:sz w:val="20"/>
        </w:rPr>
        <w:t>and</w:t>
      </w:r>
      <w:r>
        <w:rPr>
          <w:spacing w:val="-8"/>
          <w:w w:val="105"/>
          <w:sz w:val="20"/>
        </w:rPr>
        <w:t> </w:t>
      </w:r>
      <w:r>
        <w:rPr>
          <w:w w:val="105"/>
          <w:sz w:val="20"/>
        </w:rPr>
        <w:t>encourages</w:t>
      </w:r>
      <w:r>
        <w:rPr>
          <w:spacing w:val="-8"/>
          <w:w w:val="105"/>
          <w:sz w:val="20"/>
        </w:rPr>
        <w:t> </w:t>
      </w:r>
      <w:r>
        <w:rPr>
          <w:w w:val="105"/>
          <w:sz w:val="20"/>
        </w:rPr>
        <w:t>executors</w:t>
      </w:r>
      <w:r>
        <w:rPr>
          <w:spacing w:val="-7"/>
          <w:w w:val="105"/>
          <w:sz w:val="20"/>
        </w:rPr>
        <w:t> </w:t>
      </w:r>
      <w:r>
        <w:rPr>
          <w:w w:val="105"/>
          <w:sz w:val="20"/>
        </w:rPr>
        <w:t>to</w:t>
      </w:r>
      <w:r>
        <w:rPr>
          <w:spacing w:val="-8"/>
          <w:w w:val="105"/>
          <w:sz w:val="20"/>
        </w:rPr>
        <w:t> </w:t>
      </w:r>
      <w:r>
        <w:rPr>
          <w:w w:val="105"/>
          <w:sz w:val="20"/>
        </w:rPr>
        <w:t>settle</w:t>
      </w:r>
      <w:r>
        <w:rPr>
          <w:spacing w:val="-8"/>
          <w:w w:val="105"/>
          <w:sz w:val="20"/>
        </w:rPr>
        <w:t> </w:t>
      </w:r>
      <w:r>
        <w:rPr>
          <w:w w:val="105"/>
          <w:sz w:val="20"/>
        </w:rPr>
        <w:t>even unmeritorious</w:t>
      </w:r>
      <w:r>
        <w:rPr>
          <w:spacing w:val="5"/>
          <w:w w:val="105"/>
          <w:sz w:val="20"/>
        </w:rPr>
        <w:t> </w:t>
      </w:r>
      <w:r>
        <w:rPr>
          <w:spacing w:val="-3"/>
          <w:w w:val="105"/>
          <w:sz w:val="20"/>
        </w:rPr>
        <w:t>claims.</w:t>
      </w:r>
      <w:r>
        <w:rPr>
          <w:spacing w:val="-3"/>
          <w:w w:val="105"/>
          <w:position w:val="7"/>
          <w:sz w:val="11"/>
        </w:rPr>
        <w:t>21</w:t>
      </w:r>
    </w:p>
    <w:p>
      <w:pPr>
        <w:pStyle w:val="ListParagraph"/>
        <w:numPr>
          <w:ilvl w:val="1"/>
          <w:numId w:val="22"/>
        </w:numPr>
        <w:tabs>
          <w:tab w:pos="2381" w:val="left" w:leader="none"/>
          <w:tab w:pos="2382" w:val="left" w:leader="none"/>
        </w:tabs>
        <w:spacing w:line="242" w:lineRule="auto" w:before="114" w:after="0"/>
        <w:ind w:left="2381" w:right="1978" w:hanging="794"/>
        <w:jc w:val="left"/>
        <w:rPr>
          <w:sz w:val="21"/>
        </w:rPr>
      </w:pPr>
      <w:r>
        <w:rPr>
          <w:w w:val="105"/>
          <w:sz w:val="21"/>
        </w:rPr>
        <w:t>The </w:t>
      </w:r>
      <w:r>
        <w:rPr>
          <w:spacing w:val="-3"/>
          <w:w w:val="105"/>
          <w:sz w:val="21"/>
        </w:rPr>
        <w:t>Supreme Court </w:t>
      </w:r>
      <w:r>
        <w:rPr>
          <w:w w:val="105"/>
          <w:sz w:val="21"/>
        </w:rPr>
        <w:t>of Victoria </w:t>
      </w:r>
      <w:r>
        <w:rPr>
          <w:spacing w:val="-3"/>
          <w:w w:val="105"/>
          <w:sz w:val="21"/>
        </w:rPr>
        <w:t>noted that </w:t>
      </w:r>
      <w:r>
        <w:rPr>
          <w:w w:val="105"/>
          <w:sz w:val="21"/>
        </w:rPr>
        <w:t>costs orders in </w:t>
      </w:r>
      <w:r>
        <w:rPr>
          <w:spacing w:val="-3"/>
          <w:w w:val="105"/>
          <w:sz w:val="21"/>
        </w:rPr>
        <w:t>family provision proceedings </w:t>
      </w:r>
      <w:r>
        <w:rPr>
          <w:w w:val="105"/>
          <w:sz w:val="21"/>
        </w:rPr>
        <w:t>affect </w:t>
      </w:r>
      <w:r>
        <w:rPr>
          <w:spacing w:val="-2"/>
          <w:w w:val="105"/>
          <w:sz w:val="21"/>
        </w:rPr>
        <w:t>not </w:t>
      </w:r>
      <w:r>
        <w:rPr>
          <w:w w:val="105"/>
          <w:sz w:val="21"/>
        </w:rPr>
        <w:t>only how </w:t>
      </w:r>
      <w:r>
        <w:rPr>
          <w:spacing w:val="-3"/>
          <w:w w:val="105"/>
          <w:sz w:val="21"/>
        </w:rPr>
        <w:t>claims are brought, </w:t>
      </w:r>
      <w:r>
        <w:rPr>
          <w:w w:val="105"/>
          <w:sz w:val="21"/>
        </w:rPr>
        <w:t>but also how they </w:t>
      </w:r>
      <w:r>
        <w:rPr>
          <w:spacing w:val="-3"/>
          <w:w w:val="105"/>
          <w:sz w:val="21"/>
        </w:rPr>
        <w:t>are</w:t>
      </w:r>
      <w:r>
        <w:rPr>
          <w:spacing w:val="40"/>
          <w:w w:val="105"/>
          <w:sz w:val="21"/>
        </w:rPr>
        <w:t> </w:t>
      </w:r>
      <w:r>
        <w:rPr>
          <w:w w:val="105"/>
          <w:sz w:val="21"/>
        </w:rPr>
        <w:t>defended:</w:t>
      </w:r>
    </w:p>
    <w:p>
      <w:pPr>
        <w:spacing w:line="254" w:lineRule="auto" w:before="131"/>
        <w:ind w:left="2721" w:right="1804" w:firstLine="0"/>
        <w:jc w:val="left"/>
        <w:rPr>
          <w:sz w:val="11"/>
        </w:rPr>
      </w:pPr>
      <w:r>
        <w:rPr>
          <w:w w:val="105"/>
          <w:sz w:val="20"/>
        </w:rPr>
        <w:t>the </w:t>
      </w:r>
      <w:r>
        <w:rPr>
          <w:spacing w:val="-3"/>
          <w:w w:val="105"/>
          <w:sz w:val="20"/>
        </w:rPr>
        <w:t>usual disincentive </w:t>
      </w:r>
      <w:r>
        <w:rPr>
          <w:w w:val="105"/>
          <w:sz w:val="20"/>
        </w:rPr>
        <w:t>to a </w:t>
      </w:r>
      <w:r>
        <w:rPr>
          <w:spacing w:val="-2"/>
          <w:w w:val="105"/>
          <w:sz w:val="20"/>
        </w:rPr>
        <w:t>defendant </w:t>
      </w:r>
      <w:r>
        <w:rPr>
          <w:w w:val="105"/>
          <w:sz w:val="20"/>
        </w:rPr>
        <w:t>opposing a meritorious </w:t>
      </w:r>
      <w:r>
        <w:rPr>
          <w:spacing w:val="-3"/>
          <w:w w:val="105"/>
          <w:sz w:val="20"/>
        </w:rPr>
        <w:t>claim </w:t>
      </w:r>
      <w:r>
        <w:rPr>
          <w:w w:val="105"/>
          <w:sz w:val="20"/>
        </w:rPr>
        <w:t>does not necessarily exist in </w:t>
      </w:r>
      <w:r>
        <w:rPr>
          <w:spacing w:val="-3"/>
          <w:w w:val="105"/>
          <w:sz w:val="20"/>
        </w:rPr>
        <w:t>family </w:t>
      </w:r>
      <w:r>
        <w:rPr>
          <w:w w:val="105"/>
          <w:sz w:val="20"/>
        </w:rPr>
        <w:t>provision matters. While a </w:t>
      </w:r>
      <w:r>
        <w:rPr>
          <w:spacing w:val="-2"/>
          <w:w w:val="105"/>
          <w:sz w:val="20"/>
        </w:rPr>
        <w:t>defendant </w:t>
      </w:r>
      <w:r>
        <w:rPr>
          <w:w w:val="105"/>
          <w:sz w:val="20"/>
        </w:rPr>
        <w:t>executor who has an interest in the estate has an </w:t>
      </w:r>
      <w:r>
        <w:rPr>
          <w:spacing w:val="-3"/>
          <w:w w:val="105"/>
          <w:sz w:val="20"/>
        </w:rPr>
        <w:t>incentive </w:t>
      </w:r>
      <w:r>
        <w:rPr>
          <w:w w:val="105"/>
          <w:sz w:val="20"/>
        </w:rPr>
        <w:t>to </w:t>
      </w:r>
      <w:r>
        <w:rPr>
          <w:spacing w:val="-3"/>
          <w:w w:val="105"/>
          <w:sz w:val="20"/>
        </w:rPr>
        <w:t>prevent </w:t>
      </w:r>
      <w:r>
        <w:rPr>
          <w:w w:val="105"/>
          <w:sz w:val="20"/>
        </w:rPr>
        <w:t>diminution of the estate through legal costs, a </w:t>
      </w:r>
      <w:r>
        <w:rPr>
          <w:spacing w:val="-2"/>
          <w:w w:val="105"/>
          <w:sz w:val="20"/>
        </w:rPr>
        <w:t>defendant </w:t>
      </w:r>
      <w:r>
        <w:rPr>
          <w:w w:val="105"/>
          <w:sz w:val="20"/>
        </w:rPr>
        <w:t>executor with no interest in the estate will not. Their costs will be met by the estate almost </w:t>
      </w:r>
      <w:r>
        <w:rPr>
          <w:spacing w:val="-3"/>
          <w:w w:val="105"/>
          <w:sz w:val="20"/>
        </w:rPr>
        <w:t>universally, </w:t>
      </w:r>
      <w:r>
        <w:rPr>
          <w:w w:val="105"/>
          <w:sz w:val="20"/>
        </w:rPr>
        <w:t>and they may adopt the position that they are under an obligation to defend the will </w:t>
      </w:r>
      <w:r>
        <w:rPr>
          <w:w w:val="115"/>
          <w:sz w:val="20"/>
        </w:rPr>
        <w:t>… </w:t>
      </w:r>
      <w:r>
        <w:rPr>
          <w:w w:val="105"/>
          <w:sz w:val="20"/>
        </w:rPr>
        <w:t>In the </w:t>
      </w:r>
      <w:r>
        <w:rPr>
          <w:spacing w:val="-3"/>
          <w:w w:val="105"/>
          <w:sz w:val="20"/>
        </w:rPr>
        <w:t>Court’s </w:t>
      </w:r>
      <w:r>
        <w:rPr>
          <w:w w:val="105"/>
          <w:sz w:val="20"/>
        </w:rPr>
        <w:t>experience, defendants who are not also beneficiaries can on occasion unreasonably resist meritorious claims.</w:t>
      </w:r>
      <w:r>
        <w:rPr>
          <w:w w:val="105"/>
          <w:position w:val="7"/>
          <w:sz w:val="11"/>
        </w:rPr>
        <w:t>22</w:t>
      </w:r>
    </w:p>
    <w:p>
      <w:pPr>
        <w:pStyle w:val="ListParagraph"/>
        <w:numPr>
          <w:ilvl w:val="1"/>
          <w:numId w:val="22"/>
        </w:numPr>
        <w:tabs>
          <w:tab w:pos="2380" w:val="left" w:leader="none"/>
          <w:tab w:pos="2381" w:val="left" w:leader="none"/>
        </w:tabs>
        <w:spacing w:line="242" w:lineRule="auto" w:before="119" w:after="0"/>
        <w:ind w:left="2381" w:right="1669" w:hanging="794"/>
        <w:jc w:val="left"/>
        <w:rPr>
          <w:sz w:val="12"/>
        </w:rPr>
      </w:pPr>
      <w:r>
        <w:rPr>
          <w:w w:val="105"/>
          <w:sz w:val="21"/>
        </w:rPr>
        <w:t>A </w:t>
      </w:r>
      <w:r>
        <w:rPr>
          <w:spacing w:val="-4"/>
          <w:w w:val="105"/>
          <w:sz w:val="21"/>
        </w:rPr>
        <w:t>member of the </w:t>
      </w:r>
      <w:r>
        <w:rPr>
          <w:spacing w:val="-5"/>
          <w:w w:val="105"/>
          <w:sz w:val="21"/>
        </w:rPr>
        <w:t>public </w:t>
      </w:r>
      <w:r>
        <w:rPr>
          <w:spacing w:val="-3"/>
          <w:w w:val="105"/>
          <w:sz w:val="21"/>
        </w:rPr>
        <w:t>who </w:t>
      </w:r>
      <w:r>
        <w:rPr>
          <w:spacing w:val="-4"/>
          <w:w w:val="105"/>
          <w:sz w:val="21"/>
        </w:rPr>
        <w:t>had been the </w:t>
      </w:r>
      <w:r>
        <w:rPr>
          <w:spacing w:val="-5"/>
          <w:w w:val="105"/>
          <w:sz w:val="21"/>
        </w:rPr>
        <w:t>executor </w:t>
      </w:r>
      <w:r>
        <w:rPr>
          <w:spacing w:val="-4"/>
          <w:w w:val="105"/>
          <w:sz w:val="21"/>
        </w:rPr>
        <w:t>and </w:t>
      </w:r>
      <w:r>
        <w:rPr>
          <w:w w:val="105"/>
          <w:sz w:val="21"/>
        </w:rPr>
        <w:t>a </w:t>
      </w:r>
      <w:r>
        <w:rPr>
          <w:spacing w:val="-4"/>
          <w:w w:val="105"/>
          <w:sz w:val="21"/>
        </w:rPr>
        <w:t>beneficiary of </w:t>
      </w:r>
      <w:r>
        <w:rPr>
          <w:w w:val="105"/>
          <w:sz w:val="21"/>
        </w:rPr>
        <w:t>a </w:t>
      </w:r>
      <w:r>
        <w:rPr>
          <w:spacing w:val="-5"/>
          <w:w w:val="105"/>
          <w:sz w:val="21"/>
        </w:rPr>
        <w:t>will against which </w:t>
      </w:r>
      <w:r>
        <w:rPr>
          <w:w w:val="105"/>
          <w:sz w:val="21"/>
        </w:rPr>
        <w:t>a </w:t>
      </w:r>
      <w:r>
        <w:rPr>
          <w:spacing w:val="-5"/>
          <w:w w:val="105"/>
          <w:sz w:val="21"/>
        </w:rPr>
        <w:t>successful </w:t>
      </w:r>
      <w:r>
        <w:rPr>
          <w:spacing w:val="-6"/>
          <w:w w:val="105"/>
          <w:sz w:val="21"/>
        </w:rPr>
        <w:t>family </w:t>
      </w:r>
      <w:r>
        <w:rPr>
          <w:spacing w:val="-5"/>
          <w:w w:val="105"/>
          <w:sz w:val="21"/>
        </w:rPr>
        <w:t>provision </w:t>
      </w:r>
      <w:r>
        <w:rPr>
          <w:spacing w:val="-6"/>
          <w:w w:val="105"/>
          <w:sz w:val="21"/>
        </w:rPr>
        <w:t>claim </w:t>
      </w:r>
      <w:r>
        <w:rPr>
          <w:spacing w:val="-4"/>
          <w:w w:val="105"/>
          <w:sz w:val="21"/>
        </w:rPr>
        <w:t>has been made said </w:t>
      </w:r>
      <w:r>
        <w:rPr>
          <w:spacing w:val="-5"/>
          <w:w w:val="105"/>
          <w:sz w:val="21"/>
        </w:rPr>
        <w:t>that </w:t>
      </w:r>
      <w:r>
        <w:rPr>
          <w:spacing w:val="-6"/>
          <w:w w:val="105"/>
          <w:sz w:val="21"/>
        </w:rPr>
        <w:t>‘huge </w:t>
      </w:r>
      <w:r>
        <w:rPr>
          <w:spacing w:val="-5"/>
          <w:w w:val="105"/>
          <w:sz w:val="21"/>
        </w:rPr>
        <w:t>legal </w:t>
      </w:r>
      <w:r>
        <w:rPr>
          <w:spacing w:val="-7"/>
          <w:w w:val="105"/>
          <w:sz w:val="21"/>
        </w:rPr>
        <w:t>expenses’, </w:t>
      </w:r>
      <w:r>
        <w:rPr>
          <w:spacing w:val="-5"/>
          <w:w w:val="105"/>
          <w:sz w:val="21"/>
        </w:rPr>
        <w:t>fear </w:t>
      </w:r>
      <w:r>
        <w:rPr>
          <w:spacing w:val="-4"/>
          <w:w w:val="105"/>
          <w:sz w:val="21"/>
        </w:rPr>
        <w:t>of </w:t>
      </w:r>
      <w:r>
        <w:rPr>
          <w:w w:val="105"/>
          <w:sz w:val="21"/>
        </w:rPr>
        <w:t>a </w:t>
      </w:r>
      <w:r>
        <w:rPr>
          <w:spacing w:val="-4"/>
          <w:w w:val="105"/>
          <w:sz w:val="21"/>
        </w:rPr>
        <w:t>worse </w:t>
      </w:r>
      <w:r>
        <w:rPr>
          <w:spacing w:val="-5"/>
          <w:w w:val="105"/>
          <w:sz w:val="21"/>
        </w:rPr>
        <w:t>result </w:t>
      </w:r>
      <w:r>
        <w:rPr>
          <w:spacing w:val="-4"/>
          <w:w w:val="105"/>
          <w:sz w:val="21"/>
        </w:rPr>
        <w:t>and </w:t>
      </w:r>
      <w:r>
        <w:rPr>
          <w:spacing w:val="-5"/>
          <w:w w:val="105"/>
          <w:sz w:val="21"/>
        </w:rPr>
        <w:t>mistrust </w:t>
      </w:r>
      <w:r>
        <w:rPr>
          <w:spacing w:val="-4"/>
          <w:w w:val="105"/>
          <w:sz w:val="21"/>
        </w:rPr>
        <w:t>of the system </w:t>
      </w:r>
      <w:r>
        <w:rPr>
          <w:spacing w:val="-5"/>
          <w:w w:val="105"/>
          <w:sz w:val="21"/>
        </w:rPr>
        <w:t>all </w:t>
      </w:r>
      <w:r>
        <w:rPr>
          <w:spacing w:val="-6"/>
          <w:w w:val="105"/>
          <w:sz w:val="21"/>
        </w:rPr>
        <w:t>contribute </w:t>
      </w:r>
      <w:r>
        <w:rPr>
          <w:spacing w:val="-4"/>
          <w:w w:val="105"/>
          <w:sz w:val="21"/>
        </w:rPr>
        <w:t>to the </w:t>
      </w:r>
      <w:r>
        <w:rPr>
          <w:spacing w:val="-5"/>
          <w:w w:val="105"/>
          <w:sz w:val="21"/>
        </w:rPr>
        <w:t>decision </w:t>
      </w:r>
      <w:r>
        <w:rPr>
          <w:spacing w:val="-4"/>
          <w:w w:val="105"/>
          <w:sz w:val="21"/>
        </w:rPr>
        <w:t>to settle.</w:t>
      </w:r>
      <w:r>
        <w:rPr>
          <w:spacing w:val="-4"/>
          <w:w w:val="105"/>
          <w:position w:val="7"/>
          <w:sz w:val="12"/>
        </w:rPr>
        <w:t>23 </w:t>
      </w:r>
      <w:r>
        <w:rPr>
          <w:spacing w:val="-4"/>
          <w:w w:val="105"/>
          <w:sz w:val="21"/>
        </w:rPr>
        <w:t>Some members of the </w:t>
      </w:r>
      <w:r>
        <w:rPr>
          <w:spacing w:val="-5"/>
          <w:w w:val="105"/>
          <w:sz w:val="21"/>
        </w:rPr>
        <w:t>legal </w:t>
      </w:r>
      <w:r>
        <w:rPr>
          <w:spacing w:val="-6"/>
          <w:w w:val="105"/>
          <w:sz w:val="21"/>
        </w:rPr>
        <w:t>profession considered </w:t>
      </w:r>
      <w:r>
        <w:rPr>
          <w:spacing w:val="-5"/>
          <w:w w:val="105"/>
          <w:sz w:val="21"/>
        </w:rPr>
        <w:t>that </w:t>
      </w:r>
      <w:r>
        <w:rPr>
          <w:spacing w:val="-4"/>
          <w:w w:val="105"/>
          <w:sz w:val="21"/>
        </w:rPr>
        <w:t>the </w:t>
      </w:r>
      <w:r>
        <w:rPr>
          <w:spacing w:val="-6"/>
          <w:w w:val="105"/>
          <w:sz w:val="21"/>
        </w:rPr>
        <w:t>considerable </w:t>
      </w:r>
      <w:r>
        <w:rPr>
          <w:spacing w:val="-4"/>
          <w:w w:val="105"/>
          <w:sz w:val="21"/>
        </w:rPr>
        <w:t>costs </w:t>
      </w:r>
      <w:r>
        <w:rPr>
          <w:spacing w:val="-6"/>
          <w:w w:val="105"/>
          <w:sz w:val="21"/>
        </w:rPr>
        <w:t>involved </w:t>
      </w:r>
      <w:r>
        <w:rPr>
          <w:spacing w:val="-5"/>
          <w:w w:val="105"/>
          <w:sz w:val="21"/>
        </w:rPr>
        <w:t>are </w:t>
      </w:r>
      <w:r>
        <w:rPr>
          <w:spacing w:val="-6"/>
          <w:w w:val="105"/>
          <w:sz w:val="21"/>
        </w:rPr>
        <w:t>‘almost invariably’ </w:t>
      </w:r>
      <w:r>
        <w:rPr>
          <w:w w:val="105"/>
          <w:sz w:val="21"/>
        </w:rPr>
        <w:t>a </w:t>
      </w:r>
      <w:r>
        <w:rPr>
          <w:spacing w:val="-5"/>
          <w:w w:val="105"/>
          <w:sz w:val="21"/>
        </w:rPr>
        <w:t>factor </w:t>
      </w:r>
      <w:r>
        <w:rPr>
          <w:spacing w:val="-6"/>
          <w:w w:val="105"/>
          <w:sz w:val="21"/>
        </w:rPr>
        <w:t>resulting </w:t>
      </w:r>
      <w:r>
        <w:rPr>
          <w:spacing w:val="-4"/>
          <w:w w:val="105"/>
          <w:sz w:val="21"/>
        </w:rPr>
        <w:t>in </w:t>
      </w:r>
      <w:r>
        <w:rPr>
          <w:spacing w:val="-5"/>
          <w:w w:val="105"/>
          <w:sz w:val="21"/>
        </w:rPr>
        <w:t>settlement.</w:t>
      </w:r>
      <w:r>
        <w:rPr>
          <w:spacing w:val="-5"/>
          <w:w w:val="105"/>
          <w:position w:val="7"/>
          <w:sz w:val="12"/>
        </w:rPr>
        <w:t>24   </w:t>
      </w:r>
      <w:r>
        <w:rPr>
          <w:spacing w:val="-5"/>
          <w:w w:val="105"/>
          <w:sz w:val="21"/>
        </w:rPr>
        <w:t>While </w:t>
      </w:r>
      <w:r>
        <w:rPr>
          <w:spacing w:val="-4"/>
          <w:w w:val="105"/>
          <w:sz w:val="21"/>
        </w:rPr>
        <w:t>the </w:t>
      </w:r>
      <w:r>
        <w:rPr>
          <w:spacing w:val="-6"/>
          <w:w w:val="105"/>
          <w:sz w:val="21"/>
        </w:rPr>
        <w:t>Cancer </w:t>
      </w:r>
      <w:r>
        <w:rPr>
          <w:spacing w:val="-7"/>
          <w:w w:val="105"/>
          <w:sz w:val="21"/>
        </w:rPr>
        <w:t>Council </w:t>
      </w:r>
      <w:r>
        <w:rPr>
          <w:spacing w:val="-5"/>
          <w:w w:val="105"/>
          <w:sz w:val="21"/>
        </w:rPr>
        <w:t>Victoria noted that  </w:t>
      </w:r>
      <w:r>
        <w:rPr>
          <w:spacing w:val="-4"/>
          <w:w w:val="105"/>
          <w:sz w:val="21"/>
        </w:rPr>
        <w:t>the </w:t>
      </w:r>
      <w:r>
        <w:rPr>
          <w:spacing w:val="-5"/>
          <w:w w:val="105"/>
          <w:sz w:val="21"/>
        </w:rPr>
        <w:t>high rate </w:t>
      </w:r>
      <w:r>
        <w:rPr>
          <w:spacing w:val="-4"/>
          <w:w w:val="105"/>
          <w:sz w:val="21"/>
        </w:rPr>
        <w:t>of </w:t>
      </w:r>
      <w:r>
        <w:rPr>
          <w:spacing w:val="-5"/>
          <w:w w:val="105"/>
          <w:sz w:val="21"/>
        </w:rPr>
        <w:t>settlement </w:t>
      </w:r>
      <w:r>
        <w:rPr>
          <w:spacing w:val="-6"/>
          <w:w w:val="105"/>
          <w:sz w:val="21"/>
        </w:rPr>
        <w:t>‘provides </w:t>
      </w:r>
      <w:r>
        <w:rPr>
          <w:w w:val="105"/>
          <w:sz w:val="21"/>
        </w:rPr>
        <w:t>a </w:t>
      </w:r>
      <w:r>
        <w:rPr>
          <w:spacing w:val="-5"/>
          <w:w w:val="105"/>
          <w:sz w:val="21"/>
        </w:rPr>
        <w:t>check against </w:t>
      </w:r>
      <w:r>
        <w:rPr>
          <w:spacing w:val="-6"/>
          <w:w w:val="105"/>
          <w:sz w:val="21"/>
        </w:rPr>
        <w:t>unfounded claims </w:t>
      </w:r>
      <w:r>
        <w:rPr>
          <w:spacing w:val="-7"/>
          <w:w w:val="105"/>
          <w:sz w:val="21"/>
        </w:rPr>
        <w:t>progressing’,</w:t>
      </w:r>
      <w:r>
        <w:rPr>
          <w:spacing w:val="-7"/>
          <w:w w:val="105"/>
          <w:position w:val="7"/>
          <w:sz w:val="12"/>
        </w:rPr>
        <w:t>25 </w:t>
      </w:r>
      <w:r>
        <w:rPr>
          <w:spacing w:val="-3"/>
          <w:w w:val="105"/>
          <w:sz w:val="21"/>
        </w:rPr>
        <w:t>it </w:t>
      </w:r>
      <w:r>
        <w:rPr>
          <w:spacing w:val="-4"/>
          <w:w w:val="105"/>
          <w:sz w:val="21"/>
        </w:rPr>
        <w:t>also </w:t>
      </w:r>
      <w:r>
        <w:rPr>
          <w:spacing w:val="-5"/>
          <w:w w:val="105"/>
          <w:sz w:val="21"/>
        </w:rPr>
        <w:t>noted that legal </w:t>
      </w:r>
      <w:r>
        <w:rPr>
          <w:spacing w:val="-4"/>
          <w:w w:val="105"/>
          <w:sz w:val="21"/>
        </w:rPr>
        <w:t>costs </w:t>
      </w:r>
      <w:r>
        <w:rPr>
          <w:spacing w:val="-3"/>
          <w:w w:val="105"/>
          <w:sz w:val="21"/>
        </w:rPr>
        <w:t>up </w:t>
      </w:r>
      <w:r>
        <w:rPr>
          <w:spacing w:val="-4"/>
          <w:w w:val="105"/>
          <w:sz w:val="21"/>
        </w:rPr>
        <w:t>to </w:t>
      </w:r>
      <w:r>
        <w:rPr>
          <w:spacing w:val="-5"/>
          <w:w w:val="105"/>
          <w:sz w:val="21"/>
        </w:rPr>
        <w:t>mediation are still commonly </w:t>
      </w:r>
      <w:r>
        <w:rPr>
          <w:spacing w:val="-4"/>
          <w:w w:val="105"/>
          <w:sz w:val="21"/>
        </w:rPr>
        <w:t>borne by the</w:t>
      </w:r>
      <w:r>
        <w:rPr>
          <w:spacing w:val="14"/>
          <w:w w:val="105"/>
          <w:sz w:val="21"/>
        </w:rPr>
        <w:t> </w:t>
      </w:r>
      <w:r>
        <w:rPr>
          <w:spacing w:val="-5"/>
          <w:w w:val="105"/>
          <w:sz w:val="21"/>
        </w:rPr>
        <w:t>estate.</w:t>
      </w:r>
      <w:r>
        <w:rPr>
          <w:spacing w:val="-5"/>
          <w:w w:val="105"/>
          <w:position w:val="7"/>
          <w:sz w:val="12"/>
        </w:rPr>
        <w:t>26</w:t>
      </w:r>
    </w:p>
    <w:p>
      <w:pPr>
        <w:pStyle w:val="ListParagraph"/>
        <w:numPr>
          <w:ilvl w:val="1"/>
          <w:numId w:val="22"/>
        </w:numPr>
        <w:tabs>
          <w:tab w:pos="2381" w:val="left" w:leader="none"/>
          <w:tab w:pos="2382" w:val="left" w:leader="none"/>
        </w:tabs>
        <w:spacing w:line="242" w:lineRule="auto" w:before="128" w:after="0"/>
        <w:ind w:left="2381" w:right="1632" w:hanging="794"/>
        <w:jc w:val="left"/>
        <w:rPr>
          <w:sz w:val="21"/>
        </w:rPr>
      </w:pPr>
      <w:r>
        <w:rPr>
          <w:w w:val="105"/>
          <w:sz w:val="21"/>
        </w:rPr>
        <w:t>The </w:t>
      </w:r>
      <w:r>
        <w:rPr>
          <w:spacing w:val="-3"/>
          <w:w w:val="105"/>
          <w:sz w:val="21"/>
        </w:rPr>
        <w:t>Commission </w:t>
      </w:r>
      <w:r>
        <w:rPr>
          <w:w w:val="105"/>
          <w:sz w:val="21"/>
        </w:rPr>
        <w:t>also </w:t>
      </w:r>
      <w:r>
        <w:rPr>
          <w:spacing w:val="-3"/>
          <w:w w:val="105"/>
          <w:sz w:val="21"/>
        </w:rPr>
        <w:t>heard that </w:t>
      </w:r>
      <w:r>
        <w:rPr>
          <w:w w:val="105"/>
          <w:sz w:val="21"/>
        </w:rPr>
        <w:t>lawyers’ practices </w:t>
      </w:r>
      <w:r>
        <w:rPr>
          <w:spacing w:val="-3"/>
          <w:w w:val="105"/>
          <w:sz w:val="21"/>
        </w:rPr>
        <w:t>contribute to </w:t>
      </w:r>
      <w:r>
        <w:rPr>
          <w:w w:val="105"/>
          <w:sz w:val="21"/>
        </w:rPr>
        <w:t>the costs problem in </w:t>
      </w:r>
      <w:r>
        <w:rPr>
          <w:spacing w:val="-3"/>
          <w:w w:val="105"/>
          <w:sz w:val="21"/>
        </w:rPr>
        <w:t>family provision. Several submissions </w:t>
      </w:r>
      <w:r>
        <w:rPr>
          <w:w w:val="105"/>
          <w:sz w:val="21"/>
        </w:rPr>
        <w:t>suggested </w:t>
      </w:r>
      <w:r>
        <w:rPr>
          <w:spacing w:val="-3"/>
          <w:w w:val="105"/>
          <w:sz w:val="21"/>
        </w:rPr>
        <w:t>that </w:t>
      </w:r>
      <w:r>
        <w:rPr>
          <w:spacing w:val="-4"/>
          <w:w w:val="105"/>
          <w:sz w:val="21"/>
        </w:rPr>
        <w:t>‘no </w:t>
      </w:r>
      <w:r>
        <w:rPr>
          <w:spacing w:val="-3"/>
          <w:w w:val="105"/>
          <w:sz w:val="21"/>
        </w:rPr>
        <w:t>win, </w:t>
      </w:r>
      <w:r>
        <w:rPr>
          <w:w w:val="105"/>
          <w:sz w:val="21"/>
        </w:rPr>
        <w:t>no </w:t>
      </w:r>
      <w:r>
        <w:rPr>
          <w:spacing w:val="-3"/>
          <w:w w:val="105"/>
          <w:sz w:val="21"/>
        </w:rPr>
        <w:t>fee’ </w:t>
      </w:r>
      <w:r>
        <w:rPr>
          <w:w w:val="105"/>
          <w:sz w:val="21"/>
        </w:rPr>
        <w:t>practices and uplift fees </w:t>
      </w:r>
      <w:r>
        <w:rPr>
          <w:spacing w:val="-3"/>
          <w:w w:val="105"/>
          <w:sz w:val="21"/>
        </w:rPr>
        <w:t>contributed to high </w:t>
      </w:r>
      <w:r>
        <w:rPr>
          <w:w w:val="105"/>
          <w:sz w:val="21"/>
        </w:rPr>
        <w:t>legal costs in </w:t>
      </w:r>
      <w:r>
        <w:rPr>
          <w:spacing w:val="-3"/>
          <w:w w:val="105"/>
          <w:sz w:val="21"/>
        </w:rPr>
        <w:t>family provision </w:t>
      </w:r>
      <w:r>
        <w:rPr>
          <w:w w:val="105"/>
          <w:sz w:val="21"/>
        </w:rPr>
        <w:t>proceedings.</w:t>
      </w:r>
      <w:r>
        <w:rPr>
          <w:w w:val="105"/>
          <w:position w:val="7"/>
          <w:sz w:val="12"/>
        </w:rPr>
        <w:t>27 </w:t>
      </w:r>
      <w:r>
        <w:rPr>
          <w:w w:val="105"/>
          <w:sz w:val="21"/>
        </w:rPr>
        <w:t>The </w:t>
      </w:r>
      <w:r>
        <w:rPr>
          <w:spacing w:val="-3"/>
          <w:w w:val="105"/>
          <w:sz w:val="21"/>
        </w:rPr>
        <w:t>Supreme Court </w:t>
      </w:r>
      <w:r>
        <w:rPr>
          <w:w w:val="105"/>
          <w:sz w:val="21"/>
        </w:rPr>
        <w:t>of Victoria </w:t>
      </w:r>
      <w:r>
        <w:rPr>
          <w:spacing w:val="-3"/>
          <w:w w:val="105"/>
          <w:sz w:val="21"/>
        </w:rPr>
        <w:t>noted that </w:t>
      </w:r>
      <w:r>
        <w:rPr>
          <w:w w:val="105"/>
          <w:sz w:val="21"/>
        </w:rPr>
        <w:t>costs </w:t>
      </w:r>
      <w:r>
        <w:rPr>
          <w:spacing w:val="-3"/>
          <w:w w:val="105"/>
          <w:sz w:val="21"/>
        </w:rPr>
        <w:t>will </w:t>
      </w:r>
      <w:r>
        <w:rPr>
          <w:w w:val="105"/>
          <w:sz w:val="21"/>
        </w:rPr>
        <w:t>only </w:t>
      </w:r>
      <w:r>
        <w:rPr>
          <w:spacing w:val="-3"/>
          <w:w w:val="105"/>
          <w:sz w:val="21"/>
        </w:rPr>
        <w:t>rarely </w:t>
      </w:r>
      <w:r>
        <w:rPr>
          <w:w w:val="105"/>
          <w:sz w:val="21"/>
        </w:rPr>
        <w:t>be </w:t>
      </w:r>
      <w:r>
        <w:rPr>
          <w:spacing w:val="-3"/>
          <w:w w:val="105"/>
          <w:sz w:val="21"/>
        </w:rPr>
        <w:t>judicially determined, </w:t>
      </w:r>
      <w:r>
        <w:rPr>
          <w:w w:val="105"/>
          <w:sz w:val="21"/>
        </w:rPr>
        <w:t>so the costs </w:t>
      </w:r>
      <w:r>
        <w:rPr>
          <w:spacing w:val="-3"/>
          <w:w w:val="105"/>
          <w:sz w:val="21"/>
        </w:rPr>
        <w:t>charged </w:t>
      </w:r>
      <w:r>
        <w:rPr>
          <w:w w:val="105"/>
          <w:sz w:val="21"/>
        </w:rPr>
        <w:t>by legal practitioners need </w:t>
      </w:r>
      <w:r>
        <w:rPr>
          <w:spacing w:val="-3"/>
          <w:w w:val="105"/>
          <w:sz w:val="21"/>
        </w:rPr>
        <w:t>to </w:t>
      </w:r>
      <w:r>
        <w:rPr>
          <w:w w:val="105"/>
          <w:sz w:val="21"/>
        </w:rPr>
        <w:t>be scrutinised.</w:t>
      </w:r>
      <w:r>
        <w:rPr>
          <w:w w:val="105"/>
          <w:position w:val="7"/>
          <w:sz w:val="12"/>
        </w:rPr>
        <w:t>28 </w:t>
      </w:r>
      <w:r>
        <w:rPr>
          <w:w w:val="105"/>
          <w:sz w:val="21"/>
        </w:rPr>
        <w:t>Moores Legal </w:t>
      </w:r>
      <w:r>
        <w:rPr>
          <w:spacing w:val="-3"/>
          <w:w w:val="105"/>
          <w:sz w:val="21"/>
        </w:rPr>
        <w:t>reiterated that </w:t>
      </w:r>
      <w:r>
        <w:rPr>
          <w:w w:val="105"/>
          <w:sz w:val="21"/>
        </w:rPr>
        <w:t>courts </w:t>
      </w:r>
      <w:r>
        <w:rPr>
          <w:spacing w:val="-3"/>
          <w:w w:val="105"/>
          <w:sz w:val="21"/>
        </w:rPr>
        <w:t>rarely have </w:t>
      </w:r>
      <w:r>
        <w:rPr>
          <w:w w:val="105"/>
          <w:sz w:val="21"/>
        </w:rPr>
        <w:t>the opportunity </w:t>
      </w:r>
      <w:r>
        <w:rPr>
          <w:spacing w:val="-3"/>
          <w:w w:val="105"/>
          <w:sz w:val="21"/>
        </w:rPr>
        <w:t>to examine </w:t>
      </w:r>
      <w:r>
        <w:rPr>
          <w:w w:val="105"/>
          <w:sz w:val="21"/>
        </w:rPr>
        <w:t>the parties’ costs and </w:t>
      </w:r>
      <w:r>
        <w:rPr>
          <w:spacing w:val="-4"/>
          <w:w w:val="105"/>
          <w:sz w:val="21"/>
        </w:rPr>
        <w:t>make </w:t>
      </w:r>
      <w:r>
        <w:rPr>
          <w:w w:val="105"/>
          <w:sz w:val="21"/>
        </w:rPr>
        <w:t>a </w:t>
      </w:r>
      <w:r>
        <w:rPr>
          <w:spacing w:val="-3"/>
          <w:w w:val="105"/>
          <w:sz w:val="21"/>
        </w:rPr>
        <w:t>determination </w:t>
      </w:r>
      <w:r>
        <w:rPr>
          <w:w w:val="105"/>
          <w:sz w:val="21"/>
        </w:rPr>
        <w:t>about whether they </w:t>
      </w:r>
      <w:r>
        <w:rPr>
          <w:spacing w:val="-3"/>
          <w:w w:val="105"/>
          <w:sz w:val="21"/>
        </w:rPr>
        <w:t>are reasonable </w:t>
      </w:r>
      <w:r>
        <w:rPr>
          <w:w w:val="105"/>
          <w:sz w:val="21"/>
        </w:rPr>
        <w:t>and proportionate.</w:t>
      </w:r>
      <w:r>
        <w:rPr>
          <w:w w:val="105"/>
          <w:position w:val="7"/>
          <w:sz w:val="12"/>
        </w:rPr>
        <w:t>29 </w:t>
      </w:r>
      <w:r>
        <w:rPr>
          <w:w w:val="105"/>
          <w:sz w:val="21"/>
        </w:rPr>
        <w:t>A member of the </w:t>
      </w:r>
      <w:r>
        <w:rPr>
          <w:spacing w:val="-4"/>
          <w:w w:val="105"/>
          <w:sz w:val="21"/>
        </w:rPr>
        <w:t>Commission’s </w:t>
      </w:r>
      <w:r>
        <w:rPr>
          <w:spacing w:val="-3"/>
          <w:w w:val="105"/>
          <w:sz w:val="21"/>
        </w:rPr>
        <w:t>succession </w:t>
      </w:r>
      <w:r>
        <w:rPr>
          <w:w w:val="105"/>
          <w:sz w:val="21"/>
        </w:rPr>
        <w:t>laws advisory committee </w:t>
      </w:r>
      <w:r>
        <w:rPr>
          <w:spacing w:val="-3"/>
          <w:w w:val="105"/>
          <w:sz w:val="21"/>
        </w:rPr>
        <w:t>noted that, </w:t>
      </w:r>
      <w:r>
        <w:rPr>
          <w:w w:val="105"/>
          <w:sz w:val="21"/>
        </w:rPr>
        <w:t>because the court does </w:t>
      </w:r>
      <w:r>
        <w:rPr>
          <w:spacing w:val="-2"/>
          <w:w w:val="105"/>
          <w:sz w:val="21"/>
        </w:rPr>
        <w:t>not </w:t>
      </w:r>
      <w:r>
        <w:rPr>
          <w:spacing w:val="-3"/>
          <w:w w:val="105"/>
          <w:sz w:val="21"/>
        </w:rPr>
        <w:t>have control </w:t>
      </w:r>
      <w:r>
        <w:rPr>
          <w:w w:val="105"/>
          <w:sz w:val="21"/>
        </w:rPr>
        <w:t>over</w:t>
      </w:r>
      <w:r>
        <w:rPr>
          <w:spacing w:val="-14"/>
          <w:w w:val="105"/>
          <w:sz w:val="21"/>
        </w:rPr>
        <w:t> </w:t>
      </w:r>
      <w:r>
        <w:rPr>
          <w:w w:val="105"/>
          <w:sz w:val="21"/>
        </w:rPr>
        <w:t>costs</w:t>
      </w:r>
      <w:r>
        <w:rPr>
          <w:spacing w:val="-14"/>
          <w:w w:val="105"/>
          <w:sz w:val="21"/>
        </w:rPr>
        <w:t> </w:t>
      </w:r>
      <w:r>
        <w:rPr>
          <w:w w:val="105"/>
          <w:sz w:val="21"/>
        </w:rPr>
        <w:t>at</w:t>
      </w:r>
      <w:r>
        <w:rPr>
          <w:spacing w:val="-14"/>
          <w:w w:val="105"/>
          <w:sz w:val="21"/>
        </w:rPr>
        <w:t> </w:t>
      </w:r>
      <w:r>
        <w:rPr>
          <w:w w:val="105"/>
          <w:sz w:val="21"/>
        </w:rPr>
        <w:t>the</w:t>
      </w:r>
      <w:r>
        <w:rPr>
          <w:spacing w:val="-13"/>
          <w:w w:val="105"/>
          <w:sz w:val="21"/>
        </w:rPr>
        <w:t> </w:t>
      </w:r>
      <w:r>
        <w:rPr>
          <w:w w:val="105"/>
          <w:sz w:val="21"/>
        </w:rPr>
        <w:t>point</w:t>
      </w:r>
      <w:r>
        <w:rPr>
          <w:spacing w:val="-14"/>
          <w:w w:val="105"/>
          <w:sz w:val="21"/>
        </w:rPr>
        <w:t> </w:t>
      </w:r>
      <w:r>
        <w:rPr>
          <w:w w:val="105"/>
          <w:sz w:val="21"/>
        </w:rPr>
        <w:t>of</w:t>
      </w:r>
      <w:r>
        <w:rPr>
          <w:spacing w:val="-14"/>
          <w:w w:val="105"/>
          <w:sz w:val="21"/>
        </w:rPr>
        <w:t> </w:t>
      </w:r>
      <w:r>
        <w:rPr>
          <w:spacing w:val="-3"/>
          <w:w w:val="105"/>
          <w:sz w:val="21"/>
        </w:rPr>
        <w:t>mediation,</w:t>
      </w:r>
      <w:r>
        <w:rPr>
          <w:spacing w:val="-14"/>
          <w:w w:val="105"/>
          <w:sz w:val="21"/>
        </w:rPr>
        <w:t> </w:t>
      </w:r>
      <w:r>
        <w:rPr>
          <w:w w:val="105"/>
          <w:sz w:val="21"/>
        </w:rPr>
        <w:t>practitioners</w:t>
      </w:r>
      <w:r>
        <w:rPr>
          <w:spacing w:val="-13"/>
          <w:w w:val="105"/>
          <w:sz w:val="21"/>
        </w:rPr>
        <w:t> </w:t>
      </w:r>
      <w:r>
        <w:rPr>
          <w:w w:val="105"/>
          <w:sz w:val="21"/>
        </w:rPr>
        <w:t>often</w:t>
      </w:r>
      <w:r>
        <w:rPr>
          <w:spacing w:val="-14"/>
          <w:w w:val="105"/>
          <w:sz w:val="21"/>
        </w:rPr>
        <w:t> </w:t>
      </w:r>
      <w:r>
        <w:rPr>
          <w:w w:val="105"/>
          <w:sz w:val="21"/>
        </w:rPr>
        <w:t>grossly</w:t>
      </w:r>
      <w:r>
        <w:rPr>
          <w:spacing w:val="-14"/>
          <w:w w:val="105"/>
          <w:sz w:val="21"/>
        </w:rPr>
        <w:t> </w:t>
      </w:r>
      <w:r>
        <w:rPr>
          <w:spacing w:val="-3"/>
          <w:w w:val="105"/>
          <w:sz w:val="21"/>
        </w:rPr>
        <w:t>overestimate</w:t>
      </w:r>
      <w:r>
        <w:rPr>
          <w:spacing w:val="-13"/>
          <w:w w:val="105"/>
          <w:sz w:val="21"/>
        </w:rPr>
        <w:t> </w:t>
      </w:r>
      <w:r>
        <w:rPr>
          <w:w w:val="105"/>
          <w:sz w:val="21"/>
        </w:rPr>
        <w:t>their</w:t>
      </w:r>
      <w:r>
        <w:rPr>
          <w:spacing w:val="-14"/>
          <w:w w:val="105"/>
          <w:sz w:val="21"/>
        </w:rPr>
        <w:t> </w:t>
      </w:r>
      <w:r>
        <w:rPr>
          <w:w w:val="105"/>
          <w:sz w:val="21"/>
        </w:rPr>
        <w:t>costs</w:t>
      </w:r>
      <w:r>
        <w:rPr>
          <w:spacing w:val="-14"/>
          <w:w w:val="105"/>
          <w:sz w:val="21"/>
        </w:rPr>
        <w:t> </w:t>
      </w:r>
      <w:r>
        <w:rPr>
          <w:w w:val="105"/>
          <w:sz w:val="21"/>
        </w:rPr>
        <w:t>at this stage.</w:t>
      </w:r>
      <w:r>
        <w:rPr>
          <w:w w:val="105"/>
          <w:position w:val="7"/>
          <w:sz w:val="12"/>
        </w:rPr>
        <w:t>30  </w:t>
      </w:r>
      <w:r>
        <w:rPr>
          <w:spacing w:val="-4"/>
          <w:w w:val="105"/>
          <w:sz w:val="21"/>
        </w:rPr>
        <w:t>Additionally, </w:t>
      </w:r>
      <w:r>
        <w:rPr>
          <w:w w:val="105"/>
          <w:sz w:val="21"/>
        </w:rPr>
        <w:t>one </w:t>
      </w:r>
      <w:r>
        <w:rPr>
          <w:spacing w:val="-3"/>
          <w:w w:val="105"/>
          <w:sz w:val="21"/>
        </w:rPr>
        <w:t>submission from </w:t>
      </w:r>
      <w:r>
        <w:rPr>
          <w:w w:val="105"/>
          <w:sz w:val="21"/>
        </w:rPr>
        <w:t>a member of the </w:t>
      </w:r>
      <w:r>
        <w:rPr>
          <w:spacing w:val="-3"/>
          <w:w w:val="105"/>
          <w:sz w:val="21"/>
        </w:rPr>
        <w:t>public noted that </w:t>
      </w:r>
      <w:r>
        <w:rPr>
          <w:w w:val="105"/>
          <w:sz w:val="21"/>
        </w:rPr>
        <w:t>where a</w:t>
      </w:r>
      <w:r>
        <w:rPr>
          <w:spacing w:val="-4"/>
          <w:w w:val="105"/>
          <w:sz w:val="21"/>
        </w:rPr>
        <w:t> </w:t>
      </w:r>
      <w:r>
        <w:rPr>
          <w:spacing w:val="-3"/>
          <w:w w:val="105"/>
          <w:sz w:val="21"/>
        </w:rPr>
        <w:t>family</w:t>
      </w:r>
      <w:r>
        <w:rPr>
          <w:spacing w:val="-4"/>
          <w:w w:val="105"/>
          <w:sz w:val="21"/>
        </w:rPr>
        <w:t> </w:t>
      </w:r>
      <w:r>
        <w:rPr>
          <w:w w:val="105"/>
          <w:sz w:val="21"/>
        </w:rPr>
        <w:t>is</w:t>
      </w:r>
      <w:r>
        <w:rPr>
          <w:spacing w:val="-4"/>
          <w:w w:val="105"/>
          <w:sz w:val="21"/>
        </w:rPr>
        <w:t> </w:t>
      </w:r>
      <w:r>
        <w:rPr>
          <w:w w:val="105"/>
          <w:sz w:val="21"/>
        </w:rPr>
        <w:t>‘fractured</w:t>
      </w:r>
      <w:r>
        <w:rPr>
          <w:spacing w:val="-4"/>
          <w:w w:val="105"/>
          <w:sz w:val="21"/>
        </w:rPr>
        <w:t> </w:t>
      </w:r>
      <w:r>
        <w:rPr>
          <w:w w:val="105"/>
          <w:sz w:val="21"/>
        </w:rPr>
        <w:t>or</w:t>
      </w:r>
      <w:r>
        <w:rPr>
          <w:spacing w:val="-4"/>
          <w:w w:val="105"/>
          <w:sz w:val="21"/>
        </w:rPr>
        <w:t> </w:t>
      </w:r>
      <w:r>
        <w:rPr>
          <w:w w:val="105"/>
          <w:sz w:val="21"/>
        </w:rPr>
        <w:t>dysfunctional’</w:t>
      </w:r>
      <w:r>
        <w:rPr>
          <w:spacing w:val="-4"/>
          <w:w w:val="105"/>
          <w:sz w:val="21"/>
        </w:rPr>
        <w:t> </w:t>
      </w:r>
      <w:r>
        <w:rPr>
          <w:w w:val="105"/>
          <w:sz w:val="21"/>
        </w:rPr>
        <w:t>parties</w:t>
      </w:r>
      <w:r>
        <w:rPr>
          <w:spacing w:val="-4"/>
          <w:w w:val="105"/>
          <w:sz w:val="21"/>
        </w:rPr>
        <w:t> </w:t>
      </w:r>
      <w:r>
        <w:rPr>
          <w:spacing w:val="-3"/>
          <w:w w:val="105"/>
          <w:sz w:val="21"/>
        </w:rPr>
        <w:t>may</w:t>
      </w:r>
      <w:r>
        <w:rPr>
          <w:spacing w:val="-4"/>
          <w:w w:val="105"/>
          <w:sz w:val="21"/>
        </w:rPr>
        <w:t> </w:t>
      </w:r>
      <w:r>
        <w:rPr>
          <w:spacing w:val="-2"/>
          <w:w w:val="105"/>
          <w:sz w:val="21"/>
        </w:rPr>
        <w:t>not</w:t>
      </w:r>
      <w:r>
        <w:rPr>
          <w:spacing w:val="-4"/>
          <w:w w:val="105"/>
          <w:sz w:val="21"/>
        </w:rPr>
        <w:t> </w:t>
      </w:r>
      <w:r>
        <w:rPr>
          <w:w w:val="105"/>
          <w:sz w:val="21"/>
        </w:rPr>
        <w:t>care</w:t>
      </w:r>
      <w:r>
        <w:rPr>
          <w:spacing w:val="-4"/>
          <w:w w:val="105"/>
          <w:sz w:val="21"/>
        </w:rPr>
        <w:t> </w:t>
      </w:r>
      <w:r>
        <w:rPr>
          <w:w w:val="105"/>
          <w:sz w:val="21"/>
        </w:rPr>
        <w:t>about</w:t>
      </w:r>
      <w:r>
        <w:rPr>
          <w:spacing w:val="-4"/>
          <w:w w:val="105"/>
          <w:sz w:val="21"/>
        </w:rPr>
        <w:t> </w:t>
      </w:r>
      <w:r>
        <w:rPr>
          <w:w w:val="105"/>
          <w:sz w:val="21"/>
        </w:rPr>
        <w:t>costs</w:t>
      </w:r>
      <w:r>
        <w:rPr>
          <w:spacing w:val="-4"/>
          <w:w w:val="105"/>
          <w:sz w:val="21"/>
        </w:rPr>
        <w:t> </w:t>
      </w:r>
      <w:r>
        <w:rPr>
          <w:spacing w:val="-3"/>
          <w:w w:val="105"/>
          <w:sz w:val="21"/>
        </w:rPr>
        <w:t>ramifications,</w:t>
      </w:r>
    </w:p>
    <w:p>
      <w:pPr>
        <w:pStyle w:val="BodyText"/>
        <w:spacing w:before="12"/>
        <w:ind w:left="2381"/>
        <w:rPr>
          <w:sz w:val="12"/>
        </w:rPr>
      </w:pPr>
      <w:r>
        <w:rPr>
          <w:w w:val="105"/>
        </w:rPr>
        <w:t>‘in fact they delight in them’.</w:t>
      </w:r>
      <w:r>
        <w:rPr>
          <w:w w:val="105"/>
          <w:position w:val="7"/>
          <w:sz w:val="12"/>
        </w:rPr>
        <w:t>31</w:t>
      </w:r>
    </w:p>
    <w:p>
      <w:pPr>
        <w:pStyle w:val="ListParagraph"/>
        <w:numPr>
          <w:ilvl w:val="1"/>
          <w:numId w:val="22"/>
        </w:numPr>
        <w:tabs>
          <w:tab w:pos="2381" w:val="left" w:leader="none"/>
          <w:tab w:pos="2382" w:val="left" w:leader="none"/>
        </w:tabs>
        <w:spacing w:line="242" w:lineRule="auto" w:before="124" w:after="0"/>
        <w:ind w:left="2381" w:right="1696" w:hanging="794"/>
        <w:jc w:val="left"/>
        <w:rPr>
          <w:sz w:val="21"/>
        </w:rPr>
      </w:pPr>
      <w:r>
        <w:rPr>
          <w:spacing w:val="-3"/>
          <w:w w:val="105"/>
          <w:sz w:val="21"/>
        </w:rPr>
        <w:t>The </w:t>
      </w:r>
      <w:r>
        <w:rPr>
          <w:spacing w:val="-6"/>
          <w:w w:val="105"/>
          <w:sz w:val="21"/>
        </w:rPr>
        <w:t>Commercial </w:t>
      </w:r>
      <w:r>
        <w:rPr>
          <w:spacing w:val="-4"/>
          <w:w w:val="105"/>
          <w:sz w:val="21"/>
        </w:rPr>
        <w:t>Bar Association </w:t>
      </w:r>
      <w:r>
        <w:rPr>
          <w:spacing w:val="-5"/>
          <w:w w:val="105"/>
          <w:sz w:val="21"/>
        </w:rPr>
        <w:t>noted that </w:t>
      </w:r>
      <w:r>
        <w:rPr>
          <w:spacing w:val="-4"/>
          <w:w w:val="105"/>
          <w:sz w:val="21"/>
        </w:rPr>
        <w:t>the </w:t>
      </w:r>
      <w:r>
        <w:rPr>
          <w:spacing w:val="-6"/>
          <w:w w:val="105"/>
          <w:sz w:val="21"/>
        </w:rPr>
        <w:t>size </w:t>
      </w:r>
      <w:r>
        <w:rPr>
          <w:spacing w:val="-4"/>
          <w:w w:val="105"/>
          <w:sz w:val="21"/>
        </w:rPr>
        <w:t>of the estate </w:t>
      </w:r>
      <w:r>
        <w:rPr>
          <w:spacing w:val="-3"/>
          <w:w w:val="105"/>
          <w:sz w:val="21"/>
        </w:rPr>
        <w:t>is </w:t>
      </w:r>
      <w:r>
        <w:rPr>
          <w:spacing w:val="-5"/>
          <w:w w:val="105"/>
          <w:sz w:val="21"/>
        </w:rPr>
        <w:t>another important factor </w:t>
      </w:r>
      <w:r>
        <w:rPr>
          <w:spacing w:val="-4"/>
          <w:w w:val="105"/>
          <w:sz w:val="21"/>
        </w:rPr>
        <w:t>in </w:t>
      </w:r>
      <w:r>
        <w:rPr>
          <w:spacing w:val="-5"/>
          <w:w w:val="105"/>
          <w:sz w:val="21"/>
        </w:rPr>
        <w:t>decisions </w:t>
      </w:r>
      <w:r>
        <w:rPr>
          <w:spacing w:val="-4"/>
          <w:w w:val="105"/>
          <w:sz w:val="21"/>
        </w:rPr>
        <w:t>made to settle </w:t>
      </w:r>
      <w:r>
        <w:rPr>
          <w:spacing w:val="-6"/>
          <w:w w:val="105"/>
          <w:sz w:val="21"/>
        </w:rPr>
        <w:t>family </w:t>
      </w:r>
      <w:r>
        <w:rPr>
          <w:spacing w:val="-5"/>
          <w:w w:val="105"/>
          <w:sz w:val="21"/>
        </w:rPr>
        <w:t>provision applications.</w:t>
      </w:r>
      <w:r>
        <w:rPr>
          <w:spacing w:val="-5"/>
          <w:w w:val="105"/>
          <w:position w:val="7"/>
          <w:sz w:val="12"/>
        </w:rPr>
        <w:t>32 </w:t>
      </w:r>
      <w:r>
        <w:rPr>
          <w:w w:val="105"/>
          <w:sz w:val="21"/>
        </w:rPr>
        <w:t>A </w:t>
      </w:r>
      <w:r>
        <w:rPr>
          <w:spacing w:val="-5"/>
          <w:w w:val="105"/>
          <w:sz w:val="21"/>
        </w:rPr>
        <w:t>charitable </w:t>
      </w:r>
      <w:r>
        <w:rPr>
          <w:spacing w:val="-4"/>
          <w:w w:val="105"/>
          <w:sz w:val="21"/>
        </w:rPr>
        <w:t>beneficiary expressed the view </w:t>
      </w:r>
      <w:r>
        <w:rPr>
          <w:spacing w:val="-5"/>
          <w:w w:val="105"/>
          <w:sz w:val="21"/>
        </w:rPr>
        <w:t>that </w:t>
      </w:r>
      <w:r>
        <w:rPr>
          <w:spacing w:val="-3"/>
          <w:w w:val="105"/>
          <w:sz w:val="21"/>
        </w:rPr>
        <w:t>it </w:t>
      </w:r>
      <w:r>
        <w:rPr>
          <w:spacing w:val="-5"/>
          <w:w w:val="105"/>
          <w:sz w:val="21"/>
        </w:rPr>
        <w:t>may </w:t>
      </w:r>
      <w:r>
        <w:rPr>
          <w:spacing w:val="-4"/>
          <w:w w:val="105"/>
          <w:sz w:val="21"/>
        </w:rPr>
        <w:t>not </w:t>
      </w:r>
      <w:r>
        <w:rPr>
          <w:w w:val="105"/>
          <w:sz w:val="21"/>
        </w:rPr>
        <w:t>be </w:t>
      </w:r>
      <w:r>
        <w:rPr>
          <w:spacing w:val="-5"/>
          <w:w w:val="105"/>
          <w:sz w:val="21"/>
        </w:rPr>
        <w:t>worthwhile </w:t>
      </w:r>
      <w:r>
        <w:rPr>
          <w:spacing w:val="-4"/>
          <w:w w:val="105"/>
          <w:sz w:val="21"/>
        </w:rPr>
        <w:t>to </w:t>
      </w:r>
      <w:r>
        <w:rPr>
          <w:spacing w:val="-5"/>
          <w:w w:val="105"/>
          <w:sz w:val="21"/>
        </w:rPr>
        <w:t>pursue </w:t>
      </w:r>
      <w:r>
        <w:rPr>
          <w:w w:val="105"/>
          <w:sz w:val="21"/>
        </w:rPr>
        <w:t>a </w:t>
      </w:r>
      <w:r>
        <w:rPr>
          <w:spacing w:val="-5"/>
          <w:w w:val="105"/>
          <w:sz w:val="21"/>
        </w:rPr>
        <w:t>weak </w:t>
      </w:r>
      <w:r>
        <w:rPr>
          <w:spacing w:val="-6"/>
          <w:w w:val="105"/>
          <w:sz w:val="21"/>
        </w:rPr>
        <w:t>claim </w:t>
      </w:r>
      <w:r>
        <w:rPr>
          <w:spacing w:val="-4"/>
          <w:w w:val="105"/>
          <w:sz w:val="21"/>
        </w:rPr>
        <w:t>to </w:t>
      </w:r>
      <w:r>
        <w:rPr>
          <w:spacing w:val="-6"/>
          <w:w w:val="105"/>
          <w:sz w:val="21"/>
        </w:rPr>
        <w:t>trial, </w:t>
      </w:r>
      <w:r>
        <w:rPr>
          <w:spacing w:val="-5"/>
          <w:w w:val="105"/>
          <w:sz w:val="21"/>
        </w:rPr>
        <w:t>because </w:t>
      </w:r>
      <w:r>
        <w:rPr>
          <w:spacing w:val="-4"/>
          <w:w w:val="105"/>
          <w:sz w:val="21"/>
        </w:rPr>
        <w:t>the</w:t>
      </w:r>
      <w:r>
        <w:rPr>
          <w:spacing w:val="-8"/>
          <w:w w:val="105"/>
          <w:sz w:val="21"/>
        </w:rPr>
        <w:t> </w:t>
      </w:r>
      <w:r>
        <w:rPr>
          <w:spacing w:val="-4"/>
          <w:w w:val="105"/>
          <w:sz w:val="21"/>
        </w:rPr>
        <w:t>costs</w:t>
      </w:r>
      <w:r>
        <w:rPr>
          <w:spacing w:val="-8"/>
          <w:w w:val="105"/>
          <w:sz w:val="21"/>
        </w:rPr>
        <w:t> </w:t>
      </w:r>
      <w:r>
        <w:rPr>
          <w:spacing w:val="-4"/>
          <w:w w:val="105"/>
          <w:sz w:val="21"/>
        </w:rPr>
        <w:t>of</w:t>
      </w:r>
      <w:r>
        <w:rPr>
          <w:spacing w:val="-8"/>
          <w:w w:val="105"/>
          <w:sz w:val="21"/>
        </w:rPr>
        <w:t> </w:t>
      </w:r>
      <w:r>
        <w:rPr>
          <w:spacing w:val="-5"/>
          <w:w w:val="105"/>
          <w:sz w:val="21"/>
        </w:rPr>
        <w:t>doing</w:t>
      </w:r>
      <w:r>
        <w:rPr>
          <w:spacing w:val="-7"/>
          <w:w w:val="105"/>
          <w:sz w:val="21"/>
        </w:rPr>
        <w:t> </w:t>
      </w:r>
      <w:r>
        <w:rPr>
          <w:w w:val="105"/>
          <w:sz w:val="21"/>
        </w:rPr>
        <w:t>so</w:t>
      </w:r>
      <w:r>
        <w:rPr>
          <w:spacing w:val="-8"/>
          <w:w w:val="105"/>
          <w:sz w:val="21"/>
        </w:rPr>
        <w:t> </w:t>
      </w:r>
      <w:r>
        <w:rPr>
          <w:spacing w:val="-5"/>
          <w:w w:val="105"/>
          <w:sz w:val="21"/>
        </w:rPr>
        <w:t>would</w:t>
      </w:r>
      <w:r>
        <w:rPr>
          <w:spacing w:val="-8"/>
          <w:w w:val="105"/>
          <w:sz w:val="21"/>
        </w:rPr>
        <w:t> </w:t>
      </w:r>
      <w:r>
        <w:rPr>
          <w:w w:val="105"/>
          <w:sz w:val="21"/>
        </w:rPr>
        <w:t>be</w:t>
      </w:r>
      <w:r>
        <w:rPr>
          <w:spacing w:val="-7"/>
          <w:w w:val="105"/>
          <w:sz w:val="21"/>
        </w:rPr>
        <w:t> </w:t>
      </w:r>
      <w:r>
        <w:rPr>
          <w:spacing w:val="-5"/>
          <w:w w:val="105"/>
          <w:sz w:val="21"/>
        </w:rPr>
        <w:t>exorbitant</w:t>
      </w:r>
      <w:r>
        <w:rPr>
          <w:spacing w:val="-8"/>
          <w:w w:val="105"/>
          <w:sz w:val="21"/>
        </w:rPr>
        <w:t> </w:t>
      </w:r>
      <w:r>
        <w:rPr>
          <w:spacing w:val="-6"/>
          <w:w w:val="105"/>
          <w:sz w:val="21"/>
        </w:rPr>
        <w:t>relative</w:t>
      </w:r>
      <w:r>
        <w:rPr>
          <w:spacing w:val="-8"/>
          <w:w w:val="105"/>
          <w:sz w:val="21"/>
        </w:rPr>
        <w:t> </w:t>
      </w:r>
      <w:r>
        <w:rPr>
          <w:spacing w:val="-4"/>
          <w:w w:val="105"/>
          <w:sz w:val="21"/>
        </w:rPr>
        <w:t>to</w:t>
      </w:r>
      <w:r>
        <w:rPr>
          <w:spacing w:val="-8"/>
          <w:w w:val="105"/>
          <w:sz w:val="21"/>
        </w:rPr>
        <w:t> </w:t>
      </w:r>
      <w:r>
        <w:rPr>
          <w:spacing w:val="-4"/>
          <w:w w:val="105"/>
          <w:sz w:val="21"/>
        </w:rPr>
        <w:t>the</w:t>
      </w:r>
      <w:r>
        <w:rPr>
          <w:spacing w:val="-7"/>
          <w:w w:val="105"/>
          <w:sz w:val="21"/>
        </w:rPr>
        <w:t> </w:t>
      </w:r>
      <w:r>
        <w:rPr>
          <w:spacing w:val="-6"/>
          <w:w w:val="105"/>
          <w:sz w:val="21"/>
        </w:rPr>
        <w:t>size</w:t>
      </w:r>
      <w:r>
        <w:rPr>
          <w:spacing w:val="-8"/>
          <w:w w:val="105"/>
          <w:sz w:val="21"/>
        </w:rPr>
        <w:t> </w:t>
      </w:r>
      <w:r>
        <w:rPr>
          <w:spacing w:val="-4"/>
          <w:w w:val="105"/>
          <w:sz w:val="21"/>
        </w:rPr>
        <w:t>of</w:t>
      </w:r>
      <w:r>
        <w:rPr>
          <w:spacing w:val="-8"/>
          <w:w w:val="105"/>
          <w:sz w:val="21"/>
        </w:rPr>
        <w:t> </w:t>
      </w:r>
      <w:r>
        <w:rPr>
          <w:spacing w:val="-4"/>
          <w:w w:val="105"/>
          <w:sz w:val="21"/>
        </w:rPr>
        <w:t>the</w:t>
      </w:r>
      <w:r>
        <w:rPr>
          <w:spacing w:val="-7"/>
          <w:w w:val="105"/>
          <w:sz w:val="21"/>
        </w:rPr>
        <w:t> </w:t>
      </w:r>
      <w:r>
        <w:rPr>
          <w:spacing w:val="-5"/>
          <w:w w:val="105"/>
          <w:sz w:val="21"/>
        </w:rPr>
        <w:t>estate.</w:t>
      </w:r>
      <w:r>
        <w:rPr>
          <w:spacing w:val="-8"/>
          <w:w w:val="105"/>
          <w:sz w:val="21"/>
        </w:rPr>
        <w:t> </w:t>
      </w:r>
      <w:r>
        <w:rPr>
          <w:spacing w:val="-3"/>
          <w:w w:val="105"/>
          <w:sz w:val="21"/>
        </w:rPr>
        <w:t>The</w:t>
      </w:r>
      <w:r>
        <w:rPr>
          <w:spacing w:val="-8"/>
          <w:w w:val="105"/>
          <w:sz w:val="21"/>
        </w:rPr>
        <w:t> </w:t>
      </w:r>
      <w:r>
        <w:rPr>
          <w:spacing w:val="-3"/>
          <w:w w:val="105"/>
          <w:sz w:val="21"/>
        </w:rPr>
        <w:t>Property</w:t>
      </w:r>
      <w:r>
        <w:rPr>
          <w:spacing w:val="-7"/>
          <w:w w:val="105"/>
          <w:sz w:val="21"/>
        </w:rPr>
        <w:t> </w:t>
      </w:r>
      <w:r>
        <w:rPr>
          <w:spacing w:val="-4"/>
          <w:w w:val="105"/>
          <w:sz w:val="21"/>
        </w:rPr>
        <w:t>and</w:t>
      </w:r>
    </w:p>
    <w:p>
      <w:pPr>
        <w:pStyle w:val="BodyText"/>
        <w:spacing w:line="242" w:lineRule="auto" w:before="4"/>
        <w:ind w:left="2381" w:right="1584"/>
        <w:rPr>
          <w:sz w:val="12"/>
        </w:rPr>
      </w:pPr>
      <w:r>
        <w:rPr>
          <w:spacing w:val="-5"/>
          <w:w w:val="105"/>
        </w:rPr>
        <w:t>Probate </w:t>
      </w:r>
      <w:r>
        <w:rPr>
          <w:spacing w:val="-4"/>
          <w:w w:val="105"/>
        </w:rPr>
        <w:t>Section of the </w:t>
      </w:r>
      <w:r>
        <w:rPr>
          <w:spacing w:val="-6"/>
          <w:w w:val="105"/>
        </w:rPr>
        <w:t>Commercial </w:t>
      </w:r>
      <w:r>
        <w:rPr>
          <w:spacing w:val="-4"/>
          <w:w w:val="105"/>
        </w:rPr>
        <w:t>Bar Association </w:t>
      </w:r>
      <w:r>
        <w:rPr>
          <w:spacing w:val="-5"/>
          <w:w w:val="105"/>
        </w:rPr>
        <w:t>noted that, </w:t>
      </w:r>
      <w:r>
        <w:rPr>
          <w:spacing w:val="-4"/>
          <w:w w:val="105"/>
        </w:rPr>
        <w:t>in the case of </w:t>
      </w:r>
      <w:r>
        <w:rPr>
          <w:spacing w:val="-5"/>
          <w:w w:val="105"/>
        </w:rPr>
        <w:t>smaller estates, settlement </w:t>
      </w:r>
      <w:r>
        <w:rPr>
          <w:spacing w:val="-3"/>
          <w:w w:val="105"/>
        </w:rPr>
        <w:t>is </w:t>
      </w:r>
      <w:r>
        <w:rPr>
          <w:spacing w:val="-6"/>
          <w:w w:val="105"/>
        </w:rPr>
        <w:t>likely </w:t>
      </w:r>
      <w:r>
        <w:rPr>
          <w:spacing w:val="-5"/>
          <w:w w:val="105"/>
        </w:rPr>
        <w:t>where </w:t>
      </w:r>
      <w:r>
        <w:rPr>
          <w:spacing w:val="-3"/>
          <w:w w:val="105"/>
        </w:rPr>
        <w:t>it </w:t>
      </w:r>
      <w:r>
        <w:rPr>
          <w:spacing w:val="-5"/>
          <w:w w:val="105"/>
        </w:rPr>
        <w:t>becomes </w:t>
      </w:r>
      <w:r>
        <w:rPr>
          <w:spacing w:val="-6"/>
          <w:w w:val="105"/>
        </w:rPr>
        <w:t>apparent </w:t>
      </w:r>
      <w:r>
        <w:rPr>
          <w:spacing w:val="-4"/>
          <w:w w:val="105"/>
        </w:rPr>
        <w:t>to the </w:t>
      </w:r>
      <w:r>
        <w:rPr>
          <w:spacing w:val="-6"/>
          <w:w w:val="105"/>
        </w:rPr>
        <w:t>defendant </w:t>
      </w:r>
      <w:r>
        <w:rPr>
          <w:spacing w:val="-5"/>
          <w:w w:val="105"/>
        </w:rPr>
        <w:t>that their </w:t>
      </w:r>
      <w:r>
        <w:rPr>
          <w:spacing w:val="-4"/>
          <w:w w:val="105"/>
        </w:rPr>
        <w:t>net </w:t>
      </w:r>
      <w:r>
        <w:rPr>
          <w:spacing w:val="-6"/>
          <w:w w:val="105"/>
        </w:rPr>
        <w:t>return </w:t>
      </w:r>
      <w:r>
        <w:rPr>
          <w:spacing w:val="-3"/>
          <w:w w:val="105"/>
        </w:rPr>
        <w:t>if </w:t>
      </w:r>
      <w:r>
        <w:rPr>
          <w:spacing w:val="-4"/>
          <w:w w:val="105"/>
        </w:rPr>
        <w:t>the </w:t>
      </w:r>
      <w:r>
        <w:rPr>
          <w:spacing w:val="-5"/>
          <w:w w:val="105"/>
        </w:rPr>
        <w:t>matter proceeds </w:t>
      </w:r>
      <w:r>
        <w:rPr>
          <w:spacing w:val="-4"/>
          <w:w w:val="105"/>
        </w:rPr>
        <w:t>to </w:t>
      </w:r>
      <w:r>
        <w:rPr>
          <w:spacing w:val="-5"/>
          <w:w w:val="105"/>
        </w:rPr>
        <w:t>trial will </w:t>
      </w:r>
      <w:r>
        <w:rPr>
          <w:w w:val="105"/>
        </w:rPr>
        <w:t>be </w:t>
      </w:r>
      <w:r>
        <w:rPr>
          <w:spacing w:val="-3"/>
          <w:w w:val="105"/>
        </w:rPr>
        <w:t>less </w:t>
      </w:r>
      <w:r>
        <w:rPr>
          <w:spacing w:val="-5"/>
          <w:w w:val="105"/>
        </w:rPr>
        <w:t>than </w:t>
      </w:r>
      <w:r>
        <w:rPr>
          <w:spacing w:val="-3"/>
          <w:w w:val="105"/>
        </w:rPr>
        <w:t>an </w:t>
      </w:r>
      <w:r>
        <w:rPr>
          <w:spacing w:val="-5"/>
          <w:w w:val="105"/>
        </w:rPr>
        <w:t>amount that </w:t>
      </w:r>
      <w:r>
        <w:rPr>
          <w:spacing w:val="-4"/>
          <w:w w:val="105"/>
        </w:rPr>
        <w:t>can </w:t>
      </w:r>
      <w:r>
        <w:rPr>
          <w:w w:val="105"/>
        </w:rPr>
        <w:t>be </w:t>
      </w:r>
      <w:r>
        <w:rPr>
          <w:spacing w:val="-5"/>
          <w:w w:val="105"/>
        </w:rPr>
        <w:t>agreed </w:t>
      </w:r>
      <w:r>
        <w:rPr>
          <w:spacing w:val="-4"/>
          <w:w w:val="105"/>
        </w:rPr>
        <w:t>upon </w:t>
      </w:r>
      <w:r>
        <w:rPr>
          <w:spacing w:val="-3"/>
          <w:w w:val="105"/>
        </w:rPr>
        <w:t>at </w:t>
      </w:r>
      <w:r>
        <w:rPr>
          <w:spacing w:val="-6"/>
          <w:w w:val="105"/>
        </w:rPr>
        <w:t>mediation.</w:t>
      </w:r>
      <w:r>
        <w:rPr>
          <w:spacing w:val="-6"/>
          <w:w w:val="105"/>
          <w:position w:val="7"/>
          <w:sz w:val="12"/>
        </w:rPr>
        <w:t>33</w:t>
      </w:r>
    </w:p>
    <w:p>
      <w:pPr>
        <w:pStyle w:val="BodyText"/>
        <w:spacing w:before="1"/>
        <w:rPr>
          <w:sz w:val="10"/>
        </w:rPr>
      </w:pPr>
      <w:r>
        <w:rPr/>
        <w:pict>
          <v:line style="position:absolute;mso-position-horizontal-relative:page;mso-position-vertical-relative:paragraph;z-index:6752;mso-wrap-distance-left:0;mso-wrap-distance-right:0" from="79.370102pt,8.627022pt" to="515.905102pt,8.627022pt" stroked="true" strokeweight="1pt" strokecolor="#f9ceca">
            <v:stroke dashstyle="solid"/>
            <w10:wrap type="topAndBottom"/>
          </v:line>
        </w:pict>
      </w:r>
    </w:p>
    <w:p>
      <w:pPr>
        <w:pStyle w:val="BodyText"/>
        <w:spacing w:before="8"/>
        <w:rPr>
          <w:sz w:val="5"/>
        </w:rPr>
      </w:pPr>
    </w:p>
    <w:p>
      <w:pPr>
        <w:spacing w:after="0"/>
        <w:rPr>
          <w:sz w:val="5"/>
        </w:rPr>
        <w:sectPr>
          <w:pgSz w:w="11910" w:h="16840"/>
          <w:pgMar w:header="805" w:footer="0" w:top="1360" w:bottom="280" w:left="0" w:right="0"/>
        </w:sectPr>
      </w:pPr>
    </w:p>
    <w:p>
      <w:pPr>
        <w:pStyle w:val="ListParagraph"/>
        <w:numPr>
          <w:ilvl w:val="0"/>
          <w:numId w:val="79"/>
        </w:numPr>
        <w:tabs>
          <w:tab w:pos="2380" w:val="left" w:leader="none"/>
          <w:tab w:pos="2382" w:val="left" w:leader="none"/>
        </w:tabs>
        <w:spacing w:line="240" w:lineRule="auto" w:before="48" w:after="0"/>
        <w:ind w:left="2381" w:right="0" w:hanging="794"/>
        <w:jc w:val="left"/>
        <w:rPr>
          <w:sz w:val="13"/>
        </w:rPr>
      </w:pPr>
      <w:r>
        <w:rPr>
          <w:w w:val="105"/>
          <w:sz w:val="13"/>
        </w:rPr>
        <w:t>Submission</w:t>
      </w:r>
      <w:r>
        <w:rPr>
          <w:spacing w:val="5"/>
          <w:w w:val="105"/>
          <w:sz w:val="13"/>
        </w:rPr>
        <w:t> </w:t>
      </w:r>
      <w:r>
        <w:rPr>
          <w:w w:val="105"/>
          <w:sz w:val="13"/>
        </w:rPr>
        <w:t>42b</w:t>
      </w:r>
      <w:r>
        <w:rPr>
          <w:spacing w:val="5"/>
          <w:w w:val="105"/>
          <w:sz w:val="13"/>
        </w:rPr>
        <w:t> </w:t>
      </w:r>
      <w:r>
        <w:rPr>
          <w:w w:val="105"/>
          <w:sz w:val="13"/>
        </w:rPr>
        <w:t>(Arnold</w:t>
      </w:r>
      <w:r>
        <w:rPr>
          <w:spacing w:val="5"/>
          <w:w w:val="105"/>
          <w:sz w:val="13"/>
        </w:rPr>
        <w:t> </w:t>
      </w:r>
      <w:r>
        <w:rPr>
          <w:w w:val="105"/>
          <w:sz w:val="13"/>
        </w:rPr>
        <w:t>Bloch</w:t>
      </w:r>
      <w:r>
        <w:rPr>
          <w:spacing w:val="5"/>
          <w:w w:val="105"/>
          <w:sz w:val="13"/>
        </w:rPr>
        <w:t> </w:t>
      </w:r>
      <w:r>
        <w:rPr>
          <w:w w:val="105"/>
          <w:sz w:val="13"/>
        </w:rPr>
        <w:t>Leibler).</w:t>
      </w:r>
      <w:r>
        <w:rPr>
          <w:spacing w:val="5"/>
          <w:w w:val="105"/>
          <w:sz w:val="13"/>
        </w:rPr>
        <w:t> </w:t>
      </w:r>
      <w:r>
        <w:rPr>
          <w:w w:val="105"/>
          <w:sz w:val="13"/>
        </w:rPr>
        <w:t>See</w:t>
      </w:r>
      <w:r>
        <w:rPr>
          <w:spacing w:val="5"/>
          <w:w w:val="105"/>
          <w:sz w:val="13"/>
        </w:rPr>
        <w:t> </w:t>
      </w:r>
      <w:r>
        <w:rPr>
          <w:w w:val="105"/>
          <w:sz w:val="13"/>
        </w:rPr>
        <w:t>also</w:t>
      </w:r>
      <w:r>
        <w:rPr>
          <w:spacing w:val="5"/>
          <w:w w:val="105"/>
          <w:sz w:val="13"/>
        </w:rPr>
        <w:t> </w:t>
      </w:r>
      <w:r>
        <w:rPr>
          <w:w w:val="105"/>
          <w:sz w:val="13"/>
        </w:rPr>
        <w:t>submission</w:t>
      </w:r>
      <w:r>
        <w:rPr>
          <w:spacing w:val="5"/>
          <w:w w:val="105"/>
          <w:sz w:val="13"/>
        </w:rPr>
        <w:t> </w:t>
      </w:r>
      <w:r>
        <w:rPr>
          <w:w w:val="105"/>
          <w:sz w:val="13"/>
        </w:rPr>
        <w:t>46</w:t>
      </w:r>
      <w:r>
        <w:rPr>
          <w:spacing w:val="5"/>
          <w:w w:val="105"/>
          <w:sz w:val="13"/>
        </w:rPr>
        <w:t> </w:t>
      </w:r>
      <w:r>
        <w:rPr>
          <w:spacing w:val="2"/>
          <w:w w:val="105"/>
          <w:sz w:val="13"/>
        </w:rPr>
        <w:t>(Robert</w:t>
      </w:r>
      <w:r>
        <w:rPr>
          <w:spacing w:val="6"/>
          <w:w w:val="105"/>
          <w:sz w:val="13"/>
        </w:rPr>
        <w:t> </w:t>
      </w:r>
      <w:r>
        <w:rPr>
          <w:w w:val="105"/>
          <w:sz w:val="13"/>
        </w:rPr>
        <w:t>Cornall</w:t>
      </w:r>
      <w:r>
        <w:rPr>
          <w:spacing w:val="5"/>
          <w:w w:val="105"/>
          <w:sz w:val="13"/>
        </w:rPr>
        <w:t> </w:t>
      </w:r>
      <w:r>
        <w:rPr>
          <w:spacing w:val="2"/>
          <w:w w:val="105"/>
          <w:sz w:val="13"/>
        </w:rPr>
        <w:t>AO).</w:t>
      </w:r>
    </w:p>
    <w:p>
      <w:pPr>
        <w:pStyle w:val="ListParagraph"/>
        <w:numPr>
          <w:ilvl w:val="0"/>
          <w:numId w:val="79"/>
        </w:numPr>
        <w:tabs>
          <w:tab w:pos="2380" w:val="left" w:leader="none"/>
          <w:tab w:pos="2382" w:val="left" w:leader="none"/>
        </w:tabs>
        <w:spacing w:line="240" w:lineRule="auto" w:before="1" w:after="0"/>
        <w:ind w:left="2381" w:right="0" w:hanging="794"/>
        <w:jc w:val="left"/>
        <w:rPr>
          <w:sz w:val="13"/>
        </w:rPr>
      </w:pPr>
      <w:r>
        <w:rPr>
          <w:w w:val="105"/>
          <w:sz w:val="13"/>
        </w:rPr>
        <w:t>Submission 33 (State Trustees</w:t>
      </w:r>
      <w:r>
        <w:rPr>
          <w:spacing w:val="17"/>
          <w:w w:val="105"/>
          <w:sz w:val="13"/>
        </w:rPr>
        <w:t> </w:t>
      </w:r>
      <w:r>
        <w:rPr>
          <w:w w:val="105"/>
          <w:sz w:val="13"/>
        </w:rPr>
        <w:t>Limited).</w:t>
      </w:r>
    </w:p>
    <w:p>
      <w:pPr>
        <w:pStyle w:val="ListParagraph"/>
        <w:numPr>
          <w:ilvl w:val="0"/>
          <w:numId w:val="79"/>
        </w:numPr>
        <w:tabs>
          <w:tab w:pos="2380" w:val="left" w:leader="none"/>
          <w:tab w:pos="2382" w:val="left" w:leader="none"/>
        </w:tabs>
        <w:spacing w:line="240" w:lineRule="auto" w:before="2" w:after="0"/>
        <w:ind w:left="2381" w:right="0" w:hanging="794"/>
        <w:jc w:val="left"/>
        <w:rPr>
          <w:sz w:val="13"/>
        </w:rPr>
      </w:pPr>
      <w:r>
        <w:rPr>
          <w:w w:val="105"/>
          <w:sz w:val="13"/>
        </w:rPr>
        <w:t>Submission</w:t>
      </w:r>
      <w:r>
        <w:rPr>
          <w:spacing w:val="4"/>
          <w:w w:val="105"/>
          <w:sz w:val="13"/>
        </w:rPr>
        <w:t> </w:t>
      </w:r>
      <w:r>
        <w:rPr>
          <w:w w:val="105"/>
          <w:sz w:val="13"/>
        </w:rPr>
        <w:t>30a</w:t>
      </w:r>
      <w:r>
        <w:rPr>
          <w:spacing w:val="4"/>
          <w:w w:val="105"/>
          <w:sz w:val="13"/>
        </w:rPr>
        <w:t> </w:t>
      </w:r>
      <w:r>
        <w:rPr>
          <w:spacing w:val="3"/>
          <w:w w:val="105"/>
          <w:sz w:val="13"/>
        </w:rPr>
        <w:t>(Law</w:t>
      </w:r>
      <w:r>
        <w:rPr>
          <w:spacing w:val="4"/>
          <w:w w:val="105"/>
          <w:sz w:val="13"/>
        </w:rPr>
        <w:t> </w:t>
      </w:r>
      <w:r>
        <w:rPr>
          <w:w w:val="105"/>
          <w:sz w:val="13"/>
        </w:rPr>
        <w:t>Institute</w:t>
      </w:r>
      <w:r>
        <w:rPr>
          <w:spacing w:val="5"/>
          <w:w w:val="105"/>
          <w:sz w:val="13"/>
        </w:rPr>
        <w:t> </w:t>
      </w:r>
      <w:r>
        <w:rPr>
          <w:w w:val="105"/>
          <w:sz w:val="13"/>
        </w:rPr>
        <w:t>of</w:t>
      </w:r>
      <w:r>
        <w:rPr>
          <w:spacing w:val="4"/>
          <w:w w:val="105"/>
          <w:sz w:val="13"/>
        </w:rPr>
        <w:t> </w:t>
      </w:r>
      <w:r>
        <w:rPr>
          <w:spacing w:val="2"/>
          <w:w w:val="105"/>
          <w:sz w:val="13"/>
        </w:rPr>
        <w:t>Victoria).</w:t>
      </w:r>
      <w:r>
        <w:rPr>
          <w:spacing w:val="4"/>
          <w:w w:val="105"/>
          <w:sz w:val="13"/>
        </w:rPr>
        <w:t> </w:t>
      </w:r>
      <w:r>
        <w:rPr>
          <w:w w:val="105"/>
          <w:sz w:val="13"/>
        </w:rPr>
        <w:t>Different</w:t>
      </w:r>
      <w:r>
        <w:rPr>
          <w:spacing w:val="4"/>
          <w:w w:val="105"/>
          <w:sz w:val="13"/>
        </w:rPr>
        <w:t> </w:t>
      </w:r>
      <w:r>
        <w:rPr>
          <w:w w:val="105"/>
          <w:sz w:val="13"/>
        </w:rPr>
        <w:t>measures</w:t>
      </w:r>
      <w:r>
        <w:rPr>
          <w:spacing w:val="5"/>
          <w:w w:val="105"/>
          <w:sz w:val="13"/>
        </w:rPr>
        <w:t> </w:t>
      </w:r>
      <w:r>
        <w:rPr>
          <w:w w:val="105"/>
          <w:sz w:val="13"/>
        </w:rPr>
        <w:t>of</w:t>
      </w:r>
      <w:r>
        <w:rPr>
          <w:spacing w:val="4"/>
          <w:w w:val="105"/>
          <w:sz w:val="13"/>
        </w:rPr>
        <w:t> </w:t>
      </w:r>
      <w:r>
        <w:rPr>
          <w:w w:val="105"/>
          <w:sz w:val="13"/>
        </w:rPr>
        <w:t>costs</w:t>
      </w:r>
      <w:r>
        <w:rPr>
          <w:spacing w:val="4"/>
          <w:w w:val="105"/>
          <w:sz w:val="13"/>
        </w:rPr>
        <w:t> </w:t>
      </w:r>
      <w:r>
        <w:rPr>
          <w:w w:val="105"/>
          <w:sz w:val="13"/>
        </w:rPr>
        <w:t>are</w:t>
      </w:r>
      <w:r>
        <w:rPr>
          <w:spacing w:val="5"/>
          <w:w w:val="105"/>
          <w:sz w:val="13"/>
        </w:rPr>
        <w:t> </w:t>
      </w:r>
      <w:r>
        <w:rPr>
          <w:w w:val="105"/>
          <w:sz w:val="13"/>
        </w:rPr>
        <w:t>discussed</w:t>
      </w:r>
      <w:r>
        <w:rPr>
          <w:spacing w:val="4"/>
          <w:w w:val="105"/>
          <w:sz w:val="13"/>
        </w:rPr>
        <w:t> </w:t>
      </w:r>
      <w:r>
        <w:rPr>
          <w:w w:val="105"/>
          <w:sz w:val="13"/>
        </w:rPr>
        <w:t>below</w:t>
      </w:r>
      <w:r>
        <w:rPr>
          <w:spacing w:val="4"/>
          <w:w w:val="105"/>
          <w:sz w:val="13"/>
        </w:rPr>
        <w:t> </w:t>
      </w:r>
      <w:r>
        <w:rPr>
          <w:w w:val="105"/>
          <w:sz w:val="13"/>
        </w:rPr>
        <w:t>at</w:t>
      </w:r>
      <w:r>
        <w:rPr>
          <w:spacing w:val="4"/>
          <w:w w:val="105"/>
          <w:sz w:val="13"/>
        </w:rPr>
        <w:t> </w:t>
      </w:r>
      <w:r>
        <w:rPr>
          <w:spacing w:val="3"/>
          <w:w w:val="105"/>
          <w:sz w:val="13"/>
        </w:rPr>
        <w:t>[6.88]–[6.120].</w:t>
      </w:r>
    </w:p>
    <w:p>
      <w:pPr>
        <w:pStyle w:val="ListParagraph"/>
        <w:numPr>
          <w:ilvl w:val="0"/>
          <w:numId w:val="79"/>
        </w:numPr>
        <w:tabs>
          <w:tab w:pos="2380" w:val="left" w:leader="none"/>
          <w:tab w:pos="2382" w:val="left" w:leader="none"/>
        </w:tabs>
        <w:spacing w:line="240" w:lineRule="auto" w:before="1" w:after="0"/>
        <w:ind w:left="2381" w:right="0" w:hanging="794"/>
        <w:jc w:val="left"/>
        <w:rPr>
          <w:sz w:val="13"/>
        </w:rPr>
      </w:pPr>
      <w:r>
        <w:rPr>
          <w:w w:val="105"/>
          <w:sz w:val="13"/>
        </w:rPr>
        <w:t>Submission 37 (Supreme Court of</w:t>
      </w:r>
      <w:r>
        <w:rPr>
          <w:spacing w:val="23"/>
          <w:w w:val="105"/>
          <w:sz w:val="13"/>
        </w:rPr>
        <w:t> </w:t>
      </w:r>
      <w:r>
        <w:rPr>
          <w:spacing w:val="2"/>
          <w:w w:val="105"/>
          <w:sz w:val="13"/>
        </w:rPr>
        <w:t>Victoria).</w:t>
      </w:r>
    </w:p>
    <w:p>
      <w:pPr>
        <w:pStyle w:val="ListParagraph"/>
        <w:numPr>
          <w:ilvl w:val="0"/>
          <w:numId w:val="79"/>
        </w:numPr>
        <w:tabs>
          <w:tab w:pos="2380" w:val="left" w:leader="none"/>
          <w:tab w:pos="2382" w:val="left" w:leader="none"/>
        </w:tabs>
        <w:spacing w:line="240" w:lineRule="auto" w:before="1" w:after="0"/>
        <w:ind w:left="2381" w:right="0" w:hanging="794"/>
        <w:jc w:val="left"/>
        <w:rPr>
          <w:sz w:val="13"/>
        </w:rPr>
      </w:pPr>
      <w:r>
        <w:rPr>
          <w:w w:val="105"/>
          <w:sz w:val="13"/>
        </w:rPr>
        <w:t>Submission </w:t>
      </w:r>
      <w:r>
        <w:rPr>
          <w:spacing w:val="-4"/>
          <w:w w:val="105"/>
          <w:sz w:val="13"/>
        </w:rPr>
        <w:t>13 </w:t>
      </w:r>
      <w:r>
        <w:rPr>
          <w:w w:val="105"/>
          <w:sz w:val="13"/>
        </w:rPr>
        <w:t>(David</w:t>
      </w:r>
      <w:r>
        <w:rPr>
          <w:spacing w:val="-9"/>
          <w:w w:val="105"/>
          <w:sz w:val="13"/>
        </w:rPr>
        <w:t> </w:t>
      </w:r>
      <w:r>
        <w:rPr>
          <w:w w:val="105"/>
          <w:sz w:val="13"/>
        </w:rPr>
        <w:t>Shalders).</w:t>
      </w:r>
    </w:p>
    <w:p>
      <w:pPr>
        <w:pStyle w:val="ListParagraph"/>
        <w:numPr>
          <w:ilvl w:val="0"/>
          <w:numId w:val="79"/>
        </w:numPr>
        <w:tabs>
          <w:tab w:pos="2381" w:val="left" w:leader="none"/>
          <w:tab w:pos="2382" w:val="left" w:leader="none"/>
        </w:tabs>
        <w:spacing w:line="240" w:lineRule="auto" w:before="2" w:after="0"/>
        <w:ind w:left="2381" w:right="0" w:hanging="794"/>
        <w:jc w:val="left"/>
        <w:rPr>
          <w:sz w:val="13"/>
        </w:rPr>
      </w:pPr>
      <w:r>
        <w:rPr>
          <w:w w:val="105"/>
          <w:sz w:val="13"/>
        </w:rPr>
        <w:t>Submission</w:t>
      </w:r>
      <w:r>
        <w:rPr>
          <w:spacing w:val="4"/>
          <w:w w:val="105"/>
          <w:sz w:val="13"/>
        </w:rPr>
        <w:t> </w:t>
      </w:r>
      <w:r>
        <w:rPr>
          <w:w w:val="105"/>
          <w:sz w:val="13"/>
        </w:rPr>
        <w:t>25</w:t>
      </w:r>
      <w:r>
        <w:rPr>
          <w:spacing w:val="5"/>
          <w:w w:val="105"/>
          <w:sz w:val="13"/>
        </w:rPr>
        <w:t> </w:t>
      </w:r>
      <w:r>
        <w:rPr>
          <w:spacing w:val="2"/>
          <w:w w:val="105"/>
          <w:sz w:val="13"/>
        </w:rPr>
        <w:t>(Moores</w:t>
      </w:r>
      <w:r>
        <w:rPr>
          <w:spacing w:val="5"/>
          <w:w w:val="105"/>
          <w:sz w:val="13"/>
        </w:rPr>
        <w:t> </w:t>
      </w:r>
      <w:r>
        <w:rPr>
          <w:w w:val="105"/>
          <w:sz w:val="13"/>
        </w:rPr>
        <w:t>Legal).</w:t>
      </w:r>
      <w:r>
        <w:rPr>
          <w:spacing w:val="4"/>
          <w:w w:val="105"/>
          <w:sz w:val="13"/>
        </w:rPr>
        <w:t> </w:t>
      </w:r>
      <w:r>
        <w:rPr>
          <w:w w:val="105"/>
          <w:sz w:val="13"/>
        </w:rPr>
        <w:t>See</w:t>
      </w:r>
      <w:r>
        <w:rPr>
          <w:spacing w:val="5"/>
          <w:w w:val="105"/>
          <w:sz w:val="13"/>
        </w:rPr>
        <w:t> </w:t>
      </w:r>
      <w:r>
        <w:rPr>
          <w:w w:val="105"/>
          <w:sz w:val="13"/>
        </w:rPr>
        <w:t>also</w:t>
      </w:r>
      <w:r>
        <w:rPr>
          <w:spacing w:val="5"/>
          <w:w w:val="105"/>
          <w:sz w:val="13"/>
        </w:rPr>
        <w:t> </w:t>
      </w:r>
      <w:r>
        <w:rPr>
          <w:w w:val="105"/>
          <w:sz w:val="13"/>
        </w:rPr>
        <w:t>submission</w:t>
      </w:r>
      <w:r>
        <w:rPr>
          <w:spacing w:val="5"/>
          <w:w w:val="105"/>
          <w:sz w:val="13"/>
        </w:rPr>
        <w:t> </w:t>
      </w:r>
      <w:r>
        <w:rPr>
          <w:w w:val="105"/>
          <w:sz w:val="13"/>
        </w:rPr>
        <w:t>26</w:t>
      </w:r>
      <w:r>
        <w:rPr>
          <w:spacing w:val="4"/>
          <w:w w:val="105"/>
          <w:sz w:val="13"/>
        </w:rPr>
        <w:t> </w:t>
      </w:r>
      <w:r>
        <w:rPr>
          <w:spacing w:val="2"/>
          <w:w w:val="105"/>
          <w:sz w:val="13"/>
        </w:rPr>
        <w:t>(Rigby</w:t>
      </w:r>
      <w:r>
        <w:rPr>
          <w:spacing w:val="5"/>
          <w:w w:val="105"/>
          <w:sz w:val="13"/>
        </w:rPr>
        <w:t> </w:t>
      </w:r>
      <w:r>
        <w:rPr>
          <w:w w:val="105"/>
          <w:sz w:val="13"/>
        </w:rPr>
        <w:t>Cooke</w:t>
      </w:r>
      <w:r>
        <w:rPr>
          <w:spacing w:val="5"/>
          <w:w w:val="105"/>
          <w:sz w:val="13"/>
        </w:rPr>
        <w:t> </w:t>
      </w:r>
      <w:r>
        <w:rPr>
          <w:spacing w:val="2"/>
          <w:w w:val="105"/>
          <w:sz w:val="13"/>
        </w:rPr>
        <w:t>Lawyers).</w:t>
      </w:r>
    </w:p>
    <w:p>
      <w:pPr>
        <w:pStyle w:val="ListParagraph"/>
        <w:numPr>
          <w:ilvl w:val="0"/>
          <w:numId w:val="79"/>
        </w:numPr>
        <w:tabs>
          <w:tab w:pos="2381" w:val="left" w:leader="none"/>
          <w:tab w:pos="2382" w:val="left" w:leader="none"/>
        </w:tabs>
        <w:spacing w:line="240" w:lineRule="auto" w:before="1" w:after="0"/>
        <w:ind w:left="2381" w:right="0" w:hanging="794"/>
        <w:jc w:val="left"/>
        <w:rPr>
          <w:sz w:val="13"/>
        </w:rPr>
      </w:pPr>
      <w:r>
        <w:rPr>
          <w:w w:val="105"/>
          <w:sz w:val="13"/>
        </w:rPr>
        <w:t>Submission 28 (Cancer Council</w:t>
      </w:r>
      <w:r>
        <w:rPr>
          <w:spacing w:val="18"/>
          <w:w w:val="105"/>
          <w:sz w:val="13"/>
        </w:rPr>
        <w:t> </w:t>
      </w:r>
      <w:r>
        <w:rPr>
          <w:spacing w:val="2"/>
          <w:w w:val="105"/>
          <w:sz w:val="13"/>
        </w:rPr>
        <w:t>Victoria).</w:t>
      </w:r>
    </w:p>
    <w:p>
      <w:pPr>
        <w:pStyle w:val="ListParagraph"/>
        <w:numPr>
          <w:ilvl w:val="0"/>
          <w:numId w:val="79"/>
        </w:numPr>
        <w:tabs>
          <w:tab w:pos="2381" w:val="left" w:leader="none"/>
          <w:tab w:pos="2382" w:val="left" w:leader="none"/>
        </w:tabs>
        <w:spacing w:line="240" w:lineRule="auto" w:before="1" w:after="0"/>
        <w:ind w:left="2381" w:right="0" w:hanging="794"/>
        <w:jc w:val="left"/>
        <w:rPr>
          <w:sz w:val="13"/>
        </w:rPr>
      </w:pPr>
      <w:r>
        <w:rPr>
          <w:sz w:val="13"/>
        </w:rPr>
        <w:t>Ibid.</w:t>
      </w:r>
    </w:p>
    <w:p>
      <w:pPr>
        <w:pStyle w:val="ListParagraph"/>
        <w:numPr>
          <w:ilvl w:val="0"/>
          <w:numId w:val="79"/>
        </w:numPr>
        <w:tabs>
          <w:tab w:pos="2381" w:val="left" w:leader="none"/>
          <w:tab w:pos="2382" w:val="left" w:leader="none"/>
        </w:tabs>
        <w:spacing w:line="240" w:lineRule="auto" w:before="2" w:after="0"/>
        <w:ind w:left="2381" w:right="0" w:hanging="794"/>
        <w:jc w:val="left"/>
        <w:rPr>
          <w:sz w:val="13"/>
        </w:rPr>
      </w:pPr>
      <w:r>
        <w:rPr>
          <w:w w:val="105"/>
          <w:sz w:val="13"/>
        </w:rPr>
        <w:t>Submissions</w:t>
      </w:r>
      <w:r>
        <w:rPr>
          <w:spacing w:val="4"/>
          <w:w w:val="105"/>
          <w:sz w:val="13"/>
        </w:rPr>
        <w:t> </w:t>
      </w:r>
      <w:r>
        <w:rPr>
          <w:spacing w:val="-3"/>
          <w:w w:val="105"/>
          <w:sz w:val="13"/>
        </w:rPr>
        <w:t>14</w:t>
      </w:r>
      <w:r>
        <w:rPr>
          <w:spacing w:val="5"/>
          <w:w w:val="105"/>
          <w:sz w:val="13"/>
        </w:rPr>
        <w:t> </w:t>
      </w:r>
      <w:r>
        <w:rPr>
          <w:w w:val="105"/>
          <w:sz w:val="13"/>
        </w:rPr>
        <w:t>(Commercial</w:t>
      </w:r>
      <w:r>
        <w:rPr>
          <w:spacing w:val="5"/>
          <w:w w:val="105"/>
          <w:sz w:val="13"/>
        </w:rPr>
        <w:t> </w:t>
      </w:r>
      <w:r>
        <w:rPr>
          <w:w w:val="105"/>
          <w:sz w:val="13"/>
        </w:rPr>
        <w:t>Bar</w:t>
      </w:r>
      <w:r>
        <w:rPr>
          <w:spacing w:val="4"/>
          <w:w w:val="105"/>
          <w:sz w:val="13"/>
        </w:rPr>
        <w:t> </w:t>
      </w:r>
      <w:r>
        <w:rPr>
          <w:spacing w:val="2"/>
          <w:w w:val="105"/>
          <w:sz w:val="13"/>
        </w:rPr>
        <w:t>Association);</w:t>
      </w:r>
      <w:r>
        <w:rPr>
          <w:spacing w:val="5"/>
          <w:w w:val="105"/>
          <w:sz w:val="13"/>
        </w:rPr>
        <w:t> </w:t>
      </w:r>
      <w:r>
        <w:rPr>
          <w:w w:val="105"/>
          <w:sz w:val="13"/>
        </w:rPr>
        <w:t>37</w:t>
      </w:r>
      <w:r>
        <w:rPr>
          <w:spacing w:val="5"/>
          <w:w w:val="105"/>
          <w:sz w:val="13"/>
        </w:rPr>
        <w:t> </w:t>
      </w:r>
      <w:r>
        <w:rPr>
          <w:w w:val="105"/>
          <w:sz w:val="13"/>
        </w:rPr>
        <w:t>(Supreme</w:t>
      </w:r>
      <w:r>
        <w:rPr>
          <w:spacing w:val="5"/>
          <w:w w:val="105"/>
          <w:sz w:val="13"/>
        </w:rPr>
        <w:t> </w:t>
      </w:r>
      <w:r>
        <w:rPr>
          <w:w w:val="105"/>
          <w:sz w:val="13"/>
        </w:rPr>
        <w:t>Court</w:t>
      </w:r>
      <w:r>
        <w:rPr>
          <w:spacing w:val="4"/>
          <w:w w:val="105"/>
          <w:sz w:val="13"/>
        </w:rPr>
        <w:t> </w:t>
      </w:r>
      <w:r>
        <w:rPr>
          <w:w w:val="105"/>
          <w:sz w:val="13"/>
        </w:rPr>
        <w:t>of</w:t>
      </w:r>
      <w:r>
        <w:rPr>
          <w:spacing w:val="5"/>
          <w:w w:val="105"/>
          <w:sz w:val="13"/>
        </w:rPr>
        <w:t> </w:t>
      </w:r>
      <w:r>
        <w:rPr>
          <w:spacing w:val="2"/>
          <w:w w:val="105"/>
          <w:sz w:val="13"/>
        </w:rPr>
        <w:t>Victoria).</w:t>
      </w:r>
    </w:p>
    <w:p>
      <w:pPr>
        <w:pStyle w:val="ListParagraph"/>
        <w:numPr>
          <w:ilvl w:val="0"/>
          <w:numId w:val="79"/>
        </w:numPr>
        <w:tabs>
          <w:tab w:pos="2381" w:val="left" w:leader="none"/>
          <w:tab w:pos="2382" w:val="left" w:leader="none"/>
        </w:tabs>
        <w:spacing w:line="240" w:lineRule="auto" w:before="1" w:after="0"/>
        <w:ind w:left="2381" w:right="0" w:hanging="794"/>
        <w:jc w:val="left"/>
        <w:rPr>
          <w:sz w:val="13"/>
        </w:rPr>
      </w:pPr>
      <w:r>
        <w:rPr>
          <w:w w:val="105"/>
          <w:sz w:val="13"/>
        </w:rPr>
        <w:t>Submission</w:t>
      </w:r>
      <w:r>
        <w:rPr>
          <w:spacing w:val="5"/>
          <w:w w:val="105"/>
          <w:sz w:val="13"/>
        </w:rPr>
        <w:t> </w:t>
      </w:r>
      <w:r>
        <w:rPr>
          <w:w w:val="105"/>
          <w:sz w:val="13"/>
        </w:rPr>
        <w:t>37</w:t>
      </w:r>
      <w:r>
        <w:rPr>
          <w:spacing w:val="5"/>
          <w:w w:val="105"/>
          <w:sz w:val="13"/>
        </w:rPr>
        <w:t> </w:t>
      </w:r>
      <w:r>
        <w:rPr>
          <w:w w:val="105"/>
          <w:sz w:val="13"/>
        </w:rPr>
        <w:t>(Supreme</w:t>
      </w:r>
      <w:r>
        <w:rPr>
          <w:spacing w:val="5"/>
          <w:w w:val="105"/>
          <w:sz w:val="13"/>
        </w:rPr>
        <w:t> </w:t>
      </w:r>
      <w:r>
        <w:rPr>
          <w:w w:val="105"/>
          <w:sz w:val="13"/>
        </w:rPr>
        <w:t>Court</w:t>
      </w:r>
      <w:r>
        <w:rPr>
          <w:spacing w:val="5"/>
          <w:w w:val="105"/>
          <w:sz w:val="13"/>
        </w:rPr>
        <w:t> </w:t>
      </w:r>
      <w:r>
        <w:rPr>
          <w:w w:val="105"/>
          <w:sz w:val="13"/>
        </w:rPr>
        <w:t>of</w:t>
      </w:r>
      <w:r>
        <w:rPr>
          <w:spacing w:val="5"/>
          <w:w w:val="105"/>
          <w:sz w:val="13"/>
        </w:rPr>
        <w:t> </w:t>
      </w:r>
      <w:r>
        <w:rPr>
          <w:spacing w:val="2"/>
          <w:w w:val="105"/>
          <w:sz w:val="13"/>
        </w:rPr>
        <w:t>Victoria).</w:t>
      </w:r>
      <w:r>
        <w:rPr>
          <w:spacing w:val="6"/>
          <w:w w:val="105"/>
          <w:sz w:val="13"/>
        </w:rPr>
        <w:t> </w:t>
      </w:r>
      <w:r>
        <w:rPr>
          <w:w w:val="105"/>
          <w:sz w:val="13"/>
        </w:rPr>
        <w:t>Different</w:t>
      </w:r>
      <w:r>
        <w:rPr>
          <w:spacing w:val="5"/>
          <w:w w:val="105"/>
          <w:sz w:val="13"/>
        </w:rPr>
        <w:t> </w:t>
      </w:r>
      <w:r>
        <w:rPr>
          <w:w w:val="105"/>
          <w:sz w:val="13"/>
        </w:rPr>
        <w:t>measures</w:t>
      </w:r>
      <w:r>
        <w:rPr>
          <w:spacing w:val="5"/>
          <w:w w:val="105"/>
          <w:sz w:val="13"/>
        </w:rPr>
        <w:t> </w:t>
      </w:r>
      <w:r>
        <w:rPr>
          <w:w w:val="105"/>
          <w:sz w:val="13"/>
        </w:rPr>
        <w:t>of</w:t>
      </w:r>
      <w:r>
        <w:rPr>
          <w:spacing w:val="5"/>
          <w:w w:val="105"/>
          <w:sz w:val="13"/>
        </w:rPr>
        <w:t> </w:t>
      </w:r>
      <w:r>
        <w:rPr>
          <w:w w:val="105"/>
          <w:sz w:val="13"/>
        </w:rPr>
        <w:t>costs</w:t>
      </w:r>
      <w:r>
        <w:rPr>
          <w:spacing w:val="5"/>
          <w:w w:val="105"/>
          <w:sz w:val="13"/>
        </w:rPr>
        <w:t> </w:t>
      </w:r>
      <w:r>
        <w:rPr>
          <w:w w:val="105"/>
          <w:sz w:val="13"/>
        </w:rPr>
        <w:t>are</w:t>
      </w:r>
      <w:r>
        <w:rPr>
          <w:spacing w:val="6"/>
          <w:w w:val="105"/>
          <w:sz w:val="13"/>
        </w:rPr>
        <w:t> </w:t>
      </w:r>
      <w:r>
        <w:rPr>
          <w:w w:val="105"/>
          <w:sz w:val="13"/>
        </w:rPr>
        <w:t>discussed</w:t>
      </w:r>
      <w:r>
        <w:rPr>
          <w:spacing w:val="5"/>
          <w:w w:val="105"/>
          <w:sz w:val="13"/>
        </w:rPr>
        <w:t> </w:t>
      </w:r>
      <w:r>
        <w:rPr>
          <w:w w:val="105"/>
          <w:sz w:val="13"/>
        </w:rPr>
        <w:t>below</w:t>
      </w:r>
      <w:r>
        <w:rPr>
          <w:spacing w:val="5"/>
          <w:w w:val="105"/>
          <w:sz w:val="13"/>
        </w:rPr>
        <w:t> </w:t>
      </w:r>
      <w:r>
        <w:rPr>
          <w:w w:val="105"/>
          <w:sz w:val="13"/>
        </w:rPr>
        <w:t>at</w:t>
      </w:r>
      <w:r>
        <w:rPr>
          <w:spacing w:val="5"/>
          <w:w w:val="105"/>
          <w:sz w:val="13"/>
        </w:rPr>
        <w:t> </w:t>
      </w:r>
      <w:r>
        <w:rPr>
          <w:spacing w:val="3"/>
          <w:w w:val="105"/>
          <w:sz w:val="13"/>
        </w:rPr>
        <w:t>[6.88]–[6.120].</w:t>
      </w:r>
    </w:p>
    <w:p>
      <w:pPr>
        <w:pStyle w:val="ListParagraph"/>
        <w:numPr>
          <w:ilvl w:val="0"/>
          <w:numId w:val="79"/>
        </w:numPr>
        <w:tabs>
          <w:tab w:pos="2381" w:val="left" w:leader="none"/>
          <w:tab w:pos="2382" w:val="left" w:leader="none"/>
        </w:tabs>
        <w:spacing w:line="240" w:lineRule="auto" w:before="1" w:after="0"/>
        <w:ind w:left="2381" w:right="0" w:hanging="794"/>
        <w:jc w:val="left"/>
        <w:rPr>
          <w:sz w:val="13"/>
        </w:rPr>
      </w:pPr>
      <w:r>
        <w:rPr>
          <w:w w:val="105"/>
          <w:sz w:val="13"/>
        </w:rPr>
        <w:t>Submission 25 </w:t>
      </w:r>
      <w:r>
        <w:rPr>
          <w:spacing w:val="2"/>
          <w:w w:val="105"/>
          <w:sz w:val="13"/>
        </w:rPr>
        <w:t>(Moores</w:t>
      </w:r>
      <w:r>
        <w:rPr>
          <w:spacing w:val="13"/>
          <w:w w:val="105"/>
          <w:sz w:val="13"/>
        </w:rPr>
        <w:t> </w:t>
      </w:r>
      <w:r>
        <w:rPr>
          <w:w w:val="105"/>
          <w:sz w:val="13"/>
        </w:rPr>
        <w:t>Legal).</w:t>
      </w:r>
    </w:p>
    <w:p>
      <w:pPr>
        <w:pStyle w:val="ListParagraph"/>
        <w:numPr>
          <w:ilvl w:val="0"/>
          <w:numId w:val="79"/>
        </w:numPr>
        <w:tabs>
          <w:tab w:pos="2381" w:val="left" w:leader="none"/>
          <w:tab w:pos="2382" w:val="left" w:leader="none"/>
        </w:tabs>
        <w:spacing w:line="240" w:lineRule="auto" w:before="2" w:after="0"/>
        <w:ind w:left="2381" w:right="0" w:hanging="794"/>
        <w:jc w:val="left"/>
        <w:rPr>
          <w:sz w:val="13"/>
        </w:rPr>
      </w:pPr>
      <w:r>
        <w:rPr>
          <w:w w:val="105"/>
          <w:sz w:val="13"/>
        </w:rPr>
        <w:t>Advisory Committee (Meeting</w:t>
      </w:r>
      <w:r>
        <w:rPr>
          <w:spacing w:val="14"/>
          <w:w w:val="105"/>
          <w:sz w:val="13"/>
        </w:rPr>
        <w:t> </w:t>
      </w:r>
      <w:r>
        <w:rPr>
          <w:spacing w:val="3"/>
          <w:w w:val="105"/>
          <w:sz w:val="13"/>
        </w:rPr>
        <w:t>4).</w:t>
      </w:r>
    </w:p>
    <w:p>
      <w:pPr>
        <w:pStyle w:val="ListParagraph"/>
        <w:numPr>
          <w:ilvl w:val="0"/>
          <w:numId w:val="79"/>
        </w:numPr>
        <w:tabs>
          <w:tab w:pos="2381" w:val="left" w:leader="none"/>
          <w:tab w:pos="2382" w:val="left" w:leader="none"/>
        </w:tabs>
        <w:spacing w:line="240" w:lineRule="auto" w:before="1" w:after="0"/>
        <w:ind w:left="2381" w:right="0" w:hanging="794"/>
        <w:jc w:val="left"/>
        <w:rPr>
          <w:sz w:val="13"/>
        </w:rPr>
      </w:pPr>
      <w:r>
        <w:rPr>
          <w:w w:val="105"/>
          <w:sz w:val="13"/>
        </w:rPr>
        <w:t>Submission </w:t>
      </w:r>
      <w:r>
        <w:rPr>
          <w:spacing w:val="-4"/>
          <w:w w:val="105"/>
          <w:sz w:val="13"/>
        </w:rPr>
        <w:t>13 </w:t>
      </w:r>
      <w:r>
        <w:rPr>
          <w:w w:val="105"/>
          <w:sz w:val="13"/>
        </w:rPr>
        <w:t>(David</w:t>
      </w:r>
      <w:r>
        <w:rPr>
          <w:spacing w:val="-9"/>
          <w:w w:val="105"/>
          <w:sz w:val="13"/>
        </w:rPr>
        <w:t> </w:t>
      </w:r>
      <w:r>
        <w:rPr>
          <w:w w:val="105"/>
          <w:sz w:val="13"/>
        </w:rPr>
        <w:t>Shalders).</w:t>
      </w:r>
    </w:p>
    <w:p>
      <w:pPr>
        <w:pStyle w:val="ListParagraph"/>
        <w:numPr>
          <w:ilvl w:val="0"/>
          <w:numId w:val="79"/>
        </w:numPr>
        <w:tabs>
          <w:tab w:pos="2381" w:val="left" w:leader="none"/>
          <w:tab w:pos="2382" w:val="left" w:leader="none"/>
        </w:tabs>
        <w:spacing w:line="240" w:lineRule="auto" w:before="1" w:after="0"/>
        <w:ind w:left="2381" w:right="0" w:hanging="794"/>
        <w:jc w:val="left"/>
        <w:rPr>
          <w:sz w:val="13"/>
        </w:rPr>
      </w:pPr>
      <w:r>
        <w:rPr>
          <w:w w:val="105"/>
          <w:sz w:val="13"/>
        </w:rPr>
        <w:t>Submission </w:t>
      </w:r>
      <w:r>
        <w:rPr>
          <w:spacing w:val="-3"/>
          <w:w w:val="105"/>
          <w:sz w:val="13"/>
        </w:rPr>
        <w:t>14 </w:t>
      </w:r>
      <w:r>
        <w:rPr>
          <w:w w:val="105"/>
          <w:sz w:val="13"/>
        </w:rPr>
        <w:t>(Commercial Bar</w:t>
      </w:r>
      <w:r>
        <w:rPr>
          <w:spacing w:val="21"/>
          <w:w w:val="105"/>
          <w:sz w:val="13"/>
        </w:rPr>
        <w:t> </w:t>
      </w:r>
      <w:r>
        <w:rPr>
          <w:spacing w:val="2"/>
          <w:w w:val="105"/>
          <w:sz w:val="13"/>
        </w:rPr>
        <w:t>Association).</w:t>
      </w:r>
    </w:p>
    <w:p>
      <w:pPr>
        <w:pStyle w:val="ListParagraph"/>
        <w:numPr>
          <w:ilvl w:val="0"/>
          <w:numId w:val="79"/>
        </w:numPr>
        <w:tabs>
          <w:tab w:pos="2381" w:val="left" w:leader="none"/>
          <w:tab w:pos="2382" w:val="left" w:leader="none"/>
        </w:tabs>
        <w:spacing w:line="240" w:lineRule="auto" w:before="2" w:after="0"/>
        <w:ind w:left="2381" w:right="0" w:hanging="794"/>
        <w:jc w:val="left"/>
        <w:rPr>
          <w:sz w:val="13"/>
        </w:rPr>
      </w:pPr>
      <w:r>
        <w:rPr>
          <w:sz w:val="13"/>
        </w:rPr>
        <w:t>Ibid.</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5"/>
        <w:rPr>
          <w:sz w:val="40"/>
        </w:rPr>
      </w:pPr>
    </w:p>
    <w:p>
      <w:pPr>
        <w:spacing w:before="0"/>
        <w:ind w:left="1587" w:right="0" w:firstLine="0"/>
        <w:jc w:val="left"/>
        <w:rPr>
          <w:b/>
          <w:sz w:val="24"/>
        </w:rPr>
      </w:pPr>
      <w:r>
        <w:rPr>
          <w:b/>
          <w:color w:val="EC5A4F"/>
          <w:w w:val="110"/>
          <w:sz w:val="24"/>
        </w:rPr>
        <w:t>101</w:t>
      </w:r>
    </w:p>
    <w:p>
      <w:pPr>
        <w:spacing w:after="0"/>
        <w:jc w:val="left"/>
        <w:rPr>
          <w:sz w:val="24"/>
        </w:rPr>
        <w:sectPr>
          <w:type w:val="continuous"/>
          <w:pgSz w:w="11910" w:h="16840"/>
          <w:pgMar w:top="920" w:bottom="280" w:left="0" w:right="0"/>
          <w:cols w:num="2" w:equalWidth="0">
            <w:col w:w="8698" w:space="631"/>
            <w:col w:w="2581"/>
          </w:cols>
        </w:sectPr>
      </w:pPr>
    </w:p>
    <w:p>
      <w:pPr>
        <w:pStyle w:val="BodyText"/>
        <w:spacing w:before="9"/>
        <w:rPr>
          <w:b/>
          <w:sz w:val="22"/>
        </w:rPr>
      </w:pPr>
    </w:p>
    <w:p>
      <w:pPr>
        <w:pStyle w:val="ListParagraph"/>
        <w:numPr>
          <w:ilvl w:val="1"/>
          <w:numId w:val="22"/>
        </w:numPr>
        <w:tabs>
          <w:tab w:pos="2381" w:val="left" w:leader="none"/>
          <w:tab w:pos="2382" w:val="left" w:leader="none"/>
        </w:tabs>
        <w:spacing w:line="242" w:lineRule="auto" w:before="92" w:after="0"/>
        <w:ind w:left="2381" w:right="1690" w:hanging="794"/>
        <w:jc w:val="left"/>
        <w:rPr>
          <w:sz w:val="12"/>
        </w:rPr>
      </w:pPr>
      <w:r>
        <w:rPr>
          <w:sz w:val="21"/>
        </w:rPr>
        <w:t>Other </w:t>
      </w:r>
      <w:r>
        <w:rPr>
          <w:spacing w:val="-3"/>
          <w:sz w:val="21"/>
        </w:rPr>
        <w:t>charitable  </w:t>
      </w:r>
      <w:r>
        <w:rPr>
          <w:sz w:val="21"/>
        </w:rPr>
        <w:t>beneficiaries said </w:t>
      </w:r>
      <w:r>
        <w:rPr>
          <w:spacing w:val="-3"/>
          <w:sz w:val="21"/>
        </w:rPr>
        <w:t>that</w:t>
      </w:r>
      <w:r>
        <w:rPr>
          <w:spacing w:val="41"/>
          <w:sz w:val="21"/>
        </w:rPr>
        <w:t> </w:t>
      </w:r>
      <w:r>
        <w:rPr>
          <w:sz w:val="21"/>
        </w:rPr>
        <w:t>their motivation </w:t>
      </w:r>
      <w:r>
        <w:rPr>
          <w:spacing w:val="-3"/>
          <w:sz w:val="21"/>
        </w:rPr>
        <w:t>to  </w:t>
      </w:r>
      <w:r>
        <w:rPr>
          <w:sz w:val="21"/>
        </w:rPr>
        <w:t>settle can be </w:t>
      </w:r>
      <w:r>
        <w:rPr>
          <w:spacing w:val="-3"/>
          <w:sz w:val="21"/>
        </w:rPr>
        <w:t>influenced  </w:t>
      </w:r>
      <w:r>
        <w:rPr>
          <w:sz w:val="21"/>
        </w:rPr>
        <w:t>by:  the </w:t>
      </w:r>
      <w:r>
        <w:rPr>
          <w:spacing w:val="-3"/>
          <w:sz w:val="21"/>
        </w:rPr>
        <w:t>availability </w:t>
      </w:r>
      <w:r>
        <w:rPr>
          <w:sz w:val="21"/>
        </w:rPr>
        <w:t>and </w:t>
      </w:r>
      <w:r>
        <w:rPr>
          <w:spacing w:val="-3"/>
          <w:sz w:val="21"/>
        </w:rPr>
        <w:t>potential </w:t>
      </w:r>
      <w:r>
        <w:rPr>
          <w:sz w:val="21"/>
        </w:rPr>
        <w:t>costs of legal advice and representation; the </w:t>
      </w:r>
      <w:r>
        <w:rPr>
          <w:spacing w:val="-3"/>
          <w:sz w:val="21"/>
        </w:rPr>
        <w:t>chance that </w:t>
      </w:r>
      <w:r>
        <w:rPr>
          <w:sz w:val="21"/>
        </w:rPr>
        <w:t>the application </w:t>
      </w:r>
      <w:r>
        <w:rPr>
          <w:spacing w:val="-3"/>
          <w:sz w:val="21"/>
        </w:rPr>
        <w:t>will  </w:t>
      </w:r>
      <w:r>
        <w:rPr>
          <w:sz w:val="21"/>
        </w:rPr>
        <w:t>be successful; and the </w:t>
      </w:r>
      <w:r>
        <w:rPr>
          <w:spacing w:val="-3"/>
          <w:sz w:val="21"/>
        </w:rPr>
        <w:t>reputational</w:t>
      </w:r>
      <w:r>
        <w:rPr>
          <w:spacing w:val="41"/>
          <w:sz w:val="21"/>
        </w:rPr>
        <w:t> </w:t>
      </w:r>
      <w:r>
        <w:rPr>
          <w:sz w:val="21"/>
        </w:rPr>
        <w:t>risks </w:t>
      </w:r>
      <w:r>
        <w:rPr>
          <w:spacing w:val="-3"/>
          <w:sz w:val="21"/>
        </w:rPr>
        <w:t>to  </w:t>
      </w:r>
      <w:r>
        <w:rPr>
          <w:sz w:val="21"/>
        </w:rPr>
        <w:t>the </w:t>
      </w:r>
      <w:r>
        <w:rPr>
          <w:spacing w:val="-4"/>
          <w:sz w:val="21"/>
        </w:rPr>
        <w:t>charity,  </w:t>
      </w:r>
      <w:r>
        <w:rPr>
          <w:sz w:val="21"/>
        </w:rPr>
        <w:t>and how it </w:t>
      </w:r>
      <w:r>
        <w:rPr>
          <w:spacing w:val="-3"/>
          <w:sz w:val="21"/>
        </w:rPr>
        <w:t>may     </w:t>
      </w:r>
      <w:r>
        <w:rPr>
          <w:sz w:val="21"/>
        </w:rPr>
        <w:t>be</w:t>
      </w:r>
      <w:r>
        <w:rPr>
          <w:spacing w:val="11"/>
          <w:sz w:val="21"/>
        </w:rPr>
        <w:t> </w:t>
      </w:r>
      <w:r>
        <w:rPr>
          <w:sz w:val="21"/>
        </w:rPr>
        <w:t>portrayed</w:t>
      </w:r>
      <w:r>
        <w:rPr>
          <w:spacing w:val="11"/>
          <w:sz w:val="21"/>
        </w:rPr>
        <w:t> </w:t>
      </w:r>
      <w:r>
        <w:rPr>
          <w:sz w:val="21"/>
        </w:rPr>
        <w:t>in</w:t>
      </w:r>
      <w:r>
        <w:rPr>
          <w:spacing w:val="12"/>
          <w:sz w:val="21"/>
        </w:rPr>
        <w:t> </w:t>
      </w:r>
      <w:r>
        <w:rPr>
          <w:sz w:val="21"/>
        </w:rPr>
        <w:t>the</w:t>
      </w:r>
      <w:r>
        <w:rPr>
          <w:spacing w:val="11"/>
          <w:sz w:val="21"/>
        </w:rPr>
        <w:t> </w:t>
      </w:r>
      <w:r>
        <w:rPr>
          <w:spacing w:val="-2"/>
          <w:sz w:val="21"/>
        </w:rPr>
        <w:t>media,</w:t>
      </w:r>
      <w:r>
        <w:rPr>
          <w:spacing w:val="11"/>
          <w:sz w:val="21"/>
        </w:rPr>
        <w:t> </w:t>
      </w:r>
      <w:r>
        <w:rPr>
          <w:sz w:val="21"/>
        </w:rPr>
        <w:t>irrespective</w:t>
      </w:r>
      <w:r>
        <w:rPr>
          <w:spacing w:val="12"/>
          <w:sz w:val="21"/>
        </w:rPr>
        <w:t> </w:t>
      </w:r>
      <w:r>
        <w:rPr>
          <w:sz w:val="21"/>
        </w:rPr>
        <w:t>of</w:t>
      </w:r>
      <w:r>
        <w:rPr>
          <w:spacing w:val="11"/>
          <w:sz w:val="21"/>
        </w:rPr>
        <w:t> </w:t>
      </w:r>
      <w:r>
        <w:rPr>
          <w:sz w:val="21"/>
        </w:rPr>
        <w:t>the</w:t>
      </w:r>
      <w:r>
        <w:rPr>
          <w:spacing w:val="11"/>
          <w:sz w:val="21"/>
        </w:rPr>
        <w:t> </w:t>
      </w:r>
      <w:r>
        <w:rPr>
          <w:sz w:val="21"/>
        </w:rPr>
        <w:t>validity</w:t>
      </w:r>
      <w:r>
        <w:rPr>
          <w:spacing w:val="12"/>
          <w:sz w:val="21"/>
        </w:rPr>
        <w:t> </w:t>
      </w:r>
      <w:r>
        <w:rPr>
          <w:sz w:val="21"/>
        </w:rPr>
        <w:t>or</w:t>
      </w:r>
      <w:r>
        <w:rPr>
          <w:spacing w:val="11"/>
          <w:sz w:val="21"/>
        </w:rPr>
        <w:t> </w:t>
      </w:r>
      <w:r>
        <w:rPr>
          <w:sz w:val="21"/>
        </w:rPr>
        <w:t>strength</w:t>
      </w:r>
      <w:r>
        <w:rPr>
          <w:spacing w:val="11"/>
          <w:sz w:val="21"/>
        </w:rPr>
        <w:t> </w:t>
      </w:r>
      <w:r>
        <w:rPr>
          <w:sz w:val="21"/>
        </w:rPr>
        <w:t>of</w:t>
      </w:r>
      <w:r>
        <w:rPr>
          <w:spacing w:val="12"/>
          <w:sz w:val="21"/>
        </w:rPr>
        <w:t> </w:t>
      </w:r>
      <w:r>
        <w:rPr>
          <w:sz w:val="21"/>
        </w:rPr>
        <w:t>the</w:t>
      </w:r>
      <w:r>
        <w:rPr>
          <w:spacing w:val="11"/>
          <w:sz w:val="21"/>
        </w:rPr>
        <w:t> </w:t>
      </w:r>
      <w:r>
        <w:rPr>
          <w:sz w:val="21"/>
        </w:rPr>
        <w:t>application.</w:t>
      </w:r>
      <w:r>
        <w:rPr>
          <w:position w:val="7"/>
          <w:sz w:val="12"/>
        </w:rPr>
        <w:t>34</w:t>
      </w:r>
    </w:p>
    <w:p>
      <w:pPr>
        <w:pStyle w:val="BodyText"/>
        <w:spacing w:line="242" w:lineRule="auto" w:before="4"/>
        <w:ind w:left="2381" w:right="1619"/>
        <w:rPr>
          <w:sz w:val="12"/>
        </w:rPr>
      </w:pPr>
      <w:r>
        <w:rPr>
          <w:w w:val="105"/>
        </w:rPr>
        <w:t>The </w:t>
      </w:r>
      <w:r>
        <w:rPr>
          <w:spacing w:val="-3"/>
          <w:w w:val="105"/>
        </w:rPr>
        <w:t>Commission </w:t>
      </w:r>
      <w:r>
        <w:rPr>
          <w:w w:val="105"/>
        </w:rPr>
        <w:t>also </w:t>
      </w:r>
      <w:r>
        <w:rPr>
          <w:spacing w:val="-3"/>
          <w:w w:val="105"/>
        </w:rPr>
        <w:t>heard that charities may </w:t>
      </w:r>
      <w:r>
        <w:rPr>
          <w:w w:val="105"/>
        </w:rPr>
        <w:t>be compelled </w:t>
      </w:r>
      <w:r>
        <w:rPr>
          <w:spacing w:val="-3"/>
          <w:w w:val="105"/>
        </w:rPr>
        <w:t>to </w:t>
      </w:r>
      <w:r>
        <w:rPr>
          <w:w w:val="105"/>
        </w:rPr>
        <w:t>settle as soon as possible because of </w:t>
      </w:r>
      <w:r>
        <w:rPr>
          <w:spacing w:val="-3"/>
          <w:w w:val="105"/>
        </w:rPr>
        <w:t>immediate financial requirements.</w:t>
      </w:r>
      <w:r>
        <w:rPr>
          <w:spacing w:val="-3"/>
          <w:w w:val="105"/>
          <w:position w:val="7"/>
          <w:sz w:val="12"/>
        </w:rPr>
        <w:t>35</w:t>
      </w:r>
    </w:p>
    <w:p>
      <w:pPr>
        <w:pStyle w:val="BodyText"/>
        <w:spacing w:before="10"/>
        <w:rPr>
          <w:sz w:val="26"/>
        </w:rPr>
      </w:pPr>
    </w:p>
    <w:p>
      <w:pPr>
        <w:pStyle w:val="Heading6"/>
      </w:pPr>
      <w:r>
        <w:rPr>
          <w:w w:val="115"/>
        </w:rPr>
        <w:t>Uncertainty about whether the claim will succeed</w:t>
      </w:r>
    </w:p>
    <w:p>
      <w:pPr>
        <w:pStyle w:val="ListParagraph"/>
        <w:numPr>
          <w:ilvl w:val="1"/>
          <w:numId w:val="22"/>
        </w:numPr>
        <w:tabs>
          <w:tab w:pos="2381" w:val="left" w:leader="none"/>
          <w:tab w:pos="2382" w:val="left" w:leader="none"/>
        </w:tabs>
        <w:spacing w:line="242" w:lineRule="auto" w:before="152" w:after="0"/>
        <w:ind w:left="2381" w:right="1705" w:hanging="794"/>
        <w:jc w:val="left"/>
        <w:rPr>
          <w:sz w:val="21"/>
        </w:rPr>
      </w:pPr>
      <w:r>
        <w:rPr>
          <w:spacing w:val="-3"/>
          <w:sz w:val="21"/>
        </w:rPr>
        <w:t>Submissions from </w:t>
      </w:r>
      <w:r>
        <w:rPr>
          <w:sz w:val="21"/>
        </w:rPr>
        <w:t>law firms emphasised the uncertainty </w:t>
      </w:r>
      <w:r>
        <w:rPr>
          <w:spacing w:val="-3"/>
          <w:sz w:val="21"/>
        </w:rPr>
        <w:t>that </w:t>
      </w:r>
      <w:r>
        <w:rPr>
          <w:sz w:val="21"/>
        </w:rPr>
        <w:t>exists in the </w:t>
      </w:r>
      <w:r>
        <w:rPr>
          <w:spacing w:val="-3"/>
          <w:sz w:val="21"/>
        </w:rPr>
        <w:t>family provision </w:t>
      </w:r>
      <w:r>
        <w:rPr>
          <w:sz w:val="21"/>
        </w:rPr>
        <w:t>jurisdiction:</w:t>
      </w:r>
    </w:p>
    <w:p>
      <w:pPr>
        <w:pStyle w:val="ListParagraph"/>
        <w:numPr>
          <w:ilvl w:val="2"/>
          <w:numId w:val="22"/>
        </w:numPr>
        <w:tabs>
          <w:tab w:pos="2721" w:val="left" w:leader="none"/>
          <w:tab w:pos="2722" w:val="left" w:leader="none"/>
        </w:tabs>
        <w:spacing w:line="242" w:lineRule="auto" w:before="122" w:after="0"/>
        <w:ind w:left="2721" w:right="1783" w:hanging="340"/>
        <w:jc w:val="left"/>
        <w:rPr>
          <w:sz w:val="12"/>
        </w:rPr>
      </w:pPr>
      <w:r>
        <w:rPr>
          <w:sz w:val="21"/>
        </w:rPr>
        <w:t>Because </w:t>
      </w:r>
      <w:r>
        <w:rPr>
          <w:spacing w:val="-3"/>
          <w:sz w:val="21"/>
        </w:rPr>
        <w:t>family provision </w:t>
      </w:r>
      <w:r>
        <w:rPr>
          <w:sz w:val="21"/>
        </w:rPr>
        <w:t>matters </w:t>
      </w:r>
      <w:r>
        <w:rPr>
          <w:spacing w:val="-3"/>
          <w:sz w:val="21"/>
        </w:rPr>
        <w:t>are </w:t>
      </w:r>
      <w:r>
        <w:rPr>
          <w:sz w:val="21"/>
        </w:rPr>
        <w:t>so fact-based, it is difficult </w:t>
      </w:r>
      <w:r>
        <w:rPr>
          <w:spacing w:val="-3"/>
          <w:sz w:val="21"/>
        </w:rPr>
        <w:t>to accurately </w:t>
      </w:r>
      <w:r>
        <w:rPr>
          <w:sz w:val="21"/>
        </w:rPr>
        <w:t>predict the</w:t>
      </w:r>
      <w:r>
        <w:rPr>
          <w:spacing w:val="9"/>
          <w:sz w:val="21"/>
        </w:rPr>
        <w:t> </w:t>
      </w:r>
      <w:r>
        <w:rPr>
          <w:sz w:val="21"/>
        </w:rPr>
        <w:t>advice</w:t>
      </w:r>
      <w:r>
        <w:rPr>
          <w:spacing w:val="9"/>
          <w:sz w:val="21"/>
        </w:rPr>
        <w:t> </w:t>
      </w:r>
      <w:r>
        <w:rPr>
          <w:spacing w:val="-3"/>
          <w:sz w:val="21"/>
        </w:rPr>
        <w:t>that</w:t>
      </w:r>
      <w:r>
        <w:rPr>
          <w:spacing w:val="9"/>
          <w:sz w:val="21"/>
        </w:rPr>
        <w:t> </w:t>
      </w:r>
      <w:r>
        <w:rPr>
          <w:sz w:val="21"/>
        </w:rPr>
        <w:t>the</w:t>
      </w:r>
      <w:r>
        <w:rPr>
          <w:spacing w:val="10"/>
          <w:sz w:val="21"/>
        </w:rPr>
        <w:t> </w:t>
      </w:r>
      <w:r>
        <w:rPr>
          <w:sz w:val="21"/>
        </w:rPr>
        <w:t>opponent</w:t>
      </w:r>
      <w:r>
        <w:rPr>
          <w:spacing w:val="9"/>
          <w:sz w:val="21"/>
        </w:rPr>
        <w:t> </w:t>
      </w:r>
      <w:r>
        <w:rPr>
          <w:spacing w:val="-3"/>
          <w:sz w:val="21"/>
        </w:rPr>
        <w:t>will</w:t>
      </w:r>
      <w:r>
        <w:rPr>
          <w:spacing w:val="9"/>
          <w:sz w:val="21"/>
        </w:rPr>
        <w:t> </w:t>
      </w:r>
      <w:r>
        <w:rPr>
          <w:sz w:val="21"/>
        </w:rPr>
        <w:t>be</w:t>
      </w:r>
      <w:r>
        <w:rPr>
          <w:spacing w:val="10"/>
          <w:sz w:val="21"/>
        </w:rPr>
        <w:t> </w:t>
      </w:r>
      <w:r>
        <w:rPr>
          <w:sz w:val="21"/>
        </w:rPr>
        <w:t>given.</w:t>
      </w:r>
      <w:r>
        <w:rPr>
          <w:position w:val="7"/>
          <w:sz w:val="12"/>
        </w:rPr>
        <w:t>36</w:t>
      </w:r>
    </w:p>
    <w:p>
      <w:pPr>
        <w:pStyle w:val="ListParagraph"/>
        <w:numPr>
          <w:ilvl w:val="2"/>
          <w:numId w:val="22"/>
        </w:numPr>
        <w:tabs>
          <w:tab w:pos="2721" w:val="left" w:leader="none"/>
          <w:tab w:pos="2722" w:val="left" w:leader="none"/>
        </w:tabs>
        <w:spacing w:line="242" w:lineRule="auto" w:before="122" w:after="0"/>
        <w:ind w:left="2721" w:right="1623" w:hanging="340"/>
        <w:jc w:val="left"/>
        <w:rPr>
          <w:sz w:val="12"/>
        </w:rPr>
      </w:pPr>
      <w:r>
        <w:rPr>
          <w:sz w:val="21"/>
        </w:rPr>
        <w:t>The case-by-case </w:t>
      </w:r>
      <w:r>
        <w:rPr>
          <w:spacing w:val="-3"/>
          <w:sz w:val="21"/>
        </w:rPr>
        <w:t>nature </w:t>
      </w:r>
      <w:r>
        <w:rPr>
          <w:sz w:val="21"/>
        </w:rPr>
        <w:t>of </w:t>
      </w:r>
      <w:r>
        <w:rPr>
          <w:spacing w:val="-3"/>
          <w:sz w:val="21"/>
        </w:rPr>
        <w:t>determinations  means  that  </w:t>
      </w:r>
      <w:r>
        <w:rPr>
          <w:sz w:val="21"/>
        </w:rPr>
        <w:t>it is difficult </w:t>
      </w:r>
      <w:r>
        <w:rPr>
          <w:spacing w:val="-3"/>
          <w:sz w:val="21"/>
        </w:rPr>
        <w:t>to</w:t>
      </w:r>
      <w:r>
        <w:rPr>
          <w:spacing w:val="41"/>
          <w:sz w:val="21"/>
        </w:rPr>
        <w:t> </w:t>
      </w:r>
      <w:r>
        <w:rPr>
          <w:sz w:val="21"/>
        </w:rPr>
        <w:t>predict whether a </w:t>
      </w:r>
      <w:r>
        <w:rPr>
          <w:spacing w:val="-3"/>
          <w:sz w:val="21"/>
        </w:rPr>
        <w:t>claim will succeed and, </w:t>
      </w:r>
      <w:r>
        <w:rPr>
          <w:sz w:val="21"/>
        </w:rPr>
        <w:t>in the </w:t>
      </w:r>
      <w:r>
        <w:rPr>
          <w:spacing w:val="-3"/>
          <w:sz w:val="21"/>
        </w:rPr>
        <w:t>event </w:t>
      </w:r>
      <w:r>
        <w:rPr>
          <w:sz w:val="21"/>
        </w:rPr>
        <w:t>of </w:t>
      </w:r>
      <w:r>
        <w:rPr>
          <w:spacing w:val="-3"/>
          <w:sz w:val="21"/>
        </w:rPr>
        <w:t>success, </w:t>
      </w:r>
      <w:r>
        <w:rPr>
          <w:sz w:val="21"/>
        </w:rPr>
        <w:t>the </w:t>
      </w:r>
      <w:r>
        <w:rPr>
          <w:spacing w:val="-3"/>
          <w:sz w:val="21"/>
        </w:rPr>
        <w:t>amount  </w:t>
      </w:r>
      <w:r>
        <w:rPr>
          <w:sz w:val="21"/>
        </w:rPr>
        <w:t>of  </w:t>
      </w:r>
      <w:r>
        <w:rPr>
          <w:spacing w:val="-3"/>
          <w:sz w:val="21"/>
        </w:rPr>
        <w:t>any  </w:t>
      </w:r>
      <w:r>
        <w:rPr>
          <w:sz w:val="21"/>
        </w:rPr>
        <w:t>order  </w:t>
      </w:r>
      <w:r>
        <w:rPr>
          <w:spacing w:val="-3"/>
          <w:sz w:val="21"/>
        </w:rPr>
        <w:t>for provision.</w:t>
      </w:r>
      <w:r>
        <w:rPr>
          <w:spacing w:val="-3"/>
          <w:position w:val="7"/>
          <w:sz w:val="12"/>
        </w:rPr>
        <w:t>37</w:t>
      </w:r>
    </w:p>
    <w:p>
      <w:pPr>
        <w:pStyle w:val="ListParagraph"/>
        <w:numPr>
          <w:ilvl w:val="2"/>
          <w:numId w:val="22"/>
        </w:numPr>
        <w:tabs>
          <w:tab w:pos="2721" w:val="left" w:leader="none"/>
          <w:tab w:pos="2722" w:val="left" w:leader="none"/>
        </w:tabs>
        <w:spacing w:line="242" w:lineRule="auto" w:before="123" w:after="0"/>
        <w:ind w:left="2721" w:right="2403" w:hanging="340"/>
        <w:jc w:val="left"/>
        <w:rPr>
          <w:sz w:val="12"/>
        </w:rPr>
      </w:pPr>
      <w:r>
        <w:rPr>
          <w:w w:val="105"/>
          <w:sz w:val="21"/>
        </w:rPr>
        <w:t>‘There </w:t>
      </w:r>
      <w:r>
        <w:rPr>
          <w:spacing w:val="-3"/>
          <w:w w:val="105"/>
          <w:sz w:val="21"/>
        </w:rPr>
        <w:t>may </w:t>
      </w:r>
      <w:r>
        <w:rPr>
          <w:w w:val="105"/>
          <w:sz w:val="21"/>
        </w:rPr>
        <w:t>be 50 judges and 50 </w:t>
      </w:r>
      <w:r>
        <w:rPr>
          <w:spacing w:val="-3"/>
          <w:w w:val="105"/>
          <w:sz w:val="21"/>
        </w:rPr>
        <w:t>different </w:t>
      </w:r>
      <w:r>
        <w:rPr>
          <w:w w:val="105"/>
          <w:sz w:val="21"/>
        </w:rPr>
        <w:t>decisions and none of them would be</w:t>
      </w:r>
      <w:r>
        <w:rPr>
          <w:spacing w:val="5"/>
          <w:w w:val="105"/>
          <w:sz w:val="21"/>
        </w:rPr>
        <w:t> </w:t>
      </w:r>
      <w:r>
        <w:rPr>
          <w:spacing w:val="-4"/>
          <w:w w:val="105"/>
          <w:sz w:val="21"/>
        </w:rPr>
        <w:t>wrong.’</w:t>
      </w:r>
      <w:r>
        <w:rPr>
          <w:spacing w:val="-4"/>
          <w:w w:val="105"/>
          <w:position w:val="7"/>
          <w:sz w:val="12"/>
        </w:rPr>
        <w:t>38</w:t>
      </w:r>
    </w:p>
    <w:p>
      <w:pPr>
        <w:pStyle w:val="ListParagraph"/>
        <w:numPr>
          <w:ilvl w:val="2"/>
          <w:numId w:val="22"/>
        </w:numPr>
        <w:tabs>
          <w:tab w:pos="2721" w:val="left" w:leader="none"/>
          <w:tab w:pos="2722" w:val="left" w:leader="none"/>
        </w:tabs>
        <w:spacing w:line="242" w:lineRule="auto" w:before="122" w:after="0"/>
        <w:ind w:left="2721" w:right="2177" w:hanging="340"/>
        <w:jc w:val="left"/>
        <w:rPr>
          <w:sz w:val="12"/>
        </w:rPr>
      </w:pPr>
      <w:r>
        <w:rPr>
          <w:sz w:val="21"/>
        </w:rPr>
        <w:t>‘It is only at the time of </w:t>
      </w:r>
      <w:r>
        <w:rPr>
          <w:spacing w:val="-3"/>
          <w:sz w:val="21"/>
        </w:rPr>
        <w:t>judgment that </w:t>
      </w:r>
      <w:r>
        <w:rPr>
          <w:sz w:val="21"/>
        </w:rPr>
        <w:t>the parties know </w:t>
      </w:r>
      <w:r>
        <w:rPr>
          <w:spacing w:val="-3"/>
          <w:sz w:val="21"/>
        </w:rPr>
        <w:t>for </w:t>
      </w:r>
      <w:r>
        <w:rPr>
          <w:sz w:val="21"/>
        </w:rPr>
        <w:t>certain whether the plaintiff was indeed a person </w:t>
      </w:r>
      <w:r>
        <w:rPr>
          <w:spacing w:val="-3"/>
          <w:sz w:val="21"/>
        </w:rPr>
        <w:t>for </w:t>
      </w:r>
      <w:r>
        <w:rPr>
          <w:sz w:val="21"/>
        </w:rPr>
        <w:t>whom the deceased </w:t>
      </w:r>
      <w:r>
        <w:rPr>
          <w:spacing w:val="-2"/>
          <w:sz w:val="21"/>
        </w:rPr>
        <w:t>had </w:t>
      </w:r>
      <w:r>
        <w:rPr>
          <w:sz w:val="21"/>
        </w:rPr>
        <w:t>a </w:t>
      </w:r>
      <w:r>
        <w:rPr>
          <w:spacing w:val="-3"/>
          <w:sz w:val="21"/>
        </w:rPr>
        <w:t>responsibility to </w:t>
      </w:r>
      <w:r>
        <w:rPr>
          <w:spacing w:val="-4"/>
          <w:sz w:val="21"/>
        </w:rPr>
        <w:t>provide.’</w:t>
      </w:r>
      <w:r>
        <w:rPr>
          <w:spacing w:val="-4"/>
          <w:position w:val="7"/>
          <w:sz w:val="12"/>
        </w:rPr>
        <w:t>39</w:t>
      </w:r>
    </w:p>
    <w:p>
      <w:pPr>
        <w:pStyle w:val="ListParagraph"/>
        <w:numPr>
          <w:ilvl w:val="1"/>
          <w:numId w:val="22"/>
        </w:numPr>
        <w:tabs>
          <w:tab w:pos="2381" w:val="left" w:leader="none"/>
          <w:tab w:pos="2382" w:val="left" w:leader="none"/>
        </w:tabs>
        <w:spacing w:line="242" w:lineRule="auto" w:before="124" w:after="0"/>
        <w:ind w:left="2381" w:right="1591" w:hanging="794"/>
        <w:jc w:val="left"/>
        <w:rPr>
          <w:sz w:val="12"/>
        </w:rPr>
      </w:pPr>
      <w:r>
        <w:rPr>
          <w:w w:val="105"/>
          <w:sz w:val="21"/>
        </w:rPr>
        <w:t>In </w:t>
      </w:r>
      <w:r>
        <w:rPr>
          <w:spacing w:val="-3"/>
          <w:w w:val="105"/>
          <w:sz w:val="21"/>
        </w:rPr>
        <w:t>consultation, </w:t>
      </w:r>
      <w:r>
        <w:rPr>
          <w:w w:val="105"/>
          <w:sz w:val="21"/>
        </w:rPr>
        <w:t>representatives of the Law </w:t>
      </w:r>
      <w:r>
        <w:rPr>
          <w:spacing w:val="-3"/>
          <w:w w:val="105"/>
          <w:sz w:val="21"/>
        </w:rPr>
        <w:t>Institute </w:t>
      </w:r>
      <w:r>
        <w:rPr>
          <w:w w:val="105"/>
          <w:sz w:val="21"/>
        </w:rPr>
        <w:t>of </w:t>
      </w:r>
      <w:r>
        <w:rPr>
          <w:spacing w:val="-3"/>
          <w:w w:val="105"/>
          <w:sz w:val="21"/>
        </w:rPr>
        <w:t>Victoria’s Succession </w:t>
      </w:r>
      <w:r>
        <w:rPr>
          <w:w w:val="105"/>
          <w:sz w:val="21"/>
        </w:rPr>
        <w:t>Law </w:t>
      </w:r>
      <w:r>
        <w:rPr>
          <w:spacing w:val="-3"/>
          <w:w w:val="105"/>
          <w:sz w:val="21"/>
        </w:rPr>
        <w:t>Committee noted that </w:t>
      </w:r>
      <w:r>
        <w:rPr>
          <w:w w:val="105"/>
          <w:sz w:val="21"/>
        </w:rPr>
        <w:t>the uncertainty in </w:t>
      </w:r>
      <w:r>
        <w:rPr>
          <w:spacing w:val="-3"/>
          <w:w w:val="105"/>
          <w:sz w:val="21"/>
        </w:rPr>
        <w:t>family provision creates </w:t>
      </w:r>
      <w:r>
        <w:rPr>
          <w:w w:val="105"/>
          <w:sz w:val="21"/>
        </w:rPr>
        <w:t>difficulty </w:t>
      </w:r>
      <w:r>
        <w:rPr>
          <w:spacing w:val="-3"/>
          <w:w w:val="105"/>
          <w:sz w:val="21"/>
        </w:rPr>
        <w:t>for </w:t>
      </w:r>
      <w:r>
        <w:rPr>
          <w:w w:val="105"/>
          <w:sz w:val="21"/>
        </w:rPr>
        <w:t>solicitors </w:t>
      </w:r>
      <w:r>
        <w:rPr>
          <w:spacing w:val="-2"/>
          <w:w w:val="105"/>
          <w:sz w:val="21"/>
        </w:rPr>
        <w:t>advising </w:t>
      </w:r>
      <w:r>
        <w:rPr>
          <w:w w:val="105"/>
          <w:sz w:val="21"/>
        </w:rPr>
        <w:t>their </w:t>
      </w:r>
      <w:r>
        <w:rPr>
          <w:spacing w:val="-3"/>
          <w:w w:val="105"/>
          <w:sz w:val="21"/>
        </w:rPr>
        <w:t>client </w:t>
      </w:r>
      <w:r>
        <w:rPr>
          <w:w w:val="105"/>
          <w:sz w:val="21"/>
        </w:rPr>
        <w:t>as </w:t>
      </w:r>
      <w:r>
        <w:rPr>
          <w:spacing w:val="-4"/>
          <w:w w:val="105"/>
          <w:sz w:val="21"/>
        </w:rPr>
        <w:t>will-maker, </w:t>
      </w:r>
      <w:r>
        <w:rPr>
          <w:spacing w:val="-3"/>
          <w:w w:val="105"/>
          <w:sz w:val="21"/>
        </w:rPr>
        <w:t>applicant </w:t>
      </w:r>
      <w:r>
        <w:rPr>
          <w:w w:val="105"/>
          <w:sz w:val="21"/>
        </w:rPr>
        <w:t>or </w:t>
      </w:r>
      <w:r>
        <w:rPr>
          <w:spacing w:val="-3"/>
          <w:w w:val="105"/>
          <w:sz w:val="21"/>
        </w:rPr>
        <w:t>executor.</w:t>
      </w:r>
      <w:r>
        <w:rPr>
          <w:spacing w:val="-3"/>
          <w:w w:val="105"/>
          <w:position w:val="7"/>
          <w:sz w:val="12"/>
        </w:rPr>
        <w:t>40 </w:t>
      </w:r>
      <w:r>
        <w:rPr>
          <w:w w:val="105"/>
          <w:sz w:val="21"/>
        </w:rPr>
        <w:t>The </w:t>
      </w:r>
      <w:r>
        <w:rPr>
          <w:spacing w:val="-3"/>
          <w:w w:val="105"/>
          <w:sz w:val="21"/>
        </w:rPr>
        <w:t>Supreme Court </w:t>
      </w:r>
      <w:r>
        <w:rPr>
          <w:w w:val="105"/>
          <w:sz w:val="21"/>
        </w:rPr>
        <w:t>of Victoria agreed </w:t>
      </w:r>
      <w:r>
        <w:rPr>
          <w:spacing w:val="-3"/>
          <w:w w:val="105"/>
          <w:sz w:val="21"/>
        </w:rPr>
        <w:t>that, </w:t>
      </w:r>
      <w:r>
        <w:rPr>
          <w:w w:val="105"/>
          <w:sz w:val="21"/>
        </w:rPr>
        <w:t>due </w:t>
      </w:r>
      <w:r>
        <w:rPr>
          <w:spacing w:val="-3"/>
          <w:w w:val="105"/>
          <w:sz w:val="21"/>
        </w:rPr>
        <w:t>to </w:t>
      </w:r>
      <w:r>
        <w:rPr>
          <w:w w:val="105"/>
          <w:sz w:val="21"/>
        </w:rPr>
        <w:t>the </w:t>
      </w:r>
      <w:r>
        <w:rPr>
          <w:spacing w:val="-3"/>
          <w:w w:val="105"/>
          <w:sz w:val="21"/>
        </w:rPr>
        <w:t>highly </w:t>
      </w:r>
      <w:r>
        <w:rPr>
          <w:w w:val="105"/>
          <w:sz w:val="21"/>
        </w:rPr>
        <w:t>discretionary </w:t>
      </w:r>
      <w:r>
        <w:rPr>
          <w:spacing w:val="-3"/>
          <w:w w:val="105"/>
          <w:sz w:val="21"/>
        </w:rPr>
        <w:t>nature </w:t>
      </w:r>
      <w:r>
        <w:rPr>
          <w:w w:val="105"/>
          <w:sz w:val="21"/>
        </w:rPr>
        <w:t>of the </w:t>
      </w:r>
      <w:r>
        <w:rPr>
          <w:spacing w:val="-3"/>
          <w:w w:val="105"/>
          <w:sz w:val="21"/>
        </w:rPr>
        <w:t>jurisdiction, </w:t>
      </w:r>
      <w:r>
        <w:rPr>
          <w:w w:val="105"/>
          <w:sz w:val="21"/>
        </w:rPr>
        <w:t>a </w:t>
      </w:r>
      <w:r>
        <w:rPr>
          <w:spacing w:val="-3"/>
          <w:w w:val="105"/>
          <w:sz w:val="21"/>
        </w:rPr>
        <w:t>defendant </w:t>
      </w:r>
      <w:r>
        <w:rPr>
          <w:w w:val="105"/>
          <w:sz w:val="21"/>
        </w:rPr>
        <w:t>can </w:t>
      </w:r>
      <w:r>
        <w:rPr>
          <w:spacing w:val="-3"/>
          <w:w w:val="105"/>
          <w:sz w:val="21"/>
        </w:rPr>
        <w:t>rarely </w:t>
      </w:r>
      <w:r>
        <w:rPr>
          <w:w w:val="105"/>
          <w:sz w:val="21"/>
        </w:rPr>
        <w:t>be </w:t>
      </w:r>
      <w:r>
        <w:rPr>
          <w:spacing w:val="-3"/>
          <w:w w:val="105"/>
          <w:sz w:val="21"/>
        </w:rPr>
        <w:t>entirely </w:t>
      </w:r>
      <w:r>
        <w:rPr>
          <w:spacing w:val="-2"/>
          <w:w w:val="105"/>
          <w:sz w:val="21"/>
        </w:rPr>
        <w:t>confident </w:t>
      </w:r>
      <w:r>
        <w:rPr>
          <w:w w:val="105"/>
          <w:sz w:val="21"/>
        </w:rPr>
        <w:t>of </w:t>
      </w:r>
      <w:r>
        <w:rPr>
          <w:spacing w:val="-3"/>
          <w:w w:val="105"/>
          <w:sz w:val="21"/>
        </w:rPr>
        <w:t>success.</w:t>
      </w:r>
      <w:r>
        <w:rPr>
          <w:spacing w:val="-3"/>
          <w:w w:val="105"/>
          <w:position w:val="7"/>
          <w:sz w:val="12"/>
        </w:rPr>
        <w:t>41 </w:t>
      </w:r>
      <w:r>
        <w:rPr>
          <w:w w:val="105"/>
          <w:sz w:val="21"/>
        </w:rPr>
        <w:t>As </w:t>
      </w:r>
      <w:r>
        <w:rPr>
          <w:spacing w:val="-3"/>
          <w:w w:val="105"/>
          <w:sz w:val="21"/>
        </w:rPr>
        <w:t>well </w:t>
      </w:r>
      <w:r>
        <w:rPr>
          <w:w w:val="105"/>
          <w:sz w:val="21"/>
        </w:rPr>
        <w:t>as </w:t>
      </w:r>
      <w:r>
        <w:rPr>
          <w:spacing w:val="-3"/>
          <w:w w:val="105"/>
          <w:sz w:val="21"/>
        </w:rPr>
        <w:t>making </w:t>
      </w:r>
      <w:r>
        <w:rPr>
          <w:w w:val="105"/>
          <w:sz w:val="21"/>
        </w:rPr>
        <w:t>it difficult </w:t>
      </w:r>
      <w:r>
        <w:rPr>
          <w:spacing w:val="-3"/>
          <w:w w:val="105"/>
          <w:sz w:val="21"/>
        </w:rPr>
        <w:t>for </w:t>
      </w:r>
      <w:r>
        <w:rPr>
          <w:w w:val="105"/>
          <w:sz w:val="21"/>
        </w:rPr>
        <w:t>legal practitioners </w:t>
      </w:r>
      <w:r>
        <w:rPr>
          <w:spacing w:val="-3"/>
          <w:w w:val="105"/>
          <w:sz w:val="21"/>
        </w:rPr>
        <w:t>to </w:t>
      </w:r>
      <w:r>
        <w:rPr>
          <w:w w:val="105"/>
          <w:sz w:val="21"/>
        </w:rPr>
        <w:t>advise their clients, uncertainty </w:t>
      </w:r>
      <w:r>
        <w:rPr>
          <w:spacing w:val="-3"/>
          <w:w w:val="105"/>
          <w:sz w:val="21"/>
        </w:rPr>
        <w:t>contributes to </w:t>
      </w:r>
      <w:r>
        <w:rPr>
          <w:w w:val="105"/>
          <w:sz w:val="21"/>
        </w:rPr>
        <w:t>the </w:t>
      </w:r>
      <w:r>
        <w:rPr>
          <w:spacing w:val="-3"/>
          <w:w w:val="105"/>
          <w:sz w:val="21"/>
        </w:rPr>
        <w:t>likelihood </w:t>
      </w:r>
      <w:r>
        <w:rPr>
          <w:w w:val="105"/>
          <w:sz w:val="21"/>
        </w:rPr>
        <w:t>of settlement.</w:t>
      </w:r>
      <w:r>
        <w:rPr>
          <w:w w:val="105"/>
          <w:position w:val="7"/>
          <w:sz w:val="12"/>
        </w:rPr>
        <w:t>42 </w:t>
      </w:r>
      <w:r>
        <w:rPr>
          <w:spacing w:val="-4"/>
          <w:w w:val="105"/>
          <w:sz w:val="21"/>
        </w:rPr>
        <w:t>However, </w:t>
      </w:r>
      <w:r>
        <w:rPr>
          <w:w w:val="105"/>
          <w:sz w:val="21"/>
        </w:rPr>
        <w:t>barrister Andrew </w:t>
      </w:r>
      <w:r>
        <w:rPr>
          <w:spacing w:val="-3"/>
          <w:w w:val="105"/>
          <w:sz w:val="21"/>
        </w:rPr>
        <w:t>Verspaandonk noted that </w:t>
      </w:r>
      <w:r>
        <w:rPr>
          <w:w w:val="105"/>
          <w:sz w:val="21"/>
        </w:rPr>
        <w:t>the effect of uncertainty can be </w:t>
      </w:r>
      <w:r>
        <w:rPr>
          <w:spacing w:val="-3"/>
          <w:w w:val="105"/>
          <w:sz w:val="21"/>
        </w:rPr>
        <w:t>mitigated </w:t>
      </w:r>
      <w:r>
        <w:rPr>
          <w:w w:val="105"/>
          <w:sz w:val="21"/>
        </w:rPr>
        <w:t>by </w:t>
      </w:r>
      <w:r>
        <w:rPr>
          <w:spacing w:val="-3"/>
          <w:w w:val="105"/>
          <w:sz w:val="21"/>
        </w:rPr>
        <w:t>appropriately</w:t>
      </w:r>
      <w:r>
        <w:rPr>
          <w:spacing w:val="-8"/>
          <w:w w:val="105"/>
          <w:sz w:val="21"/>
        </w:rPr>
        <w:t> </w:t>
      </w:r>
      <w:r>
        <w:rPr>
          <w:w w:val="105"/>
          <w:sz w:val="21"/>
        </w:rPr>
        <w:t>qualified</w:t>
      </w:r>
      <w:r>
        <w:rPr>
          <w:spacing w:val="-8"/>
          <w:w w:val="105"/>
          <w:sz w:val="21"/>
        </w:rPr>
        <w:t> </w:t>
      </w:r>
      <w:r>
        <w:rPr>
          <w:w w:val="105"/>
          <w:sz w:val="21"/>
        </w:rPr>
        <w:t>advice,</w:t>
      </w:r>
      <w:r>
        <w:rPr>
          <w:w w:val="105"/>
          <w:position w:val="7"/>
          <w:sz w:val="12"/>
        </w:rPr>
        <w:t>43</w:t>
      </w:r>
      <w:r>
        <w:rPr>
          <w:spacing w:val="14"/>
          <w:w w:val="105"/>
          <w:position w:val="7"/>
          <w:sz w:val="12"/>
        </w:rPr>
        <w:t> </w:t>
      </w:r>
      <w:r>
        <w:rPr>
          <w:w w:val="105"/>
          <w:sz w:val="21"/>
        </w:rPr>
        <w:t>and</w:t>
      </w:r>
      <w:r>
        <w:rPr>
          <w:spacing w:val="-8"/>
          <w:w w:val="105"/>
          <w:sz w:val="21"/>
        </w:rPr>
        <w:t> </w:t>
      </w:r>
      <w:r>
        <w:rPr>
          <w:w w:val="105"/>
          <w:sz w:val="21"/>
        </w:rPr>
        <w:t>legal</w:t>
      </w:r>
      <w:r>
        <w:rPr>
          <w:spacing w:val="-8"/>
          <w:w w:val="105"/>
          <w:sz w:val="21"/>
        </w:rPr>
        <w:t> </w:t>
      </w:r>
      <w:r>
        <w:rPr>
          <w:w w:val="105"/>
          <w:sz w:val="21"/>
        </w:rPr>
        <w:t>practitioners</w:t>
      </w:r>
      <w:r>
        <w:rPr>
          <w:spacing w:val="-8"/>
          <w:w w:val="105"/>
          <w:sz w:val="21"/>
        </w:rPr>
        <w:t> </w:t>
      </w:r>
      <w:r>
        <w:rPr>
          <w:w w:val="105"/>
          <w:sz w:val="21"/>
        </w:rPr>
        <w:t>in</w:t>
      </w:r>
      <w:r>
        <w:rPr>
          <w:spacing w:val="-7"/>
          <w:w w:val="105"/>
          <w:sz w:val="21"/>
        </w:rPr>
        <w:t> </w:t>
      </w:r>
      <w:r>
        <w:rPr>
          <w:spacing w:val="-4"/>
          <w:w w:val="105"/>
          <w:sz w:val="21"/>
        </w:rPr>
        <w:t>Colac</w:t>
      </w:r>
      <w:r>
        <w:rPr>
          <w:spacing w:val="-8"/>
          <w:w w:val="105"/>
          <w:sz w:val="21"/>
        </w:rPr>
        <w:t> </w:t>
      </w:r>
      <w:r>
        <w:rPr>
          <w:w w:val="105"/>
          <w:sz w:val="21"/>
        </w:rPr>
        <w:t>did</w:t>
      </w:r>
      <w:r>
        <w:rPr>
          <w:spacing w:val="-8"/>
          <w:w w:val="105"/>
          <w:sz w:val="21"/>
        </w:rPr>
        <w:t> </w:t>
      </w:r>
      <w:r>
        <w:rPr>
          <w:spacing w:val="-2"/>
          <w:w w:val="105"/>
          <w:sz w:val="21"/>
        </w:rPr>
        <w:t>not</w:t>
      </w:r>
      <w:r>
        <w:rPr>
          <w:spacing w:val="-8"/>
          <w:w w:val="105"/>
          <w:sz w:val="21"/>
        </w:rPr>
        <w:t> </w:t>
      </w:r>
      <w:r>
        <w:rPr>
          <w:spacing w:val="-3"/>
          <w:w w:val="105"/>
          <w:sz w:val="21"/>
        </w:rPr>
        <w:t>consider</w:t>
      </w:r>
      <w:r>
        <w:rPr>
          <w:spacing w:val="-8"/>
          <w:w w:val="105"/>
          <w:sz w:val="21"/>
        </w:rPr>
        <w:t> </w:t>
      </w:r>
      <w:r>
        <w:rPr>
          <w:w w:val="105"/>
          <w:sz w:val="21"/>
        </w:rPr>
        <w:t>it</w:t>
      </w:r>
      <w:r>
        <w:rPr>
          <w:spacing w:val="-7"/>
          <w:w w:val="105"/>
          <w:sz w:val="21"/>
        </w:rPr>
        <w:t> </w:t>
      </w:r>
      <w:r>
        <w:rPr>
          <w:w w:val="105"/>
          <w:sz w:val="21"/>
        </w:rPr>
        <w:t>difficult </w:t>
      </w:r>
      <w:r>
        <w:rPr>
          <w:spacing w:val="-3"/>
          <w:w w:val="105"/>
          <w:sz w:val="21"/>
        </w:rPr>
        <w:t>to </w:t>
      </w:r>
      <w:r>
        <w:rPr>
          <w:w w:val="105"/>
          <w:sz w:val="21"/>
        </w:rPr>
        <w:t>advise a </w:t>
      </w:r>
      <w:r>
        <w:rPr>
          <w:spacing w:val="-3"/>
          <w:w w:val="105"/>
          <w:sz w:val="21"/>
        </w:rPr>
        <w:t>client </w:t>
      </w:r>
      <w:r>
        <w:rPr>
          <w:w w:val="105"/>
          <w:sz w:val="21"/>
        </w:rPr>
        <w:t>about whether they </w:t>
      </w:r>
      <w:r>
        <w:rPr>
          <w:spacing w:val="-3"/>
          <w:w w:val="105"/>
          <w:sz w:val="21"/>
        </w:rPr>
        <w:t>have </w:t>
      </w:r>
      <w:r>
        <w:rPr>
          <w:w w:val="105"/>
          <w:sz w:val="21"/>
        </w:rPr>
        <w:t>a </w:t>
      </w:r>
      <w:r>
        <w:rPr>
          <w:spacing w:val="-3"/>
          <w:w w:val="105"/>
          <w:sz w:val="21"/>
        </w:rPr>
        <w:t>valid</w:t>
      </w:r>
      <w:r>
        <w:rPr>
          <w:spacing w:val="-2"/>
          <w:w w:val="105"/>
          <w:sz w:val="21"/>
        </w:rPr>
        <w:t> </w:t>
      </w:r>
      <w:r>
        <w:rPr>
          <w:w w:val="105"/>
          <w:sz w:val="21"/>
        </w:rPr>
        <w:t>claim.</w:t>
      </w:r>
      <w:r>
        <w:rPr>
          <w:w w:val="105"/>
          <w:position w:val="7"/>
          <w:sz w:val="12"/>
        </w:rPr>
        <w:t>44</w:t>
      </w:r>
    </w:p>
    <w:p>
      <w:pPr>
        <w:pStyle w:val="BodyText"/>
        <w:spacing w:before="5"/>
        <w:rPr>
          <w:sz w:val="27"/>
        </w:rPr>
      </w:pPr>
    </w:p>
    <w:p>
      <w:pPr>
        <w:pStyle w:val="Heading6"/>
      </w:pPr>
      <w:r>
        <w:rPr>
          <w:w w:val="115"/>
        </w:rPr>
        <w:t>Non-financial costs</w:t>
      </w:r>
    </w:p>
    <w:p>
      <w:pPr>
        <w:pStyle w:val="ListParagraph"/>
        <w:numPr>
          <w:ilvl w:val="1"/>
          <w:numId w:val="22"/>
        </w:numPr>
        <w:tabs>
          <w:tab w:pos="2381" w:val="left" w:leader="none"/>
          <w:tab w:pos="2382" w:val="left" w:leader="none"/>
        </w:tabs>
        <w:spacing w:line="242" w:lineRule="auto" w:before="151" w:after="0"/>
        <w:ind w:left="2381" w:right="1707" w:hanging="794"/>
        <w:jc w:val="left"/>
        <w:rPr>
          <w:sz w:val="12"/>
        </w:rPr>
      </w:pPr>
      <w:r>
        <w:rPr>
          <w:w w:val="105"/>
          <w:sz w:val="21"/>
        </w:rPr>
        <w:t>The time and mental energy demanded of the parties in </w:t>
      </w:r>
      <w:r>
        <w:rPr>
          <w:spacing w:val="-3"/>
          <w:w w:val="105"/>
          <w:sz w:val="21"/>
        </w:rPr>
        <w:t>family provision proceedings </w:t>
      </w:r>
      <w:r>
        <w:rPr>
          <w:w w:val="105"/>
          <w:sz w:val="21"/>
        </w:rPr>
        <w:t>is also at </w:t>
      </w:r>
      <w:r>
        <w:rPr>
          <w:spacing w:val="-3"/>
          <w:w w:val="105"/>
          <w:sz w:val="21"/>
        </w:rPr>
        <w:t>play </w:t>
      </w:r>
      <w:r>
        <w:rPr>
          <w:w w:val="105"/>
          <w:sz w:val="21"/>
        </w:rPr>
        <w:t>in decisions </w:t>
      </w:r>
      <w:r>
        <w:rPr>
          <w:spacing w:val="-3"/>
          <w:w w:val="105"/>
          <w:sz w:val="21"/>
        </w:rPr>
        <w:t>to </w:t>
      </w:r>
      <w:r>
        <w:rPr>
          <w:w w:val="105"/>
          <w:sz w:val="21"/>
        </w:rPr>
        <w:t>settle. Arnold Bloch Leibler </w:t>
      </w:r>
      <w:r>
        <w:rPr>
          <w:spacing w:val="-3"/>
          <w:w w:val="105"/>
          <w:sz w:val="21"/>
        </w:rPr>
        <w:t>noted that family embarrassment </w:t>
      </w:r>
      <w:r>
        <w:rPr>
          <w:w w:val="105"/>
          <w:sz w:val="21"/>
        </w:rPr>
        <w:t>and</w:t>
      </w:r>
      <w:r>
        <w:rPr>
          <w:spacing w:val="-9"/>
          <w:w w:val="105"/>
          <w:sz w:val="21"/>
        </w:rPr>
        <w:t> </w:t>
      </w:r>
      <w:r>
        <w:rPr>
          <w:w w:val="105"/>
          <w:sz w:val="21"/>
        </w:rPr>
        <w:t>the</w:t>
      </w:r>
      <w:r>
        <w:rPr>
          <w:spacing w:val="-8"/>
          <w:w w:val="105"/>
          <w:sz w:val="21"/>
        </w:rPr>
        <w:t> </w:t>
      </w:r>
      <w:r>
        <w:rPr>
          <w:spacing w:val="-3"/>
          <w:w w:val="105"/>
          <w:sz w:val="21"/>
        </w:rPr>
        <w:t>desire</w:t>
      </w:r>
      <w:r>
        <w:rPr>
          <w:spacing w:val="-8"/>
          <w:w w:val="105"/>
          <w:sz w:val="21"/>
        </w:rPr>
        <w:t> </w:t>
      </w:r>
      <w:r>
        <w:rPr>
          <w:spacing w:val="-3"/>
          <w:w w:val="105"/>
          <w:sz w:val="21"/>
        </w:rPr>
        <w:t>for</w:t>
      </w:r>
      <w:r>
        <w:rPr>
          <w:spacing w:val="-8"/>
          <w:w w:val="105"/>
          <w:sz w:val="21"/>
        </w:rPr>
        <w:t> </w:t>
      </w:r>
      <w:r>
        <w:rPr>
          <w:spacing w:val="-3"/>
          <w:w w:val="105"/>
          <w:sz w:val="21"/>
        </w:rPr>
        <w:t>confidentiality,</w:t>
      </w:r>
      <w:r>
        <w:rPr>
          <w:spacing w:val="-9"/>
          <w:w w:val="105"/>
          <w:sz w:val="21"/>
        </w:rPr>
        <w:t> </w:t>
      </w:r>
      <w:r>
        <w:rPr>
          <w:w w:val="105"/>
          <w:sz w:val="21"/>
        </w:rPr>
        <w:t>as</w:t>
      </w:r>
      <w:r>
        <w:rPr>
          <w:spacing w:val="-8"/>
          <w:w w:val="105"/>
          <w:sz w:val="21"/>
        </w:rPr>
        <w:t> </w:t>
      </w:r>
      <w:r>
        <w:rPr>
          <w:spacing w:val="-3"/>
          <w:w w:val="105"/>
          <w:sz w:val="21"/>
        </w:rPr>
        <w:t>well</w:t>
      </w:r>
      <w:r>
        <w:rPr>
          <w:spacing w:val="-8"/>
          <w:w w:val="105"/>
          <w:sz w:val="21"/>
        </w:rPr>
        <w:t> </w:t>
      </w:r>
      <w:r>
        <w:rPr>
          <w:w w:val="105"/>
          <w:sz w:val="21"/>
        </w:rPr>
        <w:t>as</w:t>
      </w:r>
      <w:r>
        <w:rPr>
          <w:spacing w:val="-8"/>
          <w:w w:val="105"/>
          <w:sz w:val="21"/>
        </w:rPr>
        <w:t> </w:t>
      </w:r>
      <w:r>
        <w:rPr>
          <w:spacing w:val="-3"/>
          <w:w w:val="105"/>
          <w:sz w:val="21"/>
        </w:rPr>
        <w:t>family</w:t>
      </w:r>
      <w:r>
        <w:rPr>
          <w:spacing w:val="-9"/>
          <w:w w:val="105"/>
          <w:sz w:val="21"/>
        </w:rPr>
        <w:t> </w:t>
      </w:r>
      <w:r>
        <w:rPr>
          <w:w w:val="105"/>
          <w:sz w:val="21"/>
        </w:rPr>
        <w:t>stress,</w:t>
      </w:r>
      <w:r>
        <w:rPr>
          <w:spacing w:val="-8"/>
          <w:w w:val="105"/>
          <w:sz w:val="21"/>
        </w:rPr>
        <w:t> </w:t>
      </w:r>
      <w:r>
        <w:rPr>
          <w:spacing w:val="-3"/>
          <w:w w:val="105"/>
          <w:sz w:val="21"/>
        </w:rPr>
        <w:t>contribute</w:t>
      </w:r>
      <w:r>
        <w:rPr>
          <w:spacing w:val="-8"/>
          <w:w w:val="105"/>
          <w:sz w:val="21"/>
        </w:rPr>
        <w:t> </w:t>
      </w:r>
      <w:r>
        <w:rPr>
          <w:spacing w:val="-3"/>
          <w:w w:val="105"/>
          <w:sz w:val="21"/>
        </w:rPr>
        <w:t>to</w:t>
      </w:r>
      <w:r>
        <w:rPr>
          <w:spacing w:val="-8"/>
          <w:w w:val="105"/>
          <w:sz w:val="21"/>
        </w:rPr>
        <w:t> </w:t>
      </w:r>
      <w:r>
        <w:rPr>
          <w:w w:val="105"/>
          <w:sz w:val="21"/>
        </w:rPr>
        <w:t>decisions</w:t>
      </w:r>
      <w:r>
        <w:rPr>
          <w:spacing w:val="-9"/>
          <w:w w:val="105"/>
          <w:sz w:val="21"/>
        </w:rPr>
        <w:t> </w:t>
      </w:r>
      <w:r>
        <w:rPr>
          <w:spacing w:val="-3"/>
          <w:w w:val="105"/>
          <w:sz w:val="21"/>
        </w:rPr>
        <w:t>to</w:t>
      </w:r>
      <w:r>
        <w:rPr>
          <w:spacing w:val="-8"/>
          <w:w w:val="105"/>
          <w:sz w:val="21"/>
        </w:rPr>
        <w:t> </w:t>
      </w:r>
      <w:r>
        <w:rPr>
          <w:w w:val="105"/>
          <w:sz w:val="21"/>
        </w:rPr>
        <w:t>settle </w:t>
      </w:r>
      <w:r>
        <w:rPr>
          <w:spacing w:val="-3"/>
          <w:w w:val="105"/>
          <w:sz w:val="21"/>
        </w:rPr>
        <w:t>family provision claims.</w:t>
      </w:r>
      <w:r>
        <w:rPr>
          <w:spacing w:val="-3"/>
          <w:w w:val="105"/>
          <w:position w:val="7"/>
          <w:sz w:val="12"/>
        </w:rPr>
        <w:t>45 </w:t>
      </w:r>
      <w:r>
        <w:rPr>
          <w:w w:val="105"/>
          <w:sz w:val="21"/>
        </w:rPr>
        <w:t>The Law </w:t>
      </w:r>
      <w:r>
        <w:rPr>
          <w:spacing w:val="-3"/>
          <w:w w:val="105"/>
          <w:sz w:val="21"/>
        </w:rPr>
        <w:t>Institute </w:t>
      </w:r>
      <w:r>
        <w:rPr>
          <w:w w:val="105"/>
          <w:sz w:val="21"/>
        </w:rPr>
        <w:t>of Victoria </w:t>
      </w:r>
      <w:r>
        <w:rPr>
          <w:spacing w:val="-3"/>
          <w:w w:val="105"/>
          <w:sz w:val="21"/>
        </w:rPr>
        <w:t>cited </w:t>
      </w:r>
      <w:r>
        <w:rPr>
          <w:w w:val="105"/>
          <w:sz w:val="21"/>
        </w:rPr>
        <w:t>‘the </w:t>
      </w:r>
      <w:r>
        <w:rPr>
          <w:spacing w:val="-3"/>
          <w:w w:val="105"/>
          <w:sz w:val="21"/>
        </w:rPr>
        <w:t>trauma </w:t>
      </w:r>
      <w:r>
        <w:rPr>
          <w:w w:val="105"/>
          <w:sz w:val="21"/>
        </w:rPr>
        <w:t>of going </w:t>
      </w:r>
      <w:r>
        <w:rPr>
          <w:spacing w:val="-3"/>
          <w:w w:val="105"/>
          <w:sz w:val="21"/>
        </w:rPr>
        <w:t>through </w:t>
      </w:r>
      <w:r>
        <w:rPr>
          <w:w w:val="105"/>
          <w:sz w:val="21"/>
        </w:rPr>
        <w:t>the process and a </w:t>
      </w:r>
      <w:r>
        <w:rPr>
          <w:spacing w:val="-3"/>
          <w:w w:val="105"/>
          <w:sz w:val="21"/>
        </w:rPr>
        <w:t>public hearing’ </w:t>
      </w:r>
      <w:r>
        <w:rPr>
          <w:w w:val="105"/>
          <w:sz w:val="21"/>
        </w:rPr>
        <w:t>as a reason </w:t>
      </w:r>
      <w:r>
        <w:rPr>
          <w:spacing w:val="-3"/>
          <w:w w:val="105"/>
          <w:sz w:val="21"/>
        </w:rPr>
        <w:t>for </w:t>
      </w:r>
      <w:r>
        <w:rPr>
          <w:w w:val="105"/>
          <w:sz w:val="21"/>
        </w:rPr>
        <w:t>settlement,</w:t>
      </w:r>
      <w:r>
        <w:rPr>
          <w:w w:val="105"/>
          <w:position w:val="7"/>
          <w:sz w:val="12"/>
        </w:rPr>
        <w:t>46 </w:t>
      </w:r>
      <w:r>
        <w:rPr>
          <w:w w:val="105"/>
          <w:sz w:val="21"/>
        </w:rPr>
        <w:t>and the </w:t>
      </w:r>
      <w:r>
        <w:rPr>
          <w:spacing w:val="-3"/>
          <w:w w:val="105"/>
          <w:sz w:val="21"/>
        </w:rPr>
        <w:t>Institute </w:t>
      </w:r>
      <w:r>
        <w:rPr>
          <w:w w:val="105"/>
          <w:sz w:val="21"/>
        </w:rPr>
        <w:t>of Legal Executives </w:t>
      </w:r>
      <w:r>
        <w:rPr>
          <w:spacing w:val="-3"/>
          <w:w w:val="105"/>
          <w:sz w:val="21"/>
        </w:rPr>
        <w:t>noted </w:t>
      </w:r>
      <w:r>
        <w:rPr>
          <w:w w:val="105"/>
          <w:sz w:val="21"/>
        </w:rPr>
        <w:t>the </w:t>
      </w:r>
      <w:r>
        <w:rPr>
          <w:spacing w:val="-3"/>
          <w:w w:val="105"/>
          <w:sz w:val="21"/>
        </w:rPr>
        <w:t>emotional </w:t>
      </w:r>
      <w:r>
        <w:rPr>
          <w:w w:val="105"/>
          <w:sz w:val="21"/>
        </w:rPr>
        <w:t>effort </w:t>
      </w:r>
      <w:r>
        <w:rPr>
          <w:spacing w:val="-3"/>
          <w:w w:val="105"/>
          <w:sz w:val="21"/>
        </w:rPr>
        <w:t>involved for </w:t>
      </w:r>
      <w:r>
        <w:rPr>
          <w:w w:val="105"/>
          <w:sz w:val="21"/>
        </w:rPr>
        <w:t>parties if a matter </w:t>
      </w:r>
      <w:r>
        <w:rPr>
          <w:spacing w:val="-5"/>
          <w:w w:val="105"/>
          <w:sz w:val="21"/>
        </w:rPr>
        <w:t>‘drags</w:t>
      </w:r>
      <w:r>
        <w:rPr>
          <w:spacing w:val="13"/>
          <w:w w:val="105"/>
          <w:sz w:val="21"/>
        </w:rPr>
        <w:t> </w:t>
      </w:r>
      <w:r>
        <w:rPr>
          <w:spacing w:val="-6"/>
          <w:w w:val="105"/>
          <w:sz w:val="21"/>
        </w:rPr>
        <w:t>on’.</w:t>
      </w:r>
      <w:r>
        <w:rPr>
          <w:spacing w:val="-6"/>
          <w:w w:val="105"/>
          <w:position w:val="7"/>
          <w:sz w:val="12"/>
        </w:rPr>
        <w:t>47</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5"/>
        </w:rPr>
      </w:pPr>
      <w:r>
        <w:rPr/>
        <w:pict>
          <v:line style="position:absolute;mso-position-horizontal-relative:page;mso-position-vertical-relative:paragraph;z-index:6776;mso-wrap-distance-left:0;mso-wrap-distance-right:0" from="79.370102pt,17.809044pt" to="515.905102pt,17.809044pt" stroked="true" strokeweight="1pt" strokecolor="#f9ceca">
            <v:stroke dashstyle="solid"/>
            <w10:wrap type="topAndBottom"/>
          </v:line>
        </w:pict>
      </w:r>
    </w:p>
    <w:p>
      <w:pPr>
        <w:pStyle w:val="BodyText"/>
        <w:spacing w:before="8"/>
        <w:rPr>
          <w:sz w:val="5"/>
        </w:rPr>
      </w:pPr>
    </w:p>
    <w:p>
      <w:pPr>
        <w:spacing w:after="0"/>
        <w:rPr>
          <w:sz w:val="5"/>
        </w:rPr>
        <w:sectPr>
          <w:pgSz w:w="11910" w:h="16840"/>
          <w:pgMar w:header="550" w:footer="0" w:top="1560" w:bottom="280" w:left="0" w:right="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1"/>
        <w:rPr>
          <w:sz w:val="26"/>
        </w:rPr>
      </w:pPr>
    </w:p>
    <w:p>
      <w:pPr>
        <w:spacing w:before="0"/>
        <w:ind w:left="720" w:right="0" w:firstLine="0"/>
        <w:jc w:val="left"/>
        <w:rPr>
          <w:b/>
          <w:sz w:val="24"/>
        </w:rPr>
      </w:pPr>
      <w:r>
        <w:rPr>
          <w:b/>
          <w:color w:val="EC5A4F"/>
          <w:spacing w:val="-3"/>
          <w:w w:val="110"/>
          <w:sz w:val="24"/>
        </w:rPr>
        <w:t>102</w:t>
      </w:r>
    </w:p>
    <w:p>
      <w:pPr>
        <w:pStyle w:val="ListParagraph"/>
        <w:numPr>
          <w:ilvl w:val="0"/>
          <w:numId w:val="79"/>
        </w:numPr>
        <w:tabs>
          <w:tab w:pos="1228" w:val="left" w:leader="none"/>
          <w:tab w:pos="1229" w:val="left" w:leader="none"/>
        </w:tabs>
        <w:spacing w:line="240" w:lineRule="auto" w:before="48" w:after="0"/>
        <w:ind w:left="1228" w:right="0" w:hanging="794"/>
        <w:jc w:val="left"/>
        <w:rPr>
          <w:sz w:val="13"/>
        </w:rPr>
      </w:pPr>
      <w:r>
        <w:rPr>
          <w:w w:val="108"/>
          <w:sz w:val="13"/>
        </w:rPr>
        <w:br w:type="column"/>
      </w:r>
      <w:r>
        <w:rPr>
          <w:w w:val="105"/>
          <w:sz w:val="13"/>
        </w:rPr>
        <w:t>Submissions</w:t>
      </w:r>
      <w:r>
        <w:rPr>
          <w:spacing w:val="5"/>
          <w:w w:val="105"/>
          <w:sz w:val="13"/>
        </w:rPr>
        <w:t> </w:t>
      </w:r>
      <w:r>
        <w:rPr>
          <w:spacing w:val="-3"/>
          <w:w w:val="105"/>
          <w:sz w:val="13"/>
        </w:rPr>
        <w:t>15</w:t>
      </w:r>
      <w:r>
        <w:rPr>
          <w:spacing w:val="5"/>
          <w:w w:val="105"/>
          <w:sz w:val="13"/>
        </w:rPr>
        <w:t> </w:t>
      </w:r>
      <w:r>
        <w:rPr>
          <w:w w:val="105"/>
          <w:sz w:val="13"/>
        </w:rPr>
        <w:t>(Alzheimer’s</w:t>
      </w:r>
      <w:r>
        <w:rPr>
          <w:spacing w:val="5"/>
          <w:w w:val="105"/>
          <w:sz w:val="13"/>
        </w:rPr>
        <w:t> </w:t>
      </w:r>
      <w:r>
        <w:rPr>
          <w:w w:val="105"/>
          <w:sz w:val="13"/>
        </w:rPr>
        <w:t>Australia);</w:t>
      </w:r>
      <w:r>
        <w:rPr>
          <w:spacing w:val="5"/>
          <w:w w:val="105"/>
          <w:sz w:val="13"/>
        </w:rPr>
        <w:t> </w:t>
      </w:r>
      <w:r>
        <w:rPr>
          <w:w w:val="105"/>
          <w:sz w:val="13"/>
        </w:rPr>
        <w:t>20</w:t>
      </w:r>
      <w:r>
        <w:rPr>
          <w:spacing w:val="5"/>
          <w:w w:val="105"/>
          <w:sz w:val="13"/>
        </w:rPr>
        <w:t> </w:t>
      </w:r>
      <w:r>
        <w:rPr>
          <w:w w:val="105"/>
          <w:sz w:val="13"/>
        </w:rPr>
        <w:t>(Include</w:t>
      </w:r>
      <w:r>
        <w:rPr>
          <w:spacing w:val="5"/>
          <w:w w:val="105"/>
          <w:sz w:val="13"/>
        </w:rPr>
        <w:t> </w:t>
      </w:r>
      <w:r>
        <w:rPr>
          <w:w w:val="105"/>
          <w:sz w:val="13"/>
        </w:rPr>
        <w:t>a</w:t>
      </w:r>
      <w:r>
        <w:rPr>
          <w:spacing w:val="5"/>
          <w:w w:val="105"/>
          <w:sz w:val="13"/>
        </w:rPr>
        <w:t> </w:t>
      </w:r>
      <w:r>
        <w:rPr>
          <w:w w:val="105"/>
          <w:sz w:val="13"/>
        </w:rPr>
        <w:t>Charity);</w:t>
      </w:r>
      <w:r>
        <w:rPr>
          <w:spacing w:val="5"/>
          <w:w w:val="105"/>
          <w:sz w:val="13"/>
        </w:rPr>
        <w:t> </w:t>
      </w:r>
      <w:r>
        <w:rPr>
          <w:w w:val="105"/>
          <w:sz w:val="13"/>
        </w:rPr>
        <w:t>24</w:t>
      </w:r>
      <w:r>
        <w:rPr>
          <w:spacing w:val="5"/>
          <w:w w:val="105"/>
          <w:sz w:val="13"/>
        </w:rPr>
        <w:t> </w:t>
      </w:r>
      <w:r>
        <w:rPr>
          <w:w w:val="105"/>
          <w:sz w:val="13"/>
        </w:rPr>
        <w:t>(Royal</w:t>
      </w:r>
      <w:r>
        <w:rPr>
          <w:spacing w:val="5"/>
          <w:w w:val="105"/>
          <w:sz w:val="13"/>
        </w:rPr>
        <w:t> </w:t>
      </w:r>
      <w:r>
        <w:rPr>
          <w:w w:val="105"/>
          <w:sz w:val="13"/>
        </w:rPr>
        <w:t>Society</w:t>
      </w:r>
      <w:r>
        <w:rPr>
          <w:spacing w:val="5"/>
          <w:w w:val="105"/>
          <w:sz w:val="13"/>
        </w:rPr>
        <w:t> </w:t>
      </w:r>
      <w:r>
        <w:rPr>
          <w:w w:val="105"/>
          <w:sz w:val="13"/>
        </w:rPr>
        <w:t>for</w:t>
      </w:r>
      <w:r>
        <w:rPr>
          <w:spacing w:val="5"/>
          <w:w w:val="105"/>
          <w:sz w:val="13"/>
        </w:rPr>
        <w:t> </w:t>
      </w:r>
      <w:r>
        <w:rPr>
          <w:w w:val="105"/>
          <w:sz w:val="13"/>
        </w:rPr>
        <w:t>the</w:t>
      </w:r>
      <w:r>
        <w:rPr>
          <w:spacing w:val="5"/>
          <w:w w:val="105"/>
          <w:sz w:val="13"/>
        </w:rPr>
        <w:t> </w:t>
      </w:r>
      <w:r>
        <w:rPr>
          <w:w w:val="105"/>
          <w:sz w:val="13"/>
        </w:rPr>
        <w:t>Prevention</w:t>
      </w:r>
      <w:r>
        <w:rPr>
          <w:spacing w:val="5"/>
          <w:w w:val="105"/>
          <w:sz w:val="13"/>
        </w:rPr>
        <w:t> </w:t>
      </w:r>
      <w:r>
        <w:rPr>
          <w:w w:val="105"/>
          <w:sz w:val="13"/>
        </w:rPr>
        <w:t>of</w:t>
      </w:r>
      <w:r>
        <w:rPr>
          <w:spacing w:val="5"/>
          <w:w w:val="105"/>
          <w:sz w:val="13"/>
        </w:rPr>
        <w:t> </w:t>
      </w:r>
      <w:r>
        <w:rPr>
          <w:w w:val="105"/>
          <w:sz w:val="13"/>
        </w:rPr>
        <w:t>Cruelty</w:t>
      </w:r>
      <w:r>
        <w:rPr>
          <w:spacing w:val="5"/>
          <w:w w:val="105"/>
          <w:sz w:val="13"/>
        </w:rPr>
        <w:t> </w:t>
      </w:r>
      <w:r>
        <w:rPr>
          <w:w w:val="105"/>
          <w:sz w:val="13"/>
        </w:rPr>
        <w:t>to</w:t>
      </w:r>
      <w:r>
        <w:rPr>
          <w:spacing w:val="5"/>
          <w:w w:val="105"/>
          <w:sz w:val="13"/>
        </w:rPr>
        <w:t> </w:t>
      </w:r>
      <w:r>
        <w:rPr>
          <w:w w:val="105"/>
          <w:sz w:val="13"/>
        </w:rPr>
        <w:t>Animals).</w:t>
      </w:r>
    </w:p>
    <w:p>
      <w:pPr>
        <w:pStyle w:val="ListParagraph"/>
        <w:numPr>
          <w:ilvl w:val="0"/>
          <w:numId w:val="79"/>
        </w:numPr>
        <w:tabs>
          <w:tab w:pos="1228" w:val="left" w:leader="none"/>
          <w:tab w:pos="1229" w:val="left" w:leader="none"/>
        </w:tabs>
        <w:spacing w:line="240" w:lineRule="auto" w:before="1" w:after="0"/>
        <w:ind w:left="1228" w:right="0" w:hanging="794"/>
        <w:jc w:val="left"/>
        <w:rPr>
          <w:sz w:val="13"/>
        </w:rPr>
      </w:pPr>
      <w:r>
        <w:rPr>
          <w:w w:val="105"/>
          <w:sz w:val="13"/>
        </w:rPr>
        <w:t>Submissions</w:t>
      </w:r>
      <w:r>
        <w:rPr>
          <w:spacing w:val="4"/>
          <w:w w:val="105"/>
          <w:sz w:val="13"/>
        </w:rPr>
        <w:t> </w:t>
      </w:r>
      <w:r>
        <w:rPr>
          <w:w w:val="105"/>
          <w:sz w:val="13"/>
        </w:rPr>
        <w:t>20</w:t>
      </w:r>
      <w:r>
        <w:rPr>
          <w:spacing w:val="5"/>
          <w:w w:val="105"/>
          <w:sz w:val="13"/>
        </w:rPr>
        <w:t> </w:t>
      </w:r>
      <w:r>
        <w:rPr>
          <w:w w:val="105"/>
          <w:sz w:val="13"/>
        </w:rPr>
        <w:t>(Include</w:t>
      </w:r>
      <w:r>
        <w:rPr>
          <w:spacing w:val="5"/>
          <w:w w:val="105"/>
          <w:sz w:val="13"/>
        </w:rPr>
        <w:t> </w:t>
      </w:r>
      <w:r>
        <w:rPr>
          <w:w w:val="105"/>
          <w:sz w:val="13"/>
        </w:rPr>
        <w:t>a</w:t>
      </w:r>
      <w:r>
        <w:rPr>
          <w:spacing w:val="5"/>
          <w:w w:val="105"/>
          <w:sz w:val="13"/>
        </w:rPr>
        <w:t> </w:t>
      </w:r>
      <w:r>
        <w:rPr>
          <w:w w:val="105"/>
          <w:sz w:val="13"/>
        </w:rPr>
        <w:t>Charity);</w:t>
      </w:r>
      <w:r>
        <w:rPr>
          <w:spacing w:val="4"/>
          <w:w w:val="105"/>
          <w:sz w:val="13"/>
        </w:rPr>
        <w:t> </w:t>
      </w:r>
      <w:r>
        <w:rPr>
          <w:w w:val="105"/>
          <w:sz w:val="13"/>
        </w:rPr>
        <w:t>24</w:t>
      </w:r>
      <w:r>
        <w:rPr>
          <w:spacing w:val="5"/>
          <w:w w:val="105"/>
          <w:sz w:val="13"/>
        </w:rPr>
        <w:t> </w:t>
      </w:r>
      <w:r>
        <w:rPr>
          <w:w w:val="105"/>
          <w:sz w:val="13"/>
        </w:rPr>
        <w:t>(Royal</w:t>
      </w:r>
      <w:r>
        <w:rPr>
          <w:spacing w:val="5"/>
          <w:w w:val="105"/>
          <w:sz w:val="13"/>
        </w:rPr>
        <w:t> </w:t>
      </w:r>
      <w:r>
        <w:rPr>
          <w:w w:val="105"/>
          <w:sz w:val="13"/>
        </w:rPr>
        <w:t>Society</w:t>
      </w:r>
      <w:r>
        <w:rPr>
          <w:spacing w:val="5"/>
          <w:w w:val="105"/>
          <w:sz w:val="13"/>
        </w:rPr>
        <w:t> </w:t>
      </w:r>
      <w:r>
        <w:rPr>
          <w:w w:val="105"/>
          <w:sz w:val="13"/>
        </w:rPr>
        <w:t>for</w:t>
      </w:r>
      <w:r>
        <w:rPr>
          <w:spacing w:val="5"/>
          <w:w w:val="105"/>
          <w:sz w:val="13"/>
        </w:rPr>
        <w:t> </w:t>
      </w:r>
      <w:r>
        <w:rPr>
          <w:w w:val="105"/>
          <w:sz w:val="13"/>
        </w:rPr>
        <w:t>the</w:t>
      </w:r>
      <w:r>
        <w:rPr>
          <w:spacing w:val="4"/>
          <w:w w:val="105"/>
          <w:sz w:val="13"/>
        </w:rPr>
        <w:t> </w:t>
      </w:r>
      <w:r>
        <w:rPr>
          <w:w w:val="105"/>
          <w:sz w:val="13"/>
        </w:rPr>
        <w:t>Prevention</w:t>
      </w:r>
      <w:r>
        <w:rPr>
          <w:spacing w:val="5"/>
          <w:w w:val="105"/>
          <w:sz w:val="13"/>
        </w:rPr>
        <w:t> </w:t>
      </w:r>
      <w:r>
        <w:rPr>
          <w:w w:val="105"/>
          <w:sz w:val="13"/>
        </w:rPr>
        <w:t>of</w:t>
      </w:r>
      <w:r>
        <w:rPr>
          <w:spacing w:val="5"/>
          <w:w w:val="105"/>
          <w:sz w:val="13"/>
        </w:rPr>
        <w:t> </w:t>
      </w:r>
      <w:r>
        <w:rPr>
          <w:w w:val="105"/>
          <w:sz w:val="13"/>
        </w:rPr>
        <w:t>Cruelty</w:t>
      </w:r>
      <w:r>
        <w:rPr>
          <w:spacing w:val="5"/>
          <w:w w:val="105"/>
          <w:sz w:val="13"/>
        </w:rPr>
        <w:t> </w:t>
      </w:r>
      <w:r>
        <w:rPr>
          <w:w w:val="105"/>
          <w:sz w:val="13"/>
        </w:rPr>
        <w:t>of</w:t>
      </w:r>
      <w:r>
        <w:rPr>
          <w:spacing w:val="4"/>
          <w:w w:val="105"/>
          <w:sz w:val="13"/>
        </w:rPr>
        <w:t> </w:t>
      </w:r>
      <w:r>
        <w:rPr>
          <w:w w:val="105"/>
          <w:sz w:val="13"/>
        </w:rPr>
        <w:t>Animals).</w:t>
      </w:r>
    </w:p>
    <w:p>
      <w:pPr>
        <w:pStyle w:val="ListParagraph"/>
        <w:numPr>
          <w:ilvl w:val="0"/>
          <w:numId w:val="79"/>
        </w:numPr>
        <w:tabs>
          <w:tab w:pos="1228" w:val="left" w:leader="none"/>
          <w:tab w:pos="1229" w:val="left" w:leader="none"/>
        </w:tabs>
        <w:spacing w:line="240" w:lineRule="auto" w:before="2" w:after="0"/>
        <w:ind w:left="1228" w:right="0" w:hanging="794"/>
        <w:jc w:val="left"/>
        <w:rPr>
          <w:sz w:val="13"/>
        </w:rPr>
      </w:pPr>
      <w:r>
        <w:rPr>
          <w:w w:val="105"/>
          <w:sz w:val="13"/>
        </w:rPr>
        <w:t>Submission 25 </w:t>
      </w:r>
      <w:r>
        <w:rPr>
          <w:spacing w:val="2"/>
          <w:w w:val="105"/>
          <w:sz w:val="13"/>
        </w:rPr>
        <w:t>(Moores</w:t>
      </w:r>
      <w:r>
        <w:rPr>
          <w:spacing w:val="13"/>
          <w:w w:val="105"/>
          <w:sz w:val="13"/>
        </w:rPr>
        <w:t> </w:t>
      </w:r>
      <w:r>
        <w:rPr>
          <w:w w:val="105"/>
          <w:sz w:val="13"/>
        </w:rPr>
        <w:t>Legal).</w:t>
      </w:r>
    </w:p>
    <w:p>
      <w:pPr>
        <w:pStyle w:val="ListParagraph"/>
        <w:numPr>
          <w:ilvl w:val="0"/>
          <w:numId w:val="79"/>
        </w:numPr>
        <w:tabs>
          <w:tab w:pos="1228" w:val="left" w:leader="none"/>
          <w:tab w:pos="1229" w:val="left" w:leader="none"/>
        </w:tabs>
        <w:spacing w:line="240" w:lineRule="auto" w:before="1" w:after="0"/>
        <w:ind w:left="1228" w:right="0" w:hanging="794"/>
        <w:jc w:val="left"/>
        <w:rPr>
          <w:sz w:val="13"/>
        </w:rPr>
      </w:pPr>
      <w:r>
        <w:rPr>
          <w:sz w:val="13"/>
        </w:rPr>
        <w:t>Ibid.</w:t>
      </w:r>
    </w:p>
    <w:p>
      <w:pPr>
        <w:pStyle w:val="ListParagraph"/>
        <w:numPr>
          <w:ilvl w:val="0"/>
          <w:numId w:val="79"/>
        </w:numPr>
        <w:tabs>
          <w:tab w:pos="1228" w:val="left" w:leader="none"/>
          <w:tab w:pos="1229" w:val="left" w:leader="none"/>
        </w:tabs>
        <w:spacing w:line="240" w:lineRule="auto" w:before="1" w:after="0"/>
        <w:ind w:left="1228" w:right="0" w:hanging="794"/>
        <w:jc w:val="left"/>
        <w:rPr>
          <w:sz w:val="13"/>
        </w:rPr>
      </w:pPr>
      <w:r>
        <w:rPr>
          <w:w w:val="105"/>
          <w:sz w:val="13"/>
        </w:rPr>
        <w:t>Submission 26 </w:t>
      </w:r>
      <w:r>
        <w:rPr>
          <w:spacing w:val="2"/>
          <w:w w:val="105"/>
          <w:sz w:val="13"/>
        </w:rPr>
        <w:t>(Rigby </w:t>
      </w:r>
      <w:r>
        <w:rPr>
          <w:w w:val="105"/>
          <w:sz w:val="13"/>
        </w:rPr>
        <w:t>Cooke</w:t>
      </w:r>
      <w:r>
        <w:rPr>
          <w:spacing w:val="26"/>
          <w:w w:val="105"/>
          <w:sz w:val="13"/>
        </w:rPr>
        <w:t> </w:t>
      </w:r>
      <w:r>
        <w:rPr>
          <w:spacing w:val="2"/>
          <w:w w:val="105"/>
          <w:sz w:val="13"/>
        </w:rPr>
        <w:t>Lawyers).</w:t>
      </w:r>
    </w:p>
    <w:p>
      <w:pPr>
        <w:pStyle w:val="ListParagraph"/>
        <w:numPr>
          <w:ilvl w:val="0"/>
          <w:numId w:val="79"/>
        </w:numPr>
        <w:tabs>
          <w:tab w:pos="1228" w:val="left" w:leader="none"/>
          <w:tab w:pos="1229" w:val="left" w:leader="none"/>
        </w:tabs>
        <w:spacing w:line="240" w:lineRule="auto" w:before="2" w:after="0"/>
        <w:ind w:left="1228" w:right="0" w:hanging="794"/>
        <w:jc w:val="left"/>
        <w:rPr>
          <w:sz w:val="13"/>
        </w:rPr>
      </w:pPr>
      <w:r>
        <w:rPr>
          <w:w w:val="105"/>
          <w:sz w:val="13"/>
        </w:rPr>
        <w:t>Submission 42b (Arnold Bloch </w:t>
      </w:r>
      <w:r>
        <w:rPr>
          <w:spacing w:val="6"/>
          <w:w w:val="105"/>
          <w:sz w:val="13"/>
        </w:rPr>
        <w:t> </w:t>
      </w:r>
      <w:r>
        <w:rPr>
          <w:w w:val="105"/>
          <w:sz w:val="13"/>
        </w:rPr>
        <w:t>Leibler).</w:t>
      </w:r>
    </w:p>
    <w:p>
      <w:pPr>
        <w:pStyle w:val="ListParagraph"/>
        <w:numPr>
          <w:ilvl w:val="0"/>
          <w:numId w:val="79"/>
        </w:numPr>
        <w:tabs>
          <w:tab w:pos="1228" w:val="left" w:leader="none"/>
          <w:tab w:pos="1229" w:val="left" w:leader="none"/>
        </w:tabs>
        <w:spacing w:line="240" w:lineRule="auto" w:before="1" w:after="0"/>
        <w:ind w:left="1228" w:right="0" w:hanging="794"/>
        <w:jc w:val="left"/>
        <w:rPr>
          <w:sz w:val="13"/>
        </w:rPr>
      </w:pPr>
      <w:r>
        <w:rPr>
          <w:w w:val="105"/>
          <w:sz w:val="13"/>
        </w:rPr>
        <w:t>Consultation 6 </w:t>
      </w:r>
      <w:r>
        <w:rPr>
          <w:spacing w:val="3"/>
          <w:w w:val="105"/>
          <w:sz w:val="13"/>
        </w:rPr>
        <w:t>(Law </w:t>
      </w:r>
      <w:r>
        <w:rPr>
          <w:w w:val="105"/>
          <w:sz w:val="13"/>
        </w:rPr>
        <w:t>Institute of Victoria Succession Law</w:t>
      </w:r>
      <w:r>
        <w:rPr>
          <w:spacing w:val="4"/>
          <w:w w:val="105"/>
          <w:sz w:val="13"/>
        </w:rPr>
        <w:t> </w:t>
      </w:r>
      <w:r>
        <w:rPr>
          <w:w w:val="105"/>
          <w:sz w:val="13"/>
        </w:rPr>
        <w:t>Committee).</w:t>
      </w:r>
    </w:p>
    <w:p>
      <w:pPr>
        <w:pStyle w:val="ListParagraph"/>
        <w:numPr>
          <w:ilvl w:val="0"/>
          <w:numId w:val="79"/>
        </w:numPr>
        <w:tabs>
          <w:tab w:pos="1228" w:val="left" w:leader="none"/>
          <w:tab w:pos="1229" w:val="left" w:leader="none"/>
        </w:tabs>
        <w:spacing w:line="240" w:lineRule="auto" w:before="1" w:after="0"/>
        <w:ind w:left="1228" w:right="0" w:hanging="794"/>
        <w:jc w:val="left"/>
        <w:rPr>
          <w:sz w:val="13"/>
        </w:rPr>
      </w:pPr>
      <w:r>
        <w:rPr>
          <w:w w:val="105"/>
          <w:sz w:val="13"/>
        </w:rPr>
        <w:t>Submission 37 (Supreme Court of</w:t>
      </w:r>
      <w:r>
        <w:rPr>
          <w:spacing w:val="22"/>
          <w:w w:val="105"/>
          <w:sz w:val="13"/>
        </w:rPr>
        <w:t> </w:t>
      </w:r>
      <w:r>
        <w:rPr>
          <w:spacing w:val="2"/>
          <w:w w:val="105"/>
          <w:sz w:val="13"/>
        </w:rPr>
        <w:t>Victoria).</w:t>
      </w:r>
    </w:p>
    <w:p>
      <w:pPr>
        <w:pStyle w:val="ListParagraph"/>
        <w:numPr>
          <w:ilvl w:val="0"/>
          <w:numId w:val="79"/>
        </w:numPr>
        <w:tabs>
          <w:tab w:pos="1228" w:val="left" w:leader="none"/>
          <w:tab w:pos="1229" w:val="left" w:leader="none"/>
        </w:tabs>
        <w:spacing w:line="240" w:lineRule="auto" w:before="2" w:after="0"/>
        <w:ind w:left="1228" w:right="0" w:hanging="794"/>
        <w:jc w:val="left"/>
        <w:rPr>
          <w:sz w:val="13"/>
        </w:rPr>
      </w:pPr>
      <w:r>
        <w:rPr>
          <w:w w:val="105"/>
          <w:sz w:val="13"/>
        </w:rPr>
        <w:t>Submissions 30a </w:t>
      </w:r>
      <w:r>
        <w:rPr>
          <w:spacing w:val="3"/>
          <w:w w:val="105"/>
          <w:sz w:val="13"/>
        </w:rPr>
        <w:t>(Law </w:t>
      </w:r>
      <w:r>
        <w:rPr>
          <w:w w:val="105"/>
          <w:sz w:val="13"/>
        </w:rPr>
        <w:t>Institute of </w:t>
      </w:r>
      <w:r>
        <w:rPr>
          <w:spacing w:val="2"/>
          <w:w w:val="105"/>
          <w:sz w:val="13"/>
        </w:rPr>
        <w:t>Victoria); </w:t>
      </w:r>
      <w:r>
        <w:rPr>
          <w:w w:val="105"/>
          <w:sz w:val="13"/>
        </w:rPr>
        <w:t>35 (Andrew</w:t>
      </w:r>
      <w:r>
        <w:rPr>
          <w:spacing w:val="1"/>
          <w:w w:val="105"/>
          <w:sz w:val="13"/>
        </w:rPr>
        <w:t> </w:t>
      </w:r>
      <w:r>
        <w:rPr>
          <w:w w:val="105"/>
          <w:sz w:val="13"/>
        </w:rPr>
        <w:t>Verspaandonk).</w:t>
      </w:r>
    </w:p>
    <w:p>
      <w:pPr>
        <w:pStyle w:val="ListParagraph"/>
        <w:numPr>
          <w:ilvl w:val="0"/>
          <w:numId w:val="79"/>
        </w:numPr>
        <w:tabs>
          <w:tab w:pos="1228" w:val="left" w:leader="none"/>
          <w:tab w:pos="1229" w:val="left" w:leader="none"/>
        </w:tabs>
        <w:spacing w:line="240" w:lineRule="auto" w:before="1" w:after="0"/>
        <w:ind w:left="1228" w:right="0" w:hanging="794"/>
        <w:jc w:val="left"/>
        <w:rPr>
          <w:sz w:val="13"/>
        </w:rPr>
      </w:pPr>
      <w:r>
        <w:rPr>
          <w:w w:val="105"/>
          <w:sz w:val="13"/>
        </w:rPr>
        <w:t>Submission 35 (Andrew</w:t>
      </w:r>
      <w:r>
        <w:rPr>
          <w:spacing w:val="14"/>
          <w:w w:val="105"/>
          <w:sz w:val="13"/>
        </w:rPr>
        <w:t> </w:t>
      </w:r>
      <w:r>
        <w:rPr>
          <w:w w:val="105"/>
          <w:sz w:val="13"/>
        </w:rPr>
        <w:t>Verspaandonk).</w:t>
      </w:r>
    </w:p>
    <w:p>
      <w:pPr>
        <w:pStyle w:val="ListParagraph"/>
        <w:numPr>
          <w:ilvl w:val="0"/>
          <w:numId w:val="79"/>
        </w:numPr>
        <w:tabs>
          <w:tab w:pos="1228" w:val="left" w:leader="none"/>
          <w:tab w:pos="1229" w:val="left" w:leader="none"/>
        </w:tabs>
        <w:spacing w:line="240" w:lineRule="auto" w:before="1" w:after="0"/>
        <w:ind w:left="1228" w:right="0" w:hanging="794"/>
        <w:jc w:val="left"/>
        <w:rPr>
          <w:sz w:val="13"/>
        </w:rPr>
      </w:pPr>
      <w:r>
        <w:rPr>
          <w:w w:val="105"/>
          <w:sz w:val="13"/>
        </w:rPr>
        <w:t>Consultation 20 </w:t>
      </w:r>
      <w:r>
        <w:rPr>
          <w:spacing w:val="2"/>
          <w:w w:val="105"/>
          <w:sz w:val="13"/>
        </w:rPr>
        <w:t>(Legal </w:t>
      </w:r>
      <w:r>
        <w:rPr>
          <w:w w:val="105"/>
          <w:sz w:val="13"/>
        </w:rPr>
        <w:t>practitioners in</w:t>
      </w:r>
      <w:r>
        <w:rPr>
          <w:spacing w:val="21"/>
          <w:w w:val="105"/>
          <w:sz w:val="13"/>
        </w:rPr>
        <w:t> </w:t>
      </w:r>
      <w:r>
        <w:rPr>
          <w:w w:val="105"/>
          <w:sz w:val="13"/>
        </w:rPr>
        <w:t>Colac).</w:t>
      </w:r>
    </w:p>
    <w:p>
      <w:pPr>
        <w:pStyle w:val="ListParagraph"/>
        <w:numPr>
          <w:ilvl w:val="0"/>
          <w:numId w:val="79"/>
        </w:numPr>
        <w:tabs>
          <w:tab w:pos="1228" w:val="left" w:leader="none"/>
          <w:tab w:pos="1229" w:val="left" w:leader="none"/>
        </w:tabs>
        <w:spacing w:line="240" w:lineRule="auto" w:before="2" w:after="0"/>
        <w:ind w:left="1228" w:right="0" w:hanging="794"/>
        <w:jc w:val="left"/>
        <w:rPr>
          <w:sz w:val="13"/>
        </w:rPr>
      </w:pPr>
      <w:r>
        <w:rPr>
          <w:w w:val="105"/>
          <w:sz w:val="13"/>
        </w:rPr>
        <w:t>Submission 42b (Arnold Bloch</w:t>
      </w:r>
      <w:r>
        <w:rPr>
          <w:spacing w:val="18"/>
          <w:w w:val="105"/>
          <w:sz w:val="13"/>
        </w:rPr>
        <w:t> </w:t>
      </w:r>
      <w:r>
        <w:rPr>
          <w:w w:val="105"/>
          <w:sz w:val="13"/>
        </w:rPr>
        <w:t>Leibler).</w:t>
      </w:r>
    </w:p>
    <w:p>
      <w:pPr>
        <w:pStyle w:val="ListParagraph"/>
        <w:numPr>
          <w:ilvl w:val="0"/>
          <w:numId w:val="79"/>
        </w:numPr>
        <w:tabs>
          <w:tab w:pos="1228" w:val="left" w:leader="none"/>
          <w:tab w:pos="1229" w:val="left" w:leader="none"/>
        </w:tabs>
        <w:spacing w:line="240" w:lineRule="auto" w:before="1" w:after="0"/>
        <w:ind w:left="1228" w:right="0" w:hanging="794"/>
        <w:jc w:val="left"/>
        <w:rPr>
          <w:sz w:val="13"/>
        </w:rPr>
      </w:pPr>
      <w:r>
        <w:rPr>
          <w:w w:val="105"/>
          <w:sz w:val="13"/>
        </w:rPr>
        <w:t>Submission 30a </w:t>
      </w:r>
      <w:r>
        <w:rPr>
          <w:spacing w:val="3"/>
          <w:w w:val="105"/>
          <w:sz w:val="13"/>
        </w:rPr>
        <w:t>(Law </w:t>
      </w:r>
      <w:r>
        <w:rPr>
          <w:w w:val="105"/>
          <w:sz w:val="13"/>
        </w:rPr>
        <w:t>Institute of</w:t>
      </w:r>
      <w:r>
        <w:rPr>
          <w:spacing w:val="19"/>
          <w:w w:val="105"/>
          <w:sz w:val="13"/>
        </w:rPr>
        <w:t> </w:t>
      </w:r>
      <w:r>
        <w:rPr>
          <w:spacing w:val="2"/>
          <w:w w:val="105"/>
          <w:sz w:val="13"/>
        </w:rPr>
        <w:t>Victoria).</w:t>
      </w:r>
    </w:p>
    <w:p>
      <w:pPr>
        <w:pStyle w:val="ListParagraph"/>
        <w:numPr>
          <w:ilvl w:val="0"/>
          <w:numId w:val="79"/>
        </w:numPr>
        <w:tabs>
          <w:tab w:pos="1228" w:val="left" w:leader="none"/>
          <w:tab w:pos="1229" w:val="left" w:leader="none"/>
        </w:tabs>
        <w:spacing w:line="240" w:lineRule="auto" w:before="1" w:after="0"/>
        <w:ind w:left="1228" w:right="0" w:hanging="794"/>
        <w:jc w:val="left"/>
        <w:rPr>
          <w:sz w:val="13"/>
        </w:rPr>
      </w:pPr>
      <w:r>
        <w:rPr>
          <w:sz w:val="13"/>
        </w:rPr>
        <w:t>Submission 32 </w:t>
      </w:r>
      <w:r>
        <w:rPr>
          <w:spacing w:val="2"/>
          <w:sz w:val="13"/>
        </w:rPr>
        <w:t>(The </w:t>
      </w:r>
      <w:r>
        <w:rPr>
          <w:sz w:val="13"/>
        </w:rPr>
        <w:t>Institute of Legal</w:t>
      </w:r>
      <w:r>
        <w:rPr>
          <w:spacing w:val="8"/>
          <w:sz w:val="13"/>
        </w:rPr>
        <w:t> </w:t>
      </w:r>
      <w:r>
        <w:rPr>
          <w:sz w:val="13"/>
        </w:rPr>
        <w:t>Executives).</w:t>
      </w:r>
    </w:p>
    <w:p>
      <w:pPr>
        <w:spacing w:after="0" w:line="240" w:lineRule="auto"/>
        <w:jc w:val="left"/>
        <w:rPr>
          <w:sz w:val="13"/>
        </w:rPr>
        <w:sectPr>
          <w:type w:val="continuous"/>
          <w:pgSz w:w="11910" w:h="16840"/>
          <w:pgMar w:top="920" w:bottom="280" w:left="0" w:right="0"/>
          <w:cols w:num="2" w:equalWidth="0">
            <w:col w:w="1114" w:space="40"/>
            <w:col w:w="10756"/>
          </w:cols>
        </w:sectPr>
      </w:pPr>
    </w:p>
    <w:p>
      <w:pPr>
        <w:pStyle w:val="BodyText"/>
        <w:rPr>
          <w:sz w:val="20"/>
        </w:rPr>
      </w:pPr>
    </w:p>
    <w:p>
      <w:pPr>
        <w:pStyle w:val="BodyText"/>
        <w:rPr>
          <w:sz w:val="19"/>
        </w:rPr>
      </w:pPr>
    </w:p>
    <w:p>
      <w:pPr>
        <w:pStyle w:val="ListParagraph"/>
        <w:numPr>
          <w:ilvl w:val="1"/>
          <w:numId w:val="22"/>
        </w:numPr>
        <w:tabs>
          <w:tab w:pos="2381" w:val="left" w:leader="none"/>
          <w:tab w:pos="2382" w:val="left" w:leader="none"/>
        </w:tabs>
        <w:spacing w:line="242" w:lineRule="auto" w:before="91" w:after="0"/>
        <w:ind w:left="2381" w:right="1866" w:hanging="794"/>
        <w:jc w:val="left"/>
        <w:rPr>
          <w:sz w:val="21"/>
        </w:rPr>
      </w:pPr>
      <w:r>
        <w:rPr>
          <w:w w:val="105"/>
          <w:sz w:val="21"/>
        </w:rPr>
        <w:t>In</w:t>
      </w:r>
      <w:r>
        <w:rPr>
          <w:spacing w:val="-6"/>
          <w:w w:val="105"/>
          <w:sz w:val="21"/>
        </w:rPr>
        <w:t> </w:t>
      </w:r>
      <w:r>
        <w:rPr>
          <w:w w:val="105"/>
          <w:sz w:val="21"/>
        </w:rPr>
        <w:t>barrister</w:t>
      </w:r>
      <w:r>
        <w:rPr>
          <w:spacing w:val="-6"/>
          <w:w w:val="105"/>
          <w:sz w:val="21"/>
        </w:rPr>
        <w:t> </w:t>
      </w:r>
      <w:r>
        <w:rPr>
          <w:w w:val="105"/>
          <w:sz w:val="21"/>
        </w:rPr>
        <w:t>Andrew</w:t>
      </w:r>
      <w:r>
        <w:rPr>
          <w:spacing w:val="-6"/>
          <w:w w:val="105"/>
          <w:sz w:val="21"/>
        </w:rPr>
        <w:t> </w:t>
      </w:r>
      <w:r>
        <w:rPr>
          <w:spacing w:val="-3"/>
          <w:w w:val="105"/>
          <w:sz w:val="21"/>
        </w:rPr>
        <w:t>Verspaandonk’s</w:t>
      </w:r>
      <w:r>
        <w:rPr>
          <w:spacing w:val="-6"/>
          <w:w w:val="105"/>
          <w:sz w:val="21"/>
        </w:rPr>
        <w:t> </w:t>
      </w:r>
      <w:r>
        <w:rPr>
          <w:spacing w:val="-4"/>
          <w:w w:val="105"/>
          <w:sz w:val="21"/>
        </w:rPr>
        <w:t>view,</w:t>
      </w:r>
      <w:r>
        <w:rPr>
          <w:spacing w:val="-6"/>
          <w:w w:val="105"/>
          <w:sz w:val="21"/>
        </w:rPr>
        <w:t> </w:t>
      </w:r>
      <w:r>
        <w:rPr>
          <w:w w:val="105"/>
          <w:sz w:val="21"/>
        </w:rPr>
        <w:t>the</w:t>
      </w:r>
      <w:r>
        <w:rPr>
          <w:spacing w:val="-6"/>
          <w:w w:val="105"/>
          <w:sz w:val="21"/>
        </w:rPr>
        <w:t> </w:t>
      </w:r>
      <w:r>
        <w:rPr>
          <w:w w:val="105"/>
          <w:sz w:val="21"/>
        </w:rPr>
        <w:t>parties’</w:t>
      </w:r>
      <w:r>
        <w:rPr>
          <w:spacing w:val="-6"/>
          <w:w w:val="105"/>
          <w:sz w:val="21"/>
        </w:rPr>
        <w:t> </w:t>
      </w:r>
      <w:r>
        <w:rPr>
          <w:spacing w:val="-3"/>
          <w:w w:val="105"/>
          <w:sz w:val="21"/>
        </w:rPr>
        <w:t>desire</w:t>
      </w:r>
      <w:r>
        <w:rPr>
          <w:spacing w:val="-6"/>
          <w:w w:val="105"/>
          <w:sz w:val="21"/>
        </w:rPr>
        <w:t> </w:t>
      </w:r>
      <w:r>
        <w:rPr>
          <w:spacing w:val="-3"/>
          <w:w w:val="105"/>
          <w:sz w:val="21"/>
        </w:rPr>
        <w:t>to</w:t>
      </w:r>
      <w:r>
        <w:rPr>
          <w:spacing w:val="-6"/>
          <w:w w:val="105"/>
          <w:sz w:val="21"/>
        </w:rPr>
        <w:t> </w:t>
      </w:r>
      <w:r>
        <w:rPr>
          <w:w w:val="105"/>
          <w:sz w:val="21"/>
        </w:rPr>
        <w:t>avoid</w:t>
      </w:r>
      <w:r>
        <w:rPr>
          <w:spacing w:val="-6"/>
          <w:w w:val="105"/>
          <w:sz w:val="21"/>
        </w:rPr>
        <w:t> </w:t>
      </w:r>
      <w:r>
        <w:rPr>
          <w:w w:val="105"/>
          <w:sz w:val="21"/>
        </w:rPr>
        <w:t>a</w:t>
      </w:r>
      <w:r>
        <w:rPr>
          <w:spacing w:val="-6"/>
          <w:w w:val="105"/>
          <w:sz w:val="21"/>
        </w:rPr>
        <w:t> </w:t>
      </w:r>
      <w:r>
        <w:rPr>
          <w:spacing w:val="-3"/>
          <w:w w:val="105"/>
          <w:sz w:val="21"/>
        </w:rPr>
        <w:t>hearing</w:t>
      </w:r>
      <w:r>
        <w:rPr>
          <w:spacing w:val="-6"/>
          <w:w w:val="105"/>
          <w:sz w:val="21"/>
        </w:rPr>
        <w:t> </w:t>
      </w:r>
      <w:r>
        <w:rPr>
          <w:w w:val="105"/>
          <w:sz w:val="21"/>
        </w:rPr>
        <w:t>and</w:t>
      </w:r>
      <w:r>
        <w:rPr>
          <w:spacing w:val="-5"/>
          <w:w w:val="105"/>
          <w:sz w:val="21"/>
        </w:rPr>
        <w:t> </w:t>
      </w:r>
      <w:r>
        <w:rPr>
          <w:w w:val="105"/>
          <w:sz w:val="21"/>
        </w:rPr>
        <w:t>get on with their lives is the strongest </w:t>
      </w:r>
      <w:r>
        <w:rPr>
          <w:spacing w:val="-3"/>
          <w:w w:val="105"/>
          <w:sz w:val="21"/>
        </w:rPr>
        <w:t>incentive to </w:t>
      </w:r>
      <w:r>
        <w:rPr>
          <w:w w:val="105"/>
          <w:sz w:val="21"/>
        </w:rPr>
        <w:t>settle </w:t>
      </w:r>
      <w:r>
        <w:rPr>
          <w:spacing w:val="-3"/>
          <w:w w:val="105"/>
          <w:sz w:val="21"/>
        </w:rPr>
        <w:t>family provision</w:t>
      </w:r>
      <w:r>
        <w:rPr>
          <w:spacing w:val="-6"/>
          <w:w w:val="105"/>
          <w:sz w:val="21"/>
        </w:rPr>
        <w:t> </w:t>
      </w:r>
      <w:r>
        <w:rPr>
          <w:spacing w:val="-3"/>
          <w:w w:val="105"/>
          <w:sz w:val="21"/>
        </w:rPr>
        <w:t>claims:</w:t>
      </w:r>
    </w:p>
    <w:p>
      <w:pPr>
        <w:spacing w:line="254" w:lineRule="auto" w:before="132"/>
        <w:ind w:left="2721" w:right="1584" w:firstLine="0"/>
        <w:jc w:val="left"/>
        <w:rPr>
          <w:sz w:val="11"/>
        </w:rPr>
      </w:pPr>
      <w:r>
        <w:rPr>
          <w:w w:val="105"/>
          <w:sz w:val="20"/>
        </w:rPr>
        <w:t>All</w:t>
      </w:r>
      <w:r>
        <w:rPr>
          <w:spacing w:val="-15"/>
          <w:w w:val="105"/>
          <w:sz w:val="20"/>
        </w:rPr>
        <w:t> </w:t>
      </w:r>
      <w:r>
        <w:rPr>
          <w:w w:val="105"/>
          <w:sz w:val="20"/>
        </w:rPr>
        <w:t>practitioners</w:t>
      </w:r>
      <w:r>
        <w:rPr>
          <w:spacing w:val="-14"/>
          <w:w w:val="105"/>
          <w:sz w:val="20"/>
        </w:rPr>
        <w:t> </w:t>
      </w:r>
      <w:r>
        <w:rPr>
          <w:w w:val="105"/>
          <w:sz w:val="20"/>
        </w:rPr>
        <w:t>know</w:t>
      </w:r>
      <w:r>
        <w:rPr>
          <w:spacing w:val="-14"/>
          <w:w w:val="105"/>
          <w:sz w:val="20"/>
        </w:rPr>
        <w:t> </w:t>
      </w:r>
      <w:r>
        <w:rPr>
          <w:w w:val="105"/>
          <w:sz w:val="20"/>
        </w:rPr>
        <w:t>that</w:t>
      </w:r>
      <w:r>
        <w:rPr>
          <w:spacing w:val="-14"/>
          <w:w w:val="105"/>
          <w:sz w:val="20"/>
        </w:rPr>
        <w:t> </w:t>
      </w:r>
      <w:r>
        <w:rPr>
          <w:w w:val="105"/>
          <w:sz w:val="20"/>
        </w:rPr>
        <w:t>there</w:t>
      </w:r>
      <w:r>
        <w:rPr>
          <w:spacing w:val="-14"/>
          <w:w w:val="105"/>
          <w:sz w:val="20"/>
        </w:rPr>
        <w:t> </w:t>
      </w:r>
      <w:r>
        <w:rPr>
          <w:w w:val="105"/>
          <w:sz w:val="20"/>
        </w:rPr>
        <w:t>are</w:t>
      </w:r>
      <w:r>
        <w:rPr>
          <w:spacing w:val="-14"/>
          <w:w w:val="105"/>
          <w:sz w:val="20"/>
        </w:rPr>
        <w:t> </w:t>
      </w:r>
      <w:r>
        <w:rPr>
          <w:w w:val="105"/>
          <w:sz w:val="20"/>
        </w:rPr>
        <w:t>non-financial</w:t>
      </w:r>
      <w:r>
        <w:rPr>
          <w:spacing w:val="-14"/>
          <w:w w:val="105"/>
          <w:sz w:val="20"/>
        </w:rPr>
        <w:t> </w:t>
      </w:r>
      <w:r>
        <w:rPr>
          <w:w w:val="105"/>
          <w:sz w:val="20"/>
        </w:rPr>
        <w:t>costs</w:t>
      </w:r>
      <w:r>
        <w:rPr>
          <w:spacing w:val="-15"/>
          <w:w w:val="105"/>
          <w:sz w:val="20"/>
        </w:rPr>
        <w:t> </w:t>
      </w:r>
      <w:r>
        <w:rPr>
          <w:w w:val="105"/>
          <w:sz w:val="20"/>
        </w:rPr>
        <w:t>to</w:t>
      </w:r>
      <w:r>
        <w:rPr>
          <w:spacing w:val="-14"/>
          <w:w w:val="105"/>
          <w:sz w:val="20"/>
        </w:rPr>
        <w:t> </w:t>
      </w:r>
      <w:r>
        <w:rPr>
          <w:w w:val="105"/>
          <w:sz w:val="20"/>
        </w:rPr>
        <w:t>litigation.</w:t>
      </w:r>
      <w:r>
        <w:rPr>
          <w:spacing w:val="-14"/>
          <w:w w:val="105"/>
          <w:sz w:val="20"/>
        </w:rPr>
        <w:t> </w:t>
      </w:r>
      <w:r>
        <w:rPr>
          <w:w w:val="105"/>
          <w:sz w:val="20"/>
        </w:rPr>
        <w:t>These</w:t>
      </w:r>
      <w:r>
        <w:rPr>
          <w:spacing w:val="-14"/>
          <w:w w:val="105"/>
          <w:sz w:val="20"/>
        </w:rPr>
        <w:t> </w:t>
      </w:r>
      <w:r>
        <w:rPr>
          <w:w w:val="105"/>
          <w:sz w:val="20"/>
        </w:rPr>
        <w:t>are</w:t>
      </w:r>
      <w:r>
        <w:rPr>
          <w:spacing w:val="-14"/>
          <w:w w:val="105"/>
          <w:sz w:val="20"/>
        </w:rPr>
        <w:t> </w:t>
      </w:r>
      <w:r>
        <w:rPr>
          <w:w w:val="105"/>
          <w:sz w:val="20"/>
        </w:rPr>
        <w:t>particularly pointed in </w:t>
      </w:r>
      <w:r>
        <w:rPr>
          <w:spacing w:val="-3"/>
          <w:w w:val="105"/>
          <w:sz w:val="20"/>
        </w:rPr>
        <w:t>Family </w:t>
      </w:r>
      <w:r>
        <w:rPr>
          <w:w w:val="105"/>
          <w:sz w:val="20"/>
        </w:rPr>
        <w:t>Provision litigation where the trigger for the litigation has been the death</w:t>
      </w:r>
      <w:r>
        <w:rPr>
          <w:spacing w:val="-6"/>
          <w:w w:val="105"/>
          <w:sz w:val="20"/>
        </w:rPr>
        <w:t> </w:t>
      </w:r>
      <w:r>
        <w:rPr>
          <w:w w:val="105"/>
          <w:sz w:val="20"/>
        </w:rPr>
        <w:t>of</w:t>
      </w:r>
      <w:r>
        <w:rPr>
          <w:spacing w:val="-6"/>
          <w:w w:val="105"/>
          <w:sz w:val="20"/>
        </w:rPr>
        <w:t> </w:t>
      </w:r>
      <w:r>
        <w:rPr>
          <w:w w:val="105"/>
          <w:sz w:val="20"/>
        </w:rPr>
        <w:t>a</w:t>
      </w:r>
      <w:r>
        <w:rPr>
          <w:spacing w:val="-6"/>
          <w:w w:val="105"/>
          <w:sz w:val="20"/>
        </w:rPr>
        <w:t> </w:t>
      </w:r>
      <w:r>
        <w:rPr>
          <w:w w:val="105"/>
          <w:sz w:val="20"/>
        </w:rPr>
        <w:t>loved</w:t>
      </w:r>
      <w:r>
        <w:rPr>
          <w:spacing w:val="-6"/>
          <w:w w:val="105"/>
          <w:sz w:val="20"/>
        </w:rPr>
        <w:t> </w:t>
      </w:r>
      <w:r>
        <w:rPr>
          <w:w w:val="105"/>
          <w:sz w:val="20"/>
        </w:rPr>
        <w:t>one.</w:t>
      </w:r>
      <w:r>
        <w:rPr>
          <w:spacing w:val="-6"/>
          <w:w w:val="105"/>
          <w:sz w:val="20"/>
        </w:rPr>
        <w:t> </w:t>
      </w:r>
      <w:r>
        <w:rPr>
          <w:w w:val="105"/>
          <w:sz w:val="20"/>
        </w:rPr>
        <w:t>In</w:t>
      </w:r>
      <w:r>
        <w:rPr>
          <w:spacing w:val="-5"/>
          <w:w w:val="105"/>
          <w:sz w:val="20"/>
        </w:rPr>
        <w:t> </w:t>
      </w:r>
      <w:r>
        <w:rPr>
          <w:w w:val="105"/>
          <w:sz w:val="20"/>
        </w:rPr>
        <w:t>my</w:t>
      </w:r>
      <w:r>
        <w:rPr>
          <w:spacing w:val="-6"/>
          <w:w w:val="105"/>
          <w:sz w:val="20"/>
        </w:rPr>
        <w:t> </w:t>
      </w:r>
      <w:r>
        <w:rPr>
          <w:w w:val="105"/>
          <w:sz w:val="20"/>
        </w:rPr>
        <w:t>experience,</w:t>
      </w:r>
      <w:r>
        <w:rPr>
          <w:spacing w:val="-6"/>
          <w:w w:val="105"/>
          <w:sz w:val="20"/>
        </w:rPr>
        <w:t> </w:t>
      </w:r>
      <w:r>
        <w:rPr>
          <w:w w:val="105"/>
          <w:sz w:val="20"/>
        </w:rPr>
        <w:t>both</w:t>
      </w:r>
      <w:r>
        <w:rPr>
          <w:spacing w:val="-6"/>
          <w:w w:val="105"/>
          <w:sz w:val="20"/>
        </w:rPr>
        <w:t> </w:t>
      </w:r>
      <w:r>
        <w:rPr>
          <w:w w:val="105"/>
          <w:sz w:val="20"/>
        </w:rPr>
        <w:t>plaintiffs</w:t>
      </w:r>
      <w:r>
        <w:rPr>
          <w:spacing w:val="-6"/>
          <w:w w:val="105"/>
          <w:sz w:val="20"/>
        </w:rPr>
        <w:t> </w:t>
      </w:r>
      <w:r>
        <w:rPr>
          <w:w w:val="105"/>
          <w:sz w:val="20"/>
        </w:rPr>
        <w:t>and</w:t>
      </w:r>
      <w:r>
        <w:rPr>
          <w:spacing w:val="-5"/>
          <w:w w:val="105"/>
          <w:sz w:val="20"/>
        </w:rPr>
        <w:t> </w:t>
      </w:r>
      <w:r>
        <w:rPr>
          <w:w w:val="105"/>
          <w:sz w:val="20"/>
        </w:rPr>
        <w:t>defendants</w:t>
      </w:r>
      <w:r>
        <w:rPr>
          <w:spacing w:val="-6"/>
          <w:w w:val="105"/>
          <w:sz w:val="20"/>
        </w:rPr>
        <w:t> </w:t>
      </w:r>
      <w:r>
        <w:rPr>
          <w:spacing w:val="-3"/>
          <w:w w:val="105"/>
          <w:sz w:val="20"/>
        </w:rPr>
        <w:t>have</w:t>
      </w:r>
      <w:r>
        <w:rPr>
          <w:spacing w:val="-6"/>
          <w:w w:val="105"/>
          <w:sz w:val="20"/>
        </w:rPr>
        <w:t> </w:t>
      </w:r>
      <w:r>
        <w:rPr>
          <w:w w:val="105"/>
          <w:sz w:val="20"/>
        </w:rPr>
        <w:t>been</w:t>
      </w:r>
      <w:r>
        <w:rPr>
          <w:spacing w:val="-6"/>
          <w:w w:val="105"/>
          <w:sz w:val="20"/>
        </w:rPr>
        <w:t> </w:t>
      </w:r>
      <w:r>
        <w:rPr>
          <w:spacing w:val="-3"/>
          <w:w w:val="105"/>
          <w:sz w:val="20"/>
        </w:rPr>
        <w:t>keen</w:t>
      </w:r>
      <w:r>
        <w:rPr>
          <w:spacing w:val="-6"/>
          <w:w w:val="105"/>
          <w:sz w:val="20"/>
        </w:rPr>
        <w:t> </w:t>
      </w:r>
      <w:r>
        <w:rPr>
          <w:w w:val="105"/>
          <w:sz w:val="20"/>
        </w:rPr>
        <w:t>to resolve</w:t>
      </w:r>
      <w:r>
        <w:rPr>
          <w:spacing w:val="-4"/>
          <w:w w:val="105"/>
          <w:sz w:val="20"/>
        </w:rPr>
        <w:t> </w:t>
      </w:r>
      <w:r>
        <w:rPr>
          <w:w w:val="105"/>
          <w:sz w:val="20"/>
        </w:rPr>
        <w:t>the</w:t>
      </w:r>
      <w:r>
        <w:rPr>
          <w:spacing w:val="-3"/>
          <w:w w:val="105"/>
          <w:sz w:val="20"/>
        </w:rPr>
        <w:t> </w:t>
      </w:r>
      <w:r>
        <w:rPr>
          <w:w w:val="105"/>
          <w:sz w:val="20"/>
        </w:rPr>
        <w:t>proceeding</w:t>
      </w:r>
      <w:r>
        <w:rPr>
          <w:spacing w:val="-3"/>
          <w:w w:val="105"/>
          <w:sz w:val="20"/>
        </w:rPr>
        <w:t> </w:t>
      </w:r>
      <w:r>
        <w:rPr>
          <w:w w:val="115"/>
          <w:sz w:val="20"/>
        </w:rPr>
        <w:t>…</w:t>
      </w:r>
      <w:r>
        <w:rPr>
          <w:spacing w:val="-7"/>
          <w:w w:val="115"/>
          <w:sz w:val="20"/>
        </w:rPr>
        <w:t> </w:t>
      </w:r>
      <w:r>
        <w:rPr>
          <w:w w:val="105"/>
          <w:sz w:val="20"/>
        </w:rPr>
        <w:t>simply</w:t>
      </w:r>
      <w:r>
        <w:rPr>
          <w:spacing w:val="-3"/>
          <w:w w:val="105"/>
          <w:sz w:val="20"/>
        </w:rPr>
        <w:t> </w:t>
      </w:r>
      <w:r>
        <w:rPr>
          <w:w w:val="105"/>
          <w:sz w:val="20"/>
        </w:rPr>
        <w:t>to</w:t>
      </w:r>
      <w:r>
        <w:rPr>
          <w:spacing w:val="-3"/>
          <w:w w:val="105"/>
          <w:sz w:val="20"/>
        </w:rPr>
        <w:t> have</w:t>
      </w:r>
      <w:r>
        <w:rPr>
          <w:spacing w:val="-4"/>
          <w:w w:val="105"/>
          <w:sz w:val="20"/>
        </w:rPr>
        <w:t> </w:t>
      </w:r>
      <w:r>
        <w:rPr>
          <w:w w:val="105"/>
          <w:sz w:val="20"/>
        </w:rPr>
        <w:t>it</w:t>
      </w:r>
      <w:r>
        <w:rPr>
          <w:spacing w:val="-3"/>
          <w:w w:val="105"/>
          <w:sz w:val="20"/>
        </w:rPr>
        <w:t> </w:t>
      </w:r>
      <w:r>
        <w:rPr>
          <w:w w:val="105"/>
          <w:sz w:val="20"/>
        </w:rPr>
        <w:t>all</w:t>
      </w:r>
      <w:r>
        <w:rPr>
          <w:spacing w:val="-3"/>
          <w:w w:val="105"/>
          <w:sz w:val="20"/>
        </w:rPr>
        <w:t> </w:t>
      </w:r>
      <w:r>
        <w:rPr>
          <w:w w:val="105"/>
          <w:sz w:val="20"/>
        </w:rPr>
        <w:t>over</w:t>
      </w:r>
      <w:r>
        <w:rPr>
          <w:spacing w:val="-3"/>
          <w:w w:val="105"/>
          <w:sz w:val="20"/>
        </w:rPr>
        <w:t> </w:t>
      </w:r>
      <w:r>
        <w:rPr>
          <w:w w:val="105"/>
          <w:sz w:val="20"/>
        </w:rPr>
        <w:t>and</w:t>
      </w:r>
      <w:r>
        <w:rPr>
          <w:spacing w:val="-3"/>
          <w:w w:val="105"/>
          <w:sz w:val="20"/>
        </w:rPr>
        <w:t> </w:t>
      </w:r>
      <w:r>
        <w:rPr>
          <w:w w:val="105"/>
          <w:sz w:val="20"/>
        </w:rPr>
        <w:t>done</w:t>
      </w:r>
      <w:r>
        <w:rPr>
          <w:spacing w:val="-3"/>
          <w:w w:val="105"/>
          <w:sz w:val="20"/>
        </w:rPr>
        <w:t> </w:t>
      </w:r>
      <w:r>
        <w:rPr>
          <w:w w:val="105"/>
          <w:sz w:val="20"/>
        </w:rPr>
        <w:t>with</w:t>
      </w:r>
      <w:r>
        <w:rPr>
          <w:spacing w:val="-3"/>
          <w:w w:val="105"/>
          <w:sz w:val="20"/>
        </w:rPr>
        <w:t> </w:t>
      </w:r>
      <w:r>
        <w:rPr>
          <w:w w:val="115"/>
          <w:sz w:val="20"/>
        </w:rPr>
        <w:t>…</w:t>
      </w:r>
      <w:r>
        <w:rPr>
          <w:spacing w:val="-8"/>
          <w:w w:val="115"/>
          <w:sz w:val="20"/>
        </w:rPr>
        <w:t> </w:t>
      </w:r>
      <w:r>
        <w:rPr>
          <w:w w:val="105"/>
          <w:sz w:val="20"/>
        </w:rPr>
        <w:t>This</w:t>
      </w:r>
      <w:r>
        <w:rPr>
          <w:spacing w:val="-3"/>
          <w:w w:val="105"/>
          <w:sz w:val="20"/>
        </w:rPr>
        <w:t> </w:t>
      </w:r>
      <w:r>
        <w:rPr>
          <w:w w:val="105"/>
          <w:sz w:val="20"/>
        </w:rPr>
        <w:t>also</w:t>
      </w:r>
      <w:r>
        <w:rPr>
          <w:spacing w:val="-3"/>
          <w:w w:val="105"/>
          <w:sz w:val="20"/>
        </w:rPr>
        <w:t> </w:t>
      </w:r>
      <w:r>
        <w:rPr>
          <w:w w:val="105"/>
          <w:sz w:val="20"/>
        </w:rPr>
        <w:t>occurs</w:t>
      </w:r>
      <w:r>
        <w:rPr>
          <w:spacing w:val="-3"/>
          <w:w w:val="105"/>
          <w:sz w:val="20"/>
        </w:rPr>
        <w:t> </w:t>
      </w:r>
      <w:r>
        <w:rPr>
          <w:w w:val="105"/>
          <w:sz w:val="20"/>
        </w:rPr>
        <w:t>even where the merits of the case would justify a </w:t>
      </w:r>
      <w:r>
        <w:rPr>
          <w:spacing w:val="-3"/>
          <w:w w:val="105"/>
          <w:sz w:val="20"/>
        </w:rPr>
        <w:t>continuation </w:t>
      </w:r>
      <w:r>
        <w:rPr>
          <w:w w:val="105"/>
          <w:sz w:val="20"/>
        </w:rPr>
        <w:t>to</w:t>
      </w:r>
      <w:r>
        <w:rPr>
          <w:spacing w:val="37"/>
          <w:w w:val="105"/>
          <w:sz w:val="20"/>
        </w:rPr>
        <w:t> </w:t>
      </w:r>
      <w:r>
        <w:rPr>
          <w:w w:val="105"/>
          <w:sz w:val="20"/>
        </w:rPr>
        <w:t>trial.</w:t>
      </w:r>
      <w:r>
        <w:rPr>
          <w:w w:val="105"/>
          <w:position w:val="7"/>
          <w:sz w:val="11"/>
        </w:rPr>
        <w:t>48</w:t>
      </w:r>
    </w:p>
    <w:p>
      <w:pPr>
        <w:pStyle w:val="BodyText"/>
        <w:spacing w:before="4"/>
        <w:rPr>
          <w:sz w:val="26"/>
        </w:rPr>
      </w:pPr>
    </w:p>
    <w:p>
      <w:pPr>
        <w:pStyle w:val="Heading6"/>
        <w:spacing w:before="1"/>
      </w:pPr>
      <w:r>
        <w:rPr>
          <w:w w:val="115"/>
        </w:rPr>
        <w:t>Discrepancy between the law and community expectations</w:t>
      </w:r>
    </w:p>
    <w:p>
      <w:pPr>
        <w:pStyle w:val="ListParagraph"/>
        <w:numPr>
          <w:ilvl w:val="1"/>
          <w:numId w:val="22"/>
        </w:numPr>
        <w:tabs>
          <w:tab w:pos="2380" w:val="left" w:leader="none"/>
          <w:tab w:pos="2381" w:val="left" w:leader="none"/>
        </w:tabs>
        <w:spacing w:line="242" w:lineRule="auto" w:before="151" w:after="0"/>
        <w:ind w:left="2381" w:right="1587" w:hanging="794"/>
        <w:jc w:val="left"/>
        <w:rPr>
          <w:sz w:val="12"/>
        </w:rPr>
      </w:pPr>
      <w:r>
        <w:rPr>
          <w:spacing w:val="-3"/>
          <w:w w:val="105"/>
          <w:sz w:val="21"/>
        </w:rPr>
        <w:t>There </w:t>
      </w:r>
      <w:r>
        <w:rPr>
          <w:w w:val="105"/>
          <w:sz w:val="21"/>
        </w:rPr>
        <w:t>is a </w:t>
      </w:r>
      <w:r>
        <w:rPr>
          <w:spacing w:val="-4"/>
          <w:w w:val="105"/>
          <w:sz w:val="21"/>
        </w:rPr>
        <w:t>perception </w:t>
      </w:r>
      <w:r>
        <w:rPr>
          <w:spacing w:val="-3"/>
          <w:w w:val="105"/>
          <w:sz w:val="21"/>
        </w:rPr>
        <w:t>that </w:t>
      </w:r>
      <w:r>
        <w:rPr>
          <w:w w:val="105"/>
          <w:sz w:val="21"/>
        </w:rPr>
        <w:t>the </w:t>
      </w:r>
      <w:r>
        <w:rPr>
          <w:spacing w:val="-3"/>
          <w:w w:val="105"/>
          <w:sz w:val="21"/>
        </w:rPr>
        <w:t>law </w:t>
      </w:r>
      <w:r>
        <w:rPr>
          <w:w w:val="105"/>
          <w:sz w:val="21"/>
        </w:rPr>
        <w:t>does </w:t>
      </w:r>
      <w:r>
        <w:rPr>
          <w:spacing w:val="-3"/>
          <w:w w:val="105"/>
          <w:sz w:val="21"/>
        </w:rPr>
        <w:t>not </w:t>
      </w:r>
      <w:r>
        <w:rPr>
          <w:spacing w:val="-4"/>
          <w:w w:val="105"/>
          <w:sz w:val="21"/>
        </w:rPr>
        <w:t>accord </w:t>
      </w:r>
      <w:r>
        <w:rPr>
          <w:spacing w:val="-3"/>
          <w:w w:val="105"/>
          <w:sz w:val="21"/>
        </w:rPr>
        <w:t>with community </w:t>
      </w:r>
      <w:r>
        <w:rPr>
          <w:w w:val="105"/>
          <w:sz w:val="21"/>
        </w:rPr>
        <w:t>expectations. A member </w:t>
      </w:r>
      <w:r>
        <w:rPr>
          <w:spacing w:val="-3"/>
          <w:w w:val="105"/>
          <w:sz w:val="21"/>
        </w:rPr>
        <w:t>of </w:t>
      </w:r>
      <w:r>
        <w:rPr>
          <w:w w:val="105"/>
          <w:sz w:val="21"/>
        </w:rPr>
        <w:t>the </w:t>
      </w:r>
      <w:r>
        <w:rPr>
          <w:spacing w:val="-4"/>
          <w:w w:val="105"/>
          <w:sz w:val="21"/>
        </w:rPr>
        <w:t>public </w:t>
      </w:r>
      <w:r>
        <w:rPr>
          <w:w w:val="105"/>
          <w:sz w:val="21"/>
        </w:rPr>
        <w:t>who </w:t>
      </w:r>
      <w:r>
        <w:rPr>
          <w:spacing w:val="-3"/>
          <w:w w:val="105"/>
          <w:sz w:val="21"/>
        </w:rPr>
        <w:t>had </w:t>
      </w:r>
      <w:r>
        <w:rPr>
          <w:w w:val="105"/>
          <w:sz w:val="21"/>
        </w:rPr>
        <w:t>been an </w:t>
      </w:r>
      <w:r>
        <w:rPr>
          <w:spacing w:val="-4"/>
          <w:w w:val="105"/>
          <w:sz w:val="21"/>
        </w:rPr>
        <w:t>executor </w:t>
      </w:r>
      <w:r>
        <w:rPr>
          <w:spacing w:val="-3"/>
          <w:w w:val="105"/>
          <w:sz w:val="21"/>
        </w:rPr>
        <w:t>and </w:t>
      </w:r>
      <w:r>
        <w:rPr>
          <w:w w:val="105"/>
          <w:sz w:val="21"/>
        </w:rPr>
        <w:t>beneficiary </w:t>
      </w:r>
      <w:r>
        <w:rPr>
          <w:spacing w:val="-3"/>
          <w:w w:val="105"/>
          <w:sz w:val="21"/>
        </w:rPr>
        <w:t>of </w:t>
      </w:r>
      <w:r>
        <w:rPr>
          <w:w w:val="105"/>
          <w:sz w:val="21"/>
        </w:rPr>
        <w:t>an </w:t>
      </w:r>
      <w:r>
        <w:rPr>
          <w:spacing w:val="-3"/>
          <w:w w:val="105"/>
          <w:sz w:val="21"/>
        </w:rPr>
        <w:t>estate </w:t>
      </w:r>
      <w:r>
        <w:rPr>
          <w:spacing w:val="-4"/>
          <w:w w:val="105"/>
          <w:sz w:val="21"/>
        </w:rPr>
        <w:t>against </w:t>
      </w:r>
      <w:r>
        <w:rPr>
          <w:spacing w:val="-3"/>
          <w:w w:val="105"/>
          <w:sz w:val="21"/>
        </w:rPr>
        <w:t>which </w:t>
      </w:r>
      <w:r>
        <w:rPr>
          <w:w w:val="105"/>
          <w:sz w:val="21"/>
        </w:rPr>
        <w:t>a </w:t>
      </w:r>
      <w:r>
        <w:rPr>
          <w:spacing w:val="-4"/>
          <w:w w:val="105"/>
          <w:sz w:val="21"/>
        </w:rPr>
        <w:t>family provision claim </w:t>
      </w:r>
      <w:r>
        <w:rPr>
          <w:spacing w:val="-3"/>
          <w:w w:val="105"/>
          <w:sz w:val="21"/>
        </w:rPr>
        <w:t>had </w:t>
      </w:r>
      <w:r>
        <w:rPr>
          <w:w w:val="105"/>
          <w:sz w:val="21"/>
        </w:rPr>
        <w:t>been </w:t>
      </w:r>
      <w:r>
        <w:rPr>
          <w:spacing w:val="-3"/>
          <w:w w:val="105"/>
          <w:sz w:val="21"/>
        </w:rPr>
        <w:t>made </w:t>
      </w:r>
      <w:r>
        <w:rPr>
          <w:w w:val="105"/>
          <w:sz w:val="21"/>
        </w:rPr>
        <w:t>expressed </w:t>
      </w:r>
      <w:r>
        <w:rPr>
          <w:spacing w:val="-4"/>
          <w:w w:val="105"/>
          <w:sz w:val="21"/>
        </w:rPr>
        <w:t>dismay </w:t>
      </w:r>
      <w:r>
        <w:rPr>
          <w:spacing w:val="-3"/>
          <w:w w:val="105"/>
          <w:sz w:val="21"/>
        </w:rPr>
        <w:t>that, in </w:t>
      </w:r>
      <w:r>
        <w:rPr>
          <w:w w:val="105"/>
          <w:sz w:val="21"/>
        </w:rPr>
        <w:t>her </w:t>
      </w:r>
      <w:r>
        <w:rPr>
          <w:spacing w:val="-5"/>
          <w:w w:val="105"/>
          <w:sz w:val="21"/>
        </w:rPr>
        <w:t>view, </w:t>
      </w:r>
      <w:r>
        <w:rPr>
          <w:w w:val="105"/>
          <w:sz w:val="21"/>
        </w:rPr>
        <w:t>a </w:t>
      </w:r>
      <w:r>
        <w:rPr>
          <w:spacing w:val="-3"/>
          <w:w w:val="105"/>
          <w:sz w:val="21"/>
        </w:rPr>
        <w:t>judge had </w:t>
      </w:r>
      <w:r>
        <w:rPr>
          <w:w w:val="105"/>
          <w:sz w:val="21"/>
        </w:rPr>
        <w:t>been </w:t>
      </w:r>
      <w:r>
        <w:rPr>
          <w:spacing w:val="-3"/>
          <w:w w:val="105"/>
          <w:sz w:val="21"/>
        </w:rPr>
        <w:t>permitted to </w:t>
      </w:r>
      <w:r>
        <w:rPr>
          <w:spacing w:val="-4"/>
          <w:w w:val="105"/>
          <w:sz w:val="21"/>
        </w:rPr>
        <w:t>over-rule </w:t>
      </w:r>
      <w:r>
        <w:rPr>
          <w:w w:val="105"/>
          <w:sz w:val="21"/>
        </w:rPr>
        <w:t>her </w:t>
      </w:r>
      <w:r>
        <w:rPr>
          <w:spacing w:val="-4"/>
          <w:w w:val="105"/>
          <w:sz w:val="21"/>
        </w:rPr>
        <w:t>mother’s </w:t>
      </w:r>
      <w:r>
        <w:rPr>
          <w:spacing w:val="-3"/>
          <w:w w:val="105"/>
          <w:sz w:val="21"/>
        </w:rPr>
        <w:t>wishes where all </w:t>
      </w:r>
      <w:r>
        <w:rPr>
          <w:spacing w:val="-4"/>
          <w:w w:val="105"/>
          <w:sz w:val="21"/>
        </w:rPr>
        <w:t>children </w:t>
      </w:r>
      <w:r>
        <w:rPr>
          <w:spacing w:val="-3"/>
          <w:w w:val="105"/>
          <w:sz w:val="21"/>
        </w:rPr>
        <w:t>had </w:t>
      </w:r>
      <w:r>
        <w:rPr>
          <w:w w:val="105"/>
          <w:sz w:val="21"/>
        </w:rPr>
        <w:t>been </w:t>
      </w:r>
      <w:r>
        <w:rPr>
          <w:spacing w:val="-3"/>
          <w:w w:val="105"/>
          <w:sz w:val="21"/>
        </w:rPr>
        <w:t>equally provided </w:t>
      </w:r>
      <w:r>
        <w:rPr>
          <w:spacing w:val="-5"/>
          <w:w w:val="105"/>
          <w:sz w:val="21"/>
        </w:rPr>
        <w:t>for.</w:t>
      </w:r>
      <w:r>
        <w:rPr>
          <w:spacing w:val="-5"/>
          <w:w w:val="105"/>
          <w:position w:val="7"/>
          <w:sz w:val="12"/>
        </w:rPr>
        <w:t>49 </w:t>
      </w:r>
      <w:r>
        <w:rPr>
          <w:spacing w:val="-3"/>
          <w:w w:val="105"/>
          <w:sz w:val="21"/>
        </w:rPr>
        <w:t>Another </w:t>
      </w:r>
      <w:r>
        <w:rPr>
          <w:w w:val="105"/>
          <w:sz w:val="21"/>
        </w:rPr>
        <w:t>member </w:t>
      </w:r>
      <w:r>
        <w:rPr>
          <w:spacing w:val="-3"/>
          <w:w w:val="105"/>
          <w:sz w:val="21"/>
        </w:rPr>
        <w:t>of </w:t>
      </w:r>
      <w:r>
        <w:rPr>
          <w:w w:val="105"/>
          <w:sz w:val="21"/>
        </w:rPr>
        <w:t>the </w:t>
      </w:r>
      <w:r>
        <w:rPr>
          <w:spacing w:val="-4"/>
          <w:w w:val="105"/>
          <w:sz w:val="21"/>
        </w:rPr>
        <w:t>public </w:t>
      </w:r>
      <w:r>
        <w:rPr>
          <w:spacing w:val="-3"/>
          <w:w w:val="105"/>
          <w:sz w:val="21"/>
        </w:rPr>
        <w:t>in </w:t>
      </w:r>
      <w:r>
        <w:rPr>
          <w:w w:val="105"/>
          <w:sz w:val="21"/>
        </w:rPr>
        <w:t>a </w:t>
      </w:r>
      <w:r>
        <w:rPr>
          <w:spacing w:val="-4"/>
          <w:w w:val="105"/>
          <w:sz w:val="21"/>
        </w:rPr>
        <w:t>similar situation </w:t>
      </w:r>
      <w:r>
        <w:rPr>
          <w:w w:val="105"/>
          <w:sz w:val="21"/>
        </w:rPr>
        <w:t>expressed the view </w:t>
      </w:r>
      <w:r>
        <w:rPr>
          <w:spacing w:val="-3"/>
          <w:w w:val="105"/>
          <w:sz w:val="21"/>
        </w:rPr>
        <w:t>that </w:t>
      </w:r>
      <w:r>
        <w:rPr>
          <w:w w:val="105"/>
          <w:sz w:val="21"/>
        </w:rPr>
        <w:t>people do </w:t>
      </w:r>
      <w:r>
        <w:rPr>
          <w:spacing w:val="-3"/>
          <w:w w:val="105"/>
          <w:sz w:val="21"/>
        </w:rPr>
        <w:t>not </w:t>
      </w:r>
      <w:r>
        <w:rPr>
          <w:spacing w:val="-4"/>
          <w:w w:val="105"/>
          <w:sz w:val="21"/>
        </w:rPr>
        <w:t>want </w:t>
      </w:r>
      <w:r>
        <w:rPr>
          <w:spacing w:val="-3"/>
          <w:w w:val="105"/>
          <w:sz w:val="21"/>
        </w:rPr>
        <w:t>their </w:t>
      </w:r>
      <w:r>
        <w:rPr>
          <w:spacing w:val="-4"/>
          <w:w w:val="105"/>
          <w:sz w:val="21"/>
        </w:rPr>
        <w:t>wills </w:t>
      </w:r>
      <w:r>
        <w:rPr>
          <w:spacing w:val="-3"/>
          <w:w w:val="105"/>
          <w:sz w:val="21"/>
        </w:rPr>
        <w:t>changed and are generally not </w:t>
      </w:r>
      <w:r>
        <w:rPr>
          <w:spacing w:val="-4"/>
          <w:w w:val="105"/>
          <w:sz w:val="21"/>
        </w:rPr>
        <w:t>aware </w:t>
      </w:r>
      <w:r>
        <w:rPr>
          <w:spacing w:val="-3"/>
          <w:w w:val="105"/>
          <w:sz w:val="21"/>
        </w:rPr>
        <w:t>that this </w:t>
      </w:r>
      <w:r>
        <w:rPr>
          <w:spacing w:val="-2"/>
          <w:w w:val="105"/>
          <w:sz w:val="21"/>
        </w:rPr>
        <w:t>can</w:t>
      </w:r>
      <w:r>
        <w:rPr>
          <w:spacing w:val="25"/>
          <w:w w:val="105"/>
          <w:sz w:val="21"/>
        </w:rPr>
        <w:t> </w:t>
      </w:r>
      <w:r>
        <w:rPr>
          <w:spacing w:val="-3"/>
          <w:w w:val="105"/>
          <w:sz w:val="21"/>
        </w:rPr>
        <w:t>happen.</w:t>
      </w:r>
      <w:r>
        <w:rPr>
          <w:spacing w:val="-3"/>
          <w:w w:val="105"/>
          <w:position w:val="7"/>
          <w:sz w:val="12"/>
        </w:rPr>
        <w:t>50</w:t>
      </w:r>
    </w:p>
    <w:p>
      <w:pPr>
        <w:pStyle w:val="ListParagraph"/>
        <w:numPr>
          <w:ilvl w:val="1"/>
          <w:numId w:val="22"/>
        </w:numPr>
        <w:tabs>
          <w:tab w:pos="2381" w:val="left" w:leader="none"/>
          <w:tab w:pos="2382" w:val="left" w:leader="none"/>
        </w:tabs>
        <w:spacing w:line="242" w:lineRule="auto" w:before="126" w:after="0"/>
        <w:ind w:left="2381" w:right="1586" w:hanging="794"/>
        <w:jc w:val="left"/>
        <w:rPr>
          <w:sz w:val="12"/>
        </w:rPr>
      </w:pPr>
      <w:r>
        <w:rPr>
          <w:w w:val="105"/>
          <w:sz w:val="21"/>
        </w:rPr>
        <w:t>Include</w:t>
      </w:r>
      <w:r>
        <w:rPr>
          <w:spacing w:val="-7"/>
          <w:w w:val="105"/>
          <w:sz w:val="21"/>
        </w:rPr>
        <w:t> </w:t>
      </w:r>
      <w:r>
        <w:rPr>
          <w:w w:val="105"/>
          <w:sz w:val="21"/>
        </w:rPr>
        <w:t>a</w:t>
      </w:r>
      <w:r>
        <w:rPr>
          <w:spacing w:val="-6"/>
          <w:w w:val="105"/>
          <w:sz w:val="21"/>
        </w:rPr>
        <w:t> </w:t>
      </w:r>
      <w:r>
        <w:rPr>
          <w:spacing w:val="-3"/>
          <w:w w:val="105"/>
          <w:sz w:val="21"/>
        </w:rPr>
        <w:t>Charity</w:t>
      </w:r>
      <w:r>
        <w:rPr>
          <w:spacing w:val="-7"/>
          <w:w w:val="105"/>
          <w:sz w:val="21"/>
        </w:rPr>
        <w:t> </w:t>
      </w:r>
      <w:r>
        <w:rPr>
          <w:w w:val="105"/>
          <w:sz w:val="21"/>
        </w:rPr>
        <w:t>and</w:t>
      </w:r>
      <w:r>
        <w:rPr>
          <w:spacing w:val="-6"/>
          <w:w w:val="105"/>
          <w:sz w:val="21"/>
        </w:rPr>
        <w:t> </w:t>
      </w:r>
      <w:r>
        <w:rPr>
          <w:w w:val="105"/>
          <w:sz w:val="21"/>
        </w:rPr>
        <w:t>a</w:t>
      </w:r>
      <w:r>
        <w:rPr>
          <w:spacing w:val="-6"/>
          <w:w w:val="105"/>
          <w:sz w:val="21"/>
        </w:rPr>
        <w:t> </w:t>
      </w:r>
      <w:r>
        <w:rPr>
          <w:w w:val="105"/>
          <w:sz w:val="21"/>
        </w:rPr>
        <w:t>legal</w:t>
      </w:r>
      <w:r>
        <w:rPr>
          <w:spacing w:val="-7"/>
          <w:w w:val="105"/>
          <w:sz w:val="21"/>
        </w:rPr>
        <w:t> </w:t>
      </w:r>
      <w:r>
        <w:rPr>
          <w:w w:val="105"/>
          <w:sz w:val="21"/>
        </w:rPr>
        <w:t>practitioner</w:t>
      </w:r>
      <w:r>
        <w:rPr>
          <w:spacing w:val="-6"/>
          <w:w w:val="105"/>
          <w:sz w:val="21"/>
        </w:rPr>
        <w:t> </w:t>
      </w:r>
      <w:r>
        <w:rPr>
          <w:spacing w:val="-3"/>
          <w:w w:val="105"/>
          <w:sz w:val="21"/>
        </w:rPr>
        <w:t>from</w:t>
      </w:r>
      <w:r>
        <w:rPr>
          <w:spacing w:val="-6"/>
          <w:w w:val="105"/>
          <w:sz w:val="21"/>
        </w:rPr>
        <w:t> </w:t>
      </w:r>
      <w:r>
        <w:rPr>
          <w:w w:val="105"/>
          <w:sz w:val="21"/>
        </w:rPr>
        <w:t>a</w:t>
      </w:r>
      <w:r>
        <w:rPr>
          <w:spacing w:val="-7"/>
          <w:w w:val="105"/>
          <w:sz w:val="21"/>
        </w:rPr>
        <w:t> </w:t>
      </w:r>
      <w:r>
        <w:rPr>
          <w:w w:val="105"/>
          <w:sz w:val="21"/>
        </w:rPr>
        <w:t>community</w:t>
      </w:r>
      <w:r>
        <w:rPr>
          <w:spacing w:val="-6"/>
          <w:w w:val="105"/>
          <w:sz w:val="21"/>
        </w:rPr>
        <w:t> </w:t>
      </w:r>
      <w:r>
        <w:rPr>
          <w:w w:val="105"/>
          <w:sz w:val="21"/>
        </w:rPr>
        <w:t>legal</w:t>
      </w:r>
      <w:r>
        <w:rPr>
          <w:spacing w:val="-6"/>
          <w:w w:val="105"/>
          <w:sz w:val="21"/>
        </w:rPr>
        <w:t> </w:t>
      </w:r>
      <w:r>
        <w:rPr>
          <w:spacing w:val="-3"/>
          <w:w w:val="105"/>
          <w:sz w:val="21"/>
        </w:rPr>
        <w:t>centre</w:t>
      </w:r>
      <w:r>
        <w:rPr>
          <w:spacing w:val="-7"/>
          <w:w w:val="105"/>
          <w:sz w:val="21"/>
        </w:rPr>
        <w:t> </w:t>
      </w:r>
      <w:r>
        <w:rPr>
          <w:w w:val="105"/>
          <w:sz w:val="21"/>
        </w:rPr>
        <w:t>agreed</w:t>
      </w:r>
      <w:r>
        <w:rPr>
          <w:spacing w:val="-6"/>
          <w:w w:val="105"/>
          <w:sz w:val="21"/>
        </w:rPr>
        <w:t> </w:t>
      </w:r>
      <w:r>
        <w:rPr>
          <w:spacing w:val="-3"/>
          <w:w w:val="105"/>
          <w:sz w:val="21"/>
        </w:rPr>
        <w:t>that</w:t>
      </w:r>
      <w:r>
        <w:rPr>
          <w:spacing w:val="-6"/>
          <w:w w:val="105"/>
          <w:sz w:val="21"/>
        </w:rPr>
        <w:t> </w:t>
      </w:r>
      <w:r>
        <w:rPr>
          <w:spacing w:val="-3"/>
          <w:w w:val="105"/>
          <w:sz w:val="21"/>
        </w:rPr>
        <w:t>many </w:t>
      </w:r>
      <w:r>
        <w:rPr>
          <w:w w:val="105"/>
          <w:sz w:val="21"/>
        </w:rPr>
        <w:t>people </w:t>
      </w:r>
      <w:r>
        <w:rPr>
          <w:spacing w:val="-3"/>
          <w:w w:val="105"/>
          <w:sz w:val="21"/>
        </w:rPr>
        <w:t>are unaware that </w:t>
      </w:r>
      <w:r>
        <w:rPr>
          <w:w w:val="105"/>
          <w:sz w:val="21"/>
        </w:rPr>
        <w:t>their final wishes can be </w:t>
      </w:r>
      <w:r>
        <w:rPr>
          <w:spacing w:val="-3"/>
          <w:w w:val="105"/>
          <w:sz w:val="21"/>
        </w:rPr>
        <w:t>altered </w:t>
      </w:r>
      <w:r>
        <w:rPr>
          <w:w w:val="105"/>
          <w:sz w:val="21"/>
        </w:rPr>
        <w:t>after their </w:t>
      </w:r>
      <w:r>
        <w:rPr>
          <w:spacing w:val="-4"/>
          <w:w w:val="105"/>
          <w:sz w:val="21"/>
        </w:rPr>
        <w:t>death.</w:t>
      </w:r>
      <w:r>
        <w:rPr>
          <w:spacing w:val="-4"/>
          <w:w w:val="105"/>
          <w:position w:val="7"/>
          <w:sz w:val="12"/>
        </w:rPr>
        <w:t>51 </w:t>
      </w:r>
      <w:r>
        <w:rPr>
          <w:w w:val="105"/>
          <w:sz w:val="21"/>
        </w:rPr>
        <w:t>Retirees surveyed</w:t>
      </w:r>
      <w:r>
        <w:rPr>
          <w:spacing w:val="-16"/>
          <w:w w:val="105"/>
          <w:sz w:val="21"/>
        </w:rPr>
        <w:t> </w:t>
      </w:r>
      <w:r>
        <w:rPr>
          <w:w w:val="105"/>
          <w:sz w:val="21"/>
        </w:rPr>
        <w:t>by</w:t>
      </w:r>
      <w:r>
        <w:rPr>
          <w:spacing w:val="-15"/>
          <w:w w:val="105"/>
          <w:sz w:val="21"/>
        </w:rPr>
        <w:t> </w:t>
      </w:r>
      <w:r>
        <w:rPr>
          <w:w w:val="105"/>
          <w:sz w:val="21"/>
        </w:rPr>
        <w:t>the</w:t>
      </w:r>
      <w:r>
        <w:rPr>
          <w:spacing w:val="-16"/>
          <w:w w:val="105"/>
          <w:sz w:val="21"/>
        </w:rPr>
        <w:t> </w:t>
      </w:r>
      <w:r>
        <w:rPr>
          <w:w w:val="105"/>
          <w:sz w:val="21"/>
        </w:rPr>
        <w:t>Association</w:t>
      </w:r>
      <w:r>
        <w:rPr>
          <w:spacing w:val="-15"/>
          <w:w w:val="105"/>
          <w:sz w:val="21"/>
        </w:rPr>
        <w:t> </w:t>
      </w:r>
      <w:r>
        <w:rPr>
          <w:w w:val="105"/>
          <w:sz w:val="21"/>
        </w:rPr>
        <w:t>of</w:t>
      </w:r>
      <w:r>
        <w:rPr>
          <w:spacing w:val="-16"/>
          <w:w w:val="105"/>
          <w:sz w:val="21"/>
        </w:rPr>
        <w:t> </w:t>
      </w:r>
      <w:r>
        <w:rPr>
          <w:w w:val="105"/>
          <w:sz w:val="21"/>
        </w:rPr>
        <w:t>Independent</w:t>
      </w:r>
      <w:r>
        <w:rPr>
          <w:spacing w:val="-15"/>
          <w:w w:val="105"/>
          <w:sz w:val="21"/>
        </w:rPr>
        <w:t> </w:t>
      </w:r>
      <w:r>
        <w:rPr>
          <w:w w:val="105"/>
          <w:sz w:val="21"/>
        </w:rPr>
        <w:t>Retirees</w:t>
      </w:r>
      <w:r>
        <w:rPr>
          <w:spacing w:val="-16"/>
          <w:w w:val="105"/>
          <w:sz w:val="21"/>
        </w:rPr>
        <w:t> </w:t>
      </w:r>
      <w:r>
        <w:rPr>
          <w:spacing w:val="-3"/>
          <w:w w:val="105"/>
          <w:sz w:val="21"/>
        </w:rPr>
        <w:t>unanimously</w:t>
      </w:r>
      <w:r>
        <w:rPr>
          <w:spacing w:val="-15"/>
          <w:w w:val="105"/>
          <w:sz w:val="21"/>
        </w:rPr>
        <w:t> </w:t>
      </w:r>
      <w:r>
        <w:rPr>
          <w:w w:val="105"/>
          <w:sz w:val="21"/>
        </w:rPr>
        <w:t>expressed</w:t>
      </w:r>
      <w:r>
        <w:rPr>
          <w:spacing w:val="-16"/>
          <w:w w:val="105"/>
          <w:sz w:val="21"/>
        </w:rPr>
        <w:t> </w:t>
      </w:r>
      <w:r>
        <w:rPr>
          <w:w w:val="105"/>
          <w:sz w:val="21"/>
        </w:rPr>
        <w:t>the</w:t>
      </w:r>
      <w:r>
        <w:rPr>
          <w:spacing w:val="-15"/>
          <w:w w:val="105"/>
          <w:sz w:val="21"/>
        </w:rPr>
        <w:t> </w:t>
      </w:r>
      <w:r>
        <w:rPr>
          <w:w w:val="105"/>
          <w:sz w:val="21"/>
        </w:rPr>
        <w:t>view</w:t>
      </w:r>
      <w:r>
        <w:rPr>
          <w:spacing w:val="-16"/>
          <w:w w:val="105"/>
          <w:sz w:val="21"/>
        </w:rPr>
        <w:t> </w:t>
      </w:r>
      <w:r>
        <w:rPr>
          <w:spacing w:val="-3"/>
          <w:w w:val="105"/>
          <w:sz w:val="21"/>
        </w:rPr>
        <w:t>that </w:t>
      </w:r>
      <w:r>
        <w:rPr>
          <w:w w:val="105"/>
          <w:sz w:val="21"/>
        </w:rPr>
        <w:t>they did </w:t>
      </w:r>
      <w:r>
        <w:rPr>
          <w:spacing w:val="-2"/>
          <w:w w:val="105"/>
          <w:sz w:val="21"/>
        </w:rPr>
        <w:t>not </w:t>
      </w:r>
      <w:r>
        <w:rPr>
          <w:spacing w:val="-3"/>
          <w:w w:val="105"/>
          <w:sz w:val="21"/>
        </w:rPr>
        <w:t>want </w:t>
      </w:r>
      <w:r>
        <w:rPr>
          <w:w w:val="105"/>
          <w:sz w:val="21"/>
        </w:rPr>
        <w:t>their </w:t>
      </w:r>
      <w:r>
        <w:rPr>
          <w:spacing w:val="-3"/>
          <w:w w:val="105"/>
          <w:sz w:val="21"/>
        </w:rPr>
        <w:t>wills to </w:t>
      </w:r>
      <w:r>
        <w:rPr>
          <w:w w:val="105"/>
          <w:sz w:val="21"/>
        </w:rPr>
        <w:t>be </w:t>
      </w:r>
      <w:r>
        <w:rPr>
          <w:spacing w:val="-3"/>
          <w:w w:val="105"/>
          <w:sz w:val="21"/>
        </w:rPr>
        <w:t>challenged, </w:t>
      </w:r>
      <w:r>
        <w:rPr>
          <w:w w:val="105"/>
          <w:sz w:val="21"/>
        </w:rPr>
        <w:t>with one </w:t>
      </w:r>
      <w:r>
        <w:rPr>
          <w:spacing w:val="-3"/>
          <w:w w:val="105"/>
          <w:sz w:val="21"/>
        </w:rPr>
        <w:t>asking </w:t>
      </w:r>
      <w:r>
        <w:rPr>
          <w:w w:val="105"/>
          <w:sz w:val="21"/>
        </w:rPr>
        <w:t>‘Why </w:t>
      </w:r>
      <w:r>
        <w:rPr>
          <w:spacing w:val="-2"/>
          <w:w w:val="105"/>
          <w:sz w:val="21"/>
        </w:rPr>
        <w:t>pay </w:t>
      </w:r>
      <w:r>
        <w:rPr>
          <w:spacing w:val="-3"/>
          <w:w w:val="105"/>
          <w:sz w:val="21"/>
        </w:rPr>
        <w:t>to </w:t>
      </w:r>
      <w:r>
        <w:rPr>
          <w:spacing w:val="-4"/>
          <w:w w:val="105"/>
          <w:sz w:val="21"/>
        </w:rPr>
        <w:t>make </w:t>
      </w:r>
      <w:r>
        <w:rPr>
          <w:w w:val="105"/>
          <w:sz w:val="21"/>
        </w:rPr>
        <w:t>a </w:t>
      </w:r>
      <w:r>
        <w:rPr>
          <w:spacing w:val="-3"/>
          <w:w w:val="105"/>
          <w:sz w:val="21"/>
        </w:rPr>
        <w:t>will </w:t>
      </w:r>
      <w:r>
        <w:rPr>
          <w:w w:val="105"/>
          <w:sz w:val="21"/>
        </w:rPr>
        <w:t>when </w:t>
      </w:r>
      <w:r>
        <w:rPr>
          <w:spacing w:val="-3"/>
          <w:w w:val="105"/>
          <w:sz w:val="21"/>
        </w:rPr>
        <w:t>ultimately </w:t>
      </w:r>
      <w:r>
        <w:rPr>
          <w:w w:val="105"/>
          <w:sz w:val="21"/>
        </w:rPr>
        <w:t>my wishes </w:t>
      </w:r>
      <w:r>
        <w:rPr>
          <w:spacing w:val="-3"/>
          <w:w w:val="105"/>
          <w:sz w:val="21"/>
        </w:rPr>
        <w:t>will </w:t>
      </w:r>
      <w:r>
        <w:rPr>
          <w:w w:val="105"/>
          <w:sz w:val="21"/>
        </w:rPr>
        <w:t>be</w:t>
      </w:r>
      <w:r>
        <w:rPr>
          <w:spacing w:val="32"/>
          <w:w w:val="105"/>
          <w:sz w:val="21"/>
        </w:rPr>
        <w:t> </w:t>
      </w:r>
      <w:r>
        <w:rPr>
          <w:w w:val="105"/>
          <w:sz w:val="21"/>
        </w:rPr>
        <w:t>challenged?’</w:t>
      </w:r>
      <w:r>
        <w:rPr>
          <w:w w:val="105"/>
          <w:position w:val="7"/>
          <w:sz w:val="12"/>
        </w:rPr>
        <w:t>52</w:t>
      </w:r>
    </w:p>
    <w:p>
      <w:pPr>
        <w:pStyle w:val="BodyText"/>
        <w:spacing w:before="2"/>
        <w:rPr>
          <w:sz w:val="25"/>
        </w:rPr>
      </w:pPr>
    </w:p>
    <w:p>
      <w:pPr>
        <w:pStyle w:val="Heading5"/>
      </w:pPr>
      <w:bookmarkStart w:name="_TOC_250022" w:id="102"/>
      <w:bookmarkEnd w:id="102"/>
      <w:r>
        <w:rPr>
          <w:w w:val="115"/>
        </w:rPr>
        <w:t>Recommended areas for reform</w:t>
      </w:r>
    </w:p>
    <w:p>
      <w:pPr>
        <w:pStyle w:val="ListParagraph"/>
        <w:numPr>
          <w:ilvl w:val="1"/>
          <w:numId w:val="22"/>
        </w:numPr>
        <w:tabs>
          <w:tab w:pos="2381" w:val="left" w:leader="none"/>
          <w:tab w:pos="2382" w:val="left" w:leader="none"/>
        </w:tabs>
        <w:spacing w:line="240" w:lineRule="auto" w:before="137" w:after="0"/>
        <w:ind w:left="2381" w:right="0" w:hanging="794"/>
        <w:jc w:val="left"/>
        <w:rPr>
          <w:sz w:val="21"/>
        </w:rPr>
      </w:pPr>
      <w:r>
        <w:rPr>
          <w:sz w:val="21"/>
        </w:rPr>
        <w:t>Most</w:t>
      </w:r>
      <w:r>
        <w:rPr>
          <w:spacing w:val="9"/>
          <w:sz w:val="21"/>
        </w:rPr>
        <w:t> </w:t>
      </w:r>
      <w:r>
        <w:rPr>
          <w:sz w:val="21"/>
        </w:rPr>
        <w:t>possible</w:t>
      </w:r>
      <w:r>
        <w:rPr>
          <w:spacing w:val="10"/>
          <w:sz w:val="21"/>
        </w:rPr>
        <w:t> </w:t>
      </w:r>
      <w:r>
        <w:rPr>
          <w:spacing w:val="-3"/>
          <w:sz w:val="21"/>
        </w:rPr>
        <w:t>reforms</w:t>
      </w:r>
      <w:r>
        <w:rPr>
          <w:spacing w:val="10"/>
          <w:sz w:val="21"/>
        </w:rPr>
        <w:t> </w:t>
      </w:r>
      <w:r>
        <w:rPr>
          <w:sz w:val="21"/>
        </w:rPr>
        <w:t>in</w:t>
      </w:r>
      <w:r>
        <w:rPr>
          <w:spacing w:val="10"/>
          <w:sz w:val="21"/>
        </w:rPr>
        <w:t> </w:t>
      </w:r>
      <w:r>
        <w:rPr>
          <w:sz w:val="21"/>
        </w:rPr>
        <w:t>response</w:t>
      </w:r>
      <w:r>
        <w:rPr>
          <w:spacing w:val="10"/>
          <w:sz w:val="21"/>
        </w:rPr>
        <w:t> </w:t>
      </w:r>
      <w:r>
        <w:rPr>
          <w:spacing w:val="-3"/>
          <w:sz w:val="21"/>
        </w:rPr>
        <w:t>to</w:t>
      </w:r>
      <w:r>
        <w:rPr>
          <w:spacing w:val="10"/>
          <w:sz w:val="21"/>
        </w:rPr>
        <w:t> </w:t>
      </w:r>
      <w:r>
        <w:rPr>
          <w:sz w:val="21"/>
        </w:rPr>
        <w:t>the</w:t>
      </w:r>
      <w:r>
        <w:rPr>
          <w:spacing w:val="10"/>
          <w:sz w:val="21"/>
        </w:rPr>
        <w:t> </w:t>
      </w:r>
      <w:r>
        <w:rPr>
          <w:spacing w:val="-2"/>
          <w:sz w:val="21"/>
        </w:rPr>
        <w:t>problems</w:t>
      </w:r>
      <w:r>
        <w:rPr>
          <w:spacing w:val="10"/>
          <w:sz w:val="21"/>
        </w:rPr>
        <w:t> </w:t>
      </w:r>
      <w:r>
        <w:rPr>
          <w:sz w:val="21"/>
        </w:rPr>
        <w:t>identified</w:t>
      </w:r>
      <w:r>
        <w:rPr>
          <w:spacing w:val="10"/>
          <w:sz w:val="21"/>
        </w:rPr>
        <w:t> </w:t>
      </w:r>
      <w:r>
        <w:rPr>
          <w:sz w:val="21"/>
        </w:rPr>
        <w:t>in</w:t>
      </w:r>
      <w:r>
        <w:rPr>
          <w:spacing w:val="10"/>
          <w:sz w:val="21"/>
        </w:rPr>
        <w:t> </w:t>
      </w:r>
      <w:r>
        <w:rPr>
          <w:spacing w:val="-3"/>
          <w:sz w:val="21"/>
        </w:rPr>
        <w:t>family</w:t>
      </w:r>
      <w:r>
        <w:rPr>
          <w:spacing w:val="10"/>
          <w:sz w:val="21"/>
        </w:rPr>
        <w:t> </w:t>
      </w:r>
      <w:r>
        <w:rPr>
          <w:spacing w:val="-3"/>
          <w:sz w:val="21"/>
        </w:rPr>
        <w:t>provision,</w:t>
      </w:r>
    </w:p>
    <w:p>
      <w:pPr>
        <w:pStyle w:val="BodyText"/>
        <w:spacing w:before="4"/>
        <w:ind w:left="2381"/>
      </w:pPr>
      <w:r>
        <w:rPr>
          <w:w w:val="105"/>
        </w:rPr>
        <w:t>as discussed in this chapter, are directed to four aspects of the operation of the law:</w:t>
      </w:r>
    </w:p>
    <w:p>
      <w:pPr>
        <w:pStyle w:val="ListParagraph"/>
        <w:numPr>
          <w:ilvl w:val="2"/>
          <w:numId w:val="22"/>
        </w:numPr>
        <w:tabs>
          <w:tab w:pos="2721" w:val="left" w:leader="none"/>
          <w:tab w:pos="2722" w:val="left" w:leader="none"/>
        </w:tabs>
        <w:spacing w:line="240" w:lineRule="auto" w:before="124" w:after="0"/>
        <w:ind w:left="2721" w:right="0" w:hanging="340"/>
        <w:jc w:val="left"/>
        <w:rPr>
          <w:sz w:val="21"/>
        </w:rPr>
      </w:pPr>
      <w:r>
        <w:rPr>
          <w:sz w:val="21"/>
        </w:rPr>
        <w:t>court</w:t>
      </w:r>
      <w:r>
        <w:rPr>
          <w:spacing w:val="8"/>
          <w:sz w:val="21"/>
        </w:rPr>
        <w:t> </w:t>
      </w:r>
      <w:r>
        <w:rPr>
          <w:sz w:val="21"/>
        </w:rPr>
        <w:t>jurisdiction</w:t>
      </w:r>
    </w:p>
    <w:p>
      <w:pPr>
        <w:pStyle w:val="ListParagraph"/>
        <w:numPr>
          <w:ilvl w:val="2"/>
          <w:numId w:val="22"/>
        </w:numPr>
        <w:tabs>
          <w:tab w:pos="2721" w:val="left" w:leader="none"/>
          <w:tab w:pos="2722" w:val="left" w:leader="none"/>
        </w:tabs>
        <w:spacing w:line="240" w:lineRule="auto" w:before="123" w:after="0"/>
        <w:ind w:left="2721" w:right="0" w:hanging="340"/>
        <w:jc w:val="left"/>
        <w:rPr>
          <w:sz w:val="21"/>
        </w:rPr>
      </w:pPr>
      <w:r>
        <w:rPr>
          <w:spacing w:val="-3"/>
          <w:sz w:val="21"/>
        </w:rPr>
        <w:t>eligibility</w:t>
      </w:r>
      <w:r>
        <w:rPr>
          <w:spacing w:val="9"/>
          <w:sz w:val="21"/>
        </w:rPr>
        <w:t> </w:t>
      </w:r>
      <w:r>
        <w:rPr>
          <w:spacing w:val="-3"/>
          <w:sz w:val="21"/>
        </w:rPr>
        <w:t>to</w:t>
      </w:r>
      <w:r>
        <w:rPr>
          <w:spacing w:val="9"/>
          <w:sz w:val="21"/>
        </w:rPr>
        <w:t> </w:t>
      </w:r>
      <w:r>
        <w:rPr>
          <w:spacing w:val="-4"/>
          <w:sz w:val="21"/>
        </w:rPr>
        <w:t>make</w:t>
      </w:r>
      <w:r>
        <w:rPr>
          <w:spacing w:val="9"/>
          <w:sz w:val="21"/>
        </w:rPr>
        <w:t> </w:t>
      </w:r>
      <w:r>
        <w:rPr>
          <w:sz w:val="21"/>
        </w:rPr>
        <w:t>a</w:t>
      </w:r>
      <w:r>
        <w:rPr>
          <w:spacing w:val="9"/>
          <w:sz w:val="21"/>
        </w:rPr>
        <w:t> </w:t>
      </w:r>
      <w:r>
        <w:rPr>
          <w:spacing w:val="-3"/>
          <w:sz w:val="21"/>
        </w:rPr>
        <w:t>family</w:t>
      </w:r>
      <w:r>
        <w:rPr>
          <w:spacing w:val="9"/>
          <w:sz w:val="21"/>
        </w:rPr>
        <w:t> </w:t>
      </w:r>
      <w:r>
        <w:rPr>
          <w:spacing w:val="-3"/>
          <w:sz w:val="21"/>
        </w:rPr>
        <w:t>provision</w:t>
      </w:r>
      <w:r>
        <w:rPr>
          <w:spacing w:val="9"/>
          <w:sz w:val="21"/>
        </w:rPr>
        <w:t> </w:t>
      </w:r>
      <w:r>
        <w:rPr>
          <w:spacing w:val="-3"/>
          <w:sz w:val="21"/>
        </w:rPr>
        <w:t>claim</w:t>
      </w:r>
    </w:p>
    <w:p>
      <w:pPr>
        <w:pStyle w:val="ListParagraph"/>
        <w:numPr>
          <w:ilvl w:val="2"/>
          <w:numId w:val="22"/>
        </w:numPr>
        <w:tabs>
          <w:tab w:pos="2721" w:val="left" w:leader="none"/>
          <w:tab w:pos="2722" w:val="left" w:leader="none"/>
        </w:tabs>
        <w:spacing w:line="240" w:lineRule="auto" w:before="124" w:after="0"/>
        <w:ind w:left="2721" w:right="0" w:hanging="340"/>
        <w:jc w:val="left"/>
        <w:rPr>
          <w:sz w:val="21"/>
        </w:rPr>
      </w:pPr>
      <w:r>
        <w:rPr>
          <w:sz w:val="21"/>
        </w:rPr>
        <w:t>costs</w:t>
      </w:r>
      <w:r>
        <w:rPr>
          <w:spacing w:val="6"/>
          <w:sz w:val="21"/>
        </w:rPr>
        <w:t> </w:t>
      </w:r>
      <w:r>
        <w:rPr>
          <w:sz w:val="21"/>
        </w:rPr>
        <w:t>rules</w:t>
      </w:r>
    </w:p>
    <w:p>
      <w:pPr>
        <w:pStyle w:val="ListParagraph"/>
        <w:numPr>
          <w:ilvl w:val="2"/>
          <w:numId w:val="22"/>
        </w:numPr>
        <w:tabs>
          <w:tab w:pos="2721" w:val="left" w:leader="none"/>
          <w:tab w:pos="2722" w:val="left" w:leader="none"/>
        </w:tabs>
        <w:spacing w:line="240" w:lineRule="auto" w:before="124" w:after="0"/>
        <w:ind w:left="2721" w:right="0" w:hanging="340"/>
        <w:jc w:val="left"/>
        <w:rPr>
          <w:sz w:val="21"/>
        </w:rPr>
      </w:pPr>
      <w:r>
        <w:rPr>
          <w:spacing w:val="-3"/>
          <w:w w:val="105"/>
          <w:sz w:val="21"/>
        </w:rPr>
        <w:t>procedure.</w:t>
      </w:r>
    </w:p>
    <w:p>
      <w:pPr>
        <w:pStyle w:val="ListParagraph"/>
        <w:numPr>
          <w:ilvl w:val="1"/>
          <w:numId w:val="22"/>
        </w:numPr>
        <w:tabs>
          <w:tab w:pos="2381" w:val="left" w:leader="none"/>
          <w:tab w:pos="2382" w:val="left" w:leader="none"/>
        </w:tabs>
        <w:spacing w:line="242" w:lineRule="auto" w:before="124" w:after="0"/>
        <w:ind w:left="2381" w:right="1603" w:hanging="794"/>
        <w:jc w:val="left"/>
        <w:rPr>
          <w:sz w:val="21"/>
        </w:rPr>
      </w:pPr>
      <w:r>
        <w:rPr>
          <w:w w:val="105"/>
          <w:sz w:val="21"/>
        </w:rPr>
        <w:t>In </w:t>
      </w:r>
      <w:r>
        <w:rPr>
          <w:spacing w:val="-3"/>
          <w:w w:val="105"/>
          <w:sz w:val="21"/>
        </w:rPr>
        <w:t>relation to family provision, </w:t>
      </w:r>
      <w:r>
        <w:rPr>
          <w:w w:val="105"/>
          <w:sz w:val="21"/>
        </w:rPr>
        <w:t>there seems </w:t>
      </w:r>
      <w:r>
        <w:rPr>
          <w:spacing w:val="-3"/>
          <w:w w:val="105"/>
          <w:sz w:val="21"/>
        </w:rPr>
        <w:t>to </w:t>
      </w:r>
      <w:r>
        <w:rPr>
          <w:w w:val="105"/>
          <w:sz w:val="21"/>
        </w:rPr>
        <w:t>be little possibility of </w:t>
      </w:r>
      <w:r>
        <w:rPr>
          <w:spacing w:val="-3"/>
          <w:w w:val="105"/>
          <w:sz w:val="21"/>
        </w:rPr>
        <w:t>achieving national </w:t>
      </w:r>
      <w:r>
        <w:rPr>
          <w:w w:val="105"/>
          <w:sz w:val="21"/>
        </w:rPr>
        <w:t>consistency by </w:t>
      </w:r>
      <w:r>
        <w:rPr>
          <w:spacing w:val="-3"/>
          <w:w w:val="105"/>
          <w:sz w:val="21"/>
        </w:rPr>
        <w:t>implementing </w:t>
      </w:r>
      <w:r>
        <w:rPr>
          <w:w w:val="105"/>
          <w:sz w:val="21"/>
        </w:rPr>
        <w:t>the </w:t>
      </w:r>
      <w:r>
        <w:rPr>
          <w:spacing w:val="-3"/>
          <w:w w:val="105"/>
          <w:sz w:val="21"/>
        </w:rPr>
        <w:t>recommendations </w:t>
      </w:r>
      <w:r>
        <w:rPr>
          <w:w w:val="105"/>
          <w:sz w:val="21"/>
        </w:rPr>
        <w:t>of the </w:t>
      </w:r>
      <w:r>
        <w:rPr>
          <w:spacing w:val="-3"/>
          <w:w w:val="105"/>
          <w:sz w:val="21"/>
        </w:rPr>
        <w:t>National Committee for Uniform Succession </w:t>
      </w:r>
      <w:r>
        <w:rPr>
          <w:w w:val="105"/>
          <w:sz w:val="21"/>
        </w:rPr>
        <w:t>Laws. Where </w:t>
      </w:r>
      <w:r>
        <w:rPr>
          <w:spacing w:val="-3"/>
          <w:w w:val="105"/>
          <w:sz w:val="21"/>
        </w:rPr>
        <w:t>desirable, </w:t>
      </w:r>
      <w:r>
        <w:rPr>
          <w:w w:val="105"/>
          <w:sz w:val="21"/>
        </w:rPr>
        <w:t>the </w:t>
      </w:r>
      <w:r>
        <w:rPr>
          <w:spacing w:val="-3"/>
          <w:w w:val="105"/>
          <w:sz w:val="21"/>
        </w:rPr>
        <w:t>Commission </w:t>
      </w:r>
      <w:r>
        <w:rPr>
          <w:spacing w:val="-2"/>
          <w:w w:val="105"/>
          <w:sz w:val="21"/>
        </w:rPr>
        <w:t>has </w:t>
      </w:r>
      <w:r>
        <w:rPr>
          <w:w w:val="105"/>
          <w:sz w:val="21"/>
        </w:rPr>
        <w:t>drawn </w:t>
      </w:r>
      <w:r>
        <w:rPr>
          <w:spacing w:val="-3"/>
          <w:w w:val="105"/>
          <w:sz w:val="21"/>
        </w:rPr>
        <w:t>from </w:t>
      </w:r>
      <w:r>
        <w:rPr>
          <w:w w:val="105"/>
          <w:sz w:val="21"/>
        </w:rPr>
        <w:t>law and practice</w:t>
      </w:r>
      <w:r>
        <w:rPr>
          <w:spacing w:val="-5"/>
          <w:w w:val="105"/>
          <w:sz w:val="21"/>
        </w:rPr>
        <w:t> </w:t>
      </w:r>
      <w:r>
        <w:rPr>
          <w:w w:val="105"/>
          <w:sz w:val="21"/>
        </w:rPr>
        <w:t>in</w:t>
      </w:r>
      <w:r>
        <w:rPr>
          <w:spacing w:val="-5"/>
          <w:w w:val="105"/>
          <w:sz w:val="21"/>
        </w:rPr>
        <w:t> </w:t>
      </w:r>
      <w:r>
        <w:rPr>
          <w:w w:val="105"/>
          <w:sz w:val="21"/>
        </w:rPr>
        <w:t>New</w:t>
      </w:r>
      <w:r>
        <w:rPr>
          <w:spacing w:val="-5"/>
          <w:w w:val="105"/>
          <w:sz w:val="21"/>
        </w:rPr>
        <w:t> </w:t>
      </w:r>
      <w:r>
        <w:rPr>
          <w:w w:val="105"/>
          <w:sz w:val="21"/>
        </w:rPr>
        <w:t>South</w:t>
      </w:r>
      <w:r>
        <w:rPr>
          <w:spacing w:val="-5"/>
          <w:w w:val="105"/>
          <w:sz w:val="21"/>
        </w:rPr>
        <w:t> </w:t>
      </w:r>
      <w:r>
        <w:rPr>
          <w:spacing w:val="-3"/>
          <w:w w:val="105"/>
          <w:sz w:val="21"/>
        </w:rPr>
        <w:t>Wales,</w:t>
      </w:r>
      <w:r>
        <w:rPr>
          <w:spacing w:val="-5"/>
          <w:w w:val="105"/>
          <w:sz w:val="21"/>
        </w:rPr>
        <w:t> </w:t>
      </w:r>
      <w:r>
        <w:rPr>
          <w:w w:val="105"/>
          <w:sz w:val="21"/>
        </w:rPr>
        <w:t>with</w:t>
      </w:r>
      <w:r>
        <w:rPr>
          <w:spacing w:val="-5"/>
          <w:w w:val="105"/>
          <w:sz w:val="21"/>
        </w:rPr>
        <w:t> </w:t>
      </w:r>
      <w:r>
        <w:rPr>
          <w:w w:val="105"/>
          <w:sz w:val="21"/>
        </w:rPr>
        <w:t>a</w:t>
      </w:r>
      <w:r>
        <w:rPr>
          <w:spacing w:val="-5"/>
          <w:w w:val="105"/>
          <w:sz w:val="21"/>
        </w:rPr>
        <w:t> </w:t>
      </w:r>
      <w:r>
        <w:rPr>
          <w:w w:val="105"/>
          <w:sz w:val="21"/>
        </w:rPr>
        <w:t>view</w:t>
      </w:r>
      <w:r>
        <w:rPr>
          <w:spacing w:val="-5"/>
          <w:w w:val="105"/>
          <w:sz w:val="21"/>
        </w:rPr>
        <w:t> </w:t>
      </w:r>
      <w:r>
        <w:rPr>
          <w:spacing w:val="-3"/>
          <w:w w:val="105"/>
          <w:sz w:val="21"/>
        </w:rPr>
        <w:t>to</w:t>
      </w:r>
      <w:r>
        <w:rPr>
          <w:spacing w:val="-5"/>
          <w:w w:val="105"/>
          <w:sz w:val="21"/>
        </w:rPr>
        <w:t> </w:t>
      </w:r>
      <w:r>
        <w:rPr>
          <w:spacing w:val="-3"/>
          <w:w w:val="105"/>
          <w:sz w:val="21"/>
        </w:rPr>
        <w:t>achieving</w:t>
      </w:r>
      <w:r>
        <w:rPr>
          <w:spacing w:val="-5"/>
          <w:w w:val="105"/>
          <w:sz w:val="21"/>
        </w:rPr>
        <w:t> </w:t>
      </w:r>
      <w:r>
        <w:rPr>
          <w:w w:val="105"/>
          <w:sz w:val="21"/>
        </w:rPr>
        <w:t>consistency</w:t>
      </w:r>
      <w:r>
        <w:rPr>
          <w:spacing w:val="-5"/>
          <w:w w:val="105"/>
          <w:sz w:val="21"/>
        </w:rPr>
        <w:t> </w:t>
      </w:r>
      <w:r>
        <w:rPr>
          <w:w w:val="105"/>
          <w:sz w:val="21"/>
        </w:rPr>
        <w:t>between</w:t>
      </w:r>
      <w:r>
        <w:rPr>
          <w:spacing w:val="-5"/>
          <w:w w:val="105"/>
          <w:sz w:val="21"/>
        </w:rPr>
        <w:t> </w:t>
      </w:r>
      <w:r>
        <w:rPr>
          <w:w w:val="105"/>
          <w:sz w:val="21"/>
        </w:rPr>
        <w:t>the</w:t>
      </w:r>
      <w:r>
        <w:rPr>
          <w:spacing w:val="-5"/>
          <w:w w:val="105"/>
          <w:sz w:val="21"/>
        </w:rPr>
        <w:t> </w:t>
      </w:r>
      <w:r>
        <w:rPr>
          <w:w w:val="105"/>
          <w:sz w:val="21"/>
        </w:rPr>
        <w:t>two</w:t>
      </w:r>
      <w:r>
        <w:rPr>
          <w:spacing w:val="-4"/>
          <w:w w:val="105"/>
          <w:sz w:val="21"/>
        </w:rPr>
        <w:t> </w:t>
      </w:r>
      <w:r>
        <w:rPr>
          <w:w w:val="105"/>
          <w:sz w:val="21"/>
        </w:rPr>
        <w:t>most populous states in</w:t>
      </w:r>
      <w:r>
        <w:rPr>
          <w:spacing w:val="15"/>
          <w:w w:val="105"/>
          <w:sz w:val="21"/>
        </w:rPr>
        <w:t> </w:t>
      </w:r>
      <w:r>
        <w:rPr>
          <w:spacing w:val="-3"/>
          <w:w w:val="105"/>
          <w:sz w:val="21"/>
        </w:rPr>
        <w:t>Australia.</w:t>
      </w:r>
    </w:p>
    <w:p>
      <w:pPr>
        <w:pStyle w:val="ListParagraph"/>
        <w:numPr>
          <w:ilvl w:val="1"/>
          <w:numId w:val="22"/>
        </w:numPr>
        <w:tabs>
          <w:tab w:pos="2381" w:val="left" w:leader="none"/>
          <w:tab w:pos="2382" w:val="left" w:leader="none"/>
        </w:tabs>
        <w:spacing w:line="242" w:lineRule="auto" w:before="125" w:after="0"/>
        <w:ind w:left="2381" w:right="1773" w:hanging="794"/>
        <w:jc w:val="left"/>
        <w:rPr>
          <w:sz w:val="21"/>
        </w:rPr>
      </w:pPr>
      <w:r>
        <w:rPr>
          <w:w w:val="105"/>
          <w:sz w:val="21"/>
        </w:rPr>
        <w:t>Aspects of </w:t>
      </w:r>
      <w:r>
        <w:rPr>
          <w:spacing w:val="-3"/>
          <w:w w:val="105"/>
          <w:sz w:val="21"/>
        </w:rPr>
        <w:t>family provision </w:t>
      </w:r>
      <w:r>
        <w:rPr>
          <w:w w:val="105"/>
          <w:sz w:val="21"/>
        </w:rPr>
        <w:t>law </w:t>
      </w:r>
      <w:r>
        <w:rPr>
          <w:spacing w:val="-3"/>
          <w:w w:val="105"/>
          <w:sz w:val="21"/>
        </w:rPr>
        <w:t>that were </w:t>
      </w:r>
      <w:r>
        <w:rPr>
          <w:spacing w:val="-2"/>
          <w:w w:val="105"/>
          <w:sz w:val="21"/>
        </w:rPr>
        <w:t>raised </w:t>
      </w:r>
      <w:r>
        <w:rPr>
          <w:w w:val="105"/>
          <w:sz w:val="21"/>
        </w:rPr>
        <w:t>in the </w:t>
      </w:r>
      <w:r>
        <w:rPr>
          <w:spacing w:val="-3"/>
          <w:w w:val="105"/>
          <w:sz w:val="21"/>
        </w:rPr>
        <w:t>consultation </w:t>
      </w:r>
      <w:r>
        <w:rPr>
          <w:spacing w:val="-4"/>
          <w:w w:val="105"/>
          <w:sz w:val="21"/>
        </w:rPr>
        <w:t>paper, </w:t>
      </w:r>
      <w:r>
        <w:rPr>
          <w:w w:val="105"/>
          <w:sz w:val="21"/>
        </w:rPr>
        <w:t>but </w:t>
      </w:r>
      <w:r>
        <w:rPr>
          <w:spacing w:val="-3"/>
          <w:w w:val="105"/>
          <w:sz w:val="21"/>
        </w:rPr>
        <w:t>for </w:t>
      </w:r>
      <w:r>
        <w:rPr>
          <w:w w:val="105"/>
          <w:sz w:val="21"/>
        </w:rPr>
        <w:t>which no </w:t>
      </w:r>
      <w:r>
        <w:rPr>
          <w:spacing w:val="-3"/>
          <w:w w:val="105"/>
          <w:sz w:val="21"/>
        </w:rPr>
        <w:t>change </w:t>
      </w:r>
      <w:r>
        <w:rPr>
          <w:w w:val="105"/>
          <w:sz w:val="21"/>
        </w:rPr>
        <w:t>is proposed,</w:t>
      </w:r>
      <w:r>
        <w:rPr>
          <w:spacing w:val="23"/>
          <w:w w:val="105"/>
          <w:sz w:val="21"/>
        </w:rPr>
        <w:t> </w:t>
      </w:r>
      <w:r>
        <w:rPr>
          <w:w w:val="105"/>
          <w:sz w:val="21"/>
        </w:rPr>
        <w:t>are:</w:t>
      </w:r>
    </w:p>
    <w:p>
      <w:pPr>
        <w:pStyle w:val="ListParagraph"/>
        <w:numPr>
          <w:ilvl w:val="2"/>
          <w:numId w:val="22"/>
        </w:numPr>
        <w:tabs>
          <w:tab w:pos="2721" w:val="left" w:leader="none"/>
          <w:tab w:pos="2722" w:val="left" w:leader="none"/>
        </w:tabs>
        <w:spacing w:line="240" w:lineRule="auto" w:before="122" w:after="0"/>
        <w:ind w:left="2721" w:right="0" w:hanging="340"/>
        <w:jc w:val="left"/>
        <w:rPr>
          <w:sz w:val="21"/>
        </w:rPr>
      </w:pPr>
      <w:r>
        <w:rPr>
          <w:w w:val="105"/>
          <w:sz w:val="21"/>
        </w:rPr>
        <w:t>the time </w:t>
      </w:r>
      <w:r>
        <w:rPr>
          <w:spacing w:val="-3"/>
          <w:w w:val="105"/>
          <w:sz w:val="21"/>
        </w:rPr>
        <w:t>within </w:t>
      </w:r>
      <w:r>
        <w:rPr>
          <w:w w:val="105"/>
          <w:sz w:val="21"/>
        </w:rPr>
        <w:t>which </w:t>
      </w:r>
      <w:r>
        <w:rPr>
          <w:spacing w:val="-3"/>
          <w:w w:val="105"/>
          <w:sz w:val="21"/>
        </w:rPr>
        <w:t>to bring </w:t>
      </w:r>
      <w:r>
        <w:rPr>
          <w:w w:val="105"/>
          <w:sz w:val="21"/>
        </w:rPr>
        <w:t>an</w:t>
      </w:r>
      <w:r>
        <w:rPr>
          <w:spacing w:val="43"/>
          <w:w w:val="105"/>
          <w:sz w:val="21"/>
        </w:rPr>
        <w:t> </w:t>
      </w:r>
      <w:r>
        <w:rPr>
          <w:w w:val="105"/>
          <w:sz w:val="21"/>
        </w:rPr>
        <w:t>application</w:t>
      </w:r>
    </w:p>
    <w:p>
      <w:pPr>
        <w:pStyle w:val="ListParagraph"/>
        <w:numPr>
          <w:ilvl w:val="2"/>
          <w:numId w:val="22"/>
        </w:numPr>
        <w:tabs>
          <w:tab w:pos="2721" w:val="left" w:leader="none"/>
          <w:tab w:pos="2722" w:val="left" w:leader="none"/>
        </w:tabs>
        <w:spacing w:line="240" w:lineRule="auto" w:before="124" w:after="0"/>
        <w:ind w:left="2721" w:right="0" w:hanging="340"/>
        <w:jc w:val="left"/>
        <w:rPr>
          <w:sz w:val="21"/>
        </w:rPr>
      </w:pPr>
      <w:r>
        <w:rPr>
          <w:spacing w:val="-3"/>
          <w:sz w:val="21"/>
        </w:rPr>
        <w:t>notional</w:t>
      </w:r>
      <w:r>
        <w:rPr>
          <w:spacing w:val="8"/>
          <w:sz w:val="21"/>
        </w:rPr>
        <w:t> </w:t>
      </w:r>
      <w:r>
        <w:rPr>
          <w:spacing w:val="-3"/>
          <w:sz w:val="21"/>
        </w:rPr>
        <w:t>estate.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0"/>
        </w:rPr>
      </w:pPr>
      <w:r>
        <w:rPr/>
        <w:pict>
          <v:line style="position:absolute;mso-position-horizontal-relative:page;mso-position-vertical-relative:paragraph;z-index:6800;mso-wrap-distance-left:0;mso-wrap-distance-right:0" from="79.370003pt,14.996095pt" to="515.905003pt,14.996095pt" stroked="true" strokeweight="1pt" strokecolor="#f9ceca">
            <v:stroke dashstyle="solid"/>
            <w10:wrap type="topAndBottom"/>
          </v:line>
        </w:pict>
      </w:r>
    </w:p>
    <w:p>
      <w:pPr>
        <w:pStyle w:val="BodyText"/>
        <w:spacing w:before="8"/>
        <w:rPr>
          <w:sz w:val="5"/>
        </w:rPr>
      </w:pPr>
    </w:p>
    <w:p>
      <w:pPr>
        <w:spacing w:after="0"/>
        <w:rPr>
          <w:sz w:val="5"/>
        </w:rPr>
        <w:sectPr>
          <w:pgSz w:w="11910" w:h="16840"/>
          <w:pgMar w:header="805" w:footer="0" w:top="1360" w:bottom="280" w:left="0" w:right="0"/>
        </w:sectPr>
      </w:pPr>
    </w:p>
    <w:p>
      <w:pPr>
        <w:pStyle w:val="ListParagraph"/>
        <w:numPr>
          <w:ilvl w:val="0"/>
          <w:numId w:val="79"/>
        </w:numPr>
        <w:tabs>
          <w:tab w:pos="2380" w:val="left" w:leader="none"/>
          <w:tab w:pos="2382" w:val="left" w:leader="none"/>
        </w:tabs>
        <w:spacing w:line="240" w:lineRule="auto" w:before="48" w:after="0"/>
        <w:ind w:left="2381" w:right="0" w:hanging="794"/>
        <w:jc w:val="left"/>
        <w:rPr>
          <w:sz w:val="13"/>
        </w:rPr>
      </w:pPr>
      <w:r>
        <w:rPr>
          <w:w w:val="105"/>
          <w:sz w:val="13"/>
        </w:rPr>
        <w:t>Submission 35 (Andrew</w:t>
      </w:r>
      <w:r>
        <w:rPr>
          <w:spacing w:val="14"/>
          <w:w w:val="105"/>
          <w:sz w:val="13"/>
        </w:rPr>
        <w:t> </w:t>
      </w:r>
      <w:r>
        <w:rPr>
          <w:w w:val="105"/>
          <w:sz w:val="13"/>
        </w:rPr>
        <w:t>Verspaandonk).</w:t>
      </w:r>
    </w:p>
    <w:p>
      <w:pPr>
        <w:pStyle w:val="ListParagraph"/>
        <w:numPr>
          <w:ilvl w:val="0"/>
          <w:numId w:val="79"/>
        </w:numPr>
        <w:tabs>
          <w:tab w:pos="2380" w:val="left" w:leader="none"/>
          <w:tab w:pos="2382" w:val="left" w:leader="none"/>
        </w:tabs>
        <w:spacing w:line="240" w:lineRule="auto" w:before="1" w:after="0"/>
        <w:ind w:left="2381" w:right="0" w:hanging="794"/>
        <w:jc w:val="left"/>
        <w:rPr>
          <w:sz w:val="13"/>
        </w:rPr>
      </w:pPr>
      <w:r>
        <w:rPr>
          <w:w w:val="105"/>
          <w:sz w:val="13"/>
        </w:rPr>
        <w:t>Submission 9 (Deirdre</w:t>
      </w:r>
      <w:r>
        <w:rPr>
          <w:spacing w:val="13"/>
          <w:w w:val="105"/>
          <w:sz w:val="13"/>
        </w:rPr>
        <w:t> </w:t>
      </w:r>
      <w:r>
        <w:rPr>
          <w:w w:val="105"/>
          <w:sz w:val="13"/>
        </w:rPr>
        <w:t>Lampard).</w:t>
      </w:r>
    </w:p>
    <w:p>
      <w:pPr>
        <w:pStyle w:val="ListParagraph"/>
        <w:numPr>
          <w:ilvl w:val="0"/>
          <w:numId w:val="79"/>
        </w:numPr>
        <w:tabs>
          <w:tab w:pos="2380" w:val="left" w:leader="none"/>
          <w:tab w:pos="2382" w:val="left" w:leader="none"/>
        </w:tabs>
        <w:spacing w:line="240" w:lineRule="auto" w:before="2" w:after="0"/>
        <w:ind w:left="2381" w:right="0" w:hanging="794"/>
        <w:jc w:val="left"/>
        <w:rPr>
          <w:sz w:val="13"/>
        </w:rPr>
      </w:pPr>
      <w:r>
        <w:rPr>
          <w:w w:val="105"/>
          <w:sz w:val="13"/>
        </w:rPr>
        <w:t>Submission </w:t>
      </w:r>
      <w:r>
        <w:rPr>
          <w:spacing w:val="-4"/>
          <w:w w:val="105"/>
          <w:sz w:val="13"/>
        </w:rPr>
        <w:t>13 </w:t>
      </w:r>
      <w:r>
        <w:rPr>
          <w:w w:val="105"/>
          <w:sz w:val="13"/>
        </w:rPr>
        <w:t>(David</w:t>
      </w:r>
      <w:r>
        <w:rPr>
          <w:spacing w:val="-9"/>
          <w:w w:val="105"/>
          <w:sz w:val="13"/>
        </w:rPr>
        <w:t> </w:t>
      </w:r>
      <w:r>
        <w:rPr>
          <w:w w:val="105"/>
          <w:sz w:val="13"/>
        </w:rPr>
        <w:t>Shalders).</w:t>
      </w:r>
    </w:p>
    <w:p>
      <w:pPr>
        <w:pStyle w:val="ListParagraph"/>
        <w:numPr>
          <w:ilvl w:val="0"/>
          <w:numId w:val="79"/>
        </w:numPr>
        <w:tabs>
          <w:tab w:pos="2381" w:val="left" w:leader="none"/>
          <w:tab w:pos="2382" w:val="left" w:leader="none"/>
        </w:tabs>
        <w:spacing w:line="240" w:lineRule="auto" w:before="1" w:after="0"/>
        <w:ind w:left="2381" w:right="0" w:hanging="794"/>
        <w:jc w:val="left"/>
        <w:rPr>
          <w:sz w:val="13"/>
        </w:rPr>
      </w:pPr>
      <w:r>
        <w:rPr>
          <w:w w:val="105"/>
          <w:sz w:val="13"/>
        </w:rPr>
        <w:t>Submission 20 (Include a Charity); consultation 4 </w:t>
      </w:r>
      <w:r>
        <w:rPr>
          <w:spacing w:val="2"/>
          <w:w w:val="105"/>
          <w:sz w:val="13"/>
        </w:rPr>
        <w:t>(Legal </w:t>
      </w:r>
      <w:r>
        <w:rPr>
          <w:w w:val="105"/>
          <w:sz w:val="13"/>
        </w:rPr>
        <w:t>practitioners from the Goulburn Valley and Loddon Campaspe Community Legal Centres).</w:t>
      </w:r>
    </w:p>
    <w:p>
      <w:pPr>
        <w:pStyle w:val="ListParagraph"/>
        <w:numPr>
          <w:ilvl w:val="0"/>
          <w:numId w:val="79"/>
        </w:numPr>
        <w:tabs>
          <w:tab w:pos="2381" w:val="left" w:leader="none"/>
          <w:tab w:pos="2382" w:val="left" w:leader="none"/>
        </w:tabs>
        <w:spacing w:line="240" w:lineRule="auto" w:before="3" w:after="0"/>
        <w:ind w:left="2381" w:right="0" w:hanging="794"/>
        <w:jc w:val="left"/>
        <w:rPr>
          <w:sz w:val="13"/>
        </w:rPr>
      </w:pPr>
      <w:r>
        <w:rPr>
          <w:w w:val="105"/>
          <w:sz w:val="13"/>
        </w:rPr>
        <w:t>Submission </w:t>
      </w:r>
      <w:r>
        <w:rPr>
          <w:spacing w:val="-3"/>
          <w:w w:val="105"/>
          <w:sz w:val="13"/>
        </w:rPr>
        <w:t>19 </w:t>
      </w:r>
      <w:r>
        <w:rPr>
          <w:spacing w:val="2"/>
          <w:w w:val="105"/>
          <w:sz w:val="13"/>
        </w:rPr>
        <w:t>(Association </w:t>
      </w:r>
      <w:r>
        <w:rPr>
          <w:w w:val="105"/>
          <w:sz w:val="13"/>
        </w:rPr>
        <w:t>of Independent</w:t>
      </w:r>
      <w:r>
        <w:rPr>
          <w:spacing w:val="23"/>
          <w:w w:val="105"/>
          <w:sz w:val="13"/>
        </w:rPr>
        <w:t> </w:t>
      </w:r>
      <w:r>
        <w:rPr>
          <w:w w:val="105"/>
          <w:sz w:val="13"/>
        </w:rPr>
        <w:t>Retirees).</w:t>
      </w:r>
    </w:p>
    <w:p>
      <w:pPr>
        <w:pStyle w:val="BodyText"/>
        <w:rPr>
          <w:sz w:val="28"/>
        </w:rPr>
      </w:pPr>
      <w:r>
        <w:rPr/>
        <w:br w:type="column"/>
      </w:r>
      <w:r>
        <w:rPr>
          <w:sz w:val="28"/>
        </w:rPr>
      </w:r>
    </w:p>
    <w:p>
      <w:pPr>
        <w:pStyle w:val="BodyText"/>
        <w:spacing w:before="11"/>
        <w:rPr>
          <w:sz w:val="32"/>
        </w:rPr>
      </w:pPr>
    </w:p>
    <w:p>
      <w:pPr>
        <w:spacing w:before="0"/>
        <w:ind w:left="717" w:right="574" w:firstLine="0"/>
        <w:jc w:val="center"/>
        <w:rPr>
          <w:b/>
          <w:sz w:val="24"/>
        </w:rPr>
      </w:pPr>
      <w:r>
        <w:rPr>
          <w:b/>
          <w:color w:val="EC5A4F"/>
          <w:w w:val="110"/>
          <w:sz w:val="24"/>
        </w:rPr>
        <w:t>103</w:t>
      </w:r>
    </w:p>
    <w:p>
      <w:pPr>
        <w:spacing w:after="0"/>
        <w:jc w:val="center"/>
        <w:rPr>
          <w:sz w:val="24"/>
        </w:rPr>
        <w:sectPr>
          <w:type w:val="continuous"/>
          <w:pgSz w:w="11910" w:h="16840"/>
          <w:pgMar w:top="920" w:bottom="280" w:left="0" w:right="0"/>
          <w:cols w:num="2" w:equalWidth="0">
            <w:col w:w="10136" w:space="40"/>
            <w:col w:w="1734"/>
          </w:cols>
        </w:sectPr>
      </w:pPr>
    </w:p>
    <w:p>
      <w:pPr>
        <w:pStyle w:val="BodyText"/>
        <w:spacing w:before="3"/>
        <w:rPr>
          <w:b/>
        </w:rPr>
      </w:pPr>
    </w:p>
    <w:p>
      <w:pPr>
        <w:pStyle w:val="Heading4"/>
        <w:spacing w:before="99"/>
      </w:pPr>
      <w:bookmarkStart w:name="_TOC_250021" w:id="103"/>
      <w:bookmarkStart w:name="Court jurisdiction" w:id="104"/>
      <w:r>
        <w:rPr>
          <w:b w:val="0"/>
        </w:rPr>
      </w:r>
      <w:bookmarkEnd w:id="103"/>
      <w:r>
        <w:rPr>
          <w:color w:val="EC5A4F"/>
          <w:w w:val="115"/>
        </w:rPr>
        <w:t>Court jurisdiction</w:t>
      </w:r>
    </w:p>
    <w:p>
      <w:pPr>
        <w:pStyle w:val="Heading5"/>
        <w:spacing w:before="166"/>
      </w:pPr>
      <w:bookmarkStart w:name="_TOC_250020" w:id="105"/>
      <w:bookmarkEnd w:id="105"/>
      <w:r>
        <w:rPr>
          <w:w w:val="110"/>
        </w:rPr>
        <w:t>Current court jurisdiction</w:t>
      </w:r>
    </w:p>
    <w:p>
      <w:pPr>
        <w:pStyle w:val="ListParagraph"/>
        <w:numPr>
          <w:ilvl w:val="1"/>
          <w:numId w:val="22"/>
        </w:numPr>
        <w:tabs>
          <w:tab w:pos="2380" w:val="left" w:leader="none"/>
          <w:tab w:pos="2381" w:val="left" w:leader="none"/>
        </w:tabs>
        <w:spacing w:line="242" w:lineRule="auto" w:before="138" w:after="0"/>
        <w:ind w:left="2381" w:right="1766" w:hanging="794"/>
        <w:jc w:val="left"/>
        <w:rPr>
          <w:sz w:val="12"/>
        </w:rPr>
      </w:pPr>
      <w:r>
        <w:rPr>
          <w:sz w:val="21"/>
        </w:rPr>
        <w:t>Both the </w:t>
      </w:r>
      <w:r>
        <w:rPr>
          <w:spacing w:val="-3"/>
          <w:sz w:val="21"/>
        </w:rPr>
        <w:t>County Court </w:t>
      </w:r>
      <w:r>
        <w:rPr>
          <w:sz w:val="21"/>
        </w:rPr>
        <w:t>and the </w:t>
      </w:r>
      <w:r>
        <w:rPr>
          <w:spacing w:val="-3"/>
          <w:sz w:val="21"/>
        </w:rPr>
        <w:t>Supreme Court have unlimited </w:t>
      </w:r>
      <w:r>
        <w:rPr>
          <w:sz w:val="21"/>
        </w:rPr>
        <w:t>jurisdiction </w:t>
      </w:r>
      <w:r>
        <w:rPr>
          <w:spacing w:val="-3"/>
          <w:sz w:val="21"/>
        </w:rPr>
        <w:t>to </w:t>
      </w:r>
      <w:r>
        <w:rPr>
          <w:sz w:val="21"/>
        </w:rPr>
        <w:t>hear and </w:t>
      </w:r>
      <w:r>
        <w:rPr>
          <w:spacing w:val="-3"/>
          <w:sz w:val="21"/>
        </w:rPr>
        <w:t>determine family provision claims.</w:t>
      </w:r>
      <w:r>
        <w:rPr>
          <w:spacing w:val="-3"/>
          <w:position w:val="7"/>
          <w:sz w:val="12"/>
        </w:rPr>
        <w:t>53 </w:t>
      </w:r>
      <w:r>
        <w:rPr>
          <w:sz w:val="21"/>
        </w:rPr>
        <w:t>The </w:t>
      </w:r>
      <w:r>
        <w:rPr>
          <w:spacing w:val="-3"/>
          <w:sz w:val="21"/>
        </w:rPr>
        <w:t>County Court </w:t>
      </w:r>
      <w:r>
        <w:rPr>
          <w:spacing w:val="-2"/>
          <w:sz w:val="21"/>
        </w:rPr>
        <w:t>has had </w:t>
      </w:r>
      <w:r>
        <w:rPr>
          <w:sz w:val="21"/>
        </w:rPr>
        <w:t>jurisdiction </w:t>
      </w:r>
      <w:r>
        <w:rPr>
          <w:spacing w:val="-3"/>
          <w:sz w:val="21"/>
        </w:rPr>
        <w:t>to </w:t>
      </w:r>
      <w:r>
        <w:rPr>
          <w:sz w:val="21"/>
        </w:rPr>
        <w:t>hear </w:t>
      </w:r>
      <w:r>
        <w:rPr>
          <w:spacing w:val="-3"/>
          <w:sz w:val="21"/>
        </w:rPr>
        <w:t>family provision claims ‘where </w:t>
      </w:r>
      <w:r>
        <w:rPr>
          <w:sz w:val="21"/>
        </w:rPr>
        <w:t>the </w:t>
      </w:r>
      <w:r>
        <w:rPr>
          <w:spacing w:val="-3"/>
          <w:sz w:val="21"/>
        </w:rPr>
        <w:t>value  </w:t>
      </w:r>
      <w:r>
        <w:rPr>
          <w:sz w:val="21"/>
        </w:rPr>
        <w:t>of the estate does </w:t>
      </w:r>
      <w:r>
        <w:rPr>
          <w:spacing w:val="-2"/>
          <w:sz w:val="21"/>
        </w:rPr>
        <w:t>not</w:t>
      </w:r>
      <w:r>
        <w:rPr>
          <w:spacing w:val="43"/>
          <w:sz w:val="21"/>
        </w:rPr>
        <w:t> </w:t>
      </w:r>
      <w:r>
        <w:rPr>
          <w:sz w:val="21"/>
        </w:rPr>
        <w:t>exceed its </w:t>
      </w:r>
      <w:r>
        <w:rPr>
          <w:spacing w:val="-3"/>
          <w:sz w:val="21"/>
        </w:rPr>
        <w:t>jurisdictional  </w:t>
      </w:r>
      <w:r>
        <w:rPr>
          <w:sz w:val="21"/>
        </w:rPr>
        <w:t>limit’ </w:t>
      </w:r>
      <w:r>
        <w:rPr>
          <w:spacing w:val="-3"/>
          <w:sz w:val="21"/>
        </w:rPr>
        <w:t>since</w:t>
      </w:r>
      <w:r>
        <w:rPr>
          <w:spacing w:val="12"/>
          <w:sz w:val="21"/>
        </w:rPr>
        <w:t> </w:t>
      </w:r>
      <w:r>
        <w:rPr>
          <w:spacing w:val="-3"/>
          <w:sz w:val="21"/>
        </w:rPr>
        <w:t>1986,</w:t>
      </w:r>
      <w:r>
        <w:rPr>
          <w:spacing w:val="-3"/>
          <w:position w:val="7"/>
          <w:sz w:val="12"/>
        </w:rPr>
        <w:t>54</w:t>
      </w:r>
      <w:r>
        <w:rPr>
          <w:spacing w:val="9"/>
          <w:position w:val="7"/>
          <w:sz w:val="12"/>
        </w:rPr>
        <w:t> </w:t>
      </w:r>
      <w:r>
        <w:rPr>
          <w:sz w:val="21"/>
        </w:rPr>
        <w:t>and</w:t>
      </w:r>
      <w:r>
        <w:rPr>
          <w:spacing w:val="13"/>
          <w:sz w:val="21"/>
        </w:rPr>
        <w:t> </w:t>
      </w:r>
      <w:r>
        <w:rPr>
          <w:sz w:val="21"/>
        </w:rPr>
        <w:t>it</w:t>
      </w:r>
      <w:r>
        <w:rPr>
          <w:spacing w:val="12"/>
          <w:sz w:val="21"/>
        </w:rPr>
        <w:t> </w:t>
      </w:r>
      <w:r>
        <w:rPr>
          <w:spacing w:val="-2"/>
          <w:sz w:val="21"/>
        </w:rPr>
        <w:t>has</w:t>
      </w:r>
      <w:r>
        <w:rPr>
          <w:spacing w:val="13"/>
          <w:sz w:val="21"/>
        </w:rPr>
        <w:t> </w:t>
      </w:r>
      <w:r>
        <w:rPr>
          <w:spacing w:val="-2"/>
          <w:sz w:val="21"/>
        </w:rPr>
        <w:t>had</w:t>
      </w:r>
      <w:r>
        <w:rPr>
          <w:spacing w:val="12"/>
          <w:sz w:val="21"/>
        </w:rPr>
        <w:t> </w:t>
      </w:r>
      <w:r>
        <w:rPr>
          <w:spacing w:val="-3"/>
          <w:sz w:val="21"/>
        </w:rPr>
        <w:t>unlimited</w:t>
      </w:r>
      <w:r>
        <w:rPr>
          <w:spacing w:val="12"/>
          <w:sz w:val="21"/>
        </w:rPr>
        <w:t> </w:t>
      </w:r>
      <w:r>
        <w:rPr>
          <w:sz w:val="21"/>
        </w:rPr>
        <w:t>civil</w:t>
      </w:r>
      <w:r>
        <w:rPr>
          <w:spacing w:val="13"/>
          <w:sz w:val="21"/>
        </w:rPr>
        <w:t> </w:t>
      </w:r>
      <w:r>
        <w:rPr>
          <w:sz w:val="21"/>
        </w:rPr>
        <w:t>jurisdiction</w:t>
      </w:r>
      <w:r>
        <w:rPr>
          <w:spacing w:val="12"/>
          <w:sz w:val="21"/>
        </w:rPr>
        <w:t> </w:t>
      </w:r>
      <w:r>
        <w:rPr>
          <w:spacing w:val="-3"/>
          <w:sz w:val="21"/>
        </w:rPr>
        <w:t>since</w:t>
      </w:r>
      <w:r>
        <w:rPr>
          <w:spacing w:val="13"/>
          <w:sz w:val="21"/>
        </w:rPr>
        <w:t> </w:t>
      </w:r>
      <w:r>
        <w:rPr>
          <w:spacing w:val="-7"/>
          <w:sz w:val="21"/>
        </w:rPr>
        <w:t>2007.</w:t>
      </w:r>
      <w:r>
        <w:rPr>
          <w:spacing w:val="-7"/>
          <w:position w:val="7"/>
          <w:sz w:val="12"/>
        </w:rPr>
        <w:t>55</w:t>
      </w:r>
    </w:p>
    <w:p>
      <w:pPr>
        <w:pStyle w:val="ListParagraph"/>
        <w:numPr>
          <w:ilvl w:val="1"/>
          <w:numId w:val="22"/>
        </w:numPr>
        <w:tabs>
          <w:tab w:pos="2381" w:val="left" w:leader="none"/>
          <w:tab w:pos="2382" w:val="left" w:leader="none"/>
        </w:tabs>
        <w:spacing w:line="242" w:lineRule="auto" w:before="124" w:after="0"/>
        <w:ind w:left="2381" w:right="1600" w:hanging="794"/>
        <w:jc w:val="left"/>
        <w:rPr>
          <w:sz w:val="21"/>
        </w:rPr>
      </w:pPr>
      <w:r>
        <w:rPr>
          <w:w w:val="105"/>
          <w:sz w:val="21"/>
        </w:rPr>
        <w:t>In its </w:t>
      </w:r>
      <w:r>
        <w:rPr>
          <w:spacing w:val="-3"/>
          <w:w w:val="105"/>
          <w:sz w:val="21"/>
        </w:rPr>
        <w:t>consultation </w:t>
      </w:r>
      <w:r>
        <w:rPr>
          <w:w w:val="105"/>
          <w:sz w:val="21"/>
        </w:rPr>
        <w:t>paper on </w:t>
      </w:r>
      <w:r>
        <w:rPr>
          <w:spacing w:val="-3"/>
          <w:w w:val="105"/>
          <w:sz w:val="21"/>
        </w:rPr>
        <w:t>family provision, </w:t>
      </w:r>
      <w:r>
        <w:rPr>
          <w:w w:val="105"/>
          <w:sz w:val="21"/>
        </w:rPr>
        <w:t>the </w:t>
      </w:r>
      <w:r>
        <w:rPr>
          <w:spacing w:val="-3"/>
          <w:w w:val="105"/>
          <w:sz w:val="21"/>
        </w:rPr>
        <w:t>Commission asked </w:t>
      </w:r>
      <w:r>
        <w:rPr>
          <w:w w:val="105"/>
          <w:sz w:val="21"/>
        </w:rPr>
        <w:t>whether </w:t>
      </w:r>
      <w:r>
        <w:rPr>
          <w:spacing w:val="-3"/>
          <w:w w:val="105"/>
          <w:sz w:val="21"/>
        </w:rPr>
        <w:t>family provision proceedings were generally </w:t>
      </w:r>
      <w:r>
        <w:rPr>
          <w:w w:val="105"/>
          <w:sz w:val="21"/>
        </w:rPr>
        <w:t>less costly in the </w:t>
      </w:r>
      <w:r>
        <w:rPr>
          <w:spacing w:val="-3"/>
          <w:w w:val="105"/>
          <w:sz w:val="21"/>
        </w:rPr>
        <w:t>County Court than </w:t>
      </w:r>
      <w:r>
        <w:rPr>
          <w:w w:val="105"/>
          <w:sz w:val="21"/>
        </w:rPr>
        <w:t>in the </w:t>
      </w:r>
      <w:r>
        <w:rPr>
          <w:spacing w:val="-3"/>
          <w:w w:val="105"/>
          <w:sz w:val="21"/>
        </w:rPr>
        <w:t>Supreme Court.</w:t>
      </w:r>
      <w:r>
        <w:rPr>
          <w:spacing w:val="-3"/>
          <w:w w:val="105"/>
          <w:position w:val="7"/>
          <w:sz w:val="12"/>
        </w:rPr>
        <w:t>56 </w:t>
      </w:r>
      <w:r>
        <w:rPr>
          <w:w w:val="105"/>
          <w:sz w:val="21"/>
        </w:rPr>
        <w:t>In </w:t>
      </w:r>
      <w:r>
        <w:rPr>
          <w:spacing w:val="-3"/>
          <w:w w:val="105"/>
          <w:sz w:val="21"/>
        </w:rPr>
        <w:t>consultation </w:t>
      </w:r>
      <w:r>
        <w:rPr>
          <w:w w:val="105"/>
          <w:sz w:val="21"/>
        </w:rPr>
        <w:t>and </w:t>
      </w:r>
      <w:r>
        <w:rPr>
          <w:spacing w:val="-3"/>
          <w:w w:val="105"/>
          <w:sz w:val="21"/>
        </w:rPr>
        <w:t>submissions, </w:t>
      </w:r>
      <w:r>
        <w:rPr>
          <w:w w:val="105"/>
          <w:sz w:val="21"/>
        </w:rPr>
        <w:t>stakeholders </w:t>
      </w:r>
      <w:r>
        <w:rPr>
          <w:spacing w:val="-2"/>
          <w:w w:val="105"/>
          <w:sz w:val="21"/>
        </w:rPr>
        <w:t>raised </w:t>
      </w:r>
      <w:r>
        <w:rPr>
          <w:w w:val="105"/>
          <w:sz w:val="21"/>
        </w:rPr>
        <w:t>a </w:t>
      </w:r>
      <w:r>
        <w:rPr>
          <w:spacing w:val="-3"/>
          <w:w w:val="105"/>
          <w:sz w:val="21"/>
        </w:rPr>
        <w:t>range </w:t>
      </w:r>
      <w:r>
        <w:rPr>
          <w:w w:val="105"/>
          <w:sz w:val="21"/>
        </w:rPr>
        <w:t>of views about court jurisdiction</w:t>
      </w:r>
      <w:r>
        <w:rPr>
          <w:spacing w:val="5"/>
          <w:w w:val="105"/>
          <w:sz w:val="21"/>
        </w:rPr>
        <w:t> </w:t>
      </w:r>
      <w:r>
        <w:rPr>
          <w:spacing w:val="-4"/>
          <w:w w:val="105"/>
          <w:sz w:val="21"/>
        </w:rPr>
        <w:t>generally.</w:t>
      </w:r>
    </w:p>
    <w:p>
      <w:pPr>
        <w:pStyle w:val="BodyText"/>
        <w:spacing w:before="1"/>
        <w:rPr>
          <w:sz w:val="25"/>
        </w:rPr>
      </w:pPr>
    </w:p>
    <w:p>
      <w:pPr>
        <w:pStyle w:val="Heading5"/>
      </w:pPr>
      <w:bookmarkStart w:name="_TOC_250019" w:id="106"/>
      <w:bookmarkEnd w:id="106"/>
      <w:r>
        <w:rPr>
          <w:w w:val="115"/>
        </w:rPr>
        <w:t>Victorian Civil and Administrative Tribunal</w:t>
      </w:r>
    </w:p>
    <w:p>
      <w:pPr>
        <w:pStyle w:val="ListParagraph"/>
        <w:numPr>
          <w:ilvl w:val="1"/>
          <w:numId w:val="22"/>
        </w:numPr>
        <w:tabs>
          <w:tab w:pos="2381" w:val="left" w:leader="none"/>
          <w:tab w:pos="2382" w:val="left" w:leader="none"/>
        </w:tabs>
        <w:spacing w:line="242" w:lineRule="auto" w:before="137" w:after="0"/>
        <w:ind w:left="2381" w:right="1836" w:hanging="794"/>
        <w:jc w:val="left"/>
        <w:rPr>
          <w:sz w:val="12"/>
        </w:rPr>
      </w:pPr>
      <w:r>
        <w:rPr>
          <w:w w:val="105"/>
          <w:sz w:val="21"/>
        </w:rPr>
        <w:t>The Victorian </w:t>
      </w:r>
      <w:r>
        <w:rPr>
          <w:spacing w:val="-3"/>
          <w:w w:val="105"/>
          <w:sz w:val="21"/>
        </w:rPr>
        <w:t>Civil </w:t>
      </w:r>
      <w:r>
        <w:rPr>
          <w:w w:val="105"/>
          <w:sz w:val="21"/>
        </w:rPr>
        <w:t>and </w:t>
      </w:r>
      <w:r>
        <w:rPr>
          <w:spacing w:val="-3"/>
          <w:w w:val="105"/>
          <w:sz w:val="21"/>
        </w:rPr>
        <w:t>Administrative </w:t>
      </w:r>
      <w:r>
        <w:rPr>
          <w:spacing w:val="-5"/>
          <w:w w:val="105"/>
          <w:sz w:val="21"/>
        </w:rPr>
        <w:t>Tribunal </w:t>
      </w:r>
      <w:r>
        <w:rPr>
          <w:w w:val="105"/>
          <w:sz w:val="21"/>
        </w:rPr>
        <w:t>(VCAT) proposed </w:t>
      </w:r>
      <w:r>
        <w:rPr>
          <w:spacing w:val="-3"/>
          <w:w w:val="105"/>
          <w:sz w:val="21"/>
        </w:rPr>
        <w:t>that </w:t>
      </w:r>
      <w:r>
        <w:rPr>
          <w:w w:val="105"/>
          <w:sz w:val="21"/>
        </w:rPr>
        <w:t>it should </w:t>
      </w:r>
      <w:r>
        <w:rPr>
          <w:spacing w:val="-3"/>
          <w:w w:val="105"/>
          <w:sz w:val="21"/>
        </w:rPr>
        <w:t>have </w:t>
      </w:r>
      <w:r>
        <w:rPr>
          <w:w w:val="105"/>
          <w:sz w:val="21"/>
        </w:rPr>
        <w:t>jurisdiction</w:t>
      </w:r>
      <w:r>
        <w:rPr>
          <w:spacing w:val="-16"/>
          <w:w w:val="105"/>
          <w:sz w:val="21"/>
        </w:rPr>
        <w:t> </w:t>
      </w:r>
      <w:r>
        <w:rPr>
          <w:spacing w:val="-3"/>
          <w:w w:val="105"/>
          <w:sz w:val="21"/>
        </w:rPr>
        <w:t>to</w:t>
      </w:r>
      <w:r>
        <w:rPr>
          <w:spacing w:val="-15"/>
          <w:w w:val="105"/>
          <w:sz w:val="21"/>
        </w:rPr>
        <w:t> </w:t>
      </w:r>
      <w:r>
        <w:rPr>
          <w:spacing w:val="-3"/>
          <w:w w:val="105"/>
          <w:sz w:val="21"/>
        </w:rPr>
        <w:t>determine</w:t>
      </w:r>
      <w:r>
        <w:rPr>
          <w:spacing w:val="-15"/>
          <w:w w:val="105"/>
          <w:sz w:val="21"/>
        </w:rPr>
        <w:t> </w:t>
      </w:r>
      <w:r>
        <w:rPr>
          <w:spacing w:val="-3"/>
          <w:w w:val="105"/>
          <w:sz w:val="21"/>
        </w:rPr>
        <w:t>family</w:t>
      </w:r>
      <w:r>
        <w:rPr>
          <w:spacing w:val="-15"/>
          <w:w w:val="105"/>
          <w:sz w:val="21"/>
        </w:rPr>
        <w:t> </w:t>
      </w:r>
      <w:r>
        <w:rPr>
          <w:spacing w:val="-3"/>
          <w:w w:val="105"/>
          <w:sz w:val="21"/>
        </w:rPr>
        <w:t>provision</w:t>
      </w:r>
      <w:r>
        <w:rPr>
          <w:spacing w:val="-15"/>
          <w:w w:val="105"/>
          <w:sz w:val="21"/>
        </w:rPr>
        <w:t> </w:t>
      </w:r>
      <w:r>
        <w:rPr>
          <w:spacing w:val="-3"/>
          <w:w w:val="105"/>
          <w:sz w:val="21"/>
        </w:rPr>
        <w:t>applications.</w:t>
      </w:r>
      <w:r>
        <w:rPr>
          <w:spacing w:val="-3"/>
          <w:w w:val="105"/>
          <w:position w:val="7"/>
          <w:sz w:val="12"/>
        </w:rPr>
        <w:t>57</w:t>
      </w:r>
      <w:r>
        <w:rPr>
          <w:spacing w:val="6"/>
          <w:w w:val="105"/>
          <w:position w:val="7"/>
          <w:sz w:val="12"/>
        </w:rPr>
        <w:t> </w:t>
      </w:r>
      <w:r>
        <w:rPr>
          <w:w w:val="105"/>
          <w:sz w:val="21"/>
        </w:rPr>
        <w:t>In</w:t>
      </w:r>
      <w:r>
        <w:rPr>
          <w:spacing w:val="-15"/>
          <w:w w:val="105"/>
          <w:sz w:val="21"/>
        </w:rPr>
        <w:t> </w:t>
      </w:r>
      <w:r>
        <w:rPr>
          <w:spacing w:val="-3"/>
          <w:w w:val="105"/>
          <w:sz w:val="21"/>
        </w:rPr>
        <w:t>consultation,</w:t>
      </w:r>
      <w:r>
        <w:rPr>
          <w:spacing w:val="-15"/>
          <w:w w:val="105"/>
          <w:sz w:val="21"/>
        </w:rPr>
        <w:t> </w:t>
      </w:r>
      <w:r>
        <w:rPr>
          <w:w w:val="105"/>
          <w:sz w:val="21"/>
        </w:rPr>
        <w:t>representatives </w:t>
      </w:r>
      <w:r>
        <w:rPr>
          <w:spacing w:val="-3"/>
          <w:w w:val="105"/>
          <w:sz w:val="21"/>
        </w:rPr>
        <w:t>from </w:t>
      </w:r>
      <w:r>
        <w:rPr>
          <w:spacing w:val="-5"/>
          <w:w w:val="105"/>
          <w:sz w:val="21"/>
        </w:rPr>
        <w:t>VCAT </w:t>
      </w:r>
      <w:r>
        <w:rPr>
          <w:w w:val="105"/>
          <w:sz w:val="21"/>
        </w:rPr>
        <w:t>suggested </w:t>
      </w:r>
      <w:r>
        <w:rPr>
          <w:spacing w:val="-3"/>
          <w:w w:val="105"/>
          <w:sz w:val="21"/>
        </w:rPr>
        <w:t>that </w:t>
      </w:r>
      <w:r>
        <w:rPr>
          <w:spacing w:val="-5"/>
          <w:w w:val="105"/>
          <w:sz w:val="21"/>
        </w:rPr>
        <w:t>VCAT </w:t>
      </w:r>
      <w:r>
        <w:rPr>
          <w:w w:val="105"/>
          <w:sz w:val="21"/>
        </w:rPr>
        <w:t>should </w:t>
      </w:r>
      <w:r>
        <w:rPr>
          <w:spacing w:val="-3"/>
          <w:w w:val="105"/>
          <w:sz w:val="21"/>
        </w:rPr>
        <w:t>have exclusive </w:t>
      </w:r>
      <w:r>
        <w:rPr>
          <w:w w:val="105"/>
          <w:sz w:val="21"/>
        </w:rPr>
        <w:t>jurisdiction over </w:t>
      </w:r>
      <w:r>
        <w:rPr>
          <w:spacing w:val="-3"/>
          <w:w w:val="105"/>
          <w:sz w:val="21"/>
        </w:rPr>
        <w:t>family provision claims </w:t>
      </w:r>
      <w:r>
        <w:rPr>
          <w:w w:val="105"/>
          <w:sz w:val="21"/>
        </w:rPr>
        <w:t>in respect of estates of a </w:t>
      </w:r>
      <w:r>
        <w:rPr>
          <w:spacing w:val="-3"/>
          <w:w w:val="105"/>
          <w:sz w:val="21"/>
        </w:rPr>
        <w:t>limited </w:t>
      </w:r>
      <w:r>
        <w:rPr>
          <w:spacing w:val="-4"/>
          <w:w w:val="105"/>
          <w:sz w:val="21"/>
        </w:rPr>
        <w:t>value, </w:t>
      </w:r>
      <w:r>
        <w:rPr>
          <w:w w:val="105"/>
          <w:sz w:val="21"/>
        </w:rPr>
        <w:t>perhaps up </w:t>
      </w:r>
      <w:r>
        <w:rPr>
          <w:spacing w:val="-3"/>
          <w:w w:val="105"/>
          <w:sz w:val="21"/>
        </w:rPr>
        <w:t>to </w:t>
      </w:r>
      <w:r>
        <w:rPr>
          <w:w w:val="105"/>
          <w:sz w:val="21"/>
        </w:rPr>
        <w:t>$200,000, and </w:t>
      </w:r>
      <w:r>
        <w:rPr>
          <w:spacing w:val="-3"/>
          <w:w w:val="105"/>
          <w:sz w:val="21"/>
        </w:rPr>
        <w:t>concurrent </w:t>
      </w:r>
      <w:r>
        <w:rPr>
          <w:w w:val="105"/>
          <w:sz w:val="21"/>
        </w:rPr>
        <w:t>jurisdiction with the </w:t>
      </w:r>
      <w:r>
        <w:rPr>
          <w:spacing w:val="-3"/>
          <w:w w:val="105"/>
          <w:sz w:val="21"/>
        </w:rPr>
        <w:t>County Court </w:t>
      </w:r>
      <w:r>
        <w:rPr>
          <w:w w:val="105"/>
          <w:sz w:val="21"/>
        </w:rPr>
        <w:t>and </w:t>
      </w:r>
      <w:r>
        <w:rPr>
          <w:spacing w:val="-3"/>
          <w:w w:val="105"/>
          <w:sz w:val="21"/>
        </w:rPr>
        <w:t>Supreme Court </w:t>
      </w:r>
      <w:r>
        <w:rPr>
          <w:w w:val="105"/>
          <w:sz w:val="21"/>
        </w:rPr>
        <w:t>over </w:t>
      </w:r>
      <w:r>
        <w:rPr>
          <w:spacing w:val="-3"/>
          <w:w w:val="105"/>
          <w:sz w:val="21"/>
        </w:rPr>
        <w:t>all </w:t>
      </w:r>
      <w:r>
        <w:rPr>
          <w:w w:val="105"/>
          <w:sz w:val="21"/>
        </w:rPr>
        <w:t>other </w:t>
      </w:r>
      <w:r>
        <w:rPr>
          <w:spacing w:val="-3"/>
          <w:w w:val="105"/>
          <w:sz w:val="21"/>
        </w:rPr>
        <w:t>family provision claims.</w:t>
      </w:r>
      <w:r>
        <w:rPr>
          <w:spacing w:val="-3"/>
          <w:w w:val="105"/>
          <w:position w:val="7"/>
          <w:sz w:val="12"/>
        </w:rPr>
        <w:t>58</w:t>
      </w:r>
    </w:p>
    <w:p>
      <w:pPr>
        <w:pStyle w:val="ListParagraph"/>
        <w:numPr>
          <w:ilvl w:val="1"/>
          <w:numId w:val="22"/>
        </w:numPr>
        <w:tabs>
          <w:tab w:pos="2380" w:val="left" w:leader="none"/>
          <w:tab w:pos="2381" w:val="left" w:leader="none"/>
        </w:tabs>
        <w:spacing w:line="242" w:lineRule="auto" w:before="127" w:after="0"/>
        <w:ind w:left="2381" w:right="2262" w:hanging="794"/>
        <w:jc w:val="left"/>
        <w:rPr>
          <w:sz w:val="12"/>
        </w:rPr>
      </w:pPr>
      <w:r>
        <w:rPr>
          <w:spacing w:val="-5"/>
          <w:sz w:val="21"/>
        </w:rPr>
        <w:t>VCAT </w:t>
      </w:r>
      <w:r>
        <w:rPr>
          <w:spacing w:val="-3"/>
          <w:sz w:val="21"/>
        </w:rPr>
        <w:t>gave </w:t>
      </w:r>
      <w:r>
        <w:rPr>
          <w:sz w:val="21"/>
        </w:rPr>
        <w:t>the </w:t>
      </w:r>
      <w:r>
        <w:rPr>
          <w:spacing w:val="-3"/>
          <w:sz w:val="21"/>
        </w:rPr>
        <w:t>following reasons </w:t>
      </w:r>
      <w:r>
        <w:rPr>
          <w:sz w:val="21"/>
        </w:rPr>
        <w:t>why it should </w:t>
      </w:r>
      <w:r>
        <w:rPr>
          <w:spacing w:val="-3"/>
          <w:sz w:val="21"/>
        </w:rPr>
        <w:t>have </w:t>
      </w:r>
      <w:r>
        <w:rPr>
          <w:sz w:val="21"/>
        </w:rPr>
        <w:t>jurisdiction in </w:t>
      </w:r>
      <w:r>
        <w:rPr>
          <w:spacing w:val="-3"/>
          <w:sz w:val="21"/>
        </w:rPr>
        <w:t>family provision </w:t>
      </w:r>
      <w:r>
        <w:rPr>
          <w:sz w:val="21"/>
        </w:rPr>
        <w:t>matters:</w:t>
      </w:r>
      <w:r>
        <w:rPr>
          <w:position w:val="7"/>
          <w:sz w:val="12"/>
        </w:rPr>
        <w:t>59</w:t>
      </w:r>
    </w:p>
    <w:p>
      <w:pPr>
        <w:pStyle w:val="ListParagraph"/>
        <w:numPr>
          <w:ilvl w:val="2"/>
          <w:numId w:val="22"/>
        </w:numPr>
        <w:tabs>
          <w:tab w:pos="2721" w:val="left" w:leader="none"/>
          <w:tab w:pos="2722" w:val="left" w:leader="none"/>
        </w:tabs>
        <w:spacing w:line="242" w:lineRule="auto" w:before="122" w:after="0"/>
        <w:ind w:left="2721" w:right="2138" w:hanging="340"/>
        <w:jc w:val="left"/>
        <w:rPr>
          <w:sz w:val="21"/>
        </w:rPr>
      </w:pPr>
      <w:r>
        <w:rPr>
          <w:w w:val="105"/>
          <w:sz w:val="21"/>
        </w:rPr>
        <w:t>It</w:t>
      </w:r>
      <w:r>
        <w:rPr>
          <w:spacing w:val="-7"/>
          <w:w w:val="105"/>
          <w:sz w:val="21"/>
        </w:rPr>
        <w:t> </w:t>
      </w:r>
      <w:r>
        <w:rPr>
          <w:w w:val="105"/>
          <w:sz w:val="21"/>
        </w:rPr>
        <w:t>offers</w:t>
      </w:r>
      <w:r>
        <w:rPr>
          <w:spacing w:val="-7"/>
          <w:w w:val="105"/>
          <w:sz w:val="21"/>
        </w:rPr>
        <w:t> </w:t>
      </w:r>
      <w:r>
        <w:rPr>
          <w:w w:val="105"/>
          <w:sz w:val="21"/>
        </w:rPr>
        <w:t>an</w:t>
      </w:r>
      <w:r>
        <w:rPr>
          <w:spacing w:val="-7"/>
          <w:w w:val="105"/>
          <w:sz w:val="21"/>
        </w:rPr>
        <w:t> </w:t>
      </w:r>
      <w:r>
        <w:rPr>
          <w:spacing w:val="-3"/>
          <w:w w:val="105"/>
          <w:sz w:val="21"/>
        </w:rPr>
        <w:t>accessible</w:t>
      </w:r>
      <w:r>
        <w:rPr>
          <w:spacing w:val="-6"/>
          <w:w w:val="105"/>
          <w:sz w:val="21"/>
        </w:rPr>
        <w:t> </w:t>
      </w:r>
      <w:r>
        <w:rPr>
          <w:w w:val="105"/>
          <w:sz w:val="21"/>
        </w:rPr>
        <w:t>service,</w:t>
      </w:r>
      <w:r>
        <w:rPr>
          <w:spacing w:val="-7"/>
          <w:w w:val="105"/>
          <w:sz w:val="21"/>
        </w:rPr>
        <w:t> </w:t>
      </w:r>
      <w:r>
        <w:rPr>
          <w:w w:val="105"/>
          <w:sz w:val="21"/>
        </w:rPr>
        <w:t>conducting</w:t>
      </w:r>
      <w:r>
        <w:rPr>
          <w:spacing w:val="-7"/>
          <w:w w:val="105"/>
          <w:sz w:val="21"/>
        </w:rPr>
        <w:t> </w:t>
      </w:r>
      <w:r>
        <w:rPr>
          <w:spacing w:val="-3"/>
          <w:w w:val="105"/>
          <w:sz w:val="21"/>
        </w:rPr>
        <w:t>hearings</w:t>
      </w:r>
      <w:r>
        <w:rPr>
          <w:spacing w:val="-7"/>
          <w:w w:val="105"/>
          <w:sz w:val="21"/>
        </w:rPr>
        <w:t> </w:t>
      </w:r>
      <w:r>
        <w:rPr>
          <w:spacing w:val="-3"/>
          <w:w w:val="105"/>
          <w:sz w:val="21"/>
        </w:rPr>
        <w:t>throughout</w:t>
      </w:r>
      <w:r>
        <w:rPr>
          <w:spacing w:val="-6"/>
          <w:w w:val="105"/>
          <w:sz w:val="21"/>
        </w:rPr>
        <w:t> </w:t>
      </w:r>
      <w:r>
        <w:rPr>
          <w:w w:val="105"/>
          <w:sz w:val="21"/>
        </w:rPr>
        <w:t>Victoria</w:t>
      </w:r>
      <w:r>
        <w:rPr>
          <w:spacing w:val="-7"/>
          <w:w w:val="105"/>
          <w:sz w:val="21"/>
        </w:rPr>
        <w:t> </w:t>
      </w:r>
      <w:r>
        <w:rPr>
          <w:w w:val="105"/>
          <w:sz w:val="21"/>
        </w:rPr>
        <w:t>and</w:t>
      </w:r>
      <w:r>
        <w:rPr>
          <w:spacing w:val="-7"/>
          <w:w w:val="105"/>
          <w:sz w:val="21"/>
        </w:rPr>
        <w:t> </w:t>
      </w:r>
      <w:r>
        <w:rPr>
          <w:w w:val="105"/>
          <w:sz w:val="21"/>
        </w:rPr>
        <w:t>with supported offices in a number of </w:t>
      </w:r>
      <w:r>
        <w:rPr>
          <w:spacing w:val="-3"/>
          <w:w w:val="105"/>
          <w:sz w:val="21"/>
        </w:rPr>
        <w:t>regional</w:t>
      </w:r>
      <w:r>
        <w:rPr>
          <w:spacing w:val="30"/>
          <w:w w:val="105"/>
          <w:sz w:val="21"/>
        </w:rPr>
        <w:t> </w:t>
      </w:r>
      <w:r>
        <w:rPr>
          <w:spacing w:val="-3"/>
          <w:w w:val="105"/>
          <w:sz w:val="21"/>
        </w:rPr>
        <w:t>hubs.</w:t>
      </w:r>
    </w:p>
    <w:p>
      <w:pPr>
        <w:pStyle w:val="ListParagraph"/>
        <w:numPr>
          <w:ilvl w:val="2"/>
          <w:numId w:val="22"/>
        </w:numPr>
        <w:tabs>
          <w:tab w:pos="2721" w:val="left" w:leader="none"/>
          <w:tab w:pos="2722" w:val="left" w:leader="none"/>
        </w:tabs>
        <w:spacing w:line="242" w:lineRule="auto" w:before="122" w:after="0"/>
        <w:ind w:left="2721" w:right="2207" w:hanging="340"/>
        <w:jc w:val="left"/>
        <w:rPr>
          <w:sz w:val="21"/>
        </w:rPr>
      </w:pPr>
      <w:r>
        <w:rPr>
          <w:sz w:val="21"/>
        </w:rPr>
        <w:t>It </w:t>
      </w:r>
      <w:r>
        <w:rPr>
          <w:spacing w:val="-2"/>
          <w:sz w:val="21"/>
        </w:rPr>
        <w:t>has </w:t>
      </w:r>
      <w:r>
        <w:rPr>
          <w:sz w:val="21"/>
        </w:rPr>
        <w:t>a </w:t>
      </w:r>
      <w:r>
        <w:rPr>
          <w:spacing w:val="-3"/>
          <w:sz w:val="21"/>
        </w:rPr>
        <w:t>comprehensive </w:t>
      </w:r>
      <w:r>
        <w:rPr>
          <w:sz w:val="21"/>
        </w:rPr>
        <w:t>existing </w:t>
      </w:r>
      <w:r>
        <w:rPr>
          <w:spacing w:val="-3"/>
          <w:sz w:val="21"/>
        </w:rPr>
        <w:t>alternative dispute  </w:t>
      </w:r>
      <w:r>
        <w:rPr>
          <w:sz w:val="21"/>
        </w:rPr>
        <w:t>resolution system and is able </w:t>
      </w:r>
      <w:r>
        <w:rPr>
          <w:spacing w:val="-3"/>
          <w:sz w:val="21"/>
        </w:rPr>
        <w:t>to accredit</w:t>
      </w:r>
      <w:r>
        <w:rPr>
          <w:spacing w:val="19"/>
          <w:sz w:val="21"/>
        </w:rPr>
        <w:t> </w:t>
      </w:r>
      <w:r>
        <w:rPr>
          <w:sz w:val="21"/>
        </w:rPr>
        <w:t>mediators.</w:t>
      </w:r>
    </w:p>
    <w:p>
      <w:pPr>
        <w:pStyle w:val="ListParagraph"/>
        <w:numPr>
          <w:ilvl w:val="2"/>
          <w:numId w:val="22"/>
        </w:numPr>
        <w:tabs>
          <w:tab w:pos="2721" w:val="left" w:leader="none"/>
          <w:tab w:pos="2722" w:val="left" w:leader="none"/>
        </w:tabs>
        <w:spacing w:line="240" w:lineRule="auto" w:before="122" w:after="0"/>
        <w:ind w:left="2721" w:right="0" w:hanging="340"/>
        <w:jc w:val="left"/>
        <w:rPr>
          <w:sz w:val="21"/>
        </w:rPr>
      </w:pPr>
      <w:r>
        <w:rPr>
          <w:sz w:val="21"/>
        </w:rPr>
        <w:t>It is a lower cost</w:t>
      </w:r>
      <w:r>
        <w:rPr>
          <w:spacing w:val="39"/>
          <w:sz w:val="21"/>
        </w:rPr>
        <w:t> </w:t>
      </w:r>
      <w:r>
        <w:rPr>
          <w:sz w:val="21"/>
        </w:rPr>
        <w:t>jurisdiction.</w:t>
      </w:r>
    </w:p>
    <w:p>
      <w:pPr>
        <w:pStyle w:val="ListParagraph"/>
        <w:numPr>
          <w:ilvl w:val="2"/>
          <w:numId w:val="22"/>
        </w:numPr>
        <w:tabs>
          <w:tab w:pos="2721" w:val="left" w:leader="none"/>
          <w:tab w:pos="2722" w:val="left" w:leader="none"/>
        </w:tabs>
        <w:spacing w:line="242" w:lineRule="auto" w:before="124" w:after="0"/>
        <w:ind w:left="2721" w:right="2144" w:hanging="340"/>
        <w:jc w:val="left"/>
        <w:rPr>
          <w:sz w:val="21"/>
        </w:rPr>
      </w:pPr>
      <w:r>
        <w:rPr>
          <w:sz w:val="21"/>
        </w:rPr>
        <w:t>Members </w:t>
      </w:r>
      <w:r>
        <w:rPr>
          <w:spacing w:val="-3"/>
          <w:sz w:val="21"/>
        </w:rPr>
        <w:t>are </w:t>
      </w:r>
      <w:r>
        <w:rPr>
          <w:sz w:val="21"/>
        </w:rPr>
        <w:t>assigned </w:t>
      </w:r>
      <w:r>
        <w:rPr>
          <w:spacing w:val="-3"/>
          <w:sz w:val="21"/>
        </w:rPr>
        <w:t>to </w:t>
      </w:r>
      <w:r>
        <w:rPr>
          <w:sz w:val="21"/>
        </w:rPr>
        <w:t>lists based on their expertise, and a number of legally- qualified</w:t>
      </w:r>
      <w:r>
        <w:rPr>
          <w:spacing w:val="9"/>
          <w:sz w:val="21"/>
        </w:rPr>
        <w:t> </w:t>
      </w:r>
      <w:r>
        <w:rPr>
          <w:sz w:val="21"/>
        </w:rPr>
        <w:t>members</w:t>
      </w:r>
      <w:r>
        <w:rPr>
          <w:spacing w:val="9"/>
          <w:sz w:val="21"/>
        </w:rPr>
        <w:t> </w:t>
      </w:r>
      <w:r>
        <w:rPr>
          <w:spacing w:val="-3"/>
          <w:sz w:val="21"/>
        </w:rPr>
        <w:t>have</w:t>
      </w:r>
      <w:r>
        <w:rPr>
          <w:spacing w:val="9"/>
          <w:sz w:val="21"/>
        </w:rPr>
        <w:t> </w:t>
      </w:r>
      <w:r>
        <w:rPr>
          <w:sz w:val="21"/>
        </w:rPr>
        <w:t>experience</w:t>
      </w:r>
      <w:r>
        <w:rPr>
          <w:spacing w:val="9"/>
          <w:sz w:val="21"/>
        </w:rPr>
        <w:t> </w:t>
      </w:r>
      <w:r>
        <w:rPr>
          <w:sz w:val="21"/>
        </w:rPr>
        <w:t>in</w:t>
      </w:r>
      <w:r>
        <w:rPr>
          <w:spacing w:val="9"/>
          <w:sz w:val="21"/>
        </w:rPr>
        <w:t> </w:t>
      </w:r>
      <w:r>
        <w:rPr>
          <w:spacing w:val="-3"/>
          <w:sz w:val="21"/>
        </w:rPr>
        <w:t>wills</w:t>
      </w:r>
      <w:r>
        <w:rPr>
          <w:spacing w:val="9"/>
          <w:sz w:val="21"/>
        </w:rPr>
        <w:t> </w:t>
      </w:r>
      <w:r>
        <w:rPr>
          <w:sz w:val="21"/>
        </w:rPr>
        <w:t>and</w:t>
      </w:r>
      <w:r>
        <w:rPr>
          <w:spacing w:val="10"/>
          <w:sz w:val="21"/>
        </w:rPr>
        <w:t> </w:t>
      </w:r>
      <w:r>
        <w:rPr>
          <w:sz w:val="21"/>
        </w:rPr>
        <w:t>estates.</w:t>
      </w:r>
    </w:p>
    <w:p>
      <w:pPr>
        <w:pStyle w:val="ListParagraph"/>
        <w:numPr>
          <w:ilvl w:val="2"/>
          <w:numId w:val="22"/>
        </w:numPr>
        <w:tabs>
          <w:tab w:pos="2721" w:val="left" w:leader="none"/>
          <w:tab w:pos="2722" w:val="left" w:leader="none"/>
        </w:tabs>
        <w:spacing w:line="240" w:lineRule="auto" w:before="122" w:after="0"/>
        <w:ind w:left="2721" w:right="0" w:hanging="340"/>
        <w:jc w:val="left"/>
        <w:rPr>
          <w:sz w:val="21"/>
        </w:rPr>
      </w:pPr>
      <w:r>
        <w:rPr>
          <w:sz w:val="21"/>
        </w:rPr>
        <w:t>It </w:t>
      </w:r>
      <w:r>
        <w:rPr>
          <w:spacing w:val="-2"/>
          <w:sz w:val="21"/>
        </w:rPr>
        <w:t>has </w:t>
      </w:r>
      <w:r>
        <w:rPr>
          <w:sz w:val="21"/>
        </w:rPr>
        <w:t>experience </w:t>
      </w:r>
      <w:r>
        <w:rPr>
          <w:spacing w:val="-3"/>
          <w:sz w:val="21"/>
        </w:rPr>
        <w:t>dealing </w:t>
      </w:r>
      <w:r>
        <w:rPr>
          <w:sz w:val="21"/>
        </w:rPr>
        <w:t>with </w:t>
      </w:r>
      <w:r>
        <w:rPr>
          <w:spacing w:val="-3"/>
          <w:sz w:val="21"/>
        </w:rPr>
        <w:t>self-represented</w:t>
      </w:r>
      <w:r>
        <w:rPr>
          <w:spacing w:val="17"/>
          <w:sz w:val="21"/>
        </w:rPr>
        <w:t> </w:t>
      </w:r>
      <w:r>
        <w:rPr>
          <w:spacing w:val="-3"/>
          <w:sz w:val="21"/>
        </w:rPr>
        <w:t>litigants.</w:t>
      </w:r>
    </w:p>
    <w:p>
      <w:pPr>
        <w:pStyle w:val="ListParagraph"/>
        <w:numPr>
          <w:ilvl w:val="1"/>
          <w:numId w:val="22"/>
        </w:numPr>
        <w:tabs>
          <w:tab w:pos="2381" w:val="left" w:leader="none"/>
          <w:tab w:pos="2382" w:val="left" w:leader="none"/>
        </w:tabs>
        <w:spacing w:line="242" w:lineRule="auto" w:before="124" w:after="0"/>
        <w:ind w:left="2381" w:right="1732" w:hanging="794"/>
        <w:jc w:val="left"/>
        <w:rPr>
          <w:sz w:val="12"/>
        </w:rPr>
      </w:pPr>
      <w:r>
        <w:rPr>
          <w:w w:val="105"/>
          <w:sz w:val="21"/>
        </w:rPr>
        <w:t>Some </w:t>
      </w:r>
      <w:r>
        <w:rPr>
          <w:spacing w:val="-3"/>
          <w:w w:val="105"/>
          <w:sz w:val="21"/>
        </w:rPr>
        <w:t>individuals </w:t>
      </w:r>
      <w:r>
        <w:rPr>
          <w:w w:val="105"/>
          <w:sz w:val="21"/>
        </w:rPr>
        <w:t>and </w:t>
      </w:r>
      <w:r>
        <w:rPr>
          <w:spacing w:val="-3"/>
          <w:w w:val="105"/>
          <w:sz w:val="21"/>
        </w:rPr>
        <w:t>organisations </w:t>
      </w:r>
      <w:r>
        <w:rPr>
          <w:w w:val="105"/>
          <w:sz w:val="21"/>
        </w:rPr>
        <w:t>supported the idea </w:t>
      </w:r>
      <w:r>
        <w:rPr>
          <w:spacing w:val="-3"/>
          <w:w w:val="105"/>
          <w:sz w:val="21"/>
        </w:rPr>
        <w:t>that </w:t>
      </w:r>
      <w:r>
        <w:rPr>
          <w:spacing w:val="-5"/>
          <w:w w:val="105"/>
          <w:sz w:val="21"/>
        </w:rPr>
        <w:t>VCAT </w:t>
      </w:r>
      <w:r>
        <w:rPr>
          <w:w w:val="105"/>
          <w:sz w:val="21"/>
        </w:rPr>
        <w:t>should hear and </w:t>
      </w:r>
      <w:r>
        <w:rPr>
          <w:spacing w:val="-3"/>
          <w:w w:val="105"/>
          <w:sz w:val="21"/>
        </w:rPr>
        <w:t>determine</w:t>
      </w:r>
      <w:r>
        <w:rPr>
          <w:spacing w:val="-14"/>
          <w:w w:val="105"/>
          <w:sz w:val="21"/>
        </w:rPr>
        <w:t> </w:t>
      </w:r>
      <w:r>
        <w:rPr>
          <w:spacing w:val="-3"/>
          <w:w w:val="105"/>
          <w:sz w:val="21"/>
        </w:rPr>
        <w:t>family</w:t>
      </w:r>
      <w:r>
        <w:rPr>
          <w:spacing w:val="-14"/>
          <w:w w:val="105"/>
          <w:sz w:val="21"/>
        </w:rPr>
        <w:t> </w:t>
      </w:r>
      <w:r>
        <w:rPr>
          <w:spacing w:val="-3"/>
          <w:w w:val="105"/>
          <w:sz w:val="21"/>
        </w:rPr>
        <w:t>provision</w:t>
      </w:r>
      <w:r>
        <w:rPr>
          <w:spacing w:val="-13"/>
          <w:w w:val="105"/>
          <w:sz w:val="21"/>
        </w:rPr>
        <w:t> </w:t>
      </w:r>
      <w:r>
        <w:rPr>
          <w:w w:val="105"/>
          <w:sz w:val="21"/>
        </w:rPr>
        <w:t>proceedings.</w:t>
      </w:r>
      <w:r>
        <w:rPr>
          <w:w w:val="105"/>
          <w:position w:val="7"/>
          <w:sz w:val="12"/>
        </w:rPr>
        <w:t>60</w:t>
      </w:r>
      <w:r>
        <w:rPr>
          <w:spacing w:val="8"/>
          <w:w w:val="105"/>
          <w:position w:val="7"/>
          <w:sz w:val="12"/>
        </w:rPr>
        <w:t> </w:t>
      </w:r>
      <w:r>
        <w:rPr>
          <w:w w:val="105"/>
          <w:sz w:val="21"/>
        </w:rPr>
        <w:t>Seniors</w:t>
      </w:r>
      <w:r>
        <w:rPr>
          <w:spacing w:val="-14"/>
          <w:w w:val="105"/>
          <w:sz w:val="21"/>
        </w:rPr>
        <w:t> </w:t>
      </w:r>
      <w:r>
        <w:rPr>
          <w:w w:val="105"/>
          <w:sz w:val="21"/>
        </w:rPr>
        <w:t>Rights</w:t>
      </w:r>
      <w:r>
        <w:rPr>
          <w:spacing w:val="-13"/>
          <w:w w:val="105"/>
          <w:sz w:val="21"/>
        </w:rPr>
        <w:t> </w:t>
      </w:r>
      <w:r>
        <w:rPr>
          <w:w w:val="105"/>
          <w:sz w:val="21"/>
        </w:rPr>
        <w:t>Victoria</w:t>
      </w:r>
      <w:r>
        <w:rPr>
          <w:spacing w:val="-14"/>
          <w:w w:val="105"/>
          <w:sz w:val="21"/>
        </w:rPr>
        <w:t> </w:t>
      </w:r>
      <w:r>
        <w:rPr>
          <w:w w:val="105"/>
          <w:sz w:val="21"/>
        </w:rPr>
        <w:t>expressed</w:t>
      </w:r>
      <w:r>
        <w:rPr>
          <w:spacing w:val="-14"/>
          <w:w w:val="105"/>
          <w:sz w:val="21"/>
        </w:rPr>
        <w:t> </w:t>
      </w:r>
      <w:r>
        <w:rPr>
          <w:w w:val="105"/>
          <w:sz w:val="21"/>
        </w:rPr>
        <w:t>the</w:t>
      </w:r>
      <w:r>
        <w:rPr>
          <w:spacing w:val="-13"/>
          <w:w w:val="105"/>
          <w:sz w:val="21"/>
        </w:rPr>
        <w:t> </w:t>
      </w:r>
      <w:r>
        <w:rPr>
          <w:w w:val="105"/>
          <w:sz w:val="21"/>
        </w:rPr>
        <w:t>view</w:t>
      </w:r>
      <w:r>
        <w:rPr>
          <w:spacing w:val="-14"/>
          <w:w w:val="105"/>
          <w:sz w:val="21"/>
        </w:rPr>
        <w:t> </w:t>
      </w:r>
      <w:r>
        <w:rPr>
          <w:spacing w:val="-3"/>
          <w:w w:val="105"/>
          <w:sz w:val="21"/>
        </w:rPr>
        <w:t>that </w:t>
      </w:r>
      <w:r>
        <w:rPr>
          <w:w w:val="105"/>
          <w:sz w:val="21"/>
        </w:rPr>
        <w:t>its clients would be more </w:t>
      </w:r>
      <w:r>
        <w:rPr>
          <w:spacing w:val="-4"/>
          <w:w w:val="105"/>
          <w:sz w:val="21"/>
        </w:rPr>
        <w:t>likely </w:t>
      </w:r>
      <w:r>
        <w:rPr>
          <w:spacing w:val="-3"/>
          <w:w w:val="105"/>
          <w:sz w:val="21"/>
        </w:rPr>
        <w:t>to take disputed </w:t>
      </w:r>
      <w:r>
        <w:rPr>
          <w:w w:val="105"/>
          <w:sz w:val="21"/>
        </w:rPr>
        <w:t>matters </w:t>
      </w:r>
      <w:r>
        <w:rPr>
          <w:spacing w:val="-3"/>
          <w:w w:val="105"/>
          <w:sz w:val="21"/>
        </w:rPr>
        <w:t>to </w:t>
      </w:r>
      <w:r>
        <w:rPr>
          <w:spacing w:val="-5"/>
          <w:w w:val="105"/>
          <w:sz w:val="21"/>
        </w:rPr>
        <w:t>VCAT </w:t>
      </w:r>
      <w:r>
        <w:rPr>
          <w:spacing w:val="-3"/>
          <w:w w:val="105"/>
          <w:sz w:val="21"/>
        </w:rPr>
        <w:t>than to </w:t>
      </w:r>
      <w:r>
        <w:rPr>
          <w:w w:val="105"/>
          <w:sz w:val="21"/>
        </w:rPr>
        <w:t>court because of </w:t>
      </w:r>
      <w:r>
        <w:rPr>
          <w:spacing w:val="-6"/>
          <w:w w:val="105"/>
          <w:sz w:val="21"/>
        </w:rPr>
        <w:t>VCAT’s </w:t>
      </w:r>
      <w:r>
        <w:rPr>
          <w:w w:val="105"/>
          <w:sz w:val="21"/>
        </w:rPr>
        <w:t>less </w:t>
      </w:r>
      <w:r>
        <w:rPr>
          <w:spacing w:val="-3"/>
          <w:w w:val="105"/>
          <w:sz w:val="21"/>
        </w:rPr>
        <w:t>formal </w:t>
      </w:r>
      <w:r>
        <w:rPr>
          <w:w w:val="105"/>
          <w:sz w:val="21"/>
        </w:rPr>
        <w:t>atmosphere and cost effectiveness.</w:t>
      </w:r>
      <w:r>
        <w:rPr>
          <w:w w:val="105"/>
          <w:position w:val="7"/>
          <w:sz w:val="12"/>
        </w:rPr>
        <w:t>61 </w:t>
      </w:r>
      <w:r>
        <w:rPr>
          <w:w w:val="105"/>
          <w:sz w:val="21"/>
        </w:rPr>
        <w:t>Some legal practitioners suggested </w:t>
      </w:r>
      <w:r>
        <w:rPr>
          <w:spacing w:val="-3"/>
          <w:w w:val="105"/>
          <w:sz w:val="21"/>
        </w:rPr>
        <w:t>that </w:t>
      </w:r>
      <w:r>
        <w:rPr>
          <w:w w:val="105"/>
          <w:sz w:val="21"/>
        </w:rPr>
        <w:t>giving </w:t>
      </w:r>
      <w:r>
        <w:rPr>
          <w:spacing w:val="-5"/>
          <w:w w:val="105"/>
          <w:sz w:val="21"/>
        </w:rPr>
        <w:t>VCAT </w:t>
      </w:r>
      <w:r>
        <w:rPr>
          <w:w w:val="105"/>
          <w:sz w:val="21"/>
        </w:rPr>
        <w:t>jurisdiction </w:t>
      </w:r>
      <w:r>
        <w:rPr>
          <w:spacing w:val="-3"/>
          <w:w w:val="105"/>
          <w:sz w:val="21"/>
        </w:rPr>
        <w:t>could reduce </w:t>
      </w:r>
      <w:r>
        <w:rPr>
          <w:w w:val="105"/>
          <w:sz w:val="21"/>
        </w:rPr>
        <w:t>opportunistic</w:t>
      </w:r>
      <w:r>
        <w:rPr>
          <w:spacing w:val="37"/>
          <w:w w:val="105"/>
          <w:sz w:val="21"/>
        </w:rPr>
        <w:t> </w:t>
      </w:r>
      <w:r>
        <w:rPr>
          <w:spacing w:val="-3"/>
          <w:w w:val="105"/>
          <w:sz w:val="21"/>
        </w:rPr>
        <w:t>claims.</w:t>
      </w:r>
      <w:r>
        <w:rPr>
          <w:spacing w:val="-3"/>
          <w:w w:val="105"/>
          <w:position w:val="7"/>
          <w:sz w:val="12"/>
        </w:rPr>
        <w:t>62</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4"/>
        </w:rPr>
      </w:pPr>
      <w:r>
        <w:rPr/>
        <w:pict>
          <v:line style="position:absolute;mso-position-horizontal-relative:page;mso-position-vertical-relative:paragraph;z-index:6824;mso-wrap-distance-left:0;mso-wrap-distance-right:0" from="79.370003pt,17.509727pt" to="515.905003pt,17.509727pt" stroked="true" strokeweight="1pt" strokecolor="#f9ceca">
            <v:stroke dashstyle="solid"/>
            <w10:wrap type="topAndBottom"/>
          </v:line>
        </w:pict>
      </w:r>
    </w:p>
    <w:p>
      <w:pPr>
        <w:pStyle w:val="BodyText"/>
        <w:spacing w:before="8"/>
        <w:rPr>
          <w:sz w:val="5"/>
        </w:rPr>
      </w:pPr>
    </w:p>
    <w:p>
      <w:pPr>
        <w:spacing w:after="0"/>
        <w:rPr>
          <w:sz w:val="5"/>
        </w:rPr>
        <w:sectPr>
          <w:pgSz w:w="11910" w:h="16840"/>
          <w:pgMar w:header="550" w:footer="0" w:top="1560" w:bottom="280" w:left="0" w:right="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1"/>
        <w:rPr>
          <w:sz w:val="26"/>
        </w:rPr>
      </w:pPr>
    </w:p>
    <w:p>
      <w:pPr>
        <w:spacing w:before="0"/>
        <w:ind w:left="720" w:right="0" w:firstLine="0"/>
        <w:jc w:val="left"/>
        <w:rPr>
          <w:b/>
          <w:sz w:val="24"/>
        </w:rPr>
      </w:pPr>
      <w:r>
        <w:rPr>
          <w:b/>
          <w:color w:val="EC5A4F"/>
          <w:spacing w:val="-1"/>
          <w:w w:val="110"/>
          <w:sz w:val="24"/>
        </w:rPr>
        <w:t>104</w:t>
      </w:r>
    </w:p>
    <w:p>
      <w:pPr>
        <w:pStyle w:val="ListParagraph"/>
        <w:numPr>
          <w:ilvl w:val="0"/>
          <w:numId w:val="79"/>
        </w:numPr>
        <w:tabs>
          <w:tab w:pos="1221" w:val="left" w:leader="none"/>
          <w:tab w:pos="1222" w:val="left" w:leader="none"/>
        </w:tabs>
        <w:spacing w:line="240" w:lineRule="auto" w:before="48" w:after="0"/>
        <w:ind w:left="1221" w:right="0" w:hanging="793"/>
        <w:jc w:val="left"/>
        <w:rPr>
          <w:sz w:val="13"/>
        </w:rPr>
      </w:pPr>
      <w:r>
        <w:rPr>
          <w:i/>
          <w:spacing w:val="1"/>
          <w:w w:val="115"/>
          <w:sz w:val="13"/>
        </w:rPr>
        <w:br w:type="column"/>
      </w:r>
      <w:r>
        <w:rPr>
          <w:i/>
          <w:w w:val="105"/>
          <w:sz w:val="13"/>
        </w:rPr>
        <w:t>Administration</w:t>
      </w:r>
      <w:r>
        <w:rPr>
          <w:i/>
          <w:spacing w:val="3"/>
          <w:w w:val="105"/>
          <w:sz w:val="13"/>
        </w:rPr>
        <w:t> </w:t>
      </w:r>
      <w:r>
        <w:rPr>
          <w:i/>
          <w:w w:val="105"/>
          <w:sz w:val="13"/>
        </w:rPr>
        <w:t>and</w:t>
      </w:r>
      <w:r>
        <w:rPr>
          <w:i/>
          <w:spacing w:val="4"/>
          <w:w w:val="105"/>
          <w:sz w:val="13"/>
        </w:rPr>
        <w:t> </w:t>
      </w:r>
      <w:r>
        <w:rPr>
          <w:i/>
          <w:w w:val="105"/>
          <w:sz w:val="13"/>
        </w:rPr>
        <w:t>Probate</w:t>
      </w:r>
      <w:r>
        <w:rPr>
          <w:i/>
          <w:spacing w:val="4"/>
          <w:w w:val="105"/>
          <w:sz w:val="13"/>
        </w:rPr>
        <w:t> </w:t>
      </w:r>
      <w:r>
        <w:rPr>
          <w:i/>
          <w:w w:val="105"/>
          <w:sz w:val="13"/>
        </w:rPr>
        <w:t>Act</w:t>
      </w:r>
      <w:r>
        <w:rPr>
          <w:i/>
          <w:spacing w:val="3"/>
          <w:w w:val="105"/>
          <w:sz w:val="13"/>
        </w:rPr>
        <w:t> </w:t>
      </w:r>
      <w:r>
        <w:rPr>
          <w:i/>
          <w:w w:val="105"/>
          <w:sz w:val="13"/>
        </w:rPr>
        <w:t>1958</w:t>
      </w:r>
      <w:r>
        <w:rPr>
          <w:i/>
          <w:spacing w:val="4"/>
          <w:w w:val="105"/>
          <w:sz w:val="13"/>
        </w:rPr>
        <w:t> </w:t>
      </w:r>
      <w:r>
        <w:rPr>
          <w:spacing w:val="2"/>
          <w:w w:val="105"/>
          <w:sz w:val="13"/>
        </w:rPr>
        <w:t>(Vic)</w:t>
      </w:r>
      <w:r>
        <w:rPr>
          <w:spacing w:val="5"/>
          <w:w w:val="105"/>
          <w:sz w:val="13"/>
        </w:rPr>
        <w:t> </w:t>
      </w:r>
      <w:r>
        <w:rPr>
          <w:w w:val="105"/>
          <w:sz w:val="13"/>
        </w:rPr>
        <w:t>ss</w:t>
      </w:r>
      <w:r>
        <w:rPr>
          <w:spacing w:val="5"/>
          <w:w w:val="105"/>
          <w:sz w:val="13"/>
        </w:rPr>
        <w:t> </w:t>
      </w:r>
      <w:r>
        <w:rPr>
          <w:w w:val="105"/>
          <w:sz w:val="13"/>
        </w:rPr>
        <w:t>91(1),</w:t>
      </w:r>
      <w:r>
        <w:rPr>
          <w:spacing w:val="4"/>
          <w:w w:val="105"/>
          <w:sz w:val="13"/>
        </w:rPr>
        <w:t> </w:t>
      </w:r>
      <w:r>
        <w:rPr>
          <w:w w:val="105"/>
          <w:sz w:val="13"/>
        </w:rPr>
        <w:t>90</w:t>
      </w:r>
      <w:r>
        <w:rPr>
          <w:spacing w:val="5"/>
          <w:w w:val="105"/>
          <w:sz w:val="13"/>
        </w:rPr>
        <w:t> </w:t>
      </w:r>
      <w:r>
        <w:rPr>
          <w:w w:val="105"/>
          <w:sz w:val="13"/>
        </w:rPr>
        <w:t>(definition</w:t>
      </w:r>
      <w:r>
        <w:rPr>
          <w:spacing w:val="5"/>
          <w:w w:val="105"/>
          <w:sz w:val="13"/>
        </w:rPr>
        <w:t> </w:t>
      </w:r>
      <w:r>
        <w:rPr>
          <w:w w:val="105"/>
          <w:sz w:val="13"/>
        </w:rPr>
        <w:t>of</w:t>
      </w:r>
      <w:r>
        <w:rPr>
          <w:spacing w:val="5"/>
          <w:w w:val="105"/>
          <w:sz w:val="13"/>
        </w:rPr>
        <w:t> </w:t>
      </w:r>
      <w:r>
        <w:rPr>
          <w:w w:val="105"/>
          <w:sz w:val="13"/>
        </w:rPr>
        <w:t>‘Court’).</w:t>
      </w:r>
    </w:p>
    <w:p>
      <w:pPr>
        <w:pStyle w:val="ListParagraph"/>
        <w:numPr>
          <w:ilvl w:val="0"/>
          <w:numId w:val="79"/>
        </w:numPr>
        <w:tabs>
          <w:tab w:pos="1221" w:val="left" w:leader="none"/>
          <w:tab w:pos="1223" w:val="left" w:leader="none"/>
        </w:tabs>
        <w:spacing w:line="240" w:lineRule="auto" w:before="1" w:after="0"/>
        <w:ind w:left="1222" w:right="0" w:hanging="794"/>
        <w:jc w:val="left"/>
        <w:rPr>
          <w:sz w:val="13"/>
        </w:rPr>
      </w:pPr>
      <w:r>
        <w:rPr>
          <w:i/>
          <w:w w:val="105"/>
          <w:sz w:val="13"/>
        </w:rPr>
        <w:t>Courts</w:t>
      </w:r>
      <w:r>
        <w:rPr>
          <w:i/>
          <w:spacing w:val="4"/>
          <w:w w:val="105"/>
          <w:sz w:val="13"/>
        </w:rPr>
        <w:t> </w:t>
      </w:r>
      <w:r>
        <w:rPr>
          <w:i/>
          <w:w w:val="105"/>
          <w:sz w:val="13"/>
        </w:rPr>
        <w:t>Amendment</w:t>
      </w:r>
      <w:r>
        <w:rPr>
          <w:i/>
          <w:spacing w:val="4"/>
          <w:w w:val="105"/>
          <w:sz w:val="13"/>
        </w:rPr>
        <w:t> </w:t>
      </w:r>
      <w:r>
        <w:rPr>
          <w:i/>
          <w:w w:val="105"/>
          <w:sz w:val="13"/>
        </w:rPr>
        <w:t>Act</w:t>
      </w:r>
      <w:r>
        <w:rPr>
          <w:i/>
          <w:spacing w:val="4"/>
          <w:w w:val="105"/>
          <w:sz w:val="13"/>
        </w:rPr>
        <w:t> </w:t>
      </w:r>
      <w:r>
        <w:rPr>
          <w:i/>
          <w:w w:val="105"/>
          <w:sz w:val="13"/>
        </w:rPr>
        <w:t>1986</w:t>
      </w:r>
      <w:r>
        <w:rPr>
          <w:i/>
          <w:spacing w:val="5"/>
          <w:w w:val="105"/>
          <w:sz w:val="13"/>
        </w:rPr>
        <w:t> </w:t>
      </w:r>
      <w:r>
        <w:rPr>
          <w:spacing w:val="2"/>
          <w:w w:val="105"/>
          <w:sz w:val="13"/>
        </w:rPr>
        <w:t>(Vic)</w:t>
      </w:r>
      <w:r>
        <w:rPr>
          <w:spacing w:val="5"/>
          <w:w w:val="105"/>
          <w:sz w:val="13"/>
        </w:rPr>
        <w:t> </w:t>
      </w:r>
      <w:r>
        <w:rPr>
          <w:w w:val="105"/>
          <w:sz w:val="13"/>
        </w:rPr>
        <w:t>s</w:t>
      </w:r>
      <w:r>
        <w:rPr>
          <w:spacing w:val="6"/>
          <w:w w:val="105"/>
          <w:sz w:val="13"/>
        </w:rPr>
        <w:t> </w:t>
      </w:r>
      <w:r>
        <w:rPr>
          <w:w w:val="105"/>
          <w:sz w:val="13"/>
        </w:rPr>
        <w:t>17(a);</w:t>
      </w:r>
      <w:r>
        <w:rPr>
          <w:spacing w:val="5"/>
          <w:w w:val="105"/>
          <w:sz w:val="13"/>
        </w:rPr>
        <w:t> </w:t>
      </w:r>
      <w:r>
        <w:rPr>
          <w:i/>
          <w:w w:val="105"/>
          <w:sz w:val="13"/>
        </w:rPr>
        <w:t>Administration</w:t>
      </w:r>
      <w:r>
        <w:rPr>
          <w:i/>
          <w:spacing w:val="4"/>
          <w:w w:val="105"/>
          <w:sz w:val="13"/>
        </w:rPr>
        <w:t> </w:t>
      </w:r>
      <w:r>
        <w:rPr>
          <w:i/>
          <w:w w:val="105"/>
          <w:sz w:val="13"/>
        </w:rPr>
        <w:t>and</w:t>
      </w:r>
      <w:r>
        <w:rPr>
          <w:i/>
          <w:spacing w:val="4"/>
          <w:w w:val="105"/>
          <w:sz w:val="13"/>
        </w:rPr>
        <w:t> </w:t>
      </w:r>
      <w:r>
        <w:rPr>
          <w:i/>
          <w:w w:val="105"/>
          <w:sz w:val="13"/>
        </w:rPr>
        <w:t>Probate</w:t>
      </w:r>
      <w:r>
        <w:rPr>
          <w:i/>
          <w:spacing w:val="4"/>
          <w:w w:val="105"/>
          <w:sz w:val="13"/>
        </w:rPr>
        <w:t> </w:t>
      </w:r>
      <w:r>
        <w:rPr>
          <w:i/>
          <w:w w:val="105"/>
          <w:sz w:val="13"/>
        </w:rPr>
        <w:t>Act</w:t>
      </w:r>
      <w:r>
        <w:rPr>
          <w:i/>
          <w:spacing w:val="5"/>
          <w:w w:val="105"/>
          <w:sz w:val="13"/>
        </w:rPr>
        <w:t> </w:t>
      </w:r>
      <w:r>
        <w:rPr>
          <w:i/>
          <w:w w:val="105"/>
          <w:sz w:val="13"/>
        </w:rPr>
        <w:t>1958</w:t>
      </w:r>
      <w:r>
        <w:rPr>
          <w:i/>
          <w:spacing w:val="5"/>
          <w:w w:val="105"/>
          <w:sz w:val="13"/>
        </w:rPr>
        <w:t> </w:t>
      </w:r>
      <w:r>
        <w:rPr>
          <w:spacing w:val="2"/>
          <w:w w:val="105"/>
          <w:sz w:val="13"/>
        </w:rPr>
        <w:t>(Vic)</w:t>
      </w:r>
      <w:r>
        <w:rPr>
          <w:spacing w:val="5"/>
          <w:w w:val="105"/>
          <w:sz w:val="13"/>
        </w:rPr>
        <w:t> </w:t>
      </w:r>
      <w:r>
        <w:rPr>
          <w:w w:val="105"/>
          <w:sz w:val="13"/>
        </w:rPr>
        <w:t>s</w:t>
      </w:r>
      <w:r>
        <w:rPr>
          <w:spacing w:val="5"/>
          <w:w w:val="105"/>
          <w:sz w:val="13"/>
        </w:rPr>
        <w:t> </w:t>
      </w:r>
      <w:r>
        <w:rPr>
          <w:w w:val="105"/>
          <w:sz w:val="13"/>
        </w:rPr>
        <w:t>90</w:t>
      </w:r>
      <w:r>
        <w:rPr>
          <w:spacing w:val="5"/>
          <w:w w:val="105"/>
          <w:sz w:val="13"/>
        </w:rPr>
        <w:t> </w:t>
      </w:r>
      <w:r>
        <w:rPr>
          <w:w w:val="105"/>
          <w:sz w:val="13"/>
        </w:rPr>
        <w:t>(definition</w:t>
      </w:r>
      <w:r>
        <w:rPr>
          <w:spacing w:val="6"/>
          <w:w w:val="105"/>
          <w:sz w:val="13"/>
        </w:rPr>
        <w:t> </w:t>
      </w:r>
      <w:r>
        <w:rPr>
          <w:w w:val="105"/>
          <w:sz w:val="13"/>
        </w:rPr>
        <w:t>of</w:t>
      </w:r>
      <w:r>
        <w:rPr>
          <w:spacing w:val="5"/>
          <w:w w:val="105"/>
          <w:sz w:val="13"/>
        </w:rPr>
        <w:t> </w:t>
      </w:r>
      <w:r>
        <w:rPr>
          <w:w w:val="105"/>
          <w:sz w:val="13"/>
        </w:rPr>
        <w:t>‘Court’).</w:t>
      </w:r>
    </w:p>
    <w:p>
      <w:pPr>
        <w:pStyle w:val="ListParagraph"/>
        <w:numPr>
          <w:ilvl w:val="0"/>
          <w:numId w:val="79"/>
        </w:numPr>
        <w:tabs>
          <w:tab w:pos="1221" w:val="left" w:leader="none"/>
          <w:tab w:pos="1223" w:val="left" w:leader="none"/>
        </w:tabs>
        <w:spacing w:line="240" w:lineRule="auto" w:before="2" w:after="0"/>
        <w:ind w:left="1222" w:right="1817" w:hanging="794"/>
        <w:jc w:val="both"/>
        <w:rPr>
          <w:sz w:val="13"/>
        </w:rPr>
      </w:pPr>
      <w:r>
        <w:rPr>
          <w:i/>
          <w:w w:val="105"/>
          <w:sz w:val="13"/>
        </w:rPr>
        <w:t>County Court Act 1958 </w:t>
      </w:r>
      <w:r>
        <w:rPr>
          <w:spacing w:val="2"/>
          <w:w w:val="105"/>
          <w:sz w:val="13"/>
        </w:rPr>
        <w:t>(Vic) </w:t>
      </w:r>
      <w:r>
        <w:rPr>
          <w:w w:val="105"/>
          <w:sz w:val="13"/>
        </w:rPr>
        <w:t>s </w:t>
      </w:r>
      <w:r>
        <w:rPr>
          <w:spacing w:val="-4"/>
          <w:w w:val="105"/>
          <w:sz w:val="13"/>
        </w:rPr>
        <w:t>37, </w:t>
      </w:r>
      <w:r>
        <w:rPr>
          <w:w w:val="105"/>
          <w:sz w:val="13"/>
        </w:rPr>
        <w:t>as amended by the </w:t>
      </w:r>
      <w:r>
        <w:rPr>
          <w:i/>
          <w:w w:val="105"/>
          <w:sz w:val="13"/>
        </w:rPr>
        <w:t>Courts Legislation (Jurisdiction) Act 2006 </w:t>
      </w:r>
      <w:r>
        <w:rPr>
          <w:spacing w:val="2"/>
          <w:w w:val="105"/>
          <w:sz w:val="13"/>
        </w:rPr>
        <w:t>(Vic) </w:t>
      </w:r>
      <w:r>
        <w:rPr>
          <w:w w:val="105"/>
          <w:sz w:val="13"/>
        </w:rPr>
        <w:t>s 3, which commenced on 1 January 2007. This means that the reference to the County Court’s jurisdictional limit in the Administration and Probate Act is now unnecessary: </w:t>
      </w:r>
      <w:r>
        <w:rPr>
          <w:i/>
          <w:w w:val="105"/>
          <w:sz w:val="13"/>
        </w:rPr>
        <w:t>Administration</w:t>
      </w:r>
      <w:r>
        <w:rPr>
          <w:i/>
          <w:spacing w:val="3"/>
          <w:w w:val="105"/>
          <w:sz w:val="13"/>
        </w:rPr>
        <w:t> </w:t>
      </w:r>
      <w:r>
        <w:rPr>
          <w:i/>
          <w:w w:val="105"/>
          <w:sz w:val="13"/>
        </w:rPr>
        <w:t>and</w:t>
      </w:r>
      <w:r>
        <w:rPr>
          <w:i/>
          <w:spacing w:val="4"/>
          <w:w w:val="105"/>
          <w:sz w:val="13"/>
        </w:rPr>
        <w:t> </w:t>
      </w:r>
      <w:r>
        <w:rPr>
          <w:i/>
          <w:w w:val="105"/>
          <w:sz w:val="13"/>
        </w:rPr>
        <w:t>Probate</w:t>
      </w:r>
      <w:r>
        <w:rPr>
          <w:i/>
          <w:spacing w:val="4"/>
          <w:w w:val="105"/>
          <w:sz w:val="13"/>
        </w:rPr>
        <w:t> </w:t>
      </w:r>
      <w:r>
        <w:rPr>
          <w:i/>
          <w:w w:val="105"/>
          <w:sz w:val="13"/>
        </w:rPr>
        <w:t>Act</w:t>
      </w:r>
      <w:r>
        <w:rPr>
          <w:i/>
          <w:spacing w:val="4"/>
          <w:w w:val="105"/>
          <w:sz w:val="13"/>
        </w:rPr>
        <w:t> </w:t>
      </w:r>
      <w:r>
        <w:rPr>
          <w:i/>
          <w:w w:val="105"/>
          <w:sz w:val="13"/>
        </w:rPr>
        <w:t>1958</w:t>
      </w:r>
      <w:r>
        <w:rPr>
          <w:i/>
          <w:spacing w:val="4"/>
          <w:w w:val="105"/>
          <w:sz w:val="13"/>
        </w:rPr>
        <w:t> </w:t>
      </w:r>
      <w:r>
        <w:rPr>
          <w:spacing w:val="2"/>
          <w:w w:val="105"/>
          <w:sz w:val="13"/>
        </w:rPr>
        <w:t>(Vic)</w:t>
      </w:r>
      <w:r>
        <w:rPr>
          <w:spacing w:val="5"/>
          <w:w w:val="105"/>
          <w:sz w:val="13"/>
        </w:rPr>
        <w:t> </w:t>
      </w:r>
      <w:r>
        <w:rPr>
          <w:w w:val="105"/>
          <w:sz w:val="13"/>
        </w:rPr>
        <w:t>s</w:t>
      </w:r>
      <w:r>
        <w:rPr>
          <w:spacing w:val="5"/>
          <w:w w:val="105"/>
          <w:sz w:val="13"/>
        </w:rPr>
        <w:t> </w:t>
      </w:r>
      <w:r>
        <w:rPr>
          <w:w w:val="105"/>
          <w:sz w:val="13"/>
        </w:rPr>
        <w:t>90</w:t>
      </w:r>
      <w:r>
        <w:rPr>
          <w:spacing w:val="5"/>
          <w:w w:val="105"/>
          <w:sz w:val="13"/>
        </w:rPr>
        <w:t> </w:t>
      </w:r>
      <w:r>
        <w:rPr>
          <w:w w:val="105"/>
          <w:sz w:val="13"/>
        </w:rPr>
        <w:t>(definition</w:t>
      </w:r>
      <w:r>
        <w:rPr>
          <w:spacing w:val="5"/>
          <w:w w:val="105"/>
          <w:sz w:val="13"/>
        </w:rPr>
        <w:t> </w:t>
      </w:r>
      <w:r>
        <w:rPr>
          <w:w w:val="105"/>
          <w:sz w:val="13"/>
        </w:rPr>
        <w:t>of</w:t>
      </w:r>
      <w:r>
        <w:rPr>
          <w:spacing w:val="5"/>
          <w:w w:val="105"/>
          <w:sz w:val="13"/>
        </w:rPr>
        <w:t> </w:t>
      </w:r>
      <w:r>
        <w:rPr>
          <w:w w:val="105"/>
          <w:sz w:val="13"/>
        </w:rPr>
        <w:t>‘Court’).</w:t>
      </w:r>
    </w:p>
    <w:p>
      <w:pPr>
        <w:pStyle w:val="ListParagraph"/>
        <w:numPr>
          <w:ilvl w:val="0"/>
          <w:numId w:val="79"/>
        </w:numPr>
        <w:tabs>
          <w:tab w:pos="1221" w:val="left" w:leader="none"/>
          <w:tab w:pos="1223" w:val="left" w:leader="none"/>
        </w:tabs>
        <w:spacing w:line="240" w:lineRule="auto" w:before="4" w:after="0"/>
        <w:ind w:left="1222" w:right="0" w:hanging="794"/>
        <w:jc w:val="left"/>
        <w:rPr>
          <w:sz w:val="13"/>
        </w:rPr>
      </w:pPr>
      <w:r>
        <w:rPr>
          <w:w w:val="105"/>
          <w:sz w:val="13"/>
        </w:rPr>
        <w:t>Victorian Law Reform Commission, above n 2,</w:t>
      </w:r>
      <w:r>
        <w:rPr>
          <w:spacing w:val="2"/>
          <w:w w:val="105"/>
          <w:sz w:val="13"/>
        </w:rPr>
        <w:t> 44.</w:t>
      </w:r>
    </w:p>
    <w:p>
      <w:pPr>
        <w:pStyle w:val="ListParagraph"/>
        <w:numPr>
          <w:ilvl w:val="0"/>
          <w:numId w:val="79"/>
        </w:numPr>
        <w:tabs>
          <w:tab w:pos="1222" w:val="left" w:leader="none"/>
          <w:tab w:pos="1223" w:val="left" w:leader="none"/>
        </w:tabs>
        <w:spacing w:line="240" w:lineRule="auto" w:before="1" w:after="0"/>
        <w:ind w:left="1222" w:right="0" w:hanging="794"/>
        <w:jc w:val="left"/>
        <w:rPr>
          <w:sz w:val="13"/>
        </w:rPr>
      </w:pPr>
      <w:r>
        <w:rPr>
          <w:sz w:val="13"/>
        </w:rPr>
        <w:t>Submission 6 </w:t>
      </w:r>
      <w:r>
        <w:rPr>
          <w:spacing w:val="2"/>
          <w:sz w:val="13"/>
        </w:rPr>
        <w:t>(Victorian </w:t>
      </w:r>
      <w:r>
        <w:rPr>
          <w:sz w:val="13"/>
        </w:rPr>
        <w:t>Civil and Administrative</w:t>
      </w:r>
      <w:r>
        <w:rPr>
          <w:spacing w:val="9"/>
          <w:sz w:val="13"/>
        </w:rPr>
        <w:t> </w:t>
      </w:r>
      <w:r>
        <w:rPr>
          <w:sz w:val="13"/>
        </w:rPr>
        <w:t>Tribunal).</w:t>
      </w:r>
    </w:p>
    <w:p>
      <w:pPr>
        <w:pStyle w:val="ListParagraph"/>
        <w:numPr>
          <w:ilvl w:val="0"/>
          <w:numId w:val="79"/>
        </w:numPr>
        <w:tabs>
          <w:tab w:pos="1222" w:val="left" w:leader="none"/>
          <w:tab w:pos="1223" w:val="left" w:leader="none"/>
        </w:tabs>
        <w:spacing w:line="240" w:lineRule="auto" w:before="1" w:after="0"/>
        <w:ind w:left="1222" w:right="0" w:hanging="794"/>
        <w:jc w:val="left"/>
        <w:rPr>
          <w:sz w:val="13"/>
        </w:rPr>
      </w:pPr>
      <w:r>
        <w:rPr>
          <w:w w:val="105"/>
          <w:sz w:val="13"/>
        </w:rPr>
        <w:t>Consultation </w:t>
      </w:r>
      <w:r>
        <w:rPr>
          <w:spacing w:val="-3"/>
          <w:w w:val="105"/>
          <w:sz w:val="13"/>
        </w:rPr>
        <w:t>14 </w:t>
      </w:r>
      <w:r>
        <w:rPr>
          <w:spacing w:val="2"/>
          <w:w w:val="105"/>
          <w:sz w:val="13"/>
        </w:rPr>
        <w:t>(Victorian </w:t>
      </w:r>
      <w:r>
        <w:rPr>
          <w:w w:val="105"/>
          <w:sz w:val="13"/>
        </w:rPr>
        <w:t>Civil and Administrative</w:t>
      </w:r>
      <w:r>
        <w:rPr>
          <w:spacing w:val="28"/>
          <w:w w:val="105"/>
          <w:sz w:val="13"/>
        </w:rPr>
        <w:t> </w:t>
      </w:r>
      <w:r>
        <w:rPr>
          <w:w w:val="105"/>
          <w:sz w:val="13"/>
        </w:rPr>
        <w:t>Tribunal).</w:t>
      </w:r>
    </w:p>
    <w:p>
      <w:pPr>
        <w:pStyle w:val="ListParagraph"/>
        <w:numPr>
          <w:ilvl w:val="0"/>
          <w:numId w:val="79"/>
        </w:numPr>
        <w:tabs>
          <w:tab w:pos="1222" w:val="left" w:leader="none"/>
          <w:tab w:pos="1223" w:val="left" w:leader="none"/>
        </w:tabs>
        <w:spacing w:line="240" w:lineRule="auto" w:before="2" w:after="0"/>
        <w:ind w:left="1222" w:right="1707" w:hanging="794"/>
        <w:jc w:val="left"/>
        <w:rPr>
          <w:sz w:val="13"/>
        </w:rPr>
      </w:pPr>
      <w:r>
        <w:rPr>
          <w:sz w:val="13"/>
        </w:rPr>
        <w:t>Some of these views were put forward in submission 6 </w:t>
      </w:r>
      <w:r>
        <w:rPr>
          <w:spacing w:val="2"/>
          <w:sz w:val="13"/>
        </w:rPr>
        <w:t>(Victorian </w:t>
      </w:r>
      <w:r>
        <w:rPr>
          <w:sz w:val="13"/>
        </w:rPr>
        <w:t>Civil and Administrative Tribunal) and some in consultation </w:t>
      </w:r>
      <w:r>
        <w:rPr>
          <w:spacing w:val="-3"/>
          <w:sz w:val="13"/>
        </w:rPr>
        <w:t>14  </w:t>
      </w:r>
      <w:r>
        <w:rPr>
          <w:sz w:val="13"/>
        </w:rPr>
        <w:t>(Victorian          Civil and Administrative</w:t>
      </w:r>
      <w:r>
        <w:rPr>
          <w:spacing w:val="19"/>
          <w:sz w:val="13"/>
        </w:rPr>
        <w:t> </w:t>
      </w:r>
      <w:r>
        <w:rPr>
          <w:sz w:val="13"/>
        </w:rPr>
        <w:t>Tribunal).</w:t>
      </w:r>
    </w:p>
    <w:p>
      <w:pPr>
        <w:pStyle w:val="ListParagraph"/>
        <w:numPr>
          <w:ilvl w:val="0"/>
          <w:numId w:val="79"/>
        </w:numPr>
        <w:tabs>
          <w:tab w:pos="1222" w:val="left" w:leader="none"/>
          <w:tab w:pos="1223" w:val="left" w:leader="none"/>
        </w:tabs>
        <w:spacing w:line="240" w:lineRule="auto" w:before="2" w:after="0"/>
        <w:ind w:left="1222" w:right="1634" w:hanging="794"/>
        <w:jc w:val="left"/>
        <w:rPr>
          <w:sz w:val="13"/>
        </w:rPr>
      </w:pPr>
      <w:r>
        <w:rPr>
          <w:w w:val="105"/>
          <w:sz w:val="13"/>
        </w:rPr>
        <w:t>Submissions 1 </w:t>
      </w:r>
      <w:r>
        <w:rPr>
          <w:spacing w:val="2"/>
          <w:w w:val="105"/>
          <w:sz w:val="13"/>
        </w:rPr>
        <w:t>(Legal </w:t>
      </w:r>
      <w:r>
        <w:rPr>
          <w:w w:val="105"/>
          <w:sz w:val="13"/>
        </w:rPr>
        <w:t>Services Commissioner); </w:t>
      </w:r>
      <w:r>
        <w:rPr>
          <w:spacing w:val="-4"/>
          <w:w w:val="105"/>
          <w:sz w:val="13"/>
        </w:rPr>
        <w:t>13 </w:t>
      </w:r>
      <w:r>
        <w:rPr>
          <w:w w:val="105"/>
          <w:sz w:val="13"/>
        </w:rPr>
        <w:t>(David Shalders); 31 (Seniors Rights </w:t>
      </w:r>
      <w:r>
        <w:rPr>
          <w:spacing w:val="2"/>
          <w:w w:val="105"/>
          <w:sz w:val="13"/>
        </w:rPr>
        <w:t>Victoria); </w:t>
      </w:r>
      <w:r>
        <w:rPr>
          <w:w w:val="105"/>
          <w:sz w:val="13"/>
        </w:rPr>
        <w:t>38 </w:t>
      </w:r>
      <w:r>
        <w:rPr>
          <w:spacing w:val="2"/>
          <w:w w:val="105"/>
          <w:sz w:val="13"/>
        </w:rPr>
        <w:t>(Liz </w:t>
      </w:r>
      <w:r>
        <w:rPr>
          <w:w w:val="105"/>
          <w:sz w:val="13"/>
        </w:rPr>
        <w:t>Burton). Consultations 5 </w:t>
      </w:r>
      <w:r>
        <w:rPr>
          <w:spacing w:val="2"/>
          <w:w w:val="105"/>
          <w:sz w:val="13"/>
        </w:rPr>
        <w:t>(Open </w:t>
      </w:r>
      <w:r>
        <w:rPr>
          <w:w w:val="105"/>
          <w:sz w:val="13"/>
        </w:rPr>
        <w:t>day);</w:t>
      </w:r>
      <w:r>
        <w:rPr>
          <w:spacing w:val="30"/>
          <w:w w:val="105"/>
          <w:sz w:val="13"/>
        </w:rPr>
        <w:t> </w:t>
      </w:r>
      <w:r>
        <w:rPr>
          <w:w w:val="105"/>
          <w:sz w:val="13"/>
        </w:rPr>
        <w:t>18</w:t>
      </w:r>
      <w:r>
        <w:rPr>
          <w:spacing w:val="5"/>
          <w:w w:val="105"/>
          <w:sz w:val="13"/>
        </w:rPr>
        <w:t> </w:t>
      </w:r>
      <w:r>
        <w:rPr>
          <w:spacing w:val="2"/>
          <w:w w:val="105"/>
          <w:sz w:val="13"/>
        </w:rPr>
        <w:t>(Legal</w:t>
      </w:r>
      <w:r>
        <w:rPr>
          <w:spacing w:val="5"/>
          <w:w w:val="105"/>
          <w:sz w:val="13"/>
        </w:rPr>
        <w:t> </w:t>
      </w:r>
      <w:r>
        <w:rPr>
          <w:w w:val="105"/>
          <w:sz w:val="13"/>
        </w:rPr>
        <w:t>practitioners</w:t>
      </w:r>
      <w:r>
        <w:rPr>
          <w:spacing w:val="5"/>
          <w:w w:val="105"/>
          <w:sz w:val="13"/>
        </w:rPr>
        <w:t> </w:t>
      </w:r>
      <w:r>
        <w:rPr>
          <w:w w:val="105"/>
          <w:sz w:val="13"/>
        </w:rPr>
        <w:t>in</w:t>
      </w:r>
      <w:r>
        <w:rPr>
          <w:spacing w:val="6"/>
          <w:w w:val="105"/>
          <w:sz w:val="13"/>
        </w:rPr>
        <w:t> </w:t>
      </w:r>
      <w:r>
        <w:rPr>
          <w:w w:val="105"/>
          <w:sz w:val="13"/>
        </w:rPr>
        <w:t>Wodonga),</w:t>
      </w:r>
      <w:r>
        <w:rPr>
          <w:spacing w:val="5"/>
          <w:w w:val="105"/>
          <w:sz w:val="13"/>
        </w:rPr>
        <w:t> </w:t>
      </w:r>
      <w:r>
        <w:rPr>
          <w:w w:val="105"/>
          <w:sz w:val="13"/>
        </w:rPr>
        <w:t>although</w:t>
      </w:r>
      <w:r>
        <w:rPr>
          <w:spacing w:val="5"/>
          <w:w w:val="105"/>
          <w:sz w:val="13"/>
        </w:rPr>
        <w:t> </w:t>
      </w:r>
      <w:r>
        <w:rPr>
          <w:w w:val="105"/>
          <w:sz w:val="13"/>
        </w:rPr>
        <w:t>some</w:t>
      </w:r>
      <w:r>
        <w:rPr>
          <w:spacing w:val="6"/>
          <w:w w:val="105"/>
          <w:sz w:val="13"/>
        </w:rPr>
        <w:t> </w:t>
      </w:r>
      <w:r>
        <w:rPr>
          <w:w w:val="105"/>
          <w:sz w:val="13"/>
        </w:rPr>
        <w:t>participants</w:t>
      </w:r>
      <w:r>
        <w:rPr>
          <w:spacing w:val="5"/>
          <w:w w:val="105"/>
          <w:sz w:val="13"/>
        </w:rPr>
        <w:t> </w:t>
      </w:r>
      <w:r>
        <w:rPr>
          <w:w w:val="105"/>
          <w:sz w:val="13"/>
        </w:rPr>
        <w:t>at</w:t>
      </w:r>
      <w:r>
        <w:rPr>
          <w:spacing w:val="5"/>
          <w:w w:val="105"/>
          <w:sz w:val="13"/>
        </w:rPr>
        <w:t> </w:t>
      </w:r>
      <w:r>
        <w:rPr>
          <w:w w:val="105"/>
          <w:sz w:val="13"/>
        </w:rPr>
        <w:t>this</w:t>
      </w:r>
      <w:r>
        <w:rPr>
          <w:spacing w:val="6"/>
          <w:w w:val="105"/>
          <w:sz w:val="13"/>
        </w:rPr>
        <w:t> </w:t>
      </w:r>
      <w:r>
        <w:rPr>
          <w:w w:val="105"/>
          <w:sz w:val="13"/>
        </w:rPr>
        <w:t>meeting</w:t>
      </w:r>
      <w:r>
        <w:rPr>
          <w:spacing w:val="5"/>
          <w:w w:val="105"/>
          <w:sz w:val="13"/>
        </w:rPr>
        <w:t> </w:t>
      </w:r>
      <w:r>
        <w:rPr>
          <w:w w:val="105"/>
          <w:sz w:val="13"/>
        </w:rPr>
        <w:t>were</w:t>
      </w:r>
      <w:r>
        <w:rPr>
          <w:spacing w:val="5"/>
          <w:w w:val="105"/>
          <w:sz w:val="13"/>
        </w:rPr>
        <w:t> </w:t>
      </w:r>
      <w:r>
        <w:rPr>
          <w:w w:val="105"/>
          <w:sz w:val="13"/>
        </w:rPr>
        <w:t>strongly</w:t>
      </w:r>
      <w:r>
        <w:rPr>
          <w:spacing w:val="5"/>
          <w:w w:val="105"/>
          <w:sz w:val="13"/>
        </w:rPr>
        <w:t> </w:t>
      </w:r>
      <w:r>
        <w:rPr>
          <w:w w:val="105"/>
          <w:sz w:val="13"/>
        </w:rPr>
        <w:t>opposed</w:t>
      </w:r>
      <w:r>
        <w:rPr>
          <w:spacing w:val="6"/>
          <w:w w:val="105"/>
          <w:sz w:val="13"/>
        </w:rPr>
        <w:t> </w:t>
      </w:r>
      <w:r>
        <w:rPr>
          <w:w w:val="105"/>
          <w:sz w:val="13"/>
        </w:rPr>
        <w:t>to</w:t>
      </w:r>
      <w:r>
        <w:rPr>
          <w:spacing w:val="5"/>
          <w:w w:val="105"/>
          <w:sz w:val="13"/>
        </w:rPr>
        <w:t> </w:t>
      </w:r>
      <w:r>
        <w:rPr>
          <w:w w:val="105"/>
          <w:sz w:val="13"/>
        </w:rPr>
        <w:t>the</w:t>
      </w:r>
      <w:r>
        <w:rPr>
          <w:spacing w:val="5"/>
          <w:w w:val="105"/>
          <w:sz w:val="13"/>
        </w:rPr>
        <w:t> </w:t>
      </w:r>
      <w:r>
        <w:rPr>
          <w:w w:val="105"/>
          <w:sz w:val="13"/>
        </w:rPr>
        <w:t>idea.</w:t>
      </w:r>
    </w:p>
    <w:p>
      <w:pPr>
        <w:pStyle w:val="ListParagraph"/>
        <w:numPr>
          <w:ilvl w:val="0"/>
          <w:numId w:val="79"/>
        </w:numPr>
        <w:tabs>
          <w:tab w:pos="1222" w:val="left" w:leader="none"/>
          <w:tab w:pos="1223" w:val="left" w:leader="none"/>
        </w:tabs>
        <w:spacing w:line="240" w:lineRule="auto" w:before="3" w:after="0"/>
        <w:ind w:left="1222" w:right="0" w:hanging="794"/>
        <w:jc w:val="left"/>
        <w:rPr>
          <w:sz w:val="13"/>
        </w:rPr>
      </w:pPr>
      <w:r>
        <w:rPr>
          <w:w w:val="105"/>
          <w:sz w:val="13"/>
        </w:rPr>
        <w:t>Submission 31 (Seniors Rights</w:t>
      </w:r>
      <w:r>
        <w:rPr>
          <w:spacing w:val="18"/>
          <w:w w:val="105"/>
          <w:sz w:val="13"/>
        </w:rPr>
        <w:t> </w:t>
      </w:r>
      <w:r>
        <w:rPr>
          <w:spacing w:val="2"/>
          <w:w w:val="105"/>
          <w:sz w:val="13"/>
        </w:rPr>
        <w:t>Victoria).</w:t>
      </w:r>
    </w:p>
    <w:p>
      <w:pPr>
        <w:pStyle w:val="ListParagraph"/>
        <w:numPr>
          <w:ilvl w:val="0"/>
          <w:numId w:val="79"/>
        </w:numPr>
        <w:tabs>
          <w:tab w:pos="1222" w:val="left" w:leader="none"/>
          <w:tab w:pos="1223" w:val="left" w:leader="none"/>
        </w:tabs>
        <w:spacing w:line="240" w:lineRule="auto" w:before="1" w:after="0"/>
        <w:ind w:left="1222" w:right="0" w:hanging="794"/>
        <w:jc w:val="left"/>
        <w:rPr>
          <w:sz w:val="13"/>
        </w:rPr>
      </w:pPr>
      <w:r>
        <w:rPr>
          <w:w w:val="105"/>
          <w:sz w:val="13"/>
        </w:rPr>
        <w:t>Consultation</w:t>
      </w:r>
      <w:r>
        <w:rPr>
          <w:spacing w:val="5"/>
          <w:w w:val="105"/>
          <w:sz w:val="13"/>
        </w:rPr>
        <w:t> </w:t>
      </w:r>
      <w:r>
        <w:rPr>
          <w:w w:val="105"/>
          <w:sz w:val="13"/>
        </w:rPr>
        <w:t>18</w:t>
      </w:r>
      <w:r>
        <w:rPr>
          <w:spacing w:val="5"/>
          <w:w w:val="105"/>
          <w:sz w:val="13"/>
        </w:rPr>
        <w:t> </w:t>
      </w:r>
      <w:r>
        <w:rPr>
          <w:spacing w:val="2"/>
          <w:w w:val="105"/>
          <w:sz w:val="13"/>
        </w:rPr>
        <w:t>(Legal</w:t>
      </w:r>
      <w:r>
        <w:rPr>
          <w:spacing w:val="5"/>
          <w:w w:val="105"/>
          <w:sz w:val="13"/>
        </w:rPr>
        <w:t> </w:t>
      </w:r>
      <w:r>
        <w:rPr>
          <w:w w:val="105"/>
          <w:sz w:val="13"/>
        </w:rPr>
        <w:t>practitioners</w:t>
      </w:r>
      <w:r>
        <w:rPr>
          <w:spacing w:val="5"/>
          <w:w w:val="105"/>
          <w:sz w:val="13"/>
        </w:rPr>
        <w:t> </w:t>
      </w:r>
      <w:r>
        <w:rPr>
          <w:w w:val="105"/>
          <w:sz w:val="13"/>
        </w:rPr>
        <w:t>in</w:t>
      </w:r>
      <w:r>
        <w:rPr>
          <w:spacing w:val="6"/>
          <w:w w:val="105"/>
          <w:sz w:val="13"/>
        </w:rPr>
        <w:t> </w:t>
      </w:r>
      <w:r>
        <w:rPr>
          <w:w w:val="105"/>
          <w:sz w:val="13"/>
        </w:rPr>
        <w:t>Wodonga),</w:t>
      </w:r>
      <w:r>
        <w:rPr>
          <w:spacing w:val="5"/>
          <w:w w:val="105"/>
          <w:sz w:val="13"/>
        </w:rPr>
        <w:t> </w:t>
      </w:r>
      <w:r>
        <w:rPr>
          <w:w w:val="105"/>
          <w:sz w:val="13"/>
        </w:rPr>
        <w:t>although</w:t>
      </w:r>
      <w:r>
        <w:rPr>
          <w:spacing w:val="5"/>
          <w:w w:val="105"/>
          <w:sz w:val="13"/>
        </w:rPr>
        <w:t> </w:t>
      </w:r>
      <w:r>
        <w:rPr>
          <w:w w:val="105"/>
          <w:sz w:val="13"/>
        </w:rPr>
        <w:t>some</w:t>
      </w:r>
      <w:r>
        <w:rPr>
          <w:spacing w:val="5"/>
          <w:w w:val="105"/>
          <w:sz w:val="13"/>
        </w:rPr>
        <w:t> </w:t>
      </w:r>
      <w:r>
        <w:rPr>
          <w:w w:val="105"/>
          <w:sz w:val="13"/>
        </w:rPr>
        <w:t>participants</w:t>
      </w:r>
      <w:r>
        <w:rPr>
          <w:spacing w:val="6"/>
          <w:w w:val="105"/>
          <w:sz w:val="13"/>
        </w:rPr>
        <w:t> </w:t>
      </w:r>
      <w:r>
        <w:rPr>
          <w:w w:val="105"/>
          <w:sz w:val="13"/>
        </w:rPr>
        <w:t>at</w:t>
      </w:r>
      <w:r>
        <w:rPr>
          <w:spacing w:val="5"/>
          <w:w w:val="105"/>
          <w:sz w:val="13"/>
        </w:rPr>
        <w:t> </w:t>
      </w:r>
      <w:r>
        <w:rPr>
          <w:w w:val="105"/>
          <w:sz w:val="13"/>
        </w:rPr>
        <w:t>this</w:t>
      </w:r>
      <w:r>
        <w:rPr>
          <w:spacing w:val="5"/>
          <w:w w:val="105"/>
          <w:sz w:val="13"/>
        </w:rPr>
        <w:t> </w:t>
      </w:r>
      <w:r>
        <w:rPr>
          <w:w w:val="105"/>
          <w:sz w:val="13"/>
        </w:rPr>
        <w:t>meeting</w:t>
      </w:r>
      <w:r>
        <w:rPr>
          <w:spacing w:val="5"/>
          <w:w w:val="105"/>
          <w:sz w:val="13"/>
        </w:rPr>
        <w:t> </w:t>
      </w:r>
      <w:r>
        <w:rPr>
          <w:w w:val="105"/>
          <w:sz w:val="13"/>
        </w:rPr>
        <w:t>were</w:t>
      </w:r>
      <w:r>
        <w:rPr>
          <w:spacing w:val="5"/>
          <w:w w:val="105"/>
          <w:sz w:val="13"/>
        </w:rPr>
        <w:t> </w:t>
      </w:r>
      <w:r>
        <w:rPr>
          <w:w w:val="105"/>
          <w:sz w:val="13"/>
        </w:rPr>
        <w:t>strongly</w:t>
      </w:r>
      <w:r>
        <w:rPr>
          <w:spacing w:val="6"/>
          <w:w w:val="105"/>
          <w:sz w:val="13"/>
        </w:rPr>
        <w:t> </w:t>
      </w:r>
      <w:r>
        <w:rPr>
          <w:w w:val="105"/>
          <w:sz w:val="13"/>
        </w:rPr>
        <w:t>opposed</w:t>
      </w:r>
      <w:r>
        <w:rPr>
          <w:spacing w:val="5"/>
          <w:w w:val="105"/>
          <w:sz w:val="13"/>
        </w:rPr>
        <w:t> </w:t>
      </w:r>
      <w:r>
        <w:rPr>
          <w:w w:val="105"/>
          <w:sz w:val="13"/>
        </w:rPr>
        <w:t>to</w:t>
      </w:r>
      <w:r>
        <w:rPr>
          <w:spacing w:val="5"/>
          <w:w w:val="105"/>
          <w:sz w:val="13"/>
        </w:rPr>
        <w:t> </w:t>
      </w:r>
      <w:r>
        <w:rPr>
          <w:w w:val="105"/>
          <w:sz w:val="13"/>
        </w:rPr>
        <w:t>the</w:t>
      </w:r>
      <w:r>
        <w:rPr>
          <w:spacing w:val="5"/>
          <w:w w:val="105"/>
          <w:sz w:val="13"/>
        </w:rPr>
        <w:t> </w:t>
      </w:r>
      <w:r>
        <w:rPr>
          <w:w w:val="105"/>
          <w:sz w:val="13"/>
        </w:rPr>
        <w:t>idea.</w:t>
      </w:r>
    </w:p>
    <w:p>
      <w:pPr>
        <w:spacing w:after="0" w:line="240" w:lineRule="auto"/>
        <w:jc w:val="left"/>
        <w:rPr>
          <w:sz w:val="13"/>
        </w:rPr>
        <w:sectPr>
          <w:type w:val="continuous"/>
          <w:pgSz w:w="11910" w:h="16840"/>
          <w:pgMar w:top="920" w:bottom="280" w:left="0" w:right="0"/>
          <w:cols w:num="2" w:equalWidth="0">
            <w:col w:w="1120" w:space="40"/>
            <w:col w:w="10750"/>
          </w:cols>
        </w:sectPr>
      </w:pPr>
    </w:p>
    <w:p>
      <w:pPr>
        <w:pStyle w:val="BodyText"/>
        <w:rPr>
          <w:sz w:val="20"/>
        </w:rPr>
      </w:pPr>
    </w:p>
    <w:p>
      <w:pPr>
        <w:pStyle w:val="BodyText"/>
        <w:rPr>
          <w:sz w:val="19"/>
        </w:rPr>
      </w:pPr>
    </w:p>
    <w:p>
      <w:pPr>
        <w:pStyle w:val="ListParagraph"/>
        <w:numPr>
          <w:ilvl w:val="1"/>
          <w:numId w:val="22"/>
        </w:numPr>
        <w:tabs>
          <w:tab w:pos="2381" w:val="left" w:leader="none"/>
          <w:tab w:pos="2382" w:val="left" w:leader="none"/>
        </w:tabs>
        <w:spacing w:line="242" w:lineRule="auto" w:before="91" w:after="0"/>
        <w:ind w:left="2381" w:right="1838" w:hanging="794"/>
        <w:jc w:val="left"/>
        <w:rPr>
          <w:sz w:val="12"/>
        </w:rPr>
      </w:pPr>
      <w:r>
        <w:rPr>
          <w:spacing w:val="-4"/>
          <w:w w:val="105"/>
          <w:sz w:val="21"/>
        </w:rPr>
        <w:t>However, </w:t>
      </w:r>
      <w:r>
        <w:rPr>
          <w:w w:val="105"/>
          <w:sz w:val="21"/>
        </w:rPr>
        <w:t>there </w:t>
      </w:r>
      <w:r>
        <w:rPr>
          <w:spacing w:val="-2"/>
          <w:w w:val="105"/>
          <w:sz w:val="21"/>
        </w:rPr>
        <w:t>has </w:t>
      </w:r>
      <w:r>
        <w:rPr>
          <w:w w:val="105"/>
          <w:sz w:val="21"/>
        </w:rPr>
        <w:t>been </w:t>
      </w:r>
      <w:r>
        <w:rPr>
          <w:spacing w:val="-3"/>
          <w:w w:val="105"/>
          <w:sz w:val="21"/>
        </w:rPr>
        <w:t>substantial </w:t>
      </w:r>
      <w:r>
        <w:rPr>
          <w:w w:val="105"/>
          <w:sz w:val="21"/>
        </w:rPr>
        <w:t>opposition </w:t>
      </w:r>
      <w:r>
        <w:rPr>
          <w:spacing w:val="-3"/>
          <w:w w:val="105"/>
          <w:sz w:val="21"/>
        </w:rPr>
        <w:t>to </w:t>
      </w:r>
      <w:r>
        <w:rPr>
          <w:w w:val="105"/>
          <w:sz w:val="21"/>
        </w:rPr>
        <w:t>this proposal </w:t>
      </w:r>
      <w:r>
        <w:rPr>
          <w:spacing w:val="-3"/>
          <w:w w:val="105"/>
          <w:sz w:val="21"/>
        </w:rPr>
        <w:t>within </w:t>
      </w:r>
      <w:r>
        <w:rPr>
          <w:w w:val="105"/>
          <w:sz w:val="21"/>
        </w:rPr>
        <w:t>the legal </w:t>
      </w:r>
      <w:r>
        <w:rPr>
          <w:spacing w:val="-3"/>
          <w:w w:val="105"/>
          <w:sz w:val="21"/>
        </w:rPr>
        <w:t>profession.</w:t>
      </w:r>
      <w:r>
        <w:rPr>
          <w:spacing w:val="-3"/>
          <w:w w:val="105"/>
          <w:position w:val="7"/>
          <w:sz w:val="12"/>
        </w:rPr>
        <w:t>63 </w:t>
      </w:r>
      <w:r>
        <w:rPr>
          <w:spacing w:val="-4"/>
          <w:w w:val="105"/>
          <w:sz w:val="21"/>
        </w:rPr>
        <w:t>Concerns </w:t>
      </w:r>
      <w:r>
        <w:rPr>
          <w:w w:val="105"/>
          <w:sz w:val="21"/>
        </w:rPr>
        <w:t>about </w:t>
      </w:r>
      <w:r>
        <w:rPr>
          <w:spacing w:val="-5"/>
          <w:w w:val="105"/>
          <w:sz w:val="21"/>
        </w:rPr>
        <w:t>VCAT </w:t>
      </w:r>
      <w:r>
        <w:rPr>
          <w:spacing w:val="-3"/>
          <w:w w:val="105"/>
          <w:sz w:val="21"/>
        </w:rPr>
        <w:t>hearing family provision claims included </w:t>
      </w:r>
      <w:r>
        <w:rPr>
          <w:w w:val="105"/>
          <w:sz w:val="21"/>
        </w:rPr>
        <w:t>a perceived lack of expertise, insufficient </w:t>
      </w:r>
      <w:r>
        <w:rPr>
          <w:spacing w:val="-3"/>
          <w:w w:val="105"/>
          <w:sz w:val="21"/>
        </w:rPr>
        <w:t>regard for </w:t>
      </w:r>
      <w:r>
        <w:rPr>
          <w:w w:val="105"/>
          <w:sz w:val="21"/>
        </w:rPr>
        <w:t>the rules of evidence and </w:t>
      </w:r>
      <w:r>
        <w:rPr>
          <w:spacing w:val="-3"/>
          <w:w w:val="105"/>
          <w:sz w:val="21"/>
        </w:rPr>
        <w:t>inconsistent </w:t>
      </w:r>
      <w:r>
        <w:rPr>
          <w:w w:val="105"/>
          <w:sz w:val="21"/>
        </w:rPr>
        <w:t>decision </w:t>
      </w:r>
      <w:r>
        <w:rPr>
          <w:spacing w:val="-3"/>
          <w:w w:val="105"/>
          <w:sz w:val="21"/>
        </w:rPr>
        <w:t>making.</w:t>
      </w:r>
      <w:r>
        <w:rPr>
          <w:spacing w:val="-3"/>
          <w:w w:val="105"/>
          <w:position w:val="7"/>
          <w:sz w:val="12"/>
        </w:rPr>
        <w:t>64 </w:t>
      </w:r>
      <w:r>
        <w:rPr>
          <w:w w:val="105"/>
          <w:sz w:val="21"/>
        </w:rPr>
        <w:t>The view was expressed </w:t>
      </w:r>
      <w:r>
        <w:rPr>
          <w:spacing w:val="-3"/>
          <w:w w:val="105"/>
          <w:sz w:val="21"/>
        </w:rPr>
        <w:t>that </w:t>
      </w:r>
      <w:r>
        <w:rPr>
          <w:w w:val="105"/>
          <w:sz w:val="21"/>
        </w:rPr>
        <w:t>it is </w:t>
      </w:r>
      <w:r>
        <w:rPr>
          <w:spacing w:val="-3"/>
          <w:w w:val="105"/>
          <w:sz w:val="21"/>
        </w:rPr>
        <w:t>already </w:t>
      </w:r>
      <w:r>
        <w:rPr>
          <w:w w:val="105"/>
          <w:sz w:val="21"/>
        </w:rPr>
        <w:t>difficult </w:t>
      </w:r>
      <w:r>
        <w:rPr>
          <w:spacing w:val="-3"/>
          <w:w w:val="105"/>
          <w:sz w:val="21"/>
        </w:rPr>
        <w:t>to ensure </w:t>
      </w:r>
      <w:r>
        <w:rPr>
          <w:w w:val="105"/>
          <w:sz w:val="21"/>
        </w:rPr>
        <w:t>consistency in decision </w:t>
      </w:r>
      <w:r>
        <w:rPr>
          <w:spacing w:val="-3"/>
          <w:w w:val="105"/>
          <w:sz w:val="21"/>
        </w:rPr>
        <w:t>making </w:t>
      </w:r>
      <w:r>
        <w:rPr>
          <w:w w:val="105"/>
          <w:sz w:val="21"/>
        </w:rPr>
        <w:t>between the </w:t>
      </w:r>
      <w:r>
        <w:rPr>
          <w:spacing w:val="-3"/>
          <w:w w:val="105"/>
          <w:sz w:val="21"/>
        </w:rPr>
        <w:t>Supreme Court </w:t>
      </w:r>
      <w:r>
        <w:rPr>
          <w:w w:val="105"/>
          <w:sz w:val="21"/>
        </w:rPr>
        <w:t>and </w:t>
      </w:r>
      <w:r>
        <w:rPr>
          <w:spacing w:val="-3"/>
          <w:w w:val="105"/>
          <w:sz w:val="21"/>
        </w:rPr>
        <w:t>County Court, </w:t>
      </w:r>
      <w:r>
        <w:rPr>
          <w:w w:val="105"/>
          <w:sz w:val="21"/>
        </w:rPr>
        <w:t>and this would be compounded if </w:t>
      </w:r>
      <w:r>
        <w:rPr>
          <w:spacing w:val="-5"/>
          <w:w w:val="105"/>
          <w:sz w:val="21"/>
        </w:rPr>
        <w:t>VCAT </w:t>
      </w:r>
      <w:r>
        <w:rPr>
          <w:spacing w:val="-3"/>
          <w:w w:val="105"/>
          <w:sz w:val="21"/>
        </w:rPr>
        <w:t>were </w:t>
      </w:r>
      <w:r>
        <w:rPr>
          <w:w w:val="105"/>
          <w:sz w:val="21"/>
        </w:rPr>
        <w:t>given jurisdiction in </w:t>
      </w:r>
      <w:r>
        <w:rPr>
          <w:spacing w:val="-3"/>
          <w:w w:val="105"/>
          <w:sz w:val="21"/>
        </w:rPr>
        <w:t>family provision</w:t>
      </w:r>
      <w:r>
        <w:rPr>
          <w:spacing w:val="25"/>
          <w:w w:val="105"/>
          <w:sz w:val="21"/>
        </w:rPr>
        <w:t> </w:t>
      </w:r>
      <w:r>
        <w:rPr>
          <w:w w:val="105"/>
          <w:sz w:val="21"/>
        </w:rPr>
        <w:t>matters.</w:t>
      </w:r>
      <w:r>
        <w:rPr>
          <w:w w:val="105"/>
          <w:position w:val="7"/>
          <w:sz w:val="12"/>
        </w:rPr>
        <w:t>65</w:t>
      </w:r>
    </w:p>
    <w:p>
      <w:pPr>
        <w:pStyle w:val="ListParagraph"/>
        <w:numPr>
          <w:ilvl w:val="1"/>
          <w:numId w:val="22"/>
        </w:numPr>
        <w:tabs>
          <w:tab w:pos="2381" w:val="left" w:leader="none"/>
          <w:tab w:pos="2382" w:val="left" w:leader="none"/>
        </w:tabs>
        <w:spacing w:line="242" w:lineRule="auto" w:before="127" w:after="0"/>
        <w:ind w:left="2381" w:right="1789" w:hanging="794"/>
        <w:jc w:val="left"/>
        <w:rPr>
          <w:sz w:val="12"/>
        </w:rPr>
      </w:pPr>
      <w:r>
        <w:rPr>
          <w:sz w:val="21"/>
        </w:rPr>
        <w:t>In </w:t>
      </w:r>
      <w:r>
        <w:rPr>
          <w:spacing w:val="-3"/>
          <w:sz w:val="21"/>
        </w:rPr>
        <w:t>consultation, </w:t>
      </w:r>
      <w:r>
        <w:rPr>
          <w:sz w:val="21"/>
        </w:rPr>
        <w:t>representatives of </w:t>
      </w:r>
      <w:r>
        <w:rPr>
          <w:spacing w:val="-5"/>
          <w:sz w:val="21"/>
        </w:rPr>
        <w:t>VCAT </w:t>
      </w:r>
      <w:r>
        <w:rPr>
          <w:sz w:val="21"/>
        </w:rPr>
        <w:t>said </w:t>
      </w:r>
      <w:r>
        <w:rPr>
          <w:spacing w:val="-3"/>
          <w:sz w:val="21"/>
        </w:rPr>
        <w:t>that </w:t>
      </w:r>
      <w:r>
        <w:rPr>
          <w:sz w:val="21"/>
        </w:rPr>
        <w:t>lawyers often attend </w:t>
      </w:r>
      <w:r>
        <w:rPr>
          <w:spacing w:val="-3"/>
          <w:sz w:val="21"/>
        </w:rPr>
        <w:t>mediations </w:t>
      </w:r>
      <w:r>
        <w:rPr>
          <w:sz w:val="21"/>
        </w:rPr>
        <w:t>and compulsory </w:t>
      </w:r>
      <w:r>
        <w:rPr>
          <w:spacing w:val="-3"/>
          <w:sz w:val="21"/>
        </w:rPr>
        <w:t>conferences. </w:t>
      </w:r>
      <w:r>
        <w:rPr>
          <w:sz w:val="21"/>
        </w:rPr>
        <w:t>If </w:t>
      </w:r>
      <w:r>
        <w:rPr>
          <w:spacing w:val="-5"/>
          <w:sz w:val="21"/>
        </w:rPr>
        <w:t>VCAT </w:t>
      </w:r>
      <w:r>
        <w:rPr>
          <w:spacing w:val="-2"/>
          <w:sz w:val="21"/>
        </w:rPr>
        <w:t>had </w:t>
      </w:r>
      <w:r>
        <w:rPr>
          <w:sz w:val="21"/>
        </w:rPr>
        <w:t>jurisdiction in </w:t>
      </w:r>
      <w:r>
        <w:rPr>
          <w:spacing w:val="-3"/>
          <w:sz w:val="21"/>
        </w:rPr>
        <w:t>family provision </w:t>
      </w:r>
      <w:r>
        <w:rPr>
          <w:sz w:val="21"/>
        </w:rPr>
        <w:t>matters, </w:t>
      </w:r>
      <w:r>
        <w:rPr>
          <w:spacing w:val="-5"/>
          <w:sz w:val="21"/>
        </w:rPr>
        <w:t>VCAT  </w:t>
      </w:r>
      <w:r>
        <w:rPr>
          <w:spacing w:val="-3"/>
          <w:sz w:val="21"/>
        </w:rPr>
        <w:t>took  </w:t>
      </w:r>
      <w:r>
        <w:rPr>
          <w:sz w:val="21"/>
        </w:rPr>
        <w:t>the view </w:t>
      </w:r>
      <w:r>
        <w:rPr>
          <w:spacing w:val="-3"/>
          <w:sz w:val="21"/>
        </w:rPr>
        <w:t>that </w:t>
      </w:r>
      <w:r>
        <w:rPr>
          <w:sz w:val="21"/>
        </w:rPr>
        <w:t>the parties would </w:t>
      </w:r>
      <w:r>
        <w:rPr>
          <w:spacing w:val="-2"/>
          <w:sz w:val="21"/>
        </w:rPr>
        <w:t>not </w:t>
      </w:r>
      <w:r>
        <w:rPr>
          <w:sz w:val="21"/>
        </w:rPr>
        <w:t>necessarily </w:t>
      </w:r>
      <w:r>
        <w:rPr>
          <w:spacing w:val="-3"/>
          <w:sz w:val="21"/>
        </w:rPr>
        <w:t>require </w:t>
      </w:r>
      <w:r>
        <w:rPr>
          <w:sz w:val="21"/>
        </w:rPr>
        <w:t>legal </w:t>
      </w:r>
      <w:r>
        <w:rPr>
          <w:spacing w:val="-3"/>
          <w:sz w:val="21"/>
        </w:rPr>
        <w:t>representation, </w:t>
      </w:r>
      <w:r>
        <w:rPr>
          <w:sz w:val="21"/>
        </w:rPr>
        <w:t>but legal representation would </w:t>
      </w:r>
      <w:r>
        <w:rPr>
          <w:spacing w:val="-2"/>
          <w:sz w:val="21"/>
        </w:rPr>
        <w:t>not </w:t>
      </w:r>
      <w:r>
        <w:rPr>
          <w:sz w:val="21"/>
        </w:rPr>
        <w:t>be </w:t>
      </w:r>
      <w:r>
        <w:rPr>
          <w:spacing w:val="-3"/>
          <w:sz w:val="21"/>
        </w:rPr>
        <w:t>discouraged. </w:t>
      </w:r>
      <w:r>
        <w:rPr>
          <w:sz w:val="21"/>
        </w:rPr>
        <w:t>Although  </w:t>
      </w:r>
      <w:r>
        <w:rPr>
          <w:spacing w:val="-3"/>
          <w:sz w:val="21"/>
        </w:rPr>
        <w:t>professional  </w:t>
      </w:r>
      <w:r>
        <w:rPr>
          <w:sz w:val="21"/>
        </w:rPr>
        <w:t>advocates  </w:t>
      </w:r>
      <w:r>
        <w:rPr>
          <w:spacing w:val="-3"/>
          <w:sz w:val="21"/>
        </w:rPr>
        <w:t>generally </w:t>
      </w:r>
      <w:r>
        <w:rPr>
          <w:sz w:val="21"/>
        </w:rPr>
        <w:t>need</w:t>
      </w:r>
      <w:r>
        <w:rPr>
          <w:spacing w:val="10"/>
          <w:sz w:val="21"/>
        </w:rPr>
        <w:t> </w:t>
      </w:r>
      <w:r>
        <w:rPr>
          <w:spacing w:val="-3"/>
          <w:sz w:val="21"/>
        </w:rPr>
        <w:t>leave</w:t>
      </w:r>
      <w:r>
        <w:rPr>
          <w:spacing w:val="10"/>
          <w:sz w:val="21"/>
        </w:rPr>
        <w:t> </w:t>
      </w:r>
      <w:r>
        <w:rPr>
          <w:spacing w:val="-3"/>
          <w:sz w:val="21"/>
        </w:rPr>
        <w:t>to</w:t>
      </w:r>
      <w:r>
        <w:rPr>
          <w:spacing w:val="10"/>
          <w:sz w:val="21"/>
        </w:rPr>
        <w:t> </w:t>
      </w:r>
      <w:r>
        <w:rPr>
          <w:spacing w:val="-4"/>
          <w:sz w:val="21"/>
        </w:rPr>
        <w:t>appear,</w:t>
      </w:r>
      <w:r>
        <w:rPr>
          <w:spacing w:val="11"/>
          <w:sz w:val="21"/>
        </w:rPr>
        <w:t> </w:t>
      </w:r>
      <w:r>
        <w:rPr>
          <w:sz w:val="21"/>
        </w:rPr>
        <w:t>in</w:t>
      </w:r>
      <w:r>
        <w:rPr>
          <w:spacing w:val="10"/>
          <w:sz w:val="21"/>
        </w:rPr>
        <w:t> </w:t>
      </w:r>
      <w:r>
        <w:rPr>
          <w:sz w:val="21"/>
        </w:rPr>
        <w:t>some</w:t>
      </w:r>
      <w:r>
        <w:rPr>
          <w:spacing w:val="10"/>
          <w:sz w:val="21"/>
        </w:rPr>
        <w:t> </w:t>
      </w:r>
      <w:r>
        <w:rPr>
          <w:sz w:val="21"/>
        </w:rPr>
        <w:t>lists</w:t>
      </w:r>
      <w:r>
        <w:rPr>
          <w:spacing w:val="10"/>
          <w:sz w:val="21"/>
        </w:rPr>
        <w:t> </w:t>
      </w:r>
      <w:r>
        <w:rPr>
          <w:spacing w:val="-3"/>
          <w:sz w:val="21"/>
        </w:rPr>
        <w:t>leave</w:t>
      </w:r>
      <w:r>
        <w:rPr>
          <w:spacing w:val="11"/>
          <w:sz w:val="21"/>
        </w:rPr>
        <w:t> </w:t>
      </w:r>
      <w:r>
        <w:rPr>
          <w:sz w:val="21"/>
        </w:rPr>
        <w:t>is</w:t>
      </w:r>
      <w:r>
        <w:rPr>
          <w:spacing w:val="10"/>
          <w:sz w:val="21"/>
        </w:rPr>
        <w:t> </w:t>
      </w:r>
      <w:r>
        <w:rPr>
          <w:spacing w:val="-3"/>
          <w:sz w:val="21"/>
        </w:rPr>
        <w:t>usually</w:t>
      </w:r>
      <w:r>
        <w:rPr>
          <w:spacing w:val="10"/>
          <w:sz w:val="21"/>
        </w:rPr>
        <w:t> </w:t>
      </w:r>
      <w:r>
        <w:rPr>
          <w:spacing w:val="-3"/>
          <w:sz w:val="21"/>
        </w:rPr>
        <w:t>granted.</w:t>
      </w:r>
      <w:r>
        <w:rPr>
          <w:spacing w:val="-3"/>
          <w:position w:val="7"/>
          <w:sz w:val="12"/>
        </w:rPr>
        <w:t>66</w:t>
      </w:r>
    </w:p>
    <w:p>
      <w:pPr>
        <w:pStyle w:val="ListParagraph"/>
        <w:numPr>
          <w:ilvl w:val="1"/>
          <w:numId w:val="22"/>
        </w:numPr>
        <w:tabs>
          <w:tab w:pos="2380" w:val="left" w:leader="none"/>
          <w:tab w:pos="2381" w:val="left" w:leader="none"/>
        </w:tabs>
        <w:spacing w:line="242" w:lineRule="auto" w:before="125" w:after="0"/>
        <w:ind w:left="2381" w:right="1976" w:hanging="794"/>
        <w:jc w:val="left"/>
        <w:rPr>
          <w:sz w:val="21"/>
        </w:rPr>
      </w:pPr>
      <w:r>
        <w:rPr>
          <w:sz w:val="21"/>
        </w:rPr>
        <w:t>Based on </w:t>
      </w:r>
      <w:r>
        <w:rPr>
          <w:spacing w:val="-6"/>
          <w:sz w:val="21"/>
        </w:rPr>
        <w:t>VCAT’s </w:t>
      </w:r>
      <w:r>
        <w:rPr>
          <w:sz w:val="21"/>
        </w:rPr>
        <w:t>description of how the  jurisdiction  would  </w:t>
      </w:r>
      <w:r>
        <w:rPr>
          <w:spacing w:val="-3"/>
          <w:sz w:val="21"/>
        </w:rPr>
        <w:t>operate,  </w:t>
      </w:r>
      <w:r>
        <w:rPr>
          <w:sz w:val="21"/>
        </w:rPr>
        <w:t>it  seems  </w:t>
      </w:r>
      <w:r>
        <w:rPr>
          <w:spacing w:val="-4"/>
          <w:sz w:val="21"/>
        </w:rPr>
        <w:t>likely </w:t>
      </w:r>
      <w:r>
        <w:rPr>
          <w:spacing w:val="-3"/>
          <w:sz w:val="21"/>
        </w:rPr>
        <w:t>that </w:t>
      </w:r>
      <w:r>
        <w:rPr>
          <w:sz w:val="21"/>
        </w:rPr>
        <w:t>parties would be </w:t>
      </w:r>
      <w:r>
        <w:rPr>
          <w:spacing w:val="-2"/>
          <w:sz w:val="21"/>
        </w:rPr>
        <w:t>legally </w:t>
      </w:r>
      <w:r>
        <w:rPr>
          <w:spacing w:val="-3"/>
          <w:sz w:val="21"/>
        </w:rPr>
        <w:t>represented </w:t>
      </w:r>
      <w:r>
        <w:rPr>
          <w:sz w:val="21"/>
        </w:rPr>
        <w:t>at </w:t>
      </w:r>
      <w:r>
        <w:rPr>
          <w:spacing w:val="-8"/>
          <w:sz w:val="21"/>
        </w:rPr>
        <w:t>VCAT, </w:t>
      </w:r>
      <w:r>
        <w:rPr>
          <w:sz w:val="21"/>
        </w:rPr>
        <w:t>as they </w:t>
      </w:r>
      <w:r>
        <w:rPr>
          <w:spacing w:val="-3"/>
          <w:sz w:val="21"/>
        </w:rPr>
        <w:t>usually are </w:t>
      </w:r>
      <w:r>
        <w:rPr>
          <w:sz w:val="21"/>
        </w:rPr>
        <w:t>in court. When </w:t>
      </w:r>
      <w:r>
        <w:rPr>
          <w:spacing w:val="-3"/>
          <w:sz w:val="21"/>
        </w:rPr>
        <w:t>defending </w:t>
      </w:r>
      <w:r>
        <w:rPr>
          <w:sz w:val="21"/>
        </w:rPr>
        <w:t>a </w:t>
      </w:r>
      <w:r>
        <w:rPr>
          <w:spacing w:val="-3"/>
          <w:sz w:val="21"/>
        </w:rPr>
        <w:t>family provision claim, </w:t>
      </w:r>
      <w:r>
        <w:rPr>
          <w:sz w:val="21"/>
        </w:rPr>
        <w:t>a prudent </w:t>
      </w:r>
      <w:r>
        <w:rPr>
          <w:spacing w:val="-3"/>
          <w:sz w:val="21"/>
        </w:rPr>
        <w:t>executor </w:t>
      </w:r>
      <w:r>
        <w:rPr>
          <w:sz w:val="21"/>
        </w:rPr>
        <w:t>would most </w:t>
      </w:r>
      <w:r>
        <w:rPr>
          <w:spacing w:val="-4"/>
          <w:sz w:val="21"/>
        </w:rPr>
        <w:t>likely </w:t>
      </w:r>
      <w:r>
        <w:rPr>
          <w:sz w:val="21"/>
        </w:rPr>
        <w:t>engage legal </w:t>
      </w:r>
      <w:r>
        <w:rPr>
          <w:spacing w:val="-2"/>
          <w:sz w:val="21"/>
        </w:rPr>
        <w:t>representation</w:t>
      </w:r>
      <w:r>
        <w:rPr>
          <w:spacing w:val="19"/>
          <w:sz w:val="21"/>
        </w:rPr>
        <w:t> </w:t>
      </w:r>
      <w:r>
        <w:rPr>
          <w:spacing w:val="-3"/>
          <w:sz w:val="21"/>
        </w:rPr>
        <w:t>to</w:t>
      </w:r>
      <w:r>
        <w:rPr>
          <w:spacing w:val="19"/>
          <w:sz w:val="21"/>
        </w:rPr>
        <w:t> </w:t>
      </w:r>
      <w:r>
        <w:rPr>
          <w:spacing w:val="-3"/>
          <w:sz w:val="21"/>
        </w:rPr>
        <w:t>defend</w:t>
      </w:r>
      <w:r>
        <w:rPr>
          <w:spacing w:val="19"/>
          <w:sz w:val="21"/>
        </w:rPr>
        <w:t> </w:t>
      </w:r>
      <w:r>
        <w:rPr>
          <w:sz w:val="21"/>
        </w:rPr>
        <w:t>the</w:t>
      </w:r>
      <w:r>
        <w:rPr>
          <w:spacing w:val="19"/>
          <w:sz w:val="21"/>
        </w:rPr>
        <w:t> </w:t>
      </w:r>
      <w:r>
        <w:rPr>
          <w:spacing w:val="-3"/>
          <w:sz w:val="21"/>
        </w:rPr>
        <w:t>claim.</w:t>
      </w:r>
      <w:r>
        <w:rPr>
          <w:spacing w:val="19"/>
          <w:sz w:val="21"/>
        </w:rPr>
        <w:t> </w:t>
      </w:r>
      <w:r>
        <w:rPr>
          <w:sz w:val="21"/>
        </w:rPr>
        <w:t>Given</w:t>
      </w:r>
      <w:r>
        <w:rPr>
          <w:spacing w:val="19"/>
          <w:sz w:val="21"/>
        </w:rPr>
        <w:t> </w:t>
      </w:r>
      <w:r>
        <w:rPr>
          <w:spacing w:val="-3"/>
          <w:sz w:val="21"/>
        </w:rPr>
        <w:t>that</w:t>
      </w:r>
      <w:r>
        <w:rPr>
          <w:spacing w:val="19"/>
          <w:sz w:val="21"/>
        </w:rPr>
        <w:t> </w:t>
      </w:r>
      <w:r>
        <w:rPr>
          <w:sz w:val="21"/>
        </w:rPr>
        <w:t>legal</w:t>
      </w:r>
      <w:r>
        <w:rPr>
          <w:spacing w:val="19"/>
          <w:sz w:val="21"/>
        </w:rPr>
        <w:t> </w:t>
      </w:r>
      <w:r>
        <w:rPr>
          <w:sz w:val="21"/>
        </w:rPr>
        <w:t>fees</w:t>
      </w:r>
      <w:r>
        <w:rPr>
          <w:spacing w:val="19"/>
          <w:sz w:val="21"/>
        </w:rPr>
        <w:t> </w:t>
      </w:r>
      <w:r>
        <w:rPr>
          <w:spacing w:val="-3"/>
          <w:sz w:val="21"/>
        </w:rPr>
        <w:t>are</w:t>
      </w:r>
      <w:r>
        <w:rPr>
          <w:spacing w:val="19"/>
          <w:sz w:val="21"/>
        </w:rPr>
        <w:t> </w:t>
      </w:r>
      <w:r>
        <w:rPr>
          <w:sz w:val="21"/>
        </w:rPr>
        <w:t>the</w:t>
      </w:r>
      <w:r>
        <w:rPr>
          <w:spacing w:val="19"/>
          <w:sz w:val="21"/>
        </w:rPr>
        <w:t> </w:t>
      </w:r>
      <w:r>
        <w:rPr>
          <w:spacing w:val="-3"/>
          <w:sz w:val="21"/>
        </w:rPr>
        <w:t>main</w:t>
      </w:r>
      <w:r>
        <w:rPr>
          <w:spacing w:val="19"/>
          <w:sz w:val="21"/>
        </w:rPr>
        <w:t> </w:t>
      </w:r>
      <w:r>
        <w:rPr>
          <w:spacing w:val="-3"/>
          <w:sz w:val="21"/>
        </w:rPr>
        <w:t>contributor</w:t>
      </w:r>
      <w:r>
        <w:rPr>
          <w:spacing w:val="19"/>
          <w:sz w:val="21"/>
        </w:rPr>
        <w:t> </w:t>
      </w:r>
      <w:r>
        <w:rPr>
          <w:spacing w:val="-3"/>
          <w:sz w:val="21"/>
        </w:rPr>
        <w:t>to</w:t>
      </w:r>
    </w:p>
    <w:p>
      <w:pPr>
        <w:pStyle w:val="BodyText"/>
        <w:spacing w:line="242" w:lineRule="auto" w:before="4"/>
        <w:ind w:left="2380" w:right="1588"/>
        <w:jc w:val="both"/>
      </w:pPr>
      <w:r>
        <w:rPr/>
        <w:t>costs, </w:t>
      </w:r>
      <w:r>
        <w:rPr>
          <w:spacing w:val="-3"/>
        </w:rPr>
        <w:t>any </w:t>
      </w:r>
      <w:r>
        <w:rPr/>
        <w:t>costs saving at </w:t>
      </w:r>
      <w:r>
        <w:rPr>
          <w:spacing w:val="-5"/>
        </w:rPr>
        <w:t>VCAT  </w:t>
      </w:r>
      <w:r>
        <w:rPr/>
        <w:t>would be </w:t>
      </w:r>
      <w:r>
        <w:rPr>
          <w:spacing w:val="-3"/>
        </w:rPr>
        <w:t>minimal  </w:t>
      </w:r>
      <w:r>
        <w:rPr/>
        <w:t>if parties </w:t>
      </w:r>
      <w:r>
        <w:rPr>
          <w:spacing w:val="-3"/>
        </w:rPr>
        <w:t>were</w:t>
      </w:r>
      <w:r>
        <w:rPr>
          <w:spacing w:val="41"/>
        </w:rPr>
        <w:t> </w:t>
      </w:r>
      <w:r>
        <w:rPr>
          <w:spacing w:val="-2"/>
        </w:rPr>
        <w:t>legally  </w:t>
      </w:r>
      <w:r>
        <w:rPr>
          <w:spacing w:val="-3"/>
        </w:rPr>
        <w:t>represented.  Even  </w:t>
      </w:r>
      <w:r>
        <w:rPr/>
        <w:t>if </w:t>
      </w:r>
      <w:r>
        <w:rPr>
          <w:spacing w:val="-3"/>
        </w:rPr>
        <w:t>family provision claims were </w:t>
      </w:r>
      <w:r>
        <w:rPr/>
        <w:t>only </w:t>
      </w:r>
      <w:r>
        <w:rPr>
          <w:spacing w:val="-3"/>
        </w:rPr>
        <w:t>heard </w:t>
      </w:r>
      <w:r>
        <w:rPr/>
        <w:t>by </w:t>
      </w:r>
      <w:r>
        <w:rPr>
          <w:spacing w:val="-2"/>
        </w:rPr>
        <w:t>legally </w:t>
      </w:r>
      <w:r>
        <w:rPr/>
        <w:t>qualified members or senior members, there would be a need </w:t>
      </w:r>
      <w:r>
        <w:rPr>
          <w:spacing w:val="-3"/>
        </w:rPr>
        <w:t>for </w:t>
      </w:r>
      <w:r>
        <w:rPr/>
        <w:t>them </w:t>
      </w:r>
      <w:r>
        <w:rPr>
          <w:spacing w:val="-3"/>
        </w:rPr>
        <w:t>to </w:t>
      </w:r>
      <w:r>
        <w:rPr/>
        <w:t>be </w:t>
      </w:r>
      <w:r>
        <w:rPr>
          <w:spacing w:val="-3"/>
        </w:rPr>
        <w:t>trained </w:t>
      </w:r>
      <w:r>
        <w:rPr/>
        <w:t>and </w:t>
      </w:r>
      <w:r>
        <w:rPr>
          <w:spacing w:val="-3"/>
        </w:rPr>
        <w:t>gain </w:t>
      </w:r>
      <w:r>
        <w:rPr/>
        <w:t>expertise in the</w:t>
      </w:r>
      <w:r>
        <w:rPr>
          <w:spacing w:val="24"/>
        </w:rPr>
        <w:t> </w:t>
      </w:r>
      <w:r>
        <w:rPr/>
        <w:t>jurisdiction.</w:t>
      </w:r>
    </w:p>
    <w:p>
      <w:pPr>
        <w:pStyle w:val="ListParagraph"/>
        <w:numPr>
          <w:ilvl w:val="1"/>
          <w:numId w:val="22"/>
        </w:numPr>
        <w:tabs>
          <w:tab w:pos="2380" w:val="left" w:leader="none"/>
          <w:tab w:pos="2381" w:val="left" w:leader="none"/>
        </w:tabs>
        <w:spacing w:line="242" w:lineRule="auto" w:before="124" w:after="0"/>
        <w:ind w:left="2380" w:right="1654" w:hanging="793"/>
        <w:jc w:val="left"/>
        <w:rPr>
          <w:sz w:val="12"/>
        </w:rPr>
      </w:pPr>
      <w:r>
        <w:rPr>
          <w:spacing w:val="-4"/>
          <w:w w:val="105"/>
          <w:sz w:val="21"/>
        </w:rPr>
        <w:t>Family </w:t>
      </w:r>
      <w:r>
        <w:rPr>
          <w:spacing w:val="-3"/>
          <w:w w:val="105"/>
          <w:sz w:val="21"/>
        </w:rPr>
        <w:t>provision </w:t>
      </w:r>
      <w:r>
        <w:rPr>
          <w:w w:val="105"/>
          <w:sz w:val="21"/>
        </w:rPr>
        <w:t>is a complex </w:t>
      </w:r>
      <w:r>
        <w:rPr>
          <w:spacing w:val="-3"/>
          <w:w w:val="105"/>
          <w:sz w:val="21"/>
        </w:rPr>
        <w:t>area </w:t>
      </w:r>
      <w:r>
        <w:rPr>
          <w:w w:val="105"/>
          <w:sz w:val="21"/>
        </w:rPr>
        <w:t>of the law </w:t>
      </w:r>
      <w:r>
        <w:rPr>
          <w:spacing w:val="-3"/>
          <w:w w:val="105"/>
          <w:sz w:val="21"/>
        </w:rPr>
        <w:t>and, </w:t>
      </w:r>
      <w:r>
        <w:rPr>
          <w:w w:val="105"/>
          <w:sz w:val="21"/>
        </w:rPr>
        <w:t>notwithstanding </w:t>
      </w:r>
      <w:r>
        <w:rPr>
          <w:spacing w:val="-3"/>
          <w:w w:val="105"/>
          <w:sz w:val="21"/>
        </w:rPr>
        <w:t>that </w:t>
      </w:r>
      <w:r>
        <w:rPr>
          <w:spacing w:val="-5"/>
          <w:w w:val="105"/>
          <w:sz w:val="21"/>
        </w:rPr>
        <w:t>VCAT </w:t>
      </w:r>
      <w:r>
        <w:rPr>
          <w:spacing w:val="-3"/>
          <w:w w:val="105"/>
          <w:sz w:val="21"/>
        </w:rPr>
        <w:t>could </w:t>
      </w:r>
      <w:r>
        <w:rPr>
          <w:w w:val="105"/>
          <w:sz w:val="21"/>
        </w:rPr>
        <w:t>develop the expertise, systems and practices necessary </w:t>
      </w:r>
      <w:r>
        <w:rPr>
          <w:spacing w:val="-3"/>
          <w:w w:val="105"/>
          <w:sz w:val="21"/>
        </w:rPr>
        <w:t>for </w:t>
      </w:r>
      <w:r>
        <w:rPr>
          <w:w w:val="105"/>
          <w:sz w:val="21"/>
        </w:rPr>
        <w:t>it </w:t>
      </w:r>
      <w:r>
        <w:rPr>
          <w:spacing w:val="-3"/>
          <w:w w:val="105"/>
          <w:sz w:val="21"/>
        </w:rPr>
        <w:t>to exercise </w:t>
      </w:r>
      <w:r>
        <w:rPr>
          <w:w w:val="105"/>
          <w:sz w:val="21"/>
        </w:rPr>
        <w:t>the </w:t>
      </w:r>
      <w:r>
        <w:rPr>
          <w:spacing w:val="-3"/>
          <w:w w:val="105"/>
          <w:sz w:val="21"/>
        </w:rPr>
        <w:t>jurisdiction, </w:t>
      </w:r>
      <w:r>
        <w:rPr>
          <w:w w:val="105"/>
          <w:sz w:val="21"/>
        </w:rPr>
        <w:t>this</w:t>
      </w:r>
      <w:r>
        <w:rPr>
          <w:spacing w:val="-11"/>
          <w:w w:val="105"/>
          <w:sz w:val="21"/>
        </w:rPr>
        <w:t> </w:t>
      </w:r>
      <w:r>
        <w:rPr>
          <w:w w:val="105"/>
          <w:sz w:val="21"/>
        </w:rPr>
        <w:t>is</w:t>
      </w:r>
      <w:r>
        <w:rPr>
          <w:spacing w:val="-11"/>
          <w:w w:val="105"/>
          <w:sz w:val="21"/>
        </w:rPr>
        <w:t> </w:t>
      </w:r>
      <w:r>
        <w:rPr>
          <w:w w:val="105"/>
          <w:sz w:val="21"/>
        </w:rPr>
        <w:t>a</w:t>
      </w:r>
      <w:r>
        <w:rPr>
          <w:spacing w:val="-10"/>
          <w:w w:val="105"/>
          <w:sz w:val="21"/>
        </w:rPr>
        <w:t> </w:t>
      </w:r>
      <w:r>
        <w:rPr>
          <w:spacing w:val="-3"/>
          <w:w w:val="105"/>
          <w:sz w:val="21"/>
        </w:rPr>
        <w:t>separate</w:t>
      </w:r>
      <w:r>
        <w:rPr>
          <w:spacing w:val="-11"/>
          <w:w w:val="105"/>
          <w:sz w:val="21"/>
        </w:rPr>
        <w:t> </w:t>
      </w:r>
      <w:r>
        <w:rPr>
          <w:w w:val="105"/>
          <w:sz w:val="21"/>
        </w:rPr>
        <w:t>matter</w:t>
      </w:r>
      <w:r>
        <w:rPr>
          <w:spacing w:val="-10"/>
          <w:w w:val="105"/>
          <w:sz w:val="21"/>
        </w:rPr>
        <w:t> </w:t>
      </w:r>
      <w:r>
        <w:rPr>
          <w:spacing w:val="-3"/>
          <w:w w:val="105"/>
          <w:sz w:val="21"/>
        </w:rPr>
        <w:t>from</w:t>
      </w:r>
      <w:r>
        <w:rPr>
          <w:spacing w:val="-11"/>
          <w:w w:val="105"/>
          <w:sz w:val="21"/>
        </w:rPr>
        <w:t> </w:t>
      </w:r>
      <w:r>
        <w:rPr>
          <w:w w:val="105"/>
          <w:sz w:val="21"/>
        </w:rPr>
        <w:t>the</w:t>
      </w:r>
      <w:r>
        <w:rPr>
          <w:spacing w:val="-11"/>
          <w:w w:val="105"/>
          <w:sz w:val="21"/>
        </w:rPr>
        <w:t> </w:t>
      </w:r>
      <w:r>
        <w:rPr>
          <w:w w:val="105"/>
          <w:sz w:val="21"/>
        </w:rPr>
        <w:t>existence</w:t>
      </w:r>
      <w:r>
        <w:rPr>
          <w:spacing w:val="-10"/>
          <w:w w:val="105"/>
          <w:sz w:val="21"/>
        </w:rPr>
        <w:t> </w:t>
      </w:r>
      <w:r>
        <w:rPr>
          <w:w w:val="105"/>
          <w:sz w:val="21"/>
        </w:rPr>
        <w:t>of</w:t>
      </w:r>
      <w:r>
        <w:rPr>
          <w:spacing w:val="-11"/>
          <w:w w:val="105"/>
          <w:sz w:val="21"/>
        </w:rPr>
        <w:t> </w:t>
      </w:r>
      <w:r>
        <w:rPr>
          <w:spacing w:val="-3"/>
          <w:w w:val="105"/>
          <w:sz w:val="21"/>
        </w:rPr>
        <w:t>any</w:t>
      </w:r>
      <w:r>
        <w:rPr>
          <w:spacing w:val="-10"/>
          <w:w w:val="105"/>
          <w:sz w:val="21"/>
        </w:rPr>
        <w:t> </w:t>
      </w:r>
      <w:r>
        <w:rPr>
          <w:w w:val="105"/>
          <w:sz w:val="21"/>
        </w:rPr>
        <w:t>need</w:t>
      </w:r>
      <w:r>
        <w:rPr>
          <w:spacing w:val="-11"/>
          <w:w w:val="105"/>
          <w:sz w:val="21"/>
        </w:rPr>
        <w:t> </w:t>
      </w:r>
      <w:r>
        <w:rPr>
          <w:spacing w:val="-3"/>
          <w:w w:val="105"/>
          <w:sz w:val="21"/>
        </w:rPr>
        <w:t>to</w:t>
      </w:r>
      <w:r>
        <w:rPr>
          <w:spacing w:val="-10"/>
          <w:w w:val="105"/>
          <w:sz w:val="21"/>
        </w:rPr>
        <w:t> </w:t>
      </w:r>
      <w:r>
        <w:rPr>
          <w:w w:val="105"/>
          <w:sz w:val="21"/>
        </w:rPr>
        <w:t>extend</w:t>
      </w:r>
      <w:r>
        <w:rPr>
          <w:spacing w:val="-11"/>
          <w:w w:val="105"/>
          <w:sz w:val="21"/>
        </w:rPr>
        <w:t> </w:t>
      </w:r>
      <w:r>
        <w:rPr>
          <w:w w:val="105"/>
          <w:sz w:val="21"/>
        </w:rPr>
        <w:t>the</w:t>
      </w:r>
      <w:r>
        <w:rPr>
          <w:spacing w:val="-11"/>
          <w:w w:val="105"/>
          <w:sz w:val="21"/>
        </w:rPr>
        <w:t> </w:t>
      </w:r>
      <w:r>
        <w:rPr>
          <w:w w:val="105"/>
          <w:sz w:val="21"/>
        </w:rPr>
        <w:t>jurisdiction</w:t>
      </w:r>
      <w:r>
        <w:rPr>
          <w:spacing w:val="-10"/>
          <w:w w:val="105"/>
          <w:sz w:val="21"/>
        </w:rPr>
        <w:t> </w:t>
      </w:r>
      <w:r>
        <w:rPr>
          <w:w w:val="105"/>
          <w:sz w:val="21"/>
        </w:rPr>
        <w:t>beyond the </w:t>
      </w:r>
      <w:r>
        <w:rPr>
          <w:spacing w:val="-3"/>
          <w:w w:val="105"/>
          <w:sz w:val="21"/>
        </w:rPr>
        <w:t>Supreme </w:t>
      </w:r>
      <w:r>
        <w:rPr>
          <w:w w:val="105"/>
          <w:sz w:val="21"/>
        </w:rPr>
        <w:t>and </w:t>
      </w:r>
      <w:r>
        <w:rPr>
          <w:spacing w:val="-3"/>
          <w:w w:val="105"/>
          <w:sz w:val="21"/>
        </w:rPr>
        <w:t>County </w:t>
      </w:r>
      <w:r>
        <w:rPr>
          <w:w w:val="105"/>
          <w:sz w:val="21"/>
        </w:rPr>
        <w:t>Courts. The </w:t>
      </w:r>
      <w:r>
        <w:rPr>
          <w:spacing w:val="-3"/>
          <w:w w:val="105"/>
          <w:sz w:val="21"/>
        </w:rPr>
        <w:t>Commission </w:t>
      </w:r>
      <w:r>
        <w:rPr>
          <w:w w:val="105"/>
          <w:sz w:val="21"/>
        </w:rPr>
        <w:t>is </w:t>
      </w:r>
      <w:r>
        <w:rPr>
          <w:spacing w:val="-2"/>
          <w:w w:val="105"/>
          <w:sz w:val="21"/>
        </w:rPr>
        <w:t>not </w:t>
      </w:r>
      <w:r>
        <w:rPr>
          <w:w w:val="105"/>
          <w:sz w:val="21"/>
        </w:rPr>
        <w:t>persuaded </w:t>
      </w:r>
      <w:r>
        <w:rPr>
          <w:spacing w:val="-3"/>
          <w:w w:val="105"/>
          <w:sz w:val="21"/>
        </w:rPr>
        <w:t>that any such </w:t>
      </w:r>
      <w:r>
        <w:rPr>
          <w:w w:val="105"/>
          <w:sz w:val="21"/>
        </w:rPr>
        <w:t>need exists.</w:t>
      </w:r>
      <w:r>
        <w:rPr>
          <w:spacing w:val="-12"/>
          <w:w w:val="105"/>
          <w:sz w:val="21"/>
        </w:rPr>
        <w:t> </w:t>
      </w:r>
      <w:r>
        <w:rPr>
          <w:spacing w:val="-4"/>
          <w:w w:val="105"/>
          <w:sz w:val="21"/>
        </w:rPr>
        <w:t>Family</w:t>
      </w:r>
      <w:r>
        <w:rPr>
          <w:spacing w:val="-11"/>
          <w:w w:val="105"/>
          <w:sz w:val="21"/>
        </w:rPr>
        <w:t> </w:t>
      </w:r>
      <w:r>
        <w:rPr>
          <w:spacing w:val="-3"/>
          <w:w w:val="105"/>
          <w:sz w:val="21"/>
        </w:rPr>
        <w:t>provision</w:t>
      </w:r>
      <w:r>
        <w:rPr>
          <w:spacing w:val="-11"/>
          <w:w w:val="105"/>
          <w:sz w:val="21"/>
        </w:rPr>
        <w:t> </w:t>
      </w:r>
      <w:r>
        <w:rPr>
          <w:spacing w:val="-3"/>
          <w:w w:val="105"/>
          <w:sz w:val="21"/>
        </w:rPr>
        <w:t>applications</w:t>
      </w:r>
      <w:r>
        <w:rPr>
          <w:spacing w:val="-11"/>
          <w:w w:val="105"/>
          <w:sz w:val="21"/>
        </w:rPr>
        <w:t> </w:t>
      </w:r>
      <w:r>
        <w:rPr>
          <w:w w:val="105"/>
          <w:sz w:val="21"/>
        </w:rPr>
        <w:t>would</w:t>
      </w:r>
      <w:r>
        <w:rPr>
          <w:spacing w:val="-11"/>
          <w:w w:val="105"/>
          <w:sz w:val="21"/>
        </w:rPr>
        <w:t> </w:t>
      </w:r>
      <w:r>
        <w:rPr>
          <w:spacing w:val="-2"/>
          <w:w w:val="105"/>
          <w:sz w:val="21"/>
        </w:rPr>
        <w:t>not</w:t>
      </w:r>
      <w:r>
        <w:rPr>
          <w:spacing w:val="-11"/>
          <w:w w:val="105"/>
          <w:sz w:val="21"/>
        </w:rPr>
        <w:t> </w:t>
      </w:r>
      <w:r>
        <w:rPr>
          <w:w w:val="105"/>
          <w:sz w:val="21"/>
        </w:rPr>
        <w:t>necessarily</w:t>
      </w:r>
      <w:r>
        <w:rPr>
          <w:spacing w:val="-11"/>
          <w:w w:val="105"/>
          <w:sz w:val="21"/>
        </w:rPr>
        <w:t> </w:t>
      </w:r>
      <w:r>
        <w:rPr>
          <w:w w:val="105"/>
          <w:sz w:val="21"/>
        </w:rPr>
        <w:t>be</w:t>
      </w:r>
      <w:r>
        <w:rPr>
          <w:spacing w:val="-11"/>
          <w:w w:val="105"/>
          <w:sz w:val="21"/>
        </w:rPr>
        <w:t> </w:t>
      </w:r>
      <w:r>
        <w:rPr>
          <w:w w:val="105"/>
          <w:sz w:val="21"/>
        </w:rPr>
        <w:t>disposed</w:t>
      </w:r>
      <w:r>
        <w:rPr>
          <w:spacing w:val="-11"/>
          <w:w w:val="105"/>
          <w:sz w:val="21"/>
        </w:rPr>
        <w:t> </w:t>
      </w:r>
      <w:r>
        <w:rPr>
          <w:w w:val="105"/>
          <w:sz w:val="21"/>
        </w:rPr>
        <w:t>of</w:t>
      </w:r>
      <w:r>
        <w:rPr>
          <w:spacing w:val="-11"/>
          <w:w w:val="105"/>
          <w:sz w:val="21"/>
        </w:rPr>
        <w:t> </w:t>
      </w:r>
      <w:r>
        <w:rPr>
          <w:w w:val="105"/>
          <w:sz w:val="21"/>
        </w:rPr>
        <w:t>more</w:t>
      </w:r>
      <w:r>
        <w:rPr>
          <w:spacing w:val="-11"/>
          <w:w w:val="105"/>
          <w:sz w:val="21"/>
        </w:rPr>
        <w:t> </w:t>
      </w:r>
      <w:r>
        <w:rPr>
          <w:w w:val="105"/>
          <w:sz w:val="21"/>
        </w:rPr>
        <w:t>cheaply</w:t>
      </w:r>
      <w:r>
        <w:rPr>
          <w:spacing w:val="-11"/>
          <w:w w:val="105"/>
          <w:sz w:val="21"/>
        </w:rPr>
        <w:t> </w:t>
      </w:r>
      <w:r>
        <w:rPr>
          <w:w w:val="105"/>
          <w:sz w:val="21"/>
        </w:rPr>
        <w:t>at </w:t>
      </w:r>
      <w:r>
        <w:rPr>
          <w:spacing w:val="-5"/>
          <w:w w:val="105"/>
          <w:sz w:val="21"/>
        </w:rPr>
        <w:t>VCAT </w:t>
      </w:r>
      <w:r>
        <w:rPr>
          <w:w w:val="105"/>
          <w:sz w:val="21"/>
        </w:rPr>
        <w:t>as legal </w:t>
      </w:r>
      <w:r>
        <w:rPr>
          <w:spacing w:val="-2"/>
          <w:w w:val="105"/>
          <w:sz w:val="21"/>
        </w:rPr>
        <w:t>representation </w:t>
      </w:r>
      <w:r>
        <w:rPr>
          <w:w w:val="105"/>
          <w:sz w:val="21"/>
        </w:rPr>
        <w:t>is a practical necessity in </w:t>
      </w:r>
      <w:r>
        <w:rPr>
          <w:spacing w:val="-3"/>
          <w:w w:val="105"/>
          <w:sz w:val="21"/>
        </w:rPr>
        <w:t>family provision applications. </w:t>
      </w:r>
      <w:r>
        <w:rPr>
          <w:w w:val="105"/>
          <w:sz w:val="21"/>
        </w:rPr>
        <w:t>The </w:t>
      </w:r>
      <w:r>
        <w:rPr>
          <w:spacing w:val="-3"/>
          <w:w w:val="105"/>
          <w:sz w:val="21"/>
        </w:rPr>
        <w:t>Commission </w:t>
      </w:r>
      <w:r>
        <w:rPr>
          <w:w w:val="105"/>
          <w:sz w:val="21"/>
        </w:rPr>
        <w:t>is of the view </w:t>
      </w:r>
      <w:r>
        <w:rPr>
          <w:spacing w:val="-3"/>
          <w:w w:val="105"/>
          <w:sz w:val="21"/>
        </w:rPr>
        <w:t>that </w:t>
      </w:r>
      <w:r>
        <w:rPr>
          <w:w w:val="105"/>
          <w:sz w:val="21"/>
        </w:rPr>
        <w:t>efforts need </w:t>
      </w:r>
      <w:r>
        <w:rPr>
          <w:spacing w:val="-3"/>
          <w:w w:val="105"/>
          <w:sz w:val="21"/>
        </w:rPr>
        <w:t>to </w:t>
      </w:r>
      <w:r>
        <w:rPr>
          <w:w w:val="105"/>
          <w:sz w:val="21"/>
        </w:rPr>
        <w:t>be directed </w:t>
      </w:r>
      <w:r>
        <w:rPr>
          <w:spacing w:val="-3"/>
          <w:w w:val="105"/>
          <w:sz w:val="21"/>
        </w:rPr>
        <w:t>towards improving procedures </w:t>
      </w:r>
      <w:r>
        <w:rPr>
          <w:w w:val="105"/>
          <w:sz w:val="21"/>
        </w:rPr>
        <w:t>in the </w:t>
      </w:r>
      <w:r>
        <w:rPr>
          <w:spacing w:val="-3"/>
          <w:w w:val="105"/>
          <w:sz w:val="21"/>
        </w:rPr>
        <w:t>Supreme </w:t>
      </w:r>
      <w:r>
        <w:rPr>
          <w:w w:val="105"/>
          <w:sz w:val="21"/>
        </w:rPr>
        <w:t>and </w:t>
      </w:r>
      <w:r>
        <w:rPr>
          <w:spacing w:val="-3"/>
          <w:w w:val="105"/>
          <w:sz w:val="21"/>
        </w:rPr>
        <w:t>County </w:t>
      </w:r>
      <w:r>
        <w:rPr>
          <w:w w:val="105"/>
          <w:sz w:val="21"/>
        </w:rPr>
        <w:t>Courts </w:t>
      </w:r>
      <w:r>
        <w:rPr>
          <w:spacing w:val="-3"/>
          <w:w w:val="105"/>
          <w:sz w:val="21"/>
        </w:rPr>
        <w:t>rather than </w:t>
      </w:r>
      <w:r>
        <w:rPr>
          <w:w w:val="105"/>
          <w:sz w:val="21"/>
        </w:rPr>
        <w:t>on extending the jurisdiction </w:t>
      </w:r>
      <w:r>
        <w:rPr>
          <w:spacing w:val="-3"/>
          <w:w w:val="105"/>
          <w:sz w:val="21"/>
        </w:rPr>
        <w:t>to </w:t>
      </w:r>
      <w:r>
        <w:rPr>
          <w:spacing w:val="-5"/>
          <w:w w:val="105"/>
          <w:sz w:val="21"/>
        </w:rPr>
        <w:t>VCAT </w:t>
      </w:r>
      <w:r>
        <w:rPr>
          <w:w w:val="105"/>
          <w:sz w:val="21"/>
        </w:rPr>
        <w:t>or the </w:t>
      </w:r>
      <w:r>
        <w:rPr>
          <w:spacing w:val="-3"/>
          <w:w w:val="105"/>
          <w:sz w:val="21"/>
        </w:rPr>
        <w:t>Magistrates’</w:t>
      </w:r>
      <w:r>
        <w:rPr>
          <w:spacing w:val="10"/>
          <w:w w:val="105"/>
          <w:sz w:val="21"/>
        </w:rPr>
        <w:t> </w:t>
      </w:r>
      <w:r>
        <w:rPr>
          <w:w w:val="105"/>
          <w:sz w:val="21"/>
        </w:rPr>
        <w:t>Court.</w:t>
      </w:r>
      <w:r>
        <w:rPr>
          <w:w w:val="105"/>
          <w:position w:val="7"/>
          <w:sz w:val="12"/>
        </w:rPr>
        <w:t>67</w:t>
      </w:r>
    </w:p>
    <w:p>
      <w:pPr>
        <w:pStyle w:val="ListParagraph"/>
        <w:numPr>
          <w:ilvl w:val="1"/>
          <w:numId w:val="22"/>
        </w:numPr>
        <w:tabs>
          <w:tab w:pos="2381" w:val="left" w:leader="none"/>
          <w:tab w:pos="2382" w:val="left" w:leader="none"/>
        </w:tabs>
        <w:spacing w:line="242" w:lineRule="auto" w:before="130" w:after="0"/>
        <w:ind w:left="2381" w:right="2445" w:hanging="794"/>
        <w:jc w:val="left"/>
        <w:rPr>
          <w:sz w:val="21"/>
        </w:rPr>
      </w:pPr>
      <w:r>
        <w:rPr>
          <w:w w:val="105"/>
          <w:sz w:val="21"/>
        </w:rPr>
        <w:t>For these </w:t>
      </w:r>
      <w:r>
        <w:rPr>
          <w:spacing w:val="-3"/>
          <w:w w:val="105"/>
          <w:sz w:val="21"/>
        </w:rPr>
        <w:t>reasons, </w:t>
      </w:r>
      <w:r>
        <w:rPr>
          <w:w w:val="105"/>
          <w:sz w:val="21"/>
        </w:rPr>
        <w:t>the </w:t>
      </w:r>
      <w:r>
        <w:rPr>
          <w:spacing w:val="-3"/>
          <w:w w:val="105"/>
          <w:sz w:val="21"/>
        </w:rPr>
        <w:t>Commission </w:t>
      </w:r>
      <w:r>
        <w:rPr>
          <w:w w:val="105"/>
          <w:sz w:val="21"/>
        </w:rPr>
        <w:t>does </w:t>
      </w:r>
      <w:r>
        <w:rPr>
          <w:spacing w:val="-2"/>
          <w:w w:val="105"/>
          <w:sz w:val="21"/>
        </w:rPr>
        <w:t>not </w:t>
      </w:r>
      <w:r>
        <w:rPr>
          <w:spacing w:val="-3"/>
          <w:w w:val="105"/>
          <w:sz w:val="21"/>
        </w:rPr>
        <w:t>recommend that </w:t>
      </w:r>
      <w:r>
        <w:rPr>
          <w:spacing w:val="-5"/>
          <w:w w:val="105"/>
          <w:sz w:val="21"/>
        </w:rPr>
        <w:t>VCAT </w:t>
      </w:r>
      <w:r>
        <w:rPr>
          <w:w w:val="105"/>
          <w:sz w:val="21"/>
        </w:rPr>
        <w:t>should </w:t>
      </w:r>
      <w:r>
        <w:rPr>
          <w:spacing w:val="-3"/>
          <w:w w:val="105"/>
          <w:sz w:val="21"/>
        </w:rPr>
        <w:t>have </w:t>
      </w:r>
      <w:r>
        <w:rPr>
          <w:w w:val="105"/>
          <w:sz w:val="21"/>
        </w:rPr>
        <w:t>jurisdiction in </w:t>
      </w:r>
      <w:r>
        <w:rPr>
          <w:spacing w:val="-3"/>
          <w:w w:val="105"/>
          <w:sz w:val="21"/>
        </w:rPr>
        <w:t>family</w:t>
      </w:r>
      <w:r>
        <w:rPr>
          <w:spacing w:val="13"/>
          <w:w w:val="105"/>
          <w:sz w:val="21"/>
        </w:rPr>
        <w:t> </w:t>
      </w:r>
      <w:r>
        <w:rPr>
          <w:spacing w:val="-3"/>
          <w:w w:val="105"/>
          <w:sz w:val="21"/>
        </w:rPr>
        <w:t>provision.</w:t>
      </w:r>
    </w:p>
    <w:p>
      <w:pPr>
        <w:pStyle w:val="BodyText"/>
        <w:spacing w:before="10"/>
        <w:rPr>
          <w:sz w:val="24"/>
        </w:rPr>
      </w:pPr>
    </w:p>
    <w:p>
      <w:pPr>
        <w:pStyle w:val="Heading5"/>
      </w:pPr>
      <w:bookmarkStart w:name="_TOC_250018" w:id="107"/>
      <w:bookmarkEnd w:id="107"/>
      <w:r>
        <w:rPr>
          <w:w w:val="115"/>
        </w:rPr>
        <w:t>County Court of Victoria</w:t>
      </w:r>
    </w:p>
    <w:p>
      <w:pPr>
        <w:pStyle w:val="ListParagraph"/>
        <w:numPr>
          <w:ilvl w:val="1"/>
          <w:numId w:val="22"/>
        </w:numPr>
        <w:tabs>
          <w:tab w:pos="2380" w:val="left" w:leader="none"/>
          <w:tab w:pos="2381" w:val="left" w:leader="none"/>
        </w:tabs>
        <w:spacing w:line="242" w:lineRule="auto" w:before="138" w:after="0"/>
        <w:ind w:left="2381" w:right="1833" w:hanging="794"/>
        <w:jc w:val="left"/>
        <w:rPr>
          <w:sz w:val="12"/>
        </w:rPr>
      </w:pPr>
      <w:r>
        <w:rPr>
          <w:w w:val="105"/>
          <w:sz w:val="21"/>
        </w:rPr>
        <w:t>In </w:t>
      </w:r>
      <w:r>
        <w:rPr>
          <w:spacing w:val="-11"/>
          <w:w w:val="105"/>
          <w:sz w:val="21"/>
        </w:rPr>
        <w:t>2011–12, </w:t>
      </w:r>
      <w:r>
        <w:rPr>
          <w:w w:val="105"/>
          <w:sz w:val="21"/>
        </w:rPr>
        <w:t>489 </w:t>
      </w:r>
      <w:r>
        <w:rPr>
          <w:spacing w:val="-3"/>
          <w:w w:val="105"/>
          <w:sz w:val="21"/>
        </w:rPr>
        <w:t>family provision proceedings were initiated </w:t>
      </w:r>
      <w:r>
        <w:rPr>
          <w:w w:val="105"/>
          <w:sz w:val="21"/>
        </w:rPr>
        <w:t>in the </w:t>
      </w:r>
      <w:r>
        <w:rPr>
          <w:spacing w:val="-3"/>
          <w:w w:val="105"/>
          <w:sz w:val="21"/>
        </w:rPr>
        <w:t>Supreme </w:t>
      </w:r>
      <w:r>
        <w:rPr>
          <w:w w:val="105"/>
          <w:sz w:val="21"/>
        </w:rPr>
        <w:t>Court.</w:t>
      </w:r>
      <w:r>
        <w:rPr>
          <w:w w:val="105"/>
          <w:position w:val="7"/>
          <w:sz w:val="12"/>
        </w:rPr>
        <w:t>68 </w:t>
      </w:r>
      <w:r>
        <w:rPr>
          <w:w w:val="105"/>
          <w:sz w:val="21"/>
        </w:rPr>
        <w:t>In the same period, </w:t>
      </w:r>
      <w:r>
        <w:rPr>
          <w:spacing w:val="-4"/>
          <w:w w:val="105"/>
          <w:sz w:val="21"/>
        </w:rPr>
        <w:t>168 </w:t>
      </w:r>
      <w:r>
        <w:rPr>
          <w:spacing w:val="-3"/>
          <w:w w:val="105"/>
          <w:sz w:val="21"/>
        </w:rPr>
        <w:t>family provision proceedings were initiated </w:t>
      </w:r>
      <w:r>
        <w:rPr>
          <w:w w:val="105"/>
          <w:sz w:val="21"/>
        </w:rPr>
        <w:t>in the </w:t>
      </w:r>
      <w:r>
        <w:rPr>
          <w:spacing w:val="-3"/>
          <w:w w:val="105"/>
          <w:sz w:val="21"/>
        </w:rPr>
        <w:t>County</w:t>
      </w:r>
      <w:r>
        <w:rPr>
          <w:spacing w:val="30"/>
          <w:w w:val="105"/>
          <w:sz w:val="21"/>
        </w:rPr>
        <w:t> </w:t>
      </w:r>
      <w:r>
        <w:rPr>
          <w:spacing w:val="-3"/>
          <w:w w:val="105"/>
          <w:sz w:val="21"/>
        </w:rPr>
        <w:t>Court.</w:t>
      </w:r>
      <w:r>
        <w:rPr>
          <w:spacing w:val="-3"/>
          <w:w w:val="105"/>
          <w:position w:val="7"/>
          <w:sz w:val="12"/>
        </w:rPr>
        <w:t>69</w:t>
      </w:r>
    </w:p>
    <w:p>
      <w:pPr>
        <w:pStyle w:val="ListParagraph"/>
        <w:numPr>
          <w:ilvl w:val="1"/>
          <w:numId w:val="22"/>
        </w:numPr>
        <w:tabs>
          <w:tab w:pos="2380" w:val="left" w:leader="none"/>
          <w:tab w:pos="2381" w:val="left" w:leader="none"/>
        </w:tabs>
        <w:spacing w:line="242" w:lineRule="auto" w:before="122" w:after="0"/>
        <w:ind w:left="2381" w:right="1634" w:hanging="794"/>
        <w:jc w:val="left"/>
        <w:rPr>
          <w:sz w:val="12"/>
        </w:rPr>
      </w:pPr>
      <w:r>
        <w:rPr>
          <w:sz w:val="21"/>
        </w:rPr>
        <w:t>The </w:t>
      </w:r>
      <w:r>
        <w:rPr>
          <w:spacing w:val="-3"/>
          <w:sz w:val="21"/>
        </w:rPr>
        <w:t>County Court </w:t>
      </w:r>
      <w:r>
        <w:rPr>
          <w:spacing w:val="-2"/>
          <w:sz w:val="21"/>
        </w:rPr>
        <w:t>has  </w:t>
      </w:r>
      <w:r>
        <w:rPr>
          <w:sz w:val="21"/>
        </w:rPr>
        <w:t>said </w:t>
      </w:r>
      <w:r>
        <w:rPr>
          <w:spacing w:val="-3"/>
          <w:sz w:val="21"/>
        </w:rPr>
        <w:t>that  </w:t>
      </w:r>
      <w:r>
        <w:rPr>
          <w:sz w:val="21"/>
        </w:rPr>
        <w:t>it </w:t>
      </w:r>
      <w:r>
        <w:rPr>
          <w:spacing w:val="-2"/>
          <w:sz w:val="21"/>
        </w:rPr>
        <w:t>has  </w:t>
      </w:r>
      <w:r>
        <w:rPr>
          <w:sz w:val="21"/>
        </w:rPr>
        <w:t>the capacity </w:t>
      </w:r>
      <w:r>
        <w:rPr>
          <w:spacing w:val="-3"/>
          <w:sz w:val="21"/>
        </w:rPr>
        <w:t>to  </w:t>
      </w:r>
      <w:r>
        <w:rPr>
          <w:sz w:val="21"/>
        </w:rPr>
        <w:t>hear a </w:t>
      </w:r>
      <w:r>
        <w:rPr>
          <w:spacing w:val="-3"/>
          <w:sz w:val="21"/>
        </w:rPr>
        <w:t>greater  </w:t>
      </w:r>
      <w:r>
        <w:rPr>
          <w:sz w:val="21"/>
        </w:rPr>
        <w:t>number of cases </w:t>
      </w:r>
      <w:r>
        <w:rPr>
          <w:spacing w:val="-3"/>
          <w:sz w:val="21"/>
        </w:rPr>
        <w:t>than  </w:t>
      </w:r>
      <w:r>
        <w:rPr>
          <w:sz w:val="21"/>
        </w:rPr>
        <w:t>it is </w:t>
      </w:r>
      <w:r>
        <w:rPr>
          <w:spacing w:val="-3"/>
          <w:sz w:val="21"/>
        </w:rPr>
        <w:t>currently  hearing  </w:t>
      </w:r>
      <w:r>
        <w:rPr>
          <w:sz w:val="21"/>
        </w:rPr>
        <w:t>and </w:t>
      </w:r>
      <w:r>
        <w:rPr>
          <w:spacing w:val="-3"/>
          <w:sz w:val="21"/>
        </w:rPr>
        <w:t>that</w:t>
      </w:r>
      <w:r>
        <w:rPr>
          <w:spacing w:val="41"/>
          <w:sz w:val="21"/>
        </w:rPr>
        <w:t> </w:t>
      </w:r>
      <w:r>
        <w:rPr>
          <w:sz w:val="21"/>
        </w:rPr>
        <w:t>it is able </w:t>
      </w:r>
      <w:r>
        <w:rPr>
          <w:spacing w:val="-3"/>
          <w:sz w:val="21"/>
        </w:rPr>
        <w:t>to  </w:t>
      </w:r>
      <w:r>
        <w:rPr>
          <w:sz w:val="21"/>
        </w:rPr>
        <w:t>provide expeditious </w:t>
      </w:r>
      <w:r>
        <w:rPr>
          <w:spacing w:val="-3"/>
          <w:sz w:val="21"/>
        </w:rPr>
        <w:t>service.</w:t>
      </w:r>
      <w:r>
        <w:rPr>
          <w:spacing w:val="-3"/>
          <w:position w:val="7"/>
          <w:sz w:val="12"/>
        </w:rPr>
        <w:t>70   </w:t>
      </w:r>
      <w:r>
        <w:rPr>
          <w:sz w:val="21"/>
        </w:rPr>
        <w:t>It proposed </w:t>
      </w:r>
      <w:r>
        <w:rPr>
          <w:spacing w:val="-3"/>
          <w:sz w:val="21"/>
        </w:rPr>
        <w:t>that    </w:t>
      </w:r>
      <w:r>
        <w:rPr>
          <w:sz w:val="21"/>
        </w:rPr>
        <w:t>it should </w:t>
      </w:r>
      <w:r>
        <w:rPr>
          <w:spacing w:val="-3"/>
          <w:sz w:val="21"/>
        </w:rPr>
        <w:t>have exclusive </w:t>
      </w:r>
      <w:r>
        <w:rPr>
          <w:sz w:val="21"/>
        </w:rPr>
        <w:t>jurisdiction </w:t>
      </w:r>
      <w:r>
        <w:rPr>
          <w:spacing w:val="-3"/>
          <w:sz w:val="21"/>
        </w:rPr>
        <w:t>to </w:t>
      </w:r>
      <w:r>
        <w:rPr>
          <w:sz w:val="21"/>
        </w:rPr>
        <w:t>hear </w:t>
      </w:r>
      <w:r>
        <w:rPr>
          <w:spacing w:val="-3"/>
          <w:sz w:val="21"/>
        </w:rPr>
        <w:t>family  provision  claims  involving  </w:t>
      </w:r>
      <w:r>
        <w:rPr>
          <w:sz w:val="21"/>
        </w:rPr>
        <w:t>gross estates up </w:t>
      </w:r>
      <w:r>
        <w:rPr>
          <w:spacing w:val="-3"/>
          <w:sz w:val="21"/>
        </w:rPr>
        <w:t>to </w:t>
      </w:r>
      <w:r>
        <w:rPr>
          <w:sz w:val="21"/>
        </w:rPr>
        <w:t>a particular</w:t>
      </w:r>
      <w:r>
        <w:rPr>
          <w:spacing w:val="36"/>
          <w:sz w:val="21"/>
        </w:rPr>
        <w:t> </w:t>
      </w:r>
      <w:r>
        <w:rPr>
          <w:spacing w:val="-5"/>
          <w:sz w:val="21"/>
        </w:rPr>
        <w:t>value.</w:t>
      </w:r>
      <w:r>
        <w:rPr>
          <w:spacing w:val="-5"/>
          <w:position w:val="7"/>
          <w:sz w:val="12"/>
        </w:rPr>
        <w:t>71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pPr>
      <w:r>
        <w:rPr/>
        <w:pict>
          <v:line style="position:absolute;mso-position-horizontal-relative:page;mso-position-vertical-relative:paragraph;z-index:6848;mso-wrap-distance-left:0;mso-wrap-distance-right:0" from="79.370102pt,15.634912pt" to="515.905102pt,15.634912pt" stroked="true" strokeweight="1pt" strokecolor="#f9ceca">
            <v:stroke dashstyle="solid"/>
            <w10:wrap type="topAndBottom"/>
          </v:line>
        </w:pict>
      </w:r>
    </w:p>
    <w:p>
      <w:pPr>
        <w:pStyle w:val="BodyText"/>
        <w:spacing w:before="8"/>
        <w:rPr>
          <w:sz w:val="5"/>
        </w:rPr>
      </w:pPr>
    </w:p>
    <w:p>
      <w:pPr>
        <w:spacing w:after="0"/>
        <w:rPr>
          <w:sz w:val="5"/>
        </w:rPr>
        <w:sectPr>
          <w:pgSz w:w="11910" w:h="16840"/>
          <w:pgMar w:header="805" w:footer="0" w:top="1360" w:bottom="280" w:left="0" w:right="0"/>
        </w:sectPr>
      </w:pPr>
    </w:p>
    <w:p>
      <w:pPr>
        <w:pStyle w:val="ListParagraph"/>
        <w:numPr>
          <w:ilvl w:val="0"/>
          <w:numId w:val="79"/>
        </w:numPr>
        <w:tabs>
          <w:tab w:pos="2380" w:val="left" w:leader="none"/>
          <w:tab w:pos="2382" w:val="left" w:leader="none"/>
        </w:tabs>
        <w:spacing w:line="240" w:lineRule="auto" w:before="48" w:after="0"/>
        <w:ind w:left="2381" w:right="634" w:hanging="794"/>
        <w:jc w:val="left"/>
        <w:rPr>
          <w:sz w:val="13"/>
        </w:rPr>
      </w:pPr>
      <w:r>
        <w:rPr>
          <w:w w:val="105"/>
          <w:sz w:val="13"/>
        </w:rPr>
        <w:t>Submission 39 (Carolyn Sparke SC). Consultations 3 </w:t>
      </w:r>
      <w:r>
        <w:rPr>
          <w:spacing w:val="2"/>
          <w:w w:val="105"/>
          <w:sz w:val="13"/>
        </w:rPr>
        <w:t>(Legal </w:t>
      </w:r>
      <w:r>
        <w:rPr>
          <w:w w:val="105"/>
          <w:sz w:val="13"/>
        </w:rPr>
        <w:t>practitioners in the Goulburn Valley region); 18 </w:t>
      </w:r>
      <w:r>
        <w:rPr>
          <w:spacing w:val="2"/>
          <w:w w:val="105"/>
          <w:sz w:val="13"/>
        </w:rPr>
        <w:t>(Legal </w:t>
      </w:r>
      <w:r>
        <w:rPr>
          <w:w w:val="105"/>
          <w:sz w:val="13"/>
        </w:rPr>
        <w:t>practitioners    in</w:t>
      </w:r>
      <w:r>
        <w:rPr>
          <w:spacing w:val="5"/>
          <w:w w:val="105"/>
          <w:sz w:val="13"/>
        </w:rPr>
        <w:t> </w:t>
      </w:r>
      <w:r>
        <w:rPr>
          <w:w w:val="105"/>
          <w:sz w:val="13"/>
        </w:rPr>
        <w:t>Wodonga);</w:t>
      </w:r>
      <w:r>
        <w:rPr>
          <w:spacing w:val="5"/>
          <w:w w:val="105"/>
          <w:sz w:val="13"/>
        </w:rPr>
        <w:t> </w:t>
      </w:r>
      <w:r>
        <w:rPr>
          <w:w w:val="105"/>
          <w:sz w:val="13"/>
        </w:rPr>
        <w:t>20</w:t>
      </w:r>
      <w:r>
        <w:rPr>
          <w:spacing w:val="5"/>
          <w:w w:val="105"/>
          <w:sz w:val="13"/>
        </w:rPr>
        <w:t> </w:t>
      </w:r>
      <w:r>
        <w:rPr>
          <w:spacing w:val="2"/>
          <w:w w:val="105"/>
          <w:sz w:val="13"/>
        </w:rPr>
        <w:t>(Legal</w:t>
      </w:r>
      <w:r>
        <w:rPr>
          <w:spacing w:val="5"/>
          <w:w w:val="105"/>
          <w:sz w:val="13"/>
        </w:rPr>
        <w:t> </w:t>
      </w:r>
      <w:r>
        <w:rPr>
          <w:w w:val="105"/>
          <w:sz w:val="13"/>
        </w:rPr>
        <w:t>practitioners</w:t>
      </w:r>
      <w:r>
        <w:rPr>
          <w:spacing w:val="6"/>
          <w:w w:val="105"/>
          <w:sz w:val="13"/>
        </w:rPr>
        <w:t> </w:t>
      </w:r>
      <w:r>
        <w:rPr>
          <w:w w:val="105"/>
          <w:sz w:val="13"/>
        </w:rPr>
        <w:t>in</w:t>
      </w:r>
      <w:r>
        <w:rPr>
          <w:spacing w:val="5"/>
          <w:w w:val="105"/>
          <w:sz w:val="13"/>
        </w:rPr>
        <w:t> </w:t>
      </w:r>
      <w:r>
        <w:rPr>
          <w:w w:val="105"/>
          <w:sz w:val="13"/>
        </w:rPr>
        <w:t>Colac).</w:t>
      </w:r>
      <w:r>
        <w:rPr>
          <w:spacing w:val="5"/>
          <w:w w:val="105"/>
          <w:sz w:val="13"/>
        </w:rPr>
        <w:t> </w:t>
      </w:r>
      <w:r>
        <w:rPr>
          <w:w w:val="105"/>
          <w:sz w:val="13"/>
        </w:rPr>
        <w:t>Advisory</w:t>
      </w:r>
      <w:r>
        <w:rPr>
          <w:spacing w:val="5"/>
          <w:w w:val="105"/>
          <w:sz w:val="13"/>
        </w:rPr>
        <w:t> </w:t>
      </w:r>
      <w:r>
        <w:rPr>
          <w:w w:val="105"/>
          <w:sz w:val="13"/>
        </w:rPr>
        <w:t>Committee</w:t>
      </w:r>
      <w:r>
        <w:rPr>
          <w:spacing w:val="5"/>
          <w:w w:val="105"/>
          <w:sz w:val="13"/>
        </w:rPr>
        <w:t> </w:t>
      </w:r>
      <w:r>
        <w:rPr>
          <w:w w:val="105"/>
          <w:sz w:val="13"/>
        </w:rPr>
        <w:t>(Meeting</w:t>
      </w:r>
      <w:r>
        <w:rPr>
          <w:spacing w:val="6"/>
          <w:w w:val="105"/>
          <w:sz w:val="13"/>
        </w:rPr>
        <w:t> </w:t>
      </w:r>
      <w:r>
        <w:rPr>
          <w:spacing w:val="3"/>
          <w:w w:val="105"/>
          <w:sz w:val="13"/>
        </w:rPr>
        <w:t>4).</w:t>
      </w:r>
    </w:p>
    <w:p>
      <w:pPr>
        <w:pStyle w:val="ListParagraph"/>
        <w:numPr>
          <w:ilvl w:val="0"/>
          <w:numId w:val="79"/>
        </w:numPr>
        <w:tabs>
          <w:tab w:pos="2381" w:val="left" w:leader="none"/>
          <w:tab w:pos="2382" w:val="left" w:leader="none"/>
        </w:tabs>
        <w:spacing w:line="240" w:lineRule="auto" w:before="3" w:after="0"/>
        <w:ind w:left="2381" w:right="0" w:hanging="794"/>
        <w:jc w:val="left"/>
        <w:rPr>
          <w:sz w:val="13"/>
        </w:rPr>
      </w:pPr>
      <w:r>
        <w:rPr>
          <w:w w:val="105"/>
          <w:sz w:val="13"/>
        </w:rPr>
        <w:t>Consultations 3 </w:t>
      </w:r>
      <w:r>
        <w:rPr>
          <w:spacing w:val="2"/>
          <w:w w:val="105"/>
          <w:sz w:val="13"/>
        </w:rPr>
        <w:t>(Legal </w:t>
      </w:r>
      <w:r>
        <w:rPr>
          <w:w w:val="105"/>
          <w:sz w:val="13"/>
        </w:rPr>
        <w:t>practitioners in the Goulburn Valley region); 18 </w:t>
      </w:r>
      <w:r>
        <w:rPr>
          <w:spacing w:val="2"/>
          <w:w w:val="105"/>
          <w:sz w:val="13"/>
        </w:rPr>
        <w:t>(Legal </w:t>
      </w:r>
      <w:r>
        <w:rPr>
          <w:w w:val="105"/>
          <w:sz w:val="13"/>
        </w:rPr>
        <w:t>practitioners in Wodonga); 20 </w:t>
      </w:r>
      <w:r>
        <w:rPr>
          <w:spacing w:val="2"/>
          <w:w w:val="105"/>
          <w:sz w:val="13"/>
        </w:rPr>
        <w:t>(Legal </w:t>
      </w:r>
      <w:r>
        <w:rPr>
          <w:w w:val="105"/>
          <w:sz w:val="13"/>
        </w:rPr>
        <w:t>practitioners in Colac); Advisory Committee (Meeting</w:t>
      </w:r>
      <w:r>
        <w:rPr>
          <w:spacing w:val="13"/>
          <w:w w:val="105"/>
          <w:sz w:val="13"/>
        </w:rPr>
        <w:t> </w:t>
      </w:r>
      <w:r>
        <w:rPr>
          <w:spacing w:val="3"/>
          <w:w w:val="105"/>
          <w:sz w:val="13"/>
        </w:rPr>
        <w:t>4).</w:t>
      </w:r>
    </w:p>
    <w:p>
      <w:pPr>
        <w:pStyle w:val="ListParagraph"/>
        <w:numPr>
          <w:ilvl w:val="0"/>
          <w:numId w:val="79"/>
        </w:numPr>
        <w:tabs>
          <w:tab w:pos="2381" w:val="left" w:leader="none"/>
          <w:tab w:pos="2382" w:val="left" w:leader="none"/>
        </w:tabs>
        <w:spacing w:line="240" w:lineRule="auto" w:before="2" w:after="0"/>
        <w:ind w:left="2381" w:right="0" w:hanging="794"/>
        <w:jc w:val="left"/>
        <w:rPr>
          <w:sz w:val="13"/>
        </w:rPr>
      </w:pPr>
      <w:r>
        <w:rPr>
          <w:w w:val="105"/>
          <w:sz w:val="13"/>
        </w:rPr>
        <w:t>Advisory Committee (Meeting</w:t>
      </w:r>
      <w:r>
        <w:rPr>
          <w:spacing w:val="13"/>
          <w:w w:val="105"/>
          <w:sz w:val="13"/>
        </w:rPr>
        <w:t> </w:t>
      </w:r>
      <w:r>
        <w:rPr>
          <w:spacing w:val="3"/>
          <w:w w:val="105"/>
          <w:sz w:val="13"/>
        </w:rPr>
        <w:t>4).</w:t>
      </w:r>
    </w:p>
    <w:p>
      <w:pPr>
        <w:pStyle w:val="ListParagraph"/>
        <w:numPr>
          <w:ilvl w:val="0"/>
          <w:numId w:val="79"/>
        </w:numPr>
        <w:tabs>
          <w:tab w:pos="2381" w:val="left" w:leader="none"/>
          <w:tab w:pos="2382" w:val="left" w:leader="none"/>
        </w:tabs>
        <w:spacing w:line="240" w:lineRule="auto" w:before="2" w:after="0"/>
        <w:ind w:left="2381" w:right="0" w:hanging="794"/>
        <w:jc w:val="left"/>
        <w:rPr>
          <w:sz w:val="13"/>
        </w:rPr>
      </w:pPr>
      <w:r>
        <w:rPr>
          <w:w w:val="105"/>
          <w:sz w:val="13"/>
        </w:rPr>
        <w:t>Consultation </w:t>
      </w:r>
      <w:r>
        <w:rPr>
          <w:spacing w:val="-3"/>
          <w:w w:val="105"/>
          <w:sz w:val="13"/>
        </w:rPr>
        <w:t>14 </w:t>
      </w:r>
      <w:r>
        <w:rPr>
          <w:spacing w:val="2"/>
          <w:w w:val="105"/>
          <w:sz w:val="13"/>
        </w:rPr>
        <w:t>(Victorian </w:t>
      </w:r>
      <w:r>
        <w:rPr>
          <w:w w:val="105"/>
          <w:sz w:val="13"/>
        </w:rPr>
        <w:t>Civil and Administrative</w:t>
      </w:r>
      <w:r>
        <w:rPr>
          <w:spacing w:val="28"/>
          <w:w w:val="105"/>
          <w:sz w:val="13"/>
        </w:rPr>
        <w:t> </w:t>
      </w:r>
      <w:r>
        <w:rPr>
          <w:w w:val="105"/>
          <w:sz w:val="13"/>
        </w:rPr>
        <w:t>Tribunal).</w:t>
      </w:r>
    </w:p>
    <w:p>
      <w:pPr>
        <w:pStyle w:val="ListParagraph"/>
        <w:numPr>
          <w:ilvl w:val="0"/>
          <w:numId w:val="79"/>
        </w:numPr>
        <w:tabs>
          <w:tab w:pos="2381" w:val="left" w:leader="none"/>
          <w:tab w:pos="2382" w:val="left" w:leader="none"/>
        </w:tabs>
        <w:spacing w:line="240" w:lineRule="auto" w:before="1" w:after="0"/>
        <w:ind w:left="2381" w:right="0" w:hanging="794"/>
        <w:jc w:val="left"/>
        <w:rPr>
          <w:sz w:val="13"/>
        </w:rPr>
      </w:pPr>
      <w:r>
        <w:rPr>
          <w:w w:val="105"/>
          <w:sz w:val="13"/>
        </w:rPr>
        <w:t>See the discussion on procedure below at</w:t>
      </w:r>
      <w:r>
        <w:rPr>
          <w:spacing w:val="2"/>
          <w:w w:val="105"/>
          <w:sz w:val="13"/>
        </w:rPr>
        <w:t> </w:t>
      </w:r>
      <w:r>
        <w:rPr>
          <w:w w:val="105"/>
          <w:sz w:val="13"/>
        </w:rPr>
        <w:t>[6.121]–[6.162].</w:t>
      </w:r>
    </w:p>
    <w:p>
      <w:pPr>
        <w:pStyle w:val="ListParagraph"/>
        <w:numPr>
          <w:ilvl w:val="0"/>
          <w:numId w:val="79"/>
        </w:numPr>
        <w:tabs>
          <w:tab w:pos="2381" w:val="left" w:leader="none"/>
          <w:tab w:pos="2382" w:val="left" w:leader="none"/>
        </w:tabs>
        <w:spacing w:line="240" w:lineRule="auto" w:before="1" w:after="0"/>
        <w:ind w:left="2381" w:right="0" w:hanging="794"/>
        <w:jc w:val="left"/>
        <w:rPr>
          <w:sz w:val="13"/>
        </w:rPr>
      </w:pPr>
      <w:r>
        <w:rPr>
          <w:w w:val="105"/>
          <w:sz w:val="13"/>
        </w:rPr>
        <w:t>Supreme Court of Victoria, </w:t>
      </w:r>
      <w:r>
        <w:rPr>
          <w:i/>
          <w:spacing w:val="-5"/>
          <w:w w:val="105"/>
          <w:sz w:val="13"/>
        </w:rPr>
        <w:t>2011–12 </w:t>
      </w:r>
      <w:r>
        <w:rPr>
          <w:i/>
          <w:w w:val="105"/>
          <w:sz w:val="13"/>
        </w:rPr>
        <w:t>Annual Report </w:t>
      </w:r>
      <w:r>
        <w:rPr>
          <w:w w:val="105"/>
          <w:sz w:val="13"/>
        </w:rPr>
        <w:t>(2012)</w:t>
      </w:r>
      <w:r>
        <w:rPr>
          <w:spacing w:val="16"/>
          <w:w w:val="105"/>
          <w:sz w:val="13"/>
        </w:rPr>
        <w:t> </w:t>
      </w:r>
      <w:r>
        <w:rPr>
          <w:w w:val="105"/>
          <w:sz w:val="13"/>
        </w:rPr>
        <w:t>52.</w:t>
      </w:r>
    </w:p>
    <w:p>
      <w:pPr>
        <w:pStyle w:val="ListParagraph"/>
        <w:numPr>
          <w:ilvl w:val="0"/>
          <w:numId w:val="79"/>
        </w:numPr>
        <w:tabs>
          <w:tab w:pos="2381" w:val="left" w:leader="none"/>
          <w:tab w:pos="2382" w:val="left" w:leader="none"/>
        </w:tabs>
        <w:spacing w:line="240" w:lineRule="auto" w:before="2" w:after="0"/>
        <w:ind w:left="2381" w:right="0" w:hanging="794"/>
        <w:jc w:val="left"/>
        <w:rPr>
          <w:sz w:val="13"/>
        </w:rPr>
      </w:pPr>
      <w:r>
        <w:rPr>
          <w:w w:val="105"/>
          <w:sz w:val="13"/>
        </w:rPr>
        <w:t>Information provided by the County Court of Victoria, </w:t>
      </w:r>
      <w:r>
        <w:rPr>
          <w:spacing w:val="-4"/>
          <w:w w:val="105"/>
          <w:sz w:val="13"/>
        </w:rPr>
        <w:t>13 </w:t>
      </w:r>
      <w:r>
        <w:rPr>
          <w:w w:val="105"/>
          <w:sz w:val="13"/>
        </w:rPr>
        <w:t>June</w:t>
      </w:r>
      <w:r>
        <w:rPr>
          <w:spacing w:val="27"/>
          <w:w w:val="105"/>
          <w:sz w:val="13"/>
        </w:rPr>
        <w:t> </w:t>
      </w:r>
      <w:r>
        <w:rPr>
          <w:spacing w:val="-3"/>
          <w:w w:val="105"/>
          <w:sz w:val="13"/>
        </w:rPr>
        <w:t>2013.</w:t>
      </w:r>
    </w:p>
    <w:p>
      <w:pPr>
        <w:pStyle w:val="ListParagraph"/>
        <w:numPr>
          <w:ilvl w:val="0"/>
          <w:numId w:val="79"/>
        </w:numPr>
        <w:tabs>
          <w:tab w:pos="2381" w:val="left" w:leader="none"/>
          <w:tab w:pos="2382" w:val="left" w:leader="none"/>
        </w:tabs>
        <w:spacing w:line="240" w:lineRule="auto" w:before="1" w:after="0"/>
        <w:ind w:left="2381" w:right="0" w:hanging="794"/>
        <w:jc w:val="left"/>
        <w:rPr>
          <w:sz w:val="13"/>
        </w:rPr>
      </w:pPr>
      <w:r>
        <w:rPr>
          <w:w w:val="105"/>
          <w:sz w:val="13"/>
        </w:rPr>
        <w:t>Consultation </w:t>
      </w:r>
      <w:r>
        <w:rPr>
          <w:spacing w:val="-3"/>
          <w:w w:val="105"/>
          <w:sz w:val="13"/>
        </w:rPr>
        <w:t>15 </w:t>
      </w:r>
      <w:r>
        <w:rPr>
          <w:w w:val="105"/>
          <w:sz w:val="13"/>
        </w:rPr>
        <w:t>(County Court of</w:t>
      </w:r>
      <w:r>
        <w:rPr>
          <w:spacing w:val="26"/>
          <w:w w:val="105"/>
          <w:sz w:val="13"/>
        </w:rPr>
        <w:t> </w:t>
      </w:r>
      <w:r>
        <w:rPr>
          <w:spacing w:val="2"/>
          <w:w w:val="105"/>
          <w:sz w:val="13"/>
        </w:rPr>
        <w:t>Victoria).</w:t>
      </w:r>
    </w:p>
    <w:p>
      <w:pPr>
        <w:pStyle w:val="ListParagraph"/>
        <w:numPr>
          <w:ilvl w:val="0"/>
          <w:numId w:val="79"/>
        </w:numPr>
        <w:tabs>
          <w:tab w:pos="2381" w:val="left" w:leader="none"/>
          <w:tab w:pos="2382" w:val="left" w:leader="none"/>
        </w:tabs>
        <w:spacing w:line="240" w:lineRule="auto" w:before="1" w:after="0"/>
        <w:ind w:left="2381" w:right="0" w:hanging="794"/>
        <w:jc w:val="left"/>
        <w:rPr>
          <w:sz w:val="13"/>
        </w:rPr>
      </w:pPr>
      <w:r>
        <w:rPr>
          <w:sz w:val="13"/>
        </w:rPr>
        <w:t>Ibid.</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spacing w:before="176"/>
        <w:ind w:left="684" w:right="575" w:firstLine="0"/>
        <w:jc w:val="center"/>
        <w:rPr>
          <w:b/>
          <w:sz w:val="24"/>
        </w:rPr>
      </w:pPr>
      <w:r>
        <w:rPr>
          <w:b/>
          <w:color w:val="EC5A4F"/>
          <w:w w:val="110"/>
          <w:sz w:val="24"/>
        </w:rPr>
        <w:t>105</w:t>
      </w:r>
    </w:p>
    <w:p>
      <w:pPr>
        <w:spacing w:after="0"/>
        <w:jc w:val="center"/>
        <w:rPr>
          <w:sz w:val="24"/>
        </w:rPr>
        <w:sectPr>
          <w:type w:val="continuous"/>
          <w:pgSz w:w="11910" w:h="16840"/>
          <w:pgMar w:top="920" w:bottom="280" w:left="0" w:right="0"/>
          <w:cols w:num="2" w:equalWidth="0">
            <w:col w:w="10169" w:space="40"/>
            <w:col w:w="1701"/>
          </w:cols>
        </w:sectPr>
      </w:pPr>
    </w:p>
    <w:p>
      <w:pPr>
        <w:pStyle w:val="BodyText"/>
        <w:spacing w:before="9"/>
        <w:rPr>
          <w:b/>
          <w:sz w:val="22"/>
        </w:rPr>
      </w:pPr>
    </w:p>
    <w:p>
      <w:pPr>
        <w:pStyle w:val="ListParagraph"/>
        <w:numPr>
          <w:ilvl w:val="1"/>
          <w:numId w:val="22"/>
        </w:numPr>
        <w:tabs>
          <w:tab w:pos="2381" w:val="left" w:leader="none"/>
          <w:tab w:pos="2382" w:val="left" w:leader="none"/>
        </w:tabs>
        <w:spacing w:line="242" w:lineRule="auto" w:before="92" w:after="0"/>
        <w:ind w:left="2381" w:right="2076" w:hanging="794"/>
        <w:jc w:val="left"/>
        <w:rPr>
          <w:sz w:val="21"/>
        </w:rPr>
      </w:pPr>
      <w:r>
        <w:rPr>
          <w:w w:val="105"/>
          <w:sz w:val="21"/>
        </w:rPr>
        <w:t>A number of </w:t>
      </w:r>
      <w:r>
        <w:rPr>
          <w:spacing w:val="-3"/>
          <w:w w:val="105"/>
          <w:sz w:val="21"/>
        </w:rPr>
        <w:t>submissions </w:t>
      </w:r>
      <w:r>
        <w:rPr>
          <w:w w:val="105"/>
          <w:sz w:val="21"/>
        </w:rPr>
        <w:t>did </w:t>
      </w:r>
      <w:r>
        <w:rPr>
          <w:spacing w:val="-2"/>
          <w:w w:val="105"/>
          <w:sz w:val="21"/>
        </w:rPr>
        <w:t>not </w:t>
      </w:r>
      <w:r>
        <w:rPr>
          <w:spacing w:val="-3"/>
          <w:w w:val="105"/>
          <w:sz w:val="21"/>
        </w:rPr>
        <w:t>consider </w:t>
      </w:r>
      <w:r>
        <w:rPr>
          <w:w w:val="105"/>
          <w:sz w:val="21"/>
        </w:rPr>
        <w:t>costs </w:t>
      </w:r>
      <w:r>
        <w:rPr>
          <w:spacing w:val="-3"/>
          <w:w w:val="105"/>
          <w:sz w:val="21"/>
        </w:rPr>
        <w:t>to </w:t>
      </w:r>
      <w:r>
        <w:rPr>
          <w:w w:val="105"/>
          <w:sz w:val="21"/>
        </w:rPr>
        <w:t>be </w:t>
      </w:r>
      <w:r>
        <w:rPr>
          <w:spacing w:val="-2"/>
          <w:w w:val="105"/>
          <w:sz w:val="21"/>
        </w:rPr>
        <w:t>significantly </w:t>
      </w:r>
      <w:r>
        <w:rPr>
          <w:w w:val="105"/>
          <w:sz w:val="21"/>
        </w:rPr>
        <w:t>less in the </w:t>
      </w:r>
      <w:r>
        <w:rPr>
          <w:spacing w:val="-3"/>
          <w:w w:val="105"/>
          <w:sz w:val="21"/>
        </w:rPr>
        <w:t>County Court than </w:t>
      </w:r>
      <w:r>
        <w:rPr>
          <w:w w:val="105"/>
          <w:sz w:val="21"/>
        </w:rPr>
        <w:t>in the </w:t>
      </w:r>
      <w:r>
        <w:rPr>
          <w:spacing w:val="-3"/>
          <w:w w:val="105"/>
          <w:sz w:val="21"/>
        </w:rPr>
        <w:t>Supreme Court,</w:t>
      </w:r>
      <w:r>
        <w:rPr>
          <w:spacing w:val="-3"/>
          <w:w w:val="105"/>
          <w:position w:val="7"/>
          <w:sz w:val="12"/>
        </w:rPr>
        <w:t>72 </w:t>
      </w:r>
      <w:r>
        <w:rPr>
          <w:w w:val="105"/>
          <w:sz w:val="21"/>
        </w:rPr>
        <w:t>with one </w:t>
      </w:r>
      <w:r>
        <w:rPr>
          <w:spacing w:val="-3"/>
          <w:w w:val="105"/>
          <w:sz w:val="21"/>
        </w:rPr>
        <w:t>submission noting that </w:t>
      </w:r>
      <w:r>
        <w:rPr>
          <w:w w:val="105"/>
          <w:sz w:val="21"/>
        </w:rPr>
        <w:t>the work and </w:t>
      </w:r>
      <w:r>
        <w:rPr>
          <w:spacing w:val="-3"/>
          <w:w w:val="105"/>
          <w:sz w:val="21"/>
        </w:rPr>
        <w:t>responsibility involved </w:t>
      </w:r>
      <w:r>
        <w:rPr>
          <w:w w:val="105"/>
          <w:sz w:val="21"/>
        </w:rPr>
        <w:t>in </w:t>
      </w:r>
      <w:r>
        <w:rPr>
          <w:spacing w:val="-3"/>
          <w:w w:val="105"/>
          <w:sz w:val="21"/>
        </w:rPr>
        <w:t>preparing </w:t>
      </w:r>
      <w:r>
        <w:rPr>
          <w:w w:val="105"/>
          <w:sz w:val="21"/>
        </w:rPr>
        <w:t>a case </w:t>
      </w:r>
      <w:r>
        <w:rPr>
          <w:spacing w:val="-3"/>
          <w:w w:val="105"/>
          <w:sz w:val="21"/>
        </w:rPr>
        <w:t>for </w:t>
      </w:r>
      <w:r>
        <w:rPr>
          <w:w w:val="105"/>
          <w:sz w:val="21"/>
        </w:rPr>
        <w:t>the </w:t>
      </w:r>
      <w:r>
        <w:rPr>
          <w:spacing w:val="-3"/>
          <w:w w:val="105"/>
          <w:sz w:val="21"/>
        </w:rPr>
        <w:t>County Court </w:t>
      </w:r>
      <w:r>
        <w:rPr>
          <w:w w:val="105"/>
          <w:sz w:val="21"/>
        </w:rPr>
        <w:t>is the same and  costs </w:t>
      </w:r>
      <w:r>
        <w:rPr>
          <w:spacing w:val="-3"/>
          <w:w w:val="105"/>
          <w:sz w:val="21"/>
        </w:rPr>
        <w:t>charged </w:t>
      </w:r>
      <w:r>
        <w:rPr>
          <w:w w:val="105"/>
          <w:sz w:val="21"/>
        </w:rPr>
        <w:t>by legal practitioners </w:t>
      </w:r>
      <w:r>
        <w:rPr>
          <w:spacing w:val="-3"/>
          <w:w w:val="105"/>
          <w:sz w:val="21"/>
        </w:rPr>
        <w:t>are </w:t>
      </w:r>
      <w:r>
        <w:rPr>
          <w:spacing w:val="-4"/>
          <w:w w:val="105"/>
          <w:sz w:val="21"/>
        </w:rPr>
        <w:t>unlikely </w:t>
      </w:r>
      <w:r>
        <w:rPr>
          <w:spacing w:val="-3"/>
          <w:w w:val="105"/>
          <w:sz w:val="21"/>
        </w:rPr>
        <w:t>to </w:t>
      </w:r>
      <w:r>
        <w:rPr>
          <w:w w:val="105"/>
          <w:sz w:val="21"/>
        </w:rPr>
        <w:t>be </w:t>
      </w:r>
      <w:r>
        <w:rPr>
          <w:spacing w:val="-3"/>
          <w:w w:val="105"/>
          <w:sz w:val="21"/>
        </w:rPr>
        <w:t>any less.</w:t>
      </w:r>
      <w:r>
        <w:rPr>
          <w:spacing w:val="-3"/>
          <w:w w:val="105"/>
          <w:position w:val="7"/>
          <w:sz w:val="12"/>
        </w:rPr>
        <w:t>73 </w:t>
      </w:r>
      <w:r>
        <w:rPr>
          <w:spacing w:val="-4"/>
          <w:w w:val="105"/>
          <w:sz w:val="21"/>
        </w:rPr>
        <w:t>However, </w:t>
      </w:r>
      <w:r>
        <w:rPr>
          <w:w w:val="105"/>
          <w:sz w:val="21"/>
        </w:rPr>
        <w:t>other </w:t>
      </w:r>
      <w:r>
        <w:rPr>
          <w:spacing w:val="-3"/>
          <w:w w:val="105"/>
          <w:sz w:val="21"/>
        </w:rPr>
        <w:t>legal </w:t>
      </w:r>
      <w:r>
        <w:rPr>
          <w:w w:val="105"/>
          <w:sz w:val="21"/>
        </w:rPr>
        <w:t>practitioners</w:t>
      </w:r>
      <w:r>
        <w:rPr>
          <w:spacing w:val="-11"/>
          <w:w w:val="105"/>
          <w:sz w:val="21"/>
        </w:rPr>
        <w:t> </w:t>
      </w:r>
      <w:r>
        <w:rPr>
          <w:w w:val="105"/>
          <w:sz w:val="21"/>
        </w:rPr>
        <w:t>agreed</w:t>
      </w:r>
      <w:r>
        <w:rPr>
          <w:spacing w:val="-10"/>
          <w:w w:val="105"/>
          <w:sz w:val="21"/>
        </w:rPr>
        <w:t> </w:t>
      </w:r>
      <w:r>
        <w:rPr>
          <w:spacing w:val="-3"/>
          <w:w w:val="105"/>
          <w:sz w:val="21"/>
        </w:rPr>
        <w:t>that</w:t>
      </w:r>
      <w:r>
        <w:rPr>
          <w:spacing w:val="-10"/>
          <w:w w:val="105"/>
          <w:sz w:val="21"/>
        </w:rPr>
        <w:t> </w:t>
      </w:r>
      <w:r>
        <w:rPr>
          <w:w w:val="105"/>
          <w:sz w:val="21"/>
        </w:rPr>
        <w:t>the</w:t>
      </w:r>
      <w:r>
        <w:rPr>
          <w:spacing w:val="-10"/>
          <w:w w:val="105"/>
          <w:sz w:val="21"/>
        </w:rPr>
        <w:t> </w:t>
      </w:r>
      <w:r>
        <w:rPr>
          <w:w w:val="105"/>
          <w:sz w:val="21"/>
        </w:rPr>
        <w:t>more</w:t>
      </w:r>
      <w:r>
        <w:rPr>
          <w:spacing w:val="-10"/>
          <w:w w:val="105"/>
          <w:sz w:val="21"/>
        </w:rPr>
        <w:t> </w:t>
      </w:r>
      <w:r>
        <w:rPr>
          <w:w w:val="105"/>
          <w:sz w:val="21"/>
        </w:rPr>
        <w:t>expeditious</w:t>
      </w:r>
      <w:r>
        <w:rPr>
          <w:spacing w:val="-10"/>
          <w:w w:val="105"/>
          <w:sz w:val="21"/>
        </w:rPr>
        <w:t> </w:t>
      </w:r>
      <w:r>
        <w:rPr>
          <w:w w:val="105"/>
          <w:sz w:val="21"/>
        </w:rPr>
        <w:t>service</w:t>
      </w:r>
      <w:r>
        <w:rPr>
          <w:spacing w:val="-10"/>
          <w:w w:val="105"/>
          <w:sz w:val="21"/>
        </w:rPr>
        <w:t> </w:t>
      </w:r>
      <w:r>
        <w:rPr>
          <w:w w:val="105"/>
          <w:sz w:val="21"/>
        </w:rPr>
        <w:t>in</w:t>
      </w:r>
      <w:r>
        <w:rPr>
          <w:spacing w:val="-11"/>
          <w:w w:val="105"/>
          <w:sz w:val="21"/>
        </w:rPr>
        <w:t> </w:t>
      </w:r>
      <w:r>
        <w:rPr>
          <w:w w:val="105"/>
          <w:sz w:val="21"/>
        </w:rPr>
        <w:t>the</w:t>
      </w:r>
      <w:r>
        <w:rPr>
          <w:spacing w:val="-10"/>
          <w:w w:val="105"/>
          <w:sz w:val="21"/>
        </w:rPr>
        <w:t> </w:t>
      </w:r>
      <w:r>
        <w:rPr>
          <w:spacing w:val="-3"/>
          <w:w w:val="105"/>
          <w:sz w:val="21"/>
        </w:rPr>
        <w:t>County</w:t>
      </w:r>
      <w:r>
        <w:rPr>
          <w:spacing w:val="-10"/>
          <w:w w:val="105"/>
          <w:sz w:val="21"/>
        </w:rPr>
        <w:t> </w:t>
      </w:r>
      <w:r>
        <w:rPr>
          <w:spacing w:val="-3"/>
          <w:w w:val="105"/>
          <w:sz w:val="21"/>
        </w:rPr>
        <w:t>Court</w:t>
      </w:r>
      <w:r>
        <w:rPr>
          <w:spacing w:val="-10"/>
          <w:w w:val="105"/>
          <w:sz w:val="21"/>
        </w:rPr>
        <w:t> </w:t>
      </w:r>
      <w:r>
        <w:rPr>
          <w:w w:val="105"/>
          <w:sz w:val="21"/>
        </w:rPr>
        <w:t>results</w:t>
      </w:r>
      <w:r>
        <w:rPr>
          <w:spacing w:val="-10"/>
          <w:w w:val="105"/>
          <w:sz w:val="21"/>
        </w:rPr>
        <w:t> </w:t>
      </w:r>
      <w:r>
        <w:rPr>
          <w:w w:val="105"/>
          <w:sz w:val="21"/>
        </w:rPr>
        <w:t>in</w:t>
      </w:r>
    </w:p>
    <w:p>
      <w:pPr>
        <w:pStyle w:val="BodyText"/>
        <w:spacing w:line="242" w:lineRule="auto" w:before="5"/>
        <w:ind w:left="2381" w:right="1619"/>
      </w:pPr>
      <w:r>
        <w:rPr>
          <w:spacing w:val="-3"/>
          <w:w w:val="105"/>
        </w:rPr>
        <w:t>reduced </w:t>
      </w:r>
      <w:r>
        <w:rPr>
          <w:w w:val="105"/>
        </w:rPr>
        <w:t>legal </w:t>
      </w:r>
      <w:r>
        <w:rPr>
          <w:spacing w:val="-3"/>
          <w:w w:val="105"/>
        </w:rPr>
        <w:t>costs.</w:t>
      </w:r>
      <w:r>
        <w:rPr>
          <w:spacing w:val="-3"/>
          <w:w w:val="105"/>
          <w:position w:val="7"/>
          <w:sz w:val="12"/>
        </w:rPr>
        <w:t>74 </w:t>
      </w:r>
      <w:r>
        <w:rPr>
          <w:w w:val="105"/>
        </w:rPr>
        <w:t>One practitioner </w:t>
      </w:r>
      <w:r>
        <w:rPr>
          <w:spacing w:val="-3"/>
          <w:w w:val="105"/>
        </w:rPr>
        <w:t>considered that reduced filing </w:t>
      </w:r>
      <w:r>
        <w:rPr>
          <w:w w:val="105"/>
        </w:rPr>
        <w:t>fees and </w:t>
      </w:r>
      <w:r>
        <w:rPr>
          <w:spacing w:val="-3"/>
          <w:w w:val="105"/>
        </w:rPr>
        <w:t>reduced counsel’s </w:t>
      </w:r>
      <w:r>
        <w:rPr>
          <w:w w:val="105"/>
        </w:rPr>
        <w:t>fees also </w:t>
      </w:r>
      <w:r>
        <w:rPr>
          <w:spacing w:val="-3"/>
          <w:w w:val="105"/>
        </w:rPr>
        <w:t>contributed to </w:t>
      </w:r>
      <w:r>
        <w:rPr>
          <w:w w:val="105"/>
        </w:rPr>
        <w:t>lower costs in the </w:t>
      </w:r>
      <w:r>
        <w:rPr>
          <w:spacing w:val="-3"/>
          <w:w w:val="105"/>
        </w:rPr>
        <w:t>County </w:t>
      </w:r>
      <w:r>
        <w:rPr>
          <w:spacing w:val="-4"/>
          <w:w w:val="105"/>
        </w:rPr>
        <w:t>Court.</w:t>
      </w:r>
      <w:r>
        <w:rPr>
          <w:spacing w:val="-4"/>
          <w:w w:val="105"/>
          <w:position w:val="7"/>
          <w:sz w:val="12"/>
        </w:rPr>
        <w:t>75 </w:t>
      </w:r>
      <w:r>
        <w:rPr>
          <w:w w:val="105"/>
        </w:rPr>
        <w:t>Some </w:t>
      </w:r>
      <w:r>
        <w:rPr>
          <w:spacing w:val="-3"/>
          <w:w w:val="105"/>
        </w:rPr>
        <w:t>legal </w:t>
      </w:r>
      <w:r>
        <w:rPr>
          <w:w w:val="105"/>
        </w:rPr>
        <w:t>practitioners also </w:t>
      </w:r>
      <w:r>
        <w:rPr>
          <w:spacing w:val="-3"/>
          <w:w w:val="105"/>
        </w:rPr>
        <w:t>noted </w:t>
      </w:r>
      <w:r>
        <w:rPr>
          <w:w w:val="105"/>
        </w:rPr>
        <w:t>the </w:t>
      </w:r>
      <w:r>
        <w:rPr>
          <w:spacing w:val="-3"/>
          <w:w w:val="105"/>
        </w:rPr>
        <w:t>regional </w:t>
      </w:r>
      <w:r>
        <w:rPr>
          <w:w w:val="105"/>
        </w:rPr>
        <w:t>presence of the </w:t>
      </w:r>
      <w:r>
        <w:rPr>
          <w:spacing w:val="-3"/>
          <w:w w:val="105"/>
        </w:rPr>
        <w:t>County </w:t>
      </w:r>
      <w:r>
        <w:rPr>
          <w:spacing w:val="-4"/>
          <w:w w:val="105"/>
        </w:rPr>
        <w:t>Court.</w:t>
      </w:r>
      <w:r>
        <w:rPr>
          <w:spacing w:val="-4"/>
          <w:w w:val="105"/>
          <w:position w:val="7"/>
          <w:sz w:val="12"/>
        </w:rPr>
        <w:t>76 </w:t>
      </w:r>
      <w:r>
        <w:rPr>
          <w:w w:val="105"/>
        </w:rPr>
        <w:t>There was also</w:t>
      </w:r>
    </w:p>
    <w:p>
      <w:pPr>
        <w:pStyle w:val="BodyText"/>
        <w:spacing w:line="242" w:lineRule="auto" w:before="3"/>
        <w:ind w:left="2381" w:right="2089"/>
        <w:rPr>
          <w:sz w:val="12"/>
        </w:rPr>
      </w:pPr>
      <w:r>
        <w:rPr>
          <w:w w:val="105"/>
        </w:rPr>
        <w:t>a perception by some members of the </w:t>
      </w:r>
      <w:r>
        <w:rPr>
          <w:spacing w:val="-3"/>
          <w:w w:val="105"/>
        </w:rPr>
        <w:t>public that family provision </w:t>
      </w:r>
      <w:r>
        <w:rPr>
          <w:w w:val="105"/>
        </w:rPr>
        <w:t>matters </w:t>
      </w:r>
      <w:r>
        <w:rPr>
          <w:spacing w:val="-3"/>
          <w:w w:val="105"/>
        </w:rPr>
        <w:t>were </w:t>
      </w:r>
      <w:r>
        <w:rPr>
          <w:w w:val="105"/>
        </w:rPr>
        <w:t>too costly in the </w:t>
      </w:r>
      <w:r>
        <w:rPr>
          <w:spacing w:val="-3"/>
          <w:w w:val="105"/>
        </w:rPr>
        <w:t>Supreme Court </w:t>
      </w:r>
      <w:r>
        <w:rPr>
          <w:w w:val="105"/>
        </w:rPr>
        <w:t>and should be </w:t>
      </w:r>
      <w:r>
        <w:rPr>
          <w:spacing w:val="-3"/>
          <w:w w:val="105"/>
        </w:rPr>
        <w:t>heard </w:t>
      </w:r>
      <w:r>
        <w:rPr>
          <w:w w:val="105"/>
        </w:rPr>
        <w:t>in a lower </w:t>
      </w:r>
      <w:r>
        <w:rPr>
          <w:spacing w:val="-3"/>
          <w:w w:val="105"/>
        </w:rPr>
        <w:t>court.</w:t>
      </w:r>
      <w:r>
        <w:rPr>
          <w:spacing w:val="-3"/>
          <w:w w:val="105"/>
          <w:position w:val="7"/>
          <w:sz w:val="12"/>
        </w:rPr>
        <w:t>77</w:t>
      </w:r>
    </w:p>
    <w:p>
      <w:pPr>
        <w:pStyle w:val="ListParagraph"/>
        <w:numPr>
          <w:ilvl w:val="1"/>
          <w:numId w:val="22"/>
        </w:numPr>
        <w:tabs>
          <w:tab w:pos="2381" w:val="left" w:leader="none"/>
          <w:tab w:pos="2382" w:val="left" w:leader="none"/>
        </w:tabs>
        <w:spacing w:line="242" w:lineRule="auto" w:before="123" w:after="0"/>
        <w:ind w:left="2381" w:right="1783" w:hanging="794"/>
        <w:jc w:val="left"/>
        <w:rPr>
          <w:sz w:val="12"/>
        </w:rPr>
      </w:pPr>
      <w:r>
        <w:rPr>
          <w:spacing w:val="-4"/>
          <w:sz w:val="21"/>
        </w:rPr>
        <w:t>At </w:t>
      </w:r>
      <w:r>
        <w:rPr>
          <w:sz w:val="21"/>
        </w:rPr>
        <w:t>a meeting of </w:t>
      </w:r>
      <w:r>
        <w:rPr>
          <w:spacing w:val="-3"/>
          <w:sz w:val="21"/>
        </w:rPr>
        <w:t>Supreme Court </w:t>
      </w:r>
      <w:r>
        <w:rPr>
          <w:sz w:val="21"/>
        </w:rPr>
        <w:t>associate judges, some participants expressed the view  </w:t>
      </w:r>
      <w:r>
        <w:rPr>
          <w:spacing w:val="-3"/>
          <w:sz w:val="21"/>
        </w:rPr>
        <w:t>that </w:t>
      </w:r>
      <w:r>
        <w:rPr>
          <w:sz w:val="21"/>
        </w:rPr>
        <w:t>some </w:t>
      </w:r>
      <w:r>
        <w:rPr>
          <w:spacing w:val="-3"/>
          <w:sz w:val="21"/>
        </w:rPr>
        <w:t>claims </w:t>
      </w:r>
      <w:r>
        <w:rPr>
          <w:sz w:val="21"/>
        </w:rPr>
        <w:t>in </w:t>
      </w:r>
      <w:r>
        <w:rPr>
          <w:spacing w:val="-3"/>
          <w:sz w:val="21"/>
        </w:rPr>
        <w:t>relation to small </w:t>
      </w:r>
      <w:r>
        <w:rPr>
          <w:sz w:val="21"/>
        </w:rPr>
        <w:t>estates do </w:t>
      </w:r>
      <w:r>
        <w:rPr>
          <w:spacing w:val="-2"/>
          <w:sz w:val="21"/>
        </w:rPr>
        <w:t>not  </w:t>
      </w:r>
      <w:r>
        <w:rPr>
          <w:sz w:val="21"/>
        </w:rPr>
        <w:t>need </w:t>
      </w:r>
      <w:r>
        <w:rPr>
          <w:spacing w:val="-3"/>
          <w:sz w:val="21"/>
        </w:rPr>
        <w:t>to  </w:t>
      </w:r>
      <w:r>
        <w:rPr>
          <w:sz w:val="21"/>
        </w:rPr>
        <w:t>be </w:t>
      </w:r>
      <w:r>
        <w:rPr>
          <w:spacing w:val="-3"/>
          <w:sz w:val="21"/>
        </w:rPr>
        <w:t>heard  </w:t>
      </w:r>
      <w:r>
        <w:rPr>
          <w:sz w:val="21"/>
        </w:rPr>
        <w:t>in the </w:t>
      </w:r>
      <w:r>
        <w:rPr>
          <w:spacing w:val="-3"/>
          <w:sz w:val="21"/>
        </w:rPr>
        <w:t>Supreme Court.  </w:t>
      </w:r>
      <w:r>
        <w:rPr>
          <w:spacing w:val="-4"/>
          <w:sz w:val="21"/>
        </w:rPr>
        <w:t>However,  </w:t>
      </w:r>
      <w:r>
        <w:rPr>
          <w:sz w:val="21"/>
        </w:rPr>
        <w:t>other participants at this meeting strongly opposed the idea of giving  the </w:t>
      </w:r>
      <w:r>
        <w:rPr>
          <w:spacing w:val="-3"/>
          <w:sz w:val="21"/>
        </w:rPr>
        <w:t>County Court exclusive </w:t>
      </w:r>
      <w:r>
        <w:rPr>
          <w:sz w:val="21"/>
        </w:rPr>
        <w:t>jurisdiction over </w:t>
      </w:r>
      <w:r>
        <w:rPr>
          <w:spacing w:val="-3"/>
          <w:sz w:val="21"/>
        </w:rPr>
        <w:t>smaller </w:t>
      </w:r>
      <w:r>
        <w:rPr>
          <w:sz w:val="21"/>
        </w:rPr>
        <w:t>estates, expressing the view </w:t>
      </w:r>
      <w:r>
        <w:rPr>
          <w:spacing w:val="-3"/>
          <w:sz w:val="21"/>
        </w:rPr>
        <w:t>that </w:t>
      </w:r>
      <w:r>
        <w:rPr>
          <w:sz w:val="21"/>
        </w:rPr>
        <w:t>parties should be able </w:t>
      </w:r>
      <w:r>
        <w:rPr>
          <w:spacing w:val="-3"/>
          <w:sz w:val="21"/>
        </w:rPr>
        <w:t>to </w:t>
      </w:r>
      <w:r>
        <w:rPr>
          <w:sz w:val="21"/>
        </w:rPr>
        <w:t>choose their jurisdiction. It was emphasised </w:t>
      </w:r>
      <w:r>
        <w:rPr>
          <w:spacing w:val="-3"/>
          <w:sz w:val="21"/>
        </w:rPr>
        <w:t>that </w:t>
      </w:r>
      <w:r>
        <w:rPr>
          <w:sz w:val="21"/>
        </w:rPr>
        <w:t>it is important  </w:t>
      </w:r>
      <w:r>
        <w:rPr>
          <w:spacing w:val="-3"/>
          <w:sz w:val="21"/>
        </w:rPr>
        <w:t>to</w:t>
      </w:r>
      <w:r>
        <w:rPr>
          <w:spacing w:val="12"/>
          <w:sz w:val="21"/>
        </w:rPr>
        <w:t> </w:t>
      </w:r>
      <w:r>
        <w:rPr>
          <w:spacing w:val="-3"/>
          <w:sz w:val="21"/>
        </w:rPr>
        <w:t>manage</w:t>
      </w:r>
      <w:r>
        <w:rPr>
          <w:spacing w:val="13"/>
          <w:sz w:val="21"/>
        </w:rPr>
        <w:t> </w:t>
      </w:r>
      <w:r>
        <w:rPr>
          <w:sz w:val="21"/>
        </w:rPr>
        <w:t>the</w:t>
      </w:r>
      <w:r>
        <w:rPr>
          <w:spacing w:val="13"/>
          <w:sz w:val="21"/>
        </w:rPr>
        <w:t> </w:t>
      </w:r>
      <w:r>
        <w:rPr>
          <w:spacing w:val="-3"/>
          <w:sz w:val="21"/>
        </w:rPr>
        <w:t>proceeding</w:t>
      </w:r>
      <w:r>
        <w:rPr>
          <w:spacing w:val="13"/>
          <w:sz w:val="21"/>
        </w:rPr>
        <w:t> </w:t>
      </w:r>
      <w:r>
        <w:rPr>
          <w:spacing w:val="-3"/>
          <w:sz w:val="21"/>
        </w:rPr>
        <w:t>to</w:t>
      </w:r>
      <w:r>
        <w:rPr>
          <w:spacing w:val="13"/>
          <w:sz w:val="21"/>
        </w:rPr>
        <w:t> </w:t>
      </w:r>
      <w:r>
        <w:rPr>
          <w:spacing w:val="-3"/>
          <w:sz w:val="21"/>
        </w:rPr>
        <w:t>minimise</w:t>
      </w:r>
      <w:r>
        <w:rPr>
          <w:spacing w:val="13"/>
          <w:sz w:val="21"/>
        </w:rPr>
        <w:t> </w:t>
      </w:r>
      <w:r>
        <w:rPr>
          <w:sz w:val="21"/>
        </w:rPr>
        <w:t>costs,</w:t>
      </w:r>
      <w:r>
        <w:rPr>
          <w:spacing w:val="13"/>
          <w:sz w:val="21"/>
        </w:rPr>
        <w:t> </w:t>
      </w:r>
      <w:r>
        <w:rPr>
          <w:sz w:val="21"/>
        </w:rPr>
        <w:t>regardless</w:t>
      </w:r>
      <w:r>
        <w:rPr>
          <w:spacing w:val="13"/>
          <w:sz w:val="21"/>
        </w:rPr>
        <w:t> </w:t>
      </w:r>
      <w:r>
        <w:rPr>
          <w:sz w:val="21"/>
        </w:rPr>
        <w:t>of</w:t>
      </w:r>
      <w:r>
        <w:rPr>
          <w:spacing w:val="13"/>
          <w:sz w:val="21"/>
        </w:rPr>
        <w:t> </w:t>
      </w:r>
      <w:r>
        <w:rPr>
          <w:sz w:val="21"/>
        </w:rPr>
        <w:t>the</w:t>
      </w:r>
      <w:r>
        <w:rPr>
          <w:spacing w:val="13"/>
          <w:sz w:val="21"/>
        </w:rPr>
        <w:t> </w:t>
      </w:r>
      <w:r>
        <w:rPr>
          <w:spacing w:val="-3"/>
          <w:sz w:val="21"/>
        </w:rPr>
        <w:t>court.</w:t>
      </w:r>
      <w:r>
        <w:rPr>
          <w:spacing w:val="-3"/>
          <w:position w:val="7"/>
          <w:sz w:val="12"/>
        </w:rPr>
        <w:t>78</w:t>
      </w:r>
    </w:p>
    <w:p>
      <w:pPr>
        <w:pStyle w:val="ListParagraph"/>
        <w:numPr>
          <w:ilvl w:val="1"/>
          <w:numId w:val="22"/>
        </w:numPr>
        <w:tabs>
          <w:tab w:pos="2380" w:val="left" w:leader="none"/>
          <w:tab w:pos="2381" w:val="left" w:leader="none"/>
        </w:tabs>
        <w:spacing w:line="242" w:lineRule="auto" w:before="126" w:after="0"/>
        <w:ind w:left="2381" w:right="1917" w:hanging="794"/>
        <w:jc w:val="left"/>
        <w:rPr>
          <w:sz w:val="12"/>
        </w:rPr>
      </w:pPr>
      <w:r>
        <w:rPr>
          <w:w w:val="105"/>
          <w:sz w:val="21"/>
        </w:rPr>
        <w:t>The point was made in </w:t>
      </w:r>
      <w:r>
        <w:rPr>
          <w:spacing w:val="-3"/>
          <w:w w:val="105"/>
          <w:sz w:val="21"/>
        </w:rPr>
        <w:t>consultation that </w:t>
      </w:r>
      <w:r>
        <w:rPr>
          <w:w w:val="105"/>
          <w:sz w:val="21"/>
        </w:rPr>
        <w:t>the </w:t>
      </w:r>
      <w:r>
        <w:rPr>
          <w:spacing w:val="-3"/>
          <w:w w:val="105"/>
          <w:sz w:val="21"/>
        </w:rPr>
        <w:t>Supreme Court </w:t>
      </w:r>
      <w:r>
        <w:rPr>
          <w:w w:val="105"/>
          <w:sz w:val="21"/>
        </w:rPr>
        <w:t>is the </w:t>
      </w:r>
      <w:r>
        <w:rPr>
          <w:spacing w:val="-3"/>
          <w:w w:val="105"/>
          <w:sz w:val="21"/>
        </w:rPr>
        <w:t>traditional family provision jurisdiction,</w:t>
      </w:r>
      <w:r>
        <w:rPr>
          <w:spacing w:val="-3"/>
          <w:w w:val="105"/>
          <w:position w:val="7"/>
          <w:sz w:val="12"/>
        </w:rPr>
        <w:t>79 </w:t>
      </w:r>
      <w:r>
        <w:rPr>
          <w:w w:val="105"/>
          <w:sz w:val="21"/>
        </w:rPr>
        <w:t>because </w:t>
      </w:r>
      <w:r>
        <w:rPr>
          <w:spacing w:val="-3"/>
          <w:w w:val="105"/>
          <w:sz w:val="21"/>
        </w:rPr>
        <w:t>probate </w:t>
      </w:r>
      <w:r>
        <w:rPr>
          <w:w w:val="105"/>
          <w:sz w:val="21"/>
        </w:rPr>
        <w:t>is </w:t>
      </w:r>
      <w:r>
        <w:rPr>
          <w:spacing w:val="-3"/>
          <w:w w:val="105"/>
          <w:sz w:val="21"/>
        </w:rPr>
        <w:t>granted </w:t>
      </w:r>
      <w:r>
        <w:rPr>
          <w:w w:val="105"/>
          <w:sz w:val="21"/>
        </w:rPr>
        <w:t>by the </w:t>
      </w:r>
      <w:r>
        <w:rPr>
          <w:spacing w:val="-3"/>
          <w:w w:val="105"/>
          <w:sz w:val="21"/>
        </w:rPr>
        <w:t>Supreme </w:t>
      </w:r>
      <w:r>
        <w:rPr>
          <w:w w:val="105"/>
          <w:sz w:val="21"/>
        </w:rPr>
        <w:t>Court.</w:t>
      </w:r>
      <w:r>
        <w:rPr>
          <w:w w:val="105"/>
          <w:position w:val="7"/>
          <w:sz w:val="12"/>
        </w:rPr>
        <w:t>80 </w:t>
      </w:r>
      <w:r>
        <w:rPr>
          <w:w w:val="105"/>
          <w:sz w:val="21"/>
        </w:rPr>
        <w:t>The </w:t>
      </w:r>
      <w:r>
        <w:rPr>
          <w:spacing w:val="-3"/>
          <w:w w:val="105"/>
          <w:sz w:val="21"/>
        </w:rPr>
        <w:t>Commission </w:t>
      </w:r>
      <w:r>
        <w:rPr>
          <w:w w:val="105"/>
          <w:sz w:val="21"/>
        </w:rPr>
        <w:t>was also told </w:t>
      </w:r>
      <w:r>
        <w:rPr>
          <w:spacing w:val="-3"/>
          <w:w w:val="105"/>
          <w:sz w:val="21"/>
        </w:rPr>
        <w:t>that </w:t>
      </w:r>
      <w:r>
        <w:rPr>
          <w:w w:val="105"/>
          <w:sz w:val="21"/>
        </w:rPr>
        <w:t>some law firms </w:t>
      </w:r>
      <w:r>
        <w:rPr>
          <w:spacing w:val="-3"/>
          <w:w w:val="105"/>
          <w:sz w:val="21"/>
        </w:rPr>
        <w:t>routinely commence proceedings </w:t>
      </w:r>
      <w:r>
        <w:rPr>
          <w:w w:val="105"/>
          <w:sz w:val="21"/>
        </w:rPr>
        <w:t>in the </w:t>
      </w:r>
      <w:r>
        <w:rPr>
          <w:spacing w:val="-3"/>
          <w:w w:val="105"/>
          <w:sz w:val="21"/>
        </w:rPr>
        <w:t>Supreme Court rather than </w:t>
      </w:r>
      <w:r>
        <w:rPr>
          <w:w w:val="105"/>
          <w:sz w:val="21"/>
        </w:rPr>
        <w:t>the </w:t>
      </w:r>
      <w:r>
        <w:rPr>
          <w:spacing w:val="-3"/>
          <w:w w:val="105"/>
          <w:sz w:val="21"/>
        </w:rPr>
        <w:t>County Court, </w:t>
      </w:r>
      <w:r>
        <w:rPr>
          <w:w w:val="105"/>
          <w:sz w:val="21"/>
        </w:rPr>
        <w:t>regardless of the </w:t>
      </w:r>
      <w:r>
        <w:rPr>
          <w:spacing w:val="-3"/>
          <w:w w:val="105"/>
          <w:sz w:val="21"/>
        </w:rPr>
        <w:t>size </w:t>
      </w:r>
      <w:r>
        <w:rPr>
          <w:w w:val="105"/>
          <w:sz w:val="21"/>
        </w:rPr>
        <w:t>of the </w:t>
      </w:r>
      <w:r>
        <w:rPr>
          <w:spacing w:val="-3"/>
          <w:w w:val="105"/>
          <w:sz w:val="21"/>
        </w:rPr>
        <w:t>estate.</w:t>
      </w:r>
      <w:r>
        <w:rPr>
          <w:spacing w:val="-3"/>
          <w:w w:val="105"/>
          <w:position w:val="7"/>
          <w:sz w:val="12"/>
        </w:rPr>
        <w:t>81  </w:t>
      </w:r>
      <w:r>
        <w:rPr>
          <w:w w:val="105"/>
          <w:sz w:val="21"/>
        </w:rPr>
        <w:t>It  is</w:t>
      </w:r>
      <w:r>
        <w:rPr>
          <w:spacing w:val="-7"/>
          <w:w w:val="105"/>
          <w:sz w:val="21"/>
        </w:rPr>
        <w:t> </w:t>
      </w:r>
      <w:r>
        <w:rPr>
          <w:spacing w:val="-2"/>
          <w:w w:val="105"/>
          <w:sz w:val="21"/>
        </w:rPr>
        <w:t>not</w:t>
      </w:r>
      <w:r>
        <w:rPr>
          <w:spacing w:val="-6"/>
          <w:w w:val="105"/>
          <w:sz w:val="21"/>
        </w:rPr>
        <w:t> </w:t>
      </w:r>
      <w:r>
        <w:rPr>
          <w:spacing w:val="-3"/>
          <w:w w:val="105"/>
          <w:sz w:val="21"/>
        </w:rPr>
        <w:t>clear</w:t>
      </w:r>
      <w:r>
        <w:rPr>
          <w:spacing w:val="-6"/>
          <w:w w:val="105"/>
          <w:sz w:val="21"/>
        </w:rPr>
        <w:t> </w:t>
      </w:r>
      <w:r>
        <w:rPr>
          <w:w w:val="105"/>
          <w:sz w:val="21"/>
        </w:rPr>
        <w:t>whether</w:t>
      </w:r>
      <w:r>
        <w:rPr>
          <w:spacing w:val="-6"/>
          <w:w w:val="105"/>
          <w:sz w:val="21"/>
        </w:rPr>
        <w:t> </w:t>
      </w:r>
      <w:r>
        <w:rPr>
          <w:w w:val="105"/>
          <w:sz w:val="21"/>
        </w:rPr>
        <w:t>this</w:t>
      </w:r>
      <w:r>
        <w:rPr>
          <w:spacing w:val="-6"/>
          <w:w w:val="105"/>
          <w:sz w:val="21"/>
        </w:rPr>
        <w:t> </w:t>
      </w:r>
      <w:r>
        <w:rPr>
          <w:w w:val="105"/>
          <w:sz w:val="21"/>
        </w:rPr>
        <w:t>is</w:t>
      </w:r>
      <w:r>
        <w:rPr>
          <w:spacing w:val="-6"/>
          <w:w w:val="105"/>
          <w:sz w:val="21"/>
        </w:rPr>
        <w:t> </w:t>
      </w:r>
      <w:r>
        <w:rPr>
          <w:w w:val="105"/>
          <w:sz w:val="21"/>
        </w:rPr>
        <w:t>a</w:t>
      </w:r>
      <w:r>
        <w:rPr>
          <w:spacing w:val="-6"/>
          <w:w w:val="105"/>
          <w:sz w:val="21"/>
        </w:rPr>
        <w:t> </w:t>
      </w:r>
      <w:r>
        <w:rPr>
          <w:spacing w:val="-3"/>
          <w:w w:val="105"/>
          <w:sz w:val="21"/>
        </w:rPr>
        <w:t>result</w:t>
      </w:r>
      <w:r>
        <w:rPr>
          <w:spacing w:val="-6"/>
          <w:w w:val="105"/>
          <w:sz w:val="21"/>
        </w:rPr>
        <w:t> </w:t>
      </w:r>
      <w:r>
        <w:rPr>
          <w:w w:val="105"/>
          <w:sz w:val="21"/>
        </w:rPr>
        <w:t>of</w:t>
      </w:r>
      <w:r>
        <w:rPr>
          <w:spacing w:val="-6"/>
          <w:w w:val="105"/>
          <w:sz w:val="21"/>
        </w:rPr>
        <w:t> </w:t>
      </w:r>
      <w:r>
        <w:rPr>
          <w:w w:val="105"/>
          <w:sz w:val="21"/>
        </w:rPr>
        <w:t>the</w:t>
      </w:r>
      <w:r>
        <w:rPr>
          <w:spacing w:val="-6"/>
          <w:w w:val="105"/>
          <w:sz w:val="21"/>
        </w:rPr>
        <w:t> </w:t>
      </w:r>
      <w:r>
        <w:rPr>
          <w:spacing w:val="-3"/>
          <w:w w:val="105"/>
          <w:sz w:val="21"/>
        </w:rPr>
        <w:t>Supreme</w:t>
      </w:r>
      <w:r>
        <w:rPr>
          <w:spacing w:val="-6"/>
          <w:w w:val="105"/>
          <w:sz w:val="21"/>
        </w:rPr>
        <w:t> </w:t>
      </w:r>
      <w:r>
        <w:rPr>
          <w:spacing w:val="-3"/>
          <w:w w:val="105"/>
          <w:sz w:val="21"/>
        </w:rPr>
        <w:t>Court</w:t>
      </w:r>
      <w:r>
        <w:rPr>
          <w:spacing w:val="-6"/>
          <w:w w:val="105"/>
          <w:sz w:val="21"/>
        </w:rPr>
        <w:t> </w:t>
      </w:r>
      <w:r>
        <w:rPr>
          <w:spacing w:val="-3"/>
          <w:w w:val="105"/>
          <w:sz w:val="21"/>
        </w:rPr>
        <w:t>historically</w:t>
      </w:r>
      <w:r>
        <w:rPr>
          <w:spacing w:val="-6"/>
          <w:w w:val="105"/>
          <w:sz w:val="21"/>
        </w:rPr>
        <w:t> </w:t>
      </w:r>
      <w:r>
        <w:rPr>
          <w:spacing w:val="-3"/>
          <w:w w:val="105"/>
          <w:sz w:val="21"/>
        </w:rPr>
        <w:t>having</w:t>
      </w:r>
      <w:r>
        <w:rPr>
          <w:spacing w:val="-6"/>
          <w:w w:val="105"/>
          <w:sz w:val="21"/>
        </w:rPr>
        <w:t> </w:t>
      </w:r>
      <w:r>
        <w:rPr>
          <w:w w:val="105"/>
          <w:sz w:val="21"/>
        </w:rPr>
        <w:t>jurisdiction </w:t>
      </w:r>
      <w:r>
        <w:rPr>
          <w:spacing w:val="-3"/>
          <w:w w:val="105"/>
          <w:sz w:val="21"/>
        </w:rPr>
        <w:t>for family provision, </w:t>
      </w:r>
      <w:r>
        <w:rPr>
          <w:w w:val="105"/>
          <w:sz w:val="21"/>
        </w:rPr>
        <w:t>or whether it is the </w:t>
      </w:r>
      <w:r>
        <w:rPr>
          <w:spacing w:val="-3"/>
          <w:w w:val="105"/>
          <w:sz w:val="21"/>
        </w:rPr>
        <w:t>result </w:t>
      </w:r>
      <w:r>
        <w:rPr>
          <w:w w:val="105"/>
          <w:sz w:val="21"/>
        </w:rPr>
        <w:t>of </w:t>
      </w:r>
      <w:r>
        <w:rPr>
          <w:spacing w:val="-3"/>
          <w:w w:val="105"/>
          <w:sz w:val="21"/>
        </w:rPr>
        <w:t>concerns </w:t>
      </w:r>
      <w:r>
        <w:rPr>
          <w:w w:val="105"/>
          <w:sz w:val="21"/>
        </w:rPr>
        <w:t>expressed by some legal practitioners </w:t>
      </w:r>
      <w:r>
        <w:rPr>
          <w:spacing w:val="-3"/>
          <w:w w:val="105"/>
          <w:sz w:val="21"/>
        </w:rPr>
        <w:t>that </w:t>
      </w:r>
      <w:r>
        <w:rPr>
          <w:w w:val="105"/>
          <w:sz w:val="21"/>
        </w:rPr>
        <w:t>the </w:t>
      </w:r>
      <w:r>
        <w:rPr>
          <w:spacing w:val="-3"/>
          <w:w w:val="105"/>
          <w:sz w:val="21"/>
        </w:rPr>
        <w:t>County Court brings </w:t>
      </w:r>
      <w:r>
        <w:rPr>
          <w:w w:val="105"/>
          <w:sz w:val="21"/>
        </w:rPr>
        <w:t>matters on too </w:t>
      </w:r>
      <w:r>
        <w:rPr>
          <w:spacing w:val="-4"/>
          <w:w w:val="105"/>
          <w:sz w:val="21"/>
        </w:rPr>
        <w:t>quickly, </w:t>
      </w:r>
      <w:r>
        <w:rPr>
          <w:w w:val="105"/>
          <w:sz w:val="21"/>
        </w:rPr>
        <w:t>lacks the necessary expertise or does </w:t>
      </w:r>
      <w:r>
        <w:rPr>
          <w:spacing w:val="-2"/>
          <w:w w:val="105"/>
          <w:sz w:val="21"/>
        </w:rPr>
        <w:t>not </w:t>
      </w:r>
      <w:r>
        <w:rPr>
          <w:w w:val="105"/>
          <w:sz w:val="21"/>
        </w:rPr>
        <w:t>offer </w:t>
      </w:r>
      <w:r>
        <w:rPr>
          <w:spacing w:val="-3"/>
          <w:w w:val="105"/>
          <w:sz w:val="21"/>
        </w:rPr>
        <w:t>consistent </w:t>
      </w:r>
      <w:r>
        <w:rPr>
          <w:w w:val="105"/>
          <w:sz w:val="21"/>
        </w:rPr>
        <w:t>decision </w:t>
      </w:r>
      <w:r>
        <w:rPr>
          <w:spacing w:val="-3"/>
          <w:w w:val="105"/>
          <w:sz w:val="21"/>
        </w:rPr>
        <w:t>making before </w:t>
      </w:r>
      <w:r>
        <w:rPr>
          <w:w w:val="105"/>
          <w:sz w:val="21"/>
        </w:rPr>
        <w:t>the same</w:t>
      </w:r>
      <w:r>
        <w:rPr>
          <w:spacing w:val="-1"/>
          <w:w w:val="105"/>
          <w:sz w:val="21"/>
        </w:rPr>
        <w:t> </w:t>
      </w:r>
      <w:r>
        <w:rPr>
          <w:w w:val="105"/>
          <w:sz w:val="21"/>
        </w:rPr>
        <w:t>judges.</w:t>
      </w:r>
      <w:r>
        <w:rPr>
          <w:w w:val="105"/>
          <w:position w:val="7"/>
          <w:sz w:val="12"/>
        </w:rPr>
        <w:t>82</w:t>
      </w:r>
    </w:p>
    <w:p>
      <w:pPr>
        <w:pStyle w:val="ListParagraph"/>
        <w:numPr>
          <w:ilvl w:val="1"/>
          <w:numId w:val="22"/>
        </w:numPr>
        <w:tabs>
          <w:tab w:pos="2381" w:val="left" w:leader="none"/>
          <w:tab w:pos="2382" w:val="left" w:leader="none"/>
        </w:tabs>
        <w:spacing w:line="242" w:lineRule="auto" w:before="129" w:after="0"/>
        <w:ind w:left="2381" w:right="1927" w:hanging="794"/>
        <w:jc w:val="left"/>
        <w:rPr>
          <w:sz w:val="21"/>
        </w:rPr>
      </w:pPr>
      <w:r>
        <w:rPr>
          <w:w w:val="105"/>
          <w:sz w:val="21"/>
        </w:rPr>
        <w:t>The</w:t>
      </w:r>
      <w:r>
        <w:rPr>
          <w:spacing w:val="-10"/>
          <w:w w:val="105"/>
          <w:sz w:val="21"/>
        </w:rPr>
        <w:t> </w:t>
      </w:r>
      <w:r>
        <w:rPr>
          <w:spacing w:val="-3"/>
          <w:w w:val="105"/>
          <w:sz w:val="21"/>
        </w:rPr>
        <w:t>Commission</w:t>
      </w:r>
      <w:r>
        <w:rPr>
          <w:spacing w:val="-9"/>
          <w:w w:val="105"/>
          <w:sz w:val="21"/>
        </w:rPr>
        <w:t> </w:t>
      </w:r>
      <w:r>
        <w:rPr>
          <w:w w:val="105"/>
          <w:sz w:val="21"/>
        </w:rPr>
        <w:t>considers</w:t>
      </w:r>
      <w:r>
        <w:rPr>
          <w:spacing w:val="-9"/>
          <w:w w:val="105"/>
          <w:sz w:val="21"/>
        </w:rPr>
        <w:t> </w:t>
      </w:r>
      <w:r>
        <w:rPr>
          <w:spacing w:val="-3"/>
          <w:w w:val="105"/>
          <w:sz w:val="21"/>
        </w:rPr>
        <w:t>that</w:t>
      </w:r>
      <w:r>
        <w:rPr>
          <w:spacing w:val="-9"/>
          <w:w w:val="105"/>
          <w:sz w:val="21"/>
        </w:rPr>
        <w:t> </w:t>
      </w:r>
      <w:r>
        <w:rPr>
          <w:spacing w:val="-3"/>
          <w:w w:val="105"/>
          <w:sz w:val="21"/>
        </w:rPr>
        <w:t>any</w:t>
      </w:r>
      <w:r>
        <w:rPr>
          <w:spacing w:val="-9"/>
          <w:w w:val="105"/>
          <w:sz w:val="21"/>
        </w:rPr>
        <w:t> </w:t>
      </w:r>
      <w:r>
        <w:rPr>
          <w:spacing w:val="-3"/>
          <w:w w:val="105"/>
          <w:sz w:val="21"/>
        </w:rPr>
        <w:t>concerns</w:t>
      </w:r>
      <w:r>
        <w:rPr>
          <w:spacing w:val="-10"/>
          <w:w w:val="105"/>
          <w:sz w:val="21"/>
        </w:rPr>
        <w:t> </w:t>
      </w:r>
      <w:r>
        <w:rPr>
          <w:w w:val="105"/>
          <w:sz w:val="21"/>
        </w:rPr>
        <w:t>about</w:t>
      </w:r>
      <w:r>
        <w:rPr>
          <w:spacing w:val="-9"/>
          <w:w w:val="105"/>
          <w:sz w:val="21"/>
        </w:rPr>
        <w:t> </w:t>
      </w:r>
      <w:r>
        <w:rPr>
          <w:w w:val="105"/>
          <w:sz w:val="21"/>
        </w:rPr>
        <w:t>the</w:t>
      </w:r>
      <w:r>
        <w:rPr>
          <w:spacing w:val="-9"/>
          <w:w w:val="105"/>
          <w:sz w:val="21"/>
        </w:rPr>
        <w:t> </w:t>
      </w:r>
      <w:r>
        <w:rPr>
          <w:w w:val="105"/>
          <w:sz w:val="21"/>
        </w:rPr>
        <w:t>expertise</w:t>
      </w:r>
      <w:r>
        <w:rPr>
          <w:spacing w:val="-9"/>
          <w:w w:val="105"/>
          <w:sz w:val="21"/>
        </w:rPr>
        <w:t> </w:t>
      </w:r>
      <w:r>
        <w:rPr>
          <w:w w:val="105"/>
          <w:sz w:val="21"/>
        </w:rPr>
        <w:t>or</w:t>
      </w:r>
      <w:r>
        <w:rPr>
          <w:spacing w:val="-9"/>
          <w:w w:val="105"/>
          <w:sz w:val="21"/>
        </w:rPr>
        <w:t> </w:t>
      </w:r>
      <w:r>
        <w:rPr>
          <w:w w:val="105"/>
          <w:sz w:val="21"/>
        </w:rPr>
        <w:t>quality</w:t>
      </w:r>
      <w:r>
        <w:rPr>
          <w:spacing w:val="-10"/>
          <w:w w:val="105"/>
          <w:sz w:val="21"/>
        </w:rPr>
        <w:t> </w:t>
      </w:r>
      <w:r>
        <w:rPr>
          <w:w w:val="105"/>
          <w:sz w:val="21"/>
        </w:rPr>
        <w:t>of</w:t>
      </w:r>
      <w:r>
        <w:rPr>
          <w:spacing w:val="-9"/>
          <w:w w:val="105"/>
          <w:sz w:val="21"/>
        </w:rPr>
        <w:t> </w:t>
      </w:r>
      <w:r>
        <w:rPr>
          <w:w w:val="105"/>
          <w:sz w:val="21"/>
        </w:rPr>
        <w:t>decision </w:t>
      </w:r>
      <w:r>
        <w:rPr>
          <w:spacing w:val="-3"/>
          <w:w w:val="105"/>
          <w:sz w:val="21"/>
        </w:rPr>
        <w:t>making </w:t>
      </w:r>
      <w:r>
        <w:rPr>
          <w:w w:val="105"/>
          <w:sz w:val="21"/>
        </w:rPr>
        <w:t>in the </w:t>
      </w:r>
      <w:r>
        <w:rPr>
          <w:spacing w:val="-3"/>
          <w:w w:val="105"/>
          <w:sz w:val="21"/>
        </w:rPr>
        <w:t>County Court are </w:t>
      </w:r>
      <w:r>
        <w:rPr>
          <w:w w:val="105"/>
          <w:sz w:val="21"/>
        </w:rPr>
        <w:t>without basis. Practitioners who </w:t>
      </w:r>
      <w:r>
        <w:rPr>
          <w:spacing w:val="-3"/>
          <w:w w:val="105"/>
          <w:sz w:val="21"/>
        </w:rPr>
        <w:t>were </w:t>
      </w:r>
      <w:r>
        <w:rPr>
          <w:w w:val="105"/>
          <w:sz w:val="21"/>
        </w:rPr>
        <w:t>experienced in conducting </w:t>
      </w:r>
      <w:r>
        <w:rPr>
          <w:spacing w:val="-3"/>
          <w:w w:val="105"/>
          <w:sz w:val="21"/>
        </w:rPr>
        <w:t>family provision proceedings were </w:t>
      </w:r>
      <w:r>
        <w:rPr>
          <w:w w:val="105"/>
          <w:sz w:val="21"/>
        </w:rPr>
        <w:t>satisfied with the quality of the service provided in the </w:t>
      </w:r>
      <w:r>
        <w:rPr>
          <w:spacing w:val="-3"/>
          <w:w w:val="105"/>
          <w:sz w:val="21"/>
        </w:rPr>
        <w:t>County Court. </w:t>
      </w:r>
      <w:r>
        <w:rPr>
          <w:spacing w:val="-4"/>
          <w:w w:val="105"/>
          <w:sz w:val="21"/>
        </w:rPr>
        <w:t>However, </w:t>
      </w:r>
      <w:r>
        <w:rPr>
          <w:w w:val="105"/>
          <w:sz w:val="21"/>
        </w:rPr>
        <w:t>the </w:t>
      </w:r>
      <w:r>
        <w:rPr>
          <w:spacing w:val="-3"/>
          <w:w w:val="105"/>
          <w:sz w:val="21"/>
        </w:rPr>
        <w:t>Commission </w:t>
      </w:r>
      <w:r>
        <w:rPr>
          <w:w w:val="105"/>
          <w:sz w:val="21"/>
        </w:rPr>
        <w:t>considers </w:t>
      </w:r>
      <w:r>
        <w:rPr>
          <w:spacing w:val="-3"/>
          <w:w w:val="105"/>
          <w:sz w:val="21"/>
        </w:rPr>
        <w:t>that, for </w:t>
      </w:r>
      <w:r>
        <w:rPr>
          <w:w w:val="105"/>
          <w:sz w:val="21"/>
        </w:rPr>
        <w:t>as</w:t>
      </w:r>
      <w:r>
        <w:rPr>
          <w:spacing w:val="35"/>
          <w:w w:val="105"/>
          <w:sz w:val="21"/>
        </w:rPr>
        <w:t> </w:t>
      </w:r>
      <w:r>
        <w:rPr>
          <w:w w:val="105"/>
          <w:sz w:val="21"/>
        </w:rPr>
        <w:t>long</w:t>
      </w:r>
    </w:p>
    <w:p>
      <w:pPr>
        <w:pStyle w:val="BodyText"/>
        <w:spacing w:line="242" w:lineRule="auto" w:before="4"/>
        <w:ind w:left="2381" w:right="1619"/>
      </w:pPr>
      <w:r>
        <w:rPr>
          <w:w w:val="105"/>
        </w:rPr>
        <w:t>as both the </w:t>
      </w:r>
      <w:r>
        <w:rPr>
          <w:spacing w:val="-3"/>
          <w:w w:val="105"/>
        </w:rPr>
        <w:t>County Court </w:t>
      </w:r>
      <w:r>
        <w:rPr>
          <w:w w:val="105"/>
        </w:rPr>
        <w:t>and the </w:t>
      </w:r>
      <w:r>
        <w:rPr>
          <w:spacing w:val="-3"/>
          <w:w w:val="105"/>
        </w:rPr>
        <w:t>Supreme Court have unlimited </w:t>
      </w:r>
      <w:r>
        <w:rPr>
          <w:w w:val="105"/>
        </w:rPr>
        <w:t>jurisdiction in </w:t>
      </w:r>
      <w:r>
        <w:rPr>
          <w:spacing w:val="-3"/>
          <w:w w:val="105"/>
        </w:rPr>
        <w:t>family provision, </w:t>
      </w:r>
      <w:r>
        <w:rPr>
          <w:w w:val="105"/>
        </w:rPr>
        <w:t>the </w:t>
      </w:r>
      <w:r>
        <w:rPr>
          <w:spacing w:val="-3"/>
          <w:w w:val="105"/>
        </w:rPr>
        <w:t>traditional </w:t>
      </w:r>
      <w:r>
        <w:rPr>
          <w:w w:val="105"/>
        </w:rPr>
        <w:t>practice of the majority of </w:t>
      </w:r>
      <w:r>
        <w:rPr>
          <w:spacing w:val="-3"/>
          <w:w w:val="105"/>
        </w:rPr>
        <w:t>claims </w:t>
      </w:r>
      <w:r>
        <w:rPr>
          <w:w w:val="105"/>
        </w:rPr>
        <w:t>being </w:t>
      </w:r>
      <w:r>
        <w:rPr>
          <w:spacing w:val="-3"/>
          <w:w w:val="105"/>
        </w:rPr>
        <w:t>commenced </w:t>
      </w:r>
      <w:r>
        <w:rPr>
          <w:w w:val="105"/>
        </w:rPr>
        <w:t>in the </w:t>
      </w:r>
      <w:r>
        <w:rPr>
          <w:spacing w:val="-3"/>
          <w:w w:val="105"/>
        </w:rPr>
        <w:t>Supreme Court will </w:t>
      </w:r>
      <w:r>
        <w:rPr>
          <w:spacing w:val="-4"/>
          <w:w w:val="105"/>
        </w:rPr>
        <w:t>continue.</w:t>
      </w:r>
    </w:p>
    <w:p>
      <w:pPr>
        <w:pStyle w:val="ListParagraph"/>
        <w:numPr>
          <w:ilvl w:val="1"/>
          <w:numId w:val="22"/>
        </w:numPr>
        <w:tabs>
          <w:tab w:pos="2381" w:val="left" w:leader="none"/>
          <w:tab w:pos="2382" w:val="left" w:leader="none"/>
        </w:tabs>
        <w:spacing w:line="242" w:lineRule="auto" w:before="123" w:after="0"/>
        <w:ind w:left="2381" w:right="1843" w:hanging="794"/>
        <w:jc w:val="left"/>
        <w:rPr>
          <w:sz w:val="21"/>
        </w:rPr>
      </w:pPr>
      <w:r>
        <w:rPr>
          <w:w w:val="105"/>
          <w:sz w:val="21"/>
        </w:rPr>
        <w:t>For these </w:t>
      </w:r>
      <w:r>
        <w:rPr>
          <w:spacing w:val="-3"/>
          <w:w w:val="105"/>
          <w:sz w:val="21"/>
        </w:rPr>
        <w:t>reasons, </w:t>
      </w:r>
      <w:r>
        <w:rPr>
          <w:w w:val="105"/>
          <w:sz w:val="21"/>
        </w:rPr>
        <w:t>the </w:t>
      </w:r>
      <w:r>
        <w:rPr>
          <w:spacing w:val="-3"/>
          <w:w w:val="105"/>
          <w:sz w:val="21"/>
        </w:rPr>
        <w:t>Commission recommends that </w:t>
      </w:r>
      <w:r>
        <w:rPr>
          <w:w w:val="105"/>
          <w:sz w:val="21"/>
        </w:rPr>
        <w:t>the </w:t>
      </w:r>
      <w:r>
        <w:rPr>
          <w:spacing w:val="-3"/>
          <w:w w:val="105"/>
          <w:sz w:val="21"/>
        </w:rPr>
        <w:t>County Court </w:t>
      </w:r>
      <w:r>
        <w:rPr>
          <w:w w:val="105"/>
          <w:sz w:val="21"/>
        </w:rPr>
        <w:t>should </w:t>
      </w:r>
      <w:r>
        <w:rPr>
          <w:spacing w:val="-3"/>
          <w:w w:val="105"/>
          <w:sz w:val="21"/>
        </w:rPr>
        <w:t>have exclusive</w:t>
      </w:r>
      <w:r>
        <w:rPr>
          <w:spacing w:val="-13"/>
          <w:w w:val="105"/>
          <w:sz w:val="21"/>
        </w:rPr>
        <w:t> </w:t>
      </w:r>
      <w:r>
        <w:rPr>
          <w:w w:val="105"/>
          <w:sz w:val="21"/>
        </w:rPr>
        <w:t>jurisdiction</w:t>
      </w:r>
      <w:r>
        <w:rPr>
          <w:spacing w:val="-13"/>
          <w:w w:val="105"/>
          <w:sz w:val="21"/>
        </w:rPr>
        <w:t> </w:t>
      </w:r>
      <w:r>
        <w:rPr>
          <w:w w:val="105"/>
          <w:sz w:val="21"/>
        </w:rPr>
        <w:t>over</w:t>
      </w:r>
      <w:r>
        <w:rPr>
          <w:spacing w:val="-12"/>
          <w:w w:val="105"/>
          <w:sz w:val="21"/>
        </w:rPr>
        <w:t> </w:t>
      </w:r>
      <w:r>
        <w:rPr>
          <w:spacing w:val="-3"/>
          <w:w w:val="105"/>
          <w:sz w:val="21"/>
        </w:rPr>
        <w:t>family</w:t>
      </w:r>
      <w:r>
        <w:rPr>
          <w:spacing w:val="-13"/>
          <w:w w:val="105"/>
          <w:sz w:val="21"/>
        </w:rPr>
        <w:t> </w:t>
      </w:r>
      <w:r>
        <w:rPr>
          <w:spacing w:val="-3"/>
          <w:w w:val="105"/>
          <w:sz w:val="21"/>
        </w:rPr>
        <w:t>provision</w:t>
      </w:r>
      <w:r>
        <w:rPr>
          <w:spacing w:val="-12"/>
          <w:w w:val="105"/>
          <w:sz w:val="21"/>
        </w:rPr>
        <w:t> </w:t>
      </w:r>
      <w:r>
        <w:rPr>
          <w:spacing w:val="-3"/>
          <w:w w:val="105"/>
          <w:sz w:val="21"/>
        </w:rPr>
        <w:t>claims</w:t>
      </w:r>
      <w:r>
        <w:rPr>
          <w:spacing w:val="-13"/>
          <w:w w:val="105"/>
          <w:sz w:val="21"/>
        </w:rPr>
        <w:t> </w:t>
      </w:r>
      <w:r>
        <w:rPr>
          <w:w w:val="105"/>
          <w:sz w:val="21"/>
        </w:rPr>
        <w:t>where</w:t>
      </w:r>
      <w:r>
        <w:rPr>
          <w:spacing w:val="-12"/>
          <w:w w:val="105"/>
          <w:sz w:val="21"/>
        </w:rPr>
        <w:t> </w:t>
      </w:r>
      <w:r>
        <w:rPr>
          <w:w w:val="105"/>
          <w:sz w:val="21"/>
        </w:rPr>
        <w:t>the</w:t>
      </w:r>
      <w:r>
        <w:rPr>
          <w:spacing w:val="-13"/>
          <w:w w:val="105"/>
          <w:sz w:val="21"/>
        </w:rPr>
        <w:t> </w:t>
      </w:r>
      <w:r>
        <w:rPr>
          <w:w w:val="105"/>
          <w:sz w:val="21"/>
        </w:rPr>
        <w:t>net</w:t>
      </w:r>
      <w:r>
        <w:rPr>
          <w:spacing w:val="-12"/>
          <w:w w:val="105"/>
          <w:sz w:val="21"/>
        </w:rPr>
        <w:t> </w:t>
      </w:r>
      <w:r>
        <w:rPr>
          <w:spacing w:val="-3"/>
          <w:w w:val="105"/>
          <w:sz w:val="21"/>
        </w:rPr>
        <w:t>value</w:t>
      </w:r>
      <w:r>
        <w:rPr>
          <w:spacing w:val="-13"/>
          <w:w w:val="105"/>
          <w:sz w:val="21"/>
        </w:rPr>
        <w:t> </w:t>
      </w:r>
      <w:r>
        <w:rPr>
          <w:w w:val="105"/>
          <w:sz w:val="21"/>
        </w:rPr>
        <w:t>of</w:t>
      </w:r>
      <w:r>
        <w:rPr>
          <w:spacing w:val="-12"/>
          <w:w w:val="105"/>
          <w:sz w:val="21"/>
        </w:rPr>
        <w:t> </w:t>
      </w:r>
      <w:r>
        <w:rPr>
          <w:w w:val="105"/>
          <w:sz w:val="21"/>
        </w:rPr>
        <w:t>the</w:t>
      </w:r>
      <w:r>
        <w:rPr>
          <w:spacing w:val="-13"/>
          <w:w w:val="105"/>
          <w:sz w:val="21"/>
        </w:rPr>
        <w:t> </w:t>
      </w:r>
      <w:r>
        <w:rPr>
          <w:w w:val="105"/>
          <w:sz w:val="21"/>
        </w:rPr>
        <w:t>estate</w:t>
      </w:r>
      <w:r>
        <w:rPr>
          <w:spacing w:val="-13"/>
          <w:w w:val="105"/>
          <w:sz w:val="21"/>
        </w:rPr>
        <w:t> </w:t>
      </w:r>
      <w:r>
        <w:rPr>
          <w:w w:val="105"/>
          <w:sz w:val="21"/>
        </w:rPr>
        <w:t>does </w:t>
      </w:r>
      <w:r>
        <w:rPr>
          <w:spacing w:val="-2"/>
          <w:w w:val="105"/>
          <w:sz w:val="21"/>
        </w:rPr>
        <w:t>not </w:t>
      </w:r>
      <w:r>
        <w:rPr>
          <w:w w:val="105"/>
          <w:sz w:val="21"/>
        </w:rPr>
        <w:t>exceed $500,000. Estates of this </w:t>
      </w:r>
      <w:r>
        <w:rPr>
          <w:spacing w:val="-3"/>
          <w:w w:val="105"/>
          <w:sz w:val="21"/>
        </w:rPr>
        <w:t>amount are </w:t>
      </w:r>
      <w:r>
        <w:rPr>
          <w:spacing w:val="-4"/>
          <w:w w:val="105"/>
          <w:sz w:val="21"/>
        </w:rPr>
        <w:t>likely </w:t>
      </w:r>
      <w:r>
        <w:rPr>
          <w:spacing w:val="-3"/>
          <w:w w:val="105"/>
          <w:sz w:val="21"/>
        </w:rPr>
        <w:t>to </w:t>
      </w:r>
      <w:r>
        <w:rPr>
          <w:w w:val="105"/>
          <w:sz w:val="21"/>
        </w:rPr>
        <w:t>be </w:t>
      </w:r>
      <w:r>
        <w:rPr>
          <w:spacing w:val="-3"/>
          <w:w w:val="105"/>
          <w:sz w:val="21"/>
        </w:rPr>
        <w:t>relatively simple </w:t>
      </w:r>
      <w:r>
        <w:rPr>
          <w:w w:val="105"/>
          <w:sz w:val="21"/>
        </w:rPr>
        <w:t>estates, with no more </w:t>
      </w:r>
      <w:r>
        <w:rPr>
          <w:spacing w:val="-3"/>
          <w:w w:val="105"/>
          <w:sz w:val="21"/>
        </w:rPr>
        <w:t>than </w:t>
      </w:r>
      <w:r>
        <w:rPr>
          <w:w w:val="105"/>
          <w:sz w:val="21"/>
        </w:rPr>
        <w:t>one piece of </w:t>
      </w:r>
      <w:r>
        <w:rPr>
          <w:spacing w:val="-3"/>
          <w:w w:val="105"/>
          <w:sz w:val="21"/>
        </w:rPr>
        <w:t>real </w:t>
      </w:r>
      <w:r>
        <w:rPr>
          <w:w w:val="105"/>
          <w:sz w:val="21"/>
        </w:rPr>
        <w:t>property (if any). The </w:t>
      </w:r>
      <w:r>
        <w:rPr>
          <w:spacing w:val="-3"/>
          <w:w w:val="105"/>
          <w:sz w:val="21"/>
        </w:rPr>
        <w:t>Commission </w:t>
      </w:r>
      <w:r>
        <w:rPr>
          <w:w w:val="105"/>
          <w:sz w:val="21"/>
        </w:rPr>
        <w:t>considers </w:t>
      </w:r>
      <w:r>
        <w:rPr>
          <w:spacing w:val="-3"/>
          <w:w w:val="105"/>
          <w:sz w:val="21"/>
        </w:rPr>
        <w:t>that cordoning</w:t>
      </w:r>
      <w:r>
        <w:rPr>
          <w:spacing w:val="2"/>
          <w:w w:val="105"/>
          <w:sz w:val="21"/>
        </w:rPr>
        <w:t> </w:t>
      </w:r>
      <w:r>
        <w:rPr>
          <w:w w:val="105"/>
          <w:sz w:val="21"/>
        </w:rPr>
        <w:t>off</w:t>
      </w:r>
      <w:r>
        <w:rPr>
          <w:spacing w:val="3"/>
          <w:w w:val="105"/>
          <w:sz w:val="21"/>
        </w:rPr>
        <w:t> </w:t>
      </w:r>
      <w:r>
        <w:rPr>
          <w:w w:val="105"/>
          <w:sz w:val="21"/>
        </w:rPr>
        <w:t>a</w:t>
      </w:r>
      <w:r>
        <w:rPr>
          <w:spacing w:val="3"/>
          <w:w w:val="105"/>
          <w:sz w:val="21"/>
        </w:rPr>
        <w:t> </w:t>
      </w:r>
      <w:r>
        <w:rPr>
          <w:w w:val="105"/>
          <w:sz w:val="21"/>
        </w:rPr>
        <w:t>portion</w:t>
      </w:r>
      <w:r>
        <w:rPr>
          <w:spacing w:val="3"/>
          <w:w w:val="105"/>
          <w:sz w:val="21"/>
        </w:rPr>
        <w:t> </w:t>
      </w:r>
      <w:r>
        <w:rPr>
          <w:w w:val="105"/>
          <w:sz w:val="21"/>
        </w:rPr>
        <w:t>of</w:t>
      </w:r>
      <w:r>
        <w:rPr>
          <w:spacing w:val="3"/>
          <w:w w:val="105"/>
          <w:sz w:val="21"/>
        </w:rPr>
        <w:t> </w:t>
      </w:r>
      <w:r>
        <w:rPr>
          <w:spacing w:val="-3"/>
          <w:w w:val="105"/>
          <w:sz w:val="21"/>
        </w:rPr>
        <w:t>family</w:t>
      </w:r>
      <w:r>
        <w:rPr>
          <w:spacing w:val="3"/>
          <w:w w:val="105"/>
          <w:sz w:val="21"/>
        </w:rPr>
        <w:t> </w:t>
      </w:r>
      <w:r>
        <w:rPr>
          <w:spacing w:val="-3"/>
          <w:w w:val="105"/>
          <w:sz w:val="21"/>
        </w:rPr>
        <w:t>provision</w:t>
      </w:r>
      <w:r>
        <w:rPr>
          <w:spacing w:val="3"/>
          <w:w w:val="105"/>
          <w:sz w:val="21"/>
        </w:rPr>
        <w:t> </w:t>
      </w:r>
      <w:r>
        <w:rPr>
          <w:spacing w:val="-3"/>
          <w:w w:val="105"/>
          <w:sz w:val="21"/>
        </w:rPr>
        <w:t>claims</w:t>
      </w:r>
      <w:r>
        <w:rPr>
          <w:spacing w:val="3"/>
          <w:w w:val="105"/>
          <w:sz w:val="21"/>
        </w:rPr>
        <w:t> </w:t>
      </w:r>
      <w:r>
        <w:rPr>
          <w:spacing w:val="-3"/>
          <w:w w:val="105"/>
          <w:sz w:val="21"/>
        </w:rPr>
        <w:t>for</w:t>
      </w:r>
      <w:r>
        <w:rPr>
          <w:spacing w:val="3"/>
          <w:w w:val="105"/>
          <w:sz w:val="21"/>
        </w:rPr>
        <w:t> </w:t>
      </w:r>
      <w:r>
        <w:rPr>
          <w:w w:val="105"/>
          <w:sz w:val="21"/>
        </w:rPr>
        <w:t>the</w:t>
      </w:r>
      <w:r>
        <w:rPr>
          <w:spacing w:val="3"/>
          <w:w w:val="105"/>
          <w:sz w:val="21"/>
        </w:rPr>
        <w:t> </w:t>
      </w:r>
      <w:r>
        <w:rPr>
          <w:spacing w:val="-3"/>
          <w:w w:val="105"/>
          <w:sz w:val="21"/>
        </w:rPr>
        <w:t>County</w:t>
      </w:r>
      <w:r>
        <w:rPr>
          <w:spacing w:val="2"/>
          <w:w w:val="105"/>
          <w:sz w:val="21"/>
        </w:rPr>
        <w:t> </w:t>
      </w:r>
      <w:r>
        <w:rPr>
          <w:spacing w:val="-3"/>
          <w:w w:val="105"/>
          <w:sz w:val="21"/>
        </w:rPr>
        <w:t>Court</w:t>
      </w:r>
      <w:r>
        <w:rPr>
          <w:spacing w:val="3"/>
          <w:w w:val="105"/>
          <w:sz w:val="21"/>
        </w:rPr>
        <w:t> </w:t>
      </w:r>
      <w:r>
        <w:rPr>
          <w:spacing w:val="-3"/>
          <w:w w:val="105"/>
          <w:sz w:val="21"/>
        </w:rPr>
        <w:t>to</w:t>
      </w:r>
      <w:r>
        <w:rPr>
          <w:spacing w:val="3"/>
          <w:w w:val="105"/>
          <w:sz w:val="21"/>
        </w:rPr>
        <w:t> </w:t>
      </w:r>
      <w:r>
        <w:rPr>
          <w:spacing w:val="-3"/>
          <w:w w:val="105"/>
          <w:sz w:val="21"/>
        </w:rPr>
        <w:t>determine</w:t>
      </w:r>
    </w:p>
    <w:p>
      <w:pPr>
        <w:pStyle w:val="BodyText"/>
        <w:spacing w:before="6"/>
        <w:ind w:left="2381"/>
      </w:pPr>
      <w:r>
        <w:rPr>
          <w:w w:val="105"/>
        </w:rPr>
        <w:t>will build greater confidence in the County Court among members of the legal profession.</w:t>
      </w:r>
    </w:p>
    <w:p>
      <w:pPr>
        <w:pStyle w:val="ListParagraph"/>
        <w:numPr>
          <w:ilvl w:val="1"/>
          <w:numId w:val="22"/>
        </w:numPr>
        <w:tabs>
          <w:tab w:pos="2381" w:val="left" w:leader="none"/>
          <w:tab w:pos="2382" w:val="left" w:leader="none"/>
        </w:tabs>
        <w:spacing w:line="242" w:lineRule="auto" w:before="124" w:after="0"/>
        <w:ind w:left="2381" w:right="2059" w:hanging="794"/>
        <w:jc w:val="left"/>
        <w:rPr>
          <w:sz w:val="12"/>
        </w:rPr>
      </w:pPr>
      <w:r>
        <w:rPr>
          <w:w w:val="105"/>
          <w:sz w:val="21"/>
        </w:rPr>
        <w:t>The</w:t>
      </w:r>
      <w:r>
        <w:rPr>
          <w:spacing w:val="-5"/>
          <w:w w:val="105"/>
          <w:sz w:val="21"/>
        </w:rPr>
        <w:t> </w:t>
      </w:r>
      <w:r>
        <w:rPr>
          <w:spacing w:val="-3"/>
          <w:w w:val="105"/>
          <w:sz w:val="21"/>
        </w:rPr>
        <w:t>relevant</w:t>
      </w:r>
      <w:r>
        <w:rPr>
          <w:spacing w:val="-5"/>
          <w:w w:val="105"/>
          <w:sz w:val="21"/>
        </w:rPr>
        <w:t> </w:t>
      </w:r>
      <w:r>
        <w:rPr>
          <w:spacing w:val="-3"/>
          <w:w w:val="105"/>
          <w:sz w:val="21"/>
        </w:rPr>
        <w:t>provisions</w:t>
      </w:r>
      <w:r>
        <w:rPr>
          <w:spacing w:val="-5"/>
          <w:w w:val="105"/>
          <w:sz w:val="21"/>
        </w:rPr>
        <w:t> </w:t>
      </w:r>
      <w:r>
        <w:rPr>
          <w:w w:val="105"/>
          <w:sz w:val="21"/>
        </w:rPr>
        <w:t>of</w:t>
      </w:r>
      <w:r>
        <w:rPr>
          <w:spacing w:val="-5"/>
          <w:w w:val="105"/>
          <w:sz w:val="21"/>
        </w:rPr>
        <w:t> </w:t>
      </w:r>
      <w:r>
        <w:rPr>
          <w:w w:val="105"/>
          <w:sz w:val="21"/>
        </w:rPr>
        <w:t>the</w:t>
      </w:r>
      <w:r>
        <w:rPr>
          <w:spacing w:val="-5"/>
          <w:w w:val="105"/>
          <w:sz w:val="21"/>
        </w:rPr>
        <w:t> </w:t>
      </w:r>
      <w:r>
        <w:rPr>
          <w:spacing w:val="-3"/>
          <w:w w:val="105"/>
          <w:sz w:val="21"/>
        </w:rPr>
        <w:t>Administration</w:t>
      </w:r>
      <w:r>
        <w:rPr>
          <w:spacing w:val="-5"/>
          <w:w w:val="105"/>
          <w:sz w:val="21"/>
        </w:rPr>
        <w:t> </w:t>
      </w:r>
      <w:r>
        <w:rPr>
          <w:w w:val="105"/>
          <w:sz w:val="21"/>
        </w:rPr>
        <w:t>and</w:t>
      </w:r>
      <w:r>
        <w:rPr>
          <w:spacing w:val="-5"/>
          <w:w w:val="105"/>
          <w:sz w:val="21"/>
        </w:rPr>
        <w:t> </w:t>
      </w:r>
      <w:r>
        <w:rPr>
          <w:spacing w:val="-3"/>
          <w:w w:val="105"/>
          <w:sz w:val="21"/>
        </w:rPr>
        <w:t>Probate</w:t>
      </w:r>
      <w:r>
        <w:rPr>
          <w:spacing w:val="-5"/>
          <w:w w:val="105"/>
          <w:sz w:val="21"/>
        </w:rPr>
        <w:t> </w:t>
      </w:r>
      <w:r>
        <w:rPr>
          <w:w w:val="105"/>
          <w:sz w:val="21"/>
        </w:rPr>
        <w:t>Act</w:t>
      </w:r>
      <w:r>
        <w:rPr>
          <w:spacing w:val="-5"/>
          <w:w w:val="105"/>
          <w:sz w:val="21"/>
        </w:rPr>
        <w:t> </w:t>
      </w:r>
      <w:r>
        <w:rPr>
          <w:w w:val="105"/>
          <w:sz w:val="21"/>
        </w:rPr>
        <w:t>should</w:t>
      </w:r>
      <w:r>
        <w:rPr>
          <w:spacing w:val="-5"/>
          <w:w w:val="105"/>
          <w:sz w:val="21"/>
        </w:rPr>
        <w:t> </w:t>
      </w:r>
      <w:r>
        <w:rPr>
          <w:w w:val="105"/>
          <w:sz w:val="21"/>
        </w:rPr>
        <w:t>be</w:t>
      </w:r>
      <w:r>
        <w:rPr>
          <w:spacing w:val="-5"/>
          <w:w w:val="105"/>
          <w:sz w:val="21"/>
        </w:rPr>
        <w:t> </w:t>
      </w:r>
      <w:r>
        <w:rPr>
          <w:w w:val="105"/>
          <w:sz w:val="21"/>
        </w:rPr>
        <w:t>amended</w:t>
      </w:r>
      <w:r>
        <w:rPr>
          <w:spacing w:val="-5"/>
          <w:w w:val="105"/>
          <w:sz w:val="21"/>
        </w:rPr>
        <w:t> </w:t>
      </w:r>
      <w:r>
        <w:rPr>
          <w:spacing w:val="-3"/>
          <w:w w:val="105"/>
          <w:sz w:val="21"/>
        </w:rPr>
        <w:t>to </w:t>
      </w:r>
      <w:r>
        <w:rPr>
          <w:w w:val="105"/>
          <w:sz w:val="21"/>
        </w:rPr>
        <w:t>provide </w:t>
      </w:r>
      <w:r>
        <w:rPr>
          <w:spacing w:val="-3"/>
          <w:w w:val="105"/>
          <w:sz w:val="21"/>
        </w:rPr>
        <w:t>for</w:t>
      </w:r>
      <w:r>
        <w:rPr>
          <w:spacing w:val="10"/>
          <w:w w:val="105"/>
          <w:sz w:val="21"/>
        </w:rPr>
        <w:t> </w:t>
      </w:r>
      <w:r>
        <w:rPr>
          <w:w w:val="105"/>
          <w:sz w:val="21"/>
        </w:rPr>
        <w:t>this.</w:t>
      </w:r>
      <w:r>
        <w:rPr>
          <w:w w:val="105"/>
          <w:position w:val="7"/>
          <w:sz w:val="12"/>
        </w:rPr>
        <w:t>83</w:t>
      </w:r>
    </w:p>
    <w:p>
      <w:pPr>
        <w:pStyle w:val="BodyText"/>
        <w:rPr>
          <w:sz w:val="20"/>
        </w:rPr>
      </w:pPr>
    </w:p>
    <w:p>
      <w:pPr>
        <w:pStyle w:val="BodyText"/>
        <w:rPr>
          <w:sz w:val="20"/>
        </w:rPr>
      </w:pPr>
    </w:p>
    <w:p>
      <w:pPr>
        <w:pStyle w:val="BodyText"/>
        <w:rPr>
          <w:sz w:val="20"/>
        </w:rPr>
      </w:pPr>
    </w:p>
    <w:p>
      <w:pPr>
        <w:pStyle w:val="BodyText"/>
        <w:spacing w:before="8"/>
        <w:rPr>
          <w:sz w:val="23"/>
        </w:rPr>
      </w:pPr>
      <w:r>
        <w:rPr/>
        <w:pict>
          <v:line style="position:absolute;mso-position-horizontal-relative:page;mso-position-vertical-relative:paragraph;z-index:6872;mso-wrap-distance-left:0;mso-wrap-distance-right:0" from="79.370102pt,16.932238pt" to="515.905102pt,16.932238pt" stroked="true" strokeweight="1pt" strokecolor="#f9ceca">
            <v:stroke dashstyle="solid"/>
            <w10:wrap type="topAndBottom"/>
          </v:line>
        </w:pict>
      </w:r>
    </w:p>
    <w:p>
      <w:pPr>
        <w:pStyle w:val="BodyText"/>
        <w:spacing w:before="8"/>
        <w:rPr>
          <w:sz w:val="5"/>
        </w:rPr>
      </w:pPr>
    </w:p>
    <w:p>
      <w:pPr>
        <w:spacing w:after="0"/>
        <w:rPr>
          <w:sz w:val="5"/>
        </w:rPr>
        <w:sectPr>
          <w:pgSz w:w="11910" w:h="16840"/>
          <w:pgMar w:header="550" w:footer="0" w:top="1560" w:bottom="280" w:left="0" w:right="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40"/>
        </w:rPr>
      </w:pPr>
    </w:p>
    <w:p>
      <w:pPr>
        <w:spacing w:before="1"/>
        <w:ind w:left="720" w:right="0" w:firstLine="0"/>
        <w:jc w:val="left"/>
        <w:rPr>
          <w:b/>
          <w:sz w:val="24"/>
        </w:rPr>
      </w:pPr>
      <w:r>
        <w:rPr>
          <w:b/>
          <w:color w:val="EC5A4F"/>
          <w:spacing w:val="-1"/>
          <w:w w:val="110"/>
          <w:sz w:val="24"/>
        </w:rPr>
        <w:t>106</w:t>
      </w:r>
    </w:p>
    <w:p>
      <w:pPr>
        <w:pStyle w:val="ListParagraph"/>
        <w:numPr>
          <w:ilvl w:val="0"/>
          <w:numId w:val="79"/>
        </w:numPr>
        <w:tabs>
          <w:tab w:pos="1222" w:val="left" w:leader="none"/>
          <w:tab w:pos="1223" w:val="left" w:leader="none"/>
        </w:tabs>
        <w:spacing w:line="240" w:lineRule="auto" w:before="48" w:after="0"/>
        <w:ind w:left="1222" w:right="2686" w:hanging="794"/>
        <w:jc w:val="left"/>
        <w:rPr>
          <w:sz w:val="13"/>
        </w:rPr>
      </w:pPr>
      <w:r>
        <w:rPr>
          <w:w w:val="108"/>
          <w:sz w:val="13"/>
        </w:rPr>
        <w:br w:type="column"/>
      </w:r>
      <w:r>
        <w:rPr>
          <w:w w:val="105"/>
          <w:sz w:val="13"/>
        </w:rPr>
        <w:t>Submissions </w:t>
      </w:r>
      <w:r>
        <w:rPr>
          <w:spacing w:val="-3"/>
          <w:w w:val="105"/>
          <w:sz w:val="13"/>
        </w:rPr>
        <w:t>14 </w:t>
      </w:r>
      <w:r>
        <w:rPr>
          <w:w w:val="105"/>
          <w:sz w:val="13"/>
        </w:rPr>
        <w:t>(Commercial Bar </w:t>
      </w:r>
      <w:r>
        <w:rPr>
          <w:spacing w:val="2"/>
          <w:w w:val="105"/>
          <w:sz w:val="13"/>
        </w:rPr>
        <w:t>Association); </w:t>
      </w:r>
      <w:r>
        <w:rPr>
          <w:w w:val="105"/>
          <w:sz w:val="13"/>
        </w:rPr>
        <w:t>25 </w:t>
      </w:r>
      <w:r>
        <w:rPr>
          <w:spacing w:val="2"/>
          <w:w w:val="105"/>
          <w:sz w:val="13"/>
        </w:rPr>
        <w:t>(Moores </w:t>
      </w:r>
      <w:r>
        <w:rPr>
          <w:w w:val="105"/>
          <w:sz w:val="13"/>
        </w:rPr>
        <w:t>Legal); 26 </w:t>
      </w:r>
      <w:r>
        <w:rPr>
          <w:spacing w:val="2"/>
          <w:w w:val="105"/>
          <w:sz w:val="13"/>
        </w:rPr>
        <w:t>(Rigby </w:t>
      </w:r>
      <w:r>
        <w:rPr>
          <w:w w:val="105"/>
          <w:sz w:val="13"/>
        </w:rPr>
        <w:t>Cooke </w:t>
      </w:r>
      <w:r>
        <w:rPr>
          <w:spacing w:val="2"/>
          <w:w w:val="105"/>
          <w:sz w:val="13"/>
        </w:rPr>
        <w:t>Lawyers); </w:t>
      </w:r>
      <w:r>
        <w:rPr>
          <w:w w:val="105"/>
          <w:sz w:val="13"/>
        </w:rPr>
        <w:t>33 (State Trustees Limited); 35 (Andrew Verspaandonk); 39 (Carolyn Sparke</w:t>
      </w:r>
      <w:r>
        <w:rPr>
          <w:spacing w:val="30"/>
          <w:w w:val="105"/>
          <w:sz w:val="13"/>
        </w:rPr>
        <w:t> </w:t>
      </w:r>
      <w:r>
        <w:rPr>
          <w:w w:val="105"/>
          <w:sz w:val="13"/>
        </w:rPr>
        <w:t>SC).</w:t>
      </w:r>
    </w:p>
    <w:p>
      <w:pPr>
        <w:pStyle w:val="ListParagraph"/>
        <w:numPr>
          <w:ilvl w:val="0"/>
          <w:numId w:val="79"/>
        </w:numPr>
        <w:tabs>
          <w:tab w:pos="1222" w:val="left" w:leader="none"/>
          <w:tab w:pos="1223" w:val="left" w:leader="none"/>
        </w:tabs>
        <w:spacing w:line="240" w:lineRule="auto" w:before="3" w:after="0"/>
        <w:ind w:left="1222" w:right="1725" w:hanging="793"/>
        <w:jc w:val="left"/>
        <w:rPr>
          <w:sz w:val="13"/>
        </w:rPr>
      </w:pPr>
      <w:r>
        <w:rPr>
          <w:w w:val="105"/>
          <w:sz w:val="13"/>
        </w:rPr>
        <w:t>Submission 35 (Andrew Verspaandonk). A member of the Commission’s succession laws </w:t>
      </w:r>
      <w:r>
        <w:rPr>
          <w:spacing w:val="2"/>
          <w:w w:val="105"/>
          <w:sz w:val="13"/>
        </w:rPr>
        <w:t>advisory </w:t>
      </w:r>
      <w:r>
        <w:rPr>
          <w:w w:val="105"/>
          <w:sz w:val="13"/>
        </w:rPr>
        <w:t>committee also noted that practitioners were likely to charge the same hourly rate whether they are in the County Court or Supreme Court: Advisory Committee (Meeting </w:t>
      </w:r>
      <w:r>
        <w:rPr>
          <w:spacing w:val="3"/>
          <w:w w:val="105"/>
          <w:sz w:val="13"/>
        </w:rPr>
        <w:t>4). </w:t>
      </w:r>
      <w:r>
        <w:rPr>
          <w:w w:val="105"/>
          <w:sz w:val="13"/>
        </w:rPr>
        <w:t>Different measures of costs are discussed below at</w:t>
      </w:r>
      <w:r>
        <w:rPr>
          <w:spacing w:val="5"/>
          <w:w w:val="105"/>
          <w:sz w:val="13"/>
        </w:rPr>
        <w:t> </w:t>
      </w:r>
      <w:r>
        <w:rPr>
          <w:spacing w:val="3"/>
          <w:w w:val="105"/>
          <w:sz w:val="13"/>
        </w:rPr>
        <w:t>[6.88]–[6.120].</w:t>
      </w:r>
    </w:p>
    <w:p>
      <w:pPr>
        <w:pStyle w:val="ListParagraph"/>
        <w:numPr>
          <w:ilvl w:val="0"/>
          <w:numId w:val="79"/>
        </w:numPr>
        <w:tabs>
          <w:tab w:pos="1222" w:val="left" w:leader="none"/>
          <w:tab w:pos="1223" w:val="left" w:leader="none"/>
        </w:tabs>
        <w:spacing w:line="240" w:lineRule="auto" w:before="4" w:after="0"/>
        <w:ind w:left="1222" w:right="0" w:hanging="793"/>
        <w:jc w:val="left"/>
        <w:rPr>
          <w:sz w:val="13"/>
        </w:rPr>
      </w:pPr>
      <w:r>
        <w:rPr>
          <w:w w:val="105"/>
          <w:sz w:val="13"/>
        </w:rPr>
        <w:t>Consultation</w:t>
      </w:r>
      <w:r>
        <w:rPr>
          <w:spacing w:val="4"/>
          <w:w w:val="105"/>
          <w:sz w:val="13"/>
        </w:rPr>
        <w:t> </w:t>
      </w:r>
      <w:r>
        <w:rPr>
          <w:w w:val="105"/>
          <w:sz w:val="13"/>
        </w:rPr>
        <w:t>3</w:t>
      </w:r>
      <w:r>
        <w:rPr>
          <w:spacing w:val="5"/>
          <w:w w:val="105"/>
          <w:sz w:val="13"/>
        </w:rPr>
        <w:t> </w:t>
      </w:r>
      <w:r>
        <w:rPr>
          <w:spacing w:val="2"/>
          <w:w w:val="105"/>
          <w:sz w:val="13"/>
        </w:rPr>
        <w:t>(Legal</w:t>
      </w:r>
      <w:r>
        <w:rPr>
          <w:spacing w:val="5"/>
          <w:w w:val="105"/>
          <w:sz w:val="13"/>
        </w:rPr>
        <w:t> </w:t>
      </w:r>
      <w:r>
        <w:rPr>
          <w:w w:val="105"/>
          <w:sz w:val="13"/>
        </w:rPr>
        <w:t>practitioners</w:t>
      </w:r>
      <w:r>
        <w:rPr>
          <w:spacing w:val="5"/>
          <w:w w:val="105"/>
          <w:sz w:val="13"/>
        </w:rPr>
        <w:t> </w:t>
      </w:r>
      <w:r>
        <w:rPr>
          <w:w w:val="105"/>
          <w:sz w:val="13"/>
        </w:rPr>
        <w:t>in</w:t>
      </w:r>
      <w:r>
        <w:rPr>
          <w:spacing w:val="5"/>
          <w:w w:val="105"/>
          <w:sz w:val="13"/>
        </w:rPr>
        <w:t> </w:t>
      </w:r>
      <w:r>
        <w:rPr>
          <w:w w:val="105"/>
          <w:sz w:val="13"/>
        </w:rPr>
        <w:t>the</w:t>
      </w:r>
      <w:r>
        <w:rPr>
          <w:spacing w:val="5"/>
          <w:w w:val="105"/>
          <w:sz w:val="13"/>
        </w:rPr>
        <w:t> </w:t>
      </w:r>
      <w:r>
        <w:rPr>
          <w:w w:val="105"/>
          <w:sz w:val="13"/>
        </w:rPr>
        <w:t>Goulburn</w:t>
      </w:r>
      <w:r>
        <w:rPr>
          <w:spacing w:val="5"/>
          <w:w w:val="105"/>
          <w:sz w:val="13"/>
        </w:rPr>
        <w:t> </w:t>
      </w:r>
      <w:r>
        <w:rPr>
          <w:w w:val="105"/>
          <w:sz w:val="13"/>
        </w:rPr>
        <w:t>Valley</w:t>
      </w:r>
      <w:r>
        <w:rPr>
          <w:spacing w:val="5"/>
          <w:w w:val="105"/>
          <w:sz w:val="13"/>
        </w:rPr>
        <w:t> </w:t>
      </w:r>
      <w:r>
        <w:rPr>
          <w:w w:val="105"/>
          <w:sz w:val="13"/>
        </w:rPr>
        <w:t>region);</w:t>
      </w:r>
      <w:r>
        <w:rPr>
          <w:spacing w:val="5"/>
          <w:w w:val="105"/>
          <w:sz w:val="13"/>
        </w:rPr>
        <w:t> </w:t>
      </w:r>
      <w:r>
        <w:rPr>
          <w:w w:val="105"/>
          <w:sz w:val="13"/>
        </w:rPr>
        <w:t>Advisory</w:t>
      </w:r>
      <w:r>
        <w:rPr>
          <w:spacing w:val="5"/>
          <w:w w:val="105"/>
          <w:sz w:val="13"/>
        </w:rPr>
        <w:t> </w:t>
      </w:r>
      <w:r>
        <w:rPr>
          <w:w w:val="105"/>
          <w:sz w:val="13"/>
        </w:rPr>
        <w:t>Committee</w:t>
      </w:r>
      <w:r>
        <w:rPr>
          <w:spacing w:val="5"/>
          <w:w w:val="105"/>
          <w:sz w:val="13"/>
        </w:rPr>
        <w:t> </w:t>
      </w:r>
      <w:r>
        <w:rPr>
          <w:w w:val="105"/>
          <w:sz w:val="13"/>
        </w:rPr>
        <w:t>(Meeting</w:t>
      </w:r>
      <w:r>
        <w:rPr>
          <w:spacing w:val="4"/>
          <w:w w:val="105"/>
          <w:sz w:val="13"/>
        </w:rPr>
        <w:t> </w:t>
      </w:r>
      <w:r>
        <w:rPr>
          <w:spacing w:val="3"/>
          <w:w w:val="105"/>
          <w:sz w:val="13"/>
        </w:rPr>
        <w:t>3).</w:t>
      </w:r>
    </w:p>
    <w:p>
      <w:pPr>
        <w:pStyle w:val="ListParagraph"/>
        <w:numPr>
          <w:ilvl w:val="0"/>
          <w:numId w:val="79"/>
        </w:numPr>
        <w:tabs>
          <w:tab w:pos="1222" w:val="left" w:leader="none"/>
          <w:tab w:pos="1223" w:val="left" w:leader="none"/>
        </w:tabs>
        <w:spacing w:line="240" w:lineRule="auto" w:before="1" w:after="0"/>
        <w:ind w:left="1222" w:right="0" w:hanging="793"/>
        <w:jc w:val="left"/>
        <w:rPr>
          <w:sz w:val="13"/>
        </w:rPr>
      </w:pPr>
      <w:r>
        <w:rPr>
          <w:w w:val="105"/>
          <w:sz w:val="13"/>
        </w:rPr>
        <w:t>Consultation 3 </w:t>
      </w:r>
      <w:r>
        <w:rPr>
          <w:spacing w:val="2"/>
          <w:w w:val="105"/>
          <w:sz w:val="13"/>
        </w:rPr>
        <w:t>(Legal </w:t>
      </w:r>
      <w:r>
        <w:rPr>
          <w:w w:val="105"/>
          <w:sz w:val="13"/>
        </w:rPr>
        <w:t>practitioners in the Goulburn Valley</w:t>
      </w:r>
      <w:r>
        <w:rPr>
          <w:spacing w:val="4"/>
          <w:w w:val="105"/>
          <w:sz w:val="13"/>
        </w:rPr>
        <w:t> </w:t>
      </w:r>
      <w:r>
        <w:rPr>
          <w:w w:val="105"/>
          <w:sz w:val="13"/>
        </w:rPr>
        <w:t>region).</w:t>
      </w:r>
    </w:p>
    <w:p>
      <w:pPr>
        <w:pStyle w:val="ListParagraph"/>
        <w:numPr>
          <w:ilvl w:val="0"/>
          <w:numId w:val="79"/>
        </w:numPr>
        <w:tabs>
          <w:tab w:pos="1222" w:val="left" w:leader="none"/>
          <w:tab w:pos="1223" w:val="left" w:leader="none"/>
        </w:tabs>
        <w:spacing w:line="240" w:lineRule="auto" w:before="1" w:after="0"/>
        <w:ind w:left="1222" w:right="0" w:hanging="793"/>
        <w:jc w:val="left"/>
        <w:rPr>
          <w:sz w:val="13"/>
        </w:rPr>
      </w:pPr>
      <w:r>
        <w:rPr>
          <w:w w:val="105"/>
          <w:sz w:val="13"/>
        </w:rPr>
        <w:t>Consultation 18 </w:t>
      </w:r>
      <w:r>
        <w:rPr>
          <w:spacing w:val="2"/>
          <w:w w:val="105"/>
          <w:sz w:val="13"/>
        </w:rPr>
        <w:t>(Legal </w:t>
      </w:r>
      <w:r>
        <w:rPr>
          <w:w w:val="105"/>
          <w:sz w:val="13"/>
        </w:rPr>
        <w:t>practitioners in</w:t>
      </w:r>
      <w:r>
        <w:rPr>
          <w:spacing w:val="21"/>
          <w:w w:val="105"/>
          <w:sz w:val="13"/>
        </w:rPr>
        <w:t> </w:t>
      </w:r>
      <w:r>
        <w:rPr>
          <w:w w:val="105"/>
          <w:sz w:val="13"/>
        </w:rPr>
        <w:t>Wodonga).</w:t>
      </w:r>
    </w:p>
    <w:p>
      <w:pPr>
        <w:pStyle w:val="ListParagraph"/>
        <w:numPr>
          <w:ilvl w:val="0"/>
          <w:numId w:val="79"/>
        </w:numPr>
        <w:tabs>
          <w:tab w:pos="1222" w:val="left" w:leader="none"/>
          <w:tab w:pos="1223" w:val="left" w:leader="none"/>
        </w:tabs>
        <w:spacing w:line="240" w:lineRule="auto" w:before="2" w:after="0"/>
        <w:ind w:left="1222" w:right="0" w:hanging="793"/>
        <w:jc w:val="left"/>
        <w:rPr>
          <w:sz w:val="13"/>
        </w:rPr>
      </w:pPr>
      <w:r>
        <w:rPr>
          <w:w w:val="105"/>
          <w:sz w:val="13"/>
        </w:rPr>
        <w:t>Consultation 5 </w:t>
      </w:r>
      <w:r>
        <w:rPr>
          <w:spacing w:val="2"/>
          <w:w w:val="105"/>
          <w:sz w:val="13"/>
        </w:rPr>
        <w:t>(Open</w:t>
      </w:r>
      <w:r>
        <w:rPr>
          <w:spacing w:val="13"/>
          <w:w w:val="105"/>
          <w:sz w:val="13"/>
        </w:rPr>
        <w:t> </w:t>
      </w:r>
      <w:r>
        <w:rPr>
          <w:w w:val="105"/>
          <w:sz w:val="13"/>
        </w:rPr>
        <w:t>day).</w:t>
      </w:r>
    </w:p>
    <w:p>
      <w:pPr>
        <w:pStyle w:val="ListParagraph"/>
        <w:numPr>
          <w:ilvl w:val="0"/>
          <w:numId w:val="79"/>
        </w:numPr>
        <w:tabs>
          <w:tab w:pos="1222" w:val="left" w:leader="none"/>
          <w:tab w:pos="1223" w:val="left" w:leader="none"/>
        </w:tabs>
        <w:spacing w:line="240" w:lineRule="auto" w:before="1" w:after="0"/>
        <w:ind w:left="1222" w:right="0" w:hanging="793"/>
        <w:jc w:val="left"/>
        <w:rPr>
          <w:sz w:val="13"/>
        </w:rPr>
      </w:pPr>
      <w:r>
        <w:rPr>
          <w:w w:val="105"/>
          <w:sz w:val="13"/>
        </w:rPr>
        <w:t>Consultation 16 (Supreme Court of </w:t>
      </w:r>
      <w:r>
        <w:rPr>
          <w:spacing w:val="2"/>
          <w:w w:val="105"/>
          <w:sz w:val="13"/>
        </w:rPr>
        <w:t>Victoria—Associate</w:t>
      </w:r>
      <w:r>
        <w:rPr>
          <w:spacing w:val="28"/>
          <w:w w:val="105"/>
          <w:sz w:val="13"/>
        </w:rPr>
        <w:t> </w:t>
      </w:r>
      <w:r>
        <w:rPr>
          <w:w w:val="105"/>
          <w:sz w:val="13"/>
        </w:rPr>
        <w:t>Judges).</w:t>
      </w:r>
    </w:p>
    <w:p>
      <w:pPr>
        <w:pStyle w:val="ListParagraph"/>
        <w:numPr>
          <w:ilvl w:val="0"/>
          <w:numId w:val="79"/>
        </w:numPr>
        <w:tabs>
          <w:tab w:pos="1222" w:val="left" w:leader="none"/>
          <w:tab w:pos="1223" w:val="left" w:leader="none"/>
        </w:tabs>
        <w:spacing w:line="240" w:lineRule="auto" w:before="1" w:after="0"/>
        <w:ind w:left="1222" w:right="0" w:hanging="793"/>
        <w:jc w:val="left"/>
        <w:rPr>
          <w:sz w:val="13"/>
        </w:rPr>
      </w:pPr>
      <w:r>
        <w:rPr>
          <w:w w:val="105"/>
          <w:sz w:val="13"/>
        </w:rPr>
        <w:t>Consultation </w:t>
      </w:r>
      <w:r>
        <w:rPr>
          <w:spacing w:val="-3"/>
          <w:w w:val="105"/>
          <w:sz w:val="13"/>
        </w:rPr>
        <w:t>15 </w:t>
      </w:r>
      <w:r>
        <w:rPr>
          <w:w w:val="105"/>
          <w:sz w:val="13"/>
        </w:rPr>
        <w:t>(County Court of</w:t>
      </w:r>
      <w:r>
        <w:rPr>
          <w:spacing w:val="26"/>
          <w:w w:val="105"/>
          <w:sz w:val="13"/>
        </w:rPr>
        <w:t> </w:t>
      </w:r>
      <w:r>
        <w:rPr>
          <w:spacing w:val="2"/>
          <w:w w:val="105"/>
          <w:sz w:val="13"/>
        </w:rPr>
        <w:t>Victoria).</w:t>
      </w:r>
    </w:p>
    <w:p>
      <w:pPr>
        <w:pStyle w:val="ListParagraph"/>
        <w:numPr>
          <w:ilvl w:val="0"/>
          <w:numId w:val="79"/>
        </w:numPr>
        <w:tabs>
          <w:tab w:pos="1222" w:val="left" w:leader="none"/>
          <w:tab w:pos="1223" w:val="left" w:leader="none"/>
        </w:tabs>
        <w:spacing w:line="240" w:lineRule="auto" w:before="2" w:after="0"/>
        <w:ind w:left="1222" w:right="0" w:hanging="793"/>
        <w:jc w:val="left"/>
        <w:rPr>
          <w:sz w:val="13"/>
        </w:rPr>
      </w:pPr>
      <w:r>
        <w:rPr>
          <w:w w:val="105"/>
          <w:sz w:val="13"/>
        </w:rPr>
        <w:t>Consultation 16 (Supreme Court of </w:t>
      </w:r>
      <w:r>
        <w:rPr>
          <w:spacing w:val="2"/>
          <w:w w:val="105"/>
          <w:sz w:val="13"/>
        </w:rPr>
        <w:t>Victoria—Associate</w:t>
      </w:r>
      <w:r>
        <w:rPr>
          <w:spacing w:val="28"/>
          <w:w w:val="105"/>
          <w:sz w:val="13"/>
        </w:rPr>
        <w:t> </w:t>
      </w:r>
      <w:r>
        <w:rPr>
          <w:w w:val="105"/>
          <w:sz w:val="13"/>
        </w:rPr>
        <w:t>Judges).</w:t>
      </w:r>
    </w:p>
    <w:p>
      <w:pPr>
        <w:pStyle w:val="ListParagraph"/>
        <w:numPr>
          <w:ilvl w:val="0"/>
          <w:numId w:val="79"/>
        </w:numPr>
        <w:tabs>
          <w:tab w:pos="1222" w:val="left" w:leader="none"/>
          <w:tab w:pos="1223" w:val="left" w:leader="none"/>
        </w:tabs>
        <w:spacing w:line="240" w:lineRule="auto" w:before="1" w:after="0"/>
        <w:ind w:left="1222" w:right="0" w:hanging="793"/>
        <w:jc w:val="left"/>
        <w:rPr>
          <w:sz w:val="13"/>
        </w:rPr>
      </w:pPr>
      <w:r>
        <w:rPr>
          <w:w w:val="105"/>
          <w:sz w:val="13"/>
        </w:rPr>
        <w:t>Consultation 3 </w:t>
      </w:r>
      <w:r>
        <w:rPr>
          <w:spacing w:val="2"/>
          <w:w w:val="105"/>
          <w:sz w:val="13"/>
        </w:rPr>
        <w:t>(Legal </w:t>
      </w:r>
      <w:r>
        <w:rPr>
          <w:w w:val="105"/>
          <w:sz w:val="13"/>
        </w:rPr>
        <w:t>practitioners in the Goulburn Valley</w:t>
      </w:r>
      <w:r>
        <w:rPr>
          <w:spacing w:val="4"/>
          <w:w w:val="105"/>
          <w:sz w:val="13"/>
        </w:rPr>
        <w:t> </w:t>
      </w:r>
      <w:r>
        <w:rPr>
          <w:w w:val="105"/>
          <w:sz w:val="13"/>
        </w:rPr>
        <w:t>region).</w:t>
      </w:r>
    </w:p>
    <w:p>
      <w:pPr>
        <w:pStyle w:val="ListParagraph"/>
        <w:numPr>
          <w:ilvl w:val="0"/>
          <w:numId w:val="79"/>
        </w:numPr>
        <w:tabs>
          <w:tab w:pos="1222" w:val="left" w:leader="none"/>
          <w:tab w:pos="1223" w:val="left" w:leader="none"/>
        </w:tabs>
        <w:spacing w:line="240" w:lineRule="auto" w:before="1" w:after="0"/>
        <w:ind w:left="1222" w:right="0" w:hanging="793"/>
        <w:jc w:val="left"/>
        <w:rPr>
          <w:sz w:val="13"/>
        </w:rPr>
      </w:pPr>
      <w:r>
        <w:rPr>
          <w:w w:val="105"/>
          <w:sz w:val="13"/>
        </w:rPr>
        <w:t>Advisory Committee (Meetings 3 and</w:t>
      </w:r>
      <w:r>
        <w:rPr>
          <w:spacing w:val="23"/>
          <w:w w:val="105"/>
          <w:sz w:val="13"/>
        </w:rPr>
        <w:t> </w:t>
      </w:r>
      <w:r>
        <w:rPr>
          <w:spacing w:val="3"/>
          <w:w w:val="105"/>
          <w:sz w:val="13"/>
        </w:rPr>
        <w:t>4).</w:t>
      </w:r>
    </w:p>
    <w:p>
      <w:pPr>
        <w:pStyle w:val="ListParagraph"/>
        <w:numPr>
          <w:ilvl w:val="0"/>
          <w:numId w:val="79"/>
        </w:numPr>
        <w:tabs>
          <w:tab w:pos="1222" w:val="left" w:leader="none"/>
          <w:tab w:pos="1223" w:val="left" w:leader="none"/>
        </w:tabs>
        <w:spacing w:line="240" w:lineRule="auto" w:before="2" w:after="0"/>
        <w:ind w:left="1222" w:right="0" w:hanging="793"/>
        <w:jc w:val="left"/>
        <w:rPr>
          <w:sz w:val="13"/>
        </w:rPr>
      </w:pPr>
      <w:r>
        <w:rPr>
          <w:i/>
          <w:w w:val="105"/>
          <w:sz w:val="13"/>
        </w:rPr>
        <w:t>Administration</w:t>
      </w:r>
      <w:r>
        <w:rPr>
          <w:i/>
          <w:spacing w:val="3"/>
          <w:w w:val="105"/>
          <w:sz w:val="13"/>
        </w:rPr>
        <w:t> </w:t>
      </w:r>
      <w:r>
        <w:rPr>
          <w:i/>
          <w:w w:val="105"/>
          <w:sz w:val="13"/>
        </w:rPr>
        <w:t>and</w:t>
      </w:r>
      <w:r>
        <w:rPr>
          <w:i/>
          <w:spacing w:val="4"/>
          <w:w w:val="105"/>
          <w:sz w:val="13"/>
        </w:rPr>
        <w:t> </w:t>
      </w:r>
      <w:r>
        <w:rPr>
          <w:i/>
          <w:w w:val="105"/>
          <w:sz w:val="13"/>
        </w:rPr>
        <w:t>Probate</w:t>
      </w:r>
      <w:r>
        <w:rPr>
          <w:i/>
          <w:spacing w:val="4"/>
          <w:w w:val="105"/>
          <w:sz w:val="13"/>
        </w:rPr>
        <w:t> </w:t>
      </w:r>
      <w:r>
        <w:rPr>
          <w:i/>
          <w:w w:val="105"/>
          <w:sz w:val="13"/>
        </w:rPr>
        <w:t>Act</w:t>
      </w:r>
      <w:r>
        <w:rPr>
          <w:i/>
          <w:spacing w:val="3"/>
          <w:w w:val="105"/>
          <w:sz w:val="13"/>
        </w:rPr>
        <w:t> </w:t>
      </w:r>
      <w:r>
        <w:rPr>
          <w:i/>
          <w:w w:val="105"/>
          <w:sz w:val="13"/>
        </w:rPr>
        <w:t>1958</w:t>
      </w:r>
      <w:r>
        <w:rPr>
          <w:i/>
          <w:spacing w:val="5"/>
          <w:w w:val="105"/>
          <w:sz w:val="13"/>
        </w:rPr>
        <w:t> </w:t>
      </w:r>
      <w:r>
        <w:rPr>
          <w:spacing w:val="2"/>
          <w:w w:val="105"/>
          <w:sz w:val="13"/>
        </w:rPr>
        <w:t>(Vic)</w:t>
      </w:r>
      <w:r>
        <w:rPr>
          <w:spacing w:val="5"/>
          <w:w w:val="105"/>
          <w:sz w:val="13"/>
        </w:rPr>
        <w:t> </w:t>
      </w:r>
      <w:r>
        <w:rPr>
          <w:w w:val="105"/>
          <w:sz w:val="13"/>
        </w:rPr>
        <w:t>s</w:t>
      </w:r>
      <w:r>
        <w:rPr>
          <w:spacing w:val="5"/>
          <w:w w:val="105"/>
          <w:sz w:val="13"/>
        </w:rPr>
        <w:t> </w:t>
      </w:r>
      <w:r>
        <w:rPr>
          <w:w w:val="105"/>
          <w:sz w:val="13"/>
        </w:rPr>
        <w:t>90</w:t>
      </w:r>
      <w:r>
        <w:rPr>
          <w:spacing w:val="4"/>
          <w:w w:val="105"/>
          <w:sz w:val="13"/>
        </w:rPr>
        <w:t> </w:t>
      </w:r>
      <w:r>
        <w:rPr>
          <w:w w:val="105"/>
          <w:sz w:val="13"/>
        </w:rPr>
        <w:t>(definition</w:t>
      </w:r>
      <w:r>
        <w:rPr>
          <w:spacing w:val="5"/>
          <w:w w:val="105"/>
          <w:sz w:val="13"/>
        </w:rPr>
        <w:t> </w:t>
      </w:r>
      <w:r>
        <w:rPr>
          <w:w w:val="105"/>
          <w:sz w:val="13"/>
        </w:rPr>
        <w:t>of</w:t>
      </w:r>
      <w:r>
        <w:rPr>
          <w:spacing w:val="5"/>
          <w:w w:val="105"/>
          <w:sz w:val="13"/>
        </w:rPr>
        <w:t> </w:t>
      </w:r>
      <w:r>
        <w:rPr>
          <w:w w:val="105"/>
          <w:sz w:val="13"/>
        </w:rPr>
        <w:t>‘Court’).</w:t>
      </w:r>
    </w:p>
    <w:p>
      <w:pPr>
        <w:spacing w:after="0" w:line="240" w:lineRule="auto"/>
        <w:jc w:val="left"/>
        <w:rPr>
          <w:sz w:val="13"/>
        </w:rPr>
        <w:sectPr>
          <w:type w:val="continuous"/>
          <w:pgSz w:w="11910" w:h="16840"/>
          <w:pgMar w:top="920" w:bottom="280" w:left="0" w:right="0"/>
          <w:cols w:num="2" w:equalWidth="0">
            <w:col w:w="1119" w:space="40"/>
            <w:col w:w="10751"/>
          </w:cols>
        </w:sectPr>
      </w:pPr>
    </w:p>
    <w:p>
      <w:pPr>
        <w:pStyle w:val="BodyText"/>
        <w:rPr>
          <w:sz w:val="20"/>
        </w:rPr>
      </w:pPr>
    </w:p>
    <w:p>
      <w:pPr>
        <w:pStyle w:val="BodyText"/>
        <w:spacing w:before="11" w:after="1"/>
        <w:rPr>
          <w:sz w:val="29"/>
        </w:rPr>
      </w:pPr>
    </w:p>
    <w:p>
      <w:pPr>
        <w:pStyle w:val="BodyText"/>
        <w:ind w:left="1222"/>
        <w:rPr>
          <w:sz w:val="20"/>
        </w:rPr>
      </w:pPr>
      <w:r>
        <w:rPr>
          <w:sz w:val="20"/>
        </w:rPr>
        <w:pict>
          <v:group style="width:479.1pt;height:153.550pt;mso-position-horizontal-relative:char;mso-position-vertical-relative:line" coordorigin="0,0" coordsize="9582,3071">
            <v:rect style="position:absolute;left:340;top:0;width:8731;height:3071" filled="true" fillcolor="#fdebea" stroked="false">
              <v:fill type="solid"/>
            </v:rect>
            <v:line style="position:absolute" from="0,751" to="9581,751" stroked="true" strokeweight="2.5pt" strokecolor="#ffffff">
              <v:stroke dashstyle="solid"/>
            </v:line>
            <v:shape style="position:absolute;left:1133;top:987;width:7401;height:1910" type="#_x0000_t202" filled="false" stroked="false">
              <v:textbox inset="0,0,0,0">
                <w:txbxContent>
                  <w:p>
                    <w:pPr>
                      <w:spacing w:line="253" w:lineRule="exact" w:before="0"/>
                      <w:ind w:left="0" w:right="0" w:firstLine="0"/>
                      <w:jc w:val="left"/>
                      <w:rPr>
                        <w:sz w:val="21"/>
                      </w:rPr>
                    </w:pPr>
                    <w:bookmarkStart w:name="Eligibility to make a family provision c" w:id="108"/>
                    <w:bookmarkEnd w:id="108"/>
                    <w:r>
                      <w:rPr/>
                    </w:r>
                    <w:r>
                      <w:rPr>
                        <w:w w:val="105"/>
                        <w:sz w:val="21"/>
                      </w:rPr>
                      <w:t>The</w:t>
                    </w:r>
                    <w:r>
                      <w:rPr>
                        <w:spacing w:val="-9"/>
                        <w:w w:val="105"/>
                        <w:sz w:val="21"/>
                      </w:rPr>
                      <w:t> </w:t>
                    </w:r>
                    <w:r>
                      <w:rPr>
                        <w:rFonts w:ascii="Lucida Sans"/>
                        <w:i/>
                        <w:w w:val="105"/>
                        <w:sz w:val="21"/>
                      </w:rPr>
                      <w:t>Administration</w:t>
                    </w:r>
                    <w:r>
                      <w:rPr>
                        <w:rFonts w:ascii="Lucida Sans"/>
                        <w:i/>
                        <w:spacing w:val="-28"/>
                        <w:w w:val="105"/>
                        <w:sz w:val="21"/>
                      </w:rPr>
                      <w:t> </w:t>
                    </w:r>
                    <w:r>
                      <w:rPr>
                        <w:rFonts w:ascii="Lucida Sans"/>
                        <w:i/>
                        <w:w w:val="105"/>
                        <w:sz w:val="21"/>
                      </w:rPr>
                      <w:t>and</w:t>
                    </w:r>
                    <w:r>
                      <w:rPr>
                        <w:rFonts w:ascii="Lucida Sans"/>
                        <w:i/>
                        <w:spacing w:val="-28"/>
                        <w:w w:val="105"/>
                        <w:sz w:val="21"/>
                      </w:rPr>
                      <w:t> </w:t>
                    </w:r>
                    <w:r>
                      <w:rPr>
                        <w:rFonts w:ascii="Lucida Sans"/>
                        <w:i/>
                        <w:w w:val="105"/>
                        <w:sz w:val="21"/>
                      </w:rPr>
                      <w:t>Probate</w:t>
                    </w:r>
                    <w:r>
                      <w:rPr>
                        <w:rFonts w:ascii="Lucida Sans"/>
                        <w:i/>
                        <w:spacing w:val="-28"/>
                        <w:w w:val="105"/>
                        <w:sz w:val="21"/>
                      </w:rPr>
                      <w:t> </w:t>
                    </w:r>
                    <w:r>
                      <w:rPr>
                        <w:rFonts w:ascii="Lucida Sans"/>
                        <w:i/>
                        <w:w w:val="105"/>
                        <w:sz w:val="21"/>
                      </w:rPr>
                      <w:t>Act</w:t>
                    </w:r>
                    <w:r>
                      <w:rPr>
                        <w:rFonts w:ascii="Lucida Sans"/>
                        <w:i/>
                        <w:spacing w:val="-28"/>
                        <w:w w:val="105"/>
                        <w:sz w:val="21"/>
                      </w:rPr>
                      <w:t> </w:t>
                    </w:r>
                    <w:r>
                      <w:rPr>
                        <w:rFonts w:ascii="Lucida Sans"/>
                        <w:i/>
                        <w:spacing w:val="-4"/>
                        <w:w w:val="105"/>
                        <w:sz w:val="21"/>
                      </w:rPr>
                      <w:t>1958</w:t>
                    </w:r>
                    <w:r>
                      <w:rPr>
                        <w:rFonts w:ascii="Lucida Sans"/>
                        <w:i/>
                        <w:spacing w:val="-29"/>
                        <w:w w:val="105"/>
                        <w:sz w:val="21"/>
                      </w:rPr>
                      <w:t> </w:t>
                    </w:r>
                    <w:r>
                      <w:rPr>
                        <w:w w:val="105"/>
                        <w:sz w:val="21"/>
                      </w:rPr>
                      <w:t>(Vic)</w:t>
                    </w:r>
                    <w:r>
                      <w:rPr>
                        <w:spacing w:val="-8"/>
                        <w:w w:val="105"/>
                        <w:sz w:val="21"/>
                      </w:rPr>
                      <w:t> </w:t>
                    </w:r>
                    <w:r>
                      <w:rPr>
                        <w:w w:val="105"/>
                        <w:sz w:val="21"/>
                      </w:rPr>
                      <w:t>should</w:t>
                    </w:r>
                    <w:r>
                      <w:rPr>
                        <w:spacing w:val="-8"/>
                        <w:w w:val="105"/>
                        <w:sz w:val="21"/>
                      </w:rPr>
                      <w:t> </w:t>
                    </w:r>
                    <w:r>
                      <w:rPr>
                        <w:w w:val="105"/>
                        <w:sz w:val="21"/>
                      </w:rPr>
                      <w:t>be</w:t>
                    </w:r>
                    <w:r>
                      <w:rPr>
                        <w:spacing w:val="-8"/>
                        <w:w w:val="105"/>
                        <w:sz w:val="21"/>
                      </w:rPr>
                      <w:t> </w:t>
                    </w:r>
                    <w:r>
                      <w:rPr>
                        <w:w w:val="105"/>
                        <w:sz w:val="21"/>
                      </w:rPr>
                      <w:t>amended</w:t>
                    </w:r>
                    <w:r>
                      <w:rPr>
                        <w:spacing w:val="-9"/>
                        <w:w w:val="105"/>
                        <w:sz w:val="21"/>
                      </w:rPr>
                      <w:t> </w:t>
                    </w:r>
                    <w:r>
                      <w:rPr>
                        <w:w w:val="105"/>
                        <w:sz w:val="21"/>
                      </w:rPr>
                      <w:t>to:</w:t>
                    </w:r>
                  </w:p>
                  <w:p>
                    <w:pPr>
                      <w:numPr>
                        <w:ilvl w:val="0"/>
                        <w:numId w:val="80"/>
                      </w:numPr>
                      <w:tabs>
                        <w:tab w:pos="341" w:val="left" w:leader="none"/>
                      </w:tabs>
                      <w:spacing w:line="242" w:lineRule="auto" w:before="123"/>
                      <w:ind w:left="340" w:right="18" w:hanging="340"/>
                      <w:jc w:val="left"/>
                      <w:rPr>
                        <w:sz w:val="21"/>
                      </w:rPr>
                    </w:pPr>
                    <w:r>
                      <w:rPr>
                        <w:w w:val="115"/>
                        <w:sz w:val="21"/>
                      </w:rPr>
                      <w:t>grant</w:t>
                    </w:r>
                    <w:r>
                      <w:rPr>
                        <w:spacing w:val="-12"/>
                        <w:w w:val="115"/>
                        <w:sz w:val="21"/>
                      </w:rPr>
                      <w:t> </w:t>
                    </w:r>
                    <w:r>
                      <w:rPr>
                        <w:w w:val="115"/>
                        <w:sz w:val="21"/>
                      </w:rPr>
                      <w:t>the</w:t>
                    </w:r>
                    <w:r>
                      <w:rPr>
                        <w:spacing w:val="-12"/>
                        <w:w w:val="115"/>
                        <w:sz w:val="21"/>
                      </w:rPr>
                      <w:t> </w:t>
                    </w:r>
                    <w:r>
                      <w:rPr>
                        <w:w w:val="115"/>
                        <w:sz w:val="21"/>
                      </w:rPr>
                      <w:t>County</w:t>
                    </w:r>
                    <w:r>
                      <w:rPr>
                        <w:spacing w:val="-12"/>
                        <w:w w:val="115"/>
                        <w:sz w:val="21"/>
                      </w:rPr>
                      <w:t> </w:t>
                    </w:r>
                    <w:r>
                      <w:rPr>
                        <w:w w:val="115"/>
                        <w:sz w:val="21"/>
                      </w:rPr>
                      <w:t>Court</w:t>
                    </w:r>
                    <w:r>
                      <w:rPr>
                        <w:spacing w:val="-12"/>
                        <w:w w:val="115"/>
                        <w:sz w:val="21"/>
                      </w:rPr>
                      <w:t> </w:t>
                    </w:r>
                    <w:r>
                      <w:rPr>
                        <w:w w:val="115"/>
                        <w:sz w:val="21"/>
                      </w:rPr>
                      <w:t>exclusive</w:t>
                    </w:r>
                    <w:r>
                      <w:rPr>
                        <w:spacing w:val="-12"/>
                        <w:w w:val="115"/>
                        <w:sz w:val="21"/>
                      </w:rPr>
                      <w:t> </w:t>
                    </w:r>
                    <w:r>
                      <w:rPr>
                        <w:w w:val="115"/>
                        <w:sz w:val="21"/>
                      </w:rPr>
                      <w:t>jurisdiction</w:t>
                    </w:r>
                    <w:r>
                      <w:rPr>
                        <w:spacing w:val="-12"/>
                        <w:w w:val="115"/>
                        <w:sz w:val="21"/>
                      </w:rPr>
                      <w:t> </w:t>
                    </w:r>
                    <w:r>
                      <w:rPr>
                        <w:w w:val="115"/>
                        <w:sz w:val="21"/>
                      </w:rPr>
                      <w:t>over</w:t>
                    </w:r>
                    <w:r>
                      <w:rPr>
                        <w:spacing w:val="-12"/>
                        <w:w w:val="115"/>
                        <w:sz w:val="21"/>
                      </w:rPr>
                      <w:t> </w:t>
                    </w:r>
                    <w:r>
                      <w:rPr>
                        <w:spacing w:val="-3"/>
                        <w:w w:val="115"/>
                        <w:sz w:val="21"/>
                      </w:rPr>
                      <w:t>family</w:t>
                    </w:r>
                    <w:r>
                      <w:rPr>
                        <w:spacing w:val="-12"/>
                        <w:w w:val="115"/>
                        <w:sz w:val="21"/>
                      </w:rPr>
                      <w:t> </w:t>
                    </w:r>
                    <w:r>
                      <w:rPr>
                        <w:w w:val="115"/>
                        <w:sz w:val="21"/>
                      </w:rPr>
                      <w:t>provision</w:t>
                    </w:r>
                    <w:r>
                      <w:rPr>
                        <w:spacing w:val="-12"/>
                        <w:w w:val="115"/>
                        <w:sz w:val="21"/>
                      </w:rPr>
                      <w:t> </w:t>
                    </w:r>
                    <w:r>
                      <w:rPr>
                        <w:w w:val="115"/>
                        <w:sz w:val="21"/>
                      </w:rPr>
                      <w:t>claims where the value of the net estate does not exceed</w:t>
                    </w:r>
                    <w:r>
                      <w:rPr>
                        <w:spacing w:val="-25"/>
                        <w:w w:val="115"/>
                        <w:sz w:val="21"/>
                      </w:rPr>
                      <w:t> </w:t>
                    </w:r>
                    <w:r>
                      <w:rPr>
                        <w:w w:val="115"/>
                        <w:sz w:val="21"/>
                      </w:rPr>
                      <w:t>$500,000</w:t>
                    </w:r>
                  </w:p>
                  <w:p>
                    <w:pPr>
                      <w:numPr>
                        <w:ilvl w:val="0"/>
                        <w:numId w:val="80"/>
                      </w:numPr>
                      <w:tabs>
                        <w:tab w:pos="341" w:val="left" w:leader="none"/>
                      </w:tabs>
                      <w:spacing w:line="242" w:lineRule="auto" w:before="123"/>
                      <w:ind w:left="340" w:right="605" w:hanging="340"/>
                      <w:jc w:val="left"/>
                      <w:rPr>
                        <w:sz w:val="21"/>
                      </w:rPr>
                    </w:pPr>
                    <w:r>
                      <w:rPr>
                        <w:w w:val="115"/>
                        <w:sz w:val="21"/>
                      </w:rPr>
                      <w:t>specify</w:t>
                    </w:r>
                    <w:r>
                      <w:rPr>
                        <w:spacing w:val="-8"/>
                        <w:w w:val="115"/>
                        <w:sz w:val="21"/>
                      </w:rPr>
                      <w:t> </w:t>
                    </w:r>
                    <w:r>
                      <w:rPr>
                        <w:w w:val="115"/>
                        <w:sz w:val="21"/>
                      </w:rPr>
                      <w:t>that</w:t>
                    </w:r>
                    <w:r>
                      <w:rPr>
                        <w:spacing w:val="-8"/>
                        <w:w w:val="115"/>
                        <w:sz w:val="21"/>
                      </w:rPr>
                      <w:t> </w:t>
                    </w:r>
                    <w:r>
                      <w:rPr>
                        <w:w w:val="115"/>
                        <w:sz w:val="21"/>
                      </w:rPr>
                      <w:t>the</w:t>
                    </w:r>
                    <w:r>
                      <w:rPr>
                        <w:spacing w:val="-7"/>
                        <w:w w:val="115"/>
                        <w:sz w:val="21"/>
                      </w:rPr>
                      <w:t> </w:t>
                    </w:r>
                    <w:r>
                      <w:rPr>
                        <w:w w:val="115"/>
                        <w:sz w:val="21"/>
                      </w:rPr>
                      <w:t>County</w:t>
                    </w:r>
                    <w:r>
                      <w:rPr>
                        <w:spacing w:val="-8"/>
                        <w:w w:val="115"/>
                        <w:sz w:val="21"/>
                      </w:rPr>
                      <w:t> </w:t>
                    </w:r>
                    <w:r>
                      <w:rPr>
                        <w:w w:val="115"/>
                        <w:sz w:val="21"/>
                      </w:rPr>
                      <w:t>Court</w:t>
                    </w:r>
                    <w:r>
                      <w:rPr>
                        <w:spacing w:val="-7"/>
                        <w:w w:val="115"/>
                        <w:sz w:val="21"/>
                      </w:rPr>
                      <w:t> </w:t>
                    </w:r>
                    <w:r>
                      <w:rPr>
                        <w:w w:val="115"/>
                        <w:sz w:val="21"/>
                      </w:rPr>
                      <w:t>and</w:t>
                    </w:r>
                    <w:r>
                      <w:rPr>
                        <w:spacing w:val="-8"/>
                        <w:w w:val="115"/>
                        <w:sz w:val="21"/>
                      </w:rPr>
                      <w:t> </w:t>
                    </w:r>
                    <w:r>
                      <w:rPr>
                        <w:w w:val="115"/>
                        <w:sz w:val="21"/>
                      </w:rPr>
                      <w:t>Supreme</w:t>
                    </w:r>
                    <w:r>
                      <w:rPr>
                        <w:spacing w:val="-8"/>
                        <w:w w:val="115"/>
                        <w:sz w:val="21"/>
                      </w:rPr>
                      <w:t> </w:t>
                    </w:r>
                    <w:r>
                      <w:rPr>
                        <w:w w:val="115"/>
                        <w:sz w:val="21"/>
                      </w:rPr>
                      <w:t>Court</w:t>
                    </w:r>
                    <w:r>
                      <w:rPr>
                        <w:spacing w:val="-7"/>
                        <w:w w:val="115"/>
                        <w:sz w:val="21"/>
                      </w:rPr>
                      <w:t> </w:t>
                    </w:r>
                    <w:r>
                      <w:rPr>
                        <w:spacing w:val="-3"/>
                        <w:w w:val="115"/>
                        <w:sz w:val="21"/>
                      </w:rPr>
                      <w:t>have</w:t>
                    </w:r>
                    <w:r>
                      <w:rPr>
                        <w:spacing w:val="-8"/>
                        <w:w w:val="115"/>
                        <w:sz w:val="21"/>
                      </w:rPr>
                      <w:t> </w:t>
                    </w:r>
                    <w:r>
                      <w:rPr>
                        <w:w w:val="115"/>
                        <w:sz w:val="21"/>
                      </w:rPr>
                      <w:t>concurrent jurisdiction in relation to </w:t>
                    </w:r>
                    <w:r>
                      <w:rPr>
                        <w:spacing w:val="-3"/>
                        <w:w w:val="115"/>
                        <w:sz w:val="21"/>
                      </w:rPr>
                      <w:t>all </w:t>
                    </w:r>
                    <w:r>
                      <w:rPr>
                        <w:w w:val="115"/>
                        <w:sz w:val="21"/>
                      </w:rPr>
                      <w:t>other </w:t>
                    </w:r>
                    <w:r>
                      <w:rPr>
                        <w:spacing w:val="-3"/>
                        <w:w w:val="115"/>
                        <w:sz w:val="21"/>
                      </w:rPr>
                      <w:t>family </w:t>
                    </w:r>
                    <w:r>
                      <w:rPr>
                        <w:w w:val="115"/>
                        <w:sz w:val="21"/>
                      </w:rPr>
                      <w:t>provision</w:t>
                    </w:r>
                    <w:r>
                      <w:rPr>
                        <w:spacing w:val="-21"/>
                        <w:w w:val="115"/>
                        <w:sz w:val="21"/>
                      </w:rPr>
                      <w:t> </w:t>
                    </w:r>
                    <w:r>
                      <w:rPr>
                        <w:w w:val="115"/>
                        <w:sz w:val="21"/>
                      </w:rPr>
                      <w:t>proceedings</w:t>
                    </w:r>
                  </w:p>
                  <w:p>
                    <w:pPr>
                      <w:numPr>
                        <w:ilvl w:val="0"/>
                        <w:numId w:val="80"/>
                      </w:numPr>
                      <w:tabs>
                        <w:tab w:pos="341" w:val="left" w:leader="none"/>
                      </w:tabs>
                      <w:spacing w:line="252" w:lineRule="exact" w:before="122"/>
                      <w:ind w:left="340" w:right="0" w:hanging="340"/>
                      <w:jc w:val="left"/>
                      <w:rPr>
                        <w:sz w:val="21"/>
                      </w:rPr>
                    </w:pPr>
                    <w:r>
                      <w:rPr>
                        <w:w w:val="115"/>
                        <w:sz w:val="21"/>
                      </w:rPr>
                      <w:t>remove reference to the County Court’s jurisdictional</w:t>
                    </w:r>
                    <w:r>
                      <w:rPr>
                        <w:spacing w:val="-19"/>
                        <w:w w:val="115"/>
                        <w:sz w:val="21"/>
                      </w:rPr>
                      <w:t> </w:t>
                    </w:r>
                    <w:r>
                      <w:rPr>
                        <w:w w:val="115"/>
                        <w:sz w:val="21"/>
                      </w:rPr>
                      <w:t>limit.</w:t>
                    </w:r>
                  </w:p>
                </w:txbxContent>
              </v:textbox>
              <w10:wrap type="none"/>
            </v:shape>
            <v:shape style="position:absolute;left:566;top:987;width:250;height:249" type="#_x0000_t202" filled="false" stroked="false">
              <v:textbox inset="0,0,0,0">
                <w:txbxContent>
                  <w:p>
                    <w:pPr>
                      <w:spacing w:line="249" w:lineRule="exact" w:before="0"/>
                      <w:ind w:left="0" w:right="0" w:firstLine="0"/>
                      <w:jc w:val="left"/>
                      <w:rPr>
                        <w:sz w:val="21"/>
                      </w:rPr>
                    </w:pPr>
                    <w:r>
                      <w:rPr>
                        <w:w w:val="110"/>
                        <w:sz w:val="21"/>
                      </w:rPr>
                      <w:t>37</w:t>
                    </w:r>
                  </w:p>
                </w:txbxContent>
              </v:textbox>
              <w10:wrap type="none"/>
            </v:shape>
            <v:shape style="position:absolute;left:340;top:0;width:8731;height:726" type="#_x0000_t202" filled="true" fillcolor="#fdebea" stroked="false">
              <v:textbox inset="0,0,0,0">
                <w:txbxContent>
                  <w:p>
                    <w:pPr>
                      <w:spacing w:before="166"/>
                      <w:ind w:left="226" w:right="0" w:firstLine="0"/>
                      <w:jc w:val="left"/>
                      <w:rPr>
                        <w:b/>
                        <w:sz w:val="32"/>
                      </w:rPr>
                    </w:pPr>
                    <w:r>
                      <w:rPr>
                        <w:b/>
                        <w:color w:val="EC5A4F"/>
                        <w:w w:val="110"/>
                        <w:sz w:val="32"/>
                      </w:rPr>
                      <w:t>Recommendation</w:t>
                    </w:r>
                  </w:p>
                </w:txbxContent>
              </v:textbox>
              <v:fill type="solid"/>
              <w10:wrap type="none"/>
            </v:shape>
          </v:group>
        </w:pict>
      </w:r>
      <w:r>
        <w:rPr>
          <w:sz w:val="20"/>
        </w:rPr>
      </w:r>
    </w:p>
    <w:p>
      <w:pPr>
        <w:pStyle w:val="ListParagraph"/>
        <w:numPr>
          <w:ilvl w:val="1"/>
          <w:numId w:val="22"/>
        </w:numPr>
        <w:tabs>
          <w:tab w:pos="2381" w:val="left" w:leader="none"/>
          <w:tab w:pos="2382" w:val="left" w:leader="none"/>
        </w:tabs>
        <w:spacing w:line="242" w:lineRule="auto" w:before="108" w:after="0"/>
        <w:ind w:left="2381" w:right="2229" w:hanging="794"/>
        <w:jc w:val="left"/>
        <w:rPr>
          <w:sz w:val="12"/>
        </w:rPr>
      </w:pPr>
      <w:r>
        <w:rPr>
          <w:sz w:val="21"/>
        </w:rPr>
        <w:t>It was also suggested </w:t>
      </w:r>
      <w:r>
        <w:rPr>
          <w:spacing w:val="-3"/>
          <w:sz w:val="21"/>
        </w:rPr>
        <w:t>that </w:t>
      </w:r>
      <w:r>
        <w:rPr>
          <w:sz w:val="21"/>
        </w:rPr>
        <w:t>the </w:t>
      </w:r>
      <w:r>
        <w:rPr>
          <w:spacing w:val="-3"/>
          <w:sz w:val="21"/>
        </w:rPr>
        <w:t>County Court </w:t>
      </w:r>
      <w:r>
        <w:rPr>
          <w:sz w:val="21"/>
        </w:rPr>
        <w:t>should </w:t>
      </w:r>
      <w:r>
        <w:rPr>
          <w:spacing w:val="-3"/>
          <w:sz w:val="21"/>
        </w:rPr>
        <w:t>have  </w:t>
      </w:r>
      <w:r>
        <w:rPr>
          <w:sz w:val="21"/>
        </w:rPr>
        <w:t>jurisdiction </w:t>
      </w:r>
      <w:r>
        <w:rPr>
          <w:spacing w:val="-3"/>
          <w:sz w:val="21"/>
        </w:rPr>
        <w:t>to</w:t>
      </w:r>
      <w:r>
        <w:rPr>
          <w:spacing w:val="41"/>
          <w:sz w:val="21"/>
        </w:rPr>
        <w:t> </w:t>
      </w:r>
      <w:r>
        <w:rPr>
          <w:spacing w:val="-3"/>
          <w:sz w:val="21"/>
        </w:rPr>
        <w:t>determine  will </w:t>
      </w:r>
      <w:r>
        <w:rPr>
          <w:sz w:val="21"/>
        </w:rPr>
        <w:t>construction issues </w:t>
      </w:r>
      <w:r>
        <w:rPr>
          <w:spacing w:val="-3"/>
          <w:sz w:val="21"/>
        </w:rPr>
        <w:t>arising </w:t>
      </w:r>
      <w:r>
        <w:rPr>
          <w:sz w:val="21"/>
        </w:rPr>
        <w:t>in </w:t>
      </w:r>
      <w:r>
        <w:rPr>
          <w:spacing w:val="-3"/>
          <w:sz w:val="21"/>
        </w:rPr>
        <w:t>family provision </w:t>
      </w:r>
      <w:r>
        <w:rPr>
          <w:sz w:val="21"/>
        </w:rPr>
        <w:t>matters. </w:t>
      </w:r>
      <w:r>
        <w:rPr>
          <w:spacing w:val="-4"/>
          <w:sz w:val="21"/>
        </w:rPr>
        <w:t>However, </w:t>
      </w:r>
      <w:r>
        <w:rPr>
          <w:sz w:val="21"/>
        </w:rPr>
        <w:t>it seems </w:t>
      </w:r>
      <w:r>
        <w:rPr>
          <w:spacing w:val="-3"/>
          <w:sz w:val="21"/>
        </w:rPr>
        <w:t>that </w:t>
      </w:r>
      <w:r>
        <w:rPr>
          <w:sz w:val="21"/>
        </w:rPr>
        <w:t>it </w:t>
      </w:r>
      <w:r>
        <w:rPr>
          <w:spacing w:val="-3"/>
          <w:sz w:val="21"/>
        </w:rPr>
        <w:t>already</w:t>
      </w:r>
      <w:r>
        <w:rPr>
          <w:spacing w:val="22"/>
          <w:sz w:val="21"/>
        </w:rPr>
        <w:t> </w:t>
      </w:r>
      <w:r>
        <w:rPr>
          <w:spacing w:val="-2"/>
          <w:sz w:val="21"/>
        </w:rPr>
        <w:t>has</w:t>
      </w:r>
      <w:r>
        <w:rPr>
          <w:spacing w:val="22"/>
          <w:sz w:val="21"/>
        </w:rPr>
        <w:t> </w:t>
      </w:r>
      <w:r>
        <w:rPr>
          <w:sz w:val="21"/>
        </w:rPr>
        <w:t>this</w:t>
      </w:r>
      <w:r>
        <w:rPr>
          <w:spacing w:val="22"/>
          <w:sz w:val="21"/>
        </w:rPr>
        <w:t> </w:t>
      </w:r>
      <w:r>
        <w:rPr>
          <w:sz w:val="21"/>
        </w:rPr>
        <w:t>power</w:t>
      </w:r>
      <w:r>
        <w:rPr>
          <w:spacing w:val="23"/>
          <w:sz w:val="21"/>
        </w:rPr>
        <w:t> </w:t>
      </w:r>
      <w:r>
        <w:rPr>
          <w:sz w:val="21"/>
        </w:rPr>
        <w:t>under</w:t>
      </w:r>
      <w:r>
        <w:rPr>
          <w:spacing w:val="22"/>
          <w:sz w:val="21"/>
        </w:rPr>
        <w:t> </w:t>
      </w:r>
      <w:r>
        <w:rPr>
          <w:sz w:val="21"/>
        </w:rPr>
        <w:t>the</w:t>
      </w:r>
      <w:r>
        <w:rPr>
          <w:spacing w:val="22"/>
          <w:sz w:val="21"/>
        </w:rPr>
        <w:t> </w:t>
      </w:r>
      <w:r>
        <w:rPr>
          <w:i/>
          <w:spacing w:val="-3"/>
          <w:sz w:val="21"/>
        </w:rPr>
        <w:t>County</w:t>
      </w:r>
      <w:r>
        <w:rPr>
          <w:i/>
          <w:spacing w:val="22"/>
          <w:sz w:val="21"/>
        </w:rPr>
        <w:t> </w:t>
      </w:r>
      <w:r>
        <w:rPr>
          <w:i/>
          <w:sz w:val="21"/>
        </w:rPr>
        <w:t>Court</w:t>
      </w:r>
      <w:r>
        <w:rPr>
          <w:i/>
          <w:spacing w:val="23"/>
          <w:sz w:val="21"/>
        </w:rPr>
        <w:t> </w:t>
      </w:r>
      <w:r>
        <w:rPr>
          <w:i/>
          <w:sz w:val="21"/>
        </w:rPr>
        <w:t>Civil</w:t>
      </w:r>
      <w:r>
        <w:rPr>
          <w:i/>
          <w:spacing w:val="22"/>
          <w:sz w:val="21"/>
        </w:rPr>
        <w:t> </w:t>
      </w:r>
      <w:r>
        <w:rPr>
          <w:i/>
          <w:sz w:val="21"/>
        </w:rPr>
        <w:t>Procedure</w:t>
      </w:r>
      <w:r>
        <w:rPr>
          <w:i/>
          <w:spacing w:val="22"/>
          <w:sz w:val="21"/>
        </w:rPr>
        <w:t> </w:t>
      </w:r>
      <w:r>
        <w:rPr>
          <w:i/>
          <w:sz w:val="21"/>
        </w:rPr>
        <w:t>Rules</w:t>
      </w:r>
      <w:r>
        <w:rPr>
          <w:i/>
          <w:spacing w:val="23"/>
          <w:sz w:val="21"/>
        </w:rPr>
        <w:t> </w:t>
      </w:r>
      <w:r>
        <w:rPr>
          <w:i/>
          <w:sz w:val="21"/>
        </w:rPr>
        <w:t>2008</w:t>
      </w:r>
      <w:r>
        <w:rPr>
          <w:i/>
          <w:spacing w:val="22"/>
          <w:sz w:val="21"/>
        </w:rPr>
        <w:t> </w:t>
      </w:r>
      <w:r>
        <w:rPr>
          <w:sz w:val="21"/>
        </w:rPr>
        <w:t>(Vic).</w:t>
      </w:r>
      <w:r>
        <w:rPr>
          <w:position w:val="7"/>
          <w:sz w:val="12"/>
        </w:rPr>
        <w:t>84</w:t>
      </w:r>
    </w:p>
    <w:p>
      <w:pPr>
        <w:pStyle w:val="BodyText"/>
        <w:spacing w:line="242" w:lineRule="auto" w:before="2"/>
        <w:ind w:left="2381" w:right="1711"/>
      </w:pPr>
      <w:r>
        <w:rPr>
          <w:spacing w:val="-4"/>
          <w:w w:val="105"/>
        </w:rPr>
        <w:t>Accordingly, </w:t>
      </w:r>
      <w:r>
        <w:rPr>
          <w:w w:val="105"/>
        </w:rPr>
        <w:t>the </w:t>
      </w:r>
      <w:r>
        <w:rPr>
          <w:spacing w:val="-3"/>
          <w:w w:val="105"/>
        </w:rPr>
        <w:t>Commission </w:t>
      </w:r>
      <w:r>
        <w:rPr>
          <w:w w:val="105"/>
        </w:rPr>
        <w:t>does </w:t>
      </w:r>
      <w:r>
        <w:rPr>
          <w:spacing w:val="-2"/>
          <w:w w:val="105"/>
        </w:rPr>
        <w:t>not </w:t>
      </w:r>
      <w:r>
        <w:rPr>
          <w:spacing w:val="-3"/>
          <w:w w:val="105"/>
        </w:rPr>
        <w:t>consider </w:t>
      </w:r>
      <w:r>
        <w:rPr>
          <w:w w:val="105"/>
        </w:rPr>
        <w:t>it necessary </w:t>
      </w:r>
      <w:r>
        <w:rPr>
          <w:spacing w:val="-3"/>
          <w:w w:val="105"/>
        </w:rPr>
        <w:t>to </w:t>
      </w:r>
      <w:r>
        <w:rPr>
          <w:spacing w:val="-4"/>
          <w:w w:val="105"/>
        </w:rPr>
        <w:t>make </w:t>
      </w:r>
      <w:r>
        <w:rPr>
          <w:w w:val="105"/>
        </w:rPr>
        <w:t>a </w:t>
      </w:r>
      <w:r>
        <w:rPr>
          <w:spacing w:val="-3"/>
          <w:w w:val="105"/>
        </w:rPr>
        <w:t>recommendation </w:t>
      </w:r>
      <w:r>
        <w:rPr>
          <w:w w:val="105"/>
        </w:rPr>
        <w:t>on this </w:t>
      </w:r>
      <w:r>
        <w:rPr>
          <w:spacing w:val="-4"/>
          <w:w w:val="105"/>
        </w:rPr>
        <w:t>matter.</w:t>
      </w:r>
    </w:p>
    <w:p>
      <w:pPr>
        <w:pStyle w:val="BodyText"/>
        <w:spacing w:before="3"/>
      </w:pPr>
    </w:p>
    <w:p>
      <w:pPr>
        <w:pStyle w:val="Heading4"/>
      </w:pPr>
      <w:bookmarkStart w:name="_TOC_250017" w:id="109"/>
      <w:bookmarkEnd w:id="109"/>
      <w:r>
        <w:rPr>
          <w:color w:val="EC5A4F"/>
          <w:w w:val="115"/>
        </w:rPr>
        <w:t>Eligibility to make a family provision claim</w:t>
      </w:r>
    </w:p>
    <w:p>
      <w:pPr>
        <w:pStyle w:val="Heading5"/>
        <w:spacing w:before="167"/>
      </w:pPr>
      <w:bookmarkStart w:name="_TOC_250016" w:id="110"/>
      <w:bookmarkEnd w:id="110"/>
      <w:r>
        <w:rPr>
          <w:w w:val="115"/>
        </w:rPr>
        <w:t>Current law</w:t>
      </w:r>
    </w:p>
    <w:p>
      <w:pPr>
        <w:pStyle w:val="ListParagraph"/>
        <w:numPr>
          <w:ilvl w:val="1"/>
          <w:numId w:val="22"/>
        </w:numPr>
        <w:tabs>
          <w:tab w:pos="2380" w:val="left" w:leader="none"/>
          <w:tab w:pos="2381" w:val="left" w:leader="none"/>
        </w:tabs>
        <w:spacing w:line="242" w:lineRule="auto" w:before="137" w:after="0"/>
        <w:ind w:left="2381" w:right="1803" w:hanging="794"/>
        <w:jc w:val="left"/>
        <w:rPr>
          <w:sz w:val="21"/>
        </w:rPr>
      </w:pPr>
      <w:r>
        <w:rPr>
          <w:sz w:val="21"/>
        </w:rPr>
        <w:t>The </w:t>
      </w:r>
      <w:r>
        <w:rPr>
          <w:spacing w:val="-3"/>
          <w:sz w:val="21"/>
        </w:rPr>
        <w:t>Administration </w:t>
      </w:r>
      <w:r>
        <w:rPr>
          <w:sz w:val="21"/>
        </w:rPr>
        <w:t>and </w:t>
      </w:r>
      <w:r>
        <w:rPr>
          <w:spacing w:val="-3"/>
          <w:sz w:val="21"/>
        </w:rPr>
        <w:t>Probate </w:t>
      </w:r>
      <w:r>
        <w:rPr>
          <w:sz w:val="21"/>
        </w:rPr>
        <w:t>Act does </w:t>
      </w:r>
      <w:r>
        <w:rPr>
          <w:spacing w:val="-2"/>
          <w:sz w:val="21"/>
        </w:rPr>
        <w:t>not </w:t>
      </w:r>
      <w:r>
        <w:rPr>
          <w:spacing w:val="-3"/>
          <w:sz w:val="21"/>
        </w:rPr>
        <w:t>limit </w:t>
      </w:r>
      <w:r>
        <w:rPr>
          <w:sz w:val="21"/>
        </w:rPr>
        <w:t>who </w:t>
      </w:r>
      <w:r>
        <w:rPr>
          <w:spacing w:val="-3"/>
          <w:sz w:val="21"/>
        </w:rPr>
        <w:t>may </w:t>
      </w:r>
      <w:r>
        <w:rPr>
          <w:spacing w:val="-4"/>
          <w:sz w:val="21"/>
        </w:rPr>
        <w:t>make </w:t>
      </w:r>
      <w:r>
        <w:rPr>
          <w:sz w:val="21"/>
        </w:rPr>
        <w:t>a </w:t>
      </w:r>
      <w:r>
        <w:rPr>
          <w:spacing w:val="-3"/>
          <w:sz w:val="21"/>
        </w:rPr>
        <w:t>family provision </w:t>
      </w:r>
      <w:r>
        <w:rPr>
          <w:sz w:val="21"/>
        </w:rPr>
        <w:t>application; </w:t>
      </w:r>
      <w:r>
        <w:rPr>
          <w:spacing w:val="-3"/>
          <w:sz w:val="21"/>
        </w:rPr>
        <w:t>anyone may </w:t>
      </w:r>
      <w:r>
        <w:rPr>
          <w:spacing w:val="-4"/>
          <w:sz w:val="21"/>
        </w:rPr>
        <w:t>apply. </w:t>
      </w:r>
      <w:r>
        <w:rPr>
          <w:sz w:val="21"/>
        </w:rPr>
        <w:t>In this </w:t>
      </w:r>
      <w:r>
        <w:rPr>
          <w:spacing w:val="-3"/>
          <w:sz w:val="21"/>
        </w:rPr>
        <w:t>regard,  </w:t>
      </w:r>
      <w:r>
        <w:rPr>
          <w:sz w:val="21"/>
        </w:rPr>
        <w:t>Victorian law differs </w:t>
      </w:r>
      <w:r>
        <w:rPr>
          <w:spacing w:val="-3"/>
          <w:sz w:val="21"/>
        </w:rPr>
        <w:t>from</w:t>
      </w:r>
      <w:r>
        <w:rPr>
          <w:spacing w:val="41"/>
          <w:sz w:val="21"/>
        </w:rPr>
        <w:t> </w:t>
      </w:r>
      <w:r>
        <w:rPr>
          <w:sz w:val="21"/>
        </w:rPr>
        <w:t>the law in </w:t>
      </w:r>
      <w:r>
        <w:rPr>
          <w:spacing w:val="-3"/>
          <w:sz w:val="21"/>
        </w:rPr>
        <w:t>all </w:t>
      </w:r>
      <w:r>
        <w:rPr>
          <w:sz w:val="21"/>
        </w:rPr>
        <w:t>other </w:t>
      </w:r>
      <w:r>
        <w:rPr>
          <w:spacing w:val="-3"/>
          <w:sz w:val="21"/>
        </w:rPr>
        <w:t>Australian </w:t>
      </w:r>
      <w:r>
        <w:rPr>
          <w:sz w:val="21"/>
        </w:rPr>
        <w:t>states and </w:t>
      </w:r>
      <w:r>
        <w:rPr>
          <w:spacing w:val="-3"/>
          <w:sz w:val="21"/>
        </w:rPr>
        <w:t>territories, </w:t>
      </w:r>
      <w:r>
        <w:rPr>
          <w:sz w:val="21"/>
        </w:rPr>
        <w:t>where </w:t>
      </w:r>
      <w:r>
        <w:rPr>
          <w:spacing w:val="-3"/>
          <w:sz w:val="21"/>
        </w:rPr>
        <w:t>family provision legislation </w:t>
      </w:r>
      <w:r>
        <w:rPr>
          <w:sz w:val="21"/>
        </w:rPr>
        <w:t>sets out a list of </w:t>
      </w:r>
      <w:r>
        <w:rPr>
          <w:spacing w:val="-3"/>
          <w:sz w:val="21"/>
        </w:rPr>
        <w:t>eligible</w:t>
      </w:r>
      <w:r>
        <w:rPr>
          <w:spacing w:val="8"/>
          <w:sz w:val="21"/>
        </w:rPr>
        <w:t> </w:t>
      </w:r>
      <w:r>
        <w:rPr>
          <w:sz w:val="21"/>
        </w:rPr>
        <w:t>persons.</w:t>
      </w:r>
    </w:p>
    <w:p>
      <w:pPr>
        <w:pStyle w:val="ListParagraph"/>
        <w:numPr>
          <w:ilvl w:val="1"/>
          <w:numId w:val="22"/>
        </w:numPr>
        <w:tabs>
          <w:tab w:pos="2380" w:val="left" w:leader="none"/>
          <w:tab w:pos="2381" w:val="left" w:leader="none"/>
        </w:tabs>
        <w:spacing w:line="242" w:lineRule="auto" w:before="124" w:after="0"/>
        <w:ind w:left="2381" w:right="1657" w:hanging="794"/>
        <w:jc w:val="left"/>
        <w:rPr>
          <w:sz w:val="12"/>
        </w:rPr>
      </w:pPr>
      <w:r>
        <w:rPr>
          <w:spacing w:val="-5"/>
          <w:w w:val="105"/>
          <w:sz w:val="21"/>
        </w:rPr>
        <w:t>Until </w:t>
      </w:r>
      <w:r>
        <w:rPr>
          <w:spacing w:val="-7"/>
          <w:w w:val="105"/>
          <w:sz w:val="21"/>
        </w:rPr>
        <w:t>1997 </w:t>
      </w:r>
      <w:r>
        <w:rPr>
          <w:spacing w:val="-3"/>
          <w:w w:val="105"/>
          <w:sz w:val="21"/>
        </w:rPr>
        <w:t>in </w:t>
      </w:r>
      <w:r>
        <w:rPr>
          <w:spacing w:val="-4"/>
          <w:w w:val="105"/>
          <w:sz w:val="21"/>
        </w:rPr>
        <w:t>Victoria, only </w:t>
      </w:r>
      <w:r>
        <w:rPr>
          <w:spacing w:val="-3"/>
          <w:w w:val="105"/>
          <w:sz w:val="21"/>
        </w:rPr>
        <w:t>the </w:t>
      </w:r>
      <w:r>
        <w:rPr>
          <w:spacing w:val="-4"/>
          <w:w w:val="105"/>
          <w:sz w:val="21"/>
        </w:rPr>
        <w:t>deceased </w:t>
      </w:r>
      <w:r>
        <w:rPr>
          <w:spacing w:val="-5"/>
          <w:w w:val="105"/>
          <w:sz w:val="21"/>
        </w:rPr>
        <w:t>person’s widow, </w:t>
      </w:r>
      <w:r>
        <w:rPr>
          <w:spacing w:val="-4"/>
          <w:w w:val="105"/>
          <w:sz w:val="21"/>
        </w:rPr>
        <w:t>widower </w:t>
      </w:r>
      <w:r>
        <w:rPr>
          <w:w w:val="105"/>
          <w:sz w:val="21"/>
        </w:rPr>
        <w:t>or </w:t>
      </w:r>
      <w:r>
        <w:rPr>
          <w:spacing w:val="-5"/>
          <w:w w:val="105"/>
          <w:sz w:val="21"/>
        </w:rPr>
        <w:t>children </w:t>
      </w:r>
      <w:r>
        <w:rPr>
          <w:spacing w:val="-4"/>
          <w:w w:val="105"/>
          <w:sz w:val="21"/>
        </w:rPr>
        <w:t>could </w:t>
      </w:r>
      <w:r>
        <w:rPr>
          <w:spacing w:val="-5"/>
          <w:w w:val="105"/>
          <w:sz w:val="21"/>
        </w:rPr>
        <w:t>make  </w:t>
      </w:r>
      <w:r>
        <w:rPr>
          <w:w w:val="105"/>
          <w:sz w:val="21"/>
        </w:rPr>
        <w:t>a </w:t>
      </w:r>
      <w:r>
        <w:rPr>
          <w:spacing w:val="-5"/>
          <w:w w:val="105"/>
          <w:sz w:val="21"/>
        </w:rPr>
        <w:t>family provision </w:t>
      </w:r>
      <w:r>
        <w:rPr>
          <w:spacing w:val="-4"/>
          <w:w w:val="105"/>
          <w:sz w:val="21"/>
        </w:rPr>
        <w:t>application.</w:t>
      </w:r>
      <w:r>
        <w:rPr>
          <w:spacing w:val="-4"/>
          <w:w w:val="105"/>
          <w:position w:val="7"/>
          <w:sz w:val="12"/>
        </w:rPr>
        <w:t>85 </w:t>
      </w:r>
      <w:r>
        <w:rPr>
          <w:spacing w:val="-5"/>
          <w:w w:val="105"/>
          <w:sz w:val="21"/>
        </w:rPr>
        <w:t>Family provision eligibility </w:t>
      </w:r>
      <w:r>
        <w:rPr>
          <w:spacing w:val="-3"/>
          <w:w w:val="105"/>
          <w:sz w:val="21"/>
        </w:rPr>
        <w:t>was </w:t>
      </w:r>
      <w:r>
        <w:rPr>
          <w:spacing w:val="-5"/>
          <w:w w:val="105"/>
          <w:sz w:val="21"/>
        </w:rPr>
        <w:t>considered </w:t>
      </w:r>
      <w:r>
        <w:rPr>
          <w:spacing w:val="-3"/>
          <w:w w:val="105"/>
          <w:sz w:val="21"/>
        </w:rPr>
        <w:t>by the </w:t>
      </w:r>
      <w:r>
        <w:rPr>
          <w:spacing w:val="-4"/>
          <w:w w:val="105"/>
          <w:sz w:val="21"/>
        </w:rPr>
        <w:t>Attorney- </w:t>
      </w:r>
      <w:r>
        <w:rPr>
          <w:spacing w:val="-5"/>
          <w:w w:val="105"/>
          <w:sz w:val="21"/>
        </w:rPr>
        <w:t>General’s </w:t>
      </w:r>
      <w:r>
        <w:rPr>
          <w:w w:val="105"/>
          <w:sz w:val="21"/>
        </w:rPr>
        <w:t>Law </w:t>
      </w:r>
      <w:r>
        <w:rPr>
          <w:spacing w:val="-4"/>
          <w:w w:val="105"/>
          <w:sz w:val="21"/>
        </w:rPr>
        <w:t>Reform </w:t>
      </w:r>
      <w:r>
        <w:rPr>
          <w:spacing w:val="-3"/>
          <w:w w:val="105"/>
          <w:sz w:val="21"/>
        </w:rPr>
        <w:t>Advisory </w:t>
      </w:r>
      <w:r>
        <w:rPr>
          <w:spacing w:val="-5"/>
          <w:w w:val="105"/>
          <w:sz w:val="21"/>
        </w:rPr>
        <w:t>Council.</w:t>
      </w:r>
      <w:r>
        <w:rPr>
          <w:spacing w:val="-5"/>
          <w:w w:val="105"/>
          <w:position w:val="7"/>
          <w:sz w:val="12"/>
        </w:rPr>
        <w:t>86 </w:t>
      </w:r>
      <w:r>
        <w:rPr>
          <w:spacing w:val="-2"/>
          <w:w w:val="105"/>
          <w:sz w:val="21"/>
        </w:rPr>
        <w:t>The </w:t>
      </w:r>
      <w:r>
        <w:rPr>
          <w:spacing w:val="-5"/>
          <w:w w:val="105"/>
          <w:sz w:val="21"/>
        </w:rPr>
        <w:t>government ultimately </w:t>
      </w:r>
      <w:r>
        <w:rPr>
          <w:spacing w:val="-4"/>
          <w:w w:val="105"/>
          <w:sz w:val="21"/>
        </w:rPr>
        <w:t>concluded that </w:t>
      </w:r>
      <w:r>
        <w:rPr>
          <w:spacing w:val="-3"/>
          <w:w w:val="105"/>
          <w:sz w:val="21"/>
        </w:rPr>
        <w:t>the </w:t>
      </w:r>
      <w:r>
        <w:rPr>
          <w:spacing w:val="-4"/>
          <w:w w:val="105"/>
          <w:sz w:val="21"/>
        </w:rPr>
        <w:t>law </w:t>
      </w:r>
      <w:r>
        <w:rPr>
          <w:spacing w:val="-3"/>
          <w:w w:val="105"/>
          <w:sz w:val="21"/>
        </w:rPr>
        <w:t>was too </w:t>
      </w:r>
      <w:r>
        <w:rPr>
          <w:spacing w:val="-4"/>
          <w:w w:val="105"/>
          <w:sz w:val="21"/>
        </w:rPr>
        <w:t>restrictive and </w:t>
      </w:r>
      <w:r>
        <w:rPr>
          <w:spacing w:val="-3"/>
          <w:w w:val="105"/>
          <w:sz w:val="21"/>
        </w:rPr>
        <w:t>was </w:t>
      </w:r>
      <w:r>
        <w:rPr>
          <w:spacing w:val="-5"/>
          <w:w w:val="105"/>
          <w:sz w:val="21"/>
        </w:rPr>
        <w:t>excluding </w:t>
      </w:r>
      <w:r>
        <w:rPr>
          <w:spacing w:val="-3"/>
          <w:w w:val="105"/>
          <w:sz w:val="21"/>
        </w:rPr>
        <w:t>some people who </w:t>
      </w:r>
      <w:r>
        <w:rPr>
          <w:spacing w:val="-4"/>
          <w:w w:val="105"/>
          <w:sz w:val="21"/>
        </w:rPr>
        <w:t>had </w:t>
      </w:r>
      <w:r>
        <w:rPr>
          <w:spacing w:val="-5"/>
          <w:w w:val="105"/>
          <w:sz w:val="21"/>
        </w:rPr>
        <w:t>legitimate claims, </w:t>
      </w:r>
      <w:r>
        <w:rPr>
          <w:spacing w:val="-4"/>
          <w:w w:val="105"/>
          <w:sz w:val="21"/>
        </w:rPr>
        <w:t>and that </w:t>
      </w:r>
      <w:r>
        <w:rPr>
          <w:spacing w:val="-3"/>
          <w:w w:val="105"/>
          <w:sz w:val="21"/>
        </w:rPr>
        <w:t>it </w:t>
      </w:r>
      <w:r>
        <w:rPr>
          <w:spacing w:val="-4"/>
          <w:w w:val="105"/>
          <w:sz w:val="21"/>
        </w:rPr>
        <w:t>should </w:t>
      </w:r>
      <w:r>
        <w:rPr>
          <w:w w:val="105"/>
          <w:sz w:val="21"/>
        </w:rPr>
        <w:t>be </w:t>
      </w:r>
      <w:r>
        <w:rPr>
          <w:spacing w:val="-4"/>
          <w:w w:val="105"/>
          <w:sz w:val="21"/>
        </w:rPr>
        <w:t>amended to enable </w:t>
      </w:r>
      <w:r>
        <w:rPr>
          <w:w w:val="105"/>
          <w:sz w:val="21"/>
        </w:rPr>
        <w:t>a </w:t>
      </w:r>
      <w:r>
        <w:rPr>
          <w:spacing w:val="-3"/>
          <w:w w:val="105"/>
          <w:sz w:val="21"/>
        </w:rPr>
        <w:t>wider category of people </w:t>
      </w:r>
      <w:r>
        <w:rPr>
          <w:spacing w:val="-4"/>
          <w:w w:val="105"/>
          <w:sz w:val="21"/>
        </w:rPr>
        <w:t>to </w:t>
      </w:r>
      <w:r>
        <w:rPr>
          <w:spacing w:val="-3"/>
          <w:w w:val="105"/>
          <w:sz w:val="21"/>
        </w:rPr>
        <w:t>apply </w:t>
      </w:r>
      <w:r>
        <w:rPr>
          <w:spacing w:val="-4"/>
          <w:w w:val="105"/>
          <w:sz w:val="21"/>
        </w:rPr>
        <w:t>for </w:t>
      </w:r>
      <w:r>
        <w:rPr>
          <w:spacing w:val="-5"/>
          <w:w w:val="105"/>
          <w:sz w:val="21"/>
        </w:rPr>
        <w:t>family</w:t>
      </w:r>
      <w:r>
        <w:rPr>
          <w:spacing w:val="-9"/>
          <w:w w:val="105"/>
          <w:sz w:val="21"/>
        </w:rPr>
        <w:t> </w:t>
      </w:r>
      <w:r>
        <w:rPr>
          <w:spacing w:val="-4"/>
          <w:w w:val="105"/>
          <w:sz w:val="21"/>
        </w:rPr>
        <w:t>provision.</w:t>
      </w:r>
      <w:r>
        <w:rPr>
          <w:spacing w:val="-4"/>
          <w:w w:val="105"/>
          <w:position w:val="7"/>
          <w:sz w:val="12"/>
        </w:rPr>
        <w:t>87</w:t>
      </w:r>
    </w:p>
    <w:p>
      <w:pPr>
        <w:pStyle w:val="ListParagraph"/>
        <w:numPr>
          <w:ilvl w:val="1"/>
          <w:numId w:val="22"/>
        </w:numPr>
        <w:tabs>
          <w:tab w:pos="2381" w:val="left" w:leader="none"/>
          <w:tab w:pos="2382" w:val="left" w:leader="none"/>
        </w:tabs>
        <w:spacing w:line="242" w:lineRule="auto" w:before="126" w:after="0"/>
        <w:ind w:left="2381" w:right="1717" w:hanging="794"/>
        <w:jc w:val="left"/>
        <w:rPr>
          <w:sz w:val="12"/>
        </w:rPr>
      </w:pPr>
      <w:r>
        <w:rPr/>
        <w:pict>
          <v:line style="position:absolute;mso-position-horizontal-relative:page;mso-position-vertical-relative:paragraph;z-index:6992;mso-wrap-distance-left:0;mso-wrap-distance-right:0" from="79.370102pt,100.989456pt" to="515.905102pt,100.989456pt" stroked="true" strokeweight="1pt" strokecolor="#f9ceca">
            <v:stroke dashstyle="solid"/>
            <w10:wrap type="topAndBottom"/>
          </v:line>
        </w:pict>
      </w:r>
      <w:r>
        <w:rPr>
          <w:spacing w:val="-3"/>
          <w:sz w:val="21"/>
        </w:rPr>
        <w:t>Victoria’s current </w:t>
      </w:r>
      <w:r>
        <w:rPr>
          <w:sz w:val="21"/>
        </w:rPr>
        <w:t>approach </w:t>
      </w:r>
      <w:r>
        <w:rPr>
          <w:spacing w:val="-3"/>
          <w:sz w:val="21"/>
        </w:rPr>
        <w:t>to eligibility </w:t>
      </w:r>
      <w:r>
        <w:rPr>
          <w:sz w:val="21"/>
        </w:rPr>
        <w:t>is described as </w:t>
      </w:r>
      <w:r>
        <w:rPr>
          <w:spacing w:val="-4"/>
          <w:sz w:val="21"/>
        </w:rPr>
        <w:t>‘criteria-based’, </w:t>
      </w:r>
      <w:r>
        <w:rPr>
          <w:sz w:val="21"/>
        </w:rPr>
        <w:t>because statutory </w:t>
      </w:r>
      <w:r>
        <w:rPr>
          <w:spacing w:val="-3"/>
          <w:sz w:val="21"/>
        </w:rPr>
        <w:t>criteria </w:t>
      </w:r>
      <w:r>
        <w:rPr>
          <w:sz w:val="21"/>
        </w:rPr>
        <w:t>must be </w:t>
      </w:r>
      <w:r>
        <w:rPr>
          <w:spacing w:val="-3"/>
          <w:sz w:val="21"/>
        </w:rPr>
        <w:t>considered </w:t>
      </w:r>
      <w:r>
        <w:rPr>
          <w:sz w:val="21"/>
        </w:rPr>
        <w:t>when </w:t>
      </w:r>
      <w:r>
        <w:rPr>
          <w:spacing w:val="-3"/>
          <w:sz w:val="21"/>
        </w:rPr>
        <w:t>determining </w:t>
      </w:r>
      <w:r>
        <w:rPr>
          <w:sz w:val="21"/>
        </w:rPr>
        <w:t>whether the deceased person </w:t>
      </w:r>
      <w:r>
        <w:rPr>
          <w:spacing w:val="-2"/>
          <w:sz w:val="21"/>
        </w:rPr>
        <w:t>had </w:t>
      </w:r>
      <w:r>
        <w:rPr>
          <w:spacing w:val="-3"/>
          <w:sz w:val="21"/>
        </w:rPr>
        <w:t>responsibility to </w:t>
      </w:r>
      <w:r>
        <w:rPr>
          <w:sz w:val="21"/>
        </w:rPr>
        <w:t>provide </w:t>
      </w:r>
      <w:r>
        <w:rPr>
          <w:spacing w:val="-3"/>
          <w:sz w:val="21"/>
        </w:rPr>
        <w:t>for </w:t>
      </w:r>
      <w:r>
        <w:rPr>
          <w:sz w:val="21"/>
        </w:rPr>
        <w:t>a person—that is, whether the person is </w:t>
      </w:r>
      <w:r>
        <w:rPr>
          <w:spacing w:val="-3"/>
          <w:sz w:val="21"/>
        </w:rPr>
        <w:t>eligible for family </w:t>
      </w:r>
      <w:r>
        <w:rPr>
          <w:sz w:val="21"/>
        </w:rPr>
        <w:t>provision.</w:t>
      </w:r>
      <w:r>
        <w:rPr>
          <w:position w:val="7"/>
          <w:sz w:val="12"/>
        </w:rPr>
        <w:t>88 </w:t>
      </w:r>
      <w:r>
        <w:rPr>
          <w:sz w:val="21"/>
        </w:rPr>
        <w:t>This is in </w:t>
      </w:r>
      <w:r>
        <w:rPr>
          <w:spacing w:val="-3"/>
          <w:sz w:val="21"/>
        </w:rPr>
        <w:t>contrast to </w:t>
      </w:r>
      <w:r>
        <w:rPr>
          <w:sz w:val="21"/>
        </w:rPr>
        <w:t>the ‘status-based’ or </w:t>
      </w:r>
      <w:r>
        <w:rPr>
          <w:spacing w:val="-3"/>
          <w:sz w:val="21"/>
        </w:rPr>
        <w:t>‘list-based’ </w:t>
      </w:r>
      <w:r>
        <w:rPr>
          <w:sz w:val="21"/>
        </w:rPr>
        <w:t>approach adopted in </w:t>
      </w:r>
      <w:r>
        <w:rPr>
          <w:spacing w:val="-3"/>
          <w:sz w:val="21"/>
        </w:rPr>
        <w:t>all </w:t>
      </w:r>
      <w:r>
        <w:rPr>
          <w:sz w:val="21"/>
        </w:rPr>
        <w:t>other </w:t>
      </w:r>
      <w:r>
        <w:rPr>
          <w:spacing w:val="-3"/>
          <w:sz w:val="21"/>
        </w:rPr>
        <w:t>Australian </w:t>
      </w:r>
      <w:r>
        <w:rPr>
          <w:sz w:val="21"/>
        </w:rPr>
        <w:t>jurisdictions,</w:t>
      </w:r>
      <w:r>
        <w:rPr>
          <w:position w:val="7"/>
          <w:sz w:val="12"/>
        </w:rPr>
        <w:t>89 </w:t>
      </w:r>
      <w:r>
        <w:rPr>
          <w:sz w:val="21"/>
        </w:rPr>
        <w:t>where </w:t>
      </w:r>
      <w:r>
        <w:rPr>
          <w:spacing w:val="-3"/>
          <w:sz w:val="21"/>
        </w:rPr>
        <w:t>legislation </w:t>
      </w:r>
      <w:r>
        <w:rPr>
          <w:sz w:val="21"/>
        </w:rPr>
        <w:t>lists those who </w:t>
      </w:r>
      <w:r>
        <w:rPr>
          <w:spacing w:val="-3"/>
          <w:sz w:val="21"/>
        </w:rPr>
        <w:t>are eligible to  </w:t>
      </w:r>
      <w:r>
        <w:rPr>
          <w:spacing w:val="-4"/>
          <w:sz w:val="21"/>
        </w:rPr>
        <w:t>make  </w:t>
      </w:r>
      <w:r>
        <w:rPr>
          <w:sz w:val="21"/>
        </w:rPr>
        <w:t>a </w:t>
      </w:r>
      <w:r>
        <w:rPr>
          <w:spacing w:val="-3"/>
          <w:sz w:val="21"/>
        </w:rPr>
        <w:t>family provision application, </w:t>
      </w:r>
      <w:r>
        <w:rPr>
          <w:sz w:val="21"/>
        </w:rPr>
        <w:t>based on the </w:t>
      </w:r>
      <w:r>
        <w:rPr>
          <w:spacing w:val="-3"/>
          <w:sz w:val="21"/>
        </w:rPr>
        <w:t>relationship (usually </w:t>
      </w:r>
      <w:r>
        <w:rPr>
          <w:sz w:val="21"/>
        </w:rPr>
        <w:t>a </w:t>
      </w:r>
      <w:r>
        <w:rPr>
          <w:spacing w:val="-4"/>
          <w:sz w:val="21"/>
        </w:rPr>
        <w:t>familial  </w:t>
      </w:r>
      <w:r>
        <w:rPr>
          <w:spacing w:val="-3"/>
          <w:sz w:val="21"/>
        </w:rPr>
        <w:t>relationship)  that </w:t>
      </w:r>
      <w:r>
        <w:rPr>
          <w:sz w:val="21"/>
        </w:rPr>
        <w:t>the </w:t>
      </w:r>
      <w:r>
        <w:rPr>
          <w:spacing w:val="-3"/>
          <w:sz w:val="21"/>
        </w:rPr>
        <w:t>applicant </w:t>
      </w:r>
      <w:r>
        <w:rPr>
          <w:spacing w:val="-2"/>
          <w:sz w:val="21"/>
        </w:rPr>
        <w:t>had </w:t>
      </w:r>
      <w:r>
        <w:rPr>
          <w:sz w:val="21"/>
        </w:rPr>
        <w:t>with the deceased</w:t>
      </w:r>
      <w:r>
        <w:rPr>
          <w:spacing w:val="14"/>
          <w:sz w:val="21"/>
        </w:rPr>
        <w:t> </w:t>
      </w:r>
      <w:r>
        <w:rPr>
          <w:sz w:val="21"/>
        </w:rPr>
        <w:t>person.</w:t>
      </w:r>
      <w:r>
        <w:rPr>
          <w:position w:val="7"/>
          <w:sz w:val="12"/>
        </w:rPr>
        <w:t>90</w:t>
      </w:r>
    </w:p>
    <w:p>
      <w:pPr>
        <w:pStyle w:val="BodyText"/>
        <w:spacing w:before="8"/>
        <w:rPr>
          <w:sz w:val="5"/>
        </w:rPr>
      </w:pPr>
    </w:p>
    <w:p>
      <w:pPr>
        <w:spacing w:after="0"/>
        <w:rPr>
          <w:sz w:val="5"/>
        </w:rPr>
        <w:sectPr>
          <w:pgSz w:w="11910" w:h="16840"/>
          <w:pgMar w:header="805" w:footer="0" w:top="1360" w:bottom="280" w:left="0" w:right="0"/>
        </w:sectPr>
      </w:pPr>
    </w:p>
    <w:p>
      <w:pPr>
        <w:pStyle w:val="ListParagraph"/>
        <w:numPr>
          <w:ilvl w:val="0"/>
          <w:numId w:val="79"/>
        </w:numPr>
        <w:tabs>
          <w:tab w:pos="2380" w:val="left" w:leader="none"/>
          <w:tab w:pos="2382" w:val="left" w:leader="none"/>
        </w:tabs>
        <w:spacing w:line="240" w:lineRule="auto" w:before="48" w:after="0"/>
        <w:ind w:left="2381" w:right="0" w:hanging="794"/>
        <w:jc w:val="left"/>
        <w:rPr>
          <w:sz w:val="13"/>
        </w:rPr>
      </w:pPr>
      <w:r>
        <w:rPr>
          <w:i/>
          <w:w w:val="105"/>
          <w:sz w:val="13"/>
        </w:rPr>
        <w:t>County Court Civil Procedure Rules 2008 </w:t>
      </w:r>
      <w:r>
        <w:rPr>
          <w:spacing w:val="2"/>
          <w:w w:val="105"/>
          <w:sz w:val="13"/>
        </w:rPr>
        <w:t>(Vic)</w:t>
      </w:r>
      <w:r>
        <w:rPr>
          <w:spacing w:val="28"/>
          <w:w w:val="105"/>
          <w:sz w:val="13"/>
        </w:rPr>
        <w:t> </w:t>
      </w:r>
      <w:r>
        <w:rPr>
          <w:w w:val="105"/>
          <w:sz w:val="13"/>
        </w:rPr>
        <w:t>O54.</w:t>
      </w:r>
    </w:p>
    <w:p>
      <w:pPr>
        <w:pStyle w:val="ListParagraph"/>
        <w:numPr>
          <w:ilvl w:val="0"/>
          <w:numId w:val="79"/>
        </w:numPr>
        <w:tabs>
          <w:tab w:pos="2380" w:val="left" w:leader="none"/>
          <w:tab w:pos="2382" w:val="left" w:leader="none"/>
        </w:tabs>
        <w:spacing w:line="240" w:lineRule="auto" w:before="1" w:after="0"/>
        <w:ind w:left="2380" w:right="279" w:hanging="793"/>
        <w:jc w:val="left"/>
        <w:rPr>
          <w:sz w:val="13"/>
        </w:rPr>
      </w:pPr>
      <w:r>
        <w:rPr>
          <w:i/>
          <w:w w:val="105"/>
          <w:sz w:val="13"/>
        </w:rPr>
        <w:t>Administration and Probate Act </w:t>
      </w:r>
      <w:r>
        <w:rPr>
          <w:i/>
          <w:spacing w:val="-3"/>
          <w:w w:val="105"/>
          <w:sz w:val="13"/>
        </w:rPr>
        <w:t>1958 </w:t>
      </w:r>
      <w:r>
        <w:rPr>
          <w:w w:val="105"/>
          <w:sz w:val="13"/>
        </w:rPr>
        <w:t>(Vic) s </w:t>
      </w:r>
      <w:r>
        <w:rPr>
          <w:spacing w:val="-4"/>
          <w:w w:val="105"/>
          <w:sz w:val="13"/>
        </w:rPr>
        <w:t>91. </w:t>
      </w:r>
      <w:r>
        <w:rPr>
          <w:w w:val="105"/>
          <w:sz w:val="13"/>
        </w:rPr>
        <w:t>‘Widow’ was defined as including a former wife entitled to payments of alimony or maintenance: </w:t>
      </w:r>
      <w:r>
        <w:rPr>
          <w:i/>
          <w:w w:val="105"/>
          <w:sz w:val="13"/>
        </w:rPr>
        <w:t>Administration and Probate (Family Provision) Act 1962 </w:t>
      </w:r>
      <w:r>
        <w:rPr>
          <w:w w:val="105"/>
          <w:sz w:val="13"/>
        </w:rPr>
        <w:t>(Vic) s 5, which amended </w:t>
      </w:r>
      <w:r>
        <w:rPr>
          <w:i/>
          <w:w w:val="105"/>
          <w:sz w:val="13"/>
        </w:rPr>
        <w:t>Administration and Probate Act </w:t>
      </w:r>
      <w:r>
        <w:rPr>
          <w:i/>
          <w:spacing w:val="-3"/>
          <w:w w:val="105"/>
          <w:sz w:val="13"/>
        </w:rPr>
        <w:t>1958 </w:t>
      </w:r>
      <w:r>
        <w:rPr>
          <w:w w:val="105"/>
          <w:sz w:val="13"/>
        </w:rPr>
        <w:t>(Vic) s</w:t>
      </w:r>
      <w:r>
        <w:rPr>
          <w:spacing w:val="2"/>
          <w:w w:val="105"/>
          <w:sz w:val="13"/>
        </w:rPr>
        <w:t> </w:t>
      </w:r>
      <w:r>
        <w:rPr>
          <w:spacing w:val="-6"/>
          <w:w w:val="105"/>
          <w:sz w:val="13"/>
        </w:rPr>
        <w:t>91.</w:t>
      </w:r>
    </w:p>
    <w:p>
      <w:pPr>
        <w:pStyle w:val="ListParagraph"/>
        <w:numPr>
          <w:ilvl w:val="0"/>
          <w:numId w:val="79"/>
        </w:numPr>
        <w:tabs>
          <w:tab w:pos="2380" w:val="left" w:leader="none"/>
          <w:tab w:pos="2381" w:val="left" w:leader="none"/>
        </w:tabs>
        <w:spacing w:line="240" w:lineRule="auto" w:before="4" w:after="0"/>
        <w:ind w:left="2380" w:right="187" w:hanging="793"/>
        <w:jc w:val="left"/>
        <w:rPr>
          <w:sz w:val="13"/>
        </w:rPr>
      </w:pPr>
      <w:r>
        <w:rPr>
          <w:w w:val="105"/>
          <w:sz w:val="13"/>
        </w:rPr>
        <w:t>The Advisory Council and process leading up to the amendments is discussed by Justice Bell in </w:t>
      </w:r>
      <w:r>
        <w:rPr>
          <w:i/>
          <w:w w:val="105"/>
          <w:sz w:val="13"/>
        </w:rPr>
        <w:t>Whitehead v State Trustees Ltd </w:t>
      </w:r>
      <w:r>
        <w:rPr>
          <w:spacing w:val="-3"/>
          <w:w w:val="105"/>
          <w:sz w:val="13"/>
        </w:rPr>
        <w:t>[2011] </w:t>
      </w:r>
      <w:r>
        <w:rPr>
          <w:w w:val="105"/>
          <w:sz w:val="13"/>
        </w:rPr>
        <w:t>VSC 424 (2 September </w:t>
      </w:r>
      <w:r>
        <w:rPr>
          <w:spacing w:val="-4"/>
          <w:w w:val="105"/>
          <w:sz w:val="13"/>
        </w:rPr>
        <w:t>2011) </w:t>
      </w:r>
      <w:r>
        <w:rPr>
          <w:spacing w:val="2"/>
          <w:w w:val="105"/>
          <w:sz w:val="13"/>
        </w:rPr>
        <w:t>[24]. </w:t>
      </w:r>
      <w:r>
        <w:rPr>
          <w:w w:val="105"/>
          <w:sz w:val="13"/>
        </w:rPr>
        <w:t>Rosalind Croucher gave an </w:t>
      </w:r>
      <w:r>
        <w:rPr>
          <w:spacing w:val="2"/>
          <w:w w:val="105"/>
          <w:sz w:val="13"/>
        </w:rPr>
        <w:t>expert </w:t>
      </w:r>
      <w:r>
        <w:rPr>
          <w:w w:val="105"/>
          <w:sz w:val="13"/>
        </w:rPr>
        <w:t>report to the Advisory Council: Rosalind Atherton (Croucher), </w:t>
      </w:r>
      <w:r>
        <w:rPr>
          <w:i/>
          <w:w w:val="105"/>
          <w:sz w:val="13"/>
        </w:rPr>
        <w:t>Victorian </w:t>
      </w:r>
      <w:r>
        <w:rPr>
          <w:i/>
          <w:w w:val="105"/>
          <w:sz w:val="13"/>
        </w:rPr>
        <w:t>Attorney-General’s Law Reform Advisory Council </w:t>
      </w:r>
      <w:r>
        <w:rPr>
          <w:i/>
          <w:spacing w:val="2"/>
          <w:w w:val="105"/>
          <w:sz w:val="13"/>
        </w:rPr>
        <w:t>Expert </w:t>
      </w:r>
      <w:r>
        <w:rPr>
          <w:i/>
          <w:w w:val="105"/>
          <w:sz w:val="13"/>
        </w:rPr>
        <w:t>Report </w:t>
      </w:r>
      <w:r>
        <w:rPr>
          <w:i/>
          <w:spacing w:val="-3"/>
          <w:w w:val="105"/>
          <w:sz w:val="13"/>
        </w:rPr>
        <w:t>1: </w:t>
      </w:r>
      <w:r>
        <w:rPr>
          <w:i/>
          <w:w w:val="105"/>
          <w:sz w:val="13"/>
        </w:rPr>
        <w:t>Family Provision</w:t>
      </w:r>
      <w:r>
        <w:rPr>
          <w:i/>
          <w:spacing w:val="7"/>
          <w:w w:val="105"/>
          <w:sz w:val="13"/>
        </w:rPr>
        <w:t> </w:t>
      </w:r>
      <w:r>
        <w:rPr>
          <w:w w:val="105"/>
          <w:sz w:val="13"/>
        </w:rPr>
        <w:t>(1997).</w:t>
      </w:r>
    </w:p>
    <w:p>
      <w:pPr>
        <w:pStyle w:val="ListParagraph"/>
        <w:numPr>
          <w:ilvl w:val="0"/>
          <w:numId w:val="79"/>
        </w:numPr>
        <w:tabs>
          <w:tab w:pos="2380" w:val="left" w:leader="none"/>
          <w:tab w:pos="2381" w:val="left" w:leader="none"/>
        </w:tabs>
        <w:spacing w:line="240" w:lineRule="auto" w:before="4" w:after="0"/>
        <w:ind w:left="2380" w:right="529" w:hanging="793"/>
        <w:jc w:val="left"/>
        <w:rPr>
          <w:sz w:val="13"/>
        </w:rPr>
      </w:pPr>
      <w:r>
        <w:rPr>
          <w:w w:val="105"/>
          <w:sz w:val="13"/>
        </w:rPr>
        <w:t>Victoria, </w:t>
      </w:r>
      <w:r>
        <w:rPr>
          <w:i/>
          <w:w w:val="105"/>
          <w:sz w:val="13"/>
        </w:rPr>
        <w:t>Parliamentary Debates</w:t>
      </w:r>
      <w:r>
        <w:rPr>
          <w:w w:val="105"/>
          <w:sz w:val="13"/>
        </w:rPr>
        <w:t>, Legislative Assembly, 9 October </w:t>
      </w:r>
      <w:r>
        <w:rPr>
          <w:spacing w:val="-3"/>
          <w:w w:val="105"/>
          <w:sz w:val="13"/>
        </w:rPr>
        <w:t>1997, </w:t>
      </w:r>
      <w:r>
        <w:rPr>
          <w:w w:val="105"/>
          <w:sz w:val="13"/>
        </w:rPr>
        <w:t>433 (Jan Wade, Attorney-General); </w:t>
      </w:r>
      <w:r>
        <w:rPr>
          <w:i/>
          <w:w w:val="105"/>
          <w:sz w:val="13"/>
        </w:rPr>
        <w:t>Wills Act </w:t>
      </w:r>
      <w:r>
        <w:rPr>
          <w:i/>
          <w:spacing w:val="-3"/>
          <w:w w:val="105"/>
          <w:sz w:val="13"/>
        </w:rPr>
        <w:t>1997 </w:t>
      </w:r>
      <w:r>
        <w:rPr>
          <w:spacing w:val="2"/>
          <w:w w:val="105"/>
          <w:sz w:val="13"/>
        </w:rPr>
        <w:t>(Vic) </w:t>
      </w:r>
      <w:r>
        <w:rPr>
          <w:w w:val="105"/>
          <w:sz w:val="13"/>
        </w:rPr>
        <w:t>s 55 amended </w:t>
      </w:r>
      <w:r>
        <w:rPr>
          <w:i/>
          <w:w w:val="105"/>
          <w:sz w:val="13"/>
        </w:rPr>
        <w:t>Administration and Probate Act 1958 </w:t>
      </w:r>
      <w:r>
        <w:rPr>
          <w:spacing w:val="2"/>
          <w:w w:val="105"/>
          <w:sz w:val="13"/>
        </w:rPr>
        <w:t>(Vic) </w:t>
      </w:r>
      <w:r>
        <w:rPr>
          <w:w w:val="105"/>
          <w:sz w:val="13"/>
        </w:rPr>
        <w:t>s</w:t>
      </w:r>
      <w:r>
        <w:rPr>
          <w:spacing w:val="30"/>
          <w:w w:val="105"/>
          <w:sz w:val="13"/>
        </w:rPr>
        <w:t> </w:t>
      </w:r>
      <w:r>
        <w:rPr>
          <w:w w:val="105"/>
          <w:sz w:val="13"/>
        </w:rPr>
        <w:t>91(1).</w:t>
      </w:r>
    </w:p>
    <w:p>
      <w:pPr>
        <w:pStyle w:val="ListParagraph"/>
        <w:numPr>
          <w:ilvl w:val="0"/>
          <w:numId w:val="79"/>
        </w:numPr>
        <w:tabs>
          <w:tab w:pos="2380" w:val="left" w:leader="none"/>
          <w:tab w:pos="2381" w:val="left" w:leader="none"/>
        </w:tabs>
        <w:spacing w:line="240" w:lineRule="auto" w:before="3" w:after="0"/>
        <w:ind w:left="2380" w:right="0" w:hanging="793"/>
        <w:jc w:val="left"/>
        <w:rPr>
          <w:sz w:val="13"/>
        </w:rPr>
      </w:pPr>
      <w:r>
        <w:rPr>
          <w:w w:val="105"/>
          <w:sz w:val="13"/>
        </w:rPr>
        <w:t>National Committee for Uniform Succession Laws, </w:t>
      </w:r>
      <w:r>
        <w:rPr>
          <w:i/>
          <w:w w:val="105"/>
          <w:sz w:val="13"/>
        </w:rPr>
        <w:t>Family Provision: Supplementary Report to the Standing Committee of Attorneys General</w:t>
      </w:r>
      <w:r>
        <w:rPr>
          <w:w w:val="105"/>
          <w:sz w:val="13"/>
        </w:rPr>
        <w:t>, Queensland Law Reform Commission </w:t>
      </w:r>
      <w:r>
        <w:rPr>
          <w:spacing w:val="2"/>
          <w:w w:val="105"/>
          <w:sz w:val="13"/>
        </w:rPr>
        <w:t>Report </w:t>
      </w:r>
      <w:r>
        <w:rPr>
          <w:w w:val="105"/>
          <w:sz w:val="13"/>
        </w:rPr>
        <w:t>No 58 </w:t>
      </w:r>
      <w:r>
        <w:rPr>
          <w:spacing w:val="2"/>
          <w:w w:val="105"/>
          <w:sz w:val="13"/>
        </w:rPr>
        <w:t>(2004) </w:t>
      </w:r>
      <w:r>
        <w:rPr>
          <w:spacing w:val="5"/>
          <w:w w:val="105"/>
          <w:sz w:val="13"/>
        </w:rPr>
        <w:t>3–4 </w:t>
      </w:r>
      <w:r>
        <w:rPr>
          <w:w w:val="105"/>
          <w:sz w:val="13"/>
        </w:rPr>
        <w:t>(‘</w:t>
      </w:r>
      <w:r>
        <w:rPr>
          <w:i/>
          <w:w w:val="105"/>
          <w:sz w:val="13"/>
        </w:rPr>
        <w:t>Family Provision Supplementary </w:t>
      </w:r>
      <w:r>
        <w:rPr>
          <w:i/>
          <w:spacing w:val="3"/>
          <w:w w:val="105"/>
          <w:sz w:val="13"/>
        </w:rPr>
        <w:t>Report’</w:t>
      </w:r>
      <w:r>
        <w:rPr>
          <w:spacing w:val="3"/>
          <w:w w:val="105"/>
          <w:sz w:val="13"/>
        </w:rPr>
        <w:t>); </w:t>
      </w:r>
      <w:r>
        <w:rPr>
          <w:w w:val="105"/>
          <w:sz w:val="13"/>
        </w:rPr>
        <w:t>Rosalind Croucher, ‘Towards Uniform Succession in Australia’ </w:t>
      </w:r>
      <w:r>
        <w:rPr>
          <w:spacing w:val="2"/>
          <w:w w:val="105"/>
          <w:sz w:val="13"/>
        </w:rPr>
        <w:t>(2009) </w:t>
      </w:r>
      <w:r>
        <w:rPr>
          <w:w w:val="105"/>
          <w:sz w:val="13"/>
        </w:rPr>
        <w:t>83 </w:t>
      </w:r>
      <w:r>
        <w:rPr>
          <w:i/>
          <w:w w:val="105"/>
          <w:sz w:val="13"/>
        </w:rPr>
        <w:t>Australian Law Journal </w:t>
      </w:r>
      <w:r>
        <w:rPr>
          <w:w w:val="105"/>
          <w:sz w:val="13"/>
        </w:rPr>
        <w:t>728, 738 (‘Towards Uniform Succession’). Croucher uses the terminology ‘criteria-based’ or ‘circumstances’ approach interchangeably: at 739. The question of whether or not the deceased person had responsibility</w:t>
      </w:r>
      <w:r>
        <w:rPr>
          <w:spacing w:val="30"/>
          <w:w w:val="105"/>
          <w:sz w:val="13"/>
        </w:rPr>
        <w:t> </w:t>
      </w:r>
      <w:r>
        <w:rPr>
          <w:w w:val="105"/>
          <w:sz w:val="13"/>
        </w:rPr>
        <w:t>to</w:t>
      </w:r>
      <w:r>
        <w:rPr>
          <w:spacing w:val="5"/>
          <w:w w:val="105"/>
          <w:sz w:val="13"/>
        </w:rPr>
        <w:t> </w:t>
      </w:r>
      <w:r>
        <w:rPr>
          <w:w w:val="105"/>
          <w:sz w:val="13"/>
        </w:rPr>
        <w:t>provide</w:t>
      </w:r>
      <w:r>
        <w:rPr>
          <w:spacing w:val="5"/>
          <w:w w:val="105"/>
          <w:sz w:val="13"/>
        </w:rPr>
        <w:t> </w:t>
      </w:r>
      <w:r>
        <w:rPr>
          <w:w w:val="105"/>
          <w:sz w:val="13"/>
        </w:rPr>
        <w:t>for</w:t>
      </w:r>
      <w:r>
        <w:rPr>
          <w:spacing w:val="6"/>
          <w:w w:val="105"/>
          <w:sz w:val="13"/>
        </w:rPr>
        <w:t> </w:t>
      </w:r>
      <w:r>
        <w:rPr>
          <w:w w:val="105"/>
          <w:sz w:val="13"/>
        </w:rPr>
        <w:t>an</w:t>
      </w:r>
      <w:r>
        <w:rPr>
          <w:spacing w:val="5"/>
          <w:w w:val="105"/>
          <w:sz w:val="13"/>
        </w:rPr>
        <w:t> </w:t>
      </w:r>
      <w:r>
        <w:rPr>
          <w:w w:val="105"/>
          <w:sz w:val="13"/>
        </w:rPr>
        <w:t>applicant—that</w:t>
      </w:r>
      <w:r>
        <w:rPr>
          <w:spacing w:val="5"/>
          <w:w w:val="105"/>
          <w:sz w:val="13"/>
        </w:rPr>
        <w:t> </w:t>
      </w:r>
      <w:r>
        <w:rPr>
          <w:w w:val="105"/>
          <w:sz w:val="13"/>
        </w:rPr>
        <w:t>is,</w:t>
      </w:r>
      <w:r>
        <w:rPr>
          <w:spacing w:val="6"/>
          <w:w w:val="105"/>
          <w:sz w:val="13"/>
        </w:rPr>
        <w:t> </w:t>
      </w:r>
      <w:r>
        <w:rPr>
          <w:w w:val="105"/>
          <w:sz w:val="13"/>
        </w:rPr>
        <w:t>whether</w:t>
      </w:r>
      <w:r>
        <w:rPr>
          <w:spacing w:val="5"/>
          <w:w w:val="105"/>
          <w:sz w:val="13"/>
        </w:rPr>
        <w:t> </w:t>
      </w:r>
      <w:r>
        <w:rPr>
          <w:w w:val="105"/>
          <w:sz w:val="13"/>
        </w:rPr>
        <w:t>the</w:t>
      </w:r>
      <w:r>
        <w:rPr>
          <w:spacing w:val="6"/>
          <w:w w:val="105"/>
          <w:sz w:val="13"/>
        </w:rPr>
        <w:t> </w:t>
      </w:r>
      <w:r>
        <w:rPr>
          <w:w w:val="105"/>
          <w:sz w:val="13"/>
        </w:rPr>
        <w:t>applicant</w:t>
      </w:r>
      <w:r>
        <w:rPr>
          <w:spacing w:val="5"/>
          <w:w w:val="105"/>
          <w:sz w:val="13"/>
        </w:rPr>
        <w:t> </w:t>
      </w:r>
      <w:r>
        <w:rPr>
          <w:w w:val="105"/>
          <w:sz w:val="13"/>
        </w:rPr>
        <w:t>is</w:t>
      </w:r>
      <w:r>
        <w:rPr>
          <w:spacing w:val="5"/>
          <w:w w:val="105"/>
          <w:sz w:val="13"/>
        </w:rPr>
        <w:t> </w:t>
      </w:r>
      <w:r>
        <w:rPr>
          <w:w w:val="105"/>
          <w:sz w:val="13"/>
        </w:rPr>
        <w:t>an</w:t>
      </w:r>
      <w:r>
        <w:rPr>
          <w:spacing w:val="6"/>
          <w:w w:val="105"/>
          <w:sz w:val="13"/>
        </w:rPr>
        <w:t> </w:t>
      </w:r>
      <w:r>
        <w:rPr>
          <w:w w:val="105"/>
          <w:sz w:val="13"/>
        </w:rPr>
        <w:t>eligible</w:t>
      </w:r>
      <w:r>
        <w:rPr>
          <w:spacing w:val="5"/>
          <w:w w:val="105"/>
          <w:sz w:val="13"/>
        </w:rPr>
        <w:t> </w:t>
      </w:r>
      <w:r>
        <w:rPr>
          <w:w w:val="105"/>
          <w:sz w:val="13"/>
        </w:rPr>
        <w:t>applicant—is</w:t>
      </w:r>
      <w:r>
        <w:rPr>
          <w:spacing w:val="6"/>
          <w:w w:val="105"/>
          <w:sz w:val="13"/>
        </w:rPr>
        <w:t> </w:t>
      </w:r>
      <w:r>
        <w:rPr>
          <w:w w:val="105"/>
          <w:sz w:val="13"/>
        </w:rPr>
        <w:t>part</w:t>
      </w:r>
      <w:r>
        <w:rPr>
          <w:spacing w:val="5"/>
          <w:w w:val="105"/>
          <w:sz w:val="13"/>
        </w:rPr>
        <w:t> </w:t>
      </w:r>
      <w:r>
        <w:rPr>
          <w:w w:val="105"/>
          <w:sz w:val="13"/>
        </w:rPr>
        <w:t>of</w:t>
      </w:r>
      <w:r>
        <w:rPr>
          <w:spacing w:val="5"/>
          <w:w w:val="105"/>
          <w:sz w:val="13"/>
        </w:rPr>
        <w:t> </w:t>
      </w:r>
      <w:r>
        <w:rPr>
          <w:w w:val="105"/>
          <w:sz w:val="13"/>
        </w:rPr>
        <w:t>the</w:t>
      </w:r>
      <w:r>
        <w:rPr>
          <w:spacing w:val="6"/>
          <w:w w:val="105"/>
          <w:sz w:val="13"/>
        </w:rPr>
        <w:t> </w:t>
      </w:r>
      <w:r>
        <w:rPr>
          <w:w w:val="105"/>
          <w:sz w:val="13"/>
        </w:rPr>
        <w:t>jurisdictional</w:t>
      </w:r>
      <w:r>
        <w:rPr>
          <w:spacing w:val="5"/>
          <w:w w:val="105"/>
          <w:sz w:val="13"/>
        </w:rPr>
        <w:t> </w:t>
      </w:r>
      <w:r>
        <w:rPr>
          <w:w w:val="105"/>
          <w:sz w:val="13"/>
        </w:rPr>
        <w:t>question</w:t>
      </w:r>
      <w:r>
        <w:rPr>
          <w:spacing w:val="5"/>
          <w:w w:val="105"/>
          <w:sz w:val="13"/>
        </w:rPr>
        <w:t> </w:t>
      </w:r>
      <w:r>
        <w:rPr>
          <w:w w:val="105"/>
          <w:sz w:val="13"/>
        </w:rPr>
        <w:t>to</w:t>
      </w:r>
      <w:r>
        <w:rPr>
          <w:spacing w:val="6"/>
          <w:w w:val="105"/>
          <w:sz w:val="13"/>
        </w:rPr>
        <w:t> </w:t>
      </w:r>
      <w:r>
        <w:rPr>
          <w:w w:val="105"/>
          <w:sz w:val="13"/>
        </w:rPr>
        <w:t>be</w:t>
      </w:r>
      <w:r>
        <w:rPr>
          <w:spacing w:val="5"/>
          <w:w w:val="105"/>
          <w:sz w:val="13"/>
        </w:rPr>
        <w:t> </w:t>
      </w:r>
      <w:r>
        <w:rPr>
          <w:w w:val="105"/>
          <w:sz w:val="13"/>
        </w:rPr>
        <w:t>determined</w:t>
      </w:r>
    </w:p>
    <w:p>
      <w:pPr>
        <w:spacing w:before="7"/>
        <w:ind w:left="2380" w:right="293" w:firstLine="0"/>
        <w:jc w:val="left"/>
        <w:rPr>
          <w:sz w:val="13"/>
        </w:rPr>
      </w:pPr>
      <w:r>
        <w:rPr>
          <w:sz w:val="13"/>
        </w:rPr>
        <w:t>by the court: does the court  have  jurisdiction  to  make  a  family  provision  order?:  </w:t>
      </w:r>
      <w:r>
        <w:rPr>
          <w:i/>
          <w:sz w:val="13"/>
        </w:rPr>
        <w:t>Singer  v  Berghouse  </w:t>
      </w:r>
      <w:r>
        <w:rPr>
          <w:sz w:val="13"/>
        </w:rPr>
        <w:t>(1994)  </w:t>
      </w:r>
      <w:r>
        <w:rPr>
          <w:spacing w:val="-2"/>
          <w:sz w:val="13"/>
        </w:rPr>
        <w:t>181  </w:t>
      </w:r>
      <w:r>
        <w:rPr>
          <w:sz w:val="13"/>
        </w:rPr>
        <w:t>CLR  </w:t>
      </w:r>
      <w:r>
        <w:rPr>
          <w:spacing w:val="-3"/>
          <w:sz w:val="13"/>
        </w:rPr>
        <w:t>201,  </w:t>
      </w:r>
      <w:r>
        <w:rPr>
          <w:spacing w:val="3"/>
          <w:sz w:val="13"/>
        </w:rPr>
        <w:t>208–9  </w:t>
      </w:r>
      <w:r>
        <w:rPr>
          <w:spacing w:val="2"/>
          <w:sz w:val="13"/>
        </w:rPr>
        <w:t>(Mason </w:t>
      </w:r>
      <w:r>
        <w:rPr>
          <w:sz w:val="13"/>
        </w:rPr>
        <w:t>CJ, Deane and McHugh </w:t>
      </w:r>
      <w:r>
        <w:rPr>
          <w:spacing w:val="3"/>
          <w:sz w:val="13"/>
        </w:rPr>
        <w:t>JJ). </w:t>
      </w:r>
      <w:r>
        <w:rPr>
          <w:sz w:val="13"/>
        </w:rPr>
        <w:t>The other part of this jurisdictional question is whether adequate provision has been made for the applicant’s       proper maintenance and support: at</w:t>
      </w:r>
      <w:r>
        <w:rPr>
          <w:spacing w:val="4"/>
          <w:sz w:val="13"/>
        </w:rPr>
        <w:t> </w:t>
      </w:r>
      <w:r>
        <w:rPr>
          <w:spacing w:val="2"/>
          <w:sz w:val="13"/>
        </w:rPr>
        <w:t>208–9.</w:t>
      </w:r>
    </w:p>
    <w:p>
      <w:pPr>
        <w:pStyle w:val="ListParagraph"/>
        <w:numPr>
          <w:ilvl w:val="0"/>
          <w:numId w:val="79"/>
        </w:numPr>
        <w:tabs>
          <w:tab w:pos="2380" w:val="left" w:leader="none"/>
          <w:tab w:pos="2382" w:val="left" w:leader="none"/>
        </w:tabs>
        <w:spacing w:line="240" w:lineRule="auto" w:before="4" w:after="0"/>
        <w:ind w:left="2381" w:right="0" w:hanging="794"/>
        <w:jc w:val="left"/>
        <w:rPr>
          <w:sz w:val="13"/>
        </w:rPr>
      </w:pPr>
      <w:r>
        <w:rPr>
          <w:w w:val="105"/>
          <w:sz w:val="13"/>
        </w:rPr>
        <w:t>Although</w:t>
      </w:r>
      <w:r>
        <w:rPr>
          <w:spacing w:val="5"/>
          <w:w w:val="105"/>
          <w:sz w:val="13"/>
        </w:rPr>
        <w:t> </w:t>
      </w:r>
      <w:r>
        <w:rPr>
          <w:w w:val="105"/>
          <w:sz w:val="13"/>
        </w:rPr>
        <w:t>a</w:t>
      </w:r>
      <w:r>
        <w:rPr>
          <w:spacing w:val="5"/>
          <w:w w:val="105"/>
          <w:sz w:val="13"/>
        </w:rPr>
        <w:t> </w:t>
      </w:r>
      <w:r>
        <w:rPr>
          <w:w w:val="105"/>
          <w:sz w:val="13"/>
        </w:rPr>
        <w:t>combined</w:t>
      </w:r>
      <w:r>
        <w:rPr>
          <w:spacing w:val="5"/>
          <w:w w:val="105"/>
          <w:sz w:val="13"/>
        </w:rPr>
        <w:t> </w:t>
      </w:r>
      <w:r>
        <w:rPr>
          <w:w w:val="105"/>
          <w:sz w:val="13"/>
        </w:rPr>
        <w:t>list</w:t>
      </w:r>
      <w:r>
        <w:rPr>
          <w:spacing w:val="6"/>
          <w:w w:val="105"/>
          <w:sz w:val="13"/>
        </w:rPr>
        <w:t> </w:t>
      </w:r>
      <w:r>
        <w:rPr>
          <w:w w:val="105"/>
          <w:sz w:val="13"/>
        </w:rPr>
        <w:t>and</w:t>
      </w:r>
      <w:r>
        <w:rPr>
          <w:spacing w:val="5"/>
          <w:w w:val="105"/>
          <w:sz w:val="13"/>
        </w:rPr>
        <w:t> </w:t>
      </w:r>
      <w:r>
        <w:rPr>
          <w:w w:val="105"/>
          <w:sz w:val="13"/>
        </w:rPr>
        <w:t>circumstances</w:t>
      </w:r>
      <w:r>
        <w:rPr>
          <w:spacing w:val="5"/>
          <w:w w:val="105"/>
          <w:sz w:val="13"/>
        </w:rPr>
        <w:t> </w:t>
      </w:r>
      <w:r>
        <w:rPr>
          <w:w w:val="105"/>
          <w:sz w:val="13"/>
        </w:rPr>
        <w:t>approach</w:t>
      </w:r>
      <w:r>
        <w:rPr>
          <w:spacing w:val="5"/>
          <w:w w:val="105"/>
          <w:sz w:val="13"/>
        </w:rPr>
        <w:t> </w:t>
      </w:r>
      <w:r>
        <w:rPr>
          <w:w w:val="105"/>
          <w:sz w:val="13"/>
        </w:rPr>
        <w:t>is</w:t>
      </w:r>
      <w:r>
        <w:rPr>
          <w:spacing w:val="6"/>
          <w:w w:val="105"/>
          <w:sz w:val="13"/>
        </w:rPr>
        <w:t> </w:t>
      </w:r>
      <w:r>
        <w:rPr>
          <w:w w:val="105"/>
          <w:sz w:val="13"/>
        </w:rPr>
        <w:t>taken</w:t>
      </w:r>
      <w:r>
        <w:rPr>
          <w:spacing w:val="5"/>
          <w:w w:val="105"/>
          <w:sz w:val="13"/>
        </w:rPr>
        <w:t> </w:t>
      </w:r>
      <w:r>
        <w:rPr>
          <w:w w:val="105"/>
          <w:sz w:val="13"/>
        </w:rPr>
        <w:t>in</w:t>
      </w:r>
      <w:r>
        <w:rPr>
          <w:spacing w:val="5"/>
          <w:w w:val="105"/>
          <w:sz w:val="13"/>
        </w:rPr>
        <w:t> </w:t>
      </w:r>
      <w:r>
        <w:rPr>
          <w:w w:val="105"/>
          <w:sz w:val="13"/>
        </w:rPr>
        <w:t>New</w:t>
      </w:r>
      <w:r>
        <w:rPr>
          <w:spacing w:val="5"/>
          <w:w w:val="105"/>
          <w:sz w:val="13"/>
        </w:rPr>
        <w:t> </w:t>
      </w:r>
      <w:r>
        <w:rPr>
          <w:w w:val="105"/>
          <w:sz w:val="13"/>
        </w:rPr>
        <w:t>South</w:t>
      </w:r>
      <w:r>
        <w:rPr>
          <w:spacing w:val="6"/>
          <w:w w:val="105"/>
          <w:sz w:val="13"/>
        </w:rPr>
        <w:t> </w:t>
      </w:r>
      <w:r>
        <w:rPr>
          <w:w w:val="105"/>
          <w:sz w:val="13"/>
        </w:rPr>
        <w:t>Wales,</w:t>
      </w:r>
      <w:r>
        <w:rPr>
          <w:spacing w:val="5"/>
          <w:w w:val="105"/>
          <w:sz w:val="13"/>
        </w:rPr>
        <w:t> </w:t>
      </w:r>
      <w:r>
        <w:rPr>
          <w:w w:val="105"/>
          <w:sz w:val="13"/>
        </w:rPr>
        <w:t>discussed</w:t>
      </w:r>
      <w:r>
        <w:rPr>
          <w:spacing w:val="5"/>
          <w:w w:val="105"/>
          <w:sz w:val="13"/>
        </w:rPr>
        <w:t> </w:t>
      </w:r>
      <w:r>
        <w:rPr>
          <w:w w:val="105"/>
          <w:sz w:val="13"/>
        </w:rPr>
        <w:t>below</w:t>
      </w:r>
      <w:r>
        <w:rPr>
          <w:spacing w:val="5"/>
          <w:w w:val="105"/>
          <w:sz w:val="13"/>
        </w:rPr>
        <w:t> </w:t>
      </w:r>
      <w:r>
        <w:rPr>
          <w:w w:val="105"/>
          <w:sz w:val="13"/>
        </w:rPr>
        <w:t>at</w:t>
      </w:r>
      <w:r>
        <w:rPr>
          <w:spacing w:val="6"/>
          <w:w w:val="105"/>
          <w:sz w:val="13"/>
        </w:rPr>
        <w:t> </w:t>
      </w:r>
      <w:r>
        <w:rPr>
          <w:spacing w:val="4"/>
          <w:w w:val="105"/>
          <w:sz w:val="13"/>
        </w:rPr>
        <w:t>[6.66]–[6.73].</w:t>
      </w:r>
    </w:p>
    <w:p>
      <w:pPr>
        <w:pStyle w:val="ListParagraph"/>
        <w:numPr>
          <w:ilvl w:val="0"/>
          <w:numId w:val="79"/>
        </w:numPr>
        <w:tabs>
          <w:tab w:pos="2380" w:val="left" w:leader="none"/>
          <w:tab w:pos="2382" w:val="left" w:leader="none"/>
        </w:tabs>
        <w:spacing w:line="240" w:lineRule="auto" w:before="1" w:after="0"/>
        <w:ind w:left="2381" w:right="121" w:hanging="794"/>
        <w:jc w:val="left"/>
        <w:rPr>
          <w:sz w:val="13"/>
        </w:rPr>
      </w:pPr>
      <w:r>
        <w:rPr>
          <w:i/>
          <w:w w:val="105"/>
          <w:sz w:val="13"/>
        </w:rPr>
        <w:t>Testator’s Family Maintenance Act </w:t>
      </w:r>
      <w:r>
        <w:rPr>
          <w:i/>
          <w:spacing w:val="-6"/>
          <w:w w:val="105"/>
          <w:sz w:val="13"/>
        </w:rPr>
        <w:t>1912 </w:t>
      </w:r>
      <w:r>
        <w:rPr>
          <w:w w:val="105"/>
          <w:sz w:val="13"/>
        </w:rPr>
        <w:t>(Tas) s 3A: spouse, children, parents if no spouse or children, former partner entitled to maintenance; </w:t>
      </w:r>
      <w:r>
        <w:rPr>
          <w:i/>
          <w:w w:val="105"/>
          <w:sz w:val="13"/>
        </w:rPr>
        <w:t>Family Provision Act 1969 </w:t>
      </w:r>
      <w:r>
        <w:rPr>
          <w:spacing w:val="2"/>
          <w:w w:val="105"/>
          <w:sz w:val="13"/>
        </w:rPr>
        <w:t>(ACT) </w:t>
      </w:r>
      <w:r>
        <w:rPr>
          <w:w w:val="105"/>
          <w:sz w:val="13"/>
        </w:rPr>
        <w:t>s 7: partner, child and, in certain circumstances, stepchild, grandchild and parent; </w:t>
      </w:r>
      <w:r>
        <w:rPr>
          <w:i/>
          <w:w w:val="105"/>
          <w:sz w:val="13"/>
        </w:rPr>
        <w:t>Family </w:t>
      </w:r>
      <w:r>
        <w:rPr>
          <w:i/>
          <w:w w:val="105"/>
          <w:sz w:val="13"/>
        </w:rPr>
        <w:t>Provision Act </w:t>
      </w:r>
      <w:r>
        <w:rPr>
          <w:i/>
          <w:spacing w:val="-4"/>
          <w:w w:val="105"/>
          <w:sz w:val="13"/>
        </w:rPr>
        <w:t>1970 </w:t>
      </w:r>
      <w:r>
        <w:rPr>
          <w:spacing w:val="4"/>
          <w:w w:val="105"/>
          <w:sz w:val="13"/>
        </w:rPr>
        <w:t>(NT) </w:t>
      </w:r>
      <w:r>
        <w:rPr>
          <w:w w:val="105"/>
          <w:sz w:val="13"/>
        </w:rPr>
        <w:t>s 7: partner and child and, in certain circumstances former partner, stepchild, grandchild and parent; </w:t>
      </w:r>
      <w:r>
        <w:rPr>
          <w:i/>
          <w:w w:val="105"/>
          <w:sz w:val="13"/>
        </w:rPr>
        <w:t>Inheritance </w:t>
      </w:r>
      <w:r>
        <w:rPr>
          <w:i/>
          <w:w w:val="105"/>
          <w:sz w:val="13"/>
        </w:rPr>
        <w:t>(Family Provision) Act </w:t>
      </w:r>
      <w:r>
        <w:rPr>
          <w:i/>
          <w:spacing w:val="-4"/>
          <w:w w:val="105"/>
          <w:sz w:val="13"/>
        </w:rPr>
        <w:t>1972 </w:t>
      </w:r>
      <w:r>
        <w:rPr>
          <w:spacing w:val="2"/>
          <w:w w:val="105"/>
          <w:sz w:val="13"/>
        </w:rPr>
        <w:t>(SA) </w:t>
      </w:r>
      <w:r>
        <w:rPr>
          <w:w w:val="105"/>
          <w:sz w:val="13"/>
        </w:rPr>
        <w:t>s </w:t>
      </w:r>
      <w:r>
        <w:rPr>
          <w:spacing w:val="2"/>
          <w:w w:val="105"/>
          <w:sz w:val="13"/>
        </w:rPr>
        <w:t>6: </w:t>
      </w:r>
      <w:r>
        <w:rPr>
          <w:w w:val="105"/>
          <w:sz w:val="13"/>
        </w:rPr>
        <w:t>partner, former partner, child and, in certain circumstances, child of a partner, grandchild, parent, sibling; </w:t>
      </w:r>
      <w:r>
        <w:rPr>
          <w:i/>
          <w:w w:val="105"/>
          <w:sz w:val="13"/>
        </w:rPr>
        <w:t>Family Provision Act </w:t>
      </w:r>
      <w:r>
        <w:rPr>
          <w:i/>
          <w:spacing w:val="-4"/>
          <w:w w:val="105"/>
          <w:sz w:val="13"/>
        </w:rPr>
        <w:t>1972 </w:t>
      </w:r>
      <w:r>
        <w:rPr>
          <w:w w:val="105"/>
          <w:sz w:val="13"/>
        </w:rPr>
        <w:t>(WA) s 7: partner, former partner receiving maintenance, child and, in certain circumstances, grandchild, stepchild and parent; </w:t>
      </w:r>
      <w:r>
        <w:rPr>
          <w:i/>
          <w:w w:val="105"/>
          <w:sz w:val="13"/>
        </w:rPr>
        <w:t>Succession Act </w:t>
      </w:r>
      <w:r>
        <w:rPr>
          <w:i/>
          <w:spacing w:val="-3"/>
          <w:w w:val="105"/>
          <w:sz w:val="13"/>
        </w:rPr>
        <w:t>1981 </w:t>
      </w:r>
      <w:r>
        <w:rPr>
          <w:spacing w:val="2"/>
          <w:w w:val="105"/>
          <w:sz w:val="13"/>
        </w:rPr>
        <w:t>(Qld) </w:t>
      </w:r>
      <w:r>
        <w:rPr>
          <w:w w:val="105"/>
          <w:sz w:val="13"/>
        </w:rPr>
        <w:t>ss 40–1: partner, child, stepchild, dependant parent, dependant parent of a child of the deceased person, dependant person under 18 years of</w:t>
      </w:r>
      <w:r>
        <w:rPr>
          <w:spacing w:val="6"/>
          <w:w w:val="105"/>
          <w:sz w:val="13"/>
        </w:rPr>
        <w:t> </w:t>
      </w:r>
      <w:r>
        <w:rPr>
          <w:w w:val="105"/>
          <w:sz w:val="13"/>
        </w:rPr>
        <w:t>age.</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1"/>
        <w:rPr>
          <w:sz w:val="29"/>
        </w:rPr>
      </w:pPr>
    </w:p>
    <w:p>
      <w:pPr>
        <w:spacing w:before="0"/>
        <w:ind w:left="536" w:right="573" w:firstLine="0"/>
        <w:jc w:val="center"/>
        <w:rPr>
          <w:b/>
          <w:sz w:val="24"/>
        </w:rPr>
      </w:pPr>
      <w:r>
        <w:rPr>
          <w:b/>
          <w:color w:val="EC5A4F"/>
          <w:w w:val="110"/>
          <w:sz w:val="24"/>
        </w:rPr>
        <w:t>107</w:t>
      </w:r>
    </w:p>
    <w:p>
      <w:pPr>
        <w:spacing w:after="0"/>
        <w:jc w:val="center"/>
        <w:rPr>
          <w:sz w:val="24"/>
        </w:rPr>
        <w:sectPr>
          <w:type w:val="continuous"/>
          <w:pgSz w:w="11910" w:h="16840"/>
          <w:pgMar w:top="920" w:bottom="280" w:left="0" w:right="0"/>
          <w:cols w:num="2" w:equalWidth="0">
            <w:col w:w="10318" w:space="40"/>
            <w:col w:w="1552"/>
          </w:cols>
        </w:sectPr>
      </w:pPr>
    </w:p>
    <w:p>
      <w:pPr>
        <w:pStyle w:val="BodyText"/>
        <w:spacing w:before="9"/>
        <w:rPr>
          <w:b/>
          <w:sz w:val="22"/>
        </w:rPr>
      </w:pPr>
    </w:p>
    <w:p>
      <w:pPr>
        <w:pStyle w:val="ListParagraph"/>
        <w:numPr>
          <w:ilvl w:val="1"/>
          <w:numId w:val="22"/>
        </w:numPr>
        <w:tabs>
          <w:tab w:pos="2380" w:val="left" w:leader="none"/>
          <w:tab w:pos="2381" w:val="left" w:leader="none"/>
        </w:tabs>
        <w:spacing w:line="242" w:lineRule="auto" w:before="92" w:after="0"/>
        <w:ind w:left="2381" w:right="1658" w:hanging="794"/>
        <w:jc w:val="left"/>
        <w:rPr>
          <w:sz w:val="12"/>
        </w:rPr>
      </w:pPr>
      <w:r>
        <w:rPr>
          <w:w w:val="105"/>
          <w:sz w:val="21"/>
        </w:rPr>
        <w:t>Because</w:t>
      </w:r>
      <w:r>
        <w:rPr>
          <w:spacing w:val="-11"/>
          <w:w w:val="105"/>
          <w:sz w:val="21"/>
        </w:rPr>
        <w:t> </w:t>
      </w:r>
      <w:r>
        <w:rPr>
          <w:w w:val="105"/>
          <w:sz w:val="21"/>
        </w:rPr>
        <w:t>of</w:t>
      </w:r>
      <w:r>
        <w:rPr>
          <w:spacing w:val="-10"/>
          <w:w w:val="105"/>
          <w:sz w:val="21"/>
        </w:rPr>
        <w:t> </w:t>
      </w:r>
      <w:r>
        <w:rPr>
          <w:w w:val="105"/>
          <w:sz w:val="21"/>
        </w:rPr>
        <w:t>the</w:t>
      </w:r>
      <w:r>
        <w:rPr>
          <w:spacing w:val="-10"/>
          <w:w w:val="105"/>
          <w:sz w:val="21"/>
        </w:rPr>
        <w:t> </w:t>
      </w:r>
      <w:r>
        <w:rPr>
          <w:w w:val="105"/>
          <w:sz w:val="21"/>
        </w:rPr>
        <w:t>criteria-based</w:t>
      </w:r>
      <w:r>
        <w:rPr>
          <w:spacing w:val="-11"/>
          <w:w w:val="105"/>
          <w:sz w:val="21"/>
        </w:rPr>
        <w:t> </w:t>
      </w:r>
      <w:r>
        <w:rPr>
          <w:w w:val="105"/>
          <w:sz w:val="21"/>
        </w:rPr>
        <w:t>approach</w:t>
      </w:r>
      <w:r>
        <w:rPr>
          <w:spacing w:val="-10"/>
          <w:w w:val="105"/>
          <w:sz w:val="21"/>
        </w:rPr>
        <w:t> </w:t>
      </w:r>
      <w:r>
        <w:rPr>
          <w:spacing w:val="-3"/>
          <w:w w:val="105"/>
          <w:sz w:val="21"/>
        </w:rPr>
        <w:t>to</w:t>
      </w:r>
      <w:r>
        <w:rPr>
          <w:spacing w:val="-10"/>
          <w:w w:val="105"/>
          <w:sz w:val="21"/>
        </w:rPr>
        <w:t> </w:t>
      </w:r>
      <w:r>
        <w:rPr>
          <w:spacing w:val="-3"/>
          <w:w w:val="105"/>
          <w:sz w:val="21"/>
        </w:rPr>
        <w:t>eligibility</w:t>
      </w:r>
      <w:r>
        <w:rPr>
          <w:spacing w:val="-10"/>
          <w:w w:val="105"/>
          <w:sz w:val="21"/>
        </w:rPr>
        <w:t> </w:t>
      </w:r>
      <w:r>
        <w:rPr>
          <w:spacing w:val="-3"/>
          <w:w w:val="105"/>
          <w:sz w:val="21"/>
        </w:rPr>
        <w:t>to</w:t>
      </w:r>
      <w:r>
        <w:rPr>
          <w:spacing w:val="-11"/>
          <w:w w:val="105"/>
          <w:sz w:val="21"/>
        </w:rPr>
        <w:t> </w:t>
      </w:r>
      <w:r>
        <w:rPr>
          <w:spacing w:val="-4"/>
          <w:w w:val="105"/>
          <w:sz w:val="21"/>
        </w:rPr>
        <w:t>make</w:t>
      </w:r>
      <w:r>
        <w:rPr>
          <w:spacing w:val="-10"/>
          <w:w w:val="105"/>
          <w:sz w:val="21"/>
        </w:rPr>
        <w:t> </w:t>
      </w:r>
      <w:r>
        <w:rPr>
          <w:w w:val="105"/>
          <w:sz w:val="21"/>
        </w:rPr>
        <w:t>a</w:t>
      </w:r>
      <w:r>
        <w:rPr>
          <w:spacing w:val="-10"/>
          <w:w w:val="105"/>
          <w:sz w:val="21"/>
        </w:rPr>
        <w:t> </w:t>
      </w:r>
      <w:r>
        <w:rPr>
          <w:spacing w:val="-3"/>
          <w:w w:val="105"/>
          <w:sz w:val="21"/>
        </w:rPr>
        <w:t>family</w:t>
      </w:r>
      <w:r>
        <w:rPr>
          <w:spacing w:val="-10"/>
          <w:w w:val="105"/>
          <w:sz w:val="21"/>
        </w:rPr>
        <w:t> </w:t>
      </w:r>
      <w:r>
        <w:rPr>
          <w:spacing w:val="-3"/>
          <w:w w:val="105"/>
          <w:sz w:val="21"/>
        </w:rPr>
        <w:t>provision</w:t>
      </w:r>
      <w:r>
        <w:rPr>
          <w:spacing w:val="-11"/>
          <w:w w:val="105"/>
          <w:sz w:val="21"/>
        </w:rPr>
        <w:t> </w:t>
      </w:r>
      <w:r>
        <w:rPr>
          <w:w w:val="105"/>
          <w:sz w:val="21"/>
        </w:rPr>
        <w:t>application in Victoria, applicants in a variety of </w:t>
      </w:r>
      <w:r>
        <w:rPr>
          <w:spacing w:val="-3"/>
          <w:w w:val="105"/>
          <w:sz w:val="21"/>
        </w:rPr>
        <w:t>relationships </w:t>
      </w:r>
      <w:r>
        <w:rPr>
          <w:w w:val="105"/>
          <w:sz w:val="21"/>
        </w:rPr>
        <w:t>with the deceased person </w:t>
      </w:r>
      <w:r>
        <w:rPr>
          <w:spacing w:val="-3"/>
          <w:w w:val="105"/>
          <w:sz w:val="21"/>
        </w:rPr>
        <w:t>have </w:t>
      </w:r>
      <w:r>
        <w:rPr>
          <w:spacing w:val="-2"/>
          <w:w w:val="105"/>
          <w:sz w:val="21"/>
        </w:rPr>
        <w:t>had </w:t>
      </w:r>
      <w:r>
        <w:rPr>
          <w:spacing w:val="-3"/>
          <w:w w:val="105"/>
          <w:sz w:val="21"/>
        </w:rPr>
        <w:t>family provision </w:t>
      </w:r>
      <w:r>
        <w:rPr>
          <w:w w:val="105"/>
          <w:sz w:val="21"/>
        </w:rPr>
        <w:t>orders made in their </w:t>
      </w:r>
      <w:r>
        <w:rPr>
          <w:spacing w:val="-5"/>
          <w:w w:val="105"/>
          <w:sz w:val="21"/>
        </w:rPr>
        <w:t>favour. </w:t>
      </w:r>
      <w:r>
        <w:rPr>
          <w:w w:val="105"/>
          <w:sz w:val="21"/>
        </w:rPr>
        <w:t>Most </w:t>
      </w:r>
      <w:r>
        <w:rPr>
          <w:spacing w:val="-3"/>
          <w:w w:val="105"/>
          <w:sz w:val="21"/>
        </w:rPr>
        <w:t>successful </w:t>
      </w:r>
      <w:r>
        <w:rPr>
          <w:w w:val="105"/>
          <w:sz w:val="21"/>
        </w:rPr>
        <w:t>applicants </w:t>
      </w:r>
      <w:r>
        <w:rPr>
          <w:spacing w:val="-3"/>
          <w:w w:val="105"/>
          <w:sz w:val="21"/>
        </w:rPr>
        <w:t>were </w:t>
      </w:r>
      <w:r>
        <w:rPr>
          <w:w w:val="105"/>
          <w:sz w:val="21"/>
        </w:rPr>
        <w:t>in a </w:t>
      </w:r>
      <w:r>
        <w:rPr>
          <w:spacing w:val="-4"/>
          <w:w w:val="105"/>
          <w:sz w:val="21"/>
        </w:rPr>
        <w:t>familial </w:t>
      </w:r>
      <w:r>
        <w:rPr>
          <w:spacing w:val="-3"/>
          <w:w w:val="105"/>
          <w:sz w:val="21"/>
        </w:rPr>
        <w:t>relationship </w:t>
      </w:r>
      <w:r>
        <w:rPr>
          <w:w w:val="105"/>
          <w:sz w:val="21"/>
        </w:rPr>
        <w:t>with the deceased person, </w:t>
      </w:r>
      <w:r>
        <w:rPr>
          <w:spacing w:val="-3"/>
          <w:w w:val="105"/>
          <w:sz w:val="21"/>
        </w:rPr>
        <w:t>for example, children </w:t>
      </w:r>
      <w:r>
        <w:rPr>
          <w:w w:val="105"/>
          <w:sz w:val="21"/>
        </w:rPr>
        <w:t>of the deceased person, domestic partners and </w:t>
      </w:r>
      <w:r>
        <w:rPr>
          <w:spacing w:val="-3"/>
          <w:w w:val="105"/>
          <w:sz w:val="21"/>
        </w:rPr>
        <w:t>spouses.</w:t>
      </w:r>
      <w:r>
        <w:rPr>
          <w:spacing w:val="-3"/>
          <w:w w:val="105"/>
          <w:position w:val="7"/>
          <w:sz w:val="12"/>
        </w:rPr>
        <w:t>91 </w:t>
      </w:r>
      <w:r>
        <w:rPr>
          <w:w w:val="105"/>
          <w:sz w:val="21"/>
        </w:rPr>
        <w:t>Step-parents </w:t>
      </w:r>
      <w:r>
        <w:rPr>
          <w:spacing w:val="-3"/>
          <w:w w:val="105"/>
          <w:sz w:val="21"/>
        </w:rPr>
        <w:t>may </w:t>
      </w:r>
      <w:r>
        <w:rPr>
          <w:w w:val="105"/>
          <w:sz w:val="21"/>
        </w:rPr>
        <w:t>also </w:t>
      </w:r>
      <w:r>
        <w:rPr>
          <w:spacing w:val="-3"/>
          <w:w w:val="105"/>
          <w:sz w:val="21"/>
        </w:rPr>
        <w:t>have </w:t>
      </w:r>
      <w:r>
        <w:rPr>
          <w:w w:val="105"/>
          <w:sz w:val="21"/>
        </w:rPr>
        <w:t>a </w:t>
      </w:r>
      <w:r>
        <w:rPr>
          <w:spacing w:val="-3"/>
          <w:w w:val="105"/>
          <w:sz w:val="21"/>
        </w:rPr>
        <w:t>responsibility to </w:t>
      </w:r>
      <w:r>
        <w:rPr>
          <w:w w:val="105"/>
          <w:sz w:val="21"/>
        </w:rPr>
        <w:t>provide </w:t>
      </w:r>
      <w:r>
        <w:rPr>
          <w:spacing w:val="-3"/>
          <w:w w:val="105"/>
          <w:sz w:val="21"/>
        </w:rPr>
        <w:t>for </w:t>
      </w:r>
      <w:r>
        <w:rPr>
          <w:w w:val="105"/>
          <w:sz w:val="21"/>
        </w:rPr>
        <w:t>their </w:t>
      </w:r>
      <w:r>
        <w:rPr>
          <w:spacing w:val="-3"/>
          <w:w w:val="105"/>
          <w:sz w:val="21"/>
        </w:rPr>
        <w:t>stepchildren, </w:t>
      </w:r>
      <w:r>
        <w:rPr>
          <w:w w:val="105"/>
          <w:sz w:val="21"/>
        </w:rPr>
        <w:t>where the </w:t>
      </w:r>
      <w:r>
        <w:rPr>
          <w:spacing w:val="-3"/>
          <w:w w:val="105"/>
          <w:sz w:val="21"/>
        </w:rPr>
        <w:t>relationship </w:t>
      </w:r>
      <w:r>
        <w:rPr>
          <w:w w:val="105"/>
          <w:sz w:val="21"/>
        </w:rPr>
        <w:t>is </w:t>
      </w:r>
      <w:r>
        <w:rPr>
          <w:spacing w:val="-3"/>
          <w:w w:val="105"/>
          <w:sz w:val="21"/>
        </w:rPr>
        <w:t>akin to </w:t>
      </w:r>
      <w:r>
        <w:rPr>
          <w:w w:val="105"/>
          <w:sz w:val="21"/>
        </w:rPr>
        <w:t>a </w:t>
      </w:r>
      <w:r>
        <w:rPr>
          <w:spacing w:val="-3"/>
          <w:w w:val="105"/>
          <w:sz w:val="21"/>
        </w:rPr>
        <w:t>parent-child relationship </w:t>
      </w:r>
      <w:r>
        <w:rPr>
          <w:w w:val="105"/>
          <w:position w:val="7"/>
          <w:sz w:val="12"/>
        </w:rPr>
        <w:t>92 </w:t>
      </w:r>
      <w:r>
        <w:rPr>
          <w:w w:val="105"/>
          <w:sz w:val="21"/>
        </w:rPr>
        <w:t>or where</w:t>
      </w:r>
      <w:r>
        <w:rPr>
          <w:spacing w:val="-10"/>
          <w:w w:val="105"/>
          <w:sz w:val="21"/>
        </w:rPr>
        <w:t> </w:t>
      </w:r>
      <w:r>
        <w:rPr>
          <w:w w:val="105"/>
          <w:sz w:val="21"/>
        </w:rPr>
        <w:t>the</w:t>
      </w:r>
      <w:r>
        <w:rPr>
          <w:spacing w:val="-9"/>
          <w:w w:val="105"/>
          <w:sz w:val="21"/>
        </w:rPr>
        <w:t> </w:t>
      </w:r>
      <w:r>
        <w:rPr>
          <w:w w:val="105"/>
          <w:sz w:val="21"/>
        </w:rPr>
        <w:t>step-parent’s</w:t>
      </w:r>
      <w:r>
        <w:rPr>
          <w:spacing w:val="-9"/>
          <w:w w:val="105"/>
          <w:sz w:val="21"/>
        </w:rPr>
        <w:t> </w:t>
      </w:r>
      <w:r>
        <w:rPr>
          <w:w w:val="105"/>
          <w:sz w:val="21"/>
        </w:rPr>
        <w:t>estate</w:t>
      </w:r>
      <w:r>
        <w:rPr>
          <w:spacing w:val="-9"/>
          <w:w w:val="105"/>
          <w:sz w:val="21"/>
        </w:rPr>
        <w:t> </w:t>
      </w:r>
      <w:r>
        <w:rPr>
          <w:w w:val="105"/>
          <w:sz w:val="21"/>
        </w:rPr>
        <w:t>was</w:t>
      </w:r>
      <w:r>
        <w:rPr>
          <w:spacing w:val="-9"/>
          <w:w w:val="105"/>
          <w:sz w:val="21"/>
        </w:rPr>
        <w:t> </w:t>
      </w:r>
      <w:r>
        <w:rPr>
          <w:w w:val="105"/>
          <w:sz w:val="21"/>
        </w:rPr>
        <w:t>largely</w:t>
      </w:r>
      <w:r>
        <w:rPr>
          <w:spacing w:val="-9"/>
          <w:w w:val="105"/>
          <w:sz w:val="21"/>
        </w:rPr>
        <w:t> </w:t>
      </w:r>
      <w:r>
        <w:rPr>
          <w:w w:val="105"/>
          <w:sz w:val="21"/>
        </w:rPr>
        <w:t>derived</w:t>
      </w:r>
      <w:r>
        <w:rPr>
          <w:spacing w:val="-9"/>
          <w:w w:val="105"/>
          <w:sz w:val="21"/>
        </w:rPr>
        <w:t> </w:t>
      </w:r>
      <w:r>
        <w:rPr>
          <w:spacing w:val="-3"/>
          <w:w w:val="105"/>
          <w:sz w:val="21"/>
        </w:rPr>
        <w:t>from</w:t>
      </w:r>
      <w:r>
        <w:rPr>
          <w:spacing w:val="-10"/>
          <w:w w:val="105"/>
          <w:sz w:val="21"/>
        </w:rPr>
        <w:t> </w:t>
      </w:r>
      <w:r>
        <w:rPr>
          <w:w w:val="105"/>
          <w:sz w:val="21"/>
        </w:rPr>
        <w:t>the</w:t>
      </w:r>
      <w:r>
        <w:rPr>
          <w:spacing w:val="-9"/>
          <w:w w:val="105"/>
          <w:sz w:val="21"/>
        </w:rPr>
        <w:t> </w:t>
      </w:r>
      <w:r>
        <w:rPr>
          <w:spacing w:val="-3"/>
          <w:w w:val="105"/>
          <w:sz w:val="21"/>
        </w:rPr>
        <w:t>stepchild’s</w:t>
      </w:r>
      <w:r>
        <w:rPr>
          <w:spacing w:val="-9"/>
          <w:w w:val="105"/>
          <w:sz w:val="21"/>
        </w:rPr>
        <w:t> </w:t>
      </w:r>
      <w:r>
        <w:rPr>
          <w:spacing w:val="-3"/>
          <w:w w:val="105"/>
          <w:sz w:val="21"/>
        </w:rPr>
        <w:t>natural</w:t>
      </w:r>
      <w:r>
        <w:rPr>
          <w:spacing w:val="-9"/>
          <w:w w:val="105"/>
          <w:sz w:val="21"/>
        </w:rPr>
        <w:t> </w:t>
      </w:r>
      <w:r>
        <w:rPr>
          <w:spacing w:val="-3"/>
          <w:w w:val="105"/>
          <w:sz w:val="21"/>
        </w:rPr>
        <w:t>parent.</w:t>
      </w:r>
      <w:r>
        <w:rPr>
          <w:spacing w:val="-3"/>
          <w:w w:val="105"/>
          <w:position w:val="7"/>
          <w:sz w:val="12"/>
        </w:rPr>
        <w:t>93</w:t>
      </w:r>
    </w:p>
    <w:p>
      <w:pPr>
        <w:pStyle w:val="ListParagraph"/>
        <w:numPr>
          <w:ilvl w:val="1"/>
          <w:numId w:val="22"/>
        </w:numPr>
        <w:tabs>
          <w:tab w:pos="2381" w:val="left" w:leader="none"/>
          <w:tab w:pos="2382" w:val="left" w:leader="none"/>
        </w:tabs>
        <w:spacing w:line="242" w:lineRule="auto" w:before="127" w:after="0"/>
        <w:ind w:left="2381" w:right="1771" w:hanging="794"/>
        <w:jc w:val="left"/>
        <w:rPr>
          <w:sz w:val="12"/>
        </w:rPr>
      </w:pPr>
      <w:r>
        <w:rPr>
          <w:w w:val="105"/>
          <w:sz w:val="21"/>
        </w:rPr>
        <w:t>A </w:t>
      </w:r>
      <w:r>
        <w:rPr>
          <w:spacing w:val="-3"/>
          <w:w w:val="105"/>
          <w:sz w:val="21"/>
        </w:rPr>
        <w:t>grandparent </w:t>
      </w:r>
      <w:r>
        <w:rPr>
          <w:w w:val="105"/>
          <w:sz w:val="21"/>
        </w:rPr>
        <w:t>does </w:t>
      </w:r>
      <w:r>
        <w:rPr>
          <w:spacing w:val="-2"/>
          <w:w w:val="105"/>
          <w:sz w:val="21"/>
        </w:rPr>
        <w:t>not </w:t>
      </w:r>
      <w:r>
        <w:rPr>
          <w:spacing w:val="-3"/>
          <w:w w:val="105"/>
          <w:sz w:val="21"/>
        </w:rPr>
        <w:t>have responsibility to </w:t>
      </w:r>
      <w:r>
        <w:rPr>
          <w:w w:val="105"/>
          <w:sz w:val="21"/>
        </w:rPr>
        <w:t>provide </w:t>
      </w:r>
      <w:r>
        <w:rPr>
          <w:spacing w:val="-3"/>
          <w:w w:val="105"/>
          <w:sz w:val="21"/>
        </w:rPr>
        <w:t>for </w:t>
      </w:r>
      <w:r>
        <w:rPr>
          <w:w w:val="105"/>
          <w:sz w:val="21"/>
        </w:rPr>
        <w:t>their </w:t>
      </w:r>
      <w:r>
        <w:rPr>
          <w:spacing w:val="-3"/>
          <w:w w:val="105"/>
          <w:sz w:val="21"/>
        </w:rPr>
        <w:t>grandchild </w:t>
      </w:r>
      <w:r>
        <w:rPr>
          <w:w w:val="105"/>
          <w:sz w:val="21"/>
        </w:rPr>
        <w:t>merely by virtue of </w:t>
      </w:r>
      <w:r>
        <w:rPr>
          <w:spacing w:val="-3"/>
          <w:w w:val="105"/>
          <w:sz w:val="21"/>
        </w:rPr>
        <w:t>that relationship; additional </w:t>
      </w:r>
      <w:r>
        <w:rPr>
          <w:w w:val="105"/>
          <w:sz w:val="21"/>
        </w:rPr>
        <w:t>or special factors need </w:t>
      </w:r>
      <w:r>
        <w:rPr>
          <w:spacing w:val="-3"/>
          <w:w w:val="105"/>
          <w:sz w:val="21"/>
        </w:rPr>
        <w:t>to </w:t>
      </w:r>
      <w:r>
        <w:rPr>
          <w:w w:val="105"/>
          <w:sz w:val="21"/>
        </w:rPr>
        <w:t>be </w:t>
      </w:r>
      <w:r>
        <w:rPr>
          <w:spacing w:val="-3"/>
          <w:w w:val="105"/>
          <w:sz w:val="21"/>
        </w:rPr>
        <w:t>shown.</w:t>
      </w:r>
      <w:r>
        <w:rPr>
          <w:spacing w:val="-3"/>
          <w:w w:val="105"/>
          <w:position w:val="7"/>
          <w:sz w:val="12"/>
        </w:rPr>
        <w:t>94 </w:t>
      </w:r>
      <w:r>
        <w:rPr>
          <w:w w:val="105"/>
          <w:sz w:val="21"/>
        </w:rPr>
        <w:t>In one </w:t>
      </w:r>
      <w:r>
        <w:rPr>
          <w:spacing w:val="-3"/>
          <w:w w:val="105"/>
          <w:sz w:val="21"/>
        </w:rPr>
        <w:t>case, provision </w:t>
      </w:r>
      <w:r>
        <w:rPr>
          <w:w w:val="105"/>
          <w:sz w:val="21"/>
        </w:rPr>
        <w:t>was made </w:t>
      </w:r>
      <w:r>
        <w:rPr>
          <w:spacing w:val="-3"/>
          <w:w w:val="105"/>
          <w:sz w:val="21"/>
        </w:rPr>
        <w:t>for </w:t>
      </w:r>
      <w:r>
        <w:rPr>
          <w:w w:val="105"/>
          <w:sz w:val="21"/>
        </w:rPr>
        <w:t>the deceased </w:t>
      </w:r>
      <w:r>
        <w:rPr>
          <w:spacing w:val="-3"/>
          <w:w w:val="105"/>
          <w:sz w:val="21"/>
        </w:rPr>
        <w:t>person’s grand-daughter </w:t>
      </w:r>
      <w:r>
        <w:rPr>
          <w:w w:val="105"/>
          <w:sz w:val="21"/>
        </w:rPr>
        <w:t>because, </w:t>
      </w:r>
      <w:r>
        <w:rPr>
          <w:spacing w:val="-3"/>
          <w:w w:val="105"/>
          <w:sz w:val="21"/>
        </w:rPr>
        <w:t>although </w:t>
      </w:r>
      <w:r>
        <w:rPr>
          <w:w w:val="105"/>
          <w:sz w:val="21"/>
        </w:rPr>
        <w:t>it was </w:t>
      </w:r>
      <w:r>
        <w:rPr>
          <w:spacing w:val="-2"/>
          <w:w w:val="105"/>
          <w:sz w:val="21"/>
        </w:rPr>
        <w:t>not </w:t>
      </w:r>
      <w:r>
        <w:rPr>
          <w:w w:val="105"/>
          <w:sz w:val="21"/>
        </w:rPr>
        <w:t>a </w:t>
      </w:r>
      <w:r>
        <w:rPr>
          <w:spacing w:val="-3"/>
          <w:w w:val="105"/>
          <w:sz w:val="21"/>
        </w:rPr>
        <w:t>relationship </w:t>
      </w:r>
      <w:r>
        <w:rPr>
          <w:w w:val="105"/>
          <w:sz w:val="21"/>
        </w:rPr>
        <w:t>of </w:t>
      </w:r>
      <w:r>
        <w:rPr>
          <w:spacing w:val="-3"/>
          <w:w w:val="105"/>
          <w:sz w:val="21"/>
        </w:rPr>
        <w:t>dependence, </w:t>
      </w:r>
      <w:r>
        <w:rPr>
          <w:w w:val="105"/>
          <w:sz w:val="21"/>
        </w:rPr>
        <w:t>the </w:t>
      </w:r>
      <w:r>
        <w:rPr>
          <w:spacing w:val="-3"/>
          <w:w w:val="105"/>
          <w:sz w:val="21"/>
        </w:rPr>
        <w:t>grand-daughter </w:t>
      </w:r>
      <w:r>
        <w:rPr>
          <w:spacing w:val="-2"/>
          <w:w w:val="105"/>
          <w:sz w:val="21"/>
        </w:rPr>
        <w:t>had </w:t>
      </w:r>
      <w:r>
        <w:rPr>
          <w:spacing w:val="-3"/>
          <w:w w:val="105"/>
          <w:sz w:val="21"/>
        </w:rPr>
        <w:t>significant financial </w:t>
      </w:r>
      <w:r>
        <w:rPr>
          <w:w w:val="105"/>
          <w:sz w:val="21"/>
        </w:rPr>
        <w:t>need,  </w:t>
      </w:r>
      <w:r>
        <w:rPr>
          <w:spacing w:val="-2"/>
          <w:w w:val="105"/>
          <w:sz w:val="21"/>
        </w:rPr>
        <w:t>had </w:t>
      </w:r>
      <w:r>
        <w:rPr>
          <w:w w:val="105"/>
          <w:sz w:val="21"/>
        </w:rPr>
        <w:t>lost her </w:t>
      </w:r>
      <w:r>
        <w:rPr>
          <w:spacing w:val="-3"/>
          <w:w w:val="105"/>
          <w:sz w:val="21"/>
        </w:rPr>
        <w:t>father </w:t>
      </w:r>
      <w:r>
        <w:rPr>
          <w:w w:val="105"/>
          <w:sz w:val="21"/>
        </w:rPr>
        <w:t>early in </w:t>
      </w:r>
      <w:r>
        <w:rPr>
          <w:spacing w:val="-3"/>
          <w:w w:val="105"/>
          <w:sz w:val="21"/>
        </w:rPr>
        <w:t>life </w:t>
      </w:r>
      <w:r>
        <w:rPr>
          <w:w w:val="105"/>
          <w:sz w:val="21"/>
        </w:rPr>
        <w:t>and </w:t>
      </w:r>
      <w:r>
        <w:rPr>
          <w:spacing w:val="-2"/>
          <w:w w:val="105"/>
          <w:sz w:val="21"/>
        </w:rPr>
        <w:t>had not </w:t>
      </w:r>
      <w:r>
        <w:rPr>
          <w:spacing w:val="-3"/>
          <w:w w:val="105"/>
          <w:sz w:val="21"/>
        </w:rPr>
        <w:t>inherited </w:t>
      </w:r>
      <w:r>
        <w:rPr>
          <w:w w:val="105"/>
          <w:sz w:val="21"/>
        </w:rPr>
        <w:t>anything </w:t>
      </w:r>
      <w:r>
        <w:rPr>
          <w:spacing w:val="-3"/>
          <w:w w:val="105"/>
          <w:sz w:val="21"/>
        </w:rPr>
        <w:t>from </w:t>
      </w:r>
      <w:r>
        <w:rPr>
          <w:w w:val="105"/>
          <w:sz w:val="21"/>
        </w:rPr>
        <w:t>his </w:t>
      </w:r>
      <w:r>
        <w:rPr>
          <w:spacing w:val="-3"/>
          <w:w w:val="105"/>
          <w:sz w:val="21"/>
        </w:rPr>
        <w:t>estate.</w:t>
      </w:r>
      <w:r>
        <w:rPr>
          <w:spacing w:val="-3"/>
          <w:w w:val="105"/>
          <w:position w:val="7"/>
          <w:sz w:val="12"/>
        </w:rPr>
        <w:t>95 </w:t>
      </w:r>
      <w:r>
        <w:rPr>
          <w:spacing w:val="-4"/>
          <w:w w:val="105"/>
          <w:sz w:val="21"/>
        </w:rPr>
        <w:t>Similar </w:t>
      </w:r>
      <w:r>
        <w:rPr>
          <w:spacing w:val="-3"/>
          <w:w w:val="105"/>
          <w:sz w:val="21"/>
        </w:rPr>
        <w:t>reasoning </w:t>
      </w:r>
      <w:r>
        <w:rPr>
          <w:w w:val="105"/>
          <w:sz w:val="21"/>
        </w:rPr>
        <w:t>applies </w:t>
      </w:r>
      <w:r>
        <w:rPr>
          <w:spacing w:val="-3"/>
          <w:w w:val="105"/>
          <w:sz w:val="21"/>
        </w:rPr>
        <w:t>to </w:t>
      </w:r>
      <w:r>
        <w:rPr>
          <w:w w:val="105"/>
          <w:sz w:val="21"/>
        </w:rPr>
        <w:t>whether </w:t>
      </w:r>
      <w:r>
        <w:rPr>
          <w:spacing w:val="-3"/>
          <w:w w:val="105"/>
          <w:sz w:val="21"/>
        </w:rPr>
        <w:t>responsibility </w:t>
      </w:r>
      <w:r>
        <w:rPr>
          <w:w w:val="105"/>
          <w:sz w:val="21"/>
        </w:rPr>
        <w:t>is owed by an </w:t>
      </w:r>
      <w:r>
        <w:rPr>
          <w:spacing w:val="-3"/>
          <w:w w:val="105"/>
          <w:sz w:val="21"/>
        </w:rPr>
        <w:t>aunt </w:t>
      </w:r>
      <w:r>
        <w:rPr>
          <w:w w:val="105"/>
          <w:sz w:val="21"/>
        </w:rPr>
        <w:t>or uncle </w:t>
      </w:r>
      <w:r>
        <w:rPr>
          <w:spacing w:val="-3"/>
          <w:w w:val="105"/>
          <w:sz w:val="21"/>
        </w:rPr>
        <w:t>to </w:t>
      </w:r>
      <w:r>
        <w:rPr>
          <w:w w:val="105"/>
          <w:sz w:val="21"/>
        </w:rPr>
        <w:t>their niece or </w:t>
      </w:r>
      <w:r>
        <w:rPr>
          <w:spacing w:val="-3"/>
          <w:w w:val="105"/>
          <w:sz w:val="21"/>
        </w:rPr>
        <w:t>nephew.</w:t>
      </w:r>
      <w:r>
        <w:rPr>
          <w:spacing w:val="-3"/>
          <w:w w:val="105"/>
          <w:position w:val="7"/>
          <w:sz w:val="12"/>
        </w:rPr>
        <w:t>96</w:t>
      </w:r>
    </w:p>
    <w:p>
      <w:pPr>
        <w:pStyle w:val="ListParagraph"/>
        <w:numPr>
          <w:ilvl w:val="1"/>
          <w:numId w:val="22"/>
        </w:numPr>
        <w:tabs>
          <w:tab w:pos="2381" w:val="left" w:leader="none"/>
          <w:tab w:pos="2382" w:val="left" w:leader="none"/>
        </w:tabs>
        <w:spacing w:line="242" w:lineRule="auto" w:before="128" w:after="0"/>
        <w:ind w:left="2381" w:right="1681" w:hanging="794"/>
        <w:jc w:val="left"/>
        <w:rPr>
          <w:i/>
          <w:sz w:val="21"/>
        </w:rPr>
      </w:pPr>
      <w:r>
        <w:rPr>
          <w:spacing w:val="-4"/>
          <w:w w:val="105"/>
          <w:sz w:val="21"/>
        </w:rPr>
        <w:t>Occasionally, </w:t>
      </w:r>
      <w:r>
        <w:rPr>
          <w:w w:val="105"/>
          <w:sz w:val="21"/>
        </w:rPr>
        <w:t>the courts </w:t>
      </w:r>
      <w:r>
        <w:rPr>
          <w:spacing w:val="-3"/>
          <w:w w:val="105"/>
          <w:sz w:val="21"/>
        </w:rPr>
        <w:t>have </w:t>
      </w:r>
      <w:r>
        <w:rPr>
          <w:w w:val="105"/>
          <w:sz w:val="21"/>
        </w:rPr>
        <w:t>recognised </w:t>
      </w:r>
      <w:r>
        <w:rPr>
          <w:spacing w:val="-3"/>
          <w:w w:val="105"/>
          <w:sz w:val="21"/>
        </w:rPr>
        <w:t>relationships </w:t>
      </w:r>
      <w:r>
        <w:rPr>
          <w:w w:val="105"/>
          <w:sz w:val="21"/>
        </w:rPr>
        <w:t>other </w:t>
      </w:r>
      <w:r>
        <w:rPr>
          <w:spacing w:val="-3"/>
          <w:w w:val="105"/>
          <w:sz w:val="21"/>
        </w:rPr>
        <w:t>than </w:t>
      </w:r>
      <w:r>
        <w:rPr>
          <w:w w:val="105"/>
          <w:sz w:val="21"/>
        </w:rPr>
        <w:t>typical </w:t>
      </w:r>
      <w:r>
        <w:rPr>
          <w:spacing w:val="-3"/>
          <w:w w:val="105"/>
          <w:sz w:val="21"/>
        </w:rPr>
        <w:t>family relationships </w:t>
      </w:r>
      <w:r>
        <w:rPr>
          <w:w w:val="105"/>
          <w:sz w:val="21"/>
        </w:rPr>
        <w:t>as giving rise </w:t>
      </w:r>
      <w:r>
        <w:rPr>
          <w:spacing w:val="-3"/>
          <w:w w:val="105"/>
          <w:sz w:val="21"/>
        </w:rPr>
        <w:t>to </w:t>
      </w:r>
      <w:r>
        <w:rPr>
          <w:w w:val="105"/>
          <w:sz w:val="21"/>
        </w:rPr>
        <w:t>a </w:t>
      </w:r>
      <w:r>
        <w:rPr>
          <w:spacing w:val="-3"/>
          <w:w w:val="105"/>
          <w:sz w:val="21"/>
        </w:rPr>
        <w:t>responsibility to provide, </w:t>
      </w:r>
      <w:r>
        <w:rPr>
          <w:w w:val="105"/>
          <w:sz w:val="21"/>
        </w:rPr>
        <w:t>based on the </w:t>
      </w:r>
      <w:r>
        <w:rPr>
          <w:spacing w:val="-3"/>
          <w:w w:val="105"/>
          <w:sz w:val="21"/>
        </w:rPr>
        <w:t>individual circumstances </w:t>
      </w:r>
      <w:r>
        <w:rPr>
          <w:w w:val="105"/>
          <w:sz w:val="21"/>
        </w:rPr>
        <w:t>of the </w:t>
      </w:r>
      <w:r>
        <w:rPr>
          <w:spacing w:val="-3"/>
          <w:w w:val="105"/>
          <w:sz w:val="21"/>
        </w:rPr>
        <w:t>case. </w:t>
      </w:r>
      <w:r>
        <w:rPr>
          <w:w w:val="105"/>
          <w:sz w:val="21"/>
        </w:rPr>
        <w:t>In </w:t>
      </w:r>
      <w:r>
        <w:rPr>
          <w:i/>
          <w:w w:val="105"/>
          <w:sz w:val="21"/>
        </w:rPr>
        <w:t>Unger v </w:t>
      </w:r>
      <w:r>
        <w:rPr>
          <w:i/>
          <w:spacing w:val="-3"/>
          <w:w w:val="105"/>
          <w:sz w:val="21"/>
        </w:rPr>
        <w:t>Sanchez</w:t>
      </w:r>
      <w:r>
        <w:rPr>
          <w:spacing w:val="-3"/>
          <w:w w:val="105"/>
          <w:sz w:val="21"/>
        </w:rPr>
        <w:t>, for example, </w:t>
      </w:r>
      <w:r>
        <w:rPr>
          <w:w w:val="105"/>
          <w:sz w:val="21"/>
        </w:rPr>
        <w:t>the </w:t>
      </w:r>
      <w:r>
        <w:rPr>
          <w:spacing w:val="-3"/>
          <w:w w:val="105"/>
          <w:sz w:val="21"/>
        </w:rPr>
        <w:t>Supreme Court </w:t>
      </w:r>
      <w:r>
        <w:rPr>
          <w:w w:val="105"/>
          <w:sz w:val="21"/>
        </w:rPr>
        <w:t>ordered </w:t>
      </w:r>
      <w:r>
        <w:rPr>
          <w:spacing w:val="-3"/>
          <w:w w:val="105"/>
          <w:sz w:val="21"/>
        </w:rPr>
        <w:t>provision for </w:t>
      </w:r>
      <w:r>
        <w:rPr>
          <w:w w:val="105"/>
          <w:sz w:val="21"/>
        </w:rPr>
        <w:t>a friend and </w:t>
      </w:r>
      <w:r>
        <w:rPr>
          <w:spacing w:val="-3"/>
          <w:w w:val="105"/>
          <w:sz w:val="21"/>
        </w:rPr>
        <w:t>neighbour </w:t>
      </w:r>
      <w:r>
        <w:rPr>
          <w:w w:val="105"/>
          <w:sz w:val="21"/>
        </w:rPr>
        <w:t>of the deceased person, who </w:t>
      </w:r>
      <w:r>
        <w:rPr>
          <w:spacing w:val="-2"/>
          <w:w w:val="105"/>
          <w:sz w:val="21"/>
        </w:rPr>
        <w:t>had had </w:t>
      </w:r>
      <w:r>
        <w:rPr>
          <w:w w:val="105"/>
          <w:sz w:val="21"/>
        </w:rPr>
        <w:t>a </w:t>
      </w:r>
      <w:r>
        <w:rPr>
          <w:spacing w:val="-3"/>
          <w:w w:val="105"/>
          <w:sz w:val="21"/>
        </w:rPr>
        <w:t>relationship </w:t>
      </w:r>
      <w:r>
        <w:rPr>
          <w:w w:val="105"/>
          <w:sz w:val="21"/>
        </w:rPr>
        <w:t>with the deceased person </w:t>
      </w:r>
      <w:r>
        <w:rPr>
          <w:spacing w:val="-3"/>
          <w:w w:val="105"/>
          <w:sz w:val="21"/>
        </w:rPr>
        <w:t>‘closely akin to that </w:t>
      </w:r>
      <w:r>
        <w:rPr>
          <w:w w:val="105"/>
          <w:sz w:val="21"/>
        </w:rPr>
        <w:t>of a </w:t>
      </w:r>
      <w:r>
        <w:rPr>
          <w:spacing w:val="-3"/>
          <w:w w:val="105"/>
          <w:sz w:val="21"/>
        </w:rPr>
        <w:t>daughter to </w:t>
      </w:r>
      <w:r>
        <w:rPr>
          <w:w w:val="105"/>
          <w:sz w:val="21"/>
        </w:rPr>
        <w:t>an elderly </w:t>
      </w:r>
      <w:r>
        <w:rPr>
          <w:spacing w:val="-4"/>
          <w:w w:val="105"/>
          <w:sz w:val="21"/>
        </w:rPr>
        <w:t>mother’.</w:t>
      </w:r>
      <w:r>
        <w:rPr>
          <w:spacing w:val="-4"/>
          <w:w w:val="105"/>
          <w:position w:val="7"/>
          <w:sz w:val="12"/>
        </w:rPr>
        <w:t>97 </w:t>
      </w:r>
      <w:r>
        <w:rPr>
          <w:w w:val="105"/>
          <w:sz w:val="21"/>
        </w:rPr>
        <w:t>In </w:t>
      </w:r>
      <w:r>
        <w:rPr>
          <w:i/>
          <w:w w:val="105"/>
          <w:sz w:val="21"/>
        </w:rPr>
        <w:t>Whitehead v </w:t>
      </w:r>
      <w:r>
        <w:rPr>
          <w:i/>
          <w:spacing w:val="-4"/>
          <w:w w:val="105"/>
          <w:sz w:val="21"/>
        </w:rPr>
        <w:t>State Trustees</w:t>
      </w:r>
      <w:r>
        <w:rPr>
          <w:spacing w:val="-4"/>
          <w:w w:val="105"/>
          <w:sz w:val="21"/>
        </w:rPr>
        <w:t>, </w:t>
      </w:r>
      <w:r>
        <w:rPr>
          <w:w w:val="105"/>
          <w:sz w:val="21"/>
        </w:rPr>
        <w:t>the </w:t>
      </w:r>
      <w:r>
        <w:rPr>
          <w:spacing w:val="-3"/>
          <w:w w:val="105"/>
          <w:sz w:val="21"/>
        </w:rPr>
        <w:t>Court </w:t>
      </w:r>
      <w:r>
        <w:rPr>
          <w:w w:val="105"/>
          <w:sz w:val="21"/>
        </w:rPr>
        <w:t>ordered </w:t>
      </w:r>
      <w:r>
        <w:rPr>
          <w:spacing w:val="-3"/>
          <w:w w:val="105"/>
          <w:sz w:val="21"/>
        </w:rPr>
        <w:t>provision for </w:t>
      </w:r>
      <w:r>
        <w:rPr>
          <w:w w:val="105"/>
          <w:sz w:val="21"/>
        </w:rPr>
        <w:t>the deceased </w:t>
      </w:r>
      <w:r>
        <w:rPr>
          <w:spacing w:val="-3"/>
          <w:w w:val="105"/>
          <w:sz w:val="21"/>
        </w:rPr>
        <w:t>person’s </w:t>
      </w:r>
      <w:r>
        <w:rPr>
          <w:spacing w:val="-4"/>
          <w:w w:val="105"/>
          <w:sz w:val="21"/>
        </w:rPr>
        <w:t>‘close </w:t>
      </w:r>
      <w:r>
        <w:rPr>
          <w:w w:val="105"/>
          <w:sz w:val="21"/>
        </w:rPr>
        <w:t>personal </w:t>
      </w:r>
      <w:r>
        <w:rPr>
          <w:spacing w:val="-3"/>
          <w:w w:val="105"/>
          <w:sz w:val="21"/>
        </w:rPr>
        <w:t>companion </w:t>
      </w:r>
      <w:r>
        <w:rPr>
          <w:w w:val="105"/>
          <w:sz w:val="21"/>
        </w:rPr>
        <w:t>and sexual partner’ and her son.</w:t>
      </w:r>
      <w:r>
        <w:rPr>
          <w:w w:val="105"/>
          <w:position w:val="7"/>
          <w:sz w:val="12"/>
        </w:rPr>
        <w:t>98  </w:t>
      </w:r>
      <w:r>
        <w:rPr>
          <w:w w:val="105"/>
          <w:sz w:val="21"/>
        </w:rPr>
        <w:t>The </w:t>
      </w:r>
      <w:r>
        <w:rPr>
          <w:spacing w:val="-3"/>
          <w:w w:val="105"/>
          <w:sz w:val="21"/>
        </w:rPr>
        <w:t>Court </w:t>
      </w:r>
      <w:r>
        <w:rPr>
          <w:w w:val="105"/>
          <w:sz w:val="21"/>
        </w:rPr>
        <w:t>held </w:t>
      </w:r>
      <w:r>
        <w:rPr>
          <w:spacing w:val="-3"/>
          <w:w w:val="105"/>
          <w:sz w:val="21"/>
        </w:rPr>
        <w:t>that, although </w:t>
      </w:r>
      <w:r>
        <w:rPr>
          <w:w w:val="105"/>
          <w:sz w:val="21"/>
        </w:rPr>
        <w:t>the</w:t>
      </w:r>
      <w:r>
        <w:rPr>
          <w:spacing w:val="-7"/>
          <w:w w:val="105"/>
          <w:sz w:val="21"/>
        </w:rPr>
        <w:t> </w:t>
      </w:r>
      <w:r>
        <w:rPr>
          <w:w w:val="105"/>
          <w:sz w:val="21"/>
        </w:rPr>
        <w:t>deceased</w:t>
      </w:r>
      <w:r>
        <w:rPr>
          <w:spacing w:val="-6"/>
          <w:w w:val="105"/>
          <w:sz w:val="21"/>
        </w:rPr>
        <w:t> </w:t>
      </w:r>
      <w:r>
        <w:rPr>
          <w:w w:val="105"/>
          <w:sz w:val="21"/>
        </w:rPr>
        <w:t>person</w:t>
      </w:r>
      <w:r>
        <w:rPr>
          <w:spacing w:val="-6"/>
          <w:w w:val="105"/>
          <w:sz w:val="21"/>
        </w:rPr>
        <w:t> </w:t>
      </w:r>
      <w:r>
        <w:rPr>
          <w:w w:val="105"/>
          <w:sz w:val="21"/>
        </w:rPr>
        <w:t>and</w:t>
      </w:r>
      <w:r>
        <w:rPr>
          <w:spacing w:val="-6"/>
          <w:w w:val="105"/>
          <w:sz w:val="21"/>
        </w:rPr>
        <w:t> </w:t>
      </w:r>
      <w:r>
        <w:rPr>
          <w:spacing w:val="-3"/>
          <w:w w:val="105"/>
          <w:sz w:val="21"/>
        </w:rPr>
        <w:t>applicant</w:t>
      </w:r>
      <w:r>
        <w:rPr>
          <w:spacing w:val="-7"/>
          <w:w w:val="105"/>
          <w:sz w:val="21"/>
        </w:rPr>
        <w:t> </w:t>
      </w:r>
      <w:r>
        <w:rPr>
          <w:spacing w:val="-2"/>
          <w:w w:val="105"/>
          <w:sz w:val="21"/>
        </w:rPr>
        <w:t>had</w:t>
      </w:r>
      <w:r>
        <w:rPr>
          <w:spacing w:val="-6"/>
          <w:w w:val="105"/>
          <w:sz w:val="21"/>
        </w:rPr>
        <w:t> </w:t>
      </w:r>
      <w:r>
        <w:rPr>
          <w:spacing w:val="-2"/>
          <w:w w:val="105"/>
          <w:sz w:val="21"/>
        </w:rPr>
        <w:t>not</w:t>
      </w:r>
      <w:r>
        <w:rPr>
          <w:spacing w:val="-6"/>
          <w:w w:val="105"/>
          <w:sz w:val="21"/>
        </w:rPr>
        <w:t> </w:t>
      </w:r>
      <w:r>
        <w:rPr>
          <w:w w:val="105"/>
          <w:sz w:val="21"/>
        </w:rPr>
        <w:t>been</w:t>
      </w:r>
      <w:r>
        <w:rPr>
          <w:spacing w:val="-6"/>
          <w:w w:val="105"/>
          <w:sz w:val="21"/>
        </w:rPr>
        <w:t> </w:t>
      </w:r>
      <w:r>
        <w:rPr>
          <w:w w:val="105"/>
          <w:sz w:val="21"/>
        </w:rPr>
        <w:t>in</w:t>
      </w:r>
      <w:r>
        <w:rPr>
          <w:spacing w:val="-6"/>
          <w:w w:val="105"/>
          <w:sz w:val="21"/>
        </w:rPr>
        <w:t> </w:t>
      </w:r>
      <w:r>
        <w:rPr>
          <w:w w:val="105"/>
          <w:sz w:val="21"/>
        </w:rPr>
        <w:t>a</w:t>
      </w:r>
      <w:r>
        <w:rPr>
          <w:spacing w:val="-7"/>
          <w:w w:val="105"/>
          <w:sz w:val="21"/>
        </w:rPr>
        <w:t> </w:t>
      </w:r>
      <w:r>
        <w:rPr>
          <w:w w:val="105"/>
          <w:sz w:val="21"/>
        </w:rPr>
        <w:t>domestic</w:t>
      </w:r>
      <w:r>
        <w:rPr>
          <w:spacing w:val="-6"/>
          <w:w w:val="105"/>
          <w:sz w:val="21"/>
        </w:rPr>
        <w:t> </w:t>
      </w:r>
      <w:r>
        <w:rPr>
          <w:spacing w:val="-3"/>
          <w:w w:val="105"/>
          <w:sz w:val="21"/>
        </w:rPr>
        <w:t>relationship,</w:t>
      </w:r>
      <w:r>
        <w:rPr>
          <w:spacing w:val="-6"/>
          <w:w w:val="105"/>
          <w:sz w:val="21"/>
        </w:rPr>
        <w:t> </w:t>
      </w:r>
      <w:r>
        <w:rPr>
          <w:w w:val="105"/>
          <w:sz w:val="21"/>
        </w:rPr>
        <w:t>they</w:t>
      </w:r>
      <w:r>
        <w:rPr>
          <w:spacing w:val="-6"/>
          <w:w w:val="105"/>
          <w:sz w:val="21"/>
        </w:rPr>
        <w:t> </w:t>
      </w:r>
      <w:r>
        <w:rPr>
          <w:w w:val="105"/>
          <w:sz w:val="21"/>
        </w:rPr>
        <w:t>and</w:t>
      </w:r>
      <w:r>
        <w:rPr>
          <w:spacing w:val="-6"/>
          <w:w w:val="105"/>
          <w:sz w:val="21"/>
        </w:rPr>
        <w:t> </w:t>
      </w:r>
      <w:r>
        <w:rPr>
          <w:w w:val="105"/>
          <w:sz w:val="21"/>
        </w:rPr>
        <w:t>the </w:t>
      </w:r>
      <w:r>
        <w:rPr>
          <w:spacing w:val="-3"/>
          <w:w w:val="105"/>
          <w:sz w:val="21"/>
        </w:rPr>
        <w:t>applicant’s </w:t>
      </w:r>
      <w:r>
        <w:rPr>
          <w:w w:val="105"/>
          <w:sz w:val="21"/>
        </w:rPr>
        <w:t>son </w:t>
      </w:r>
      <w:r>
        <w:rPr>
          <w:spacing w:val="-3"/>
          <w:w w:val="105"/>
          <w:sz w:val="21"/>
        </w:rPr>
        <w:t>‘represented </w:t>
      </w:r>
      <w:r>
        <w:rPr>
          <w:w w:val="105"/>
          <w:sz w:val="21"/>
        </w:rPr>
        <w:t>a social </w:t>
      </w:r>
      <w:r>
        <w:rPr>
          <w:spacing w:val="-3"/>
          <w:w w:val="105"/>
          <w:sz w:val="21"/>
        </w:rPr>
        <w:t>unit </w:t>
      </w:r>
      <w:r>
        <w:rPr>
          <w:w w:val="105"/>
          <w:sz w:val="21"/>
        </w:rPr>
        <w:t>which was tantamount </w:t>
      </w:r>
      <w:r>
        <w:rPr>
          <w:spacing w:val="-3"/>
          <w:w w:val="105"/>
          <w:sz w:val="21"/>
        </w:rPr>
        <w:t>to </w:t>
      </w:r>
      <w:r>
        <w:rPr>
          <w:w w:val="105"/>
          <w:sz w:val="21"/>
        </w:rPr>
        <w:t>a </w:t>
      </w:r>
      <w:r>
        <w:rPr>
          <w:spacing w:val="-5"/>
          <w:w w:val="105"/>
          <w:sz w:val="21"/>
        </w:rPr>
        <w:t>family’.</w:t>
      </w:r>
      <w:r>
        <w:rPr>
          <w:spacing w:val="-5"/>
          <w:w w:val="105"/>
          <w:position w:val="7"/>
          <w:sz w:val="12"/>
        </w:rPr>
        <w:t>99 </w:t>
      </w:r>
      <w:r>
        <w:rPr>
          <w:w w:val="105"/>
          <w:sz w:val="21"/>
        </w:rPr>
        <w:t>In</w:t>
      </w:r>
      <w:r>
        <w:rPr>
          <w:spacing w:val="-31"/>
          <w:w w:val="105"/>
          <w:sz w:val="21"/>
        </w:rPr>
        <w:t> </w:t>
      </w:r>
      <w:r>
        <w:rPr>
          <w:i/>
          <w:w w:val="105"/>
          <w:sz w:val="21"/>
        </w:rPr>
        <w:t>Borebor</w:t>
      </w:r>
    </w:p>
    <w:p>
      <w:pPr>
        <w:pStyle w:val="BodyText"/>
        <w:spacing w:line="242" w:lineRule="auto" w:before="10"/>
        <w:ind w:left="2381" w:right="1597"/>
        <w:rPr>
          <w:sz w:val="12"/>
        </w:rPr>
      </w:pPr>
      <w:r>
        <w:rPr>
          <w:i/>
          <w:w w:val="105"/>
        </w:rPr>
        <w:t>v </w:t>
      </w:r>
      <w:r>
        <w:rPr>
          <w:i/>
          <w:spacing w:val="-5"/>
          <w:w w:val="105"/>
        </w:rPr>
        <w:t>Keane</w:t>
      </w:r>
      <w:r>
        <w:rPr>
          <w:spacing w:val="-5"/>
          <w:w w:val="105"/>
        </w:rPr>
        <w:t>, </w:t>
      </w:r>
      <w:r>
        <w:rPr>
          <w:w w:val="105"/>
        </w:rPr>
        <w:t>the </w:t>
      </w:r>
      <w:r>
        <w:rPr>
          <w:spacing w:val="-3"/>
          <w:w w:val="105"/>
        </w:rPr>
        <w:t>Court </w:t>
      </w:r>
      <w:r>
        <w:rPr>
          <w:w w:val="105"/>
        </w:rPr>
        <w:t>ordered </w:t>
      </w:r>
      <w:r>
        <w:rPr>
          <w:spacing w:val="-3"/>
          <w:w w:val="105"/>
        </w:rPr>
        <w:t>that provision </w:t>
      </w:r>
      <w:r>
        <w:rPr>
          <w:w w:val="105"/>
        </w:rPr>
        <w:t>be made </w:t>
      </w:r>
      <w:r>
        <w:rPr>
          <w:spacing w:val="-3"/>
          <w:w w:val="105"/>
        </w:rPr>
        <w:t>for </w:t>
      </w:r>
      <w:r>
        <w:rPr>
          <w:w w:val="105"/>
        </w:rPr>
        <w:t>a </w:t>
      </w:r>
      <w:r>
        <w:rPr>
          <w:spacing w:val="-3"/>
          <w:w w:val="105"/>
        </w:rPr>
        <w:t>child </w:t>
      </w:r>
      <w:r>
        <w:rPr>
          <w:w w:val="105"/>
        </w:rPr>
        <w:t>whom the deceased person </w:t>
      </w:r>
      <w:r>
        <w:rPr>
          <w:spacing w:val="-2"/>
          <w:w w:val="105"/>
        </w:rPr>
        <w:t>had </w:t>
      </w:r>
      <w:r>
        <w:rPr>
          <w:w w:val="105"/>
        </w:rPr>
        <w:t>believed </w:t>
      </w:r>
      <w:r>
        <w:rPr>
          <w:spacing w:val="-3"/>
          <w:w w:val="105"/>
        </w:rPr>
        <w:t>to </w:t>
      </w:r>
      <w:r>
        <w:rPr>
          <w:w w:val="105"/>
        </w:rPr>
        <w:t>be his </w:t>
      </w:r>
      <w:r>
        <w:rPr>
          <w:spacing w:val="-5"/>
          <w:w w:val="105"/>
        </w:rPr>
        <w:t>daughter.</w:t>
      </w:r>
      <w:r>
        <w:rPr>
          <w:spacing w:val="-5"/>
          <w:w w:val="105"/>
          <w:position w:val="7"/>
          <w:sz w:val="12"/>
        </w:rPr>
        <w:t>100 </w:t>
      </w:r>
      <w:r>
        <w:rPr>
          <w:w w:val="105"/>
        </w:rPr>
        <w:t>Although the </w:t>
      </w:r>
      <w:r>
        <w:rPr>
          <w:spacing w:val="-3"/>
          <w:w w:val="105"/>
        </w:rPr>
        <w:t>applicant </w:t>
      </w:r>
      <w:r>
        <w:rPr>
          <w:spacing w:val="-2"/>
          <w:w w:val="105"/>
        </w:rPr>
        <w:t>had </w:t>
      </w:r>
      <w:r>
        <w:rPr>
          <w:w w:val="105"/>
        </w:rPr>
        <w:t>lived overseas </w:t>
      </w:r>
      <w:r>
        <w:rPr>
          <w:spacing w:val="-3"/>
          <w:w w:val="105"/>
        </w:rPr>
        <w:t>for </w:t>
      </w:r>
      <w:r>
        <w:rPr>
          <w:w w:val="105"/>
        </w:rPr>
        <w:t>her whole </w:t>
      </w:r>
      <w:r>
        <w:rPr>
          <w:spacing w:val="-4"/>
          <w:w w:val="105"/>
        </w:rPr>
        <w:t>life, </w:t>
      </w:r>
      <w:r>
        <w:rPr>
          <w:w w:val="105"/>
        </w:rPr>
        <w:t>and a DNA test </w:t>
      </w:r>
      <w:r>
        <w:rPr>
          <w:spacing w:val="-3"/>
          <w:w w:val="105"/>
        </w:rPr>
        <w:t>proved </w:t>
      </w:r>
      <w:r>
        <w:rPr>
          <w:w w:val="105"/>
        </w:rPr>
        <w:t>she was </w:t>
      </w:r>
      <w:r>
        <w:rPr>
          <w:spacing w:val="-2"/>
          <w:w w:val="105"/>
        </w:rPr>
        <w:t>not </w:t>
      </w:r>
      <w:r>
        <w:rPr>
          <w:w w:val="105"/>
        </w:rPr>
        <w:t>his biological </w:t>
      </w:r>
      <w:r>
        <w:rPr>
          <w:spacing w:val="-3"/>
          <w:w w:val="105"/>
        </w:rPr>
        <w:t>child, </w:t>
      </w:r>
      <w:r>
        <w:rPr>
          <w:w w:val="105"/>
        </w:rPr>
        <w:t>the deceased person </w:t>
      </w:r>
      <w:r>
        <w:rPr>
          <w:spacing w:val="-2"/>
          <w:w w:val="105"/>
        </w:rPr>
        <w:t>had </w:t>
      </w:r>
      <w:r>
        <w:rPr>
          <w:w w:val="105"/>
        </w:rPr>
        <w:t>supported her as though she </w:t>
      </w:r>
      <w:r>
        <w:rPr>
          <w:spacing w:val="-3"/>
          <w:w w:val="105"/>
        </w:rPr>
        <w:t>were </w:t>
      </w:r>
      <w:r>
        <w:rPr>
          <w:w w:val="105"/>
        </w:rPr>
        <w:t>his </w:t>
      </w:r>
      <w:r>
        <w:rPr>
          <w:spacing w:val="-6"/>
          <w:w w:val="105"/>
        </w:rPr>
        <w:t>daughter.</w:t>
      </w:r>
      <w:r>
        <w:rPr>
          <w:spacing w:val="-6"/>
          <w:w w:val="105"/>
          <w:position w:val="7"/>
          <w:sz w:val="12"/>
        </w:rPr>
        <w:t>101</w:t>
      </w:r>
    </w:p>
    <w:p>
      <w:pPr>
        <w:pStyle w:val="BodyText"/>
        <w:rPr>
          <w:sz w:val="25"/>
        </w:rPr>
      </w:pPr>
    </w:p>
    <w:p>
      <w:pPr>
        <w:pStyle w:val="Heading5"/>
      </w:pPr>
      <w:bookmarkStart w:name="_TOC_250015" w:id="111"/>
      <w:bookmarkEnd w:id="111"/>
      <w:r>
        <w:rPr>
          <w:w w:val="115"/>
        </w:rPr>
        <w:t>The problems with family provision eligibility</w:t>
      </w:r>
    </w:p>
    <w:p>
      <w:pPr>
        <w:pStyle w:val="ListParagraph"/>
        <w:numPr>
          <w:ilvl w:val="1"/>
          <w:numId w:val="22"/>
        </w:numPr>
        <w:tabs>
          <w:tab w:pos="2381" w:val="left" w:leader="none"/>
          <w:tab w:pos="2382" w:val="left" w:leader="none"/>
        </w:tabs>
        <w:spacing w:line="242" w:lineRule="auto" w:before="138" w:after="0"/>
        <w:ind w:left="2381" w:right="1683" w:hanging="794"/>
        <w:jc w:val="left"/>
        <w:rPr>
          <w:sz w:val="21"/>
        </w:rPr>
      </w:pPr>
      <w:r>
        <w:rPr>
          <w:sz w:val="21"/>
        </w:rPr>
        <w:t>The Victorian criteria-based approach </w:t>
      </w:r>
      <w:r>
        <w:rPr>
          <w:spacing w:val="-3"/>
          <w:sz w:val="21"/>
        </w:rPr>
        <w:t>to family provision  eligibility  takes  account  </w:t>
      </w:r>
      <w:r>
        <w:rPr>
          <w:sz w:val="21"/>
        </w:rPr>
        <w:t>of cases in </w:t>
      </w:r>
      <w:r>
        <w:rPr>
          <w:spacing w:val="-3"/>
          <w:sz w:val="21"/>
        </w:rPr>
        <w:t>which, although  </w:t>
      </w:r>
      <w:r>
        <w:rPr>
          <w:sz w:val="21"/>
        </w:rPr>
        <w:t>there is no typical </w:t>
      </w:r>
      <w:r>
        <w:rPr>
          <w:spacing w:val="-3"/>
          <w:sz w:val="21"/>
        </w:rPr>
        <w:t>family</w:t>
      </w:r>
      <w:r>
        <w:rPr>
          <w:spacing w:val="41"/>
          <w:sz w:val="21"/>
        </w:rPr>
        <w:t> </w:t>
      </w:r>
      <w:r>
        <w:rPr>
          <w:spacing w:val="-3"/>
          <w:sz w:val="21"/>
        </w:rPr>
        <w:t>relationship,  </w:t>
      </w:r>
      <w:r>
        <w:rPr>
          <w:sz w:val="21"/>
        </w:rPr>
        <w:t>a </w:t>
      </w:r>
      <w:r>
        <w:rPr>
          <w:spacing w:val="-3"/>
          <w:sz w:val="21"/>
        </w:rPr>
        <w:t>family-like  responsibility  </w:t>
      </w:r>
      <w:r>
        <w:rPr>
          <w:sz w:val="21"/>
        </w:rPr>
        <w:t>exists. It is sufficiently flexible </w:t>
      </w:r>
      <w:r>
        <w:rPr>
          <w:spacing w:val="-3"/>
          <w:sz w:val="21"/>
        </w:rPr>
        <w:t>to allow for unique circumstances that cannot </w:t>
      </w:r>
      <w:r>
        <w:rPr>
          <w:sz w:val="21"/>
        </w:rPr>
        <w:t>be foreseen by </w:t>
      </w:r>
      <w:r>
        <w:rPr>
          <w:spacing w:val="-3"/>
          <w:sz w:val="21"/>
        </w:rPr>
        <w:t>legislators.</w:t>
      </w:r>
    </w:p>
    <w:p>
      <w:pPr>
        <w:pStyle w:val="ListParagraph"/>
        <w:numPr>
          <w:ilvl w:val="1"/>
          <w:numId w:val="22"/>
        </w:numPr>
        <w:tabs>
          <w:tab w:pos="2381" w:val="left" w:leader="none"/>
          <w:tab w:pos="2382" w:val="left" w:leader="none"/>
        </w:tabs>
        <w:spacing w:line="242" w:lineRule="auto" w:before="124" w:after="0"/>
        <w:ind w:left="2381" w:right="1840" w:hanging="794"/>
        <w:jc w:val="left"/>
        <w:rPr>
          <w:sz w:val="12"/>
        </w:rPr>
      </w:pPr>
      <w:r>
        <w:rPr>
          <w:sz w:val="21"/>
        </w:rPr>
        <w:t>In the cases </w:t>
      </w:r>
      <w:r>
        <w:rPr>
          <w:spacing w:val="-3"/>
          <w:sz w:val="21"/>
        </w:rPr>
        <w:t>heard </w:t>
      </w:r>
      <w:r>
        <w:rPr>
          <w:sz w:val="21"/>
        </w:rPr>
        <w:t>and </w:t>
      </w:r>
      <w:r>
        <w:rPr>
          <w:spacing w:val="-3"/>
          <w:sz w:val="21"/>
        </w:rPr>
        <w:t>determined </w:t>
      </w:r>
      <w:r>
        <w:rPr>
          <w:sz w:val="21"/>
        </w:rPr>
        <w:t>by the courts, there is no practical problem with </w:t>
      </w:r>
      <w:r>
        <w:rPr>
          <w:spacing w:val="-4"/>
          <w:sz w:val="21"/>
        </w:rPr>
        <w:t>eligibility. </w:t>
      </w:r>
      <w:r>
        <w:rPr>
          <w:sz w:val="21"/>
        </w:rPr>
        <w:t>Judges hear the evidence and </w:t>
      </w:r>
      <w:r>
        <w:rPr>
          <w:spacing w:val="-4"/>
          <w:sz w:val="21"/>
        </w:rPr>
        <w:t>make </w:t>
      </w:r>
      <w:r>
        <w:rPr>
          <w:sz w:val="21"/>
        </w:rPr>
        <w:t>a </w:t>
      </w:r>
      <w:r>
        <w:rPr>
          <w:spacing w:val="-3"/>
          <w:sz w:val="21"/>
        </w:rPr>
        <w:t>determination </w:t>
      </w:r>
      <w:r>
        <w:rPr>
          <w:sz w:val="21"/>
        </w:rPr>
        <w:t>based on the </w:t>
      </w:r>
      <w:r>
        <w:rPr>
          <w:spacing w:val="-3"/>
          <w:sz w:val="21"/>
        </w:rPr>
        <w:t>individual  </w:t>
      </w:r>
      <w:r>
        <w:rPr>
          <w:sz w:val="21"/>
        </w:rPr>
        <w:t>facts and </w:t>
      </w:r>
      <w:r>
        <w:rPr>
          <w:spacing w:val="-3"/>
          <w:sz w:val="21"/>
        </w:rPr>
        <w:t>circumstances </w:t>
      </w:r>
      <w:r>
        <w:rPr>
          <w:sz w:val="21"/>
        </w:rPr>
        <w:t>of the </w:t>
      </w:r>
      <w:r>
        <w:rPr>
          <w:spacing w:val="-3"/>
          <w:sz w:val="21"/>
        </w:rPr>
        <w:t>case. </w:t>
      </w:r>
      <w:r>
        <w:rPr>
          <w:sz w:val="21"/>
        </w:rPr>
        <w:t>This was verified in </w:t>
      </w:r>
      <w:r>
        <w:rPr>
          <w:spacing w:val="-3"/>
          <w:sz w:val="21"/>
        </w:rPr>
        <w:t>consultation </w:t>
      </w:r>
      <w:r>
        <w:rPr>
          <w:sz w:val="21"/>
        </w:rPr>
        <w:t>with judges of the </w:t>
      </w:r>
      <w:r>
        <w:rPr>
          <w:spacing w:val="-3"/>
          <w:sz w:val="21"/>
        </w:rPr>
        <w:t>County Court </w:t>
      </w:r>
      <w:r>
        <w:rPr>
          <w:sz w:val="21"/>
        </w:rPr>
        <w:t>and judges and associate judges of the </w:t>
      </w:r>
      <w:r>
        <w:rPr>
          <w:spacing w:val="-3"/>
          <w:sz w:val="21"/>
        </w:rPr>
        <w:t>Supreme</w:t>
      </w:r>
      <w:r>
        <w:rPr>
          <w:spacing w:val="24"/>
          <w:sz w:val="21"/>
        </w:rPr>
        <w:t> </w:t>
      </w:r>
      <w:r>
        <w:rPr>
          <w:spacing w:val="-5"/>
          <w:sz w:val="21"/>
        </w:rPr>
        <w:t>Court.</w:t>
      </w:r>
      <w:r>
        <w:rPr>
          <w:spacing w:val="-5"/>
          <w:position w:val="7"/>
          <w:sz w:val="12"/>
        </w:rPr>
        <w:t>102</w:t>
      </w:r>
    </w:p>
    <w:p>
      <w:pPr>
        <w:pStyle w:val="BodyText"/>
        <w:rPr>
          <w:sz w:val="20"/>
        </w:rPr>
      </w:pPr>
    </w:p>
    <w:p>
      <w:pPr>
        <w:pStyle w:val="BodyText"/>
        <w:rPr>
          <w:sz w:val="20"/>
        </w:rPr>
      </w:pPr>
    </w:p>
    <w:p>
      <w:pPr>
        <w:pStyle w:val="BodyText"/>
        <w:spacing w:before="2"/>
        <w:rPr>
          <w:sz w:val="10"/>
        </w:rPr>
      </w:pPr>
      <w:r>
        <w:rPr/>
        <w:pict>
          <v:line style="position:absolute;mso-position-horizontal-relative:page;mso-position-vertical-relative:paragraph;z-index:7016;mso-wrap-distance-left:0;mso-wrap-distance-right:0" from="79.370003pt,8.686094pt" to="515.905003pt,8.686094pt" stroked="true" strokeweight="1pt" strokecolor="#f9ceca">
            <v:stroke dashstyle="solid"/>
            <w10:wrap type="topAndBottom"/>
          </v:line>
        </w:pict>
      </w:r>
    </w:p>
    <w:p>
      <w:pPr>
        <w:pStyle w:val="BodyText"/>
        <w:spacing w:before="8"/>
        <w:rPr>
          <w:sz w:val="5"/>
        </w:rPr>
      </w:pPr>
    </w:p>
    <w:p>
      <w:pPr>
        <w:spacing w:after="0"/>
        <w:rPr>
          <w:sz w:val="5"/>
        </w:rPr>
        <w:sectPr>
          <w:pgSz w:w="11910" w:h="16840"/>
          <w:pgMar w:header="550" w:footer="0" w:top="1560" w:bottom="280" w:left="0" w:right="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8"/>
        <w:rPr>
          <w:sz w:val="34"/>
        </w:rPr>
      </w:pPr>
    </w:p>
    <w:p>
      <w:pPr>
        <w:spacing w:before="0"/>
        <w:ind w:left="720" w:right="0" w:firstLine="0"/>
        <w:jc w:val="left"/>
        <w:rPr>
          <w:b/>
          <w:sz w:val="24"/>
        </w:rPr>
      </w:pPr>
      <w:r>
        <w:rPr>
          <w:b/>
          <w:color w:val="EC5A4F"/>
          <w:spacing w:val="-1"/>
          <w:w w:val="110"/>
          <w:sz w:val="24"/>
        </w:rPr>
        <w:t>108</w:t>
      </w:r>
    </w:p>
    <w:p>
      <w:pPr>
        <w:pStyle w:val="ListParagraph"/>
        <w:numPr>
          <w:ilvl w:val="0"/>
          <w:numId w:val="79"/>
        </w:numPr>
        <w:tabs>
          <w:tab w:pos="1222" w:val="left" w:leader="none"/>
          <w:tab w:pos="1223" w:val="left" w:leader="none"/>
        </w:tabs>
        <w:spacing w:line="240" w:lineRule="auto" w:before="48" w:after="0"/>
        <w:ind w:left="1222" w:right="1873" w:hanging="793"/>
        <w:jc w:val="left"/>
        <w:rPr>
          <w:sz w:val="13"/>
        </w:rPr>
      </w:pPr>
      <w:r>
        <w:rPr>
          <w:spacing w:val="4"/>
          <w:w w:val="102"/>
          <w:sz w:val="13"/>
        </w:rPr>
        <w:br w:type="column"/>
      </w:r>
      <w:r>
        <w:rPr>
          <w:w w:val="105"/>
          <w:sz w:val="13"/>
        </w:rPr>
        <w:t>Examples of these cases are set out in Victorian Law Reform Commission, above n 2, 21–2. Submission 5 (Samantha Renwick) provided     a</w:t>
      </w:r>
      <w:r>
        <w:rPr>
          <w:spacing w:val="4"/>
          <w:w w:val="105"/>
          <w:sz w:val="13"/>
        </w:rPr>
        <w:t> </w:t>
      </w:r>
      <w:r>
        <w:rPr>
          <w:w w:val="105"/>
          <w:sz w:val="13"/>
        </w:rPr>
        <w:t>discussion</w:t>
      </w:r>
      <w:r>
        <w:rPr>
          <w:spacing w:val="5"/>
          <w:w w:val="105"/>
          <w:sz w:val="13"/>
        </w:rPr>
        <w:t> </w:t>
      </w:r>
      <w:r>
        <w:rPr>
          <w:w w:val="105"/>
          <w:sz w:val="13"/>
        </w:rPr>
        <w:t>of</w:t>
      </w:r>
      <w:r>
        <w:rPr>
          <w:spacing w:val="4"/>
          <w:w w:val="105"/>
          <w:sz w:val="13"/>
        </w:rPr>
        <w:t> </w:t>
      </w:r>
      <w:r>
        <w:rPr>
          <w:w w:val="105"/>
          <w:sz w:val="13"/>
        </w:rPr>
        <w:t>trends</w:t>
      </w:r>
      <w:r>
        <w:rPr>
          <w:spacing w:val="5"/>
          <w:w w:val="105"/>
          <w:sz w:val="13"/>
        </w:rPr>
        <w:t> </w:t>
      </w:r>
      <w:r>
        <w:rPr>
          <w:w w:val="105"/>
          <w:sz w:val="13"/>
        </w:rPr>
        <w:t>in</w:t>
      </w:r>
      <w:r>
        <w:rPr>
          <w:spacing w:val="5"/>
          <w:w w:val="105"/>
          <w:sz w:val="13"/>
        </w:rPr>
        <w:t> </w:t>
      </w:r>
      <w:r>
        <w:rPr>
          <w:w w:val="105"/>
          <w:sz w:val="13"/>
        </w:rPr>
        <w:t>the</w:t>
      </w:r>
      <w:r>
        <w:rPr>
          <w:spacing w:val="4"/>
          <w:w w:val="105"/>
          <w:sz w:val="13"/>
        </w:rPr>
        <w:t> </w:t>
      </w:r>
      <w:r>
        <w:rPr>
          <w:w w:val="105"/>
          <w:sz w:val="13"/>
        </w:rPr>
        <w:t>family</w:t>
      </w:r>
      <w:r>
        <w:rPr>
          <w:spacing w:val="5"/>
          <w:w w:val="105"/>
          <w:sz w:val="13"/>
        </w:rPr>
        <w:t> </w:t>
      </w:r>
      <w:r>
        <w:rPr>
          <w:w w:val="105"/>
          <w:sz w:val="13"/>
        </w:rPr>
        <w:t>provision</w:t>
      </w:r>
      <w:r>
        <w:rPr>
          <w:spacing w:val="5"/>
          <w:w w:val="105"/>
          <w:sz w:val="13"/>
        </w:rPr>
        <w:t> </w:t>
      </w:r>
      <w:r>
        <w:rPr>
          <w:w w:val="105"/>
          <w:sz w:val="13"/>
        </w:rPr>
        <w:t>case</w:t>
      </w:r>
      <w:r>
        <w:rPr>
          <w:spacing w:val="4"/>
          <w:w w:val="105"/>
          <w:sz w:val="13"/>
        </w:rPr>
        <w:t> </w:t>
      </w:r>
      <w:r>
        <w:rPr>
          <w:w w:val="105"/>
          <w:sz w:val="13"/>
        </w:rPr>
        <w:t>law,</w:t>
      </w:r>
      <w:r>
        <w:rPr>
          <w:spacing w:val="5"/>
          <w:w w:val="105"/>
          <w:sz w:val="13"/>
        </w:rPr>
        <w:t> </w:t>
      </w:r>
      <w:r>
        <w:rPr>
          <w:w w:val="105"/>
          <w:sz w:val="13"/>
        </w:rPr>
        <w:t>following</w:t>
      </w:r>
      <w:r>
        <w:rPr>
          <w:spacing w:val="4"/>
          <w:w w:val="105"/>
          <w:sz w:val="13"/>
        </w:rPr>
        <w:t> </w:t>
      </w:r>
      <w:r>
        <w:rPr>
          <w:w w:val="105"/>
          <w:sz w:val="13"/>
        </w:rPr>
        <w:t>the</w:t>
      </w:r>
      <w:r>
        <w:rPr>
          <w:spacing w:val="5"/>
          <w:w w:val="105"/>
          <w:sz w:val="13"/>
        </w:rPr>
        <w:t> </w:t>
      </w:r>
      <w:r>
        <w:rPr>
          <w:w w:val="105"/>
          <w:sz w:val="13"/>
        </w:rPr>
        <w:t>1997</w:t>
      </w:r>
      <w:r>
        <w:rPr>
          <w:spacing w:val="5"/>
          <w:w w:val="105"/>
          <w:sz w:val="13"/>
        </w:rPr>
        <w:t> </w:t>
      </w:r>
      <w:r>
        <w:rPr>
          <w:w w:val="105"/>
          <w:sz w:val="13"/>
        </w:rPr>
        <w:t>amendments</w:t>
      </w:r>
      <w:r>
        <w:rPr>
          <w:spacing w:val="4"/>
          <w:w w:val="105"/>
          <w:sz w:val="13"/>
        </w:rPr>
        <w:t> </w:t>
      </w:r>
      <w:r>
        <w:rPr>
          <w:w w:val="105"/>
          <w:sz w:val="13"/>
        </w:rPr>
        <w:t>to</w:t>
      </w:r>
      <w:r>
        <w:rPr>
          <w:spacing w:val="5"/>
          <w:w w:val="105"/>
          <w:sz w:val="13"/>
        </w:rPr>
        <w:t> </w:t>
      </w:r>
      <w:r>
        <w:rPr>
          <w:w w:val="105"/>
          <w:sz w:val="13"/>
        </w:rPr>
        <w:t>family</w:t>
      </w:r>
      <w:r>
        <w:rPr>
          <w:spacing w:val="5"/>
          <w:w w:val="105"/>
          <w:sz w:val="13"/>
        </w:rPr>
        <w:t> </w:t>
      </w:r>
      <w:r>
        <w:rPr>
          <w:w w:val="105"/>
          <w:sz w:val="13"/>
        </w:rPr>
        <w:t>provision.</w:t>
      </w:r>
    </w:p>
    <w:p>
      <w:pPr>
        <w:pStyle w:val="ListParagraph"/>
        <w:numPr>
          <w:ilvl w:val="0"/>
          <w:numId w:val="79"/>
        </w:numPr>
        <w:tabs>
          <w:tab w:pos="1222" w:val="left" w:leader="none"/>
          <w:tab w:pos="1223" w:val="left" w:leader="none"/>
        </w:tabs>
        <w:spacing w:line="240" w:lineRule="auto" w:before="3" w:after="0"/>
        <w:ind w:left="1222" w:right="0" w:hanging="793"/>
        <w:jc w:val="left"/>
        <w:rPr>
          <w:sz w:val="13"/>
        </w:rPr>
      </w:pPr>
      <w:r>
        <w:rPr>
          <w:w w:val="105"/>
          <w:sz w:val="13"/>
        </w:rPr>
        <w:t>See,</w:t>
      </w:r>
      <w:r>
        <w:rPr>
          <w:spacing w:val="5"/>
          <w:w w:val="105"/>
          <w:sz w:val="13"/>
        </w:rPr>
        <w:t> </w:t>
      </w:r>
      <w:r>
        <w:rPr>
          <w:w w:val="105"/>
          <w:sz w:val="13"/>
        </w:rPr>
        <w:t>eg,</w:t>
      </w:r>
      <w:r>
        <w:rPr>
          <w:spacing w:val="5"/>
          <w:w w:val="105"/>
          <w:sz w:val="13"/>
        </w:rPr>
        <w:t> </w:t>
      </w:r>
      <w:r>
        <w:rPr>
          <w:i/>
          <w:w w:val="105"/>
          <w:sz w:val="13"/>
        </w:rPr>
        <w:t>Quinn</w:t>
      </w:r>
      <w:r>
        <w:rPr>
          <w:i/>
          <w:spacing w:val="4"/>
          <w:w w:val="105"/>
          <w:sz w:val="13"/>
        </w:rPr>
        <w:t> </w:t>
      </w:r>
      <w:r>
        <w:rPr>
          <w:i/>
          <w:w w:val="105"/>
          <w:sz w:val="13"/>
        </w:rPr>
        <w:t>v</w:t>
      </w:r>
      <w:r>
        <w:rPr>
          <w:i/>
          <w:spacing w:val="4"/>
          <w:w w:val="105"/>
          <w:sz w:val="13"/>
        </w:rPr>
        <w:t> </w:t>
      </w:r>
      <w:r>
        <w:rPr>
          <w:i/>
          <w:w w:val="105"/>
          <w:sz w:val="13"/>
        </w:rPr>
        <w:t>Robertson</w:t>
      </w:r>
      <w:r>
        <w:rPr>
          <w:i/>
          <w:spacing w:val="5"/>
          <w:w w:val="105"/>
          <w:sz w:val="13"/>
        </w:rPr>
        <w:t> </w:t>
      </w:r>
      <w:r>
        <w:rPr>
          <w:spacing w:val="2"/>
          <w:w w:val="105"/>
          <w:sz w:val="13"/>
        </w:rPr>
        <w:t>[2009]</w:t>
      </w:r>
      <w:r>
        <w:rPr>
          <w:spacing w:val="5"/>
          <w:w w:val="105"/>
          <w:sz w:val="13"/>
        </w:rPr>
        <w:t> </w:t>
      </w:r>
      <w:r>
        <w:rPr>
          <w:w w:val="105"/>
          <w:sz w:val="13"/>
        </w:rPr>
        <w:t>VSC</w:t>
      </w:r>
      <w:r>
        <w:rPr>
          <w:spacing w:val="5"/>
          <w:w w:val="105"/>
          <w:sz w:val="13"/>
        </w:rPr>
        <w:t> </w:t>
      </w:r>
      <w:r>
        <w:rPr>
          <w:w w:val="105"/>
          <w:sz w:val="13"/>
        </w:rPr>
        <w:t>245</w:t>
      </w:r>
      <w:r>
        <w:rPr>
          <w:spacing w:val="6"/>
          <w:w w:val="105"/>
          <w:sz w:val="13"/>
        </w:rPr>
        <w:t> </w:t>
      </w:r>
      <w:r>
        <w:rPr>
          <w:spacing w:val="-2"/>
          <w:w w:val="105"/>
          <w:sz w:val="13"/>
        </w:rPr>
        <w:t>(10</w:t>
      </w:r>
      <w:r>
        <w:rPr>
          <w:spacing w:val="5"/>
          <w:w w:val="105"/>
          <w:sz w:val="13"/>
        </w:rPr>
        <w:t> </w:t>
      </w:r>
      <w:r>
        <w:rPr>
          <w:w w:val="105"/>
          <w:sz w:val="13"/>
        </w:rPr>
        <w:t>June</w:t>
      </w:r>
      <w:r>
        <w:rPr>
          <w:spacing w:val="5"/>
          <w:w w:val="105"/>
          <w:sz w:val="13"/>
        </w:rPr>
        <w:t> </w:t>
      </w:r>
      <w:r>
        <w:rPr>
          <w:spacing w:val="3"/>
          <w:w w:val="105"/>
          <w:sz w:val="13"/>
        </w:rPr>
        <w:t>2009);</w:t>
      </w:r>
      <w:r>
        <w:rPr>
          <w:spacing w:val="5"/>
          <w:w w:val="105"/>
          <w:sz w:val="13"/>
        </w:rPr>
        <w:t> </w:t>
      </w:r>
      <w:r>
        <w:rPr>
          <w:i/>
          <w:w w:val="105"/>
          <w:sz w:val="13"/>
        </w:rPr>
        <w:t>Paola</w:t>
      </w:r>
      <w:r>
        <w:rPr>
          <w:i/>
          <w:spacing w:val="4"/>
          <w:w w:val="105"/>
          <w:sz w:val="13"/>
        </w:rPr>
        <w:t> </w:t>
      </w:r>
      <w:r>
        <w:rPr>
          <w:i/>
          <w:w w:val="105"/>
          <w:sz w:val="13"/>
        </w:rPr>
        <w:t>v</w:t>
      </w:r>
      <w:r>
        <w:rPr>
          <w:i/>
          <w:spacing w:val="4"/>
          <w:w w:val="105"/>
          <w:sz w:val="13"/>
        </w:rPr>
        <w:t> </w:t>
      </w:r>
      <w:r>
        <w:rPr>
          <w:i/>
          <w:w w:val="105"/>
          <w:sz w:val="13"/>
        </w:rPr>
        <w:t>State</w:t>
      </w:r>
      <w:r>
        <w:rPr>
          <w:i/>
          <w:spacing w:val="4"/>
          <w:w w:val="105"/>
          <w:sz w:val="13"/>
        </w:rPr>
        <w:t> </w:t>
      </w:r>
      <w:r>
        <w:rPr>
          <w:i/>
          <w:w w:val="105"/>
          <w:sz w:val="13"/>
        </w:rPr>
        <w:t>Trustees</w:t>
      </w:r>
      <w:r>
        <w:rPr>
          <w:i/>
          <w:spacing w:val="5"/>
          <w:w w:val="105"/>
          <w:sz w:val="13"/>
        </w:rPr>
        <w:t> </w:t>
      </w:r>
      <w:r>
        <w:rPr>
          <w:i/>
          <w:w w:val="105"/>
          <w:sz w:val="13"/>
        </w:rPr>
        <w:t>Ltd</w:t>
      </w:r>
      <w:r>
        <w:rPr>
          <w:i/>
          <w:spacing w:val="5"/>
          <w:w w:val="105"/>
          <w:sz w:val="13"/>
        </w:rPr>
        <w:t> </w:t>
      </w:r>
      <w:r>
        <w:rPr>
          <w:w w:val="105"/>
          <w:sz w:val="13"/>
        </w:rPr>
        <w:t>[2012]</w:t>
      </w:r>
      <w:r>
        <w:rPr>
          <w:spacing w:val="5"/>
          <w:w w:val="105"/>
          <w:sz w:val="13"/>
        </w:rPr>
        <w:t> </w:t>
      </w:r>
      <w:r>
        <w:rPr>
          <w:w w:val="105"/>
          <w:sz w:val="13"/>
        </w:rPr>
        <w:t>VSC</w:t>
      </w:r>
      <w:r>
        <w:rPr>
          <w:spacing w:val="5"/>
          <w:w w:val="105"/>
          <w:sz w:val="13"/>
        </w:rPr>
        <w:t> </w:t>
      </w:r>
      <w:r>
        <w:rPr>
          <w:w w:val="105"/>
          <w:sz w:val="13"/>
        </w:rPr>
        <w:t>158</w:t>
      </w:r>
      <w:r>
        <w:rPr>
          <w:spacing w:val="5"/>
          <w:w w:val="105"/>
          <w:sz w:val="13"/>
        </w:rPr>
        <w:t> </w:t>
      </w:r>
      <w:r>
        <w:rPr>
          <w:w w:val="105"/>
          <w:sz w:val="13"/>
        </w:rPr>
        <w:t>(26</w:t>
      </w:r>
      <w:r>
        <w:rPr>
          <w:spacing w:val="5"/>
          <w:w w:val="105"/>
          <w:sz w:val="13"/>
        </w:rPr>
        <w:t> </w:t>
      </w:r>
      <w:r>
        <w:rPr>
          <w:w w:val="105"/>
          <w:sz w:val="13"/>
        </w:rPr>
        <w:t>April</w:t>
      </w:r>
      <w:r>
        <w:rPr>
          <w:spacing w:val="5"/>
          <w:w w:val="105"/>
          <w:sz w:val="13"/>
        </w:rPr>
        <w:t> </w:t>
      </w:r>
      <w:r>
        <w:rPr>
          <w:w w:val="105"/>
          <w:sz w:val="13"/>
        </w:rPr>
        <w:t>2012).</w:t>
      </w:r>
    </w:p>
    <w:p>
      <w:pPr>
        <w:pStyle w:val="ListParagraph"/>
        <w:numPr>
          <w:ilvl w:val="0"/>
          <w:numId w:val="79"/>
        </w:numPr>
        <w:tabs>
          <w:tab w:pos="1222" w:val="left" w:leader="none"/>
          <w:tab w:pos="1223" w:val="left" w:leader="none"/>
        </w:tabs>
        <w:spacing w:line="240" w:lineRule="auto" w:before="1" w:after="0"/>
        <w:ind w:left="1222" w:right="1708" w:hanging="793"/>
        <w:jc w:val="left"/>
        <w:rPr>
          <w:sz w:val="13"/>
        </w:rPr>
      </w:pPr>
      <w:r>
        <w:rPr>
          <w:sz w:val="13"/>
        </w:rPr>
        <w:t>See, eg, </w:t>
      </w:r>
      <w:r>
        <w:rPr>
          <w:i/>
          <w:sz w:val="13"/>
        </w:rPr>
        <w:t>McKenzie v Topp  </w:t>
      </w:r>
      <w:r>
        <w:rPr>
          <w:spacing w:val="2"/>
          <w:sz w:val="13"/>
        </w:rPr>
        <w:t>[2004] </w:t>
      </w:r>
      <w:r>
        <w:rPr>
          <w:sz w:val="13"/>
        </w:rPr>
        <w:t>VSC  90  (39  March  </w:t>
      </w:r>
      <w:r>
        <w:rPr>
          <w:spacing w:val="3"/>
          <w:sz w:val="13"/>
        </w:rPr>
        <w:t>2004); </w:t>
      </w:r>
      <w:r>
        <w:rPr>
          <w:i/>
          <w:sz w:val="13"/>
        </w:rPr>
        <w:t>James  v  Day  </w:t>
      </w:r>
      <w:r>
        <w:rPr>
          <w:spacing w:val="2"/>
          <w:sz w:val="13"/>
        </w:rPr>
        <w:t>[2004] </w:t>
      </w:r>
      <w:r>
        <w:rPr>
          <w:sz w:val="13"/>
        </w:rPr>
        <w:t>VSC  290  </w:t>
      </w:r>
      <w:r>
        <w:rPr>
          <w:spacing w:val="-3"/>
          <w:sz w:val="13"/>
        </w:rPr>
        <w:t>(17  </w:t>
      </w:r>
      <w:r>
        <w:rPr>
          <w:sz w:val="13"/>
        </w:rPr>
        <w:t>August  </w:t>
      </w:r>
      <w:r>
        <w:rPr>
          <w:spacing w:val="3"/>
          <w:sz w:val="13"/>
        </w:rPr>
        <w:t>2004); </w:t>
      </w:r>
      <w:r>
        <w:rPr>
          <w:i/>
          <w:sz w:val="13"/>
        </w:rPr>
        <w:t>Keets  v  Marks  </w:t>
      </w:r>
      <w:r>
        <w:rPr>
          <w:sz w:val="13"/>
        </w:rPr>
        <w:t>[2005]  VSC  </w:t>
      </w:r>
      <w:r>
        <w:rPr>
          <w:spacing w:val="-3"/>
          <w:sz w:val="13"/>
        </w:rPr>
        <w:t>172 </w:t>
      </w:r>
      <w:r>
        <w:rPr>
          <w:sz w:val="13"/>
        </w:rPr>
        <w:t>(20 May </w:t>
      </w:r>
      <w:r>
        <w:rPr>
          <w:spacing w:val="2"/>
          <w:sz w:val="13"/>
        </w:rPr>
        <w:t>2005); </w:t>
      </w:r>
      <w:r>
        <w:rPr>
          <w:i/>
          <w:sz w:val="13"/>
        </w:rPr>
        <w:t>Robertson v Koska </w:t>
      </w:r>
      <w:r>
        <w:rPr>
          <w:sz w:val="13"/>
        </w:rPr>
        <w:t>[2010] VSC 134 </w:t>
      </w:r>
      <w:r>
        <w:rPr>
          <w:spacing w:val="-2"/>
          <w:sz w:val="13"/>
        </w:rPr>
        <w:t>(16 </w:t>
      </w:r>
      <w:r>
        <w:rPr>
          <w:sz w:val="13"/>
        </w:rPr>
        <w:t>April 2010). The  responsibility  of  a  step-parent  has  also  been  recognised  in  a  case where the applicant’s natural parent was not  yet  deceased  and  the  applicant  had  immediate,  high  financial  </w:t>
      </w:r>
      <w:r>
        <w:rPr>
          <w:spacing w:val="2"/>
          <w:sz w:val="13"/>
        </w:rPr>
        <w:t>need: </w:t>
      </w:r>
      <w:r>
        <w:rPr>
          <w:i/>
          <w:sz w:val="13"/>
        </w:rPr>
        <w:t>McCann  v  Ward  </w:t>
      </w:r>
      <w:r>
        <w:rPr>
          <w:sz w:val="13"/>
        </w:rPr>
        <w:t>[2012] VSC 63 (1 March</w:t>
      </w:r>
      <w:r>
        <w:rPr>
          <w:spacing w:val="25"/>
          <w:sz w:val="13"/>
        </w:rPr>
        <w:t> </w:t>
      </w:r>
      <w:r>
        <w:rPr>
          <w:sz w:val="13"/>
        </w:rPr>
        <w:t>2012).</w:t>
      </w:r>
    </w:p>
    <w:p>
      <w:pPr>
        <w:pStyle w:val="ListParagraph"/>
        <w:numPr>
          <w:ilvl w:val="0"/>
          <w:numId w:val="79"/>
        </w:numPr>
        <w:tabs>
          <w:tab w:pos="1222" w:val="left" w:leader="none"/>
          <w:tab w:pos="1223" w:val="left" w:leader="none"/>
        </w:tabs>
        <w:spacing w:line="240" w:lineRule="auto" w:before="5" w:after="0"/>
        <w:ind w:left="1222" w:right="0" w:hanging="793"/>
        <w:jc w:val="left"/>
        <w:rPr>
          <w:sz w:val="13"/>
        </w:rPr>
      </w:pPr>
      <w:r>
        <w:rPr>
          <w:i/>
          <w:w w:val="105"/>
          <w:sz w:val="13"/>
        </w:rPr>
        <w:t>Scarlett v Scarlett </w:t>
      </w:r>
      <w:r>
        <w:rPr>
          <w:w w:val="105"/>
          <w:sz w:val="13"/>
        </w:rPr>
        <w:t>[2012] VSC </w:t>
      </w:r>
      <w:r>
        <w:rPr>
          <w:spacing w:val="-5"/>
          <w:w w:val="105"/>
          <w:sz w:val="13"/>
        </w:rPr>
        <w:t>515 </w:t>
      </w:r>
      <w:r>
        <w:rPr>
          <w:w w:val="105"/>
          <w:sz w:val="13"/>
        </w:rPr>
        <w:t>(1 November 2012)</w:t>
      </w:r>
      <w:r>
        <w:rPr>
          <w:spacing w:val="16"/>
          <w:w w:val="105"/>
          <w:sz w:val="13"/>
        </w:rPr>
        <w:t> </w:t>
      </w:r>
      <w:r>
        <w:rPr>
          <w:w w:val="105"/>
          <w:sz w:val="13"/>
        </w:rPr>
        <w:t>[101].</w:t>
      </w:r>
    </w:p>
    <w:p>
      <w:pPr>
        <w:pStyle w:val="ListParagraph"/>
        <w:numPr>
          <w:ilvl w:val="0"/>
          <w:numId w:val="79"/>
        </w:numPr>
        <w:tabs>
          <w:tab w:pos="1222" w:val="left" w:leader="none"/>
          <w:tab w:pos="1223" w:val="left" w:leader="none"/>
        </w:tabs>
        <w:spacing w:line="240" w:lineRule="auto" w:before="2" w:after="0"/>
        <w:ind w:left="1222" w:right="1873" w:hanging="793"/>
        <w:jc w:val="left"/>
        <w:rPr>
          <w:sz w:val="13"/>
        </w:rPr>
      </w:pPr>
      <w:r>
        <w:rPr>
          <w:w w:val="105"/>
          <w:sz w:val="13"/>
        </w:rPr>
        <w:t>Ibid [110]–[115]. The applicant had not inherited anything from her father, because her father had not inherited anything from his own father (the deceased person’s late husband) following a falling out: at [115]. Similarly, in </w:t>
      </w:r>
      <w:r>
        <w:rPr>
          <w:i/>
          <w:w w:val="105"/>
          <w:sz w:val="13"/>
        </w:rPr>
        <w:t>Petrucci v Fields</w:t>
      </w:r>
      <w:r>
        <w:rPr>
          <w:w w:val="105"/>
          <w:sz w:val="13"/>
        </w:rPr>
        <w:t>, provision was ordered for the deceased person’s widowed daughter-in-law and grandchildren: </w:t>
      </w:r>
      <w:r>
        <w:rPr>
          <w:i/>
          <w:w w:val="105"/>
          <w:sz w:val="13"/>
        </w:rPr>
        <w:t>Petrucci v Fields </w:t>
      </w:r>
      <w:r>
        <w:rPr>
          <w:spacing w:val="2"/>
          <w:w w:val="105"/>
          <w:sz w:val="13"/>
        </w:rPr>
        <w:t>[2004] </w:t>
      </w:r>
      <w:r>
        <w:rPr>
          <w:w w:val="105"/>
          <w:sz w:val="13"/>
        </w:rPr>
        <w:t>VSC 425 (29 October </w:t>
      </w:r>
      <w:r>
        <w:rPr>
          <w:spacing w:val="2"/>
          <w:w w:val="105"/>
          <w:sz w:val="13"/>
        </w:rPr>
        <w:t>2004). </w:t>
      </w:r>
      <w:r>
        <w:rPr>
          <w:w w:val="105"/>
          <w:sz w:val="13"/>
        </w:rPr>
        <w:t>For other cases involving claims by grandchildren, see, eg, </w:t>
      </w:r>
      <w:r>
        <w:rPr>
          <w:i/>
          <w:w w:val="105"/>
          <w:sz w:val="13"/>
        </w:rPr>
        <w:t>Leahey v Trescowthick </w:t>
      </w:r>
      <w:r>
        <w:rPr>
          <w:w w:val="105"/>
          <w:sz w:val="13"/>
        </w:rPr>
        <w:t>[1999] VSC </w:t>
      </w:r>
      <w:r>
        <w:rPr>
          <w:spacing w:val="2"/>
          <w:w w:val="105"/>
          <w:sz w:val="13"/>
        </w:rPr>
        <w:t>409 </w:t>
      </w:r>
      <w:r>
        <w:rPr>
          <w:w w:val="105"/>
          <w:sz w:val="13"/>
        </w:rPr>
        <w:t>(22 October 1999); </w:t>
      </w:r>
      <w:r>
        <w:rPr>
          <w:i/>
          <w:w w:val="105"/>
          <w:sz w:val="13"/>
        </w:rPr>
        <w:t>Sherlock v Guest </w:t>
      </w:r>
      <w:r>
        <w:rPr>
          <w:w w:val="105"/>
          <w:sz w:val="13"/>
        </w:rPr>
        <w:t>[1999] VSC 431    </w:t>
      </w:r>
      <w:r>
        <w:rPr>
          <w:spacing w:val="-3"/>
          <w:w w:val="105"/>
          <w:sz w:val="13"/>
        </w:rPr>
        <w:t>(12</w:t>
      </w:r>
      <w:r>
        <w:rPr>
          <w:spacing w:val="6"/>
          <w:w w:val="105"/>
          <w:sz w:val="13"/>
        </w:rPr>
        <w:t> </w:t>
      </w:r>
      <w:r>
        <w:rPr>
          <w:w w:val="105"/>
          <w:sz w:val="13"/>
        </w:rPr>
        <w:t>November</w:t>
      </w:r>
      <w:r>
        <w:rPr>
          <w:spacing w:val="7"/>
          <w:w w:val="105"/>
          <w:sz w:val="13"/>
        </w:rPr>
        <w:t> </w:t>
      </w:r>
      <w:r>
        <w:rPr>
          <w:w w:val="105"/>
          <w:sz w:val="13"/>
        </w:rPr>
        <w:t>1999);</w:t>
      </w:r>
      <w:r>
        <w:rPr>
          <w:spacing w:val="7"/>
          <w:w w:val="105"/>
          <w:sz w:val="13"/>
        </w:rPr>
        <w:t> </w:t>
      </w:r>
      <w:r>
        <w:rPr>
          <w:i/>
          <w:w w:val="105"/>
          <w:sz w:val="13"/>
        </w:rPr>
        <w:t>MacEwan</w:t>
      </w:r>
      <w:r>
        <w:rPr>
          <w:i/>
          <w:spacing w:val="6"/>
          <w:w w:val="105"/>
          <w:sz w:val="13"/>
        </w:rPr>
        <w:t> </w:t>
      </w:r>
      <w:r>
        <w:rPr>
          <w:i/>
          <w:w w:val="105"/>
          <w:sz w:val="13"/>
        </w:rPr>
        <w:t>Shaw</w:t>
      </w:r>
      <w:r>
        <w:rPr>
          <w:i/>
          <w:spacing w:val="6"/>
          <w:w w:val="105"/>
          <w:sz w:val="13"/>
        </w:rPr>
        <w:t> </w:t>
      </w:r>
      <w:r>
        <w:rPr>
          <w:i/>
          <w:w w:val="105"/>
          <w:sz w:val="13"/>
        </w:rPr>
        <w:t>v</w:t>
      </w:r>
      <w:r>
        <w:rPr>
          <w:i/>
          <w:spacing w:val="6"/>
          <w:w w:val="105"/>
          <w:sz w:val="13"/>
        </w:rPr>
        <w:t> </w:t>
      </w:r>
      <w:r>
        <w:rPr>
          <w:i/>
          <w:w w:val="105"/>
          <w:sz w:val="13"/>
        </w:rPr>
        <w:t>Shaw</w:t>
      </w:r>
      <w:r>
        <w:rPr>
          <w:i/>
          <w:spacing w:val="6"/>
          <w:w w:val="105"/>
          <w:sz w:val="13"/>
        </w:rPr>
        <w:t> </w:t>
      </w:r>
      <w:r>
        <w:rPr>
          <w:w w:val="105"/>
          <w:sz w:val="13"/>
        </w:rPr>
        <w:t>(2003)</w:t>
      </w:r>
      <w:r>
        <w:rPr>
          <w:spacing w:val="7"/>
          <w:w w:val="105"/>
          <w:sz w:val="13"/>
        </w:rPr>
        <w:t> </w:t>
      </w:r>
      <w:r>
        <w:rPr>
          <w:spacing w:val="-6"/>
          <w:w w:val="105"/>
          <w:sz w:val="13"/>
        </w:rPr>
        <w:t>11</w:t>
      </w:r>
      <w:r>
        <w:rPr>
          <w:spacing w:val="7"/>
          <w:w w:val="105"/>
          <w:sz w:val="13"/>
        </w:rPr>
        <w:t> </w:t>
      </w:r>
      <w:r>
        <w:rPr>
          <w:w w:val="105"/>
          <w:sz w:val="13"/>
        </w:rPr>
        <w:t>VR</w:t>
      </w:r>
      <w:r>
        <w:rPr>
          <w:spacing w:val="7"/>
          <w:w w:val="105"/>
          <w:sz w:val="13"/>
        </w:rPr>
        <w:t> </w:t>
      </w:r>
      <w:r>
        <w:rPr>
          <w:w w:val="105"/>
          <w:sz w:val="13"/>
        </w:rPr>
        <w:t>95;</w:t>
      </w:r>
      <w:r>
        <w:rPr>
          <w:spacing w:val="7"/>
          <w:w w:val="105"/>
          <w:sz w:val="13"/>
        </w:rPr>
        <w:t> </w:t>
      </w:r>
      <w:r>
        <w:rPr>
          <w:i/>
          <w:w w:val="105"/>
          <w:sz w:val="13"/>
        </w:rPr>
        <w:t>Subasa</w:t>
      </w:r>
      <w:r>
        <w:rPr>
          <w:i/>
          <w:spacing w:val="6"/>
          <w:w w:val="105"/>
          <w:sz w:val="13"/>
        </w:rPr>
        <w:t> </w:t>
      </w:r>
      <w:r>
        <w:rPr>
          <w:i/>
          <w:w w:val="105"/>
          <w:sz w:val="13"/>
        </w:rPr>
        <w:t>v</w:t>
      </w:r>
      <w:r>
        <w:rPr>
          <w:i/>
          <w:spacing w:val="6"/>
          <w:w w:val="105"/>
          <w:sz w:val="13"/>
        </w:rPr>
        <w:t> </w:t>
      </w:r>
      <w:r>
        <w:rPr>
          <w:i/>
          <w:w w:val="105"/>
          <w:sz w:val="13"/>
        </w:rPr>
        <w:t>State</w:t>
      </w:r>
      <w:r>
        <w:rPr>
          <w:i/>
          <w:spacing w:val="5"/>
          <w:w w:val="105"/>
          <w:sz w:val="13"/>
        </w:rPr>
        <w:t> </w:t>
      </w:r>
      <w:r>
        <w:rPr>
          <w:i/>
          <w:w w:val="105"/>
          <w:sz w:val="13"/>
        </w:rPr>
        <w:t>Trustees</w:t>
      </w:r>
      <w:r>
        <w:rPr>
          <w:i/>
          <w:spacing w:val="6"/>
          <w:w w:val="105"/>
          <w:sz w:val="13"/>
        </w:rPr>
        <w:t> </w:t>
      </w:r>
      <w:r>
        <w:rPr>
          <w:i/>
          <w:w w:val="105"/>
          <w:sz w:val="13"/>
        </w:rPr>
        <w:t>Ltd</w:t>
      </w:r>
      <w:r>
        <w:rPr>
          <w:i/>
          <w:spacing w:val="7"/>
          <w:w w:val="105"/>
          <w:sz w:val="13"/>
        </w:rPr>
        <w:t> </w:t>
      </w:r>
      <w:r>
        <w:rPr>
          <w:w w:val="105"/>
          <w:sz w:val="13"/>
        </w:rPr>
        <w:t>[2007]</w:t>
      </w:r>
      <w:r>
        <w:rPr>
          <w:spacing w:val="7"/>
          <w:w w:val="105"/>
          <w:sz w:val="13"/>
        </w:rPr>
        <w:t> </w:t>
      </w:r>
      <w:r>
        <w:rPr>
          <w:w w:val="105"/>
          <w:sz w:val="13"/>
        </w:rPr>
        <w:t>VSC</w:t>
      </w:r>
      <w:r>
        <w:rPr>
          <w:spacing w:val="7"/>
          <w:w w:val="105"/>
          <w:sz w:val="13"/>
        </w:rPr>
        <w:t> </w:t>
      </w:r>
      <w:r>
        <w:rPr>
          <w:w w:val="105"/>
          <w:sz w:val="13"/>
        </w:rPr>
        <w:t>399</w:t>
      </w:r>
      <w:r>
        <w:rPr>
          <w:spacing w:val="7"/>
          <w:w w:val="105"/>
          <w:sz w:val="13"/>
        </w:rPr>
        <w:t> </w:t>
      </w:r>
      <w:r>
        <w:rPr>
          <w:spacing w:val="-3"/>
          <w:w w:val="105"/>
          <w:sz w:val="13"/>
        </w:rPr>
        <w:t>(12</w:t>
      </w:r>
      <w:r>
        <w:rPr>
          <w:spacing w:val="6"/>
          <w:w w:val="105"/>
          <w:sz w:val="13"/>
        </w:rPr>
        <w:t> </w:t>
      </w:r>
      <w:r>
        <w:rPr>
          <w:w w:val="105"/>
          <w:sz w:val="13"/>
        </w:rPr>
        <w:t>October</w:t>
      </w:r>
      <w:r>
        <w:rPr>
          <w:spacing w:val="7"/>
          <w:w w:val="105"/>
          <w:sz w:val="13"/>
        </w:rPr>
        <w:t> </w:t>
      </w:r>
      <w:r>
        <w:rPr>
          <w:w w:val="105"/>
          <w:sz w:val="13"/>
        </w:rPr>
        <w:t>2007).</w:t>
      </w:r>
    </w:p>
    <w:p>
      <w:pPr>
        <w:pStyle w:val="ListParagraph"/>
        <w:numPr>
          <w:ilvl w:val="0"/>
          <w:numId w:val="79"/>
        </w:numPr>
        <w:tabs>
          <w:tab w:pos="1222" w:val="left" w:leader="none"/>
          <w:tab w:pos="1223" w:val="left" w:leader="none"/>
        </w:tabs>
        <w:spacing w:line="240" w:lineRule="auto" w:before="6" w:after="0"/>
        <w:ind w:left="1222" w:right="0" w:hanging="793"/>
        <w:jc w:val="left"/>
        <w:rPr>
          <w:sz w:val="13"/>
        </w:rPr>
      </w:pPr>
      <w:r>
        <w:rPr>
          <w:w w:val="105"/>
          <w:sz w:val="13"/>
        </w:rPr>
        <w:t>See,</w:t>
      </w:r>
      <w:r>
        <w:rPr>
          <w:spacing w:val="4"/>
          <w:w w:val="105"/>
          <w:sz w:val="13"/>
        </w:rPr>
        <w:t> </w:t>
      </w:r>
      <w:r>
        <w:rPr>
          <w:w w:val="105"/>
          <w:sz w:val="13"/>
        </w:rPr>
        <w:t>eg,</w:t>
      </w:r>
      <w:r>
        <w:rPr>
          <w:spacing w:val="5"/>
          <w:w w:val="105"/>
          <w:sz w:val="13"/>
        </w:rPr>
        <w:t> </w:t>
      </w:r>
      <w:r>
        <w:rPr>
          <w:i/>
          <w:w w:val="105"/>
          <w:sz w:val="13"/>
        </w:rPr>
        <w:t>Jackson</w:t>
      </w:r>
      <w:r>
        <w:rPr>
          <w:i/>
          <w:spacing w:val="4"/>
          <w:w w:val="105"/>
          <w:sz w:val="13"/>
        </w:rPr>
        <w:t> </w:t>
      </w:r>
      <w:r>
        <w:rPr>
          <w:i/>
          <w:w w:val="105"/>
          <w:sz w:val="13"/>
        </w:rPr>
        <w:t>v</w:t>
      </w:r>
      <w:r>
        <w:rPr>
          <w:i/>
          <w:spacing w:val="4"/>
          <w:w w:val="105"/>
          <w:sz w:val="13"/>
        </w:rPr>
        <w:t> </w:t>
      </w:r>
      <w:r>
        <w:rPr>
          <w:i/>
          <w:w w:val="105"/>
          <w:sz w:val="13"/>
        </w:rPr>
        <w:t>Newns</w:t>
      </w:r>
      <w:r>
        <w:rPr>
          <w:i/>
          <w:spacing w:val="5"/>
          <w:w w:val="105"/>
          <w:sz w:val="13"/>
        </w:rPr>
        <w:t> </w:t>
      </w:r>
      <w:r>
        <w:rPr>
          <w:spacing w:val="-3"/>
          <w:w w:val="105"/>
          <w:sz w:val="13"/>
        </w:rPr>
        <w:t>[2011]</w:t>
      </w:r>
      <w:r>
        <w:rPr>
          <w:spacing w:val="4"/>
          <w:w w:val="105"/>
          <w:sz w:val="13"/>
        </w:rPr>
        <w:t> </w:t>
      </w:r>
      <w:r>
        <w:rPr>
          <w:w w:val="105"/>
          <w:sz w:val="13"/>
        </w:rPr>
        <w:t>VSC</w:t>
      </w:r>
      <w:r>
        <w:rPr>
          <w:spacing w:val="5"/>
          <w:w w:val="105"/>
          <w:sz w:val="13"/>
        </w:rPr>
        <w:t> </w:t>
      </w:r>
      <w:r>
        <w:rPr>
          <w:w w:val="105"/>
          <w:sz w:val="13"/>
        </w:rPr>
        <w:t>32</w:t>
      </w:r>
      <w:r>
        <w:rPr>
          <w:spacing w:val="5"/>
          <w:w w:val="105"/>
          <w:sz w:val="13"/>
        </w:rPr>
        <w:t> </w:t>
      </w:r>
      <w:r>
        <w:rPr>
          <w:spacing w:val="-2"/>
          <w:w w:val="105"/>
          <w:sz w:val="13"/>
        </w:rPr>
        <w:t>(18</w:t>
      </w:r>
      <w:r>
        <w:rPr>
          <w:spacing w:val="5"/>
          <w:w w:val="105"/>
          <w:sz w:val="13"/>
        </w:rPr>
        <w:t> </w:t>
      </w:r>
      <w:r>
        <w:rPr>
          <w:w w:val="105"/>
          <w:sz w:val="13"/>
        </w:rPr>
        <w:t>February</w:t>
      </w:r>
      <w:r>
        <w:rPr>
          <w:spacing w:val="5"/>
          <w:w w:val="105"/>
          <w:sz w:val="13"/>
        </w:rPr>
        <w:t> </w:t>
      </w:r>
      <w:r>
        <w:rPr>
          <w:spacing w:val="-2"/>
          <w:w w:val="105"/>
          <w:sz w:val="13"/>
        </w:rPr>
        <w:t>2011).</w:t>
      </w:r>
    </w:p>
    <w:p>
      <w:pPr>
        <w:pStyle w:val="ListParagraph"/>
        <w:numPr>
          <w:ilvl w:val="0"/>
          <w:numId w:val="79"/>
        </w:numPr>
        <w:tabs>
          <w:tab w:pos="1222" w:val="left" w:leader="none"/>
          <w:tab w:pos="1223" w:val="left" w:leader="none"/>
        </w:tabs>
        <w:spacing w:line="240" w:lineRule="auto" w:before="2" w:after="0"/>
        <w:ind w:left="1222" w:right="0" w:hanging="793"/>
        <w:jc w:val="left"/>
        <w:rPr>
          <w:sz w:val="13"/>
        </w:rPr>
      </w:pPr>
      <w:r>
        <w:rPr>
          <w:i/>
          <w:w w:val="105"/>
          <w:sz w:val="13"/>
        </w:rPr>
        <w:t>Unger v Sanchez </w:t>
      </w:r>
      <w:r>
        <w:rPr>
          <w:spacing w:val="2"/>
          <w:w w:val="105"/>
          <w:sz w:val="13"/>
        </w:rPr>
        <w:t>[2009] </w:t>
      </w:r>
      <w:r>
        <w:rPr>
          <w:w w:val="105"/>
          <w:sz w:val="13"/>
        </w:rPr>
        <w:t>541 (1 December </w:t>
      </w:r>
      <w:r>
        <w:rPr>
          <w:spacing w:val="2"/>
          <w:w w:val="105"/>
          <w:sz w:val="13"/>
        </w:rPr>
        <w:t>2009)</w:t>
      </w:r>
      <w:r>
        <w:rPr>
          <w:spacing w:val="32"/>
          <w:w w:val="105"/>
          <w:sz w:val="13"/>
        </w:rPr>
        <w:t> </w:t>
      </w:r>
      <w:r>
        <w:rPr>
          <w:spacing w:val="4"/>
          <w:w w:val="105"/>
          <w:sz w:val="13"/>
        </w:rPr>
        <w:t>[88].</w:t>
      </w:r>
    </w:p>
    <w:p>
      <w:pPr>
        <w:pStyle w:val="ListParagraph"/>
        <w:numPr>
          <w:ilvl w:val="0"/>
          <w:numId w:val="79"/>
        </w:numPr>
        <w:tabs>
          <w:tab w:pos="1222" w:val="left" w:leader="none"/>
          <w:tab w:pos="1223" w:val="left" w:leader="none"/>
        </w:tabs>
        <w:spacing w:line="240" w:lineRule="auto" w:before="1" w:after="0"/>
        <w:ind w:left="1222" w:right="0" w:hanging="793"/>
        <w:jc w:val="left"/>
        <w:rPr>
          <w:i/>
          <w:sz w:val="13"/>
        </w:rPr>
      </w:pPr>
      <w:r>
        <w:rPr>
          <w:i/>
          <w:w w:val="105"/>
          <w:sz w:val="13"/>
        </w:rPr>
        <w:t>Whitehead</w:t>
      </w:r>
      <w:r>
        <w:rPr>
          <w:i/>
          <w:spacing w:val="3"/>
          <w:w w:val="105"/>
          <w:sz w:val="13"/>
        </w:rPr>
        <w:t> </w:t>
      </w:r>
      <w:r>
        <w:rPr>
          <w:i/>
          <w:w w:val="105"/>
          <w:sz w:val="13"/>
        </w:rPr>
        <w:t>v</w:t>
      </w:r>
      <w:r>
        <w:rPr>
          <w:i/>
          <w:spacing w:val="4"/>
          <w:w w:val="105"/>
          <w:sz w:val="13"/>
        </w:rPr>
        <w:t> </w:t>
      </w:r>
      <w:r>
        <w:rPr>
          <w:i/>
          <w:w w:val="105"/>
          <w:sz w:val="13"/>
        </w:rPr>
        <w:t>State</w:t>
      </w:r>
      <w:r>
        <w:rPr>
          <w:i/>
          <w:spacing w:val="4"/>
          <w:w w:val="105"/>
          <w:sz w:val="13"/>
        </w:rPr>
        <w:t> </w:t>
      </w:r>
      <w:r>
        <w:rPr>
          <w:i/>
          <w:w w:val="105"/>
          <w:sz w:val="13"/>
        </w:rPr>
        <w:t>Trustees</w:t>
      </w:r>
      <w:r>
        <w:rPr>
          <w:i/>
          <w:spacing w:val="4"/>
          <w:w w:val="105"/>
          <w:sz w:val="13"/>
        </w:rPr>
        <w:t> </w:t>
      </w:r>
      <w:r>
        <w:rPr>
          <w:i/>
          <w:w w:val="105"/>
          <w:sz w:val="13"/>
        </w:rPr>
        <w:t>Ltd</w:t>
      </w:r>
      <w:r>
        <w:rPr>
          <w:i/>
          <w:spacing w:val="5"/>
          <w:w w:val="105"/>
          <w:sz w:val="13"/>
        </w:rPr>
        <w:t> </w:t>
      </w:r>
      <w:r>
        <w:rPr>
          <w:spacing w:val="-3"/>
          <w:w w:val="105"/>
          <w:sz w:val="13"/>
        </w:rPr>
        <w:t>[2011]</w:t>
      </w:r>
      <w:r>
        <w:rPr>
          <w:spacing w:val="5"/>
          <w:w w:val="105"/>
          <w:sz w:val="13"/>
        </w:rPr>
        <w:t> </w:t>
      </w:r>
      <w:r>
        <w:rPr>
          <w:w w:val="105"/>
          <w:sz w:val="13"/>
        </w:rPr>
        <w:t>VSC</w:t>
      </w:r>
      <w:r>
        <w:rPr>
          <w:spacing w:val="5"/>
          <w:w w:val="105"/>
          <w:sz w:val="13"/>
        </w:rPr>
        <w:t> </w:t>
      </w:r>
      <w:r>
        <w:rPr>
          <w:w w:val="105"/>
          <w:sz w:val="13"/>
        </w:rPr>
        <w:t>424</w:t>
      </w:r>
      <w:r>
        <w:rPr>
          <w:spacing w:val="4"/>
          <w:w w:val="105"/>
          <w:sz w:val="13"/>
        </w:rPr>
        <w:t> </w:t>
      </w:r>
      <w:r>
        <w:rPr>
          <w:w w:val="105"/>
          <w:sz w:val="13"/>
        </w:rPr>
        <w:t>(2</w:t>
      </w:r>
      <w:r>
        <w:rPr>
          <w:spacing w:val="5"/>
          <w:w w:val="105"/>
          <w:sz w:val="13"/>
        </w:rPr>
        <w:t> </w:t>
      </w:r>
      <w:r>
        <w:rPr>
          <w:w w:val="105"/>
          <w:sz w:val="13"/>
        </w:rPr>
        <w:t>September</w:t>
      </w:r>
      <w:r>
        <w:rPr>
          <w:spacing w:val="5"/>
          <w:w w:val="105"/>
          <w:sz w:val="13"/>
        </w:rPr>
        <w:t> </w:t>
      </w:r>
      <w:r>
        <w:rPr>
          <w:spacing w:val="-4"/>
          <w:w w:val="105"/>
          <w:sz w:val="13"/>
        </w:rPr>
        <w:t>2011)</w:t>
      </w:r>
      <w:r>
        <w:rPr>
          <w:spacing w:val="5"/>
          <w:w w:val="105"/>
          <w:sz w:val="13"/>
        </w:rPr>
        <w:t> </w:t>
      </w:r>
      <w:r>
        <w:rPr>
          <w:w w:val="105"/>
          <w:sz w:val="13"/>
        </w:rPr>
        <w:t>[326].</w:t>
      </w:r>
      <w:r>
        <w:rPr>
          <w:spacing w:val="5"/>
          <w:w w:val="105"/>
          <w:sz w:val="13"/>
        </w:rPr>
        <w:t> </w:t>
      </w:r>
      <w:r>
        <w:rPr>
          <w:w w:val="105"/>
          <w:sz w:val="13"/>
        </w:rPr>
        <w:t>This</w:t>
      </w:r>
      <w:r>
        <w:rPr>
          <w:spacing w:val="5"/>
          <w:w w:val="105"/>
          <w:sz w:val="13"/>
        </w:rPr>
        <w:t> </w:t>
      </w:r>
      <w:r>
        <w:rPr>
          <w:w w:val="105"/>
          <w:sz w:val="13"/>
        </w:rPr>
        <w:t>decision</w:t>
      </w:r>
      <w:r>
        <w:rPr>
          <w:spacing w:val="5"/>
          <w:w w:val="105"/>
          <w:sz w:val="13"/>
        </w:rPr>
        <w:t> </w:t>
      </w:r>
      <w:r>
        <w:rPr>
          <w:w w:val="105"/>
          <w:sz w:val="13"/>
        </w:rPr>
        <w:t>was</w:t>
      </w:r>
      <w:r>
        <w:rPr>
          <w:spacing w:val="4"/>
          <w:w w:val="105"/>
          <w:sz w:val="13"/>
        </w:rPr>
        <w:t> </w:t>
      </w:r>
      <w:r>
        <w:rPr>
          <w:w w:val="105"/>
          <w:sz w:val="13"/>
        </w:rPr>
        <w:t>upheld</w:t>
      </w:r>
      <w:r>
        <w:rPr>
          <w:spacing w:val="5"/>
          <w:w w:val="105"/>
          <w:sz w:val="13"/>
        </w:rPr>
        <w:t> </w:t>
      </w:r>
      <w:r>
        <w:rPr>
          <w:w w:val="105"/>
          <w:sz w:val="13"/>
        </w:rPr>
        <w:t>on</w:t>
      </w:r>
      <w:r>
        <w:rPr>
          <w:spacing w:val="5"/>
          <w:w w:val="105"/>
          <w:sz w:val="13"/>
        </w:rPr>
        <w:t> </w:t>
      </w:r>
      <w:r>
        <w:rPr>
          <w:w w:val="105"/>
          <w:sz w:val="13"/>
        </w:rPr>
        <w:t>appeal:</w:t>
      </w:r>
      <w:r>
        <w:rPr>
          <w:spacing w:val="5"/>
          <w:w w:val="105"/>
          <w:sz w:val="13"/>
        </w:rPr>
        <w:t> </w:t>
      </w:r>
      <w:r>
        <w:rPr>
          <w:i/>
          <w:w w:val="105"/>
          <w:sz w:val="13"/>
        </w:rPr>
        <w:t>State</w:t>
      </w:r>
      <w:r>
        <w:rPr>
          <w:i/>
          <w:spacing w:val="4"/>
          <w:w w:val="105"/>
          <w:sz w:val="13"/>
        </w:rPr>
        <w:t> </w:t>
      </w:r>
      <w:r>
        <w:rPr>
          <w:i/>
          <w:w w:val="105"/>
          <w:sz w:val="13"/>
        </w:rPr>
        <w:t>Trustees</w:t>
      </w:r>
      <w:r>
        <w:rPr>
          <w:i/>
          <w:spacing w:val="4"/>
          <w:w w:val="105"/>
          <w:sz w:val="13"/>
        </w:rPr>
        <w:t> </w:t>
      </w:r>
      <w:r>
        <w:rPr>
          <w:i/>
          <w:w w:val="105"/>
          <w:sz w:val="13"/>
        </w:rPr>
        <w:t>Ltd</w:t>
      </w:r>
      <w:r>
        <w:rPr>
          <w:i/>
          <w:spacing w:val="4"/>
          <w:w w:val="105"/>
          <w:sz w:val="13"/>
        </w:rPr>
        <w:t> </w:t>
      </w:r>
      <w:r>
        <w:rPr>
          <w:i/>
          <w:w w:val="105"/>
          <w:sz w:val="13"/>
        </w:rPr>
        <w:t>v</w:t>
      </w:r>
      <w:r>
        <w:rPr>
          <w:i/>
          <w:spacing w:val="3"/>
          <w:w w:val="105"/>
          <w:sz w:val="13"/>
        </w:rPr>
        <w:t> </w:t>
      </w:r>
      <w:r>
        <w:rPr>
          <w:i/>
          <w:w w:val="105"/>
          <w:sz w:val="13"/>
        </w:rPr>
        <w:t>Bedford</w:t>
      </w:r>
    </w:p>
    <w:p>
      <w:pPr>
        <w:spacing w:before="1"/>
        <w:ind w:left="1222" w:right="0" w:firstLine="0"/>
        <w:jc w:val="left"/>
        <w:rPr>
          <w:sz w:val="13"/>
        </w:rPr>
      </w:pPr>
      <w:r>
        <w:rPr>
          <w:w w:val="110"/>
          <w:sz w:val="13"/>
        </w:rPr>
        <w:t>[2012] VSCA 274 (16 November 2012).</w:t>
      </w:r>
    </w:p>
    <w:p>
      <w:pPr>
        <w:pStyle w:val="ListParagraph"/>
        <w:numPr>
          <w:ilvl w:val="0"/>
          <w:numId w:val="79"/>
        </w:numPr>
        <w:tabs>
          <w:tab w:pos="1222" w:val="left" w:leader="none"/>
          <w:tab w:pos="1223" w:val="left" w:leader="none"/>
        </w:tabs>
        <w:spacing w:line="240" w:lineRule="auto" w:before="2" w:after="0"/>
        <w:ind w:left="429" w:right="5369" w:firstLine="0"/>
        <w:jc w:val="left"/>
        <w:rPr>
          <w:sz w:val="13"/>
        </w:rPr>
      </w:pPr>
      <w:r>
        <w:rPr>
          <w:i/>
          <w:w w:val="105"/>
          <w:sz w:val="13"/>
        </w:rPr>
        <w:t>Whitehead v State Trustees Ltd </w:t>
      </w:r>
      <w:r>
        <w:rPr>
          <w:spacing w:val="-3"/>
          <w:w w:val="105"/>
          <w:sz w:val="13"/>
        </w:rPr>
        <w:t>[2011] </w:t>
      </w:r>
      <w:r>
        <w:rPr>
          <w:w w:val="105"/>
          <w:sz w:val="13"/>
        </w:rPr>
        <w:t>VSC 424 (2 September </w:t>
      </w:r>
      <w:r>
        <w:rPr>
          <w:spacing w:val="-4"/>
          <w:w w:val="105"/>
          <w:sz w:val="13"/>
        </w:rPr>
        <w:t>2011) </w:t>
      </w:r>
      <w:r>
        <w:rPr>
          <w:w w:val="105"/>
          <w:sz w:val="13"/>
        </w:rPr>
        <w:t>[326]. 100</w:t>
        <w:tab/>
      </w:r>
      <w:r>
        <w:rPr>
          <w:i/>
          <w:w w:val="105"/>
          <w:sz w:val="13"/>
        </w:rPr>
        <w:t>Borebor v Keane </w:t>
      </w:r>
      <w:r>
        <w:rPr>
          <w:w w:val="105"/>
          <w:sz w:val="13"/>
        </w:rPr>
        <w:t>[2013] VSC 35 </w:t>
      </w:r>
      <w:r>
        <w:rPr>
          <w:spacing w:val="-3"/>
          <w:w w:val="105"/>
          <w:sz w:val="13"/>
        </w:rPr>
        <w:t>(19</w:t>
      </w:r>
      <w:r>
        <w:rPr>
          <w:spacing w:val="12"/>
          <w:w w:val="105"/>
          <w:sz w:val="13"/>
        </w:rPr>
        <w:t> </w:t>
      </w:r>
      <w:r>
        <w:rPr>
          <w:w w:val="105"/>
          <w:sz w:val="13"/>
        </w:rPr>
        <w:t>February 2013).</w:t>
      </w:r>
    </w:p>
    <w:p>
      <w:pPr>
        <w:tabs>
          <w:tab w:pos="1222" w:val="left" w:leader="none"/>
        </w:tabs>
        <w:spacing w:before="2"/>
        <w:ind w:left="429" w:right="0" w:firstLine="0"/>
        <w:jc w:val="left"/>
        <w:rPr>
          <w:sz w:val="13"/>
        </w:rPr>
      </w:pPr>
      <w:r>
        <w:rPr>
          <w:spacing w:val="-3"/>
          <w:w w:val="105"/>
          <w:sz w:val="13"/>
        </w:rPr>
        <w:t>101</w:t>
        <w:tab/>
      </w:r>
      <w:r>
        <w:rPr>
          <w:w w:val="105"/>
          <w:sz w:val="13"/>
        </w:rPr>
        <w:t>Ibid</w:t>
      </w:r>
      <w:r>
        <w:rPr>
          <w:spacing w:val="4"/>
          <w:w w:val="105"/>
          <w:sz w:val="13"/>
        </w:rPr>
        <w:t> </w:t>
      </w:r>
      <w:r>
        <w:rPr>
          <w:w w:val="105"/>
          <w:sz w:val="13"/>
        </w:rPr>
        <w:t>[73].</w:t>
      </w:r>
    </w:p>
    <w:p>
      <w:pPr>
        <w:tabs>
          <w:tab w:pos="1222" w:val="left" w:leader="none"/>
        </w:tabs>
        <w:spacing w:before="2"/>
        <w:ind w:left="429" w:right="0" w:firstLine="0"/>
        <w:jc w:val="left"/>
        <w:rPr>
          <w:sz w:val="13"/>
        </w:rPr>
      </w:pPr>
      <w:r>
        <w:rPr>
          <w:w w:val="105"/>
          <w:sz w:val="13"/>
        </w:rPr>
        <w:t>102</w:t>
        <w:tab/>
        <w:t>Consultations </w:t>
      </w:r>
      <w:r>
        <w:rPr>
          <w:spacing w:val="-3"/>
          <w:w w:val="105"/>
          <w:sz w:val="13"/>
        </w:rPr>
        <w:t>15 </w:t>
      </w:r>
      <w:r>
        <w:rPr>
          <w:w w:val="105"/>
          <w:sz w:val="13"/>
        </w:rPr>
        <w:t>(County Court of </w:t>
      </w:r>
      <w:r>
        <w:rPr>
          <w:spacing w:val="2"/>
          <w:w w:val="105"/>
          <w:sz w:val="13"/>
        </w:rPr>
        <w:t>Victoria); </w:t>
      </w:r>
      <w:r>
        <w:rPr>
          <w:w w:val="105"/>
          <w:sz w:val="13"/>
        </w:rPr>
        <w:t>16 (Supreme Court of </w:t>
      </w:r>
      <w:r>
        <w:rPr>
          <w:spacing w:val="2"/>
          <w:w w:val="105"/>
          <w:sz w:val="13"/>
        </w:rPr>
        <w:t>Victoria—Associate Judges); </w:t>
      </w:r>
      <w:r>
        <w:rPr>
          <w:spacing w:val="-4"/>
          <w:w w:val="105"/>
          <w:sz w:val="13"/>
        </w:rPr>
        <w:t>17 </w:t>
      </w:r>
      <w:r>
        <w:rPr>
          <w:w w:val="105"/>
          <w:sz w:val="13"/>
        </w:rPr>
        <w:t>(Supreme Court of</w:t>
      </w:r>
      <w:r>
        <w:rPr>
          <w:spacing w:val="3"/>
          <w:w w:val="105"/>
          <w:sz w:val="13"/>
        </w:rPr>
        <w:t> </w:t>
      </w:r>
      <w:r>
        <w:rPr>
          <w:spacing w:val="2"/>
          <w:w w:val="105"/>
          <w:sz w:val="13"/>
        </w:rPr>
        <w:t>Victoria—Judges).</w:t>
      </w:r>
    </w:p>
    <w:p>
      <w:pPr>
        <w:spacing w:after="0"/>
        <w:jc w:val="left"/>
        <w:rPr>
          <w:sz w:val="13"/>
        </w:rPr>
        <w:sectPr>
          <w:type w:val="continuous"/>
          <w:pgSz w:w="11910" w:h="16840"/>
          <w:pgMar w:top="920" w:bottom="280" w:left="0" w:right="0"/>
          <w:cols w:num="2" w:equalWidth="0">
            <w:col w:w="1119" w:space="40"/>
            <w:col w:w="10751"/>
          </w:cols>
        </w:sectPr>
      </w:pPr>
    </w:p>
    <w:p>
      <w:pPr>
        <w:pStyle w:val="BodyText"/>
        <w:rPr>
          <w:sz w:val="20"/>
        </w:rPr>
      </w:pPr>
    </w:p>
    <w:p>
      <w:pPr>
        <w:pStyle w:val="BodyText"/>
        <w:rPr>
          <w:sz w:val="19"/>
        </w:rPr>
      </w:pPr>
    </w:p>
    <w:p>
      <w:pPr>
        <w:pStyle w:val="ListParagraph"/>
        <w:numPr>
          <w:ilvl w:val="1"/>
          <w:numId w:val="22"/>
        </w:numPr>
        <w:tabs>
          <w:tab w:pos="2380" w:val="left" w:leader="none"/>
          <w:tab w:pos="2381" w:val="left" w:leader="none"/>
        </w:tabs>
        <w:spacing w:line="242" w:lineRule="auto" w:before="91" w:after="0"/>
        <w:ind w:left="2381" w:right="1619" w:hanging="794"/>
        <w:jc w:val="left"/>
        <w:rPr>
          <w:sz w:val="12"/>
        </w:rPr>
      </w:pPr>
      <w:r>
        <w:rPr>
          <w:spacing w:val="-4"/>
          <w:sz w:val="21"/>
        </w:rPr>
        <w:t>However, </w:t>
      </w:r>
      <w:r>
        <w:rPr>
          <w:sz w:val="21"/>
        </w:rPr>
        <w:t>as discussed above </w:t>
      </w:r>
      <w:r>
        <w:rPr>
          <w:spacing w:val="-3"/>
          <w:sz w:val="21"/>
        </w:rPr>
        <w:t>from </w:t>
      </w:r>
      <w:r>
        <w:rPr>
          <w:spacing w:val="-5"/>
          <w:sz w:val="21"/>
        </w:rPr>
        <w:t>[6.12], </w:t>
      </w:r>
      <w:r>
        <w:rPr>
          <w:spacing w:val="-3"/>
          <w:sz w:val="21"/>
        </w:rPr>
        <w:t>family provision claims are usually </w:t>
      </w:r>
      <w:r>
        <w:rPr>
          <w:sz w:val="21"/>
        </w:rPr>
        <w:t>settled </w:t>
      </w:r>
      <w:r>
        <w:rPr>
          <w:spacing w:val="-3"/>
          <w:sz w:val="21"/>
        </w:rPr>
        <w:t>before </w:t>
      </w:r>
      <w:r>
        <w:rPr>
          <w:sz w:val="21"/>
        </w:rPr>
        <w:t>they </w:t>
      </w:r>
      <w:r>
        <w:rPr>
          <w:spacing w:val="-3"/>
          <w:sz w:val="21"/>
        </w:rPr>
        <w:t>are heard </w:t>
      </w:r>
      <w:r>
        <w:rPr>
          <w:sz w:val="21"/>
        </w:rPr>
        <w:t>by the court. One barrister </w:t>
      </w:r>
      <w:r>
        <w:rPr>
          <w:spacing w:val="-3"/>
          <w:sz w:val="21"/>
        </w:rPr>
        <w:t>noted that, </w:t>
      </w:r>
      <w:r>
        <w:rPr>
          <w:sz w:val="21"/>
        </w:rPr>
        <w:t>‘In my experience, almost </w:t>
      </w:r>
      <w:r>
        <w:rPr>
          <w:spacing w:val="-3"/>
          <w:sz w:val="21"/>
        </w:rPr>
        <w:t>all such claims </w:t>
      </w:r>
      <w:r>
        <w:rPr>
          <w:sz w:val="21"/>
        </w:rPr>
        <w:t>resolve at the point of </w:t>
      </w:r>
      <w:r>
        <w:rPr>
          <w:spacing w:val="-5"/>
          <w:sz w:val="21"/>
        </w:rPr>
        <w:t>mediation’.</w:t>
      </w:r>
      <w:r>
        <w:rPr>
          <w:spacing w:val="-5"/>
          <w:position w:val="7"/>
          <w:sz w:val="12"/>
        </w:rPr>
        <w:t>103 </w:t>
      </w:r>
      <w:r>
        <w:rPr>
          <w:sz w:val="21"/>
        </w:rPr>
        <w:t>In some  respects,  the  decision  </w:t>
      </w:r>
      <w:r>
        <w:rPr>
          <w:spacing w:val="-3"/>
          <w:sz w:val="21"/>
        </w:rPr>
        <w:t>to  </w:t>
      </w:r>
      <w:r>
        <w:rPr>
          <w:sz w:val="21"/>
        </w:rPr>
        <w:t>settle  a </w:t>
      </w:r>
      <w:r>
        <w:rPr>
          <w:spacing w:val="-3"/>
          <w:sz w:val="21"/>
        </w:rPr>
        <w:t>family provision claim </w:t>
      </w:r>
      <w:r>
        <w:rPr>
          <w:sz w:val="21"/>
        </w:rPr>
        <w:t>is </w:t>
      </w:r>
      <w:r>
        <w:rPr>
          <w:spacing w:val="-2"/>
          <w:sz w:val="21"/>
        </w:rPr>
        <w:t>not </w:t>
      </w:r>
      <w:r>
        <w:rPr>
          <w:spacing w:val="-3"/>
          <w:sz w:val="21"/>
        </w:rPr>
        <w:t>greatly different to </w:t>
      </w:r>
      <w:r>
        <w:rPr>
          <w:sz w:val="21"/>
        </w:rPr>
        <w:t>the decision </w:t>
      </w:r>
      <w:r>
        <w:rPr>
          <w:spacing w:val="-3"/>
          <w:sz w:val="21"/>
        </w:rPr>
        <w:t>to </w:t>
      </w:r>
      <w:r>
        <w:rPr>
          <w:sz w:val="21"/>
        </w:rPr>
        <w:t>settle other types of civil claim: there is less risk involved; the costs </w:t>
      </w:r>
      <w:r>
        <w:rPr>
          <w:spacing w:val="-3"/>
          <w:sz w:val="21"/>
        </w:rPr>
        <w:t>are </w:t>
      </w:r>
      <w:r>
        <w:rPr>
          <w:sz w:val="21"/>
        </w:rPr>
        <w:t>less; the parties </w:t>
      </w:r>
      <w:r>
        <w:rPr>
          <w:spacing w:val="-3"/>
          <w:sz w:val="21"/>
        </w:rPr>
        <w:t>have </w:t>
      </w:r>
      <w:r>
        <w:rPr>
          <w:sz w:val="21"/>
        </w:rPr>
        <w:t>the opportunity </w:t>
      </w:r>
      <w:r>
        <w:rPr>
          <w:spacing w:val="-3"/>
          <w:sz w:val="21"/>
        </w:rPr>
        <w:t>to </w:t>
      </w:r>
      <w:r>
        <w:rPr>
          <w:sz w:val="21"/>
        </w:rPr>
        <w:t>resolve the matter in a </w:t>
      </w:r>
      <w:r>
        <w:rPr>
          <w:spacing w:val="-3"/>
          <w:sz w:val="21"/>
        </w:rPr>
        <w:t>way that </w:t>
      </w:r>
      <w:r>
        <w:rPr>
          <w:sz w:val="21"/>
        </w:rPr>
        <w:t>is </w:t>
      </w:r>
      <w:r>
        <w:rPr>
          <w:spacing w:val="-3"/>
          <w:sz w:val="21"/>
        </w:rPr>
        <w:t>mutually satisfactory. </w:t>
      </w:r>
      <w:r>
        <w:rPr>
          <w:spacing w:val="-4"/>
          <w:sz w:val="21"/>
        </w:rPr>
        <w:t>However, </w:t>
      </w:r>
      <w:r>
        <w:rPr>
          <w:sz w:val="21"/>
        </w:rPr>
        <w:t>the </w:t>
      </w:r>
      <w:r>
        <w:rPr>
          <w:spacing w:val="-3"/>
          <w:sz w:val="21"/>
        </w:rPr>
        <w:t>great </w:t>
      </w:r>
      <w:r>
        <w:rPr>
          <w:sz w:val="21"/>
        </w:rPr>
        <w:t>degree of uncertainty in </w:t>
      </w:r>
      <w:r>
        <w:rPr>
          <w:spacing w:val="-3"/>
          <w:sz w:val="21"/>
        </w:rPr>
        <w:t>relation to family provision  eligibility  means  that  claims  are  </w:t>
      </w:r>
      <w:r>
        <w:rPr>
          <w:sz w:val="21"/>
        </w:rPr>
        <w:t>being  settled </w:t>
      </w:r>
      <w:r>
        <w:rPr>
          <w:spacing w:val="-3"/>
          <w:sz w:val="21"/>
        </w:rPr>
        <w:t>that </w:t>
      </w:r>
      <w:r>
        <w:rPr>
          <w:sz w:val="21"/>
        </w:rPr>
        <w:t>would perhaps be </w:t>
      </w:r>
      <w:r>
        <w:rPr>
          <w:spacing w:val="-4"/>
          <w:sz w:val="21"/>
        </w:rPr>
        <w:t>unlikely </w:t>
      </w:r>
      <w:r>
        <w:rPr>
          <w:spacing w:val="-3"/>
          <w:sz w:val="21"/>
        </w:rPr>
        <w:t>to succeed </w:t>
      </w:r>
      <w:r>
        <w:rPr>
          <w:sz w:val="21"/>
        </w:rPr>
        <w:t>at</w:t>
      </w:r>
      <w:r>
        <w:rPr>
          <w:spacing w:val="1"/>
          <w:sz w:val="21"/>
        </w:rPr>
        <w:t> </w:t>
      </w:r>
      <w:r>
        <w:rPr>
          <w:spacing w:val="-4"/>
          <w:sz w:val="21"/>
        </w:rPr>
        <w:t>trial.</w:t>
      </w:r>
      <w:r>
        <w:rPr>
          <w:spacing w:val="-4"/>
          <w:position w:val="7"/>
          <w:sz w:val="12"/>
        </w:rPr>
        <w:t>104</w:t>
      </w:r>
    </w:p>
    <w:p>
      <w:pPr>
        <w:pStyle w:val="ListParagraph"/>
        <w:numPr>
          <w:ilvl w:val="1"/>
          <w:numId w:val="22"/>
        </w:numPr>
        <w:tabs>
          <w:tab w:pos="2380" w:val="left" w:leader="none"/>
          <w:tab w:pos="2381" w:val="left" w:leader="none"/>
        </w:tabs>
        <w:spacing w:line="242" w:lineRule="auto" w:before="129" w:after="0"/>
        <w:ind w:left="2381" w:right="1590" w:hanging="794"/>
        <w:jc w:val="left"/>
        <w:rPr>
          <w:sz w:val="21"/>
        </w:rPr>
      </w:pPr>
      <w:r>
        <w:rPr>
          <w:spacing w:val="-4"/>
          <w:sz w:val="21"/>
        </w:rPr>
        <w:t>Further, </w:t>
      </w:r>
      <w:r>
        <w:rPr>
          <w:sz w:val="21"/>
        </w:rPr>
        <w:t>the Law </w:t>
      </w:r>
      <w:r>
        <w:rPr>
          <w:spacing w:val="-3"/>
          <w:sz w:val="21"/>
        </w:rPr>
        <w:t>Institute </w:t>
      </w:r>
      <w:r>
        <w:rPr>
          <w:sz w:val="21"/>
        </w:rPr>
        <w:t>of </w:t>
      </w:r>
      <w:r>
        <w:rPr>
          <w:spacing w:val="-3"/>
          <w:sz w:val="21"/>
        </w:rPr>
        <w:t>Victoria’s submission </w:t>
      </w:r>
      <w:r>
        <w:rPr>
          <w:sz w:val="21"/>
        </w:rPr>
        <w:t>suggested </w:t>
      </w:r>
      <w:r>
        <w:rPr>
          <w:spacing w:val="-3"/>
          <w:sz w:val="21"/>
        </w:rPr>
        <w:t>that  </w:t>
      </w:r>
      <w:r>
        <w:rPr>
          <w:sz w:val="21"/>
        </w:rPr>
        <w:t>the  </w:t>
      </w:r>
      <w:r>
        <w:rPr>
          <w:spacing w:val="-3"/>
          <w:sz w:val="21"/>
        </w:rPr>
        <w:t>unlimited  </w:t>
      </w:r>
      <w:r>
        <w:rPr>
          <w:sz w:val="21"/>
        </w:rPr>
        <w:t>class  of </w:t>
      </w:r>
      <w:r>
        <w:rPr>
          <w:spacing w:val="-3"/>
          <w:sz w:val="21"/>
        </w:rPr>
        <w:t>family provision claimants makes </w:t>
      </w:r>
      <w:r>
        <w:rPr>
          <w:sz w:val="21"/>
        </w:rPr>
        <w:t>it difficult </w:t>
      </w:r>
      <w:r>
        <w:rPr>
          <w:spacing w:val="-3"/>
          <w:sz w:val="21"/>
        </w:rPr>
        <w:t>for </w:t>
      </w:r>
      <w:r>
        <w:rPr>
          <w:sz w:val="21"/>
        </w:rPr>
        <w:t>the court </w:t>
      </w:r>
      <w:r>
        <w:rPr>
          <w:spacing w:val="-3"/>
          <w:sz w:val="21"/>
        </w:rPr>
        <w:t>to exercise </w:t>
      </w:r>
      <w:r>
        <w:rPr>
          <w:sz w:val="21"/>
        </w:rPr>
        <w:t>its summary </w:t>
      </w:r>
      <w:r>
        <w:rPr>
          <w:spacing w:val="-3"/>
          <w:sz w:val="21"/>
        </w:rPr>
        <w:t>judgment </w:t>
      </w:r>
      <w:r>
        <w:rPr>
          <w:sz w:val="21"/>
        </w:rPr>
        <w:t>jurisdiction: ‘Without </w:t>
      </w:r>
      <w:r>
        <w:rPr>
          <w:spacing w:val="-3"/>
          <w:sz w:val="21"/>
        </w:rPr>
        <w:t>considering all relevant </w:t>
      </w:r>
      <w:r>
        <w:rPr>
          <w:sz w:val="21"/>
        </w:rPr>
        <w:t>facts, it is difficult </w:t>
      </w:r>
      <w:r>
        <w:rPr>
          <w:spacing w:val="-3"/>
          <w:sz w:val="21"/>
        </w:rPr>
        <w:t>to determine</w:t>
      </w:r>
      <w:r>
        <w:rPr>
          <w:spacing w:val="2"/>
          <w:sz w:val="21"/>
        </w:rPr>
        <w:t> </w:t>
      </w:r>
      <w:r>
        <w:rPr>
          <w:sz w:val="21"/>
        </w:rPr>
        <w:t>whether</w:t>
      </w:r>
    </w:p>
    <w:p>
      <w:pPr>
        <w:pStyle w:val="BodyText"/>
        <w:spacing w:line="242" w:lineRule="auto" w:before="3"/>
        <w:ind w:left="2380" w:right="1584"/>
        <w:rPr>
          <w:sz w:val="12"/>
        </w:rPr>
      </w:pPr>
      <w:r>
        <w:rPr>
          <w:w w:val="105"/>
        </w:rPr>
        <w:t>an application </w:t>
      </w:r>
      <w:r>
        <w:rPr>
          <w:spacing w:val="-2"/>
          <w:w w:val="105"/>
        </w:rPr>
        <w:t>has </w:t>
      </w:r>
      <w:r>
        <w:rPr>
          <w:w w:val="105"/>
        </w:rPr>
        <w:t>no </w:t>
      </w:r>
      <w:r>
        <w:rPr>
          <w:spacing w:val="-3"/>
          <w:w w:val="105"/>
        </w:rPr>
        <w:t>real </w:t>
      </w:r>
      <w:r>
        <w:rPr>
          <w:w w:val="105"/>
        </w:rPr>
        <w:t>prospect of </w:t>
      </w:r>
      <w:r>
        <w:rPr>
          <w:spacing w:val="-3"/>
          <w:w w:val="105"/>
        </w:rPr>
        <w:t>success, </w:t>
      </w:r>
      <w:r>
        <w:rPr>
          <w:w w:val="105"/>
        </w:rPr>
        <w:t>which would </w:t>
      </w:r>
      <w:r>
        <w:rPr>
          <w:spacing w:val="-3"/>
          <w:w w:val="105"/>
        </w:rPr>
        <w:t>require </w:t>
      </w:r>
      <w:r>
        <w:rPr>
          <w:w w:val="105"/>
        </w:rPr>
        <w:t>a </w:t>
      </w:r>
      <w:r>
        <w:rPr>
          <w:spacing w:val="-3"/>
          <w:w w:val="105"/>
        </w:rPr>
        <w:t>full hearing </w:t>
      </w:r>
      <w:r>
        <w:rPr>
          <w:w w:val="105"/>
        </w:rPr>
        <w:t>on the </w:t>
      </w:r>
      <w:r>
        <w:rPr>
          <w:spacing w:val="-6"/>
          <w:w w:val="105"/>
        </w:rPr>
        <w:t>issues’.</w:t>
      </w:r>
      <w:r>
        <w:rPr>
          <w:spacing w:val="-6"/>
          <w:w w:val="105"/>
          <w:position w:val="7"/>
          <w:sz w:val="12"/>
        </w:rPr>
        <w:t>105 </w:t>
      </w:r>
      <w:r>
        <w:rPr>
          <w:w w:val="105"/>
        </w:rPr>
        <w:t>The Legal Services </w:t>
      </w:r>
      <w:r>
        <w:rPr>
          <w:spacing w:val="-3"/>
          <w:w w:val="105"/>
        </w:rPr>
        <w:t>Commissioner </w:t>
      </w:r>
      <w:r>
        <w:rPr>
          <w:w w:val="105"/>
        </w:rPr>
        <w:t>criticised the </w:t>
      </w:r>
      <w:r>
        <w:rPr>
          <w:spacing w:val="-3"/>
          <w:w w:val="105"/>
        </w:rPr>
        <w:t>apparent </w:t>
      </w:r>
      <w:r>
        <w:rPr>
          <w:w w:val="105"/>
        </w:rPr>
        <w:t>ease with which </w:t>
      </w:r>
      <w:r>
        <w:rPr>
          <w:spacing w:val="-3"/>
          <w:w w:val="105"/>
        </w:rPr>
        <w:t>family provision claims </w:t>
      </w:r>
      <w:r>
        <w:rPr>
          <w:w w:val="105"/>
        </w:rPr>
        <w:t>can be made </w:t>
      </w:r>
      <w:r>
        <w:rPr>
          <w:w w:val="105"/>
          <w:position w:val="7"/>
          <w:sz w:val="12"/>
        </w:rPr>
        <w:t>106 </w:t>
      </w:r>
      <w:r>
        <w:rPr>
          <w:w w:val="105"/>
        </w:rPr>
        <w:t>and </w:t>
      </w:r>
      <w:r>
        <w:rPr>
          <w:spacing w:val="-3"/>
          <w:w w:val="105"/>
        </w:rPr>
        <w:t>another submission </w:t>
      </w:r>
      <w:r>
        <w:rPr>
          <w:w w:val="105"/>
        </w:rPr>
        <w:t>expressed the view </w:t>
      </w:r>
      <w:r>
        <w:rPr>
          <w:spacing w:val="-3"/>
          <w:w w:val="105"/>
        </w:rPr>
        <w:t>that </w:t>
      </w:r>
      <w:r>
        <w:rPr>
          <w:w w:val="105"/>
        </w:rPr>
        <w:t>the </w:t>
      </w:r>
      <w:r>
        <w:rPr>
          <w:spacing w:val="-3"/>
          <w:w w:val="105"/>
        </w:rPr>
        <w:t>current </w:t>
      </w:r>
      <w:r>
        <w:rPr>
          <w:w w:val="105"/>
        </w:rPr>
        <w:t>law in </w:t>
      </w:r>
      <w:r>
        <w:rPr>
          <w:spacing w:val="-3"/>
          <w:w w:val="105"/>
        </w:rPr>
        <w:t>relation to eligibility </w:t>
      </w:r>
      <w:r>
        <w:rPr>
          <w:w w:val="105"/>
        </w:rPr>
        <w:t>is cast too broadly and comes close </w:t>
      </w:r>
      <w:r>
        <w:rPr>
          <w:spacing w:val="-3"/>
          <w:w w:val="105"/>
        </w:rPr>
        <w:t>to requiring </w:t>
      </w:r>
      <w:r>
        <w:rPr>
          <w:w w:val="105"/>
        </w:rPr>
        <w:t>judges </w:t>
      </w:r>
      <w:r>
        <w:rPr>
          <w:spacing w:val="-3"/>
          <w:w w:val="105"/>
        </w:rPr>
        <w:t>to rewrite </w:t>
      </w:r>
      <w:r>
        <w:rPr>
          <w:spacing w:val="-5"/>
          <w:w w:val="105"/>
        </w:rPr>
        <w:t>wills.</w:t>
      </w:r>
      <w:r>
        <w:rPr>
          <w:spacing w:val="-5"/>
          <w:w w:val="105"/>
          <w:position w:val="7"/>
          <w:sz w:val="12"/>
        </w:rPr>
        <w:t>107</w:t>
      </w:r>
    </w:p>
    <w:p>
      <w:pPr>
        <w:pStyle w:val="BodyText"/>
        <w:spacing w:before="2"/>
        <w:rPr>
          <w:sz w:val="25"/>
        </w:rPr>
      </w:pPr>
    </w:p>
    <w:p>
      <w:pPr>
        <w:pStyle w:val="Heading5"/>
      </w:pPr>
      <w:bookmarkStart w:name="_TOC_250014" w:id="112"/>
      <w:bookmarkEnd w:id="112"/>
      <w:r>
        <w:rPr>
          <w:w w:val="110"/>
        </w:rPr>
        <w:t>Options raised in the Commission’s consultation paper</w:t>
      </w:r>
    </w:p>
    <w:p>
      <w:pPr>
        <w:pStyle w:val="ListParagraph"/>
        <w:numPr>
          <w:ilvl w:val="1"/>
          <w:numId w:val="22"/>
        </w:numPr>
        <w:tabs>
          <w:tab w:pos="2380" w:val="left" w:leader="none"/>
          <w:tab w:pos="2381" w:val="left" w:leader="none"/>
        </w:tabs>
        <w:spacing w:line="242" w:lineRule="auto" w:before="137" w:after="0"/>
        <w:ind w:left="2381" w:right="1771" w:hanging="794"/>
        <w:jc w:val="left"/>
        <w:rPr>
          <w:sz w:val="21"/>
        </w:rPr>
      </w:pPr>
      <w:r>
        <w:rPr>
          <w:w w:val="105"/>
          <w:sz w:val="21"/>
        </w:rPr>
        <w:t>The</w:t>
      </w:r>
      <w:r>
        <w:rPr>
          <w:spacing w:val="-9"/>
          <w:w w:val="105"/>
          <w:sz w:val="21"/>
        </w:rPr>
        <w:t> </w:t>
      </w:r>
      <w:r>
        <w:rPr>
          <w:spacing w:val="-4"/>
          <w:w w:val="105"/>
          <w:sz w:val="21"/>
        </w:rPr>
        <w:t>Commission’s</w:t>
      </w:r>
      <w:r>
        <w:rPr>
          <w:spacing w:val="-8"/>
          <w:w w:val="105"/>
          <w:sz w:val="21"/>
        </w:rPr>
        <w:t> </w:t>
      </w:r>
      <w:r>
        <w:rPr>
          <w:spacing w:val="-3"/>
          <w:w w:val="105"/>
          <w:sz w:val="21"/>
        </w:rPr>
        <w:t>consultation</w:t>
      </w:r>
      <w:r>
        <w:rPr>
          <w:spacing w:val="-8"/>
          <w:w w:val="105"/>
          <w:sz w:val="21"/>
        </w:rPr>
        <w:t> </w:t>
      </w:r>
      <w:r>
        <w:rPr>
          <w:w w:val="105"/>
          <w:sz w:val="21"/>
        </w:rPr>
        <w:t>paper</w:t>
      </w:r>
      <w:r>
        <w:rPr>
          <w:spacing w:val="-8"/>
          <w:w w:val="105"/>
          <w:sz w:val="21"/>
        </w:rPr>
        <w:t> </w:t>
      </w:r>
      <w:r>
        <w:rPr>
          <w:w w:val="105"/>
          <w:sz w:val="21"/>
        </w:rPr>
        <w:t>set</w:t>
      </w:r>
      <w:r>
        <w:rPr>
          <w:spacing w:val="-8"/>
          <w:w w:val="105"/>
          <w:sz w:val="21"/>
        </w:rPr>
        <w:t> </w:t>
      </w:r>
      <w:r>
        <w:rPr>
          <w:w w:val="105"/>
          <w:sz w:val="21"/>
        </w:rPr>
        <w:t>out</w:t>
      </w:r>
      <w:r>
        <w:rPr>
          <w:spacing w:val="-8"/>
          <w:w w:val="105"/>
          <w:sz w:val="21"/>
        </w:rPr>
        <w:t> </w:t>
      </w:r>
      <w:r>
        <w:rPr>
          <w:w w:val="105"/>
          <w:sz w:val="21"/>
        </w:rPr>
        <w:t>three</w:t>
      </w:r>
      <w:r>
        <w:rPr>
          <w:spacing w:val="-8"/>
          <w:w w:val="105"/>
          <w:sz w:val="21"/>
        </w:rPr>
        <w:t> </w:t>
      </w:r>
      <w:r>
        <w:rPr>
          <w:spacing w:val="-3"/>
          <w:w w:val="105"/>
          <w:sz w:val="21"/>
        </w:rPr>
        <w:t>mutually</w:t>
      </w:r>
      <w:r>
        <w:rPr>
          <w:spacing w:val="-8"/>
          <w:w w:val="105"/>
          <w:sz w:val="21"/>
        </w:rPr>
        <w:t> </w:t>
      </w:r>
      <w:r>
        <w:rPr>
          <w:spacing w:val="-3"/>
          <w:w w:val="105"/>
          <w:sz w:val="21"/>
        </w:rPr>
        <w:t>exclusive</w:t>
      </w:r>
      <w:r>
        <w:rPr>
          <w:spacing w:val="-8"/>
          <w:w w:val="105"/>
          <w:sz w:val="21"/>
        </w:rPr>
        <w:t> </w:t>
      </w:r>
      <w:r>
        <w:rPr>
          <w:w w:val="105"/>
          <w:sz w:val="21"/>
        </w:rPr>
        <w:t>options</w:t>
      </w:r>
      <w:r>
        <w:rPr>
          <w:spacing w:val="-8"/>
          <w:w w:val="105"/>
          <w:sz w:val="21"/>
        </w:rPr>
        <w:t> </w:t>
      </w:r>
      <w:r>
        <w:rPr>
          <w:spacing w:val="-3"/>
          <w:w w:val="105"/>
          <w:sz w:val="21"/>
        </w:rPr>
        <w:t>for</w:t>
      </w:r>
      <w:r>
        <w:rPr>
          <w:spacing w:val="-8"/>
          <w:w w:val="105"/>
          <w:sz w:val="21"/>
        </w:rPr>
        <w:t> </w:t>
      </w:r>
      <w:r>
        <w:rPr>
          <w:spacing w:val="-3"/>
          <w:w w:val="105"/>
          <w:sz w:val="21"/>
        </w:rPr>
        <w:t>reform </w:t>
      </w:r>
      <w:r>
        <w:rPr>
          <w:w w:val="105"/>
          <w:sz w:val="21"/>
        </w:rPr>
        <w:t>of </w:t>
      </w:r>
      <w:r>
        <w:rPr>
          <w:spacing w:val="-3"/>
          <w:w w:val="105"/>
          <w:sz w:val="21"/>
        </w:rPr>
        <w:t>eligibility to </w:t>
      </w:r>
      <w:r>
        <w:rPr>
          <w:spacing w:val="-4"/>
          <w:w w:val="105"/>
          <w:sz w:val="21"/>
        </w:rPr>
        <w:t>make </w:t>
      </w:r>
      <w:r>
        <w:rPr>
          <w:w w:val="105"/>
          <w:sz w:val="21"/>
        </w:rPr>
        <w:t>a </w:t>
      </w:r>
      <w:r>
        <w:rPr>
          <w:spacing w:val="-3"/>
          <w:w w:val="105"/>
          <w:sz w:val="21"/>
        </w:rPr>
        <w:t>family provision</w:t>
      </w:r>
      <w:r>
        <w:rPr>
          <w:spacing w:val="-1"/>
          <w:w w:val="105"/>
          <w:sz w:val="21"/>
        </w:rPr>
        <w:t> </w:t>
      </w:r>
      <w:r>
        <w:rPr>
          <w:w w:val="105"/>
          <w:sz w:val="21"/>
        </w:rPr>
        <w:t>claim:</w:t>
      </w:r>
    </w:p>
    <w:p>
      <w:pPr>
        <w:pStyle w:val="ListParagraph"/>
        <w:numPr>
          <w:ilvl w:val="2"/>
          <w:numId w:val="22"/>
        </w:numPr>
        <w:tabs>
          <w:tab w:pos="2721" w:val="left" w:leader="none"/>
          <w:tab w:pos="2722" w:val="left" w:leader="none"/>
        </w:tabs>
        <w:spacing w:line="242" w:lineRule="auto" w:before="122" w:after="0"/>
        <w:ind w:left="2721" w:right="1913" w:hanging="340"/>
        <w:jc w:val="left"/>
        <w:rPr>
          <w:sz w:val="21"/>
        </w:rPr>
      </w:pPr>
      <w:r>
        <w:rPr>
          <w:spacing w:val="-3"/>
          <w:sz w:val="21"/>
        </w:rPr>
        <w:t>implementing </w:t>
      </w:r>
      <w:r>
        <w:rPr>
          <w:sz w:val="21"/>
        </w:rPr>
        <w:t>the </w:t>
      </w:r>
      <w:r>
        <w:rPr>
          <w:spacing w:val="-3"/>
          <w:sz w:val="21"/>
        </w:rPr>
        <w:t>National </w:t>
      </w:r>
      <w:r>
        <w:rPr>
          <w:spacing w:val="-4"/>
          <w:sz w:val="21"/>
        </w:rPr>
        <w:t>Committee’s </w:t>
      </w:r>
      <w:r>
        <w:rPr>
          <w:sz w:val="21"/>
        </w:rPr>
        <w:t>recommended </w:t>
      </w:r>
      <w:r>
        <w:rPr>
          <w:spacing w:val="-3"/>
          <w:sz w:val="21"/>
        </w:rPr>
        <w:t>approach, </w:t>
      </w:r>
      <w:r>
        <w:rPr>
          <w:sz w:val="21"/>
        </w:rPr>
        <w:t>which is broadly </w:t>
      </w:r>
      <w:r>
        <w:rPr>
          <w:spacing w:val="-3"/>
          <w:sz w:val="21"/>
        </w:rPr>
        <w:t>similar</w:t>
      </w:r>
      <w:r>
        <w:rPr>
          <w:spacing w:val="9"/>
          <w:sz w:val="21"/>
        </w:rPr>
        <w:t> </w:t>
      </w:r>
      <w:r>
        <w:rPr>
          <w:spacing w:val="-3"/>
          <w:sz w:val="21"/>
        </w:rPr>
        <w:t>to</w:t>
      </w:r>
      <w:r>
        <w:rPr>
          <w:spacing w:val="10"/>
          <w:sz w:val="21"/>
        </w:rPr>
        <w:t> </w:t>
      </w:r>
      <w:r>
        <w:rPr>
          <w:sz w:val="21"/>
        </w:rPr>
        <w:t>the</w:t>
      </w:r>
      <w:r>
        <w:rPr>
          <w:spacing w:val="9"/>
          <w:sz w:val="21"/>
        </w:rPr>
        <w:t> </w:t>
      </w:r>
      <w:r>
        <w:rPr>
          <w:spacing w:val="-3"/>
          <w:sz w:val="21"/>
        </w:rPr>
        <w:t>responsibility</w:t>
      </w:r>
      <w:r>
        <w:rPr>
          <w:spacing w:val="10"/>
          <w:sz w:val="21"/>
        </w:rPr>
        <w:t> </w:t>
      </w:r>
      <w:r>
        <w:rPr>
          <w:sz w:val="21"/>
        </w:rPr>
        <w:t>test</w:t>
      </w:r>
      <w:r>
        <w:rPr>
          <w:spacing w:val="9"/>
          <w:sz w:val="21"/>
        </w:rPr>
        <w:t> </w:t>
      </w:r>
      <w:r>
        <w:rPr>
          <w:spacing w:val="-3"/>
          <w:sz w:val="21"/>
        </w:rPr>
        <w:t>currently</w:t>
      </w:r>
      <w:r>
        <w:rPr>
          <w:spacing w:val="10"/>
          <w:sz w:val="21"/>
        </w:rPr>
        <w:t> </w:t>
      </w:r>
      <w:r>
        <w:rPr>
          <w:sz w:val="21"/>
        </w:rPr>
        <w:t>in</w:t>
      </w:r>
      <w:r>
        <w:rPr>
          <w:spacing w:val="10"/>
          <w:sz w:val="21"/>
        </w:rPr>
        <w:t> </w:t>
      </w:r>
      <w:r>
        <w:rPr>
          <w:sz w:val="21"/>
        </w:rPr>
        <w:t>operation</w:t>
      </w:r>
      <w:r>
        <w:rPr>
          <w:spacing w:val="9"/>
          <w:sz w:val="21"/>
        </w:rPr>
        <w:t> </w:t>
      </w:r>
      <w:r>
        <w:rPr>
          <w:sz w:val="21"/>
        </w:rPr>
        <w:t>in</w:t>
      </w:r>
      <w:r>
        <w:rPr>
          <w:spacing w:val="10"/>
          <w:sz w:val="21"/>
        </w:rPr>
        <w:t> </w:t>
      </w:r>
      <w:r>
        <w:rPr>
          <w:sz w:val="21"/>
        </w:rPr>
        <w:t>Victoria</w:t>
      </w:r>
    </w:p>
    <w:p>
      <w:pPr>
        <w:pStyle w:val="ListParagraph"/>
        <w:numPr>
          <w:ilvl w:val="2"/>
          <w:numId w:val="22"/>
        </w:numPr>
        <w:tabs>
          <w:tab w:pos="2721" w:val="left" w:leader="none"/>
          <w:tab w:pos="2722" w:val="left" w:leader="none"/>
        </w:tabs>
        <w:spacing w:line="240" w:lineRule="auto" w:before="123" w:after="0"/>
        <w:ind w:left="2721" w:right="0" w:hanging="340"/>
        <w:jc w:val="left"/>
        <w:rPr>
          <w:sz w:val="21"/>
        </w:rPr>
      </w:pPr>
      <w:r>
        <w:rPr>
          <w:spacing w:val="-3"/>
          <w:w w:val="105"/>
          <w:sz w:val="21"/>
        </w:rPr>
        <w:t>introducing </w:t>
      </w:r>
      <w:r>
        <w:rPr>
          <w:w w:val="105"/>
          <w:sz w:val="21"/>
        </w:rPr>
        <w:t>a flexible list of </w:t>
      </w:r>
      <w:r>
        <w:rPr>
          <w:spacing w:val="-3"/>
          <w:w w:val="105"/>
          <w:sz w:val="21"/>
        </w:rPr>
        <w:t>eligible </w:t>
      </w:r>
      <w:r>
        <w:rPr>
          <w:w w:val="105"/>
          <w:sz w:val="21"/>
        </w:rPr>
        <w:t>applicants, as in New South</w:t>
      </w:r>
      <w:r>
        <w:rPr>
          <w:spacing w:val="47"/>
          <w:w w:val="105"/>
          <w:sz w:val="21"/>
        </w:rPr>
        <w:t> </w:t>
      </w:r>
      <w:r>
        <w:rPr>
          <w:spacing w:val="-3"/>
          <w:w w:val="105"/>
          <w:sz w:val="21"/>
        </w:rPr>
        <w:t>Wales</w:t>
      </w:r>
    </w:p>
    <w:p>
      <w:pPr>
        <w:pStyle w:val="ListParagraph"/>
        <w:numPr>
          <w:ilvl w:val="2"/>
          <w:numId w:val="22"/>
        </w:numPr>
        <w:tabs>
          <w:tab w:pos="2721" w:val="left" w:leader="none"/>
          <w:tab w:pos="2722" w:val="left" w:leader="none"/>
        </w:tabs>
        <w:spacing w:line="230" w:lineRule="auto" w:before="131" w:after="0"/>
        <w:ind w:left="2721" w:right="2344" w:hanging="340"/>
        <w:jc w:val="left"/>
        <w:rPr>
          <w:sz w:val="14"/>
        </w:rPr>
      </w:pPr>
      <w:r>
        <w:rPr>
          <w:spacing w:val="-3"/>
          <w:w w:val="105"/>
          <w:sz w:val="21"/>
        </w:rPr>
        <w:t>retaining</w:t>
      </w:r>
      <w:r>
        <w:rPr>
          <w:spacing w:val="-8"/>
          <w:w w:val="105"/>
          <w:sz w:val="21"/>
        </w:rPr>
        <w:t> </w:t>
      </w:r>
      <w:r>
        <w:rPr>
          <w:spacing w:val="-3"/>
          <w:w w:val="105"/>
          <w:sz w:val="21"/>
        </w:rPr>
        <w:t>Victoria’s</w:t>
      </w:r>
      <w:r>
        <w:rPr>
          <w:spacing w:val="-8"/>
          <w:w w:val="105"/>
          <w:sz w:val="21"/>
        </w:rPr>
        <w:t> </w:t>
      </w:r>
      <w:r>
        <w:rPr>
          <w:spacing w:val="-3"/>
          <w:w w:val="105"/>
          <w:sz w:val="21"/>
        </w:rPr>
        <w:t>responsibility</w:t>
      </w:r>
      <w:r>
        <w:rPr>
          <w:spacing w:val="-8"/>
          <w:w w:val="105"/>
          <w:sz w:val="21"/>
        </w:rPr>
        <w:t> </w:t>
      </w:r>
      <w:r>
        <w:rPr>
          <w:w w:val="105"/>
          <w:sz w:val="21"/>
        </w:rPr>
        <w:t>test,</w:t>
      </w:r>
      <w:r>
        <w:rPr>
          <w:spacing w:val="-8"/>
          <w:w w:val="105"/>
          <w:sz w:val="21"/>
        </w:rPr>
        <w:t> </w:t>
      </w:r>
      <w:r>
        <w:rPr>
          <w:w w:val="105"/>
          <w:sz w:val="21"/>
        </w:rPr>
        <w:t>but</w:t>
      </w:r>
      <w:r>
        <w:rPr>
          <w:spacing w:val="-8"/>
          <w:w w:val="105"/>
          <w:sz w:val="21"/>
        </w:rPr>
        <w:t> </w:t>
      </w:r>
      <w:r>
        <w:rPr>
          <w:spacing w:val="-3"/>
          <w:w w:val="105"/>
          <w:sz w:val="21"/>
        </w:rPr>
        <w:t>introducing</w:t>
      </w:r>
      <w:r>
        <w:rPr>
          <w:spacing w:val="-7"/>
          <w:w w:val="105"/>
          <w:sz w:val="21"/>
        </w:rPr>
        <w:t> </w:t>
      </w:r>
      <w:r>
        <w:rPr>
          <w:w w:val="105"/>
          <w:sz w:val="21"/>
        </w:rPr>
        <w:t>a</w:t>
      </w:r>
      <w:r>
        <w:rPr>
          <w:spacing w:val="-8"/>
          <w:w w:val="105"/>
          <w:sz w:val="21"/>
        </w:rPr>
        <w:t> </w:t>
      </w:r>
      <w:r>
        <w:rPr>
          <w:spacing w:val="-3"/>
          <w:w w:val="105"/>
          <w:sz w:val="21"/>
        </w:rPr>
        <w:t>threshold</w:t>
      </w:r>
      <w:r>
        <w:rPr>
          <w:spacing w:val="-8"/>
          <w:w w:val="105"/>
          <w:sz w:val="21"/>
        </w:rPr>
        <w:t> </w:t>
      </w:r>
      <w:r>
        <w:rPr>
          <w:spacing w:val="-3"/>
          <w:w w:val="105"/>
          <w:sz w:val="21"/>
        </w:rPr>
        <w:t>requirement </w:t>
      </w:r>
      <w:r>
        <w:rPr>
          <w:w w:val="105"/>
          <w:sz w:val="21"/>
        </w:rPr>
        <w:t>of dependence and/or </w:t>
      </w:r>
      <w:r>
        <w:rPr>
          <w:spacing w:val="-3"/>
          <w:w w:val="105"/>
          <w:sz w:val="21"/>
        </w:rPr>
        <w:t>financial </w:t>
      </w:r>
      <w:r>
        <w:rPr>
          <w:w w:val="105"/>
          <w:sz w:val="21"/>
        </w:rPr>
        <w:t>need.</w:t>
      </w:r>
      <w:r>
        <w:rPr>
          <w:spacing w:val="3"/>
          <w:w w:val="105"/>
          <w:sz w:val="21"/>
        </w:rPr>
        <w:t> </w:t>
      </w:r>
      <w:r>
        <w:rPr>
          <w:w w:val="105"/>
          <w:position w:val="8"/>
          <w:sz w:val="14"/>
        </w:rPr>
        <w:t>108</w:t>
      </w:r>
    </w:p>
    <w:p>
      <w:pPr>
        <w:pStyle w:val="BodyText"/>
        <w:spacing w:before="3"/>
        <w:rPr>
          <w:sz w:val="27"/>
        </w:rPr>
      </w:pPr>
    </w:p>
    <w:p>
      <w:pPr>
        <w:pStyle w:val="Heading6"/>
      </w:pPr>
      <w:r>
        <w:rPr>
          <w:w w:val="115"/>
        </w:rPr>
        <w:t>The National Committee’s recommended model</w:t>
      </w:r>
    </w:p>
    <w:p>
      <w:pPr>
        <w:pStyle w:val="ListParagraph"/>
        <w:numPr>
          <w:ilvl w:val="1"/>
          <w:numId w:val="22"/>
        </w:numPr>
        <w:tabs>
          <w:tab w:pos="2381" w:val="left" w:leader="none"/>
          <w:tab w:pos="2382" w:val="left" w:leader="none"/>
        </w:tabs>
        <w:spacing w:line="242" w:lineRule="auto" w:before="151" w:after="0"/>
        <w:ind w:left="2381" w:right="1923" w:hanging="794"/>
        <w:jc w:val="left"/>
        <w:rPr>
          <w:sz w:val="21"/>
        </w:rPr>
      </w:pPr>
      <w:r>
        <w:rPr>
          <w:w w:val="105"/>
          <w:sz w:val="21"/>
        </w:rPr>
        <w:t>The</w:t>
      </w:r>
      <w:r>
        <w:rPr>
          <w:spacing w:val="-7"/>
          <w:w w:val="105"/>
          <w:sz w:val="21"/>
        </w:rPr>
        <w:t> </w:t>
      </w:r>
      <w:r>
        <w:rPr>
          <w:spacing w:val="-3"/>
          <w:w w:val="105"/>
          <w:sz w:val="21"/>
        </w:rPr>
        <w:t>National</w:t>
      </w:r>
      <w:r>
        <w:rPr>
          <w:spacing w:val="-6"/>
          <w:w w:val="105"/>
          <w:sz w:val="21"/>
        </w:rPr>
        <w:t> </w:t>
      </w:r>
      <w:r>
        <w:rPr>
          <w:spacing w:val="-3"/>
          <w:w w:val="105"/>
          <w:sz w:val="21"/>
        </w:rPr>
        <w:t>Committee</w:t>
      </w:r>
      <w:r>
        <w:rPr>
          <w:spacing w:val="-6"/>
          <w:w w:val="105"/>
          <w:sz w:val="21"/>
        </w:rPr>
        <w:t> </w:t>
      </w:r>
      <w:r>
        <w:rPr>
          <w:w w:val="105"/>
          <w:sz w:val="21"/>
        </w:rPr>
        <w:t>recommended</w:t>
      </w:r>
      <w:r>
        <w:rPr>
          <w:spacing w:val="-6"/>
          <w:w w:val="105"/>
          <w:sz w:val="21"/>
        </w:rPr>
        <w:t> </w:t>
      </w:r>
      <w:r>
        <w:rPr>
          <w:spacing w:val="-3"/>
          <w:w w:val="105"/>
          <w:sz w:val="21"/>
        </w:rPr>
        <w:t>that</w:t>
      </w:r>
      <w:r>
        <w:rPr>
          <w:spacing w:val="-6"/>
          <w:w w:val="105"/>
          <w:sz w:val="21"/>
        </w:rPr>
        <w:t> </w:t>
      </w:r>
      <w:r>
        <w:rPr>
          <w:w w:val="105"/>
          <w:sz w:val="21"/>
        </w:rPr>
        <w:t>people</w:t>
      </w:r>
      <w:r>
        <w:rPr>
          <w:spacing w:val="-6"/>
          <w:w w:val="105"/>
          <w:sz w:val="21"/>
        </w:rPr>
        <w:t> </w:t>
      </w:r>
      <w:r>
        <w:rPr>
          <w:w w:val="105"/>
          <w:sz w:val="21"/>
        </w:rPr>
        <w:t>in</w:t>
      </w:r>
      <w:r>
        <w:rPr>
          <w:spacing w:val="-6"/>
          <w:w w:val="105"/>
          <w:sz w:val="21"/>
        </w:rPr>
        <w:t> </w:t>
      </w:r>
      <w:r>
        <w:rPr>
          <w:w w:val="105"/>
          <w:sz w:val="21"/>
        </w:rPr>
        <w:t>the</w:t>
      </w:r>
      <w:r>
        <w:rPr>
          <w:spacing w:val="-7"/>
          <w:w w:val="105"/>
          <w:sz w:val="21"/>
        </w:rPr>
        <w:t> </w:t>
      </w:r>
      <w:r>
        <w:rPr>
          <w:spacing w:val="-3"/>
          <w:w w:val="105"/>
          <w:sz w:val="21"/>
        </w:rPr>
        <w:t>following</w:t>
      </w:r>
      <w:r>
        <w:rPr>
          <w:spacing w:val="-6"/>
          <w:w w:val="105"/>
          <w:sz w:val="21"/>
        </w:rPr>
        <w:t> </w:t>
      </w:r>
      <w:r>
        <w:rPr>
          <w:w w:val="105"/>
          <w:sz w:val="21"/>
        </w:rPr>
        <w:t>categories</w:t>
      </w:r>
      <w:r>
        <w:rPr>
          <w:spacing w:val="-6"/>
          <w:w w:val="105"/>
          <w:sz w:val="21"/>
        </w:rPr>
        <w:t> </w:t>
      </w:r>
      <w:r>
        <w:rPr>
          <w:w w:val="105"/>
          <w:sz w:val="21"/>
        </w:rPr>
        <w:t>should be </w:t>
      </w:r>
      <w:r>
        <w:rPr>
          <w:spacing w:val="-3"/>
          <w:w w:val="105"/>
          <w:sz w:val="21"/>
        </w:rPr>
        <w:t>eligible to </w:t>
      </w:r>
      <w:r>
        <w:rPr>
          <w:spacing w:val="-4"/>
          <w:w w:val="105"/>
          <w:sz w:val="21"/>
        </w:rPr>
        <w:t>make </w:t>
      </w:r>
      <w:r>
        <w:rPr>
          <w:w w:val="105"/>
          <w:sz w:val="21"/>
        </w:rPr>
        <w:t>a </w:t>
      </w:r>
      <w:r>
        <w:rPr>
          <w:spacing w:val="-3"/>
          <w:w w:val="105"/>
          <w:sz w:val="21"/>
        </w:rPr>
        <w:t>family provision</w:t>
      </w:r>
      <w:r>
        <w:rPr>
          <w:spacing w:val="-1"/>
          <w:w w:val="105"/>
          <w:sz w:val="21"/>
        </w:rPr>
        <w:t> </w:t>
      </w:r>
      <w:r>
        <w:rPr>
          <w:w w:val="105"/>
          <w:sz w:val="21"/>
        </w:rPr>
        <w:t>claim:</w:t>
      </w:r>
    </w:p>
    <w:p>
      <w:pPr>
        <w:pStyle w:val="ListParagraph"/>
        <w:numPr>
          <w:ilvl w:val="2"/>
          <w:numId w:val="22"/>
        </w:numPr>
        <w:tabs>
          <w:tab w:pos="2721" w:val="left" w:leader="none"/>
          <w:tab w:pos="2722" w:val="left" w:leader="none"/>
        </w:tabs>
        <w:spacing w:line="240" w:lineRule="auto" w:before="122" w:after="0"/>
        <w:ind w:left="2721" w:right="0" w:hanging="340"/>
        <w:jc w:val="left"/>
        <w:rPr>
          <w:sz w:val="21"/>
        </w:rPr>
      </w:pPr>
      <w:r>
        <w:rPr>
          <w:w w:val="105"/>
          <w:sz w:val="21"/>
        </w:rPr>
        <w:t>the deceased </w:t>
      </w:r>
      <w:r>
        <w:rPr>
          <w:spacing w:val="-3"/>
          <w:w w:val="105"/>
          <w:sz w:val="21"/>
        </w:rPr>
        <w:t>person’s </w:t>
      </w:r>
      <w:r>
        <w:rPr>
          <w:w w:val="105"/>
          <w:sz w:val="21"/>
        </w:rPr>
        <w:t>spouse at the time of the deceased </w:t>
      </w:r>
      <w:r>
        <w:rPr>
          <w:spacing w:val="-3"/>
          <w:w w:val="105"/>
          <w:sz w:val="21"/>
        </w:rPr>
        <w:t>person’s</w:t>
      </w:r>
      <w:r>
        <w:rPr>
          <w:spacing w:val="31"/>
          <w:w w:val="105"/>
          <w:sz w:val="21"/>
        </w:rPr>
        <w:t> </w:t>
      </w:r>
      <w:r>
        <w:rPr>
          <w:w w:val="105"/>
          <w:sz w:val="21"/>
        </w:rPr>
        <w:t>death</w:t>
      </w:r>
    </w:p>
    <w:p>
      <w:pPr>
        <w:pStyle w:val="ListParagraph"/>
        <w:numPr>
          <w:ilvl w:val="2"/>
          <w:numId w:val="22"/>
        </w:numPr>
        <w:tabs>
          <w:tab w:pos="2721" w:val="left" w:leader="none"/>
          <w:tab w:pos="2722" w:val="left" w:leader="none"/>
        </w:tabs>
        <w:spacing w:line="240" w:lineRule="auto" w:before="124" w:after="0"/>
        <w:ind w:left="2721" w:right="0" w:hanging="340"/>
        <w:jc w:val="left"/>
        <w:rPr>
          <w:sz w:val="21"/>
        </w:rPr>
      </w:pPr>
      <w:r>
        <w:rPr>
          <w:w w:val="105"/>
          <w:sz w:val="21"/>
        </w:rPr>
        <w:t>the deceased </w:t>
      </w:r>
      <w:r>
        <w:rPr>
          <w:spacing w:val="-3"/>
          <w:w w:val="105"/>
          <w:sz w:val="21"/>
        </w:rPr>
        <w:t>person’s </w:t>
      </w:r>
      <w:r>
        <w:rPr>
          <w:w w:val="105"/>
          <w:sz w:val="21"/>
        </w:rPr>
        <w:t>de facto partner at the time of the deceased </w:t>
      </w:r>
      <w:r>
        <w:rPr>
          <w:spacing w:val="-3"/>
          <w:w w:val="105"/>
          <w:sz w:val="21"/>
        </w:rPr>
        <w:t>person’s</w:t>
      </w:r>
      <w:r>
        <w:rPr>
          <w:spacing w:val="20"/>
          <w:w w:val="105"/>
          <w:sz w:val="21"/>
        </w:rPr>
        <w:t> </w:t>
      </w:r>
      <w:r>
        <w:rPr>
          <w:w w:val="105"/>
          <w:sz w:val="21"/>
        </w:rPr>
        <w:t>death</w:t>
      </w:r>
    </w:p>
    <w:p>
      <w:pPr>
        <w:pStyle w:val="ListParagraph"/>
        <w:numPr>
          <w:ilvl w:val="2"/>
          <w:numId w:val="22"/>
        </w:numPr>
        <w:tabs>
          <w:tab w:pos="2721" w:val="left" w:leader="none"/>
          <w:tab w:pos="2722" w:val="left" w:leader="none"/>
        </w:tabs>
        <w:spacing w:line="242" w:lineRule="auto" w:before="124" w:after="0"/>
        <w:ind w:left="2721" w:right="1750" w:hanging="340"/>
        <w:jc w:val="left"/>
        <w:rPr>
          <w:sz w:val="21"/>
        </w:rPr>
      </w:pPr>
      <w:r>
        <w:rPr>
          <w:w w:val="105"/>
          <w:sz w:val="21"/>
        </w:rPr>
        <w:t>a non-adult </w:t>
      </w:r>
      <w:r>
        <w:rPr>
          <w:spacing w:val="-3"/>
          <w:w w:val="105"/>
          <w:sz w:val="21"/>
        </w:rPr>
        <w:t>child </w:t>
      </w:r>
      <w:r>
        <w:rPr>
          <w:w w:val="105"/>
          <w:sz w:val="21"/>
        </w:rPr>
        <w:t>of the deceased person, defined as a person who was under the age of </w:t>
      </w:r>
      <w:r>
        <w:rPr>
          <w:spacing w:val="-6"/>
          <w:w w:val="105"/>
          <w:sz w:val="21"/>
        </w:rPr>
        <w:t>18 </w:t>
      </w:r>
      <w:r>
        <w:rPr>
          <w:w w:val="105"/>
          <w:sz w:val="21"/>
        </w:rPr>
        <w:t>at the time of the deceased </w:t>
      </w:r>
      <w:r>
        <w:rPr>
          <w:spacing w:val="-3"/>
          <w:w w:val="105"/>
          <w:sz w:val="21"/>
        </w:rPr>
        <w:t>person’s death, including natural </w:t>
      </w:r>
      <w:r>
        <w:rPr>
          <w:w w:val="105"/>
          <w:sz w:val="21"/>
        </w:rPr>
        <w:t>and adopted </w:t>
      </w:r>
      <w:r>
        <w:rPr>
          <w:spacing w:val="-3"/>
          <w:w w:val="105"/>
          <w:sz w:val="21"/>
        </w:rPr>
        <w:t>children </w:t>
      </w:r>
      <w:r>
        <w:rPr>
          <w:w w:val="105"/>
          <w:sz w:val="21"/>
        </w:rPr>
        <w:t>but </w:t>
      </w:r>
      <w:r>
        <w:rPr>
          <w:spacing w:val="-2"/>
          <w:w w:val="105"/>
          <w:sz w:val="21"/>
        </w:rPr>
        <w:t>not</w:t>
      </w:r>
      <w:r>
        <w:rPr>
          <w:spacing w:val="18"/>
          <w:w w:val="105"/>
          <w:sz w:val="21"/>
        </w:rPr>
        <w:t> </w:t>
      </w:r>
      <w:r>
        <w:rPr>
          <w:spacing w:val="-3"/>
          <w:w w:val="105"/>
          <w:sz w:val="21"/>
        </w:rPr>
        <w:t>stepchildren</w:t>
      </w:r>
    </w:p>
    <w:p>
      <w:pPr>
        <w:pStyle w:val="ListParagraph"/>
        <w:numPr>
          <w:ilvl w:val="2"/>
          <w:numId w:val="22"/>
        </w:numPr>
        <w:tabs>
          <w:tab w:pos="2721" w:val="left" w:leader="none"/>
          <w:tab w:pos="2722" w:val="left" w:leader="none"/>
        </w:tabs>
        <w:spacing w:line="242" w:lineRule="auto" w:before="123" w:after="0"/>
        <w:ind w:left="2721" w:right="1586" w:hanging="340"/>
        <w:jc w:val="left"/>
        <w:rPr>
          <w:sz w:val="12"/>
        </w:rPr>
      </w:pPr>
      <w:r>
        <w:rPr>
          <w:w w:val="105"/>
          <w:sz w:val="21"/>
        </w:rPr>
        <w:t>a</w:t>
      </w:r>
      <w:r>
        <w:rPr>
          <w:spacing w:val="-7"/>
          <w:w w:val="105"/>
          <w:sz w:val="21"/>
        </w:rPr>
        <w:t> </w:t>
      </w:r>
      <w:r>
        <w:rPr>
          <w:w w:val="105"/>
          <w:sz w:val="21"/>
        </w:rPr>
        <w:t>person</w:t>
      </w:r>
      <w:r>
        <w:rPr>
          <w:spacing w:val="-7"/>
          <w:w w:val="105"/>
          <w:sz w:val="21"/>
        </w:rPr>
        <w:t> </w:t>
      </w:r>
      <w:r>
        <w:rPr>
          <w:spacing w:val="-3"/>
          <w:w w:val="105"/>
          <w:sz w:val="21"/>
        </w:rPr>
        <w:t>to</w:t>
      </w:r>
      <w:r>
        <w:rPr>
          <w:spacing w:val="-7"/>
          <w:w w:val="105"/>
          <w:sz w:val="21"/>
        </w:rPr>
        <w:t> </w:t>
      </w:r>
      <w:r>
        <w:rPr>
          <w:w w:val="105"/>
          <w:sz w:val="21"/>
        </w:rPr>
        <w:t>whom</w:t>
      </w:r>
      <w:r>
        <w:rPr>
          <w:spacing w:val="-6"/>
          <w:w w:val="105"/>
          <w:sz w:val="21"/>
        </w:rPr>
        <w:t> </w:t>
      </w:r>
      <w:r>
        <w:rPr>
          <w:w w:val="105"/>
          <w:sz w:val="21"/>
        </w:rPr>
        <w:t>the</w:t>
      </w:r>
      <w:r>
        <w:rPr>
          <w:spacing w:val="-7"/>
          <w:w w:val="105"/>
          <w:sz w:val="21"/>
        </w:rPr>
        <w:t> </w:t>
      </w:r>
      <w:r>
        <w:rPr>
          <w:w w:val="105"/>
          <w:sz w:val="21"/>
        </w:rPr>
        <w:t>deceased</w:t>
      </w:r>
      <w:r>
        <w:rPr>
          <w:spacing w:val="-7"/>
          <w:w w:val="105"/>
          <w:sz w:val="21"/>
        </w:rPr>
        <w:t> </w:t>
      </w:r>
      <w:r>
        <w:rPr>
          <w:w w:val="105"/>
          <w:sz w:val="21"/>
        </w:rPr>
        <w:t>person</w:t>
      </w:r>
      <w:r>
        <w:rPr>
          <w:spacing w:val="-6"/>
          <w:w w:val="105"/>
          <w:sz w:val="21"/>
        </w:rPr>
        <w:t> </w:t>
      </w:r>
      <w:r>
        <w:rPr>
          <w:w w:val="105"/>
          <w:sz w:val="21"/>
        </w:rPr>
        <w:t>owed</w:t>
      </w:r>
      <w:r>
        <w:rPr>
          <w:spacing w:val="-7"/>
          <w:w w:val="105"/>
          <w:sz w:val="21"/>
        </w:rPr>
        <w:t> </w:t>
      </w:r>
      <w:r>
        <w:rPr>
          <w:w w:val="105"/>
          <w:sz w:val="21"/>
        </w:rPr>
        <w:t>a</w:t>
      </w:r>
      <w:r>
        <w:rPr>
          <w:spacing w:val="-7"/>
          <w:w w:val="105"/>
          <w:sz w:val="21"/>
        </w:rPr>
        <w:t> </w:t>
      </w:r>
      <w:r>
        <w:rPr>
          <w:spacing w:val="-3"/>
          <w:w w:val="105"/>
          <w:sz w:val="21"/>
        </w:rPr>
        <w:t>responsibility</w:t>
      </w:r>
      <w:r>
        <w:rPr>
          <w:spacing w:val="-6"/>
          <w:w w:val="105"/>
          <w:sz w:val="21"/>
        </w:rPr>
        <w:t> </w:t>
      </w:r>
      <w:r>
        <w:rPr>
          <w:spacing w:val="-3"/>
          <w:w w:val="105"/>
          <w:sz w:val="21"/>
        </w:rPr>
        <w:t>to</w:t>
      </w:r>
      <w:r>
        <w:rPr>
          <w:spacing w:val="-7"/>
          <w:w w:val="105"/>
          <w:sz w:val="21"/>
        </w:rPr>
        <w:t> </w:t>
      </w:r>
      <w:r>
        <w:rPr>
          <w:w w:val="105"/>
          <w:sz w:val="21"/>
        </w:rPr>
        <w:t>provide</w:t>
      </w:r>
      <w:r>
        <w:rPr>
          <w:spacing w:val="-7"/>
          <w:w w:val="105"/>
          <w:sz w:val="21"/>
        </w:rPr>
        <w:t> </w:t>
      </w:r>
      <w:r>
        <w:rPr>
          <w:spacing w:val="-4"/>
          <w:w w:val="105"/>
          <w:sz w:val="21"/>
        </w:rPr>
        <w:t>maintenance, </w:t>
      </w:r>
      <w:r>
        <w:rPr>
          <w:w w:val="105"/>
          <w:sz w:val="21"/>
        </w:rPr>
        <w:t>education or </w:t>
      </w:r>
      <w:r>
        <w:rPr>
          <w:spacing w:val="-3"/>
          <w:w w:val="105"/>
          <w:sz w:val="21"/>
        </w:rPr>
        <w:t>advancement </w:t>
      </w:r>
      <w:r>
        <w:rPr>
          <w:w w:val="105"/>
          <w:sz w:val="21"/>
        </w:rPr>
        <w:t>in</w:t>
      </w:r>
      <w:r>
        <w:rPr>
          <w:spacing w:val="23"/>
          <w:w w:val="105"/>
          <w:sz w:val="21"/>
        </w:rPr>
        <w:t> </w:t>
      </w:r>
      <w:r>
        <w:rPr>
          <w:spacing w:val="-6"/>
          <w:w w:val="105"/>
          <w:sz w:val="21"/>
        </w:rPr>
        <w:t>life.</w:t>
      </w:r>
      <w:r>
        <w:rPr>
          <w:spacing w:val="-6"/>
          <w:w w:val="105"/>
          <w:position w:val="7"/>
          <w:sz w:val="12"/>
        </w:rPr>
        <w:t>109</w:t>
      </w:r>
    </w:p>
    <w:p>
      <w:pPr>
        <w:pStyle w:val="ListParagraph"/>
        <w:numPr>
          <w:ilvl w:val="1"/>
          <w:numId w:val="22"/>
        </w:numPr>
        <w:tabs>
          <w:tab w:pos="2380" w:val="left" w:leader="none"/>
          <w:tab w:pos="2381" w:val="left" w:leader="none"/>
        </w:tabs>
        <w:spacing w:line="242" w:lineRule="auto" w:before="122" w:after="0"/>
        <w:ind w:left="2381" w:right="1772" w:hanging="794"/>
        <w:jc w:val="left"/>
        <w:rPr>
          <w:sz w:val="12"/>
        </w:rPr>
      </w:pPr>
      <w:r>
        <w:rPr/>
        <w:pict>
          <v:line style="position:absolute;mso-position-horizontal-relative:page;mso-position-vertical-relative:paragraph;z-index:7040;mso-wrap-distance-left:0;mso-wrap-distance-right:0" from="79.370102pt,77.372162pt" to="515.905102pt,77.372162pt" stroked="true" strokeweight="1pt" strokecolor="#f9ceca">
            <v:stroke dashstyle="solid"/>
            <w10:wrap type="topAndBottom"/>
          </v:line>
        </w:pict>
      </w:r>
      <w:r>
        <w:rPr>
          <w:w w:val="105"/>
          <w:sz w:val="21"/>
        </w:rPr>
        <w:t>The</w:t>
      </w:r>
      <w:r>
        <w:rPr>
          <w:spacing w:val="-12"/>
          <w:w w:val="105"/>
          <w:sz w:val="21"/>
        </w:rPr>
        <w:t> </w:t>
      </w:r>
      <w:r>
        <w:rPr>
          <w:spacing w:val="-3"/>
          <w:w w:val="105"/>
          <w:sz w:val="21"/>
        </w:rPr>
        <w:t>National</w:t>
      </w:r>
      <w:r>
        <w:rPr>
          <w:spacing w:val="-11"/>
          <w:w w:val="105"/>
          <w:sz w:val="21"/>
        </w:rPr>
        <w:t> </w:t>
      </w:r>
      <w:r>
        <w:rPr>
          <w:spacing w:val="-3"/>
          <w:w w:val="105"/>
          <w:sz w:val="21"/>
        </w:rPr>
        <w:t>Committee</w:t>
      </w:r>
      <w:r>
        <w:rPr>
          <w:spacing w:val="-11"/>
          <w:w w:val="105"/>
          <w:sz w:val="21"/>
        </w:rPr>
        <w:t> </w:t>
      </w:r>
      <w:r>
        <w:rPr>
          <w:w w:val="105"/>
          <w:sz w:val="21"/>
        </w:rPr>
        <w:t>recommended</w:t>
      </w:r>
      <w:r>
        <w:rPr>
          <w:spacing w:val="-12"/>
          <w:w w:val="105"/>
          <w:sz w:val="21"/>
        </w:rPr>
        <w:t> </w:t>
      </w:r>
      <w:r>
        <w:rPr>
          <w:spacing w:val="-3"/>
          <w:w w:val="105"/>
          <w:sz w:val="21"/>
        </w:rPr>
        <w:t>that</w:t>
      </w:r>
      <w:r>
        <w:rPr>
          <w:spacing w:val="-11"/>
          <w:w w:val="105"/>
          <w:sz w:val="21"/>
        </w:rPr>
        <w:t> </w:t>
      </w:r>
      <w:r>
        <w:rPr>
          <w:w w:val="105"/>
          <w:sz w:val="21"/>
        </w:rPr>
        <w:t>those</w:t>
      </w:r>
      <w:r>
        <w:rPr>
          <w:spacing w:val="-11"/>
          <w:w w:val="105"/>
          <w:sz w:val="21"/>
        </w:rPr>
        <w:t> </w:t>
      </w:r>
      <w:r>
        <w:rPr>
          <w:w w:val="105"/>
          <w:sz w:val="21"/>
        </w:rPr>
        <w:t>in</w:t>
      </w:r>
      <w:r>
        <w:rPr>
          <w:spacing w:val="-12"/>
          <w:w w:val="105"/>
          <w:sz w:val="21"/>
        </w:rPr>
        <w:t> </w:t>
      </w:r>
      <w:r>
        <w:rPr>
          <w:w w:val="105"/>
          <w:sz w:val="21"/>
        </w:rPr>
        <w:t>the</w:t>
      </w:r>
      <w:r>
        <w:rPr>
          <w:spacing w:val="-11"/>
          <w:w w:val="105"/>
          <w:sz w:val="21"/>
        </w:rPr>
        <w:t> </w:t>
      </w:r>
      <w:r>
        <w:rPr>
          <w:w w:val="105"/>
          <w:sz w:val="21"/>
        </w:rPr>
        <w:t>first</w:t>
      </w:r>
      <w:r>
        <w:rPr>
          <w:spacing w:val="-11"/>
          <w:w w:val="105"/>
          <w:sz w:val="21"/>
        </w:rPr>
        <w:t> </w:t>
      </w:r>
      <w:r>
        <w:rPr>
          <w:w w:val="105"/>
          <w:sz w:val="21"/>
        </w:rPr>
        <w:t>three</w:t>
      </w:r>
      <w:r>
        <w:rPr>
          <w:spacing w:val="-12"/>
          <w:w w:val="105"/>
          <w:sz w:val="21"/>
        </w:rPr>
        <w:t> </w:t>
      </w:r>
      <w:r>
        <w:rPr>
          <w:w w:val="105"/>
          <w:sz w:val="21"/>
        </w:rPr>
        <w:t>categories—spouse, de facto </w:t>
      </w:r>
      <w:r>
        <w:rPr>
          <w:spacing w:val="-3"/>
          <w:w w:val="105"/>
          <w:sz w:val="21"/>
        </w:rPr>
        <w:t>partner, </w:t>
      </w:r>
      <w:r>
        <w:rPr>
          <w:w w:val="105"/>
          <w:sz w:val="21"/>
        </w:rPr>
        <w:t>non-adult child—would be </w:t>
      </w:r>
      <w:r>
        <w:rPr>
          <w:spacing w:val="-3"/>
          <w:w w:val="105"/>
          <w:sz w:val="21"/>
        </w:rPr>
        <w:t>automatically </w:t>
      </w:r>
      <w:r>
        <w:rPr>
          <w:w w:val="105"/>
          <w:sz w:val="21"/>
        </w:rPr>
        <w:t>entitled </w:t>
      </w:r>
      <w:r>
        <w:rPr>
          <w:spacing w:val="-3"/>
          <w:w w:val="105"/>
          <w:sz w:val="21"/>
        </w:rPr>
        <w:t>to </w:t>
      </w:r>
      <w:r>
        <w:rPr>
          <w:w w:val="105"/>
          <w:sz w:val="21"/>
        </w:rPr>
        <w:t>apply </w:t>
      </w:r>
      <w:r>
        <w:rPr>
          <w:spacing w:val="-3"/>
          <w:w w:val="105"/>
          <w:sz w:val="21"/>
        </w:rPr>
        <w:t>for family provision, </w:t>
      </w:r>
      <w:r>
        <w:rPr>
          <w:w w:val="105"/>
          <w:sz w:val="21"/>
        </w:rPr>
        <w:t>whereas the court would be </w:t>
      </w:r>
      <w:r>
        <w:rPr>
          <w:spacing w:val="-3"/>
          <w:w w:val="105"/>
          <w:sz w:val="21"/>
        </w:rPr>
        <w:t>required to consider </w:t>
      </w:r>
      <w:r>
        <w:rPr>
          <w:w w:val="105"/>
          <w:sz w:val="21"/>
        </w:rPr>
        <w:t>a list of statutory factors in </w:t>
      </w:r>
      <w:r>
        <w:rPr>
          <w:spacing w:val="-3"/>
          <w:w w:val="105"/>
          <w:sz w:val="21"/>
        </w:rPr>
        <w:t>relation</w:t>
      </w:r>
      <w:r>
        <w:rPr>
          <w:spacing w:val="-10"/>
          <w:w w:val="105"/>
          <w:sz w:val="21"/>
        </w:rPr>
        <w:t> </w:t>
      </w:r>
      <w:r>
        <w:rPr>
          <w:spacing w:val="-3"/>
          <w:w w:val="105"/>
          <w:sz w:val="21"/>
        </w:rPr>
        <w:t>to</w:t>
      </w:r>
      <w:r>
        <w:rPr>
          <w:spacing w:val="-10"/>
          <w:w w:val="105"/>
          <w:sz w:val="21"/>
        </w:rPr>
        <w:t> </w:t>
      </w:r>
      <w:r>
        <w:rPr>
          <w:w w:val="105"/>
          <w:sz w:val="21"/>
        </w:rPr>
        <w:t>applicants</w:t>
      </w:r>
      <w:r>
        <w:rPr>
          <w:spacing w:val="-9"/>
          <w:w w:val="105"/>
          <w:sz w:val="21"/>
        </w:rPr>
        <w:t> </w:t>
      </w:r>
      <w:r>
        <w:rPr>
          <w:w w:val="105"/>
          <w:sz w:val="21"/>
        </w:rPr>
        <w:t>in</w:t>
      </w:r>
      <w:r>
        <w:rPr>
          <w:spacing w:val="-10"/>
          <w:w w:val="105"/>
          <w:sz w:val="21"/>
        </w:rPr>
        <w:t> </w:t>
      </w:r>
      <w:r>
        <w:rPr>
          <w:w w:val="105"/>
          <w:sz w:val="21"/>
        </w:rPr>
        <w:t>the</w:t>
      </w:r>
      <w:r>
        <w:rPr>
          <w:spacing w:val="-9"/>
          <w:w w:val="105"/>
          <w:sz w:val="21"/>
        </w:rPr>
        <w:t> </w:t>
      </w:r>
      <w:r>
        <w:rPr>
          <w:w w:val="105"/>
          <w:sz w:val="21"/>
        </w:rPr>
        <w:t>fourth</w:t>
      </w:r>
      <w:r>
        <w:rPr>
          <w:spacing w:val="-10"/>
          <w:w w:val="105"/>
          <w:sz w:val="21"/>
        </w:rPr>
        <w:t> </w:t>
      </w:r>
      <w:r>
        <w:rPr>
          <w:w w:val="105"/>
          <w:sz w:val="21"/>
        </w:rPr>
        <w:t>proposed</w:t>
      </w:r>
      <w:r>
        <w:rPr>
          <w:spacing w:val="-9"/>
          <w:w w:val="105"/>
          <w:sz w:val="21"/>
        </w:rPr>
        <w:t> </w:t>
      </w:r>
      <w:r>
        <w:rPr>
          <w:w w:val="105"/>
          <w:sz w:val="21"/>
        </w:rPr>
        <w:t>category</w:t>
      </w:r>
      <w:r>
        <w:rPr>
          <w:spacing w:val="-10"/>
          <w:w w:val="105"/>
          <w:sz w:val="21"/>
        </w:rPr>
        <w:t> </w:t>
      </w:r>
      <w:r>
        <w:rPr>
          <w:spacing w:val="-3"/>
          <w:w w:val="105"/>
          <w:sz w:val="21"/>
        </w:rPr>
        <w:t>to</w:t>
      </w:r>
      <w:r>
        <w:rPr>
          <w:spacing w:val="-9"/>
          <w:w w:val="105"/>
          <w:sz w:val="21"/>
        </w:rPr>
        <w:t> </w:t>
      </w:r>
      <w:r>
        <w:rPr>
          <w:spacing w:val="-3"/>
          <w:w w:val="105"/>
          <w:sz w:val="21"/>
        </w:rPr>
        <w:t>determine</w:t>
      </w:r>
      <w:r>
        <w:rPr>
          <w:spacing w:val="-10"/>
          <w:w w:val="105"/>
          <w:sz w:val="21"/>
        </w:rPr>
        <w:t> </w:t>
      </w:r>
      <w:r>
        <w:rPr>
          <w:w w:val="105"/>
          <w:sz w:val="21"/>
        </w:rPr>
        <w:t>whether</w:t>
      </w:r>
      <w:r>
        <w:rPr>
          <w:spacing w:val="-9"/>
          <w:w w:val="105"/>
          <w:sz w:val="21"/>
        </w:rPr>
        <w:t> </w:t>
      </w:r>
      <w:r>
        <w:rPr>
          <w:w w:val="105"/>
          <w:sz w:val="21"/>
        </w:rPr>
        <w:t>the</w:t>
      </w:r>
      <w:r>
        <w:rPr>
          <w:spacing w:val="-10"/>
          <w:w w:val="105"/>
          <w:sz w:val="21"/>
        </w:rPr>
        <w:t> </w:t>
      </w:r>
      <w:r>
        <w:rPr>
          <w:w w:val="105"/>
          <w:sz w:val="21"/>
        </w:rPr>
        <w:t>person was an </w:t>
      </w:r>
      <w:r>
        <w:rPr>
          <w:spacing w:val="-3"/>
          <w:w w:val="105"/>
          <w:sz w:val="21"/>
        </w:rPr>
        <w:t>eligible</w:t>
      </w:r>
      <w:r>
        <w:rPr>
          <w:spacing w:val="16"/>
          <w:w w:val="105"/>
          <w:sz w:val="21"/>
        </w:rPr>
        <w:t> </w:t>
      </w:r>
      <w:r>
        <w:rPr>
          <w:spacing w:val="-5"/>
          <w:w w:val="105"/>
          <w:sz w:val="21"/>
        </w:rPr>
        <w:t>applicant.</w:t>
      </w:r>
      <w:r>
        <w:rPr>
          <w:spacing w:val="-5"/>
          <w:w w:val="105"/>
          <w:position w:val="7"/>
          <w:sz w:val="12"/>
        </w:rPr>
        <w:t>110</w:t>
      </w:r>
    </w:p>
    <w:p>
      <w:pPr>
        <w:pStyle w:val="BodyText"/>
        <w:spacing w:before="8"/>
        <w:rPr>
          <w:sz w:val="5"/>
        </w:rPr>
      </w:pPr>
    </w:p>
    <w:p>
      <w:pPr>
        <w:spacing w:after="0"/>
        <w:rPr>
          <w:sz w:val="5"/>
        </w:rPr>
        <w:sectPr>
          <w:pgSz w:w="11910" w:h="16840"/>
          <w:pgMar w:header="805" w:footer="0" w:top="1360" w:bottom="280" w:left="0" w:right="0"/>
        </w:sectPr>
      </w:pPr>
    </w:p>
    <w:p>
      <w:pPr>
        <w:pStyle w:val="ListParagraph"/>
        <w:numPr>
          <w:ilvl w:val="0"/>
          <w:numId w:val="81"/>
        </w:numPr>
        <w:tabs>
          <w:tab w:pos="2380" w:val="left" w:leader="none"/>
          <w:tab w:pos="2382" w:val="left" w:leader="none"/>
        </w:tabs>
        <w:spacing w:line="240" w:lineRule="auto" w:before="48" w:after="0"/>
        <w:ind w:left="2381" w:right="0" w:hanging="794"/>
        <w:jc w:val="left"/>
        <w:rPr>
          <w:sz w:val="13"/>
        </w:rPr>
      </w:pPr>
      <w:r>
        <w:rPr>
          <w:w w:val="105"/>
          <w:sz w:val="13"/>
        </w:rPr>
        <w:t>Submission 35 (Andrew</w:t>
      </w:r>
      <w:r>
        <w:rPr>
          <w:spacing w:val="14"/>
          <w:w w:val="105"/>
          <w:sz w:val="13"/>
        </w:rPr>
        <w:t> </w:t>
      </w:r>
      <w:r>
        <w:rPr>
          <w:w w:val="105"/>
          <w:sz w:val="13"/>
        </w:rPr>
        <w:t>Verspaandonk).</w:t>
      </w:r>
    </w:p>
    <w:p>
      <w:pPr>
        <w:pStyle w:val="ListParagraph"/>
        <w:numPr>
          <w:ilvl w:val="0"/>
          <w:numId w:val="81"/>
        </w:numPr>
        <w:tabs>
          <w:tab w:pos="2380" w:val="left" w:leader="none"/>
          <w:tab w:pos="2382" w:val="left" w:leader="none"/>
        </w:tabs>
        <w:spacing w:line="240" w:lineRule="auto" w:before="1" w:after="0"/>
        <w:ind w:left="2381" w:right="0" w:hanging="794"/>
        <w:jc w:val="left"/>
        <w:rPr>
          <w:sz w:val="13"/>
        </w:rPr>
      </w:pPr>
      <w:r>
        <w:rPr>
          <w:w w:val="105"/>
          <w:sz w:val="13"/>
        </w:rPr>
        <w:t>See</w:t>
      </w:r>
      <w:r>
        <w:rPr>
          <w:spacing w:val="4"/>
          <w:w w:val="105"/>
          <w:sz w:val="13"/>
        </w:rPr>
        <w:t> </w:t>
      </w:r>
      <w:r>
        <w:rPr>
          <w:w w:val="105"/>
          <w:sz w:val="13"/>
        </w:rPr>
        <w:t>the</w:t>
      </w:r>
      <w:r>
        <w:rPr>
          <w:spacing w:val="5"/>
          <w:w w:val="105"/>
          <w:sz w:val="13"/>
        </w:rPr>
        <w:t> </w:t>
      </w:r>
      <w:r>
        <w:rPr>
          <w:w w:val="105"/>
          <w:sz w:val="13"/>
        </w:rPr>
        <w:t>discussion</w:t>
      </w:r>
      <w:r>
        <w:rPr>
          <w:spacing w:val="4"/>
          <w:w w:val="105"/>
          <w:sz w:val="13"/>
        </w:rPr>
        <w:t> </w:t>
      </w:r>
      <w:r>
        <w:rPr>
          <w:w w:val="105"/>
          <w:sz w:val="13"/>
        </w:rPr>
        <w:t>of</w:t>
      </w:r>
      <w:r>
        <w:rPr>
          <w:spacing w:val="5"/>
          <w:w w:val="105"/>
          <w:sz w:val="13"/>
        </w:rPr>
        <w:t> </w:t>
      </w:r>
      <w:r>
        <w:rPr>
          <w:w w:val="105"/>
          <w:sz w:val="13"/>
        </w:rPr>
        <w:t>views</w:t>
      </w:r>
      <w:r>
        <w:rPr>
          <w:spacing w:val="5"/>
          <w:w w:val="105"/>
          <w:sz w:val="13"/>
        </w:rPr>
        <w:t> </w:t>
      </w:r>
      <w:r>
        <w:rPr>
          <w:w w:val="105"/>
          <w:sz w:val="13"/>
        </w:rPr>
        <w:t>from</w:t>
      </w:r>
      <w:r>
        <w:rPr>
          <w:spacing w:val="4"/>
          <w:w w:val="105"/>
          <w:sz w:val="13"/>
        </w:rPr>
        <w:t> </w:t>
      </w:r>
      <w:r>
        <w:rPr>
          <w:w w:val="105"/>
          <w:sz w:val="13"/>
        </w:rPr>
        <w:t>submissions</w:t>
      </w:r>
      <w:r>
        <w:rPr>
          <w:spacing w:val="5"/>
          <w:w w:val="105"/>
          <w:sz w:val="13"/>
        </w:rPr>
        <w:t> </w:t>
      </w:r>
      <w:r>
        <w:rPr>
          <w:w w:val="105"/>
          <w:sz w:val="13"/>
        </w:rPr>
        <w:t>and</w:t>
      </w:r>
      <w:r>
        <w:rPr>
          <w:spacing w:val="5"/>
          <w:w w:val="105"/>
          <w:sz w:val="13"/>
        </w:rPr>
        <w:t> </w:t>
      </w:r>
      <w:r>
        <w:rPr>
          <w:w w:val="105"/>
          <w:sz w:val="13"/>
        </w:rPr>
        <w:t>consultations,</w:t>
      </w:r>
      <w:r>
        <w:rPr>
          <w:spacing w:val="4"/>
          <w:w w:val="105"/>
          <w:sz w:val="13"/>
        </w:rPr>
        <w:t> </w:t>
      </w:r>
      <w:r>
        <w:rPr>
          <w:w w:val="105"/>
          <w:sz w:val="13"/>
        </w:rPr>
        <w:t>from</w:t>
      </w:r>
      <w:r>
        <w:rPr>
          <w:spacing w:val="5"/>
          <w:w w:val="105"/>
          <w:sz w:val="13"/>
        </w:rPr>
        <w:t> </w:t>
      </w:r>
      <w:r>
        <w:rPr>
          <w:w w:val="105"/>
          <w:sz w:val="13"/>
        </w:rPr>
        <w:t>[6.12].</w:t>
      </w:r>
    </w:p>
    <w:p>
      <w:pPr>
        <w:pStyle w:val="ListParagraph"/>
        <w:numPr>
          <w:ilvl w:val="0"/>
          <w:numId w:val="81"/>
        </w:numPr>
        <w:tabs>
          <w:tab w:pos="2380" w:val="left" w:leader="none"/>
          <w:tab w:pos="2382" w:val="left" w:leader="none"/>
        </w:tabs>
        <w:spacing w:line="240" w:lineRule="auto" w:before="2" w:after="0"/>
        <w:ind w:left="2381" w:right="0" w:hanging="794"/>
        <w:jc w:val="left"/>
        <w:rPr>
          <w:sz w:val="13"/>
        </w:rPr>
      </w:pPr>
      <w:r>
        <w:rPr>
          <w:w w:val="105"/>
          <w:sz w:val="13"/>
        </w:rPr>
        <w:t>Submission 30a </w:t>
      </w:r>
      <w:r>
        <w:rPr>
          <w:spacing w:val="3"/>
          <w:w w:val="105"/>
          <w:sz w:val="13"/>
        </w:rPr>
        <w:t>(Law </w:t>
      </w:r>
      <w:r>
        <w:rPr>
          <w:w w:val="105"/>
          <w:sz w:val="13"/>
        </w:rPr>
        <w:t>Institute of </w:t>
      </w:r>
      <w:r>
        <w:rPr>
          <w:spacing w:val="2"/>
          <w:w w:val="105"/>
          <w:sz w:val="13"/>
        </w:rPr>
        <w:t>Victoria). </w:t>
      </w:r>
      <w:r>
        <w:rPr>
          <w:w w:val="105"/>
          <w:sz w:val="13"/>
        </w:rPr>
        <w:t>This submission noted the recent decisions of Associate Justice Mukhtar in </w:t>
      </w:r>
      <w:r>
        <w:rPr>
          <w:i/>
          <w:w w:val="105"/>
          <w:sz w:val="13"/>
        </w:rPr>
        <w:t>Jackson v Newns </w:t>
      </w:r>
      <w:r>
        <w:rPr>
          <w:spacing w:val="-3"/>
          <w:w w:val="105"/>
          <w:sz w:val="13"/>
        </w:rPr>
        <w:t>[2011] </w:t>
      </w:r>
      <w:r>
        <w:rPr>
          <w:w w:val="105"/>
          <w:sz w:val="13"/>
        </w:rPr>
        <w:t>VSC 32 </w:t>
      </w:r>
      <w:r>
        <w:rPr>
          <w:spacing w:val="-2"/>
          <w:w w:val="105"/>
          <w:sz w:val="13"/>
        </w:rPr>
        <w:t>(18 </w:t>
      </w:r>
      <w:r>
        <w:rPr>
          <w:w w:val="105"/>
          <w:sz w:val="13"/>
        </w:rPr>
        <w:t>February </w:t>
      </w:r>
      <w:r>
        <w:rPr>
          <w:spacing w:val="-4"/>
          <w:w w:val="105"/>
          <w:sz w:val="13"/>
        </w:rPr>
        <w:t>2011) </w:t>
      </w:r>
      <w:r>
        <w:rPr>
          <w:w w:val="105"/>
          <w:sz w:val="13"/>
        </w:rPr>
        <w:t>and </w:t>
      </w:r>
      <w:r>
        <w:rPr>
          <w:i/>
          <w:w w:val="105"/>
          <w:sz w:val="13"/>
        </w:rPr>
        <w:t>Napolitano v State Trustees Limited </w:t>
      </w:r>
      <w:r>
        <w:rPr>
          <w:w w:val="105"/>
          <w:sz w:val="13"/>
        </w:rPr>
        <w:t>[2012] VSC 345 </w:t>
      </w:r>
      <w:r>
        <w:rPr>
          <w:spacing w:val="-3"/>
          <w:w w:val="105"/>
          <w:sz w:val="13"/>
        </w:rPr>
        <w:t>(15 </w:t>
      </w:r>
      <w:r>
        <w:rPr>
          <w:w w:val="105"/>
          <w:sz w:val="13"/>
        </w:rPr>
        <w:t>August 2012), but said ‘it is unclear whether these</w:t>
      </w:r>
      <w:r>
        <w:rPr>
          <w:spacing w:val="4"/>
          <w:w w:val="105"/>
          <w:sz w:val="13"/>
        </w:rPr>
        <w:t> </w:t>
      </w:r>
      <w:r>
        <w:rPr>
          <w:w w:val="105"/>
          <w:sz w:val="13"/>
        </w:rPr>
        <w:t>judgments</w:t>
      </w:r>
      <w:r>
        <w:rPr>
          <w:spacing w:val="4"/>
          <w:w w:val="105"/>
          <w:sz w:val="13"/>
        </w:rPr>
        <w:t> </w:t>
      </w:r>
      <w:r>
        <w:rPr>
          <w:w w:val="105"/>
          <w:sz w:val="13"/>
        </w:rPr>
        <w:t>signal</w:t>
      </w:r>
      <w:r>
        <w:rPr>
          <w:spacing w:val="5"/>
          <w:w w:val="105"/>
          <w:sz w:val="13"/>
        </w:rPr>
        <w:t> </w:t>
      </w:r>
      <w:r>
        <w:rPr>
          <w:w w:val="105"/>
          <w:sz w:val="13"/>
        </w:rPr>
        <w:t>a</w:t>
      </w:r>
      <w:r>
        <w:rPr>
          <w:spacing w:val="4"/>
          <w:w w:val="105"/>
          <w:sz w:val="13"/>
        </w:rPr>
        <w:t> </w:t>
      </w:r>
      <w:r>
        <w:rPr>
          <w:w w:val="105"/>
          <w:sz w:val="13"/>
        </w:rPr>
        <w:t>greater</w:t>
      </w:r>
      <w:r>
        <w:rPr>
          <w:spacing w:val="4"/>
          <w:w w:val="105"/>
          <w:sz w:val="13"/>
        </w:rPr>
        <w:t> </w:t>
      </w:r>
      <w:r>
        <w:rPr>
          <w:w w:val="105"/>
          <w:sz w:val="13"/>
        </w:rPr>
        <w:t>willingness</w:t>
      </w:r>
      <w:r>
        <w:rPr>
          <w:spacing w:val="5"/>
          <w:w w:val="105"/>
          <w:sz w:val="13"/>
        </w:rPr>
        <w:t> </w:t>
      </w:r>
      <w:r>
        <w:rPr>
          <w:w w:val="105"/>
          <w:sz w:val="13"/>
        </w:rPr>
        <w:t>on</w:t>
      </w:r>
      <w:r>
        <w:rPr>
          <w:spacing w:val="4"/>
          <w:w w:val="105"/>
          <w:sz w:val="13"/>
        </w:rPr>
        <w:t> </w:t>
      </w:r>
      <w:r>
        <w:rPr>
          <w:w w:val="105"/>
          <w:sz w:val="13"/>
        </w:rPr>
        <w:t>the</w:t>
      </w:r>
      <w:r>
        <w:rPr>
          <w:spacing w:val="4"/>
          <w:w w:val="105"/>
          <w:sz w:val="13"/>
        </w:rPr>
        <w:t> </w:t>
      </w:r>
      <w:r>
        <w:rPr>
          <w:w w:val="105"/>
          <w:sz w:val="13"/>
        </w:rPr>
        <w:t>part</w:t>
      </w:r>
      <w:r>
        <w:rPr>
          <w:spacing w:val="5"/>
          <w:w w:val="105"/>
          <w:sz w:val="13"/>
        </w:rPr>
        <w:t> </w:t>
      </w:r>
      <w:r>
        <w:rPr>
          <w:w w:val="105"/>
          <w:sz w:val="13"/>
        </w:rPr>
        <w:t>of</w:t>
      </w:r>
      <w:r>
        <w:rPr>
          <w:spacing w:val="4"/>
          <w:w w:val="105"/>
          <w:sz w:val="13"/>
        </w:rPr>
        <w:t> </w:t>
      </w:r>
      <w:r>
        <w:rPr>
          <w:w w:val="105"/>
          <w:sz w:val="13"/>
        </w:rPr>
        <w:t>the</w:t>
      </w:r>
      <w:r>
        <w:rPr>
          <w:spacing w:val="5"/>
          <w:w w:val="105"/>
          <w:sz w:val="13"/>
        </w:rPr>
        <w:t> </w:t>
      </w:r>
      <w:r>
        <w:rPr>
          <w:w w:val="105"/>
          <w:sz w:val="13"/>
        </w:rPr>
        <w:t>court</w:t>
      </w:r>
      <w:r>
        <w:rPr>
          <w:spacing w:val="4"/>
          <w:w w:val="105"/>
          <w:sz w:val="13"/>
        </w:rPr>
        <w:t> </w:t>
      </w:r>
      <w:r>
        <w:rPr>
          <w:w w:val="105"/>
          <w:sz w:val="13"/>
        </w:rPr>
        <w:t>to</w:t>
      </w:r>
      <w:r>
        <w:rPr>
          <w:spacing w:val="4"/>
          <w:w w:val="105"/>
          <w:sz w:val="13"/>
        </w:rPr>
        <w:t> </w:t>
      </w:r>
      <w:r>
        <w:rPr>
          <w:w w:val="105"/>
          <w:sz w:val="13"/>
        </w:rPr>
        <w:t>exercise</w:t>
      </w:r>
      <w:r>
        <w:rPr>
          <w:spacing w:val="5"/>
          <w:w w:val="105"/>
          <w:sz w:val="13"/>
        </w:rPr>
        <w:t> </w:t>
      </w:r>
      <w:r>
        <w:rPr>
          <w:w w:val="105"/>
          <w:sz w:val="13"/>
        </w:rPr>
        <w:t>its</w:t>
      </w:r>
      <w:r>
        <w:rPr>
          <w:spacing w:val="4"/>
          <w:w w:val="105"/>
          <w:sz w:val="13"/>
        </w:rPr>
        <w:t> </w:t>
      </w:r>
      <w:r>
        <w:rPr>
          <w:w w:val="105"/>
          <w:sz w:val="13"/>
        </w:rPr>
        <w:t>inherent</w:t>
      </w:r>
      <w:r>
        <w:rPr>
          <w:spacing w:val="4"/>
          <w:w w:val="105"/>
          <w:sz w:val="13"/>
        </w:rPr>
        <w:t> </w:t>
      </w:r>
      <w:r>
        <w:rPr>
          <w:w w:val="105"/>
          <w:sz w:val="13"/>
        </w:rPr>
        <w:t>power</w:t>
      </w:r>
      <w:r>
        <w:rPr>
          <w:spacing w:val="5"/>
          <w:w w:val="105"/>
          <w:sz w:val="13"/>
        </w:rPr>
        <w:t> </w:t>
      </w:r>
      <w:r>
        <w:rPr>
          <w:w w:val="105"/>
          <w:sz w:val="13"/>
        </w:rPr>
        <w:t>of</w:t>
      </w:r>
      <w:r>
        <w:rPr>
          <w:spacing w:val="4"/>
          <w:w w:val="105"/>
          <w:sz w:val="13"/>
        </w:rPr>
        <w:t> </w:t>
      </w:r>
      <w:r>
        <w:rPr>
          <w:w w:val="105"/>
          <w:sz w:val="13"/>
        </w:rPr>
        <w:t>summary</w:t>
      </w:r>
      <w:r>
        <w:rPr>
          <w:spacing w:val="5"/>
          <w:w w:val="105"/>
          <w:sz w:val="13"/>
        </w:rPr>
        <w:t> </w:t>
      </w:r>
      <w:r>
        <w:rPr>
          <w:w w:val="105"/>
          <w:sz w:val="13"/>
        </w:rPr>
        <w:t>dismissal’.</w:t>
      </w:r>
    </w:p>
    <w:p>
      <w:pPr>
        <w:pStyle w:val="ListParagraph"/>
        <w:numPr>
          <w:ilvl w:val="0"/>
          <w:numId w:val="81"/>
        </w:numPr>
        <w:tabs>
          <w:tab w:pos="2380" w:val="left" w:leader="none"/>
          <w:tab w:pos="2382" w:val="left" w:leader="none"/>
        </w:tabs>
        <w:spacing w:line="240" w:lineRule="auto" w:before="4" w:after="0"/>
        <w:ind w:left="2381" w:right="0" w:hanging="794"/>
        <w:jc w:val="left"/>
        <w:rPr>
          <w:sz w:val="13"/>
        </w:rPr>
      </w:pPr>
      <w:r>
        <w:rPr>
          <w:w w:val="105"/>
          <w:sz w:val="13"/>
        </w:rPr>
        <w:t>Submission 1 </w:t>
      </w:r>
      <w:r>
        <w:rPr>
          <w:spacing w:val="2"/>
          <w:w w:val="105"/>
          <w:sz w:val="13"/>
        </w:rPr>
        <w:t>(Legal </w:t>
      </w:r>
      <w:r>
        <w:rPr>
          <w:w w:val="105"/>
          <w:sz w:val="13"/>
        </w:rPr>
        <w:t>Services</w:t>
      </w:r>
      <w:r>
        <w:rPr>
          <w:spacing w:val="16"/>
          <w:w w:val="105"/>
          <w:sz w:val="13"/>
        </w:rPr>
        <w:t> </w:t>
      </w:r>
      <w:r>
        <w:rPr>
          <w:w w:val="105"/>
          <w:sz w:val="13"/>
        </w:rPr>
        <w:t>Commissioner).</w:t>
      </w:r>
    </w:p>
    <w:p>
      <w:pPr>
        <w:pStyle w:val="ListParagraph"/>
        <w:numPr>
          <w:ilvl w:val="0"/>
          <w:numId w:val="81"/>
        </w:numPr>
        <w:tabs>
          <w:tab w:pos="2380" w:val="left" w:leader="none"/>
          <w:tab w:pos="2382" w:val="left" w:leader="none"/>
        </w:tabs>
        <w:spacing w:line="240" w:lineRule="auto" w:before="1" w:after="0"/>
        <w:ind w:left="2381" w:right="0" w:hanging="794"/>
        <w:jc w:val="left"/>
        <w:rPr>
          <w:sz w:val="13"/>
        </w:rPr>
      </w:pPr>
      <w:r>
        <w:rPr>
          <w:w w:val="105"/>
          <w:sz w:val="13"/>
        </w:rPr>
        <w:t>Submission 46 </w:t>
      </w:r>
      <w:r>
        <w:rPr>
          <w:spacing w:val="2"/>
          <w:w w:val="105"/>
          <w:sz w:val="13"/>
        </w:rPr>
        <w:t>(Robert </w:t>
      </w:r>
      <w:r>
        <w:rPr>
          <w:w w:val="105"/>
          <w:sz w:val="13"/>
        </w:rPr>
        <w:t>Cornall</w:t>
      </w:r>
      <w:r>
        <w:rPr>
          <w:spacing w:val="16"/>
          <w:w w:val="105"/>
          <w:sz w:val="13"/>
        </w:rPr>
        <w:t> </w:t>
      </w:r>
      <w:r>
        <w:rPr>
          <w:spacing w:val="2"/>
          <w:w w:val="105"/>
          <w:sz w:val="13"/>
        </w:rPr>
        <w:t>AO).</w:t>
      </w:r>
    </w:p>
    <w:p>
      <w:pPr>
        <w:pStyle w:val="ListParagraph"/>
        <w:numPr>
          <w:ilvl w:val="0"/>
          <w:numId w:val="81"/>
        </w:numPr>
        <w:tabs>
          <w:tab w:pos="2380" w:val="left" w:leader="none"/>
          <w:tab w:pos="2382" w:val="left" w:leader="none"/>
        </w:tabs>
        <w:spacing w:line="240" w:lineRule="auto" w:before="1" w:after="0"/>
        <w:ind w:left="2381" w:right="0" w:hanging="794"/>
        <w:jc w:val="left"/>
        <w:rPr>
          <w:sz w:val="13"/>
        </w:rPr>
      </w:pPr>
      <w:r>
        <w:rPr>
          <w:w w:val="105"/>
          <w:sz w:val="13"/>
        </w:rPr>
        <w:t>Victorian Law Reform Commission, above n 2,</w:t>
      </w:r>
      <w:r>
        <w:rPr>
          <w:spacing w:val="2"/>
          <w:w w:val="105"/>
          <w:sz w:val="13"/>
        </w:rPr>
        <w:t> 37–40.</w:t>
      </w:r>
    </w:p>
    <w:p>
      <w:pPr>
        <w:pStyle w:val="ListParagraph"/>
        <w:numPr>
          <w:ilvl w:val="0"/>
          <w:numId w:val="81"/>
        </w:numPr>
        <w:tabs>
          <w:tab w:pos="2380" w:val="left" w:leader="none"/>
          <w:tab w:pos="2382" w:val="left" w:leader="none"/>
        </w:tabs>
        <w:spacing w:line="240" w:lineRule="auto" w:before="2" w:after="0"/>
        <w:ind w:left="2381" w:right="199" w:hanging="794"/>
        <w:jc w:val="left"/>
        <w:rPr>
          <w:sz w:val="13"/>
        </w:rPr>
      </w:pPr>
      <w:r>
        <w:rPr>
          <w:w w:val="105"/>
          <w:sz w:val="13"/>
        </w:rPr>
        <w:t>National Committee for Uniform Succession Laws, </w:t>
      </w:r>
      <w:r>
        <w:rPr>
          <w:i/>
          <w:w w:val="105"/>
          <w:sz w:val="13"/>
        </w:rPr>
        <w:t>Family Provision Supplementary Report</w:t>
      </w:r>
      <w:r>
        <w:rPr>
          <w:w w:val="105"/>
          <w:sz w:val="13"/>
        </w:rPr>
        <w:t>, above n </w:t>
      </w:r>
      <w:r>
        <w:rPr>
          <w:spacing w:val="2"/>
          <w:w w:val="105"/>
          <w:sz w:val="13"/>
        </w:rPr>
        <w:t>88, </w:t>
      </w:r>
      <w:r>
        <w:rPr>
          <w:w w:val="105"/>
          <w:sz w:val="13"/>
        </w:rPr>
        <w:t>8–10, Draft Intestacy Bill 2006    cls 6–7; National Committee for Uniform Succession Laws, </w:t>
      </w:r>
      <w:r>
        <w:rPr>
          <w:i/>
          <w:w w:val="105"/>
          <w:sz w:val="13"/>
        </w:rPr>
        <w:t>Report to the Standing Committee of Attorneys General on Family Provision</w:t>
      </w:r>
      <w:r>
        <w:rPr>
          <w:w w:val="105"/>
          <w:sz w:val="13"/>
        </w:rPr>
        <w:t>, Queensland</w:t>
      </w:r>
      <w:r>
        <w:rPr>
          <w:spacing w:val="4"/>
          <w:w w:val="105"/>
          <w:sz w:val="13"/>
        </w:rPr>
        <w:t> </w:t>
      </w:r>
      <w:r>
        <w:rPr>
          <w:w w:val="105"/>
          <w:sz w:val="13"/>
        </w:rPr>
        <w:t>Law</w:t>
      </w:r>
      <w:r>
        <w:rPr>
          <w:spacing w:val="5"/>
          <w:w w:val="105"/>
          <w:sz w:val="13"/>
        </w:rPr>
        <w:t> </w:t>
      </w:r>
      <w:r>
        <w:rPr>
          <w:w w:val="105"/>
          <w:sz w:val="13"/>
        </w:rPr>
        <w:t>Reform</w:t>
      </w:r>
      <w:r>
        <w:rPr>
          <w:spacing w:val="4"/>
          <w:w w:val="105"/>
          <w:sz w:val="13"/>
        </w:rPr>
        <w:t> </w:t>
      </w:r>
      <w:r>
        <w:rPr>
          <w:w w:val="105"/>
          <w:sz w:val="13"/>
        </w:rPr>
        <w:t>Commission</w:t>
      </w:r>
      <w:r>
        <w:rPr>
          <w:spacing w:val="5"/>
          <w:w w:val="105"/>
          <w:sz w:val="13"/>
        </w:rPr>
        <w:t> </w:t>
      </w:r>
      <w:r>
        <w:rPr>
          <w:w w:val="105"/>
          <w:sz w:val="13"/>
        </w:rPr>
        <w:t>Miscellaneous</w:t>
      </w:r>
      <w:r>
        <w:rPr>
          <w:spacing w:val="4"/>
          <w:w w:val="105"/>
          <w:sz w:val="13"/>
        </w:rPr>
        <w:t> </w:t>
      </w:r>
      <w:r>
        <w:rPr>
          <w:w w:val="105"/>
          <w:sz w:val="13"/>
        </w:rPr>
        <w:t>Paper</w:t>
      </w:r>
      <w:r>
        <w:rPr>
          <w:spacing w:val="5"/>
          <w:w w:val="105"/>
          <w:sz w:val="13"/>
        </w:rPr>
        <w:t> </w:t>
      </w:r>
      <w:r>
        <w:rPr>
          <w:w w:val="105"/>
          <w:sz w:val="13"/>
        </w:rPr>
        <w:t>No</w:t>
      </w:r>
      <w:r>
        <w:rPr>
          <w:spacing w:val="4"/>
          <w:w w:val="105"/>
          <w:sz w:val="13"/>
        </w:rPr>
        <w:t> </w:t>
      </w:r>
      <w:r>
        <w:rPr>
          <w:w w:val="105"/>
          <w:sz w:val="13"/>
        </w:rPr>
        <w:t>28</w:t>
      </w:r>
      <w:r>
        <w:rPr>
          <w:spacing w:val="5"/>
          <w:w w:val="105"/>
          <w:sz w:val="13"/>
        </w:rPr>
        <w:t> </w:t>
      </w:r>
      <w:r>
        <w:rPr>
          <w:w w:val="105"/>
          <w:sz w:val="13"/>
        </w:rPr>
        <w:t>(1997)</w:t>
      </w:r>
      <w:r>
        <w:rPr>
          <w:spacing w:val="4"/>
          <w:w w:val="105"/>
          <w:sz w:val="13"/>
        </w:rPr>
        <w:t> </w:t>
      </w:r>
      <w:r>
        <w:rPr>
          <w:w w:val="105"/>
          <w:sz w:val="13"/>
        </w:rPr>
        <w:t>26</w:t>
      </w:r>
      <w:r>
        <w:rPr>
          <w:spacing w:val="5"/>
          <w:w w:val="105"/>
          <w:sz w:val="13"/>
        </w:rPr>
        <w:t> </w:t>
      </w:r>
      <w:r>
        <w:rPr>
          <w:w w:val="105"/>
          <w:sz w:val="13"/>
        </w:rPr>
        <w:t>(‘</w:t>
      </w:r>
      <w:r>
        <w:rPr>
          <w:i/>
          <w:w w:val="105"/>
          <w:sz w:val="13"/>
        </w:rPr>
        <w:t>Family</w:t>
      </w:r>
      <w:r>
        <w:rPr>
          <w:i/>
          <w:spacing w:val="3"/>
          <w:w w:val="105"/>
          <w:sz w:val="13"/>
        </w:rPr>
        <w:t> </w:t>
      </w:r>
      <w:r>
        <w:rPr>
          <w:i/>
          <w:w w:val="105"/>
          <w:sz w:val="13"/>
        </w:rPr>
        <w:t>Provision</w:t>
      </w:r>
      <w:r>
        <w:rPr>
          <w:i/>
          <w:spacing w:val="4"/>
          <w:w w:val="105"/>
          <w:sz w:val="13"/>
        </w:rPr>
        <w:t> </w:t>
      </w:r>
      <w:r>
        <w:rPr>
          <w:i/>
          <w:spacing w:val="3"/>
          <w:w w:val="105"/>
          <w:sz w:val="13"/>
        </w:rPr>
        <w:t>Report</w:t>
      </w:r>
      <w:r>
        <w:rPr>
          <w:spacing w:val="3"/>
          <w:w w:val="105"/>
          <w:sz w:val="13"/>
        </w:rPr>
        <w:t>’).</w:t>
      </w:r>
    </w:p>
    <w:p>
      <w:pPr>
        <w:pStyle w:val="ListParagraph"/>
        <w:numPr>
          <w:ilvl w:val="0"/>
          <w:numId w:val="81"/>
        </w:numPr>
        <w:tabs>
          <w:tab w:pos="2380" w:val="left" w:leader="none"/>
          <w:tab w:pos="2382" w:val="left" w:leader="none"/>
        </w:tabs>
        <w:spacing w:line="240" w:lineRule="auto" w:before="4" w:after="0"/>
        <w:ind w:left="2381" w:right="0" w:hanging="794"/>
        <w:jc w:val="left"/>
        <w:rPr>
          <w:sz w:val="13"/>
        </w:rPr>
      </w:pPr>
      <w:r>
        <w:rPr>
          <w:w w:val="105"/>
          <w:sz w:val="13"/>
        </w:rPr>
        <w:t>National</w:t>
      </w:r>
      <w:r>
        <w:rPr>
          <w:spacing w:val="4"/>
          <w:w w:val="105"/>
          <w:sz w:val="13"/>
        </w:rPr>
        <w:t> </w:t>
      </w:r>
      <w:r>
        <w:rPr>
          <w:w w:val="105"/>
          <w:sz w:val="13"/>
        </w:rPr>
        <w:t>Committee</w:t>
      </w:r>
      <w:r>
        <w:rPr>
          <w:spacing w:val="5"/>
          <w:w w:val="105"/>
          <w:sz w:val="13"/>
        </w:rPr>
        <w:t> </w:t>
      </w:r>
      <w:r>
        <w:rPr>
          <w:w w:val="105"/>
          <w:sz w:val="13"/>
        </w:rPr>
        <w:t>for</w:t>
      </w:r>
      <w:r>
        <w:rPr>
          <w:spacing w:val="5"/>
          <w:w w:val="105"/>
          <w:sz w:val="13"/>
        </w:rPr>
        <w:t> </w:t>
      </w:r>
      <w:r>
        <w:rPr>
          <w:w w:val="105"/>
          <w:sz w:val="13"/>
        </w:rPr>
        <w:t>Uniform</w:t>
      </w:r>
      <w:r>
        <w:rPr>
          <w:spacing w:val="5"/>
          <w:w w:val="105"/>
          <w:sz w:val="13"/>
        </w:rPr>
        <w:t> </w:t>
      </w:r>
      <w:r>
        <w:rPr>
          <w:w w:val="105"/>
          <w:sz w:val="13"/>
        </w:rPr>
        <w:t>Succession</w:t>
      </w:r>
      <w:r>
        <w:rPr>
          <w:spacing w:val="5"/>
          <w:w w:val="105"/>
          <w:sz w:val="13"/>
        </w:rPr>
        <w:t> </w:t>
      </w:r>
      <w:r>
        <w:rPr>
          <w:w w:val="105"/>
          <w:sz w:val="13"/>
        </w:rPr>
        <w:t>Laws,</w:t>
      </w:r>
      <w:r>
        <w:rPr>
          <w:spacing w:val="5"/>
          <w:w w:val="105"/>
          <w:sz w:val="13"/>
        </w:rPr>
        <w:t> </w:t>
      </w:r>
      <w:r>
        <w:rPr>
          <w:i/>
          <w:w w:val="105"/>
          <w:sz w:val="13"/>
        </w:rPr>
        <w:t>Family</w:t>
      </w:r>
      <w:r>
        <w:rPr>
          <w:i/>
          <w:spacing w:val="4"/>
          <w:w w:val="105"/>
          <w:sz w:val="13"/>
        </w:rPr>
        <w:t> </w:t>
      </w:r>
      <w:r>
        <w:rPr>
          <w:i/>
          <w:w w:val="105"/>
          <w:sz w:val="13"/>
        </w:rPr>
        <w:t>Provision</w:t>
      </w:r>
      <w:r>
        <w:rPr>
          <w:i/>
          <w:spacing w:val="4"/>
          <w:w w:val="105"/>
          <w:sz w:val="13"/>
        </w:rPr>
        <w:t> </w:t>
      </w:r>
      <w:r>
        <w:rPr>
          <w:i/>
          <w:w w:val="105"/>
          <w:sz w:val="13"/>
        </w:rPr>
        <w:t>Report,</w:t>
      </w:r>
      <w:r>
        <w:rPr>
          <w:i/>
          <w:spacing w:val="4"/>
          <w:w w:val="105"/>
          <w:sz w:val="13"/>
        </w:rPr>
        <w:t> </w:t>
      </w:r>
      <w:r>
        <w:rPr>
          <w:w w:val="105"/>
          <w:sz w:val="13"/>
        </w:rPr>
        <w:t>above</w:t>
      </w:r>
      <w:r>
        <w:rPr>
          <w:spacing w:val="5"/>
          <w:w w:val="105"/>
          <w:sz w:val="13"/>
        </w:rPr>
        <w:t> </w:t>
      </w:r>
      <w:r>
        <w:rPr>
          <w:w w:val="105"/>
          <w:sz w:val="13"/>
        </w:rPr>
        <w:t>n</w:t>
      </w:r>
      <w:r>
        <w:rPr>
          <w:spacing w:val="5"/>
          <w:w w:val="105"/>
          <w:sz w:val="13"/>
        </w:rPr>
        <w:t> </w:t>
      </w:r>
      <w:r>
        <w:rPr>
          <w:w w:val="105"/>
          <w:sz w:val="13"/>
        </w:rPr>
        <w:t>109,</w:t>
      </w:r>
      <w:r>
        <w:rPr>
          <w:spacing w:val="5"/>
          <w:w w:val="105"/>
          <w:sz w:val="13"/>
        </w:rPr>
        <w:t> </w:t>
      </w:r>
      <w:r>
        <w:rPr>
          <w:w w:val="105"/>
          <w:sz w:val="13"/>
        </w:rPr>
        <w:t>27–8.</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spacing w:before="6"/>
        <w:rPr>
          <w:sz w:val="27"/>
        </w:rPr>
      </w:pPr>
    </w:p>
    <w:p>
      <w:pPr>
        <w:spacing w:before="0"/>
        <w:ind w:left="649" w:right="575" w:firstLine="0"/>
        <w:jc w:val="center"/>
        <w:rPr>
          <w:b/>
          <w:sz w:val="24"/>
        </w:rPr>
      </w:pPr>
      <w:r>
        <w:rPr>
          <w:b/>
          <w:color w:val="EC5A4F"/>
          <w:w w:val="110"/>
          <w:sz w:val="24"/>
        </w:rPr>
        <w:t>109</w:t>
      </w:r>
    </w:p>
    <w:p>
      <w:pPr>
        <w:spacing w:after="0"/>
        <w:jc w:val="center"/>
        <w:rPr>
          <w:sz w:val="24"/>
        </w:rPr>
        <w:sectPr>
          <w:type w:val="continuous"/>
          <w:pgSz w:w="11910" w:h="16840"/>
          <w:pgMar w:top="920" w:bottom="280" w:left="0" w:right="0"/>
          <w:cols w:num="2" w:equalWidth="0">
            <w:col w:w="10204" w:space="40"/>
            <w:col w:w="1666"/>
          </w:cols>
        </w:sectPr>
      </w:pPr>
    </w:p>
    <w:p>
      <w:pPr>
        <w:pStyle w:val="BodyText"/>
        <w:spacing w:before="9"/>
        <w:rPr>
          <w:b/>
          <w:sz w:val="22"/>
        </w:rPr>
      </w:pPr>
    </w:p>
    <w:p>
      <w:pPr>
        <w:pStyle w:val="ListParagraph"/>
        <w:numPr>
          <w:ilvl w:val="1"/>
          <w:numId w:val="22"/>
        </w:numPr>
        <w:tabs>
          <w:tab w:pos="2381" w:val="left" w:leader="none"/>
          <w:tab w:pos="2382" w:val="left" w:leader="none"/>
        </w:tabs>
        <w:spacing w:line="242" w:lineRule="auto" w:before="92" w:after="0"/>
        <w:ind w:left="2381" w:right="1790" w:hanging="794"/>
        <w:jc w:val="left"/>
        <w:rPr>
          <w:sz w:val="21"/>
        </w:rPr>
      </w:pPr>
      <w:r>
        <w:rPr>
          <w:w w:val="105"/>
          <w:sz w:val="21"/>
        </w:rPr>
        <w:t>The </w:t>
      </w:r>
      <w:r>
        <w:rPr>
          <w:spacing w:val="-3"/>
          <w:w w:val="105"/>
          <w:sz w:val="21"/>
        </w:rPr>
        <w:t>National </w:t>
      </w:r>
      <w:r>
        <w:rPr>
          <w:spacing w:val="-4"/>
          <w:w w:val="105"/>
          <w:sz w:val="21"/>
        </w:rPr>
        <w:t>Committee’s </w:t>
      </w:r>
      <w:r>
        <w:rPr>
          <w:w w:val="105"/>
          <w:sz w:val="21"/>
        </w:rPr>
        <w:t>fourth category was drafted with </w:t>
      </w:r>
      <w:r>
        <w:rPr>
          <w:spacing w:val="-3"/>
          <w:w w:val="105"/>
          <w:sz w:val="21"/>
        </w:rPr>
        <w:t>Victoria’s legislation </w:t>
      </w:r>
      <w:r>
        <w:rPr>
          <w:w w:val="105"/>
          <w:sz w:val="21"/>
        </w:rPr>
        <w:t>in </w:t>
      </w:r>
      <w:r>
        <w:rPr>
          <w:spacing w:val="-8"/>
          <w:w w:val="105"/>
          <w:sz w:val="21"/>
        </w:rPr>
        <w:t>mind.</w:t>
      </w:r>
      <w:r>
        <w:rPr>
          <w:spacing w:val="-8"/>
          <w:w w:val="105"/>
          <w:position w:val="7"/>
          <w:sz w:val="12"/>
        </w:rPr>
        <w:t>111 </w:t>
      </w:r>
      <w:r>
        <w:rPr>
          <w:w w:val="105"/>
          <w:sz w:val="21"/>
        </w:rPr>
        <w:t>Although it represents a </w:t>
      </w:r>
      <w:r>
        <w:rPr>
          <w:spacing w:val="-3"/>
          <w:w w:val="105"/>
          <w:sz w:val="21"/>
        </w:rPr>
        <w:t>slightly different </w:t>
      </w:r>
      <w:r>
        <w:rPr>
          <w:w w:val="105"/>
          <w:sz w:val="21"/>
        </w:rPr>
        <w:t>approach </w:t>
      </w:r>
      <w:r>
        <w:rPr>
          <w:spacing w:val="-3"/>
          <w:w w:val="105"/>
          <w:sz w:val="21"/>
        </w:rPr>
        <w:t>to Victoria’s current </w:t>
      </w:r>
      <w:r>
        <w:rPr>
          <w:spacing w:val="-5"/>
          <w:w w:val="105"/>
          <w:sz w:val="21"/>
        </w:rPr>
        <w:t>law, </w:t>
      </w:r>
      <w:r>
        <w:rPr>
          <w:w w:val="105"/>
          <w:sz w:val="21"/>
        </w:rPr>
        <w:t>the </w:t>
      </w:r>
      <w:r>
        <w:rPr>
          <w:spacing w:val="-3"/>
          <w:w w:val="105"/>
          <w:sz w:val="21"/>
        </w:rPr>
        <w:t>inclusion </w:t>
      </w:r>
      <w:r>
        <w:rPr>
          <w:w w:val="105"/>
          <w:sz w:val="21"/>
        </w:rPr>
        <w:t>of the general fourth category </w:t>
      </w:r>
      <w:r>
        <w:rPr>
          <w:spacing w:val="-3"/>
          <w:w w:val="105"/>
          <w:sz w:val="21"/>
        </w:rPr>
        <w:t>means that </w:t>
      </w:r>
      <w:r>
        <w:rPr>
          <w:w w:val="105"/>
          <w:sz w:val="21"/>
        </w:rPr>
        <w:t>adopting the </w:t>
      </w:r>
      <w:r>
        <w:rPr>
          <w:spacing w:val="-3"/>
          <w:w w:val="105"/>
          <w:sz w:val="21"/>
        </w:rPr>
        <w:t>National </w:t>
      </w:r>
      <w:r>
        <w:rPr>
          <w:spacing w:val="-4"/>
          <w:w w:val="105"/>
          <w:sz w:val="21"/>
        </w:rPr>
        <w:t>Committee’s </w:t>
      </w:r>
      <w:r>
        <w:rPr>
          <w:w w:val="105"/>
          <w:sz w:val="21"/>
        </w:rPr>
        <w:t>recommended test would </w:t>
      </w:r>
      <w:r>
        <w:rPr>
          <w:spacing w:val="-2"/>
          <w:w w:val="105"/>
          <w:sz w:val="21"/>
        </w:rPr>
        <w:t>not </w:t>
      </w:r>
      <w:r>
        <w:rPr>
          <w:spacing w:val="-3"/>
          <w:w w:val="105"/>
          <w:sz w:val="21"/>
        </w:rPr>
        <w:t>limit </w:t>
      </w:r>
      <w:r>
        <w:rPr>
          <w:w w:val="105"/>
          <w:sz w:val="21"/>
        </w:rPr>
        <w:t>the class of people entitled </w:t>
      </w:r>
      <w:r>
        <w:rPr>
          <w:spacing w:val="-3"/>
          <w:w w:val="105"/>
          <w:sz w:val="21"/>
        </w:rPr>
        <w:t>to </w:t>
      </w:r>
      <w:r>
        <w:rPr>
          <w:w w:val="105"/>
          <w:sz w:val="21"/>
        </w:rPr>
        <w:t>apply </w:t>
      </w:r>
      <w:r>
        <w:rPr>
          <w:spacing w:val="-3"/>
          <w:w w:val="105"/>
          <w:sz w:val="21"/>
        </w:rPr>
        <w:t>for family provision </w:t>
      </w:r>
      <w:r>
        <w:rPr>
          <w:w w:val="105"/>
          <w:sz w:val="21"/>
        </w:rPr>
        <w:t>in</w:t>
      </w:r>
      <w:r>
        <w:rPr>
          <w:spacing w:val="13"/>
          <w:w w:val="105"/>
          <w:sz w:val="21"/>
        </w:rPr>
        <w:t> </w:t>
      </w:r>
      <w:r>
        <w:rPr>
          <w:w w:val="105"/>
          <w:sz w:val="21"/>
        </w:rPr>
        <w:t>Victoria.</w:t>
      </w:r>
    </w:p>
    <w:p>
      <w:pPr>
        <w:pStyle w:val="BodyText"/>
        <w:spacing w:before="1"/>
        <w:rPr>
          <w:sz w:val="27"/>
        </w:rPr>
      </w:pPr>
    </w:p>
    <w:p>
      <w:pPr>
        <w:pStyle w:val="Heading6"/>
        <w:spacing w:line="283" w:lineRule="auto"/>
        <w:ind w:right="2289"/>
      </w:pPr>
      <w:r>
        <w:rPr>
          <w:w w:val="115"/>
        </w:rPr>
        <w:t>Victoria’s responsibility test with a threshold requirement of dependence and/or need</w:t>
      </w:r>
    </w:p>
    <w:p>
      <w:pPr>
        <w:pStyle w:val="ListParagraph"/>
        <w:numPr>
          <w:ilvl w:val="1"/>
          <w:numId w:val="22"/>
        </w:numPr>
        <w:tabs>
          <w:tab w:pos="2381" w:val="left" w:leader="none"/>
          <w:tab w:pos="2382" w:val="left" w:leader="none"/>
        </w:tabs>
        <w:spacing w:line="242" w:lineRule="auto" w:before="104" w:after="0"/>
        <w:ind w:left="2381" w:right="1943" w:hanging="794"/>
        <w:jc w:val="left"/>
        <w:rPr>
          <w:sz w:val="21"/>
        </w:rPr>
      </w:pPr>
      <w:r>
        <w:rPr>
          <w:sz w:val="21"/>
        </w:rPr>
        <w:t>In its </w:t>
      </w:r>
      <w:r>
        <w:rPr>
          <w:spacing w:val="-3"/>
          <w:sz w:val="21"/>
        </w:rPr>
        <w:t>consultation </w:t>
      </w:r>
      <w:r>
        <w:rPr>
          <w:sz w:val="21"/>
        </w:rPr>
        <w:t>paper on </w:t>
      </w:r>
      <w:r>
        <w:rPr>
          <w:spacing w:val="-3"/>
          <w:sz w:val="21"/>
        </w:rPr>
        <w:t>family provision,  </w:t>
      </w:r>
      <w:r>
        <w:rPr>
          <w:sz w:val="21"/>
        </w:rPr>
        <w:t>the </w:t>
      </w:r>
      <w:r>
        <w:rPr>
          <w:spacing w:val="-3"/>
          <w:sz w:val="21"/>
        </w:rPr>
        <w:t>Commission</w:t>
      </w:r>
      <w:r>
        <w:rPr>
          <w:spacing w:val="41"/>
          <w:sz w:val="21"/>
        </w:rPr>
        <w:t> </w:t>
      </w:r>
      <w:r>
        <w:rPr>
          <w:sz w:val="21"/>
        </w:rPr>
        <w:t>also </w:t>
      </w:r>
      <w:r>
        <w:rPr>
          <w:spacing w:val="-2"/>
          <w:sz w:val="21"/>
        </w:rPr>
        <w:t>raised  </w:t>
      </w:r>
      <w:r>
        <w:rPr>
          <w:sz w:val="21"/>
        </w:rPr>
        <w:t>the possibility of </w:t>
      </w:r>
      <w:r>
        <w:rPr>
          <w:spacing w:val="-3"/>
          <w:sz w:val="21"/>
        </w:rPr>
        <w:t>retaining Victoria’s current responsibility </w:t>
      </w:r>
      <w:r>
        <w:rPr>
          <w:sz w:val="21"/>
        </w:rPr>
        <w:t>test </w:t>
      </w:r>
      <w:r>
        <w:rPr>
          <w:spacing w:val="-3"/>
          <w:sz w:val="21"/>
        </w:rPr>
        <w:t>for eligibility for family provision, </w:t>
      </w:r>
      <w:r>
        <w:rPr>
          <w:sz w:val="21"/>
        </w:rPr>
        <w:t>but </w:t>
      </w:r>
      <w:r>
        <w:rPr>
          <w:spacing w:val="-3"/>
          <w:sz w:val="21"/>
        </w:rPr>
        <w:t>requiring </w:t>
      </w:r>
      <w:r>
        <w:rPr>
          <w:sz w:val="21"/>
        </w:rPr>
        <w:t>the</w:t>
      </w:r>
      <w:r>
        <w:rPr>
          <w:spacing w:val="19"/>
          <w:sz w:val="21"/>
        </w:rPr>
        <w:t> </w:t>
      </w:r>
      <w:r>
        <w:rPr>
          <w:sz w:val="21"/>
        </w:rPr>
        <w:t>applicant:</w:t>
      </w:r>
    </w:p>
    <w:p>
      <w:pPr>
        <w:pStyle w:val="ListParagraph"/>
        <w:numPr>
          <w:ilvl w:val="2"/>
          <w:numId w:val="22"/>
        </w:numPr>
        <w:tabs>
          <w:tab w:pos="2721" w:val="left" w:leader="none"/>
          <w:tab w:pos="2722" w:val="left" w:leader="none"/>
        </w:tabs>
        <w:spacing w:line="242" w:lineRule="auto" w:before="124" w:after="0"/>
        <w:ind w:left="2721" w:right="1671" w:hanging="340"/>
        <w:jc w:val="left"/>
        <w:rPr>
          <w:sz w:val="21"/>
        </w:rPr>
      </w:pPr>
      <w:r>
        <w:rPr>
          <w:spacing w:val="-3"/>
          <w:sz w:val="21"/>
        </w:rPr>
        <w:t>to have </w:t>
      </w:r>
      <w:r>
        <w:rPr>
          <w:sz w:val="21"/>
        </w:rPr>
        <w:t>been wholly or partly dependent on the deceased person </w:t>
      </w:r>
      <w:r>
        <w:rPr>
          <w:spacing w:val="-3"/>
          <w:sz w:val="21"/>
        </w:rPr>
        <w:t>immediately before </w:t>
      </w:r>
      <w:r>
        <w:rPr>
          <w:sz w:val="21"/>
        </w:rPr>
        <w:t>the deceased </w:t>
      </w:r>
      <w:r>
        <w:rPr>
          <w:spacing w:val="-3"/>
          <w:sz w:val="21"/>
        </w:rPr>
        <w:t>person’s death,</w:t>
      </w:r>
      <w:r>
        <w:rPr>
          <w:spacing w:val="38"/>
          <w:sz w:val="21"/>
        </w:rPr>
        <w:t> </w:t>
      </w:r>
      <w:r>
        <w:rPr>
          <w:sz w:val="21"/>
        </w:rPr>
        <w:t>and/or</w:t>
      </w:r>
    </w:p>
    <w:p>
      <w:pPr>
        <w:pStyle w:val="ListParagraph"/>
        <w:numPr>
          <w:ilvl w:val="2"/>
          <w:numId w:val="22"/>
        </w:numPr>
        <w:tabs>
          <w:tab w:pos="2721" w:val="left" w:leader="none"/>
          <w:tab w:pos="2722" w:val="left" w:leader="none"/>
        </w:tabs>
        <w:spacing w:line="240" w:lineRule="auto" w:before="122" w:after="0"/>
        <w:ind w:left="2721" w:right="0" w:hanging="340"/>
        <w:jc w:val="left"/>
        <w:rPr>
          <w:sz w:val="12"/>
        </w:rPr>
      </w:pPr>
      <w:r>
        <w:rPr>
          <w:spacing w:val="-3"/>
          <w:w w:val="105"/>
          <w:sz w:val="21"/>
        </w:rPr>
        <w:t>to demonstrate financial</w:t>
      </w:r>
      <w:r>
        <w:rPr>
          <w:spacing w:val="22"/>
          <w:w w:val="105"/>
          <w:sz w:val="21"/>
        </w:rPr>
        <w:t> </w:t>
      </w:r>
      <w:r>
        <w:rPr>
          <w:spacing w:val="-6"/>
          <w:w w:val="105"/>
          <w:sz w:val="21"/>
        </w:rPr>
        <w:t>need.</w:t>
      </w:r>
      <w:r>
        <w:rPr>
          <w:spacing w:val="-6"/>
          <w:w w:val="105"/>
          <w:position w:val="7"/>
          <w:sz w:val="12"/>
        </w:rPr>
        <w:t>112</w:t>
      </w:r>
    </w:p>
    <w:p>
      <w:pPr>
        <w:pStyle w:val="ListParagraph"/>
        <w:numPr>
          <w:ilvl w:val="1"/>
          <w:numId w:val="22"/>
        </w:numPr>
        <w:tabs>
          <w:tab w:pos="2381" w:val="left" w:leader="none"/>
          <w:tab w:pos="2382" w:val="left" w:leader="none"/>
        </w:tabs>
        <w:spacing w:line="242" w:lineRule="auto" w:before="123" w:after="0"/>
        <w:ind w:left="2381" w:right="1748" w:hanging="794"/>
        <w:jc w:val="left"/>
        <w:rPr>
          <w:sz w:val="21"/>
        </w:rPr>
      </w:pPr>
      <w:r>
        <w:rPr>
          <w:w w:val="105"/>
          <w:sz w:val="21"/>
        </w:rPr>
        <w:t>Under this </w:t>
      </w:r>
      <w:r>
        <w:rPr>
          <w:spacing w:val="-3"/>
          <w:w w:val="105"/>
          <w:sz w:val="21"/>
        </w:rPr>
        <w:t>option, </w:t>
      </w:r>
      <w:r>
        <w:rPr>
          <w:w w:val="105"/>
          <w:sz w:val="21"/>
        </w:rPr>
        <w:t>applicants would </w:t>
      </w:r>
      <w:r>
        <w:rPr>
          <w:spacing w:val="-2"/>
          <w:w w:val="105"/>
          <w:sz w:val="21"/>
        </w:rPr>
        <w:t>not </w:t>
      </w:r>
      <w:r>
        <w:rPr>
          <w:w w:val="105"/>
          <w:sz w:val="21"/>
        </w:rPr>
        <w:t>be </w:t>
      </w:r>
      <w:r>
        <w:rPr>
          <w:spacing w:val="-3"/>
          <w:w w:val="105"/>
          <w:sz w:val="21"/>
        </w:rPr>
        <w:t>limited </w:t>
      </w:r>
      <w:r>
        <w:rPr>
          <w:w w:val="105"/>
          <w:sz w:val="21"/>
        </w:rPr>
        <w:t>by whether they </w:t>
      </w:r>
      <w:r>
        <w:rPr>
          <w:spacing w:val="-3"/>
          <w:w w:val="105"/>
          <w:sz w:val="21"/>
        </w:rPr>
        <w:t>were </w:t>
      </w:r>
      <w:r>
        <w:rPr>
          <w:w w:val="105"/>
          <w:sz w:val="21"/>
        </w:rPr>
        <w:t>in a particular </w:t>
      </w:r>
      <w:r>
        <w:rPr>
          <w:spacing w:val="-3"/>
          <w:w w:val="105"/>
          <w:sz w:val="21"/>
        </w:rPr>
        <w:t>relationship </w:t>
      </w:r>
      <w:r>
        <w:rPr>
          <w:w w:val="105"/>
          <w:sz w:val="21"/>
        </w:rPr>
        <w:t>with the deceased person, and the test would </w:t>
      </w:r>
      <w:r>
        <w:rPr>
          <w:spacing w:val="-3"/>
          <w:w w:val="105"/>
          <w:sz w:val="21"/>
        </w:rPr>
        <w:t>remain </w:t>
      </w:r>
      <w:r>
        <w:rPr>
          <w:w w:val="105"/>
          <w:sz w:val="21"/>
        </w:rPr>
        <w:t>one of whether </w:t>
      </w:r>
      <w:r>
        <w:rPr>
          <w:spacing w:val="-3"/>
          <w:w w:val="105"/>
          <w:sz w:val="21"/>
        </w:rPr>
        <w:t>adequate</w:t>
      </w:r>
      <w:r>
        <w:rPr>
          <w:spacing w:val="-7"/>
          <w:w w:val="105"/>
          <w:sz w:val="21"/>
        </w:rPr>
        <w:t> </w:t>
      </w:r>
      <w:r>
        <w:rPr>
          <w:spacing w:val="-3"/>
          <w:w w:val="105"/>
          <w:sz w:val="21"/>
        </w:rPr>
        <w:t>provision</w:t>
      </w:r>
      <w:r>
        <w:rPr>
          <w:spacing w:val="-7"/>
          <w:w w:val="105"/>
          <w:sz w:val="21"/>
        </w:rPr>
        <w:t> </w:t>
      </w:r>
      <w:r>
        <w:rPr>
          <w:spacing w:val="-2"/>
          <w:w w:val="105"/>
          <w:sz w:val="21"/>
        </w:rPr>
        <w:t>had</w:t>
      </w:r>
      <w:r>
        <w:rPr>
          <w:spacing w:val="-7"/>
          <w:w w:val="105"/>
          <w:sz w:val="21"/>
        </w:rPr>
        <w:t> </w:t>
      </w:r>
      <w:r>
        <w:rPr>
          <w:w w:val="105"/>
          <w:sz w:val="21"/>
        </w:rPr>
        <w:t>been</w:t>
      </w:r>
      <w:r>
        <w:rPr>
          <w:spacing w:val="-7"/>
          <w:w w:val="105"/>
          <w:sz w:val="21"/>
        </w:rPr>
        <w:t> </w:t>
      </w:r>
      <w:r>
        <w:rPr>
          <w:w w:val="105"/>
          <w:sz w:val="21"/>
        </w:rPr>
        <w:t>made</w:t>
      </w:r>
      <w:r>
        <w:rPr>
          <w:spacing w:val="-7"/>
          <w:w w:val="105"/>
          <w:sz w:val="21"/>
        </w:rPr>
        <w:t> </w:t>
      </w:r>
      <w:r>
        <w:rPr>
          <w:spacing w:val="-3"/>
          <w:w w:val="105"/>
          <w:sz w:val="21"/>
        </w:rPr>
        <w:t>for</w:t>
      </w:r>
      <w:r>
        <w:rPr>
          <w:spacing w:val="-6"/>
          <w:w w:val="105"/>
          <w:sz w:val="21"/>
        </w:rPr>
        <w:t> </w:t>
      </w:r>
      <w:r>
        <w:rPr>
          <w:w w:val="105"/>
          <w:sz w:val="21"/>
        </w:rPr>
        <w:t>their</w:t>
      </w:r>
      <w:r>
        <w:rPr>
          <w:spacing w:val="-7"/>
          <w:w w:val="105"/>
          <w:sz w:val="21"/>
        </w:rPr>
        <w:t> </w:t>
      </w:r>
      <w:r>
        <w:rPr>
          <w:w w:val="105"/>
          <w:sz w:val="21"/>
        </w:rPr>
        <w:t>proper</w:t>
      </w:r>
      <w:r>
        <w:rPr>
          <w:spacing w:val="-7"/>
          <w:w w:val="105"/>
          <w:sz w:val="21"/>
        </w:rPr>
        <w:t> </w:t>
      </w:r>
      <w:r>
        <w:rPr>
          <w:spacing w:val="-3"/>
          <w:w w:val="105"/>
          <w:sz w:val="21"/>
        </w:rPr>
        <w:t>maintenance</w:t>
      </w:r>
      <w:r>
        <w:rPr>
          <w:spacing w:val="-7"/>
          <w:w w:val="105"/>
          <w:sz w:val="21"/>
        </w:rPr>
        <w:t> </w:t>
      </w:r>
      <w:r>
        <w:rPr>
          <w:w w:val="105"/>
          <w:sz w:val="21"/>
        </w:rPr>
        <w:t>and</w:t>
      </w:r>
      <w:r>
        <w:rPr>
          <w:spacing w:val="-7"/>
          <w:w w:val="105"/>
          <w:sz w:val="21"/>
        </w:rPr>
        <w:t> </w:t>
      </w:r>
      <w:r>
        <w:rPr>
          <w:w w:val="105"/>
          <w:sz w:val="21"/>
        </w:rPr>
        <w:t>support.</w:t>
      </w:r>
      <w:r>
        <w:rPr>
          <w:spacing w:val="-7"/>
          <w:w w:val="105"/>
          <w:sz w:val="21"/>
        </w:rPr>
        <w:t> </w:t>
      </w:r>
      <w:r>
        <w:rPr>
          <w:spacing w:val="-4"/>
          <w:w w:val="105"/>
          <w:sz w:val="21"/>
        </w:rPr>
        <w:t>However, </w:t>
      </w:r>
      <w:r>
        <w:rPr>
          <w:w w:val="105"/>
          <w:sz w:val="21"/>
        </w:rPr>
        <w:t>a person would </w:t>
      </w:r>
      <w:r>
        <w:rPr>
          <w:spacing w:val="-2"/>
          <w:w w:val="105"/>
          <w:sz w:val="21"/>
        </w:rPr>
        <w:t>not </w:t>
      </w:r>
      <w:r>
        <w:rPr>
          <w:w w:val="105"/>
          <w:sz w:val="21"/>
        </w:rPr>
        <w:t>be able </w:t>
      </w:r>
      <w:r>
        <w:rPr>
          <w:spacing w:val="-3"/>
          <w:w w:val="105"/>
          <w:sz w:val="21"/>
        </w:rPr>
        <w:t>to </w:t>
      </w:r>
      <w:r>
        <w:rPr>
          <w:w w:val="105"/>
          <w:sz w:val="21"/>
        </w:rPr>
        <w:t>apply unless they </w:t>
      </w:r>
      <w:r>
        <w:rPr>
          <w:spacing w:val="-2"/>
          <w:w w:val="105"/>
          <w:sz w:val="21"/>
        </w:rPr>
        <w:t>had </w:t>
      </w:r>
      <w:r>
        <w:rPr>
          <w:w w:val="105"/>
          <w:sz w:val="21"/>
        </w:rPr>
        <w:t>been wholly or partly dependent on the deceased person, or </w:t>
      </w:r>
      <w:r>
        <w:rPr>
          <w:spacing w:val="-3"/>
          <w:w w:val="105"/>
          <w:sz w:val="21"/>
        </w:rPr>
        <w:t>were </w:t>
      </w:r>
      <w:r>
        <w:rPr>
          <w:w w:val="105"/>
          <w:sz w:val="21"/>
        </w:rPr>
        <w:t>able </w:t>
      </w:r>
      <w:r>
        <w:rPr>
          <w:spacing w:val="-3"/>
          <w:w w:val="105"/>
          <w:sz w:val="21"/>
        </w:rPr>
        <w:t>to demonstrate financial</w:t>
      </w:r>
      <w:r>
        <w:rPr>
          <w:spacing w:val="34"/>
          <w:w w:val="105"/>
          <w:sz w:val="21"/>
        </w:rPr>
        <w:t> </w:t>
      </w:r>
      <w:r>
        <w:rPr>
          <w:w w:val="105"/>
          <w:sz w:val="21"/>
        </w:rPr>
        <w:t>need.</w:t>
      </w:r>
    </w:p>
    <w:p>
      <w:pPr>
        <w:pStyle w:val="ListParagraph"/>
        <w:numPr>
          <w:ilvl w:val="1"/>
          <w:numId w:val="22"/>
        </w:numPr>
        <w:tabs>
          <w:tab w:pos="2380" w:val="left" w:leader="none"/>
          <w:tab w:pos="2381" w:val="left" w:leader="none"/>
        </w:tabs>
        <w:spacing w:line="242" w:lineRule="auto" w:before="126" w:after="0"/>
        <w:ind w:left="2381" w:right="1979" w:hanging="794"/>
        <w:jc w:val="left"/>
        <w:rPr>
          <w:sz w:val="21"/>
        </w:rPr>
      </w:pPr>
      <w:r>
        <w:rPr>
          <w:w w:val="105"/>
          <w:sz w:val="21"/>
        </w:rPr>
        <w:t>This option recognised </w:t>
      </w:r>
      <w:r>
        <w:rPr>
          <w:spacing w:val="-3"/>
          <w:w w:val="105"/>
          <w:sz w:val="21"/>
        </w:rPr>
        <w:t>that </w:t>
      </w:r>
      <w:r>
        <w:rPr>
          <w:w w:val="105"/>
          <w:sz w:val="21"/>
        </w:rPr>
        <w:t>dependency and </w:t>
      </w:r>
      <w:r>
        <w:rPr>
          <w:spacing w:val="-3"/>
          <w:w w:val="105"/>
          <w:sz w:val="21"/>
        </w:rPr>
        <w:t>financial </w:t>
      </w:r>
      <w:r>
        <w:rPr>
          <w:w w:val="105"/>
          <w:sz w:val="21"/>
        </w:rPr>
        <w:t>need </w:t>
      </w:r>
      <w:r>
        <w:rPr>
          <w:spacing w:val="-3"/>
          <w:w w:val="105"/>
          <w:sz w:val="21"/>
        </w:rPr>
        <w:t>are </w:t>
      </w:r>
      <w:r>
        <w:rPr>
          <w:w w:val="105"/>
          <w:sz w:val="21"/>
        </w:rPr>
        <w:t>often </w:t>
      </w:r>
      <w:r>
        <w:rPr>
          <w:spacing w:val="-3"/>
          <w:w w:val="105"/>
          <w:sz w:val="21"/>
        </w:rPr>
        <w:t>central to </w:t>
      </w:r>
      <w:r>
        <w:rPr>
          <w:w w:val="105"/>
          <w:sz w:val="21"/>
        </w:rPr>
        <w:t>the court’s</w:t>
      </w:r>
      <w:r>
        <w:rPr>
          <w:spacing w:val="-8"/>
          <w:w w:val="105"/>
          <w:sz w:val="21"/>
        </w:rPr>
        <w:t> </w:t>
      </w:r>
      <w:r>
        <w:rPr>
          <w:w w:val="105"/>
          <w:sz w:val="21"/>
        </w:rPr>
        <w:t>decision</w:t>
      </w:r>
      <w:r>
        <w:rPr>
          <w:spacing w:val="-7"/>
          <w:w w:val="105"/>
          <w:sz w:val="21"/>
        </w:rPr>
        <w:t> </w:t>
      </w:r>
      <w:r>
        <w:rPr>
          <w:w w:val="105"/>
          <w:sz w:val="21"/>
        </w:rPr>
        <w:t>about</w:t>
      </w:r>
      <w:r>
        <w:rPr>
          <w:spacing w:val="-7"/>
          <w:w w:val="105"/>
          <w:sz w:val="21"/>
        </w:rPr>
        <w:t> </w:t>
      </w:r>
      <w:r>
        <w:rPr>
          <w:w w:val="105"/>
          <w:sz w:val="21"/>
        </w:rPr>
        <w:t>whether</w:t>
      </w:r>
      <w:r>
        <w:rPr>
          <w:spacing w:val="-7"/>
          <w:w w:val="105"/>
          <w:sz w:val="21"/>
        </w:rPr>
        <w:t> </w:t>
      </w:r>
      <w:r>
        <w:rPr>
          <w:w w:val="105"/>
          <w:sz w:val="21"/>
        </w:rPr>
        <w:t>or</w:t>
      </w:r>
      <w:r>
        <w:rPr>
          <w:spacing w:val="-7"/>
          <w:w w:val="105"/>
          <w:sz w:val="21"/>
        </w:rPr>
        <w:t> </w:t>
      </w:r>
      <w:r>
        <w:rPr>
          <w:spacing w:val="-2"/>
          <w:w w:val="105"/>
          <w:sz w:val="21"/>
        </w:rPr>
        <w:t>not</w:t>
      </w:r>
      <w:r>
        <w:rPr>
          <w:spacing w:val="-7"/>
          <w:w w:val="105"/>
          <w:sz w:val="21"/>
        </w:rPr>
        <w:t> </w:t>
      </w:r>
      <w:r>
        <w:rPr>
          <w:spacing w:val="-3"/>
          <w:w w:val="105"/>
          <w:sz w:val="21"/>
        </w:rPr>
        <w:t>provision</w:t>
      </w:r>
      <w:r>
        <w:rPr>
          <w:spacing w:val="-7"/>
          <w:w w:val="105"/>
          <w:sz w:val="21"/>
        </w:rPr>
        <w:t> </w:t>
      </w:r>
      <w:r>
        <w:rPr>
          <w:w w:val="105"/>
          <w:sz w:val="21"/>
        </w:rPr>
        <w:t>should</w:t>
      </w:r>
      <w:r>
        <w:rPr>
          <w:spacing w:val="-7"/>
          <w:w w:val="105"/>
          <w:sz w:val="21"/>
        </w:rPr>
        <w:t> </w:t>
      </w:r>
      <w:r>
        <w:rPr>
          <w:w w:val="105"/>
          <w:sz w:val="21"/>
        </w:rPr>
        <w:t>be</w:t>
      </w:r>
      <w:r>
        <w:rPr>
          <w:spacing w:val="-7"/>
          <w:w w:val="105"/>
          <w:sz w:val="21"/>
        </w:rPr>
        <w:t> </w:t>
      </w:r>
      <w:r>
        <w:rPr>
          <w:w w:val="105"/>
          <w:sz w:val="21"/>
        </w:rPr>
        <w:t>made</w:t>
      </w:r>
      <w:r>
        <w:rPr>
          <w:spacing w:val="-8"/>
          <w:w w:val="105"/>
          <w:sz w:val="21"/>
        </w:rPr>
        <w:t> </w:t>
      </w:r>
      <w:r>
        <w:rPr>
          <w:spacing w:val="-3"/>
          <w:w w:val="105"/>
          <w:sz w:val="21"/>
        </w:rPr>
        <w:t>for</w:t>
      </w:r>
      <w:r>
        <w:rPr>
          <w:spacing w:val="-7"/>
          <w:w w:val="105"/>
          <w:sz w:val="21"/>
        </w:rPr>
        <w:t> </w:t>
      </w:r>
      <w:r>
        <w:rPr>
          <w:w w:val="105"/>
          <w:sz w:val="21"/>
        </w:rPr>
        <w:t>a</w:t>
      </w:r>
      <w:r>
        <w:rPr>
          <w:spacing w:val="-7"/>
          <w:w w:val="105"/>
          <w:sz w:val="21"/>
        </w:rPr>
        <w:t> </w:t>
      </w:r>
      <w:r>
        <w:rPr>
          <w:spacing w:val="-3"/>
          <w:w w:val="105"/>
          <w:sz w:val="21"/>
        </w:rPr>
        <w:t>family</w:t>
      </w:r>
      <w:r>
        <w:rPr>
          <w:spacing w:val="-7"/>
          <w:w w:val="105"/>
          <w:sz w:val="21"/>
        </w:rPr>
        <w:t> </w:t>
      </w:r>
      <w:r>
        <w:rPr>
          <w:spacing w:val="-3"/>
          <w:w w:val="105"/>
          <w:sz w:val="21"/>
        </w:rPr>
        <w:t>provision applicant.</w:t>
      </w:r>
    </w:p>
    <w:p>
      <w:pPr>
        <w:pStyle w:val="BodyText"/>
        <w:spacing w:before="11"/>
        <w:rPr>
          <w:sz w:val="26"/>
        </w:rPr>
      </w:pPr>
    </w:p>
    <w:p>
      <w:pPr>
        <w:pStyle w:val="Heading6"/>
      </w:pPr>
      <w:r>
        <w:rPr>
          <w:w w:val="120"/>
        </w:rPr>
        <w:t>The flexible New South Wales list of eligible applicants</w:t>
      </w:r>
    </w:p>
    <w:p>
      <w:pPr>
        <w:pStyle w:val="ListParagraph"/>
        <w:numPr>
          <w:ilvl w:val="1"/>
          <w:numId w:val="22"/>
        </w:numPr>
        <w:tabs>
          <w:tab w:pos="2381" w:val="left" w:leader="none"/>
          <w:tab w:pos="2382" w:val="left" w:leader="none"/>
        </w:tabs>
        <w:spacing w:line="242" w:lineRule="auto" w:before="151" w:after="0"/>
        <w:ind w:left="2381" w:right="2179" w:hanging="794"/>
        <w:jc w:val="left"/>
        <w:rPr>
          <w:sz w:val="12"/>
        </w:rPr>
      </w:pPr>
      <w:r>
        <w:rPr>
          <w:w w:val="105"/>
          <w:sz w:val="21"/>
        </w:rPr>
        <w:t>The </w:t>
      </w:r>
      <w:r>
        <w:rPr>
          <w:spacing w:val="-3"/>
          <w:w w:val="105"/>
          <w:sz w:val="21"/>
        </w:rPr>
        <w:t>Commission </w:t>
      </w:r>
      <w:r>
        <w:rPr>
          <w:w w:val="105"/>
          <w:sz w:val="21"/>
        </w:rPr>
        <w:t>proposed one other option in </w:t>
      </w:r>
      <w:r>
        <w:rPr>
          <w:spacing w:val="-3"/>
          <w:w w:val="105"/>
          <w:sz w:val="21"/>
        </w:rPr>
        <w:t>relation to eligibility to </w:t>
      </w:r>
      <w:r>
        <w:rPr>
          <w:spacing w:val="-4"/>
          <w:w w:val="105"/>
          <w:sz w:val="21"/>
        </w:rPr>
        <w:t>make </w:t>
      </w:r>
      <w:r>
        <w:rPr>
          <w:w w:val="105"/>
          <w:sz w:val="21"/>
        </w:rPr>
        <w:t>a </w:t>
      </w:r>
      <w:r>
        <w:rPr>
          <w:spacing w:val="-3"/>
          <w:w w:val="105"/>
          <w:sz w:val="21"/>
        </w:rPr>
        <w:t>family</w:t>
      </w:r>
      <w:r>
        <w:rPr>
          <w:spacing w:val="-10"/>
          <w:w w:val="105"/>
          <w:sz w:val="21"/>
        </w:rPr>
        <w:t> </w:t>
      </w:r>
      <w:r>
        <w:rPr>
          <w:spacing w:val="-3"/>
          <w:w w:val="105"/>
          <w:sz w:val="21"/>
        </w:rPr>
        <w:t>provision</w:t>
      </w:r>
      <w:r>
        <w:rPr>
          <w:spacing w:val="-9"/>
          <w:w w:val="105"/>
          <w:sz w:val="21"/>
        </w:rPr>
        <w:t> </w:t>
      </w:r>
      <w:r>
        <w:rPr>
          <w:w w:val="105"/>
          <w:sz w:val="21"/>
        </w:rPr>
        <w:t>application:</w:t>
      </w:r>
      <w:r>
        <w:rPr>
          <w:spacing w:val="-9"/>
          <w:w w:val="105"/>
          <w:sz w:val="21"/>
        </w:rPr>
        <w:t> </w:t>
      </w:r>
      <w:r>
        <w:rPr>
          <w:spacing w:val="-3"/>
          <w:w w:val="105"/>
          <w:sz w:val="21"/>
        </w:rPr>
        <w:t>introducing</w:t>
      </w:r>
      <w:r>
        <w:rPr>
          <w:spacing w:val="-9"/>
          <w:w w:val="105"/>
          <w:sz w:val="21"/>
        </w:rPr>
        <w:t> </w:t>
      </w:r>
      <w:r>
        <w:rPr>
          <w:w w:val="105"/>
          <w:sz w:val="21"/>
        </w:rPr>
        <w:t>a</w:t>
      </w:r>
      <w:r>
        <w:rPr>
          <w:spacing w:val="-9"/>
          <w:w w:val="105"/>
          <w:sz w:val="21"/>
        </w:rPr>
        <w:t> </w:t>
      </w:r>
      <w:r>
        <w:rPr>
          <w:w w:val="105"/>
          <w:sz w:val="21"/>
        </w:rPr>
        <w:t>flexible</w:t>
      </w:r>
      <w:r>
        <w:rPr>
          <w:spacing w:val="-9"/>
          <w:w w:val="105"/>
          <w:sz w:val="21"/>
        </w:rPr>
        <w:t> </w:t>
      </w:r>
      <w:r>
        <w:rPr>
          <w:w w:val="105"/>
          <w:sz w:val="21"/>
        </w:rPr>
        <w:t>list</w:t>
      </w:r>
      <w:r>
        <w:rPr>
          <w:spacing w:val="-9"/>
          <w:w w:val="105"/>
          <w:sz w:val="21"/>
        </w:rPr>
        <w:t> </w:t>
      </w:r>
      <w:r>
        <w:rPr>
          <w:w w:val="105"/>
          <w:sz w:val="21"/>
        </w:rPr>
        <w:t>of</w:t>
      </w:r>
      <w:r>
        <w:rPr>
          <w:spacing w:val="-9"/>
          <w:w w:val="105"/>
          <w:sz w:val="21"/>
        </w:rPr>
        <w:t> </w:t>
      </w:r>
      <w:r>
        <w:rPr>
          <w:spacing w:val="-3"/>
          <w:w w:val="105"/>
          <w:sz w:val="21"/>
        </w:rPr>
        <w:t>eligible</w:t>
      </w:r>
      <w:r>
        <w:rPr>
          <w:spacing w:val="-9"/>
          <w:w w:val="105"/>
          <w:sz w:val="21"/>
        </w:rPr>
        <w:t> </w:t>
      </w:r>
      <w:r>
        <w:rPr>
          <w:w w:val="105"/>
          <w:sz w:val="21"/>
        </w:rPr>
        <w:t>persons,</w:t>
      </w:r>
      <w:r>
        <w:rPr>
          <w:spacing w:val="-9"/>
          <w:w w:val="105"/>
          <w:sz w:val="21"/>
        </w:rPr>
        <w:t> </w:t>
      </w:r>
      <w:r>
        <w:rPr>
          <w:w w:val="105"/>
          <w:sz w:val="21"/>
        </w:rPr>
        <w:t>as</w:t>
      </w:r>
      <w:r>
        <w:rPr>
          <w:spacing w:val="-9"/>
          <w:w w:val="105"/>
          <w:sz w:val="21"/>
        </w:rPr>
        <w:t> </w:t>
      </w:r>
      <w:r>
        <w:rPr>
          <w:w w:val="105"/>
          <w:sz w:val="21"/>
        </w:rPr>
        <w:t>exists</w:t>
      </w:r>
      <w:r>
        <w:rPr>
          <w:spacing w:val="-9"/>
          <w:w w:val="105"/>
          <w:sz w:val="21"/>
        </w:rPr>
        <w:t> </w:t>
      </w:r>
      <w:r>
        <w:rPr>
          <w:w w:val="105"/>
          <w:sz w:val="21"/>
        </w:rPr>
        <w:t>in New South</w:t>
      </w:r>
      <w:r>
        <w:rPr>
          <w:spacing w:val="11"/>
          <w:w w:val="105"/>
          <w:sz w:val="21"/>
        </w:rPr>
        <w:t> </w:t>
      </w:r>
      <w:r>
        <w:rPr>
          <w:spacing w:val="-6"/>
          <w:w w:val="105"/>
          <w:sz w:val="21"/>
        </w:rPr>
        <w:t>Wales.</w:t>
      </w:r>
      <w:r>
        <w:rPr>
          <w:spacing w:val="-6"/>
          <w:w w:val="105"/>
          <w:position w:val="7"/>
          <w:sz w:val="12"/>
        </w:rPr>
        <w:t>113</w:t>
      </w:r>
    </w:p>
    <w:p>
      <w:pPr>
        <w:pStyle w:val="ListParagraph"/>
        <w:numPr>
          <w:ilvl w:val="1"/>
          <w:numId w:val="22"/>
        </w:numPr>
        <w:tabs>
          <w:tab w:pos="2380" w:val="left" w:leader="none"/>
          <w:tab w:pos="2381" w:val="left" w:leader="none"/>
        </w:tabs>
        <w:spacing w:line="242" w:lineRule="auto" w:before="124" w:after="0"/>
        <w:ind w:left="2380" w:right="1754" w:hanging="793"/>
        <w:jc w:val="left"/>
        <w:rPr>
          <w:sz w:val="12"/>
        </w:rPr>
      </w:pPr>
      <w:r>
        <w:rPr>
          <w:w w:val="105"/>
          <w:sz w:val="21"/>
        </w:rPr>
        <w:t>The New South </w:t>
      </w:r>
      <w:r>
        <w:rPr>
          <w:spacing w:val="-3"/>
          <w:w w:val="105"/>
          <w:sz w:val="21"/>
        </w:rPr>
        <w:t>Wales legislation </w:t>
      </w:r>
      <w:r>
        <w:rPr>
          <w:w w:val="105"/>
          <w:sz w:val="21"/>
        </w:rPr>
        <w:t>recognises the deceased </w:t>
      </w:r>
      <w:r>
        <w:rPr>
          <w:spacing w:val="-3"/>
          <w:w w:val="105"/>
          <w:sz w:val="21"/>
        </w:rPr>
        <w:t>person’s spouse, </w:t>
      </w:r>
      <w:r>
        <w:rPr>
          <w:w w:val="105"/>
          <w:sz w:val="21"/>
        </w:rPr>
        <w:t>de facto partner and </w:t>
      </w:r>
      <w:r>
        <w:rPr>
          <w:spacing w:val="-3"/>
          <w:w w:val="105"/>
          <w:sz w:val="21"/>
        </w:rPr>
        <w:t>child </w:t>
      </w:r>
      <w:r>
        <w:rPr>
          <w:w w:val="105"/>
          <w:sz w:val="21"/>
        </w:rPr>
        <w:t>as </w:t>
      </w:r>
      <w:r>
        <w:rPr>
          <w:spacing w:val="-3"/>
          <w:w w:val="105"/>
          <w:sz w:val="21"/>
        </w:rPr>
        <w:t>eligible to </w:t>
      </w:r>
      <w:r>
        <w:rPr>
          <w:spacing w:val="-4"/>
          <w:w w:val="105"/>
          <w:sz w:val="21"/>
        </w:rPr>
        <w:t>make </w:t>
      </w:r>
      <w:r>
        <w:rPr>
          <w:w w:val="105"/>
          <w:sz w:val="21"/>
        </w:rPr>
        <w:t>a </w:t>
      </w:r>
      <w:r>
        <w:rPr>
          <w:spacing w:val="-3"/>
          <w:w w:val="105"/>
          <w:sz w:val="21"/>
        </w:rPr>
        <w:t>family provision </w:t>
      </w:r>
      <w:r>
        <w:rPr>
          <w:w w:val="105"/>
          <w:sz w:val="21"/>
        </w:rPr>
        <w:t>application in </w:t>
      </w:r>
      <w:r>
        <w:rPr>
          <w:spacing w:val="-3"/>
          <w:w w:val="105"/>
          <w:sz w:val="21"/>
        </w:rPr>
        <w:t>all </w:t>
      </w:r>
      <w:r>
        <w:rPr>
          <w:spacing w:val="-5"/>
          <w:w w:val="105"/>
          <w:sz w:val="21"/>
        </w:rPr>
        <w:t>circumstances.</w:t>
      </w:r>
      <w:r>
        <w:rPr>
          <w:spacing w:val="-5"/>
          <w:w w:val="105"/>
          <w:position w:val="7"/>
          <w:sz w:val="12"/>
        </w:rPr>
        <w:t>114</w:t>
      </w:r>
      <w:r>
        <w:rPr>
          <w:spacing w:val="-5"/>
          <w:w w:val="105"/>
          <w:sz w:val="12"/>
        </w:rPr>
        <w:t> </w:t>
      </w:r>
      <w:r>
        <w:rPr>
          <w:w w:val="105"/>
          <w:sz w:val="21"/>
        </w:rPr>
        <w:t>It also recognises the </w:t>
      </w:r>
      <w:r>
        <w:rPr>
          <w:spacing w:val="-3"/>
          <w:w w:val="105"/>
          <w:sz w:val="21"/>
        </w:rPr>
        <w:t>following </w:t>
      </w:r>
      <w:r>
        <w:rPr>
          <w:w w:val="105"/>
          <w:sz w:val="21"/>
        </w:rPr>
        <w:t>people as </w:t>
      </w:r>
      <w:r>
        <w:rPr>
          <w:spacing w:val="-3"/>
          <w:w w:val="105"/>
          <w:sz w:val="21"/>
        </w:rPr>
        <w:t>eligible </w:t>
      </w:r>
      <w:r>
        <w:rPr>
          <w:w w:val="105"/>
          <w:sz w:val="21"/>
        </w:rPr>
        <w:t>in certain</w:t>
      </w:r>
      <w:r>
        <w:rPr>
          <w:spacing w:val="18"/>
          <w:w w:val="105"/>
          <w:sz w:val="21"/>
        </w:rPr>
        <w:t> </w:t>
      </w:r>
      <w:r>
        <w:rPr>
          <w:spacing w:val="-4"/>
          <w:w w:val="105"/>
          <w:sz w:val="21"/>
        </w:rPr>
        <w:t>circumstances:</w:t>
      </w:r>
      <w:r>
        <w:rPr>
          <w:spacing w:val="-4"/>
          <w:w w:val="105"/>
          <w:position w:val="7"/>
          <w:sz w:val="12"/>
        </w:rPr>
        <w:t>115</w:t>
      </w:r>
    </w:p>
    <w:p>
      <w:pPr>
        <w:pStyle w:val="ListParagraph"/>
        <w:numPr>
          <w:ilvl w:val="2"/>
          <w:numId w:val="22"/>
        </w:numPr>
        <w:tabs>
          <w:tab w:pos="2721" w:val="left" w:leader="none"/>
          <w:tab w:pos="2722" w:val="left" w:leader="none"/>
        </w:tabs>
        <w:spacing w:line="240" w:lineRule="auto" w:before="123" w:after="0"/>
        <w:ind w:left="2721" w:right="0" w:hanging="340"/>
        <w:jc w:val="left"/>
        <w:rPr>
          <w:sz w:val="21"/>
        </w:rPr>
      </w:pPr>
      <w:r>
        <w:rPr>
          <w:w w:val="105"/>
          <w:sz w:val="21"/>
        </w:rPr>
        <w:t>a former wife or </w:t>
      </w:r>
      <w:r>
        <w:rPr>
          <w:spacing w:val="-3"/>
          <w:w w:val="105"/>
          <w:sz w:val="21"/>
        </w:rPr>
        <w:t>husband </w:t>
      </w:r>
      <w:r>
        <w:rPr>
          <w:w w:val="105"/>
          <w:sz w:val="21"/>
        </w:rPr>
        <w:t>of the deceased</w:t>
      </w:r>
      <w:r>
        <w:rPr>
          <w:spacing w:val="39"/>
          <w:w w:val="105"/>
          <w:sz w:val="21"/>
        </w:rPr>
        <w:t> </w:t>
      </w:r>
      <w:r>
        <w:rPr>
          <w:w w:val="105"/>
          <w:sz w:val="21"/>
        </w:rPr>
        <w:t>person</w:t>
      </w:r>
    </w:p>
    <w:p>
      <w:pPr>
        <w:pStyle w:val="ListParagraph"/>
        <w:numPr>
          <w:ilvl w:val="2"/>
          <w:numId w:val="22"/>
        </w:numPr>
        <w:tabs>
          <w:tab w:pos="2721" w:val="left" w:leader="none"/>
          <w:tab w:pos="2722" w:val="left" w:leader="none"/>
        </w:tabs>
        <w:spacing w:line="242" w:lineRule="auto" w:before="124" w:after="0"/>
        <w:ind w:left="2721" w:right="2543" w:hanging="340"/>
        <w:jc w:val="left"/>
        <w:rPr>
          <w:sz w:val="21"/>
        </w:rPr>
      </w:pPr>
      <w:r>
        <w:rPr>
          <w:w w:val="105"/>
          <w:sz w:val="21"/>
        </w:rPr>
        <w:t>a</w:t>
      </w:r>
      <w:r>
        <w:rPr>
          <w:spacing w:val="-4"/>
          <w:w w:val="105"/>
          <w:sz w:val="21"/>
        </w:rPr>
        <w:t> </w:t>
      </w:r>
      <w:r>
        <w:rPr>
          <w:spacing w:val="-3"/>
          <w:w w:val="105"/>
          <w:sz w:val="21"/>
        </w:rPr>
        <w:t>grandchild</w:t>
      </w:r>
      <w:r>
        <w:rPr>
          <w:spacing w:val="-4"/>
          <w:w w:val="105"/>
          <w:sz w:val="21"/>
        </w:rPr>
        <w:t> </w:t>
      </w:r>
      <w:r>
        <w:rPr>
          <w:w w:val="105"/>
          <w:sz w:val="21"/>
        </w:rPr>
        <w:t>of</w:t>
      </w:r>
      <w:r>
        <w:rPr>
          <w:spacing w:val="-3"/>
          <w:w w:val="105"/>
          <w:sz w:val="21"/>
        </w:rPr>
        <w:t> </w:t>
      </w:r>
      <w:r>
        <w:rPr>
          <w:w w:val="105"/>
          <w:sz w:val="21"/>
        </w:rPr>
        <w:t>the</w:t>
      </w:r>
      <w:r>
        <w:rPr>
          <w:spacing w:val="-4"/>
          <w:w w:val="105"/>
          <w:sz w:val="21"/>
        </w:rPr>
        <w:t> </w:t>
      </w:r>
      <w:r>
        <w:rPr>
          <w:w w:val="105"/>
          <w:sz w:val="21"/>
        </w:rPr>
        <w:t>deceased</w:t>
      </w:r>
      <w:r>
        <w:rPr>
          <w:spacing w:val="-4"/>
          <w:w w:val="105"/>
          <w:sz w:val="21"/>
        </w:rPr>
        <w:t> </w:t>
      </w:r>
      <w:r>
        <w:rPr>
          <w:w w:val="105"/>
          <w:sz w:val="21"/>
        </w:rPr>
        <w:t>person</w:t>
      </w:r>
      <w:r>
        <w:rPr>
          <w:spacing w:val="-3"/>
          <w:w w:val="105"/>
          <w:sz w:val="21"/>
        </w:rPr>
        <w:t> </w:t>
      </w:r>
      <w:r>
        <w:rPr>
          <w:w w:val="105"/>
          <w:sz w:val="21"/>
        </w:rPr>
        <w:t>who</w:t>
      </w:r>
      <w:r>
        <w:rPr>
          <w:spacing w:val="-4"/>
          <w:w w:val="105"/>
          <w:sz w:val="21"/>
        </w:rPr>
        <w:t> </w:t>
      </w:r>
      <w:r>
        <w:rPr>
          <w:w w:val="105"/>
          <w:sz w:val="21"/>
        </w:rPr>
        <w:t>was,</w:t>
      </w:r>
      <w:r>
        <w:rPr>
          <w:spacing w:val="-3"/>
          <w:w w:val="105"/>
          <w:sz w:val="21"/>
        </w:rPr>
        <w:t> </w:t>
      </w:r>
      <w:r>
        <w:rPr>
          <w:w w:val="105"/>
          <w:sz w:val="21"/>
        </w:rPr>
        <w:t>at</w:t>
      </w:r>
      <w:r>
        <w:rPr>
          <w:spacing w:val="-4"/>
          <w:w w:val="105"/>
          <w:sz w:val="21"/>
        </w:rPr>
        <w:t> </w:t>
      </w:r>
      <w:r>
        <w:rPr>
          <w:spacing w:val="-3"/>
          <w:w w:val="105"/>
          <w:sz w:val="21"/>
        </w:rPr>
        <w:t>any</w:t>
      </w:r>
      <w:r>
        <w:rPr>
          <w:spacing w:val="-4"/>
          <w:w w:val="105"/>
          <w:sz w:val="21"/>
        </w:rPr>
        <w:t> </w:t>
      </w:r>
      <w:r>
        <w:rPr>
          <w:spacing w:val="-3"/>
          <w:w w:val="105"/>
          <w:sz w:val="21"/>
        </w:rPr>
        <w:t>time, </w:t>
      </w:r>
      <w:r>
        <w:rPr>
          <w:w w:val="105"/>
          <w:sz w:val="21"/>
        </w:rPr>
        <w:t>wholly</w:t>
      </w:r>
      <w:r>
        <w:rPr>
          <w:spacing w:val="-4"/>
          <w:w w:val="105"/>
          <w:sz w:val="21"/>
        </w:rPr>
        <w:t> </w:t>
      </w:r>
      <w:r>
        <w:rPr>
          <w:w w:val="105"/>
          <w:sz w:val="21"/>
        </w:rPr>
        <w:t>or</w:t>
      </w:r>
      <w:r>
        <w:rPr>
          <w:spacing w:val="-4"/>
          <w:w w:val="105"/>
          <w:sz w:val="21"/>
        </w:rPr>
        <w:t> </w:t>
      </w:r>
      <w:r>
        <w:rPr>
          <w:w w:val="105"/>
          <w:sz w:val="21"/>
        </w:rPr>
        <w:t>partly dependent on the deceased</w:t>
      </w:r>
      <w:r>
        <w:rPr>
          <w:spacing w:val="17"/>
          <w:w w:val="105"/>
          <w:sz w:val="21"/>
        </w:rPr>
        <w:t> </w:t>
      </w:r>
      <w:r>
        <w:rPr>
          <w:w w:val="105"/>
          <w:sz w:val="21"/>
        </w:rPr>
        <w:t>person</w:t>
      </w:r>
    </w:p>
    <w:p>
      <w:pPr>
        <w:pStyle w:val="ListParagraph"/>
        <w:numPr>
          <w:ilvl w:val="2"/>
          <w:numId w:val="22"/>
        </w:numPr>
        <w:tabs>
          <w:tab w:pos="2721" w:val="left" w:leader="none"/>
          <w:tab w:pos="2722" w:val="left" w:leader="none"/>
        </w:tabs>
        <w:spacing w:line="242" w:lineRule="auto" w:before="122" w:after="0"/>
        <w:ind w:left="2721" w:right="1623" w:hanging="340"/>
        <w:jc w:val="left"/>
        <w:rPr>
          <w:sz w:val="21"/>
        </w:rPr>
      </w:pPr>
      <w:r>
        <w:rPr>
          <w:w w:val="105"/>
          <w:sz w:val="21"/>
        </w:rPr>
        <w:t>a</w:t>
      </w:r>
      <w:r>
        <w:rPr>
          <w:spacing w:val="-7"/>
          <w:w w:val="105"/>
          <w:sz w:val="21"/>
        </w:rPr>
        <w:t> </w:t>
      </w:r>
      <w:r>
        <w:rPr>
          <w:w w:val="105"/>
          <w:sz w:val="21"/>
        </w:rPr>
        <w:t>member</w:t>
      </w:r>
      <w:r>
        <w:rPr>
          <w:spacing w:val="-6"/>
          <w:w w:val="105"/>
          <w:sz w:val="21"/>
        </w:rPr>
        <w:t> </w:t>
      </w:r>
      <w:r>
        <w:rPr>
          <w:w w:val="105"/>
          <w:sz w:val="21"/>
        </w:rPr>
        <w:t>of</w:t>
      </w:r>
      <w:r>
        <w:rPr>
          <w:spacing w:val="-6"/>
          <w:w w:val="105"/>
          <w:sz w:val="21"/>
        </w:rPr>
        <w:t> </w:t>
      </w:r>
      <w:r>
        <w:rPr>
          <w:w w:val="105"/>
          <w:sz w:val="21"/>
        </w:rPr>
        <w:t>the</w:t>
      </w:r>
      <w:r>
        <w:rPr>
          <w:spacing w:val="-6"/>
          <w:w w:val="105"/>
          <w:sz w:val="21"/>
        </w:rPr>
        <w:t> </w:t>
      </w:r>
      <w:r>
        <w:rPr>
          <w:w w:val="105"/>
          <w:sz w:val="21"/>
        </w:rPr>
        <w:t>deceased</w:t>
      </w:r>
      <w:r>
        <w:rPr>
          <w:spacing w:val="-6"/>
          <w:w w:val="105"/>
          <w:sz w:val="21"/>
        </w:rPr>
        <w:t> </w:t>
      </w:r>
      <w:r>
        <w:rPr>
          <w:spacing w:val="-3"/>
          <w:w w:val="105"/>
          <w:sz w:val="21"/>
        </w:rPr>
        <w:t>person’s</w:t>
      </w:r>
      <w:r>
        <w:rPr>
          <w:spacing w:val="-6"/>
          <w:w w:val="105"/>
          <w:sz w:val="21"/>
        </w:rPr>
        <w:t> </w:t>
      </w:r>
      <w:r>
        <w:rPr>
          <w:w w:val="105"/>
          <w:sz w:val="21"/>
        </w:rPr>
        <w:t>household</w:t>
      </w:r>
      <w:r>
        <w:rPr>
          <w:spacing w:val="-7"/>
          <w:w w:val="105"/>
          <w:sz w:val="21"/>
        </w:rPr>
        <w:t> </w:t>
      </w:r>
      <w:r>
        <w:rPr>
          <w:w w:val="105"/>
          <w:sz w:val="21"/>
        </w:rPr>
        <w:t>who</w:t>
      </w:r>
      <w:r>
        <w:rPr>
          <w:spacing w:val="-6"/>
          <w:w w:val="105"/>
          <w:sz w:val="21"/>
        </w:rPr>
        <w:t> </w:t>
      </w:r>
      <w:r>
        <w:rPr>
          <w:w w:val="105"/>
          <w:sz w:val="21"/>
        </w:rPr>
        <w:t>was,</w:t>
      </w:r>
      <w:r>
        <w:rPr>
          <w:spacing w:val="-6"/>
          <w:w w:val="105"/>
          <w:sz w:val="21"/>
        </w:rPr>
        <w:t> </w:t>
      </w:r>
      <w:r>
        <w:rPr>
          <w:w w:val="105"/>
          <w:sz w:val="21"/>
        </w:rPr>
        <w:t>at</w:t>
      </w:r>
      <w:r>
        <w:rPr>
          <w:spacing w:val="-6"/>
          <w:w w:val="105"/>
          <w:sz w:val="21"/>
        </w:rPr>
        <w:t> </w:t>
      </w:r>
      <w:r>
        <w:rPr>
          <w:spacing w:val="-3"/>
          <w:w w:val="105"/>
          <w:sz w:val="21"/>
        </w:rPr>
        <w:t>any</w:t>
      </w:r>
      <w:r>
        <w:rPr>
          <w:spacing w:val="-6"/>
          <w:w w:val="105"/>
          <w:sz w:val="21"/>
        </w:rPr>
        <w:t> </w:t>
      </w:r>
      <w:r>
        <w:rPr>
          <w:spacing w:val="-3"/>
          <w:w w:val="105"/>
          <w:sz w:val="21"/>
        </w:rPr>
        <w:t>time,</w:t>
      </w:r>
      <w:r>
        <w:rPr>
          <w:spacing w:val="-6"/>
          <w:w w:val="105"/>
          <w:sz w:val="21"/>
        </w:rPr>
        <w:t> </w:t>
      </w:r>
      <w:r>
        <w:rPr>
          <w:w w:val="105"/>
          <w:sz w:val="21"/>
        </w:rPr>
        <w:t>wholly</w:t>
      </w:r>
      <w:r>
        <w:rPr>
          <w:spacing w:val="-6"/>
          <w:w w:val="105"/>
          <w:sz w:val="21"/>
        </w:rPr>
        <w:t> </w:t>
      </w:r>
      <w:r>
        <w:rPr>
          <w:w w:val="105"/>
          <w:sz w:val="21"/>
        </w:rPr>
        <w:t>or</w:t>
      </w:r>
      <w:r>
        <w:rPr>
          <w:spacing w:val="-7"/>
          <w:w w:val="105"/>
          <w:sz w:val="21"/>
        </w:rPr>
        <w:t> </w:t>
      </w:r>
      <w:r>
        <w:rPr>
          <w:w w:val="105"/>
          <w:sz w:val="21"/>
        </w:rPr>
        <w:t>partly dependent on the deceased</w:t>
      </w:r>
      <w:r>
        <w:rPr>
          <w:spacing w:val="18"/>
          <w:w w:val="105"/>
          <w:sz w:val="21"/>
        </w:rPr>
        <w:t> </w:t>
      </w:r>
      <w:r>
        <w:rPr>
          <w:w w:val="105"/>
          <w:sz w:val="21"/>
        </w:rPr>
        <w:t>person</w:t>
      </w:r>
    </w:p>
    <w:p>
      <w:pPr>
        <w:pStyle w:val="ListParagraph"/>
        <w:numPr>
          <w:ilvl w:val="2"/>
          <w:numId w:val="22"/>
        </w:numPr>
        <w:tabs>
          <w:tab w:pos="2721" w:val="left" w:leader="none"/>
          <w:tab w:pos="2722" w:val="left" w:leader="none"/>
        </w:tabs>
        <w:spacing w:line="242" w:lineRule="auto" w:before="122" w:after="0"/>
        <w:ind w:left="2721" w:right="1744" w:hanging="340"/>
        <w:jc w:val="left"/>
        <w:rPr>
          <w:sz w:val="12"/>
        </w:rPr>
      </w:pPr>
      <w:r>
        <w:rPr>
          <w:sz w:val="21"/>
        </w:rPr>
        <w:t>a person with whom the deceased person was </w:t>
      </w:r>
      <w:r>
        <w:rPr>
          <w:spacing w:val="-3"/>
          <w:sz w:val="21"/>
        </w:rPr>
        <w:t>living  </w:t>
      </w:r>
      <w:r>
        <w:rPr>
          <w:sz w:val="21"/>
        </w:rPr>
        <w:t>in a close personal </w:t>
      </w:r>
      <w:r>
        <w:rPr>
          <w:spacing w:val="-3"/>
          <w:sz w:val="21"/>
        </w:rPr>
        <w:t>relationship    </w:t>
      </w:r>
      <w:r>
        <w:rPr>
          <w:sz w:val="21"/>
        </w:rPr>
        <w:t>at the time of the deceased </w:t>
      </w:r>
      <w:r>
        <w:rPr>
          <w:spacing w:val="-3"/>
          <w:sz w:val="21"/>
        </w:rPr>
        <w:t>person’s  death.  </w:t>
      </w:r>
      <w:r>
        <w:rPr>
          <w:sz w:val="21"/>
        </w:rPr>
        <w:t>A close personal </w:t>
      </w:r>
      <w:r>
        <w:rPr>
          <w:spacing w:val="-3"/>
          <w:sz w:val="21"/>
        </w:rPr>
        <w:t>relationship</w:t>
      </w:r>
      <w:r>
        <w:rPr>
          <w:spacing w:val="41"/>
          <w:sz w:val="21"/>
        </w:rPr>
        <w:t> </w:t>
      </w:r>
      <w:r>
        <w:rPr>
          <w:sz w:val="21"/>
        </w:rPr>
        <w:t>is defined   as a </w:t>
      </w:r>
      <w:r>
        <w:rPr>
          <w:spacing w:val="-4"/>
          <w:sz w:val="21"/>
        </w:rPr>
        <w:t>‘relationship </w:t>
      </w:r>
      <w:r>
        <w:rPr>
          <w:sz w:val="21"/>
        </w:rPr>
        <w:t>(other </w:t>
      </w:r>
      <w:r>
        <w:rPr>
          <w:spacing w:val="-3"/>
          <w:sz w:val="21"/>
        </w:rPr>
        <w:t>than </w:t>
      </w:r>
      <w:r>
        <w:rPr>
          <w:sz w:val="21"/>
        </w:rPr>
        <w:t>a marriage or a  de  facto  </w:t>
      </w:r>
      <w:r>
        <w:rPr>
          <w:spacing w:val="-3"/>
          <w:sz w:val="21"/>
        </w:rPr>
        <w:t>relationship)  </w:t>
      </w:r>
      <w:r>
        <w:rPr>
          <w:sz w:val="21"/>
        </w:rPr>
        <w:t>between  two </w:t>
      </w:r>
      <w:r>
        <w:rPr>
          <w:spacing w:val="-3"/>
          <w:sz w:val="21"/>
        </w:rPr>
        <w:t>adult </w:t>
      </w:r>
      <w:r>
        <w:rPr>
          <w:sz w:val="21"/>
        </w:rPr>
        <w:t>persons, whether or </w:t>
      </w:r>
      <w:r>
        <w:rPr>
          <w:spacing w:val="-2"/>
          <w:sz w:val="21"/>
        </w:rPr>
        <w:t>not </w:t>
      </w:r>
      <w:r>
        <w:rPr>
          <w:spacing w:val="-3"/>
          <w:sz w:val="21"/>
        </w:rPr>
        <w:t>related </w:t>
      </w:r>
      <w:r>
        <w:rPr>
          <w:sz w:val="21"/>
        </w:rPr>
        <w:t>by </w:t>
      </w:r>
      <w:r>
        <w:rPr>
          <w:spacing w:val="-5"/>
          <w:sz w:val="21"/>
        </w:rPr>
        <w:t>family, </w:t>
      </w:r>
      <w:r>
        <w:rPr>
          <w:sz w:val="21"/>
        </w:rPr>
        <w:t>who </w:t>
      </w:r>
      <w:r>
        <w:rPr>
          <w:spacing w:val="-3"/>
          <w:sz w:val="21"/>
        </w:rPr>
        <w:t>are  living  </w:t>
      </w:r>
      <w:r>
        <w:rPr>
          <w:spacing w:val="-4"/>
          <w:sz w:val="21"/>
        </w:rPr>
        <w:t>together,  </w:t>
      </w:r>
      <w:r>
        <w:rPr>
          <w:sz w:val="21"/>
        </w:rPr>
        <w:t>one or each  of whom provides the other with domestic support or personal </w:t>
      </w:r>
      <w:r>
        <w:rPr>
          <w:spacing w:val="-8"/>
          <w:sz w:val="21"/>
        </w:rPr>
        <w:t>care’.</w:t>
      </w:r>
      <w:r>
        <w:rPr>
          <w:spacing w:val="-8"/>
          <w:position w:val="7"/>
          <w:sz w:val="12"/>
        </w:rPr>
        <w:t>116 </w:t>
      </w:r>
      <w:r>
        <w:rPr>
          <w:sz w:val="21"/>
        </w:rPr>
        <w:t>It does </w:t>
      </w:r>
      <w:r>
        <w:rPr>
          <w:spacing w:val="-2"/>
          <w:sz w:val="21"/>
        </w:rPr>
        <w:t>not </w:t>
      </w:r>
      <w:r>
        <w:rPr>
          <w:spacing w:val="-3"/>
          <w:sz w:val="21"/>
        </w:rPr>
        <w:t>include relationships </w:t>
      </w:r>
      <w:r>
        <w:rPr>
          <w:sz w:val="21"/>
        </w:rPr>
        <w:t>in which care and support </w:t>
      </w:r>
      <w:r>
        <w:rPr>
          <w:spacing w:val="-3"/>
          <w:sz w:val="21"/>
        </w:rPr>
        <w:t>are </w:t>
      </w:r>
      <w:r>
        <w:rPr>
          <w:sz w:val="21"/>
        </w:rPr>
        <w:t>provided </w:t>
      </w:r>
      <w:r>
        <w:rPr>
          <w:spacing w:val="-3"/>
          <w:sz w:val="21"/>
        </w:rPr>
        <w:t>for </w:t>
      </w:r>
      <w:r>
        <w:rPr>
          <w:sz w:val="21"/>
        </w:rPr>
        <w:t>fee or</w:t>
      </w:r>
      <w:r>
        <w:rPr>
          <w:spacing w:val="32"/>
          <w:sz w:val="21"/>
        </w:rPr>
        <w:t> </w:t>
      </w:r>
      <w:r>
        <w:rPr>
          <w:spacing w:val="-6"/>
          <w:sz w:val="21"/>
        </w:rPr>
        <w:t>reward.</w:t>
      </w:r>
      <w:r>
        <w:rPr>
          <w:spacing w:val="-6"/>
          <w:position w:val="7"/>
          <w:sz w:val="12"/>
        </w:rPr>
        <w:t>117</w:t>
      </w:r>
    </w:p>
    <w:p>
      <w:pPr>
        <w:pStyle w:val="BodyText"/>
        <w:spacing w:before="7"/>
        <w:rPr>
          <w:sz w:val="16"/>
        </w:rPr>
      </w:pPr>
      <w:r>
        <w:rPr/>
        <w:pict>
          <v:line style="position:absolute;mso-position-horizontal-relative:page;mso-position-vertical-relative:paragraph;z-index:7064;mso-wrap-distance-left:0;mso-wrap-distance-right:0" from="79.370003pt,12.608213pt" to="515.905003pt,12.608213pt" stroked="true" strokeweight="1pt" strokecolor="#f9ceca">
            <v:stroke dashstyle="solid"/>
            <w10:wrap type="topAndBottom"/>
          </v:line>
        </w:pict>
      </w:r>
    </w:p>
    <w:p>
      <w:pPr>
        <w:pStyle w:val="BodyText"/>
        <w:spacing w:before="8"/>
        <w:rPr>
          <w:sz w:val="5"/>
        </w:rPr>
      </w:pPr>
    </w:p>
    <w:p>
      <w:pPr>
        <w:spacing w:after="0"/>
        <w:rPr>
          <w:sz w:val="5"/>
        </w:rPr>
        <w:sectPr>
          <w:pgSz w:w="11910" w:h="16840"/>
          <w:pgMar w:header="550" w:footer="0" w:top="1560" w:bottom="280" w:left="0" w:right="0"/>
        </w:sectPr>
      </w:pPr>
    </w:p>
    <w:p>
      <w:pPr>
        <w:pStyle w:val="BodyText"/>
        <w:rPr>
          <w:sz w:val="28"/>
        </w:rPr>
      </w:pPr>
    </w:p>
    <w:p>
      <w:pPr>
        <w:pStyle w:val="BodyText"/>
        <w:rPr>
          <w:sz w:val="28"/>
        </w:rPr>
      </w:pPr>
    </w:p>
    <w:p>
      <w:pPr>
        <w:pStyle w:val="BodyText"/>
        <w:rPr>
          <w:sz w:val="28"/>
        </w:rPr>
      </w:pPr>
    </w:p>
    <w:p>
      <w:pPr>
        <w:pStyle w:val="BodyText"/>
        <w:rPr>
          <w:sz w:val="28"/>
        </w:rPr>
      </w:pPr>
    </w:p>
    <w:p>
      <w:pPr>
        <w:spacing w:before="191"/>
        <w:ind w:left="720" w:right="0" w:firstLine="0"/>
        <w:jc w:val="left"/>
        <w:rPr>
          <w:b/>
          <w:sz w:val="24"/>
        </w:rPr>
      </w:pPr>
      <w:r>
        <w:rPr>
          <w:b/>
          <w:color w:val="EC5A4F"/>
          <w:spacing w:val="-8"/>
          <w:w w:val="110"/>
          <w:sz w:val="24"/>
        </w:rPr>
        <w:t>110</w:t>
      </w:r>
    </w:p>
    <w:p>
      <w:pPr>
        <w:pStyle w:val="ListParagraph"/>
        <w:numPr>
          <w:ilvl w:val="0"/>
          <w:numId w:val="81"/>
        </w:numPr>
        <w:tabs>
          <w:tab w:pos="1242" w:val="left" w:leader="none"/>
          <w:tab w:pos="1243" w:val="left" w:leader="none"/>
        </w:tabs>
        <w:spacing w:line="240" w:lineRule="auto" w:before="48" w:after="0"/>
        <w:ind w:left="1242" w:right="1682" w:hanging="793"/>
        <w:jc w:val="left"/>
        <w:rPr>
          <w:sz w:val="13"/>
        </w:rPr>
      </w:pPr>
      <w:r>
        <w:rPr>
          <w:spacing w:val="2"/>
          <w:w w:val="88"/>
          <w:sz w:val="13"/>
        </w:rPr>
        <w:br w:type="column"/>
      </w:r>
      <w:r>
        <w:rPr>
          <w:w w:val="105"/>
          <w:sz w:val="13"/>
        </w:rPr>
        <w:t>In relation to the National Committee’s fourth proposed category of eligibility, the wording had originally been </w:t>
      </w:r>
      <w:r>
        <w:rPr>
          <w:spacing w:val="-3"/>
          <w:w w:val="105"/>
          <w:sz w:val="13"/>
        </w:rPr>
        <w:t>‘a </w:t>
      </w:r>
      <w:r>
        <w:rPr>
          <w:w w:val="105"/>
          <w:sz w:val="13"/>
        </w:rPr>
        <w:t>person to whom the deceased owed a special responsibility to provide maintenance education or advancement in life’: National Committee for Uniform Succession Laws, </w:t>
      </w:r>
      <w:r>
        <w:rPr>
          <w:i/>
          <w:w w:val="105"/>
          <w:sz w:val="13"/>
        </w:rPr>
        <w:t>Family Provision Report, </w:t>
      </w:r>
      <w:r>
        <w:rPr>
          <w:w w:val="105"/>
          <w:sz w:val="13"/>
        </w:rPr>
        <w:t>above n 109, 26. However, in the 2004 supplementary family provision report, the National Committee removed the word special ‘for consistency with Victorian legislation’: National Committee for Uniform Succession Laws, </w:t>
      </w:r>
      <w:r>
        <w:rPr>
          <w:i/>
          <w:w w:val="105"/>
          <w:sz w:val="13"/>
        </w:rPr>
        <w:t>Family </w:t>
      </w:r>
      <w:r>
        <w:rPr>
          <w:i/>
          <w:w w:val="105"/>
          <w:sz w:val="13"/>
        </w:rPr>
        <w:t>Provision Supplementary Report, </w:t>
      </w:r>
      <w:r>
        <w:rPr>
          <w:w w:val="105"/>
          <w:sz w:val="13"/>
        </w:rPr>
        <w:t>above n </w:t>
      </w:r>
      <w:r>
        <w:rPr>
          <w:spacing w:val="2"/>
          <w:w w:val="105"/>
          <w:sz w:val="13"/>
        </w:rPr>
        <w:t>88, </w:t>
      </w:r>
      <w:r>
        <w:rPr>
          <w:w w:val="105"/>
          <w:sz w:val="13"/>
        </w:rPr>
        <w:t>4 (footnote</w:t>
      </w:r>
      <w:r>
        <w:rPr>
          <w:spacing w:val="2"/>
          <w:w w:val="105"/>
          <w:sz w:val="13"/>
        </w:rPr>
        <w:t> </w:t>
      </w:r>
      <w:r>
        <w:rPr>
          <w:w w:val="105"/>
          <w:sz w:val="13"/>
        </w:rPr>
        <w:t>26).</w:t>
      </w:r>
    </w:p>
    <w:p>
      <w:pPr>
        <w:pStyle w:val="ListParagraph"/>
        <w:numPr>
          <w:ilvl w:val="0"/>
          <w:numId w:val="81"/>
        </w:numPr>
        <w:tabs>
          <w:tab w:pos="1242" w:val="left" w:leader="none"/>
          <w:tab w:pos="1243" w:val="left" w:leader="none"/>
        </w:tabs>
        <w:spacing w:line="240" w:lineRule="auto" w:before="7" w:after="0"/>
        <w:ind w:left="1242" w:right="0" w:hanging="793"/>
        <w:jc w:val="left"/>
        <w:rPr>
          <w:sz w:val="13"/>
        </w:rPr>
      </w:pPr>
      <w:r>
        <w:rPr>
          <w:w w:val="105"/>
          <w:sz w:val="13"/>
        </w:rPr>
        <w:t>Victorian Law Reform Commission, above n 2,</w:t>
      </w:r>
      <w:r>
        <w:rPr>
          <w:spacing w:val="2"/>
          <w:w w:val="105"/>
          <w:sz w:val="13"/>
        </w:rPr>
        <w:t> </w:t>
      </w:r>
      <w:r>
        <w:rPr>
          <w:w w:val="105"/>
          <w:sz w:val="13"/>
        </w:rPr>
        <w:t>40.</w:t>
      </w:r>
    </w:p>
    <w:p>
      <w:pPr>
        <w:pStyle w:val="ListParagraph"/>
        <w:numPr>
          <w:ilvl w:val="0"/>
          <w:numId w:val="81"/>
        </w:numPr>
        <w:tabs>
          <w:tab w:pos="1242" w:val="left" w:leader="none"/>
          <w:tab w:pos="1243" w:val="left" w:leader="none"/>
        </w:tabs>
        <w:spacing w:line="240" w:lineRule="auto" w:before="1" w:after="0"/>
        <w:ind w:left="1242" w:right="0" w:hanging="793"/>
        <w:jc w:val="left"/>
        <w:rPr>
          <w:sz w:val="13"/>
        </w:rPr>
      </w:pPr>
      <w:r>
        <w:rPr>
          <w:w w:val="105"/>
          <w:sz w:val="13"/>
        </w:rPr>
        <w:t>Ibid</w:t>
      </w:r>
      <w:r>
        <w:rPr>
          <w:spacing w:val="4"/>
          <w:w w:val="105"/>
          <w:sz w:val="13"/>
        </w:rPr>
        <w:t> </w:t>
      </w:r>
      <w:r>
        <w:rPr>
          <w:spacing w:val="2"/>
          <w:w w:val="105"/>
          <w:sz w:val="13"/>
        </w:rPr>
        <w:t>38.</w:t>
      </w:r>
    </w:p>
    <w:p>
      <w:pPr>
        <w:pStyle w:val="ListParagraph"/>
        <w:numPr>
          <w:ilvl w:val="0"/>
          <w:numId w:val="81"/>
        </w:numPr>
        <w:tabs>
          <w:tab w:pos="1242" w:val="left" w:leader="none"/>
          <w:tab w:pos="1243" w:val="left" w:leader="none"/>
        </w:tabs>
        <w:spacing w:line="240" w:lineRule="auto" w:before="1" w:after="0"/>
        <w:ind w:left="449" w:right="7071" w:firstLine="0"/>
        <w:jc w:val="left"/>
        <w:rPr>
          <w:sz w:val="13"/>
        </w:rPr>
      </w:pPr>
      <w:r>
        <w:rPr>
          <w:i/>
          <w:sz w:val="13"/>
        </w:rPr>
        <w:t>Succession Act 2006 </w:t>
      </w:r>
      <w:r>
        <w:rPr>
          <w:spacing w:val="3"/>
          <w:sz w:val="13"/>
        </w:rPr>
        <w:t>(NSW) </w:t>
      </w:r>
      <w:r>
        <w:rPr>
          <w:sz w:val="13"/>
        </w:rPr>
        <w:t>ss </w:t>
      </w:r>
      <w:r>
        <w:rPr>
          <w:spacing w:val="4"/>
          <w:sz w:val="13"/>
        </w:rPr>
        <w:t>57(1)(a)–(c). </w:t>
      </w:r>
      <w:r>
        <w:rPr>
          <w:spacing w:val="-6"/>
          <w:sz w:val="13"/>
        </w:rPr>
        <w:t>115</w:t>
        <w:tab/>
      </w:r>
      <w:r>
        <w:rPr>
          <w:sz w:val="13"/>
        </w:rPr>
        <w:t>Ibid ss</w:t>
      </w:r>
      <w:r>
        <w:rPr>
          <w:spacing w:val="13"/>
          <w:sz w:val="13"/>
        </w:rPr>
        <w:t> </w:t>
      </w:r>
      <w:r>
        <w:rPr>
          <w:spacing w:val="4"/>
          <w:sz w:val="13"/>
        </w:rPr>
        <w:t>57(1)(d)–(f).</w:t>
      </w:r>
    </w:p>
    <w:p>
      <w:pPr>
        <w:tabs>
          <w:tab w:pos="1242" w:val="left" w:leader="none"/>
        </w:tabs>
        <w:spacing w:before="3"/>
        <w:ind w:left="449" w:right="0" w:firstLine="0"/>
        <w:jc w:val="left"/>
        <w:rPr>
          <w:sz w:val="13"/>
        </w:rPr>
      </w:pPr>
      <w:r>
        <w:rPr>
          <w:spacing w:val="-5"/>
          <w:w w:val="105"/>
          <w:sz w:val="13"/>
        </w:rPr>
        <w:t>116</w:t>
        <w:tab/>
      </w:r>
      <w:r>
        <w:rPr>
          <w:w w:val="105"/>
          <w:sz w:val="13"/>
        </w:rPr>
        <w:t>Ibid s</w:t>
      </w:r>
      <w:r>
        <w:rPr>
          <w:spacing w:val="6"/>
          <w:w w:val="105"/>
          <w:sz w:val="13"/>
        </w:rPr>
        <w:t> </w:t>
      </w:r>
      <w:r>
        <w:rPr>
          <w:spacing w:val="3"/>
          <w:w w:val="105"/>
          <w:sz w:val="13"/>
        </w:rPr>
        <w:t>3(3).</w:t>
      </w:r>
    </w:p>
    <w:p>
      <w:pPr>
        <w:tabs>
          <w:tab w:pos="1242" w:val="left" w:leader="none"/>
        </w:tabs>
        <w:spacing w:before="1"/>
        <w:ind w:left="449" w:right="0" w:firstLine="0"/>
        <w:jc w:val="left"/>
        <w:rPr>
          <w:sz w:val="13"/>
        </w:rPr>
      </w:pPr>
      <w:r>
        <w:rPr>
          <w:spacing w:val="-6"/>
          <w:w w:val="105"/>
          <w:sz w:val="13"/>
        </w:rPr>
        <w:t>117</w:t>
        <w:tab/>
      </w:r>
      <w:r>
        <w:rPr>
          <w:w w:val="105"/>
          <w:sz w:val="13"/>
        </w:rPr>
        <w:t>Ibid s</w:t>
      </w:r>
      <w:r>
        <w:rPr>
          <w:spacing w:val="2"/>
          <w:w w:val="105"/>
          <w:sz w:val="13"/>
        </w:rPr>
        <w:t> </w:t>
      </w:r>
      <w:r>
        <w:rPr>
          <w:spacing w:val="4"/>
          <w:w w:val="105"/>
          <w:sz w:val="13"/>
        </w:rPr>
        <w:t>3(4).</w:t>
      </w:r>
    </w:p>
    <w:p>
      <w:pPr>
        <w:spacing w:after="0"/>
        <w:jc w:val="left"/>
        <w:rPr>
          <w:sz w:val="13"/>
        </w:rPr>
        <w:sectPr>
          <w:type w:val="continuous"/>
          <w:pgSz w:w="11910" w:h="16840"/>
          <w:pgMar w:top="920" w:bottom="280" w:left="0" w:right="0"/>
          <w:cols w:num="2" w:equalWidth="0">
            <w:col w:w="1099" w:space="40"/>
            <w:col w:w="10771"/>
          </w:cols>
        </w:sectPr>
      </w:pPr>
    </w:p>
    <w:p>
      <w:pPr>
        <w:pStyle w:val="BodyText"/>
        <w:rPr>
          <w:sz w:val="20"/>
        </w:rPr>
      </w:pPr>
    </w:p>
    <w:p>
      <w:pPr>
        <w:pStyle w:val="BodyText"/>
        <w:rPr>
          <w:sz w:val="19"/>
        </w:rPr>
      </w:pPr>
    </w:p>
    <w:p>
      <w:pPr>
        <w:pStyle w:val="ListParagraph"/>
        <w:numPr>
          <w:ilvl w:val="1"/>
          <w:numId w:val="22"/>
        </w:numPr>
        <w:tabs>
          <w:tab w:pos="2380" w:val="left" w:leader="none"/>
          <w:tab w:pos="2381" w:val="left" w:leader="none"/>
        </w:tabs>
        <w:spacing w:line="242" w:lineRule="auto" w:before="91" w:after="0"/>
        <w:ind w:left="2381" w:right="1836" w:hanging="794"/>
        <w:jc w:val="left"/>
        <w:rPr>
          <w:sz w:val="12"/>
        </w:rPr>
      </w:pPr>
      <w:r>
        <w:rPr>
          <w:w w:val="105"/>
          <w:sz w:val="21"/>
        </w:rPr>
        <w:t>The court </w:t>
      </w:r>
      <w:r>
        <w:rPr>
          <w:spacing w:val="-3"/>
          <w:w w:val="105"/>
          <w:sz w:val="21"/>
        </w:rPr>
        <w:t>may </w:t>
      </w:r>
      <w:r>
        <w:rPr>
          <w:w w:val="105"/>
          <w:sz w:val="21"/>
        </w:rPr>
        <w:t>only </w:t>
      </w:r>
      <w:r>
        <w:rPr>
          <w:spacing w:val="-4"/>
          <w:w w:val="105"/>
          <w:sz w:val="21"/>
        </w:rPr>
        <w:t>make </w:t>
      </w:r>
      <w:r>
        <w:rPr>
          <w:w w:val="105"/>
          <w:sz w:val="21"/>
        </w:rPr>
        <w:t>a </w:t>
      </w:r>
      <w:r>
        <w:rPr>
          <w:spacing w:val="-3"/>
          <w:w w:val="105"/>
          <w:sz w:val="21"/>
        </w:rPr>
        <w:t>family provision </w:t>
      </w:r>
      <w:r>
        <w:rPr>
          <w:w w:val="105"/>
          <w:sz w:val="21"/>
        </w:rPr>
        <w:t>order in respect of an </w:t>
      </w:r>
      <w:r>
        <w:rPr>
          <w:spacing w:val="-3"/>
          <w:w w:val="105"/>
          <w:sz w:val="21"/>
        </w:rPr>
        <w:t>applicant </w:t>
      </w:r>
      <w:r>
        <w:rPr>
          <w:w w:val="105"/>
          <w:sz w:val="21"/>
        </w:rPr>
        <w:t>in one of these</w:t>
      </w:r>
      <w:r>
        <w:rPr>
          <w:spacing w:val="-9"/>
          <w:w w:val="105"/>
          <w:sz w:val="21"/>
        </w:rPr>
        <w:t> </w:t>
      </w:r>
      <w:r>
        <w:rPr>
          <w:w w:val="105"/>
          <w:sz w:val="21"/>
        </w:rPr>
        <w:t>categories</w:t>
      </w:r>
      <w:r>
        <w:rPr>
          <w:spacing w:val="-8"/>
          <w:w w:val="105"/>
          <w:sz w:val="21"/>
        </w:rPr>
        <w:t> </w:t>
      </w:r>
      <w:r>
        <w:rPr>
          <w:w w:val="105"/>
          <w:sz w:val="21"/>
        </w:rPr>
        <w:t>if</w:t>
      </w:r>
      <w:r>
        <w:rPr>
          <w:spacing w:val="-8"/>
          <w:w w:val="105"/>
          <w:sz w:val="21"/>
        </w:rPr>
        <w:t> </w:t>
      </w:r>
      <w:r>
        <w:rPr>
          <w:w w:val="105"/>
          <w:sz w:val="21"/>
        </w:rPr>
        <w:t>it</w:t>
      </w:r>
      <w:r>
        <w:rPr>
          <w:spacing w:val="-8"/>
          <w:w w:val="105"/>
          <w:sz w:val="21"/>
        </w:rPr>
        <w:t> </w:t>
      </w:r>
      <w:r>
        <w:rPr>
          <w:w w:val="105"/>
          <w:sz w:val="21"/>
        </w:rPr>
        <w:t>is</w:t>
      </w:r>
      <w:r>
        <w:rPr>
          <w:spacing w:val="-8"/>
          <w:w w:val="105"/>
          <w:sz w:val="21"/>
        </w:rPr>
        <w:t> </w:t>
      </w:r>
      <w:r>
        <w:rPr>
          <w:w w:val="105"/>
          <w:sz w:val="21"/>
        </w:rPr>
        <w:t>satisfied,</w:t>
      </w:r>
      <w:r>
        <w:rPr>
          <w:spacing w:val="-8"/>
          <w:w w:val="105"/>
          <w:sz w:val="21"/>
        </w:rPr>
        <w:t> </w:t>
      </w:r>
      <w:r>
        <w:rPr>
          <w:spacing w:val="-3"/>
          <w:w w:val="105"/>
          <w:sz w:val="21"/>
        </w:rPr>
        <w:t>having</w:t>
      </w:r>
      <w:r>
        <w:rPr>
          <w:spacing w:val="-8"/>
          <w:w w:val="105"/>
          <w:sz w:val="21"/>
        </w:rPr>
        <w:t> </w:t>
      </w:r>
      <w:r>
        <w:rPr>
          <w:spacing w:val="-3"/>
          <w:w w:val="105"/>
          <w:sz w:val="21"/>
        </w:rPr>
        <w:t>regard</w:t>
      </w:r>
      <w:r>
        <w:rPr>
          <w:spacing w:val="-8"/>
          <w:w w:val="105"/>
          <w:sz w:val="21"/>
        </w:rPr>
        <w:t> </w:t>
      </w:r>
      <w:r>
        <w:rPr>
          <w:spacing w:val="-3"/>
          <w:w w:val="105"/>
          <w:sz w:val="21"/>
        </w:rPr>
        <w:t>to</w:t>
      </w:r>
      <w:r>
        <w:rPr>
          <w:spacing w:val="-8"/>
          <w:w w:val="105"/>
          <w:sz w:val="21"/>
        </w:rPr>
        <w:t> </w:t>
      </w:r>
      <w:r>
        <w:rPr>
          <w:spacing w:val="-3"/>
          <w:w w:val="105"/>
          <w:sz w:val="21"/>
        </w:rPr>
        <w:t>all</w:t>
      </w:r>
      <w:r>
        <w:rPr>
          <w:spacing w:val="-8"/>
          <w:w w:val="105"/>
          <w:sz w:val="21"/>
        </w:rPr>
        <w:t> </w:t>
      </w:r>
      <w:r>
        <w:rPr>
          <w:w w:val="105"/>
          <w:sz w:val="21"/>
        </w:rPr>
        <w:t>the</w:t>
      </w:r>
      <w:r>
        <w:rPr>
          <w:spacing w:val="-8"/>
          <w:w w:val="105"/>
          <w:sz w:val="21"/>
        </w:rPr>
        <w:t> </w:t>
      </w:r>
      <w:r>
        <w:rPr>
          <w:w w:val="105"/>
          <w:sz w:val="21"/>
        </w:rPr>
        <w:t>past</w:t>
      </w:r>
      <w:r>
        <w:rPr>
          <w:spacing w:val="-8"/>
          <w:w w:val="105"/>
          <w:sz w:val="21"/>
        </w:rPr>
        <w:t> </w:t>
      </w:r>
      <w:r>
        <w:rPr>
          <w:w w:val="105"/>
          <w:sz w:val="21"/>
        </w:rPr>
        <w:t>and</w:t>
      </w:r>
      <w:r>
        <w:rPr>
          <w:spacing w:val="-9"/>
          <w:w w:val="105"/>
          <w:sz w:val="21"/>
        </w:rPr>
        <w:t> </w:t>
      </w:r>
      <w:r>
        <w:rPr>
          <w:w w:val="105"/>
          <w:sz w:val="21"/>
        </w:rPr>
        <w:t>present</w:t>
      </w:r>
      <w:r>
        <w:rPr>
          <w:spacing w:val="-8"/>
          <w:w w:val="105"/>
          <w:sz w:val="21"/>
        </w:rPr>
        <w:t> </w:t>
      </w:r>
      <w:r>
        <w:rPr>
          <w:spacing w:val="-3"/>
          <w:w w:val="105"/>
          <w:sz w:val="21"/>
        </w:rPr>
        <w:t>circumstances </w:t>
      </w:r>
      <w:r>
        <w:rPr>
          <w:w w:val="105"/>
          <w:sz w:val="21"/>
        </w:rPr>
        <w:t>of the </w:t>
      </w:r>
      <w:r>
        <w:rPr>
          <w:spacing w:val="-3"/>
          <w:w w:val="105"/>
          <w:sz w:val="21"/>
        </w:rPr>
        <w:t>case, that </w:t>
      </w:r>
      <w:r>
        <w:rPr>
          <w:w w:val="105"/>
          <w:sz w:val="21"/>
        </w:rPr>
        <w:t>there </w:t>
      </w:r>
      <w:r>
        <w:rPr>
          <w:spacing w:val="-3"/>
          <w:w w:val="105"/>
          <w:sz w:val="21"/>
        </w:rPr>
        <w:t>are </w:t>
      </w:r>
      <w:r>
        <w:rPr>
          <w:w w:val="105"/>
          <w:sz w:val="21"/>
        </w:rPr>
        <w:t>‘factors which </w:t>
      </w:r>
      <w:r>
        <w:rPr>
          <w:spacing w:val="-3"/>
          <w:w w:val="105"/>
          <w:sz w:val="21"/>
        </w:rPr>
        <w:t>warrant </w:t>
      </w:r>
      <w:r>
        <w:rPr>
          <w:w w:val="105"/>
          <w:sz w:val="21"/>
        </w:rPr>
        <w:t>the </w:t>
      </w:r>
      <w:r>
        <w:rPr>
          <w:spacing w:val="-3"/>
          <w:w w:val="105"/>
          <w:sz w:val="21"/>
        </w:rPr>
        <w:t>making </w:t>
      </w:r>
      <w:r>
        <w:rPr>
          <w:w w:val="105"/>
          <w:sz w:val="21"/>
        </w:rPr>
        <w:t>of the </w:t>
      </w:r>
      <w:r>
        <w:rPr>
          <w:spacing w:val="-6"/>
          <w:w w:val="105"/>
          <w:sz w:val="21"/>
        </w:rPr>
        <w:t>application’.</w:t>
      </w:r>
      <w:r>
        <w:rPr>
          <w:spacing w:val="-6"/>
          <w:w w:val="105"/>
          <w:position w:val="7"/>
          <w:sz w:val="12"/>
        </w:rPr>
        <w:t>118 </w:t>
      </w:r>
      <w:r>
        <w:rPr>
          <w:w w:val="105"/>
          <w:sz w:val="21"/>
        </w:rPr>
        <w:t>This approach establishes two classes of applicant—those who </w:t>
      </w:r>
      <w:r>
        <w:rPr>
          <w:spacing w:val="-3"/>
          <w:w w:val="105"/>
          <w:sz w:val="21"/>
        </w:rPr>
        <w:t>are </w:t>
      </w:r>
      <w:r>
        <w:rPr>
          <w:spacing w:val="-2"/>
          <w:w w:val="105"/>
          <w:sz w:val="21"/>
        </w:rPr>
        <w:t>regarded </w:t>
      </w:r>
      <w:r>
        <w:rPr>
          <w:w w:val="105"/>
          <w:sz w:val="21"/>
        </w:rPr>
        <w:t>as </w:t>
      </w:r>
      <w:r>
        <w:rPr>
          <w:spacing w:val="-4"/>
          <w:w w:val="105"/>
          <w:sz w:val="21"/>
        </w:rPr>
        <w:t>‘natural </w:t>
      </w:r>
      <w:r>
        <w:rPr>
          <w:w w:val="105"/>
          <w:sz w:val="21"/>
        </w:rPr>
        <w:t>objects</w:t>
      </w:r>
      <w:r>
        <w:rPr>
          <w:spacing w:val="-9"/>
          <w:w w:val="105"/>
          <w:sz w:val="21"/>
        </w:rPr>
        <w:t> </w:t>
      </w:r>
      <w:r>
        <w:rPr>
          <w:w w:val="105"/>
          <w:sz w:val="21"/>
        </w:rPr>
        <w:t>of</w:t>
      </w:r>
      <w:r>
        <w:rPr>
          <w:spacing w:val="-8"/>
          <w:w w:val="105"/>
          <w:sz w:val="21"/>
        </w:rPr>
        <w:t> </w:t>
      </w:r>
      <w:r>
        <w:rPr>
          <w:w w:val="105"/>
          <w:sz w:val="21"/>
        </w:rPr>
        <w:t>testamentary</w:t>
      </w:r>
      <w:r>
        <w:rPr>
          <w:spacing w:val="-9"/>
          <w:w w:val="105"/>
          <w:sz w:val="21"/>
        </w:rPr>
        <w:t> </w:t>
      </w:r>
      <w:r>
        <w:rPr>
          <w:spacing w:val="-3"/>
          <w:w w:val="105"/>
          <w:sz w:val="21"/>
        </w:rPr>
        <w:t>recognition’</w:t>
      </w:r>
      <w:r>
        <w:rPr>
          <w:spacing w:val="-8"/>
          <w:w w:val="105"/>
          <w:sz w:val="21"/>
        </w:rPr>
        <w:t> </w:t>
      </w:r>
      <w:r>
        <w:rPr>
          <w:w w:val="105"/>
          <w:sz w:val="21"/>
        </w:rPr>
        <w:t>and</w:t>
      </w:r>
      <w:r>
        <w:rPr>
          <w:spacing w:val="-8"/>
          <w:w w:val="105"/>
          <w:sz w:val="21"/>
        </w:rPr>
        <w:t> </w:t>
      </w:r>
      <w:r>
        <w:rPr>
          <w:w w:val="105"/>
          <w:sz w:val="21"/>
        </w:rPr>
        <w:t>those</w:t>
      </w:r>
      <w:r>
        <w:rPr>
          <w:spacing w:val="-9"/>
          <w:w w:val="105"/>
          <w:sz w:val="21"/>
        </w:rPr>
        <w:t> </w:t>
      </w:r>
      <w:r>
        <w:rPr>
          <w:w w:val="105"/>
          <w:sz w:val="21"/>
        </w:rPr>
        <w:t>who</w:t>
      </w:r>
      <w:r>
        <w:rPr>
          <w:spacing w:val="-8"/>
          <w:w w:val="105"/>
          <w:sz w:val="21"/>
        </w:rPr>
        <w:t> </w:t>
      </w:r>
      <w:r>
        <w:rPr>
          <w:spacing w:val="-3"/>
          <w:w w:val="105"/>
          <w:sz w:val="21"/>
        </w:rPr>
        <w:t>are</w:t>
      </w:r>
      <w:r>
        <w:rPr>
          <w:spacing w:val="-8"/>
          <w:w w:val="105"/>
          <w:sz w:val="21"/>
        </w:rPr>
        <w:t> </w:t>
      </w:r>
      <w:r>
        <w:rPr>
          <w:spacing w:val="-4"/>
          <w:w w:val="105"/>
          <w:sz w:val="21"/>
        </w:rPr>
        <w:t>‘potentially</w:t>
      </w:r>
      <w:r>
        <w:rPr>
          <w:spacing w:val="-9"/>
          <w:w w:val="105"/>
          <w:sz w:val="21"/>
        </w:rPr>
        <w:t> </w:t>
      </w:r>
      <w:r>
        <w:rPr>
          <w:spacing w:val="-3"/>
          <w:w w:val="105"/>
          <w:sz w:val="21"/>
        </w:rPr>
        <w:t>appropriate</w:t>
      </w:r>
      <w:r>
        <w:rPr>
          <w:spacing w:val="-8"/>
          <w:w w:val="105"/>
          <w:sz w:val="21"/>
        </w:rPr>
        <w:t> </w:t>
      </w:r>
      <w:r>
        <w:rPr>
          <w:w w:val="105"/>
          <w:sz w:val="21"/>
        </w:rPr>
        <w:t>objects of testamentary </w:t>
      </w:r>
      <w:r>
        <w:rPr>
          <w:spacing w:val="-3"/>
          <w:w w:val="105"/>
          <w:sz w:val="21"/>
        </w:rPr>
        <w:t>recognition, </w:t>
      </w:r>
      <w:r>
        <w:rPr>
          <w:w w:val="105"/>
          <w:sz w:val="21"/>
        </w:rPr>
        <w:t>depending upon their</w:t>
      </w:r>
      <w:r>
        <w:rPr>
          <w:spacing w:val="22"/>
          <w:w w:val="105"/>
          <w:sz w:val="21"/>
        </w:rPr>
        <w:t> </w:t>
      </w:r>
      <w:r>
        <w:rPr>
          <w:spacing w:val="-6"/>
          <w:w w:val="105"/>
          <w:sz w:val="21"/>
        </w:rPr>
        <w:t>circumstances’.</w:t>
      </w:r>
      <w:r>
        <w:rPr>
          <w:spacing w:val="-6"/>
          <w:w w:val="105"/>
          <w:position w:val="7"/>
          <w:sz w:val="12"/>
        </w:rPr>
        <w:t>119</w:t>
      </w:r>
    </w:p>
    <w:p>
      <w:pPr>
        <w:pStyle w:val="ListParagraph"/>
        <w:numPr>
          <w:ilvl w:val="1"/>
          <w:numId w:val="22"/>
        </w:numPr>
        <w:tabs>
          <w:tab w:pos="2381" w:val="left" w:leader="none"/>
          <w:tab w:pos="2382" w:val="left" w:leader="none"/>
        </w:tabs>
        <w:spacing w:line="242" w:lineRule="auto" w:before="127" w:after="0"/>
        <w:ind w:left="2381" w:right="1757" w:hanging="794"/>
        <w:jc w:val="left"/>
        <w:rPr>
          <w:sz w:val="21"/>
        </w:rPr>
      </w:pPr>
      <w:r>
        <w:rPr>
          <w:w w:val="105"/>
          <w:sz w:val="21"/>
        </w:rPr>
        <w:t>‘Factors which </w:t>
      </w:r>
      <w:r>
        <w:rPr>
          <w:spacing w:val="-3"/>
          <w:w w:val="105"/>
          <w:sz w:val="21"/>
        </w:rPr>
        <w:t>warrant </w:t>
      </w:r>
      <w:r>
        <w:rPr>
          <w:w w:val="105"/>
          <w:sz w:val="21"/>
        </w:rPr>
        <w:t>the </w:t>
      </w:r>
      <w:r>
        <w:rPr>
          <w:spacing w:val="-3"/>
          <w:w w:val="105"/>
          <w:sz w:val="21"/>
        </w:rPr>
        <w:t>making </w:t>
      </w:r>
      <w:r>
        <w:rPr>
          <w:w w:val="105"/>
          <w:sz w:val="21"/>
        </w:rPr>
        <w:t>of the </w:t>
      </w:r>
      <w:r>
        <w:rPr>
          <w:spacing w:val="-3"/>
          <w:w w:val="105"/>
          <w:sz w:val="21"/>
        </w:rPr>
        <w:t>application’ </w:t>
      </w:r>
      <w:r>
        <w:rPr>
          <w:w w:val="105"/>
          <w:sz w:val="21"/>
        </w:rPr>
        <w:t>is </w:t>
      </w:r>
      <w:r>
        <w:rPr>
          <w:spacing w:val="-2"/>
          <w:w w:val="105"/>
          <w:sz w:val="21"/>
        </w:rPr>
        <w:t>not </w:t>
      </w:r>
      <w:r>
        <w:rPr>
          <w:w w:val="105"/>
          <w:sz w:val="21"/>
        </w:rPr>
        <w:t>defined by the </w:t>
      </w:r>
      <w:r>
        <w:rPr>
          <w:spacing w:val="-3"/>
          <w:w w:val="105"/>
          <w:sz w:val="21"/>
        </w:rPr>
        <w:t>Succession </w:t>
      </w:r>
      <w:r>
        <w:rPr>
          <w:spacing w:val="-5"/>
          <w:w w:val="105"/>
          <w:sz w:val="21"/>
        </w:rPr>
        <w:t>Act,</w:t>
      </w:r>
      <w:r>
        <w:rPr>
          <w:spacing w:val="-5"/>
          <w:w w:val="105"/>
          <w:position w:val="7"/>
          <w:sz w:val="12"/>
        </w:rPr>
        <w:t>120 </w:t>
      </w:r>
      <w:r>
        <w:rPr>
          <w:w w:val="105"/>
          <w:sz w:val="21"/>
        </w:rPr>
        <w:t>and the </w:t>
      </w:r>
      <w:r>
        <w:rPr>
          <w:spacing w:val="-3"/>
          <w:w w:val="105"/>
          <w:sz w:val="21"/>
        </w:rPr>
        <w:t>Court </w:t>
      </w:r>
      <w:r>
        <w:rPr>
          <w:spacing w:val="-2"/>
          <w:w w:val="105"/>
          <w:sz w:val="21"/>
        </w:rPr>
        <w:t>has </w:t>
      </w:r>
      <w:r>
        <w:rPr>
          <w:w w:val="105"/>
          <w:sz w:val="21"/>
        </w:rPr>
        <w:t>held </w:t>
      </w:r>
      <w:r>
        <w:rPr>
          <w:spacing w:val="-3"/>
          <w:w w:val="105"/>
          <w:sz w:val="21"/>
        </w:rPr>
        <w:t>that, </w:t>
      </w:r>
      <w:r>
        <w:rPr>
          <w:w w:val="105"/>
          <w:sz w:val="21"/>
        </w:rPr>
        <w:t>in </w:t>
      </w:r>
      <w:r>
        <w:rPr>
          <w:spacing w:val="-3"/>
          <w:w w:val="105"/>
          <w:sz w:val="21"/>
        </w:rPr>
        <w:t>practice, </w:t>
      </w:r>
      <w:r>
        <w:rPr>
          <w:w w:val="105"/>
          <w:sz w:val="21"/>
        </w:rPr>
        <w:t>factors which </w:t>
      </w:r>
      <w:r>
        <w:rPr>
          <w:spacing w:val="-3"/>
          <w:w w:val="105"/>
          <w:sz w:val="21"/>
        </w:rPr>
        <w:t>warrant </w:t>
      </w:r>
      <w:r>
        <w:rPr>
          <w:w w:val="105"/>
          <w:sz w:val="21"/>
        </w:rPr>
        <w:t>the </w:t>
      </w:r>
      <w:r>
        <w:rPr>
          <w:spacing w:val="-3"/>
          <w:w w:val="105"/>
          <w:sz w:val="21"/>
        </w:rPr>
        <w:t>making </w:t>
      </w:r>
      <w:r>
        <w:rPr>
          <w:w w:val="105"/>
          <w:sz w:val="21"/>
        </w:rPr>
        <w:t>of the application</w:t>
      </w:r>
      <w:r>
        <w:rPr>
          <w:spacing w:val="-11"/>
          <w:w w:val="105"/>
          <w:sz w:val="21"/>
        </w:rPr>
        <w:t> </w:t>
      </w:r>
      <w:r>
        <w:rPr>
          <w:spacing w:val="-3"/>
          <w:w w:val="105"/>
          <w:sz w:val="21"/>
        </w:rPr>
        <w:t>are</w:t>
      </w:r>
      <w:r>
        <w:rPr>
          <w:spacing w:val="-11"/>
          <w:w w:val="105"/>
          <w:sz w:val="21"/>
        </w:rPr>
        <w:t> </w:t>
      </w:r>
      <w:r>
        <w:rPr>
          <w:w w:val="105"/>
          <w:sz w:val="21"/>
        </w:rPr>
        <w:t>largely</w:t>
      </w:r>
      <w:r>
        <w:rPr>
          <w:spacing w:val="-11"/>
          <w:w w:val="105"/>
          <w:sz w:val="21"/>
        </w:rPr>
        <w:t> </w:t>
      </w:r>
      <w:r>
        <w:rPr>
          <w:w w:val="105"/>
          <w:sz w:val="21"/>
        </w:rPr>
        <w:t>coextensive</w:t>
      </w:r>
      <w:r>
        <w:rPr>
          <w:spacing w:val="-11"/>
          <w:w w:val="105"/>
          <w:sz w:val="21"/>
        </w:rPr>
        <w:t> </w:t>
      </w:r>
      <w:r>
        <w:rPr>
          <w:w w:val="105"/>
          <w:sz w:val="21"/>
        </w:rPr>
        <w:t>with</w:t>
      </w:r>
      <w:r>
        <w:rPr>
          <w:spacing w:val="-11"/>
          <w:w w:val="105"/>
          <w:sz w:val="21"/>
        </w:rPr>
        <w:t> </w:t>
      </w:r>
      <w:r>
        <w:rPr>
          <w:w w:val="105"/>
          <w:sz w:val="21"/>
        </w:rPr>
        <w:t>the</w:t>
      </w:r>
      <w:r>
        <w:rPr>
          <w:spacing w:val="-10"/>
          <w:w w:val="105"/>
          <w:sz w:val="21"/>
        </w:rPr>
        <w:t> </w:t>
      </w:r>
      <w:r>
        <w:rPr>
          <w:w w:val="105"/>
          <w:sz w:val="21"/>
        </w:rPr>
        <w:t>factors</w:t>
      </w:r>
      <w:r>
        <w:rPr>
          <w:spacing w:val="-11"/>
          <w:w w:val="105"/>
          <w:sz w:val="21"/>
        </w:rPr>
        <w:t> </w:t>
      </w:r>
      <w:r>
        <w:rPr>
          <w:spacing w:val="-3"/>
          <w:w w:val="105"/>
          <w:sz w:val="21"/>
        </w:rPr>
        <w:t>that</w:t>
      </w:r>
      <w:r>
        <w:rPr>
          <w:spacing w:val="-11"/>
          <w:w w:val="105"/>
          <w:sz w:val="21"/>
        </w:rPr>
        <w:t> </w:t>
      </w:r>
      <w:r>
        <w:rPr>
          <w:w w:val="105"/>
          <w:sz w:val="21"/>
        </w:rPr>
        <w:t>the</w:t>
      </w:r>
      <w:r>
        <w:rPr>
          <w:spacing w:val="-11"/>
          <w:w w:val="105"/>
          <w:sz w:val="21"/>
        </w:rPr>
        <w:t> </w:t>
      </w:r>
      <w:r>
        <w:rPr>
          <w:spacing w:val="-3"/>
          <w:w w:val="105"/>
          <w:sz w:val="21"/>
        </w:rPr>
        <w:t>Court</w:t>
      </w:r>
      <w:r>
        <w:rPr>
          <w:spacing w:val="-11"/>
          <w:w w:val="105"/>
          <w:sz w:val="21"/>
        </w:rPr>
        <w:t> </w:t>
      </w:r>
      <w:r>
        <w:rPr>
          <w:w w:val="105"/>
          <w:sz w:val="21"/>
        </w:rPr>
        <w:t>must</w:t>
      </w:r>
      <w:r>
        <w:rPr>
          <w:spacing w:val="-10"/>
          <w:w w:val="105"/>
          <w:sz w:val="21"/>
        </w:rPr>
        <w:t> </w:t>
      </w:r>
      <w:r>
        <w:rPr>
          <w:spacing w:val="-3"/>
          <w:w w:val="105"/>
          <w:sz w:val="21"/>
        </w:rPr>
        <w:t>consider</w:t>
      </w:r>
      <w:r>
        <w:rPr>
          <w:spacing w:val="-11"/>
          <w:w w:val="105"/>
          <w:sz w:val="21"/>
        </w:rPr>
        <w:t> </w:t>
      </w:r>
      <w:r>
        <w:rPr>
          <w:w w:val="105"/>
          <w:sz w:val="21"/>
        </w:rPr>
        <w:t>anyway when </w:t>
      </w:r>
      <w:r>
        <w:rPr>
          <w:spacing w:val="-3"/>
          <w:w w:val="105"/>
          <w:sz w:val="21"/>
        </w:rPr>
        <w:t>determining </w:t>
      </w:r>
      <w:r>
        <w:rPr>
          <w:w w:val="105"/>
          <w:sz w:val="21"/>
        </w:rPr>
        <w:t>a </w:t>
      </w:r>
      <w:r>
        <w:rPr>
          <w:spacing w:val="-3"/>
          <w:w w:val="105"/>
          <w:sz w:val="21"/>
        </w:rPr>
        <w:t>family provision </w:t>
      </w:r>
      <w:r>
        <w:rPr>
          <w:spacing w:val="-4"/>
          <w:w w:val="105"/>
          <w:sz w:val="21"/>
        </w:rPr>
        <w:t>application.</w:t>
      </w:r>
      <w:r>
        <w:rPr>
          <w:spacing w:val="-4"/>
          <w:w w:val="105"/>
          <w:position w:val="7"/>
          <w:sz w:val="12"/>
        </w:rPr>
        <w:t>121 </w:t>
      </w:r>
      <w:r>
        <w:rPr>
          <w:spacing w:val="-4"/>
          <w:w w:val="105"/>
          <w:sz w:val="21"/>
        </w:rPr>
        <w:t>However, </w:t>
      </w:r>
      <w:r>
        <w:rPr>
          <w:w w:val="105"/>
          <w:sz w:val="21"/>
        </w:rPr>
        <w:t>factors which </w:t>
      </w:r>
      <w:r>
        <w:rPr>
          <w:spacing w:val="-3"/>
          <w:w w:val="105"/>
          <w:sz w:val="21"/>
        </w:rPr>
        <w:t>warrant </w:t>
      </w:r>
      <w:r>
        <w:rPr>
          <w:w w:val="105"/>
          <w:sz w:val="21"/>
        </w:rPr>
        <w:t>the </w:t>
      </w:r>
      <w:r>
        <w:rPr>
          <w:spacing w:val="-3"/>
          <w:w w:val="105"/>
          <w:sz w:val="21"/>
        </w:rPr>
        <w:t>making </w:t>
      </w:r>
      <w:r>
        <w:rPr>
          <w:w w:val="105"/>
          <w:sz w:val="21"/>
        </w:rPr>
        <w:t>of the application </w:t>
      </w:r>
      <w:r>
        <w:rPr>
          <w:spacing w:val="-3"/>
          <w:w w:val="105"/>
          <w:sz w:val="21"/>
        </w:rPr>
        <w:t>are generally </w:t>
      </w:r>
      <w:r>
        <w:rPr>
          <w:w w:val="105"/>
          <w:sz w:val="21"/>
        </w:rPr>
        <w:t>defined</w:t>
      </w:r>
      <w:r>
        <w:rPr>
          <w:spacing w:val="40"/>
          <w:w w:val="105"/>
          <w:sz w:val="21"/>
        </w:rPr>
        <w:t> </w:t>
      </w:r>
      <w:r>
        <w:rPr>
          <w:w w:val="105"/>
          <w:sz w:val="21"/>
        </w:rPr>
        <w:t>as:</w:t>
      </w:r>
    </w:p>
    <w:p>
      <w:pPr>
        <w:spacing w:line="254" w:lineRule="auto" w:before="135"/>
        <w:ind w:left="2721" w:right="1912" w:firstLine="0"/>
        <w:jc w:val="both"/>
        <w:rPr>
          <w:sz w:val="11"/>
        </w:rPr>
      </w:pPr>
      <w:r>
        <w:rPr>
          <w:w w:val="105"/>
          <w:sz w:val="20"/>
        </w:rPr>
        <w:t>factors</w:t>
      </w:r>
      <w:r>
        <w:rPr>
          <w:spacing w:val="-5"/>
          <w:w w:val="105"/>
          <w:sz w:val="20"/>
        </w:rPr>
        <w:t> </w:t>
      </w:r>
      <w:r>
        <w:rPr>
          <w:w w:val="105"/>
          <w:sz w:val="20"/>
        </w:rPr>
        <w:t>which</w:t>
      </w:r>
      <w:r>
        <w:rPr>
          <w:spacing w:val="-5"/>
          <w:w w:val="105"/>
          <w:sz w:val="20"/>
        </w:rPr>
        <w:t> </w:t>
      </w:r>
      <w:r>
        <w:rPr>
          <w:w w:val="105"/>
          <w:sz w:val="20"/>
        </w:rPr>
        <w:t>when</w:t>
      </w:r>
      <w:r>
        <w:rPr>
          <w:spacing w:val="-5"/>
          <w:w w:val="105"/>
          <w:sz w:val="20"/>
        </w:rPr>
        <w:t> </w:t>
      </w:r>
      <w:r>
        <w:rPr>
          <w:w w:val="105"/>
          <w:sz w:val="20"/>
        </w:rPr>
        <w:t>added</w:t>
      </w:r>
      <w:r>
        <w:rPr>
          <w:spacing w:val="-4"/>
          <w:w w:val="105"/>
          <w:sz w:val="20"/>
        </w:rPr>
        <w:t> </w:t>
      </w:r>
      <w:r>
        <w:rPr>
          <w:w w:val="105"/>
          <w:sz w:val="20"/>
        </w:rPr>
        <w:t>to</w:t>
      </w:r>
      <w:r>
        <w:rPr>
          <w:spacing w:val="-5"/>
          <w:w w:val="105"/>
          <w:sz w:val="20"/>
        </w:rPr>
        <w:t> </w:t>
      </w:r>
      <w:r>
        <w:rPr>
          <w:w w:val="105"/>
          <w:sz w:val="20"/>
        </w:rPr>
        <w:t>facts</w:t>
      </w:r>
      <w:r>
        <w:rPr>
          <w:spacing w:val="-5"/>
          <w:w w:val="105"/>
          <w:sz w:val="20"/>
        </w:rPr>
        <w:t> </w:t>
      </w:r>
      <w:r>
        <w:rPr>
          <w:w w:val="105"/>
          <w:sz w:val="20"/>
        </w:rPr>
        <w:t>which</w:t>
      </w:r>
      <w:r>
        <w:rPr>
          <w:spacing w:val="-5"/>
          <w:w w:val="105"/>
          <w:sz w:val="20"/>
        </w:rPr>
        <w:t> </w:t>
      </w:r>
      <w:r>
        <w:rPr>
          <w:w w:val="105"/>
          <w:sz w:val="20"/>
        </w:rPr>
        <w:t>render</w:t>
      </w:r>
      <w:r>
        <w:rPr>
          <w:spacing w:val="-4"/>
          <w:w w:val="105"/>
          <w:sz w:val="20"/>
        </w:rPr>
        <w:t> </w:t>
      </w:r>
      <w:r>
        <w:rPr>
          <w:w w:val="105"/>
          <w:sz w:val="20"/>
        </w:rPr>
        <w:t>the</w:t>
      </w:r>
      <w:r>
        <w:rPr>
          <w:spacing w:val="-5"/>
          <w:w w:val="105"/>
          <w:sz w:val="20"/>
        </w:rPr>
        <w:t> </w:t>
      </w:r>
      <w:r>
        <w:rPr>
          <w:w w:val="105"/>
          <w:sz w:val="20"/>
        </w:rPr>
        <w:t>applicant</w:t>
      </w:r>
      <w:r>
        <w:rPr>
          <w:spacing w:val="-5"/>
          <w:w w:val="105"/>
          <w:sz w:val="20"/>
        </w:rPr>
        <w:t> </w:t>
      </w:r>
      <w:r>
        <w:rPr>
          <w:w w:val="105"/>
          <w:sz w:val="20"/>
        </w:rPr>
        <w:t>an</w:t>
      </w:r>
      <w:r>
        <w:rPr>
          <w:spacing w:val="-5"/>
          <w:w w:val="105"/>
          <w:sz w:val="20"/>
        </w:rPr>
        <w:t> </w:t>
      </w:r>
      <w:r>
        <w:rPr>
          <w:spacing w:val="-3"/>
          <w:w w:val="105"/>
          <w:sz w:val="20"/>
        </w:rPr>
        <w:t>‘eligible</w:t>
      </w:r>
      <w:r>
        <w:rPr>
          <w:spacing w:val="-4"/>
          <w:w w:val="105"/>
          <w:sz w:val="20"/>
        </w:rPr>
        <w:t> </w:t>
      </w:r>
      <w:r>
        <w:rPr>
          <w:w w:val="105"/>
          <w:sz w:val="20"/>
        </w:rPr>
        <w:t>person’</w:t>
      </w:r>
      <w:r>
        <w:rPr>
          <w:spacing w:val="-5"/>
          <w:w w:val="105"/>
          <w:sz w:val="20"/>
        </w:rPr>
        <w:t> </w:t>
      </w:r>
      <w:r>
        <w:rPr>
          <w:w w:val="105"/>
          <w:sz w:val="20"/>
        </w:rPr>
        <w:t>give him</w:t>
      </w:r>
      <w:r>
        <w:rPr>
          <w:spacing w:val="-5"/>
          <w:w w:val="105"/>
          <w:sz w:val="20"/>
        </w:rPr>
        <w:t> </w:t>
      </w:r>
      <w:r>
        <w:rPr>
          <w:w w:val="105"/>
          <w:sz w:val="20"/>
        </w:rPr>
        <w:t>or</w:t>
      </w:r>
      <w:r>
        <w:rPr>
          <w:spacing w:val="-4"/>
          <w:w w:val="105"/>
          <w:sz w:val="20"/>
        </w:rPr>
        <w:t> </w:t>
      </w:r>
      <w:r>
        <w:rPr>
          <w:w w:val="105"/>
          <w:sz w:val="20"/>
        </w:rPr>
        <w:t>her</w:t>
      </w:r>
      <w:r>
        <w:rPr>
          <w:spacing w:val="-4"/>
          <w:w w:val="105"/>
          <w:sz w:val="20"/>
        </w:rPr>
        <w:t> </w:t>
      </w:r>
      <w:r>
        <w:rPr>
          <w:w w:val="105"/>
          <w:sz w:val="20"/>
        </w:rPr>
        <w:t>the</w:t>
      </w:r>
      <w:r>
        <w:rPr>
          <w:spacing w:val="-5"/>
          <w:w w:val="105"/>
          <w:sz w:val="20"/>
        </w:rPr>
        <w:t> </w:t>
      </w:r>
      <w:r>
        <w:rPr>
          <w:w w:val="105"/>
          <w:sz w:val="20"/>
        </w:rPr>
        <w:t>status</w:t>
      </w:r>
      <w:r>
        <w:rPr>
          <w:spacing w:val="-4"/>
          <w:w w:val="105"/>
          <w:sz w:val="20"/>
        </w:rPr>
        <w:t> </w:t>
      </w:r>
      <w:r>
        <w:rPr>
          <w:w w:val="105"/>
          <w:sz w:val="20"/>
        </w:rPr>
        <w:t>of</w:t>
      </w:r>
      <w:r>
        <w:rPr>
          <w:spacing w:val="-4"/>
          <w:w w:val="105"/>
          <w:sz w:val="20"/>
        </w:rPr>
        <w:t> </w:t>
      </w:r>
      <w:r>
        <w:rPr>
          <w:w w:val="105"/>
          <w:sz w:val="20"/>
        </w:rPr>
        <w:t>a</w:t>
      </w:r>
      <w:r>
        <w:rPr>
          <w:spacing w:val="-5"/>
          <w:w w:val="105"/>
          <w:sz w:val="20"/>
        </w:rPr>
        <w:t> </w:t>
      </w:r>
      <w:r>
        <w:rPr>
          <w:w w:val="105"/>
          <w:sz w:val="20"/>
        </w:rPr>
        <w:t>person</w:t>
      </w:r>
      <w:r>
        <w:rPr>
          <w:spacing w:val="-4"/>
          <w:w w:val="105"/>
          <w:sz w:val="20"/>
        </w:rPr>
        <w:t> </w:t>
      </w:r>
      <w:r>
        <w:rPr>
          <w:w w:val="105"/>
          <w:sz w:val="20"/>
        </w:rPr>
        <w:t>who</w:t>
      </w:r>
      <w:r>
        <w:rPr>
          <w:spacing w:val="-4"/>
          <w:w w:val="105"/>
          <w:sz w:val="20"/>
        </w:rPr>
        <w:t> </w:t>
      </w:r>
      <w:r>
        <w:rPr>
          <w:w w:val="105"/>
          <w:sz w:val="20"/>
        </w:rPr>
        <w:t>would</w:t>
      </w:r>
      <w:r>
        <w:rPr>
          <w:spacing w:val="-5"/>
          <w:w w:val="105"/>
          <w:sz w:val="20"/>
        </w:rPr>
        <w:t> </w:t>
      </w:r>
      <w:r>
        <w:rPr>
          <w:w w:val="105"/>
          <w:sz w:val="20"/>
        </w:rPr>
        <w:t>be</w:t>
      </w:r>
      <w:r>
        <w:rPr>
          <w:spacing w:val="-4"/>
          <w:w w:val="105"/>
          <w:sz w:val="20"/>
        </w:rPr>
        <w:t> </w:t>
      </w:r>
      <w:r>
        <w:rPr>
          <w:w w:val="105"/>
          <w:sz w:val="20"/>
        </w:rPr>
        <w:t>generally</w:t>
      </w:r>
      <w:r>
        <w:rPr>
          <w:spacing w:val="-4"/>
          <w:w w:val="105"/>
          <w:sz w:val="20"/>
        </w:rPr>
        <w:t> </w:t>
      </w:r>
      <w:r>
        <w:rPr>
          <w:w w:val="105"/>
          <w:sz w:val="20"/>
        </w:rPr>
        <w:t>regarded</w:t>
      </w:r>
      <w:r>
        <w:rPr>
          <w:spacing w:val="-4"/>
          <w:w w:val="105"/>
          <w:sz w:val="20"/>
        </w:rPr>
        <w:t> </w:t>
      </w:r>
      <w:r>
        <w:rPr>
          <w:w w:val="105"/>
          <w:sz w:val="20"/>
        </w:rPr>
        <w:t>as</w:t>
      </w:r>
      <w:r>
        <w:rPr>
          <w:spacing w:val="-5"/>
          <w:w w:val="105"/>
          <w:sz w:val="20"/>
        </w:rPr>
        <w:t> </w:t>
      </w:r>
      <w:r>
        <w:rPr>
          <w:w w:val="105"/>
          <w:sz w:val="20"/>
        </w:rPr>
        <w:t>a</w:t>
      </w:r>
      <w:r>
        <w:rPr>
          <w:spacing w:val="-4"/>
          <w:w w:val="105"/>
          <w:sz w:val="20"/>
        </w:rPr>
        <w:t> </w:t>
      </w:r>
      <w:r>
        <w:rPr>
          <w:spacing w:val="-3"/>
          <w:w w:val="105"/>
          <w:sz w:val="20"/>
        </w:rPr>
        <w:t>natural</w:t>
      </w:r>
      <w:r>
        <w:rPr>
          <w:spacing w:val="-4"/>
          <w:w w:val="105"/>
          <w:sz w:val="20"/>
        </w:rPr>
        <w:t> </w:t>
      </w:r>
      <w:r>
        <w:rPr>
          <w:w w:val="105"/>
          <w:sz w:val="20"/>
        </w:rPr>
        <w:t>object of testamentary recognition by a</w:t>
      </w:r>
      <w:r>
        <w:rPr>
          <w:spacing w:val="23"/>
          <w:w w:val="105"/>
          <w:sz w:val="20"/>
        </w:rPr>
        <w:t> </w:t>
      </w:r>
      <w:r>
        <w:rPr>
          <w:spacing w:val="-3"/>
          <w:w w:val="105"/>
          <w:sz w:val="20"/>
        </w:rPr>
        <w:t>deceased.</w:t>
      </w:r>
      <w:r>
        <w:rPr>
          <w:spacing w:val="-3"/>
          <w:w w:val="105"/>
          <w:position w:val="7"/>
          <w:sz w:val="11"/>
        </w:rPr>
        <w:t>122</w:t>
      </w:r>
    </w:p>
    <w:p>
      <w:pPr>
        <w:pStyle w:val="ListParagraph"/>
        <w:numPr>
          <w:ilvl w:val="1"/>
          <w:numId w:val="22"/>
        </w:numPr>
        <w:tabs>
          <w:tab w:pos="2382" w:val="left" w:leader="none"/>
        </w:tabs>
        <w:spacing w:line="242" w:lineRule="auto" w:before="114" w:after="0"/>
        <w:ind w:left="2381" w:right="1673" w:hanging="794"/>
        <w:jc w:val="both"/>
        <w:rPr>
          <w:sz w:val="12"/>
        </w:rPr>
      </w:pPr>
      <w:r>
        <w:rPr>
          <w:w w:val="105"/>
          <w:sz w:val="21"/>
        </w:rPr>
        <w:t>An example of one factor which </w:t>
      </w:r>
      <w:r>
        <w:rPr>
          <w:spacing w:val="-3"/>
          <w:w w:val="105"/>
          <w:sz w:val="21"/>
        </w:rPr>
        <w:t>warranted </w:t>
      </w:r>
      <w:r>
        <w:rPr>
          <w:w w:val="105"/>
          <w:sz w:val="21"/>
        </w:rPr>
        <w:t>the </w:t>
      </w:r>
      <w:r>
        <w:rPr>
          <w:spacing w:val="-3"/>
          <w:w w:val="105"/>
          <w:sz w:val="21"/>
        </w:rPr>
        <w:t>making </w:t>
      </w:r>
      <w:r>
        <w:rPr>
          <w:w w:val="105"/>
          <w:sz w:val="21"/>
        </w:rPr>
        <w:t>of an application by a dependent household</w:t>
      </w:r>
      <w:r>
        <w:rPr>
          <w:spacing w:val="-5"/>
          <w:w w:val="105"/>
          <w:sz w:val="21"/>
        </w:rPr>
        <w:t> </w:t>
      </w:r>
      <w:r>
        <w:rPr>
          <w:w w:val="105"/>
          <w:sz w:val="21"/>
        </w:rPr>
        <w:t>member</w:t>
      </w:r>
      <w:r>
        <w:rPr>
          <w:spacing w:val="-4"/>
          <w:w w:val="105"/>
          <w:sz w:val="21"/>
        </w:rPr>
        <w:t> </w:t>
      </w:r>
      <w:r>
        <w:rPr>
          <w:w w:val="105"/>
          <w:sz w:val="21"/>
        </w:rPr>
        <w:t>of</w:t>
      </w:r>
      <w:r>
        <w:rPr>
          <w:spacing w:val="-4"/>
          <w:w w:val="105"/>
          <w:sz w:val="21"/>
        </w:rPr>
        <w:t> </w:t>
      </w:r>
      <w:r>
        <w:rPr>
          <w:w w:val="105"/>
          <w:sz w:val="21"/>
        </w:rPr>
        <w:t>the</w:t>
      </w:r>
      <w:r>
        <w:rPr>
          <w:spacing w:val="-4"/>
          <w:w w:val="105"/>
          <w:sz w:val="21"/>
        </w:rPr>
        <w:t> </w:t>
      </w:r>
      <w:r>
        <w:rPr>
          <w:w w:val="105"/>
          <w:sz w:val="21"/>
        </w:rPr>
        <w:t>deceased</w:t>
      </w:r>
      <w:r>
        <w:rPr>
          <w:spacing w:val="-4"/>
          <w:w w:val="105"/>
          <w:sz w:val="21"/>
        </w:rPr>
        <w:t> </w:t>
      </w:r>
      <w:r>
        <w:rPr>
          <w:w w:val="105"/>
          <w:sz w:val="21"/>
        </w:rPr>
        <w:t>person</w:t>
      </w:r>
      <w:r>
        <w:rPr>
          <w:spacing w:val="-4"/>
          <w:w w:val="105"/>
          <w:sz w:val="21"/>
        </w:rPr>
        <w:t> </w:t>
      </w:r>
      <w:r>
        <w:rPr>
          <w:w w:val="105"/>
          <w:sz w:val="21"/>
        </w:rPr>
        <w:t>was</w:t>
      </w:r>
      <w:r>
        <w:rPr>
          <w:spacing w:val="-4"/>
          <w:w w:val="105"/>
          <w:sz w:val="21"/>
        </w:rPr>
        <w:t> </w:t>
      </w:r>
      <w:r>
        <w:rPr>
          <w:spacing w:val="-3"/>
          <w:w w:val="105"/>
          <w:sz w:val="21"/>
        </w:rPr>
        <w:t>that</w:t>
      </w:r>
      <w:r>
        <w:rPr>
          <w:spacing w:val="-4"/>
          <w:w w:val="105"/>
          <w:sz w:val="21"/>
        </w:rPr>
        <w:t> </w:t>
      </w:r>
      <w:r>
        <w:rPr>
          <w:w w:val="105"/>
          <w:sz w:val="21"/>
        </w:rPr>
        <w:t>the</w:t>
      </w:r>
      <w:r>
        <w:rPr>
          <w:spacing w:val="-4"/>
          <w:w w:val="105"/>
          <w:sz w:val="21"/>
        </w:rPr>
        <w:t> </w:t>
      </w:r>
      <w:r>
        <w:rPr>
          <w:spacing w:val="-3"/>
          <w:w w:val="105"/>
          <w:sz w:val="21"/>
        </w:rPr>
        <w:t>applicant</w:t>
      </w:r>
      <w:r>
        <w:rPr>
          <w:spacing w:val="-4"/>
          <w:w w:val="105"/>
          <w:sz w:val="21"/>
        </w:rPr>
        <w:t> </w:t>
      </w:r>
      <w:r>
        <w:rPr>
          <w:spacing w:val="-2"/>
          <w:w w:val="105"/>
          <w:sz w:val="21"/>
        </w:rPr>
        <w:t>had</w:t>
      </w:r>
      <w:r>
        <w:rPr>
          <w:spacing w:val="-4"/>
          <w:w w:val="105"/>
          <w:sz w:val="21"/>
        </w:rPr>
        <w:t> </w:t>
      </w:r>
      <w:r>
        <w:rPr>
          <w:w w:val="105"/>
          <w:sz w:val="21"/>
        </w:rPr>
        <w:t>been</w:t>
      </w:r>
      <w:r>
        <w:rPr>
          <w:spacing w:val="-4"/>
          <w:w w:val="105"/>
          <w:sz w:val="21"/>
        </w:rPr>
        <w:t> </w:t>
      </w:r>
      <w:r>
        <w:rPr>
          <w:spacing w:val="-3"/>
          <w:w w:val="105"/>
          <w:sz w:val="21"/>
        </w:rPr>
        <w:t>‘brought</w:t>
      </w:r>
      <w:r>
        <w:rPr>
          <w:spacing w:val="-5"/>
          <w:w w:val="105"/>
          <w:sz w:val="21"/>
        </w:rPr>
        <w:t> </w:t>
      </w:r>
      <w:r>
        <w:rPr>
          <w:w w:val="105"/>
          <w:sz w:val="21"/>
        </w:rPr>
        <w:t>up as a permanent member’ of the deceased </w:t>
      </w:r>
      <w:r>
        <w:rPr>
          <w:spacing w:val="-3"/>
          <w:w w:val="105"/>
          <w:sz w:val="21"/>
        </w:rPr>
        <w:t>person’s</w:t>
      </w:r>
      <w:r>
        <w:rPr>
          <w:spacing w:val="28"/>
          <w:w w:val="105"/>
          <w:sz w:val="21"/>
        </w:rPr>
        <w:t> </w:t>
      </w:r>
      <w:r>
        <w:rPr>
          <w:spacing w:val="-6"/>
          <w:w w:val="105"/>
          <w:sz w:val="21"/>
        </w:rPr>
        <w:t>family.</w:t>
      </w:r>
      <w:r>
        <w:rPr>
          <w:spacing w:val="-6"/>
          <w:w w:val="105"/>
          <w:position w:val="7"/>
          <w:sz w:val="12"/>
        </w:rPr>
        <w:t>123</w:t>
      </w:r>
    </w:p>
    <w:p>
      <w:pPr>
        <w:pStyle w:val="ListParagraph"/>
        <w:numPr>
          <w:ilvl w:val="1"/>
          <w:numId w:val="22"/>
        </w:numPr>
        <w:tabs>
          <w:tab w:pos="2381" w:val="left" w:leader="none"/>
          <w:tab w:pos="2382" w:val="left" w:leader="none"/>
        </w:tabs>
        <w:spacing w:line="242" w:lineRule="auto" w:before="123" w:after="0"/>
        <w:ind w:left="2381" w:right="1777" w:hanging="794"/>
        <w:jc w:val="left"/>
        <w:rPr>
          <w:sz w:val="12"/>
        </w:rPr>
      </w:pPr>
      <w:r>
        <w:rPr>
          <w:w w:val="105"/>
          <w:sz w:val="21"/>
        </w:rPr>
        <w:t>The </w:t>
      </w:r>
      <w:r>
        <w:rPr>
          <w:spacing w:val="-3"/>
          <w:w w:val="105"/>
          <w:sz w:val="21"/>
        </w:rPr>
        <w:t>Supreme Court </w:t>
      </w:r>
      <w:r>
        <w:rPr>
          <w:w w:val="105"/>
          <w:sz w:val="21"/>
        </w:rPr>
        <w:t>of New South </w:t>
      </w:r>
      <w:r>
        <w:rPr>
          <w:spacing w:val="-3"/>
          <w:w w:val="105"/>
          <w:sz w:val="21"/>
        </w:rPr>
        <w:t>Wales </w:t>
      </w:r>
      <w:r>
        <w:rPr>
          <w:spacing w:val="-2"/>
          <w:w w:val="105"/>
          <w:sz w:val="21"/>
        </w:rPr>
        <w:t>has </w:t>
      </w:r>
      <w:r>
        <w:rPr>
          <w:w w:val="105"/>
          <w:sz w:val="21"/>
        </w:rPr>
        <w:t>also held </w:t>
      </w:r>
      <w:r>
        <w:rPr>
          <w:spacing w:val="-3"/>
          <w:w w:val="105"/>
          <w:sz w:val="21"/>
        </w:rPr>
        <w:t>that, for </w:t>
      </w:r>
      <w:r>
        <w:rPr>
          <w:w w:val="105"/>
          <w:sz w:val="21"/>
        </w:rPr>
        <w:t>the purposes of a </w:t>
      </w:r>
      <w:r>
        <w:rPr>
          <w:spacing w:val="-3"/>
          <w:w w:val="105"/>
          <w:sz w:val="21"/>
        </w:rPr>
        <w:t>family provision claim, </w:t>
      </w:r>
      <w:r>
        <w:rPr>
          <w:w w:val="105"/>
          <w:sz w:val="21"/>
        </w:rPr>
        <w:t>dependence is </w:t>
      </w:r>
      <w:r>
        <w:rPr>
          <w:spacing w:val="-2"/>
          <w:w w:val="105"/>
          <w:sz w:val="21"/>
        </w:rPr>
        <w:t>not </w:t>
      </w:r>
      <w:r>
        <w:rPr>
          <w:spacing w:val="-3"/>
          <w:w w:val="105"/>
          <w:sz w:val="21"/>
        </w:rPr>
        <w:t>limited to financial dependence, </w:t>
      </w:r>
      <w:r>
        <w:rPr>
          <w:w w:val="105"/>
          <w:sz w:val="21"/>
        </w:rPr>
        <w:t>but </w:t>
      </w:r>
      <w:r>
        <w:rPr>
          <w:spacing w:val="-3"/>
          <w:w w:val="105"/>
          <w:sz w:val="21"/>
        </w:rPr>
        <w:t>includes </w:t>
      </w:r>
      <w:r>
        <w:rPr>
          <w:w w:val="105"/>
          <w:sz w:val="21"/>
        </w:rPr>
        <w:t>a person</w:t>
      </w:r>
      <w:r>
        <w:rPr>
          <w:spacing w:val="-8"/>
          <w:w w:val="105"/>
          <w:sz w:val="21"/>
        </w:rPr>
        <w:t> </w:t>
      </w:r>
      <w:r>
        <w:rPr>
          <w:spacing w:val="-3"/>
          <w:w w:val="105"/>
          <w:sz w:val="21"/>
        </w:rPr>
        <w:t>relying</w:t>
      </w:r>
      <w:r>
        <w:rPr>
          <w:spacing w:val="-7"/>
          <w:w w:val="105"/>
          <w:sz w:val="21"/>
        </w:rPr>
        <w:t> </w:t>
      </w:r>
      <w:r>
        <w:rPr>
          <w:w w:val="105"/>
          <w:sz w:val="21"/>
        </w:rPr>
        <w:t>on</w:t>
      </w:r>
      <w:r>
        <w:rPr>
          <w:spacing w:val="-7"/>
          <w:w w:val="105"/>
          <w:sz w:val="21"/>
        </w:rPr>
        <w:t> </w:t>
      </w:r>
      <w:r>
        <w:rPr>
          <w:w w:val="105"/>
          <w:sz w:val="21"/>
        </w:rPr>
        <w:t>or</w:t>
      </w:r>
      <w:r>
        <w:rPr>
          <w:spacing w:val="-7"/>
          <w:w w:val="105"/>
          <w:sz w:val="21"/>
        </w:rPr>
        <w:t> </w:t>
      </w:r>
      <w:r>
        <w:rPr>
          <w:w w:val="105"/>
          <w:sz w:val="21"/>
        </w:rPr>
        <w:t>looking</w:t>
      </w:r>
      <w:r>
        <w:rPr>
          <w:spacing w:val="-7"/>
          <w:w w:val="105"/>
          <w:sz w:val="21"/>
        </w:rPr>
        <w:t> </w:t>
      </w:r>
      <w:r>
        <w:rPr>
          <w:spacing w:val="-3"/>
          <w:w w:val="105"/>
          <w:sz w:val="21"/>
        </w:rPr>
        <w:t>to</w:t>
      </w:r>
      <w:r>
        <w:rPr>
          <w:spacing w:val="-7"/>
          <w:w w:val="105"/>
          <w:sz w:val="21"/>
        </w:rPr>
        <w:t> </w:t>
      </w:r>
      <w:r>
        <w:rPr>
          <w:w w:val="105"/>
          <w:sz w:val="21"/>
        </w:rPr>
        <w:t>the</w:t>
      </w:r>
      <w:r>
        <w:rPr>
          <w:spacing w:val="-7"/>
          <w:w w:val="105"/>
          <w:sz w:val="21"/>
        </w:rPr>
        <w:t> </w:t>
      </w:r>
      <w:r>
        <w:rPr>
          <w:w w:val="105"/>
          <w:sz w:val="21"/>
        </w:rPr>
        <w:t>deceased,</w:t>
      </w:r>
      <w:r>
        <w:rPr>
          <w:spacing w:val="-7"/>
          <w:w w:val="105"/>
          <w:sz w:val="21"/>
        </w:rPr>
        <w:t> </w:t>
      </w:r>
      <w:r>
        <w:rPr>
          <w:spacing w:val="-3"/>
          <w:w w:val="105"/>
          <w:sz w:val="21"/>
        </w:rPr>
        <w:t>rather</w:t>
      </w:r>
      <w:r>
        <w:rPr>
          <w:spacing w:val="-7"/>
          <w:w w:val="105"/>
          <w:sz w:val="21"/>
        </w:rPr>
        <w:t> </w:t>
      </w:r>
      <w:r>
        <w:rPr>
          <w:spacing w:val="-3"/>
          <w:w w:val="105"/>
          <w:sz w:val="21"/>
        </w:rPr>
        <w:t>than</w:t>
      </w:r>
      <w:r>
        <w:rPr>
          <w:spacing w:val="-7"/>
          <w:w w:val="105"/>
          <w:sz w:val="21"/>
        </w:rPr>
        <w:t> </w:t>
      </w:r>
      <w:r>
        <w:rPr>
          <w:w w:val="105"/>
          <w:sz w:val="21"/>
        </w:rPr>
        <w:t>others,</w:t>
      </w:r>
      <w:r>
        <w:rPr>
          <w:spacing w:val="-7"/>
          <w:w w:val="105"/>
          <w:sz w:val="21"/>
        </w:rPr>
        <w:t> </w:t>
      </w:r>
      <w:r>
        <w:rPr>
          <w:spacing w:val="-3"/>
          <w:w w:val="105"/>
          <w:sz w:val="21"/>
        </w:rPr>
        <w:t>for</w:t>
      </w:r>
      <w:r>
        <w:rPr>
          <w:spacing w:val="-7"/>
          <w:w w:val="105"/>
          <w:sz w:val="21"/>
        </w:rPr>
        <w:t> </w:t>
      </w:r>
      <w:r>
        <w:rPr>
          <w:w w:val="105"/>
          <w:sz w:val="21"/>
        </w:rPr>
        <w:t>anything</w:t>
      </w:r>
      <w:r>
        <w:rPr>
          <w:spacing w:val="-7"/>
          <w:w w:val="105"/>
          <w:sz w:val="21"/>
        </w:rPr>
        <w:t> </w:t>
      </w:r>
      <w:r>
        <w:rPr>
          <w:w w:val="105"/>
          <w:sz w:val="21"/>
        </w:rPr>
        <w:t>necessary or </w:t>
      </w:r>
      <w:r>
        <w:rPr>
          <w:spacing w:val="-3"/>
          <w:w w:val="105"/>
          <w:sz w:val="21"/>
        </w:rPr>
        <w:t>desirable for </w:t>
      </w:r>
      <w:r>
        <w:rPr>
          <w:w w:val="105"/>
          <w:sz w:val="21"/>
        </w:rPr>
        <w:t>their </w:t>
      </w:r>
      <w:r>
        <w:rPr>
          <w:spacing w:val="-3"/>
          <w:w w:val="105"/>
          <w:sz w:val="21"/>
        </w:rPr>
        <w:t>maintenance </w:t>
      </w:r>
      <w:r>
        <w:rPr>
          <w:w w:val="105"/>
          <w:sz w:val="21"/>
        </w:rPr>
        <w:t>and </w:t>
      </w:r>
      <w:r>
        <w:rPr>
          <w:spacing w:val="-4"/>
          <w:w w:val="105"/>
          <w:sz w:val="21"/>
        </w:rPr>
        <w:t>support.</w:t>
      </w:r>
      <w:r>
        <w:rPr>
          <w:spacing w:val="-4"/>
          <w:w w:val="105"/>
          <w:position w:val="7"/>
          <w:sz w:val="12"/>
        </w:rPr>
        <w:t>124 </w:t>
      </w:r>
      <w:r>
        <w:rPr>
          <w:spacing w:val="-4"/>
          <w:w w:val="105"/>
          <w:sz w:val="21"/>
        </w:rPr>
        <w:t>Further, </w:t>
      </w:r>
      <w:r>
        <w:rPr>
          <w:w w:val="105"/>
          <w:sz w:val="21"/>
        </w:rPr>
        <w:t>there </w:t>
      </w:r>
      <w:r>
        <w:rPr>
          <w:spacing w:val="-2"/>
          <w:w w:val="105"/>
          <w:sz w:val="21"/>
        </w:rPr>
        <w:t>has </w:t>
      </w:r>
      <w:r>
        <w:rPr>
          <w:w w:val="105"/>
          <w:sz w:val="21"/>
        </w:rPr>
        <w:t>been </w:t>
      </w:r>
      <w:r>
        <w:rPr>
          <w:spacing w:val="-3"/>
          <w:w w:val="105"/>
          <w:sz w:val="21"/>
        </w:rPr>
        <w:t>judicial consideration </w:t>
      </w:r>
      <w:r>
        <w:rPr>
          <w:w w:val="105"/>
          <w:sz w:val="21"/>
        </w:rPr>
        <w:t>of what it </w:t>
      </w:r>
      <w:r>
        <w:rPr>
          <w:spacing w:val="-3"/>
          <w:w w:val="105"/>
          <w:sz w:val="21"/>
        </w:rPr>
        <w:t>means to </w:t>
      </w:r>
      <w:r>
        <w:rPr>
          <w:w w:val="105"/>
          <w:sz w:val="21"/>
        </w:rPr>
        <w:t>be a member of a household, with the </w:t>
      </w:r>
      <w:r>
        <w:rPr>
          <w:spacing w:val="-3"/>
          <w:w w:val="105"/>
          <w:sz w:val="21"/>
        </w:rPr>
        <w:t>Supreme Court </w:t>
      </w:r>
      <w:r>
        <w:rPr>
          <w:w w:val="105"/>
          <w:sz w:val="21"/>
        </w:rPr>
        <w:t>of New South </w:t>
      </w:r>
      <w:r>
        <w:rPr>
          <w:spacing w:val="-3"/>
          <w:w w:val="105"/>
          <w:sz w:val="21"/>
        </w:rPr>
        <w:t>Wales finding that </w:t>
      </w:r>
      <w:r>
        <w:rPr>
          <w:w w:val="105"/>
          <w:sz w:val="21"/>
        </w:rPr>
        <w:t>it is possible </w:t>
      </w:r>
      <w:r>
        <w:rPr>
          <w:spacing w:val="-3"/>
          <w:w w:val="105"/>
          <w:sz w:val="21"/>
        </w:rPr>
        <w:t>to </w:t>
      </w:r>
      <w:r>
        <w:rPr>
          <w:w w:val="105"/>
          <w:sz w:val="21"/>
        </w:rPr>
        <w:t>be a member of more </w:t>
      </w:r>
      <w:r>
        <w:rPr>
          <w:spacing w:val="-3"/>
          <w:w w:val="105"/>
          <w:sz w:val="21"/>
        </w:rPr>
        <w:t>than </w:t>
      </w:r>
      <w:r>
        <w:rPr>
          <w:w w:val="105"/>
          <w:sz w:val="21"/>
        </w:rPr>
        <w:t>one household at </w:t>
      </w:r>
      <w:r>
        <w:rPr>
          <w:spacing w:val="-3"/>
          <w:w w:val="105"/>
          <w:sz w:val="21"/>
        </w:rPr>
        <w:t>once, </w:t>
      </w:r>
      <w:r>
        <w:rPr>
          <w:w w:val="105"/>
          <w:sz w:val="21"/>
        </w:rPr>
        <w:t>and </w:t>
      </w:r>
      <w:r>
        <w:rPr>
          <w:spacing w:val="-3"/>
          <w:w w:val="105"/>
          <w:sz w:val="21"/>
        </w:rPr>
        <w:t>that </w:t>
      </w:r>
      <w:r>
        <w:rPr>
          <w:w w:val="105"/>
          <w:sz w:val="21"/>
        </w:rPr>
        <w:t>household membership </w:t>
      </w:r>
      <w:r>
        <w:rPr>
          <w:spacing w:val="-3"/>
          <w:w w:val="105"/>
          <w:sz w:val="21"/>
        </w:rPr>
        <w:t>may </w:t>
      </w:r>
      <w:r>
        <w:rPr>
          <w:w w:val="105"/>
          <w:sz w:val="21"/>
        </w:rPr>
        <w:t>be evidenced by </w:t>
      </w:r>
      <w:r>
        <w:rPr>
          <w:spacing w:val="-3"/>
          <w:w w:val="105"/>
          <w:sz w:val="21"/>
        </w:rPr>
        <w:t>regularly attending </w:t>
      </w:r>
      <w:r>
        <w:rPr>
          <w:w w:val="105"/>
          <w:sz w:val="21"/>
        </w:rPr>
        <w:t>a household and staying</w:t>
      </w:r>
      <w:r>
        <w:rPr>
          <w:spacing w:val="29"/>
          <w:w w:val="105"/>
          <w:sz w:val="21"/>
        </w:rPr>
        <w:t> </w:t>
      </w:r>
      <w:r>
        <w:rPr>
          <w:spacing w:val="-5"/>
          <w:w w:val="105"/>
          <w:sz w:val="21"/>
        </w:rPr>
        <w:t>overnight.</w:t>
      </w:r>
      <w:r>
        <w:rPr>
          <w:spacing w:val="-5"/>
          <w:w w:val="105"/>
          <w:position w:val="7"/>
          <w:sz w:val="12"/>
        </w:rPr>
        <w:t>125</w:t>
      </w:r>
    </w:p>
    <w:p>
      <w:pPr>
        <w:pStyle w:val="ListParagraph"/>
        <w:numPr>
          <w:ilvl w:val="1"/>
          <w:numId w:val="22"/>
        </w:numPr>
        <w:tabs>
          <w:tab w:pos="2381" w:val="left" w:leader="none"/>
          <w:tab w:pos="2382" w:val="left" w:leader="none"/>
        </w:tabs>
        <w:spacing w:line="242" w:lineRule="auto" w:before="129" w:after="0"/>
        <w:ind w:left="2380" w:right="1798" w:hanging="793"/>
        <w:jc w:val="left"/>
        <w:rPr>
          <w:sz w:val="12"/>
        </w:rPr>
      </w:pPr>
      <w:r>
        <w:rPr>
          <w:sz w:val="21"/>
        </w:rPr>
        <w:t>In </w:t>
      </w:r>
      <w:r>
        <w:rPr>
          <w:spacing w:val="-3"/>
          <w:sz w:val="21"/>
        </w:rPr>
        <w:t>determining </w:t>
      </w:r>
      <w:r>
        <w:rPr>
          <w:sz w:val="21"/>
        </w:rPr>
        <w:t>whether </w:t>
      </w:r>
      <w:r>
        <w:rPr>
          <w:spacing w:val="-3"/>
          <w:sz w:val="21"/>
        </w:rPr>
        <w:t>any applicant  </w:t>
      </w:r>
      <w:r>
        <w:rPr>
          <w:sz w:val="21"/>
        </w:rPr>
        <w:t>is an </w:t>
      </w:r>
      <w:r>
        <w:rPr>
          <w:spacing w:val="-3"/>
          <w:sz w:val="21"/>
        </w:rPr>
        <w:t>eligible</w:t>
      </w:r>
      <w:r>
        <w:rPr>
          <w:spacing w:val="41"/>
          <w:sz w:val="21"/>
        </w:rPr>
        <w:t> </w:t>
      </w:r>
      <w:r>
        <w:rPr>
          <w:spacing w:val="-3"/>
          <w:sz w:val="21"/>
        </w:rPr>
        <w:t>applicant,  </w:t>
      </w:r>
      <w:r>
        <w:rPr>
          <w:sz w:val="21"/>
        </w:rPr>
        <w:t>the court </w:t>
      </w:r>
      <w:r>
        <w:rPr>
          <w:spacing w:val="-3"/>
          <w:sz w:val="21"/>
        </w:rPr>
        <w:t>may  have  regard to </w:t>
      </w:r>
      <w:r>
        <w:rPr>
          <w:sz w:val="21"/>
        </w:rPr>
        <w:t>a </w:t>
      </w:r>
      <w:r>
        <w:rPr>
          <w:spacing w:val="-3"/>
          <w:sz w:val="21"/>
        </w:rPr>
        <w:t>range </w:t>
      </w:r>
      <w:r>
        <w:rPr>
          <w:sz w:val="21"/>
        </w:rPr>
        <w:t>of statutory </w:t>
      </w:r>
      <w:r>
        <w:rPr>
          <w:spacing w:val="-5"/>
          <w:sz w:val="21"/>
        </w:rPr>
        <w:t>criteria.</w:t>
      </w:r>
      <w:r>
        <w:rPr>
          <w:spacing w:val="-5"/>
          <w:position w:val="7"/>
          <w:sz w:val="12"/>
        </w:rPr>
        <w:t>126 </w:t>
      </w:r>
      <w:r>
        <w:rPr>
          <w:sz w:val="21"/>
        </w:rPr>
        <w:t>These statutory </w:t>
      </w:r>
      <w:r>
        <w:rPr>
          <w:spacing w:val="-3"/>
          <w:sz w:val="21"/>
        </w:rPr>
        <w:t>criteria  are  similar  to  </w:t>
      </w:r>
      <w:r>
        <w:rPr>
          <w:sz w:val="21"/>
        </w:rPr>
        <w:t>those </w:t>
      </w:r>
      <w:r>
        <w:rPr>
          <w:spacing w:val="-3"/>
          <w:sz w:val="21"/>
        </w:rPr>
        <w:t>considered </w:t>
      </w:r>
      <w:r>
        <w:rPr>
          <w:sz w:val="21"/>
        </w:rPr>
        <w:t>by the Victorian courts when </w:t>
      </w:r>
      <w:r>
        <w:rPr>
          <w:spacing w:val="-3"/>
          <w:sz w:val="21"/>
        </w:rPr>
        <w:t>determining family provision</w:t>
      </w:r>
      <w:r>
        <w:rPr>
          <w:spacing w:val="13"/>
          <w:sz w:val="21"/>
        </w:rPr>
        <w:t> </w:t>
      </w:r>
      <w:r>
        <w:rPr>
          <w:spacing w:val="-5"/>
          <w:sz w:val="21"/>
        </w:rPr>
        <w:t>claims.</w:t>
      </w:r>
      <w:r>
        <w:rPr>
          <w:spacing w:val="-5"/>
          <w:position w:val="7"/>
          <w:sz w:val="12"/>
        </w:rPr>
        <w:t>127</w:t>
      </w:r>
    </w:p>
    <w:p>
      <w:pPr>
        <w:pStyle w:val="ListParagraph"/>
        <w:numPr>
          <w:ilvl w:val="1"/>
          <w:numId w:val="22"/>
        </w:numPr>
        <w:tabs>
          <w:tab w:pos="2382" w:val="left" w:leader="none"/>
        </w:tabs>
        <w:spacing w:line="242" w:lineRule="auto" w:before="123" w:after="0"/>
        <w:ind w:left="2381" w:right="1610" w:hanging="794"/>
        <w:jc w:val="both"/>
        <w:rPr>
          <w:sz w:val="12"/>
        </w:rPr>
      </w:pPr>
      <w:r>
        <w:rPr>
          <w:spacing w:val="-3"/>
          <w:sz w:val="21"/>
        </w:rPr>
        <w:t>Although </w:t>
      </w:r>
      <w:r>
        <w:rPr>
          <w:sz w:val="21"/>
        </w:rPr>
        <w:t>the </w:t>
      </w:r>
      <w:r>
        <w:rPr>
          <w:spacing w:val="-4"/>
          <w:sz w:val="21"/>
        </w:rPr>
        <w:t>Commission </w:t>
      </w:r>
      <w:r>
        <w:rPr>
          <w:spacing w:val="-3"/>
          <w:sz w:val="21"/>
        </w:rPr>
        <w:t>noted that </w:t>
      </w:r>
      <w:r>
        <w:rPr>
          <w:sz w:val="21"/>
        </w:rPr>
        <w:t>the New </w:t>
      </w:r>
      <w:r>
        <w:rPr>
          <w:spacing w:val="-3"/>
          <w:sz w:val="21"/>
        </w:rPr>
        <w:t>South </w:t>
      </w:r>
      <w:r>
        <w:rPr>
          <w:spacing w:val="-4"/>
          <w:sz w:val="21"/>
        </w:rPr>
        <w:t>Wales </w:t>
      </w:r>
      <w:r>
        <w:rPr>
          <w:spacing w:val="-3"/>
          <w:sz w:val="21"/>
        </w:rPr>
        <w:t>approach to </w:t>
      </w:r>
      <w:r>
        <w:rPr>
          <w:spacing w:val="-4"/>
          <w:sz w:val="21"/>
        </w:rPr>
        <w:t>eligibility </w:t>
      </w:r>
      <w:r>
        <w:rPr>
          <w:spacing w:val="-3"/>
          <w:sz w:val="21"/>
        </w:rPr>
        <w:t>was  not </w:t>
      </w:r>
      <w:r>
        <w:rPr>
          <w:spacing w:val="-6"/>
          <w:sz w:val="21"/>
        </w:rPr>
        <w:t>likely,  </w:t>
      </w:r>
      <w:r>
        <w:rPr>
          <w:spacing w:val="-3"/>
          <w:sz w:val="21"/>
        </w:rPr>
        <w:t>of </w:t>
      </w:r>
      <w:r>
        <w:rPr>
          <w:spacing w:val="-4"/>
          <w:sz w:val="21"/>
        </w:rPr>
        <w:t>itself, </w:t>
      </w:r>
      <w:r>
        <w:rPr>
          <w:spacing w:val="-3"/>
          <w:sz w:val="21"/>
        </w:rPr>
        <w:t>to resolve all problems in </w:t>
      </w:r>
      <w:r>
        <w:rPr>
          <w:sz w:val="21"/>
        </w:rPr>
        <w:t>the </w:t>
      </w:r>
      <w:r>
        <w:rPr>
          <w:spacing w:val="-3"/>
          <w:sz w:val="21"/>
        </w:rPr>
        <w:t>jurisdiction, </w:t>
      </w:r>
      <w:r>
        <w:rPr>
          <w:sz w:val="21"/>
        </w:rPr>
        <w:t>it </w:t>
      </w:r>
      <w:r>
        <w:rPr>
          <w:spacing w:val="-3"/>
          <w:sz w:val="21"/>
        </w:rPr>
        <w:t>was canvassed </w:t>
      </w:r>
      <w:r>
        <w:rPr>
          <w:sz w:val="21"/>
        </w:rPr>
        <w:t>as a </w:t>
      </w:r>
      <w:r>
        <w:rPr>
          <w:spacing w:val="-3"/>
          <w:sz w:val="21"/>
        </w:rPr>
        <w:t>way in which    to</w:t>
      </w:r>
      <w:r>
        <w:rPr>
          <w:spacing w:val="15"/>
          <w:sz w:val="21"/>
        </w:rPr>
        <w:t> </w:t>
      </w:r>
      <w:r>
        <w:rPr>
          <w:spacing w:val="-4"/>
          <w:sz w:val="21"/>
        </w:rPr>
        <w:t>limit</w:t>
      </w:r>
      <w:r>
        <w:rPr>
          <w:spacing w:val="16"/>
          <w:sz w:val="21"/>
        </w:rPr>
        <w:t> </w:t>
      </w:r>
      <w:r>
        <w:rPr>
          <w:spacing w:val="-3"/>
          <w:sz w:val="21"/>
        </w:rPr>
        <w:t>what</w:t>
      </w:r>
      <w:r>
        <w:rPr>
          <w:spacing w:val="15"/>
          <w:sz w:val="21"/>
        </w:rPr>
        <w:t> </w:t>
      </w:r>
      <w:r>
        <w:rPr>
          <w:spacing w:val="-4"/>
          <w:sz w:val="21"/>
        </w:rPr>
        <w:t>have</w:t>
      </w:r>
      <w:r>
        <w:rPr>
          <w:spacing w:val="16"/>
          <w:sz w:val="21"/>
        </w:rPr>
        <w:t> </w:t>
      </w:r>
      <w:r>
        <w:rPr>
          <w:sz w:val="21"/>
        </w:rPr>
        <w:t>been</w:t>
      </w:r>
      <w:r>
        <w:rPr>
          <w:spacing w:val="15"/>
          <w:sz w:val="21"/>
        </w:rPr>
        <w:t> </w:t>
      </w:r>
      <w:r>
        <w:rPr>
          <w:spacing w:val="-3"/>
          <w:sz w:val="21"/>
        </w:rPr>
        <w:t>described</w:t>
      </w:r>
      <w:r>
        <w:rPr>
          <w:spacing w:val="16"/>
          <w:sz w:val="21"/>
        </w:rPr>
        <w:t> </w:t>
      </w:r>
      <w:r>
        <w:rPr>
          <w:sz w:val="21"/>
        </w:rPr>
        <w:t>as</w:t>
      </w:r>
      <w:r>
        <w:rPr>
          <w:spacing w:val="15"/>
          <w:sz w:val="21"/>
        </w:rPr>
        <w:t> </w:t>
      </w:r>
      <w:r>
        <w:rPr>
          <w:spacing w:val="-3"/>
          <w:sz w:val="21"/>
        </w:rPr>
        <w:t>opportunistic</w:t>
      </w:r>
      <w:r>
        <w:rPr>
          <w:spacing w:val="16"/>
          <w:sz w:val="21"/>
        </w:rPr>
        <w:t> </w:t>
      </w:r>
      <w:r>
        <w:rPr>
          <w:sz w:val="21"/>
        </w:rPr>
        <w:t>or</w:t>
      </w:r>
      <w:r>
        <w:rPr>
          <w:spacing w:val="15"/>
          <w:sz w:val="21"/>
        </w:rPr>
        <w:t> </w:t>
      </w:r>
      <w:r>
        <w:rPr>
          <w:spacing w:val="-3"/>
          <w:sz w:val="21"/>
        </w:rPr>
        <w:t>speculative</w:t>
      </w:r>
      <w:r>
        <w:rPr>
          <w:spacing w:val="16"/>
          <w:sz w:val="21"/>
        </w:rPr>
        <w:t> </w:t>
      </w:r>
      <w:r>
        <w:rPr>
          <w:spacing w:val="-4"/>
          <w:sz w:val="21"/>
        </w:rPr>
        <w:t>claims</w:t>
      </w:r>
      <w:r>
        <w:rPr>
          <w:spacing w:val="15"/>
          <w:sz w:val="21"/>
        </w:rPr>
        <w:t> </w:t>
      </w:r>
      <w:r>
        <w:rPr>
          <w:spacing w:val="-3"/>
          <w:sz w:val="21"/>
        </w:rPr>
        <w:t>in</w:t>
      </w:r>
      <w:r>
        <w:rPr>
          <w:spacing w:val="16"/>
          <w:sz w:val="21"/>
        </w:rPr>
        <w:t> </w:t>
      </w:r>
      <w:r>
        <w:rPr>
          <w:spacing w:val="-5"/>
          <w:sz w:val="21"/>
        </w:rPr>
        <w:t>Victoria.</w:t>
      </w:r>
      <w:r>
        <w:rPr>
          <w:spacing w:val="-5"/>
          <w:position w:val="7"/>
          <w:sz w:val="12"/>
        </w:rPr>
        <w:t>128</w:t>
      </w:r>
    </w:p>
    <w:p>
      <w:pPr>
        <w:pStyle w:val="BodyText"/>
        <w:spacing w:before="8"/>
        <w:rPr>
          <w:sz w:val="18"/>
        </w:rPr>
      </w:pPr>
    </w:p>
    <w:p>
      <w:pPr>
        <w:pStyle w:val="Heading5"/>
      </w:pPr>
      <w:r>
        <w:rPr/>
        <w:pict>
          <v:shape style="position:absolute;margin-left:79.370102pt;margin-top:21.946894pt;width:436.55pt;height:257.3pt;mso-position-horizontal-relative:page;mso-position-vertical-relative:paragraph;z-index:9136"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80"/>
                    <w:gridCol w:w="8151"/>
                  </w:tblGrid>
                  <w:tr>
                    <w:trPr>
                      <w:trHeight w:val="251" w:hRule="atLeast"/>
                    </w:trPr>
                    <w:tc>
                      <w:tcPr>
                        <w:tcW w:w="580" w:type="dxa"/>
                      </w:tcPr>
                      <w:p>
                        <w:pPr>
                          <w:pStyle w:val="TableParagraph"/>
                          <w:spacing w:line="232" w:lineRule="exact"/>
                          <w:rPr>
                            <w:sz w:val="21"/>
                          </w:rPr>
                        </w:pPr>
                        <w:r>
                          <w:rPr>
                            <w:w w:val="110"/>
                            <w:sz w:val="21"/>
                          </w:rPr>
                          <w:t>6.74</w:t>
                        </w:r>
                      </w:p>
                    </w:tc>
                    <w:tc>
                      <w:tcPr>
                        <w:tcW w:w="8151" w:type="dxa"/>
                      </w:tcPr>
                      <w:p>
                        <w:pPr>
                          <w:pStyle w:val="TableParagraph"/>
                          <w:spacing w:line="232" w:lineRule="exact"/>
                          <w:ind w:left="213"/>
                          <w:rPr>
                            <w:sz w:val="21"/>
                          </w:rPr>
                        </w:pPr>
                        <w:r>
                          <w:rPr>
                            <w:w w:val="105"/>
                            <w:sz w:val="21"/>
                          </w:rPr>
                          <w:t>A number of submissions received by the Commission supported retaining Victoria’s</w:t>
                        </w:r>
                      </w:p>
                    </w:tc>
                  </w:tr>
                  <w:tr>
                    <w:trPr>
                      <w:trHeight w:val="260" w:hRule="atLeast"/>
                    </w:trPr>
                    <w:tc>
                      <w:tcPr>
                        <w:tcW w:w="580" w:type="dxa"/>
                      </w:tcPr>
                      <w:p>
                        <w:pPr>
                          <w:pStyle w:val="TableParagraph"/>
                          <w:spacing w:line="240" w:lineRule="auto"/>
                          <w:rPr>
                            <w:rFonts w:ascii="Times New Roman"/>
                            <w:sz w:val="16"/>
                          </w:rPr>
                        </w:pPr>
                      </w:p>
                    </w:tc>
                    <w:tc>
                      <w:tcPr>
                        <w:tcW w:w="8151" w:type="dxa"/>
                      </w:tcPr>
                      <w:p>
                        <w:pPr>
                          <w:pStyle w:val="TableParagraph"/>
                          <w:spacing w:line="240" w:lineRule="exact"/>
                          <w:ind w:left="213"/>
                          <w:rPr>
                            <w:sz w:val="21"/>
                          </w:rPr>
                        </w:pPr>
                        <w:r>
                          <w:rPr>
                            <w:sz w:val="21"/>
                          </w:rPr>
                          <w:t>current ‘responsibility’ test for family provision eligibility with no change.</w:t>
                        </w:r>
                        <w:r>
                          <w:rPr>
                            <w:position w:val="7"/>
                            <w:sz w:val="12"/>
                          </w:rPr>
                          <w:t>129 </w:t>
                        </w:r>
                        <w:r>
                          <w:rPr>
                            <w:sz w:val="21"/>
                          </w:rPr>
                          <w:t>These</w:t>
                        </w:r>
                      </w:p>
                    </w:tc>
                  </w:tr>
                  <w:tr>
                    <w:trPr>
                      <w:trHeight w:val="260" w:hRule="atLeast"/>
                    </w:trPr>
                    <w:tc>
                      <w:tcPr>
                        <w:tcW w:w="580" w:type="dxa"/>
                      </w:tcPr>
                      <w:p>
                        <w:pPr>
                          <w:pStyle w:val="TableParagraph"/>
                          <w:spacing w:line="240" w:lineRule="auto"/>
                          <w:rPr>
                            <w:rFonts w:ascii="Times New Roman"/>
                            <w:sz w:val="16"/>
                          </w:rPr>
                        </w:pPr>
                      </w:p>
                    </w:tc>
                    <w:tc>
                      <w:tcPr>
                        <w:tcW w:w="8151" w:type="dxa"/>
                      </w:tcPr>
                      <w:p>
                        <w:pPr>
                          <w:pStyle w:val="TableParagraph"/>
                          <w:spacing w:line="240" w:lineRule="exact"/>
                          <w:ind w:left="213"/>
                          <w:rPr>
                            <w:sz w:val="21"/>
                          </w:rPr>
                        </w:pPr>
                        <w:r>
                          <w:rPr>
                            <w:sz w:val="21"/>
                          </w:rPr>
                          <w:t>submissions considered that the problem of opportunistic claims is not widespread </w:t>
                        </w:r>
                        <w:r>
                          <w:rPr>
                            <w:position w:val="7"/>
                            <w:sz w:val="12"/>
                          </w:rPr>
                          <w:t>130 </w:t>
                        </w:r>
                        <w:r>
                          <w:rPr>
                            <w:sz w:val="21"/>
                          </w:rPr>
                          <w:t>and</w:t>
                        </w:r>
                      </w:p>
                    </w:tc>
                  </w:tr>
                  <w:tr>
                    <w:trPr>
                      <w:trHeight w:val="260" w:hRule="atLeast"/>
                    </w:trPr>
                    <w:tc>
                      <w:tcPr>
                        <w:tcW w:w="580" w:type="dxa"/>
                      </w:tcPr>
                      <w:p>
                        <w:pPr>
                          <w:pStyle w:val="TableParagraph"/>
                          <w:spacing w:line="240" w:lineRule="auto"/>
                          <w:rPr>
                            <w:rFonts w:ascii="Times New Roman"/>
                            <w:sz w:val="16"/>
                          </w:rPr>
                        </w:pPr>
                      </w:p>
                    </w:tc>
                    <w:tc>
                      <w:tcPr>
                        <w:tcW w:w="8151" w:type="dxa"/>
                      </w:tcPr>
                      <w:p>
                        <w:pPr>
                          <w:pStyle w:val="TableParagraph"/>
                          <w:spacing w:line="240" w:lineRule="exact"/>
                          <w:ind w:left="213"/>
                          <w:rPr>
                            <w:sz w:val="21"/>
                          </w:rPr>
                        </w:pPr>
                        <w:r>
                          <w:rPr>
                            <w:w w:val="105"/>
                            <w:sz w:val="21"/>
                          </w:rPr>
                          <w:t>would </w:t>
                        </w:r>
                        <w:r>
                          <w:rPr>
                            <w:spacing w:val="-2"/>
                            <w:w w:val="105"/>
                            <w:sz w:val="21"/>
                          </w:rPr>
                          <w:t>not </w:t>
                        </w:r>
                        <w:r>
                          <w:rPr>
                            <w:w w:val="105"/>
                            <w:sz w:val="21"/>
                          </w:rPr>
                          <w:t>be resolved by </w:t>
                        </w:r>
                        <w:r>
                          <w:rPr>
                            <w:spacing w:val="-3"/>
                            <w:w w:val="105"/>
                            <w:sz w:val="21"/>
                          </w:rPr>
                          <w:t>introducing </w:t>
                        </w:r>
                        <w:r>
                          <w:rPr>
                            <w:w w:val="105"/>
                            <w:sz w:val="21"/>
                          </w:rPr>
                          <w:t>a list of </w:t>
                        </w:r>
                        <w:r>
                          <w:rPr>
                            <w:spacing w:val="-3"/>
                            <w:w w:val="105"/>
                            <w:sz w:val="21"/>
                          </w:rPr>
                          <w:t>eligible </w:t>
                        </w:r>
                        <w:r>
                          <w:rPr>
                            <w:spacing w:val="-5"/>
                            <w:w w:val="105"/>
                            <w:sz w:val="21"/>
                          </w:rPr>
                          <w:t>claimants.</w:t>
                        </w:r>
                        <w:r>
                          <w:rPr>
                            <w:spacing w:val="-5"/>
                            <w:w w:val="105"/>
                            <w:position w:val="7"/>
                            <w:sz w:val="12"/>
                          </w:rPr>
                          <w:t>131 </w:t>
                        </w:r>
                        <w:r>
                          <w:rPr>
                            <w:w w:val="105"/>
                            <w:sz w:val="21"/>
                          </w:rPr>
                          <w:t>Some </w:t>
                        </w:r>
                        <w:r>
                          <w:rPr>
                            <w:spacing w:val="-3"/>
                            <w:w w:val="105"/>
                            <w:sz w:val="21"/>
                          </w:rPr>
                          <w:t>submissions were</w:t>
                        </w:r>
                      </w:p>
                    </w:tc>
                  </w:tr>
                  <w:tr>
                    <w:trPr>
                      <w:trHeight w:val="259" w:hRule="atLeast"/>
                    </w:trPr>
                    <w:tc>
                      <w:tcPr>
                        <w:tcW w:w="580" w:type="dxa"/>
                      </w:tcPr>
                      <w:p>
                        <w:pPr>
                          <w:pStyle w:val="TableParagraph"/>
                          <w:spacing w:line="240" w:lineRule="auto"/>
                          <w:rPr>
                            <w:rFonts w:ascii="Times New Roman"/>
                            <w:sz w:val="16"/>
                          </w:rPr>
                        </w:pPr>
                      </w:p>
                    </w:tc>
                    <w:tc>
                      <w:tcPr>
                        <w:tcW w:w="8151" w:type="dxa"/>
                      </w:tcPr>
                      <w:p>
                        <w:pPr>
                          <w:pStyle w:val="TableParagraph"/>
                          <w:spacing w:line="240" w:lineRule="exact"/>
                          <w:ind w:left="213"/>
                          <w:rPr>
                            <w:sz w:val="21"/>
                          </w:rPr>
                        </w:pPr>
                        <w:r>
                          <w:rPr>
                            <w:spacing w:val="-3"/>
                            <w:w w:val="105"/>
                            <w:sz w:val="21"/>
                          </w:rPr>
                          <w:t>concerned that introducing </w:t>
                        </w:r>
                        <w:r>
                          <w:rPr>
                            <w:w w:val="105"/>
                            <w:sz w:val="21"/>
                          </w:rPr>
                          <w:t>a list of </w:t>
                        </w:r>
                        <w:r>
                          <w:rPr>
                            <w:spacing w:val="-3"/>
                            <w:w w:val="105"/>
                            <w:sz w:val="21"/>
                          </w:rPr>
                          <w:t>eligible claimants </w:t>
                        </w:r>
                        <w:r>
                          <w:rPr>
                            <w:w w:val="105"/>
                            <w:sz w:val="21"/>
                          </w:rPr>
                          <w:t>would </w:t>
                        </w:r>
                        <w:r>
                          <w:rPr>
                            <w:spacing w:val="-3"/>
                            <w:w w:val="105"/>
                            <w:sz w:val="21"/>
                          </w:rPr>
                          <w:t>arbitrarily exclude </w:t>
                        </w:r>
                        <w:r>
                          <w:rPr>
                            <w:w w:val="105"/>
                            <w:sz w:val="21"/>
                          </w:rPr>
                          <w:t>otherwise</w:t>
                        </w:r>
                      </w:p>
                    </w:tc>
                  </w:tr>
                  <w:tr>
                    <w:trPr>
                      <w:trHeight w:val="330" w:hRule="atLeast"/>
                    </w:trPr>
                    <w:tc>
                      <w:tcPr>
                        <w:tcW w:w="580" w:type="dxa"/>
                        <w:tcBorders>
                          <w:bottom w:val="single" w:sz="8" w:space="0" w:color="F9CECA"/>
                        </w:tcBorders>
                      </w:tcPr>
                      <w:p>
                        <w:pPr>
                          <w:pStyle w:val="TableParagraph"/>
                          <w:spacing w:line="240" w:lineRule="auto"/>
                          <w:rPr>
                            <w:rFonts w:ascii="Times New Roman"/>
                            <w:sz w:val="16"/>
                          </w:rPr>
                        </w:pPr>
                      </w:p>
                    </w:tc>
                    <w:tc>
                      <w:tcPr>
                        <w:tcW w:w="8151" w:type="dxa"/>
                        <w:tcBorders>
                          <w:bottom w:val="single" w:sz="8" w:space="0" w:color="F9CECA"/>
                        </w:tcBorders>
                      </w:tcPr>
                      <w:p>
                        <w:pPr>
                          <w:pStyle w:val="TableParagraph"/>
                          <w:spacing w:line="256" w:lineRule="exact"/>
                          <w:ind w:left="213"/>
                          <w:rPr>
                            <w:sz w:val="12"/>
                          </w:rPr>
                        </w:pPr>
                        <w:r>
                          <w:rPr>
                            <w:w w:val="105"/>
                            <w:sz w:val="21"/>
                          </w:rPr>
                          <w:t>meritorious claims.</w:t>
                        </w:r>
                        <w:r>
                          <w:rPr>
                            <w:w w:val="105"/>
                            <w:position w:val="7"/>
                            <w:sz w:val="12"/>
                          </w:rPr>
                          <w:t>132</w:t>
                        </w:r>
                      </w:p>
                    </w:tc>
                  </w:tr>
                  <w:tr>
                    <w:trPr>
                      <w:trHeight w:val="306" w:hRule="atLeast"/>
                    </w:trPr>
                    <w:tc>
                      <w:tcPr>
                        <w:tcW w:w="580" w:type="dxa"/>
                        <w:tcBorders>
                          <w:top w:val="single" w:sz="8" w:space="0" w:color="F9CECA"/>
                        </w:tcBorders>
                      </w:tcPr>
                      <w:p>
                        <w:pPr>
                          <w:pStyle w:val="TableParagraph"/>
                          <w:spacing w:line="240" w:lineRule="auto" w:before="11"/>
                          <w:rPr>
                            <w:b/>
                            <w:sz w:val="11"/>
                          </w:rPr>
                        </w:pPr>
                      </w:p>
                      <w:p>
                        <w:pPr>
                          <w:pStyle w:val="TableParagraph"/>
                          <w:spacing w:before="1"/>
                          <w:rPr>
                            <w:sz w:val="13"/>
                          </w:rPr>
                        </w:pPr>
                        <w:r>
                          <w:rPr>
                            <w:w w:val="110"/>
                            <w:sz w:val="13"/>
                          </w:rPr>
                          <w:t>118</w:t>
                        </w:r>
                      </w:p>
                    </w:tc>
                    <w:tc>
                      <w:tcPr>
                        <w:tcW w:w="8151" w:type="dxa"/>
                        <w:tcBorders>
                          <w:top w:val="single" w:sz="8" w:space="0" w:color="F9CECA"/>
                        </w:tcBorders>
                      </w:tcPr>
                      <w:p>
                        <w:pPr>
                          <w:pStyle w:val="TableParagraph"/>
                          <w:spacing w:line="240" w:lineRule="auto" w:before="11"/>
                          <w:rPr>
                            <w:b/>
                            <w:sz w:val="11"/>
                          </w:rPr>
                        </w:pPr>
                      </w:p>
                      <w:p>
                        <w:pPr>
                          <w:pStyle w:val="TableParagraph"/>
                          <w:spacing w:before="1"/>
                          <w:ind w:left="213"/>
                          <w:rPr>
                            <w:sz w:val="13"/>
                          </w:rPr>
                        </w:pPr>
                        <w:r>
                          <w:rPr>
                            <w:sz w:val="13"/>
                          </w:rPr>
                          <w:t>Ibid s 59(1)(b).</w:t>
                        </w:r>
                      </w:p>
                    </w:tc>
                  </w:tr>
                  <w:tr>
                    <w:trPr>
                      <w:trHeight w:val="160" w:hRule="atLeast"/>
                    </w:trPr>
                    <w:tc>
                      <w:tcPr>
                        <w:tcW w:w="580" w:type="dxa"/>
                      </w:tcPr>
                      <w:p>
                        <w:pPr>
                          <w:pStyle w:val="TableParagraph"/>
                          <w:rPr>
                            <w:sz w:val="13"/>
                          </w:rPr>
                        </w:pPr>
                        <w:r>
                          <w:rPr>
                            <w:w w:val="110"/>
                            <w:sz w:val="13"/>
                          </w:rPr>
                          <w:t>119</w:t>
                        </w:r>
                      </w:p>
                    </w:tc>
                    <w:tc>
                      <w:tcPr>
                        <w:tcW w:w="8151" w:type="dxa"/>
                      </w:tcPr>
                      <w:p>
                        <w:pPr>
                          <w:pStyle w:val="TableParagraph"/>
                          <w:ind w:left="213"/>
                          <w:rPr>
                            <w:sz w:val="13"/>
                          </w:rPr>
                        </w:pPr>
                        <w:r>
                          <w:rPr>
                            <w:i/>
                            <w:w w:val="105"/>
                            <w:sz w:val="13"/>
                          </w:rPr>
                          <w:t>Diver v Neal </w:t>
                        </w:r>
                        <w:r>
                          <w:rPr>
                            <w:w w:val="105"/>
                            <w:sz w:val="13"/>
                          </w:rPr>
                          <w:t>[2009] NSWCA 54 (18 March 2009) [8] (Basten JA, Allsop P and Ipp JA agreeing), citing </w:t>
                        </w:r>
                        <w:r>
                          <w:rPr>
                            <w:i/>
                            <w:w w:val="105"/>
                            <w:sz w:val="13"/>
                          </w:rPr>
                          <w:t>Churton v Christian </w:t>
                        </w:r>
                        <w:r>
                          <w:rPr>
                            <w:w w:val="105"/>
                            <w:sz w:val="13"/>
                          </w:rPr>
                          <w:t>(1988) 13 NSWLR</w:t>
                        </w:r>
                      </w:p>
                    </w:tc>
                  </w:tr>
                  <w:tr>
                    <w:trPr>
                      <w:trHeight w:val="160" w:hRule="atLeast"/>
                    </w:trPr>
                    <w:tc>
                      <w:tcPr>
                        <w:tcW w:w="580" w:type="dxa"/>
                      </w:tcPr>
                      <w:p>
                        <w:pPr>
                          <w:pStyle w:val="TableParagraph"/>
                          <w:spacing w:line="240" w:lineRule="auto"/>
                          <w:rPr>
                            <w:rFonts w:ascii="Times New Roman"/>
                            <w:sz w:val="10"/>
                          </w:rPr>
                        </w:pPr>
                      </w:p>
                    </w:tc>
                    <w:tc>
                      <w:tcPr>
                        <w:tcW w:w="8151" w:type="dxa"/>
                      </w:tcPr>
                      <w:p>
                        <w:pPr>
                          <w:pStyle w:val="TableParagraph"/>
                          <w:ind w:left="213"/>
                          <w:rPr>
                            <w:sz w:val="13"/>
                          </w:rPr>
                        </w:pPr>
                        <w:r>
                          <w:rPr>
                            <w:w w:val="105"/>
                            <w:sz w:val="13"/>
                          </w:rPr>
                          <w:t>241, 252, in which Priestly JA applied the reasoning of </w:t>
                        </w:r>
                        <w:r>
                          <w:rPr>
                            <w:i/>
                            <w:w w:val="105"/>
                            <w:sz w:val="13"/>
                          </w:rPr>
                          <w:t>Re Fulop (decd) </w:t>
                        </w:r>
                        <w:r>
                          <w:rPr>
                            <w:w w:val="105"/>
                            <w:sz w:val="13"/>
                          </w:rPr>
                          <w:t>(1987) 8 NSWLR 679, 681 (McLelland J).</w:t>
                        </w:r>
                      </w:p>
                    </w:tc>
                  </w:tr>
                  <w:tr>
                    <w:trPr>
                      <w:trHeight w:val="160" w:hRule="atLeast"/>
                    </w:trPr>
                    <w:tc>
                      <w:tcPr>
                        <w:tcW w:w="580" w:type="dxa"/>
                      </w:tcPr>
                      <w:p>
                        <w:pPr>
                          <w:pStyle w:val="TableParagraph"/>
                          <w:rPr>
                            <w:sz w:val="13"/>
                          </w:rPr>
                        </w:pPr>
                        <w:r>
                          <w:rPr>
                            <w:w w:val="110"/>
                            <w:sz w:val="13"/>
                          </w:rPr>
                          <w:t>120</w:t>
                        </w:r>
                      </w:p>
                    </w:tc>
                    <w:tc>
                      <w:tcPr>
                        <w:tcW w:w="8151" w:type="dxa"/>
                      </w:tcPr>
                      <w:p>
                        <w:pPr>
                          <w:pStyle w:val="TableParagraph"/>
                          <w:ind w:left="213"/>
                          <w:rPr>
                            <w:sz w:val="13"/>
                          </w:rPr>
                        </w:pPr>
                        <w:r>
                          <w:rPr>
                            <w:i/>
                            <w:w w:val="105"/>
                            <w:sz w:val="13"/>
                          </w:rPr>
                          <w:t>Drury v Smith </w:t>
                        </w:r>
                        <w:r>
                          <w:rPr>
                            <w:w w:val="105"/>
                            <w:sz w:val="13"/>
                          </w:rPr>
                          <w:t>[2012] NSWSC 1067 (18 September 2012) [137] (Hallen AsJ); </w:t>
                        </w:r>
                        <w:r>
                          <w:rPr>
                            <w:i/>
                            <w:w w:val="105"/>
                            <w:sz w:val="13"/>
                          </w:rPr>
                          <w:t>Wilcox v Wilcox </w:t>
                        </w:r>
                        <w:r>
                          <w:rPr>
                            <w:w w:val="105"/>
                            <w:sz w:val="13"/>
                          </w:rPr>
                          <w:t>[2012] NSWSC 1138 (2 October 2012) [16]</w:t>
                        </w:r>
                      </w:p>
                    </w:tc>
                  </w:tr>
                  <w:tr>
                    <w:trPr>
                      <w:trHeight w:val="160" w:hRule="atLeast"/>
                    </w:trPr>
                    <w:tc>
                      <w:tcPr>
                        <w:tcW w:w="580" w:type="dxa"/>
                      </w:tcPr>
                      <w:p>
                        <w:pPr>
                          <w:pStyle w:val="TableParagraph"/>
                          <w:spacing w:line="240" w:lineRule="auto"/>
                          <w:rPr>
                            <w:rFonts w:ascii="Times New Roman"/>
                            <w:sz w:val="10"/>
                          </w:rPr>
                        </w:pPr>
                      </w:p>
                    </w:tc>
                    <w:tc>
                      <w:tcPr>
                        <w:tcW w:w="8151" w:type="dxa"/>
                      </w:tcPr>
                      <w:p>
                        <w:pPr>
                          <w:pStyle w:val="TableParagraph"/>
                          <w:ind w:left="213"/>
                          <w:rPr>
                            <w:sz w:val="13"/>
                          </w:rPr>
                        </w:pPr>
                        <w:r>
                          <w:rPr>
                            <w:w w:val="105"/>
                            <w:sz w:val="13"/>
                          </w:rPr>
                          <w:t>(Pembroke J); </w:t>
                        </w:r>
                        <w:r>
                          <w:rPr>
                            <w:i/>
                            <w:w w:val="105"/>
                            <w:sz w:val="13"/>
                          </w:rPr>
                          <w:t>Russell v NSW Trustee and Guardian </w:t>
                        </w:r>
                        <w:r>
                          <w:rPr>
                            <w:w w:val="105"/>
                            <w:sz w:val="13"/>
                          </w:rPr>
                          <w:t>[2013] NSWSC 370 (18 April 2013) [53] (Hallen AsJ).</w:t>
                        </w:r>
                      </w:p>
                    </w:tc>
                  </w:tr>
                  <w:tr>
                    <w:trPr>
                      <w:trHeight w:val="160" w:hRule="atLeast"/>
                    </w:trPr>
                    <w:tc>
                      <w:tcPr>
                        <w:tcW w:w="580" w:type="dxa"/>
                      </w:tcPr>
                      <w:p>
                        <w:pPr>
                          <w:pStyle w:val="TableParagraph"/>
                          <w:rPr>
                            <w:sz w:val="13"/>
                          </w:rPr>
                        </w:pPr>
                        <w:r>
                          <w:rPr>
                            <w:w w:val="110"/>
                            <w:sz w:val="13"/>
                          </w:rPr>
                          <w:t>121</w:t>
                        </w:r>
                      </w:p>
                    </w:tc>
                    <w:tc>
                      <w:tcPr>
                        <w:tcW w:w="8151" w:type="dxa"/>
                      </w:tcPr>
                      <w:p>
                        <w:pPr>
                          <w:pStyle w:val="TableParagraph"/>
                          <w:ind w:left="213"/>
                          <w:rPr>
                            <w:sz w:val="13"/>
                          </w:rPr>
                        </w:pPr>
                        <w:r>
                          <w:rPr>
                            <w:i/>
                            <w:w w:val="105"/>
                            <w:sz w:val="13"/>
                          </w:rPr>
                          <w:t>Diver v Neal </w:t>
                        </w:r>
                        <w:r>
                          <w:rPr>
                            <w:w w:val="105"/>
                            <w:sz w:val="13"/>
                          </w:rPr>
                          <w:t>[2009] NSWCA 54 (18 March 2009) [8] (Basten JA, Allsop P and Ipp JA agreeing).</w:t>
                        </w:r>
                      </w:p>
                    </w:tc>
                  </w:tr>
                  <w:tr>
                    <w:trPr>
                      <w:trHeight w:val="160" w:hRule="atLeast"/>
                    </w:trPr>
                    <w:tc>
                      <w:tcPr>
                        <w:tcW w:w="580" w:type="dxa"/>
                      </w:tcPr>
                      <w:p>
                        <w:pPr>
                          <w:pStyle w:val="TableParagraph"/>
                          <w:rPr>
                            <w:sz w:val="13"/>
                          </w:rPr>
                        </w:pPr>
                        <w:r>
                          <w:rPr>
                            <w:w w:val="110"/>
                            <w:sz w:val="13"/>
                          </w:rPr>
                          <w:t>122</w:t>
                        </w:r>
                      </w:p>
                    </w:tc>
                    <w:tc>
                      <w:tcPr>
                        <w:tcW w:w="8151" w:type="dxa"/>
                      </w:tcPr>
                      <w:p>
                        <w:pPr>
                          <w:pStyle w:val="TableParagraph"/>
                          <w:ind w:left="213"/>
                          <w:rPr>
                            <w:i/>
                            <w:sz w:val="13"/>
                          </w:rPr>
                        </w:pPr>
                        <w:r>
                          <w:rPr>
                            <w:i/>
                            <w:w w:val="105"/>
                            <w:sz w:val="13"/>
                          </w:rPr>
                          <w:t>Re Fulop (decd) </w:t>
                        </w:r>
                        <w:r>
                          <w:rPr>
                            <w:w w:val="105"/>
                            <w:sz w:val="13"/>
                          </w:rPr>
                          <w:t>(1987) 8 NSWLR 679, 681 (McLelland J). This case was decided under the equivalent provision of the former </w:t>
                        </w:r>
                        <w:r>
                          <w:rPr>
                            <w:i/>
                            <w:w w:val="105"/>
                            <w:sz w:val="13"/>
                          </w:rPr>
                          <w:t>Family</w:t>
                        </w:r>
                      </w:p>
                    </w:tc>
                  </w:tr>
                  <w:tr>
                    <w:trPr>
                      <w:trHeight w:val="160" w:hRule="atLeast"/>
                    </w:trPr>
                    <w:tc>
                      <w:tcPr>
                        <w:tcW w:w="580" w:type="dxa"/>
                      </w:tcPr>
                      <w:p>
                        <w:pPr>
                          <w:pStyle w:val="TableParagraph"/>
                          <w:spacing w:line="240" w:lineRule="auto"/>
                          <w:rPr>
                            <w:rFonts w:ascii="Times New Roman"/>
                            <w:sz w:val="10"/>
                          </w:rPr>
                        </w:pPr>
                      </w:p>
                    </w:tc>
                    <w:tc>
                      <w:tcPr>
                        <w:tcW w:w="8151" w:type="dxa"/>
                      </w:tcPr>
                      <w:p>
                        <w:pPr>
                          <w:pStyle w:val="TableParagraph"/>
                          <w:ind w:left="213"/>
                          <w:rPr>
                            <w:sz w:val="13"/>
                          </w:rPr>
                        </w:pPr>
                        <w:r>
                          <w:rPr>
                            <w:i/>
                            <w:w w:val="105"/>
                            <w:sz w:val="13"/>
                          </w:rPr>
                          <w:t>Provision Act 1982 </w:t>
                        </w:r>
                        <w:r>
                          <w:rPr>
                            <w:w w:val="105"/>
                            <w:sz w:val="13"/>
                          </w:rPr>
                          <w:t>(NSW) and was approved in substance by the Court of Appeal in </w:t>
                        </w:r>
                        <w:r>
                          <w:rPr>
                            <w:i/>
                            <w:w w:val="105"/>
                            <w:sz w:val="13"/>
                          </w:rPr>
                          <w:t>Churton v Christian </w:t>
                        </w:r>
                        <w:r>
                          <w:rPr>
                            <w:w w:val="105"/>
                            <w:sz w:val="13"/>
                          </w:rPr>
                          <w:t>(1988) 13 NSWLR 241.</w:t>
                        </w:r>
                      </w:p>
                    </w:tc>
                  </w:tr>
                  <w:tr>
                    <w:trPr>
                      <w:trHeight w:val="160" w:hRule="atLeast"/>
                    </w:trPr>
                    <w:tc>
                      <w:tcPr>
                        <w:tcW w:w="580" w:type="dxa"/>
                      </w:tcPr>
                      <w:p>
                        <w:pPr>
                          <w:pStyle w:val="TableParagraph"/>
                          <w:spacing w:line="240" w:lineRule="auto"/>
                          <w:rPr>
                            <w:rFonts w:ascii="Times New Roman"/>
                            <w:sz w:val="10"/>
                          </w:rPr>
                        </w:pPr>
                      </w:p>
                    </w:tc>
                    <w:tc>
                      <w:tcPr>
                        <w:tcW w:w="8151" w:type="dxa"/>
                      </w:tcPr>
                      <w:p>
                        <w:pPr>
                          <w:pStyle w:val="TableParagraph"/>
                          <w:ind w:left="213"/>
                          <w:rPr>
                            <w:sz w:val="13"/>
                          </w:rPr>
                        </w:pPr>
                        <w:r>
                          <w:rPr>
                            <w:w w:val="105"/>
                            <w:sz w:val="13"/>
                          </w:rPr>
                          <w:t>See </w:t>
                        </w:r>
                        <w:r>
                          <w:rPr>
                            <w:i/>
                            <w:w w:val="105"/>
                            <w:sz w:val="13"/>
                          </w:rPr>
                          <w:t>Drury v Smith </w:t>
                        </w:r>
                        <w:r>
                          <w:rPr>
                            <w:w w:val="105"/>
                            <w:sz w:val="13"/>
                          </w:rPr>
                          <w:t>[2012] NSWSC 1067 (18 September 2012) [137] (Hallen AsJ); </w:t>
                        </w:r>
                        <w:r>
                          <w:rPr>
                            <w:i/>
                            <w:w w:val="105"/>
                            <w:sz w:val="13"/>
                          </w:rPr>
                          <w:t>Diver v Neal </w:t>
                        </w:r>
                        <w:r>
                          <w:rPr>
                            <w:w w:val="105"/>
                            <w:sz w:val="13"/>
                          </w:rPr>
                          <w:t>[2009] NSWCA 54 (18 March 2009) [8]</w:t>
                        </w:r>
                      </w:p>
                    </w:tc>
                  </w:tr>
                  <w:tr>
                    <w:trPr>
                      <w:trHeight w:val="159" w:hRule="atLeast"/>
                    </w:trPr>
                    <w:tc>
                      <w:tcPr>
                        <w:tcW w:w="580" w:type="dxa"/>
                      </w:tcPr>
                      <w:p>
                        <w:pPr>
                          <w:pStyle w:val="TableParagraph"/>
                          <w:spacing w:line="240" w:lineRule="auto"/>
                          <w:rPr>
                            <w:rFonts w:ascii="Times New Roman"/>
                            <w:sz w:val="10"/>
                          </w:rPr>
                        </w:pPr>
                      </w:p>
                    </w:tc>
                    <w:tc>
                      <w:tcPr>
                        <w:tcW w:w="8151" w:type="dxa"/>
                      </w:tcPr>
                      <w:p>
                        <w:pPr>
                          <w:pStyle w:val="TableParagraph"/>
                          <w:ind w:left="213"/>
                          <w:rPr>
                            <w:sz w:val="13"/>
                          </w:rPr>
                        </w:pPr>
                        <w:r>
                          <w:rPr>
                            <w:w w:val="105"/>
                            <w:sz w:val="13"/>
                          </w:rPr>
                          <w:t>(Basten JA, Allsop P and Ipp JA agreeing).</w:t>
                        </w:r>
                      </w:p>
                    </w:tc>
                  </w:tr>
                  <w:tr>
                    <w:trPr>
                      <w:trHeight w:val="160" w:hRule="atLeast"/>
                    </w:trPr>
                    <w:tc>
                      <w:tcPr>
                        <w:tcW w:w="580" w:type="dxa"/>
                      </w:tcPr>
                      <w:p>
                        <w:pPr>
                          <w:pStyle w:val="TableParagraph"/>
                          <w:rPr>
                            <w:sz w:val="13"/>
                          </w:rPr>
                        </w:pPr>
                        <w:r>
                          <w:rPr>
                            <w:w w:val="110"/>
                            <w:sz w:val="13"/>
                          </w:rPr>
                          <w:t>123</w:t>
                        </w:r>
                      </w:p>
                    </w:tc>
                    <w:tc>
                      <w:tcPr>
                        <w:tcW w:w="8151" w:type="dxa"/>
                      </w:tcPr>
                      <w:p>
                        <w:pPr>
                          <w:pStyle w:val="TableParagraph"/>
                          <w:ind w:left="213"/>
                          <w:rPr>
                            <w:sz w:val="13"/>
                          </w:rPr>
                        </w:pPr>
                        <w:r>
                          <w:rPr>
                            <w:w w:val="105"/>
                            <w:sz w:val="13"/>
                          </w:rPr>
                          <w:t>See, eg, </w:t>
                        </w:r>
                        <w:r>
                          <w:rPr>
                            <w:i/>
                            <w:w w:val="105"/>
                            <w:sz w:val="13"/>
                          </w:rPr>
                          <w:t>Slack v Rogan </w:t>
                        </w:r>
                        <w:r>
                          <w:rPr>
                            <w:w w:val="105"/>
                            <w:sz w:val="13"/>
                          </w:rPr>
                          <w:t>[2013] NSWSC 522 (10 May 2013) [120].</w:t>
                        </w:r>
                      </w:p>
                    </w:tc>
                  </w:tr>
                  <w:tr>
                    <w:trPr>
                      <w:trHeight w:val="160" w:hRule="atLeast"/>
                    </w:trPr>
                    <w:tc>
                      <w:tcPr>
                        <w:tcW w:w="580" w:type="dxa"/>
                      </w:tcPr>
                      <w:p>
                        <w:pPr>
                          <w:pStyle w:val="TableParagraph"/>
                          <w:rPr>
                            <w:sz w:val="13"/>
                          </w:rPr>
                        </w:pPr>
                        <w:r>
                          <w:rPr>
                            <w:w w:val="110"/>
                            <w:sz w:val="13"/>
                          </w:rPr>
                          <w:t>124</w:t>
                        </w:r>
                      </w:p>
                    </w:tc>
                    <w:tc>
                      <w:tcPr>
                        <w:tcW w:w="8151" w:type="dxa"/>
                      </w:tcPr>
                      <w:p>
                        <w:pPr>
                          <w:pStyle w:val="TableParagraph"/>
                          <w:ind w:left="213"/>
                          <w:rPr>
                            <w:sz w:val="13"/>
                          </w:rPr>
                        </w:pPr>
                        <w:r>
                          <w:rPr>
                            <w:w w:val="105"/>
                            <w:sz w:val="13"/>
                          </w:rPr>
                          <w:t>See, eg, </w:t>
                        </w:r>
                        <w:r>
                          <w:rPr>
                            <w:i/>
                            <w:w w:val="105"/>
                            <w:sz w:val="13"/>
                          </w:rPr>
                          <w:t>Marando v Rizzo </w:t>
                        </w:r>
                        <w:r>
                          <w:rPr>
                            <w:w w:val="105"/>
                            <w:sz w:val="13"/>
                          </w:rPr>
                          <w:t>[2012] NSWSC 739 (5 July 2012) [61] (Hallen AsJ).</w:t>
                        </w:r>
                      </w:p>
                    </w:tc>
                  </w:tr>
                  <w:tr>
                    <w:trPr>
                      <w:trHeight w:val="160" w:hRule="atLeast"/>
                    </w:trPr>
                    <w:tc>
                      <w:tcPr>
                        <w:tcW w:w="580" w:type="dxa"/>
                      </w:tcPr>
                      <w:p>
                        <w:pPr>
                          <w:pStyle w:val="TableParagraph"/>
                          <w:rPr>
                            <w:sz w:val="13"/>
                          </w:rPr>
                        </w:pPr>
                        <w:r>
                          <w:rPr>
                            <w:w w:val="110"/>
                            <w:sz w:val="13"/>
                          </w:rPr>
                          <w:t>125</w:t>
                        </w:r>
                      </w:p>
                    </w:tc>
                    <w:tc>
                      <w:tcPr>
                        <w:tcW w:w="8151" w:type="dxa"/>
                      </w:tcPr>
                      <w:p>
                        <w:pPr>
                          <w:pStyle w:val="TableParagraph"/>
                          <w:ind w:left="214"/>
                          <w:rPr>
                            <w:sz w:val="13"/>
                          </w:rPr>
                        </w:pPr>
                        <w:r>
                          <w:rPr>
                            <w:w w:val="105"/>
                            <w:sz w:val="13"/>
                          </w:rPr>
                          <w:t>See, eg, </w:t>
                        </w:r>
                        <w:r>
                          <w:rPr>
                            <w:i/>
                            <w:w w:val="105"/>
                            <w:sz w:val="13"/>
                          </w:rPr>
                          <w:t>Popescu v Borun </w:t>
                        </w:r>
                        <w:r>
                          <w:rPr>
                            <w:w w:val="105"/>
                            <w:sz w:val="13"/>
                          </w:rPr>
                          <w:t>[2011] NSWSC 1532 (16 December 2011) [98]–[99] (Macready AsJ).</w:t>
                        </w:r>
                      </w:p>
                    </w:tc>
                  </w:tr>
                  <w:tr>
                    <w:trPr>
                      <w:trHeight w:val="160" w:hRule="atLeast"/>
                    </w:trPr>
                    <w:tc>
                      <w:tcPr>
                        <w:tcW w:w="580" w:type="dxa"/>
                      </w:tcPr>
                      <w:p>
                        <w:pPr>
                          <w:pStyle w:val="TableParagraph"/>
                          <w:rPr>
                            <w:sz w:val="13"/>
                          </w:rPr>
                        </w:pPr>
                        <w:r>
                          <w:rPr>
                            <w:w w:val="110"/>
                            <w:sz w:val="13"/>
                          </w:rPr>
                          <w:t>126</w:t>
                        </w:r>
                      </w:p>
                    </w:tc>
                    <w:tc>
                      <w:tcPr>
                        <w:tcW w:w="8151" w:type="dxa"/>
                      </w:tcPr>
                      <w:p>
                        <w:pPr>
                          <w:pStyle w:val="TableParagraph"/>
                          <w:ind w:left="214"/>
                          <w:rPr>
                            <w:sz w:val="13"/>
                          </w:rPr>
                        </w:pPr>
                        <w:r>
                          <w:rPr>
                            <w:i/>
                            <w:w w:val="105"/>
                            <w:sz w:val="13"/>
                          </w:rPr>
                          <w:t>Succession Act 2006 </w:t>
                        </w:r>
                        <w:r>
                          <w:rPr>
                            <w:w w:val="105"/>
                            <w:sz w:val="13"/>
                          </w:rPr>
                          <w:t>(NSW) ss 60(1)(a), (2). The court may also have regard to these criteria when determining whether to make a family</w:t>
                        </w:r>
                      </w:p>
                    </w:tc>
                  </w:tr>
                  <w:tr>
                    <w:trPr>
                      <w:trHeight w:val="159" w:hRule="atLeast"/>
                    </w:trPr>
                    <w:tc>
                      <w:tcPr>
                        <w:tcW w:w="580" w:type="dxa"/>
                      </w:tcPr>
                      <w:p>
                        <w:pPr>
                          <w:pStyle w:val="TableParagraph"/>
                          <w:spacing w:line="240" w:lineRule="auto"/>
                          <w:rPr>
                            <w:rFonts w:ascii="Times New Roman"/>
                            <w:sz w:val="10"/>
                          </w:rPr>
                        </w:pPr>
                      </w:p>
                    </w:tc>
                    <w:tc>
                      <w:tcPr>
                        <w:tcW w:w="8151" w:type="dxa"/>
                      </w:tcPr>
                      <w:p>
                        <w:pPr>
                          <w:pStyle w:val="TableParagraph"/>
                          <w:ind w:left="214"/>
                          <w:rPr>
                            <w:sz w:val="13"/>
                          </w:rPr>
                        </w:pPr>
                        <w:r>
                          <w:rPr>
                            <w:sz w:val="13"/>
                          </w:rPr>
                          <w:t>provision order and the nature of any such order: s 60(1)(b).</w:t>
                        </w:r>
                      </w:p>
                    </w:tc>
                  </w:tr>
                  <w:tr>
                    <w:trPr>
                      <w:trHeight w:val="160" w:hRule="atLeast"/>
                    </w:trPr>
                    <w:tc>
                      <w:tcPr>
                        <w:tcW w:w="580" w:type="dxa"/>
                      </w:tcPr>
                      <w:p>
                        <w:pPr>
                          <w:pStyle w:val="TableParagraph"/>
                          <w:rPr>
                            <w:sz w:val="13"/>
                          </w:rPr>
                        </w:pPr>
                        <w:r>
                          <w:rPr>
                            <w:w w:val="110"/>
                            <w:sz w:val="13"/>
                          </w:rPr>
                          <w:t>127</w:t>
                        </w:r>
                      </w:p>
                    </w:tc>
                    <w:tc>
                      <w:tcPr>
                        <w:tcW w:w="8151" w:type="dxa"/>
                      </w:tcPr>
                      <w:p>
                        <w:pPr>
                          <w:pStyle w:val="TableParagraph"/>
                          <w:ind w:left="214"/>
                          <w:rPr>
                            <w:sz w:val="13"/>
                          </w:rPr>
                        </w:pPr>
                        <w:r>
                          <w:rPr>
                            <w:i/>
                            <w:w w:val="105"/>
                            <w:sz w:val="13"/>
                          </w:rPr>
                          <w:t>Administration and Probate Act 1958 </w:t>
                        </w:r>
                        <w:r>
                          <w:rPr>
                            <w:w w:val="105"/>
                            <w:sz w:val="13"/>
                          </w:rPr>
                          <w:t>(Vic) ss 91(4)(e)–(p).</w:t>
                        </w:r>
                      </w:p>
                    </w:tc>
                  </w:tr>
                  <w:tr>
                    <w:trPr>
                      <w:trHeight w:val="160" w:hRule="atLeast"/>
                    </w:trPr>
                    <w:tc>
                      <w:tcPr>
                        <w:tcW w:w="580" w:type="dxa"/>
                      </w:tcPr>
                      <w:p>
                        <w:pPr>
                          <w:pStyle w:val="TableParagraph"/>
                          <w:rPr>
                            <w:sz w:val="13"/>
                          </w:rPr>
                        </w:pPr>
                        <w:r>
                          <w:rPr>
                            <w:w w:val="110"/>
                            <w:sz w:val="13"/>
                          </w:rPr>
                          <w:t>128</w:t>
                        </w:r>
                      </w:p>
                    </w:tc>
                    <w:tc>
                      <w:tcPr>
                        <w:tcW w:w="8151" w:type="dxa"/>
                      </w:tcPr>
                      <w:p>
                        <w:pPr>
                          <w:pStyle w:val="TableParagraph"/>
                          <w:ind w:left="214"/>
                          <w:rPr>
                            <w:sz w:val="13"/>
                          </w:rPr>
                        </w:pPr>
                        <w:r>
                          <w:rPr>
                            <w:w w:val="105"/>
                            <w:sz w:val="13"/>
                          </w:rPr>
                          <w:t>Victorian Law Reform Commission, above n 2, 39.</w:t>
                        </w:r>
                      </w:p>
                    </w:tc>
                  </w:tr>
                  <w:tr>
                    <w:trPr>
                      <w:trHeight w:val="160" w:hRule="atLeast"/>
                    </w:trPr>
                    <w:tc>
                      <w:tcPr>
                        <w:tcW w:w="580" w:type="dxa"/>
                      </w:tcPr>
                      <w:p>
                        <w:pPr>
                          <w:pStyle w:val="TableParagraph"/>
                          <w:rPr>
                            <w:sz w:val="13"/>
                          </w:rPr>
                        </w:pPr>
                        <w:r>
                          <w:rPr>
                            <w:w w:val="110"/>
                            <w:sz w:val="13"/>
                          </w:rPr>
                          <w:t>129</w:t>
                        </w:r>
                      </w:p>
                    </w:tc>
                    <w:tc>
                      <w:tcPr>
                        <w:tcW w:w="8151" w:type="dxa"/>
                      </w:tcPr>
                      <w:p>
                        <w:pPr>
                          <w:pStyle w:val="TableParagraph"/>
                          <w:ind w:left="214"/>
                          <w:rPr>
                            <w:sz w:val="13"/>
                          </w:rPr>
                        </w:pPr>
                        <w:r>
                          <w:rPr>
                            <w:w w:val="105"/>
                            <w:sz w:val="13"/>
                          </w:rPr>
                          <w:t>Submissions 10 (Shane Newton); 25 (Moores Legal); 26 (Rigby Cooke Lawyers); 35 (Andrew Verspaandonk); 39 (Carolyn Sparke).</w:t>
                        </w:r>
                      </w:p>
                    </w:tc>
                  </w:tr>
                  <w:tr>
                    <w:trPr>
                      <w:trHeight w:val="160" w:hRule="atLeast"/>
                    </w:trPr>
                    <w:tc>
                      <w:tcPr>
                        <w:tcW w:w="580" w:type="dxa"/>
                      </w:tcPr>
                      <w:p>
                        <w:pPr>
                          <w:pStyle w:val="TableParagraph"/>
                          <w:rPr>
                            <w:sz w:val="13"/>
                          </w:rPr>
                        </w:pPr>
                        <w:r>
                          <w:rPr>
                            <w:w w:val="110"/>
                            <w:sz w:val="13"/>
                          </w:rPr>
                          <w:t>130</w:t>
                        </w:r>
                      </w:p>
                    </w:tc>
                    <w:tc>
                      <w:tcPr>
                        <w:tcW w:w="8151" w:type="dxa"/>
                      </w:tcPr>
                      <w:p>
                        <w:pPr>
                          <w:pStyle w:val="TableParagraph"/>
                          <w:ind w:left="214"/>
                          <w:rPr>
                            <w:sz w:val="13"/>
                          </w:rPr>
                        </w:pPr>
                        <w:r>
                          <w:rPr>
                            <w:w w:val="105"/>
                            <w:sz w:val="13"/>
                          </w:rPr>
                          <w:t>Submissions 10 (Shane Newton); 35 (Andrew Verspaandonk); 39 (Carolyn Sparke).</w:t>
                        </w:r>
                      </w:p>
                    </w:tc>
                  </w:tr>
                  <w:tr>
                    <w:trPr>
                      <w:trHeight w:val="160" w:hRule="atLeast"/>
                    </w:trPr>
                    <w:tc>
                      <w:tcPr>
                        <w:tcW w:w="580" w:type="dxa"/>
                      </w:tcPr>
                      <w:p>
                        <w:pPr>
                          <w:pStyle w:val="TableParagraph"/>
                          <w:rPr>
                            <w:sz w:val="13"/>
                          </w:rPr>
                        </w:pPr>
                        <w:r>
                          <w:rPr>
                            <w:w w:val="110"/>
                            <w:sz w:val="13"/>
                          </w:rPr>
                          <w:t>131</w:t>
                        </w:r>
                      </w:p>
                    </w:tc>
                    <w:tc>
                      <w:tcPr>
                        <w:tcW w:w="8151" w:type="dxa"/>
                      </w:tcPr>
                      <w:p>
                        <w:pPr>
                          <w:pStyle w:val="TableParagraph"/>
                          <w:ind w:left="214"/>
                          <w:rPr>
                            <w:sz w:val="13"/>
                          </w:rPr>
                        </w:pPr>
                        <w:r>
                          <w:rPr>
                            <w:w w:val="105"/>
                            <w:sz w:val="13"/>
                          </w:rPr>
                          <w:t>Submission 10 (Shane Newton).</w:t>
                        </w:r>
                      </w:p>
                    </w:tc>
                  </w:tr>
                  <w:tr>
                    <w:trPr>
                      <w:trHeight w:val="155" w:hRule="atLeast"/>
                    </w:trPr>
                    <w:tc>
                      <w:tcPr>
                        <w:tcW w:w="580" w:type="dxa"/>
                      </w:tcPr>
                      <w:p>
                        <w:pPr>
                          <w:pStyle w:val="TableParagraph"/>
                          <w:spacing w:line="135" w:lineRule="exact"/>
                          <w:rPr>
                            <w:sz w:val="13"/>
                          </w:rPr>
                        </w:pPr>
                        <w:r>
                          <w:rPr>
                            <w:w w:val="110"/>
                            <w:sz w:val="13"/>
                          </w:rPr>
                          <w:t>132</w:t>
                        </w:r>
                      </w:p>
                    </w:tc>
                    <w:tc>
                      <w:tcPr>
                        <w:tcW w:w="8151" w:type="dxa"/>
                      </w:tcPr>
                      <w:p>
                        <w:pPr>
                          <w:pStyle w:val="TableParagraph"/>
                          <w:spacing w:line="135" w:lineRule="exact"/>
                          <w:ind w:left="214"/>
                          <w:rPr>
                            <w:sz w:val="13"/>
                          </w:rPr>
                        </w:pPr>
                        <w:r>
                          <w:rPr>
                            <w:w w:val="105"/>
                            <w:sz w:val="13"/>
                          </w:rPr>
                          <w:t>Submissions 10 (Shane Newton); 30a (Law Institute of Victoria)—some members.</w:t>
                        </w:r>
                      </w:p>
                    </w:tc>
                  </w:tr>
                </w:tbl>
                <w:p>
                  <w:pPr>
                    <w:pStyle w:val="BodyText"/>
                  </w:pPr>
                </w:p>
              </w:txbxContent>
            </v:textbox>
            <w10:wrap type="none"/>
          </v:shape>
        </w:pict>
      </w:r>
      <w:bookmarkStart w:name="_TOC_250013" w:id="113"/>
      <w:bookmarkEnd w:id="113"/>
      <w:r>
        <w:rPr>
          <w:w w:val="115"/>
        </w:rPr>
        <w:t>Views and conclusions</w:t>
      </w: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before="6"/>
        <w:rPr>
          <w:b/>
          <w:sz w:val="29"/>
        </w:rPr>
      </w:pPr>
    </w:p>
    <w:p>
      <w:pPr>
        <w:spacing w:before="0"/>
        <w:ind w:left="0" w:right="609" w:firstLine="0"/>
        <w:jc w:val="right"/>
        <w:rPr>
          <w:b/>
          <w:sz w:val="24"/>
        </w:rPr>
      </w:pPr>
      <w:r>
        <w:rPr>
          <w:b/>
          <w:color w:val="EC5A4F"/>
          <w:w w:val="110"/>
          <w:sz w:val="24"/>
        </w:rPr>
        <w:t>111</w:t>
      </w:r>
    </w:p>
    <w:p>
      <w:pPr>
        <w:spacing w:after="0"/>
        <w:jc w:val="right"/>
        <w:rPr>
          <w:sz w:val="24"/>
        </w:rPr>
        <w:sectPr>
          <w:pgSz w:w="11910" w:h="16840"/>
          <w:pgMar w:header="805" w:footer="0" w:top="1360" w:bottom="0" w:left="0" w:right="0"/>
        </w:sectPr>
      </w:pPr>
    </w:p>
    <w:p>
      <w:pPr>
        <w:pStyle w:val="BodyText"/>
        <w:spacing w:before="9"/>
        <w:rPr>
          <w:b/>
          <w:sz w:val="22"/>
        </w:rPr>
      </w:pPr>
    </w:p>
    <w:p>
      <w:pPr>
        <w:pStyle w:val="ListParagraph"/>
        <w:numPr>
          <w:ilvl w:val="1"/>
          <w:numId w:val="82"/>
        </w:numPr>
        <w:tabs>
          <w:tab w:pos="2381" w:val="left" w:leader="none"/>
          <w:tab w:pos="2382" w:val="left" w:leader="none"/>
        </w:tabs>
        <w:spacing w:line="242" w:lineRule="auto" w:before="92" w:after="0"/>
        <w:ind w:left="2381" w:right="1650" w:hanging="794"/>
        <w:jc w:val="left"/>
        <w:rPr>
          <w:sz w:val="21"/>
        </w:rPr>
      </w:pPr>
      <w:r>
        <w:rPr>
          <w:spacing w:val="-3"/>
          <w:sz w:val="21"/>
        </w:rPr>
        <w:t>Barrister Andrew </w:t>
      </w:r>
      <w:r>
        <w:rPr>
          <w:spacing w:val="-4"/>
          <w:sz w:val="21"/>
        </w:rPr>
        <w:t>Verspaandonk </w:t>
      </w:r>
      <w:r>
        <w:rPr>
          <w:sz w:val="21"/>
        </w:rPr>
        <w:t>expressed the view </w:t>
      </w:r>
      <w:r>
        <w:rPr>
          <w:spacing w:val="-3"/>
          <w:sz w:val="21"/>
        </w:rPr>
        <w:t>that, given that </w:t>
      </w:r>
      <w:r>
        <w:rPr>
          <w:spacing w:val="-4"/>
          <w:sz w:val="21"/>
        </w:rPr>
        <w:t>claims have </w:t>
      </w:r>
      <w:r>
        <w:rPr>
          <w:spacing w:val="-3"/>
          <w:sz w:val="21"/>
        </w:rPr>
        <w:t>succeeded under</w:t>
      </w:r>
      <w:r>
        <w:rPr>
          <w:spacing w:val="14"/>
          <w:sz w:val="21"/>
        </w:rPr>
        <w:t> </w:t>
      </w:r>
      <w:r>
        <w:rPr>
          <w:sz w:val="21"/>
        </w:rPr>
        <w:t>the</w:t>
      </w:r>
      <w:r>
        <w:rPr>
          <w:spacing w:val="15"/>
          <w:sz w:val="21"/>
        </w:rPr>
        <w:t> </w:t>
      </w:r>
      <w:r>
        <w:rPr>
          <w:spacing w:val="-4"/>
          <w:sz w:val="21"/>
        </w:rPr>
        <w:t>current</w:t>
      </w:r>
      <w:r>
        <w:rPr>
          <w:spacing w:val="15"/>
          <w:sz w:val="21"/>
        </w:rPr>
        <w:t> </w:t>
      </w:r>
      <w:r>
        <w:rPr>
          <w:spacing w:val="-3"/>
          <w:sz w:val="21"/>
        </w:rPr>
        <w:t>Victorian</w:t>
      </w:r>
      <w:r>
        <w:rPr>
          <w:spacing w:val="15"/>
          <w:sz w:val="21"/>
        </w:rPr>
        <w:t> </w:t>
      </w:r>
      <w:r>
        <w:rPr>
          <w:spacing w:val="-3"/>
          <w:sz w:val="21"/>
        </w:rPr>
        <w:t>law</w:t>
      </w:r>
      <w:r>
        <w:rPr>
          <w:spacing w:val="15"/>
          <w:sz w:val="21"/>
        </w:rPr>
        <w:t> </w:t>
      </w:r>
      <w:r>
        <w:rPr>
          <w:spacing w:val="-3"/>
          <w:sz w:val="21"/>
        </w:rPr>
        <w:t>that</w:t>
      </w:r>
      <w:r>
        <w:rPr>
          <w:spacing w:val="15"/>
          <w:sz w:val="21"/>
        </w:rPr>
        <w:t> </w:t>
      </w:r>
      <w:r>
        <w:rPr>
          <w:spacing w:val="-3"/>
          <w:sz w:val="21"/>
        </w:rPr>
        <w:t>would</w:t>
      </w:r>
      <w:r>
        <w:rPr>
          <w:spacing w:val="15"/>
          <w:sz w:val="21"/>
        </w:rPr>
        <w:t> </w:t>
      </w:r>
      <w:r>
        <w:rPr>
          <w:spacing w:val="-3"/>
          <w:sz w:val="21"/>
        </w:rPr>
        <w:t>never</w:t>
      </w:r>
      <w:r>
        <w:rPr>
          <w:spacing w:val="15"/>
          <w:sz w:val="21"/>
        </w:rPr>
        <w:t> </w:t>
      </w:r>
      <w:r>
        <w:rPr>
          <w:spacing w:val="-4"/>
          <w:sz w:val="21"/>
        </w:rPr>
        <w:t>have</w:t>
      </w:r>
      <w:r>
        <w:rPr>
          <w:spacing w:val="15"/>
          <w:sz w:val="21"/>
        </w:rPr>
        <w:t> </w:t>
      </w:r>
      <w:r>
        <w:rPr>
          <w:spacing w:val="-3"/>
          <w:sz w:val="21"/>
        </w:rPr>
        <w:t>succeeded</w:t>
      </w:r>
      <w:r>
        <w:rPr>
          <w:spacing w:val="15"/>
          <w:sz w:val="21"/>
        </w:rPr>
        <w:t> </w:t>
      </w:r>
      <w:r>
        <w:rPr>
          <w:spacing w:val="-3"/>
          <w:sz w:val="21"/>
        </w:rPr>
        <w:t>under</w:t>
      </w:r>
      <w:r>
        <w:rPr>
          <w:spacing w:val="15"/>
          <w:sz w:val="21"/>
        </w:rPr>
        <w:t> </w:t>
      </w:r>
      <w:r>
        <w:rPr>
          <w:sz w:val="21"/>
        </w:rPr>
        <w:t>the</w:t>
      </w:r>
      <w:r>
        <w:rPr>
          <w:spacing w:val="15"/>
          <w:sz w:val="21"/>
        </w:rPr>
        <w:t> </w:t>
      </w:r>
      <w:r>
        <w:rPr>
          <w:spacing w:val="-3"/>
          <w:sz w:val="21"/>
        </w:rPr>
        <w:t>previous</w:t>
      </w:r>
    </w:p>
    <w:p>
      <w:pPr>
        <w:pStyle w:val="BodyText"/>
        <w:spacing w:line="242" w:lineRule="auto" w:before="2"/>
        <w:ind w:left="2381" w:right="2010"/>
        <w:rPr>
          <w:sz w:val="12"/>
        </w:rPr>
      </w:pPr>
      <w:r>
        <w:rPr>
          <w:spacing w:val="-6"/>
        </w:rPr>
        <w:t>law, </w:t>
      </w:r>
      <w:r>
        <w:rPr>
          <w:spacing w:val="-4"/>
        </w:rPr>
        <w:t>‘it </w:t>
      </w:r>
      <w:r>
        <w:rPr>
          <w:spacing w:val="-3"/>
        </w:rPr>
        <w:t>seems </w:t>
      </w:r>
      <w:r>
        <w:rPr>
          <w:spacing w:val="-4"/>
        </w:rPr>
        <w:t>inappropriate </w:t>
      </w:r>
      <w:r>
        <w:rPr>
          <w:spacing w:val="-3"/>
        </w:rPr>
        <w:t>to cut </w:t>
      </w:r>
      <w:r>
        <w:rPr/>
        <w:t>off the prospect </w:t>
      </w:r>
      <w:r>
        <w:rPr>
          <w:spacing w:val="-3"/>
        </w:rPr>
        <w:t>that </w:t>
      </w:r>
      <w:r>
        <w:rPr>
          <w:spacing w:val="-4"/>
        </w:rPr>
        <w:t>similar claims </w:t>
      </w:r>
      <w:r>
        <w:rPr>
          <w:spacing w:val="-3"/>
        </w:rPr>
        <w:t>may </w:t>
      </w:r>
      <w:r>
        <w:rPr>
          <w:spacing w:val="-4"/>
        </w:rPr>
        <w:t>succeed </w:t>
      </w:r>
      <w:r>
        <w:rPr>
          <w:spacing w:val="-3"/>
        </w:rPr>
        <w:t>in </w:t>
      </w:r>
      <w:r>
        <w:rPr/>
        <w:t>the </w:t>
      </w:r>
      <w:r>
        <w:rPr>
          <w:spacing w:val="-5"/>
        </w:rPr>
        <w:t>future, </w:t>
      </w:r>
      <w:r>
        <w:rPr>
          <w:spacing w:val="-3"/>
        </w:rPr>
        <w:t>in </w:t>
      </w:r>
      <w:r>
        <w:rPr/>
        <w:t>an </w:t>
      </w:r>
      <w:r>
        <w:rPr>
          <w:spacing w:val="-3"/>
        </w:rPr>
        <w:t>attempt to </w:t>
      </w:r>
      <w:r>
        <w:rPr/>
        <w:t>weed out </w:t>
      </w:r>
      <w:r>
        <w:rPr>
          <w:spacing w:val="-4"/>
        </w:rPr>
        <w:t>apparently </w:t>
      </w:r>
      <w:r>
        <w:rPr>
          <w:spacing w:val="-3"/>
        </w:rPr>
        <w:t>unworthy </w:t>
      </w:r>
      <w:r>
        <w:rPr>
          <w:spacing w:val="-8"/>
        </w:rPr>
        <w:t>claims’.</w:t>
      </w:r>
      <w:r>
        <w:rPr>
          <w:spacing w:val="-8"/>
          <w:position w:val="7"/>
          <w:sz w:val="12"/>
        </w:rPr>
        <w:t>133 </w:t>
      </w:r>
      <w:r>
        <w:rPr/>
        <w:t>He </w:t>
      </w:r>
      <w:r>
        <w:rPr>
          <w:spacing w:val="-3"/>
        </w:rPr>
        <w:t>suggested  that  </w:t>
      </w:r>
      <w:r>
        <w:rPr/>
        <w:t>the </w:t>
      </w:r>
      <w:r>
        <w:rPr>
          <w:spacing w:val="-3"/>
        </w:rPr>
        <w:t>issue should </w:t>
      </w:r>
      <w:r>
        <w:rPr/>
        <w:t>be </w:t>
      </w:r>
      <w:r>
        <w:rPr>
          <w:spacing w:val="-3"/>
        </w:rPr>
        <w:t>addressed by </w:t>
      </w:r>
      <w:r>
        <w:rPr/>
        <w:t>costs </w:t>
      </w:r>
      <w:r>
        <w:rPr>
          <w:spacing w:val="-5"/>
        </w:rPr>
        <w:t>rules.</w:t>
      </w:r>
      <w:r>
        <w:rPr>
          <w:spacing w:val="-5"/>
          <w:position w:val="7"/>
          <w:sz w:val="12"/>
        </w:rPr>
        <w:t>134 </w:t>
      </w:r>
      <w:r>
        <w:rPr>
          <w:spacing w:val="-4"/>
        </w:rPr>
        <w:t>Carolyn Sparke </w:t>
      </w:r>
      <w:r>
        <w:rPr/>
        <w:t>SC said </w:t>
      </w:r>
      <w:r>
        <w:rPr>
          <w:spacing w:val="-3"/>
        </w:rPr>
        <w:t>that </w:t>
      </w:r>
      <w:r>
        <w:rPr/>
        <w:t>the </w:t>
      </w:r>
      <w:r>
        <w:rPr>
          <w:spacing w:val="-4"/>
        </w:rPr>
        <w:t>current  </w:t>
      </w:r>
      <w:r>
        <w:rPr>
          <w:spacing w:val="-3"/>
        </w:rPr>
        <w:t>law allows </w:t>
      </w:r>
      <w:r>
        <w:rPr/>
        <w:t>the court </w:t>
      </w:r>
      <w:r>
        <w:rPr>
          <w:spacing w:val="-3"/>
        </w:rPr>
        <w:t>to </w:t>
      </w:r>
      <w:r>
        <w:rPr>
          <w:spacing w:val="-4"/>
        </w:rPr>
        <w:t>have regard </w:t>
      </w:r>
      <w:r>
        <w:rPr>
          <w:spacing w:val="-3"/>
        </w:rPr>
        <w:t>to </w:t>
      </w:r>
      <w:r>
        <w:rPr/>
        <w:t>‘the </w:t>
      </w:r>
      <w:r>
        <w:rPr>
          <w:spacing w:val="-4"/>
        </w:rPr>
        <w:t>full </w:t>
      </w:r>
      <w:r>
        <w:rPr>
          <w:spacing w:val="-3"/>
        </w:rPr>
        <w:t>variety of </w:t>
      </w:r>
      <w:r>
        <w:rPr>
          <w:spacing w:val="-4"/>
        </w:rPr>
        <w:t>human relationships’ </w:t>
      </w:r>
      <w:r>
        <w:rPr>
          <w:spacing w:val="-3"/>
        </w:rPr>
        <w:t>and  that  </w:t>
      </w:r>
      <w:r>
        <w:rPr/>
        <w:t>the court </w:t>
      </w:r>
      <w:r>
        <w:rPr>
          <w:spacing w:val="-3"/>
        </w:rPr>
        <w:t>should not </w:t>
      </w:r>
      <w:r>
        <w:rPr/>
        <w:t>be </w:t>
      </w:r>
      <w:r>
        <w:rPr>
          <w:spacing w:val="-3"/>
        </w:rPr>
        <w:t>artificially restrained in </w:t>
      </w:r>
      <w:r>
        <w:rPr/>
        <w:t>its </w:t>
      </w:r>
      <w:r>
        <w:rPr>
          <w:spacing w:val="-6"/>
        </w:rPr>
        <w:t>task.</w:t>
      </w:r>
      <w:r>
        <w:rPr>
          <w:spacing w:val="-6"/>
          <w:position w:val="7"/>
          <w:sz w:val="12"/>
        </w:rPr>
        <w:t>135 </w:t>
      </w:r>
      <w:r>
        <w:rPr/>
        <w:t>Some </w:t>
      </w:r>
      <w:r>
        <w:rPr>
          <w:spacing w:val="-3"/>
        </w:rPr>
        <w:t>participants in </w:t>
      </w:r>
      <w:r>
        <w:rPr>
          <w:spacing w:val="-4"/>
        </w:rPr>
        <w:t>consultations considered</w:t>
      </w:r>
      <w:r>
        <w:rPr>
          <w:spacing w:val="11"/>
        </w:rPr>
        <w:t> </w:t>
      </w:r>
      <w:r>
        <w:rPr>
          <w:spacing w:val="-3"/>
        </w:rPr>
        <w:t>that</w:t>
      </w:r>
      <w:r>
        <w:rPr>
          <w:spacing w:val="11"/>
        </w:rPr>
        <w:t> </w:t>
      </w:r>
      <w:r>
        <w:rPr>
          <w:spacing w:val="-4"/>
        </w:rPr>
        <w:t>Victoria’s</w:t>
      </w:r>
      <w:r>
        <w:rPr>
          <w:spacing w:val="11"/>
        </w:rPr>
        <w:t> </w:t>
      </w:r>
      <w:r>
        <w:rPr>
          <w:spacing w:val="-4"/>
        </w:rPr>
        <w:t>current</w:t>
      </w:r>
      <w:r>
        <w:rPr>
          <w:spacing w:val="11"/>
        </w:rPr>
        <w:t> </w:t>
      </w:r>
      <w:r>
        <w:rPr>
          <w:spacing w:val="-4"/>
        </w:rPr>
        <w:t>responsibility</w:t>
      </w:r>
      <w:r>
        <w:rPr>
          <w:spacing w:val="11"/>
        </w:rPr>
        <w:t> </w:t>
      </w:r>
      <w:r>
        <w:rPr/>
        <w:t>test</w:t>
      </w:r>
      <w:r>
        <w:rPr>
          <w:spacing w:val="11"/>
        </w:rPr>
        <w:t> </w:t>
      </w:r>
      <w:r>
        <w:rPr>
          <w:spacing w:val="-3"/>
        </w:rPr>
        <w:t>should</w:t>
      </w:r>
      <w:r>
        <w:rPr>
          <w:spacing w:val="11"/>
        </w:rPr>
        <w:t> </w:t>
      </w:r>
      <w:r>
        <w:rPr/>
        <w:t>be</w:t>
      </w:r>
      <w:r>
        <w:rPr>
          <w:spacing w:val="11"/>
        </w:rPr>
        <w:t> </w:t>
      </w:r>
      <w:r>
        <w:rPr>
          <w:spacing w:val="-5"/>
        </w:rPr>
        <w:t>retained.</w:t>
      </w:r>
      <w:r>
        <w:rPr>
          <w:spacing w:val="-5"/>
          <w:position w:val="7"/>
          <w:sz w:val="12"/>
        </w:rPr>
        <w:t>136</w:t>
      </w:r>
    </w:p>
    <w:p>
      <w:pPr>
        <w:pStyle w:val="ListParagraph"/>
        <w:numPr>
          <w:ilvl w:val="1"/>
          <w:numId w:val="82"/>
        </w:numPr>
        <w:tabs>
          <w:tab w:pos="2381" w:val="left" w:leader="none"/>
          <w:tab w:pos="2382" w:val="left" w:leader="none"/>
        </w:tabs>
        <w:spacing w:line="242" w:lineRule="auto" w:before="126" w:after="0"/>
        <w:ind w:left="2381" w:right="1633" w:hanging="794"/>
        <w:jc w:val="left"/>
        <w:rPr>
          <w:sz w:val="12"/>
        </w:rPr>
      </w:pPr>
      <w:r>
        <w:rPr>
          <w:spacing w:val="-6"/>
          <w:w w:val="105"/>
          <w:sz w:val="21"/>
        </w:rPr>
        <w:t>Two </w:t>
      </w:r>
      <w:r>
        <w:rPr>
          <w:spacing w:val="-3"/>
          <w:w w:val="105"/>
          <w:sz w:val="21"/>
        </w:rPr>
        <w:t>submissions </w:t>
      </w:r>
      <w:r>
        <w:rPr>
          <w:w w:val="105"/>
          <w:sz w:val="21"/>
        </w:rPr>
        <w:t>supported </w:t>
      </w:r>
      <w:r>
        <w:rPr>
          <w:spacing w:val="-3"/>
          <w:w w:val="105"/>
          <w:sz w:val="21"/>
        </w:rPr>
        <w:t>retaining Victoria’s responsibility </w:t>
      </w:r>
      <w:r>
        <w:rPr>
          <w:w w:val="105"/>
          <w:sz w:val="21"/>
        </w:rPr>
        <w:t>test, but </w:t>
      </w:r>
      <w:r>
        <w:rPr>
          <w:spacing w:val="-3"/>
          <w:w w:val="105"/>
          <w:sz w:val="21"/>
        </w:rPr>
        <w:t>introducing </w:t>
      </w:r>
      <w:r>
        <w:rPr>
          <w:w w:val="105"/>
          <w:sz w:val="21"/>
        </w:rPr>
        <w:t>a </w:t>
      </w:r>
      <w:r>
        <w:rPr>
          <w:spacing w:val="-3"/>
          <w:w w:val="105"/>
          <w:sz w:val="21"/>
        </w:rPr>
        <w:t>threshold requirement </w:t>
      </w:r>
      <w:r>
        <w:rPr>
          <w:w w:val="105"/>
          <w:sz w:val="21"/>
        </w:rPr>
        <w:t>of </w:t>
      </w:r>
      <w:r>
        <w:rPr>
          <w:spacing w:val="-3"/>
          <w:w w:val="105"/>
          <w:sz w:val="21"/>
        </w:rPr>
        <w:t>financial </w:t>
      </w:r>
      <w:r>
        <w:rPr>
          <w:w w:val="105"/>
          <w:sz w:val="21"/>
        </w:rPr>
        <w:t>need and </w:t>
      </w:r>
      <w:r>
        <w:rPr>
          <w:spacing w:val="-4"/>
          <w:w w:val="105"/>
          <w:sz w:val="21"/>
        </w:rPr>
        <w:t>dependence.</w:t>
      </w:r>
      <w:r>
        <w:rPr>
          <w:spacing w:val="-4"/>
          <w:w w:val="105"/>
          <w:position w:val="7"/>
          <w:sz w:val="12"/>
        </w:rPr>
        <w:t>137 </w:t>
      </w:r>
      <w:r>
        <w:rPr>
          <w:w w:val="105"/>
          <w:sz w:val="21"/>
        </w:rPr>
        <w:t>The Property and </w:t>
      </w:r>
      <w:r>
        <w:rPr>
          <w:spacing w:val="-3"/>
          <w:w w:val="105"/>
          <w:sz w:val="21"/>
        </w:rPr>
        <w:t>Probate </w:t>
      </w:r>
      <w:r>
        <w:rPr>
          <w:w w:val="105"/>
          <w:sz w:val="21"/>
        </w:rPr>
        <w:t>Section of the </w:t>
      </w:r>
      <w:r>
        <w:rPr>
          <w:spacing w:val="-4"/>
          <w:w w:val="105"/>
          <w:sz w:val="21"/>
        </w:rPr>
        <w:t>Commercial </w:t>
      </w:r>
      <w:r>
        <w:rPr>
          <w:w w:val="105"/>
          <w:sz w:val="21"/>
        </w:rPr>
        <w:t>Bar Association supported introduction of a </w:t>
      </w:r>
      <w:r>
        <w:rPr>
          <w:spacing w:val="-3"/>
          <w:w w:val="105"/>
          <w:sz w:val="21"/>
        </w:rPr>
        <w:t>threshold requirement </w:t>
      </w:r>
      <w:r>
        <w:rPr>
          <w:w w:val="105"/>
          <w:sz w:val="21"/>
        </w:rPr>
        <w:t>of </w:t>
      </w:r>
      <w:r>
        <w:rPr>
          <w:spacing w:val="-3"/>
          <w:w w:val="105"/>
          <w:sz w:val="21"/>
        </w:rPr>
        <w:t>financial </w:t>
      </w:r>
      <w:r>
        <w:rPr>
          <w:w w:val="105"/>
          <w:sz w:val="21"/>
        </w:rPr>
        <w:t>need where the </w:t>
      </w:r>
      <w:r>
        <w:rPr>
          <w:spacing w:val="-3"/>
          <w:w w:val="105"/>
          <w:sz w:val="21"/>
        </w:rPr>
        <w:t>value </w:t>
      </w:r>
      <w:r>
        <w:rPr>
          <w:w w:val="105"/>
          <w:sz w:val="21"/>
        </w:rPr>
        <w:t>of the estate does </w:t>
      </w:r>
      <w:r>
        <w:rPr>
          <w:spacing w:val="-2"/>
          <w:w w:val="105"/>
          <w:sz w:val="21"/>
        </w:rPr>
        <w:t>not </w:t>
      </w:r>
      <w:r>
        <w:rPr>
          <w:w w:val="105"/>
          <w:sz w:val="21"/>
        </w:rPr>
        <w:t>exceed</w:t>
      </w:r>
      <w:r>
        <w:rPr>
          <w:spacing w:val="-19"/>
          <w:w w:val="105"/>
          <w:sz w:val="21"/>
        </w:rPr>
        <w:t> </w:t>
      </w:r>
      <w:r>
        <w:rPr>
          <w:spacing w:val="-4"/>
          <w:w w:val="105"/>
          <w:sz w:val="21"/>
        </w:rPr>
        <w:t>$250,000.</w:t>
      </w:r>
      <w:r>
        <w:rPr>
          <w:spacing w:val="-4"/>
          <w:w w:val="105"/>
          <w:position w:val="7"/>
          <w:sz w:val="12"/>
        </w:rPr>
        <w:t>138</w:t>
      </w:r>
    </w:p>
    <w:p>
      <w:pPr>
        <w:pStyle w:val="ListParagraph"/>
        <w:numPr>
          <w:ilvl w:val="1"/>
          <w:numId w:val="82"/>
        </w:numPr>
        <w:tabs>
          <w:tab w:pos="2380" w:val="left" w:leader="none"/>
          <w:tab w:pos="2381" w:val="left" w:leader="none"/>
        </w:tabs>
        <w:spacing w:line="242" w:lineRule="auto" w:before="125" w:after="0"/>
        <w:ind w:left="2381" w:right="2115" w:hanging="794"/>
        <w:jc w:val="left"/>
        <w:rPr>
          <w:sz w:val="21"/>
        </w:rPr>
      </w:pPr>
      <w:r>
        <w:rPr>
          <w:spacing w:val="-6"/>
          <w:w w:val="105"/>
          <w:sz w:val="21"/>
        </w:rPr>
        <w:t>Two </w:t>
      </w:r>
      <w:r>
        <w:rPr>
          <w:w w:val="105"/>
          <w:sz w:val="21"/>
        </w:rPr>
        <w:t>further </w:t>
      </w:r>
      <w:r>
        <w:rPr>
          <w:spacing w:val="-3"/>
          <w:w w:val="105"/>
          <w:sz w:val="21"/>
        </w:rPr>
        <w:t>submissions </w:t>
      </w:r>
      <w:r>
        <w:rPr>
          <w:w w:val="105"/>
          <w:sz w:val="21"/>
        </w:rPr>
        <w:t>suggested taking a more </w:t>
      </w:r>
      <w:r>
        <w:rPr>
          <w:spacing w:val="-3"/>
          <w:w w:val="105"/>
          <w:sz w:val="21"/>
        </w:rPr>
        <w:t>limited </w:t>
      </w:r>
      <w:r>
        <w:rPr>
          <w:spacing w:val="-4"/>
          <w:w w:val="105"/>
          <w:sz w:val="21"/>
        </w:rPr>
        <w:t>view, </w:t>
      </w:r>
      <w:r>
        <w:rPr>
          <w:w w:val="105"/>
          <w:sz w:val="21"/>
        </w:rPr>
        <w:t>with one </w:t>
      </w:r>
      <w:r>
        <w:rPr>
          <w:spacing w:val="-3"/>
          <w:w w:val="105"/>
          <w:sz w:val="21"/>
        </w:rPr>
        <w:t>proposing </w:t>
      </w:r>
      <w:r>
        <w:rPr>
          <w:w w:val="105"/>
          <w:sz w:val="21"/>
        </w:rPr>
        <w:t>a</w:t>
      </w:r>
      <w:r>
        <w:rPr>
          <w:spacing w:val="-7"/>
          <w:w w:val="105"/>
          <w:sz w:val="21"/>
        </w:rPr>
        <w:t> </w:t>
      </w:r>
      <w:r>
        <w:rPr>
          <w:spacing w:val="-3"/>
          <w:w w:val="105"/>
          <w:sz w:val="21"/>
        </w:rPr>
        <w:t>return</w:t>
      </w:r>
      <w:r>
        <w:rPr>
          <w:spacing w:val="-7"/>
          <w:w w:val="105"/>
          <w:sz w:val="21"/>
        </w:rPr>
        <w:t> </w:t>
      </w:r>
      <w:r>
        <w:rPr>
          <w:spacing w:val="-3"/>
          <w:w w:val="105"/>
          <w:sz w:val="21"/>
        </w:rPr>
        <w:t>to</w:t>
      </w:r>
      <w:r>
        <w:rPr>
          <w:spacing w:val="-7"/>
          <w:w w:val="105"/>
          <w:sz w:val="21"/>
        </w:rPr>
        <w:t> </w:t>
      </w:r>
      <w:r>
        <w:rPr>
          <w:w w:val="105"/>
          <w:sz w:val="21"/>
        </w:rPr>
        <w:t>the</w:t>
      </w:r>
      <w:r>
        <w:rPr>
          <w:spacing w:val="-7"/>
          <w:w w:val="105"/>
          <w:sz w:val="21"/>
        </w:rPr>
        <w:t> </w:t>
      </w:r>
      <w:r>
        <w:rPr>
          <w:spacing w:val="-3"/>
          <w:w w:val="105"/>
          <w:sz w:val="21"/>
        </w:rPr>
        <w:t>original</w:t>
      </w:r>
      <w:r>
        <w:rPr>
          <w:spacing w:val="-6"/>
          <w:w w:val="105"/>
          <w:sz w:val="21"/>
        </w:rPr>
        <w:t> </w:t>
      </w:r>
      <w:r>
        <w:rPr>
          <w:w w:val="105"/>
          <w:sz w:val="21"/>
        </w:rPr>
        <w:t>Victorian</w:t>
      </w:r>
      <w:r>
        <w:rPr>
          <w:spacing w:val="-7"/>
          <w:w w:val="105"/>
          <w:sz w:val="21"/>
        </w:rPr>
        <w:t> </w:t>
      </w:r>
      <w:r>
        <w:rPr>
          <w:spacing w:val="-3"/>
          <w:w w:val="105"/>
          <w:sz w:val="21"/>
        </w:rPr>
        <w:t>legislation,</w:t>
      </w:r>
      <w:r>
        <w:rPr>
          <w:spacing w:val="-7"/>
          <w:w w:val="105"/>
          <w:sz w:val="21"/>
        </w:rPr>
        <w:t> </w:t>
      </w:r>
      <w:r>
        <w:rPr>
          <w:w w:val="105"/>
          <w:sz w:val="21"/>
        </w:rPr>
        <w:t>under</w:t>
      </w:r>
      <w:r>
        <w:rPr>
          <w:spacing w:val="-7"/>
          <w:w w:val="105"/>
          <w:sz w:val="21"/>
        </w:rPr>
        <w:t> </w:t>
      </w:r>
      <w:r>
        <w:rPr>
          <w:w w:val="105"/>
          <w:sz w:val="21"/>
        </w:rPr>
        <w:t>which</w:t>
      </w:r>
      <w:r>
        <w:rPr>
          <w:spacing w:val="-6"/>
          <w:w w:val="105"/>
          <w:sz w:val="21"/>
        </w:rPr>
        <w:t> </w:t>
      </w:r>
      <w:r>
        <w:rPr>
          <w:w w:val="105"/>
          <w:sz w:val="21"/>
        </w:rPr>
        <w:t>only</w:t>
      </w:r>
      <w:r>
        <w:rPr>
          <w:spacing w:val="-7"/>
          <w:w w:val="105"/>
          <w:sz w:val="21"/>
        </w:rPr>
        <w:t> </w:t>
      </w:r>
      <w:r>
        <w:rPr>
          <w:w w:val="105"/>
          <w:sz w:val="21"/>
        </w:rPr>
        <w:t>the</w:t>
      </w:r>
      <w:r>
        <w:rPr>
          <w:spacing w:val="-7"/>
          <w:w w:val="105"/>
          <w:sz w:val="21"/>
        </w:rPr>
        <w:t> </w:t>
      </w:r>
      <w:r>
        <w:rPr>
          <w:w w:val="105"/>
          <w:sz w:val="21"/>
        </w:rPr>
        <w:t>deceased</w:t>
      </w:r>
      <w:r>
        <w:rPr>
          <w:spacing w:val="-7"/>
          <w:w w:val="105"/>
          <w:sz w:val="21"/>
        </w:rPr>
        <w:t> </w:t>
      </w:r>
      <w:r>
        <w:rPr>
          <w:spacing w:val="-3"/>
          <w:w w:val="105"/>
          <w:sz w:val="21"/>
        </w:rPr>
        <w:t>person’s</w:t>
      </w:r>
    </w:p>
    <w:p>
      <w:pPr>
        <w:pStyle w:val="BodyText"/>
        <w:spacing w:line="242" w:lineRule="auto" w:before="2"/>
        <w:ind w:left="2381" w:right="1779" w:hanging="1"/>
        <w:rPr>
          <w:sz w:val="12"/>
        </w:rPr>
      </w:pPr>
      <w:r>
        <w:rPr>
          <w:spacing w:val="-4"/>
          <w:w w:val="105"/>
        </w:rPr>
        <w:t>widow, </w:t>
      </w:r>
      <w:r>
        <w:rPr>
          <w:w w:val="105"/>
        </w:rPr>
        <w:t>widower and </w:t>
      </w:r>
      <w:r>
        <w:rPr>
          <w:spacing w:val="-3"/>
          <w:w w:val="105"/>
        </w:rPr>
        <w:t>children were </w:t>
      </w:r>
      <w:r>
        <w:rPr>
          <w:spacing w:val="-4"/>
          <w:w w:val="105"/>
        </w:rPr>
        <w:t>entitled,</w:t>
      </w:r>
      <w:r>
        <w:rPr>
          <w:spacing w:val="-4"/>
          <w:w w:val="105"/>
          <w:position w:val="7"/>
          <w:sz w:val="12"/>
        </w:rPr>
        <w:t>139 </w:t>
      </w:r>
      <w:r>
        <w:rPr>
          <w:w w:val="105"/>
        </w:rPr>
        <w:t>and the other supporting a system under which only spouses (but </w:t>
      </w:r>
      <w:r>
        <w:rPr>
          <w:spacing w:val="-2"/>
          <w:w w:val="105"/>
        </w:rPr>
        <w:t>not </w:t>
      </w:r>
      <w:r>
        <w:rPr>
          <w:w w:val="105"/>
        </w:rPr>
        <w:t>domestic partners), </w:t>
      </w:r>
      <w:r>
        <w:rPr>
          <w:spacing w:val="-4"/>
          <w:w w:val="105"/>
        </w:rPr>
        <w:t>infant </w:t>
      </w:r>
      <w:r>
        <w:rPr>
          <w:spacing w:val="-3"/>
          <w:w w:val="105"/>
        </w:rPr>
        <w:t>children </w:t>
      </w:r>
      <w:r>
        <w:rPr>
          <w:w w:val="105"/>
        </w:rPr>
        <w:t>and some dependent </w:t>
      </w:r>
      <w:r>
        <w:rPr>
          <w:spacing w:val="-3"/>
          <w:w w:val="105"/>
        </w:rPr>
        <w:t>adult children </w:t>
      </w:r>
      <w:r>
        <w:rPr>
          <w:w w:val="105"/>
        </w:rPr>
        <w:t>would be </w:t>
      </w:r>
      <w:r>
        <w:rPr>
          <w:spacing w:val="-4"/>
          <w:w w:val="105"/>
        </w:rPr>
        <w:t>entitled.</w:t>
      </w:r>
      <w:r>
        <w:rPr>
          <w:spacing w:val="-4"/>
          <w:w w:val="105"/>
          <w:position w:val="7"/>
          <w:sz w:val="12"/>
        </w:rPr>
        <w:t>140</w:t>
      </w:r>
    </w:p>
    <w:p>
      <w:pPr>
        <w:pStyle w:val="ListParagraph"/>
        <w:numPr>
          <w:ilvl w:val="1"/>
          <w:numId w:val="82"/>
        </w:numPr>
        <w:tabs>
          <w:tab w:pos="2381" w:val="left" w:leader="none"/>
          <w:tab w:pos="2382" w:val="left" w:leader="none"/>
        </w:tabs>
        <w:spacing w:line="242" w:lineRule="auto" w:before="123" w:after="0"/>
        <w:ind w:left="2381" w:right="1649" w:hanging="794"/>
        <w:jc w:val="left"/>
        <w:rPr>
          <w:sz w:val="12"/>
        </w:rPr>
      </w:pPr>
      <w:r>
        <w:rPr>
          <w:spacing w:val="-6"/>
          <w:w w:val="105"/>
          <w:sz w:val="21"/>
        </w:rPr>
        <w:t>Two </w:t>
      </w:r>
      <w:r>
        <w:rPr>
          <w:spacing w:val="-3"/>
          <w:w w:val="105"/>
          <w:sz w:val="21"/>
        </w:rPr>
        <w:t>submissions </w:t>
      </w:r>
      <w:r>
        <w:rPr>
          <w:w w:val="105"/>
          <w:sz w:val="21"/>
        </w:rPr>
        <w:t>supported introduction of a modified version of the </w:t>
      </w:r>
      <w:r>
        <w:rPr>
          <w:spacing w:val="-3"/>
          <w:w w:val="105"/>
          <w:sz w:val="21"/>
        </w:rPr>
        <w:t>National </w:t>
      </w:r>
      <w:r>
        <w:rPr>
          <w:spacing w:val="-4"/>
          <w:w w:val="105"/>
          <w:sz w:val="21"/>
        </w:rPr>
        <w:t>Committee’s </w:t>
      </w:r>
      <w:r>
        <w:rPr>
          <w:w w:val="105"/>
          <w:sz w:val="21"/>
        </w:rPr>
        <w:t>proposed model. One suggested </w:t>
      </w:r>
      <w:r>
        <w:rPr>
          <w:spacing w:val="-3"/>
          <w:w w:val="105"/>
          <w:sz w:val="21"/>
        </w:rPr>
        <w:t>that </w:t>
      </w:r>
      <w:r>
        <w:rPr>
          <w:w w:val="105"/>
          <w:sz w:val="21"/>
        </w:rPr>
        <w:t>the </w:t>
      </w:r>
      <w:r>
        <w:rPr>
          <w:spacing w:val="-3"/>
          <w:w w:val="105"/>
          <w:sz w:val="21"/>
        </w:rPr>
        <w:t>National </w:t>
      </w:r>
      <w:r>
        <w:rPr>
          <w:spacing w:val="-4"/>
          <w:w w:val="105"/>
          <w:sz w:val="21"/>
        </w:rPr>
        <w:t>Committee’s </w:t>
      </w:r>
      <w:r>
        <w:rPr>
          <w:spacing w:val="-3"/>
          <w:w w:val="105"/>
          <w:sz w:val="21"/>
        </w:rPr>
        <w:t>recommendation </w:t>
      </w:r>
      <w:r>
        <w:rPr>
          <w:w w:val="105"/>
          <w:sz w:val="21"/>
        </w:rPr>
        <w:t>should be </w:t>
      </w:r>
      <w:r>
        <w:rPr>
          <w:spacing w:val="-3"/>
          <w:w w:val="105"/>
          <w:sz w:val="21"/>
        </w:rPr>
        <w:t>implemented </w:t>
      </w:r>
      <w:r>
        <w:rPr>
          <w:w w:val="105"/>
          <w:sz w:val="21"/>
        </w:rPr>
        <w:t>without the </w:t>
      </w:r>
      <w:r>
        <w:rPr>
          <w:spacing w:val="-3"/>
          <w:w w:val="105"/>
          <w:sz w:val="21"/>
        </w:rPr>
        <w:t>responsibility category, </w:t>
      </w:r>
      <w:r>
        <w:rPr>
          <w:w w:val="105"/>
          <w:sz w:val="21"/>
        </w:rPr>
        <w:t>which would effectively mean </w:t>
      </w:r>
      <w:r>
        <w:rPr>
          <w:spacing w:val="-3"/>
          <w:w w:val="105"/>
          <w:sz w:val="21"/>
        </w:rPr>
        <w:t>that </w:t>
      </w:r>
      <w:r>
        <w:rPr>
          <w:w w:val="105"/>
          <w:sz w:val="21"/>
        </w:rPr>
        <w:t>only the deceased </w:t>
      </w:r>
      <w:r>
        <w:rPr>
          <w:spacing w:val="-3"/>
          <w:w w:val="105"/>
          <w:sz w:val="21"/>
        </w:rPr>
        <w:t>person’s spouse, </w:t>
      </w:r>
      <w:r>
        <w:rPr>
          <w:w w:val="105"/>
          <w:sz w:val="21"/>
        </w:rPr>
        <w:t>domestic partner and non-adult </w:t>
      </w:r>
      <w:r>
        <w:rPr>
          <w:spacing w:val="-3"/>
          <w:w w:val="105"/>
          <w:sz w:val="21"/>
        </w:rPr>
        <w:t>child </w:t>
      </w:r>
      <w:r>
        <w:rPr>
          <w:w w:val="105"/>
          <w:sz w:val="21"/>
        </w:rPr>
        <w:t>would be </w:t>
      </w:r>
      <w:r>
        <w:rPr>
          <w:spacing w:val="-5"/>
          <w:w w:val="105"/>
          <w:sz w:val="21"/>
        </w:rPr>
        <w:t>entitled.</w:t>
      </w:r>
      <w:r>
        <w:rPr>
          <w:spacing w:val="-5"/>
          <w:w w:val="105"/>
          <w:position w:val="7"/>
          <w:sz w:val="12"/>
        </w:rPr>
        <w:t>141 </w:t>
      </w:r>
      <w:r>
        <w:rPr>
          <w:w w:val="105"/>
          <w:sz w:val="21"/>
        </w:rPr>
        <w:t>The other suggested the </w:t>
      </w:r>
      <w:r>
        <w:rPr>
          <w:spacing w:val="-3"/>
          <w:w w:val="105"/>
          <w:sz w:val="21"/>
        </w:rPr>
        <w:t>National Committee </w:t>
      </w:r>
      <w:r>
        <w:rPr>
          <w:w w:val="105"/>
          <w:sz w:val="21"/>
        </w:rPr>
        <w:t>model, with a </w:t>
      </w:r>
      <w:r>
        <w:rPr>
          <w:spacing w:val="-3"/>
          <w:w w:val="105"/>
          <w:sz w:val="21"/>
        </w:rPr>
        <w:t>threshold requirement </w:t>
      </w:r>
      <w:r>
        <w:rPr>
          <w:w w:val="105"/>
          <w:sz w:val="21"/>
        </w:rPr>
        <w:t>of </w:t>
      </w:r>
      <w:r>
        <w:rPr>
          <w:spacing w:val="-3"/>
          <w:w w:val="105"/>
          <w:sz w:val="21"/>
        </w:rPr>
        <w:t>financial</w:t>
      </w:r>
      <w:r>
        <w:rPr>
          <w:spacing w:val="36"/>
          <w:w w:val="105"/>
          <w:sz w:val="21"/>
        </w:rPr>
        <w:t> </w:t>
      </w:r>
      <w:r>
        <w:rPr>
          <w:spacing w:val="-5"/>
          <w:w w:val="105"/>
          <w:sz w:val="21"/>
        </w:rPr>
        <w:t>need.</w:t>
      </w:r>
      <w:r>
        <w:rPr>
          <w:spacing w:val="-5"/>
          <w:w w:val="105"/>
          <w:position w:val="7"/>
          <w:sz w:val="12"/>
        </w:rPr>
        <w:t>142</w:t>
      </w:r>
    </w:p>
    <w:p>
      <w:pPr>
        <w:pStyle w:val="ListParagraph"/>
        <w:numPr>
          <w:ilvl w:val="1"/>
          <w:numId w:val="82"/>
        </w:numPr>
        <w:tabs>
          <w:tab w:pos="2381" w:val="left" w:leader="none"/>
          <w:tab w:pos="2382" w:val="left" w:leader="none"/>
        </w:tabs>
        <w:spacing w:line="242" w:lineRule="auto" w:before="127" w:after="0"/>
        <w:ind w:left="2381" w:right="1705" w:hanging="794"/>
        <w:jc w:val="left"/>
        <w:rPr>
          <w:sz w:val="12"/>
        </w:rPr>
      </w:pPr>
      <w:r>
        <w:rPr>
          <w:w w:val="105"/>
          <w:sz w:val="21"/>
        </w:rPr>
        <w:t>The Law </w:t>
      </w:r>
      <w:r>
        <w:rPr>
          <w:spacing w:val="-3"/>
          <w:w w:val="105"/>
          <w:sz w:val="21"/>
        </w:rPr>
        <w:t>Institute </w:t>
      </w:r>
      <w:r>
        <w:rPr>
          <w:w w:val="105"/>
          <w:sz w:val="21"/>
        </w:rPr>
        <w:t>of Victoria did </w:t>
      </w:r>
      <w:r>
        <w:rPr>
          <w:spacing w:val="-2"/>
          <w:w w:val="105"/>
          <w:sz w:val="21"/>
        </w:rPr>
        <w:t>not </w:t>
      </w:r>
      <w:r>
        <w:rPr>
          <w:w w:val="105"/>
          <w:sz w:val="21"/>
        </w:rPr>
        <w:t>present a </w:t>
      </w:r>
      <w:r>
        <w:rPr>
          <w:spacing w:val="-3"/>
          <w:w w:val="105"/>
          <w:sz w:val="21"/>
        </w:rPr>
        <w:t>unanimous </w:t>
      </w:r>
      <w:r>
        <w:rPr>
          <w:spacing w:val="-4"/>
          <w:w w:val="105"/>
          <w:sz w:val="21"/>
        </w:rPr>
        <w:t>view, </w:t>
      </w:r>
      <w:r>
        <w:rPr>
          <w:w w:val="105"/>
          <w:sz w:val="21"/>
        </w:rPr>
        <w:t>with a minority supporting</w:t>
      </w:r>
      <w:r>
        <w:rPr>
          <w:spacing w:val="-11"/>
          <w:w w:val="105"/>
          <w:sz w:val="21"/>
        </w:rPr>
        <w:t> </w:t>
      </w:r>
      <w:r>
        <w:rPr>
          <w:spacing w:val="-3"/>
          <w:w w:val="105"/>
          <w:sz w:val="21"/>
        </w:rPr>
        <w:t>retention</w:t>
      </w:r>
      <w:r>
        <w:rPr>
          <w:spacing w:val="-11"/>
          <w:w w:val="105"/>
          <w:sz w:val="21"/>
        </w:rPr>
        <w:t> </w:t>
      </w:r>
      <w:r>
        <w:rPr>
          <w:w w:val="105"/>
          <w:sz w:val="21"/>
        </w:rPr>
        <w:t>of</w:t>
      </w:r>
      <w:r>
        <w:rPr>
          <w:spacing w:val="-11"/>
          <w:w w:val="105"/>
          <w:sz w:val="21"/>
        </w:rPr>
        <w:t> </w:t>
      </w:r>
      <w:r>
        <w:rPr>
          <w:spacing w:val="-3"/>
          <w:w w:val="105"/>
          <w:sz w:val="21"/>
        </w:rPr>
        <w:t>Victoria’s</w:t>
      </w:r>
      <w:r>
        <w:rPr>
          <w:spacing w:val="-10"/>
          <w:w w:val="105"/>
          <w:sz w:val="21"/>
        </w:rPr>
        <w:t> </w:t>
      </w:r>
      <w:r>
        <w:rPr>
          <w:spacing w:val="-3"/>
          <w:w w:val="105"/>
          <w:sz w:val="21"/>
        </w:rPr>
        <w:t>current</w:t>
      </w:r>
      <w:r>
        <w:rPr>
          <w:spacing w:val="-11"/>
          <w:w w:val="105"/>
          <w:sz w:val="21"/>
        </w:rPr>
        <w:t> </w:t>
      </w:r>
      <w:r>
        <w:rPr>
          <w:w w:val="105"/>
          <w:sz w:val="21"/>
        </w:rPr>
        <w:t>approach</w:t>
      </w:r>
      <w:r>
        <w:rPr>
          <w:spacing w:val="-11"/>
          <w:w w:val="105"/>
          <w:sz w:val="21"/>
        </w:rPr>
        <w:t> </w:t>
      </w:r>
      <w:r>
        <w:rPr>
          <w:w w:val="105"/>
          <w:sz w:val="21"/>
        </w:rPr>
        <w:t>and</w:t>
      </w:r>
      <w:r>
        <w:rPr>
          <w:spacing w:val="-11"/>
          <w:w w:val="105"/>
          <w:sz w:val="21"/>
        </w:rPr>
        <w:t> </w:t>
      </w:r>
      <w:r>
        <w:rPr>
          <w:w w:val="105"/>
          <w:sz w:val="21"/>
        </w:rPr>
        <w:t>a</w:t>
      </w:r>
      <w:r>
        <w:rPr>
          <w:spacing w:val="-10"/>
          <w:w w:val="105"/>
          <w:sz w:val="21"/>
        </w:rPr>
        <w:t> </w:t>
      </w:r>
      <w:r>
        <w:rPr>
          <w:w w:val="105"/>
          <w:sz w:val="21"/>
        </w:rPr>
        <w:t>majority</w:t>
      </w:r>
      <w:r>
        <w:rPr>
          <w:spacing w:val="-11"/>
          <w:w w:val="105"/>
          <w:sz w:val="21"/>
        </w:rPr>
        <w:t> </w:t>
      </w:r>
      <w:r>
        <w:rPr>
          <w:w w:val="105"/>
          <w:sz w:val="21"/>
        </w:rPr>
        <w:t>expressing</w:t>
      </w:r>
      <w:r>
        <w:rPr>
          <w:spacing w:val="-11"/>
          <w:w w:val="105"/>
          <w:sz w:val="21"/>
        </w:rPr>
        <w:t> </w:t>
      </w:r>
      <w:r>
        <w:rPr>
          <w:w w:val="105"/>
          <w:sz w:val="21"/>
        </w:rPr>
        <w:t>support</w:t>
      </w:r>
      <w:r>
        <w:rPr>
          <w:spacing w:val="-11"/>
          <w:w w:val="105"/>
          <w:sz w:val="21"/>
        </w:rPr>
        <w:t> </w:t>
      </w:r>
      <w:r>
        <w:rPr>
          <w:spacing w:val="-3"/>
          <w:w w:val="105"/>
          <w:sz w:val="21"/>
        </w:rPr>
        <w:t>for limiting eligibility </w:t>
      </w:r>
      <w:r>
        <w:rPr>
          <w:w w:val="105"/>
          <w:sz w:val="21"/>
        </w:rPr>
        <w:t>in some </w:t>
      </w:r>
      <w:r>
        <w:rPr>
          <w:spacing w:val="-5"/>
          <w:w w:val="105"/>
          <w:sz w:val="21"/>
        </w:rPr>
        <w:t>way, </w:t>
      </w:r>
      <w:r>
        <w:rPr>
          <w:w w:val="105"/>
          <w:sz w:val="21"/>
        </w:rPr>
        <w:t>but being divided about the best </w:t>
      </w:r>
      <w:r>
        <w:rPr>
          <w:spacing w:val="-3"/>
          <w:w w:val="105"/>
          <w:sz w:val="21"/>
        </w:rPr>
        <w:t>way to achieve</w:t>
      </w:r>
      <w:r>
        <w:rPr>
          <w:spacing w:val="7"/>
          <w:w w:val="105"/>
          <w:sz w:val="21"/>
        </w:rPr>
        <w:t> </w:t>
      </w:r>
      <w:r>
        <w:rPr>
          <w:spacing w:val="-5"/>
          <w:w w:val="105"/>
          <w:sz w:val="21"/>
        </w:rPr>
        <w:t>this.</w:t>
      </w:r>
      <w:r>
        <w:rPr>
          <w:spacing w:val="-5"/>
          <w:w w:val="105"/>
          <w:position w:val="7"/>
          <w:sz w:val="12"/>
        </w:rPr>
        <w:t>143</w:t>
      </w:r>
    </w:p>
    <w:p>
      <w:pPr>
        <w:pStyle w:val="ListParagraph"/>
        <w:numPr>
          <w:ilvl w:val="1"/>
          <w:numId w:val="82"/>
        </w:numPr>
        <w:tabs>
          <w:tab w:pos="2381" w:val="left" w:leader="none"/>
          <w:tab w:pos="2382" w:val="left" w:leader="none"/>
        </w:tabs>
        <w:spacing w:line="242" w:lineRule="auto" w:before="123" w:after="0"/>
        <w:ind w:left="2381" w:right="1936" w:hanging="794"/>
        <w:jc w:val="left"/>
        <w:rPr>
          <w:sz w:val="21"/>
        </w:rPr>
      </w:pPr>
      <w:r>
        <w:rPr>
          <w:sz w:val="21"/>
        </w:rPr>
        <w:t>A majority of </w:t>
      </w:r>
      <w:r>
        <w:rPr>
          <w:spacing w:val="-3"/>
          <w:sz w:val="21"/>
        </w:rPr>
        <w:t>submissions </w:t>
      </w:r>
      <w:r>
        <w:rPr>
          <w:sz w:val="21"/>
        </w:rPr>
        <w:t>on the question of </w:t>
      </w:r>
      <w:r>
        <w:rPr>
          <w:spacing w:val="-3"/>
          <w:sz w:val="21"/>
        </w:rPr>
        <w:t>family provision eligibility </w:t>
      </w:r>
      <w:r>
        <w:rPr>
          <w:sz w:val="21"/>
        </w:rPr>
        <w:t>supported introduction of the New South </w:t>
      </w:r>
      <w:r>
        <w:rPr>
          <w:spacing w:val="-3"/>
          <w:sz w:val="21"/>
        </w:rPr>
        <w:t>Wales </w:t>
      </w:r>
      <w:r>
        <w:rPr>
          <w:spacing w:val="-4"/>
          <w:sz w:val="21"/>
        </w:rPr>
        <w:t>approach.</w:t>
      </w:r>
      <w:r>
        <w:rPr>
          <w:spacing w:val="-4"/>
          <w:position w:val="7"/>
          <w:sz w:val="12"/>
        </w:rPr>
        <w:t>144 </w:t>
      </w:r>
      <w:r>
        <w:rPr>
          <w:spacing w:val="-3"/>
          <w:sz w:val="21"/>
        </w:rPr>
        <w:t>State </w:t>
      </w:r>
      <w:r>
        <w:rPr>
          <w:spacing w:val="-4"/>
          <w:sz w:val="21"/>
        </w:rPr>
        <w:t>Trustees </w:t>
      </w:r>
      <w:r>
        <w:rPr>
          <w:sz w:val="21"/>
        </w:rPr>
        <w:t>expressed  the  view </w:t>
      </w:r>
      <w:r>
        <w:rPr>
          <w:spacing w:val="-3"/>
          <w:sz w:val="21"/>
        </w:rPr>
        <w:t>that,  although  </w:t>
      </w:r>
      <w:r>
        <w:rPr>
          <w:sz w:val="21"/>
        </w:rPr>
        <w:t>the  </w:t>
      </w:r>
      <w:r>
        <w:rPr>
          <w:spacing w:val="-3"/>
          <w:sz w:val="21"/>
        </w:rPr>
        <w:t>National  </w:t>
      </w:r>
      <w:r>
        <w:rPr>
          <w:spacing w:val="-4"/>
          <w:sz w:val="21"/>
        </w:rPr>
        <w:t>Committee’s  </w:t>
      </w:r>
      <w:r>
        <w:rPr>
          <w:sz w:val="21"/>
        </w:rPr>
        <w:t>proposed  categories  </w:t>
      </w:r>
      <w:r>
        <w:rPr>
          <w:spacing w:val="-3"/>
          <w:sz w:val="21"/>
        </w:rPr>
        <w:t>for  eligibility  </w:t>
      </w:r>
      <w:r>
        <w:rPr>
          <w:spacing w:val="-4"/>
          <w:sz w:val="21"/>
        </w:rPr>
        <w:t>‘have </w:t>
      </w:r>
      <w:r>
        <w:rPr>
          <w:sz w:val="21"/>
        </w:rPr>
        <w:t>much </w:t>
      </w:r>
      <w:r>
        <w:rPr>
          <w:spacing w:val="-3"/>
          <w:sz w:val="21"/>
        </w:rPr>
        <w:t>to </w:t>
      </w:r>
      <w:r>
        <w:rPr>
          <w:spacing w:val="-5"/>
          <w:sz w:val="21"/>
        </w:rPr>
        <w:t>offer’, </w:t>
      </w:r>
      <w:r>
        <w:rPr>
          <w:sz w:val="21"/>
        </w:rPr>
        <w:t>the New South </w:t>
      </w:r>
      <w:r>
        <w:rPr>
          <w:spacing w:val="-3"/>
          <w:sz w:val="21"/>
        </w:rPr>
        <w:t>Wales legislation ‘provides </w:t>
      </w:r>
      <w:r>
        <w:rPr>
          <w:sz w:val="21"/>
        </w:rPr>
        <w:t>a</w:t>
      </w:r>
      <w:r>
        <w:rPr>
          <w:spacing w:val="23"/>
          <w:sz w:val="21"/>
        </w:rPr>
        <w:t> </w:t>
      </w:r>
      <w:r>
        <w:rPr>
          <w:spacing w:val="-3"/>
          <w:sz w:val="21"/>
        </w:rPr>
        <w:t>reasonably comprehensive</w:t>
      </w:r>
    </w:p>
    <w:p>
      <w:pPr>
        <w:pStyle w:val="BodyText"/>
        <w:spacing w:line="242" w:lineRule="auto" w:before="4"/>
        <w:ind w:left="2381" w:right="1790"/>
        <w:rPr>
          <w:sz w:val="12"/>
        </w:rPr>
      </w:pPr>
      <w:r>
        <w:rPr>
          <w:w w:val="105"/>
        </w:rPr>
        <w:t>description of the people who </w:t>
      </w:r>
      <w:r>
        <w:rPr>
          <w:spacing w:val="-3"/>
          <w:w w:val="105"/>
        </w:rPr>
        <w:t>ought to </w:t>
      </w:r>
      <w:r>
        <w:rPr>
          <w:w w:val="105"/>
        </w:rPr>
        <w:t>be able </w:t>
      </w:r>
      <w:r>
        <w:rPr>
          <w:spacing w:val="-3"/>
          <w:w w:val="105"/>
        </w:rPr>
        <w:t>to </w:t>
      </w:r>
      <w:r>
        <w:rPr>
          <w:spacing w:val="-6"/>
          <w:w w:val="105"/>
        </w:rPr>
        <w:t>apply’.</w:t>
      </w:r>
      <w:r>
        <w:rPr>
          <w:spacing w:val="-6"/>
          <w:w w:val="105"/>
          <w:position w:val="7"/>
          <w:sz w:val="12"/>
        </w:rPr>
        <w:t>145 </w:t>
      </w:r>
      <w:r>
        <w:rPr>
          <w:spacing w:val="-4"/>
          <w:w w:val="105"/>
        </w:rPr>
        <w:t>Further, </w:t>
      </w:r>
      <w:r>
        <w:rPr>
          <w:w w:val="105"/>
        </w:rPr>
        <w:t>it </w:t>
      </w:r>
      <w:r>
        <w:rPr>
          <w:spacing w:val="-3"/>
          <w:w w:val="105"/>
        </w:rPr>
        <w:t>considered that, </w:t>
      </w:r>
      <w:r>
        <w:rPr>
          <w:w w:val="105"/>
        </w:rPr>
        <w:t>as no state </w:t>
      </w:r>
      <w:r>
        <w:rPr>
          <w:spacing w:val="-2"/>
          <w:w w:val="105"/>
        </w:rPr>
        <w:t>has </w:t>
      </w:r>
      <w:r>
        <w:rPr>
          <w:w w:val="105"/>
        </w:rPr>
        <w:t>adopted the </w:t>
      </w:r>
      <w:r>
        <w:rPr>
          <w:spacing w:val="-3"/>
          <w:w w:val="105"/>
        </w:rPr>
        <w:t>National </w:t>
      </w:r>
      <w:r>
        <w:rPr>
          <w:spacing w:val="-4"/>
          <w:w w:val="105"/>
        </w:rPr>
        <w:t>Committee’s </w:t>
      </w:r>
      <w:r>
        <w:rPr>
          <w:w w:val="105"/>
        </w:rPr>
        <w:t>recommended model, </w:t>
      </w:r>
      <w:r>
        <w:rPr>
          <w:spacing w:val="-3"/>
          <w:w w:val="105"/>
        </w:rPr>
        <w:t>implementing </w:t>
      </w:r>
      <w:r>
        <w:rPr>
          <w:w w:val="105"/>
        </w:rPr>
        <w:t>the</w:t>
      </w:r>
      <w:r>
        <w:rPr>
          <w:spacing w:val="-10"/>
          <w:w w:val="105"/>
        </w:rPr>
        <w:t> </w:t>
      </w:r>
      <w:r>
        <w:rPr>
          <w:w w:val="105"/>
        </w:rPr>
        <w:t>New</w:t>
      </w:r>
      <w:r>
        <w:rPr>
          <w:spacing w:val="-9"/>
          <w:w w:val="105"/>
        </w:rPr>
        <w:t> </w:t>
      </w:r>
      <w:r>
        <w:rPr>
          <w:w w:val="105"/>
        </w:rPr>
        <w:t>South</w:t>
      </w:r>
      <w:r>
        <w:rPr>
          <w:spacing w:val="-9"/>
          <w:w w:val="105"/>
        </w:rPr>
        <w:t> </w:t>
      </w:r>
      <w:r>
        <w:rPr>
          <w:spacing w:val="-3"/>
          <w:w w:val="105"/>
        </w:rPr>
        <w:t>Wales</w:t>
      </w:r>
      <w:r>
        <w:rPr>
          <w:spacing w:val="-9"/>
          <w:w w:val="105"/>
        </w:rPr>
        <w:t> </w:t>
      </w:r>
      <w:r>
        <w:rPr>
          <w:w w:val="105"/>
        </w:rPr>
        <w:t>approach</w:t>
      </w:r>
      <w:r>
        <w:rPr>
          <w:spacing w:val="-9"/>
          <w:w w:val="105"/>
        </w:rPr>
        <w:t> </w:t>
      </w:r>
      <w:r>
        <w:rPr>
          <w:w w:val="105"/>
        </w:rPr>
        <w:t>in</w:t>
      </w:r>
      <w:r>
        <w:rPr>
          <w:spacing w:val="-9"/>
          <w:w w:val="105"/>
        </w:rPr>
        <w:t> </w:t>
      </w:r>
      <w:r>
        <w:rPr>
          <w:w w:val="105"/>
        </w:rPr>
        <w:t>Victoria</w:t>
      </w:r>
      <w:r>
        <w:rPr>
          <w:spacing w:val="-9"/>
          <w:w w:val="105"/>
        </w:rPr>
        <w:t> </w:t>
      </w:r>
      <w:r>
        <w:rPr>
          <w:w w:val="105"/>
        </w:rPr>
        <w:t>would</w:t>
      </w:r>
      <w:r>
        <w:rPr>
          <w:spacing w:val="-9"/>
          <w:w w:val="105"/>
        </w:rPr>
        <w:t> </w:t>
      </w:r>
      <w:r>
        <w:rPr>
          <w:spacing w:val="-3"/>
          <w:w w:val="105"/>
        </w:rPr>
        <w:t>promote</w:t>
      </w:r>
      <w:r>
        <w:rPr>
          <w:spacing w:val="-9"/>
          <w:w w:val="105"/>
        </w:rPr>
        <w:t> </w:t>
      </w:r>
      <w:r>
        <w:rPr>
          <w:spacing w:val="-3"/>
          <w:w w:val="105"/>
        </w:rPr>
        <w:t>greater</w:t>
      </w:r>
      <w:r>
        <w:rPr>
          <w:spacing w:val="-9"/>
          <w:w w:val="105"/>
        </w:rPr>
        <w:t> </w:t>
      </w:r>
      <w:r>
        <w:rPr>
          <w:w w:val="105"/>
        </w:rPr>
        <w:t>consistency</w:t>
      </w:r>
      <w:r>
        <w:rPr>
          <w:spacing w:val="-9"/>
          <w:w w:val="105"/>
        </w:rPr>
        <w:t> </w:t>
      </w:r>
      <w:r>
        <w:rPr>
          <w:w w:val="105"/>
        </w:rPr>
        <w:t>between </w:t>
      </w:r>
      <w:r>
        <w:rPr>
          <w:spacing w:val="-3"/>
          <w:w w:val="105"/>
        </w:rPr>
        <w:t>jurisdictions.</w:t>
      </w:r>
      <w:r>
        <w:rPr>
          <w:spacing w:val="-3"/>
          <w:w w:val="105"/>
          <w:position w:val="7"/>
          <w:sz w:val="12"/>
        </w:rPr>
        <w:t>146 </w:t>
      </w:r>
      <w:r>
        <w:rPr>
          <w:w w:val="105"/>
        </w:rPr>
        <w:t>A majority of members of the </w:t>
      </w:r>
      <w:r>
        <w:rPr>
          <w:spacing w:val="-4"/>
          <w:w w:val="105"/>
        </w:rPr>
        <w:t>Commission’s </w:t>
      </w:r>
      <w:r>
        <w:rPr>
          <w:spacing w:val="-3"/>
          <w:w w:val="105"/>
        </w:rPr>
        <w:t>succession </w:t>
      </w:r>
      <w:r>
        <w:rPr>
          <w:w w:val="105"/>
        </w:rPr>
        <w:t>laws advisory committee supported the New South </w:t>
      </w:r>
      <w:r>
        <w:rPr>
          <w:spacing w:val="-3"/>
          <w:w w:val="105"/>
        </w:rPr>
        <w:t>Wales eligibility </w:t>
      </w:r>
      <w:r>
        <w:rPr>
          <w:w w:val="105"/>
        </w:rPr>
        <w:t>test, while others supported </w:t>
      </w:r>
      <w:r>
        <w:rPr>
          <w:spacing w:val="-3"/>
          <w:w w:val="105"/>
        </w:rPr>
        <w:t>retaining Victoria’s current</w:t>
      </w:r>
      <w:r>
        <w:rPr>
          <w:spacing w:val="21"/>
          <w:w w:val="105"/>
        </w:rPr>
        <w:t> </w:t>
      </w:r>
      <w:r>
        <w:rPr>
          <w:spacing w:val="-5"/>
          <w:w w:val="105"/>
        </w:rPr>
        <w:t>test.</w:t>
      </w:r>
      <w:r>
        <w:rPr>
          <w:spacing w:val="-5"/>
          <w:w w:val="105"/>
          <w:position w:val="7"/>
          <w:sz w:val="12"/>
        </w:rPr>
        <w:t>147</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5"/>
        </w:rPr>
      </w:pPr>
      <w:r>
        <w:rPr/>
        <w:pict>
          <v:line style="position:absolute;mso-position-horizontal-relative:page;mso-position-vertical-relative:paragraph;z-index:7112;mso-wrap-distance-left:0;mso-wrap-distance-right:0" from="79.370003pt,11.983702pt" to="515.905003pt,11.983702pt" stroked="true" strokeweight="1pt" strokecolor="#f9ceca">
            <v:stroke dashstyle="solid"/>
            <w10:wrap type="topAndBottom"/>
          </v:line>
        </w:pict>
      </w:r>
    </w:p>
    <w:p>
      <w:pPr>
        <w:pStyle w:val="BodyText"/>
        <w:spacing w:before="8"/>
        <w:rPr>
          <w:sz w:val="5"/>
        </w:rPr>
      </w:pPr>
    </w:p>
    <w:p>
      <w:pPr>
        <w:spacing w:after="0"/>
        <w:rPr>
          <w:sz w:val="5"/>
        </w:rPr>
        <w:sectPr>
          <w:pgSz w:w="11910" w:h="16840"/>
          <w:pgMar w:header="550" w:footer="0" w:top="1560" w:bottom="280" w:left="0" w:right="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6"/>
        <w:rPr>
          <w:sz w:val="36"/>
        </w:rPr>
      </w:pPr>
    </w:p>
    <w:p>
      <w:pPr>
        <w:spacing w:before="0"/>
        <w:ind w:left="720" w:right="0" w:firstLine="0"/>
        <w:jc w:val="left"/>
        <w:rPr>
          <w:b/>
          <w:sz w:val="24"/>
        </w:rPr>
      </w:pPr>
      <w:r>
        <w:rPr>
          <w:b/>
          <w:color w:val="EC5A4F"/>
          <w:spacing w:val="-9"/>
          <w:w w:val="110"/>
          <w:sz w:val="24"/>
        </w:rPr>
        <w:t>112</w:t>
      </w:r>
    </w:p>
    <w:p>
      <w:pPr>
        <w:tabs>
          <w:tab w:pos="1246" w:val="left" w:leader="none"/>
        </w:tabs>
        <w:spacing w:before="48"/>
        <w:ind w:left="453" w:right="7250" w:hanging="1"/>
        <w:jc w:val="left"/>
        <w:rPr>
          <w:sz w:val="13"/>
        </w:rPr>
      </w:pPr>
      <w:r>
        <w:rPr/>
        <w:br w:type="column"/>
      </w:r>
      <w:r>
        <w:rPr>
          <w:spacing w:val="-3"/>
          <w:w w:val="105"/>
          <w:sz w:val="13"/>
        </w:rPr>
        <w:t>133</w:t>
        <w:tab/>
      </w:r>
      <w:r>
        <w:rPr>
          <w:w w:val="105"/>
          <w:sz w:val="13"/>
        </w:rPr>
        <w:t>Submission 35 (Andrew Verspaandonk). 134</w:t>
        <w:tab/>
        <w:t>Ibid.</w:t>
      </w:r>
    </w:p>
    <w:p>
      <w:pPr>
        <w:pStyle w:val="ListParagraph"/>
        <w:numPr>
          <w:ilvl w:val="0"/>
          <w:numId w:val="83"/>
        </w:numPr>
        <w:tabs>
          <w:tab w:pos="1246" w:val="left" w:leader="none"/>
          <w:tab w:pos="1247" w:val="left" w:leader="none"/>
        </w:tabs>
        <w:spacing w:line="240" w:lineRule="auto" w:before="3" w:after="0"/>
        <w:ind w:left="1246" w:right="0" w:hanging="793"/>
        <w:jc w:val="left"/>
        <w:rPr>
          <w:sz w:val="13"/>
        </w:rPr>
      </w:pPr>
      <w:r>
        <w:rPr>
          <w:w w:val="105"/>
          <w:sz w:val="13"/>
        </w:rPr>
        <w:t>Submission 39 (Carolyn</w:t>
      </w:r>
      <w:r>
        <w:rPr>
          <w:spacing w:val="13"/>
          <w:w w:val="105"/>
          <w:sz w:val="13"/>
        </w:rPr>
        <w:t> </w:t>
      </w:r>
      <w:r>
        <w:rPr>
          <w:w w:val="105"/>
          <w:sz w:val="13"/>
        </w:rPr>
        <w:t>Sparke).</w:t>
      </w:r>
    </w:p>
    <w:p>
      <w:pPr>
        <w:pStyle w:val="ListParagraph"/>
        <w:numPr>
          <w:ilvl w:val="0"/>
          <w:numId w:val="83"/>
        </w:numPr>
        <w:tabs>
          <w:tab w:pos="1246" w:val="left" w:leader="none"/>
          <w:tab w:pos="1247" w:val="left" w:leader="none"/>
        </w:tabs>
        <w:spacing w:line="240" w:lineRule="auto" w:before="1" w:after="0"/>
        <w:ind w:left="1246" w:right="1965" w:hanging="793"/>
        <w:jc w:val="left"/>
        <w:rPr>
          <w:sz w:val="13"/>
        </w:rPr>
      </w:pPr>
      <w:r>
        <w:rPr>
          <w:w w:val="105"/>
          <w:sz w:val="13"/>
        </w:rPr>
        <w:t>Consultation 3 </w:t>
      </w:r>
      <w:r>
        <w:rPr>
          <w:spacing w:val="2"/>
          <w:w w:val="105"/>
          <w:sz w:val="13"/>
        </w:rPr>
        <w:t>(Legal </w:t>
      </w:r>
      <w:r>
        <w:rPr>
          <w:w w:val="105"/>
          <w:sz w:val="13"/>
        </w:rPr>
        <w:t>practitioners in the Goulburn Valley </w:t>
      </w:r>
      <w:r>
        <w:rPr>
          <w:spacing w:val="3"/>
          <w:w w:val="105"/>
          <w:sz w:val="13"/>
        </w:rPr>
        <w:t>region)—some </w:t>
      </w:r>
      <w:r>
        <w:rPr>
          <w:w w:val="105"/>
          <w:sz w:val="13"/>
        </w:rPr>
        <w:t>participants at this meeting thought the current test should be</w:t>
      </w:r>
      <w:r>
        <w:rPr>
          <w:spacing w:val="4"/>
          <w:w w:val="105"/>
          <w:sz w:val="13"/>
        </w:rPr>
        <w:t> </w:t>
      </w:r>
      <w:r>
        <w:rPr>
          <w:w w:val="105"/>
          <w:sz w:val="13"/>
        </w:rPr>
        <w:t>retained,</w:t>
      </w:r>
      <w:r>
        <w:rPr>
          <w:spacing w:val="5"/>
          <w:w w:val="105"/>
          <w:sz w:val="13"/>
        </w:rPr>
        <w:t> </w:t>
      </w:r>
      <w:r>
        <w:rPr>
          <w:w w:val="105"/>
          <w:sz w:val="13"/>
        </w:rPr>
        <w:t>while</w:t>
      </w:r>
      <w:r>
        <w:rPr>
          <w:spacing w:val="4"/>
          <w:w w:val="105"/>
          <w:sz w:val="13"/>
        </w:rPr>
        <w:t> </w:t>
      </w:r>
      <w:r>
        <w:rPr>
          <w:w w:val="105"/>
          <w:sz w:val="13"/>
        </w:rPr>
        <w:t>others</w:t>
      </w:r>
      <w:r>
        <w:rPr>
          <w:spacing w:val="5"/>
          <w:w w:val="105"/>
          <w:sz w:val="13"/>
        </w:rPr>
        <w:t> </w:t>
      </w:r>
      <w:r>
        <w:rPr>
          <w:w w:val="105"/>
          <w:sz w:val="13"/>
        </w:rPr>
        <w:t>thought</w:t>
      </w:r>
      <w:r>
        <w:rPr>
          <w:spacing w:val="5"/>
          <w:w w:val="105"/>
          <w:sz w:val="13"/>
        </w:rPr>
        <w:t> </w:t>
      </w:r>
      <w:r>
        <w:rPr>
          <w:w w:val="105"/>
          <w:sz w:val="13"/>
        </w:rPr>
        <w:t>that</w:t>
      </w:r>
      <w:r>
        <w:rPr>
          <w:spacing w:val="4"/>
          <w:w w:val="105"/>
          <w:sz w:val="13"/>
        </w:rPr>
        <w:t> </w:t>
      </w:r>
      <w:r>
        <w:rPr>
          <w:w w:val="105"/>
          <w:sz w:val="13"/>
        </w:rPr>
        <w:t>it</w:t>
      </w:r>
      <w:r>
        <w:rPr>
          <w:spacing w:val="5"/>
          <w:w w:val="105"/>
          <w:sz w:val="13"/>
        </w:rPr>
        <w:t> </w:t>
      </w:r>
      <w:r>
        <w:rPr>
          <w:w w:val="105"/>
          <w:sz w:val="13"/>
        </w:rPr>
        <w:t>was</w:t>
      </w:r>
      <w:r>
        <w:rPr>
          <w:spacing w:val="4"/>
          <w:w w:val="105"/>
          <w:sz w:val="13"/>
        </w:rPr>
        <w:t> </w:t>
      </w:r>
      <w:r>
        <w:rPr>
          <w:w w:val="105"/>
          <w:sz w:val="13"/>
        </w:rPr>
        <w:t>too</w:t>
      </w:r>
      <w:r>
        <w:rPr>
          <w:spacing w:val="5"/>
          <w:w w:val="105"/>
          <w:sz w:val="13"/>
        </w:rPr>
        <w:t> </w:t>
      </w:r>
      <w:r>
        <w:rPr>
          <w:w w:val="105"/>
          <w:sz w:val="13"/>
        </w:rPr>
        <w:t>broad.</w:t>
      </w:r>
    </w:p>
    <w:p>
      <w:pPr>
        <w:pStyle w:val="ListParagraph"/>
        <w:numPr>
          <w:ilvl w:val="0"/>
          <w:numId w:val="83"/>
        </w:numPr>
        <w:tabs>
          <w:tab w:pos="1246" w:val="left" w:leader="none"/>
          <w:tab w:pos="1247" w:val="left" w:leader="none"/>
        </w:tabs>
        <w:spacing w:line="240" w:lineRule="auto" w:before="3" w:after="0"/>
        <w:ind w:left="453" w:right="5749" w:firstLine="0"/>
        <w:jc w:val="left"/>
        <w:rPr>
          <w:sz w:val="13"/>
        </w:rPr>
      </w:pPr>
      <w:r>
        <w:rPr>
          <w:w w:val="105"/>
          <w:sz w:val="13"/>
        </w:rPr>
        <w:t>Submissions </w:t>
      </w:r>
      <w:r>
        <w:rPr>
          <w:spacing w:val="-4"/>
          <w:w w:val="105"/>
          <w:sz w:val="13"/>
        </w:rPr>
        <w:t>13 </w:t>
      </w:r>
      <w:r>
        <w:rPr>
          <w:w w:val="105"/>
          <w:sz w:val="13"/>
        </w:rPr>
        <w:t>(David Shalders); </w:t>
      </w:r>
      <w:r>
        <w:rPr>
          <w:spacing w:val="-3"/>
          <w:w w:val="105"/>
          <w:sz w:val="13"/>
        </w:rPr>
        <w:t>14 </w:t>
      </w:r>
      <w:r>
        <w:rPr>
          <w:w w:val="105"/>
          <w:sz w:val="13"/>
        </w:rPr>
        <w:t>(Commercial Bar </w:t>
      </w:r>
      <w:r>
        <w:rPr>
          <w:spacing w:val="2"/>
          <w:w w:val="105"/>
          <w:sz w:val="13"/>
        </w:rPr>
        <w:t>Association). </w:t>
      </w:r>
      <w:r>
        <w:rPr>
          <w:w w:val="105"/>
          <w:sz w:val="13"/>
        </w:rPr>
        <w:t>138</w:t>
        <w:tab/>
        <w:t>Submission </w:t>
      </w:r>
      <w:r>
        <w:rPr>
          <w:spacing w:val="-3"/>
          <w:w w:val="105"/>
          <w:sz w:val="13"/>
        </w:rPr>
        <w:t>14 </w:t>
      </w:r>
      <w:r>
        <w:rPr>
          <w:w w:val="105"/>
          <w:sz w:val="13"/>
        </w:rPr>
        <w:t>(Commercial Bar</w:t>
      </w:r>
      <w:r>
        <w:rPr>
          <w:spacing w:val="21"/>
          <w:w w:val="105"/>
          <w:sz w:val="13"/>
        </w:rPr>
        <w:t> </w:t>
      </w:r>
      <w:r>
        <w:rPr>
          <w:spacing w:val="2"/>
          <w:w w:val="105"/>
          <w:sz w:val="13"/>
        </w:rPr>
        <w:t>Association).</w:t>
      </w:r>
    </w:p>
    <w:p>
      <w:pPr>
        <w:pStyle w:val="ListParagraph"/>
        <w:numPr>
          <w:ilvl w:val="0"/>
          <w:numId w:val="84"/>
        </w:numPr>
        <w:tabs>
          <w:tab w:pos="1246" w:val="left" w:leader="none"/>
          <w:tab w:pos="1247" w:val="left" w:leader="none"/>
        </w:tabs>
        <w:spacing w:line="240" w:lineRule="auto" w:before="2" w:after="0"/>
        <w:ind w:left="1247" w:right="0" w:hanging="794"/>
        <w:jc w:val="left"/>
        <w:rPr>
          <w:sz w:val="13"/>
        </w:rPr>
      </w:pPr>
      <w:r>
        <w:rPr>
          <w:w w:val="105"/>
          <w:sz w:val="13"/>
        </w:rPr>
        <w:t>Submission 8 (Patricia</w:t>
      </w:r>
      <w:r>
        <w:rPr>
          <w:spacing w:val="13"/>
          <w:w w:val="105"/>
          <w:sz w:val="13"/>
        </w:rPr>
        <w:t> </w:t>
      </w:r>
      <w:r>
        <w:rPr>
          <w:w w:val="105"/>
          <w:sz w:val="13"/>
        </w:rPr>
        <w:t>Strachan).</w:t>
      </w:r>
    </w:p>
    <w:p>
      <w:pPr>
        <w:pStyle w:val="ListParagraph"/>
        <w:numPr>
          <w:ilvl w:val="0"/>
          <w:numId w:val="84"/>
        </w:numPr>
        <w:tabs>
          <w:tab w:pos="1246" w:val="left" w:leader="none"/>
          <w:tab w:pos="1247" w:val="left" w:leader="none"/>
        </w:tabs>
        <w:spacing w:line="240" w:lineRule="auto" w:before="2" w:after="0"/>
        <w:ind w:left="1247" w:right="0" w:hanging="794"/>
        <w:jc w:val="left"/>
        <w:rPr>
          <w:sz w:val="13"/>
        </w:rPr>
      </w:pPr>
      <w:r>
        <w:rPr>
          <w:w w:val="105"/>
          <w:sz w:val="13"/>
        </w:rPr>
        <w:t>Submission 23 (Family Voice</w:t>
      </w:r>
      <w:r>
        <w:rPr>
          <w:spacing w:val="18"/>
          <w:w w:val="105"/>
          <w:sz w:val="13"/>
        </w:rPr>
        <w:t> </w:t>
      </w:r>
      <w:r>
        <w:rPr>
          <w:w w:val="105"/>
          <w:sz w:val="13"/>
        </w:rPr>
        <w:t>Australia).</w:t>
      </w:r>
    </w:p>
    <w:p>
      <w:pPr>
        <w:pStyle w:val="ListParagraph"/>
        <w:numPr>
          <w:ilvl w:val="0"/>
          <w:numId w:val="84"/>
        </w:numPr>
        <w:tabs>
          <w:tab w:pos="1246" w:val="left" w:leader="none"/>
          <w:tab w:pos="1247" w:val="left" w:leader="none"/>
        </w:tabs>
        <w:spacing w:line="240" w:lineRule="auto" w:before="1" w:after="0"/>
        <w:ind w:left="1247" w:right="0" w:hanging="794"/>
        <w:jc w:val="left"/>
        <w:rPr>
          <w:sz w:val="13"/>
        </w:rPr>
      </w:pPr>
      <w:r>
        <w:rPr>
          <w:w w:val="105"/>
          <w:sz w:val="13"/>
        </w:rPr>
        <w:t>Submission 38 </w:t>
      </w:r>
      <w:r>
        <w:rPr>
          <w:spacing w:val="2"/>
          <w:w w:val="105"/>
          <w:sz w:val="13"/>
        </w:rPr>
        <w:t>(Liz</w:t>
      </w:r>
      <w:r>
        <w:rPr>
          <w:spacing w:val="13"/>
          <w:w w:val="105"/>
          <w:sz w:val="13"/>
        </w:rPr>
        <w:t> </w:t>
      </w:r>
      <w:r>
        <w:rPr>
          <w:w w:val="105"/>
          <w:sz w:val="13"/>
        </w:rPr>
        <w:t>Burton).</w:t>
      </w:r>
    </w:p>
    <w:p>
      <w:pPr>
        <w:pStyle w:val="ListParagraph"/>
        <w:numPr>
          <w:ilvl w:val="0"/>
          <w:numId w:val="84"/>
        </w:numPr>
        <w:tabs>
          <w:tab w:pos="1246" w:val="left" w:leader="none"/>
          <w:tab w:pos="1247" w:val="left" w:leader="none"/>
        </w:tabs>
        <w:spacing w:line="240" w:lineRule="auto" w:before="1" w:after="0"/>
        <w:ind w:left="1247" w:right="0" w:hanging="794"/>
        <w:jc w:val="left"/>
        <w:rPr>
          <w:sz w:val="13"/>
        </w:rPr>
      </w:pPr>
      <w:r>
        <w:rPr>
          <w:w w:val="105"/>
          <w:sz w:val="13"/>
        </w:rPr>
        <w:t>Submission </w:t>
      </w:r>
      <w:r>
        <w:rPr>
          <w:spacing w:val="-3"/>
          <w:w w:val="105"/>
          <w:sz w:val="13"/>
        </w:rPr>
        <w:t>19 </w:t>
      </w:r>
      <w:r>
        <w:rPr>
          <w:spacing w:val="2"/>
          <w:w w:val="105"/>
          <w:sz w:val="13"/>
        </w:rPr>
        <w:t>(Association </w:t>
      </w:r>
      <w:r>
        <w:rPr>
          <w:w w:val="105"/>
          <w:sz w:val="13"/>
        </w:rPr>
        <w:t>of Independent</w:t>
      </w:r>
      <w:r>
        <w:rPr>
          <w:spacing w:val="23"/>
          <w:w w:val="105"/>
          <w:sz w:val="13"/>
        </w:rPr>
        <w:t> </w:t>
      </w:r>
      <w:r>
        <w:rPr>
          <w:w w:val="105"/>
          <w:sz w:val="13"/>
        </w:rPr>
        <w:t>Retirees).</w:t>
      </w:r>
    </w:p>
    <w:p>
      <w:pPr>
        <w:pStyle w:val="ListParagraph"/>
        <w:numPr>
          <w:ilvl w:val="0"/>
          <w:numId w:val="84"/>
        </w:numPr>
        <w:tabs>
          <w:tab w:pos="1246" w:val="left" w:leader="none"/>
          <w:tab w:pos="1247" w:val="left" w:leader="none"/>
        </w:tabs>
        <w:spacing w:line="240" w:lineRule="auto" w:before="2" w:after="0"/>
        <w:ind w:left="1247" w:right="0" w:hanging="794"/>
        <w:jc w:val="left"/>
        <w:rPr>
          <w:sz w:val="13"/>
        </w:rPr>
      </w:pPr>
      <w:r>
        <w:rPr>
          <w:w w:val="105"/>
          <w:sz w:val="13"/>
        </w:rPr>
        <w:t>Submission 30a </w:t>
      </w:r>
      <w:r>
        <w:rPr>
          <w:spacing w:val="3"/>
          <w:w w:val="105"/>
          <w:sz w:val="13"/>
        </w:rPr>
        <w:t>(Law </w:t>
      </w:r>
      <w:r>
        <w:rPr>
          <w:w w:val="105"/>
          <w:sz w:val="13"/>
        </w:rPr>
        <w:t>Institute of</w:t>
      </w:r>
      <w:r>
        <w:rPr>
          <w:spacing w:val="19"/>
          <w:w w:val="105"/>
          <w:sz w:val="13"/>
        </w:rPr>
        <w:t> </w:t>
      </w:r>
      <w:r>
        <w:rPr>
          <w:spacing w:val="2"/>
          <w:w w:val="105"/>
          <w:sz w:val="13"/>
        </w:rPr>
        <w:t>Victoria).</w:t>
      </w:r>
    </w:p>
    <w:p>
      <w:pPr>
        <w:pStyle w:val="ListParagraph"/>
        <w:numPr>
          <w:ilvl w:val="0"/>
          <w:numId w:val="84"/>
        </w:numPr>
        <w:tabs>
          <w:tab w:pos="1246" w:val="left" w:leader="none"/>
          <w:tab w:pos="1247" w:val="left" w:leader="none"/>
        </w:tabs>
        <w:spacing w:line="240" w:lineRule="auto" w:before="1" w:after="0"/>
        <w:ind w:left="1247" w:right="1591" w:hanging="794"/>
        <w:jc w:val="left"/>
        <w:rPr>
          <w:sz w:val="13"/>
        </w:rPr>
      </w:pPr>
      <w:r>
        <w:rPr>
          <w:w w:val="105"/>
          <w:sz w:val="13"/>
        </w:rPr>
        <w:t>Submissions 1 </w:t>
      </w:r>
      <w:r>
        <w:rPr>
          <w:spacing w:val="2"/>
          <w:w w:val="105"/>
          <w:sz w:val="13"/>
        </w:rPr>
        <w:t>(Legal </w:t>
      </w:r>
      <w:r>
        <w:rPr>
          <w:w w:val="105"/>
          <w:sz w:val="13"/>
        </w:rPr>
        <w:t>Services Commissioner); </w:t>
      </w:r>
      <w:r>
        <w:rPr>
          <w:spacing w:val="-3"/>
          <w:w w:val="105"/>
          <w:sz w:val="13"/>
        </w:rPr>
        <w:t>15  </w:t>
      </w:r>
      <w:r>
        <w:rPr>
          <w:w w:val="105"/>
          <w:sz w:val="13"/>
        </w:rPr>
        <w:t>(Alzheimer’s Australia); 32 </w:t>
      </w:r>
      <w:r>
        <w:rPr>
          <w:spacing w:val="2"/>
          <w:w w:val="105"/>
          <w:sz w:val="13"/>
        </w:rPr>
        <w:t>(The </w:t>
      </w:r>
      <w:r>
        <w:rPr>
          <w:w w:val="105"/>
          <w:sz w:val="13"/>
        </w:rPr>
        <w:t>Institute of Legal Executives); 33 (State Trustees Limited);   36 </w:t>
      </w:r>
      <w:r>
        <w:rPr>
          <w:spacing w:val="3"/>
          <w:w w:val="105"/>
          <w:sz w:val="13"/>
        </w:rPr>
        <w:t>(Law </w:t>
      </w:r>
      <w:r>
        <w:rPr>
          <w:w w:val="105"/>
          <w:sz w:val="13"/>
        </w:rPr>
        <w:t>Society of New South Wales); 42b (Arnold Bloch Leibler), although Arnold Bloch Leibler suggested that grandchildren should be permitted to claim irrespective of dependence. See also submission 46 </w:t>
      </w:r>
      <w:r>
        <w:rPr>
          <w:spacing w:val="2"/>
          <w:w w:val="105"/>
          <w:sz w:val="13"/>
        </w:rPr>
        <w:t>(Robert </w:t>
      </w:r>
      <w:r>
        <w:rPr>
          <w:w w:val="105"/>
          <w:sz w:val="13"/>
        </w:rPr>
        <w:t>Cornall </w:t>
      </w:r>
      <w:r>
        <w:rPr>
          <w:spacing w:val="2"/>
          <w:w w:val="105"/>
          <w:sz w:val="13"/>
        </w:rPr>
        <w:t>AO), </w:t>
      </w:r>
      <w:r>
        <w:rPr>
          <w:w w:val="105"/>
          <w:sz w:val="13"/>
        </w:rPr>
        <w:t>which expressed the view that eligibility ‘should be</w:t>
      </w:r>
      <w:r>
        <w:rPr>
          <w:spacing w:val="4"/>
          <w:w w:val="105"/>
          <w:sz w:val="13"/>
        </w:rPr>
        <w:t> </w:t>
      </w:r>
      <w:r>
        <w:rPr>
          <w:w w:val="105"/>
          <w:sz w:val="13"/>
        </w:rPr>
        <w:t>significantly</w:t>
      </w:r>
      <w:r>
        <w:rPr>
          <w:spacing w:val="5"/>
          <w:w w:val="105"/>
          <w:sz w:val="13"/>
        </w:rPr>
        <w:t> </w:t>
      </w:r>
      <w:r>
        <w:rPr>
          <w:w w:val="105"/>
          <w:sz w:val="13"/>
        </w:rPr>
        <w:t>tightened</w:t>
      </w:r>
      <w:r>
        <w:rPr>
          <w:spacing w:val="5"/>
          <w:w w:val="105"/>
          <w:sz w:val="13"/>
        </w:rPr>
        <w:t> </w:t>
      </w:r>
      <w:r>
        <w:rPr>
          <w:w w:val="105"/>
          <w:sz w:val="13"/>
        </w:rPr>
        <w:t>(possibly</w:t>
      </w:r>
      <w:r>
        <w:rPr>
          <w:spacing w:val="5"/>
          <w:w w:val="105"/>
          <w:sz w:val="13"/>
        </w:rPr>
        <w:t> </w:t>
      </w:r>
      <w:r>
        <w:rPr>
          <w:w w:val="105"/>
          <w:sz w:val="13"/>
        </w:rPr>
        <w:t>along</w:t>
      </w:r>
      <w:r>
        <w:rPr>
          <w:spacing w:val="5"/>
          <w:w w:val="105"/>
          <w:sz w:val="13"/>
        </w:rPr>
        <w:t> </w:t>
      </w:r>
      <w:r>
        <w:rPr>
          <w:w w:val="105"/>
          <w:sz w:val="13"/>
        </w:rPr>
        <w:t>the</w:t>
      </w:r>
      <w:r>
        <w:rPr>
          <w:spacing w:val="4"/>
          <w:w w:val="105"/>
          <w:sz w:val="13"/>
        </w:rPr>
        <w:t> </w:t>
      </w:r>
      <w:r>
        <w:rPr>
          <w:w w:val="105"/>
          <w:sz w:val="13"/>
        </w:rPr>
        <w:t>lines</w:t>
      </w:r>
      <w:r>
        <w:rPr>
          <w:spacing w:val="5"/>
          <w:w w:val="105"/>
          <w:sz w:val="13"/>
        </w:rPr>
        <w:t> </w:t>
      </w:r>
      <w:r>
        <w:rPr>
          <w:w w:val="105"/>
          <w:sz w:val="13"/>
        </w:rPr>
        <w:t>of</w:t>
      </w:r>
      <w:r>
        <w:rPr>
          <w:spacing w:val="5"/>
          <w:w w:val="105"/>
          <w:sz w:val="13"/>
        </w:rPr>
        <w:t> </w:t>
      </w:r>
      <w:r>
        <w:rPr>
          <w:w w:val="105"/>
          <w:sz w:val="13"/>
        </w:rPr>
        <w:t>the</w:t>
      </w:r>
      <w:r>
        <w:rPr>
          <w:spacing w:val="5"/>
          <w:w w:val="105"/>
          <w:sz w:val="13"/>
        </w:rPr>
        <w:t> </w:t>
      </w:r>
      <w:r>
        <w:rPr>
          <w:w w:val="105"/>
          <w:sz w:val="13"/>
        </w:rPr>
        <w:t>New</w:t>
      </w:r>
      <w:r>
        <w:rPr>
          <w:spacing w:val="5"/>
          <w:w w:val="105"/>
          <w:sz w:val="13"/>
        </w:rPr>
        <w:t> </w:t>
      </w:r>
      <w:r>
        <w:rPr>
          <w:w w:val="105"/>
          <w:sz w:val="13"/>
        </w:rPr>
        <w:t>South</w:t>
      </w:r>
      <w:r>
        <w:rPr>
          <w:spacing w:val="4"/>
          <w:w w:val="105"/>
          <w:sz w:val="13"/>
        </w:rPr>
        <w:t> </w:t>
      </w:r>
      <w:r>
        <w:rPr>
          <w:w w:val="105"/>
          <w:sz w:val="13"/>
        </w:rPr>
        <w:t>Wales</w:t>
      </w:r>
      <w:r>
        <w:rPr>
          <w:spacing w:val="5"/>
          <w:w w:val="105"/>
          <w:sz w:val="13"/>
        </w:rPr>
        <w:t> </w:t>
      </w:r>
      <w:r>
        <w:rPr>
          <w:w w:val="105"/>
          <w:sz w:val="13"/>
        </w:rPr>
        <w:t>legislation)’.</w:t>
      </w:r>
    </w:p>
    <w:p>
      <w:pPr>
        <w:pStyle w:val="ListParagraph"/>
        <w:numPr>
          <w:ilvl w:val="0"/>
          <w:numId w:val="84"/>
        </w:numPr>
        <w:tabs>
          <w:tab w:pos="1246" w:val="left" w:leader="none"/>
          <w:tab w:pos="1247" w:val="left" w:leader="none"/>
        </w:tabs>
        <w:spacing w:line="240" w:lineRule="auto" w:before="5" w:after="0"/>
        <w:ind w:left="453" w:right="7310" w:firstLine="0"/>
        <w:jc w:val="left"/>
        <w:rPr>
          <w:sz w:val="13"/>
        </w:rPr>
      </w:pPr>
      <w:r>
        <w:rPr>
          <w:w w:val="105"/>
          <w:sz w:val="13"/>
        </w:rPr>
        <w:t>Submission 33 (State Trustees Limited). 146</w:t>
        <w:tab/>
        <w:t>Ibid.</w:t>
      </w:r>
    </w:p>
    <w:p>
      <w:pPr>
        <w:tabs>
          <w:tab w:pos="1247" w:val="left" w:leader="none"/>
        </w:tabs>
        <w:spacing w:before="3"/>
        <w:ind w:left="453" w:right="0" w:firstLine="0"/>
        <w:jc w:val="left"/>
        <w:rPr>
          <w:sz w:val="13"/>
        </w:rPr>
      </w:pPr>
      <w:r>
        <w:rPr>
          <w:spacing w:val="-3"/>
          <w:w w:val="105"/>
          <w:sz w:val="13"/>
        </w:rPr>
        <w:t>147</w:t>
        <w:tab/>
      </w:r>
      <w:r>
        <w:rPr>
          <w:w w:val="105"/>
          <w:sz w:val="13"/>
        </w:rPr>
        <w:t>Advisory Committee (Meeting</w:t>
      </w:r>
      <w:r>
        <w:rPr>
          <w:spacing w:val="13"/>
          <w:w w:val="105"/>
          <w:sz w:val="13"/>
        </w:rPr>
        <w:t> </w:t>
      </w:r>
      <w:r>
        <w:rPr>
          <w:spacing w:val="3"/>
          <w:w w:val="105"/>
          <w:sz w:val="13"/>
        </w:rPr>
        <w:t>3).</w:t>
      </w:r>
    </w:p>
    <w:p>
      <w:pPr>
        <w:spacing w:after="0"/>
        <w:jc w:val="left"/>
        <w:rPr>
          <w:sz w:val="13"/>
        </w:rPr>
        <w:sectPr>
          <w:type w:val="continuous"/>
          <w:pgSz w:w="11910" w:h="16840"/>
          <w:pgMar w:top="920" w:bottom="280" w:left="0" w:right="0"/>
          <w:cols w:num="2" w:equalWidth="0">
            <w:col w:w="1095" w:space="40"/>
            <w:col w:w="10775"/>
          </w:cols>
        </w:sectPr>
      </w:pPr>
    </w:p>
    <w:p>
      <w:pPr>
        <w:pStyle w:val="BodyText"/>
        <w:rPr>
          <w:sz w:val="20"/>
        </w:rPr>
      </w:pPr>
    </w:p>
    <w:p>
      <w:pPr>
        <w:pStyle w:val="BodyText"/>
        <w:rPr>
          <w:sz w:val="19"/>
        </w:rPr>
      </w:pPr>
    </w:p>
    <w:p>
      <w:pPr>
        <w:pStyle w:val="ListParagraph"/>
        <w:numPr>
          <w:ilvl w:val="1"/>
          <w:numId w:val="82"/>
        </w:numPr>
        <w:tabs>
          <w:tab w:pos="2380" w:val="left" w:leader="none"/>
          <w:tab w:pos="2381" w:val="left" w:leader="none"/>
        </w:tabs>
        <w:spacing w:line="242" w:lineRule="auto" w:before="91" w:after="0"/>
        <w:ind w:left="2381" w:right="1997" w:hanging="794"/>
        <w:jc w:val="left"/>
        <w:rPr>
          <w:sz w:val="12"/>
        </w:rPr>
      </w:pPr>
      <w:r>
        <w:rPr>
          <w:w w:val="105"/>
          <w:sz w:val="21"/>
        </w:rPr>
        <w:t>The </w:t>
      </w:r>
      <w:r>
        <w:rPr>
          <w:spacing w:val="-3"/>
          <w:w w:val="105"/>
          <w:sz w:val="21"/>
        </w:rPr>
        <w:t>Supreme Court </w:t>
      </w:r>
      <w:r>
        <w:rPr>
          <w:w w:val="105"/>
          <w:sz w:val="21"/>
        </w:rPr>
        <w:t>of New South </w:t>
      </w:r>
      <w:r>
        <w:rPr>
          <w:spacing w:val="-3"/>
          <w:w w:val="105"/>
          <w:sz w:val="21"/>
        </w:rPr>
        <w:t>Wales </w:t>
      </w:r>
      <w:r>
        <w:rPr>
          <w:w w:val="105"/>
          <w:sz w:val="21"/>
        </w:rPr>
        <w:t>and legal practitioners put the view </w:t>
      </w:r>
      <w:r>
        <w:rPr>
          <w:spacing w:val="-3"/>
          <w:w w:val="105"/>
          <w:sz w:val="21"/>
        </w:rPr>
        <w:t>that </w:t>
      </w:r>
      <w:r>
        <w:rPr>
          <w:w w:val="105"/>
          <w:sz w:val="21"/>
        </w:rPr>
        <w:t>the New South </w:t>
      </w:r>
      <w:r>
        <w:rPr>
          <w:spacing w:val="-3"/>
          <w:w w:val="105"/>
          <w:sz w:val="21"/>
        </w:rPr>
        <w:t>Wales </w:t>
      </w:r>
      <w:r>
        <w:rPr>
          <w:w w:val="105"/>
          <w:sz w:val="21"/>
        </w:rPr>
        <w:t>model is </w:t>
      </w:r>
      <w:r>
        <w:rPr>
          <w:spacing w:val="-3"/>
          <w:w w:val="105"/>
          <w:sz w:val="21"/>
        </w:rPr>
        <w:t>operating </w:t>
      </w:r>
      <w:r>
        <w:rPr>
          <w:spacing w:val="-5"/>
          <w:w w:val="105"/>
          <w:sz w:val="21"/>
        </w:rPr>
        <w:t>well.</w:t>
      </w:r>
      <w:r>
        <w:rPr>
          <w:spacing w:val="-5"/>
          <w:w w:val="105"/>
          <w:position w:val="7"/>
          <w:sz w:val="12"/>
        </w:rPr>
        <w:t>148 </w:t>
      </w:r>
      <w:r>
        <w:rPr>
          <w:spacing w:val="-4"/>
          <w:w w:val="105"/>
          <w:sz w:val="21"/>
        </w:rPr>
        <w:t>However, </w:t>
      </w:r>
      <w:r>
        <w:rPr>
          <w:w w:val="105"/>
          <w:sz w:val="21"/>
        </w:rPr>
        <w:t>the Law Society of New South </w:t>
      </w:r>
      <w:r>
        <w:rPr>
          <w:spacing w:val="-3"/>
          <w:w w:val="105"/>
          <w:sz w:val="21"/>
        </w:rPr>
        <w:t>Wales </w:t>
      </w:r>
      <w:r>
        <w:rPr>
          <w:w w:val="105"/>
          <w:sz w:val="21"/>
        </w:rPr>
        <w:t>suggested </w:t>
      </w:r>
      <w:r>
        <w:rPr>
          <w:spacing w:val="-3"/>
          <w:w w:val="105"/>
          <w:sz w:val="21"/>
        </w:rPr>
        <w:t>that stepchildren </w:t>
      </w:r>
      <w:r>
        <w:rPr>
          <w:w w:val="105"/>
          <w:sz w:val="21"/>
        </w:rPr>
        <w:t>should be </w:t>
      </w:r>
      <w:r>
        <w:rPr>
          <w:spacing w:val="-3"/>
          <w:w w:val="105"/>
          <w:sz w:val="21"/>
        </w:rPr>
        <w:t>included </w:t>
      </w:r>
      <w:r>
        <w:rPr>
          <w:w w:val="105"/>
          <w:sz w:val="21"/>
        </w:rPr>
        <w:t>in the list of </w:t>
      </w:r>
      <w:r>
        <w:rPr>
          <w:spacing w:val="-3"/>
          <w:w w:val="105"/>
          <w:sz w:val="21"/>
        </w:rPr>
        <w:t>eligible </w:t>
      </w:r>
      <w:r>
        <w:rPr>
          <w:w w:val="105"/>
          <w:sz w:val="21"/>
        </w:rPr>
        <w:t>applicants who must show ‘factors which </w:t>
      </w:r>
      <w:r>
        <w:rPr>
          <w:spacing w:val="-3"/>
          <w:w w:val="105"/>
          <w:sz w:val="21"/>
        </w:rPr>
        <w:t>warrant </w:t>
      </w:r>
      <w:r>
        <w:rPr>
          <w:w w:val="105"/>
          <w:sz w:val="21"/>
        </w:rPr>
        <w:t>the </w:t>
      </w:r>
      <w:r>
        <w:rPr>
          <w:spacing w:val="-3"/>
          <w:w w:val="105"/>
          <w:sz w:val="21"/>
        </w:rPr>
        <w:t>making </w:t>
      </w:r>
      <w:r>
        <w:rPr>
          <w:w w:val="105"/>
          <w:sz w:val="21"/>
        </w:rPr>
        <w:t>of the </w:t>
      </w:r>
      <w:r>
        <w:rPr>
          <w:spacing w:val="-5"/>
          <w:w w:val="105"/>
          <w:sz w:val="21"/>
        </w:rPr>
        <w:t>application’.</w:t>
      </w:r>
      <w:r>
        <w:rPr>
          <w:spacing w:val="-5"/>
          <w:w w:val="105"/>
          <w:position w:val="7"/>
          <w:sz w:val="12"/>
        </w:rPr>
        <w:t>149 </w:t>
      </w:r>
      <w:r>
        <w:rPr>
          <w:spacing w:val="-3"/>
          <w:w w:val="105"/>
          <w:sz w:val="21"/>
        </w:rPr>
        <w:t>Presently, stepchildren</w:t>
      </w:r>
      <w:r>
        <w:rPr>
          <w:spacing w:val="-10"/>
          <w:w w:val="105"/>
          <w:sz w:val="21"/>
        </w:rPr>
        <w:t> </w:t>
      </w:r>
      <w:r>
        <w:rPr>
          <w:w w:val="105"/>
          <w:sz w:val="21"/>
        </w:rPr>
        <w:t>who</w:t>
      </w:r>
      <w:r>
        <w:rPr>
          <w:spacing w:val="-9"/>
          <w:w w:val="105"/>
          <w:sz w:val="21"/>
        </w:rPr>
        <w:t> </w:t>
      </w:r>
      <w:r>
        <w:rPr>
          <w:spacing w:val="-2"/>
          <w:w w:val="105"/>
          <w:sz w:val="21"/>
        </w:rPr>
        <w:t>had</w:t>
      </w:r>
      <w:r>
        <w:rPr>
          <w:spacing w:val="-9"/>
          <w:w w:val="105"/>
          <w:sz w:val="21"/>
        </w:rPr>
        <w:t> </w:t>
      </w:r>
      <w:r>
        <w:rPr>
          <w:w w:val="105"/>
          <w:sz w:val="21"/>
        </w:rPr>
        <w:t>been</w:t>
      </w:r>
      <w:r>
        <w:rPr>
          <w:spacing w:val="-9"/>
          <w:w w:val="105"/>
          <w:sz w:val="21"/>
        </w:rPr>
        <w:t> </w:t>
      </w:r>
      <w:r>
        <w:rPr>
          <w:w w:val="105"/>
          <w:sz w:val="21"/>
        </w:rPr>
        <w:t>dependent</w:t>
      </w:r>
      <w:r>
        <w:rPr>
          <w:spacing w:val="-9"/>
          <w:w w:val="105"/>
          <w:sz w:val="21"/>
        </w:rPr>
        <w:t> </w:t>
      </w:r>
      <w:r>
        <w:rPr>
          <w:w w:val="105"/>
          <w:sz w:val="21"/>
        </w:rPr>
        <w:t>members</w:t>
      </w:r>
      <w:r>
        <w:rPr>
          <w:spacing w:val="-9"/>
          <w:w w:val="105"/>
          <w:sz w:val="21"/>
        </w:rPr>
        <w:t> </w:t>
      </w:r>
      <w:r>
        <w:rPr>
          <w:w w:val="105"/>
          <w:sz w:val="21"/>
        </w:rPr>
        <w:t>of</w:t>
      </w:r>
      <w:r>
        <w:rPr>
          <w:spacing w:val="-9"/>
          <w:w w:val="105"/>
          <w:sz w:val="21"/>
        </w:rPr>
        <w:t> </w:t>
      </w:r>
      <w:r>
        <w:rPr>
          <w:w w:val="105"/>
          <w:sz w:val="21"/>
        </w:rPr>
        <w:t>the</w:t>
      </w:r>
      <w:r>
        <w:rPr>
          <w:spacing w:val="-10"/>
          <w:w w:val="105"/>
          <w:sz w:val="21"/>
        </w:rPr>
        <w:t> </w:t>
      </w:r>
      <w:r>
        <w:rPr>
          <w:w w:val="105"/>
          <w:sz w:val="21"/>
        </w:rPr>
        <w:t>deceased</w:t>
      </w:r>
      <w:r>
        <w:rPr>
          <w:spacing w:val="-9"/>
          <w:w w:val="105"/>
          <w:sz w:val="21"/>
        </w:rPr>
        <w:t> </w:t>
      </w:r>
      <w:r>
        <w:rPr>
          <w:spacing w:val="-3"/>
          <w:w w:val="105"/>
          <w:sz w:val="21"/>
        </w:rPr>
        <w:t>person’s</w:t>
      </w:r>
      <w:r>
        <w:rPr>
          <w:spacing w:val="-9"/>
          <w:w w:val="105"/>
          <w:sz w:val="21"/>
        </w:rPr>
        <w:t> </w:t>
      </w:r>
      <w:r>
        <w:rPr>
          <w:w w:val="105"/>
          <w:sz w:val="21"/>
        </w:rPr>
        <w:t>household would be permitted </w:t>
      </w:r>
      <w:r>
        <w:rPr>
          <w:spacing w:val="-3"/>
          <w:w w:val="105"/>
          <w:sz w:val="21"/>
        </w:rPr>
        <w:t>to </w:t>
      </w:r>
      <w:r>
        <w:rPr>
          <w:spacing w:val="-5"/>
          <w:w w:val="105"/>
          <w:sz w:val="21"/>
        </w:rPr>
        <w:t>claim.</w:t>
      </w:r>
      <w:r>
        <w:rPr>
          <w:spacing w:val="-5"/>
          <w:w w:val="105"/>
          <w:position w:val="7"/>
          <w:sz w:val="12"/>
        </w:rPr>
        <w:t>150 </w:t>
      </w:r>
      <w:r>
        <w:rPr>
          <w:spacing w:val="-4"/>
          <w:w w:val="105"/>
          <w:sz w:val="21"/>
        </w:rPr>
        <w:t>However, </w:t>
      </w:r>
      <w:r>
        <w:rPr>
          <w:spacing w:val="-3"/>
          <w:w w:val="105"/>
          <w:sz w:val="21"/>
        </w:rPr>
        <w:t>stepchildren </w:t>
      </w:r>
      <w:r>
        <w:rPr>
          <w:w w:val="105"/>
          <w:sz w:val="21"/>
        </w:rPr>
        <w:t>would otherwise be </w:t>
      </w:r>
      <w:r>
        <w:rPr>
          <w:spacing w:val="-3"/>
          <w:w w:val="105"/>
          <w:sz w:val="21"/>
        </w:rPr>
        <w:t>excluded. </w:t>
      </w:r>
      <w:r>
        <w:rPr>
          <w:w w:val="105"/>
          <w:sz w:val="21"/>
        </w:rPr>
        <w:t>The Elder Law and </w:t>
      </w:r>
      <w:r>
        <w:rPr>
          <w:spacing w:val="-3"/>
          <w:w w:val="105"/>
          <w:sz w:val="21"/>
        </w:rPr>
        <w:t>Succession Committee </w:t>
      </w:r>
      <w:r>
        <w:rPr>
          <w:w w:val="105"/>
          <w:sz w:val="21"/>
        </w:rPr>
        <w:t>of the New South </w:t>
      </w:r>
      <w:r>
        <w:rPr>
          <w:spacing w:val="-3"/>
          <w:w w:val="105"/>
          <w:sz w:val="21"/>
        </w:rPr>
        <w:t>Wales </w:t>
      </w:r>
      <w:r>
        <w:rPr>
          <w:w w:val="105"/>
          <w:sz w:val="21"/>
        </w:rPr>
        <w:t>Law Society </w:t>
      </w:r>
      <w:r>
        <w:rPr>
          <w:spacing w:val="-2"/>
          <w:w w:val="105"/>
          <w:sz w:val="21"/>
        </w:rPr>
        <w:t>has </w:t>
      </w:r>
      <w:r>
        <w:rPr>
          <w:w w:val="105"/>
          <w:sz w:val="21"/>
        </w:rPr>
        <w:t>recommended </w:t>
      </w:r>
      <w:r>
        <w:rPr>
          <w:spacing w:val="-3"/>
          <w:w w:val="105"/>
          <w:sz w:val="21"/>
        </w:rPr>
        <w:t>that stepchildren </w:t>
      </w:r>
      <w:r>
        <w:rPr>
          <w:w w:val="105"/>
          <w:sz w:val="21"/>
        </w:rPr>
        <w:t>be </w:t>
      </w:r>
      <w:r>
        <w:rPr>
          <w:spacing w:val="-3"/>
          <w:w w:val="105"/>
          <w:sz w:val="21"/>
        </w:rPr>
        <w:t>included </w:t>
      </w:r>
      <w:r>
        <w:rPr>
          <w:w w:val="105"/>
          <w:sz w:val="21"/>
        </w:rPr>
        <w:t>in the New South </w:t>
      </w:r>
      <w:r>
        <w:rPr>
          <w:spacing w:val="-3"/>
          <w:w w:val="105"/>
          <w:sz w:val="21"/>
        </w:rPr>
        <w:t>Wales</w:t>
      </w:r>
      <w:r>
        <w:rPr>
          <w:spacing w:val="2"/>
          <w:w w:val="105"/>
          <w:sz w:val="21"/>
        </w:rPr>
        <w:t> </w:t>
      </w:r>
      <w:r>
        <w:rPr>
          <w:spacing w:val="-5"/>
          <w:w w:val="105"/>
          <w:sz w:val="21"/>
        </w:rPr>
        <w:t>legislation.</w:t>
      </w:r>
      <w:r>
        <w:rPr>
          <w:spacing w:val="-5"/>
          <w:w w:val="105"/>
          <w:position w:val="7"/>
          <w:sz w:val="12"/>
        </w:rPr>
        <w:t>151</w:t>
      </w:r>
    </w:p>
    <w:p>
      <w:pPr>
        <w:pStyle w:val="ListParagraph"/>
        <w:numPr>
          <w:ilvl w:val="1"/>
          <w:numId w:val="82"/>
        </w:numPr>
        <w:tabs>
          <w:tab w:pos="2380" w:val="left" w:leader="none"/>
          <w:tab w:pos="2381" w:val="left" w:leader="none"/>
        </w:tabs>
        <w:spacing w:line="242" w:lineRule="auto" w:before="129" w:after="0"/>
        <w:ind w:left="2381" w:right="1719" w:hanging="794"/>
        <w:jc w:val="left"/>
        <w:rPr>
          <w:sz w:val="21"/>
        </w:rPr>
      </w:pPr>
      <w:r>
        <w:rPr>
          <w:w w:val="105"/>
          <w:sz w:val="21"/>
        </w:rPr>
        <w:t>The Law Society of New South </w:t>
      </w:r>
      <w:r>
        <w:rPr>
          <w:spacing w:val="-3"/>
          <w:w w:val="105"/>
          <w:sz w:val="21"/>
        </w:rPr>
        <w:t>Wales noted that </w:t>
      </w:r>
      <w:r>
        <w:rPr>
          <w:w w:val="105"/>
          <w:sz w:val="21"/>
        </w:rPr>
        <w:t>there is a possibility </w:t>
      </w:r>
      <w:r>
        <w:rPr>
          <w:spacing w:val="-3"/>
          <w:w w:val="105"/>
          <w:sz w:val="21"/>
        </w:rPr>
        <w:t>that </w:t>
      </w:r>
      <w:r>
        <w:rPr>
          <w:w w:val="105"/>
          <w:sz w:val="21"/>
        </w:rPr>
        <w:t>when a </w:t>
      </w:r>
      <w:r>
        <w:rPr>
          <w:spacing w:val="-3"/>
          <w:w w:val="105"/>
          <w:sz w:val="21"/>
        </w:rPr>
        <w:t>person’s natural parent </w:t>
      </w:r>
      <w:r>
        <w:rPr>
          <w:w w:val="105"/>
          <w:sz w:val="21"/>
        </w:rPr>
        <w:t>dies, their </w:t>
      </w:r>
      <w:r>
        <w:rPr>
          <w:spacing w:val="-3"/>
          <w:w w:val="105"/>
          <w:sz w:val="21"/>
        </w:rPr>
        <w:t>entire </w:t>
      </w:r>
      <w:r>
        <w:rPr>
          <w:w w:val="105"/>
          <w:sz w:val="21"/>
        </w:rPr>
        <w:t>estate </w:t>
      </w:r>
      <w:r>
        <w:rPr>
          <w:spacing w:val="-3"/>
          <w:w w:val="105"/>
          <w:sz w:val="21"/>
        </w:rPr>
        <w:t>may </w:t>
      </w:r>
      <w:r>
        <w:rPr>
          <w:w w:val="105"/>
          <w:sz w:val="21"/>
        </w:rPr>
        <w:t>pass </w:t>
      </w:r>
      <w:r>
        <w:rPr>
          <w:spacing w:val="-3"/>
          <w:w w:val="105"/>
          <w:sz w:val="21"/>
        </w:rPr>
        <w:t>to </w:t>
      </w:r>
      <w:r>
        <w:rPr>
          <w:w w:val="105"/>
          <w:sz w:val="21"/>
        </w:rPr>
        <w:t>their spouse (the </w:t>
      </w:r>
      <w:r>
        <w:rPr>
          <w:spacing w:val="-3"/>
          <w:w w:val="105"/>
          <w:sz w:val="21"/>
        </w:rPr>
        <w:t>person’s </w:t>
      </w:r>
      <w:r>
        <w:rPr>
          <w:w w:val="105"/>
          <w:sz w:val="21"/>
        </w:rPr>
        <w:t>step-parent), and the step-parent </w:t>
      </w:r>
      <w:r>
        <w:rPr>
          <w:spacing w:val="-3"/>
          <w:w w:val="105"/>
          <w:sz w:val="21"/>
        </w:rPr>
        <w:t>may </w:t>
      </w:r>
      <w:r>
        <w:rPr>
          <w:spacing w:val="-2"/>
          <w:w w:val="105"/>
          <w:sz w:val="21"/>
        </w:rPr>
        <w:t>not </w:t>
      </w:r>
      <w:r>
        <w:rPr>
          <w:spacing w:val="-3"/>
          <w:w w:val="105"/>
          <w:sz w:val="21"/>
        </w:rPr>
        <w:t>later </w:t>
      </w:r>
      <w:r>
        <w:rPr>
          <w:w w:val="105"/>
          <w:sz w:val="21"/>
        </w:rPr>
        <w:t>provide </w:t>
      </w:r>
      <w:r>
        <w:rPr>
          <w:spacing w:val="-3"/>
          <w:w w:val="105"/>
          <w:sz w:val="21"/>
        </w:rPr>
        <w:t>for </w:t>
      </w:r>
      <w:r>
        <w:rPr>
          <w:w w:val="105"/>
          <w:sz w:val="21"/>
        </w:rPr>
        <w:t>the </w:t>
      </w:r>
      <w:r>
        <w:rPr>
          <w:spacing w:val="-4"/>
          <w:w w:val="105"/>
          <w:sz w:val="21"/>
        </w:rPr>
        <w:t>stepchild.</w:t>
      </w:r>
      <w:r>
        <w:rPr>
          <w:spacing w:val="-4"/>
          <w:w w:val="105"/>
          <w:position w:val="7"/>
          <w:sz w:val="12"/>
        </w:rPr>
        <w:t>152 </w:t>
      </w:r>
      <w:r>
        <w:rPr>
          <w:w w:val="105"/>
          <w:sz w:val="21"/>
        </w:rPr>
        <w:t>The Law Society </w:t>
      </w:r>
      <w:r>
        <w:rPr>
          <w:spacing w:val="-3"/>
          <w:w w:val="105"/>
          <w:sz w:val="21"/>
        </w:rPr>
        <w:t>considered that including </w:t>
      </w:r>
      <w:r>
        <w:rPr>
          <w:w w:val="105"/>
          <w:sz w:val="21"/>
        </w:rPr>
        <w:t>a stepchild as an </w:t>
      </w:r>
      <w:r>
        <w:rPr>
          <w:spacing w:val="-3"/>
          <w:w w:val="105"/>
          <w:sz w:val="21"/>
        </w:rPr>
        <w:t>eligible family provision applicant </w:t>
      </w:r>
      <w:r>
        <w:rPr>
          <w:w w:val="105"/>
          <w:sz w:val="21"/>
        </w:rPr>
        <w:t>would </w:t>
      </w:r>
      <w:r>
        <w:rPr>
          <w:spacing w:val="-3"/>
          <w:w w:val="105"/>
          <w:sz w:val="21"/>
        </w:rPr>
        <w:t>reduce litigation, </w:t>
      </w:r>
      <w:r>
        <w:rPr>
          <w:w w:val="105"/>
          <w:sz w:val="21"/>
        </w:rPr>
        <w:t>as step-parents would be </w:t>
      </w:r>
      <w:r>
        <w:rPr>
          <w:spacing w:val="-3"/>
          <w:w w:val="105"/>
          <w:sz w:val="21"/>
        </w:rPr>
        <w:t>encouraged to </w:t>
      </w:r>
      <w:r>
        <w:rPr>
          <w:w w:val="105"/>
          <w:sz w:val="21"/>
        </w:rPr>
        <w:t>provide </w:t>
      </w:r>
      <w:r>
        <w:rPr>
          <w:spacing w:val="-3"/>
          <w:w w:val="105"/>
          <w:sz w:val="21"/>
        </w:rPr>
        <w:t>for </w:t>
      </w:r>
      <w:r>
        <w:rPr>
          <w:w w:val="105"/>
          <w:sz w:val="21"/>
        </w:rPr>
        <w:t>their </w:t>
      </w:r>
      <w:r>
        <w:rPr>
          <w:spacing w:val="-3"/>
          <w:w w:val="105"/>
          <w:sz w:val="21"/>
        </w:rPr>
        <w:t>stepchildren </w:t>
      </w:r>
      <w:r>
        <w:rPr>
          <w:w w:val="105"/>
          <w:sz w:val="21"/>
        </w:rPr>
        <w:t>in their own </w:t>
      </w:r>
      <w:r>
        <w:rPr>
          <w:spacing w:val="-5"/>
          <w:w w:val="105"/>
          <w:sz w:val="21"/>
        </w:rPr>
        <w:t>wills.</w:t>
      </w:r>
      <w:r>
        <w:rPr>
          <w:spacing w:val="-5"/>
          <w:w w:val="105"/>
          <w:position w:val="7"/>
          <w:sz w:val="12"/>
        </w:rPr>
        <w:t>153  </w:t>
      </w:r>
      <w:r>
        <w:rPr>
          <w:w w:val="105"/>
          <w:sz w:val="21"/>
        </w:rPr>
        <w:t>Although the stepchild </w:t>
      </w:r>
      <w:r>
        <w:rPr>
          <w:spacing w:val="-3"/>
          <w:w w:val="105"/>
          <w:sz w:val="21"/>
        </w:rPr>
        <w:t>could </w:t>
      </w:r>
      <w:r>
        <w:rPr>
          <w:spacing w:val="-4"/>
          <w:w w:val="105"/>
          <w:sz w:val="21"/>
        </w:rPr>
        <w:t>make </w:t>
      </w:r>
      <w:r>
        <w:rPr>
          <w:w w:val="105"/>
          <w:sz w:val="21"/>
        </w:rPr>
        <w:t>a </w:t>
      </w:r>
      <w:r>
        <w:rPr>
          <w:spacing w:val="-3"/>
          <w:w w:val="105"/>
          <w:sz w:val="21"/>
        </w:rPr>
        <w:t>claim against  </w:t>
      </w:r>
      <w:r>
        <w:rPr>
          <w:w w:val="105"/>
          <w:sz w:val="21"/>
        </w:rPr>
        <w:t>their</w:t>
      </w:r>
      <w:r>
        <w:rPr>
          <w:spacing w:val="-8"/>
          <w:w w:val="105"/>
          <w:sz w:val="21"/>
        </w:rPr>
        <w:t> </w:t>
      </w:r>
      <w:r>
        <w:rPr>
          <w:spacing w:val="-3"/>
          <w:w w:val="105"/>
          <w:sz w:val="21"/>
        </w:rPr>
        <w:t>natural</w:t>
      </w:r>
      <w:r>
        <w:rPr>
          <w:spacing w:val="-8"/>
          <w:w w:val="105"/>
          <w:sz w:val="21"/>
        </w:rPr>
        <w:t> </w:t>
      </w:r>
      <w:r>
        <w:rPr>
          <w:spacing w:val="-3"/>
          <w:w w:val="105"/>
          <w:sz w:val="21"/>
        </w:rPr>
        <w:t>parent’s</w:t>
      </w:r>
      <w:r>
        <w:rPr>
          <w:spacing w:val="-8"/>
          <w:w w:val="105"/>
          <w:sz w:val="21"/>
        </w:rPr>
        <w:t> </w:t>
      </w:r>
      <w:r>
        <w:rPr>
          <w:w w:val="105"/>
          <w:sz w:val="21"/>
        </w:rPr>
        <w:t>estate</w:t>
      </w:r>
      <w:r>
        <w:rPr>
          <w:spacing w:val="-8"/>
          <w:w w:val="105"/>
          <w:sz w:val="21"/>
        </w:rPr>
        <w:t> </w:t>
      </w:r>
      <w:r>
        <w:rPr>
          <w:w w:val="105"/>
          <w:sz w:val="21"/>
        </w:rPr>
        <w:t>at</w:t>
      </w:r>
      <w:r>
        <w:rPr>
          <w:spacing w:val="-8"/>
          <w:w w:val="105"/>
          <w:sz w:val="21"/>
        </w:rPr>
        <w:t> </w:t>
      </w:r>
      <w:r>
        <w:rPr>
          <w:w w:val="105"/>
          <w:sz w:val="21"/>
        </w:rPr>
        <w:t>the</w:t>
      </w:r>
      <w:r>
        <w:rPr>
          <w:spacing w:val="-8"/>
          <w:w w:val="105"/>
          <w:sz w:val="21"/>
        </w:rPr>
        <w:t> </w:t>
      </w:r>
      <w:r>
        <w:rPr>
          <w:w w:val="105"/>
          <w:sz w:val="21"/>
        </w:rPr>
        <w:t>time</w:t>
      </w:r>
      <w:r>
        <w:rPr>
          <w:spacing w:val="-8"/>
          <w:w w:val="105"/>
          <w:sz w:val="21"/>
        </w:rPr>
        <w:t> </w:t>
      </w:r>
      <w:r>
        <w:rPr>
          <w:w w:val="105"/>
          <w:sz w:val="21"/>
        </w:rPr>
        <w:t>of</w:t>
      </w:r>
      <w:r>
        <w:rPr>
          <w:spacing w:val="-8"/>
          <w:w w:val="105"/>
          <w:sz w:val="21"/>
        </w:rPr>
        <w:t> </w:t>
      </w:r>
      <w:r>
        <w:rPr>
          <w:w w:val="105"/>
          <w:sz w:val="21"/>
        </w:rPr>
        <w:t>their</w:t>
      </w:r>
      <w:r>
        <w:rPr>
          <w:spacing w:val="-8"/>
          <w:w w:val="105"/>
          <w:sz w:val="21"/>
        </w:rPr>
        <w:t> </w:t>
      </w:r>
      <w:r>
        <w:rPr>
          <w:spacing w:val="-3"/>
          <w:w w:val="105"/>
          <w:sz w:val="21"/>
        </w:rPr>
        <w:t>death,</w:t>
      </w:r>
      <w:r>
        <w:rPr>
          <w:spacing w:val="-8"/>
          <w:w w:val="105"/>
          <w:sz w:val="21"/>
        </w:rPr>
        <w:t> </w:t>
      </w:r>
      <w:r>
        <w:rPr>
          <w:spacing w:val="-3"/>
          <w:w w:val="105"/>
          <w:sz w:val="21"/>
        </w:rPr>
        <w:t>many</w:t>
      </w:r>
      <w:r>
        <w:rPr>
          <w:spacing w:val="-8"/>
          <w:w w:val="105"/>
          <w:sz w:val="21"/>
        </w:rPr>
        <w:t> </w:t>
      </w:r>
      <w:r>
        <w:rPr>
          <w:spacing w:val="-3"/>
          <w:w w:val="105"/>
          <w:sz w:val="21"/>
        </w:rPr>
        <w:t>stepchildren</w:t>
      </w:r>
      <w:r>
        <w:rPr>
          <w:spacing w:val="-7"/>
          <w:w w:val="105"/>
          <w:sz w:val="21"/>
        </w:rPr>
        <w:t> </w:t>
      </w:r>
      <w:r>
        <w:rPr>
          <w:spacing w:val="-3"/>
          <w:w w:val="105"/>
          <w:sz w:val="21"/>
        </w:rPr>
        <w:t>may</w:t>
      </w:r>
      <w:r>
        <w:rPr>
          <w:spacing w:val="-8"/>
          <w:w w:val="105"/>
          <w:sz w:val="21"/>
        </w:rPr>
        <w:t> </w:t>
      </w:r>
      <w:r>
        <w:rPr>
          <w:w w:val="105"/>
          <w:sz w:val="21"/>
        </w:rPr>
        <w:t>not,</w:t>
      </w:r>
      <w:r>
        <w:rPr>
          <w:spacing w:val="-8"/>
          <w:w w:val="105"/>
          <w:sz w:val="21"/>
        </w:rPr>
        <w:t> </w:t>
      </w:r>
      <w:r>
        <w:rPr>
          <w:w w:val="105"/>
          <w:sz w:val="21"/>
        </w:rPr>
        <w:t>in</w:t>
      </w:r>
      <w:r>
        <w:rPr>
          <w:spacing w:val="-8"/>
          <w:w w:val="105"/>
          <w:sz w:val="21"/>
        </w:rPr>
        <w:t> </w:t>
      </w:r>
      <w:r>
        <w:rPr>
          <w:w w:val="105"/>
          <w:sz w:val="21"/>
        </w:rPr>
        <w:t>the</w:t>
      </w:r>
    </w:p>
    <w:p>
      <w:pPr>
        <w:pStyle w:val="BodyText"/>
        <w:spacing w:line="242" w:lineRule="auto" w:before="7"/>
        <w:ind w:left="2381" w:right="1711"/>
        <w:rPr>
          <w:sz w:val="12"/>
        </w:rPr>
      </w:pPr>
      <w:r>
        <w:rPr/>
        <w:t>expectation </w:t>
      </w:r>
      <w:r>
        <w:rPr>
          <w:spacing w:val="-3"/>
        </w:rPr>
        <w:t>that </w:t>
      </w:r>
      <w:r>
        <w:rPr/>
        <w:t>their step-parent would </w:t>
      </w:r>
      <w:r>
        <w:rPr>
          <w:spacing w:val="-3"/>
        </w:rPr>
        <w:t>later </w:t>
      </w:r>
      <w:r>
        <w:rPr/>
        <w:t>provide </w:t>
      </w:r>
      <w:r>
        <w:rPr>
          <w:spacing w:val="-3"/>
        </w:rPr>
        <w:t>for  </w:t>
      </w:r>
      <w:r>
        <w:rPr/>
        <w:t>them. </w:t>
      </w:r>
      <w:r>
        <w:rPr>
          <w:spacing w:val="-3"/>
        </w:rPr>
        <w:t>Stepchildren</w:t>
      </w:r>
      <w:r>
        <w:rPr>
          <w:spacing w:val="41"/>
        </w:rPr>
        <w:t> </w:t>
      </w:r>
      <w:r>
        <w:rPr>
          <w:spacing w:val="-3"/>
        </w:rPr>
        <w:t>are  included </w:t>
      </w:r>
      <w:r>
        <w:rPr/>
        <w:t>in the </w:t>
      </w:r>
      <w:r>
        <w:rPr>
          <w:spacing w:val="-3"/>
        </w:rPr>
        <w:t>Queensland family provision</w:t>
      </w:r>
      <w:r>
        <w:rPr>
          <w:spacing w:val="12"/>
        </w:rPr>
        <w:t> </w:t>
      </w:r>
      <w:r>
        <w:rPr>
          <w:spacing w:val="-4"/>
        </w:rPr>
        <w:t>legislation.</w:t>
      </w:r>
      <w:r>
        <w:rPr>
          <w:spacing w:val="-4"/>
          <w:position w:val="7"/>
          <w:sz w:val="12"/>
        </w:rPr>
        <w:t>154</w:t>
      </w:r>
    </w:p>
    <w:p>
      <w:pPr>
        <w:pStyle w:val="ListParagraph"/>
        <w:numPr>
          <w:ilvl w:val="1"/>
          <w:numId w:val="82"/>
        </w:numPr>
        <w:tabs>
          <w:tab w:pos="2380" w:val="left" w:leader="none"/>
          <w:tab w:pos="2381" w:val="left" w:leader="none"/>
        </w:tabs>
        <w:spacing w:line="242" w:lineRule="auto" w:before="123" w:after="0"/>
        <w:ind w:left="2381" w:right="1652" w:hanging="794"/>
        <w:jc w:val="left"/>
        <w:rPr>
          <w:sz w:val="21"/>
        </w:rPr>
      </w:pPr>
      <w:r>
        <w:rPr>
          <w:sz w:val="21"/>
        </w:rPr>
        <w:t>Although the </w:t>
      </w:r>
      <w:r>
        <w:rPr>
          <w:spacing w:val="-3"/>
          <w:sz w:val="21"/>
        </w:rPr>
        <w:t>Commission notes </w:t>
      </w:r>
      <w:r>
        <w:rPr>
          <w:sz w:val="21"/>
        </w:rPr>
        <w:t>the view expressed in some </w:t>
      </w:r>
      <w:r>
        <w:rPr>
          <w:spacing w:val="-3"/>
          <w:sz w:val="21"/>
        </w:rPr>
        <w:t>submissions that </w:t>
      </w:r>
      <w:r>
        <w:rPr>
          <w:sz w:val="21"/>
        </w:rPr>
        <w:t>the </w:t>
      </w:r>
      <w:r>
        <w:rPr>
          <w:spacing w:val="-3"/>
          <w:sz w:val="21"/>
        </w:rPr>
        <w:t>current  </w:t>
      </w:r>
      <w:r>
        <w:rPr>
          <w:sz w:val="21"/>
        </w:rPr>
        <w:t>law should be </w:t>
      </w:r>
      <w:r>
        <w:rPr>
          <w:spacing w:val="-3"/>
          <w:sz w:val="21"/>
        </w:rPr>
        <w:t>retained,  </w:t>
      </w:r>
      <w:r>
        <w:rPr>
          <w:sz w:val="21"/>
        </w:rPr>
        <w:t>it is </w:t>
      </w:r>
      <w:r>
        <w:rPr>
          <w:spacing w:val="-2"/>
          <w:sz w:val="21"/>
        </w:rPr>
        <w:t>not</w:t>
      </w:r>
      <w:r>
        <w:rPr>
          <w:spacing w:val="43"/>
          <w:sz w:val="21"/>
        </w:rPr>
        <w:t> </w:t>
      </w:r>
      <w:r>
        <w:rPr>
          <w:sz w:val="21"/>
        </w:rPr>
        <w:t>satisfied </w:t>
      </w:r>
      <w:r>
        <w:rPr>
          <w:spacing w:val="-3"/>
          <w:sz w:val="21"/>
        </w:rPr>
        <w:t>that  </w:t>
      </w:r>
      <w:r>
        <w:rPr>
          <w:sz w:val="21"/>
        </w:rPr>
        <w:t>costs rules and </w:t>
      </w:r>
      <w:r>
        <w:rPr>
          <w:spacing w:val="-3"/>
          <w:sz w:val="21"/>
        </w:rPr>
        <w:t>procedural  changes  </w:t>
      </w:r>
      <w:r>
        <w:rPr>
          <w:sz w:val="21"/>
        </w:rPr>
        <w:t>alone  can address </w:t>
      </w:r>
      <w:r>
        <w:rPr>
          <w:spacing w:val="-3"/>
          <w:sz w:val="21"/>
        </w:rPr>
        <w:t>all </w:t>
      </w:r>
      <w:r>
        <w:rPr>
          <w:sz w:val="21"/>
        </w:rPr>
        <w:t>the </w:t>
      </w:r>
      <w:r>
        <w:rPr>
          <w:spacing w:val="-2"/>
          <w:sz w:val="21"/>
        </w:rPr>
        <w:t>problems </w:t>
      </w:r>
      <w:r>
        <w:rPr>
          <w:sz w:val="21"/>
        </w:rPr>
        <w:t>in </w:t>
      </w:r>
      <w:r>
        <w:rPr>
          <w:spacing w:val="-3"/>
          <w:sz w:val="21"/>
        </w:rPr>
        <w:t>relation to family provision. </w:t>
      </w:r>
      <w:r>
        <w:rPr>
          <w:sz w:val="21"/>
        </w:rPr>
        <w:t>While there is disagreement about the extent of the problem of opportunistic or non-genuine </w:t>
      </w:r>
      <w:r>
        <w:rPr>
          <w:spacing w:val="-3"/>
          <w:sz w:val="21"/>
        </w:rPr>
        <w:t>claims,  </w:t>
      </w:r>
      <w:r>
        <w:rPr>
          <w:sz w:val="21"/>
        </w:rPr>
        <w:t>it is </w:t>
      </w:r>
      <w:r>
        <w:rPr>
          <w:spacing w:val="-3"/>
          <w:sz w:val="21"/>
        </w:rPr>
        <w:t>clear</w:t>
      </w:r>
      <w:r>
        <w:rPr>
          <w:spacing w:val="41"/>
          <w:sz w:val="21"/>
        </w:rPr>
        <w:t> </w:t>
      </w:r>
      <w:r>
        <w:rPr>
          <w:spacing w:val="-3"/>
          <w:sz w:val="21"/>
        </w:rPr>
        <w:t>that     </w:t>
      </w:r>
      <w:r>
        <w:rPr>
          <w:sz w:val="21"/>
        </w:rPr>
        <w:t>the problem does exist. There is a need </w:t>
      </w:r>
      <w:r>
        <w:rPr>
          <w:spacing w:val="-3"/>
          <w:sz w:val="21"/>
        </w:rPr>
        <w:t>for greater </w:t>
      </w:r>
      <w:r>
        <w:rPr>
          <w:sz w:val="21"/>
        </w:rPr>
        <w:t>certainty on both sides in </w:t>
      </w:r>
      <w:r>
        <w:rPr>
          <w:spacing w:val="-3"/>
          <w:sz w:val="21"/>
        </w:rPr>
        <w:t>family  provision applications. </w:t>
      </w:r>
      <w:r>
        <w:rPr>
          <w:spacing w:val="-4"/>
          <w:sz w:val="21"/>
        </w:rPr>
        <w:t>Further, </w:t>
      </w:r>
      <w:r>
        <w:rPr>
          <w:sz w:val="21"/>
        </w:rPr>
        <w:t>some </w:t>
      </w:r>
      <w:r>
        <w:rPr>
          <w:spacing w:val="-3"/>
          <w:sz w:val="21"/>
        </w:rPr>
        <w:t>weight </w:t>
      </w:r>
      <w:r>
        <w:rPr>
          <w:sz w:val="21"/>
        </w:rPr>
        <w:t>must  be  given  </w:t>
      </w:r>
      <w:r>
        <w:rPr>
          <w:spacing w:val="-3"/>
          <w:sz w:val="21"/>
        </w:rPr>
        <w:t>to  </w:t>
      </w:r>
      <w:r>
        <w:rPr>
          <w:sz w:val="21"/>
        </w:rPr>
        <w:t>community  expectations </w:t>
      </w:r>
      <w:r>
        <w:rPr>
          <w:spacing w:val="-3"/>
          <w:sz w:val="21"/>
        </w:rPr>
        <w:t>that </w:t>
      </w:r>
      <w:r>
        <w:rPr>
          <w:sz w:val="21"/>
        </w:rPr>
        <w:t>a </w:t>
      </w:r>
      <w:r>
        <w:rPr>
          <w:spacing w:val="-3"/>
          <w:sz w:val="21"/>
        </w:rPr>
        <w:t>will </w:t>
      </w:r>
      <w:r>
        <w:rPr>
          <w:sz w:val="21"/>
        </w:rPr>
        <w:t>is a </w:t>
      </w:r>
      <w:r>
        <w:rPr>
          <w:spacing w:val="-3"/>
          <w:sz w:val="21"/>
        </w:rPr>
        <w:t>clear </w:t>
      </w:r>
      <w:r>
        <w:rPr>
          <w:sz w:val="21"/>
        </w:rPr>
        <w:t>expression of </w:t>
      </w:r>
      <w:r>
        <w:rPr>
          <w:spacing w:val="-4"/>
          <w:sz w:val="21"/>
        </w:rPr>
        <w:t>one’s </w:t>
      </w:r>
      <w:r>
        <w:rPr>
          <w:sz w:val="21"/>
        </w:rPr>
        <w:t>wishes. If freedom of testation is the </w:t>
      </w:r>
      <w:r>
        <w:rPr>
          <w:spacing w:val="-3"/>
          <w:sz w:val="21"/>
        </w:rPr>
        <w:t>fundamental premise </w:t>
      </w:r>
      <w:r>
        <w:rPr>
          <w:sz w:val="21"/>
        </w:rPr>
        <w:t>of </w:t>
      </w:r>
      <w:r>
        <w:rPr>
          <w:spacing w:val="-3"/>
          <w:sz w:val="21"/>
        </w:rPr>
        <w:t>succession </w:t>
      </w:r>
      <w:r>
        <w:rPr>
          <w:spacing w:val="-5"/>
          <w:sz w:val="21"/>
        </w:rPr>
        <w:t>law, </w:t>
      </w:r>
      <w:r>
        <w:rPr>
          <w:sz w:val="21"/>
        </w:rPr>
        <w:t>then some </w:t>
      </w:r>
      <w:r>
        <w:rPr>
          <w:spacing w:val="-2"/>
          <w:sz w:val="21"/>
        </w:rPr>
        <w:t>limits </w:t>
      </w:r>
      <w:r>
        <w:rPr>
          <w:sz w:val="21"/>
        </w:rPr>
        <w:t>need </w:t>
      </w:r>
      <w:r>
        <w:rPr>
          <w:spacing w:val="-3"/>
          <w:sz w:val="21"/>
        </w:rPr>
        <w:t>to </w:t>
      </w:r>
      <w:r>
        <w:rPr>
          <w:sz w:val="21"/>
        </w:rPr>
        <w:t>be </w:t>
      </w:r>
      <w:r>
        <w:rPr>
          <w:spacing w:val="-2"/>
          <w:sz w:val="21"/>
        </w:rPr>
        <w:t>placed </w:t>
      </w:r>
      <w:r>
        <w:rPr>
          <w:sz w:val="21"/>
        </w:rPr>
        <w:t>on </w:t>
      </w:r>
      <w:r>
        <w:rPr>
          <w:spacing w:val="-3"/>
          <w:sz w:val="21"/>
        </w:rPr>
        <w:t>exceptions </w:t>
      </w:r>
      <w:r>
        <w:rPr>
          <w:spacing w:val="-4"/>
          <w:sz w:val="21"/>
        </w:rPr>
        <w:t>to, </w:t>
      </w:r>
      <w:r>
        <w:rPr>
          <w:sz w:val="21"/>
        </w:rPr>
        <w:t>and </w:t>
      </w:r>
      <w:r>
        <w:rPr>
          <w:spacing w:val="-3"/>
          <w:sz w:val="21"/>
        </w:rPr>
        <w:t>alterations </w:t>
      </w:r>
      <w:r>
        <w:rPr>
          <w:spacing w:val="-6"/>
          <w:sz w:val="21"/>
        </w:rPr>
        <w:t>of, </w:t>
      </w:r>
      <w:r>
        <w:rPr>
          <w:sz w:val="21"/>
        </w:rPr>
        <w:t>expressions of </w:t>
      </w:r>
      <w:r>
        <w:rPr>
          <w:spacing w:val="-3"/>
          <w:sz w:val="21"/>
        </w:rPr>
        <w:t>that</w:t>
      </w:r>
      <w:r>
        <w:rPr>
          <w:spacing w:val="13"/>
          <w:sz w:val="21"/>
        </w:rPr>
        <w:t> </w:t>
      </w:r>
      <w:r>
        <w:rPr>
          <w:spacing w:val="-3"/>
          <w:sz w:val="21"/>
        </w:rPr>
        <w:t>freedom.</w:t>
      </w:r>
    </w:p>
    <w:p>
      <w:pPr>
        <w:pStyle w:val="ListParagraph"/>
        <w:numPr>
          <w:ilvl w:val="1"/>
          <w:numId w:val="82"/>
        </w:numPr>
        <w:tabs>
          <w:tab w:pos="2380" w:val="left" w:leader="none"/>
          <w:tab w:pos="2381" w:val="left" w:leader="none"/>
        </w:tabs>
        <w:spacing w:line="242" w:lineRule="auto" w:before="129" w:after="0"/>
        <w:ind w:left="2380" w:right="1638" w:hanging="793"/>
        <w:jc w:val="left"/>
        <w:rPr>
          <w:sz w:val="21"/>
        </w:rPr>
      </w:pPr>
      <w:r>
        <w:rPr>
          <w:spacing w:val="-2"/>
          <w:sz w:val="21"/>
        </w:rPr>
        <w:t>The </w:t>
      </w:r>
      <w:r>
        <w:rPr>
          <w:spacing w:val="-5"/>
          <w:sz w:val="21"/>
        </w:rPr>
        <w:t>Commission </w:t>
      </w:r>
      <w:r>
        <w:rPr>
          <w:spacing w:val="-4"/>
          <w:sz w:val="21"/>
        </w:rPr>
        <w:t>considers that </w:t>
      </w:r>
      <w:r>
        <w:rPr>
          <w:spacing w:val="-3"/>
          <w:sz w:val="21"/>
        </w:rPr>
        <w:t>the </w:t>
      </w:r>
      <w:r>
        <w:rPr>
          <w:sz w:val="21"/>
        </w:rPr>
        <w:t>New </w:t>
      </w:r>
      <w:r>
        <w:rPr>
          <w:spacing w:val="-3"/>
          <w:sz w:val="21"/>
        </w:rPr>
        <w:t>South </w:t>
      </w:r>
      <w:r>
        <w:rPr>
          <w:spacing w:val="-5"/>
          <w:sz w:val="21"/>
        </w:rPr>
        <w:t>Wales </w:t>
      </w:r>
      <w:r>
        <w:rPr>
          <w:spacing w:val="-4"/>
          <w:sz w:val="21"/>
        </w:rPr>
        <w:t>approach to </w:t>
      </w:r>
      <w:r>
        <w:rPr>
          <w:spacing w:val="-5"/>
          <w:sz w:val="21"/>
        </w:rPr>
        <w:t>family provision eligibility </w:t>
      </w:r>
      <w:r>
        <w:rPr>
          <w:spacing w:val="-4"/>
          <w:sz w:val="21"/>
        </w:rPr>
        <w:t>represents </w:t>
      </w:r>
      <w:r>
        <w:rPr>
          <w:sz w:val="21"/>
        </w:rPr>
        <w:t>a good </w:t>
      </w:r>
      <w:r>
        <w:rPr>
          <w:spacing w:val="-5"/>
          <w:sz w:val="21"/>
        </w:rPr>
        <w:t>compromise. </w:t>
      </w:r>
      <w:r>
        <w:rPr>
          <w:sz w:val="21"/>
        </w:rPr>
        <w:t>It </w:t>
      </w:r>
      <w:r>
        <w:rPr>
          <w:spacing w:val="-4"/>
          <w:sz w:val="21"/>
        </w:rPr>
        <w:t>would provide </w:t>
      </w:r>
      <w:r>
        <w:rPr>
          <w:spacing w:val="-5"/>
          <w:sz w:val="21"/>
        </w:rPr>
        <w:t>greater </w:t>
      </w:r>
      <w:r>
        <w:rPr>
          <w:spacing w:val="-3"/>
          <w:sz w:val="21"/>
        </w:rPr>
        <w:t>certainty </w:t>
      </w:r>
      <w:r>
        <w:rPr>
          <w:spacing w:val="-4"/>
          <w:sz w:val="21"/>
        </w:rPr>
        <w:t>to legal practitioners, prospective applicants and </w:t>
      </w:r>
      <w:r>
        <w:rPr>
          <w:spacing w:val="-5"/>
          <w:sz w:val="21"/>
        </w:rPr>
        <w:t>defendant </w:t>
      </w:r>
      <w:r>
        <w:rPr>
          <w:spacing w:val="-4"/>
          <w:sz w:val="21"/>
        </w:rPr>
        <w:t>personal </w:t>
      </w:r>
      <w:r>
        <w:rPr>
          <w:spacing w:val="-5"/>
          <w:sz w:val="21"/>
        </w:rPr>
        <w:t>representatives, </w:t>
      </w:r>
      <w:r>
        <w:rPr>
          <w:spacing w:val="-4"/>
          <w:sz w:val="21"/>
        </w:rPr>
        <w:t>while  </w:t>
      </w:r>
      <w:r>
        <w:rPr>
          <w:spacing w:val="-5"/>
          <w:sz w:val="21"/>
        </w:rPr>
        <w:t>ensuring  </w:t>
      </w:r>
      <w:r>
        <w:rPr>
          <w:spacing w:val="-4"/>
          <w:sz w:val="21"/>
        </w:rPr>
        <w:t>that  </w:t>
      </w:r>
      <w:r>
        <w:rPr>
          <w:spacing w:val="-3"/>
          <w:sz w:val="21"/>
        </w:rPr>
        <w:t>most </w:t>
      </w:r>
      <w:r>
        <w:rPr>
          <w:spacing w:val="-5"/>
          <w:sz w:val="21"/>
        </w:rPr>
        <w:t>claims </w:t>
      </w:r>
      <w:r>
        <w:rPr>
          <w:spacing w:val="-3"/>
          <w:sz w:val="21"/>
        </w:rPr>
        <w:t>in the typical </w:t>
      </w:r>
      <w:r>
        <w:rPr>
          <w:spacing w:val="-4"/>
          <w:sz w:val="21"/>
        </w:rPr>
        <w:t>categories </w:t>
      </w:r>
      <w:r>
        <w:rPr>
          <w:spacing w:val="-3"/>
          <w:sz w:val="21"/>
        </w:rPr>
        <w:t>of </w:t>
      </w:r>
      <w:r>
        <w:rPr>
          <w:spacing w:val="-4"/>
          <w:sz w:val="21"/>
        </w:rPr>
        <w:t>responsibility  are  not  </w:t>
      </w:r>
      <w:r>
        <w:rPr>
          <w:spacing w:val="-5"/>
          <w:sz w:val="21"/>
        </w:rPr>
        <w:t>excluded.  </w:t>
      </w:r>
      <w:r>
        <w:rPr>
          <w:spacing w:val="-4"/>
          <w:sz w:val="21"/>
        </w:rPr>
        <w:t>Although  </w:t>
      </w:r>
      <w:r>
        <w:rPr>
          <w:spacing w:val="-3"/>
          <w:sz w:val="21"/>
        </w:rPr>
        <w:t>some  cases  at the </w:t>
      </w:r>
      <w:r>
        <w:rPr>
          <w:spacing w:val="-5"/>
          <w:sz w:val="21"/>
        </w:rPr>
        <w:t>margins, </w:t>
      </w:r>
      <w:r>
        <w:rPr>
          <w:spacing w:val="-4"/>
          <w:sz w:val="21"/>
        </w:rPr>
        <w:t>which may </w:t>
      </w:r>
      <w:r>
        <w:rPr>
          <w:spacing w:val="-5"/>
          <w:sz w:val="21"/>
        </w:rPr>
        <w:t>currently </w:t>
      </w:r>
      <w:r>
        <w:rPr>
          <w:sz w:val="21"/>
        </w:rPr>
        <w:t>be </w:t>
      </w:r>
      <w:r>
        <w:rPr>
          <w:spacing w:val="-4"/>
          <w:sz w:val="21"/>
        </w:rPr>
        <w:t>provided for under </w:t>
      </w:r>
      <w:r>
        <w:rPr>
          <w:spacing w:val="-3"/>
          <w:sz w:val="21"/>
        </w:rPr>
        <w:t>the </w:t>
      </w:r>
      <w:r>
        <w:rPr>
          <w:spacing w:val="-4"/>
          <w:sz w:val="21"/>
        </w:rPr>
        <w:t>Victorian </w:t>
      </w:r>
      <w:r>
        <w:rPr>
          <w:spacing w:val="-5"/>
          <w:sz w:val="21"/>
        </w:rPr>
        <w:t>legislation, </w:t>
      </w:r>
      <w:r>
        <w:rPr>
          <w:spacing w:val="-4"/>
          <w:sz w:val="21"/>
        </w:rPr>
        <w:t>may </w:t>
      </w:r>
      <w:r>
        <w:rPr>
          <w:sz w:val="21"/>
        </w:rPr>
        <w:t>be </w:t>
      </w:r>
      <w:r>
        <w:rPr>
          <w:spacing w:val="-4"/>
          <w:sz w:val="21"/>
        </w:rPr>
        <w:t>excluded under </w:t>
      </w:r>
      <w:r>
        <w:rPr>
          <w:spacing w:val="-3"/>
          <w:sz w:val="21"/>
        </w:rPr>
        <w:t>the </w:t>
      </w:r>
      <w:r>
        <w:rPr>
          <w:spacing w:val="-4"/>
          <w:sz w:val="21"/>
        </w:rPr>
        <w:t>more </w:t>
      </w:r>
      <w:r>
        <w:rPr>
          <w:spacing w:val="-5"/>
          <w:sz w:val="21"/>
        </w:rPr>
        <w:t>limited  </w:t>
      </w:r>
      <w:r>
        <w:rPr>
          <w:sz w:val="21"/>
        </w:rPr>
        <w:t>New  </w:t>
      </w:r>
      <w:r>
        <w:rPr>
          <w:spacing w:val="-3"/>
          <w:sz w:val="21"/>
        </w:rPr>
        <w:t>South  </w:t>
      </w:r>
      <w:r>
        <w:rPr>
          <w:spacing w:val="-5"/>
          <w:sz w:val="21"/>
        </w:rPr>
        <w:t>Wales  approach,  </w:t>
      </w:r>
      <w:r>
        <w:rPr>
          <w:spacing w:val="-3"/>
          <w:sz w:val="21"/>
        </w:rPr>
        <w:t>the  </w:t>
      </w:r>
      <w:r>
        <w:rPr>
          <w:spacing w:val="-5"/>
          <w:sz w:val="21"/>
        </w:rPr>
        <w:t>Commission  </w:t>
      </w:r>
      <w:r>
        <w:rPr>
          <w:spacing w:val="-4"/>
          <w:sz w:val="21"/>
        </w:rPr>
        <w:t>considers that</w:t>
      </w:r>
      <w:r>
        <w:rPr>
          <w:spacing w:val="7"/>
          <w:sz w:val="21"/>
        </w:rPr>
        <w:t> </w:t>
      </w:r>
      <w:r>
        <w:rPr>
          <w:spacing w:val="-4"/>
          <w:sz w:val="21"/>
        </w:rPr>
        <w:t>this</w:t>
      </w:r>
      <w:r>
        <w:rPr>
          <w:spacing w:val="7"/>
          <w:sz w:val="21"/>
        </w:rPr>
        <w:t> </w:t>
      </w:r>
      <w:r>
        <w:rPr>
          <w:spacing w:val="-3"/>
          <w:sz w:val="21"/>
        </w:rPr>
        <w:t>is</w:t>
      </w:r>
      <w:r>
        <w:rPr>
          <w:spacing w:val="7"/>
          <w:sz w:val="21"/>
        </w:rPr>
        <w:t> </w:t>
      </w:r>
      <w:r>
        <w:rPr>
          <w:spacing w:val="-4"/>
          <w:sz w:val="21"/>
        </w:rPr>
        <w:t>justifiable</w:t>
      </w:r>
      <w:r>
        <w:rPr>
          <w:spacing w:val="7"/>
          <w:sz w:val="21"/>
        </w:rPr>
        <w:t> </w:t>
      </w:r>
      <w:r>
        <w:rPr>
          <w:spacing w:val="-4"/>
          <w:sz w:val="21"/>
        </w:rPr>
        <w:t>to</w:t>
      </w:r>
      <w:r>
        <w:rPr>
          <w:spacing w:val="7"/>
          <w:sz w:val="21"/>
        </w:rPr>
        <w:t> </w:t>
      </w:r>
      <w:r>
        <w:rPr>
          <w:spacing w:val="-5"/>
          <w:sz w:val="21"/>
        </w:rPr>
        <w:t>promote</w:t>
      </w:r>
      <w:r>
        <w:rPr>
          <w:spacing w:val="7"/>
          <w:sz w:val="21"/>
        </w:rPr>
        <w:t> </w:t>
      </w:r>
      <w:r>
        <w:rPr>
          <w:spacing w:val="-5"/>
          <w:sz w:val="21"/>
        </w:rPr>
        <w:t>greater</w:t>
      </w:r>
      <w:r>
        <w:rPr>
          <w:spacing w:val="7"/>
          <w:sz w:val="21"/>
        </w:rPr>
        <w:t> </w:t>
      </w:r>
      <w:r>
        <w:rPr>
          <w:spacing w:val="-3"/>
          <w:sz w:val="21"/>
        </w:rPr>
        <w:t>certainty</w:t>
      </w:r>
      <w:r>
        <w:rPr>
          <w:spacing w:val="7"/>
          <w:sz w:val="21"/>
        </w:rPr>
        <w:t> </w:t>
      </w:r>
      <w:r>
        <w:rPr>
          <w:spacing w:val="-3"/>
          <w:sz w:val="21"/>
        </w:rPr>
        <w:t>in</w:t>
      </w:r>
      <w:r>
        <w:rPr>
          <w:spacing w:val="7"/>
          <w:sz w:val="21"/>
        </w:rPr>
        <w:t> </w:t>
      </w:r>
      <w:r>
        <w:rPr>
          <w:spacing w:val="-5"/>
          <w:sz w:val="21"/>
        </w:rPr>
        <w:t>family</w:t>
      </w:r>
      <w:r>
        <w:rPr>
          <w:spacing w:val="7"/>
          <w:sz w:val="21"/>
        </w:rPr>
        <w:t> </w:t>
      </w:r>
      <w:r>
        <w:rPr>
          <w:spacing w:val="-5"/>
          <w:sz w:val="21"/>
        </w:rPr>
        <w:t>provision.</w:t>
      </w:r>
    </w:p>
    <w:p>
      <w:pPr>
        <w:pStyle w:val="ListParagraph"/>
        <w:numPr>
          <w:ilvl w:val="1"/>
          <w:numId w:val="82"/>
        </w:numPr>
        <w:tabs>
          <w:tab w:pos="2380" w:val="left" w:leader="none"/>
          <w:tab w:pos="2381" w:val="left" w:leader="none"/>
        </w:tabs>
        <w:spacing w:line="242" w:lineRule="auto" w:before="128" w:after="0"/>
        <w:ind w:left="2380" w:right="1747" w:hanging="794"/>
        <w:jc w:val="left"/>
        <w:rPr>
          <w:sz w:val="21"/>
        </w:rPr>
      </w:pPr>
      <w:r>
        <w:rPr>
          <w:w w:val="105"/>
          <w:sz w:val="21"/>
        </w:rPr>
        <w:t>The </w:t>
      </w:r>
      <w:r>
        <w:rPr>
          <w:spacing w:val="-3"/>
          <w:w w:val="105"/>
          <w:sz w:val="21"/>
        </w:rPr>
        <w:t>Commission </w:t>
      </w:r>
      <w:r>
        <w:rPr>
          <w:w w:val="105"/>
          <w:sz w:val="21"/>
        </w:rPr>
        <w:t>considers </w:t>
      </w:r>
      <w:r>
        <w:rPr>
          <w:spacing w:val="-3"/>
          <w:w w:val="105"/>
          <w:sz w:val="21"/>
        </w:rPr>
        <w:t>that </w:t>
      </w:r>
      <w:r>
        <w:rPr>
          <w:w w:val="105"/>
          <w:sz w:val="21"/>
        </w:rPr>
        <w:t>the Victorian statutory </w:t>
      </w:r>
      <w:r>
        <w:rPr>
          <w:spacing w:val="-3"/>
          <w:w w:val="105"/>
          <w:sz w:val="21"/>
        </w:rPr>
        <w:t>criteria </w:t>
      </w:r>
      <w:r>
        <w:rPr>
          <w:w w:val="105"/>
          <w:sz w:val="21"/>
        </w:rPr>
        <w:t>should be </w:t>
      </w:r>
      <w:r>
        <w:rPr>
          <w:spacing w:val="-3"/>
          <w:w w:val="105"/>
          <w:sz w:val="21"/>
        </w:rPr>
        <w:t>retained, </w:t>
      </w:r>
      <w:r>
        <w:rPr>
          <w:w w:val="105"/>
          <w:sz w:val="21"/>
        </w:rPr>
        <w:t>as </w:t>
      </w:r>
      <w:r>
        <w:rPr>
          <w:spacing w:val="-3"/>
          <w:w w:val="105"/>
          <w:sz w:val="21"/>
        </w:rPr>
        <w:t>well</w:t>
      </w:r>
      <w:r>
        <w:rPr>
          <w:spacing w:val="-6"/>
          <w:w w:val="105"/>
          <w:sz w:val="21"/>
        </w:rPr>
        <w:t> </w:t>
      </w:r>
      <w:r>
        <w:rPr>
          <w:w w:val="105"/>
          <w:sz w:val="21"/>
        </w:rPr>
        <w:t>as</w:t>
      </w:r>
      <w:r>
        <w:rPr>
          <w:spacing w:val="-5"/>
          <w:w w:val="105"/>
          <w:sz w:val="21"/>
        </w:rPr>
        <w:t> </w:t>
      </w:r>
      <w:r>
        <w:rPr>
          <w:w w:val="105"/>
          <w:sz w:val="21"/>
        </w:rPr>
        <w:t>the</w:t>
      </w:r>
      <w:r>
        <w:rPr>
          <w:spacing w:val="-5"/>
          <w:w w:val="105"/>
          <w:sz w:val="21"/>
        </w:rPr>
        <w:t> </w:t>
      </w:r>
      <w:r>
        <w:rPr>
          <w:w w:val="105"/>
          <w:sz w:val="21"/>
        </w:rPr>
        <w:t>test</w:t>
      </w:r>
      <w:r>
        <w:rPr>
          <w:spacing w:val="-5"/>
          <w:w w:val="105"/>
          <w:sz w:val="21"/>
        </w:rPr>
        <w:t> </w:t>
      </w:r>
      <w:r>
        <w:rPr>
          <w:w w:val="105"/>
          <w:sz w:val="21"/>
        </w:rPr>
        <w:t>of</w:t>
      </w:r>
      <w:r>
        <w:rPr>
          <w:spacing w:val="-5"/>
          <w:w w:val="105"/>
          <w:sz w:val="21"/>
        </w:rPr>
        <w:t> </w:t>
      </w:r>
      <w:r>
        <w:rPr>
          <w:w w:val="105"/>
          <w:sz w:val="21"/>
        </w:rPr>
        <w:t>whether</w:t>
      </w:r>
      <w:r>
        <w:rPr>
          <w:spacing w:val="-6"/>
          <w:w w:val="105"/>
          <w:sz w:val="21"/>
        </w:rPr>
        <w:t> </w:t>
      </w:r>
      <w:r>
        <w:rPr>
          <w:spacing w:val="-3"/>
          <w:w w:val="105"/>
          <w:sz w:val="21"/>
        </w:rPr>
        <w:t>adequate</w:t>
      </w:r>
      <w:r>
        <w:rPr>
          <w:spacing w:val="-5"/>
          <w:w w:val="105"/>
          <w:sz w:val="21"/>
        </w:rPr>
        <w:t> </w:t>
      </w:r>
      <w:r>
        <w:rPr>
          <w:spacing w:val="-3"/>
          <w:w w:val="105"/>
          <w:sz w:val="21"/>
        </w:rPr>
        <w:t>provision</w:t>
      </w:r>
      <w:r>
        <w:rPr>
          <w:spacing w:val="-5"/>
          <w:w w:val="105"/>
          <w:sz w:val="21"/>
        </w:rPr>
        <w:t> </w:t>
      </w:r>
      <w:r>
        <w:rPr>
          <w:spacing w:val="-2"/>
          <w:w w:val="105"/>
          <w:sz w:val="21"/>
        </w:rPr>
        <w:t>has</w:t>
      </w:r>
      <w:r>
        <w:rPr>
          <w:spacing w:val="-5"/>
          <w:w w:val="105"/>
          <w:sz w:val="21"/>
        </w:rPr>
        <w:t> </w:t>
      </w:r>
      <w:r>
        <w:rPr>
          <w:w w:val="105"/>
          <w:sz w:val="21"/>
        </w:rPr>
        <w:t>been</w:t>
      </w:r>
      <w:r>
        <w:rPr>
          <w:spacing w:val="-5"/>
          <w:w w:val="105"/>
          <w:sz w:val="21"/>
        </w:rPr>
        <w:t> </w:t>
      </w:r>
      <w:r>
        <w:rPr>
          <w:w w:val="105"/>
          <w:sz w:val="21"/>
        </w:rPr>
        <w:t>made</w:t>
      </w:r>
      <w:r>
        <w:rPr>
          <w:spacing w:val="-6"/>
          <w:w w:val="105"/>
          <w:sz w:val="21"/>
        </w:rPr>
        <w:t> </w:t>
      </w:r>
      <w:r>
        <w:rPr>
          <w:spacing w:val="-3"/>
          <w:w w:val="105"/>
          <w:sz w:val="21"/>
        </w:rPr>
        <w:t>for</w:t>
      </w:r>
      <w:r>
        <w:rPr>
          <w:spacing w:val="-5"/>
          <w:w w:val="105"/>
          <w:sz w:val="21"/>
        </w:rPr>
        <w:t> </w:t>
      </w:r>
      <w:r>
        <w:rPr>
          <w:w w:val="105"/>
          <w:sz w:val="21"/>
        </w:rPr>
        <w:t>the</w:t>
      </w:r>
      <w:r>
        <w:rPr>
          <w:spacing w:val="-5"/>
          <w:w w:val="105"/>
          <w:sz w:val="21"/>
        </w:rPr>
        <w:t> </w:t>
      </w:r>
      <w:r>
        <w:rPr>
          <w:spacing w:val="-3"/>
          <w:w w:val="105"/>
          <w:sz w:val="21"/>
        </w:rPr>
        <w:t>applicant’s</w:t>
      </w:r>
      <w:r>
        <w:rPr>
          <w:spacing w:val="-5"/>
          <w:w w:val="105"/>
          <w:sz w:val="21"/>
        </w:rPr>
        <w:t> </w:t>
      </w:r>
      <w:r>
        <w:rPr>
          <w:w w:val="105"/>
          <w:sz w:val="21"/>
        </w:rPr>
        <w:t>proper </w:t>
      </w:r>
      <w:r>
        <w:rPr>
          <w:spacing w:val="-3"/>
          <w:w w:val="105"/>
          <w:sz w:val="21"/>
        </w:rPr>
        <w:t>maintenance </w:t>
      </w:r>
      <w:r>
        <w:rPr>
          <w:w w:val="105"/>
          <w:sz w:val="21"/>
        </w:rPr>
        <w:t>and support. The court should </w:t>
      </w:r>
      <w:r>
        <w:rPr>
          <w:spacing w:val="-3"/>
          <w:w w:val="105"/>
          <w:sz w:val="21"/>
        </w:rPr>
        <w:t>continue to take </w:t>
      </w:r>
      <w:r>
        <w:rPr>
          <w:w w:val="105"/>
          <w:sz w:val="21"/>
        </w:rPr>
        <w:t>these factors </w:t>
      </w:r>
      <w:r>
        <w:rPr>
          <w:spacing w:val="-4"/>
          <w:w w:val="105"/>
          <w:sz w:val="21"/>
        </w:rPr>
        <w:t>into </w:t>
      </w:r>
      <w:r>
        <w:rPr>
          <w:spacing w:val="-3"/>
          <w:w w:val="105"/>
          <w:sz w:val="21"/>
        </w:rPr>
        <w:t>account </w:t>
      </w:r>
      <w:r>
        <w:rPr>
          <w:w w:val="105"/>
          <w:sz w:val="21"/>
        </w:rPr>
        <w:t>when</w:t>
      </w:r>
      <w:r>
        <w:rPr>
          <w:spacing w:val="5"/>
          <w:w w:val="105"/>
          <w:sz w:val="21"/>
        </w:rPr>
        <w:t> </w:t>
      </w:r>
      <w:r>
        <w:rPr>
          <w:spacing w:val="-3"/>
          <w:w w:val="105"/>
          <w:sz w:val="21"/>
        </w:rPr>
        <w:t>determining:</w:t>
      </w:r>
    </w:p>
    <w:p>
      <w:pPr>
        <w:pStyle w:val="ListParagraph"/>
        <w:numPr>
          <w:ilvl w:val="2"/>
          <w:numId w:val="82"/>
        </w:numPr>
        <w:tabs>
          <w:tab w:pos="2720" w:val="left" w:leader="none"/>
          <w:tab w:pos="2721" w:val="left" w:leader="none"/>
        </w:tabs>
        <w:spacing w:line="242" w:lineRule="auto" w:before="124" w:after="0"/>
        <w:ind w:left="2720" w:right="2290" w:hanging="340"/>
        <w:jc w:val="left"/>
        <w:rPr>
          <w:sz w:val="21"/>
        </w:rPr>
      </w:pPr>
      <w:r>
        <w:rPr>
          <w:w w:val="105"/>
          <w:sz w:val="21"/>
        </w:rPr>
        <w:t>whether</w:t>
      </w:r>
      <w:r>
        <w:rPr>
          <w:spacing w:val="-7"/>
          <w:w w:val="105"/>
          <w:sz w:val="21"/>
        </w:rPr>
        <w:t> </w:t>
      </w:r>
      <w:r>
        <w:rPr>
          <w:spacing w:val="-3"/>
          <w:w w:val="105"/>
          <w:sz w:val="21"/>
        </w:rPr>
        <w:t>adequate</w:t>
      </w:r>
      <w:r>
        <w:rPr>
          <w:spacing w:val="-7"/>
          <w:w w:val="105"/>
          <w:sz w:val="21"/>
        </w:rPr>
        <w:t> </w:t>
      </w:r>
      <w:r>
        <w:rPr>
          <w:spacing w:val="-3"/>
          <w:w w:val="105"/>
          <w:sz w:val="21"/>
        </w:rPr>
        <w:t>provision</w:t>
      </w:r>
      <w:r>
        <w:rPr>
          <w:spacing w:val="-7"/>
          <w:w w:val="105"/>
          <w:sz w:val="21"/>
        </w:rPr>
        <w:t> </w:t>
      </w:r>
      <w:r>
        <w:rPr>
          <w:w w:val="105"/>
          <w:sz w:val="21"/>
        </w:rPr>
        <w:t>was</w:t>
      </w:r>
      <w:r>
        <w:rPr>
          <w:spacing w:val="-7"/>
          <w:w w:val="105"/>
          <w:sz w:val="21"/>
        </w:rPr>
        <w:t> </w:t>
      </w:r>
      <w:r>
        <w:rPr>
          <w:w w:val="105"/>
          <w:sz w:val="21"/>
        </w:rPr>
        <w:t>made</w:t>
      </w:r>
      <w:r>
        <w:rPr>
          <w:spacing w:val="-7"/>
          <w:w w:val="105"/>
          <w:sz w:val="21"/>
        </w:rPr>
        <w:t> </w:t>
      </w:r>
      <w:r>
        <w:rPr>
          <w:spacing w:val="-3"/>
          <w:w w:val="105"/>
          <w:sz w:val="21"/>
        </w:rPr>
        <w:t>for</w:t>
      </w:r>
      <w:r>
        <w:rPr>
          <w:spacing w:val="-7"/>
          <w:w w:val="105"/>
          <w:sz w:val="21"/>
        </w:rPr>
        <w:t> </w:t>
      </w:r>
      <w:r>
        <w:rPr>
          <w:w w:val="105"/>
          <w:sz w:val="21"/>
        </w:rPr>
        <w:t>the</w:t>
      </w:r>
      <w:r>
        <w:rPr>
          <w:spacing w:val="-7"/>
          <w:w w:val="105"/>
          <w:sz w:val="21"/>
        </w:rPr>
        <w:t> </w:t>
      </w:r>
      <w:r>
        <w:rPr>
          <w:spacing w:val="-3"/>
          <w:w w:val="105"/>
          <w:sz w:val="21"/>
        </w:rPr>
        <w:t>applicant’s</w:t>
      </w:r>
      <w:r>
        <w:rPr>
          <w:spacing w:val="-7"/>
          <w:w w:val="105"/>
          <w:sz w:val="21"/>
        </w:rPr>
        <w:t> </w:t>
      </w:r>
      <w:r>
        <w:rPr>
          <w:w w:val="105"/>
          <w:sz w:val="21"/>
        </w:rPr>
        <w:t>proper</w:t>
      </w:r>
      <w:r>
        <w:rPr>
          <w:spacing w:val="-7"/>
          <w:w w:val="105"/>
          <w:sz w:val="21"/>
        </w:rPr>
        <w:t> </w:t>
      </w:r>
      <w:r>
        <w:rPr>
          <w:spacing w:val="-3"/>
          <w:w w:val="105"/>
          <w:sz w:val="21"/>
        </w:rPr>
        <w:t>maintenance </w:t>
      </w:r>
      <w:r>
        <w:rPr>
          <w:w w:val="105"/>
          <w:sz w:val="21"/>
        </w:rPr>
        <w:t>and</w:t>
      </w:r>
      <w:r>
        <w:rPr>
          <w:spacing w:val="5"/>
          <w:w w:val="105"/>
          <w:sz w:val="21"/>
        </w:rPr>
        <w:t> </w:t>
      </w:r>
      <w:r>
        <w:rPr>
          <w:w w:val="105"/>
          <w:sz w:val="21"/>
        </w:rPr>
        <w:t>support</w:t>
      </w:r>
    </w:p>
    <w:p>
      <w:pPr>
        <w:pStyle w:val="ListParagraph"/>
        <w:numPr>
          <w:ilvl w:val="2"/>
          <w:numId w:val="82"/>
        </w:numPr>
        <w:tabs>
          <w:tab w:pos="2720" w:val="left" w:leader="none"/>
          <w:tab w:pos="2721" w:val="left" w:leader="none"/>
        </w:tabs>
        <w:spacing w:line="240" w:lineRule="auto" w:before="123" w:after="0"/>
        <w:ind w:left="2720" w:right="0" w:hanging="340"/>
        <w:jc w:val="left"/>
        <w:rPr>
          <w:sz w:val="21"/>
        </w:rPr>
      </w:pPr>
      <w:r>
        <w:rPr>
          <w:w w:val="105"/>
          <w:sz w:val="21"/>
        </w:rPr>
        <w:t>the </w:t>
      </w:r>
      <w:r>
        <w:rPr>
          <w:spacing w:val="-3"/>
          <w:w w:val="105"/>
          <w:sz w:val="21"/>
        </w:rPr>
        <w:t>amount </w:t>
      </w:r>
      <w:r>
        <w:rPr>
          <w:w w:val="105"/>
          <w:sz w:val="21"/>
        </w:rPr>
        <w:t>of further </w:t>
      </w:r>
      <w:r>
        <w:rPr>
          <w:spacing w:val="-3"/>
          <w:w w:val="105"/>
          <w:sz w:val="21"/>
        </w:rPr>
        <w:t>provision that </w:t>
      </w:r>
      <w:r>
        <w:rPr>
          <w:w w:val="105"/>
          <w:sz w:val="21"/>
        </w:rPr>
        <w:t>should be </w:t>
      </w:r>
      <w:r>
        <w:rPr>
          <w:spacing w:val="-3"/>
          <w:w w:val="105"/>
          <w:sz w:val="21"/>
        </w:rPr>
        <w:t>made, </w:t>
      </w:r>
      <w:r>
        <w:rPr>
          <w:w w:val="105"/>
          <w:sz w:val="21"/>
        </w:rPr>
        <w:t>if</w:t>
      </w:r>
      <w:r>
        <w:rPr>
          <w:spacing w:val="7"/>
          <w:w w:val="105"/>
          <w:sz w:val="21"/>
        </w:rPr>
        <w:t> </w:t>
      </w:r>
      <w:r>
        <w:rPr>
          <w:spacing w:val="-6"/>
          <w:w w:val="105"/>
          <w:sz w:val="21"/>
        </w:rPr>
        <w:t>any.</w:t>
      </w:r>
    </w:p>
    <w:p>
      <w:pPr>
        <w:pStyle w:val="ListParagraph"/>
        <w:numPr>
          <w:ilvl w:val="1"/>
          <w:numId w:val="82"/>
        </w:numPr>
        <w:tabs>
          <w:tab w:pos="2381" w:val="left" w:leader="none"/>
        </w:tabs>
        <w:spacing w:line="242" w:lineRule="auto" w:before="123" w:after="0"/>
        <w:ind w:left="2380" w:right="1704" w:hanging="793"/>
        <w:jc w:val="both"/>
        <w:rPr>
          <w:sz w:val="21"/>
        </w:rPr>
      </w:pPr>
      <w:r>
        <w:rPr>
          <w:w w:val="105"/>
          <w:sz w:val="21"/>
        </w:rPr>
        <w:t>The</w:t>
      </w:r>
      <w:r>
        <w:rPr>
          <w:spacing w:val="-5"/>
          <w:w w:val="105"/>
          <w:sz w:val="21"/>
        </w:rPr>
        <w:t> </w:t>
      </w:r>
      <w:r>
        <w:rPr>
          <w:w w:val="105"/>
          <w:sz w:val="21"/>
        </w:rPr>
        <w:t>court</w:t>
      </w:r>
      <w:r>
        <w:rPr>
          <w:spacing w:val="-5"/>
          <w:w w:val="105"/>
          <w:sz w:val="21"/>
        </w:rPr>
        <w:t> </w:t>
      </w:r>
      <w:r>
        <w:rPr>
          <w:w w:val="105"/>
          <w:sz w:val="21"/>
        </w:rPr>
        <w:t>should</w:t>
      </w:r>
      <w:r>
        <w:rPr>
          <w:spacing w:val="-4"/>
          <w:w w:val="105"/>
          <w:sz w:val="21"/>
        </w:rPr>
        <w:t> </w:t>
      </w:r>
      <w:r>
        <w:rPr>
          <w:w w:val="105"/>
          <w:sz w:val="21"/>
        </w:rPr>
        <w:t>be</w:t>
      </w:r>
      <w:r>
        <w:rPr>
          <w:spacing w:val="-5"/>
          <w:w w:val="105"/>
          <w:sz w:val="21"/>
        </w:rPr>
        <w:t> </w:t>
      </w:r>
      <w:r>
        <w:rPr>
          <w:w w:val="105"/>
          <w:sz w:val="21"/>
        </w:rPr>
        <w:t>able</w:t>
      </w:r>
      <w:r>
        <w:rPr>
          <w:spacing w:val="-5"/>
          <w:w w:val="105"/>
          <w:sz w:val="21"/>
        </w:rPr>
        <w:t> </w:t>
      </w:r>
      <w:r>
        <w:rPr>
          <w:spacing w:val="-3"/>
          <w:w w:val="105"/>
          <w:sz w:val="21"/>
        </w:rPr>
        <w:t>to</w:t>
      </w:r>
      <w:r>
        <w:rPr>
          <w:spacing w:val="-5"/>
          <w:w w:val="105"/>
          <w:sz w:val="21"/>
        </w:rPr>
        <w:t> </w:t>
      </w:r>
      <w:r>
        <w:rPr>
          <w:spacing w:val="-3"/>
          <w:w w:val="105"/>
          <w:sz w:val="21"/>
        </w:rPr>
        <w:t>take</w:t>
      </w:r>
      <w:r>
        <w:rPr>
          <w:spacing w:val="-4"/>
          <w:w w:val="105"/>
          <w:sz w:val="21"/>
        </w:rPr>
        <w:t> </w:t>
      </w:r>
      <w:r>
        <w:rPr>
          <w:w w:val="105"/>
          <w:sz w:val="21"/>
        </w:rPr>
        <w:t>the</w:t>
      </w:r>
      <w:r>
        <w:rPr>
          <w:spacing w:val="-5"/>
          <w:w w:val="105"/>
          <w:sz w:val="21"/>
        </w:rPr>
        <w:t> </w:t>
      </w:r>
      <w:r>
        <w:rPr>
          <w:w w:val="105"/>
          <w:sz w:val="21"/>
        </w:rPr>
        <w:t>factors</w:t>
      </w:r>
      <w:r>
        <w:rPr>
          <w:spacing w:val="-5"/>
          <w:w w:val="105"/>
          <w:sz w:val="21"/>
        </w:rPr>
        <w:t> </w:t>
      </w:r>
      <w:r>
        <w:rPr>
          <w:spacing w:val="-4"/>
          <w:w w:val="105"/>
          <w:sz w:val="21"/>
        </w:rPr>
        <w:t>into </w:t>
      </w:r>
      <w:r>
        <w:rPr>
          <w:spacing w:val="-3"/>
          <w:w w:val="105"/>
          <w:sz w:val="21"/>
        </w:rPr>
        <w:t>account</w:t>
      </w:r>
      <w:r>
        <w:rPr>
          <w:spacing w:val="-5"/>
          <w:w w:val="105"/>
          <w:sz w:val="21"/>
        </w:rPr>
        <w:t> </w:t>
      </w:r>
      <w:r>
        <w:rPr>
          <w:w w:val="105"/>
          <w:sz w:val="21"/>
        </w:rPr>
        <w:t>when</w:t>
      </w:r>
      <w:r>
        <w:rPr>
          <w:spacing w:val="-5"/>
          <w:w w:val="105"/>
          <w:sz w:val="21"/>
        </w:rPr>
        <w:t> </w:t>
      </w:r>
      <w:r>
        <w:rPr>
          <w:spacing w:val="-3"/>
          <w:w w:val="105"/>
          <w:sz w:val="21"/>
        </w:rPr>
        <w:t>determining</w:t>
      </w:r>
      <w:r>
        <w:rPr>
          <w:spacing w:val="-4"/>
          <w:w w:val="105"/>
          <w:sz w:val="21"/>
        </w:rPr>
        <w:t> </w:t>
      </w:r>
      <w:r>
        <w:rPr>
          <w:w w:val="105"/>
          <w:sz w:val="21"/>
        </w:rPr>
        <w:t>whether</w:t>
      </w:r>
      <w:r>
        <w:rPr>
          <w:spacing w:val="-5"/>
          <w:w w:val="105"/>
          <w:sz w:val="21"/>
        </w:rPr>
        <w:t> </w:t>
      </w:r>
      <w:r>
        <w:rPr>
          <w:w w:val="105"/>
          <w:sz w:val="21"/>
        </w:rPr>
        <w:t>the </w:t>
      </w:r>
      <w:r>
        <w:rPr>
          <w:spacing w:val="-3"/>
          <w:w w:val="105"/>
          <w:sz w:val="21"/>
        </w:rPr>
        <w:t>applicant</w:t>
      </w:r>
      <w:r>
        <w:rPr>
          <w:spacing w:val="-7"/>
          <w:w w:val="105"/>
          <w:sz w:val="21"/>
        </w:rPr>
        <w:t> </w:t>
      </w:r>
      <w:r>
        <w:rPr>
          <w:w w:val="105"/>
          <w:sz w:val="21"/>
        </w:rPr>
        <w:t>is</w:t>
      </w:r>
      <w:r>
        <w:rPr>
          <w:spacing w:val="-7"/>
          <w:w w:val="105"/>
          <w:sz w:val="21"/>
        </w:rPr>
        <w:t> </w:t>
      </w:r>
      <w:r>
        <w:rPr>
          <w:w w:val="105"/>
          <w:sz w:val="21"/>
        </w:rPr>
        <w:t>an</w:t>
      </w:r>
      <w:r>
        <w:rPr>
          <w:spacing w:val="-7"/>
          <w:w w:val="105"/>
          <w:sz w:val="21"/>
        </w:rPr>
        <w:t> </w:t>
      </w:r>
      <w:r>
        <w:rPr>
          <w:spacing w:val="-3"/>
          <w:w w:val="105"/>
          <w:sz w:val="21"/>
        </w:rPr>
        <w:t>eligible</w:t>
      </w:r>
      <w:r>
        <w:rPr>
          <w:spacing w:val="-7"/>
          <w:w w:val="105"/>
          <w:sz w:val="21"/>
        </w:rPr>
        <w:t> </w:t>
      </w:r>
      <w:r>
        <w:rPr>
          <w:w w:val="105"/>
          <w:sz w:val="21"/>
        </w:rPr>
        <w:t>person</w:t>
      </w:r>
      <w:r>
        <w:rPr>
          <w:spacing w:val="-7"/>
          <w:w w:val="105"/>
          <w:sz w:val="21"/>
        </w:rPr>
        <w:t> </w:t>
      </w:r>
      <w:r>
        <w:rPr>
          <w:w w:val="105"/>
          <w:sz w:val="21"/>
        </w:rPr>
        <w:t>in</w:t>
      </w:r>
      <w:r>
        <w:rPr>
          <w:spacing w:val="-7"/>
          <w:w w:val="105"/>
          <w:sz w:val="21"/>
        </w:rPr>
        <w:t> </w:t>
      </w:r>
      <w:r>
        <w:rPr>
          <w:w w:val="105"/>
          <w:sz w:val="21"/>
        </w:rPr>
        <w:t>the</w:t>
      </w:r>
      <w:r>
        <w:rPr>
          <w:spacing w:val="-7"/>
          <w:w w:val="105"/>
          <w:sz w:val="21"/>
        </w:rPr>
        <w:t> </w:t>
      </w:r>
      <w:r>
        <w:rPr>
          <w:w w:val="105"/>
          <w:sz w:val="21"/>
        </w:rPr>
        <w:t>context</w:t>
      </w:r>
      <w:r>
        <w:rPr>
          <w:spacing w:val="-7"/>
          <w:w w:val="105"/>
          <w:sz w:val="21"/>
        </w:rPr>
        <w:t> </w:t>
      </w:r>
      <w:r>
        <w:rPr>
          <w:w w:val="105"/>
          <w:sz w:val="21"/>
        </w:rPr>
        <w:t>of</w:t>
      </w:r>
      <w:r>
        <w:rPr>
          <w:spacing w:val="-7"/>
          <w:w w:val="105"/>
          <w:sz w:val="21"/>
        </w:rPr>
        <w:t> </w:t>
      </w:r>
      <w:r>
        <w:rPr>
          <w:w w:val="105"/>
          <w:sz w:val="21"/>
        </w:rPr>
        <w:t>a</w:t>
      </w:r>
      <w:r>
        <w:rPr>
          <w:spacing w:val="-7"/>
          <w:w w:val="105"/>
          <w:sz w:val="21"/>
        </w:rPr>
        <w:t> </w:t>
      </w:r>
      <w:r>
        <w:rPr>
          <w:w w:val="105"/>
          <w:sz w:val="21"/>
        </w:rPr>
        <w:t>decision</w:t>
      </w:r>
      <w:r>
        <w:rPr>
          <w:spacing w:val="-7"/>
          <w:w w:val="105"/>
          <w:sz w:val="21"/>
        </w:rPr>
        <w:t> </w:t>
      </w:r>
      <w:r>
        <w:rPr>
          <w:w w:val="105"/>
          <w:sz w:val="21"/>
        </w:rPr>
        <w:t>as</w:t>
      </w:r>
      <w:r>
        <w:rPr>
          <w:spacing w:val="-7"/>
          <w:w w:val="105"/>
          <w:sz w:val="21"/>
        </w:rPr>
        <w:t> </w:t>
      </w:r>
      <w:r>
        <w:rPr>
          <w:spacing w:val="-3"/>
          <w:w w:val="105"/>
          <w:sz w:val="21"/>
        </w:rPr>
        <w:t>to</w:t>
      </w:r>
      <w:r>
        <w:rPr>
          <w:spacing w:val="-7"/>
          <w:w w:val="105"/>
          <w:sz w:val="21"/>
        </w:rPr>
        <w:t> </w:t>
      </w:r>
      <w:r>
        <w:rPr>
          <w:w w:val="105"/>
          <w:sz w:val="21"/>
        </w:rPr>
        <w:t>whether</w:t>
      </w:r>
      <w:r>
        <w:rPr>
          <w:spacing w:val="-7"/>
          <w:w w:val="105"/>
          <w:sz w:val="21"/>
        </w:rPr>
        <w:t> </w:t>
      </w:r>
      <w:r>
        <w:rPr>
          <w:w w:val="105"/>
          <w:sz w:val="21"/>
        </w:rPr>
        <w:t>there</w:t>
      </w:r>
      <w:r>
        <w:rPr>
          <w:spacing w:val="-6"/>
          <w:w w:val="105"/>
          <w:sz w:val="21"/>
        </w:rPr>
        <w:t> </w:t>
      </w:r>
      <w:r>
        <w:rPr>
          <w:spacing w:val="-3"/>
          <w:w w:val="105"/>
          <w:sz w:val="21"/>
        </w:rPr>
        <w:t>are</w:t>
      </w:r>
      <w:r>
        <w:rPr>
          <w:spacing w:val="-7"/>
          <w:w w:val="105"/>
          <w:sz w:val="21"/>
        </w:rPr>
        <w:t> </w:t>
      </w:r>
      <w:r>
        <w:rPr>
          <w:w w:val="105"/>
          <w:sz w:val="21"/>
        </w:rPr>
        <w:t>factors </w:t>
      </w:r>
      <w:r>
        <w:rPr>
          <w:spacing w:val="-3"/>
          <w:w w:val="105"/>
          <w:sz w:val="21"/>
        </w:rPr>
        <w:t>warranting </w:t>
      </w:r>
      <w:r>
        <w:rPr>
          <w:w w:val="105"/>
          <w:sz w:val="21"/>
        </w:rPr>
        <w:t>the </w:t>
      </w:r>
      <w:r>
        <w:rPr>
          <w:spacing w:val="-3"/>
          <w:w w:val="105"/>
          <w:sz w:val="21"/>
        </w:rPr>
        <w:t>making </w:t>
      </w:r>
      <w:r>
        <w:rPr>
          <w:w w:val="105"/>
          <w:sz w:val="21"/>
        </w:rPr>
        <w:t>of the</w:t>
      </w:r>
      <w:r>
        <w:rPr>
          <w:spacing w:val="33"/>
          <w:w w:val="105"/>
          <w:sz w:val="21"/>
        </w:rPr>
        <w:t> </w:t>
      </w:r>
      <w:r>
        <w:rPr>
          <w:spacing w:val="-3"/>
          <w:w w:val="105"/>
          <w:sz w:val="21"/>
        </w:rPr>
        <w:t>application.</w:t>
      </w:r>
    </w:p>
    <w:p>
      <w:pPr>
        <w:pStyle w:val="BodyText"/>
        <w:rPr>
          <w:sz w:val="20"/>
        </w:rPr>
      </w:pPr>
    </w:p>
    <w:p>
      <w:pPr>
        <w:pStyle w:val="BodyText"/>
        <w:rPr>
          <w:sz w:val="20"/>
        </w:rPr>
      </w:pPr>
    </w:p>
    <w:p>
      <w:pPr>
        <w:pStyle w:val="BodyText"/>
        <w:rPr>
          <w:sz w:val="20"/>
        </w:rPr>
      </w:pPr>
    </w:p>
    <w:p>
      <w:pPr>
        <w:pStyle w:val="BodyText"/>
        <w:spacing w:before="10"/>
        <w:rPr>
          <w:sz w:val="23"/>
        </w:rPr>
      </w:pPr>
      <w:r>
        <w:rPr/>
        <w:pict>
          <v:line style="position:absolute;mso-position-horizontal-relative:page;mso-position-vertical-relative:paragraph;z-index:7136;mso-wrap-distance-left:0;mso-wrap-distance-right:0" from="79.370102pt,17.023634pt" to="515.905102pt,17.023634pt" stroked="true" strokeweight="1pt" strokecolor="#f9ceca">
            <v:stroke dashstyle="solid"/>
            <w10:wrap type="topAndBottom"/>
          </v:line>
        </w:pict>
      </w:r>
    </w:p>
    <w:p>
      <w:pPr>
        <w:pStyle w:val="BodyText"/>
        <w:spacing w:before="8"/>
        <w:rPr>
          <w:sz w:val="5"/>
        </w:rPr>
      </w:pPr>
    </w:p>
    <w:p>
      <w:pPr>
        <w:spacing w:after="0"/>
        <w:rPr>
          <w:sz w:val="5"/>
        </w:rPr>
        <w:sectPr>
          <w:pgSz w:w="11910" w:h="16840"/>
          <w:pgMar w:header="805" w:footer="0" w:top="1360" w:bottom="280" w:left="0" w:right="0"/>
        </w:sectPr>
      </w:pPr>
    </w:p>
    <w:p>
      <w:pPr>
        <w:pStyle w:val="ListParagraph"/>
        <w:numPr>
          <w:ilvl w:val="0"/>
          <w:numId w:val="85"/>
        </w:numPr>
        <w:tabs>
          <w:tab w:pos="2381" w:val="left" w:leader="none"/>
          <w:tab w:pos="2382" w:val="left" w:leader="none"/>
        </w:tabs>
        <w:spacing w:line="240" w:lineRule="auto" w:before="48" w:after="0"/>
        <w:ind w:left="2381" w:right="0" w:hanging="794"/>
        <w:jc w:val="left"/>
        <w:rPr>
          <w:sz w:val="13"/>
        </w:rPr>
      </w:pPr>
      <w:r>
        <w:rPr>
          <w:w w:val="105"/>
          <w:sz w:val="13"/>
        </w:rPr>
        <w:t>Consultations</w:t>
      </w:r>
      <w:r>
        <w:rPr>
          <w:spacing w:val="6"/>
          <w:w w:val="105"/>
          <w:sz w:val="13"/>
        </w:rPr>
        <w:t> </w:t>
      </w:r>
      <w:r>
        <w:rPr>
          <w:spacing w:val="-6"/>
          <w:w w:val="105"/>
          <w:sz w:val="13"/>
        </w:rPr>
        <w:t>11</w:t>
      </w:r>
      <w:r>
        <w:rPr>
          <w:spacing w:val="7"/>
          <w:w w:val="105"/>
          <w:sz w:val="13"/>
        </w:rPr>
        <w:t> </w:t>
      </w:r>
      <w:r>
        <w:rPr>
          <w:w w:val="105"/>
          <w:sz w:val="13"/>
        </w:rPr>
        <w:t>(Supreme</w:t>
      </w:r>
      <w:r>
        <w:rPr>
          <w:spacing w:val="7"/>
          <w:w w:val="105"/>
          <w:sz w:val="13"/>
        </w:rPr>
        <w:t> </w:t>
      </w:r>
      <w:r>
        <w:rPr>
          <w:w w:val="105"/>
          <w:sz w:val="13"/>
        </w:rPr>
        <w:t>Court</w:t>
      </w:r>
      <w:r>
        <w:rPr>
          <w:spacing w:val="7"/>
          <w:w w:val="105"/>
          <w:sz w:val="13"/>
        </w:rPr>
        <w:t> </w:t>
      </w:r>
      <w:r>
        <w:rPr>
          <w:w w:val="105"/>
          <w:sz w:val="13"/>
        </w:rPr>
        <w:t>of</w:t>
      </w:r>
      <w:r>
        <w:rPr>
          <w:spacing w:val="7"/>
          <w:w w:val="105"/>
          <w:sz w:val="13"/>
        </w:rPr>
        <w:t> </w:t>
      </w:r>
      <w:r>
        <w:rPr>
          <w:w w:val="105"/>
          <w:sz w:val="13"/>
        </w:rPr>
        <w:t>New</w:t>
      </w:r>
      <w:r>
        <w:rPr>
          <w:spacing w:val="7"/>
          <w:w w:val="105"/>
          <w:sz w:val="13"/>
        </w:rPr>
        <w:t> </w:t>
      </w:r>
      <w:r>
        <w:rPr>
          <w:w w:val="105"/>
          <w:sz w:val="13"/>
        </w:rPr>
        <w:t>South</w:t>
      </w:r>
      <w:r>
        <w:rPr>
          <w:spacing w:val="6"/>
          <w:w w:val="105"/>
          <w:sz w:val="13"/>
        </w:rPr>
        <w:t> </w:t>
      </w:r>
      <w:r>
        <w:rPr>
          <w:w w:val="105"/>
          <w:sz w:val="13"/>
        </w:rPr>
        <w:t>Wales);</w:t>
      </w:r>
      <w:r>
        <w:rPr>
          <w:spacing w:val="7"/>
          <w:w w:val="105"/>
          <w:sz w:val="13"/>
        </w:rPr>
        <w:t> </w:t>
      </w:r>
      <w:r>
        <w:rPr>
          <w:spacing w:val="-4"/>
          <w:w w:val="105"/>
          <w:sz w:val="13"/>
        </w:rPr>
        <w:t>12</w:t>
      </w:r>
      <w:r>
        <w:rPr>
          <w:spacing w:val="7"/>
          <w:w w:val="105"/>
          <w:sz w:val="13"/>
        </w:rPr>
        <w:t> </w:t>
      </w:r>
      <w:r>
        <w:rPr>
          <w:spacing w:val="3"/>
          <w:w w:val="105"/>
          <w:sz w:val="13"/>
        </w:rPr>
        <w:t>(Law</w:t>
      </w:r>
      <w:r>
        <w:rPr>
          <w:spacing w:val="7"/>
          <w:w w:val="105"/>
          <w:sz w:val="13"/>
        </w:rPr>
        <w:t> </w:t>
      </w:r>
      <w:r>
        <w:rPr>
          <w:w w:val="105"/>
          <w:sz w:val="13"/>
        </w:rPr>
        <w:t>Society</w:t>
      </w:r>
      <w:r>
        <w:rPr>
          <w:spacing w:val="7"/>
          <w:w w:val="105"/>
          <w:sz w:val="13"/>
        </w:rPr>
        <w:t> </w:t>
      </w:r>
      <w:r>
        <w:rPr>
          <w:w w:val="105"/>
          <w:sz w:val="13"/>
        </w:rPr>
        <w:t>of</w:t>
      </w:r>
      <w:r>
        <w:rPr>
          <w:spacing w:val="7"/>
          <w:w w:val="105"/>
          <w:sz w:val="13"/>
        </w:rPr>
        <w:t> </w:t>
      </w:r>
      <w:r>
        <w:rPr>
          <w:w w:val="105"/>
          <w:sz w:val="13"/>
        </w:rPr>
        <w:t>New</w:t>
      </w:r>
      <w:r>
        <w:rPr>
          <w:spacing w:val="6"/>
          <w:w w:val="105"/>
          <w:sz w:val="13"/>
        </w:rPr>
        <w:t> </w:t>
      </w:r>
      <w:r>
        <w:rPr>
          <w:w w:val="105"/>
          <w:sz w:val="13"/>
        </w:rPr>
        <w:t>South</w:t>
      </w:r>
      <w:r>
        <w:rPr>
          <w:spacing w:val="7"/>
          <w:w w:val="105"/>
          <w:sz w:val="13"/>
        </w:rPr>
        <w:t> </w:t>
      </w:r>
      <w:r>
        <w:rPr>
          <w:w w:val="105"/>
          <w:sz w:val="13"/>
        </w:rPr>
        <w:t>Wales).</w:t>
      </w:r>
    </w:p>
    <w:p>
      <w:pPr>
        <w:pStyle w:val="ListParagraph"/>
        <w:numPr>
          <w:ilvl w:val="0"/>
          <w:numId w:val="85"/>
        </w:numPr>
        <w:tabs>
          <w:tab w:pos="2381" w:val="left" w:leader="none"/>
          <w:tab w:pos="2382" w:val="left" w:leader="none"/>
        </w:tabs>
        <w:spacing w:line="240" w:lineRule="auto" w:before="1" w:after="0"/>
        <w:ind w:left="2381" w:right="0" w:hanging="794"/>
        <w:jc w:val="left"/>
        <w:rPr>
          <w:sz w:val="13"/>
        </w:rPr>
      </w:pPr>
      <w:r>
        <w:rPr>
          <w:w w:val="105"/>
          <w:sz w:val="13"/>
        </w:rPr>
        <w:t>Submission</w:t>
      </w:r>
      <w:r>
        <w:rPr>
          <w:spacing w:val="7"/>
          <w:w w:val="105"/>
          <w:sz w:val="13"/>
        </w:rPr>
        <w:t> </w:t>
      </w:r>
      <w:r>
        <w:rPr>
          <w:w w:val="105"/>
          <w:sz w:val="13"/>
        </w:rPr>
        <w:t>36</w:t>
      </w:r>
      <w:r>
        <w:rPr>
          <w:spacing w:val="8"/>
          <w:w w:val="105"/>
          <w:sz w:val="13"/>
        </w:rPr>
        <w:t> </w:t>
      </w:r>
      <w:r>
        <w:rPr>
          <w:spacing w:val="3"/>
          <w:w w:val="105"/>
          <w:sz w:val="13"/>
        </w:rPr>
        <w:t>(Law</w:t>
      </w:r>
      <w:r>
        <w:rPr>
          <w:spacing w:val="8"/>
          <w:w w:val="105"/>
          <w:sz w:val="13"/>
        </w:rPr>
        <w:t> </w:t>
      </w:r>
      <w:r>
        <w:rPr>
          <w:w w:val="105"/>
          <w:sz w:val="13"/>
        </w:rPr>
        <w:t>Society</w:t>
      </w:r>
      <w:r>
        <w:rPr>
          <w:spacing w:val="7"/>
          <w:w w:val="105"/>
          <w:sz w:val="13"/>
        </w:rPr>
        <w:t> </w:t>
      </w:r>
      <w:r>
        <w:rPr>
          <w:w w:val="105"/>
          <w:sz w:val="13"/>
        </w:rPr>
        <w:t>of</w:t>
      </w:r>
      <w:r>
        <w:rPr>
          <w:spacing w:val="8"/>
          <w:w w:val="105"/>
          <w:sz w:val="13"/>
        </w:rPr>
        <w:t> </w:t>
      </w:r>
      <w:r>
        <w:rPr>
          <w:w w:val="105"/>
          <w:sz w:val="13"/>
        </w:rPr>
        <w:t>New</w:t>
      </w:r>
      <w:r>
        <w:rPr>
          <w:spacing w:val="8"/>
          <w:w w:val="105"/>
          <w:sz w:val="13"/>
        </w:rPr>
        <w:t> </w:t>
      </w:r>
      <w:r>
        <w:rPr>
          <w:w w:val="105"/>
          <w:sz w:val="13"/>
        </w:rPr>
        <w:t>South</w:t>
      </w:r>
      <w:r>
        <w:rPr>
          <w:spacing w:val="8"/>
          <w:w w:val="105"/>
          <w:sz w:val="13"/>
        </w:rPr>
        <w:t> </w:t>
      </w:r>
      <w:r>
        <w:rPr>
          <w:w w:val="105"/>
          <w:sz w:val="13"/>
        </w:rPr>
        <w:t>Wales);</w:t>
      </w:r>
      <w:r>
        <w:rPr>
          <w:spacing w:val="7"/>
          <w:w w:val="105"/>
          <w:sz w:val="13"/>
        </w:rPr>
        <w:t> </w:t>
      </w:r>
      <w:r>
        <w:rPr>
          <w:w w:val="105"/>
          <w:sz w:val="13"/>
        </w:rPr>
        <w:t>consultation</w:t>
      </w:r>
      <w:r>
        <w:rPr>
          <w:spacing w:val="8"/>
          <w:w w:val="105"/>
          <w:sz w:val="13"/>
        </w:rPr>
        <w:t> </w:t>
      </w:r>
      <w:r>
        <w:rPr>
          <w:spacing w:val="-4"/>
          <w:w w:val="105"/>
          <w:sz w:val="13"/>
        </w:rPr>
        <w:t>12</w:t>
      </w:r>
      <w:r>
        <w:rPr>
          <w:spacing w:val="8"/>
          <w:w w:val="105"/>
          <w:sz w:val="13"/>
        </w:rPr>
        <w:t> </w:t>
      </w:r>
      <w:r>
        <w:rPr>
          <w:spacing w:val="3"/>
          <w:w w:val="105"/>
          <w:sz w:val="13"/>
        </w:rPr>
        <w:t>(Law</w:t>
      </w:r>
      <w:r>
        <w:rPr>
          <w:spacing w:val="8"/>
          <w:w w:val="105"/>
          <w:sz w:val="13"/>
        </w:rPr>
        <w:t> </w:t>
      </w:r>
      <w:r>
        <w:rPr>
          <w:w w:val="105"/>
          <w:sz w:val="13"/>
        </w:rPr>
        <w:t>Society</w:t>
      </w:r>
      <w:r>
        <w:rPr>
          <w:spacing w:val="7"/>
          <w:w w:val="105"/>
          <w:sz w:val="13"/>
        </w:rPr>
        <w:t> </w:t>
      </w:r>
      <w:r>
        <w:rPr>
          <w:w w:val="105"/>
          <w:sz w:val="13"/>
        </w:rPr>
        <w:t>of</w:t>
      </w:r>
      <w:r>
        <w:rPr>
          <w:spacing w:val="8"/>
          <w:w w:val="105"/>
          <w:sz w:val="13"/>
        </w:rPr>
        <w:t> </w:t>
      </w:r>
      <w:r>
        <w:rPr>
          <w:w w:val="105"/>
          <w:sz w:val="13"/>
        </w:rPr>
        <w:t>New</w:t>
      </w:r>
      <w:r>
        <w:rPr>
          <w:spacing w:val="8"/>
          <w:w w:val="105"/>
          <w:sz w:val="13"/>
        </w:rPr>
        <w:t> </w:t>
      </w:r>
      <w:r>
        <w:rPr>
          <w:w w:val="105"/>
          <w:sz w:val="13"/>
        </w:rPr>
        <w:t>South</w:t>
      </w:r>
      <w:r>
        <w:rPr>
          <w:spacing w:val="8"/>
          <w:w w:val="105"/>
          <w:sz w:val="13"/>
        </w:rPr>
        <w:t> </w:t>
      </w:r>
      <w:r>
        <w:rPr>
          <w:w w:val="105"/>
          <w:sz w:val="13"/>
        </w:rPr>
        <w:t>Wales).</w:t>
      </w:r>
    </w:p>
    <w:p>
      <w:pPr>
        <w:pStyle w:val="ListParagraph"/>
        <w:numPr>
          <w:ilvl w:val="0"/>
          <w:numId w:val="85"/>
        </w:numPr>
        <w:tabs>
          <w:tab w:pos="2381" w:val="left" w:leader="none"/>
          <w:tab w:pos="2382" w:val="left" w:leader="none"/>
        </w:tabs>
        <w:spacing w:line="240" w:lineRule="auto" w:before="2" w:after="0"/>
        <w:ind w:left="2381" w:right="0" w:hanging="794"/>
        <w:jc w:val="left"/>
        <w:rPr>
          <w:sz w:val="13"/>
        </w:rPr>
      </w:pPr>
      <w:r>
        <w:rPr>
          <w:i/>
          <w:w w:val="105"/>
          <w:sz w:val="13"/>
        </w:rPr>
        <w:t>Succession Act 2006 </w:t>
      </w:r>
      <w:r>
        <w:rPr>
          <w:spacing w:val="3"/>
          <w:w w:val="105"/>
          <w:sz w:val="13"/>
        </w:rPr>
        <w:t>(NSW) </w:t>
      </w:r>
      <w:r>
        <w:rPr>
          <w:w w:val="105"/>
          <w:sz w:val="13"/>
        </w:rPr>
        <w:t>s</w:t>
      </w:r>
      <w:r>
        <w:rPr>
          <w:spacing w:val="18"/>
          <w:w w:val="105"/>
          <w:sz w:val="13"/>
        </w:rPr>
        <w:t> </w:t>
      </w:r>
      <w:r>
        <w:rPr>
          <w:spacing w:val="2"/>
          <w:w w:val="105"/>
          <w:sz w:val="13"/>
        </w:rPr>
        <w:t>57(1)(e).</w:t>
      </w:r>
    </w:p>
    <w:p>
      <w:pPr>
        <w:pStyle w:val="ListParagraph"/>
        <w:numPr>
          <w:ilvl w:val="0"/>
          <w:numId w:val="85"/>
        </w:numPr>
        <w:tabs>
          <w:tab w:pos="2381" w:val="left" w:leader="none"/>
          <w:tab w:pos="2382" w:val="left" w:leader="none"/>
        </w:tabs>
        <w:spacing w:line="240" w:lineRule="auto" w:before="1" w:after="0"/>
        <w:ind w:left="2381" w:right="0" w:hanging="794"/>
        <w:jc w:val="left"/>
        <w:rPr>
          <w:sz w:val="13"/>
        </w:rPr>
      </w:pPr>
      <w:r>
        <w:rPr>
          <w:w w:val="105"/>
          <w:sz w:val="13"/>
        </w:rPr>
        <w:t>Consultation </w:t>
      </w:r>
      <w:r>
        <w:rPr>
          <w:spacing w:val="-4"/>
          <w:w w:val="105"/>
          <w:sz w:val="13"/>
        </w:rPr>
        <w:t>12 </w:t>
      </w:r>
      <w:r>
        <w:rPr>
          <w:spacing w:val="3"/>
          <w:w w:val="105"/>
          <w:sz w:val="13"/>
        </w:rPr>
        <w:t>(Law </w:t>
      </w:r>
      <w:r>
        <w:rPr>
          <w:w w:val="105"/>
          <w:sz w:val="13"/>
        </w:rPr>
        <w:t>Society of New South</w:t>
      </w:r>
      <w:r>
        <w:rPr>
          <w:spacing w:val="8"/>
          <w:w w:val="105"/>
          <w:sz w:val="13"/>
        </w:rPr>
        <w:t> </w:t>
      </w:r>
      <w:r>
        <w:rPr>
          <w:w w:val="105"/>
          <w:sz w:val="13"/>
        </w:rPr>
        <w:t>Wales).</w:t>
      </w:r>
    </w:p>
    <w:p>
      <w:pPr>
        <w:pStyle w:val="ListParagraph"/>
        <w:numPr>
          <w:ilvl w:val="0"/>
          <w:numId w:val="85"/>
        </w:numPr>
        <w:tabs>
          <w:tab w:pos="2381" w:val="left" w:leader="none"/>
          <w:tab w:pos="2382" w:val="left" w:leader="none"/>
        </w:tabs>
        <w:spacing w:line="240" w:lineRule="auto" w:before="1" w:after="0"/>
        <w:ind w:left="2381" w:right="0" w:hanging="794"/>
        <w:jc w:val="left"/>
        <w:rPr>
          <w:sz w:val="13"/>
        </w:rPr>
      </w:pPr>
      <w:r>
        <w:rPr>
          <w:sz w:val="13"/>
        </w:rPr>
        <w:t>Ibid.</w:t>
      </w:r>
    </w:p>
    <w:p>
      <w:pPr>
        <w:pStyle w:val="ListParagraph"/>
        <w:numPr>
          <w:ilvl w:val="0"/>
          <w:numId w:val="85"/>
        </w:numPr>
        <w:tabs>
          <w:tab w:pos="2381" w:val="left" w:leader="none"/>
          <w:tab w:pos="2382" w:val="left" w:leader="none"/>
        </w:tabs>
        <w:spacing w:line="240" w:lineRule="auto" w:before="2" w:after="0"/>
        <w:ind w:left="2381" w:right="0" w:hanging="794"/>
        <w:jc w:val="left"/>
        <w:rPr>
          <w:sz w:val="13"/>
        </w:rPr>
      </w:pPr>
      <w:r>
        <w:rPr>
          <w:sz w:val="13"/>
        </w:rPr>
        <w:t>Ibid.</w:t>
      </w:r>
    </w:p>
    <w:p>
      <w:pPr>
        <w:pStyle w:val="ListParagraph"/>
        <w:numPr>
          <w:ilvl w:val="0"/>
          <w:numId w:val="85"/>
        </w:numPr>
        <w:tabs>
          <w:tab w:pos="2381" w:val="left" w:leader="none"/>
          <w:tab w:pos="2382" w:val="left" w:leader="none"/>
        </w:tabs>
        <w:spacing w:line="240" w:lineRule="auto" w:before="1" w:after="0"/>
        <w:ind w:left="2381" w:right="0" w:hanging="794"/>
        <w:jc w:val="left"/>
        <w:rPr>
          <w:sz w:val="13"/>
        </w:rPr>
      </w:pPr>
      <w:r>
        <w:rPr>
          <w:i/>
          <w:w w:val="105"/>
          <w:sz w:val="13"/>
        </w:rPr>
        <w:t>Succession Act </w:t>
      </w:r>
      <w:r>
        <w:rPr>
          <w:i/>
          <w:spacing w:val="-3"/>
          <w:w w:val="105"/>
          <w:sz w:val="13"/>
        </w:rPr>
        <w:t>1981 </w:t>
      </w:r>
      <w:r>
        <w:rPr>
          <w:spacing w:val="2"/>
          <w:w w:val="105"/>
          <w:sz w:val="13"/>
        </w:rPr>
        <w:t>(Qld) </w:t>
      </w:r>
      <w:r>
        <w:rPr>
          <w:w w:val="105"/>
          <w:sz w:val="13"/>
        </w:rPr>
        <w:t>s 40 (definition of</w:t>
      </w:r>
      <w:r>
        <w:rPr>
          <w:spacing w:val="8"/>
          <w:w w:val="105"/>
          <w:sz w:val="13"/>
        </w:rPr>
        <w:t> </w:t>
      </w:r>
      <w:r>
        <w:rPr>
          <w:w w:val="105"/>
          <w:sz w:val="13"/>
        </w:rPr>
        <w:t>‘child’).</w:t>
      </w:r>
    </w:p>
    <w:p>
      <w:pPr>
        <w:pStyle w:val="BodyText"/>
        <w:rPr>
          <w:sz w:val="28"/>
        </w:rPr>
      </w:pPr>
      <w:r>
        <w:rPr/>
        <w:br w:type="column"/>
      </w:r>
      <w:r>
        <w:rPr>
          <w:sz w:val="28"/>
        </w:rPr>
      </w:r>
    </w:p>
    <w:p>
      <w:pPr>
        <w:pStyle w:val="BodyText"/>
        <w:rPr>
          <w:sz w:val="28"/>
        </w:rPr>
      </w:pPr>
    </w:p>
    <w:p>
      <w:pPr>
        <w:spacing w:before="220"/>
        <w:ind w:left="1587" w:right="0" w:firstLine="0"/>
        <w:jc w:val="left"/>
        <w:rPr>
          <w:b/>
          <w:sz w:val="24"/>
        </w:rPr>
      </w:pPr>
      <w:r>
        <w:rPr>
          <w:b/>
          <w:color w:val="EC5A4F"/>
          <w:w w:val="110"/>
          <w:sz w:val="24"/>
        </w:rPr>
        <w:t>113</w:t>
      </w:r>
    </w:p>
    <w:p>
      <w:pPr>
        <w:spacing w:after="0"/>
        <w:jc w:val="left"/>
        <w:rPr>
          <w:sz w:val="24"/>
        </w:rPr>
        <w:sectPr>
          <w:type w:val="continuous"/>
          <w:pgSz w:w="11910" w:h="16840"/>
          <w:pgMar w:top="920" w:bottom="280" w:left="0" w:right="0"/>
          <w:cols w:num="2" w:equalWidth="0">
            <w:col w:w="8199" w:space="1138"/>
            <w:col w:w="2573"/>
          </w:cols>
        </w:sectPr>
      </w:pPr>
    </w:p>
    <w:p>
      <w:pPr>
        <w:pStyle w:val="BodyText"/>
        <w:spacing w:before="9"/>
        <w:rPr>
          <w:b/>
          <w:sz w:val="22"/>
        </w:rPr>
      </w:pPr>
    </w:p>
    <w:p>
      <w:pPr>
        <w:pStyle w:val="ListParagraph"/>
        <w:numPr>
          <w:ilvl w:val="1"/>
          <w:numId w:val="82"/>
        </w:numPr>
        <w:tabs>
          <w:tab w:pos="2381" w:val="left" w:leader="none"/>
          <w:tab w:pos="2382" w:val="left" w:leader="none"/>
        </w:tabs>
        <w:spacing w:line="242" w:lineRule="auto" w:before="92" w:after="0"/>
        <w:ind w:left="2381" w:right="1683" w:hanging="794"/>
        <w:jc w:val="left"/>
        <w:rPr>
          <w:sz w:val="21"/>
        </w:rPr>
      </w:pPr>
      <w:r>
        <w:rPr>
          <w:sz w:val="21"/>
        </w:rPr>
        <w:t>The </w:t>
      </w:r>
      <w:r>
        <w:rPr>
          <w:spacing w:val="-3"/>
          <w:sz w:val="21"/>
        </w:rPr>
        <w:t>Commission </w:t>
      </w:r>
      <w:r>
        <w:rPr>
          <w:sz w:val="21"/>
        </w:rPr>
        <w:t>only </w:t>
      </w:r>
      <w:r>
        <w:rPr>
          <w:spacing w:val="-3"/>
          <w:sz w:val="21"/>
        </w:rPr>
        <w:t>recommends change </w:t>
      </w:r>
      <w:r>
        <w:rPr>
          <w:sz w:val="21"/>
        </w:rPr>
        <w:t>in </w:t>
      </w:r>
      <w:r>
        <w:rPr>
          <w:spacing w:val="-3"/>
          <w:sz w:val="21"/>
        </w:rPr>
        <w:t>relation to </w:t>
      </w:r>
      <w:r>
        <w:rPr>
          <w:sz w:val="21"/>
        </w:rPr>
        <w:t>the  </w:t>
      </w:r>
      <w:r>
        <w:rPr>
          <w:spacing w:val="-3"/>
          <w:sz w:val="21"/>
        </w:rPr>
        <w:t>threshold  determination  </w:t>
      </w:r>
      <w:r>
        <w:rPr>
          <w:sz w:val="21"/>
        </w:rPr>
        <w:t>of who is an </w:t>
      </w:r>
      <w:r>
        <w:rPr>
          <w:spacing w:val="-3"/>
          <w:sz w:val="21"/>
        </w:rPr>
        <w:t>eligible </w:t>
      </w:r>
      <w:r>
        <w:rPr>
          <w:sz w:val="21"/>
        </w:rPr>
        <w:t>person. The test </w:t>
      </w:r>
      <w:r>
        <w:rPr>
          <w:spacing w:val="-3"/>
          <w:sz w:val="21"/>
        </w:rPr>
        <w:t>for provision </w:t>
      </w:r>
      <w:r>
        <w:rPr>
          <w:sz w:val="21"/>
        </w:rPr>
        <w:t>and the statutory </w:t>
      </w:r>
      <w:r>
        <w:rPr>
          <w:spacing w:val="-3"/>
          <w:sz w:val="21"/>
        </w:rPr>
        <w:t>criteria are substantially </w:t>
      </w:r>
      <w:r>
        <w:rPr>
          <w:sz w:val="21"/>
        </w:rPr>
        <w:t>the same in Victoria and New South </w:t>
      </w:r>
      <w:r>
        <w:rPr>
          <w:spacing w:val="-3"/>
          <w:sz w:val="21"/>
        </w:rPr>
        <w:t>Wales </w:t>
      </w:r>
      <w:r>
        <w:rPr>
          <w:sz w:val="21"/>
        </w:rPr>
        <w:t>and </w:t>
      </w:r>
      <w:r>
        <w:rPr>
          <w:spacing w:val="-3"/>
          <w:sz w:val="21"/>
        </w:rPr>
        <w:t>any  differences  </w:t>
      </w:r>
      <w:r>
        <w:rPr>
          <w:sz w:val="21"/>
        </w:rPr>
        <w:t>do  </w:t>
      </w:r>
      <w:r>
        <w:rPr>
          <w:spacing w:val="-2"/>
          <w:sz w:val="21"/>
        </w:rPr>
        <w:t>not  </w:t>
      </w:r>
      <w:r>
        <w:rPr>
          <w:sz w:val="21"/>
        </w:rPr>
        <w:t>impact  on  the issue of</w:t>
      </w:r>
      <w:r>
        <w:rPr>
          <w:spacing w:val="16"/>
          <w:sz w:val="21"/>
        </w:rPr>
        <w:t> </w:t>
      </w:r>
      <w:r>
        <w:rPr>
          <w:spacing w:val="-4"/>
          <w:sz w:val="21"/>
        </w:rPr>
        <w:t>eligibility.</w:t>
      </w:r>
    </w:p>
    <w:p>
      <w:pPr>
        <w:pStyle w:val="BodyText"/>
        <w:rPr>
          <w:sz w:val="20"/>
        </w:rPr>
      </w:pPr>
    </w:p>
    <w:p>
      <w:pPr>
        <w:spacing w:before="246"/>
        <w:ind w:left="1814" w:right="0" w:firstLine="0"/>
        <w:jc w:val="left"/>
        <w:rPr>
          <w:b/>
          <w:sz w:val="32"/>
        </w:rPr>
      </w:pPr>
      <w:r>
        <w:rPr/>
        <w:pict>
          <v:group style="position:absolute;margin-left:62.362202pt;margin-top:4.004104pt;width:479.1pt;height:416.55pt;mso-position-horizontal-relative:page;mso-position-vertical-relative:paragraph;z-index:-299224" coordorigin="1247,80" coordsize="9582,8331">
            <v:rect style="position:absolute;left:1587;top:80;width:8731;height:8331" filled="true" fillcolor="#fdebea" stroked="false">
              <v:fill type="solid"/>
            </v:rect>
            <v:line style="position:absolute" from="1247,831" to="10828,831" stroked="true" strokeweight="2.5pt" strokecolor="#ffffff">
              <v:stroke dashstyle="solid"/>
            </v:line>
            <w10:wrap type="none"/>
          </v:group>
        </w:pict>
      </w:r>
      <w:r>
        <w:rPr>
          <w:b/>
          <w:color w:val="EC5A4F"/>
          <w:w w:val="110"/>
          <w:sz w:val="32"/>
        </w:rPr>
        <w:t>Recommendation</w:t>
      </w:r>
    </w:p>
    <w:p>
      <w:pPr>
        <w:pStyle w:val="BodyText"/>
        <w:rPr>
          <w:b/>
          <w:sz w:val="35"/>
        </w:rPr>
      </w:pPr>
    </w:p>
    <w:p>
      <w:pPr>
        <w:pStyle w:val="BodyText"/>
        <w:tabs>
          <w:tab w:pos="2381" w:val="left" w:leader="none"/>
        </w:tabs>
        <w:spacing w:line="242" w:lineRule="auto"/>
        <w:ind w:left="2381" w:right="2142" w:hanging="567"/>
      </w:pPr>
      <w:r>
        <w:rPr>
          <w:w w:val="110"/>
        </w:rPr>
        <w:t>38</w:t>
        <w:tab/>
        <w:t>Victoria should replace its ‘responsibility’ test for eligibility to </w:t>
      </w:r>
      <w:r>
        <w:rPr>
          <w:spacing w:val="-3"/>
          <w:w w:val="110"/>
        </w:rPr>
        <w:t>make </w:t>
      </w:r>
      <w:r>
        <w:rPr>
          <w:w w:val="110"/>
        </w:rPr>
        <w:t>a </w:t>
      </w:r>
      <w:r>
        <w:rPr>
          <w:spacing w:val="-3"/>
          <w:w w:val="110"/>
        </w:rPr>
        <w:t>family </w:t>
      </w:r>
      <w:r>
        <w:rPr>
          <w:w w:val="110"/>
        </w:rPr>
        <w:t>provision </w:t>
      </w:r>
      <w:r>
        <w:rPr>
          <w:spacing w:val="-3"/>
          <w:w w:val="110"/>
        </w:rPr>
        <w:t>claim </w:t>
      </w:r>
      <w:r>
        <w:rPr>
          <w:w w:val="110"/>
        </w:rPr>
        <w:t>with a test based on the New South </w:t>
      </w:r>
      <w:r>
        <w:rPr>
          <w:spacing w:val="-3"/>
          <w:w w:val="110"/>
        </w:rPr>
        <w:t>Wales </w:t>
      </w:r>
      <w:r>
        <w:rPr>
          <w:w w:val="110"/>
        </w:rPr>
        <w:t>test for </w:t>
      </w:r>
      <w:r>
        <w:rPr>
          <w:spacing w:val="-3"/>
          <w:w w:val="110"/>
        </w:rPr>
        <w:t>eligibility, </w:t>
      </w:r>
      <w:r>
        <w:rPr>
          <w:w w:val="110"/>
        </w:rPr>
        <w:t>but extended to include stepchildren. </w:t>
      </w:r>
      <w:r>
        <w:rPr>
          <w:spacing w:val="-8"/>
          <w:w w:val="110"/>
        </w:rPr>
        <w:t>To </w:t>
      </w:r>
      <w:r>
        <w:rPr>
          <w:w w:val="110"/>
        </w:rPr>
        <w:t>this end, section </w:t>
      </w:r>
      <w:r>
        <w:rPr>
          <w:spacing w:val="-4"/>
          <w:w w:val="110"/>
        </w:rPr>
        <w:t>91(1) </w:t>
      </w:r>
      <w:r>
        <w:rPr>
          <w:w w:val="110"/>
        </w:rPr>
        <w:t>of the </w:t>
      </w:r>
      <w:r>
        <w:rPr>
          <w:rFonts w:ascii="Lucida Sans" w:hAnsi="Lucida Sans"/>
          <w:i/>
          <w:w w:val="105"/>
        </w:rPr>
        <w:t>Administration</w:t>
      </w:r>
      <w:r>
        <w:rPr>
          <w:rFonts w:ascii="Lucida Sans" w:hAnsi="Lucida Sans"/>
          <w:i/>
          <w:spacing w:val="-24"/>
          <w:w w:val="105"/>
        </w:rPr>
        <w:t> </w:t>
      </w:r>
      <w:r>
        <w:rPr>
          <w:rFonts w:ascii="Lucida Sans" w:hAnsi="Lucida Sans"/>
          <w:i/>
          <w:w w:val="105"/>
        </w:rPr>
        <w:t>and</w:t>
      </w:r>
      <w:r>
        <w:rPr>
          <w:rFonts w:ascii="Lucida Sans" w:hAnsi="Lucida Sans"/>
          <w:i/>
          <w:spacing w:val="-24"/>
          <w:w w:val="105"/>
        </w:rPr>
        <w:t> </w:t>
      </w:r>
      <w:r>
        <w:rPr>
          <w:rFonts w:ascii="Lucida Sans" w:hAnsi="Lucida Sans"/>
          <w:i/>
          <w:w w:val="105"/>
        </w:rPr>
        <w:t>Probate</w:t>
      </w:r>
      <w:r>
        <w:rPr>
          <w:rFonts w:ascii="Lucida Sans" w:hAnsi="Lucida Sans"/>
          <w:i/>
          <w:spacing w:val="-24"/>
          <w:w w:val="105"/>
        </w:rPr>
        <w:t> </w:t>
      </w:r>
      <w:r>
        <w:rPr>
          <w:rFonts w:ascii="Lucida Sans" w:hAnsi="Lucida Sans"/>
          <w:i/>
          <w:w w:val="105"/>
        </w:rPr>
        <w:t>Act</w:t>
      </w:r>
      <w:r>
        <w:rPr>
          <w:rFonts w:ascii="Lucida Sans" w:hAnsi="Lucida Sans"/>
          <w:i/>
          <w:spacing w:val="-23"/>
          <w:w w:val="105"/>
        </w:rPr>
        <w:t> </w:t>
      </w:r>
      <w:r>
        <w:rPr>
          <w:rFonts w:ascii="Lucida Sans" w:hAnsi="Lucida Sans"/>
          <w:i/>
          <w:spacing w:val="-4"/>
          <w:w w:val="105"/>
        </w:rPr>
        <w:t>1958</w:t>
      </w:r>
      <w:r>
        <w:rPr>
          <w:rFonts w:ascii="Lucida Sans" w:hAnsi="Lucida Sans"/>
          <w:i/>
          <w:spacing w:val="-24"/>
          <w:w w:val="105"/>
        </w:rPr>
        <w:t> </w:t>
      </w:r>
      <w:r>
        <w:rPr>
          <w:w w:val="105"/>
        </w:rPr>
        <w:t>(Vic)</w:t>
      </w:r>
      <w:r>
        <w:rPr>
          <w:spacing w:val="-4"/>
          <w:w w:val="105"/>
        </w:rPr>
        <w:t> </w:t>
      </w:r>
      <w:r>
        <w:rPr>
          <w:w w:val="105"/>
        </w:rPr>
        <w:t>should</w:t>
      </w:r>
      <w:r>
        <w:rPr>
          <w:spacing w:val="-4"/>
          <w:w w:val="105"/>
        </w:rPr>
        <w:t> </w:t>
      </w:r>
      <w:r>
        <w:rPr>
          <w:w w:val="105"/>
        </w:rPr>
        <w:t>be</w:t>
      </w:r>
      <w:r>
        <w:rPr>
          <w:spacing w:val="-4"/>
          <w:w w:val="105"/>
        </w:rPr>
        <w:t> </w:t>
      </w:r>
      <w:r>
        <w:rPr>
          <w:w w:val="105"/>
        </w:rPr>
        <w:t>repealed</w:t>
      </w:r>
      <w:r>
        <w:rPr>
          <w:spacing w:val="-3"/>
          <w:w w:val="105"/>
        </w:rPr>
        <w:t> </w:t>
      </w:r>
      <w:r>
        <w:rPr>
          <w:w w:val="105"/>
        </w:rPr>
        <w:t>and</w:t>
      </w:r>
      <w:r>
        <w:rPr>
          <w:spacing w:val="-4"/>
          <w:w w:val="105"/>
        </w:rPr>
        <w:t> </w:t>
      </w:r>
      <w:r>
        <w:rPr>
          <w:w w:val="105"/>
        </w:rPr>
        <w:t>replaced </w:t>
      </w:r>
      <w:r>
        <w:rPr>
          <w:w w:val="110"/>
        </w:rPr>
        <w:t>with provisions in the </w:t>
      </w:r>
      <w:r>
        <w:rPr>
          <w:spacing w:val="-2"/>
          <w:w w:val="110"/>
        </w:rPr>
        <w:t>following</w:t>
      </w:r>
      <w:r>
        <w:rPr>
          <w:spacing w:val="25"/>
          <w:w w:val="110"/>
        </w:rPr>
        <w:t> </w:t>
      </w:r>
      <w:r>
        <w:rPr>
          <w:w w:val="110"/>
        </w:rPr>
        <w:t>terms:</w:t>
      </w:r>
    </w:p>
    <w:p>
      <w:pPr>
        <w:pStyle w:val="BodyText"/>
        <w:spacing w:line="242" w:lineRule="auto" w:before="123"/>
        <w:ind w:left="2381" w:right="2289"/>
      </w:pPr>
      <w:r>
        <w:rPr>
          <w:w w:val="115"/>
        </w:rPr>
        <w:t>The following are eligible persons who may apply to the court for a family provision order in respect of the estate of a deceased person:</w:t>
      </w:r>
    </w:p>
    <w:p>
      <w:pPr>
        <w:pStyle w:val="ListParagraph"/>
        <w:numPr>
          <w:ilvl w:val="0"/>
          <w:numId w:val="86"/>
        </w:numPr>
        <w:tabs>
          <w:tab w:pos="2949" w:val="left" w:leader="none"/>
        </w:tabs>
        <w:spacing w:line="242" w:lineRule="auto" w:before="122" w:after="0"/>
        <w:ind w:left="2948" w:right="2213" w:hanging="341"/>
        <w:jc w:val="left"/>
        <w:rPr>
          <w:sz w:val="21"/>
        </w:rPr>
      </w:pPr>
      <w:r>
        <w:rPr>
          <w:w w:val="115"/>
          <w:sz w:val="21"/>
        </w:rPr>
        <w:t>a</w:t>
      </w:r>
      <w:r>
        <w:rPr>
          <w:spacing w:val="-6"/>
          <w:w w:val="115"/>
          <w:sz w:val="21"/>
        </w:rPr>
        <w:t> </w:t>
      </w:r>
      <w:r>
        <w:rPr>
          <w:w w:val="115"/>
          <w:sz w:val="21"/>
        </w:rPr>
        <w:t>person</w:t>
      </w:r>
      <w:r>
        <w:rPr>
          <w:spacing w:val="-5"/>
          <w:w w:val="115"/>
          <w:sz w:val="21"/>
        </w:rPr>
        <w:t> </w:t>
      </w:r>
      <w:r>
        <w:rPr>
          <w:w w:val="115"/>
          <w:sz w:val="21"/>
        </w:rPr>
        <w:t>who</w:t>
      </w:r>
      <w:r>
        <w:rPr>
          <w:spacing w:val="-5"/>
          <w:w w:val="115"/>
          <w:sz w:val="21"/>
        </w:rPr>
        <w:t> </w:t>
      </w:r>
      <w:r>
        <w:rPr>
          <w:w w:val="115"/>
          <w:sz w:val="21"/>
        </w:rPr>
        <w:t>was</w:t>
      </w:r>
      <w:r>
        <w:rPr>
          <w:spacing w:val="-5"/>
          <w:w w:val="115"/>
          <w:sz w:val="21"/>
        </w:rPr>
        <w:t> </w:t>
      </w:r>
      <w:r>
        <w:rPr>
          <w:w w:val="115"/>
          <w:sz w:val="21"/>
        </w:rPr>
        <w:t>the</w:t>
      </w:r>
      <w:r>
        <w:rPr>
          <w:spacing w:val="-5"/>
          <w:w w:val="115"/>
          <w:sz w:val="21"/>
        </w:rPr>
        <w:t> </w:t>
      </w:r>
      <w:r>
        <w:rPr>
          <w:w w:val="115"/>
          <w:sz w:val="21"/>
        </w:rPr>
        <w:t>wife</w:t>
      </w:r>
      <w:r>
        <w:rPr>
          <w:spacing w:val="-5"/>
          <w:w w:val="115"/>
          <w:sz w:val="21"/>
        </w:rPr>
        <w:t> </w:t>
      </w:r>
      <w:r>
        <w:rPr>
          <w:w w:val="115"/>
          <w:sz w:val="21"/>
        </w:rPr>
        <w:t>or</w:t>
      </w:r>
      <w:r>
        <w:rPr>
          <w:spacing w:val="-5"/>
          <w:w w:val="115"/>
          <w:sz w:val="21"/>
        </w:rPr>
        <w:t> </w:t>
      </w:r>
      <w:r>
        <w:rPr>
          <w:w w:val="115"/>
          <w:sz w:val="21"/>
        </w:rPr>
        <w:t>husband</w:t>
      </w:r>
      <w:r>
        <w:rPr>
          <w:spacing w:val="-5"/>
          <w:w w:val="115"/>
          <w:sz w:val="21"/>
        </w:rPr>
        <w:t> </w:t>
      </w:r>
      <w:r>
        <w:rPr>
          <w:w w:val="115"/>
          <w:sz w:val="21"/>
        </w:rPr>
        <w:t>of</w:t>
      </w:r>
      <w:r>
        <w:rPr>
          <w:spacing w:val="-6"/>
          <w:w w:val="115"/>
          <w:sz w:val="21"/>
        </w:rPr>
        <w:t> </w:t>
      </w:r>
      <w:r>
        <w:rPr>
          <w:w w:val="115"/>
          <w:sz w:val="21"/>
        </w:rPr>
        <w:t>the</w:t>
      </w:r>
      <w:r>
        <w:rPr>
          <w:spacing w:val="-5"/>
          <w:w w:val="115"/>
          <w:sz w:val="21"/>
        </w:rPr>
        <w:t> </w:t>
      </w:r>
      <w:r>
        <w:rPr>
          <w:w w:val="115"/>
          <w:sz w:val="21"/>
        </w:rPr>
        <w:t>deceased</w:t>
      </w:r>
      <w:r>
        <w:rPr>
          <w:spacing w:val="-5"/>
          <w:w w:val="115"/>
          <w:sz w:val="21"/>
        </w:rPr>
        <w:t> </w:t>
      </w:r>
      <w:r>
        <w:rPr>
          <w:w w:val="115"/>
          <w:sz w:val="21"/>
        </w:rPr>
        <w:t>person</w:t>
      </w:r>
      <w:r>
        <w:rPr>
          <w:spacing w:val="-5"/>
          <w:w w:val="115"/>
          <w:sz w:val="21"/>
        </w:rPr>
        <w:t> </w:t>
      </w:r>
      <w:r>
        <w:rPr>
          <w:w w:val="115"/>
          <w:sz w:val="21"/>
        </w:rPr>
        <w:t>at</w:t>
      </w:r>
      <w:r>
        <w:rPr>
          <w:spacing w:val="-5"/>
          <w:w w:val="115"/>
          <w:sz w:val="21"/>
        </w:rPr>
        <w:t> </w:t>
      </w:r>
      <w:r>
        <w:rPr>
          <w:w w:val="115"/>
          <w:sz w:val="21"/>
        </w:rPr>
        <w:t>the time of the deceased person’s</w:t>
      </w:r>
      <w:r>
        <w:rPr>
          <w:spacing w:val="-3"/>
          <w:w w:val="115"/>
          <w:sz w:val="21"/>
        </w:rPr>
        <w:t> </w:t>
      </w:r>
      <w:r>
        <w:rPr>
          <w:w w:val="115"/>
          <w:sz w:val="21"/>
        </w:rPr>
        <w:t>death</w:t>
      </w:r>
    </w:p>
    <w:p>
      <w:pPr>
        <w:pStyle w:val="ListParagraph"/>
        <w:numPr>
          <w:ilvl w:val="0"/>
          <w:numId w:val="86"/>
        </w:numPr>
        <w:tabs>
          <w:tab w:pos="2949" w:val="left" w:leader="none"/>
        </w:tabs>
        <w:spacing w:line="242" w:lineRule="auto" w:before="122" w:after="0"/>
        <w:ind w:left="2948" w:right="2093" w:hanging="341"/>
        <w:jc w:val="left"/>
        <w:rPr>
          <w:sz w:val="21"/>
        </w:rPr>
      </w:pPr>
      <w:r>
        <w:rPr>
          <w:w w:val="115"/>
          <w:sz w:val="21"/>
        </w:rPr>
        <w:t>a person with whom the deceased person was </w:t>
      </w:r>
      <w:r>
        <w:rPr>
          <w:spacing w:val="-2"/>
          <w:w w:val="115"/>
          <w:sz w:val="21"/>
        </w:rPr>
        <w:t>living </w:t>
      </w:r>
      <w:r>
        <w:rPr>
          <w:w w:val="115"/>
          <w:sz w:val="21"/>
        </w:rPr>
        <w:t>in a registrable domestic</w:t>
      </w:r>
      <w:r>
        <w:rPr>
          <w:spacing w:val="-15"/>
          <w:w w:val="115"/>
          <w:sz w:val="21"/>
        </w:rPr>
        <w:t> </w:t>
      </w:r>
      <w:r>
        <w:rPr>
          <w:w w:val="115"/>
          <w:sz w:val="21"/>
        </w:rPr>
        <w:t>relationship</w:t>
      </w:r>
      <w:r>
        <w:rPr>
          <w:w w:val="115"/>
          <w:position w:val="7"/>
          <w:sz w:val="12"/>
        </w:rPr>
        <w:t>155</w:t>
      </w:r>
      <w:r>
        <w:rPr>
          <w:spacing w:val="-8"/>
          <w:w w:val="115"/>
          <w:position w:val="7"/>
          <w:sz w:val="12"/>
        </w:rPr>
        <w:t> </w:t>
      </w:r>
      <w:r>
        <w:rPr>
          <w:w w:val="115"/>
          <w:sz w:val="21"/>
        </w:rPr>
        <w:t>or</w:t>
      </w:r>
      <w:r>
        <w:rPr>
          <w:spacing w:val="-15"/>
          <w:w w:val="115"/>
          <w:sz w:val="21"/>
        </w:rPr>
        <w:t> </w:t>
      </w:r>
      <w:r>
        <w:rPr>
          <w:w w:val="115"/>
          <w:sz w:val="21"/>
        </w:rPr>
        <w:t>registered</w:t>
      </w:r>
      <w:r>
        <w:rPr>
          <w:spacing w:val="-15"/>
          <w:w w:val="115"/>
          <w:sz w:val="21"/>
        </w:rPr>
        <w:t> </w:t>
      </w:r>
      <w:r>
        <w:rPr>
          <w:w w:val="115"/>
          <w:sz w:val="21"/>
        </w:rPr>
        <w:t>domestic</w:t>
      </w:r>
      <w:r>
        <w:rPr>
          <w:spacing w:val="-14"/>
          <w:w w:val="115"/>
          <w:sz w:val="21"/>
        </w:rPr>
        <w:t> </w:t>
      </w:r>
      <w:r>
        <w:rPr>
          <w:w w:val="115"/>
          <w:sz w:val="21"/>
        </w:rPr>
        <w:t>relationship</w:t>
      </w:r>
      <w:r>
        <w:rPr>
          <w:spacing w:val="-15"/>
          <w:w w:val="115"/>
          <w:sz w:val="21"/>
        </w:rPr>
        <w:t> </w:t>
      </w:r>
      <w:r>
        <w:rPr>
          <w:w w:val="115"/>
          <w:sz w:val="21"/>
        </w:rPr>
        <w:t>at</w:t>
      </w:r>
      <w:r>
        <w:rPr>
          <w:spacing w:val="-15"/>
          <w:w w:val="115"/>
          <w:sz w:val="21"/>
        </w:rPr>
        <w:t> </w:t>
      </w:r>
      <w:r>
        <w:rPr>
          <w:w w:val="115"/>
          <w:sz w:val="21"/>
        </w:rPr>
        <w:t>the</w:t>
      </w:r>
      <w:r>
        <w:rPr>
          <w:spacing w:val="-14"/>
          <w:w w:val="115"/>
          <w:sz w:val="21"/>
        </w:rPr>
        <w:t> </w:t>
      </w:r>
      <w:r>
        <w:rPr>
          <w:w w:val="115"/>
          <w:sz w:val="21"/>
        </w:rPr>
        <w:t>time of the deceased person’s</w:t>
      </w:r>
      <w:r>
        <w:rPr>
          <w:spacing w:val="-1"/>
          <w:w w:val="115"/>
          <w:sz w:val="21"/>
        </w:rPr>
        <w:t> </w:t>
      </w:r>
      <w:r>
        <w:rPr>
          <w:w w:val="115"/>
          <w:sz w:val="21"/>
        </w:rPr>
        <w:t>death</w:t>
      </w:r>
    </w:p>
    <w:p>
      <w:pPr>
        <w:pStyle w:val="ListParagraph"/>
        <w:numPr>
          <w:ilvl w:val="0"/>
          <w:numId w:val="86"/>
        </w:numPr>
        <w:tabs>
          <w:tab w:pos="2949" w:val="left" w:leader="none"/>
        </w:tabs>
        <w:spacing w:line="240" w:lineRule="auto" w:before="123" w:after="0"/>
        <w:ind w:left="2948" w:right="0" w:hanging="341"/>
        <w:jc w:val="left"/>
        <w:rPr>
          <w:sz w:val="21"/>
        </w:rPr>
      </w:pPr>
      <w:r>
        <w:rPr>
          <w:w w:val="115"/>
          <w:sz w:val="21"/>
        </w:rPr>
        <w:t>a </w:t>
      </w:r>
      <w:r>
        <w:rPr>
          <w:spacing w:val="-3"/>
          <w:w w:val="115"/>
          <w:sz w:val="21"/>
        </w:rPr>
        <w:t>child </w:t>
      </w:r>
      <w:r>
        <w:rPr>
          <w:w w:val="115"/>
          <w:position w:val="7"/>
          <w:sz w:val="12"/>
        </w:rPr>
        <w:t>156 </w:t>
      </w:r>
      <w:r>
        <w:rPr>
          <w:w w:val="115"/>
          <w:sz w:val="21"/>
        </w:rPr>
        <w:t>of the deceased</w:t>
      </w:r>
      <w:r>
        <w:rPr>
          <w:spacing w:val="-36"/>
          <w:w w:val="115"/>
          <w:sz w:val="21"/>
        </w:rPr>
        <w:t> </w:t>
      </w:r>
      <w:r>
        <w:rPr>
          <w:w w:val="115"/>
          <w:sz w:val="21"/>
        </w:rPr>
        <w:t>person</w:t>
      </w:r>
    </w:p>
    <w:p>
      <w:pPr>
        <w:pStyle w:val="ListParagraph"/>
        <w:numPr>
          <w:ilvl w:val="0"/>
          <w:numId w:val="86"/>
        </w:numPr>
        <w:tabs>
          <w:tab w:pos="2949" w:val="left" w:leader="none"/>
        </w:tabs>
        <w:spacing w:line="240" w:lineRule="auto" w:before="124" w:after="0"/>
        <w:ind w:left="2948" w:right="0" w:hanging="341"/>
        <w:jc w:val="left"/>
        <w:rPr>
          <w:sz w:val="21"/>
        </w:rPr>
      </w:pPr>
      <w:r>
        <w:rPr>
          <w:w w:val="115"/>
          <w:sz w:val="21"/>
        </w:rPr>
        <w:t>a former wife or husband of the deceased person</w:t>
      </w:r>
    </w:p>
    <w:p>
      <w:pPr>
        <w:pStyle w:val="ListParagraph"/>
        <w:numPr>
          <w:ilvl w:val="0"/>
          <w:numId w:val="86"/>
        </w:numPr>
        <w:tabs>
          <w:tab w:pos="2949" w:val="left" w:leader="none"/>
        </w:tabs>
        <w:spacing w:line="240" w:lineRule="auto" w:before="124" w:after="0"/>
        <w:ind w:left="2948" w:right="0" w:hanging="341"/>
        <w:jc w:val="left"/>
        <w:rPr>
          <w:sz w:val="21"/>
        </w:rPr>
      </w:pPr>
      <w:r>
        <w:rPr>
          <w:w w:val="115"/>
          <w:sz w:val="21"/>
        </w:rPr>
        <w:t>a person:</w:t>
      </w:r>
    </w:p>
    <w:p>
      <w:pPr>
        <w:pStyle w:val="ListParagraph"/>
        <w:numPr>
          <w:ilvl w:val="1"/>
          <w:numId w:val="86"/>
        </w:numPr>
        <w:tabs>
          <w:tab w:pos="3209" w:val="left" w:leader="none"/>
        </w:tabs>
        <w:spacing w:line="242" w:lineRule="auto" w:before="123" w:after="0"/>
        <w:ind w:left="3208" w:right="2529" w:hanging="317"/>
        <w:jc w:val="left"/>
        <w:rPr>
          <w:sz w:val="21"/>
        </w:rPr>
      </w:pPr>
      <w:r>
        <w:rPr>
          <w:w w:val="115"/>
          <w:sz w:val="21"/>
        </w:rPr>
        <w:t>who was, at </w:t>
      </w:r>
      <w:r>
        <w:rPr>
          <w:spacing w:val="-2"/>
          <w:w w:val="115"/>
          <w:sz w:val="21"/>
        </w:rPr>
        <w:t>any </w:t>
      </w:r>
      <w:r>
        <w:rPr>
          <w:w w:val="115"/>
          <w:sz w:val="21"/>
        </w:rPr>
        <w:t>particular time, wholly or partly dependent</w:t>
      </w:r>
      <w:r>
        <w:rPr>
          <w:spacing w:val="-37"/>
          <w:w w:val="115"/>
          <w:sz w:val="21"/>
        </w:rPr>
        <w:t> </w:t>
      </w:r>
      <w:r>
        <w:rPr>
          <w:w w:val="115"/>
          <w:sz w:val="21"/>
        </w:rPr>
        <w:t>on the deceased person, and</w:t>
      </w:r>
    </w:p>
    <w:p>
      <w:pPr>
        <w:pStyle w:val="ListParagraph"/>
        <w:numPr>
          <w:ilvl w:val="1"/>
          <w:numId w:val="86"/>
        </w:numPr>
        <w:tabs>
          <w:tab w:pos="3207" w:val="left" w:leader="none"/>
        </w:tabs>
        <w:spacing w:line="242" w:lineRule="auto" w:before="123" w:after="0"/>
        <w:ind w:left="3206" w:right="2015" w:hanging="315"/>
        <w:jc w:val="left"/>
        <w:rPr>
          <w:sz w:val="21"/>
        </w:rPr>
      </w:pPr>
      <w:r>
        <w:rPr>
          <w:w w:val="115"/>
          <w:sz w:val="21"/>
        </w:rPr>
        <w:t>who</w:t>
      </w:r>
      <w:r>
        <w:rPr>
          <w:spacing w:val="-6"/>
          <w:w w:val="115"/>
          <w:sz w:val="21"/>
        </w:rPr>
        <w:t> </w:t>
      </w:r>
      <w:r>
        <w:rPr>
          <w:w w:val="115"/>
          <w:sz w:val="21"/>
        </w:rPr>
        <w:t>is</w:t>
      </w:r>
      <w:r>
        <w:rPr>
          <w:spacing w:val="-6"/>
          <w:w w:val="115"/>
          <w:sz w:val="21"/>
        </w:rPr>
        <w:t> </w:t>
      </w:r>
      <w:r>
        <w:rPr>
          <w:w w:val="115"/>
          <w:sz w:val="21"/>
        </w:rPr>
        <w:t>a</w:t>
      </w:r>
      <w:r>
        <w:rPr>
          <w:spacing w:val="-5"/>
          <w:w w:val="115"/>
          <w:sz w:val="21"/>
        </w:rPr>
        <w:t> </w:t>
      </w:r>
      <w:r>
        <w:rPr>
          <w:w w:val="115"/>
          <w:sz w:val="21"/>
        </w:rPr>
        <w:t>grandchild</w:t>
      </w:r>
      <w:r>
        <w:rPr>
          <w:spacing w:val="-6"/>
          <w:w w:val="115"/>
          <w:sz w:val="21"/>
        </w:rPr>
        <w:t> </w:t>
      </w:r>
      <w:r>
        <w:rPr>
          <w:w w:val="115"/>
          <w:sz w:val="21"/>
        </w:rPr>
        <w:t>of</w:t>
      </w:r>
      <w:r>
        <w:rPr>
          <w:spacing w:val="-6"/>
          <w:w w:val="115"/>
          <w:sz w:val="21"/>
        </w:rPr>
        <w:t> </w:t>
      </w:r>
      <w:r>
        <w:rPr>
          <w:w w:val="115"/>
          <w:sz w:val="21"/>
        </w:rPr>
        <w:t>the</w:t>
      </w:r>
      <w:r>
        <w:rPr>
          <w:spacing w:val="-5"/>
          <w:w w:val="115"/>
          <w:sz w:val="21"/>
        </w:rPr>
        <w:t> </w:t>
      </w:r>
      <w:r>
        <w:rPr>
          <w:w w:val="115"/>
          <w:sz w:val="21"/>
        </w:rPr>
        <w:t>deceased</w:t>
      </w:r>
      <w:r>
        <w:rPr>
          <w:spacing w:val="-6"/>
          <w:w w:val="115"/>
          <w:sz w:val="21"/>
        </w:rPr>
        <w:t> </w:t>
      </w:r>
      <w:r>
        <w:rPr>
          <w:w w:val="115"/>
          <w:sz w:val="21"/>
        </w:rPr>
        <w:t>person</w:t>
      </w:r>
      <w:r>
        <w:rPr>
          <w:spacing w:val="-6"/>
          <w:w w:val="115"/>
          <w:sz w:val="21"/>
        </w:rPr>
        <w:t> </w:t>
      </w:r>
      <w:r>
        <w:rPr>
          <w:w w:val="115"/>
          <w:sz w:val="21"/>
        </w:rPr>
        <w:t>or</w:t>
      </w:r>
      <w:r>
        <w:rPr>
          <w:spacing w:val="-5"/>
          <w:w w:val="115"/>
          <w:sz w:val="21"/>
        </w:rPr>
        <w:t> </w:t>
      </w:r>
      <w:r>
        <w:rPr>
          <w:w w:val="115"/>
          <w:sz w:val="21"/>
        </w:rPr>
        <w:t>was,</w:t>
      </w:r>
      <w:r>
        <w:rPr>
          <w:spacing w:val="-6"/>
          <w:w w:val="115"/>
          <w:sz w:val="21"/>
        </w:rPr>
        <w:t> </w:t>
      </w:r>
      <w:r>
        <w:rPr>
          <w:w w:val="115"/>
          <w:sz w:val="21"/>
        </w:rPr>
        <w:t>at</w:t>
      </w:r>
      <w:r>
        <w:rPr>
          <w:spacing w:val="-5"/>
          <w:w w:val="115"/>
          <w:sz w:val="21"/>
        </w:rPr>
        <w:t> </w:t>
      </w:r>
      <w:r>
        <w:rPr>
          <w:w w:val="115"/>
          <w:sz w:val="21"/>
        </w:rPr>
        <w:t>that</w:t>
      </w:r>
      <w:r>
        <w:rPr>
          <w:spacing w:val="-6"/>
          <w:w w:val="115"/>
          <w:sz w:val="21"/>
        </w:rPr>
        <w:t> </w:t>
      </w:r>
      <w:r>
        <w:rPr>
          <w:w w:val="115"/>
          <w:sz w:val="21"/>
        </w:rPr>
        <w:t>particular time or </w:t>
      </w:r>
      <w:r>
        <w:rPr>
          <w:spacing w:val="-2"/>
          <w:w w:val="115"/>
          <w:sz w:val="21"/>
        </w:rPr>
        <w:t>any </w:t>
      </w:r>
      <w:r>
        <w:rPr>
          <w:w w:val="115"/>
          <w:sz w:val="21"/>
        </w:rPr>
        <w:t>other particular time, a member of the household of which the deceased person was a</w:t>
      </w:r>
      <w:r>
        <w:rPr>
          <w:spacing w:val="-5"/>
          <w:w w:val="115"/>
          <w:sz w:val="21"/>
        </w:rPr>
        <w:t> </w:t>
      </w:r>
      <w:r>
        <w:rPr>
          <w:w w:val="115"/>
          <w:sz w:val="21"/>
        </w:rPr>
        <w:t>member</w:t>
      </w:r>
    </w:p>
    <w:p>
      <w:pPr>
        <w:pStyle w:val="ListParagraph"/>
        <w:numPr>
          <w:ilvl w:val="0"/>
          <w:numId w:val="86"/>
        </w:numPr>
        <w:tabs>
          <w:tab w:pos="2950" w:val="left" w:leader="none"/>
        </w:tabs>
        <w:spacing w:line="242" w:lineRule="auto" w:before="123" w:after="0"/>
        <w:ind w:left="2949" w:right="2357" w:hanging="341"/>
        <w:jc w:val="left"/>
        <w:rPr>
          <w:sz w:val="12"/>
        </w:rPr>
      </w:pPr>
      <w:r>
        <w:rPr>
          <w:w w:val="115"/>
          <w:sz w:val="21"/>
        </w:rPr>
        <w:t>a</w:t>
      </w:r>
      <w:r>
        <w:rPr>
          <w:spacing w:val="-5"/>
          <w:w w:val="115"/>
          <w:sz w:val="21"/>
        </w:rPr>
        <w:t> </w:t>
      </w:r>
      <w:r>
        <w:rPr>
          <w:w w:val="115"/>
          <w:sz w:val="21"/>
        </w:rPr>
        <w:t>person</w:t>
      </w:r>
      <w:r>
        <w:rPr>
          <w:spacing w:val="-5"/>
          <w:w w:val="115"/>
          <w:sz w:val="21"/>
        </w:rPr>
        <w:t> </w:t>
      </w:r>
      <w:r>
        <w:rPr>
          <w:w w:val="115"/>
          <w:sz w:val="21"/>
        </w:rPr>
        <w:t>with</w:t>
      </w:r>
      <w:r>
        <w:rPr>
          <w:spacing w:val="-5"/>
          <w:w w:val="115"/>
          <w:sz w:val="21"/>
        </w:rPr>
        <w:t> </w:t>
      </w:r>
      <w:r>
        <w:rPr>
          <w:w w:val="115"/>
          <w:sz w:val="21"/>
        </w:rPr>
        <w:t>whom</w:t>
      </w:r>
      <w:r>
        <w:rPr>
          <w:spacing w:val="-5"/>
          <w:w w:val="115"/>
          <w:sz w:val="21"/>
        </w:rPr>
        <w:t> </w:t>
      </w:r>
      <w:r>
        <w:rPr>
          <w:w w:val="115"/>
          <w:sz w:val="21"/>
        </w:rPr>
        <w:t>the</w:t>
      </w:r>
      <w:r>
        <w:rPr>
          <w:spacing w:val="-5"/>
          <w:w w:val="115"/>
          <w:sz w:val="21"/>
        </w:rPr>
        <w:t> </w:t>
      </w:r>
      <w:r>
        <w:rPr>
          <w:w w:val="115"/>
          <w:sz w:val="21"/>
        </w:rPr>
        <w:t>deceased</w:t>
      </w:r>
      <w:r>
        <w:rPr>
          <w:spacing w:val="-5"/>
          <w:w w:val="115"/>
          <w:sz w:val="21"/>
        </w:rPr>
        <w:t> </w:t>
      </w:r>
      <w:r>
        <w:rPr>
          <w:w w:val="115"/>
          <w:sz w:val="21"/>
        </w:rPr>
        <w:t>person</w:t>
      </w:r>
      <w:r>
        <w:rPr>
          <w:spacing w:val="-5"/>
          <w:w w:val="115"/>
          <w:sz w:val="21"/>
        </w:rPr>
        <w:t> </w:t>
      </w:r>
      <w:r>
        <w:rPr>
          <w:w w:val="115"/>
          <w:sz w:val="21"/>
        </w:rPr>
        <w:t>was</w:t>
      </w:r>
      <w:r>
        <w:rPr>
          <w:spacing w:val="-5"/>
          <w:w w:val="115"/>
          <w:sz w:val="21"/>
        </w:rPr>
        <w:t> </w:t>
      </w:r>
      <w:r>
        <w:rPr>
          <w:spacing w:val="-2"/>
          <w:w w:val="115"/>
          <w:sz w:val="21"/>
        </w:rPr>
        <w:t>living</w:t>
      </w:r>
      <w:r>
        <w:rPr>
          <w:spacing w:val="-5"/>
          <w:w w:val="115"/>
          <w:sz w:val="21"/>
        </w:rPr>
        <w:t> </w:t>
      </w:r>
      <w:r>
        <w:rPr>
          <w:w w:val="115"/>
          <w:sz w:val="21"/>
        </w:rPr>
        <w:t>in</w:t>
      </w:r>
      <w:r>
        <w:rPr>
          <w:spacing w:val="-5"/>
          <w:w w:val="115"/>
          <w:sz w:val="21"/>
        </w:rPr>
        <w:t> </w:t>
      </w:r>
      <w:r>
        <w:rPr>
          <w:w w:val="115"/>
          <w:sz w:val="21"/>
        </w:rPr>
        <w:t>a</w:t>
      </w:r>
      <w:r>
        <w:rPr>
          <w:spacing w:val="-5"/>
          <w:w w:val="115"/>
          <w:sz w:val="21"/>
        </w:rPr>
        <w:t> </w:t>
      </w:r>
      <w:r>
        <w:rPr>
          <w:w w:val="115"/>
          <w:sz w:val="21"/>
        </w:rPr>
        <w:t>registrable caring relationship or registered caring</w:t>
      </w:r>
      <w:r>
        <w:rPr>
          <w:spacing w:val="-5"/>
          <w:w w:val="115"/>
          <w:sz w:val="21"/>
        </w:rPr>
        <w:t> </w:t>
      </w:r>
      <w:r>
        <w:rPr>
          <w:w w:val="115"/>
          <w:sz w:val="21"/>
        </w:rPr>
        <w:t>relationship</w:t>
      </w:r>
      <w:r>
        <w:rPr>
          <w:w w:val="115"/>
          <w:position w:val="7"/>
          <w:sz w:val="12"/>
        </w:rPr>
        <w:t>157</w:t>
      </w:r>
    </w:p>
    <w:p>
      <w:pPr>
        <w:pStyle w:val="ListParagraph"/>
        <w:numPr>
          <w:ilvl w:val="0"/>
          <w:numId w:val="86"/>
        </w:numPr>
        <w:tabs>
          <w:tab w:pos="2949" w:val="left" w:leader="none"/>
        </w:tabs>
        <w:spacing w:line="240" w:lineRule="auto" w:before="122" w:after="0"/>
        <w:ind w:left="2948" w:right="0" w:hanging="340"/>
        <w:jc w:val="left"/>
        <w:rPr>
          <w:sz w:val="21"/>
        </w:rPr>
      </w:pPr>
      <w:r>
        <w:rPr>
          <w:w w:val="115"/>
          <w:sz w:val="21"/>
        </w:rPr>
        <w:t>a stepchild of the deceased person.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2"/>
        </w:rPr>
      </w:pPr>
      <w:r>
        <w:rPr/>
        <w:pict>
          <v:line style="position:absolute;mso-position-horizontal-relative:page;mso-position-vertical-relative:paragraph;z-index:7160;mso-wrap-distance-left:0;mso-wrap-distance-right:0" from="79.370102pt,15.945762pt" to="515.905102pt,15.945762pt" stroked="true" strokeweight="1pt" strokecolor="#f9ceca">
            <v:stroke dashstyle="solid"/>
            <w10:wrap type="topAndBottom"/>
          </v:line>
        </w:pict>
      </w:r>
    </w:p>
    <w:p>
      <w:pPr>
        <w:pStyle w:val="BodyText"/>
        <w:spacing w:before="8"/>
        <w:rPr>
          <w:sz w:val="5"/>
        </w:rPr>
      </w:pPr>
    </w:p>
    <w:p>
      <w:pPr>
        <w:spacing w:after="0"/>
        <w:rPr>
          <w:sz w:val="5"/>
        </w:rPr>
        <w:sectPr>
          <w:pgSz w:w="11910" w:h="16840"/>
          <w:pgMar w:header="550" w:footer="0" w:top="1560" w:bottom="280" w:left="0" w:right="0"/>
        </w:sectPr>
      </w:pPr>
    </w:p>
    <w:p>
      <w:pPr>
        <w:pStyle w:val="BodyText"/>
        <w:rPr>
          <w:sz w:val="28"/>
        </w:rPr>
      </w:pPr>
    </w:p>
    <w:p>
      <w:pPr>
        <w:pStyle w:val="BodyText"/>
        <w:rPr>
          <w:sz w:val="28"/>
        </w:rPr>
      </w:pPr>
    </w:p>
    <w:p>
      <w:pPr>
        <w:pStyle w:val="BodyText"/>
        <w:rPr>
          <w:sz w:val="28"/>
        </w:rPr>
      </w:pPr>
    </w:p>
    <w:p>
      <w:pPr>
        <w:spacing w:before="212"/>
        <w:ind w:left="720" w:right="0" w:firstLine="0"/>
        <w:jc w:val="left"/>
        <w:rPr>
          <w:b/>
          <w:sz w:val="24"/>
        </w:rPr>
      </w:pPr>
      <w:r>
        <w:rPr>
          <w:b/>
          <w:color w:val="EC5A4F"/>
          <w:spacing w:val="-9"/>
          <w:w w:val="110"/>
          <w:sz w:val="24"/>
        </w:rPr>
        <w:t>114</w:t>
      </w:r>
    </w:p>
    <w:p>
      <w:pPr>
        <w:pStyle w:val="ListParagraph"/>
        <w:numPr>
          <w:ilvl w:val="0"/>
          <w:numId w:val="85"/>
        </w:numPr>
        <w:tabs>
          <w:tab w:pos="1246" w:val="left" w:leader="none"/>
          <w:tab w:pos="1247" w:val="left" w:leader="none"/>
        </w:tabs>
        <w:spacing w:line="240" w:lineRule="auto" w:before="48" w:after="0"/>
        <w:ind w:left="1246" w:right="1736" w:hanging="794"/>
        <w:jc w:val="left"/>
        <w:rPr>
          <w:sz w:val="13"/>
        </w:rPr>
      </w:pPr>
      <w:r>
        <w:rPr>
          <w:spacing w:val="3"/>
          <w:w w:val="102"/>
          <w:sz w:val="13"/>
        </w:rPr>
        <w:br w:type="column"/>
      </w:r>
      <w:r>
        <w:rPr>
          <w:sz w:val="13"/>
        </w:rPr>
        <w:t>The New South Wales legislation uses the terminology ‘de facto relationship’, as defined in the </w:t>
      </w:r>
      <w:r>
        <w:rPr>
          <w:i/>
          <w:sz w:val="13"/>
        </w:rPr>
        <w:t>Interpretation Act 1987 </w:t>
      </w:r>
      <w:r>
        <w:rPr>
          <w:spacing w:val="3"/>
          <w:sz w:val="13"/>
        </w:rPr>
        <w:t>(NSW): </w:t>
      </w:r>
      <w:r>
        <w:rPr>
          <w:i/>
          <w:sz w:val="13"/>
        </w:rPr>
        <w:t>Succession            </w:t>
      </w:r>
      <w:r>
        <w:rPr>
          <w:i/>
          <w:sz w:val="13"/>
        </w:rPr>
        <w:t>Act 2006 </w:t>
      </w:r>
      <w:r>
        <w:rPr>
          <w:spacing w:val="3"/>
          <w:sz w:val="13"/>
        </w:rPr>
        <w:t>(NSW) </w:t>
      </w:r>
      <w:r>
        <w:rPr>
          <w:sz w:val="13"/>
        </w:rPr>
        <w:t>s </w:t>
      </w:r>
      <w:r>
        <w:rPr>
          <w:spacing w:val="2"/>
          <w:sz w:val="13"/>
        </w:rPr>
        <w:t>57(1)(b). </w:t>
      </w:r>
      <w:r>
        <w:rPr>
          <w:sz w:val="13"/>
        </w:rPr>
        <w:t>This is the terminology also used in the </w:t>
      </w:r>
      <w:r>
        <w:rPr>
          <w:i/>
          <w:sz w:val="13"/>
        </w:rPr>
        <w:t>Property (Relationships) Act 1984 </w:t>
      </w:r>
      <w:r>
        <w:rPr>
          <w:spacing w:val="3"/>
          <w:sz w:val="13"/>
        </w:rPr>
        <w:t>(NSW). </w:t>
      </w:r>
      <w:r>
        <w:rPr>
          <w:sz w:val="13"/>
        </w:rPr>
        <w:t>The Commission</w:t>
      </w:r>
      <w:r>
        <w:rPr>
          <w:spacing w:val="5"/>
          <w:sz w:val="13"/>
        </w:rPr>
        <w:t> </w:t>
      </w:r>
      <w:r>
        <w:rPr>
          <w:sz w:val="13"/>
        </w:rPr>
        <w:t>considers</w:t>
      </w:r>
    </w:p>
    <w:p>
      <w:pPr>
        <w:spacing w:before="3"/>
        <w:ind w:left="1246" w:right="1536" w:firstLine="0"/>
        <w:jc w:val="left"/>
        <w:rPr>
          <w:sz w:val="13"/>
        </w:rPr>
      </w:pPr>
      <w:r>
        <w:rPr>
          <w:w w:val="105"/>
          <w:sz w:val="13"/>
        </w:rPr>
        <w:t>it appropriate to use the Victorian equivalents from the </w:t>
      </w:r>
      <w:r>
        <w:rPr>
          <w:i/>
          <w:w w:val="105"/>
          <w:sz w:val="13"/>
        </w:rPr>
        <w:t>Relationships Act 2008 </w:t>
      </w:r>
      <w:r>
        <w:rPr>
          <w:w w:val="105"/>
          <w:sz w:val="13"/>
        </w:rPr>
        <w:t>(Vic), which are ‘registrable domestic relationship’ and ‘registered domestic relationship’.</w:t>
      </w:r>
    </w:p>
    <w:p>
      <w:pPr>
        <w:pStyle w:val="ListParagraph"/>
        <w:numPr>
          <w:ilvl w:val="0"/>
          <w:numId w:val="85"/>
        </w:numPr>
        <w:tabs>
          <w:tab w:pos="1246" w:val="left" w:leader="none"/>
          <w:tab w:pos="1247" w:val="left" w:leader="none"/>
        </w:tabs>
        <w:spacing w:line="240" w:lineRule="auto" w:before="2" w:after="0"/>
        <w:ind w:left="1246" w:right="2014" w:hanging="794"/>
        <w:jc w:val="left"/>
        <w:rPr>
          <w:sz w:val="13"/>
        </w:rPr>
      </w:pPr>
      <w:r>
        <w:rPr>
          <w:w w:val="105"/>
          <w:sz w:val="13"/>
        </w:rPr>
        <w:t>The New South Wales legislation further defines ‘child’ in relation to a de facto or domestic relationship: </w:t>
      </w:r>
      <w:r>
        <w:rPr>
          <w:i/>
          <w:w w:val="105"/>
          <w:sz w:val="13"/>
        </w:rPr>
        <w:t>Succession Act 2006 </w:t>
      </w:r>
      <w:r>
        <w:rPr>
          <w:spacing w:val="3"/>
          <w:w w:val="105"/>
          <w:sz w:val="13"/>
        </w:rPr>
        <w:t>(NSW)     </w:t>
      </w:r>
      <w:r>
        <w:rPr>
          <w:w w:val="105"/>
          <w:sz w:val="13"/>
        </w:rPr>
        <w:t>s</w:t>
      </w:r>
      <w:r>
        <w:rPr>
          <w:spacing w:val="5"/>
          <w:w w:val="105"/>
          <w:sz w:val="13"/>
        </w:rPr>
        <w:t> </w:t>
      </w:r>
      <w:r>
        <w:rPr>
          <w:w w:val="105"/>
          <w:sz w:val="13"/>
        </w:rPr>
        <w:t>57(2).</w:t>
      </w:r>
      <w:r>
        <w:rPr>
          <w:spacing w:val="5"/>
          <w:w w:val="105"/>
          <w:sz w:val="13"/>
        </w:rPr>
        <w:t> </w:t>
      </w:r>
      <w:r>
        <w:rPr>
          <w:w w:val="105"/>
          <w:sz w:val="13"/>
        </w:rPr>
        <w:t>Consideration</w:t>
      </w:r>
      <w:r>
        <w:rPr>
          <w:spacing w:val="5"/>
          <w:w w:val="105"/>
          <w:sz w:val="13"/>
        </w:rPr>
        <w:t> </w:t>
      </w:r>
      <w:r>
        <w:rPr>
          <w:w w:val="105"/>
          <w:sz w:val="13"/>
        </w:rPr>
        <w:t>would</w:t>
      </w:r>
      <w:r>
        <w:rPr>
          <w:spacing w:val="5"/>
          <w:w w:val="105"/>
          <w:sz w:val="13"/>
        </w:rPr>
        <w:t> </w:t>
      </w:r>
      <w:r>
        <w:rPr>
          <w:w w:val="105"/>
          <w:sz w:val="13"/>
        </w:rPr>
        <w:t>need</w:t>
      </w:r>
      <w:r>
        <w:rPr>
          <w:spacing w:val="5"/>
          <w:w w:val="105"/>
          <w:sz w:val="13"/>
        </w:rPr>
        <w:t> </w:t>
      </w:r>
      <w:r>
        <w:rPr>
          <w:w w:val="105"/>
          <w:sz w:val="13"/>
        </w:rPr>
        <w:t>to</w:t>
      </w:r>
      <w:r>
        <w:rPr>
          <w:spacing w:val="5"/>
          <w:w w:val="105"/>
          <w:sz w:val="13"/>
        </w:rPr>
        <w:t> </w:t>
      </w:r>
      <w:r>
        <w:rPr>
          <w:w w:val="105"/>
          <w:sz w:val="13"/>
        </w:rPr>
        <w:t>be</w:t>
      </w:r>
      <w:r>
        <w:rPr>
          <w:spacing w:val="5"/>
          <w:w w:val="105"/>
          <w:sz w:val="13"/>
        </w:rPr>
        <w:t> </w:t>
      </w:r>
      <w:r>
        <w:rPr>
          <w:w w:val="105"/>
          <w:sz w:val="13"/>
        </w:rPr>
        <w:t>given</w:t>
      </w:r>
      <w:r>
        <w:rPr>
          <w:spacing w:val="5"/>
          <w:w w:val="105"/>
          <w:sz w:val="13"/>
        </w:rPr>
        <w:t> </w:t>
      </w:r>
      <w:r>
        <w:rPr>
          <w:w w:val="105"/>
          <w:sz w:val="13"/>
        </w:rPr>
        <w:t>to</w:t>
      </w:r>
      <w:r>
        <w:rPr>
          <w:spacing w:val="5"/>
          <w:w w:val="105"/>
          <w:sz w:val="13"/>
        </w:rPr>
        <w:t> </w:t>
      </w:r>
      <w:r>
        <w:rPr>
          <w:w w:val="105"/>
          <w:sz w:val="13"/>
        </w:rPr>
        <w:t>the</w:t>
      </w:r>
      <w:r>
        <w:rPr>
          <w:spacing w:val="5"/>
          <w:w w:val="105"/>
          <w:sz w:val="13"/>
        </w:rPr>
        <w:t> </w:t>
      </w:r>
      <w:r>
        <w:rPr>
          <w:w w:val="105"/>
          <w:sz w:val="13"/>
        </w:rPr>
        <w:t>definition</w:t>
      </w:r>
      <w:r>
        <w:rPr>
          <w:spacing w:val="5"/>
          <w:w w:val="105"/>
          <w:sz w:val="13"/>
        </w:rPr>
        <w:t> </w:t>
      </w:r>
      <w:r>
        <w:rPr>
          <w:w w:val="105"/>
          <w:sz w:val="13"/>
        </w:rPr>
        <w:t>of</w:t>
      </w:r>
      <w:r>
        <w:rPr>
          <w:spacing w:val="5"/>
          <w:w w:val="105"/>
          <w:sz w:val="13"/>
        </w:rPr>
        <w:t> </w:t>
      </w:r>
      <w:r>
        <w:rPr>
          <w:w w:val="105"/>
          <w:sz w:val="13"/>
        </w:rPr>
        <w:t>‘child’</w:t>
      </w:r>
      <w:r>
        <w:rPr>
          <w:spacing w:val="5"/>
          <w:w w:val="105"/>
          <w:sz w:val="13"/>
        </w:rPr>
        <w:t> </w:t>
      </w:r>
      <w:r>
        <w:rPr>
          <w:w w:val="105"/>
          <w:sz w:val="13"/>
        </w:rPr>
        <w:t>in</w:t>
      </w:r>
      <w:r>
        <w:rPr>
          <w:spacing w:val="5"/>
          <w:w w:val="105"/>
          <w:sz w:val="13"/>
        </w:rPr>
        <w:t> </w:t>
      </w:r>
      <w:r>
        <w:rPr>
          <w:w w:val="105"/>
          <w:sz w:val="13"/>
        </w:rPr>
        <w:t>Victoria</w:t>
      </w:r>
      <w:r>
        <w:rPr>
          <w:spacing w:val="6"/>
          <w:w w:val="105"/>
          <w:sz w:val="13"/>
        </w:rPr>
        <w:t> </w:t>
      </w:r>
      <w:r>
        <w:rPr>
          <w:w w:val="105"/>
          <w:sz w:val="13"/>
        </w:rPr>
        <w:t>in</w:t>
      </w:r>
      <w:r>
        <w:rPr>
          <w:spacing w:val="5"/>
          <w:w w:val="105"/>
          <w:sz w:val="13"/>
        </w:rPr>
        <w:t> </w:t>
      </w:r>
      <w:r>
        <w:rPr>
          <w:w w:val="105"/>
          <w:sz w:val="13"/>
        </w:rPr>
        <w:t>these</w:t>
      </w:r>
      <w:r>
        <w:rPr>
          <w:spacing w:val="5"/>
          <w:w w:val="105"/>
          <w:sz w:val="13"/>
        </w:rPr>
        <w:t> </w:t>
      </w:r>
      <w:r>
        <w:rPr>
          <w:w w:val="105"/>
          <w:sz w:val="13"/>
        </w:rPr>
        <w:t>circumstances.</w:t>
      </w:r>
    </w:p>
    <w:p>
      <w:pPr>
        <w:pStyle w:val="ListParagraph"/>
        <w:numPr>
          <w:ilvl w:val="0"/>
          <w:numId w:val="85"/>
        </w:numPr>
        <w:tabs>
          <w:tab w:pos="1246" w:val="left" w:leader="none"/>
          <w:tab w:pos="1247" w:val="left" w:leader="none"/>
        </w:tabs>
        <w:spacing w:line="240" w:lineRule="auto" w:before="3" w:after="0"/>
        <w:ind w:left="1246" w:right="1634" w:hanging="794"/>
        <w:jc w:val="both"/>
        <w:rPr>
          <w:sz w:val="13"/>
        </w:rPr>
      </w:pPr>
      <w:r>
        <w:rPr>
          <w:w w:val="105"/>
          <w:sz w:val="13"/>
        </w:rPr>
        <w:t>The New South Wales legislation uses the terminology ‘close personal relationship’: </w:t>
      </w:r>
      <w:r>
        <w:rPr>
          <w:i/>
          <w:w w:val="105"/>
          <w:sz w:val="13"/>
        </w:rPr>
        <w:t>Succession Act 2006 </w:t>
      </w:r>
      <w:r>
        <w:rPr>
          <w:spacing w:val="3"/>
          <w:w w:val="105"/>
          <w:sz w:val="13"/>
        </w:rPr>
        <w:t>(NSW) </w:t>
      </w:r>
      <w:r>
        <w:rPr>
          <w:w w:val="105"/>
          <w:sz w:val="13"/>
        </w:rPr>
        <w:t>s </w:t>
      </w:r>
      <w:r>
        <w:rPr>
          <w:spacing w:val="2"/>
          <w:w w:val="105"/>
          <w:sz w:val="13"/>
        </w:rPr>
        <w:t>57(1)(f). </w:t>
      </w:r>
      <w:r>
        <w:rPr>
          <w:w w:val="105"/>
          <w:sz w:val="13"/>
        </w:rPr>
        <w:t>This terminology comes from the </w:t>
      </w:r>
      <w:r>
        <w:rPr>
          <w:i/>
          <w:w w:val="105"/>
          <w:sz w:val="13"/>
        </w:rPr>
        <w:t>Property (Relationships) Act 1984 </w:t>
      </w:r>
      <w:r>
        <w:rPr>
          <w:spacing w:val="3"/>
          <w:w w:val="105"/>
          <w:sz w:val="13"/>
        </w:rPr>
        <w:t>(NSW) </w:t>
      </w:r>
      <w:r>
        <w:rPr>
          <w:w w:val="105"/>
          <w:sz w:val="13"/>
        </w:rPr>
        <w:t>s 5. The Commission considers it appropriate to use the Victorian equivalent from the</w:t>
      </w:r>
      <w:r>
        <w:rPr>
          <w:spacing w:val="4"/>
          <w:w w:val="105"/>
          <w:sz w:val="13"/>
        </w:rPr>
        <w:t> </w:t>
      </w:r>
      <w:r>
        <w:rPr>
          <w:i/>
          <w:w w:val="105"/>
          <w:sz w:val="13"/>
        </w:rPr>
        <w:t>Relationships</w:t>
      </w:r>
      <w:r>
        <w:rPr>
          <w:i/>
          <w:spacing w:val="4"/>
          <w:w w:val="105"/>
          <w:sz w:val="13"/>
        </w:rPr>
        <w:t> </w:t>
      </w:r>
      <w:r>
        <w:rPr>
          <w:i/>
          <w:w w:val="105"/>
          <w:sz w:val="13"/>
        </w:rPr>
        <w:t>Act</w:t>
      </w:r>
      <w:r>
        <w:rPr>
          <w:i/>
          <w:spacing w:val="3"/>
          <w:w w:val="105"/>
          <w:sz w:val="13"/>
        </w:rPr>
        <w:t> </w:t>
      </w:r>
      <w:r>
        <w:rPr>
          <w:i/>
          <w:w w:val="105"/>
          <w:sz w:val="13"/>
        </w:rPr>
        <w:t>2008</w:t>
      </w:r>
      <w:r>
        <w:rPr>
          <w:i/>
          <w:spacing w:val="5"/>
          <w:w w:val="105"/>
          <w:sz w:val="13"/>
        </w:rPr>
        <w:t> </w:t>
      </w:r>
      <w:r>
        <w:rPr>
          <w:spacing w:val="2"/>
          <w:w w:val="105"/>
          <w:sz w:val="13"/>
        </w:rPr>
        <w:t>(Vic),</w:t>
      </w:r>
      <w:r>
        <w:rPr>
          <w:spacing w:val="5"/>
          <w:w w:val="105"/>
          <w:sz w:val="13"/>
        </w:rPr>
        <w:t> </w:t>
      </w:r>
      <w:r>
        <w:rPr>
          <w:w w:val="105"/>
          <w:sz w:val="13"/>
        </w:rPr>
        <w:t>which</w:t>
      </w:r>
      <w:r>
        <w:rPr>
          <w:spacing w:val="4"/>
          <w:w w:val="105"/>
          <w:sz w:val="13"/>
        </w:rPr>
        <w:t> </w:t>
      </w:r>
      <w:r>
        <w:rPr>
          <w:w w:val="105"/>
          <w:sz w:val="13"/>
        </w:rPr>
        <w:t>are</w:t>
      </w:r>
      <w:r>
        <w:rPr>
          <w:spacing w:val="5"/>
          <w:w w:val="105"/>
          <w:sz w:val="13"/>
        </w:rPr>
        <w:t> </w:t>
      </w:r>
      <w:r>
        <w:rPr>
          <w:w w:val="105"/>
          <w:sz w:val="13"/>
        </w:rPr>
        <w:t>‘registrable</w:t>
      </w:r>
      <w:r>
        <w:rPr>
          <w:spacing w:val="5"/>
          <w:w w:val="105"/>
          <w:sz w:val="13"/>
        </w:rPr>
        <w:t> </w:t>
      </w:r>
      <w:r>
        <w:rPr>
          <w:w w:val="105"/>
          <w:sz w:val="13"/>
        </w:rPr>
        <w:t>caring</w:t>
      </w:r>
      <w:r>
        <w:rPr>
          <w:spacing w:val="4"/>
          <w:w w:val="105"/>
          <w:sz w:val="13"/>
        </w:rPr>
        <w:t> </w:t>
      </w:r>
      <w:r>
        <w:rPr>
          <w:w w:val="105"/>
          <w:sz w:val="13"/>
        </w:rPr>
        <w:t>relationship’</w:t>
      </w:r>
      <w:r>
        <w:rPr>
          <w:spacing w:val="5"/>
          <w:w w:val="105"/>
          <w:sz w:val="13"/>
        </w:rPr>
        <w:t> </w:t>
      </w:r>
      <w:r>
        <w:rPr>
          <w:w w:val="105"/>
          <w:sz w:val="13"/>
        </w:rPr>
        <w:t>and</w:t>
      </w:r>
      <w:r>
        <w:rPr>
          <w:spacing w:val="5"/>
          <w:w w:val="105"/>
          <w:sz w:val="13"/>
        </w:rPr>
        <w:t> </w:t>
      </w:r>
      <w:r>
        <w:rPr>
          <w:w w:val="105"/>
          <w:sz w:val="13"/>
        </w:rPr>
        <w:t>‘registered</w:t>
      </w:r>
      <w:r>
        <w:rPr>
          <w:spacing w:val="4"/>
          <w:w w:val="105"/>
          <w:sz w:val="13"/>
        </w:rPr>
        <w:t> </w:t>
      </w:r>
      <w:r>
        <w:rPr>
          <w:w w:val="105"/>
          <w:sz w:val="13"/>
        </w:rPr>
        <w:t>caring</w:t>
      </w:r>
      <w:r>
        <w:rPr>
          <w:spacing w:val="5"/>
          <w:w w:val="105"/>
          <w:sz w:val="13"/>
        </w:rPr>
        <w:t> </w:t>
      </w:r>
      <w:r>
        <w:rPr>
          <w:w w:val="105"/>
          <w:sz w:val="13"/>
        </w:rPr>
        <w:t>relationship’.</w:t>
      </w:r>
    </w:p>
    <w:p>
      <w:pPr>
        <w:spacing w:after="0" w:line="240" w:lineRule="auto"/>
        <w:jc w:val="both"/>
        <w:rPr>
          <w:sz w:val="13"/>
        </w:rPr>
        <w:sectPr>
          <w:type w:val="continuous"/>
          <w:pgSz w:w="11910" w:h="16840"/>
          <w:pgMar w:top="920" w:bottom="280" w:left="0" w:right="0"/>
          <w:cols w:num="2" w:equalWidth="0">
            <w:col w:w="1096" w:space="40"/>
            <w:col w:w="10774"/>
          </w:cols>
        </w:sectPr>
      </w:pPr>
    </w:p>
    <w:p>
      <w:pPr>
        <w:pStyle w:val="BodyText"/>
        <w:rPr>
          <w:sz w:val="20"/>
        </w:rPr>
      </w:pPr>
    </w:p>
    <w:p>
      <w:pPr>
        <w:pStyle w:val="BodyText"/>
        <w:rPr>
          <w:sz w:val="20"/>
        </w:rPr>
      </w:pPr>
    </w:p>
    <w:p>
      <w:pPr>
        <w:pStyle w:val="BodyText"/>
        <w:spacing w:before="6"/>
        <w:rPr>
          <w:sz w:val="15"/>
        </w:rPr>
      </w:pPr>
    </w:p>
    <w:p>
      <w:pPr>
        <w:pStyle w:val="Heading3"/>
      </w:pPr>
      <w:r>
        <w:rPr/>
        <w:pict>
          <v:group style="position:absolute;margin-left:62.362202pt;margin-top:-3.395896pt;width:479.1pt;height:404.55pt;mso-position-horizontal-relative:page;mso-position-vertical-relative:paragraph;z-index:-299176" coordorigin="1247,-68" coordsize="9582,8091">
            <v:rect style="position:absolute;left:1587;top:-68;width:8731;height:8091" filled="true" fillcolor="#fdebea" stroked="false">
              <v:fill type="solid"/>
            </v:rect>
            <v:line style="position:absolute" from="1247,683" to="10828,683" stroked="true" strokeweight="2.5pt" strokecolor="#ffffff">
              <v:stroke dashstyle="solid"/>
            </v:line>
            <w10:wrap type="none"/>
          </v:group>
        </w:pict>
      </w:r>
      <w:bookmarkStart w:name="Costs rules" w:id="114"/>
      <w:bookmarkEnd w:id="114"/>
      <w:r>
        <w:rPr>
          <w:b w:val="0"/>
        </w:rPr>
      </w:r>
      <w:r>
        <w:rPr>
          <w:color w:val="EC5A4F"/>
          <w:w w:val="110"/>
        </w:rPr>
        <w:t>Recommendations</w:t>
      </w:r>
    </w:p>
    <w:p>
      <w:pPr>
        <w:pStyle w:val="BodyText"/>
        <w:spacing w:before="10"/>
        <w:rPr>
          <w:b/>
          <w:sz w:val="34"/>
        </w:rPr>
      </w:pPr>
    </w:p>
    <w:p>
      <w:pPr>
        <w:pStyle w:val="ListParagraph"/>
        <w:numPr>
          <w:ilvl w:val="1"/>
          <w:numId w:val="85"/>
        </w:numPr>
        <w:tabs>
          <w:tab w:pos="2381" w:val="left" w:leader="none"/>
          <w:tab w:pos="2382" w:val="left" w:leader="none"/>
        </w:tabs>
        <w:spacing w:line="242" w:lineRule="auto" w:before="0" w:after="0"/>
        <w:ind w:left="2381" w:right="2097" w:hanging="567"/>
        <w:jc w:val="left"/>
        <w:rPr>
          <w:sz w:val="21"/>
        </w:rPr>
      </w:pPr>
      <w:r>
        <w:rPr>
          <w:w w:val="105"/>
          <w:sz w:val="21"/>
        </w:rPr>
        <w:t>The</w:t>
      </w:r>
      <w:r>
        <w:rPr>
          <w:spacing w:val="-4"/>
          <w:w w:val="105"/>
          <w:sz w:val="21"/>
        </w:rPr>
        <w:t> </w:t>
      </w:r>
      <w:r>
        <w:rPr>
          <w:rFonts w:ascii="Lucida Sans"/>
          <w:i/>
          <w:w w:val="105"/>
          <w:sz w:val="21"/>
        </w:rPr>
        <w:t>Administration</w:t>
      </w:r>
      <w:r>
        <w:rPr>
          <w:rFonts w:ascii="Lucida Sans"/>
          <w:i/>
          <w:spacing w:val="-23"/>
          <w:w w:val="105"/>
          <w:sz w:val="21"/>
        </w:rPr>
        <w:t> </w:t>
      </w:r>
      <w:r>
        <w:rPr>
          <w:rFonts w:ascii="Lucida Sans"/>
          <w:i/>
          <w:w w:val="105"/>
          <w:sz w:val="21"/>
        </w:rPr>
        <w:t>and</w:t>
      </w:r>
      <w:r>
        <w:rPr>
          <w:rFonts w:ascii="Lucida Sans"/>
          <w:i/>
          <w:spacing w:val="-23"/>
          <w:w w:val="105"/>
          <w:sz w:val="21"/>
        </w:rPr>
        <w:t> </w:t>
      </w:r>
      <w:r>
        <w:rPr>
          <w:rFonts w:ascii="Lucida Sans"/>
          <w:i/>
          <w:w w:val="105"/>
          <w:sz w:val="21"/>
        </w:rPr>
        <w:t>Probate</w:t>
      </w:r>
      <w:r>
        <w:rPr>
          <w:rFonts w:ascii="Lucida Sans"/>
          <w:i/>
          <w:spacing w:val="-23"/>
          <w:w w:val="105"/>
          <w:sz w:val="21"/>
        </w:rPr>
        <w:t> </w:t>
      </w:r>
      <w:r>
        <w:rPr>
          <w:rFonts w:ascii="Lucida Sans"/>
          <w:i/>
          <w:w w:val="105"/>
          <w:sz w:val="21"/>
        </w:rPr>
        <w:t>Act</w:t>
      </w:r>
      <w:r>
        <w:rPr>
          <w:rFonts w:ascii="Lucida Sans"/>
          <w:i/>
          <w:spacing w:val="-23"/>
          <w:w w:val="105"/>
          <w:sz w:val="21"/>
        </w:rPr>
        <w:t> </w:t>
      </w:r>
      <w:r>
        <w:rPr>
          <w:rFonts w:ascii="Lucida Sans"/>
          <w:i/>
          <w:spacing w:val="-4"/>
          <w:w w:val="105"/>
          <w:sz w:val="21"/>
        </w:rPr>
        <w:t>1958</w:t>
      </w:r>
      <w:r>
        <w:rPr>
          <w:rFonts w:ascii="Lucida Sans"/>
          <w:i/>
          <w:spacing w:val="-23"/>
          <w:w w:val="105"/>
          <w:sz w:val="21"/>
        </w:rPr>
        <w:t> </w:t>
      </w:r>
      <w:r>
        <w:rPr>
          <w:w w:val="105"/>
          <w:sz w:val="21"/>
        </w:rPr>
        <w:t>(Vic)</w:t>
      </w:r>
      <w:r>
        <w:rPr>
          <w:spacing w:val="-3"/>
          <w:w w:val="105"/>
          <w:sz w:val="21"/>
        </w:rPr>
        <w:t> </w:t>
      </w:r>
      <w:r>
        <w:rPr>
          <w:w w:val="105"/>
          <w:sz w:val="21"/>
        </w:rPr>
        <w:t>should</w:t>
      </w:r>
      <w:r>
        <w:rPr>
          <w:spacing w:val="-3"/>
          <w:w w:val="105"/>
          <w:sz w:val="21"/>
        </w:rPr>
        <w:t> </w:t>
      </w:r>
      <w:r>
        <w:rPr>
          <w:w w:val="105"/>
          <w:sz w:val="21"/>
        </w:rPr>
        <w:t>provide</w:t>
      </w:r>
      <w:r>
        <w:rPr>
          <w:spacing w:val="-3"/>
          <w:w w:val="105"/>
          <w:sz w:val="21"/>
        </w:rPr>
        <w:t> </w:t>
      </w:r>
      <w:r>
        <w:rPr>
          <w:w w:val="105"/>
          <w:sz w:val="21"/>
        </w:rPr>
        <w:t>that</w:t>
      </w:r>
      <w:r>
        <w:rPr>
          <w:spacing w:val="-3"/>
          <w:w w:val="105"/>
          <w:sz w:val="21"/>
        </w:rPr>
        <w:t> </w:t>
      </w:r>
      <w:r>
        <w:rPr>
          <w:w w:val="105"/>
          <w:sz w:val="21"/>
        </w:rPr>
        <w:t>the</w:t>
      </w:r>
      <w:r>
        <w:rPr>
          <w:spacing w:val="-4"/>
          <w:w w:val="105"/>
          <w:sz w:val="21"/>
        </w:rPr>
        <w:t> </w:t>
      </w:r>
      <w:r>
        <w:rPr>
          <w:w w:val="105"/>
          <w:sz w:val="21"/>
        </w:rPr>
        <w:t>court </w:t>
      </w:r>
      <w:r>
        <w:rPr>
          <w:spacing w:val="-4"/>
          <w:w w:val="105"/>
          <w:sz w:val="21"/>
        </w:rPr>
        <w:t>may, </w:t>
      </w:r>
      <w:r>
        <w:rPr>
          <w:w w:val="105"/>
          <w:sz w:val="21"/>
        </w:rPr>
        <w:t>on application under the  </w:t>
      </w:r>
      <w:r>
        <w:rPr>
          <w:spacing w:val="-3"/>
          <w:w w:val="105"/>
          <w:sz w:val="21"/>
        </w:rPr>
        <w:t>relevant  </w:t>
      </w:r>
      <w:r>
        <w:rPr>
          <w:w w:val="105"/>
          <w:sz w:val="21"/>
        </w:rPr>
        <w:t>provisions,  </w:t>
      </w:r>
      <w:r>
        <w:rPr>
          <w:spacing w:val="-3"/>
          <w:w w:val="105"/>
          <w:sz w:val="21"/>
        </w:rPr>
        <w:t>make  </w:t>
      </w:r>
      <w:r>
        <w:rPr>
          <w:w w:val="105"/>
          <w:sz w:val="21"/>
        </w:rPr>
        <w:t>a  </w:t>
      </w:r>
      <w:r>
        <w:rPr>
          <w:spacing w:val="-3"/>
          <w:w w:val="105"/>
          <w:sz w:val="21"/>
        </w:rPr>
        <w:t>family  </w:t>
      </w:r>
      <w:r>
        <w:rPr>
          <w:w w:val="105"/>
          <w:sz w:val="21"/>
        </w:rPr>
        <w:t>provision order</w:t>
      </w:r>
      <w:r>
        <w:rPr>
          <w:spacing w:val="26"/>
          <w:w w:val="105"/>
          <w:sz w:val="21"/>
        </w:rPr>
        <w:t> </w:t>
      </w:r>
      <w:r>
        <w:rPr>
          <w:w w:val="105"/>
          <w:sz w:val="21"/>
        </w:rPr>
        <w:t>in</w:t>
      </w:r>
      <w:r>
        <w:rPr>
          <w:spacing w:val="26"/>
          <w:w w:val="105"/>
          <w:sz w:val="21"/>
        </w:rPr>
        <w:t> </w:t>
      </w:r>
      <w:r>
        <w:rPr>
          <w:w w:val="105"/>
          <w:sz w:val="21"/>
        </w:rPr>
        <w:t>relation</w:t>
      </w:r>
      <w:r>
        <w:rPr>
          <w:spacing w:val="26"/>
          <w:w w:val="105"/>
          <w:sz w:val="21"/>
        </w:rPr>
        <w:t> </w:t>
      </w:r>
      <w:r>
        <w:rPr>
          <w:w w:val="105"/>
          <w:sz w:val="21"/>
        </w:rPr>
        <w:t>to</w:t>
      </w:r>
      <w:r>
        <w:rPr>
          <w:spacing w:val="26"/>
          <w:w w:val="105"/>
          <w:sz w:val="21"/>
        </w:rPr>
        <w:t> </w:t>
      </w:r>
      <w:r>
        <w:rPr>
          <w:w w:val="105"/>
          <w:sz w:val="21"/>
        </w:rPr>
        <w:t>the</w:t>
      </w:r>
      <w:r>
        <w:rPr>
          <w:spacing w:val="27"/>
          <w:w w:val="105"/>
          <w:sz w:val="21"/>
        </w:rPr>
        <w:t> </w:t>
      </w:r>
      <w:r>
        <w:rPr>
          <w:w w:val="105"/>
          <w:sz w:val="21"/>
        </w:rPr>
        <w:t>estate</w:t>
      </w:r>
      <w:r>
        <w:rPr>
          <w:spacing w:val="26"/>
          <w:w w:val="105"/>
          <w:sz w:val="21"/>
        </w:rPr>
        <w:t> </w:t>
      </w:r>
      <w:r>
        <w:rPr>
          <w:w w:val="105"/>
          <w:sz w:val="21"/>
        </w:rPr>
        <w:t>of</w:t>
      </w:r>
      <w:r>
        <w:rPr>
          <w:spacing w:val="26"/>
          <w:w w:val="105"/>
          <w:sz w:val="21"/>
        </w:rPr>
        <w:t> </w:t>
      </w:r>
      <w:r>
        <w:rPr>
          <w:w w:val="105"/>
          <w:sz w:val="21"/>
        </w:rPr>
        <w:t>a</w:t>
      </w:r>
      <w:r>
        <w:rPr>
          <w:spacing w:val="26"/>
          <w:w w:val="105"/>
          <w:sz w:val="21"/>
        </w:rPr>
        <w:t> </w:t>
      </w:r>
      <w:r>
        <w:rPr>
          <w:w w:val="105"/>
          <w:sz w:val="21"/>
        </w:rPr>
        <w:t>deceased</w:t>
      </w:r>
      <w:r>
        <w:rPr>
          <w:spacing w:val="26"/>
          <w:w w:val="105"/>
          <w:sz w:val="21"/>
        </w:rPr>
        <w:t> </w:t>
      </w:r>
      <w:r>
        <w:rPr>
          <w:w w:val="105"/>
          <w:sz w:val="21"/>
        </w:rPr>
        <w:t>person,</w:t>
      </w:r>
      <w:r>
        <w:rPr>
          <w:spacing w:val="27"/>
          <w:w w:val="105"/>
          <w:sz w:val="21"/>
        </w:rPr>
        <w:t> </w:t>
      </w:r>
      <w:r>
        <w:rPr>
          <w:w w:val="105"/>
          <w:sz w:val="21"/>
        </w:rPr>
        <w:t>if</w:t>
      </w:r>
      <w:r>
        <w:rPr>
          <w:spacing w:val="26"/>
          <w:w w:val="105"/>
          <w:sz w:val="21"/>
        </w:rPr>
        <w:t> </w:t>
      </w:r>
      <w:r>
        <w:rPr>
          <w:w w:val="105"/>
          <w:sz w:val="21"/>
        </w:rPr>
        <w:t>it</w:t>
      </w:r>
      <w:r>
        <w:rPr>
          <w:spacing w:val="26"/>
          <w:w w:val="105"/>
          <w:sz w:val="21"/>
        </w:rPr>
        <w:t> </w:t>
      </w:r>
      <w:r>
        <w:rPr>
          <w:w w:val="105"/>
          <w:sz w:val="21"/>
        </w:rPr>
        <w:t>is</w:t>
      </w:r>
      <w:r>
        <w:rPr>
          <w:spacing w:val="26"/>
          <w:w w:val="105"/>
          <w:sz w:val="21"/>
        </w:rPr>
        <w:t> </w:t>
      </w:r>
      <w:r>
        <w:rPr>
          <w:w w:val="105"/>
          <w:sz w:val="21"/>
        </w:rPr>
        <w:t>satisfied</w:t>
      </w:r>
      <w:r>
        <w:rPr>
          <w:spacing w:val="27"/>
          <w:w w:val="105"/>
          <w:sz w:val="21"/>
        </w:rPr>
        <w:t> </w:t>
      </w:r>
      <w:r>
        <w:rPr>
          <w:w w:val="105"/>
          <w:sz w:val="21"/>
        </w:rPr>
        <w:t>that:</w:t>
      </w:r>
    </w:p>
    <w:p>
      <w:pPr>
        <w:pStyle w:val="ListParagraph"/>
        <w:numPr>
          <w:ilvl w:val="2"/>
          <w:numId w:val="85"/>
        </w:numPr>
        <w:tabs>
          <w:tab w:pos="2722" w:val="left" w:leader="none"/>
        </w:tabs>
        <w:spacing w:line="242" w:lineRule="auto" w:before="123" w:after="0"/>
        <w:ind w:left="2721" w:right="2130" w:hanging="340"/>
        <w:jc w:val="left"/>
        <w:rPr>
          <w:sz w:val="21"/>
        </w:rPr>
      </w:pPr>
      <w:r>
        <w:rPr>
          <w:w w:val="115"/>
          <w:sz w:val="21"/>
        </w:rPr>
        <w:t>the</w:t>
      </w:r>
      <w:r>
        <w:rPr>
          <w:spacing w:val="-5"/>
          <w:w w:val="115"/>
          <w:sz w:val="21"/>
        </w:rPr>
        <w:t> </w:t>
      </w:r>
      <w:r>
        <w:rPr>
          <w:w w:val="115"/>
          <w:sz w:val="21"/>
        </w:rPr>
        <w:t>person</w:t>
      </w:r>
      <w:r>
        <w:rPr>
          <w:spacing w:val="-4"/>
          <w:w w:val="115"/>
          <w:sz w:val="21"/>
        </w:rPr>
        <w:t> </w:t>
      </w:r>
      <w:r>
        <w:rPr>
          <w:w w:val="115"/>
          <w:sz w:val="21"/>
        </w:rPr>
        <w:t>in</w:t>
      </w:r>
      <w:r>
        <w:rPr>
          <w:spacing w:val="-5"/>
          <w:w w:val="115"/>
          <w:sz w:val="21"/>
        </w:rPr>
        <w:t> </w:t>
      </w:r>
      <w:r>
        <w:rPr>
          <w:w w:val="115"/>
          <w:sz w:val="21"/>
        </w:rPr>
        <w:t>whose</w:t>
      </w:r>
      <w:r>
        <w:rPr>
          <w:spacing w:val="-4"/>
          <w:w w:val="115"/>
          <w:sz w:val="21"/>
        </w:rPr>
        <w:t> </w:t>
      </w:r>
      <w:r>
        <w:rPr>
          <w:spacing w:val="-3"/>
          <w:w w:val="115"/>
          <w:sz w:val="21"/>
        </w:rPr>
        <w:t>favour</w:t>
      </w:r>
      <w:r>
        <w:rPr>
          <w:spacing w:val="-4"/>
          <w:w w:val="115"/>
          <w:sz w:val="21"/>
        </w:rPr>
        <w:t> </w:t>
      </w:r>
      <w:r>
        <w:rPr>
          <w:w w:val="115"/>
          <w:sz w:val="21"/>
        </w:rPr>
        <w:t>the</w:t>
      </w:r>
      <w:r>
        <w:rPr>
          <w:spacing w:val="-5"/>
          <w:w w:val="115"/>
          <w:sz w:val="21"/>
        </w:rPr>
        <w:t> </w:t>
      </w:r>
      <w:r>
        <w:rPr>
          <w:w w:val="115"/>
          <w:sz w:val="21"/>
        </w:rPr>
        <w:t>order</w:t>
      </w:r>
      <w:r>
        <w:rPr>
          <w:spacing w:val="-4"/>
          <w:w w:val="115"/>
          <w:sz w:val="21"/>
        </w:rPr>
        <w:t> </w:t>
      </w:r>
      <w:r>
        <w:rPr>
          <w:w w:val="115"/>
          <w:sz w:val="21"/>
        </w:rPr>
        <w:t>is</w:t>
      </w:r>
      <w:r>
        <w:rPr>
          <w:spacing w:val="-4"/>
          <w:w w:val="115"/>
          <w:sz w:val="21"/>
        </w:rPr>
        <w:t> </w:t>
      </w:r>
      <w:r>
        <w:rPr>
          <w:w w:val="115"/>
          <w:sz w:val="21"/>
        </w:rPr>
        <w:t>to</w:t>
      </w:r>
      <w:r>
        <w:rPr>
          <w:spacing w:val="-5"/>
          <w:w w:val="115"/>
          <w:sz w:val="21"/>
        </w:rPr>
        <w:t> </w:t>
      </w:r>
      <w:r>
        <w:rPr>
          <w:w w:val="115"/>
          <w:sz w:val="21"/>
        </w:rPr>
        <w:t>be</w:t>
      </w:r>
      <w:r>
        <w:rPr>
          <w:spacing w:val="-4"/>
          <w:w w:val="115"/>
          <w:sz w:val="21"/>
        </w:rPr>
        <w:t> </w:t>
      </w:r>
      <w:r>
        <w:rPr>
          <w:w w:val="115"/>
          <w:sz w:val="21"/>
        </w:rPr>
        <w:t>made</w:t>
      </w:r>
      <w:r>
        <w:rPr>
          <w:spacing w:val="-5"/>
          <w:w w:val="115"/>
          <w:sz w:val="21"/>
        </w:rPr>
        <w:t> </w:t>
      </w:r>
      <w:r>
        <w:rPr>
          <w:w w:val="115"/>
          <w:sz w:val="21"/>
        </w:rPr>
        <w:t>is</w:t>
      </w:r>
      <w:r>
        <w:rPr>
          <w:spacing w:val="-4"/>
          <w:w w:val="115"/>
          <w:sz w:val="21"/>
        </w:rPr>
        <w:t> </w:t>
      </w:r>
      <w:r>
        <w:rPr>
          <w:w w:val="115"/>
          <w:sz w:val="21"/>
        </w:rPr>
        <w:t>an</w:t>
      </w:r>
      <w:r>
        <w:rPr>
          <w:spacing w:val="-4"/>
          <w:w w:val="115"/>
          <w:sz w:val="21"/>
        </w:rPr>
        <w:t> </w:t>
      </w:r>
      <w:r>
        <w:rPr>
          <w:w w:val="115"/>
          <w:sz w:val="21"/>
        </w:rPr>
        <w:t>eligible</w:t>
      </w:r>
      <w:r>
        <w:rPr>
          <w:spacing w:val="-5"/>
          <w:w w:val="115"/>
          <w:sz w:val="21"/>
        </w:rPr>
        <w:t> </w:t>
      </w:r>
      <w:r>
        <w:rPr>
          <w:w w:val="115"/>
          <w:sz w:val="21"/>
        </w:rPr>
        <w:t>person, and</w:t>
      </w:r>
    </w:p>
    <w:p>
      <w:pPr>
        <w:pStyle w:val="ListParagraph"/>
        <w:numPr>
          <w:ilvl w:val="2"/>
          <w:numId w:val="85"/>
        </w:numPr>
        <w:tabs>
          <w:tab w:pos="2722" w:val="left" w:leader="none"/>
        </w:tabs>
        <w:spacing w:line="242" w:lineRule="auto" w:before="122" w:after="0"/>
        <w:ind w:left="2721" w:right="1943" w:hanging="340"/>
        <w:jc w:val="left"/>
        <w:rPr>
          <w:sz w:val="21"/>
        </w:rPr>
      </w:pPr>
      <w:r>
        <w:rPr>
          <w:w w:val="115"/>
          <w:sz w:val="21"/>
        </w:rPr>
        <w:t>in the case of a person who is an eligible person by reason only of paragraph</w:t>
      </w:r>
      <w:r>
        <w:rPr>
          <w:spacing w:val="-5"/>
          <w:w w:val="115"/>
          <w:sz w:val="21"/>
        </w:rPr>
        <w:t> </w:t>
      </w:r>
      <w:r>
        <w:rPr>
          <w:spacing w:val="3"/>
          <w:w w:val="115"/>
          <w:sz w:val="21"/>
        </w:rPr>
        <w:t>(d),</w:t>
      </w:r>
      <w:r>
        <w:rPr>
          <w:spacing w:val="-4"/>
          <w:w w:val="115"/>
          <w:sz w:val="21"/>
        </w:rPr>
        <w:t> </w:t>
      </w:r>
      <w:r>
        <w:rPr>
          <w:spacing w:val="3"/>
          <w:w w:val="115"/>
          <w:sz w:val="21"/>
        </w:rPr>
        <w:t>(e),</w:t>
      </w:r>
      <w:r>
        <w:rPr>
          <w:spacing w:val="-4"/>
          <w:w w:val="115"/>
          <w:sz w:val="21"/>
        </w:rPr>
        <w:t> </w:t>
      </w:r>
      <w:r>
        <w:rPr>
          <w:spacing w:val="2"/>
          <w:w w:val="115"/>
          <w:sz w:val="21"/>
        </w:rPr>
        <w:t>(f)</w:t>
      </w:r>
      <w:r>
        <w:rPr>
          <w:spacing w:val="-4"/>
          <w:w w:val="115"/>
          <w:sz w:val="21"/>
        </w:rPr>
        <w:t> </w:t>
      </w:r>
      <w:r>
        <w:rPr>
          <w:w w:val="115"/>
          <w:sz w:val="21"/>
        </w:rPr>
        <w:t>or</w:t>
      </w:r>
      <w:r>
        <w:rPr>
          <w:spacing w:val="-4"/>
          <w:w w:val="115"/>
          <w:sz w:val="21"/>
        </w:rPr>
        <w:t> </w:t>
      </w:r>
      <w:r>
        <w:rPr>
          <w:spacing w:val="3"/>
          <w:w w:val="115"/>
          <w:sz w:val="21"/>
        </w:rPr>
        <w:t>(g),</w:t>
      </w:r>
      <w:r>
        <w:rPr>
          <w:spacing w:val="-4"/>
          <w:w w:val="115"/>
          <w:sz w:val="21"/>
        </w:rPr>
        <w:t> </w:t>
      </w:r>
      <w:r>
        <w:rPr>
          <w:w w:val="115"/>
          <w:sz w:val="21"/>
        </w:rPr>
        <w:t>in</w:t>
      </w:r>
      <w:r>
        <w:rPr>
          <w:spacing w:val="-4"/>
          <w:w w:val="115"/>
          <w:sz w:val="21"/>
        </w:rPr>
        <w:t> </w:t>
      </w:r>
      <w:r>
        <w:rPr>
          <w:w w:val="115"/>
          <w:sz w:val="21"/>
        </w:rPr>
        <w:t>recommendation</w:t>
      </w:r>
      <w:r>
        <w:rPr>
          <w:spacing w:val="-4"/>
          <w:w w:val="115"/>
          <w:sz w:val="21"/>
        </w:rPr>
        <w:t> </w:t>
      </w:r>
      <w:r>
        <w:rPr>
          <w:w w:val="115"/>
          <w:sz w:val="21"/>
        </w:rPr>
        <w:t>38</w:t>
      </w:r>
      <w:r>
        <w:rPr>
          <w:spacing w:val="-4"/>
          <w:w w:val="115"/>
          <w:sz w:val="21"/>
        </w:rPr>
        <w:t> </w:t>
      </w:r>
      <w:r>
        <w:rPr>
          <w:w w:val="115"/>
          <w:sz w:val="21"/>
        </w:rPr>
        <w:t>above—having</w:t>
      </w:r>
      <w:r>
        <w:rPr>
          <w:spacing w:val="-5"/>
          <w:w w:val="115"/>
          <w:sz w:val="21"/>
        </w:rPr>
        <w:t> </w:t>
      </w:r>
      <w:r>
        <w:rPr>
          <w:w w:val="115"/>
          <w:sz w:val="21"/>
        </w:rPr>
        <w:t>regard to </w:t>
      </w:r>
      <w:r>
        <w:rPr>
          <w:spacing w:val="-3"/>
          <w:w w:val="115"/>
          <w:sz w:val="21"/>
        </w:rPr>
        <w:t>all </w:t>
      </w:r>
      <w:r>
        <w:rPr>
          <w:w w:val="115"/>
          <w:sz w:val="21"/>
        </w:rPr>
        <w:t>the circumstances of the case (whether past or present) there are factors which </w:t>
      </w:r>
      <w:r>
        <w:rPr>
          <w:spacing w:val="-3"/>
          <w:w w:val="115"/>
          <w:sz w:val="21"/>
        </w:rPr>
        <w:t>warrant </w:t>
      </w:r>
      <w:r>
        <w:rPr>
          <w:w w:val="115"/>
          <w:sz w:val="21"/>
        </w:rPr>
        <w:t>the making of the application,</w:t>
      </w:r>
      <w:r>
        <w:rPr>
          <w:spacing w:val="6"/>
          <w:w w:val="115"/>
          <w:sz w:val="21"/>
        </w:rPr>
        <w:t> </w:t>
      </w:r>
      <w:r>
        <w:rPr>
          <w:w w:val="115"/>
          <w:sz w:val="21"/>
        </w:rPr>
        <w:t>and</w:t>
      </w:r>
    </w:p>
    <w:p>
      <w:pPr>
        <w:pStyle w:val="ListParagraph"/>
        <w:numPr>
          <w:ilvl w:val="2"/>
          <w:numId w:val="85"/>
        </w:numPr>
        <w:tabs>
          <w:tab w:pos="2674" w:val="left" w:leader="none"/>
        </w:tabs>
        <w:spacing w:line="242" w:lineRule="auto" w:before="125" w:after="0"/>
        <w:ind w:left="2673" w:right="2033" w:hanging="292"/>
        <w:jc w:val="left"/>
        <w:rPr>
          <w:sz w:val="21"/>
        </w:rPr>
      </w:pPr>
      <w:r>
        <w:rPr>
          <w:w w:val="115"/>
          <w:sz w:val="21"/>
        </w:rPr>
        <w:t>at the time when the court is considering the application, adequate provision</w:t>
      </w:r>
      <w:r>
        <w:rPr>
          <w:spacing w:val="-8"/>
          <w:w w:val="115"/>
          <w:sz w:val="21"/>
        </w:rPr>
        <w:t> </w:t>
      </w:r>
      <w:r>
        <w:rPr>
          <w:w w:val="115"/>
          <w:sz w:val="21"/>
        </w:rPr>
        <w:t>for</w:t>
      </w:r>
      <w:r>
        <w:rPr>
          <w:spacing w:val="-7"/>
          <w:w w:val="115"/>
          <w:sz w:val="21"/>
        </w:rPr>
        <w:t> </w:t>
      </w:r>
      <w:r>
        <w:rPr>
          <w:w w:val="115"/>
          <w:sz w:val="21"/>
        </w:rPr>
        <w:t>the</w:t>
      </w:r>
      <w:r>
        <w:rPr>
          <w:spacing w:val="-7"/>
          <w:w w:val="115"/>
          <w:sz w:val="21"/>
        </w:rPr>
        <w:t> </w:t>
      </w:r>
      <w:r>
        <w:rPr>
          <w:w w:val="115"/>
          <w:sz w:val="21"/>
        </w:rPr>
        <w:t>proper</w:t>
      </w:r>
      <w:r>
        <w:rPr>
          <w:spacing w:val="-7"/>
          <w:w w:val="115"/>
          <w:sz w:val="21"/>
        </w:rPr>
        <w:t> </w:t>
      </w:r>
      <w:r>
        <w:rPr>
          <w:w w:val="115"/>
          <w:sz w:val="21"/>
        </w:rPr>
        <w:t>maintenance</w:t>
      </w:r>
      <w:r>
        <w:rPr>
          <w:spacing w:val="-7"/>
          <w:w w:val="115"/>
          <w:sz w:val="21"/>
        </w:rPr>
        <w:t> </w:t>
      </w:r>
      <w:r>
        <w:rPr>
          <w:w w:val="115"/>
          <w:sz w:val="21"/>
        </w:rPr>
        <w:t>and</w:t>
      </w:r>
      <w:r>
        <w:rPr>
          <w:spacing w:val="-7"/>
          <w:w w:val="115"/>
          <w:sz w:val="21"/>
        </w:rPr>
        <w:t> </w:t>
      </w:r>
      <w:r>
        <w:rPr>
          <w:w w:val="115"/>
          <w:sz w:val="21"/>
        </w:rPr>
        <w:t>support</w:t>
      </w:r>
      <w:r>
        <w:rPr>
          <w:spacing w:val="-7"/>
          <w:w w:val="115"/>
          <w:sz w:val="21"/>
        </w:rPr>
        <w:t> </w:t>
      </w:r>
      <w:r>
        <w:rPr>
          <w:w w:val="115"/>
          <w:sz w:val="21"/>
        </w:rPr>
        <w:t>of</w:t>
      </w:r>
      <w:r>
        <w:rPr>
          <w:spacing w:val="-7"/>
          <w:w w:val="115"/>
          <w:sz w:val="21"/>
        </w:rPr>
        <w:t> </w:t>
      </w:r>
      <w:r>
        <w:rPr>
          <w:w w:val="115"/>
          <w:sz w:val="21"/>
        </w:rPr>
        <w:t>the</w:t>
      </w:r>
      <w:r>
        <w:rPr>
          <w:spacing w:val="-7"/>
          <w:w w:val="115"/>
          <w:sz w:val="21"/>
        </w:rPr>
        <w:t> </w:t>
      </w:r>
      <w:r>
        <w:rPr>
          <w:w w:val="115"/>
          <w:sz w:val="21"/>
        </w:rPr>
        <w:t>person</w:t>
      </w:r>
      <w:r>
        <w:rPr>
          <w:spacing w:val="-7"/>
          <w:w w:val="115"/>
          <w:sz w:val="21"/>
        </w:rPr>
        <w:t> </w:t>
      </w:r>
      <w:r>
        <w:rPr>
          <w:w w:val="115"/>
          <w:sz w:val="21"/>
        </w:rPr>
        <w:t>in</w:t>
      </w:r>
      <w:r>
        <w:rPr>
          <w:spacing w:val="-8"/>
          <w:w w:val="115"/>
          <w:sz w:val="21"/>
        </w:rPr>
        <w:t> </w:t>
      </w:r>
      <w:r>
        <w:rPr>
          <w:w w:val="115"/>
          <w:sz w:val="21"/>
        </w:rPr>
        <w:t>whose </w:t>
      </w:r>
      <w:r>
        <w:rPr>
          <w:spacing w:val="-3"/>
          <w:w w:val="115"/>
          <w:sz w:val="21"/>
        </w:rPr>
        <w:t>favour </w:t>
      </w:r>
      <w:r>
        <w:rPr>
          <w:w w:val="115"/>
          <w:sz w:val="21"/>
        </w:rPr>
        <w:t>the order is to be made has not been made by the </w:t>
      </w:r>
      <w:r>
        <w:rPr>
          <w:spacing w:val="-3"/>
          <w:w w:val="115"/>
          <w:sz w:val="21"/>
        </w:rPr>
        <w:t>will </w:t>
      </w:r>
      <w:r>
        <w:rPr>
          <w:w w:val="115"/>
          <w:sz w:val="21"/>
        </w:rPr>
        <w:t>of the deceased</w:t>
      </w:r>
      <w:r>
        <w:rPr>
          <w:spacing w:val="-10"/>
          <w:w w:val="115"/>
          <w:sz w:val="21"/>
        </w:rPr>
        <w:t> </w:t>
      </w:r>
      <w:r>
        <w:rPr>
          <w:w w:val="115"/>
          <w:sz w:val="21"/>
        </w:rPr>
        <w:t>person,</w:t>
      </w:r>
      <w:r>
        <w:rPr>
          <w:spacing w:val="-9"/>
          <w:w w:val="115"/>
          <w:sz w:val="21"/>
        </w:rPr>
        <w:t> </w:t>
      </w:r>
      <w:r>
        <w:rPr>
          <w:w w:val="115"/>
          <w:sz w:val="21"/>
        </w:rPr>
        <w:t>or</w:t>
      </w:r>
      <w:r>
        <w:rPr>
          <w:spacing w:val="-9"/>
          <w:w w:val="115"/>
          <w:sz w:val="21"/>
        </w:rPr>
        <w:t> </w:t>
      </w:r>
      <w:r>
        <w:rPr>
          <w:w w:val="115"/>
          <w:sz w:val="21"/>
        </w:rPr>
        <w:t>by</w:t>
      </w:r>
      <w:r>
        <w:rPr>
          <w:spacing w:val="-9"/>
          <w:w w:val="115"/>
          <w:sz w:val="21"/>
        </w:rPr>
        <w:t> </w:t>
      </w:r>
      <w:r>
        <w:rPr>
          <w:w w:val="115"/>
          <w:sz w:val="21"/>
        </w:rPr>
        <w:t>the</w:t>
      </w:r>
      <w:r>
        <w:rPr>
          <w:spacing w:val="-9"/>
          <w:w w:val="115"/>
          <w:sz w:val="21"/>
        </w:rPr>
        <w:t> </w:t>
      </w:r>
      <w:r>
        <w:rPr>
          <w:w w:val="115"/>
          <w:sz w:val="21"/>
        </w:rPr>
        <w:t>operation</w:t>
      </w:r>
      <w:r>
        <w:rPr>
          <w:spacing w:val="-9"/>
          <w:w w:val="115"/>
          <w:sz w:val="21"/>
        </w:rPr>
        <w:t> </w:t>
      </w:r>
      <w:r>
        <w:rPr>
          <w:w w:val="115"/>
          <w:sz w:val="21"/>
        </w:rPr>
        <w:t>of</w:t>
      </w:r>
      <w:r>
        <w:rPr>
          <w:spacing w:val="-9"/>
          <w:w w:val="115"/>
          <w:sz w:val="21"/>
        </w:rPr>
        <w:t> </w:t>
      </w:r>
      <w:r>
        <w:rPr>
          <w:w w:val="115"/>
          <w:sz w:val="21"/>
        </w:rPr>
        <w:t>the</w:t>
      </w:r>
      <w:r>
        <w:rPr>
          <w:spacing w:val="-9"/>
          <w:w w:val="115"/>
          <w:sz w:val="21"/>
        </w:rPr>
        <w:t> </w:t>
      </w:r>
      <w:r>
        <w:rPr>
          <w:w w:val="115"/>
          <w:sz w:val="21"/>
        </w:rPr>
        <w:t>intestacy</w:t>
      </w:r>
      <w:r>
        <w:rPr>
          <w:spacing w:val="-9"/>
          <w:w w:val="115"/>
          <w:sz w:val="21"/>
        </w:rPr>
        <w:t> </w:t>
      </w:r>
      <w:r>
        <w:rPr>
          <w:w w:val="115"/>
          <w:sz w:val="21"/>
        </w:rPr>
        <w:t>provisions,</w:t>
      </w:r>
      <w:r>
        <w:rPr>
          <w:spacing w:val="-9"/>
          <w:w w:val="115"/>
          <w:sz w:val="21"/>
        </w:rPr>
        <w:t> </w:t>
      </w:r>
      <w:r>
        <w:rPr>
          <w:w w:val="115"/>
          <w:sz w:val="21"/>
        </w:rPr>
        <w:t>or</w:t>
      </w:r>
      <w:r>
        <w:rPr>
          <w:spacing w:val="-9"/>
          <w:w w:val="115"/>
          <w:sz w:val="21"/>
        </w:rPr>
        <w:t> </w:t>
      </w:r>
      <w:r>
        <w:rPr>
          <w:w w:val="115"/>
          <w:sz w:val="21"/>
        </w:rPr>
        <w:t>both.</w:t>
      </w:r>
    </w:p>
    <w:p>
      <w:pPr>
        <w:pStyle w:val="ListParagraph"/>
        <w:numPr>
          <w:ilvl w:val="1"/>
          <w:numId w:val="85"/>
        </w:numPr>
        <w:tabs>
          <w:tab w:pos="2381" w:val="left" w:leader="none"/>
          <w:tab w:pos="2382" w:val="left" w:leader="none"/>
        </w:tabs>
        <w:spacing w:line="240" w:lineRule="auto" w:before="124" w:after="0"/>
        <w:ind w:left="2381" w:right="0" w:hanging="567"/>
        <w:jc w:val="left"/>
        <w:rPr>
          <w:sz w:val="21"/>
        </w:rPr>
      </w:pPr>
      <w:r>
        <w:rPr>
          <w:w w:val="115"/>
          <w:sz w:val="21"/>
        </w:rPr>
        <w:t>The court</w:t>
      </w:r>
      <w:r>
        <w:rPr>
          <w:spacing w:val="1"/>
          <w:w w:val="115"/>
          <w:sz w:val="21"/>
        </w:rPr>
        <w:t> </w:t>
      </w:r>
      <w:r>
        <w:rPr>
          <w:w w:val="115"/>
          <w:sz w:val="21"/>
        </w:rPr>
        <w:t>should:</w:t>
      </w:r>
    </w:p>
    <w:p>
      <w:pPr>
        <w:pStyle w:val="ListParagraph"/>
        <w:numPr>
          <w:ilvl w:val="2"/>
          <w:numId w:val="85"/>
        </w:numPr>
        <w:tabs>
          <w:tab w:pos="2722" w:val="left" w:leader="none"/>
        </w:tabs>
        <w:spacing w:line="242" w:lineRule="auto" w:before="124" w:after="0"/>
        <w:ind w:left="2721" w:right="1968" w:hanging="340"/>
        <w:jc w:val="left"/>
        <w:rPr>
          <w:sz w:val="21"/>
        </w:rPr>
      </w:pPr>
      <w:r>
        <w:rPr>
          <w:w w:val="105"/>
          <w:sz w:val="21"/>
        </w:rPr>
        <w:t>be permitted to consider the criteria set out in sections </w:t>
      </w:r>
      <w:r>
        <w:rPr>
          <w:spacing w:val="4"/>
          <w:w w:val="105"/>
          <w:sz w:val="21"/>
        </w:rPr>
        <w:t>91(4)(e)–(p) </w:t>
      </w:r>
      <w:r>
        <w:rPr>
          <w:w w:val="105"/>
          <w:sz w:val="21"/>
        </w:rPr>
        <w:t>of the </w:t>
      </w:r>
      <w:r>
        <w:rPr>
          <w:rFonts w:ascii="Lucida Sans" w:hAnsi="Lucida Sans"/>
          <w:i/>
          <w:w w:val="105"/>
          <w:sz w:val="21"/>
        </w:rPr>
        <w:t>Administration and Probate Act </w:t>
      </w:r>
      <w:r>
        <w:rPr>
          <w:rFonts w:ascii="Lucida Sans" w:hAnsi="Lucida Sans"/>
          <w:i/>
          <w:spacing w:val="-4"/>
          <w:w w:val="105"/>
          <w:sz w:val="21"/>
        </w:rPr>
        <w:t>1958 </w:t>
      </w:r>
      <w:r>
        <w:rPr>
          <w:w w:val="105"/>
          <w:sz w:val="21"/>
        </w:rPr>
        <w:t>(Vic) when determining whether the applicant is an eligible person and, where relevant, whether there are factors which </w:t>
      </w:r>
      <w:r>
        <w:rPr>
          <w:spacing w:val="-3"/>
          <w:w w:val="105"/>
          <w:sz w:val="21"/>
        </w:rPr>
        <w:t>warrant </w:t>
      </w:r>
      <w:r>
        <w:rPr>
          <w:w w:val="105"/>
          <w:sz w:val="21"/>
        </w:rPr>
        <w:t>the making of the</w:t>
      </w:r>
      <w:r>
        <w:rPr>
          <w:spacing w:val="5"/>
          <w:w w:val="105"/>
          <w:sz w:val="21"/>
        </w:rPr>
        <w:t> </w:t>
      </w:r>
      <w:r>
        <w:rPr>
          <w:w w:val="105"/>
          <w:sz w:val="21"/>
        </w:rPr>
        <w:t>application</w:t>
      </w:r>
    </w:p>
    <w:p>
      <w:pPr>
        <w:pStyle w:val="ListParagraph"/>
        <w:numPr>
          <w:ilvl w:val="2"/>
          <w:numId w:val="85"/>
        </w:numPr>
        <w:tabs>
          <w:tab w:pos="2722" w:val="left" w:leader="none"/>
        </w:tabs>
        <w:spacing w:line="240" w:lineRule="auto" w:before="121" w:after="0"/>
        <w:ind w:left="2721" w:right="0" w:hanging="340"/>
        <w:jc w:val="left"/>
        <w:rPr>
          <w:sz w:val="21"/>
        </w:rPr>
      </w:pPr>
      <w:r>
        <w:rPr>
          <w:w w:val="110"/>
          <w:sz w:val="21"/>
        </w:rPr>
        <w:t>be required to consider the criteria set out in sections </w:t>
      </w:r>
      <w:r>
        <w:rPr>
          <w:spacing w:val="4"/>
          <w:w w:val="110"/>
          <w:sz w:val="21"/>
        </w:rPr>
        <w:t>91(4)(e)–(p) </w:t>
      </w:r>
      <w:r>
        <w:rPr>
          <w:w w:val="110"/>
          <w:sz w:val="21"/>
        </w:rPr>
        <w:t>of</w:t>
      </w:r>
      <w:r>
        <w:rPr>
          <w:spacing w:val="10"/>
          <w:w w:val="110"/>
          <w:sz w:val="21"/>
        </w:rPr>
        <w:t> </w:t>
      </w:r>
      <w:r>
        <w:rPr>
          <w:w w:val="110"/>
          <w:sz w:val="21"/>
        </w:rPr>
        <w:t>the</w:t>
      </w:r>
    </w:p>
    <w:p>
      <w:pPr>
        <w:spacing w:before="1"/>
        <w:ind w:left="2721" w:right="0" w:firstLine="0"/>
        <w:jc w:val="left"/>
        <w:rPr>
          <w:sz w:val="21"/>
        </w:rPr>
      </w:pPr>
      <w:r>
        <w:rPr>
          <w:rFonts w:ascii="Lucida Sans"/>
          <w:i/>
          <w:sz w:val="21"/>
        </w:rPr>
        <w:t>Administration and Probate Act 1958 </w:t>
      </w:r>
      <w:r>
        <w:rPr>
          <w:sz w:val="21"/>
        </w:rPr>
        <w:t>(Vic) when determining:</w:t>
      </w:r>
    </w:p>
    <w:p>
      <w:pPr>
        <w:pStyle w:val="ListParagraph"/>
        <w:numPr>
          <w:ilvl w:val="3"/>
          <w:numId w:val="85"/>
        </w:numPr>
        <w:tabs>
          <w:tab w:pos="3040" w:val="left" w:leader="none"/>
        </w:tabs>
        <w:spacing w:line="242" w:lineRule="auto" w:before="123" w:after="0"/>
        <w:ind w:left="3039" w:right="2529" w:hanging="318"/>
        <w:jc w:val="left"/>
        <w:rPr>
          <w:sz w:val="21"/>
        </w:rPr>
      </w:pPr>
      <w:r>
        <w:rPr>
          <w:w w:val="115"/>
          <w:sz w:val="21"/>
        </w:rPr>
        <w:t>whether</w:t>
      </w:r>
      <w:r>
        <w:rPr>
          <w:spacing w:val="-10"/>
          <w:w w:val="115"/>
          <w:sz w:val="21"/>
        </w:rPr>
        <w:t> </w:t>
      </w:r>
      <w:r>
        <w:rPr>
          <w:w w:val="115"/>
          <w:sz w:val="21"/>
        </w:rPr>
        <w:t>adequate</w:t>
      </w:r>
      <w:r>
        <w:rPr>
          <w:spacing w:val="-11"/>
          <w:w w:val="115"/>
          <w:sz w:val="21"/>
        </w:rPr>
        <w:t> </w:t>
      </w:r>
      <w:r>
        <w:rPr>
          <w:w w:val="115"/>
          <w:sz w:val="21"/>
        </w:rPr>
        <w:t>provision</w:t>
      </w:r>
      <w:r>
        <w:rPr>
          <w:spacing w:val="-10"/>
          <w:w w:val="115"/>
          <w:sz w:val="21"/>
        </w:rPr>
        <w:t> </w:t>
      </w:r>
      <w:r>
        <w:rPr>
          <w:w w:val="115"/>
          <w:sz w:val="21"/>
        </w:rPr>
        <w:t>was</w:t>
      </w:r>
      <w:r>
        <w:rPr>
          <w:spacing w:val="-10"/>
          <w:w w:val="115"/>
          <w:sz w:val="21"/>
        </w:rPr>
        <w:t> </w:t>
      </w:r>
      <w:r>
        <w:rPr>
          <w:w w:val="115"/>
          <w:sz w:val="21"/>
        </w:rPr>
        <w:t>made</w:t>
      </w:r>
      <w:r>
        <w:rPr>
          <w:spacing w:val="-10"/>
          <w:w w:val="115"/>
          <w:sz w:val="21"/>
        </w:rPr>
        <w:t> </w:t>
      </w:r>
      <w:r>
        <w:rPr>
          <w:w w:val="115"/>
          <w:sz w:val="21"/>
        </w:rPr>
        <w:t>for</w:t>
      </w:r>
      <w:r>
        <w:rPr>
          <w:spacing w:val="-10"/>
          <w:w w:val="115"/>
          <w:sz w:val="21"/>
        </w:rPr>
        <w:t> </w:t>
      </w:r>
      <w:r>
        <w:rPr>
          <w:w w:val="115"/>
          <w:sz w:val="21"/>
        </w:rPr>
        <w:t>the</w:t>
      </w:r>
      <w:r>
        <w:rPr>
          <w:spacing w:val="-10"/>
          <w:w w:val="115"/>
          <w:sz w:val="21"/>
        </w:rPr>
        <w:t> </w:t>
      </w:r>
      <w:r>
        <w:rPr>
          <w:w w:val="115"/>
          <w:sz w:val="21"/>
        </w:rPr>
        <w:t>applicant’s</w:t>
      </w:r>
      <w:r>
        <w:rPr>
          <w:spacing w:val="-10"/>
          <w:w w:val="115"/>
          <w:sz w:val="21"/>
        </w:rPr>
        <w:t> </w:t>
      </w:r>
      <w:r>
        <w:rPr>
          <w:w w:val="115"/>
          <w:sz w:val="21"/>
        </w:rPr>
        <w:t>proper maintenance and support</w:t>
      </w:r>
    </w:p>
    <w:p>
      <w:pPr>
        <w:pStyle w:val="ListParagraph"/>
        <w:numPr>
          <w:ilvl w:val="3"/>
          <w:numId w:val="85"/>
        </w:numPr>
        <w:tabs>
          <w:tab w:pos="3037" w:val="left" w:leader="none"/>
        </w:tabs>
        <w:spacing w:line="240" w:lineRule="auto" w:before="123" w:after="0"/>
        <w:ind w:left="3036" w:right="0" w:hanging="315"/>
        <w:jc w:val="left"/>
        <w:rPr>
          <w:sz w:val="21"/>
        </w:rPr>
      </w:pPr>
      <w:r>
        <w:rPr>
          <w:w w:val="115"/>
          <w:sz w:val="21"/>
        </w:rPr>
        <w:t>the amount of further provision that should be made, if </w:t>
      </w:r>
      <w:r>
        <w:rPr>
          <w:spacing w:val="-4"/>
          <w:w w:val="115"/>
          <w:sz w:val="21"/>
        </w:rPr>
        <w:t>any.</w:t>
      </w:r>
    </w:p>
    <w:p>
      <w:pPr>
        <w:pStyle w:val="BodyText"/>
        <w:spacing w:before="2"/>
        <w:rPr>
          <w:sz w:val="26"/>
        </w:rPr>
      </w:pPr>
    </w:p>
    <w:p>
      <w:pPr>
        <w:pStyle w:val="Heading4"/>
      </w:pPr>
      <w:bookmarkStart w:name="_TOC_250012" w:id="115"/>
      <w:bookmarkEnd w:id="115"/>
      <w:r>
        <w:rPr>
          <w:color w:val="EC5A4F"/>
          <w:w w:val="110"/>
        </w:rPr>
        <w:t>Costs rules</w:t>
      </w:r>
    </w:p>
    <w:p>
      <w:pPr>
        <w:pStyle w:val="Heading5"/>
        <w:spacing w:before="167"/>
      </w:pPr>
      <w:bookmarkStart w:name="_TOC_250011" w:id="116"/>
      <w:bookmarkEnd w:id="116"/>
      <w:r>
        <w:rPr>
          <w:w w:val="115"/>
        </w:rPr>
        <w:t>Current law</w:t>
      </w:r>
    </w:p>
    <w:p>
      <w:pPr>
        <w:pStyle w:val="ListParagraph"/>
        <w:numPr>
          <w:ilvl w:val="1"/>
          <w:numId w:val="82"/>
        </w:numPr>
        <w:tabs>
          <w:tab w:pos="2381" w:val="left" w:leader="none"/>
          <w:tab w:pos="2382" w:val="left" w:leader="none"/>
        </w:tabs>
        <w:spacing w:line="242" w:lineRule="auto" w:before="137" w:after="0"/>
        <w:ind w:left="2381" w:right="1613" w:hanging="794"/>
        <w:jc w:val="left"/>
        <w:rPr>
          <w:sz w:val="21"/>
        </w:rPr>
      </w:pPr>
      <w:r>
        <w:rPr>
          <w:w w:val="105"/>
          <w:sz w:val="21"/>
        </w:rPr>
        <w:t>Although</w:t>
      </w:r>
      <w:r>
        <w:rPr>
          <w:spacing w:val="-9"/>
          <w:w w:val="105"/>
          <w:sz w:val="21"/>
        </w:rPr>
        <w:t> </w:t>
      </w:r>
      <w:r>
        <w:rPr>
          <w:spacing w:val="-3"/>
          <w:w w:val="105"/>
          <w:sz w:val="21"/>
        </w:rPr>
        <w:t>family</w:t>
      </w:r>
      <w:r>
        <w:rPr>
          <w:spacing w:val="-8"/>
          <w:w w:val="105"/>
          <w:sz w:val="21"/>
        </w:rPr>
        <w:t> </w:t>
      </w:r>
      <w:r>
        <w:rPr>
          <w:spacing w:val="-3"/>
          <w:w w:val="105"/>
          <w:sz w:val="21"/>
        </w:rPr>
        <w:t>provision</w:t>
      </w:r>
      <w:r>
        <w:rPr>
          <w:spacing w:val="-8"/>
          <w:w w:val="105"/>
          <w:sz w:val="21"/>
        </w:rPr>
        <w:t> </w:t>
      </w:r>
      <w:r>
        <w:rPr>
          <w:spacing w:val="-3"/>
          <w:w w:val="105"/>
          <w:sz w:val="21"/>
        </w:rPr>
        <w:t>proceedings</w:t>
      </w:r>
      <w:r>
        <w:rPr>
          <w:spacing w:val="-8"/>
          <w:w w:val="105"/>
          <w:sz w:val="21"/>
        </w:rPr>
        <w:t> </w:t>
      </w:r>
      <w:r>
        <w:rPr>
          <w:spacing w:val="-3"/>
          <w:w w:val="105"/>
          <w:sz w:val="21"/>
        </w:rPr>
        <w:t>are</w:t>
      </w:r>
      <w:r>
        <w:rPr>
          <w:spacing w:val="-8"/>
          <w:w w:val="105"/>
          <w:sz w:val="21"/>
        </w:rPr>
        <w:t> </w:t>
      </w:r>
      <w:r>
        <w:rPr>
          <w:w w:val="105"/>
          <w:sz w:val="21"/>
        </w:rPr>
        <w:t>civil</w:t>
      </w:r>
      <w:r>
        <w:rPr>
          <w:spacing w:val="-8"/>
          <w:w w:val="105"/>
          <w:sz w:val="21"/>
        </w:rPr>
        <w:t> </w:t>
      </w:r>
      <w:r>
        <w:rPr>
          <w:spacing w:val="-3"/>
          <w:w w:val="105"/>
          <w:sz w:val="21"/>
        </w:rPr>
        <w:t>proceedings,</w:t>
      </w:r>
      <w:r>
        <w:rPr>
          <w:spacing w:val="-8"/>
          <w:w w:val="105"/>
          <w:sz w:val="21"/>
        </w:rPr>
        <w:t> </w:t>
      </w:r>
      <w:r>
        <w:rPr>
          <w:w w:val="105"/>
          <w:sz w:val="21"/>
        </w:rPr>
        <w:t>costs</w:t>
      </w:r>
      <w:r>
        <w:rPr>
          <w:spacing w:val="-9"/>
          <w:w w:val="105"/>
          <w:sz w:val="21"/>
        </w:rPr>
        <w:t> </w:t>
      </w:r>
      <w:r>
        <w:rPr>
          <w:w w:val="105"/>
          <w:sz w:val="21"/>
        </w:rPr>
        <w:t>rules</w:t>
      </w:r>
      <w:r>
        <w:rPr>
          <w:spacing w:val="-8"/>
          <w:w w:val="105"/>
          <w:sz w:val="21"/>
        </w:rPr>
        <w:t> </w:t>
      </w:r>
      <w:r>
        <w:rPr>
          <w:w w:val="105"/>
          <w:sz w:val="21"/>
        </w:rPr>
        <w:t>operate</w:t>
      </w:r>
      <w:r>
        <w:rPr>
          <w:spacing w:val="-8"/>
          <w:w w:val="105"/>
          <w:sz w:val="21"/>
        </w:rPr>
        <w:t> </w:t>
      </w:r>
      <w:r>
        <w:rPr>
          <w:spacing w:val="-3"/>
          <w:w w:val="105"/>
          <w:sz w:val="21"/>
        </w:rPr>
        <w:t>differently </w:t>
      </w:r>
      <w:r>
        <w:rPr>
          <w:w w:val="105"/>
          <w:sz w:val="21"/>
        </w:rPr>
        <w:t>in </w:t>
      </w:r>
      <w:r>
        <w:rPr>
          <w:spacing w:val="-3"/>
          <w:w w:val="105"/>
          <w:sz w:val="21"/>
        </w:rPr>
        <w:t>family provision than </w:t>
      </w:r>
      <w:r>
        <w:rPr>
          <w:w w:val="105"/>
          <w:sz w:val="21"/>
        </w:rPr>
        <w:t>in other types of civil</w:t>
      </w:r>
      <w:r>
        <w:rPr>
          <w:spacing w:val="43"/>
          <w:w w:val="105"/>
          <w:sz w:val="21"/>
        </w:rPr>
        <w:t> </w:t>
      </w:r>
      <w:r>
        <w:rPr>
          <w:spacing w:val="-3"/>
          <w:w w:val="105"/>
          <w:sz w:val="21"/>
        </w:rPr>
        <w:t>proceedings.</w:t>
      </w:r>
    </w:p>
    <w:p>
      <w:pPr>
        <w:pStyle w:val="BodyText"/>
        <w:spacing w:before="10"/>
        <w:rPr>
          <w:sz w:val="26"/>
        </w:rPr>
      </w:pPr>
    </w:p>
    <w:p>
      <w:pPr>
        <w:pStyle w:val="Heading6"/>
      </w:pPr>
      <w:r>
        <w:rPr>
          <w:w w:val="115"/>
        </w:rPr>
        <w:t>Costs orders in civil proceedings generally</w:t>
      </w:r>
    </w:p>
    <w:p>
      <w:pPr>
        <w:pStyle w:val="ListParagraph"/>
        <w:numPr>
          <w:ilvl w:val="1"/>
          <w:numId w:val="82"/>
        </w:numPr>
        <w:tabs>
          <w:tab w:pos="2380" w:val="left" w:leader="none"/>
          <w:tab w:pos="2381" w:val="left" w:leader="none"/>
        </w:tabs>
        <w:spacing w:line="240" w:lineRule="auto" w:before="151" w:after="0"/>
        <w:ind w:left="2381" w:right="0" w:hanging="794"/>
        <w:jc w:val="left"/>
        <w:rPr>
          <w:sz w:val="21"/>
        </w:rPr>
      </w:pPr>
      <w:r>
        <w:rPr>
          <w:w w:val="105"/>
          <w:sz w:val="21"/>
        </w:rPr>
        <w:t>The </w:t>
      </w:r>
      <w:r>
        <w:rPr>
          <w:i/>
          <w:w w:val="105"/>
          <w:sz w:val="21"/>
        </w:rPr>
        <w:t>Supreme Court Act </w:t>
      </w:r>
      <w:r>
        <w:rPr>
          <w:i/>
          <w:spacing w:val="-4"/>
          <w:w w:val="105"/>
          <w:sz w:val="21"/>
        </w:rPr>
        <w:t>1986 </w:t>
      </w:r>
      <w:r>
        <w:rPr>
          <w:w w:val="105"/>
          <w:sz w:val="21"/>
        </w:rPr>
        <w:t>(Vic) provides</w:t>
      </w:r>
      <w:r>
        <w:rPr>
          <w:spacing w:val="39"/>
          <w:w w:val="105"/>
          <w:sz w:val="21"/>
        </w:rPr>
        <w:t> </w:t>
      </w:r>
      <w:r>
        <w:rPr>
          <w:w w:val="105"/>
          <w:sz w:val="21"/>
        </w:rPr>
        <w:t>that:</w:t>
      </w:r>
    </w:p>
    <w:p>
      <w:pPr>
        <w:spacing w:line="254" w:lineRule="auto" w:before="134"/>
        <w:ind w:left="2721" w:right="1865" w:firstLine="0"/>
        <w:jc w:val="left"/>
        <w:rPr>
          <w:sz w:val="11"/>
        </w:rPr>
      </w:pPr>
      <w:r>
        <w:rPr>
          <w:sz w:val="20"/>
        </w:rPr>
        <w:t>Unless otherwise expressly provided for by this or </w:t>
      </w:r>
      <w:r>
        <w:rPr>
          <w:spacing w:val="-2"/>
          <w:sz w:val="20"/>
        </w:rPr>
        <w:t>any </w:t>
      </w:r>
      <w:r>
        <w:rPr>
          <w:sz w:val="20"/>
        </w:rPr>
        <w:t>other Act or by the Rules, the costs  of and incidental to all matters in the Court, </w:t>
      </w:r>
      <w:r>
        <w:rPr>
          <w:spacing w:val="-3"/>
          <w:sz w:val="20"/>
        </w:rPr>
        <w:t>including </w:t>
      </w:r>
      <w:r>
        <w:rPr>
          <w:sz w:val="20"/>
        </w:rPr>
        <w:t>the administration of estates and trusts, is in the discretion of the Court and the Court has </w:t>
      </w:r>
      <w:r>
        <w:rPr>
          <w:spacing w:val="-3"/>
          <w:sz w:val="20"/>
        </w:rPr>
        <w:t>full  </w:t>
      </w:r>
      <w:r>
        <w:rPr>
          <w:sz w:val="20"/>
        </w:rPr>
        <w:t>power to determine by    whom</w:t>
      </w:r>
      <w:r>
        <w:rPr>
          <w:spacing w:val="9"/>
          <w:sz w:val="20"/>
        </w:rPr>
        <w:t> </w:t>
      </w:r>
      <w:r>
        <w:rPr>
          <w:sz w:val="20"/>
        </w:rPr>
        <w:t>and</w:t>
      </w:r>
      <w:r>
        <w:rPr>
          <w:spacing w:val="10"/>
          <w:sz w:val="20"/>
        </w:rPr>
        <w:t> </w:t>
      </w:r>
      <w:r>
        <w:rPr>
          <w:sz w:val="20"/>
        </w:rPr>
        <w:t>to</w:t>
      </w:r>
      <w:r>
        <w:rPr>
          <w:spacing w:val="10"/>
          <w:sz w:val="20"/>
        </w:rPr>
        <w:t> </w:t>
      </w:r>
      <w:r>
        <w:rPr>
          <w:sz w:val="20"/>
        </w:rPr>
        <w:t>what</w:t>
      </w:r>
      <w:r>
        <w:rPr>
          <w:spacing w:val="10"/>
          <w:sz w:val="20"/>
        </w:rPr>
        <w:t> </w:t>
      </w:r>
      <w:r>
        <w:rPr>
          <w:sz w:val="20"/>
        </w:rPr>
        <w:t>extent</w:t>
      </w:r>
      <w:r>
        <w:rPr>
          <w:spacing w:val="10"/>
          <w:sz w:val="20"/>
        </w:rPr>
        <w:t> </w:t>
      </w:r>
      <w:r>
        <w:rPr>
          <w:sz w:val="20"/>
        </w:rPr>
        <w:t>the</w:t>
      </w:r>
      <w:r>
        <w:rPr>
          <w:spacing w:val="10"/>
          <w:sz w:val="20"/>
        </w:rPr>
        <w:t> </w:t>
      </w:r>
      <w:r>
        <w:rPr>
          <w:sz w:val="20"/>
        </w:rPr>
        <w:t>costs</w:t>
      </w:r>
      <w:r>
        <w:rPr>
          <w:spacing w:val="9"/>
          <w:sz w:val="20"/>
        </w:rPr>
        <w:t> </w:t>
      </w:r>
      <w:r>
        <w:rPr>
          <w:sz w:val="20"/>
        </w:rPr>
        <w:t>are</w:t>
      </w:r>
      <w:r>
        <w:rPr>
          <w:spacing w:val="10"/>
          <w:sz w:val="20"/>
        </w:rPr>
        <w:t> </w:t>
      </w:r>
      <w:r>
        <w:rPr>
          <w:sz w:val="20"/>
        </w:rPr>
        <w:t>to</w:t>
      </w:r>
      <w:r>
        <w:rPr>
          <w:spacing w:val="10"/>
          <w:sz w:val="20"/>
        </w:rPr>
        <w:t> </w:t>
      </w:r>
      <w:r>
        <w:rPr>
          <w:sz w:val="20"/>
        </w:rPr>
        <w:t>be</w:t>
      </w:r>
      <w:r>
        <w:rPr>
          <w:spacing w:val="10"/>
          <w:sz w:val="20"/>
        </w:rPr>
        <w:t> </w:t>
      </w:r>
      <w:r>
        <w:rPr>
          <w:spacing w:val="-4"/>
          <w:sz w:val="20"/>
        </w:rPr>
        <w:t>paid.</w:t>
      </w:r>
      <w:r>
        <w:rPr>
          <w:spacing w:val="-4"/>
          <w:position w:val="7"/>
          <w:sz w:val="11"/>
        </w:rPr>
        <w:t>158</w:t>
      </w:r>
    </w:p>
    <w:p>
      <w:pPr>
        <w:pStyle w:val="ListParagraph"/>
        <w:numPr>
          <w:ilvl w:val="1"/>
          <w:numId w:val="82"/>
        </w:numPr>
        <w:tabs>
          <w:tab w:pos="2382" w:val="left" w:leader="none"/>
        </w:tabs>
        <w:spacing w:line="242" w:lineRule="auto" w:before="115" w:after="0"/>
        <w:ind w:left="2381" w:right="1935" w:hanging="794"/>
        <w:jc w:val="both"/>
        <w:rPr>
          <w:sz w:val="12"/>
        </w:rPr>
      </w:pPr>
      <w:r>
        <w:rPr>
          <w:spacing w:val="-4"/>
          <w:w w:val="105"/>
          <w:sz w:val="21"/>
        </w:rPr>
        <w:t>Similarly, </w:t>
      </w:r>
      <w:r>
        <w:rPr>
          <w:w w:val="105"/>
          <w:sz w:val="21"/>
        </w:rPr>
        <w:t>the </w:t>
      </w:r>
      <w:r>
        <w:rPr>
          <w:i/>
          <w:spacing w:val="-3"/>
          <w:w w:val="105"/>
          <w:sz w:val="21"/>
        </w:rPr>
        <w:t>County </w:t>
      </w:r>
      <w:r>
        <w:rPr>
          <w:i/>
          <w:w w:val="105"/>
          <w:sz w:val="21"/>
        </w:rPr>
        <w:t>Court Act </w:t>
      </w:r>
      <w:r>
        <w:rPr>
          <w:i/>
          <w:spacing w:val="-6"/>
          <w:w w:val="105"/>
          <w:sz w:val="21"/>
        </w:rPr>
        <w:t>1958 </w:t>
      </w:r>
      <w:r>
        <w:rPr>
          <w:w w:val="105"/>
          <w:sz w:val="21"/>
        </w:rPr>
        <w:t>(Vic) states </w:t>
      </w:r>
      <w:r>
        <w:rPr>
          <w:spacing w:val="-3"/>
          <w:w w:val="105"/>
          <w:sz w:val="21"/>
        </w:rPr>
        <w:t>that </w:t>
      </w:r>
      <w:r>
        <w:rPr>
          <w:w w:val="105"/>
          <w:sz w:val="21"/>
        </w:rPr>
        <w:t>‘The costs of and </w:t>
      </w:r>
      <w:r>
        <w:rPr>
          <w:spacing w:val="-3"/>
          <w:w w:val="105"/>
          <w:sz w:val="21"/>
        </w:rPr>
        <w:t>incidental to all proceedings are </w:t>
      </w:r>
      <w:r>
        <w:rPr>
          <w:w w:val="105"/>
          <w:sz w:val="21"/>
        </w:rPr>
        <w:t>in the </w:t>
      </w:r>
      <w:r>
        <w:rPr>
          <w:spacing w:val="-3"/>
          <w:w w:val="105"/>
          <w:sz w:val="21"/>
        </w:rPr>
        <w:t>discretion </w:t>
      </w:r>
      <w:r>
        <w:rPr>
          <w:w w:val="105"/>
          <w:sz w:val="21"/>
        </w:rPr>
        <w:t>of the </w:t>
      </w:r>
      <w:r>
        <w:rPr>
          <w:spacing w:val="-3"/>
          <w:w w:val="105"/>
          <w:sz w:val="21"/>
        </w:rPr>
        <w:t>Court </w:t>
      </w:r>
      <w:r>
        <w:rPr>
          <w:w w:val="105"/>
          <w:sz w:val="21"/>
        </w:rPr>
        <w:t>and the </w:t>
      </w:r>
      <w:r>
        <w:rPr>
          <w:spacing w:val="-3"/>
          <w:w w:val="105"/>
          <w:sz w:val="21"/>
        </w:rPr>
        <w:t>Court may determine </w:t>
      </w:r>
      <w:r>
        <w:rPr>
          <w:w w:val="105"/>
          <w:sz w:val="21"/>
        </w:rPr>
        <w:t>by whom and </w:t>
      </w:r>
      <w:r>
        <w:rPr>
          <w:spacing w:val="-3"/>
          <w:w w:val="105"/>
          <w:sz w:val="21"/>
        </w:rPr>
        <w:t>to </w:t>
      </w:r>
      <w:r>
        <w:rPr>
          <w:w w:val="105"/>
          <w:sz w:val="21"/>
        </w:rPr>
        <w:t>what extent the costs </w:t>
      </w:r>
      <w:r>
        <w:rPr>
          <w:spacing w:val="-3"/>
          <w:w w:val="105"/>
          <w:sz w:val="21"/>
        </w:rPr>
        <w:t>are to </w:t>
      </w:r>
      <w:r>
        <w:rPr>
          <w:w w:val="105"/>
          <w:sz w:val="21"/>
        </w:rPr>
        <w:t>be</w:t>
      </w:r>
      <w:r>
        <w:rPr>
          <w:spacing w:val="2"/>
          <w:w w:val="105"/>
          <w:sz w:val="21"/>
        </w:rPr>
        <w:t> </w:t>
      </w:r>
      <w:r>
        <w:rPr>
          <w:spacing w:val="-7"/>
          <w:w w:val="105"/>
          <w:sz w:val="21"/>
        </w:rPr>
        <w:t>paid’.</w:t>
      </w:r>
      <w:r>
        <w:rPr>
          <w:spacing w:val="-7"/>
          <w:w w:val="105"/>
          <w:position w:val="7"/>
          <w:sz w:val="12"/>
        </w:rPr>
        <w:t>159</w:t>
      </w:r>
    </w:p>
    <w:p>
      <w:pPr>
        <w:pStyle w:val="BodyText"/>
        <w:rPr>
          <w:sz w:val="20"/>
        </w:rPr>
      </w:pPr>
    </w:p>
    <w:p>
      <w:pPr>
        <w:pStyle w:val="BodyText"/>
        <w:rPr>
          <w:sz w:val="20"/>
        </w:rPr>
      </w:pPr>
    </w:p>
    <w:p>
      <w:pPr>
        <w:pStyle w:val="BodyText"/>
        <w:rPr>
          <w:sz w:val="20"/>
        </w:rPr>
      </w:pPr>
    </w:p>
    <w:p>
      <w:pPr>
        <w:pStyle w:val="BodyText"/>
        <w:rPr>
          <w:sz w:val="26"/>
        </w:rPr>
      </w:pPr>
      <w:r>
        <w:rPr/>
        <w:pict>
          <v:line style="position:absolute;mso-position-horizontal-relative:page;mso-position-vertical-relative:paragraph;z-index:7208;mso-wrap-distance-left:0;mso-wrap-distance-right:0" from="79.370102pt,18.323145pt" to="515.905102pt,18.323145pt" stroked="true" strokeweight="1pt" strokecolor="#f9ceca">
            <v:stroke dashstyle="solid"/>
            <w10:wrap type="topAndBottom"/>
          </v:line>
        </w:pict>
      </w:r>
    </w:p>
    <w:p>
      <w:pPr>
        <w:pStyle w:val="BodyText"/>
        <w:spacing w:before="8"/>
        <w:rPr>
          <w:sz w:val="5"/>
        </w:rPr>
      </w:pPr>
    </w:p>
    <w:p>
      <w:pPr>
        <w:spacing w:after="0"/>
        <w:rPr>
          <w:sz w:val="5"/>
        </w:rPr>
        <w:sectPr>
          <w:pgSz w:w="11910" w:h="16840"/>
          <w:pgMar w:header="805" w:footer="0" w:top="1360" w:bottom="280" w:left="0" w:right="0"/>
        </w:sectPr>
      </w:pPr>
    </w:p>
    <w:p>
      <w:pPr>
        <w:tabs>
          <w:tab w:pos="2380" w:val="left" w:leader="none"/>
        </w:tabs>
        <w:spacing w:before="48"/>
        <w:ind w:left="1587" w:right="0" w:firstLine="0"/>
        <w:jc w:val="left"/>
        <w:rPr>
          <w:sz w:val="13"/>
        </w:rPr>
      </w:pPr>
      <w:r>
        <w:rPr>
          <w:w w:val="105"/>
          <w:sz w:val="13"/>
        </w:rPr>
        <w:t>158</w:t>
        <w:tab/>
      </w:r>
      <w:r>
        <w:rPr>
          <w:i/>
          <w:w w:val="105"/>
          <w:sz w:val="13"/>
        </w:rPr>
        <w:t>Supreme Court Act 1986 </w:t>
      </w:r>
      <w:r>
        <w:rPr>
          <w:spacing w:val="2"/>
          <w:w w:val="105"/>
          <w:sz w:val="13"/>
        </w:rPr>
        <w:t>(Vic) </w:t>
      </w:r>
      <w:r>
        <w:rPr>
          <w:w w:val="105"/>
          <w:sz w:val="13"/>
        </w:rPr>
        <w:t>s</w:t>
      </w:r>
      <w:r>
        <w:rPr>
          <w:spacing w:val="9"/>
          <w:w w:val="105"/>
          <w:sz w:val="13"/>
        </w:rPr>
        <w:t> </w:t>
      </w:r>
      <w:r>
        <w:rPr>
          <w:w w:val="105"/>
          <w:sz w:val="13"/>
        </w:rPr>
        <w:t>24.</w:t>
      </w:r>
    </w:p>
    <w:p>
      <w:pPr>
        <w:tabs>
          <w:tab w:pos="2381" w:val="left" w:leader="none"/>
        </w:tabs>
        <w:spacing w:before="1"/>
        <w:ind w:left="1587" w:right="0" w:firstLine="0"/>
        <w:jc w:val="left"/>
        <w:rPr>
          <w:sz w:val="13"/>
        </w:rPr>
      </w:pPr>
      <w:r>
        <w:rPr>
          <w:spacing w:val="-3"/>
          <w:w w:val="105"/>
          <w:sz w:val="13"/>
        </w:rPr>
        <w:t>159</w:t>
        <w:tab/>
      </w:r>
      <w:r>
        <w:rPr>
          <w:i/>
          <w:w w:val="105"/>
          <w:sz w:val="13"/>
        </w:rPr>
        <w:t>County</w:t>
      </w:r>
      <w:r>
        <w:rPr>
          <w:i/>
          <w:spacing w:val="9"/>
          <w:w w:val="105"/>
          <w:sz w:val="13"/>
        </w:rPr>
        <w:t> </w:t>
      </w:r>
      <w:r>
        <w:rPr>
          <w:i/>
          <w:w w:val="105"/>
          <w:sz w:val="13"/>
        </w:rPr>
        <w:t>Court</w:t>
      </w:r>
      <w:r>
        <w:rPr>
          <w:i/>
          <w:spacing w:val="9"/>
          <w:w w:val="105"/>
          <w:sz w:val="13"/>
        </w:rPr>
        <w:t> </w:t>
      </w:r>
      <w:r>
        <w:rPr>
          <w:i/>
          <w:w w:val="105"/>
          <w:sz w:val="13"/>
        </w:rPr>
        <w:t>Act</w:t>
      </w:r>
      <w:r>
        <w:rPr>
          <w:i/>
          <w:spacing w:val="10"/>
          <w:w w:val="105"/>
          <w:sz w:val="13"/>
        </w:rPr>
        <w:t> </w:t>
      </w:r>
      <w:r>
        <w:rPr>
          <w:i/>
          <w:w w:val="105"/>
          <w:sz w:val="13"/>
        </w:rPr>
        <w:t>1958</w:t>
      </w:r>
      <w:r>
        <w:rPr>
          <w:i/>
          <w:spacing w:val="9"/>
          <w:w w:val="105"/>
          <w:sz w:val="13"/>
        </w:rPr>
        <w:t> </w:t>
      </w:r>
      <w:r>
        <w:rPr>
          <w:spacing w:val="2"/>
          <w:w w:val="105"/>
          <w:sz w:val="13"/>
        </w:rPr>
        <w:t>(Vic)</w:t>
      </w:r>
      <w:r>
        <w:rPr>
          <w:spacing w:val="10"/>
          <w:w w:val="105"/>
          <w:sz w:val="13"/>
        </w:rPr>
        <w:t> </w:t>
      </w:r>
      <w:r>
        <w:rPr>
          <w:w w:val="105"/>
          <w:sz w:val="13"/>
        </w:rPr>
        <w:t>s</w:t>
      </w:r>
      <w:r>
        <w:rPr>
          <w:spacing w:val="11"/>
          <w:w w:val="105"/>
          <w:sz w:val="13"/>
        </w:rPr>
        <w:t> </w:t>
      </w:r>
      <w:r>
        <w:rPr>
          <w:w w:val="105"/>
          <w:sz w:val="13"/>
        </w:rPr>
        <w:t>78A(1).</w:t>
      </w:r>
    </w:p>
    <w:p>
      <w:pPr>
        <w:spacing w:before="103"/>
        <w:ind w:left="1587" w:right="0" w:firstLine="0"/>
        <w:jc w:val="left"/>
        <w:rPr>
          <w:b/>
          <w:sz w:val="24"/>
        </w:rPr>
      </w:pPr>
      <w:r>
        <w:rPr/>
        <w:br w:type="column"/>
      </w:r>
      <w:r>
        <w:rPr>
          <w:b/>
          <w:color w:val="EC5A4F"/>
          <w:w w:val="110"/>
          <w:sz w:val="24"/>
        </w:rPr>
        <w:t>115</w:t>
      </w:r>
    </w:p>
    <w:p>
      <w:pPr>
        <w:spacing w:after="0"/>
        <w:jc w:val="left"/>
        <w:rPr>
          <w:sz w:val="24"/>
        </w:rPr>
        <w:sectPr>
          <w:type w:val="continuous"/>
          <w:pgSz w:w="11910" w:h="16840"/>
          <w:pgMar w:top="920" w:bottom="280" w:left="0" w:right="0"/>
          <w:cols w:num="2" w:equalWidth="0">
            <w:col w:w="4554" w:space="4783"/>
            <w:col w:w="2573"/>
          </w:cols>
        </w:sectPr>
      </w:pPr>
    </w:p>
    <w:p>
      <w:pPr>
        <w:pStyle w:val="BodyText"/>
        <w:spacing w:before="8"/>
        <w:rPr>
          <w:b/>
          <w:sz w:val="22"/>
        </w:rPr>
      </w:pPr>
    </w:p>
    <w:p>
      <w:pPr>
        <w:pStyle w:val="ListParagraph"/>
        <w:numPr>
          <w:ilvl w:val="1"/>
          <w:numId w:val="82"/>
        </w:numPr>
        <w:tabs>
          <w:tab w:pos="2381" w:val="left" w:leader="none"/>
          <w:tab w:pos="2382" w:val="left" w:leader="none"/>
        </w:tabs>
        <w:spacing w:line="242" w:lineRule="auto" w:before="93" w:after="0"/>
        <w:ind w:left="2381" w:right="1746" w:hanging="794"/>
        <w:jc w:val="left"/>
        <w:rPr>
          <w:sz w:val="12"/>
        </w:rPr>
      </w:pPr>
      <w:r>
        <w:rPr>
          <w:spacing w:val="-4"/>
          <w:w w:val="105"/>
          <w:sz w:val="21"/>
        </w:rPr>
        <w:t>Further, </w:t>
      </w:r>
      <w:r>
        <w:rPr>
          <w:w w:val="105"/>
          <w:sz w:val="21"/>
        </w:rPr>
        <w:t>the </w:t>
      </w:r>
      <w:r>
        <w:rPr>
          <w:spacing w:val="-3"/>
          <w:w w:val="105"/>
          <w:sz w:val="21"/>
        </w:rPr>
        <w:t>overarching </w:t>
      </w:r>
      <w:r>
        <w:rPr>
          <w:w w:val="105"/>
          <w:sz w:val="21"/>
        </w:rPr>
        <w:t>purpose of the </w:t>
      </w:r>
      <w:r>
        <w:rPr>
          <w:i/>
          <w:w w:val="105"/>
          <w:sz w:val="21"/>
        </w:rPr>
        <w:t>Civil Procedure Act </w:t>
      </w:r>
      <w:r>
        <w:rPr>
          <w:i/>
          <w:spacing w:val="-8"/>
          <w:w w:val="105"/>
          <w:sz w:val="21"/>
        </w:rPr>
        <w:t>2010 </w:t>
      </w:r>
      <w:r>
        <w:rPr>
          <w:w w:val="105"/>
          <w:sz w:val="21"/>
        </w:rPr>
        <w:t>(Vic) and rules of court in</w:t>
      </w:r>
      <w:r>
        <w:rPr>
          <w:spacing w:val="-10"/>
          <w:w w:val="105"/>
          <w:sz w:val="21"/>
        </w:rPr>
        <w:t> </w:t>
      </w:r>
      <w:r>
        <w:rPr>
          <w:spacing w:val="-3"/>
          <w:w w:val="105"/>
          <w:sz w:val="21"/>
        </w:rPr>
        <w:t>relation</w:t>
      </w:r>
      <w:r>
        <w:rPr>
          <w:spacing w:val="-9"/>
          <w:w w:val="105"/>
          <w:sz w:val="21"/>
        </w:rPr>
        <w:t> </w:t>
      </w:r>
      <w:r>
        <w:rPr>
          <w:spacing w:val="-3"/>
          <w:w w:val="105"/>
          <w:sz w:val="21"/>
        </w:rPr>
        <w:t>to</w:t>
      </w:r>
      <w:r>
        <w:rPr>
          <w:spacing w:val="-10"/>
          <w:w w:val="105"/>
          <w:sz w:val="21"/>
        </w:rPr>
        <w:t> </w:t>
      </w:r>
      <w:r>
        <w:rPr>
          <w:w w:val="105"/>
          <w:sz w:val="21"/>
        </w:rPr>
        <w:t>civil</w:t>
      </w:r>
      <w:r>
        <w:rPr>
          <w:spacing w:val="-9"/>
          <w:w w:val="105"/>
          <w:sz w:val="21"/>
        </w:rPr>
        <w:t> </w:t>
      </w:r>
      <w:r>
        <w:rPr>
          <w:spacing w:val="-3"/>
          <w:w w:val="105"/>
          <w:sz w:val="21"/>
        </w:rPr>
        <w:t>proceedings</w:t>
      </w:r>
      <w:r>
        <w:rPr>
          <w:spacing w:val="-10"/>
          <w:w w:val="105"/>
          <w:sz w:val="21"/>
        </w:rPr>
        <w:t> </w:t>
      </w:r>
      <w:r>
        <w:rPr>
          <w:w w:val="105"/>
          <w:sz w:val="21"/>
        </w:rPr>
        <w:t>is</w:t>
      </w:r>
      <w:r>
        <w:rPr>
          <w:spacing w:val="-9"/>
          <w:w w:val="105"/>
          <w:sz w:val="21"/>
        </w:rPr>
        <w:t> </w:t>
      </w:r>
      <w:r>
        <w:rPr>
          <w:w w:val="105"/>
          <w:sz w:val="21"/>
        </w:rPr>
        <w:t>‘to</w:t>
      </w:r>
      <w:r>
        <w:rPr>
          <w:spacing w:val="-10"/>
          <w:w w:val="105"/>
          <w:sz w:val="21"/>
        </w:rPr>
        <w:t> </w:t>
      </w:r>
      <w:r>
        <w:rPr>
          <w:spacing w:val="-3"/>
          <w:w w:val="105"/>
          <w:sz w:val="21"/>
        </w:rPr>
        <w:t>facilitate</w:t>
      </w:r>
      <w:r>
        <w:rPr>
          <w:spacing w:val="-9"/>
          <w:w w:val="105"/>
          <w:sz w:val="21"/>
        </w:rPr>
        <w:t> </w:t>
      </w:r>
      <w:r>
        <w:rPr>
          <w:w w:val="105"/>
          <w:sz w:val="21"/>
        </w:rPr>
        <w:t>the</w:t>
      </w:r>
      <w:r>
        <w:rPr>
          <w:spacing w:val="-10"/>
          <w:w w:val="105"/>
          <w:sz w:val="21"/>
        </w:rPr>
        <w:t> </w:t>
      </w:r>
      <w:r>
        <w:rPr>
          <w:w w:val="105"/>
          <w:sz w:val="21"/>
        </w:rPr>
        <w:t>just,</w:t>
      </w:r>
      <w:r>
        <w:rPr>
          <w:spacing w:val="-9"/>
          <w:w w:val="105"/>
          <w:sz w:val="21"/>
        </w:rPr>
        <w:t> </w:t>
      </w:r>
      <w:r>
        <w:rPr>
          <w:w w:val="105"/>
          <w:sz w:val="21"/>
        </w:rPr>
        <w:t>efficient,</w:t>
      </w:r>
      <w:r>
        <w:rPr>
          <w:spacing w:val="-9"/>
          <w:w w:val="105"/>
          <w:sz w:val="21"/>
        </w:rPr>
        <w:t> </w:t>
      </w:r>
      <w:r>
        <w:rPr>
          <w:w w:val="105"/>
          <w:sz w:val="21"/>
        </w:rPr>
        <w:t>timely</w:t>
      </w:r>
      <w:r>
        <w:rPr>
          <w:spacing w:val="-10"/>
          <w:w w:val="105"/>
          <w:sz w:val="21"/>
        </w:rPr>
        <w:t> </w:t>
      </w:r>
      <w:r>
        <w:rPr>
          <w:w w:val="105"/>
          <w:sz w:val="21"/>
        </w:rPr>
        <w:t>and</w:t>
      </w:r>
      <w:r>
        <w:rPr>
          <w:spacing w:val="-9"/>
          <w:w w:val="105"/>
          <w:sz w:val="21"/>
        </w:rPr>
        <w:t> </w:t>
      </w:r>
      <w:r>
        <w:rPr>
          <w:w w:val="105"/>
          <w:sz w:val="21"/>
        </w:rPr>
        <w:t>cost-effective resolution of the </w:t>
      </w:r>
      <w:r>
        <w:rPr>
          <w:spacing w:val="-3"/>
          <w:w w:val="105"/>
          <w:sz w:val="21"/>
        </w:rPr>
        <w:t>real </w:t>
      </w:r>
      <w:r>
        <w:rPr>
          <w:w w:val="105"/>
          <w:sz w:val="21"/>
        </w:rPr>
        <w:t>issues in </w:t>
      </w:r>
      <w:r>
        <w:rPr>
          <w:spacing w:val="-6"/>
          <w:w w:val="105"/>
          <w:sz w:val="21"/>
        </w:rPr>
        <w:t>dispute’.</w:t>
      </w:r>
      <w:r>
        <w:rPr>
          <w:spacing w:val="-6"/>
          <w:w w:val="105"/>
          <w:position w:val="7"/>
          <w:sz w:val="12"/>
        </w:rPr>
        <w:t>160 </w:t>
      </w:r>
      <w:r>
        <w:rPr>
          <w:w w:val="105"/>
          <w:sz w:val="21"/>
        </w:rPr>
        <w:t>The </w:t>
      </w:r>
      <w:r>
        <w:rPr>
          <w:spacing w:val="-3"/>
          <w:w w:val="105"/>
          <w:sz w:val="21"/>
        </w:rPr>
        <w:t>Civil Procedure </w:t>
      </w:r>
      <w:r>
        <w:rPr>
          <w:w w:val="105"/>
          <w:sz w:val="21"/>
        </w:rPr>
        <w:t>Act provides </w:t>
      </w:r>
      <w:r>
        <w:rPr>
          <w:spacing w:val="-3"/>
          <w:w w:val="105"/>
          <w:sz w:val="21"/>
        </w:rPr>
        <w:t>that, </w:t>
      </w:r>
      <w:r>
        <w:rPr>
          <w:w w:val="105"/>
          <w:sz w:val="21"/>
        </w:rPr>
        <w:t>in addition</w:t>
      </w:r>
      <w:r>
        <w:rPr>
          <w:spacing w:val="-4"/>
          <w:w w:val="105"/>
          <w:sz w:val="21"/>
        </w:rPr>
        <w:t> </w:t>
      </w:r>
      <w:r>
        <w:rPr>
          <w:spacing w:val="-3"/>
          <w:w w:val="105"/>
          <w:sz w:val="21"/>
        </w:rPr>
        <w:t>to</w:t>
      </w:r>
      <w:r>
        <w:rPr>
          <w:spacing w:val="-4"/>
          <w:w w:val="105"/>
          <w:sz w:val="21"/>
        </w:rPr>
        <w:t> </w:t>
      </w:r>
      <w:r>
        <w:rPr>
          <w:spacing w:val="-3"/>
          <w:w w:val="105"/>
          <w:sz w:val="21"/>
        </w:rPr>
        <w:t>any</w:t>
      </w:r>
      <w:r>
        <w:rPr>
          <w:spacing w:val="-4"/>
          <w:w w:val="105"/>
          <w:sz w:val="21"/>
        </w:rPr>
        <w:t> </w:t>
      </w:r>
      <w:r>
        <w:rPr>
          <w:w w:val="105"/>
          <w:sz w:val="21"/>
        </w:rPr>
        <w:t>other</w:t>
      </w:r>
      <w:r>
        <w:rPr>
          <w:spacing w:val="-4"/>
          <w:w w:val="105"/>
          <w:sz w:val="21"/>
        </w:rPr>
        <w:t> </w:t>
      </w:r>
      <w:r>
        <w:rPr>
          <w:w w:val="105"/>
          <w:sz w:val="21"/>
        </w:rPr>
        <w:t>power</w:t>
      </w:r>
      <w:r>
        <w:rPr>
          <w:spacing w:val="-4"/>
          <w:w w:val="105"/>
          <w:sz w:val="21"/>
        </w:rPr>
        <w:t> </w:t>
      </w:r>
      <w:r>
        <w:rPr>
          <w:w w:val="105"/>
          <w:sz w:val="21"/>
        </w:rPr>
        <w:t>a</w:t>
      </w:r>
      <w:r>
        <w:rPr>
          <w:spacing w:val="-4"/>
          <w:w w:val="105"/>
          <w:sz w:val="21"/>
        </w:rPr>
        <w:t> </w:t>
      </w:r>
      <w:r>
        <w:rPr>
          <w:w w:val="105"/>
          <w:sz w:val="21"/>
        </w:rPr>
        <w:t>court</w:t>
      </w:r>
      <w:r>
        <w:rPr>
          <w:spacing w:val="-4"/>
          <w:w w:val="105"/>
          <w:sz w:val="21"/>
        </w:rPr>
        <w:t> </w:t>
      </w:r>
      <w:r>
        <w:rPr>
          <w:spacing w:val="-3"/>
          <w:w w:val="105"/>
          <w:sz w:val="21"/>
        </w:rPr>
        <w:t>may</w:t>
      </w:r>
      <w:r>
        <w:rPr>
          <w:spacing w:val="-4"/>
          <w:w w:val="105"/>
          <w:sz w:val="21"/>
        </w:rPr>
        <w:t> </w:t>
      </w:r>
      <w:r>
        <w:rPr>
          <w:spacing w:val="-3"/>
          <w:w w:val="105"/>
          <w:sz w:val="21"/>
        </w:rPr>
        <w:t>have</w:t>
      </w:r>
      <w:r>
        <w:rPr>
          <w:spacing w:val="-4"/>
          <w:w w:val="105"/>
          <w:sz w:val="21"/>
        </w:rPr>
        <w:t> </w:t>
      </w:r>
      <w:r>
        <w:rPr>
          <w:w w:val="105"/>
          <w:sz w:val="21"/>
        </w:rPr>
        <w:t>in</w:t>
      </w:r>
      <w:r>
        <w:rPr>
          <w:spacing w:val="-3"/>
          <w:w w:val="105"/>
          <w:sz w:val="21"/>
        </w:rPr>
        <w:t> relation</w:t>
      </w:r>
      <w:r>
        <w:rPr>
          <w:spacing w:val="-4"/>
          <w:w w:val="105"/>
          <w:sz w:val="21"/>
        </w:rPr>
        <w:t> </w:t>
      </w:r>
      <w:r>
        <w:rPr>
          <w:spacing w:val="-3"/>
          <w:w w:val="105"/>
          <w:sz w:val="21"/>
        </w:rPr>
        <w:t>to</w:t>
      </w:r>
      <w:r>
        <w:rPr>
          <w:spacing w:val="-4"/>
          <w:w w:val="105"/>
          <w:sz w:val="21"/>
        </w:rPr>
        <w:t> </w:t>
      </w:r>
      <w:r>
        <w:rPr>
          <w:w w:val="105"/>
          <w:sz w:val="21"/>
        </w:rPr>
        <w:t>costs,</w:t>
      </w:r>
      <w:r>
        <w:rPr>
          <w:spacing w:val="-4"/>
          <w:w w:val="105"/>
          <w:sz w:val="21"/>
        </w:rPr>
        <w:t> </w:t>
      </w:r>
      <w:r>
        <w:rPr>
          <w:w w:val="105"/>
          <w:sz w:val="21"/>
        </w:rPr>
        <w:t>a</w:t>
      </w:r>
      <w:r>
        <w:rPr>
          <w:spacing w:val="-4"/>
          <w:w w:val="105"/>
          <w:sz w:val="21"/>
        </w:rPr>
        <w:t> </w:t>
      </w:r>
      <w:r>
        <w:rPr>
          <w:w w:val="105"/>
          <w:sz w:val="21"/>
        </w:rPr>
        <w:t>court</w:t>
      </w:r>
      <w:r>
        <w:rPr>
          <w:spacing w:val="-4"/>
          <w:w w:val="105"/>
          <w:sz w:val="21"/>
        </w:rPr>
        <w:t> </w:t>
      </w:r>
      <w:r>
        <w:rPr>
          <w:spacing w:val="-3"/>
          <w:w w:val="105"/>
          <w:sz w:val="21"/>
        </w:rPr>
        <w:t>may</w:t>
      </w:r>
      <w:r>
        <w:rPr>
          <w:spacing w:val="-4"/>
          <w:w w:val="105"/>
          <w:sz w:val="21"/>
        </w:rPr>
        <w:t> make </w:t>
      </w:r>
      <w:r>
        <w:rPr>
          <w:spacing w:val="-3"/>
          <w:w w:val="105"/>
          <w:sz w:val="21"/>
        </w:rPr>
        <w:t>any </w:t>
      </w:r>
      <w:r>
        <w:rPr>
          <w:w w:val="105"/>
          <w:sz w:val="21"/>
        </w:rPr>
        <w:t>order as </w:t>
      </w:r>
      <w:r>
        <w:rPr>
          <w:spacing w:val="-3"/>
          <w:w w:val="105"/>
          <w:sz w:val="21"/>
        </w:rPr>
        <w:t>to </w:t>
      </w:r>
      <w:r>
        <w:rPr>
          <w:w w:val="105"/>
          <w:sz w:val="21"/>
        </w:rPr>
        <w:t>costs it considers </w:t>
      </w:r>
      <w:r>
        <w:rPr>
          <w:spacing w:val="-3"/>
          <w:w w:val="105"/>
          <w:sz w:val="21"/>
        </w:rPr>
        <w:t>appropriate to </w:t>
      </w:r>
      <w:r>
        <w:rPr>
          <w:w w:val="105"/>
          <w:sz w:val="21"/>
        </w:rPr>
        <w:t>further the </w:t>
      </w:r>
      <w:r>
        <w:rPr>
          <w:spacing w:val="-3"/>
          <w:w w:val="105"/>
          <w:sz w:val="21"/>
        </w:rPr>
        <w:t>overarching </w:t>
      </w:r>
      <w:r>
        <w:rPr>
          <w:spacing w:val="-5"/>
          <w:w w:val="105"/>
          <w:sz w:val="21"/>
        </w:rPr>
        <w:t>purpose.</w:t>
      </w:r>
      <w:r>
        <w:rPr>
          <w:spacing w:val="-5"/>
          <w:w w:val="105"/>
          <w:position w:val="7"/>
          <w:sz w:val="12"/>
        </w:rPr>
        <w:t>161 </w:t>
      </w:r>
      <w:r>
        <w:rPr>
          <w:w w:val="105"/>
          <w:sz w:val="21"/>
        </w:rPr>
        <w:t>Without </w:t>
      </w:r>
      <w:r>
        <w:rPr>
          <w:spacing w:val="-3"/>
          <w:w w:val="105"/>
          <w:sz w:val="21"/>
        </w:rPr>
        <w:t>limiting </w:t>
      </w:r>
      <w:r>
        <w:rPr>
          <w:w w:val="105"/>
          <w:sz w:val="21"/>
        </w:rPr>
        <w:t>this, the </w:t>
      </w:r>
      <w:r>
        <w:rPr>
          <w:spacing w:val="-3"/>
          <w:w w:val="105"/>
          <w:sz w:val="21"/>
        </w:rPr>
        <w:t>Civil Procedure </w:t>
      </w:r>
      <w:r>
        <w:rPr>
          <w:w w:val="105"/>
          <w:sz w:val="21"/>
        </w:rPr>
        <w:t>Act provides </w:t>
      </w:r>
      <w:r>
        <w:rPr>
          <w:spacing w:val="-3"/>
          <w:w w:val="105"/>
          <w:sz w:val="21"/>
        </w:rPr>
        <w:t>that </w:t>
      </w:r>
      <w:r>
        <w:rPr>
          <w:w w:val="105"/>
          <w:sz w:val="21"/>
        </w:rPr>
        <w:t>the court</w:t>
      </w:r>
      <w:r>
        <w:rPr>
          <w:spacing w:val="44"/>
          <w:w w:val="105"/>
          <w:sz w:val="21"/>
        </w:rPr>
        <w:t> </w:t>
      </w:r>
      <w:r>
        <w:rPr>
          <w:spacing w:val="-4"/>
          <w:w w:val="105"/>
          <w:sz w:val="21"/>
        </w:rPr>
        <w:t>may:</w:t>
      </w:r>
      <w:r>
        <w:rPr>
          <w:spacing w:val="-4"/>
          <w:w w:val="105"/>
          <w:position w:val="7"/>
          <w:sz w:val="12"/>
        </w:rPr>
        <w:t>162</w:t>
      </w:r>
    </w:p>
    <w:p>
      <w:pPr>
        <w:pStyle w:val="ListParagraph"/>
        <w:numPr>
          <w:ilvl w:val="2"/>
          <w:numId w:val="82"/>
        </w:numPr>
        <w:tabs>
          <w:tab w:pos="2721" w:val="left" w:leader="none"/>
          <w:tab w:pos="2722" w:val="left" w:leader="none"/>
        </w:tabs>
        <w:spacing w:line="242" w:lineRule="auto" w:before="126" w:after="0"/>
        <w:ind w:left="2721" w:right="2011" w:hanging="340"/>
        <w:jc w:val="left"/>
        <w:rPr>
          <w:sz w:val="21"/>
        </w:rPr>
      </w:pPr>
      <w:r>
        <w:rPr>
          <w:spacing w:val="-4"/>
          <w:w w:val="105"/>
          <w:sz w:val="21"/>
        </w:rPr>
        <w:t>make </w:t>
      </w:r>
      <w:r>
        <w:rPr>
          <w:spacing w:val="-3"/>
          <w:w w:val="105"/>
          <w:sz w:val="21"/>
        </w:rPr>
        <w:t>different awards </w:t>
      </w:r>
      <w:r>
        <w:rPr>
          <w:w w:val="105"/>
          <w:sz w:val="21"/>
        </w:rPr>
        <w:t>of costs in </w:t>
      </w:r>
      <w:r>
        <w:rPr>
          <w:spacing w:val="-3"/>
          <w:w w:val="105"/>
          <w:sz w:val="21"/>
        </w:rPr>
        <w:t>relation to different </w:t>
      </w:r>
      <w:r>
        <w:rPr>
          <w:w w:val="105"/>
          <w:sz w:val="21"/>
        </w:rPr>
        <w:t>parts of a </w:t>
      </w:r>
      <w:r>
        <w:rPr>
          <w:spacing w:val="-3"/>
          <w:w w:val="105"/>
          <w:sz w:val="21"/>
        </w:rPr>
        <w:t>proceeding </w:t>
      </w:r>
      <w:r>
        <w:rPr>
          <w:w w:val="105"/>
          <w:sz w:val="21"/>
        </w:rPr>
        <w:t>or up </w:t>
      </w:r>
      <w:r>
        <w:rPr>
          <w:spacing w:val="-3"/>
          <w:w w:val="105"/>
          <w:sz w:val="21"/>
        </w:rPr>
        <w:t>to </w:t>
      </w:r>
      <w:r>
        <w:rPr>
          <w:w w:val="105"/>
          <w:sz w:val="21"/>
        </w:rPr>
        <w:t>or </w:t>
      </w:r>
      <w:r>
        <w:rPr>
          <w:spacing w:val="-3"/>
          <w:w w:val="105"/>
          <w:sz w:val="21"/>
        </w:rPr>
        <w:t>from </w:t>
      </w:r>
      <w:r>
        <w:rPr>
          <w:w w:val="105"/>
          <w:sz w:val="21"/>
        </w:rPr>
        <w:t>a specified stage of the</w:t>
      </w:r>
      <w:r>
        <w:rPr>
          <w:spacing w:val="44"/>
          <w:w w:val="105"/>
          <w:sz w:val="21"/>
        </w:rPr>
        <w:t> </w:t>
      </w:r>
      <w:r>
        <w:rPr>
          <w:spacing w:val="-3"/>
          <w:w w:val="105"/>
          <w:sz w:val="21"/>
        </w:rPr>
        <w:t>proceeding</w:t>
      </w:r>
    </w:p>
    <w:p>
      <w:pPr>
        <w:pStyle w:val="ListParagraph"/>
        <w:numPr>
          <w:ilvl w:val="2"/>
          <w:numId w:val="82"/>
        </w:numPr>
        <w:tabs>
          <w:tab w:pos="2721" w:val="left" w:leader="none"/>
          <w:tab w:pos="2722" w:val="left" w:leader="none"/>
        </w:tabs>
        <w:spacing w:line="240" w:lineRule="auto" w:before="122" w:after="0"/>
        <w:ind w:left="2721" w:right="0" w:hanging="340"/>
        <w:jc w:val="left"/>
        <w:rPr>
          <w:sz w:val="21"/>
        </w:rPr>
      </w:pPr>
      <w:r>
        <w:rPr>
          <w:sz w:val="21"/>
        </w:rPr>
        <w:t>order</w:t>
      </w:r>
      <w:r>
        <w:rPr>
          <w:spacing w:val="8"/>
          <w:sz w:val="21"/>
        </w:rPr>
        <w:t> </w:t>
      </w:r>
      <w:r>
        <w:rPr>
          <w:spacing w:val="-3"/>
          <w:sz w:val="21"/>
        </w:rPr>
        <w:t>that</w:t>
      </w:r>
      <w:r>
        <w:rPr>
          <w:spacing w:val="9"/>
          <w:sz w:val="21"/>
        </w:rPr>
        <w:t> </w:t>
      </w:r>
      <w:r>
        <w:rPr>
          <w:sz w:val="21"/>
        </w:rPr>
        <w:t>the</w:t>
      </w:r>
      <w:r>
        <w:rPr>
          <w:spacing w:val="9"/>
          <w:sz w:val="21"/>
        </w:rPr>
        <w:t> </w:t>
      </w:r>
      <w:r>
        <w:rPr>
          <w:sz w:val="21"/>
        </w:rPr>
        <w:t>parties</w:t>
      </w:r>
      <w:r>
        <w:rPr>
          <w:spacing w:val="9"/>
          <w:sz w:val="21"/>
        </w:rPr>
        <w:t> </w:t>
      </w:r>
      <w:r>
        <w:rPr>
          <w:sz w:val="21"/>
        </w:rPr>
        <w:t>bear</w:t>
      </w:r>
      <w:r>
        <w:rPr>
          <w:spacing w:val="9"/>
          <w:sz w:val="21"/>
        </w:rPr>
        <w:t> </w:t>
      </w:r>
      <w:r>
        <w:rPr>
          <w:sz w:val="21"/>
        </w:rPr>
        <w:t>costs</w:t>
      </w:r>
      <w:r>
        <w:rPr>
          <w:spacing w:val="9"/>
          <w:sz w:val="21"/>
        </w:rPr>
        <w:t> </w:t>
      </w:r>
      <w:r>
        <w:rPr>
          <w:sz w:val="21"/>
        </w:rPr>
        <w:t>as</w:t>
      </w:r>
      <w:r>
        <w:rPr>
          <w:spacing w:val="8"/>
          <w:sz w:val="21"/>
        </w:rPr>
        <w:t> </w:t>
      </w:r>
      <w:r>
        <w:rPr>
          <w:sz w:val="21"/>
        </w:rPr>
        <w:t>specified</w:t>
      </w:r>
      <w:r>
        <w:rPr>
          <w:spacing w:val="9"/>
          <w:sz w:val="21"/>
        </w:rPr>
        <w:t> </w:t>
      </w:r>
      <w:r>
        <w:rPr>
          <w:sz w:val="21"/>
        </w:rPr>
        <w:t>proportions</w:t>
      </w:r>
      <w:r>
        <w:rPr>
          <w:spacing w:val="9"/>
          <w:sz w:val="21"/>
        </w:rPr>
        <w:t> </w:t>
      </w:r>
      <w:r>
        <w:rPr>
          <w:sz w:val="21"/>
        </w:rPr>
        <w:t>of</w:t>
      </w:r>
      <w:r>
        <w:rPr>
          <w:spacing w:val="9"/>
          <w:sz w:val="21"/>
        </w:rPr>
        <w:t> </w:t>
      </w:r>
      <w:r>
        <w:rPr>
          <w:sz w:val="21"/>
        </w:rPr>
        <w:t>costs</w:t>
      </w:r>
    </w:p>
    <w:p>
      <w:pPr>
        <w:pStyle w:val="ListParagraph"/>
        <w:numPr>
          <w:ilvl w:val="2"/>
          <w:numId w:val="82"/>
        </w:numPr>
        <w:tabs>
          <w:tab w:pos="2721" w:val="left" w:leader="none"/>
          <w:tab w:pos="2722" w:val="left" w:leader="none"/>
        </w:tabs>
        <w:spacing w:line="240" w:lineRule="auto" w:before="124" w:after="0"/>
        <w:ind w:left="2721" w:right="0" w:hanging="340"/>
        <w:jc w:val="left"/>
        <w:rPr>
          <w:sz w:val="21"/>
        </w:rPr>
      </w:pPr>
      <w:r>
        <w:rPr>
          <w:spacing w:val="-3"/>
          <w:w w:val="105"/>
          <w:sz w:val="21"/>
        </w:rPr>
        <w:t>award </w:t>
      </w:r>
      <w:r>
        <w:rPr>
          <w:w w:val="105"/>
          <w:sz w:val="21"/>
        </w:rPr>
        <w:t>costs in a specified </w:t>
      </w:r>
      <w:r>
        <w:rPr>
          <w:spacing w:val="-3"/>
          <w:w w:val="105"/>
          <w:sz w:val="21"/>
        </w:rPr>
        <w:t>sum </w:t>
      </w:r>
      <w:r>
        <w:rPr>
          <w:w w:val="105"/>
          <w:sz w:val="21"/>
        </w:rPr>
        <w:t>or</w:t>
      </w:r>
      <w:r>
        <w:rPr>
          <w:spacing w:val="41"/>
          <w:w w:val="105"/>
          <w:sz w:val="21"/>
        </w:rPr>
        <w:t> </w:t>
      </w:r>
      <w:r>
        <w:rPr>
          <w:spacing w:val="-3"/>
          <w:w w:val="105"/>
          <w:sz w:val="21"/>
        </w:rPr>
        <w:t>amount</w:t>
      </w:r>
    </w:p>
    <w:p>
      <w:pPr>
        <w:pStyle w:val="ListParagraph"/>
        <w:numPr>
          <w:ilvl w:val="2"/>
          <w:numId w:val="82"/>
        </w:numPr>
        <w:tabs>
          <w:tab w:pos="2721" w:val="left" w:leader="none"/>
          <w:tab w:pos="2722" w:val="left" w:leader="none"/>
        </w:tabs>
        <w:spacing w:line="240" w:lineRule="auto" w:before="124" w:after="0"/>
        <w:ind w:left="2721" w:right="0" w:hanging="340"/>
        <w:jc w:val="left"/>
        <w:rPr>
          <w:sz w:val="21"/>
        </w:rPr>
      </w:pPr>
      <w:r>
        <w:rPr>
          <w:sz w:val="21"/>
        </w:rPr>
        <w:t>fix or cap </w:t>
      </w:r>
      <w:r>
        <w:rPr>
          <w:spacing w:val="-3"/>
          <w:sz w:val="21"/>
        </w:rPr>
        <w:t>recoverable </w:t>
      </w:r>
      <w:r>
        <w:rPr>
          <w:sz w:val="21"/>
        </w:rPr>
        <w:t>costs in</w:t>
      </w:r>
      <w:r>
        <w:rPr>
          <w:spacing w:val="7"/>
          <w:sz w:val="21"/>
        </w:rPr>
        <w:t> </w:t>
      </w:r>
      <w:r>
        <w:rPr>
          <w:spacing w:val="-3"/>
          <w:sz w:val="21"/>
        </w:rPr>
        <w:t>advance.</w:t>
      </w:r>
    </w:p>
    <w:p>
      <w:pPr>
        <w:pStyle w:val="ListParagraph"/>
        <w:numPr>
          <w:ilvl w:val="1"/>
          <w:numId w:val="82"/>
        </w:numPr>
        <w:tabs>
          <w:tab w:pos="2381" w:val="left" w:leader="none"/>
          <w:tab w:pos="2382" w:val="left" w:leader="none"/>
        </w:tabs>
        <w:spacing w:line="242" w:lineRule="auto" w:before="124" w:after="0"/>
        <w:ind w:left="2381" w:right="1826" w:hanging="794"/>
        <w:jc w:val="left"/>
        <w:rPr>
          <w:sz w:val="12"/>
        </w:rPr>
      </w:pPr>
      <w:r>
        <w:rPr>
          <w:sz w:val="21"/>
        </w:rPr>
        <w:t>The </w:t>
      </w:r>
      <w:r>
        <w:rPr>
          <w:spacing w:val="-3"/>
          <w:sz w:val="21"/>
        </w:rPr>
        <w:t>Civil Procedure </w:t>
      </w:r>
      <w:r>
        <w:rPr>
          <w:sz w:val="21"/>
        </w:rPr>
        <w:t>Act also </w:t>
      </w:r>
      <w:r>
        <w:rPr>
          <w:spacing w:val="-2"/>
          <w:sz w:val="21"/>
        </w:rPr>
        <w:t>places </w:t>
      </w:r>
      <w:r>
        <w:rPr>
          <w:sz w:val="21"/>
        </w:rPr>
        <w:t>an </w:t>
      </w:r>
      <w:r>
        <w:rPr>
          <w:spacing w:val="-3"/>
          <w:sz w:val="21"/>
        </w:rPr>
        <w:t>overarching obligation </w:t>
      </w:r>
      <w:r>
        <w:rPr>
          <w:sz w:val="21"/>
        </w:rPr>
        <w:t>on parties and their legal representatives </w:t>
      </w:r>
      <w:r>
        <w:rPr>
          <w:spacing w:val="-3"/>
          <w:sz w:val="21"/>
        </w:rPr>
        <w:t>to ensure that </w:t>
      </w:r>
      <w:r>
        <w:rPr>
          <w:sz w:val="21"/>
        </w:rPr>
        <w:t>costs </w:t>
      </w:r>
      <w:r>
        <w:rPr>
          <w:spacing w:val="-3"/>
          <w:sz w:val="21"/>
        </w:rPr>
        <w:t>are reasonable </w:t>
      </w:r>
      <w:r>
        <w:rPr>
          <w:sz w:val="21"/>
        </w:rPr>
        <w:t>and proportionate </w:t>
      </w:r>
      <w:r>
        <w:rPr>
          <w:spacing w:val="-3"/>
          <w:sz w:val="21"/>
        </w:rPr>
        <w:t>to </w:t>
      </w:r>
      <w:r>
        <w:rPr>
          <w:sz w:val="21"/>
        </w:rPr>
        <w:t>the complexity  or importance of the issues in </w:t>
      </w:r>
      <w:r>
        <w:rPr>
          <w:spacing w:val="-3"/>
          <w:sz w:val="21"/>
        </w:rPr>
        <w:t>dispute </w:t>
      </w:r>
      <w:r>
        <w:rPr>
          <w:sz w:val="21"/>
        </w:rPr>
        <w:t>and the </w:t>
      </w:r>
      <w:r>
        <w:rPr>
          <w:spacing w:val="-3"/>
          <w:sz w:val="21"/>
        </w:rPr>
        <w:t>amount </w:t>
      </w:r>
      <w:r>
        <w:rPr>
          <w:sz w:val="21"/>
        </w:rPr>
        <w:t>in</w:t>
      </w:r>
      <w:r>
        <w:rPr>
          <w:spacing w:val="41"/>
          <w:sz w:val="21"/>
        </w:rPr>
        <w:t> </w:t>
      </w:r>
      <w:r>
        <w:rPr>
          <w:spacing w:val="-5"/>
          <w:sz w:val="21"/>
        </w:rPr>
        <w:t>dispute.</w:t>
      </w:r>
      <w:r>
        <w:rPr>
          <w:spacing w:val="-5"/>
          <w:position w:val="7"/>
          <w:sz w:val="12"/>
        </w:rPr>
        <w:t>163</w:t>
      </w:r>
    </w:p>
    <w:p>
      <w:pPr>
        <w:pStyle w:val="ListParagraph"/>
        <w:numPr>
          <w:ilvl w:val="1"/>
          <w:numId w:val="82"/>
        </w:numPr>
        <w:tabs>
          <w:tab w:pos="2380" w:val="left" w:leader="none"/>
          <w:tab w:pos="2381" w:val="left" w:leader="none"/>
        </w:tabs>
        <w:spacing w:line="242" w:lineRule="auto" w:before="123" w:after="0"/>
        <w:ind w:left="2381" w:right="1588" w:hanging="794"/>
        <w:jc w:val="left"/>
        <w:rPr>
          <w:sz w:val="12"/>
        </w:rPr>
      </w:pPr>
      <w:r>
        <w:rPr>
          <w:spacing w:val="-3"/>
          <w:sz w:val="21"/>
        </w:rPr>
        <w:t>Ordinarily </w:t>
      </w:r>
      <w:r>
        <w:rPr>
          <w:sz w:val="21"/>
        </w:rPr>
        <w:t>in civil </w:t>
      </w:r>
      <w:r>
        <w:rPr>
          <w:spacing w:val="-3"/>
          <w:sz w:val="21"/>
        </w:rPr>
        <w:t>proceedings </w:t>
      </w:r>
      <w:r>
        <w:rPr>
          <w:sz w:val="21"/>
        </w:rPr>
        <w:t>costs </w:t>
      </w:r>
      <w:r>
        <w:rPr>
          <w:spacing w:val="-3"/>
          <w:sz w:val="21"/>
        </w:rPr>
        <w:t>follow </w:t>
      </w:r>
      <w:r>
        <w:rPr>
          <w:sz w:val="21"/>
        </w:rPr>
        <w:t>the </w:t>
      </w:r>
      <w:r>
        <w:rPr>
          <w:spacing w:val="-3"/>
          <w:sz w:val="21"/>
        </w:rPr>
        <w:t>event—that </w:t>
      </w:r>
      <w:r>
        <w:rPr>
          <w:sz w:val="21"/>
        </w:rPr>
        <w:t>is, the </w:t>
      </w:r>
      <w:r>
        <w:rPr>
          <w:spacing w:val="-3"/>
          <w:sz w:val="21"/>
        </w:rPr>
        <w:t>unsuccessful </w:t>
      </w:r>
      <w:r>
        <w:rPr>
          <w:sz w:val="21"/>
        </w:rPr>
        <w:t>party pays  their own costs and some of the costs of the other </w:t>
      </w:r>
      <w:r>
        <w:rPr>
          <w:spacing w:val="-3"/>
          <w:sz w:val="21"/>
        </w:rPr>
        <w:t>side. Until  </w:t>
      </w:r>
      <w:r>
        <w:rPr>
          <w:spacing w:val="-4"/>
          <w:sz w:val="21"/>
        </w:rPr>
        <w:t>recently,  </w:t>
      </w:r>
      <w:r>
        <w:rPr>
          <w:sz w:val="21"/>
        </w:rPr>
        <w:t>the </w:t>
      </w:r>
      <w:r>
        <w:rPr>
          <w:spacing w:val="-3"/>
          <w:sz w:val="21"/>
        </w:rPr>
        <w:t>unsuccessful  </w:t>
      </w:r>
      <w:r>
        <w:rPr>
          <w:sz w:val="21"/>
        </w:rPr>
        <w:t>party was </w:t>
      </w:r>
      <w:r>
        <w:rPr>
          <w:spacing w:val="-3"/>
          <w:sz w:val="21"/>
        </w:rPr>
        <w:t>usually required to </w:t>
      </w:r>
      <w:r>
        <w:rPr>
          <w:spacing w:val="-2"/>
          <w:sz w:val="21"/>
        </w:rPr>
        <w:t>pay </w:t>
      </w:r>
      <w:r>
        <w:rPr>
          <w:sz w:val="21"/>
        </w:rPr>
        <w:t>the </w:t>
      </w:r>
      <w:r>
        <w:rPr>
          <w:spacing w:val="-3"/>
          <w:sz w:val="21"/>
        </w:rPr>
        <w:t>successful </w:t>
      </w:r>
      <w:r>
        <w:rPr>
          <w:sz w:val="21"/>
        </w:rPr>
        <w:t>party’s costs on a ‘party and party’ basis, defined by rules of the </w:t>
      </w:r>
      <w:r>
        <w:rPr>
          <w:spacing w:val="-3"/>
          <w:sz w:val="21"/>
        </w:rPr>
        <w:t>Supreme Court  </w:t>
      </w:r>
      <w:r>
        <w:rPr>
          <w:sz w:val="21"/>
        </w:rPr>
        <w:t>and </w:t>
      </w:r>
      <w:r>
        <w:rPr>
          <w:spacing w:val="-3"/>
          <w:sz w:val="21"/>
        </w:rPr>
        <w:t>County</w:t>
      </w:r>
      <w:r>
        <w:rPr>
          <w:spacing w:val="41"/>
          <w:sz w:val="21"/>
        </w:rPr>
        <w:t> </w:t>
      </w:r>
      <w:r>
        <w:rPr>
          <w:spacing w:val="-3"/>
          <w:sz w:val="21"/>
        </w:rPr>
        <w:t>Court  </w:t>
      </w:r>
      <w:r>
        <w:rPr>
          <w:sz w:val="21"/>
        </w:rPr>
        <w:t>as </w:t>
      </w:r>
      <w:r>
        <w:rPr>
          <w:spacing w:val="-6"/>
          <w:sz w:val="21"/>
        </w:rPr>
        <w:t>‘all  </w:t>
      </w:r>
      <w:r>
        <w:rPr>
          <w:sz w:val="21"/>
        </w:rPr>
        <w:t>costs necessary or proper  </w:t>
      </w:r>
      <w:r>
        <w:rPr>
          <w:spacing w:val="-3"/>
          <w:sz w:val="21"/>
        </w:rPr>
        <w:t>for  </w:t>
      </w:r>
      <w:r>
        <w:rPr>
          <w:sz w:val="21"/>
        </w:rPr>
        <w:t>the attainment of </w:t>
      </w:r>
      <w:r>
        <w:rPr>
          <w:spacing w:val="-3"/>
          <w:sz w:val="21"/>
        </w:rPr>
        <w:t>justice</w:t>
      </w:r>
      <w:r>
        <w:rPr>
          <w:spacing w:val="41"/>
          <w:sz w:val="21"/>
        </w:rPr>
        <w:t> </w:t>
      </w:r>
      <w:r>
        <w:rPr>
          <w:sz w:val="21"/>
        </w:rPr>
        <w:t>or </w:t>
      </w:r>
      <w:r>
        <w:rPr>
          <w:spacing w:val="-3"/>
          <w:sz w:val="21"/>
        </w:rPr>
        <w:t>for  enforcing  </w:t>
      </w:r>
      <w:r>
        <w:rPr>
          <w:sz w:val="21"/>
        </w:rPr>
        <w:t>or </w:t>
      </w:r>
      <w:r>
        <w:rPr>
          <w:spacing w:val="-3"/>
          <w:sz w:val="21"/>
        </w:rPr>
        <w:t>defending  </w:t>
      </w:r>
      <w:r>
        <w:rPr>
          <w:sz w:val="21"/>
        </w:rPr>
        <w:t>the rights of the </w:t>
      </w:r>
      <w:r>
        <w:rPr>
          <w:spacing w:val="-4"/>
          <w:sz w:val="21"/>
        </w:rPr>
        <w:t>party’,</w:t>
      </w:r>
      <w:r>
        <w:rPr>
          <w:spacing w:val="-4"/>
          <w:position w:val="7"/>
          <w:sz w:val="12"/>
        </w:rPr>
        <w:t>164   </w:t>
      </w:r>
      <w:r>
        <w:rPr>
          <w:sz w:val="21"/>
        </w:rPr>
        <w:t>and   no </w:t>
      </w:r>
      <w:r>
        <w:rPr>
          <w:spacing w:val="-3"/>
          <w:sz w:val="21"/>
        </w:rPr>
        <w:t>more. Recovering </w:t>
      </w:r>
      <w:r>
        <w:rPr>
          <w:sz w:val="21"/>
        </w:rPr>
        <w:t>party and party costs </w:t>
      </w:r>
      <w:r>
        <w:rPr>
          <w:spacing w:val="-3"/>
          <w:sz w:val="21"/>
        </w:rPr>
        <w:t>from </w:t>
      </w:r>
      <w:r>
        <w:rPr>
          <w:sz w:val="21"/>
        </w:rPr>
        <w:t>the </w:t>
      </w:r>
      <w:r>
        <w:rPr>
          <w:spacing w:val="-3"/>
          <w:sz w:val="21"/>
        </w:rPr>
        <w:t>unsuccessful </w:t>
      </w:r>
      <w:r>
        <w:rPr>
          <w:sz w:val="21"/>
        </w:rPr>
        <w:t>party did </w:t>
      </w:r>
      <w:r>
        <w:rPr>
          <w:spacing w:val="-2"/>
          <w:sz w:val="21"/>
        </w:rPr>
        <w:t>not </w:t>
      </w:r>
      <w:r>
        <w:rPr>
          <w:spacing w:val="-3"/>
          <w:sz w:val="21"/>
        </w:rPr>
        <w:t>cover </w:t>
      </w:r>
      <w:r>
        <w:rPr>
          <w:sz w:val="21"/>
        </w:rPr>
        <w:t>everything paid by the </w:t>
      </w:r>
      <w:r>
        <w:rPr>
          <w:spacing w:val="-3"/>
          <w:sz w:val="21"/>
        </w:rPr>
        <w:t>successful </w:t>
      </w:r>
      <w:r>
        <w:rPr>
          <w:sz w:val="21"/>
        </w:rPr>
        <w:t>party </w:t>
      </w:r>
      <w:r>
        <w:rPr>
          <w:spacing w:val="-3"/>
          <w:sz w:val="21"/>
        </w:rPr>
        <w:t>to </w:t>
      </w:r>
      <w:r>
        <w:rPr>
          <w:sz w:val="21"/>
        </w:rPr>
        <w:t>their legal representatives. A party </w:t>
      </w:r>
      <w:r>
        <w:rPr>
          <w:spacing w:val="-3"/>
          <w:sz w:val="21"/>
        </w:rPr>
        <w:t>could </w:t>
      </w:r>
      <w:r>
        <w:rPr>
          <w:sz w:val="21"/>
        </w:rPr>
        <w:t>also be ordered </w:t>
      </w:r>
      <w:r>
        <w:rPr>
          <w:spacing w:val="-3"/>
          <w:sz w:val="21"/>
        </w:rPr>
        <w:t>to </w:t>
      </w:r>
      <w:r>
        <w:rPr>
          <w:spacing w:val="-2"/>
          <w:sz w:val="21"/>
        </w:rPr>
        <w:t>pay </w:t>
      </w:r>
      <w:r>
        <w:rPr>
          <w:sz w:val="21"/>
        </w:rPr>
        <w:t>the other party’s costs on a </w:t>
      </w:r>
      <w:r>
        <w:rPr>
          <w:spacing w:val="-3"/>
          <w:sz w:val="21"/>
        </w:rPr>
        <w:t>‘solicitor </w:t>
      </w:r>
      <w:r>
        <w:rPr>
          <w:sz w:val="21"/>
        </w:rPr>
        <w:t>and client’ basis, a </w:t>
      </w:r>
      <w:r>
        <w:rPr>
          <w:spacing w:val="-3"/>
          <w:sz w:val="21"/>
        </w:rPr>
        <w:t>higher measure </w:t>
      </w:r>
      <w:r>
        <w:rPr>
          <w:sz w:val="21"/>
        </w:rPr>
        <w:t>of costs </w:t>
      </w:r>
      <w:r>
        <w:rPr>
          <w:spacing w:val="-3"/>
          <w:sz w:val="21"/>
        </w:rPr>
        <w:t>that </w:t>
      </w:r>
      <w:r>
        <w:rPr>
          <w:sz w:val="21"/>
        </w:rPr>
        <w:t>was defined as </w:t>
      </w:r>
      <w:r>
        <w:rPr>
          <w:spacing w:val="-6"/>
          <w:sz w:val="21"/>
        </w:rPr>
        <w:t>‘all </w:t>
      </w:r>
      <w:r>
        <w:rPr>
          <w:sz w:val="21"/>
        </w:rPr>
        <w:t>costs </w:t>
      </w:r>
      <w:r>
        <w:rPr>
          <w:spacing w:val="-3"/>
          <w:sz w:val="21"/>
        </w:rPr>
        <w:t>reasonably incurred </w:t>
      </w:r>
      <w:r>
        <w:rPr>
          <w:sz w:val="21"/>
        </w:rPr>
        <w:t>and of </w:t>
      </w:r>
      <w:r>
        <w:rPr>
          <w:spacing w:val="-3"/>
          <w:sz w:val="21"/>
        </w:rPr>
        <w:t>reasonable</w:t>
      </w:r>
      <w:r>
        <w:rPr>
          <w:spacing w:val="24"/>
          <w:sz w:val="21"/>
        </w:rPr>
        <w:t> </w:t>
      </w:r>
      <w:r>
        <w:rPr>
          <w:spacing w:val="-6"/>
          <w:sz w:val="21"/>
        </w:rPr>
        <w:t>amount’.</w:t>
      </w:r>
      <w:r>
        <w:rPr>
          <w:spacing w:val="-6"/>
          <w:position w:val="7"/>
          <w:sz w:val="12"/>
        </w:rPr>
        <w:t>165</w:t>
      </w:r>
    </w:p>
    <w:p>
      <w:pPr>
        <w:pStyle w:val="ListParagraph"/>
        <w:numPr>
          <w:ilvl w:val="1"/>
          <w:numId w:val="82"/>
        </w:numPr>
        <w:tabs>
          <w:tab w:pos="2380" w:val="left" w:leader="none"/>
          <w:tab w:pos="2381" w:val="left" w:leader="none"/>
        </w:tabs>
        <w:spacing w:line="242" w:lineRule="auto" w:before="129" w:after="0"/>
        <w:ind w:left="2381" w:right="1713" w:hanging="794"/>
        <w:jc w:val="left"/>
        <w:rPr>
          <w:sz w:val="12"/>
        </w:rPr>
      </w:pPr>
      <w:r>
        <w:rPr>
          <w:spacing w:val="-2"/>
          <w:w w:val="105"/>
          <w:sz w:val="21"/>
        </w:rPr>
        <w:t>Recent </w:t>
      </w:r>
      <w:r>
        <w:rPr>
          <w:w w:val="105"/>
          <w:sz w:val="21"/>
        </w:rPr>
        <w:t>amendments </w:t>
      </w:r>
      <w:r>
        <w:rPr>
          <w:spacing w:val="-3"/>
          <w:w w:val="105"/>
          <w:sz w:val="21"/>
        </w:rPr>
        <w:t>to </w:t>
      </w:r>
      <w:r>
        <w:rPr>
          <w:w w:val="105"/>
          <w:sz w:val="21"/>
        </w:rPr>
        <w:t>the </w:t>
      </w:r>
      <w:r>
        <w:rPr>
          <w:i/>
          <w:w w:val="105"/>
          <w:sz w:val="21"/>
        </w:rPr>
        <w:t>Supreme Court (General Civil Procedure) Rules 2005 </w:t>
      </w:r>
      <w:r>
        <w:rPr>
          <w:w w:val="105"/>
          <w:sz w:val="21"/>
        </w:rPr>
        <w:t>(Vic) </w:t>
      </w:r>
      <w:r>
        <w:rPr>
          <w:spacing w:val="-3"/>
          <w:w w:val="105"/>
          <w:sz w:val="21"/>
        </w:rPr>
        <w:t>have replaced references to </w:t>
      </w:r>
      <w:r>
        <w:rPr>
          <w:w w:val="105"/>
          <w:sz w:val="21"/>
        </w:rPr>
        <w:t>costs on the party and party basis and the </w:t>
      </w:r>
      <w:r>
        <w:rPr>
          <w:spacing w:val="-3"/>
          <w:w w:val="105"/>
          <w:sz w:val="21"/>
        </w:rPr>
        <w:t>solicitor </w:t>
      </w:r>
      <w:r>
        <w:rPr>
          <w:w w:val="105"/>
          <w:sz w:val="21"/>
        </w:rPr>
        <w:t>and </w:t>
      </w:r>
      <w:r>
        <w:rPr>
          <w:spacing w:val="-3"/>
          <w:w w:val="105"/>
          <w:sz w:val="21"/>
        </w:rPr>
        <w:t>client </w:t>
      </w:r>
      <w:r>
        <w:rPr>
          <w:w w:val="105"/>
          <w:sz w:val="21"/>
        </w:rPr>
        <w:t>basis with </w:t>
      </w:r>
      <w:r>
        <w:rPr>
          <w:spacing w:val="-3"/>
          <w:w w:val="105"/>
          <w:sz w:val="21"/>
        </w:rPr>
        <w:t>‘costs </w:t>
      </w:r>
      <w:r>
        <w:rPr>
          <w:w w:val="105"/>
          <w:sz w:val="21"/>
        </w:rPr>
        <w:t>on a standard </w:t>
      </w:r>
      <w:r>
        <w:rPr>
          <w:spacing w:val="-5"/>
          <w:w w:val="105"/>
          <w:sz w:val="21"/>
        </w:rPr>
        <w:t>basis’, </w:t>
      </w:r>
      <w:r>
        <w:rPr>
          <w:spacing w:val="-3"/>
          <w:w w:val="105"/>
          <w:sz w:val="21"/>
        </w:rPr>
        <w:t>meaning </w:t>
      </w:r>
      <w:r>
        <w:rPr>
          <w:spacing w:val="-6"/>
          <w:w w:val="105"/>
          <w:sz w:val="21"/>
        </w:rPr>
        <w:t>‘all </w:t>
      </w:r>
      <w:r>
        <w:rPr>
          <w:w w:val="105"/>
          <w:sz w:val="21"/>
        </w:rPr>
        <w:t>costs </w:t>
      </w:r>
      <w:r>
        <w:rPr>
          <w:spacing w:val="-3"/>
          <w:w w:val="105"/>
          <w:sz w:val="21"/>
        </w:rPr>
        <w:t>reasonably incurred </w:t>
      </w:r>
      <w:r>
        <w:rPr>
          <w:w w:val="105"/>
          <w:sz w:val="21"/>
        </w:rPr>
        <w:t>and of </w:t>
      </w:r>
      <w:r>
        <w:rPr>
          <w:spacing w:val="-3"/>
          <w:w w:val="105"/>
          <w:sz w:val="21"/>
        </w:rPr>
        <w:t>reasonable </w:t>
      </w:r>
      <w:r>
        <w:rPr>
          <w:spacing w:val="-5"/>
          <w:w w:val="105"/>
          <w:sz w:val="21"/>
        </w:rPr>
        <w:t>amount’.</w:t>
      </w:r>
      <w:r>
        <w:rPr>
          <w:spacing w:val="-5"/>
          <w:w w:val="105"/>
          <w:position w:val="7"/>
          <w:sz w:val="12"/>
        </w:rPr>
        <w:t>166 </w:t>
      </w:r>
      <w:r>
        <w:rPr>
          <w:w w:val="105"/>
          <w:sz w:val="21"/>
        </w:rPr>
        <w:t>This definition was </w:t>
      </w:r>
      <w:r>
        <w:rPr>
          <w:spacing w:val="-3"/>
          <w:w w:val="105"/>
          <w:sz w:val="21"/>
        </w:rPr>
        <w:t>previously </w:t>
      </w:r>
      <w:r>
        <w:rPr>
          <w:w w:val="105"/>
          <w:sz w:val="21"/>
        </w:rPr>
        <w:t>used </w:t>
      </w:r>
      <w:r>
        <w:rPr>
          <w:spacing w:val="-3"/>
          <w:w w:val="105"/>
          <w:sz w:val="21"/>
        </w:rPr>
        <w:t>for </w:t>
      </w:r>
      <w:r>
        <w:rPr>
          <w:w w:val="105"/>
          <w:sz w:val="21"/>
        </w:rPr>
        <w:t>costs on the </w:t>
      </w:r>
      <w:r>
        <w:rPr>
          <w:spacing w:val="-3"/>
          <w:w w:val="105"/>
          <w:sz w:val="21"/>
        </w:rPr>
        <w:t>solicitor </w:t>
      </w:r>
      <w:r>
        <w:rPr>
          <w:w w:val="105"/>
          <w:sz w:val="21"/>
        </w:rPr>
        <w:t>and </w:t>
      </w:r>
      <w:r>
        <w:rPr>
          <w:spacing w:val="-3"/>
          <w:w w:val="105"/>
          <w:sz w:val="21"/>
        </w:rPr>
        <w:t>client </w:t>
      </w:r>
      <w:r>
        <w:rPr>
          <w:spacing w:val="-4"/>
          <w:w w:val="105"/>
          <w:sz w:val="21"/>
        </w:rPr>
        <w:t>basis.</w:t>
      </w:r>
      <w:r>
        <w:rPr>
          <w:spacing w:val="-4"/>
          <w:w w:val="105"/>
          <w:position w:val="7"/>
          <w:sz w:val="12"/>
        </w:rPr>
        <w:t>167  </w:t>
      </w:r>
      <w:r>
        <w:rPr>
          <w:spacing w:val="-3"/>
          <w:w w:val="105"/>
          <w:sz w:val="21"/>
        </w:rPr>
        <w:t>References </w:t>
      </w:r>
      <w:r>
        <w:rPr>
          <w:w w:val="105"/>
          <w:sz w:val="21"/>
        </w:rPr>
        <w:t>in the </w:t>
      </w:r>
      <w:r>
        <w:rPr>
          <w:i/>
          <w:spacing w:val="-3"/>
          <w:w w:val="105"/>
          <w:sz w:val="21"/>
        </w:rPr>
        <w:t>County </w:t>
      </w:r>
      <w:r>
        <w:rPr>
          <w:i/>
          <w:w w:val="105"/>
          <w:sz w:val="21"/>
        </w:rPr>
        <w:t>Court Civil Procedure Rules 2008 </w:t>
      </w:r>
      <w:r>
        <w:rPr>
          <w:w w:val="105"/>
          <w:sz w:val="21"/>
        </w:rPr>
        <w:t>(Vic) </w:t>
      </w:r>
      <w:r>
        <w:rPr>
          <w:spacing w:val="-3"/>
          <w:w w:val="105"/>
          <w:sz w:val="21"/>
        </w:rPr>
        <w:t>to </w:t>
      </w:r>
      <w:r>
        <w:rPr>
          <w:w w:val="105"/>
          <w:sz w:val="21"/>
        </w:rPr>
        <w:t>costs on the party and party basis and the </w:t>
      </w:r>
      <w:r>
        <w:rPr>
          <w:spacing w:val="-3"/>
          <w:w w:val="105"/>
          <w:sz w:val="21"/>
        </w:rPr>
        <w:t>solicitor </w:t>
      </w:r>
      <w:r>
        <w:rPr>
          <w:w w:val="105"/>
          <w:sz w:val="21"/>
        </w:rPr>
        <w:t>and </w:t>
      </w:r>
      <w:r>
        <w:rPr>
          <w:spacing w:val="-3"/>
          <w:w w:val="105"/>
          <w:sz w:val="21"/>
        </w:rPr>
        <w:t>client </w:t>
      </w:r>
      <w:r>
        <w:rPr>
          <w:w w:val="105"/>
          <w:sz w:val="21"/>
        </w:rPr>
        <w:t>basis </w:t>
      </w:r>
      <w:r>
        <w:rPr>
          <w:spacing w:val="-3"/>
          <w:w w:val="105"/>
          <w:sz w:val="21"/>
        </w:rPr>
        <w:t>remain </w:t>
      </w:r>
      <w:r>
        <w:rPr>
          <w:w w:val="105"/>
          <w:sz w:val="21"/>
        </w:rPr>
        <w:t>but at the time of writing the </w:t>
      </w:r>
      <w:r>
        <w:rPr>
          <w:spacing w:val="-3"/>
          <w:w w:val="105"/>
          <w:sz w:val="21"/>
        </w:rPr>
        <w:t>County Court </w:t>
      </w:r>
      <w:r>
        <w:rPr>
          <w:w w:val="105"/>
          <w:sz w:val="21"/>
        </w:rPr>
        <w:t>Rules </w:t>
      </w:r>
      <w:r>
        <w:rPr>
          <w:spacing w:val="-3"/>
          <w:w w:val="105"/>
          <w:sz w:val="21"/>
        </w:rPr>
        <w:t>Committee </w:t>
      </w:r>
      <w:r>
        <w:rPr>
          <w:w w:val="105"/>
          <w:sz w:val="21"/>
        </w:rPr>
        <w:t>was </w:t>
      </w:r>
      <w:r>
        <w:rPr>
          <w:spacing w:val="-3"/>
          <w:w w:val="105"/>
          <w:sz w:val="21"/>
        </w:rPr>
        <w:t>considering </w:t>
      </w:r>
      <w:r>
        <w:rPr>
          <w:w w:val="105"/>
          <w:sz w:val="21"/>
        </w:rPr>
        <w:t>whether </w:t>
      </w:r>
      <w:r>
        <w:rPr>
          <w:spacing w:val="-3"/>
          <w:w w:val="105"/>
          <w:sz w:val="21"/>
        </w:rPr>
        <w:t>references to </w:t>
      </w:r>
      <w:r>
        <w:rPr>
          <w:w w:val="105"/>
          <w:sz w:val="21"/>
        </w:rPr>
        <w:t>these </w:t>
      </w:r>
      <w:r>
        <w:rPr>
          <w:spacing w:val="-3"/>
          <w:w w:val="105"/>
          <w:sz w:val="21"/>
        </w:rPr>
        <w:t>measures </w:t>
      </w:r>
      <w:r>
        <w:rPr>
          <w:w w:val="105"/>
          <w:sz w:val="21"/>
        </w:rPr>
        <w:t>of costs should be</w:t>
      </w:r>
      <w:r>
        <w:rPr>
          <w:spacing w:val="28"/>
          <w:w w:val="105"/>
          <w:sz w:val="21"/>
        </w:rPr>
        <w:t> </w:t>
      </w:r>
      <w:r>
        <w:rPr>
          <w:spacing w:val="-4"/>
          <w:w w:val="105"/>
          <w:sz w:val="21"/>
        </w:rPr>
        <w:t>amended.</w:t>
      </w:r>
      <w:r>
        <w:rPr>
          <w:spacing w:val="-4"/>
          <w:w w:val="105"/>
          <w:position w:val="7"/>
          <w:sz w:val="12"/>
        </w:rPr>
        <w:t>168</w:t>
      </w:r>
    </w:p>
    <w:p>
      <w:pPr>
        <w:pStyle w:val="BodyText"/>
        <w:spacing w:before="5"/>
        <w:rPr>
          <w:sz w:val="27"/>
        </w:rPr>
      </w:pPr>
    </w:p>
    <w:p>
      <w:pPr>
        <w:pStyle w:val="Heading6"/>
      </w:pPr>
      <w:r>
        <w:rPr>
          <w:w w:val="115"/>
        </w:rPr>
        <w:t>Costs orders in family provision proceedings</w:t>
      </w:r>
    </w:p>
    <w:p>
      <w:pPr>
        <w:pStyle w:val="ListParagraph"/>
        <w:numPr>
          <w:ilvl w:val="1"/>
          <w:numId w:val="82"/>
        </w:numPr>
        <w:tabs>
          <w:tab w:pos="2380" w:val="left" w:leader="none"/>
          <w:tab w:pos="2381" w:val="left" w:leader="none"/>
        </w:tabs>
        <w:spacing w:line="242" w:lineRule="auto" w:before="151" w:after="0"/>
        <w:ind w:left="2381" w:right="1938" w:hanging="794"/>
        <w:jc w:val="left"/>
        <w:rPr>
          <w:sz w:val="21"/>
        </w:rPr>
      </w:pPr>
      <w:r>
        <w:rPr>
          <w:sz w:val="21"/>
        </w:rPr>
        <w:t>The </w:t>
      </w:r>
      <w:r>
        <w:rPr>
          <w:spacing w:val="-3"/>
          <w:sz w:val="21"/>
        </w:rPr>
        <w:t>Supreme Court </w:t>
      </w:r>
      <w:r>
        <w:rPr>
          <w:sz w:val="21"/>
        </w:rPr>
        <w:t>of Victoria  </w:t>
      </w:r>
      <w:r>
        <w:rPr>
          <w:spacing w:val="-2"/>
          <w:sz w:val="21"/>
        </w:rPr>
        <w:t>has  </w:t>
      </w:r>
      <w:r>
        <w:rPr>
          <w:spacing w:val="-3"/>
          <w:sz w:val="21"/>
        </w:rPr>
        <w:t>noted  that,  </w:t>
      </w:r>
      <w:r>
        <w:rPr>
          <w:spacing w:val="-4"/>
          <w:sz w:val="21"/>
        </w:rPr>
        <w:t>‘in  </w:t>
      </w:r>
      <w:r>
        <w:rPr>
          <w:spacing w:val="-3"/>
          <w:sz w:val="21"/>
        </w:rPr>
        <w:t>applications  </w:t>
      </w:r>
      <w:r>
        <w:rPr>
          <w:sz w:val="21"/>
        </w:rPr>
        <w:t>under  Part  </w:t>
      </w:r>
      <w:r>
        <w:rPr>
          <w:spacing w:val="-5"/>
          <w:sz w:val="21"/>
        </w:rPr>
        <w:t>IV,  </w:t>
      </w:r>
      <w:r>
        <w:rPr>
          <w:sz w:val="21"/>
        </w:rPr>
        <w:t>orders </w:t>
      </w:r>
      <w:r>
        <w:rPr>
          <w:spacing w:val="-3"/>
          <w:sz w:val="21"/>
        </w:rPr>
        <w:t>for</w:t>
      </w:r>
      <w:r>
        <w:rPr>
          <w:spacing w:val="17"/>
          <w:sz w:val="21"/>
        </w:rPr>
        <w:t> </w:t>
      </w:r>
      <w:r>
        <w:rPr>
          <w:sz w:val="21"/>
        </w:rPr>
        <w:t>costs</w:t>
      </w:r>
      <w:r>
        <w:rPr>
          <w:spacing w:val="17"/>
          <w:sz w:val="21"/>
        </w:rPr>
        <w:t> </w:t>
      </w:r>
      <w:r>
        <w:rPr>
          <w:sz w:val="21"/>
        </w:rPr>
        <w:t>very</w:t>
      </w:r>
      <w:r>
        <w:rPr>
          <w:spacing w:val="18"/>
          <w:sz w:val="21"/>
        </w:rPr>
        <w:t> </w:t>
      </w:r>
      <w:r>
        <w:rPr>
          <w:sz w:val="21"/>
        </w:rPr>
        <w:t>often</w:t>
      </w:r>
      <w:r>
        <w:rPr>
          <w:spacing w:val="17"/>
          <w:sz w:val="21"/>
        </w:rPr>
        <w:t> </w:t>
      </w:r>
      <w:r>
        <w:rPr>
          <w:sz w:val="21"/>
        </w:rPr>
        <w:t>depart</w:t>
      </w:r>
      <w:r>
        <w:rPr>
          <w:spacing w:val="18"/>
          <w:sz w:val="21"/>
        </w:rPr>
        <w:t> </w:t>
      </w:r>
      <w:r>
        <w:rPr>
          <w:spacing w:val="-3"/>
          <w:sz w:val="21"/>
        </w:rPr>
        <w:t>from</w:t>
      </w:r>
      <w:r>
        <w:rPr>
          <w:spacing w:val="17"/>
          <w:sz w:val="21"/>
        </w:rPr>
        <w:t> </w:t>
      </w:r>
      <w:r>
        <w:rPr>
          <w:sz w:val="21"/>
        </w:rPr>
        <w:t>the</w:t>
      </w:r>
      <w:r>
        <w:rPr>
          <w:spacing w:val="17"/>
          <w:sz w:val="21"/>
        </w:rPr>
        <w:t> </w:t>
      </w:r>
      <w:r>
        <w:rPr>
          <w:sz w:val="21"/>
        </w:rPr>
        <w:t>ordinary</w:t>
      </w:r>
      <w:r>
        <w:rPr>
          <w:spacing w:val="18"/>
          <w:sz w:val="21"/>
        </w:rPr>
        <w:t> </w:t>
      </w:r>
      <w:r>
        <w:rPr>
          <w:sz w:val="21"/>
        </w:rPr>
        <w:t>rule</w:t>
      </w:r>
      <w:r>
        <w:rPr>
          <w:spacing w:val="17"/>
          <w:sz w:val="21"/>
        </w:rPr>
        <w:t> </w:t>
      </w:r>
      <w:r>
        <w:rPr>
          <w:sz w:val="21"/>
        </w:rPr>
        <w:t>applicable</w:t>
      </w:r>
      <w:r>
        <w:rPr>
          <w:spacing w:val="18"/>
          <w:sz w:val="21"/>
        </w:rPr>
        <w:t> </w:t>
      </w:r>
      <w:r>
        <w:rPr>
          <w:sz w:val="21"/>
        </w:rPr>
        <w:t>in</w:t>
      </w:r>
      <w:r>
        <w:rPr>
          <w:spacing w:val="17"/>
          <w:sz w:val="21"/>
        </w:rPr>
        <w:t> </w:t>
      </w:r>
      <w:r>
        <w:rPr>
          <w:sz w:val="21"/>
        </w:rPr>
        <w:t>civil</w:t>
      </w:r>
      <w:r>
        <w:rPr>
          <w:spacing w:val="17"/>
          <w:sz w:val="21"/>
        </w:rPr>
        <w:t> </w:t>
      </w:r>
      <w:r>
        <w:rPr>
          <w:spacing w:val="-6"/>
          <w:sz w:val="21"/>
        </w:rPr>
        <w:t>litigation’.</w:t>
      </w:r>
      <w:r>
        <w:rPr>
          <w:spacing w:val="-6"/>
          <w:position w:val="7"/>
          <w:sz w:val="12"/>
        </w:rPr>
        <w:t>169</w:t>
      </w:r>
      <w:r>
        <w:rPr>
          <w:spacing w:val="-3"/>
          <w:position w:val="7"/>
          <w:sz w:val="12"/>
        </w:rPr>
        <w:t> </w:t>
      </w:r>
      <w:r>
        <w:rPr>
          <w:spacing w:val="-2"/>
          <w:sz w:val="21"/>
        </w:rPr>
        <w:t>Rather</w:t>
      </w:r>
    </w:p>
    <w:p>
      <w:pPr>
        <w:pStyle w:val="BodyText"/>
        <w:spacing w:line="242" w:lineRule="auto" w:before="2"/>
        <w:ind w:left="2381" w:right="2010"/>
      </w:pPr>
      <w:r>
        <w:rPr>
          <w:spacing w:val="-3"/>
        </w:rPr>
        <w:t>than </w:t>
      </w:r>
      <w:r>
        <w:rPr/>
        <w:t>the costs rules applied in other civil </w:t>
      </w:r>
      <w:r>
        <w:rPr>
          <w:spacing w:val="-3"/>
        </w:rPr>
        <w:t>proceedings, </w:t>
      </w:r>
      <w:r>
        <w:rPr/>
        <w:t>special costs rules apply in </w:t>
      </w:r>
      <w:r>
        <w:rPr>
          <w:spacing w:val="-3"/>
        </w:rPr>
        <w:t>family provision proceedings. </w:t>
      </w:r>
      <w:r>
        <w:rPr/>
        <w:t>The </w:t>
      </w:r>
      <w:r>
        <w:rPr>
          <w:spacing w:val="-3"/>
        </w:rPr>
        <w:t>Administration </w:t>
      </w:r>
      <w:r>
        <w:rPr/>
        <w:t>and </w:t>
      </w:r>
      <w:r>
        <w:rPr>
          <w:spacing w:val="-3"/>
        </w:rPr>
        <w:t>Probate </w:t>
      </w:r>
      <w:r>
        <w:rPr/>
        <w:t>Act specifies </w:t>
      </w:r>
      <w:r>
        <w:rPr>
          <w:spacing w:val="-3"/>
        </w:rPr>
        <w:t>that, </w:t>
      </w:r>
      <w:r>
        <w:rPr/>
        <w:t>in </w:t>
      </w:r>
      <w:r>
        <w:rPr>
          <w:spacing w:val="-3"/>
        </w:rPr>
        <w:t>family provision proceedings, </w:t>
      </w:r>
      <w:r>
        <w:rPr/>
        <w:t>the court</w:t>
      </w:r>
      <w:r>
        <w:rPr>
          <w:spacing w:val="42"/>
        </w:rPr>
        <w:t> </w:t>
      </w:r>
      <w:r>
        <w:rPr/>
        <w:t>may:</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7"/>
        </w:rPr>
      </w:pPr>
      <w:r>
        <w:rPr/>
        <w:pict>
          <v:line style="position:absolute;mso-position-horizontal-relative:page;mso-position-vertical-relative:paragraph;z-index:7256;mso-wrap-distance-left:0;mso-wrap-distance-right:0" from="79.370102pt,19.232384pt" to="515.905102pt,19.232384pt" stroked="true" strokeweight="1pt" strokecolor="#f9ceca">
            <v:stroke dashstyle="solid"/>
            <w10:wrap type="topAndBottom"/>
          </v:line>
        </w:pict>
      </w:r>
    </w:p>
    <w:p>
      <w:pPr>
        <w:pStyle w:val="BodyText"/>
        <w:spacing w:before="8"/>
        <w:rPr>
          <w:sz w:val="5"/>
        </w:rPr>
      </w:pPr>
    </w:p>
    <w:p>
      <w:pPr>
        <w:spacing w:after="0"/>
        <w:rPr>
          <w:sz w:val="5"/>
        </w:rPr>
        <w:sectPr>
          <w:pgSz w:w="11910" w:h="16840"/>
          <w:pgMar w:header="550" w:footer="0" w:top="1560" w:bottom="280" w:left="0" w:right="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9"/>
        <w:rPr>
          <w:sz w:val="28"/>
        </w:rPr>
      </w:pPr>
    </w:p>
    <w:p>
      <w:pPr>
        <w:spacing w:before="0"/>
        <w:ind w:left="720" w:right="0" w:firstLine="0"/>
        <w:jc w:val="left"/>
        <w:rPr>
          <w:b/>
          <w:sz w:val="24"/>
        </w:rPr>
      </w:pPr>
      <w:r>
        <w:rPr>
          <w:b/>
          <w:color w:val="EC5A4F"/>
          <w:spacing w:val="-8"/>
          <w:w w:val="110"/>
          <w:sz w:val="24"/>
        </w:rPr>
        <w:t>116</w:t>
      </w:r>
    </w:p>
    <w:p>
      <w:pPr>
        <w:pStyle w:val="ListParagraph"/>
        <w:numPr>
          <w:ilvl w:val="0"/>
          <w:numId w:val="87"/>
        </w:numPr>
        <w:tabs>
          <w:tab w:pos="1243" w:val="left" w:leader="none"/>
          <w:tab w:pos="1244" w:val="left" w:leader="none"/>
        </w:tabs>
        <w:spacing w:line="240" w:lineRule="auto" w:before="48" w:after="0"/>
        <w:ind w:left="1243" w:right="0" w:hanging="793"/>
        <w:jc w:val="left"/>
        <w:rPr>
          <w:sz w:val="13"/>
        </w:rPr>
      </w:pPr>
      <w:r>
        <w:rPr>
          <w:i/>
          <w:spacing w:val="1"/>
          <w:w w:val="116"/>
          <w:sz w:val="13"/>
        </w:rPr>
        <w:br w:type="column"/>
      </w:r>
      <w:r>
        <w:rPr>
          <w:i/>
          <w:w w:val="105"/>
          <w:sz w:val="13"/>
        </w:rPr>
        <w:t>Civil Procedure Act </w:t>
      </w:r>
      <w:r>
        <w:rPr>
          <w:i/>
          <w:spacing w:val="-3"/>
          <w:w w:val="105"/>
          <w:sz w:val="13"/>
        </w:rPr>
        <w:t>2010 </w:t>
      </w:r>
      <w:r>
        <w:rPr>
          <w:spacing w:val="2"/>
          <w:w w:val="105"/>
          <w:sz w:val="13"/>
        </w:rPr>
        <w:t>(Vic) </w:t>
      </w:r>
      <w:r>
        <w:rPr>
          <w:w w:val="105"/>
          <w:sz w:val="13"/>
        </w:rPr>
        <w:t>s</w:t>
      </w:r>
      <w:r>
        <w:rPr>
          <w:spacing w:val="25"/>
          <w:w w:val="105"/>
          <w:sz w:val="13"/>
        </w:rPr>
        <w:t> </w:t>
      </w:r>
      <w:r>
        <w:rPr>
          <w:spacing w:val="-5"/>
          <w:w w:val="105"/>
          <w:sz w:val="13"/>
        </w:rPr>
        <w:t>7.</w:t>
      </w:r>
    </w:p>
    <w:p>
      <w:pPr>
        <w:pStyle w:val="ListParagraph"/>
        <w:numPr>
          <w:ilvl w:val="0"/>
          <w:numId w:val="87"/>
        </w:numPr>
        <w:tabs>
          <w:tab w:pos="1244" w:val="left" w:leader="none"/>
          <w:tab w:pos="1245" w:val="left" w:leader="none"/>
        </w:tabs>
        <w:spacing w:line="240" w:lineRule="auto" w:before="1" w:after="0"/>
        <w:ind w:left="1244" w:right="0" w:hanging="794"/>
        <w:jc w:val="left"/>
        <w:rPr>
          <w:sz w:val="13"/>
        </w:rPr>
      </w:pPr>
      <w:r>
        <w:rPr>
          <w:w w:val="105"/>
          <w:sz w:val="13"/>
        </w:rPr>
        <w:t>Ibid  s</w:t>
      </w:r>
      <w:r>
        <w:rPr>
          <w:spacing w:val="-12"/>
          <w:w w:val="105"/>
          <w:sz w:val="13"/>
        </w:rPr>
        <w:t> </w:t>
      </w:r>
      <w:r>
        <w:rPr>
          <w:w w:val="105"/>
          <w:sz w:val="13"/>
        </w:rPr>
        <w:t>65C(1).</w:t>
      </w:r>
    </w:p>
    <w:p>
      <w:pPr>
        <w:pStyle w:val="ListParagraph"/>
        <w:numPr>
          <w:ilvl w:val="0"/>
          <w:numId w:val="87"/>
        </w:numPr>
        <w:tabs>
          <w:tab w:pos="1244" w:val="left" w:leader="none"/>
          <w:tab w:pos="1245" w:val="left" w:leader="none"/>
        </w:tabs>
        <w:spacing w:line="240" w:lineRule="auto" w:before="2" w:after="0"/>
        <w:ind w:left="1244" w:right="0" w:hanging="794"/>
        <w:jc w:val="left"/>
        <w:rPr>
          <w:sz w:val="13"/>
        </w:rPr>
      </w:pPr>
      <w:r>
        <w:rPr>
          <w:w w:val="105"/>
          <w:sz w:val="13"/>
        </w:rPr>
        <w:t>Ibid  s</w:t>
      </w:r>
      <w:r>
        <w:rPr>
          <w:spacing w:val="-5"/>
          <w:w w:val="105"/>
          <w:sz w:val="13"/>
        </w:rPr>
        <w:t> </w:t>
      </w:r>
      <w:r>
        <w:rPr>
          <w:w w:val="105"/>
          <w:sz w:val="13"/>
        </w:rPr>
        <w:t>65C(2).</w:t>
      </w:r>
    </w:p>
    <w:p>
      <w:pPr>
        <w:pStyle w:val="ListParagraph"/>
        <w:numPr>
          <w:ilvl w:val="0"/>
          <w:numId w:val="87"/>
        </w:numPr>
        <w:tabs>
          <w:tab w:pos="1244" w:val="left" w:leader="none"/>
          <w:tab w:pos="1245" w:val="left" w:leader="none"/>
        </w:tabs>
        <w:spacing w:line="240" w:lineRule="auto" w:before="1" w:after="0"/>
        <w:ind w:left="1244" w:right="0" w:hanging="794"/>
        <w:jc w:val="left"/>
        <w:rPr>
          <w:sz w:val="13"/>
        </w:rPr>
      </w:pPr>
      <w:r>
        <w:rPr>
          <w:sz w:val="13"/>
        </w:rPr>
        <w:t>Ibid s</w:t>
      </w:r>
      <w:r>
        <w:rPr>
          <w:spacing w:val="12"/>
          <w:sz w:val="13"/>
        </w:rPr>
        <w:t> </w:t>
      </w:r>
      <w:r>
        <w:rPr>
          <w:sz w:val="13"/>
        </w:rPr>
        <w:t>24.</w:t>
      </w:r>
    </w:p>
    <w:p>
      <w:pPr>
        <w:pStyle w:val="ListParagraph"/>
        <w:numPr>
          <w:ilvl w:val="0"/>
          <w:numId w:val="87"/>
        </w:numPr>
        <w:tabs>
          <w:tab w:pos="1244" w:val="left" w:leader="none"/>
          <w:tab w:pos="1245" w:val="left" w:leader="none"/>
        </w:tabs>
        <w:spacing w:line="240" w:lineRule="auto" w:before="1" w:after="0"/>
        <w:ind w:left="1244" w:right="0" w:hanging="794"/>
        <w:jc w:val="left"/>
        <w:rPr>
          <w:sz w:val="13"/>
        </w:rPr>
      </w:pPr>
      <w:r>
        <w:rPr>
          <w:i/>
          <w:w w:val="105"/>
          <w:sz w:val="13"/>
        </w:rPr>
        <w:t>County</w:t>
      </w:r>
      <w:r>
        <w:rPr>
          <w:i/>
          <w:spacing w:val="4"/>
          <w:w w:val="105"/>
          <w:sz w:val="13"/>
        </w:rPr>
        <w:t> </w:t>
      </w:r>
      <w:r>
        <w:rPr>
          <w:i/>
          <w:w w:val="105"/>
          <w:sz w:val="13"/>
        </w:rPr>
        <w:t>Court</w:t>
      </w:r>
      <w:r>
        <w:rPr>
          <w:i/>
          <w:spacing w:val="5"/>
          <w:w w:val="105"/>
          <w:sz w:val="13"/>
        </w:rPr>
        <w:t> </w:t>
      </w:r>
      <w:r>
        <w:rPr>
          <w:i/>
          <w:w w:val="105"/>
          <w:sz w:val="13"/>
        </w:rPr>
        <w:t>Civil</w:t>
      </w:r>
      <w:r>
        <w:rPr>
          <w:i/>
          <w:spacing w:val="5"/>
          <w:w w:val="105"/>
          <w:sz w:val="13"/>
        </w:rPr>
        <w:t> </w:t>
      </w:r>
      <w:r>
        <w:rPr>
          <w:i/>
          <w:w w:val="105"/>
          <w:sz w:val="13"/>
        </w:rPr>
        <w:t>Procedure</w:t>
      </w:r>
      <w:r>
        <w:rPr>
          <w:i/>
          <w:spacing w:val="4"/>
          <w:w w:val="105"/>
          <w:sz w:val="13"/>
        </w:rPr>
        <w:t> </w:t>
      </w:r>
      <w:r>
        <w:rPr>
          <w:i/>
          <w:w w:val="105"/>
          <w:sz w:val="13"/>
        </w:rPr>
        <w:t>Rules</w:t>
      </w:r>
      <w:r>
        <w:rPr>
          <w:i/>
          <w:spacing w:val="5"/>
          <w:w w:val="105"/>
          <w:sz w:val="13"/>
        </w:rPr>
        <w:t> </w:t>
      </w:r>
      <w:r>
        <w:rPr>
          <w:i/>
          <w:w w:val="105"/>
          <w:sz w:val="13"/>
        </w:rPr>
        <w:t>2008</w:t>
      </w:r>
      <w:r>
        <w:rPr>
          <w:i/>
          <w:spacing w:val="6"/>
          <w:w w:val="105"/>
          <w:sz w:val="13"/>
        </w:rPr>
        <w:t> </w:t>
      </w:r>
      <w:r>
        <w:rPr>
          <w:spacing w:val="2"/>
          <w:w w:val="105"/>
          <w:sz w:val="13"/>
        </w:rPr>
        <w:t>(Vic)</w:t>
      </w:r>
      <w:r>
        <w:rPr>
          <w:spacing w:val="6"/>
          <w:w w:val="105"/>
          <w:sz w:val="13"/>
        </w:rPr>
        <w:t> </w:t>
      </w:r>
      <w:r>
        <w:rPr>
          <w:w w:val="105"/>
          <w:sz w:val="13"/>
        </w:rPr>
        <w:t>r</w:t>
      </w:r>
      <w:r>
        <w:rPr>
          <w:spacing w:val="5"/>
          <w:w w:val="105"/>
          <w:sz w:val="13"/>
        </w:rPr>
        <w:t> </w:t>
      </w:r>
      <w:r>
        <w:rPr>
          <w:w w:val="105"/>
          <w:sz w:val="13"/>
        </w:rPr>
        <w:t>63A.29;</w:t>
      </w:r>
      <w:r>
        <w:rPr>
          <w:spacing w:val="6"/>
          <w:w w:val="105"/>
          <w:sz w:val="13"/>
        </w:rPr>
        <w:t> </w:t>
      </w:r>
      <w:r>
        <w:rPr>
          <w:i/>
          <w:w w:val="105"/>
          <w:sz w:val="13"/>
        </w:rPr>
        <w:t>Supreme</w:t>
      </w:r>
      <w:r>
        <w:rPr>
          <w:i/>
          <w:spacing w:val="5"/>
          <w:w w:val="105"/>
          <w:sz w:val="13"/>
        </w:rPr>
        <w:t> </w:t>
      </w:r>
      <w:r>
        <w:rPr>
          <w:i/>
          <w:w w:val="105"/>
          <w:sz w:val="13"/>
        </w:rPr>
        <w:t>Court</w:t>
      </w:r>
      <w:r>
        <w:rPr>
          <w:i/>
          <w:spacing w:val="4"/>
          <w:w w:val="105"/>
          <w:sz w:val="13"/>
        </w:rPr>
        <w:t> </w:t>
      </w:r>
      <w:r>
        <w:rPr>
          <w:i/>
          <w:w w:val="105"/>
          <w:sz w:val="13"/>
        </w:rPr>
        <w:t>(General</w:t>
      </w:r>
      <w:r>
        <w:rPr>
          <w:i/>
          <w:spacing w:val="5"/>
          <w:w w:val="105"/>
          <w:sz w:val="13"/>
        </w:rPr>
        <w:t> </w:t>
      </w:r>
      <w:r>
        <w:rPr>
          <w:i/>
          <w:w w:val="105"/>
          <w:sz w:val="13"/>
        </w:rPr>
        <w:t>Civil</w:t>
      </w:r>
      <w:r>
        <w:rPr>
          <w:i/>
          <w:spacing w:val="5"/>
          <w:w w:val="105"/>
          <w:sz w:val="13"/>
        </w:rPr>
        <w:t> </w:t>
      </w:r>
      <w:r>
        <w:rPr>
          <w:i/>
          <w:w w:val="105"/>
          <w:sz w:val="13"/>
        </w:rPr>
        <w:t>Procedure)</w:t>
      </w:r>
      <w:r>
        <w:rPr>
          <w:i/>
          <w:spacing w:val="4"/>
          <w:w w:val="105"/>
          <w:sz w:val="13"/>
        </w:rPr>
        <w:t> </w:t>
      </w:r>
      <w:r>
        <w:rPr>
          <w:i/>
          <w:w w:val="105"/>
          <w:sz w:val="13"/>
        </w:rPr>
        <w:t>Rules</w:t>
      </w:r>
      <w:r>
        <w:rPr>
          <w:i/>
          <w:spacing w:val="5"/>
          <w:w w:val="105"/>
          <w:sz w:val="13"/>
        </w:rPr>
        <w:t> </w:t>
      </w:r>
      <w:r>
        <w:rPr>
          <w:i/>
          <w:w w:val="105"/>
          <w:sz w:val="13"/>
        </w:rPr>
        <w:t>2005</w:t>
      </w:r>
      <w:r>
        <w:rPr>
          <w:i/>
          <w:spacing w:val="6"/>
          <w:w w:val="105"/>
          <w:sz w:val="13"/>
        </w:rPr>
        <w:t> </w:t>
      </w:r>
      <w:r>
        <w:rPr>
          <w:spacing w:val="2"/>
          <w:w w:val="105"/>
          <w:sz w:val="13"/>
        </w:rPr>
        <w:t>(Vic)</w:t>
      </w:r>
      <w:r>
        <w:rPr>
          <w:spacing w:val="6"/>
          <w:w w:val="105"/>
          <w:sz w:val="13"/>
        </w:rPr>
        <w:t> </w:t>
      </w:r>
      <w:r>
        <w:rPr>
          <w:w w:val="105"/>
          <w:sz w:val="13"/>
        </w:rPr>
        <w:t>r</w:t>
      </w:r>
      <w:r>
        <w:rPr>
          <w:spacing w:val="5"/>
          <w:w w:val="105"/>
          <w:sz w:val="13"/>
        </w:rPr>
        <w:t> </w:t>
      </w:r>
      <w:r>
        <w:rPr>
          <w:w w:val="105"/>
          <w:sz w:val="13"/>
        </w:rPr>
        <w:t>63.29,</w:t>
      </w:r>
      <w:r>
        <w:rPr>
          <w:spacing w:val="6"/>
          <w:w w:val="105"/>
          <w:sz w:val="13"/>
        </w:rPr>
        <w:t> </w:t>
      </w:r>
      <w:r>
        <w:rPr>
          <w:w w:val="105"/>
          <w:sz w:val="13"/>
        </w:rPr>
        <w:t>repealed</w:t>
      </w:r>
      <w:r>
        <w:rPr>
          <w:spacing w:val="6"/>
          <w:w w:val="105"/>
          <w:sz w:val="13"/>
        </w:rPr>
        <w:t> </w:t>
      </w:r>
      <w:r>
        <w:rPr>
          <w:w w:val="105"/>
          <w:sz w:val="13"/>
        </w:rPr>
        <w:t>by</w:t>
      </w:r>
    </w:p>
    <w:p>
      <w:pPr>
        <w:spacing w:before="2"/>
        <w:ind w:left="1244" w:right="0" w:firstLine="0"/>
        <w:jc w:val="left"/>
        <w:rPr>
          <w:sz w:val="13"/>
        </w:rPr>
      </w:pPr>
      <w:r>
        <w:rPr>
          <w:i/>
          <w:w w:val="105"/>
          <w:sz w:val="13"/>
        </w:rPr>
        <w:t>Supreme Court (Chapter I New Scale of Costs and Other Costs Amendments) Rules 2012 </w:t>
      </w:r>
      <w:r>
        <w:rPr>
          <w:w w:val="105"/>
          <w:sz w:val="13"/>
        </w:rPr>
        <w:t>(Vic) r 15, which commenced on 1 April 2013.</w:t>
      </w:r>
    </w:p>
    <w:p>
      <w:pPr>
        <w:pStyle w:val="ListParagraph"/>
        <w:numPr>
          <w:ilvl w:val="0"/>
          <w:numId w:val="87"/>
        </w:numPr>
        <w:tabs>
          <w:tab w:pos="1244" w:val="left" w:leader="none"/>
          <w:tab w:pos="1245" w:val="left" w:leader="none"/>
        </w:tabs>
        <w:spacing w:line="240" w:lineRule="auto" w:before="1" w:after="0"/>
        <w:ind w:left="1244" w:right="0" w:hanging="794"/>
        <w:jc w:val="left"/>
        <w:rPr>
          <w:sz w:val="13"/>
        </w:rPr>
      </w:pPr>
      <w:r>
        <w:rPr>
          <w:i/>
          <w:w w:val="105"/>
          <w:sz w:val="13"/>
        </w:rPr>
        <w:t>County</w:t>
      </w:r>
      <w:r>
        <w:rPr>
          <w:i/>
          <w:spacing w:val="4"/>
          <w:w w:val="105"/>
          <w:sz w:val="13"/>
        </w:rPr>
        <w:t> </w:t>
      </w:r>
      <w:r>
        <w:rPr>
          <w:i/>
          <w:w w:val="105"/>
          <w:sz w:val="13"/>
        </w:rPr>
        <w:t>Court</w:t>
      </w:r>
      <w:r>
        <w:rPr>
          <w:i/>
          <w:spacing w:val="4"/>
          <w:w w:val="105"/>
          <w:sz w:val="13"/>
        </w:rPr>
        <w:t> </w:t>
      </w:r>
      <w:r>
        <w:rPr>
          <w:i/>
          <w:w w:val="105"/>
          <w:sz w:val="13"/>
        </w:rPr>
        <w:t>Civil</w:t>
      </w:r>
      <w:r>
        <w:rPr>
          <w:i/>
          <w:spacing w:val="5"/>
          <w:w w:val="105"/>
          <w:sz w:val="13"/>
        </w:rPr>
        <w:t> </w:t>
      </w:r>
      <w:r>
        <w:rPr>
          <w:i/>
          <w:w w:val="105"/>
          <w:sz w:val="13"/>
        </w:rPr>
        <w:t>Procedure</w:t>
      </w:r>
      <w:r>
        <w:rPr>
          <w:i/>
          <w:spacing w:val="4"/>
          <w:w w:val="105"/>
          <w:sz w:val="13"/>
        </w:rPr>
        <w:t> </w:t>
      </w:r>
      <w:r>
        <w:rPr>
          <w:i/>
          <w:w w:val="105"/>
          <w:sz w:val="13"/>
        </w:rPr>
        <w:t>Rules</w:t>
      </w:r>
      <w:r>
        <w:rPr>
          <w:i/>
          <w:spacing w:val="5"/>
          <w:w w:val="105"/>
          <w:sz w:val="13"/>
        </w:rPr>
        <w:t> </w:t>
      </w:r>
      <w:r>
        <w:rPr>
          <w:i/>
          <w:w w:val="105"/>
          <w:sz w:val="13"/>
        </w:rPr>
        <w:t>2008</w:t>
      </w:r>
      <w:r>
        <w:rPr>
          <w:i/>
          <w:spacing w:val="5"/>
          <w:w w:val="105"/>
          <w:sz w:val="13"/>
        </w:rPr>
        <w:t> </w:t>
      </w:r>
      <w:r>
        <w:rPr>
          <w:spacing w:val="2"/>
          <w:w w:val="105"/>
          <w:sz w:val="13"/>
        </w:rPr>
        <w:t>(Vic)</w:t>
      </w:r>
      <w:r>
        <w:rPr>
          <w:spacing w:val="6"/>
          <w:w w:val="105"/>
          <w:sz w:val="13"/>
        </w:rPr>
        <w:t> </w:t>
      </w:r>
      <w:r>
        <w:rPr>
          <w:w w:val="105"/>
          <w:sz w:val="13"/>
        </w:rPr>
        <w:t>r</w:t>
      </w:r>
      <w:r>
        <w:rPr>
          <w:spacing w:val="5"/>
          <w:w w:val="105"/>
          <w:sz w:val="13"/>
        </w:rPr>
        <w:t> </w:t>
      </w:r>
      <w:r>
        <w:rPr>
          <w:spacing w:val="2"/>
          <w:w w:val="105"/>
          <w:sz w:val="13"/>
        </w:rPr>
        <w:t>63A.30;</w:t>
      </w:r>
      <w:r>
        <w:rPr>
          <w:spacing w:val="6"/>
          <w:w w:val="105"/>
          <w:sz w:val="13"/>
        </w:rPr>
        <w:t> </w:t>
      </w:r>
      <w:r>
        <w:rPr>
          <w:i/>
          <w:w w:val="105"/>
          <w:sz w:val="13"/>
        </w:rPr>
        <w:t>Supreme</w:t>
      </w:r>
      <w:r>
        <w:rPr>
          <w:i/>
          <w:spacing w:val="4"/>
          <w:w w:val="105"/>
          <w:sz w:val="13"/>
        </w:rPr>
        <w:t> </w:t>
      </w:r>
      <w:r>
        <w:rPr>
          <w:i/>
          <w:w w:val="105"/>
          <w:sz w:val="13"/>
        </w:rPr>
        <w:t>Court</w:t>
      </w:r>
      <w:r>
        <w:rPr>
          <w:i/>
          <w:spacing w:val="5"/>
          <w:w w:val="105"/>
          <w:sz w:val="13"/>
        </w:rPr>
        <w:t> </w:t>
      </w:r>
      <w:r>
        <w:rPr>
          <w:i/>
          <w:w w:val="105"/>
          <w:sz w:val="13"/>
        </w:rPr>
        <w:t>(General</w:t>
      </w:r>
      <w:r>
        <w:rPr>
          <w:i/>
          <w:spacing w:val="4"/>
          <w:w w:val="105"/>
          <w:sz w:val="13"/>
        </w:rPr>
        <w:t> </w:t>
      </w:r>
      <w:r>
        <w:rPr>
          <w:i/>
          <w:w w:val="105"/>
          <w:sz w:val="13"/>
        </w:rPr>
        <w:t>Civil</w:t>
      </w:r>
      <w:r>
        <w:rPr>
          <w:i/>
          <w:spacing w:val="5"/>
          <w:w w:val="105"/>
          <w:sz w:val="13"/>
        </w:rPr>
        <w:t> </w:t>
      </w:r>
      <w:r>
        <w:rPr>
          <w:i/>
          <w:w w:val="105"/>
          <w:sz w:val="13"/>
        </w:rPr>
        <w:t>Procedure)</w:t>
      </w:r>
      <w:r>
        <w:rPr>
          <w:i/>
          <w:spacing w:val="4"/>
          <w:w w:val="105"/>
          <w:sz w:val="13"/>
        </w:rPr>
        <w:t> </w:t>
      </w:r>
      <w:r>
        <w:rPr>
          <w:i/>
          <w:w w:val="105"/>
          <w:sz w:val="13"/>
        </w:rPr>
        <w:t>Rules</w:t>
      </w:r>
      <w:r>
        <w:rPr>
          <w:i/>
          <w:spacing w:val="6"/>
          <w:w w:val="105"/>
          <w:sz w:val="13"/>
        </w:rPr>
        <w:t> </w:t>
      </w:r>
      <w:r>
        <w:rPr>
          <w:w w:val="105"/>
          <w:sz w:val="13"/>
        </w:rPr>
        <w:t>2005</w:t>
      </w:r>
      <w:r>
        <w:rPr>
          <w:spacing w:val="5"/>
          <w:w w:val="105"/>
          <w:sz w:val="13"/>
        </w:rPr>
        <w:t> </w:t>
      </w:r>
      <w:r>
        <w:rPr>
          <w:spacing w:val="2"/>
          <w:w w:val="105"/>
          <w:sz w:val="13"/>
        </w:rPr>
        <w:t>(Vic)</w:t>
      </w:r>
      <w:r>
        <w:rPr>
          <w:spacing w:val="6"/>
          <w:w w:val="105"/>
          <w:sz w:val="13"/>
        </w:rPr>
        <w:t> </w:t>
      </w:r>
      <w:r>
        <w:rPr>
          <w:w w:val="105"/>
          <w:sz w:val="13"/>
        </w:rPr>
        <w:t>r</w:t>
      </w:r>
      <w:r>
        <w:rPr>
          <w:spacing w:val="5"/>
          <w:w w:val="105"/>
          <w:sz w:val="13"/>
        </w:rPr>
        <w:t> </w:t>
      </w:r>
      <w:r>
        <w:rPr>
          <w:w w:val="105"/>
          <w:sz w:val="13"/>
        </w:rPr>
        <w:t>63.30.</w:t>
      </w:r>
    </w:p>
    <w:p>
      <w:pPr>
        <w:pStyle w:val="ListParagraph"/>
        <w:numPr>
          <w:ilvl w:val="0"/>
          <w:numId w:val="87"/>
        </w:numPr>
        <w:tabs>
          <w:tab w:pos="1244" w:val="left" w:leader="none"/>
          <w:tab w:pos="1245" w:val="left" w:leader="none"/>
        </w:tabs>
        <w:spacing w:line="240" w:lineRule="auto" w:before="1" w:after="0"/>
        <w:ind w:left="1244" w:right="0" w:hanging="794"/>
        <w:jc w:val="left"/>
        <w:rPr>
          <w:sz w:val="13"/>
        </w:rPr>
      </w:pPr>
      <w:r>
        <w:rPr>
          <w:i/>
          <w:w w:val="105"/>
          <w:sz w:val="13"/>
        </w:rPr>
        <w:t>Supreme Court (General Civil Procedure) Rules 2005 </w:t>
      </w:r>
      <w:r>
        <w:rPr>
          <w:spacing w:val="2"/>
          <w:w w:val="105"/>
          <w:sz w:val="13"/>
        </w:rPr>
        <w:t>(Vic) </w:t>
      </w:r>
      <w:r>
        <w:rPr>
          <w:w w:val="105"/>
          <w:sz w:val="13"/>
        </w:rPr>
        <w:t>r</w:t>
      </w:r>
      <w:r>
        <w:rPr>
          <w:spacing w:val="4"/>
          <w:w w:val="105"/>
          <w:sz w:val="13"/>
        </w:rPr>
        <w:t> </w:t>
      </w:r>
      <w:r>
        <w:rPr>
          <w:w w:val="105"/>
          <w:sz w:val="13"/>
        </w:rPr>
        <w:t>63.30.</w:t>
      </w:r>
    </w:p>
    <w:p>
      <w:pPr>
        <w:pStyle w:val="ListParagraph"/>
        <w:numPr>
          <w:ilvl w:val="0"/>
          <w:numId w:val="87"/>
        </w:numPr>
        <w:tabs>
          <w:tab w:pos="1244" w:val="left" w:leader="none"/>
          <w:tab w:pos="1245" w:val="left" w:leader="none"/>
        </w:tabs>
        <w:spacing w:line="240" w:lineRule="auto" w:before="2" w:after="0"/>
        <w:ind w:left="1244" w:right="2444" w:hanging="794"/>
        <w:jc w:val="left"/>
        <w:rPr>
          <w:sz w:val="13"/>
        </w:rPr>
      </w:pPr>
      <w:r>
        <w:rPr>
          <w:w w:val="105"/>
          <w:sz w:val="13"/>
        </w:rPr>
        <w:t>Ibid r 63.30, substituted by </w:t>
      </w:r>
      <w:r>
        <w:rPr>
          <w:i/>
          <w:w w:val="105"/>
          <w:sz w:val="13"/>
        </w:rPr>
        <w:t>Supreme Court (Chapter I New Scale of Costs and Other Costs Amendments) Rules </w:t>
      </w:r>
      <w:r>
        <w:rPr>
          <w:i/>
          <w:spacing w:val="-4"/>
          <w:w w:val="105"/>
          <w:sz w:val="13"/>
        </w:rPr>
        <w:t>2012 </w:t>
      </w:r>
      <w:r>
        <w:rPr>
          <w:spacing w:val="2"/>
          <w:w w:val="105"/>
          <w:sz w:val="13"/>
        </w:rPr>
        <w:t>(Vic) </w:t>
      </w:r>
      <w:r>
        <w:rPr>
          <w:w w:val="105"/>
          <w:sz w:val="13"/>
        </w:rPr>
        <w:t>r </w:t>
      </w:r>
      <w:r>
        <w:rPr>
          <w:spacing w:val="-6"/>
          <w:w w:val="105"/>
          <w:sz w:val="13"/>
        </w:rPr>
        <w:t>17, </w:t>
      </w:r>
      <w:r>
        <w:rPr>
          <w:w w:val="105"/>
          <w:sz w:val="13"/>
        </w:rPr>
        <w:t>which commenced on 1 April</w:t>
      </w:r>
      <w:r>
        <w:rPr>
          <w:spacing w:val="24"/>
          <w:w w:val="105"/>
          <w:sz w:val="13"/>
        </w:rPr>
        <w:t> </w:t>
      </w:r>
      <w:r>
        <w:rPr>
          <w:spacing w:val="-3"/>
          <w:w w:val="105"/>
          <w:sz w:val="13"/>
        </w:rPr>
        <w:t>2013.</w:t>
      </w:r>
    </w:p>
    <w:p>
      <w:pPr>
        <w:pStyle w:val="ListParagraph"/>
        <w:numPr>
          <w:ilvl w:val="0"/>
          <w:numId w:val="87"/>
        </w:numPr>
        <w:tabs>
          <w:tab w:pos="1244" w:val="left" w:leader="none"/>
          <w:tab w:pos="1245" w:val="left" w:leader="none"/>
        </w:tabs>
        <w:spacing w:line="240" w:lineRule="auto" w:before="2" w:after="0"/>
        <w:ind w:left="1244" w:right="0" w:hanging="794"/>
        <w:jc w:val="left"/>
        <w:rPr>
          <w:sz w:val="13"/>
        </w:rPr>
      </w:pPr>
      <w:r>
        <w:rPr>
          <w:i/>
          <w:w w:val="105"/>
          <w:sz w:val="13"/>
        </w:rPr>
        <w:t>County Court Civil Procedure Rules 2008 </w:t>
      </w:r>
      <w:r>
        <w:rPr>
          <w:spacing w:val="2"/>
          <w:w w:val="105"/>
          <w:sz w:val="13"/>
        </w:rPr>
        <w:t>(Vic) </w:t>
      </w:r>
      <w:r>
        <w:rPr>
          <w:w w:val="105"/>
          <w:sz w:val="13"/>
        </w:rPr>
        <w:t>rr 63A.29,</w:t>
      </w:r>
      <w:r>
        <w:rPr>
          <w:spacing w:val="7"/>
          <w:w w:val="105"/>
          <w:sz w:val="13"/>
        </w:rPr>
        <w:t> </w:t>
      </w:r>
      <w:r>
        <w:rPr>
          <w:w w:val="105"/>
          <w:sz w:val="13"/>
        </w:rPr>
        <w:t>63A.30.</w:t>
      </w:r>
    </w:p>
    <w:p>
      <w:pPr>
        <w:pStyle w:val="ListParagraph"/>
        <w:numPr>
          <w:ilvl w:val="0"/>
          <w:numId w:val="87"/>
        </w:numPr>
        <w:tabs>
          <w:tab w:pos="1244" w:val="left" w:leader="none"/>
          <w:tab w:pos="1245" w:val="left" w:leader="none"/>
        </w:tabs>
        <w:spacing w:line="240" w:lineRule="auto" w:before="2" w:after="0"/>
        <w:ind w:left="1244" w:right="0" w:hanging="794"/>
        <w:jc w:val="left"/>
        <w:rPr>
          <w:sz w:val="13"/>
        </w:rPr>
      </w:pPr>
      <w:r>
        <w:rPr>
          <w:i/>
          <w:w w:val="105"/>
          <w:sz w:val="13"/>
        </w:rPr>
        <w:t>Re</w:t>
      </w:r>
      <w:r>
        <w:rPr>
          <w:i/>
          <w:spacing w:val="3"/>
          <w:w w:val="105"/>
          <w:sz w:val="13"/>
        </w:rPr>
        <w:t> </w:t>
      </w:r>
      <w:r>
        <w:rPr>
          <w:i/>
          <w:w w:val="105"/>
          <w:sz w:val="13"/>
        </w:rPr>
        <w:t>Bull;</w:t>
      </w:r>
      <w:r>
        <w:rPr>
          <w:i/>
          <w:spacing w:val="4"/>
          <w:w w:val="105"/>
          <w:sz w:val="13"/>
        </w:rPr>
        <w:t> </w:t>
      </w:r>
      <w:r>
        <w:rPr>
          <w:i/>
          <w:w w:val="105"/>
          <w:sz w:val="13"/>
        </w:rPr>
        <w:t>Bentley</w:t>
      </w:r>
      <w:r>
        <w:rPr>
          <w:i/>
          <w:spacing w:val="4"/>
          <w:w w:val="105"/>
          <w:sz w:val="13"/>
        </w:rPr>
        <w:t> </w:t>
      </w:r>
      <w:r>
        <w:rPr>
          <w:i/>
          <w:w w:val="105"/>
          <w:sz w:val="13"/>
        </w:rPr>
        <w:t>v</w:t>
      </w:r>
      <w:r>
        <w:rPr>
          <w:i/>
          <w:spacing w:val="3"/>
          <w:w w:val="105"/>
          <w:sz w:val="13"/>
        </w:rPr>
        <w:t> </w:t>
      </w:r>
      <w:r>
        <w:rPr>
          <w:i/>
          <w:w w:val="105"/>
          <w:sz w:val="13"/>
        </w:rPr>
        <w:t>Brennan</w:t>
      </w:r>
      <w:r>
        <w:rPr>
          <w:i/>
          <w:spacing w:val="4"/>
          <w:w w:val="105"/>
          <w:sz w:val="13"/>
        </w:rPr>
        <w:t> </w:t>
      </w:r>
      <w:r>
        <w:rPr>
          <w:i/>
          <w:spacing w:val="3"/>
          <w:w w:val="105"/>
          <w:sz w:val="13"/>
        </w:rPr>
        <w:t>(No</w:t>
      </w:r>
      <w:r>
        <w:rPr>
          <w:i/>
          <w:spacing w:val="4"/>
          <w:w w:val="105"/>
          <w:sz w:val="13"/>
        </w:rPr>
        <w:t> </w:t>
      </w:r>
      <w:r>
        <w:rPr>
          <w:i/>
          <w:w w:val="105"/>
          <w:sz w:val="13"/>
        </w:rPr>
        <w:t>2)</w:t>
      </w:r>
      <w:r>
        <w:rPr>
          <w:i/>
          <w:spacing w:val="4"/>
          <w:w w:val="105"/>
          <w:sz w:val="13"/>
        </w:rPr>
        <w:t> </w:t>
      </w:r>
      <w:r>
        <w:rPr>
          <w:spacing w:val="2"/>
          <w:w w:val="105"/>
          <w:sz w:val="13"/>
        </w:rPr>
        <w:t>[2006]</w:t>
      </w:r>
      <w:r>
        <w:rPr>
          <w:spacing w:val="5"/>
          <w:w w:val="105"/>
          <w:sz w:val="13"/>
        </w:rPr>
        <w:t> </w:t>
      </w:r>
      <w:r>
        <w:rPr>
          <w:w w:val="105"/>
          <w:sz w:val="13"/>
        </w:rPr>
        <w:t>VSC</w:t>
      </w:r>
      <w:r>
        <w:rPr>
          <w:spacing w:val="5"/>
          <w:w w:val="105"/>
          <w:sz w:val="13"/>
        </w:rPr>
        <w:t> </w:t>
      </w:r>
      <w:r>
        <w:rPr>
          <w:w w:val="105"/>
          <w:sz w:val="13"/>
        </w:rPr>
        <w:t>226</w:t>
      </w:r>
      <w:r>
        <w:rPr>
          <w:spacing w:val="4"/>
          <w:w w:val="105"/>
          <w:sz w:val="13"/>
        </w:rPr>
        <w:t> </w:t>
      </w:r>
      <w:r>
        <w:rPr>
          <w:w w:val="105"/>
          <w:sz w:val="13"/>
        </w:rPr>
        <w:t>(30</w:t>
      </w:r>
      <w:r>
        <w:rPr>
          <w:spacing w:val="5"/>
          <w:w w:val="105"/>
          <w:sz w:val="13"/>
        </w:rPr>
        <w:t> </w:t>
      </w:r>
      <w:r>
        <w:rPr>
          <w:w w:val="105"/>
          <w:sz w:val="13"/>
        </w:rPr>
        <w:t>June</w:t>
      </w:r>
      <w:r>
        <w:rPr>
          <w:spacing w:val="5"/>
          <w:w w:val="105"/>
          <w:sz w:val="13"/>
        </w:rPr>
        <w:t> </w:t>
      </w:r>
      <w:r>
        <w:rPr>
          <w:spacing w:val="2"/>
          <w:w w:val="105"/>
          <w:sz w:val="13"/>
        </w:rPr>
        <w:t>2006)</w:t>
      </w:r>
      <w:r>
        <w:rPr>
          <w:spacing w:val="4"/>
          <w:w w:val="105"/>
          <w:sz w:val="13"/>
        </w:rPr>
        <w:t> </w:t>
      </w:r>
      <w:r>
        <w:rPr>
          <w:spacing w:val="3"/>
          <w:w w:val="105"/>
          <w:sz w:val="13"/>
        </w:rPr>
        <w:t>[3].</w:t>
      </w:r>
    </w:p>
    <w:p>
      <w:pPr>
        <w:spacing w:after="0" w:line="240" w:lineRule="auto"/>
        <w:jc w:val="left"/>
        <w:rPr>
          <w:sz w:val="13"/>
        </w:rPr>
        <w:sectPr>
          <w:type w:val="continuous"/>
          <w:pgSz w:w="11910" w:h="16840"/>
          <w:pgMar w:top="920" w:bottom="280" w:left="0" w:right="0"/>
          <w:cols w:num="2" w:equalWidth="0">
            <w:col w:w="1098" w:space="40"/>
            <w:col w:w="10772"/>
          </w:cols>
        </w:sectPr>
      </w:pPr>
    </w:p>
    <w:p>
      <w:pPr>
        <w:pStyle w:val="BodyText"/>
        <w:rPr>
          <w:sz w:val="20"/>
        </w:rPr>
      </w:pPr>
    </w:p>
    <w:p>
      <w:pPr>
        <w:pStyle w:val="BodyText"/>
        <w:rPr>
          <w:sz w:val="19"/>
        </w:rPr>
      </w:pPr>
    </w:p>
    <w:p>
      <w:pPr>
        <w:pStyle w:val="ListParagraph"/>
        <w:numPr>
          <w:ilvl w:val="1"/>
          <w:numId w:val="87"/>
        </w:numPr>
        <w:tabs>
          <w:tab w:pos="2721" w:val="left" w:leader="none"/>
          <w:tab w:pos="2722" w:val="left" w:leader="none"/>
        </w:tabs>
        <w:spacing w:line="237" w:lineRule="auto" w:before="93" w:after="0"/>
        <w:ind w:left="2721" w:right="1736" w:hanging="340"/>
        <w:jc w:val="left"/>
        <w:rPr>
          <w:sz w:val="14"/>
        </w:rPr>
      </w:pPr>
      <w:r>
        <w:rPr>
          <w:sz w:val="21"/>
        </w:rPr>
        <w:t>under section 97(7)—order </w:t>
      </w:r>
      <w:r>
        <w:rPr>
          <w:spacing w:val="-3"/>
          <w:sz w:val="21"/>
        </w:rPr>
        <w:t>that  </w:t>
      </w:r>
      <w:r>
        <w:rPr>
          <w:sz w:val="21"/>
        </w:rPr>
        <w:t>the </w:t>
      </w:r>
      <w:r>
        <w:rPr>
          <w:spacing w:val="-3"/>
          <w:sz w:val="21"/>
        </w:rPr>
        <w:t>applicant</w:t>
      </w:r>
      <w:r>
        <w:rPr>
          <w:spacing w:val="41"/>
          <w:sz w:val="21"/>
        </w:rPr>
        <w:t> </w:t>
      </w:r>
      <w:r>
        <w:rPr>
          <w:spacing w:val="-2"/>
          <w:sz w:val="21"/>
        </w:rPr>
        <w:t>pay  </w:t>
      </w:r>
      <w:r>
        <w:rPr>
          <w:sz w:val="21"/>
        </w:rPr>
        <w:t>their own costs and the costs of  the </w:t>
      </w:r>
      <w:r>
        <w:rPr>
          <w:spacing w:val="-3"/>
          <w:sz w:val="21"/>
        </w:rPr>
        <w:t>defendant </w:t>
      </w:r>
      <w:r>
        <w:rPr>
          <w:sz w:val="21"/>
        </w:rPr>
        <w:t>personal </w:t>
      </w:r>
      <w:r>
        <w:rPr>
          <w:spacing w:val="-3"/>
          <w:sz w:val="21"/>
        </w:rPr>
        <w:t>representative, </w:t>
      </w:r>
      <w:r>
        <w:rPr>
          <w:sz w:val="21"/>
        </w:rPr>
        <w:t>if the court is  satisfied  </w:t>
      </w:r>
      <w:r>
        <w:rPr>
          <w:spacing w:val="-3"/>
          <w:sz w:val="21"/>
        </w:rPr>
        <w:t>that  </w:t>
      </w:r>
      <w:r>
        <w:rPr>
          <w:sz w:val="21"/>
        </w:rPr>
        <w:t>the  application </w:t>
      </w:r>
      <w:r>
        <w:rPr>
          <w:spacing w:val="-3"/>
          <w:sz w:val="21"/>
        </w:rPr>
        <w:t>‘has</w:t>
      </w:r>
      <w:r>
        <w:rPr>
          <w:spacing w:val="21"/>
          <w:sz w:val="21"/>
        </w:rPr>
        <w:t> </w:t>
      </w:r>
      <w:r>
        <w:rPr>
          <w:sz w:val="21"/>
        </w:rPr>
        <w:t>been</w:t>
      </w:r>
      <w:r>
        <w:rPr>
          <w:spacing w:val="22"/>
          <w:sz w:val="21"/>
        </w:rPr>
        <w:t> </w:t>
      </w:r>
      <w:r>
        <w:rPr>
          <w:sz w:val="21"/>
        </w:rPr>
        <w:t>made</w:t>
      </w:r>
      <w:r>
        <w:rPr>
          <w:spacing w:val="22"/>
          <w:sz w:val="21"/>
        </w:rPr>
        <w:t> </w:t>
      </w:r>
      <w:r>
        <w:rPr>
          <w:spacing w:val="-3"/>
          <w:sz w:val="21"/>
        </w:rPr>
        <w:t>frivolously,</w:t>
      </w:r>
      <w:r>
        <w:rPr>
          <w:spacing w:val="22"/>
          <w:sz w:val="21"/>
        </w:rPr>
        <w:t> </w:t>
      </w:r>
      <w:r>
        <w:rPr>
          <w:sz w:val="21"/>
        </w:rPr>
        <w:t>vexatiously</w:t>
      </w:r>
      <w:r>
        <w:rPr>
          <w:spacing w:val="22"/>
          <w:sz w:val="21"/>
        </w:rPr>
        <w:t> </w:t>
      </w:r>
      <w:r>
        <w:rPr>
          <w:sz w:val="21"/>
        </w:rPr>
        <w:t>or</w:t>
      </w:r>
      <w:r>
        <w:rPr>
          <w:spacing w:val="22"/>
          <w:sz w:val="21"/>
        </w:rPr>
        <w:t> </w:t>
      </w:r>
      <w:r>
        <w:rPr>
          <w:sz w:val="21"/>
        </w:rPr>
        <w:t>with</w:t>
      </w:r>
      <w:r>
        <w:rPr>
          <w:spacing w:val="22"/>
          <w:sz w:val="21"/>
        </w:rPr>
        <w:t> </w:t>
      </w:r>
      <w:r>
        <w:rPr>
          <w:sz w:val="21"/>
        </w:rPr>
        <w:t>no</w:t>
      </w:r>
      <w:r>
        <w:rPr>
          <w:spacing w:val="22"/>
          <w:sz w:val="21"/>
        </w:rPr>
        <w:t> </w:t>
      </w:r>
      <w:r>
        <w:rPr>
          <w:spacing w:val="-3"/>
          <w:sz w:val="21"/>
        </w:rPr>
        <w:t>reasonable</w:t>
      </w:r>
      <w:r>
        <w:rPr>
          <w:spacing w:val="21"/>
          <w:sz w:val="21"/>
        </w:rPr>
        <w:t> </w:t>
      </w:r>
      <w:r>
        <w:rPr>
          <w:sz w:val="21"/>
        </w:rPr>
        <w:t>prospect</w:t>
      </w:r>
      <w:r>
        <w:rPr>
          <w:spacing w:val="22"/>
          <w:sz w:val="21"/>
        </w:rPr>
        <w:t> </w:t>
      </w:r>
      <w:r>
        <w:rPr>
          <w:sz w:val="21"/>
        </w:rPr>
        <w:t>of</w:t>
      </w:r>
      <w:r>
        <w:rPr>
          <w:spacing w:val="22"/>
          <w:sz w:val="21"/>
        </w:rPr>
        <w:t> </w:t>
      </w:r>
      <w:r>
        <w:rPr>
          <w:spacing w:val="-3"/>
          <w:sz w:val="21"/>
        </w:rPr>
        <w:t>success’</w:t>
      </w:r>
      <w:r>
        <w:rPr>
          <w:spacing w:val="-8"/>
          <w:sz w:val="21"/>
        </w:rPr>
        <w:t> </w:t>
      </w:r>
      <w:r>
        <w:rPr>
          <w:spacing w:val="-4"/>
          <w:position w:val="8"/>
          <w:sz w:val="14"/>
        </w:rPr>
        <w:t>170</w:t>
      </w:r>
    </w:p>
    <w:p>
      <w:pPr>
        <w:pStyle w:val="ListParagraph"/>
        <w:numPr>
          <w:ilvl w:val="1"/>
          <w:numId w:val="87"/>
        </w:numPr>
        <w:tabs>
          <w:tab w:pos="2721" w:val="left" w:leader="none"/>
          <w:tab w:pos="2722" w:val="left" w:leader="none"/>
        </w:tabs>
        <w:spacing w:line="242" w:lineRule="auto" w:before="117" w:after="0"/>
        <w:ind w:left="2721" w:right="1801" w:hanging="340"/>
        <w:jc w:val="left"/>
        <w:rPr>
          <w:sz w:val="12"/>
        </w:rPr>
      </w:pPr>
      <w:r>
        <w:rPr>
          <w:w w:val="105"/>
          <w:sz w:val="21"/>
        </w:rPr>
        <w:t>under</w:t>
      </w:r>
      <w:r>
        <w:rPr>
          <w:spacing w:val="-5"/>
          <w:w w:val="105"/>
          <w:sz w:val="21"/>
        </w:rPr>
        <w:t> </w:t>
      </w:r>
      <w:r>
        <w:rPr>
          <w:w w:val="105"/>
          <w:sz w:val="21"/>
        </w:rPr>
        <w:t>section</w:t>
      </w:r>
      <w:r>
        <w:rPr>
          <w:spacing w:val="-5"/>
          <w:w w:val="105"/>
          <w:sz w:val="21"/>
        </w:rPr>
        <w:t> </w:t>
      </w:r>
      <w:r>
        <w:rPr>
          <w:w w:val="105"/>
          <w:sz w:val="21"/>
        </w:rPr>
        <w:t>97(6)—subject</w:t>
      </w:r>
      <w:r>
        <w:rPr>
          <w:spacing w:val="-5"/>
          <w:w w:val="105"/>
          <w:sz w:val="21"/>
        </w:rPr>
        <w:t> </w:t>
      </w:r>
      <w:r>
        <w:rPr>
          <w:spacing w:val="-3"/>
          <w:w w:val="105"/>
          <w:sz w:val="21"/>
        </w:rPr>
        <w:t>to</w:t>
      </w:r>
      <w:r>
        <w:rPr>
          <w:spacing w:val="-4"/>
          <w:w w:val="105"/>
          <w:sz w:val="21"/>
        </w:rPr>
        <w:t> </w:t>
      </w:r>
      <w:r>
        <w:rPr>
          <w:w w:val="105"/>
          <w:sz w:val="21"/>
        </w:rPr>
        <w:t>section</w:t>
      </w:r>
      <w:r>
        <w:rPr>
          <w:spacing w:val="-5"/>
          <w:w w:val="105"/>
          <w:sz w:val="21"/>
        </w:rPr>
        <w:t> </w:t>
      </w:r>
      <w:r>
        <w:rPr>
          <w:w w:val="105"/>
          <w:sz w:val="21"/>
        </w:rPr>
        <w:t>97(7),</w:t>
      </w:r>
      <w:r>
        <w:rPr>
          <w:spacing w:val="-5"/>
          <w:w w:val="105"/>
          <w:sz w:val="21"/>
        </w:rPr>
        <w:t> </w:t>
      </w:r>
      <w:r>
        <w:rPr>
          <w:spacing w:val="-4"/>
          <w:w w:val="105"/>
          <w:sz w:val="21"/>
        </w:rPr>
        <w:t>make </w:t>
      </w:r>
      <w:r>
        <w:rPr>
          <w:spacing w:val="-3"/>
          <w:w w:val="105"/>
          <w:sz w:val="21"/>
        </w:rPr>
        <w:t>any</w:t>
      </w:r>
      <w:r>
        <w:rPr>
          <w:spacing w:val="-5"/>
          <w:w w:val="105"/>
          <w:sz w:val="21"/>
        </w:rPr>
        <w:t> </w:t>
      </w:r>
      <w:r>
        <w:rPr>
          <w:w w:val="105"/>
          <w:sz w:val="21"/>
        </w:rPr>
        <w:t>order</w:t>
      </w:r>
      <w:r>
        <w:rPr>
          <w:spacing w:val="-5"/>
          <w:w w:val="105"/>
          <w:sz w:val="21"/>
        </w:rPr>
        <w:t> </w:t>
      </w:r>
      <w:r>
        <w:rPr>
          <w:spacing w:val="-3"/>
          <w:w w:val="105"/>
          <w:sz w:val="21"/>
        </w:rPr>
        <w:t>that</w:t>
      </w:r>
      <w:r>
        <w:rPr>
          <w:spacing w:val="-4"/>
          <w:w w:val="105"/>
          <w:sz w:val="21"/>
        </w:rPr>
        <w:t> </w:t>
      </w:r>
      <w:r>
        <w:rPr>
          <w:w w:val="105"/>
          <w:sz w:val="21"/>
        </w:rPr>
        <w:t>is,</w:t>
      </w:r>
      <w:r>
        <w:rPr>
          <w:spacing w:val="-5"/>
          <w:w w:val="105"/>
          <w:sz w:val="21"/>
        </w:rPr>
        <w:t> </w:t>
      </w:r>
      <w:r>
        <w:rPr>
          <w:w w:val="105"/>
          <w:sz w:val="21"/>
        </w:rPr>
        <w:t>in</w:t>
      </w:r>
      <w:r>
        <w:rPr>
          <w:spacing w:val="-5"/>
          <w:w w:val="105"/>
          <w:sz w:val="21"/>
        </w:rPr>
        <w:t> </w:t>
      </w:r>
      <w:r>
        <w:rPr>
          <w:w w:val="105"/>
          <w:sz w:val="21"/>
        </w:rPr>
        <w:t>the</w:t>
      </w:r>
      <w:r>
        <w:rPr>
          <w:spacing w:val="-4"/>
          <w:w w:val="105"/>
          <w:sz w:val="21"/>
        </w:rPr>
        <w:t> </w:t>
      </w:r>
      <w:r>
        <w:rPr>
          <w:w w:val="105"/>
          <w:sz w:val="21"/>
        </w:rPr>
        <w:t>court’s </w:t>
      </w:r>
      <w:r>
        <w:rPr>
          <w:spacing w:val="-3"/>
          <w:w w:val="105"/>
          <w:sz w:val="21"/>
        </w:rPr>
        <w:t>opinion,</w:t>
      </w:r>
      <w:r>
        <w:rPr>
          <w:spacing w:val="5"/>
          <w:w w:val="105"/>
          <w:sz w:val="21"/>
        </w:rPr>
        <w:t> </w:t>
      </w:r>
      <w:r>
        <w:rPr>
          <w:spacing w:val="-6"/>
          <w:w w:val="105"/>
          <w:sz w:val="21"/>
        </w:rPr>
        <w:t>just.</w:t>
      </w:r>
      <w:r>
        <w:rPr>
          <w:spacing w:val="-6"/>
          <w:w w:val="105"/>
          <w:position w:val="7"/>
          <w:sz w:val="12"/>
        </w:rPr>
        <w:t>171</w:t>
      </w:r>
    </w:p>
    <w:p>
      <w:pPr>
        <w:pStyle w:val="ListParagraph"/>
        <w:numPr>
          <w:ilvl w:val="1"/>
          <w:numId w:val="82"/>
        </w:numPr>
        <w:tabs>
          <w:tab w:pos="2381" w:val="left" w:leader="none"/>
          <w:tab w:pos="2382" w:val="left" w:leader="none"/>
        </w:tabs>
        <w:spacing w:line="242" w:lineRule="auto" w:before="115" w:after="0"/>
        <w:ind w:left="2381" w:right="1702" w:hanging="794"/>
        <w:jc w:val="left"/>
        <w:rPr>
          <w:sz w:val="12"/>
        </w:rPr>
      </w:pPr>
      <w:r>
        <w:rPr>
          <w:w w:val="105"/>
          <w:sz w:val="21"/>
        </w:rPr>
        <w:t>In </w:t>
      </w:r>
      <w:r>
        <w:rPr>
          <w:i/>
          <w:w w:val="105"/>
          <w:sz w:val="21"/>
        </w:rPr>
        <w:t>Re Bull; </w:t>
      </w:r>
      <w:r>
        <w:rPr>
          <w:i/>
          <w:spacing w:val="-3"/>
          <w:w w:val="105"/>
          <w:sz w:val="21"/>
        </w:rPr>
        <w:t>Bentley </w:t>
      </w:r>
      <w:r>
        <w:rPr>
          <w:i/>
          <w:w w:val="105"/>
          <w:sz w:val="21"/>
        </w:rPr>
        <w:t>v </w:t>
      </w:r>
      <w:r>
        <w:rPr>
          <w:i/>
          <w:spacing w:val="-4"/>
          <w:w w:val="105"/>
          <w:sz w:val="21"/>
        </w:rPr>
        <w:t>Brennan</w:t>
      </w:r>
      <w:r>
        <w:rPr>
          <w:spacing w:val="-4"/>
          <w:w w:val="105"/>
          <w:sz w:val="21"/>
        </w:rPr>
        <w:t>, </w:t>
      </w:r>
      <w:r>
        <w:rPr>
          <w:w w:val="105"/>
          <w:sz w:val="21"/>
        </w:rPr>
        <w:t>Justice Byrne </w:t>
      </w:r>
      <w:r>
        <w:rPr>
          <w:spacing w:val="-3"/>
          <w:w w:val="105"/>
          <w:sz w:val="21"/>
        </w:rPr>
        <w:t>considered that </w:t>
      </w:r>
      <w:r>
        <w:rPr>
          <w:w w:val="105"/>
          <w:sz w:val="21"/>
        </w:rPr>
        <w:t>the </w:t>
      </w:r>
      <w:r>
        <w:rPr>
          <w:spacing w:val="-3"/>
          <w:w w:val="105"/>
          <w:sz w:val="21"/>
        </w:rPr>
        <w:t>legislation empowered, rather than </w:t>
      </w:r>
      <w:r>
        <w:rPr>
          <w:w w:val="105"/>
          <w:sz w:val="21"/>
        </w:rPr>
        <w:t>directed, the </w:t>
      </w:r>
      <w:r>
        <w:rPr>
          <w:spacing w:val="-3"/>
          <w:w w:val="105"/>
          <w:sz w:val="21"/>
        </w:rPr>
        <w:t>Court to </w:t>
      </w:r>
      <w:r>
        <w:rPr>
          <w:spacing w:val="-4"/>
          <w:w w:val="105"/>
          <w:sz w:val="21"/>
        </w:rPr>
        <w:t>make </w:t>
      </w:r>
      <w:r>
        <w:rPr>
          <w:w w:val="105"/>
          <w:sz w:val="21"/>
        </w:rPr>
        <w:t>a costs order </w:t>
      </w:r>
      <w:r>
        <w:rPr>
          <w:spacing w:val="-3"/>
          <w:w w:val="105"/>
          <w:sz w:val="21"/>
        </w:rPr>
        <w:t>against </w:t>
      </w:r>
      <w:r>
        <w:rPr>
          <w:w w:val="105"/>
          <w:sz w:val="21"/>
        </w:rPr>
        <w:t>the plaintiff in the </w:t>
      </w:r>
      <w:r>
        <w:rPr>
          <w:spacing w:val="-3"/>
          <w:w w:val="105"/>
          <w:sz w:val="21"/>
        </w:rPr>
        <w:t>circumstances </w:t>
      </w:r>
      <w:r>
        <w:rPr>
          <w:w w:val="105"/>
          <w:sz w:val="21"/>
        </w:rPr>
        <w:t>in section 97(7) because </w:t>
      </w:r>
      <w:r>
        <w:rPr>
          <w:spacing w:val="-4"/>
          <w:w w:val="105"/>
          <w:sz w:val="21"/>
        </w:rPr>
        <w:t>‘in </w:t>
      </w:r>
      <w:r>
        <w:rPr>
          <w:w w:val="105"/>
          <w:sz w:val="21"/>
        </w:rPr>
        <w:t>the ordinary </w:t>
      </w:r>
      <w:r>
        <w:rPr>
          <w:spacing w:val="-3"/>
          <w:w w:val="105"/>
          <w:sz w:val="21"/>
        </w:rPr>
        <w:t>course, </w:t>
      </w:r>
      <w:r>
        <w:rPr>
          <w:w w:val="105"/>
          <w:sz w:val="21"/>
        </w:rPr>
        <w:t>an order </w:t>
      </w:r>
      <w:r>
        <w:rPr>
          <w:spacing w:val="-3"/>
          <w:w w:val="105"/>
          <w:sz w:val="21"/>
        </w:rPr>
        <w:t>for </w:t>
      </w:r>
      <w:r>
        <w:rPr>
          <w:w w:val="105"/>
          <w:sz w:val="21"/>
        </w:rPr>
        <w:t>costs in </w:t>
      </w:r>
      <w:r>
        <w:rPr>
          <w:spacing w:val="-3"/>
          <w:w w:val="105"/>
          <w:sz w:val="21"/>
        </w:rPr>
        <w:t>family</w:t>
      </w:r>
      <w:r>
        <w:rPr>
          <w:spacing w:val="-9"/>
          <w:w w:val="105"/>
          <w:sz w:val="21"/>
        </w:rPr>
        <w:t> </w:t>
      </w:r>
      <w:r>
        <w:rPr>
          <w:spacing w:val="-3"/>
          <w:w w:val="105"/>
          <w:sz w:val="21"/>
        </w:rPr>
        <w:t>provision</w:t>
      </w:r>
      <w:r>
        <w:rPr>
          <w:spacing w:val="-8"/>
          <w:w w:val="105"/>
          <w:sz w:val="21"/>
        </w:rPr>
        <w:t> </w:t>
      </w:r>
      <w:r>
        <w:rPr>
          <w:w w:val="105"/>
          <w:sz w:val="21"/>
        </w:rPr>
        <w:t>cases</w:t>
      </w:r>
      <w:r>
        <w:rPr>
          <w:spacing w:val="-9"/>
          <w:w w:val="105"/>
          <w:sz w:val="21"/>
        </w:rPr>
        <w:t> </w:t>
      </w:r>
      <w:r>
        <w:rPr>
          <w:spacing w:val="-3"/>
          <w:w w:val="105"/>
          <w:sz w:val="21"/>
        </w:rPr>
        <w:t>may</w:t>
      </w:r>
      <w:r>
        <w:rPr>
          <w:spacing w:val="-8"/>
          <w:w w:val="105"/>
          <w:sz w:val="21"/>
        </w:rPr>
        <w:t> </w:t>
      </w:r>
      <w:r>
        <w:rPr>
          <w:spacing w:val="-2"/>
          <w:w w:val="105"/>
          <w:sz w:val="21"/>
        </w:rPr>
        <w:t>not</w:t>
      </w:r>
      <w:r>
        <w:rPr>
          <w:spacing w:val="-9"/>
          <w:w w:val="105"/>
          <w:sz w:val="21"/>
        </w:rPr>
        <w:t> </w:t>
      </w:r>
      <w:r>
        <w:rPr>
          <w:w w:val="105"/>
          <w:sz w:val="21"/>
        </w:rPr>
        <w:t>be</w:t>
      </w:r>
      <w:r>
        <w:rPr>
          <w:spacing w:val="-8"/>
          <w:w w:val="105"/>
          <w:sz w:val="21"/>
        </w:rPr>
        <w:t> </w:t>
      </w:r>
      <w:r>
        <w:rPr>
          <w:w w:val="105"/>
          <w:sz w:val="21"/>
        </w:rPr>
        <w:t>made</w:t>
      </w:r>
      <w:r>
        <w:rPr>
          <w:spacing w:val="-9"/>
          <w:w w:val="105"/>
          <w:sz w:val="21"/>
        </w:rPr>
        <w:t> </w:t>
      </w:r>
      <w:r>
        <w:rPr>
          <w:spacing w:val="-3"/>
          <w:w w:val="105"/>
          <w:sz w:val="21"/>
        </w:rPr>
        <w:t>against</w:t>
      </w:r>
      <w:r>
        <w:rPr>
          <w:spacing w:val="-8"/>
          <w:w w:val="105"/>
          <w:sz w:val="21"/>
        </w:rPr>
        <w:t> </w:t>
      </w:r>
      <w:r>
        <w:rPr>
          <w:w w:val="105"/>
          <w:sz w:val="21"/>
        </w:rPr>
        <w:t>a</w:t>
      </w:r>
      <w:r>
        <w:rPr>
          <w:spacing w:val="-8"/>
          <w:w w:val="105"/>
          <w:sz w:val="21"/>
        </w:rPr>
        <w:t> </w:t>
      </w:r>
      <w:r>
        <w:rPr>
          <w:w w:val="105"/>
          <w:sz w:val="21"/>
        </w:rPr>
        <w:t>plaintiff</w:t>
      </w:r>
      <w:r>
        <w:rPr>
          <w:spacing w:val="-9"/>
          <w:w w:val="105"/>
          <w:sz w:val="21"/>
        </w:rPr>
        <w:t> </w:t>
      </w:r>
      <w:r>
        <w:rPr>
          <w:w w:val="105"/>
          <w:sz w:val="21"/>
        </w:rPr>
        <w:t>simply</w:t>
      </w:r>
      <w:r>
        <w:rPr>
          <w:spacing w:val="-8"/>
          <w:w w:val="105"/>
          <w:sz w:val="21"/>
        </w:rPr>
        <w:t> </w:t>
      </w:r>
      <w:r>
        <w:rPr>
          <w:w w:val="105"/>
          <w:sz w:val="21"/>
        </w:rPr>
        <w:t>because</w:t>
      </w:r>
      <w:r>
        <w:rPr>
          <w:spacing w:val="-9"/>
          <w:w w:val="105"/>
          <w:sz w:val="21"/>
        </w:rPr>
        <w:t> </w:t>
      </w:r>
      <w:r>
        <w:rPr>
          <w:w w:val="105"/>
          <w:sz w:val="21"/>
        </w:rPr>
        <w:t>the</w:t>
      </w:r>
      <w:r>
        <w:rPr>
          <w:spacing w:val="-8"/>
          <w:w w:val="105"/>
          <w:sz w:val="21"/>
        </w:rPr>
        <w:t> </w:t>
      </w:r>
      <w:r>
        <w:rPr>
          <w:w w:val="105"/>
          <w:sz w:val="21"/>
        </w:rPr>
        <w:t>application </w:t>
      </w:r>
      <w:r>
        <w:rPr>
          <w:spacing w:val="-2"/>
          <w:w w:val="105"/>
          <w:sz w:val="21"/>
        </w:rPr>
        <w:t>has </w:t>
      </w:r>
      <w:r>
        <w:rPr>
          <w:spacing w:val="-6"/>
          <w:w w:val="105"/>
          <w:sz w:val="21"/>
        </w:rPr>
        <w:t>failed’.</w:t>
      </w:r>
      <w:r>
        <w:rPr>
          <w:spacing w:val="-6"/>
          <w:w w:val="105"/>
          <w:position w:val="7"/>
          <w:sz w:val="12"/>
        </w:rPr>
        <w:t>172 </w:t>
      </w:r>
      <w:r>
        <w:rPr>
          <w:w w:val="105"/>
          <w:sz w:val="21"/>
        </w:rPr>
        <w:t>His Honour characterised section 97(7) as a </w:t>
      </w:r>
      <w:r>
        <w:rPr>
          <w:spacing w:val="-4"/>
          <w:w w:val="105"/>
          <w:sz w:val="21"/>
        </w:rPr>
        <w:t>‘reminder </w:t>
      </w:r>
      <w:r>
        <w:rPr>
          <w:w w:val="105"/>
          <w:sz w:val="21"/>
        </w:rPr>
        <w:t>and </w:t>
      </w:r>
      <w:r>
        <w:rPr>
          <w:spacing w:val="-3"/>
          <w:w w:val="105"/>
          <w:sz w:val="21"/>
        </w:rPr>
        <w:t>encouragement </w:t>
      </w:r>
      <w:r>
        <w:rPr>
          <w:w w:val="105"/>
          <w:sz w:val="21"/>
        </w:rPr>
        <w:t>offered </w:t>
      </w:r>
      <w:r>
        <w:rPr>
          <w:spacing w:val="-3"/>
          <w:w w:val="105"/>
          <w:sz w:val="21"/>
        </w:rPr>
        <w:t>to </w:t>
      </w:r>
      <w:r>
        <w:rPr>
          <w:w w:val="105"/>
          <w:sz w:val="21"/>
        </w:rPr>
        <w:t>the </w:t>
      </w:r>
      <w:r>
        <w:rPr>
          <w:spacing w:val="-3"/>
          <w:w w:val="105"/>
          <w:sz w:val="21"/>
        </w:rPr>
        <w:t>Court </w:t>
      </w:r>
      <w:r>
        <w:rPr>
          <w:w w:val="115"/>
          <w:sz w:val="21"/>
        </w:rPr>
        <w:t>… </w:t>
      </w:r>
      <w:r>
        <w:rPr>
          <w:spacing w:val="-3"/>
          <w:w w:val="105"/>
          <w:sz w:val="21"/>
        </w:rPr>
        <w:t>intended to </w:t>
      </w:r>
      <w:r>
        <w:rPr>
          <w:w w:val="105"/>
          <w:sz w:val="21"/>
        </w:rPr>
        <w:t>operate as a </w:t>
      </w:r>
      <w:r>
        <w:rPr>
          <w:spacing w:val="-3"/>
          <w:w w:val="105"/>
          <w:sz w:val="21"/>
        </w:rPr>
        <w:t>disincentive to </w:t>
      </w:r>
      <w:r>
        <w:rPr>
          <w:w w:val="105"/>
          <w:sz w:val="21"/>
        </w:rPr>
        <w:t>would-be applicants whose </w:t>
      </w:r>
      <w:r>
        <w:rPr>
          <w:spacing w:val="-3"/>
          <w:w w:val="105"/>
          <w:sz w:val="21"/>
        </w:rPr>
        <w:t>claims to </w:t>
      </w:r>
      <w:r>
        <w:rPr>
          <w:w w:val="105"/>
          <w:sz w:val="21"/>
        </w:rPr>
        <w:t>a moral </w:t>
      </w:r>
      <w:r>
        <w:rPr>
          <w:spacing w:val="-3"/>
          <w:w w:val="105"/>
          <w:sz w:val="21"/>
        </w:rPr>
        <w:t>entitlement are </w:t>
      </w:r>
      <w:r>
        <w:rPr>
          <w:spacing w:val="-6"/>
          <w:w w:val="105"/>
          <w:sz w:val="21"/>
        </w:rPr>
        <w:t>tenuous’.</w:t>
      </w:r>
      <w:r>
        <w:rPr>
          <w:spacing w:val="-6"/>
          <w:w w:val="105"/>
          <w:position w:val="7"/>
          <w:sz w:val="12"/>
        </w:rPr>
        <w:t>173 </w:t>
      </w:r>
      <w:r>
        <w:rPr>
          <w:w w:val="105"/>
          <w:sz w:val="21"/>
        </w:rPr>
        <w:t>This view of section 97(7) </w:t>
      </w:r>
      <w:r>
        <w:rPr>
          <w:spacing w:val="-3"/>
          <w:w w:val="105"/>
          <w:sz w:val="21"/>
        </w:rPr>
        <w:t>accords </w:t>
      </w:r>
      <w:r>
        <w:rPr>
          <w:w w:val="105"/>
          <w:sz w:val="21"/>
        </w:rPr>
        <w:t>with the second </w:t>
      </w:r>
      <w:r>
        <w:rPr>
          <w:spacing w:val="-3"/>
          <w:w w:val="105"/>
          <w:sz w:val="21"/>
        </w:rPr>
        <w:t>reading </w:t>
      </w:r>
      <w:r>
        <w:rPr>
          <w:w w:val="105"/>
          <w:sz w:val="21"/>
        </w:rPr>
        <w:t>speech upon introduction of the </w:t>
      </w:r>
      <w:r>
        <w:rPr>
          <w:spacing w:val="-3"/>
          <w:w w:val="105"/>
          <w:sz w:val="21"/>
        </w:rPr>
        <w:t>provision, </w:t>
      </w:r>
      <w:r>
        <w:rPr>
          <w:w w:val="105"/>
          <w:sz w:val="21"/>
        </w:rPr>
        <w:t>in which then Attorney-General, the Hon. Jan </w:t>
      </w:r>
      <w:r>
        <w:rPr>
          <w:spacing w:val="-4"/>
          <w:w w:val="105"/>
          <w:sz w:val="21"/>
        </w:rPr>
        <w:t>Wade, </w:t>
      </w:r>
      <w:r>
        <w:rPr>
          <w:w w:val="105"/>
          <w:sz w:val="21"/>
        </w:rPr>
        <w:t>said </w:t>
      </w:r>
      <w:r>
        <w:rPr>
          <w:spacing w:val="-3"/>
          <w:w w:val="105"/>
          <w:sz w:val="21"/>
        </w:rPr>
        <w:t>that </w:t>
      </w:r>
      <w:r>
        <w:rPr>
          <w:w w:val="105"/>
          <w:sz w:val="21"/>
        </w:rPr>
        <w:t>the </w:t>
      </w:r>
      <w:r>
        <w:rPr>
          <w:spacing w:val="-3"/>
          <w:w w:val="105"/>
          <w:sz w:val="21"/>
        </w:rPr>
        <w:t>provision </w:t>
      </w:r>
      <w:r>
        <w:rPr>
          <w:w w:val="105"/>
          <w:sz w:val="21"/>
        </w:rPr>
        <w:t>was </w:t>
      </w:r>
      <w:r>
        <w:rPr>
          <w:spacing w:val="-3"/>
          <w:w w:val="105"/>
          <w:sz w:val="21"/>
        </w:rPr>
        <w:t>intended </w:t>
      </w:r>
      <w:r>
        <w:rPr>
          <w:w w:val="105"/>
          <w:sz w:val="21"/>
        </w:rPr>
        <w:t>‘to </w:t>
      </w:r>
      <w:r>
        <w:rPr>
          <w:spacing w:val="-3"/>
          <w:w w:val="105"/>
          <w:sz w:val="21"/>
        </w:rPr>
        <w:t>ensure that </w:t>
      </w:r>
      <w:r>
        <w:rPr>
          <w:w w:val="105"/>
          <w:sz w:val="21"/>
        </w:rPr>
        <w:t>only </w:t>
      </w:r>
      <w:r>
        <w:rPr>
          <w:spacing w:val="-3"/>
          <w:w w:val="105"/>
          <w:sz w:val="21"/>
        </w:rPr>
        <w:t>genuine applications are</w:t>
      </w:r>
      <w:r>
        <w:rPr>
          <w:spacing w:val="36"/>
          <w:w w:val="105"/>
          <w:sz w:val="21"/>
        </w:rPr>
        <w:t> </w:t>
      </w:r>
      <w:r>
        <w:rPr>
          <w:spacing w:val="-8"/>
          <w:w w:val="105"/>
          <w:sz w:val="21"/>
        </w:rPr>
        <w:t>made’.</w:t>
      </w:r>
      <w:r>
        <w:rPr>
          <w:spacing w:val="-8"/>
          <w:w w:val="105"/>
          <w:position w:val="7"/>
          <w:sz w:val="12"/>
        </w:rPr>
        <w:t>174</w:t>
      </w:r>
    </w:p>
    <w:p>
      <w:pPr>
        <w:pStyle w:val="ListParagraph"/>
        <w:numPr>
          <w:ilvl w:val="1"/>
          <w:numId w:val="82"/>
        </w:numPr>
        <w:tabs>
          <w:tab w:pos="2380" w:val="left" w:leader="none"/>
          <w:tab w:pos="2381" w:val="left" w:leader="none"/>
        </w:tabs>
        <w:spacing w:line="242" w:lineRule="auto" w:before="125" w:after="0"/>
        <w:ind w:left="2381" w:right="1994" w:hanging="794"/>
        <w:jc w:val="left"/>
        <w:rPr>
          <w:sz w:val="21"/>
        </w:rPr>
      </w:pPr>
      <w:r>
        <w:rPr>
          <w:w w:val="105"/>
          <w:sz w:val="21"/>
        </w:rPr>
        <w:t>More </w:t>
      </w:r>
      <w:r>
        <w:rPr>
          <w:spacing w:val="-4"/>
          <w:w w:val="105"/>
          <w:sz w:val="21"/>
        </w:rPr>
        <w:t>recently, </w:t>
      </w:r>
      <w:r>
        <w:rPr>
          <w:w w:val="105"/>
          <w:sz w:val="21"/>
        </w:rPr>
        <w:t>the </w:t>
      </w:r>
      <w:r>
        <w:rPr>
          <w:spacing w:val="-3"/>
          <w:w w:val="105"/>
          <w:sz w:val="21"/>
        </w:rPr>
        <w:t>Supreme Court </w:t>
      </w:r>
      <w:r>
        <w:rPr>
          <w:spacing w:val="-2"/>
          <w:w w:val="105"/>
          <w:sz w:val="21"/>
        </w:rPr>
        <w:t>has </w:t>
      </w:r>
      <w:r>
        <w:rPr>
          <w:w w:val="105"/>
          <w:sz w:val="21"/>
        </w:rPr>
        <w:t>held </w:t>
      </w:r>
      <w:r>
        <w:rPr>
          <w:spacing w:val="-3"/>
          <w:w w:val="105"/>
          <w:sz w:val="21"/>
        </w:rPr>
        <w:t>that </w:t>
      </w:r>
      <w:r>
        <w:rPr>
          <w:w w:val="105"/>
          <w:sz w:val="21"/>
        </w:rPr>
        <w:t>section 97(7) of the </w:t>
      </w:r>
      <w:r>
        <w:rPr>
          <w:spacing w:val="-3"/>
          <w:w w:val="105"/>
          <w:sz w:val="21"/>
        </w:rPr>
        <w:t>Administration </w:t>
      </w:r>
      <w:r>
        <w:rPr>
          <w:w w:val="105"/>
          <w:sz w:val="21"/>
        </w:rPr>
        <w:t>and </w:t>
      </w:r>
      <w:r>
        <w:rPr>
          <w:spacing w:val="-3"/>
          <w:w w:val="105"/>
          <w:sz w:val="21"/>
        </w:rPr>
        <w:t>Probate </w:t>
      </w:r>
      <w:r>
        <w:rPr>
          <w:w w:val="105"/>
          <w:sz w:val="21"/>
        </w:rPr>
        <w:t>Act does </w:t>
      </w:r>
      <w:r>
        <w:rPr>
          <w:spacing w:val="-2"/>
          <w:w w:val="105"/>
          <w:sz w:val="21"/>
        </w:rPr>
        <w:t>not </w:t>
      </w:r>
      <w:r>
        <w:rPr>
          <w:spacing w:val="-3"/>
          <w:w w:val="105"/>
          <w:sz w:val="21"/>
        </w:rPr>
        <w:t>limit </w:t>
      </w:r>
      <w:r>
        <w:rPr>
          <w:w w:val="105"/>
          <w:sz w:val="21"/>
        </w:rPr>
        <w:t>the </w:t>
      </w:r>
      <w:r>
        <w:rPr>
          <w:spacing w:val="-3"/>
          <w:w w:val="105"/>
          <w:sz w:val="21"/>
        </w:rPr>
        <w:t>Court’s </w:t>
      </w:r>
      <w:r>
        <w:rPr>
          <w:w w:val="105"/>
          <w:sz w:val="21"/>
        </w:rPr>
        <w:t>power </w:t>
      </w:r>
      <w:r>
        <w:rPr>
          <w:spacing w:val="-3"/>
          <w:w w:val="105"/>
          <w:sz w:val="21"/>
        </w:rPr>
        <w:t>to </w:t>
      </w:r>
      <w:r>
        <w:rPr>
          <w:spacing w:val="-4"/>
          <w:w w:val="105"/>
          <w:sz w:val="21"/>
        </w:rPr>
        <w:t>make </w:t>
      </w:r>
      <w:r>
        <w:rPr>
          <w:w w:val="105"/>
          <w:sz w:val="21"/>
        </w:rPr>
        <w:t>costs orders </w:t>
      </w:r>
      <w:r>
        <w:rPr>
          <w:spacing w:val="-3"/>
          <w:w w:val="105"/>
          <w:sz w:val="21"/>
        </w:rPr>
        <w:t>against unsuccessful family provision </w:t>
      </w:r>
      <w:r>
        <w:rPr>
          <w:w w:val="105"/>
          <w:sz w:val="21"/>
        </w:rPr>
        <w:t>applicants </w:t>
      </w:r>
      <w:r>
        <w:rPr>
          <w:spacing w:val="-3"/>
          <w:w w:val="105"/>
          <w:sz w:val="21"/>
        </w:rPr>
        <w:t>to </w:t>
      </w:r>
      <w:r>
        <w:rPr>
          <w:w w:val="105"/>
          <w:sz w:val="21"/>
        </w:rPr>
        <w:t>the </w:t>
      </w:r>
      <w:r>
        <w:rPr>
          <w:spacing w:val="-3"/>
          <w:w w:val="105"/>
          <w:sz w:val="21"/>
        </w:rPr>
        <w:t>circumstances contemplated </w:t>
      </w:r>
      <w:r>
        <w:rPr>
          <w:w w:val="105"/>
          <w:sz w:val="21"/>
        </w:rPr>
        <w:t>by </w:t>
      </w:r>
      <w:r>
        <w:rPr>
          <w:spacing w:val="-3"/>
          <w:w w:val="105"/>
          <w:sz w:val="21"/>
        </w:rPr>
        <w:t>that </w:t>
      </w:r>
      <w:r>
        <w:rPr>
          <w:w w:val="105"/>
          <w:sz w:val="21"/>
        </w:rPr>
        <w:t>subsection.</w:t>
      </w:r>
      <w:r>
        <w:rPr>
          <w:spacing w:val="-5"/>
          <w:w w:val="105"/>
          <w:sz w:val="21"/>
        </w:rPr>
        <w:t> </w:t>
      </w:r>
      <w:r>
        <w:rPr>
          <w:w w:val="105"/>
          <w:sz w:val="21"/>
        </w:rPr>
        <w:t>In</w:t>
      </w:r>
      <w:r>
        <w:rPr>
          <w:spacing w:val="-5"/>
          <w:w w:val="105"/>
          <w:sz w:val="21"/>
        </w:rPr>
        <w:t> </w:t>
      </w:r>
      <w:r>
        <w:rPr>
          <w:i/>
          <w:w w:val="105"/>
          <w:sz w:val="21"/>
        </w:rPr>
        <w:t>Re</w:t>
      </w:r>
      <w:r>
        <w:rPr>
          <w:i/>
          <w:spacing w:val="-4"/>
          <w:w w:val="105"/>
          <w:sz w:val="21"/>
        </w:rPr>
        <w:t> </w:t>
      </w:r>
      <w:r>
        <w:rPr>
          <w:i/>
          <w:w w:val="105"/>
          <w:sz w:val="21"/>
        </w:rPr>
        <w:t>Carn;</w:t>
      </w:r>
      <w:r>
        <w:rPr>
          <w:i/>
          <w:spacing w:val="-5"/>
          <w:w w:val="105"/>
          <w:sz w:val="21"/>
        </w:rPr>
        <w:t> </w:t>
      </w:r>
      <w:r>
        <w:rPr>
          <w:i/>
          <w:w w:val="105"/>
          <w:sz w:val="21"/>
        </w:rPr>
        <w:t>Moerth</w:t>
      </w:r>
      <w:r>
        <w:rPr>
          <w:i/>
          <w:spacing w:val="-5"/>
          <w:w w:val="105"/>
          <w:sz w:val="21"/>
        </w:rPr>
        <w:t> </w:t>
      </w:r>
      <w:r>
        <w:rPr>
          <w:i/>
          <w:w w:val="105"/>
          <w:sz w:val="21"/>
        </w:rPr>
        <w:t>v</w:t>
      </w:r>
      <w:r>
        <w:rPr>
          <w:i/>
          <w:spacing w:val="-4"/>
          <w:w w:val="105"/>
          <w:sz w:val="21"/>
        </w:rPr>
        <w:t> </w:t>
      </w:r>
      <w:r>
        <w:rPr>
          <w:i/>
          <w:w w:val="105"/>
          <w:sz w:val="21"/>
        </w:rPr>
        <w:t>Moerth</w:t>
      </w:r>
      <w:r>
        <w:rPr>
          <w:i/>
          <w:spacing w:val="-5"/>
          <w:w w:val="105"/>
          <w:sz w:val="21"/>
        </w:rPr>
        <w:t> </w:t>
      </w:r>
      <w:r>
        <w:rPr>
          <w:i/>
          <w:spacing w:val="2"/>
          <w:w w:val="105"/>
          <w:sz w:val="21"/>
        </w:rPr>
        <w:t>(No</w:t>
      </w:r>
      <w:r>
        <w:rPr>
          <w:i/>
          <w:spacing w:val="-4"/>
          <w:w w:val="105"/>
          <w:sz w:val="21"/>
        </w:rPr>
        <w:t> </w:t>
      </w:r>
      <w:r>
        <w:rPr>
          <w:i/>
          <w:w w:val="105"/>
          <w:sz w:val="21"/>
        </w:rPr>
        <w:t>2)</w:t>
      </w:r>
      <w:r>
        <w:rPr>
          <w:w w:val="105"/>
          <w:sz w:val="21"/>
        </w:rPr>
        <w:t>,</w:t>
      </w:r>
      <w:r>
        <w:rPr>
          <w:spacing w:val="-5"/>
          <w:w w:val="105"/>
          <w:sz w:val="21"/>
        </w:rPr>
        <w:t> </w:t>
      </w:r>
      <w:r>
        <w:rPr>
          <w:w w:val="105"/>
          <w:sz w:val="21"/>
        </w:rPr>
        <w:t>Associate</w:t>
      </w:r>
      <w:r>
        <w:rPr>
          <w:spacing w:val="-5"/>
          <w:w w:val="105"/>
          <w:sz w:val="21"/>
        </w:rPr>
        <w:t> </w:t>
      </w:r>
      <w:r>
        <w:rPr>
          <w:w w:val="105"/>
          <w:sz w:val="21"/>
        </w:rPr>
        <w:t>Justice</w:t>
      </w:r>
      <w:r>
        <w:rPr>
          <w:spacing w:val="-4"/>
          <w:w w:val="105"/>
          <w:sz w:val="21"/>
        </w:rPr>
        <w:t> </w:t>
      </w:r>
      <w:r>
        <w:rPr>
          <w:spacing w:val="-3"/>
          <w:w w:val="105"/>
          <w:sz w:val="21"/>
        </w:rPr>
        <w:t>Gardiner</w:t>
      </w:r>
      <w:r>
        <w:rPr>
          <w:spacing w:val="-5"/>
          <w:w w:val="105"/>
          <w:sz w:val="21"/>
        </w:rPr>
        <w:t> </w:t>
      </w:r>
      <w:r>
        <w:rPr>
          <w:w w:val="105"/>
          <w:sz w:val="21"/>
        </w:rPr>
        <w:t>held</w:t>
      </w:r>
      <w:r>
        <w:rPr>
          <w:spacing w:val="-4"/>
          <w:w w:val="105"/>
          <w:sz w:val="21"/>
        </w:rPr>
        <w:t> </w:t>
      </w:r>
      <w:r>
        <w:rPr>
          <w:spacing w:val="-3"/>
          <w:w w:val="105"/>
          <w:sz w:val="21"/>
        </w:rPr>
        <w:t>that,</w:t>
      </w:r>
    </w:p>
    <w:p>
      <w:pPr>
        <w:pStyle w:val="BodyText"/>
        <w:spacing w:line="242" w:lineRule="auto" w:before="4"/>
        <w:ind w:left="2380" w:right="1826"/>
      </w:pPr>
      <w:r>
        <w:rPr/>
        <w:t>even where the </w:t>
      </w:r>
      <w:r>
        <w:rPr>
          <w:spacing w:val="-3"/>
        </w:rPr>
        <w:t>plaintiff’s claim </w:t>
      </w:r>
      <w:r>
        <w:rPr/>
        <w:t>is </w:t>
      </w:r>
      <w:r>
        <w:rPr>
          <w:spacing w:val="-2"/>
        </w:rPr>
        <w:t>not </w:t>
      </w:r>
      <w:r>
        <w:rPr/>
        <w:t>made </w:t>
      </w:r>
      <w:r>
        <w:rPr>
          <w:spacing w:val="-3"/>
        </w:rPr>
        <w:t>frivolously, </w:t>
      </w:r>
      <w:r>
        <w:rPr/>
        <w:t>vexatiously or with no </w:t>
      </w:r>
      <w:r>
        <w:rPr>
          <w:spacing w:val="-3"/>
        </w:rPr>
        <w:t>reasonable </w:t>
      </w:r>
      <w:r>
        <w:rPr/>
        <w:t>prospect of </w:t>
      </w:r>
      <w:r>
        <w:rPr>
          <w:spacing w:val="-3"/>
        </w:rPr>
        <w:t>success, </w:t>
      </w:r>
      <w:r>
        <w:rPr/>
        <w:t>there </w:t>
      </w:r>
      <w:r>
        <w:rPr>
          <w:spacing w:val="-3"/>
        </w:rPr>
        <w:t>will </w:t>
      </w:r>
      <w:r>
        <w:rPr/>
        <w:t>be cases in which it </w:t>
      </w:r>
      <w:r>
        <w:rPr>
          <w:spacing w:val="-3"/>
        </w:rPr>
        <w:t>will </w:t>
      </w:r>
      <w:r>
        <w:rPr/>
        <w:t>nevertheless be just </w:t>
      </w:r>
      <w:r>
        <w:rPr>
          <w:spacing w:val="-3"/>
        </w:rPr>
        <w:t>that </w:t>
      </w:r>
      <w:r>
        <w:rPr/>
        <w:t>the </w:t>
      </w:r>
      <w:r>
        <w:rPr>
          <w:spacing w:val="-3"/>
        </w:rPr>
        <w:t>unsuccessful </w:t>
      </w:r>
      <w:r>
        <w:rPr/>
        <w:t>plaintiff </w:t>
      </w:r>
      <w:r>
        <w:rPr>
          <w:spacing w:val="-2"/>
        </w:rPr>
        <w:t>pay  </w:t>
      </w:r>
      <w:r>
        <w:rPr/>
        <w:t>the  costs  of  the  </w:t>
      </w:r>
      <w:r>
        <w:rPr>
          <w:spacing w:val="-3"/>
        </w:rPr>
        <w:t>defendant  </w:t>
      </w:r>
      <w:r>
        <w:rPr/>
        <w:t>personal  </w:t>
      </w:r>
      <w:r>
        <w:rPr>
          <w:spacing w:val="-4"/>
        </w:rPr>
        <w:t>representative.</w:t>
      </w:r>
      <w:r>
        <w:rPr>
          <w:spacing w:val="-4"/>
          <w:position w:val="7"/>
          <w:sz w:val="12"/>
        </w:rPr>
        <w:t>175  </w:t>
      </w:r>
      <w:r>
        <w:rPr>
          <w:spacing w:val="-4"/>
        </w:rPr>
        <w:t>Further, </w:t>
      </w:r>
      <w:r>
        <w:rPr/>
        <w:t>in </w:t>
      </w:r>
      <w:r>
        <w:rPr>
          <w:i/>
        </w:rPr>
        <w:t>Webb v </w:t>
      </w:r>
      <w:r>
        <w:rPr>
          <w:i/>
          <w:spacing w:val="-4"/>
        </w:rPr>
        <w:t>Ryan</w:t>
      </w:r>
      <w:r>
        <w:rPr>
          <w:spacing w:val="-4"/>
        </w:rPr>
        <w:t>, </w:t>
      </w:r>
      <w:r>
        <w:rPr/>
        <w:t>Justice Whelan</w:t>
      </w:r>
      <w:r>
        <w:rPr>
          <w:spacing w:val="9"/>
        </w:rPr>
        <w:t> </w:t>
      </w:r>
      <w:r>
        <w:rPr/>
        <w:t>stated:</w:t>
      </w:r>
    </w:p>
    <w:p>
      <w:pPr>
        <w:spacing w:line="254" w:lineRule="auto" w:before="127"/>
        <w:ind w:left="2721" w:right="1930" w:firstLine="0"/>
        <w:jc w:val="left"/>
        <w:rPr>
          <w:sz w:val="11"/>
        </w:rPr>
      </w:pPr>
      <w:r>
        <w:rPr>
          <w:sz w:val="20"/>
        </w:rPr>
        <w:t>I do not </w:t>
      </w:r>
      <w:r>
        <w:rPr>
          <w:spacing w:val="-3"/>
          <w:sz w:val="20"/>
        </w:rPr>
        <w:t>think  </w:t>
      </w:r>
      <w:r>
        <w:rPr>
          <w:sz w:val="20"/>
        </w:rPr>
        <w:t>the effect of s 97(7) is to confine the </w:t>
      </w:r>
      <w:r>
        <w:rPr>
          <w:spacing w:val="-3"/>
          <w:sz w:val="20"/>
        </w:rPr>
        <w:t>Court’s</w:t>
      </w:r>
      <w:r>
        <w:rPr>
          <w:spacing w:val="39"/>
          <w:sz w:val="20"/>
        </w:rPr>
        <w:t> </w:t>
      </w:r>
      <w:r>
        <w:rPr>
          <w:sz w:val="20"/>
        </w:rPr>
        <w:t>power to award costs against   an applicant to the specific circumstances provided for in that subsection </w:t>
      </w:r>
      <w:r>
        <w:rPr>
          <w:w w:val="115"/>
          <w:sz w:val="20"/>
        </w:rPr>
        <w:t>… </w:t>
      </w:r>
      <w:r>
        <w:rPr>
          <w:sz w:val="20"/>
        </w:rPr>
        <w:t>The Court  must address s 97(7), but, where it does not </w:t>
      </w:r>
      <w:r>
        <w:rPr>
          <w:spacing w:val="-3"/>
          <w:sz w:val="20"/>
        </w:rPr>
        <w:t>apply, </w:t>
      </w:r>
      <w:r>
        <w:rPr>
          <w:sz w:val="20"/>
        </w:rPr>
        <w:t>the Court must still exercise its discretion under s </w:t>
      </w:r>
      <w:r>
        <w:rPr>
          <w:spacing w:val="-4"/>
          <w:sz w:val="20"/>
        </w:rPr>
        <w:t>24  </w:t>
      </w:r>
      <w:r>
        <w:rPr>
          <w:sz w:val="20"/>
        </w:rPr>
        <w:t>of the Supreme Court Act </w:t>
      </w:r>
      <w:r>
        <w:rPr>
          <w:spacing w:val="-4"/>
          <w:position w:val="7"/>
          <w:sz w:val="11"/>
        </w:rPr>
        <w:t>176   </w:t>
      </w:r>
      <w:r>
        <w:rPr>
          <w:sz w:val="20"/>
        </w:rPr>
        <w:t>in the </w:t>
      </w:r>
      <w:r>
        <w:rPr>
          <w:spacing w:val="-3"/>
          <w:sz w:val="20"/>
        </w:rPr>
        <w:t>light  </w:t>
      </w:r>
      <w:r>
        <w:rPr>
          <w:sz w:val="20"/>
        </w:rPr>
        <w:t>of the facts of the case,     and</w:t>
      </w:r>
      <w:r>
        <w:rPr>
          <w:spacing w:val="11"/>
          <w:sz w:val="20"/>
        </w:rPr>
        <w:t> </w:t>
      </w:r>
      <w:r>
        <w:rPr>
          <w:sz w:val="20"/>
        </w:rPr>
        <w:t>must,</w:t>
      </w:r>
      <w:r>
        <w:rPr>
          <w:spacing w:val="11"/>
          <w:sz w:val="20"/>
        </w:rPr>
        <w:t> </w:t>
      </w:r>
      <w:r>
        <w:rPr>
          <w:sz w:val="20"/>
        </w:rPr>
        <w:t>under</w:t>
      </w:r>
      <w:r>
        <w:rPr>
          <w:spacing w:val="11"/>
          <w:sz w:val="20"/>
        </w:rPr>
        <w:t> </w:t>
      </w:r>
      <w:r>
        <w:rPr>
          <w:sz w:val="20"/>
        </w:rPr>
        <w:t>s</w:t>
      </w:r>
      <w:r>
        <w:rPr>
          <w:spacing w:val="11"/>
          <w:sz w:val="20"/>
        </w:rPr>
        <w:t> </w:t>
      </w:r>
      <w:r>
        <w:rPr>
          <w:sz w:val="20"/>
        </w:rPr>
        <w:t>97(6)</w:t>
      </w:r>
      <w:r>
        <w:rPr>
          <w:spacing w:val="11"/>
          <w:sz w:val="20"/>
        </w:rPr>
        <w:t> </w:t>
      </w:r>
      <w:r>
        <w:rPr>
          <w:sz w:val="20"/>
        </w:rPr>
        <w:t>of</w:t>
      </w:r>
      <w:r>
        <w:rPr>
          <w:spacing w:val="11"/>
          <w:sz w:val="20"/>
        </w:rPr>
        <w:t> </w:t>
      </w:r>
      <w:r>
        <w:rPr>
          <w:sz w:val="20"/>
        </w:rPr>
        <w:t>the</w:t>
      </w:r>
      <w:r>
        <w:rPr>
          <w:spacing w:val="12"/>
          <w:sz w:val="20"/>
        </w:rPr>
        <w:t> </w:t>
      </w:r>
      <w:r>
        <w:rPr>
          <w:sz w:val="20"/>
        </w:rPr>
        <w:t>Act,</w:t>
      </w:r>
      <w:r>
        <w:rPr>
          <w:spacing w:val="11"/>
          <w:sz w:val="20"/>
        </w:rPr>
        <w:t> </w:t>
      </w:r>
      <w:r>
        <w:rPr>
          <w:sz w:val="20"/>
        </w:rPr>
        <w:t>determine</w:t>
      </w:r>
      <w:r>
        <w:rPr>
          <w:spacing w:val="11"/>
          <w:sz w:val="20"/>
        </w:rPr>
        <w:t> </w:t>
      </w:r>
      <w:r>
        <w:rPr>
          <w:sz w:val="20"/>
        </w:rPr>
        <w:t>what</w:t>
      </w:r>
      <w:r>
        <w:rPr>
          <w:spacing w:val="11"/>
          <w:sz w:val="20"/>
        </w:rPr>
        <w:t> </w:t>
      </w:r>
      <w:r>
        <w:rPr>
          <w:sz w:val="20"/>
        </w:rPr>
        <w:t>order</w:t>
      </w:r>
      <w:r>
        <w:rPr>
          <w:spacing w:val="11"/>
          <w:sz w:val="20"/>
        </w:rPr>
        <w:t> </w:t>
      </w:r>
      <w:r>
        <w:rPr>
          <w:sz w:val="20"/>
        </w:rPr>
        <w:t>is</w:t>
      </w:r>
      <w:r>
        <w:rPr>
          <w:spacing w:val="11"/>
          <w:sz w:val="20"/>
        </w:rPr>
        <w:t> </w:t>
      </w:r>
      <w:r>
        <w:rPr>
          <w:spacing w:val="-5"/>
          <w:sz w:val="20"/>
        </w:rPr>
        <w:t>just.</w:t>
      </w:r>
      <w:r>
        <w:rPr>
          <w:spacing w:val="-5"/>
          <w:position w:val="7"/>
          <w:sz w:val="11"/>
        </w:rPr>
        <w:t>177</w:t>
      </w:r>
    </w:p>
    <w:p>
      <w:pPr>
        <w:pStyle w:val="ListParagraph"/>
        <w:numPr>
          <w:ilvl w:val="1"/>
          <w:numId w:val="82"/>
        </w:numPr>
        <w:tabs>
          <w:tab w:pos="2381" w:val="left" w:leader="none"/>
          <w:tab w:pos="2382" w:val="left" w:leader="none"/>
        </w:tabs>
        <w:spacing w:line="242" w:lineRule="auto" w:before="110" w:after="0"/>
        <w:ind w:left="2381" w:right="1672" w:hanging="794"/>
        <w:jc w:val="left"/>
        <w:rPr>
          <w:sz w:val="21"/>
        </w:rPr>
      </w:pPr>
      <w:r>
        <w:rPr>
          <w:w w:val="105"/>
          <w:sz w:val="21"/>
        </w:rPr>
        <w:t>Based</w:t>
      </w:r>
      <w:r>
        <w:rPr>
          <w:spacing w:val="-7"/>
          <w:w w:val="105"/>
          <w:sz w:val="21"/>
        </w:rPr>
        <w:t> </w:t>
      </w:r>
      <w:r>
        <w:rPr>
          <w:w w:val="105"/>
          <w:sz w:val="21"/>
        </w:rPr>
        <w:t>on</w:t>
      </w:r>
      <w:r>
        <w:rPr>
          <w:spacing w:val="-7"/>
          <w:w w:val="105"/>
          <w:sz w:val="21"/>
        </w:rPr>
        <w:t> </w:t>
      </w:r>
      <w:r>
        <w:rPr>
          <w:w w:val="105"/>
          <w:sz w:val="21"/>
        </w:rPr>
        <w:t>these</w:t>
      </w:r>
      <w:r>
        <w:rPr>
          <w:spacing w:val="-7"/>
          <w:w w:val="105"/>
          <w:sz w:val="21"/>
        </w:rPr>
        <w:t> </w:t>
      </w:r>
      <w:r>
        <w:rPr>
          <w:w w:val="105"/>
          <w:sz w:val="21"/>
        </w:rPr>
        <w:t>decisions,</w:t>
      </w:r>
      <w:r>
        <w:rPr>
          <w:spacing w:val="-6"/>
          <w:w w:val="105"/>
          <w:sz w:val="21"/>
        </w:rPr>
        <w:t> </w:t>
      </w:r>
      <w:r>
        <w:rPr>
          <w:w w:val="105"/>
          <w:sz w:val="21"/>
        </w:rPr>
        <w:t>section</w:t>
      </w:r>
      <w:r>
        <w:rPr>
          <w:spacing w:val="-7"/>
          <w:w w:val="105"/>
          <w:sz w:val="21"/>
        </w:rPr>
        <w:t> </w:t>
      </w:r>
      <w:r>
        <w:rPr>
          <w:w w:val="105"/>
          <w:sz w:val="21"/>
        </w:rPr>
        <w:t>97(7)</w:t>
      </w:r>
      <w:r>
        <w:rPr>
          <w:spacing w:val="-7"/>
          <w:w w:val="105"/>
          <w:sz w:val="21"/>
        </w:rPr>
        <w:t> </w:t>
      </w:r>
      <w:r>
        <w:rPr>
          <w:w w:val="105"/>
          <w:sz w:val="21"/>
        </w:rPr>
        <w:t>does</w:t>
      </w:r>
      <w:r>
        <w:rPr>
          <w:spacing w:val="-7"/>
          <w:w w:val="105"/>
          <w:sz w:val="21"/>
        </w:rPr>
        <w:t> </w:t>
      </w:r>
      <w:r>
        <w:rPr>
          <w:spacing w:val="-2"/>
          <w:w w:val="105"/>
          <w:sz w:val="21"/>
        </w:rPr>
        <w:t>not</w:t>
      </w:r>
      <w:r>
        <w:rPr>
          <w:spacing w:val="-6"/>
          <w:w w:val="105"/>
          <w:sz w:val="21"/>
        </w:rPr>
        <w:t> </w:t>
      </w:r>
      <w:r>
        <w:rPr>
          <w:spacing w:val="-3"/>
          <w:w w:val="105"/>
          <w:sz w:val="21"/>
        </w:rPr>
        <w:t>prevent</w:t>
      </w:r>
      <w:r>
        <w:rPr>
          <w:spacing w:val="-7"/>
          <w:w w:val="105"/>
          <w:sz w:val="21"/>
        </w:rPr>
        <w:t> </w:t>
      </w:r>
      <w:r>
        <w:rPr>
          <w:w w:val="105"/>
          <w:sz w:val="21"/>
        </w:rPr>
        <w:t>the</w:t>
      </w:r>
      <w:r>
        <w:rPr>
          <w:spacing w:val="-7"/>
          <w:w w:val="105"/>
          <w:sz w:val="21"/>
        </w:rPr>
        <w:t> </w:t>
      </w:r>
      <w:r>
        <w:rPr>
          <w:w w:val="105"/>
          <w:sz w:val="21"/>
        </w:rPr>
        <w:t>court</w:t>
      </w:r>
      <w:r>
        <w:rPr>
          <w:spacing w:val="-7"/>
          <w:w w:val="105"/>
          <w:sz w:val="21"/>
        </w:rPr>
        <w:t> </w:t>
      </w:r>
      <w:r>
        <w:rPr>
          <w:spacing w:val="-3"/>
          <w:w w:val="105"/>
          <w:sz w:val="21"/>
        </w:rPr>
        <w:t>from</w:t>
      </w:r>
      <w:r>
        <w:rPr>
          <w:spacing w:val="-6"/>
          <w:w w:val="105"/>
          <w:sz w:val="21"/>
        </w:rPr>
        <w:t> </w:t>
      </w:r>
      <w:r>
        <w:rPr>
          <w:spacing w:val="-3"/>
          <w:w w:val="105"/>
          <w:sz w:val="21"/>
        </w:rPr>
        <w:t>making</w:t>
      </w:r>
      <w:r>
        <w:rPr>
          <w:spacing w:val="-7"/>
          <w:w w:val="105"/>
          <w:sz w:val="21"/>
        </w:rPr>
        <w:t> </w:t>
      </w:r>
      <w:r>
        <w:rPr>
          <w:w w:val="105"/>
          <w:sz w:val="21"/>
        </w:rPr>
        <w:t>an</w:t>
      </w:r>
      <w:r>
        <w:rPr>
          <w:spacing w:val="-7"/>
          <w:w w:val="105"/>
          <w:sz w:val="21"/>
        </w:rPr>
        <w:t> </w:t>
      </w:r>
      <w:r>
        <w:rPr>
          <w:w w:val="105"/>
          <w:sz w:val="21"/>
        </w:rPr>
        <w:t>order as </w:t>
      </w:r>
      <w:r>
        <w:rPr>
          <w:spacing w:val="-3"/>
          <w:w w:val="105"/>
          <w:sz w:val="21"/>
        </w:rPr>
        <w:t>to </w:t>
      </w:r>
      <w:r>
        <w:rPr>
          <w:w w:val="105"/>
          <w:sz w:val="21"/>
        </w:rPr>
        <w:t>costs in </w:t>
      </w:r>
      <w:r>
        <w:rPr>
          <w:spacing w:val="-3"/>
          <w:w w:val="105"/>
          <w:sz w:val="21"/>
        </w:rPr>
        <w:t>any </w:t>
      </w:r>
      <w:r>
        <w:rPr>
          <w:w w:val="105"/>
          <w:sz w:val="21"/>
        </w:rPr>
        <w:t>case </w:t>
      </w:r>
      <w:r>
        <w:rPr>
          <w:spacing w:val="-3"/>
          <w:w w:val="105"/>
          <w:sz w:val="21"/>
        </w:rPr>
        <w:t>that </w:t>
      </w:r>
      <w:r>
        <w:rPr>
          <w:w w:val="105"/>
          <w:sz w:val="21"/>
        </w:rPr>
        <w:t>it considers just. </w:t>
      </w:r>
      <w:r>
        <w:rPr>
          <w:spacing w:val="-4"/>
          <w:w w:val="105"/>
          <w:sz w:val="21"/>
        </w:rPr>
        <w:t>Moreover, </w:t>
      </w:r>
      <w:r>
        <w:rPr>
          <w:w w:val="105"/>
          <w:sz w:val="21"/>
        </w:rPr>
        <w:t>where a case does </w:t>
      </w:r>
      <w:r>
        <w:rPr>
          <w:spacing w:val="-2"/>
          <w:w w:val="105"/>
          <w:sz w:val="21"/>
        </w:rPr>
        <w:t>not </w:t>
      </w:r>
      <w:r>
        <w:rPr>
          <w:spacing w:val="-4"/>
          <w:w w:val="105"/>
          <w:sz w:val="21"/>
        </w:rPr>
        <w:t>fall </w:t>
      </w:r>
      <w:r>
        <w:rPr>
          <w:spacing w:val="-3"/>
          <w:w w:val="105"/>
          <w:sz w:val="21"/>
        </w:rPr>
        <w:t>within </w:t>
      </w:r>
      <w:r>
        <w:rPr>
          <w:w w:val="105"/>
          <w:sz w:val="21"/>
        </w:rPr>
        <w:t>section 97(7) and the </w:t>
      </w:r>
      <w:r>
        <w:rPr>
          <w:spacing w:val="-3"/>
          <w:w w:val="105"/>
          <w:sz w:val="21"/>
        </w:rPr>
        <w:t>plaintiff’s claim </w:t>
      </w:r>
      <w:r>
        <w:rPr>
          <w:w w:val="105"/>
          <w:sz w:val="21"/>
        </w:rPr>
        <w:t>was </w:t>
      </w:r>
      <w:r>
        <w:rPr>
          <w:spacing w:val="-2"/>
          <w:w w:val="105"/>
          <w:sz w:val="21"/>
        </w:rPr>
        <w:t>not </w:t>
      </w:r>
      <w:r>
        <w:rPr>
          <w:w w:val="105"/>
          <w:sz w:val="21"/>
        </w:rPr>
        <w:t>made </w:t>
      </w:r>
      <w:r>
        <w:rPr>
          <w:spacing w:val="-3"/>
          <w:w w:val="105"/>
          <w:sz w:val="21"/>
        </w:rPr>
        <w:t>frivolously, </w:t>
      </w:r>
      <w:r>
        <w:rPr>
          <w:w w:val="105"/>
          <w:sz w:val="21"/>
        </w:rPr>
        <w:t>vexatiously or without </w:t>
      </w:r>
      <w:r>
        <w:rPr>
          <w:spacing w:val="-3"/>
          <w:w w:val="105"/>
          <w:sz w:val="21"/>
        </w:rPr>
        <w:t>reasonable </w:t>
      </w:r>
      <w:r>
        <w:rPr>
          <w:w w:val="105"/>
          <w:sz w:val="21"/>
        </w:rPr>
        <w:t>prospect of </w:t>
      </w:r>
      <w:r>
        <w:rPr>
          <w:spacing w:val="-3"/>
          <w:w w:val="105"/>
          <w:sz w:val="21"/>
        </w:rPr>
        <w:t>success, </w:t>
      </w:r>
      <w:r>
        <w:rPr>
          <w:w w:val="105"/>
          <w:sz w:val="21"/>
        </w:rPr>
        <w:t>the court is </w:t>
      </w:r>
      <w:r>
        <w:rPr>
          <w:spacing w:val="-2"/>
          <w:w w:val="105"/>
          <w:sz w:val="21"/>
        </w:rPr>
        <w:t>not </w:t>
      </w:r>
      <w:r>
        <w:rPr>
          <w:spacing w:val="-3"/>
          <w:w w:val="105"/>
          <w:sz w:val="21"/>
        </w:rPr>
        <w:t>prevented from ordering </w:t>
      </w:r>
      <w:r>
        <w:rPr>
          <w:w w:val="105"/>
          <w:sz w:val="21"/>
        </w:rPr>
        <w:t>an </w:t>
      </w:r>
      <w:r>
        <w:rPr>
          <w:spacing w:val="-3"/>
          <w:w w:val="105"/>
          <w:sz w:val="21"/>
        </w:rPr>
        <w:t>unsuccessful </w:t>
      </w:r>
      <w:r>
        <w:rPr>
          <w:w w:val="105"/>
          <w:sz w:val="21"/>
        </w:rPr>
        <w:t>plaintiff </w:t>
      </w:r>
      <w:r>
        <w:rPr>
          <w:spacing w:val="-3"/>
          <w:w w:val="105"/>
          <w:sz w:val="21"/>
        </w:rPr>
        <w:t>to </w:t>
      </w:r>
      <w:r>
        <w:rPr>
          <w:spacing w:val="-2"/>
          <w:w w:val="105"/>
          <w:sz w:val="21"/>
        </w:rPr>
        <w:t>pay </w:t>
      </w:r>
      <w:r>
        <w:rPr>
          <w:w w:val="105"/>
          <w:sz w:val="21"/>
        </w:rPr>
        <w:t>the costs of the</w:t>
      </w:r>
      <w:r>
        <w:rPr>
          <w:spacing w:val="37"/>
          <w:w w:val="105"/>
          <w:sz w:val="21"/>
        </w:rPr>
        <w:t> </w:t>
      </w:r>
      <w:r>
        <w:rPr>
          <w:spacing w:val="-3"/>
          <w:w w:val="105"/>
          <w:sz w:val="21"/>
        </w:rPr>
        <w:t>estate.</w:t>
      </w:r>
    </w:p>
    <w:p>
      <w:pPr>
        <w:pStyle w:val="ListParagraph"/>
        <w:numPr>
          <w:ilvl w:val="1"/>
          <w:numId w:val="82"/>
        </w:numPr>
        <w:tabs>
          <w:tab w:pos="2381" w:val="left" w:leader="none"/>
          <w:tab w:pos="2382" w:val="left" w:leader="none"/>
        </w:tabs>
        <w:spacing w:line="242" w:lineRule="auto" w:before="119" w:after="0"/>
        <w:ind w:left="2381" w:right="1638" w:hanging="794"/>
        <w:jc w:val="left"/>
        <w:rPr>
          <w:sz w:val="12"/>
        </w:rPr>
      </w:pPr>
      <w:r>
        <w:rPr>
          <w:spacing w:val="-6"/>
          <w:sz w:val="21"/>
        </w:rPr>
        <w:t>However, </w:t>
      </w:r>
      <w:r>
        <w:rPr>
          <w:spacing w:val="-3"/>
          <w:sz w:val="21"/>
        </w:rPr>
        <w:t>it is </w:t>
      </w:r>
      <w:r>
        <w:rPr>
          <w:spacing w:val="-4"/>
          <w:sz w:val="21"/>
        </w:rPr>
        <w:t>clear that </w:t>
      </w:r>
      <w:r>
        <w:rPr>
          <w:spacing w:val="-3"/>
          <w:sz w:val="21"/>
        </w:rPr>
        <w:t>sections  </w:t>
      </w:r>
      <w:r>
        <w:rPr>
          <w:sz w:val="21"/>
        </w:rPr>
        <w:t>97(6)  </w:t>
      </w:r>
      <w:r>
        <w:rPr>
          <w:spacing w:val="-4"/>
          <w:sz w:val="21"/>
        </w:rPr>
        <w:t>and  97(7)  </w:t>
      </w:r>
      <w:r>
        <w:rPr>
          <w:spacing w:val="-3"/>
          <w:sz w:val="21"/>
        </w:rPr>
        <w:t>of  the  </w:t>
      </w:r>
      <w:r>
        <w:rPr>
          <w:spacing w:val="-5"/>
          <w:sz w:val="21"/>
        </w:rPr>
        <w:t>Administration  </w:t>
      </w:r>
      <w:r>
        <w:rPr>
          <w:spacing w:val="-4"/>
          <w:sz w:val="21"/>
        </w:rPr>
        <w:t>and  Probate  </w:t>
      </w:r>
      <w:r>
        <w:rPr>
          <w:sz w:val="21"/>
        </w:rPr>
        <w:t>Act </w:t>
      </w:r>
      <w:r>
        <w:rPr>
          <w:spacing w:val="-5"/>
          <w:sz w:val="21"/>
        </w:rPr>
        <w:t>have </w:t>
      </w:r>
      <w:r>
        <w:rPr>
          <w:spacing w:val="-3"/>
          <w:sz w:val="21"/>
        </w:rPr>
        <w:t>affected the costs orders  made  in  </w:t>
      </w:r>
      <w:r>
        <w:rPr>
          <w:spacing w:val="-5"/>
          <w:sz w:val="21"/>
        </w:rPr>
        <w:t>family  provision  proceedings.  </w:t>
      </w:r>
      <w:r>
        <w:rPr>
          <w:spacing w:val="-2"/>
          <w:sz w:val="21"/>
        </w:rPr>
        <w:t>The  </w:t>
      </w:r>
      <w:r>
        <w:rPr>
          <w:spacing w:val="-5"/>
          <w:sz w:val="21"/>
        </w:rPr>
        <w:t>Supreme  </w:t>
      </w:r>
      <w:r>
        <w:rPr>
          <w:spacing w:val="-4"/>
          <w:sz w:val="21"/>
        </w:rPr>
        <w:t>Court has noted that </w:t>
      </w:r>
      <w:r>
        <w:rPr>
          <w:spacing w:val="-3"/>
          <w:sz w:val="21"/>
        </w:rPr>
        <w:t>in </w:t>
      </w:r>
      <w:r>
        <w:rPr>
          <w:sz w:val="21"/>
        </w:rPr>
        <w:t>New </w:t>
      </w:r>
      <w:r>
        <w:rPr>
          <w:spacing w:val="-3"/>
          <w:sz w:val="21"/>
        </w:rPr>
        <w:t>South </w:t>
      </w:r>
      <w:r>
        <w:rPr>
          <w:spacing w:val="-5"/>
          <w:sz w:val="21"/>
        </w:rPr>
        <w:t>Wales, </w:t>
      </w:r>
      <w:r>
        <w:rPr>
          <w:spacing w:val="-6"/>
          <w:sz w:val="21"/>
        </w:rPr>
        <w:t>unlike </w:t>
      </w:r>
      <w:r>
        <w:rPr>
          <w:spacing w:val="-3"/>
          <w:sz w:val="21"/>
        </w:rPr>
        <w:t>in </w:t>
      </w:r>
      <w:r>
        <w:rPr>
          <w:spacing w:val="-4"/>
          <w:sz w:val="21"/>
        </w:rPr>
        <w:t>Victoria, </w:t>
      </w:r>
      <w:r>
        <w:rPr>
          <w:spacing w:val="-3"/>
          <w:sz w:val="21"/>
        </w:rPr>
        <w:t>the courts </w:t>
      </w:r>
      <w:r>
        <w:rPr>
          <w:spacing w:val="-5"/>
          <w:sz w:val="21"/>
        </w:rPr>
        <w:t>have </w:t>
      </w:r>
      <w:r>
        <w:rPr>
          <w:spacing w:val="-3"/>
          <w:sz w:val="21"/>
        </w:rPr>
        <w:t>been </w:t>
      </w:r>
      <w:r>
        <w:rPr>
          <w:spacing w:val="-4"/>
          <w:sz w:val="21"/>
        </w:rPr>
        <w:t>more </w:t>
      </w:r>
      <w:r>
        <w:rPr>
          <w:spacing w:val="-5"/>
          <w:sz w:val="21"/>
        </w:rPr>
        <w:t>willing </w:t>
      </w:r>
      <w:r>
        <w:rPr>
          <w:spacing w:val="-4"/>
          <w:sz w:val="21"/>
        </w:rPr>
        <w:t>to </w:t>
      </w:r>
      <w:r>
        <w:rPr>
          <w:spacing w:val="-3"/>
          <w:sz w:val="21"/>
        </w:rPr>
        <w:t>apply</w:t>
      </w:r>
      <w:r>
        <w:rPr>
          <w:spacing w:val="26"/>
          <w:sz w:val="21"/>
        </w:rPr>
        <w:t> </w:t>
      </w:r>
      <w:r>
        <w:rPr>
          <w:spacing w:val="-4"/>
          <w:sz w:val="21"/>
        </w:rPr>
        <w:t>general</w:t>
      </w:r>
      <w:r>
        <w:rPr>
          <w:spacing w:val="26"/>
          <w:sz w:val="21"/>
        </w:rPr>
        <w:t> </w:t>
      </w:r>
      <w:r>
        <w:rPr>
          <w:spacing w:val="-3"/>
          <w:sz w:val="21"/>
        </w:rPr>
        <w:t>costs</w:t>
      </w:r>
      <w:r>
        <w:rPr>
          <w:spacing w:val="26"/>
          <w:sz w:val="21"/>
        </w:rPr>
        <w:t> </w:t>
      </w:r>
      <w:r>
        <w:rPr>
          <w:spacing w:val="-5"/>
          <w:sz w:val="21"/>
        </w:rPr>
        <w:t>principles,</w:t>
      </w:r>
      <w:r>
        <w:rPr>
          <w:spacing w:val="26"/>
          <w:sz w:val="21"/>
        </w:rPr>
        <w:t> </w:t>
      </w:r>
      <w:r>
        <w:rPr>
          <w:spacing w:val="-5"/>
          <w:sz w:val="21"/>
        </w:rPr>
        <w:t>including</w:t>
      </w:r>
      <w:r>
        <w:rPr>
          <w:spacing w:val="26"/>
          <w:sz w:val="21"/>
        </w:rPr>
        <w:t> </w:t>
      </w:r>
      <w:r>
        <w:rPr>
          <w:spacing w:val="-3"/>
          <w:sz w:val="21"/>
        </w:rPr>
        <w:t>the</w:t>
      </w:r>
      <w:r>
        <w:rPr>
          <w:spacing w:val="26"/>
          <w:sz w:val="21"/>
        </w:rPr>
        <w:t> </w:t>
      </w:r>
      <w:r>
        <w:rPr>
          <w:spacing w:val="-5"/>
          <w:sz w:val="21"/>
        </w:rPr>
        <w:t>principle</w:t>
      </w:r>
      <w:r>
        <w:rPr>
          <w:spacing w:val="26"/>
          <w:sz w:val="21"/>
        </w:rPr>
        <w:t> </w:t>
      </w:r>
      <w:r>
        <w:rPr>
          <w:spacing w:val="-4"/>
          <w:sz w:val="21"/>
        </w:rPr>
        <w:t>that</w:t>
      </w:r>
      <w:r>
        <w:rPr>
          <w:spacing w:val="26"/>
          <w:sz w:val="21"/>
        </w:rPr>
        <w:t> </w:t>
      </w:r>
      <w:r>
        <w:rPr>
          <w:spacing w:val="-3"/>
          <w:sz w:val="21"/>
        </w:rPr>
        <w:t>costs</w:t>
      </w:r>
      <w:r>
        <w:rPr>
          <w:spacing w:val="26"/>
          <w:sz w:val="21"/>
        </w:rPr>
        <w:t> </w:t>
      </w:r>
      <w:r>
        <w:rPr>
          <w:spacing w:val="-4"/>
          <w:sz w:val="21"/>
        </w:rPr>
        <w:t>generally</w:t>
      </w:r>
      <w:r>
        <w:rPr>
          <w:spacing w:val="26"/>
          <w:sz w:val="21"/>
        </w:rPr>
        <w:t> </w:t>
      </w:r>
      <w:r>
        <w:rPr>
          <w:spacing w:val="-5"/>
          <w:sz w:val="21"/>
        </w:rPr>
        <w:t>follow</w:t>
      </w:r>
      <w:r>
        <w:rPr>
          <w:spacing w:val="26"/>
          <w:sz w:val="21"/>
        </w:rPr>
        <w:t> </w:t>
      </w:r>
      <w:r>
        <w:rPr>
          <w:spacing w:val="-3"/>
          <w:sz w:val="21"/>
        </w:rPr>
        <w:t>the</w:t>
      </w:r>
      <w:r>
        <w:rPr>
          <w:spacing w:val="26"/>
          <w:sz w:val="21"/>
        </w:rPr>
        <w:t> </w:t>
      </w:r>
      <w:r>
        <w:rPr>
          <w:spacing w:val="-7"/>
          <w:sz w:val="21"/>
        </w:rPr>
        <w:t>event.</w:t>
      </w:r>
      <w:r>
        <w:rPr>
          <w:spacing w:val="-7"/>
          <w:position w:val="7"/>
          <w:sz w:val="12"/>
        </w:rPr>
        <w:t>178</w:t>
      </w:r>
    </w:p>
    <w:p>
      <w:pPr>
        <w:pStyle w:val="ListParagraph"/>
        <w:numPr>
          <w:ilvl w:val="1"/>
          <w:numId w:val="82"/>
        </w:numPr>
        <w:tabs>
          <w:tab w:pos="2381" w:val="left" w:leader="none"/>
          <w:tab w:pos="2382" w:val="left" w:leader="none"/>
        </w:tabs>
        <w:spacing w:line="242" w:lineRule="auto" w:before="118" w:after="0"/>
        <w:ind w:left="2381" w:right="1807" w:hanging="794"/>
        <w:jc w:val="left"/>
        <w:rPr>
          <w:sz w:val="12"/>
        </w:rPr>
      </w:pPr>
      <w:r>
        <w:rPr/>
        <w:pict>
          <v:line style="position:absolute;mso-position-horizontal-relative:page;mso-position-vertical-relative:paragraph;z-index:7280;mso-wrap-distance-left:0;mso-wrap-distance-right:0" from="79.370102pt,89.337555pt" to="515.905102pt,89.337555pt" stroked="true" strokeweight="1pt" strokecolor="#f9ceca">
            <v:stroke dashstyle="solid"/>
            <w10:wrap type="topAndBottom"/>
          </v:line>
        </w:pict>
      </w:r>
      <w:r>
        <w:rPr>
          <w:sz w:val="21"/>
        </w:rPr>
        <w:t>On occasion in Victoria, </w:t>
      </w:r>
      <w:r>
        <w:rPr>
          <w:spacing w:val="-3"/>
          <w:sz w:val="21"/>
        </w:rPr>
        <w:t>unsuccessful </w:t>
      </w:r>
      <w:r>
        <w:rPr>
          <w:sz w:val="21"/>
        </w:rPr>
        <w:t>plaintiffs </w:t>
      </w:r>
      <w:r>
        <w:rPr>
          <w:spacing w:val="-3"/>
          <w:sz w:val="21"/>
        </w:rPr>
        <w:t>have </w:t>
      </w:r>
      <w:r>
        <w:rPr>
          <w:spacing w:val="-2"/>
          <w:sz w:val="21"/>
        </w:rPr>
        <w:t>had </w:t>
      </w:r>
      <w:r>
        <w:rPr>
          <w:sz w:val="21"/>
        </w:rPr>
        <w:t>their costs paid by the </w:t>
      </w:r>
      <w:r>
        <w:rPr>
          <w:spacing w:val="-5"/>
          <w:sz w:val="21"/>
        </w:rPr>
        <w:t>estate.</w:t>
      </w:r>
      <w:r>
        <w:rPr>
          <w:spacing w:val="-5"/>
          <w:position w:val="7"/>
          <w:sz w:val="12"/>
        </w:rPr>
        <w:t>179</w:t>
      </w:r>
      <w:r>
        <w:rPr>
          <w:spacing w:val="-5"/>
          <w:sz w:val="12"/>
        </w:rPr>
        <w:t> </w:t>
      </w:r>
      <w:r>
        <w:rPr>
          <w:spacing w:val="-4"/>
          <w:sz w:val="21"/>
        </w:rPr>
        <w:t>However, </w:t>
      </w:r>
      <w:r>
        <w:rPr>
          <w:sz w:val="21"/>
        </w:rPr>
        <w:t>this is </w:t>
      </w:r>
      <w:r>
        <w:rPr>
          <w:spacing w:val="-3"/>
          <w:sz w:val="21"/>
        </w:rPr>
        <w:t>rare </w:t>
      </w:r>
      <w:r>
        <w:rPr>
          <w:sz w:val="21"/>
        </w:rPr>
        <w:t>and Associate Justice </w:t>
      </w:r>
      <w:r>
        <w:rPr>
          <w:spacing w:val="-3"/>
          <w:sz w:val="21"/>
        </w:rPr>
        <w:t>Gardiner recently </w:t>
      </w:r>
      <w:r>
        <w:rPr>
          <w:sz w:val="21"/>
        </w:rPr>
        <w:t>emphasised </w:t>
      </w:r>
      <w:r>
        <w:rPr>
          <w:spacing w:val="-3"/>
          <w:sz w:val="21"/>
        </w:rPr>
        <w:t>that </w:t>
      </w:r>
      <w:r>
        <w:rPr>
          <w:sz w:val="21"/>
        </w:rPr>
        <w:t>the </w:t>
      </w:r>
      <w:r>
        <w:rPr>
          <w:spacing w:val="-3"/>
          <w:sz w:val="21"/>
        </w:rPr>
        <w:t>unsuccessful applicant </w:t>
      </w:r>
      <w:r>
        <w:rPr>
          <w:sz w:val="21"/>
        </w:rPr>
        <w:t>should </w:t>
      </w:r>
      <w:r>
        <w:rPr>
          <w:spacing w:val="-2"/>
          <w:sz w:val="21"/>
        </w:rPr>
        <w:t>not </w:t>
      </w:r>
      <w:r>
        <w:rPr>
          <w:sz w:val="21"/>
        </w:rPr>
        <w:t>expect </w:t>
      </w:r>
      <w:r>
        <w:rPr>
          <w:spacing w:val="-3"/>
          <w:sz w:val="21"/>
        </w:rPr>
        <w:t>to have </w:t>
      </w:r>
      <w:r>
        <w:rPr>
          <w:sz w:val="21"/>
        </w:rPr>
        <w:t>their costs out  of  the  </w:t>
      </w:r>
      <w:r>
        <w:rPr>
          <w:spacing w:val="-4"/>
          <w:sz w:val="21"/>
        </w:rPr>
        <w:t>estate.</w:t>
      </w:r>
      <w:r>
        <w:rPr>
          <w:spacing w:val="-4"/>
          <w:position w:val="7"/>
          <w:sz w:val="12"/>
        </w:rPr>
        <w:t>180  </w:t>
      </w:r>
      <w:r>
        <w:rPr>
          <w:sz w:val="21"/>
        </w:rPr>
        <w:t>That </w:t>
      </w:r>
      <w:r>
        <w:rPr>
          <w:spacing w:val="-3"/>
          <w:sz w:val="21"/>
        </w:rPr>
        <w:t>could </w:t>
      </w:r>
      <w:r>
        <w:rPr>
          <w:sz w:val="21"/>
        </w:rPr>
        <w:t>happen in a particular </w:t>
      </w:r>
      <w:r>
        <w:rPr>
          <w:spacing w:val="-3"/>
          <w:sz w:val="21"/>
        </w:rPr>
        <w:t>case, </w:t>
      </w:r>
      <w:r>
        <w:rPr>
          <w:sz w:val="21"/>
        </w:rPr>
        <w:t>but the court’s starting point would be </w:t>
      </w:r>
      <w:r>
        <w:rPr>
          <w:spacing w:val="-3"/>
          <w:sz w:val="21"/>
        </w:rPr>
        <w:t>that </w:t>
      </w:r>
      <w:r>
        <w:rPr>
          <w:sz w:val="21"/>
        </w:rPr>
        <w:t>the </w:t>
      </w:r>
      <w:r>
        <w:rPr>
          <w:spacing w:val="-3"/>
          <w:sz w:val="21"/>
        </w:rPr>
        <w:t>unsuccessful applicant </w:t>
      </w:r>
      <w:r>
        <w:rPr>
          <w:sz w:val="21"/>
        </w:rPr>
        <w:t>should bear their own costs </w:t>
      </w:r>
      <w:r>
        <w:rPr>
          <w:spacing w:val="-6"/>
          <w:sz w:val="21"/>
        </w:rPr>
        <w:t>or, </w:t>
      </w:r>
      <w:r>
        <w:rPr>
          <w:sz w:val="21"/>
        </w:rPr>
        <w:t>if their case was particularly </w:t>
      </w:r>
      <w:r>
        <w:rPr>
          <w:spacing w:val="-3"/>
          <w:sz w:val="21"/>
        </w:rPr>
        <w:t>unmeritorious, </w:t>
      </w:r>
      <w:r>
        <w:rPr>
          <w:spacing w:val="-2"/>
          <w:sz w:val="21"/>
        </w:rPr>
        <w:t>pay </w:t>
      </w:r>
      <w:r>
        <w:rPr>
          <w:sz w:val="21"/>
        </w:rPr>
        <w:t>the costs of the</w:t>
      </w:r>
      <w:r>
        <w:rPr>
          <w:spacing w:val="14"/>
          <w:sz w:val="21"/>
        </w:rPr>
        <w:t> </w:t>
      </w:r>
      <w:r>
        <w:rPr>
          <w:spacing w:val="-5"/>
          <w:sz w:val="21"/>
        </w:rPr>
        <w:t>estate.</w:t>
      </w:r>
      <w:r>
        <w:rPr>
          <w:spacing w:val="-5"/>
          <w:position w:val="7"/>
          <w:sz w:val="12"/>
        </w:rPr>
        <w:t>181</w:t>
      </w:r>
    </w:p>
    <w:p>
      <w:pPr>
        <w:pStyle w:val="BodyText"/>
        <w:spacing w:before="8"/>
        <w:rPr>
          <w:sz w:val="5"/>
        </w:rPr>
      </w:pPr>
    </w:p>
    <w:p>
      <w:pPr>
        <w:spacing w:after="0"/>
        <w:rPr>
          <w:sz w:val="5"/>
        </w:rPr>
        <w:sectPr>
          <w:pgSz w:w="11910" w:h="16840"/>
          <w:pgMar w:header="805" w:footer="0" w:top="1360" w:bottom="280" w:left="0" w:right="0"/>
        </w:sectPr>
      </w:pPr>
    </w:p>
    <w:p>
      <w:pPr>
        <w:tabs>
          <w:tab w:pos="2381" w:val="left" w:leader="none"/>
        </w:tabs>
        <w:spacing w:before="48"/>
        <w:ind w:left="1587" w:right="0" w:firstLine="0"/>
        <w:jc w:val="left"/>
        <w:rPr>
          <w:sz w:val="13"/>
        </w:rPr>
      </w:pPr>
      <w:r>
        <w:rPr>
          <w:spacing w:val="-3"/>
          <w:w w:val="105"/>
          <w:sz w:val="13"/>
        </w:rPr>
        <w:t>170</w:t>
        <w:tab/>
      </w:r>
      <w:r>
        <w:rPr>
          <w:i/>
          <w:w w:val="105"/>
          <w:sz w:val="13"/>
        </w:rPr>
        <w:t>Administration and Probate Act 1958 </w:t>
      </w:r>
      <w:r>
        <w:rPr>
          <w:spacing w:val="2"/>
          <w:w w:val="105"/>
          <w:sz w:val="13"/>
        </w:rPr>
        <w:t>(Vic) </w:t>
      </w:r>
      <w:r>
        <w:rPr>
          <w:w w:val="105"/>
          <w:sz w:val="13"/>
        </w:rPr>
        <w:t>s</w:t>
      </w:r>
      <w:r>
        <w:rPr>
          <w:spacing w:val="25"/>
          <w:w w:val="105"/>
          <w:sz w:val="13"/>
        </w:rPr>
        <w:t> </w:t>
      </w:r>
      <w:r>
        <w:rPr>
          <w:w w:val="105"/>
          <w:sz w:val="13"/>
        </w:rPr>
        <w:t>97(7).</w:t>
      </w:r>
    </w:p>
    <w:p>
      <w:pPr>
        <w:tabs>
          <w:tab w:pos="2381" w:val="left" w:leader="none"/>
        </w:tabs>
        <w:spacing w:before="1"/>
        <w:ind w:left="1587" w:right="0" w:firstLine="0"/>
        <w:jc w:val="left"/>
        <w:rPr>
          <w:sz w:val="13"/>
        </w:rPr>
      </w:pPr>
      <w:r>
        <w:rPr>
          <w:spacing w:val="-4"/>
          <w:w w:val="105"/>
          <w:sz w:val="13"/>
        </w:rPr>
        <w:t>171</w:t>
        <w:tab/>
      </w:r>
      <w:r>
        <w:rPr>
          <w:w w:val="105"/>
          <w:sz w:val="13"/>
        </w:rPr>
        <w:t>Ibid s</w:t>
      </w:r>
      <w:r>
        <w:rPr>
          <w:spacing w:val="9"/>
          <w:w w:val="105"/>
          <w:sz w:val="13"/>
        </w:rPr>
        <w:t> </w:t>
      </w:r>
      <w:r>
        <w:rPr>
          <w:spacing w:val="2"/>
          <w:w w:val="105"/>
          <w:sz w:val="13"/>
        </w:rPr>
        <w:t>97(6).</w:t>
      </w:r>
    </w:p>
    <w:p>
      <w:pPr>
        <w:pStyle w:val="ListParagraph"/>
        <w:numPr>
          <w:ilvl w:val="0"/>
          <w:numId w:val="88"/>
        </w:numPr>
        <w:tabs>
          <w:tab w:pos="2381" w:val="left" w:leader="none"/>
          <w:tab w:pos="2382" w:val="left" w:leader="none"/>
        </w:tabs>
        <w:spacing w:line="240" w:lineRule="auto" w:before="2" w:after="0"/>
        <w:ind w:left="2381" w:right="0" w:hanging="794"/>
        <w:jc w:val="left"/>
        <w:rPr>
          <w:sz w:val="13"/>
        </w:rPr>
      </w:pPr>
      <w:r>
        <w:rPr>
          <w:i/>
          <w:w w:val="105"/>
          <w:sz w:val="13"/>
        </w:rPr>
        <w:t>Re</w:t>
      </w:r>
      <w:r>
        <w:rPr>
          <w:i/>
          <w:spacing w:val="3"/>
          <w:w w:val="105"/>
          <w:sz w:val="13"/>
        </w:rPr>
        <w:t> </w:t>
      </w:r>
      <w:r>
        <w:rPr>
          <w:i/>
          <w:w w:val="105"/>
          <w:sz w:val="13"/>
        </w:rPr>
        <w:t>Bull;</w:t>
      </w:r>
      <w:r>
        <w:rPr>
          <w:i/>
          <w:spacing w:val="4"/>
          <w:w w:val="105"/>
          <w:sz w:val="13"/>
        </w:rPr>
        <w:t> </w:t>
      </w:r>
      <w:r>
        <w:rPr>
          <w:i/>
          <w:w w:val="105"/>
          <w:sz w:val="13"/>
        </w:rPr>
        <w:t>Bentley</w:t>
      </w:r>
      <w:r>
        <w:rPr>
          <w:i/>
          <w:spacing w:val="4"/>
          <w:w w:val="105"/>
          <w:sz w:val="13"/>
        </w:rPr>
        <w:t> </w:t>
      </w:r>
      <w:r>
        <w:rPr>
          <w:i/>
          <w:w w:val="105"/>
          <w:sz w:val="13"/>
        </w:rPr>
        <w:t>v</w:t>
      </w:r>
      <w:r>
        <w:rPr>
          <w:i/>
          <w:spacing w:val="4"/>
          <w:w w:val="105"/>
          <w:sz w:val="13"/>
        </w:rPr>
        <w:t> </w:t>
      </w:r>
      <w:r>
        <w:rPr>
          <w:i/>
          <w:w w:val="105"/>
          <w:sz w:val="13"/>
        </w:rPr>
        <w:t>Brennan</w:t>
      </w:r>
      <w:r>
        <w:rPr>
          <w:i/>
          <w:spacing w:val="3"/>
          <w:w w:val="105"/>
          <w:sz w:val="13"/>
        </w:rPr>
        <w:t> (No</w:t>
      </w:r>
      <w:r>
        <w:rPr>
          <w:i/>
          <w:spacing w:val="4"/>
          <w:w w:val="105"/>
          <w:sz w:val="13"/>
        </w:rPr>
        <w:t> </w:t>
      </w:r>
      <w:r>
        <w:rPr>
          <w:i/>
          <w:w w:val="105"/>
          <w:sz w:val="13"/>
        </w:rPr>
        <w:t>2)</w:t>
      </w:r>
      <w:r>
        <w:rPr>
          <w:i/>
          <w:spacing w:val="5"/>
          <w:w w:val="105"/>
          <w:sz w:val="13"/>
        </w:rPr>
        <w:t> </w:t>
      </w:r>
      <w:r>
        <w:rPr>
          <w:spacing w:val="2"/>
          <w:w w:val="105"/>
          <w:sz w:val="13"/>
        </w:rPr>
        <w:t>[2006]</w:t>
      </w:r>
      <w:r>
        <w:rPr>
          <w:spacing w:val="5"/>
          <w:w w:val="105"/>
          <w:sz w:val="13"/>
        </w:rPr>
        <w:t> </w:t>
      </w:r>
      <w:r>
        <w:rPr>
          <w:w w:val="105"/>
          <w:sz w:val="13"/>
        </w:rPr>
        <w:t>VSC</w:t>
      </w:r>
      <w:r>
        <w:rPr>
          <w:spacing w:val="5"/>
          <w:w w:val="105"/>
          <w:sz w:val="13"/>
        </w:rPr>
        <w:t> </w:t>
      </w:r>
      <w:r>
        <w:rPr>
          <w:w w:val="105"/>
          <w:sz w:val="13"/>
        </w:rPr>
        <w:t>226</w:t>
      </w:r>
      <w:r>
        <w:rPr>
          <w:spacing w:val="4"/>
          <w:w w:val="105"/>
          <w:sz w:val="13"/>
        </w:rPr>
        <w:t> </w:t>
      </w:r>
      <w:r>
        <w:rPr>
          <w:w w:val="105"/>
          <w:sz w:val="13"/>
        </w:rPr>
        <w:t>(30</w:t>
      </w:r>
      <w:r>
        <w:rPr>
          <w:spacing w:val="5"/>
          <w:w w:val="105"/>
          <w:sz w:val="13"/>
        </w:rPr>
        <w:t> </w:t>
      </w:r>
      <w:r>
        <w:rPr>
          <w:w w:val="105"/>
          <w:sz w:val="13"/>
        </w:rPr>
        <w:t>June</w:t>
      </w:r>
      <w:r>
        <w:rPr>
          <w:spacing w:val="5"/>
          <w:w w:val="105"/>
          <w:sz w:val="13"/>
        </w:rPr>
        <w:t> </w:t>
      </w:r>
      <w:r>
        <w:rPr>
          <w:spacing w:val="2"/>
          <w:w w:val="105"/>
          <w:sz w:val="13"/>
        </w:rPr>
        <w:t>2006)</w:t>
      </w:r>
      <w:r>
        <w:rPr>
          <w:spacing w:val="5"/>
          <w:w w:val="105"/>
          <w:sz w:val="13"/>
        </w:rPr>
        <w:t> </w:t>
      </w:r>
      <w:r>
        <w:rPr>
          <w:w w:val="105"/>
          <w:sz w:val="13"/>
        </w:rPr>
        <w:t>[7].</w:t>
      </w:r>
    </w:p>
    <w:p>
      <w:pPr>
        <w:pStyle w:val="ListParagraph"/>
        <w:numPr>
          <w:ilvl w:val="0"/>
          <w:numId w:val="88"/>
        </w:numPr>
        <w:tabs>
          <w:tab w:pos="2381" w:val="left" w:leader="none"/>
          <w:tab w:pos="2382" w:val="left" w:leader="none"/>
        </w:tabs>
        <w:spacing w:line="240" w:lineRule="auto" w:before="1" w:after="0"/>
        <w:ind w:left="2381" w:right="0" w:hanging="794"/>
        <w:jc w:val="left"/>
        <w:rPr>
          <w:sz w:val="13"/>
        </w:rPr>
      </w:pPr>
      <w:r>
        <w:rPr>
          <w:sz w:val="13"/>
        </w:rPr>
        <w:t>Ibid</w:t>
      </w:r>
      <w:r>
        <w:rPr>
          <w:spacing w:val="6"/>
          <w:sz w:val="13"/>
        </w:rPr>
        <w:t> </w:t>
      </w:r>
      <w:r>
        <w:rPr>
          <w:sz w:val="13"/>
        </w:rPr>
        <w:t>[7].</w:t>
      </w:r>
    </w:p>
    <w:p>
      <w:pPr>
        <w:pStyle w:val="ListParagraph"/>
        <w:numPr>
          <w:ilvl w:val="0"/>
          <w:numId w:val="88"/>
        </w:numPr>
        <w:tabs>
          <w:tab w:pos="2381" w:val="left" w:leader="none"/>
          <w:tab w:pos="2382" w:val="left" w:leader="none"/>
        </w:tabs>
        <w:spacing w:line="240" w:lineRule="auto" w:before="1" w:after="0"/>
        <w:ind w:left="2381" w:right="0" w:hanging="794"/>
        <w:jc w:val="left"/>
        <w:rPr>
          <w:sz w:val="13"/>
        </w:rPr>
      </w:pPr>
      <w:r>
        <w:rPr>
          <w:w w:val="105"/>
          <w:sz w:val="13"/>
        </w:rPr>
        <w:t>Victoria, Parliamentary Debates, Legislative Assembly, 9 October </w:t>
      </w:r>
      <w:r>
        <w:rPr>
          <w:spacing w:val="-3"/>
          <w:w w:val="105"/>
          <w:sz w:val="13"/>
        </w:rPr>
        <w:t>1997, </w:t>
      </w:r>
      <w:r>
        <w:rPr>
          <w:w w:val="105"/>
          <w:sz w:val="13"/>
        </w:rPr>
        <w:t>436 (Jan Wade,</w:t>
      </w:r>
      <w:r>
        <w:rPr>
          <w:spacing w:val="5"/>
          <w:w w:val="105"/>
          <w:sz w:val="13"/>
        </w:rPr>
        <w:t> </w:t>
      </w:r>
      <w:r>
        <w:rPr>
          <w:w w:val="105"/>
          <w:sz w:val="13"/>
        </w:rPr>
        <w:t>Attorney-General).</w:t>
      </w:r>
    </w:p>
    <w:p>
      <w:pPr>
        <w:pStyle w:val="ListParagraph"/>
        <w:numPr>
          <w:ilvl w:val="0"/>
          <w:numId w:val="88"/>
        </w:numPr>
        <w:tabs>
          <w:tab w:pos="2381" w:val="left" w:leader="none"/>
          <w:tab w:pos="2382" w:val="left" w:leader="none"/>
        </w:tabs>
        <w:spacing w:line="240" w:lineRule="auto" w:before="2" w:after="0"/>
        <w:ind w:left="2381" w:right="73" w:hanging="794"/>
        <w:jc w:val="left"/>
        <w:rPr>
          <w:sz w:val="13"/>
        </w:rPr>
      </w:pPr>
      <w:r>
        <w:rPr>
          <w:i/>
          <w:w w:val="105"/>
          <w:sz w:val="13"/>
        </w:rPr>
        <w:t>Re Carn; Moerth v Moerth </w:t>
      </w:r>
      <w:r>
        <w:rPr>
          <w:i/>
          <w:spacing w:val="3"/>
          <w:w w:val="105"/>
          <w:sz w:val="13"/>
        </w:rPr>
        <w:t>(No </w:t>
      </w:r>
      <w:r>
        <w:rPr>
          <w:i/>
          <w:w w:val="105"/>
          <w:sz w:val="13"/>
        </w:rPr>
        <w:t>2) </w:t>
      </w:r>
      <w:r>
        <w:rPr>
          <w:spacing w:val="-3"/>
          <w:w w:val="105"/>
          <w:sz w:val="13"/>
        </w:rPr>
        <w:t>[2011] </w:t>
      </w:r>
      <w:r>
        <w:rPr>
          <w:w w:val="105"/>
          <w:sz w:val="13"/>
        </w:rPr>
        <w:t>VSC 275 (29 June </w:t>
      </w:r>
      <w:r>
        <w:rPr>
          <w:spacing w:val="-4"/>
          <w:w w:val="105"/>
          <w:sz w:val="13"/>
        </w:rPr>
        <w:t>2011) </w:t>
      </w:r>
      <w:r>
        <w:rPr>
          <w:spacing w:val="2"/>
          <w:w w:val="105"/>
          <w:sz w:val="13"/>
        </w:rPr>
        <w:t>[29]. </w:t>
      </w:r>
      <w:r>
        <w:rPr>
          <w:w w:val="105"/>
          <w:sz w:val="13"/>
        </w:rPr>
        <w:t>This was not such a case, as Associate Justice Gardiner held that one</w:t>
      </w:r>
      <w:r>
        <w:rPr>
          <w:spacing w:val="4"/>
          <w:w w:val="105"/>
          <w:sz w:val="13"/>
        </w:rPr>
        <w:t> </w:t>
      </w:r>
      <w:r>
        <w:rPr>
          <w:w w:val="105"/>
          <w:sz w:val="13"/>
        </w:rPr>
        <w:t>of</w:t>
      </w:r>
      <w:r>
        <w:rPr>
          <w:spacing w:val="5"/>
          <w:w w:val="105"/>
          <w:sz w:val="13"/>
        </w:rPr>
        <w:t> </w:t>
      </w:r>
      <w:r>
        <w:rPr>
          <w:w w:val="105"/>
          <w:sz w:val="13"/>
        </w:rPr>
        <w:t>the</w:t>
      </w:r>
      <w:r>
        <w:rPr>
          <w:spacing w:val="4"/>
          <w:w w:val="105"/>
          <w:sz w:val="13"/>
        </w:rPr>
        <w:t> </w:t>
      </w:r>
      <w:r>
        <w:rPr>
          <w:w w:val="105"/>
          <w:sz w:val="13"/>
        </w:rPr>
        <w:t>plaintiff’s</w:t>
      </w:r>
      <w:r>
        <w:rPr>
          <w:spacing w:val="5"/>
          <w:w w:val="105"/>
          <w:sz w:val="13"/>
        </w:rPr>
        <w:t> </w:t>
      </w:r>
      <w:r>
        <w:rPr>
          <w:w w:val="105"/>
          <w:sz w:val="13"/>
        </w:rPr>
        <w:t>claims</w:t>
      </w:r>
      <w:r>
        <w:rPr>
          <w:spacing w:val="5"/>
          <w:w w:val="105"/>
          <w:sz w:val="13"/>
        </w:rPr>
        <w:t> </w:t>
      </w:r>
      <w:r>
        <w:rPr>
          <w:w w:val="105"/>
          <w:sz w:val="13"/>
        </w:rPr>
        <w:t>had</w:t>
      </w:r>
      <w:r>
        <w:rPr>
          <w:spacing w:val="4"/>
          <w:w w:val="105"/>
          <w:sz w:val="13"/>
        </w:rPr>
        <w:t> </w:t>
      </w:r>
      <w:r>
        <w:rPr>
          <w:w w:val="105"/>
          <w:sz w:val="13"/>
        </w:rPr>
        <w:t>no</w:t>
      </w:r>
      <w:r>
        <w:rPr>
          <w:spacing w:val="5"/>
          <w:w w:val="105"/>
          <w:sz w:val="13"/>
        </w:rPr>
        <w:t> </w:t>
      </w:r>
      <w:r>
        <w:rPr>
          <w:w w:val="105"/>
          <w:sz w:val="13"/>
        </w:rPr>
        <w:t>reasonable</w:t>
      </w:r>
      <w:r>
        <w:rPr>
          <w:spacing w:val="5"/>
          <w:w w:val="105"/>
          <w:sz w:val="13"/>
        </w:rPr>
        <w:t> </w:t>
      </w:r>
      <w:r>
        <w:rPr>
          <w:w w:val="105"/>
          <w:sz w:val="13"/>
        </w:rPr>
        <w:t>prospects</w:t>
      </w:r>
      <w:r>
        <w:rPr>
          <w:spacing w:val="4"/>
          <w:w w:val="105"/>
          <w:sz w:val="13"/>
        </w:rPr>
        <w:t> </w:t>
      </w:r>
      <w:r>
        <w:rPr>
          <w:w w:val="105"/>
          <w:sz w:val="13"/>
        </w:rPr>
        <w:t>of</w:t>
      </w:r>
      <w:r>
        <w:rPr>
          <w:spacing w:val="5"/>
          <w:w w:val="105"/>
          <w:sz w:val="13"/>
        </w:rPr>
        <w:t> </w:t>
      </w:r>
      <w:r>
        <w:rPr>
          <w:w w:val="105"/>
          <w:sz w:val="13"/>
        </w:rPr>
        <w:t>success:</w:t>
      </w:r>
      <w:r>
        <w:rPr>
          <w:spacing w:val="4"/>
          <w:w w:val="105"/>
          <w:sz w:val="13"/>
        </w:rPr>
        <w:t> </w:t>
      </w:r>
      <w:r>
        <w:rPr>
          <w:w w:val="105"/>
          <w:sz w:val="13"/>
        </w:rPr>
        <w:t>at</w:t>
      </w:r>
      <w:r>
        <w:rPr>
          <w:spacing w:val="5"/>
          <w:w w:val="105"/>
          <w:sz w:val="13"/>
        </w:rPr>
        <w:t> </w:t>
      </w:r>
      <w:r>
        <w:rPr>
          <w:spacing w:val="4"/>
          <w:w w:val="105"/>
          <w:sz w:val="13"/>
        </w:rPr>
        <w:t>[48].</w:t>
      </w:r>
    </w:p>
    <w:p>
      <w:pPr>
        <w:pStyle w:val="ListParagraph"/>
        <w:numPr>
          <w:ilvl w:val="0"/>
          <w:numId w:val="88"/>
        </w:numPr>
        <w:tabs>
          <w:tab w:pos="2381" w:val="left" w:leader="none"/>
          <w:tab w:pos="2382" w:val="left" w:leader="none"/>
        </w:tabs>
        <w:spacing w:line="240" w:lineRule="auto" w:before="2" w:after="0"/>
        <w:ind w:left="2381" w:right="0" w:hanging="794"/>
        <w:jc w:val="left"/>
        <w:rPr>
          <w:sz w:val="13"/>
        </w:rPr>
      </w:pPr>
      <w:r>
        <w:rPr>
          <w:sz w:val="13"/>
        </w:rPr>
        <w:t>This</w:t>
      </w:r>
      <w:r>
        <w:rPr>
          <w:spacing w:val="19"/>
          <w:sz w:val="13"/>
        </w:rPr>
        <w:t> </w:t>
      </w:r>
      <w:r>
        <w:rPr>
          <w:sz w:val="13"/>
        </w:rPr>
        <w:t>is</w:t>
      </w:r>
      <w:r>
        <w:rPr>
          <w:spacing w:val="20"/>
          <w:sz w:val="13"/>
        </w:rPr>
        <w:t> </w:t>
      </w:r>
      <w:r>
        <w:rPr>
          <w:sz w:val="13"/>
        </w:rPr>
        <w:t>the</w:t>
      </w:r>
      <w:r>
        <w:rPr>
          <w:spacing w:val="20"/>
          <w:sz w:val="13"/>
        </w:rPr>
        <w:t> </w:t>
      </w:r>
      <w:r>
        <w:rPr>
          <w:sz w:val="13"/>
        </w:rPr>
        <w:t>provision</w:t>
      </w:r>
      <w:r>
        <w:rPr>
          <w:spacing w:val="20"/>
          <w:sz w:val="13"/>
        </w:rPr>
        <w:t> </w:t>
      </w:r>
      <w:r>
        <w:rPr>
          <w:sz w:val="13"/>
        </w:rPr>
        <w:t>which</w:t>
      </w:r>
      <w:r>
        <w:rPr>
          <w:spacing w:val="20"/>
          <w:sz w:val="13"/>
        </w:rPr>
        <w:t> </w:t>
      </w:r>
      <w:r>
        <w:rPr>
          <w:sz w:val="13"/>
        </w:rPr>
        <w:t>specifies</w:t>
      </w:r>
      <w:r>
        <w:rPr>
          <w:spacing w:val="20"/>
          <w:sz w:val="13"/>
        </w:rPr>
        <w:t> </w:t>
      </w:r>
      <w:r>
        <w:rPr>
          <w:sz w:val="13"/>
        </w:rPr>
        <w:t>that,</w:t>
      </w:r>
      <w:r>
        <w:rPr>
          <w:spacing w:val="20"/>
          <w:sz w:val="13"/>
        </w:rPr>
        <w:t> </w:t>
      </w:r>
      <w:r>
        <w:rPr>
          <w:sz w:val="13"/>
        </w:rPr>
        <w:t>unless</w:t>
      </w:r>
      <w:r>
        <w:rPr>
          <w:spacing w:val="20"/>
          <w:sz w:val="13"/>
        </w:rPr>
        <w:t> </w:t>
      </w:r>
      <w:r>
        <w:rPr>
          <w:sz w:val="13"/>
        </w:rPr>
        <w:t>otherwise</w:t>
      </w:r>
      <w:r>
        <w:rPr>
          <w:spacing w:val="20"/>
          <w:sz w:val="13"/>
        </w:rPr>
        <w:t> </w:t>
      </w:r>
      <w:r>
        <w:rPr>
          <w:sz w:val="13"/>
        </w:rPr>
        <w:t>expressly</w:t>
      </w:r>
      <w:r>
        <w:rPr>
          <w:spacing w:val="20"/>
          <w:sz w:val="13"/>
        </w:rPr>
        <w:t> </w:t>
      </w:r>
      <w:r>
        <w:rPr>
          <w:sz w:val="13"/>
        </w:rPr>
        <w:t>provided</w:t>
      </w:r>
      <w:r>
        <w:rPr>
          <w:spacing w:val="20"/>
          <w:sz w:val="13"/>
        </w:rPr>
        <w:t> </w:t>
      </w:r>
      <w:r>
        <w:rPr>
          <w:sz w:val="13"/>
        </w:rPr>
        <w:t>for</w:t>
      </w:r>
      <w:r>
        <w:rPr>
          <w:spacing w:val="20"/>
          <w:sz w:val="13"/>
        </w:rPr>
        <w:t> </w:t>
      </w:r>
      <w:r>
        <w:rPr>
          <w:sz w:val="13"/>
        </w:rPr>
        <w:t>under</w:t>
      </w:r>
      <w:r>
        <w:rPr>
          <w:spacing w:val="20"/>
          <w:sz w:val="13"/>
        </w:rPr>
        <w:t> </w:t>
      </w:r>
      <w:r>
        <w:rPr>
          <w:sz w:val="13"/>
        </w:rPr>
        <w:t>any</w:t>
      </w:r>
      <w:r>
        <w:rPr>
          <w:spacing w:val="20"/>
          <w:sz w:val="13"/>
        </w:rPr>
        <w:t> </w:t>
      </w:r>
      <w:r>
        <w:rPr>
          <w:sz w:val="13"/>
        </w:rPr>
        <w:t>Act,</w:t>
      </w:r>
      <w:r>
        <w:rPr>
          <w:spacing w:val="20"/>
          <w:sz w:val="13"/>
        </w:rPr>
        <w:t> </w:t>
      </w:r>
      <w:r>
        <w:rPr>
          <w:sz w:val="13"/>
        </w:rPr>
        <w:t>costs</w:t>
      </w:r>
      <w:r>
        <w:rPr>
          <w:spacing w:val="20"/>
          <w:sz w:val="13"/>
        </w:rPr>
        <w:t> </w:t>
      </w:r>
      <w:r>
        <w:rPr>
          <w:sz w:val="13"/>
        </w:rPr>
        <w:t>are</w:t>
      </w:r>
      <w:r>
        <w:rPr>
          <w:spacing w:val="20"/>
          <w:sz w:val="13"/>
        </w:rPr>
        <w:t> </w:t>
      </w:r>
      <w:r>
        <w:rPr>
          <w:sz w:val="13"/>
        </w:rPr>
        <w:t>in</w:t>
      </w:r>
      <w:r>
        <w:rPr>
          <w:spacing w:val="20"/>
          <w:sz w:val="13"/>
        </w:rPr>
        <w:t> </w:t>
      </w:r>
      <w:r>
        <w:rPr>
          <w:sz w:val="13"/>
        </w:rPr>
        <w:t>the</w:t>
      </w:r>
      <w:r>
        <w:rPr>
          <w:spacing w:val="20"/>
          <w:sz w:val="13"/>
        </w:rPr>
        <w:t> </w:t>
      </w:r>
      <w:r>
        <w:rPr>
          <w:sz w:val="13"/>
        </w:rPr>
        <w:t>discretion</w:t>
      </w:r>
      <w:r>
        <w:rPr>
          <w:spacing w:val="20"/>
          <w:sz w:val="13"/>
        </w:rPr>
        <w:t> </w:t>
      </w:r>
      <w:r>
        <w:rPr>
          <w:sz w:val="13"/>
        </w:rPr>
        <w:t>of</w:t>
      </w:r>
      <w:r>
        <w:rPr>
          <w:spacing w:val="19"/>
          <w:sz w:val="13"/>
        </w:rPr>
        <w:t> </w:t>
      </w:r>
      <w:r>
        <w:rPr>
          <w:sz w:val="13"/>
        </w:rPr>
        <w:t>the</w:t>
      </w:r>
      <w:r>
        <w:rPr>
          <w:spacing w:val="20"/>
          <w:sz w:val="13"/>
        </w:rPr>
        <w:t> </w:t>
      </w:r>
      <w:r>
        <w:rPr>
          <w:sz w:val="13"/>
        </w:rPr>
        <w:t>Court:</w:t>
      </w:r>
    </w:p>
    <w:p>
      <w:pPr>
        <w:spacing w:before="2"/>
        <w:ind w:left="2381" w:right="0" w:firstLine="0"/>
        <w:jc w:val="left"/>
        <w:rPr>
          <w:sz w:val="13"/>
        </w:rPr>
      </w:pPr>
      <w:r>
        <w:rPr>
          <w:i/>
          <w:w w:val="105"/>
          <w:sz w:val="13"/>
        </w:rPr>
        <w:t>Supreme Court Act 1986 </w:t>
      </w:r>
      <w:r>
        <w:rPr>
          <w:w w:val="105"/>
          <w:sz w:val="13"/>
        </w:rPr>
        <w:t>(Vic) s 24, set out at [6.89] above.</w:t>
      </w:r>
    </w:p>
    <w:p>
      <w:pPr>
        <w:pStyle w:val="ListParagraph"/>
        <w:numPr>
          <w:ilvl w:val="0"/>
          <w:numId w:val="88"/>
        </w:numPr>
        <w:tabs>
          <w:tab w:pos="2381" w:val="left" w:leader="none"/>
          <w:tab w:pos="2382" w:val="left" w:leader="none"/>
        </w:tabs>
        <w:spacing w:line="240" w:lineRule="auto" w:before="1" w:after="0"/>
        <w:ind w:left="2381" w:right="0" w:hanging="794"/>
        <w:jc w:val="left"/>
        <w:rPr>
          <w:sz w:val="13"/>
        </w:rPr>
      </w:pPr>
      <w:r>
        <w:rPr>
          <w:i/>
          <w:w w:val="105"/>
          <w:sz w:val="13"/>
        </w:rPr>
        <w:t>Webb</w:t>
      </w:r>
      <w:r>
        <w:rPr>
          <w:i/>
          <w:spacing w:val="3"/>
          <w:w w:val="105"/>
          <w:sz w:val="13"/>
        </w:rPr>
        <w:t> </w:t>
      </w:r>
      <w:r>
        <w:rPr>
          <w:i/>
          <w:w w:val="105"/>
          <w:sz w:val="13"/>
        </w:rPr>
        <w:t>v</w:t>
      </w:r>
      <w:r>
        <w:rPr>
          <w:i/>
          <w:spacing w:val="4"/>
          <w:w w:val="105"/>
          <w:sz w:val="13"/>
        </w:rPr>
        <w:t> </w:t>
      </w:r>
      <w:r>
        <w:rPr>
          <w:i/>
          <w:w w:val="105"/>
          <w:sz w:val="13"/>
        </w:rPr>
        <w:t>Ryan</w:t>
      </w:r>
      <w:r>
        <w:rPr>
          <w:i/>
          <w:spacing w:val="4"/>
          <w:w w:val="105"/>
          <w:sz w:val="13"/>
        </w:rPr>
        <w:t> </w:t>
      </w:r>
      <w:r>
        <w:rPr>
          <w:i/>
          <w:w w:val="105"/>
          <w:sz w:val="13"/>
        </w:rPr>
        <w:t>(Costs)</w:t>
      </w:r>
      <w:r>
        <w:rPr>
          <w:i/>
          <w:spacing w:val="4"/>
          <w:w w:val="105"/>
          <w:sz w:val="13"/>
        </w:rPr>
        <w:t> </w:t>
      </w:r>
      <w:r>
        <w:rPr>
          <w:w w:val="105"/>
          <w:sz w:val="13"/>
        </w:rPr>
        <w:t>[2012]</w:t>
      </w:r>
      <w:r>
        <w:rPr>
          <w:spacing w:val="5"/>
          <w:w w:val="105"/>
          <w:sz w:val="13"/>
        </w:rPr>
        <w:t> </w:t>
      </w:r>
      <w:r>
        <w:rPr>
          <w:w w:val="105"/>
          <w:sz w:val="13"/>
        </w:rPr>
        <w:t>VSC</w:t>
      </w:r>
      <w:r>
        <w:rPr>
          <w:spacing w:val="5"/>
          <w:w w:val="105"/>
          <w:sz w:val="13"/>
        </w:rPr>
        <w:t> </w:t>
      </w:r>
      <w:r>
        <w:rPr>
          <w:w w:val="105"/>
          <w:sz w:val="13"/>
        </w:rPr>
        <w:t>431</w:t>
      </w:r>
      <w:r>
        <w:rPr>
          <w:spacing w:val="4"/>
          <w:w w:val="105"/>
          <w:sz w:val="13"/>
        </w:rPr>
        <w:t> </w:t>
      </w:r>
      <w:r>
        <w:rPr>
          <w:w w:val="105"/>
          <w:sz w:val="13"/>
        </w:rPr>
        <w:t>(20</w:t>
      </w:r>
      <w:r>
        <w:rPr>
          <w:spacing w:val="5"/>
          <w:w w:val="105"/>
          <w:sz w:val="13"/>
        </w:rPr>
        <w:t> </w:t>
      </w:r>
      <w:r>
        <w:rPr>
          <w:w w:val="105"/>
          <w:sz w:val="13"/>
        </w:rPr>
        <w:t>September</w:t>
      </w:r>
      <w:r>
        <w:rPr>
          <w:spacing w:val="5"/>
          <w:w w:val="105"/>
          <w:sz w:val="13"/>
        </w:rPr>
        <w:t> </w:t>
      </w:r>
      <w:r>
        <w:rPr>
          <w:w w:val="105"/>
          <w:sz w:val="13"/>
        </w:rPr>
        <w:t>2012)</w:t>
      </w:r>
      <w:r>
        <w:rPr>
          <w:spacing w:val="4"/>
          <w:w w:val="105"/>
          <w:sz w:val="13"/>
        </w:rPr>
        <w:t> </w:t>
      </w:r>
      <w:r>
        <w:rPr>
          <w:spacing w:val="2"/>
          <w:w w:val="105"/>
          <w:sz w:val="13"/>
        </w:rPr>
        <w:t>[28].</w:t>
      </w:r>
    </w:p>
    <w:p>
      <w:pPr>
        <w:tabs>
          <w:tab w:pos="2381" w:val="left" w:leader="none"/>
        </w:tabs>
        <w:spacing w:before="1"/>
        <w:ind w:left="1587" w:right="0" w:firstLine="0"/>
        <w:jc w:val="left"/>
        <w:rPr>
          <w:sz w:val="13"/>
        </w:rPr>
      </w:pPr>
      <w:r>
        <w:rPr>
          <w:spacing w:val="-3"/>
          <w:w w:val="105"/>
          <w:sz w:val="13"/>
        </w:rPr>
        <w:t>178</w:t>
        <w:tab/>
      </w:r>
      <w:r>
        <w:rPr>
          <w:w w:val="105"/>
          <w:sz w:val="13"/>
        </w:rPr>
        <w:t>Ibid</w:t>
      </w:r>
      <w:r>
        <w:rPr>
          <w:spacing w:val="4"/>
          <w:w w:val="105"/>
          <w:sz w:val="13"/>
        </w:rPr>
        <w:t> [34]–[35].</w:t>
      </w:r>
    </w:p>
    <w:p>
      <w:pPr>
        <w:pStyle w:val="ListParagraph"/>
        <w:numPr>
          <w:ilvl w:val="0"/>
          <w:numId w:val="89"/>
        </w:numPr>
        <w:tabs>
          <w:tab w:pos="2381" w:val="left" w:leader="none"/>
          <w:tab w:pos="2382" w:val="left" w:leader="none"/>
        </w:tabs>
        <w:spacing w:line="240" w:lineRule="auto" w:before="2" w:after="0"/>
        <w:ind w:left="2381" w:right="0" w:hanging="794"/>
        <w:jc w:val="left"/>
        <w:rPr>
          <w:sz w:val="13"/>
        </w:rPr>
      </w:pPr>
      <w:r>
        <w:rPr>
          <w:w w:val="105"/>
          <w:sz w:val="13"/>
        </w:rPr>
        <w:t>Examples</w:t>
      </w:r>
      <w:r>
        <w:rPr>
          <w:spacing w:val="4"/>
          <w:w w:val="105"/>
          <w:sz w:val="13"/>
        </w:rPr>
        <w:t> </w:t>
      </w:r>
      <w:r>
        <w:rPr>
          <w:w w:val="105"/>
          <w:sz w:val="13"/>
        </w:rPr>
        <w:t>of</w:t>
      </w:r>
      <w:r>
        <w:rPr>
          <w:spacing w:val="5"/>
          <w:w w:val="105"/>
          <w:sz w:val="13"/>
        </w:rPr>
        <w:t> </w:t>
      </w:r>
      <w:r>
        <w:rPr>
          <w:w w:val="105"/>
          <w:sz w:val="13"/>
        </w:rPr>
        <w:t>such</w:t>
      </w:r>
      <w:r>
        <w:rPr>
          <w:spacing w:val="5"/>
          <w:w w:val="105"/>
          <w:sz w:val="13"/>
        </w:rPr>
        <w:t> </w:t>
      </w:r>
      <w:r>
        <w:rPr>
          <w:w w:val="105"/>
          <w:sz w:val="13"/>
        </w:rPr>
        <w:t>cases</w:t>
      </w:r>
      <w:r>
        <w:rPr>
          <w:spacing w:val="5"/>
          <w:w w:val="105"/>
          <w:sz w:val="13"/>
        </w:rPr>
        <w:t> </w:t>
      </w:r>
      <w:r>
        <w:rPr>
          <w:w w:val="105"/>
          <w:sz w:val="13"/>
        </w:rPr>
        <w:t>are</w:t>
      </w:r>
      <w:r>
        <w:rPr>
          <w:spacing w:val="4"/>
          <w:w w:val="105"/>
          <w:sz w:val="13"/>
        </w:rPr>
        <w:t> </w:t>
      </w:r>
      <w:r>
        <w:rPr>
          <w:w w:val="105"/>
          <w:sz w:val="13"/>
        </w:rPr>
        <w:t>cited</w:t>
      </w:r>
      <w:r>
        <w:rPr>
          <w:spacing w:val="5"/>
          <w:w w:val="105"/>
          <w:sz w:val="13"/>
        </w:rPr>
        <w:t> </w:t>
      </w:r>
      <w:r>
        <w:rPr>
          <w:w w:val="105"/>
          <w:sz w:val="13"/>
        </w:rPr>
        <w:t>in</w:t>
      </w:r>
      <w:r>
        <w:rPr>
          <w:spacing w:val="5"/>
          <w:w w:val="105"/>
          <w:sz w:val="13"/>
        </w:rPr>
        <w:t> </w:t>
      </w:r>
      <w:r>
        <w:rPr>
          <w:i/>
          <w:w w:val="105"/>
          <w:sz w:val="13"/>
        </w:rPr>
        <w:t>Webb</w:t>
      </w:r>
      <w:r>
        <w:rPr>
          <w:i/>
          <w:spacing w:val="4"/>
          <w:w w:val="105"/>
          <w:sz w:val="13"/>
        </w:rPr>
        <w:t> </w:t>
      </w:r>
      <w:r>
        <w:rPr>
          <w:i/>
          <w:w w:val="105"/>
          <w:sz w:val="13"/>
        </w:rPr>
        <w:t>v</w:t>
      </w:r>
      <w:r>
        <w:rPr>
          <w:i/>
          <w:spacing w:val="4"/>
          <w:w w:val="105"/>
          <w:sz w:val="13"/>
        </w:rPr>
        <w:t> </w:t>
      </w:r>
      <w:r>
        <w:rPr>
          <w:i/>
          <w:w w:val="105"/>
          <w:sz w:val="13"/>
        </w:rPr>
        <w:t>Ryan</w:t>
      </w:r>
      <w:r>
        <w:rPr>
          <w:i/>
          <w:spacing w:val="3"/>
          <w:w w:val="105"/>
          <w:sz w:val="13"/>
        </w:rPr>
        <w:t> </w:t>
      </w:r>
      <w:r>
        <w:rPr>
          <w:i/>
          <w:w w:val="105"/>
          <w:sz w:val="13"/>
        </w:rPr>
        <w:t>(Costs)</w:t>
      </w:r>
      <w:r>
        <w:rPr>
          <w:i/>
          <w:spacing w:val="5"/>
          <w:w w:val="105"/>
          <w:sz w:val="13"/>
        </w:rPr>
        <w:t> </w:t>
      </w:r>
      <w:r>
        <w:rPr>
          <w:w w:val="105"/>
          <w:sz w:val="13"/>
        </w:rPr>
        <w:t>[2012]</w:t>
      </w:r>
      <w:r>
        <w:rPr>
          <w:spacing w:val="5"/>
          <w:w w:val="105"/>
          <w:sz w:val="13"/>
        </w:rPr>
        <w:t> </w:t>
      </w:r>
      <w:r>
        <w:rPr>
          <w:w w:val="105"/>
          <w:sz w:val="13"/>
        </w:rPr>
        <w:t>VSC</w:t>
      </w:r>
      <w:r>
        <w:rPr>
          <w:spacing w:val="5"/>
          <w:w w:val="105"/>
          <w:sz w:val="13"/>
        </w:rPr>
        <w:t> </w:t>
      </w:r>
      <w:r>
        <w:rPr>
          <w:w w:val="105"/>
          <w:sz w:val="13"/>
        </w:rPr>
        <w:t>431</w:t>
      </w:r>
      <w:r>
        <w:rPr>
          <w:spacing w:val="5"/>
          <w:w w:val="105"/>
          <w:sz w:val="13"/>
        </w:rPr>
        <w:t> </w:t>
      </w:r>
      <w:r>
        <w:rPr>
          <w:w w:val="105"/>
          <w:sz w:val="13"/>
        </w:rPr>
        <w:t>(20</w:t>
      </w:r>
      <w:r>
        <w:rPr>
          <w:spacing w:val="4"/>
          <w:w w:val="105"/>
          <w:sz w:val="13"/>
        </w:rPr>
        <w:t> </w:t>
      </w:r>
      <w:r>
        <w:rPr>
          <w:w w:val="105"/>
          <w:sz w:val="13"/>
        </w:rPr>
        <w:t>September</w:t>
      </w:r>
      <w:r>
        <w:rPr>
          <w:spacing w:val="5"/>
          <w:w w:val="105"/>
          <w:sz w:val="13"/>
        </w:rPr>
        <w:t> </w:t>
      </w:r>
      <w:r>
        <w:rPr>
          <w:w w:val="105"/>
          <w:sz w:val="13"/>
        </w:rPr>
        <w:t>2012)</w:t>
      </w:r>
      <w:r>
        <w:rPr>
          <w:spacing w:val="5"/>
          <w:w w:val="105"/>
          <w:sz w:val="13"/>
        </w:rPr>
        <w:t> </w:t>
      </w:r>
      <w:r>
        <w:rPr>
          <w:w w:val="105"/>
          <w:sz w:val="13"/>
        </w:rPr>
        <w:t>[32].</w:t>
      </w:r>
    </w:p>
    <w:p>
      <w:pPr>
        <w:pStyle w:val="ListParagraph"/>
        <w:numPr>
          <w:ilvl w:val="0"/>
          <w:numId w:val="89"/>
        </w:numPr>
        <w:tabs>
          <w:tab w:pos="2381" w:val="left" w:leader="none"/>
          <w:tab w:pos="2382" w:val="left" w:leader="none"/>
        </w:tabs>
        <w:spacing w:line="240" w:lineRule="auto" w:before="1" w:after="0"/>
        <w:ind w:left="2381" w:right="0" w:hanging="794"/>
        <w:jc w:val="left"/>
        <w:rPr>
          <w:sz w:val="13"/>
        </w:rPr>
      </w:pPr>
      <w:r>
        <w:rPr>
          <w:i/>
          <w:sz w:val="13"/>
        </w:rPr>
        <w:t>Re</w:t>
      </w:r>
      <w:r>
        <w:rPr>
          <w:i/>
          <w:spacing w:val="7"/>
          <w:sz w:val="13"/>
        </w:rPr>
        <w:t> </w:t>
      </w:r>
      <w:r>
        <w:rPr>
          <w:i/>
          <w:sz w:val="13"/>
        </w:rPr>
        <w:t>Carn;</w:t>
      </w:r>
      <w:r>
        <w:rPr>
          <w:i/>
          <w:spacing w:val="8"/>
          <w:sz w:val="13"/>
        </w:rPr>
        <w:t> </w:t>
      </w:r>
      <w:r>
        <w:rPr>
          <w:i/>
          <w:sz w:val="13"/>
        </w:rPr>
        <w:t>Moerth</w:t>
      </w:r>
      <w:r>
        <w:rPr>
          <w:i/>
          <w:spacing w:val="7"/>
          <w:sz w:val="13"/>
        </w:rPr>
        <w:t> </w:t>
      </w:r>
      <w:r>
        <w:rPr>
          <w:i/>
          <w:sz w:val="13"/>
        </w:rPr>
        <w:t>v</w:t>
      </w:r>
      <w:r>
        <w:rPr>
          <w:i/>
          <w:spacing w:val="8"/>
          <w:sz w:val="13"/>
        </w:rPr>
        <w:t> </w:t>
      </w:r>
      <w:r>
        <w:rPr>
          <w:i/>
          <w:sz w:val="13"/>
        </w:rPr>
        <w:t>Moerth</w:t>
      </w:r>
      <w:r>
        <w:rPr>
          <w:i/>
          <w:spacing w:val="7"/>
          <w:sz w:val="13"/>
        </w:rPr>
        <w:t> </w:t>
      </w:r>
      <w:r>
        <w:rPr>
          <w:i/>
          <w:spacing w:val="3"/>
          <w:sz w:val="13"/>
        </w:rPr>
        <w:t>(No</w:t>
      </w:r>
      <w:r>
        <w:rPr>
          <w:i/>
          <w:spacing w:val="8"/>
          <w:sz w:val="13"/>
        </w:rPr>
        <w:t> </w:t>
      </w:r>
      <w:r>
        <w:rPr>
          <w:i/>
          <w:sz w:val="13"/>
        </w:rPr>
        <w:t>2)</w:t>
      </w:r>
      <w:r>
        <w:rPr>
          <w:i/>
          <w:spacing w:val="8"/>
          <w:sz w:val="13"/>
        </w:rPr>
        <w:t> </w:t>
      </w:r>
      <w:r>
        <w:rPr>
          <w:spacing w:val="-3"/>
          <w:sz w:val="13"/>
        </w:rPr>
        <w:t>[2011]</w:t>
      </w:r>
      <w:r>
        <w:rPr>
          <w:spacing w:val="9"/>
          <w:sz w:val="13"/>
        </w:rPr>
        <w:t> </w:t>
      </w:r>
      <w:r>
        <w:rPr>
          <w:sz w:val="13"/>
        </w:rPr>
        <w:t>VSC</w:t>
      </w:r>
      <w:r>
        <w:rPr>
          <w:spacing w:val="9"/>
          <w:sz w:val="13"/>
        </w:rPr>
        <w:t> </w:t>
      </w:r>
      <w:r>
        <w:rPr>
          <w:sz w:val="13"/>
        </w:rPr>
        <w:t>275</w:t>
      </w:r>
      <w:r>
        <w:rPr>
          <w:spacing w:val="8"/>
          <w:sz w:val="13"/>
        </w:rPr>
        <w:t> </w:t>
      </w:r>
      <w:r>
        <w:rPr>
          <w:sz w:val="13"/>
        </w:rPr>
        <w:t>(4</w:t>
      </w:r>
      <w:r>
        <w:rPr>
          <w:spacing w:val="9"/>
          <w:sz w:val="13"/>
        </w:rPr>
        <w:t> </w:t>
      </w:r>
      <w:r>
        <w:rPr>
          <w:sz w:val="13"/>
        </w:rPr>
        <w:t>March</w:t>
      </w:r>
      <w:r>
        <w:rPr>
          <w:spacing w:val="9"/>
          <w:sz w:val="13"/>
        </w:rPr>
        <w:t> </w:t>
      </w:r>
      <w:r>
        <w:rPr>
          <w:spacing w:val="-4"/>
          <w:sz w:val="13"/>
        </w:rPr>
        <w:t>2011)</w:t>
      </w:r>
      <w:r>
        <w:rPr>
          <w:spacing w:val="8"/>
          <w:sz w:val="13"/>
        </w:rPr>
        <w:t> </w:t>
      </w:r>
      <w:r>
        <w:rPr>
          <w:sz w:val="13"/>
        </w:rPr>
        <w:t>[26]</w:t>
      </w:r>
      <w:r>
        <w:rPr>
          <w:spacing w:val="9"/>
          <w:sz w:val="13"/>
        </w:rPr>
        <w:t> </w:t>
      </w:r>
      <w:r>
        <w:rPr>
          <w:sz w:val="13"/>
        </w:rPr>
        <w:t>(Gardiner</w:t>
      </w:r>
      <w:r>
        <w:rPr>
          <w:spacing w:val="8"/>
          <w:sz w:val="13"/>
        </w:rPr>
        <w:t> </w:t>
      </w:r>
      <w:r>
        <w:rPr>
          <w:spacing w:val="4"/>
          <w:sz w:val="13"/>
        </w:rPr>
        <w:t>AsJ).</w:t>
      </w:r>
    </w:p>
    <w:p>
      <w:pPr>
        <w:pStyle w:val="ListParagraph"/>
        <w:numPr>
          <w:ilvl w:val="0"/>
          <w:numId w:val="89"/>
        </w:numPr>
        <w:tabs>
          <w:tab w:pos="2381" w:val="left" w:leader="none"/>
          <w:tab w:pos="2382" w:val="left" w:leader="none"/>
        </w:tabs>
        <w:spacing w:line="240" w:lineRule="auto" w:before="1" w:after="0"/>
        <w:ind w:left="2381" w:right="0" w:hanging="794"/>
        <w:jc w:val="left"/>
        <w:rPr>
          <w:sz w:val="13"/>
        </w:rPr>
      </w:pPr>
      <w:r>
        <w:rPr>
          <w:sz w:val="13"/>
        </w:rPr>
        <w:t>Ibid </w:t>
      </w:r>
      <w:r>
        <w:rPr>
          <w:spacing w:val="2"/>
          <w:sz w:val="13"/>
        </w:rPr>
        <w:t>[26]–[31] </w:t>
      </w:r>
      <w:r>
        <w:rPr>
          <w:sz w:val="13"/>
        </w:rPr>
        <w:t>(Gardiner</w:t>
      </w:r>
      <w:r>
        <w:rPr>
          <w:spacing w:val="17"/>
          <w:sz w:val="13"/>
        </w:rPr>
        <w:t> </w:t>
      </w:r>
      <w:r>
        <w:rPr>
          <w:spacing w:val="4"/>
          <w:sz w:val="13"/>
        </w:rPr>
        <w:t>AsJ).</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rPr>
          <w:sz w:val="28"/>
        </w:rPr>
      </w:pPr>
    </w:p>
    <w:p>
      <w:pPr>
        <w:spacing w:before="201"/>
        <w:ind w:left="783" w:right="575" w:firstLine="0"/>
        <w:jc w:val="center"/>
        <w:rPr>
          <w:b/>
          <w:sz w:val="24"/>
        </w:rPr>
      </w:pPr>
      <w:r>
        <w:rPr>
          <w:b/>
          <w:color w:val="EC5A4F"/>
          <w:w w:val="110"/>
          <w:sz w:val="24"/>
        </w:rPr>
        <w:t>117</w:t>
      </w:r>
    </w:p>
    <w:p>
      <w:pPr>
        <w:spacing w:after="0"/>
        <w:jc w:val="center"/>
        <w:rPr>
          <w:sz w:val="24"/>
        </w:rPr>
        <w:sectPr>
          <w:type w:val="continuous"/>
          <w:pgSz w:w="11910" w:h="16840"/>
          <w:pgMar w:top="920" w:bottom="280" w:left="0" w:right="0"/>
          <w:cols w:num="2" w:equalWidth="0">
            <w:col w:w="10070" w:space="40"/>
            <w:col w:w="1800"/>
          </w:cols>
        </w:sectPr>
      </w:pPr>
    </w:p>
    <w:p>
      <w:pPr>
        <w:pStyle w:val="BodyText"/>
        <w:spacing w:before="9"/>
        <w:rPr>
          <w:b/>
          <w:sz w:val="22"/>
        </w:rPr>
      </w:pPr>
    </w:p>
    <w:p>
      <w:pPr>
        <w:pStyle w:val="ListParagraph"/>
        <w:numPr>
          <w:ilvl w:val="1"/>
          <w:numId w:val="82"/>
        </w:numPr>
        <w:tabs>
          <w:tab w:pos="2381" w:val="left" w:leader="none"/>
          <w:tab w:pos="2382" w:val="left" w:leader="none"/>
        </w:tabs>
        <w:spacing w:line="242" w:lineRule="auto" w:before="92" w:after="0"/>
        <w:ind w:left="2381" w:right="1621" w:hanging="794"/>
        <w:jc w:val="left"/>
        <w:rPr>
          <w:sz w:val="12"/>
        </w:rPr>
      </w:pPr>
      <w:r>
        <w:rPr>
          <w:sz w:val="21"/>
        </w:rPr>
        <w:t>Where a </w:t>
      </w:r>
      <w:r>
        <w:rPr>
          <w:spacing w:val="-3"/>
          <w:sz w:val="21"/>
        </w:rPr>
        <w:t>family provision claim fails, </w:t>
      </w:r>
      <w:r>
        <w:rPr>
          <w:sz w:val="21"/>
        </w:rPr>
        <w:t>it is most </w:t>
      </w:r>
      <w:r>
        <w:rPr>
          <w:spacing w:val="-2"/>
          <w:sz w:val="21"/>
        </w:rPr>
        <w:t>common  </w:t>
      </w:r>
      <w:r>
        <w:rPr>
          <w:spacing w:val="-3"/>
          <w:sz w:val="21"/>
        </w:rPr>
        <w:t>for  </w:t>
      </w:r>
      <w:r>
        <w:rPr>
          <w:sz w:val="21"/>
        </w:rPr>
        <w:t>there </w:t>
      </w:r>
      <w:r>
        <w:rPr>
          <w:spacing w:val="-3"/>
          <w:sz w:val="21"/>
        </w:rPr>
        <w:t>to</w:t>
      </w:r>
      <w:r>
        <w:rPr>
          <w:spacing w:val="41"/>
          <w:sz w:val="21"/>
        </w:rPr>
        <w:t> </w:t>
      </w:r>
      <w:r>
        <w:rPr>
          <w:sz w:val="21"/>
        </w:rPr>
        <w:t>be no order as </w:t>
      </w:r>
      <w:r>
        <w:rPr>
          <w:spacing w:val="-3"/>
          <w:sz w:val="21"/>
        </w:rPr>
        <w:t>to </w:t>
      </w:r>
      <w:r>
        <w:rPr>
          <w:spacing w:val="-4"/>
          <w:sz w:val="21"/>
        </w:rPr>
        <w:t>costs,</w:t>
      </w:r>
      <w:r>
        <w:rPr>
          <w:spacing w:val="-4"/>
          <w:position w:val="7"/>
          <w:sz w:val="12"/>
        </w:rPr>
        <w:t>182 </w:t>
      </w:r>
      <w:r>
        <w:rPr>
          <w:spacing w:val="-3"/>
          <w:sz w:val="21"/>
        </w:rPr>
        <w:t>meaning that </w:t>
      </w:r>
      <w:r>
        <w:rPr>
          <w:sz w:val="21"/>
        </w:rPr>
        <w:t>the </w:t>
      </w:r>
      <w:r>
        <w:rPr>
          <w:spacing w:val="-3"/>
          <w:sz w:val="21"/>
        </w:rPr>
        <w:t>unsuccessful applicant </w:t>
      </w:r>
      <w:r>
        <w:rPr>
          <w:sz w:val="21"/>
        </w:rPr>
        <w:t>bears their own costs and the </w:t>
      </w:r>
      <w:r>
        <w:rPr>
          <w:spacing w:val="-3"/>
          <w:sz w:val="21"/>
        </w:rPr>
        <w:t>defendant </w:t>
      </w:r>
      <w:r>
        <w:rPr>
          <w:sz w:val="21"/>
        </w:rPr>
        <w:t>personal</w:t>
      </w:r>
      <w:r>
        <w:rPr>
          <w:spacing w:val="8"/>
          <w:sz w:val="21"/>
        </w:rPr>
        <w:t> </w:t>
      </w:r>
      <w:r>
        <w:rPr>
          <w:sz w:val="21"/>
        </w:rPr>
        <w:t>representative</w:t>
      </w:r>
      <w:r>
        <w:rPr>
          <w:spacing w:val="8"/>
          <w:sz w:val="21"/>
        </w:rPr>
        <w:t> </w:t>
      </w:r>
      <w:r>
        <w:rPr>
          <w:sz w:val="21"/>
        </w:rPr>
        <w:t>receives</w:t>
      </w:r>
      <w:r>
        <w:rPr>
          <w:spacing w:val="9"/>
          <w:sz w:val="21"/>
        </w:rPr>
        <w:t> </w:t>
      </w:r>
      <w:r>
        <w:rPr>
          <w:sz w:val="21"/>
        </w:rPr>
        <w:t>their</w:t>
      </w:r>
      <w:r>
        <w:rPr>
          <w:spacing w:val="8"/>
          <w:sz w:val="21"/>
        </w:rPr>
        <w:t> </w:t>
      </w:r>
      <w:r>
        <w:rPr>
          <w:sz w:val="21"/>
        </w:rPr>
        <w:t>costs</w:t>
      </w:r>
      <w:r>
        <w:rPr>
          <w:spacing w:val="8"/>
          <w:sz w:val="21"/>
        </w:rPr>
        <w:t> </w:t>
      </w:r>
      <w:r>
        <w:rPr>
          <w:sz w:val="21"/>
        </w:rPr>
        <w:t>out</w:t>
      </w:r>
      <w:r>
        <w:rPr>
          <w:spacing w:val="9"/>
          <w:sz w:val="21"/>
        </w:rPr>
        <w:t> </w:t>
      </w:r>
      <w:r>
        <w:rPr>
          <w:sz w:val="21"/>
        </w:rPr>
        <w:t>of</w:t>
      </w:r>
      <w:r>
        <w:rPr>
          <w:spacing w:val="8"/>
          <w:sz w:val="21"/>
        </w:rPr>
        <w:t> </w:t>
      </w:r>
      <w:r>
        <w:rPr>
          <w:sz w:val="21"/>
        </w:rPr>
        <w:t>the</w:t>
      </w:r>
      <w:r>
        <w:rPr>
          <w:spacing w:val="9"/>
          <w:sz w:val="21"/>
        </w:rPr>
        <w:t> </w:t>
      </w:r>
      <w:r>
        <w:rPr>
          <w:spacing w:val="-4"/>
          <w:sz w:val="21"/>
        </w:rPr>
        <w:t>estate.</w:t>
      </w:r>
      <w:r>
        <w:rPr>
          <w:spacing w:val="-4"/>
          <w:position w:val="7"/>
          <w:sz w:val="12"/>
        </w:rPr>
        <w:t>183</w:t>
      </w:r>
    </w:p>
    <w:p>
      <w:pPr>
        <w:pStyle w:val="ListParagraph"/>
        <w:numPr>
          <w:ilvl w:val="1"/>
          <w:numId w:val="82"/>
        </w:numPr>
        <w:tabs>
          <w:tab w:pos="2381" w:val="left" w:leader="none"/>
          <w:tab w:pos="2382" w:val="left" w:leader="none"/>
        </w:tabs>
        <w:spacing w:line="242" w:lineRule="auto" w:before="123" w:after="0"/>
        <w:ind w:left="2381" w:right="1883" w:hanging="794"/>
        <w:jc w:val="left"/>
        <w:rPr>
          <w:sz w:val="12"/>
        </w:rPr>
      </w:pPr>
      <w:r>
        <w:rPr>
          <w:sz w:val="21"/>
        </w:rPr>
        <w:t>It is </w:t>
      </w:r>
      <w:r>
        <w:rPr>
          <w:spacing w:val="-3"/>
          <w:sz w:val="21"/>
        </w:rPr>
        <w:t>rare for </w:t>
      </w:r>
      <w:r>
        <w:rPr>
          <w:sz w:val="21"/>
        </w:rPr>
        <w:t>the court </w:t>
      </w:r>
      <w:r>
        <w:rPr>
          <w:spacing w:val="-3"/>
          <w:sz w:val="21"/>
        </w:rPr>
        <w:t>to </w:t>
      </w:r>
      <w:r>
        <w:rPr>
          <w:sz w:val="21"/>
        </w:rPr>
        <w:t>order an </w:t>
      </w:r>
      <w:r>
        <w:rPr>
          <w:spacing w:val="-3"/>
          <w:sz w:val="21"/>
        </w:rPr>
        <w:t>unsuccessful applicant </w:t>
      </w:r>
      <w:r>
        <w:rPr>
          <w:sz w:val="21"/>
        </w:rPr>
        <w:t>in </w:t>
      </w:r>
      <w:r>
        <w:rPr>
          <w:spacing w:val="-3"/>
          <w:sz w:val="21"/>
        </w:rPr>
        <w:t>family provision to </w:t>
      </w:r>
      <w:r>
        <w:rPr>
          <w:spacing w:val="-2"/>
          <w:sz w:val="21"/>
        </w:rPr>
        <w:t>pay  </w:t>
      </w:r>
      <w:r>
        <w:rPr>
          <w:sz w:val="21"/>
        </w:rPr>
        <w:t>the costs of the </w:t>
      </w:r>
      <w:r>
        <w:rPr>
          <w:spacing w:val="-3"/>
          <w:sz w:val="21"/>
        </w:rPr>
        <w:t>estate. </w:t>
      </w:r>
      <w:r>
        <w:rPr>
          <w:sz w:val="21"/>
        </w:rPr>
        <w:t>In </w:t>
      </w:r>
      <w:r>
        <w:rPr>
          <w:i/>
          <w:sz w:val="21"/>
        </w:rPr>
        <w:t>Re Carn; Moerth v Moerth  </w:t>
      </w:r>
      <w:r>
        <w:rPr>
          <w:i/>
          <w:spacing w:val="2"/>
          <w:sz w:val="21"/>
        </w:rPr>
        <w:t>(No </w:t>
      </w:r>
      <w:r>
        <w:rPr>
          <w:i/>
          <w:sz w:val="21"/>
        </w:rPr>
        <w:t>2)</w:t>
      </w:r>
      <w:r>
        <w:rPr>
          <w:sz w:val="21"/>
        </w:rPr>
        <w:t>,  Associate  Justice  </w:t>
      </w:r>
      <w:r>
        <w:rPr>
          <w:spacing w:val="-3"/>
          <w:sz w:val="21"/>
        </w:rPr>
        <w:t>Gardiner found that </w:t>
      </w:r>
      <w:r>
        <w:rPr>
          <w:sz w:val="21"/>
        </w:rPr>
        <w:t>the </w:t>
      </w:r>
      <w:r>
        <w:rPr>
          <w:spacing w:val="-3"/>
          <w:sz w:val="21"/>
        </w:rPr>
        <w:t>claim </w:t>
      </w:r>
      <w:r>
        <w:rPr>
          <w:sz w:val="21"/>
        </w:rPr>
        <w:t>by one </w:t>
      </w:r>
      <w:r>
        <w:rPr>
          <w:spacing w:val="-3"/>
          <w:sz w:val="21"/>
        </w:rPr>
        <w:t>applicant </w:t>
      </w:r>
      <w:r>
        <w:rPr>
          <w:spacing w:val="-2"/>
          <w:sz w:val="21"/>
        </w:rPr>
        <w:t>had </w:t>
      </w:r>
      <w:r>
        <w:rPr>
          <w:sz w:val="21"/>
        </w:rPr>
        <w:t>been made with no </w:t>
      </w:r>
      <w:r>
        <w:rPr>
          <w:spacing w:val="-3"/>
          <w:sz w:val="21"/>
        </w:rPr>
        <w:t>reasonable </w:t>
      </w:r>
      <w:r>
        <w:rPr>
          <w:sz w:val="21"/>
        </w:rPr>
        <w:t>prospects of </w:t>
      </w:r>
      <w:r>
        <w:rPr>
          <w:spacing w:val="-4"/>
          <w:sz w:val="21"/>
        </w:rPr>
        <w:t>success,</w:t>
      </w:r>
      <w:r>
        <w:rPr>
          <w:spacing w:val="-4"/>
          <w:position w:val="7"/>
          <w:sz w:val="12"/>
        </w:rPr>
        <w:t>184 </w:t>
      </w:r>
      <w:r>
        <w:rPr>
          <w:spacing w:val="-3"/>
          <w:sz w:val="21"/>
        </w:rPr>
        <w:t>although </w:t>
      </w:r>
      <w:r>
        <w:rPr>
          <w:sz w:val="21"/>
        </w:rPr>
        <w:t>it seems </w:t>
      </w:r>
      <w:r>
        <w:rPr>
          <w:spacing w:val="-3"/>
          <w:sz w:val="21"/>
        </w:rPr>
        <w:t>that </w:t>
      </w:r>
      <w:r>
        <w:rPr>
          <w:sz w:val="21"/>
        </w:rPr>
        <w:t>even if </w:t>
      </w:r>
      <w:r>
        <w:rPr>
          <w:spacing w:val="-3"/>
          <w:sz w:val="21"/>
        </w:rPr>
        <w:t>that threshold </w:t>
      </w:r>
      <w:r>
        <w:rPr>
          <w:spacing w:val="-2"/>
          <w:sz w:val="21"/>
        </w:rPr>
        <w:t>had not </w:t>
      </w:r>
      <w:r>
        <w:rPr>
          <w:sz w:val="21"/>
        </w:rPr>
        <w:t>been met, his Honour would </w:t>
      </w:r>
      <w:r>
        <w:rPr>
          <w:spacing w:val="-3"/>
          <w:sz w:val="21"/>
        </w:rPr>
        <w:t>have considered </w:t>
      </w:r>
      <w:r>
        <w:rPr>
          <w:sz w:val="21"/>
        </w:rPr>
        <w:t>it just </w:t>
      </w:r>
      <w:r>
        <w:rPr>
          <w:spacing w:val="-3"/>
          <w:sz w:val="21"/>
        </w:rPr>
        <w:t>for </w:t>
      </w:r>
      <w:r>
        <w:rPr>
          <w:sz w:val="21"/>
        </w:rPr>
        <w:t>costs </w:t>
      </w:r>
      <w:r>
        <w:rPr>
          <w:spacing w:val="-3"/>
          <w:sz w:val="21"/>
        </w:rPr>
        <w:t>to follow </w:t>
      </w:r>
      <w:r>
        <w:rPr>
          <w:sz w:val="21"/>
        </w:rPr>
        <w:t>the </w:t>
      </w:r>
      <w:r>
        <w:rPr>
          <w:spacing w:val="-5"/>
          <w:sz w:val="21"/>
        </w:rPr>
        <w:t>event.</w:t>
      </w:r>
      <w:r>
        <w:rPr>
          <w:spacing w:val="-5"/>
          <w:position w:val="7"/>
          <w:sz w:val="12"/>
        </w:rPr>
        <w:t>185 </w:t>
      </w:r>
      <w:r>
        <w:rPr>
          <w:sz w:val="21"/>
        </w:rPr>
        <w:t>The </w:t>
      </w:r>
      <w:r>
        <w:rPr>
          <w:spacing w:val="-3"/>
          <w:sz w:val="21"/>
        </w:rPr>
        <w:t>Court </w:t>
      </w:r>
      <w:r>
        <w:rPr>
          <w:sz w:val="21"/>
        </w:rPr>
        <w:t>ordered the </w:t>
      </w:r>
      <w:r>
        <w:rPr>
          <w:spacing w:val="-3"/>
          <w:sz w:val="21"/>
        </w:rPr>
        <w:t>applicant  to  </w:t>
      </w:r>
      <w:r>
        <w:rPr>
          <w:sz w:val="21"/>
        </w:rPr>
        <w:t>reimburse the estate </w:t>
      </w:r>
      <w:r>
        <w:rPr>
          <w:spacing w:val="-3"/>
          <w:sz w:val="21"/>
        </w:rPr>
        <w:t>for</w:t>
      </w:r>
      <w:r>
        <w:rPr>
          <w:spacing w:val="41"/>
          <w:sz w:val="21"/>
        </w:rPr>
        <w:t> </w:t>
      </w:r>
      <w:r>
        <w:rPr>
          <w:sz w:val="21"/>
        </w:rPr>
        <w:t>the </w:t>
      </w:r>
      <w:r>
        <w:rPr>
          <w:spacing w:val="-3"/>
          <w:sz w:val="21"/>
        </w:rPr>
        <w:t>defendant  </w:t>
      </w:r>
      <w:r>
        <w:rPr>
          <w:sz w:val="21"/>
        </w:rPr>
        <w:t>personal </w:t>
      </w:r>
      <w:r>
        <w:rPr>
          <w:spacing w:val="-3"/>
          <w:sz w:val="21"/>
        </w:rPr>
        <w:t>representative’s  </w:t>
      </w:r>
      <w:r>
        <w:rPr>
          <w:sz w:val="21"/>
        </w:rPr>
        <w:t>costs on  a party and party</w:t>
      </w:r>
      <w:r>
        <w:rPr>
          <w:spacing w:val="34"/>
          <w:sz w:val="21"/>
        </w:rPr>
        <w:t> </w:t>
      </w:r>
      <w:r>
        <w:rPr>
          <w:spacing w:val="-4"/>
          <w:sz w:val="21"/>
        </w:rPr>
        <w:t>basis.</w:t>
      </w:r>
      <w:r>
        <w:rPr>
          <w:spacing w:val="-4"/>
          <w:position w:val="7"/>
          <w:sz w:val="12"/>
        </w:rPr>
        <w:t>186</w:t>
      </w:r>
    </w:p>
    <w:p>
      <w:pPr>
        <w:pStyle w:val="ListParagraph"/>
        <w:numPr>
          <w:ilvl w:val="1"/>
          <w:numId w:val="82"/>
        </w:numPr>
        <w:tabs>
          <w:tab w:pos="2381" w:val="left" w:leader="none"/>
          <w:tab w:pos="2382" w:val="left" w:leader="none"/>
        </w:tabs>
        <w:spacing w:line="242" w:lineRule="auto" w:before="128" w:after="0"/>
        <w:ind w:left="2381" w:right="1783" w:hanging="794"/>
        <w:jc w:val="left"/>
        <w:rPr>
          <w:sz w:val="12"/>
        </w:rPr>
      </w:pPr>
      <w:r>
        <w:rPr>
          <w:sz w:val="21"/>
        </w:rPr>
        <w:t>In the costs </w:t>
      </w:r>
      <w:r>
        <w:rPr>
          <w:spacing w:val="-3"/>
          <w:sz w:val="21"/>
        </w:rPr>
        <w:t>judgment </w:t>
      </w:r>
      <w:r>
        <w:rPr>
          <w:sz w:val="21"/>
        </w:rPr>
        <w:t>in </w:t>
      </w:r>
      <w:r>
        <w:rPr>
          <w:i/>
          <w:sz w:val="21"/>
        </w:rPr>
        <w:t>Webb v </w:t>
      </w:r>
      <w:r>
        <w:rPr>
          <w:i/>
          <w:spacing w:val="-4"/>
          <w:sz w:val="21"/>
        </w:rPr>
        <w:t>Ryan</w:t>
      </w:r>
      <w:r>
        <w:rPr>
          <w:spacing w:val="-4"/>
          <w:sz w:val="21"/>
        </w:rPr>
        <w:t>, </w:t>
      </w:r>
      <w:r>
        <w:rPr>
          <w:sz w:val="21"/>
        </w:rPr>
        <w:t>Justice Whelan did </w:t>
      </w:r>
      <w:r>
        <w:rPr>
          <w:spacing w:val="-2"/>
          <w:sz w:val="21"/>
        </w:rPr>
        <w:t>not </w:t>
      </w:r>
      <w:r>
        <w:rPr>
          <w:sz w:val="21"/>
        </w:rPr>
        <w:t>find </w:t>
      </w:r>
      <w:r>
        <w:rPr>
          <w:spacing w:val="-3"/>
          <w:sz w:val="21"/>
        </w:rPr>
        <w:t>that </w:t>
      </w:r>
      <w:r>
        <w:rPr>
          <w:sz w:val="21"/>
        </w:rPr>
        <w:t>the applicants’  </w:t>
      </w:r>
      <w:r>
        <w:rPr>
          <w:spacing w:val="-3"/>
          <w:sz w:val="21"/>
        </w:rPr>
        <w:t>claim </w:t>
      </w:r>
      <w:r>
        <w:rPr>
          <w:spacing w:val="-2"/>
          <w:sz w:val="21"/>
        </w:rPr>
        <w:t>had </w:t>
      </w:r>
      <w:r>
        <w:rPr>
          <w:sz w:val="21"/>
        </w:rPr>
        <w:t>been made </w:t>
      </w:r>
      <w:r>
        <w:rPr>
          <w:spacing w:val="-3"/>
          <w:sz w:val="21"/>
        </w:rPr>
        <w:t>frivolously, </w:t>
      </w:r>
      <w:r>
        <w:rPr>
          <w:sz w:val="21"/>
        </w:rPr>
        <w:t>vexatiously or with no  </w:t>
      </w:r>
      <w:r>
        <w:rPr>
          <w:spacing w:val="-3"/>
          <w:sz w:val="21"/>
        </w:rPr>
        <w:t>reasonable  </w:t>
      </w:r>
      <w:r>
        <w:rPr>
          <w:sz w:val="21"/>
        </w:rPr>
        <w:t>prospects  of </w:t>
      </w:r>
      <w:r>
        <w:rPr>
          <w:spacing w:val="-4"/>
          <w:sz w:val="21"/>
        </w:rPr>
        <w:t>success.</w:t>
      </w:r>
      <w:r>
        <w:rPr>
          <w:spacing w:val="-4"/>
          <w:position w:val="7"/>
          <w:sz w:val="12"/>
        </w:rPr>
        <w:t>187 </w:t>
      </w:r>
      <w:r>
        <w:rPr>
          <w:spacing w:val="-4"/>
          <w:sz w:val="21"/>
        </w:rPr>
        <w:t>However, </w:t>
      </w:r>
      <w:r>
        <w:rPr>
          <w:sz w:val="21"/>
        </w:rPr>
        <w:t>his Honour nevertheless held </w:t>
      </w:r>
      <w:r>
        <w:rPr>
          <w:spacing w:val="-3"/>
          <w:sz w:val="21"/>
        </w:rPr>
        <w:t>that </w:t>
      </w:r>
      <w:r>
        <w:rPr>
          <w:sz w:val="21"/>
        </w:rPr>
        <w:t>it was </w:t>
      </w:r>
      <w:r>
        <w:rPr>
          <w:spacing w:val="-7"/>
          <w:sz w:val="21"/>
        </w:rPr>
        <w:t>‘a </w:t>
      </w:r>
      <w:r>
        <w:rPr>
          <w:sz w:val="21"/>
        </w:rPr>
        <w:t>case where costs should </w:t>
      </w:r>
      <w:r>
        <w:rPr>
          <w:spacing w:val="-3"/>
          <w:sz w:val="21"/>
        </w:rPr>
        <w:t>follow </w:t>
      </w:r>
      <w:r>
        <w:rPr>
          <w:sz w:val="21"/>
        </w:rPr>
        <w:t>the </w:t>
      </w:r>
      <w:r>
        <w:rPr>
          <w:spacing w:val="-3"/>
          <w:sz w:val="21"/>
        </w:rPr>
        <w:t>event, </w:t>
      </w:r>
      <w:r>
        <w:rPr>
          <w:sz w:val="21"/>
        </w:rPr>
        <w:t>as is the </w:t>
      </w:r>
      <w:r>
        <w:rPr>
          <w:spacing w:val="-3"/>
          <w:sz w:val="21"/>
        </w:rPr>
        <w:t>usual </w:t>
      </w:r>
      <w:r>
        <w:rPr>
          <w:sz w:val="21"/>
        </w:rPr>
        <w:t>rule in civil </w:t>
      </w:r>
      <w:r>
        <w:rPr>
          <w:spacing w:val="-5"/>
          <w:sz w:val="21"/>
        </w:rPr>
        <w:t>litigation’.</w:t>
      </w:r>
      <w:r>
        <w:rPr>
          <w:spacing w:val="-5"/>
          <w:position w:val="7"/>
          <w:sz w:val="12"/>
        </w:rPr>
        <w:t>188  </w:t>
      </w:r>
      <w:r>
        <w:rPr>
          <w:spacing w:val="-4"/>
          <w:sz w:val="21"/>
        </w:rPr>
        <w:t>Further,  </w:t>
      </w:r>
      <w:r>
        <w:rPr>
          <w:sz w:val="21"/>
        </w:rPr>
        <w:t>because the applicants  </w:t>
      </w:r>
      <w:r>
        <w:rPr>
          <w:spacing w:val="-2"/>
          <w:sz w:val="21"/>
        </w:rPr>
        <w:t>had </w:t>
      </w:r>
      <w:r>
        <w:rPr>
          <w:spacing w:val="-3"/>
          <w:sz w:val="21"/>
        </w:rPr>
        <w:t>unreasonably </w:t>
      </w:r>
      <w:r>
        <w:rPr>
          <w:sz w:val="21"/>
        </w:rPr>
        <w:t>rejected an offer of </w:t>
      </w:r>
      <w:r>
        <w:rPr>
          <w:spacing w:val="-3"/>
          <w:sz w:val="21"/>
        </w:rPr>
        <w:t>compromise, </w:t>
      </w:r>
      <w:r>
        <w:rPr>
          <w:sz w:val="21"/>
        </w:rPr>
        <w:t>they </w:t>
      </w:r>
      <w:r>
        <w:rPr>
          <w:spacing w:val="-3"/>
          <w:sz w:val="21"/>
        </w:rPr>
        <w:t>were </w:t>
      </w:r>
      <w:r>
        <w:rPr>
          <w:sz w:val="21"/>
        </w:rPr>
        <w:t>ordered </w:t>
      </w:r>
      <w:r>
        <w:rPr>
          <w:spacing w:val="-3"/>
          <w:sz w:val="21"/>
        </w:rPr>
        <w:t>to </w:t>
      </w:r>
      <w:r>
        <w:rPr>
          <w:spacing w:val="-2"/>
          <w:sz w:val="21"/>
        </w:rPr>
        <w:t>pay  </w:t>
      </w:r>
      <w:r>
        <w:rPr>
          <w:sz w:val="21"/>
        </w:rPr>
        <w:t>the </w:t>
      </w:r>
      <w:r>
        <w:rPr>
          <w:spacing w:val="-3"/>
          <w:sz w:val="21"/>
        </w:rPr>
        <w:t>defendant </w:t>
      </w:r>
      <w:r>
        <w:rPr>
          <w:sz w:val="21"/>
        </w:rPr>
        <w:t>personal </w:t>
      </w:r>
      <w:r>
        <w:rPr>
          <w:spacing w:val="-3"/>
          <w:sz w:val="21"/>
        </w:rPr>
        <w:t>representative’s </w:t>
      </w:r>
      <w:r>
        <w:rPr>
          <w:sz w:val="21"/>
        </w:rPr>
        <w:t>costs on  the  </w:t>
      </w:r>
      <w:r>
        <w:rPr>
          <w:spacing w:val="-3"/>
          <w:sz w:val="21"/>
        </w:rPr>
        <w:t>solicitor  </w:t>
      </w:r>
      <w:r>
        <w:rPr>
          <w:sz w:val="21"/>
        </w:rPr>
        <w:t>and  </w:t>
      </w:r>
      <w:r>
        <w:rPr>
          <w:spacing w:val="-3"/>
          <w:sz w:val="21"/>
        </w:rPr>
        <w:t>client  </w:t>
      </w:r>
      <w:r>
        <w:rPr>
          <w:sz w:val="21"/>
        </w:rPr>
        <w:t>basis,  </w:t>
      </w:r>
      <w:r>
        <w:rPr>
          <w:spacing w:val="-3"/>
          <w:sz w:val="21"/>
        </w:rPr>
        <w:t>rather  than </w:t>
      </w:r>
      <w:r>
        <w:rPr>
          <w:sz w:val="21"/>
        </w:rPr>
        <w:t>on the party and party</w:t>
      </w:r>
      <w:r>
        <w:rPr>
          <w:spacing w:val="43"/>
          <w:sz w:val="21"/>
        </w:rPr>
        <w:t> </w:t>
      </w:r>
      <w:r>
        <w:rPr>
          <w:spacing w:val="-4"/>
          <w:sz w:val="21"/>
        </w:rPr>
        <w:t>basis.</w:t>
      </w:r>
      <w:r>
        <w:rPr>
          <w:spacing w:val="-4"/>
          <w:position w:val="7"/>
          <w:sz w:val="12"/>
        </w:rPr>
        <w:t>189</w:t>
      </w:r>
    </w:p>
    <w:p>
      <w:pPr>
        <w:pStyle w:val="BodyText"/>
        <w:spacing w:before="3"/>
        <w:rPr>
          <w:sz w:val="25"/>
        </w:rPr>
      </w:pPr>
    </w:p>
    <w:p>
      <w:pPr>
        <w:pStyle w:val="Heading5"/>
        <w:spacing w:before="1"/>
      </w:pPr>
      <w:bookmarkStart w:name="_TOC_250010" w:id="117"/>
      <w:bookmarkEnd w:id="117"/>
      <w:r>
        <w:rPr>
          <w:w w:val="115"/>
        </w:rPr>
        <w:t>The problems with family provision costs rules</w:t>
      </w:r>
    </w:p>
    <w:p>
      <w:pPr>
        <w:pStyle w:val="ListParagraph"/>
        <w:numPr>
          <w:ilvl w:val="1"/>
          <w:numId w:val="82"/>
        </w:numPr>
        <w:tabs>
          <w:tab w:pos="2380" w:val="left" w:leader="none"/>
          <w:tab w:pos="2381" w:val="left" w:leader="none"/>
        </w:tabs>
        <w:spacing w:line="242" w:lineRule="auto" w:before="137" w:after="0"/>
        <w:ind w:left="2381" w:right="1922" w:hanging="794"/>
        <w:jc w:val="left"/>
        <w:rPr>
          <w:sz w:val="21"/>
        </w:rPr>
      </w:pPr>
      <w:r>
        <w:rPr>
          <w:sz w:val="21"/>
        </w:rPr>
        <w:t>As discussed </w:t>
      </w:r>
      <w:r>
        <w:rPr>
          <w:spacing w:val="-3"/>
          <w:sz w:val="21"/>
        </w:rPr>
        <w:t>above, Supreme Court </w:t>
      </w:r>
      <w:r>
        <w:rPr>
          <w:sz w:val="21"/>
        </w:rPr>
        <w:t>authority shows </w:t>
      </w:r>
      <w:r>
        <w:rPr>
          <w:spacing w:val="-3"/>
          <w:sz w:val="21"/>
        </w:rPr>
        <w:t>that for </w:t>
      </w:r>
      <w:r>
        <w:rPr>
          <w:sz w:val="21"/>
        </w:rPr>
        <w:t>an </w:t>
      </w:r>
      <w:r>
        <w:rPr>
          <w:spacing w:val="-3"/>
          <w:sz w:val="21"/>
        </w:rPr>
        <w:t>unsuccessful family provision applicant to </w:t>
      </w:r>
      <w:r>
        <w:rPr>
          <w:sz w:val="21"/>
        </w:rPr>
        <w:t>be ordered </w:t>
      </w:r>
      <w:r>
        <w:rPr>
          <w:spacing w:val="-3"/>
          <w:sz w:val="21"/>
        </w:rPr>
        <w:t>to  </w:t>
      </w:r>
      <w:r>
        <w:rPr>
          <w:spacing w:val="-2"/>
          <w:sz w:val="21"/>
        </w:rPr>
        <w:t>pay  </w:t>
      </w:r>
      <w:r>
        <w:rPr>
          <w:sz w:val="21"/>
        </w:rPr>
        <w:t>the </w:t>
      </w:r>
      <w:r>
        <w:rPr>
          <w:spacing w:val="-3"/>
          <w:sz w:val="21"/>
        </w:rPr>
        <w:t>defendant  </w:t>
      </w:r>
      <w:r>
        <w:rPr>
          <w:sz w:val="21"/>
        </w:rPr>
        <w:t>personal </w:t>
      </w:r>
      <w:r>
        <w:rPr>
          <w:spacing w:val="-3"/>
          <w:sz w:val="21"/>
        </w:rPr>
        <w:t>representative’s  </w:t>
      </w:r>
      <w:r>
        <w:rPr>
          <w:sz w:val="21"/>
        </w:rPr>
        <w:t>costs, it is </w:t>
      </w:r>
      <w:r>
        <w:rPr>
          <w:spacing w:val="-2"/>
          <w:sz w:val="21"/>
        </w:rPr>
        <w:t>not </w:t>
      </w:r>
      <w:r>
        <w:rPr>
          <w:sz w:val="21"/>
        </w:rPr>
        <w:t>necessary </w:t>
      </w:r>
      <w:r>
        <w:rPr>
          <w:spacing w:val="-3"/>
          <w:sz w:val="21"/>
        </w:rPr>
        <w:t>for </w:t>
      </w:r>
      <w:r>
        <w:rPr>
          <w:sz w:val="21"/>
        </w:rPr>
        <w:t>the </w:t>
      </w:r>
      <w:r>
        <w:rPr>
          <w:spacing w:val="-3"/>
          <w:sz w:val="21"/>
        </w:rPr>
        <w:t>claim to </w:t>
      </w:r>
      <w:r>
        <w:rPr>
          <w:spacing w:val="-4"/>
          <w:sz w:val="21"/>
        </w:rPr>
        <w:t>fall </w:t>
      </w:r>
      <w:r>
        <w:rPr>
          <w:spacing w:val="-3"/>
          <w:sz w:val="21"/>
        </w:rPr>
        <w:t>within </w:t>
      </w:r>
      <w:r>
        <w:rPr>
          <w:sz w:val="21"/>
        </w:rPr>
        <w:t>section 97(7) of the </w:t>
      </w:r>
      <w:r>
        <w:rPr>
          <w:spacing w:val="-3"/>
          <w:sz w:val="21"/>
        </w:rPr>
        <w:t>Administration </w:t>
      </w:r>
      <w:r>
        <w:rPr>
          <w:sz w:val="21"/>
        </w:rPr>
        <w:t>and </w:t>
      </w:r>
      <w:r>
        <w:rPr>
          <w:spacing w:val="-3"/>
          <w:sz w:val="21"/>
        </w:rPr>
        <w:t>Probate </w:t>
      </w:r>
      <w:r>
        <w:rPr>
          <w:sz w:val="21"/>
        </w:rPr>
        <w:t>Act—that the </w:t>
      </w:r>
      <w:r>
        <w:rPr>
          <w:spacing w:val="-3"/>
          <w:sz w:val="21"/>
        </w:rPr>
        <w:t>claim </w:t>
      </w:r>
      <w:r>
        <w:rPr>
          <w:sz w:val="21"/>
        </w:rPr>
        <w:t>was made </w:t>
      </w:r>
      <w:r>
        <w:rPr>
          <w:spacing w:val="-3"/>
          <w:sz w:val="21"/>
        </w:rPr>
        <w:t>frivolously, </w:t>
      </w:r>
      <w:r>
        <w:rPr>
          <w:sz w:val="21"/>
        </w:rPr>
        <w:t>vexatiously or with no</w:t>
      </w:r>
      <w:r>
        <w:rPr>
          <w:spacing w:val="30"/>
          <w:sz w:val="21"/>
        </w:rPr>
        <w:t> </w:t>
      </w:r>
      <w:r>
        <w:rPr>
          <w:spacing w:val="-3"/>
          <w:sz w:val="21"/>
        </w:rPr>
        <w:t>reasonable</w:t>
      </w:r>
    </w:p>
    <w:p>
      <w:pPr>
        <w:pStyle w:val="BodyText"/>
        <w:spacing w:line="242" w:lineRule="auto" w:before="4"/>
        <w:ind w:left="2380" w:right="1644"/>
        <w:jc w:val="both"/>
        <w:rPr>
          <w:sz w:val="12"/>
        </w:rPr>
      </w:pPr>
      <w:r>
        <w:rPr>
          <w:w w:val="105"/>
        </w:rPr>
        <w:t>prospect of </w:t>
      </w:r>
      <w:r>
        <w:rPr>
          <w:spacing w:val="-3"/>
          <w:w w:val="105"/>
        </w:rPr>
        <w:t>success. </w:t>
      </w:r>
      <w:r>
        <w:rPr>
          <w:w w:val="105"/>
        </w:rPr>
        <w:t>The </w:t>
      </w:r>
      <w:r>
        <w:rPr>
          <w:spacing w:val="-3"/>
          <w:w w:val="105"/>
        </w:rPr>
        <w:t>Court </w:t>
      </w:r>
      <w:r>
        <w:rPr>
          <w:spacing w:val="-2"/>
          <w:w w:val="105"/>
        </w:rPr>
        <w:t>has </w:t>
      </w:r>
      <w:r>
        <w:rPr>
          <w:w w:val="105"/>
        </w:rPr>
        <w:t>shown a </w:t>
      </w:r>
      <w:r>
        <w:rPr>
          <w:spacing w:val="-3"/>
          <w:w w:val="105"/>
        </w:rPr>
        <w:t>willingness to </w:t>
      </w:r>
      <w:r>
        <w:rPr>
          <w:spacing w:val="-4"/>
          <w:w w:val="105"/>
        </w:rPr>
        <w:t>make </w:t>
      </w:r>
      <w:r>
        <w:rPr>
          <w:spacing w:val="-3"/>
          <w:w w:val="105"/>
        </w:rPr>
        <w:t>such </w:t>
      </w:r>
      <w:r>
        <w:rPr>
          <w:w w:val="105"/>
        </w:rPr>
        <w:t>costs orders where the </w:t>
      </w:r>
      <w:r>
        <w:rPr>
          <w:spacing w:val="-3"/>
          <w:w w:val="105"/>
        </w:rPr>
        <w:t>plaintiff’s claim </w:t>
      </w:r>
      <w:r>
        <w:rPr>
          <w:w w:val="105"/>
        </w:rPr>
        <w:t>is </w:t>
      </w:r>
      <w:r>
        <w:rPr>
          <w:spacing w:val="-4"/>
          <w:w w:val="105"/>
        </w:rPr>
        <w:t>unsuccessful.</w:t>
      </w:r>
      <w:r>
        <w:rPr>
          <w:spacing w:val="-4"/>
          <w:w w:val="105"/>
          <w:position w:val="7"/>
          <w:sz w:val="12"/>
        </w:rPr>
        <w:t>190 </w:t>
      </w:r>
      <w:r>
        <w:rPr>
          <w:w w:val="105"/>
        </w:rPr>
        <w:t>This appears </w:t>
      </w:r>
      <w:r>
        <w:rPr>
          <w:spacing w:val="-3"/>
          <w:w w:val="105"/>
        </w:rPr>
        <w:t>to </w:t>
      </w:r>
      <w:r>
        <w:rPr>
          <w:w w:val="105"/>
        </w:rPr>
        <w:t>be the </w:t>
      </w:r>
      <w:r>
        <w:rPr>
          <w:spacing w:val="-3"/>
          <w:w w:val="105"/>
        </w:rPr>
        <w:t>beginning </w:t>
      </w:r>
      <w:r>
        <w:rPr>
          <w:w w:val="105"/>
        </w:rPr>
        <w:t>of a </w:t>
      </w:r>
      <w:r>
        <w:rPr>
          <w:spacing w:val="-3"/>
          <w:w w:val="105"/>
        </w:rPr>
        <w:t>trend towards </w:t>
      </w:r>
      <w:r>
        <w:rPr>
          <w:w w:val="105"/>
        </w:rPr>
        <w:t>the general costs </w:t>
      </w:r>
      <w:r>
        <w:rPr>
          <w:spacing w:val="-3"/>
          <w:w w:val="105"/>
        </w:rPr>
        <w:t>principles </w:t>
      </w:r>
      <w:r>
        <w:rPr>
          <w:w w:val="105"/>
        </w:rPr>
        <w:t>applying in </w:t>
      </w:r>
      <w:r>
        <w:rPr>
          <w:spacing w:val="-3"/>
          <w:w w:val="105"/>
        </w:rPr>
        <w:t>family provision </w:t>
      </w:r>
      <w:r>
        <w:rPr>
          <w:spacing w:val="-4"/>
          <w:w w:val="105"/>
        </w:rPr>
        <w:t>proceedings.</w:t>
      </w:r>
      <w:r>
        <w:rPr>
          <w:spacing w:val="-4"/>
          <w:w w:val="105"/>
          <w:position w:val="7"/>
          <w:sz w:val="12"/>
        </w:rPr>
        <w:t>191</w:t>
      </w:r>
    </w:p>
    <w:p>
      <w:pPr>
        <w:pStyle w:val="ListParagraph"/>
        <w:numPr>
          <w:ilvl w:val="1"/>
          <w:numId w:val="82"/>
        </w:numPr>
        <w:tabs>
          <w:tab w:pos="2381" w:val="left" w:leader="none"/>
          <w:tab w:pos="2382" w:val="left" w:leader="none"/>
        </w:tabs>
        <w:spacing w:line="242" w:lineRule="auto" w:before="123" w:after="0"/>
        <w:ind w:left="2381" w:right="1820" w:hanging="794"/>
        <w:jc w:val="left"/>
        <w:rPr>
          <w:sz w:val="12"/>
        </w:rPr>
      </w:pPr>
      <w:r>
        <w:rPr>
          <w:spacing w:val="-4"/>
          <w:w w:val="105"/>
          <w:sz w:val="21"/>
        </w:rPr>
        <w:t>However,</w:t>
      </w:r>
      <w:r>
        <w:rPr>
          <w:spacing w:val="-8"/>
          <w:w w:val="105"/>
          <w:sz w:val="21"/>
        </w:rPr>
        <w:t> </w:t>
      </w:r>
      <w:r>
        <w:rPr>
          <w:w w:val="105"/>
          <w:sz w:val="21"/>
        </w:rPr>
        <w:t>despite</w:t>
      </w:r>
      <w:r>
        <w:rPr>
          <w:spacing w:val="-8"/>
          <w:w w:val="105"/>
          <w:sz w:val="21"/>
        </w:rPr>
        <w:t> </w:t>
      </w:r>
      <w:r>
        <w:rPr>
          <w:w w:val="105"/>
          <w:sz w:val="21"/>
        </w:rPr>
        <w:t>the</w:t>
      </w:r>
      <w:r>
        <w:rPr>
          <w:spacing w:val="-7"/>
          <w:w w:val="105"/>
          <w:sz w:val="21"/>
        </w:rPr>
        <w:t> </w:t>
      </w:r>
      <w:r>
        <w:rPr>
          <w:w w:val="105"/>
          <w:sz w:val="21"/>
        </w:rPr>
        <w:t>decisions</w:t>
      </w:r>
      <w:r>
        <w:rPr>
          <w:spacing w:val="-8"/>
          <w:w w:val="105"/>
          <w:sz w:val="21"/>
        </w:rPr>
        <w:t> </w:t>
      </w:r>
      <w:r>
        <w:rPr>
          <w:w w:val="105"/>
          <w:sz w:val="21"/>
        </w:rPr>
        <w:t>of</w:t>
      </w:r>
      <w:r>
        <w:rPr>
          <w:spacing w:val="-7"/>
          <w:w w:val="105"/>
          <w:sz w:val="21"/>
        </w:rPr>
        <w:t> </w:t>
      </w:r>
      <w:r>
        <w:rPr>
          <w:w w:val="105"/>
          <w:sz w:val="21"/>
        </w:rPr>
        <w:t>the</w:t>
      </w:r>
      <w:r>
        <w:rPr>
          <w:spacing w:val="-8"/>
          <w:w w:val="105"/>
          <w:sz w:val="21"/>
        </w:rPr>
        <w:t> </w:t>
      </w:r>
      <w:r>
        <w:rPr>
          <w:spacing w:val="-3"/>
          <w:w w:val="105"/>
          <w:sz w:val="21"/>
        </w:rPr>
        <w:t>Supreme</w:t>
      </w:r>
      <w:r>
        <w:rPr>
          <w:spacing w:val="-7"/>
          <w:w w:val="105"/>
          <w:sz w:val="21"/>
        </w:rPr>
        <w:t> </w:t>
      </w:r>
      <w:r>
        <w:rPr>
          <w:spacing w:val="-3"/>
          <w:w w:val="105"/>
          <w:sz w:val="21"/>
        </w:rPr>
        <w:t>Court</w:t>
      </w:r>
      <w:r>
        <w:rPr>
          <w:spacing w:val="-8"/>
          <w:w w:val="105"/>
          <w:sz w:val="21"/>
        </w:rPr>
        <w:t> </w:t>
      </w:r>
      <w:r>
        <w:rPr>
          <w:w w:val="105"/>
          <w:sz w:val="21"/>
        </w:rPr>
        <w:t>of</w:t>
      </w:r>
      <w:r>
        <w:rPr>
          <w:spacing w:val="-7"/>
          <w:w w:val="105"/>
          <w:sz w:val="21"/>
        </w:rPr>
        <w:t> </w:t>
      </w:r>
      <w:r>
        <w:rPr>
          <w:w w:val="105"/>
          <w:sz w:val="21"/>
        </w:rPr>
        <w:t>Victoria,</w:t>
      </w:r>
      <w:r>
        <w:rPr>
          <w:spacing w:val="-8"/>
          <w:w w:val="105"/>
          <w:sz w:val="21"/>
        </w:rPr>
        <w:t> </w:t>
      </w:r>
      <w:r>
        <w:rPr>
          <w:w w:val="105"/>
          <w:sz w:val="21"/>
        </w:rPr>
        <w:t>discussed</w:t>
      </w:r>
      <w:r>
        <w:rPr>
          <w:spacing w:val="-7"/>
          <w:w w:val="105"/>
          <w:sz w:val="21"/>
        </w:rPr>
        <w:t> </w:t>
      </w:r>
      <w:r>
        <w:rPr>
          <w:spacing w:val="-3"/>
          <w:w w:val="105"/>
          <w:sz w:val="21"/>
        </w:rPr>
        <w:t>above,</w:t>
      </w:r>
      <w:r>
        <w:rPr>
          <w:spacing w:val="-8"/>
          <w:w w:val="105"/>
          <w:sz w:val="21"/>
        </w:rPr>
        <w:t> </w:t>
      </w:r>
      <w:r>
        <w:rPr>
          <w:w w:val="105"/>
          <w:sz w:val="21"/>
        </w:rPr>
        <w:t>both the </w:t>
      </w:r>
      <w:r>
        <w:rPr>
          <w:spacing w:val="-4"/>
          <w:w w:val="105"/>
          <w:sz w:val="21"/>
        </w:rPr>
        <w:t>Commercial </w:t>
      </w:r>
      <w:r>
        <w:rPr>
          <w:w w:val="105"/>
          <w:sz w:val="21"/>
        </w:rPr>
        <w:t>Bar Association and the Law </w:t>
      </w:r>
      <w:r>
        <w:rPr>
          <w:spacing w:val="-3"/>
          <w:w w:val="105"/>
          <w:sz w:val="21"/>
        </w:rPr>
        <w:t>Institute </w:t>
      </w:r>
      <w:r>
        <w:rPr>
          <w:w w:val="105"/>
          <w:sz w:val="21"/>
        </w:rPr>
        <w:t>of Victoria </w:t>
      </w:r>
      <w:r>
        <w:rPr>
          <w:spacing w:val="-3"/>
          <w:w w:val="105"/>
          <w:sz w:val="21"/>
        </w:rPr>
        <w:t>considered that </w:t>
      </w:r>
      <w:r>
        <w:rPr>
          <w:w w:val="105"/>
          <w:sz w:val="21"/>
        </w:rPr>
        <w:t>there is</w:t>
      </w:r>
      <w:r>
        <w:rPr>
          <w:spacing w:val="-7"/>
          <w:w w:val="105"/>
          <w:sz w:val="21"/>
        </w:rPr>
        <w:t> </w:t>
      </w:r>
      <w:r>
        <w:rPr>
          <w:w w:val="105"/>
          <w:sz w:val="21"/>
        </w:rPr>
        <w:t>still</w:t>
      </w:r>
      <w:r>
        <w:rPr>
          <w:spacing w:val="-6"/>
          <w:w w:val="105"/>
          <w:sz w:val="21"/>
        </w:rPr>
        <w:t> </w:t>
      </w:r>
      <w:r>
        <w:rPr>
          <w:w w:val="105"/>
          <w:sz w:val="21"/>
        </w:rPr>
        <w:t>a</w:t>
      </w:r>
      <w:r>
        <w:rPr>
          <w:spacing w:val="-6"/>
          <w:w w:val="105"/>
          <w:sz w:val="21"/>
        </w:rPr>
        <w:t> </w:t>
      </w:r>
      <w:r>
        <w:rPr>
          <w:w w:val="105"/>
          <w:sz w:val="21"/>
        </w:rPr>
        <w:t>risk</w:t>
      </w:r>
      <w:r>
        <w:rPr>
          <w:spacing w:val="-6"/>
          <w:w w:val="105"/>
          <w:sz w:val="21"/>
        </w:rPr>
        <w:t> </w:t>
      </w:r>
      <w:r>
        <w:rPr>
          <w:spacing w:val="-3"/>
          <w:w w:val="105"/>
          <w:sz w:val="21"/>
        </w:rPr>
        <w:t>that</w:t>
      </w:r>
      <w:r>
        <w:rPr>
          <w:spacing w:val="-6"/>
          <w:w w:val="105"/>
          <w:sz w:val="21"/>
        </w:rPr>
        <w:t> </w:t>
      </w:r>
      <w:r>
        <w:rPr>
          <w:w w:val="105"/>
          <w:sz w:val="21"/>
        </w:rPr>
        <w:t>an</w:t>
      </w:r>
      <w:r>
        <w:rPr>
          <w:spacing w:val="-6"/>
          <w:w w:val="105"/>
          <w:sz w:val="21"/>
        </w:rPr>
        <w:t> </w:t>
      </w:r>
      <w:r>
        <w:rPr>
          <w:spacing w:val="-3"/>
          <w:w w:val="105"/>
          <w:sz w:val="21"/>
        </w:rPr>
        <w:t>unsuccessful</w:t>
      </w:r>
      <w:r>
        <w:rPr>
          <w:spacing w:val="-6"/>
          <w:w w:val="105"/>
          <w:sz w:val="21"/>
        </w:rPr>
        <w:t> </w:t>
      </w:r>
      <w:r>
        <w:rPr>
          <w:w w:val="105"/>
          <w:sz w:val="21"/>
        </w:rPr>
        <w:t>plaintiff</w:t>
      </w:r>
      <w:r>
        <w:rPr>
          <w:spacing w:val="-6"/>
          <w:w w:val="105"/>
          <w:sz w:val="21"/>
        </w:rPr>
        <w:t> </w:t>
      </w:r>
      <w:r>
        <w:rPr>
          <w:w w:val="105"/>
          <w:sz w:val="21"/>
        </w:rPr>
        <w:t>would</w:t>
      </w:r>
      <w:r>
        <w:rPr>
          <w:spacing w:val="-6"/>
          <w:w w:val="105"/>
          <w:sz w:val="21"/>
        </w:rPr>
        <w:t> </w:t>
      </w:r>
      <w:r>
        <w:rPr>
          <w:w w:val="105"/>
          <w:sz w:val="21"/>
        </w:rPr>
        <w:t>receive</w:t>
      </w:r>
      <w:r>
        <w:rPr>
          <w:spacing w:val="-6"/>
          <w:w w:val="105"/>
          <w:sz w:val="21"/>
        </w:rPr>
        <w:t> </w:t>
      </w:r>
      <w:r>
        <w:rPr>
          <w:w w:val="105"/>
          <w:sz w:val="21"/>
        </w:rPr>
        <w:t>their</w:t>
      </w:r>
      <w:r>
        <w:rPr>
          <w:spacing w:val="-6"/>
          <w:w w:val="105"/>
          <w:sz w:val="21"/>
        </w:rPr>
        <w:t> </w:t>
      </w:r>
      <w:r>
        <w:rPr>
          <w:w w:val="105"/>
          <w:sz w:val="21"/>
        </w:rPr>
        <w:t>costs</w:t>
      </w:r>
      <w:r>
        <w:rPr>
          <w:spacing w:val="-6"/>
          <w:w w:val="105"/>
          <w:sz w:val="21"/>
        </w:rPr>
        <w:t> </w:t>
      </w:r>
      <w:r>
        <w:rPr>
          <w:w w:val="105"/>
          <w:sz w:val="21"/>
        </w:rPr>
        <w:t>out</w:t>
      </w:r>
      <w:r>
        <w:rPr>
          <w:spacing w:val="-6"/>
          <w:w w:val="105"/>
          <w:sz w:val="21"/>
        </w:rPr>
        <w:t> </w:t>
      </w:r>
      <w:r>
        <w:rPr>
          <w:w w:val="105"/>
          <w:sz w:val="21"/>
        </w:rPr>
        <w:t>of</w:t>
      </w:r>
      <w:r>
        <w:rPr>
          <w:spacing w:val="-6"/>
          <w:w w:val="105"/>
          <w:sz w:val="21"/>
        </w:rPr>
        <w:t> </w:t>
      </w:r>
      <w:r>
        <w:rPr>
          <w:w w:val="105"/>
          <w:sz w:val="21"/>
        </w:rPr>
        <w:t>the</w:t>
      </w:r>
      <w:r>
        <w:rPr>
          <w:spacing w:val="-6"/>
          <w:w w:val="105"/>
          <w:sz w:val="21"/>
        </w:rPr>
        <w:t> </w:t>
      </w:r>
      <w:r>
        <w:rPr>
          <w:spacing w:val="-5"/>
          <w:w w:val="105"/>
          <w:sz w:val="21"/>
        </w:rPr>
        <w:t>estate.</w:t>
      </w:r>
      <w:r>
        <w:rPr>
          <w:spacing w:val="-5"/>
          <w:w w:val="105"/>
          <w:position w:val="7"/>
          <w:sz w:val="12"/>
        </w:rPr>
        <w:t>192</w:t>
      </w:r>
    </w:p>
    <w:p>
      <w:pPr>
        <w:pStyle w:val="BodyText"/>
        <w:spacing w:line="242" w:lineRule="auto" w:before="4"/>
        <w:ind w:left="2381" w:right="1711"/>
        <w:rPr>
          <w:sz w:val="12"/>
        </w:rPr>
      </w:pPr>
      <w:r>
        <w:rPr>
          <w:spacing w:val="-4"/>
        </w:rPr>
        <w:t>Further, </w:t>
      </w:r>
      <w:r>
        <w:rPr/>
        <w:t>Arnold Bloch Leibler </w:t>
      </w:r>
      <w:r>
        <w:rPr>
          <w:spacing w:val="-3"/>
        </w:rPr>
        <w:t>noted that </w:t>
      </w:r>
      <w:r>
        <w:rPr/>
        <w:t>it was </w:t>
      </w:r>
      <w:r>
        <w:rPr>
          <w:spacing w:val="-4"/>
        </w:rPr>
        <w:t>unlikely  </w:t>
      </w:r>
      <w:r>
        <w:rPr>
          <w:spacing w:val="-3"/>
        </w:rPr>
        <w:t>that  </w:t>
      </w:r>
      <w:r>
        <w:rPr/>
        <w:t>an </w:t>
      </w:r>
      <w:r>
        <w:rPr>
          <w:spacing w:val="-3"/>
        </w:rPr>
        <w:t>unsuccessful</w:t>
      </w:r>
      <w:r>
        <w:rPr>
          <w:spacing w:val="41"/>
        </w:rPr>
        <w:t> </w:t>
      </w:r>
      <w:r>
        <w:rPr/>
        <w:t>plaintiff would be ordered </w:t>
      </w:r>
      <w:r>
        <w:rPr>
          <w:spacing w:val="-3"/>
        </w:rPr>
        <w:t>to </w:t>
      </w:r>
      <w:r>
        <w:rPr>
          <w:spacing w:val="-2"/>
        </w:rPr>
        <w:t>pay </w:t>
      </w:r>
      <w:r>
        <w:rPr/>
        <w:t>the </w:t>
      </w:r>
      <w:r>
        <w:rPr>
          <w:spacing w:val="-3"/>
        </w:rPr>
        <w:t>estate’s </w:t>
      </w:r>
      <w:r>
        <w:rPr>
          <w:spacing w:val="-4"/>
        </w:rPr>
        <w:t>costs.</w:t>
      </w:r>
      <w:r>
        <w:rPr>
          <w:spacing w:val="-4"/>
          <w:position w:val="7"/>
          <w:sz w:val="12"/>
        </w:rPr>
        <w:t>193 </w:t>
      </w:r>
      <w:r>
        <w:rPr/>
        <w:t>The Law  </w:t>
      </w:r>
      <w:r>
        <w:rPr>
          <w:spacing w:val="-3"/>
        </w:rPr>
        <w:t>Institute  </w:t>
      </w:r>
      <w:r>
        <w:rPr/>
        <w:t>of  Victoria  queried  whether section 97(7) was </w:t>
      </w:r>
      <w:r>
        <w:rPr>
          <w:spacing w:val="-3"/>
        </w:rPr>
        <w:t>well </w:t>
      </w:r>
      <w:r>
        <w:rPr/>
        <w:t>known, and said </w:t>
      </w:r>
      <w:r>
        <w:rPr>
          <w:spacing w:val="-3"/>
        </w:rPr>
        <w:t>that </w:t>
      </w:r>
      <w:r>
        <w:rPr/>
        <w:t>it is </w:t>
      </w:r>
      <w:r>
        <w:rPr>
          <w:spacing w:val="-4"/>
        </w:rPr>
        <w:t>‘rarely </w:t>
      </w:r>
      <w:r>
        <w:rPr>
          <w:spacing w:val="-3"/>
        </w:rPr>
        <w:t>enforced </w:t>
      </w:r>
      <w:r>
        <w:rPr/>
        <w:t>by the </w:t>
      </w:r>
      <w:r>
        <w:rPr>
          <w:spacing w:val="-5"/>
        </w:rPr>
        <w:t>courts’.</w:t>
      </w:r>
      <w:r>
        <w:rPr>
          <w:spacing w:val="-5"/>
          <w:position w:val="7"/>
          <w:sz w:val="12"/>
        </w:rPr>
        <w:t>194 </w:t>
      </w:r>
      <w:r>
        <w:rPr/>
        <w:t>Arnold  Bloch</w:t>
      </w:r>
      <w:r>
        <w:rPr>
          <w:spacing w:val="13"/>
        </w:rPr>
        <w:t> </w:t>
      </w:r>
      <w:r>
        <w:rPr/>
        <w:t>Leibler</w:t>
      </w:r>
      <w:r>
        <w:rPr>
          <w:spacing w:val="14"/>
        </w:rPr>
        <w:t> </w:t>
      </w:r>
      <w:r>
        <w:rPr/>
        <w:t>expressed</w:t>
      </w:r>
      <w:r>
        <w:rPr>
          <w:spacing w:val="13"/>
        </w:rPr>
        <w:t> </w:t>
      </w:r>
      <w:r>
        <w:rPr/>
        <w:t>the</w:t>
      </w:r>
      <w:r>
        <w:rPr>
          <w:spacing w:val="14"/>
        </w:rPr>
        <w:t> </w:t>
      </w:r>
      <w:r>
        <w:rPr/>
        <w:t>view</w:t>
      </w:r>
      <w:r>
        <w:rPr>
          <w:spacing w:val="14"/>
        </w:rPr>
        <w:t> </w:t>
      </w:r>
      <w:r>
        <w:rPr>
          <w:spacing w:val="-3"/>
        </w:rPr>
        <w:t>that</w:t>
      </w:r>
      <w:r>
        <w:rPr>
          <w:spacing w:val="13"/>
        </w:rPr>
        <w:t> </w:t>
      </w:r>
      <w:r>
        <w:rPr/>
        <w:t>section</w:t>
      </w:r>
      <w:r>
        <w:rPr>
          <w:spacing w:val="14"/>
        </w:rPr>
        <w:t> </w:t>
      </w:r>
      <w:r>
        <w:rPr/>
        <w:t>97(7)</w:t>
      </w:r>
      <w:r>
        <w:rPr>
          <w:spacing w:val="13"/>
        </w:rPr>
        <w:t> </w:t>
      </w:r>
      <w:r>
        <w:rPr/>
        <w:t>is</w:t>
      </w:r>
      <w:r>
        <w:rPr>
          <w:spacing w:val="14"/>
        </w:rPr>
        <w:t> </w:t>
      </w:r>
      <w:r>
        <w:rPr>
          <w:spacing w:val="-4"/>
        </w:rPr>
        <w:t>‘rarely</w:t>
      </w:r>
      <w:r>
        <w:rPr>
          <w:spacing w:val="14"/>
        </w:rPr>
        <w:t> </w:t>
      </w:r>
      <w:r>
        <w:rPr/>
        <w:t>or</w:t>
      </w:r>
      <w:r>
        <w:rPr>
          <w:spacing w:val="13"/>
        </w:rPr>
        <w:t> </w:t>
      </w:r>
      <w:r>
        <w:rPr/>
        <w:t>insufficiently</w:t>
      </w:r>
      <w:r>
        <w:rPr>
          <w:spacing w:val="14"/>
        </w:rPr>
        <w:t> </w:t>
      </w:r>
      <w:r>
        <w:rPr>
          <w:spacing w:val="-5"/>
        </w:rPr>
        <w:t>applied’.</w:t>
      </w:r>
      <w:r>
        <w:rPr>
          <w:spacing w:val="-5"/>
          <w:position w:val="7"/>
          <w:sz w:val="12"/>
        </w:rPr>
        <w:t>195</w:t>
      </w:r>
    </w:p>
    <w:p>
      <w:pPr>
        <w:pStyle w:val="ListParagraph"/>
        <w:numPr>
          <w:ilvl w:val="1"/>
          <w:numId w:val="82"/>
        </w:numPr>
        <w:tabs>
          <w:tab w:pos="2381" w:val="left" w:leader="none"/>
          <w:tab w:pos="2382" w:val="left" w:leader="none"/>
        </w:tabs>
        <w:spacing w:line="242" w:lineRule="auto" w:before="124" w:after="0"/>
        <w:ind w:left="2381" w:right="2524" w:hanging="794"/>
        <w:jc w:val="left"/>
        <w:rPr>
          <w:sz w:val="21"/>
        </w:rPr>
      </w:pPr>
      <w:r>
        <w:rPr>
          <w:w w:val="105"/>
          <w:sz w:val="21"/>
        </w:rPr>
        <w:t>As</w:t>
      </w:r>
      <w:r>
        <w:rPr>
          <w:spacing w:val="-8"/>
          <w:w w:val="105"/>
          <w:sz w:val="21"/>
        </w:rPr>
        <w:t> </w:t>
      </w:r>
      <w:r>
        <w:rPr>
          <w:w w:val="105"/>
          <w:sz w:val="21"/>
        </w:rPr>
        <w:t>discussed</w:t>
      </w:r>
      <w:r>
        <w:rPr>
          <w:spacing w:val="-8"/>
          <w:w w:val="105"/>
          <w:sz w:val="21"/>
        </w:rPr>
        <w:t> </w:t>
      </w:r>
      <w:r>
        <w:rPr>
          <w:w w:val="105"/>
          <w:sz w:val="21"/>
        </w:rPr>
        <w:t>at</w:t>
      </w:r>
      <w:r>
        <w:rPr>
          <w:spacing w:val="-7"/>
          <w:w w:val="105"/>
          <w:sz w:val="21"/>
        </w:rPr>
        <w:t> </w:t>
      </w:r>
      <w:r>
        <w:rPr>
          <w:spacing w:val="-5"/>
          <w:w w:val="105"/>
          <w:sz w:val="21"/>
        </w:rPr>
        <w:t>[6.10]</w:t>
      </w:r>
      <w:r>
        <w:rPr>
          <w:spacing w:val="-8"/>
          <w:w w:val="105"/>
          <w:sz w:val="21"/>
        </w:rPr>
        <w:t> </w:t>
      </w:r>
      <w:r>
        <w:rPr>
          <w:spacing w:val="-3"/>
          <w:w w:val="105"/>
          <w:sz w:val="21"/>
        </w:rPr>
        <w:t>above,</w:t>
      </w:r>
      <w:r>
        <w:rPr>
          <w:spacing w:val="-7"/>
          <w:w w:val="105"/>
          <w:sz w:val="21"/>
        </w:rPr>
        <w:t> </w:t>
      </w:r>
      <w:r>
        <w:rPr>
          <w:spacing w:val="-3"/>
          <w:w w:val="105"/>
          <w:sz w:val="21"/>
        </w:rPr>
        <w:t>many</w:t>
      </w:r>
      <w:r>
        <w:rPr>
          <w:spacing w:val="-8"/>
          <w:w w:val="105"/>
          <w:sz w:val="21"/>
        </w:rPr>
        <w:t> </w:t>
      </w:r>
      <w:r>
        <w:rPr>
          <w:w w:val="105"/>
          <w:sz w:val="21"/>
        </w:rPr>
        <w:t>do</w:t>
      </w:r>
      <w:r>
        <w:rPr>
          <w:spacing w:val="-8"/>
          <w:w w:val="105"/>
          <w:sz w:val="21"/>
        </w:rPr>
        <w:t> </w:t>
      </w:r>
      <w:r>
        <w:rPr>
          <w:spacing w:val="-2"/>
          <w:w w:val="105"/>
          <w:sz w:val="21"/>
        </w:rPr>
        <w:t>not</w:t>
      </w:r>
      <w:r>
        <w:rPr>
          <w:spacing w:val="-7"/>
          <w:w w:val="105"/>
          <w:sz w:val="21"/>
        </w:rPr>
        <w:t> </w:t>
      </w:r>
      <w:r>
        <w:rPr>
          <w:w w:val="105"/>
          <w:sz w:val="21"/>
        </w:rPr>
        <w:t>believe</w:t>
      </w:r>
      <w:r>
        <w:rPr>
          <w:spacing w:val="-8"/>
          <w:w w:val="105"/>
          <w:sz w:val="21"/>
        </w:rPr>
        <w:t> </w:t>
      </w:r>
      <w:r>
        <w:rPr>
          <w:spacing w:val="-3"/>
          <w:w w:val="105"/>
          <w:sz w:val="21"/>
        </w:rPr>
        <w:t>that</w:t>
      </w:r>
      <w:r>
        <w:rPr>
          <w:spacing w:val="-7"/>
          <w:w w:val="105"/>
          <w:sz w:val="21"/>
        </w:rPr>
        <w:t> </w:t>
      </w:r>
      <w:r>
        <w:rPr>
          <w:w w:val="105"/>
          <w:sz w:val="21"/>
        </w:rPr>
        <w:t>existing</w:t>
      </w:r>
      <w:r>
        <w:rPr>
          <w:spacing w:val="-8"/>
          <w:w w:val="105"/>
          <w:sz w:val="21"/>
        </w:rPr>
        <w:t> </w:t>
      </w:r>
      <w:r>
        <w:rPr>
          <w:w w:val="105"/>
          <w:sz w:val="21"/>
        </w:rPr>
        <w:t>costs</w:t>
      </w:r>
      <w:r>
        <w:rPr>
          <w:spacing w:val="-7"/>
          <w:w w:val="105"/>
          <w:sz w:val="21"/>
        </w:rPr>
        <w:t> </w:t>
      </w:r>
      <w:r>
        <w:rPr>
          <w:w w:val="105"/>
          <w:sz w:val="21"/>
        </w:rPr>
        <w:t>rules</w:t>
      </w:r>
      <w:r>
        <w:rPr>
          <w:spacing w:val="-8"/>
          <w:w w:val="105"/>
          <w:sz w:val="21"/>
        </w:rPr>
        <w:t> </w:t>
      </w:r>
      <w:r>
        <w:rPr>
          <w:w w:val="105"/>
          <w:sz w:val="21"/>
        </w:rPr>
        <w:t>deter opportunistic</w:t>
      </w:r>
      <w:r>
        <w:rPr>
          <w:spacing w:val="4"/>
          <w:w w:val="105"/>
          <w:sz w:val="21"/>
        </w:rPr>
        <w:t> </w:t>
      </w:r>
      <w:r>
        <w:rPr>
          <w:w w:val="105"/>
          <w:sz w:val="21"/>
        </w:rPr>
        <w:t>applicants.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9"/>
        </w:rPr>
      </w:pPr>
      <w:r>
        <w:rPr/>
        <w:pict>
          <v:line style="position:absolute;mso-position-horizontal-relative:page;mso-position-vertical-relative:paragraph;z-index:7304;mso-wrap-distance-left:0;mso-wrap-distance-right:0" from="79.370102pt,20.163145pt" to="515.905102pt,20.163145pt" stroked="true" strokeweight="1pt" strokecolor="#f9ceca">
            <v:stroke dashstyle="solid"/>
            <w10:wrap type="topAndBottom"/>
          </v:line>
        </w:pict>
      </w:r>
    </w:p>
    <w:p>
      <w:pPr>
        <w:pStyle w:val="BodyText"/>
        <w:spacing w:before="8"/>
        <w:rPr>
          <w:sz w:val="5"/>
        </w:rPr>
      </w:pPr>
    </w:p>
    <w:p>
      <w:pPr>
        <w:spacing w:after="0"/>
        <w:rPr>
          <w:sz w:val="5"/>
        </w:rPr>
        <w:sectPr>
          <w:pgSz w:w="11910" w:h="16840"/>
          <w:pgMar w:header="550" w:footer="0" w:top="1560" w:bottom="280" w:left="0" w:right="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6"/>
        <w:rPr>
          <w:sz w:val="36"/>
        </w:rPr>
      </w:pPr>
    </w:p>
    <w:p>
      <w:pPr>
        <w:spacing w:before="0"/>
        <w:ind w:left="720" w:right="0" w:firstLine="0"/>
        <w:jc w:val="left"/>
        <w:rPr>
          <w:b/>
          <w:sz w:val="24"/>
        </w:rPr>
      </w:pPr>
      <w:r>
        <w:rPr>
          <w:b/>
          <w:color w:val="EC5A4F"/>
          <w:spacing w:val="-8"/>
          <w:w w:val="110"/>
          <w:sz w:val="24"/>
        </w:rPr>
        <w:t>118</w:t>
      </w:r>
    </w:p>
    <w:p>
      <w:pPr>
        <w:pStyle w:val="ListParagraph"/>
        <w:numPr>
          <w:ilvl w:val="0"/>
          <w:numId w:val="89"/>
        </w:numPr>
        <w:tabs>
          <w:tab w:pos="1243" w:val="left" w:leader="none"/>
          <w:tab w:pos="1244" w:val="left" w:leader="none"/>
        </w:tabs>
        <w:spacing w:line="240" w:lineRule="auto" w:before="48" w:after="0"/>
        <w:ind w:left="1243" w:right="0" w:hanging="794"/>
        <w:jc w:val="left"/>
        <w:rPr>
          <w:sz w:val="13"/>
        </w:rPr>
      </w:pPr>
      <w:r>
        <w:rPr>
          <w:i/>
          <w:spacing w:val="-1"/>
          <w:w w:val="106"/>
          <w:sz w:val="13"/>
        </w:rPr>
        <w:br w:type="column"/>
      </w:r>
      <w:r>
        <w:rPr>
          <w:i/>
          <w:w w:val="105"/>
          <w:sz w:val="13"/>
        </w:rPr>
        <w:t>Webb</w:t>
      </w:r>
      <w:r>
        <w:rPr>
          <w:i/>
          <w:spacing w:val="3"/>
          <w:w w:val="105"/>
          <w:sz w:val="13"/>
        </w:rPr>
        <w:t> </w:t>
      </w:r>
      <w:r>
        <w:rPr>
          <w:i/>
          <w:w w:val="105"/>
          <w:sz w:val="13"/>
        </w:rPr>
        <w:t>v</w:t>
      </w:r>
      <w:r>
        <w:rPr>
          <w:i/>
          <w:spacing w:val="4"/>
          <w:w w:val="105"/>
          <w:sz w:val="13"/>
        </w:rPr>
        <w:t> </w:t>
      </w:r>
      <w:r>
        <w:rPr>
          <w:i/>
          <w:w w:val="105"/>
          <w:sz w:val="13"/>
        </w:rPr>
        <w:t>Ryan</w:t>
      </w:r>
      <w:r>
        <w:rPr>
          <w:i/>
          <w:spacing w:val="3"/>
          <w:w w:val="105"/>
          <w:sz w:val="13"/>
        </w:rPr>
        <w:t> </w:t>
      </w:r>
      <w:r>
        <w:rPr>
          <w:i/>
          <w:w w:val="105"/>
          <w:sz w:val="13"/>
        </w:rPr>
        <w:t>(Costs)</w:t>
      </w:r>
      <w:r>
        <w:rPr>
          <w:i/>
          <w:spacing w:val="5"/>
          <w:w w:val="105"/>
          <w:sz w:val="13"/>
        </w:rPr>
        <w:t> </w:t>
      </w:r>
      <w:r>
        <w:rPr>
          <w:w w:val="105"/>
          <w:sz w:val="13"/>
        </w:rPr>
        <w:t>[2012]</w:t>
      </w:r>
      <w:r>
        <w:rPr>
          <w:spacing w:val="5"/>
          <w:w w:val="105"/>
          <w:sz w:val="13"/>
        </w:rPr>
        <w:t> </w:t>
      </w:r>
      <w:r>
        <w:rPr>
          <w:w w:val="105"/>
          <w:sz w:val="13"/>
        </w:rPr>
        <w:t>VSC</w:t>
      </w:r>
      <w:r>
        <w:rPr>
          <w:spacing w:val="4"/>
          <w:w w:val="105"/>
          <w:sz w:val="13"/>
        </w:rPr>
        <w:t> </w:t>
      </w:r>
      <w:r>
        <w:rPr>
          <w:w w:val="105"/>
          <w:sz w:val="13"/>
        </w:rPr>
        <w:t>431</w:t>
      </w:r>
      <w:r>
        <w:rPr>
          <w:spacing w:val="5"/>
          <w:w w:val="105"/>
          <w:sz w:val="13"/>
        </w:rPr>
        <w:t> </w:t>
      </w:r>
      <w:r>
        <w:rPr>
          <w:w w:val="105"/>
          <w:sz w:val="13"/>
        </w:rPr>
        <w:t>(20</w:t>
      </w:r>
      <w:r>
        <w:rPr>
          <w:spacing w:val="5"/>
          <w:w w:val="105"/>
          <w:sz w:val="13"/>
        </w:rPr>
        <w:t> </w:t>
      </w:r>
      <w:r>
        <w:rPr>
          <w:w w:val="105"/>
          <w:sz w:val="13"/>
        </w:rPr>
        <w:t>September</w:t>
      </w:r>
      <w:r>
        <w:rPr>
          <w:spacing w:val="4"/>
          <w:w w:val="105"/>
          <w:sz w:val="13"/>
        </w:rPr>
        <w:t> </w:t>
      </w:r>
      <w:r>
        <w:rPr>
          <w:w w:val="105"/>
          <w:sz w:val="13"/>
        </w:rPr>
        <w:t>2012)</w:t>
      </w:r>
      <w:r>
        <w:rPr>
          <w:spacing w:val="5"/>
          <w:w w:val="105"/>
          <w:sz w:val="13"/>
        </w:rPr>
        <w:t> </w:t>
      </w:r>
      <w:r>
        <w:rPr>
          <w:spacing w:val="2"/>
          <w:w w:val="105"/>
          <w:sz w:val="13"/>
        </w:rPr>
        <w:t>[33].</w:t>
      </w:r>
    </w:p>
    <w:p>
      <w:pPr>
        <w:pStyle w:val="ListParagraph"/>
        <w:numPr>
          <w:ilvl w:val="0"/>
          <w:numId w:val="89"/>
        </w:numPr>
        <w:tabs>
          <w:tab w:pos="1243" w:val="left" w:leader="none"/>
          <w:tab w:pos="1244" w:val="left" w:leader="none"/>
        </w:tabs>
        <w:spacing w:line="240" w:lineRule="auto" w:before="1" w:after="0"/>
        <w:ind w:left="1243" w:right="1848" w:hanging="794"/>
        <w:jc w:val="left"/>
        <w:rPr>
          <w:sz w:val="13"/>
        </w:rPr>
      </w:pPr>
      <w:r>
        <w:rPr>
          <w:sz w:val="13"/>
        </w:rPr>
        <w:t>See, eg, </w:t>
      </w:r>
      <w:r>
        <w:rPr>
          <w:i/>
          <w:sz w:val="13"/>
        </w:rPr>
        <w:t>Collicoat v McMillan </w:t>
      </w:r>
      <w:r>
        <w:rPr>
          <w:sz w:val="13"/>
        </w:rPr>
        <w:t>[1999] 3  VR  </w:t>
      </w:r>
      <w:r>
        <w:rPr>
          <w:spacing w:val="2"/>
          <w:sz w:val="13"/>
        </w:rPr>
        <w:t>803—in </w:t>
      </w:r>
      <w:r>
        <w:rPr>
          <w:sz w:val="13"/>
        </w:rPr>
        <w:t>relation  to  the  unsuccessful  plaintiff  (there  were  multiple  plaintiffs);  </w:t>
      </w:r>
      <w:r>
        <w:rPr>
          <w:i/>
          <w:sz w:val="13"/>
        </w:rPr>
        <w:t>Coombes v Ward </w:t>
      </w:r>
      <w:r>
        <w:rPr>
          <w:i/>
          <w:spacing w:val="3"/>
          <w:sz w:val="13"/>
        </w:rPr>
        <w:t>(No </w:t>
      </w:r>
      <w:r>
        <w:rPr>
          <w:i/>
          <w:sz w:val="13"/>
        </w:rPr>
        <w:t>2) </w:t>
      </w:r>
      <w:r>
        <w:rPr>
          <w:sz w:val="13"/>
        </w:rPr>
        <w:t>[2002] VSC </w:t>
      </w:r>
      <w:r>
        <w:rPr>
          <w:spacing w:val="2"/>
          <w:sz w:val="13"/>
        </w:rPr>
        <w:t>84 </w:t>
      </w:r>
      <w:r>
        <w:rPr>
          <w:sz w:val="13"/>
        </w:rPr>
        <w:t>(27 March 2002); </w:t>
      </w:r>
      <w:r>
        <w:rPr>
          <w:i/>
          <w:sz w:val="13"/>
        </w:rPr>
        <w:t>Re Bull; Bentley v Brennan </w:t>
      </w:r>
      <w:r>
        <w:rPr>
          <w:i/>
          <w:spacing w:val="3"/>
          <w:sz w:val="13"/>
        </w:rPr>
        <w:t>(No </w:t>
      </w:r>
      <w:r>
        <w:rPr>
          <w:i/>
          <w:sz w:val="13"/>
        </w:rPr>
        <w:t>2) </w:t>
      </w:r>
      <w:r>
        <w:rPr>
          <w:spacing w:val="2"/>
          <w:sz w:val="13"/>
        </w:rPr>
        <w:t>[2006] </w:t>
      </w:r>
      <w:r>
        <w:rPr>
          <w:sz w:val="13"/>
        </w:rPr>
        <w:t>VSC 226 (30 June </w:t>
      </w:r>
      <w:r>
        <w:rPr>
          <w:spacing w:val="2"/>
          <w:sz w:val="13"/>
        </w:rPr>
        <w:t>2006). </w:t>
      </w:r>
      <w:r>
        <w:rPr>
          <w:sz w:val="13"/>
        </w:rPr>
        <w:t>The defendant personal representative’s</w:t>
      </w:r>
      <w:r>
        <w:rPr>
          <w:spacing w:val="16"/>
          <w:sz w:val="13"/>
        </w:rPr>
        <w:t> </w:t>
      </w:r>
      <w:r>
        <w:rPr>
          <w:sz w:val="13"/>
        </w:rPr>
        <w:t>costs</w:t>
      </w:r>
      <w:r>
        <w:rPr>
          <w:spacing w:val="17"/>
          <w:sz w:val="13"/>
        </w:rPr>
        <w:t> </w:t>
      </w:r>
      <w:r>
        <w:rPr>
          <w:sz w:val="13"/>
        </w:rPr>
        <w:t>are</w:t>
      </w:r>
      <w:r>
        <w:rPr>
          <w:spacing w:val="17"/>
          <w:sz w:val="13"/>
        </w:rPr>
        <w:t> </w:t>
      </w:r>
      <w:r>
        <w:rPr>
          <w:sz w:val="13"/>
        </w:rPr>
        <w:t>generally</w:t>
      </w:r>
      <w:r>
        <w:rPr>
          <w:spacing w:val="17"/>
          <w:sz w:val="13"/>
        </w:rPr>
        <w:t> </w:t>
      </w:r>
      <w:r>
        <w:rPr>
          <w:sz w:val="13"/>
        </w:rPr>
        <w:t>‘had</w:t>
      </w:r>
      <w:r>
        <w:rPr>
          <w:spacing w:val="16"/>
          <w:sz w:val="13"/>
        </w:rPr>
        <w:t> </w:t>
      </w:r>
      <w:r>
        <w:rPr>
          <w:sz w:val="13"/>
        </w:rPr>
        <w:t>and</w:t>
      </w:r>
      <w:r>
        <w:rPr>
          <w:spacing w:val="17"/>
          <w:sz w:val="13"/>
        </w:rPr>
        <w:t> </w:t>
      </w:r>
      <w:r>
        <w:rPr>
          <w:sz w:val="13"/>
        </w:rPr>
        <w:t>retained</w:t>
      </w:r>
      <w:r>
        <w:rPr>
          <w:spacing w:val="17"/>
          <w:sz w:val="13"/>
        </w:rPr>
        <w:t> </w:t>
      </w:r>
      <w:r>
        <w:rPr>
          <w:sz w:val="13"/>
        </w:rPr>
        <w:t>out</w:t>
      </w:r>
      <w:r>
        <w:rPr>
          <w:spacing w:val="17"/>
          <w:sz w:val="13"/>
        </w:rPr>
        <w:t> </w:t>
      </w:r>
      <w:r>
        <w:rPr>
          <w:sz w:val="13"/>
        </w:rPr>
        <w:t>of</w:t>
      </w:r>
      <w:r>
        <w:rPr>
          <w:spacing w:val="16"/>
          <w:sz w:val="13"/>
        </w:rPr>
        <w:t> </w:t>
      </w:r>
      <w:r>
        <w:rPr>
          <w:sz w:val="13"/>
        </w:rPr>
        <w:t>the</w:t>
      </w:r>
      <w:r>
        <w:rPr>
          <w:spacing w:val="17"/>
          <w:sz w:val="13"/>
        </w:rPr>
        <w:t> </w:t>
      </w:r>
      <w:r>
        <w:rPr>
          <w:sz w:val="13"/>
        </w:rPr>
        <w:t>estate’</w:t>
      </w:r>
      <w:r>
        <w:rPr>
          <w:spacing w:val="17"/>
          <w:sz w:val="13"/>
        </w:rPr>
        <w:t> </w:t>
      </w:r>
      <w:r>
        <w:rPr>
          <w:sz w:val="13"/>
        </w:rPr>
        <w:t>on</w:t>
      </w:r>
      <w:r>
        <w:rPr>
          <w:spacing w:val="17"/>
          <w:sz w:val="13"/>
        </w:rPr>
        <w:t> </w:t>
      </w:r>
      <w:r>
        <w:rPr>
          <w:sz w:val="13"/>
        </w:rPr>
        <w:t>the</w:t>
      </w:r>
      <w:r>
        <w:rPr>
          <w:spacing w:val="17"/>
          <w:sz w:val="13"/>
        </w:rPr>
        <w:t> </w:t>
      </w:r>
      <w:r>
        <w:rPr>
          <w:sz w:val="13"/>
        </w:rPr>
        <w:t>indemnity</w:t>
      </w:r>
      <w:r>
        <w:rPr>
          <w:spacing w:val="16"/>
          <w:sz w:val="13"/>
        </w:rPr>
        <w:t> </w:t>
      </w:r>
      <w:r>
        <w:rPr>
          <w:sz w:val="13"/>
        </w:rPr>
        <w:t>basis,</w:t>
      </w:r>
      <w:r>
        <w:rPr>
          <w:spacing w:val="17"/>
          <w:sz w:val="13"/>
        </w:rPr>
        <w:t> </w:t>
      </w:r>
      <w:r>
        <w:rPr>
          <w:sz w:val="13"/>
        </w:rPr>
        <w:t>meaning</w:t>
      </w:r>
      <w:r>
        <w:rPr>
          <w:spacing w:val="17"/>
          <w:sz w:val="13"/>
        </w:rPr>
        <w:t> </w:t>
      </w:r>
      <w:r>
        <w:rPr>
          <w:sz w:val="13"/>
        </w:rPr>
        <w:t>all</w:t>
      </w:r>
      <w:r>
        <w:rPr>
          <w:spacing w:val="17"/>
          <w:sz w:val="13"/>
        </w:rPr>
        <w:t> </w:t>
      </w:r>
      <w:r>
        <w:rPr>
          <w:sz w:val="13"/>
        </w:rPr>
        <w:t>costs,</w:t>
      </w:r>
      <w:r>
        <w:rPr>
          <w:spacing w:val="16"/>
          <w:sz w:val="13"/>
        </w:rPr>
        <w:t> </w:t>
      </w:r>
      <w:r>
        <w:rPr>
          <w:sz w:val="13"/>
        </w:rPr>
        <w:t>except</w:t>
      </w:r>
      <w:r>
        <w:rPr>
          <w:spacing w:val="17"/>
          <w:sz w:val="13"/>
        </w:rPr>
        <w:t> </w:t>
      </w:r>
      <w:r>
        <w:rPr>
          <w:sz w:val="13"/>
        </w:rPr>
        <w:t>those</w:t>
      </w:r>
      <w:r>
        <w:rPr>
          <w:spacing w:val="17"/>
          <w:sz w:val="13"/>
        </w:rPr>
        <w:t> </w:t>
      </w:r>
      <w:r>
        <w:rPr>
          <w:sz w:val="13"/>
        </w:rPr>
        <w:t>that</w:t>
      </w:r>
    </w:p>
    <w:p>
      <w:pPr>
        <w:spacing w:before="4"/>
        <w:ind w:left="1243" w:right="0" w:firstLine="0"/>
        <w:jc w:val="left"/>
        <w:rPr>
          <w:sz w:val="13"/>
        </w:rPr>
      </w:pPr>
      <w:r>
        <w:rPr>
          <w:w w:val="105"/>
          <w:sz w:val="13"/>
        </w:rPr>
        <w:t>are of an unreasonable amount and have been unreasonably incurred: </w:t>
      </w:r>
      <w:r>
        <w:rPr>
          <w:i/>
          <w:w w:val="105"/>
          <w:sz w:val="13"/>
        </w:rPr>
        <w:t>County Court Civil Procedure Rules 2008 </w:t>
      </w:r>
      <w:r>
        <w:rPr>
          <w:w w:val="105"/>
          <w:sz w:val="13"/>
        </w:rPr>
        <w:t>(Vic) r 63A.30.1;</w:t>
      </w:r>
    </w:p>
    <w:p>
      <w:pPr>
        <w:spacing w:before="2"/>
        <w:ind w:left="1243" w:right="0" w:firstLine="0"/>
        <w:jc w:val="left"/>
        <w:rPr>
          <w:sz w:val="13"/>
        </w:rPr>
      </w:pPr>
      <w:r>
        <w:rPr>
          <w:i/>
          <w:w w:val="105"/>
          <w:sz w:val="13"/>
        </w:rPr>
        <w:t>Supreme Court (General Civil Procedure) Rules 2005 </w:t>
      </w:r>
      <w:r>
        <w:rPr>
          <w:w w:val="105"/>
          <w:sz w:val="13"/>
        </w:rPr>
        <w:t>(Vic) r 63.30.1.</w:t>
      </w:r>
    </w:p>
    <w:p>
      <w:pPr>
        <w:pStyle w:val="ListParagraph"/>
        <w:numPr>
          <w:ilvl w:val="0"/>
          <w:numId w:val="89"/>
        </w:numPr>
        <w:tabs>
          <w:tab w:pos="1243" w:val="left" w:leader="none"/>
          <w:tab w:pos="1244" w:val="left" w:leader="none"/>
        </w:tabs>
        <w:spacing w:line="240" w:lineRule="auto" w:before="1" w:after="0"/>
        <w:ind w:left="1243" w:right="0" w:hanging="794"/>
        <w:jc w:val="left"/>
        <w:rPr>
          <w:sz w:val="13"/>
        </w:rPr>
      </w:pPr>
      <w:r>
        <w:rPr>
          <w:i/>
          <w:w w:val="105"/>
          <w:sz w:val="13"/>
        </w:rPr>
        <w:t>Re Carn; Moerth v Moerth </w:t>
      </w:r>
      <w:r>
        <w:rPr>
          <w:i/>
          <w:spacing w:val="3"/>
          <w:w w:val="105"/>
          <w:sz w:val="13"/>
        </w:rPr>
        <w:t>(No </w:t>
      </w:r>
      <w:r>
        <w:rPr>
          <w:i/>
          <w:w w:val="105"/>
          <w:sz w:val="13"/>
        </w:rPr>
        <w:t>2) </w:t>
      </w:r>
      <w:r>
        <w:rPr>
          <w:spacing w:val="-3"/>
          <w:w w:val="105"/>
          <w:sz w:val="13"/>
        </w:rPr>
        <w:t>[2011] </w:t>
      </w:r>
      <w:r>
        <w:rPr>
          <w:w w:val="105"/>
          <w:sz w:val="13"/>
        </w:rPr>
        <w:t>VSC 275 (4 March</w:t>
      </w:r>
      <w:r>
        <w:rPr>
          <w:spacing w:val="2"/>
          <w:w w:val="105"/>
          <w:sz w:val="13"/>
        </w:rPr>
        <w:t> </w:t>
      </w:r>
      <w:r>
        <w:rPr>
          <w:spacing w:val="-4"/>
          <w:w w:val="105"/>
          <w:sz w:val="13"/>
        </w:rPr>
        <w:t>2011) </w:t>
      </w:r>
      <w:r>
        <w:rPr>
          <w:spacing w:val="4"/>
          <w:w w:val="105"/>
          <w:sz w:val="13"/>
        </w:rPr>
        <w:t>[48].</w:t>
      </w:r>
    </w:p>
    <w:p>
      <w:pPr>
        <w:tabs>
          <w:tab w:pos="1243" w:val="left" w:leader="none"/>
        </w:tabs>
        <w:spacing w:before="1"/>
        <w:ind w:left="449" w:right="0" w:firstLine="0"/>
        <w:jc w:val="left"/>
        <w:rPr>
          <w:sz w:val="13"/>
        </w:rPr>
      </w:pPr>
      <w:r>
        <w:rPr>
          <w:w w:val="105"/>
          <w:sz w:val="13"/>
        </w:rPr>
        <w:t>185</w:t>
        <w:tab/>
        <w:t>Ibid</w:t>
      </w:r>
      <w:r>
        <w:rPr>
          <w:spacing w:val="4"/>
          <w:w w:val="105"/>
          <w:sz w:val="13"/>
        </w:rPr>
        <w:t> </w:t>
      </w:r>
      <w:r>
        <w:rPr>
          <w:w w:val="105"/>
          <w:sz w:val="13"/>
        </w:rPr>
        <w:t>[47].</w:t>
      </w:r>
    </w:p>
    <w:p>
      <w:pPr>
        <w:tabs>
          <w:tab w:pos="1243" w:val="left" w:leader="none"/>
        </w:tabs>
        <w:spacing w:before="2"/>
        <w:ind w:left="1243" w:right="1867" w:hanging="794"/>
        <w:jc w:val="left"/>
        <w:rPr>
          <w:sz w:val="13"/>
        </w:rPr>
      </w:pPr>
      <w:r>
        <w:rPr>
          <w:w w:val="105"/>
          <w:sz w:val="13"/>
        </w:rPr>
        <w:t>186</w:t>
        <w:tab/>
        <w:t>Ibid </w:t>
      </w:r>
      <w:r>
        <w:rPr>
          <w:spacing w:val="3"/>
          <w:w w:val="105"/>
          <w:sz w:val="13"/>
        </w:rPr>
        <w:t>[54]. </w:t>
      </w:r>
      <w:r>
        <w:rPr>
          <w:w w:val="105"/>
          <w:sz w:val="13"/>
        </w:rPr>
        <w:t>The defendant personal executor’s costs, over and above </w:t>
      </w:r>
      <w:r>
        <w:rPr>
          <w:spacing w:val="2"/>
          <w:w w:val="105"/>
          <w:sz w:val="13"/>
        </w:rPr>
        <w:t>party </w:t>
      </w:r>
      <w:r>
        <w:rPr>
          <w:w w:val="105"/>
          <w:sz w:val="13"/>
        </w:rPr>
        <w:t>and </w:t>
      </w:r>
      <w:r>
        <w:rPr>
          <w:spacing w:val="2"/>
          <w:w w:val="105"/>
          <w:sz w:val="13"/>
        </w:rPr>
        <w:t>party </w:t>
      </w:r>
      <w:r>
        <w:rPr>
          <w:w w:val="105"/>
          <w:sz w:val="13"/>
        </w:rPr>
        <w:t>costs, were paid out of the estate on a trustee basis (that is, an indemnity basis): at</w:t>
      </w:r>
      <w:r>
        <w:rPr>
          <w:spacing w:val="26"/>
          <w:w w:val="105"/>
          <w:sz w:val="13"/>
        </w:rPr>
        <w:t> </w:t>
      </w:r>
      <w:r>
        <w:rPr>
          <w:spacing w:val="3"/>
          <w:w w:val="105"/>
          <w:sz w:val="13"/>
        </w:rPr>
        <w:t>[54].</w:t>
      </w:r>
    </w:p>
    <w:p>
      <w:pPr>
        <w:tabs>
          <w:tab w:pos="1243" w:val="left" w:leader="none"/>
        </w:tabs>
        <w:spacing w:before="2"/>
        <w:ind w:left="450" w:right="0" w:firstLine="0"/>
        <w:jc w:val="left"/>
        <w:rPr>
          <w:sz w:val="13"/>
        </w:rPr>
      </w:pPr>
      <w:r>
        <w:rPr>
          <w:w w:val="105"/>
          <w:sz w:val="13"/>
        </w:rPr>
        <w:t>187</w:t>
        <w:tab/>
      </w:r>
      <w:r>
        <w:rPr>
          <w:i/>
          <w:w w:val="105"/>
          <w:sz w:val="13"/>
        </w:rPr>
        <w:t>Webb</w:t>
      </w:r>
      <w:r>
        <w:rPr>
          <w:i/>
          <w:spacing w:val="3"/>
          <w:w w:val="105"/>
          <w:sz w:val="13"/>
        </w:rPr>
        <w:t> </w:t>
      </w:r>
      <w:r>
        <w:rPr>
          <w:i/>
          <w:w w:val="105"/>
          <w:sz w:val="13"/>
        </w:rPr>
        <w:t>v</w:t>
      </w:r>
      <w:r>
        <w:rPr>
          <w:i/>
          <w:spacing w:val="4"/>
          <w:w w:val="105"/>
          <w:sz w:val="13"/>
        </w:rPr>
        <w:t> </w:t>
      </w:r>
      <w:r>
        <w:rPr>
          <w:i/>
          <w:w w:val="105"/>
          <w:sz w:val="13"/>
        </w:rPr>
        <w:t>Ryan</w:t>
      </w:r>
      <w:r>
        <w:rPr>
          <w:i/>
          <w:spacing w:val="3"/>
          <w:w w:val="105"/>
          <w:sz w:val="13"/>
        </w:rPr>
        <w:t> </w:t>
      </w:r>
      <w:r>
        <w:rPr>
          <w:i/>
          <w:w w:val="105"/>
          <w:sz w:val="13"/>
        </w:rPr>
        <w:t>(Costs)</w:t>
      </w:r>
      <w:r>
        <w:rPr>
          <w:i/>
          <w:spacing w:val="5"/>
          <w:w w:val="105"/>
          <w:sz w:val="13"/>
        </w:rPr>
        <w:t> </w:t>
      </w:r>
      <w:r>
        <w:rPr>
          <w:w w:val="105"/>
          <w:sz w:val="13"/>
        </w:rPr>
        <w:t>[2012]</w:t>
      </w:r>
      <w:r>
        <w:rPr>
          <w:spacing w:val="5"/>
          <w:w w:val="105"/>
          <w:sz w:val="13"/>
        </w:rPr>
        <w:t> </w:t>
      </w:r>
      <w:r>
        <w:rPr>
          <w:w w:val="105"/>
          <w:sz w:val="13"/>
        </w:rPr>
        <w:t>VSC</w:t>
      </w:r>
      <w:r>
        <w:rPr>
          <w:spacing w:val="4"/>
          <w:w w:val="105"/>
          <w:sz w:val="13"/>
        </w:rPr>
        <w:t> </w:t>
      </w:r>
      <w:r>
        <w:rPr>
          <w:w w:val="105"/>
          <w:sz w:val="13"/>
        </w:rPr>
        <w:t>431</w:t>
      </w:r>
      <w:r>
        <w:rPr>
          <w:spacing w:val="5"/>
          <w:w w:val="105"/>
          <w:sz w:val="13"/>
        </w:rPr>
        <w:t> </w:t>
      </w:r>
      <w:r>
        <w:rPr>
          <w:w w:val="105"/>
          <w:sz w:val="13"/>
        </w:rPr>
        <w:t>(20</w:t>
      </w:r>
      <w:r>
        <w:rPr>
          <w:spacing w:val="5"/>
          <w:w w:val="105"/>
          <w:sz w:val="13"/>
        </w:rPr>
        <w:t> </w:t>
      </w:r>
      <w:r>
        <w:rPr>
          <w:w w:val="105"/>
          <w:sz w:val="13"/>
        </w:rPr>
        <w:t>September</w:t>
      </w:r>
      <w:r>
        <w:rPr>
          <w:spacing w:val="4"/>
          <w:w w:val="105"/>
          <w:sz w:val="13"/>
        </w:rPr>
        <w:t> </w:t>
      </w:r>
      <w:r>
        <w:rPr>
          <w:w w:val="105"/>
          <w:sz w:val="13"/>
        </w:rPr>
        <w:t>2012)</w:t>
      </w:r>
      <w:r>
        <w:rPr>
          <w:spacing w:val="5"/>
          <w:w w:val="105"/>
          <w:sz w:val="13"/>
        </w:rPr>
        <w:t> </w:t>
      </w:r>
      <w:r>
        <w:rPr>
          <w:spacing w:val="4"/>
          <w:w w:val="105"/>
          <w:sz w:val="13"/>
        </w:rPr>
        <w:t>[40].</w:t>
      </w:r>
    </w:p>
    <w:p>
      <w:pPr>
        <w:tabs>
          <w:tab w:pos="1243" w:val="left" w:leader="none"/>
        </w:tabs>
        <w:spacing w:before="2"/>
        <w:ind w:left="450" w:right="0" w:firstLine="0"/>
        <w:jc w:val="left"/>
        <w:rPr>
          <w:sz w:val="13"/>
        </w:rPr>
      </w:pPr>
      <w:r>
        <w:rPr>
          <w:w w:val="105"/>
          <w:sz w:val="13"/>
        </w:rPr>
        <w:t>188</w:t>
        <w:tab/>
        <w:t>Ibid</w:t>
      </w:r>
      <w:r>
        <w:rPr>
          <w:spacing w:val="4"/>
          <w:w w:val="105"/>
          <w:sz w:val="13"/>
        </w:rPr>
        <w:t> </w:t>
      </w:r>
      <w:r>
        <w:rPr>
          <w:w w:val="105"/>
          <w:sz w:val="13"/>
        </w:rPr>
        <w:t>[41].</w:t>
      </w:r>
    </w:p>
    <w:p>
      <w:pPr>
        <w:tabs>
          <w:tab w:pos="1243" w:val="left" w:leader="none"/>
        </w:tabs>
        <w:spacing w:before="1"/>
        <w:ind w:left="450" w:right="0" w:firstLine="0"/>
        <w:jc w:val="left"/>
        <w:rPr>
          <w:sz w:val="13"/>
        </w:rPr>
      </w:pPr>
      <w:r>
        <w:rPr>
          <w:sz w:val="13"/>
        </w:rPr>
        <w:t>189</w:t>
        <w:tab/>
        <w:t>Ibid</w:t>
      </w:r>
      <w:r>
        <w:rPr>
          <w:spacing w:val="6"/>
          <w:sz w:val="13"/>
        </w:rPr>
        <w:t> </w:t>
      </w:r>
      <w:r>
        <w:rPr>
          <w:spacing w:val="5"/>
          <w:sz w:val="13"/>
        </w:rPr>
        <w:t>[53]–[54].</w:t>
      </w:r>
    </w:p>
    <w:p>
      <w:pPr>
        <w:pStyle w:val="ListParagraph"/>
        <w:numPr>
          <w:ilvl w:val="0"/>
          <w:numId w:val="90"/>
        </w:numPr>
        <w:tabs>
          <w:tab w:pos="1243" w:val="left" w:leader="none"/>
          <w:tab w:pos="1244" w:val="left" w:leader="none"/>
        </w:tabs>
        <w:spacing w:line="240" w:lineRule="auto" w:before="1" w:after="0"/>
        <w:ind w:left="1243" w:right="0" w:hanging="793"/>
        <w:jc w:val="left"/>
        <w:rPr>
          <w:sz w:val="13"/>
        </w:rPr>
      </w:pPr>
      <w:r>
        <w:rPr>
          <w:w w:val="105"/>
          <w:sz w:val="13"/>
        </w:rPr>
        <w:t>See,</w:t>
      </w:r>
      <w:r>
        <w:rPr>
          <w:spacing w:val="7"/>
          <w:w w:val="105"/>
          <w:sz w:val="13"/>
        </w:rPr>
        <w:t> </w:t>
      </w:r>
      <w:r>
        <w:rPr>
          <w:w w:val="105"/>
          <w:sz w:val="13"/>
        </w:rPr>
        <w:t>eg,</w:t>
      </w:r>
      <w:r>
        <w:rPr>
          <w:spacing w:val="8"/>
          <w:w w:val="105"/>
          <w:sz w:val="13"/>
        </w:rPr>
        <w:t> </w:t>
      </w:r>
      <w:r>
        <w:rPr>
          <w:i/>
          <w:w w:val="105"/>
          <w:sz w:val="13"/>
        </w:rPr>
        <w:t>Re</w:t>
      </w:r>
      <w:r>
        <w:rPr>
          <w:i/>
          <w:spacing w:val="7"/>
          <w:w w:val="105"/>
          <w:sz w:val="13"/>
        </w:rPr>
        <w:t> </w:t>
      </w:r>
      <w:r>
        <w:rPr>
          <w:i/>
          <w:w w:val="105"/>
          <w:sz w:val="13"/>
        </w:rPr>
        <w:t>Carn;</w:t>
      </w:r>
      <w:r>
        <w:rPr>
          <w:i/>
          <w:spacing w:val="6"/>
          <w:w w:val="105"/>
          <w:sz w:val="13"/>
        </w:rPr>
        <w:t> </w:t>
      </w:r>
      <w:r>
        <w:rPr>
          <w:i/>
          <w:w w:val="105"/>
          <w:sz w:val="13"/>
        </w:rPr>
        <w:t>Moerth</w:t>
      </w:r>
      <w:r>
        <w:rPr>
          <w:i/>
          <w:spacing w:val="7"/>
          <w:w w:val="105"/>
          <w:sz w:val="13"/>
        </w:rPr>
        <w:t> </w:t>
      </w:r>
      <w:r>
        <w:rPr>
          <w:i/>
          <w:w w:val="105"/>
          <w:sz w:val="13"/>
        </w:rPr>
        <w:t>v</w:t>
      </w:r>
      <w:r>
        <w:rPr>
          <w:i/>
          <w:spacing w:val="6"/>
          <w:w w:val="105"/>
          <w:sz w:val="13"/>
        </w:rPr>
        <w:t> </w:t>
      </w:r>
      <w:r>
        <w:rPr>
          <w:i/>
          <w:w w:val="105"/>
          <w:sz w:val="13"/>
        </w:rPr>
        <w:t>Moerth</w:t>
      </w:r>
      <w:r>
        <w:rPr>
          <w:i/>
          <w:spacing w:val="7"/>
          <w:w w:val="105"/>
          <w:sz w:val="13"/>
        </w:rPr>
        <w:t> </w:t>
      </w:r>
      <w:r>
        <w:rPr>
          <w:i/>
          <w:spacing w:val="3"/>
          <w:w w:val="105"/>
          <w:sz w:val="13"/>
        </w:rPr>
        <w:t>(No</w:t>
      </w:r>
      <w:r>
        <w:rPr>
          <w:i/>
          <w:spacing w:val="7"/>
          <w:w w:val="105"/>
          <w:sz w:val="13"/>
        </w:rPr>
        <w:t> </w:t>
      </w:r>
      <w:r>
        <w:rPr>
          <w:i/>
          <w:w w:val="105"/>
          <w:sz w:val="13"/>
        </w:rPr>
        <w:t>2)</w:t>
      </w:r>
      <w:r>
        <w:rPr>
          <w:i/>
          <w:spacing w:val="7"/>
          <w:w w:val="105"/>
          <w:sz w:val="13"/>
        </w:rPr>
        <w:t> </w:t>
      </w:r>
      <w:r>
        <w:rPr>
          <w:spacing w:val="-3"/>
          <w:w w:val="105"/>
          <w:sz w:val="13"/>
        </w:rPr>
        <w:t>[2011]</w:t>
      </w:r>
      <w:r>
        <w:rPr>
          <w:spacing w:val="8"/>
          <w:w w:val="105"/>
          <w:sz w:val="13"/>
        </w:rPr>
        <w:t> </w:t>
      </w:r>
      <w:r>
        <w:rPr>
          <w:w w:val="105"/>
          <w:sz w:val="13"/>
        </w:rPr>
        <w:t>VSC</w:t>
      </w:r>
      <w:r>
        <w:rPr>
          <w:spacing w:val="8"/>
          <w:w w:val="105"/>
          <w:sz w:val="13"/>
        </w:rPr>
        <w:t> </w:t>
      </w:r>
      <w:r>
        <w:rPr>
          <w:w w:val="105"/>
          <w:sz w:val="13"/>
        </w:rPr>
        <w:t>275</w:t>
      </w:r>
      <w:r>
        <w:rPr>
          <w:spacing w:val="8"/>
          <w:w w:val="105"/>
          <w:sz w:val="13"/>
        </w:rPr>
        <w:t> </w:t>
      </w:r>
      <w:r>
        <w:rPr>
          <w:w w:val="105"/>
          <w:sz w:val="13"/>
        </w:rPr>
        <w:t>(4</w:t>
      </w:r>
      <w:r>
        <w:rPr>
          <w:spacing w:val="7"/>
          <w:w w:val="105"/>
          <w:sz w:val="13"/>
        </w:rPr>
        <w:t> </w:t>
      </w:r>
      <w:r>
        <w:rPr>
          <w:w w:val="105"/>
          <w:sz w:val="13"/>
        </w:rPr>
        <w:t>March</w:t>
      </w:r>
      <w:r>
        <w:rPr>
          <w:spacing w:val="8"/>
          <w:w w:val="105"/>
          <w:sz w:val="13"/>
        </w:rPr>
        <w:t> </w:t>
      </w:r>
      <w:r>
        <w:rPr>
          <w:w w:val="105"/>
          <w:sz w:val="13"/>
        </w:rPr>
        <w:t>2011);</w:t>
      </w:r>
      <w:r>
        <w:rPr>
          <w:spacing w:val="8"/>
          <w:w w:val="105"/>
          <w:sz w:val="13"/>
        </w:rPr>
        <w:t> </w:t>
      </w:r>
      <w:r>
        <w:rPr>
          <w:i/>
          <w:w w:val="105"/>
          <w:sz w:val="13"/>
        </w:rPr>
        <w:t>Webb</w:t>
      </w:r>
      <w:r>
        <w:rPr>
          <w:i/>
          <w:spacing w:val="6"/>
          <w:w w:val="105"/>
          <w:sz w:val="13"/>
        </w:rPr>
        <w:t> </w:t>
      </w:r>
      <w:r>
        <w:rPr>
          <w:i/>
          <w:w w:val="105"/>
          <w:sz w:val="13"/>
        </w:rPr>
        <w:t>v</w:t>
      </w:r>
      <w:r>
        <w:rPr>
          <w:i/>
          <w:spacing w:val="7"/>
          <w:w w:val="105"/>
          <w:sz w:val="13"/>
        </w:rPr>
        <w:t> </w:t>
      </w:r>
      <w:r>
        <w:rPr>
          <w:i/>
          <w:w w:val="105"/>
          <w:sz w:val="13"/>
        </w:rPr>
        <w:t>Ryan</w:t>
      </w:r>
      <w:r>
        <w:rPr>
          <w:i/>
          <w:spacing w:val="7"/>
          <w:w w:val="105"/>
          <w:sz w:val="13"/>
        </w:rPr>
        <w:t> </w:t>
      </w:r>
      <w:r>
        <w:rPr>
          <w:i/>
          <w:w w:val="105"/>
          <w:sz w:val="13"/>
        </w:rPr>
        <w:t>(Costs)</w:t>
      </w:r>
      <w:r>
        <w:rPr>
          <w:i/>
          <w:spacing w:val="7"/>
          <w:w w:val="105"/>
          <w:sz w:val="13"/>
        </w:rPr>
        <w:t> </w:t>
      </w:r>
      <w:r>
        <w:rPr>
          <w:w w:val="105"/>
          <w:sz w:val="13"/>
        </w:rPr>
        <w:t>[2012]</w:t>
      </w:r>
      <w:r>
        <w:rPr>
          <w:spacing w:val="8"/>
          <w:w w:val="105"/>
          <w:sz w:val="13"/>
        </w:rPr>
        <w:t> </w:t>
      </w:r>
      <w:r>
        <w:rPr>
          <w:w w:val="105"/>
          <w:sz w:val="13"/>
        </w:rPr>
        <w:t>VSC</w:t>
      </w:r>
      <w:r>
        <w:rPr>
          <w:spacing w:val="8"/>
          <w:w w:val="105"/>
          <w:sz w:val="13"/>
        </w:rPr>
        <w:t> </w:t>
      </w:r>
      <w:r>
        <w:rPr>
          <w:w w:val="105"/>
          <w:sz w:val="13"/>
        </w:rPr>
        <w:t>431</w:t>
      </w:r>
      <w:r>
        <w:rPr>
          <w:spacing w:val="8"/>
          <w:w w:val="105"/>
          <w:sz w:val="13"/>
        </w:rPr>
        <w:t> </w:t>
      </w:r>
      <w:r>
        <w:rPr>
          <w:w w:val="105"/>
          <w:sz w:val="13"/>
        </w:rPr>
        <w:t>(20</w:t>
      </w:r>
      <w:r>
        <w:rPr>
          <w:spacing w:val="7"/>
          <w:w w:val="105"/>
          <w:sz w:val="13"/>
        </w:rPr>
        <w:t> </w:t>
      </w:r>
      <w:r>
        <w:rPr>
          <w:w w:val="105"/>
          <w:sz w:val="13"/>
        </w:rPr>
        <w:t>September</w:t>
      </w:r>
      <w:r>
        <w:rPr>
          <w:spacing w:val="8"/>
          <w:w w:val="105"/>
          <w:sz w:val="13"/>
        </w:rPr>
        <w:t> </w:t>
      </w:r>
      <w:r>
        <w:rPr>
          <w:w w:val="105"/>
          <w:sz w:val="13"/>
        </w:rPr>
        <w:t>2012).</w:t>
      </w:r>
    </w:p>
    <w:p>
      <w:pPr>
        <w:pStyle w:val="ListParagraph"/>
        <w:numPr>
          <w:ilvl w:val="0"/>
          <w:numId w:val="90"/>
        </w:numPr>
        <w:tabs>
          <w:tab w:pos="1243" w:val="left" w:leader="none"/>
          <w:tab w:pos="1244" w:val="left" w:leader="none"/>
        </w:tabs>
        <w:spacing w:line="240" w:lineRule="auto" w:before="2" w:after="0"/>
        <w:ind w:left="1243" w:right="0" w:hanging="793"/>
        <w:jc w:val="left"/>
        <w:rPr>
          <w:sz w:val="13"/>
        </w:rPr>
      </w:pPr>
      <w:r>
        <w:rPr>
          <w:w w:val="105"/>
          <w:sz w:val="13"/>
        </w:rPr>
        <w:t>See</w:t>
      </w:r>
      <w:r>
        <w:rPr>
          <w:spacing w:val="6"/>
          <w:w w:val="105"/>
          <w:sz w:val="13"/>
        </w:rPr>
        <w:t> </w:t>
      </w:r>
      <w:r>
        <w:rPr>
          <w:w w:val="105"/>
          <w:sz w:val="13"/>
        </w:rPr>
        <w:t>discussion</w:t>
      </w:r>
      <w:r>
        <w:rPr>
          <w:spacing w:val="6"/>
          <w:w w:val="105"/>
          <w:sz w:val="13"/>
        </w:rPr>
        <w:t> </w:t>
      </w:r>
      <w:r>
        <w:rPr>
          <w:w w:val="105"/>
          <w:sz w:val="13"/>
        </w:rPr>
        <w:t>of</w:t>
      </w:r>
      <w:r>
        <w:rPr>
          <w:spacing w:val="7"/>
          <w:w w:val="105"/>
          <w:sz w:val="13"/>
        </w:rPr>
        <w:t> </w:t>
      </w:r>
      <w:r>
        <w:rPr>
          <w:w w:val="105"/>
          <w:sz w:val="13"/>
        </w:rPr>
        <w:t>this</w:t>
      </w:r>
      <w:r>
        <w:rPr>
          <w:spacing w:val="6"/>
          <w:w w:val="105"/>
          <w:sz w:val="13"/>
        </w:rPr>
        <w:t> </w:t>
      </w:r>
      <w:r>
        <w:rPr>
          <w:w w:val="105"/>
          <w:sz w:val="13"/>
        </w:rPr>
        <w:t>in</w:t>
      </w:r>
      <w:r>
        <w:rPr>
          <w:spacing w:val="7"/>
          <w:w w:val="105"/>
          <w:sz w:val="13"/>
        </w:rPr>
        <w:t> </w:t>
      </w:r>
      <w:r>
        <w:rPr>
          <w:i/>
          <w:w w:val="105"/>
          <w:sz w:val="13"/>
        </w:rPr>
        <w:t>Webb</w:t>
      </w:r>
      <w:r>
        <w:rPr>
          <w:i/>
          <w:spacing w:val="5"/>
          <w:w w:val="105"/>
          <w:sz w:val="13"/>
        </w:rPr>
        <w:t> </w:t>
      </w:r>
      <w:r>
        <w:rPr>
          <w:i/>
          <w:w w:val="105"/>
          <w:sz w:val="13"/>
        </w:rPr>
        <w:t>v</w:t>
      </w:r>
      <w:r>
        <w:rPr>
          <w:i/>
          <w:spacing w:val="5"/>
          <w:w w:val="105"/>
          <w:sz w:val="13"/>
        </w:rPr>
        <w:t> </w:t>
      </w:r>
      <w:r>
        <w:rPr>
          <w:i/>
          <w:w w:val="105"/>
          <w:sz w:val="13"/>
        </w:rPr>
        <w:t>Ryan</w:t>
      </w:r>
      <w:r>
        <w:rPr>
          <w:i/>
          <w:spacing w:val="6"/>
          <w:w w:val="105"/>
          <w:sz w:val="13"/>
        </w:rPr>
        <w:t> </w:t>
      </w:r>
      <w:r>
        <w:rPr>
          <w:i/>
          <w:w w:val="105"/>
          <w:sz w:val="13"/>
        </w:rPr>
        <w:t>(Costs)</w:t>
      </w:r>
      <w:r>
        <w:rPr>
          <w:i/>
          <w:spacing w:val="6"/>
          <w:w w:val="105"/>
          <w:sz w:val="13"/>
        </w:rPr>
        <w:t> </w:t>
      </w:r>
      <w:r>
        <w:rPr>
          <w:w w:val="105"/>
          <w:sz w:val="13"/>
        </w:rPr>
        <w:t>[2012]</w:t>
      </w:r>
      <w:r>
        <w:rPr>
          <w:spacing w:val="7"/>
          <w:w w:val="105"/>
          <w:sz w:val="13"/>
        </w:rPr>
        <w:t> </w:t>
      </w:r>
      <w:r>
        <w:rPr>
          <w:w w:val="105"/>
          <w:sz w:val="13"/>
        </w:rPr>
        <w:t>VSC</w:t>
      </w:r>
      <w:r>
        <w:rPr>
          <w:spacing w:val="6"/>
          <w:w w:val="105"/>
          <w:sz w:val="13"/>
        </w:rPr>
        <w:t> </w:t>
      </w:r>
      <w:r>
        <w:rPr>
          <w:w w:val="105"/>
          <w:sz w:val="13"/>
        </w:rPr>
        <w:t>431</w:t>
      </w:r>
      <w:r>
        <w:rPr>
          <w:spacing w:val="7"/>
          <w:w w:val="105"/>
          <w:sz w:val="13"/>
        </w:rPr>
        <w:t> </w:t>
      </w:r>
      <w:r>
        <w:rPr>
          <w:w w:val="105"/>
          <w:sz w:val="13"/>
        </w:rPr>
        <w:t>(20</w:t>
      </w:r>
      <w:r>
        <w:rPr>
          <w:spacing w:val="6"/>
          <w:w w:val="105"/>
          <w:sz w:val="13"/>
        </w:rPr>
        <w:t> </w:t>
      </w:r>
      <w:r>
        <w:rPr>
          <w:w w:val="105"/>
          <w:sz w:val="13"/>
        </w:rPr>
        <w:t>September</w:t>
      </w:r>
      <w:r>
        <w:rPr>
          <w:spacing w:val="6"/>
          <w:w w:val="105"/>
          <w:sz w:val="13"/>
        </w:rPr>
        <w:t> </w:t>
      </w:r>
      <w:r>
        <w:rPr>
          <w:w w:val="105"/>
          <w:sz w:val="13"/>
        </w:rPr>
        <w:t>2012)</w:t>
      </w:r>
      <w:r>
        <w:rPr>
          <w:spacing w:val="7"/>
          <w:w w:val="105"/>
          <w:sz w:val="13"/>
        </w:rPr>
        <w:t> </w:t>
      </w:r>
      <w:r>
        <w:rPr>
          <w:spacing w:val="4"/>
          <w:w w:val="105"/>
          <w:sz w:val="13"/>
        </w:rPr>
        <w:t>[37]–[38];</w:t>
      </w:r>
      <w:r>
        <w:rPr>
          <w:spacing w:val="6"/>
          <w:w w:val="105"/>
          <w:sz w:val="13"/>
        </w:rPr>
        <w:t> </w:t>
      </w:r>
      <w:r>
        <w:rPr>
          <w:w w:val="105"/>
          <w:sz w:val="13"/>
        </w:rPr>
        <w:t>submission</w:t>
      </w:r>
      <w:r>
        <w:rPr>
          <w:spacing w:val="7"/>
          <w:w w:val="105"/>
          <w:sz w:val="13"/>
        </w:rPr>
        <w:t> </w:t>
      </w:r>
      <w:r>
        <w:rPr>
          <w:w w:val="105"/>
          <w:sz w:val="13"/>
        </w:rPr>
        <w:t>35</w:t>
      </w:r>
      <w:r>
        <w:rPr>
          <w:spacing w:val="6"/>
          <w:w w:val="105"/>
          <w:sz w:val="13"/>
        </w:rPr>
        <w:t> </w:t>
      </w:r>
      <w:r>
        <w:rPr>
          <w:w w:val="105"/>
          <w:sz w:val="13"/>
        </w:rPr>
        <w:t>(Andrew</w:t>
      </w:r>
      <w:r>
        <w:rPr>
          <w:spacing w:val="7"/>
          <w:w w:val="105"/>
          <w:sz w:val="13"/>
        </w:rPr>
        <w:t> </w:t>
      </w:r>
      <w:r>
        <w:rPr>
          <w:w w:val="105"/>
          <w:sz w:val="13"/>
        </w:rPr>
        <w:t>Verspaandonk).</w:t>
      </w:r>
    </w:p>
    <w:p>
      <w:pPr>
        <w:pStyle w:val="ListParagraph"/>
        <w:numPr>
          <w:ilvl w:val="0"/>
          <w:numId w:val="90"/>
        </w:numPr>
        <w:tabs>
          <w:tab w:pos="1243" w:val="left" w:leader="none"/>
          <w:tab w:pos="1244" w:val="left" w:leader="none"/>
        </w:tabs>
        <w:spacing w:line="240" w:lineRule="auto" w:before="1" w:after="0"/>
        <w:ind w:left="1243" w:right="0" w:hanging="793"/>
        <w:jc w:val="left"/>
        <w:rPr>
          <w:sz w:val="13"/>
        </w:rPr>
      </w:pPr>
      <w:r>
        <w:rPr>
          <w:w w:val="105"/>
          <w:sz w:val="13"/>
        </w:rPr>
        <w:t>Submissions </w:t>
      </w:r>
      <w:r>
        <w:rPr>
          <w:spacing w:val="-3"/>
          <w:w w:val="105"/>
          <w:sz w:val="13"/>
        </w:rPr>
        <w:t>14 </w:t>
      </w:r>
      <w:r>
        <w:rPr>
          <w:w w:val="105"/>
          <w:sz w:val="13"/>
        </w:rPr>
        <w:t>(Commercial Bar </w:t>
      </w:r>
      <w:r>
        <w:rPr>
          <w:spacing w:val="2"/>
          <w:w w:val="105"/>
          <w:sz w:val="13"/>
        </w:rPr>
        <w:t>Association); </w:t>
      </w:r>
      <w:r>
        <w:rPr>
          <w:w w:val="105"/>
          <w:sz w:val="13"/>
        </w:rPr>
        <w:t>30a </w:t>
      </w:r>
      <w:r>
        <w:rPr>
          <w:spacing w:val="3"/>
          <w:w w:val="105"/>
          <w:sz w:val="13"/>
        </w:rPr>
        <w:t>(Law </w:t>
      </w:r>
      <w:r>
        <w:rPr>
          <w:w w:val="105"/>
          <w:sz w:val="13"/>
        </w:rPr>
        <w:t>Institute of</w:t>
      </w:r>
      <w:r>
        <w:rPr>
          <w:spacing w:val="7"/>
          <w:w w:val="105"/>
          <w:sz w:val="13"/>
        </w:rPr>
        <w:t> </w:t>
      </w:r>
      <w:r>
        <w:rPr>
          <w:spacing w:val="2"/>
          <w:w w:val="105"/>
          <w:sz w:val="13"/>
        </w:rPr>
        <w:t>Victoria).</w:t>
      </w:r>
    </w:p>
    <w:p>
      <w:pPr>
        <w:pStyle w:val="ListParagraph"/>
        <w:numPr>
          <w:ilvl w:val="0"/>
          <w:numId w:val="90"/>
        </w:numPr>
        <w:tabs>
          <w:tab w:pos="1243" w:val="left" w:leader="none"/>
          <w:tab w:pos="1245" w:val="left" w:leader="none"/>
        </w:tabs>
        <w:spacing w:line="240" w:lineRule="auto" w:before="1" w:after="0"/>
        <w:ind w:left="450" w:right="7119" w:firstLine="0"/>
        <w:jc w:val="left"/>
        <w:rPr>
          <w:sz w:val="13"/>
        </w:rPr>
      </w:pPr>
      <w:r>
        <w:rPr>
          <w:w w:val="105"/>
          <w:sz w:val="13"/>
        </w:rPr>
        <w:t>Submission 42b (Arnold  Bloch  Leibler). 194</w:t>
        <w:tab/>
        <w:t>Submission 30a </w:t>
      </w:r>
      <w:r>
        <w:rPr>
          <w:spacing w:val="3"/>
          <w:w w:val="105"/>
          <w:sz w:val="13"/>
        </w:rPr>
        <w:t>(Law </w:t>
      </w:r>
      <w:r>
        <w:rPr>
          <w:w w:val="105"/>
          <w:sz w:val="13"/>
        </w:rPr>
        <w:t>Institute of</w:t>
      </w:r>
      <w:r>
        <w:rPr>
          <w:spacing w:val="15"/>
          <w:w w:val="105"/>
          <w:sz w:val="13"/>
        </w:rPr>
        <w:t> </w:t>
      </w:r>
      <w:r>
        <w:rPr>
          <w:spacing w:val="2"/>
          <w:w w:val="105"/>
          <w:sz w:val="13"/>
        </w:rPr>
        <w:t>Victoria).</w:t>
      </w:r>
    </w:p>
    <w:p>
      <w:pPr>
        <w:tabs>
          <w:tab w:pos="1243" w:val="left" w:leader="none"/>
        </w:tabs>
        <w:spacing w:before="3"/>
        <w:ind w:left="450" w:right="0" w:firstLine="0"/>
        <w:jc w:val="left"/>
        <w:rPr>
          <w:sz w:val="13"/>
        </w:rPr>
      </w:pPr>
      <w:r>
        <w:rPr>
          <w:w w:val="105"/>
          <w:sz w:val="13"/>
        </w:rPr>
        <w:t>195</w:t>
        <w:tab/>
        <w:t>Submission 42b (Arnold Bloch</w:t>
      </w:r>
      <w:r>
        <w:rPr>
          <w:spacing w:val="18"/>
          <w:w w:val="105"/>
          <w:sz w:val="13"/>
        </w:rPr>
        <w:t> </w:t>
      </w:r>
      <w:r>
        <w:rPr>
          <w:w w:val="105"/>
          <w:sz w:val="13"/>
        </w:rPr>
        <w:t>Leibler).</w:t>
      </w:r>
    </w:p>
    <w:p>
      <w:pPr>
        <w:spacing w:after="0"/>
        <w:jc w:val="left"/>
        <w:rPr>
          <w:sz w:val="13"/>
        </w:rPr>
        <w:sectPr>
          <w:type w:val="continuous"/>
          <w:pgSz w:w="11910" w:h="16840"/>
          <w:pgMar w:top="920" w:bottom="280" w:left="0" w:right="0"/>
          <w:cols w:num="2" w:equalWidth="0">
            <w:col w:w="1098" w:space="40"/>
            <w:col w:w="10772"/>
          </w:cols>
        </w:sectPr>
      </w:pPr>
    </w:p>
    <w:p>
      <w:pPr>
        <w:pStyle w:val="BodyText"/>
        <w:rPr>
          <w:sz w:val="20"/>
        </w:rPr>
      </w:pPr>
    </w:p>
    <w:p>
      <w:pPr>
        <w:pStyle w:val="BodyText"/>
        <w:spacing w:before="1"/>
        <w:rPr>
          <w:sz w:val="18"/>
        </w:rPr>
      </w:pPr>
    </w:p>
    <w:p>
      <w:pPr>
        <w:pStyle w:val="Heading5"/>
        <w:spacing w:before="99"/>
      </w:pPr>
      <w:bookmarkStart w:name="_TOC_250009" w:id="118"/>
      <w:r>
        <w:rPr>
          <w:w w:val="110"/>
        </w:rPr>
        <w:t>Options</w:t>
      </w:r>
      <w:r>
        <w:rPr>
          <w:spacing w:val="19"/>
          <w:w w:val="110"/>
        </w:rPr>
        <w:t> </w:t>
      </w:r>
      <w:r>
        <w:rPr>
          <w:w w:val="110"/>
        </w:rPr>
        <w:t>raised</w:t>
      </w:r>
      <w:r>
        <w:rPr>
          <w:spacing w:val="19"/>
          <w:w w:val="110"/>
        </w:rPr>
        <w:t> </w:t>
      </w:r>
      <w:r>
        <w:rPr>
          <w:w w:val="110"/>
        </w:rPr>
        <w:t>in</w:t>
      </w:r>
      <w:r>
        <w:rPr>
          <w:spacing w:val="19"/>
          <w:w w:val="110"/>
        </w:rPr>
        <w:t> </w:t>
      </w:r>
      <w:r>
        <w:rPr>
          <w:w w:val="110"/>
        </w:rPr>
        <w:t>the</w:t>
      </w:r>
      <w:r>
        <w:rPr>
          <w:spacing w:val="20"/>
          <w:w w:val="110"/>
        </w:rPr>
        <w:t> </w:t>
      </w:r>
      <w:r>
        <w:rPr>
          <w:w w:val="110"/>
        </w:rPr>
        <w:t>Commission’s</w:t>
      </w:r>
      <w:r>
        <w:rPr>
          <w:spacing w:val="19"/>
          <w:w w:val="110"/>
        </w:rPr>
        <w:t> </w:t>
      </w:r>
      <w:r>
        <w:rPr>
          <w:w w:val="110"/>
        </w:rPr>
        <w:t>consultation</w:t>
      </w:r>
      <w:r>
        <w:rPr>
          <w:spacing w:val="19"/>
          <w:w w:val="110"/>
        </w:rPr>
        <w:t> </w:t>
      </w:r>
      <w:bookmarkEnd w:id="118"/>
      <w:r>
        <w:rPr>
          <w:w w:val="110"/>
        </w:rPr>
        <w:t>paper</w:t>
      </w:r>
    </w:p>
    <w:p>
      <w:pPr>
        <w:pStyle w:val="ListParagraph"/>
        <w:numPr>
          <w:ilvl w:val="1"/>
          <w:numId w:val="82"/>
        </w:numPr>
        <w:tabs>
          <w:tab w:pos="2381" w:val="left" w:leader="none"/>
          <w:tab w:pos="2382" w:val="left" w:leader="none"/>
        </w:tabs>
        <w:spacing w:line="242" w:lineRule="auto" w:before="137" w:after="0"/>
        <w:ind w:left="2381" w:right="1991" w:hanging="794"/>
        <w:jc w:val="left"/>
        <w:rPr>
          <w:sz w:val="21"/>
        </w:rPr>
      </w:pPr>
      <w:r>
        <w:rPr>
          <w:w w:val="105"/>
          <w:sz w:val="21"/>
        </w:rPr>
        <w:t>The </w:t>
      </w:r>
      <w:r>
        <w:rPr>
          <w:spacing w:val="-3"/>
          <w:w w:val="105"/>
          <w:sz w:val="21"/>
        </w:rPr>
        <w:t>Commission </w:t>
      </w:r>
      <w:r>
        <w:rPr>
          <w:spacing w:val="-2"/>
          <w:w w:val="105"/>
          <w:sz w:val="21"/>
        </w:rPr>
        <w:t>raised </w:t>
      </w:r>
      <w:r>
        <w:rPr>
          <w:spacing w:val="-3"/>
          <w:w w:val="105"/>
          <w:sz w:val="21"/>
        </w:rPr>
        <w:t>several </w:t>
      </w:r>
      <w:r>
        <w:rPr>
          <w:w w:val="105"/>
          <w:sz w:val="21"/>
        </w:rPr>
        <w:t>options </w:t>
      </w:r>
      <w:r>
        <w:rPr>
          <w:spacing w:val="-3"/>
          <w:w w:val="105"/>
          <w:sz w:val="21"/>
        </w:rPr>
        <w:t>for reform </w:t>
      </w:r>
      <w:r>
        <w:rPr>
          <w:w w:val="105"/>
          <w:sz w:val="21"/>
        </w:rPr>
        <w:t>of costs rules in </w:t>
      </w:r>
      <w:r>
        <w:rPr>
          <w:spacing w:val="-3"/>
          <w:w w:val="105"/>
          <w:sz w:val="21"/>
        </w:rPr>
        <w:t>family provision </w:t>
      </w:r>
      <w:r>
        <w:rPr>
          <w:w w:val="105"/>
          <w:sz w:val="21"/>
        </w:rPr>
        <w:t>in its </w:t>
      </w:r>
      <w:r>
        <w:rPr>
          <w:spacing w:val="-3"/>
          <w:w w:val="105"/>
          <w:sz w:val="21"/>
        </w:rPr>
        <w:t>consultation </w:t>
      </w:r>
      <w:r>
        <w:rPr>
          <w:w w:val="105"/>
          <w:sz w:val="21"/>
        </w:rPr>
        <w:t>paper on </w:t>
      </w:r>
      <w:r>
        <w:rPr>
          <w:spacing w:val="-3"/>
          <w:w w:val="105"/>
          <w:sz w:val="21"/>
        </w:rPr>
        <w:t>family provision </w:t>
      </w:r>
      <w:r>
        <w:rPr>
          <w:w w:val="105"/>
          <w:sz w:val="21"/>
        </w:rPr>
        <w:t>and </w:t>
      </w:r>
      <w:r>
        <w:rPr>
          <w:spacing w:val="-3"/>
          <w:w w:val="105"/>
          <w:sz w:val="21"/>
        </w:rPr>
        <w:t>asked </w:t>
      </w:r>
      <w:r>
        <w:rPr>
          <w:spacing w:val="-4"/>
          <w:w w:val="105"/>
          <w:sz w:val="21"/>
        </w:rPr>
        <w:t>whether, </w:t>
      </w:r>
      <w:r>
        <w:rPr>
          <w:w w:val="105"/>
          <w:sz w:val="21"/>
        </w:rPr>
        <w:t>when a </w:t>
      </w:r>
      <w:r>
        <w:rPr>
          <w:spacing w:val="-3"/>
          <w:w w:val="105"/>
          <w:sz w:val="21"/>
        </w:rPr>
        <w:t>family provision </w:t>
      </w:r>
      <w:r>
        <w:rPr>
          <w:w w:val="105"/>
          <w:sz w:val="21"/>
        </w:rPr>
        <w:t>application is</w:t>
      </w:r>
      <w:r>
        <w:rPr>
          <w:spacing w:val="10"/>
          <w:w w:val="105"/>
          <w:sz w:val="21"/>
        </w:rPr>
        <w:t> </w:t>
      </w:r>
      <w:r>
        <w:rPr>
          <w:spacing w:val="-3"/>
          <w:w w:val="105"/>
          <w:sz w:val="21"/>
        </w:rPr>
        <w:t>unsuccessful:</w:t>
      </w:r>
    </w:p>
    <w:p>
      <w:pPr>
        <w:pStyle w:val="ListParagraph"/>
        <w:numPr>
          <w:ilvl w:val="2"/>
          <w:numId w:val="82"/>
        </w:numPr>
        <w:tabs>
          <w:tab w:pos="2721" w:val="left" w:leader="none"/>
          <w:tab w:pos="2722" w:val="left" w:leader="none"/>
        </w:tabs>
        <w:spacing w:line="242" w:lineRule="auto" w:before="124" w:after="0"/>
        <w:ind w:left="2721" w:right="1639" w:hanging="340"/>
        <w:jc w:val="left"/>
        <w:rPr>
          <w:sz w:val="21"/>
        </w:rPr>
      </w:pPr>
      <w:r>
        <w:rPr>
          <w:sz w:val="21"/>
        </w:rPr>
        <w:t>there should be a </w:t>
      </w:r>
      <w:r>
        <w:rPr>
          <w:spacing w:val="-3"/>
          <w:sz w:val="21"/>
        </w:rPr>
        <w:t>legislative presumption that </w:t>
      </w:r>
      <w:r>
        <w:rPr>
          <w:sz w:val="21"/>
        </w:rPr>
        <w:t>the </w:t>
      </w:r>
      <w:r>
        <w:rPr>
          <w:spacing w:val="-3"/>
          <w:sz w:val="21"/>
        </w:rPr>
        <w:t>applicant will </w:t>
      </w:r>
      <w:r>
        <w:rPr>
          <w:spacing w:val="-2"/>
          <w:sz w:val="21"/>
        </w:rPr>
        <w:t>not </w:t>
      </w:r>
      <w:r>
        <w:rPr>
          <w:sz w:val="21"/>
        </w:rPr>
        <w:t>receive their costs </w:t>
      </w:r>
      <w:r>
        <w:rPr>
          <w:spacing w:val="-3"/>
          <w:sz w:val="21"/>
        </w:rPr>
        <w:t>from </w:t>
      </w:r>
      <w:r>
        <w:rPr>
          <w:sz w:val="21"/>
        </w:rPr>
        <w:t>the</w:t>
      </w:r>
      <w:r>
        <w:rPr>
          <w:spacing w:val="19"/>
          <w:sz w:val="21"/>
        </w:rPr>
        <w:t> </w:t>
      </w:r>
      <w:r>
        <w:rPr>
          <w:sz w:val="21"/>
        </w:rPr>
        <w:t>estate</w:t>
      </w:r>
    </w:p>
    <w:p>
      <w:pPr>
        <w:pStyle w:val="ListParagraph"/>
        <w:numPr>
          <w:ilvl w:val="2"/>
          <w:numId w:val="82"/>
        </w:numPr>
        <w:tabs>
          <w:tab w:pos="2721" w:val="left" w:leader="none"/>
          <w:tab w:pos="2722" w:val="left" w:leader="none"/>
        </w:tabs>
        <w:spacing w:line="242" w:lineRule="auto" w:before="122" w:after="0"/>
        <w:ind w:left="2721" w:right="1708" w:hanging="340"/>
        <w:jc w:val="left"/>
        <w:rPr>
          <w:sz w:val="12"/>
        </w:rPr>
      </w:pPr>
      <w:r>
        <w:rPr>
          <w:sz w:val="21"/>
        </w:rPr>
        <w:t>the starting point should either be </w:t>
      </w:r>
      <w:r>
        <w:rPr>
          <w:spacing w:val="-3"/>
          <w:sz w:val="21"/>
        </w:rPr>
        <w:t>that </w:t>
      </w:r>
      <w:r>
        <w:rPr>
          <w:sz w:val="21"/>
        </w:rPr>
        <w:t>costs </w:t>
      </w:r>
      <w:r>
        <w:rPr>
          <w:spacing w:val="-3"/>
          <w:sz w:val="21"/>
        </w:rPr>
        <w:t>follow </w:t>
      </w:r>
      <w:r>
        <w:rPr>
          <w:sz w:val="21"/>
        </w:rPr>
        <w:t>the </w:t>
      </w:r>
      <w:r>
        <w:rPr>
          <w:spacing w:val="-3"/>
          <w:sz w:val="21"/>
        </w:rPr>
        <w:t>event </w:t>
      </w:r>
      <w:r>
        <w:rPr>
          <w:sz w:val="21"/>
        </w:rPr>
        <w:t>(the </w:t>
      </w:r>
      <w:r>
        <w:rPr>
          <w:spacing w:val="-3"/>
          <w:sz w:val="21"/>
        </w:rPr>
        <w:t>unsuccessful </w:t>
      </w:r>
      <w:r>
        <w:rPr>
          <w:sz w:val="21"/>
        </w:rPr>
        <w:t>party pays the </w:t>
      </w:r>
      <w:r>
        <w:rPr>
          <w:spacing w:val="-3"/>
          <w:sz w:val="21"/>
        </w:rPr>
        <w:t>successful </w:t>
      </w:r>
      <w:r>
        <w:rPr>
          <w:sz w:val="21"/>
        </w:rPr>
        <w:t>party’s costs) or </w:t>
      </w:r>
      <w:r>
        <w:rPr>
          <w:spacing w:val="-3"/>
          <w:sz w:val="21"/>
        </w:rPr>
        <w:t>that  </w:t>
      </w:r>
      <w:r>
        <w:rPr>
          <w:sz w:val="21"/>
        </w:rPr>
        <w:t>no order as </w:t>
      </w:r>
      <w:r>
        <w:rPr>
          <w:spacing w:val="-3"/>
          <w:sz w:val="21"/>
        </w:rPr>
        <w:t>to</w:t>
      </w:r>
      <w:r>
        <w:rPr>
          <w:spacing w:val="41"/>
          <w:sz w:val="21"/>
        </w:rPr>
        <w:t> </w:t>
      </w:r>
      <w:r>
        <w:rPr>
          <w:sz w:val="21"/>
        </w:rPr>
        <w:t>costs is made (each party  bears its own</w:t>
      </w:r>
      <w:r>
        <w:rPr>
          <w:spacing w:val="25"/>
          <w:sz w:val="21"/>
        </w:rPr>
        <w:t> </w:t>
      </w:r>
      <w:r>
        <w:rPr>
          <w:spacing w:val="-3"/>
          <w:sz w:val="21"/>
        </w:rPr>
        <w:t>costs).</w:t>
      </w:r>
      <w:r>
        <w:rPr>
          <w:spacing w:val="-3"/>
          <w:position w:val="7"/>
          <w:sz w:val="12"/>
        </w:rPr>
        <w:t>196</w:t>
      </w:r>
    </w:p>
    <w:p>
      <w:pPr>
        <w:pStyle w:val="BodyText"/>
        <w:spacing w:before="12"/>
        <w:rPr>
          <w:sz w:val="24"/>
        </w:rPr>
      </w:pPr>
    </w:p>
    <w:p>
      <w:pPr>
        <w:pStyle w:val="Heading5"/>
      </w:pPr>
      <w:bookmarkStart w:name="_TOC_250008" w:id="119"/>
      <w:bookmarkEnd w:id="119"/>
      <w:r>
        <w:rPr>
          <w:w w:val="115"/>
        </w:rPr>
        <w:t>Views and conclusions</w:t>
      </w:r>
    </w:p>
    <w:p>
      <w:pPr>
        <w:pStyle w:val="ListParagraph"/>
        <w:numPr>
          <w:ilvl w:val="1"/>
          <w:numId w:val="82"/>
        </w:numPr>
        <w:tabs>
          <w:tab w:pos="2380" w:val="left" w:leader="none"/>
          <w:tab w:pos="2381" w:val="left" w:leader="none"/>
        </w:tabs>
        <w:spacing w:line="242" w:lineRule="auto" w:before="137" w:after="0"/>
        <w:ind w:left="2381" w:right="1745" w:hanging="794"/>
        <w:jc w:val="left"/>
        <w:rPr>
          <w:sz w:val="12"/>
        </w:rPr>
      </w:pPr>
      <w:r>
        <w:rPr>
          <w:sz w:val="21"/>
        </w:rPr>
        <w:t>In the costs </w:t>
      </w:r>
      <w:r>
        <w:rPr>
          <w:spacing w:val="-3"/>
          <w:sz w:val="21"/>
        </w:rPr>
        <w:t>judgment </w:t>
      </w:r>
      <w:r>
        <w:rPr>
          <w:sz w:val="21"/>
        </w:rPr>
        <w:t>in </w:t>
      </w:r>
      <w:r>
        <w:rPr>
          <w:i/>
          <w:sz w:val="21"/>
        </w:rPr>
        <w:t>Webb v </w:t>
      </w:r>
      <w:r>
        <w:rPr>
          <w:i/>
          <w:spacing w:val="-4"/>
          <w:sz w:val="21"/>
        </w:rPr>
        <w:t>Ryan</w:t>
      </w:r>
      <w:r>
        <w:rPr>
          <w:spacing w:val="-4"/>
          <w:sz w:val="21"/>
        </w:rPr>
        <w:t>, </w:t>
      </w:r>
      <w:r>
        <w:rPr>
          <w:sz w:val="21"/>
        </w:rPr>
        <w:t>Justice Whelan </w:t>
      </w:r>
      <w:r>
        <w:rPr>
          <w:spacing w:val="-3"/>
          <w:sz w:val="21"/>
        </w:rPr>
        <w:t>noted that ‘Family  provision  </w:t>
      </w:r>
      <w:r>
        <w:rPr>
          <w:sz w:val="21"/>
        </w:rPr>
        <w:t>cases </w:t>
      </w:r>
      <w:r>
        <w:rPr>
          <w:spacing w:val="-3"/>
          <w:sz w:val="21"/>
        </w:rPr>
        <w:t>are different to </w:t>
      </w:r>
      <w:r>
        <w:rPr>
          <w:sz w:val="21"/>
        </w:rPr>
        <w:t>other civil cases in some </w:t>
      </w:r>
      <w:r>
        <w:rPr>
          <w:spacing w:val="-3"/>
          <w:sz w:val="21"/>
        </w:rPr>
        <w:t>respects’, </w:t>
      </w:r>
      <w:r>
        <w:rPr>
          <w:sz w:val="21"/>
        </w:rPr>
        <w:t>but </w:t>
      </w:r>
      <w:r>
        <w:rPr>
          <w:spacing w:val="-3"/>
          <w:sz w:val="21"/>
        </w:rPr>
        <w:t>considered that </w:t>
      </w:r>
      <w:r>
        <w:rPr>
          <w:sz w:val="21"/>
        </w:rPr>
        <w:t>‘the tendency </w:t>
      </w:r>
      <w:r>
        <w:rPr>
          <w:spacing w:val="-3"/>
          <w:sz w:val="21"/>
        </w:rPr>
        <w:t>to </w:t>
      </w:r>
      <w:r>
        <w:rPr>
          <w:sz w:val="21"/>
        </w:rPr>
        <w:t>move </w:t>
      </w:r>
      <w:r>
        <w:rPr>
          <w:spacing w:val="-3"/>
          <w:sz w:val="21"/>
        </w:rPr>
        <w:t>towards </w:t>
      </w:r>
      <w:r>
        <w:rPr>
          <w:sz w:val="21"/>
        </w:rPr>
        <w:t>the application of general costs </w:t>
      </w:r>
      <w:r>
        <w:rPr>
          <w:spacing w:val="-3"/>
          <w:sz w:val="21"/>
        </w:rPr>
        <w:t>principles, </w:t>
      </w:r>
      <w:r>
        <w:rPr>
          <w:sz w:val="21"/>
        </w:rPr>
        <w:t>whilst </w:t>
      </w:r>
      <w:r>
        <w:rPr>
          <w:spacing w:val="-3"/>
          <w:sz w:val="21"/>
        </w:rPr>
        <w:t>recognising </w:t>
      </w:r>
      <w:r>
        <w:rPr>
          <w:sz w:val="21"/>
        </w:rPr>
        <w:t>the special characteristics of </w:t>
      </w:r>
      <w:r>
        <w:rPr>
          <w:spacing w:val="-3"/>
          <w:sz w:val="21"/>
        </w:rPr>
        <w:t>family provision </w:t>
      </w:r>
      <w:r>
        <w:rPr>
          <w:sz w:val="21"/>
        </w:rPr>
        <w:t>cases where they </w:t>
      </w:r>
      <w:r>
        <w:rPr>
          <w:spacing w:val="-3"/>
          <w:sz w:val="21"/>
        </w:rPr>
        <w:t>are relevant, </w:t>
      </w:r>
      <w:r>
        <w:rPr>
          <w:sz w:val="21"/>
        </w:rPr>
        <w:t>is a sound and </w:t>
      </w:r>
      <w:r>
        <w:rPr>
          <w:spacing w:val="-3"/>
          <w:sz w:val="21"/>
        </w:rPr>
        <w:t>sensible </w:t>
      </w:r>
      <w:r>
        <w:rPr>
          <w:spacing w:val="-6"/>
          <w:sz w:val="21"/>
        </w:rPr>
        <w:t>approach’.</w:t>
      </w:r>
      <w:r>
        <w:rPr>
          <w:spacing w:val="-6"/>
          <w:position w:val="7"/>
          <w:sz w:val="12"/>
        </w:rPr>
        <w:t>197 </w:t>
      </w:r>
      <w:r>
        <w:rPr>
          <w:sz w:val="21"/>
        </w:rPr>
        <w:t>In his </w:t>
      </w:r>
      <w:r>
        <w:rPr>
          <w:spacing w:val="-3"/>
          <w:sz w:val="21"/>
        </w:rPr>
        <w:t>submission, </w:t>
      </w:r>
      <w:r>
        <w:rPr>
          <w:sz w:val="21"/>
        </w:rPr>
        <w:t>barrister Andrew </w:t>
      </w:r>
      <w:r>
        <w:rPr>
          <w:spacing w:val="-3"/>
          <w:sz w:val="21"/>
        </w:rPr>
        <w:t>Verspaandonk noted </w:t>
      </w:r>
      <w:r>
        <w:rPr>
          <w:sz w:val="21"/>
        </w:rPr>
        <w:t>this move </w:t>
      </w:r>
      <w:r>
        <w:rPr>
          <w:spacing w:val="-3"/>
          <w:sz w:val="21"/>
        </w:rPr>
        <w:t>towards </w:t>
      </w:r>
      <w:r>
        <w:rPr>
          <w:sz w:val="21"/>
        </w:rPr>
        <w:t>application of general costs </w:t>
      </w:r>
      <w:r>
        <w:rPr>
          <w:spacing w:val="-3"/>
          <w:sz w:val="21"/>
        </w:rPr>
        <w:t>principles </w:t>
      </w:r>
      <w:r>
        <w:rPr>
          <w:sz w:val="21"/>
        </w:rPr>
        <w:t>in </w:t>
      </w:r>
      <w:r>
        <w:rPr>
          <w:spacing w:val="-3"/>
          <w:sz w:val="21"/>
        </w:rPr>
        <w:t>family provision</w:t>
      </w:r>
      <w:r>
        <w:rPr>
          <w:spacing w:val="21"/>
          <w:sz w:val="21"/>
        </w:rPr>
        <w:t> </w:t>
      </w:r>
      <w:r>
        <w:rPr>
          <w:spacing w:val="-4"/>
          <w:sz w:val="21"/>
        </w:rPr>
        <w:t>proceedings.</w:t>
      </w:r>
      <w:r>
        <w:rPr>
          <w:spacing w:val="-4"/>
          <w:position w:val="7"/>
          <w:sz w:val="12"/>
        </w:rPr>
        <w:t>198</w:t>
      </w:r>
    </w:p>
    <w:p>
      <w:pPr>
        <w:pStyle w:val="ListParagraph"/>
        <w:numPr>
          <w:ilvl w:val="1"/>
          <w:numId w:val="82"/>
        </w:numPr>
        <w:tabs>
          <w:tab w:pos="2381" w:val="left" w:leader="none"/>
          <w:tab w:pos="2382" w:val="left" w:leader="none"/>
        </w:tabs>
        <w:spacing w:line="242" w:lineRule="auto" w:before="127" w:after="0"/>
        <w:ind w:left="2381" w:right="1686" w:hanging="794"/>
        <w:jc w:val="left"/>
        <w:rPr>
          <w:sz w:val="12"/>
        </w:rPr>
      </w:pPr>
      <w:r>
        <w:rPr>
          <w:w w:val="105"/>
          <w:sz w:val="21"/>
        </w:rPr>
        <w:t>A number of </w:t>
      </w:r>
      <w:r>
        <w:rPr>
          <w:spacing w:val="-3"/>
          <w:w w:val="105"/>
          <w:sz w:val="21"/>
        </w:rPr>
        <w:t>submissions </w:t>
      </w:r>
      <w:r>
        <w:rPr>
          <w:w w:val="105"/>
          <w:sz w:val="21"/>
        </w:rPr>
        <w:t>expressed the view </w:t>
      </w:r>
      <w:r>
        <w:rPr>
          <w:spacing w:val="-3"/>
          <w:w w:val="105"/>
          <w:sz w:val="21"/>
        </w:rPr>
        <w:t>that </w:t>
      </w:r>
      <w:r>
        <w:rPr>
          <w:w w:val="105"/>
          <w:sz w:val="21"/>
        </w:rPr>
        <w:t>the court’s </w:t>
      </w:r>
      <w:r>
        <w:rPr>
          <w:spacing w:val="-3"/>
          <w:w w:val="105"/>
          <w:sz w:val="21"/>
        </w:rPr>
        <w:t>discretion </w:t>
      </w:r>
      <w:r>
        <w:rPr>
          <w:w w:val="105"/>
          <w:sz w:val="21"/>
        </w:rPr>
        <w:t>in </w:t>
      </w:r>
      <w:r>
        <w:rPr>
          <w:spacing w:val="-3"/>
          <w:w w:val="105"/>
          <w:sz w:val="21"/>
        </w:rPr>
        <w:t>relation to </w:t>
      </w:r>
      <w:r>
        <w:rPr>
          <w:w w:val="105"/>
          <w:sz w:val="21"/>
        </w:rPr>
        <w:t>costs should </w:t>
      </w:r>
      <w:r>
        <w:rPr>
          <w:spacing w:val="-2"/>
          <w:w w:val="105"/>
          <w:sz w:val="21"/>
        </w:rPr>
        <w:t>not </w:t>
      </w:r>
      <w:r>
        <w:rPr>
          <w:w w:val="105"/>
          <w:sz w:val="21"/>
        </w:rPr>
        <w:t>be </w:t>
      </w:r>
      <w:r>
        <w:rPr>
          <w:spacing w:val="-4"/>
          <w:w w:val="105"/>
          <w:sz w:val="21"/>
        </w:rPr>
        <w:t>restrained.</w:t>
      </w:r>
      <w:r>
        <w:rPr>
          <w:spacing w:val="-4"/>
          <w:w w:val="105"/>
          <w:position w:val="7"/>
          <w:sz w:val="12"/>
        </w:rPr>
        <w:t>199 </w:t>
      </w:r>
      <w:r>
        <w:rPr>
          <w:spacing w:val="-4"/>
          <w:w w:val="105"/>
          <w:sz w:val="21"/>
        </w:rPr>
        <w:t>However, </w:t>
      </w:r>
      <w:r>
        <w:rPr>
          <w:w w:val="105"/>
          <w:sz w:val="21"/>
        </w:rPr>
        <w:t>some legal practitioners suggested </w:t>
      </w:r>
      <w:r>
        <w:rPr>
          <w:spacing w:val="-3"/>
          <w:w w:val="105"/>
          <w:sz w:val="21"/>
        </w:rPr>
        <w:t>that </w:t>
      </w:r>
      <w:r>
        <w:rPr>
          <w:w w:val="105"/>
          <w:sz w:val="21"/>
        </w:rPr>
        <w:t>more </w:t>
      </w:r>
      <w:r>
        <w:rPr>
          <w:spacing w:val="-2"/>
          <w:w w:val="105"/>
          <w:sz w:val="21"/>
        </w:rPr>
        <w:t>stringent </w:t>
      </w:r>
      <w:r>
        <w:rPr>
          <w:w w:val="105"/>
          <w:sz w:val="21"/>
        </w:rPr>
        <w:t>costs rules </w:t>
      </w:r>
      <w:r>
        <w:rPr>
          <w:spacing w:val="-3"/>
          <w:w w:val="105"/>
          <w:sz w:val="21"/>
        </w:rPr>
        <w:t>could </w:t>
      </w:r>
      <w:r>
        <w:rPr>
          <w:w w:val="105"/>
          <w:sz w:val="21"/>
        </w:rPr>
        <w:t>deter opportunistic </w:t>
      </w:r>
      <w:r>
        <w:rPr>
          <w:spacing w:val="-3"/>
          <w:w w:val="105"/>
          <w:sz w:val="21"/>
        </w:rPr>
        <w:t>claims </w:t>
      </w:r>
      <w:r>
        <w:rPr>
          <w:w w:val="105"/>
          <w:sz w:val="21"/>
        </w:rPr>
        <w:t>and </w:t>
      </w:r>
      <w:r>
        <w:rPr>
          <w:spacing w:val="-3"/>
          <w:w w:val="105"/>
          <w:sz w:val="21"/>
        </w:rPr>
        <w:t>have </w:t>
      </w:r>
      <w:r>
        <w:rPr>
          <w:w w:val="105"/>
          <w:sz w:val="21"/>
        </w:rPr>
        <w:t>a ‘trickle </w:t>
      </w:r>
      <w:r>
        <w:rPr>
          <w:spacing w:val="-3"/>
          <w:w w:val="105"/>
          <w:sz w:val="21"/>
        </w:rPr>
        <w:t>down’ </w:t>
      </w:r>
      <w:r>
        <w:rPr>
          <w:w w:val="105"/>
          <w:sz w:val="21"/>
        </w:rPr>
        <w:t>effect on mediation.</w:t>
      </w:r>
      <w:r>
        <w:rPr>
          <w:w w:val="105"/>
          <w:position w:val="7"/>
          <w:sz w:val="12"/>
        </w:rPr>
        <w:t>200 </w:t>
      </w:r>
      <w:r>
        <w:rPr>
          <w:w w:val="105"/>
          <w:sz w:val="21"/>
        </w:rPr>
        <w:t>There was strong support </w:t>
      </w:r>
      <w:r>
        <w:rPr>
          <w:spacing w:val="-3"/>
          <w:w w:val="105"/>
          <w:sz w:val="21"/>
        </w:rPr>
        <w:t>for </w:t>
      </w:r>
      <w:r>
        <w:rPr>
          <w:w w:val="105"/>
          <w:sz w:val="21"/>
        </w:rPr>
        <w:t>a </w:t>
      </w:r>
      <w:r>
        <w:rPr>
          <w:spacing w:val="-3"/>
          <w:w w:val="105"/>
          <w:sz w:val="21"/>
        </w:rPr>
        <w:t>legislative presumption that </w:t>
      </w:r>
      <w:r>
        <w:rPr>
          <w:w w:val="105"/>
          <w:sz w:val="21"/>
        </w:rPr>
        <w:t>an </w:t>
      </w:r>
      <w:r>
        <w:rPr>
          <w:spacing w:val="-3"/>
          <w:w w:val="105"/>
          <w:sz w:val="21"/>
        </w:rPr>
        <w:t>unsuccessful family provision applicant </w:t>
      </w:r>
      <w:r>
        <w:rPr>
          <w:w w:val="105"/>
          <w:sz w:val="21"/>
        </w:rPr>
        <w:t>should </w:t>
      </w:r>
      <w:r>
        <w:rPr>
          <w:spacing w:val="-2"/>
          <w:w w:val="105"/>
          <w:sz w:val="21"/>
        </w:rPr>
        <w:t>not </w:t>
      </w:r>
      <w:r>
        <w:rPr>
          <w:spacing w:val="-3"/>
          <w:w w:val="105"/>
          <w:sz w:val="21"/>
        </w:rPr>
        <w:t>have </w:t>
      </w:r>
      <w:r>
        <w:rPr>
          <w:w w:val="105"/>
          <w:sz w:val="21"/>
        </w:rPr>
        <w:t>their costs paid by the estate.</w:t>
      </w:r>
      <w:r>
        <w:rPr>
          <w:w w:val="105"/>
          <w:position w:val="7"/>
          <w:sz w:val="12"/>
        </w:rPr>
        <w:t>201 </w:t>
      </w:r>
      <w:r>
        <w:rPr>
          <w:spacing w:val="-4"/>
          <w:w w:val="105"/>
          <w:sz w:val="21"/>
        </w:rPr>
        <w:t>However, </w:t>
      </w:r>
      <w:r>
        <w:rPr>
          <w:w w:val="105"/>
          <w:sz w:val="21"/>
        </w:rPr>
        <w:t>barrister Andrew </w:t>
      </w:r>
      <w:r>
        <w:rPr>
          <w:spacing w:val="-3"/>
          <w:w w:val="105"/>
          <w:sz w:val="21"/>
        </w:rPr>
        <w:t>Verspaandonk </w:t>
      </w:r>
      <w:r>
        <w:rPr>
          <w:w w:val="105"/>
          <w:sz w:val="21"/>
        </w:rPr>
        <w:t>warned </w:t>
      </w:r>
      <w:r>
        <w:rPr>
          <w:spacing w:val="-3"/>
          <w:w w:val="105"/>
          <w:sz w:val="21"/>
        </w:rPr>
        <w:t>that </w:t>
      </w:r>
      <w:r>
        <w:rPr>
          <w:w w:val="105"/>
          <w:sz w:val="21"/>
        </w:rPr>
        <w:t>a </w:t>
      </w:r>
      <w:r>
        <w:rPr>
          <w:spacing w:val="-3"/>
          <w:w w:val="105"/>
          <w:sz w:val="21"/>
        </w:rPr>
        <w:t>legislatively </w:t>
      </w:r>
      <w:r>
        <w:rPr>
          <w:w w:val="105"/>
          <w:sz w:val="21"/>
        </w:rPr>
        <w:t>stated </w:t>
      </w:r>
      <w:r>
        <w:rPr>
          <w:spacing w:val="-3"/>
          <w:w w:val="105"/>
          <w:sz w:val="21"/>
        </w:rPr>
        <w:t>presumption that </w:t>
      </w:r>
      <w:r>
        <w:rPr>
          <w:w w:val="105"/>
          <w:sz w:val="21"/>
        </w:rPr>
        <w:t>an </w:t>
      </w:r>
      <w:r>
        <w:rPr>
          <w:spacing w:val="-3"/>
          <w:w w:val="105"/>
          <w:sz w:val="21"/>
        </w:rPr>
        <w:t>unsuccessful</w:t>
      </w:r>
      <w:r>
        <w:rPr>
          <w:spacing w:val="-9"/>
          <w:w w:val="105"/>
          <w:sz w:val="21"/>
        </w:rPr>
        <w:t> </w:t>
      </w:r>
      <w:r>
        <w:rPr>
          <w:w w:val="105"/>
          <w:sz w:val="21"/>
        </w:rPr>
        <w:t>plaintiff</w:t>
      </w:r>
      <w:r>
        <w:rPr>
          <w:spacing w:val="-8"/>
          <w:w w:val="105"/>
          <w:sz w:val="21"/>
        </w:rPr>
        <w:t> </w:t>
      </w:r>
      <w:r>
        <w:rPr>
          <w:w w:val="105"/>
          <w:sz w:val="21"/>
        </w:rPr>
        <w:t>should</w:t>
      </w:r>
      <w:r>
        <w:rPr>
          <w:spacing w:val="-8"/>
          <w:w w:val="105"/>
          <w:sz w:val="21"/>
        </w:rPr>
        <w:t> </w:t>
      </w:r>
      <w:r>
        <w:rPr>
          <w:spacing w:val="-2"/>
          <w:w w:val="105"/>
          <w:sz w:val="21"/>
        </w:rPr>
        <w:t>not</w:t>
      </w:r>
      <w:r>
        <w:rPr>
          <w:spacing w:val="-8"/>
          <w:w w:val="105"/>
          <w:sz w:val="21"/>
        </w:rPr>
        <w:t> </w:t>
      </w:r>
      <w:r>
        <w:rPr>
          <w:spacing w:val="-3"/>
          <w:w w:val="105"/>
          <w:sz w:val="21"/>
        </w:rPr>
        <w:t>have</w:t>
      </w:r>
      <w:r>
        <w:rPr>
          <w:spacing w:val="-8"/>
          <w:w w:val="105"/>
          <w:sz w:val="21"/>
        </w:rPr>
        <w:t> </w:t>
      </w:r>
      <w:r>
        <w:rPr>
          <w:w w:val="105"/>
          <w:sz w:val="21"/>
        </w:rPr>
        <w:t>their</w:t>
      </w:r>
      <w:r>
        <w:rPr>
          <w:spacing w:val="-9"/>
          <w:w w:val="105"/>
          <w:sz w:val="21"/>
        </w:rPr>
        <w:t> </w:t>
      </w:r>
      <w:r>
        <w:rPr>
          <w:w w:val="105"/>
          <w:sz w:val="21"/>
        </w:rPr>
        <w:t>costs</w:t>
      </w:r>
      <w:r>
        <w:rPr>
          <w:spacing w:val="-8"/>
          <w:w w:val="105"/>
          <w:sz w:val="21"/>
        </w:rPr>
        <w:t> </w:t>
      </w:r>
      <w:r>
        <w:rPr>
          <w:w w:val="105"/>
          <w:sz w:val="21"/>
        </w:rPr>
        <w:t>paid</w:t>
      </w:r>
      <w:r>
        <w:rPr>
          <w:spacing w:val="-8"/>
          <w:w w:val="105"/>
          <w:sz w:val="21"/>
        </w:rPr>
        <w:t> </w:t>
      </w:r>
      <w:r>
        <w:rPr>
          <w:w w:val="105"/>
          <w:sz w:val="21"/>
        </w:rPr>
        <w:t>by</w:t>
      </w:r>
      <w:r>
        <w:rPr>
          <w:spacing w:val="-8"/>
          <w:w w:val="105"/>
          <w:sz w:val="21"/>
        </w:rPr>
        <w:t> </w:t>
      </w:r>
      <w:r>
        <w:rPr>
          <w:w w:val="105"/>
          <w:sz w:val="21"/>
        </w:rPr>
        <w:t>the</w:t>
      </w:r>
      <w:r>
        <w:rPr>
          <w:spacing w:val="-8"/>
          <w:w w:val="105"/>
          <w:sz w:val="21"/>
        </w:rPr>
        <w:t> </w:t>
      </w:r>
      <w:r>
        <w:rPr>
          <w:w w:val="105"/>
          <w:sz w:val="21"/>
        </w:rPr>
        <w:t>estate</w:t>
      </w:r>
      <w:r>
        <w:rPr>
          <w:spacing w:val="-9"/>
          <w:w w:val="105"/>
          <w:sz w:val="21"/>
        </w:rPr>
        <w:t> </w:t>
      </w:r>
      <w:r>
        <w:rPr>
          <w:spacing w:val="-3"/>
          <w:w w:val="105"/>
          <w:sz w:val="21"/>
        </w:rPr>
        <w:t>could</w:t>
      </w:r>
      <w:r>
        <w:rPr>
          <w:spacing w:val="-8"/>
          <w:w w:val="105"/>
          <w:sz w:val="21"/>
        </w:rPr>
        <w:t> </w:t>
      </w:r>
      <w:r>
        <w:rPr>
          <w:w w:val="105"/>
          <w:sz w:val="21"/>
        </w:rPr>
        <w:t>be</w:t>
      </w:r>
      <w:r>
        <w:rPr>
          <w:spacing w:val="-8"/>
          <w:w w:val="105"/>
          <w:sz w:val="21"/>
        </w:rPr>
        <w:t> </w:t>
      </w:r>
      <w:r>
        <w:rPr>
          <w:spacing w:val="-3"/>
          <w:w w:val="105"/>
          <w:sz w:val="21"/>
        </w:rPr>
        <w:t>‘interpreted </w:t>
      </w:r>
      <w:r>
        <w:rPr>
          <w:w w:val="105"/>
          <w:sz w:val="21"/>
        </w:rPr>
        <w:t>as a </w:t>
      </w:r>
      <w:r>
        <w:rPr>
          <w:spacing w:val="-3"/>
          <w:w w:val="105"/>
          <w:sz w:val="21"/>
        </w:rPr>
        <w:t>presumption that inhibited </w:t>
      </w:r>
      <w:r>
        <w:rPr>
          <w:w w:val="105"/>
          <w:sz w:val="21"/>
        </w:rPr>
        <w:t>the court </w:t>
      </w:r>
      <w:r>
        <w:rPr>
          <w:spacing w:val="-3"/>
          <w:w w:val="105"/>
          <w:sz w:val="21"/>
        </w:rPr>
        <w:t>from ordering that </w:t>
      </w:r>
      <w:r>
        <w:rPr>
          <w:w w:val="105"/>
          <w:sz w:val="21"/>
        </w:rPr>
        <w:t>an </w:t>
      </w:r>
      <w:r>
        <w:rPr>
          <w:spacing w:val="-3"/>
          <w:w w:val="105"/>
          <w:sz w:val="21"/>
        </w:rPr>
        <w:t>unsuccessful </w:t>
      </w:r>
      <w:r>
        <w:rPr>
          <w:w w:val="105"/>
          <w:sz w:val="21"/>
        </w:rPr>
        <w:t>plaintiff </w:t>
      </w:r>
      <w:r>
        <w:rPr>
          <w:spacing w:val="-2"/>
          <w:w w:val="105"/>
          <w:sz w:val="21"/>
        </w:rPr>
        <w:t>pay </w:t>
      </w:r>
      <w:r>
        <w:rPr>
          <w:w w:val="105"/>
          <w:sz w:val="21"/>
        </w:rPr>
        <w:t>the </w:t>
      </w:r>
      <w:r>
        <w:rPr>
          <w:spacing w:val="-3"/>
          <w:w w:val="105"/>
          <w:sz w:val="21"/>
        </w:rPr>
        <w:t>estate’s </w:t>
      </w:r>
      <w:r>
        <w:rPr>
          <w:w w:val="105"/>
          <w:sz w:val="21"/>
        </w:rPr>
        <w:t>costs in an </w:t>
      </w:r>
      <w:r>
        <w:rPr>
          <w:spacing w:val="-3"/>
          <w:w w:val="105"/>
          <w:sz w:val="21"/>
        </w:rPr>
        <w:t>appropriate</w:t>
      </w:r>
      <w:r>
        <w:rPr>
          <w:spacing w:val="32"/>
          <w:w w:val="105"/>
          <w:sz w:val="21"/>
        </w:rPr>
        <w:t> </w:t>
      </w:r>
      <w:r>
        <w:rPr>
          <w:spacing w:val="-4"/>
          <w:w w:val="105"/>
          <w:sz w:val="21"/>
        </w:rPr>
        <w:t>case’.</w:t>
      </w:r>
      <w:r>
        <w:rPr>
          <w:spacing w:val="-4"/>
          <w:w w:val="105"/>
          <w:position w:val="7"/>
          <w:sz w:val="12"/>
        </w:rPr>
        <w:t>202</w:t>
      </w:r>
    </w:p>
    <w:p>
      <w:pPr>
        <w:pStyle w:val="ListParagraph"/>
        <w:numPr>
          <w:ilvl w:val="1"/>
          <w:numId w:val="82"/>
        </w:numPr>
        <w:tabs>
          <w:tab w:pos="2380" w:val="left" w:leader="none"/>
          <w:tab w:pos="2381" w:val="left" w:leader="none"/>
        </w:tabs>
        <w:spacing w:line="242" w:lineRule="auto" w:before="129" w:after="0"/>
        <w:ind w:left="2381" w:right="1653" w:hanging="794"/>
        <w:jc w:val="left"/>
        <w:rPr>
          <w:sz w:val="12"/>
        </w:rPr>
      </w:pPr>
      <w:r>
        <w:rPr>
          <w:spacing w:val="-3"/>
          <w:w w:val="105"/>
          <w:sz w:val="21"/>
        </w:rPr>
        <w:t>Several submissions considered that, </w:t>
      </w:r>
      <w:r>
        <w:rPr>
          <w:w w:val="105"/>
          <w:sz w:val="21"/>
        </w:rPr>
        <w:t>in addition </w:t>
      </w:r>
      <w:r>
        <w:rPr>
          <w:spacing w:val="-3"/>
          <w:w w:val="105"/>
          <w:sz w:val="21"/>
        </w:rPr>
        <w:t>to </w:t>
      </w:r>
      <w:r>
        <w:rPr>
          <w:w w:val="105"/>
          <w:sz w:val="21"/>
        </w:rPr>
        <w:t>the </w:t>
      </w:r>
      <w:r>
        <w:rPr>
          <w:spacing w:val="-3"/>
          <w:w w:val="105"/>
          <w:sz w:val="21"/>
        </w:rPr>
        <w:t>presumption that </w:t>
      </w:r>
      <w:r>
        <w:rPr>
          <w:w w:val="105"/>
          <w:sz w:val="21"/>
        </w:rPr>
        <w:t>the </w:t>
      </w:r>
      <w:r>
        <w:rPr>
          <w:spacing w:val="-3"/>
          <w:w w:val="105"/>
          <w:sz w:val="21"/>
        </w:rPr>
        <w:t>unsuccessful applicant</w:t>
      </w:r>
      <w:r>
        <w:rPr>
          <w:spacing w:val="-8"/>
          <w:w w:val="105"/>
          <w:sz w:val="21"/>
        </w:rPr>
        <w:t> </w:t>
      </w:r>
      <w:r>
        <w:rPr>
          <w:w w:val="105"/>
          <w:sz w:val="21"/>
        </w:rPr>
        <w:t>should</w:t>
      </w:r>
      <w:r>
        <w:rPr>
          <w:spacing w:val="-7"/>
          <w:w w:val="105"/>
          <w:sz w:val="21"/>
        </w:rPr>
        <w:t> </w:t>
      </w:r>
      <w:r>
        <w:rPr>
          <w:spacing w:val="-2"/>
          <w:w w:val="105"/>
          <w:sz w:val="21"/>
        </w:rPr>
        <w:t>not</w:t>
      </w:r>
      <w:r>
        <w:rPr>
          <w:spacing w:val="-7"/>
          <w:w w:val="105"/>
          <w:sz w:val="21"/>
        </w:rPr>
        <w:t> </w:t>
      </w:r>
      <w:r>
        <w:rPr>
          <w:spacing w:val="-3"/>
          <w:w w:val="105"/>
          <w:sz w:val="21"/>
        </w:rPr>
        <w:t>have</w:t>
      </w:r>
      <w:r>
        <w:rPr>
          <w:spacing w:val="-7"/>
          <w:w w:val="105"/>
          <w:sz w:val="21"/>
        </w:rPr>
        <w:t> </w:t>
      </w:r>
      <w:r>
        <w:rPr>
          <w:w w:val="105"/>
          <w:sz w:val="21"/>
        </w:rPr>
        <w:t>their</w:t>
      </w:r>
      <w:r>
        <w:rPr>
          <w:spacing w:val="-7"/>
          <w:w w:val="105"/>
          <w:sz w:val="21"/>
        </w:rPr>
        <w:t> </w:t>
      </w:r>
      <w:r>
        <w:rPr>
          <w:w w:val="105"/>
          <w:sz w:val="21"/>
        </w:rPr>
        <w:t>costs</w:t>
      </w:r>
      <w:r>
        <w:rPr>
          <w:spacing w:val="-7"/>
          <w:w w:val="105"/>
          <w:sz w:val="21"/>
        </w:rPr>
        <w:t> </w:t>
      </w:r>
      <w:r>
        <w:rPr>
          <w:w w:val="105"/>
          <w:sz w:val="21"/>
        </w:rPr>
        <w:t>paid</w:t>
      </w:r>
      <w:r>
        <w:rPr>
          <w:spacing w:val="-7"/>
          <w:w w:val="105"/>
          <w:sz w:val="21"/>
        </w:rPr>
        <w:t> </w:t>
      </w:r>
      <w:r>
        <w:rPr>
          <w:w w:val="105"/>
          <w:sz w:val="21"/>
        </w:rPr>
        <w:t>by</w:t>
      </w:r>
      <w:r>
        <w:rPr>
          <w:spacing w:val="-7"/>
          <w:w w:val="105"/>
          <w:sz w:val="21"/>
        </w:rPr>
        <w:t> </w:t>
      </w:r>
      <w:r>
        <w:rPr>
          <w:w w:val="105"/>
          <w:sz w:val="21"/>
        </w:rPr>
        <w:t>the</w:t>
      </w:r>
      <w:r>
        <w:rPr>
          <w:spacing w:val="-7"/>
          <w:w w:val="105"/>
          <w:sz w:val="21"/>
        </w:rPr>
        <w:t> </w:t>
      </w:r>
      <w:r>
        <w:rPr>
          <w:spacing w:val="-3"/>
          <w:w w:val="105"/>
          <w:sz w:val="21"/>
        </w:rPr>
        <w:t>estate,</w:t>
      </w:r>
      <w:r>
        <w:rPr>
          <w:spacing w:val="-8"/>
          <w:w w:val="105"/>
          <w:sz w:val="21"/>
        </w:rPr>
        <w:t> </w:t>
      </w:r>
      <w:r>
        <w:rPr>
          <w:w w:val="105"/>
          <w:sz w:val="21"/>
        </w:rPr>
        <w:t>the</w:t>
      </w:r>
      <w:r>
        <w:rPr>
          <w:spacing w:val="-7"/>
          <w:w w:val="105"/>
          <w:sz w:val="21"/>
        </w:rPr>
        <w:t> </w:t>
      </w:r>
      <w:r>
        <w:rPr>
          <w:w w:val="105"/>
          <w:sz w:val="21"/>
        </w:rPr>
        <w:t>starting</w:t>
      </w:r>
      <w:r>
        <w:rPr>
          <w:spacing w:val="-7"/>
          <w:w w:val="105"/>
          <w:sz w:val="21"/>
        </w:rPr>
        <w:t> </w:t>
      </w:r>
      <w:r>
        <w:rPr>
          <w:w w:val="105"/>
          <w:sz w:val="21"/>
        </w:rPr>
        <w:t>point</w:t>
      </w:r>
      <w:r>
        <w:rPr>
          <w:spacing w:val="-7"/>
          <w:w w:val="105"/>
          <w:sz w:val="21"/>
        </w:rPr>
        <w:t> </w:t>
      </w:r>
      <w:r>
        <w:rPr>
          <w:w w:val="105"/>
          <w:sz w:val="21"/>
        </w:rPr>
        <w:t>should</w:t>
      </w:r>
      <w:r>
        <w:rPr>
          <w:spacing w:val="-7"/>
          <w:w w:val="105"/>
          <w:sz w:val="21"/>
        </w:rPr>
        <w:t> </w:t>
      </w:r>
      <w:r>
        <w:rPr>
          <w:w w:val="105"/>
          <w:sz w:val="21"/>
        </w:rPr>
        <w:t>then</w:t>
      </w:r>
      <w:r>
        <w:rPr>
          <w:spacing w:val="-7"/>
          <w:w w:val="105"/>
          <w:sz w:val="21"/>
        </w:rPr>
        <w:t> </w:t>
      </w:r>
      <w:r>
        <w:rPr>
          <w:w w:val="105"/>
          <w:sz w:val="21"/>
        </w:rPr>
        <w:t>be </w:t>
      </w:r>
      <w:r>
        <w:rPr>
          <w:spacing w:val="-3"/>
          <w:w w:val="105"/>
          <w:sz w:val="21"/>
        </w:rPr>
        <w:t>that </w:t>
      </w:r>
      <w:r>
        <w:rPr>
          <w:w w:val="105"/>
          <w:sz w:val="21"/>
        </w:rPr>
        <w:t>the </w:t>
      </w:r>
      <w:r>
        <w:rPr>
          <w:spacing w:val="-3"/>
          <w:w w:val="105"/>
          <w:sz w:val="21"/>
        </w:rPr>
        <w:t>unsuccessful applicant </w:t>
      </w:r>
      <w:r>
        <w:rPr>
          <w:w w:val="105"/>
          <w:sz w:val="21"/>
        </w:rPr>
        <w:t>bears their own costs.</w:t>
      </w:r>
      <w:r>
        <w:rPr>
          <w:w w:val="105"/>
          <w:position w:val="7"/>
          <w:sz w:val="12"/>
        </w:rPr>
        <w:t>203 </w:t>
      </w:r>
      <w:r>
        <w:rPr>
          <w:w w:val="105"/>
          <w:sz w:val="21"/>
        </w:rPr>
        <w:t>Others </w:t>
      </w:r>
      <w:r>
        <w:rPr>
          <w:spacing w:val="-3"/>
          <w:w w:val="105"/>
          <w:sz w:val="21"/>
        </w:rPr>
        <w:t>thought that </w:t>
      </w:r>
      <w:r>
        <w:rPr>
          <w:w w:val="105"/>
          <w:sz w:val="21"/>
        </w:rPr>
        <w:t>the starting point should be </w:t>
      </w:r>
      <w:r>
        <w:rPr>
          <w:spacing w:val="-3"/>
          <w:w w:val="105"/>
          <w:sz w:val="21"/>
        </w:rPr>
        <w:t>that </w:t>
      </w:r>
      <w:r>
        <w:rPr>
          <w:w w:val="105"/>
          <w:sz w:val="21"/>
        </w:rPr>
        <w:t>costs </w:t>
      </w:r>
      <w:r>
        <w:rPr>
          <w:spacing w:val="-3"/>
          <w:w w:val="105"/>
          <w:sz w:val="21"/>
        </w:rPr>
        <w:t>follow </w:t>
      </w:r>
      <w:r>
        <w:rPr>
          <w:w w:val="105"/>
          <w:sz w:val="21"/>
        </w:rPr>
        <w:t>the </w:t>
      </w:r>
      <w:r>
        <w:rPr>
          <w:spacing w:val="-3"/>
          <w:w w:val="105"/>
          <w:sz w:val="21"/>
        </w:rPr>
        <w:t>event </w:t>
      </w:r>
      <w:r>
        <w:rPr>
          <w:w w:val="105"/>
          <w:sz w:val="21"/>
        </w:rPr>
        <w:t>(and the </w:t>
      </w:r>
      <w:r>
        <w:rPr>
          <w:spacing w:val="-3"/>
          <w:w w:val="105"/>
          <w:sz w:val="21"/>
        </w:rPr>
        <w:t>unsuccessful applicant </w:t>
      </w:r>
      <w:r>
        <w:rPr>
          <w:w w:val="105"/>
          <w:sz w:val="21"/>
        </w:rPr>
        <w:t>pays the </w:t>
      </w:r>
      <w:r>
        <w:rPr>
          <w:spacing w:val="-3"/>
          <w:w w:val="105"/>
          <w:sz w:val="21"/>
        </w:rPr>
        <w:t>defendant </w:t>
      </w:r>
      <w:r>
        <w:rPr>
          <w:w w:val="105"/>
          <w:sz w:val="21"/>
        </w:rPr>
        <w:t>personal </w:t>
      </w:r>
      <w:r>
        <w:rPr>
          <w:spacing w:val="-3"/>
          <w:w w:val="105"/>
          <w:sz w:val="21"/>
        </w:rPr>
        <w:t>representative’s </w:t>
      </w:r>
      <w:r>
        <w:rPr>
          <w:w w:val="105"/>
          <w:sz w:val="21"/>
        </w:rPr>
        <w:t>costs).</w:t>
      </w:r>
      <w:r>
        <w:rPr>
          <w:w w:val="105"/>
          <w:position w:val="7"/>
          <w:sz w:val="12"/>
        </w:rPr>
        <w:t>204 </w:t>
      </w:r>
      <w:r>
        <w:rPr>
          <w:w w:val="105"/>
          <w:sz w:val="21"/>
        </w:rPr>
        <w:t>The </w:t>
      </w:r>
      <w:r>
        <w:rPr>
          <w:spacing w:val="-3"/>
          <w:w w:val="105"/>
          <w:sz w:val="21"/>
        </w:rPr>
        <w:t>Supreme Court </w:t>
      </w:r>
      <w:r>
        <w:rPr>
          <w:w w:val="105"/>
          <w:sz w:val="21"/>
        </w:rPr>
        <w:t>of </w:t>
      </w:r>
      <w:r>
        <w:rPr>
          <w:spacing w:val="-3"/>
          <w:w w:val="105"/>
          <w:sz w:val="21"/>
        </w:rPr>
        <w:t>Victoria’s submission cited </w:t>
      </w:r>
      <w:r>
        <w:rPr>
          <w:i/>
          <w:w w:val="105"/>
          <w:sz w:val="21"/>
        </w:rPr>
        <w:t>Webb v Ryan </w:t>
      </w:r>
      <w:r>
        <w:rPr>
          <w:w w:val="105"/>
          <w:sz w:val="21"/>
        </w:rPr>
        <w:t>and suggested </w:t>
      </w:r>
      <w:r>
        <w:rPr>
          <w:spacing w:val="-3"/>
          <w:w w:val="105"/>
          <w:sz w:val="21"/>
        </w:rPr>
        <w:t>that </w:t>
      </w:r>
      <w:r>
        <w:rPr>
          <w:w w:val="105"/>
          <w:sz w:val="21"/>
        </w:rPr>
        <w:t>general cost </w:t>
      </w:r>
      <w:r>
        <w:rPr>
          <w:spacing w:val="-3"/>
          <w:w w:val="105"/>
          <w:sz w:val="21"/>
        </w:rPr>
        <w:t>principles could </w:t>
      </w:r>
      <w:r>
        <w:rPr>
          <w:w w:val="105"/>
          <w:sz w:val="21"/>
        </w:rPr>
        <w:t>apply in </w:t>
      </w:r>
      <w:r>
        <w:rPr>
          <w:spacing w:val="-3"/>
          <w:w w:val="105"/>
          <w:sz w:val="21"/>
        </w:rPr>
        <w:t>family provision </w:t>
      </w:r>
      <w:r>
        <w:rPr>
          <w:w w:val="105"/>
          <w:sz w:val="21"/>
        </w:rPr>
        <w:t>proceedings—which would be </w:t>
      </w:r>
      <w:r>
        <w:rPr>
          <w:spacing w:val="-3"/>
          <w:w w:val="105"/>
          <w:sz w:val="21"/>
        </w:rPr>
        <w:t>that </w:t>
      </w:r>
      <w:r>
        <w:rPr>
          <w:w w:val="105"/>
          <w:sz w:val="21"/>
        </w:rPr>
        <w:t>costs </w:t>
      </w:r>
      <w:r>
        <w:rPr>
          <w:spacing w:val="-3"/>
          <w:w w:val="105"/>
          <w:sz w:val="21"/>
        </w:rPr>
        <w:t>follow </w:t>
      </w:r>
      <w:r>
        <w:rPr>
          <w:w w:val="105"/>
          <w:sz w:val="21"/>
        </w:rPr>
        <w:t>the event.</w:t>
      </w:r>
      <w:r>
        <w:rPr>
          <w:w w:val="105"/>
          <w:position w:val="7"/>
          <w:sz w:val="12"/>
        </w:rPr>
        <w:t>205  </w:t>
      </w:r>
      <w:r>
        <w:rPr>
          <w:w w:val="105"/>
          <w:sz w:val="21"/>
        </w:rPr>
        <w:t>Some members of the </w:t>
      </w:r>
      <w:r>
        <w:rPr>
          <w:spacing w:val="-4"/>
          <w:w w:val="105"/>
          <w:sz w:val="21"/>
        </w:rPr>
        <w:t>Commission’s </w:t>
      </w:r>
      <w:r>
        <w:rPr>
          <w:spacing w:val="-3"/>
          <w:w w:val="105"/>
          <w:sz w:val="21"/>
        </w:rPr>
        <w:t>succession </w:t>
      </w:r>
      <w:r>
        <w:rPr>
          <w:w w:val="105"/>
          <w:sz w:val="21"/>
        </w:rPr>
        <w:t>laws advisory committee supported this </w:t>
      </w:r>
      <w:r>
        <w:rPr>
          <w:spacing w:val="-3"/>
          <w:w w:val="105"/>
          <w:sz w:val="21"/>
        </w:rPr>
        <w:t>approach, while </w:t>
      </w:r>
      <w:r>
        <w:rPr>
          <w:w w:val="105"/>
          <w:sz w:val="21"/>
        </w:rPr>
        <w:t>others</w:t>
      </w:r>
      <w:r>
        <w:rPr>
          <w:spacing w:val="-6"/>
          <w:w w:val="105"/>
          <w:sz w:val="21"/>
        </w:rPr>
        <w:t> </w:t>
      </w:r>
      <w:r>
        <w:rPr>
          <w:spacing w:val="-3"/>
          <w:w w:val="105"/>
          <w:sz w:val="21"/>
        </w:rPr>
        <w:t>considered</w:t>
      </w:r>
      <w:r>
        <w:rPr>
          <w:spacing w:val="-5"/>
          <w:w w:val="105"/>
          <w:sz w:val="21"/>
        </w:rPr>
        <w:t> </w:t>
      </w:r>
      <w:r>
        <w:rPr>
          <w:spacing w:val="-3"/>
          <w:w w:val="105"/>
          <w:sz w:val="21"/>
        </w:rPr>
        <w:t>that</w:t>
      </w:r>
      <w:r>
        <w:rPr>
          <w:spacing w:val="-5"/>
          <w:w w:val="105"/>
          <w:sz w:val="21"/>
        </w:rPr>
        <w:t> </w:t>
      </w:r>
      <w:r>
        <w:rPr>
          <w:w w:val="105"/>
          <w:sz w:val="21"/>
        </w:rPr>
        <w:t>it</w:t>
      </w:r>
      <w:r>
        <w:rPr>
          <w:spacing w:val="-5"/>
          <w:w w:val="105"/>
          <w:sz w:val="21"/>
        </w:rPr>
        <w:t> </w:t>
      </w:r>
      <w:r>
        <w:rPr>
          <w:w w:val="105"/>
          <w:sz w:val="21"/>
        </w:rPr>
        <w:t>would</w:t>
      </w:r>
      <w:r>
        <w:rPr>
          <w:spacing w:val="-5"/>
          <w:w w:val="105"/>
          <w:sz w:val="21"/>
        </w:rPr>
        <w:t> </w:t>
      </w:r>
      <w:r>
        <w:rPr>
          <w:w w:val="105"/>
          <w:sz w:val="21"/>
        </w:rPr>
        <w:t>operate</w:t>
      </w:r>
      <w:r>
        <w:rPr>
          <w:spacing w:val="-5"/>
          <w:w w:val="105"/>
          <w:sz w:val="21"/>
        </w:rPr>
        <w:t> </w:t>
      </w:r>
      <w:r>
        <w:rPr>
          <w:w w:val="105"/>
          <w:sz w:val="21"/>
        </w:rPr>
        <w:t>too</w:t>
      </w:r>
      <w:r>
        <w:rPr>
          <w:spacing w:val="-6"/>
          <w:w w:val="105"/>
          <w:sz w:val="21"/>
        </w:rPr>
        <w:t> </w:t>
      </w:r>
      <w:r>
        <w:rPr>
          <w:w w:val="105"/>
          <w:sz w:val="21"/>
        </w:rPr>
        <w:t>harshly</w:t>
      </w:r>
      <w:r>
        <w:rPr>
          <w:spacing w:val="-5"/>
          <w:w w:val="105"/>
          <w:sz w:val="21"/>
        </w:rPr>
        <w:t> </w:t>
      </w:r>
      <w:r>
        <w:rPr>
          <w:w w:val="105"/>
          <w:sz w:val="21"/>
        </w:rPr>
        <w:t>in</w:t>
      </w:r>
      <w:r>
        <w:rPr>
          <w:spacing w:val="-5"/>
          <w:w w:val="105"/>
          <w:sz w:val="21"/>
        </w:rPr>
        <w:t> </w:t>
      </w:r>
      <w:r>
        <w:rPr>
          <w:spacing w:val="-3"/>
          <w:w w:val="105"/>
          <w:sz w:val="21"/>
        </w:rPr>
        <w:t>family</w:t>
      </w:r>
      <w:r>
        <w:rPr>
          <w:spacing w:val="-5"/>
          <w:w w:val="105"/>
          <w:sz w:val="21"/>
        </w:rPr>
        <w:t> </w:t>
      </w:r>
      <w:r>
        <w:rPr>
          <w:spacing w:val="-3"/>
          <w:w w:val="105"/>
          <w:sz w:val="21"/>
        </w:rPr>
        <w:t>provision</w:t>
      </w:r>
      <w:r>
        <w:rPr>
          <w:spacing w:val="-5"/>
          <w:w w:val="105"/>
          <w:sz w:val="21"/>
        </w:rPr>
        <w:t> </w:t>
      </w:r>
      <w:r>
        <w:rPr>
          <w:w w:val="105"/>
          <w:sz w:val="21"/>
        </w:rPr>
        <w:t>proceedings.</w:t>
      </w:r>
      <w:r>
        <w:rPr>
          <w:w w:val="105"/>
          <w:position w:val="7"/>
          <w:sz w:val="12"/>
        </w:rPr>
        <w:t>206</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5"/>
        </w:rPr>
      </w:pPr>
      <w:r>
        <w:rPr/>
        <w:pict>
          <v:line style="position:absolute;mso-position-horizontal-relative:page;mso-position-vertical-relative:paragraph;z-index:7328;mso-wrap-distance-left:0;mso-wrap-distance-right:0" from="79.370102pt,11.790528pt" to="515.905102pt,11.790528pt" stroked="true" strokeweight="1pt" strokecolor="#f9ceca">
            <v:stroke dashstyle="solid"/>
            <w10:wrap type="topAndBottom"/>
          </v:line>
        </w:pict>
      </w:r>
    </w:p>
    <w:p>
      <w:pPr>
        <w:pStyle w:val="BodyText"/>
        <w:spacing w:before="8"/>
        <w:rPr>
          <w:sz w:val="5"/>
        </w:rPr>
      </w:pPr>
    </w:p>
    <w:p>
      <w:pPr>
        <w:spacing w:after="0"/>
        <w:rPr>
          <w:sz w:val="5"/>
        </w:rPr>
        <w:sectPr>
          <w:pgSz w:w="11910" w:h="16840"/>
          <w:pgMar w:header="805" w:footer="0" w:top="1360" w:bottom="280" w:left="0" w:right="0"/>
        </w:sectPr>
      </w:pPr>
    </w:p>
    <w:p>
      <w:pPr>
        <w:tabs>
          <w:tab w:pos="2380" w:val="left" w:leader="none"/>
        </w:tabs>
        <w:spacing w:before="48"/>
        <w:ind w:left="1587" w:right="0" w:firstLine="0"/>
        <w:jc w:val="left"/>
        <w:rPr>
          <w:sz w:val="13"/>
        </w:rPr>
      </w:pPr>
      <w:r>
        <w:rPr>
          <w:w w:val="105"/>
          <w:sz w:val="13"/>
        </w:rPr>
        <w:t>196</w:t>
        <w:tab/>
        <w:t>Victorian Law Reform Commission, above n 2,</w:t>
      </w:r>
      <w:r>
        <w:rPr>
          <w:spacing w:val="2"/>
          <w:w w:val="105"/>
          <w:sz w:val="13"/>
        </w:rPr>
        <w:t> </w:t>
      </w:r>
      <w:r>
        <w:rPr>
          <w:w w:val="105"/>
          <w:sz w:val="13"/>
        </w:rPr>
        <w:t>41–2.</w:t>
      </w:r>
    </w:p>
    <w:p>
      <w:pPr>
        <w:tabs>
          <w:tab w:pos="2380" w:val="left" w:leader="none"/>
        </w:tabs>
        <w:spacing w:before="1"/>
        <w:ind w:left="1587" w:right="0" w:firstLine="0"/>
        <w:jc w:val="left"/>
        <w:rPr>
          <w:sz w:val="13"/>
        </w:rPr>
      </w:pPr>
      <w:r>
        <w:rPr>
          <w:w w:val="105"/>
          <w:sz w:val="13"/>
        </w:rPr>
        <w:t>197</w:t>
        <w:tab/>
      </w:r>
      <w:r>
        <w:rPr>
          <w:i/>
          <w:w w:val="105"/>
          <w:sz w:val="13"/>
        </w:rPr>
        <w:t>Webb</w:t>
      </w:r>
      <w:r>
        <w:rPr>
          <w:i/>
          <w:spacing w:val="3"/>
          <w:w w:val="105"/>
          <w:sz w:val="13"/>
        </w:rPr>
        <w:t> </w:t>
      </w:r>
      <w:r>
        <w:rPr>
          <w:i/>
          <w:w w:val="105"/>
          <w:sz w:val="13"/>
        </w:rPr>
        <w:t>v</w:t>
      </w:r>
      <w:r>
        <w:rPr>
          <w:i/>
          <w:spacing w:val="4"/>
          <w:w w:val="105"/>
          <w:sz w:val="13"/>
        </w:rPr>
        <w:t> </w:t>
      </w:r>
      <w:r>
        <w:rPr>
          <w:i/>
          <w:w w:val="105"/>
          <w:sz w:val="13"/>
        </w:rPr>
        <w:t>Ryan</w:t>
      </w:r>
      <w:r>
        <w:rPr>
          <w:i/>
          <w:spacing w:val="3"/>
          <w:w w:val="105"/>
          <w:sz w:val="13"/>
        </w:rPr>
        <w:t> </w:t>
      </w:r>
      <w:r>
        <w:rPr>
          <w:i/>
          <w:w w:val="105"/>
          <w:sz w:val="13"/>
        </w:rPr>
        <w:t>(Costs)</w:t>
      </w:r>
      <w:r>
        <w:rPr>
          <w:i/>
          <w:spacing w:val="5"/>
          <w:w w:val="105"/>
          <w:sz w:val="13"/>
        </w:rPr>
        <w:t> </w:t>
      </w:r>
      <w:r>
        <w:rPr>
          <w:w w:val="105"/>
          <w:sz w:val="13"/>
        </w:rPr>
        <w:t>[2012]</w:t>
      </w:r>
      <w:r>
        <w:rPr>
          <w:spacing w:val="5"/>
          <w:w w:val="105"/>
          <w:sz w:val="13"/>
        </w:rPr>
        <w:t> </w:t>
      </w:r>
      <w:r>
        <w:rPr>
          <w:w w:val="105"/>
          <w:sz w:val="13"/>
        </w:rPr>
        <w:t>VSC</w:t>
      </w:r>
      <w:r>
        <w:rPr>
          <w:spacing w:val="4"/>
          <w:w w:val="105"/>
          <w:sz w:val="13"/>
        </w:rPr>
        <w:t> </w:t>
      </w:r>
      <w:r>
        <w:rPr>
          <w:w w:val="105"/>
          <w:sz w:val="13"/>
        </w:rPr>
        <w:t>431</w:t>
      </w:r>
      <w:r>
        <w:rPr>
          <w:spacing w:val="5"/>
          <w:w w:val="105"/>
          <w:sz w:val="13"/>
        </w:rPr>
        <w:t> </w:t>
      </w:r>
      <w:r>
        <w:rPr>
          <w:w w:val="105"/>
          <w:sz w:val="13"/>
        </w:rPr>
        <w:t>(20</w:t>
      </w:r>
      <w:r>
        <w:rPr>
          <w:spacing w:val="4"/>
          <w:w w:val="105"/>
          <w:sz w:val="13"/>
        </w:rPr>
        <w:t> </w:t>
      </w:r>
      <w:r>
        <w:rPr>
          <w:w w:val="105"/>
          <w:sz w:val="13"/>
        </w:rPr>
        <w:t>September</w:t>
      </w:r>
      <w:r>
        <w:rPr>
          <w:spacing w:val="5"/>
          <w:w w:val="105"/>
          <w:sz w:val="13"/>
        </w:rPr>
        <w:t> </w:t>
      </w:r>
      <w:r>
        <w:rPr>
          <w:w w:val="105"/>
          <w:sz w:val="13"/>
        </w:rPr>
        <w:t>2012)</w:t>
      </w:r>
      <w:r>
        <w:rPr>
          <w:spacing w:val="5"/>
          <w:w w:val="105"/>
          <w:sz w:val="13"/>
        </w:rPr>
        <w:t> </w:t>
      </w:r>
      <w:r>
        <w:rPr>
          <w:spacing w:val="4"/>
          <w:w w:val="105"/>
          <w:sz w:val="13"/>
        </w:rPr>
        <w:t>[37]–[38].</w:t>
      </w:r>
    </w:p>
    <w:p>
      <w:pPr>
        <w:pStyle w:val="ListParagraph"/>
        <w:numPr>
          <w:ilvl w:val="0"/>
          <w:numId w:val="91"/>
        </w:numPr>
        <w:tabs>
          <w:tab w:pos="2380" w:val="left" w:leader="none"/>
          <w:tab w:pos="2382" w:val="left" w:leader="none"/>
        </w:tabs>
        <w:spacing w:line="240" w:lineRule="auto" w:before="2" w:after="0"/>
        <w:ind w:left="2381" w:right="0" w:hanging="794"/>
        <w:jc w:val="left"/>
        <w:rPr>
          <w:sz w:val="13"/>
        </w:rPr>
      </w:pPr>
      <w:r>
        <w:rPr>
          <w:w w:val="105"/>
          <w:sz w:val="13"/>
        </w:rPr>
        <w:t>Submission 35 (Andrew</w:t>
      </w:r>
      <w:r>
        <w:rPr>
          <w:spacing w:val="14"/>
          <w:w w:val="105"/>
          <w:sz w:val="13"/>
        </w:rPr>
        <w:t> </w:t>
      </w:r>
      <w:r>
        <w:rPr>
          <w:w w:val="105"/>
          <w:sz w:val="13"/>
        </w:rPr>
        <w:t>Verspaandonk).</w:t>
      </w:r>
    </w:p>
    <w:p>
      <w:pPr>
        <w:pStyle w:val="ListParagraph"/>
        <w:numPr>
          <w:ilvl w:val="0"/>
          <w:numId w:val="91"/>
        </w:numPr>
        <w:tabs>
          <w:tab w:pos="2381" w:val="left" w:leader="none"/>
          <w:tab w:pos="2382" w:val="left" w:leader="none"/>
        </w:tabs>
        <w:spacing w:line="240" w:lineRule="auto" w:before="1" w:after="0"/>
        <w:ind w:left="2381" w:right="0" w:hanging="794"/>
        <w:jc w:val="left"/>
        <w:rPr>
          <w:sz w:val="13"/>
        </w:rPr>
      </w:pPr>
      <w:r>
        <w:rPr>
          <w:w w:val="105"/>
          <w:sz w:val="13"/>
        </w:rPr>
        <w:t>Submissions</w:t>
      </w:r>
      <w:r>
        <w:rPr>
          <w:spacing w:val="5"/>
          <w:w w:val="105"/>
          <w:sz w:val="13"/>
        </w:rPr>
        <w:t> </w:t>
      </w:r>
      <w:r>
        <w:rPr>
          <w:w w:val="105"/>
          <w:sz w:val="13"/>
        </w:rPr>
        <w:t>32</w:t>
      </w:r>
      <w:r>
        <w:rPr>
          <w:spacing w:val="5"/>
          <w:w w:val="105"/>
          <w:sz w:val="13"/>
        </w:rPr>
        <w:t> </w:t>
      </w:r>
      <w:r>
        <w:rPr>
          <w:spacing w:val="2"/>
          <w:w w:val="105"/>
          <w:sz w:val="13"/>
        </w:rPr>
        <w:t>(The</w:t>
      </w:r>
      <w:r>
        <w:rPr>
          <w:spacing w:val="6"/>
          <w:w w:val="105"/>
          <w:sz w:val="13"/>
        </w:rPr>
        <w:t> </w:t>
      </w:r>
      <w:r>
        <w:rPr>
          <w:w w:val="105"/>
          <w:sz w:val="13"/>
        </w:rPr>
        <w:t>Institute</w:t>
      </w:r>
      <w:r>
        <w:rPr>
          <w:spacing w:val="5"/>
          <w:w w:val="105"/>
          <w:sz w:val="13"/>
        </w:rPr>
        <w:t> </w:t>
      </w:r>
      <w:r>
        <w:rPr>
          <w:w w:val="105"/>
          <w:sz w:val="13"/>
        </w:rPr>
        <w:t>of</w:t>
      </w:r>
      <w:r>
        <w:rPr>
          <w:spacing w:val="6"/>
          <w:w w:val="105"/>
          <w:sz w:val="13"/>
        </w:rPr>
        <w:t> </w:t>
      </w:r>
      <w:r>
        <w:rPr>
          <w:w w:val="105"/>
          <w:sz w:val="13"/>
        </w:rPr>
        <w:t>Legal</w:t>
      </w:r>
      <w:r>
        <w:rPr>
          <w:spacing w:val="5"/>
          <w:w w:val="105"/>
          <w:sz w:val="13"/>
        </w:rPr>
        <w:t> </w:t>
      </w:r>
      <w:r>
        <w:rPr>
          <w:w w:val="105"/>
          <w:sz w:val="13"/>
        </w:rPr>
        <w:t>Executives);</w:t>
      </w:r>
      <w:r>
        <w:rPr>
          <w:spacing w:val="6"/>
          <w:w w:val="105"/>
          <w:sz w:val="13"/>
        </w:rPr>
        <w:t> </w:t>
      </w:r>
      <w:r>
        <w:rPr>
          <w:w w:val="105"/>
          <w:sz w:val="13"/>
        </w:rPr>
        <w:t>35</w:t>
      </w:r>
      <w:r>
        <w:rPr>
          <w:spacing w:val="5"/>
          <w:w w:val="105"/>
          <w:sz w:val="13"/>
        </w:rPr>
        <w:t> </w:t>
      </w:r>
      <w:r>
        <w:rPr>
          <w:w w:val="105"/>
          <w:sz w:val="13"/>
        </w:rPr>
        <w:t>(Andrew</w:t>
      </w:r>
      <w:r>
        <w:rPr>
          <w:spacing w:val="6"/>
          <w:w w:val="105"/>
          <w:sz w:val="13"/>
        </w:rPr>
        <w:t> </w:t>
      </w:r>
      <w:r>
        <w:rPr>
          <w:w w:val="105"/>
          <w:sz w:val="13"/>
        </w:rPr>
        <w:t>Verspaandonk);</w:t>
      </w:r>
      <w:r>
        <w:rPr>
          <w:spacing w:val="5"/>
          <w:w w:val="105"/>
          <w:sz w:val="13"/>
        </w:rPr>
        <w:t> </w:t>
      </w:r>
      <w:r>
        <w:rPr>
          <w:w w:val="105"/>
          <w:sz w:val="13"/>
        </w:rPr>
        <w:t>39</w:t>
      </w:r>
      <w:r>
        <w:rPr>
          <w:spacing w:val="6"/>
          <w:w w:val="105"/>
          <w:sz w:val="13"/>
        </w:rPr>
        <w:t> </w:t>
      </w:r>
      <w:r>
        <w:rPr>
          <w:w w:val="105"/>
          <w:sz w:val="13"/>
        </w:rPr>
        <w:t>(Carolyn</w:t>
      </w:r>
      <w:r>
        <w:rPr>
          <w:spacing w:val="5"/>
          <w:w w:val="105"/>
          <w:sz w:val="13"/>
        </w:rPr>
        <w:t> </w:t>
      </w:r>
      <w:r>
        <w:rPr>
          <w:w w:val="105"/>
          <w:sz w:val="13"/>
        </w:rPr>
        <w:t>Sparke</w:t>
      </w:r>
      <w:r>
        <w:rPr>
          <w:spacing w:val="6"/>
          <w:w w:val="105"/>
          <w:sz w:val="13"/>
        </w:rPr>
        <w:t> </w:t>
      </w:r>
      <w:r>
        <w:rPr>
          <w:w w:val="105"/>
          <w:sz w:val="13"/>
        </w:rPr>
        <w:t>SC).</w:t>
      </w:r>
    </w:p>
    <w:p>
      <w:pPr>
        <w:pStyle w:val="ListParagraph"/>
        <w:numPr>
          <w:ilvl w:val="0"/>
          <w:numId w:val="91"/>
        </w:numPr>
        <w:tabs>
          <w:tab w:pos="2381" w:val="left" w:leader="none"/>
          <w:tab w:pos="2382" w:val="left" w:leader="none"/>
        </w:tabs>
        <w:spacing w:line="240" w:lineRule="auto" w:before="1" w:after="0"/>
        <w:ind w:left="2381" w:right="0" w:hanging="794"/>
        <w:jc w:val="left"/>
        <w:rPr>
          <w:sz w:val="13"/>
        </w:rPr>
      </w:pPr>
      <w:r>
        <w:rPr>
          <w:sz w:val="13"/>
        </w:rPr>
        <w:t>Consultation</w:t>
      </w:r>
      <w:r>
        <w:rPr>
          <w:spacing w:val="16"/>
          <w:sz w:val="13"/>
        </w:rPr>
        <w:t> </w:t>
      </w:r>
      <w:r>
        <w:rPr>
          <w:sz w:val="13"/>
        </w:rPr>
        <w:t>3</w:t>
      </w:r>
      <w:r>
        <w:rPr>
          <w:spacing w:val="16"/>
          <w:sz w:val="13"/>
        </w:rPr>
        <w:t> </w:t>
      </w:r>
      <w:r>
        <w:rPr>
          <w:spacing w:val="2"/>
          <w:sz w:val="13"/>
        </w:rPr>
        <w:t>(Legal</w:t>
      </w:r>
      <w:r>
        <w:rPr>
          <w:spacing w:val="16"/>
          <w:sz w:val="13"/>
        </w:rPr>
        <w:t> </w:t>
      </w:r>
      <w:r>
        <w:rPr>
          <w:sz w:val="13"/>
        </w:rPr>
        <w:t>practitioners</w:t>
      </w:r>
      <w:r>
        <w:rPr>
          <w:spacing w:val="16"/>
          <w:sz w:val="13"/>
        </w:rPr>
        <w:t> </w:t>
      </w:r>
      <w:r>
        <w:rPr>
          <w:sz w:val="13"/>
        </w:rPr>
        <w:t>in</w:t>
      </w:r>
      <w:r>
        <w:rPr>
          <w:spacing w:val="16"/>
          <w:sz w:val="13"/>
        </w:rPr>
        <w:t> </w:t>
      </w:r>
      <w:r>
        <w:rPr>
          <w:sz w:val="13"/>
        </w:rPr>
        <w:t>the</w:t>
      </w:r>
      <w:r>
        <w:rPr>
          <w:spacing w:val="16"/>
          <w:sz w:val="13"/>
        </w:rPr>
        <w:t> </w:t>
      </w:r>
      <w:r>
        <w:rPr>
          <w:sz w:val="13"/>
        </w:rPr>
        <w:t>Goulburn</w:t>
      </w:r>
      <w:r>
        <w:rPr>
          <w:spacing w:val="16"/>
          <w:sz w:val="13"/>
        </w:rPr>
        <w:t> </w:t>
      </w:r>
      <w:r>
        <w:rPr>
          <w:sz w:val="13"/>
        </w:rPr>
        <w:t>Valley</w:t>
      </w:r>
      <w:r>
        <w:rPr>
          <w:spacing w:val="16"/>
          <w:sz w:val="13"/>
        </w:rPr>
        <w:t> </w:t>
      </w:r>
      <w:r>
        <w:rPr>
          <w:sz w:val="13"/>
        </w:rPr>
        <w:t>region).</w:t>
      </w:r>
      <w:r>
        <w:rPr>
          <w:spacing w:val="16"/>
          <w:sz w:val="13"/>
        </w:rPr>
        <w:t> </w:t>
      </w:r>
      <w:r>
        <w:rPr>
          <w:sz w:val="13"/>
        </w:rPr>
        <w:t>See</w:t>
      </w:r>
      <w:r>
        <w:rPr>
          <w:spacing w:val="16"/>
          <w:sz w:val="13"/>
        </w:rPr>
        <w:t> </w:t>
      </w:r>
      <w:r>
        <w:rPr>
          <w:sz w:val="13"/>
        </w:rPr>
        <w:t>also</w:t>
      </w:r>
      <w:r>
        <w:rPr>
          <w:spacing w:val="16"/>
          <w:sz w:val="13"/>
        </w:rPr>
        <w:t> </w:t>
      </w:r>
      <w:r>
        <w:rPr>
          <w:sz w:val="13"/>
        </w:rPr>
        <w:t>consultation</w:t>
      </w:r>
      <w:r>
        <w:rPr>
          <w:spacing w:val="16"/>
          <w:sz w:val="13"/>
        </w:rPr>
        <w:t> </w:t>
      </w:r>
      <w:r>
        <w:rPr>
          <w:sz w:val="13"/>
        </w:rPr>
        <w:t>18</w:t>
      </w:r>
      <w:r>
        <w:rPr>
          <w:spacing w:val="16"/>
          <w:sz w:val="13"/>
        </w:rPr>
        <w:t> </w:t>
      </w:r>
      <w:r>
        <w:rPr>
          <w:spacing w:val="2"/>
          <w:sz w:val="13"/>
        </w:rPr>
        <w:t>(Legal</w:t>
      </w:r>
      <w:r>
        <w:rPr>
          <w:spacing w:val="16"/>
          <w:sz w:val="13"/>
        </w:rPr>
        <w:t> </w:t>
      </w:r>
      <w:r>
        <w:rPr>
          <w:sz w:val="13"/>
        </w:rPr>
        <w:t>practitioners</w:t>
      </w:r>
      <w:r>
        <w:rPr>
          <w:spacing w:val="16"/>
          <w:sz w:val="13"/>
        </w:rPr>
        <w:t> </w:t>
      </w:r>
      <w:r>
        <w:rPr>
          <w:sz w:val="13"/>
        </w:rPr>
        <w:t>in</w:t>
      </w:r>
      <w:r>
        <w:rPr>
          <w:spacing w:val="16"/>
          <w:sz w:val="13"/>
        </w:rPr>
        <w:t> </w:t>
      </w:r>
      <w:r>
        <w:rPr>
          <w:sz w:val="13"/>
        </w:rPr>
        <w:t>Wodonga).</w:t>
      </w:r>
    </w:p>
    <w:p>
      <w:pPr>
        <w:pStyle w:val="ListParagraph"/>
        <w:numPr>
          <w:ilvl w:val="0"/>
          <w:numId w:val="91"/>
        </w:numPr>
        <w:tabs>
          <w:tab w:pos="2381" w:val="left" w:leader="none"/>
          <w:tab w:pos="2382" w:val="left" w:leader="none"/>
        </w:tabs>
        <w:spacing w:line="240" w:lineRule="auto" w:before="2" w:after="0"/>
        <w:ind w:left="2381" w:right="513" w:hanging="794"/>
        <w:jc w:val="left"/>
        <w:rPr>
          <w:sz w:val="13"/>
        </w:rPr>
      </w:pPr>
      <w:r>
        <w:rPr>
          <w:w w:val="105"/>
          <w:sz w:val="13"/>
        </w:rPr>
        <w:t>Submissions 1 </w:t>
      </w:r>
      <w:r>
        <w:rPr>
          <w:spacing w:val="2"/>
          <w:w w:val="105"/>
          <w:sz w:val="13"/>
        </w:rPr>
        <w:t>(Legal </w:t>
      </w:r>
      <w:r>
        <w:rPr>
          <w:w w:val="105"/>
          <w:sz w:val="13"/>
        </w:rPr>
        <w:t>Services Commissioner); </w:t>
      </w:r>
      <w:r>
        <w:rPr>
          <w:spacing w:val="-4"/>
          <w:w w:val="105"/>
          <w:sz w:val="13"/>
        </w:rPr>
        <w:t>13 </w:t>
      </w:r>
      <w:r>
        <w:rPr>
          <w:w w:val="105"/>
          <w:sz w:val="13"/>
        </w:rPr>
        <w:t>(David Shalders); </w:t>
      </w:r>
      <w:r>
        <w:rPr>
          <w:spacing w:val="-3"/>
          <w:w w:val="105"/>
          <w:sz w:val="13"/>
        </w:rPr>
        <w:t>14 </w:t>
      </w:r>
      <w:r>
        <w:rPr>
          <w:w w:val="105"/>
          <w:sz w:val="13"/>
        </w:rPr>
        <w:t>(Commercial Bar </w:t>
      </w:r>
      <w:r>
        <w:rPr>
          <w:spacing w:val="2"/>
          <w:w w:val="105"/>
          <w:sz w:val="13"/>
        </w:rPr>
        <w:t>Association); </w:t>
      </w:r>
      <w:r>
        <w:rPr>
          <w:spacing w:val="-3"/>
          <w:w w:val="105"/>
          <w:sz w:val="13"/>
        </w:rPr>
        <w:t>15  </w:t>
      </w:r>
      <w:r>
        <w:rPr>
          <w:w w:val="105"/>
          <w:sz w:val="13"/>
        </w:rPr>
        <w:t>(Alzheimer’s Australia); </w:t>
      </w:r>
      <w:r>
        <w:rPr>
          <w:spacing w:val="-3"/>
          <w:w w:val="105"/>
          <w:sz w:val="13"/>
        </w:rPr>
        <w:t>19</w:t>
      </w:r>
      <w:r>
        <w:rPr>
          <w:spacing w:val="5"/>
          <w:w w:val="105"/>
          <w:sz w:val="13"/>
        </w:rPr>
        <w:t> </w:t>
      </w:r>
      <w:r>
        <w:rPr>
          <w:spacing w:val="2"/>
          <w:w w:val="105"/>
          <w:sz w:val="13"/>
        </w:rPr>
        <w:t>(Association</w:t>
      </w:r>
      <w:r>
        <w:rPr>
          <w:spacing w:val="5"/>
          <w:w w:val="105"/>
          <w:sz w:val="13"/>
        </w:rPr>
        <w:t> </w:t>
      </w:r>
      <w:r>
        <w:rPr>
          <w:w w:val="105"/>
          <w:sz w:val="13"/>
        </w:rPr>
        <w:t>of</w:t>
      </w:r>
      <w:r>
        <w:rPr>
          <w:spacing w:val="5"/>
          <w:w w:val="105"/>
          <w:sz w:val="13"/>
        </w:rPr>
        <w:t> </w:t>
      </w:r>
      <w:r>
        <w:rPr>
          <w:w w:val="105"/>
          <w:sz w:val="13"/>
        </w:rPr>
        <w:t>Independent</w:t>
      </w:r>
      <w:r>
        <w:rPr>
          <w:spacing w:val="5"/>
          <w:w w:val="105"/>
          <w:sz w:val="13"/>
        </w:rPr>
        <w:t> </w:t>
      </w:r>
      <w:r>
        <w:rPr>
          <w:w w:val="105"/>
          <w:sz w:val="13"/>
        </w:rPr>
        <w:t>Retirees);</w:t>
      </w:r>
      <w:r>
        <w:rPr>
          <w:spacing w:val="5"/>
          <w:w w:val="105"/>
          <w:sz w:val="13"/>
        </w:rPr>
        <w:t> </w:t>
      </w:r>
      <w:r>
        <w:rPr>
          <w:w w:val="105"/>
          <w:sz w:val="13"/>
        </w:rPr>
        <w:t>20</w:t>
      </w:r>
      <w:r>
        <w:rPr>
          <w:spacing w:val="5"/>
          <w:w w:val="105"/>
          <w:sz w:val="13"/>
        </w:rPr>
        <w:t> </w:t>
      </w:r>
      <w:r>
        <w:rPr>
          <w:w w:val="105"/>
          <w:sz w:val="13"/>
        </w:rPr>
        <w:t>(Include</w:t>
      </w:r>
      <w:r>
        <w:rPr>
          <w:spacing w:val="6"/>
          <w:w w:val="105"/>
          <w:sz w:val="13"/>
        </w:rPr>
        <w:t> </w:t>
      </w:r>
      <w:r>
        <w:rPr>
          <w:w w:val="105"/>
          <w:sz w:val="13"/>
        </w:rPr>
        <w:t>a</w:t>
      </w:r>
      <w:r>
        <w:rPr>
          <w:spacing w:val="5"/>
          <w:w w:val="105"/>
          <w:sz w:val="13"/>
        </w:rPr>
        <w:t> </w:t>
      </w:r>
      <w:r>
        <w:rPr>
          <w:w w:val="105"/>
          <w:sz w:val="13"/>
        </w:rPr>
        <w:t>Charity);</w:t>
      </w:r>
      <w:r>
        <w:rPr>
          <w:spacing w:val="5"/>
          <w:w w:val="105"/>
          <w:sz w:val="13"/>
        </w:rPr>
        <w:t> </w:t>
      </w:r>
      <w:r>
        <w:rPr>
          <w:w w:val="105"/>
          <w:sz w:val="13"/>
        </w:rPr>
        <w:t>24</w:t>
      </w:r>
      <w:r>
        <w:rPr>
          <w:spacing w:val="5"/>
          <w:w w:val="105"/>
          <w:sz w:val="13"/>
        </w:rPr>
        <w:t> </w:t>
      </w:r>
      <w:r>
        <w:rPr>
          <w:w w:val="105"/>
          <w:sz w:val="13"/>
        </w:rPr>
        <w:t>(Royal</w:t>
      </w:r>
      <w:r>
        <w:rPr>
          <w:spacing w:val="5"/>
          <w:w w:val="105"/>
          <w:sz w:val="13"/>
        </w:rPr>
        <w:t> </w:t>
      </w:r>
      <w:r>
        <w:rPr>
          <w:w w:val="105"/>
          <w:sz w:val="13"/>
        </w:rPr>
        <w:t>Society</w:t>
      </w:r>
      <w:r>
        <w:rPr>
          <w:spacing w:val="5"/>
          <w:w w:val="105"/>
          <w:sz w:val="13"/>
        </w:rPr>
        <w:t> </w:t>
      </w:r>
      <w:r>
        <w:rPr>
          <w:w w:val="105"/>
          <w:sz w:val="13"/>
        </w:rPr>
        <w:t>for</w:t>
      </w:r>
      <w:r>
        <w:rPr>
          <w:spacing w:val="5"/>
          <w:w w:val="105"/>
          <w:sz w:val="13"/>
        </w:rPr>
        <w:t> </w:t>
      </w:r>
      <w:r>
        <w:rPr>
          <w:w w:val="105"/>
          <w:sz w:val="13"/>
        </w:rPr>
        <w:t>the</w:t>
      </w:r>
      <w:r>
        <w:rPr>
          <w:spacing w:val="6"/>
          <w:w w:val="105"/>
          <w:sz w:val="13"/>
        </w:rPr>
        <w:t> </w:t>
      </w:r>
      <w:r>
        <w:rPr>
          <w:w w:val="105"/>
          <w:sz w:val="13"/>
        </w:rPr>
        <w:t>Prevention</w:t>
      </w:r>
      <w:r>
        <w:rPr>
          <w:spacing w:val="5"/>
          <w:w w:val="105"/>
          <w:sz w:val="13"/>
        </w:rPr>
        <w:t> </w:t>
      </w:r>
      <w:r>
        <w:rPr>
          <w:w w:val="105"/>
          <w:sz w:val="13"/>
        </w:rPr>
        <w:t>of</w:t>
      </w:r>
      <w:r>
        <w:rPr>
          <w:spacing w:val="5"/>
          <w:w w:val="105"/>
          <w:sz w:val="13"/>
        </w:rPr>
        <w:t> </w:t>
      </w:r>
      <w:r>
        <w:rPr>
          <w:w w:val="105"/>
          <w:sz w:val="13"/>
        </w:rPr>
        <w:t>Cruelty</w:t>
      </w:r>
      <w:r>
        <w:rPr>
          <w:spacing w:val="5"/>
          <w:w w:val="105"/>
          <w:sz w:val="13"/>
        </w:rPr>
        <w:t> </w:t>
      </w:r>
      <w:r>
        <w:rPr>
          <w:w w:val="105"/>
          <w:sz w:val="13"/>
        </w:rPr>
        <w:t>to</w:t>
      </w:r>
      <w:r>
        <w:rPr>
          <w:spacing w:val="5"/>
          <w:w w:val="105"/>
          <w:sz w:val="13"/>
        </w:rPr>
        <w:t> </w:t>
      </w:r>
      <w:r>
        <w:rPr>
          <w:w w:val="105"/>
          <w:sz w:val="13"/>
        </w:rPr>
        <w:t>Animals);</w:t>
      </w:r>
    </w:p>
    <w:p>
      <w:pPr>
        <w:spacing w:before="2"/>
        <w:ind w:left="2381" w:right="198" w:firstLine="0"/>
        <w:jc w:val="left"/>
        <w:rPr>
          <w:sz w:val="13"/>
        </w:rPr>
      </w:pPr>
      <w:r>
        <w:rPr>
          <w:w w:val="105"/>
          <w:sz w:val="13"/>
        </w:rPr>
        <w:t>25 (Moores Legal); 26 (Rigby Cooke Lawyers); 30a (Law Institute of Victoria); 39 (Carolyn Sparke SC); 42b (Arnold Bloch Leibler); Advisory Committee (Meeting 3).</w:t>
      </w:r>
    </w:p>
    <w:p>
      <w:pPr>
        <w:pStyle w:val="ListParagraph"/>
        <w:numPr>
          <w:ilvl w:val="0"/>
          <w:numId w:val="91"/>
        </w:numPr>
        <w:tabs>
          <w:tab w:pos="2381" w:val="left" w:leader="none"/>
          <w:tab w:pos="2382" w:val="left" w:leader="none"/>
        </w:tabs>
        <w:spacing w:line="240" w:lineRule="auto" w:before="3" w:after="0"/>
        <w:ind w:left="2381" w:right="0" w:hanging="794"/>
        <w:jc w:val="left"/>
        <w:rPr>
          <w:sz w:val="13"/>
        </w:rPr>
      </w:pPr>
      <w:r>
        <w:rPr>
          <w:w w:val="105"/>
          <w:sz w:val="13"/>
        </w:rPr>
        <w:t>Submission 35 (Andrew</w:t>
      </w:r>
      <w:r>
        <w:rPr>
          <w:spacing w:val="14"/>
          <w:w w:val="105"/>
          <w:sz w:val="13"/>
        </w:rPr>
        <w:t> </w:t>
      </w:r>
      <w:r>
        <w:rPr>
          <w:w w:val="105"/>
          <w:sz w:val="13"/>
        </w:rPr>
        <w:t>Verspaandonk).</w:t>
      </w:r>
    </w:p>
    <w:p>
      <w:pPr>
        <w:pStyle w:val="ListParagraph"/>
        <w:numPr>
          <w:ilvl w:val="0"/>
          <w:numId w:val="91"/>
        </w:numPr>
        <w:tabs>
          <w:tab w:pos="2381" w:val="left" w:leader="none"/>
          <w:tab w:pos="2382" w:val="left" w:leader="none"/>
        </w:tabs>
        <w:spacing w:line="240" w:lineRule="auto" w:before="1" w:after="0"/>
        <w:ind w:left="2381" w:right="0" w:hanging="794"/>
        <w:jc w:val="left"/>
        <w:rPr>
          <w:sz w:val="13"/>
        </w:rPr>
      </w:pPr>
      <w:r>
        <w:rPr>
          <w:w w:val="105"/>
          <w:sz w:val="13"/>
        </w:rPr>
        <w:t>Submissions </w:t>
      </w:r>
      <w:r>
        <w:rPr>
          <w:spacing w:val="-3"/>
          <w:w w:val="105"/>
          <w:sz w:val="13"/>
        </w:rPr>
        <w:t>15 </w:t>
      </w:r>
      <w:r>
        <w:rPr>
          <w:w w:val="105"/>
          <w:sz w:val="13"/>
        </w:rPr>
        <w:t>(Alzheimer’s Australia); 25 </w:t>
      </w:r>
      <w:r>
        <w:rPr>
          <w:spacing w:val="2"/>
          <w:w w:val="105"/>
          <w:sz w:val="13"/>
        </w:rPr>
        <w:t>(Moores</w:t>
      </w:r>
      <w:r>
        <w:rPr>
          <w:spacing w:val="31"/>
          <w:w w:val="105"/>
          <w:sz w:val="13"/>
        </w:rPr>
        <w:t> </w:t>
      </w:r>
      <w:r>
        <w:rPr>
          <w:w w:val="105"/>
          <w:sz w:val="13"/>
        </w:rPr>
        <w:t>Legal).</w:t>
      </w:r>
    </w:p>
    <w:p>
      <w:pPr>
        <w:pStyle w:val="ListParagraph"/>
        <w:numPr>
          <w:ilvl w:val="0"/>
          <w:numId w:val="91"/>
        </w:numPr>
        <w:tabs>
          <w:tab w:pos="2381" w:val="left" w:leader="none"/>
          <w:tab w:pos="2382" w:val="left" w:leader="none"/>
        </w:tabs>
        <w:spacing w:line="240" w:lineRule="auto" w:before="2" w:after="0"/>
        <w:ind w:left="2381" w:right="0" w:hanging="794"/>
        <w:jc w:val="both"/>
        <w:rPr>
          <w:sz w:val="13"/>
        </w:rPr>
      </w:pPr>
      <w:r>
        <w:rPr>
          <w:w w:val="105"/>
          <w:sz w:val="13"/>
        </w:rPr>
        <w:t>Submissions </w:t>
      </w:r>
      <w:r>
        <w:rPr>
          <w:spacing w:val="-3"/>
          <w:w w:val="105"/>
          <w:sz w:val="13"/>
        </w:rPr>
        <w:t>14 </w:t>
      </w:r>
      <w:r>
        <w:rPr>
          <w:w w:val="105"/>
          <w:sz w:val="13"/>
        </w:rPr>
        <w:t>(Commercial Bar </w:t>
      </w:r>
      <w:r>
        <w:rPr>
          <w:spacing w:val="2"/>
          <w:w w:val="105"/>
          <w:sz w:val="13"/>
        </w:rPr>
        <w:t>Association); </w:t>
      </w:r>
      <w:r>
        <w:rPr>
          <w:spacing w:val="-3"/>
          <w:w w:val="105"/>
          <w:sz w:val="13"/>
        </w:rPr>
        <w:t>19 </w:t>
      </w:r>
      <w:r>
        <w:rPr>
          <w:spacing w:val="2"/>
          <w:w w:val="105"/>
          <w:sz w:val="13"/>
        </w:rPr>
        <w:t>(Association </w:t>
      </w:r>
      <w:r>
        <w:rPr>
          <w:w w:val="105"/>
          <w:sz w:val="13"/>
        </w:rPr>
        <w:t>of Independent Retirees); 20 (Include a Charity); 24 (Royal Society for the Prevention of Cruelty to Animals); 26 </w:t>
      </w:r>
      <w:r>
        <w:rPr>
          <w:spacing w:val="2"/>
          <w:w w:val="105"/>
          <w:sz w:val="13"/>
        </w:rPr>
        <w:t>(Rigby </w:t>
      </w:r>
      <w:r>
        <w:rPr>
          <w:w w:val="105"/>
          <w:sz w:val="13"/>
        </w:rPr>
        <w:t>Cooke </w:t>
      </w:r>
      <w:r>
        <w:rPr>
          <w:spacing w:val="2"/>
          <w:w w:val="105"/>
          <w:sz w:val="13"/>
        </w:rPr>
        <w:t>Lawyers); </w:t>
      </w:r>
      <w:r>
        <w:rPr>
          <w:w w:val="105"/>
          <w:sz w:val="13"/>
        </w:rPr>
        <w:t>30a </w:t>
      </w:r>
      <w:r>
        <w:rPr>
          <w:spacing w:val="3"/>
          <w:w w:val="105"/>
          <w:sz w:val="13"/>
        </w:rPr>
        <w:t>(Law </w:t>
      </w:r>
      <w:r>
        <w:rPr>
          <w:w w:val="105"/>
          <w:sz w:val="13"/>
        </w:rPr>
        <w:t>Institute of </w:t>
      </w:r>
      <w:r>
        <w:rPr>
          <w:spacing w:val="2"/>
          <w:w w:val="105"/>
          <w:sz w:val="13"/>
        </w:rPr>
        <w:t>Victoria); </w:t>
      </w:r>
      <w:r>
        <w:rPr>
          <w:w w:val="105"/>
          <w:sz w:val="13"/>
        </w:rPr>
        <w:t>38 </w:t>
      </w:r>
      <w:r>
        <w:rPr>
          <w:spacing w:val="2"/>
          <w:w w:val="105"/>
          <w:sz w:val="13"/>
        </w:rPr>
        <w:t>(Liz Burton)—although </w:t>
      </w:r>
      <w:r>
        <w:rPr>
          <w:w w:val="105"/>
          <w:sz w:val="13"/>
        </w:rPr>
        <w:t>her answer was contingent on different eligibility considerations; 42b (Arnold Bloch</w:t>
      </w:r>
      <w:r>
        <w:rPr>
          <w:spacing w:val="7"/>
          <w:w w:val="105"/>
          <w:sz w:val="13"/>
        </w:rPr>
        <w:t> </w:t>
      </w:r>
      <w:r>
        <w:rPr>
          <w:w w:val="105"/>
          <w:sz w:val="13"/>
        </w:rPr>
        <w:t>Leibler).</w:t>
      </w:r>
    </w:p>
    <w:p>
      <w:pPr>
        <w:pStyle w:val="ListParagraph"/>
        <w:numPr>
          <w:ilvl w:val="0"/>
          <w:numId w:val="91"/>
        </w:numPr>
        <w:tabs>
          <w:tab w:pos="2381" w:val="left" w:leader="none"/>
          <w:tab w:pos="2382" w:val="left" w:leader="none"/>
        </w:tabs>
        <w:spacing w:line="240" w:lineRule="auto" w:before="4" w:after="0"/>
        <w:ind w:left="2381" w:right="0" w:hanging="794"/>
        <w:jc w:val="left"/>
        <w:rPr>
          <w:sz w:val="13"/>
        </w:rPr>
      </w:pPr>
      <w:r>
        <w:rPr>
          <w:w w:val="105"/>
          <w:sz w:val="13"/>
        </w:rPr>
        <w:t>Submission 37 (Supreme Court of</w:t>
      </w:r>
      <w:r>
        <w:rPr>
          <w:spacing w:val="23"/>
          <w:w w:val="105"/>
          <w:sz w:val="13"/>
        </w:rPr>
        <w:t> </w:t>
      </w:r>
      <w:r>
        <w:rPr>
          <w:spacing w:val="2"/>
          <w:w w:val="105"/>
          <w:sz w:val="13"/>
        </w:rPr>
        <w:t>Victoria).</w:t>
      </w:r>
    </w:p>
    <w:p>
      <w:pPr>
        <w:pStyle w:val="ListParagraph"/>
        <w:numPr>
          <w:ilvl w:val="0"/>
          <w:numId w:val="91"/>
        </w:numPr>
        <w:tabs>
          <w:tab w:pos="2381" w:val="left" w:leader="none"/>
          <w:tab w:pos="2382" w:val="left" w:leader="none"/>
        </w:tabs>
        <w:spacing w:line="240" w:lineRule="auto" w:before="1" w:after="0"/>
        <w:ind w:left="2381" w:right="0" w:hanging="794"/>
        <w:jc w:val="left"/>
        <w:rPr>
          <w:sz w:val="13"/>
        </w:rPr>
      </w:pPr>
      <w:r>
        <w:rPr>
          <w:w w:val="105"/>
          <w:sz w:val="13"/>
        </w:rPr>
        <w:t>Advisory Committee (Meeting</w:t>
      </w:r>
      <w:r>
        <w:rPr>
          <w:spacing w:val="13"/>
          <w:w w:val="105"/>
          <w:sz w:val="13"/>
        </w:rPr>
        <w:t> </w:t>
      </w:r>
      <w:r>
        <w:rPr>
          <w:spacing w:val="3"/>
          <w:w w:val="105"/>
          <w:sz w:val="13"/>
        </w:rPr>
        <w:t>3).</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1"/>
        <w:rPr>
          <w:sz w:val="23"/>
        </w:rPr>
      </w:pPr>
    </w:p>
    <w:p>
      <w:pPr>
        <w:spacing w:before="1"/>
        <w:ind w:left="766" w:right="575" w:firstLine="0"/>
        <w:jc w:val="center"/>
        <w:rPr>
          <w:b/>
          <w:sz w:val="24"/>
        </w:rPr>
      </w:pPr>
      <w:r>
        <w:rPr>
          <w:b/>
          <w:color w:val="EC5A4F"/>
          <w:w w:val="110"/>
          <w:sz w:val="24"/>
        </w:rPr>
        <w:t>119</w:t>
      </w:r>
    </w:p>
    <w:p>
      <w:pPr>
        <w:spacing w:after="0"/>
        <w:jc w:val="center"/>
        <w:rPr>
          <w:sz w:val="24"/>
        </w:rPr>
        <w:sectPr>
          <w:type w:val="continuous"/>
          <w:pgSz w:w="11910" w:h="16840"/>
          <w:pgMar w:top="920" w:bottom="280" w:left="0" w:right="0"/>
          <w:cols w:num="2" w:equalWidth="0">
            <w:col w:w="10087" w:space="40"/>
            <w:col w:w="1783"/>
          </w:cols>
        </w:sectPr>
      </w:pPr>
    </w:p>
    <w:p>
      <w:pPr>
        <w:pStyle w:val="BodyText"/>
        <w:spacing w:before="9"/>
        <w:rPr>
          <w:b/>
          <w:sz w:val="22"/>
        </w:rPr>
      </w:pPr>
    </w:p>
    <w:p>
      <w:pPr>
        <w:pStyle w:val="ListParagraph"/>
        <w:numPr>
          <w:ilvl w:val="1"/>
          <w:numId w:val="82"/>
        </w:numPr>
        <w:tabs>
          <w:tab w:pos="2380" w:val="left" w:leader="none"/>
          <w:tab w:pos="2381" w:val="left" w:leader="none"/>
        </w:tabs>
        <w:spacing w:line="242" w:lineRule="auto" w:before="92" w:after="0"/>
        <w:ind w:left="2381" w:right="2062" w:hanging="794"/>
        <w:jc w:val="left"/>
        <w:rPr>
          <w:sz w:val="21"/>
        </w:rPr>
      </w:pPr>
      <w:r>
        <w:rPr>
          <w:w w:val="105"/>
          <w:sz w:val="21"/>
        </w:rPr>
        <w:t>A </w:t>
      </w:r>
      <w:r>
        <w:rPr>
          <w:spacing w:val="-3"/>
          <w:w w:val="105"/>
          <w:sz w:val="21"/>
        </w:rPr>
        <w:t>small </w:t>
      </w:r>
      <w:r>
        <w:rPr>
          <w:w w:val="105"/>
          <w:sz w:val="21"/>
        </w:rPr>
        <w:t>minority of </w:t>
      </w:r>
      <w:r>
        <w:rPr>
          <w:spacing w:val="-3"/>
          <w:w w:val="105"/>
          <w:sz w:val="21"/>
        </w:rPr>
        <w:t>submissions considered that </w:t>
      </w:r>
      <w:r>
        <w:rPr>
          <w:w w:val="105"/>
          <w:sz w:val="21"/>
        </w:rPr>
        <w:t>applicants should be </w:t>
      </w:r>
      <w:r>
        <w:rPr>
          <w:spacing w:val="-3"/>
          <w:w w:val="105"/>
          <w:sz w:val="21"/>
        </w:rPr>
        <w:t>required to </w:t>
      </w:r>
      <w:r>
        <w:rPr>
          <w:spacing w:val="-2"/>
          <w:w w:val="105"/>
          <w:sz w:val="21"/>
        </w:rPr>
        <w:t>pay </w:t>
      </w:r>
      <w:r>
        <w:rPr>
          <w:w w:val="105"/>
          <w:sz w:val="21"/>
        </w:rPr>
        <w:t>the costs whether </w:t>
      </w:r>
      <w:r>
        <w:rPr>
          <w:spacing w:val="-3"/>
          <w:w w:val="105"/>
          <w:sz w:val="21"/>
        </w:rPr>
        <w:t>successful </w:t>
      </w:r>
      <w:r>
        <w:rPr>
          <w:w w:val="105"/>
          <w:sz w:val="21"/>
        </w:rPr>
        <w:t>or </w:t>
      </w:r>
      <w:r>
        <w:rPr>
          <w:spacing w:val="-3"/>
          <w:w w:val="105"/>
          <w:sz w:val="21"/>
        </w:rPr>
        <w:t>unsuccessful.</w:t>
      </w:r>
      <w:r>
        <w:rPr>
          <w:spacing w:val="-3"/>
          <w:w w:val="105"/>
          <w:position w:val="7"/>
          <w:sz w:val="12"/>
        </w:rPr>
        <w:t>207 </w:t>
      </w:r>
      <w:r>
        <w:rPr>
          <w:spacing w:val="-4"/>
          <w:w w:val="105"/>
          <w:sz w:val="21"/>
        </w:rPr>
        <w:t>However, </w:t>
      </w:r>
      <w:r>
        <w:rPr>
          <w:w w:val="105"/>
          <w:sz w:val="21"/>
        </w:rPr>
        <w:t>the </w:t>
      </w:r>
      <w:r>
        <w:rPr>
          <w:spacing w:val="-3"/>
          <w:w w:val="105"/>
          <w:sz w:val="21"/>
        </w:rPr>
        <w:t>Commission notes</w:t>
      </w:r>
      <w:r>
        <w:rPr>
          <w:spacing w:val="-16"/>
          <w:w w:val="105"/>
          <w:sz w:val="21"/>
        </w:rPr>
        <w:t> </w:t>
      </w:r>
      <w:r>
        <w:rPr>
          <w:spacing w:val="-3"/>
          <w:w w:val="105"/>
          <w:sz w:val="21"/>
        </w:rPr>
        <w:t>that</w:t>
      </w:r>
    </w:p>
    <w:p>
      <w:pPr>
        <w:pStyle w:val="BodyText"/>
        <w:spacing w:line="242" w:lineRule="auto" w:before="2"/>
        <w:ind w:left="2381" w:right="1826"/>
      </w:pPr>
      <w:r>
        <w:rPr/>
        <w:t>this position would be harsher than that which applies in other types of civil proceedings and does not consider it appropriate that such a rule should apply in relation to family provision proceedings.</w:t>
      </w:r>
    </w:p>
    <w:p>
      <w:pPr>
        <w:pStyle w:val="ListParagraph"/>
        <w:numPr>
          <w:ilvl w:val="1"/>
          <w:numId w:val="82"/>
        </w:numPr>
        <w:tabs>
          <w:tab w:pos="2381" w:val="left" w:leader="none"/>
          <w:tab w:pos="2382" w:val="left" w:leader="none"/>
        </w:tabs>
        <w:spacing w:line="242" w:lineRule="auto" w:before="123" w:after="0"/>
        <w:ind w:left="2381" w:right="1796" w:hanging="794"/>
        <w:jc w:val="left"/>
        <w:rPr>
          <w:sz w:val="12"/>
        </w:rPr>
      </w:pPr>
      <w:r>
        <w:rPr>
          <w:w w:val="105"/>
          <w:sz w:val="21"/>
        </w:rPr>
        <w:t>The </w:t>
      </w:r>
      <w:r>
        <w:rPr>
          <w:spacing w:val="-3"/>
          <w:w w:val="105"/>
          <w:sz w:val="21"/>
        </w:rPr>
        <w:t>Institute </w:t>
      </w:r>
      <w:r>
        <w:rPr>
          <w:w w:val="105"/>
          <w:sz w:val="21"/>
        </w:rPr>
        <w:t>of Legal Executives and </w:t>
      </w:r>
      <w:r>
        <w:rPr>
          <w:spacing w:val="-3"/>
          <w:w w:val="105"/>
          <w:sz w:val="21"/>
        </w:rPr>
        <w:t>State Limited </w:t>
      </w:r>
      <w:r>
        <w:rPr>
          <w:w w:val="105"/>
          <w:sz w:val="21"/>
        </w:rPr>
        <w:t>did </w:t>
      </w:r>
      <w:r>
        <w:rPr>
          <w:spacing w:val="-2"/>
          <w:w w:val="105"/>
          <w:sz w:val="21"/>
        </w:rPr>
        <w:t>not </w:t>
      </w:r>
      <w:r>
        <w:rPr>
          <w:w w:val="105"/>
          <w:sz w:val="21"/>
        </w:rPr>
        <w:t>believe </w:t>
      </w:r>
      <w:r>
        <w:rPr>
          <w:spacing w:val="-3"/>
          <w:w w:val="105"/>
          <w:sz w:val="21"/>
        </w:rPr>
        <w:t>that </w:t>
      </w:r>
      <w:r>
        <w:rPr>
          <w:w w:val="105"/>
          <w:sz w:val="21"/>
        </w:rPr>
        <w:t>there should be </w:t>
      </w:r>
      <w:r>
        <w:rPr>
          <w:spacing w:val="-3"/>
          <w:w w:val="105"/>
          <w:sz w:val="21"/>
        </w:rPr>
        <w:t>any change to </w:t>
      </w:r>
      <w:r>
        <w:rPr>
          <w:w w:val="105"/>
          <w:sz w:val="21"/>
        </w:rPr>
        <w:t>the existing costs rules,</w:t>
      </w:r>
      <w:r>
        <w:rPr>
          <w:w w:val="105"/>
          <w:position w:val="7"/>
          <w:sz w:val="12"/>
        </w:rPr>
        <w:t>208 </w:t>
      </w:r>
      <w:r>
        <w:rPr>
          <w:w w:val="105"/>
          <w:sz w:val="21"/>
        </w:rPr>
        <w:t>with </w:t>
      </w:r>
      <w:r>
        <w:rPr>
          <w:spacing w:val="-3"/>
          <w:w w:val="105"/>
          <w:sz w:val="21"/>
        </w:rPr>
        <w:t>State </w:t>
      </w:r>
      <w:r>
        <w:rPr>
          <w:spacing w:val="-4"/>
          <w:w w:val="105"/>
          <w:sz w:val="21"/>
        </w:rPr>
        <w:t>Trustees </w:t>
      </w:r>
      <w:r>
        <w:rPr>
          <w:w w:val="105"/>
          <w:sz w:val="21"/>
        </w:rPr>
        <w:t>suggesting </w:t>
      </w:r>
      <w:r>
        <w:rPr>
          <w:spacing w:val="-3"/>
          <w:w w:val="105"/>
          <w:sz w:val="21"/>
        </w:rPr>
        <w:t>that </w:t>
      </w:r>
      <w:r>
        <w:rPr>
          <w:w w:val="105"/>
          <w:sz w:val="21"/>
        </w:rPr>
        <w:t>this </w:t>
      </w:r>
      <w:r>
        <w:rPr>
          <w:spacing w:val="-3"/>
          <w:w w:val="105"/>
          <w:sz w:val="21"/>
        </w:rPr>
        <w:t>could </w:t>
      </w:r>
      <w:r>
        <w:rPr>
          <w:w w:val="105"/>
          <w:sz w:val="21"/>
        </w:rPr>
        <w:t>be</w:t>
      </w:r>
      <w:r>
        <w:rPr>
          <w:spacing w:val="-7"/>
          <w:w w:val="105"/>
          <w:sz w:val="21"/>
        </w:rPr>
        <w:t> </w:t>
      </w:r>
      <w:r>
        <w:rPr>
          <w:w w:val="105"/>
          <w:sz w:val="21"/>
        </w:rPr>
        <w:t>reviewed</w:t>
      </w:r>
      <w:r>
        <w:rPr>
          <w:spacing w:val="-6"/>
          <w:w w:val="105"/>
          <w:sz w:val="21"/>
        </w:rPr>
        <w:t> </w:t>
      </w:r>
      <w:r>
        <w:rPr>
          <w:w w:val="105"/>
          <w:sz w:val="21"/>
        </w:rPr>
        <w:t>after</w:t>
      </w:r>
      <w:r>
        <w:rPr>
          <w:spacing w:val="-6"/>
          <w:w w:val="105"/>
          <w:sz w:val="21"/>
        </w:rPr>
        <w:t> </w:t>
      </w:r>
      <w:r>
        <w:rPr>
          <w:w w:val="105"/>
          <w:sz w:val="21"/>
        </w:rPr>
        <w:t>a</w:t>
      </w:r>
      <w:r>
        <w:rPr>
          <w:spacing w:val="-6"/>
          <w:w w:val="105"/>
          <w:sz w:val="21"/>
        </w:rPr>
        <w:t> </w:t>
      </w:r>
      <w:r>
        <w:rPr>
          <w:w w:val="105"/>
          <w:sz w:val="21"/>
        </w:rPr>
        <w:t>period</w:t>
      </w:r>
      <w:r>
        <w:rPr>
          <w:spacing w:val="-7"/>
          <w:w w:val="105"/>
          <w:sz w:val="21"/>
        </w:rPr>
        <w:t> </w:t>
      </w:r>
      <w:r>
        <w:rPr>
          <w:w w:val="105"/>
          <w:sz w:val="21"/>
        </w:rPr>
        <w:t>of</w:t>
      </w:r>
      <w:r>
        <w:rPr>
          <w:spacing w:val="-6"/>
          <w:w w:val="105"/>
          <w:sz w:val="21"/>
        </w:rPr>
        <w:t> </w:t>
      </w:r>
      <w:r>
        <w:rPr>
          <w:spacing w:val="-3"/>
          <w:w w:val="105"/>
          <w:sz w:val="21"/>
        </w:rPr>
        <w:t>time,</w:t>
      </w:r>
      <w:r>
        <w:rPr>
          <w:spacing w:val="-6"/>
          <w:w w:val="105"/>
          <w:sz w:val="21"/>
        </w:rPr>
        <w:t> </w:t>
      </w:r>
      <w:r>
        <w:rPr>
          <w:w w:val="105"/>
          <w:sz w:val="21"/>
        </w:rPr>
        <w:t>if</w:t>
      </w:r>
      <w:r>
        <w:rPr>
          <w:spacing w:val="-6"/>
          <w:w w:val="105"/>
          <w:sz w:val="21"/>
        </w:rPr>
        <w:t> </w:t>
      </w:r>
      <w:r>
        <w:rPr>
          <w:w w:val="105"/>
          <w:sz w:val="21"/>
        </w:rPr>
        <w:t>the</w:t>
      </w:r>
      <w:r>
        <w:rPr>
          <w:spacing w:val="-7"/>
          <w:w w:val="105"/>
          <w:sz w:val="21"/>
        </w:rPr>
        <w:t> </w:t>
      </w:r>
      <w:r>
        <w:rPr>
          <w:w w:val="105"/>
          <w:sz w:val="21"/>
        </w:rPr>
        <w:t>new</w:t>
      </w:r>
      <w:r>
        <w:rPr>
          <w:spacing w:val="-6"/>
          <w:w w:val="105"/>
          <w:sz w:val="21"/>
        </w:rPr>
        <w:t> </w:t>
      </w:r>
      <w:r>
        <w:rPr>
          <w:spacing w:val="-3"/>
          <w:w w:val="105"/>
          <w:sz w:val="21"/>
        </w:rPr>
        <w:t>delineations</w:t>
      </w:r>
      <w:r>
        <w:rPr>
          <w:spacing w:val="-6"/>
          <w:w w:val="105"/>
          <w:sz w:val="21"/>
        </w:rPr>
        <w:t> </w:t>
      </w:r>
      <w:r>
        <w:rPr>
          <w:w w:val="105"/>
          <w:sz w:val="21"/>
        </w:rPr>
        <w:t>in</w:t>
      </w:r>
      <w:r>
        <w:rPr>
          <w:spacing w:val="-6"/>
          <w:w w:val="105"/>
          <w:sz w:val="21"/>
        </w:rPr>
        <w:t> </w:t>
      </w:r>
      <w:r>
        <w:rPr>
          <w:spacing w:val="-3"/>
          <w:w w:val="105"/>
          <w:sz w:val="21"/>
        </w:rPr>
        <w:t>relation</w:t>
      </w:r>
      <w:r>
        <w:rPr>
          <w:spacing w:val="-6"/>
          <w:w w:val="105"/>
          <w:sz w:val="21"/>
        </w:rPr>
        <w:t> </w:t>
      </w:r>
      <w:r>
        <w:rPr>
          <w:spacing w:val="-3"/>
          <w:w w:val="105"/>
          <w:sz w:val="21"/>
        </w:rPr>
        <w:t>to</w:t>
      </w:r>
      <w:r>
        <w:rPr>
          <w:spacing w:val="-7"/>
          <w:w w:val="105"/>
          <w:sz w:val="21"/>
        </w:rPr>
        <w:t> </w:t>
      </w:r>
      <w:r>
        <w:rPr>
          <w:spacing w:val="-3"/>
          <w:w w:val="105"/>
          <w:sz w:val="21"/>
        </w:rPr>
        <w:t>family</w:t>
      </w:r>
      <w:r>
        <w:rPr>
          <w:spacing w:val="-6"/>
          <w:w w:val="105"/>
          <w:sz w:val="21"/>
        </w:rPr>
        <w:t> </w:t>
      </w:r>
      <w:r>
        <w:rPr>
          <w:spacing w:val="-3"/>
          <w:w w:val="105"/>
          <w:sz w:val="21"/>
        </w:rPr>
        <w:t>provision eligibility were </w:t>
      </w:r>
      <w:r>
        <w:rPr>
          <w:spacing w:val="-2"/>
          <w:w w:val="105"/>
          <w:sz w:val="21"/>
        </w:rPr>
        <w:t>not </w:t>
      </w:r>
      <w:r>
        <w:rPr>
          <w:spacing w:val="-3"/>
          <w:w w:val="105"/>
          <w:sz w:val="21"/>
        </w:rPr>
        <w:t>producing </w:t>
      </w:r>
      <w:r>
        <w:rPr>
          <w:w w:val="105"/>
          <w:sz w:val="21"/>
        </w:rPr>
        <w:t>better outcomes.</w:t>
      </w:r>
      <w:r>
        <w:rPr>
          <w:w w:val="105"/>
          <w:position w:val="7"/>
          <w:sz w:val="12"/>
        </w:rPr>
        <w:t>209 </w:t>
      </w:r>
      <w:r>
        <w:rPr>
          <w:w w:val="105"/>
          <w:sz w:val="21"/>
        </w:rPr>
        <w:t>The </w:t>
      </w:r>
      <w:r>
        <w:rPr>
          <w:spacing w:val="-3"/>
          <w:w w:val="105"/>
          <w:sz w:val="21"/>
        </w:rPr>
        <w:t>Institute </w:t>
      </w:r>
      <w:r>
        <w:rPr>
          <w:w w:val="105"/>
          <w:sz w:val="21"/>
        </w:rPr>
        <w:t>of Legal Executives </w:t>
      </w:r>
      <w:r>
        <w:rPr>
          <w:spacing w:val="-3"/>
          <w:w w:val="105"/>
          <w:sz w:val="21"/>
        </w:rPr>
        <w:t>considered</w:t>
      </w:r>
      <w:r>
        <w:rPr>
          <w:spacing w:val="-6"/>
          <w:w w:val="105"/>
          <w:sz w:val="21"/>
        </w:rPr>
        <w:t> </w:t>
      </w:r>
      <w:r>
        <w:rPr>
          <w:spacing w:val="-3"/>
          <w:w w:val="105"/>
          <w:sz w:val="21"/>
        </w:rPr>
        <w:t>that</w:t>
      </w:r>
      <w:r>
        <w:rPr>
          <w:spacing w:val="-6"/>
          <w:w w:val="105"/>
          <w:sz w:val="21"/>
        </w:rPr>
        <w:t> </w:t>
      </w:r>
      <w:r>
        <w:rPr>
          <w:w w:val="105"/>
          <w:sz w:val="21"/>
        </w:rPr>
        <w:t>the</w:t>
      </w:r>
      <w:r>
        <w:rPr>
          <w:spacing w:val="-5"/>
          <w:w w:val="105"/>
          <w:sz w:val="21"/>
        </w:rPr>
        <w:t> </w:t>
      </w:r>
      <w:r>
        <w:rPr>
          <w:w w:val="105"/>
          <w:sz w:val="21"/>
        </w:rPr>
        <w:t>court</w:t>
      </w:r>
      <w:r>
        <w:rPr>
          <w:spacing w:val="-6"/>
          <w:w w:val="105"/>
          <w:sz w:val="21"/>
        </w:rPr>
        <w:t> </w:t>
      </w:r>
      <w:r>
        <w:rPr>
          <w:w w:val="105"/>
          <w:sz w:val="21"/>
        </w:rPr>
        <w:t>was</w:t>
      </w:r>
      <w:r>
        <w:rPr>
          <w:spacing w:val="-6"/>
          <w:w w:val="105"/>
          <w:sz w:val="21"/>
        </w:rPr>
        <w:t> </w:t>
      </w:r>
      <w:r>
        <w:rPr>
          <w:w w:val="105"/>
          <w:sz w:val="21"/>
        </w:rPr>
        <w:t>best</w:t>
      </w:r>
      <w:r>
        <w:rPr>
          <w:spacing w:val="-5"/>
          <w:w w:val="105"/>
          <w:sz w:val="21"/>
        </w:rPr>
        <w:t> </w:t>
      </w:r>
      <w:r>
        <w:rPr>
          <w:spacing w:val="-2"/>
          <w:w w:val="105"/>
          <w:sz w:val="21"/>
        </w:rPr>
        <w:t>placed</w:t>
      </w:r>
      <w:r>
        <w:rPr>
          <w:spacing w:val="-6"/>
          <w:w w:val="105"/>
          <w:sz w:val="21"/>
        </w:rPr>
        <w:t> </w:t>
      </w:r>
      <w:r>
        <w:rPr>
          <w:spacing w:val="-3"/>
          <w:w w:val="105"/>
          <w:sz w:val="21"/>
        </w:rPr>
        <w:t>to</w:t>
      </w:r>
      <w:r>
        <w:rPr>
          <w:spacing w:val="-5"/>
          <w:w w:val="105"/>
          <w:sz w:val="21"/>
        </w:rPr>
        <w:t> </w:t>
      </w:r>
      <w:r>
        <w:rPr>
          <w:w w:val="105"/>
          <w:sz w:val="21"/>
        </w:rPr>
        <w:t>decide</w:t>
      </w:r>
      <w:r>
        <w:rPr>
          <w:spacing w:val="-6"/>
          <w:w w:val="105"/>
          <w:sz w:val="21"/>
        </w:rPr>
        <w:t> </w:t>
      </w:r>
      <w:r>
        <w:rPr>
          <w:w w:val="105"/>
          <w:sz w:val="21"/>
        </w:rPr>
        <w:t>how</w:t>
      </w:r>
      <w:r>
        <w:rPr>
          <w:spacing w:val="-6"/>
          <w:w w:val="105"/>
          <w:sz w:val="21"/>
        </w:rPr>
        <w:t> </w:t>
      </w:r>
      <w:r>
        <w:rPr>
          <w:w w:val="105"/>
          <w:sz w:val="21"/>
        </w:rPr>
        <w:t>the</w:t>
      </w:r>
      <w:r>
        <w:rPr>
          <w:spacing w:val="-5"/>
          <w:w w:val="105"/>
          <w:sz w:val="21"/>
        </w:rPr>
        <w:t> </w:t>
      </w:r>
      <w:r>
        <w:rPr>
          <w:w w:val="105"/>
          <w:sz w:val="21"/>
        </w:rPr>
        <w:t>costs</w:t>
      </w:r>
      <w:r>
        <w:rPr>
          <w:spacing w:val="-6"/>
          <w:w w:val="105"/>
          <w:sz w:val="21"/>
        </w:rPr>
        <w:t> </w:t>
      </w:r>
      <w:r>
        <w:rPr>
          <w:w w:val="105"/>
          <w:sz w:val="21"/>
        </w:rPr>
        <w:t>of</w:t>
      </w:r>
      <w:r>
        <w:rPr>
          <w:spacing w:val="-5"/>
          <w:w w:val="105"/>
          <w:sz w:val="21"/>
        </w:rPr>
        <w:t> </w:t>
      </w:r>
      <w:r>
        <w:rPr>
          <w:w w:val="105"/>
          <w:sz w:val="21"/>
        </w:rPr>
        <w:t>the</w:t>
      </w:r>
      <w:r>
        <w:rPr>
          <w:spacing w:val="-6"/>
          <w:w w:val="105"/>
          <w:sz w:val="21"/>
        </w:rPr>
        <w:t> </w:t>
      </w:r>
      <w:r>
        <w:rPr>
          <w:w w:val="105"/>
          <w:sz w:val="21"/>
        </w:rPr>
        <w:t>parties</w:t>
      </w:r>
      <w:r>
        <w:rPr>
          <w:spacing w:val="-6"/>
          <w:w w:val="105"/>
          <w:sz w:val="21"/>
        </w:rPr>
        <w:t> </w:t>
      </w:r>
      <w:r>
        <w:rPr>
          <w:w w:val="105"/>
          <w:sz w:val="21"/>
        </w:rPr>
        <w:t>should be</w:t>
      </w:r>
      <w:r>
        <w:rPr>
          <w:spacing w:val="5"/>
          <w:w w:val="105"/>
          <w:sz w:val="21"/>
        </w:rPr>
        <w:t> </w:t>
      </w:r>
      <w:r>
        <w:rPr>
          <w:spacing w:val="-3"/>
          <w:w w:val="105"/>
          <w:sz w:val="21"/>
        </w:rPr>
        <w:t>borne.</w:t>
      </w:r>
      <w:r>
        <w:rPr>
          <w:spacing w:val="-3"/>
          <w:w w:val="105"/>
          <w:position w:val="7"/>
          <w:sz w:val="12"/>
        </w:rPr>
        <w:t>210</w:t>
      </w:r>
    </w:p>
    <w:p>
      <w:pPr>
        <w:pStyle w:val="ListParagraph"/>
        <w:numPr>
          <w:ilvl w:val="1"/>
          <w:numId w:val="82"/>
        </w:numPr>
        <w:tabs>
          <w:tab w:pos="2381" w:val="left" w:leader="none"/>
          <w:tab w:pos="2382" w:val="left" w:leader="none"/>
        </w:tabs>
        <w:spacing w:line="242" w:lineRule="auto" w:before="127" w:after="0"/>
        <w:ind w:left="2381" w:right="1787" w:hanging="794"/>
        <w:jc w:val="left"/>
        <w:rPr>
          <w:sz w:val="21"/>
        </w:rPr>
      </w:pPr>
      <w:r>
        <w:rPr>
          <w:sz w:val="21"/>
        </w:rPr>
        <w:t>The </w:t>
      </w:r>
      <w:r>
        <w:rPr>
          <w:spacing w:val="-3"/>
          <w:sz w:val="21"/>
        </w:rPr>
        <w:t>Commission notes </w:t>
      </w:r>
      <w:r>
        <w:rPr>
          <w:sz w:val="21"/>
        </w:rPr>
        <w:t>the </w:t>
      </w:r>
      <w:r>
        <w:rPr>
          <w:spacing w:val="-3"/>
          <w:sz w:val="21"/>
        </w:rPr>
        <w:t>concerns </w:t>
      </w:r>
      <w:r>
        <w:rPr>
          <w:sz w:val="21"/>
        </w:rPr>
        <w:t>about </w:t>
      </w:r>
      <w:r>
        <w:rPr>
          <w:spacing w:val="-3"/>
          <w:sz w:val="21"/>
        </w:rPr>
        <w:t>limiting  </w:t>
      </w:r>
      <w:r>
        <w:rPr>
          <w:sz w:val="21"/>
        </w:rPr>
        <w:t>the court’s </w:t>
      </w:r>
      <w:r>
        <w:rPr>
          <w:spacing w:val="-3"/>
          <w:sz w:val="21"/>
        </w:rPr>
        <w:t>discretion</w:t>
      </w:r>
      <w:r>
        <w:rPr>
          <w:spacing w:val="41"/>
          <w:sz w:val="21"/>
        </w:rPr>
        <w:t> </w:t>
      </w:r>
      <w:r>
        <w:rPr>
          <w:spacing w:val="-3"/>
          <w:sz w:val="21"/>
        </w:rPr>
        <w:t>to  </w:t>
      </w:r>
      <w:r>
        <w:rPr>
          <w:spacing w:val="-4"/>
          <w:sz w:val="21"/>
        </w:rPr>
        <w:t>make  </w:t>
      </w:r>
      <w:r>
        <w:rPr>
          <w:sz w:val="21"/>
        </w:rPr>
        <w:t>orders as </w:t>
      </w:r>
      <w:r>
        <w:rPr>
          <w:spacing w:val="-3"/>
          <w:sz w:val="21"/>
        </w:rPr>
        <w:t>to  </w:t>
      </w:r>
      <w:r>
        <w:rPr>
          <w:sz w:val="21"/>
        </w:rPr>
        <w:t>costs and agrees </w:t>
      </w:r>
      <w:r>
        <w:rPr>
          <w:spacing w:val="-3"/>
          <w:sz w:val="21"/>
        </w:rPr>
        <w:t>that</w:t>
      </w:r>
      <w:r>
        <w:rPr>
          <w:spacing w:val="41"/>
          <w:sz w:val="21"/>
        </w:rPr>
        <w:t> </w:t>
      </w:r>
      <w:r>
        <w:rPr>
          <w:sz w:val="21"/>
        </w:rPr>
        <w:t>the court is best </w:t>
      </w:r>
      <w:r>
        <w:rPr>
          <w:spacing w:val="-2"/>
          <w:sz w:val="21"/>
        </w:rPr>
        <w:t>placed  </w:t>
      </w:r>
      <w:r>
        <w:rPr>
          <w:spacing w:val="-3"/>
          <w:sz w:val="21"/>
        </w:rPr>
        <w:t>to  determine  </w:t>
      </w:r>
      <w:r>
        <w:rPr>
          <w:sz w:val="21"/>
        </w:rPr>
        <w:t>what order as </w:t>
      </w:r>
      <w:r>
        <w:rPr>
          <w:spacing w:val="-3"/>
          <w:sz w:val="21"/>
        </w:rPr>
        <w:t>to  </w:t>
      </w:r>
      <w:r>
        <w:rPr>
          <w:sz w:val="21"/>
        </w:rPr>
        <w:t>costs is just in </w:t>
      </w:r>
      <w:r>
        <w:rPr>
          <w:spacing w:val="-3"/>
          <w:sz w:val="21"/>
        </w:rPr>
        <w:t>all </w:t>
      </w:r>
      <w:r>
        <w:rPr>
          <w:sz w:val="21"/>
        </w:rPr>
        <w:t>the </w:t>
      </w:r>
      <w:r>
        <w:rPr>
          <w:spacing w:val="-3"/>
          <w:sz w:val="21"/>
        </w:rPr>
        <w:t>circumstances. </w:t>
      </w:r>
      <w:r>
        <w:rPr>
          <w:spacing w:val="-4"/>
          <w:sz w:val="21"/>
        </w:rPr>
        <w:t>However, </w:t>
      </w:r>
      <w:r>
        <w:rPr>
          <w:sz w:val="21"/>
        </w:rPr>
        <w:t>the </w:t>
      </w:r>
      <w:r>
        <w:rPr>
          <w:spacing w:val="-3"/>
          <w:sz w:val="21"/>
        </w:rPr>
        <w:t>Commission </w:t>
      </w:r>
      <w:r>
        <w:rPr>
          <w:sz w:val="21"/>
        </w:rPr>
        <w:t>considers </w:t>
      </w:r>
      <w:r>
        <w:rPr>
          <w:spacing w:val="-3"/>
          <w:sz w:val="21"/>
        </w:rPr>
        <w:t>that legislative amendment </w:t>
      </w:r>
      <w:r>
        <w:rPr>
          <w:sz w:val="21"/>
        </w:rPr>
        <w:t>is necessary </w:t>
      </w:r>
      <w:r>
        <w:rPr>
          <w:spacing w:val="-3"/>
          <w:sz w:val="21"/>
        </w:rPr>
        <w:t>to ensure that any </w:t>
      </w:r>
      <w:r>
        <w:rPr>
          <w:sz w:val="21"/>
        </w:rPr>
        <w:t>possible </w:t>
      </w:r>
      <w:r>
        <w:rPr>
          <w:spacing w:val="-3"/>
          <w:sz w:val="21"/>
        </w:rPr>
        <w:t>limiting</w:t>
      </w:r>
      <w:r>
        <w:rPr>
          <w:spacing w:val="-20"/>
          <w:sz w:val="21"/>
        </w:rPr>
        <w:t> </w:t>
      </w:r>
      <w:r>
        <w:rPr>
          <w:sz w:val="21"/>
        </w:rPr>
        <w:t>effect of section 97(7)</w:t>
      </w:r>
    </w:p>
    <w:p>
      <w:pPr>
        <w:pStyle w:val="BodyText"/>
        <w:spacing w:before="4"/>
        <w:ind w:left="2381"/>
      </w:pPr>
      <w:r>
        <w:rPr/>
        <w:t>is removed and the court is free to make any order as to costs that it considers just.</w:t>
      </w:r>
    </w:p>
    <w:p>
      <w:pPr>
        <w:pStyle w:val="ListParagraph"/>
        <w:numPr>
          <w:ilvl w:val="1"/>
          <w:numId w:val="82"/>
        </w:numPr>
        <w:tabs>
          <w:tab w:pos="2380" w:val="left" w:leader="none"/>
          <w:tab w:pos="2381" w:val="left" w:leader="none"/>
        </w:tabs>
        <w:spacing w:line="240" w:lineRule="auto" w:before="124" w:after="0"/>
        <w:ind w:left="2381" w:right="0" w:hanging="794"/>
        <w:jc w:val="left"/>
        <w:rPr>
          <w:sz w:val="21"/>
        </w:rPr>
      </w:pPr>
      <w:r>
        <w:rPr>
          <w:w w:val="105"/>
          <w:sz w:val="21"/>
        </w:rPr>
        <w:t>The </w:t>
      </w:r>
      <w:r>
        <w:rPr>
          <w:spacing w:val="-3"/>
          <w:w w:val="105"/>
          <w:sz w:val="21"/>
        </w:rPr>
        <w:t>Commission </w:t>
      </w:r>
      <w:r>
        <w:rPr>
          <w:w w:val="105"/>
          <w:sz w:val="21"/>
        </w:rPr>
        <w:t>agrees with Andrew </w:t>
      </w:r>
      <w:r>
        <w:rPr>
          <w:spacing w:val="-3"/>
          <w:w w:val="105"/>
          <w:sz w:val="21"/>
        </w:rPr>
        <w:t>Verspaandonk’s contention</w:t>
      </w:r>
      <w:r>
        <w:rPr>
          <w:spacing w:val="39"/>
          <w:w w:val="105"/>
          <w:sz w:val="21"/>
        </w:rPr>
        <w:t> </w:t>
      </w:r>
      <w:r>
        <w:rPr>
          <w:w w:val="105"/>
          <w:sz w:val="21"/>
        </w:rPr>
        <w:t>that:</w:t>
      </w:r>
    </w:p>
    <w:p>
      <w:pPr>
        <w:spacing w:line="254" w:lineRule="auto" w:before="133"/>
        <w:ind w:left="2721" w:right="1930" w:firstLine="0"/>
        <w:jc w:val="left"/>
        <w:rPr>
          <w:sz w:val="11"/>
        </w:rPr>
      </w:pPr>
      <w:r>
        <w:rPr>
          <w:sz w:val="20"/>
        </w:rPr>
        <w:t>if legislative options were clearly wide, it would serve to remind practitioners (and some litigants who examine legislation and case law online) of the width of outcomes that   </w:t>
      </w:r>
      <w:r>
        <w:rPr>
          <w:spacing w:val="-3"/>
          <w:sz w:val="20"/>
        </w:rPr>
        <w:t>could</w:t>
      </w:r>
      <w:r>
        <w:rPr>
          <w:spacing w:val="9"/>
          <w:sz w:val="20"/>
        </w:rPr>
        <w:t> </w:t>
      </w:r>
      <w:r>
        <w:rPr>
          <w:sz w:val="20"/>
        </w:rPr>
        <w:t>occur</w:t>
      </w:r>
      <w:r>
        <w:rPr>
          <w:spacing w:val="10"/>
          <w:sz w:val="20"/>
        </w:rPr>
        <w:t> </w:t>
      </w:r>
      <w:r>
        <w:rPr>
          <w:sz w:val="20"/>
        </w:rPr>
        <w:t>under</w:t>
      </w:r>
      <w:r>
        <w:rPr>
          <w:spacing w:val="10"/>
          <w:sz w:val="20"/>
        </w:rPr>
        <w:t> </w:t>
      </w:r>
      <w:r>
        <w:rPr>
          <w:sz w:val="20"/>
        </w:rPr>
        <w:t>the</w:t>
      </w:r>
      <w:r>
        <w:rPr>
          <w:spacing w:val="10"/>
          <w:sz w:val="20"/>
        </w:rPr>
        <w:t> </w:t>
      </w:r>
      <w:r>
        <w:rPr>
          <w:sz w:val="20"/>
        </w:rPr>
        <w:t>rubric</w:t>
      </w:r>
      <w:r>
        <w:rPr>
          <w:spacing w:val="10"/>
          <w:sz w:val="20"/>
        </w:rPr>
        <w:t> </w:t>
      </w:r>
      <w:r>
        <w:rPr>
          <w:sz w:val="20"/>
        </w:rPr>
        <w:t>of</w:t>
      </w:r>
      <w:r>
        <w:rPr>
          <w:spacing w:val="9"/>
          <w:sz w:val="20"/>
        </w:rPr>
        <w:t> </w:t>
      </w:r>
      <w:r>
        <w:rPr>
          <w:sz w:val="20"/>
        </w:rPr>
        <w:t>a</w:t>
      </w:r>
      <w:r>
        <w:rPr>
          <w:spacing w:val="10"/>
          <w:sz w:val="20"/>
        </w:rPr>
        <w:t> </w:t>
      </w:r>
      <w:r>
        <w:rPr>
          <w:sz w:val="20"/>
        </w:rPr>
        <w:t>‘just’</w:t>
      </w:r>
      <w:r>
        <w:rPr>
          <w:spacing w:val="10"/>
          <w:sz w:val="20"/>
        </w:rPr>
        <w:t> </w:t>
      </w:r>
      <w:r>
        <w:rPr>
          <w:sz w:val="20"/>
        </w:rPr>
        <w:t>order</w:t>
      </w:r>
      <w:r>
        <w:rPr>
          <w:spacing w:val="10"/>
          <w:sz w:val="20"/>
        </w:rPr>
        <w:t> </w:t>
      </w:r>
      <w:r>
        <w:rPr>
          <w:sz w:val="20"/>
        </w:rPr>
        <w:t>as</w:t>
      </w:r>
      <w:r>
        <w:rPr>
          <w:spacing w:val="10"/>
          <w:sz w:val="20"/>
        </w:rPr>
        <w:t> </w:t>
      </w:r>
      <w:r>
        <w:rPr>
          <w:sz w:val="20"/>
        </w:rPr>
        <w:t>to</w:t>
      </w:r>
      <w:r>
        <w:rPr>
          <w:spacing w:val="9"/>
          <w:sz w:val="20"/>
        </w:rPr>
        <w:t> </w:t>
      </w:r>
      <w:r>
        <w:rPr>
          <w:spacing w:val="-3"/>
          <w:sz w:val="20"/>
        </w:rPr>
        <w:t>costs.</w:t>
      </w:r>
      <w:r>
        <w:rPr>
          <w:spacing w:val="-3"/>
          <w:position w:val="7"/>
          <w:sz w:val="11"/>
        </w:rPr>
        <w:t>211</w:t>
      </w:r>
    </w:p>
    <w:p>
      <w:pPr>
        <w:pStyle w:val="ListParagraph"/>
        <w:numPr>
          <w:ilvl w:val="1"/>
          <w:numId w:val="82"/>
        </w:numPr>
        <w:tabs>
          <w:tab w:pos="2381" w:val="left" w:leader="none"/>
          <w:tab w:pos="2382" w:val="left" w:leader="none"/>
        </w:tabs>
        <w:spacing w:line="242" w:lineRule="auto" w:before="114" w:after="0"/>
        <w:ind w:left="2381" w:right="1588" w:hanging="794"/>
        <w:jc w:val="left"/>
        <w:rPr>
          <w:sz w:val="21"/>
        </w:rPr>
      </w:pPr>
      <w:r>
        <w:rPr>
          <w:sz w:val="21"/>
        </w:rPr>
        <w:t>Rather </w:t>
      </w:r>
      <w:r>
        <w:rPr>
          <w:spacing w:val="-3"/>
          <w:sz w:val="21"/>
        </w:rPr>
        <w:t>than </w:t>
      </w:r>
      <w:r>
        <w:rPr>
          <w:sz w:val="21"/>
        </w:rPr>
        <w:t>a </w:t>
      </w:r>
      <w:r>
        <w:rPr>
          <w:spacing w:val="-3"/>
          <w:sz w:val="21"/>
        </w:rPr>
        <w:t>legislative presumption, </w:t>
      </w:r>
      <w:r>
        <w:rPr>
          <w:sz w:val="21"/>
        </w:rPr>
        <w:t>which </w:t>
      </w:r>
      <w:r>
        <w:rPr>
          <w:spacing w:val="-3"/>
          <w:sz w:val="21"/>
        </w:rPr>
        <w:t>could have </w:t>
      </w:r>
      <w:r>
        <w:rPr>
          <w:sz w:val="21"/>
        </w:rPr>
        <w:t>the </w:t>
      </w:r>
      <w:r>
        <w:rPr>
          <w:spacing w:val="-3"/>
          <w:sz w:val="21"/>
        </w:rPr>
        <w:t>unintended consequence </w:t>
      </w:r>
      <w:r>
        <w:rPr>
          <w:sz w:val="21"/>
        </w:rPr>
        <w:t>of </w:t>
      </w:r>
      <w:r>
        <w:rPr>
          <w:spacing w:val="-3"/>
          <w:sz w:val="21"/>
        </w:rPr>
        <w:t>limiting </w:t>
      </w:r>
      <w:r>
        <w:rPr>
          <w:sz w:val="21"/>
        </w:rPr>
        <w:t>the courts’ </w:t>
      </w:r>
      <w:r>
        <w:rPr>
          <w:spacing w:val="-3"/>
          <w:sz w:val="21"/>
        </w:rPr>
        <w:t>discretion </w:t>
      </w:r>
      <w:r>
        <w:rPr>
          <w:sz w:val="21"/>
        </w:rPr>
        <w:t>as </w:t>
      </w:r>
      <w:r>
        <w:rPr>
          <w:spacing w:val="-3"/>
          <w:sz w:val="21"/>
        </w:rPr>
        <w:t>to </w:t>
      </w:r>
      <w:r>
        <w:rPr>
          <w:sz w:val="21"/>
        </w:rPr>
        <w:t>costs in </w:t>
      </w:r>
      <w:r>
        <w:rPr>
          <w:spacing w:val="-3"/>
          <w:sz w:val="21"/>
        </w:rPr>
        <w:t>family provision proceedings, </w:t>
      </w:r>
      <w:r>
        <w:rPr>
          <w:sz w:val="21"/>
        </w:rPr>
        <w:t>the </w:t>
      </w:r>
      <w:r>
        <w:rPr>
          <w:spacing w:val="-3"/>
          <w:sz w:val="21"/>
        </w:rPr>
        <w:t>Commission </w:t>
      </w:r>
      <w:r>
        <w:rPr>
          <w:sz w:val="21"/>
        </w:rPr>
        <w:t>considers </w:t>
      </w:r>
      <w:r>
        <w:rPr>
          <w:spacing w:val="-3"/>
          <w:sz w:val="21"/>
        </w:rPr>
        <w:t>that </w:t>
      </w:r>
      <w:r>
        <w:rPr>
          <w:sz w:val="21"/>
        </w:rPr>
        <w:t>the </w:t>
      </w:r>
      <w:r>
        <w:rPr>
          <w:spacing w:val="-3"/>
          <w:sz w:val="21"/>
        </w:rPr>
        <w:t>Administration </w:t>
      </w:r>
      <w:r>
        <w:rPr>
          <w:sz w:val="21"/>
        </w:rPr>
        <w:t>and </w:t>
      </w:r>
      <w:r>
        <w:rPr>
          <w:spacing w:val="-3"/>
          <w:sz w:val="21"/>
        </w:rPr>
        <w:t>Probate </w:t>
      </w:r>
      <w:r>
        <w:rPr>
          <w:sz w:val="21"/>
        </w:rPr>
        <w:t>Act should specify </w:t>
      </w:r>
      <w:r>
        <w:rPr>
          <w:spacing w:val="-3"/>
          <w:sz w:val="21"/>
        </w:rPr>
        <w:t>that </w:t>
      </w:r>
      <w:r>
        <w:rPr>
          <w:sz w:val="21"/>
        </w:rPr>
        <w:t>the court </w:t>
      </w:r>
      <w:r>
        <w:rPr>
          <w:spacing w:val="-3"/>
          <w:sz w:val="21"/>
        </w:rPr>
        <w:t>may </w:t>
      </w:r>
      <w:r>
        <w:rPr>
          <w:spacing w:val="-4"/>
          <w:sz w:val="21"/>
        </w:rPr>
        <w:t>make  </w:t>
      </w:r>
      <w:r>
        <w:rPr>
          <w:spacing w:val="-3"/>
          <w:sz w:val="21"/>
        </w:rPr>
        <w:t>any  </w:t>
      </w:r>
      <w:r>
        <w:rPr>
          <w:sz w:val="21"/>
        </w:rPr>
        <w:t>order as </w:t>
      </w:r>
      <w:r>
        <w:rPr>
          <w:spacing w:val="-3"/>
          <w:sz w:val="21"/>
        </w:rPr>
        <w:t>to</w:t>
      </w:r>
      <w:r>
        <w:rPr>
          <w:spacing w:val="41"/>
          <w:sz w:val="21"/>
        </w:rPr>
        <w:t> </w:t>
      </w:r>
      <w:r>
        <w:rPr>
          <w:sz w:val="21"/>
        </w:rPr>
        <w:t>costs </w:t>
      </w:r>
      <w:r>
        <w:rPr>
          <w:spacing w:val="-3"/>
          <w:sz w:val="21"/>
        </w:rPr>
        <w:t>that  </w:t>
      </w:r>
      <w:r>
        <w:rPr>
          <w:sz w:val="21"/>
        </w:rPr>
        <w:t>it considers just, and then list </w:t>
      </w:r>
      <w:r>
        <w:rPr>
          <w:spacing w:val="-3"/>
          <w:sz w:val="21"/>
        </w:rPr>
        <w:t>several  </w:t>
      </w:r>
      <w:r>
        <w:rPr>
          <w:sz w:val="21"/>
        </w:rPr>
        <w:t>examples of the costs orders</w:t>
      </w:r>
      <w:r>
        <w:rPr>
          <w:spacing w:val="10"/>
          <w:sz w:val="21"/>
        </w:rPr>
        <w:t> </w:t>
      </w:r>
      <w:r>
        <w:rPr>
          <w:spacing w:val="-3"/>
          <w:sz w:val="21"/>
        </w:rPr>
        <w:t>that</w:t>
      </w:r>
      <w:r>
        <w:rPr>
          <w:spacing w:val="11"/>
          <w:sz w:val="21"/>
        </w:rPr>
        <w:t> </w:t>
      </w:r>
      <w:r>
        <w:rPr>
          <w:sz w:val="21"/>
        </w:rPr>
        <w:t>the</w:t>
      </w:r>
      <w:r>
        <w:rPr>
          <w:spacing w:val="11"/>
          <w:sz w:val="21"/>
        </w:rPr>
        <w:t> </w:t>
      </w:r>
      <w:r>
        <w:rPr>
          <w:sz w:val="21"/>
        </w:rPr>
        <w:t>court</w:t>
      </w:r>
      <w:r>
        <w:rPr>
          <w:spacing w:val="11"/>
          <w:sz w:val="21"/>
        </w:rPr>
        <w:t> </w:t>
      </w:r>
      <w:r>
        <w:rPr>
          <w:spacing w:val="-3"/>
          <w:sz w:val="21"/>
        </w:rPr>
        <w:t>may</w:t>
      </w:r>
      <w:r>
        <w:rPr>
          <w:spacing w:val="11"/>
          <w:sz w:val="21"/>
        </w:rPr>
        <w:t> </w:t>
      </w:r>
      <w:r>
        <w:rPr>
          <w:spacing w:val="-4"/>
          <w:sz w:val="21"/>
        </w:rPr>
        <w:t>make</w:t>
      </w:r>
      <w:r>
        <w:rPr>
          <w:spacing w:val="11"/>
          <w:sz w:val="21"/>
        </w:rPr>
        <w:t> </w:t>
      </w:r>
      <w:r>
        <w:rPr>
          <w:sz w:val="21"/>
        </w:rPr>
        <w:t>in</w:t>
      </w:r>
      <w:r>
        <w:rPr>
          <w:spacing w:val="11"/>
          <w:sz w:val="21"/>
        </w:rPr>
        <w:t> </w:t>
      </w:r>
      <w:r>
        <w:rPr>
          <w:spacing w:val="-3"/>
          <w:sz w:val="21"/>
        </w:rPr>
        <w:t>family</w:t>
      </w:r>
      <w:r>
        <w:rPr>
          <w:spacing w:val="11"/>
          <w:sz w:val="21"/>
        </w:rPr>
        <w:t> </w:t>
      </w:r>
      <w:r>
        <w:rPr>
          <w:spacing w:val="-3"/>
          <w:sz w:val="21"/>
        </w:rPr>
        <w:t>provision</w:t>
      </w:r>
      <w:r>
        <w:rPr>
          <w:spacing w:val="11"/>
          <w:sz w:val="21"/>
        </w:rPr>
        <w:t> </w:t>
      </w:r>
      <w:r>
        <w:rPr>
          <w:spacing w:val="-3"/>
          <w:sz w:val="21"/>
        </w:rPr>
        <w:t>proceedings.</w:t>
      </w:r>
    </w:p>
    <w:p>
      <w:pPr>
        <w:pStyle w:val="BodyText"/>
        <w:spacing w:before="3"/>
        <w:rPr>
          <w:sz w:val="16"/>
        </w:rPr>
      </w:pPr>
      <w:r>
        <w:rPr/>
        <w:pict>
          <v:group style="position:absolute;margin-left:62.362202pt;margin-top:11.885008pt;width:479.1pt;height:230.55pt;mso-position-horizontal-relative:page;mso-position-vertical-relative:paragraph;z-index:7424;mso-wrap-distance-left:0;mso-wrap-distance-right:0" coordorigin="1247,238" coordsize="9582,4611">
            <v:rect style="position:absolute;left:1587;top:237;width:8731;height:4611" filled="true" fillcolor="#fdebea" stroked="false">
              <v:fill type="solid"/>
            </v:rect>
            <v:line style="position:absolute" from="1247,988" to="10828,988" stroked="true" strokeweight="2.5pt" strokecolor="#ffffff">
              <v:stroke dashstyle="solid"/>
            </v:line>
            <v:shape style="position:absolute;left:2381;top:1225;width:7659;height:3450" type="#_x0000_t202" filled="false" stroked="false">
              <v:textbox inset="0,0,0,0">
                <w:txbxContent>
                  <w:p>
                    <w:pPr>
                      <w:spacing w:line="242" w:lineRule="auto" w:before="0"/>
                      <w:ind w:left="0" w:right="0" w:firstLine="0"/>
                      <w:jc w:val="left"/>
                      <w:rPr>
                        <w:sz w:val="21"/>
                      </w:rPr>
                    </w:pPr>
                    <w:r>
                      <w:rPr>
                        <w:w w:val="105"/>
                        <w:sz w:val="21"/>
                      </w:rPr>
                      <w:t>Sections</w:t>
                    </w:r>
                    <w:r>
                      <w:rPr>
                        <w:spacing w:val="-8"/>
                        <w:w w:val="105"/>
                        <w:sz w:val="21"/>
                      </w:rPr>
                      <w:t> </w:t>
                    </w:r>
                    <w:r>
                      <w:rPr>
                        <w:w w:val="105"/>
                        <w:sz w:val="21"/>
                      </w:rPr>
                      <w:t>97(6)</w:t>
                    </w:r>
                    <w:r>
                      <w:rPr>
                        <w:spacing w:val="-7"/>
                        <w:w w:val="105"/>
                        <w:sz w:val="21"/>
                      </w:rPr>
                      <w:t> </w:t>
                    </w:r>
                    <w:r>
                      <w:rPr>
                        <w:w w:val="105"/>
                        <w:sz w:val="21"/>
                      </w:rPr>
                      <w:t>and</w:t>
                    </w:r>
                    <w:r>
                      <w:rPr>
                        <w:spacing w:val="-8"/>
                        <w:w w:val="105"/>
                        <w:sz w:val="21"/>
                      </w:rPr>
                      <w:t> </w:t>
                    </w:r>
                    <w:r>
                      <w:rPr>
                        <w:w w:val="105"/>
                        <w:sz w:val="21"/>
                      </w:rPr>
                      <w:t>97(7)</w:t>
                    </w:r>
                    <w:r>
                      <w:rPr>
                        <w:spacing w:val="-7"/>
                        <w:w w:val="105"/>
                        <w:sz w:val="21"/>
                      </w:rPr>
                      <w:t> </w:t>
                    </w:r>
                    <w:r>
                      <w:rPr>
                        <w:w w:val="105"/>
                        <w:sz w:val="21"/>
                      </w:rPr>
                      <w:t>of</w:t>
                    </w:r>
                    <w:r>
                      <w:rPr>
                        <w:spacing w:val="-7"/>
                        <w:w w:val="105"/>
                        <w:sz w:val="21"/>
                      </w:rPr>
                      <w:t> </w:t>
                    </w:r>
                    <w:r>
                      <w:rPr>
                        <w:w w:val="105"/>
                        <w:sz w:val="21"/>
                      </w:rPr>
                      <w:t>the</w:t>
                    </w:r>
                    <w:r>
                      <w:rPr>
                        <w:spacing w:val="-8"/>
                        <w:w w:val="105"/>
                        <w:sz w:val="21"/>
                      </w:rPr>
                      <w:t> </w:t>
                    </w:r>
                    <w:r>
                      <w:rPr>
                        <w:rFonts w:ascii="Lucida Sans"/>
                        <w:i/>
                        <w:w w:val="105"/>
                        <w:sz w:val="21"/>
                      </w:rPr>
                      <w:t>Administration</w:t>
                    </w:r>
                    <w:r>
                      <w:rPr>
                        <w:rFonts w:ascii="Lucida Sans"/>
                        <w:i/>
                        <w:spacing w:val="-27"/>
                        <w:w w:val="105"/>
                        <w:sz w:val="21"/>
                      </w:rPr>
                      <w:t> </w:t>
                    </w:r>
                    <w:r>
                      <w:rPr>
                        <w:rFonts w:ascii="Lucida Sans"/>
                        <w:i/>
                        <w:w w:val="105"/>
                        <w:sz w:val="21"/>
                      </w:rPr>
                      <w:t>and</w:t>
                    </w:r>
                    <w:r>
                      <w:rPr>
                        <w:rFonts w:ascii="Lucida Sans"/>
                        <w:i/>
                        <w:spacing w:val="-27"/>
                        <w:w w:val="105"/>
                        <w:sz w:val="21"/>
                      </w:rPr>
                      <w:t> </w:t>
                    </w:r>
                    <w:r>
                      <w:rPr>
                        <w:rFonts w:ascii="Lucida Sans"/>
                        <w:i/>
                        <w:w w:val="105"/>
                        <w:sz w:val="21"/>
                      </w:rPr>
                      <w:t>Probate</w:t>
                    </w:r>
                    <w:r>
                      <w:rPr>
                        <w:rFonts w:ascii="Lucida Sans"/>
                        <w:i/>
                        <w:spacing w:val="-27"/>
                        <w:w w:val="105"/>
                        <w:sz w:val="21"/>
                      </w:rPr>
                      <w:t> </w:t>
                    </w:r>
                    <w:r>
                      <w:rPr>
                        <w:rFonts w:ascii="Lucida Sans"/>
                        <w:i/>
                        <w:w w:val="105"/>
                        <w:sz w:val="21"/>
                      </w:rPr>
                      <w:t>Act</w:t>
                    </w:r>
                    <w:r>
                      <w:rPr>
                        <w:rFonts w:ascii="Lucida Sans"/>
                        <w:i/>
                        <w:spacing w:val="-28"/>
                        <w:w w:val="105"/>
                        <w:sz w:val="21"/>
                      </w:rPr>
                      <w:t> </w:t>
                    </w:r>
                    <w:r>
                      <w:rPr>
                        <w:rFonts w:ascii="Lucida Sans"/>
                        <w:i/>
                        <w:spacing w:val="-4"/>
                        <w:w w:val="105"/>
                        <w:sz w:val="21"/>
                      </w:rPr>
                      <w:t>1958</w:t>
                    </w:r>
                    <w:r>
                      <w:rPr>
                        <w:rFonts w:ascii="Lucida Sans"/>
                        <w:i/>
                        <w:spacing w:val="-27"/>
                        <w:w w:val="105"/>
                        <w:sz w:val="21"/>
                      </w:rPr>
                      <w:t> </w:t>
                    </w:r>
                    <w:r>
                      <w:rPr>
                        <w:w w:val="105"/>
                        <w:sz w:val="21"/>
                      </w:rPr>
                      <w:t>(Vic) should</w:t>
                    </w:r>
                    <w:r>
                      <w:rPr>
                        <w:spacing w:val="12"/>
                        <w:w w:val="105"/>
                        <w:sz w:val="21"/>
                      </w:rPr>
                      <w:t> </w:t>
                    </w:r>
                    <w:r>
                      <w:rPr>
                        <w:w w:val="105"/>
                        <w:sz w:val="21"/>
                      </w:rPr>
                      <w:t>be</w:t>
                    </w:r>
                    <w:r>
                      <w:rPr>
                        <w:spacing w:val="13"/>
                        <w:w w:val="105"/>
                        <w:sz w:val="21"/>
                      </w:rPr>
                      <w:t> </w:t>
                    </w:r>
                    <w:r>
                      <w:rPr>
                        <w:w w:val="105"/>
                        <w:sz w:val="21"/>
                      </w:rPr>
                      <w:t>repealed</w:t>
                    </w:r>
                    <w:r>
                      <w:rPr>
                        <w:spacing w:val="12"/>
                        <w:w w:val="105"/>
                        <w:sz w:val="21"/>
                      </w:rPr>
                      <w:t> </w:t>
                    </w:r>
                    <w:r>
                      <w:rPr>
                        <w:w w:val="105"/>
                        <w:sz w:val="21"/>
                      </w:rPr>
                      <w:t>and</w:t>
                    </w:r>
                    <w:r>
                      <w:rPr>
                        <w:spacing w:val="13"/>
                        <w:w w:val="105"/>
                        <w:sz w:val="21"/>
                      </w:rPr>
                      <w:t> </w:t>
                    </w:r>
                    <w:r>
                      <w:rPr>
                        <w:w w:val="105"/>
                        <w:sz w:val="21"/>
                      </w:rPr>
                      <w:t>replaced</w:t>
                    </w:r>
                    <w:r>
                      <w:rPr>
                        <w:spacing w:val="13"/>
                        <w:w w:val="105"/>
                        <w:sz w:val="21"/>
                      </w:rPr>
                      <w:t> </w:t>
                    </w:r>
                    <w:r>
                      <w:rPr>
                        <w:w w:val="105"/>
                        <w:sz w:val="21"/>
                      </w:rPr>
                      <w:t>by</w:t>
                    </w:r>
                    <w:r>
                      <w:rPr>
                        <w:spacing w:val="12"/>
                        <w:w w:val="105"/>
                        <w:sz w:val="21"/>
                      </w:rPr>
                      <w:t> </w:t>
                    </w:r>
                    <w:r>
                      <w:rPr>
                        <w:w w:val="105"/>
                        <w:sz w:val="21"/>
                      </w:rPr>
                      <w:t>provisions</w:t>
                    </w:r>
                    <w:r>
                      <w:rPr>
                        <w:spacing w:val="13"/>
                        <w:w w:val="105"/>
                        <w:sz w:val="21"/>
                      </w:rPr>
                      <w:t> </w:t>
                    </w:r>
                    <w:r>
                      <w:rPr>
                        <w:w w:val="105"/>
                        <w:sz w:val="21"/>
                      </w:rPr>
                      <w:t>that:</w:t>
                    </w:r>
                  </w:p>
                  <w:p>
                    <w:pPr>
                      <w:numPr>
                        <w:ilvl w:val="0"/>
                        <w:numId w:val="92"/>
                      </w:numPr>
                      <w:tabs>
                        <w:tab w:pos="341" w:val="left" w:leader="none"/>
                      </w:tabs>
                      <w:spacing w:line="242" w:lineRule="auto" w:before="115"/>
                      <w:ind w:left="340" w:right="681" w:hanging="340"/>
                      <w:jc w:val="left"/>
                      <w:rPr>
                        <w:sz w:val="21"/>
                      </w:rPr>
                    </w:pPr>
                    <w:r>
                      <w:rPr>
                        <w:w w:val="115"/>
                        <w:sz w:val="21"/>
                      </w:rPr>
                      <w:t>specify</w:t>
                    </w:r>
                    <w:r>
                      <w:rPr>
                        <w:spacing w:val="-6"/>
                        <w:w w:val="115"/>
                        <w:sz w:val="21"/>
                      </w:rPr>
                      <w:t> </w:t>
                    </w:r>
                    <w:r>
                      <w:rPr>
                        <w:w w:val="115"/>
                        <w:sz w:val="21"/>
                      </w:rPr>
                      <w:t>that</w:t>
                    </w:r>
                    <w:r>
                      <w:rPr>
                        <w:spacing w:val="-5"/>
                        <w:w w:val="115"/>
                        <w:sz w:val="21"/>
                      </w:rPr>
                      <w:t> </w:t>
                    </w:r>
                    <w:r>
                      <w:rPr>
                        <w:w w:val="115"/>
                        <w:sz w:val="21"/>
                      </w:rPr>
                      <w:t>the</w:t>
                    </w:r>
                    <w:r>
                      <w:rPr>
                        <w:spacing w:val="-6"/>
                        <w:w w:val="115"/>
                        <w:sz w:val="21"/>
                      </w:rPr>
                      <w:t> </w:t>
                    </w:r>
                    <w:r>
                      <w:rPr>
                        <w:w w:val="115"/>
                        <w:sz w:val="21"/>
                      </w:rPr>
                      <w:t>court</w:t>
                    </w:r>
                    <w:r>
                      <w:rPr>
                        <w:spacing w:val="-5"/>
                        <w:w w:val="115"/>
                        <w:sz w:val="21"/>
                      </w:rPr>
                      <w:t> </w:t>
                    </w:r>
                    <w:r>
                      <w:rPr>
                        <w:w w:val="115"/>
                        <w:sz w:val="21"/>
                      </w:rPr>
                      <w:t>may</w:t>
                    </w:r>
                    <w:r>
                      <w:rPr>
                        <w:spacing w:val="-5"/>
                        <w:w w:val="115"/>
                        <w:sz w:val="21"/>
                      </w:rPr>
                      <w:t> </w:t>
                    </w:r>
                    <w:r>
                      <w:rPr>
                        <w:spacing w:val="-3"/>
                        <w:w w:val="115"/>
                        <w:sz w:val="21"/>
                      </w:rPr>
                      <w:t>make</w:t>
                    </w:r>
                    <w:r>
                      <w:rPr>
                        <w:spacing w:val="-6"/>
                        <w:w w:val="115"/>
                        <w:sz w:val="21"/>
                      </w:rPr>
                      <w:t> </w:t>
                    </w:r>
                    <w:r>
                      <w:rPr>
                        <w:spacing w:val="-2"/>
                        <w:w w:val="115"/>
                        <w:sz w:val="21"/>
                      </w:rPr>
                      <w:t>any</w:t>
                    </w:r>
                    <w:r>
                      <w:rPr>
                        <w:spacing w:val="-5"/>
                        <w:w w:val="115"/>
                        <w:sz w:val="21"/>
                      </w:rPr>
                      <w:t> </w:t>
                    </w:r>
                    <w:r>
                      <w:rPr>
                        <w:w w:val="115"/>
                        <w:sz w:val="21"/>
                      </w:rPr>
                      <w:t>order</w:t>
                    </w:r>
                    <w:r>
                      <w:rPr>
                        <w:spacing w:val="-5"/>
                        <w:w w:val="115"/>
                        <w:sz w:val="21"/>
                      </w:rPr>
                      <w:t> </w:t>
                    </w:r>
                    <w:r>
                      <w:rPr>
                        <w:w w:val="115"/>
                        <w:sz w:val="21"/>
                      </w:rPr>
                      <w:t>as</w:t>
                    </w:r>
                    <w:r>
                      <w:rPr>
                        <w:spacing w:val="-6"/>
                        <w:w w:val="115"/>
                        <w:sz w:val="21"/>
                      </w:rPr>
                      <w:t> </w:t>
                    </w:r>
                    <w:r>
                      <w:rPr>
                        <w:w w:val="115"/>
                        <w:sz w:val="21"/>
                      </w:rPr>
                      <w:t>to</w:t>
                    </w:r>
                    <w:r>
                      <w:rPr>
                        <w:spacing w:val="-5"/>
                        <w:w w:val="115"/>
                        <w:sz w:val="21"/>
                      </w:rPr>
                      <w:t> </w:t>
                    </w:r>
                    <w:r>
                      <w:rPr>
                        <w:w w:val="115"/>
                        <w:sz w:val="21"/>
                      </w:rPr>
                      <w:t>the</w:t>
                    </w:r>
                    <w:r>
                      <w:rPr>
                        <w:spacing w:val="-5"/>
                        <w:w w:val="115"/>
                        <w:sz w:val="21"/>
                      </w:rPr>
                      <w:t> </w:t>
                    </w:r>
                    <w:r>
                      <w:rPr>
                        <w:w w:val="115"/>
                        <w:sz w:val="21"/>
                      </w:rPr>
                      <w:t>costs</w:t>
                    </w:r>
                    <w:r>
                      <w:rPr>
                        <w:spacing w:val="-6"/>
                        <w:w w:val="115"/>
                        <w:sz w:val="21"/>
                      </w:rPr>
                      <w:t> </w:t>
                    </w:r>
                    <w:r>
                      <w:rPr>
                        <w:w w:val="115"/>
                        <w:sz w:val="21"/>
                      </w:rPr>
                      <w:t>of</w:t>
                    </w:r>
                    <w:r>
                      <w:rPr>
                        <w:spacing w:val="-5"/>
                        <w:w w:val="115"/>
                        <w:sz w:val="21"/>
                      </w:rPr>
                      <w:t> </w:t>
                    </w:r>
                    <w:r>
                      <w:rPr>
                        <w:w w:val="115"/>
                        <w:sz w:val="21"/>
                      </w:rPr>
                      <w:t>a</w:t>
                    </w:r>
                    <w:r>
                      <w:rPr>
                        <w:spacing w:val="-5"/>
                        <w:w w:val="115"/>
                        <w:sz w:val="21"/>
                      </w:rPr>
                      <w:t> </w:t>
                    </w:r>
                    <w:r>
                      <w:rPr>
                        <w:spacing w:val="-3"/>
                        <w:w w:val="115"/>
                        <w:sz w:val="21"/>
                      </w:rPr>
                      <w:t>family </w:t>
                    </w:r>
                    <w:r>
                      <w:rPr>
                        <w:w w:val="115"/>
                        <w:sz w:val="21"/>
                      </w:rPr>
                      <w:t>provision application that is, in the court’s opinion,</w:t>
                    </w:r>
                    <w:r>
                      <w:rPr>
                        <w:spacing w:val="-14"/>
                        <w:w w:val="115"/>
                        <w:sz w:val="21"/>
                      </w:rPr>
                      <w:t> </w:t>
                    </w:r>
                    <w:r>
                      <w:rPr>
                        <w:w w:val="115"/>
                        <w:sz w:val="21"/>
                      </w:rPr>
                      <w:t>just</w:t>
                    </w:r>
                  </w:p>
                  <w:p>
                    <w:pPr>
                      <w:numPr>
                        <w:ilvl w:val="0"/>
                        <w:numId w:val="92"/>
                      </w:numPr>
                      <w:tabs>
                        <w:tab w:pos="341" w:val="left" w:leader="none"/>
                      </w:tabs>
                      <w:spacing w:line="242" w:lineRule="auto" w:before="123"/>
                      <w:ind w:left="340" w:right="18" w:hanging="340"/>
                      <w:jc w:val="left"/>
                      <w:rPr>
                        <w:sz w:val="21"/>
                      </w:rPr>
                    </w:pPr>
                    <w:r>
                      <w:rPr>
                        <w:w w:val="115"/>
                        <w:sz w:val="21"/>
                      </w:rPr>
                      <w:t>set</w:t>
                    </w:r>
                    <w:r>
                      <w:rPr>
                        <w:spacing w:val="-8"/>
                        <w:w w:val="115"/>
                        <w:sz w:val="21"/>
                      </w:rPr>
                      <w:t> </w:t>
                    </w:r>
                    <w:r>
                      <w:rPr>
                        <w:w w:val="115"/>
                        <w:sz w:val="21"/>
                      </w:rPr>
                      <w:t>out</w:t>
                    </w:r>
                    <w:r>
                      <w:rPr>
                        <w:spacing w:val="-8"/>
                        <w:w w:val="115"/>
                        <w:sz w:val="21"/>
                      </w:rPr>
                      <w:t> </w:t>
                    </w:r>
                    <w:r>
                      <w:rPr>
                        <w:w w:val="115"/>
                        <w:sz w:val="21"/>
                      </w:rPr>
                      <w:t>a</w:t>
                    </w:r>
                    <w:r>
                      <w:rPr>
                        <w:spacing w:val="-8"/>
                        <w:w w:val="115"/>
                        <w:sz w:val="21"/>
                      </w:rPr>
                      <w:t> </w:t>
                    </w:r>
                    <w:r>
                      <w:rPr>
                        <w:w w:val="115"/>
                        <w:sz w:val="21"/>
                      </w:rPr>
                      <w:t>non-exhaustive</w:t>
                    </w:r>
                    <w:r>
                      <w:rPr>
                        <w:spacing w:val="-8"/>
                        <w:w w:val="115"/>
                        <w:sz w:val="21"/>
                      </w:rPr>
                      <w:t> </w:t>
                    </w:r>
                    <w:r>
                      <w:rPr>
                        <w:w w:val="115"/>
                        <w:sz w:val="21"/>
                      </w:rPr>
                      <w:t>list</w:t>
                    </w:r>
                    <w:r>
                      <w:rPr>
                        <w:spacing w:val="-8"/>
                        <w:w w:val="115"/>
                        <w:sz w:val="21"/>
                      </w:rPr>
                      <w:t> </w:t>
                    </w:r>
                    <w:r>
                      <w:rPr>
                        <w:w w:val="115"/>
                        <w:sz w:val="21"/>
                      </w:rPr>
                      <w:t>of</w:t>
                    </w:r>
                    <w:r>
                      <w:rPr>
                        <w:spacing w:val="-8"/>
                        <w:w w:val="115"/>
                        <w:sz w:val="21"/>
                      </w:rPr>
                      <w:t> </w:t>
                    </w:r>
                    <w:r>
                      <w:rPr>
                        <w:w w:val="115"/>
                        <w:sz w:val="21"/>
                      </w:rPr>
                      <w:t>the</w:t>
                    </w:r>
                    <w:r>
                      <w:rPr>
                        <w:spacing w:val="-8"/>
                        <w:w w:val="115"/>
                        <w:sz w:val="21"/>
                      </w:rPr>
                      <w:t> </w:t>
                    </w:r>
                    <w:r>
                      <w:rPr>
                        <w:w w:val="115"/>
                        <w:sz w:val="21"/>
                      </w:rPr>
                      <w:t>types</w:t>
                    </w:r>
                    <w:r>
                      <w:rPr>
                        <w:spacing w:val="-8"/>
                        <w:w w:val="115"/>
                        <w:sz w:val="21"/>
                      </w:rPr>
                      <w:t> </w:t>
                    </w:r>
                    <w:r>
                      <w:rPr>
                        <w:w w:val="115"/>
                        <w:sz w:val="21"/>
                      </w:rPr>
                      <w:t>of</w:t>
                    </w:r>
                    <w:r>
                      <w:rPr>
                        <w:spacing w:val="-8"/>
                        <w:w w:val="115"/>
                        <w:sz w:val="21"/>
                      </w:rPr>
                      <w:t> </w:t>
                    </w:r>
                    <w:r>
                      <w:rPr>
                        <w:w w:val="115"/>
                        <w:sz w:val="21"/>
                      </w:rPr>
                      <w:t>costs</w:t>
                    </w:r>
                    <w:r>
                      <w:rPr>
                        <w:spacing w:val="-7"/>
                        <w:w w:val="115"/>
                        <w:sz w:val="21"/>
                      </w:rPr>
                      <w:t> </w:t>
                    </w:r>
                    <w:r>
                      <w:rPr>
                        <w:w w:val="115"/>
                        <w:sz w:val="21"/>
                      </w:rPr>
                      <w:t>orders</w:t>
                    </w:r>
                    <w:r>
                      <w:rPr>
                        <w:spacing w:val="-8"/>
                        <w:w w:val="115"/>
                        <w:sz w:val="21"/>
                      </w:rPr>
                      <w:t> </w:t>
                    </w:r>
                    <w:r>
                      <w:rPr>
                        <w:w w:val="115"/>
                        <w:sz w:val="21"/>
                      </w:rPr>
                      <w:t>that</w:t>
                    </w:r>
                    <w:r>
                      <w:rPr>
                        <w:spacing w:val="-8"/>
                        <w:w w:val="115"/>
                        <w:sz w:val="21"/>
                      </w:rPr>
                      <w:t> </w:t>
                    </w:r>
                    <w:r>
                      <w:rPr>
                        <w:w w:val="115"/>
                        <w:sz w:val="21"/>
                      </w:rPr>
                      <w:t>the</w:t>
                    </w:r>
                    <w:r>
                      <w:rPr>
                        <w:spacing w:val="-8"/>
                        <w:w w:val="115"/>
                        <w:sz w:val="21"/>
                      </w:rPr>
                      <w:t> </w:t>
                    </w:r>
                    <w:r>
                      <w:rPr>
                        <w:w w:val="115"/>
                        <w:sz w:val="21"/>
                      </w:rPr>
                      <w:t>court</w:t>
                    </w:r>
                    <w:r>
                      <w:rPr>
                        <w:spacing w:val="-8"/>
                        <w:w w:val="115"/>
                        <w:sz w:val="21"/>
                      </w:rPr>
                      <w:t> </w:t>
                    </w:r>
                    <w:r>
                      <w:rPr>
                        <w:w w:val="115"/>
                        <w:sz w:val="21"/>
                      </w:rPr>
                      <w:t>may </w:t>
                    </w:r>
                    <w:r>
                      <w:rPr>
                        <w:spacing w:val="-3"/>
                        <w:w w:val="115"/>
                        <w:sz w:val="21"/>
                      </w:rPr>
                      <w:t>make,</w:t>
                    </w:r>
                    <w:r>
                      <w:rPr>
                        <w:w w:val="115"/>
                        <w:sz w:val="21"/>
                      </w:rPr>
                      <w:t> including:</w:t>
                    </w:r>
                  </w:p>
                  <w:p>
                    <w:pPr>
                      <w:numPr>
                        <w:ilvl w:val="1"/>
                        <w:numId w:val="92"/>
                      </w:numPr>
                      <w:tabs>
                        <w:tab w:pos="715" w:val="left" w:leader="none"/>
                      </w:tabs>
                      <w:spacing w:before="122"/>
                      <w:ind w:left="714" w:right="0" w:hanging="374"/>
                      <w:jc w:val="left"/>
                      <w:rPr>
                        <w:sz w:val="21"/>
                      </w:rPr>
                    </w:pPr>
                    <w:r>
                      <w:rPr>
                        <w:w w:val="115"/>
                        <w:sz w:val="21"/>
                      </w:rPr>
                      <w:t>an order that each party bear their own</w:t>
                    </w:r>
                    <w:r>
                      <w:rPr>
                        <w:spacing w:val="-3"/>
                        <w:w w:val="115"/>
                        <w:sz w:val="21"/>
                      </w:rPr>
                      <w:t> </w:t>
                    </w:r>
                    <w:r>
                      <w:rPr>
                        <w:w w:val="115"/>
                        <w:sz w:val="21"/>
                      </w:rPr>
                      <w:t>costs</w:t>
                    </w:r>
                  </w:p>
                  <w:p>
                    <w:pPr>
                      <w:numPr>
                        <w:ilvl w:val="1"/>
                        <w:numId w:val="92"/>
                      </w:numPr>
                      <w:tabs>
                        <w:tab w:pos="713" w:val="left" w:leader="none"/>
                      </w:tabs>
                      <w:spacing w:line="242" w:lineRule="auto" w:before="124"/>
                      <w:ind w:left="712" w:right="836" w:hanging="372"/>
                      <w:jc w:val="left"/>
                      <w:rPr>
                        <w:sz w:val="21"/>
                      </w:rPr>
                    </w:pPr>
                    <w:r>
                      <w:rPr>
                        <w:w w:val="115"/>
                        <w:sz w:val="21"/>
                      </w:rPr>
                      <w:t>an</w:t>
                    </w:r>
                    <w:r>
                      <w:rPr>
                        <w:spacing w:val="-7"/>
                        <w:w w:val="115"/>
                        <w:sz w:val="21"/>
                      </w:rPr>
                      <w:t> </w:t>
                    </w:r>
                    <w:r>
                      <w:rPr>
                        <w:w w:val="115"/>
                        <w:sz w:val="21"/>
                      </w:rPr>
                      <w:t>order</w:t>
                    </w:r>
                    <w:r>
                      <w:rPr>
                        <w:spacing w:val="-6"/>
                        <w:w w:val="115"/>
                        <w:sz w:val="21"/>
                      </w:rPr>
                      <w:t> </w:t>
                    </w:r>
                    <w:r>
                      <w:rPr>
                        <w:w w:val="115"/>
                        <w:sz w:val="21"/>
                      </w:rPr>
                      <w:t>that</w:t>
                    </w:r>
                    <w:r>
                      <w:rPr>
                        <w:spacing w:val="-7"/>
                        <w:w w:val="115"/>
                        <w:sz w:val="21"/>
                      </w:rPr>
                      <w:t> </w:t>
                    </w:r>
                    <w:r>
                      <w:rPr>
                        <w:w w:val="115"/>
                        <w:sz w:val="21"/>
                      </w:rPr>
                      <w:t>the</w:t>
                    </w:r>
                    <w:r>
                      <w:rPr>
                        <w:spacing w:val="-6"/>
                        <w:w w:val="115"/>
                        <w:sz w:val="21"/>
                      </w:rPr>
                      <w:t> </w:t>
                    </w:r>
                    <w:r>
                      <w:rPr>
                        <w:w w:val="115"/>
                        <w:sz w:val="21"/>
                      </w:rPr>
                      <w:t>estate</w:t>
                    </w:r>
                    <w:r>
                      <w:rPr>
                        <w:spacing w:val="-7"/>
                        <w:w w:val="115"/>
                        <w:sz w:val="21"/>
                      </w:rPr>
                      <w:t> </w:t>
                    </w:r>
                    <w:r>
                      <w:rPr>
                        <w:w w:val="115"/>
                        <w:sz w:val="21"/>
                      </w:rPr>
                      <w:t>pay</w:t>
                    </w:r>
                    <w:r>
                      <w:rPr>
                        <w:spacing w:val="-6"/>
                        <w:w w:val="115"/>
                        <w:sz w:val="21"/>
                      </w:rPr>
                      <w:t> </w:t>
                    </w:r>
                    <w:r>
                      <w:rPr>
                        <w:w w:val="115"/>
                        <w:sz w:val="21"/>
                      </w:rPr>
                      <w:t>the</w:t>
                    </w:r>
                    <w:r>
                      <w:rPr>
                        <w:spacing w:val="-7"/>
                        <w:w w:val="115"/>
                        <w:sz w:val="21"/>
                      </w:rPr>
                      <w:t> </w:t>
                    </w:r>
                    <w:r>
                      <w:rPr>
                        <w:w w:val="115"/>
                        <w:sz w:val="21"/>
                      </w:rPr>
                      <w:t>costs</w:t>
                    </w:r>
                    <w:r>
                      <w:rPr>
                        <w:spacing w:val="-6"/>
                        <w:w w:val="115"/>
                        <w:sz w:val="21"/>
                      </w:rPr>
                      <w:t> </w:t>
                    </w:r>
                    <w:r>
                      <w:rPr>
                        <w:w w:val="115"/>
                        <w:sz w:val="21"/>
                      </w:rPr>
                      <w:t>of</w:t>
                    </w:r>
                    <w:r>
                      <w:rPr>
                        <w:spacing w:val="-7"/>
                        <w:w w:val="115"/>
                        <w:sz w:val="21"/>
                      </w:rPr>
                      <w:t> </w:t>
                    </w:r>
                    <w:r>
                      <w:rPr>
                        <w:w w:val="115"/>
                        <w:sz w:val="21"/>
                      </w:rPr>
                      <w:t>an</w:t>
                    </w:r>
                    <w:r>
                      <w:rPr>
                        <w:spacing w:val="-6"/>
                        <w:w w:val="115"/>
                        <w:sz w:val="21"/>
                      </w:rPr>
                      <w:t> </w:t>
                    </w:r>
                    <w:r>
                      <w:rPr>
                        <w:w w:val="115"/>
                        <w:sz w:val="21"/>
                      </w:rPr>
                      <w:t>applicant,</w:t>
                    </w:r>
                    <w:r>
                      <w:rPr>
                        <w:spacing w:val="-7"/>
                        <w:w w:val="115"/>
                        <w:sz w:val="21"/>
                      </w:rPr>
                      <w:t> </w:t>
                    </w:r>
                    <w:r>
                      <w:rPr>
                        <w:w w:val="115"/>
                        <w:sz w:val="21"/>
                      </w:rPr>
                      <w:t>whether successful</w:t>
                    </w:r>
                    <w:r>
                      <w:rPr>
                        <w:spacing w:val="-7"/>
                        <w:w w:val="115"/>
                        <w:sz w:val="21"/>
                      </w:rPr>
                      <w:t> </w:t>
                    </w:r>
                    <w:r>
                      <w:rPr>
                        <w:w w:val="115"/>
                        <w:sz w:val="21"/>
                      </w:rPr>
                      <w:t>or</w:t>
                    </w:r>
                    <w:r>
                      <w:rPr>
                        <w:spacing w:val="-6"/>
                        <w:w w:val="115"/>
                        <w:sz w:val="21"/>
                      </w:rPr>
                      <w:t> </w:t>
                    </w:r>
                    <w:r>
                      <w:rPr>
                        <w:w w:val="115"/>
                        <w:sz w:val="21"/>
                      </w:rPr>
                      <w:t>unsuccessful,</w:t>
                    </w:r>
                    <w:r>
                      <w:rPr>
                        <w:spacing w:val="-6"/>
                        <w:w w:val="115"/>
                        <w:sz w:val="21"/>
                      </w:rPr>
                      <w:t> </w:t>
                    </w:r>
                    <w:r>
                      <w:rPr>
                        <w:w w:val="115"/>
                        <w:sz w:val="21"/>
                      </w:rPr>
                      <w:t>on</w:t>
                    </w:r>
                    <w:r>
                      <w:rPr>
                        <w:spacing w:val="-7"/>
                        <w:w w:val="115"/>
                        <w:sz w:val="21"/>
                      </w:rPr>
                      <w:t> </w:t>
                    </w:r>
                    <w:r>
                      <w:rPr>
                        <w:spacing w:val="-2"/>
                        <w:w w:val="115"/>
                        <w:sz w:val="21"/>
                      </w:rPr>
                      <w:t>any</w:t>
                    </w:r>
                    <w:r>
                      <w:rPr>
                        <w:spacing w:val="-6"/>
                        <w:w w:val="115"/>
                        <w:sz w:val="21"/>
                      </w:rPr>
                      <w:t> </w:t>
                    </w:r>
                    <w:r>
                      <w:rPr>
                        <w:w w:val="115"/>
                        <w:sz w:val="21"/>
                      </w:rPr>
                      <w:t>basis</w:t>
                    </w:r>
                    <w:r>
                      <w:rPr>
                        <w:spacing w:val="-6"/>
                        <w:w w:val="115"/>
                        <w:sz w:val="21"/>
                      </w:rPr>
                      <w:t> </w:t>
                    </w:r>
                    <w:r>
                      <w:rPr>
                        <w:w w:val="115"/>
                        <w:sz w:val="21"/>
                      </w:rPr>
                      <w:t>and</w:t>
                    </w:r>
                    <w:r>
                      <w:rPr>
                        <w:spacing w:val="-7"/>
                        <w:w w:val="115"/>
                        <w:sz w:val="21"/>
                      </w:rPr>
                      <w:t> </w:t>
                    </w:r>
                    <w:r>
                      <w:rPr>
                        <w:w w:val="115"/>
                        <w:sz w:val="21"/>
                      </w:rPr>
                      <w:t>to</w:t>
                    </w:r>
                    <w:r>
                      <w:rPr>
                        <w:spacing w:val="-6"/>
                        <w:w w:val="115"/>
                        <w:sz w:val="21"/>
                      </w:rPr>
                      <w:t> </w:t>
                    </w:r>
                    <w:r>
                      <w:rPr>
                        <w:spacing w:val="-2"/>
                        <w:w w:val="115"/>
                        <w:sz w:val="21"/>
                      </w:rPr>
                      <w:t>any</w:t>
                    </w:r>
                    <w:r>
                      <w:rPr>
                        <w:spacing w:val="-6"/>
                        <w:w w:val="115"/>
                        <w:sz w:val="21"/>
                      </w:rPr>
                      <w:t> </w:t>
                    </w:r>
                    <w:r>
                      <w:rPr>
                        <w:w w:val="115"/>
                        <w:sz w:val="21"/>
                      </w:rPr>
                      <w:t>extent</w:t>
                    </w:r>
                  </w:p>
                  <w:p>
                    <w:pPr>
                      <w:numPr>
                        <w:ilvl w:val="1"/>
                        <w:numId w:val="92"/>
                      </w:numPr>
                      <w:tabs>
                        <w:tab w:pos="711" w:val="left" w:leader="none"/>
                      </w:tabs>
                      <w:spacing w:line="242" w:lineRule="auto" w:before="122"/>
                      <w:ind w:left="710" w:right="229" w:hanging="370"/>
                      <w:jc w:val="left"/>
                      <w:rPr>
                        <w:sz w:val="21"/>
                      </w:rPr>
                    </w:pPr>
                    <w:r>
                      <w:rPr>
                        <w:w w:val="115"/>
                        <w:sz w:val="21"/>
                      </w:rPr>
                      <w:t>an</w:t>
                    </w:r>
                    <w:r>
                      <w:rPr>
                        <w:spacing w:val="-9"/>
                        <w:w w:val="115"/>
                        <w:sz w:val="21"/>
                      </w:rPr>
                      <w:t> </w:t>
                    </w:r>
                    <w:r>
                      <w:rPr>
                        <w:w w:val="115"/>
                        <w:sz w:val="21"/>
                      </w:rPr>
                      <w:t>order</w:t>
                    </w:r>
                    <w:r>
                      <w:rPr>
                        <w:spacing w:val="-9"/>
                        <w:w w:val="115"/>
                        <w:sz w:val="21"/>
                      </w:rPr>
                      <w:t> </w:t>
                    </w:r>
                    <w:r>
                      <w:rPr>
                        <w:w w:val="115"/>
                        <w:sz w:val="21"/>
                      </w:rPr>
                      <w:t>that</w:t>
                    </w:r>
                    <w:r>
                      <w:rPr>
                        <w:spacing w:val="-9"/>
                        <w:w w:val="115"/>
                        <w:sz w:val="21"/>
                      </w:rPr>
                      <w:t> </w:t>
                    </w:r>
                    <w:r>
                      <w:rPr>
                        <w:w w:val="115"/>
                        <w:sz w:val="21"/>
                      </w:rPr>
                      <w:t>an</w:t>
                    </w:r>
                    <w:r>
                      <w:rPr>
                        <w:spacing w:val="-9"/>
                        <w:w w:val="115"/>
                        <w:sz w:val="21"/>
                      </w:rPr>
                      <w:t> </w:t>
                    </w:r>
                    <w:r>
                      <w:rPr>
                        <w:w w:val="115"/>
                        <w:sz w:val="21"/>
                      </w:rPr>
                      <w:t>applicant</w:t>
                    </w:r>
                    <w:r>
                      <w:rPr>
                        <w:spacing w:val="-9"/>
                        <w:w w:val="115"/>
                        <w:sz w:val="21"/>
                      </w:rPr>
                      <w:t> </w:t>
                    </w:r>
                    <w:r>
                      <w:rPr>
                        <w:w w:val="115"/>
                        <w:sz w:val="21"/>
                      </w:rPr>
                      <w:t>pay</w:t>
                    </w:r>
                    <w:r>
                      <w:rPr>
                        <w:spacing w:val="-9"/>
                        <w:w w:val="115"/>
                        <w:sz w:val="21"/>
                      </w:rPr>
                      <w:t> </w:t>
                    </w:r>
                    <w:r>
                      <w:rPr>
                        <w:w w:val="115"/>
                        <w:sz w:val="21"/>
                      </w:rPr>
                      <w:t>the</w:t>
                    </w:r>
                    <w:r>
                      <w:rPr>
                        <w:spacing w:val="-9"/>
                        <w:w w:val="115"/>
                        <w:sz w:val="21"/>
                      </w:rPr>
                      <w:t> </w:t>
                    </w:r>
                    <w:r>
                      <w:rPr>
                        <w:w w:val="115"/>
                        <w:sz w:val="21"/>
                      </w:rPr>
                      <w:t>costs</w:t>
                    </w:r>
                    <w:r>
                      <w:rPr>
                        <w:spacing w:val="-9"/>
                        <w:w w:val="115"/>
                        <w:sz w:val="21"/>
                      </w:rPr>
                      <w:t> </w:t>
                    </w:r>
                    <w:r>
                      <w:rPr>
                        <w:w w:val="115"/>
                        <w:sz w:val="21"/>
                      </w:rPr>
                      <w:t>of</w:t>
                    </w:r>
                    <w:r>
                      <w:rPr>
                        <w:spacing w:val="-9"/>
                        <w:w w:val="115"/>
                        <w:sz w:val="21"/>
                      </w:rPr>
                      <w:t> </w:t>
                    </w:r>
                    <w:r>
                      <w:rPr>
                        <w:w w:val="115"/>
                        <w:sz w:val="21"/>
                      </w:rPr>
                      <w:t>a</w:t>
                    </w:r>
                    <w:r>
                      <w:rPr>
                        <w:spacing w:val="-9"/>
                        <w:w w:val="115"/>
                        <w:sz w:val="21"/>
                      </w:rPr>
                      <w:t> </w:t>
                    </w:r>
                    <w:r>
                      <w:rPr>
                        <w:w w:val="115"/>
                        <w:sz w:val="21"/>
                      </w:rPr>
                      <w:t>personal</w:t>
                    </w:r>
                    <w:r>
                      <w:rPr>
                        <w:spacing w:val="-9"/>
                        <w:w w:val="115"/>
                        <w:sz w:val="21"/>
                      </w:rPr>
                      <w:t> </w:t>
                    </w:r>
                    <w:r>
                      <w:rPr>
                        <w:w w:val="115"/>
                        <w:sz w:val="21"/>
                      </w:rPr>
                      <w:t>representative, on </w:t>
                    </w:r>
                    <w:r>
                      <w:rPr>
                        <w:spacing w:val="-2"/>
                        <w:w w:val="115"/>
                        <w:sz w:val="21"/>
                      </w:rPr>
                      <w:t>any </w:t>
                    </w:r>
                    <w:r>
                      <w:rPr>
                        <w:w w:val="115"/>
                        <w:sz w:val="21"/>
                      </w:rPr>
                      <w:t>basis and to </w:t>
                    </w:r>
                    <w:r>
                      <w:rPr>
                        <w:spacing w:val="-2"/>
                        <w:w w:val="115"/>
                        <w:sz w:val="21"/>
                      </w:rPr>
                      <w:t>any</w:t>
                    </w:r>
                    <w:r>
                      <w:rPr>
                        <w:spacing w:val="4"/>
                        <w:w w:val="115"/>
                        <w:sz w:val="21"/>
                      </w:rPr>
                      <w:t> </w:t>
                    </w:r>
                    <w:r>
                      <w:rPr>
                        <w:w w:val="115"/>
                        <w:sz w:val="21"/>
                      </w:rPr>
                      <w:t>extent.</w:t>
                    </w:r>
                  </w:p>
                </w:txbxContent>
              </v:textbox>
              <w10:wrap type="none"/>
            </v:shape>
            <v:shape style="position:absolute;left:1814;top:1225;width:242;height:249" type="#_x0000_t202" filled="false" stroked="false">
              <v:textbox inset="0,0,0,0">
                <w:txbxContent>
                  <w:p>
                    <w:pPr>
                      <w:spacing w:line="249" w:lineRule="exact" w:before="0"/>
                      <w:ind w:left="0" w:right="0" w:firstLine="0"/>
                      <w:jc w:val="left"/>
                      <w:rPr>
                        <w:sz w:val="21"/>
                      </w:rPr>
                    </w:pPr>
                    <w:r>
                      <w:rPr>
                        <w:w w:val="110"/>
                        <w:sz w:val="21"/>
                      </w:rPr>
                      <w:t>41</w:t>
                    </w:r>
                  </w:p>
                </w:txbxContent>
              </v:textbox>
              <w10:wrap type="none"/>
            </v:shape>
            <v:shape style="position:absolute;left:1587;top:237;width:8731;height:726" type="#_x0000_t202" filled="true" fillcolor="#fdebea" stroked="false">
              <v:textbox inset="0,0,0,0">
                <w:txbxContent>
                  <w:p>
                    <w:pPr>
                      <w:spacing w:before="166"/>
                      <w:ind w:left="226" w:right="0" w:firstLine="0"/>
                      <w:jc w:val="left"/>
                      <w:rPr>
                        <w:b/>
                        <w:sz w:val="32"/>
                      </w:rPr>
                    </w:pPr>
                    <w:r>
                      <w:rPr>
                        <w:b/>
                        <w:color w:val="EC5A4F"/>
                        <w:w w:val="110"/>
                        <w:sz w:val="32"/>
                      </w:rPr>
                      <w:t>Recommendation</w:t>
                    </w:r>
                  </w:p>
                </w:txbxContent>
              </v:textbox>
              <v:fill type="solid"/>
              <w10:wrap type="none"/>
            </v:shap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0"/>
        </w:rPr>
      </w:pPr>
      <w:r>
        <w:rPr/>
        <w:pict>
          <v:line style="position:absolute;mso-position-horizontal-relative:page;mso-position-vertical-relative:paragraph;z-index:7448;mso-wrap-distance-left:0;mso-wrap-distance-right:0" from="79.370003pt,15.028475pt" to="515.905003pt,15.028475pt" stroked="true" strokeweight="1pt" strokecolor="#f9ceca">
            <v:stroke dashstyle="solid"/>
            <w10:wrap type="topAndBottom"/>
          </v:line>
        </w:pict>
      </w:r>
    </w:p>
    <w:p>
      <w:pPr>
        <w:pStyle w:val="BodyText"/>
        <w:spacing w:before="8"/>
        <w:rPr>
          <w:sz w:val="5"/>
        </w:rPr>
      </w:pPr>
    </w:p>
    <w:p>
      <w:pPr>
        <w:spacing w:after="0"/>
        <w:rPr>
          <w:sz w:val="5"/>
        </w:rPr>
        <w:sectPr>
          <w:pgSz w:w="11910" w:h="16840"/>
          <w:pgMar w:header="550" w:footer="0" w:top="1560" w:bottom="280" w:left="0" w:right="0"/>
        </w:sectPr>
      </w:pPr>
    </w:p>
    <w:p>
      <w:pPr>
        <w:pStyle w:val="BodyText"/>
        <w:rPr>
          <w:sz w:val="28"/>
        </w:rPr>
      </w:pPr>
    </w:p>
    <w:p>
      <w:pPr>
        <w:pStyle w:val="BodyText"/>
        <w:spacing w:before="1"/>
        <w:rPr>
          <w:sz w:val="34"/>
        </w:rPr>
      </w:pPr>
    </w:p>
    <w:p>
      <w:pPr>
        <w:spacing w:before="0"/>
        <w:ind w:left="720" w:right="0" w:firstLine="0"/>
        <w:jc w:val="left"/>
        <w:rPr>
          <w:b/>
          <w:sz w:val="24"/>
        </w:rPr>
      </w:pPr>
      <w:r>
        <w:rPr>
          <w:b/>
          <w:color w:val="EC5A4F"/>
          <w:spacing w:val="-4"/>
          <w:w w:val="110"/>
          <w:sz w:val="24"/>
        </w:rPr>
        <w:t>120</w:t>
      </w:r>
    </w:p>
    <w:p>
      <w:pPr>
        <w:pStyle w:val="ListParagraph"/>
        <w:numPr>
          <w:ilvl w:val="0"/>
          <w:numId w:val="91"/>
        </w:numPr>
        <w:tabs>
          <w:tab w:pos="1230" w:val="left" w:leader="none"/>
          <w:tab w:pos="1231" w:val="left" w:leader="none"/>
        </w:tabs>
        <w:spacing w:line="240" w:lineRule="auto" w:before="48" w:after="0"/>
        <w:ind w:left="1230" w:right="1792" w:hanging="794"/>
        <w:jc w:val="left"/>
        <w:rPr>
          <w:sz w:val="13"/>
        </w:rPr>
      </w:pPr>
      <w:r>
        <w:rPr>
          <w:w w:val="108"/>
          <w:sz w:val="13"/>
        </w:rPr>
        <w:br w:type="column"/>
      </w:r>
      <w:r>
        <w:rPr>
          <w:sz w:val="13"/>
        </w:rPr>
        <w:t>Submissions 8 (Deirdre </w:t>
      </w:r>
      <w:r>
        <w:rPr>
          <w:spacing w:val="2"/>
          <w:sz w:val="13"/>
        </w:rPr>
        <w:t>Lampard);  </w:t>
      </w:r>
      <w:r>
        <w:rPr>
          <w:spacing w:val="-3"/>
          <w:sz w:val="13"/>
        </w:rPr>
        <w:t>19  </w:t>
      </w:r>
      <w:r>
        <w:rPr>
          <w:spacing w:val="2"/>
          <w:sz w:val="13"/>
        </w:rPr>
        <w:t>(Association  </w:t>
      </w:r>
      <w:r>
        <w:rPr>
          <w:sz w:val="13"/>
        </w:rPr>
        <w:t>of  Independent  Retirees);  </w:t>
      </w:r>
      <w:r>
        <w:rPr>
          <w:spacing w:val="-3"/>
          <w:sz w:val="13"/>
        </w:rPr>
        <w:t>41  </w:t>
      </w:r>
      <w:r>
        <w:rPr>
          <w:spacing w:val="2"/>
          <w:sz w:val="13"/>
        </w:rPr>
        <w:t>(Victorian  </w:t>
      </w:r>
      <w:r>
        <w:rPr>
          <w:sz w:val="13"/>
        </w:rPr>
        <w:t>Farmers  Federation).  However,  the  Association of</w:t>
      </w:r>
      <w:r>
        <w:rPr>
          <w:spacing w:val="9"/>
          <w:sz w:val="13"/>
        </w:rPr>
        <w:t> </w:t>
      </w:r>
      <w:r>
        <w:rPr>
          <w:sz w:val="13"/>
        </w:rPr>
        <w:t>Independent</w:t>
      </w:r>
      <w:r>
        <w:rPr>
          <w:spacing w:val="10"/>
          <w:sz w:val="13"/>
        </w:rPr>
        <w:t> </w:t>
      </w:r>
      <w:r>
        <w:rPr>
          <w:sz w:val="13"/>
        </w:rPr>
        <w:t>Retirees</w:t>
      </w:r>
      <w:r>
        <w:rPr>
          <w:spacing w:val="9"/>
          <w:sz w:val="13"/>
        </w:rPr>
        <w:t> </w:t>
      </w:r>
      <w:r>
        <w:rPr>
          <w:sz w:val="13"/>
        </w:rPr>
        <w:t>also</w:t>
      </w:r>
      <w:r>
        <w:rPr>
          <w:spacing w:val="10"/>
          <w:sz w:val="13"/>
        </w:rPr>
        <w:t> </w:t>
      </w:r>
      <w:r>
        <w:rPr>
          <w:sz w:val="13"/>
        </w:rPr>
        <w:t>expressed</w:t>
      </w:r>
      <w:r>
        <w:rPr>
          <w:spacing w:val="9"/>
          <w:sz w:val="13"/>
        </w:rPr>
        <w:t> </w:t>
      </w:r>
      <w:r>
        <w:rPr>
          <w:sz w:val="13"/>
        </w:rPr>
        <w:t>the</w:t>
      </w:r>
      <w:r>
        <w:rPr>
          <w:spacing w:val="10"/>
          <w:sz w:val="13"/>
        </w:rPr>
        <w:t> </w:t>
      </w:r>
      <w:r>
        <w:rPr>
          <w:sz w:val="13"/>
        </w:rPr>
        <w:t>view</w:t>
      </w:r>
      <w:r>
        <w:rPr>
          <w:spacing w:val="9"/>
          <w:sz w:val="13"/>
        </w:rPr>
        <w:t> </w:t>
      </w:r>
      <w:r>
        <w:rPr>
          <w:sz w:val="13"/>
        </w:rPr>
        <w:t>that,</w:t>
      </w:r>
      <w:r>
        <w:rPr>
          <w:spacing w:val="10"/>
          <w:sz w:val="13"/>
        </w:rPr>
        <w:t> </w:t>
      </w:r>
      <w:r>
        <w:rPr>
          <w:sz w:val="13"/>
        </w:rPr>
        <w:t>as</w:t>
      </w:r>
      <w:r>
        <w:rPr>
          <w:spacing w:val="10"/>
          <w:sz w:val="13"/>
        </w:rPr>
        <w:t> </w:t>
      </w:r>
      <w:r>
        <w:rPr>
          <w:sz w:val="13"/>
        </w:rPr>
        <w:t>a</w:t>
      </w:r>
      <w:r>
        <w:rPr>
          <w:spacing w:val="9"/>
          <w:sz w:val="13"/>
        </w:rPr>
        <w:t> </w:t>
      </w:r>
      <w:r>
        <w:rPr>
          <w:sz w:val="13"/>
        </w:rPr>
        <w:t>starting</w:t>
      </w:r>
      <w:r>
        <w:rPr>
          <w:spacing w:val="10"/>
          <w:sz w:val="13"/>
        </w:rPr>
        <w:t> </w:t>
      </w:r>
      <w:r>
        <w:rPr>
          <w:sz w:val="13"/>
        </w:rPr>
        <w:t>point,</w:t>
      </w:r>
      <w:r>
        <w:rPr>
          <w:spacing w:val="9"/>
          <w:sz w:val="13"/>
        </w:rPr>
        <w:t> </w:t>
      </w:r>
      <w:r>
        <w:rPr>
          <w:sz w:val="13"/>
        </w:rPr>
        <w:t>costs</w:t>
      </w:r>
      <w:r>
        <w:rPr>
          <w:spacing w:val="10"/>
          <w:sz w:val="13"/>
        </w:rPr>
        <w:t> </w:t>
      </w:r>
      <w:r>
        <w:rPr>
          <w:sz w:val="13"/>
        </w:rPr>
        <w:t>should</w:t>
      </w:r>
      <w:r>
        <w:rPr>
          <w:spacing w:val="9"/>
          <w:sz w:val="13"/>
        </w:rPr>
        <w:t> </w:t>
      </w:r>
      <w:r>
        <w:rPr>
          <w:sz w:val="13"/>
        </w:rPr>
        <w:t>follow</w:t>
      </w:r>
      <w:r>
        <w:rPr>
          <w:spacing w:val="10"/>
          <w:sz w:val="13"/>
        </w:rPr>
        <w:t> </w:t>
      </w:r>
      <w:r>
        <w:rPr>
          <w:sz w:val="13"/>
        </w:rPr>
        <w:t>the</w:t>
      </w:r>
      <w:r>
        <w:rPr>
          <w:spacing w:val="10"/>
          <w:sz w:val="13"/>
        </w:rPr>
        <w:t> </w:t>
      </w:r>
      <w:r>
        <w:rPr>
          <w:sz w:val="13"/>
        </w:rPr>
        <w:t>event.</w:t>
      </w:r>
    </w:p>
    <w:p>
      <w:pPr>
        <w:pStyle w:val="ListParagraph"/>
        <w:numPr>
          <w:ilvl w:val="0"/>
          <w:numId w:val="91"/>
        </w:numPr>
        <w:tabs>
          <w:tab w:pos="1230" w:val="left" w:leader="none"/>
          <w:tab w:pos="1231" w:val="left" w:leader="none"/>
        </w:tabs>
        <w:spacing w:line="240" w:lineRule="auto" w:before="3" w:after="0"/>
        <w:ind w:left="1230" w:right="0" w:hanging="794"/>
        <w:jc w:val="left"/>
        <w:rPr>
          <w:sz w:val="13"/>
        </w:rPr>
      </w:pPr>
      <w:r>
        <w:rPr>
          <w:sz w:val="13"/>
        </w:rPr>
        <w:t>Submissions</w:t>
      </w:r>
      <w:r>
        <w:rPr>
          <w:spacing w:val="7"/>
          <w:sz w:val="13"/>
        </w:rPr>
        <w:t> </w:t>
      </w:r>
      <w:r>
        <w:rPr>
          <w:sz w:val="13"/>
        </w:rPr>
        <w:t>32</w:t>
      </w:r>
      <w:r>
        <w:rPr>
          <w:spacing w:val="7"/>
          <w:sz w:val="13"/>
        </w:rPr>
        <w:t> </w:t>
      </w:r>
      <w:r>
        <w:rPr>
          <w:spacing w:val="2"/>
          <w:sz w:val="13"/>
        </w:rPr>
        <w:t>(The</w:t>
      </w:r>
      <w:r>
        <w:rPr>
          <w:spacing w:val="7"/>
          <w:sz w:val="13"/>
        </w:rPr>
        <w:t> </w:t>
      </w:r>
      <w:r>
        <w:rPr>
          <w:sz w:val="13"/>
        </w:rPr>
        <w:t>Institute</w:t>
      </w:r>
      <w:r>
        <w:rPr>
          <w:spacing w:val="7"/>
          <w:sz w:val="13"/>
        </w:rPr>
        <w:t> </w:t>
      </w:r>
      <w:r>
        <w:rPr>
          <w:sz w:val="13"/>
        </w:rPr>
        <w:t>of</w:t>
      </w:r>
      <w:r>
        <w:rPr>
          <w:spacing w:val="7"/>
          <w:sz w:val="13"/>
        </w:rPr>
        <w:t> </w:t>
      </w:r>
      <w:r>
        <w:rPr>
          <w:sz w:val="13"/>
        </w:rPr>
        <w:t>Legal</w:t>
      </w:r>
      <w:r>
        <w:rPr>
          <w:spacing w:val="8"/>
          <w:sz w:val="13"/>
        </w:rPr>
        <w:t> </w:t>
      </w:r>
      <w:r>
        <w:rPr>
          <w:sz w:val="13"/>
        </w:rPr>
        <w:t>Executives);</w:t>
      </w:r>
      <w:r>
        <w:rPr>
          <w:spacing w:val="7"/>
          <w:sz w:val="13"/>
        </w:rPr>
        <w:t> </w:t>
      </w:r>
      <w:r>
        <w:rPr>
          <w:sz w:val="13"/>
        </w:rPr>
        <w:t>33</w:t>
      </w:r>
      <w:r>
        <w:rPr>
          <w:spacing w:val="7"/>
          <w:sz w:val="13"/>
        </w:rPr>
        <w:t> </w:t>
      </w:r>
      <w:r>
        <w:rPr>
          <w:sz w:val="13"/>
        </w:rPr>
        <w:t>(State</w:t>
      </w:r>
      <w:r>
        <w:rPr>
          <w:spacing w:val="7"/>
          <w:sz w:val="13"/>
        </w:rPr>
        <w:t> </w:t>
      </w:r>
      <w:r>
        <w:rPr>
          <w:sz w:val="13"/>
        </w:rPr>
        <w:t>Trustees</w:t>
      </w:r>
      <w:r>
        <w:rPr>
          <w:spacing w:val="7"/>
          <w:sz w:val="13"/>
        </w:rPr>
        <w:t> </w:t>
      </w:r>
      <w:r>
        <w:rPr>
          <w:sz w:val="13"/>
        </w:rPr>
        <w:t>Limited).</w:t>
      </w:r>
    </w:p>
    <w:p>
      <w:pPr>
        <w:pStyle w:val="ListParagraph"/>
        <w:numPr>
          <w:ilvl w:val="0"/>
          <w:numId w:val="91"/>
        </w:numPr>
        <w:tabs>
          <w:tab w:pos="1230" w:val="left" w:leader="none"/>
          <w:tab w:pos="1231" w:val="left" w:leader="none"/>
        </w:tabs>
        <w:spacing w:line="240" w:lineRule="auto" w:before="1" w:after="0"/>
        <w:ind w:left="1230" w:right="0" w:hanging="794"/>
        <w:jc w:val="left"/>
        <w:rPr>
          <w:sz w:val="13"/>
        </w:rPr>
      </w:pPr>
      <w:r>
        <w:rPr>
          <w:w w:val="105"/>
          <w:sz w:val="13"/>
        </w:rPr>
        <w:t>Submission 33 (State Trustees</w:t>
      </w:r>
      <w:r>
        <w:rPr>
          <w:spacing w:val="18"/>
          <w:w w:val="105"/>
          <w:sz w:val="13"/>
        </w:rPr>
        <w:t> </w:t>
      </w:r>
      <w:r>
        <w:rPr>
          <w:w w:val="105"/>
          <w:sz w:val="13"/>
        </w:rPr>
        <w:t>Limited).</w:t>
      </w:r>
    </w:p>
    <w:p>
      <w:pPr>
        <w:pStyle w:val="ListParagraph"/>
        <w:numPr>
          <w:ilvl w:val="0"/>
          <w:numId w:val="91"/>
        </w:numPr>
        <w:tabs>
          <w:tab w:pos="1230" w:val="left" w:leader="none"/>
          <w:tab w:pos="1231" w:val="left" w:leader="none"/>
        </w:tabs>
        <w:spacing w:line="240" w:lineRule="auto" w:before="1" w:after="0"/>
        <w:ind w:left="1230" w:right="0" w:hanging="794"/>
        <w:jc w:val="left"/>
        <w:rPr>
          <w:sz w:val="13"/>
        </w:rPr>
      </w:pPr>
      <w:r>
        <w:rPr>
          <w:sz w:val="13"/>
        </w:rPr>
        <w:t>Submission 32 </w:t>
      </w:r>
      <w:r>
        <w:rPr>
          <w:spacing w:val="2"/>
          <w:sz w:val="13"/>
        </w:rPr>
        <w:t>(The </w:t>
      </w:r>
      <w:r>
        <w:rPr>
          <w:sz w:val="13"/>
        </w:rPr>
        <w:t>Institute of Legal</w:t>
      </w:r>
      <w:r>
        <w:rPr>
          <w:spacing w:val="8"/>
          <w:sz w:val="13"/>
        </w:rPr>
        <w:t> </w:t>
      </w:r>
      <w:r>
        <w:rPr>
          <w:sz w:val="13"/>
        </w:rPr>
        <w:t>Executives).</w:t>
      </w:r>
    </w:p>
    <w:p>
      <w:pPr>
        <w:pStyle w:val="ListParagraph"/>
        <w:numPr>
          <w:ilvl w:val="0"/>
          <w:numId w:val="91"/>
        </w:numPr>
        <w:tabs>
          <w:tab w:pos="1230" w:val="left" w:leader="none"/>
          <w:tab w:pos="1231" w:val="left" w:leader="none"/>
        </w:tabs>
        <w:spacing w:line="240" w:lineRule="auto" w:before="2" w:after="0"/>
        <w:ind w:left="1230" w:right="0" w:hanging="794"/>
        <w:jc w:val="left"/>
        <w:rPr>
          <w:sz w:val="13"/>
        </w:rPr>
      </w:pPr>
      <w:r>
        <w:rPr>
          <w:w w:val="105"/>
          <w:sz w:val="13"/>
        </w:rPr>
        <w:t>Submission 35 (Andrew</w:t>
      </w:r>
      <w:r>
        <w:rPr>
          <w:spacing w:val="14"/>
          <w:w w:val="105"/>
          <w:sz w:val="13"/>
        </w:rPr>
        <w:t> </w:t>
      </w:r>
      <w:r>
        <w:rPr>
          <w:w w:val="105"/>
          <w:sz w:val="13"/>
        </w:rPr>
        <w:t>Verspaandonk).</w:t>
      </w:r>
    </w:p>
    <w:p>
      <w:pPr>
        <w:spacing w:after="0" w:line="240" w:lineRule="auto"/>
        <w:jc w:val="left"/>
        <w:rPr>
          <w:sz w:val="13"/>
        </w:rPr>
        <w:sectPr>
          <w:type w:val="continuous"/>
          <w:pgSz w:w="11910" w:h="16840"/>
          <w:pgMar w:top="920" w:bottom="280" w:left="0" w:right="0"/>
          <w:cols w:num="2" w:equalWidth="0">
            <w:col w:w="1111" w:space="40"/>
            <w:col w:w="10759"/>
          </w:cols>
        </w:sectPr>
      </w:pPr>
    </w:p>
    <w:p>
      <w:pPr>
        <w:pStyle w:val="BodyText"/>
        <w:rPr>
          <w:sz w:val="20"/>
        </w:rPr>
      </w:pPr>
    </w:p>
    <w:p>
      <w:pPr>
        <w:pStyle w:val="BodyText"/>
        <w:rPr>
          <w:sz w:val="19"/>
        </w:rPr>
      </w:pPr>
    </w:p>
    <w:p>
      <w:pPr>
        <w:pStyle w:val="ListParagraph"/>
        <w:numPr>
          <w:ilvl w:val="1"/>
          <w:numId w:val="82"/>
        </w:numPr>
        <w:tabs>
          <w:tab w:pos="2381" w:val="left" w:leader="none"/>
          <w:tab w:pos="2382" w:val="left" w:leader="none"/>
        </w:tabs>
        <w:spacing w:line="242" w:lineRule="auto" w:before="91" w:after="0"/>
        <w:ind w:left="2381" w:right="1838" w:hanging="794"/>
        <w:jc w:val="left"/>
        <w:rPr>
          <w:sz w:val="12"/>
        </w:rPr>
      </w:pPr>
      <w:r>
        <w:rPr>
          <w:sz w:val="21"/>
        </w:rPr>
        <w:t>Although the court </w:t>
      </w:r>
      <w:r>
        <w:rPr>
          <w:spacing w:val="-3"/>
          <w:sz w:val="21"/>
        </w:rPr>
        <w:t>already </w:t>
      </w:r>
      <w:r>
        <w:rPr>
          <w:spacing w:val="-2"/>
          <w:sz w:val="21"/>
        </w:rPr>
        <w:t>has </w:t>
      </w:r>
      <w:r>
        <w:rPr>
          <w:sz w:val="21"/>
        </w:rPr>
        <w:t>power </w:t>
      </w:r>
      <w:r>
        <w:rPr>
          <w:spacing w:val="-3"/>
          <w:sz w:val="21"/>
        </w:rPr>
        <w:t>to </w:t>
      </w:r>
      <w:r>
        <w:rPr>
          <w:sz w:val="21"/>
        </w:rPr>
        <w:t>cap costs under the </w:t>
      </w:r>
      <w:r>
        <w:rPr>
          <w:spacing w:val="-3"/>
          <w:sz w:val="21"/>
        </w:rPr>
        <w:t>Civil Procedure  </w:t>
      </w:r>
      <w:r>
        <w:rPr>
          <w:sz w:val="21"/>
        </w:rPr>
        <w:t>Act</w:t>
      </w:r>
      <w:r>
        <w:rPr>
          <w:position w:val="7"/>
          <w:sz w:val="12"/>
        </w:rPr>
        <w:t>212</w:t>
      </w:r>
      <w:r>
        <w:rPr>
          <w:spacing w:val="27"/>
          <w:position w:val="7"/>
          <w:sz w:val="12"/>
        </w:rPr>
        <w:t> </w:t>
      </w:r>
      <w:r>
        <w:rPr>
          <w:sz w:val="21"/>
        </w:rPr>
        <w:t>and  </w:t>
      </w:r>
      <w:r>
        <w:rPr>
          <w:spacing w:val="-2"/>
          <w:sz w:val="21"/>
        </w:rPr>
        <w:t>has </w:t>
      </w:r>
      <w:r>
        <w:rPr>
          <w:sz w:val="21"/>
        </w:rPr>
        <w:t>done so on occasion in </w:t>
      </w:r>
      <w:r>
        <w:rPr>
          <w:spacing w:val="-3"/>
          <w:sz w:val="21"/>
        </w:rPr>
        <w:t>family  provision  proceedings,</w:t>
      </w:r>
      <w:r>
        <w:rPr>
          <w:spacing w:val="-3"/>
          <w:position w:val="7"/>
          <w:sz w:val="12"/>
        </w:rPr>
        <w:t>213</w:t>
      </w:r>
      <w:r>
        <w:rPr>
          <w:spacing w:val="21"/>
          <w:position w:val="7"/>
          <w:sz w:val="12"/>
        </w:rPr>
        <w:t> </w:t>
      </w:r>
      <w:r>
        <w:rPr>
          <w:sz w:val="21"/>
        </w:rPr>
        <w:t>the  </w:t>
      </w:r>
      <w:r>
        <w:rPr>
          <w:spacing w:val="-3"/>
          <w:sz w:val="21"/>
        </w:rPr>
        <w:t>Commission  </w:t>
      </w:r>
      <w:r>
        <w:rPr>
          <w:sz w:val="21"/>
        </w:rPr>
        <w:t>considers </w:t>
      </w:r>
      <w:r>
        <w:rPr>
          <w:spacing w:val="-3"/>
          <w:sz w:val="21"/>
        </w:rPr>
        <w:t>that </w:t>
      </w:r>
      <w:r>
        <w:rPr>
          <w:sz w:val="21"/>
        </w:rPr>
        <w:t>it would be </w:t>
      </w:r>
      <w:r>
        <w:rPr>
          <w:spacing w:val="-3"/>
          <w:sz w:val="21"/>
        </w:rPr>
        <w:t>useful to reiterate </w:t>
      </w:r>
      <w:r>
        <w:rPr>
          <w:sz w:val="21"/>
        </w:rPr>
        <w:t>this power </w:t>
      </w:r>
      <w:r>
        <w:rPr>
          <w:spacing w:val="-3"/>
          <w:sz w:val="21"/>
        </w:rPr>
        <w:t>alongside </w:t>
      </w:r>
      <w:r>
        <w:rPr>
          <w:sz w:val="21"/>
        </w:rPr>
        <w:t>the </w:t>
      </w:r>
      <w:r>
        <w:rPr>
          <w:spacing w:val="-3"/>
          <w:sz w:val="21"/>
        </w:rPr>
        <w:t>family provision </w:t>
      </w:r>
      <w:r>
        <w:rPr>
          <w:sz w:val="21"/>
        </w:rPr>
        <w:t>costs </w:t>
      </w:r>
      <w:r>
        <w:rPr>
          <w:spacing w:val="-3"/>
          <w:sz w:val="21"/>
        </w:rPr>
        <w:t>provisions </w:t>
      </w:r>
      <w:r>
        <w:rPr>
          <w:sz w:val="21"/>
        </w:rPr>
        <w:t>in the </w:t>
      </w:r>
      <w:r>
        <w:rPr>
          <w:spacing w:val="-3"/>
          <w:sz w:val="21"/>
        </w:rPr>
        <w:t>Administration </w:t>
      </w:r>
      <w:r>
        <w:rPr>
          <w:sz w:val="21"/>
        </w:rPr>
        <w:t>and </w:t>
      </w:r>
      <w:r>
        <w:rPr>
          <w:spacing w:val="-3"/>
          <w:sz w:val="21"/>
        </w:rPr>
        <w:t>Probate </w:t>
      </w:r>
      <w:r>
        <w:rPr>
          <w:sz w:val="21"/>
        </w:rPr>
        <w:t>Act.  The  </w:t>
      </w:r>
      <w:r>
        <w:rPr>
          <w:spacing w:val="-3"/>
          <w:sz w:val="21"/>
        </w:rPr>
        <w:t>inclusion  </w:t>
      </w:r>
      <w:r>
        <w:rPr>
          <w:sz w:val="21"/>
        </w:rPr>
        <w:t>of  </w:t>
      </w:r>
      <w:r>
        <w:rPr>
          <w:spacing w:val="-3"/>
          <w:sz w:val="21"/>
        </w:rPr>
        <w:t>such  </w:t>
      </w:r>
      <w:r>
        <w:rPr>
          <w:sz w:val="21"/>
        </w:rPr>
        <w:t>a  </w:t>
      </w:r>
      <w:r>
        <w:rPr>
          <w:spacing w:val="-3"/>
          <w:sz w:val="21"/>
        </w:rPr>
        <w:t>provision  </w:t>
      </w:r>
      <w:r>
        <w:rPr>
          <w:sz w:val="21"/>
        </w:rPr>
        <w:t>in the </w:t>
      </w:r>
      <w:r>
        <w:rPr>
          <w:spacing w:val="-3"/>
          <w:sz w:val="21"/>
        </w:rPr>
        <w:t>Administration </w:t>
      </w:r>
      <w:r>
        <w:rPr>
          <w:sz w:val="21"/>
        </w:rPr>
        <w:t>and </w:t>
      </w:r>
      <w:r>
        <w:rPr>
          <w:spacing w:val="-3"/>
          <w:sz w:val="21"/>
        </w:rPr>
        <w:t>Probate </w:t>
      </w:r>
      <w:r>
        <w:rPr>
          <w:sz w:val="21"/>
        </w:rPr>
        <w:t>Act is justified on the same basis as </w:t>
      </w:r>
      <w:r>
        <w:rPr>
          <w:spacing w:val="-3"/>
          <w:sz w:val="21"/>
        </w:rPr>
        <w:t>listing </w:t>
      </w:r>
      <w:r>
        <w:rPr>
          <w:sz w:val="21"/>
        </w:rPr>
        <w:t>examples of possible costs orders—it would embolden </w:t>
      </w:r>
      <w:r>
        <w:rPr>
          <w:spacing w:val="-3"/>
          <w:sz w:val="21"/>
        </w:rPr>
        <w:t>judicial </w:t>
      </w:r>
      <w:r>
        <w:rPr>
          <w:sz w:val="21"/>
        </w:rPr>
        <w:t>officers and serve as a </w:t>
      </w:r>
      <w:r>
        <w:rPr>
          <w:spacing w:val="-3"/>
          <w:sz w:val="21"/>
        </w:rPr>
        <w:t>reminder to </w:t>
      </w:r>
      <w:r>
        <w:rPr>
          <w:sz w:val="21"/>
        </w:rPr>
        <w:t>practitioners in the jurisdiction </w:t>
      </w:r>
      <w:r>
        <w:rPr>
          <w:spacing w:val="-3"/>
          <w:sz w:val="21"/>
        </w:rPr>
        <w:t>that </w:t>
      </w:r>
      <w:r>
        <w:rPr>
          <w:sz w:val="21"/>
        </w:rPr>
        <w:t>this was </w:t>
      </w:r>
      <w:r>
        <w:rPr>
          <w:spacing w:val="-3"/>
          <w:sz w:val="21"/>
        </w:rPr>
        <w:t>possible. </w:t>
      </w:r>
      <w:r>
        <w:rPr>
          <w:sz w:val="21"/>
        </w:rPr>
        <w:t>A judge of the </w:t>
      </w:r>
      <w:r>
        <w:rPr>
          <w:spacing w:val="-3"/>
          <w:sz w:val="21"/>
        </w:rPr>
        <w:t>Supreme Court </w:t>
      </w:r>
      <w:r>
        <w:rPr>
          <w:sz w:val="21"/>
        </w:rPr>
        <w:t>supported this</w:t>
      </w:r>
      <w:r>
        <w:rPr>
          <w:spacing w:val="16"/>
          <w:sz w:val="21"/>
        </w:rPr>
        <w:t> </w:t>
      </w:r>
      <w:r>
        <w:rPr>
          <w:spacing w:val="-4"/>
          <w:sz w:val="21"/>
        </w:rPr>
        <w:t>view.</w:t>
      </w:r>
      <w:r>
        <w:rPr>
          <w:spacing w:val="-4"/>
          <w:position w:val="7"/>
          <w:sz w:val="12"/>
        </w:rPr>
        <w:t>214</w:t>
      </w:r>
    </w:p>
    <w:p>
      <w:pPr>
        <w:pStyle w:val="BodyText"/>
        <w:spacing w:before="10"/>
        <w:rPr>
          <w:sz w:val="16"/>
        </w:rPr>
      </w:pPr>
      <w:r>
        <w:rPr/>
        <w:pict>
          <v:group style="position:absolute;margin-left:62.362202pt;margin-top:12.255436pt;width:479.1pt;height:83.55pt;mso-position-horizontal-relative:page;mso-position-vertical-relative:paragraph;z-index:7544;mso-wrap-distance-left:0;mso-wrap-distance-right:0" coordorigin="1247,245" coordsize="9582,1671">
            <v:rect style="position:absolute;left:1587;top:245;width:8731;height:1671" filled="true" fillcolor="#fdebea" stroked="false">
              <v:fill type="solid"/>
            </v:rect>
            <v:line style="position:absolute" from="1247,996" to="10828,996" stroked="true" strokeweight="2.5pt" strokecolor="#ffffff">
              <v:stroke dashstyle="solid"/>
            </v:line>
            <v:shape style="position:absolute;left:2381;top:1232;width:7302;height:509" type="#_x0000_t202" filled="false" stroked="false">
              <v:textbox inset="0,0,0,0">
                <w:txbxContent>
                  <w:p>
                    <w:pPr>
                      <w:spacing w:line="240" w:lineRule="auto" w:before="0"/>
                      <w:ind w:left="0" w:right="0" w:firstLine="0"/>
                      <w:jc w:val="left"/>
                      <w:rPr>
                        <w:sz w:val="21"/>
                      </w:rPr>
                    </w:pPr>
                    <w:r>
                      <w:rPr>
                        <w:w w:val="105"/>
                        <w:sz w:val="21"/>
                      </w:rPr>
                      <w:t>The family provision costs provisions in the </w:t>
                    </w:r>
                    <w:r>
                      <w:rPr>
                        <w:rFonts w:ascii="Lucida Sans"/>
                        <w:i/>
                        <w:w w:val="105"/>
                        <w:sz w:val="21"/>
                      </w:rPr>
                      <w:t>Administration and Probate Act </w:t>
                    </w:r>
                    <w:r>
                      <w:rPr>
                        <w:rFonts w:ascii="Lucida Sans"/>
                        <w:i/>
                        <w:w w:val="105"/>
                        <w:sz w:val="21"/>
                      </w:rPr>
                      <w:t>1958 </w:t>
                    </w:r>
                    <w:r>
                      <w:rPr>
                        <w:w w:val="105"/>
                        <w:sz w:val="21"/>
                      </w:rPr>
                      <w:t>(Vic) should specify that the court has the power to cap costs.</w:t>
                    </w:r>
                  </w:p>
                </w:txbxContent>
              </v:textbox>
              <w10:wrap type="none"/>
            </v:shape>
            <v:shape style="position:absolute;left:1814;top:1232;width:254;height:249" type="#_x0000_t202" filled="false" stroked="false">
              <v:textbox inset="0,0,0,0">
                <w:txbxContent>
                  <w:p>
                    <w:pPr>
                      <w:spacing w:line="249" w:lineRule="exact" w:before="0"/>
                      <w:ind w:left="0" w:right="0" w:firstLine="0"/>
                      <w:jc w:val="left"/>
                      <w:rPr>
                        <w:sz w:val="21"/>
                      </w:rPr>
                    </w:pPr>
                    <w:r>
                      <w:rPr>
                        <w:w w:val="110"/>
                        <w:sz w:val="21"/>
                      </w:rPr>
                      <w:t>42</w:t>
                    </w:r>
                  </w:p>
                </w:txbxContent>
              </v:textbox>
              <w10:wrap type="none"/>
            </v:shape>
            <v:shape style="position:absolute;left:1587;top:245;width:8731;height:726" type="#_x0000_t202" filled="true" fillcolor="#fdebea" stroked="false">
              <v:textbox inset="0,0,0,0">
                <w:txbxContent>
                  <w:p>
                    <w:pPr>
                      <w:spacing w:before="166"/>
                      <w:ind w:left="226" w:right="0" w:firstLine="0"/>
                      <w:jc w:val="left"/>
                      <w:rPr>
                        <w:b/>
                        <w:sz w:val="32"/>
                      </w:rPr>
                    </w:pPr>
                    <w:r>
                      <w:rPr>
                        <w:b/>
                        <w:color w:val="EC5A4F"/>
                        <w:w w:val="110"/>
                        <w:sz w:val="32"/>
                      </w:rPr>
                      <w:t>Recommendation</w:t>
                    </w:r>
                  </w:p>
                </w:txbxContent>
              </v:textbox>
              <v:fill type="solid"/>
              <w10:wrap type="none"/>
            </v:shape>
            <w10:wrap type="topAndBottom"/>
          </v:group>
        </w:pict>
      </w:r>
    </w:p>
    <w:p>
      <w:pPr>
        <w:pStyle w:val="ListParagraph"/>
        <w:numPr>
          <w:ilvl w:val="1"/>
          <w:numId w:val="82"/>
        </w:numPr>
        <w:tabs>
          <w:tab w:pos="2380" w:val="left" w:leader="none"/>
          <w:tab w:pos="2381" w:val="left" w:leader="none"/>
        </w:tabs>
        <w:spacing w:line="242" w:lineRule="auto" w:before="124" w:after="0"/>
        <w:ind w:left="2380" w:right="2152" w:hanging="793"/>
        <w:jc w:val="left"/>
        <w:rPr>
          <w:sz w:val="21"/>
        </w:rPr>
      </w:pPr>
      <w:r>
        <w:rPr>
          <w:spacing w:val="-3"/>
          <w:sz w:val="21"/>
        </w:rPr>
        <w:t>Nothing </w:t>
      </w:r>
      <w:r>
        <w:rPr>
          <w:sz w:val="21"/>
        </w:rPr>
        <w:t>in the </w:t>
      </w:r>
      <w:r>
        <w:rPr>
          <w:spacing w:val="-3"/>
          <w:sz w:val="21"/>
        </w:rPr>
        <w:t>family provision </w:t>
      </w:r>
      <w:r>
        <w:rPr>
          <w:sz w:val="21"/>
        </w:rPr>
        <w:t>costs </w:t>
      </w:r>
      <w:r>
        <w:rPr>
          <w:spacing w:val="-3"/>
          <w:sz w:val="21"/>
        </w:rPr>
        <w:t>provisions </w:t>
      </w:r>
      <w:r>
        <w:rPr>
          <w:sz w:val="21"/>
        </w:rPr>
        <w:t>should </w:t>
      </w:r>
      <w:r>
        <w:rPr>
          <w:spacing w:val="-3"/>
          <w:sz w:val="21"/>
        </w:rPr>
        <w:t>limit any </w:t>
      </w:r>
      <w:r>
        <w:rPr>
          <w:sz w:val="21"/>
        </w:rPr>
        <w:t>other powers of the </w:t>
      </w:r>
      <w:r>
        <w:rPr>
          <w:spacing w:val="-3"/>
          <w:sz w:val="21"/>
        </w:rPr>
        <w:t>County Court </w:t>
      </w:r>
      <w:r>
        <w:rPr>
          <w:sz w:val="21"/>
        </w:rPr>
        <w:t>or </w:t>
      </w:r>
      <w:r>
        <w:rPr>
          <w:spacing w:val="-3"/>
          <w:sz w:val="21"/>
        </w:rPr>
        <w:t>Supreme</w:t>
      </w:r>
      <w:r>
        <w:rPr>
          <w:spacing w:val="1"/>
          <w:sz w:val="21"/>
        </w:rPr>
        <w:t> </w:t>
      </w:r>
      <w:r>
        <w:rPr>
          <w:spacing w:val="-3"/>
          <w:sz w:val="21"/>
        </w:rPr>
        <w:t>Court.</w:t>
      </w:r>
    </w:p>
    <w:p>
      <w:pPr>
        <w:pStyle w:val="BodyText"/>
        <w:spacing w:before="6"/>
        <w:rPr>
          <w:sz w:val="16"/>
        </w:rPr>
      </w:pPr>
      <w:r>
        <w:rPr/>
        <w:pict>
          <v:group style="position:absolute;margin-left:62.362202pt;margin-top:12.016887pt;width:479.1pt;height:166.55pt;mso-position-horizontal-relative:page;mso-position-vertical-relative:paragraph;z-index:7640;mso-wrap-distance-left:0;mso-wrap-distance-right:0" coordorigin="1247,240" coordsize="9582,3331">
            <v:rect style="position:absolute;left:1587;top:240;width:8731;height:3331" filled="true" fillcolor="#fdebea" stroked="false">
              <v:fill type="solid"/>
            </v:rect>
            <v:line style="position:absolute" from="1247,991" to="10828,991" stroked="true" strokeweight="2.5pt" strokecolor="#ffffff">
              <v:stroke dashstyle="solid"/>
            </v:line>
            <v:shape style="position:absolute;left:2381;top:1228;width:7311;height:2170" type="#_x0000_t202" filled="false" stroked="false">
              <v:textbox inset="0,0,0,0">
                <w:txbxContent>
                  <w:p>
                    <w:pPr>
                      <w:spacing w:line="240" w:lineRule="auto" w:before="0"/>
                      <w:ind w:left="0" w:right="9" w:firstLine="0"/>
                      <w:jc w:val="left"/>
                      <w:rPr>
                        <w:sz w:val="21"/>
                      </w:rPr>
                    </w:pPr>
                    <w:r>
                      <w:rPr>
                        <w:w w:val="105"/>
                        <w:sz w:val="21"/>
                      </w:rPr>
                      <w:t>The family provision costs provisions in the </w:t>
                    </w:r>
                    <w:r>
                      <w:rPr>
                        <w:rFonts w:ascii="Lucida Sans"/>
                        <w:i/>
                        <w:w w:val="105"/>
                        <w:sz w:val="21"/>
                      </w:rPr>
                      <w:t>Administration and Probate Act </w:t>
                    </w:r>
                    <w:r>
                      <w:rPr>
                        <w:rFonts w:ascii="Lucida Sans"/>
                        <w:i/>
                        <w:w w:val="105"/>
                        <w:sz w:val="21"/>
                      </w:rPr>
                      <w:t>1958 </w:t>
                    </w:r>
                    <w:r>
                      <w:rPr>
                        <w:w w:val="105"/>
                        <w:sz w:val="21"/>
                      </w:rPr>
                      <w:t>(Vic) should specify that they do not otherwise limit:</w:t>
                    </w:r>
                  </w:p>
                  <w:p>
                    <w:pPr>
                      <w:numPr>
                        <w:ilvl w:val="0"/>
                        <w:numId w:val="93"/>
                      </w:numPr>
                      <w:tabs>
                        <w:tab w:pos="341" w:val="left" w:leader="none"/>
                      </w:tabs>
                      <w:spacing w:before="117"/>
                      <w:ind w:left="340" w:right="0" w:hanging="340"/>
                      <w:jc w:val="left"/>
                      <w:rPr>
                        <w:sz w:val="21"/>
                      </w:rPr>
                    </w:pPr>
                    <w:r>
                      <w:rPr>
                        <w:w w:val="115"/>
                        <w:sz w:val="21"/>
                      </w:rPr>
                      <w:t>the Supreme Court’s existing</w:t>
                    </w:r>
                    <w:r>
                      <w:rPr>
                        <w:spacing w:val="-1"/>
                        <w:w w:val="115"/>
                        <w:sz w:val="21"/>
                      </w:rPr>
                      <w:t> </w:t>
                    </w:r>
                    <w:r>
                      <w:rPr>
                        <w:w w:val="115"/>
                        <w:sz w:val="21"/>
                      </w:rPr>
                      <w:t>jurisdiction</w:t>
                    </w:r>
                  </w:p>
                  <w:p>
                    <w:pPr>
                      <w:numPr>
                        <w:ilvl w:val="0"/>
                        <w:numId w:val="93"/>
                      </w:numPr>
                      <w:tabs>
                        <w:tab w:pos="341" w:val="left" w:leader="none"/>
                      </w:tabs>
                      <w:spacing w:before="124"/>
                      <w:ind w:left="340" w:right="0" w:hanging="340"/>
                      <w:jc w:val="left"/>
                      <w:rPr>
                        <w:sz w:val="21"/>
                      </w:rPr>
                    </w:pPr>
                    <w:r>
                      <w:rPr>
                        <w:w w:val="115"/>
                        <w:sz w:val="21"/>
                      </w:rPr>
                      <w:t>the County Court’s existing jurisdiction</w:t>
                    </w:r>
                  </w:p>
                  <w:p>
                    <w:pPr>
                      <w:numPr>
                        <w:ilvl w:val="0"/>
                        <w:numId w:val="93"/>
                      </w:numPr>
                      <w:tabs>
                        <w:tab w:pos="341" w:val="left" w:leader="none"/>
                      </w:tabs>
                      <w:spacing w:line="242" w:lineRule="auto" w:before="124"/>
                      <w:ind w:left="340" w:right="18" w:hanging="340"/>
                      <w:jc w:val="left"/>
                      <w:rPr>
                        <w:sz w:val="12"/>
                      </w:rPr>
                    </w:pPr>
                    <w:r>
                      <w:rPr>
                        <w:spacing w:val="-2"/>
                        <w:w w:val="115"/>
                        <w:sz w:val="21"/>
                      </w:rPr>
                      <w:t>any</w:t>
                    </w:r>
                    <w:r>
                      <w:rPr>
                        <w:spacing w:val="-6"/>
                        <w:w w:val="115"/>
                        <w:sz w:val="21"/>
                      </w:rPr>
                      <w:t> </w:t>
                    </w:r>
                    <w:r>
                      <w:rPr>
                        <w:w w:val="115"/>
                        <w:sz w:val="21"/>
                      </w:rPr>
                      <w:t>other</w:t>
                    </w:r>
                    <w:r>
                      <w:rPr>
                        <w:spacing w:val="-5"/>
                        <w:w w:val="115"/>
                        <w:sz w:val="21"/>
                      </w:rPr>
                      <w:t> </w:t>
                    </w:r>
                    <w:r>
                      <w:rPr>
                        <w:w w:val="115"/>
                        <w:sz w:val="21"/>
                      </w:rPr>
                      <w:t>powers</w:t>
                    </w:r>
                    <w:r>
                      <w:rPr>
                        <w:spacing w:val="-6"/>
                        <w:w w:val="115"/>
                        <w:sz w:val="21"/>
                      </w:rPr>
                      <w:t> </w:t>
                    </w:r>
                    <w:r>
                      <w:rPr>
                        <w:w w:val="115"/>
                        <w:sz w:val="21"/>
                      </w:rPr>
                      <w:t>of</w:t>
                    </w:r>
                    <w:r>
                      <w:rPr>
                        <w:spacing w:val="-5"/>
                        <w:w w:val="115"/>
                        <w:sz w:val="21"/>
                      </w:rPr>
                      <w:t> </w:t>
                    </w:r>
                    <w:r>
                      <w:rPr>
                        <w:w w:val="115"/>
                        <w:sz w:val="21"/>
                      </w:rPr>
                      <w:t>a</w:t>
                    </w:r>
                    <w:r>
                      <w:rPr>
                        <w:spacing w:val="-6"/>
                        <w:w w:val="115"/>
                        <w:sz w:val="21"/>
                      </w:rPr>
                      <w:t> </w:t>
                    </w:r>
                    <w:r>
                      <w:rPr>
                        <w:w w:val="115"/>
                        <w:sz w:val="21"/>
                      </w:rPr>
                      <w:t>court</w:t>
                    </w:r>
                    <w:r>
                      <w:rPr>
                        <w:spacing w:val="-5"/>
                        <w:w w:val="115"/>
                        <w:sz w:val="21"/>
                      </w:rPr>
                      <w:t> </w:t>
                    </w:r>
                    <w:r>
                      <w:rPr>
                        <w:w w:val="115"/>
                        <w:sz w:val="21"/>
                      </w:rPr>
                      <w:t>arising</w:t>
                    </w:r>
                    <w:r>
                      <w:rPr>
                        <w:spacing w:val="-6"/>
                        <w:w w:val="115"/>
                        <w:sz w:val="21"/>
                      </w:rPr>
                      <w:t> </w:t>
                    </w:r>
                    <w:r>
                      <w:rPr>
                        <w:w w:val="115"/>
                        <w:sz w:val="21"/>
                      </w:rPr>
                      <w:t>or</w:t>
                    </w:r>
                    <w:r>
                      <w:rPr>
                        <w:spacing w:val="-5"/>
                        <w:w w:val="115"/>
                        <w:sz w:val="21"/>
                      </w:rPr>
                      <w:t> </w:t>
                    </w:r>
                    <w:r>
                      <w:rPr>
                        <w:w w:val="115"/>
                        <w:sz w:val="21"/>
                      </w:rPr>
                      <w:t>derived</w:t>
                    </w:r>
                    <w:r>
                      <w:rPr>
                        <w:spacing w:val="-6"/>
                        <w:w w:val="115"/>
                        <w:sz w:val="21"/>
                      </w:rPr>
                      <w:t> </w:t>
                    </w:r>
                    <w:r>
                      <w:rPr>
                        <w:w w:val="115"/>
                        <w:sz w:val="21"/>
                      </w:rPr>
                      <w:t>from</w:t>
                    </w:r>
                    <w:r>
                      <w:rPr>
                        <w:spacing w:val="-5"/>
                        <w:w w:val="115"/>
                        <w:sz w:val="21"/>
                      </w:rPr>
                      <w:t> </w:t>
                    </w:r>
                    <w:r>
                      <w:rPr>
                        <w:w w:val="115"/>
                        <w:sz w:val="21"/>
                      </w:rPr>
                      <w:t>the</w:t>
                    </w:r>
                    <w:r>
                      <w:rPr>
                        <w:spacing w:val="-6"/>
                        <w:w w:val="115"/>
                        <w:sz w:val="21"/>
                      </w:rPr>
                      <w:t> </w:t>
                    </w:r>
                    <w:r>
                      <w:rPr>
                        <w:w w:val="115"/>
                        <w:sz w:val="21"/>
                      </w:rPr>
                      <w:t>common</w:t>
                    </w:r>
                    <w:r>
                      <w:rPr>
                        <w:spacing w:val="-5"/>
                        <w:w w:val="115"/>
                        <w:sz w:val="21"/>
                      </w:rPr>
                      <w:t> </w:t>
                    </w:r>
                    <w:r>
                      <w:rPr>
                        <w:w w:val="115"/>
                        <w:sz w:val="21"/>
                      </w:rPr>
                      <w:t>law</w:t>
                    </w:r>
                    <w:r>
                      <w:rPr>
                        <w:spacing w:val="-6"/>
                        <w:w w:val="115"/>
                        <w:sz w:val="21"/>
                      </w:rPr>
                      <w:t> </w:t>
                    </w:r>
                    <w:r>
                      <w:rPr>
                        <w:w w:val="115"/>
                        <w:sz w:val="21"/>
                      </w:rPr>
                      <w:t>or under </w:t>
                    </w:r>
                    <w:r>
                      <w:rPr>
                        <w:spacing w:val="-2"/>
                        <w:w w:val="115"/>
                        <w:sz w:val="21"/>
                      </w:rPr>
                      <w:t>any </w:t>
                    </w:r>
                    <w:r>
                      <w:rPr>
                        <w:w w:val="115"/>
                        <w:sz w:val="21"/>
                      </w:rPr>
                      <w:t>other Act (including </w:t>
                    </w:r>
                    <w:r>
                      <w:rPr>
                        <w:spacing w:val="-2"/>
                        <w:w w:val="115"/>
                        <w:sz w:val="21"/>
                      </w:rPr>
                      <w:t>any </w:t>
                    </w:r>
                    <w:r>
                      <w:rPr>
                        <w:w w:val="115"/>
                        <w:sz w:val="21"/>
                      </w:rPr>
                      <w:t>Commonwealth Act), rule of court, practice note or practice</w:t>
                    </w:r>
                    <w:r>
                      <w:rPr>
                        <w:spacing w:val="-2"/>
                        <w:w w:val="115"/>
                        <w:sz w:val="21"/>
                      </w:rPr>
                      <w:t> </w:t>
                    </w:r>
                    <w:r>
                      <w:rPr>
                        <w:w w:val="115"/>
                        <w:sz w:val="21"/>
                      </w:rPr>
                      <w:t>direction.</w:t>
                    </w:r>
                    <w:r>
                      <w:rPr>
                        <w:w w:val="115"/>
                        <w:position w:val="7"/>
                        <w:sz w:val="12"/>
                      </w:rPr>
                      <w:t>215</w:t>
                    </w:r>
                  </w:p>
                </w:txbxContent>
              </v:textbox>
              <w10:wrap type="none"/>
            </v:shape>
            <v:shape style="position:absolute;left:1814;top:1228;width:252;height:249" type="#_x0000_t202" filled="false" stroked="false">
              <v:textbox inset="0,0,0,0">
                <w:txbxContent>
                  <w:p>
                    <w:pPr>
                      <w:spacing w:line="249" w:lineRule="exact" w:before="0"/>
                      <w:ind w:left="0" w:right="0" w:firstLine="0"/>
                      <w:jc w:val="left"/>
                      <w:rPr>
                        <w:sz w:val="21"/>
                      </w:rPr>
                    </w:pPr>
                    <w:r>
                      <w:rPr>
                        <w:w w:val="110"/>
                        <w:sz w:val="21"/>
                      </w:rPr>
                      <w:t>43</w:t>
                    </w:r>
                  </w:p>
                </w:txbxContent>
              </v:textbox>
              <w10:wrap type="none"/>
            </v:shape>
            <v:shape style="position:absolute;left:1587;top:240;width:8731;height:726" type="#_x0000_t202" filled="true" fillcolor="#fdebea" stroked="false">
              <v:textbox inset="0,0,0,0">
                <w:txbxContent>
                  <w:p>
                    <w:pPr>
                      <w:spacing w:before="166"/>
                      <w:ind w:left="226" w:right="0" w:firstLine="0"/>
                      <w:jc w:val="left"/>
                      <w:rPr>
                        <w:b/>
                        <w:sz w:val="32"/>
                      </w:rPr>
                    </w:pPr>
                    <w:r>
                      <w:rPr>
                        <w:b/>
                        <w:color w:val="EC5A4F"/>
                        <w:w w:val="110"/>
                        <w:sz w:val="32"/>
                      </w:rPr>
                      <w:t>Recommendation</w:t>
                    </w:r>
                  </w:p>
                </w:txbxContent>
              </v:textbox>
              <v:fill type="solid"/>
              <w10:wrap type="none"/>
            </v:shape>
            <w10:wrap type="topAndBottom"/>
          </v:group>
        </w:pict>
      </w:r>
    </w:p>
    <w:p>
      <w:pPr>
        <w:pStyle w:val="Heading6"/>
        <w:spacing w:before="107"/>
      </w:pPr>
      <w:r>
        <w:rPr>
          <w:w w:val="115"/>
        </w:rPr>
        <w:t>Measure of costs</w:t>
      </w:r>
    </w:p>
    <w:p>
      <w:pPr>
        <w:pStyle w:val="ListParagraph"/>
        <w:numPr>
          <w:ilvl w:val="1"/>
          <w:numId w:val="82"/>
        </w:numPr>
        <w:tabs>
          <w:tab w:pos="2381" w:val="left" w:leader="none"/>
          <w:tab w:pos="2382" w:val="left" w:leader="none"/>
        </w:tabs>
        <w:spacing w:line="242" w:lineRule="auto" w:before="151" w:after="0"/>
        <w:ind w:left="2381" w:right="1654" w:hanging="794"/>
        <w:jc w:val="left"/>
        <w:rPr>
          <w:sz w:val="21"/>
        </w:rPr>
      </w:pPr>
      <w:r>
        <w:rPr>
          <w:spacing w:val="-3"/>
          <w:sz w:val="21"/>
        </w:rPr>
        <w:t>Previously, </w:t>
      </w:r>
      <w:r>
        <w:rPr>
          <w:sz w:val="21"/>
        </w:rPr>
        <w:t>a </w:t>
      </w:r>
      <w:r>
        <w:rPr>
          <w:spacing w:val="-3"/>
          <w:sz w:val="21"/>
        </w:rPr>
        <w:t>successful family provision claimant usually </w:t>
      </w:r>
      <w:r>
        <w:rPr>
          <w:sz w:val="21"/>
        </w:rPr>
        <w:t>received their costs out of  the estate on the </w:t>
      </w:r>
      <w:r>
        <w:rPr>
          <w:spacing w:val="-3"/>
          <w:sz w:val="21"/>
        </w:rPr>
        <w:t>solicitor  </w:t>
      </w:r>
      <w:r>
        <w:rPr>
          <w:sz w:val="21"/>
        </w:rPr>
        <w:t>and </w:t>
      </w:r>
      <w:r>
        <w:rPr>
          <w:spacing w:val="-3"/>
          <w:sz w:val="21"/>
        </w:rPr>
        <w:t>client</w:t>
      </w:r>
      <w:r>
        <w:rPr>
          <w:spacing w:val="41"/>
          <w:sz w:val="21"/>
        </w:rPr>
        <w:t> </w:t>
      </w:r>
      <w:r>
        <w:rPr>
          <w:spacing w:val="-3"/>
          <w:sz w:val="21"/>
        </w:rPr>
        <w:t>basis.</w:t>
      </w:r>
      <w:r>
        <w:rPr>
          <w:spacing w:val="-3"/>
          <w:position w:val="7"/>
          <w:sz w:val="12"/>
        </w:rPr>
        <w:t>216  </w:t>
      </w:r>
      <w:r>
        <w:rPr>
          <w:sz w:val="21"/>
        </w:rPr>
        <w:t>Arnold Bloch Leibler stated in its </w:t>
      </w:r>
      <w:r>
        <w:rPr>
          <w:spacing w:val="-3"/>
          <w:sz w:val="21"/>
        </w:rPr>
        <w:t>submission  that  </w:t>
      </w:r>
      <w:r>
        <w:rPr>
          <w:sz w:val="21"/>
        </w:rPr>
        <w:t>it </w:t>
      </w:r>
      <w:r>
        <w:rPr>
          <w:spacing w:val="-3"/>
          <w:sz w:val="21"/>
        </w:rPr>
        <w:t>could </w:t>
      </w:r>
      <w:r>
        <w:rPr>
          <w:sz w:val="21"/>
        </w:rPr>
        <w:t>see no </w:t>
      </w:r>
      <w:r>
        <w:rPr>
          <w:spacing w:val="-3"/>
          <w:sz w:val="21"/>
        </w:rPr>
        <w:t>real </w:t>
      </w:r>
      <w:r>
        <w:rPr>
          <w:sz w:val="21"/>
        </w:rPr>
        <w:t>justification </w:t>
      </w:r>
      <w:r>
        <w:rPr>
          <w:spacing w:val="-3"/>
          <w:sz w:val="21"/>
        </w:rPr>
        <w:t>for awarding </w:t>
      </w:r>
      <w:r>
        <w:rPr>
          <w:sz w:val="21"/>
        </w:rPr>
        <w:t>costs on the </w:t>
      </w:r>
      <w:r>
        <w:rPr>
          <w:spacing w:val="-3"/>
          <w:sz w:val="21"/>
        </w:rPr>
        <w:t>solicitor </w:t>
      </w:r>
      <w:r>
        <w:rPr>
          <w:sz w:val="21"/>
        </w:rPr>
        <w:t>and </w:t>
      </w:r>
      <w:r>
        <w:rPr>
          <w:spacing w:val="-3"/>
          <w:sz w:val="21"/>
        </w:rPr>
        <w:t>client</w:t>
      </w:r>
      <w:r>
        <w:rPr>
          <w:spacing w:val="-21"/>
          <w:sz w:val="21"/>
        </w:rPr>
        <w:t> </w:t>
      </w:r>
      <w:r>
        <w:rPr>
          <w:sz w:val="21"/>
        </w:rPr>
        <w:t>basis</w:t>
      </w:r>
    </w:p>
    <w:p>
      <w:pPr>
        <w:pStyle w:val="BodyText"/>
        <w:spacing w:line="242" w:lineRule="auto" w:before="4"/>
        <w:ind w:left="2381" w:right="1619"/>
        <w:rPr>
          <w:sz w:val="12"/>
        </w:rPr>
      </w:pPr>
      <w:r>
        <w:rPr/>
        <w:t>in family provision, especially now that there is no solicitor and client basis in the Supreme Court of Victoria’s new scale of costs.</w:t>
      </w:r>
      <w:r>
        <w:rPr>
          <w:position w:val="7"/>
          <w:sz w:val="12"/>
        </w:rPr>
        <w:t>217</w:t>
      </w:r>
    </w:p>
    <w:p>
      <w:pPr>
        <w:pStyle w:val="ListParagraph"/>
        <w:numPr>
          <w:ilvl w:val="1"/>
          <w:numId w:val="82"/>
        </w:numPr>
        <w:tabs>
          <w:tab w:pos="2381" w:val="left" w:leader="none"/>
          <w:tab w:pos="2382" w:val="left" w:leader="none"/>
        </w:tabs>
        <w:spacing w:line="242" w:lineRule="auto" w:before="122" w:after="0"/>
        <w:ind w:left="2381" w:right="1650" w:hanging="794"/>
        <w:jc w:val="left"/>
        <w:rPr>
          <w:sz w:val="12"/>
        </w:rPr>
      </w:pPr>
      <w:r>
        <w:rPr>
          <w:sz w:val="21"/>
        </w:rPr>
        <w:t>In its </w:t>
      </w:r>
      <w:r>
        <w:rPr>
          <w:spacing w:val="-3"/>
          <w:sz w:val="21"/>
        </w:rPr>
        <w:t>submission, </w:t>
      </w:r>
      <w:r>
        <w:rPr>
          <w:sz w:val="21"/>
        </w:rPr>
        <w:t>the </w:t>
      </w:r>
      <w:r>
        <w:rPr>
          <w:spacing w:val="-3"/>
          <w:sz w:val="21"/>
        </w:rPr>
        <w:t>Supreme Court noted  </w:t>
      </w:r>
      <w:r>
        <w:rPr>
          <w:sz w:val="21"/>
        </w:rPr>
        <w:t>the  </w:t>
      </w:r>
      <w:r>
        <w:rPr>
          <w:spacing w:val="-3"/>
          <w:sz w:val="21"/>
        </w:rPr>
        <w:t>recent  change  from  </w:t>
      </w:r>
      <w:r>
        <w:rPr>
          <w:sz w:val="21"/>
        </w:rPr>
        <w:t>costs  on  the  party and party basis and the </w:t>
      </w:r>
      <w:r>
        <w:rPr>
          <w:spacing w:val="-3"/>
          <w:sz w:val="21"/>
        </w:rPr>
        <w:t>solicitor </w:t>
      </w:r>
      <w:r>
        <w:rPr>
          <w:sz w:val="21"/>
        </w:rPr>
        <w:t>and </w:t>
      </w:r>
      <w:r>
        <w:rPr>
          <w:spacing w:val="-3"/>
          <w:sz w:val="21"/>
        </w:rPr>
        <w:t>client </w:t>
      </w:r>
      <w:r>
        <w:rPr>
          <w:sz w:val="21"/>
        </w:rPr>
        <w:t>basis </w:t>
      </w:r>
      <w:r>
        <w:rPr>
          <w:spacing w:val="-3"/>
          <w:sz w:val="21"/>
        </w:rPr>
        <w:t>to  </w:t>
      </w:r>
      <w:r>
        <w:rPr>
          <w:sz w:val="21"/>
        </w:rPr>
        <w:t>costs on the standard basis, and said  </w:t>
      </w:r>
      <w:r>
        <w:rPr>
          <w:spacing w:val="-3"/>
          <w:sz w:val="21"/>
        </w:rPr>
        <w:t>that </w:t>
      </w:r>
      <w:r>
        <w:rPr>
          <w:sz w:val="21"/>
        </w:rPr>
        <w:t>‘the standard order </w:t>
      </w:r>
      <w:r>
        <w:rPr>
          <w:spacing w:val="-3"/>
          <w:sz w:val="21"/>
        </w:rPr>
        <w:t>for </w:t>
      </w:r>
      <w:r>
        <w:rPr>
          <w:sz w:val="21"/>
        </w:rPr>
        <w:t>costs in </w:t>
      </w:r>
      <w:r>
        <w:rPr>
          <w:spacing w:val="-3"/>
          <w:sz w:val="21"/>
        </w:rPr>
        <w:t>all </w:t>
      </w:r>
      <w:r>
        <w:rPr>
          <w:sz w:val="21"/>
        </w:rPr>
        <w:t>cases </w:t>
      </w:r>
      <w:r>
        <w:rPr>
          <w:spacing w:val="-3"/>
          <w:sz w:val="21"/>
        </w:rPr>
        <w:t>will </w:t>
      </w:r>
      <w:r>
        <w:rPr>
          <w:sz w:val="21"/>
        </w:rPr>
        <w:t>be </w:t>
      </w:r>
      <w:r>
        <w:rPr>
          <w:spacing w:val="-3"/>
          <w:sz w:val="21"/>
        </w:rPr>
        <w:t>equivalent to </w:t>
      </w:r>
      <w:r>
        <w:rPr>
          <w:sz w:val="21"/>
        </w:rPr>
        <w:t>the </w:t>
      </w:r>
      <w:r>
        <w:rPr>
          <w:spacing w:val="-3"/>
          <w:sz w:val="21"/>
        </w:rPr>
        <w:t>usual </w:t>
      </w:r>
      <w:r>
        <w:rPr>
          <w:sz w:val="21"/>
        </w:rPr>
        <w:t>basis </w:t>
      </w:r>
      <w:r>
        <w:rPr>
          <w:spacing w:val="-3"/>
          <w:sz w:val="21"/>
        </w:rPr>
        <w:t>for </w:t>
      </w:r>
      <w:r>
        <w:rPr>
          <w:sz w:val="21"/>
        </w:rPr>
        <w:t>costs    in </w:t>
      </w:r>
      <w:r>
        <w:rPr>
          <w:spacing w:val="-3"/>
          <w:sz w:val="21"/>
        </w:rPr>
        <w:t>[family </w:t>
      </w:r>
      <w:r>
        <w:rPr>
          <w:sz w:val="21"/>
        </w:rPr>
        <w:t>provision] </w:t>
      </w:r>
      <w:r>
        <w:rPr>
          <w:spacing w:val="-4"/>
          <w:sz w:val="21"/>
        </w:rPr>
        <w:t>matters’.</w:t>
      </w:r>
      <w:r>
        <w:rPr>
          <w:spacing w:val="-4"/>
          <w:position w:val="7"/>
          <w:sz w:val="12"/>
        </w:rPr>
        <w:t>218 </w:t>
      </w:r>
      <w:r>
        <w:rPr>
          <w:sz w:val="21"/>
        </w:rPr>
        <w:t>It </w:t>
      </w:r>
      <w:r>
        <w:rPr>
          <w:spacing w:val="-3"/>
          <w:sz w:val="21"/>
        </w:rPr>
        <w:t>considered that </w:t>
      </w:r>
      <w:r>
        <w:rPr>
          <w:sz w:val="21"/>
        </w:rPr>
        <w:t>this </w:t>
      </w:r>
      <w:r>
        <w:rPr>
          <w:spacing w:val="-3"/>
          <w:sz w:val="21"/>
        </w:rPr>
        <w:t>change means that  </w:t>
      </w:r>
      <w:r>
        <w:rPr>
          <w:sz w:val="21"/>
        </w:rPr>
        <w:t>this  aspect  of costs in </w:t>
      </w:r>
      <w:r>
        <w:rPr>
          <w:spacing w:val="-3"/>
          <w:sz w:val="21"/>
        </w:rPr>
        <w:t>family provision ‘will therefore </w:t>
      </w:r>
      <w:r>
        <w:rPr>
          <w:sz w:val="21"/>
        </w:rPr>
        <w:t>be less </w:t>
      </w:r>
      <w:r>
        <w:rPr>
          <w:spacing w:val="-3"/>
          <w:sz w:val="21"/>
        </w:rPr>
        <w:t>significant  </w:t>
      </w:r>
      <w:r>
        <w:rPr>
          <w:sz w:val="21"/>
        </w:rPr>
        <w:t>in the </w:t>
      </w:r>
      <w:r>
        <w:rPr>
          <w:spacing w:val="-3"/>
          <w:sz w:val="21"/>
        </w:rPr>
        <w:t>future</w:t>
      </w:r>
      <w:r>
        <w:rPr>
          <w:spacing w:val="41"/>
          <w:sz w:val="21"/>
        </w:rPr>
        <w:t> </w:t>
      </w:r>
      <w:r>
        <w:rPr>
          <w:sz w:val="21"/>
        </w:rPr>
        <w:t>in </w:t>
      </w:r>
      <w:r>
        <w:rPr>
          <w:spacing w:val="-3"/>
          <w:sz w:val="21"/>
        </w:rPr>
        <w:t>comparison  to </w:t>
      </w:r>
      <w:r>
        <w:rPr>
          <w:sz w:val="21"/>
        </w:rPr>
        <w:t>other</w:t>
      </w:r>
      <w:r>
        <w:rPr>
          <w:spacing w:val="8"/>
          <w:sz w:val="21"/>
        </w:rPr>
        <w:t> </w:t>
      </w:r>
      <w:r>
        <w:rPr>
          <w:spacing w:val="-4"/>
          <w:sz w:val="21"/>
        </w:rPr>
        <w:t>matters’.</w:t>
      </w:r>
      <w:r>
        <w:rPr>
          <w:spacing w:val="-4"/>
          <w:position w:val="7"/>
          <w:sz w:val="12"/>
        </w:rPr>
        <w:t>219</w:t>
      </w:r>
    </w:p>
    <w:p>
      <w:pPr>
        <w:pStyle w:val="BodyText"/>
        <w:rPr>
          <w:sz w:val="20"/>
        </w:rPr>
      </w:pPr>
    </w:p>
    <w:p>
      <w:pPr>
        <w:pStyle w:val="BodyText"/>
        <w:rPr>
          <w:sz w:val="20"/>
        </w:rPr>
      </w:pPr>
    </w:p>
    <w:p>
      <w:pPr>
        <w:pStyle w:val="BodyText"/>
        <w:spacing w:before="9"/>
        <w:rPr>
          <w:sz w:val="26"/>
        </w:rPr>
      </w:pPr>
      <w:r>
        <w:rPr/>
        <w:pict>
          <v:line style="position:absolute;mso-position-horizontal-relative:page;mso-position-vertical-relative:paragraph;z-index:7664;mso-wrap-distance-left:0;mso-wrap-distance-right:0" from="79.370102pt,18.784067pt" to="515.905102pt,18.784067pt" stroked="true" strokeweight="1pt" strokecolor="#f9ceca">
            <v:stroke dashstyle="solid"/>
            <w10:wrap type="topAndBottom"/>
          </v:line>
        </w:pict>
      </w:r>
    </w:p>
    <w:p>
      <w:pPr>
        <w:pStyle w:val="BodyText"/>
        <w:spacing w:before="8"/>
        <w:rPr>
          <w:sz w:val="5"/>
        </w:rPr>
      </w:pPr>
    </w:p>
    <w:p>
      <w:pPr>
        <w:spacing w:after="0"/>
        <w:rPr>
          <w:sz w:val="5"/>
        </w:rPr>
        <w:sectPr>
          <w:pgSz w:w="11910" w:h="16840"/>
          <w:pgMar w:header="805" w:footer="0" w:top="1360" w:bottom="280" w:left="0" w:right="0"/>
        </w:sectPr>
      </w:pPr>
    </w:p>
    <w:p>
      <w:pPr>
        <w:pStyle w:val="ListParagraph"/>
        <w:numPr>
          <w:ilvl w:val="0"/>
          <w:numId w:val="94"/>
        </w:numPr>
        <w:tabs>
          <w:tab w:pos="2380" w:val="left" w:leader="none"/>
          <w:tab w:pos="2382" w:val="left" w:leader="none"/>
        </w:tabs>
        <w:spacing w:line="240" w:lineRule="auto" w:before="48" w:after="0"/>
        <w:ind w:left="2381" w:right="0" w:hanging="794"/>
        <w:jc w:val="left"/>
        <w:rPr>
          <w:sz w:val="13"/>
        </w:rPr>
      </w:pPr>
      <w:r>
        <w:rPr>
          <w:i/>
          <w:w w:val="105"/>
          <w:sz w:val="13"/>
        </w:rPr>
        <w:t>Civil Procedure Act </w:t>
      </w:r>
      <w:r>
        <w:rPr>
          <w:i/>
          <w:spacing w:val="-3"/>
          <w:w w:val="105"/>
          <w:sz w:val="13"/>
        </w:rPr>
        <w:t>2010 </w:t>
      </w:r>
      <w:r>
        <w:rPr>
          <w:spacing w:val="2"/>
          <w:w w:val="105"/>
          <w:sz w:val="13"/>
        </w:rPr>
        <w:t>(Vic) </w:t>
      </w:r>
      <w:r>
        <w:rPr>
          <w:w w:val="105"/>
          <w:sz w:val="13"/>
        </w:rPr>
        <w:t>s</w:t>
      </w:r>
      <w:r>
        <w:rPr>
          <w:spacing w:val="26"/>
          <w:w w:val="105"/>
          <w:sz w:val="13"/>
        </w:rPr>
        <w:t> </w:t>
      </w:r>
      <w:r>
        <w:rPr>
          <w:w w:val="105"/>
          <w:sz w:val="13"/>
        </w:rPr>
        <w:t>65C(2).</w:t>
      </w:r>
    </w:p>
    <w:p>
      <w:pPr>
        <w:pStyle w:val="ListParagraph"/>
        <w:numPr>
          <w:ilvl w:val="0"/>
          <w:numId w:val="94"/>
        </w:numPr>
        <w:tabs>
          <w:tab w:pos="2380" w:val="left" w:leader="none"/>
          <w:tab w:pos="2382" w:val="left" w:leader="none"/>
        </w:tabs>
        <w:spacing w:line="240" w:lineRule="auto" w:before="1" w:after="0"/>
        <w:ind w:left="2381" w:right="0" w:hanging="794"/>
        <w:jc w:val="left"/>
        <w:rPr>
          <w:sz w:val="13"/>
        </w:rPr>
      </w:pPr>
      <w:r>
        <w:rPr>
          <w:i/>
          <w:w w:val="105"/>
          <w:sz w:val="13"/>
        </w:rPr>
        <w:t>Cangia</w:t>
      </w:r>
      <w:r>
        <w:rPr>
          <w:i/>
          <w:spacing w:val="4"/>
          <w:w w:val="105"/>
          <w:sz w:val="13"/>
        </w:rPr>
        <w:t> </w:t>
      </w:r>
      <w:r>
        <w:rPr>
          <w:i/>
          <w:w w:val="105"/>
          <w:sz w:val="13"/>
        </w:rPr>
        <w:t>v</w:t>
      </w:r>
      <w:r>
        <w:rPr>
          <w:i/>
          <w:spacing w:val="4"/>
          <w:w w:val="105"/>
          <w:sz w:val="13"/>
        </w:rPr>
        <w:t> </w:t>
      </w:r>
      <w:r>
        <w:rPr>
          <w:i/>
          <w:w w:val="105"/>
          <w:sz w:val="13"/>
        </w:rPr>
        <w:t>Cangia</w:t>
      </w:r>
      <w:r>
        <w:rPr>
          <w:i/>
          <w:spacing w:val="5"/>
          <w:w w:val="105"/>
          <w:sz w:val="13"/>
        </w:rPr>
        <w:t> </w:t>
      </w:r>
      <w:r>
        <w:rPr>
          <w:spacing w:val="2"/>
          <w:w w:val="105"/>
          <w:sz w:val="13"/>
        </w:rPr>
        <w:t>[2008]</w:t>
      </w:r>
      <w:r>
        <w:rPr>
          <w:spacing w:val="5"/>
          <w:w w:val="105"/>
          <w:sz w:val="13"/>
        </w:rPr>
        <w:t> </w:t>
      </w:r>
      <w:r>
        <w:rPr>
          <w:w w:val="105"/>
          <w:sz w:val="13"/>
        </w:rPr>
        <w:t>VSC</w:t>
      </w:r>
      <w:r>
        <w:rPr>
          <w:spacing w:val="5"/>
          <w:w w:val="105"/>
          <w:sz w:val="13"/>
        </w:rPr>
        <w:t> </w:t>
      </w:r>
      <w:r>
        <w:rPr>
          <w:w w:val="105"/>
          <w:sz w:val="13"/>
        </w:rPr>
        <w:t>455</w:t>
      </w:r>
      <w:r>
        <w:rPr>
          <w:spacing w:val="5"/>
          <w:w w:val="105"/>
          <w:sz w:val="13"/>
        </w:rPr>
        <w:t> </w:t>
      </w:r>
      <w:r>
        <w:rPr>
          <w:w w:val="105"/>
          <w:sz w:val="13"/>
        </w:rPr>
        <w:t>(31</w:t>
      </w:r>
      <w:r>
        <w:rPr>
          <w:spacing w:val="5"/>
          <w:w w:val="105"/>
          <w:sz w:val="13"/>
        </w:rPr>
        <w:t> </w:t>
      </w:r>
      <w:r>
        <w:rPr>
          <w:w w:val="105"/>
          <w:sz w:val="13"/>
        </w:rPr>
        <w:t>October</w:t>
      </w:r>
      <w:r>
        <w:rPr>
          <w:spacing w:val="5"/>
          <w:w w:val="105"/>
          <w:sz w:val="13"/>
        </w:rPr>
        <w:t> </w:t>
      </w:r>
      <w:r>
        <w:rPr>
          <w:spacing w:val="2"/>
          <w:w w:val="105"/>
          <w:sz w:val="13"/>
        </w:rPr>
        <w:t>2008)</w:t>
      </w:r>
      <w:r>
        <w:rPr>
          <w:spacing w:val="5"/>
          <w:w w:val="105"/>
          <w:sz w:val="13"/>
        </w:rPr>
        <w:t> </w:t>
      </w:r>
      <w:r>
        <w:rPr>
          <w:w w:val="105"/>
          <w:sz w:val="13"/>
        </w:rPr>
        <w:t>(Justice</w:t>
      </w:r>
      <w:r>
        <w:rPr>
          <w:spacing w:val="5"/>
          <w:w w:val="105"/>
          <w:sz w:val="13"/>
        </w:rPr>
        <w:t> </w:t>
      </w:r>
      <w:r>
        <w:rPr>
          <w:w w:val="105"/>
          <w:sz w:val="13"/>
        </w:rPr>
        <w:t>Whelan).</w:t>
      </w:r>
    </w:p>
    <w:p>
      <w:pPr>
        <w:pStyle w:val="ListParagraph"/>
        <w:numPr>
          <w:ilvl w:val="0"/>
          <w:numId w:val="94"/>
        </w:numPr>
        <w:tabs>
          <w:tab w:pos="2380" w:val="left" w:leader="none"/>
          <w:tab w:pos="2382" w:val="left" w:leader="none"/>
        </w:tabs>
        <w:spacing w:line="240" w:lineRule="auto" w:before="2" w:after="0"/>
        <w:ind w:left="2381" w:right="0" w:hanging="794"/>
        <w:jc w:val="left"/>
        <w:rPr>
          <w:sz w:val="13"/>
        </w:rPr>
      </w:pPr>
      <w:r>
        <w:rPr>
          <w:w w:val="105"/>
          <w:sz w:val="13"/>
        </w:rPr>
        <w:t>Consultation 16 (Supreme Court of</w:t>
      </w:r>
      <w:r>
        <w:rPr>
          <w:spacing w:val="23"/>
          <w:w w:val="105"/>
          <w:sz w:val="13"/>
        </w:rPr>
        <w:t> </w:t>
      </w:r>
      <w:r>
        <w:rPr>
          <w:spacing w:val="2"/>
          <w:w w:val="105"/>
          <w:sz w:val="13"/>
        </w:rPr>
        <w:t>Victoria—Judges).</w:t>
      </w:r>
    </w:p>
    <w:p>
      <w:pPr>
        <w:pStyle w:val="ListParagraph"/>
        <w:numPr>
          <w:ilvl w:val="0"/>
          <w:numId w:val="94"/>
        </w:numPr>
        <w:tabs>
          <w:tab w:pos="2380" w:val="left" w:leader="none"/>
          <w:tab w:pos="2382" w:val="left" w:leader="none"/>
        </w:tabs>
        <w:spacing w:line="240" w:lineRule="auto" w:before="1" w:after="0"/>
        <w:ind w:left="2381" w:right="0" w:hanging="794"/>
        <w:jc w:val="left"/>
        <w:rPr>
          <w:sz w:val="13"/>
        </w:rPr>
      </w:pPr>
      <w:r>
        <w:rPr>
          <w:w w:val="105"/>
          <w:sz w:val="13"/>
        </w:rPr>
        <w:t>See </w:t>
      </w:r>
      <w:r>
        <w:rPr>
          <w:i/>
          <w:w w:val="105"/>
          <w:sz w:val="13"/>
        </w:rPr>
        <w:t>Civil Procedure Act </w:t>
      </w:r>
      <w:r>
        <w:rPr>
          <w:i/>
          <w:spacing w:val="-3"/>
          <w:w w:val="105"/>
          <w:sz w:val="13"/>
        </w:rPr>
        <w:t>2010 </w:t>
      </w:r>
      <w:r>
        <w:rPr>
          <w:spacing w:val="2"/>
          <w:w w:val="105"/>
          <w:sz w:val="13"/>
        </w:rPr>
        <w:t>(Vic) </w:t>
      </w:r>
      <w:r>
        <w:rPr>
          <w:w w:val="105"/>
          <w:sz w:val="13"/>
        </w:rPr>
        <w:t>s</w:t>
      </w:r>
      <w:r>
        <w:rPr>
          <w:spacing w:val="30"/>
          <w:w w:val="105"/>
          <w:sz w:val="13"/>
        </w:rPr>
        <w:t> </w:t>
      </w:r>
      <w:r>
        <w:rPr>
          <w:w w:val="105"/>
          <w:sz w:val="13"/>
        </w:rPr>
        <w:t>53.</w:t>
      </w:r>
    </w:p>
    <w:p>
      <w:pPr>
        <w:tabs>
          <w:tab w:pos="2380" w:val="left" w:leader="none"/>
        </w:tabs>
        <w:spacing w:before="1"/>
        <w:ind w:left="2380" w:right="0" w:hanging="794"/>
        <w:jc w:val="left"/>
        <w:rPr>
          <w:sz w:val="13"/>
        </w:rPr>
      </w:pPr>
      <w:r>
        <w:rPr>
          <w:spacing w:val="-3"/>
          <w:sz w:val="13"/>
        </w:rPr>
        <w:t>216</w:t>
        <w:tab/>
      </w:r>
      <w:r>
        <w:rPr>
          <w:i/>
          <w:sz w:val="13"/>
        </w:rPr>
        <w:t>Re Bull; Bentley v Brennan </w:t>
      </w:r>
      <w:r>
        <w:rPr>
          <w:i/>
          <w:spacing w:val="3"/>
          <w:sz w:val="13"/>
        </w:rPr>
        <w:t>(No </w:t>
      </w:r>
      <w:r>
        <w:rPr>
          <w:i/>
          <w:sz w:val="13"/>
        </w:rPr>
        <w:t>2) </w:t>
      </w:r>
      <w:r>
        <w:rPr>
          <w:spacing w:val="2"/>
          <w:sz w:val="13"/>
        </w:rPr>
        <w:t>[2006] </w:t>
      </w:r>
      <w:r>
        <w:rPr>
          <w:sz w:val="13"/>
        </w:rPr>
        <w:t>VSC 226 (30 June </w:t>
      </w:r>
      <w:r>
        <w:rPr>
          <w:spacing w:val="2"/>
          <w:sz w:val="13"/>
        </w:rPr>
        <w:t>2006) [3]; </w:t>
      </w:r>
      <w:r>
        <w:rPr>
          <w:i/>
          <w:sz w:val="13"/>
        </w:rPr>
        <w:t>Re  Sitch  </w:t>
      </w:r>
      <w:r>
        <w:rPr>
          <w:i/>
          <w:spacing w:val="3"/>
          <w:sz w:val="13"/>
        </w:rPr>
        <w:t>(No  </w:t>
      </w:r>
      <w:r>
        <w:rPr>
          <w:i/>
          <w:sz w:val="13"/>
        </w:rPr>
        <w:t>2)  </w:t>
      </w:r>
      <w:r>
        <w:rPr>
          <w:sz w:val="13"/>
        </w:rPr>
        <w:t>[2005]  VSC  383  </w:t>
      </w:r>
      <w:r>
        <w:rPr>
          <w:spacing w:val="-5"/>
          <w:sz w:val="13"/>
        </w:rPr>
        <w:t>(11  </w:t>
      </w:r>
      <w:r>
        <w:rPr>
          <w:sz w:val="13"/>
        </w:rPr>
        <w:t>August  2005)  [2]; </w:t>
      </w:r>
      <w:r>
        <w:rPr>
          <w:i/>
          <w:sz w:val="13"/>
        </w:rPr>
        <w:t>Whitehead v State Trustees Ltd </w:t>
      </w:r>
      <w:r>
        <w:rPr>
          <w:i/>
          <w:spacing w:val="3"/>
          <w:sz w:val="13"/>
        </w:rPr>
        <w:t>(No </w:t>
      </w:r>
      <w:r>
        <w:rPr>
          <w:i/>
          <w:sz w:val="13"/>
        </w:rPr>
        <w:t>2) </w:t>
      </w:r>
      <w:r>
        <w:rPr>
          <w:spacing w:val="-3"/>
          <w:sz w:val="13"/>
        </w:rPr>
        <w:t>[2011] </w:t>
      </w:r>
      <w:r>
        <w:rPr>
          <w:sz w:val="13"/>
        </w:rPr>
        <w:t>VSC </w:t>
      </w:r>
      <w:r>
        <w:rPr>
          <w:spacing w:val="-4"/>
          <w:sz w:val="13"/>
        </w:rPr>
        <w:t>516 </w:t>
      </w:r>
      <w:r>
        <w:rPr>
          <w:spacing w:val="-3"/>
          <w:sz w:val="13"/>
        </w:rPr>
        <w:t>(19 </w:t>
      </w:r>
      <w:r>
        <w:rPr>
          <w:sz w:val="13"/>
        </w:rPr>
        <w:t>October </w:t>
      </w:r>
      <w:r>
        <w:rPr>
          <w:spacing w:val="-4"/>
          <w:sz w:val="13"/>
        </w:rPr>
        <w:t>2011) </w:t>
      </w:r>
      <w:r>
        <w:rPr>
          <w:spacing w:val="4"/>
          <w:sz w:val="13"/>
        </w:rPr>
        <w:t>[6]. </w:t>
      </w:r>
      <w:r>
        <w:rPr>
          <w:sz w:val="13"/>
        </w:rPr>
        <w:t>The Supreme Court reiterated this in its submission: submission 37 (Supreme Court of</w:t>
      </w:r>
      <w:r>
        <w:rPr>
          <w:spacing w:val="4"/>
          <w:sz w:val="13"/>
        </w:rPr>
        <w:t> </w:t>
      </w:r>
      <w:r>
        <w:rPr>
          <w:spacing w:val="2"/>
          <w:sz w:val="13"/>
        </w:rPr>
        <w:t>Victoria).</w:t>
      </w:r>
    </w:p>
    <w:p>
      <w:pPr>
        <w:pStyle w:val="ListParagraph"/>
        <w:numPr>
          <w:ilvl w:val="0"/>
          <w:numId w:val="95"/>
        </w:numPr>
        <w:tabs>
          <w:tab w:pos="2380" w:val="left" w:leader="none"/>
          <w:tab w:pos="2381" w:val="left" w:leader="none"/>
        </w:tabs>
        <w:spacing w:line="240" w:lineRule="auto" w:before="4" w:after="0"/>
        <w:ind w:left="2380" w:right="0" w:hanging="793"/>
        <w:jc w:val="left"/>
        <w:rPr>
          <w:sz w:val="13"/>
        </w:rPr>
      </w:pPr>
      <w:r>
        <w:rPr>
          <w:w w:val="105"/>
          <w:sz w:val="13"/>
        </w:rPr>
        <w:t>Submission 42b (Arnold Bloch</w:t>
      </w:r>
      <w:r>
        <w:rPr>
          <w:spacing w:val="18"/>
          <w:w w:val="105"/>
          <w:sz w:val="13"/>
        </w:rPr>
        <w:t> </w:t>
      </w:r>
      <w:r>
        <w:rPr>
          <w:w w:val="105"/>
          <w:sz w:val="13"/>
        </w:rPr>
        <w:t>Leibler).</w:t>
      </w:r>
    </w:p>
    <w:p>
      <w:pPr>
        <w:pStyle w:val="ListParagraph"/>
        <w:numPr>
          <w:ilvl w:val="0"/>
          <w:numId w:val="95"/>
        </w:numPr>
        <w:tabs>
          <w:tab w:pos="2380" w:val="left" w:leader="none"/>
          <w:tab w:pos="2381" w:val="left" w:leader="none"/>
        </w:tabs>
        <w:spacing w:line="240" w:lineRule="auto" w:before="2" w:after="0"/>
        <w:ind w:left="2380" w:right="0" w:hanging="793"/>
        <w:jc w:val="left"/>
        <w:rPr>
          <w:sz w:val="13"/>
        </w:rPr>
      </w:pPr>
      <w:r>
        <w:rPr>
          <w:w w:val="105"/>
          <w:sz w:val="13"/>
        </w:rPr>
        <w:t>Submission 37 (Supreme Court of</w:t>
      </w:r>
      <w:r>
        <w:rPr>
          <w:spacing w:val="23"/>
          <w:w w:val="105"/>
          <w:sz w:val="13"/>
        </w:rPr>
        <w:t> </w:t>
      </w:r>
      <w:r>
        <w:rPr>
          <w:spacing w:val="2"/>
          <w:w w:val="105"/>
          <w:sz w:val="13"/>
        </w:rPr>
        <w:t>Victoria).</w:t>
      </w:r>
    </w:p>
    <w:p>
      <w:pPr>
        <w:pStyle w:val="ListParagraph"/>
        <w:numPr>
          <w:ilvl w:val="0"/>
          <w:numId w:val="95"/>
        </w:numPr>
        <w:tabs>
          <w:tab w:pos="2380" w:val="left" w:leader="none"/>
          <w:tab w:pos="2382" w:val="left" w:leader="none"/>
        </w:tabs>
        <w:spacing w:line="240" w:lineRule="auto" w:before="1" w:after="0"/>
        <w:ind w:left="2381" w:right="0" w:hanging="794"/>
        <w:jc w:val="left"/>
        <w:rPr>
          <w:sz w:val="13"/>
        </w:rPr>
      </w:pPr>
      <w:r>
        <w:rPr>
          <w:sz w:val="13"/>
        </w:rPr>
        <w:t>Ibid.</w:t>
      </w:r>
    </w:p>
    <w:p>
      <w:pPr>
        <w:pStyle w:val="BodyText"/>
        <w:rPr>
          <w:sz w:val="28"/>
        </w:rPr>
      </w:pPr>
      <w:r>
        <w:rPr/>
        <w:br w:type="column"/>
      </w:r>
      <w:r>
        <w:rPr>
          <w:sz w:val="28"/>
        </w:rPr>
      </w:r>
    </w:p>
    <w:p>
      <w:pPr>
        <w:pStyle w:val="BodyText"/>
        <w:rPr>
          <w:sz w:val="28"/>
        </w:rPr>
      </w:pPr>
    </w:p>
    <w:p>
      <w:pPr>
        <w:pStyle w:val="BodyText"/>
        <w:rPr>
          <w:sz w:val="28"/>
        </w:rPr>
      </w:pPr>
    </w:p>
    <w:p>
      <w:pPr>
        <w:pStyle w:val="BodyText"/>
        <w:spacing w:before="4"/>
        <w:rPr>
          <w:sz w:val="29"/>
        </w:rPr>
      </w:pPr>
    </w:p>
    <w:p>
      <w:pPr>
        <w:spacing w:before="0"/>
        <w:ind w:left="1230" w:right="0" w:firstLine="0"/>
        <w:jc w:val="left"/>
        <w:rPr>
          <w:b/>
          <w:sz w:val="24"/>
        </w:rPr>
      </w:pPr>
      <w:r>
        <w:rPr>
          <w:b/>
          <w:color w:val="EC5A4F"/>
          <w:w w:val="110"/>
          <w:sz w:val="24"/>
        </w:rPr>
        <w:t>121</w:t>
      </w:r>
    </w:p>
    <w:p>
      <w:pPr>
        <w:spacing w:after="0"/>
        <w:jc w:val="left"/>
        <w:rPr>
          <w:sz w:val="24"/>
        </w:rPr>
        <w:sectPr>
          <w:type w:val="continuous"/>
          <w:pgSz w:w="11910" w:h="16840"/>
          <w:pgMar w:top="920" w:bottom="280" w:left="0" w:right="0"/>
          <w:cols w:num="2" w:equalWidth="0">
            <w:col w:w="9650" w:space="40"/>
            <w:col w:w="2220"/>
          </w:cols>
        </w:sectPr>
      </w:pPr>
    </w:p>
    <w:p>
      <w:pPr>
        <w:pStyle w:val="BodyText"/>
        <w:spacing w:before="9"/>
        <w:rPr>
          <w:b/>
          <w:sz w:val="22"/>
        </w:rPr>
      </w:pPr>
    </w:p>
    <w:p>
      <w:pPr>
        <w:pStyle w:val="ListParagraph"/>
        <w:numPr>
          <w:ilvl w:val="1"/>
          <w:numId w:val="82"/>
        </w:numPr>
        <w:tabs>
          <w:tab w:pos="2380" w:val="left" w:leader="none"/>
          <w:tab w:pos="2381" w:val="left" w:leader="none"/>
        </w:tabs>
        <w:spacing w:line="242" w:lineRule="auto" w:before="92" w:after="0"/>
        <w:ind w:left="2381" w:right="1862" w:hanging="794"/>
        <w:jc w:val="left"/>
        <w:rPr>
          <w:sz w:val="21"/>
        </w:rPr>
      </w:pPr>
      <w:bookmarkStart w:name="Procedure" w:id="120"/>
      <w:bookmarkEnd w:id="120"/>
      <w:r>
        <w:rPr/>
      </w:r>
      <w:bookmarkStart w:name="Procedure" w:id="121"/>
      <w:bookmarkEnd w:id="121"/>
      <w:r>
        <w:rPr>
          <w:w w:val="105"/>
          <w:sz w:val="21"/>
        </w:rPr>
        <w:t>G</w:t>
      </w:r>
      <w:r>
        <w:rPr>
          <w:w w:val="105"/>
          <w:sz w:val="21"/>
        </w:rPr>
        <w:t>iven the </w:t>
      </w:r>
      <w:r>
        <w:rPr>
          <w:spacing w:val="-3"/>
          <w:w w:val="105"/>
          <w:sz w:val="21"/>
        </w:rPr>
        <w:t>recent </w:t>
      </w:r>
      <w:r>
        <w:rPr>
          <w:w w:val="105"/>
          <w:sz w:val="21"/>
        </w:rPr>
        <w:t>introduction of the standard </w:t>
      </w:r>
      <w:r>
        <w:rPr>
          <w:spacing w:val="-3"/>
          <w:w w:val="105"/>
          <w:sz w:val="21"/>
        </w:rPr>
        <w:t>measure </w:t>
      </w:r>
      <w:r>
        <w:rPr>
          <w:w w:val="105"/>
          <w:sz w:val="21"/>
        </w:rPr>
        <w:t>of costs in the </w:t>
      </w:r>
      <w:r>
        <w:rPr>
          <w:spacing w:val="-3"/>
          <w:w w:val="105"/>
          <w:sz w:val="21"/>
        </w:rPr>
        <w:t>Supreme Court, </w:t>
      </w:r>
      <w:r>
        <w:rPr>
          <w:w w:val="105"/>
          <w:sz w:val="21"/>
        </w:rPr>
        <w:t>the </w:t>
      </w:r>
      <w:r>
        <w:rPr>
          <w:spacing w:val="-3"/>
          <w:w w:val="105"/>
          <w:sz w:val="21"/>
        </w:rPr>
        <w:t>Commission </w:t>
      </w:r>
      <w:r>
        <w:rPr>
          <w:w w:val="105"/>
          <w:sz w:val="21"/>
        </w:rPr>
        <w:t>does </w:t>
      </w:r>
      <w:r>
        <w:rPr>
          <w:spacing w:val="-2"/>
          <w:w w:val="105"/>
          <w:sz w:val="21"/>
        </w:rPr>
        <w:t>not </w:t>
      </w:r>
      <w:r>
        <w:rPr>
          <w:spacing w:val="-3"/>
          <w:w w:val="105"/>
          <w:sz w:val="21"/>
        </w:rPr>
        <w:t>consider </w:t>
      </w:r>
      <w:r>
        <w:rPr>
          <w:w w:val="105"/>
          <w:sz w:val="21"/>
        </w:rPr>
        <w:t>it necessary </w:t>
      </w:r>
      <w:r>
        <w:rPr>
          <w:spacing w:val="-3"/>
          <w:w w:val="105"/>
          <w:sz w:val="21"/>
        </w:rPr>
        <w:t>to </w:t>
      </w:r>
      <w:r>
        <w:rPr>
          <w:spacing w:val="-4"/>
          <w:w w:val="105"/>
          <w:sz w:val="21"/>
        </w:rPr>
        <w:t>make </w:t>
      </w:r>
      <w:r>
        <w:rPr>
          <w:spacing w:val="-3"/>
          <w:w w:val="105"/>
          <w:sz w:val="21"/>
        </w:rPr>
        <w:t>any recommendations </w:t>
      </w:r>
      <w:r>
        <w:rPr>
          <w:w w:val="105"/>
          <w:sz w:val="21"/>
        </w:rPr>
        <w:t>about the </w:t>
      </w:r>
      <w:r>
        <w:rPr>
          <w:spacing w:val="-3"/>
          <w:w w:val="105"/>
          <w:sz w:val="21"/>
        </w:rPr>
        <w:t>appropriate measure </w:t>
      </w:r>
      <w:r>
        <w:rPr>
          <w:w w:val="105"/>
          <w:sz w:val="21"/>
        </w:rPr>
        <w:t>of costs in </w:t>
      </w:r>
      <w:r>
        <w:rPr>
          <w:spacing w:val="-3"/>
          <w:w w:val="105"/>
          <w:sz w:val="21"/>
        </w:rPr>
        <w:t>family provision proceedings. </w:t>
      </w:r>
      <w:r>
        <w:rPr>
          <w:spacing w:val="-4"/>
          <w:w w:val="105"/>
          <w:sz w:val="21"/>
        </w:rPr>
        <w:t>However, </w:t>
      </w:r>
      <w:r>
        <w:rPr>
          <w:w w:val="105"/>
          <w:sz w:val="21"/>
        </w:rPr>
        <w:t>it would be </w:t>
      </w:r>
      <w:r>
        <w:rPr>
          <w:spacing w:val="-3"/>
          <w:w w:val="105"/>
          <w:sz w:val="21"/>
        </w:rPr>
        <w:t>desirable for measures </w:t>
      </w:r>
      <w:r>
        <w:rPr>
          <w:w w:val="105"/>
          <w:sz w:val="21"/>
        </w:rPr>
        <w:t>of costs </w:t>
      </w:r>
      <w:r>
        <w:rPr>
          <w:spacing w:val="-3"/>
          <w:w w:val="105"/>
          <w:sz w:val="21"/>
        </w:rPr>
        <w:t>to </w:t>
      </w:r>
      <w:r>
        <w:rPr>
          <w:w w:val="105"/>
          <w:sz w:val="21"/>
        </w:rPr>
        <w:t>be </w:t>
      </w:r>
      <w:r>
        <w:rPr>
          <w:spacing w:val="-3"/>
          <w:w w:val="105"/>
          <w:sz w:val="21"/>
        </w:rPr>
        <w:t>consistent </w:t>
      </w:r>
      <w:r>
        <w:rPr>
          <w:w w:val="105"/>
          <w:sz w:val="21"/>
        </w:rPr>
        <w:t>as between the </w:t>
      </w:r>
      <w:r>
        <w:rPr>
          <w:spacing w:val="-3"/>
          <w:w w:val="105"/>
          <w:sz w:val="21"/>
        </w:rPr>
        <w:t>Supreme </w:t>
      </w:r>
      <w:r>
        <w:rPr>
          <w:w w:val="105"/>
          <w:sz w:val="21"/>
        </w:rPr>
        <w:t>and </w:t>
      </w:r>
      <w:r>
        <w:rPr>
          <w:spacing w:val="-3"/>
          <w:w w:val="105"/>
          <w:sz w:val="21"/>
        </w:rPr>
        <w:t>County </w:t>
      </w:r>
      <w:r>
        <w:rPr>
          <w:w w:val="105"/>
          <w:sz w:val="21"/>
        </w:rPr>
        <w:t>Courts</w:t>
      </w:r>
      <w:r>
        <w:rPr>
          <w:spacing w:val="3"/>
          <w:w w:val="105"/>
          <w:sz w:val="21"/>
        </w:rPr>
        <w:t> </w:t>
      </w:r>
      <w:r>
        <w:rPr>
          <w:spacing w:val="-3"/>
          <w:w w:val="105"/>
          <w:sz w:val="21"/>
        </w:rPr>
        <w:t>and,</w:t>
      </w:r>
      <w:r>
        <w:rPr>
          <w:spacing w:val="3"/>
          <w:w w:val="105"/>
          <w:sz w:val="21"/>
        </w:rPr>
        <w:t> </w:t>
      </w:r>
      <w:r>
        <w:rPr>
          <w:w w:val="105"/>
          <w:sz w:val="21"/>
        </w:rPr>
        <w:t>as</w:t>
      </w:r>
      <w:r>
        <w:rPr>
          <w:spacing w:val="3"/>
          <w:w w:val="105"/>
          <w:sz w:val="21"/>
        </w:rPr>
        <w:t> </w:t>
      </w:r>
      <w:r>
        <w:rPr>
          <w:spacing w:val="-3"/>
          <w:w w:val="105"/>
          <w:sz w:val="21"/>
        </w:rPr>
        <w:t>noted</w:t>
      </w:r>
      <w:r>
        <w:rPr>
          <w:spacing w:val="3"/>
          <w:w w:val="105"/>
          <w:sz w:val="21"/>
        </w:rPr>
        <w:t> </w:t>
      </w:r>
      <w:r>
        <w:rPr>
          <w:spacing w:val="-3"/>
          <w:w w:val="105"/>
          <w:sz w:val="21"/>
        </w:rPr>
        <w:t>above,</w:t>
      </w:r>
      <w:r>
        <w:rPr>
          <w:spacing w:val="3"/>
          <w:w w:val="105"/>
          <w:sz w:val="21"/>
        </w:rPr>
        <w:t> </w:t>
      </w:r>
      <w:r>
        <w:rPr>
          <w:w w:val="105"/>
          <w:sz w:val="21"/>
        </w:rPr>
        <w:t>at</w:t>
      </w:r>
      <w:r>
        <w:rPr>
          <w:spacing w:val="3"/>
          <w:w w:val="105"/>
          <w:sz w:val="21"/>
        </w:rPr>
        <w:t> </w:t>
      </w:r>
      <w:r>
        <w:rPr>
          <w:w w:val="105"/>
          <w:sz w:val="21"/>
        </w:rPr>
        <w:t>the</w:t>
      </w:r>
      <w:r>
        <w:rPr>
          <w:spacing w:val="3"/>
          <w:w w:val="105"/>
          <w:sz w:val="21"/>
        </w:rPr>
        <w:t> </w:t>
      </w:r>
      <w:r>
        <w:rPr>
          <w:w w:val="105"/>
          <w:sz w:val="21"/>
        </w:rPr>
        <w:t>time</w:t>
      </w:r>
      <w:r>
        <w:rPr>
          <w:spacing w:val="3"/>
          <w:w w:val="105"/>
          <w:sz w:val="21"/>
        </w:rPr>
        <w:t> </w:t>
      </w:r>
      <w:r>
        <w:rPr>
          <w:w w:val="105"/>
          <w:sz w:val="21"/>
        </w:rPr>
        <w:t>of</w:t>
      </w:r>
      <w:r>
        <w:rPr>
          <w:spacing w:val="3"/>
          <w:w w:val="105"/>
          <w:sz w:val="21"/>
        </w:rPr>
        <w:t> </w:t>
      </w:r>
      <w:r>
        <w:rPr>
          <w:spacing w:val="-3"/>
          <w:w w:val="105"/>
          <w:sz w:val="21"/>
        </w:rPr>
        <w:t>writing,</w:t>
      </w:r>
      <w:r>
        <w:rPr>
          <w:spacing w:val="3"/>
          <w:w w:val="105"/>
          <w:sz w:val="21"/>
        </w:rPr>
        <w:t> </w:t>
      </w:r>
      <w:r>
        <w:rPr>
          <w:w w:val="105"/>
          <w:sz w:val="21"/>
        </w:rPr>
        <w:t>the</w:t>
      </w:r>
      <w:r>
        <w:rPr>
          <w:spacing w:val="4"/>
          <w:w w:val="105"/>
          <w:sz w:val="21"/>
        </w:rPr>
        <w:t> </w:t>
      </w:r>
      <w:r>
        <w:rPr>
          <w:spacing w:val="-3"/>
          <w:w w:val="105"/>
          <w:sz w:val="21"/>
        </w:rPr>
        <w:t>County</w:t>
      </w:r>
      <w:r>
        <w:rPr>
          <w:spacing w:val="3"/>
          <w:w w:val="105"/>
          <w:sz w:val="21"/>
        </w:rPr>
        <w:t> </w:t>
      </w:r>
      <w:r>
        <w:rPr>
          <w:spacing w:val="-3"/>
          <w:w w:val="105"/>
          <w:sz w:val="21"/>
        </w:rPr>
        <w:t>Court</w:t>
      </w:r>
      <w:r>
        <w:rPr>
          <w:spacing w:val="3"/>
          <w:w w:val="105"/>
          <w:sz w:val="21"/>
        </w:rPr>
        <w:t> </w:t>
      </w:r>
      <w:r>
        <w:rPr>
          <w:w w:val="105"/>
          <w:sz w:val="21"/>
        </w:rPr>
        <w:t>Rules</w:t>
      </w:r>
      <w:r>
        <w:rPr>
          <w:spacing w:val="3"/>
          <w:w w:val="105"/>
          <w:sz w:val="21"/>
        </w:rPr>
        <w:t> </w:t>
      </w:r>
      <w:r>
        <w:rPr>
          <w:spacing w:val="-3"/>
          <w:w w:val="105"/>
          <w:sz w:val="21"/>
        </w:rPr>
        <w:t>Committee</w:t>
      </w:r>
    </w:p>
    <w:p>
      <w:pPr>
        <w:spacing w:line="242" w:lineRule="auto" w:before="5"/>
        <w:ind w:left="2380" w:right="1619" w:firstLine="0"/>
        <w:jc w:val="left"/>
        <w:rPr>
          <w:sz w:val="21"/>
        </w:rPr>
      </w:pPr>
      <w:r>
        <w:rPr>
          <w:w w:val="105"/>
          <w:sz w:val="21"/>
        </w:rPr>
        <w:t>was </w:t>
      </w:r>
      <w:r>
        <w:rPr>
          <w:spacing w:val="-3"/>
          <w:w w:val="105"/>
          <w:sz w:val="21"/>
        </w:rPr>
        <w:t>considering </w:t>
      </w:r>
      <w:r>
        <w:rPr>
          <w:w w:val="105"/>
          <w:sz w:val="21"/>
        </w:rPr>
        <w:t>whether </w:t>
      </w:r>
      <w:r>
        <w:rPr>
          <w:spacing w:val="-3"/>
          <w:w w:val="105"/>
          <w:sz w:val="21"/>
        </w:rPr>
        <w:t>references to </w:t>
      </w:r>
      <w:r>
        <w:rPr>
          <w:w w:val="105"/>
          <w:sz w:val="21"/>
        </w:rPr>
        <w:t>party and party costs and </w:t>
      </w:r>
      <w:r>
        <w:rPr>
          <w:spacing w:val="-3"/>
          <w:w w:val="105"/>
          <w:sz w:val="21"/>
        </w:rPr>
        <w:t>solicitor </w:t>
      </w:r>
      <w:r>
        <w:rPr>
          <w:w w:val="105"/>
          <w:sz w:val="21"/>
        </w:rPr>
        <w:t>and </w:t>
      </w:r>
      <w:r>
        <w:rPr>
          <w:spacing w:val="-3"/>
          <w:w w:val="105"/>
          <w:sz w:val="21"/>
        </w:rPr>
        <w:t>client </w:t>
      </w:r>
      <w:r>
        <w:rPr>
          <w:w w:val="105"/>
          <w:sz w:val="21"/>
        </w:rPr>
        <w:t>costs in the </w:t>
      </w:r>
      <w:r>
        <w:rPr>
          <w:i/>
          <w:w w:val="105"/>
          <w:sz w:val="21"/>
        </w:rPr>
        <w:t>County Court Civil Procedure Rules 2008 </w:t>
      </w:r>
      <w:r>
        <w:rPr>
          <w:w w:val="105"/>
          <w:sz w:val="21"/>
        </w:rPr>
        <w:t>(Vic) should be amended.</w:t>
      </w:r>
    </w:p>
    <w:p>
      <w:pPr>
        <w:pStyle w:val="BodyText"/>
        <w:spacing w:before="9"/>
      </w:pPr>
    </w:p>
    <w:p>
      <w:pPr>
        <w:pStyle w:val="Heading4"/>
      </w:pPr>
      <w:bookmarkStart w:name="_TOC_250007" w:id="122"/>
      <w:bookmarkEnd w:id="122"/>
      <w:r>
        <w:rPr>
          <w:color w:val="EC5A4F"/>
          <w:w w:val="110"/>
        </w:rPr>
        <w:t>Procedure</w:t>
      </w:r>
    </w:p>
    <w:p>
      <w:pPr>
        <w:pStyle w:val="Heading5"/>
        <w:spacing w:before="167"/>
      </w:pPr>
      <w:bookmarkStart w:name="_TOC_250006" w:id="123"/>
      <w:bookmarkEnd w:id="123"/>
      <w:r>
        <w:rPr>
          <w:w w:val="115"/>
        </w:rPr>
        <w:t>The problems that family provision procedures seek to address</w:t>
      </w:r>
    </w:p>
    <w:p>
      <w:pPr>
        <w:pStyle w:val="ListParagraph"/>
        <w:numPr>
          <w:ilvl w:val="1"/>
          <w:numId w:val="82"/>
        </w:numPr>
        <w:tabs>
          <w:tab w:pos="2381" w:val="left" w:leader="none"/>
          <w:tab w:pos="2382" w:val="left" w:leader="none"/>
        </w:tabs>
        <w:spacing w:line="242" w:lineRule="auto" w:before="137" w:after="0"/>
        <w:ind w:left="2381" w:right="1589" w:hanging="794"/>
        <w:jc w:val="left"/>
        <w:rPr>
          <w:sz w:val="12"/>
        </w:rPr>
      </w:pPr>
      <w:r>
        <w:rPr>
          <w:sz w:val="21"/>
        </w:rPr>
        <w:t>The </w:t>
      </w:r>
      <w:r>
        <w:rPr>
          <w:spacing w:val="-4"/>
          <w:sz w:val="21"/>
        </w:rPr>
        <w:t>Commission </w:t>
      </w:r>
      <w:r>
        <w:rPr>
          <w:spacing w:val="-3"/>
          <w:sz w:val="21"/>
        </w:rPr>
        <w:t>has heard </w:t>
      </w:r>
      <w:r>
        <w:rPr>
          <w:sz w:val="21"/>
        </w:rPr>
        <w:t>a  </w:t>
      </w:r>
      <w:r>
        <w:rPr>
          <w:spacing w:val="-3"/>
          <w:sz w:val="21"/>
        </w:rPr>
        <w:t>range  of  </w:t>
      </w:r>
      <w:r>
        <w:rPr>
          <w:sz w:val="21"/>
        </w:rPr>
        <w:t>views  </w:t>
      </w:r>
      <w:r>
        <w:rPr>
          <w:spacing w:val="-3"/>
          <w:sz w:val="21"/>
        </w:rPr>
        <w:t>about  </w:t>
      </w:r>
      <w:r>
        <w:rPr>
          <w:sz w:val="21"/>
        </w:rPr>
        <w:t>the  </w:t>
      </w:r>
      <w:r>
        <w:rPr>
          <w:spacing w:val="-3"/>
          <w:sz w:val="21"/>
        </w:rPr>
        <w:t>particular  </w:t>
      </w:r>
      <w:r>
        <w:rPr>
          <w:sz w:val="21"/>
        </w:rPr>
        <w:t>aspects  </w:t>
      </w:r>
      <w:r>
        <w:rPr>
          <w:spacing w:val="-3"/>
          <w:sz w:val="21"/>
        </w:rPr>
        <w:t>of  </w:t>
      </w:r>
      <w:r>
        <w:rPr>
          <w:spacing w:val="-4"/>
          <w:sz w:val="21"/>
        </w:rPr>
        <w:t>family provision proceedings </w:t>
      </w:r>
      <w:r>
        <w:rPr>
          <w:spacing w:val="-3"/>
          <w:sz w:val="21"/>
        </w:rPr>
        <w:t>that may </w:t>
      </w:r>
      <w:r>
        <w:rPr>
          <w:spacing w:val="-4"/>
          <w:sz w:val="21"/>
        </w:rPr>
        <w:t>result </w:t>
      </w:r>
      <w:r>
        <w:rPr>
          <w:spacing w:val="-3"/>
          <w:sz w:val="21"/>
        </w:rPr>
        <w:t>in high legal </w:t>
      </w:r>
      <w:r>
        <w:rPr>
          <w:sz w:val="21"/>
        </w:rPr>
        <w:t>costs. One </w:t>
      </w:r>
      <w:r>
        <w:rPr>
          <w:spacing w:val="-3"/>
          <w:sz w:val="21"/>
        </w:rPr>
        <w:t>such factor  was  that  </w:t>
      </w:r>
      <w:r>
        <w:rPr>
          <w:sz w:val="21"/>
        </w:rPr>
        <w:t>the </w:t>
      </w:r>
      <w:r>
        <w:rPr>
          <w:spacing w:val="-4"/>
          <w:sz w:val="21"/>
        </w:rPr>
        <w:t>disputes </w:t>
      </w:r>
      <w:r>
        <w:rPr>
          <w:spacing w:val="-3"/>
          <w:sz w:val="21"/>
        </w:rPr>
        <w:t>are often </w:t>
      </w:r>
      <w:r>
        <w:rPr>
          <w:sz w:val="21"/>
        </w:rPr>
        <w:t>between </w:t>
      </w:r>
      <w:r>
        <w:rPr>
          <w:spacing w:val="-4"/>
          <w:sz w:val="21"/>
        </w:rPr>
        <w:t>family  </w:t>
      </w:r>
      <w:r>
        <w:rPr>
          <w:sz w:val="21"/>
        </w:rPr>
        <w:t>members.  As  </w:t>
      </w:r>
      <w:r>
        <w:rPr>
          <w:spacing w:val="-3"/>
          <w:sz w:val="21"/>
        </w:rPr>
        <w:t>noted  </w:t>
      </w:r>
      <w:r>
        <w:rPr>
          <w:spacing w:val="-4"/>
          <w:sz w:val="21"/>
        </w:rPr>
        <w:t>above,  </w:t>
      </w:r>
      <w:r>
        <w:rPr>
          <w:sz w:val="21"/>
        </w:rPr>
        <w:t>a  </w:t>
      </w:r>
      <w:r>
        <w:rPr>
          <w:spacing w:val="-4"/>
          <w:sz w:val="21"/>
        </w:rPr>
        <w:t>submission  </w:t>
      </w:r>
      <w:r>
        <w:rPr>
          <w:spacing w:val="-3"/>
          <w:sz w:val="21"/>
        </w:rPr>
        <w:t>from  </w:t>
      </w:r>
      <w:r>
        <w:rPr>
          <w:sz w:val="21"/>
        </w:rPr>
        <w:t>a member </w:t>
      </w:r>
      <w:r>
        <w:rPr>
          <w:spacing w:val="-3"/>
          <w:sz w:val="21"/>
        </w:rPr>
        <w:t>of </w:t>
      </w:r>
      <w:r>
        <w:rPr>
          <w:sz w:val="21"/>
        </w:rPr>
        <w:t>the </w:t>
      </w:r>
      <w:r>
        <w:rPr>
          <w:spacing w:val="-4"/>
          <w:sz w:val="21"/>
        </w:rPr>
        <w:t>public </w:t>
      </w:r>
      <w:r>
        <w:rPr>
          <w:sz w:val="21"/>
        </w:rPr>
        <w:t>expressed the view </w:t>
      </w:r>
      <w:r>
        <w:rPr>
          <w:spacing w:val="-3"/>
          <w:sz w:val="21"/>
        </w:rPr>
        <w:t>that where </w:t>
      </w:r>
      <w:r>
        <w:rPr>
          <w:sz w:val="21"/>
        </w:rPr>
        <w:t>a </w:t>
      </w:r>
      <w:r>
        <w:rPr>
          <w:spacing w:val="-4"/>
          <w:sz w:val="21"/>
        </w:rPr>
        <w:t>family </w:t>
      </w:r>
      <w:r>
        <w:rPr>
          <w:sz w:val="21"/>
        </w:rPr>
        <w:t>is </w:t>
      </w:r>
      <w:r>
        <w:rPr>
          <w:spacing w:val="-3"/>
          <w:sz w:val="21"/>
        </w:rPr>
        <w:t>‘fractured </w:t>
      </w:r>
      <w:r>
        <w:rPr>
          <w:sz w:val="21"/>
        </w:rPr>
        <w:t>or </w:t>
      </w:r>
      <w:r>
        <w:rPr>
          <w:spacing w:val="-3"/>
          <w:sz w:val="21"/>
        </w:rPr>
        <w:t>dysfunctional’ </w:t>
      </w:r>
      <w:r>
        <w:rPr>
          <w:sz w:val="21"/>
        </w:rPr>
        <w:t>parties </w:t>
      </w:r>
      <w:r>
        <w:rPr>
          <w:spacing w:val="-3"/>
          <w:sz w:val="21"/>
        </w:rPr>
        <w:t>may not care about </w:t>
      </w:r>
      <w:r>
        <w:rPr>
          <w:sz w:val="21"/>
        </w:rPr>
        <w:t>costs </w:t>
      </w:r>
      <w:r>
        <w:rPr>
          <w:spacing w:val="-3"/>
          <w:sz w:val="21"/>
        </w:rPr>
        <w:t>ramifications, </w:t>
      </w:r>
      <w:r>
        <w:rPr>
          <w:spacing w:val="-5"/>
          <w:sz w:val="21"/>
        </w:rPr>
        <w:t>‘in  </w:t>
      </w:r>
      <w:r>
        <w:rPr>
          <w:sz w:val="21"/>
        </w:rPr>
        <w:t>fact </w:t>
      </w:r>
      <w:r>
        <w:rPr>
          <w:spacing w:val="-3"/>
          <w:sz w:val="21"/>
        </w:rPr>
        <w:t>they  </w:t>
      </w:r>
      <w:r>
        <w:rPr>
          <w:spacing w:val="-4"/>
          <w:sz w:val="21"/>
        </w:rPr>
        <w:t>delight  </w:t>
      </w:r>
      <w:r>
        <w:rPr>
          <w:spacing w:val="-3"/>
          <w:sz w:val="21"/>
        </w:rPr>
        <w:t>in  </w:t>
      </w:r>
      <w:r>
        <w:rPr>
          <w:spacing w:val="-5"/>
          <w:sz w:val="21"/>
        </w:rPr>
        <w:t>them’.</w:t>
      </w:r>
      <w:r>
        <w:rPr>
          <w:spacing w:val="-5"/>
          <w:position w:val="7"/>
          <w:sz w:val="12"/>
        </w:rPr>
        <w:t>220</w:t>
      </w:r>
      <w:r>
        <w:rPr>
          <w:spacing w:val="17"/>
          <w:position w:val="7"/>
          <w:sz w:val="12"/>
        </w:rPr>
        <w:t> </w:t>
      </w:r>
      <w:r>
        <w:rPr>
          <w:spacing w:val="-3"/>
          <w:sz w:val="21"/>
        </w:rPr>
        <w:t>This </w:t>
      </w:r>
      <w:r>
        <w:rPr>
          <w:spacing w:val="-4"/>
          <w:sz w:val="21"/>
        </w:rPr>
        <w:t>contention </w:t>
      </w:r>
      <w:r>
        <w:rPr>
          <w:spacing w:val="-3"/>
          <w:sz w:val="21"/>
        </w:rPr>
        <w:t>was confirmed, to </w:t>
      </w:r>
      <w:r>
        <w:rPr>
          <w:sz w:val="21"/>
        </w:rPr>
        <w:t>some </w:t>
      </w:r>
      <w:r>
        <w:rPr>
          <w:spacing w:val="-3"/>
          <w:sz w:val="21"/>
        </w:rPr>
        <w:t>extent, by </w:t>
      </w:r>
      <w:r>
        <w:rPr>
          <w:spacing w:val="-4"/>
          <w:sz w:val="21"/>
        </w:rPr>
        <w:t>research </w:t>
      </w:r>
      <w:r>
        <w:rPr>
          <w:spacing w:val="-3"/>
          <w:sz w:val="21"/>
        </w:rPr>
        <w:t>conducted by Professor </w:t>
      </w:r>
      <w:r>
        <w:rPr>
          <w:sz w:val="21"/>
        </w:rPr>
        <w:t>Prue Vines     </w:t>
      </w:r>
      <w:r>
        <w:rPr>
          <w:spacing w:val="-3"/>
          <w:sz w:val="21"/>
        </w:rPr>
        <w:t>for </w:t>
      </w:r>
      <w:r>
        <w:rPr>
          <w:sz w:val="21"/>
        </w:rPr>
        <w:t>the </w:t>
      </w:r>
      <w:r>
        <w:rPr>
          <w:spacing w:val="-4"/>
          <w:sz w:val="21"/>
        </w:rPr>
        <w:t>Australasian Institute </w:t>
      </w:r>
      <w:r>
        <w:rPr>
          <w:spacing w:val="-3"/>
          <w:sz w:val="21"/>
        </w:rPr>
        <w:t>of </w:t>
      </w:r>
      <w:r>
        <w:rPr>
          <w:spacing w:val="-4"/>
          <w:sz w:val="21"/>
        </w:rPr>
        <w:t>Judicial Administration, </w:t>
      </w:r>
      <w:r>
        <w:rPr>
          <w:spacing w:val="-3"/>
          <w:sz w:val="21"/>
        </w:rPr>
        <w:t>which </w:t>
      </w:r>
      <w:r>
        <w:rPr>
          <w:spacing w:val="-4"/>
          <w:sz w:val="21"/>
        </w:rPr>
        <w:t>found </w:t>
      </w:r>
      <w:r>
        <w:rPr>
          <w:spacing w:val="-3"/>
          <w:sz w:val="21"/>
        </w:rPr>
        <w:t>that </w:t>
      </w:r>
      <w:r>
        <w:rPr>
          <w:sz w:val="21"/>
        </w:rPr>
        <w:t>costs </w:t>
      </w:r>
      <w:r>
        <w:rPr>
          <w:spacing w:val="-3"/>
          <w:sz w:val="21"/>
        </w:rPr>
        <w:t>in </w:t>
      </w:r>
      <w:r>
        <w:rPr>
          <w:spacing w:val="-4"/>
          <w:sz w:val="21"/>
        </w:rPr>
        <w:t>family provision proceedings </w:t>
      </w:r>
      <w:r>
        <w:rPr>
          <w:spacing w:val="-3"/>
          <w:sz w:val="21"/>
        </w:rPr>
        <w:t>were more </w:t>
      </w:r>
      <w:r>
        <w:rPr>
          <w:spacing w:val="-4"/>
          <w:sz w:val="21"/>
        </w:rPr>
        <w:t>likely </w:t>
      </w:r>
      <w:r>
        <w:rPr>
          <w:spacing w:val="-3"/>
          <w:sz w:val="21"/>
        </w:rPr>
        <w:t>to </w:t>
      </w:r>
      <w:r>
        <w:rPr>
          <w:sz w:val="21"/>
        </w:rPr>
        <w:t>be </w:t>
      </w:r>
      <w:r>
        <w:rPr>
          <w:spacing w:val="-3"/>
          <w:sz w:val="21"/>
        </w:rPr>
        <w:t>disproportionate in </w:t>
      </w:r>
      <w:r>
        <w:rPr>
          <w:spacing w:val="-4"/>
          <w:sz w:val="21"/>
        </w:rPr>
        <w:t>disputes </w:t>
      </w:r>
      <w:r>
        <w:rPr>
          <w:sz w:val="21"/>
        </w:rPr>
        <w:t>between </w:t>
      </w:r>
      <w:r>
        <w:rPr>
          <w:spacing w:val="-4"/>
          <w:sz w:val="21"/>
        </w:rPr>
        <w:t>siblings,  </w:t>
      </w:r>
      <w:r>
        <w:rPr>
          <w:spacing w:val="-3"/>
          <w:sz w:val="21"/>
        </w:rPr>
        <w:t>and</w:t>
      </w:r>
      <w:r>
        <w:rPr>
          <w:spacing w:val="11"/>
          <w:sz w:val="21"/>
        </w:rPr>
        <w:t> </w:t>
      </w:r>
      <w:r>
        <w:rPr>
          <w:spacing w:val="-4"/>
          <w:sz w:val="21"/>
        </w:rPr>
        <w:t>disputes</w:t>
      </w:r>
      <w:r>
        <w:rPr>
          <w:spacing w:val="12"/>
          <w:sz w:val="21"/>
        </w:rPr>
        <w:t> </w:t>
      </w:r>
      <w:r>
        <w:rPr>
          <w:sz w:val="21"/>
        </w:rPr>
        <w:t>between</w:t>
      </w:r>
      <w:r>
        <w:rPr>
          <w:spacing w:val="12"/>
          <w:sz w:val="21"/>
        </w:rPr>
        <w:t> </w:t>
      </w:r>
      <w:r>
        <w:rPr>
          <w:sz w:val="21"/>
        </w:rPr>
        <w:t>a</w:t>
      </w:r>
      <w:r>
        <w:rPr>
          <w:spacing w:val="12"/>
          <w:sz w:val="21"/>
        </w:rPr>
        <w:t> </w:t>
      </w:r>
      <w:r>
        <w:rPr>
          <w:spacing w:val="-3"/>
          <w:sz w:val="21"/>
        </w:rPr>
        <w:t>second</w:t>
      </w:r>
      <w:r>
        <w:rPr>
          <w:spacing w:val="12"/>
          <w:sz w:val="21"/>
        </w:rPr>
        <w:t> </w:t>
      </w:r>
      <w:r>
        <w:rPr>
          <w:spacing w:val="-3"/>
          <w:sz w:val="21"/>
        </w:rPr>
        <w:t>spouse</w:t>
      </w:r>
      <w:r>
        <w:rPr>
          <w:spacing w:val="12"/>
          <w:sz w:val="21"/>
        </w:rPr>
        <w:t> </w:t>
      </w:r>
      <w:r>
        <w:rPr>
          <w:spacing w:val="-3"/>
          <w:sz w:val="21"/>
        </w:rPr>
        <w:t>and</w:t>
      </w:r>
      <w:r>
        <w:rPr>
          <w:spacing w:val="12"/>
          <w:sz w:val="21"/>
        </w:rPr>
        <w:t> </w:t>
      </w:r>
      <w:r>
        <w:rPr>
          <w:spacing w:val="-4"/>
          <w:sz w:val="21"/>
        </w:rPr>
        <w:t>children</w:t>
      </w:r>
      <w:r>
        <w:rPr>
          <w:spacing w:val="12"/>
          <w:sz w:val="21"/>
        </w:rPr>
        <w:t> </w:t>
      </w:r>
      <w:r>
        <w:rPr>
          <w:spacing w:val="-3"/>
          <w:sz w:val="21"/>
        </w:rPr>
        <w:t>of</w:t>
      </w:r>
      <w:r>
        <w:rPr>
          <w:spacing w:val="12"/>
          <w:sz w:val="21"/>
        </w:rPr>
        <w:t> </w:t>
      </w:r>
      <w:r>
        <w:rPr>
          <w:sz w:val="21"/>
        </w:rPr>
        <w:t>the</w:t>
      </w:r>
      <w:r>
        <w:rPr>
          <w:spacing w:val="12"/>
          <w:sz w:val="21"/>
        </w:rPr>
        <w:t> </w:t>
      </w:r>
      <w:r>
        <w:rPr>
          <w:sz w:val="21"/>
        </w:rPr>
        <w:t>first</w:t>
      </w:r>
      <w:r>
        <w:rPr>
          <w:spacing w:val="12"/>
          <w:sz w:val="21"/>
        </w:rPr>
        <w:t> </w:t>
      </w:r>
      <w:r>
        <w:rPr>
          <w:spacing w:val="-4"/>
          <w:sz w:val="21"/>
        </w:rPr>
        <w:t>marriage.</w:t>
      </w:r>
      <w:r>
        <w:rPr>
          <w:spacing w:val="-4"/>
          <w:position w:val="7"/>
          <w:sz w:val="12"/>
        </w:rPr>
        <w:t>221</w:t>
      </w:r>
    </w:p>
    <w:p>
      <w:pPr>
        <w:pStyle w:val="ListParagraph"/>
        <w:numPr>
          <w:ilvl w:val="1"/>
          <w:numId w:val="82"/>
        </w:numPr>
        <w:tabs>
          <w:tab w:pos="2381" w:val="left" w:leader="none"/>
          <w:tab w:pos="2382" w:val="left" w:leader="none"/>
        </w:tabs>
        <w:spacing w:line="242" w:lineRule="auto" w:before="130" w:after="0"/>
        <w:ind w:left="2381" w:right="1715" w:hanging="794"/>
        <w:jc w:val="left"/>
        <w:rPr>
          <w:sz w:val="21"/>
        </w:rPr>
      </w:pPr>
      <w:r>
        <w:rPr>
          <w:sz w:val="21"/>
        </w:rPr>
        <w:t>A number of legal practitioners and </w:t>
      </w:r>
      <w:r>
        <w:rPr>
          <w:spacing w:val="-3"/>
          <w:sz w:val="21"/>
        </w:rPr>
        <w:t>judicial </w:t>
      </w:r>
      <w:r>
        <w:rPr>
          <w:sz w:val="21"/>
        </w:rPr>
        <w:t>officers also </w:t>
      </w:r>
      <w:r>
        <w:rPr>
          <w:spacing w:val="-3"/>
          <w:sz w:val="21"/>
        </w:rPr>
        <w:t>noted that </w:t>
      </w:r>
      <w:r>
        <w:rPr>
          <w:sz w:val="21"/>
        </w:rPr>
        <w:t>affidavits can be excessively long in </w:t>
      </w:r>
      <w:r>
        <w:rPr>
          <w:spacing w:val="-3"/>
          <w:sz w:val="21"/>
        </w:rPr>
        <w:t>family provision proceedings. </w:t>
      </w:r>
      <w:r>
        <w:rPr>
          <w:sz w:val="21"/>
        </w:rPr>
        <w:t>The view  was  expressed  </w:t>
      </w:r>
      <w:r>
        <w:rPr>
          <w:spacing w:val="-3"/>
          <w:sz w:val="21"/>
        </w:rPr>
        <w:t>that  </w:t>
      </w:r>
      <w:r>
        <w:rPr>
          <w:sz w:val="21"/>
        </w:rPr>
        <w:t>this  is partly due </w:t>
      </w:r>
      <w:r>
        <w:rPr>
          <w:spacing w:val="-3"/>
          <w:sz w:val="21"/>
        </w:rPr>
        <w:t>to </w:t>
      </w:r>
      <w:r>
        <w:rPr>
          <w:sz w:val="21"/>
        </w:rPr>
        <w:t>uncertainty in the </w:t>
      </w:r>
      <w:r>
        <w:rPr>
          <w:spacing w:val="-3"/>
          <w:sz w:val="21"/>
        </w:rPr>
        <w:t>jurisdiction, </w:t>
      </w:r>
      <w:r>
        <w:rPr>
          <w:sz w:val="21"/>
        </w:rPr>
        <w:t>as applicants seek </w:t>
      </w:r>
      <w:r>
        <w:rPr>
          <w:spacing w:val="-3"/>
          <w:sz w:val="21"/>
        </w:rPr>
        <w:t>to include any information that</w:t>
      </w:r>
      <w:r>
        <w:rPr>
          <w:spacing w:val="14"/>
          <w:sz w:val="21"/>
        </w:rPr>
        <w:t> </w:t>
      </w:r>
      <w:r>
        <w:rPr>
          <w:spacing w:val="-3"/>
          <w:sz w:val="21"/>
        </w:rPr>
        <w:t>might</w:t>
      </w:r>
      <w:r>
        <w:rPr>
          <w:spacing w:val="15"/>
          <w:sz w:val="21"/>
        </w:rPr>
        <w:t> </w:t>
      </w:r>
      <w:r>
        <w:rPr>
          <w:sz w:val="21"/>
        </w:rPr>
        <w:t>bear</w:t>
      </w:r>
      <w:r>
        <w:rPr>
          <w:spacing w:val="15"/>
          <w:sz w:val="21"/>
        </w:rPr>
        <w:t> </w:t>
      </w:r>
      <w:r>
        <w:rPr>
          <w:sz w:val="21"/>
        </w:rPr>
        <w:t>on</w:t>
      </w:r>
      <w:r>
        <w:rPr>
          <w:spacing w:val="15"/>
          <w:sz w:val="21"/>
        </w:rPr>
        <w:t> </w:t>
      </w:r>
      <w:r>
        <w:rPr>
          <w:sz w:val="21"/>
        </w:rPr>
        <w:t>the</w:t>
      </w:r>
      <w:r>
        <w:rPr>
          <w:spacing w:val="15"/>
          <w:sz w:val="21"/>
        </w:rPr>
        <w:t> </w:t>
      </w:r>
      <w:r>
        <w:rPr>
          <w:spacing w:val="-3"/>
          <w:sz w:val="21"/>
        </w:rPr>
        <w:t>outcome</w:t>
      </w:r>
      <w:r>
        <w:rPr>
          <w:spacing w:val="15"/>
          <w:sz w:val="21"/>
        </w:rPr>
        <w:t> </w:t>
      </w:r>
      <w:r>
        <w:rPr>
          <w:sz w:val="21"/>
        </w:rPr>
        <w:t>of</w:t>
      </w:r>
      <w:r>
        <w:rPr>
          <w:spacing w:val="14"/>
          <w:sz w:val="21"/>
        </w:rPr>
        <w:t> </w:t>
      </w:r>
      <w:r>
        <w:rPr>
          <w:sz w:val="21"/>
        </w:rPr>
        <w:t>their</w:t>
      </w:r>
      <w:r>
        <w:rPr>
          <w:spacing w:val="15"/>
          <w:sz w:val="21"/>
        </w:rPr>
        <w:t> </w:t>
      </w:r>
      <w:r>
        <w:rPr>
          <w:spacing w:val="-3"/>
          <w:sz w:val="21"/>
        </w:rPr>
        <w:t>claim.</w:t>
      </w:r>
      <w:r>
        <w:rPr>
          <w:spacing w:val="15"/>
          <w:sz w:val="21"/>
        </w:rPr>
        <w:t> </w:t>
      </w:r>
      <w:r>
        <w:rPr>
          <w:sz w:val="21"/>
        </w:rPr>
        <w:t>It</w:t>
      </w:r>
      <w:r>
        <w:rPr>
          <w:spacing w:val="15"/>
          <w:sz w:val="21"/>
        </w:rPr>
        <w:t> </w:t>
      </w:r>
      <w:r>
        <w:rPr>
          <w:sz w:val="21"/>
        </w:rPr>
        <w:t>is</w:t>
      </w:r>
      <w:r>
        <w:rPr>
          <w:spacing w:val="15"/>
          <w:sz w:val="21"/>
        </w:rPr>
        <w:t> </w:t>
      </w:r>
      <w:r>
        <w:rPr>
          <w:sz w:val="21"/>
        </w:rPr>
        <w:t>also</w:t>
      </w:r>
      <w:r>
        <w:rPr>
          <w:spacing w:val="15"/>
          <w:sz w:val="21"/>
        </w:rPr>
        <w:t> </w:t>
      </w:r>
      <w:r>
        <w:rPr>
          <w:sz w:val="21"/>
        </w:rPr>
        <w:t>caused,</w:t>
      </w:r>
      <w:r>
        <w:rPr>
          <w:spacing w:val="14"/>
          <w:sz w:val="21"/>
        </w:rPr>
        <w:t> </w:t>
      </w:r>
      <w:r>
        <w:rPr>
          <w:sz w:val="21"/>
        </w:rPr>
        <w:t>in</w:t>
      </w:r>
      <w:r>
        <w:rPr>
          <w:spacing w:val="15"/>
          <w:sz w:val="21"/>
        </w:rPr>
        <w:t> </w:t>
      </w:r>
      <w:r>
        <w:rPr>
          <w:sz w:val="21"/>
        </w:rPr>
        <w:t>part,</w:t>
      </w:r>
      <w:r>
        <w:rPr>
          <w:spacing w:val="15"/>
          <w:sz w:val="21"/>
        </w:rPr>
        <w:t> </w:t>
      </w:r>
      <w:r>
        <w:rPr>
          <w:sz w:val="21"/>
        </w:rPr>
        <w:t>by</w:t>
      </w:r>
      <w:r>
        <w:rPr>
          <w:spacing w:val="15"/>
          <w:sz w:val="21"/>
        </w:rPr>
        <w:t> </w:t>
      </w:r>
      <w:r>
        <w:rPr>
          <w:sz w:val="21"/>
        </w:rPr>
        <w:t>the</w:t>
      </w:r>
      <w:r>
        <w:rPr>
          <w:spacing w:val="15"/>
          <w:sz w:val="21"/>
        </w:rPr>
        <w:t> </w:t>
      </w:r>
      <w:r>
        <w:rPr>
          <w:sz w:val="21"/>
        </w:rPr>
        <w:t>cathartic</w:t>
      </w:r>
    </w:p>
    <w:p>
      <w:pPr>
        <w:pStyle w:val="BodyText"/>
        <w:spacing w:line="242" w:lineRule="auto" w:before="4"/>
        <w:ind w:left="2381" w:right="1619"/>
      </w:pPr>
      <w:r>
        <w:rPr/>
        <w:t>purpose served by affidavits in intractable family disputes, as parties seek to tell their story about what happened over the course of many years.</w:t>
      </w:r>
    </w:p>
    <w:p>
      <w:pPr>
        <w:pStyle w:val="ListParagraph"/>
        <w:numPr>
          <w:ilvl w:val="1"/>
          <w:numId w:val="82"/>
        </w:numPr>
        <w:tabs>
          <w:tab w:pos="2381" w:val="left" w:leader="none"/>
          <w:tab w:pos="2382" w:val="left" w:leader="none"/>
        </w:tabs>
        <w:spacing w:line="242" w:lineRule="auto" w:before="123" w:after="0"/>
        <w:ind w:left="2381" w:right="1687" w:hanging="794"/>
        <w:jc w:val="left"/>
        <w:rPr>
          <w:sz w:val="12"/>
        </w:rPr>
      </w:pPr>
      <w:r>
        <w:rPr>
          <w:spacing w:val="-4"/>
          <w:w w:val="105"/>
          <w:sz w:val="21"/>
        </w:rPr>
        <w:t>Additionally, </w:t>
      </w:r>
      <w:r>
        <w:rPr>
          <w:w w:val="105"/>
          <w:sz w:val="21"/>
        </w:rPr>
        <w:t>because the courts typically </w:t>
      </w:r>
      <w:r>
        <w:rPr>
          <w:spacing w:val="-3"/>
          <w:w w:val="105"/>
          <w:sz w:val="21"/>
        </w:rPr>
        <w:t>have </w:t>
      </w:r>
      <w:r>
        <w:rPr>
          <w:w w:val="105"/>
          <w:sz w:val="21"/>
        </w:rPr>
        <w:t>no </w:t>
      </w:r>
      <w:r>
        <w:rPr>
          <w:spacing w:val="-3"/>
          <w:w w:val="105"/>
          <w:sz w:val="21"/>
        </w:rPr>
        <w:t>control </w:t>
      </w:r>
      <w:r>
        <w:rPr>
          <w:w w:val="105"/>
          <w:sz w:val="21"/>
        </w:rPr>
        <w:t>over costs at the point of </w:t>
      </w:r>
      <w:r>
        <w:rPr>
          <w:spacing w:val="-3"/>
          <w:w w:val="105"/>
          <w:sz w:val="21"/>
        </w:rPr>
        <w:t>mediation, concern </w:t>
      </w:r>
      <w:r>
        <w:rPr>
          <w:spacing w:val="-2"/>
          <w:w w:val="105"/>
          <w:sz w:val="21"/>
        </w:rPr>
        <w:t>has </w:t>
      </w:r>
      <w:r>
        <w:rPr>
          <w:w w:val="105"/>
          <w:sz w:val="21"/>
        </w:rPr>
        <w:t>been expressed </w:t>
      </w:r>
      <w:r>
        <w:rPr>
          <w:spacing w:val="-3"/>
          <w:w w:val="105"/>
          <w:sz w:val="21"/>
        </w:rPr>
        <w:t>that </w:t>
      </w:r>
      <w:r>
        <w:rPr>
          <w:w w:val="105"/>
          <w:sz w:val="21"/>
        </w:rPr>
        <w:t>practitioners </w:t>
      </w:r>
      <w:r>
        <w:rPr>
          <w:spacing w:val="-3"/>
          <w:w w:val="105"/>
          <w:sz w:val="21"/>
        </w:rPr>
        <w:t>may ‘grossly overestimate’ </w:t>
      </w:r>
      <w:r>
        <w:rPr>
          <w:w w:val="105"/>
          <w:sz w:val="21"/>
        </w:rPr>
        <w:t>their costs up </w:t>
      </w:r>
      <w:r>
        <w:rPr>
          <w:spacing w:val="-3"/>
          <w:w w:val="105"/>
          <w:sz w:val="21"/>
        </w:rPr>
        <w:t>to </w:t>
      </w:r>
      <w:r>
        <w:rPr>
          <w:w w:val="105"/>
          <w:sz w:val="21"/>
        </w:rPr>
        <w:t>the point of mediation.</w:t>
      </w:r>
      <w:r>
        <w:rPr>
          <w:w w:val="105"/>
          <w:position w:val="7"/>
          <w:sz w:val="12"/>
        </w:rPr>
        <w:t>222 </w:t>
      </w:r>
      <w:r>
        <w:rPr>
          <w:w w:val="105"/>
          <w:sz w:val="21"/>
        </w:rPr>
        <w:t>The </w:t>
      </w:r>
      <w:r>
        <w:rPr>
          <w:spacing w:val="-3"/>
          <w:w w:val="105"/>
          <w:sz w:val="21"/>
        </w:rPr>
        <w:t>Commission heard </w:t>
      </w:r>
      <w:r>
        <w:rPr>
          <w:w w:val="105"/>
          <w:sz w:val="21"/>
        </w:rPr>
        <w:t>suggestions </w:t>
      </w:r>
      <w:r>
        <w:rPr>
          <w:spacing w:val="-3"/>
          <w:w w:val="105"/>
          <w:sz w:val="21"/>
        </w:rPr>
        <w:t>that </w:t>
      </w:r>
      <w:r>
        <w:rPr>
          <w:w w:val="105"/>
          <w:sz w:val="21"/>
        </w:rPr>
        <w:t>some practitioners</w:t>
      </w:r>
      <w:r>
        <w:rPr>
          <w:spacing w:val="-11"/>
          <w:w w:val="105"/>
          <w:sz w:val="21"/>
        </w:rPr>
        <w:t> </w:t>
      </w:r>
      <w:r>
        <w:rPr>
          <w:w w:val="105"/>
          <w:sz w:val="21"/>
        </w:rPr>
        <w:t>simply</w:t>
      </w:r>
      <w:r>
        <w:rPr>
          <w:spacing w:val="-10"/>
          <w:w w:val="105"/>
          <w:sz w:val="21"/>
        </w:rPr>
        <w:t> </w:t>
      </w:r>
      <w:r>
        <w:rPr>
          <w:w w:val="105"/>
          <w:sz w:val="21"/>
        </w:rPr>
        <w:t>adopt</w:t>
      </w:r>
      <w:r>
        <w:rPr>
          <w:spacing w:val="-10"/>
          <w:w w:val="105"/>
          <w:sz w:val="21"/>
        </w:rPr>
        <w:t> </w:t>
      </w:r>
      <w:r>
        <w:rPr>
          <w:w w:val="105"/>
          <w:sz w:val="21"/>
        </w:rPr>
        <w:t>an</w:t>
      </w:r>
      <w:r>
        <w:rPr>
          <w:spacing w:val="-10"/>
          <w:w w:val="105"/>
          <w:sz w:val="21"/>
        </w:rPr>
        <w:t> </w:t>
      </w:r>
      <w:r>
        <w:rPr>
          <w:spacing w:val="-3"/>
          <w:w w:val="105"/>
          <w:sz w:val="21"/>
        </w:rPr>
        <w:t>amount</w:t>
      </w:r>
      <w:r>
        <w:rPr>
          <w:spacing w:val="-10"/>
          <w:w w:val="105"/>
          <w:sz w:val="21"/>
        </w:rPr>
        <w:t> </w:t>
      </w:r>
      <w:r>
        <w:rPr>
          <w:spacing w:val="-3"/>
          <w:w w:val="105"/>
          <w:sz w:val="21"/>
        </w:rPr>
        <w:t>for</w:t>
      </w:r>
      <w:r>
        <w:rPr>
          <w:spacing w:val="-10"/>
          <w:w w:val="105"/>
          <w:sz w:val="21"/>
        </w:rPr>
        <w:t> </w:t>
      </w:r>
      <w:r>
        <w:rPr>
          <w:w w:val="105"/>
          <w:sz w:val="21"/>
        </w:rPr>
        <w:t>costs</w:t>
      </w:r>
      <w:r>
        <w:rPr>
          <w:spacing w:val="-10"/>
          <w:w w:val="105"/>
          <w:sz w:val="21"/>
        </w:rPr>
        <w:t> </w:t>
      </w:r>
      <w:r>
        <w:rPr>
          <w:w w:val="105"/>
          <w:sz w:val="21"/>
        </w:rPr>
        <w:t>based</w:t>
      </w:r>
      <w:r>
        <w:rPr>
          <w:spacing w:val="-11"/>
          <w:w w:val="105"/>
          <w:sz w:val="21"/>
        </w:rPr>
        <w:t> </w:t>
      </w:r>
      <w:r>
        <w:rPr>
          <w:w w:val="105"/>
          <w:sz w:val="21"/>
        </w:rPr>
        <w:t>on</w:t>
      </w:r>
      <w:r>
        <w:rPr>
          <w:spacing w:val="-10"/>
          <w:w w:val="105"/>
          <w:sz w:val="21"/>
        </w:rPr>
        <w:t> </w:t>
      </w:r>
      <w:r>
        <w:rPr>
          <w:w w:val="105"/>
          <w:sz w:val="21"/>
        </w:rPr>
        <w:t>what</w:t>
      </w:r>
      <w:r>
        <w:rPr>
          <w:spacing w:val="-10"/>
          <w:w w:val="105"/>
          <w:sz w:val="21"/>
        </w:rPr>
        <w:t> </w:t>
      </w:r>
      <w:r>
        <w:rPr>
          <w:w w:val="105"/>
          <w:sz w:val="21"/>
        </w:rPr>
        <w:t>the</w:t>
      </w:r>
      <w:r>
        <w:rPr>
          <w:spacing w:val="-10"/>
          <w:w w:val="105"/>
          <w:sz w:val="21"/>
        </w:rPr>
        <w:t> </w:t>
      </w:r>
      <w:r>
        <w:rPr>
          <w:w w:val="105"/>
          <w:sz w:val="21"/>
        </w:rPr>
        <w:t>other</w:t>
      </w:r>
      <w:r>
        <w:rPr>
          <w:spacing w:val="-10"/>
          <w:w w:val="105"/>
          <w:sz w:val="21"/>
        </w:rPr>
        <w:t> </w:t>
      </w:r>
      <w:r>
        <w:rPr>
          <w:w w:val="105"/>
          <w:sz w:val="21"/>
        </w:rPr>
        <w:t>lawyers</w:t>
      </w:r>
      <w:r>
        <w:rPr>
          <w:spacing w:val="-10"/>
          <w:w w:val="105"/>
          <w:sz w:val="21"/>
        </w:rPr>
        <w:t> </w:t>
      </w:r>
      <w:r>
        <w:rPr>
          <w:w w:val="105"/>
          <w:sz w:val="21"/>
        </w:rPr>
        <w:t>present at mediation </w:t>
      </w:r>
      <w:r>
        <w:rPr>
          <w:spacing w:val="-3"/>
          <w:w w:val="105"/>
          <w:sz w:val="21"/>
        </w:rPr>
        <w:t>are</w:t>
      </w:r>
      <w:r>
        <w:rPr>
          <w:spacing w:val="16"/>
          <w:w w:val="105"/>
          <w:sz w:val="21"/>
        </w:rPr>
        <w:t> </w:t>
      </w:r>
      <w:r>
        <w:rPr>
          <w:spacing w:val="-3"/>
          <w:w w:val="105"/>
          <w:sz w:val="21"/>
        </w:rPr>
        <w:t>claiming.</w:t>
      </w:r>
      <w:r>
        <w:rPr>
          <w:spacing w:val="-3"/>
          <w:w w:val="105"/>
          <w:position w:val="7"/>
          <w:sz w:val="12"/>
        </w:rPr>
        <w:t>223</w:t>
      </w:r>
    </w:p>
    <w:p>
      <w:pPr>
        <w:pStyle w:val="ListParagraph"/>
        <w:numPr>
          <w:ilvl w:val="1"/>
          <w:numId w:val="82"/>
        </w:numPr>
        <w:tabs>
          <w:tab w:pos="2380" w:val="left" w:leader="none"/>
          <w:tab w:pos="2381" w:val="left" w:leader="none"/>
        </w:tabs>
        <w:spacing w:line="242" w:lineRule="auto" w:before="125" w:after="0"/>
        <w:ind w:left="2381" w:right="1895" w:hanging="794"/>
        <w:jc w:val="left"/>
        <w:rPr>
          <w:sz w:val="21"/>
        </w:rPr>
      </w:pPr>
      <w:r>
        <w:rPr>
          <w:spacing w:val="-3"/>
          <w:sz w:val="21"/>
        </w:rPr>
        <w:t>Procedures in </w:t>
      </w:r>
      <w:r>
        <w:rPr>
          <w:spacing w:val="-4"/>
          <w:sz w:val="21"/>
        </w:rPr>
        <w:t>family provision proceedings,  </w:t>
      </w:r>
      <w:r>
        <w:rPr>
          <w:spacing w:val="-3"/>
          <w:sz w:val="21"/>
        </w:rPr>
        <w:t>even before </w:t>
      </w:r>
      <w:r>
        <w:rPr>
          <w:sz w:val="21"/>
        </w:rPr>
        <w:t>a </w:t>
      </w:r>
      <w:r>
        <w:rPr>
          <w:spacing w:val="-4"/>
          <w:sz w:val="21"/>
        </w:rPr>
        <w:t>claim  </w:t>
      </w:r>
      <w:r>
        <w:rPr>
          <w:spacing w:val="-3"/>
          <w:sz w:val="21"/>
        </w:rPr>
        <w:t>reaches </w:t>
      </w:r>
      <w:r>
        <w:rPr>
          <w:sz w:val="21"/>
        </w:rPr>
        <w:t>the </w:t>
      </w:r>
      <w:r>
        <w:rPr>
          <w:spacing w:val="-2"/>
          <w:sz w:val="21"/>
        </w:rPr>
        <w:t>court, </w:t>
      </w:r>
      <w:r>
        <w:rPr>
          <w:spacing w:val="-3"/>
          <w:sz w:val="21"/>
        </w:rPr>
        <w:t>must  </w:t>
      </w:r>
      <w:r>
        <w:rPr>
          <w:sz w:val="21"/>
        </w:rPr>
        <w:t>be</w:t>
      </w:r>
      <w:r>
        <w:rPr>
          <w:spacing w:val="21"/>
          <w:sz w:val="21"/>
        </w:rPr>
        <w:t> </w:t>
      </w:r>
      <w:r>
        <w:rPr>
          <w:spacing w:val="-3"/>
          <w:sz w:val="21"/>
        </w:rPr>
        <w:t>directed</w:t>
      </w:r>
      <w:r>
        <w:rPr>
          <w:spacing w:val="22"/>
          <w:sz w:val="21"/>
        </w:rPr>
        <w:t> </w:t>
      </w:r>
      <w:r>
        <w:rPr>
          <w:spacing w:val="-3"/>
          <w:sz w:val="21"/>
        </w:rPr>
        <w:t>to</w:t>
      </w:r>
      <w:r>
        <w:rPr>
          <w:spacing w:val="21"/>
          <w:sz w:val="21"/>
        </w:rPr>
        <w:t> </w:t>
      </w:r>
      <w:r>
        <w:rPr>
          <w:spacing w:val="-4"/>
          <w:sz w:val="21"/>
        </w:rPr>
        <w:t>narrowing</w:t>
      </w:r>
      <w:r>
        <w:rPr>
          <w:spacing w:val="22"/>
          <w:sz w:val="21"/>
        </w:rPr>
        <w:t> </w:t>
      </w:r>
      <w:r>
        <w:rPr>
          <w:sz w:val="21"/>
        </w:rPr>
        <w:t>the</w:t>
      </w:r>
      <w:r>
        <w:rPr>
          <w:spacing w:val="21"/>
          <w:sz w:val="21"/>
        </w:rPr>
        <w:t> </w:t>
      </w:r>
      <w:r>
        <w:rPr>
          <w:spacing w:val="-3"/>
          <w:sz w:val="21"/>
        </w:rPr>
        <w:t>issues</w:t>
      </w:r>
      <w:r>
        <w:rPr>
          <w:spacing w:val="22"/>
          <w:sz w:val="21"/>
        </w:rPr>
        <w:t> </w:t>
      </w:r>
      <w:r>
        <w:rPr>
          <w:spacing w:val="-3"/>
          <w:sz w:val="21"/>
        </w:rPr>
        <w:t>in</w:t>
      </w:r>
      <w:r>
        <w:rPr>
          <w:spacing w:val="21"/>
          <w:sz w:val="21"/>
        </w:rPr>
        <w:t> </w:t>
      </w:r>
      <w:r>
        <w:rPr>
          <w:spacing w:val="-4"/>
          <w:sz w:val="21"/>
        </w:rPr>
        <w:t>dispute,</w:t>
      </w:r>
      <w:r>
        <w:rPr>
          <w:spacing w:val="22"/>
          <w:sz w:val="21"/>
        </w:rPr>
        <w:t> </w:t>
      </w:r>
      <w:r>
        <w:rPr>
          <w:spacing w:val="-4"/>
          <w:sz w:val="21"/>
        </w:rPr>
        <w:t>ensuring</w:t>
      </w:r>
      <w:r>
        <w:rPr>
          <w:spacing w:val="21"/>
          <w:sz w:val="21"/>
        </w:rPr>
        <w:t> </w:t>
      </w:r>
      <w:r>
        <w:rPr>
          <w:spacing w:val="-3"/>
          <w:sz w:val="21"/>
        </w:rPr>
        <w:t>that</w:t>
      </w:r>
      <w:r>
        <w:rPr>
          <w:spacing w:val="22"/>
          <w:sz w:val="21"/>
        </w:rPr>
        <w:t> </w:t>
      </w:r>
      <w:r>
        <w:rPr>
          <w:spacing w:val="-3"/>
          <w:sz w:val="21"/>
        </w:rPr>
        <w:t>only</w:t>
      </w:r>
      <w:r>
        <w:rPr>
          <w:spacing w:val="21"/>
          <w:sz w:val="21"/>
        </w:rPr>
        <w:t> </w:t>
      </w:r>
      <w:r>
        <w:rPr>
          <w:spacing w:val="-4"/>
          <w:sz w:val="21"/>
        </w:rPr>
        <w:t>relevant</w:t>
      </w:r>
      <w:r>
        <w:rPr>
          <w:spacing w:val="22"/>
          <w:sz w:val="21"/>
        </w:rPr>
        <w:t> </w:t>
      </w:r>
      <w:r>
        <w:rPr>
          <w:spacing w:val="-4"/>
          <w:sz w:val="21"/>
        </w:rPr>
        <w:t>information</w:t>
      </w:r>
      <w:r>
        <w:rPr>
          <w:spacing w:val="21"/>
          <w:sz w:val="21"/>
        </w:rPr>
        <w:t> </w:t>
      </w:r>
      <w:r>
        <w:rPr>
          <w:sz w:val="21"/>
        </w:rPr>
        <w:t>is</w:t>
      </w:r>
    </w:p>
    <w:p>
      <w:pPr>
        <w:pStyle w:val="BodyText"/>
        <w:spacing w:before="2"/>
        <w:ind w:left="2380"/>
      </w:pPr>
      <w:r>
        <w:rPr/>
        <w:t>prepared by legal practitioners and minimising overall costs to the parties and to the estate.</w:t>
      </w:r>
    </w:p>
    <w:p>
      <w:pPr>
        <w:pStyle w:val="BodyText"/>
        <w:rPr>
          <w:sz w:val="25"/>
        </w:rPr>
      </w:pPr>
    </w:p>
    <w:p>
      <w:pPr>
        <w:pStyle w:val="Heading5"/>
      </w:pPr>
      <w:bookmarkStart w:name="_TOC_250005" w:id="124"/>
      <w:bookmarkEnd w:id="124"/>
      <w:r>
        <w:rPr>
          <w:w w:val="115"/>
        </w:rPr>
        <w:t>Current family provision procedures</w:t>
      </w:r>
    </w:p>
    <w:p>
      <w:pPr>
        <w:pStyle w:val="ListParagraph"/>
        <w:numPr>
          <w:ilvl w:val="1"/>
          <w:numId w:val="82"/>
        </w:numPr>
        <w:tabs>
          <w:tab w:pos="2381" w:val="left" w:leader="none"/>
          <w:tab w:pos="2382" w:val="left" w:leader="none"/>
        </w:tabs>
        <w:spacing w:line="242" w:lineRule="auto" w:before="137" w:after="0"/>
        <w:ind w:left="2381" w:right="1601" w:hanging="794"/>
        <w:jc w:val="left"/>
        <w:rPr>
          <w:sz w:val="21"/>
        </w:rPr>
      </w:pPr>
      <w:r>
        <w:rPr>
          <w:w w:val="105"/>
          <w:sz w:val="21"/>
        </w:rPr>
        <w:t>A </w:t>
      </w:r>
      <w:r>
        <w:rPr>
          <w:spacing w:val="-3"/>
          <w:w w:val="105"/>
          <w:sz w:val="21"/>
        </w:rPr>
        <w:t>number of </w:t>
      </w:r>
      <w:r>
        <w:rPr>
          <w:spacing w:val="-4"/>
          <w:w w:val="105"/>
          <w:sz w:val="21"/>
        </w:rPr>
        <w:t>procedures </w:t>
      </w:r>
      <w:r>
        <w:rPr>
          <w:spacing w:val="-3"/>
          <w:w w:val="105"/>
          <w:sz w:val="21"/>
        </w:rPr>
        <w:t>are </w:t>
      </w:r>
      <w:r>
        <w:rPr>
          <w:spacing w:val="-4"/>
          <w:w w:val="105"/>
          <w:sz w:val="21"/>
        </w:rPr>
        <w:t>already </w:t>
      </w:r>
      <w:r>
        <w:rPr>
          <w:spacing w:val="-3"/>
          <w:w w:val="105"/>
          <w:sz w:val="21"/>
        </w:rPr>
        <w:t>in operation in </w:t>
      </w:r>
      <w:r>
        <w:rPr>
          <w:w w:val="105"/>
          <w:sz w:val="21"/>
        </w:rPr>
        <w:t>the </w:t>
      </w:r>
      <w:r>
        <w:rPr>
          <w:spacing w:val="-4"/>
          <w:w w:val="105"/>
          <w:sz w:val="21"/>
        </w:rPr>
        <w:t>County </w:t>
      </w:r>
      <w:r>
        <w:rPr>
          <w:spacing w:val="-3"/>
          <w:w w:val="105"/>
          <w:sz w:val="21"/>
        </w:rPr>
        <w:t>Court and </w:t>
      </w:r>
      <w:r>
        <w:rPr>
          <w:spacing w:val="-4"/>
          <w:w w:val="105"/>
          <w:sz w:val="21"/>
        </w:rPr>
        <w:t>Supreme </w:t>
      </w:r>
      <w:r>
        <w:rPr>
          <w:spacing w:val="-3"/>
          <w:w w:val="105"/>
          <w:sz w:val="21"/>
        </w:rPr>
        <w:t>Court  in </w:t>
      </w:r>
      <w:r>
        <w:rPr>
          <w:spacing w:val="-4"/>
          <w:w w:val="105"/>
          <w:sz w:val="21"/>
        </w:rPr>
        <w:t>family provision proceedings, </w:t>
      </w:r>
      <w:r>
        <w:rPr>
          <w:spacing w:val="-3"/>
          <w:w w:val="105"/>
          <w:sz w:val="21"/>
        </w:rPr>
        <w:t>in order to </w:t>
      </w:r>
      <w:r>
        <w:rPr>
          <w:spacing w:val="-4"/>
          <w:w w:val="105"/>
          <w:sz w:val="21"/>
        </w:rPr>
        <w:t>minimise </w:t>
      </w:r>
      <w:r>
        <w:rPr>
          <w:w w:val="105"/>
          <w:sz w:val="21"/>
        </w:rPr>
        <w:t>costs </w:t>
      </w:r>
      <w:r>
        <w:rPr>
          <w:spacing w:val="-3"/>
          <w:w w:val="105"/>
          <w:sz w:val="21"/>
        </w:rPr>
        <w:t>and expedite resolution of</w:t>
      </w:r>
      <w:r>
        <w:rPr>
          <w:spacing w:val="-35"/>
          <w:w w:val="105"/>
          <w:sz w:val="21"/>
        </w:rPr>
        <w:t> </w:t>
      </w:r>
      <w:r>
        <w:rPr>
          <w:spacing w:val="-3"/>
          <w:w w:val="105"/>
          <w:sz w:val="21"/>
        </w:rPr>
        <w:t>cases.</w:t>
      </w:r>
    </w:p>
    <w:p>
      <w:pPr>
        <w:pStyle w:val="ListParagraph"/>
        <w:numPr>
          <w:ilvl w:val="1"/>
          <w:numId w:val="82"/>
        </w:numPr>
        <w:tabs>
          <w:tab w:pos="2381" w:val="left" w:leader="none"/>
          <w:tab w:pos="2382" w:val="left" w:leader="none"/>
        </w:tabs>
        <w:spacing w:line="242" w:lineRule="auto" w:before="123" w:after="0"/>
        <w:ind w:left="2381" w:right="1954" w:hanging="794"/>
        <w:jc w:val="left"/>
        <w:rPr>
          <w:sz w:val="12"/>
        </w:rPr>
      </w:pPr>
      <w:r>
        <w:rPr>
          <w:w w:val="105"/>
          <w:sz w:val="21"/>
        </w:rPr>
        <w:t>In its </w:t>
      </w:r>
      <w:r>
        <w:rPr>
          <w:spacing w:val="-11"/>
          <w:w w:val="105"/>
          <w:sz w:val="21"/>
        </w:rPr>
        <w:t>2011–12 </w:t>
      </w:r>
      <w:r>
        <w:rPr>
          <w:spacing w:val="-3"/>
          <w:w w:val="105"/>
          <w:sz w:val="21"/>
        </w:rPr>
        <w:t>annual </w:t>
      </w:r>
      <w:r>
        <w:rPr>
          <w:w w:val="105"/>
          <w:sz w:val="21"/>
        </w:rPr>
        <w:t>report, the </w:t>
      </w:r>
      <w:r>
        <w:rPr>
          <w:spacing w:val="-3"/>
          <w:w w:val="105"/>
          <w:sz w:val="21"/>
        </w:rPr>
        <w:t>Supreme Court </w:t>
      </w:r>
      <w:r>
        <w:rPr>
          <w:w w:val="105"/>
          <w:sz w:val="21"/>
        </w:rPr>
        <w:t>described its approach </w:t>
      </w:r>
      <w:r>
        <w:rPr>
          <w:spacing w:val="-3"/>
          <w:w w:val="105"/>
          <w:sz w:val="21"/>
        </w:rPr>
        <w:t>to </w:t>
      </w:r>
      <w:r>
        <w:rPr>
          <w:w w:val="105"/>
          <w:sz w:val="21"/>
        </w:rPr>
        <w:t>case </w:t>
      </w:r>
      <w:r>
        <w:rPr>
          <w:spacing w:val="-3"/>
          <w:w w:val="105"/>
          <w:sz w:val="21"/>
        </w:rPr>
        <w:t>management </w:t>
      </w:r>
      <w:r>
        <w:rPr>
          <w:w w:val="105"/>
          <w:sz w:val="21"/>
        </w:rPr>
        <w:t>in </w:t>
      </w:r>
      <w:r>
        <w:rPr>
          <w:spacing w:val="-3"/>
          <w:w w:val="105"/>
          <w:sz w:val="21"/>
        </w:rPr>
        <w:t>family provision proceedings, noting that </w:t>
      </w:r>
      <w:r>
        <w:rPr>
          <w:w w:val="105"/>
          <w:sz w:val="21"/>
        </w:rPr>
        <w:t>it strives </w:t>
      </w:r>
      <w:r>
        <w:rPr>
          <w:spacing w:val="-3"/>
          <w:w w:val="105"/>
          <w:sz w:val="21"/>
        </w:rPr>
        <w:t>to </w:t>
      </w:r>
      <w:r>
        <w:rPr>
          <w:w w:val="105"/>
          <w:sz w:val="21"/>
        </w:rPr>
        <w:t>be proactive and </w:t>
      </w:r>
      <w:r>
        <w:rPr>
          <w:spacing w:val="-3"/>
          <w:w w:val="105"/>
          <w:sz w:val="21"/>
        </w:rPr>
        <w:t>minimise </w:t>
      </w:r>
      <w:r>
        <w:rPr>
          <w:w w:val="105"/>
          <w:sz w:val="21"/>
        </w:rPr>
        <w:t>costs </w:t>
      </w:r>
      <w:r>
        <w:rPr>
          <w:spacing w:val="-3"/>
          <w:w w:val="105"/>
          <w:sz w:val="21"/>
        </w:rPr>
        <w:t>to </w:t>
      </w:r>
      <w:r>
        <w:rPr>
          <w:w w:val="105"/>
          <w:sz w:val="21"/>
        </w:rPr>
        <w:t>the parties where estates </w:t>
      </w:r>
      <w:r>
        <w:rPr>
          <w:spacing w:val="-3"/>
          <w:w w:val="105"/>
          <w:sz w:val="21"/>
        </w:rPr>
        <w:t>are</w:t>
      </w:r>
      <w:r>
        <w:rPr>
          <w:spacing w:val="31"/>
          <w:w w:val="105"/>
          <w:sz w:val="21"/>
        </w:rPr>
        <w:t> </w:t>
      </w:r>
      <w:r>
        <w:rPr>
          <w:spacing w:val="-3"/>
          <w:w w:val="105"/>
          <w:sz w:val="21"/>
        </w:rPr>
        <w:t>small.</w:t>
      </w:r>
      <w:r>
        <w:rPr>
          <w:spacing w:val="-3"/>
          <w:w w:val="105"/>
          <w:position w:val="7"/>
          <w:sz w:val="12"/>
        </w:rPr>
        <w:t>224</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8"/>
        </w:rPr>
      </w:pPr>
      <w:r>
        <w:rPr/>
        <w:pict>
          <v:line style="position:absolute;mso-position-horizontal-relative:page;mso-position-vertical-relative:paragraph;z-index:7688;mso-wrap-distance-left:0;mso-wrap-distance-right:0" from="79.370102pt,13.680479pt" to="515.905102pt,13.680479pt" stroked="true" strokeweight="1pt" strokecolor="#f9ceca">
            <v:stroke dashstyle="solid"/>
            <w10:wrap type="topAndBottom"/>
          </v:line>
        </w:pict>
      </w:r>
    </w:p>
    <w:p>
      <w:pPr>
        <w:pStyle w:val="BodyText"/>
        <w:spacing w:before="8"/>
        <w:rPr>
          <w:sz w:val="5"/>
        </w:rPr>
      </w:pPr>
    </w:p>
    <w:p>
      <w:pPr>
        <w:spacing w:after="0"/>
        <w:rPr>
          <w:sz w:val="5"/>
        </w:rPr>
        <w:sectPr>
          <w:pgSz w:w="11910" w:h="16840"/>
          <w:pgMar w:header="550" w:footer="0" w:top="1560" w:bottom="280" w:left="0" w:right="0"/>
        </w:sectPr>
      </w:pPr>
    </w:p>
    <w:p>
      <w:pPr>
        <w:pStyle w:val="BodyText"/>
        <w:rPr>
          <w:sz w:val="28"/>
        </w:rPr>
      </w:pPr>
    </w:p>
    <w:p>
      <w:pPr>
        <w:pStyle w:val="BodyText"/>
        <w:spacing w:before="1"/>
        <w:rPr>
          <w:sz w:val="34"/>
        </w:rPr>
      </w:pPr>
    </w:p>
    <w:p>
      <w:pPr>
        <w:spacing w:before="0"/>
        <w:ind w:left="720" w:right="0" w:firstLine="0"/>
        <w:jc w:val="left"/>
        <w:rPr>
          <w:b/>
          <w:sz w:val="24"/>
        </w:rPr>
      </w:pPr>
      <w:r>
        <w:rPr>
          <w:b/>
          <w:color w:val="EC5A4F"/>
          <w:spacing w:val="-4"/>
          <w:w w:val="110"/>
          <w:sz w:val="24"/>
        </w:rPr>
        <w:t>122</w:t>
      </w:r>
    </w:p>
    <w:p>
      <w:pPr>
        <w:pStyle w:val="ListParagraph"/>
        <w:numPr>
          <w:ilvl w:val="0"/>
          <w:numId w:val="95"/>
        </w:numPr>
        <w:tabs>
          <w:tab w:pos="1230" w:val="left" w:leader="none"/>
          <w:tab w:pos="1231" w:val="left" w:leader="none"/>
        </w:tabs>
        <w:spacing w:line="240" w:lineRule="auto" w:before="48" w:after="0"/>
        <w:ind w:left="1230" w:right="0" w:hanging="794"/>
        <w:jc w:val="left"/>
        <w:rPr>
          <w:sz w:val="13"/>
        </w:rPr>
      </w:pPr>
      <w:r>
        <w:rPr>
          <w:w w:val="108"/>
          <w:sz w:val="13"/>
        </w:rPr>
        <w:br w:type="column"/>
      </w:r>
      <w:r>
        <w:rPr>
          <w:w w:val="105"/>
          <w:sz w:val="13"/>
        </w:rPr>
        <w:t>Submission </w:t>
      </w:r>
      <w:r>
        <w:rPr>
          <w:spacing w:val="-4"/>
          <w:w w:val="105"/>
          <w:sz w:val="13"/>
        </w:rPr>
        <w:t>13 </w:t>
      </w:r>
      <w:r>
        <w:rPr>
          <w:w w:val="105"/>
          <w:sz w:val="13"/>
        </w:rPr>
        <w:t>(David</w:t>
      </w:r>
      <w:r>
        <w:rPr>
          <w:spacing w:val="-10"/>
          <w:w w:val="105"/>
          <w:sz w:val="13"/>
        </w:rPr>
        <w:t> </w:t>
      </w:r>
      <w:r>
        <w:rPr>
          <w:w w:val="105"/>
          <w:sz w:val="13"/>
        </w:rPr>
        <w:t>Shalders).</w:t>
      </w:r>
    </w:p>
    <w:p>
      <w:pPr>
        <w:pStyle w:val="ListParagraph"/>
        <w:numPr>
          <w:ilvl w:val="0"/>
          <w:numId w:val="95"/>
        </w:numPr>
        <w:tabs>
          <w:tab w:pos="1230" w:val="left" w:leader="none"/>
          <w:tab w:pos="1231" w:val="left" w:leader="none"/>
        </w:tabs>
        <w:spacing w:line="240" w:lineRule="auto" w:before="1" w:after="0"/>
        <w:ind w:left="1230" w:right="0" w:hanging="794"/>
        <w:jc w:val="left"/>
        <w:rPr>
          <w:i/>
          <w:sz w:val="13"/>
        </w:rPr>
      </w:pPr>
      <w:r>
        <w:rPr>
          <w:sz w:val="13"/>
        </w:rPr>
        <w:t>Prue</w:t>
      </w:r>
      <w:r>
        <w:rPr>
          <w:spacing w:val="8"/>
          <w:sz w:val="13"/>
        </w:rPr>
        <w:t> </w:t>
      </w:r>
      <w:r>
        <w:rPr>
          <w:sz w:val="13"/>
        </w:rPr>
        <w:t>Vines,</w:t>
      </w:r>
      <w:r>
        <w:rPr>
          <w:spacing w:val="9"/>
          <w:sz w:val="13"/>
        </w:rPr>
        <w:t> </w:t>
      </w:r>
      <w:r>
        <w:rPr>
          <w:i/>
          <w:sz w:val="13"/>
        </w:rPr>
        <w:t>Bleak</w:t>
      </w:r>
      <w:r>
        <w:rPr>
          <w:i/>
          <w:spacing w:val="8"/>
          <w:sz w:val="13"/>
        </w:rPr>
        <w:t> </w:t>
      </w:r>
      <w:r>
        <w:rPr>
          <w:i/>
          <w:sz w:val="13"/>
        </w:rPr>
        <w:t>House</w:t>
      </w:r>
      <w:r>
        <w:rPr>
          <w:i/>
          <w:spacing w:val="7"/>
          <w:sz w:val="13"/>
        </w:rPr>
        <w:t> </w:t>
      </w:r>
      <w:r>
        <w:rPr>
          <w:i/>
          <w:sz w:val="13"/>
        </w:rPr>
        <w:t>Revisited?</w:t>
      </w:r>
      <w:r>
        <w:rPr>
          <w:i/>
          <w:spacing w:val="8"/>
          <w:sz w:val="13"/>
        </w:rPr>
        <w:t> </w:t>
      </w:r>
      <w:r>
        <w:rPr>
          <w:i/>
          <w:sz w:val="13"/>
        </w:rPr>
        <w:t>Disproportionality</w:t>
      </w:r>
      <w:r>
        <w:rPr>
          <w:i/>
          <w:spacing w:val="7"/>
          <w:sz w:val="13"/>
        </w:rPr>
        <w:t> </w:t>
      </w:r>
      <w:r>
        <w:rPr>
          <w:i/>
          <w:sz w:val="13"/>
        </w:rPr>
        <w:t>in</w:t>
      </w:r>
      <w:r>
        <w:rPr>
          <w:i/>
          <w:spacing w:val="8"/>
          <w:sz w:val="13"/>
        </w:rPr>
        <w:t> </w:t>
      </w:r>
      <w:r>
        <w:rPr>
          <w:i/>
          <w:sz w:val="13"/>
        </w:rPr>
        <w:t>Family</w:t>
      </w:r>
      <w:r>
        <w:rPr>
          <w:i/>
          <w:spacing w:val="8"/>
          <w:sz w:val="13"/>
        </w:rPr>
        <w:t> </w:t>
      </w:r>
      <w:r>
        <w:rPr>
          <w:i/>
          <w:sz w:val="13"/>
        </w:rPr>
        <w:t>Provision</w:t>
      </w:r>
      <w:r>
        <w:rPr>
          <w:i/>
          <w:spacing w:val="7"/>
          <w:sz w:val="13"/>
        </w:rPr>
        <w:t> </w:t>
      </w:r>
      <w:r>
        <w:rPr>
          <w:i/>
          <w:sz w:val="13"/>
        </w:rPr>
        <w:t>Estate</w:t>
      </w:r>
      <w:r>
        <w:rPr>
          <w:i/>
          <w:spacing w:val="8"/>
          <w:sz w:val="13"/>
        </w:rPr>
        <w:t> </w:t>
      </w:r>
      <w:r>
        <w:rPr>
          <w:i/>
          <w:sz w:val="13"/>
        </w:rPr>
        <w:t>Litigation</w:t>
      </w:r>
      <w:r>
        <w:rPr>
          <w:i/>
          <w:spacing w:val="8"/>
          <w:sz w:val="13"/>
        </w:rPr>
        <w:t> </w:t>
      </w:r>
      <w:r>
        <w:rPr>
          <w:i/>
          <w:sz w:val="13"/>
        </w:rPr>
        <w:t>in</w:t>
      </w:r>
      <w:r>
        <w:rPr>
          <w:i/>
          <w:spacing w:val="7"/>
          <w:sz w:val="13"/>
        </w:rPr>
        <w:t> </w:t>
      </w:r>
      <w:r>
        <w:rPr>
          <w:i/>
          <w:sz w:val="13"/>
        </w:rPr>
        <w:t>New</w:t>
      </w:r>
      <w:r>
        <w:rPr>
          <w:i/>
          <w:spacing w:val="8"/>
          <w:sz w:val="13"/>
        </w:rPr>
        <w:t> </w:t>
      </w:r>
      <w:r>
        <w:rPr>
          <w:i/>
          <w:sz w:val="13"/>
        </w:rPr>
        <w:t>South</w:t>
      </w:r>
      <w:r>
        <w:rPr>
          <w:i/>
          <w:spacing w:val="7"/>
          <w:sz w:val="13"/>
        </w:rPr>
        <w:t> </w:t>
      </w:r>
      <w:r>
        <w:rPr>
          <w:i/>
          <w:sz w:val="13"/>
        </w:rPr>
        <w:t>Wales</w:t>
      </w:r>
      <w:r>
        <w:rPr>
          <w:i/>
          <w:spacing w:val="8"/>
          <w:sz w:val="13"/>
        </w:rPr>
        <w:t> </w:t>
      </w:r>
      <w:r>
        <w:rPr>
          <w:i/>
          <w:sz w:val="13"/>
        </w:rPr>
        <w:t>and</w:t>
      </w:r>
      <w:r>
        <w:rPr>
          <w:i/>
          <w:spacing w:val="8"/>
          <w:sz w:val="13"/>
        </w:rPr>
        <w:t> </w:t>
      </w:r>
      <w:r>
        <w:rPr>
          <w:i/>
          <w:sz w:val="13"/>
        </w:rPr>
        <w:t>Victoria</w:t>
      </w:r>
    </w:p>
    <w:p>
      <w:pPr>
        <w:spacing w:before="2"/>
        <w:ind w:left="1230" w:right="0" w:firstLine="0"/>
        <w:jc w:val="left"/>
        <w:rPr>
          <w:sz w:val="13"/>
        </w:rPr>
      </w:pPr>
      <w:r>
        <w:rPr>
          <w:w w:val="105"/>
          <w:sz w:val="13"/>
        </w:rPr>
        <w:t>(Australasian Institute of Judicial Administration, 2011) 31.</w:t>
      </w:r>
    </w:p>
    <w:p>
      <w:pPr>
        <w:pStyle w:val="ListParagraph"/>
        <w:numPr>
          <w:ilvl w:val="0"/>
          <w:numId w:val="95"/>
        </w:numPr>
        <w:tabs>
          <w:tab w:pos="1230" w:val="left" w:leader="none"/>
          <w:tab w:pos="1231" w:val="left" w:leader="none"/>
        </w:tabs>
        <w:spacing w:line="240" w:lineRule="auto" w:before="1" w:after="0"/>
        <w:ind w:left="1230" w:right="0" w:hanging="794"/>
        <w:jc w:val="left"/>
        <w:rPr>
          <w:sz w:val="13"/>
        </w:rPr>
      </w:pPr>
      <w:r>
        <w:rPr>
          <w:w w:val="105"/>
          <w:sz w:val="13"/>
        </w:rPr>
        <w:t>Advisory Committee (Meeting </w:t>
      </w:r>
      <w:r>
        <w:rPr>
          <w:spacing w:val="4"/>
          <w:w w:val="105"/>
          <w:sz w:val="13"/>
        </w:rPr>
        <w:t> </w:t>
      </w:r>
      <w:r>
        <w:rPr>
          <w:spacing w:val="3"/>
          <w:w w:val="105"/>
          <w:sz w:val="13"/>
        </w:rPr>
        <w:t>4).</w:t>
      </w:r>
    </w:p>
    <w:p>
      <w:pPr>
        <w:pStyle w:val="ListParagraph"/>
        <w:numPr>
          <w:ilvl w:val="0"/>
          <w:numId w:val="95"/>
        </w:numPr>
        <w:tabs>
          <w:tab w:pos="1230" w:val="left" w:leader="none"/>
          <w:tab w:pos="1231" w:val="left" w:leader="none"/>
        </w:tabs>
        <w:spacing w:line="240" w:lineRule="auto" w:before="1" w:after="0"/>
        <w:ind w:left="1230" w:right="0" w:hanging="794"/>
        <w:jc w:val="left"/>
        <w:rPr>
          <w:sz w:val="13"/>
        </w:rPr>
      </w:pPr>
      <w:r>
        <w:rPr>
          <w:w w:val="105"/>
          <w:sz w:val="13"/>
        </w:rPr>
        <w:t>Advisory Committee (Meeting </w:t>
      </w:r>
      <w:r>
        <w:rPr>
          <w:spacing w:val="4"/>
          <w:w w:val="105"/>
          <w:sz w:val="13"/>
        </w:rPr>
        <w:t> </w:t>
      </w:r>
      <w:r>
        <w:rPr>
          <w:spacing w:val="3"/>
          <w:w w:val="105"/>
          <w:sz w:val="13"/>
        </w:rPr>
        <w:t>3).</w:t>
      </w:r>
    </w:p>
    <w:p>
      <w:pPr>
        <w:pStyle w:val="ListParagraph"/>
        <w:numPr>
          <w:ilvl w:val="0"/>
          <w:numId w:val="95"/>
        </w:numPr>
        <w:tabs>
          <w:tab w:pos="1230" w:val="left" w:leader="none"/>
          <w:tab w:pos="1231" w:val="left" w:leader="none"/>
        </w:tabs>
        <w:spacing w:line="240" w:lineRule="auto" w:before="2" w:after="0"/>
        <w:ind w:left="1230" w:right="0" w:hanging="793"/>
        <w:jc w:val="left"/>
        <w:rPr>
          <w:sz w:val="13"/>
        </w:rPr>
      </w:pPr>
      <w:r>
        <w:rPr>
          <w:w w:val="105"/>
          <w:sz w:val="13"/>
        </w:rPr>
        <w:t>Supreme Court of Victoria, above n 68,</w:t>
      </w:r>
      <w:r>
        <w:rPr>
          <w:spacing w:val="2"/>
          <w:w w:val="105"/>
          <w:sz w:val="13"/>
        </w:rPr>
        <w:t> </w:t>
      </w:r>
      <w:r>
        <w:rPr>
          <w:w w:val="105"/>
          <w:sz w:val="13"/>
        </w:rPr>
        <w:t>52.</w:t>
      </w:r>
    </w:p>
    <w:p>
      <w:pPr>
        <w:spacing w:after="0" w:line="240" w:lineRule="auto"/>
        <w:jc w:val="left"/>
        <w:rPr>
          <w:sz w:val="13"/>
        </w:rPr>
        <w:sectPr>
          <w:type w:val="continuous"/>
          <w:pgSz w:w="11910" w:h="16840"/>
          <w:pgMar w:top="920" w:bottom="280" w:left="0" w:right="0"/>
          <w:cols w:num="2" w:equalWidth="0">
            <w:col w:w="1111" w:space="40"/>
            <w:col w:w="10759"/>
          </w:cols>
        </w:sectPr>
      </w:pPr>
    </w:p>
    <w:p>
      <w:pPr>
        <w:pStyle w:val="BodyText"/>
        <w:rPr>
          <w:sz w:val="20"/>
        </w:rPr>
      </w:pPr>
    </w:p>
    <w:p>
      <w:pPr>
        <w:pStyle w:val="BodyText"/>
        <w:rPr>
          <w:sz w:val="19"/>
        </w:rPr>
      </w:pPr>
    </w:p>
    <w:p>
      <w:pPr>
        <w:pStyle w:val="ListParagraph"/>
        <w:numPr>
          <w:ilvl w:val="1"/>
          <w:numId w:val="82"/>
        </w:numPr>
        <w:tabs>
          <w:tab w:pos="2380" w:val="left" w:leader="none"/>
          <w:tab w:pos="2381" w:val="left" w:leader="none"/>
        </w:tabs>
        <w:spacing w:line="242" w:lineRule="auto" w:before="91" w:after="0"/>
        <w:ind w:left="2381" w:right="1733" w:hanging="794"/>
        <w:jc w:val="left"/>
        <w:rPr>
          <w:sz w:val="21"/>
        </w:rPr>
      </w:pPr>
      <w:r>
        <w:rPr>
          <w:spacing w:val="-4"/>
          <w:w w:val="105"/>
          <w:sz w:val="21"/>
        </w:rPr>
        <w:t>Similarly, </w:t>
      </w:r>
      <w:r>
        <w:rPr>
          <w:w w:val="105"/>
          <w:sz w:val="21"/>
        </w:rPr>
        <w:t>a </w:t>
      </w:r>
      <w:r>
        <w:rPr>
          <w:spacing w:val="-3"/>
          <w:w w:val="105"/>
          <w:sz w:val="21"/>
        </w:rPr>
        <w:t>County Court </w:t>
      </w:r>
      <w:r>
        <w:rPr>
          <w:w w:val="105"/>
          <w:sz w:val="21"/>
        </w:rPr>
        <w:t>practice </w:t>
      </w:r>
      <w:r>
        <w:rPr>
          <w:spacing w:val="-3"/>
          <w:w w:val="105"/>
          <w:sz w:val="21"/>
        </w:rPr>
        <w:t>note </w:t>
      </w:r>
      <w:r>
        <w:rPr>
          <w:w w:val="105"/>
          <w:sz w:val="21"/>
        </w:rPr>
        <w:t>states </w:t>
      </w:r>
      <w:r>
        <w:rPr>
          <w:spacing w:val="-3"/>
          <w:w w:val="105"/>
          <w:sz w:val="21"/>
        </w:rPr>
        <w:t>that, </w:t>
      </w:r>
      <w:r>
        <w:rPr>
          <w:w w:val="105"/>
          <w:sz w:val="21"/>
        </w:rPr>
        <w:t>‘The </w:t>
      </w:r>
      <w:r>
        <w:rPr>
          <w:spacing w:val="-3"/>
          <w:w w:val="105"/>
          <w:sz w:val="21"/>
        </w:rPr>
        <w:t>aim </w:t>
      </w:r>
      <w:r>
        <w:rPr>
          <w:w w:val="105"/>
          <w:sz w:val="21"/>
        </w:rPr>
        <w:t>of the </w:t>
      </w:r>
      <w:r>
        <w:rPr>
          <w:spacing w:val="-3"/>
          <w:w w:val="105"/>
          <w:sz w:val="21"/>
        </w:rPr>
        <w:t>County Court </w:t>
      </w:r>
      <w:r>
        <w:rPr>
          <w:w w:val="105"/>
          <w:sz w:val="21"/>
        </w:rPr>
        <w:t>in civil </w:t>
      </w:r>
      <w:r>
        <w:rPr>
          <w:spacing w:val="-3"/>
          <w:w w:val="105"/>
          <w:sz w:val="21"/>
        </w:rPr>
        <w:t>litigation</w:t>
      </w:r>
      <w:r>
        <w:rPr>
          <w:spacing w:val="-10"/>
          <w:w w:val="105"/>
          <w:sz w:val="21"/>
        </w:rPr>
        <w:t> </w:t>
      </w:r>
      <w:r>
        <w:rPr>
          <w:w w:val="105"/>
          <w:sz w:val="21"/>
        </w:rPr>
        <w:t>is</w:t>
      </w:r>
      <w:r>
        <w:rPr>
          <w:spacing w:val="-10"/>
          <w:w w:val="105"/>
          <w:sz w:val="21"/>
        </w:rPr>
        <w:t> </w:t>
      </w:r>
      <w:r>
        <w:rPr>
          <w:spacing w:val="-3"/>
          <w:w w:val="105"/>
          <w:sz w:val="21"/>
        </w:rPr>
        <w:t>to</w:t>
      </w:r>
      <w:r>
        <w:rPr>
          <w:spacing w:val="-10"/>
          <w:w w:val="105"/>
          <w:sz w:val="21"/>
        </w:rPr>
        <w:t> </w:t>
      </w:r>
      <w:r>
        <w:rPr>
          <w:w w:val="105"/>
          <w:sz w:val="21"/>
        </w:rPr>
        <w:t>list,</w:t>
      </w:r>
      <w:r>
        <w:rPr>
          <w:spacing w:val="-10"/>
          <w:w w:val="105"/>
          <w:sz w:val="21"/>
        </w:rPr>
        <w:t> </w:t>
      </w:r>
      <w:r>
        <w:rPr>
          <w:w w:val="105"/>
          <w:sz w:val="21"/>
        </w:rPr>
        <w:t>hear</w:t>
      </w:r>
      <w:r>
        <w:rPr>
          <w:spacing w:val="-10"/>
          <w:w w:val="105"/>
          <w:sz w:val="21"/>
        </w:rPr>
        <w:t> </w:t>
      </w:r>
      <w:r>
        <w:rPr>
          <w:w w:val="105"/>
          <w:sz w:val="21"/>
        </w:rPr>
        <w:t>and</w:t>
      </w:r>
      <w:r>
        <w:rPr>
          <w:spacing w:val="-10"/>
          <w:w w:val="105"/>
          <w:sz w:val="21"/>
        </w:rPr>
        <w:t> </w:t>
      </w:r>
      <w:r>
        <w:rPr>
          <w:spacing w:val="-3"/>
          <w:w w:val="105"/>
          <w:sz w:val="21"/>
        </w:rPr>
        <w:t>determine</w:t>
      </w:r>
      <w:r>
        <w:rPr>
          <w:spacing w:val="-10"/>
          <w:w w:val="105"/>
          <w:sz w:val="21"/>
        </w:rPr>
        <w:t> </w:t>
      </w:r>
      <w:r>
        <w:rPr>
          <w:w w:val="105"/>
          <w:sz w:val="21"/>
        </w:rPr>
        <w:t>cases</w:t>
      </w:r>
      <w:r>
        <w:rPr>
          <w:spacing w:val="-10"/>
          <w:w w:val="105"/>
          <w:sz w:val="21"/>
        </w:rPr>
        <w:t> </w:t>
      </w:r>
      <w:r>
        <w:rPr>
          <w:w w:val="105"/>
          <w:sz w:val="21"/>
        </w:rPr>
        <w:t>quickly</w:t>
      </w:r>
      <w:r>
        <w:rPr>
          <w:spacing w:val="-10"/>
          <w:w w:val="105"/>
          <w:sz w:val="21"/>
        </w:rPr>
        <w:t> </w:t>
      </w:r>
      <w:r>
        <w:rPr>
          <w:w w:val="105"/>
          <w:sz w:val="21"/>
        </w:rPr>
        <w:t>and</w:t>
      </w:r>
      <w:r>
        <w:rPr>
          <w:spacing w:val="-10"/>
          <w:w w:val="105"/>
          <w:sz w:val="21"/>
        </w:rPr>
        <w:t> </w:t>
      </w:r>
      <w:r>
        <w:rPr>
          <w:w w:val="105"/>
          <w:sz w:val="21"/>
        </w:rPr>
        <w:t>cost-effectively,</w:t>
      </w:r>
      <w:r>
        <w:rPr>
          <w:spacing w:val="-10"/>
          <w:w w:val="105"/>
          <w:sz w:val="21"/>
        </w:rPr>
        <w:t> </w:t>
      </w:r>
      <w:r>
        <w:rPr>
          <w:spacing w:val="-3"/>
          <w:w w:val="105"/>
          <w:sz w:val="21"/>
        </w:rPr>
        <w:t>consistent</w:t>
      </w:r>
      <w:r>
        <w:rPr>
          <w:spacing w:val="-10"/>
          <w:w w:val="105"/>
          <w:sz w:val="21"/>
        </w:rPr>
        <w:t> </w:t>
      </w:r>
      <w:r>
        <w:rPr>
          <w:w w:val="105"/>
          <w:sz w:val="21"/>
        </w:rPr>
        <w:t>with the</w:t>
      </w:r>
      <w:r>
        <w:rPr>
          <w:spacing w:val="-7"/>
          <w:w w:val="105"/>
          <w:sz w:val="21"/>
        </w:rPr>
        <w:t> </w:t>
      </w:r>
      <w:r>
        <w:rPr>
          <w:spacing w:val="-3"/>
          <w:w w:val="105"/>
          <w:sz w:val="21"/>
        </w:rPr>
        <w:t>demands</w:t>
      </w:r>
      <w:r>
        <w:rPr>
          <w:spacing w:val="-6"/>
          <w:w w:val="105"/>
          <w:sz w:val="21"/>
        </w:rPr>
        <w:t> </w:t>
      </w:r>
      <w:r>
        <w:rPr>
          <w:w w:val="105"/>
          <w:sz w:val="21"/>
        </w:rPr>
        <w:t>of</w:t>
      </w:r>
      <w:r>
        <w:rPr>
          <w:spacing w:val="-6"/>
          <w:w w:val="105"/>
          <w:sz w:val="21"/>
        </w:rPr>
        <w:t> </w:t>
      </w:r>
      <w:r>
        <w:rPr>
          <w:spacing w:val="-3"/>
          <w:w w:val="105"/>
          <w:sz w:val="21"/>
        </w:rPr>
        <w:t>justice</w:t>
      </w:r>
      <w:r>
        <w:rPr>
          <w:spacing w:val="-6"/>
          <w:w w:val="105"/>
          <w:sz w:val="21"/>
        </w:rPr>
        <w:t> </w:t>
      </w:r>
      <w:r>
        <w:rPr>
          <w:w w:val="105"/>
          <w:sz w:val="21"/>
        </w:rPr>
        <w:t>and</w:t>
      </w:r>
      <w:r>
        <w:rPr>
          <w:spacing w:val="-6"/>
          <w:w w:val="105"/>
          <w:sz w:val="21"/>
        </w:rPr>
        <w:t> </w:t>
      </w:r>
      <w:r>
        <w:rPr>
          <w:w w:val="105"/>
          <w:sz w:val="21"/>
        </w:rPr>
        <w:t>in</w:t>
      </w:r>
      <w:r>
        <w:rPr>
          <w:spacing w:val="-6"/>
          <w:w w:val="105"/>
          <w:sz w:val="21"/>
        </w:rPr>
        <w:t> </w:t>
      </w:r>
      <w:r>
        <w:rPr>
          <w:w w:val="105"/>
          <w:sz w:val="21"/>
        </w:rPr>
        <w:t>particular</w:t>
      </w:r>
      <w:r>
        <w:rPr>
          <w:spacing w:val="-6"/>
          <w:w w:val="105"/>
          <w:sz w:val="21"/>
        </w:rPr>
        <w:t> </w:t>
      </w:r>
      <w:r>
        <w:rPr>
          <w:w w:val="105"/>
          <w:sz w:val="21"/>
        </w:rPr>
        <w:t>with</w:t>
      </w:r>
      <w:r>
        <w:rPr>
          <w:spacing w:val="-6"/>
          <w:w w:val="105"/>
          <w:sz w:val="21"/>
        </w:rPr>
        <w:t> </w:t>
      </w:r>
      <w:r>
        <w:rPr>
          <w:w w:val="105"/>
          <w:sz w:val="21"/>
        </w:rPr>
        <w:t>the</w:t>
      </w:r>
      <w:r>
        <w:rPr>
          <w:spacing w:val="-6"/>
          <w:w w:val="105"/>
          <w:sz w:val="21"/>
        </w:rPr>
        <w:t> </w:t>
      </w:r>
      <w:r>
        <w:rPr>
          <w:spacing w:val="-3"/>
          <w:w w:val="105"/>
          <w:sz w:val="21"/>
        </w:rPr>
        <w:t>requirements</w:t>
      </w:r>
      <w:r>
        <w:rPr>
          <w:spacing w:val="-7"/>
          <w:w w:val="105"/>
          <w:sz w:val="21"/>
        </w:rPr>
        <w:t> </w:t>
      </w:r>
      <w:r>
        <w:rPr>
          <w:w w:val="105"/>
          <w:sz w:val="21"/>
        </w:rPr>
        <w:t>of</w:t>
      </w:r>
      <w:r>
        <w:rPr>
          <w:spacing w:val="-6"/>
          <w:w w:val="105"/>
          <w:sz w:val="21"/>
        </w:rPr>
        <w:t> </w:t>
      </w:r>
      <w:r>
        <w:rPr>
          <w:w w:val="105"/>
          <w:sz w:val="21"/>
        </w:rPr>
        <w:t>the</w:t>
      </w:r>
      <w:r>
        <w:rPr>
          <w:spacing w:val="-6"/>
          <w:w w:val="105"/>
          <w:sz w:val="21"/>
        </w:rPr>
        <w:t> </w:t>
      </w:r>
      <w:r>
        <w:rPr>
          <w:i/>
          <w:w w:val="105"/>
          <w:sz w:val="21"/>
        </w:rPr>
        <w:t>Civil</w:t>
      </w:r>
      <w:r>
        <w:rPr>
          <w:i/>
          <w:spacing w:val="-6"/>
          <w:w w:val="105"/>
          <w:sz w:val="21"/>
        </w:rPr>
        <w:t> </w:t>
      </w:r>
      <w:r>
        <w:rPr>
          <w:i/>
          <w:w w:val="105"/>
          <w:sz w:val="21"/>
        </w:rPr>
        <w:t>Procedure</w:t>
      </w:r>
      <w:r>
        <w:rPr>
          <w:i/>
          <w:spacing w:val="-6"/>
          <w:w w:val="105"/>
          <w:sz w:val="21"/>
        </w:rPr>
        <w:t> </w:t>
      </w:r>
      <w:r>
        <w:rPr>
          <w:i/>
          <w:w w:val="105"/>
          <w:sz w:val="21"/>
        </w:rPr>
        <w:t>Act </w:t>
      </w:r>
      <w:r>
        <w:rPr>
          <w:i/>
          <w:spacing w:val="-8"/>
          <w:w w:val="105"/>
          <w:sz w:val="21"/>
        </w:rPr>
        <w:t>2010 </w:t>
      </w:r>
      <w:r>
        <w:rPr>
          <w:w w:val="105"/>
          <w:sz w:val="21"/>
        </w:rPr>
        <w:t>(Vic)’. </w:t>
      </w:r>
      <w:r>
        <w:rPr>
          <w:w w:val="105"/>
          <w:position w:val="7"/>
          <w:sz w:val="12"/>
        </w:rPr>
        <w:t>225 </w:t>
      </w:r>
      <w:r>
        <w:rPr>
          <w:spacing w:val="-7"/>
          <w:w w:val="105"/>
          <w:sz w:val="21"/>
        </w:rPr>
        <w:t>To </w:t>
      </w:r>
      <w:r>
        <w:rPr>
          <w:w w:val="105"/>
          <w:sz w:val="21"/>
        </w:rPr>
        <w:t>this </w:t>
      </w:r>
      <w:r>
        <w:rPr>
          <w:spacing w:val="-3"/>
          <w:w w:val="105"/>
          <w:sz w:val="21"/>
        </w:rPr>
        <w:t>end, </w:t>
      </w:r>
      <w:r>
        <w:rPr>
          <w:w w:val="105"/>
          <w:sz w:val="21"/>
        </w:rPr>
        <w:t>the practice </w:t>
      </w:r>
      <w:r>
        <w:rPr>
          <w:spacing w:val="-3"/>
          <w:w w:val="105"/>
          <w:sz w:val="21"/>
        </w:rPr>
        <w:t>note </w:t>
      </w:r>
      <w:r>
        <w:rPr>
          <w:w w:val="105"/>
          <w:sz w:val="21"/>
        </w:rPr>
        <w:t>sets out a number of </w:t>
      </w:r>
      <w:r>
        <w:rPr>
          <w:spacing w:val="-3"/>
          <w:w w:val="105"/>
          <w:sz w:val="21"/>
        </w:rPr>
        <w:t>procedures for family provision proceedings </w:t>
      </w:r>
      <w:r>
        <w:rPr>
          <w:w w:val="105"/>
          <w:sz w:val="21"/>
        </w:rPr>
        <w:t>and emphasises the need </w:t>
      </w:r>
      <w:r>
        <w:rPr>
          <w:spacing w:val="-3"/>
          <w:w w:val="105"/>
          <w:sz w:val="21"/>
        </w:rPr>
        <w:t>to </w:t>
      </w:r>
      <w:r>
        <w:rPr>
          <w:w w:val="105"/>
          <w:sz w:val="21"/>
        </w:rPr>
        <w:t>define the legal issues in</w:t>
      </w:r>
      <w:r>
        <w:rPr>
          <w:spacing w:val="-31"/>
          <w:w w:val="105"/>
          <w:sz w:val="21"/>
        </w:rPr>
        <w:t> </w:t>
      </w:r>
      <w:r>
        <w:rPr>
          <w:spacing w:val="-3"/>
          <w:w w:val="105"/>
          <w:sz w:val="21"/>
        </w:rPr>
        <w:t>dispute,</w:t>
      </w:r>
    </w:p>
    <w:p>
      <w:pPr>
        <w:pStyle w:val="BodyText"/>
        <w:spacing w:line="242" w:lineRule="auto" w:before="6"/>
        <w:ind w:left="2381" w:right="1619"/>
        <w:rPr>
          <w:sz w:val="12"/>
        </w:rPr>
      </w:pPr>
      <w:r>
        <w:rPr>
          <w:w w:val="105"/>
        </w:rPr>
        <w:t>so </w:t>
      </w:r>
      <w:r>
        <w:rPr>
          <w:spacing w:val="-3"/>
          <w:w w:val="105"/>
        </w:rPr>
        <w:t>that </w:t>
      </w:r>
      <w:r>
        <w:rPr>
          <w:w w:val="105"/>
        </w:rPr>
        <w:t>‘the </w:t>
      </w:r>
      <w:r>
        <w:rPr>
          <w:spacing w:val="-3"/>
          <w:w w:val="105"/>
        </w:rPr>
        <w:t>Court’s aim to determine </w:t>
      </w:r>
      <w:r>
        <w:rPr>
          <w:w w:val="105"/>
        </w:rPr>
        <w:t>a </w:t>
      </w:r>
      <w:r>
        <w:rPr>
          <w:spacing w:val="-3"/>
          <w:w w:val="105"/>
        </w:rPr>
        <w:t>proceeding </w:t>
      </w:r>
      <w:r>
        <w:rPr>
          <w:w w:val="105"/>
        </w:rPr>
        <w:t>quickly and cheaply’ is </w:t>
      </w:r>
      <w:r>
        <w:rPr>
          <w:spacing w:val="-2"/>
          <w:w w:val="105"/>
        </w:rPr>
        <w:t>not </w:t>
      </w:r>
      <w:r>
        <w:rPr>
          <w:spacing w:val="-3"/>
          <w:w w:val="105"/>
        </w:rPr>
        <w:t>frustrated </w:t>
      </w:r>
      <w:r>
        <w:rPr>
          <w:w w:val="105"/>
        </w:rPr>
        <w:t>and so </w:t>
      </w:r>
      <w:r>
        <w:rPr>
          <w:spacing w:val="-3"/>
          <w:w w:val="105"/>
        </w:rPr>
        <w:t>that </w:t>
      </w:r>
      <w:r>
        <w:rPr>
          <w:w w:val="105"/>
        </w:rPr>
        <w:t>adjournments </w:t>
      </w:r>
      <w:r>
        <w:rPr>
          <w:spacing w:val="-3"/>
          <w:w w:val="105"/>
        </w:rPr>
        <w:t>may </w:t>
      </w:r>
      <w:r>
        <w:rPr>
          <w:w w:val="105"/>
        </w:rPr>
        <w:t>be avoided.</w:t>
      </w:r>
      <w:r>
        <w:rPr>
          <w:w w:val="105"/>
          <w:position w:val="7"/>
          <w:sz w:val="12"/>
        </w:rPr>
        <w:t>226</w:t>
      </w:r>
    </w:p>
    <w:p>
      <w:pPr>
        <w:pStyle w:val="ListParagraph"/>
        <w:numPr>
          <w:ilvl w:val="1"/>
          <w:numId w:val="82"/>
        </w:numPr>
        <w:tabs>
          <w:tab w:pos="2381" w:val="left" w:leader="none"/>
        </w:tabs>
        <w:spacing w:line="242" w:lineRule="auto" w:before="122" w:after="0"/>
        <w:ind w:left="2381" w:right="1935" w:hanging="794"/>
        <w:jc w:val="both"/>
        <w:rPr>
          <w:sz w:val="21"/>
        </w:rPr>
      </w:pPr>
      <w:r>
        <w:rPr>
          <w:w w:val="105"/>
          <w:sz w:val="21"/>
        </w:rPr>
        <w:t>The </w:t>
      </w:r>
      <w:r>
        <w:rPr>
          <w:spacing w:val="-3"/>
          <w:w w:val="105"/>
          <w:sz w:val="21"/>
        </w:rPr>
        <w:t>Commission </w:t>
      </w:r>
      <w:r>
        <w:rPr>
          <w:spacing w:val="-2"/>
          <w:w w:val="105"/>
          <w:sz w:val="21"/>
        </w:rPr>
        <w:t>has </w:t>
      </w:r>
      <w:r>
        <w:rPr>
          <w:spacing w:val="-3"/>
          <w:w w:val="105"/>
          <w:sz w:val="21"/>
        </w:rPr>
        <w:t>heard </w:t>
      </w:r>
      <w:r>
        <w:rPr>
          <w:w w:val="105"/>
          <w:sz w:val="21"/>
        </w:rPr>
        <w:t>a </w:t>
      </w:r>
      <w:r>
        <w:rPr>
          <w:spacing w:val="-3"/>
          <w:w w:val="105"/>
          <w:sz w:val="21"/>
        </w:rPr>
        <w:t>range </w:t>
      </w:r>
      <w:r>
        <w:rPr>
          <w:w w:val="105"/>
          <w:sz w:val="21"/>
        </w:rPr>
        <w:t>of views about practices in both the </w:t>
      </w:r>
      <w:r>
        <w:rPr>
          <w:spacing w:val="-3"/>
          <w:w w:val="105"/>
          <w:sz w:val="21"/>
        </w:rPr>
        <w:t>County Court </w:t>
      </w:r>
      <w:r>
        <w:rPr>
          <w:w w:val="105"/>
          <w:sz w:val="21"/>
        </w:rPr>
        <w:t>and the </w:t>
      </w:r>
      <w:r>
        <w:rPr>
          <w:spacing w:val="-3"/>
          <w:w w:val="105"/>
          <w:sz w:val="21"/>
        </w:rPr>
        <w:t>Supreme Court that are intended to keep </w:t>
      </w:r>
      <w:r>
        <w:rPr>
          <w:w w:val="105"/>
          <w:sz w:val="21"/>
        </w:rPr>
        <w:t>costs down, as </w:t>
      </w:r>
      <w:r>
        <w:rPr>
          <w:spacing w:val="-3"/>
          <w:w w:val="105"/>
          <w:sz w:val="21"/>
        </w:rPr>
        <w:t>well </w:t>
      </w:r>
      <w:r>
        <w:rPr>
          <w:w w:val="105"/>
          <w:sz w:val="21"/>
        </w:rPr>
        <w:t>as proposals </w:t>
      </w:r>
      <w:r>
        <w:rPr>
          <w:spacing w:val="-3"/>
          <w:w w:val="105"/>
          <w:sz w:val="21"/>
        </w:rPr>
        <w:t>for </w:t>
      </w:r>
      <w:r>
        <w:rPr>
          <w:w w:val="105"/>
          <w:sz w:val="21"/>
        </w:rPr>
        <w:t>new </w:t>
      </w:r>
      <w:r>
        <w:rPr>
          <w:spacing w:val="-3"/>
          <w:w w:val="105"/>
          <w:sz w:val="21"/>
        </w:rPr>
        <w:t>procedures, </w:t>
      </w:r>
      <w:r>
        <w:rPr>
          <w:w w:val="105"/>
          <w:sz w:val="21"/>
        </w:rPr>
        <w:t>some of which </w:t>
      </w:r>
      <w:r>
        <w:rPr>
          <w:spacing w:val="-3"/>
          <w:w w:val="105"/>
          <w:sz w:val="21"/>
        </w:rPr>
        <w:t>are </w:t>
      </w:r>
      <w:r>
        <w:rPr>
          <w:w w:val="105"/>
          <w:sz w:val="21"/>
        </w:rPr>
        <w:t>based on the law in other</w:t>
      </w:r>
      <w:r>
        <w:rPr>
          <w:spacing w:val="22"/>
          <w:w w:val="105"/>
          <w:sz w:val="21"/>
        </w:rPr>
        <w:t> </w:t>
      </w:r>
      <w:r>
        <w:rPr>
          <w:spacing w:val="-3"/>
          <w:w w:val="105"/>
          <w:sz w:val="21"/>
        </w:rPr>
        <w:t>jurisdictions.</w:t>
      </w:r>
    </w:p>
    <w:p>
      <w:pPr>
        <w:pStyle w:val="BodyText"/>
        <w:spacing w:before="11"/>
        <w:rPr>
          <w:sz w:val="26"/>
        </w:rPr>
      </w:pPr>
    </w:p>
    <w:p>
      <w:pPr>
        <w:pStyle w:val="Heading6"/>
      </w:pPr>
      <w:r>
        <w:rPr>
          <w:w w:val="115"/>
        </w:rPr>
        <w:t>Position statements</w:t>
      </w:r>
    </w:p>
    <w:p>
      <w:pPr>
        <w:pStyle w:val="ListParagraph"/>
        <w:numPr>
          <w:ilvl w:val="1"/>
          <w:numId w:val="82"/>
        </w:numPr>
        <w:tabs>
          <w:tab w:pos="2381" w:val="left" w:leader="none"/>
          <w:tab w:pos="2382" w:val="left" w:leader="none"/>
        </w:tabs>
        <w:spacing w:line="242" w:lineRule="auto" w:before="151" w:after="0"/>
        <w:ind w:left="2380" w:right="1688" w:hanging="793"/>
        <w:jc w:val="left"/>
        <w:rPr>
          <w:sz w:val="12"/>
        </w:rPr>
      </w:pPr>
      <w:r>
        <w:rPr>
          <w:w w:val="105"/>
          <w:sz w:val="21"/>
        </w:rPr>
        <w:t>A number of </w:t>
      </w:r>
      <w:r>
        <w:rPr>
          <w:spacing w:val="-3"/>
          <w:w w:val="105"/>
          <w:sz w:val="21"/>
        </w:rPr>
        <w:t>submissions noted </w:t>
      </w:r>
      <w:r>
        <w:rPr>
          <w:w w:val="105"/>
          <w:sz w:val="21"/>
        </w:rPr>
        <w:t>the use of </w:t>
      </w:r>
      <w:r>
        <w:rPr>
          <w:spacing w:val="-3"/>
          <w:w w:val="105"/>
          <w:sz w:val="21"/>
        </w:rPr>
        <w:t>‘position </w:t>
      </w:r>
      <w:r>
        <w:rPr>
          <w:w w:val="105"/>
          <w:sz w:val="21"/>
        </w:rPr>
        <w:t>papers’ or </w:t>
      </w:r>
      <w:r>
        <w:rPr>
          <w:spacing w:val="-3"/>
          <w:w w:val="105"/>
          <w:sz w:val="21"/>
        </w:rPr>
        <w:t>‘position </w:t>
      </w:r>
      <w:r>
        <w:rPr>
          <w:w w:val="105"/>
          <w:sz w:val="21"/>
        </w:rPr>
        <w:t>statements’ at mediation</w:t>
      </w:r>
      <w:r>
        <w:rPr>
          <w:spacing w:val="-9"/>
          <w:w w:val="105"/>
          <w:sz w:val="21"/>
        </w:rPr>
        <w:t> </w:t>
      </w:r>
      <w:r>
        <w:rPr>
          <w:w w:val="105"/>
          <w:sz w:val="21"/>
        </w:rPr>
        <w:t>and</w:t>
      </w:r>
      <w:r>
        <w:rPr>
          <w:spacing w:val="-9"/>
          <w:w w:val="105"/>
          <w:sz w:val="21"/>
        </w:rPr>
        <w:t> </w:t>
      </w:r>
      <w:r>
        <w:rPr>
          <w:spacing w:val="-3"/>
          <w:w w:val="105"/>
          <w:sz w:val="21"/>
        </w:rPr>
        <w:t>trial,</w:t>
      </w:r>
      <w:r>
        <w:rPr>
          <w:spacing w:val="-9"/>
          <w:w w:val="105"/>
          <w:sz w:val="21"/>
        </w:rPr>
        <w:t> </w:t>
      </w:r>
      <w:r>
        <w:rPr>
          <w:spacing w:val="-3"/>
          <w:w w:val="105"/>
          <w:sz w:val="21"/>
        </w:rPr>
        <w:t>instead</w:t>
      </w:r>
      <w:r>
        <w:rPr>
          <w:spacing w:val="-8"/>
          <w:w w:val="105"/>
          <w:sz w:val="21"/>
        </w:rPr>
        <w:t> </w:t>
      </w:r>
      <w:r>
        <w:rPr>
          <w:w w:val="105"/>
          <w:sz w:val="21"/>
        </w:rPr>
        <w:t>of</w:t>
      </w:r>
      <w:r>
        <w:rPr>
          <w:spacing w:val="-9"/>
          <w:w w:val="105"/>
          <w:sz w:val="21"/>
        </w:rPr>
        <w:t> </w:t>
      </w:r>
      <w:r>
        <w:rPr>
          <w:w w:val="105"/>
          <w:sz w:val="21"/>
        </w:rPr>
        <w:t>affidavits.</w:t>
      </w:r>
      <w:r>
        <w:rPr>
          <w:w w:val="105"/>
          <w:position w:val="7"/>
          <w:sz w:val="12"/>
        </w:rPr>
        <w:t>227</w:t>
      </w:r>
      <w:r>
        <w:rPr>
          <w:spacing w:val="13"/>
          <w:w w:val="105"/>
          <w:position w:val="7"/>
          <w:sz w:val="12"/>
        </w:rPr>
        <w:t> </w:t>
      </w:r>
      <w:r>
        <w:rPr>
          <w:w w:val="105"/>
          <w:sz w:val="21"/>
        </w:rPr>
        <w:t>Some</w:t>
      </w:r>
      <w:r>
        <w:rPr>
          <w:spacing w:val="-9"/>
          <w:w w:val="105"/>
          <w:sz w:val="21"/>
        </w:rPr>
        <w:t> </w:t>
      </w:r>
      <w:r>
        <w:rPr>
          <w:w w:val="105"/>
          <w:sz w:val="21"/>
        </w:rPr>
        <w:t>supported</w:t>
      </w:r>
      <w:r>
        <w:rPr>
          <w:spacing w:val="-8"/>
          <w:w w:val="105"/>
          <w:sz w:val="21"/>
        </w:rPr>
        <w:t> </w:t>
      </w:r>
      <w:r>
        <w:rPr>
          <w:w w:val="105"/>
          <w:sz w:val="21"/>
        </w:rPr>
        <w:t>this</w:t>
      </w:r>
      <w:r>
        <w:rPr>
          <w:spacing w:val="-9"/>
          <w:w w:val="105"/>
          <w:sz w:val="21"/>
        </w:rPr>
        <w:t> </w:t>
      </w:r>
      <w:r>
        <w:rPr>
          <w:spacing w:val="-3"/>
          <w:w w:val="105"/>
          <w:sz w:val="21"/>
        </w:rPr>
        <w:t>measure</w:t>
      </w:r>
      <w:r>
        <w:rPr>
          <w:spacing w:val="-9"/>
          <w:w w:val="105"/>
          <w:sz w:val="21"/>
        </w:rPr>
        <w:t> </w:t>
      </w:r>
      <w:r>
        <w:rPr>
          <w:w w:val="105"/>
          <w:sz w:val="21"/>
        </w:rPr>
        <w:t>and</w:t>
      </w:r>
      <w:r>
        <w:rPr>
          <w:spacing w:val="-8"/>
          <w:w w:val="105"/>
          <w:sz w:val="21"/>
        </w:rPr>
        <w:t> </w:t>
      </w:r>
      <w:r>
        <w:rPr>
          <w:spacing w:val="-3"/>
          <w:w w:val="105"/>
          <w:sz w:val="21"/>
        </w:rPr>
        <w:t>considered that </w:t>
      </w:r>
      <w:r>
        <w:rPr>
          <w:w w:val="105"/>
          <w:sz w:val="21"/>
        </w:rPr>
        <w:t>it is </w:t>
      </w:r>
      <w:r>
        <w:rPr>
          <w:spacing w:val="-3"/>
          <w:w w:val="105"/>
          <w:sz w:val="21"/>
        </w:rPr>
        <w:t>working well to reduce </w:t>
      </w:r>
      <w:r>
        <w:rPr>
          <w:w w:val="105"/>
          <w:sz w:val="21"/>
        </w:rPr>
        <w:t>costs,</w:t>
      </w:r>
      <w:r>
        <w:rPr>
          <w:w w:val="105"/>
          <w:position w:val="7"/>
          <w:sz w:val="12"/>
        </w:rPr>
        <w:t>228  </w:t>
      </w:r>
      <w:r>
        <w:rPr>
          <w:w w:val="105"/>
          <w:sz w:val="21"/>
        </w:rPr>
        <w:t>and the Law </w:t>
      </w:r>
      <w:r>
        <w:rPr>
          <w:spacing w:val="-3"/>
          <w:w w:val="105"/>
          <w:sz w:val="21"/>
        </w:rPr>
        <w:t>Institute </w:t>
      </w:r>
      <w:r>
        <w:rPr>
          <w:w w:val="105"/>
          <w:sz w:val="21"/>
        </w:rPr>
        <w:t>of Victoria was in </w:t>
      </w:r>
      <w:r>
        <w:rPr>
          <w:spacing w:val="-3"/>
          <w:w w:val="105"/>
          <w:sz w:val="21"/>
        </w:rPr>
        <w:t>favour </w:t>
      </w:r>
      <w:r>
        <w:rPr>
          <w:w w:val="105"/>
          <w:sz w:val="21"/>
        </w:rPr>
        <w:t>of </w:t>
      </w:r>
      <w:r>
        <w:rPr>
          <w:spacing w:val="-3"/>
          <w:w w:val="105"/>
          <w:sz w:val="21"/>
        </w:rPr>
        <w:t>requiring </w:t>
      </w:r>
      <w:r>
        <w:rPr>
          <w:w w:val="105"/>
          <w:sz w:val="21"/>
        </w:rPr>
        <w:t>a </w:t>
      </w:r>
      <w:r>
        <w:rPr>
          <w:spacing w:val="-3"/>
          <w:w w:val="105"/>
          <w:sz w:val="21"/>
        </w:rPr>
        <w:t>four-page </w:t>
      </w:r>
      <w:r>
        <w:rPr>
          <w:w w:val="105"/>
          <w:sz w:val="21"/>
        </w:rPr>
        <w:t>position statement </w:t>
      </w:r>
      <w:r>
        <w:rPr>
          <w:spacing w:val="-3"/>
          <w:w w:val="105"/>
          <w:sz w:val="21"/>
        </w:rPr>
        <w:t>rather than </w:t>
      </w:r>
      <w:r>
        <w:rPr>
          <w:w w:val="105"/>
          <w:sz w:val="21"/>
        </w:rPr>
        <w:t>an affidavit in cases </w:t>
      </w:r>
      <w:r>
        <w:rPr>
          <w:spacing w:val="-3"/>
          <w:w w:val="105"/>
          <w:sz w:val="21"/>
        </w:rPr>
        <w:t>involving small</w:t>
      </w:r>
      <w:r>
        <w:rPr>
          <w:spacing w:val="5"/>
          <w:w w:val="105"/>
          <w:sz w:val="21"/>
        </w:rPr>
        <w:t> </w:t>
      </w:r>
      <w:r>
        <w:rPr>
          <w:w w:val="105"/>
          <w:sz w:val="21"/>
        </w:rPr>
        <w:t>estates.</w:t>
      </w:r>
      <w:r>
        <w:rPr>
          <w:w w:val="105"/>
          <w:position w:val="7"/>
          <w:sz w:val="12"/>
        </w:rPr>
        <w:t>229</w:t>
      </w:r>
    </w:p>
    <w:p>
      <w:pPr>
        <w:pStyle w:val="ListParagraph"/>
        <w:numPr>
          <w:ilvl w:val="1"/>
          <w:numId w:val="82"/>
        </w:numPr>
        <w:tabs>
          <w:tab w:pos="2380" w:val="left" w:leader="none"/>
          <w:tab w:pos="2381" w:val="left" w:leader="none"/>
        </w:tabs>
        <w:spacing w:line="242" w:lineRule="auto" w:before="126" w:after="0"/>
        <w:ind w:left="2380" w:right="1594" w:hanging="793"/>
        <w:jc w:val="left"/>
        <w:rPr>
          <w:sz w:val="12"/>
        </w:rPr>
      </w:pPr>
      <w:r>
        <w:rPr>
          <w:w w:val="105"/>
          <w:sz w:val="21"/>
        </w:rPr>
        <w:t>There was strong support in both the </w:t>
      </w:r>
      <w:r>
        <w:rPr>
          <w:spacing w:val="-3"/>
          <w:w w:val="105"/>
          <w:sz w:val="21"/>
        </w:rPr>
        <w:t>County Court </w:t>
      </w:r>
      <w:r>
        <w:rPr>
          <w:w w:val="105"/>
          <w:sz w:val="21"/>
        </w:rPr>
        <w:t>and the </w:t>
      </w:r>
      <w:r>
        <w:rPr>
          <w:spacing w:val="-3"/>
          <w:w w:val="105"/>
          <w:sz w:val="21"/>
        </w:rPr>
        <w:t>Supreme Court for </w:t>
      </w:r>
      <w:r>
        <w:rPr>
          <w:w w:val="105"/>
          <w:sz w:val="21"/>
        </w:rPr>
        <w:t>the use of position statements.</w:t>
      </w:r>
      <w:r>
        <w:rPr>
          <w:w w:val="105"/>
          <w:position w:val="7"/>
          <w:sz w:val="12"/>
        </w:rPr>
        <w:t>230 </w:t>
      </w:r>
      <w:r>
        <w:rPr>
          <w:w w:val="105"/>
          <w:sz w:val="21"/>
        </w:rPr>
        <w:t>The </w:t>
      </w:r>
      <w:r>
        <w:rPr>
          <w:spacing w:val="-3"/>
          <w:w w:val="105"/>
          <w:sz w:val="21"/>
        </w:rPr>
        <w:t>Supreme Court </w:t>
      </w:r>
      <w:r>
        <w:rPr>
          <w:w w:val="105"/>
          <w:sz w:val="21"/>
        </w:rPr>
        <w:t>associate judges said </w:t>
      </w:r>
      <w:r>
        <w:rPr>
          <w:spacing w:val="-3"/>
          <w:w w:val="105"/>
          <w:sz w:val="21"/>
        </w:rPr>
        <w:t>that </w:t>
      </w:r>
      <w:r>
        <w:rPr>
          <w:w w:val="105"/>
          <w:sz w:val="21"/>
        </w:rPr>
        <w:t>affidavits </w:t>
      </w:r>
      <w:r>
        <w:rPr>
          <w:spacing w:val="-3"/>
          <w:w w:val="105"/>
          <w:sz w:val="21"/>
        </w:rPr>
        <w:t>are quite </w:t>
      </w:r>
      <w:r>
        <w:rPr>
          <w:w w:val="105"/>
          <w:sz w:val="21"/>
        </w:rPr>
        <w:t>often </w:t>
      </w:r>
      <w:r>
        <w:rPr>
          <w:spacing w:val="-2"/>
          <w:w w:val="105"/>
          <w:sz w:val="21"/>
        </w:rPr>
        <w:t>not </w:t>
      </w:r>
      <w:r>
        <w:rPr>
          <w:spacing w:val="-3"/>
          <w:w w:val="105"/>
          <w:sz w:val="21"/>
        </w:rPr>
        <w:t>required </w:t>
      </w:r>
      <w:r>
        <w:rPr>
          <w:w w:val="105"/>
          <w:sz w:val="21"/>
        </w:rPr>
        <w:t>by the </w:t>
      </w:r>
      <w:r>
        <w:rPr>
          <w:spacing w:val="-3"/>
          <w:w w:val="105"/>
          <w:sz w:val="21"/>
        </w:rPr>
        <w:t>Court </w:t>
      </w:r>
      <w:r>
        <w:rPr>
          <w:w w:val="105"/>
          <w:sz w:val="21"/>
        </w:rPr>
        <w:t>in </w:t>
      </w:r>
      <w:r>
        <w:rPr>
          <w:spacing w:val="-3"/>
          <w:w w:val="105"/>
          <w:sz w:val="21"/>
        </w:rPr>
        <w:t>family provision </w:t>
      </w:r>
      <w:r>
        <w:rPr>
          <w:w w:val="105"/>
          <w:sz w:val="21"/>
        </w:rPr>
        <w:t>matters, especially in </w:t>
      </w:r>
      <w:r>
        <w:rPr>
          <w:spacing w:val="-3"/>
          <w:w w:val="105"/>
          <w:sz w:val="21"/>
        </w:rPr>
        <w:t>relation to small </w:t>
      </w:r>
      <w:r>
        <w:rPr>
          <w:w w:val="105"/>
          <w:sz w:val="21"/>
        </w:rPr>
        <w:t>estates.</w:t>
      </w:r>
      <w:r>
        <w:rPr>
          <w:w w:val="105"/>
          <w:position w:val="7"/>
          <w:sz w:val="12"/>
        </w:rPr>
        <w:t>231 </w:t>
      </w:r>
      <w:r>
        <w:rPr>
          <w:w w:val="105"/>
          <w:sz w:val="21"/>
        </w:rPr>
        <w:t>The </w:t>
      </w:r>
      <w:r>
        <w:rPr>
          <w:spacing w:val="-3"/>
          <w:w w:val="105"/>
          <w:sz w:val="21"/>
        </w:rPr>
        <w:t>Supreme Court </w:t>
      </w:r>
      <w:r>
        <w:rPr>
          <w:w w:val="105"/>
          <w:sz w:val="21"/>
        </w:rPr>
        <w:t>said </w:t>
      </w:r>
      <w:r>
        <w:rPr>
          <w:spacing w:val="-3"/>
          <w:w w:val="105"/>
          <w:sz w:val="21"/>
        </w:rPr>
        <w:t>that </w:t>
      </w:r>
      <w:r>
        <w:rPr>
          <w:w w:val="105"/>
          <w:sz w:val="21"/>
        </w:rPr>
        <w:t>sometimes an affidavit is ordered in </w:t>
      </w:r>
      <w:r>
        <w:rPr>
          <w:spacing w:val="-3"/>
          <w:w w:val="105"/>
          <w:sz w:val="21"/>
        </w:rPr>
        <w:t>relation to </w:t>
      </w:r>
      <w:r>
        <w:rPr>
          <w:w w:val="105"/>
          <w:sz w:val="21"/>
        </w:rPr>
        <w:t>the</w:t>
      </w:r>
      <w:r>
        <w:rPr>
          <w:spacing w:val="-8"/>
          <w:w w:val="105"/>
          <w:sz w:val="21"/>
        </w:rPr>
        <w:t> </w:t>
      </w:r>
      <w:r>
        <w:rPr>
          <w:spacing w:val="-3"/>
          <w:w w:val="105"/>
          <w:sz w:val="21"/>
        </w:rPr>
        <w:t>content</w:t>
      </w:r>
      <w:r>
        <w:rPr>
          <w:spacing w:val="-8"/>
          <w:w w:val="105"/>
          <w:sz w:val="21"/>
        </w:rPr>
        <w:t> </w:t>
      </w:r>
      <w:r>
        <w:rPr>
          <w:w w:val="105"/>
          <w:sz w:val="21"/>
        </w:rPr>
        <w:t>of</w:t>
      </w:r>
      <w:r>
        <w:rPr>
          <w:spacing w:val="-8"/>
          <w:w w:val="105"/>
          <w:sz w:val="21"/>
        </w:rPr>
        <w:t> </w:t>
      </w:r>
      <w:r>
        <w:rPr>
          <w:w w:val="105"/>
          <w:sz w:val="21"/>
        </w:rPr>
        <w:t>the</w:t>
      </w:r>
      <w:r>
        <w:rPr>
          <w:spacing w:val="-7"/>
          <w:w w:val="105"/>
          <w:sz w:val="21"/>
        </w:rPr>
        <w:t> </w:t>
      </w:r>
      <w:r>
        <w:rPr>
          <w:spacing w:val="-3"/>
          <w:w w:val="105"/>
          <w:sz w:val="21"/>
        </w:rPr>
        <w:t>estate,</w:t>
      </w:r>
      <w:r>
        <w:rPr>
          <w:spacing w:val="-8"/>
          <w:w w:val="105"/>
          <w:sz w:val="21"/>
        </w:rPr>
        <w:t> </w:t>
      </w:r>
      <w:r>
        <w:rPr>
          <w:w w:val="105"/>
          <w:sz w:val="21"/>
        </w:rPr>
        <w:t>with</w:t>
      </w:r>
      <w:r>
        <w:rPr>
          <w:spacing w:val="-8"/>
          <w:w w:val="105"/>
          <w:sz w:val="21"/>
        </w:rPr>
        <w:t> </w:t>
      </w:r>
      <w:r>
        <w:rPr>
          <w:spacing w:val="-3"/>
          <w:w w:val="105"/>
          <w:sz w:val="21"/>
        </w:rPr>
        <w:t>all</w:t>
      </w:r>
      <w:r>
        <w:rPr>
          <w:spacing w:val="-7"/>
          <w:w w:val="105"/>
          <w:sz w:val="21"/>
        </w:rPr>
        <w:t> </w:t>
      </w:r>
      <w:r>
        <w:rPr>
          <w:w w:val="105"/>
          <w:sz w:val="21"/>
        </w:rPr>
        <w:t>other</w:t>
      </w:r>
      <w:r>
        <w:rPr>
          <w:spacing w:val="-8"/>
          <w:w w:val="105"/>
          <w:sz w:val="21"/>
        </w:rPr>
        <w:t> </w:t>
      </w:r>
      <w:r>
        <w:rPr>
          <w:w w:val="105"/>
          <w:sz w:val="21"/>
        </w:rPr>
        <w:t>matters</w:t>
      </w:r>
      <w:r>
        <w:rPr>
          <w:spacing w:val="-8"/>
          <w:w w:val="105"/>
          <w:sz w:val="21"/>
        </w:rPr>
        <w:t> </w:t>
      </w:r>
      <w:r>
        <w:rPr>
          <w:spacing w:val="-3"/>
          <w:w w:val="105"/>
          <w:sz w:val="21"/>
        </w:rPr>
        <w:t>to</w:t>
      </w:r>
      <w:r>
        <w:rPr>
          <w:spacing w:val="-7"/>
          <w:w w:val="105"/>
          <w:sz w:val="21"/>
        </w:rPr>
        <w:t> </w:t>
      </w:r>
      <w:r>
        <w:rPr>
          <w:w w:val="105"/>
          <w:sz w:val="21"/>
        </w:rPr>
        <w:t>be</w:t>
      </w:r>
      <w:r>
        <w:rPr>
          <w:spacing w:val="-8"/>
          <w:w w:val="105"/>
          <w:sz w:val="21"/>
        </w:rPr>
        <w:t> </w:t>
      </w:r>
      <w:r>
        <w:rPr>
          <w:w w:val="105"/>
          <w:sz w:val="21"/>
        </w:rPr>
        <w:t>dealt</w:t>
      </w:r>
      <w:r>
        <w:rPr>
          <w:spacing w:val="-8"/>
          <w:w w:val="105"/>
          <w:sz w:val="21"/>
        </w:rPr>
        <w:t> </w:t>
      </w:r>
      <w:r>
        <w:rPr>
          <w:w w:val="105"/>
          <w:sz w:val="21"/>
        </w:rPr>
        <w:t>with</w:t>
      </w:r>
      <w:r>
        <w:rPr>
          <w:spacing w:val="-7"/>
          <w:w w:val="105"/>
          <w:sz w:val="21"/>
        </w:rPr>
        <w:t> </w:t>
      </w:r>
      <w:r>
        <w:rPr>
          <w:w w:val="105"/>
          <w:sz w:val="21"/>
        </w:rPr>
        <w:t>by</w:t>
      </w:r>
      <w:r>
        <w:rPr>
          <w:spacing w:val="-8"/>
          <w:w w:val="105"/>
          <w:sz w:val="21"/>
        </w:rPr>
        <w:t> </w:t>
      </w:r>
      <w:r>
        <w:rPr>
          <w:w w:val="105"/>
          <w:sz w:val="21"/>
        </w:rPr>
        <w:t>position</w:t>
      </w:r>
      <w:r>
        <w:rPr>
          <w:spacing w:val="-8"/>
          <w:w w:val="105"/>
          <w:sz w:val="21"/>
        </w:rPr>
        <w:t> </w:t>
      </w:r>
      <w:r>
        <w:rPr>
          <w:w w:val="105"/>
          <w:sz w:val="21"/>
        </w:rPr>
        <w:t>statement.</w:t>
      </w:r>
      <w:r>
        <w:rPr>
          <w:w w:val="105"/>
          <w:position w:val="7"/>
          <w:sz w:val="12"/>
        </w:rPr>
        <w:t>232</w:t>
      </w:r>
    </w:p>
    <w:p>
      <w:pPr>
        <w:pStyle w:val="ListParagraph"/>
        <w:numPr>
          <w:ilvl w:val="1"/>
          <w:numId w:val="82"/>
        </w:numPr>
        <w:tabs>
          <w:tab w:pos="2381" w:val="left" w:leader="none"/>
          <w:tab w:pos="2382" w:val="left" w:leader="none"/>
        </w:tabs>
        <w:spacing w:line="242" w:lineRule="auto" w:before="125" w:after="0"/>
        <w:ind w:left="2381" w:right="1830" w:hanging="794"/>
        <w:jc w:val="left"/>
        <w:rPr>
          <w:sz w:val="12"/>
        </w:rPr>
      </w:pPr>
      <w:r>
        <w:rPr>
          <w:sz w:val="21"/>
        </w:rPr>
        <w:t>The </w:t>
      </w:r>
      <w:r>
        <w:rPr>
          <w:spacing w:val="-3"/>
          <w:sz w:val="21"/>
        </w:rPr>
        <w:t>County Court </w:t>
      </w:r>
      <w:r>
        <w:rPr>
          <w:sz w:val="21"/>
        </w:rPr>
        <w:t>practice </w:t>
      </w:r>
      <w:r>
        <w:rPr>
          <w:spacing w:val="-3"/>
          <w:sz w:val="21"/>
        </w:rPr>
        <w:t>note </w:t>
      </w:r>
      <w:r>
        <w:rPr>
          <w:sz w:val="21"/>
        </w:rPr>
        <w:t>specifies </w:t>
      </w:r>
      <w:r>
        <w:rPr>
          <w:spacing w:val="-3"/>
          <w:sz w:val="21"/>
        </w:rPr>
        <w:t>that, </w:t>
      </w:r>
      <w:r>
        <w:rPr>
          <w:sz w:val="21"/>
        </w:rPr>
        <w:t>whether parties apply </w:t>
      </w:r>
      <w:r>
        <w:rPr>
          <w:spacing w:val="-3"/>
          <w:sz w:val="21"/>
        </w:rPr>
        <w:t>for </w:t>
      </w:r>
      <w:r>
        <w:rPr>
          <w:sz w:val="21"/>
        </w:rPr>
        <w:t>a </w:t>
      </w:r>
      <w:r>
        <w:rPr>
          <w:spacing w:val="-3"/>
          <w:sz w:val="21"/>
        </w:rPr>
        <w:t>judicial </w:t>
      </w:r>
      <w:r>
        <w:rPr>
          <w:sz w:val="21"/>
        </w:rPr>
        <w:t>settlement </w:t>
      </w:r>
      <w:r>
        <w:rPr>
          <w:spacing w:val="-3"/>
          <w:sz w:val="21"/>
        </w:rPr>
        <w:t>conference </w:t>
      </w:r>
      <w:r>
        <w:rPr>
          <w:sz w:val="21"/>
        </w:rPr>
        <w:t>or </w:t>
      </w:r>
      <w:r>
        <w:rPr>
          <w:spacing w:val="-3"/>
          <w:sz w:val="21"/>
        </w:rPr>
        <w:t>intend to mediate </w:t>
      </w:r>
      <w:r>
        <w:rPr>
          <w:sz w:val="21"/>
        </w:rPr>
        <w:t>the </w:t>
      </w:r>
      <w:r>
        <w:rPr>
          <w:spacing w:val="-3"/>
          <w:sz w:val="21"/>
        </w:rPr>
        <w:t>proceeding, </w:t>
      </w:r>
      <w:r>
        <w:rPr>
          <w:sz w:val="21"/>
        </w:rPr>
        <w:t>‘the </w:t>
      </w:r>
      <w:r>
        <w:rPr>
          <w:spacing w:val="-3"/>
          <w:sz w:val="21"/>
        </w:rPr>
        <w:t>claimant </w:t>
      </w:r>
      <w:r>
        <w:rPr>
          <w:sz w:val="21"/>
        </w:rPr>
        <w:t>must file and serve a statement setting out the essentials of the </w:t>
      </w:r>
      <w:r>
        <w:rPr>
          <w:spacing w:val="-3"/>
          <w:sz w:val="21"/>
        </w:rPr>
        <w:t>claimant’s  </w:t>
      </w:r>
      <w:r>
        <w:rPr>
          <w:sz w:val="21"/>
        </w:rPr>
        <w:t>case in a summary </w:t>
      </w:r>
      <w:r>
        <w:rPr>
          <w:spacing w:val="-6"/>
          <w:sz w:val="21"/>
        </w:rPr>
        <w:t>form’.      </w:t>
      </w:r>
      <w:r>
        <w:rPr>
          <w:sz w:val="21"/>
        </w:rPr>
        <w:t>It prescribes what should be </w:t>
      </w:r>
      <w:r>
        <w:rPr>
          <w:spacing w:val="-3"/>
          <w:sz w:val="21"/>
        </w:rPr>
        <w:t>included </w:t>
      </w:r>
      <w:r>
        <w:rPr>
          <w:sz w:val="21"/>
        </w:rPr>
        <w:t>in an </w:t>
      </w:r>
      <w:r>
        <w:rPr>
          <w:spacing w:val="-3"/>
          <w:sz w:val="21"/>
        </w:rPr>
        <w:t>applicant’s </w:t>
      </w:r>
      <w:r>
        <w:rPr>
          <w:sz w:val="21"/>
        </w:rPr>
        <w:t>statement—short  statements about the </w:t>
      </w:r>
      <w:r>
        <w:rPr>
          <w:spacing w:val="-3"/>
          <w:sz w:val="21"/>
        </w:rPr>
        <w:t>relevant </w:t>
      </w:r>
      <w:r>
        <w:rPr>
          <w:sz w:val="21"/>
        </w:rPr>
        <w:t>statutory criteria.</w:t>
      </w:r>
      <w:r>
        <w:rPr>
          <w:position w:val="7"/>
          <w:sz w:val="12"/>
        </w:rPr>
        <w:t>233 </w:t>
      </w:r>
      <w:r>
        <w:rPr>
          <w:sz w:val="21"/>
        </w:rPr>
        <w:t>The practice </w:t>
      </w:r>
      <w:r>
        <w:rPr>
          <w:spacing w:val="-3"/>
          <w:sz w:val="21"/>
        </w:rPr>
        <w:t>note </w:t>
      </w:r>
      <w:r>
        <w:rPr>
          <w:sz w:val="21"/>
        </w:rPr>
        <w:t>specifies </w:t>
      </w:r>
      <w:r>
        <w:rPr>
          <w:spacing w:val="-3"/>
          <w:sz w:val="21"/>
        </w:rPr>
        <w:t>that ‘it </w:t>
      </w:r>
      <w:r>
        <w:rPr>
          <w:sz w:val="21"/>
        </w:rPr>
        <w:t>is </w:t>
      </w:r>
      <w:r>
        <w:rPr>
          <w:spacing w:val="-3"/>
          <w:sz w:val="21"/>
        </w:rPr>
        <w:t>critically </w:t>
      </w:r>
      <w:r>
        <w:rPr>
          <w:sz w:val="21"/>
        </w:rPr>
        <w:t>important </w:t>
      </w:r>
      <w:r>
        <w:rPr>
          <w:spacing w:val="-3"/>
          <w:sz w:val="21"/>
        </w:rPr>
        <w:t>that </w:t>
      </w:r>
      <w:r>
        <w:rPr>
          <w:sz w:val="21"/>
        </w:rPr>
        <w:t>these statements be a </w:t>
      </w:r>
      <w:r>
        <w:rPr>
          <w:spacing w:val="-4"/>
          <w:sz w:val="21"/>
        </w:rPr>
        <w:t>summary’, </w:t>
      </w:r>
      <w:r>
        <w:rPr>
          <w:sz w:val="21"/>
        </w:rPr>
        <w:t>and should </w:t>
      </w:r>
      <w:r>
        <w:rPr>
          <w:spacing w:val="-3"/>
          <w:sz w:val="21"/>
        </w:rPr>
        <w:t>therefore </w:t>
      </w:r>
      <w:r>
        <w:rPr>
          <w:spacing w:val="-2"/>
          <w:sz w:val="21"/>
        </w:rPr>
        <w:t>not </w:t>
      </w:r>
      <w:r>
        <w:rPr>
          <w:sz w:val="21"/>
        </w:rPr>
        <w:t>exceed three pages, must only </w:t>
      </w:r>
      <w:r>
        <w:rPr>
          <w:spacing w:val="-3"/>
          <w:sz w:val="21"/>
        </w:rPr>
        <w:t>contain factual material, </w:t>
      </w:r>
      <w:r>
        <w:rPr>
          <w:sz w:val="21"/>
        </w:rPr>
        <w:t>and </w:t>
      </w:r>
      <w:r>
        <w:rPr>
          <w:spacing w:val="-4"/>
          <w:sz w:val="21"/>
        </w:rPr>
        <w:t>‘must </w:t>
      </w:r>
      <w:r>
        <w:rPr>
          <w:spacing w:val="-2"/>
          <w:sz w:val="21"/>
        </w:rPr>
        <w:t>not </w:t>
      </w:r>
      <w:r>
        <w:rPr>
          <w:sz w:val="21"/>
        </w:rPr>
        <w:t>be used as a </w:t>
      </w:r>
      <w:r>
        <w:rPr>
          <w:spacing w:val="-3"/>
          <w:sz w:val="21"/>
        </w:rPr>
        <w:t>vehicle for raising contentious </w:t>
      </w:r>
      <w:r>
        <w:rPr>
          <w:sz w:val="21"/>
        </w:rPr>
        <w:t>issues or </w:t>
      </w:r>
      <w:r>
        <w:rPr>
          <w:spacing w:val="-3"/>
          <w:sz w:val="21"/>
        </w:rPr>
        <w:t>for making submissions</w:t>
      </w:r>
      <w:r>
        <w:rPr>
          <w:spacing w:val="-18"/>
          <w:sz w:val="21"/>
        </w:rPr>
        <w:t> </w:t>
      </w:r>
      <w:r>
        <w:rPr>
          <w:sz w:val="21"/>
        </w:rPr>
        <w:t>of fact or </w:t>
      </w:r>
      <w:r>
        <w:rPr>
          <w:spacing w:val="-3"/>
          <w:sz w:val="21"/>
        </w:rPr>
        <w:t>law’.</w:t>
      </w:r>
      <w:r>
        <w:rPr>
          <w:spacing w:val="-3"/>
          <w:position w:val="7"/>
          <w:sz w:val="12"/>
        </w:rPr>
        <w:t>234</w:t>
      </w:r>
    </w:p>
    <w:p>
      <w:pPr>
        <w:pStyle w:val="ListParagraph"/>
        <w:numPr>
          <w:ilvl w:val="1"/>
          <w:numId w:val="82"/>
        </w:numPr>
        <w:tabs>
          <w:tab w:pos="2381" w:val="left" w:leader="none"/>
          <w:tab w:pos="2382" w:val="left" w:leader="none"/>
        </w:tabs>
        <w:spacing w:line="242" w:lineRule="auto" w:before="129" w:after="0"/>
        <w:ind w:left="2381" w:right="1704" w:hanging="794"/>
        <w:jc w:val="left"/>
        <w:rPr>
          <w:sz w:val="12"/>
        </w:rPr>
      </w:pPr>
      <w:r>
        <w:rPr>
          <w:w w:val="105"/>
          <w:sz w:val="21"/>
        </w:rPr>
        <w:t>Representatives of both the </w:t>
      </w:r>
      <w:r>
        <w:rPr>
          <w:spacing w:val="-3"/>
          <w:w w:val="105"/>
          <w:sz w:val="21"/>
        </w:rPr>
        <w:t>County Court </w:t>
      </w:r>
      <w:r>
        <w:rPr>
          <w:w w:val="105"/>
          <w:sz w:val="21"/>
        </w:rPr>
        <w:t>and the </w:t>
      </w:r>
      <w:r>
        <w:rPr>
          <w:spacing w:val="-3"/>
          <w:w w:val="105"/>
          <w:sz w:val="21"/>
        </w:rPr>
        <w:t>Supreme Court </w:t>
      </w:r>
      <w:r>
        <w:rPr>
          <w:w w:val="105"/>
          <w:sz w:val="21"/>
        </w:rPr>
        <w:t>and a number of legal practitioners agreed </w:t>
      </w:r>
      <w:r>
        <w:rPr>
          <w:spacing w:val="-3"/>
          <w:w w:val="105"/>
          <w:sz w:val="21"/>
        </w:rPr>
        <w:t>that, </w:t>
      </w:r>
      <w:r>
        <w:rPr>
          <w:w w:val="105"/>
          <w:sz w:val="21"/>
        </w:rPr>
        <w:t>if position statements </w:t>
      </w:r>
      <w:r>
        <w:rPr>
          <w:spacing w:val="-3"/>
          <w:w w:val="105"/>
          <w:sz w:val="21"/>
        </w:rPr>
        <w:t>are to </w:t>
      </w:r>
      <w:r>
        <w:rPr>
          <w:w w:val="105"/>
          <w:sz w:val="21"/>
        </w:rPr>
        <w:t>be used, they should be </w:t>
      </w:r>
      <w:r>
        <w:rPr>
          <w:spacing w:val="-3"/>
          <w:w w:val="105"/>
          <w:sz w:val="21"/>
        </w:rPr>
        <w:t>binding </w:t>
      </w:r>
      <w:r>
        <w:rPr>
          <w:w w:val="105"/>
          <w:sz w:val="21"/>
        </w:rPr>
        <w:t>or ‘with </w:t>
      </w:r>
      <w:r>
        <w:rPr>
          <w:spacing w:val="-5"/>
          <w:w w:val="105"/>
          <w:sz w:val="21"/>
        </w:rPr>
        <w:t>prejudice’, </w:t>
      </w:r>
      <w:r>
        <w:rPr>
          <w:w w:val="105"/>
          <w:sz w:val="21"/>
        </w:rPr>
        <w:t>so </w:t>
      </w:r>
      <w:r>
        <w:rPr>
          <w:spacing w:val="-3"/>
          <w:w w:val="105"/>
          <w:sz w:val="21"/>
        </w:rPr>
        <w:t>that </w:t>
      </w:r>
      <w:r>
        <w:rPr>
          <w:w w:val="105"/>
          <w:sz w:val="21"/>
        </w:rPr>
        <w:t>they </w:t>
      </w:r>
      <w:r>
        <w:rPr>
          <w:spacing w:val="-3"/>
          <w:w w:val="105"/>
          <w:sz w:val="21"/>
        </w:rPr>
        <w:t>may </w:t>
      </w:r>
      <w:r>
        <w:rPr>
          <w:w w:val="105"/>
          <w:sz w:val="21"/>
        </w:rPr>
        <w:t>be </w:t>
      </w:r>
      <w:r>
        <w:rPr>
          <w:spacing w:val="-3"/>
          <w:w w:val="105"/>
          <w:sz w:val="21"/>
        </w:rPr>
        <w:t>relied </w:t>
      </w:r>
      <w:r>
        <w:rPr>
          <w:w w:val="105"/>
          <w:sz w:val="21"/>
        </w:rPr>
        <w:t>upon if the matter proceeds </w:t>
      </w:r>
      <w:r>
        <w:rPr>
          <w:spacing w:val="-3"/>
          <w:w w:val="105"/>
          <w:sz w:val="21"/>
        </w:rPr>
        <w:t>to</w:t>
      </w:r>
      <w:r>
        <w:rPr>
          <w:spacing w:val="-23"/>
          <w:w w:val="105"/>
          <w:sz w:val="21"/>
        </w:rPr>
        <w:t> </w:t>
      </w:r>
      <w:r>
        <w:rPr>
          <w:w w:val="105"/>
          <w:sz w:val="21"/>
        </w:rPr>
        <w:t>trial.</w:t>
      </w:r>
      <w:r>
        <w:rPr>
          <w:w w:val="105"/>
          <w:position w:val="7"/>
          <w:sz w:val="12"/>
        </w:rPr>
        <w:t>235</w:t>
      </w:r>
    </w:p>
    <w:p>
      <w:pPr>
        <w:pStyle w:val="BodyText"/>
        <w:spacing w:before="3"/>
        <w:ind w:left="2381"/>
        <w:rPr>
          <w:sz w:val="12"/>
        </w:rPr>
      </w:pPr>
      <w:r>
        <w:rPr>
          <w:w w:val="105"/>
        </w:rPr>
        <w:t>The County Court practice note specifies this.</w:t>
      </w:r>
      <w:r>
        <w:rPr>
          <w:w w:val="105"/>
          <w:position w:val="7"/>
          <w:sz w:val="12"/>
        </w:rPr>
        <w:t>236</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3"/>
        </w:rPr>
      </w:pPr>
      <w:r>
        <w:rPr/>
        <w:pict>
          <v:line style="position:absolute;mso-position-horizontal-relative:page;mso-position-vertical-relative:paragraph;z-index:7712;mso-wrap-distance-left:0;mso-wrap-distance-right:0" from="79.370003pt,16.828175pt" to="515.905003pt,16.828175pt" stroked="true" strokeweight="1pt" strokecolor="#f9ceca">
            <v:stroke dashstyle="solid"/>
            <w10:wrap type="topAndBottom"/>
          </v:line>
        </w:pict>
      </w:r>
    </w:p>
    <w:p>
      <w:pPr>
        <w:pStyle w:val="BodyText"/>
        <w:spacing w:before="8"/>
        <w:rPr>
          <w:sz w:val="5"/>
        </w:rPr>
      </w:pPr>
    </w:p>
    <w:p>
      <w:pPr>
        <w:spacing w:after="0"/>
        <w:rPr>
          <w:sz w:val="5"/>
        </w:rPr>
        <w:sectPr>
          <w:pgSz w:w="11910" w:h="16840"/>
          <w:pgMar w:header="805" w:footer="0" w:top="1360" w:bottom="280" w:left="0" w:right="0"/>
        </w:sectPr>
      </w:pPr>
    </w:p>
    <w:p>
      <w:pPr>
        <w:tabs>
          <w:tab w:pos="2380" w:val="left" w:leader="none"/>
        </w:tabs>
        <w:spacing w:before="48"/>
        <w:ind w:left="2381" w:right="0" w:hanging="794"/>
        <w:jc w:val="left"/>
        <w:rPr>
          <w:sz w:val="13"/>
        </w:rPr>
      </w:pPr>
      <w:r>
        <w:rPr>
          <w:w w:val="105"/>
          <w:sz w:val="13"/>
        </w:rPr>
        <w:t>225</w:t>
        <w:tab/>
        <w:t>County Court of Victoria, </w:t>
      </w:r>
      <w:r>
        <w:rPr>
          <w:i/>
          <w:w w:val="105"/>
          <w:sz w:val="13"/>
        </w:rPr>
        <w:t>Practice Note No PNCI </w:t>
      </w:r>
      <w:r>
        <w:rPr>
          <w:i/>
          <w:spacing w:val="-3"/>
          <w:w w:val="105"/>
          <w:sz w:val="13"/>
        </w:rPr>
        <w:t>2–2012  </w:t>
      </w:r>
      <w:r>
        <w:rPr>
          <w:w w:val="105"/>
          <w:sz w:val="13"/>
        </w:rPr>
        <w:t>— </w:t>
      </w:r>
      <w:r>
        <w:rPr>
          <w:i/>
          <w:w w:val="105"/>
          <w:sz w:val="13"/>
        </w:rPr>
        <w:t>Operation and Management of the Damages and Compensation List (Revised)</w:t>
      </w:r>
      <w:r>
        <w:rPr>
          <w:w w:val="105"/>
          <w:sz w:val="13"/>
        </w:rPr>
        <w:t>,    1 November </w:t>
      </w:r>
      <w:r>
        <w:rPr>
          <w:spacing w:val="-3"/>
          <w:w w:val="105"/>
          <w:sz w:val="13"/>
        </w:rPr>
        <w:t>2012,</w:t>
      </w:r>
      <w:r>
        <w:rPr>
          <w:spacing w:val="13"/>
          <w:w w:val="105"/>
          <w:sz w:val="13"/>
        </w:rPr>
        <w:t> </w:t>
      </w:r>
      <w:r>
        <w:rPr>
          <w:spacing w:val="-3"/>
          <w:w w:val="105"/>
          <w:sz w:val="13"/>
        </w:rPr>
        <w:t>1.</w:t>
      </w:r>
    </w:p>
    <w:p>
      <w:pPr>
        <w:tabs>
          <w:tab w:pos="2380" w:val="left" w:leader="none"/>
        </w:tabs>
        <w:spacing w:before="3"/>
        <w:ind w:left="1587" w:right="0" w:firstLine="0"/>
        <w:jc w:val="left"/>
        <w:rPr>
          <w:sz w:val="13"/>
        </w:rPr>
      </w:pPr>
      <w:r>
        <w:rPr>
          <w:w w:val="105"/>
          <w:sz w:val="13"/>
        </w:rPr>
        <w:t>226</w:t>
        <w:tab/>
        <w:t>Ibid</w:t>
      </w:r>
      <w:r>
        <w:rPr>
          <w:spacing w:val="4"/>
          <w:w w:val="105"/>
          <w:sz w:val="13"/>
        </w:rPr>
        <w:t> </w:t>
      </w:r>
      <w:r>
        <w:rPr>
          <w:w w:val="105"/>
          <w:sz w:val="13"/>
        </w:rPr>
        <w:t>21–5.</w:t>
      </w:r>
    </w:p>
    <w:p>
      <w:pPr>
        <w:pStyle w:val="ListParagraph"/>
        <w:numPr>
          <w:ilvl w:val="0"/>
          <w:numId w:val="96"/>
        </w:numPr>
        <w:tabs>
          <w:tab w:pos="2380" w:val="left" w:leader="none"/>
          <w:tab w:pos="2382" w:val="left" w:leader="none"/>
        </w:tabs>
        <w:spacing w:line="240" w:lineRule="auto" w:before="1" w:after="0"/>
        <w:ind w:left="2381" w:right="0" w:hanging="794"/>
        <w:jc w:val="left"/>
        <w:rPr>
          <w:sz w:val="13"/>
        </w:rPr>
      </w:pPr>
      <w:r>
        <w:rPr>
          <w:w w:val="105"/>
          <w:sz w:val="13"/>
        </w:rPr>
        <w:t>Submissions</w:t>
      </w:r>
      <w:r>
        <w:rPr>
          <w:spacing w:val="5"/>
          <w:w w:val="105"/>
          <w:sz w:val="13"/>
        </w:rPr>
        <w:t> </w:t>
      </w:r>
      <w:r>
        <w:rPr>
          <w:w w:val="105"/>
          <w:sz w:val="13"/>
        </w:rPr>
        <w:t>25</w:t>
      </w:r>
      <w:r>
        <w:rPr>
          <w:spacing w:val="5"/>
          <w:w w:val="105"/>
          <w:sz w:val="13"/>
        </w:rPr>
        <w:t> </w:t>
      </w:r>
      <w:r>
        <w:rPr>
          <w:spacing w:val="2"/>
          <w:w w:val="105"/>
          <w:sz w:val="13"/>
        </w:rPr>
        <w:t>(Moores</w:t>
      </w:r>
      <w:r>
        <w:rPr>
          <w:spacing w:val="5"/>
          <w:w w:val="105"/>
          <w:sz w:val="13"/>
        </w:rPr>
        <w:t> </w:t>
      </w:r>
      <w:r>
        <w:rPr>
          <w:w w:val="105"/>
          <w:sz w:val="13"/>
        </w:rPr>
        <w:t>Legal);</w:t>
      </w:r>
      <w:r>
        <w:rPr>
          <w:spacing w:val="5"/>
          <w:w w:val="105"/>
          <w:sz w:val="13"/>
        </w:rPr>
        <w:t> </w:t>
      </w:r>
      <w:r>
        <w:rPr>
          <w:w w:val="105"/>
          <w:sz w:val="13"/>
        </w:rPr>
        <w:t>26</w:t>
      </w:r>
      <w:r>
        <w:rPr>
          <w:spacing w:val="5"/>
          <w:w w:val="105"/>
          <w:sz w:val="13"/>
        </w:rPr>
        <w:t> </w:t>
      </w:r>
      <w:r>
        <w:rPr>
          <w:spacing w:val="2"/>
          <w:w w:val="105"/>
          <w:sz w:val="13"/>
        </w:rPr>
        <w:t>(Rigby</w:t>
      </w:r>
      <w:r>
        <w:rPr>
          <w:spacing w:val="5"/>
          <w:w w:val="105"/>
          <w:sz w:val="13"/>
        </w:rPr>
        <w:t> </w:t>
      </w:r>
      <w:r>
        <w:rPr>
          <w:w w:val="105"/>
          <w:sz w:val="13"/>
        </w:rPr>
        <w:t>Cooke</w:t>
      </w:r>
      <w:r>
        <w:rPr>
          <w:spacing w:val="5"/>
          <w:w w:val="105"/>
          <w:sz w:val="13"/>
        </w:rPr>
        <w:t> </w:t>
      </w:r>
      <w:r>
        <w:rPr>
          <w:spacing w:val="2"/>
          <w:w w:val="105"/>
          <w:sz w:val="13"/>
        </w:rPr>
        <w:t>Lawyers);</w:t>
      </w:r>
      <w:r>
        <w:rPr>
          <w:spacing w:val="5"/>
          <w:w w:val="105"/>
          <w:sz w:val="13"/>
        </w:rPr>
        <w:t> </w:t>
      </w:r>
      <w:r>
        <w:rPr>
          <w:w w:val="105"/>
          <w:sz w:val="13"/>
        </w:rPr>
        <w:t>30a</w:t>
      </w:r>
      <w:r>
        <w:rPr>
          <w:spacing w:val="5"/>
          <w:w w:val="105"/>
          <w:sz w:val="13"/>
        </w:rPr>
        <w:t> </w:t>
      </w:r>
      <w:r>
        <w:rPr>
          <w:spacing w:val="3"/>
          <w:w w:val="105"/>
          <w:sz w:val="13"/>
        </w:rPr>
        <w:t>(Law</w:t>
      </w:r>
      <w:r>
        <w:rPr>
          <w:spacing w:val="5"/>
          <w:w w:val="105"/>
          <w:sz w:val="13"/>
        </w:rPr>
        <w:t> </w:t>
      </w:r>
      <w:r>
        <w:rPr>
          <w:w w:val="105"/>
          <w:sz w:val="13"/>
        </w:rPr>
        <w:t>Institute</w:t>
      </w:r>
      <w:r>
        <w:rPr>
          <w:spacing w:val="6"/>
          <w:w w:val="105"/>
          <w:sz w:val="13"/>
        </w:rPr>
        <w:t> </w:t>
      </w:r>
      <w:r>
        <w:rPr>
          <w:w w:val="105"/>
          <w:sz w:val="13"/>
        </w:rPr>
        <w:t>of</w:t>
      </w:r>
      <w:r>
        <w:rPr>
          <w:spacing w:val="5"/>
          <w:w w:val="105"/>
          <w:sz w:val="13"/>
        </w:rPr>
        <w:t> </w:t>
      </w:r>
      <w:r>
        <w:rPr>
          <w:spacing w:val="2"/>
          <w:w w:val="105"/>
          <w:sz w:val="13"/>
        </w:rPr>
        <w:t>Victoria);</w:t>
      </w:r>
      <w:r>
        <w:rPr>
          <w:spacing w:val="5"/>
          <w:w w:val="105"/>
          <w:sz w:val="13"/>
        </w:rPr>
        <w:t> </w:t>
      </w:r>
      <w:r>
        <w:rPr>
          <w:w w:val="105"/>
          <w:sz w:val="13"/>
        </w:rPr>
        <w:t>35</w:t>
      </w:r>
      <w:r>
        <w:rPr>
          <w:spacing w:val="5"/>
          <w:w w:val="105"/>
          <w:sz w:val="13"/>
        </w:rPr>
        <w:t> </w:t>
      </w:r>
      <w:r>
        <w:rPr>
          <w:w w:val="105"/>
          <w:sz w:val="13"/>
        </w:rPr>
        <w:t>(Andrew</w:t>
      </w:r>
      <w:r>
        <w:rPr>
          <w:spacing w:val="5"/>
          <w:w w:val="105"/>
          <w:sz w:val="13"/>
        </w:rPr>
        <w:t> </w:t>
      </w:r>
      <w:r>
        <w:rPr>
          <w:w w:val="105"/>
          <w:sz w:val="13"/>
        </w:rPr>
        <w:t>Verspaandonk);</w:t>
      </w:r>
    </w:p>
    <w:p>
      <w:pPr>
        <w:spacing w:before="1"/>
        <w:ind w:left="2381" w:right="388" w:firstLine="0"/>
        <w:jc w:val="left"/>
        <w:rPr>
          <w:sz w:val="13"/>
        </w:rPr>
      </w:pPr>
      <w:r>
        <w:rPr>
          <w:w w:val="105"/>
          <w:sz w:val="13"/>
        </w:rPr>
        <w:t>37 (Supreme Court of Victoria); 39 (Carolyn Sparke SC). For consistency and ease of reference, the Commission uses the term ‘position statement’ in this section.</w:t>
      </w:r>
    </w:p>
    <w:p>
      <w:pPr>
        <w:pStyle w:val="ListParagraph"/>
        <w:numPr>
          <w:ilvl w:val="0"/>
          <w:numId w:val="96"/>
        </w:numPr>
        <w:tabs>
          <w:tab w:pos="2380" w:val="left" w:leader="none"/>
          <w:tab w:pos="2382" w:val="left" w:leader="none"/>
        </w:tabs>
        <w:spacing w:line="240" w:lineRule="auto" w:before="3" w:after="0"/>
        <w:ind w:left="2381" w:right="0" w:hanging="794"/>
        <w:jc w:val="left"/>
        <w:rPr>
          <w:sz w:val="13"/>
        </w:rPr>
      </w:pPr>
      <w:r>
        <w:rPr>
          <w:w w:val="105"/>
          <w:sz w:val="13"/>
        </w:rPr>
        <w:t>Submissions</w:t>
      </w:r>
      <w:r>
        <w:rPr>
          <w:spacing w:val="4"/>
          <w:w w:val="105"/>
          <w:sz w:val="13"/>
        </w:rPr>
        <w:t> </w:t>
      </w:r>
      <w:r>
        <w:rPr>
          <w:w w:val="105"/>
          <w:sz w:val="13"/>
        </w:rPr>
        <w:t>25</w:t>
      </w:r>
      <w:r>
        <w:rPr>
          <w:spacing w:val="5"/>
          <w:w w:val="105"/>
          <w:sz w:val="13"/>
        </w:rPr>
        <w:t> </w:t>
      </w:r>
      <w:r>
        <w:rPr>
          <w:spacing w:val="2"/>
          <w:w w:val="105"/>
          <w:sz w:val="13"/>
        </w:rPr>
        <w:t>(Moores</w:t>
      </w:r>
      <w:r>
        <w:rPr>
          <w:spacing w:val="4"/>
          <w:w w:val="105"/>
          <w:sz w:val="13"/>
        </w:rPr>
        <w:t> </w:t>
      </w:r>
      <w:r>
        <w:rPr>
          <w:w w:val="105"/>
          <w:sz w:val="13"/>
        </w:rPr>
        <w:t>Legal);</w:t>
      </w:r>
      <w:r>
        <w:rPr>
          <w:spacing w:val="5"/>
          <w:w w:val="105"/>
          <w:sz w:val="13"/>
        </w:rPr>
        <w:t> </w:t>
      </w:r>
      <w:r>
        <w:rPr>
          <w:w w:val="105"/>
          <w:sz w:val="13"/>
        </w:rPr>
        <w:t>26</w:t>
      </w:r>
      <w:r>
        <w:rPr>
          <w:spacing w:val="4"/>
          <w:w w:val="105"/>
          <w:sz w:val="13"/>
        </w:rPr>
        <w:t> </w:t>
      </w:r>
      <w:r>
        <w:rPr>
          <w:spacing w:val="2"/>
          <w:w w:val="105"/>
          <w:sz w:val="13"/>
        </w:rPr>
        <w:t>(Rigby</w:t>
      </w:r>
      <w:r>
        <w:rPr>
          <w:spacing w:val="5"/>
          <w:w w:val="105"/>
          <w:sz w:val="13"/>
        </w:rPr>
        <w:t> </w:t>
      </w:r>
      <w:r>
        <w:rPr>
          <w:w w:val="105"/>
          <w:sz w:val="13"/>
        </w:rPr>
        <w:t>Cooke</w:t>
      </w:r>
      <w:r>
        <w:rPr>
          <w:spacing w:val="4"/>
          <w:w w:val="105"/>
          <w:sz w:val="13"/>
        </w:rPr>
        <w:t> </w:t>
      </w:r>
      <w:r>
        <w:rPr>
          <w:spacing w:val="2"/>
          <w:w w:val="105"/>
          <w:sz w:val="13"/>
        </w:rPr>
        <w:t>Lawyers);</w:t>
      </w:r>
      <w:r>
        <w:rPr>
          <w:spacing w:val="5"/>
          <w:w w:val="105"/>
          <w:sz w:val="13"/>
        </w:rPr>
        <w:t> </w:t>
      </w:r>
      <w:r>
        <w:rPr>
          <w:w w:val="105"/>
          <w:sz w:val="13"/>
        </w:rPr>
        <w:t>30a</w:t>
      </w:r>
      <w:r>
        <w:rPr>
          <w:spacing w:val="4"/>
          <w:w w:val="105"/>
          <w:sz w:val="13"/>
        </w:rPr>
        <w:t> </w:t>
      </w:r>
      <w:r>
        <w:rPr>
          <w:spacing w:val="3"/>
          <w:w w:val="105"/>
          <w:sz w:val="13"/>
        </w:rPr>
        <w:t>(Law</w:t>
      </w:r>
      <w:r>
        <w:rPr>
          <w:spacing w:val="5"/>
          <w:w w:val="105"/>
          <w:sz w:val="13"/>
        </w:rPr>
        <w:t> </w:t>
      </w:r>
      <w:r>
        <w:rPr>
          <w:w w:val="105"/>
          <w:sz w:val="13"/>
        </w:rPr>
        <w:t>Institute</w:t>
      </w:r>
      <w:r>
        <w:rPr>
          <w:spacing w:val="4"/>
          <w:w w:val="105"/>
          <w:sz w:val="13"/>
        </w:rPr>
        <w:t> </w:t>
      </w:r>
      <w:r>
        <w:rPr>
          <w:w w:val="105"/>
          <w:sz w:val="13"/>
        </w:rPr>
        <w:t>of</w:t>
      </w:r>
      <w:r>
        <w:rPr>
          <w:spacing w:val="5"/>
          <w:w w:val="105"/>
          <w:sz w:val="13"/>
        </w:rPr>
        <w:t> </w:t>
      </w:r>
      <w:r>
        <w:rPr>
          <w:spacing w:val="2"/>
          <w:w w:val="105"/>
          <w:sz w:val="13"/>
        </w:rPr>
        <w:t>Victoria).</w:t>
      </w:r>
    </w:p>
    <w:p>
      <w:pPr>
        <w:pStyle w:val="ListParagraph"/>
        <w:numPr>
          <w:ilvl w:val="0"/>
          <w:numId w:val="96"/>
        </w:numPr>
        <w:tabs>
          <w:tab w:pos="2380" w:val="left" w:leader="none"/>
          <w:tab w:pos="2382" w:val="left" w:leader="none"/>
        </w:tabs>
        <w:spacing w:line="240" w:lineRule="auto" w:before="1" w:after="0"/>
        <w:ind w:left="2381" w:right="0" w:hanging="794"/>
        <w:jc w:val="left"/>
        <w:rPr>
          <w:sz w:val="13"/>
        </w:rPr>
      </w:pPr>
      <w:r>
        <w:rPr>
          <w:w w:val="105"/>
          <w:sz w:val="13"/>
        </w:rPr>
        <w:t>Submission 30a </w:t>
      </w:r>
      <w:r>
        <w:rPr>
          <w:spacing w:val="3"/>
          <w:w w:val="105"/>
          <w:sz w:val="13"/>
        </w:rPr>
        <w:t>(Law </w:t>
      </w:r>
      <w:r>
        <w:rPr>
          <w:w w:val="105"/>
          <w:sz w:val="13"/>
        </w:rPr>
        <w:t>Institute of</w:t>
      </w:r>
      <w:r>
        <w:rPr>
          <w:spacing w:val="19"/>
          <w:w w:val="105"/>
          <w:sz w:val="13"/>
        </w:rPr>
        <w:t> </w:t>
      </w:r>
      <w:r>
        <w:rPr>
          <w:spacing w:val="2"/>
          <w:w w:val="105"/>
          <w:sz w:val="13"/>
        </w:rPr>
        <w:t>Victoria).</w:t>
      </w:r>
    </w:p>
    <w:p>
      <w:pPr>
        <w:pStyle w:val="ListParagraph"/>
        <w:numPr>
          <w:ilvl w:val="0"/>
          <w:numId w:val="96"/>
        </w:numPr>
        <w:tabs>
          <w:tab w:pos="2380" w:val="left" w:leader="none"/>
          <w:tab w:pos="2382" w:val="left" w:leader="none"/>
        </w:tabs>
        <w:spacing w:line="240" w:lineRule="auto" w:before="2" w:after="0"/>
        <w:ind w:left="2381" w:right="0" w:hanging="794"/>
        <w:jc w:val="left"/>
        <w:rPr>
          <w:sz w:val="13"/>
        </w:rPr>
      </w:pPr>
      <w:r>
        <w:rPr>
          <w:w w:val="105"/>
          <w:sz w:val="13"/>
        </w:rPr>
        <w:t>Consultations </w:t>
      </w:r>
      <w:r>
        <w:rPr>
          <w:spacing w:val="-4"/>
          <w:w w:val="105"/>
          <w:sz w:val="13"/>
        </w:rPr>
        <w:t>17 </w:t>
      </w:r>
      <w:r>
        <w:rPr>
          <w:w w:val="105"/>
          <w:sz w:val="13"/>
        </w:rPr>
        <w:t>(Supreme Court of </w:t>
      </w:r>
      <w:r>
        <w:rPr>
          <w:spacing w:val="2"/>
          <w:w w:val="105"/>
          <w:sz w:val="13"/>
        </w:rPr>
        <w:t>Victoria—Judges).</w:t>
      </w:r>
    </w:p>
    <w:p>
      <w:pPr>
        <w:pStyle w:val="ListParagraph"/>
        <w:numPr>
          <w:ilvl w:val="0"/>
          <w:numId w:val="96"/>
        </w:numPr>
        <w:tabs>
          <w:tab w:pos="2380" w:val="left" w:leader="none"/>
          <w:tab w:pos="2382" w:val="left" w:leader="none"/>
        </w:tabs>
        <w:spacing w:line="240" w:lineRule="auto" w:before="1" w:after="0"/>
        <w:ind w:left="2381" w:right="0" w:hanging="794"/>
        <w:jc w:val="left"/>
        <w:rPr>
          <w:sz w:val="13"/>
        </w:rPr>
      </w:pPr>
      <w:r>
        <w:rPr>
          <w:w w:val="105"/>
          <w:sz w:val="13"/>
        </w:rPr>
        <w:t>Consultation 16 (Supreme Court of </w:t>
      </w:r>
      <w:r>
        <w:rPr>
          <w:spacing w:val="2"/>
          <w:w w:val="105"/>
          <w:sz w:val="13"/>
        </w:rPr>
        <w:t>Victoria—Associate</w:t>
      </w:r>
      <w:r>
        <w:rPr>
          <w:spacing w:val="29"/>
          <w:w w:val="105"/>
          <w:sz w:val="13"/>
        </w:rPr>
        <w:t> </w:t>
      </w:r>
      <w:r>
        <w:rPr>
          <w:w w:val="105"/>
          <w:sz w:val="13"/>
        </w:rPr>
        <w:t>Judges).</w:t>
      </w:r>
    </w:p>
    <w:p>
      <w:pPr>
        <w:pStyle w:val="ListParagraph"/>
        <w:numPr>
          <w:ilvl w:val="0"/>
          <w:numId w:val="96"/>
        </w:numPr>
        <w:tabs>
          <w:tab w:pos="2380" w:val="left" w:leader="none"/>
          <w:tab w:pos="2382" w:val="left" w:leader="none"/>
        </w:tabs>
        <w:spacing w:line="240" w:lineRule="auto" w:before="1" w:after="0"/>
        <w:ind w:left="2381" w:right="0" w:hanging="794"/>
        <w:jc w:val="left"/>
        <w:rPr>
          <w:sz w:val="13"/>
        </w:rPr>
      </w:pPr>
      <w:r>
        <w:rPr>
          <w:w w:val="105"/>
          <w:sz w:val="13"/>
        </w:rPr>
        <w:t>Submission 37 (Supreme Court of</w:t>
      </w:r>
      <w:r>
        <w:rPr>
          <w:spacing w:val="23"/>
          <w:w w:val="105"/>
          <w:sz w:val="13"/>
        </w:rPr>
        <w:t> </w:t>
      </w:r>
      <w:r>
        <w:rPr>
          <w:spacing w:val="2"/>
          <w:w w:val="105"/>
          <w:sz w:val="13"/>
        </w:rPr>
        <w:t>Victoria).</w:t>
      </w:r>
    </w:p>
    <w:p>
      <w:pPr>
        <w:pStyle w:val="ListParagraph"/>
        <w:numPr>
          <w:ilvl w:val="0"/>
          <w:numId w:val="96"/>
        </w:numPr>
        <w:tabs>
          <w:tab w:pos="2380" w:val="left" w:leader="none"/>
          <w:tab w:pos="2382" w:val="left" w:leader="none"/>
        </w:tabs>
        <w:spacing w:line="240" w:lineRule="auto" w:before="2" w:after="0"/>
        <w:ind w:left="2381" w:right="0" w:hanging="794"/>
        <w:jc w:val="left"/>
        <w:rPr>
          <w:sz w:val="13"/>
        </w:rPr>
      </w:pPr>
      <w:r>
        <w:rPr>
          <w:sz w:val="13"/>
        </w:rPr>
        <w:t>The</w:t>
      </w:r>
      <w:r>
        <w:rPr>
          <w:spacing w:val="8"/>
          <w:sz w:val="13"/>
        </w:rPr>
        <w:t> </w:t>
      </w:r>
      <w:r>
        <w:rPr>
          <w:sz w:val="13"/>
        </w:rPr>
        <w:t>relevant</w:t>
      </w:r>
      <w:r>
        <w:rPr>
          <w:spacing w:val="8"/>
          <w:sz w:val="13"/>
        </w:rPr>
        <w:t> </w:t>
      </w:r>
      <w:r>
        <w:rPr>
          <w:sz w:val="13"/>
        </w:rPr>
        <w:t>statutory</w:t>
      </w:r>
      <w:r>
        <w:rPr>
          <w:spacing w:val="8"/>
          <w:sz w:val="13"/>
        </w:rPr>
        <w:t> </w:t>
      </w:r>
      <w:r>
        <w:rPr>
          <w:sz w:val="13"/>
        </w:rPr>
        <w:t>criteria</w:t>
      </w:r>
      <w:r>
        <w:rPr>
          <w:spacing w:val="8"/>
          <w:sz w:val="13"/>
        </w:rPr>
        <w:t> </w:t>
      </w:r>
      <w:r>
        <w:rPr>
          <w:sz w:val="13"/>
        </w:rPr>
        <w:t>are</w:t>
      </w:r>
      <w:r>
        <w:rPr>
          <w:spacing w:val="8"/>
          <w:sz w:val="13"/>
        </w:rPr>
        <w:t> </w:t>
      </w:r>
      <w:r>
        <w:rPr>
          <w:sz w:val="13"/>
        </w:rPr>
        <w:t>at</w:t>
      </w:r>
      <w:r>
        <w:rPr>
          <w:spacing w:val="9"/>
          <w:sz w:val="13"/>
        </w:rPr>
        <w:t> </w:t>
      </w:r>
      <w:r>
        <w:rPr>
          <w:i/>
          <w:sz w:val="13"/>
        </w:rPr>
        <w:t>Administration</w:t>
      </w:r>
      <w:r>
        <w:rPr>
          <w:i/>
          <w:spacing w:val="7"/>
          <w:sz w:val="13"/>
        </w:rPr>
        <w:t> </w:t>
      </w:r>
      <w:r>
        <w:rPr>
          <w:i/>
          <w:sz w:val="13"/>
        </w:rPr>
        <w:t>and</w:t>
      </w:r>
      <w:r>
        <w:rPr>
          <w:i/>
          <w:spacing w:val="7"/>
          <w:sz w:val="13"/>
        </w:rPr>
        <w:t> </w:t>
      </w:r>
      <w:r>
        <w:rPr>
          <w:i/>
          <w:sz w:val="13"/>
        </w:rPr>
        <w:t>Probate</w:t>
      </w:r>
      <w:r>
        <w:rPr>
          <w:i/>
          <w:spacing w:val="7"/>
          <w:sz w:val="13"/>
        </w:rPr>
        <w:t> </w:t>
      </w:r>
      <w:r>
        <w:rPr>
          <w:i/>
          <w:sz w:val="13"/>
        </w:rPr>
        <w:t>Act</w:t>
      </w:r>
      <w:r>
        <w:rPr>
          <w:i/>
          <w:spacing w:val="7"/>
          <w:sz w:val="13"/>
        </w:rPr>
        <w:t> </w:t>
      </w:r>
      <w:r>
        <w:rPr>
          <w:i/>
          <w:sz w:val="13"/>
        </w:rPr>
        <w:t>1958</w:t>
      </w:r>
      <w:r>
        <w:rPr>
          <w:i/>
          <w:spacing w:val="8"/>
          <w:sz w:val="13"/>
        </w:rPr>
        <w:t> </w:t>
      </w:r>
      <w:r>
        <w:rPr>
          <w:spacing w:val="2"/>
          <w:sz w:val="13"/>
        </w:rPr>
        <w:t>(Vic)</w:t>
      </w:r>
      <w:r>
        <w:rPr>
          <w:spacing w:val="8"/>
          <w:sz w:val="13"/>
        </w:rPr>
        <w:t> </w:t>
      </w:r>
      <w:r>
        <w:rPr>
          <w:sz w:val="13"/>
        </w:rPr>
        <w:t>ss</w:t>
      </w:r>
      <w:r>
        <w:rPr>
          <w:spacing w:val="8"/>
          <w:sz w:val="13"/>
        </w:rPr>
        <w:t> </w:t>
      </w:r>
      <w:r>
        <w:rPr>
          <w:spacing w:val="4"/>
          <w:sz w:val="13"/>
        </w:rPr>
        <w:t>91(4)(e)–(p).</w:t>
      </w:r>
    </w:p>
    <w:p>
      <w:pPr>
        <w:pStyle w:val="ListParagraph"/>
        <w:numPr>
          <w:ilvl w:val="0"/>
          <w:numId w:val="96"/>
        </w:numPr>
        <w:tabs>
          <w:tab w:pos="2380" w:val="left" w:leader="none"/>
          <w:tab w:pos="2382" w:val="left" w:leader="none"/>
        </w:tabs>
        <w:spacing w:line="240" w:lineRule="auto" w:before="1" w:after="0"/>
        <w:ind w:left="2381" w:right="63" w:hanging="794"/>
        <w:jc w:val="left"/>
        <w:rPr>
          <w:sz w:val="13"/>
        </w:rPr>
      </w:pPr>
      <w:r>
        <w:rPr>
          <w:w w:val="105"/>
          <w:sz w:val="13"/>
        </w:rPr>
        <w:t>County Court of Victoria, </w:t>
      </w:r>
      <w:r>
        <w:rPr>
          <w:i/>
          <w:w w:val="105"/>
          <w:sz w:val="13"/>
        </w:rPr>
        <w:t>Practice Note No PNCI </w:t>
      </w:r>
      <w:r>
        <w:rPr>
          <w:i/>
          <w:spacing w:val="-3"/>
          <w:w w:val="105"/>
          <w:sz w:val="13"/>
        </w:rPr>
        <w:t>2–2012  </w:t>
      </w:r>
      <w:r>
        <w:rPr>
          <w:w w:val="105"/>
          <w:sz w:val="13"/>
        </w:rPr>
        <w:t>– </w:t>
      </w:r>
      <w:r>
        <w:rPr>
          <w:i/>
          <w:w w:val="105"/>
          <w:sz w:val="13"/>
        </w:rPr>
        <w:t>Operation and Management of the Damages and Compensation List (Revised)</w:t>
      </w:r>
      <w:r>
        <w:rPr>
          <w:w w:val="105"/>
          <w:sz w:val="13"/>
        </w:rPr>
        <w:t>,   1 November </w:t>
      </w:r>
      <w:r>
        <w:rPr>
          <w:spacing w:val="-3"/>
          <w:w w:val="105"/>
          <w:sz w:val="13"/>
        </w:rPr>
        <w:t>2012,</w:t>
      </w:r>
      <w:r>
        <w:rPr>
          <w:spacing w:val="14"/>
          <w:w w:val="105"/>
          <w:sz w:val="13"/>
        </w:rPr>
        <w:t> </w:t>
      </w:r>
      <w:r>
        <w:rPr>
          <w:w w:val="105"/>
          <w:sz w:val="13"/>
        </w:rPr>
        <w:t>22–3.</w:t>
      </w:r>
    </w:p>
    <w:p>
      <w:pPr>
        <w:pStyle w:val="ListParagraph"/>
        <w:numPr>
          <w:ilvl w:val="0"/>
          <w:numId w:val="96"/>
        </w:numPr>
        <w:tabs>
          <w:tab w:pos="2380" w:val="left" w:leader="none"/>
          <w:tab w:pos="2382" w:val="left" w:leader="none"/>
        </w:tabs>
        <w:spacing w:line="240" w:lineRule="auto" w:before="3" w:after="0"/>
        <w:ind w:left="2381" w:right="540" w:hanging="794"/>
        <w:jc w:val="left"/>
        <w:rPr>
          <w:sz w:val="13"/>
        </w:rPr>
      </w:pPr>
      <w:r>
        <w:rPr>
          <w:w w:val="105"/>
          <w:sz w:val="13"/>
        </w:rPr>
        <w:t>Preliminary meeting with the County Court, 23 October </w:t>
      </w:r>
      <w:r>
        <w:rPr>
          <w:spacing w:val="-3"/>
          <w:w w:val="105"/>
          <w:sz w:val="13"/>
        </w:rPr>
        <w:t>2012; </w:t>
      </w:r>
      <w:r>
        <w:rPr>
          <w:w w:val="105"/>
          <w:sz w:val="13"/>
        </w:rPr>
        <w:t>consultations 16 (Supreme Court of </w:t>
      </w:r>
      <w:r>
        <w:rPr>
          <w:spacing w:val="2"/>
          <w:w w:val="105"/>
          <w:sz w:val="13"/>
        </w:rPr>
        <w:t>Victoria—Associate Judges);  </w:t>
      </w:r>
      <w:r>
        <w:rPr>
          <w:spacing w:val="-4"/>
          <w:w w:val="105"/>
          <w:sz w:val="13"/>
        </w:rPr>
        <w:t>17 </w:t>
      </w:r>
      <w:r>
        <w:rPr>
          <w:w w:val="105"/>
          <w:sz w:val="13"/>
        </w:rPr>
        <w:t>(Supreme Court of</w:t>
      </w:r>
      <w:r>
        <w:rPr>
          <w:spacing w:val="-5"/>
          <w:w w:val="105"/>
          <w:sz w:val="13"/>
        </w:rPr>
        <w:t> </w:t>
      </w:r>
      <w:r>
        <w:rPr>
          <w:spacing w:val="2"/>
          <w:w w:val="105"/>
          <w:sz w:val="13"/>
        </w:rPr>
        <w:t>Victoria—Judges).</w:t>
      </w:r>
    </w:p>
    <w:p>
      <w:pPr>
        <w:pStyle w:val="ListParagraph"/>
        <w:numPr>
          <w:ilvl w:val="0"/>
          <w:numId w:val="96"/>
        </w:numPr>
        <w:tabs>
          <w:tab w:pos="2381" w:val="left" w:leader="none"/>
          <w:tab w:pos="2382" w:val="left" w:leader="none"/>
        </w:tabs>
        <w:spacing w:line="240" w:lineRule="auto" w:before="2" w:after="0"/>
        <w:ind w:left="2381" w:right="37" w:hanging="794"/>
        <w:jc w:val="left"/>
        <w:rPr>
          <w:sz w:val="13"/>
        </w:rPr>
      </w:pPr>
      <w:r>
        <w:rPr>
          <w:w w:val="105"/>
          <w:sz w:val="13"/>
        </w:rPr>
        <w:t>County Court of Victoria, Practice Note No PNCI 2–2012 – </w:t>
      </w:r>
      <w:r>
        <w:rPr>
          <w:i/>
          <w:w w:val="105"/>
          <w:sz w:val="13"/>
        </w:rPr>
        <w:t>Operation and Management of the Damages and Compensation List (Revised)</w:t>
      </w:r>
      <w:r>
        <w:rPr>
          <w:w w:val="105"/>
          <w:sz w:val="13"/>
        </w:rPr>
        <w:t>,    1 November </w:t>
      </w:r>
      <w:r>
        <w:rPr>
          <w:spacing w:val="-3"/>
          <w:w w:val="105"/>
          <w:sz w:val="13"/>
        </w:rPr>
        <w:t>2012,</w:t>
      </w:r>
      <w:r>
        <w:rPr>
          <w:spacing w:val="13"/>
          <w:w w:val="105"/>
          <w:sz w:val="13"/>
        </w:rPr>
        <w:t> </w:t>
      </w:r>
      <w:r>
        <w:rPr>
          <w:w w:val="105"/>
          <w:sz w:val="13"/>
        </w:rPr>
        <w:t>22.</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2"/>
        <w:rPr>
          <w:sz w:val="22"/>
        </w:rPr>
      </w:pPr>
    </w:p>
    <w:p>
      <w:pPr>
        <w:spacing w:before="0"/>
        <w:ind w:left="696" w:right="575" w:firstLine="0"/>
        <w:jc w:val="center"/>
        <w:rPr>
          <w:b/>
          <w:sz w:val="24"/>
        </w:rPr>
      </w:pPr>
      <w:r>
        <w:rPr>
          <w:b/>
          <w:color w:val="EC5A4F"/>
          <w:w w:val="110"/>
          <w:sz w:val="24"/>
        </w:rPr>
        <w:t>123</w:t>
      </w:r>
    </w:p>
    <w:p>
      <w:pPr>
        <w:spacing w:after="0"/>
        <w:jc w:val="center"/>
        <w:rPr>
          <w:sz w:val="24"/>
        </w:rPr>
        <w:sectPr>
          <w:type w:val="continuous"/>
          <w:pgSz w:w="11910" w:h="16840"/>
          <w:pgMar w:top="920" w:bottom="280" w:left="0" w:right="0"/>
          <w:cols w:num="2" w:equalWidth="0">
            <w:col w:w="10157" w:space="40"/>
            <w:col w:w="1713"/>
          </w:cols>
        </w:sectPr>
      </w:pPr>
    </w:p>
    <w:p>
      <w:pPr>
        <w:pStyle w:val="BodyText"/>
        <w:spacing w:before="9"/>
        <w:rPr>
          <w:b/>
          <w:sz w:val="22"/>
        </w:rPr>
      </w:pPr>
    </w:p>
    <w:p>
      <w:pPr>
        <w:pStyle w:val="ListParagraph"/>
        <w:numPr>
          <w:ilvl w:val="1"/>
          <w:numId w:val="82"/>
        </w:numPr>
        <w:tabs>
          <w:tab w:pos="2380" w:val="left" w:leader="none"/>
          <w:tab w:pos="2381" w:val="left" w:leader="none"/>
        </w:tabs>
        <w:spacing w:line="242" w:lineRule="auto" w:before="92" w:after="0"/>
        <w:ind w:left="2381" w:right="1602" w:hanging="794"/>
        <w:jc w:val="left"/>
        <w:rPr>
          <w:sz w:val="12"/>
        </w:rPr>
      </w:pPr>
      <w:r>
        <w:rPr>
          <w:spacing w:val="-4"/>
          <w:sz w:val="21"/>
        </w:rPr>
        <w:t>However, </w:t>
      </w:r>
      <w:r>
        <w:rPr>
          <w:sz w:val="21"/>
        </w:rPr>
        <w:t>some legal practitioners expressed the view </w:t>
      </w:r>
      <w:r>
        <w:rPr>
          <w:spacing w:val="-3"/>
          <w:sz w:val="21"/>
        </w:rPr>
        <w:t>that </w:t>
      </w:r>
      <w:r>
        <w:rPr>
          <w:sz w:val="21"/>
        </w:rPr>
        <w:t>it is difficult </w:t>
      </w:r>
      <w:r>
        <w:rPr>
          <w:spacing w:val="-3"/>
          <w:sz w:val="21"/>
        </w:rPr>
        <w:t>to produce </w:t>
      </w:r>
      <w:r>
        <w:rPr>
          <w:sz w:val="21"/>
        </w:rPr>
        <w:t>a worthwhile position statement and </w:t>
      </w:r>
      <w:r>
        <w:rPr>
          <w:spacing w:val="-3"/>
          <w:sz w:val="21"/>
        </w:rPr>
        <w:t>any  </w:t>
      </w:r>
      <w:r>
        <w:rPr>
          <w:sz w:val="21"/>
        </w:rPr>
        <w:t>cost  saving  is  </w:t>
      </w:r>
      <w:r>
        <w:rPr>
          <w:spacing w:val="-3"/>
          <w:sz w:val="21"/>
        </w:rPr>
        <w:t>minimal.</w:t>
      </w:r>
      <w:r>
        <w:rPr>
          <w:spacing w:val="-3"/>
          <w:position w:val="7"/>
          <w:sz w:val="12"/>
        </w:rPr>
        <w:t>237  </w:t>
      </w:r>
      <w:r>
        <w:rPr>
          <w:sz w:val="21"/>
        </w:rPr>
        <w:t>The  </w:t>
      </w:r>
      <w:r>
        <w:rPr>
          <w:spacing w:val="-3"/>
          <w:sz w:val="21"/>
        </w:rPr>
        <w:t>Supreme  Court noted that, </w:t>
      </w:r>
      <w:r>
        <w:rPr>
          <w:sz w:val="21"/>
        </w:rPr>
        <w:t>even where it does </w:t>
      </w:r>
      <w:r>
        <w:rPr>
          <w:spacing w:val="-2"/>
          <w:sz w:val="21"/>
        </w:rPr>
        <w:t>not  </w:t>
      </w:r>
      <w:r>
        <w:rPr>
          <w:sz w:val="21"/>
        </w:rPr>
        <w:t>order affidavits prior </w:t>
      </w:r>
      <w:r>
        <w:rPr>
          <w:spacing w:val="-3"/>
          <w:sz w:val="21"/>
        </w:rPr>
        <w:t>to  </w:t>
      </w:r>
      <w:r>
        <w:rPr>
          <w:sz w:val="21"/>
        </w:rPr>
        <w:t>mediation and </w:t>
      </w:r>
      <w:r>
        <w:rPr>
          <w:spacing w:val="-3"/>
          <w:sz w:val="21"/>
        </w:rPr>
        <w:t>requires  </w:t>
      </w:r>
      <w:r>
        <w:rPr>
          <w:sz w:val="21"/>
        </w:rPr>
        <w:t>parties </w:t>
      </w:r>
      <w:r>
        <w:rPr>
          <w:spacing w:val="-3"/>
          <w:sz w:val="21"/>
        </w:rPr>
        <w:t>to </w:t>
      </w:r>
      <w:r>
        <w:rPr>
          <w:sz w:val="21"/>
        </w:rPr>
        <w:t>file short position statements, the parties often choose </w:t>
      </w:r>
      <w:r>
        <w:rPr>
          <w:spacing w:val="-3"/>
          <w:sz w:val="21"/>
        </w:rPr>
        <w:t>to </w:t>
      </w:r>
      <w:r>
        <w:rPr>
          <w:sz w:val="21"/>
        </w:rPr>
        <w:t>file affidavits prior </w:t>
      </w:r>
      <w:r>
        <w:rPr>
          <w:spacing w:val="-3"/>
          <w:sz w:val="21"/>
        </w:rPr>
        <w:t>to </w:t>
      </w:r>
      <w:r>
        <w:rPr>
          <w:sz w:val="21"/>
        </w:rPr>
        <w:t>the first directions</w:t>
      </w:r>
      <w:r>
        <w:rPr>
          <w:spacing w:val="8"/>
          <w:sz w:val="21"/>
        </w:rPr>
        <w:t> </w:t>
      </w:r>
      <w:r>
        <w:rPr>
          <w:sz w:val="21"/>
        </w:rPr>
        <w:t>hearing.</w:t>
      </w:r>
      <w:r>
        <w:rPr>
          <w:position w:val="7"/>
          <w:sz w:val="12"/>
        </w:rPr>
        <w:t>238</w:t>
      </w:r>
    </w:p>
    <w:p>
      <w:pPr>
        <w:pStyle w:val="BodyText"/>
        <w:spacing w:before="1"/>
        <w:rPr>
          <w:sz w:val="27"/>
        </w:rPr>
      </w:pPr>
    </w:p>
    <w:p>
      <w:pPr>
        <w:pStyle w:val="Heading6"/>
      </w:pPr>
      <w:r>
        <w:rPr>
          <w:w w:val="120"/>
        </w:rPr>
        <w:t>Pro forma affidavits</w:t>
      </w:r>
    </w:p>
    <w:p>
      <w:pPr>
        <w:pStyle w:val="ListParagraph"/>
        <w:numPr>
          <w:ilvl w:val="1"/>
          <w:numId w:val="82"/>
        </w:numPr>
        <w:tabs>
          <w:tab w:pos="2380" w:val="left" w:leader="none"/>
          <w:tab w:pos="2381" w:val="left" w:leader="none"/>
        </w:tabs>
        <w:spacing w:line="242" w:lineRule="auto" w:before="151" w:after="0"/>
        <w:ind w:left="2381" w:right="1645" w:hanging="794"/>
        <w:jc w:val="left"/>
        <w:rPr>
          <w:sz w:val="21"/>
        </w:rPr>
      </w:pPr>
      <w:r>
        <w:rPr>
          <w:w w:val="105"/>
          <w:sz w:val="21"/>
        </w:rPr>
        <w:t>The</w:t>
      </w:r>
      <w:r>
        <w:rPr>
          <w:spacing w:val="-7"/>
          <w:w w:val="105"/>
          <w:sz w:val="21"/>
        </w:rPr>
        <w:t> </w:t>
      </w:r>
      <w:r>
        <w:rPr>
          <w:spacing w:val="-3"/>
          <w:w w:val="105"/>
          <w:sz w:val="21"/>
        </w:rPr>
        <w:t>Commission</w:t>
      </w:r>
      <w:r>
        <w:rPr>
          <w:spacing w:val="-6"/>
          <w:w w:val="105"/>
          <w:sz w:val="21"/>
        </w:rPr>
        <w:t> </w:t>
      </w:r>
      <w:r>
        <w:rPr>
          <w:spacing w:val="-3"/>
          <w:w w:val="105"/>
          <w:sz w:val="21"/>
        </w:rPr>
        <w:t>heard</w:t>
      </w:r>
      <w:r>
        <w:rPr>
          <w:spacing w:val="-6"/>
          <w:w w:val="105"/>
          <w:sz w:val="21"/>
        </w:rPr>
        <w:t> </w:t>
      </w:r>
      <w:r>
        <w:rPr>
          <w:w w:val="105"/>
          <w:sz w:val="21"/>
        </w:rPr>
        <w:t>a</w:t>
      </w:r>
      <w:r>
        <w:rPr>
          <w:spacing w:val="-6"/>
          <w:w w:val="105"/>
          <w:sz w:val="21"/>
        </w:rPr>
        <w:t> </w:t>
      </w:r>
      <w:r>
        <w:rPr>
          <w:w w:val="105"/>
          <w:sz w:val="21"/>
        </w:rPr>
        <w:t>number</w:t>
      </w:r>
      <w:r>
        <w:rPr>
          <w:spacing w:val="-7"/>
          <w:w w:val="105"/>
          <w:sz w:val="21"/>
        </w:rPr>
        <w:t> </w:t>
      </w:r>
      <w:r>
        <w:rPr>
          <w:w w:val="105"/>
          <w:sz w:val="21"/>
        </w:rPr>
        <w:t>of</w:t>
      </w:r>
      <w:r>
        <w:rPr>
          <w:spacing w:val="-6"/>
          <w:w w:val="105"/>
          <w:sz w:val="21"/>
        </w:rPr>
        <w:t> </w:t>
      </w:r>
      <w:r>
        <w:rPr>
          <w:w w:val="105"/>
          <w:sz w:val="21"/>
        </w:rPr>
        <w:t>suggestions</w:t>
      </w:r>
      <w:r>
        <w:rPr>
          <w:spacing w:val="-6"/>
          <w:w w:val="105"/>
          <w:sz w:val="21"/>
        </w:rPr>
        <w:t> </w:t>
      </w:r>
      <w:r>
        <w:rPr>
          <w:spacing w:val="-3"/>
          <w:w w:val="105"/>
          <w:sz w:val="21"/>
        </w:rPr>
        <w:t>that,</w:t>
      </w:r>
      <w:r>
        <w:rPr>
          <w:spacing w:val="-6"/>
          <w:w w:val="105"/>
          <w:sz w:val="21"/>
        </w:rPr>
        <w:t> </w:t>
      </w:r>
      <w:r>
        <w:rPr>
          <w:w w:val="105"/>
          <w:sz w:val="21"/>
        </w:rPr>
        <w:t>where</w:t>
      </w:r>
      <w:r>
        <w:rPr>
          <w:spacing w:val="-7"/>
          <w:w w:val="105"/>
          <w:sz w:val="21"/>
        </w:rPr>
        <w:t> </w:t>
      </w:r>
      <w:r>
        <w:rPr>
          <w:w w:val="105"/>
          <w:sz w:val="21"/>
        </w:rPr>
        <w:t>affidavits</w:t>
      </w:r>
      <w:r>
        <w:rPr>
          <w:spacing w:val="-6"/>
          <w:w w:val="105"/>
          <w:sz w:val="21"/>
        </w:rPr>
        <w:t> </w:t>
      </w:r>
      <w:r>
        <w:rPr>
          <w:spacing w:val="-3"/>
          <w:w w:val="105"/>
          <w:sz w:val="21"/>
        </w:rPr>
        <w:t>are</w:t>
      </w:r>
      <w:r>
        <w:rPr>
          <w:spacing w:val="-6"/>
          <w:w w:val="105"/>
          <w:sz w:val="21"/>
        </w:rPr>
        <w:t> </w:t>
      </w:r>
      <w:r>
        <w:rPr>
          <w:spacing w:val="-3"/>
          <w:w w:val="105"/>
          <w:sz w:val="21"/>
        </w:rPr>
        <w:t>required,</w:t>
      </w:r>
      <w:r>
        <w:rPr>
          <w:spacing w:val="-6"/>
          <w:w w:val="105"/>
          <w:sz w:val="21"/>
        </w:rPr>
        <w:t> </w:t>
      </w:r>
      <w:r>
        <w:rPr>
          <w:w w:val="105"/>
          <w:sz w:val="21"/>
        </w:rPr>
        <w:t>there should</w:t>
      </w:r>
      <w:r>
        <w:rPr>
          <w:spacing w:val="-3"/>
          <w:w w:val="105"/>
          <w:sz w:val="21"/>
        </w:rPr>
        <w:t> </w:t>
      </w:r>
      <w:r>
        <w:rPr>
          <w:w w:val="105"/>
          <w:sz w:val="21"/>
        </w:rPr>
        <w:t>be</w:t>
      </w:r>
      <w:r>
        <w:rPr>
          <w:spacing w:val="-3"/>
          <w:w w:val="105"/>
          <w:sz w:val="21"/>
        </w:rPr>
        <w:t> </w:t>
      </w:r>
      <w:r>
        <w:rPr>
          <w:w w:val="105"/>
          <w:sz w:val="21"/>
        </w:rPr>
        <w:t>some</w:t>
      </w:r>
      <w:r>
        <w:rPr>
          <w:spacing w:val="-3"/>
          <w:w w:val="105"/>
          <w:sz w:val="21"/>
        </w:rPr>
        <w:t> </w:t>
      </w:r>
      <w:r>
        <w:rPr>
          <w:w w:val="105"/>
          <w:sz w:val="21"/>
        </w:rPr>
        <w:t>direction</w:t>
      </w:r>
      <w:r>
        <w:rPr>
          <w:spacing w:val="-3"/>
          <w:w w:val="105"/>
          <w:sz w:val="21"/>
        </w:rPr>
        <w:t> </w:t>
      </w:r>
      <w:r>
        <w:rPr>
          <w:w w:val="105"/>
          <w:sz w:val="21"/>
        </w:rPr>
        <w:t>about</w:t>
      </w:r>
      <w:r>
        <w:rPr>
          <w:spacing w:val="-3"/>
          <w:w w:val="105"/>
          <w:sz w:val="21"/>
        </w:rPr>
        <w:t> </w:t>
      </w:r>
      <w:r>
        <w:rPr>
          <w:w w:val="105"/>
          <w:sz w:val="21"/>
        </w:rPr>
        <w:t>what</w:t>
      </w:r>
      <w:r>
        <w:rPr>
          <w:spacing w:val="-3"/>
          <w:w w:val="105"/>
          <w:sz w:val="21"/>
        </w:rPr>
        <w:t> </w:t>
      </w:r>
      <w:r>
        <w:rPr>
          <w:w w:val="105"/>
          <w:sz w:val="21"/>
        </w:rPr>
        <w:t>is</w:t>
      </w:r>
      <w:r>
        <w:rPr>
          <w:spacing w:val="-2"/>
          <w:w w:val="105"/>
          <w:sz w:val="21"/>
        </w:rPr>
        <w:t> </w:t>
      </w:r>
      <w:r>
        <w:rPr>
          <w:spacing w:val="-3"/>
          <w:w w:val="105"/>
          <w:sz w:val="21"/>
        </w:rPr>
        <w:t>included </w:t>
      </w:r>
      <w:r>
        <w:rPr>
          <w:w w:val="105"/>
          <w:sz w:val="21"/>
        </w:rPr>
        <w:t>in</w:t>
      </w:r>
      <w:r>
        <w:rPr>
          <w:spacing w:val="-3"/>
          <w:w w:val="105"/>
          <w:sz w:val="21"/>
        </w:rPr>
        <w:t> </w:t>
      </w:r>
      <w:r>
        <w:rPr>
          <w:w w:val="105"/>
          <w:sz w:val="21"/>
        </w:rPr>
        <w:t>them</w:t>
      </w:r>
      <w:r>
        <w:rPr>
          <w:spacing w:val="-3"/>
          <w:w w:val="105"/>
          <w:sz w:val="21"/>
        </w:rPr>
        <w:t> </w:t>
      </w:r>
      <w:r>
        <w:rPr>
          <w:w w:val="105"/>
          <w:sz w:val="21"/>
        </w:rPr>
        <w:t>and</w:t>
      </w:r>
      <w:r>
        <w:rPr>
          <w:spacing w:val="-3"/>
          <w:w w:val="105"/>
          <w:sz w:val="21"/>
        </w:rPr>
        <w:t> </w:t>
      </w:r>
      <w:r>
        <w:rPr>
          <w:w w:val="105"/>
          <w:sz w:val="21"/>
        </w:rPr>
        <w:t>how</w:t>
      </w:r>
      <w:r>
        <w:rPr>
          <w:spacing w:val="-3"/>
          <w:w w:val="105"/>
          <w:sz w:val="21"/>
        </w:rPr>
        <w:t> </w:t>
      </w:r>
      <w:r>
        <w:rPr>
          <w:w w:val="105"/>
          <w:sz w:val="21"/>
        </w:rPr>
        <w:t>long</w:t>
      </w:r>
      <w:r>
        <w:rPr>
          <w:spacing w:val="-2"/>
          <w:w w:val="105"/>
          <w:sz w:val="21"/>
        </w:rPr>
        <w:t> </w:t>
      </w:r>
      <w:r>
        <w:rPr>
          <w:w w:val="105"/>
          <w:sz w:val="21"/>
        </w:rPr>
        <w:t>they</w:t>
      </w:r>
      <w:r>
        <w:rPr>
          <w:spacing w:val="-3"/>
          <w:w w:val="105"/>
          <w:sz w:val="21"/>
        </w:rPr>
        <w:t> </w:t>
      </w:r>
      <w:r>
        <w:rPr>
          <w:w w:val="105"/>
          <w:sz w:val="21"/>
        </w:rPr>
        <w:t>should</w:t>
      </w:r>
      <w:r>
        <w:rPr>
          <w:spacing w:val="-3"/>
          <w:w w:val="105"/>
          <w:sz w:val="21"/>
        </w:rPr>
        <w:t> be.</w:t>
      </w:r>
    </w:p>
    <w:p>
      <w:pPr>
        <w:pStyle w:val="ListParagraph"/>
        <w:numPr>
          <w:ilvl w:val="1"/>
          <w:numId w:val="82"/>
        </w:numPr>
        <w:tabs>
          <w:tab w:pos="2380" w:val="left" w:leader="none"/>
          <w:tab w:pos="2381" w:val="left" w:leader="none"/>
        </w:tabs>
        <w:spacing w:line="242" w:lineRule="auto" w:before="122" w:after="0"/>
        <w:ind w:left="2381" w:right="1819" w:hanging="794"/>
        <w:jc w:val="left"/>
        <w:rPr>
          <w:sz w:val="21"/>
        </w:rPr>
      </w:pPr>
      <w:r>
        <w:rPr>
          <w:w w:val="105"/>
          <w:sz w:val="21"/>
        </w:rPr>
        <w:t>A practice </w:t>
      </w:r>
      <w:r>
        <w:rPr>
          <w:spacing w:val="-3"/>
          <w:w w:val="105"/>
          <w:sz w:val="21"/>
        </w:rPr>
        <w:t>note </w:t>
      </w:r>
      <w:r>
        <w:rPr>
          <w:w w:val="105"/>
          <w:sz w:val="21"/>
        </w:rPr>
        <w:t>of the </w:t>
      </w:r>
      <w:r>
        <w:rPr>
          <w:spacing w:val="-3"/>
          <w:w w:val="105"/>
          <w:sz w:val="21"/>
        </w:rPr>
        <w:t>Supreme Court </w:t>
      </w:r>
      <w:r>
        <w:rPr>
          <w:w w:val="105"/>
          <w:sz w:val="21"/>
        </w:rPr>
        <w:t>of New South </w:t>
      </w:r>
      <w:r>
        <w:rPr>
          <w:spacing w:val="-3"/>
          <w:w w:val="105"/>
          <w:sz w:val="21"/>
        </w:rPr>
        <w:t>Wales </w:t>
      </w:r>
      <w:r>
        <w:rPr>
          <w:w w:val="105"/>
          <w:sz w:val="21"/>
        </w:rPr>
        <w:t>prescribes what </w:t>
      </w:r>
      <w:r>
        <w:rPr>
          <w:spacing w:val="-3"/>
          <w:w w:val="105"/>
          <w:sz w:val="21"/>
        </w:rPr>
        <w:t>information </w:t>
      </w:r>
      <w:r>
        <w:rPr>
          <w:w w:val="105"/>
          <w:sz w:val="21"/>
        </w:rPr>
        <w:t>is </w:t>
      </w:r>
      <w:r>
        <w:rPr>
          <w:spacing w:val="-3"/>
          <w:w w:val="105"/>
          <w:sz w:val="21"/>
        </w:rPr>
        <w:t>to </w:t>
      </w:r>
      <w:r>
        <w:rPr>
          <w:w w:val="105"/>
          <w:sz w:val="21"/>
        </w:rPr>
        <w:t>be </w:t>
      </w:r>
      <w:r>
        <w:rPr>
          <w:spacing w:val="-3"/>
          <w:w w:val="105"/>
          <w:sz w:val="21"/>
        </w:rPr>
        <w:t>contained </w:t>
      </w:r>
      <w:r>
        <w:rPr>
          <w:w w:val="105"/>
          <w:sz w:val="21"/>
        </w:rPr>
        <w:t>in the </w:t>
      </w:r>
      <w:r>
        <w:rPr>
          <w:spacing w:val="-3"/>
          <w:w w:val="105"/>
          <w:sz w:val="21"/>
        </w:rPr>
        <w:t>plaintiff’s </w:t>
      </w:r>
      <w:r>
        <w:rPr>
          <w:w w:val="105"/>
          <w:sz w:val="21"/>
        </w:rPr>
        <w:t>affidavit in </w:t>
      </w:r>
      <w:r>
        <w:rPr>
          <w:spacing w:val="-3"/>
          <w:w w:val="105"/>
          <w:sz w:val="21"/>
        </w:rPr>
        <w:t>family provision proceedings. </w:t>
      </w:r>
      <w:r>
        <w:rPr>
          <w:w w:val="105"/>
          <w:sz w:val="21"/>
        </w:rPr>
        <w:t>It </w:t>
      </w:r>
      <w:r>
        <w:rPr>
          <w:spacing w:val="-3"/>
          <w:w w:val="105"/>
          <w:sz w:val="21"/>
        </w:rPr>
        <w:t>includes</w:t>
      </w:r>
    </w:p>
    <w:p>
      <w:pPr>
        <w:pStyle w:val="BodyText"/>
        <w:spacing w:line="242" w:lineRule="auto" w:before="3"/>
        <w:ind w:left="2380" w:right="1520"/>
        <w:rPr>
          <w:sz w:val="12"/>
        </w:rPr>
      </w:pPr>
      <w:r>
        <w:rPr>
          <w:w w:val="105"/>
        </w:rPr>
        <w:t>a section </w:t>
      </w:r>
      <w:r>
        <w:rPr>
          <w:spacing w:val="-3"/>
          <w:w w:val="105"/>
        </w:rPr>
        <w:t>for </w:t>
      </w:r>
      <w:r>
        <w:rPr>
          <w:w w:val="105"/>
        </w:rPr>
        <w:t>each of the </w:t>
      </w:r>
      <w:r>
        <w:rPr>
          <w:spacing w:val="-3"/>
          <w:w w:val="105"/>
        </w:rPr>
        <w:t>relevant </w:t>
      </w:r>
      <w:r>
        <w:rPr>
          <w:w w:val="105"/>
        </w:rPr>
        <w:t>statutory </w:t>
      </w:r>
      <w:r>
        <w:rPr>
          <w:spacing w:val="-3"/>
          <w:w w:val="105"/>
        </w:rPr>
        <w:t>criteria considered </w:t>
      </w:r>
      <w:r>
        <w:rPr>
          <w:w w:val="105"/>
        </w:rPr>
        <w:t>by the court when </w:t>
      </w:r>
      <w:r>
        <w:rPr>
          <w:spacing w:val="-3"/>
          <w:w w:val="105"/>
        </w:rPr>
        <w:t>determining </w:t>
      </w:r>
      <w:r>
        <w:rPr>
          <w:w w:val="105"/>
        </w:rPr>
        <w:t>a </w:t>
      </w:r>
      <w:r>
        <w:rPr>
          <w:spacing w:val="-3"/>
          <w:w w:val="105"/>
        </w:rPr>
        <w:t>family provision </w:t>
      </w:r>
      <w:r>
        <w:rPr>
          <w:w w:val="105"/>
        </w:rPr>
        <w:t>application.</w:t>
      </w:r>
      <w:r>
        <w:rPr>
          <w:w w:val="105"/>
          <w:position w:val="7"/>
          <w:sz w:val="12"/>
        </w:rPr>
        <w:t>239 </w:t>
      </w:r>
      <w:r>
        <w:rPr>
          <w:w w:val="105"/>
        </w:rPr>
        <w:t>Judges of the </w:t>
      </w:r>
      <w:r>
        <w:rPr>
          <w:spacing w:val="-3"/>
          <w:w w:val="105"/>
        </w:rPr>
        <w:t>Supreme Court </w:t>
      </w:r>
      <w:r>
        <w:rPr>
          <w:w w:val="105"/>
        </w:rPr>
        <w:t>of New South </w:t>
      </w:r>
      <w:r>
        <w:rPr>
          <w:spacing w:val="-3"/>
          <w:w w:val="105"/>
        </w:rPr>
        <w:t>Wales noted that </w:t>
      </w:r>
      <w:r>
        <w:rPr>
          <w:w w:val="105"/>
        </w:rPr>
        <w:t>the </w:t>
      </w:r>
      <w:r>
        <w:rPr>
          <w:spacing w:val="-2"/>
          <w:w w:val="105"/>
        </w:rPr>
        <w:t>pro </w:t>
      </w:r>
      <w:r>
        <w:rPr>
          <w:spacing w:val="-3"/>
          <w:w w:val="105"/>
        </w:rPr>
        <w:t>forma </w:t>
      </w:r>
      <w:r>
        <w:rPr>
          <w:w w:val="105"/>
        </w:rPr>
        <w:t>affidavit was developed in extensive </w:t>
      </w:r>
      <w:r>
        <w:rPr>
          <w:spacing w:val="-3"/>
          <w:w w:val="105"/>
        </w:rPr>
        <w:t>consultation </w:t>
      </w:r>
      <w:r>
        <w:rPr>
          <w:w w:val="105"/>
        </w:rPr>
        <w:t>with the New South </w:t>
      </w:r>
      <w:r>
        <w:rPr>
          <w:spacing w:val="-3"/>
          <w:w w:val="105"/>
        </w:rPr>
        <w:t>Wales </w:t>
      </w:r>
      <w:r>
        <w:rPr>
          <w:w w:val="105"/>
        </w:rPr>
        <w:t>legal </w:t>
      </w:r>
      <w:r>
        <w:rPr>
          <w:spacing w:val="-3"/>
          <w:w w:val="105"/>
        </w:rPr>
        <w:t>profession </w:t>
      </w:r>
      <w:r>
        <w:rPr>
          <w:w w:val="105"/>
        </w:rPr>
        <w:t>and was </w:t>
      </w:r>
      <w:r>
        <w:rPr>
          <w:spacing w:val="-3"/>
          <w:w w:val="105"/>
        </w:rPr>
        <w:t>working well </w:t>
      </w:r>
      <w:r>
        <w:rPr>
          <w:w w:val="105"/>
        </w:rPr>
        <w:t>in practice.</w:t>
      </w:r>
      <w:r>
        <w:rPr>
          <w:w w:val="105"/>
          <w:position w:val="7"/>
          <w:sz w:val="12"/>
        </w:rPr>
        <w:t>240</w:t>
      </w:r>
    </w:p>
    <w:p>
      <w:pPr>
        <w:pStyle w:val="ListParagraph"/>
        <w:numPr>
          <w:ilvl w:val="1"/>
          <w:numId w:val="82"/>
        </w:numPr>
        <w:tabs>
          <w:tab w:pos="2381" w:val="left" w:leader="none"/>
          <w:tab w:pos="2382" w:val="left" w:leader="none"/>
        </w:tabs>
        <w:spacing w:line="242" w:lineRule="auto" w:before="124" w:after="0"/>
        <w:ind w:left="2381" w:right="1689" w:hanging="794"/>
        <w:jc w:val="left"/>
        <w:rPr>
          <w:sz w:val="12"/>
        </w:rPr>
      </w:pPr>
      <w:r>
        <w:rPr>
          <w:w w:val="105"/>
          <w:sz w:val="21"/>
        </w:rPr>
        <w:t>The </w:t>
      </w:r>
      <w:r>
        <w:rPr>
          <w:spacing w:val="-3"/>
          <w:w w:val="105"/>
          <w:sz w:val="21"/>
        </w:rPr>
        <w:t>Commission heard </w:t>
      </w:r>
      <w:r>
        <w:rPr>
          <w:w w:val="105"/>
          <w:sz w:val="21"/>
        </w:rPr>
        <w:t>mixed views about whether introduction of a </w:t>
      </w:r>
      <w:r>
        <w:rPr>
          <w:spacing w:val="-2"/>
          <w:w w:val="105"/>
          <w:sz w:val="21"/>
        </w:rPr>
        <w:t>pro </w:t>
      </w:r>
      <w:r>
        <w:rPr>
          <w:spacing w:val="-3"/>
          <w:w w:val="105"/>
          <w:sz w:val="21"/>
        </w:rPr>
        <w:t>forma </w:t>
      </w:r>
      <w:r>
        <w:rPr>
          <w:w w:val="105"/>
          <w:sz w:val="21"/>
        </w:rPr>
        <w:t>affidavit would be </w:t>
      </w:r>
      <w:r>
        <w:rPr>
          <w:spacing w:val="-3"/>
          <w:w w:val="105"/>
          <w:sz w:val="21"/>
        </w:rPr>
        <w:t>desirable </w:t>
      </w:r>
      <w:r>
        <w:rPr>
          <w:w w:val="105"/>
          <w:sz w:val="21"/>
        </w:rPr>
        <w:t>in </w:t>
      </w:r>
      <w:r>
        <w:rPr>
          <w:spacing w:val="-3"/>
          <w:w w:val="105"/>
          <w:sz w:val="21"/>
        </w:rPr>
        <w:t>family provision proceedings. </w:t>
      </w:r>
      <w:r>
        <w:rPr>
          <w:w w:val="105"/>
          <w:sz w:val="21"/>
        </w:rPr>
        <w:t>A judge of the </w:t>
      </w:r>
      <w:r>
        <w:rPr>
          <w:spacing w:val="-3"/>
          <w:w w:val="105"/>
          <w:sz w:val="21"/>
        </w:rPr>
        <w:t>Supreme Court </w:t>
      </w:r>
      <w:r>
        <w:rPr>
          <w:w w:val="105"/>
          <w:sz w:val="21"/>
        </w:rPr>
        <w:t>of Victoria expressed the view </w:t>
      </w:r>
      <w:r>
        <w:rPr>
          <w:spacing w:val="-3"/>
          <w:w w:val="105"/>
          <w:sz w:val="21"/>
        </w:rPr>
        <w:t>that </w:t>
      </w:r>
      <w:r>
        <w:rPr>
          <w:w w:val="105"/>
          <w:sz w:val="21"/>
        </w:rPr>
        <w:t>the parties in </w:t>
      </w:r>
      <w:r>
        <w:rPr>
          <w:spacing w:val="-3"/>
          <w:w w:val="105"/>
          <w:sz w:val="21"/>
        </w:rPr>
        <w:t>family provision proceedings </w:t>
      </w:r>
      <w:r>
        <w:rPr>
          <w:w w:val="105"/>
          <w:sz w:val="21"/>
        </w:rPr>
        <w:t>should </w:t>
      </w:r>
      <w:r>
        <w:rPr>
          <w:spacing w:val="-2"/>
          <w:w w:val="105"/>
          <w:sz w:val="21"/>
        </w:rPr>
        <w:t>not </w:t>
      </w:r>
      <w:r>
        <w:rPr>
          <w:spacing w:val="-3"/>
          <w:w w:val="105"/>
          <w:sz w:val="21"/>
        </w:rPr>
        <w:t>prepare </w:t>
      </w:r>
      <w:r>
        <w:rPr>
          <w:spacing w:val="-2"/>
          <w:w w:val="105"/>
          <w:sz w:val="21"/>
        </w:rPr>
        <w:t>pro </w:t>
      </w:r>
      <w:r>
        <w:rPr>
          <w:spacing w:val="-3"/>
          <w:w w:val="105"/>
          <w:sz w:val="21"/>
        </w:rPr>
        <w:t>forma </w:t>
      </w:r>
      <w:r>
        <w:rPr>
          <w:w w:val="105"/>
          <w:sz w:val="21"/>
        </w:rPr>
        <w:t>affidavits as a matter of </w:t>
      </w:r>
      <w:r>
        <w:rPr>
          <w:spacing w:val="-3"/>
          <w:w w:val="105"/>
          <w:sz w:val="21"/>
        </w:rPr>
        <w:t>course. </w:t>
      </w:r>
      <w:r>
        <w:rPr>
          <w:w w:val="105"/>
          <w:sz w:val="21"/>
        </w:rPr>
        <w:t>He </w:t>
      </w:r>
      <w:r>
        <w:rPr>
          <w:spacing w:val="-3"/>
          <w:w w:val="105"/>
          <w:sz w:val="21"/>
        </w:rPr>
        <w:t>considered that </w:t>
      </w:r>
      <w:r>
        <w:rPr>
          <w:w w:val="105"/>
          <w:sz w:val="21"/>
        </w:rPr>
        <w:t>large amounts of </w:t>
      </w:r>
      <w:r>
        <w:rPr>
          <w:spacing w:val="-3"/>
          <w:w w:val="105"/>
          <w:sz w:val="21"/>
        </w:rPr>
        <w:t>information could </w:t>
      </w:r>
      <w:r>
        <w:rPr>
          <w:w w:val="105"/>
          <w:sz w:val="21"/>
        </w:rPr>
        <w:t>still be </w:t>
      </w:r>
      <w:r>
        <w:rPr>
          <w:spacing w:val="-3"/>
          <w:w w:val="105"/>
          <w:sz w:val="21"/>
        </w:rPr>
        <w:t>included </w:t>
      </w:r>
      <w:r>
        <w:rPr>
          <w:w w:val="105"/>
          <w:sz w:val="21"/>
        </w:rPr>
        <w:t>under each </w:t>
      </w:r>
      <w:r>
        <w:rPr>
          <w:spacing w:val="-3"/>
          <w:w w:val="105"/>
          <w:sz w:val="21"/>
        </w:rPr>
        <w:t>heading, </w:t>
      </w:r>
      <w:r>
        <w:rPr>
          <w:w w:val="105"/>
          <w:sz w:val="21"/>
        </w:rPr>
        <w:t>and the practice </w:t>
      </w:r>
      <w:r>
        <w:rPr>
          <w:spacing w:val="-3"/>
          <w:w w:val="105"/>
          <w:sz w:val="21"/>
        </w:rPr>
        <w:t>could invite high </w:t>
      </w:r>
      <w:r>
        <w:rPr>
          <w:w w:val="105"/>
          <w:sz w:val="21"/>
        </w:rPr>
        <w:t>legal costs at the outset of the </w:t>
      </w:r>
      <w:r>
        <w:rPr>
          <w:spacing w:val="-3"/>
          <w:w w:val="105"/>
          <w:sz w:val="21"/>
        </w:rPr>
        <w:t>proceeding, </w:t>
      </w:r>
      <w:r>
        <w:rPr>
          <w:w w:val="105"/>
          <w:sz w:val="21"/>
        </w:rPr>
        <w:t>as the other side responds </w:t>
      </w:r>
      <w:r>
        <w:rPr>
          <w:spacing w:val="-3"/>
          <w:w w:val="105"/>
          <w:sz w:val="21"/>
        </w:rPr>
        <w:t>to </w:t>
      </w:r>
      <w:r>
        <w:rPr>
          <w:w w:val="105"/>
          <w:sz w:val="21"/>
        </w:rPr>
        <w:t>the </w:t>
      </w:r>
      <w:r>
        <w:rPr>
          <w:spacing w:val="-3"/>
          <w:w w:val="105"/>
          <w:sz w:val="21"/>
        </w:rPr>
        <w:t>applicant’s </w:t>
      </w:r>
      <w:r>
        <w:rPr>
          <w:w w:val="105"/>
          <w:sz w:val="21"/>
        </w:rPr>
        <w:t>affidavit in </w:t>
      </w:r>
      <w:r>
        <w:rPr>
          <w:spacing w:val="-3"/>
          <w:w w:val="105"/>
          <w:sz w:val="21"/>
        </w:rPr>
        <w:t>kind.</w:t>
      </w:r>
      <w:r>
        <w:rPr>
          <w:spacing w:val="-3"/>
          <w:w w:val="105"/>
          <w:position w:val="7"/>
          <w:sz w:val="12"/>
        </w:rPr>
        <w:t>241 </w:t>
      </w:r>
      <w:r>
        <w:rPr>
          <w:w w:val="105"/>
          <w:sz w:val="21"/>
        </w:rPr>
        <w:t>Associate judges of the </w:t>
      </w:r>
      <w:r>
        <w:rPr>
          <w:spacing w:val="-3"/>
          <w:w w:val="105"/>
          <w:sz w:val="21"/>
        </w:rPr>
        <w:t>Supreme Court </w:t>
      </w:r>
      <w:r>
        <w:rPr>
          <w:w w:val="105"/>
          <w:sz w:val="21"/>
        </w:rPr>
        <w:t>of Victoria </w:t>
      </w:r>
      <w:r>
        <w:rPr>
          <w:spacing w:val="-3"/>
          <w:w w:val="105"/>
          <w:sz w:val="21"/>
        </w:rPr>
        <w:t>noted that </w:t>
      </w:r>
      <w:r>
        <w:rPr>
          <w:w w:val="105"/>
          <w:sz w:val="21"/>
        </w:rPr>
        <w:t>most practitioners </w:t>
      </w:r>
      <w:r>
        <w:rPr>
          <w:spacing w:val="-3"/>
          <w:w w:val="105"/>
          <w:sz w:val="21"/>
        </w:rPr>
        <w:t>follow </w:t>
      </w:r>
      <w:r>
        <w:rPr>
          <w:w w:val="105"/>
          <w:sz w:val="21"/>
        </w:rPr>
        <w:t>a type of </w:t>
      </w:r>
      <w:r>
        <w:rPr>
          <w:spacing w:val="-3"/>
          <w:w w:val="105"/>
          <w:sz w:val="21"/>
        </w:rPr>
        <w:t>template </w:t>
      </w:r>
      <w:r>
        <w:rPr>
          <w:w w:val="105"/>
          <w:sz w:val="21"/>
        </w:rPr>
        <w:t>affidavit</w:t>
      </w:r>
      <w:r>
        <w:rPr>
          <w:spacing w:val="31"/>
          <w:w w:val="105"/>
          <w:sz w:val="21"/>
        </w:rPr>
        <w:t> </w:t>
      </w:r>
      <w:r>
        <w:rPr>
          <w:spacing w:val="-3"/>
          <w:w w:val="105"/>
          <w:sz w:val="21"/>
        </w:rPr>
        <w:t>already.</w:t>
      </w:r>
      <w:r>
        <w:rPr>
          <w:spacing w:val="-3"/>
          <w:w w:val="105"/>
          <w:position w:val="7"/>
          <w:sz w:val="12"/>
        </w:rPr>
        <w:t>242</w:t>
      </w:r>
    </w:p>
    <w:p>
      <w:pPr>
        <w:pStyle w:val="ListParagraph"/>
        <w:numPr>
          <w:ilvl w:val="1"/>
          <w:numId w:val="82"/>
        </w:numPr>
        <w:tabs>
          <w:tab w:pos="2380" w:val="left" w:leader="none"/>
          <w:tab w:pos="2381" w:val="left" w:leader="none"/>
        </w:tabs>
        <w:spacing w:line="242" w:lineRule="auto" w:before="129" w:after="0"/>
        <w:ind w:left="2381" w:right="1765" w:hanging="794"/>
        <w:jc w:val="left"/>
        <w:rPr>
          <w:sz w:val="12"/>
        </w:rPr>
      </w:pPr>
      <w:r>
        <w:rPr>
          <w:spacing w:val="-3"/>
          <w:w w:val="105"/>
          <w:sz w:val="21"/>
        </w:rPr>
        <w:t>Carolyn</w:t>
      </w:r>
      <w:r>
        <w:rPr>
          <w:spacing w:val="-4"/>
          <w:w w:val="105"/>
          <w:sz w:val="21"/>
        </w:rPr>
        <w:t> </w:t>
      </w:r>
      <w:r>
        <w:rPr>
          <w:spacing w:val="-3"/>
          <w:w w:val="105"/>
          <w:sz w:val="21"/>
        </w:rPr>
        <w:t>Sparke</w:t>
      </w:r>
      <w:r>
        <w:rPr>
          <w:spacing w:val="-4"/>
          <w:w w:val="105"/>
          <w:sz w:val="21"/>
        </w:rPr>
        <w:t> </w:t>
      </w:r>
      <w:r>
        <w:rPr>
          <w:w w:val="105"/>
          <w:sz w:val="21"/>
        </w:rPr>
        <w:t>SC</w:t>
      </w:r>
      <w:r>
        <w:rPr>
          <w:spacing w:val="-4"/>
          <w:w w:val="105"/>
          <w:sz w:val="21"/>
        </w:rPr>
        <w:t> </w:t>
      </w:r>
      <w:r>
        <w:rPr>
          <w:w w:val="105"/>
          <w:sz w:val="21"/>
        </w:rPr>
        <w:t>expressed</w:t>
      </w:r>
      <w:r>
        <w:rPr>
          <w:spacing w:val="-4"/>
          <w:w w:val="105"/>
          <w:sz w:val="21"/>
        </w:rPr>
        <w:t> </w:t>
      </w:r>
      <w:r>
        <w:rPr>
          <w:w w:val="105"/>
          <w:sz w:val="21"/>
        </w:rPr>
        <w:t>the</w:t>
      </w:r>
      <w:r>
        <w:rPr>
          <w:spacing w:val="-4"/>
          <w:w w:val="105"/>
          <w:sz w:val="21"/>
        </w:rPr>
        <w:t> </w:t>
      </w:r>
      <w:r>
        <w:rPr>
          <w:w w:val="105"/>
          <w:sz w:val="21"/>
        </w:rPr>
        <w:t>view</w:t>
      </w:r>
      <w:r>
        <w:rPr>
          <w:spacing w:val="-3"/>
          <w:w w:val="105"/>
          <w:sz w:val="21"/>
        </w:rPr>
        <w:t> that,</w:t>
      </w:r>
      <w:r>
        <w:rPr>
          <w:spacing w:val="-4"/>
          <w:w w:val="105"/>
          <w:sz w:val="21"/>
        </w:rPr>
        <w:t> </w:t>
      </w:r>
      <w:r>
        <w:rPr>
          <w:w w:val="105"/>
          <w:sz w:val="21"/>
        </w:rPr>
        <w:t>while</w:t>
      </w:r>
      <w:r>
        <w:rPr>
          <w:spacing w:val="-4"/>
          <w:w w:val="105"/>
          <w:sz w:val="21"/>
        </w:rPr>
        <w:t> </w:t>
      </w:r>
      <w:r>
        <w:rPr>
          <w:w w:val="105"/>
          <w:sz w:val="21"/>
        </w:rPr>
        <w:t>there</w:t>
      </w:r>
      <w:r>
        <w:rPr>
          <w:spacing w:val="-4"/>
          <w:w w:val="105"/>
          <w:sz w:val="21"/>
        </w:rPr>
        <w:t> </w:t>
      </w:r>
      <w:r>
        <w:rPr>
          <w:spacing w:val="-3"/>
          <w:w w:val="105"/>
          <w:sz w:val="21"/>
        </w:rPr>
        <w:t>may</w:t>
      </w:r>
      <w:r>
        <w:rPr>
          <w:spacing w:val="-4"/>
          <w:w w:val="105"/>
          <w:sz w:val="21"/>
        </w:rPr>
        <w:t> </w:t>
      </w:r>
      <w:r>
        <w:rPr>
          <w:w w:val="105"/>
          <w:sz w:val="21"/>
        </w:rPr>
        <w:t>be</w:t>
      </w:r>
      <w:r>
        <w:rPr>
          <w:spacing w:val="-4"/>
          <w:w w:val="105"/>
          <w:sz w:val="21"/>
        </w:rPr>
        <w:t> </w:t>
      </w:r>
      <w:r>
        <w:rPr>
          <w:w w:val="105"/>
          <w:sz w:val="21"/>
        </w:rPr>
        <w:t>some</w:t>
      </w:r>
      <w:r>
        <w:rPr>
          <w:spacing w:val="-4"/>
          <w:w w:val="105"/>
          <w:sz w:val="21"/>
        </w:rPr>
        <w:t> </w:t>
      </w:r>
      <w:r>
        <w:rPr>
          <w:w w:val="105"/>
          <w:sz w:val="21"/>
        </w:rPr>
        <w:t>role</w:t>
      </w:r>
      <w:r>
        <w:rPr>
          <w:spacing w:val="-3"/>
          <w:w w:val="105"/>
          <w:sz w:val="21"/>
        </w:rPr>
        <w:t> for</w:t>
      </w:r>
      <w:r>
        <w:rPr>
          <w:spacing w:val="-4"/>
          <w:w w:val="105"/>
          <w:sz w:val="21"/>
        </w:rPr>
        <w:t> </w:t>
      </w:r>
      <w:r>
        <w:rPr>
          <w:w w:val="105"/>
          <w:sz w:val="21"/>
        </w:rPr>
        <w:t>the</w:t>
      </w:r>
      <w:r>
        <w:rPr>
          <w:spacing w:val="-4"/>
          <w:w w:val="105"/>
          <w:sz w:val="21"/>
        </w:rPr>
        <w:t> </w:t>
      </w:r>
      <w:r>
        <w:rPr>
          <w:w w:val="105"/>
          <w:sz w:val="21"/>
        </w:rPr>
        <w:t>length of affidavits </w:t>
      </w:r>
      <w:r>
        <w:rPr>
          <w:spacing w:val="-3"/>
          <w:w w:val="105"/>
          <w:sz w:val="21"/>
        </w:rPr>
        <w:t>to </w:t>
      </w:r>
      <w:r>
        <w:rPr>
          <w:w w:val="105"/>
          <w:sz w:val="21"/>
        </w:rPr>
        <w:t>be </w:t>
      </w:r>
      <w:r>
        <w:rPr>
          <w:spacing w:val="-3"/>
          <w:w w:val="105"/>
          <w:sz w:val="21"/>
        </w:rPr>
        <w:t>limited to </w:t>
      </w:r>
      <w:r>
        <w:rPr>
          <w:w w:val="105"/>
          <w:sz w:val="21"/>
        </w:rPr>
        <w:t>a certain number of pages, with costs </w:t>
      </w:r>
      <w:r>
        <w:rPr>
          <w:spacing w:val="-3"/>
          <w:w w:val="105"/>
          <w:sz w:val="21"/>
        </w:rPr>
        <w:t>consequences for exceeding that length, </w:t>
      </w:r>
      <w:r>
        <w:rPr>
          <w:w w:val="105"/>
          <w:sz w:val="21"/>
        </w:rPr>
        <w:t>it </w:t>
      </w:r>
      <w:r>
        <w:rPr>
          <w:spacing w:val="-3"/>
          <w:w w:val="105"/>
          <w:sz w:val="21"/>
        </w:rPr>
        <w:t>may </w:t>
      </w:r>
      <w:r>
        <w:rPr>
          <w:w w:val="105"/>
          <w:sz w:val="21"/>
        </w:rPr>
        <w:t>be better </w:t>
      </w:r>
      <w:r>
        <w:rPr>
          <w:spacing w:val="-3"/>
          <w:w w:val="105"/>
          <w:sz w:val="21"/>
        </w:rPr>
        <w:t>to </w:t>
      </w:r>
      <w:r>
        <w:rPr>
          <w:w w:val="105"/>
          <w:sz w:val="21"/>
        </w:rPr>
        <w:t>educate practitioners, because </w:t>
      </w:r>
      <w:r>
        <w:rPr>
          <w:spacing w:val="-3"/>
          <w:w w:val="105"/>
          <w:sz w:val="21"/>
        </w:rPr>
        <w:t>‘practitioners </w:t>
      </w:r>
      <w:r>
        <w:rPr>
          <w:w w:val="105"/>
          <w:sz w:val="21"/>
        </w:rPr>
        <w:t>who understand the jurisdiction </w:t>
      </w:r>
      <w:r>
        <w:rPr>
          <w:spacing w:val="-3"/>
          <w:w w:val="105"/>
          <w:sz w:val="21"/>
        </w:rPr>
        <w:t>will </w:t>
      </w:r>
      <w:r>
        <w:rPr>
          <w:w w:val="105"/>
          <w:sz w:val="21"/>
        </w:rPr>
        <w:t>draft proper affidavits and </w:t>
      </w:r>
      <w:r>
        <w:rPr>
          <w:spacing w:val="-3"/>
          <w:w w:val="105"/>
          <w:sz w:val="21"/>
        </w:rPr>
        <w:t>will </w:t>
      </w:r>
      <w:r>
        <w:rPr>
          <w:w w:val="105"/>
          <w:sz w:val="21"/>
        </w:rPr>
        <w:t>do so </w:t>
      </w:r>
      <w:r>
        <w:rPr>
          <w:spacing w:val="-3"/>
          <w:w w:val="105"/>
          <w:sz w:val="21"/>
        </w:rPr>
        <w:t>efficiently’.</w:t>
      </w:r>
      <w:r>
        <w:rPr>
          <w:spacing w:val="-3"/>
          <w:w w:val="105"/>
          <w:position w:val="7"/>
          <w:sz w:val="12"/>
        </w:rPr>
        <w:t>243</w:t>
      </w:r>
      <w:r>
        <w:rPr>
          <w:spacing w:val="-3"/>
          <w:w w:val="105"/>
          <w:sz w:val="12"/>
        </w:rPr>
        <w:t> </w:t>
      </w:r>
      <w:r>
        <w:rPr>
          <w:w w:val="105"/>
          <w:sz w:val="21"/>
        </w:rPr>
        <w:t>A member of the </w:t>
      </w:r>
      <w:r>
        <w:rPr>
          <w:spacing w:val="-4"/>
          <w:w w:val="105"/>
          <w:sz w:val="21"/>
        </w:rPr>
        <w:t>Commission’s </w:t>
      </w:r>
      <w:r>
        <w:rPr>
          <w:spacing w:val="-3"/>
          <w:w w:val="105"/>
          <w:sz w:val="21"/>
        </w:rPr>
        <w:t>succession </w:t>
      </w:r>
      <w:r>
        <w:rPr>
          <w:w w:val="105"/>
          <w:sz w:val="21"/>
        </w:rPr>
        <w:t>laws advisory committee suggested </w:t>
      </w:r>
      <w:r>
        <w:rPr>
          <w:spacing w:val="-3"/>
          <w:w w:val="105"/>
          <w:sz w:val="21"/>
        </w:rPr>
        <w:t>that </w:t>
      </w:r>
      <w:r>
        <w:rPr>
          <w:w w:val="105"/>
          <w:sz w:val="21"/>
        </w:rPr>
        <w:t>the </w:t>
      </w:r>
      <w:r>
        <w:rPr>
          <w:spacing w:val="-3"/>
          <w:w w:val="105"/>
          <w:sz w:val="21"/>
        </w:rPr>
        <w:t>plaintiff’s </w:t>
      </w:r>
      <w:r>
        <w:rPr>
          <w:w w:val="105"/>
          <w:sz w:val="21"/>
        </w:rPr>
        <w:t>affidavit should be no longer </w:t>
      </w:r>
      <w:r>
        <w:rPr>
          <w:spacing w:val="-3"/>
          <w:w w:val="105"/>
          <w:sz w:val="21"/>
        </w:rPr>
        <w:t>than </w:t>
      </w:r>
      <w:r>
        <w:rPr>
          <w:w w:val="105"/>
          <w:sz w:val="21"/>
        </w:rPr>
        <w:t>five</w:t>
      </w:r>
      <w:r>
        <w:rPr>
          <w:spacing w:val="42"/>
          <w:w w:val="105"/>
          <w:sz w:val="21"/>
        </w:rPr>
        <w:t> </w:t>
      </w:r>
      <w:r>
        <w:rPr>
          <w:w w:val="105"/>
          <w:sz w:val="21"/>
        </w:rPr>
        <w:t>pages.</w:t>
      </w:r>
      <w:r>
        <w:rPr>
          <w:w w:val="105"/>
          <w:position w:val="7"/>
          <w:sz w:val="12"/>
        </w:rPr>
        <w:t>244</w:t>
      </w:r>
    </w:p>
    <w:p>
      <w:pPr>
        <w:pStyle w:val="BodyText"/>
        <w:spacing w:before="2"/>
        <w:rPr>
          <w:sz w:val="27"/>
        </w:rPr>
      </w:pPr>
    </w:p>
    <w:p>
      <w:pPr>
        <w:pStyle w:val="Heading6"/>
      </w:pPr>
      <w:r>
        <w:rPr/>
        <w:pict>
          <v:shape style="position:absolute;margin-left:79.3685pt;margin-top:20.742302pt;width:436.55pt;height:275.5pt;mso-position-horizontal-relative:page;mso-position-vertical-relative:paragraph;z-index:9784"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40"/>
                    <w:gridCol w:w="8090"/>
                  </w:tblGrid>
                  <w:tr>
                    <w:trPr>
                      <w:trHeight w:val="251" w:hRule="atLeast"/>
                    </w:trPr>
                    <w:tc>
                      <w:tcPr>
                        <w:tcW w:w="640" w:type="dxa"/>
                      </w:tcPr>
                      <w:p>
                        <w:pPr>
                          <w:pStyle w:val="TableParagraph"/>
                          <w:spacing w:line="232" w:lineRule="exact"/>
                          <w:rPr>
                            <w:sz w:val="21"/>
                          </w:rPr>
                        </w:pPr>
                        <w:r>
                          <w:rPr>
                            <w:w w:val="110"/>
                            <w:sz w:val="21"/>
                          </w:rPr>
                          <w:t>6.138</w:t>
                        </w:r>
                      </w:p>
                    </w:tc>
                    <w:tc>
                      <w:tcPr>
                        <w:tcW w:w="8090" w:type="dxa"/>
                      </w:tcPr>
                      <w:p>
                        <w:pPr>
                          <w:pStyle w:val="TableParagraph"/>
                          <w:spacing w:line="232" w:lineRule="exact"/>
                          <w:ind w:left="153"/>
                          <w:rPr>
                            <w:sz w:val="21"/>
                          </w:rPr>
                        </w:pPr>
                        <w:r>
                          <w:rPr>
                            <w:w w:val="105"/>
                            <w:sz w:val="21"/>
                          </w:rPr>
                          <w:t>The County Court has expressed a preference for conducting shorter hearings in family</w:t>
                        </w:r>
                      </w:p>
                    </w:tc>
                  </w:tr>
                  <w:tr>
                    <w:trPr>
                      <w:trHeight w:val="259" w:hRule="atLeast"/>
                    </w:trPr>
                    <w:tc>
                      <w:tcPr>
                        <w:tcW w:w="640" w:type="dxa"/>
                      </w:tcPr>
                      <w:p>
                        <w:pPr>
                          <w:pStyle w:val="TableParagraph"/>
                          <w:spacing w:line="240" w:lineRule="auto"/>
                          <w:rPr>
                            <w:rFonts w:ascii="Times New Roman"/>
                            <w:sz w:val="18"/>
                          </w:rPr>
                        </w:pPr>
                      </w:p>
                    </w:tc>
                    <w:tc>
                      <w:tcPr>
                        <w:tcW w:w="8090" w:type="dxa"/>
                      </w:tcPr>
                      <w:p>
                        <w:pPr>
                          <w:pStyle w:val="TableParagraph"/>
                          <w:spacing w:line="240" w:lineRule="exact"/>
                          <w:ind w:left="153"/>
                          <w:rPr>
                            <w:sz w:val="21"/>
                          </w:rPr>
                        </w:pPr>
                        <w:r>
                          <w:rPr>
                            <w:sz w:val="21"/>
                          </w:rPr>
                          <w:t>provision proceedings where an estate is small, giving parties a short time to put</w:t>
                        </w:r>
                      </w:p>
                    </w:tc>
                  </w:tr>
                  <w:tr>
                    <w:trPr>
                      <w:trHeight w:val="259" w:hRule="atLeast"/>
                    </w:trPr>
                    <w:tc>
                      <w:tcPr>
                        <w:tcW w:w="640" w:type="dxa"/>
                      </w:tcPr>
                      <w:p>
                        <w:pPr>
                          <w:pStyle w:val="TableParagraph"/>
                          <w:spacing w:line="240" w:lineRule="auto"/>
                          <w:rPr>
                            <w:rFonts w:ascii="Times New Roman"/>
                            <w:sz w:val="18"/>
                          </w:rPr>
                        </w:pPr>
                      </w:p>
                    </w:tc>
                    <w:tc>
                      <w:tcPr>
                        <w:tcW w:w="8090" w:type="dxa"/>
                      </w:tcPr>
                      <w:p>
                        <w:pPr>
                          <w:pStyle w:val="TableParagraph"/>
                          <w:spacing w:line="240" w:lineRule="exact"/>
                          <w:ind w:left="153"/>
                          <w:rPr>
                            <w:sz w:val="21"/>
                          </w:rPr>
                        </w:pPr>
                        <w:r>
                          <w:rPr>
                            <w:w w:val="105"/>
                            <w:sz w:val="21"/>
                          </w:rPr>
                          <w:t>their case and asking direct questions that elicit much more useful information than</w:t>
                        </w:r>
                      </w:p>
                    </w:tc>
                  </w:tr>
                  <w:tr>
                    <w:trPr>
                      <w:trHeight w:val="520" w:hRule="atLeast"/>
                    </w:trPr>
                    <w:tc>
                      <w:tcPr>
                        <w:tcW w:w="640" w:type="dxa"/>
                      </w:tcPr>
                      <w:p>
                        <w:pPr>
                          <w:pStyle w:val="TableParagraph"/>
                          <w:spacing w:line="240" w:lineRule="auto"/>
                          <w:rPr>
                            <w:rFonts w:ascii="Times New Roman"/>
                            <w:sz w:val="18"/>
                          </w:rPr>
                        </w:pPr>
                      </w:p>
                    </w:tc>
                    <w:tc>
                      <w:tcPr>
                        <w:tcW w:w="8090" w:type="dxa"/>
                      </w:tcPr>
                      <w:p>
                        <w:pPr>
                          <w:pStyle w:val="TableParagraph"/>
                          <w:spacing w:line="251" w:lineRule="exact"/>
                          <w:ind w:left="153"/>
                          <w:rPr>
                            <w:sz w:val="21"/>
                          </w:rPr>
                        </w:pPr>
                        <w:r>
                          <w:rPr>
                            <w:w w:val="105"/>
                            <w:sz w:val="21"/>
                          </w:rPr>
                          <w:t>affidavits.</w:t>
                        </w:r>
                        <w:r>
                          <w:rPr>
                            <w:w w:val="105"/>
                            <w:position w:val="7"/>
                            <w:sz w:val="12"/>
                          </w:rPr>
                          <w:t>245 </w:t>
                        </w:r>
                        <w:r>
                          <w:rPr>
                            <w:w w:val="105"/>
                            <w:sz w:val="21"/>
                          </w:rPr>
                          <w:t>Similarly, the Supreme Court has expressed its willingness to order an</w:t>
                        </w:r>
                      </w:p>
                      <w:p>
                        <w:pPr>
                          <w:pStyle w:val="TableParagraph"/>
                          <w:spacing w:line="249" w:lineRule="exact"/>
                          <w:ind w:left="153"/>
                          <w:rPr>
                            <w:sz w:val="21"/>
                          </w:rPr>
                        </w:pPr>
                        <w:r>
                          <w:rPr>
                            <w:w w:val="105"/>
                            <w:sz w:val="21"/>
                          </w:rPr>
                          <w:t>early trial that is to proceed by way of </w:t>
                        </w:r>
                        <w:r>
                          <w:rPr>
                            <w:i/>
                            <w:w w:val="105"/>
                            <w:sz w:val="21"/>
                          </w:rPr>
                          <w:t>viva voce </w:t>
                        </w:r>
                        <w:r>
                          <w:rPr>
                            <w:w w:val="105"/>
                            <w:sz w:val="21"/>
                          </w:rPr>
                          <w:t>evidence. </w:t>
                        </w:r>
                        <w:r>
                          <w:rPr>
                            <w:w w:val="105"/>
                            <w:position w:val="8"/>
                            <w:sz w:val="14"/>
                          </w:rPr>
                          <w:t>246 </w:t>
                        </w:r>
                        <w:r>
                          <w:rPr>
                            <w:i/>
                            <w:w w:val="105"/>
                            <w:sz w:val="21"/>
                          </w:rPr>
                          <w:t>Viva voce </w:t>
                        </w:r>
                        <w:r>
                          <w:rPr>
                            <w:w w:val="105"/>
                            <w:sz w:val="21"/>
                          </w:rPr>
                          <w:t>evidence is oral</w:t>
                        </w:r>
                      </w:p>
                    </w:tc>
                  </w:tr>
                  <w:tr>
                    <w:trPr>
                      <w:trHeight w:val="320" w:hRule="atLeast"/>
                    </w:trPr>
                    <w:tc>
                      <w:tcPr>
                        <w:tcW w:w="640" w:type="dxa"/>
                      </w:tcPr>
                      <w:p>
                        <w:pPr>
                          <w:pStyle w:val="TableParagraph"/>
                          <w:spacing w:line="240" w:lineRule="auto"/>
                          <w:rPr>
                            <w:rFonts w:ascii="Times New Roman"/>
                            <w:sz w:val="18"/>
                          </w:rPr>
                        </w:pPr>
                      </w:p>
                    </w:tc>
                    <w:tc>
                      <w:tcPr>
                        <w:tcW w:w="8090" w:type="dxa"/>
                      </w:tcPr>
                      <w:p>
                        <w:pPr>
                          <w:pStyle w:val="TableParagraph"/>
                          <w:spacing w:line="256" w:lineRule="exact"/>
                          <w:ind w:left="153"/>
                          <w:rPr>
                            <w:sz w:val="21"/>
                          </w:rPr>
                        </w:pPr>
                        <w:r>
                          <w:rPr>
                            <w:w w:val="105"/>
                            <w:sz w:val="21"/>
                          </w:rPr>
                          <w:t>evidence, rather than evidence by affidavit.</w:t>
                        </w:r>
                      </w:p>
                    </w:tc>
                  </w:tr>
                  <w:tr>
                    <w:trPr>
                      <w:trHeight w:val="319" w:hRule="atLeast"/>
                    </w:trPr>
                    <w:tc>
                      <w:tcPr>
                        <w:tcW w:w="640" w:type="dxa"/>
                      </w:tcPr>
                      <w:p>
                        <w:pPr>
                          <w:pStyle w:val="TableParagraph"/>
                          <w:spacing w:line="240" w:lineRule="exact" w:before="59"/>
                          <w:rPr>
                            <w:sz w:val="21"/>
                          </w:rPr>
                        </w:pPr>
                        <w:r>
                          <w:rPr>
                            <w:w w:val="110"/>
                            <w:sz w:val="21"/>
                          </w:rPr>
                          <w:t>6.139</w:t>
                        </w:r>
                      </w:p>
                    </w:tc>
                    <w:tc>
                      <w:tcPr>
                        <w:tcW w:w="8090" w:type="dxa"/>
                      </w:tcPr>
                      <w:p>
                        <w:pPr>
                          <w:pStyle w:val="TableParagraph"/>
                          <w:spacing w:line="240" w:lineRule="exact" w:before="59"/>
                          <w:ind w:left="153"/>
                          <w:rPr>
                            <w:sz w:val="21"/>
                          </w:rPr>
                        </w:pPr>
                        <w:r>
                          <w:rPr>
                            <w:w w:val="105"/>
                            <w:sz w:val="21"/>
                          </w:rPr>
                          <w:t>Although some costs are involved in producing a proof of evidence for the trial to</w:t>
                        </w:r>
                      </w:p>
                    </w:tc>
                  </w:tr>
                  <w:tr>
                    <w:trPr>
                      <w:trHeight w:val="260" w:hRule="atLeast"/>
                    </w:trPr>
                    <w:tc>
                      <w:tcPr>
                        <w:tcW w:w="640" w:type="dxa"/>
                      </w:tcPr>
                      <w:p>
                        <w:pPr>
                          <w:pStyle w:val="TableParagraph"/>
                          <w:spacing w:line="240" w:lineRule="auto"/>
                          <w:rPr>
                            <w:rFonts w:ascii="Times New Roman"/>
                            <w:sz w:val="18"/>
                          </w:rPr>
                        </w:pPr>
                      </w:p>
                    </w:tc>
                    <w:tc>
                      <w:tcPr>
                        <w:tcW w:w="8090" w:type="dxa"/>
                      </w:tcPr>
                      <w:p>
                        <w:pPr>
                          <w:pStyle w:val="TableParagraph"/>
                          <w:spacing w:line="241" w:lineRule="exact"/>
                          <w:ind w:left="153"/>
                          <w:rPr>
                            <w:sz w:val="21"/>
                          </w:rPr>
                        </w:pPr>
                        <w:r>
                          <w:rPr>
                            <w:w w:val="105"/>
                            <w:sz w:val="21"/>
                          </w:rPr>
                          <w:t>proceed in this</w:t>
                        </w:r>
                        <w:r>
                          <w:rPr>
                            <w:spacing w:val="-5"/>
                            <w:w w:val="105"/>
                            <w:sz w:val="21"/>
                          </w:rPr>
                          <w:t> way, </w:t>
                        </w:r>
                        <w:r>
                          <w:rPr>
                            <w:w w:val="105"/>
                            <w:sz w:val="21"/>
                          </w:rPr>
                          <w:t>the </w:t>
                        </w:r>
                        <w:r>
                          <w:rPr>
                            <w:spacing w:val="-3"/>
                            <w:w w:val="105"/>
                            <w:sz w:val="21"/>
                          </w:rPr>
                          <w:t>Supreme Court considered that </w:t>
                        </w:r>
                        <w:r>
                          <w:rPr>
                            <w:i/>
                            <w:w w:val="105"/>
                            <w:sz w:val="21"/>
                          </w:rPr>
                          <w:t>viva voce </w:t>
                        </w:r>
                        <w:r>
                          <w:rPr>
                            <w:w w:val="105"/>
                            <w:sz w:val="21"/>
                          </w:rPr>
                          <w:t>evidence </w:t>
                        </w:r>
                        <w:r>
                          <w:rPr>
                            <w:spacing w:val="-3"/>
                            <w:w w:val="105"/>
                            <w:sz w:val="21"/>
                          </w:rPr>
                          <w:t>reduces </w:t>
                        </w:r>
                        <w:r>
                          <w:rPr>
                            <w:w w:val="105"/>
                            <w:sz w:val="21"/>
                          </w:rPr>
                          <w:t>costs</w:t>
                        </w:r>
                      </w:p>
                    </w:tc>
                  </w:tr>
                  <w:tr>
                    <w:trPr>
                      <w:trHeight w:val="259" w:hRule="atLeast"/>
                    </w:trPr>
                    <w:tc>
                      <w:tcPr>
                        <w:tcW w:w="640" w:type="dxa"/>
                      </w:tcPr>
                      <w:p>
                        <w:pPr>
                          <w:pStyle w:val="TableParagraph"/>
                          <w:spacing w:line="240" w:lineRule="auto"/>
                          <w:rPr>
                            <w:rFonts w:ascii="Times New Roman"/>
                            <w:sz w:val="18"/>
                          </w:rPr>
                        </w:pPr>
                      </w:p>
                    </w:tc>
                    <w:tc>
                      <w:tcPr>
                        <w:tcW w:w="8090" w:type="dxa"/>
                      </w:tcPr>
                      <w:p>
                        <w:pPr>
                          <w:pStyle w:val="TableParagraph"/>
                          <w:spacing w:line="240" w:lineRule="exact"/>
                          <w:ind w:left="153"/>
                          <w:rPr>
                            <w:sz w:val="21"/>
                          </w:rPr>
                        </w:pPr>
                        <w:r>
                          <w:rPr>
                            <w:w w:val="105"/>
                            <w:sz w:val="21"/>
                          </w:rPr>
                          <w:t>by </w:t>
                        </w:r>
                        <w:r>
                          <w:rPr>
                            <w:spacing w:val="-3"/>
                            <w:w w:val="105"/>
                            <w:sz w:val="21"/>
                          </w:rPr>
                          <w:t>avoiding </w:t>
                        </w:r>
                        <w:r>
                          <w:rPr>
                            <w:w w:val="105"/>
                            <w:sz w:val="21"/>
                          </w:rPr>
                          <w:t>the use of </w:t>
                        </w:r>
                        <w:r>
                          <w:rPr>
                            <w:spacing w:val="-3"/>
                            <w:w w:val="105"/>
                            <w:sz w:val="21"/>
                          </w:rPr>
                          <w:t>lengthy </w:t>
                        </w:r>
                        <w:r>
                          <w:rPr>
                            <w:w w:val="105"/>
                            <w:sz w:val="21"/>
                          </w:rPr>
                          <w:t>affidavits and </w:t>
                        </w:r>
                        <w:r>
                          <w:rPr>
                            <w:spacing w:val="-3"/>
                            <w:w w:val="105"/>
                            <w:sz w:val="21"/>
                          </w:rPr>
                          <w:t>irrelevant material, allowing </w:t>
                        </w:r>
                        <w:r>
                          <w:rPr>
                            <w:w w:val="105"/>
                            <w:sz w:val="21"/>
                          </w:rPr>
                          <w:t>judges </w:t>
                        </w:r>
                        <w:r>
                          <w:rPr>
                            <w:spacing w:val="-3"/>
                            <w:w w:val="105"/>
                            <w:sz w:val="21"/>
                          </w:rPr>
                          <w:t>to </w:t>
                        </w:r>
                        <w:r>
                          <w:rPr>
                            <w:spacing w:val="-4"/>
                            <w:w w:val="105"/>
                            <w:sz w:val="21"/>
                          </w:rPr>
                          <w:t>‘get </w:t>
                        </w:r>
                        <w:r>
                          <w:rPr>
                            <w:spacing w:val="-3"/>
                            <w:w w:val="105"/>
                            <w:sz w:val="21"/>
                          </w:rPr>
                          <w:t>to</w:t>
                        </w:r>
                      </w:p>
                    </w:tc>
                  </w:tr>
                  <w:tr>
                    <w:trPr>
                      <w:trHeight w:val="259" w:hRule="atLeast"/>
                    </w:trPr>
                    <w:tc>
                      <w:tcPr>
                        <w:tcW w:w="640" w:type="dxa"/>
                      </w:tcPr>
                      <w:p>
                        <w:pPr>
                          <w:pStyle w:val="TableParagraph"/>
                          <w:spacing w:line="240" w:lineRule="auto"/>
                          <w:rPr>
                            <w:rFonts w:ascii="Times New Roman"/>
                            <w:sz w:val="18"/>
                          </w:rPr>
                        </w:pPr>
                      </w:p>
                    </w:tc>
                    <w:tc>
                      <w:tcPr>
                        <w:tcW w:w="8090" w:type="dxa"/>
                      </w:tcPr>
                      <w:p>
                        <w:pPr>
                          <w:pStyle w:val="TableParagraph"/>
                          <w:spacing w:line="240" w:lineRule="exact"/>
                          <w:ind w:left="153"/>
                          <w:rPr>
                            <w:sz w:val="21"/>
                          </w:rPr>
                        </w:pPr>
                        <w:r>
                          <w:rPr>
                            <w:w w:val="105"/>
                            <w:sz w:val="21"/>
                          </w:rPr>
                          <w:t>the</w:t>
                        </w:r>
                        <w:r>
                          <w:rPr>
                            <w:spacing w:val="-8"/>
                            <w:w w:val="105"/>
                            <w:sz w:val="21"/>
                          </w:rPr>
                          <w:t> </w:t>
                        </w:r>
                        <w:r>
                          <w:rPr>
                            <w:w w:val="105"/>
                            <w:sz w:val="21"/>
                          </w:rPr>
                          <w:t>heart</w:t>
                        </w:r>
                        <w:r>
                          <w:rPr>
                            <w:spacing w:val="-8"/>
                            <w:w w:val="105"/>
                            <w:sz w:val="21"/>
                          </w:rPr>
                          <w:t> </w:t>
                        </w:r>
                        <w:r>
                          <w:rPr>
                            <w:w w:val="105"/>
                            <w:sz w:val="21"/>
                          </w:rPr>
                          <w:t>of</w:t>
                        </w:r>
                        <w:r>
                          <w:rPr>
                            <w:spacing w:val="-8"/>
                            <w:w w:val="105"/>
                            <w:sz w:val="21"/>
                          </w:rPr>
                          <w:t> </w:t>
                        </w:r>
                        <w:r>
                          <w:rPr>
                            <w:w w:val="105"/>
                            <w:sz w:val="21"/>
                          </w:rPr>
                          <w:t>the</w:t>
                        </w:r>
                        <w:r>
                          <w:rPr>
                            <w:spacing w:val="-7"/>
                            <w:w w:val="105"/>
                            <w:sz w:val="21"/>
                          </w:rPr>
                          <w:t> </w:t>
                        </w:r>
                        <w:r>
                          <w:rPr>
                            <w:spacing w:val="-4"/>
                            <w:w w:val="105"/>
                            <w:sz w:val="21"/>
                          </w:rPr>
                          <w:t>matter’.</w:t>
                        </w:r>
                        <w:r>
                          <w:rPr>
                            <w:spacing w:val="-4"/>
                            <w:w w:val="105"/>
                            <w:position w:val="7"/>
                            <w:sz w:val="12"/>
                          </w:rPr>
                          <w:t>247</w:t>
                        </w:r>
                        <w:r>
                          <w:rPr>
                            <w:spacing w:val="14"/>
                            <w:w w:val="105"/>
                            <w:position w:val="7"/>
                            <w:sz w:val="12"/>
                          </w:rPr>
                          <w:t> </w:t>
                        </w:r>
                        <w:r>
                          <w:rPr>
                            <w:w w:val="105"/>
                            <w:sz w:val="21"/>
                          </w:rPr>
                          <w:t>The</w:t>
                        </w:r>
                        <w:r>
                          <w:rPr>
                            <w:spacing w:val="-8"/>
                            <w:w w:val="105"/>
                            <w:sz w:val="21"/>
                          </w:rPr>
                          <w:t> </w:t>
                        </w:r>
                        <w:r>
                          <w:rPr>
                            <w:w w:val="105"/>
                            <w:sz w:val="21"/>
                          </w:rPr>
                          <w:t>effect</w:t>
                        </w:r>
                        <w:r>
                          <w:rPr>
                            <w:spacing w:val="-7"/>
                            <w:w w:val="105"/>
                            <w:sz w:val="21"/>
                          </w:rPr>
                          <w:t> </w:t>
                        </w:r>
                        <w:r>
                          <w:rPr>
                            <w:w w:val="105"/>
                            <w:sz w:val="21"/>
                          </w:rPr>
                          <w:t>of</w:t>
                        </w:r>
                        <w:r>
                          <w:rPr>
                            <w:spacing w:val="-8"/>
                            <w:w w:val="105"/>
                            <w:sz w:val="21"/>
                          </w:rPr>
                          <w:t> </w:t>
                        </w:r>
                        <w:r>
                          <w:rPr>
                            <w:spacing w:val="-3"/>
                            <w:w w:val="105"/>
                            <w:sz w:val="21"/>
                          </w:rPr>
                          <w:t>reliance</w:t>
                        </w:r>
                        <w:r>
                          <w:rPr>
                            <w:spacing w:val="-8"/>
                            <w:w w:val="105"/>
                            <w:sz w:val="21"/>
                          </w:rPr>
                          <w:t> </w:t>
                        </w:r>
                        <w:r>
                          <w:rPr>
                            <w:w w:val="105"/>
                            <w:sz w:val="21"/>
                          </w:rPr>
                          <w:t>on</w:t>
                        </w:r>
                        <w:r>
                          <w:rPr>
                            <w:spacing w:val="-8"/>
                            <w:w w:val="105"/>
                            <w:sz w:val="21"/>
                          </w:rPr>
                          <w:t> </w:t>
                        </w:r>
                        <w:r>
                          <w:rPr>
                            <w:w w:val="105"/>
                            <w:sz w:val="21"/>
                          </w:rPr>
                          <w:t>position</w:t>
                        </w:r>
                        <w:r>
                          <w:rPr>
                            <w:spacing w:val="-7"/>
                            <w:w w:val="105"/>
                            <w:sz w:val="21"/>
                          </w:rPr>
                          <w:t> </w:t>
                        </w:r>
                        <w:r>
                          <w:rPr>
                            <w:w w:val="105"/>
                            <w:sz w:val="21"/>
                          </w:rPr>
                          <w:t>statements,</w:t>
                        </w:r>
                        <w:r>
                          <w:rPr>
                            <w:spacing w:val="-8"/>
                            <w:w w:val="105"/>
                            <w:sz w:val="21"/>
                          </w:rPr>
                          <w:t> </w:t>
                        </w:r>
                        <w:r>
                          <w:rPr>
                            <w:w w:val="105"/>
                            <w:sz w:val="21"/>
                          </w:rPr>
                          <w:t>discussed</w:t>
                        </w:r>
                        <w:r>
                          <w:rPr>
                            <w:spacing w:val="-8"/>
                            <w:w w:val="105"/>
                            <w:sz w:val="21"/>
                          </w:rPr>
                          <w:t> </w:t>
                        </w:r>
                        <w:r>
                          <w:rPr>
                            <w:spacing w:val="-3"/>
                            <w:w w:val="105"/>
                            <w:sz w:val="21"/>
                          </w:rPr>
                          <w:t>above,</w:t>
                        </w:r>
                      </w:p>
                    </w:tc>
                  </w:tr>
                  <w:tr>
                    <w:trPr>
                      <w:trHeight w:val="714" w:hRule="atLeast"/>
                    </w:trPr>
                    <w:tc>
                      <w:tcPr>
                        <w:tcW w:w="640" w:type="dxa"/>
                        <w:tcBorders>
                          <w:bottom w:val="single" w:sz="8" w:space="0" w:color="F9CECA"/>
                        </w:tcBorders>
                      </w:tcPr>
                      <w:p>
                        <w:pPr>
                          <w:pStyle w:val="TableParagraph"/>
                          <w:spacing w:line="240" w:lineRule="auto"/>
                          <w:rPr>
                            <w:rFonts w:ascii="Times New Roman"/>
                            <w:sz w:val="18"/>
                          </w:rPr>
                        </w:pPr>
                      </w:p>
                    </w:tc>
                    <w:tc>
                      <w:tcPr>
                        <w:tcW w:w="8090" w:type="dxa"/>
                        <w:tcBorders>
                          <w:bottom w:val="single" w:sz="8" w:space="0" w:color="F9CECA"/>
                        </w:tcBorders>
                      </w:tcPr>
                      <w:p>
                        <w:pPr>
                          <w:pStyle w:val="TableParagraph"/>
                          <w:spacing w:line="256" w:lineRule="exact"/>
                          <w:ind w:left="153"/>
                          <w:rPr>
                            <w:sz w:val="12"/>
                          </w:rPr>
                        </w:pPr>
                        <w:r>
                          <w:rPr>
                            <w:sz w:val="21"/>
                          </w:rPr>
                          <w:t>is that at trial evidence would be given orally.</w:t>
                        </w:r>
                        <w:r>
                          <w:rPr>
                            <w:position w:val="7"/>
                            <w:sz w:val="12"/>
                          </w:rPr>
                          <w:t>248</w:t>
                        </w:r>
                      </w:p>
                    </w:tc>
                  </w:tr>
                  <w:tr>
                    <w:trPr>
                      <w:trHeight w:val="307" w:hRule="atLeast"/>
                    </w:trPr>
                    <w:tc>
                      <w:tcPr>
                        <w:tcW w:w="640" w:type="dxa"/>
                        <w:tcBorders>
                          <w:top w:val="single" w:sz="8" w:space="0" w:color="F9CECA"/>
                        </w:tcBorders>
                      </w:tcPr>
                      <w:p>
                        <w:pPr>
                          <w:pStyle w:val="TableParagraph"/>
                          <w:spacing w:line="240" w:lineRule="auto" w:before="11"/>
                          <w:rPr>
                            <w:b/>
                            <w:sz w:val="11"/>
                          </w:rPr>
                        </w:pPr>
                      </w:p>
                      <w:p>
                        <w:pPr>
                          <w:pStyle w:val="TableParagraph"/>
                          <w:spacing w:line="141" w:lineRule="exact" w:before="1"/>
                          <w:rPr>
                            <w:sz w:val="13"/>
                          </w:rPr>
                        </w:pPr>
                        <w:r>
                          <w:rPr>
                            <w:w w:val="110"/>
                            <w:sz w:val="13"/>
                          </w:rPr>
                          <w:t>237</w:t>
                        </w:r>
                      </w:p>
                    </w:tc>
                    <w:tc>
                      <w:tcPr>
                        <w:tcW w:w="8090" w:type="dxa"/>
                        <w:tcBorders>
                          <w:top w:val="single" w:sz="8" w:space="0" w:color="F9CECA"/>
                        </w:tcBorders>
                      </w:tcPr>
                      <w:p>
                        <w:pPr>
                          <w:pStyle w:val="TableParagraph"/>
                          <w:spacing w:line="240" w:lineRule="auto" w:before="11"/>
                          <w:rPr>
                            <w:b/>
                            <w:sz w:val="11"/>
                          </w:rPr>
                        </w:pPr>
                      </w:p>
                      <w:p>
                        <w:pPr>
                          <w:pStyle w:val="TableParagraph"/>
                          <w:spacing w:line="141" w:lineRule="exact" w:before="1"/>
                          <w:ind w:left="153"/>
                          <w:rPr>
                            <w:sz w:val="13"/>
                          </w:rPr>
                        </w:pPr>
                        <w:r>
                          <w:rPr>
                            <w:w w:val="105"/>
                            <w:sz w:val="13"/>
                          </w:rPr>
                          <w:t>Submissions 35 (Andrew Verspaandonk); 39 (Carolyn Sparke SC).</w:t>
                        </w:r>
                      </w:p>
                    </w:tc>
                  </w:tr>
                  <w:tr>
                    <w:trPr>
                      <w:trHeight w:val="159" w:hRule="atLeast"/>
                    </w:trPr>
                    <w:tc>
                      <w:tcPr>
                        <w:tcW w:w="640" w:type="dxa"/>
                      </w:tcPr>
                      <w:p>
                        <w:pPr>
                          <w:pStyle w:val="TableParagraph"/>
                          <w:rPr>
                            <w:sz w:val="13"/>
                          </w:rPr>
                        </w:pPr>
                        <w:r>
                          <w:rPr>
                            <w:w w:val="110"/>
                            <w:sz w:val="13"/>
                          </w:rPr>
                          <w:t>238</w:t>
                        </w:r>
                      </w:p>
                    </w:tc>
                    <w:tc>
                      <w:tcPr>
                        <w:tcW w:w="8090" w:type="dxa"/>
                      </w:tcPr>
                      <w:p>
                        <w:pPr>
                          <w:pStyle w:val="TableParagraph"/>
                          <w:ind w:left="153"/>
                          <w:rPr>
                            <w:sz w:val="13"/>
                          </w:rPr>
                        </w:pPr>
                        <w:r>
                          <w:rPr>
                            <w:w w:val="105"/>
                            <w:sz w:val="13"/>
                          </w:rPr>
                          <w:t>Submission 37 (Supreme Court of Victoria).</w:t>
                        </w:r>
                      </w:p>
                    </w:tc>
                  </w:tr>
                  <w:tr>
                    <w:trPr>
                      <w:trHeight w:val="160" w:hRule="atLeast"/>
                    </w:trPr>
                    <w:tc>
                      <w:tcPr>
                        <w:tcW w:w="640" w:type="dxa"/>
                      </w:tcPr>
                      <w:p>
                        <w:pPr>
                          <w:pStyle w:val="TableParagraph"/>
                          <w:rPr>
                            <w:sz w:val="13"/>
                          </w:rPr>
                        </w:pPr>
                        <w:r>
                          <w:rPr>
                            <w:w w:val="110"/>
                            <w:sz w:val="13"/>
                          </w:rPr>
                          <w:t>239</w:t>
                        </w:r>
                      </w:p>
                    </w:tc>
                    <w:tc>
                      <w:tcPr>
                        <w:tcW w:w="8090" w:type="dxa"/>
                      </w:tcPr>
                      <w:p>
                        <w:pPr>
                          <w:pStyle w:val="TableParagraph"/>
                          <w:ind w:left="154"/>
                          <w:rPr>
                            <w:sz w:val="13"/>
                          </w:rPr>
                        </w:pPr>
                        <w:r>
                          <w:rPr>
                            <w:w w:val="105"/>
                            <w:sz w:val="13"/>
                          </w:rPr>
                          <w:t>Supreme Court of New South Wales, </w:t>
                        </w:r>
                        <w:r>
                          <w:rPr>
                            <w:i/>
                            <w:w w:val="105"/>
                            <w:sz w:val="13"/>
                          </w:rPr>
                          <w:t>Practice Note No SC Eq 7 — Supreme Court Family Provision</w:t>
                        </w:r>
                        <w:r>
                          <w:rPr>
                            <w:w w:val="105"/>
                            <w:sz w:val="13"/>
                          </w:rPr>
                          <w:t>, 12 February 2013, cl 6(a), Annexure 1.</w:t>
                        </w:r>
                      </w:p>
                    </w:tc>
                  </w:tr>
                  <w:tr>
                    <w:trPr>
                      <w:trHeight w:val="160" w:hRule="atLeast"/>
                    </w:trPr>
                    <w:tc>
                      <w:tcPr>
                        <w:tcW w:w="640" w:type="dxa"/>
                      </w:tcPr>
                      <w:p>
                        <w:pPr>
                          <w:pStyle w:val="TableParagraph"/>
                          <w:rPr>
                            <w:sz w:val="13"/>
                          </w:rPr>
                        </w:pPr>
                        <w:r>
                          <w:rPr>
                            <w:w w:val="110"/>
                            <w:sz w:val="13"/>
                          </w:rPr>
                          <w:t>240</w:t>
                        </w:r>
                      </w:p>
                    </w:tc>
                    <w:tc>
                      <w:tcPr>
                        <w:tcW w:w="8090" w:type="dxa"/>
                      </w:tcPr>
                      <w:p>
                        <w:pPr>
                          <w:pStyle w:val="TableParagraph"/>
                          <w:ind w:left="154"/>
                          <w:rPr>
                            <w:sz w:val="13"/>
                          </w:rPr>
                        </w:pPr>
                        <w:r>
                          <w:rPr>
                            <w:w w:val="105"/>
                            <w:sz w:val="13"/>
                          </w:rPr>
                          <w:t>Consultation 11 (Supreme Court of New South Wales).</w:t>
                        </w:r>
                      </w:p>
                    </w:tc>
                  </w:tr>
                  <w:tr>
                    <w:trPr>
                      <w:trHeight w:val="160" w:hRule="atLeast"/>
                    </w:trPr>
                    <w:tc>
                      <w:tcPr>
                        <w:tcW w:w="640" w:type="dxa"/>
                      </w:tcPr>
                      <w:p>
                        <w:pPr>
                          <w:pStyle w:val="TableParagraph"/>
                          <w:rPr>
                            <w:sz w:val="13"/>
                          </w:rPr>
                        </w:pPr>
                        <w:r>
                          <w:rPr>
                            <w:w w:val="110"/>
                            <w:sz w:val="13"/>
                          </w:rPr>
                          <w:t>241</w:t>
                        </w:r>
                      </w:p>
                    </w:tc>
                    <w:tc>
                      <w:tcPr>
                        <w:tcW w:w="8090" w:type="dxa"/>
                      </w:tcPr>
                      <w:p>
                        <w:pPr>
                          <w:pStyle w:val="TableParagraph"/>
                          <w:ind w:left="154"/>
                          <w:rPr>
                            <w:sz w:val="13"/>
                          </w:rPr>
                        </w:pPr>
                        <w:r>
                          <w:rPr>
                            <w:w w:val="105"/>
                            <w:sz w:val="13"/>
                          </w:rPr>
                          <w:t>Consultation 17 (Supreme Court of Victoria—Judges).</w:t>
                        </w:r>
                      </w:p>
                    </w:tc>
                  </w:tr>
                  <w:tr>
                    <w:trPr>
                      <w:trHeight w:val="160" w:hRule="atLeast"/>
                    </w:trPr>
                    <w:tc>
                      <w:tcPr>
                        <w:tcW w:w="640" w:type="dxa"/>
                      </w:tcPr>
                      <w:p>
                        <w:pPr>
                          <w:pStyle w:val="TableParagraph"/>
                          <w:rPr>
                            <w:sz w:val="13"/>
                          </w:rPr>
                        </w:pPr>
                        <w:r>
                          <w:rPr>
                            <w:w w:val="110"/>
                            <w:sz w:val="13"/>
                          </w:rPr>
                          <w:t>242</w:t>
                        </w:r>
                      </w:p>
                    </w:tc>
                    <w:tc>
                      <w:tcPr>
                        <w:tcW w:w="8090" w:type="dxa"/>
                      </w:tcPr>
                      <w:p>
                        <w:pPr>
                          <w:pStyle w:val="TableParagraph"/>
                          <w:ind w:left="154"/>
                          <w:rPr>
                            <w:sz w:val="13"/>
                          </w:rPr>
                        </w:pPr>
                        <w:r>
                          <w:rPr>
                            <w:w w:val="105"/>
                            <w:sz w:val="13"/>
                          </w:rPr>
                          <w:t>Consultation 16 (Supreme Court of Victoria—Associate Judges).</w:t>
                        </w:r>
                      </w:p>
                    </w:tc>
                  </w:tr>
                  <w:tr>
                    <w:trPr>
                      <w:trHeight w:val="160" w:hRule="atLeast"/>
                    </w:trPr>
                    <w:tc>
                      <w:tcPr>
                        <w:tcW w:w="640" w:type="dxa"/>
                      </w:tcPr>
                      <w:p>
                        <w:pPr>
                          <w:pStyle w:val="TableParagraph"/>
                          <w:rPr>
                            <w:sz w:val="13"/>
                          </w:rPr>
                        </w:pPr>
                        <w:r>
                          <w:rPr>
                            <w:w w:val="110"/>
                            <w:sz w:val="13"/>
                          </w:rPr>
                          <w:t>243</w:t>
                        </w:r>
                      </w:p>
                    </w:tc>
                    <w:tc>
                      <w:tcPr>
                        <w:tcW w:w="8090" w:type="dxa"/>
                      </w:tcPr>
                      <w:p>
                        <w:pPr>
                          <w:pStyle w:val="TableParagraph"/>
                          <w:ind w:left="154"/>
                          <w:rPr>
                            <w:sz w:val="13"/>
                          </w:rPr>
                        </w:pPr>
                        <w:r>
                          <w:rPr>
                            <w:w w:val="105"/>
                            <w:sz w:val="13"/>
                          </w:rPr>
                          <w:t>Submission 39 (Carolyn Sparke SC).</w:t>
                        </w:r>
                      </w:p>
                    </w:tc>
                  </w:tr>
                  <w:tr>
                    <w:trPr>
                      <w:trHeight w:val="160" w:hRule="atLeast"/>
                    </w:trPr>
                    <w:tc>
                      <w:tcPr>
                        <w:tcW w:w="640" w:type="dxa"/>
                      </w:tcPr>
                      <w:p>
                        <w:pPr>
                          <w:pStyle w:val="TableParagraph"/>
                          <w:rPr>
                            <w:sz w:val="13"/>
                          </w:rPr>
                        </w:pPr>
                        <w:r>
                          <w:rPr>
                            <w:w w:val="110"/>
                            <w:sz w:val="13"/>
                          </w:rPr>
                          <w:t>244</w:t>
                        </w:r>
                      </w:p>
                    </w:tc>
                    <w:tc>
                      <w:tcPr>
                        <w:tcW w:w="8090" w:type="dxa"/>
                      </w:tcPr>
                      <w:p>
                        <w:pPr>
                          <w:pStyle w:val="TableParagraph"/>
                          <w:ind w:left="154"/>
                          <w:rPr>
                            <w:sz w:val="13"/>
                          </w:rPr>
                        </w:pPr>
                        <w:r>
                          <w:rPr>
                            <w:w w:val="105"/>
                            <w:sz w:val="13"/>
                          </w:rPr>
                          <w:t>Advisory Committee (Meeting 3).</w:t>
                        </w:r>
                      </w:p>
                    </w:tc>
                  </w:tr>
                  <w:tr>
                    <w:trPr>
                      <w:trHeight w:val="160" w:hRule="atLeast"/>
                    </w:trPr>
                    <w:tc>
                      <w:tcPr>
                        <w:tcW w:w="640" w:type="dxa"/>
                      </w:tcPr>
                      <w:p>
                        <w:pPr>
                          <w:pStyle w:val="TableParagraph"/>
                          <w:rPr>
                            <w:sz w:val="13"/>
                          </w:rPr>
                        </w:pPr>
                        <w:r>
                          <w:rPr>
                            <w:w w:val="110"/>
                            <w:sz w:val="13"/>
                          </w:rPr>
                          <w:t>245</w:t>
                        </w:r>
                      </w:p>
                    </w:tc>
                    <w:tc>
                      <w:tcPr>
                        <w:tcW w:w="8090" w:type="dxa"/>
                      </w:tcPr>
                      <w:p>
                        <w:pPr>
                          <w:pStyle w:val="TableParagraph"/>
                          <w:ind w:left="154"/>
                          <w:rPr>
                            <w:sz w:val="13"/>
                          </w:rPr>
                        </w:pPr>
                        <w:r>
                          <w:rPr>
                            <w:w w:val="105"/>
                            <w:sz w:val="13"/>
                          </w:rPr>
                          <w:t>Preliminary meeting with the County Court, 23 October 2012; consultation 15 (County Court of Victoria).</w:t>
                        </w:r>
                      </w:p>
                    </w:tc>
                  </w:tr>
                  <w:tr>
                    <w:trPr>
                      <w:trHeight w:val="160" w:hRule="atLeast"/>
                    </w:trPr>
                    <w:tc>
                      <w:tcPr>
                        <w:tcW w:w="640" w:type="dxa"/>
                      </w:tcPr>
                      <w:p>
                        <w:pPr>
                          <w:pStyle w:val="TableParagraph"/>
                          <w:rPr>
                            <w:sz w:val="13"/>
                          </w:rPr>
                        </w:pPr>
                        <w:r>
                          <w:rPr>
                            <w:w w:val="110"/>
                            <w:sz w:val="13"/>
                          </w:rPr>
                          <w:t>246</w:t>
                        </w:r>
                      </w:p>
                    </w:tc>
                    <w:tc>
                      <w:tcPr>
                        <w:tcW w:w="8090" w:type="dxa"/>
                      </w:tcPr>
                      <w:p>
                        <w:pPr>
                          <w:pStyle w:val="TableParagraph"/>
                          <w:ind w:left="154"/>
                          <w:rPr>
                            <w:sz w:val="13"/>
                          </w:rPr>
                        </w:pPr>
                        <w:r>
                          <w:rPr>
                            <w:w w:val="105"/>
                            <w:sz w:val="13"/>
                          </w:rPr>
                          <w:t>Submission 37 (Supreme Court of Victoria).</w:t>
                        </w:r>
                      </w:p>
                    </w:tc>
                  </w:tr>
                  <w:tr>
                    <w:trPr>
                      <w:trHeight w:val="160" w:hRule="atLeast"/>
                    </w:trPr>
                    <w:tc>
                      <w:tcPr>
                        <w:tcW w:w="640" w:type="dxa"/>
                      </w:tcPr>
                      <w:p>
                        <w:pPr>
                          <w:pStyle w:val="TableParagraph"/>
                          <w:rPr>
                            <w:sz w:val="13"/>
                          </w:rPr>
                        </w:pPr>
                        <w:r>
                          <w:rPr>
                            <w:w w:val="110"/>
                            <w:sz w:val="13"/>
                          </w:rPr>
                          <w:t>247</w:t>
                        </w:r>
                      </w:p>
                    </w:tc>
                    <w:tc>
                      <w:tcPr>
                        <w:tcW w:w="8090" w:type="dxa"/>
                      </w:tcPr>
                      <w:p>
                        <w:pPr>
                          <w:pStyle w:val="TableParagraph"/>
                          <w:ind w:left="154"/>
                          <w:rPr>
                            <w:sz w:val="13"/>
                          </w:rPr>
                        </w:pPr>
                        <w:r>
                          <w:rPr>
                            <w:w w:val="105"/>
                            <w:sz w:val="13"/>
                          </w:rPr>
                          <w:t>Ibid; consultation 17 (Supreme Court of Victoria—Judges).</w:t>
                        </w:r>
                      </w:p>
                    </w:tc>
                  </w:tr>
                  <w:tr>
                    <w:trPr>
                      <w:trHeight w:val="155" w:hRule="atLeast"/>
                    </w:trPr>
                    <w:tc>
                      <w:tcPr>
                        <w:tcW w:w="640" w:type="dxa"/>
                      </w:tcPr>
                      <w:p>
                        <w:pPr>
                          <w:pStyle w:val="TableParagraph"/>
                          <w:spacing w:line="135" w:lineRule="exact"/>
                          <w:rPr>
                            <w:sz w:val="13"/>
                          </w:rPr>
                        </w:pPr>
                        <w:r>
                          <w:rPr>
                            <w:w w:val="110"/>
                            <w:sz w:val="13"/>
                          </w:rPr>
                          <w:t>248</w:t>
                        </w:r>
                      </w:p>
                    </w:tc>
                    <w:tc>
                      <w:tcPr>
                        <w:tcW w:w="8090" w:type="dxa"/>
                      </w:tcPr>
                      <w:p>
                        <w:pPr>
                          <w:pStyle w:val="TableParagraph"/>
                          <w:spacing w:line="135" w:lineRule="exact"/>
                          <w:ind w:left="154"/>
                          <w:rPr>
                            <w:sz w:val="13"/>
                          </w:rPr>
                        </w:pPr>
                        <w:r>
                          <w:rPr>
                            <w:w w:val="105"/>
                            <w:sz w:val="13"/>
                          </w:rPr>
                          <w:t>See [6.129] –[6.133].</w:t>
                        </w:r>
                      </w:p>
                    </w:tc>
                  </w:tr>
                </w:tbl>
                <w:p>
                  <w:pPr>
                    <w:pStyle w:val="BodyText"/>
                  </w:pPr>
                </w:p>
              </w:txbxContent>
            </v:textbox>
            <w10:wrap type="none"/>
          </v:shape>
        </w:pict>
      </w:r>
      <w:r>
        <w:rPr>
          <w:w w:val="115"/>
        </w:rPr>
        <w:t>Oral evidence</w:t>
      </w:r>
    </w:p>
    <w:p>
      <w:pPr>
        <w:pStyle w:val="BodyText"/>
        <w:rPr>
          <w:rFonts w:ascii="Gill Sans MT"/>
          <w:sz w:val="24"/>
        </w:rPr>
      </w:pPr>
    </w:p>
    <w:p>
      <w:pPr>
        <w:pStyle w:val="BodyText"/>
        <w:rPr>
          <w:rFonts w:ascii="Gill Sans MT"/>
          <w:sz w:val="24"/>
        </w:rPr>
      </w:pPr>
    </w:p>
    <w:p>
      <w:pPr>
        <w:pStyle w:val="BodyText"/>
        <w:rPr>
          <w:rFonts w:ascii="Gill Sans MT"/>
          <w:sz w:val="24"/>
        </w:rPr>
      </w:pPr>
    </w:p>
    <w:p>
      <w:pPr>
        <w:pStyle w:val="BodyText"/>
        <w:rPr>
          <w:rFonts w:ascii="Gill Sans MT"/>
          <w:sz w:val="24"/>
        </w:rPr>
      </w:pPr>
    </w:p>
    <w:p>
      <w:pPr>
        <w:pStyle w:val="BodyText"/>
        <w:rPr>
          <w:rFonts w:ascii="Gill Sans MT"/>
          <w:sz w:val="24"/>
        </w:rPr>
      </w:pPr>
    </w:p>
    <w:p>
      <w:pPr>
        <w:pStyle w:val="BodyText"/>
        <w:rPr>
          <w:rFonts w:ascii="Gill Sans MT"/>
          <w:sz w:val="24"/>
        </w:rPr>
      </w:pPr>
    </w:p>
    <w:p>
      <w:pPr>
        <w:pStyle w:val="BodyText"/>
        <w:rPr>
          <w:rFonts w:ascii="Gill Sans MT"/>
          <w:sz w:val="24"/>
        </w:rPr>
      </w:pPr>
    </w:p>
    <w:p>
      <w:pPr>
        <w:pStyle w:val="BodyText"/>
        <w:rPr>
          <w:rFonts w:ascii="Gill Sans MT"/>
          <w:sz w:val="24"/>
        </w:rPr>
      </w:pPr>
    </w:p>
    <w:p>
      <w:pPr>
        <w:pStyle w:val="BodyText"/>
        <w:rPr>
          <w:rFonts w:ascii="Gill Sans MT"/>
          <w:sz w:val="24"/>
        </w:rPr>
      </w:pPr>
    </w:p>
    <w:p>
      <w:pPr>
        <w:pStyle w:val="BodyText"/>
        <w:rPr>
          <w:rFonts w:ascii="Gill Sans MT"/>
          <w:sz w:val="24"/>
        </w:rPr>
      </w:pPr>
    </w:p>
    <w:p>
      <w:pPr>
        <w:pStyle w:val="BodyText"/>
        <w:rPr>
          <w:rFonts w:ascii="Gill Sans MT"/>
          <w:sz w:val="24"/>
        </w:rPr>
      </w:pPr>
    </w:p>
    <w:p>
      <w:pPr>
        <w:pStyle w:val="BodyText"/>
        <w:rPr>
          <w:rFonts w:ascii="Gill Sans MT"/>
          <w:sz w:val="24"/>
        </w:rPr>
      </w:pPr>
    </w:p>
    <w:p>
      <w:pPr>
        <w:pStyle w:val="BodyText"/>
        <w:rPr>
          <w:rFonts w:ascii="Gill Sans MT"/>
          <w:sz w:val="24"/>
        </w:rPr>
      </w:pPr>
    </w:p>
    <w:p>
      <w:pPr>
        <w:pStyle w:val="BodyText"/>
        <w:rPr>
          <w:rFonts w:ascii="Gill Sans MT"/>
          <w:sz w:val="24"/>
        </w:rPr>
      </w:pPr>
    </w:p>
    <w:p>
      <w:pPr>
        <w:pStyle w:val="BodyText"/>
        <w:rPr>
          <w:rFonts w:ascii="Gill Sans MT"/>
          <w:sz w:val="24"/>
        </w:rPr>
      </w:pPr>
    </w:p>
    <w:p>
      <w:pPr>
        <w:pStyle w:val="BodyText"/>
        <w:rPr>
          <w:rFonts w:ascii="Gill Sans MT"/>
          <w:sz w:val="24"/>
        </w:rPr>
      </w:pPr>
    </w:p>
    <w:p>
      <w:pPr>
        <w:pStyle w:val="BodyText"/>
        <w:rPr>
          <w:rFonts w:ascii="Gill Sans MT"/>
          <w:sz w:val="24"/>
        </w:rPr>
      </w:pPr>
    </w:p>
    <w:p>
      <w:pPr>
        <w:pStyle w:val="BodyText"/>
        <w:rPr>
          <w:rFonts w:ascii="Gill Sans MT"/>
          <w:sz w:val="24"/>
        </w:rPr>
      </w:pPr>
    </w:p>
    <w:p>
      <w:pPr>
        <w:pStyle w:val="BodyText"/>
        <w:spacing w:before="7"/>
        <w:rPr>
          <w:rFonts w:ascii="Gill Sans MT"/>
          <w:sz w:val="35"/>
        </w:rPr>
      </w:pPr>
    </w:p>
    <w:p>
      <w:pPr>
        <w:spacing w:before="0"/>
        <w:ind w:left="720" w:right="0" w:firstLine="0"/>
        <w:jc w:val="left"/>
        <w:rPr>
          <w:b/>
          <w:sz w:val="24"/>
        </w:rPr>
      </w:pPr>
      <w:r>
        <w:rPr>
          <w:b/>
          <w:color w:val="EC5A4F"/>
          <w:w w:val="110"/>
          <w:sz w:val="24"/>
        </w:rPr>
        <w:t>124</w:t>
      </w:r>
    </w:p>
    <w:p>
      <w:pPr>
        <w:spacing w:after="0"/>
        <w:jc w:val="left"/>
        <w:rPr>
          <w:sz w:val="24"/>
        </w:rPr>
        <w:sectPr>
          <w:pgSz w:w="11910" w:h="16840"/>
          <w:pgMar w:header="550" w:footer="0" w:top="1560" w:bottom="280" w:left="0" w:right="0"/>
        </w:sectPr>
      </w:pPr>
    </w:p>
    <w:p>
      <w:pPr>
        <w:pStyle w:val="BodyText"/>
        <w:rPr>
          <w:b/>
          <w:sz w:val="20"/>
        </w:rPr>
      </w:pPr>
    </w:p>
    <w:p>
      <w:pPr>
        <w:pStyle w:val="BodyText"/>
        <w:spacing w:before="12"/>
        <w:rPr>
          <w:b/>
          <w:sz w:val="18"/>
        </w:rPr>
      </w:pPr>
    </w:p>
    <w:p>
      <w:pPr>
        <w:spacing w:before="100"/>
        <w:ind w:left="1587" w:right="0" w:firstLine="0"/>
        <w:jc w:val="left"/>
        <w:rPr>
          <w:rFonts w:ascii="Gill Sans MT"/>
          <w:sz w:val="22"/>
        </w:rPr>
      </w:pPr>
      <w:r>
        <w:rPr>
          <w:rFonts w:ascii="Gill Sans MT"/>
          <w:w w:val="120"/>
          <w:sz w:val="22"/>
        </w:rPr>
        <w:t>Private mediation and judicial</w:t>
      </w:r>
      <w:r>
        <w:rPr>
          <w:rFonts w:ascii="Gill Sans MT"/>
          <w:spacing w:val="-52"/>
          <w:w w:val="120"/>
          <w:sz w:val="22"/>
        </w:rPr>
        <w:t> </w:t>
      </w:r>
      <w:r>
        <w:rPr>
          <w:rFonts w:ascii="Gill Sans MT"/>
          <w:w w:val="120"/>
          <w:sz w:val="22"/>
        </w:rPr>
        <w:t>mediation</w:t>
      </w:r>
    </w:p>
    <w:p>
      <w:pPr>
        <w:pStyle w:val="ListParagraph"/>
        <w:numPr>
          <w:ilvl w:val="0"/>
          <w:numId w:val="97"/>
        </w:numPr>
        <w:tabs>
          <w:tab w:pos="2380" w:val="left" w:leader="none"/>
          <w:tab w:pos="2381" w:val="left" w:leader="none"/>
        </w:tabs>
        <w:spacing w:line="240" w:lineRule="auto" w:before="151" w:after="0"/>
        <w:ind w:left="2381" w:right="0" w:hanging="794"/>
        <w:jc w:val="left"/>
        <w:rPr>
          <w:sz w:val="21"/>
        </w:rPr>
      </w:pPr>
      <w:r>
        <w:rPr>
          <w:w w:val="105"/>
          <w:sz w:val="21"/>
        </w:rPr>
        <w:t>The </w:t>
      </w:r>
      <w:r>
        <w:rPr>
          <w:spacing w:val="-3"/>
          <w:w w:val="105"/>
          <w:sz w:val="21"/>
        </w:rPr>
        <w:t>Supreme Court’s </w:t>
      </w:r>
      <w:r>
        <w:rPr>
          <w:spacing w:val="-11"/>
          <w:w w:val="105"/>
          <w:sz w:val="21"/>
        </w:rPr>
        <w:t>2011–12 </w:t>
      </w:r>
      <w:r>
        <w:rPr>
          <w:spacing w:val="-3"/>
          <w:w w:val="105"/>
          <w:sz w:val="21"/>
        </w:rPr>
        <w:t>annual </w:t>
      </w:r>
      <w:r>
        <w:rPr>
          <w:w w:val="105"/>
          <w:sz w:val="21"/>
        </w:rPr>
        <w:t>report</w:t>
      </w:r>
      <w:r>
        <w:rPr>
          <w:spacing w:val="13"/>
          <w:w w:val="105"/>
          <w:sz w:val="21"/>
        </w:rPr>
        <w:t> </w:t>
      </w:r>
      <w:r>
        <w:rPr>
          <w:w w:val="105"/>
          <w:sz w:val="21"/>
        </w:rPr>
        <w:t>states:</w:t>
      </w:r>
    </w:p>
    <w:p>
      <w:pPr>
        <w:spacing w:line="254" w:lineRule="auto" w:before="133"/>
        <w:ind w:left="2721" w:right="2010" w:firstLine="0"/>
        <w:jc w:val="left"/>
        <w:rPr>
          <w:sz w:val="11"/>
        </w:rPr>
      </w:pPr>
      <w:r>
        <w:rPr>
          <w:sz w:val="20"/>
        </w:rPr>
        <w:t>Where estates are </w:t>
      </w:r>
      <w:r>
        <w:rPr>
          <w:spacing w:val="-3"/>
          <w:sz w:val="20"/>
        </w:rPr>
        <w:t>small, </w:t>
      </w:r>
      <w:r>
        <w:rPr>
          <w:sz w:val="20"/>
        </w:rPr>
        <w:t>the applications are </w:t>
      </w:r>
      <w:r>
        <w:rPr>
          <w:spacing w:val="-2"/>
          <w:sz w:val="20"/>
        </w:rPr>
        <w:t>referred </w:t>
      </w:r>
      <w:r>
        <w:rPr>
          <w:sz w:val="20"/>
        </w:rPr>
        <w:t>to mediation before an associate judge. Those mediations are identified at an early stage and the parties are directed to file a position statement rather than affidavit </w:t>
      </w:r>
      <w:r>
        <w:rPr>
          <w:spacing w:val="-3"/>
          <w:sz w:val="20"/>
        </w:rPr>
        <w:t>material.  </w:t>
      </w:r>
      <w:r>
        <w:rPr>
          <w:sz w:val="20"/>
        </w:rPr>
        <w:t>The aim is to minimise cost to  the</w:t>
      </w:r>
      <w:r>
        <w:rPr>
          <w:spacing w:val="8"/>
          <w:sz w:val="20"/>
        </w:rPr>
        <w:t> </w:t>
      </w:r>
      <w:r>
        <w:rPr>
          <w:sz w:val="20"/>
        </w:rPr>
        <w:t>parties.</w:t>
      </w:r>
      <w:r>
        <w:rPr>
          <w:position w:val="7"/>
          <w:sz w:val="11"/>
        </w:rPr>
        <w:t>249</w:t>
      </w:r>
    </w:p>
    <w:p>
      <w:pPr>
        <w:pStyle w:val="ListParagraph"/>
        <w:numPr>
          <w:ilvl w:val="0"/>
          <w:numId w:val="97"/>
        </w:numPr>
        <w:tabs>
          <w:tab w:pos="2381" w:val="left" w:leader="none"/>
          <w:tab w:pos="2382" w:val="left" w:leader="none"/>
        </w:tabs>
        <w:spacing w:line="242" w:lineRule="auto" w:before="115" w:after="0"/>
        <w:ind w:left="2381" w:right="2398" w:hanging="794"/>
        <w:jc w:val="left"/>
        <w:rPr>
          <w:sz w:val="21"/>
        </w:rPr>
      </w:pPr>
      <w:r>
        <w:rPr>
          <w:w w:val="105"/>
          <w:sz w:val="21"/>
        </w:rPr>
        <w:t>The </w:t>
      </w:r>
      <w:r>
        <w:rPr>
          <w:spacing w:val="-3"/>
          <w:w w:val="105"/>
          <w:sz w:val="21"/>
        </w:rPr>
        <w:t>Supreme Court annual </w:t>
      </w:r>
      <w:r>
        <w:rPr>
          <w:w w:val="105"/>
          <w:sz w:val="21"/>
        </w:rPr>
        <w:t>report specifies </w:t>
      </w:r>
      <w:r>
        <w:rPr>
          <w:spacing w:val="-3"/>
          <w:w w:val="105"/>
          <w:sz w:val="21"/>
        </w:rPr>
        <w:t>that, </w:t>
      </w:r>
      <w:r>
        <w:rPr>
          <w:w w:val="105"/>
          <w:sz w:val="21"/>
        </w:rPr>
        <w:t>of </w:t>
      </w:r>
      <w:r>
        <w:rPr>
          <w:spacing w:val="-3"/>
          <w:w w:val="105"/>
          <w:sz w:val="21"/>
        </w:rPr>
        <w:t>65 mediations </w:t>
      </w:r>
      <w:r>
        <w:rPr>
          <w:w w:val="105"/>
          <w:sz w:val="21"/>
        </w:rPr>
        <w:t>held </w:t>
      </w:r>
      <w:r>
        <w:rPr>
          <w:spacing w:val="-3"/>
          <w:w w:val="105"/>
          <w:sz w:val="21"/>
        </w:rPr>
        <w:t>before </w:t>
      </w:r>
      <w:r>
        <w:rPr>
          <w:w w:val="105"/>
          <w:sz w:val="21"/>
        </w:rPr>
        <w:t>an associate judge in</w:t>
      </w:r>
      <w:r>
        <w:rPr>
          <w:spacing w:val="16"/>
          <w:w w:val="105"/>
          <w:sz w:val="21"/>
        </w:rPr>
        <w:t> </w:t>
      </w:r>
      <w:r>
        <w:rPr>
          <w:spacing w:val="-10"/>
          <w:w w:val="105"/>
          <w:sz w:val="21"/>
        </w:rPr>
        <w:t>2011–12:</w:t>
      </w:r>
    </w:p>
    <w:p>
      <w:pPr>
        <w:pStyle w:val="ListParagraph"/>
        <w:numPr>
          <w:ilvl w:val="1"/>
          <w:numId w:val="97"/>
        </w:numPr>
        <w:tabs>
          <w:tab w:pos="2721" w:val="left" w:leader="none"/>
          <w:tab w:pos="2722" w:val="left" w:leader="none"/>
        </w:tabs>
        <w:spacing w:line="240" w:lineRule="auto" w:before="122" w:after="0"/>
        <w:ind w:left="2721" w:right="0" w:hanging="340"/>
        <w:jc w:val="left"/>
        <w:rPr>
          <w:sz w:val="21"/>
        </w:rPr>
      </w:pPr>
      <w:r>
        <w:rPr>
          <w:spacing w:val="-4"/>
          <w:w w:val="105"/>
          <w:sz w:val="21"/>
        </w:rPr>
        <w:t>59 </w:t>
      </w:r>
      <w:r>
        <w:rPr>
          <w:w w:val="105"/>
          <w:sz w:val="21"/>
        </w:rPr>
        <w:t>settled at</w:t>
      </w:r>
      <w:r>
        <w:rPr>
          <w:spacing w:val="19"/>
          <w:w w:val="105"/>
          <w:sz w:val="21"/>
        </w:rPr>
        <w:t> </w:t>
      </w:r>
      <w:r>
        <w:rPr>
          <w:w w:val="105"/>
          <w:sz w:val="21"/>
        </w:rPr>
        <w:t>mediation</w:t>
      </w:r>
    </w:p>
    <w:p>
      <w:pPr>
        <w:pStyle w:val="ListParagraph"/>
        <w:numPr>
          <w:ilvl w:val="1"/>
          <w:numId w:val="97"/>
        </w:numPr>
        <w:tabs>
          <w:tab w:pos="2721" w:val="left" w:leader="none"/>
          <w:tab w:pos="2722" w:val="left" w:leader="none"/>
        </w:tabs>
        <w:spacing w:line="240" w:lineRule="auto" w:before="124" w:after="0"/>
        <w:ind w:left="2721" w:right="0" w:hanging="340"/>
        <w:jc w:val="left"/>
        <w:rPr>
          <w:sz w:val="21"/>
        </w:rPr>
      </w:pPr>
      <w:r>
        <w:rPr>
          <w:sz w:val="21"/>
        </w:rPr>
        <w:t>one settled after</w:t>
      </w:r>
      <w:r>
        <w:rPr>
          <w:spacing w:val="24"/>
          <w:sz w:val="21"/>
        </w:rPr>
        <w:t> </w:t>
      </w:r>
      <w:r>
        <w:rPr>
          <w:sz w:val="21"/>
        </w:rPr>
        <w:t>mediation</w:t>
      </w:r>
    </w:p>
    <w:p>
      <w:pPr>
        <w:pStyle w:val="ListParagraph"/>
        <w:numPr>
          <w:ilvl w:val="1"/>
          <w:numId w:val="97"/>
        </w:numPr>
        <w:tabs>
          <w:tab w:pos="2721" w:val="left" w:leader="none"/>
          <w:tab w:pos="2722" w:val="left" w:leader="none"/>
        </w:tabs>
        <w:spacing w:line="240" w:lineRule="auto" w:before="124" w:after="0"/>
        <w:ind w:left="2721" w:right="0" w:hanging="340"/>
        <w:jc w:val="left"/>
        <w:rPr>
          <w:sz w:val="21"/>
        </w:rPr>
      </w:pPr>
      <w:r>
        <w:rPr>
          <w:sz w:val="21"/>
        </w:rPr>
        <w:t>two requested further time </w:t>
      </w:r>
      <w:r>
        <w:rPr>
          <w:spacing w:val="-3"/>
          <w:sz w:val="21"/>
        </w:rPr>
        <w:t>to</w:t>
      </w:r>
      <w:r>
        <w:rPr>
          <w:spacing w:val="-2"/>
          <w:sz w:val="21"/>
        </w:rPr>
        <w:t> </w:t>
      </w:r>
      <w:r>
        <w:rPr>
          <w:spacing w:val="-3"/>
          <w:sz w:val="21"/>
        </w:rPr>
        <w:t>negotiate</w:t>
      </w:r>
    </w:p>
    <w:p>
      <w:pPr>
        <w:pStyle w:val="ListParagraph"/>
        <w:numPr>
          <w:ilvl w:val="1"/>
          <w:numId w:val="97"/>
        </w:numPr>
        <w:tabs>
          <w:tab w:pos="2721" w:val="left" w:leader="none"/>
          <w:tab w:pos="2722" w:val="left" w:leader="none"/>
        </w:tabs>
        <w:spacing w:line="240" w:lineRule="auto" w:before="124" w:after="0"/>
        <w:ind w:left="2721" w:right="0" w:hanging="340"/>
        <w:jc w:val="left"/>
        <w:rPr>
          <w:sz w:val="12"/>
        </w:rPr>
      </w:pPr>
      <w:r>
        <w:rPr>
          <w:sz w:val="21"/>
        </w:rPr>
        <w:t>three </w:t>
      </w:r>
      <w:r>
        <w:rPr>
          <w:spacing w:val="-3"/>
          <w:sz w:val="21"/>
        </w:rPr>
        <w:t>were ultimately </w:t>
      </w:r>
      <w:r>
        <w:rPr>
          <w:spacing w:val="-2"/>
          <w:sz w:val="21"/>
        </w:rPr>
        <w:t>listed </w:t>
      </w:r>
      <w:r>
        <w:rPr>
          <w:spacing w:val="-3"/>
          <w:sz w:val="21"/>
        </w:rPr>
        <w:t>for</w:t>
      </w:r>
      <w:r>
        <w:rPr>
          <w:spacing w:val="5"/>
          <w:sz w:val="21"/>
        </w:rPr>
        <w:t> </w:t>
      </w:r>
      <w:r>
        <w:rPr>
          <w:sz w:val="21"/>
        </w:rPr>
        <w:t>trial.</w:t>
      </w:r>
      <w:r>
        <w:rPr>
          <w:position w:val="7"/>
          <w:sz w:val="12"/>
        </w:rPr>
        <w:t>250</w:t>
      </w:r>
    </w:p>
    <w:p>
      <w:pPr>
        <w:pStyle w:val="ListParagraph"/>
        <w:numPr>
          <w:ilvl w:val="0"/>
          <w:numId w:val="97"/>
        </w:numPr>
        <w:tabs>
          <w:tab w:pos="2381" w:val="left" w:leader="none"/>
          <w:tab w:pos="2382" w:val="left" w:leader="none"/>
        </w:tabs>
        <w:spacing w:line="242" w:lineRule="auto" w:before="123" w:after="0"/>
        <w:ind w:left="2381" w:right="2140" w:hanging="794"/>
        <w:jc w:val="left"/>
        <w:rPr>
          <w:sz w:val="21"/>
        </w:rPr>
      </w:pPr>
      <w:r>
        <w:rPr>
          <w:sz w:val="21"/>
        </w:rPr>
        <w:t>This </w:t>
      </w:r>
      <w:r>
        <w:rPr>
          <w:spacing w:val="-3"/>
          <w:sz w:val="21"/>
        </w:rPr>
        <w:t>accords </w:t>
      </w:r>
      <w:r>
        <w:rPr>
          <w:sz w:val="21"/>
        </w:rPr>
        <w:t>with anecdotal evidence put </w:t>
      </w:r>
      <w:r>
        <w:rPr>
          <w:spacing w:val="-3"/>
          <w:sz w:val="21"/>
        </w:rPr>
        <w:t>to </w:t>
      </w:r>
      <w:r>
        <w:rPr>
          <w:sz w:val="21"/>
        </w:rPr>
        <w:t>the </w:t>
      </w:r>
      <w:r>
        <w:rPr>
          <w:spacing w:val="-3"/>
          <w:sz w:val="21"/>
        </w:rPr>
        <w:t>Commission </w:t>
      </w:r>
      <w:r>
        <w:rPr>
          <w:sz w:val="21"/>
        </w:rPr>
        <w:t>about </w:t>
      </w:r>
      <w:r>
        <w:rPr>
          <w:spacing w:val="-3"/>
          <w:sz w:val="21"/>
        </w:rPr>
        <w:t>high rates </w:t>
      </w:r>
      <w:r>
        <w:rPr>
          <w:sz w:val="21"/>
        </w:rPr>
        <w:t>of settlement in the </w:t>
      </w:r>
      <w:r>
        <w:rPr>
          <w:spacing w:val="-3"/>
          <w:sz w:val="21"/>
        </w:rPr>
        <w:t>family provision </w:t>
      </w:r>
      <w:r>
        <w:rPr>
          <w:sz w:val="21"/>
        </w:rPr>
        <w:t>jurisdiction, whether </w:t>
      </w:r>
      <w:r>
        <w:rPr>
          <w:spacing w:val="-3"/>
          <w:sz w:val="21"/>
        </w:rPr>
        <w:t>through judicial </w:t>
      </w:r>
      <w:r>
        <w:rPr>
          <w:sz w:val="21"/>
        </w:rPr>
        <w:t>mediation or </w:t>
      </w:r>
      <w:r>
        <w:rPr>
          <w:spacing w:val="-3"/>
          <w:sz w:val="21"/>
        </w:rPr>
        <w:t>private</w:t>
      </w:r>
      <w:r>
        <w:rPr>
          <w:spacing w:val="8"/>
          <w:sz w:val="21"/>
        </w:rPr>
        <w:t> </w:t>
      </w:r>
      <w:r>
        <w:rPr>
          <w:spacing w:val="-3"/>
          <w:sz w:val="21"/>
        </w:rPr>
        <w:t>mediation.</w:t>
      </w:r>
    </w:p>
    <w:p>
      <w:pPr>
        <w:pStyle w:val="ListParagraph"/>
        <w:numPr>
          <w:ilvl w:val="0"/>
          <w:numId w:val="97"/>
        </w:numPr>
        <w:tabs>
          <w:tab w:pos="2380" w:val="left" w:leader="none"/>
          <w:tab w:pos="2381" w:val="left" w:leader="none"/>
        </w:tabs>
        <w:spacing w:line="242" w:lineRule="auto" w:before="123" w:after="0"/>
        <w:ind w:left="2381" w:right="1976" w:hanging="794"/>
        <w:jc w:val="left"/>
        <w:rPr>
          <w:sz w:val="12"/>
        </w:rPr>
      </w:pPr>
      <w:r>
        <w:rPr>
          <w:w w:val="105"/>
          <w:sz w:val="21"/>
        </w:rPr>
        <w:t>The </w:t>
      </w:r>
      <w:r>
        <w:rPr>
          <w:spacing w:val="-3"/>
          <w:w w:val="105"/>
          <w:sz w:val="21"/>
        </w:rPr>
        <w:t>County Court </w:t>
      </w:r>
      <w:r>
        <w:rPr>
          <w:w w:val="105"/>
          <w:sz w:val="21"/>
        </w:rPr>
        <w:t>practice </w:t>
      </w:r>
      <w:r>
        <w:rPr>
          <w:spacing w:val="-3"/>
          <w:w w:val="105"/>
          <w:sz w:val="21"/>
        </w:rPr>
        <w:t>note </w:t>
      </w:r>
      <w:r>
        <w:rPr>
          <w:w w:val="105"/>
          <w:sz w:val="21"/>
        </w:rPr>
        <w:t>specifies </w:t>
      </w:r>
      <w:r>
        <w:rPr>
          <w:spacing w:val="-3"/>
          <w:w w:val="105"/>
          <w:sz w:val="21"/>
        </w:rPr>
        <w:t>that </w:t>
      </w:r>
      <w:r>
        <w:rPr>
          <w:w w:val="105"/>
          <w:sz w:val="21"/>
        </w:rPr>
        <w:t>parties </w:t>
      </w:r>
      <w:r>
        <w:rPr>
          <w:spacing w:val="-3"/>
          <w:w w:val="105"/>
          <w:sz w:val="21"/>
        </w:rPr>
        <w:t>are required to </w:t>
      </w:r>
      <w:r>
        <w:rPr>
          <w:w w:val="105"/>
          <w:sz w:val="21"/>
        </w:rPr>
        <w:t>attend a </w:t>
      </w:r>
      <w:r>
        <w:rPr>
          <w:spacing w:val="-3"/>
          <w:w w:val="105"/>
          <w:sz w:val="21"/>
        </w:rPr>
        <w:t>judicial </w:t>
      </w:r>
      <w:r>
        <w:rPr>
          <w:w w:val="105"/>
          <w:sz w:val="21"/>
        </w:rPr>
        <w:t>settlement</w:t>
      </w:r>
      <w:r>
        <w:rPr>
          <w:spacing w:val="-7"/>
          <w:w w:val="105"/>
          <w:sz w:val="21"/>
        </w:rPr>
        <w:t> </w:t>
      </w:r>
      <w:r>
        <w:rPr>
          <w:spacing w:val="-4"/>
          <w:w w:val="105"/>
          <w:sz w:val="21"/>
        </w:rPr>
        <w:t>conference,</w:t>
      </w:r>
      <w:r>
        <w:rPr>
          <w:spacing w:val="-6"/>
          <w:w w:val="105"/>
          <w:sz w:val="21"/>
        </w:rPr>
        <w:t> </w:t>
      </w:r>
      <w:r>
        <w:rPr>
          <w:w w:val="105"/>
          <w:sz w:val="21"/>
        </w:rPr>
        <w:t>presided</w:t>
      </w:r>
      <w:r>
        <w:rPr>
          <w:spacing w:val="-7"/>
          <w:w w:val="105"/>
          <w:sz w:val="21"/>
        </w:rPr>
        <w:t> </w:t>
      </w:r>
      <w:r>
        <w:rPr>
          <w:w w:val="105"/>
          <w:sz w:val="21"/>
        </w:rPr>
        <w:t>over</w:t>
      </w:r>
      <w:r>
        <w:rPr>
          <w:spacing w:val="-6"/>
          <w:w w:val="105"/>
          <w:sz w:val="21"/>
        </w:rPr>
        <w:t> </w:t>
      </w:r>
      <w:r>
        <w:rPr>
          <w:w w:val="105"/>
          <w:sz w:val="21"/>
        </w:rPr>
        <w:t>by</w:t>
      </w:r>
      <w:r>
        <w:rPr>
          <w:spacing w:val="-7"/>
          <w:w w:val="105"/>
          <w:sz w:val="21"/>
        </w:rPr>
        <w:t> </w:t>
      </w:r>
      <w:r>
        <w:rPr>
          <w:w w:val="105"/>
          <w:sz w:val="21"/>
        </w:rPr>
        <w:t>a</w:t>
      </w:r>
      <w:r>
        <w:rPr>
          <w:spacing w:val="-6"/>
          <w:w w:val="105"/>
          <w:sz w:val="21"/>
        </w:rPr>
        <w:t> </w:t>
      </w:r>
      <w:r>
        <w:rPr>
          <w:spacing w:val="-3"/>
          <w:w w:val="105"/>
          <w:sz w:val="21"/>
        </w:rPr>
        <w:t>judge,</w:t>
      </w:r>
      <w:r>
        <w:rPr>
          <w:spacing w:val="-7"/>
          <w:w w:val="105"/>
          <w:sz w:val="21"/>
        </w:rPr>
        <w:t> </w:t>
      </w:r>
      <w:r>
        <w:rPr>
          <w:w w:val="105"/>
          <w:sz w:val="21"/>
        </w:rPr>
        <w:t>or</w:t>
      </w:r>
      <w:r>
        <w:rPr>
          <w:spacing w:val="-6"/>
          <w:w w:val="105"/>
          <w:sz w:val="21"/>
        </w:rPr>
        <w:t> </w:t>
      </w:r>
      <w:r>
        <w:rPr>
          <w:w w:val="105"/>
          <w:sz w:val="21"/>
        </w:rPr>
        <w:t>a</w:t>
      </w:r>
      <w:r>
        <w:rPr>
          <w:spacing w:val="-7"/>
          <w:w w:val="105"/>
          <w:sz w:val="21"/>
        </w:rPr>
        <w:t> </w:t>
      </w:r>
      <w:r>
        <w:rPr>
          <w:w w:val="105"/>
          <w:sz w:val="21"/>
        </w:rPr>
        <w:t>mediation</w:t>
      </w:r>
      <w:r>
        <w:rPr>
          <w:spacing w:val="-6"/>
          <w:w w:val="105"/>
          <w:sz w:val="21"/>
        </w:rPr>
        <w:t> </w:t>
      </w:r>
      <w:r>
        <w:rPr>
          <w:spacing w:val="-3"/>
          <w:w w:val="105"/>
          <w:sz w:val="21"/>
        </w:rPr>
        <w:t>within</w:t>
      </w:r>
      <w:r>
        <w:rPr>
          <w:spacing w:val="-7"/>
          <w:w w:val="105"/>
          <w:sz w:val="21"/>
        </w:rPr>
        <w:t> </w:t>
      </w:r>
      <w:r>
        <w:rPr>
          <w:w w:val="105"/>
          <w:sz w:val="21"/>
        </w:rPr>
        <w:t>60</w:t>
      </w:r>
      <w:r>
        <w:rPr>
          <w:spacing w:val="-6"/>
          <w:w w:val="105"/>
          <w:sz w:val="21"/>
        </w:rPr>
        <w:t> </w:t>
      </w:r>
      <w:r>
        <w:rPr>
          <w:w w:val="105"/>
          <w:sz w:val="21"/>
        </w:rPr>
        <w:t>days</w:t>
      </w:r>
      <w:r>
        <w:rPr>
          <w:spacing w:val="-7"/>
          <w:w w:val="105"/>
          <w:sz w:val="21"/>
        </w:rPr>
        <w:t> </w:t>
      </w:r>
      <w:r>
        <w:rPr>
          <w:w w:val="105"/>
          <w:sz w:val="21"/>
        </w:rPr>
        <w:t>of</w:t>
      </w:r>
      <w:r>
        <w:rPr>
          <w:spacing w:val="-6"/>
          <w:w w:val="105"/>
          <w:sz w:val="21"/>
        </w:rPr>
        <w:t> </w:t>
      </w:r>
      <w:r>
        <w:rPr>
          <w:w w:val="105"/>
          <w:sz w:val="21"/>
        </w:rPr>
        <w:t>the </w:t>
      </w:r>
      <w:r>
        <w:rPr>
          <w:spacing w:val="-3"/>
          <w:w w:val="105"/>
          <w:sz w:val="21"/>
        </w:rPr>
        <w:t>date </w:t>
      </w:r>
      <w:r>
        <w:rPr>
          <w:w w:val="105"/>
          <w:sz w:val="21"/>
        </w:rPr>
        <w:t>of </w:t>
      </w:r>
      <w:r>
        <w:rPr>
          <w:spacing w:val="-3"/>
          <w:w w:val="105"/>
          <w:sz w:val="21"/>
        </w:rPr>
        <w:t>filing </w:t>
      </w:r>
      <w:r>
        <w:rPr>
          <w:w w:val="105"/>
          <w:sz w:val="21"/>
        </w:rPr>
        <w:t>and service of an</w:t>
      </w:r>
      <w:r>
        <w:rPr>
          <w:spacing w:val="42"/>
          <w:w w:val="105"/>
          <w:sz w:val="21"/>
        </w:rPr>
        <w:t> </w:t>
      </w:r>
      <w:r>
        <w:rPr>
          <w:spacing w:val="-4"/>
          <w:w w:val="105"/>
          <w:sz w:val="21"/>
        </w:rPr>
        <w:t>appearance.</w:t>
      </w:r>
      <w:r>
        <w:rPr>
          <w:spacing w:val="-4"/>
          <w:w w:val="105"/>
          <w:position w:val="7"/>
          <w:sz w:val="12"/>
        </w:rPr>
        <w:t>251</w:t>
      </w:r>
    </w:p>
    <w:p>
      <w:pPr>
        <w:pStyle w:val="ListParagraph"/>
        <w:numPr>
          <w:ilvl w:val="0"/>
          <w:numId w:val="97"/>
        </w:numPr>
        <w:tabs>
          <w:tab w:pos="2381" w:val="left" w:leader="none"/>
          <w:tab w:pos="2382" w:val="left" w:leader="none"/>
        </w:tabs>
        <w:spacing w:line="242" w:lineRule="auto" w:before="124" w:after="0"/>
        <w:ind w:left="2381" w:right="1656" w:hanging="794"/>
        <w:jc w:val="left"/>
        <w:rPr>
          <w:sz w:val="12"/>
        </w:rPr>
      </w:pPr>
      <w:r>
        <w:rPr>
          <w:sz w:val="21"/>
        </w:rPr>
        <w:t>There </w:t>
      </w:r>
      <w:r>
        <w:rPr>
          <w:spacing w:val="-3"/>
          <w:sz w:val="21"/>
        </w:rPr>
        <w:t>were </w:t>
      </w:r>
      <w:r>
        <w:rPr>
          <w:sz w:val="21"/>
        </w:rPr>
        <w:t>mixed views about the effectiveness of </w:t>
      </w:r>
      <w:r>
        <w:rPr>
          <w:spacing w:val="-3"/>
          <w:sz w:val="21"/>
        </w:rPr>
        <w:t>judicial mediation, compared  </w:t>
      </w:r>
      <w:r>
        <w:rPr>
          <w:sz w:val="21"/>
        </w:rPr>
        <w:t>with </w:t>
      </w:r>
      <w:r>
        <w:rPr>
          <w:spacing w:val="-3"/>
          <w:sz w:val="21"/>
        </w:rPr>
        <w:t>private mediation. </w:t>
      </w:r>
      <w:r>
        <w:rPr>
          <w:sz w:val="21"/>
        </w:rPr>
        <w:t>Some legal practitioners expressed the  view  </w:t>
      </w:r>
      <w:r>
        <w:rPr>
          <w:spacing w:val="-3"/>
          <w:sz w:val="21"/>
        </w:rPr>
        <w:t>that  judicial  conferences are </w:t>
      </w:r>
      <w:r>
        <w:rPr>
          <w:spacing w:val="-2"/>
          <w:sz w:val="21"/>
        </w:rPr>
        <w:t>not </w:t>
      </w:r>
      <w:r>
        <w:rPr>
          <w:sz w:val="21"/>
        </w:rPr>
        <w:t>as effective as </w:t>
      </w:r>
      <w:r>
        <w:rPr>
          <w:spacing w:val="-3"/>
          <w:sz w:val="21"/>
        </w:rPr>
        <w:t>private mediation, </w:t>
      </w:r>
      <w:r>
        <w:rPr>
          <w:sz w:val="21"/>
        </w:rPr>
        <w:t>as there is a perception </w:t>
      </w:r>
      <w:r>
        <w:rPr>
          <w:spacing w:val="-3"/>
          <w:sz w:val="21"/>
        </w:rPr>
        <w:t>that  private  </w:t>
      </w:r>
      <w:r>
        <w:rPr>
          <w:sz w:val="21"/>
        </w:rPr>
        <w:t>mediators </w:t>
      </w:r>
      <w:r>
        <w:rPr>
          <w:spacing w:val="-3"/>
          <w:sz w:val="21"/>
        </w:rPr>
        <w:t>take </w:t>
      </w:r>
      <w:r>
        <w:rPr>
          <w:sz w:val="21"/>
        </w:rPr>
        <w:t>a more </w:t>
      </w:r>
      <w:r>
        <w:rPr>
          <w:spacing w:val="-2"/>
          <w:sz w:val="21"/>
        </w:rPr>
        <w:t>interventionist approach,</w:t>
      </w:r>
      <w:r>
        <w:rPr>
          <w:spacing w:val="-2"/>
          <w:position w:val="7"/>
          <w:sz w:val="12"/>
        </w:rPr>
        <w:t>252 </w:t>
      </w:r>
      <w:r>
        <w:rPr>
          <w:sz w:val="21"/>
        </w:rPr>
        <w:t>while judges can be more </w:t>
      </w:r>
      <w:r>
        <w:rPr>
          <w:spacing w:val="-4"/>
          <w:sz w:val="21"/>
        </w:rPr>
        <w:t>‘hands  </w:t>
      </w:r>
      <w:r>
        <w:rPr>
          <w:spacing w:val="-3"/>
          <w:sz w:val="21"/>
        </w:rPr>
        <w:t>off’.</w:t>
      </w:r>
      <w:r>
        <w:rPr>
          <w:spacing w:val="-3"/>
          <w:position w:val="7"/>
          <w:sz w:val="12"/>
        </w:rPr>
        <w:t>253  </w:t>
      </w:r>
      <w:r>
        <w:rPr>
          <w:sz w:val="21"/>
        </w:rPr>
        <w:t>The </w:t>
      </w:r>
      <w:r>
        <w:rPr>
          <w:spacing w:val="-3"/>
          <w:sz w:val="21"/>
        </w:rPr>
        <w:t>Supreme Court </w:t>
      </w:r>
      <w:r>
        <w:rPr>
          <w:sz w:val="21"/>
        </w:rPr>
        <w:t>of Victoria, </w:t>
      </w:r>
      <w:r>
        <w:rPr>
          <w:spacing w:val="-4"/>
          <w:sz w:val="21"/>
        </w:rPr>
        <w:t>however, </w:t>
      </w:r>
      <w:r>
        <w:rPr>
          <w:spacing w:val="-3"/>
          <w:sz w:val="21"/>
        </w:rPr>
        <w:t>noted that </w:t>
      </w:r>
      <w:r>
        <w:rPr>
          <w:spacing w:val="-5"/>
          <w:sz w:val="21"/>
        </w:rPr>
        <w:t>91 </w:t>
      </w:r>
      <w:r>
        <w:rPr>
          <w:sz w:val="21"/>
        </w:rPr>
        <w:t>per  </w:t>
      </w:r>
      <w:r>
        <w:rPr>
          <w:spacing w:val="-3"/>
          <w:sz w:val="21"/>
        </w:rPr>
        <w:t>cent  </w:t>
      </w:r>
      <w:r>
        <w:rPr>
          <w:sz w:val="21"/>
        </w:rPr>
        <w:t>of  </w:t>
      </w:r>
      <w:r>
        <w:rPr>
          <w:spacing w:val="-3"/>
          <w:sz w:val="21"/>
        </w:rPr>
        <w:t>claims  involving  small </w:t>
      </w:r>
      <w:r>
        <w:rPr>
          <w:sz w:val="21"/>
        </w:rPr>
        <w:t>estates ($300,000 </w:t>
      </w:r>
      <w:r>
        <w:rPr>
          <w:spacing w:val="-3"/>
          <w:sz w:val="21"/>
        </w:rPr>
        <w:t>to </w:t>
      </w:r>
      <w:r>
        <w:rPr>
          <w:sz w:val="21"/>
        </w:rPr>
        <w:t>$400,000) </w:t>
      </w:r>
      <w:r>
        <w:rPr>
          <w:spacing w:val="-3"/>
          <w:sz w:val="21"/>
        </w:rPr>
        <w:t>were </w:t>
      </w:r>
      <w:r>
        <w:rPr>
          <w:sz w:val="21"/>
        </w:rPr>
        <w:t>resolved </w:t>
      </w:r>
      <w:r>
        <w:rPr>
          <w:spacing w:val="-3"/>
          <w:sz w:val="21"/>
        </w:rPr>
        <w:t>following judicial </w:t>
      </w:r>
      <w:r>
        <w:rPr>
          <w:sz w:val="21"/>
        </w:rPr>
        <w:t>mediation in</w:t>
      </w:r>
      <w:r>
        <w:rPr>
          <w:spacing w:val="-10"/>
          <w:sz w:val="21"/>
        </w:rPr>
        <w:t> </w:t>
      </w:r>
      <w:r>
        <w:rPr>
          <w:spacing w:val="-8"/>
          <w:sz w:val="21"/>
        </w:rPr>
        <w:t>2011–12.</w:t>
      </w:r>
      <w:r>
        <w:rPr>
          <w:spacing w:val="-8"/>
          <w:position w:val="7"/>
          <w:sz w:val="12"/>
        </w:rPr>
        <w:t>254</w:t>
      </w:r>
    </w:p>
    <w:p>
      <w:pPr>
        <w:pStyle w:val="ListParagraph"/>
        <w:numPr>
          <w:ilvl w:val="0"/>
          <w:numId w:val="97"/>
        </w:numPr>
        <w:tabs>
          <w:tab w:pos="2381" w:val="left" w:leader="none"/>
          <w:tab w:pos="2382" w:val="left" w:leader="none"/>
        </w:tabs>
        <w:spacing w:line="242" w:lineRule="auto" w:before="126" w:after="0"/>
        <w:ind w:left="2381" w:right="1754" w:hanging="794"/>
        <w:jc w:val="left"/>
        <w:rPr>
          <w:sz w:val="12"/>
        </w:rPr>
      </w:pPr>
      <w:r>
        <w:rPr>
          <w:sz w:val="21"/>
        </w:rPr>
        <w:t>A practice </w:t>
      </w:r>
      <w:r>
        <w:rPr>
          <w:spacing w:val="-3"/>
          <w:sz w:val="21"/>
        </w:rPr>
        <w:t>note  </w:t>
      </w:r>
      <w:r>
        <w:rPr>
          <w:sz w:val="21"/>
        </w:rPr>
        <w:t>of the </w:t>
      </w:r>
      <w:r>
        <w:rPr>
          <w:spacing w:val="-3"/>
          <w:sz w:val="21"/>
        </w:rPr>
        <w:t>Supreme</w:t>
      </w:r>
      <w:r>
        <w:rPr>
          <w:spacing w:val="41"/>
          <w:sz w:val="21"/>
        </w:rPr>
        <w:t> </w:t>
      </w:r>
      <w:r>
        <w:rPr>
          <w:spacing w:val="-3"/>
          <w:sz w:val="21"/>
        </w:rPr>
        <w:t>Court  </w:t>
      </w:r>
      <w:r>
        <w:rPr>
          <w:sz w:val="21"/>
        </w:rPr>
        <w:t>of Victoria emphasises </w:t>
      </w:r>
      <w:r>
        <w:rPr>
          <w:spacing w:val="-3"/>
          <w:sz w:val="21"/>
        </w:rPr>
        <w:t>that  </w:t>
      </w:r>
      <w:r>
        <w:rPr>
          <w:spacing w:val="-4"/>
          <w:sz w:val="21"/>
        </w:rPr>
        <w:t>‘Judicial  </w:t>
      </w:r>
      <w:r>
        <w:rPr>
          <w:sz w:val="21"/>
        </w:rPr>
        <w:t>mediation is </w:t>
      </w:r>
      <w:r>
        <w:rPr>
          <w:spacing w:val="-2"/>
          <w:sz w:val="21"/>
        </w:rPr>
        <w:t>not </w:t>
      </w:r>
      <w:r>
        <w:rPr>
          <w:sz w:val="21"/>
        </w:rPr>
        <w:t>a </w:t>
      </w:r>
      <w:r>
        <w:rPr>
          <w:spacing w:val="-3"/>
          <w:sz w:val="21"/>
        </w:rPr>
        <w:t>substitute for </w:t>
      </w:r>
      <w:r>
        <w:rPr>
          <w:sz w:val="21"/>
        </w:rPr>
        <w:t>mediation by </w:t>
      </w:r>
      <w:r>
        <w:rPr>
          <w:spacing w:val="-3"/>
          <w:sz w:val="21"/>
        </w:rPr>
        <w:t>appropriately </w:t>
      </w:r>
      <w:r>
        <w:rPr>
          <w:sz w:val="21"/>
        </w:rPr>
        <w:t>qualified </w:t>
      </w:r>
      <w:r>
        <w:rPr>
          <w:spacing w:val="-3"/>
          <w:sz w:val="21"/>
        </w:rPr>
        <w:t>private </w:t>
      </w:r>
      <w:r>
        <w:rPr>
          <w:sz w:val="21"/>
        </w:rPr>
        <w:t>mediators, </w:t>
      </w:r>
      <w:r>
        <w:rPr>
          <w:spacing w:val="-3"/>
          <w:sz w:val="21"/>
        </w:rPr>
        <w:t>rather </w:t>
      </w:r>
      <w:r>
        <w:rPr>
          <w:sz w:val="21"/>
        </w:rPr>
        <w:t>it is </w:t>
      </w:r>
      <w:r>
        <w:rPr>
          <w:spacing w:val="-3"/>
          <w:sz w:val="21"/>
        </w:rPr>
        <w:t>another </w:t>
      </w:r>
      <w:r>
        <w:rPr>
          <w:sz w:val="21"/>
        </w:rPr>
        <w:t>option </w:t>
      </w:r>
      <w:r>
        <w:rPr>
          <w:spacing w:val="-3"/>
          <w:sz w:val="21"/>
        </w:rPr>
        <w:t>that may </w:t>
      </w:r>
      <w:r>
        <w:rPr>
          <w:sz w:val="21"/>
        </w:rPr>
        <w:t>be employed in  </w:t>
      </w:r>
      <w:r>
        <w:rPr>
          <w:spacing w:val="-3"/>
          <w:sz w:val="21"/>
        </w:rPr>
        <w:t>appropriate  </w:t>
      </w:r>
      <w:r>
        <w:rPr>
          <w:spacing w:val="-4"/>
          <w:sz w:val="21"/>
        </w:rPr>
        <w:t>cases’.</w:t>
      </w:r>
      <w:r>
        <w:rPr>
          <w:spacing w:val="-4"/>
          <w:position w:val="7"/>
          <w:sz w:val="12"/>
        </w:rPr>
        <w:t>255  </w:t>
      </w:r>
      <w:r>
        <w:rPr>
          <w:sz w:val="21"/>
        </w:rPr>
        <w:t>The  practice  </w:t>
      </w:r>
      <w:r>
        <w:rPr>
          <w:spacing w:val="-3"/>
          <w:sz w:val="21"/>
        </w:rPr>
        <w:t>note  </w:t>
      </w:r>
      <w:r>
        <w:rPr>
          <w:sz w:val="21"/>
        </w:rPr>
        <w:t>then sets out </w:t>
      </w:r>
      <w:r>
        <w:rPr>
          <w:spacing w:val="-3"/>
          <w:sz w:val="21"/>
        </w:rPr>
        <w:t>guidelines for referral </w:t>
      </w:r>
      <w:r>
        <w:rPr>
          <w:sz w:val="21"/>
        </w:rPr>
        <w:t>of matters </w:t>
      </w:r>
      <w:r>
        <w:rPr>
          <w:spacing w:val="-3"/>
          <w:sz w:val="21"/>
        </w:rPr>
        <w:t>to judicial </w:t>
      </w:r>
      <w:r>
        <w:rPr>
          <w:sz w:val="21"/>
        </w:rPr>
        <w:t>mediation and matters </w:t>
      </w:r>
      <w:r>
        <w:rPr>
          <w:spacing w:val="-3"/>
          <w:sz w:val="21"/>
        </w:rPr>
        <w:t>that will </w:t>
      </w:r>
      <w:r>
        <w:rPr>
          <w:spacing w:val="-2"/>
          <w:sz w:val="21"/>
        </w:rPr>
        <w:t>not </w:t>
      </w:r>
      <w:r>
        <w:rPr>
          <w:spacing w:val="-3"/>
          <w:sz w:val="21"/>
        </w:rPr>
        <w:t>ordinarily </w:t>
      </w:r>
      <w:r>
        <w:rPr>
          <w:sz w:val="21"/>
        </w:rPr>
        <w:t>be </w:t>
      </w:r>
      <w:r>
        <w:rPr>
          <w:spacing w:val="-3"/>
          <w:sz w:val="21"/>
        </w:rPr>
        <w:t>referred for judicial mediation. </w:t>
      </w:r>
      <w:r>
        <w:rPr>
          <w:sz w:val="21"/>
        </w:rPr>
        <w:t>For </w:t>
      </w:r>
      <w:r>
        <w:rPr>
          <w:spacing w:val="-3"/>
          <w:sz w:val="21"/>
        </w:rPr>
        <w:t>example, </w:t>
      </w:r>
      <w:r>
        <w:rPr>
          <w:sz w:val="21"/>
        </w:rPr>
        <w:t>a case </w:t>
      </w:r>
      <w:r>
        <w:rPr>
          <w:spacing w:val="-3"/>
          <w:sz w:val="21"/>
        </w:rPr>
        <w:t>that </w:t>
      </w:r>
      <w:r>
        <w:rPr>
          <w:spacing w:val="-2"/>
          <w:sz w:val="21"/>
        </w:rPr>
        <w:t>has </w:t>
      </w:r>
      <w:r>
        <w:rPr>
          <w:spacing w:val="-3"/>
          <w:sz w:val="21"/>
        </w:rPr>
        <w:t>previously </w:t>
      </w:r>
      <w:r>
        <w:rPr>
          <w:sz w:val="21"/>
        </w:rPr>
        <w:t>been     </w:t>
      </w:r>
      <w:r>
        <w:rPr>
          <w:spacing w:val="-3"/>
          <w:sz w:val="21"/>
        </w:rPr>
        <w:t>to </w:t>
      </w:r>
      <w:r>
        <w:rPr>
          <w:sz w:val="21"/>
        </w:rPr>
        <w:t>an </w:t>
      </w:r>
      <w:r>
        <w:rPr>
          <w:spacing w:val="-3"/>
          <w:sz w:val="21"/>
        </w:rPr>
        <w:t>unsuccessful private mediation, </w:t>
      </w:r>
      <w:r>
        <w:rPr>
          <w:sz w:val="21"/>
        </w:rPr>
        <w:t>or a case where there is a risk of disproportionate costs, </w:t>
      </w:r>
      <w:r>
        <w:rPr>
          <w:spacing w:val="-3"/>
          <w:sz w:val="21"/>
        </w:rPr>
        <w:t>may </w:t>
      </w:r>
      <w:r>
        <w:rPr>
          <w:sz w:val="21"/>
        </w:rPr>
        <w:t>be </w:t>
      </w:r>
      <w:r>
        <w:rPr>
          <w:spacing w:val="-3"/>
          <w:sz w:val="21"/>
        </w:rPr>
        <w:t>referred to judicial</w:t>
      </w:r>
      <w:r>
        <w:rPr>
          <w:spacing w:val="20"/>
          <w:sz w:val="21"/>
        </w:rPr>
        <w:t> </w:t>
      </w:r>
      <w:r>
        <w:rPr>
          <w:sz w:val="21"/>
        </w:rPr>
        <w:t>mediation.</w:t>
      </w:r>
      <w:r>
        <w:rPr>
          <w:position w:val="7"/>
          <w:sz w:val="12"/>
        </w:rPr>
        <w:t>256</w:t>
      </w:r>
    </w:p>
    <w:p>
      <w:pPr>
        <w:pStyle w:val="BodyText"/>
        <w:spacing w:before="4"/>
        <w:rPr>
          <w:sz w:val="27"/>
        </w:rPr>
      </w:pPr>
    </w:p>
    <w:p>
      <w:pPr>
        <w:pStyle w:val="Heading6"/>
      </w:pPr>
      <w:r>
        <w:rPr>
          <w:w w:val="120"/>
        </w:rPr>
        <w:t>Estimates of costs and affidavits as to costs</w:t>
      </w:r>
    </w:p>
    <w:p>
      <w:pPr>
        <w:pStyle w:val="ListParagraph"/>
        <w:numPr>
          <w:ilvl w:val="0"/>
          <w:numId w:val="97"/>
        </w:numPr>
        <w:tabs>
          <w:tab w:pos="2381" w:val="left" w:leader="none"/>
          <w:tab w:pos="2382" w:val="left" w:leader="none"/>
        </w:tabs>
        <w:spacing w:line="242" w:lineRule="auto" w:before="151" w:after="0"/>
        <w:ind w:left="2381" w:right="1592" w:hanging="794"/>
        <w:jc w:val="left"/>
        <w:rPr>
          <w:sz w:val="12"/>
        </w:rPr>
      </w:pPr>
      <w:r>
        <w:rPr>
          <w:w w:val="105"/>
          <w:sz w:val="21"/>
        </w:rPr>
        <w:t>In </w:t>
      </w:r>
      <w:r>
        <w:rPr>
          <w:spacing w:val="-3"/>
          <w:w w:val="105"/>
          <w:sz w:val="21"/>
        </w:rPr>
        <w:t>consultation, </w:t>
      </w:r>
      <w:r>
        <w:rPr>
          <w:w w:val="105"/>
          <w:sz w:val="21"/>
        </w:rPr>
        <w:t>the view was expressed </w:t>
      </w:r>
      <w:r>
        <w:rPr>
          <w:spacing w:val="-3"/>
          <w:w w:val="105"/>
          <w:sz w:val="21"/>
        </w:rPr>
        <w:t>that, </w:t>
      </w:r>
      <w:r>
        <w:rPr>
          <w:w w:val="105"/>
          <w:sz w:val="21"/>
        </w:rPr>
        <w:t>because the court does </w:t>
      </w:r>
      <w:r>
        <w:rPr>
          <w:spacing w:val="-2"/>
          <w:w w:val="105"/>
          <w:sz w:val="21"/>
        </w:rPr>
        <w:t>not </w:t>
      </w:r>
      <w:r>
        <w:rPr>
          <w:spacing w:val="-3"/>
          <w:w w:val="105"/>
          <w:sz w:val="21"/>
        </w:rPr>
        <w:t>usually have oversight</w:t>
      </w:r>
      <w:r>
        <w:rPr>
          <w:spacing w:val="-10"/>
          <w:w w:val="105"/>
          <w:sz w:val="21"/>
        </w:rPr>
        <w:t> </w:t>
      </w:r>
      <w:r>
        <w:rPr>
          <w:w w:val="105"/>
          <w:sz w:val="21"/>
        </w:rPr>
        <w:t>of</w:t>
      </w:r>
      <w:r>
        <w:rPr>
          <w:spacing w:val="-10"/>
          <w:w w:val="105"/>
          <w:sz w:val="21"/>
        </w:rPr>
        <w:t> </w:t>
      </w:r>
      <w:r>
        <w:rPr>
          <w:w w:val="105"/>
          <w:sz w:val="21"/>
        </w:rPr>
        <w:t>costs</w:t>
      </w:r>
      <w:r>
        <w:rPr>
          <w:spacing w:val="-9"/>
          <w:w w:val="105"/>
          <w:sz w:val="21"/>
        </w:rPr>
        <w:t> </w:t>
      </w:r>
      <w:r>
        <w:rPr>
          <w:w w:val="105"/>
          <w:sz w:val="21"/>
        </w:rPr>
        <w:t>at</w:t>
      </w:r>
      <w:r>
        <w:rPr>
          <w:spacing w:val="-10"/>
          <w:w w:val="105"/>
          <w:sz w:val="21"/>
        </w:rPr>
        <w:t> </w:t>
      </w:r>
      <w:r>
        <w:rPr>
          <w:w w:val="105"/>
          <w:sz w:val="21"/>
        </w:rPr>
        <w:t>the</w:t>
      </w:r>
      <w:r>
        <w:rPr>
          <w:spacing w:val="-10"/>
          <w:w w:val="105"/>
          <w:sz w:val="21"/>
        </w:rPr>
        <w:t> </w:t>
      </w:r>
      <w:r>
        <w:rPr>
          <w:w w:val="105"/>
          <w:sz w:val="21"/>
        </w:rPr>
        <w:t>time</w:t>
      </w:r>
      <w:r>
        <w:rPr>
          <w:spacing w:val="-9"/>
          <w:w w:val="105"/>
          <w:sz w:val="21"/>
        </w:rPr>
        <w:t> </w:t>
      </w:r>
      <w:r>
        <w:rPr>
          <w:w w:val="105"/>
          <w:sz w:val="21"/>
        </w:rPr>
        <w:t>of</w:t>
      </w:r>
      <w:r>
        <w:rPr>
          <w:spacing w:val="-10"/>
          <w:w w:val="105"/>
          <w:sz w:val="21"/>
        </w:rPr>
        <w:t> </w:t>
      </w:r>
      <w:r>
        <w:rPr>
          <w:spacing w:val="-3"/>
          <w:w w:val="105"/>
          <w:sz w:val="21"/>
        </w:rPr>
        <w:t>mediation,</w:t>
      </w:r>
      <w:r>
        <w:rPr>
          <w:spacing w:val="-9"/>
          <w:w w:val="105"/>
          <w:sz w:val="21"/>
        </w:rPr>
        <w:t> </w:t>
      </w:r>
      <w:r>
        <w:rPr>
          <w:w w:val="105"/>
          <w:sz w:val="21"/>
        </w:rPr>
        <w:t>practitioners</w:t>
      </w:r>
      <w:r>
        <w:rPr>
          <w:spacing w:val="-10"/>
          <w:w w:val="105"/>
          <w:sz w:val="21"/>
        </w:rPr>
        <w:t> </w:t>
      </w:r>
      <w:r>
        <w:rPr>
          <w:w w:val="105"/>
          <w:sz w:val="21"/>
        </w:rPr>
        <w:t>often</w:t>
      </w:r>
      <w:r>
        <w:rPr>
          <w:spacing w:val="-10"/>
          <w:w w:val="105"/>
          <w:sz w:val="21"/>
        </w:rPr>
        <w:t> </w:t>
      </w:r>
      <w:r>
        <w:rPr>
          <w:spacing w:val="-3"/>
          <w:w w:val="105"/>
          <w:sz w:val="21"/>
        </w:rPr>
        <w:t>overestimate</w:t>
      </w:r>
      <w:r>
        <w:rPr>
          <w:spacing w:val="-9"/>
          <w:w w:val="105"/>
          <w:sz w:val="21"/>
        </w:rPr>
        <w:t> </w:t>
      </w:r>
      <w:r>
        <w:rPr>
          <w:w w:val="105"/>
          <w:sz w:val="21"/>
        </w:rPr>
        <w:t>their</w:t>
      </w:r>
      <w:r>
        <w:rPr>
          <w:spacing w:val="-10"/>
          <w:w w:val="105"/>
          <w:sz w:val="21"/>
        </w:rPr>
        <w:t> </w:t>
      </w:r>
      <w:r>
        <w:rPr>
          <w:w w:val="105"/>
          <w:sz w:val="21"/>
        </w:rPr>
        <w:t>costs.</w:t>
      </w:r>
      <w:r>
        <w:rPr>
          <w:w w:val="105"/>
          <w:position w:val="7"/>
          <w:sz w:val="12"/>
        </w:rPr>
        <w:t>257</w:t>
      </w:r>
      <w:r>
        <w:rPr>
          <w:w w:val="105"/>
          <w:sz w:val="12"/>
        </w:rPr>
        <w:t> </w:t>
      </w:r>
      <w:r>
        <w:rPr>
          <w:spacing w:val="-7"/>
          <w:w w:val="105"/>
          <w:sz w:val="21"/>
        </w:rPr>
        <w:t>To </w:t>
      </w:r>
      <w:r>
        <w:rPr>
          <w:w w:val="105"/>
          <w:sz w:val="21"/>
        </w:rPr>
        <w:t>address</w:t>
      </w:r>
      <w:r>
        <w:rPr>
          <w:spacing w:val="-7"/>
          <w:w w:val="105"/>
          <w:sz w:val="21"/>
        </w:rPr>
        <w:t> </w:t>
      </w:r>
      <w:r>
        <w:rPr>
          <w:w w:val="105"/>
          <w:sz w:val="21"/>
        </w:rPr>
        <w:t>this</w:t>
      </w:r>
      <w:r>
        <w:rPr>
          <w:spacing w:val="-6"/>
          <w:w w:val="105"/>
          <w:sz w:val="21"/>
        </w:rPr>
        <w:t> </w:t>
      </w:r>
      <w:r>
        <w:rPr>
          <w:spacing w:val="-3"/>
          <w:w w:val="105"/>
          <w:sz w:val="21"/>
        </w:rPr>
        <w:t>concern,</w:t>
      </w:r>
      <w:r>
        <w:rPr>
          <w:spacing w:val="-7"/>
          <w:w w:val="105"/>
          <w:sz w:val="21"/>
        </w:rPr>
        <w:t> </w:t>
      </w:r>
      <w:r>
        <w:rPr>
          <w:w w:val="105"/>
          <w:sz w:val="21"/>
        </w:rPr>
        <w:t>it</w:t>
      </w:r>
      <w:r>
        <w:rPr>
          <w:spacing w:val="-6"/>
          <w:w w:val="105"/>
          <w:sz w:val="21"/>
        </w:rPr>
        <w:t> </w:t>
      </w:r>
      <w:r>
        <w:rPr>
          <w:w w:val="105"/>
          <w:sz w:val="21"/>
        </w:rPr>
        <w:t>was</w:t>
      </w:r>
      <w:r>
        <w:rPr>
          <w:spacing w:val="-7"/>
          <w:w w:val="105"/>
          <w:sz w:val="21"/>
        </w:rPr>
        <w:t> </w:t>
      </w:r>
      <w:r>
        <w:rPr>
          <w:w w:val="105"/>
          <w:sz w:val="21"/>
        </w:rPr>
        <w:t>suggested</w:t>
      </w:r>
      <w:r>
        <w:rPr>
          <w:spacing w:val="-6"/>
          <w:w w:val="105"/>
          <w:sz w:val="21"/>
        </w:rPr>
        <w:t> </w:t>
      </w:r>
      <w:r>
        <w:rPr>
          <w:spacing w:val="-3"/>
          <w:w w:val="105"/>
          <w:sz w:val="21"/>
        </w:rPr>
        <w:t>that</w:t>
      </w:r>
      <w:r>
        <w:rPr>
          <w:spacing w:val="-7"/>
          <w:w w:val="105"/>
          <w:sz w:val="21"/>
        </w:rPr>
        <w:t> </w:t>
      </w:r>
      <w:r>
        <w:rPr>
          <w:w w:val="105"/>
          <w:sz w:val="21"/>
        </w:rPr>
        <w:t>practitioners</w:t>
      </w:r>
      <w:r>
        <w:rPr>
          <w:spacing w:val="-6"/>
          <w:w w:val="105"/>
          <w:sz w:val="21"/>
        </w:rPr>
        <w:t> </w:t>
      </w:r>
      <w:r>
        <w:rPr>
          <w:w w:val="105"/>
          <w:sz w:val="21"/>
        </w:rPr>
        <w:t>should</w:t>
      </w:r>
      <w:r>
        <w:rPr>
          <w:spacing w:val="-7"/>
          <w:w w:val="105"/>
          <w:sz w:val="21"/>
        </w:rPr>
        <w:t> </w:t>
      </w:r>
      <w:r>
        <w:rPr>
          <w:w w:val="105"/>
          <w:sz w:val="21"/>
        </w:rPr>
        <w:t>be</w:t>
      </w:r>
      <w:r>
        <w:rPr>
          <w:spacing w:val="-7"/>
          <w:w w:val="105"/>
          <w:sz w:val="21"/>
        </w:rPr>
        <w:t> </w:t>
      </w:r>
      <w:r>
        <w:rPr>
          <w:spacing w:val="-3"/>
          <w:w w:val="105"/>
          <w:sz w:val="21"/>
        </w:rPr>
        <w:t>required</w:t>
      </w:r>
      <w:r>
        <w:rPr>
          <w:spacing w:val="-6"/>
          <w:w w:val="105"/>
          <w:sz w:val="21"/>
        </w:rPr>
        <w:t> </w:t>
      </w:r>
      <w:r>
        <w:rPr>
          <w:spacing w:val="-3"/>
          <w:w w:val="105"/>
          <w:sz w:val="21"/>
        </w:rPr>
        <w:t>to</w:t>
      </w:r>
      <w:r>
        <w:rPr>
          <w:spacing w:val="-7"/>
          <w:w w:val="105"/>
          <w:sz w:val="21"/>
        </w:rPr>
        <w:t> </w:t>
      </w:r>
      <w:r>
        <w:rPr>
          <w:spacing w:val="-3"/>
          <w:w w:val="105"/>
          <w:sz w:val="21"/>
        </w:rPr>
        <w:t>bring</w:t>
      </w:r>
      <w:r>
        <w:rPr>
          <w:spacing w:val="-6"/>
          <w:w w:val="105"/>
          <w:sz w:val="21"/>
        </w:rPr>
        <w:t> </w:t>
      </w:r>
      <w:r>
        <w:rPr>
          <w:w w:val="105"/>
          <w:sz w:val="21"/>
        </w:rPr>
        <w:t>an assessment or </w:t>
      </w:r>
      <w:r>
        <w:rPr>
          <w:spacing w:val="-3"/>
          <w:w w:val="105"/>
          <w:sz w:val="21"/>
        </w:rPr>
        <w:t>estimate </w:t>
      </w:r>
      <w:r>
        <w:rPr>
          <w:w w:val="105"/>
          <w:sz w:val="21"/>
        </w:rPr>
        <w:t>of their costs </w:t>
      </w:r>
      <w:r>
        <w:rPr>
          <w:spacing w:val="-3"/>
          <w:w w:val="105"/>
          <w:sz w:val="21"/>
        </w:rPr>
        <w:t>to </w:t>
      </w:r>
      <w:r>
        <w:rPr>
          <w:w w:val="105"/>
          <w:sz w:val="21"/>
        </w:rPr>
        <w:t>mediation.</w:t>
      </w:r>
      <w:r>
        <w:rPr>
          <w:w w:val="105"/>
          <w:position w:val="7"/>
          <w:sz w:val="12"/>
        </w:rPr>
        <w:t>258 </w:t>
      </w:r>
      <w:r>
        <w:rPr>
          <w:spacing w:val="-3"/>
          <w:w w:val="105"/>
          <w:sz w:val="21"/>
        </w:rPr>
        <w:t>Such </w:t>
      </w:r>
      <w:r>
        <w:rPr>
          <w:w w:val="105"/>
          <w:sz w:val="21"/>
        </w:rPr>
        <w:t>an assessment </w:t>
      </w:r>
      <w:r>
        <w:rPr>
          <w:spacing w:val="-3"/>
          <w:w w:val="105"/>
          <w:sz w:val="21"/>
        </w:rPr>
        <w:t>could </w:t>
      </w:r>
      <w:r>
        <w:rPr>
          <w:w w:val="105"/>
          <w:sz w:val="21"/>
        </w:rPr>
        <w:t>be based on the </w:t>
      </w:r>
      <w:r>
        <w:rPr>
          <w:spacing w:val="-3"/>
          <w:w w:val="105"/>
          <w:sz w:val="21"/>
        </w:rPr>
        <w:t>relevant </w:t>
      </w:r>
      <w:r>
        <w:rPr>
          <w:w w:val="105"/>
          <w:sz w:val="21"/>
        </w:rPr>
        <w:t>court </w:t>
      </w:r>
      <w:r>
        <w:rPr>
          <w:spacing w:val="-3"/>
          <w:w w:val="105"/>
          <w:sz w:val="21"/>
        </w:rPr>
        <w:t>scale, to </w:t>
      </w:r>
      <w:r>
        <w:rPr>
          <w:w w:val="105"/>
          <w:sz w:val="21"/>
        </w:rPr>
        <w:t>provide an even basis </w:t>
      </w:r>
      <w:r>
        <w:rPr>
          <w:spacing w:val="-3"/>
          <w:w w:val="105"/>
          <w:sz w:val="21"/>
        </w:rPr>
        <w:t>for</w:t>
      </w:r>
      <w:r>
        <w:rPr>
          <w:spacing w:val="26"/>
          <w:w w:val="105"/>
          <w:sz w:val="21"/>
        </w:rPr>
        <w:t> </w:t>
      </w:r>
      <w:r>
        <w:rPr>
          <w:w w:val="105"/>
          <w:sz w:val="21"/>
        </w:rPr>
        <w:t>comparison.</w:t>
      </w:r>
      <w:r>
        <w:rPr>
          <w:w w:val="105"/>
          <w:position w:val="7"/>
          <w:sz w:val="12"/>
        </w:rPr>
        <w:t>259</w:t>
      </w:r>
    </w:p>
    <w:p>
      <w:pPr>
        <w:pStyle w:val="BodyText"/>
        <w:rPr>
          <w:sz w:val="20"/>
        </w:rPr>
      </w:pPr>
    </w:p>
    <w:p>
      <w:pPr>
        <w:pStyle w:val="BodyText"/>
        <w:rPr>
          <w:sz w:val="20"/>
        </w:rPr>
      </w:pPr>
    </w:p>
    <w:p>
      <w:pPr>
        <w:pStyle w:val="BodyText"/>
        <w:spacing w:before="4"/>
        <w:rPr>
          <w:sz w:val="12"/>
        </w:rPr>
      </w:pPr>
      <w:r>
        <w:rPr/>
        <w:pict>
          <v:line style="position:absolute;mso-position-horizontal-relative:page;mso-position-vertical-relative:paragraph;z-index:7760;mso-wrap-distance-left:0;mso-wrap-distance-right:0" from="79.370003pt,10.000391pt" to="515.905003pt,10.000391pt" stroked="true" strokeweight="1pt" strokecolor="#f9ceca">
            <v:stroke dashstyle="solid"/>
            <w10:wrap type="topAndBottom"/>
          </v:line>
        </w:pict>
      </w:r>
    </w:p>
    <w:p>
      <w:pPr>
        <w:pStyle w:val="BodyText"/>
        <w:spacing w:before="8"/>
        <w:rPr>
          <w:sz w:val="5"/>
        </w:rPr>
      </w:pPr>
    </w:p>
    <w:p>
      <w:pPr>
        <w:spacing w:after="0"/>
        <w:rPr>
          <w:sz w:val="5"/>
        </w:rPr>
        <w:sectPr>
          <w:pgSz w:w="11910" w:h="16840"/>
          <w:pgMar w:header="805" w:footer="0" w:top="1360" w:bottom="280" w:left="0" w:right="0"/>
        </w:sectPr>
      </w:pPr>
    </w:p>
    <w:p>
      <w:pPr>
        <w:pStyle w:val="ListParagraph"/>
        <w:numPr>
          <w:ilvl w:val="0"/>
          <w:numId w:val="98"/>
        </w:numPr>
        <w:tabs>
          <w:tab w:pos="2380" w:val="left" w:leader="none"/>
          <w:tab w:pos="2382" w:val="left" w:leader="none"/>
        </w:tabs>
        <w:spacing w:line="240" w:lineRule="auto" w:before="48" w:after="0"/>
        <w:ind w:left="2381" w:right="0" w:hanging="794"/>
        <w:jc w:val="left"/>
        <w:rPr>
          <w:sz w:val="13"/>
        </w:rPr>
      </w:pPr>
      <w:r>
        <w:rPr>
          <w:w w:val="105"/>
          <w:sz w:val="13"/>
        </w:rPr>
        <w:t>Supreme Court of Victoria, above n 68,</w:t>
      </w:r>
      <w:r>
        <w:rPr>
          <w:spacing w:val="2"/>
          <w:w w:val="105"/>
          <w:sz w:val="13"/>
        </w:rPr>
        <w:t> </w:t>
      </w:r>
      <w:r>
        <w:rPr>
          <w:w w:val="105"/>
          <w:sz w:val="13"/>
        </w:rPr>
        <w:t>52.</w:t>
      </w:r>
    </w:p>
    <w:p>
      <w:pPr>
        <w:pStyle w:val="ListParagraph"/>
        <w:numPr>
          <w:ilvl w:val="0"/>
          <w:numId w:val="98"/>
        </w:numPr>
        <w:tabs>
          <w:tab w:pos="2380" w:val="left" w:leader="none"/>
          <w:tab w:pos="2382" w:val="left" w:leader="none"/>
        </w:tabs>
        <w:spacing w:line="240" w:lineRule="auto" w:before="1" w:after="0"/>
        <w:ind w:left="2381" w:right="0" w:hanging="794"/>
        <w:jc w:val="left"/>
        <w:rPr>
          <w:sz w:val="13"/>
        </w:rPr>
      </w:pPr>
      <w:r>
        <w:rPr>
          <w:w w:val="105"/>
          <w:sz w:val="13"/>
        </w:rPr>
        <w:t>Ibid</w:t>
      </w:r>
      <w:r>
        <w:rPr>
          <w:spacing w:val="4"/>
          <w:w w:val="105"/>
          <w:sz w:val="13"/>
        </w:rPr>
        <w:t> </w:t>
      </w:r>
      <w:r>
        <w:rPr>
          <w:w w:val="105"/>
          <w:sz w:val="13"/>
        </w:rPr>
        <w:t>52.</w:t>
      </w:r>
    </w:p>
    <w:p>
      <w:pPr>
        <w:pStyle w:val="ListParagraph"/>
        <w:numPr>
          <w:ilvl w:val="0"/>
          <w:numId w:val="98"/>
        </w:numPr>
        <w:tabs>
          <w:tab w:pos="2380" w:val="left" w:leader="none"/>
          <w:tab w:pos="2382" w:val="left" w:leader="none"/>
        </w:tabs>
        <w:spacing w:line="240" w:lineRule="auto" w:before="2" w:after="0"/>
        <w:ind w:left="2381" w:right="0" w:hanging="794"/>
        <w:jc w:val="left"/>
        <w:rPr>
          <w:sz w:val="13"/>
        </w:rPr>
      </w:pPr>
      <w:r>
        <w:rPr>
          <w:w w:val="105"/>
          <w:sz w:val="13"/>
        </w:rPr>
        <w:t>County Court of Victoria, </w:t>
      </w:r>
      <w:r>
        <w:rPr>
          <w:i/>
          <w:w w:val="105"/>
          <w:sz w:val="13"/>
        </w:rPr>
        <w:t>Practice Note No PNCI </w:t>
      </w:r>
      <w:r>
        <w:rPr>
          <w:i/>
          <w:spacing w:val="-3"/>
          <w:w w:val="105"/>
          <w:sz w:val="13"/>
        </w:rPr>
        <w:t>2–2012  </w:t>
      </w:r>
      <w:r>
        <w:rPr>
          <w:i/>
          <w:w w:val="105"/>
          <w:sz w:val="13"/>
        </w:rPr>
        <w:t>– Operation and Management of the Damages and Compensation List (Revised)</w:t>
      </w:r>
      <w:r>
        <w:rPr>
          <w:w w:val="105"/>
          <w:sz w:val="13"/>
        </w:rPr>
        <w:t>,   1 November </w:t>
      </w:r>
      <w:r>
        <w:rPr>
          <w:spacing w:val="-3"/>
          <w:w w:val="105"/>
          <w:sz w:val="13"/>
        </w:rPr>
        <w:t>2012,</w:t>
      </w:r>
      <w:r>
        <w:rPr>
          <w:spacing w:val="13"/>
          <w:w w:val="105"/>
          <w:sz w:val="13"/>
        </w:rPr>
        <w:t> </w:t>
      </w:r>
      <w:r>
        <w:rPr>
          <w:w w:val="105"/>
          <w:sz w:val="13"/>
        </w:rPr>
        <w:t>22.</w:t>
      </w:r>
    </w:p>
    <w:p>
      <w:pPr>
        <w:pStyle w:val="ListParagraph"/>
        <w:numPr>
          <w:ilvl w:val="0"/>
          <w:numId w:val="98"/>
        </w:numPr>
        <w:tabs>
          <w:tab w:pos="2380" w:val="left" w:leader="none"/>
          <w:tab w:pos="2382" w:val="left" w:leader="none"/>
        </w:tabs>
        <w:spacing w:line="240" w:lineRule="auto" w:before="2" w:after="0"/>
        <w:ind w:left="2381" w:right="0" w:hanging="794"/>
        <w:jc w:val="left"/>
        <w:rPr>
          <w:sz w:val="13"/>
        </w:rPr>
      </w:pPr>
      <w:r>
        <w:rPr>
          <w:w w:val="105"/>
          <w:sz w:val="13"/>
        </w:rPr>
        <w:t>Submission 30a </w:t>
      </w:r>
      <w:r>
        <w:rPr>
          <w:spacing w:val="3"/>
          <w:w w:val="105"/>
          <w:sz w:val="13"/>
        </w:rPr>
        <w:t>(Law </w:t>
      </w:r>
      <w:r>
        <w:rPr>
          <w:w w:val="105"/>
          <w:sz w:val="13"/>
        </w:rPr>
        <w:t>Institute of</w:t>
      </w:r>
      <w:r>
        <w:rPr>
          <w:spacing w:val="19"/>
          <w:w w:val="105"/>
          <w:sz w:val="13"/>
        </w:rPr>
        <w:t> </w:t>
      </w:r>
      <w:r>
        <w:rPr>
          <w:spacing w:val="2"/>
          <w:w w:val="105"/>
          <w:sz w:val="13"/>
        </w:rPr>
        <w:t>Victoria).</w:t>
      </w:r>
    </w:p>
    <w:p>
      <w:pPr>
        <w:pStyle w:val="ListParagraph"/>
        <w:numPr>
          <w:ilvl w:val="0"/>
          <w:numId w:val="98"/>
        </w:numPr>
        <w:tabs>
          <w:tab w:pos="2380" w:val="left" w:leader="none"/>
          <w:tab w:pos="2382" w:val="left" w:leader="none"/>
        </w:tabs>
        <w:spacing w:line="240" w:lineRule="auto" w:before="2" w:after="0"/>
        <w:ind w:left="2381" w:right="0" w:hanging="794"/>
        <w:jc w:val="left"/>
        <w:rPr>
          <w:sz w:val="13"/>
        </w:rPr>
      </w:pPr>
      <w:r>
        <w:rPr>
          <w:w w:val="105"/>
          <w:sz w:val="13"/>
        </w:rPr>
        <w:t>Submission 35 (Andrew</w:t>
      </w:r>
      <w:r>
        <w:rPr>
          <w:spacing w:val="14"/>
          <w:w w:val="105"/>
          <w:sz w:val="13"/>
        </w:rPr>
        <w:t> </w:t>
      </w:r>
      <w:r>
        <w:rPr>
          <w:w w:val="105"/>
          <w:sz w:val="13"/>
        </w:rPr>
        <w:t>Verspaandonk).</w:t>
      </w:r>
    </w:p>
    <w:p>
      <w:pPr>
        <w:pStyle w:val="ListParagraph"/>
        <w:numPr>
          <w:ilvl w:val="0"/>
          <w:numId w:val="98"/>
        </w:numPr>
        <w:tabs>
          <w:tab w:pos="2380" w:val="left" w:leader="none"/>
          <w:tab w:pos="2382" w:val="left" w:leader="none"/>
        </w:tabs>
        <w:spacing w:line="240" w:lineRule="auto" w:before="1" w:after="0"/>
        <w:ind w:left="2381" w:right="2" w:hanging="794"/>
        <w:jc w:val="left"/>
        <w:rPr>
          <w:sz w:val="13"/>
        </w:rPr>
      </w:pPr>
      <w:r>
        <w:rPr>
          <w:w w:val="105"/>
          <w:sz w:val="13"/>
        </w:rPr>
        <w:t>Submission 37 (Supreme Court of </w:t>
      </w:r>
      <w:r>
        <w:rPr>
          <w:spacing w:val="2"/>
          <w:w w:val="105"/>
          <w:sz w:val="13"/>
        </w:rPr>
        <w:t>Victoria); </w:t>
      </w:r>
      <w:r>
        <w:rPr>
          <w:w w:val="105"/>
          <w:sz w:val="13"/>
        </w:rPr>
        <w:t>consultation 16 (Supreme Court of </w:t>
      </w:r>
      <w:r>
        <w:rPr>
          <w:spacing w:val="2"/>
          <w:w w:val="105"/>
          <w:sz w:val="13"/>
        </w:rPr>
        <w:t>Victoria—Associate </w:t>
      </w:r>
      <w:r>
        <w:rPr>
          <w:w w:val="105"/>
          <w:sz w:val="13"/>
        </w:rPr>
        <w:t>Judges). See also, Supreme Court of Victoria, above n 68,</w:t>
      </w:r>
      <w:r>
        <w:rPr>
          <w:spacing w:val="18"/>
          <w:w w:val="105"/>
          <w:sz w:val="13"/>
        </w:rPr>
        <w:t> </w:t>
      </w:r>
      <w:r>
        <w:rPr>
          <w:w w:val="105"/>
          <w:sz w:val="13"/>
        </w:rPr>
        <w:t>52.</w:t>
      </w:r>
    </w:p>
    <w:p>
      <w:pPr>
        <w:pStyle w:val="ListParagraph"/>
        <w:numPr>
          <w:ilvl w:val="0"/>
          <w:numId w:val="98"/>
        </w:numPr>
        <w:tabs>
          <w:tab w:pos="2381" w:val="left" w:leader="none"/>
          <w:tab w:pos="2382" w:val="left" w:leader="none"/>
        </w:tabs>
        <w:spacing w:line="240" w:lineRule="auto" w:before="3" w:after="0"/>
        <w:ind w:left="1587" w:right="1710" w:firstLine="0"/>
        <w:jc w:val="left"/>
        <w:rPr>
          <w:sz w:val="13"/>
        </w:rPr>
      </w:pPr>
      <w:r>
        <w:rPr>
          <w:w w:val="105"/>
          <w:sz w:val="13"/>
        </w:rPr>
        <w:t>Supreme Court of Victoria, </w:t>
      </w:r>
      <w:r>
        <w:rPr>
          <w:i/>
          <w:w w:val="105"/>
          <w:sz w:val="13"/>
        </w:rPr>
        <w:t>Practice Note No 2 of </w:t>
      </w:r>
      <w:r>
        <w:rPr>
          <w:i/>
          <w:spacing w:val="-4"/>
          <w:w w:val="105"/>
          <w:sz w:val="13"/>
        </w:rPr>
        <w:t>2012 </w:t>
      </w:r>
      <w:r>
        <w:rPr>
          <w:i/>
          <w:w w:val="105"/>
          <w:sz w:val="13"/>
        </w:rPr>
        <w:t>– Judicial Mediation Guidelines</w:t>
      </w:r>
      <w:r>
        <w:rPr>
          <w:w w:val="105"/>
          <w:sz w:val="13"/>
        </w:rPr>
        <w:t>, 30 March </w:t>
      </w:r>
      <w:r>
        <w:rPr>
          <w:spacing w:val="-3"/>
          <w:w w:val="105"/>
          <w:sz w:val="13"/>
        </w:rPr>
        <w:t>2012 </w:t>
      </w:r>
      <w:r>
        <w:rPr>
          <w:spacing w:val="3"/>
          <w:w w:val="105"/>
          <w:sz w:val="13"/>
        </w:rPr>
        <w:t>[4]. </w:t>
      </w:r>
      <w:r>
        <w:rPr>
          <w:w w:val="105"/>
          <w:sz w:val="13"/>
        </w:rPr>
        <w:t>256</w:t>
        <w:tab/>
        <w:t>Ibid [7]</w:t>
      </w:r>
      <w:r>
        <w:rPr>
          <w:spacing w:val="-15"/>
          <w:w w:val="105"/>
          <w:sz w:val="13"/>
        </w:rPr>
        <w:t> </w:t>
      </w:r>
      <w:r>
        <w:rPr>
          <w:spacing w:val="6"/>
          <w:w w:val="105"/>
          <w:sz w:val="13"/>
        </w:rPr>
        <w:t>–[8].</w:t>
      </w:r>
    </w:p>
    <w:p>
      <w:pPr>
        <w:pStyle w:val="ListParagraph"/>
        <w:numPr>
          <w:ilvl w:val="0"/>
          <w:numId w:val="99"/>
        </w:numPr>
        <w:tabs>
          <w:tab w:pos="2381" w:val="left" w:leader="none"/>
          <w:tab w:pos="2382" w:val="left" w:leader="none"/>
        </w:tabs>
        <w:spacing w:line="240" w:lineRule="auto" w:before="2" w:after="0"/>
        <w:ind w:left="2381" w:right="0" w:hanging="794"/>
        <w:jc w:val="left"/>
        <w:rPr>
          <w:sz w:val="13"/>
        </w:rPr>
      </w:pPr>
      <w:r>
        <w:rPr>
          <w:w w:val="105"/>
          <w:sz w:val="13"/>
        </w:rPr>
        <w:t>Advisory Committee (Meeting</w:t>
      </w:r>
      <w:r>
        <w:rPr>
          <w:spacing w:val="13"/>
          <w:w w:val="105"/>
          <w:sz w:val="13"/>
        </w:rPr>
        <w:t> </w:t>
      </w:r>
      <w:r>
        <w:rPr>
          <w:spacing w:val="3"/>
          <w:w w:val="105"/>
          <w:sz w:val="13"/>
        </w:rPr>
        <w:t>4).</w:t>
      </w:r>
    </w:p>
    <w:p>
      <w:pPr>
        <w:pStyle w:val="ListParagraph"/>
        <w:numPr>
          <w:ilvl w:val="0"/>
          <w:numId w:val="99"/>
        </w:numPr>
        <w:tabs>
          <w:tab w:pos="2381" w:val="left" w:leader="none"/>
          <w:tab w:pos="2382" w:val="left" w:leader="none"/>
        </w:tabs>
        <w:spacing w:line="240" w:lineRule="auto" w:before="2" w:after="0"/>
        <w:ind w:left="2381" w:right="0" w:hanging="794"/>
        <w:jc w:val="left"/>
        <w:rPr>
          <w:sz w:val="13"/>
        </w:rPr>
      </w:pPr>
      <w:r>
        <w:rPr>
          <w:sz w:val="13"/>
        </w:rPr>
        <w:t>Ibid.</w:t>
      </w:r>
    </w:p>
    <w:p>
      <w:pPr>
        <w:pStyle w:val="ListParagraph"/>
        <w:numPr>
          <w:ilvl w:val="0"/>
          <w:numId w:val="99"/>
        </w:numPr>
        <w:tabs>
          <w:tab w:pos="2381" w:val="left" w:leader="none"/>
          <w:tab w:pos="2382" w:val="left" w:leader="none"/>
        </w:tabs>
        <w:spacing w:line="240" w:lineRule="auto" w:before="1" w:after="0"/>
        <w:ind w:left="2381" w:right="0" w:hanging="794"/>
        <w:jc w:val="left"/>
        <w:rPr>
          <w:sz w:val="13"/>
        </w:rPr>
      </w:pPr>
      <w:r>
        <w:rPr>
          <w:sz w:val="13"/>
        </w:rPr>
        <w:t>Ibid.</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spacing w:before="7"/>
        <w:rPr>
          <w:sz w:val="40"/>
        </w:rPr>
      </w:pPr>
    </w:p>
    <w:p>
      <w:pPr>
        <w:spacing w:before="1"/>
        <w:ind w:left="763" w:right="575" w:firstLine="0"/>
        <w:jc w:val="center"/>
        <w:rPr>
          <w:b/>
          <w:sz w:val="24"/>
        </w:rPr>
      </w:pPr>
      <w:r>
        <w:rPr>
          <w:b/>
          <w:color w:val="EC5A4F"/>
          <w:w w:val="110"/>
          <w:sz w:val="24"/>
        </w:rPr>
        <w:t>125</w:t>
      </w:r>
    </w:p>
    <w:p>
      <w:pPr>
        <w:spacing w:after="0"/>
        <w:jc w:val="center"/>
        <w:rPr>
          <w:sz w:val="24"/>
        </w:rPr>
        <w:sectPr>
          <w:type w:val="continuous"/>
          <w:pgSz w:w="11910" w:h="16840"/>
          <w:pgMar w:top="920" w:bottom="280" w:left="0" w:right="0"/>
          <w:cols w:num="2" w:equalWidth="0">
            <w:col w:w="10090" w:space="40"/>
            <w:col w:w="1780"/>
          </w:cols>
        </w:sectPr>
      </w:pPr>
    </w:p>
    <w:p>
      <w:pPr>
        <w:pStyle w:val="BodyText"/>
        <w:spacing w:before="9"/>
        <w:rPr>
          <w:b/>
          <w:sz w:val="22"/>
        </w:rPr>
      </w:pPr>
    </w:p>
    <w:p>
      <w:pPr>
        <w:pStyle w:val="ListParagraph"/>
        <w:numPr>
          <w:ilvl w:val="0"/>
          <w:numId w:val="97"/>
        </w:numPr>
        <w:tabs>
          <w:tab w:pos="2380" w:val="left" w:leader="none"/>
          <w:tab w:pos="2381" w:val="left" w:leader="none"/>
        </w:tabs>
        <w:spacing w:line="242" w:lineRule="auto" w:before="92" w:after="0"/>
        <w:ind w:left="2381" w:right="1782" w:hanging="794"/>
        <w:jc w:val="left"/>
        <w:rPr>
          <w:sz w:val="12"/>
        </w:rPr>
      </w:pPr>
      <w:r>
        <w:rPr>
          <w:w w:val="105"/>
          <w:sz w:val="21"/>
        </w:rPr>
        <w:t>Members of the </w:t>
      </w:r>
      <w:r>
        <w:rPr>
          <w:spacing w:val="-4"/>
          <w:w w:val="105"/>
          <w:sz w:val="21"/>
        </w:rPr>
        <w:t>Commission’s </w:t>
      </w:r>
      <w:r>
        <w:rPr>
          <w:spacing w:val="-3"/>
          <w:w w:val="105"/>
          <w:sz w:val="21"/>
        </w:rPr>
        <w:t>succession </w:t>
      </w:r>
      <w:r>
        <w:rPr>
          <w:w w:val="105"/>
          <w:sz w:val="21"/>
        </w:rPr>
        <w:t>laws advisory committee suggested </w:t>
      </w:r>
      <w:r>
        <w:rPr>
          <w:spacing w:val="-3"/>
          <w:w w:val="105"/>
          <w:sz w:val="21"/>
        </w:rPr>
        <w:t>that </w:t>
      </w:r>
      <w:r>
        <w:rPr>
          <w:w w:val="105"/>
          <w:sz w:val="21"/>
        </w:rPr>
        <w:t>it should be possible </w:t>
      </w:r>
      <w:r>
        <w:rPr>
          <w:spacing w:val="-3"/>
          <w:w w:val="105"/>
          <w:sz w:val="21"/>
        </w:rPr>
        <w:t>for </w:t>
      </w:r>
      <w:r>
        <w:rPr>
          <w:w w:val="105"/>
          <w:sz w:val="21"/>
        </w:rPr>
        <w:t>practitioners with experience in the </w:t>
      </w:r>
      <w:r>
        <w:rPr>
          <w:spacing w:val="-3"/>
          <w:w w:val="105"/>
          <w:sz w:val="21"/>
        </w:rPr>
        <w:t>area to estimate </w:t>
      </w:r>
      <w:r>
        <w:rPr>
          <w:w w:val="105"/>
          <w:sz w:val="21"/>
        </w:rPr>
        <w:t>costs, at least as </w:t>
      </w:r>
      <w:r>
        <w:rPr>
          <w:spacing w:val="-4"/>
          <w:w w:val="105"/>
          <w:sz w:val="21"/>
        </w:rPr>
        <w:t>falling </w:t>
      </w:r>
      <w:r>
        <w:rPr>
          <w:spacing w:val="-3"/>
          <w:w w:val="105"/>
          <w:sz w:val="21"/>
        </w:rPr>
        <w:t>within </w:t>
      </w:r>
      <w:r>
        <w:rPr>
          <w:w w:val="105"/>
          <w:sz w:val="21"/>
        </w:rPr>
        <w:t>a particular range.</w:t>
      </w:r>
      <w:r>
        <w:rPr>
          <w:w w:val="105"/>
          <w:position w:val="7"/>
          <w:sz w:val="12"/>
        </w:rPr>
        <w:t>260 </w:t>
      </w:r>
      <w:r>
        <w:rPr>
          <w:spacing w:val="-3"/>
          <w:w w:val="105"/>
          <w:sz w:val="21"/>
        </w:rPr>
        <w:t>Importantly, such </w:t>
      </w:r>
      <w:r>
        <w:rPr>
          <w:w w:val="105"/>
          <w:sz w:val="21"/>
        </w:rPr>
        <w:t>a </w:t>
      </w:r>
      <w:r>
        <w:rPr>
          <w:spacing w:val="-3"/>
          <w:w w:val="105"/>
          <w:sz w:val="21"/>
        </w:rPr>
        <w:t>requirement </w:t>
      </w:r>
      <w:r>
        <w:rPr>
          <w:w w:val="105"/>
          <w:sz w:val="21"/>
        </w:rPr>
        <w:t>would </w:t>
      </w:r>
      <w:r>
        <w:rPr>
          <w:spacing w:val="-3"/>
          <w:w w:val="105"/>
          <w:sz w:val="21"/>
        </w:rPr>
        <w:t>allow </w:t>
      </w:r>
      <w:r>
        <w:rPr>
          <w:w w:val="105"/>
          <w:sz w:val="21"/>
        </w:rPr>
        <w:t>the </w:t>
      </w:r>
      <w:r>
        <w:rPr>
          <w:spacing w:val="-4"/>
          <w:w w:val="105"/>
          <w:sz w:val="21"/>
        </w:rPr>
        <w:t>‘real </w:t>
      </w:r>
      <w:r>
        <w:rPr>
          <w:w w:val="105"/>
          <w:sz w:val="21"/>
        </w:rPr>
        <w:t>people’ (the parties) </w:t>
      </w:r>
      <w:r>
        <w:rPr>
          <w:spacing w:val="-3"/>
          <w:w w:val="105"/>
          <w:sz w:val="21"/>
        </w:rPr>
        <w:t>involved </w:t>
      </w:r>
      <w:r>
        <w:rPr>
          <w:w w:val="105"/>
          <w:sz w:val="21"/>
        </w:rPr>
        <w:t>in the </w:t>
      </w:r>
      <w:r>
        <w:rPr>
          <w:spacing w:val="-3"/>
          <w:w w:val="105"/>
          <w:sz w:val="21"/>
        </w:rPr>
        <w:t>proceeding to </w:t>
      </w:r>
      <w:r>
        <w:rPr>
          <w:w w:val="105"/>
          <w:sz w:val="21"/>
        </w:rPr>
        <w:t>get some </w:t>
      </w:r>
      <w:r>
        <w:rPr>
          <w:spacing w:val="-3"/>
          <w:w w:val="105"/>
          <w:sz w:val="21"/>
        </w:rPr>
        <w:t>notice </w:t>
      </w:r>
      <w:r>
        <w:rPr>
          <w:w w:val="105"/>
          <w:sz w:val="21"/>
        </w:rPr>
        <w:t>of costs.</w:t>
      </w:r>
      <w:r>
        <w:rPr>
          <w:w w:val="105"/>
          <w:position w:val="7"/>
          <w:sz w:val="12"/>
        </w:rPr>
        <w:t>261</w:t>
      </w:r>
      <w:r>
        <w:rPr>
          <w:w w:val="105"/>
          <w:sz w:val="12"/>
        </w:rPr>
        <w:t> </w:t>
      </w:r>
      <w:r>
        <w:rPr>
          <w:spacing w:val="-4"/>
          <w:w w:val="105"/>
          <w:sz w:val="21"/>
        </w:rPr>
        <w:t>However,</w:t>
      </w:r>
      <w:r>
        <w:rPr>
          <w:spacing w:val="-6"/>
          <w:w w:val="105"/>
          <w:sz w:val="21"/>
        </w:rPr>
        <w:t> </w:t>
      </w:r>
      <w:r>
        <w:rPr>
          <w:w w:val="105"/>
          <w:sz w:val="21"/>
        </w:rPr>
        <w:t>it</w:t>
      </w:r>
      <w:r>
        <w:rPr>
          <w:spacing w:val="-5"/>
          <w:w w:val="105"/>
          <w:sz w:val="21"/>
        </w:rPr>
        <w:t> </w:t>
      </w:r>
      <w:r>
        <w:rPr>
          <w:w w:val="105"/>
          <w:sz w:val="21"/>
        </w:rPr>
        <w:t>was</w:t>
      </w:r>
      <w:r>
        <w:rPr>
          <w:spacing w:val="-6"/>
          <w:w w:val="105"/>
          <w:sz w:val="21"/>
        </w:rPr>
        <w:t> </w:t>
      </w:r>
      <w:r>
        <w:rPr>
          <w:w w:val="105"/>
          <w:sz w:val="21"/>
        </w:rPr>
        <w:t>emphasised</w:t>
      </w:r>
      <w:r>
        <w:rPr>
          <w:spacing w:val="-5"/>
          <w:w w:val="105"/>
          <w:sz w:val="21"/>
        </w:rPr>
        <w:t> </w:t>
      </w:r>
      <w:r>
        <w:rPr>
          <w:spacing w:val="-3"/>
          <w:w w:val="105"/>
          <w:sz w:val="21"/>
        </w:rPr>
        <w:t>that</w:t>
      </w:r>
      <w:r>
        <w:rPr>
          <w:spacing w:val="-6"/>
          <w:w w:val="105"/>
          <w:sz w:val="21"/>
        </w:rPr>
        <w:t> </w:t>
      </w:r>
      <w:r>
        <w:rPr>
          <w:spacing w:val="-3"/>
          <w:w w:val="105"/>
          <w:sz w:val="21"/>
        </w:rPr>
        <w:t>such</w:t>
      </w:r>
      <w:r>
        <w:rPr>
          <w:spacing w:val="-5"/>
          <w:w w:val="105"/>
          <w:sz w:val="21"/>
        </w:rPr>
        <w:t> </w:t>
      </w:r>
      <w:r>
        <w:rPr>
          <w:spacing w:val="-2"/>
          <w:w w:val="105"/>
          <w:sz w:val="21"/>
        </w:rPr>
        <w:t>estimates</w:t>
      </w:r>
      <w:r>
        <w:rPr>
          <w:spacing w:val="-6"/>
          <w:w w:val="105"/>
          <w:sz w:val="21"/>
        </w:rPr>
        <w:t> </w:t>
      </w:r>
      <w:r>
        <w:rPr>
          <w:w w:val="105"/>
          <w:sz w:val="21"/>
        </w:rPr>
        <w:t>should</w:t>
      </w:r>
      <w:r>
        <w:rPr>
          <w:spacing w:val="-5"/>
          <w:w w:val="105"/>
          <w:sz w:val="21"/>
        </w:rPr>
        <w:t> </w:t>
      </w:r>
      <w:r>
        <w:rPr>
          <w:spacing w:val="-2"/>
          <w:w w:val="105"/>
          <w:sz w:val="21"/>
        </w:rPr>
        <w:t>not</w:t>
      </w:r>
      <w:r>
        <w:rPr>
          <w:spacing w:val="-6"/>
          <w:w w:val="105"/>
          <w:sz w:val="21"/>
        </w:rPr>
        <w:t> </w:t>
      </w:r>
      <w:r>
        <w:rPr>
          <w:w w:val="105"/>
          <w:sz w:val="21"/>
        </w:rPr>
        <w:t>be</w:t>
      </w:r>
      <w:r>
        <w:rPr>
          <w:spacing w:val="-5"/>
          <w:w w:val="105"/>
          <w:sz w:val="21"/>
        </w:rPr>
        <w:t> </w:t>
      </w:r>
      <w:r>
        <w:rPr>
          <w:w w:val="105"/>
          <w:sz w:val="21"/>
        </w:rPr>
        <w:t>used</w:t>
      </w:r>
      <w:r>
        <w:rPr>
          <w:spacing w:val="-5"/>
          <w:w w:val="105"/>
          <w:sz w:val="21"/>
        </w:rPr>
        <w:t> </w:t>
      </w:r>
      <w:r>
        <w:rPr>
          <w:w w:val="105"/>
          <w:sz w:val="21"/>
        </w:rPr>
        <w:t>as</w:t>
      </w:r>
      <w:r>
        <w:rPr>
          <w:spacing w:val="-6"/>
          <w:w w:val="105"/>
          <w:sz w:val="21"/>
        </w:rPr>
        <w:t> </w:t>
      </w:r>
      <w:r>
        <w:rPr>
          <w:w w:val="105"/>
          <w:sz w:val="21"/>
        </w:rPr>
        <w:t>a</w:t>
      </w:r>
      <w:r>
        <w:rPr>
          <w:spacing w:val="-5"/>
          <w:w w:val="105"/>
          <w:sz w:val="21"/>
        </w:rPr>
        <w:t> </w:t>
      </w:r>
      <w:r>
        <w:rPr>
          <w:w w:val="105"/>
          <w:sz w:val="21"/>
        </w:rPr>
        <w:t>basis</w:t>
      </w:r>
      <w:r>
        <w:rPr>
          <w:spacing w:val="-6"/>
          <w:w w:val="105"/>
          <w:sz w:val="21"/>
        </w:rPr>
        <w:t> </w:t>
      </w:r>
      <w:r>
        <w:rPr>
          <w:w w:val="105"/>
          <w:sz w:val="21"/>
        </w:rPr>
        <w:t>on</w:t>
      </w:r>
      <w:r>
        <w:rPr>
          <w:spacing w:val="-5"/>
          <w:w w:val="105"/>
          <w:sz w:val="21"/>
        </w:rPr>
        <w:t> </w:t>
      </w:r>
      <w:r>
        <w:rPr>
          <w:w w:val="105"/>
          <w:sz w:val="21"/>
        </w:rPr>
        <w:t>which </w:t>
      </w:r>
      <w:r>
        <w:rPr>
          <w:spacing w:val="-3"/>
          <w:w w:val="105"/>
          <w:sz w:val="21"/>
        </w:rPr>
        <w:t>to </w:t>
      </w:r>
      <w:r>
        <w:rPr>
          <w:w w:val="105"/>
          <w:sz w:val="21"/>
        </w:rPr>
        <w:t>cap</w:t>
      </w:r>
      <w:r>
        <w:rPr>
          <w:spacing w:val="14"/>
          <w:w w:val="105"/>
          <w:sz w:val="21"/>
        </w:rPr>
        <w:t> </w:t>
      </w:r>
      <w:r>
        <w:rPr>
          <w:w w:val="105"/>
          <w:sz w:val="21"/>
        </w:rPr>
        <w:t>costs.</w:t>
      </w:r>
      <w:r>
        <w:rPr>
          <w:w w:val="105"/>
          <w:position w:val="7"/>
          <w:sz w:val="12"/>
        </w:rPr>
        <w:t>262</w:t>
      </w:r>
    </w:p>
    <w:p>
      <w:pPr>
        <w:pStyle w:val="ListParagraph"/>
        <w:numPr>
          <w:ilvl w:val="0"/>
          <w:numId w:val="97"/>
        </w:numPr>
        <w:tabs>
          <w:tab w:pos="2380" w:val="left" w:leader="none"/>
          <w:tab w:pos="2381" w:val="left" w:leader="none"/>
        </w:tabs>
        <w:spacing w:line="242" w:lineRule="auto" w:before="126" w:after="0"/>
        <w:ind w:left="2381" w:right="1948" w:hanging="794"/>
        <w:jc w:val="left"/>
        <w:rPr>
          <w:sz w:val="12"/>
        </w:rPr>
      </w:pPr>
      <w:r>
        <w:rPr>
          <w:w w:val="105"/>
          <w:sz w:val="21"/>
        </w:rPr>
        <w:t>Associate judges of the </w:t>
      </w:r>
      <w:r>
        <w:rPr>
          <w:spacing w:val="-3"/>
          <w:w w:val="105"/>
          <w:sz w:val="21"/>
        </w:rPr>
        <w:t>Supreme Court </w:t>
      </w:r>
      <w:r>
        <w:rPr>
          <w:w w:val="105"/>
          <w:sz w:val="21"/>
        </w:rPr>
        <w:t>also </w:t>
      </w:r>
      <w:r>
        <w:rPr>
          <w:spacing w:val="-3"/>
          <w:w w:val="105"/>
          <w:sz w:val="21"/>
        </w:rPr>
        <w:t>noted that, </w:t>
      </w:r>
      <w:r>
        <w:rPr>
          <w:w w:val="105"/>
          <w:sz w:val="21"/>
        </w:rPr>
        <w:t>as of this </w:t>
      </w:r>
      <w:r>
        <w:rPr>
          <w:spacing w:val="-5"/>
          <w:w w:val="105"/>
          <w:sz w:val="21"/>
        </w:rPr>
        <w:t>year, </w:t>
      </w:r>
      <w:r>
        <w:rPr>
          <w:w w:val="105"/>
          <w:sz w:val="21"/>
        </w:rPr>
        <w:t>they </w:t>
      </w:r>
      <w:r>
        <w:rPr>
          <w:spacing w:val="-3"/>
          <w:w w:val="105"/>
          <w:sz w:val="21"/>
        </w:rPr>
        <w:t>have </w:t>
      </w:r>
      <w:r>
        <w:rPr>
          <w:w w:val="105"/>
          <w:sz w:val="21"/>
        </w:rPr>
        <w:t>been </w:t>
      </w:r>
      <w:r>
        <w:rPr>
          <w:spacing w:val="-3"/>
          <w:w w:val="105"/>
          <w:sz w:val="21"/>
        </w:rPr>
        <w:t>requiring </w:t>
      </w:r>
      <w:r>
        <w:rPr>
          <w:w w:val="105"/>
          <w:sz w:val="21"/>
        </w:rPr>
        <w:t>affidavits as </w:t>
      </w:r>
      <w:r>
        <w:rPr>
          <w:spacing w:val="-3"/>
          <w:w w:val="105"/>
          <w:sz w:val="21"/>
        </w:rPr>
        <w:t>to </w:t>
      </w:r>
      <w:r>
        <w:rPr>
          <w:w w:val="105"/>
          <w:sz w:val="21"/>
        </w:rPr>
        <w:t>costs and </w:t>
      </w:r>
      <w:r>
        <w:rPr>
          <w:spacing w:val="-3"/>
          <w:w w:val="105"/>
          <w:sz w:val="21"/>
        </w:rPr>
        <w:t>have </w:t>
      </w:r>
      <w:r>
        <w:rPr>
          <w:w w:val="105"/>
          <w:sz w:val="21"/>
        </w:rPr>
        <w:t>been </w:t>
      </w:r>
      <w:r>
        <w:rPr>
          <w:spacing w:val="-3"/>
          <w:w w:val="105"/>
          <w:sz w:val="21"/>
        </w:rPr>
        <w:t>enforcing </w:t>
      </w:r>
      <w:r>
        <w:rPr>
          <w:w w:val="105"/>
          <w:sz w:val="21"/>
        </w:rPr>
        <w:t>the </w:t>
      </w:r>
      <w:r>
        <w:rPr>
          <w:spacing w:val="-3"/>
          <w:w w:val="105"/>
          <w:sz w:val="21"/>
        </w:rPr>
        <w:t>Civil Procedure </w:t>
      </w:r>
      <w:r>
        <w:rPr>
          <w:w w:val="105"/>
          <w:sz w:val="21"/>
        </w:rPr>
        <w:t>Act </w:t>
      </w:r>
      <w:r>
        <w:rPr>
          <w:spacing w:val="-3"/>
          <w:w w:val="105"/>
          <w:sz w:val="21"/>
        </w:rPr>
        <w:t>requirement</w:t>
      </w:r>
      <w:r>
        <w:rPr>
          <w:spacing w:val="-14"/>
          <w:w w:val="105"/>
          <w:sz w:val="21"/>
        </w:rPr>
        <w:t> </w:t>
      </w:r>
      <w:r>
        <w:rPr>
          <w:spacing w:val="-3"/>
          <w:w w:val="105"/>
          <w:sz w:val="21"/>
        </w:rPr>
        <w:t>that</w:t>
      </w:r>
      <w:r>
        <w:rPr>
          <w:spacing w:val="-13"/>
          <w:w w:val="105"/>
          <w:sz w:val="21"/>
        </w:rPr>
        <w:t> </w:t>
      </w:r>
      <w:r>
        <w:rPr>
          <w:w w:val="105"/>
          <w:sz w:val="21"/>
        </w:rPr>
        <w:t>costs</w:t>
      </w:r>
      <w:r>
        <w:rPr>
          <w:spacing w:val="-13"/>
          <w:w w:val="105"/>
          <w:sz w:val="21"/>
        </w:rPr>
        <w:t> </w:t>
      </w:r>
      <w:r>
        <w:rPr>
          <w:w w:val="105"/>
          <w:sz w:val="21"/>
        </w:rPr>
        <w:t>be</w:t>
      </w:r>
      <w:r>
        <w:rPr>
          <w:spacing w:val="-14"/>
          <w:w w:val="105"/>
          <w:sz w:val="21"/>
        </w:rPr>
        <w:t> </w:t>
      </w:r>
      <w:r>
        <w:rPr>
          <w:w w:val="105"/>
          <w:sz w:val="21"/>
        </w:rPr>
        <w:t>proportionate</w:t>
      </w:r>
      <w:r>
        <w:rPr>
          <w:spacing w:val="-13"/>
          <w:w w:val="105"/>
          <w:sz w:val="21"/>
        </w:rPr>
        <w:t> </w:t>
      </w:r>
      <w:r>
        <w:rPr>
          <w:spacing w:val="-3"/>
          <w:w w:val="105"/>
          <w:sz w:val="21"/>
        </w:rPr>
        <w:t>to</w:t>
      </w:r>
      <w:r>
        <w:rPr>
          <w:spacing w:val="-13"/>
          <w:w w:val="105"/>
          <w:sz w:val="21"/>
        </w:rPr>
        <w:t> </w:t>
      </w:r>
      <w:r>
        <w:rPr>
          <w:w w:val="105"/>
          <w:sz w:val="21"/>
        </w:rPr>
        <w:t>the</w:t>
      </w:r>
      <w:r>
        <w:rPr>
          <w:spacing w:val="-13"/>
          <w:w w:val="105"/>
          <w:sz w:val="21"/>
        </w:rPr>
        <w:t> </w:t>
      </w:r>
      <w:r>
        <w:rPr>
          <w:w w:val="105"/>
          <w:sz w:val="21"/>
        </w:rPr>
        <w:t>complexity</w:t>
      </w:r>
      <w:r>
        <w:rPr>
          <w:spacing w:val="-14"/>
          <w:w w:val="105"/>
          <w:sz w:val="21"/>
        </w:rPr>
        <w:t> </w:t>
      </w:r>
      <w:r>
        <w:rPr>
          <w:w w:val="105"/>
          <w:sz w:val="21"/>
        </w:rPr>
        <w:t>or</w:t>
      </w:r>
      <w:r>
        <w:rPr>
          <w:spacing w:val="-13"/>
          <w:w w:val="105"/>
          <w:sz w:val="21"/>
        </w:rPr>
        <w:t> </w:t>
      </w:r>
      <w:r>
        <w:rPr>
          <w:w w:val="105"/>
          <w:sz w:val="21"/>
        </w:rPr>
        <w:t>importance</w:t>
      </w:r>
      <w:r>
        <w:rPr>
          <w:spacing w:val="-13"/>
          <w:w w:val="105"/>
          <w:sz w:val="21"/>
        </w:rPr>
        <w:t> </w:t>
      </w:r>
      <w:r>
        <w:rPr>
          <w:w w:val="105"/>
          <w:sz w:val="21"/>
        </w:rPr>
        <w:t>of</w:t>
      </w:r>
      <w:r>
        <w:rPr>
          <w:spacing w:val="-14"/>
          <w:w w:val="105"/>
          <w:sz w:val="21"/>
        </w:rPr>
        <w:t> </w:t>
      </w:r>
      <w:r>
        <w:rPr>
          <w:w w:val="105"/>
          <w:sz w:val="21"/>
        </w:rPr>
        <w:t>the</w:t>
      </w:r>
      <w:r>
        <w:rPr>
          <w:spacing w:val="-13"/>
          <w:w w:val="105"/>
          <w:sz w:val="21"/>
        </w:rPr>
        <w:t> </w:t>
      </w:r>
      <w:r>
        <w:rPr>
          <w:w w:val="105"/>
          <w:sz w:val="21"/>
        </w:rPr>
        <w:t>issues in </w:t>
      </w:r>
      <w:r>
        <w:rPr>
          <w:spacing w:val="-3"/>
          <w:w w:val="105"/>
          <w:sz w:val="21"/>
        </w:rPr>
        <w:t>dispute </w:t>
      </w:r>
      <w:r>
        <w:rPr>
          <w:w w:val="105"/>
          <w:sz w:val="21"/>
        </w:rPr>
        <w:t>and the </w:t>
      </w:r>
      <w:r>
        <w:rPr>
          <w:spacing w:val="-3"/>
          <w:w w:val="105"/>
          <w:sz w:val="21"/>
        </w:rPr>
        <w:t>amount </w:t>
      </w:r>
      <w:r>
        <w:rPr>
          <w:w w:val="105"/>
          <w:sz w:val="21"/>
        </w:rPr>
        <w:t>in</w:t>
      </w:r>
      <w:r>
        <w:rPr>
          <w:spacing w:val="37"/>
          <w:w w:val="105"/>
          <w:sz w:val="21"/>
        </w:rPr>
        <w:t> </w:t>
      </w:r>
      <w:r>
        <w:rPr>
          <w:spacing w:val="-3"/>
          <w:w w:val="105"/>
          <w:sz w:val="21"/>
        </w:rPr>
        <w:t>dispute.</w:t>
      </w:r>
      <w:r>
        <w:rPr>
          <w:spacing w:val="-3"/>
          <w:w w:val="105"/>
          <w:position w:val="7"/>
          <w:sz w:val="12"/>
        </w:rPr>
        <w:t>263</w:t>
      </w:r>
    </w:p>
    <w:p>
      <w:pPr>
        <w:pStyle w:val="BodyText"/>
        <w:rPr>
          <w:sz w:val="27"/>
        </w:rPr>
      </w:pPr>
    </w:p>
    <w:p>
      <w:pPr>
        <w:pStyle w:val="Heading6"/>
        <w:spacing w:before="1"/>
      </w:pPr>
      <w:r>
        <w:rPr>
          <w:w w:val="115"/>
        </w:rPr>
        <w:t>Summary determination</w:t>
      </w:r>
    </w:p>
    <w:p>
      <w:pPr>
        <w:pStyle w:val="ListParagraph"/>
        <w:numPr>
          <w:ilvl w:val="0"/>
          <w:numId w:val="97"/>
        </w:numPr>
        <w:tabs>
          <w:tab w:pos="2382" w:val="left" w:leader="none"/>
        </w:tabs>
        <w:spacing w:line="242" w:lineRule="auto" w:before="151" w:after="0"/>
        <w:ind w:left="2381" w:right="1680" w:hanging="794"/>
        <w:jc w:val="both"/>
        <w:rPr>
          <w:sz w:val="21"/>
        </w:rPr>
      </w:pPr>
      <w:r>
        <w:rPr>
          <w:spacing w:val="-3"/>
          <w:w w:val="105"/>
          <w:sz w:val="21"/>
        </w:rPr>
        <w:t>Through </w:t>
      </w:r>
      <w:r>
        <w:rPr>
          <w:w w:val="105"/>
          <w:sz w:val="21"/>
        </w:rPr>
        <w:t>the </w:t>
      </w:r>
      <w:r>
        <w:rPr>
          <w:spacing w:val="-3"/>
          <w:w w:val="105"/>
          <w:sz w:val="21"/>
        </w:rPr>
        <w:t>consultation </w:t>
      </w:r>
      <w:r>
        <w:rPr>
          <w:w w:val="105"/>
          <w:sz w:val="21"/>
        </w:rPr>
        <w:t>process, the </w:t>
      </w:r>
      <w:r>
        <w:rPr>
          <w:spacing w:val="-3"/>
          <w:w w:val="105"/>
          <w:sz w:val="21"/>
        </w:rPr>
        <w:t>Commission </w:t>
      </w:r>
      <w:r>
        <w:rPr>
          <w:spacing w:val="-2"/>
          <w:w w:val="105"/>
          <w:sz w:val="21"/>
        </w:rPr>
        <w:t>raised </w:t>
      </w:r>
      <w:r>
        <w:rPr>
          <w:w w:val="105"/>
          <w:sz w:val="21"/>
        </w:rPr>
        <w:t>the possibility of a specific </w:t>
      </w:r>
      <w:r>
        <w:rPr>
          <w:spacing w:val="-3"/>
          <w:w w:val="105"/>
          <w:sz w:val="21"/>
        </w:rPr>
        <w:t>rule </w:t>
      </w:r>
      <w:r>
        <w:rPr>
          <w:w w:val="105"/>
          <w:sz w:val="21"/>
        </w:rPr>
        <w:t>permitting both the </w:t>
      </w:r>
      <w:r>
        <w:rPr>
          <w:spacing w:val="-3"/>
          <w:w w:val="105"/>
          <w:sz w:val="21"/>
        </w:rPr>
        <w:t>County Court </w:t>
      </w:r>
      <w:r>
        <w:rPr>
          <w:w w:val="105"/>
          <w:sz w:val="21"/>
        </w:rPr>
        <w:t>and the </w:t>
      </w:r>
      <w:r>
        <w:rPr>
          <w:spacing w:val="-3"/>
          <w:w w:val="105"/>
          <w:sz w:val="21"/>
        </w:rPr>
        <w:t>Supreme Court to summarily determine family provision proceedings </w:t>
      </w:r>
      <w:r>
        <w:rPr>
          <w:w w:val="105"/>
          <w:sz w:val="21"/>
        </w:rPr>
        <w:t>where the </w:t>
      </w:r>
      <w:r>
        <w:rPr>
          <w:spacing w:val="-3"/>
          <w:w w:val="105"/>
          <w:sz w:val="21"/>
        </w:rPr>
        <w:t>value </w:t>
      </w:r>
      <w:r>
        <w:rPr>
          <w:w w:val="105"/>
          <w:sz w:val="21"/>
        </w:rPr>
        <w:t>of the estate was less </w:t>
      </w:r>
      <w:r>
        <w:rPr>
          <w:spacing w:val="-3"/>
          <w:w w:val="105"/>
          <w:sz w:val="21"/>
        </w:rPr>
        <w:t>than </w:t>
      </w:r>
      <w:r>
        <w:rPr>
          <w:w w:val="105"/>
          <w:sz w:val="21"/>
        </w:rPr>
        <w:t>a certain</w:t>
      </w:r>
      <w:r>
        <w:rPr>
          <w:spacing w:val="-5"/>
          <w:w w:val="105"/>
          <w:sz w:val="21"/>
        </w:rPr>
        <w:t> </w:t>
      </w:r>
      <w:r>
        <w:rPr>
          <w:spacing w:val="-3"/>
          <w:w w:val="105"/>
          <w:sz w:val="21"/>
        </w:rPr>
        <w:t>amount.</w:t>
      </w:r>
    </w:p>
    <w:p>
      <w:pPr>
        <w:pStyle w:val="ListParagraph"/>
        <w:numPr>
          <w:ilvl w:val="0"/>
          <w:numId w:val="97"/>
        </w:numPr>
        <w:tabs>
          <w:tab w:pos="2380" w:val="left" w:leader="none"/>
          <w:tab w:pos="2381" w:val="left" w:leader="none"/>
        </w:tabs>
        <w:spacing w:line="242" w:lineRule="auto" w:before="123" w:after="0"/>
        <w:ind w:left="2381" w:right="1889" w:hanging="794"/>
        <w:jc w:val="left"/>
        <w:rPr>
          <w:sz w:val="21"/>
        </w:rPr>
      </w:pPr>
      <w:r>
        <w:rPr>
          <w:w w:val="105"/>
          <w:sz w:val="21"/>
        </w:rPr>
        <w:t>In South </w:t>
      </w:r>
      <w:r>
        <w:rPr>
          <w:spacing w:val="-3"/>
          <w:w w:val="105"/>
          <w:sz w:val="21"/>
        </w:rPr>
        <w:t>Australia, for example, </w:t>
      </w:r>
      <w:r>
        <w:rPr>
          <w:w w:val="105"/>
          <w:sz w:val="21"/>
        </w:rPr>
        <w:t>the court </w:t>
      </w:r>
      <w:r>
        <w:rPr>
          <w:spacing w:val="-3"/>
          <w:w w:val="105"/>
          <w:sz w:val="21"/>
        </w:rPr>
        <w:t>may determine </w:t>
      </w:r>
      <w:r>
        <w:rPr>
          <w:w w:val="105"/>
          <w:sz w:val="21"/>
        </w:rPr>
        <w:t>a </w:t>
      </w:r>
      <w:r>
        <w:rPr>
          <w:spacing w:val="-3"/>
          <w:w w:val="105"/>
          <w:sz w:val="21"/>
        </w:rPr>
        <w:t>family provision proceeding summarily</w:t>
      </w:r>
      <w:r>
        <w:rPr>
          <w:spacing w:val="5"/>
          <w:w w:val="105"/>
          <w:sz w:val="21"/>
        </w:rPr>
        <w:t> </w:t>
      </w:r>
      <w:r>
        <w:rPr>
          <w:w w:val="105"/>
          <w:sz w:val="21"/>
        </w:rPr>
        <w:t>when:</w:t>
      </w:r>
    </w:p>
    <w:p>
      <w:pPr>
        <w:pStyle w:val="ListParagraph"/>
        <w:numPr>
          <w:ilvl w:val="1"/>
          <w:numId w:val="97"/>
        </w:numPr>
        <w:tabs>
          <w:tab w:pos="2721" w:val="left" w:leader="none"/>
          <w:tab w:pos="2722" w:val="left" w:leader="none"/>
        </w:tabs>
        <w:spacing w:line="242" w:lineRule="auto" w:before="122" w:after="0"/>
        <w:ind w:left="2721" w:right="2315" w:hanging="340"/>
        <w:jc w:val="left"/>
        <w:rPr>
          <w:sz w:val="21"/>
        </w:rPr>
      </w:pPr>
      <w:r>
        <w:rPr>
          <w:sz w:val="21"/>
        </w:rPr>
        <w:t>there </w:t>
      </w:r>
      <w:r>
        <w:rPr>
          <w:spacing w:val="-3"/>
          <w:sz w:val="21"/>
        </w:rPr>
        <w:t>are reasonable grounds </w:t>
      </w:r>
      <w:r>
        <w:rPr>
          <w:sz w:val="21"/>
        </w:rPr>
        <w:t>on which </w:t>
      </w:r>
      <w:r>
        <w:rPr>
          <w:spacing w:val="-3"/>
          <w:sz w:val="21"/>
        </w:rPr>
        <w:t>to conclude that </w:t>
      </w:r>
      <w:r>
        <w:rPr>
          <w:sz w:val="21"/>
        </w:rPr>
        <w:t>the net estate of the deceased </w:t>
      </w:r>
      <w:r>
        <w:rPr>
          <w:spacing w:val="-3"/>
          <w:sz w:val="21"/>
        </w:rPr>
        <w:t>that will </w:t>
      </w:r>
      <w:r>
        <w:rPr>
          <w:sz w:val="21"/>
        </w:rPr>
        <w:t>be </w:t>
      </w:r>
      <w:r>
        <w:rPr>
          <w:spacing w:val="-3"/>
          <w:sz w:val="21"/>
        </w:rPr>
        <w:t>available for </w:t>
      </w:r>
      <w:r>
        <w:rPr>
          <w:spacing w:val="-2"/>
          <w:sz w:val="21"/>
        </w:rPr>
        <w:t>distribution </w:t>
      </w:r>
      <w:r>
        <w:rPr>
          <w:spacing w:val="-3"/>
          <w:sz w:val="21"/>
        </w:rPr>
        <w:t>will </w:t>
      </w:r>
      <w:r>
        <w:rPr>
          <w:sz w:val="21"/>
        </w:rPr>
        <w:t>be less </w:t>
      </w:r>
      <w:r>
        <w:rPr>
          <w:spacing w:val="-3"/>
          <w:sz w:val="21"/>
        </w:rPr>
        <w:t>than </w:t>
      </w:r>
      <w:r>
        <w:rPr>
          <w:sz w:val="21"/>
        </w:rPr>
        <w:t>$500,000,</w:t>
      </w:r>
      <w:r>
        <w:rPr>
          <w:spacing w:val="5"/>
          <w:sz w:val="21"/>
        </w:rPr>
        <w:t> </w:t>
      </w:r>
      <w:r>
        <w:rPr>
          <w:sz w:val="21"/>
        </w:rPr>
        <w:t>and</w:t>
      </w:r>
    </w:p>
    <w:p>
      <w:pPr>
        <w:pStyle w:val="ListParagraph"/>
        <w:numPr>
          <w:ilvl w:val="1"/>
          <w:numId w:val="97"/>
        </w:numPr>
        <w:tabs>
          <w:tab w:pos="2721" w:val="left" w:leader="none"/>
          <w:tab w:pos="2722" w:val="left" w:leader="none"/>
        </w:tabs>
        <w:spacing w:line="240" w:lineRule="auto" w:before="116" w:after="0"/>
        <w:ind w:left="2721" w:right="0" w:hanging="340"/>
        <w:jc w:val="left"/>
        <w:rPr>
          <w:sz w:val="12"/>
        </w:rPr>
      </w:pPr>
      <w:r>
        <w:rPr>
          <w:sz w:val="21"/>
        </w:rPr>
        <w:t>it</w:t>
      </w:r>
      <w:r>
        <w:rPr>
          <w:spacing w:val="8"/>
          <w:sz w:val="21"/>
        </w:rPr>
        <w:t> </w:t>
      </w:r>
      <w:r>
        <w:rPr>
          <w:sz w:val="21"/>
        </w:rPr>
        <w:t>is</w:t>
      </w:r>
      <w:r>
        <w:rPr>
          <w:spacing w:val="8"/>
          <w:sz w:val="21"/>
        </w:rPr>
        <w:t> </w:t>
      </w:r>
      <w:r>
        <w:rPr>
          <w:sz w:val="21"/>
        </w:rPr>
        <w:t>in</w:t>
      </w:r>
      <w:r>
        <w:rPr>
          <w:spacing w:val="9"/>
          <w:sz w:val="21"/>
        </w:rPr>
        <w:t> </w:t>
      </w:r>
      <w:r>
        <w:rPr>
          <w:sz w:val="21"/>
        </w:rPr>
        <w:t>the</w:t>
      </w:r>
      <w:r>
        <w:rPr>
          <w:spacing w:val="8"/>
          <w:sz w:val="21"/>
        </w:rPr>
        <w:t> </w:t>
      </w:r>
      <w:r>
        <w:rPr>
          <w:sz w:val="21"/>
        </w:rPr>
        <w:t>interests</w:t>
      </w:r>
      <w:r>
        <w:rPr>
          <w:spacing w:val="8"/>
          <w:sz w:val="21"/>
        </w:rPr>
        <w:t> </w:t>
      </w:r>
      <w:r>
        <w:rPr>
          <w:sz w:val="21"/>
        </w:rPr>
        <w:t>of</w:t>
      </w:r>
      <w:r>
        <w:rPr>
          <w:spacing w:val="9"/>
          <w:sz w:val="21"/>
        </w:rPr>
        <w:t> </w:t>
      </w:r>
      <w:r>
        <w:rPr>
          <w:spacing w:val="-3"/>
          <w:sz w:val="21"/>
        </w:rPr>
        <w:t>justice</w:t>
      </w:r>
      <w:r>
        <w:rPr>
          <w:spacing w:val="8"/>
          <w:sz w:val="21"/>
        </w:rPr>
        <w:t> </w:t>
      </w:r>
      <w:r>
        <w:rPr>
          <w:spacing w:val="-3"/>
          <w:sz w:val="21"/>
        </w:rPr>
        <w:t>to</w:t>
      </w:r>
      <w:r>
        <w:rPr>
          <w:spacing w:val="9"/>
          <w:sz w:val="21"/>
        </w:rPr>
        <w:t> </w:t>
      </w:r>
      <w:r>
        <w:rPr>
          <w:sz w:val="21"/>
        </w:rPr>
        <w:t>do</w:t>
      </w:r>
      <w:r>
        <w:rPr>
          <w:spacing w:val="8"/>
          <w:sz w:val="21"/>
        </w:rPr>
        <w:t> </w:t>
      </w:r>
      <w:r>
        <w:rPr>
          <w:sz w:val="21"/>
        </w:rPr>
        <w:t>so.</w:t>
      </w:r>
      <w:r>
        <w:rPr>
          <w:position w:val="7"/>
          <w:sz w:val="12"/>
        </w:rPr>
        <w:t>264</w:t>
      </w:r>
    </w:p>
    <w:p>
      <w:pPr>
        <w:pStyle w:val="ListParagraph"/>
        <w:numPr>
          <w:ilvl w:val="0"/>
          <w:numId w:val="97"/>
        </w:numPr>
        <w:tabs>
          <w:tab w:pos="2381" w:val="left" w:leader="none"/>
          <w:tab w:pos="2382" w:val="left" w:leader="none"/>
        </w:tabs>
        <w:spacing w:line="240" w:lineRule="auto" w:before="117" w:after="0"/>
        <w:ind w:left="2381" w:right="0" w:hanging="794"/>
        <w:jc w:val="left"/>
        <w:rPr>
          <w:sz w:val="21"/>
        </w:rPr>
      </w:pPr>
      <w:r>
        <w:rPr>
          <w:w w:val="105"/>
          <w:sz w:val="21"/>
        </w:rPr>
        <w:t>Summary</w:t>
      </w:r>
      <w:r>
        <w:rPr>
          <w:spacing w:val="5"/>
          <w:w w:val="105"/>
          <w:sz w:val="21"/>
        </w:rPr>
        <w:t> </w:t>
      </w:r>
      <w:r>
        <w:rPr>
          <w:spacing w:val="-3"/>
          <w:w w:val="105"/>
          <w:sz w:val="21"/>
        </w:rPr>
        <w:t>determination:</w:t>
      </w:r>
    </w:p>
    <w:p>
      <w:pPr>
        <w:pStyle w:val="ListParagraph"/>
        <w:numPr>
          <w:ilvl w:val="1"/>
          <w:numId w:val="97"/>
        </w:numPr>
        <w:tabs>
          <w:tab w:pos="2721" w:val="left" w:leader="none"/>
          <w:tab w:pos="2722" w:val="left" w:leader="none"/>
        </w:tabs>
        <w:spacing w:line="240" w:lineRule="auto" w:before="123" w:after="0"/>
        <w:ind w:left="2721" w:right="0" w:hanging="340"/>
        <w:jc w:val="left"/>
        <w:rPr>
          <w:sz w:val="21"/>
        </w:rPr>
      </w:pPr>
      <w:r>
        <w:rPr>
          <w:spacing w:val="-3"/>
          <w:w w:val="105"/>
          <w:sz w:val="21"/>
        </w:rPr>
        <w:t>may </w:t>
      </w:r>
      <w:r>
        <w:rPr>
          <w:w w:val="105"/>
          <w:sz w:val="21"/>
        </w:rPr>
        <w:t>be made by a</w:t>
      </w:r>
      <w:r>
        <w:rPr>
          <w:spacing w:val="28"/>
          <w:w w:val="105"/>
          <w:sz w:val="21"/>
        </w:rPr>
        <w:t> </w:t>
      </w:r>
      <w:r>
        <w:rPr>
          <w:w w:val="105"/>
          <w:sz w:val="21"/>
        </w:rPr>
        <w:t>master</w:t>
      </w:r>
    </w:p>
    <w:p>
      <w:pPr>
        <w:pStyle w:val="ListParagraph"/>
        <w:numPr>
          <w:ilvl w:val="1"/>
          <w:numId w:val="97"/>
        </w:numPr>
        <w:tabs>
          <w:tab w:pos="2721" w:val="left" w:leader="none"/>
          <w:tab w:pos="2722" w:val="left" w:leader="none"/>
        </w:tabs>
        <w:spacing w:line="240" w:lineRule="auto" w:before="117" w:after="0"/>
        <w:ind w:left="2721" w:right="0" w:hanging="340"/>
        <w:jc w:val="left"/>
        <w:rPr>
          <w:sz w:val="21"/>
        </w:rPr>
      </w:pPr>
      <w:r>
        <w:rPr>
          <w:sz w:val="21"/>
        </w:rPr>
        <w:t>is</w:t>
      </w:r>
      <w:r>
        <w:rPr>
          <w:spacing w:val="9"/>
          <w:sz w:val="21"/>
        </w:rPr>
        <w:t> </w:t>
      </w:r>
      <w:r>
        <w:rPr>
          <w:spacing w:val="-3"/>
          <w:sz w:val="21"/>
        </w:rPr>
        <w:t>to</w:t>
      </w:r>
      <w:r>
        <w:rPr>
          <w:spacing w:val="10"/>
          <w:sz w:val="21"/>
        </w:rPr>
        <w:t> </w:t>
      </w:r>
      <w:r>
        <w:rPr>
          <w:sz w:val="21"/>
        </w:rPr>
        <w:t>proceed</w:t>
      </w:r>
      <w:r>
        <w:rPr>
          <w:spacing w:val="10"/>
          <w:sz w:val="21"/>
        </w:rPr>
        <w:t> </w:t>
      </w:r>
      <w:r>
        <w:rPr>
          <w:sz w:val="21"/>
        </w:rPr>
        <w:t>in</w:t>
      </w:r>
      <w:r>
        <w:rPr>
          <w:spacing w:val="10"/>
          <w:sz w:val="21"/>
        </w:rPr>
        <w:t> </w:t>
      </w:r>
      <w:r>
        <w:rPr>
          <w:spacing w:val="-3"/>
          <w:sz w:val="21"/>
        </w:rPr>
        <w:t>accordance</w:t>
      </w:r>
      <w:r>
        <w:rPr>
          <w:spacing w:val="9"/>
          <w:sz w:val="21"/>
        </w:rPr>
        <w:t> </w:t>
      </w:r>
      <w:r>
        <w:rPr>
          <w:sz w:val="21"/>
        </w:rPr>
        <w:t>with</w:t>
      </w:r>
      <w:r>
        <w:rPr>
          <w:spacing w:val="10"/>
          <w:sz w:val="21"/>
        </w:rPr>
        <w:t> </w:t>
      </w:r>
      <w:r>
        <w:rPr>
          <w:spacing w:val="-3"/>
          <w:sz w:val="21"/>
        </w:rPr>
        <w:t>such</w:t>
      </w:r>
      <w:r>
        <w:rPr>
          <w:spacing w:val="10"/>
          <w:sz w:val="21"/>
        </w:rPr>
        <w:t> </w:t>
      </w:r>
      <w:r>
        <w:rPr>
          <w:sz w:val="21"/>
        </w:rPr>
        <w:t>directions</w:t>
      </w:r>
      <w:r>
        <w:rPr>
          <w:spacing w:val="10"/>
          <w:sz w:val="21"/>
        </w:rPr>
        <w:t> </w:t>
      </w:r>
      <w:r>
        <w:rPr>
          <w:sz w:val="21"/>
        </w:rPr>
        <w:t>as</w:t>
      </w:r>
      <w:r>
        <w:rPr>
          <w:spacing w:val="10"/>
          <w:sz w:val="21"/>
        </w:rPr>
        <w:t> </w:t>
      </w:r>
      <w:r>
        <w:rPr>
          <w:spacing w:val="-3"/>
          <w:sz w:val="21"/>
        </w:rPr>
        <w:t>are</w:t>
      </w:r>
      <w:r>
        <w:rPr>
          <w:spacing w:val="9"/>
          <w:sz w:val="21"/>
        </w:rPr>
        <w:t> </w:t>
      </w:r>
      <w:r>
        <w:rPr>
          <w:sz w:val="21"/>
        </w:rPr>
        <w:t>given</w:t>
      </w:r>
      <w:r>
        <w:rPr>
          <w:spacing w:val="10"/>
          <w:sz w:val="21"/>
        </w:rPr>
        <w:t> </w:t>
      </w:r>
      <w:r>
        <w:rPr>
          <w:sz w:val="21"/>
        </w:rPr>
        <w:t>by</w:t>
      </w:r>
      <w:r>
        <w:rPr>
          <w:spacing w:val="10"/>
          <w:sz w:val="21"/>
        </w:rPr>
        <w:t> </w:t>
      </w:r>
      <w:r>
        <w:rPr>
          <w:sz w:val="21"/>
        </w:rPr>
        <w:t>the</w:t>
      </w:r>
      <w:r>
        <w:rPr>
          <w:spacing w:val="10"/>
          <w:sz w:val="21"/>
        </w:rPr>
        <w:t> </w:t>
      </w:r>
      <w:r>
        <w:rPr>
          <w:sz w:val="21"/>
        </w:rPr>
        <w:t>court</w:t>
      </w:r>
    </w:p>
    <w:p>
      <w:pPr>
        <w:pStyle w:val="ListParagraph"/>
        <w:numPr>
          <w:ilvl w:val="1"/>
          <w:numId w:val="97"/>
        </w:numPr>
        <w:tabs>
          <w:tab w:pos="2721" w:val="left" w:leader="none"/>
          <w:tab w:pos="2722" w:val="left" w:leader="none"/>
        </w:tabs>
        <w:spacing w:line="242" w:lineRule="auto" w:before="118" w:after="0"/>
        <w:ind w:left="2721" w:right="1938" w:hanging="340"/>
        <w:jc w:val="left"/>
        <w:rPr>
          <w:sz w:val="21"/>
        </w:rPr>
      </w:pPr>
      <w:r>
        <w:rPr>
          <w:spacing w:val="-3"/>
          <w:w w:val="105"/>
          <w:sz w:val="21"/>
        </w:rPr>
        <w:t>may</w:t>
      </w:r>
      <w:r>
        <w:rPr>
          <w:spacing w:val="-5"/>
          <w:w w:val="105"/>
          <w:sz w:val="21"/>
        </w:rPr>
        <w:t> </w:t>
      </w:r>
      <w:r>
        <w:rPr>
          <w:w w:val="105"/>
          <w:sz w:val="21"/>
        </w:rPr>
        <w:t>be</w:t>
      </w:r>
      <w:r>
        <w:rPr>
          <w:spacing w:val="-5"/>
          <w:w w:val="105"/>
          <w:sz w:val="21"/>
        </w:rPr>
        <w:t> </w:t>
      </w:r>
      <w:r>
        <w:rPr>
          <w:w w:val="105"/>
          <w:sz w:val="21"/>
        </w:rPr>
        <w:t>on</w:t>
      </w:r>
      <w:r>
        <w:rPr>
          <w:spacing w:val="-5"/>
          <w:w w:val="105"/>
          <w:sz w:val="21"/>
        </w:rPr>
        <w:t> </w:t>
      </w:r>
      <w:r>
        <w:rPr>
          <w:w w:val="105"/>
          <w:sz w:val="21"/>
        </w:rPr>
        <w:t>the</w:t>
      </w:r>
      <w:r>
        <w:rPr>
          <w:spacing w:val="-5"/>
          <w:w w:val="105"/>
          <w:sz w:val="21"/>
        </w:rPr>
        <w:t> </w:t>
      </w:r>
      <w:r>
        <w:rPr>
          <w:w w:val="105"/>
          <w:sz w:val="21"/>
        </w:rPr>
        <w:t>basis</w:t>
      </w:r>
      <w:r>
        <w:rPr>
          <w:spacing w:val="-4"/>
          <w:w w:val="105"/>
          <w:sz w:val="21"/>
        </w:rPr>
        <w:t> </w:t>
      </w:r>
      <w:r>
        <w:rPr>
          <w:w w:val="105"/>
          <w:sz w:val="21"/>
        </w:rPr>
        <w:t>of</w:t>
      </w:r>
      <w:r>
        <w:rPr>
          <w:spacing w:val="-5"/>
          <w:w w:val="105"/>
          <w:sz w:val="21"/>
        </w:rPr>
        <w:t> </w:t>
      </w:r>
      <w:r>
        <w:rPr>
          <w:w w:val="105"/>
          <w:sz w:val="21"/>
        </w:rPr>
        <w:t>evidence</w:t>
      </w:r>
      <w:r>
        <w:rPr>
          <w:spacing w:val="-5"/>
          <w:w w:val="105"/>
          <w:sz w:val="21"/>
        </w:rPr>
        <w:t> </w:t>
      </w:r>
      <w:r>
        <w:rPr>
          <w:spacing w:val="-3"/>
          <w:w w:val="105"/>
          <w:sz w:val="21"/>
        </w:rPr>
        <w:t>that</w:t>
      </w:r>
      <w:r>
        <w:rPr>
          <w:spacing w:val="-5"/>
          <w:w w:val="105"/>
          <w:sz w:val="21"/>
        </w:rPr>
        <w:t> </w:t>
      </w:r>
      <w:r>
        <w:rPr>
          <w:w w:val="105"/>
          <w:sz w:val="21"/>
        </w:rPr>
        <w:t>does</w:t>
      </w:r>
      <w:r>
        <w:rPr>
          <w:spacing w:val="-4"/>
          <w:w w:val="105"/>
          <w:sz w:val="21"/>
        </w:rPr>
        <w:t> </w:t>
      </w:r>
      <w:r>
        <w:rPr>
          <w:spacing w:val="-2"/>
          <w:w w:val="105"/>
          <w:sz w:val="21"/>
        </w:rPr>
        <w:t>not</w:t>
      </w:r>
      <w:r>
        <w:rPr>
          <w:spacing w:val="-5"/>
          <w:w w:val="105"/>
          <w:sz w:val="21"/>
        </w:rPr>
        <w:t> </w:t>
      </w:r>
      <w:r>
        <w:rPr>
          <w:spacing w:val="-3"/>
          <w:w w:val="105"/>
          <w:sz w:val="21"/>
        </w:rPr>
        <w:t>conform</w:t>
      </w:r>
      <w:r>
        <w:rPr>
          <w:spacing w:val="-5"/>
          <w:w w:val="105"/>
          <w:sz w:val="21"/>
        </w:rPr>
        <w:t> </w:t>
      </w:r>
      <w:r>
        <w:rPr>
          <w:w w:val="105"/>
          <w:sz w:val="21"/>
        </w:rPr>
        <w:t>with</w:t>
      </w:r>
      <w:r>
        <w:rPr>
          <w:spacing w:val="-5"/>
          <w:w w:val="105"/>
          <w:sz w:val="21"/>
        </w:rPr>
        <w:t> </w:t>
      </w:r>
      <w:r>
        <w:rPr>
          <w:w w:val="105"/>
          <w:sz w:val="21"/>
        </w:rPr>
        <w:t>the</w:t>
      </w:r>
      <w:r>
        <w:rPr>
          <w:spacing w:val="-5"/>
          <w:w w:val="105"/>
          <w:sz w:val="21"/>
        </w:rPr>
        <w:t> </w:t>
      </w:r>
      <w:r>
        <w:rPr>
          <w:w w:val="105"/>
          <w:sz w:val="21"/>
        </w:rPr>
        <w:t>rules</w:t>
      </w:r>
      <w:r>
        <w:rPr>
          <w:spacing w:val="-4"/>
          <w:w w:val="105"/>
          <w:sz w:val="21"/>
        </w:rPr>
        <w:t> </w:t>
      </w:r>
      <w:r>
        <w:rPr>
          <w:w w:val="105"/>
          <w:sz w:val="21"/>
        </w:rPr>
        <w:t>of</w:t>
      </w:r>
      <w:r>
        <w:rPr>
          <w:spacing w:val="-5"/>
          <w:w w:val="105"/>
          <w:sz w:val="21"/>
        </w:rPr>
        <w:t> </w:t>
      </w:r>
      <w:r>
        <w:rPr>
          <w:spacing w:val="-3"/>
          <w:w w:val="105"/>
          <w:sz w:val="21"/>
        </w:rPr>
        <w:t>evidence, </w:t>
      </w:r>
      <w:r>
        <w:rPr>
          <w:w w:val="105"/>
          <w:sz w:val="21"/>
        </w:rPr>
        <w:t>and</w:t>
      </w:r>
    </w:p>
    <w:p>
      <w:pPr>
        <w:pStyle w:val="ListParagraph"/>
        <w:numPr>
          <w:ilvl w:val="1"/>
          <w:numId w:val="97"/>
        </w:numPr>
        <w:tabs>
          <w:tab w:pos="2721" w:val="left" w:leader="none"/>
          <w:tab w:pos="2722" w:val="left" w:leader="none"/>
        </w:tabs>
        <w:spacing w:line="242" w:lineRule="auto" w:before="115" w:after="0"/>
        <w:ind w:left="2721" w:right="1911" w:hanging="340"/>
        <w:jc w:val="left"/>
        <w:rPr>
          <w:sz w:val="12"/>
        </w:rPr>
      </w:pPr>
      <w:r>
        <w:rPr>
          <w:sz w:val="21"/>
        </w:rPr>
        <w:t>is </w:t>
      </w:r>
      <w:r>
        <w:rPr>
          <w:spacing w:val="-3"/>
          <w:sz w:val="21"/>
        </w:rPr>
        <w:t>to have </w:t>
      </w:r>
      <w:r>
        <w:rPr>
          <w:sz w:val="21"/>
        </w:rPr>
        <w:t>as a primary object the </w:t>
      </w:r>
      <w:r>
        <w:rPr>
          <w:spacing w:val="-3"/>
          <w:sz w:val="21"/>
        </w:rPr>
        <w:t>minimisation </w:t>
      </w:r>
      <w:r>
        <w:rPr>
          <w:sz w:val="21"/>
        </w:rPr>
        <w:t>of costs and an expeditious but just resolution of the</w:t>
      </w:r>
      <w:r>
        <w:rPr>
          <w:spacing w:val="25"/>
          <w:sz w:val="21"/>
        </w:rPr>
        <w:t> </w:t>
      </w:r>
      <w:r>
        <w:rPr>
          <w:sz w:val="21"/>
        </w:rPr>
        <w:t>action.</w:t>
      </w:r>
      <w:r>
        <w:rPr>
          <w:position w:val="7"/>
          <w:sz w:val="12"/>
        </w:rPr>
        <w:t>265</w:t>
      </w:r>
    </w:p>
    <w:p>
      <w:pPr>
        <w:pStyle w:val="ListParagraph"/>
        <w:numPr>
          <w:ilvl w:val="0"/>
          <w:numId w:val="97"/>
        </w:numPr>
        <w:tabs>
          <w:tab w:pos="2382" w:val="left" w:leader="none"/>
        </w:tabs>
        <w:spacing w:line="242" w:lineRule="auto" w:before="122" w:after="0"/>
        <w:ind w:left="2381" w:right="1814" w:hanging="794"/>
        <w:jc w:val="both"/>
        <w:rPr>
          <w:sz w:val="12"/>
        </w:rPr>
      </w:pPr>
      <w:r>
        <w:rPr>
          <w:w w:val="105"/>
          <w:sz w:val="21"/>
        </w:rPr>
        <w:t>If</w:t>
      </w:r>
      <w:r>
        <w:rPr>
          <w:spacing w:val="-7"/>
          <w:w w:val="105"/>
          <w:sz w:val="21"/>
        </w:rPr>
        <w:t> </w:t>
      </w:r>
      <w:r>
        <w:rPr>
          <w:w w:val="105"/>
          <w:sz w:val="21"/>
        </w:rPr>
        <w:t>an</w:t>
      </w:r>
      <w:r>
        <w:rPr>
          <w:spacing w:val="-6"/>
          <w:w w:val="105"/>
          <w:sz w:val="21"/>
        </w:rPr>
        <w:t> </w:t>
      </w:r>
      <w:r>
        <w:rPr>
          <w:w w:val="105"/>
          <w:sz w:val="21"/>
        </w:rPr>
        <w:t>action</w:t>
      </w:r>
      <w:r>
        <w:rPr>
          <w:spacing w:val="-7"/>
          <w:w w:val="105"/>
          <w:sz w:val="21"/>
        </w:rPr>
        <w:t> </w:t>
      </w:r>
      <w:r>
        <w:rPr>
          <w:w w:val="105"/>
          <w:sz w:val="21"/>
        </w:rPr>
        <w:t>should</w:t>
      </w:r>
      <w:r>
        <w:rPr>
          <w:spacing w:val="-6"/>
          <w:w w:val="105"/>
          <w:sz w:val="21"/>
        </w:rPr>
        <w:t> </w:t>
      </w:r>
      <w:r>
        <w:rPr>
          <w:spacing w:val="-3"/>
          <w:w w:val="105"/>
          <w:sz w:val="21"/>
        </w:rPr>
        <w:t>have</w:t>
      </w:r>
      <w:r>
        <w:rPr>
          <w:spacing w:val="-7"/>
          <w:w w:val="105"/>
          <w:sz w:val="21"/>
        </w:rPr>
        <w:t> </w:t>
      </w:r>
      <w:r>
        <w:rPr>
          <w:w w:val="105"/>
          <w:sz w:val="21"/>
        </w:rPr>
        <w:t>been,</w:t>
      </w:r>
      <w:r>
        <w:rPr>
          <w:spacing w:val="-6"/>
          <w:w w:val="105"/>
          <w:sz w:val="21"/>
        </w:rPr>
        <w:t> </w:t>
      </w:r>
      <w:r>
        <w:rPr>
          <w:w w:val="105"/>
          <w:sz w:val="21"/>
        </w:rPr>
        <w:t>but</w:t>
      </w:r>
      <w:r>
        <w:rPr>
          <w:spacing w:val="-6"/>
          <w:w w:val="105"/>
          <w:sz w:val="21"/>
        </w:rPr>
        <w:t> </w:t>
      </w:r>
      <w:r>
        <w:rPr>
          <w:w w:val="105"/>
          <w:sz w:val="21"/>
        </w:rPr>
        <w:t>was</w:t>
      </w:r>
      <w:r>
        <w:rPr>
          <w:spacing w:val="-7"/>
          <w:w w:val="105"/>
          <w:sz w:val="21"/>
        </w:rPr>
        <w:t> </w:t>
      </w:r>
      <w:r>
        <w:rPr>
          <w:w w:val="105"/>
          <w:sz w:val="21"/>
        </w:rPr>
        <w:t>not,</w:t>
      </w:r>
      <w:r>
        <w:rPr>
          <w:spacing w:val="-6"/>
          <w:w w:val="105"/>
          <w:sz w:val="21"/>
        </w:rPr>
        <w:t> </w:t>
      </w:r>
      <w:r>
        <w:rPr>
          <w:spacing w:val="-3"/>
          <w:w w:val="105"/>
          <w:sz w:val="21"/>
        </w:rPr>
        <w:t>summarily</w:t>
      </w:r>
      <w:r>
        <w:rPr>
          <w:spacing w:val="-7"/>
          <w:w w:val="105"/>
          <w:sz w:val="21"/>
        </w:rPr>
        <w:t> </w:t>
      </w:r>
      <w:r>
        <w:rPr>
          <w:spacing w:val="-3"/>
          <w:w w:val="105"/>
          <w:sz w:val="21"/>
        </w:rPr>
        <w:t>determined,</w:t>
      </w:r>
      <w:r>
        <w:rPr>
          <w:spacing w:val="-6"/>
          <w:w w:val="105"/>
          <w:sz w:val="21"/>
        </w:rPr>
        <w:t> </w:t>
      </w:r>
      <w:r>
        <w:rPr>
          <w:w w:val="105"/>
          <w:sz w:val="21"/>
        </w:rPr>
        <w:t>the</w:t>
      </w:r>
      <w:r>
        <w:rPr>
          <w:spacing w:val="-6"/>
          <w:w w:val="105"/>
          <w:sz w:val="21"/>
        </w:rPr>
        <w:t> </w:t>
      </w:r>
      <w:r>
        <w:rPr>
          <w:w w:val="105"/>
          <w:sz w:val="21"/>
        </w:rPr>
        <w:t>court</w:t>
      </w:r>
      <w:r>
        <w:rPr>
          <w:spacing w:val="-7"/>
          <w:w w:val="105"/>
          <w:sz w:val="21"/>
        </w:rPr>
        <w:t> </w:t>
      </w:r>
      <w:r>
        <w:rPr>
          <w:spacing w:val="-3"/>
          <w:w w:val="105"/>
          <w:sz w:val="21"/>
        </w:rPr>
        <w:t>may</w:t>
      </w:r>
      <w:r>
        <w:rPr>
          <w:spacing w:val="-6"/>
          <w:w w:val="105"/>
          <w:sz w:val="21"/>
        </w:rPr>
        <w:t> </w:t>
      </w:r>
      <w:r>
        <w:rPr>
          <w:w w:val="105"/>
          <w:sz w:val="21"/>
        </w:rPr>
        <w:t>order the plaintiff </w:t>
      </w:r>
      <w:r>
        <w:rPr>
          <w:spacing w:val="-3"/>
          <w:w w:val="105"/>
          <w:sz w:val="21"/>
        </w:rPr>
        <w:t>to </w:t>
      </w:r>
      <w:r>
        <w:rPr>
          <w:w w:val="105"/>
          <w:sz w:val="21"/>
        </w:rPr>
        <w:t>bear </w:t>
      </w:r>
      <w:r>
        <w:rPr>
          <w:spacing w:val="-3"/>
          <w:w w:val="105"/>
          <w:sz w:val="21"/>
        </w:rPr>
        <w:t>any </w:t>
      </w:r>
      <w:r>
        <w:rPr>
          <w:w w:val="105"/>
          <w:sz w:val="21"/>
        </w:rPr>
        <w:t>costs </w:t>
      </w:r>
      <w:r>
        <w:rPr>
          <w:spacing w:val="-3"/>
          <w:w w:val="105"/>
          <w:sz w:val="21"/>
        </w:rPr>
        <w:t>that might have </w:t>
      </w:r>
      <w:r>
        <w:rPr>
          <w:w w:val="105"/>
          <w:sz w:val="21"/>
        </w:rPr>
        <w:t>been avoided if the </w:t>
      </w:r>
      <w:r>
        <w:rPr>
          <w:spacing w:val="-3"/>
          <w:w w:val="105"/>
          <w:sz w:val="21"/>
        </w:rPr>
        <w:t>proceeding </w:t>
      </w:r>
      <w:r>
        <w:rPr>
          <w:spacing w:val="-2"/>
          <w:w w:val="105"/>
          <w:sz w:val="21"/>
        </w:rPr>
        <w:t>had </w:t>
      </w:r>
      <w:r>
        <w:rPr>
          <w:w w:val="105"/>
          <w:sz w:val="21"/>
        </w:rPr>
        <w:t>been </w:t>
      </w:r>
      <w:r>
        <w:rPr>
          <w:spacing w:val="-3"/>
          <w:w w:val="105"/>
          <w:sz w:val="21"/>
        </w:rPr>
        <w:t>summarily</w:t>
      </w:r>
      <w:r>
        <w:rPr>
          <w:spacing w:val="5"/>
          <w:w w:val="105"/>
          <w:sz w:val="21"/>
        </w:rPr>
        <w:t> </w:t>
      </w:r>
      <w:r>
        <w:rPr>
          <w:w w:val="105"/>
          <w:sz w:val="21"/>
        </w:rPr>
        <w:t>determined.</w:t>
      </w:r>
      <w:r>
        <w:rPr>
          <w:w w:val="105"/>
          <w:position w:val="7"/>
          <w:sz w:val="12"/>
        </w:rPr>
        <w:t>266</w:t>
      </w:r>
    </w:p>
    <w:p>
      <w:pPr>
        <w:pStyle w:val="ListParagraph"/>
        <w:numPr>
          <w:ilvl w:val="0"/>
          <w:numId w:val="97"/>
        </w:numPr>
        <w:tabs>
          <w:tab w:pos="2380" w:val="left" w:leader="none"/>
          <w:tab w:pos="2381" w:val="left" w:leader="none"/>
        </w:tabs>
        <w:spacing w:line="242" w:lineRule="auto" w:before="123" w:after="0"/>
        <w:ind w:left="2381" w:right="1723" w:hanging="794"/>
        <w:jc w:val="left"/>
        <w:rPr>
          <w:sz w:val="21"/>
        </w:rPr>
      </w:pPr>
      <w:r>
        <w:rPr>
          <w:spacing w:val="-3"/>
          <w:sz w:val="21"/>
        </w:rPr>
        <w:t>Various </w:t>
      </w:r>
      <w:r>
        <w:rPr>
          <w:sz w:val="21"/>
        </w:rPr>
        <w:t>practices of the </w:t>
      </w:r>
      <w:r>
        <w:rPr>
          <w:spacing w:val="-3"/>
          <w:sz w:val="21"/>
        </w:rPr>
        <w:t>County Court </w:t>
      </w:r>
      <w:r>
        <w:rPr>
          <w:sz w:val="21"/>
        </w:rPr>
        <w:t>and the </w:t>
      </w:r>
      <w:r>
        <w:rPr>
          <w:spacing w:val="-3"/>
          <w:sz w:val="21"/>
        </w:rPr>
        <w:t>Supreme  Court  indicate  that  </w:t>
      </w:r>
      <w:r>
        <w:rPr>
          <w:sz w:val="21"/>
        </w:rPr>
        <w:t>some degree  of summary </w:t>
      </w:r>
      <w:r>
        <w:rPr>
          <w:spacing w:val="-3"/>
          <w:sz w:val="21"/>
        </w:rPr>
        <w:t>determination already </w:t>
      </w:r>
      <w:r>
        <w:rPr>
          <w:sz w:val="21"/>
        </w:rPr>
        <w:t>exists in the </w:t>
      </w:r>
      <w:r>
        <w:rPr>
          <w:spacing w:val="-3"/>
          <w:sz w:val="21"/>
        </w:rPr>
        <w:t>family provision </w:t>
      </w:r>
      <w:r>
        <w:rPr>
          <w:sz w:val="21"/>
        </w:rPr>
        <w:t>jurisdiction. For </w:t>
      </w:r>
      <w:r>
        <w:rPr>
          <w:spacing w:val="-3"/>
          <w:sz w:val="21"/>
        </w:rPr>
        <w:t>example, </w:t>
      </w:r>
      <w:r>
        <w:rPr>
          <w:sz w:val="21"/>
        </w:rPr>
        <w:t>the </w:t>
      </w:r>
      <w:r>
        <w:rPr>
          <w:spacing w:val="-3"/>
          <w:sz w:val="21"/>
        </w:rPr>
        <w:t>reliance  </w:t>
      </w:r>
      <w:r>
        <w:rPr>
          <w:sz w:val="21"/>
        </w:rPr>
        <w:t>on position statements in both courts suggests an </w:t>
      </w:r>
      <w:r>
        <w:rPr>
          <w:spacing w:val="-3"/>
          <w:sz w:val="21"/>
        </w:rPr>
        <w:t>innovative</w:t>
      </w:r>
      <w:r>
        <w:rPr>
          <w:spacing w:val="41"/>
          <w:sz w:val="21"/>
        </w:rPr>
        <w:t> </w:t>
      </w:r>
      <w:r>
        <w:rPr>
          <w:sz w:val="21"/>
        </w:rPr>
        <w:t>approach </w:t>
      </w:r>
      <w:r>
        <w:rPr>
          <w:spacing w:val="-3"/>
          <w:sz w:val="21"/>
        </w:rPr>
        <w:t>to    </w:t>
      </w:r>
      <w:r>
        <w:rPr>
          <w:sz w:val="21"/>
        </w:rPr>
        <w:t>the evidence </w:t>
      </w:r>
      <w:r>
        <w:rPr>
          <w:spacing w:val="-3"/>
          <w:sz w:val="21"/>
        </w:rPr>
        <w:t>that will </w:t>
      </w:r>
      <w:r>
        <w:rPr>
          <w:sz w:val="21"/>
        </w:rPr>
        <w:t>be </w:t>
      </w:r>
      <w:r>
        <w:rPr>
          <w:spacing w:val="-3"/>
          <w:sz w:val="21"/>
        </w:rPr>
        <w:t>accepted </w:t>
      </w:r>
      <w:r>
        <w:rPr>
          <w:sz w:val="21"/>
        </w:rPr>
        <w:t>in order </w:t>
      </w:r>
      <w:r>
        <w:rPr>
          <w:spacing w:val="-3"/>
          <w:sz w:val="21"/>
        </w:rPr>
        <w:t>to minimise </w:t>
      </w:r>
      <w:r>
        <w:rPr>
          <w:sz w:val="21"/>
        </w:rPr>
        <w:t>costs, as does the </w:t>
      </w:r>
      <w:r>
        <w:rPr>
          <w:spacing w:val="-3"/>
          <w:sz w:val="21"/>
        </w:rPr>
        <w:t>willingness to </w:t>
      </w:r>
      <w:r>
        <w:rPr>
          <w:sz w:val="21"/>
        </w:rPr>
        <w:t>proceed</w:t>
      </w:r>
      <w:r>
        <w:rPr>
          <w:spacing w:val="9"/>
          <w:sz w:val="21"/>
        </w:rPr>
        <w:t> </w:t>
      </w:r>
      <w:r>
        <w:rPr>
          <w:sz w:val="21"/>
        </w:rPr>
        <w:t>on</w:t>
      </w:r>
      <w:r>
        <w:rPr>
          <w:spacing w:val="10"/>
          <w:sz w:val="21"/>
        </w:rPr>
        <w:t> </w:t>
      </w:r>
      <w:r>
        <w:rPr>
          <w:sz w:val="21"/>
        </w:rPr>
        <w:t>the</w:t>
      </w:r>
      <w:r>
        <w:rPr>
          <w:spacing w:val="9"/>
          <w:sz w:val="21"/>
        </w:rPr>
        <w:t> </w:t>
      </w:r>
      <w:r>
        <w:rPr>
          <w:sz w:val="21"/>
        </w:rPr>
        <w:t>basis</w:t>
      </w:r>
      <w:r>
        <w:rPr>
          <w:spacing w:val="10"/>
          <w:sz w:val="21"/>
        </w:rPr>
        <w:t> </w:t>
      </w:r>
      <w:r>
        <w:rPr>
          <w:sz w:val="21"/>
        </w:rPr>
        <w:t>of</w:t>
      </w:r>
      <w:r>
        <w:rPr>
          <w:spacing w:val="9"/>
          <w:sz w:val="21"/>
        </w:rPr>
        <w:t> </w:t>
      </w:r>
      <w:r>
        <w:rPr>
          <w:spacing w:val="-3"/>
          <w:sz w:val="21"/>
        </w:rPr>
        <w:t>oral</w:t>
      </w:r>
      <w:r>
        <w:rPr>
          <w:spacing w:val="10"/>
          <w:sz w:val="21"/>
        </w:rPr>
        <w:t> </w:t>
      </w:r>
      <w:r>
        <w:rPr>
          <w:sz w:val="21"/>
        </w:rPr>
        <w:t>evidence</w:t>
      </w:r>
      <w:r>
        <w:rPr>
          <w:spacing w:val="9"/>
          <w:sz w:val="21"/>
        </w:rPr>
        <w:t> </w:t>
      </w:r>
      <w:r>
        <w:rPr>
          <w:spacing w:val="-3"/>
          <w:sz w:val="21"/>
        </w:rPr>
        <w:t>rather</w:t>
      </w:r>
      <w:r>
        <w:rPr>
          <w:spacing w:val="10"/>
          <w:sz w:val="21"/>
        </w:rPr>
        <w:t> </w:t>
      </w:r>
      <w:r>
        <w:rPr>
          <w:spacing w:val="-3"/>
          <w:sz w:val="21"/>
        </w:rPr>
        <w:t>than</w:t>
      </w:r>
      <w:r>
        <w:rPr>
          <w:spacing w:val="9"/>
          <w:sz w:val="21"/>
        </w:rPr>
        <w:t> </w:t>
      </w:r>
      <w:r>
        <w:rPr>
          <w:sz w:val="21"/>
        </w:rPr>
        <w:t>by</w:t>
      </w:r>
      <w:r>
        <w:rPr>
          <w:spacing w:val="10"/>
          <w:sz w:val="21"/>
        </w:rPr>
        <w:t> </w:t>
      </w:r>
      <w:r>
        <w:rPr>
          <w:sz w:val="21"/>
        </w:rPr>
        <w:t>affidavit.</w:t>
      </w:r>
    </w:p>
    <w:p>
      <w:pPr>
        <w:pStyle w:val="ListParagraph"/>
        <w:numPr>
          <w:ilvl w:val="0"/>
          <w:numId w:val="97"/>
        </w:numPr>
        <w:tabs>
          <w:tab w:pos="2380" w:val="left" w:leader="none"/>
          <w:tab w:pos="2381" w:val="left" w:leader="none"/>
        </w:tabs>
        <w:spacing w:line="242" w:lineRule="auto" w:before="126" w:after="0"/>
        <w:ind w:left="2381" w:right="2020" w:hanging="794"/>
        <w:jc w:val="left"/>
        <w:rPr>
          <w:sz w:val="12"/>
        </w:rPr>
      </w:pPr>
      <w:r>
        <w:rPr>
          <w:w w:val="105"/>
          <w:sz w:val="21"/>
        </w:rPr>
        <w:t>The Law </w:t>
      </w:r>
      <w:r>
        <w:rPr>
          <w:spacing w:val="-3"/>
          <w:w w:val="105"/>
          <w:sz w:val="21"/>
        </w:rPr>
        <w:t>Institute </w:t>
      </w:r>
      <w:r>
        <w:rPr>
          <w:w w:val="105"/>
          <w:sz w:val="21"/>
        </w:rPr>
        <w:t>of Victoria also </w:t>
      </w:r>
      <w:r>
        <w:rPr>
          <w:spacing w:val="-3"/>
          <w:w w:val="105"/>
          <w:sz w:val="21"/>
        </w:rPr>
        <w:t>noted that </w:t>
      </w:r>
      <w:r>
        <w:rPr>
          <w:w w:val="105"/>
          <w:sz w:val="21"/>
        </w:rPr>
        <w:t>both the </w:t>
      </w:r>
      <w:r>
        <w:rPr>
          <w:spacing w:val="-3"/>
          <w:w w:val="105"/>
          <w:sz w:val="21"/>
        </w:rPr>
        <w:t>County Court </w:t>
      </w:r>
      <w:r>
        <w:rPr>
          <w:w w:val="105"/>
          <w:sz w:val="21"/>
        </w:rPr>
        <w:t>and the </w:t>
      </w:r>
      <w:r>
        <w:rPr>
          <w:spacing w:val="-3"/>
          <w:w w:val="105"/>
          <w:sz w:val="21"/>
        </w:rPr>
        <w:t>Supreme Court are </w:t>
      </w:r>
      <w:r>
        <w:rPr>
          <w:spacing w:val="-2"/>
          <w:w w:val="105"/>
          <w:sz w:val="21"/>
        </w:rPr>
        <w:t>deciding </w:t>
      </w:r>
      <w:r>
        <w:rPr>
          <w:w w:val="105"/>
          <w:sz w:val="21"/>
        </w:rPr>
        <w:t>more cases </w:t>
      </w:r>
      <w:r>
        <w:rPr>
          <w:spacing w:val="-5"/>
          <w:w w:val="105"/>
          <w:sz w:val="21"/>
        </w:rPr>
        <w:t>‘on </w:t>
      </w:r>
      <w:r>
        <w:rPr>
          <w:w w:val="105"/>
          <w:sz w:val="21"/>
        </w:rPr>
        <w:t>the </w:t>
      </w:r>
      <w:r>
        <w:rPr>
          <w:spacing w:val="-4"/>
          <w:w w:val="105"/>
          <w:sz w:val="21"/>
        </w:rPr>
        <w:t>papers’, </w:t>
      </w:r>
      <w:r>
        <w:rPr>
          <w:w w:val="105"/>
          <w:sz w:val="21"/>
        </w:rPr>
        <w:t>and expressed the view </w:t>
      </w:r>
      <w:r>
        <w:rPr>
          <w:spacing w:val="-3"/>
          <w:w w:val="105"/>
          <w:sz w:val="21"/>
        </w:rPr>
        <w:t>that </w:t>
      </w:r>
      <w:r>
        <w:rPr>
          <w:w w:val="105"/>
          <w:sz w:val="21"/>
        </w:rPr>
        <w:t>this was </w:t>
      </w:r>
      <w:r>
        <w:rPr>
          <w:spacing w:val="-3"/>
          <w:w w:val="105"/>
          <w:sz w:val="21"/>
        </w:rPr>
        <w:t>working</w:t>
      </w:r>
      <w:r>
        <w:rPr>
          <w:spacing w:val="3"/>
          <w:w w:val="105"/>
          <w:sz w:val="21"/>
        </w:rPr>
        <w:t> </w:t>
      </w:r>
      <w:r>
        <w:rPr>
          <w:spacing w:val="-3"/>
          <w:w w:val="105"/>
          <w:sz w:val="21"/>
        </w:rPr>
        <w:t>well,</w:t>
      </w:r>
      <w:r>
        <w:rPr>
          <w:spacing w:val="4"/>
          <w:w w:val="105"/>
          <w:sz w:val="21"/>
        </w:rPr>
        <w:t> </w:t>
      </w:r>
      <w:r>
        <w:rPr>
          <w:spacing w:val="-3"/>
          <w:w w:val="105"/>
          <w:sz w:val="21"/>
        </w:rPr>
        <w:t>although</w:t>
      </w:r>
      <w:r>
        <w:rPr>
          <w:spacing w:val="3"/>
          <w:w w:val="105"/>
          <w:sz w:val="21"/>
        </w:rPr>
        <w:t> </w:t>
      </w:r>
      <w:r>
        <w:rPr>
          <w:w w:val="105"/>
          <w:sz w:val="21"/>
        </w:rPr>
        <w:t>it</w:t>
      </w:r>
      <w:r>
        <w:rPr>
          <w:spacing w:val="4"/>
          <w:w w:val="105"/>
          <w:sz w:val="21"/>
        </w:rPr>
        <w:t> </w:t>
      </w:r>
      <w:r>
        <w:rPr>
          <w:w w:val="105"/>
          <w:sz w:val="21"/>
        </w:rPr>
        <w:t>did</w:t>
      </w:r>
      <w:r>
        <w:rPr>
          <w:spacing w:val="3"/>
          <w:w w:val="105"/>
          <w:sz w:val="21"/>
        </w:rPr>
        <w:t> </w:t>
      </w:r>
      <w:r>
        <w:rPr>
          <w:spacing w:val="-2"/>
          <w:w w:val="105"/>
          <w:sz w:val="21"/>
        </w:rPr>
        <w:t>not</w:t>
      </w:r>
      <w:r>
        <w:rPr>
          <w:spacing w:val="4"/>
          <w:w w:val="105"/>
          <w:sz w:val="21"/>
        </w:rPr>
        <w:t> </w:t>
      </w:r>
      <w:r>
        <w:rPr>
          <w:spacing w:val="-3"/>
          <w:w w:val="105"/>
          <w:sz w:val="21"/>
        </w:rPr>
        <w:t>elaborate</w:t>
      </w:r>
      <w:r>
        <w:rPr>
          <w:spacing w:val="4"/>
          <w:w w:val="105"/>
          <w:sz w:val="21"/>
        </w:rPr>
        <w:t> </w:t>
      </w:r>
      <w:r>
        <w:rPr>
          <w:w w:val="105"/>
          <w:sz w:val="21"/>
        </w:rPr>
        <w:t>on</w:t>
      </w:r>
      <w:r>
        <w:rPr>
          <w:spacing w:val="3"/>
          <w:w w:val="105"/>
          <w:sz w:val="21"/>
        </w:rPr>
        <w:t> </w:t>
      </w:r>
      <w:r>
        <w:rPr>
          <w:w w:val="105"/>
          <w:sz w:val="21"/>
        </w:rPr>
        <w:t>what</w:t>
      </w:r>
      <w:r>
        <w:rPr>
          <w:spacing w:val="4"/>
          <w:w w:val="105"/>
          <w:sz w:val="21"/>
        </w:rPr>
        <w:t> </w:t>
      </w:r>
      <w:r>
        <w:rPr>
          <w:w w:val="105"/>
          <w:sz w:val="21"/>
        </w:rPr>
        <w:t>was</w:t>
      </w:r>
      <w:r>
        <w:rPr>
          <w:spacing w:val="3"/>
          <w:w w:val="105"/>
          <w:sz w:val="21"/>
        </w:rPr>
        <w:t> </w:t>
      </w:r>
      <w:r>
        <w:rPr>
          <w:spacing w:val="-3"/>
          <w:w w:val="105"/>
          <w:sz w:val="21"/>
        </w:rPr>
        <w:t>meant</w:t>
      </w:r>
      <w:r>
        <w:rPr>
          <w:spacing w:val="4"/>
          <w:w w:val="105"/>
          <w:sz w:val="21"/>
        </w:rPr>
        <w:t> </w:t>
      </w:r>
      <w:r>
        <w:rPr>
          <w:w w:val="105"/>
          <w:sz w:val="21"/>
        </w:rPr>
        <w:t>by</w:t>
      </w:r>
      <w:r>
        <w:rPr>
          <w:spacing w:val="4"/>
          <w:w w:val="105"/>
          <w:sz w:val="21"/>
        </w:rPr>
        <w:t> </w:t>
      </w:r>
      <w:r>
        <w:rPr>
          <w:spacing w:val="-5"/>
          <w:w w:val="105"/>
          <w:sz w:val="21"/>
        </w:rPr>
        <w:t>‘on</w:t>
      </w:r>
      <w:r>
        <w:rPr>
          <w:spacing w:val="3"/>
          <w:w w:val="105"/>
          <w:sz w:val="21"/>
        </w:rPr>
        <w:t> </w:t>
      </w:r>
      <w:r>
        <w:rPr>
          <w:w w:val="105"/>
          <w:sz w:val="21"/>
        </w:rPr>
        <w:t>the</w:t>
      </w:r>
      <w:r>
        <w:rPr>
          <w:spacing w:val="4"/>
          <w:w w:val="105"/>
          <w:sz w:val="21"/>
        </w:rPr>
        <w:t> </w:t>
      </w:r>
      <w:r>
        <w:rPr>
          <w:spacing w:val="-3"/>
          <w:w w:val="105"/>
          <w:sz w:val="21"/>
        </w:rPr>
        <w:t>papers’.</w:t>
      </w:r>
      <w:r>
        <w:rPr>
          <w:spacing w:val="-3"/>
          <w:w w:val="105"/>
          <w:position w:val="7"/>
          <w:sz w:val="12"/>
        </w:rPr>
        <w:t>267</w:t>
      </w:r>
    </w:p>
    <w:p>
      <w:pPr>
        <w:pStyle w:val="ListParagraph"/>
        <w:numPr>
          <w:ilvl w:val="0"/>
          <w:numId w:val="97"/>
        </w:numPr>
        <w:tabs>
          <w:tab w:pos="2380" w:val="left" w:leader="none"/>
          <w:tab w:pos="2381" w:val="left" w:leader="none"/>
        </w:tabs>
        <w:spacing w:line="242" w:lineRule="auto" w:before="123" w:after="0"/>
        <w:ind w:left="2380" w:right="1779" w:hanging="793"/>
        <w:jc w:val="left"/>
        <w:rPr>
          <w:sz w:val="12"/>
        </w:rPr>
      </w:pPr>
      <w:r>
        <w:rPr/>
        <w:pict>
          <v:line style="position:absolute;mso-position-horizontal-relative:page;mso-position-vertical-relative:paragraph;z-index:7784;mso-wrap-distance-left:0;mso-wrap-distance-right:0" from="79.370102pt,63.661266pt" to="515.905102pt,63.661266pt" stroked="true" strokeweight="1pt" strokecolor="#f9ceca">
            <v:stroke dashstyle="solid"/>
            <w10:wrap type="topAndBottom"/>
          </v:line>
        </w:pict>
      </w:r>
      <w:r>
        <w:rPr>
          <w:w w:val="105"/>
          <w:sz w:val="21"/>
        </w:rPr>
        <w:t>A rule in </w:t>
      </w:r>
      <w:r>
        <w:rPr>
          <w:spacing w:val="-3"/>
          <w:w w:val="105"/>
          <w:sz w:val="21"/>
        </w:rPr>
        <w:t>terms </w:t>
      </w:r>
      <w:r>
        <w:rPr>
          <w:w w:val="105"/>
          <w:sz w:val="21"/>
        </w:rPr>
        <w:t>of the South </w:t>
      </w:r>
      <w:r>
        <w:rPr>
          <w:spacing w:val="-3"/>
          <w:w w:val="105"/>
          <w:sz w:val="21"/>
        </w:rPr>
        <w:t>Australian </w:t>
      </w:r>
      <w:r>
        <w:rPr>
          <w:w w:val="105"/>
          <w:sz w:val="21"/>
        </w:rPr>
        <w:t>rule would specify the courts’ powers </w:t>
      </w:r>
      <w:r>
        <w:rPr>
          <w:spacing w:val="-3"/>
          <w:w w:val="105"/>
          <w:sz w:val="21"/>
        </w:rPr>
        <w:t>to </w:t>
      </w:r>
      <w:r>
        <w:rPr>
          <w:w w:val="105"/>
          <w:sz w:val="21"/>
        </w:rPr>
        <w:t>give directions and </w:t>
      </w:r>
      <w:r>
        <w:rPr>
          <w:spacing w:val="-4"/>
          <w:w w:val="105"/>
          <w:sz w:val="21"/>
        </w:rPr>
        <w:t>make </w:t>
      </w:r>
      <w:r>
        <w:rPr>
          <w:w w:val="105"/>
          <w:sz w:val="21"/>
        </w:rPr>
        <w:t>orders about the conduct of </w:t>
      </w:r>
      <w:r>
        <w:rPr>
          <w:spacing w:val="-3"/>
          <w:w w:val="105"/>
          <w:sz w:val="21"/>
        </w:rPr>
        <w:t>family provision proceedings, </w:t>
      </w:r>
      <w:r>
        <w:rPr>
          <w:w w:val="105"/>
          <w:sz w:val="21"/>
        </w:rPr>
        <w:t>which both the </w:t>
      </w:r>
      <w:r>
        <w:rPr>
          <w:spacing w:val="-3"/>
          <w:w w:val="105"/>
          <w:sz w:val="21"/>
        </w:rPr>
        <w:t>County Court </w:t>
      </w:r>
      <w:r>
        <w:rPr>
          <w:w w:val="105"/>
          <w:sz w:val="21"/>
        </w:rPr>
        <w:t>and the </w:t>
      </w:r>
      <w:r>
        <w:rPr>
          <w:spacing w:val="-3"/>
          <w:w w:val="105"/>
          <w:sz w:val="21"/>
        </w:rPr>
        <w:t>Supreme Court are already </w:t>
      </w:r>
      <w:r>
        <w:rPr>
          <w:w w:val="105"/>
          <w:sz w:val="21"/>
        </w:rPr>
        <w:t>doing </w:t>
      </w:r>
      <w:r>
        <w:rPr>
          <w:spacing w:val="-3"/>
          <w:w w:val="105"/>
          <w:sz w:val="21"/>
        </w:rPr>
        <w:t>to </w:t>
      </w:r>
      <w:r>
        <w:rPr>
          <w:w w:val="105"/>
          <w:sz w:val="21"/>
        </w:rPr>
        <w:t>a </w:t>
      </w:r>
      <w:r>
        <w:rPr>
          <w:spacing w:val="-3"/>
          <w:w w:val="105"/>
          <w:sz w:val="21"/>
        </w:rPr>
        <w:t>significant </w:t>
      </w:r>
      <w:r>
        <w:rPr>
          <w:w w:val="105"/>
          <w:sz w:val="21"/>
        </w:rPr>
        <w:t>extent. There was general support </w:t>
      </w:r>
      <w:r>
        <w:rPr>
          <w:spacing w:val="-3"/>
          <w:w w:val="105"/>
          <w:sz w:val="21"/>
        </w:rPr>
        <w:t>for </w:t>
      </w:r>
      <w:r>
        <w:rPr>
          <w:w w:val="105"/>
          <w:sz w:val="21"/>
        </w:rPr>
        <w:t>the introduction of </w:t>
      </w:r>
      <w:r>
        <w:rPr>
          <w:spacing w:val="-3"/>
          <w:w w:val="105"/>
          <w:sz w:val="21"/>
        </w:rPr>
        <w:t>such </w:t>
      </w:r>
      <w:r>
        <w:rPr>
          <w:w w:val="105"/>
          <w:sz w:val="21"/>
        </w:rPr>
        <w:t>a rule in</w:t>
      </w:r>
      <w:r>
        <w:rPr>
          <w:spacing w:val="13"/>
          <w:w w:val="105"/>
          <w:sz w:val="21"/>
        </w:rPr>
        <w:t> </w:t>
      </w:r>
      <w:r>
        <w:rPr>
          <w:w w:val="105"/>
          <w:sz w:val="21"/>
        </w:rPr>
        <w:t>Victoria.</w:t>
      </w:r>
      <w:r>
        <w:rPr>
          <w:w w:val="105"/>
          <w:position w:val="7"/>
          <w:sz w:val="12"/>
        </w:rPr>
        <w:t>268</w:t>
      </w:r>
    </w:p>
    <w:p>
      <w:pPr>
        <w:pStyle w:val="BodyText"/>
        <w:spacing w:before="8"/>
        <w:rPr>
          <w:sz w:val="5"/>
        </w:rPr>
      </w:pPr>
    </w:p>
    <w:p>
      <w:pPr>
        <w:spacing w:after="0"/>
        <w:rPr>
          <w:sz w:val="5"/>
        </w:rPr>
        <w:sectPr>
          <w:pgSz w:w="11910" w:h="16840"/>
          <w:pgMar w:header="550" w:footer="0" w:top="1560" w:bottom="280" w:left="0" w:right="0"/>
        </w:sectPr>
      </w:pPr>
    </w:p>
    <w:p>
      <w:pPr>
        <w:pStyle w:val="BodyText"/>
        <w:rPr>
          <w:sz w:val="28"/>
        </w:rPr>
      </w:pPr>
    </w:p>
    <w:p>
      <w:pPr>
        <w:pStyle w:val="BodyText"/>
        <w:rPr>
          <w:sz w:val="28"/>
        </w:rPr>
      </w:pPr>
    </w:p>
    <w:p>
      <w:pPr>
        <w:pStyle w:val="BodyText"/>
        <w:rPr>
          <w:sz w:val="28"/>
        </w:rPr>
      </w:pPr>
    </w:p>
    <w:p>
      <w:pPr>
        <w:spacing w:before="212"/>
        <w:ind w:left="720" w:right="0" w:firstLine="0"/>
        <w:jc w:val="left"/>
        <w:rPr>
          <w:b/>
          <w:sz w:val="24"/>
        </w:rPr>
      </w:pPr>
      <w:r>
        <w:rPr>
          <w:b/>
          <w:color w:val="EC5A4F"/>
          <w:spacing w:val="-4"/>
          <w:w w:val="110"/>
          <w:sz w:val="24"/>
        </w:rPr>
        <w:t>126</w:t>
      </w:r>
    </w:p>
    <w:p>
      <w:pPr>
        <w:pStyle w:val="ListParagraph"/>
        <w:numPr>
          <w:ilvl w:val="0"/>
          <w:numId w:val="99"/>
        </w:numPr>
        <w:tabs>
          <w:tab w:pos="1232" w:val="left" w:leader="none"/>
          <w:tab w:pos="1233" w:val="left" w:leader="none"/>
        </w:tabs>
        <w:spacing w:line="240" w:lineRule="auto" w:before="48" w:after="0"/>
        <w:ind w:left="1232" w:right="0" w:hanging="794"/>
        <w:jc w:val="left"/>
        <w:rPr>
          <w:sz w:val="13"/>
        </w:rPr>
      </w:pPr>
      <w:r>
        <w:rPr>
          <w:spacing w:val="3"/>
          <w:w w:val="88"/>
          <w:sz w:val="13"/>
        </w:rPr>
        <w:br w:type="column"/>
      </w:r>
      <w:r>
        <w:rPr>
          <w:sz w:val="13"/>
        </w:rPr>
        <w:t>Ibid.</w:t>
      </w:r>
    </w:p>
    <w:p>
      <w:pPr>
        <w:pStyle w:val="ListParagraph"/>
        <w:numPr>
          <w:ilvl w:val="0"/>
          <w:numId w:val="99"/>
        </w:numPr>
        <w:tabs>
          <w:tab w:pos="1232" w:val="left" w:leader="none"/>
          <w:tab w:pos="1233" w:val="left" w:leader="none"/>
        </w:tabs>
        <w:spacing w:line="240" w:lineRule="auto" w:before="1" w:after="0"/>
        <w:ind w:left="1232" w:right="0" w:hanging="794"/>
        <w:jc w:val="left"/>
        <w:rPr>
          <w:sz w:val="13"/>
        </w:rPr>
      </w:pPr>
      <w:r>
        <w:rPr>
          <w:sz w:val="13"/>
        </w:rPr>
        <w:t>Ibid.</w:t>
      </w:r>
    </w:p>
    <w:p>
      <w:pPr>
        <w:pStyle w:val="ListParagraph"/>
        <w:numPr>
          <w:ilvl w:val="0"/>
          <w:numId w:val="99"/>
        </w:numPr>
        <w:tabs>
          <w:tab w:pos="1231" w:val="left" w:leader="none"/>
          <w:tab w:pos="1233" w:val="left" w:leader="none"/>
        </w:tabs>
        <w:spacing w:line="240" w:lineRule="auto" w:before="2" w:after="0"/>
        <w:ind w:left="1232" w:right="0" w:hanging="794"/>
        <w:jc w:val="left"/>
        <w:rPr>
          <w:sz w:val="13"/>
        </w:rPr>
      </w:pPr>
      <w:r>
        <w:rPr>
          <w:sz w:val="13"/>
        </w:rPr>
        <w:t>Ibid.</w:t>
      </w:r>
    </w:p>
    <w:p>
      <w:pPr>
        <w:pStyle w:val="ListParagraph"/>
        <w:numPr>
          <w:ilvl w:val="0"/>
          <w:numId w:val="99"/>
        </w:numPr>
        <w:tabs>
          <w:tab w:pos="1231" w:val="left" w:leader="none"/>
          <w:tab w:pos="1233" w:val="left" w:leader="none"/>
        </w:tabs>
        <w:spacing w:line="240" w:lineRule="auto" w:before="1" w:after="0"/>
        <w:ind w:left="1232" w:right="0" w:hanging="794"/>
        <w:jc w:val="left"/>
        <w:rPr>
          <w:sz w:val="13"/>
        </w:rPr>
      </w:pPr>
      <w:r>
        <w:rPr>
          <w:w w:val="105"/>
          <w:sz w:val="13"/>
        </w:rPr>
        <w:t>Consultation</w:t>
      </w:r>
      <w:r>
        <w:rPr>
          <w:spacing w:val="4"/>
          <w:w w:val="105"/>
          <w:sz w:val="13"/>
        </w:rPr>
        <w:t> </w:t>
      </w:r>
      <w:r>
        <w:rPr>
          <w:w w:val="105"/>
          <w:sz w:val="13"/>
        </w:rPr>
        <w:t>16</w:t>
      </w:r>
      <w:r>
        <w:rPr>
          <w:spacing w:val="5"/>
          <w:w w:val="105"/>
          <w:sz w:val="13"/>
        </w:rPr>
        <w:t> </w:t>
      </w:r>
      <w:r>
        <w:rPr>
          <w:w w:val="105"/>
          <w:sz w:val="13"/>
        </w:rPr>
        <w:t>(Supreme</w:t>
      </w:r>
      <w:r>
        <w:rPr>
          <w:spacing w:val="5"/>
          <w:w w:val="105"/>
          <w:sz w:val="13"/>
        </w:rPr>
        <w:t> </w:t>
      </w:r>
      <w:r>
        <w:rPr>
          <w:w w:val="105"/>
          <w:sz w:val="13"/>
        </w:rPr>
        <w:t>Court</w:t>
      </w:r>
      <w:r>
        <w:rPr>
          <w:spacing w:val="5"/>
          <w:w w:val="105"/>
          <w:sz w:val="13"/>
        </w:rPr>
        <w:t> </w:t>
      </w:r>
      <w:r>
        <w:rPr>
          <w:w w:val="105"/>
          <w:sz w:val="13"/>
        </w:rPr>
        <w:t>of</w:t>
      </w:r>
      <w:r>
        <w:rPr>
          <w:spacing w:val="5"/>
          <w:w w:val="105"/>
          <w:sz w:val="13"/>
        </w:rPr>
        <w:t> </w:t>
      </w:r>
      <w:r>
        <w:rPr>
          <w:spacing w:val="2"/>
          <w:w w:val="105"/>
          <w:sz w:val="13"/>
        </w:rPr>
        <w:t>Victoria—Associate</w:t>
      </w:r>
      <w:r>
        <w:rPr>
          <w:spacing w:val="5"/>
          <w:w w:val="105"/>
          <w:sz w:val="13"/>
        </w:rPr>
        <w:t> </w:t>
      </w:r>
      <w:r>
        <w:rPr>
          <w:spacing w:val="2"/>
          <w:w w:val="105"/>
          <w:sz w:val="13"/>
        </w:rPr>
        <w:t>Judges);</w:t>
      </w:r>
      <w:r>
        <w:rPr>
          <w:spacing w:val="5"/>
          <w:w w:val="105"/>
          <w:sz w:val="13"/>
        </w:rPr>
        <w:t> </w:t>
      </w:r>
      <w:r>
        <w:rPr>
          <w:i/>
          <w:w w:val="105"/>
          <w:sz w:val="13"/>
        </w:rPr>
        <w:t>Civil</w:t>
      </w:r>
      <w:r>
        <w:rPr>
          <w:i/>
          <w:spacing w:val="4"/>
          <w:w w:val="105"/>
          <w:sz w:val="13"/>
        </w:rPr>
        <w:t> </w:t>
      </w:r>
      <w:r>
        <w:rPr>
          <w:i/>
          <w:w w:val="105"/>
          <w:sz w:val="13"/>
        </w:rPr>
        <w:t>Procedure</w:t>
      </w:r>
      <w:r>
        <w:rPr>
          <w:i/>
          <w:spacing w:val="3"/>
          <w:w w:val="105"/>
          <w:sz w:val="13"/>
        </w:rPr>
        <w:t> </w:t>
      </w:r>
      <w:r>
        <w:rPr>
          <w:i/>
          <w:w w:val="105"/>
          <w:sz w:val="13"/>
        </w:rPr>
        <w:t>Act</w:t>
      </w:r>
      <w:r>
        <w:rPr>
          <w:i/>
          <w:spacing w:val="4"/>
          <w:w w:val="105"/>
          <w:sz w:val="13"/>
        </w:rPr>
        <w:t> </w:t>
      </w:r>
      <w:r>
        <w:rPr>
          <w:i/>
          <w:spacing w:val="-3"/>
          <w:w w:val="105"/>
          <w:sz w:val="13"/>
        </w:rPr>
        <w:t>2010</w:t>
      </w:r>
      <w:r>
        <w:rPr>
          <w:i/>
          <w:spacing w:val="5"/>
          <w:w w:val="105"/>
          <w:sz w:val="13"/>
        </w:rPr>
        <w:t> </w:t>
      </w:r>
      <w:r>
        <w:rPr>
          <w:spacing w:val="2"/>
          <w:w w:val="105"/>
          <w:sz w:val="13"/>
        </w:rPr>
        <w:t>(Vic)</w:t>
      </w:r>
      <w:r>
        <w:rPr>
          <w:spacing w:val="5"/>
          <w:w w:val="105"/>
          <w:sz w:val="13"/>
        </w:rPr>
        <w:t> </w:t>
      </w:r>
      <w:r>
        <w:rPr>
          <w:w w:val="105"/>
          <w:sz w:val="13"/>
        </w:rPr>
        <w:t>s</w:t>
      </w:r>
      <w:r>
        <w:rPr>
          <w:spacing w:val="5"/>
          <w:w w:val="105"/>
          <w:sz w:val="13"/>
        </w:rPr>
        <w:t> </w:t>
      </w:r>
      <w:r>
        <w:rPr>
          <w:w w:val="105"/>
          <w:sz w:val="13"/>
        </w:rPr>
        <w:t>24.</w:t>
      </w:r>
    </w:p>
    <w:p>
      <w:pPr>
        <w:pStyle w:val="ListParagraph"/>
        <w:numPr>
          <w:ilvl w:val="0"/>
          <w:numId w:val="99"/>
        </w:numPr>
        <w:tabs>
          <w:tab w:pos="1231" w:val="left" w:leader="none"/>
          <w:tab w:pos="1233" w:val="left" w:leader="none"/>
        </w:tabs>
        <w:spacing w:line="240" w:lineRule="auto" w:before="1" w:after="0"/>
        <w:ind w:left="438" w:right="6899" w:firstLine="0"/>
        <w:jc w:val="left"/>
        <w:rPr>
          <w:sz w:val="13"/>
        </w:rPr>
      </w:pPr>
      <w:r>
        <w:rPr>
          <w:i/>
          <w:w w:val="105"/>
          <w:sz w:val="13"/>
        </w:rPr>
        <w:t>Supreme Court Civil Rules 2006 </w:t>
      </w:r>
      <w:r>
        <w:rPr>
          <w:spacing w:val="2"/>
          <w:w w:val="105"/>
          <w:sz w:val="13"/>
        </w:rPr>
        <w:t>(SA) </w:t>
      </w:r>
      <w:r>
        <w:rPr>
          <w:w w:val="105"/>
          <w:sz w:val="13"/>
        </w:rPr>
        <w:t>r 312(12). 265</w:t>
        <w:tab/>
        <w:t>Ibid r</w:t>
      </w:r>
      <w:r>
        <w:rPr>
          <w:spacing w:val="9"/>
          <w:w w:val="105"/>
          <w:sz w:val="13"/>
        </w:rPr>
        <w:t> </w:t>
      </w:r>
      <w:r>
        <w:rPr>
          <w:w w:val="105"/>
          <w:sz w:val="13"/>
        </w:rPr>
        <w:t>312(12A).</w:t>
      </w:r>
    </w:p>
    <w:p>
      <w:pPr>
        <w:tabs>
          <w:tab w:pos="1231" w:val="left" w:leader="none"/>
        </w:tabs>
        <w:spacing w:before="3"/>
        <w:ind w:left="438" w:right="0" w:firstLine="0"/>
        <w:jc w:val="left"/>
        <w:rPr>
          <w:sz w:val="13"/>
        </w:rPr>
      </w:pPr>
      <w:r>
        <w:rPr>
          <w:w w:val="105"/>
          <w:sz w:val="13"/>
        </w:rPr>
        <w:t>266</w:t>
        <w:tab/>
        <w:t>Ibid r</w:t>
      </w:r>
      <w:r>
        <w:rPr>
          <w:spacing w:val="9"/>
          <w:w w:val="105"/>
          <w:sz w:val="13"/>
        </w:rPr>
        <w:t> </w:t>
      </w:r>
      <w:r>
        <w:rPr>
          <w:w w:val="105"/>
          <w:sz w:val="13"/>
        </w:rPr>
        <w:t>312(13).</w:t>
      </w:r>
    </w:p>
    <w:p>
      <w:pPr>
        <w:tabs>
          <w:tab w:pos="1231" w:val="left" w:leader="none"/>
        </w:tabs>
        <w:spacing w:before="1"/>
        <w:ind w:left="438" w:right="0" w:firstLine="0"/>
        <w:jc w:val="left"/>
        <w:rPr>
          <w:sz w:val="13"/>
        </w:rPr>
      </w:pPr>
      <w:r>
        <w:rPr>
          <w:w w:val="105"/>
          <w:sz w:val="13"/>
        </w:rPr>
        <w:t>267</w:t>
        <w:tab/>
        <w:t>Submission 30a </w:t>
      </w:r>
      <w:r>
        <w:rPr>
          <w:spacing w:val="3"/>
          <w:w w:val="105"/>
          <w:sz w:val="13"/>
        </w:rPr>
        <w:t>(Law </w:t>
      </w:r>
      <w:r>
        <w:rPr>
          <w:w w:val="105"/>
          <w:sz w:val="13"/>
        </w:rPr>
        <w:t>Institute of</w:t>
      </w:r>
      <w:r>
        <w:rPr>
          <w:spacing w:val="19"/>
          <w:w w:val="105"/>
          <w:sz w:val="13"/>
        </w:rPr>
        <w:t> </w:t>
      </w:r>
      <w:r>
        <w:rPr>
          <w:spacing w:val="2"/>
          <w:w w:val="105"/>
          <w:sz w:val="13"/>
        </w:rPr>
        <w:t>Victoria).</w:t>
      </w:r>
    </w:p>
    <w:p>
      <w:pPr>
        <w:tabs>
          <w:tab w:pos="1231" w:val="left" w:leader="none"/>
        </w:tabs>
        <w:spacing w:before="2"/>
        <w:ind w:left="438" w:right="0" w:firstLine="0"/>
        <w:jc w:val="left"/>
        <w:rPr>
          <w:sz w:val="13"/>
        </w:rPr>
      </w:pPr>
      <w:r>
        <w:rPr>
          <w:w w:val="105"/>
          <w:sz w:val="13"/>
        </w:rPr>
        <w:t>268</w:t>
        <w:tab/>
        <w:t>Consultations </w:t>
      </w:r>
      <w:r>
        <w:rPr>
          <w:spacing w:val="-3"/>
          <w:w w:val="105"/>
          <w:sz w:val="13"/>
        </w:rPr>
        <w:t>15 </w:t>
      </w:r>
      <w:r>
        <w:rPr>
          <w:w w:val="105"/>
          <w:sz w:val="13"/>
        </w:rPr>
        <w:t>(County Court of </w:t>
      </w:r>
      <w:r>
        <w:rPr>
          <w:spacing w:val="2"/>
          <w:w w:val="105"/>
          <w:sz w:val="13"/>
        </w:rPr>
        <w:t>Victoria); </w:t>
      </w:r>
      <w:r>
        <w:rPr>
          <w:w w:val="105"/>
          <w:sz w:val="13"/>
        </w:rPr>
        <w:t>16 (Supreme Court of </w:t>
      </w:r>
      <w:r>
        <w:rPr>
          <w:spacing w:val="2"/>
          <w:w w:val="105"/>
          <w:sz w:val="13"/>
        </w:rPr>
        <w:t>Victoria—Associate Judges); </w:t>
      </w:r>
      <w:r>
        <w:rPr>
          <w:spacing w:val="-4"/>
          <w:w w:val="105"/>
          <w:sz w:val="13"/>
        </w:rPr>
        <w:t>17 </w:t>
      </w:r>
      <w:r>
        <w:rPr>
          <w:w w:val="105"/>
          <w:sz w:val="13"/>
        </w:rPr>
        <w:t>(Supreme Court of</w:t>
      </w:r>
      <w:r>
        <w:rPr>
          <w:spacing w:val="3"/>
          <w:w w:val="105"/>
          <w:sz w:val="13"/>
        </w:rPr>
        <w:t> </w:t>
      </w:r>
      <w:r>
        <w:rPr>
          <w:spacing w:val="2"/>
          <w:w w:val="105"/>
          <w:sz w:val="13"/>
        </w:rPr>
        <w:t>Victoria—Judges).</w:t>
      </w:r>
    </w:p>
    <w:p>
      <w:pPr>
        <w:spacing w:after="0"/>
        <w:jc w:val="left"/>
        <w:rPr>
          <w:sz w:val="13"/>
        </w:rPr>
        <w:sectPr>
          <w:type w:val="continuous"/>
          <w:pgSz w:w="11910" w:h="16840"/>
          <w:pgMar w:top="920" w:bottom="280" w:left="0" w:right="0"/>
          <w:cols w:num="2" w:equalWidth="0">
            <w:col w:w="1110" w:space="40"/>
            <w:col w:w="10760"/>
          </w:cols>
        </w:sectPr>
      </w:pPr>
    </w:p>
    <w:p>
      <w:pPr>
        <w:pStyle w:val="BodyText"/>
        <w:rPr>
          <w:sz w:val="20"/>
        </w:rPr>
      </w:pPr>
    </w:p>
    <w:p>
      <w:pPr>
        <w:pStyle w:val="BodyText"/>
        <w:rPr>
          <w:sz w:val="19"/>
        </w:rPr>
      </w:pPr>
    </w:p>
    <w:p>
      <w:pPr>
        <w:pStyle w:val="ListParagraph"/>
        <w:numPr>
          <w:ilvl w:val="0"/>
          <w:numId w:val="97"/>
        </w:numPr>
        <w:tabs>
          <w:tab w:pos="2380" w:val="left" w:leader="none"/>
          <w:tab w:pos="2381" w:val="left" w:leader="none"/>
        </w:tabs>
        <w:spacing w:line="242" w:lineRule="auto" w:before="91" w:after="0"/>
        <w:ind w:left="2381" w:right="1664" w:hanging="794"/>
        <w:jc w:val="left"/>
        <w:rPr>
          <w:sz w:val="12"/>
        </w:rPr>
      </w:pPr>
      <w:r>
        <w:rPr>
          <w:w w:val="105"/>
          <w:sz w:val="21"/>
        </w:rPr>
        <w:t>In </w:t>
      </w:r>
      <w:r>
        <w:rPr>
          <w:spacing w:val="-3"/>
          <w:w w:val="105"/>
          <w:sz w:val="21"/>
        </w:rPr>
        <w:t>relation to </w:t>
      </w:r>
      <w:r>
        <w:rPr>
          <w:w w:val="105"/>
          <w:sz w:val="21"/>
        </w:rPr>
        <w:t>the South </w:t>
      </w:r>
      <w:r>
        <w:rPr>
          <w:spacing w:val="-3"/>
          <w:w w:val="105"/>
          <w:sz w:val="21"/>
        </w:rPr>
        <w:t>Australian rule, </w:t>
      </w:r>
      <w:r>
        <w:rPr>
          <w:w w:val="105"/>
          <w:sz w:val="21"/>
        </w:rPr>
        <w:t>a judge of the </w:t>
      </w:r>
      <w:r>
        <w:rPr>
          <w:spacing w:val="-3"/>
          <w:w w:val="105"/>
          <w:sz w:val="21"/>
        </w:rPr>
        <w:t>Supreme Court </w:t>
      </w:r>
      <w:r>
        <w:rPr>
          <w:w w:val="105"/>
          <w:sz w:val="21"/>
        </w:rPr>
        <w:t>of Victoria expressed the view </w:t>
      </w:r>
      <w:r>
        <w:rPr>
          <w:spacing w:val="-3"/>
          <w:w w:val="105"/>
          <w:sz w:val="21"/>
        </w:rPr>
        <w:t>that </w:t>
      </w:r>
      <w:r>
        <w:rPr>
          <w:w w:val="105"/>
          <w:sz w:val="21"/>
        </w:rPr>
        <w:t>there should still be some </w:t>
      </w:r>
      <w:r>
        <w:rPr>
          <w:spacing w:val="-3"/>
          <w:w w:val="105"/>
          <w:sz w:val="21"/>
        </w:rPr>
        <w:t>regard to </w:t>
      </w:r>
      <w:r>
        <w:rPr>
          <w:w w:val="105"/>
          <w:sz w:val="21"/>
        </w:rPr>
        <w:t>the rules of </w:t>
      </w:r>
      <w:r>
        <w:rPr>
          <w:spacing w:val="-3"/>
          <w:w w:val="105"/>
          <w:sz w:val="21"/>
        </w:rPr>
        <w:t>evidence, </w:t>
      </w:r>
      <w:r>
        <w:rPr>
          <w:w w:val="105"/>
          <w:sz w:val="21"/>
        </w:rPr>
        <w:t>particularly </w:t>
      </w:r>
      <w:r>
        <w:rPr>
          <w:spacing w:val="-3"/>
          <w:w w:val="105"/>
          <w:sz w:val="21"/>
        </w:rPr>
        <w:t>relevance.</w:t>
      </w:r>
      <w:r>
        <w:rPr>
          <w:spacing w:val="-3"/>
          <w:w w:val="105"/>
          <w:position w:val="7"/>
          <w:sz w:val="12"/>
        </w:rPr>
        <w:t>269 </w:t>
      </w:r>
      <w:r>
        <w:rPr>
          <w:spacing w:val="-4"/>
          <w:w w:val="105"/>
          <w:sz w:val="21"/>
        </w:rPr>
        <w:t>However, </w:t>
      </w:r>
      <w:r>
        <w:rPr>
          <w:w w:val="105"/>
          <w:sz w:val="21"/>
        </w:rPr>
        <w:t>a master of the South </w:t>
      </w:r>
      <w:r>
        <w:rPr>
          <w:spacing w:val="-3"/>
          <w:w w:val="105"/>
          <w:sz w:val="21"/>
        </w:rPr>
        <w:t>Australian Supreme Court noted that </w:t>
      </w:r>
      <w:r>
        <w:rPr>
          <w:w w:val="105"/>
          <w:sz w:val="21"/>
        </w:rPr>
        <w:t>there </w:t>
      </w:r>
      <w:r>
        <w:rPr>
          <w:spacing w:val="-3"/>
          <w:w w:val="105"/>
          <w:sz w:val="21"/>
        </w:rPr>
        <w:t>were </w:t>
      </w:r>
      <w:r>
        <w:rPr>
          <w:w w:val="105"/>
          <w:sz w:val="21"/>
        </w:rPr>
        <w:t>no </w:t>
      </w:r>
      <w:r>
        <w:rPr>
          <w:spacing w:val="-3"/>
          <w:w w:val="105"/>
          <w:sz w:val="21"/>
        </w:rPr>
        <w:t>concerns </w:t>
      </w:r>
      <w:r>
        <w:rPr>
          <w:w w:val="105"/>
          <w:sz w:val="21"/>
        </w:rPr>
        <w:t>about the sub-rule </w:t>
      </w:r>
      <w:r>
        <w:rPr>
          <w:spacing w:val="-3"/>
          <w:w w:val="105"/>
          <w:sz w:val="21"/>
        </w:rPr>
        <w:t>that </w:t>
      </w:r>
      <w:r>
        <w:rPr>
          <w:w w:val="105"/>
          <w:sz w:val="21"/>
        </w:rPr>
        <w:t>permits the court </w:t>
      </w:r>
      <w:r>
        <w:rPr>
          <w:spacing w:val="-3"/>
          <w:w w:val="105"/>
          <w:sz w:val="21"/>
        </w:rPr>
        <w:t>to summarily determine </w:t>
      </w:r>
      <w:r>
        <w:rPr>
          <w:w w:val="105"/>
          <w:sz w:val="21"/>
        </w:rPr>
        <w:t>a </w:t>
      </w:r>
      <w:r>
        <w:rPr>
          <w:spacing w:val="-3"/>
          <w:w w:val="105"/>
          <w:sz w:val="21"/>
        </w:rPr>
        <w:t>family provision claim </w:t>
      </w:r>
      <w:r>
        <w:rPr>
          <w:w w:val="105"/>
          <w:sz w:val="21"/>
        </w:rPr>
        <w:t>on the basis of evidence </w:t>
      </w:r>
      <w:r>
        <w:rPr>
          <w:spacing w:val="-3"/>
          <w:w w:val="105"/>
          <w:sz w:val="21"/>
        </w:rPr>
        <w:t>that </w:t>
      </w:r>
      <w:r>
        <w:rPr>
          <w:w w:val="105"/>
          <w:sz w:val="21"/>
        </w:rPr>
        <w:t>does </w:t>
      </w:r>
      <w:r>
        <w:rPr>
          <w:spacing w:val="-2"/>
          <w:w w:val="105"/>
          <w:sz w:val="21"/>
        </w:rPr>
        <w:t>not </w:t>
      </w:r>
      <w:r>
        <w:rPr>
          <w:spacing w:val="-3"/>
          <w:w w:val="105"/>
          <w:sz w:val="21"/>
        </w:rPr>
        <w:t>conform </w:t>
      </w:r>
      <w:r>
        <w:rPr>
          <w:w w:val="105"/>
          <w:sz w:val="21"/>
        </w:rPr>
        <w:t>with the rules of </w:t>
      </w:r>
      <w:r>
        <w:rPr>
          <w:spacing w:val="-3"/>
          <w:w w:val="105"/>
          <w:sz w:val="21"/>
        </w:rPr>
        <w:t>evidence.</w:t>
      </w:r>
      <w:r>
        <w:rPr>
          <w:spacing w:val="-3"/>
          <w:w w:val="105"/>
          <w:position w:val="7"/>
          <w:sz w:val="12"/>
        </w:rPr>
        <w:t>270 </w:t>
      </w:r>
      <w:r>
        <w:rPr>
          <w:w w:val="105"/>
          <w:sz w:val="21"/>
        </w:rPr>
        <w:t>There </w:t>
      </w:r>
      <w:r>
        <w:rPr>
          <w:spacing w:val="-3"/>
          <w:w w:val="105"/>
          <w:sz w:val="21"/>
        </w:rPr>
        <w:t>may </w:t>
      </w:r>
      <w:r>
        <w:rPr>
          <w:w w:val="105"/>
          <w:sz w:val="21"/>
        </w:rPr>
        <w:t>be </w:t>
      </w:r>
      <w:r>
        <w:rPr>
          <w:spacing w:val="-3"/>
          <w:w w:val="105"/>
          <w:sz w:val="21"/>
        </w:rPr>
        <w:t>marginally relevant material </w:t>
      </w:r>
      <w:r>
        <w:rPr>
          <w:w w:val="105"/>
          <w:sz w:val="21"/>
        </w:rPr>
        <w:t>in an affidavit, </w:t>
      </w:r>
      <w:r>
        <w:rPr>
          <w:spacing w:val="-3"/>
          <w:w w:val="105"/>
          <w:sz w:val="21"/>
        </w:rPr>
        <w:t>for example, </w:t>
      </w:r>
      <w:r>
        <w:rPr>
          <w:w w:val="105"/>
          <w:sz w:val="21"/>
        </w:rPr>
        <w:t>but the </w:t>
      </w:r>
      <w:r>
        <w:rPr>
          <w:spacing w:val="-3"/>
          <w:w w:val="105"/>
          <w:sz w:val="21"/>
        </w:rPr>
        <w:t>Court </w:t>
      </w:r>
      <w:r>
        <w:rPr>
          <w:w w:val="105"/>
          <w:sz w:val="21"/>
        </w:rPr>
        <w:t>addresses this by assessing what </w:t>
      </w:r>
      <w:r>
        <w:rPr>
          <w:spacing w:val="-3"/>
          <w:w w:val="105"/>
          <w:sz w:val="21"/>
        </w:rPr>
        <w:t>weight to </w:t>
      </w:r>
      <w:r>
        <w:rPr>
          <w:w w:val="105"/>
          <w:sz w:val="21"/>
        </w:rPr>
        <w:t>give the</w:t>
      </w:r>
      <w:r>
        <w:rPr>
          <w:spacing w:val="-17"/>
          <w:w w:val="105"/>
          <w:sz w:val="21"/>
        </w:rPr>
        <w:t> </w:t>
      </w:r>
      <w:r>
        <w:rPr>
          <w:spacing w:val="-3"/>
          <w:w w:val="105"/>
          <w:sz w:val="21"/>
        </w:rPr>
        <w:t>evidence.</w:t>
      </w:r>
      <w:r>
        <w:rPr>
          <w:spacing w:val="-3"/>
          <w:w w:val="105"/>
          <w:position w:val="7"/>
          <w:sz w:val="12"/>
        </w:rPr>
        <w:t>271</w:t>
      </w:r>
    </w:p>
    <w:p>
      <w:pPr>
        <w:pStyle w:val="BodyText"/>
        <w:spacing w:before="4"/>
        <w:rPr>
          <w:sz w:val="25"/>
        </w:rPr>
      </w:pPr>
    </w:p>
    <w:p>
      <w:pPr>
        <w:pStyle w:val="Heading5"/>
      </w:pPr>
      <w:bookmarkStart w:name="_TOC_250004" w:id="125"/>
      <w:bookmarkEnd w:id="125"/>
      <w:r>
        <w:rPr>
          <w:w w:val="115"/>
        </w:rPr>
        <w:t>Views and conclusions</w:t>
      </w:r>
    </w:p>
    <w:p>
      <w:pPr>
        <w:pStyle w:val="ListParagraph"/>
        <w:numPr>
          <w:ilvl w:val="0"/>
          <w:numId w:val="97"/>
        </w:numPr>
        <w:tabs>
          <w:tab w:pos="2381" w:val="left" w:leader="none"/>
          <w:tab w:pos="2382" w:val="left" w:leader="none"/>
        </w:tabs>
        <w:spacing w:line="242" w:lineRule="auto" w:before="137" w:after="0"/>
        <w:ind w:left="2381" w:right="1865" w:hanging="794"/>
        <w:jc w:val="left"/>
        <w:rPr>
          <w:sz w:val="21"/>
        </w:rPr>
      </w:pPr>
      <w:r>
        <w:rPr>
          <w:sz w:val="21"/>
        </w:rPr>
        <w:t>The </w:t>
      </w:r>
      <w:r>
        <w:rPr>
          <w:spacing w:val="-3"/>
          <w:sz w:val="21"/>
        </w:rPr>
        <w:t>Commission </w:t>
      </w:r>
      <w:r>
        <w:rPr>
          <w:sz w:val="21"/>
        </w:rPr>
        <w:t>recognises </w:t>
      </w:r>
      <w:r>
        <w:rPr>
          <w:spacing w:val="-3"/>
          <w:sz w:val="21"/>
        </w:rPr>
        <w:t>that </w:t>
      </w:r>
      <w:r>
        <w:rPr>
          <w:sz w:val="21"/>
        </w:rPr>
        <w:t>the courts </w:t>
      </w:r>
      <w:r>
        <w:rPr>
          <w:spacing w:val="-3"/>
          <w:sz w:val="21"/>
        </w:rPr>
        <w:t>have control </w:t>
      </w:r>
      <w:r>
        <w:rPr>
          <w:sz w:val="21"/>
        </w:rPr>
        <w:t>of their own </w:t>
      </w:r>
      <w:r>
        <w:rPr>
          <w:spacing w:val="-3"/>
          <w:sz w:val="21"/>
        </w:rPr>
        <w:t>procedures </w:t>
      </w:r>
      <w:r>
        <w:rPr>
          <w:sz w:val="21"/>
        </w:rPr>
        <w:t>and considers </w:t>
      </w:r>
      <w:r>
        <w:rPr>
          <w:spacing w:val="-3"/>
          <w:sz w:val="21"/>
        </w:rPr>
        <w:t>that </w:t>
      </w:r>
      <w:r>
        <w:rPr>
          <w:sz w:val="21"/>
        </w:rPr>
        <w:t>they </w:t>
      </w:r>
      <w:r>
        <w:rPr>
          <w:spacing w:val="-3"/>
          <w:sz w:val="21"/>
        </w:rPr>
        <w:t>are  </w:t>
      </w:r>
      <w:r>
        <w:rPr>
          <w:sz w:val="21"/>
        </w:rPr>
        <w:t>best </w:t>
      </w:r>
      <w:r>
        <w:rPr>
          <w:spacing w:val="-2"/>
          <w:sz w:val="21"/>
        </w:rPr>
        <w:t>placed</w:t>
      </w:r>
      <w:r>
        <w:rPr>
          <w:spacing w:val="43"/>
          <w:sz w:val="21"/>
        </w:rPr>
        <w:t> </w:t>
      </w:r>
      <w:r>
        <w:rPr>
          <w:spacing w:val="-3"/>
          <w:sz w:val="21"/>
        </w:rPr>
        <w:t>to  determine  </w:t>
      </w:r>
      <w:r>
        <w:rPr>
          <w:sz w:val="21"/>
        </w:rPr>
        <w:t>how a particular case should proceed. It is </w:t>
      </w:r>
      <w:r>
        <w:rPr>
          <w:spacing w:val="-3"/>
          <w:sz w:val="21"/>
        </w:rPr>
        <w:t>appropriate for </w:t>
      </w:r>
      <w:r>
        <w:rPr>
          <w:sz w:val="21"/>
        </w:rPr>
        <w:t>the courts </w:t>
      </w:r>
      <w:r>
        <w:rPr>
          <w:spacing w:val="-3"/>
          <w:sz w:val="21"/>
        </w:rPr>
        <w:t>to retain </w:t>
      </w:r>
      <w:r>
        <w:rPr>
          <w:sz w:val="21"/>
        </w:rPr>
        <w:t>their </w:t>
      </w:r>
      <w:r>
        <w:rPr>
          <w:spacing w:val="-3"/>
          <w:sz w:val="21"/>
        </w:rPr>
        <w:t>discretion </w:t>
      </w:r>
      <w:r>
        <w:rPr>
          <w:sz w:val="21"/>
        </w:rPr>
        <w:t>in </w:t>
      </w:r>
      <w:r>
        <w:rPr>
          <w:spacing w:val="-3"/>
          <w:sz w:val="21"/>
        </w:rPr>
        <w:t>relation to </w:t>
      </w:r>
      <w:r>
        <w:rPr>
          <w:sz w:val="21"/>
        </w:rPr>
        <w:t>the use of position statements, affidavits, presentation of </w:t>
      </w:r>
      <w:r>
        <w:rPr>
          <w:spacing w:val="-3"/>
          <w:sz w:val="21"/>
        </w:rPr>
        <w:t>evidence, referral </w:t>
      </w:r>
      <w:r>
        <w:rPr>
          <w:sz w:val="21"/>
        </w:rPr>
        <w:t>of matters </w:t>
      </w:r>
      <w:r>
        <w:rPr>
          <w:spacing w:val="-3"/>
          <w:sz w:val="21"/>
        </w:rPr>
        <w:t>to private </w:t>
      </w:r>
      <w:r>
        <w:rPr>
          <w:sz w:val="21"/>
        </w:rPr>
        <w:t>or </w:t>
      </w:r>
      <w:r>
        <w:rPr>
          <w:spacing w:val="-3"/>
          <w:sz w:val="21"/>
        </w:rPr>
        <w:t>judicial mediation, </w:t>
      </w:r>
      <w:r>
        <w:rPr>
          <w:sz w:val="21"/>
        </w:rPr>
        <w:t>and </w:t>
      </w:r>
      <w:r>
        <w:rPr>
          <w:spacing w:val="-3"/>
          <w:sz w:val="21"/>
        </w:rPr>
        <w:t>all </w:t>
      </w:r>
      <w:r>
        <w:rPr>
          <w:sz w:val="21"/>
        </w:rPr>
        <w:t>other </w:t>
      </w:r>
      <w:r>
        <w:rPr>
          <w:spacing w:val="-3"/>
          <w:sz w:val="21"/>
        </w:rPr>
        <w:t>procedural </w:t>
      </w:r>
      <w:r>
        <w:rPr>
          <w:sz w:val="21"/>
        </w:rPr>
        <w:t>aspects of </w:t>
      </w:r>
      <w:r>
        <w:rPr>
          <w:spacing w:val="-3"/>
          <w:sz w:val="21"/>
        </w:rPr>
        <w:t>family provision</w:t>
      </w:r>
      <w:r>
        <w:rPr>
          <w:spacing w:val="-28"/>
          <w:sz w:val="21"/>
        </w:rPr>
        <w:t> </w:t>
      </w:r>
      <w:r>
        <w:rPr>
          <w:spacing w:val="-3"/>
          <w:sz w:val="21"/>
        </w:rPr>
        <w:t>proceedings.</w:t>
      </w:r>
    </w:p>
    <w:p>
      <w:pPr>
        <w:pStyle w:val="ListParagraph"/>
        <w:numPr>
          <w:ilvl w:val="0"/>
          <w:numId w:val="97"/>
        </w:numPr>
        <w:tabs>
          <w:tab w:pos="2381" w:val="left" w:leader="none"/>
          <w:tab w:pos="2382" w:val="left" w:leader="none"/>
        </w:tabs>
        <w:spacing w:line="242" w:lineRule="auto" w:before="126" w:after="0"/>
        <w:ind w:left="2381" w:right="1604" w:hanging="794"/>
        <w:jc w:val="left"/>
        <w:rPr>
          <w:sz w:val="21"/>
        </w:rPr>
      </w:pPr>
      <w:r>
        <w:rPr>
          <w:w w:val="105"/>
          <w:sz w:val="21"/>
        </w:rPr>
        <w:t>A </w:t>
      </w:r>
      <w:r>
        <w:rPr>
          <w:spacing w:val="-4"/>
          <w:w w:val="105"/>
          <w:sz w:val="21"/>
        </w:rPr>
        <w:t>point </w:t>
      </w:r>
      <w:r>
        <w:rPr>
          <w:spacing w:val="-3"/>
          <w:w w:val="105"/>
          <w:sz w:val="21"/>
        </w:rPr>
        <w:t>made by </w:t>
      </w:r>
      <w:r>
        <w:rPr>
          <w:spacing w:val="-4"/>
          <w:w w:val="105"/>
          <w:sz w:val="21"/>
        </w:rPr>
        <w:t>both </w:t>
      </w:r>
      <w:r>
        <w:rPr>
          <w:spacing w:val="-3"/>
          <w:w w:val="105"/>
          <w:sz w:val="21"/>
        </w:rPr>
        <w:t>the </w:t>
      </w:r>
      <w:r>
        <w:rPr>
          <w:spacing w:val="-5"/>
          <w:w w:val="105"/>
          <w:sz w:val="21"/>
        </w:rPr>
        <w:t>County </w:t>
      </w:r>
      <w:r>
        <w:rPr>
          <w:spacing w:val="-4"/>
          <w:w w:val="105"/>
          <w:sz w:val="21"/>
        </w:rPr>
        <w:t>Court and </w:t>
      </w:r>
      <w:r>
        <w:rPr>
          <w:spacing w:val="-3"/>
          <w:w w:val="105"/>
          <w:sz w:val="21"/>
        </w:rPr>
        <w:t>the </w:t>
      </w:r>
      <w:r>
        <w:rPr>
          <w:spacing w:val="-5"/>
          <w:w w:val="105"/>
          <w:sz w:val="21"/>
        </w:rPr>
        <w:t>Supreme </w:t>
      </w:r>
      <w:r>
        <w:rPr>
          <w:spacing w:val="-4"/>
          <w:w w:val="105"/>
          <w:sz w:val="21"/>
        </w:rPr>
        <w:t>Court </w:t>
      </w:r>
      <w:r>
        <w:rPr>
          <w:spacing w:val="-3"/>
          <w:w w:val="105"/>
          <w:sz w:val="21"/>
        </w:rPr>
        <w:t>was </w:t>
      </w:r>
      <w:r>
        <w:rPr>
          <w:spacing w:val="-4"/>
          <w:w w:val="105"/>
          <w:sz w:val="21"/>
        </w:rPr>
        <w:t>that consistency </w:t>
      </w:r>
      <w:r>
        <w:rPr>
          <w:spacing w:val="-3"/>
          <w:w w:val="105"/>
          <w:sz w:val="21"/>
        </w:rPr>
        <w:t>between the </w:t>
      </w:r>
      <w:r>
        <w:rPr>
          <w:w w:val="105"/>
          <w:sz w:val="21"/>
        </w:rPr>
        <w:t>two </w:t>
      </w:r>
      <w:r>
        <w:rPr>
          <w:spacing w:val="-3"/>
          <w:w w:val="105"/>
          <w:sz w:val="21"/>
        </w:rPr>
        <w:t>courts is of </w:t>
      </w:r>
      <w:r>
        <w:rPr>
          <w:spacing w:val="-5"/>
          <w:w w:val="105"/>
          <w:sz w:val="21"/>
        </w:rPr>
        <w:t>paramount </w:t>
      </w:r>
      <w:r>
        <w:rPr>
          <w:spacing w:val="-4"/>
          <w:w w:val="105"/>
          <w:sz w:val="21"/>
        </w:rPr>
        <w:t>importance.</w:t>
      </w:r>
      <w:r>
        <w:rPr>
          <w:spacing w:val="-4"/>
          <w:w w:val="105"/>
          <w:position w:val="7"/>
          <w:sz w:val="12"/>
        </w:rPr>
        <w:t>272 </w:t>
      </w:r>
      <w:r>
        <w:rPr>
          <w:spacing w:val="-2"/>
          <w:w w:val="105"/>
          <w:sz w:val="21"/>
        </w:rPr>
        <w:t>The </w:t>
      </w:r>
      <w:r>
        <w:rPr>
          <w:spacing w:val="-5"/>
          <w:w w:val="105"/>
          <w:sz w:val="21"/>
        </w:rPr>
        <w:t>Commission recommends, therefore, </w:t>
      </w:r>
      <w:r>
        <w:rPr>
          <w:spacing w:val="-4"/>
          <w:w w:val="105"/>
          <w:sz w:val="21"/>
        </w:rPr>
        <w:t>that both </w:t>
      </w:r>
      <w:r>
        <w:rPr>
          <w:spacing w:val="-3"/>
          <w:w w:val="105"/>
          <w:sz w:val="21"/>
        </w:rPr>
        <w:t>the </w:t>
      </w:r>
      <w:r>
        <w:rPr>
          <w:spacing w:val="-5"/>
          <w:w w:val="105"/>
          <w:sz w:val="21"/>
        </w:rPr>
        <w:t>County </w:t>
      </w:r>
      <w:r>
        <w:rPr>
          <w:spacing w:val="-4"/>
          <w:w w:val="105"/>
          <w:sz w:val="21"/>
        </w:rPr>
        <w:t>Court and </w:t>
      </w:r>
      <w:r>
        <w:rPr>
          <w:spacing w:val="-3"/>
          <w:w w:val="105"/>
          <w:sz w:val="21"/>
        </w:rPr>
        <w:t>the </w:t>
      </w:r>
      <w:r>
        <w:rPr>
          <w:spacing w:val="-4"/>
          <w:w w:val="105"/>
          <w:sz w:val="21"/>
        </w:rPr>
        <w:t>Supreme Court should consider </w:t>
      </w:r>
      <w:r>
        <w:rPr>
          <w:spacing w:val="-5"/>
          <w:w w:val="105"/>
          <w:sz w:val="21"/>
        </w:rPr>
        <w:t>including </w:t>
      </w:r>
      <w:r>
        <w:rPr>
          <w:spacing w:val="-3"/>
          <w:w w:val="105"/>
          <w:sz w:val="21"/>
        </w:rPr>
        <w:t>the </w:t>
      </w:r>
      <w:r>
        <w:rPr>
          <w:spacing w:val="-5"/>
          <w:w w:val="105"/>
          <w:sz w:val="21"/>
        </w:rPr>
        <w:t>procedures </w:t>
      </w:r>
      <w:r>
        <w:rPr>
          <w:spacing w:val="-4"/>
          <w:w w:val="105"/>
          <w:sz w:val="21"/>
        </w:rPr>
        <w:t>discussed above </w:t>
      </w:r>
      <w:r>
        <w:rPr>
          <w:spacing w:val="-3"/>
          <w:w w:val="105"/>
          <w:sz w:val="21"/>
        </w:rPr>
        <w:t>in </w:t>
      </w:r>
      <w:r>
        <w:rPr>
          <w:spacing w:val="-5"/>
          <w:w w:val="105"/>
          <w:sz w:val="21"/>
        </w:rPr>
        <w:t>equivalent </w:t>
      </w:r>
      <w:r>
        <w:rPr>
          <w:spacing w:val="-4"/>
          <w:w w:val="105"/>
          <w:sz w:val="21"/>
        </w:rPr>
        <w:t>practice notes </w:t>
      </w:r>
      <w:r>
        <w:rPr>
          <w:spacing w:val="-8"/>
          <w:w w:val="105"/>
          <w:sz w:val="21"/>
        </w:rPr>
        <w:t>or, </w:t>
      </w:r>
      <w:r>
        <w:rPr>
          <w:spacing w:val="-4"/>
          <w:w w:val="105"/>
          <w:sz w:val="21"/>
        </w:rPr>
        <w:t>where </w:t>
      </w:r>
      <w:r>
        <w:rPr>
          <w:spacing w:val="-5"/>
          <w:w w:val="105"/>
          <w:sz w:val="21"/>
        </w:rPr>
        <w:t>relevant, </w:t>
      </w:r>
      <w:r>
        <w:rPr>
          <w:spacing w:val="-4"/>
          <w:w w:val="105"/>
          <w:sz w:val="21"/>
        </w:rPr>
        <w:t>rules </w:t>
      </w:r>
      <w:r>
        <w:rPr>
          <w:spacing w:val="-3"/>
          <w:w w:val="105"/>
          <w:sz w:val="21"/>
        </w:rPr>
        <w:t>of</w:t>
      </w:r>
      <w:r>
        <w:rPr>
          <w:spacing w:val="-25"/>
          <w:w w:val="105"/>
          <w:sz w:val="21"/>
        </w:rPr>
        <w:t> </w:t>
      </w:r>
      <w:r>
        <w:rPr>
          <w:spacing w:val="-3"/>
          <w:w w:val="105"/>
          <w:sz w:val="21"/>
        </w:rPr>
        <w:t>court.</w:t>
      </w:r>
    </w:p>
    <w:p>
      <w:pPr>
        <w:pStyle w:val="BodyText"/>
        <w:spacing w:before="6"/>
        <w:rPr>
          <w:sz w:val="16"/>
        </w:rPr>
      </w:pPr>
      <w:r>
        <w:rPr/>
        <w:pict>
          <v:group style="position:absolute;margin-left:62.362202pt;margin-top:12.060757pt;width:479.1pt;height:301.55pt;mso-position-horizontal-relative:page;mso-position-vertical-relative:paragraph;z-index:7880;mso-wrap-distance-left:0;mso-wrap-distance-right:0" coordorigin="1247,241" coordsize="9582,6031">
            <v:rect style="position:absolute;left:1587;top:241;width:8731;height:6031" filled="true" fillcolor="#fdebea" stroked="false">
              <v:fill type="solid"/>
            </v:rect>
            <v:line style="position:absolute" from="1247,992" to="10828,992" stroked="true" strokeweight="2.5pt" strokecolor="#ffffff">
              <v:stroke dashstyle="solid"/>
            </v:line>
            <v:shape style="position:absolute;left:2381;top:1229;width:7553;height:4869" type="#_x0000_t202" filled="false" stroked="false">
              <v:textbox inset="0,0,0,0">
                <w:txbxContent>
                  <w:p>
                    <w:pPr>
                      <w:spacing w:line="242" w:lineRule="auto" w:before="0"/>
                      <w:ind w:left="0" w:right="0" w:firstLine="0"/>
                      <w:jc w:val="left"/>
                      <w:rPr>
                        <w:sz w:val="21"/>
                      </w:rPr>
                    </w:pPr>
                    <w:r>
                      <w:rPr>
                        <w:w w:val="115"/>
                        <w:sz w:val="21"/>
                      </w:rPr>
                      <w:t>The</w:t>
                    </w:r>
                    <w:r>
                      <w:rPr>
                        <w:spacing w:val="-7"/>
                        <w:w w:val="115"/>
                        <w:sz w:val="21"/>
                      </w:rPr>
                      <w:t> </w:t>
                    </w:r>
                    <w:r>
                      <w:rPr>
                        <w:w w:val="115"/>
                        <w:sz w:val="21"/>
                      </w:rPr>
                      <w:t>County</w:t>
                    </w:r>
                    <w:r>
                      <w:rPr>
                        <w:spacing w:val="-6"/>
                        <w:w w:val="115"/>
                        <w:sz w:val="21"/>
                      </w:rPr>
                      <w:t> </w:t>
                    </w:r>
                    <w:r>
                      <w:rPr>
                        <w:w w:val="115"/>
                        <w:sz w:val="21"/>
                      </w:rPr>
                      <w:t>Court</w:t>
                    </w:r>
                    <w:r>
                      <w:rPr>
                        <w:spacing w:val="-7"/>
                        <w:w w:val="115"/>
                        <w:sz w:val="21"/>
                      </w:rPr>
                      <w:t> </w:t>
                    </w:r>
                    <w:r>
                      <w:rPr>
                        <w:w w:val="115"/>
                        <w:sz w:val="21"/>
                      </w:rPr>
                      <w:t>and</w:t>
                    </w:r>
                    <w:r>
                      <w:rPr>
                        <w:spacing w:val="-6"/>
                        <w:w w:val="115"/>
                        <w:sz w:val="21"/>
                      </w:rPr>
                      <w:t> </w:t>
                    </w:r>
                    <w:r>
                      <w:rPr>
                        <w:w w:val="115"/>
                        <w:sz w:val="21"/>
                      </w:rPr>
                      <w:t>Supreme</w:t>
                    </w:r>
                    <w:r>
                      <w:rPr>
                        <w:spacing w:val="-7"/>
                        <w:w w:val="115"/>
                        <w:sz w:val="21"/>
                      </w:rPr>
                      <w:t> </w:t>
                    </w:r>
                    <w:r>
                      <w:rPr>
                        <w:w w:val="115"/>
                        <w:sz w:val="21"/>
                      </w:rPr>
                      <w:t>Court</w:t>
                    </w:r>
                    <w:r>
                      <w:rPr>
                        <w:spacing w:val="-6"/>
                        <w:w w:val="115"/>
                        <w:sz w:val="21"/>
                      </w:rPr>
                      <w:t> </w:t>
                    </w:r>
                    <w:r>
                      <w:rPr>
                        <w:w w:val="115"/>
                        <w:sz w:val="21"/>
                      </w:rPr>
                      <w:t>should</w:t>
                    </w:r>
                    <w:r>
                      <w:rPr>
                        <w:spacing w:val="-7"/>
                        <w:w w:val="115"/>
                        <w:sz w:val="21"/>
                      </w:rPr>
                      <w:t> </w:t>
                    </w:r>
                    <w:r>
                      <w:rPr>
                        <w:w w:val="115"/>
                        <w:sz w:val="21"/>
                      </w:rPr>
                      <w:t>consider</w:t>
                    </w:r>
                    <w:r>
                      <w:rPr>
                        <w:spacing w:val="-6"/>
                        <w:w w:val="115"/>
                        <w:sz w:val="21"/>
                      </w:rPr>
                      <w:t> </w:t>
                    </w:r>
                    <w:r>
                      <w:rPr>
                        <w:w w:val="115"/>
                        <w:sz w:val="21"/>
                      </w:rPr>
                      <w:t>including</w:t>
                    </w:r>
                    <w:r>
                      <w:rPr>
                        <w:spacing w:val="-6"/>
                        <w:w w:val="115"/>
                        <w:sz w:val="21"/>
                      </w:rPr>
                      <w:t> </w:t>
                    </w:r>
                    <w:r>
                      <w:rPr>
                        <w:w w:val="115"/>
                        <w:sz w:val="21"/>
                      </w:rPr>
                      <w:t>in</w:t>
                    </w:r>
                    <w:r>
                      <w:rPr>
                        <w:spacing w:val="-7"/>
                        <w:w w:val="115"/>
                        <w:sz w:val="21"/>
                      </w:rPr>
                      <w:t> </w:t>
                    </w:r>
                    <w:r>
                      <w:rPr>
                        <w:w w:val="115"/>
                        <w:sz w:val="21"/>
                      </w:rPr>
                      <w:t>equivalent practice notes or rules of court:</w:t>
                    </w:r>
                  </w:p>
                  <w:p>
                    <w:pPr>
                      <w:numPr>
                        <w:ilvl w:val="0"/>
                        <w:numId w:val="100"/>
                      </w:numPr>
                      <w:tabs>
                        <w:tab w:pos="341" w:val="left" w:leader="none"/>
                      </w:tabs>
                      <w:spacing w:line="242" w:lineRule="auto" w:before="118"/>
                      <w:ind w:left="340" w:right="76" w:hanging="340"/>
                      <w:jc w:val="left"/>
                      <w:rPr>
                        <w:sz w:val="12"/>
                      </w:rPr>
                    </w:pPr>
                    <w:r>
                      <w:rPr>
                        <w:w w:val="115"/>
                        <w:sz w:val="21"/>
                      </w:rPr>
                      <w:t>reference</w:t>
                    </w:r>
                    <w:r>
                      <w:rPr>
                        <w:spacing w:val="-8"/>
                        <w:w w:val="115"/>
                        <w:sz w:val="21"/>
                      </w:rPr>
                      <w:t> </w:t>
                    </w:r>
                    <w:r>
                      <w:rPr>
                        <w:w w:val="115"/>
                        <w:sz w:val="21"/>
                      </w:rPr>
                      <w:t>to</w:t>
                    </w:r>
                    <w:r>
                      <w:rPr>
                        <w:spacing w:val="-8"/>
                        <w:w w:val="115"/>
                        <w:sz w:val="21"/>
                      </w:rPr>
                      <w:t> </w:t>
                    </w:r>
                    <w:r>
                      <w:rPr>
                        <w:w w:val="115"/>
                        <w:sz w:val="21"/>
                      </w:rPr>
                      <w:t>position</w:t>
                    </w:r>
                    <w:r>
                      <w:rPr>
                        <w:spacing w:val="-8"/>
                        <w:w w:val="115"/>
                        <w:sz w:val="21"/>
                      </w:rPr>
                      <w:t> </w:t>
                    </w:r>
                    <w:r>
                      <w:rPr>
                        <w:w w:val="115"/>
                        <w:sz w:val="21"/>
                      </w:rPr>
                      <w:t>statements</w:t>
                    </w:r>
                    <w:r>
                      <w:rPr>
                        <w:spacing w:val="-8"/>
                        <w:w w:val="115"/>
                        <w:sz w:val="21"/>
                      </w:rPr>
                      <w:t> </w:t>
                    </w:r>
                    <w:r>
                      <w:rPr>
                        <w:w w:val="115"/>
                        <w:sz w:val="21"/>
                      </w:rPr>
                      <w:t>and</w:t>
                    </w:r>
                    <w:r>
                      <w:rPr>
                        <w:spacing w:val="-7"/>
                        <w:w w:val="115"/>
                        <w:sz w:val="21"/>
                      </w:rPr>
                      <w:t> </w:t>
                    </w:r>
                    <w:r>
                      <w:rPr>
                        <w:w w:val="115"/>
                        <w:sz w:val="21"/>
                      </w:rPr>
                      <w:t>direction</w:t>
                    </w:r>
                    <w:r>
                      <w:rPr>
                        <w:spacing w:val="-8"/>
                        <w:w w:val="115"/>
                        <w:sz w:val="21"/>
                      </w:rPr>
                      <w:t> </w:t>
                    </w:r>
                    <w:r>
                      <w:rPr>
                        <w:w w:val="115"/>
                        <w:sz w:val="21"/>
                      </w:rPr>
                      <w:t>as</w:t>
                    </w:r>
                    <w:r>
                      <w:rPr>
                        <w:spacing w:val="-8"/>
                        <w:w w:val="115"/>
                        <w:sz w:val="21"/>
                      </w:rPr>
                      <w:t> </w:t>
                    </w:r>
                    <w:r>
                      <w:rPr>
                        <w:w w:val="115"/>
                        <w:sz w:val="21"/>
                      </w:rPr>
                      <w:t>to</w:t>
                    </w:r>
                    <w:r>
                      <w:rPr>
                        <w:spacing w:val="-8"/>
                        <w:w w:val="115"/>
                        <w:sz w:val="21"/>
                      </w:rPr>
                      <w:t> </w:t>
                    </w:r>
                    <w:r>
                      <w:rPr>
                        <w:w w:val="115"/>
                        <w:sz w:val="21"/>
                      </w:rPr>
                      <w:t>the</w:t>
                    </w:r>
                    <w:r>
                      <w:rPr>
                        <w:spacing w:val="-8"/>
                        <w:w w:val="115"/>
                        <w:sz w:val="21"/>
                      </w:rPr>
                      <w:t> </w:t>
                    </w:r>
                    <w:r>
                      <w:rPr>
                        <w:w w:val="115"/>
                        <w:sz w:val="21"/>
                      </w:rPr>
                      <w:t>length,</w:t>
                    </w:r>
                    <w:r>
                      <w:rPr>
                        <w:spacing w:val="-7"/>
                        <w:w w:val="115"/>
                        <w:sz w:val="21"/>
                      </w:rPr>
                      <w:t> </w:t>
                    </w:r>
                    <w:r>
                      <w:rPr>
                        <w:w w:val="115"/>
                        <w:sz w:val="21"/>
                      </w:rPr>
                      <w:t>form</w:t>
                    </w:r>
                    <w:r>
                      <w:rPr>
                        <w:spacing w:val="-8"/>
                        <w:w w:val="115"/>
                        <w:sz w:val="21"/>
                      </w:rPr>
                      <w:t> </w:t>
                    </w:r>
                    <w:r>
                      <w:rPr>
                        <w:w w:val="115"/>
                        <w:sz w:val="21"/>
                      </w:rPr>
                      <w:t>and content</w:t>
                    </w:r>
                    <w:r>
                      <w:rPr>
                        <w:spacing w:val="-8"/>
                        <w:w w:val="115"/>
                        <w:sz w:val="21"/>
                      </w:rPr>
                      <w:t> </w:t>
                    </w:r>
                    <w:r>
                      <w:rPr>
                        <w:w w:val="115"/>
                        <w:sz w:val="21"/>
                      </w:rPr>
                      <w:t>of</w:t>
                    </w:r>
                    <w:r>
                      <w:rPr>
                        <w:spacing w:val="-8"/>
                        <w:w w:val="115"/>
                        <w:sz w:val="21"/>
                      </w:rPr>
                      <w:t> </w:t>
                    </w:r>
                    <w:r>
                      <w:rPr>
                        <w:w w:val="115"/>
                        <w:sz w:val="21"/>
                      </w:rPr>
                      <w:t>position</w:t>
                    </w:r>
                    <w:r>
                      <w:rPr>
                        <w:spacing w:val="-8"/>
                        <w:w w:val="115"/>
                        <w:sz w:val="21"/>
                      </w:rPr>
                      <w:t> </w:t>
                    </w:r>
                    <w:r>
                      <w:rPr>
                        <w:w w:val="115"/>
                        <w:sz w:val="21"/>
                      </w:rPr>
                      <w:t>statements</w:t>
                    </w:r>
                    <w:r>
                      <w:rPr>
                        <w:spacing w:val="-8"/>
                        <w:w w:val="115"/>
                        <w:sz w:val="21"/>
                      </w:rPr>
                      <w:t> </w:t>
                    </w:r>
                    <w:r>
                      <w:rPr>
                        <w:w w:val="115"/>
                        <w:sz w:val="21"/>
                      </w:rPr>
                      <w:t>for</w:t>
                    </w:r>
                    <w:r>
                      <w:rPr>
                        <w:spacing w:val="-8"/>
                        <w:w w:val="115"/>
                        <w:sz w:val="21"/>
                      </w:rPr>
                      <w:t> </w:t>
                    </w:r>
                    <w:r>
                      <w:rPr>
                        <w:w w:val="115"/>
                        <w:sz w:val="21"/>
                      </w:rPr>
                      <w:t>use</w:t>
                    </w:r>
                    <w:r>
                      <w:rPr>
                        <w:spacing w:val="-8"/>
                        <w:w w:val="115"/>
                        <w:sz w:val="21"/>
                      </w:rPr>
                      <w:t> </w:t>
                    </w:r>
                    <w:r>
                      <w:rPr>
                        <w:w w:val="115"/>
                        <w:sz w:val="21"/>
                      </w:rPr>
                      <w:t>in</w:t>
                    </w:r>
                    <w:r>
                      <w:rPr>
                        <w:spacing w:val="-8"/>
                        <w:w w:val="115"/>
                        <w:sz w:val="21"/>
                      </w:rPr>
                      <w:t> </w:t>
                    </w:r>
                    <w:r>
                      <w:rPr>
                        <w:spacing w:val="-3"/>
                        <w:w w:val="115"/>
                        <w:sz w:val="21"/>
                      </w:rPr>
                      <w:t>family</w:t>
                    </w:r>
                    <w:r>
                      <w:rPr>
                        <w:spacing w:val="-8"/>
                        <w:w w:val="115"/>
                        <w:sz w:val="21"/>
                      </w:rPr>
                      <w:t> </w:t>
                    </w:r>
                    <w:r>
                      <w:rPr>
                        <w:w w:val="115"/>
                        <w:sz w:val="21"/>
                      </w:rPr>
                      <w:t>provision</w:t>
                    </w:r>
                    <w:r>
                      <w:rPr>
                        <w:spacing w:val="-8"/>
                        <w:w w:val="115"/>
                        <w:sz w:val="21"/>
                      </w:rPr>
                      <w:t> </w:t>
                    </w:r>
                    <w:r>
                      <w:rPr>
                        <w:w w:val="115"/>
                        <w:sz w:val="21"/>
                      </w:rPr>
                      <w:t>proceedings</w:t>
                    </w:r>
                    <w:r>
                      <w:rPr>
                        <w:spacing w:val="-8"/>
                        <w:w w:val="115"/>
                        <w:sz w:val="21"/>
                      </w:rPr>
                      <w:t> </w:t>
                    </w:r>
                    <w:r>
                      <w:rPr>
                        <w:w w:val="115"/>
                        <w:position w:val="7"/>
                        <w:sz w:val="12"/>
                      </w:rPr>
                      <w:t>273</w:t>
                    </w:r>
                  </w:p>
                  <w:p>
                    <w:pPr>
                      <w:numPr>
                        <w:ilvl w:val="0"/>
                        <w:numId w:val="100"/>
                      </w:numPr>
                      <w:tabs>
                        <w:tab w:pos="341" w:val="left" w:leader="none"/>
                      </w:tabs>
                      <w:spacing w:line="242" w:lineRule="auto" w:before="122"/>
                      <w:ind w:left="340" w:right="43" w:hanging="340"/>
                      <w:jc w:val="both"/>
                      <w:rPr>
                        <w:sz w:val="12"/>
                      </w:rPr>
                    </w:pPr>
                    <w:r>
                      <w:rPr>
                        <w:w w:val="115"/>
                        <w:sz w:val="21"/>
                      </w:rPr>
                      <w:t>provision</w:t>
                    </w:r>
                    <w:r>
                      <w:rPr>
                        <w:spacing w:val="-8"/>
                        <w:w w:val="115"/>
                        <w:sz w:val="21"/>
                      </w:rPr>
                      <w:t> </w:t>
                    </w:r>
                    <w:r>
                      <w:rPr>
                        <w:w w:val="115"/>
                        <w:sz w:val="21"/>
                      </w:rPr>
                      <w:t>concerning</w:t>
                    </w:r>
                    <w:r>
                      <w:rPr>
                        <w:spacing w:val="-8"/>
                        <w:w w:val="115"/>
                        <w:sz w:val="21"/>
                      </w:rPr>
                      <w:t> </w:t>
                    </w:r>
                    <w:r>
                      <w:rPr>
                        <w:w w:val="115"/>
                        <w:sz w:val="21"/>
                      </w:rPr>
                      <w:t>pro</w:t>
                    </w:r>
                    <w:r>
                      <w:rPr>
                        <w:spacing w:val="-7"/>
                        <w:w w:val="115"/>
                        <w:sz w:val="21"/>
                      </w:rPr>
                      <w:t> </w:t>
                    </w:r>
                    <w:r>
                      <w:rPr>
                        <w:w w:val="115"/>
                        <w:sz w:val="21"/>
                      </w:rPr>
                      <w:t>forma</w:t>
                    </w:r>
                    <w:r>
                      <w:rPr>
                        <w:spacing w:val="-8"/>
                        <w:w w:val="115"/>
                        <w:sz w:val="21"/>
                      </w:rPr>
                      <w:t> </w:t>
                    </w:r>
                    <w:r>
                      <w:rPr>
                        <w:w w:val="115"/>
                        <w:sz w:val="21"/>
                      </w:rPr>
                      <w:t>affidavits</w:t>
                    </w:r>
                    <w:r>
                      <w:rPr>
                        <w:spacing w:val="-7"/>
                        <w:w w:val="115"/>
                        <w:sz w:val="21"/>
                      </w:rPr>
                      <w:t> </w:t>
                    </w:r>
                    <w:r>
                      <w:rPr>
                        <w:w w:val="115"/>
                        <w:sz w:val="21"/>
                      </w:rPr>
                      <w:t>in</w:t>
                    </w:r>
                    <w:r>
                      <w:rPr>
                        <w:spacing w:val="-8"/>
                        <w:w w:val="115"/>
                        <w:sz w:val="21"/>
                      </w:rPr>
                      <w:t> </w:t>
                    </w:r>
                    <w:r>
                      <w:rPr>
                        <w:spacing w:val="-3"/>
                        <w:w w:val="115"/>
                        <w:sz w:val="21"/>
                      </w:rPr>
                      <w:t>family</w:t>
                    </w:r>
                    <w:r>
                      <w:rPr>
                        <w:spacing w:val="-7"/>
                        <w:w w:val="115"/>
                        <w:sz w:val="21"/>
                      </w:rPr>
                      <w:t> </w:t>
                    </w:r>
                    <w:r>
                      <w:rPr>
                        <w:w w:val="115"/>
                        <w:sz w:val="21"/>
                      </w:rPr>
                      <w:t>provision</w:t>
                    </w:r>
                    <w:r>
                      <w:rPr>
                        <w:spacing w:val="-8"/>
                        <w:w w:val="115"/>
                        <w:sz w:val="21"/>
                      </w:rPr>
                      <w:t> </w:t>
                    </w:r>
                    <w:r>
                      <w:rPr>
                        <w:w w:val="115"/>
                        <w:sz w:val="21"/>
                      </w:rPr>
                      <w:t>proceedings, </w:t>
                    </w:r>
                    <w:r>
                      <w:rPr>
                        <w:spacing w:val="-3"/>
                        <w:w w:val="115"/>
                        <w:sz w:val="21"/>
                      </w:rPr>
                      <w:t>similar</w:t>
                    </w:r>
                    <w:r>
                      <w:rPr>
                        <w:spacing w:val="-7"/>
                        <w:w w:val="115"/>
                        <w:sz w:val="21"/>
                      </w:rPr>
                      <w:t> </w:t>
                    </w:r>
                    <w:r>
                      <w:rPr>
                        <w:w w:val="115"/>
                        <w:sz w:val="21"/>
                      </w:rPr>
                      <w:t>to</w:t>
                    </w:r>
                    <w:r>
                      <w:rPr>
                        <w:spacing w:val="-7"/>
                        <w:w w:val="115"/>
                        <w:sz w:val="21"/>
                      </w:rPr>
                      <w:t> </w:t>
                    </w:r>
                    <w:r>
                      <w:rPr>
                        <w:w w:val="115"/>
                        <w:sz w:val="21"/>
                      </w:rPr>
                      <w:t>those</w:t>
                    </w:r>
                    <w:r>
                      <w:rPr>
                        <w:spacing w:val="-7"/>
                        <w:w w:val="115"/>
                        <w:sz w:val="21"/>
                      </w:rPr>
                      <w:t> </w:t>
                    </w:r>
                    <w:r>
                      <w:rPr>
                        <w:w w:val="115"/>
                        <w:sz w:val="21"/>
                      </w:rPr>
                      <w:t>referred</w:t>
                    </w:r>
                    <w:r>
                      <w:rPr>
                        <w:spacing w:val="-7"/>
                        <w:w w:val="115"/>
                        <w:sz w:val="21"/>
                      </w:rPr>
                      <w:t> </w:t>
                    </w:r>
                    <w:r>
                      <w:rPr>
                        <w:w w:val="115"/>
                        <w:sz w:val="21"/>
                      </w:rPr>
                      <w:t>to</w:t>
                    </w:r>
                    <w:r>
                      <w:rPr>
                        <w:spacing w:val="-7"/>
                        <w:w w:val="115"/>
                        <w:sz w:val="21"/>
                      </w:rPr>
                      <w:t> </w:t>
                    </w:r>
                    <w:r>
                      <w:rPr>
                        <w:w w:val="115"/>
                        <w:sz w:val="21"/>
                      </w:rPr>
                      <w:t>in</w:t>
                    </w:r>
                    <w:r>
                      <w:rPr>
                        <w:spacing w:val="-7"/>
                        <w:w w:val="115"/>
                        <w:sz w:val="21"/>
                      </w:rPr>
                      <w:t> </w:t>
                    </w:r>
                    <w:r>
                      <w:rPr>
                        <w:w w:val="115"/>
                        <w:sz w:val="21"/>
                      </w:rPr>
                      <w:t>Practice</w:t>
                    </w:r>
                    <w:r>
                      <w:rPr>
                        <w:spacing w:val="-7"/>
                        <w:w w:val="115"/>
                        <w:sz w:val="21"/>
                      </w:rPr>
                      <w:t> </w:t>
                    </w:r>
                    <w:r>
                      <w:rPr>
                        <w:w w:val="115"/>
                        <w:sz w:val="21"/>
                      </w:rPr>
                      <w:t>Note</w:t>
                    </w:r>
                    <w:r>
                      <w:rPr>
                        <w:spacing w:val="-6"/>
                        <w:w w:val="115"/>
                        <w:sz w:val="21"/>
                      </w:rPr>
                      <w:t> </w:t>
                    </w:r>
                    <w:r>
                      <w:rPr>
                        <w:w w:val="115"/>
                        <w:sz w:val="21"/>
                      </w:rPr>
                      <w:t>SC</w:t>
                    </w:r>
                    <w:r>
                      <w:rPr>
                        <w:spacing w:val="-7"/>
                        <w:w w:val="115"/>
                        <w:sz w:val="21"/>
                      </w:rPr>
                      <w:t> </w:t>
                    </w:r>
                    <w:r>
                      <w:rPr>
                        <w:spacing w:val="-3"/>
                        <w:w w:val="115"/>
                        <w:sz w:val="21"/>
                      </w:rPr>
                      <w:t>Eq</w:t>
                    </w:r>
                    <w:r>
                      <w:rPr>
                        <w:spacing w:val="-7"/>
                        <w:w w:val="115"/>
                        <w:sz w:val="21"/>
                      </w:rPr>
                      <w:t> </w:t>
                    </w:r>
                    <w:r>
                      <w:rPr>
                        <w:w w:val="115"/>
                        <w:sz w:val="21"/>
                      </w:rPr>
                      <w:t>7</w:t>
                    </w:r>
                    <w:r>
                      <w:rPr>
                        <w:spacing w:val="-7"/>
                        <w:w w:val="115"/>
                        <w:sz w:val="21"/>
                      </w:rPr>
                      <w:t> </w:t>
                    </w:r>
                    <w:r>
                      <w:rPr>
                        <w:w w:val="115"/>
                        <w:sz w:val="21"/>
                      </w:rPr>
                      <w:t>of</w:t>
                    </w:r>
                    <w:r>
                      <w:rPr>
                        <w:spacing w:val="-7"/>
                        <w:w w:val="115"/>
                        <w:sz w:val="21"/>
                      </w:rPr>
                      <w:t> </w:t>
                    </w:r>
                    <w:r>
                      <w:rPr>
                        <w:w w:val="115"/>
                        <w:sz w:val="21"/>
                      </w:rPr>
                      <w:t>the</w:t>
                    </w:r>
                    <w:r>
                      <w:rPr>
                        <w:spacing w:val="-7"/>
                        <w:w w:val="115"/>
                        <w:sz w:val="21"/>
                      </w:rPr>
                      <w:t> </w:t>
                    </w:r>
                    <w:r>
                      <w:rPr>
                        <w:w w:val="115"/>
                        <w:sz w:val="21"/>
                      </w:rPr>
                      <w:t>Supreme</w:t>
                    </w:r>
                    <w:r>
                      <w:rPr>
                        <w:spacing w:val="-7"/>
                        <w:w w:val="115"/>
                        <w:sz w:val="21"/>
                      </w:rPr>
                      <w:t> </w:t>
                    </w:r>
                    <w:r>
                      <w:rPr>
                        <w:w w:val="115"/>
                        <w:sz w:val="21"/>
                      </w:rPr>
                      <w:t>Court of New South </w:t>
                    </w:r>
                    <w:r>
                      <w:rPr>
                        <w:spacing w:val="-3"/>
                        <w:w w:val="115"/>
                        <w:sz w:val="21"/>
                      </w:rPr>
                      <w:t>Wales</w:t>
                    </w:r>
                    <w:r>
                      <w:rPr>
                        <w:spacing w:val="2"/>
                        <w:w w:val="115"/>
                        <w:sz w:val="21"/>
                      </w:rPr>
                      <w:t> </w:t>
                    </w:r>
                    <w:r>
                      <w:rPr>
                        <w:spacing w:val="-3"/>
                        <w:w w:val="115"/>
                        <w:position w:val="7"/>
                        <w:sz w:val="12"/>
                      </w:rPr>
                      <w:t>274</w:t>
                    </w:r>
                  </w:p>
                  <w:p>
                    <w:pPr>
                      <w:numPr>
                        <w:ilvl w:val="0"/>
                        <w:numId w:val="100"/>
                      </w:numPr>
                      <w:tabs>
                        <w:tab w:pos="341" w:val="left" w:leader="none"/>
                      </w:tabs>
                      <w:spacing w:line="242" w:lineRule="auto" w:before="124"/>
                      <w:ind w:left="340" w:right="243" w:hanging="340"/>
                      <w:jc w:val="left"/>
                      <w:rPr>
                        <w:sz w:val="12"/>
                      </w:rPr>
                    </w:pPr>
                    <w:r>
                      <w:rPr>
                        <w:w w:val="115"/>
                        <w:sz w:val="21"/>
                      </w:rPr>
                      <w:t>guidelines in relation to when a </w:t>
                    </w:r>
                    <w:r>
                      <w:rPr>
                        <w:spacing w:val="-3"/>
                        <w:w w:val="115"/>
                        <w:sz w:val="21"/>
                      </w:rPr>
                      <w:t>family </w:t>
                    </w:r>
                    <w:r>
                      <w:rPr>
                        <w:w w:val="115"/>
                        <w:sz w:val="21"/>
                      </w:rPr>
                      <w:t>provision matter </w:t>
                    </w:r>
                    <w:r>
                      <w:rPr>
                        <w:spacing w:val="-3"/>
                        <w:w w:val="115"/>
                        <w:sz w:val="21"/>
                      </w:rPr>
                      <w:t>will </w:t>
                    </w:r>
                    <w:r>
                      <w:rPr>
                        <w:w w:val="115"/>
                        <w:sz w:val="21"/>
                      </w:rPr>
                      <w:t>be referred to judicial mediation</w:t>
                    </w:r>
                    <w:r>
                      <w:rPr>
                        <w:spacing w:val="1"/>
                        <w:w w:val="115"/>
                        <w:sz w:val="21"/>
                      </w:rPr>
                      <w:t> </w:t>
                    </w:r>
                    <w:r>
                      <w:rPr>
                        <w:w w:val="115"/>
                        <w:position w:val="7"/>
                        <w:sz w:val="12"/>
                      </w:rPr>
                      <w:t>275</w:t>
                    </w:r>
                  </w:p>
                  <w:p>
                    <w:pPr>
                      <w:numPr>
                        <w:ilvl w:val="0"/>
                        <w:numId w:val="100"/>
                      </w:numPr>
                      <w:tabs>
                        <w:tab w:pos="341" w:val="left" w:leader="none"/>
                      </w:tabs>
                      <w:spacing w:line="242" w:lineRule="auto" w:before="122"/>
                      <w:ind w:left="340" w:right="155" w:hanging="340"/>
                      <w:jc w:val="left"/>
                      <w:rPr>
                        <w:sz w:val="12"/>
                      </w:rPr>
                    </w:pPr>
                    <w:r>
                      <w:rPr>
                        <w:w w:val="115"/>
                        <w:sz w:val="21"/>
                      </w:rPr>
                      <w:t>a requirement that parties to </w:t>
                    </w:r>
                    <w:r>
                      <w:rPr>
                        <w:spacing w:val="-3"/>
                        <w:w w:val="115"/>
                        <w:sz w:val="21"/>
                      </w:rPr>
                      <w:t>family </w:t>
                    </w:r>
                    <w:r>
                      <w:rPr>
                        <w:w w:val="115"/>
                        <w:sz w:val="21"/>
                      </w:rPr>
                      <w:t>provision proceedings bring to mediation</w:t>
                    </w:r>
                    <w:r>
                      <w:rPr>
                        <w:spacing w:val="-8"/>
                        <w:w w:val="115"/>
                        <w:sz w:val="21"/>
                      </w:rPr>
                      <w:t> </w:t>
                    </w:r>
                    <w:r>
                      <w:rPr>
                        <w:w w:val="115"/>
                        <w:sz w:val="21"/>
                      </w:rPr>
                      <w:t>an</w:t>
                    </w:r>
                    <w:r>
                      <w:rPr>
                        <w:spacing w:val="-8"/>
                        <w:w w:val="115"/>
                        <w:sz w:val="21"/>
                      </w:rPr>
                      <w:t> </w:t>
                    </w:r>
                    <w:r>
                      <w:rPr>
                        <w:w w:val="115"/>
                        <w:sz w:val="21"/>
                      </w:rPr>
                      <w:t>estimate</w:t>
                    </w:r>
                    <w:r>
                      <w:rPr>
                        <w:spacing w:val="-7"/>
                        <w:w w:val="115"/>
                        <w:sz w:val="21"/>
                      </w:rPr>
                      <w:t> </w:t>
                    </w:r>
                    <w:r>
                      <w:rPr>
                        <w:w w:val="115"/>
                        <w:sz w:val="21"/>
                      </w:rPr>
                      <w:t>of</w:t>
                    </w:r>
                    <w:r>
                      <w:rPr>
                        <w:spacing w:val="-8"/>
                        <w:w w:val="115"/>
                        <w:sz w:val="21"/>
                      </w:rPr>
                      <w:t> </w:t>
                    </w:r>
                    <w:r>
                      <w:rPr>
                        <w:w w:val="115"/>
                        <w:sz w:val="21"/>
                      </w:rPr>
                      <w:t>their</w:t>
                    </w:r>
                    <w:r>
                      <w:rPr>
                        <w:spacing w:val="-8"/>
                        <w:w w:val="115"/>
                        <w:sz w:val="21"/>
                      </w:rPr>
                      <w:t> </w:t>
                    </w:r>
                    <w:r>
                      <w:rPr>
                        <w:w w:val="115"/>
                        <w:sz w:val="21"/>
                      </w:rPr>
                      <w:t>costs</w:t>
                    </w:r>
                    <w:r>
                      <w:rPr>
                        <w:spacing w:val="-7"/>
                        <w:w w:val="115"/>
                        <w:sz w:val="21"/>
                      </w:rPr>
                      <w:t> </w:t>
                    </w:r>
                    <w:r>
                      <w:rPr>
                        <w:w w:val="115"/>
                        <w:sz w:val="21"/>
                      </w:rPr>
                      <w:t>to</w:t>
                    </w:r>
                    <w:r>
                      <w:rPr>
                        <w:spacing w:val="-8"/>
                        <w:w w:val="115"/>
                        <w:sz w:val="21"/>
                      </w:rPr>
                      <w:t> </w:t>
                    </w:r>
                    <w:r>
                      <w:rPr>
                        <w:w w:val="115"/>
                        <w:sz w:val="21"/>
                      </w:rPr>
                      <w:t>date,</w:t>
                    </w:r>
                    <w:r>
                      <w:rPr>
                        <w:spacing w:val="-8"/>
                        <w:w w:val="115"/>
                        <w:sz w:val="21"/>
                      </w:rPr>
                      <w:t> </w:t>
                    </w:r>
                    <w:r>
                      <w:rPr>
                        <w:w w:val="115"/>
                        <w:sz w:val="21"/>
                      </w:rPr>
                      <w:t>based</w:t>
                    </w:r>
                    <w:r>
                      <w:rPr>
                        <w:spacing w:val="-7"/>
                        <w:w w:val="115"/>
                        <w:sz w:val="21"/>
                      </w:rPr>
                      <w:t> </w:t>
                    </w:r>
                    <w:r>
                      <w:rPr>
                        <w:w w:val="115"/>
                        <w:sz w:val="21"/>
                      </w:rPr>
                      <w:t>on</w:t>
                    </w:r>
                    <w:r>
                      <w:rPr>
                        <w:spacing w:val="-8"/>
                        <w:w w:val="115"/>
                        <w:sz w:val="21"/>
                      </w:rPr>
                      <w:t> </w:t>
                    </w:r>
                    <w:r>
                      <w:rPr>
                        <w:w w:val="115"/>
                        <w:sz w:val="21"/>
                      </w:rPr>
                      <w:t>the</w:t>
                    </w:r>
                    <w:r>
                      <w:rPr>
                        <w:spacing w:val="-8"/>
                        <w:w w:val="115"/>
                        <w:sz w:val="21"/>
                      </w:rPr>
                      <w:t> </w:t>
                    </w:r>
                    <w:r>
                      <w:rPr>
                        <w:spacing w:val="-3"/>
                        <w:w w:val="115"/>
                        <w:sz w:val="21"/>
                      </w:rPr>
                      <w:t>relevant</w:t>
                    </w:r>
                    <w:r>
                      <w:rPr>
                        <w:spacing w:val="-7"/>
                        <w:w w:val="115"/>
                        <w:sz w:val="21"/>
                      </w:rPr>
                      <w:t> </w:t>
                    </w:r>
                    <w:r>
                      <w:rPr>
                        <w:w w:val="115"/>
                        <w:sz w:val="21"/>
                      </w:rPr>
                      <w:t>court scale </w:t>
                    </w:r>
                    <w:r>
                      <w:rPr>
                        <w:w w:val="115"/>
                        <w:position w:val="7"/>
                        <w:sz w:val="12"/>
                      </w:rPr>
                      <w:t>276</w:t>
                    </w:r>
                  </w:p>
                  <w:p>
                    <w:pPr>
                      <w:numPr>
                        <w:ilvl w:val="0"/>
                        <w:numId w:val="100"/>
                      </w:numPr>
                      <w:tabs>
                        <w:tab w:pos="341" w:val="left" w:leader="none"/>
                      </w:tabs>
                      <w:spacing w:line="242" w:lineRule="auto" w:before="123"/>
                      <w:ind w:left="340" w:right="53" w:hanging="340"/>
                      <w:jc w:val="left"/>
                      <w:rPr>
                        <w:sz w:val="21"/>
                      </w:rPr>
                    </w:pPr>
                    <w:r>
                      <w:rPr>
                        <w:w w:val="115"/>
                        <w:sz w:val="21"/>
                      </w:rPr>
                      <w:t>reference</w:t>
                    </w:r>
                    <w:r>
                      <w:rPr>
                        <w:spacing w:val="-9"/>
                        <w:w w:val="115"/>
                        <w:sz w:val="21"/>
                      </w:rPr>
                      <w:t> </w:t>
                    </w:r>
                    <w:r>
                      <w:rPr>
                        <w:w w:val="115"/>
                        <w:sz w:val="21"/>
                      </w:rPr>
                      <w:t>to</w:t>
                    </w:r>
                    <w:r>
                      <w:rPr>
                        <w:spacing w:val="-8"/>
                        <w:w w:val="115"/>
                        <w:sz w:val="21"/>
                      </w:rPr>
                      <w:t> </w:t>
                    </w:r>
                    <w:r>
                      <w:rPr>
                        <w:w w:val="115"/>
                        <w:sz w:val="21"/>
                      </w:rPr>
                      <w:t>the</w:t>
                    </w:r>
                    <w:r>
                      <w:rPr>
                        <w:spacing w:val="-9"/>
                        <w:w w:val="115"/>
                        <w:sz w:val="21"/>
                      </w:rPr>
                      <w:t> </w:t>
                    </w:r>
                    <w:r>
                      <w:rPr>
                        <w:w w:val="115"/>
                        <w:sz w:val="21"/>
                      </w:rPr>
                      <w:t>courts’</w:t>
                    </w:r>
                    <w:r>
                      <w:rPr>
                        <w:spacing w:val="-8"/>
                        <w:w w:val="115"/>
                        <w:sz w:val="21"/>
                      </w:rPr>
                      <w:t> </w:t>
                    </w:r>
                    <w:r>
                      <w:rPr>
                        <w:w w:val="115"/>
                        <w:sz w:val="21"/>
                      </w:rPr>
                      <w:t>powers</w:t>
                    </w:r>
                    <w:r>
                      <w:rPr>
                        <w:spacing w:val="-9"/>
                        <w:w w:val="115"/>
                        <w:sz w:val="21"/>
                      </w:rPr>
                      <w:t> </w:t>
                    </w:r>
                    <w:r>
                      <w:rPr>
                        <w:w w:val="115"/>
                        <w:sz w:val="21"/>
                      </w:rPr>
                      <w:t>to</w:t>
                    </w:r>
                    <w:r>
                      <w:rPr>
                        <w:spacing w:val="-8"/>
                        <w:w w:val="115"/>
                        <w:sz w:val="21"/>
                      </w:rPr>
                      <w:t> </w:t>
                    </w:r>
                    <w:r>
                      <w:rPr>
                        <w:w w:val="115"/>
                        <w:sz w:val="21"/>
                      </w:rPr>
                      <w:t>order</w:t>
                    </w:r>
                    <w:r>
                      <w:rPr>
                        <w:spacing w:val="-8"/>
                        <w:w w:val="115"/>
                        <w:sz w:val="21"/>
                      </w:rPr>
                      <w:t> </w:t>
                    </w:r>
                    <w:r>
                      <w:rPr>
                        <w:w w:val="115"/>
                        <w:sz w:val="21"/>
                      </w:rPr>
                      <w:t>affidavits</w:t>
                    </w:r>
                    <w:r>
                      <w:rPr>
                        <w:spacing w:val="-9"/>
                        <w:w w:val="115"/>
                        <w:sz w:val="21"/>
                      </w:rPr>
                      <w:t> </w:t>
                    </w:r>
                    <w:r>
                      <w:rPr>
                        <w:w w:val="115"/>
                        <w:sz w:val="21"/>
                      </w:rPr>
                      <w:t>as</w:t>
                    </w:r>
                    <w:r>
                      <w:rPr>
                        <w:spacing w:val="-8"/>
                        <w:w w:val="115"/>
                        <w:sz w:val="21"/>
                      </w:rPr>
                      <w:t> </w:t>
                    </w:r>
                    <w:r>
                      <w:rPr>
                        <w:w w:val="115"/>
                        <w:sz w:val="21"/>
                      </w:rPr>
                      <w:t>to</w:t>
                    </w:r>
                    <w:r>
                      <w:rPr>
                        <w:spacing w:val="-9"/>
                        <w:w w:val="115"/>
                        <w:sz w:val="21"/>
                      </w:rPr>
                      <w:t> </w:t>
                    </w:r>
                    <w:r>
                      <w:rPr>
                        <w:w w:val="115"/>
                        <w:sz w:val="21"/>
                      </w:rPr>
                      <w:t>costs</w:t>
                    </w:r>
                    <w:r>
                      <w:rPr>
                        <w:spacing w:val="-8"/>
                        <w:w w:val="115"/>
                        <w:sz w:val="21"/>
                      </w:rPr>
                      <w:t> </w:t>
                    </w:r>
                    <w:r>
                      <w:rPr>
                        <w:w w:val="115"/>
                        <w:sz w:val="21"/>
                      </w:rPr>
                      <w:t>at</w:t>
                    </w:r>
                    <w:r>
                      <w:rPr>
                        <w:spacing w:val="-8"/>
                        <w:w w:val="115"/>
                        <w:sz w:val="21"/>
                      </w:rPr>
                      <w:t> </w:t>
                    </w:r>
                    <w:r>
                      <w:rPr>
                        <w:spacing w:val="-2"/>
                        <w:w w:val="115"/>
                        <w:sz w:val="21"/>
                      </w:rPr>
                      <w:t>any</w:t>
                    </w:r>
                    <w:r>
                      <w:rPr>
                        <w:spacing w:val="-9"/>
                        <w:w w:val="115"/>
                        <w:sz w:val="21"/>
                      </w:rPr>
                      <w:t> </w:t>
                    </w:r>
                    <w:r>
                      <w:rPr>
                        <w:w w:val="115"/>
                        <w:sz w:val="21"/>
                      </w:rPr>
                      <w:t>stage of a </w:t>
                    </w:r>
                    <w:r>
                      <w:rPr>
                        <w:spacing w:val="-3"/>
                        <w:w w:val="115"/>
                        <w:sz w:val="21"/>
                      </w:rPr>
                      <w:t>family </w:t>
                    </w:r>
                    <w:r>
                      <w:rPr>
                        <w:w w:val="115"/>
                        <w:sz w:val="21"/>
                      </w:rPr>
                      <w:t>provision</w:t>
                    </w:r>
                    <w:r>
                      <w:rPr>
                        <w:spacing w:val="5"/>
                        <w:w w:val="115"/>
                        <w:sz w:val="21"/>
                      </w:rPr>
                      <w:t> </w:t>
                    </w:r>
                    <w:r>
                      <w:rPr>
                        <w:w w:val="115"/>
                        <w:sz w:val="21"/>
                      </w:rPr>
                      <w:t>proceeding</w:t>
                    </w:r>
                  </w:p>
                  <w:p>
                    <w:pPr>
                      <w:numPr>
                        <w:ilvl w:val="0"/>
                        <w:numId w:val="100"/>
                      </w:numPr>
                      <w:tabs>
                        <w:tab w:pos="341" w:val="left" w:leader="none"/>
                      </w:tabs>
                      <w:spacing w:line="242" w:lineRule="auto" w:before="122"/>
                      <w:ind w:left="340" w:right="179" w:hanging="340"/>
                      <w:jc w:val="left"/>
                      <w:rPr>
                        <w:sz w:val="12"/>
                      </w:rPr>
                    </w:pPr>
                    <w:r>
                      <w:rPr>
                        <w:w w:val="115"/>
                        <w:sz w:val="21"/>
                      </w:rPr>
                      <w:t>reference</w:t>
                    </w:r>
                    <w:r>
                      <w:rPr>
                        <w:spacing w:val="-11"/>
                        <w:w w:val="115"/>
                        <w:sz w:val="21"/>
                      </w:rPr>
                      <w:t> </w:t>
                    </w:r>
                    <w:r>
                      <w:rPr>
                        <w:w w:val="115"/>
                        <w:sz w:val="21"/>
                      </w:rPr>
                      <w:t>to</w:t>
                    </w:r>
                    <w:r>
                      <w:rPr>
                        <w:spacing w:val="-11"/>
                        <w:w w:val="115"/>
                        <w:sz w:val="21"/>
                      </w:rPr>
                      <w:t> </w:t>
                    </w:r>
                    <w:r>
                      <w:rPr>
                        <w:w w:val="115"/>
                        <w:sz w:val="21"/>
                      </w:rPr>
                      <w:t>the</w:t>
                    </w:r>
                    <w:r>
                      <w:rPr>
                        <w:spacing w:val="-11"/>
                        <w:w w:val="115"/>
                        <w:sz w:val="21"/>
                      </w:rPr>
                      <w:t> </w:t>
                    </w:r>
                    <w:r>
                      <w:rPr>
                        <w:w w:val="115"/>
                        <w:sz w:val="21"/>
                      </w:rPr>
                      <w:t>courts’</w:t>
                    </w:r>
                    <w:r>
                      <w:rPr>
                        <w:spacing w:val="-10"/>
                        <w:w w:val="115"/>
                        <w:sz w:val="21"/>
                      </w:rPr>
                      <w:t> </w:t>
                    </w:r>
                    <w:r>
                      <w:rPr>
                        <w:w w:val="115"/>
                        <w:sz w:val="21"/>
                      </w:rPr>
                      <w:t>powers</w:t>
                    </w:r>
                    <w:r>
                      <w:rPr>
                        <w:spacing w:val="-11"/>
                        <w:w w:val="115"/>
                        <w:sz w:val="21"/>
                      </w:rPr>
                      <w:t> </w:t>
                    </w:r>
                    <w:r>
                      <w:rPr>
                        <w:w w:val="115"/>
                        <w:sz w:val="21"/>
                      </w:rPr>
                      <w:t>to</w:t>
                    </w:r>
                    <w:r>
                      <w:rPr>
                        <w:spacing w:val="-11"/>
                        <w:w w:val="115"/>
                        <w:sz w:val="21"/>
                      </w:rPr>
                      <w:t> </w:t>
                    </w:r>
                    <w:r>
                      <w:rPr>
                        <w:w w:val="115"/>
                        <w:sz w:val="21"/>
                      </w:rPr>
                      <w:t>cap</w:t>
                    </w:r>
                    <w:r>
                      <w:rPr>
                        <w:spacing w:val="-10"/>
                        <w:w w:val="115"/>
                        <w:sz w:val="21"/>
                      </w:rPr>
                      <w:t> </w:t>
                    </w:r>
                    <w:r>
                      <w:rPr>
                        <w:w w:val="115"/>
                        <w:sz w:val="21"/>
                      </w:rPr>
                      <w:t>costs</w:t>
                    </w:r>
                    <w:r>
                      <w:rPr>
                        <w:spacing w:val="-11"/>
                        <w:w w:val="115"/>
                        <w:sz w:val="21"/>
                      </w:rPr>
                      <w:t> </w:t>
                    </w:r>
                    <w:r>
                      <w:rPr>
                        <w:w w:val="115"/>
                        <w:sz w:val="21"/>
                      </w:rPr>
                      <w:t>and</w:t>
                    </w:r>
                    <w:r>
                      <w:rPr>
                        <w:spacing w:val="-11"/>
                        <w:w w:val="115"/>
                        <w:sz w:val="21"/>
                      </w:rPr>
                      <w:t> </w:t>
                    </w:r>
                    <w:r>
                      <w:rPr>
                        <w:spacing w:val="-3"/>
                        <w:w w:val="115"/>
                        <w:sz w:val="21"/>
                      </w:rPr>
                      <w:t>make</w:t>
                    </w:r>
                    <w:r>
                      <w:rPr>
                        <w:spacing w:val="-11"/>
                        <w:w w:val="115"/>
                        <w:sz w:val="21"/>
                      </w:rPr>
                      <w:t> </w:t>
                    </w:r>
                    <w:r>
                      <w:rPr>
                        <w:w w:val="115"/>
                        <w:sz w:val="21"/>
                      </w:rPr>
                      <w:t>other</w:t>
                    </w:r>
                    <w:r>
                      <w:rPr>
                        <w:spacing w:val="-10"/>
                        <w:w w:val="115"/>
                        <w:sz w:val="21"/>
                      </w:rPr>
                      <w:t> </w:t>
                    </w:r>
                    <w:r>
                      <w:rPr>
                        <w:w w:val="115"/>
                        <w:sz w:val="21"/>
                      </w:rPr>
                      <w:t>orders</w:t>
                    </w:r>
                    <w:r>
                      <w:rPr>
                        <w:spacing w:val="-11"/>
                        <w:w w:val="115"/>
                        <w:sz w:val="21"/>
                      </w:rPr>
                      <w:t> </w:t>
                    </w:r>
                    <w:r>
                      <w:rPr>
                        <w:w w:val="115"/>
                        <w:sz w:val="21"/>
                      </w:rPr>
                      <w:t>as</w:t>
                    </w:r>
                    <w:r>
                      <w:rPr>
                        <w:spacing w:val="-11"/>
                        <w:w w:val="115"/>
                        <w:sz w:val="21"/>
                      </w:rPr>
                      <w:t> </w:t>
                    </w:r>
                    <w:r>
                      <w:rPr>
                        <w:w w:val="115"/>
                        <w:sz w:val="21"/>
                      </w:rPr>
                      <w:t>to costs in </w:t>
                    </w:r>
                    <w:r>
                      <w:rPr>
                        <w:spacing w:val="-3"/>
                        <w:w w:val="115"/>
                        <w:sz w:val="21"/>
                      </w:rPr>
                      <w:t>family </w:t>
                    </w:r>
                    <w:r>
                      <w:rPr>
                        <w:w w:val="115"/>
                        <w:sz w:val="21"/>
                      </w:rPr>
                      <w:t>provision</w:t>
                    </w:r>
                    <w:r>
                      <w:rPr>
                        <w:spacing w:val="2"/>
                        <w:w w:val="115"/>
                        <w:sz w:val="21"/>
                      </w:rPr>
                      <w:t> </w:t>
                    </w:r>
                    <w:r>
                      <w:rPr>
                        <w:w w:val="115"/>
                        <w:sz w:val="21"/>
                      </w:rPr>
                      <w:t>proceedings.</w:t>
                    </w:r>
                    <w:r>
                      <w:rPr>
                        <w:w w:val="115"/>
                        <w:position w:val="7"/>
                        <w:sz w:val="12"/>
                      </w:rPr>
                      <w:t>277</w:t>
                    </w:r>
                  </w:p>
                </w:txbxContent>
              </v:textbox>
              <w10:wrap type="none"/>
            </v:shape>
            <v:shape style="position:absolute;left:1814;top:1229;width:261;height:249" type="#_x0000_t202" filled="false" stroked="false">
              <v:textbox inset="0,0,0,0">
                <w:txbxContent>
                  <w:p>
                    <w:pPr>
                      <w:spacing w:line="249" w:lineRule="exact" w:before="0"/>
                      <w:ind w:left="0" w:right="0" w:firstLine="0"/>
                      <w:jc w:val="left"/>
                      <w:rPr>
                        <w:sz w:val="21"/>
                      </w:rPr>
                    </w:pPr>
                    <w:r>
                      <w:rPr>
                        <w:w w:val="110"/>
                        <w:sz w:val="21"/>
                      </w:rPr>
                      <w:t>44</w:t>
                    </w:r>
                  </w:p>
                </w:txbxContent>
              </v:textbox>
              <w10:wrap type="none"/>
            </v:shape>
            <v:shape style="position:absolute;left:1587;top:241;width:8731;height:726" type="#_x0000_t202" filled="true" fillcolor="#fdebea" stroked="false">
              <v:textbox inset="0,0,0,0">
                <w:txbxContent>
                  <w:p>
                    <w:pPr>
                      <w:spacing w:before="166"/>
                      <w:ind w:left="226" w:right="0" w:firstLine="0"/>
                      <w:jc w:val="left"/>
                      <w:rPr>
                        <w:b/>
                        <w:sz w:val="32"/>
                      </w:rPr>
                    </w:pPr>
                    <w:r>
                      <w:rPr>
                        <w:b/>
                        <w:color w:val="EC5A4F"/>
                        <w:w w:val="110"/>
                        <w:sz w:val="32"/>
                      </w:rPr>
                      <w:t>Recommendation</w:t>
                    </w:r>
                  </w:p>
                </w:txbxContent>
              </v:textbox>
              <v:fill type="solid"/>
              <w10:wrap type="none"/>
            </v:shape>
            <w10:wrap type="topAndBottom"/>
          </v:group>
        </w:pict>
      </w:r>
    </w:p>
    <w:p>
      <w:pPr>
        <w:pStyle w:val="BodyText"/>
        <w:rPr>
          <w:sz w:val="20"/>
        </w:rPr>
      </w:pPr>
    </w:p>
    <w:p>
      <w:pPr>
        <w:pStyle w:val="BodyText"/>
        <w:rPr>
          <w:sz w:val="20"/>
        </w:rPr>
      </w:pPr>
    </w:p>
    <w:p>
      <w:pPr>
        <w:pStyle w:val="BodyText"/>
        <w:spacing w:before="2"/>
        <w:rPr>
          <w:sz w:val="23"/>
        </w:rPr>
      </w:pPr>
      <w:r>
        <w:rPr/>
        <w:pict>
          <v:line style="position:absolute;mso-position-horizontal-relative:page;mso-position-vertical-relative:paragraph;z-index:7904;mso-wrap-distance-left:0;mso-wrap-distance-right:0" from="79.370102pt,16.618538pt" to="515.905102pt,16.618538pt" stroked="true" strokeweight="1pt" strokecolor="#f9ceca">
            <v:stroke dashstyle="solid"/>
            <w10:wrap type="topAndBottom"/>
          </v:line>
        </w:pict>
      </w:r>
    </w:p>
    <w:p>
      <w:pPr>
        <w:pStyle w:val="BodyText"/>
        <w:spacing w:before="8"/>
        <w:rPr>
          <w:sz w:val="5"/>
        </w:rPr>
      </w:pPr>
    </w:p>
    <w:p>
      <w:pPr>
        <w:spacing w:after="0"/>
        <w:rPr>
          <w:sz w:val="5"/>
        </w:rPr>
        <w:sectPr>
          <w:pgSz w:w="11910" w:h="16840"/>
          <w:pgMar w:header="805" w:footer="0" w:top="1360" w:bottom="280" w:left="0" w:right="0"/>
        </w:sectPr>
      </w:pPr>
    </w:p>
    <w:p>
      <w:pPr>
        <w:pStyle w:val="ListParagraph"/>
        <w:numPr>
          <w:ilvl w:val="0"/>
          <w:numId w:val="101"/>
        </w:numPr>
        <w:tabs>
          <w:tab w:pos="2380" w:val="left" w:leader="none"/>
          <w:tab w:pos="2382" w:val="left" w:leader="none"/>
        </w:tabs>
        <w:spacing w:line="240" w:lineRule="auto" w:before="48" w:after="0"/>
        <w:ind w:left="2381" w:right="0" w:hanging="794"/>
        <w:jc w:val="left"/>
        <w:rPr>
          <w:sz w:val="13"/>
        </w:rPr>
      </w:pPr>
      <w:r>
        <w:rPr>
          <w:w w:val="105"/>
          <w:sz w:val="13"/>
        </w:rPr>
        <w:t>Consultation </w:t>
      </w:r>
      <w:r>
        <w:rPr>
          <w:spacing w:val="-4"/>
          <w:w w:val="105"/>
          <w:sz w:val="13"/>
        </w:rPr>
        <w:t>17 </w:t>
      </w:r>
      <w:r>
        <w:rPr>
          <w:w w:val="105"/>
          <w:sz w:val="13"/>
        </w:rPr>
        <w:t>(Supreme Court of </w:t>
      </w:r>
      <w:r>
        <w:rPr>
          <w:spacing w:val="2"/>
          <w:w w:val="105"/>
          <w:sz w:val="13"/>
        </w:rPr>
        <w:t>Victoria—Judges).</w:t>
      </w:r>
    </w:p>
    <w:p>
      <w:pPr>
        <w:pStyle w:val="ListParagraph"/>
        <w:numPr>
          <w:ilvl w:val="0"/>
          <w:numId w:val="101"/>
        </w:numPr>
        <w:tabs>
          <w:tab w:pos="2380" w:val="left" w:leader="none"/>
          <w:tab w:pos="2382" w:val="left" w:leader="none"/>
        </w:tabs>
        <w:spacing w:line="240" w:lineRule="auto" w:before="1" w:after="0"/>
        <w:ind w:left="2381" w:right="0" w:hanging="794"/>
        <w:jc w:val="left"/>
        <w:rPr>
          <w:sz w:val="13"/>
        </w:rPr>
      </w:pPr>
      <w:r>
        <w:rPr>
          <w:w w:val="105"/>
          <w:sz w:val="13"/>
        </w:rPr>
        <w:t>Consultation</w:t>
      </w:r>
      <w:r>
        <w:rPr>
          <w:spacing w:val="5"/>
          <w:w w:val="105"/>
          <w:sz w:val="13"/>
        </w:rPr>
        <w:t> </w:t>
      </w:r>
      <w:r>
        <w:rPr>
          <w:w w:val="105"/>
          <w:sz w:val="13"/>
        </w:rPr>
        <w:t>24</w:t>
      </w:r>
      <w:r>
        <w:rPr>
          <w:spacing w:val="6"/>
          <w:w w:val="105"/>
          <w:sz w:val="13"/>
        </w:rPr>
        <w:t> </w:t>
      </w:r>
      <w:r>
        <w:rPr>
          <w:w w:val="105"/>
          <w:sz w:val="13"/>
        </w:rPr>
        <w:t>(Supreme</w:t>
      </w:r>
      <w:r>
        <w:rPr>
          <w:spacing w:val="6"/>
          <w:w w:val="105"/>
          <w:sz w:val="13"/>
        </w:rPr>
        <w:t> </w:t>
      </w:r>
      <w:r>
        <w:rPr>
          <w:w w:val="105"/>
          <w:sz w:val="13"/>
        </w:rPr>
        <w:t>Court</w:t>
      </w:r>
      <w:r>
        <w:rPr>
          <w:spacing w:val="6"/>
          <w:w w:val="105"/>
          <w:sz w:val="13"/>
        </w:rPr>
        <w:t> </w:t>
      </w:r>
      <w:r>
        <w:rPr>
          <w:w w:val="105"/>
          <w:sz w:val="13"/>
        </w:rPr>
        <w:t>of</w:t>
      </w:r>
      <w:r>
        <w:rPr>
          <w:spacing w:val="5"/>
          <w:w w:val="105"/>
          <w:sz w:val="13"/>
        </w:rPr>
        <w:t> </w:t>
      </w:r>
      <w:r>
        <w:rPr>
          <w:w w:val="105"/>
          <w:sz w:val="13"/>
        </w:rPr>
        <w:t>South</w:t>
      </w:r>
      <w:r>
        <w:rPr>
          <w:spacing w:val="6"/>
          <w:w w:val="105"/>
          <w:sz w:val="13"/>
        </w:rPr>
        <w:t> </w:t>
      </w:r>
      <w:r>
        <w:rPr>
          <w:w w:val="105"/>
          <w:sz w:val="13"/>
        </w:rPr>
        <w:t>Australia);</w:t>
      </w:r>
      <w:r>
        <w:rPr>
          <w:spacing w:val="6"/>
          <w:w w:val="105"/>
          <w:sz w:val="13"/>
        </w:rPr>
        <w:t> </w:t>
      </w:r>
      <w:r>
        <w:rPr>
          <w:i/>
          <w:w w:val="105"/>
          <w:sz w:val="13"/>
        </w:rPr>
        <w:t>Supreme</w:t>
      </w:r>
      <w:r>
        <w:rPr>
          <w:i/>
          <w:spacing w:val="4"/>
          <w:w w:val="105"/>
          <w:sz w:val="13"/>
        </w:rPr>
        <w:t> </w:t>
      </w:r>
      <w:r>
        <w:rPr>
          <w:i/>
          <w:w w:val="105"/>
          <w:sz w:val="13"/>
        </w:rPr>
        <w:t>Court</w:t>
      </w:r>
      <w:r>
        <w:rPr>
          <w:i/>
          <w:spacing w:val="5"/>
          <w:w w:val="105"/>
          <w:sz w:val="13"/>
        </w:rPr>
        <w:t> </w:t>
      </w:r>
      <w:r>
        <w:rPr>
          <w:i/>
          <w:w w:val="105"/>
          <w:sz w:val="13"/>
        </w:rPr>
        <w:t>Civil</w:t>
      </w:r>
      <w:r>
        <w:rPr>
          <w:i/>
          <w:spacing w:val="5"/>
          <w:w w:val="105"/>
          <w:sz w:val="13"/>
        </w:rPr>
        <w:t> </w:t>
      </w:r>
      <w:r>
        <w:rPr>
          <w:i/>
          <w:w w:val="105"/>
          <w:sz w:val="13"/>
        </w:rPr>
        <w:t>Rules</w:t>
      </w:r>
      <w:r>
        <w:rPr>
          <w:i/>
          <w:spacing w:val="5"/>
          <w:w w:val="105"/>
          <w:sz w:val="13"/>
        </w:rPr>
        <w:t> </w:t>
      </w:r>
      <w:r>
        <w:rPr>
          <w:i/>
          <w:w w:val="105"/>
          <w:sz w:val="13"/>
        </w:rPr>
        <w:t>2006</w:t>
      </w:r>
      <w:r>
        <w:rPr>
          <w:i/>
          <w:spacing w:val="5"/>
          <w:w w:val="105"/>
          <w:sz w:val="13"/>
        </w:rPr>
        <w:t> </w:t>
      </w:r>
      <w:r>
        <w:rPr>
          <w:spacing w:val="2"/>
          <w:w w:val="105"/>
          <w:sz w:val="13"/>
        </w:rPr>
        <w:t>(SA)</w:t>
      </w:r>
      <w:r>
        <w:rPr>
          <w:spacing w:val="6"/>
          <w:w w:val="105"/>
          <w:sz w:val="13"/>
        </w:rPr>
        <w:t> </w:t>
      </w:r>
      <w:r>
        <w:rPr>
          <w:w w:val="105"/>
          <w:sz w:val="13"/>
        </w:rPr>
        <w:t>r</w:t>
      </w:r>
      <w:r>
        <w:rPr>
          <w:spacing w:val="6"/>
          <w:w w:val="105"/>
          <w:sz w:val="13"/>
        </w:rPr>
        <w:t> </w:t>
      </w:r>
      <w:r>
        <w:rPr>
          <w:w w:val="105"/>
          <w:sz w:val="13"/>
        </w:rPr>
        <w:t>312(12A)(c).</w:t>
      </w:r>
    </w:p>
    <w:p>
      <w:pPr>
        <w:pStyle w:val="ListParagraph"/>
        <w:numPr>
          <w:ilvl w:val="0"/>
          <w:numId w:val="101"/>
        </w:numPr>
        <w:tabs>
          <w:tab w:pos="2381" w:val="left" w:leader="none"/>
          <w:tab w:pos="2382" w:val="left" w:leader="none"/>
        </w:tabs>
        <w:spacing w:line="240" w:lineRule="auto" w:before="2" w:after="0"/>
        <w:ind w:left="2381" w:right="0" w:hanging="794"/>
        <w:jc w:val="left"/>
        <w:rPr>
          <w:sz w:val="13"/>
        </w:rPr>
      </w:pPr>
      <w:r>
        <w:rPr>
          <w:w w:val="105"/>
          <w:sz w:val="13"/>
        </w:rPr>
        <w:t>Consultation 24 (Supreme Court of South</w:t>
      </w:r>
      <w:r>
        <w:rPr>
          <w:spacing w:val="29"/>
          <w:w w:val="105"/>
          <w:sz w:val="13"/>
        </w:rPr>
        <w:t> </w:t>
      </w:r>
      <w:r>
        <w:rPr>
          <w:w w:val="105"/>
          <w:sz w:val="13"/>
        </w:rPr>
        <w:t>Australia).</w:t>
      </w:r>
    </w:p>
    <w:p>
      <w:pPr>
        <w:pStyle w:val="ListParagraph"/>
        <w:numPr>
          <w:ilvl w:val="0"/>
          <w:numId w:val="101"/>
        </w:numPr>
        <w:tabs>
          <w:tab w:pos="2381" w:val="left" w:leader="none"/>
          <w:tab w:pos="2382" w:val="left" w:leader="none"/>
        </w:tabs>
        <w:spacing w:line="240" w:lineRule="auto" w:before="1" w:after="0"/>
        <w:ind w:left="2381" w:right="0" w:hanging="794"/>
        <w:jc w:val="left"/>
        <w:rPr>
          <w:sz w:val="13"/>
        </w:rPr>
      </w:pPr>
      <w:r>
        <w:rPr>
          <w:w w:val="105"/>
          <w:sz w:val="13"/>
        </w:rPr>
        <w:t>Consultations</w:t>
      </w:r>
      <w:r>
        <w:rPr>
          <w:spacing w:val="5"/>
          <w:w w:val="105"/>
          <w:sz w:val="13"/>
        </w:rPr>
        <w:t> </w:t>
      </w:r>
      <w:r>
        <w:rPr>
          <w:spacing w:val="-3"/>
          <w:w w:val="105"/>
          <w:sz w:val="13"/>
        </w:rPr>
        <w:t>15</w:t>
      </w:r>
      <w:r>
        <w:rPr>
          <w:spacing w:val="5"/>
          <w:w w:val="105"/>
          <w:sz w:val="13"/>
        </w:rPr>
        <w:t> </w:t>
      </w:r>
      <w:r>
        <w:rPr>
          <w:w w:val="105"/>
          <w:sz w:val="13"/>
        </w:rPr>
        <w:t>(County</w:t>
      </w:r>
      <w:r>
        <w:rPr>
          <w:spacing w:val="5"/>
          <w:w w:val="105"/>
          <w:sz w:val="13"/>
        </w:rPr>
        <w:t> </w:t>
      </w:r>
      <w:r>
        <w:rPr>
          <w:w w:val="105"/>
          <w:sz w:val="13"/>
        </w:rPr>
        <w:t>Court</w:t>
      </w:r>
      <w:r>
        <w:rPr>
          <w:spacing w:val="6"/>
          <w:w w:val="105"/>
          <w:sz w:val="13"/>
        </w:rPr>
        <w:t> </w:t>
      </w:r>
      <w:r>
        <w:rPr>
          <w:w w:val="105"/>
          <w:sz w:val="13"/>
        </w:rPr>
        <w:t>of</w:t>
      </w:r>
      <w:r>
        <w:rPr>
          <w:spacing w:val="5"/>
          <w:w w:val="105"/>
          <w:sz w:val="13"/>
        </w:rPr>
        <w:t> </w:t>
      </w:r>
      <w:r>
        <w:rPr>
          <w:spacing w:val="2"/>
          <w:w w:val="105"/>
          <w:sz w:val="13"/>
        </w:rPr>
        <w:t>Victoria);</w:t>
      </w:r>
      <w:r>
        <w:rPr>
          <w:spacing w:val="5"/>
          <w:w w:val="105"/>
          <w:sz w:val="13"/>
        </w:rPr>
        <w:t> </w:t>
      </w:r>
      <w:r>
        <w:rPr>
          <w:w w:val="105"/>
          <w:sz w:val="13"/>
        </w:rPr>
        <w:t>16</w:t>
      </w:r>
      <w:r>
        <w:rPr>
          <w:spacing w:val="6"/>
          <w:w w:val="105"/>
          <w:sz w:val="13"/>
        </w:rPr>
        <w:t> </w:t>
      </w:r>
      <w:r>
        <w:rPr>
          <w:w w:val="105"/>
          <w:sz w:val="13"/>
        </w:rPr>
        <w:t>(Supreme</w:t>
      </w:r>
      <w:r>
        <w:rPr>
          <w:spacing w:val="5"/>
          <w:w w:val="105"/>
          <w:sz w:val="13"/>
        </w:rPr>
        <w:t> </w:t>
      </w:r>
      <w:r>
        <w:rPr>
          <w:w w:val="105"/>
          <w:sz w:val="13"/>
        </w:rPr>
        <w:t>Court</w:t>
      </w:r>
      <w:r>
        <w:rPr>
          <w:spacing w:val="5"/>
          <w:w w:val="105"/>
          <w:sz w:val="13"/>
        </w:rPr>
        <w:t> </w:t>
      </w:r>
      <w:r>
        <w:rPr>
          <w:w w:val="105"/>
          <w:sz w:val="13"/>
        </w:rPr>
        <w:t>of</w:t>
      </w:r>
      <w:r>
        <w:rPr>
          <w:spacing w:val="5"/>
          <w:w w:val="105"/>
          <w:sz w:val="13"/>
        </w:rPr>
        <w:t> </w:t>
      </w:r>
      <w:r>
        <w:rPr>
          <w:spacing w:val="2"/>
          <w:w w:val="105"/>
          <w:sz w:val="13"/>
        </w:rPr>
        <w:t>Victoria—Associate</w:t>
      </w:r>
      <w:r>
        <w:rPr>
          <w:spacing w:val="6"/>
          <w:w w:val="105"/>
          <w:sz w:val="13"/>
        </w:rPr>
        <w:t> </w:t>
      </w:r>
      <w:r>
        <w:rPr>
          <w:w w:val="105"/>
          <w:sz w:val="13"/>
        </w:rPr>
        <w:t>Judges).</w:t>
      </w:r>
    </w:p>
    <w:p>
      <w:pPr>
        <w:pStyle w:val="ListParagraph"/>
        <w:numPr>
          <w:ilvl w:val="0"/>
          <w:numId w:val="101"/>
        </w:numPr>
        <w:tabs>
          <w:tab w:pos="2381" w:val="left" w:leader="none"/>
          <w:tab w:pos="2382" w:val="left" w:leader="none"/>
        </w:tabs>
        <w:spacing w:line="240" w:lineRule="auto" w:before="1" w:after="0"/>
        <w:ind w:left="2381" w:right="140" w:hanging="794"/>
        <w:jc w:val="left"/>
        <w:rPr>
          <w:sz w:val="13"/>
        </w:rPr>
      </w:pPr>
      <w:r>
        <w:rPr>
          <w:w w:val="105"/>
          <w:sz w:val="13"/>
        </w:rPr>
        <w:t>See, eg, County Court of Victoria, </w:t>
      </w:r>
      <w:r>
        <w:rPr>
          <w:i/>
          <w:w w:val="105"/>
          <w:sz w:val="13"/>
        </w:rPr>
        <w:t>Practice Note No PNCI </w:t>
      </w:r>
      <w:r>
        <w:rPr>
          <w:i/>
          <w:spacing w:val="-3"/>
          <w:w w:val="105"/>
          <w:sz w:val="13"/>
        </w:rPr>
        <w:t>2–2012 </w:t>
      </w:r>
      <w:r>
        <w:rPr>
          <w:i/>
          <w:w w:val="105"/>
          <w:sz w:val="13"/>
        </w:rPr>
        <w:t>— Operation and Management of the Damages and Compensation List </w:t>
      </w:r>
      <w:r>
        <w:rPr>
          <w:i/>
          <w:w w:val="105"/>
          <w:sz w:val="13"/>
        </w:rPr>
        <w:t>(Revised)</w:t>
      </w:r>
      <w:r>
        <w:rPr>
          <w:w w:val="105"/>
          <w:sz w:val="13"/>
        </w:rPr>
        <w:t>, 1 November </w:t>
      </w:r>
      <w:r>
        <w:rPr>
          <w:spacing w:val="-3"/>
          <w:w w:val="105"/>
          <w:sz w:val="13"/>
        </w:rPr>
        <w:t>2012,</w:t>
      </w:r>
      <w:r>
        <w:rPr>
          <w:spacing w:val="18"/>
          <w:w w:val="105"/>
          <w:sz w:val="13"/>
        </w:rPr>
        <w:t> </w:t>
      </w:r>
      <w:r>
        <w:rPr>
          <w:w w:val="105"/>
          <w:sz w:val="13"/>
        </w:rPr>
        <w:t>22–3.</w:t>
      </w:r>
    </w:p>
    <w:p>
      <w:pPr>
        <w:pStyle w:val="ListParagraph"/>
        <w:numPr>
          <w:ilvl w:val="0"/>
          <w:numId w:val="101"/>
        </w:numPr>
        <w:tabs>
          <w:tab w:pos="2381" w:val="left" w:leader="none"/>
          <w:tab w:pos="2382" w:val="left" w:leader="none"/>
        </w:tabs>
        <w:spacing w:line="240" w:lineRule="auto" w:before="3" w:after="0"/>
        <w:ind w:left="2381" w:right="327" w:hanging="794"/>
        <w:jc w:val="left"/>
        <w:rPr>
          <w:sz w:val="13"/>
        </w:rPr>
      </w:pPr>
      <w:r>
        <w:rPr>
          <w:w w:val="105"/>
          <w:sz w:val="13"/>
        </w:rPr>
        <w:t>See, eg, Supreme Court of New South Wales, </w:t>
      </w:r>
      <w:r>
        <w:rPr>
          <w:i/>
          <w:w w:val="105"/>
          <w:sz w:val="13"/>
        </w:rPr>
        <w:t>Practice Note No SC Eq 7 — Supreme Court Family Provision</w:t>
      </w:r>
      <w:r>
        <w:rPr>
          <w:w w:val="105"/>
          <w:sz w:val="13"/>
        </w:rPr>
        <w:t>, </w:t>
      </w:r>
      <w:r>
        <w:rPr>
          <w:spacing w:val="-4"/>
          <w:w w:val="105"/>
          <w:sz w:val="13"/>
        </w:rPr>
        <w:t>12 </w:t>
      </w:r>
      <w:r>
        <w:rPr>
          <w:w w:val="105"/>
          <w:sz w:val="13"/>
        </w:rPr>
        <w:t>February </w:t>
      </w:r>
      <w:r>
        <w:rPr>
          <w:spacing w:val="-3"/>
          <w:w w:val="105"/>
          <w:sz w:val="13"/>
        </w:rPr>
        <w:t>2013, </w:t>
      </w:r>
      <w:r>
        <w:rPr>
          <w:w w:val="105"/>
          <w:sz w:val="13"/>
        </w:rPr>
        <w:t>cl </w:t>
      </w:r>
      <w:r>
        <w:rPr>
          <w:spacing w:val="4"/>
          <w:w w:val="105"/>
          <w:sz w:val="13"/>
        </w:rPr>
        <w:t>6(a),</w:t>
      </w:r>
      <w:r>
        <w:rPr>
          <w:spacing w:val="38"/>
          <w:w w:val="105"/>
          <w:sz w:val="13"/>
        </w:rPr>
        <w:t> </w:t>
      </w:r>
      <w:r>
        <w:rPr>
          <w:w w:val="105"/>
          <w:sz w:val="13"/>
        </w:rPr>
        <w:t>Annexure</w:t>
      </w:r>
      <w:r>
        <w:rPr>
          <w:spacing w:val="4"/>
          <w:w w:val="105"/>
          <w:sz w:val="13"/>
        </w:rPr>
        <w:t> </w:t>
      </w:r>
      <w:r>
        <w:rPr>
          <w:spacing w:val="-5"/>
          <w:w w:val="105"/>
          <w:sz w:val="13"/>
        </w:rPr>
        <w:t>1.</w:t>
      </w:r>
    </w:p>
    <w:p>
      <w:pPr>
        <w:pStyle w:val="ListParagraph"/>
        <w:numPr>
          <w:ilvl w:val="0"/>
          <w:numId w:val="101"/>
        </w:numPr>
        <w:tabs>
          <w:tab w:pos="2381" w:val="left" w:leader="none"/>
          <w:tab w:pos="2382" w:val="left" w:leader="none"/>
        </w:tabs>
        <w:spacing w:line="240" w:lineRule="auto" w:before="3" w:after="0"/>
        <w:ind w:left="2381" w:right="0" w:hanging="794"/>
        <w:jc w:val="left"/>
        <w:rPr>
          <w:sz w:val="13"/>
        </w:rPr>
      </w:pPr>
      <w:r>
        <w:rPr>
          <w:w w:val="105"/>
          <w:sz w:val="13"/>
        </w:rPr>
        <w:t>See,</w:t>
      </w:r>
      <w:r>
        <w:rPr>
          <w:spacing w:val="5"/>
          <w:w w:val="105"/>
          <w:sz w:val="13"/>
        </w:rPr>
        <w:t> </w:t>
      </w:r>
      <w:r>
        <w:rPr>
          <w:w w:val="105"/>
          <w:sz w:val="13"/>
        </w:rPr>
        <w:t>eg,</w:t>
      </w:r>
      <w:r>
        <w:rPr>
          <w:spacing w:val="6"/>
          <w:w w:val="105"/>
          <w:sz w:val="13"/>
        </w:rPr>
        <w:t> </w:t>
      </w:r>
      <w:r>
        <w:rPr>
          <w:w w:val="105"/>
          <w:sz w:val="13"/>
        </w:rPr>
        <w:t>Supreme</w:t>
      </w:r>
      <w:r>
        <w:rPr>
          <w:spacing w:val="6"/>
          <w:w w:val="105"/>
          <w:sz w:val="13"/>
        </w:rPr>
        <w:t> </w:t>
      </w:r>
      <w:r>
        <w:rPr>
          <w:w w:val="105"/>
          <w:sz w:val="13"/>
        </w:rPr>
        <w:t>Court</w:t>
      </w:r>
      <w:r>
        <w:rPr>
          <w:spacing w:val="6"/>
          <w:w w:val="105"/>
          <w:sz w:val="13"/>
        </w:rPr>
        <w:t> </w:t>
      </w:r>
      <w:r>
        <w:rPr>
          <w:w w:val="105"/>
          <w:sz w:val="13"/>
        </w:rPr>
        <w:t>of</w:t>
      </w:r>
      <w:r>
        <w:rPr>
          <w:spacing w:val="5"/>
          <w:w w:val="105"/>
          <w:sz w:val="13"/>
        </w:rPr>
        <w:t> </w:t>
      </w:r>
      <w:r>
        <w:rPr>
          <w:w w:val="105"/>
          <w:sz w:val="13"/>
        </w:rPr>
        <w:t>Victoria,</w:t>
      </w:r>
      <w:r>
        <w:rPr>
          <w:spacing w:val="6"/>
          <w:w w:val="105"/>
          <w:sz w:val="13"/>
        </w:rPr>
        <w:t> </w:t>
      </w:r>
      <w:r>
        <w:rPr>
          <w:i/>
          <w:w w:val="105"/>
          <w:sz w:val="13"/>
        </w:rPr>
        <w:t>Practice</w:t>
      </w:r>
      <w:r>
        <w:rPr>
          <w:i/>
          <w:spacing w:val="5"/>
          <w:w w:val="105"/>
          <w:sz w:val="13"/>
        </w:rPr>
        <w:t> </w:t>
      </w:r>
      <w:r>
        <w:rPr>
          <w:i/>
          <w:w w:val="105"/>
          <w:sz w:val="13"/>
        </w:rPr>
        <w:t>Note</w:t>
      </w:r>
      <w:r>
        <w:rPr>
          <w:i/>
          <w:spacing w:val="5"/>
          <w:w w:val="105"/>
          <w:sz w:val="13"/>
        </w:rPr>
        <w:t> </w:t>
      </w:r>
      <w:r>
        <w:rPr>
          <w:i/>
          <w:w w:val="105"/>
          <w:sz w:val="13"/>
        </w:rPr>
        <w:t>No</w:t>
      </w:r>
      <w:r>
        <w:rPr>
          <w:i/>
          <w:spacing w:val="5"/>
          <w:w w:val="105"/>
          <w:sz w:val="13"/>
        </w:rPr>
        <w:t> </w:t>
      </w:r>
      <w:r>
        <w:rPr>
          <w:i/>
          <w:w w:val="105"/>
          <w:sz w:val="13"/>
        </w:rPr>
        <w:t>2</w:t>
      </w:r>
      <w:r>
        <w:rPr>
          <w:i/>
          <w:spacing w:val="4"/>
          <w:w w:val="105"/>
          <w:sz w:val="13"/>
        </w:rPr>
        <w:t> </w:t>
      </w:r>
      <w:r>
        <w:rPr>
          <w:i/>
          <w:w w:val="105"/>
          <w:sz w:val="13"/>
        </w:rPr>
        <w:t>of</w:t>
      </w:r>
      <w:r>
        <w:rPr>
          <w:i/>
          <w:spacing w:val="5"/>
          <w:w w:val="105"/>
          <w:sz w:val="13"/>
        </w:rPr>
        <w:t> </w:t>
      </w:r>
      <w:r>
        <w:rPr>
          <w:i/>
          <w:spacing w:val="-4"/>
          <w:w w:val="105"/>
          <w:sz w:val="13"/>
        </w:rPr>
        <w:t>2012</w:t>
      </w:r>
      <w:r>
        <w:rPr>
          <w:i/>
          <w:spacing w:val="5"/>
          <w:w w:val="105"/>
          <w:sz w:val="13"/>
        </w:rPr>
        <w:t> </w:t>
      </w:r>
      <w:r>
        <w:rPr>
          <w:i/>
          <w:w w:val="105"/>
          <w:sz w:val="13"/>
        </w:rPr>
        <w:t>—</w:t>
      </w:r>
      <w:r>
        <w:rPr>
          <w:i/>
          <w:spacing w:val="5"/>
          <w:w w:val="105"/>
          <w:sz w:val="13"/>
        </w:rPr>
        <w:t> </w:t>
      </w:r>
      <w:r>
        <w:rPr>
          <w:i/>
          <w:w w:val="105"/>
          <w:sz w:val="13"/>
        </w:rPr>
        <w:t>Judicial</w:t>
      </w:r>
      <w:r>
        <w:rPr>
          <w:i/>
          <w:spacing w:val="4"/>
          <w:w w:val="105"/>
          <w:sz w:val="13"/>
        </w:rPr>
        <w:t> </w:t>
      </w:r>
      <w:r>
        <w:rPr>
          <w:i/>
          <w:w w:val="105"/>
          <w:sz w:val="13"/>
        </w:rPr>
        <w:t>Mediation</w:t>
      </w:r>
      <w:r>
        <w:rPr>
          <w:i/>
          <w:spacing w:val="5"/>
          <w:w w:val="105"/>
          <w:sz w:val="13"/>
        </w:rPr>
        <w:t> </w:t>
      </w:r>
      <w:r>
        <w:rPr>
          <w:i/>
          <w:w w:val="105"/>
          <w:sz w:val="13"/>
        </w:rPr>
        <w:t>Guidelines</w:t>
      </w:r>
      <w:r>
        <w:rPr>
          <w:w w:val="105"/>
          <w:sz w:val="13"/>
        </w:rPr>
        <w:t>,</w:t>
      </w:r>
      <w:r>
        <w:rPr>
          <w:spacing w:val="6"/>
          <w:w w:val="105"/>
          <w:sz w:val="13"/>
        </w:rPr>
        <w:t> </w:t>
      </w:r>
      <w:r>
        <w:rPr>
          <w:w w:val="105"/>
          <w:sz w:val="13"/>
        </w:rPr>
        <w:t>30</w:t>
      </w:r>
      <w:r>
        <w:rPr>
          <w:spacing w:val="6"/>
          <w:w w:val="105"/>
          <w:sz w:val="13"/>
        </w:rPr>
        <w:t> </w:t>
      </w:r>
      <w:r>
        <w:rPr>
          <w:w w:val="105"/>
          <w:sz w:val="13"/>
        </w:rPr>
        <w:t>March</w:t>
      </w:r>
      <w:r>
        <w:rPr>
          <w:spacing w:val="6"/>
          <w:w w:val="105"/>
          <w:sz w:val="13"/>
        </w:rPr>
        <w:t> </w:t>
      </w:r>
      <w:r>
        <w:rPr>
          <w:spacing w:val="-3"/>
          <w:w w:val="105"/>
          <w:sz w:val="13"/>
        </w:rPr>
        <w:t>2012.</w:t>
      </w:r>
    </w:p>
    <w:p>
      <w:pPr>
        <w:pStyle w:val="ListParagraph"/>
        <w:numPr>
          <w:ilvl w:val="0"/>
          <w:numId w:val="101"/>
        </w:numPr>
        <w:tabs>
          <w:tab w:pos="2381" w:val="left" w:leader="none"/>
          <w:tab w:pos="2382" w:val="left" w:leader="none"/>
        </w:tabs>
        <w:spacing w:line="240" w:lineRule="auto" w:before="1" w:after="0"/>
        <w:ind w:left="2381" w:right="0" w:hanging="794"/>
        <w:jc w:val="left"/>
        <w:rPr>
          <w:sz w:val="13"/>
        </w:rPr>
      </w:pPr>
      <w:r>
        <w:rPr>
          <w:i/>
          <w:w w:val="105"/>
          <w:sz w:val="13"/>
        </w:rPr>
        <w:t>County Court Civil Procedure Rules 2008 </w:t>
      </w:r>
      <w:r>
        <w:rPr>
          <w:spacing w:val="2"/>
          <w:w w:val="105"/>
          <w:sz w:val="13"/>
        </w:rPr>
        <w:t>(Vic) </w:t>
      </w:r>
      <w:r>
        <w:rPr>
          <w:w w:val="105"/>
          <w:sz w:val="13"/>
        </w:rPr>
        <w:t>app </w:t>
      </w:r>
      <w:r>
        <w:rPr>
          <w:spacing w:val="-3"/>
          <w:w w:val="105"/>
          <w:sz w:val="13"/>
        </w:rPr>
        <w:t>1,  </w:t>
      </w:r>
      <w:r>
        <w:rPr>
          <w:w w:val="105"/>
          <w:sz w:val="13"/>
        </w:rPr>
        <w:t>as substituted by </w:t>
      </w:r>
      <w:r>
        <w:rPr>
          <w:i/>
          <w:w w:val="105"/>
          <w:sz w:val="13"/>
        </w:rPr>
        <w:t>County Court (Chapter I Scale of Costs Amendment) Rules </w:t>
      </w:r>
      <w:r>
        <w:rPr>
          <w:i/>
          <w:spacing w:val="-4"/>
          <w:w w:val="105"/>
          <w:sz w:val="13"/>
        </w:rPr>
        <w:t>2012  </w:t>
      </w:r>
      <w:r>
        <w:rPr>
          <w:spacing w:val="2"/>
          <w:w w:val="105"/>
          <w:sz w:val="13"/>
        </w:rPr>
        <w:t>(Vic)    </w:t>
      </w:r>
      <w:r>
        <w:rPr>
          <w:w w:val="105"/>
          <w:sz w:val="13"/>
        </w:rPr>
        <w:t>r </w:t>
      </w:r>
      <w:r>
        <w:rPr>
          <w:spacing w:val="2"/>
          <w:w w:val="105"/>
          <w:sz w:val="13"/>
        </w:rPr>
        <w:t>4; </w:t>
      </w:r>
      <w:r>
        <w:rPr>
          <w:i/>
          <w:w w:val="105"/>
          <w:sz w:val="13"/>
        </w:rPr>
        <w:t>Supreme Court (General Civil Procedure) Rules 2005 </w:t>
      </w:r>
      <w:r>
        <w:rPr>
          <w:spacing w:val="2"/>
          <w:w w:val="105"/>
          <w:sz w:val="13"/>
        </w:rPr>
        <w:t>(Vic) </w:t>
      </w:r>
      <w:r>
        <w:rPr>
          <w:w w:val="105"/>
          <w:sz w:val="13"/>
        </w:rPr>
        <w:t>app A, as substituted by </w:t>
      </w:r>
      <w:r>
        <w:rPr>
          <w:i/>
          <w:w w:val="105"/>
          <w:sz w:val="13"/>
        </w:rPr>
        <w:t>Supreme Court (Chapter I New Scale of Costs and</w:t>
      </w:r>
      <w:r>
        <w:rPr>
          <w:i/>
          <w:spacing w:val="30"/>
          <w:w w:val="105"/>
          <w:sz w:val="13"/>
        </w:rPr>
        <w:t> </w:t>
      </w:r>
      <w:r>
        <w:rPr>
          <w:i/>
          <w:w w:val="105"/>
          <w:sz w:val="13"/>
        </w:rPr>
        <w:t>Other Costs Amendments) Rules </w:t>
      </w:r>
      <w:r>
        <w:rPr>
          <w:i/>
          <w:spacing w:val="-4"/>
          <w:w w:val="105"/>
          <w:sz w:val="13"/>
        </w:rPr>
        <w:t>2012 </w:t>
      </w:r>
      <w:r>
        <w:rPr>
          <w:spacing w:val="2"/>
          <w:w w:val="105"/>
          <w:sz w:val="13"/>
        </w:rPr>
        <w:t>(Vic) </w:t>
      </w:r>
      <w:r>
        <w:rPr>
          <w:w w:val="105"/>
          <w:sz w:val="13"/>
        </w:rPr>
        <w:t>r</w:t>
      </w:r>
      <w:r>
        <w:rPr>
          <w:spacing w:val="4"/>
          <w:w w:val="105"/>
          <w:sz w:val="13"/>
        </w:rPr>
        <w:t> </w:t>
      </w:r>
      <w:r>
        <w:rPr>
          <w:w w:val="105"/>
          <w:sz w:val="13"/>
        </w:rPr>
        <w:t>38.</w:t>
      </w:r>
    </w:p>
    <w:p>
      <w:pPr>
        <w:pStyle w:val="ListParagraph"/>
        <w:numPr>
          <w:ilvl w:val="0"/>
          <w:numId w:val="101"/>
        </w:numPr>
        <w:tabs>
          <w:tab w:pos="2381" w:val="left" w:leader="none"/>
          <w:tab w:pos="2382" w:val="left" w:leader="none"/>
        </w:tabs>
        <w:spacing w:line="240" w:lineRule="auto" w:before="4" w:after="0"/>
        <w:ind w:left="2381" w:right="0" w:hanging="794"/>
        <w:jc w:val="left"/>
        <w:rPr>
          <w:sz w:val="13"/>
        </w:rPr>
      </w:pPr>
      <w:r>
        <w:rPr>
          <w:w w:val="105"/>
          <w:sz w:val="13"/>
        </w:rPr>
        <w:t>See</w:t>
      </w:r>
      <w:r>
        <w:rPr>
          <w:spacing w:val="5"/>
          <w:w w:val="105"/>
          <w:sz w:val="13"/>
        </w:rPr>
        <w:t> </w:t>
      </w:r>
      <w:r>
        <w:rPr>
          <w:w w:val="105"/>
          <w:sz w:val="13"/>
        </w:rPr>
        <w:t>the</w:t>
      </w:r>
      <w:r>
        <w:rPr>
          <w:spacing w:val="5"/>
          <w:w w:val="105"/>
          <w:sz w:val="13"/>
        </w:rPr>
        <w:t> </w:t>
      </w:r>
      <w:r>
        <w:rPr>
          <w:w w:val="105"/>
          <w:sz w:val="13"/>
        </w:rPr>
        <w:t>Commission’s</w:t>
      </w:r>
      <w:r>
        <w:rPr>
          <w:spacing w:val="5"/>
          <w:w w:val="105"/>
          <w:sz w:val="13"/>
        </w:rPr>
        <w:t> </w:t>
      </w:r>
      <w:r>
        <w:rPr>
          <w:w w:val="105"/>
          <w:sz w:val="13"/>
        </w:rPr>
        <w:t>discussion</w:t>
      </w:r>
      <w:r>
        <w:rPr>
          <w:spacing w:val="5"/>
          <w:w w:val="105"/>
          <w:sz w:val="13"/>
        </w:rPr>
        <w:t> </w:t>
      </w:r>
      <w:r>
        <w:rPr>
          <w:w w:val="105"/>
          <w:sz w:val="13"/>
        </w:rPr>
        <w:t>and</w:t>
      </w:r>
      <w:r>
        <w:rPr>
          <w:spacing w:val="5"/>
          <w:w w:val="105"/>
          <w:sz w:val="13"/>
        </w:rPr>
        <w:t> </w:t>
      </w:r>
      <w:r>
        <w:rPr>
          <w:w w:val="105"/>
          <w:sz w:val="13"/>
        </w:rPr>
        <w:t>recommendations</w:t>
      </w:r>
      <w:r>
        <w:rPr>
          <w:spacing w:val="6"/>
          <w:w w:val="105"/>
          <w:sz w:val="13"/>
        </w:rPr>
        <w:t> </w:t>
      </w:r>
      <w:r>
        <w:rPr>
          <w:w w:val="105"/>
          <w:sz w:val="13"/>
        </w:rPr>
        <w:t>in</w:t>
      </w:r>
      <w:r>
        <w:rPr>
          <w:spacing w:val="5"/>
          <w:w w:val="105"/>
          <w:sz w:val="13"/>
        </w:rPr>
        <w:t> </w:t>
      </w:r>
      <w:r>
        <w:rPr>
          <w:w w:val="105"/>
          <w:sz w:val="13"/>
        </w:rPr>
        <w:t>relation</w:t>
      </w:r>
      <w:r>
        <w:rPr>
          <w:spacing w:val="5"/>
          <w:w w:val="105"/>
          <w:sz w:val="13"/>
        </w:rPr>
        <w:t> </w:t>
      </w:r>
      <w:r>
        <w:rPr>
          <w:w w:val="105"/>
          <w:sz w:val="13"/>
        </w:rPr>
        <w:t>to</w:t>
      </w:r>
      <w:r>
        <w:rPr>
          <w:spacing w:val="5"/>
          <w:w w:val="105"/>
          <w:sz w:val="13"/>
        </w:rPr>
        <w:t> </w:t>
      </w:r>
      <w:r>
        <w:rPr>
          <w:w w:val="105"/>
          <w:sz w:val="13"/>
        </w:rPr>
        <w:t>costs</w:t>
      </w:r>
      <w:r>
        <w:rPr>
          <w:spacing w:val="5"/>
          <w:w w:val="105"/>
          <w:sz w:val="13"/>
        </w:rPr>
        <w:t> </w:t>
      </w:r>
      <w:r>
        <w:rPr>
          <w:w w:val="105"/>
          <w:sz w:val="13"/>
        </w:rPr>
        <w:t>rules</w:t>
      </w:r>
      <w:r>
        <w:rPr>
          <w:spacing w:val="6"/>
          <w:w w:val="105"/>
          <w:sz w:val="13"/>
        </w:rPr>
        <w:t> </w:t>
      </w:r>
      <w:r>
        <w:rPr>
          <w:w w:val="105"/>
          <w:sz w:val="13"/>
        </w:rPr>
        <w:t>and</w:t>
      </w:r>
      <w:r>
        <w:rPr>
          <w:spacing w:val="5"/>
          <w:w w:val="105"/>
          <w:sz w:val="13"/>
        </w:rPr>
        <w:t> </w:t>
      </w:r>
      <w:r>
        <w:rPr>
          <w:w w:val="105"/>
          <w:sz w:val="13"/>
        </w:rPr>
        <w:t>capping</w:t>
      </w:r>
      <w:r>
        <w:rPr>
          <w:spacing w:val="5"/>
          <w:w w:val="105"/>
          <w:sz w:val="13"/>
        </w:rPr>
        <w:t> </w:t>
      </w:r>
      <w:r>
        <w:rPr>
          <w:w w:val="105"/>
          <w:sz w:val="13"/>
        </w:rPr>
        <w:t>costs,</w:t>
      </w:r>
      <w:r>
        <w:rPr>
          <w:spacing w:val="5"/>
          <w:w w:val="105"/>
          <w:sz w:val="13"/>
        </w:rPr>
        <w:t> </w:t>
      </w:r>
      <w:r>
        <w:rPr>
          <w:w w:val="105"/>
          <w:sz w:val="13"/>
        </w:rPr>
        <w:t>above</w:t>
      </w:r>
      <w:r>
        <w:rPr>
          <w:spacing w:val="5"/>
          <w:w w:val="105"/>
          <w:sz w:val="13"/>
        </w:rPr>
        <w:t> </w:t>
      </w:r>
      <w:r>
        <w:rPr>
          <w:w w:val="105"/>
          <w:sz w:val="13"/>
        </w:rPr>
        <w:t>at</w:t>
      </w:r>
      <w:r>
        <w:rPr>
          <w:spacing w:val="6"/>
          <w:w w:val="105"/>
          <w:sz w:val="13"/>
        </w:rPr>
        <w:t> </w:t>
      </w:r>
      <w:r>
        <w:rPr>
          <w:spacing w:val="3"/>
          <w:w w:val="105"/>
          <w:sz w:val="13"/>
        </w:rPr>
        <w:t>[6.88]–[6.120].</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spacing w:before="7"/>
        <w:rPr>
          <w:sz w:val="40"/>
        </w:rPr>
      </w:pPr>
    </w:p>
    <w:p>
      <w:pPr>
        <w:spacing w:before="1"/>
        <w:ind w:left="646" w:right="575" w:firstLine="0"/>
        <w:jc w:val="center"/>
        <w:rPr>
          <w:b/>
          <w:sz w:val="24"/>
        </w:rPr>
      </w:pPr>
      <w:r>
        <w:rPr>
          <w:b/>
          <w:color w:val="EC5A4F"/>
          <w:w w:val="110"/>
          <w:sz w:val="24"/>
        </w:rPr>
        <w:t>127</w:t>
      </w:r>
    </w:p>
    <w:p>
      <w:pPr>
        <w:spacing w:after="0"/>
        <w:jc w:val="center"/>
        <w:rPr>
          <w:sz w:val="24"/>
        </w:rPr>
        <w:sectPr>
          <w:type w:val="continuous"/>
          <w:pgSz w:w="11910" w:h="16840"/>
          <w:pgMar w:top="920" w:bottom="280" w:left="0" w:right="0"/>
          <w:cols w:num="2" w:equalWidth="0">
            <w:col w:w="10207" w:space="40"/>
            <w:col w:w="1663"/>
          </w:cols>
        </w:sectPr>
      </w:pPr>
    </w:p>
    <w:p>
      <w:pPr>
        <w:pStyle w:val="BodyText"/>
        <w:spacing w:before="9"/>
        <w:rPr>
          <w:b/>
          <w:sz w:val="22"/>
        </w:rPr>
      </w:pPr>
    </w:p>
    <w:p>
      <w:pPr>
        <w:pStyle w:val="Heading6"/>
        <w:spacing w:before="100"/>
      </w:pPr>
      <w:r>
        <w:rPr>
          <w:w w:val="115"/>
        </w:rPr>
        <w:t>Summary determination</w:t>
      </w:r>
    </w:p>
    <w:p>
      <w:pPr>
        <w:pStyle w:val="ListParagraph"/>
        <w:numPr>
          <w:ilvl w:val="0"/>
          <w:numId w:val="97"/>
        </w:numPr>
        <w:tabs>
          <w:tab w:pos="2380" w:val="left" w:leader="none"/>
          <w:tab w:pos="2381" w:val="left" w:leader="none"/>
        </w:tabs>
        <w:spacing w:line="242" w:lineRule="auto" w:before="151" w:after="0"/>
        <w:ind w:left="2381" w:right="1595" w:hanging="794"/>
        <w:jc w:val="left"/>
        <w:rPr>
          <w:sz w:val="21"/>
        </w:rPr>
      </w:pPr>
      <w:r>
        <w:rPr>
          <w:spacing w:val="-3"/>
          <w:sz w:val="21"/>
        </w:rPr>
        <w:t>The </w:t>
      </w:r>
      <w:r>
        <w:rPr>
          <w:spacing w:val="-6"/>
          <w:sz w:val="21"/>
        </w:rPr>
        <w:t>Commission </w:t>
      </w:r>
      <w:r>
        <w:rPr>
          <w:spacing w:val="-5"/>
          <w:sz w:val="21"/>
        </w:rPr>
        <w:t>also </w:t>
      </w:r>
      <w:r>
        <w:rPr>
          <w:spacing w:val="-6"/>
          <w:sz w:val="21"/>
        </w:rPr>
        <w:t>considers </w:t>
      </w:r>
      <w:r>
        <w:rPr>
          <w:spacing w:val="-5"/>
          <w:sz w:val="21"/>
        </w:rPr>
        <w:t>that </w:t>
      </w:r>
      <w:r>
        <w:rPr>
          <w:sz w:val="21"/>
        </w:rPr>
        <w:t>a </w:t>
      </w:r>
      <w:r>
        <w:rPr>
          <w:spacing w:val="-5"/>
          <w:sz w:val="21"/>
        </w:rPr>
        <w:t>rule </w:t>
      </w:r>
      <w:r>
        <w:rPr>
          <w:spacing w:val="-4"/>
          <w:sz w:val="21"/>
        </w:rPr>
        <w:t>in the </w:t>
      </w:r>
      <w:r>
        <w:rPr>
          <w:spacing w:val="-5"/>
          <w:sz w:val="21"/>
        </w:rPr>
        <w:t>terms </w:t>
      </w:r>
      <w:r>
        <w:rPr>
          <w:spacing w:val="-4"/>
          <w:sz w:val="21"/>
        </w:rPr>
        <w:t>of the </w:t>
      </w:r>
      <w:r>
        <w:rPr>
          <w:spacing w:val="-5"/>
          <w:sz w:val="21"/>
        </w:rPr>
        <w:t>South </w:t>
      </w:r>
      <w:r>
        <w:rPr>
          <w:spacing w:val="-6"/>
          <w:sz w:val="21"/>
        </w:rPr>
        <w:t>Australian </w:t>
      </w:r>
      <w:r>
        <w:rPr>
          <w:spacing w:val="-5"/>
          <w:sz w:val="21"/>
        </w:rPr>
        <w:t>rule permitting </w:t>
      </w:r>
      <w:r>
        <w:rPr>
          <w:spacing w:val="-4"/>
          <w:sz w:val="21"/>
        </w:rPr>
        <w:t>summary </w:t>
      </w:r>
      <w:r>
        <w:rPr>
          <w:spacing w:val="-5"/>
          <w:sz w:val="21"/>
        </w:rPr>
        <w:t>determination </w:t>
      </w:r>
      <w:r>
        <w:rPr>
          <w:spacing w:val="-3"/>
          <w:sz w:val="21"/>
        </w:rPr>
        <w:t>of </w:t>
      </w:r>
      <w:r>
        <w:rPr>
          <w:spacing w:val="-5"/>
          <w:sz w:val="21"/>
        </w:rPr>
        <w:t>family provision proceedings </w:t>
      </w:r>
      <w:r>
        <w:rPr>
          <w:spacing w:val="-4"/>
          <w:sz w:val="21"/>
        </w:rPr>
        <w:t>may </w:t>
      </w:r>
      <w:r>
        <w:rPr>
          <w:sz w:val="21"/>
        </w:rPr>
        <w:t>be </w:t>
      </w:r>
      <w:r>
        <w:rPr>
          <w:spacing w:val="-4"/>
          <w:sz w:val="21"/>
        </w:rPr>
        <w:t>useful for </w:t>
      </w:r>
      <w:r>
        <w:rPr>
          <w:spacing w:val="-5"/>
          <w:sz w:val="21"/>
        </w:rPr>
        <w:t>family provision proceedings </w:t>
      </w:r>
      <w:r>
        <w:rPr>
          <w:spacing w:val="-3"/>
          <w:sz w:val="21"/>
        </w:rPr>
        <w:t>in </w:t>
      </w:r>
      <w:r>
        <w:rPr>
          <w:spacing w:val="-4"/>
          <w:sz w:val="21"/>
        </w:rPr>
        <w:t>Victoria where </w:t>
      </w:r>
      <w:r>
        <w:rPr>
          <w:spacing w:val="-3"/>
          <w:sz w:val="21"/>
        </w:rPr>
        <w:t>the estate is </w:t>
      </w:r>
      <w:r>
        <w:rPr>
          <w:spacing w:val="-5"/>
          <w:sz w:val="21"/>
        </w:rPr>
        <w:t>small. </w:t>
      </w:r>
      <w:r>
        <w:rPr>
          <w:spacing w:val="-2"/>
          <w:sz w:val="21"/>
        </w:rPr>
        <w:t>The </w:t>
      </w:r>
      <w:r>
        <w:rPr>
          <w:spacing w:val="-3"/>
          <w:sz w:val="21"/>
        </w:rPr>
        <w:t>South </w:t>
      </w:r>
      <w:r>
        <w:rPr>
          <w:spacing w:val="-5"/>
          <w:sz w:val="21"/>
        </w:rPr>
        <w:t>Australian </w:t>
      </w:r>
      <w:r>
        <w:rPr>
          <w:spacing w:val="-4"/>
          <w:sz w:val="21"/>
        </w:rPr>
        <w:t>rule  </w:t>
      </w:r>
      <w:r>
        <w:rPr>
          <w:sz w:val="21"/>
        </w:rPr>
        <w:t>reflects </w:t>
      </w:r>
      <w:r>
        <w:rPr>
          <w:spacing w:val="-4"/>
          <w:sz w:val="21"/>
        </w:rPr>
        <w:t>practices that</w:t>
      </w:r>
      <w:r>
        <w:rPr>
          <w:spacing w:val="17"/>
          <w:sz w:val="21"/>
        </w:rPr>
        <w:t> </w:t>
      </w:r>
      <w:r>
        <w:rPr>
          <w:spacing w:val="-4"/>
          <w:sz w:val="21"/>
        </w:rPr>
        <w:t>are</w:t>
      </w:r>
      <w:r>
        <w:rPr>
          <w:spacing w:val="17"/>
          <w:sz w:val="21"/>
        </w:rPr>
        <w:t> </w:t>
      </w:r>
      <w:r>
        <w:rPr>
          <w:spacing w:val="-5"/>
          <w:sz w:val="21"/>
        </w:rPr>
        <w:t>already</w:t>
      </w:r>
      <w:r>
        <w:rPr>
          <w:spacing w:val="17"/>
          <w:sz w:val="21"/>
        </w:rPr>
        <w:t> </w:t>
      </w:r>
      <w:r>
        <w:rPr>
          <w:spacing w:val="-3"/>
          <w:sz w:val="21"/>
        </w:rPr>
        <w:t>in</w:t>
      </w:r>
      <w:r>
        <w:rPr>
          <w:spacing w:val="18"/>
          <w:sz w:val="21"/>
        </w:rPr>
        <w:t> </w:t>
      </w:r>
      <w:r>
        <w:rPr>
          <w:spacing w:val="-5"/>
          <w:sz w:val="21"/>
        </w:rPr>
        <w:t>place,</w:t>
      </w:r>
      <w:r>
        <w:rPr>
          <w:spacing w:val="17"/>
          <w:sz w:val="21"/>
        </w:rPr>
        <w:t> </w:t>
      </w:r>
      <w:r>
        <w:rPr>
          <w:spacing w:val="-4"/>
          <w:sz w:val="21"/>
        </w:rPr>
        <w:t>to</w:t>
      </w:r>
      <w:r>
        <w:rPr>
          <w:spacing w:val="17"/>
          <w:sz w:val="21"/>
        </w:rPr>
        <w:t> </w:t>
      </w:r>
      <w:r>
        <w:rPr>
          <w:spacing w:val="-3"/>
          <w:sz w:val="21"/>
        </w:rPr>
        <w:t>some</w:t>
      </w:r>
      <w:r>
        <w:rPr>
          <w:spacing w:val="18"/>
          <w:sz w:val="21"/>
        </w:rPr>
        <w:t> </w:t>
      </w:r>
      <w:r>
        <w:rPr>
          <w:spacing w:val="-4"/>
          <w:sz w:val="21"/>
        </w:rPr>
        <w:t>extent,</w:t>
      </w:r>
      <w:r>
        <w:rPr>
          <w:spacing w:val="17"/>
          <w:sz w:val="21"/>
        </w:rPr>
        <w:t> </w:t>
      </w:r>
      <w:r>
        <w:rPr>
          <w:spacing w:val="-3"/>
          <w:sz w:val="21"/>
        </w:rPr>
        <w:t>in</w:t>
      </w:r>
      <w:r>
        <w:rPr>
          <w:spacing w:val="17"/>
          <w:sz w:val="21"/>
        </w:rPr>
        <w:t> </w:t>
      </w:r>
      <w:r>
        <w:rPr>
          <w:spacing w:val="-4"/>
          <w:sz w:val="21"/>
        </w:rPr>
        <w:t>both</w:t>
      </w:r>
      <w:r>
        <w:rPr>
          <w:spacing w:val="17"/>
          <w:sz w:val="21"/>
        </w:rPr>
        <w:t> </w:t>
      </w:r>
      <w:r>
        <w:rPr>
          <w:spacing w:val="-3"/>
          <w:sz w:val="21"/>
        </w:rPr>
        <w:t>the</w:t>
      </w:r>
      <w:r>
        <w:rPr>
          <w:spacing w:val="18"/>
          <w:sz w:val="21"/>
        </w:rPr>
        <w:t> </w:t>
      </w:r>
      <w:r>
        <w:rPr>
          <w:spacing w:val="-5"/>
          <w:sz w:val="21"/>
        </w:rPr>
        <w:t>County</w:t>
      </w:r>
      <w:r>
        <w:rPr>
          <w:spacing w:val="17"/>
          <w:sz w:val="21"/>
        </w:rPr>
        <w:t> </w:t>
      </w:r>
      <w:r>
        <w:rPr>
          <w:spacing w:val="-4"/>
          <w:sz w:val="21"/>
        </w:rPr>
        <w:t>Court</w:t>
      </w:r>
      <w:r>
        <w:rPr>
          <w:spacing w:val="17"/>
          <w:sz w:val="21"/>
        </w:rPr>
        <w:t> </w:t>
      </w:r>
      <w:r>
        <w:rPr>
          <w:spacing w:val="-4"/>
          <w:sz w:val="21"/>
        </w:rPr>
        <w:t>and</w:t>
      </w:r>
      <w:r>
        <w:rPr>
          <w:spacing w:val="18"/>
          <w:sz w:val="21"/>
        </w:rPr>
        <w:t> </w:t>
      </w:r>
      <w:r>
        <w:rPr>
          <w:spacing w:val="-5"/>
          <w:sz w:val="21"/>
        </w:rPr>
        <w:t>Supreme</w:t>
      </w:r>
      <w:r>
        <w:rPr>
          <w:spacing w:val="17"/>
          <w:sz w:val="21"/>
        </w:rPr>
        <w:t> </w:t>
      </w:r>
      <w:r>
        <w:rPr>
          <w:spacing w:val="-4"/>
          <w:sz w:val="21"/>
        </w:rPr>
        <w:t>Court.</w:t>
      </w:r>
    </w:p>
    <w:p>
      <w:pPr>
        <w:pStyle w:val="ListParagraph"/>
        <w:numPr>
          <w:ilvl w:val="0"/>
          <w:numId w:val="97"/>
        </w:numPr>
        <w:tabs>
          <w:tab w:pos="2380" w:val="left" w:leader="none"/>
          <w:tab w:pos="2381" w:val="left" w:leader="none"/>
        </w:tabs>
        <w:spacing w:line="240" w:lineRule="auto" w:before="124" w:after="0"/>
        <w:ind w:left="2380" w:right="0" w:hanging="793"/>
        <w:jc w:val="left"/>
        <w:rPr>
          <w:sz w:val="21"/>
        </w:rPr>
      </w:pPr>
      <w:r>
        <w:rPr>
          <w:spacing w:val="-3"/>
          <w:sz w:val="21"/>
        </w:rPr>
        <w:t>The</w:t>
      </w:r>
      <w:r>
        <w:rPr>
          <w:spacing w:val="6"/>
          <w:sz w:val="21"/>
        </w:rPr>
        <w:t> </w:t>
      </w:r>
      <w:r>
        <w:rPr>
          <w:spacing w:val="-6"/>
          <w:sz w:val="21"/>
        </w:rPr>
        <w:t>Commission</w:t>
      </w:r>
      <w:r>
        <w:rPr>
          <w:spacing w:val="6"/>
          <w:sz w:val="21"/>
        </w:rPr>
        <w:t> </w:t>
      </w:r>
      <w:r>
        <w:rPr>
          <w:spacing w:val="-5"/>
          <w:sz w:val="21"/>
        </w:rPr>
        <w:t>notes</w:t>
      </w:r>
      <w:r>
        <w:rPr>
          <w:spacing w:val="7"/>
          <w:sz w:val="21"/>
        </w:rPr>
        <w:t> </w:t>
      </w:r>
      <w:r>
        <w:rPr>
          <w:spacing w:val="-5"/>
          <w:sz w:val="21"/>
        </w:rPr>
        <w:t>that</w:t>
      </w:r>
      <w:r>
        <w:rPr>
          <w:spacing w:val="6"/>
          <w:sz w:val="21"/>
        </w:rPr>
        <w:t> </w:t>
      </w:r>
      <w:r>
        <w:rPr>
          <w:spacing w:val="-3"/>
          <w:sz w:val="21"/>
        </w:rPr>
        <w:t>if</w:t>
      </w:r>
      <w:r>
        <w:rPr>
          <w:spacing w:val="7"/>
          <w:sz w:val="21"/>
        </w:rPr>
        <w:t> </w:t>
      </w:r>
      <w:r>
        <w:rPr>
          <w:spacing w:val="-3"/>
          <w:sz w:val="21"/>
        </w:rPr>
        <w:t>an</w:t>
      </w:r>
      <w:r>
        <w:rPr>
          <w:spacing w:val="6"/>
          <w:sz w:val="21"/>
        </w:rPr>
        <w:t> </w:t>
      </w:r>
      <w:r>
        <w:rPr>
          <w:spacing w:val="-6"/>
          <w:sz w:val="21"/>
        </w:rPr>
        <w:t>equivalent</w:t>
      </w:r>
      <w:r>
        <w:rPr>
          <w:spacing w:val="6"/>
          <w:sz w:val="21"/>
        </w:rPr>
        <w:t> </w:t>
      </w:r>
      <w:r>
        <w:rPr>
          <w:spacing w:val="-5"/>
          <w:sz w:val="21"/>
        </w:rPr>
        <w:t>Victorian</w:t>
      </w:r>
      <w:r>
        <w:rPr>
          <w:spacing w:val="7"/>
          <w:sz w:val="21"/>
        </w:rPr>
        <w:t> </w:t>
      </w:r>
      <w:r>
        <w:rPr>
          <w:spacing w:val="-4"/>
          <w:sz w:val="21"/>
        </w:rPr>
        <w:t>rule</w:t>
      </w:r>
      <w:r>
        <w:rPr>
          <w:spacing w:val="6"/>
          <w:sz w:val="21"/>
        </w:rPr>
        <w:t> </w:t>
      </w:r>
      <w:r>
        <w:rPr>
          <w:spacing w:val="-5"/>
          <w:sz w:val="21"/>
        </w:rPr>
        <w:t>were</w:t>
      </w:r>
      <w:r>
        <w:rPr>
          <w:spacing w:val="7"/>
          <w:sz w:val="21"/>
        </w:rPr>
        <w:t> </w:t>
      </w:r>
      <w:r>
        <w:rPr>
          <w:spacing w:val="-6"/>
          <w:sz w:val="21"/>
        </w:rPr>
        <w:t>limited</w:t>
      </w:r>
      <w:r>
        <w:rPr>
          <w:spacing w:val="6"/>
          <w:sz w:val="21"/>
        </w:rPr>
        <w:t> </w:t>
      </w:r>
      <w:r>
        <w:rPr>
          <w:spacing w:val="-4"/>
          <w:sz w:val="21"/>
        </w:rPr>
        <w:t>to</w:t>
      </w:r>
      <w:r>
        <w:rPr>
          <w:spacing w:val="7"/>
          <w:sz w:val="21"/>
        </w:rPr>
        <w:t> </w:t>
      </w:r>
      <w:r>
        <w:rPr>
          <w:spacing w:val="-6"/>
          <w:sz w:val="21"/>
        </w:rPr>
        <w:t>proceedings</w:t>
      </w:r>
    </w:p>
    <w:p>
      <w:pPr>
        <w:pStyle w:val="BodyText"/>
        <w:spacing w:line="242" w:lineRule="auto" w:before="4"/>
        <w:ind w:left="2380" w:right="1826"/>
      </w:pPr>
      <w:r>
        <w:rPr>
          <w:spacing w:val="-4"/>
          <w:w w:val="105"/>
        </w:rPr>
        <w:t>in </w:t>
      </w:r>
      <w:r>
        <w:rPr>
          <w:spacing w:val="-5"/>
          <w:w w:val="105"/>
        </w:rPr>
        <w:t>which </w:t>
      </w:r>
      <w:r>
        <w:rPr>
          <w:spacing w:val="-4"/>
          <w:w w:val="105"/>
        </w:rPr>
        <w:t>the net </w:t>
      </w:r>
      <w:r>
        <w:rPr>
          <w:spacing w:val="-5"/>
          <w:w w:val="105"/>
        </w:rPr>
        <w:t>value </w:t>
      </w:r>
      <w:r>
        <w:rPr>
          <w:spacing w:val="-4"/>
          <w:w w:val="105"/>
        </w:rPr>
        <w:t>of the estate </w:t>
      </w:r>
      <w:r>
        <w:rPr>
          <w:spacing w:val="-3"/>
          <w:w w:val="105"/>
        </w:rPr>
        <w:t>does </w:t>
      </w:r>
      <w:r>
        <w:rPr>
          <w:spacing w:val="-4"/>
          <w:w w:val="105"/>
        </w:rPr>
        <w:t>not </w:t>
      </w:r>
      <w:r>
        <w:rPr>
          <w:spacing w:val="-5"/>
          <w:w w:val="105"/>
        </w:rPr>
        <w:t>exceed </w:t>
      </w:r>
      <w:r>
        <w:rPr>
          <w:spacing w:val="-4"/>
          <w:w w:val="105"/>
        </w:rPr>
        <w:t>$500,000, </w:t>
      </w:r>
      <w:r>
        <w:rPr>
          <w:spacing w:val="-3"/>
          <w:w w:val="105"/>
        </w:rPr>
        <w:t>as it is </w:t>
      </w:r>
      <w:r>
        <w:rPr>
          <w:spacing w:val="-4"/>
          <w:w w:val="105"/>
        </w:rPr>
        <w:t>in South </w:t>
      </w:r>
      <w:r>
        <w:rPr>
          <w:spacing w:val="-6"/>
          <w:w w:val="105"/>
        </w:rPr>
        <w:t>Australia, </w:t>
      </w:r>
      <w:r>
        <w:rPr>
          <w:spacing w:val="-4"/>
          <w:w w:val="105"/>
        </w:rPr>
        <w:t>the effect of the </w:t>
      </w:r>
      <w:r>
        <w:rPr>
          <w:spacing w:val="-7"/>
          <w:w w:val="105"/>
        </w:rPr>
        <w:t>Commission’s </w:t>
      </w:r>
      <w:r>
        <w:rPr>
          <w:spacing w:val="-6"/>
          <w:w w:val="105"/>
        </w:rPr>
        <w:t>recommendations </w:t>
      </w:r>
      <w:r>
        <w:rPr>
          <w:spacing w:val="-4"/>
          <w:w w:val="105"/>
        </w:rPr>
        <w:t>in </w:t>
      </w:r>
      <w:r>
        <w:rPr>
          <w:spacing w:val="-5"/>
          <w:w w:val="105"/>
        </w:rPr>
        <w:t>relation </w:t>
      </w:r>
      <w:r>
        <w:rPr>
          <w:spacing w:val="-4"/>
          <w:w w:val="105"/>
        </w:rPr>
        <w:t>to court </w:t>
      </w:r>
      <w:r>
        <w:rPr>
          <w:spacing w:val="-5"/>
          <w:w w:val="105"/>
        </w:rPr>
        <w:t>jurisdiction would </w:t>
      </w:r>
      <w:r>
        <w:rPr>
          <w:spacing w:val="-4"/>
          <w:w w:val="105"/>
        </w:rPr>
        <w:t>mean </w:t>
      </w:r>
      <w:r>
        <w:rPr>
          <w:spacing w:val="-5"/>
          <w:w w:val="105"/>
        </w:rPr>
        <w:t>that </w:t>
      </w:r>
      <w:r>
        <w:rPr>
          <w:spacing w:val="-4"/>
          <w:w w:val="105"/>
        </w:rPr>
        <w:t>the rule </w:t>
      </w:r>
      <w:r>
        <w:rPr>
          <w:spacing w:val="-5"/>
          <w:w w:val="105"/>
        </w:rPr>
        <w:t>would only </w:t>
      </w:r>
      <w:r>
        <w:rPr>
          <w:spacing w:val="-4"/>
          <w:w w:val="105"/>
        </w:rPr>
        <w:t>apply to </w:t>
      </w:r>
      <w:r>
        <w:rPr>
          <w:spacing w:val="-6"/>
          <w:w w:val="105"/>
        </w:rPr>
        <w:t>proceedings </w:t>
      </w:r>
      <w:r>
        <w:rPr>
          <w:spacing w:val="-4"/>
          <w:w w:val="105"/>
        </w:rPr>
        <w:t>in the </w:t>
      </w:r>
      <w:r>
        <w:rPr>
          <w:spacing w:val="-6"/>
          <w:w w:val="105"/>
        </w:rPr>
        <w:t>County </w:t>
      </w:r>
      <w:r>
        <w:rPr>
          <w:spacing w:val="-5"/>
          <w:w w:val="105"/>
        </w:rPr>
        <w:t>Court. </w:t>
      </w:r>
      <w:r>
        <w:rPr>
          <w:spacing w:val="-4"/>
          <w:w w:val="105"/>
        </w:rPr>
        <w:t>There has been</w:t>
      </w:r>
    </w:p>
    <w:p>
      <w:pPr>
        <w:pStyle w:val="BodyText"/>
        <w:spacing w:before="3"/>
        <w:ind w:left="2380"/>
        <w:rPr>
          <w:sz w:val="12"/>
        </w:rPr>
      </w:pPr>
      <w:r>
        <w:rPr>
          <w:w w:val="105"/>
        </w:rPr>
        <w:t>suggestion in South Australia of increasing the limit to net estates not exceeding $700,000.</w:t>
      </w:r>
      <w:r>
        <w:rPr>
          <w:w w:val="105"/>
          <w:position w:val="7"/>
          <w:sz w:val="12"/>
        </w:rPr>
        <w:t>278</w:t>
      </w:r>
    </w:p>
    <w:p>
      <w:pPr>
        <w:pStyle w:val="ListParagraph"/>
        <w:numPr>
          <w:ilvl w:val="0"/>
          <w:numId w:val="97"/>
        </w:numPr>
        <w:tabs>
          <w:tab w:pos="2381" w:val="left" w:leader="none"/>
        </w:tabs>
        <w:spacing w:line="242" w:lineRule="auto" w:before="124" w:after="0"/>
        <w:ind w:left="2380" w:right="1832" w:hanging="793"/>
        <w:jc w:val="both"/>
        <w:rPr>
          <w:sz w:val="21"/>
        </w:rPr>
      </w:pPr>
      <w:r>
        <w:rPr>
          <w:w w:val="105"/>
          <w:sz w:val="21"/>
        </w:rPr>
        <w:t>The</w:t>
      </w:r>
      <w:r>
        <w:rPr>
          <w:spacing w:val="-11"/>
          <w:w w:val="105"/>
          <w:sz w:val="21"/>
        </w:rPr>
        <w:t> </w:t>
      </w:r>
      <w:r>
        <w:rPr>
          <w:spacing w:val="-3"/>
          <w:w w:val="105"/>
          <w:sz w:val="21"/>
        </w:rPr>
        <w:t>Commission</w:t>
      </w:r>
      <w:r>
        <w:rPr>
          <w:spacing w:val="-10"/>
          <w:w w:val="105"/>
          <w:sz w:val="21"/>
        </w:rPr>
        <w:t> </w:t>
      </w:r>
      <w:r>
        <w:rPr>
          <w:w w:val="105"/>
          <w:sz w:val="21"/>
        </w:rPr>
        <w:t>considers</w:t>
      </w:r>
      <w:r>
        <w:rPr>
          <w:spacing w:val="-10"/>
          <w:w w:val="105"/>
          <w:sz w:val="21"/>
        </w:rPr>
        <w:t> </w:t>
      </w:r>
      <w:r>
        <w:rPr>
          <w:spacing w:val="-3"/>
          <w:w w:val="105"/>
          <w:sz w:val="21"/>
        </w:rPr>
        <w:t>that</w:t>
      </w:r>
      <w:r>
        <w:rPr>
          <w:spacing w:val="-10"/>
          <w:w w:val="105"/>
          <w:sz w:val="21"/>
        </w:rPr>
        <w:t> </w:t>
      </w:r>
      <w:r>
        <w:rPr>
          <w:w w:val="105"/>
          <w:sz w:val="21"/>
        </w:rPr>
        <w:t>the</w:t>
      </w:r>
      <w:r>
        <w:rPr>
          <w:spacing w:val="-11"/>
          <w:w w:val="105"/>
          <w:sz w:val="21"/>
        </w:rPr>
        <w:t> </w:t>
      </w:r>
      <w:r>
        <w:rPr>
          <w:w w:val="105"/>
          <w:sz w:val="21"/>
        </w:rPr>
        <w:t>application</w:t>
      </w:r>
      <w:r>
        <w:rPr>
          <w:spacing w:val="-10"/>
          <w:w w:val="105"/>
          <w:sz w:val="21"/>
        </w:rPr>
        <w:t> </w:t>
      </w:r>
      <w:r>
        <w:rPr>
          <w:w w:val="105"/>
          <w:sz w:val="21"/>
        </w:rPr>
        <w:t>of</w:t>
      </w:r>
      <w:r>
        <w:rPr>
          <w:spacing w:val="-10"/>
          <w:w w:val="105"/>
          <w:sz w:val="21"/>
        </w:rPr>
        <w:t> </w:t>
      </w:r>
      <w:r>
        <w:rPr>
          <w:w w:val="105"/>
          <w:sz w:val="21"/>
        </w:rPr>
        <w:t>a</w:t>
      </w:r>
      <w:r>
        <w:rPr>
          <w:spacing w:val="-11"/>
          <w:w w:val="105"/>
          <w:sz w:val="21"/>
        </w:rPr>
        <w:t> </w:t>
      </w:r>
      <w:r>
        <w:rPr>
          <w:w w:val="105"/>
          <w:sz w:val="21"/>
        </w:rPr>
        <w:t>summary</w:t>
      </w:r>
      <w:r>
        <w:rPr>
          <w:spacing w:val="-10"/>
          <w:w w:val="105"/>
          <w:sz w:val="21"/>
        </w:rPr>
        <w:t> </w:t>
      </w:r>
      <w:r>
        <w:rPr>
          <w:spacing w:val="-3"/>
          <w:w w:val="105"/>
          <w:sz w:val="21"/>
        </w:rPr>
        <w:t>determination</w:t>
      </w:r>
      <w:r>
        <w:rPr>
          <w:spacing w:val="-10"/>
          <w:w w:val="105"/>
          <w:sz w:val="21"/>
        </w:rPr>
        <w:t> </w:t>
      </w:r>
      <w:r>
        <w:rPr>
          <w:w w:val="105"/>
          <w:sz w:val="21"/>
        </w:rPr>
        <w:t>rule</w:t>
      </w:r>
      <w:r>
        <w:rPr>
          <w:spacing w:val="-10"/>
          <w:w w:val="105"/>
          <w:sz w:val="21"/>
        </w:rPr>
        <w:t> </w:t>
      </w:r>
      <w:r>
        <w:rPr>
          <w:w w:val="105"/>
          <w:sz w:val="21"/>
        </w:rPr>
        <w:t>should be </w:t>
      </w:r>
      <w:r>
        <w:rPr>
          <w:spacing w:val="-3"/>
          <w:w w:val="105"/>
          <w:sz w:val="21"/>
        </w:rPr>
        <w:t>limited </w:t>
      </w:r>
      <w:r>
        <w:rPr>
          <w:w w:val="105"/>
          <w:sz w:val="21"/>
        </w:rPr>
        <w:t>by the </w:t>
      </w:r>
      <w:r>
        <w:rPr>
          <w:spacing w:val="-3"/>
          <w:w w:val="105"/>
          <w:sz w:val="21"/>
        </w:rPr>
        <w:t>size </w:t>
      </w:r>
      <w:r>
        <w:rPr>
          <w:w w:val="105"/>
          <w:sz w:val="21"/>
        </w:rPr>
        <w:t>of the </w:t>
      </w:r>
      <w:r>
        <w:rPr>
          <w:spacing w:val="-3"/>
          <w:w w:val="105"/>
          <w:sz w:val="21"/>
        </w:rPr>
        <w:t>estate, </w:t>
      </w:r>
      <w:r>
        <w:rPr>
          <w:w w:val="105"/>
          <w:sz w:val="21"/>
        </w:rPr>
        <w:t>as there would be </w:t>
      </w:r>
      <w:r>
        <w:rPr>
          <w:spacing w:val="-3"/>
          <w:w w:val="105"/>
          <w:sz w:val="21"/>
        </w:rPr>
        <w:t>potential </w:t>
      </w:r>
      <w:r>
        <w:rPr>
          <w:w w:val="105"/>
          <w:sz w:val="21"/>
        </w:rPr>
        <w:t>costs </w:t>
      </w:r>
      <w:r>
        <w:rPr>
          <w:spacing w:val="-3"/>
          <w:w w:val="105"/>
          <w:sz w:val="21"/>
        </w:rPr>
        <w:t>consequences for </w:t>
      </w:r>
      <w:r>
        <w:rPr>
          <w:w w:val="105"/>
          <w:sz w:val="21"/>
        </w:rPr>
        <w:t>a party when </w:t>
      </w:r>
      <w:r>
        <w:rPr>
          <w:spacing w:val="-3"/>
          <w:w w:val="105"/>
          <w:sz w:val="21"/>
        </w:rPr>
        <w:t>proceedings are </w:t>
      </w:r>
      <w:r>
        <w:rPr>
          <w:spacing w:val="-2"/>
          <w:w w:val="105"/>
          <w:sz w:val="21"/>
        </w:rPr>
        <w:t>not </w:t>
      </w:r>
      <w:r>
        <w:rPr>
          <w:spacing w:val="-3"/>
          <w:w w:val="105"/>
          <w:sz w:val="21"/>
        </w:rPr>
        <w:t>determined summarily </w:t>
      </w:r>
      <w:r>
        <w:rPr>
          <w:w w:val="105"/>
          <w:sz w:val="21"/>
        </w:rPr>
        <w:t>because of the actions of </w:t>
      </w:r>
      <w:r>
        <w:rPr>
          <w:spacing w:val="-3"/>
          <w:w w:val="105"/>
          <w:sz w:val="21"/>
        </w:rPr>
        <w:t>that </w:t>
      </w:r>
      <w:r>
        <w:rPr>
          <w:w w:val="105"/>
          <w:sz w:val="21"/>
        </w:rPr>
        <w:t>party, but should </w:t>
      </w:r>
      <w:r>
        <w:rPr>
          <w:spacing w:val="-3"/>
          <w:w w:val="105"/>
          <w:sz w:val="21"/>
        </w:rPr>
        <w:t>have </w:t>
      </w:r>
      <w:r>
        <w:rPr>
          <w:w w:val="105"/>
          <w:sz w:val="21"/>
        </w:rPr>
        <w:t>been. The </w:t>
      </w:r>
      <w:r>
        <w:rPr>
          <w:spacing w:val="-3"/>
          <w:w w:val="105"/>
          <w:sz w:val="21"/>
        </w:rPr>
        <w:t>Commission </w:t>
      </w:r>
      <w:r>
        <w:rPr>
          <w:w w:val="105"/>
          <w:sz w:val="21"/>
        </w:rPr>
        <w:t>considers </w:t>
      </w:r>
      <w:r>
        <w:rPr>
          <w:spacing w:val="-3"/>
          <w:w w:val="105"/>
          <w:sz w:val="21"/>
        </w:rPr>
        <w:t>that </w:t>
      </w:r>
      <w:r>
        <w:rPr>
          <w:w w:val="105"/>
          <w:sz w:val="21"/>
        </w:rPr>
        <w:t>it would be</w:t>
      </w:r>
      <w:r>
        <w:rPr>
          <w:spacing w:val="-31"/>
          <w:w w:val="105"/>
          <w:sz w:val="21"/>
        </w:rPr>
        <w:t> </w:t>
      </w:r>
      <w:r>
        <w:rPr>
          <w:spacing w:val="-3"/>
          <w:w w:val="105"/>
          <w:sz w:val="21"/>
        </w:rPr>
        <w:t>appropriate</w:t>
      </w:r>
    </w:p>
    <w:p>
      <w:pPr>
        <w:pStyle w:val="BodyText"/>
        <w:spacing w:line="242" w:lineRule="auto" w:before="4"/>
        <w:ind w:left="2380" w:right="2010"/>
      </w:pPr>
      <w:r>
        <w:rPr>
          <w:spacing w:val="-3"/>
        </w:rPr>
        <w:t>to initially limit  </w:t>
      </w:r>
      <w:r>
        <w:rPr/>
        <w:t>application of the rule </w:t>
      </w:r>
      <w:r>
        <w:rPr>
          <w:spacing w:val="-3"/>
        </w:rPr>
        <w:t>to</w:t>
      </w:r>
      <w:r>
        <w:rPr>
          <w:spacing w:val="41"/>
        </w:rPr>
        <w:t> </w:t>
      </w:r>
      <w:r>
        <w:rPr>
          <w:spacing w:val="-3"/>
        </w:rPr>
        <w:t>proceedings  </w:t>
      </w:r>
      <w:r>
        <w:rPr/>
        <w:t>in which the net </w:t>
      </w:r>
      <w:r>
        <w:rPr>
          <w:spacing w:val="-3"/>
        </w:rPr>
        <w:t>value  </w:t>
      </w:r>
      <w:r>
        <w:rPr/>
        <w:t>of the estate does </w:t>
      </w:r>
      <w:r>
        <w:rPr>
          <w:spacing w:val="-2"/>
        </w:rPr>
        <w:t>not </w:t>
      </w:r>
      <w:r>
        <w:rPr/>
        <w:t>exceed $500,000. This would </w:t>
      </w:r>
      <w:r>
        <w:rPr>
          <w:spacing w:val="-3"/>
        </w:rPr>
        <w:t>limit </w:t>
      </w:r>
      <w:r>
        <w:rPr/>
        <w:t>operation of the rule </w:t>
      </w:r>
      <w:r>
        <w:rPr>
          <w:spacing w:val="-3"/>
        </w:rPr>
        <w:t>to </w:t>
      </w:r>
      <w:r>
        <w:rPr/>
        <w:t>the </w:t>
      </w:r>
      <w:r>
        <w:rPr>
          <w:spacing w:val="-3"/>
        </w:rPr>
        <w:t>County Court. </w:t>
      </w:r>
      <w:r>
        <w:rPr/>
        <w:t>If the </w:t>
      </w:r>
      <w:r>
        <w:rPr>
          <w:spacing w:val="-3"/>
        </w:rPr>
        <w:t>County Court were to </w:t>
      </w:r>
      <w:r>
        <w:rPr/>
        <w:t>adopt </w:t>
      </w:r>
      <w:r>
        <w:rPr>
          <w:spacing w:val="-3"/>
        </w:rPr>
        <w:t>such </w:t>
      </w:r>
      <w:r>
        <w:rPr/>
        <w:t>a </w:t>
      </w:r>
      <w:r>
        <w:rPr>
          <w:spacing w:val="-3"/>
        </w:rPr>
        <w:t>rule, </w:t>
      </w:r>
      <w:r>
        <w:rPr/>
        <w:t>and it operated </w:t>
      </w:r>
      <w:r>
        <w:rPr>
          <w:spacing w:val="-3"/>
        </w:rPr>
        <w:t>well </w:t>
      </w:r>
      <w:r>
        <w:rPr/>
        <w:t>in </w:t>
      </w:r>
      <w:r>
        <w:rPr>
          <w:spacing w:val="-3"/>
        </w:rPr>
        <w:t>practice, consideration could </w:t>
      </w:r>
      <w:r>
        <w:rPr/>
        <w:t>then be given </w:t>
      </w:r>
      <w:r>
        <w:rPr>
          <w:spacing w:val="-3"/>
        </w:rPr>
        <w:t>to increasing </w:t>
      </w:r>
      <w:r>
        <w:rPr/>
        <w:t>the </w:t>
      </w:r>
      <w:r>
        <w:rPr>
          <w:spacing w:val="-3"/>
        </w:rPr>
        <w:t>limit, </w:t>
      </w:r>
      <w:r>
        <w:rPr/>
        <w:t>and extending the </w:t>
      </w:r>
      <w:r>
        <w:rPr>
          <w:spacing w:val="-4"/>
        </w:rPr>
        <w:t>rule’s </w:t>
      </w:r>
      <w:r>
        <w:rPr/>
        <w:t>operation </w:t>
      </w:r>
      <w:r>
        <w:rPr>
          <w:spacing w:val="-3"/>
        </w:rPr>
        <w:t>to </w:t>
      </w:r>
      <w:r>
        <w:rPr/>
        <w:t>the </w:t>
      </w:r>
      <w:r>
        <w:rPr>
          <w:spacing w:val="-3"/>
        </w:rPr>
        <w:t>Supreme</w:t>
      </w:r>
      <w:r>
        <w:rPr>
          <w:spacing w:val="39"/>
        </w:rPr>
        <w:t> </w:t>
      </w:r>
      <w:r>
        <w:rPr>
          <w:spacing w:val="-3"/>
        </w:rPr>
        <w:t>Court.</w:t>
      </w:r>
    </w:p>
    <w:p>
      <w:pPr>
        <w:pStyle w:val="ListParagraph"/>
        <w:numPr>
          <w:ilvl w:val="0"/>
          <w:numId w:val="97"/>
        </w:numPr>
        <w:tabs>
          <w:tab w:pos="2380" w:val="left" w:leader="none"/>
          <w:tab w:pos="2381" w:val="left" w:leader="none"/>
        </w:tabs>
        <w:spacing w:line="240" w:lineRule="auto" w:before="126" w:after="0"/>
        <w:ind w:left="2380" w:right="0" w:hanging="793"/>
        <w:jc w:val="left"/>
        <w:rPr>
          <w:sz w:val="21"/>
        </w:rPr>
      </w:pPr>
      <w:r>
        <w:rPr>
          <w:w w:val="105"/>
          <w:sz w:val="21"/>
        </w:rPr>
        <w:t>As </w:t>
      </w:r>
      <w:r>
        <w:rPr>
          <w:spacing w:val="-3"/>
          <w:w w:val="105"/>
          <w:sz w:val="21"/>
        </w:rPr>
        <w:t>noted above, </w:t>
      </w:r>
      <w:r>
        <w:rPr>
          <w:w w:val="105"/>
          <w:sz w:val="21"/>
        </w:rPr>
        <w:t>under the South </w:t>
      </w:r>
      <w:r>
        <w:rPr>
          <w:spacing w:val="-3"/>
          <w:w w:val="105"/>
          <w:sz w:val="21"/>
        </w:rPr>
        <w:t>Australian </w:t>
      </w:r>
      <w:r>
        <w:rPr>
          <w:w w:val="105"/>
          <w:sz w:val="21"/>
        </w:rPr>
        <w:t>rules, if a </w:t>
      </w:r>
      <w:r>
        <w:rPr>
          <w:spacing w:val="-3"/>
          <w:w w:val="105"/>
          <w:sz w:val="21"/>
        </w:rPr>
        <w:t>family provision</w:t>
      </w:r>
      <w:r>
        <w:rPr>
          <w:spacing w:val="7"/>
          <w:w w:val="105"/>
          <w:sz w:val="21"/>
        </w:rPr>
        <w:t> </w:t>
      </w:r>
      <w:r>
        <w:rPr>
          <w:w w:val="105"/>
          <w:sz w:val="21"/>
        </w:rPr>
        <w:t>action under</w:t>
      </w:r>
    </w:p>
    <w:p>
      <w:pPr>
        <w:pStyle w:val="BodyText"/>
        <w:spacing w:line="242" w:lineRule="auto" w:before="3"/>
        <w:ind w:left="2380" w:right="1816"/>
        <w:rPr>
          <w:sz w:val="12"/>
        </w:rPr>
      </w:pPr>
      <w:r>
        <w:rPr>
          <w:w w:val="105"/>
        </w:rPr>
        <w:t>$500,000 should </w:t>
      </w:r>
      <w:r>
        <w:rPr>
          <w:spacing w:val="-3"/>
          <w:w w:val="105"/>
        </w:rPr>
        <w:t>have </w:t>
      </w:r>
      <w:r>
        <w:rPr>
          <w:w w:val="105"/>
        </w:rPr>
        <w:t>been, but was not, </w:t>
      </w:r>
      <w:r>
        <w:rPr>
          <w:spacing w:val="-3"/>
          <w:w w:val="105"/>
        </w:rPr>
        <w:t>summarily determined, </w:t>
      </w:r>
      <w:r>
        <w:rPr>
          <w:w w:val="105"/>
        </w:rPr>
        <w:t>the </w:t>
      </w:r>
      <w:r>
        <w:rPr>
          <w:spacing w:val="-3"/>
          <w:w w:val="105"/>
        </w:rPr>
        <w:t>Court may </w:t>
      </w:r>
      <w:r>
        <w:rPr>
          <w:w w:val="105"/>
        </w:rPr>
        <w:t>order the plaintiff </w:t>
      </w:r>
      <w:r>
        <w:rPr>
          <w:spacing w:val="-3"/>
          <w:w w:val="105"/>
        </w:rPr>
        <w:t>to </w:t>
      </w:r>
      <w:r>
        <w:rPr>
          <w:w w:val="105"/>
        </w:rPr>
        <w:t>bear </w:t>
      </w:r>
      <w:r>
        <w:rPr>
          <w:spacing w:val="-3"/>
          <w:w w:val="105"/>
        </w:rPr>
        <w:t>any </w:t>
      </w:r>
      <w:r>
        <w:rPr>
          <w:w w:val="105"/>
        </w:rPr>
        <w:t>costs </w:t>
      </w:r>
      <w:r>
        <w:rPr>
          <w:spacing w:val="-3"/>
          <w:w w:val="105"/>
        </w:rPr>
        <w:t>that might have </w:t>
      </w:r>
      <w:r>
        <w:rPr>
          <w:w w:val="105"/>
        </w:rPr>
        <w:t>been avoided if the </w:t>
      </w:r>
      <w:r>
        <w:rPr>
          <w:spacing w:val="-3"/>
          <w:w w:val="105"/>
        </w:rPr>
        <w:t>proceeding </w:t>
      </w:r>
      <w:r>
        <w:rPr>
          <w:spacing w:val="-2"/>
          <w:w w:val="105"/>
        </w:rPr>
        <w:t>had </w:t>
      </w:r>
      <w:r>
        <w:rPr>
          <w:w w:val="105"/>
        </w:rPr>
        <w:t>been </w:t>
      </w:r>
      <w:r>
        <w:rPr>
          <w:spacing w:val="-3"/>
          <w:w w:val="105"/>
        </w:rPr>
        <w:t>summarily </w:t>
      </w:r>
      <w:r>
        <w:rPr>
          <w:w w:val="105"/>
        </w:rPr>
        <w:t>determined.</w:t>
      </w:r>
      <w:r>
        <w:rPr>
          <w:w w:val="105"/>
          <w:position w:val="7"/>
          <w:sz w:val="12"/>
        </w:rPr>
        <w:t>279 </w:t>
      </w:r>
      <w:r>
        <w:rPr>
          <w:w w:val="105"/>
        </w:rPr>
        <w:t>The </w:t>
      </w:r>
      <w:r>
        <w:rPr>
          <w:spacing w:val="-3"/>
          <w:w w:val="105"/>
        </w:rPr>
        <w:t>Commission </w:t>
      </w:r>
      <w:r>
        <w:rPr>
          <w:w w:val="105"/>
        </w:rPr>
        <w:t>considers </w:t>
      </w:r>
      <w:r>
        <w:rPr>
          <w:spacing w:val="-3"/>
          <w:w w:val="105"/>
        </w:rPr>
        <w:t>that such </w:t>
      </w:r>
      <w:r>
        <w:rPr>
          <w:w w:val="105"/>
        </w:rPr>
        <w:t>a costs rule would be </w:t>
      </w:r>
      <w:r>
        <w:rPr>
          <w:spacing w:val="-3"/>
          <w:w w:val="105"/>
        </w:rPr>
        <w:t>useful to encourage </w:t>
      </w:r>
      <w:r>
        <w:rPr>
          <w:w w:val="105"/>
        </w:rPr>
        <w:t>parties </w:t>
      </w:r>
      <w:r>
        <w:rPr>
          <w:spacing w:val="-3"/>
          <w:w w:val="105"/>
        </w:rPr>
        <w:t>to </w:t>
      </w:r>
      <w:r>
        <w:rPr>
          <w:w w:val="105"/>
        </w:rPr>
        <w:t>seek summary </w:t>
      </w:r>
      <w:r>
        <w:rPr>
          <w:spacing w:val="-3"/>
          <w:w w:val="105"/>
        </w:rPr>
        <w:t>determination </w:t>
      </w:r>
      <w:r>
        <w:rPr>
          <w:w w:val="105"/>
        </w:rPr>
        <w:t>in </w:t>
      </w:r>
      <w:r>
        <w:rPr>
          <w:spacing w:val="-3"/>
          <w:w w:val="105"/>
        </w:rPr>
        <w:t>appropriate </w:t>
      </w:r>
      <w:r>
        <w:rPr>
          <w:w w:val="105"/>
        </w:rPr>
        <w:t>cases, but </w:t>
      </w:r>
      <w:r>
        <w:rPr>
          <w:spacing w:val="-3"/>
          <w:w w:val="105"/>
        </w:rPr>
        <w:t>that </w:t>
      </w:r>
      <w:r>
        <w:rPr>
          <w:w w:val="105"/>
        </w:rPr>
        <w:t>it should apply only where a matter should </w:t>
      </w:r>
      <w:r>
        <w:rPr>
          <w:spacing w:val="-3"/>
          <w:w w:val="105"/>
        </w:rPr>
        <w:t>have </w:t>
      </w:r>
      <w:r>
        <w:rPr>
          <w:w w:val="105"/>
        </w:rPr>
        <w:t>been </w:t>
      </w:r>
      <w:r>
        <w:rPr>
          <w:spacing w:val="-3"/>
          <w:w w:val="105"/>
        </w:rPr>
        <w:t>determined summarily and, </w:t>
      </w:r>
      <w:r>
        <w:rPr>
          <w:w w:val="105"/>
        </w:rPr>
        <w:t>because of the actions of a party, was </w:t>
      </w:r>
      <w:r>
        <w:rPr>
          <w:spacing w:val="-3"/>
          <w:w w:val="105"/>
        </w:rPr>
        <w:t>not. Such </w:t>
      </w:r>
      <w:r>
        <w:rPr>
          <w:w w:val="105"/>
        </w:rPr>
        <w:t>a </w:t>
      </w:r>
      <w:r>
        <w:rPr>
          <w:spacing w:val="-3"/>
          <w:w w:val="105"/>
        </w:rPr>
        <w:t>rule, </w:t>
      </w:r>
      <w:r>
        <w:rPr>
          <w:w w:val="105"/>
        </w:rPr>
        <w:t>if adopted, should specify </w:t>
      </w:r>
      <w:r>
        <w:rPr>
          <w:spacing w:val="-3"/>
          <w:w w:val="105"/>
        </w:rPr>
        <w:t>that </w:t>
      </w:r>
      <w:r>
        <w:rPr>
          <w:w w:val="105"/>
        </w:rPr>
        <w:t>it does </w:t>
      </w:r>
      <w:r>
        <w:rPr>
          <w:spacing w:val="-2"/>
          <w:w w:val="105"/>
        </w:rPr>
        <w:t>not </w:t>
      </w:r>
      <w:r>
        <w:rPr>
          <w:spacing w:val="-3"/>
          <w:w w:val="105"/>
        </w:rPr>
        <w:t>limit </w:t>
      </w:r>
      <w:r>
        <w:rPr>
          <w:w w:val="105"/>
        </w:rPr>
        <w:t>the </w:t>
      </w:r>
      <w:r>
        <w:rPr>
          <w:spacing w:val="-3"/>
          <w:w w:val="105"/>
        </w:rPr>
        <w:t>Court’s discretion </w:t>
      </w:r>
      <w:r>
        <w:rPr>
          <w:w w:val="105"/>
        </w:rPr>
        <w:t>as </w:t>
      </w:r>
      <w:r>
        <w:rPr>
          <w:spacing w:val="-3"/>
          <w:w w:val="105"/>
        </w:rPr>
        <w:t>to </w:t>
      </w:r>
      <w:r>
        <w:rPr>
          <w:w w:val="105"/>
        </w:rPr>
        <w:t>costs in </w:t>
      </w:r>
      <w:r>
        <w:rPr>
          <w:spacing w:val="-3"/>
          <w:w w:val="105"/>
        </w:rPr>
        <w:t>family provision</w:t>
      </w:r>
      <w:r>
        <w:rPr>
          <w:spacing w:val="6"/>
          <w:w w:val="105"/>
        </w:rPr>
        <w:t> </w:t>
      </w:r>
      <w:r>
        <w:rPr>
          <w:w w:val="105"/>
        </w:rPr>
        <w:t>proceedings.</w:t>
      </w:r>
      <w:r>
        <w:rPr>
          <w:w w:val="105"/>
          <w:position w:val="7"/>
          <w:sz w:val="12"/>
        </w:rPr>
        <w:t>280</w:t>
      </w:r>
    </w:p>
    <w:p>
      <w:pPr>
        <w:pStyle w:val="BodyText"/>
        <w:spacing w:before="2"/>
        <w:rPr>
          <w:sz w:val="15"/>
        </w:rPr>
      </w:pPr>
      <w:r>
        <w:rPr/>
        <w:pict>
          <v:group style="position:absolute;margin-left:62.362202pt;margin-top:11.233967pt;width:479.1pt;height:288.55pt;mso-position-horizontal-relative:page;mso-position-vertical-relative:paragraph;z-index:8000;mso-wrap-distance-left:0;mso-wrap-distance-right:0" coordorigin="1247,225" coordsize="9582,5771">
            <v:rect style="position:absolute;left:1587;top:224;width:8731;height:5771" filled="true" fillcolor="#fdebea" stroked="false">
              <v:fill type="solid"/>
            </v:rect>
            <v:line style="position:absolute" from="1247,975" to="10828,975" stroked="true" strokeweight="2.5pt" strokecolor="#ffffff">
              <v:stroke dashstyle="solid"/>
            </v:line>
            <v:shape style="position:absolute;left:2381;top:1212;width:7702;height:4610" type="#_x0000_t202" filled="false" stroked="false">
              <v:textbox inset="0,0,0,0">
                <w:txbxContent>
                  <w:p>
                    <w:pPr>
                      <w:spacing w:line="242" w:lineRule="auto" w:before="0"/>
                      <w:ind w:left="0" w:right="18" w:firstLine="0"/>
                      <w:jc w:val="both"/>
                      <w:rPr>
                        <w:sz w:val="21"/>
                      </w:rPr>
                    </w:pPr>
                    <w:r>
                      <w:rPr>
                        <w:w w:val="110"/>
                        <w:sz w:val="21"/>
                      </w:rPr>
                      <w:t>The</w:t>
                    </w:r>
                    <w:r>
                      <w:rPr>
                        <w:spacing w:val="-18"/>
                        <w:w w:val="110"/>
                        <w:sz w:val="21"/>
                      </w:rPr>
                      <w:t> </w:t>
                    </w:r>
                    <w:r>
                      <w:rPr>
                        <w:w w:val="110"/>
                        <w:sz w:val="21"/>
                      </w:rPr>
                      <w:t>County</w:t>
                    </w:r>
                    <w:r>
                      <w:rPr>
                        <w:spacing w:val="-18"/>
                        <w:w w:val="110"/>
                        <w:sz w:val="21"/>
                      </w:rPr>
                      <w:t> </w:t>
                    </w:r>
                    <w:r>
                      <w:rPr>
                        <w:w w:val="110"/>
                        <w:sz w:val="21"/>
                      </w:rPr>
                      <w:t>Court</w:t>
                    </w:r>
                    <w:r>
                      <w:rPr>
                        <w:spacing w:val="-17"/>
                        <w:w w:val="110"/>
                        <w:sz w:val="21"/>
                      </w:rPr>
                      <w:t> </w:t>
                    </w:r>
                    <w:r>
                      <w:rPr>
                        <w:w w:val="110"/>
                        <w:sz w:val="21"/>
                      </w:rPr>
                      <w:t>should</w:t>
                    </w:r>
                    <w:r>
                      <w:rPr>
                        <w:spacing w:val="-18"/>
                        <w:w w:val="110"/>
                        <w:sz w:val="21"/>
                      </w:rPr>
                      <w:t> </w:t>
                    </w:r>
                    <w:r>
                      <w:rPr>
                        <w:w w:val="110"/>
                        <w:sz w:val="21"/>
                      </w:rPr>
                      <w:t>consider</w:t>
                    </w:r>
                    <w:r>
                      <w:rPr>
                        <w:spacing w:val="-18"/>
                        <w:w w:val="110"/>
                        <w:sz w:val="21"/>
                      </w:rPr>
                      <w:t> </w:t>
                    </w:r>
                    <w:r>
                      <w:rPr>
                        <w:w w:val="110"/>
                        <w:sz w:val="21"/>
                      </w:rPr>
                      <w:t>including</w:t>
                    </w:r>
                    <w:r>
                      <w:rPr>
                        <w:spacing w:val="-17"/>
                        <w:w w:val="110"/>
                        <w:sz w:val="21"/>
                      </w:rPr>
                      <w:t> </w:t>
                    </w:r>
                    <w:r>
                      <w:rPr>
                        <w:w w:val="110"/>
                        <w:sz w:val="21"/>
                      </w:rPr>
                      <w:t>in</w:t>
                    </w:r>
                    <w:r>
                      <w:rPr>
                        <w:spacing w:val="-18"/>
                        <w:w w:val="110"/>
                        <w:sz w:val="21"/>
                      </w:rPr>
                      <w:t> </w:t>
                    </w:r>
                    <w:r>
                      <w:rPr>
                        <w:w w:val="110"/>
                        <w:sz w:val="21"/>
                      </w:rPr>
                      <w:t>its</w:t>
                    </w:r>
                    <w:r>
                      <w:rPr>
                        <w:spacing w:val="-18"/>
                        <w:w w:val="110"/>
                        <w:sz w:val="21"/>
                      </w:rPr>
                      <w:t> </w:t>
                    </w:r>
                    <w:r>
                      <w:rPr>
                        <w:rFonts w:ascii="Lucida Sans"/>
                        <w:i/>
                        <w:w w:val="110"/>
                        <w:sz w:val="21"/>
                      </w:rPr>
                      <w:t>County</w:t>
                    </w:r>
                    <w:r>
                      <w:rPr>
                        <w:rFonts w:ascii="Lucida Sans"/>
                        <w:i/>
                        <w:spacing w:val="-38"/>
                        <w:w w:val="110"/>
                        <w:sz w:val="21"/>
                      </w:rPr>
                      <w:t> </w:t>
                    </w:r>
                    <w:r>
                      <w:rPr>
                        <w:rFonts w:ascii="Lucida Sans"/>
                        <w:i/>
                        <w:w w:val="110"/>
                        <w:sz w:val="21"/>
                      </w:rPr>
                      <w:t>Court</w:t>
                    </w:r>
                    <w:r>
                      <w:rPr>
                        <w:rFonts w:ascii="Lucida Sans"/>
                        <w:i/>
                        <w:spacing w:val="-39"/>
                        <w:w w:val="110"/>
                        <w:sz w:val="21"/>
                      </w:rPr>
                      <w:t> </w:t>
                    </w:r>
                    <w:r>
                      <w:rPr>
                        <w:rFonts w:ascii="Lucida Sans"/>
                        <w:i/>
                        <w:w w:val="110"/>
                        <w:sz w:val="21"/>
                      </w:rPr>
                      <w:t>Civil</w:t>
                    </w:r>
                    <w:r>
                      <w:rPr>
                        <w:rFonts w:ascii="Lucida Sans"/>
                        <w:i/>
                        <w:spacing w:val="-38"/>
                        <w:w w:val="110"/>
                        <w:sz w:val="21"/>
                      </w:rPr>
                      <w:t> </w:t>
                    </w:r>
                    <w:r>
                      <w:rPr>
                        <w:rFonts w:ascii="Lucida Sans"/>
                        <w:i/>
                        <w:w w:val="110"/>
                        <w:sz w:val="21"/>
                      </w:rPr>
                      <w:t>Procedure </w:t>
                    </w:r>
                    <w:r>
                      <w:rPr>
                        <w:rFonts w:ascii="Lucida Sans"/>
                        <w:i/>
                        <w:w w:val="110"/>
                        <w:sz w:val="21"/>
                      </w:rPr>
                      <w:t>Rules 2008 </w:t>
                    </w:r>
                    <w:r>
                      <w:rPr>
                        <w:w w:val="110"/>
                        <w:sz w:val="21"/>
                      </w:rPr>
                      <w:t>(Vic) a rule permitting it to determine a </w:t>
                    </w:r>
                    <w:r>
                      <w:rPr>
                        <w:spacing w:val="-3"/>
                        <w:w w:val="110"/>
                        <w:sz w:val="21"/>
                      </w:rPr>
                      <w:t>family </w:t>
                    </w:r>
                    <w:r>
                      <w:rPr>
                        <w:w w:val="110"/>
                        <w:sz w:val="21"/>
                      </w:rPr>
                      <w:t>provision application summarily</w:t>
                    </w:r>
                    <w:r>
                      <w:rPr>
                        <w:spacing w:val="3"/>
                        <w:w w:val="110"/>
                        <w:sz w:val="21"/>
                      </w:rPr>
                      <w:t> </w:t>
                    </w:r>
                    <w:r>
                      <w:rPr>
                        <w:w w:val="110"/>
                        <w:sz w:val="21"/>
                      </w:rPr>
                      <w:t>when:</w:t>
                    </w:r>
                  </w:p>
                  <w:p>
                    <w:pPr>
                      <w:numPr>
                        <w:ilvl w:val="0"/>
                        <w:numId w:val="102"/>
                      </w:numPr>
                      <w:tabs>
                        <w:tab w:pos="341" w:val="left" w:leader="none"/>
                      </w:tabs>
                      <w:spacing w:line="242" w:lineRule="auto" w:before="113"/>
                      <w:ind w:left="340" w:right="139" w:hanging="340"/>
                      <w:jc w:val="left"/>
                      <w:rPr>
                        <w:sz w:val="21"/>
                      </w:rPr>
                    </w:pPr>
                    <w:r>
                      <w:rPr>
                        <w:w w:val="115"/>
                        <w:sz w:val="21"/>
                      </w:rPr>
                      <w:t>there are reasonable grounds on which to conclude that the net estate of the deceased person that </w:t>
                    </w:r>
                    <w:r>
                      <w:rPr>
                        <w:spacing w:val="-3"/>
                        <w:w w:val="115"/>
                        <w:sz w:val="21"/>
                      </w:rPr>
                      <w:t>will </w:t>
                    </w:r>
                    <w:r>
                      <w:rPr>
                        <w:w w:val="115"/>
                        <w:sz w:val="21"/>
                      </w:rPr>
                      <w:t>be </w:t>
                    </w:r>
                    <w:r>
                      <w:rPr>
                        <w:spacing w:val="-3"/>
                        <w:w w:val="115"/>
                        <w:sz w:val="21"/>
                      </w:rPr>
                      <w:t>available </w:t>
                    </w:r>
                    <w:r>
                      <w:rPr>
                        <w:w w:val="115"/>
                        <w:sz w:val="21"/>
                      </w:rPr>
                      <w:t>for distribution </w:t>
                    </w:r>
                    <w:r>
                      <w:rPr>
                        <w:spacing w:val="-3"/>
                        <w:w w:val="115"/>
                        <w:sz w:val="21"/>
                      </w:rPr>
                      <w:t>will </w:t>
                    </w:r>
                    <w:r>
                      <w:rPr>
                        <w:w w:val="115"/>
                        <w:sz w:val="21"/>
                      </w:rPr>
                      <w:t>be less</w:t>
                    </w:r>
                    <w:r>
                      <w:rPr>
                        <w:spacing w:val="-31"/>
                        <w:w w:val="115"/>
                        <w:sz w:val="21"/>
                      </w:rPr>
                      <w:t> </w:t>
                    </w:r>
                    <w:r>
                      <w:rPr>
                        <w:w w:val="115"/>
                        <w:sz w:val="21"/>
                      </w:rPr>
                      <w:t>than</w:t>
                    </w:r>
                  </w:p>
                  <w:p>
                    <w:pPr>
                      <w:spacing w:before="2"/>
                      <w:ind w:left="340" w:right="0" w:firstLine="0"/>
                      <w:jc w:val="left"/>
                      <w:rPr>
                        <w:sz w:val="21"/>
                      </w:rPr>
                    </w:pPr>
                    <w:r>
                      <w:rPr>
                        <w:w w:val="115"/>
                        <w:sz w:val="21"/>
                      </w:rPr>
                      <w:t>$500,000, and</w:t>
                    </w:r>
                  </w:p>
                  <w:p>
                    <w:pPr>
                      <w:numPr>
                        <w:ilvl w:val="0"/>
                        <w:numId w:val="102"/>
                      </w:numPr>
                      <w:tabs>
                        <w:tab w:pos="341" w:val="left" w:leader="none"/>
                      </w:tabs>
                      <w:spacing w:before="124"/>
                      <w:ind w:left="340" w:right="0" w:hanging="340"/>
                      <w:jc w:val="left"/>
                      <w:rPr>
                        <w:sz w:val="21"/>
                      </w:rPr>
                    </w:pPr>
                    <w:r>
                      <w:rPr>
                        <w:w w:val="115"/>
                        <w:sz w:val="21"/>
                      </w:rPr>
                      <w:t>it is in the interests of justice to do</w:t>
                    </w:r>
                    <w:r>
                      <w:rPr>
                        <w:spacing w:val="-3"/>
                        <w:w w:val="115"/>
                        <w:sz w:val="21"/>
                      </w:rPr>
                      <w:t> </w:t>
                    </w:r>
                    <w:r>
                      <w:rPr>
                        <w:w w:val="115"/>
                        <w:sz w:val="21"/>
                      </w:rPr>
                      <w:t>so.</w:t>
                    </w:r>
                  </w:p>
                  <w:p>
                    <w:pPr>
                      <w:spacing w:line="242" w:lineRule="auto" w:before="121"/>
                      <w:ind w:left="0" w:right="0" w:firstLine="0"/>
                      <w:jc w:val="left"/>
                      <w:rPr>
                        <w:sz w:val="21"/>
                      </w:rPr>
                    </w:pPr>
                    <w:r>
                      <w:rPr>
                        <w:w w:val="110"/>
                        <w:sz w:val="21"/>
                      </w:rPr>
                      <w:t>The</w:t>
                    </w:r>
                    <w:r>
                      <w:rPr>
                        <w:spacing w:val="-24"/>
                        <w:w w:val="110"/>
                        <w:sz w:val="21"/>
                      </w:rPr>
                      <w:t> </w:t>
                    </w:r>
                    <w:r>
                      <w:rPr>
                        <w:w w:val="110"/>
                        <w:sz w:val="21"/>
                      </w:rPr>
                      <w:t>County</w:t>
                    </w:r>
                    <w:r>
                      <w:rPr>
                        <w:spacing w:val="-24"/>
                        <w:w w:val="110"/>
                        <w:sz w:val="21"/>
                      </w:rPr>
                      <w:t> </w:t>
                    </w:r>
                    <w:r>
                      <w:rPr>
                        <w:w w:val="110"/>
                        <w:sz w:val="21"/>
                      </w:rPr>
                      <w:t>Court</w:t>
                    </w:r>
                    <w:r>
                      <w:rPr>
                        <w:spacing w:val="-23"/>
                        <w:w w:val="110"/>
                        <w:sz w:val="21"/>
                      </w:rPr>
                      <w:t> </w:t>
                    </w:r>
                    <w:r>
                      <w:rPr>
                        <w:w w:val="110"/>
                        <w:sz w:val="21"/>
                      </w:rPr>
                      <w:t>should</w:t>
                    </w:r>
                    <w:r>
                      <w:rPr>
                        <w:spacing w:val="-24"/>
                        <w:w w:val="110"/>
                        <w:sz w:val="21"/>
                      </w:rPr>
                      <w:t> </w:t>
                    </w:r>
                    <w:r>
                      <w:rPr>
                        <w:w w:val="110"/>
                        <w:sz w:val="21"/>
                      </w:rPr>
                      <w:t>consider</w:t>
                    </w:r>
                    <w:r>
                      <w:rPr>
                        <w:spacing w:val="-23"/>
                        <w:w w:val="110"/>
                        <w:sz w:val="21"/>
                      </w:rPr>
                      <w:t> </w:t>
                    </w:r>
                    <w:r>
                      <w:rPr>
                        <w:w w:val="110"/>
                        <w:sz w:val="21"/>
                      </w:rPr>
                      <w:t>whether</w:t>
                    </w:r>
                    <w:r>
                      <w:rPr>
                        <w:spacing w:val="-24"/>
                        <w:w w:val="110"/>
                        <w:sz w:val="21"/>
                      </w:rPr>
                      <w:t> </w:t>
                    </w:r>
                    <w:r>
                      <w:rPr>
                        <w:w w:val="110"/>
                        <w:sz w:val="21"/>
                      </w:rPr>
                      <w:t>its</w:t>
                    </w:r>
                    <w:r>
                      <w:rPr>
                        <w:spacing w:val="-23"/>
                        <w:w w:val="110"/>
                        <w:sz w:val="21"/>
                      </w:rPr>
                      <w:t> </w:t>
                    </w:r>
                    <w:r>
                      <w:rPr>
                        <w:rFonts w:ascii="Lucida Sans"/>
                        <w:i/>
                        <w:w w:val="110"/>
                        <w:sz w:val="21"/>
                      </w:rPr>
                      <w:t>County</w:t>
                    </w:r>
                    <w:r>
                      <w:rPr>
                        <w:rFonts w:ascii="Lucida Sans"/>
                        <w:i/>
                        <w:spacing w:val="-45"/>
                        <w:w w:val="110"/>
                        <w:sz w:val="21"/>
                      </w:rPr>
                      <w:t> </w:t>
                    </w:r>
                    <w:r>
                      <w:rPr>
                        <w:rFonts w:ascii="Lucida Sans"/>
                        <w:i/>
                        <w:w w:val="110"/>
                        <w:sz w:val="21"/>
                      </w:rPr>
                      <w:t>Court</w:t>
                    </w:r>
                    <w:r>
                      <w:rPr>
                        <w:rFonts w:ascii="Lucida Sans"/>
                        <w:i/>
                        <w:spacing w:val="-44"/>
                        <w:w w:val="110"/>
                        <w:sz w:val="21"/>
                      </w:rPr>
                      <w:t> </w:t>
                    </w:r>
                    <w:r>
                      <w:rPr>
                        <w:rFonts w:ascii="Lucida Sans"/>
                        <w:i/>
                        <w:w w:val="110"/>
                        <w:sz w:val="21"/>
                      </w:rPr>
                      <w:t>Civil</w:t>
                    </w:r>
                    <w:r>
                      <w:rPr>
                        <w:rFonts w:ascii="Lucida Sans"/>
                        <w:i/>
                        <w:spacing w:val="-44"/>
                        <w:w w:val="110"/>
                        <w:sz w:val="21"/>
                      </w:rPr>
                      <w:t> </w:t>
                    </w:r>
                    <w:r>
                      <w:rPr>
                        <w:rFonts w:ascii="Lucida Sans"/>
                        <w:i/>
                        <w:w w:val="110"/>
                        <w:sz w:val="21"/>
                      </w:rPr>
                      <w:t>Procedure </w:t>
                    </w:r>
                    <w:r>
                      <w:rPr>
                        <w:rFonts w:ascii="Lucida Sans"/>
                        <w:i/>
                        <w:w w:val="110"/>
                        <w:sz w:val="21"/>
                      </w:rPr>
                      <w:t>Rules 2008 </w:t>
                    </w:r>
                    <w:r>
                      <w:rPr>
                        <w:w w:val="110"/>
                        <w:sz w:val="21"/>
                      </w:rPr>
                      <w:t>(Vic) should provide that summary determination of a </w:t>
                    </w:r>
                    <w:r>
                      <w:rPr>
                        <w:spacing w:val="-3"/>
                        <w:w w:val="110"/>
                        <w:sz w:val="21"/>
                      </w:rPr>
                      <w:t>family </w:t>
                    </w:r>
                    <w:r>
                      <w:rPr>
                        <w:w w:val="110"/>
                        <w:sz w:val="21"/>
                      </w:rPr>
                      <w:t>provision</w:t>
                    </w:r>
                    <w:r>
                      <w:rPr>
                        <w:spacing w:val="3"/>
                        <w:w w:val="110"/>
                        <w:sz w:val="21"/>
                      </w:rPr>
                      <w:t> </w:t>
                    </w:r>
                    <w:r>
                      <w:rPr>
                        <w:w w:val="110"/>
                        <w:sz w:val="21"/>
                      </w:rPr>
                      <w:t>application:</w:t>
                    </w:r>
                  </w:p>
                  <w:p>
                    <w:pPr>
                      <w:numPr>
                        <w:ilvl w:val="0"/>
                        <w:numId w:val="103"/>
                      </w:numPr>
                      <w:tabs>
                        <w:tab w:pos="341" w:val="left" w:leader="none"/>
                      </w:tabs>
                      <w:spacing w:before="120"/>
                      <w:ind w:left="340" w:right="0" w:hanging="340"/>
                      <w:jc w:val="left"/>
                      <w:rPr>
                        <w:sz w:val="21"/>
                      </w:rPr>
                    </w:pPr>
                    <w:r>
                      <w:rPr>
                        <w:w w:val="115"/>
                        <w:sz w:val="21"/>
                      </w:rPr>
                      <w:t>is</w:t>
                    </w:r>
                    <w:r>
                      <w:rPr>
                        <w:spacing w:val="-7"/>
                        <w:w w:val="115"/>
                        <w:sz w:val="21"/>
                      </w:rPr>
                      <w:t> </w:t>
                    </w:r>
                    <w:r>
                      <w:rPr>
                        <w:w w:val="115"/>
                        <w:sz w:val="21"/>
                      </w:rPr>
                      <w:t>to</w:t>
                    </w:r>
                    <w:r>
                      <w:rPr>
                        <w:spacing w:val="-7"/>
                        <w:w w:val="115"/>
                        <w:sz w:val="21"/>
                      </w:rPr>
                      <w:t> </w:t>
                    </w:r>
                    <w:r>
                      <w:rPr>
                        <w:w w:val="115"/>
                        <w:sz w:val="21"/>
                      </w:rPr>
                      <w:t>proceed</w:t>
                    </w:r>
                    <w:r>
                      <w:rPr>
                        <w:spacing w:val="-7"/>
                        <w:w w:val="115"/>
                        <w:sz w:val="21"/>
                      </w:rPr>
                      <w:t> </w:t>
                    </w:r>
                    <w:r>
                      <w:rPr>
                        <w:w w:val="115"/>
                        <w:sz w:val="21"/>
                      </w:rPr>
                      <w:t>in</w:t>
                    </w:r>
                    <w:r>
                      <w:rPr>
                        <w:spacing w:val="-7"/>
                        <w:w w:val="115"/>
                        <w:sz w:val="21"/>
                      </w:rPr>
                      <w:t> </w:t>
                    </w:r>
                    <w:r>
                      <w:rPr>
                        <w:w w:val="115"/>
                        <w:sz w:val="21"/>
                      </w:rPr>
                      <w:t>accordance</w:t>
                    </w:r>
                    <w:r>
                      <w:rPr>
                        <w:spacing w:val="-7"/>
                        <w:w w:val="115"/>
                        <w:sz w:val="21"/>
                      </w:rPr>
                      <w:t> </w:t>
                    </w:r>
                    <w:r>
                      <w:rPr>
                        <w:w w:val="115"/>
                        <w:sz w:val="21"/>
                      </w:rPr>
                      <w:t>with</w:t>
                    </w:r>
                    <w:r>
                      <w:rPr>
                        <w:spacing w:val="-7"/>
                        <w:w w:val="115"/>
                        <w:sz w:val="21"/>
                      </w:rPr>
                      <w:t> </w:t>
                    </w:r>
                    <w:r>
                      <w:rPr>
                        <w:w w:val="115"/>
                        <w:sz w:val="21"/>
                      </w:rPr>
                      <w:t>such</w:t>
                    </w:r>
                    <w:r>
                      <w:rPr>
                        <w:spacing w:val="-7"/>
                        <w:w w:val="115"/>
                        <w:sz w:val="21"/>
                      </w:rPr>
                      <w:t> </w:t>
                    </w:r>
                    <w:r>
                      <w:rPr>
                        <w:w w:val="115"/>
                        <w:sz w:val="21"/>
                      </w:rPr>
                      <w:t>directions</w:t>
                    </w:r>
                    <w:r>
                      <w:rPr>
                        <w:spacing w:val="-7"/>
                        <w:w w:val="115"/>
                        <w:sz w:val="21"/>
                      </w:rPr>
                      <w:t> </w:t>
                    </w:r>
                    <w:r>
                      <w:rPr>
                        <w:w w:val="115"/>
                        <w:sz w:val="21"/>
                      </w:rPr>
                      <w:t>as</w:t>
                    </w:r>
                    <w:r>
                      <w:rPr>
                        <w:spacing w:val="-7"/>
                        <w:w w:val="115"/>
                        <w:sz w:val="21"/>
                      </w:rPr>
                      <w:t> </w:t>
                    </w:r>
                    <w:r>
                      <w:rPr>
                        <w:w w:val="115"/>
                        <w:sz w:val="21"/>
                      </w:rPr>
                      <w:t>are</w:t>
                    </w:r>
                    <w:r>
                      <w:rPr>
                        <w:spacing w:val="-7"/>
                        <w:w w:val="115"/>
                        <w:sz w:val="21"/>
                      </w:rPr>
                      <w:t> </w:t>
                    </w:r>
                    <w:r>
                      <w:rPr>
                        <w:w w:val="115"/>
                        <w:sz w:val="21"/>
                      </w:rPr>
                      <w:t>given</w:t>
                    </w:r>
                    <w:r>
                      <w:rPr>
                        <w:spacing w:val="-7"/>
                        <w:w w:val="115"/>
                        <w:sz w:val="21"/>
                      </w:rPr>
                      <w:t> </w:t>
                    </w:r>
                    <w:r>
                      <w:rPr>
                        <w:w w:val="115"/>
                        <w:sz w:val="21"/>
                      </w:rPr>
                      <w:t>by</w:t>
                    </w:r>
                    <w:r>
                      <w:rPr>
                        <w:spacing w:val="-7"/>
                        <w:w w:val="115"/>
                        <w:sz w:val="21"/>
                      </w:rPr>
                      <w:t> </w:t>
                    </w:r>
                    <w:r>
                      <w:rPr>
                        <w:w w:val="115"/>
                        <w:sz w:val="21"/>
                      </w:rPr>
                      <w:t>the</w:t>
                    </w:r>
                    <w:r>
                      <w:rPr>
                        <w:spacing w:val="-7"/>
                        <w:w w:val="115"/>
                        <w:sz w:val="21"/>
                      </w:rPr>
                      <w:t> </w:t>
                    </w:r>
                    <w:r>
                      <w:rPr>
                        <w:w w:val="115"/>
                        <w:sz w:val="21"/>
                      </w:rPr>
                      <w:t>Court</w:t>
                    </w:r>
                  </w:p>
                  <w:p>
                    <w:pPr>
                      <w:numPr>
                        <w:ilvl w:val="0"/>
                        <w:numId w:val="103"/>
                      </w:numPr>
                      <w:tabs>
                        <w:tab w:pos="341" w:val="left" w:leader="none"/>
                      </w:tabs>
                      <w:spacing w:line="242" w:lineRule="auto" w:before="124"/>
                      <w:ind w:left="340" w:right="619" w:hanging="340"/>
                      <w:jc w:val="left"/>
                      <w:rPr>
                        <w:sz w:val="21"/>
                      </w:rPr>
                    </w:pPr>
                    <w:r>
                      <w:rPr>
                        <w:w w:val="115"/>
                        <w:sz w:val="21"/>
                      </w:rPr>
                      <w:t>may</w:t>
                    </w:r>
                    <w:r>
                      <w:rPr>
                        <w:spacing w:val="-8"/>
                        <w:w w:val="115"/>
                        <w:sz w:val="21"/>
                      </w:rPr>
                      <w:t> </w:t>
                    </w:r>
                    <w:r>
                      <w:rPr>
                        <w:w w:val="115"/>
                        <w:sz w:val="21"/>
                      </w:rPr>
                      <w:t>be</w:t>
                    </w:r>
                    <w:r>
                      <w:rPr>
                        <w:spacing w:val="-8"/>
                        <w:w w:val="115"/>
                        <w:sz w:val="21"/>
                      </w:rPr>
                      <w:t> </w:t>
                    </w:r>
                    <w:r>
                      <w:rPr>
                        <w:w w:val="115"/>
                        <w:sz w:val="21"/>
                      </w:rPr>
                      <w:t>on</w:t>
                    </w:r>
                    <w:r>
                      <w:rPr>
                        <w:spacing w:val="-8"/>
                        <w:w w:val="115"/>
                        <w:sz w:val="21"/>
                      </w:rPr>
                      <w:t> </w:t>
                    </w:r>
                    <w:r>
                      <w:rPr>
                        <w:w w:val="115"/>
                        <w:sz w:val="21"/>
                      </w:rPr>
                      <w:t>the</w:t>
                    </w:r>
                    <w:r>
                      <w:rPr>
                        <w:spacing w:val="-8"/>
                        <w:w w:val="115"/>
                        <w:sz w:val="21"/>
                      </w:rPr>
                      <w:t> </w:t>
                    </w:r>
                    <w:r>
                      <w:rPr>
                        <w:w w:val="115"/>
                        <w:sz w:val="21"/>
                      </w:rPr>
                      <w:t>basis</w:t>
                    </w:r>
                    <w:r>
                      <w:rPr>
                        <w:spacing w:val="-7"/>
                        <w:w w:val="115"/>
                        <w:sz w:val="21"/>
                      </w:rPr>
                      <w:t> </w:t>
                    </w:r>
                    <w:r>
                      <w:rPr>
                        <w:w w:val="115"/>
                        <w:sz w:val="21"/>
                      </w:rPr>
                      <w:t>of</w:t>
                    </w:r>
                    <w:r>
                      <w:rPr>
                        <w:spacing w:val="-8"/>
                        <w:w w:val="115"/>
                        <w:sz w:val="21"/>
                      </w:rPr>
                      <w:t> </w:t>
                    </w:r>
                    <w:r>
                      <w:rPr>
                        <w:w w:val="115"/>
                        <w:sz w:val="21"/>
                      </w:rPr>
                      <w:t>evidence</w:t>
                    </w:r>
                    <w:r>
                      <w:rPr>
                        <w:spacing w:val="-8"/>
                        <w:w w:val="115"/>
                        <w:sz w:val="21"/>
                      </w:rPr>
                      <w:t> </w:t>
                    </w:r>
                    <w:r>
                      <w:rPr>
                        <w:w w:val="115"/>
                        <w:sz w:val="21"/>
                      </w:rPr>
                      <w:t>that</w:t>
                    </w:r>
                    <w:r>
                      <w:rPr>
                        <w:spacing w:val="-8"/>
                        <w:w w:val="115"/>
                        <w:sz w:val="21"/>
                      </w:rPr>
                      <w:t> </w:t>
                    </w:r>
                    <w:r>
                      <w:rPr>
                        <w:w w:val="115"/>
                        <w:sz w:val="21"/>
                      </w:rPr>
                      <w:t>does</w:t>
                    </w:r>
                    <w:r>
                      <w:rPr>
                        <w:spacing w:val="-8"/>
                        <w:w w:val="115"/>
                        <w:sz w:val="21"/>
                      </w:rPr>
                      <w:t> </w:t>
                    </w:r>
                    <w:r>
                      <w:rPr>
                        <w:w w:val="115"/>
                        <w:sz w:val="21"/>
                      </w:rPr>
                      <w:t>not</w:t>
                    </w:r>
                    <w:r>
                      <w:rPr>
                        <w:spacing w:val="-7"/>
                        <w:w w:val="115"/>
                        <w:sz w:val="21"/>
                      </w:rPr>
                      <w:t> </w:t>
                    </w:r>
                    <w:r>
                      <w:rPr>
                        <w:w w:val="115"/>
                        <w:sz w:val="21"/>
                      </w:rPr>
                      <w:t>conform</w:t>
                    </w:r>
                    <w:r>
                      <w:rPr>
                        <w:spacing w:val="-8"/>
                        <w:w w:val="115"/>
                        <w:sz w:val="21"/>
                      </w:rPr>
                      <w:t> </w:t>
                    </w:r>
                    <w:r>
                      <w:rPr>
                        <w:w w:val="115"/>
                        <w:sz w:val="21"/>
                      </w:rPr>
                      <w:t>with</w:t>
                    </w:r>
                    <w:r>
                      <w:rPr>
                        <w:spacing w:val="-8"/>
                        <w:w w:val="115"/>
                        <w:sz w:val="21"/>
                      </w:rPr>
                      <w:t> </w:t>
                    </w:r>
                    <w:r>
                      <w:rPr>
                        <w:w w:val="115"/>
                        <w:sz w:val="21"/>
                      </w:rPr>
                      <w:t>the</w:t>
                    </w:r>
                    <w:r>
                      <w:rPr>
                        <w:spacing w:val="-8"/>
                        <w:w w:val="115"/>
                        <w:sz w:val="21"/>
                      </w:rPr>
                      <w:t> </w:t>
                    </w:r>
                    <w:r>
                      <w:rPr>
                        <w:w w:val="115"/>
                        <w:sz w:val="21"/>
                      </w:rPr>
                      <w:t>rules of evidence</w:t>
                    </w:r>
                  </w:p>
                  <w:p>
                    <w:pPr>
                      <w:numPr>
                        <w:ilvl w:val="0"/>
                        <w:numId w:val="103"/>
                      </w:numPr>
                      <w:tabs>
                        <w:tab w:pos="341" w:val="left" w:leader="none"/>
                      </w:tabs>
                      <w:spacing w:line="242" w:lineRule="auto" w:before="122"/>
                      <w:ind w:left="340" w:right="135" w:hanging="340"/>
                      <w:jc w:val="left"/>
                      <w:rPr>
                        <w:sz w:val="21"/>
                      </w:rPr>
                    </w:pPr>
                    <w:r>
                      <w:rPr>
                        <w:w w:val="115"/>
                        <w:sz w:val="21"/>
                      </w:rPr>
                      <w:t>is</w:t>
                    </w:r>
                    <w:r>
                      <w:rPr>
                        <w:spacing w:val="-8"/>
                        <w:w w:val="115"/>
                        <w:sz w:val="21"/>
                      </w:rPr>
                      <w:t> </w:t>
                    </w:r>
                    <w:r>
                      <w:rPr>
                        <w:w w:val="115"/>
                        <w:sz w:val="21"/>
                      </w:rPr>
                      <w:t>to</w:t>
                    </w:r>
                    <w:r>
                      <w:rPr>
                        <w:spacing w:val="-8"/>
                        <w:w w:val="115"/>
                        <w:sz w:val="21"/>
                      </w:rPr>
                      <w:t> </w:t>
                    </w:r>
                    <w:r>
                      <w:rPr>
                        <w:spacing w:val="-3"/>
                        <w:w w:val="115"/>
                        <w:sz w:val="21"/>
                      </w:rPr>
                      <w:t>have</w:t>
                    </w:r>
                    <w:r>
                      <w:rPr>
                        <w:spacing w:val="-8"/>
                        <w:w w:val="115"/>
                        <w:sz w:val="21"/>
                      </w:rPr>
                      <w:t> </w:t>
                    </w:r>
                    <w:r>
                      <w:rPr>
                        <w:w w:val="115"/>
                        <w:sz w:val="21"/>
                      </w:rPr>
                      <w:t>as</w:t>
                    </w:r>
                    <w:r>
                      <w:rPr>
                        <w:spacing w:val="-8"/>
                        <w:w w:val="115"/>
                        <w:sz w:val="21"/>
                      </w:rPr>
                      <w:t> </w:t>
                    </w:r>
                    <w:r>
                      <w:rPr>
                        <w:w w:val="115"/>
                        <w:sz w:val="21"/>
                      </w:rPr>
                      <w:t>a</w:t>
                    </w:r>
                    <w:r>
                      <w:rPr>
                        <w:spacing w:val="-8"/>
                        <w:w w:val="115"/>
                        <w:sz w:val="21"/>
                      </w:rPr>
                      <w:t> </w:t>
                    </w:r>
                    <w:r>
                      <w:rPr>
                        <w:w w:val="115"/>
                        <w:sz w:val="21"/>
                      </w:rPr>
                      <w:t>primary</w:t>
                    </w:r>
                    <w:r>
                      <w:rPr>
                        <w:spacing w:val="-8"/>
                        <w:w w:val="115"/>
                        <w:sz w:val="21"/>
                      </w:rPr>
                      <w:t> </w:t>
                    </w:r>
                    <w:r>
                      <w:rPr>
                        <w:w w:val="115"/>
                        <w:sz w:val="21"/>
                      </w:rPr>
                      <w:t>object</w:t>
                    </w:r>
                    <w:r>
                      <w:rPr>
                        <w:spacing w:val="-8"/>
                        <w:w w:val="115"/>
                        <w:sz w:val="21"/>
                      </w:rPr>
                      <w:t> </w:t>
                    </w:r>
                    <w:r>
                      <w:rPr>
                        <w:w w:val="115"/>
                        <w:sz w:val="21"/>
                      </w:rPr>
                      <w:t>the</w:t>
                    </w:r>
                    <w:r>
                      <w:rPr>
                        <w:spacing w:val="-8"/>
                        <w:w w:val="115"/>
                        <w:sz w:val="21"/>
                      </w:rPr>
                      <w:t> </w:t>
                    </w:r>
                    <w:r>
                      <w:rPr>
                        <w:w w:val="115"/>
                        <w:sz w:val="21"/>
                      </w:rPr>
                      <w:t>minimisation</w:t>
                    </w:r>
                    <w:r>
                      <w:rPr>
                        <w:spacing w:val="-8"/>
                        <w:w w:val="115"/>
                        <w:sz w:val="21"/>
                      </w:rPr>
                      <w:t> </w:t>
                    </w:r>
                    <w:r>
                      <w:rPr>
                        <w:w w:val="115"/>
                        <w:sz w:val="21"/>
                      </w:rPr>
                      <w:t>of</w:t>
                    </w:r>
                    <w:r>
                      <w:rPr>
                        <w:spacing w:val="-8"/>
                        <w:w w:val="115"/>
                        <w:sz w:val="21"/>
                      </w:rPr>
                      <w:t> </w:t>
                    </w:r>
                    <w:r>
                      <w:rPr>
                        <w:w w:val="115"/>
                        <w:sz w:val="21"/>
                      </w:rPr>
                      <w:t>costs</w:t>
                    </w:r>
                    <w:r>
                      <w:rPr>
                        <w:spacing w:val="-7"/>
                        <w:w w:val="115"/>
                        <w:sz w:val="21"/>
                      </w:rPr>
                      <w:t> </w:t>
                    </w:r>
                    <w:r>
                      <w:rPr>
                        <w:w w:val="115"/>
                        <w:sz w:val="21"/>
                      </w:rPr>
                      <w:t>and</w:t>
                    </w:r>
                    <w:r>
                      <w:rPr>
                        <w:spacing w:val="-8"/>
                        <w:w w:val="115"/>
                        <w:sz w:val="21"/>
                      </w:rPr>
                      <w:t> </w:t>
                    </w:r>
                    <w:r>
                      <w:rPr>
                        <w:w w:val="115"/>
                        <w:sz w:val="21"/>
                      </w:rPr>
                      <w:t>an</w:t>
                    </w:r>
                    <w:r>
                      <w:rPr>
                        <w:spacing w:val="-8"/>
                        <w:w w:val="115"/>
                        <w:sz w:val="21"/>
                      </w:rPr>
                      <w:t> </w:t>
                    </w:r>
                    <w:r>
                      <w:rPr>
                        <w:w w:val="115"/>
                        <w:sz w:val="21"/>
                      </w:rPr>
                      <w:t>expeditious but just resolution of the</w:t>
                    </w:r>
                    <w:r>
                      <w:rPr>
                        <w:spacing w:val="2"/>
                        <w:w w:val="115"/>
                        <w:sz w:val="21"/>
                      </w:rPr>
                      <w:t> </w:t>
                    </w:r>
                    <w:r>
                      <w:rPr>
                        <w:w w:val="115"/>
                        <w:sz w:val="21"/>
                      </w:rPr>
                      <w:t>action.</w:t>
                    </w:r>
                  </w:p>
                </w:txbxContent>
              </v:textbox>
              <w10:wrap type="none"/>
            </v:shape>
            <v:shape style="position:absolute;left:1814;top:1212;width:257;height:2430" type="#_x0000_t202" filled="false" stroked="false">
              <v:textbox inset="0,0,0,0">
                <w:txbxContent>
                  <w:p>
                    <w:pPr>
                      <w:spacing w:line="253" w:lineRule="exact" w:before="0"/>
                      <w:ind w:left="0" w:right="0" w:firstLine="0"/>
                      <w:jc w:val="left"/>
                      <w:rPr>
                        <w:sz w:val="21"/>
                      </w:rPr>
                    </w:pPr>
                    <w:r>
                      <w:rPr>
                        <w:w w:val="110"/>
                        <w:sz w:val="21"/>
                      </w:rPr>
                      <w:t>45</w:t>
                    </w: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52" w:lineRule="exact" w:before="166"/>
                      <w:ind w:left="0" w:right="0" w:firstLine="0"/>
                      <w:jc w:val="left"/>
                      <w:rPr>
                        <w:sz w:val="21"/>
                      </w:rPr>
                    </w:pPr>
                    <w:r>
                      <w:rPr>
                        <w:w w:val="110"/>
                        <w:sz w:val="21"/>
                      </w:rPr>
                      <w:t>46</w:t>
                    </w:r>
                  </w:p>
                </w:txbxContent>
              </v:textbox>
              <w10:wrap type="none"/>
            </v:shape>
            <v:shape style="position:absolute;left:1587;top:224;width:8731;height:726" type="#_x0000_t202" filled="true" fillcolor="#fdebea" stroked="false">
              <v:textbox inset="0,0,0,0">
                <w:txbxContent>
                  <w:p>
                    <w:pPr>
                      <w:spacing w:before="166"/>
                      <w:ind w:left="226" w:right="0" w:firstLine="0"/>
                      <w:jc w:val="left"/>
                      <w:rPr>
                        <w:b/>
                        <w:sz w:val="32"/>
                      </w:rPr>
                    </w:pPr>
                    <w:r>
                      <w:rPr>
                        <w:b/>
                        <w:color w:val="EC5A4F"/>
                        <w:w w:val="110"/>
                        <w:sz w:val="32"/>
                      </w:rPr>
                      <w:t>Recommendations</w:t>
                    </w:r>
                  </w:p>
                </w:txbxContent>
              </v:textbox>
              <v:fill type="solid"/>
              <w10:wrap type="none"/>
            </v:shape>
            <w10:wrap type="topAndBottom"/>
          </v:group>
        </w:pict>
      </w:r>
      <w:r>
        <w:rPr/>
        <w:pict>
          <v:line style="position:absolute;mso-position-horizontal-relative:page;mso-position-vertical-relative:paragraph;z-index:8024;mso-wrap-distance-left:0;mso-wrap-distance-right:0" from="79.370102pt,310.145569pt" to="515.905102pt,310.145569pt" stroked="true" strokeweight="1pt" strokecolor="#f9ceca">
            <v:stroke dashstyle="solid"/>
            <w10:wrap type="topAndBottom"/>
          </v:line>
        </w:pict>
      </w:r>
    </w:p>
    <w:p>
      <w:pPr>
        <w:pStyle w:val="BodyText"/>
        <w:spacing w:before="7"/>
        <w:rPr>
          <w:sz w:val="10"/>
        </w:rPr>
      </w:pPr>
    </w:p>
    <w:p>
      <w:pPr>
        <w:pStyle w:val="BodyText"/>
        <w:spacing w:before="8"/>
        <w:rPr>
          <w:sz w:val="5"/>
        </w:rPr>
      </w:pPr>
    </w:p>
    <w:p>
      <w:pPr>
        <w:spacing w:after="0"/>
        <w:rPr>
          <w:sz w:val="5"/>
        </w:rPr>
        <w:sectPr>
          <w:pgSz w:w="11910" w:h="16840"/>
          <w:pgMar w:header="550" w:footer="0" w:top="1560" w:bottom="280" w:left="0" w:right="0"/>
        </w:sectPr>
      </w:pPr>
    </w:p>
    <w:p>
      <w:pPr>
        <w:pStyle w:val="BodyText"/>
        <w:spacing w:before="9"/>
        <w:rPr>
          <w:sz w:val="22"/>
        </w:rPr>
      </w:pPr>
    </w:p>
    <w:p>
      <w:pPr>
        <w:spacing w:before="0"/>
        <w:ind w:left="720" w:right="0" w:firstLine="0"/>
        <w:jc w:val="left"/>
        <w:rPr>
          <w:b/>
          <w:sz w:val="24"/>
        </w:rPr>
      </w:pPr>
      <w:r>
        <w:rPr>
          <w:b/>
          <w:color w:val="EC5A4F"/>
          <w:spacing w:val="-4"/>
          <w:w w:val="110"/>
          <w:sz w:val="24"/>
        </w:rPr>
        <w:t>128</w:t>
      </w:r>
    </w:p>
    <w:p>
      <w:pPr>
        <w:pStyle w:val="ListParagraph"/>
        <w:numPr>
          <w:ilvl w:val="0"/>
          <w:numId w:val="101"/>
        </w:numPr>
        <w:tabs>
          <w:tab w:pos="1230" w:val="left" w:leader="none"/>
          <w:tab w:pos="1231" w:val="left" w:leader="none"/>
        </w:tabs>
        <w:spacing w:line="240" w:lineRule="auto" w:before="48" w:after="0"/>
        <w:ind w:left="1230" w:right="0" w:hanging="794"/>
        <w:jc w:val="left"/>
        <w:rPr>
          <w:sz w:val="13"/>
        </w:rPr>
      </w:pPr>
      <w:r>
        <w:rPr>
          <w:spacing w:val="-3"/>
          <w:w w:val="125"/>
          <w:sz w:val="13"/>
        </w:rPr>
        <w:br w:type="column"/>
      </w:r>
      <w:r>
        <w:rPr>
          <w:w w:val="105"/>
          <w:sz w:val="13"/>
        </w:rPr>
        <w:t>Consultation 24 (Supreme Court of South</w:t>
      </w:r>
      <w:r>
        <w:rPr>
          <w:spacing w:val="28"/>
          <w:w w:val="105"/>
          <w:sz w:val="13"/>
        </w:rPr>
        <w:t> </w:t>
      </w:r>
      <w:r>
        <w:rPr>
          <w:w w:val="105"/>
          <w:sz w:val="13"/>
        </w:rPr>
        <w:t>Australia).</w:t>
      </w:r>
    </w:p>
    <w:p>
      <w:pPr>
        <w:pStyle w:val="ListParagraph"/>
        <w:numPr>
          <w:ilvl w:val="0"/>
          <w:numId w:val="101"/>
        </w:numPr>
        <w:tabs>
          <w:tab w:pos="1230" w:val="left" w:leader="none"/>
          <w:tab w:pos="1231" w:val="left" w:leader="none"/>
        </w:tabs>
        <w:spacing w:line="240" w:lineRule="auto" w:before="1" w:after="0"/>
        <w:ind w:left="1230" w:right="0" w:hanging="794"/>
        <w:jc w:val="left"/>
        <w:rPr>
          <w:sz w:val="13"/>
        </w:rPr>
      </w:pPr>
      <w:r>
        <w:rPr>
          <w:i/>
          <w:w w:val="105"/>
          <w:sz w:val="13"/>
        </w:rPr>
        <w:t>Supreme Court Civil Rules 2006 </w:t>
      </w:r>
      <w:r>
        <w:rPr>
          <w:spacing w:val="2"/>
          <w:w w:val="105"/>
          <w:sz w:val="13"/>
        </w:rPr>
        <w:t>(SA) </w:t>
      </w:r>
      <w:r>
        <w:rPr>
          <w:w w:val="105"/>
          <w:sz w:val="13"/>
        </w:rPr>
        <w:t>r</w:t>
      </w:r>
      <w:r>
        <w:rPr>
          <w:spacing w:val="26"/>
          <w:w w:val="105"/>
          <w:sz w:val="13"/>
        </w:rPr>
        <w:t> </w:t>
      </w:r>
      <w:r>
        <w:rPr>
          <w:w w:val="105"/>
          <w:sz w:val="13"/>
        </w:rPr>
        <w:t>312(13).</w:t>
      </w:r>
    </w:p>
    <w:p>
      <w:pPr>
        <w:pStyle w:val="ListParagraph"/>
        <w:numPr>
          <w:ilvl w:val="0"/>
          <w:numId w:val="101"/>
        </w:numPr>
        <w:tabs>
          <w:tab w:pos="1230" w:val="left" w:leader="none"/>
          <w:tab w:pos="1231" w:val="left" w:leader="none"/>
        </w:tabs>
        <w:spacing w:line="240" w:lineRule="auto" w:before="2" w:after="0"/>
        <w:ind w:left="1230" w:right="0" w:hanging="794"/>
        <w:jc w:val="left"/>
        <w:rPr>
          <w:sz w:val="13"/>
        </w:rPr>
      </w:pPr>
      <w:r>
        <w:rPr>
          <w:sz w:val="13"/>
        </w:rPr>
        <w:t>See</w:t>
      </w:r>
      <w:r>
        <w:rPr>
          <w:spacing w:val="7"/>
          <w:sz w:val="13"/>
        </w:rPr>
        <w:t> </w:t>
      </w:r>
      <w:r>
        <w:rPr>
          <w:sz w:val="13"/>
        </w:rPr>
        <w:t>[6.115]–[6.117]</w:t>
      </w:r>
      <w:r>
        <w:rPr>
          <w:spacing w:val="8"/>
          <w:sz w:val="13"/>
        </w:rPr>
        <w:t> </w:t>
      </w:r>
      <w:r>
        <w:rPr>
          <w:sz w:val="13"/>
        </w:rPr>
        <w:t>above</w:t>
      </w:r>
      <w:r>
        <w:rPr>
          <w:spacing w:val="7"/>
          <w:sz w:val="13"/>
        </w:rPr>
        <w:t> </w:t>
      </w:r>
      <w:r>
        <w:rPr>
          <w:sz w:val="13"/>
        </w:rPr>
        <w:t>for</w:t>
      </w:r>
      <w:r>
        <w:rPr>
          <w:spacing w:val="8"/>
          <w:sz w:val="13"/>
        </w:rPr>
        <w:t> </w:t>
      </w:r>
      <w:r>
        <w:rPr>
          <w:sz w:val="13"/>
        </w:rPr>
        <w:t>the</w:t>
      </w:r>
      <w:r>
        <w:rPr>
          <w:spacing w:val="7"/>
          <w:sz w:val="13"/>
        </w:rPr>
        <w:t> </w:t>
      </w:r>
      <w:r>
        <w:rPr>
          <w:sz w:val="13"/>
        </w:rPr>
        <w:t>Commission’s</w:t>
      </w:r>
      <w:r>
        <w:rPr>
          <w:spacing w:val="8"/>
          <w:sz w:val="13"/>
        </w:rPr>
        <w:t> </w:t>
      </w:r>
      <w:r>
        <w:rPr>
          <w:sz w:val="13"/>
        </w:rPr>
        <w:t>recommendations</w:t>
      </w:r>
      <w:r>
        <w:rPr>
          <w:spacing w:val="8"/>
          <w:sz w:val="13"/>
        </w:rPr>
        <w:t> </w:t>
      </w:r>
      <w:r>
        <w:rPr>
          <w:sz w:val="13"/>
        </w:rPr>
        <w:t>in</w:t>
      </w:r>
      <w:r>
        <w:rPr>
          <w:spacing w:val="7"/>
          <w:sz w:val="13"/>
        </w:rPr>
        <w:t> </w:t>
      </w:r>
      <w:r>
        <w:rPr>
          <w:sz w:val="13"/>
        </w:rPr>
        <w:t>relation</w:t>
      </w:r>
      <w:r>
        <w:rPr>
          <w:spacing w:val="8"/>
          <w:sz w:val="13"/>
        </w:rPr>
        <w:t> </w:t>
      </w:r>
      <w:r>
        <w:rPr>
          <w:sz w:val="13"/>
        </w:rPr>
        <w:t>to</w:t>
      </w:r>
      <w:r>
        <w:rPr>
          <w:spacing w:val="7"/>
          <w:sz w:val="13"/>
        </w:rPr>
        <w:t> </w:t>
      </w:r>
      <w:r>
        <w:rPr>
          <w:sz w:val="13"/>
        </w:rPr>
        <w:t>costs</w:t>
      </w:r>
      <w:r>
        <w:rPr>
          <w:spacing w:val="8"/>
          <w:sz w:val="13"/>
        </w:rPr>
        <w:t> </w:t>
      </w:r>
      <w:r>
        <w:rPr>
          <w:sz w:val="13"/>
        </w:rPr>
        <w:t>rules.</w:t>
      </w:r>
    </w:p>
    <w:p>
      <w:pPr>
        <w:spacing w:after="0" w:line="240" w:lineRule="auto"/>
        <w:jc w:val="left"/>
        <w:rPr>
          <w:sz w:val="13"/>
        </w:rPr>
        <w:sectPr>
          <w:type w:val="continuous"/>
          <w:pgSz w:w="11910" w:h="16840"/>
          <w:pgMar w:top="920" w:bottom="280" w:left="0" w:right="0"/>
          <w:cols w:num="2" w:equalWidth="0">
            <w:col w:w="1111" w:space="40"/>
            <w:col w:w="10759"/>
          </w:cols>
        </w:sectPr>
      </w:pPr>
    </w:p>
    <w:p>
      <w:pPr>
        <w:pStyle w:val="BodyText"/>
        <w:rPr>
          <w:sz w:val="20"/>
        </w:rPr>
      </w:pPr>
    </w:p>
    <w:p>
      <w:pPr>
        <w:pStyle w:val="BodyText"/>
        <w:spacing w:before="11" w:after="1"/>
        <w:rPr>
          <w:sz w:val="29"/>
        </w:rPr>
      </w:pPr>
    </w:p>
    <w:p>
      <w:pPr>
        <w:pStyle w:val="BodyText"/>
        <w:ind w:left="1222"/>
        <w:rPr>
          <w:sz w:val="20"/>
        </w:rPr>
      </w:pPr>
      <w:r>
        <w:rPr>
          <w:sz w:val="20"/>
        </w:rPr>
        <w:pict>
          <v:group style="width:479.1pt;height:205.55pt;mso-position-horizontal-relative:char;mso-position-vertical-relative:line" coordorigin="0,0" coordsize="9582,4111">
            <v:rect style="position:absolute;left:340;top:0;width:8731;height:4111" filled="true" fillcolor="#fdebea" stroked="false">
              <v:fill type="solid"/>
            </v:rect>
            <v:line style="position:absolute" from="0,751" to="9581,751" stroked="true" strokeweight="2.5pt" strokecolor="#ffffff">
              <v:stroke dashstyle="solid"/>
            </v:line>
            <v:shape style="position:absolute;left:1133;top:987;width:7658;height:2950" type="#_x0000_t202" filled="false" stroked="false">
              <v:textbox inset="0,0,0,0">
                <w:txbxContent>
                  <w:p>
                    <w:pPr>
                      <w:spacing w:line="240" w:lineRule="auto" w:before="0"/>
                      <w:ind w:left="0" w:right="20" w:firstLine="0"/>
                      <w:jc w:val="left"/>
                      <w:rPr>
                        <w:sz w:val="21"/>
                      </w:rPr>
                    </w:pPr>
                    <w:bookmarkStart w:name="Other areas for reform raised in the Com" w:id="126"/>
                    <w:bookmarkEnd w:id="126"/>
                    <w:r>
                      <w:rPr/>
                    </w:r>
                    <w:r>
                      <w:rPr>
                        <w:w w:val="105"/>
                        <w:sz w:val="21"/>
                      </w:rPr>
                      <w:t>The County Court should consider including in its </w:t>
                    </w:r>
                    <w:r>
                      <w:rPr>
                        <w:rFonts w:ascii="Lucida Sans"/>
                        <w:i/>
                        <w:w w:val="105"/>
                        <w:sz w:val="21"/>
                      </w:rPr>
                      <w:t>County Court Civil Procedure </w:t>
                    </w:r>
                    <w:r>
                      <w:rPr>
                        <w:rFonts w:ascii="Lucida Sans"/>
                        <w:i/>
                        <w:w w:val="105"/>
                        <w:sz w:val="21"/>
                      </w:rPr>
                      <w:t>Rules 2008 </w:t>
                    </w:r>
                    <w:r>
                      <w:rPr>
                        <w:w w:val="105"/>
                        <w:sz w:val="21"/>
                      </w:rPr>
                      <w:t>(Vic) a rule that permits the Court to order a party to pay any</w:t>
                    </w:r>
                  </w:p>
                  <w:p>
                    <w:pPr>
                      <w:spacing w:line="242" w:lineRule="auto" w:before="0"/>
                      <w:ind w:left="0" w:right="20" w:firstLine="0"/>
                      <w:jc w:val="left"/>
                      <w:rPr>
                        <w:sz w:val="21"/>
                      </w:rPr>
                    </w:pPr>
                    <w:r>
                      <w:rPr>
                        <w:w w:val="115"/>
                        <w:sz w:val="21"/>
                      </w:rPr>
                      <w:t>costs that might have been avoided if a family provision application had been determined summarily if:</w:t>
                    </w:r>
                  </w:p>
                  <w:p>
                    <w:pPr>
                      <w:numPr>
                        <w:ilvl w:val="0"/>
                        <w:numId w:val="104"/>
                      </w:numPr>
                      <w:tabs>
                        <w:tab w:pos="341" w:val="left" w:leader="none"/>
                      </w:tabs>
                      <w:spacing w:line="242" w:lineRule="auto" w:before="119"/>
                      <w:ind w:left="340" w:right="419" w:hanging="340"/>
                      <w:jc w:val="left"/>
                      <w:rPr>
                        <w:sz w:val="21"/>
                      </w:rPr>
                    </w:pPr>
                    <w:r>
                      <w:rPr>
                        <w:w w:val="115"/>
                        <w:sz w:val="21"/>
                      </w:rPr>
                      <w:t>because</w:t>
                    </w:r>
                    <w:r>
                      <w:rPr>
                        <w:spacing w:val="-8"/>
                        <w:w w:val="115"/>
                        <w:sz w:val="21"/>
                      </w:rPr>
                      <w:t> </w:t>
                    </w:r>
                    <w:r>
                      <w:rPr>
                        <w:w w:val="115"/>
                        <w:sz w:val="21"/>
                      </w:rPr>
                      <w:t>of</w:t>
                    </w:r>
                    <w:r>
                      <w:rPr>
                        <w:spacing w:val="-8"/>
                        <w:w w:val="115"/>
                        <w:sz w:val="21"/>
                      </w:rPr>
                      <w:t> </w:t>
                    </w:r>
                    <w:r>
                      <w:rPr>
                        <w:w w:val="115"/>
                        <w:sz w:val="21"/>
                      </w:rPr>
                      <w:t>the</w:t>
                    </w:r>
                    <w:r>
                      <w:rPr>
                        <w:spacing w:val="-7"/>
                        <w:w w:val="115"/>
                        <w:sz w:val="21"/>
                      </w:rPr>
                      <w:t> </w:t>
                    </w:r>
                    <w:r>
                      <w:rPr>
                        <w:w w:val="115"/>
                        <w:sz w:val="21"/>
                      </w:rPr>
                      <w:t>party’s</w:t>
                    </w:r>
                    <w:r>
                      <w:rPr>
                        <w:spacing w:val="-8"/>
                        <w:w w:val="115"/>
                        <w:sz w:val="21"/>
                      </w:rPr>
                      <w:t> </w:t>
                    </w:r>
                    <w:r>
                      <w:rPr>
                        <w:w w:val="115"/>
                        <w:sz w:val="21"/>
                      </w:rPr>
                      <w:t>actions,</w:t>
                    </w:r>
                    <w:r>
                      <w:rPr>
                        <w:spacing w:val="-7"/>
                        <w:w w:val="115"/>
                        <w:sz w:val="21"/>
                      </w:rPr>
                      <w:t> </w:t>
                    </w:r>
                    <w:r>
                      <w:rPr>
                        <w:w w:val="115"/>
                        <w:sz w:val="21"/>
                      </w:rPr>
                      <w:t>the</w:t>
                    </w:r>
                    <w:r>
                      <w:rPr>
                        <w:spacing w:val="-8"/>
                        <w:w w:val="115"/>
                        <w:sz w:val="21"/>
                      </w:rPr>
                      <w:t> </w:t>
                    </w:r>
                    <w:r>
                      <w:rPr>
                        <w:spacing w:val="-3"/>
                        <w:w w:val="115"/>
                        <w:sz w:val="21"/>
                      </w:rPr>
                      <w:t>family</w:t>
                    </w:r>
                    <w:r>
                      <w:rPr>
                        <w:spacing w:val="-8"/>
                        <w:w w:val="115"/>
                        <w:sz w:val="21"/>
                      </w:rPr>
                      <w:t> </w:t>
                    </w:r>
                    <w:r>
                      <w:rPr>
                        <w:w w:val="115"/>
                        <w:sz w:val="21"/>
                      </w:rPr>
                      <w:t>provision</w:t>
                    </w:r>
                    <w:r>
                      <w:rPr>
                        <w:spacing w:val="-7"/>
                        <w:w w:val="115"/>
                        <w:sz w:val="21"/>
                      </w:rPr>
                      <w:t> </w:t>
                    </w:r>
                    <w:r>
                      <w:rPr>
                        <w:w w:val="115"/>
                        <w:sz w:val="21"/>
                      </w:rPr>
                      <w:t>application</w:t>
                    </w:r>
                    <w:r>
                      <w:rPr>
                        <w:spacing w:val="-8"/>
                        <w:w w:val="115"/>
                        <w:sz w:val="21"/>
                      </w:rPr>
                      <w:t> </w:t>
                    </w:r>
                    <w:r>
                      <w:rPr>
                        <w:w w:val="115"/>
                        <w:sz w:val="21"/>
                      </w:rPr>
                      <w:t>was</w:t>
                    </w:r>
                    <w:r>
                      <w:rPr>
                        <w:spacing w:val="-7"/>
                        <w:w w:val="115"/>
                        <w:sz w:val="21"/>
                      </w:rPr>
                      <w:t> </w:t>
                    </w:r>
                    <w:r>
                      <w:rPr>
                        <w:w w:val="115"/>
                        <w:sz w:val="21"/>
                      </w:rPr>
                      <w:t>not determined summarily and proceeded to </w:t>
                    </w:r>
                    <w:r>
                      <w:rPr>
                        <w:spacing w:val="-2"/>
                        <w:w w:val="115"/>
                        <w:sz w:val="21"/>
                      </w:rPr>
                      <w:t>trial,</w:t>
                    </w:r>
                    <w:r>
                      <w:rPr>
                        <w:spacing w:val="-6"/>
                        <w:w w:val="115"/>
                        <w:sz w:val="21"/>
                      </w:rPr>
                      <w:t> </w:t>
                    </w:r>
                    <w:r>
                      <w:rPr>
                        <w:w w:val="115"/>
                        <w:sz w:val="21"/>
                      </w:rPr>
                      <w:t>and</w:t>
                    </w:r>
                  </w:p>
                  <w:p>
                    <w:pPr>
                      <w:numPr>
                        <w:ilvl w:val="0"/>
                        <w:numId w:val="104"/>
                      </w:numPr>
                      <w:tabs>
                        <w:tab w:pos="341" w:val="left" w:leader="none"/>
                      </w:tabs>
                      <w:spacing w:line="242" w:lineRule="auto" w:before="123"/>
                      <w:ind w:left="340" w:right="349" w:hanging="340"/>
                      <w:jc w:val="left"/>
                      <w:rPr>
                        <w:sz w:val="21"/>
                      </w:rPr>
                    </w:pPr>
                    <w:r>
                      <w:rPr>
                        <w:w w:val="115"/>
                        <w:sz w:val="21"/>
                      </w:rPr>
                      <w:t>at </w:t>
                    </w:r>
                    <w:r>
                      <w:rPr>
                        <w:spacing w:val="-3"/>
                        <w:w w:val="115"/>
                        <w:sz w:val="21"/>
                      </w:rPr>
                      <w:t>trial </w:t>
                    </w:r>
                    <w:r>
                      <w:rPr>
                        <w:w w:val="115"/>
                        <w:sz w:val="21"/>
                      </w:rPr>
                      <w:t>the Court finds that the </w:t>
                    </w:r>
                    <w:r>
                      <w:rPr>
                        <w:spacing w:val="-3"/>
                        <w:w w:val="115"/>
                        <w:sz w:val="21"/>
                      </w:rPr>
                      <w:t>family </w:t>
                    </w:r>
                    <w:r>
                      <w:rPr>
                        <w:w w:val="115"/>
                        <w:sz w:val="21"/>
                      </w:rPr>
                      <w:t>provision application should </w:t>
                    </w:r>
                    <w:r>
                      <w:rPr>
                        <w:spacing w:val="-3"/>
                        <w:w w:val="115"/>
                        <w:sz w:val="21"/>
                      </w:rPr>
                      <w:t>have </w:t>
                    </w:r>
                    <w:r>
                      <w:rPr>
                        <w:w w:val="115"/>
                        <w:sz w:val="21"/>
                      </w:rPr>
                      <w:t>been determined </w:t>
                    </w:r>
                    <w:r>
                      <w:rPr>
                        <w:spacing w:val="-3"/>
                        <w:w w:val="115"/>
                        <w:sz w:val="21"/>
                      </w:rPr>
                      <w:t>summarily.</w:t>
                    </w:r>
                  </w:p>
                  <w:p>
                    <w:pPr>
                      <w:spacing w:line="242" w:lineRule="auto" w:before="122"/>
                      <w:ind w:left="0" w:right="20" w:firstLine="0"/>
                      <w:jc w:val="left"/>
                      <w:rPr>
                        <w:sz w:val="21"/>
                      </w:rPr>
                    </w:pPr>
                    <w:r>
                      <w:rPr>
                        <w:w w:val="115"/>
                        <w:sz w:val="21"/>
                      </w:rPr>
                      <w:t>The summary determination costs rule should specify that it does not limit any other power of the Court in relation to costs.</w:t>
                    </w:r>
                  </w:p>
                </w:txbxContent>
              </v:textbox>
              <w10:wrap type="none"/>
            </v:shape>
            <v:shape style="position:absolute;left:566;top:987;width:249;height:249" type="#_x0000_t202" filled="false" stroked="false">
              <v:textbox inset="0,0,0,0">
                <w:txbxContent>
                  <w:p>
                    <w:pPr>
                      <w:spacing w:line="249" w:lineRule="exact" w:before="0"/>
                      <w:ind w:left="0" w:right="0" w:firstLine="0"/>
                      <w:jc w:val="left"/>
                      <w:rPr>
                        <w:sz w:val="21"/>
                      </w:rPr>
                    </w:pPr>
                    <w:r>
                      <w:rPr>
                        <w:w w:val="110"/>
                        <w:sz w:val="21"/>
                      </w:rPr>
                      <w:t>47</w:t>
                    </w:r>
                  </w:p>
                </w:txbxContent>
              </v:textbox>
              <w10:wrap type="none"/>
            </v:shape>
            <v:shape style="position:absolute;left:340;top:0;width:8731;height:726" type="#_x0000_t202" filled="true" fillcolor="#fdebea" stroked="false">
              <v:textbox inset="0,0,0,0">
                <w:txbxContent>
                  <w:p>
                    <w:pPr>
                      <w:spacing w:before="166"/>
                      <w:ind w:left="226" w:right="0" w:firstLine="0"/>
                      <w:jc w:val="left"/>
                      <w:rPr>
                        <w:b/>
                        <w:sz w:val="32"/>
                      </w:rPr>
                    </w:pPr>
                    <w:r>
                      <w:rPr>
                        <w:b/>
                        <w:color w:val="EC5A4F"/>
                        <w:w w:val="110"/>
                        <w:sz w:val="32"/>
                      </w:rPr>
                      <w:t>Recommendation</w:t>
                    </w:r>
                  </w:p>
                </w:txbxContent>
              </v:textbox>
              <v:fill type="solid"/>
              <w10:wrap type="none"/>
            </v:shape>
          </v:group>
        </w:pict>
      </w:r>
      <w:r>
        <w:rPr>
          <w:sz w:val="20"/>
        </w:rPr>
      </w:r>
    </w:p>
    <w:p>
      <w:pPr>
        <w:pStyle w:val="BodyText"/>
        <w:spacing w:before="9"/>
        <w:rPr>
          <w:sz w:val="6"/>
        </w:rPr>
      </w:pPr>
    </w:p>
    <w:p>
      <w:pPr>
        <w:pStyle w:val="Heading4"/>
        <w:spacing w:before="98"/>
      </w:pPr>
      <w:bookmarkStart w:name="_TOC_250003" w:id="127"/>
      <w:bookmarkEnd w:id="127"/>
      <w:r>
        <w:rPr>
          <w:color w:val="EC5A4F"/>
          <w:w w:val="115"/>
        </w:rPr>
        <w:t>Other areas for reform raised in the Commission’s consultation paper</w:t>
      </w:r>
    </w:p>
    <w:p>
      <w:pPr>
        <w:pStyle w:val="Heading5"/>
        <w:spacing w:before="167"/>
      </w:pPr>
      <w:bookmarkStart w:name="_TOC_250002" w:id="128"/>
      <w:bookmarkEnd w:id="128"/>
      <w:r>
        <w:rPr>
          <w:w w:val="110"/>
        </w:rPr>
        <w:t>Farm property</w:t>
      </w:r>
    </w:p>
    <w:p>
      <w:pPr>
        <w:pStyle w:val="ListParagraph"/>
        <w:numPr>
          <w:ilvl w:val="0"/>
          <w:numId w:val="97"/>
        </w:numPr>
        <w:tabs>
          <w:tab w:pos="2381" w:val="left" w:leader="none"/>
          <w:tab w:pos="2382" w:val="left" w:leader="none"/>
        </w:tabs>
        <w:spacing w:line="242" w:lineRule="auto" w:before="137" w:after="0"/>
        <w:ind w:left="2381" w:right="1663" w:hanging="794"/>
        <w:jc w:val="left"/>
        <w:rPr>
          <w:sz w:val="12"/>
        </w:rPr>
      </w:pPr>
      <w:r>
        <w:rPr>
          <w:w w:val="105"/>
          <w:sz w:val="21"/>
        </w:rPr>
        <w:t>As </w:t>
      </w:r>
      <w:r>
        <w:rPr>
          <w:spacing w:val="-3"/>
          <w:w w:val="105"/>
          <w:sz w:val="21"/>
        </w:rPr>
        <w:t>noted in </w:t>
      </w:r>
      <w:r>
        <w:rPr>
          <w:spacing w:val="-4"/>
          <w:w w:val="105"/>
          <w:sz w:val="21"/>
        </w:rPr>
        <w:t>submissions </w:t>
      </w:r>
      <w:r>
        <w:rPr>
          <w:spacing w:val="-3"/>
          <w:w w:val="105"/>
          <w:sz w:val="21"/>
        </w:rPr>
        <w:t>and </w:t>
      </w:r>
      <w:r>
        <w:rPr>
          <w:spacing w:val="-4"/>
          <w:w w:val="105"/>
          <w:sz w:val="21"/>
        </w:rPr>
        <w:t>consultations, </w:t>
      </w:r>
      <w:r>
        <w:rPr>
          <w:spacing w:val="-3"/>
          <w:w w:val="105"/>
          <w:sz w:val="21"/>
        </w:rPr>
        <w:t>particular difficulties arise </w:t>
      </w:r>
      <w:r>
        <w:rPr>
          <w:w w:val="105"/>
          <w:sz w:val="21"/>
        </w:rPr>
        <w:t>when </w:t>
      </w:r>
      <w:r>
        <w:rPr>
          <w:spacing w:val="-4"/>
          <w:w w:val="105"/>
          <w:sz w:val="21"/>
        </w:rPr>
        <w:t>dealing </w:t>
      </w:r>
      <w:r>
        <w:rPr>
          <w:spacing w:val="-3"/>
          <w:w w:val="105"/>
          <w:sz w:val="21"/>
        </w:rPr>
        <w:t>with </w:t>
      </w:r>
      <w:r>
        <w:rPr>
          <w:spacing w:val="-4"/>
          <w:w w:val="105"/>
          <w:sz w:val="21"/>
        </w:rPr>
        <w:t>farm </w:t>
      </w:r>
      <w:r>
        <w:rPr>
          <w:w w:val="105"/>
          <w:sz w:val="21"/>
        </w:rPr>
        <w:t>property </w:t>
      </w:r>
      <w:r>
        <w:rPr>
          <w:spacing w:val="-3"/>
          <w:w w:val="105"/>
          <w:sz w:val="21"/>
        </w:rPr>
        <w:t>under </w:t>
      </w:r>
      <w:r>
        <w:rPr>
          <w:spacing w:val="-4"/>
          <w:w w:val="105"/>
          <w:sz w:val="21"/>
        </w:rPr>
        <w:t>succession </w:t>
      </w:r>
      <w:r>
        <w:rPr>
          <w:spacing w:val="-3"/>
          <w:w w:val="105"/>
          <w:sz w:val="21"/>
        </w:rPr>
        <w:t>laws.</w:t>
      </w:r>
      <w:r>
        <w:rPr>
          <w:spacing w:val="-3"/>
          <w:w w:val="105"/>
          <w:position w:val="7"/>
          <w:sz w:val="12"/>
        </w:rPr>
        <w:t>281 </w:t>
      </w:r>
      <w:r>
        <w:rPr>
          <w:w w:val="105"/>
          <w:sz w:val="21"/>
        </w:rPr>
        <w:t>The </w:t>
      </w:r>
      <w:r>
        <w:rPr>
          <w:spacing w:val="-3"/>
          <w:w w:val="105"/>
          <w:sz w:val="21"/>
        </w:rPr>
        <w:t>Victorian Farmers Federation explained </w:t>
      </w:r>
      <w:r>
        <w:rPr>
          <w:w w:val="105"/>
          <w:sz w:val="21"/>
        </w:rPr>
        <w:t>the </w:t>
      </w:r>
      <w:r>
        <w:rPr>
          <w:spacing w:val="-3"/>
          <w:w w:val="105"/>
          <w:sz w:val="21"/>
        </w:rPr>
        <w:t>common practice of </w:t>
      </w:r>
      <w:r>
        <w:rPr>
          <w:w w:val="105"/>
          <w:sz w:val="21"/>
        </w:rPr>
        <w:t>the </w:t>
      </w:r>
      <w:r>
        <w:rPr>
          <w:spacing w:val="-3"/>
          <w:w w:val="105"/>
          <w:sz w:val="21"/>
        </w:rPr>
        <w:t>second generation </w:t>
      </w:r>
      <w:r>
        <w:rPr>
          <w:spacing w:val="-4"/>
          <w:w w:val="105"/>
          <w:sz w:val="21"/>
        </w:rPr>
        <w:t>working </w:t>
      </w:r>
      <w:r>
        <w:rPr>
          <w:w w:val="105"/>
          <w:sz w:val="21"/>
        </w:rPr>
        <w:t>on the </w:t>
      </w:r>
      <w:r>
        <w:rPr>
          <w:spacing w:val="-4"/>
          <w:w w:val="105"/>
          <w:sz w:val="21"/>
        </w:rPr>
        <w:t>farm </w:t>
      </w:r>
      <w:r>
        <w:rPr>
          <w:spacing w:val="-3"/>
          <w:w w:val="105"/>
          <w:sz w:val="21"/>
        </w:rPr>
        <w:t>for </w:t>
      </w:r>
      <w:r>
        <w:rPr>
          <w:w w:val="105"/>
          <w:sz w:val="21"/>
        </w:rPr>
        <w:t>a </w:t>
      </w:r>
      <w:r>
        <w:rPr>
          <w:spacing w:val="-3"/>
          <w:w w:val="105"/>
          <w:sz w:val="21"/>
        </w:rPr>
        <w:t>long </w:t>
      </w:r>
      <w:r>
        <w:rPr>
          <w:spacing w:val="-4"/>
          <w:w w:val="105"/>
          <w:sz w:val="21"/>
        </w:rPr>
        <w:t>time, </w:t>
      </w:r>
      <w:r>
        <w:rPr>
          <w:spacing w:val="-3"/>
          <w:w w:val="105"/>
          <w:sz w:val="21"/>
        </w:rPr>
        <w:t>and land being </w:t>
      </w:r>
      <w:r>
        <w:rPr>
          <w:spacing w:val="-4"/>
          <w:w w:val="105"/>
          <w:sz w:val="21"/>
        </w:rPr>
        <w:t>transferred </w:t>
      </w:r>
      <w:r>
        <w:rPr>
          <w:spacing w:val="-3"/>
          <w:w w:val="105"/>
          <w:sz w:val="21"/>
        </w:rPr>
        <w:t>from </w:t>
      </w:r>
      <w:r>
        <w:rPr>
          <w:w w:val="105"/>
          <w:sz w:val="21"/>
        </w:rPr>
        <w:t>the first </w:t>
      </w:r>
      <w:r>
        <w:rPr>
          <w:spacing w:val="-3"/>
          <w:w w:val="105"/>
          <w:sz w:val="21"/>
        </w:rPr>
        <w:t>generation to </w:t>
      </w:r>
      <w:r>
        <w:rPr>
          <w:w w:val="105"/>
          <w:sz w:val="21"/>
        </w:rPr>
        <w:t>the </w:t>
      </w:r>
      <w:r>
        <w:rPr>
          <w:spacing w:val="-3"/>
          <w:w w:val="105"/>
          <w:sz w:val="21"/>
        </w:rPr>
        <w:t>second in </w:t>
      </w:r>
      <w:r>
        <w:rPr>
          <w:spacing w:val="-4"/>
          <w:w w:val="105"/>
          <w:sz w:val="21"/>
        </w:rPr>
        <w:t>recognition </w:t>
      </w:r>
      <w:r>
        <w:rPr>
          <w:spacing w:val="-3"/>
          <w:w w:val="105"/>
          <w:sz w:val="21"/>
        </w:rPr>
        <w:t>of work </w:t>
      </w:r>
      <w:r>
        <w:rPr>
          <w:w w:val="105"/>
          <w:sz w:val="21"/>
        </w:rPr>
        <w:t>done </w:t>
      </w:r>
      <w:r>
        <w:rPr>
          <w:spacing w:val="-3"/>
          <w:w w:val="105"/>
          <w:sz w:val="21"/>
        </w:rPr>
        <w:t>day to </w:t>
      </w:r>
      <w:r>
        <w:rPr>
          <w:spacing w:val="-6"/>
          <w:w w:val="105"/>
          <w:sz w:val="21"/>
        </w:rPr>
        <w:t>day. </w:t>
      </w:r>
      <w:r>
        <w:rPr>
          <w:w w:val="105"/>
          <w:sz w:val="21"/>
        </w:rPr>
        <w:t>The </w:t>
      </w:r>
      <w:r>
        <w:rPr>
          <w:spacing w:val="-4"/>
          <w:w w:val="105"/>
          <w:sz w:val="21"/>
        </w:rPr>
        <w:t>submission </w:t>
      </w:r>
      <w:r>
        <w:rPr>
          <w:spacing w:val="-3"/>
          <w:w w:val="105"/>
          <w:sz w:val="21"/>
        </w:rPr>
        <w:t>noted that, under such </w:t>
      </w:r>
      <w:r>
        <w:rPr>
          <w:w w:val="105"/>
          <w:sz w:val="21"/>
        </w:rPr>
        <w:t>an </w:t>
      </w:r>
      <w:r>
        <w:rPr>
          <w:spacing w:val="-4"/>
          <w:w w:val="105"/>
          <w:sz w:val="21"/>
        </w:rPr>
        <w:t>arrangement, non-farm siblings </w:t>
      </w:r>
      <w:r>
        <w:rPr>
          <w:spacing w:val="-3"/>
          <w:w w:val="105"/>
          <w:sz w:val="21"/>
        </w:rPr>
        <w:t>may not </w:t>
      </w:r>
      <w:r>
        <w:rPr>
          <w:w w:val="105"/>
          <w:sz w:val="21"/>
        </w:rPr>
        <w:t>be </w:t>
      </w:r>
      <w:r>
        <w:rPr>
          <w:spacing w:val="-3"/>
          <w:w w:val="105"/>
          <w:sz w:val="21"/>
        </w:rPr>
        <w:t>provided for </w:t>
      </w:r>
      <w:r>
        <w:rPr>
          <w:w w:val="105"/>
          <w:sz w:val="21"/>
        </w:rPr>
        <w:t>out </w:t>
      </w:r>
      <w:r>
        <w:rPr>
          <w:spacing w:val="-3"/>
          <w:w w:val="105"/>
          <w:sz w:val="21"/>
        </w:rPr>
        <w:t>of </w:t>
      </w:r>
      <w:r>
        <w:rPr>
          <w:w w:val="105"/>
          <w:sz w:val="21"/>
        </w:rPr>
        <w:t>the </w:t>
      </w:r>
      <w:r>
        <w:rPr>
          <w:spacing w:val="-4"/>
          <w:w w:val="105"/>
          <w:sz w:val="21"/>
        </w:rPr>
        <w:t>farm </w:t>
      </w:r>
      <w:r>
        <w:rPr>
          <w:spacing w:val="-3"/>
          <w:w w:val="105"/>
          <w:sz w:val="21"/>
        </w:rPr>
        <w:t>property, which </w:t>
      </w:r>
      <w:r>
        <w:rPr>
          <w:spacing w:val="-2"/>
          <w:w w:val="105"/>
          <w:sz w:val="21"/>
        </w:rPr>
        <w:t>can </w:t>
      </w:r>
      <w:r>
        <w:rPr>
          <w:spacing w:val="-3"/>
          <w:w w:val="105"/>
          <w:sz w:val="21"/>
        </w:rPr>
        <w:t>cause significant difficulties </w:t>
      </w:r>
      <w:r>
        <w:rPr>
          <w:w w:val="105"/>
          <w:sz w:val="21"/>
        </w:rPr>
        <w:t>between </w:t>
      </w:r>
      <w:r>
        <w:rPr>
          <w:spacing w:val="-4"/>
          <w:w w:val="105"/>
          <w:sz w:val="21"/>
        </w:rPr>
        <w:t>on-farm </w:t>
      </w:r>
      <w:r>
        <w:rPr>
          <w:spacing w:val="-3"/>
          <w:w w:val="105"/>
          <w:sz w:val="21"/>
        </w:rPr>
        <w:t>and </w:t>
      </w:r>
      <w:r>
        <w:rPr>
          <w:spacing w:val="-4"/>
          <w:w w:val="105"/>
          <w:sz w:val="21"/>
        </w:rPr>
        <w:t>off-farm </w:t>
      </w:r>
      <w:r>
        <w:rPr>
          <w:spacing w:val="-3"/>
          <w:w w:val="105"/>
          <w:sz w:val="21"/>
        </w:rPr>
        <w:t>siblings.</w:t>
      </w:r>
      <w:r>
        <w:rPr>
          <w:spacing w:val="-3"/>
          <w:w w:val="105"/>
          <w:position w:val="7"/>
          <w:sz w:val="12"/>
        </w:rPr>
        <w:t>282 </w:t>
      </w:r>
      <w:r>
        <w:rPr>
          <w:spacing w:val="-4"/>
          <w:w w:val="105"/>
          <w:sz w:val="21"/>
        </w:rPr>
        <w:t>David </w:t>
      </w:r>
      <w:r>
        <w:rPr>
          <w:spacing w:val="-3"/>
          <w:w w:val="105"/>
          <w:sz w:val="21"/>
        </w:rPr>
        <w:t>Shalders’ </w:t>
      </w:r>
      <w:r>
        <w:rPr>
          <w:spacing w:val="-4"/>
          <w:w w:val="105"/>
          <w:sz w:val="21"/>
        </w:rPr>
        <w:t>submission </w:t>
      </w:r>
      <w:r>
        <w:rPr>
          <w:spacing w:val="-3"/>
          <w:w w:val="105"/>
          <w:sz w:val="21"/>
        </w:rPr>
        <w:t>describes his personal experience: </w:t>
      </w:r>
      <w:r>
        <w:rPr>
          <w:w w:val="105"/>
          <w:sz w:val="21"/>
        </w:rPr>
        <w:t>he </w:t>
      </w:r>
      <w:r>
        <w:rPr>
          <w:spacing w:val="-3"/>
          <w:w w:val="105"/>
          <w:sz w:val="21"/>
        </w:rPr>
        <w:t>had agreed to work </w:t>
      </w:r>
      <w:r>
        <w:rPr>
          <w:w w:val="105"/>
          <w:sz w:val="21"/>
        </w:rPr>
        <w:t>on the </w:t>
      </w:r>
      <w:r>
        <w:rPr>
          <w:spacing w:val="-4"/>
          <w:w w:val="105"/>
          <w:sz w:val="21"/>
        </w:rPr>
        <w:t>farm </w:t>
      </w:r>
      <w:r>
        <w:rPr>
          <w:spacing w:val="-3"/>
          <w:w w:val="105"/>
          <w:sz w:val="21"/>
        </w:rPr>
        <w:t>with his parents all his </w:t>
      </w:r>
      <w:r>
        <w:rPr>
          <w:spacing w:val="-4"/>
          <w:w w:val="105"/>
          <w:sz w:val="21"/>
        </w:rPr>
        <w:t>life </w:t>
      </w:r>
      <w:r>
        <w:rPr>
          <w:spacing w:val="-3"/>
          <w:w w:val="105"/>
          <w:sz w:val="21"/>
        </w:rPr>
        <w:t>because </w:t>
      </w:r>
      <w:r>
        <w:rPr>
          <w:w w:val="105"/>
          <w:sz w:val="21"/>
        </w:rPr>
        <w:t>he </w:t>
      </w:r>
      <w:r>
        <w:rPr>
          <w:spacing w:val="-3"/>
          <w:w w:val="105"/>
          <w:sz w:val="21"/>
        </w:rPr>
        <w:t>was to </w:t>
      </w:r>
      <w:r>
        <w:rPr>
          <w:spacing w:val="-4"/>
          <w:w w:val="105"/>
          <w:sz w:val="21"/>
        </w:rPr>
        <w:t>inherit </w:t>
      </w:r>
      <w:r>
        <w:rPr>
          <w:w w:val="105"/>
          <w:sz w:val="21"/>
        </w:rPr>
        <w:t>the </w:t>
      </w:r>
      <w:r>
        <w:rPr>
          <w:spacing w:val="-3"/>
          <w:w w:val="105"/>
          <w:sz w:val="21"/>
        </w:rPr>
        <w:t>land.</w:t>
      </w:r>
      <w:r>
        <w:rPr>
          <w:spacing w:val="-3"/>
          <w:w w:val="105"/>
          <w:position w:val="7"/>
          <w:sz w:val="12"/>
        </w:rPr>
        <w:t>283 </w:t>
      </w:r>
      <w:r>
        <w:rPr>
          <w:spacing w:val="-5"/>
          <w:w w:val="105"/>
          <w:sz w:val="21"/>
        </w:rPr>
        <w:t>However, </w:t>
      </w:r>
      <w:r>
        <w:rPr>
          <w:w w:val="105"/>
          <w:sz w:val="21"/>
        </w:rPr>
        <w:t>he </w:t>
      </w:r>
      <w:r>
        <w:rPr>
          <w:spacing w:val="-3"/>
          <w:w w:val="105"/>
          <w:sz w:val="21"/>
        </w:rPr>
        <w:t>also had sisters </w:t>
      </w:r>
      <w:r>
        <w:rPr>
          <w:w w:val="105"/>
          <w:sz w:val="21"/>
        </w:rPr>
        <w:t>who </w:t>
      </w:r>
      <w:r>
        <w:rPr>
          <w:spacing w:val="-3"/>
          <w:w w:val="105"/>
          <w:sz w:val="21"/>
        </w:rPr>
        <w:t>had not </w:t>
      </w:r>
      <w:r>
        <w:rPr>
          <w:spacing w:val="-4"/>
          <w:w w:val="105"/>
          <w:sz w:val="21"/>
        </w:rPr>
        <w:t>worked </w:t>
      </w:r>
      <w:r>
        <w:rPr>
          <w:w w:val="105"/>
          <w:sz w:val="21"/>
        </w:rPr>
        <w:t>on the </w:t>
      </w:r>
      <w:r>
        <w:rPr>
          <w:spacing w:val="-4"/>
          <w:w w:val="105"/>
          <w:sz w:val="21"/>
        </w:rPr>
        <w:t>farm </w:t>
      </w:r>
      <w:r>
        <w:rPr>
          <w:spacing w:val="-3"/>
          <w:w w:val="105"/>
          <w:sz w:val="21"/>
        </w:rPr>
        <w:t>and </w:t>
      </w:r>
      <w:r>
        <w:rPr>
          <w:w w:val="105"/>
          <w:sz w:val="21"/>
        </w:rPr>
        <w:t>the </w:t>
      </w:r>
      <w:r>
        <w:rPr>
          <w:spacing w:val="-3"/>
          <w:w w:val="105"/>
          <w:sz w:val="21"/>
        </w:rPr>
        <w:t>Court ordered further </w:t>
      </w:r>
      <w:r>
        <w:rPr>
          <w:spacing w:val="-4"/>
          <w:w w:val="105"/>
          <w:sz w:val="21"/>
        </w:rPr>
        <w:t>provision </w:t>
      </w:r>
      <w:r>
        <w:rPr>
          <w:spacing w:val="-3"/>
          <w:w w:val="105"/>
          <w:sz w:val="21"/>
        </w:rPr>
        <w:t>to </w:t>
      </w:r>
      <w:r>
        <w:rPr>
          <w:w w:val="105"/>
          <w:sz w:val="21"/>
        </w:rPr>
        <w:t>be </w:t>
      </w:r>
      <w:r>
        <w:rPr>
          <w:spacing w:val="-3"/>
          <w:w w:val="105"/>
          <w:sz w:val="21"/>
        </w:rPr>
        <w:t>made for them </w:t>
      </w:r>
      <w:r>
        <w:rPr>
          <w:w w:val="105"/>
          <w:sz w:val="21"/>
        </w:rPr>
        <w:t>out </w:t>
      </w:r>
      <w:r>
        <w:rPr>
          <w:spacing w:val="-3"/>
          <w:w w:val="105"/>
          <w:sz w:val="21"/>
        </w:rPr>
        <w:t>of his </w:t>
      </w:r>
      <w:r>
        <w:rPr>
          <w:spacing w:val="-4"/>
          <w:w w:val="105"/>
          <w:sz w:val="21"/>
        </w:rPr>
        <w:t>mother’s</w:t>
      </w:r>
      <w:r>
        <w:rPr>
          <w:spacing w:val="6"/>
          <w:w w:val="105"/>
          <w:sz w:val="21"/>
        </w:rPr>
        <w:t> </w:t>
      </w:r>
      <w:r>
        <w:rPr>
          <w:w w:val="105"/>
          <w:sz w:val="21"/>
        </w:rPr>
        <w:t>estate.</w:t>
      </w:r>
      <w:r>
        <w:rPr>
          <w:w w:val="105"/>
          <w:position w:val="7"/>
          <w:sz w:val="12"/>
        </w:rPr>
        <w:t>284</w:t>
      </w:r>
    </w:p>
    <w:p>
      <w:pPr>
        <w:pStyle w:val="ListParagraph"/>
        <w:numPr>
          <w:ilvl w:val="0"/>
          <w:numId w:val="97"/>
        </w:numPr>
        <w:tabs>
          <w:tab w:pos="2381" w:val="left" w:leader="none"/>
          <w:tab w:pos="2382" w:val="left" w:leader="none"/>
        </w:tabs>
        <w:spacing w:line="242" w:lineRule="auto" w:before="131" w:after="0"/>
        <w:ind w:left="2381" w:right="1680" w:hanging="794"/>
        <w:jc w:val="left"/>
        <w:rPr>
          <w:sz w:val="12"/>
        </w:rPr>
      </w:pPr>
      <w:r>
        <w:rPr>
          <w:w w:val="105"/>
          <w:sz w:val="21"/>
        </w:rPr>
        <w:t>Solicitors in </w:t>
      </w:r>
      <w:r>
        <w:rPr>
          <w:spacing w:val="-4"/>
          <w:w w:val="105"/>
          <w:sz w:val="21"/>
        </w:rPr>
        <w:t>Colac </w:t>
      </w:r>
      <w:r>
        <w:rPr>
          <w:spacing w:val="-3"/>
          <w:w w:val="105"/>
          <w:sz w:val="21"/>
        </w:rPr>
        <w:t>noted that </w:t>
      </w:r>
      <w:r>
        <w:rPr>
          <w:w w:val="105"/>
          <w:sz w:val="21"/>
        </w:rPr>
        <w:t>it can be extremely difficult </w:t>
      </w:r>
      <w:r>
        <w:rPr>
          <w:spacing w:val="-3"/>
          <w:w w:val="105"/>
          <w:sz w:val="21"/>
        </w:rPr>
        <w:t>to </w:t>
      </w:r>
      <w:r>
        <w:rPr>
          <w:w w:val="105"/>
          <w:sz w:val="21"/>
        </w:rPr>
        <w:t>subdivide </w:t>
      </w:r>
      <w:r>
        <w:rPr>
          <w:spacing w:val="-3"/>
          <w:w w:val="105"/>
          <w:sz w:val="21"/>
        </w:rPr>
        <w:t>farms, </w:t>
      </w:r>
      <w:r>
        <w:rPr>
          <w:w w:val="105"/>
          <w:sz w:val="21"/>
        </w:rPr>
        <w:t>as local </w:t>
      </w:r>
      <w:r>
        <w:rPr>
          <w:spacing w:val="-3"/>
          <w:w w:val="105"/>
          <w:sz w:val="21"/>
        </w:rPr>
        <w:t>planning </w:t>
      </w:r>
      <w:r>
        <w:rPr>
          <w:w w:val="105"/>
          <w:sz w:val="21"/>
        </w:rPr>
        <w:t>laws </w:t>
      </w:r>
      <w:r>
        <w:rPr>
          <w:spacing w:val="-3"/>
          <w:w w:val="105"/>
          <w:sz w:val="21"/>
        </w:rPr>
        <w:t>prevent subdivision </w:t>
      </w:r>
      <w:r>
        <w:rPr>
          <w:w w:val="105"/>
          <w:sz w:val="21"/>
        </w:rPr>
        <w:t>under 40 hectares.</w:t>
      </w:r>
      <w:r>
        <w:rPr>
          <w:w w:val="105"/>
          <w:position w:val="7"/>
          <w:sz w:val="12"/>
        </w:rPr>
        <w:t>285 </w:t>
      </w:r>
      <w:r>
        <w:rPr>
          <w:w w:val="105"/>
          <w:sz w:val="21"/>
        </w:rPr>
        <w:t>Solicitors in </w:t>
      </w:r>
      <w:r>
        <w:rPr>
          <w:spacing w:val="-3"/>
          <w:w w:val="105"/>
          <w:sz w:val="21"/>
        </w:rPr>
        <w:t>Wodonga noted that subdivision</w:t>
      </w:r>
      <w:r>
        <w:rPr>
          <w:spacing w:val="-5"/>
          <w:w w:val="105"/>
          <w:sz w:val="21"/>
        </w:rPr>
        <w:t> </w:t>
      </w:r>
      <w:r>
        <w:rPr>
          <w:w w:val="105"/>
          <w:sz w:val="21"/>
        </w:rPr>
        <w:t>can</w:t>
      </w:r>
      <w:r>
        <w:rPr>
          <w:spacing w:val="-4"/>
          <w:w w:val="105"/>
          <w:sz w:val="21"/>
        </w:rPr>
        <w:t> </w:t>
      </w:r>
      <w:r>
        <w:rPr>
          <w:w w:val="105"/>
          <w:sz w:val="21"/>
        </w:rPr>
        <w:t>be</w:t>
      </w:r>
      <w:r>
        <w:rPr>
          <w:spacing w:val="-4"/>
          <w:w w:val="105"/>
          <w:sz w:val="21"/>
        </w:rPr>
        <w:t> </w:t>
      </w:r>
      <w:r>
        <w:rPr>
          <w:w w:val="105"/>
          <w:sz w:val="21"/>
        </w:rPr>
        <w:t>a</w:t>
      </w:r>
      <w:r>
        <w:rPr>
          <w:spacing w:val="-4"/>
          <w:w w:val="105"/>
          <w:sz w:val="21"/>
        </w:rPr>
        <w:t> </w:t>
      </w:r>
      <w:r>
        <w:rPr>
          <w:w w:val="105"/>
          <w:sz w:val="21"/>
        </w:rPr>
        <w:t>particular</w:t>
      </w:r>
      <w:r>
        <w:rPr>
          <w:spacing w:val="-4"/>
          <w:w w:val="105"/>
          <w:sz w:val="21"/>
        </w:rPr>
        <w:t> </w:t>
      </w:r>
      <w:r>
        <w:rPr>
          <w:w w:val="105"/>
          <w:sz w:val="21"/>
        </w:rPr>
        <w:t>problem</w:t>
      </w:r>
      <w:r>
        <w:rPr>
          <w:spacing w:val="-4"/>
          <w:w w:val="105"/>
          <w:sz w:val="21"/>
        </w:rPr>
        <w:t> </w:t>
      </w:r>
      <w:r>
        <w:rPr>
          <w:w w:val="105"/>
          <w:sz w:val="21"/>
        </w:rPr>
        <w:t>in</w:t>
      </w:r>
      <w:r>
        <w:rPr>
          <w:spacing w:val="-4"/>
          <w:w w:val="105"/>
          <w:sz w:val="21"/>
        </w:rPr>
        <w:t> </w:t>
      </w:r>
      <w:r>
        <w:rPr>
          <w:spacing w:val="-3"/>
          <w:w w:val="105"/>
          <w:sz w:val="21"/>
        </w:rPr>
        <w:t>relation</w:t>
      </w:r>
      <w:r>
        <w:rPr>
          <w:spacing w:val="-4"/>
          <w:w w:val="105"/>
          <w:sz w:val="21"/>
        </w:rPr>
        <w:t> </w:t>
      </w:r>
      <w:r>
        <w:rPr>
          <w:spacing w:val="-3"/>
          <w:w w:val="105"/>
          <w:sz w:val="21"/>
        </w:rPr>
        <w:t>to</w:t>
      </w:r>
      <w:r>
        <w:rPr>
          <w:spacing w:val="-4"/>
          <w:w w:val="105"/>
          <w:sz w:val="21"/>
        </w:rPr>
        <w:t> </w:t>
      </w:r>
      <w:r>
        <w:rPr>
          <w:spacing w:val="-3"/>
          <w:w w:val="105"/>
          <w:sz w:val="21"/>
        </w:rPr>
        <w:t>wills</w:t>
      </w:r>
      <w:r>
        <w:rPr>
          <w:spacing w:val="-4"/>
          <w:w w:val="105"/>
          <w:sz w:val="21"/>
        </w:rPr>
        <w:t> </w:t>
      </w:r>
      <w:r>
        <w:rPr>
          <w:w w:val="105"/>
          <w:sz w:val="21"/>
        </w:rPr>
        <w:t>drafted</w:t>
      </w:r>
      <w:r>
        <w:rPr>
          <w:spacing w:val="-5"/>
          <w:w w:val="105"/>
          <w:sz w:val="21"/>
        </w:rPr>
        <w:t> </w:t>
      </w:r>
      <w:r>
        <w:rPr>
          <w:w w:val="105"/>
          <w:sz w:val="21"/>
        </w:rPr>
        <w:t>a</w:t>
      </w:r>
      <w:r>
        <w:rPr>
          <w:spacing w:val="-4"/>
          <w:w w:val="105"/>
          <w:sz w:val="21"/>
        </w:rPr>
        <w:t> </w:t>
      </w:r>
      <w:r>
        <w:rPr>
          <w:w w:val="105"/>
          <w:sz w:val="21"/>
        </w:rPr>
        <w:t>long</w:t>
      </w:r>
      <w:r>
        <w:rPr>
          <w:spacing w:val="-4"/>
          <w:w w:val="105"/>
          <w:sz w:val="21"/>
        </w:rPr>
        <w:t> </w:t>
      </w:r>
      <w:r>
        <w:rPr>
          <w:w w:val="105"/>
          <w:sz w:val="21"/>
        </w:rPr>
        <w:t>time</w:t>
      </w:r>
      <w:r>
        <w:rPr>
          <w:spacing w:val="-4"/>
          <w:w w:val="105"/>
          <w:sz w:val="21"/>
        </w:rPr>
        <w:t> </w:t>
      </w:r>
      <w:r>
        <w:rPr>
          <w:spacing w:val="-3"/>
          <w:w w:val="105"/>
          <w:sz w:val="21"/>
        </w:rPr>
        <w:t>ago,</w:t>
      </w:r>
      <w:r>
        <w:rPr>
          <w:spacing w:val="-4"/>
          <w:w w:val="105"/>
          <w:sz w:val="21"/>
        </w:rPr>
        <w:t> </w:t>
      </w:r>
      <w:r>
        <w:rPr>
          <w:w w:val="105"/>
          <w:sz w:val="21"/>
        </w:rPr>
        <w:t>which propose </w:t>
      </w:r>
      <w:r>
        <w:rPr>
          <w:spacing w:val="-3"/>
          <w:w w:val="105"/>
          <w:sz w:val="21"/>
        </w:rPr>
        <w:t>to </w:t>
      </w:r>
      <w:r>
        <w:rPr>
          <w:w w:val="105"/>
          <w:sz w:val="21"/>
        </w:rPr>
        <w:t>subdivide property in a </w:t>
      </w:r>
      <w:r>
        <w:rPr>
          <w:spacing w:val="-3"/>
          <w:w w:val="105"/>
          <w:sz w:val="21"/>
        </w:rPr>
        <w:t>way that </w:t>
      </w:r>
      <w:r>
        <w:rPr>
          <w:w w:val="105"/>
          <w:sz w:val="21"/>
        </w:rPr>
        <w:t>is no longer</w:t>
      </w:r>
      <w:r>
        <w:rPr>
          <w:spacing w:val="31"/>
          <w:w w:val="105"/>
          <w:sz w:val="21"/>
        </w:rPr>
        <w:t> </w:t>
      </w:r>
      <w:r>
        <w:rPr>
          <w:w w:val="105"/>
          <w:sz w:val="21"/>
        </w:rPr>
        <w:t>permitted.</w:t>
      </w:r>
      <w:r>
        <w:rPr>
          <w:w w:val="105"/>
          <w:position w:val="7"/>
          <w:sz w:val="12"/>
        </w:rPr>
        <w:t>286</w:t>
      </w:r>
    </w:p>
    <w:p>
      <w:pPr>
        <w:pStyle w:val="ListParagraph"/>
        <w:numPr>
          <w:ilvl w:val="0"/>
          <w:numId w:val="97"/>
        </w:numPr>
        <w:tabs>
          <w:tab w:pos="2381" w:val="left" w:leader="none"/>
          <w:tab w:pos="2382" w:val="left" w:leader="none"/>
        </w:tabs>
        <w:spacing w:line="242" w:lineRule="auto" w:before="125" w:after="0"/>
        <w:ind w:left="2381" w:right="1711" w:hanging="794"/>
        <w:jc w:val="left"/>
        <w:rPr>
          <w:sz w:val="12"/>
        </w:rPr>
      </w:pPr>
      <w:r>
        <w:rPr>
          <w:w w:val="105"/>
          <w:sz w:val="21"/>
        </w:rPr>
        <w:t>The Victorian </w:t>
      </w:r>
      <w:r>
        <w:rPr>
          <w:spacing w:val="-3"/>
          <w:w w:val="105"/>
          <w:sz w:val="21"/>
        </w:rPr>
        <w:t>Farmers </w:t>
      </w:r>
      <w:r>
        <w:rPr>
          <w:w w:val="105"/>
          <w:sz w:val="21"/>
        </w:rPr>
        <w:t>Federation emphasised the importance of </w:t>
      </w:r>
      <w:r>
        <w:rPr>
          <w:spacing w:val="-3"/>
          <w:w w:val="105"/>
          <w:sz w:val="21"/>
        </w:rPr>
        <w:t>succession planning.</w:t>
      </w:r>
      <w:r>
        <w:rPr>
          <w:spacing w:val="-3"/>
          <w:w w:val="105"/>
          <w:position w:val="7"/>
          <w:sz w:val="12"/>
        </w:rPr>
        <w:t>287</w:t>
      </w:r>
      <w:r>
        <w:rPr>
          <w:spacing w:val="-3"/>
          <w:w w:val="105"/>
          <w:sz w:val="12"/>
        </w:rPr>
        <w:t> </w:t>
      </w:r>
      <w:r>
        <w:rPr>
          <w:spacing w:val="-4"/>
          <w:w w:val="105"/>
          <w:sz w:val="21"/>
        </w:rPr>
        <w:t>However, </w:t>
      </w:r>
      <w:r>
        <w:rPr>
          <w:w w:val="105"/>
          <w:sz w:val="21"/>
        </w:rPr>
        <w:t>solicitors </w:t>
      </w:r>
      <w:r>
        <w:rPr>
          <w:spacing w:val="-3"/>
          <w:w w:val="105"/>
          <w:sz w:val="21"/>
        </w:rPr>
        <w:t>noted that </w:t>
      </w:r>
      <w:r>
        <w:rPr>
          <w:w w:val="105"/>
          <w:sz w:val="21"/>
        </w:rPr>
        <w:t>there is no </w:t>
      </w:r>
      <w:r>
        <w:rPr>
          <w:spacing w:val="-4"/>
          <w:w w:val="105"/>
          <w:sz w:val="21"/>
        </w:rPr>
        <w:t>‘magic </w:t>
      </w:r>
      <w:r>
        <w:rPr>
          <w:w w:val="105"/>
          <w:sz w:val="21"/>
        </w:rPr>
        <w:t>bullet’ in </w:t>
      </w:r>
      <w:r>
        <w:rPr>
          <w:spacing w:val="-3"/>
          <w:w w:val="105"/>
          <w:sz w:val="21"/>
        </w:rPr>
        <w:t>relation to </w:t>
      </w:r>
      <w:r>
        <w:rPr>
          <w:w w:val="105"/>
          <w:sz w:val="21"/>
        </w:rPr>
        <w:t>the </w:t>
      </w:r>
      <w:r>
        <w:rPr>
          <w:spacing w:val="-2"/>
          <w:w w:val="105"/>
          <w:sz w:val="21"/>
        </w:rPr>
        <w:t>problems </w:t>
      </w:r>
      <w:r>
        <w:rPr>
          <w:w w:val="105"/>
          <w:sz w:val="21"/>
        </w:rPr>
        <w:t>associated</w:t>
      </w:r>
      <w:r>
        <w:rPr>
          <w:spacing w:val="-11"/>
          <w:w w:val="105"/>
          <w:sz w:val="21"/>
        </w:rPr>
        <w:t> </w:t>
      </w:r>
      <w:r>
        <w:rPr>
          <w:w w:val="105"/>
          <w:sz w:val="21"/>
        </w:rPr>
        <w:t>with</w:t>
      </w:r>
      <w:r>
        <w:rPr>
          <w:spacing w:val="-11"/>
          <w:w w:val="105"/>
          <w:sz w:val="21"/>
        </w:rPr>
        <w:t> </w:t>
      </w:r>
      <w:r>
        <w:rPr>
          <w:spacing w:val="-3"/>
          <w:w w:val="105"/>
          <w:sz w:val="21"/>
        </w:rPr>
        <w:t>farm</w:t>
      </w:r>
      <w:r>
        <w:rPr>
          <w:spacing w:val="-11"/>
          <w:w w:val="105"/>
          <w:sz w:val="21"/>
        </w:rPr>
        <w:t> </w:t>
      </w:r>
      <w:r>
        <w:rPr>
          <w:w w:val="105"/>
          <w:sz w:val="21"/>
        </w:rPr>
        <w:t>property,</w:t>
      </w:r>
      <w:r>
        <w:rPr>
          <w:spacing w:val="-11"/>
          <w:w w:val="105"/>
          <w:sz w:val="21"/>
        </w:rPr>
        <w:t> </w:t>
      </w:r>
      <w:r>
        <w:rPr>
          <w:w w:val="105"/>
          <w:sz w:val="21"/>
        </w:rPr>
        <w:t>and</w:t>
      </w:r>
      <w:r>
        <w:rPr>
          <w:spacing w:val="-11"/>
          <w:w w:val="105"/>
          <w:sz w:val="21"/>
        </w:rPr>
        <w:t> </w:t>
      </w:r>
      <w:r>
        <w:rPr>
          <w:w w:val="105"/>
          <w:sz w:val="21"/>
        </w:rPr>
        <w:t>expressed</w:t>
      </w:r>
      <w:r>
        <w:rPr>
          <w:spacing w:val="-11"/>
          <w:w w:val="105"/>
          <w:sz w:val="21"/>
        </w:rPr>
        <w:t> </w:t>
      </w:r>
      <w:r>
        <w:rPr>
          <w:w w:val="105"/>
          <w:sz w:val="21"/>
        </w:rPr>
        <w:t>the</w:t>
      </w:r>
      <w:r>
        <w:rPr>
          <w:spacing w:val="-11"/>
          <w:w w:val="105"/>
          <w:sz w:val="21"/>
        </w:rPr>
        <w:t> </w:t>
      </w:r>
      <w:r>
        <w:rPr>
          <w:w w:val="105"/>
          <w:sz w:val="21"/>
        </w:rPr>
        <w:t>view</w:t>
      </w:r>
      <w:r>
        <w:rPr>
          <w:spacing w:val="-11"/>
          <w:w w:val="105"/>
          <w:sz w:val="21"/>
        </w:rPr>
        <w:t> </w:t>
      </w:r>
      <w:r>
        <w:rPr>
          <w:spacing w:val="-3"/>
          <w:w w:val="105"/>
          <w:sz w:val="21"/>
        </w:rPr>
        <w:t>that,</w:t>
      </w:r>
      <w:r>
        <w:rPr>
          <w:spacing w:val="-11"/>
          <w:w w:val="105"/>
          <w:sz w:val="21"/>
        </w:rPr>
        <w:t> </w:t>
      </w:r>
      <w:r>
        <w:rPr>
          <w:w w:val="105"/>
          <w:sz w:val="21"/>
        </w:rPr>
        <w:t>even</w:t>
      </w:r>
      <w:r>
        <w:rPr>
          <w:spacing w:val="-11"/>
          <w:w w:val="105"/>
          <w:sz w:val="21"/>
        </w:rPr>
        <w:t> </w:t>
      </w:r>
      <w:r>
        <w:rPr>
          <w:w w:val="105"/>
          <w:sz w:val="21"/>
        </w:rPr>
        <w:t>with</w:t>
      </w:r>
      <w:r>
        <w:rPr>
          <w:spacing w:val="-11"/>
          <w:w w:val="105"/>
          <w:sz w:val="21"/>
        </w:rPr>
        <w:t> </w:t>
      </w:r>
      <w:r>
        <w:rPr>
          <w:spacing w:val="-3"/>
          <w:w w:val="105"/>
          <w:sz w:val="21"/>
        </w:rPr>
        <w:t>careful</w:t>
      </w:r>
      <w:r>
        <w:rPr>
          <w:spacing w:val="-11"/>
          <w:w w:val="105"/>
          <w:sz w:val="21"/>
        </w:rPr>
        <w:t> </w:t>
      </w:r>
      <w:r>
        <w:rPr>
          <w:spacing w:val="-3"/>
          <w:w w:val="105"/>
          <w:sz w:val="21"/>
        </w:rPr>
        <w:t>succession planning, family disputes may </w:t>
      </w:r>
      <w:r>
        <w:rPr>
          <w:w w:val="105"/>
          <w:sz w:val="21"/>
        </w:rPr>
        <w:t>still</w:t>
      </w:r>
      <w:r>
        <w:rPr>
          <w:spacing w:val="37"/>
          <w:w w:val="105"/>
          <w:sz w:val="21"/>
        </w:rPr>
        <w:t> </w:t>
      </w:r>
      <w:r>
        <w:rPr>
          <w:spacing w:val="-3"/>
          <w:w w:val="105"/>
          <w:sz w:val="21"/>
        </w:rPr>
        <w:t>occur.</w:t>
      </w:r>
      <w:r>
        <w:rPr>
          <w:spacing w:val="-3"/>
          <w:w w:val="105"/>
          <w:position w:val="7"/>
          <w:sz w:val="12"/>
        </w:rPr>
        <w:t>288</w:t>
      </w:r>
    </w:p>
    <w:p>
      <w:pPr>
        <w:pStyle w:val="ListParagraph"/>
        <w:numPr>
          <w:ilvl w:val="0"/>
          <w:numId w:val="97"/>
        </w:numPr>
        <w:tabs>
          <w:tab w:pos="2380" w:val="left" w:leader="none"/>
          <w:tab w:pos="2381" w:val="left" w:leader="none"/>
        </w:tabs>
        <w:spacing w:line="242" w:lineRule="auto" w:before="124" w:after="0"/>
        <w:ind w:left="2381" w:right="1769" w:hanging="794"/>
        <w:jc w:val="left"/>
        <w:rPr>
          <w:sz w:val="21"/>
        </w:rPr>
      </w:pPr>
      <w:r>
        <w:rPr>
          <w:spacing w:val="-4"/>
          <w:w w:val="105"/>
          <w:sz w:val="21"/>
        </w:rPr>
        <w:t>Some </w:t>
      </w:r>
      <w:r>
        <w:rPr>
          <w:spacing w:val="-5"/>
          <w:w w:val="105"/>
          <w:sz w:val="21"/>
        </w:rPr>
        <w:t>regional solicitors supported </w:t>
      </w:r>
      <w:r>
        <w:rPr>
          <w:spacing w:val="-4"/>
          <w:w w:val="105"/>
          <w:sz w:val="21"/>
        </w:rPr>
        <w:t>the </w:t>
      </w:r>
      <w:r>
        <w:rPr>
          <w:spacing w:val="-5"/>
          <w:w w:val="105"/>
          <w:sz w:val="21"/>
        </w:rPr>
        <w:t>introduction </w:t>
      </w:r>
      <w:r>
        <w:rPr>
          <w:spacing w:val="-4"/>
          <w:w w:val="105"/>
          <w:sz w:val="21"/>
        </w:rPr>
        <w:t>of </w:t>
      </w:r>
      <w:r>
        <w:rPr>
          <w:w w:val="105"/>
          <w:sz w:val="21"/>
        </w:rPr>
        <w:t>a </w:t>
      </w:r>
      <w:r>
        <w:rPr>
          <w:spacing w:val="-5"/>
          <w:w w:val="105"/>
          <w:sz w:val="21"/>
        </w:rPr>
        <w:t>provision </w:t>
      </w:r>
      <w:r>
        <w:rPr>
          <w:spacing w:val="-6"/>
          <w:w w:val="105"/>
          <w:sz w:val="21"/>
        </w:rPr>
        <w:t>allowing </w:t>
      </w:r>
      <w:r>
        <w:rPr>
          <w:spacing w:val="-4"/>
          <w:w w:val="105"/>
          <w:sz w:val="21"/>
        </w:rPr>
        <w:t>the </w:t>
      </w:r>
      <w:r>
        <w:rPr>
          <w:spacing w:val="-5"/>
          <w:w w:val="105"/>
          <w:sz w:val="21"/>
        </w:rPr>
        <w:t>recipients </w:t>
      </w:r>
      <w:r>
        <w:rPr>
          <w:spacing w:val="-4"/>
          <w:w w:val="105"/>
          <w:sz w:val="21"/>
        </w:rPr>
        <w:t>of </w:t>
      </w:r>
      <w:r>
        <w:rPr>
          <w:spacing w:val="-6"/>
          <w:w w:val="105"/>
          <w:sz w:val="21"/>
        </w:rPr>
        <w:t>lifetime </w:t>
      </w:r>
      <w:r>
        <w:rPr>
          <w:spacing w:val="-3"/>
          <w:w w:val="105"/>
          <w:sz w:val="21"/>
        </w:rPr>
        <w:t>gifts </w:t>
      </w:r>
      <w:r>
        <w:rPr>
          <w:spacing w:val="-4"/>
          <w:w w:val="105"/>
          <w:sz w:val="21"/>
        </w:rPr>
        <w:t>to </w:t>
      </w:r>
      <w:r>
        <w:rPr>
          <w:spacing w:val="-5"/>
          <w:w w:val="105"/>
          <w:sz w:val="21"/>
        </w:rPr>
        <w:t>sign </w:t>
      </w:r>
      <w:r>
        <w:rPr>
          <w:w w:val="105"/>
          <w:sz w:val="21"/>
        </w:rPr>
        <w:t>a </w:t>
      </w:r>
      <w:r>
        <w:rPr>
          <w:spacing w:val="-5"/>
          <w:w w:val="105"/>
          <w:sz w:val="21"/>
        </w:rPr>
        <w:t>release </w:t>
      </w:r>
      <w:r>
        <w:rPr>
          <w:spacing w:val="-4"/>
          <w:w w:val="105"/>
          <w:sz w:val="21"/>
        </w:rPr>
        <w:t>of </w:t>
      </w:r>
      <w:r>
        <w:rPr>
          <w:spacing w:val="-5"/>
          <w:w w:val="105"/>
          <w:sz w:val="21"/>
        </w:rPr>
        <w:t>their rights </w:t>
      </w:r>
      <w:r>
        <w:rPr>
          <w:spacing w:val="-4"/>
          <w:w w:val="105"/>
          <w:sz w:val="21"/>
        </w:rPr>
        <w:t>to </w:t>
      </w:r>
      <w:r>
        <w:rPr>
          <w:spacing w:val="-6"/>
          <w:w w:val="105"/>
          <w:sz w:val="21"/>
        </w:rPr>
        <w:t>make </w:t>
      </w:r>
      <w:r>
        <w:rPr>
          <w:w w:val="105"/>
          <w:sz w:val="21"/>
        </w:rPr>
        <w:t>a </w:t>
      </w:r>
      <w:r>
        <w:rPr>
          <w:spacing w:val="-6"/>
          <w:w w:val="105"/>
          <w:sz w:val="21"/>
        </w:rPr>
        <w:t>family </w:t>
      </w:r>
      <w:r>
        <w:rPr>
          <w:spacing w:val="-5"/>
          <w:w w:val="105"/>
          <w:sz w:val="21"/>
        </w:rPr>
        <w:t>provision </w:t>
      </w:r>
      <w:r>
        <w:rPr>
          <w:spacing w:val="-6"/>
          <w:w w:val="105"/>
          <w:sz w:val="21"/>
        </w:rPr>
        <w:t>claim, </w:t>
      </w:r>
      <w:r>
        <w:rPr>
          <w:spacing w:val="-5"/>
          <w:w w:val="105"/>
          <w:sz w:val="21"/>
        </w:rPr>
        <w:t>such </w:t>
      </w:r>
      <w:r>
        <w:rPr>
          <w:spacing w:val="-3"/>
          <w:w w:val="105"/>
          <w:sz w:val="21"/>
        </w:rPr>
        <w:t>as exists </w:t>
      </w:r>
      <w:r>
        <w:rPr>
          <w:spacing w:val="-4"/>
          <w:w w:val="105"/>
          <w:sz w:val="21"/>
        </w:rPr>
        <w:t>subject to court </w:t>
      </w:r>
      <w:r>
        <w:rPr>
          <w:spacing w:val="-6"/>
          <w:w w:val="105"/>
          <w:sz w:val="21"/>
        </w:rPr>
        <w:t>approval </w:t>
      </w:r>
      <w:r>
        <w:rPr>
          <w:spacing w:val="-5"/>
          <w:w w:val="105"/>
          <w:sz w:val="21"/>
        </w:rPr>
        <w:t>under </w:t>
      </w:r>
      <w:r>
        <w:rPr>
          <w:spacing w:val="-4"/>
          <w:w w:val="105"/>
          <w:sz w:val="21"/>
        </w:rPr>
        <w:t>the </w:t>
      </w:r>
      <w:r>
        <w:rPr>
          <w:i/>
          <w:spacing w:val="-6"/>
          <w:w w:val="105"/>
          <w:sz w:val="21"/>
        </w:rPr>
        <w:t>Succession </w:t>
      </w:r>
      <w:r>
        <w:rPr>
          <w:i/>
          <w:spacing w:val="-3"/>
          <w:w w:val="105"/>
          <w:sz w:val="21"/>
        </w:rPr>
        <w:t>Act 2006 </w:t>
      </w:r>
      <w:r>
        <w:rPr>
          <w:w w:val="105"/>
          <w:sz w:val="21"/>
        </w:rPr>
        <w:t>(NSW).</w:t>
      </w:r>
      <w:r>
        <w:rPr>
          <w:w w:val="105"/>
          <w:position w:val="7"/>
          <w:sz w:val="12"/>
        </w:rPr>
        <w:t>289 </w:t>
      </w:r>
      <w:r>
        <w:rPr>
          <w:w w:val="105"/>
          <w:sz w:val="21"/>
        </w:rPr>
        <w:t>In </w:t>
      </w:r>
      <w:r>
        <w:rPr>
          <w:spacing w:val="-4"/>
          <w:w w:val="105"/>
          <w:sz w:val="21"/>
        </w:rPr>
        <w:t>support of </w:t>
      </w:r>
      <w:r>
        <w:rPr>
          <w:spacing w:val="-6"/>
          <w:w w:val="105"/>
          <w:sz w:val="21"/>
        </w:rPr>
        <w:t>introducing </w:t>
      </w:r>
      <w:r>
        <w:rPr>
          <w:spacing w:val="-5"/>
          <w:w w:val="105"/>
          <w:sz w:val="21"/>
        </w:rPr>
        <w:t>such </w:t>
      </w:r>
      <w:r>
        <w:rPr>
          <w:w w:val="105"/>
          <w:sz w:val="21"/>
        </w:rPr>
        <w:t>a </w:t>
      </w:r>
      <w:r>
        <w:rPr>
          <w:spacing w:val="-6"/>
          <w:w w:val="105"/>
          <w:sz w:val="21"/>
        </w:rPr>
        <w:t>provision, </w:t>
      </w:r>
      <w:r>
        <w:rPr>
          <w:spacing w:val="-3"/>
          <w:w w:val="105"/>
          <w:sz w:val="21"/>
        </w:rPr>
        <w:t>it </w:t>
      </w:r>
      <w:r>
        <w:rPr>
          <w:spacing w:val="-4"/>
          <w:w w:val="105"/>
          <w:sz w:val="21"/>
        </w:rPr>
        <w:t>was </w:t>
      </w:r>
      <w:r>
        <w:rPr>
          <w:spacing w:val="-5"/>
          <w:w w:val="105"/>
          <w:sz w:val="21"/>
        </w:rPr>
        <w:t>argued that, where there has </w:t>
      </w:r>
      <w:r>
        <w:rPr>
          <w:spacing w:val="-4"/>
          <w:w w:val="105"/>
          <w:sz w:val="21"/>
        </w:rPr>
        <w:t>been </w:t>
      </w:r>
      <w:r>
        <w:rPr>
          <w:spacing w:val="-3"/>
          <w:w w:val="105"/>
          <w:sz w:val="21"/>
        </w:rPr>
        <w:t>an </w:t>
      </w:r>
      <w:r>
        <w:rPr>
          <w:spacing w:val="-6"/>
          <w:w w:val="105"/>
          <w:sz w:val="21"/>
        </w:rPr>
        <w:t>intergenerational transfer </w:t>
      </w:r>
      <w:r>
        <w:rPr>
          <w:spacing w:val="-4"/>
          <w:w w:val="105"/>
          <w:sz w:val="21"/>
        </w:rPr>
        <w:t>of </w:t>
      </w:r>
      <w:r>
        <w:rPr>
          <w:spacing w:val="-5"/>
          <w:w w:val="105"/>
          <w:sz w:val="21"/>
        </w:rPr>
        <w:t>farm property, </w:t>
      </w:r>
      <w:r>
        <w:rPr>
          <w:w w:val="105"/>
          <w:sz w:val="21"/>
        </w:rPr>
        <w:t>a </w:t>
      </w:r>
      <w:r>
        <w:rPr>
          <w:spacing w:val="-6"/>
          <w:w w:val="105"/>
          <w:sz w:val="21"/>
        </w:rPr>
        <w:t>recipient </w:t>
      </w:r>
      <w:r>
        <w:rPr>
          <w:spacing w:val="-4"/>
          <w:w w:val="105"/>
          <w:sz w:val="21"/>
        </w:rPr>
        <w:t>of </w:t>
      </w:r>
      <w:r>
        <w:rPr>
          <w:spacing w:val="-5"/>
          <w:w w:val="105"/>
          <w:sz w:val="21"/>
        </w:rPr>
        <w:t>that </w:t>
      </w:r>
      <w:r>
        <w:rPr>
          <w:spacing w:val="-4"/>
          <w:w w:val="105"/>
          <w:sz w:val="21"/>
        </w:rPr>
        <w:t>property </w:t>
      </w:r>
      <w:r>
        <w:rPr>
          <w:spacing w:val="-5"/>
          <w:w w:val="105"/>
          <w:sz w:val="21"/>
        </w:rPr>
        <w:t>should </w:t>
      </w:r>
      <w:r>
        <w:rPr>
          <w:w w:val="105"/>
          <w:sz w:val="21"/>
        </w:rPr>
        <w:t>be </w:t>
      </w:r>
      <w:r>
        <w:rPr>
          <w:spacing w:val="-5"/>
          <w:w w:val="105"/>
          <w:sz w:val="21"/>
        </w:rPr>
        <w:t>precluded from making</w:t>
      </w:r>
      <w:r>
        <w:rPr>
          <w:spacing w:val="-27"/>
          <w:w w:val="105"/>
          <w:sz w:val="21"/>
        </w:rPr>
        <w:t> </w:t>
      </w:r>
      <w:r>
        <w:rPr>
          <w:w w:val="105"/>
          <w:sz w:val="21"/>
        </w:rPr>
        <w:t>a</w:t>
      </w:r>
    </w:p>
    <w:p>
      <w:pPr>
        <w:pStyle w:val="BodyText"/>
        <w:spacing w:line="242" w:lineRule="auto" w:before="5"/>
        <w:ind w:left="2381" w:right="1746"/>
        <w:rPr>
          <w:sz w:val="12"/>
        </w:rPr>
      </w:pPr>
      <w:r>
        <w:rPr/>
        <w:pict>
          <v:line style="position:absolute;mso-position-horizontal-relative:page;mso-position-vertical-relative:paragraph;z-index:8144;mso-wrap-distance-left:0;mso-wrap-distance-right:0" from="79.370102pt,30.279154pt" to="515.905102pt,30.279154pt" stroked="true" strokeweight="1pt" strokecolor="#f9ceca">
            <v:stroke dashstyle="solid"/>
            <w10:wrap type="topAndBottom"/>
          </v:line>
        </w:pict>
      </w:r>
      <w:r>
        <w:rPr>
          <w:spacing w:val="-6"/>
          <w:w w:val="105"/>
        </w:rPr>
        <w:t>family </w:t>
      </w:r>
      <w:r>
        <w:rPr>
          <w:spacing w:val="-5"/>
          <w:w w:val="105"/>
        </w:rPr>
        <w:t>provision </w:t>
      </w:r>
      <w:r>
        <w:rPr>
          <w:spacing w:val="-4"/>
          <w:w w:val="105"/>
        </w:rPr>
        <w:t>claim.</w:t>
      </w:r>
      <w:r>
        <w:rPr>
          <w:spacing w:val="-4"/>
          <w:w w:val="105"/>
          <w:position w:val="7"/>
          <w:sz w:val="12"/>
        </w:rPr>
        <w:t>290 </w:t>
      </w:r>
      <w:r>
        <w:rPr>
          <w:spacing w:val="-4"/>
          <w:w w:val="105"/>
        </w:rPr>
        <w:t>Arnold </w:t>
      </w:r>
      <w:r>
        <w:rPr>
          <w:spacing w:val="-5"/>
          <w:w w:val="105"/>
        </w:rPr>
        <w:t>Bloch Leibler </w:t>
      </w:r>
      <w:r>
        <w:rPr>
          <w:spacing w:val="-4"/>
          <w:w w:val="105"/>
        </w:rPr>
        <w:t>also </w:t>
      </w:r>
      <w:r>
        <w:rPr>
          <w:spacing w:val="-5"/>
          <w:w w:val="105"/>
        </w:rPr>
        <w:t>supported </w:t>
      </w:r>
      <w:r>
        <w:rPr>
          <w:spacing w:val="-4"/>
          <w:w w:val="105"/>
        </w:rPr>
        <w:t>the </w:t>
      </w:r>
      <w:r>
        <w:rPr>
          <w:spacing w:val="-5"/>
          <w:w w:val="105"/>
        </w:rPr>
        <w:t>introduction </w:t>
      </w:r>
      <w:r>
        <w:rPr>
          <w:spacing w:val="-4"/>
          <w:w w:val="105"/>
        </w:rPr>
        <w:t>of </w:t>
      </w:r>
      <w:r>
        <w:rPr>
          <w:w w:val="105"/>
        </w:rPr>
        <w:t>a </w:t>
      </w:r>
      <w:r>
        <w:rPr>
          <w:spacing w:val="-5"/>
          <w:w w:val="105"/>
        </w:rPr>
        <w:t>provision permitting </w:t>
      </w:r>
      <w:r>
        <w:rPr>
          <w:spacing w:val="-6"/>
          <w:w w:val="105"/>
        </w:rPr>
        <w:t>court-approved </w:t>
      </w:r>
      <w:r>
        <w:rPr>
          <w:spacing w:val="-5"/>
          <w:w w:val="105"/>
        </w:rPr>
        <w:t>release </w:t>
      </w:r>
      <w:r>
        <w:rPr>
          <w:spacing w:val="-4"/>
          <w:w w:val="105"/>
        </w:rPr>
        <w:t>of </w:t>
      </w:r>
      <w:r>
        <w:rPr>
          <w:w w:val="105"/>
        </w:rPr>
        <w:t>a </w:t>
      </w:r>
      <w:r>
        <w:rPr>
          <w:spacing w:val="-6"/>
          <w:w w:val="105"/>
        </w:rPr>
        <w:t>person’s </w:t>
      </w:r>
      <w:r>
        <w:rPr>
          <w:spacing w:val="-5"/>
          <w:w w:val="105"/>
        </w:rPr>
        <w:t>right </w:t>
      </w:r>
      <w:r>
        <w:rPr>
          <w:spacing w:val="-4"/>
          <w:w w:val="105"/>
        </w:rPr>
        <w:t>to </w:t>
      </w:r>
      <w:r>
        <w:rPr>
          <w:spacing w:val="-6"/>
          <w:w w:val="105"/>
        </w:rPr>
        <w:t>make </w:t>
      </w:r>
      <w:r>
        <w:rPr>
          <w:w w:val="105"/>
        </w:rPr>
        <w:t>a </w:t>
      </w:r>
      <w:r>
        <w:rPr>
          <w:spacing w:val="-6"/>
          <w:w w:val="105"/>
        </w:rPr>
        <w:t>family </w:t>
      </w:r>
      <w:r>
        <w:rPr>
          <w:spacing w:val="-5"/>
          <w:w w:val="105"/>
        </w:rPr>
        <w:t>provision </w:t>
      </w:r>
      <w:r>
        <w:rPr>
          <w:spacing w:val="-6"/>
          <w:w w:val="105"/>
        </w:rPr>
        <w:t>claim.</w:t>
      </w:r>
      <w:r>
        <w:rPr>
          <w:spacing w:val="-6"/>
          <w:w w:val="105"/>
          <w:position w:val="7"/>
          <w:sz w:val="12"/>
        </w:rPr>
        <w:t>291</w:t>
      </w:r>
    </w:p>
    <w:p>
      <w:pPr>
        <w:pStyle w:val="BodyText"/>
        <w:spacing w:before="8"/>
        <w:rPr>
          <w:sz w:val="5"/>
        </w:rPr>
      </w:pPr>
    </w:p>
    <w:p>
      <w:pPr>
        <w:spacing w:after="0"/>
        <w:rPr>
          <w:sz w:val="5"/>
        </w:rPr>
        <w:sectPr>
          <w:pgSz w:w="11910" w:h="16840"/>
          <w:pgMar w:header="805" w:footer="0" w:top="1360" w:bottom="280" w:left="0" w:right="0"/>
        </w:sectPr>
      </w:pPr>
    </w:p>
    <w:p>
      <w:pPr>
        <w:pStyle w:val="ListParagraph"/>
        <w:numPr>
          <w:ilvl w:val="0"/>
          <w:numId w:val="105"/>
        </w:numPr>
        <w:tabs>
          <w:tab w:pos="2380" w:val="left" w:leader="none"/>
          <w:tab w:pos="2382" w:val="left" w:leader="none"/>
        </w:tabs>
        <w:spacing w:line="240" w:lineRule="auto" w:before="48" w:after="0"/>
        <w:ind w:left="2381" w:right="0" w:hanging="794"/>
        <w:jc w:val="left"/>
        <w:rPr>
          <w:sz w:val="13"/>
        </w:rPr>
      </w:pPr>
      <w:r>
        <w:rPr>
          <w:w w:val="105"/>
          <w:sz w:val="13"/>
        </w:rPr>
        <w:t>Submissions </w:t>
      </w:r>
      <w:r>
        <w:rPr>
          <w:spacing w:val="-4"/>
          <w:w w:val="105"/>
          <w:sz w:val="13"/>
        </w:rPr>
        <w:t>13 </w:t>
      </w:r>
      <w:r>
        <w:rPr>
          <w:w w:val="105"/>
          <w:sz w:val="13"/>
        </w:rPr>
        <w:t>(David Shalders); </w:t>
      </w:r>
      <w:r>
        <w:rPr>
          <w:spacing w:val="-3"/>
          <w:w w:val="105"/>
          <w:sz w:val="13"/>
        </w:rPr>
        <w:t>14 </w:t>
      </w:r>
      <w:r>
        <w:rPr>
          <w:w w:val="105"/>
          <w:sz w:val="13"/>
        </w:rPr>
        <w:t>(Commercial Bar </w:t>
      </w:r>
      <w:r>
        <w:rPr>
          <w:spacing w:val="2"/>
          <w:w w:val="105"/>
          <w:sz w:val="13"/>
        </w:rPr>
        <w:t>Association); </w:t>
      </w:r>
      <w:r>
        <w:rPr>
          <w:spacing w:val="-3"/>
          <w:w w:val="105"/>
          <w:sz w:val="13"/>
        </w:rPr>
        <w:t>41 </w:t>
      </w:r>
      <w:r>
        <w:rPr>
          <w:spacing w:val="2"/>
          <w:w w:val="105"/>
          <w:sz w:val="13"/>
        </w:rPr>
        <w:t>(Victorian </w:t>
      </w:r>
      <w:r>
        <w:rPr>
          <w:w w:val="105"/>
          <w:sz w:val="13"/>
        </w:rPr>
        <w:t>Farmers Federation). Consultations 3 </w:t>
      </w:r>
      <w:r>
        <w:rPr>
          <w:spacing w:val="2"/>
          <w:w w:val="105"/>
          <w:sz w:val="13"/>
        </w:rPr>
        <w:t>(Legal </w:t>
      </w:r>
      <w:r>
        <w:rPr>
          <w:w w:val="105"/>
          <w:sz w:val="13"/>
        </w:rPr>
        <w:t>practitioners  in</w:t>
      </w:r>
      <w:r>
        <w:rPr>
          <w:spacing w:val="6"/>
          <w:w w:val="105"/>
          <w:sz w:val="13"/>
        </w:rPr>
        <w:t> </w:t>
      </w:r>
      <w:r>
        <w:rPr>
          <w:w w:val="105"/>
          <w:sz w:val="13"/>
        </w:rPr>
        <w:t>the</w:t>
      </w:r>
      <w:r>
        <w:rPr>
          <w:spacing w:val="7"/>
          <w:w w:val="105"/>
          <w:sz w:val="13"/>
        </w:rPr>
        <w:t> </w:t>
      </w:r>
      <w:r>
        <w:rPr>
          <w:w w:val="105"/>
          <w:sz w:val="13"/>
        </w:rPr>
        <w:t>Goulburn</w:t>
      </w:r>
      <w:r>
        <w:rPr>
          <w:spacing w:val="7"/>
          <w:w w:val="105"/>
          <w:sz w:val="13"/>
        </w:rPr>
        <w:t> </w:t>
      </w:r>
      <w:r>
        <w:rPr>
          <w:w w:val="105"/>
          <w:sz w:val="13"/>
        </w:rPr>
        <w:t>Valley</w:t>
      </w:r>
      <w:r>
        <w:rPr>
          <w:spacing w:val="7"/>
          <w:w w:val="105"/>
          <w:sz w:val="13"/>
        </w:rPr>
        <w:t> </w:t>
      </w:r>
      <w:r>
        <w:rPr>
          <w:w w:val="105"/>
          <w:sz w:val="13"/>
        </w:rPr>
        <w:t>region);</w:t>
      </w:r>
      <w:r>
        <w:rPr>
          <w:spacing w:val="7"/>
          <w:w w:val="105"/>
          <w:sz w:val="13"/>
        </w:rPr>
        <w:t> </w:t>
      </w:r>
      <w:r>
        <w:rPr>
          <w:w w:val="105"/>
          <w:sz w:val="13"/>
        </w:rPr>
        <w:t>4</w:t>
      </w:r>
      <w:r>
        <w:rPr>
          <w:spacing w:val="7"/>
          <w:w w:val="105"/>
          <w:sz w:val="13"/>
        </w:rPr>
        <w:t> </w:t>
      </w:r>
      <w:r>
        <w:rPr>
          <w:spacing w:val="2"/>
          <w:w w:val="105"/>
          <w:sz w:val="13"/>
        </w:rPr>
        <w:t>(Legal</w:t>
      </w:r>
      <w:r>
        <w:rPr>
          <w:spacing w:val="7"/>
          <w:w w:val="105"/>
          <w:sz w:val="13"/>
        </w:rPr>
        <w:t> </w:t>
      </w:r>
      <w:r>
        <w:rPr>
          <w:w w:val="105"/>
          <w:sz w:val="13"/>
        </w:rPr>
        <w:t>practitioners</w:t>
      </w:r>
      <w:r>
        <w:rPr>
          <w:spacing w:val="7"/>
          <w:w w:val="105"/>
          <w:sz w:val="13"/>
        </w:rPr>
        <w:t> </w:t>
      </w:r>
      <w:r>
        <w:rPr>
          <w:w w:val="105"/>
          <w:sz w:val="13"/>
        </w:rPr>
        <w:t>from</w:t>
      </w:r>
      <w:r>
        <w:rPr>
          <w:spacing w:val="7"/>
          <w:w w:val="105"/>
          <w:sz w:val="13"/>
        </w:rPr>
        <w:t> </w:t>
      </w:r>
      <w:r>
        <w:rPr>
          <w:w w:val="105"/>
          <w:sz w:val="13"/>
        </w:rPr>
        <w:t>the</w:t>
      </w:r>
      <w:r>
        <w:rPr>
          <w:spacing w:val="7"/>
          <w:w w:val="105"/>
          <w:sz w:val="13"/>
        </w:rPr>
        <w:t> </w:t>
      </w:r>
      <w:r>
        <w:rPr>
          <w:w w:val="105"/>
          <w:sz w:val="13"/>
        </w:rPr>
        <w:t>Goulburn</w:t>
      </w:r>
      <w:r>
        <w:rPr>
          <w:spacing w:val="7"/>
          <w:w w:val="105"/>
          <w:sz w:val="13"/>
        </w:rPr>
        <w:t> </w:t>
      </w:r>
      <w:r>
        <w:rPr>
          <w:w w:val="105"/>
          <w:sz w:val="13"/>
        </w:rPr>
        <w:t>Valley</w:t>
      </w:r>
      <w:r>
        <w:rPr>
          <w:spacing w:val="7"/>
          <w:w w:val="105"/>
          <w:sz w:val="13"/>
        </w:rPr>
        <w:t> </w:t>
      </w:r>
      <w:r>
        <w:rPr>
          <w:w w:val="105"/>
          <w:sz w:val="13"/>
        </w:rPr>
        <w:t>and</w:t>
      </w:r>
      <w:r>
        <w:rPr>
          <w:spacing w:val="7"/>
          <w:w w:val="105"/>
          <w:sz w:val="13"/>
        </w:rPr>
        <w:t> </w:t>
      </w:r>
      <w:r>
        <w:rPr>
          <w:w w:val="105"/>
          <w:sz w:val="13"/>
        </w:rPr>
        <w:t>Loddon</w:t>
      </w:r>
      <w:r>
        <w:rPr>
          <w:spacing w:val="7"/>
          <w:w w:val="105"/>
          <w:sz w:val="13"/>
        </w:rPr>
        <w:t> </w:t>
      </w:r>
      <w:r>
        <w:rPr>
          <w:w w:val="105"/>
          <w:sz w:val="13"/>
        </w:rPr>
        <w:t>Campaspe</w:t>
      </w:r>
      <w:r>
        <w:rPr>
          <w:spacing w:val="6"/>
          <w:w w:val="105"/>
          <w:sz w:val="13"/>
        </w:rPr>
        <w:t> </w:t>
      </w:r>
      <w:r>
        <w:rPr>
          <w:w w:val="105"/>
          <w:sz w:val="13"/>
        </w:rPr>
        <w:t>Community</w:t>
      </w:r>
      <w:r>
        <w:rPr>
          <w:spacing w:val="7"/>
          <w:w w:val="105"/>
          <w:sz w:val="13"/>
        </w:rPr>
        <w:t> </w:t>
      </w:r>
      <w:r>
        <w:rPr>
          <w:w w:val="105"/>
          <w:sz w:val="13"/>
        </w:rPr>
        <w:t>Legal</w:t>
      </w:r>
      <w:r>
        <w:rPr>
          <w:spacing w:val="7"/>
          <w:w w:val="105"/>
          <w:sz w:val="13"/>
        </w:rPr>
        <w:t> </w:t>
      </w:r>
      <w:r>
        <w:rPr>
          <w:w w:val="105"/>
          <w:sz w:val="13"/>
        </w:rPr>
        <w:t>Centres);</w:t>
      </w:r>
    </w:p>
    <w:p>
      <w:pPr>
        <w:spacing w:before="3"/>
        <w:ind w:left="2381" w:right="0" w:firstLine="0"/>
        <w:jc w:val="left"/>
        <w:rPr>
          <w:sz w:val="13"/>
        </w:rPr>
      </w:pPr>
      <w:r>
        <w:rPr>
          <w:w w:val="105"/>
          <w:sz w:val="13"/>
        </w:rPr>
        <w:t>12 (Law Society of New South Wales); 18 (Legal practitioners in Wodonga); 20 (Legal practitioners in Colac).</w:t>
      </w:r>
    </w:p>
    <w:p>
      <w:pPr>
        <w:pStyle w:val="ListParagraph"/>
        <w:numPr>
          <w:ilvl w:val="0"/>
          <w:numId w:val="105"/>
        </w:numPr>
        <w:tabs>
          <w:tab w:pos="2380" w:val="left" w:leader="none"/>
          <w:tab w:pos="2382" w:val="left" w:leader="none"/>
        </w:tabs>
        <w:spacing w:line="240" w:lineRule="auto" w:before="1" w:after="0"/>
        <w:ind w:left="2381" w:right="0" w:hanging="794"/>
        <w:jc w:val="left"/>
        <w:rPr>
          <w:sz w:val="13"/>
        </w:rPr>
      </w:pPr>
      <w:r>
        <w:rPr>
          <w:w w:val="105"/>
          <w:sz w:val="13"/>
        </w:rPr>
        <w:t>Submission </w:t>
      </w:r>
      <w:r>
        <w:rPr>
          <w:spacing w:val="-3"/>
          <w:w w:val="105"/>
          <w:sz w:val="13"/>
        </w:rPr>
        <w:t>41 </w:t>
      </w:r>
      <w:r>
        <w:rPr>
          <w:w w:val="105"/>
          <w:sz w:val="13"/>
        </w:rPr>
        <w:t>(Victorian Farmers</w:t>
      </w:r>
      <w:r>
        <w:rPr>
          <w:spacing w:val="21"/>
          <w:w w:val="105"/>
          <w:sz w:val="13"/>
        </w:rPr>
        <w:t> </w:t>
      </w:r>
      <w:r>
        <w:rPr>
          <w:w w:val="105"/>
          <w:sz w:val="13"/>
        </w:rPr>
        <w:t>Federation).</w:t>
      </w:r>
    </w:p>
    <w:p>
      <w:pPr>
        <w:pStyle w:val="ListParagraph"/>
        <w:numPr>
          <w:ilvl w:val="0"/>
          <w:numId w:val="105"/>
        </w:numPr>
        <w:tabs>
          <w:tab w:pos="2380" w:val="left" w:leader="none"/>
          <w:tab w:pos="2382" w:val="left" w:leader="none"/>
        </w:tabs>
        <w:spacing w:line="240" w:lineRule="auto" w:before="1" w:after="0"/>
        <w:ind w:left="2381" w:right="0" w:hanging="794"/>
        <w:jc w:val="left"/>
        <w:rPr>
          <w:sz w:val="13"/>
        </w:rPr>
      </w:pPr>
      <w:r>
        <w:rPr>
          <w:w w:val="105"/>
          <w:sz w:val="13"/>
        </w:rPr>
        <w:t>Submission </w:t>
      </w:r>
      <w:r>
        <w:rPr>
          <w:spacing w:val="-4"/>
          <w:w w:val="105"/>
          <w:sz w:val="13"/>
        </w:rPr>
        <w:t>13 </w:t>
      </w:r>
      <w:r>
        <w:rPr>
          <w:w w:val="105"/>
          <w:sz w:val="13"/>
        </w:rPr>
        <w:t>(David</w:t>
      </w:r>
      <w:r>
        <w:rPr>
          <w:spacing w:val="-9"/>
          <w:w w:val="105"/>
          <w:sz w:val="13"/>
        </w:rPr>
        <w:t> </w:t>
      </w:r>
      <w:r>
        <w:rPr>
          <w:w w:val="105"/>
          <w:sz w:val="13"/>
        </w:rPr>
        <w:t>Shalders).</w:t>
      </w:r>
    </w:p>
    <w:p>
      <w:pPr>
        <w:pStyle w:val="ListParagraph"/>
        <w:numPr>
          <w:ilvl w:val="0"/>
          <w:numId w:val="105"/>
        </w:numPr>
        <w:tabs>
          <w:tab w:pos="2380" w:val="left" w:leader="none"/>
          <w:tab w:pos="2382" w:val="left" w:leader="none"/>
        </w:tabs>
        <w:spacing w:line="240" w:lineRule="auto" w:before="2" w:after="0"/>
        <w:ind w:left="2381" w:right="0" w:hanging="794"/>
        <w:jc w:val="left"/>
        <w:rPr>
          <w:sz w:val="13"/>
        </w:rPr>
      </w:pPr>
      <w:r>
        <w:rPr>
          <w:i/>
          <w:w w:val="105"/>
          <w:sz w:val="13"/>
        </w:rPr>
        <w:t>Torney v Shalders </w:t>
      </w:r>
      <w:r>
        <w:rPr>
          <w:spacing w:val="2"/>
          <w:w w:val="105"/>
          <w:sz w:val="13"/>
        </w:rPr>
        <w:t>[2009] </w:t>
      </w:r>
      <w:r>
        <w:rPr>
          <w:w w:val="105"/>
          <w:sz w:val="13"/>
        </w:rPr>
        <w:t>VSC 268 (3 July</w:t>
      </w:r>
      <w:r>
        <w:rPr>
          <w:spacing w:val="3"/>
          <w:w w:val="105"/>
          <w:sz w:val="13"/>
        </w:rPr>
        <w:t> </w:t>
      </w:r>
      <w:r>
        <w:rPr>
          <w:spacing w:val="2"/>
          <w:w w:val="105"/>
          <w:sz w:val="13"/>
        </w:rPr>
        <w:t>2009).</w:t>
      </w:r>
    </w:p>
    <w:p>
      <w:pPr>
        <w:pStyle w:val="ListParagraph"/>
        <w:numPr>
          <w:ilvl w:val="0"/>
          <w:numId w:val="105"/>
        </w:numPr>
        <w:tabs>
          <w:tab w:pos="2380" w:val="left" w:leader="none"/>
          <w:tab w:pos="2382" w:val="left" w:leader="none"/>
        </w:tabs>
        <w:spacing w:line="240" w:lineRule="auto" w:before="1" w:after="0"/>
        <w:ind w:left="2381" w:right="0" w:hanging="794"/>
        <w:jc w:val="left"/>
        <w:rPr>
          <w:sz w:val="13"/>
        </w:rPr>
      </w:pPr>
      <w:r>
        <w:rPr>
          <w:w w:val="105"/>
          <w:sz w:val="13"/>
        </w:rPr>
        <w:t>Consultation 20 </w:t>
      </w:r>
      <w:r>
        <w:rPr>
          <w:spacing w:val="2"/>
          <w:w w:val="105"/>
          <w:sz w:val="13"/>
        </w:rPr>
        <w:t>(Legal </w:t>
      </w:r>
      <w:r>
        <w:rPr>
          <w:w w:val="105"/>
          <w:sz w:val="13"/>
        </w:rPr>
        <w:t>practitioners in</w:t>
      </w:r>
      <w:r>
        <w:rPr>
          <w:spacing w:val="21"/>
          <w:w w:val="105"/>
          <w:sz w:val="13"/>
        </w:rPr>
        <w:t> </w:t>
      </w:r>
      <w:r>
        <w:rPr>
          <w:w w:val="105"/>
          <w:sz w:val="13"/>
        </w:rPr>
        <w:t>Colac).</w:t>
      </w:r>
    </w:p>
    <w:p>
      <w:pPr>
        <w:pStyle w:val="ListParagraph"/>
        <w:numPr>
          <w:ilvl w:val="0"/>
          <w:numId w:val="105"/>
        </w:numPr>
        <w:tabs>
          <w:tab w:pos="2380" w:val="left" w:leader="none"/>
          <w:tab w:pos="2382" w:val="left" w:leader="none"/>
        </w:tabs>
        <w:spacing w:line="240" w:lineRule="auto" w:before="1" w:after="0"/>
        <w:ind w:left="2381" w:right="0" w:hanging="794"/>
        <w:jc w:val="left"/>
        <w:rPr>
          <w:sz w:val="13"/>
        </w:rPr>
      </w:pPr>
      <w:r>
        <w:rPr>
          <w:w w:val="105"/>
          <w:sz w:val="13"/>
        </w:rPr>
        <w:t>Consultation 18 </w:t>
      </w:r>
      <w:r>
        <w:rPr>
          <w:spacing w:val="2"/>
          <w:w w:val="105"/>
          <w:sz w:val="13"/>
        </w:rPr>
        <w:t>(Legal </w:t>
      </w:r>
      <w:r>
        <w:rPr>
          <w:w w:val="105"/>
          <w:sz w:val="13"/>
        </w:rPr>
        <w:t>practitioners in</w:t>
      </w:r>
      <w:r>
        <w:rPr>
          <w:spacing w:val="21"/>
          <w:w w:val="105"/>
          <w:sz w:val="13"/>
        </w:rPr>
        <w:t> </w:t>
      </w:r>
      <w:r>
        <w:rPr>
          <w:w w:val="105"/>
          <w:sz w:val="13"/>
        </w:rPr>
        <w:t>Wodonga).</w:t>
      </w:r>
    </w:p>
    <w:p>
      <w:pPr>
        <w:pStyle w:val="ListParagraph"/>
        <w:numPr>
          <w:ilvl w:val="0"/>
          <w:numId w:val="105"/>
        </w:numPr>
        <w:tabs>
          <w:tab w:pos="2380" w:val="left" w:leader="none"/>
          <w:tab w:pos="2382" w:val="left" w:leader="none"/>
        </w:tabs>
        <w:spacing w:line="240" w:lineRule="auto" w:before="2" w:after="0"/>
        <w:ind w:left="2381" w:right="0" w:hanging="794"/>
        <w:jc w:val="left"/>
        <w:rPr>
          <w:sz w:val="13"/>
        </w:rPr>
      </w:pPr>
      <w:r>
        <w:rPr>
          <w:w w:val="105"/>
          <w:sz w:val="13"/>
        </w:rPr>
        <w:t>Submission </w:t>
      </w:r>
      <w:r>
        <w:rPr>
          <w:spacing w:val="-3"/>
          <w:w w:val="105"/>
          <w:sz w:val="13"/>
        </w:rPr>
        <w:t>41 </w:t>
      </w:r>
      <w:r>
        <w:rPr>
          <w:w w:val="105"/>
          <w:sz w:val="13"/>
        </w:rPr>
        <w:t>(Victorian Farmers</w:t>
      </w:r>
      <w:r>
        <w:rPr>
          <w:spacing w:val="22"/>
          <w:w w:val="105"/>
          <w:sz w:val="13"/>
        </w:rPr>
        <w:t> </w:t>
      </w:r>
      <w:r>
        <w:rPr>
          <w:w w:val="105"/>
          <w:sz w:val="13"/>
        </w:rPr>
        <w:t>Federation).</w:t>
      </w:r>
    </w:p>
    <w:p>
      <w:pPr>
        <w:pStyle w:val="ListParagraph"/>
        <w:numPr>
          <w:ilvl w:val="0"/>
          <w:numId w:val="105"/>
        </w:numPr>
        <w:tabs>
          <w:tab w:pos="2380" w:val="left" w:leader="none"/>
          <w:tab w:pos="2382" w:val="left" w:leader="none"/>
        </w:tabs>
        <w:spacing w:line="240" w:lineRule="auto" w:before="1" w:after="0"/>
        <w:ind w:left="2381" w:right="0" w:hanging="794"/>
        <w:jc w:val="left"/>
        <w:rPr>
          <w:sz w:val="13"/>
        </w:rPr>
      </w:pPr>
      <w:r>
        <w:rPr>
          <w:w w:val="105"/>
          <w:sz w:val="13"/>
        </w:rPr>
        <w:t>Consultation 20 </w:t>
      </w:r>
      <w:r>
        <w:rPr>
          <w:spacing w:val="2"/>
          <w:w w:val="105"/>
          <w:sz w:val="13"/>
        </w:rPr>
        <w:t>(Legal </w:t>
      </w:r>
      <w:r>
        <w:rPr>
          <w:w w:val="105"/>
          <w:sz w:val="13"/>
        </w:rPr>
        <w:t>practitioners in </w:t>
      </w:r>
      <w:r>
        <w:rPr>
          <w:spacing w:val="18"/>
          <w:w w:val="105"/>
          <w:sz w:val="13"/>
        </w:rPr>
        <w:t> </w:t>
      </w:r>
      <w:r>
        <w:rPr>
          <w:w w:val="105"/>
          <w:sz w:val="13"/>
        </w:rPr>
        <w:t>Colac).</w:t>
      </w:r>
    </w:p>
    <w:p>
      <w:pPr>
        <w:pStyle w:val="ListParagraph"/>
        <w:numPr>
          <w:ilvl w:val="0"/>
          <w:numId w:val="105"/>
        </w:numPr>
        <w:tabs>
          <w:tab w:pos="2381" w:val="left" w:leader="none"/>
          <w:tab w:pos="2382" w:val="left" w:leader="none"/>
        </w:tabs>
        <w:spacing w:line="240" w:lineRule="auto" w:before="1" w:after="0"/>
        <w:ind w:left="2381" w:right="0" w:hanging="794"/>
        <w:jc w:val="left"/>
        <w:rPr>
          <w:sz w:val="13"/>
        </w:rPr>
      </w:pPr>
      <w:r>
        <w:rPr>
          <w:w w:val="105"/>
          <w:sz w:val="13"/>
        </w:rPr>
        <w:t>Consultation</w:t>
      </w:r>
      <w:r>
        <w:rPr>
          <w:spacing w:val="5"/>
          <w:w w:val="105"/>
          <w:sz w:val="13"/>
        </w:rPr>
        <w:t> </w:t>
      </w:r>
      <w:r>
        <w:rPr>
          <w:w w:val="105"/>
          <w:sz w:val="13"/>
        </w:rPr>
        <w:t>18</w:t>
      </w:r>
      <w:r>
        <w:rPr>
          <w:spacing w:val="5"/>
          <w:w w:val="105"/>
          <w:sz w:val="13"/>
        </w:rPr>
        <w:t> </w:t>
      </w:r>
      <w:r>
        <w:rPr>
          <w:spacing w:val="2"/>
          <w:w w:val="105"/>
          <w:sz w:val="13"/>
        </w:rPr>
        <w:t>(Legal</w:t>
      </w:r>
      <w:r>
        <w:rPr>
          <w:spacing w:val="5"/>
          <w:w w:val="105"/>
          <w:sz w:val="13"/>
        </w:rPr>
        <w:t> </w:t>
      </w:r>
      <w:r>
        <w:rPr>
          <w:w w:val="105"/>
          <w:sz w:val="13"/>
        </w:rPr>
        <w:t>practitioners</w:t>
      </w:r>
      <w:r>
        <w:rPr>
          <w:spacing w:val="5"/>
          <w:w w:val="105"/>
          <w:sz w:val="13"/>
        </w:rPr>
        <w:t> </w:t>
      </w:r>
      <w:r>
        <w:rPr>
          <w:w w:val="105"/>
          <w:sz w:val="13"/>
        </w:rPr>
        <w:t>in</w:t>
      </w:r>
      <w:r>
        <w:rPr>
          <w:spacing w:val="6"/>
          <w:w w:val="105"/>
          <w:sz w:val="13"/>
        </w:rPr>
        <w:t> </w:t>
      </w:r>
      <w:r>
        <w:rPr>
          <w:w w:val="105"/>
          <w:sz w:val="13"/>
        </w:rPr>
        <w:t>Wodonga);</w:t>
      </w:r>
      <w:r>
        <w:rPr>
          <w:spacing w:val="5"/>
          <w:w w:val="105"/>
          <w:sz w:val="13"/>
        </w:rPr>
        <w:t> </w:t>
      </w:r>
      <w:r>
        <w:rPr>
          <w:i/>
          <w:w w:val="105"/>
          <w:sz w:val="13"/>
        </w:rPr>
        <w:t>Succession</w:t>
      </w:r>
      <w:r>
        <w:rPr>
          <w:i/>
          <w:spacing w:val="4"/>
          <w:w w:val="105"/>
          <w:sz w:val="13"/>
        </w:rPr>
        <w:t> </w:t>
      </w:r>
      <w:r>
        <w:rPr>
          <w:i/>
          <w:w w:val="105"/>
          <w:sz w:val="13"/>
        </w:rPr>
        <w:t>Act</w:t>
      </w:r>
      <w:r>
        <w:rPr>
          <w:i/>
          <w:spacing w:val="4"/>
          <w:w w:val="105"/>
          <w:sz w:val="13"/>
        </w:rPr>
        <w:t> </w:t>
      </w:r>
      <w:r>
        <w:rPr>
          <w:i/>
          <w:w w:val="105"/>
          <w:sz w:val="13"/>
        </w:rPr>
        <w:t>2006</w:t>
      </w:r>
      <w:r>
        <w:rPr>
          <w:i/>
          <w:spacing w:val="6"/>
          <w:w w:val="105"/>
          <w:sz w:val="13"/>
        </w:rPr>
        <w:t> </w:t>
      </w:r>
      <w:r>
        <w:rPr>
          <w:spacing w:val="3"/>
          <w:w w:val="105"/>
          <w:sz w:val="13"/>
        </w:rPr>
        <w:t>(NSW)</w:t>
      </w:r>
      <w:r>
        <w:rPr>
          <w:spacing w:val="5"/>
          <w:w w:val="105"/>
          <w:sz w:val="13"/>
        </w:rPr>
        <w:t> </w:t>
      </w:r>
      <w:r>
        <w:rPr>
          <w:w w:val="105"/>
          <w:sz w:val="13"/>
        </w:rPr>
        <w:t>s</w:t>
      </w:r>
      <w:r>
        <w:rPr>
          <w:spacing w:val="5"/>
          <w:w w:val="105"/>
          <w:sz w:val="13"/>
        </w:rPr>
        <w:t> </w:t>
      </w:r>
      <w:r>
        <w:rPr>
          <w:w w:val="105"/>
          <w:sz w:val="13"/>
        </w:rPr>
        <w:t>95.</w:t>
      </w:r>
    </w:p>
    <w:p>
      <w:pPr>
        <w:pStyle w:val="ListParagraph"/>
        <w:numPr>
          <w:ilvl w:val="0"/>
          <w:numId w:val="105"/>
        </w:numPr>
        <w:tabs>
          <w:tab w:pos="2381" w:val="left" w:leader="none"/>
          <w:tab w:pos="2382" w:val="left" w:leader="none"/>
        </w:tabs>
        <w:spacing w:line="240" w:lineRule="auto" w:before="2" w:after="0"/>
        <w:ind w:left="2381" w:right="0" w:hanging="794"/>
        <w:jc w:val="left"/>
        <w:rPr>
          <w:sz w:val="13"/>
        </w:rPr>
      </w:pPr>
      <w:r>
        <w:rPr>
          <w:w w:val="105"/>
          <w:sz w:val="13"/>
        </w:rPr>
        <w:t>Consultation 18 </w:t>
      </w:r>
      <w:r>
        <w:rPr>
          <w:spacing w:val="2"/>
          <w:w w:val="105"/>
          <w:sz w:val="13"/>
        </w:rPr>
        <w:t>(Legal </w:t>
      </w:r>
      <w:r>
        <w:rPr>
          <w:w w:val="105"/>
          <w:sz w:val="13"/>
        </w:rPr>
        <w:t>practitioners in</w:t>
      </w:r>
      <w:r>
        <w:rPr>
          <w:spacing w:val="21"/>
          <w:w w:val="105"/>
          <w:sz w:val="13"/>
        </w:rPr>
        <w:t> </w:t>
      </w:r>
      <w:r>
        <w:rPr>
          <w:w w:val="105"/>
          <w:sz w:val="13"/>
        </w:rPr>
        <w:t>Wodonga).</w:t>
      </w:r>
    </w:p>
    <w:p>
      <w:pPr>
        <w:pStyle w:val="ListParagraph"/>
        <w:numPr>
          <w:ilvl w:val="0"/>
          <w:numId w:val="105"/>
        </w:numPr>
        <w:tabs>
          <w:tab w:pos="2381" w:val="left" w:leader="none"/>
          <w:tab w:pos="2382" w:val="left" w:leader="none"/>
        </w:tabs>
        <w:spacing w:line="240" w:lineRule="auto" w:before="1" w:after="0"/>
        <w:ind w:left="2381" w:right="0" w:hanging="794"/>
        <w:jc w:val="left"/>
        <w:rPr>
          <w:sz w:val="13"/>
        </w:rPr>
      </w:pPr>
      <w:r>
        <w:rPr>
          <w:w w:val="105"/>
          <w:sz w:val="13"/>
        </w:rPr>
        <w:t>Submission 42b (Arnold Bloch</w:t>
      </w:r>
      <w:r>
        <w:rPr>
          <w:spacing w:val="18"/>
          <w:w w:val="105"/>
          <w:sz w:val="13"/>
        </w:rPr>
        <w:t> </w:t>
      </w:r>
      <w:r>
        <w:rPr>
          <w:w w:val="105"/>
          <w:sz w:val="13"/>
        </w:rPr>
        <w:t>Leibler).</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spacing w:before="4"/>
        <w:rPr>
          <w:sz w:val="31"/>
        </w:rPr>
      </w:pPr>
    </w:p>
    <w:p>
      <w:pPr>
        <w:spacing w:before="0"/>
        <w:ind w:left="688" w:right="574" w:firstLine="0"/>
        <w:jc w:val="center"/>
        <w:rPr>
          <w:b/>
          <w:sz w:val="24"/>
        </w:rPr>
      </w:pPr>
      <w:r>
        <w:rPr>
          <w:b/>
          <w:color w:val="EC5A4F"/>
          <w:w w:val="110"/>
          <w:sz w:val="24"/>
        </w:rPr>
        <w:t>129</w:t>
      </w:r>
    </w:p>
    <w:p>
      <w:pPr>
        <w:spacing w:after="0"/>
        <w:jc w:val="center"/>
        <w:rPr>
          <w:sz w:val="24"/>
        </w:rPr>
        <w:sectPr>
          <w:type w:val="continuous"/>
          <w:pgSz w:w="11910" w:h="16840"/>
          <w:pgMar w:top="920" w:bottom="280" w:left="0" w:right="0"/>
          <w:cols w:num="2" w:equalWidth="0">
            <w:col w:w="10165" w:space="40"/>
            <w:col w:w="1705"/>
          </w:cols>
        </w:sectPr>
      </w:pPr>
    </w:p>
    <w:p>
      <w:pPr>
        <w:pStyle w:val="BodyText"/>
        <w:spacing w:before="9"/>
        <w:rPr>
          <w:b/>
          <w:sz w:val="22"/>
        </w:rPr>
      </w:pPr>
    </w:p>
    <w:p>
      <w:pPr>
        <w:pStyle w:val="ListParagraph"/>
        <w:numPr>
          <w:ilvl w:val="0"/>
          <w:numId w:val="97"/>
        </w:numPr>
        <w:tabs>
          <w:tab w:pos="2381" w:val="left" w:leader="none"/>
          <w:tab w:pos="2382" w:val="left" w:leader="none"/>
        </w:tabs>
        <w:spacing w:line="242" w:lineRule="auto" w:before="92" w:after="0"/>
        <w:ind w:left="2381" w:right="1604" w:hanging="794"/>
        <w:jc w:val="left"/>
        <w:rPr>
          <w:sz w:val="21"/>
        </w:rPr>
      </w:pPr>
      <w:r>
        <w:rPr>
          <w:w w:val="105"/>
          <w:sz w:val="21"/>
        </w:rPr>
        <w:t>Under the New South </w:t>
      </w:r>
      <w:r>
        <w:rPr>
          <w:spacing w:val="-3"/>
          <w:w w:val="105"/>
          <w:sz w:val="21"/>
        </w:rPr>
        <w:t>Wales Succession </w:t>
      </w:r>
      <w:r>
        <w:rPr>
          <w:w w:val="105"/>
          <w:sz w:val="21"/>
        </w:rPr>
        <w:t>Act, a person </w:t>
      </w:r>
      <w:r>
        <w:rPr>
          <w:spacing w:val="-3"/>
          <w:w w:val="105"/>
          <w:sz w:val="21"/>
        </w:rPr>
        <w:t>may </w:t>
      </w:r>
      <w:r>
        <w:rPr>
          <w:w w:val="105"/>
          <w:sz w:val="21"/>
        </w:rPr>
        <w:t>apply </w:t>
      </w:r>
      <w:r>
        <w:rPr>
          <w:spacing w:val="-3"/>
          <w:w w:val="105"/>
          <w:sz w:val="21"/>
        </w:rPr>
        <w:t>to </w:t>
      </w:r>
      <w:r>
        <w:rPr>
          <w:w w:val="105"/>
          <w:sz w:val="21"/>
        </w:rPr>
        <w:t>the court </w:t>
      </w:r>
      <w:r>
        <w:rPr>
          <w:spacing w:val="-3"/>
          <w:w w:val="105"/>
          <w:sz w:val="21"/>
        </w:rPr>
        <w:t>for approval </w:t>
      </w:r>
      <w:r>
        <w:rPr>
          <w:w w:val="105"/>
          <w:sz w:val="21"/>
        </w:rPr>
        <w:t>of a release of their rights </w:t>
      </w:r>
      <w:r>
        <w:rPr>
          <w:spacing w:val="-3"/>
          <w:w w:val="105"/>
          <w:sz w:val="21"/>
        </w:rPr>
        <w:t>to </w:t>
      </w:r>
      <w:r>
        <w:rPr>
          <w:w w:val="105"/>
          <w:sz w:val="21"/>
        </w:rPr>
        <w:t>apply </w:t>
      </w:r>
      <w:r>
        <w:rPr>
          <w:spacing w:val="-3"/>
          <w:w w:val="105"/>
          <w:sz w:val="21"/>
        </w:rPr>
        <w:t>for family </w:t>
      </w:r>
      <w:r>
        <w:rPr>
          <w:spacing w:val="-2"/>
          <w:w w:val="105"/>
          <w:sz w:val="21"/>
        </w:rPr>
        <w:t>provision.</w:t>
      </w:r>
      <w:r>
        <w:rPr>
          <w:spacing w:val="-2"/>
          <w:w w:val="105"/>
          <w:position w:val="7"/>
          <w:sz w:val="12"/>
        </w:rPr>
        <w:t>292 </w:t>
      </w:r>
      <w:r>
        <w:rPr>
          <w:w w:val="105"/>
          <w:sz w:val="21"/>
        </w:rPr>
        <w:t>In </w:t>
      </w:r>
      <w:r>
        <w:rPr>
          <w:spacing w:val="-3"/>
          <w:w w:val="105"/>
          <w:sz w:val="21"/>
        </w:rPr>
        <w:t>determining </w:t>
      </w:r>
      <w:r>
        <w:rPr>
          <w:w w:val="105"/>
          <w:sz w:val="21"/>
        </w:rPr>
        <w:t>an application </w:t>
      </w:r>
      <w:r>
        <w:rPr>
          <w:spacing w:val="-3"/>
          <w:w w:val="105"/>
          <w:sz w:val="21"/>
        </w:rPr>
        <w:t>for approval </w:t>
      </w:r>
      <w:r>
        <w:rPr>
          <w:w w:val="105"/>
          <w:sz w:val="21"/>
        </w:rPr>
        <w:t>of a </w:t>
      </w:r>
      <w:r>
        <w:rPr>
          <w:spacing w:val="-3"/>
          <w:w w:val="105"/>
          <w:sz w:val="21"/>
        </w:rPr>
        <w:t>release, </w:t>
      </w:r>
      <w:r>
        <w:rPr>
          <w:w w:val="105"/>
          <w:sz w:val="21"/>
        </w:rPr>
        <w:t>the court is </w:t>
      </w:r>
      <w:r>
        <w:rPr>
          <w:spacing w:val="-3"/>
          <w:w w:val="105"/>
          <w:sz w:val="21"/>
        </w:rPr>
        <w:t>to take </w:t>
      </w:r>
      <w:r>
        <w:rPr>
          <w:spacing w:val="-4"/>
          <w:w w:val="105"/>
          <w:sz w:val="21"/>
        </w:rPr>
        <w:t>into </w:t>
      </w:r>
      <w:r>
        <w:rPr>
          <w:spacing w:val="-3"/>
          <w:w w:val="105"/>
          <w:sz w:val="21"/>
        </w:rPr>
        <w:t>account all </w:t>
      </w:r>
      <w:r>
        <w:rPr>
          <w:w w:val="105"/>
          <w:sz w:val="21"/>
        </w:rPr>
        <w:t>the </w:t>
      </w:r>
      <w:r>
        <w:rPr>
          <w:spacing w:val="-3"/>
          <w:w w:val="105"/>
          <w:sz w:val="21"/>
        </w:rPr>
        <w:t>circumstances </w:t>
      </w:r>
      <w:r>
        <w:rPr>
          <w:w w:val="105"/>
          <w:sz w:val="21"/>
        </w:rPr>
        <w:t>of the </w:t>
      </w:r>
      <w:r>
        <w:rPr>
          <w:spacing w:val="-3"/>
          <w:w w:val="105"/>
          <w:sz w:val="21"/>
        </w:rPr>
        <w:t>case, including</w:t>
      </w:r>
      <w:r>
        <w:rPr>
          <w:spacing w:val="13"/>
          <w:w w:val="105"/>
          <w:sz w:val="21"/>
        </w:rPr>
        <w:t> </w:t>
      </w:r>
      <w:r>
        <w:rPr>
          <w:w w:val="105"/>
          <w:sz w:val="21"/>
        </w:rPr>
        <w:t>whether:</w:t>
      </w:r>
    </w:p>
    <w:p>
      <w:pPr>
        <w:pStyle w:val="ListParagraph"/>
        <w:numPr>
          <w:ilvl w:val="1"/>
          <w:numId w:val="97"/>
        </w:numPr>
        <w:tabs>
          <w:tab w:pos="2721" w:val="left" w:leader="none"/>
          <w:tab w:pos="2722" w:val="left" w:leader="none"/>
        </w:tabs>
        <w:spacing w:line="242" w:lineRule="auto" w:before="124" w:after="0"/>
        <w:ind w:left="2721" w:right="2637" w:hanging="340"/>
        <w:jc w:val="left"/>
        <w:rPr>
          <w:sz w:val="21"/>
        </w:rPr>
      </w:pPr>
      <w:r>
        <w:rPr>
          <w:sz w:val="21"/>
        </w:rPr>
        <w:t>it is </w:t>
      </w:r>
      <w:r>
        <w:rPr>
          <w:spacing w:val="-3"/>
          <w:sz w:val="21"/>
        </w:rPr>
        <w:t>to </w:t>
      </w:r>
      <w:r>
        <w:rPr>
          <w:sz w:val="21"/>
        </w:rPr>
        <w:t>the advantage of the </w:t>
      </w:r>
      <w:r>
        <w:rPr>
          <w:spacing w:val="-3"/>
          <w:sz w:val="21"/>
        </w:rPr>
        <w:t>releasing </w:t>
      </w:r>
      <w:r>
        <w:rPr>
          <w:sz w:val="21"/>
        </w:rPr>
        <w:t>party </w:t>
      </w:r>
      <w:r>
        <w:rPr>
          <w:spacing w:val="-3"/>
          <w:sz w:val="21"/>
        </w:rPr>
        <w:t>to </w:t>
      </w:r>
      <w:r>
        <w:rPr>
          <w:spacing w:val="-4"/>
          <w:sz w:val="21"/>
        </w:rPr>
        <w:t>make  </w:t>
      </w:r>
      <w:r>
        <w:rPr>
          <w:sz w:val="21"/>
        </w:rPr>
        <w:t>the </w:t>
      </w:r>
      <w:r>
        <w:rPr>
          <w:spacing w:val="-3"/>
          <w:sz w:val="21"/>
        </w:rPr>
        <w:t>release,  financially </w:t>
      </w:r>
      <w:r>
        <w:rPr>
          <w:sz w:val="21"/>
        </w:rPr>
        <w:t>or</w:t>
      </w:r>
      <w:r>
        <w:rPr>
          <w:spacing w:val="8"/>
          <w:sz w:val="21"/>
        </w:rPr>
        <w:t> </w:t>
      </w:r>
      <w:r>
        <w:rPr>
          <w:sz w:val="21"/>
        </w:rPr>
        <w:t>otherwise</w:t>
      </w:r>
    </w:p>
    <w:p>
      <w:pPr>
        <w:pStyle w:val="ListParagraph"/>
        <w:numPr>
          <w:ilvl w:val="1"/>
          <w:numId w:val="97"/>
        </w:numPr>
        <w:tabs>
          <w:tab w:pos="2721" w:val="left" w:leader="none"/>
          <w:tab w:pos="2722" w:val="left" w:leader="none"/>
        </w:tabs>
        <w:spacing w:line="240" w:lineRule="auto" w:before="122" w:after="0"/>
        <w:ind w:left="2721" w:right="0" w:hanging="340"/>
        <w:jc w:val="left"/>
        <w:rPr>
          <w:sz w:val="21"/>
        </w:rPr>
      </w:pPr>
      <w:r>
        <w:rPr>
          <w:sz w:val="21"/>
        </w:rPr>
        <w:t>it</w:t>
      </w:r>
      <w:r>
        <w:rPr>
          <w:spacing w:val="8"/>
          <w:sz w:val="21"/>
        </w:rPr>
        <w:t> </w:t>
      </w:r>
      <w:r>
        <w:rPr>
          <w:sz w:val="21"/>
        </w:rPr>
        <w:t>is</w:t>
      </w:r>
      <w:r>
        <w:rPr>
          <w:spacing w:val="9"/>
          <w:sz w:val="21"/>
        </w:rPr>
        <w:t> </w:t>
      </w:r>
      <w:r>
        <w:rPr>
          <w:sz w:val="21"/>
        </w:rPr>
        <w:t>prudent</w:t>
      </w:r>
      <w:r>
        <w:rPr>
          <w:spacing w:val="9"/>
          <w:sz w:val="21"/>
        </w:rPr>
        <w:t> </w:t>
      </w:r>
      <w:r>
        <w:rPr>
          <w:spacing w:val="-3"/>
          <w:sz w:val="21"/>
        </w:rPr>
        <w:t>for</w:t>
      </w:r>
      <w:r>
        <w:rPr>
          <w:spacing w:val="8"/>
          <w:sz w:val="21"/>
        </w:rPr>
        <w:t> </w:t>
      </w:r>
      <w:r>
        <w:rPr>
          <w:sz w:val="21"/>
        </w:rPr>
        <w:t>the</w:t>
      </w:r>
      <w:r>
        <w:rPr>
          <w:spacing w:val="9"/>
          <w:sz w:val="21"/>
        </w:rPr>
        <w:t> </w:t>
      </w:r>
      <w:r>
        <w:rPr>
          <w:spacing w:val="-3"/>
          <w:sz w:val="21"/>
        </w:rPr>
        <w:t>releasing</w:t>
      </w:r>
      <w:r>
        <w:rPr>
          <w:spacing w:val="9"/>
          <w:sz w:val="21"/>
        </w:rPr>
        <w:t> </w:t>
      </w:r>
      <w:r>
        <w:rPr>
          <w:sz w:val="21"/>
        </w:rPr>
        <w:t>party</w:t>
      </w:r>
      <w:r>
        <w:rPr>
          <w:spacing w:val="9"/>
          <w:sz w:val="21"/>
        </w:rPr>
        <w:t> </w:t>
      </w:r>
      <w:r>
        <w:rPr>
          <w:spacing w:val="-3"/>
          <w:sz w:val="21"/>
        </w:rPr>
        <w:t>to</w:t>
      </w:r>
      <w:r>
        <w:rPr>
          <w:spacing w:val="8"/>
          <w:sz w:val="21"/>
        </w:rPr>
        <w:t> </w:t>
      </w:r>
      <w:r>
        <w:rPr>
          <w:spacing w:val="-4"/>
          <w:sz w:val="21"/>
        </w:rPr>
        <w:t>make</w:t>
      </w:r>
      <w:r>
        <w:rPr>
          <w:spacing w:val="9"/>
          <w:sz w:val="21"/>
        </w:rPr>
        <w:t> </w:t>
      </w:r>
      <w:r>
        <w:rPr>
          <w:sz w:val="21"/>
        </w:rPr>
        <w:t>the</w:t>
      </w:r>
      <w:r>
        <w:rPr>
          <w:spacing w:val="9"/>
          <w:sz w:val="21"/>
        </w:rPr>
        <w:t> </w:t>
      </w:r>
      <w:r>
        <w:rPr>
          <w:sz w:val="21"/>
        </w:rPr>
        <w:t>release</w:t>
      </w:r>
    </w:p>
    <w:p>
      <w:pPr>
        <w:pStyle w:val="ListParagraph"/>
        <w:numPr>
          <w:ilvl w:val="1"/>
          <w:numId w:val="97"/>
        </w:numPr>
        <w:tabs>
          <w:tab w:pos="2721" w:val="left" w:leader="none"/>
          <w:tab w:pos="2722" w:val="left" w:leader="none"/>
        </w:tabs>
        <w:spacing w:line="240" w:lineRule="auto" w:before="124" w:after="0"/>
        <w:ind w:left="2721" w:right="0" w:hanging="340"/>
        <w:jc w:val="left"/>
        <w:rPr>
          <w:sz w:val="21"/>
        </w:rPr>
      </w:pPr>
      <w:r>
        <w:rPr>
          <w:sz w:val="21"/>
        </w:rPr>
        <w:t>the</w:t>
      </w:r>
      <w:r>
        <w:rPr>
          <w:spacing w:val="10"/>
          <w:sz w:val="21"/>
        </w:rPr>
        <w:t> </w:t>
      </w:r>
      <w:r>
        <w:rPr>
          <w:spacing w:val="-3"/>
          <w:sz w:val="21"/>
        </w:rPr>
        <w:t>provisions</w:t>
      </w:r>
      <w:r>
        <w:rPr>
          <w:spacing w:val="11"/>
          <w:sz w:val="21"/>
        </w:rPr>
        <w:t> </w:t>
      </w:r>
      <w:r>
        <w:rPr>
          <w:sz w:val="21"/>
        </w:rPr>
        <w:t>of</w:t>
      </w:r>
      <w:r>
        <w:rPr>
          <w:spacing w:val="10"/>
          <w:sz w:val="21"/>
        </w:rPr>
        <w:t> </w:t>
      </w:r>
      <w:r>
        <w:rPr>
          <w:spacing w:val="-3"/>
          <w:sz w:val="21"/>
        </w:rPr>
        <w:t>any</w:t>
      </w:r>
      <w:r>
        <w:rPr>
          <w:spacing w:val="11"/>
          <w:sz w:val="21"/>
        </w:rPr>
        <w:t> </w:t>
      </w:r>
      <w:r>
        <w:rPr>
          <w:spacing w:val="-2"/>
          <w:sz w:val="21"/>
        </w:rPr>
        <w:t>agreement</w:t>
      </w:r>
      <w:r>
        <w:rPr>
          <w:spacing w:val="10"/>
          <w:sz w:val="21"/>
        </w:rPr>
        <w:t> </w:t>
      </w:r>
      <w:r>
        <w:rPr>
          <w:spacing w:val="-3"/>
          <w:sz w:val="21"/>
        </w:rPr>
        <w:t>to</w:t>
      </w:r>
      <w:r>
        <w:rPr>
          <w:spacing w:val="11"/>
          <w:sz w:val="21"/>
        </w:rPr>
        <w:t> </w:t>
      </w:r>
      <w:r>
        <w:rPr>
          <w:spacing w:val="-4"/>
          <w:sz w:val="21"/>
        </w:rPr>
        <w:t>make</w:t>
      </w:r>
      <w:r>
        <w:rPr>
          <w:spacing w:val="10"/>
          <w:sz w:val="21"/>
        </w:rPr>
        <w:t> </w:t>
      </w:r>
      <w:r>
        <w:rPr>
          <w:sz w:val="21"/>
        </w:rPr>
        <w:t>the</w:t>
      </w:r>
      <w:r>
        <w:rPr>
          <w:spacing w:val="11"/>
          <w:sz w:val="21"/>
        </w:rPr>
        <w:t> </w:t>
      </w:r>
      <w:r>
        <w:rPr>
          <w:sz w:val="21"/>
        </w:rPr>
        <w:t>release</w:t>
      </w:r>
      <w:r>
        <w:rPr>
          <w:spacing w:val="10"/>
          <w:sz w:val="21"/>
        </w:rPr>
        <w:t> </w:t>
      </w:r>
      <w:r>
        <w:rPr>
          <w:spacing w:val="-3"/>
          <w:sz w:val="21"/>
        </w:rPr>
        <w:t>are</w:t>
      </w:r>
      <w:r>
        <w:rPr>
          <w:spacing w:val="11"/>
          <w:sz w:val="21"/>
        </w:rPr>
        <w:t> </w:t>
      </w:r>
      <w:r>
        <w:rPr>
          <w:spacing w:val="-4"/>
          <w:sz w:val="21"/>
        </w:rPr>
        <w:t>fair</w:t>
      </w:r>
      <w:r>
        <w:rPr>
          <w:spacing w:val="11"/>
          <w:sz w:val="21"/>
        </w:rPr>
        <w:t> </w:t>
      </w:r>
      <w:r>
        <w:rPr>
          <w:sz w:val="21"/>
        </w:rPr>
        <w:t>and</w:t>
      </w:r>
      <w:r>
        <w:rPr>
          <w:spacing w:val="10"/>
          <w:sz w:val="21"/>
        </w:rPr>
        <w:t> </w:t>
      </w:r>
      <w:r>
        <w:rPr>
          <w:spacing w:val="-3"/>
          <w:sz w:val="21"/>
        </w:rPr>
        <w:t>reasonable</w:t>
      </w:r>
    </w:p>
    <w:p>
      <w:pPr>
        <w:pStyle w:val="ListParagraph"/>
        <w:numPr>
          <w:ilvl w:val="1"/>
          <w:numId w:val="97"/>
        </w:numPr>
        <w:tabs>
          <w:tab w:pos="2721" w:val="left" w:leader="none"/>
          <w:tab w:pos="2722" w:val="left" w:leader="none"/>
        </w:tabs>
        <w:spacing w:line="242" w:lineRule="auto" w:before="124" w:after="0"/>
        <w:ind w:left="2721" w:right="2235" w:hanging="340"/>
        <w:jc w:val="left"/>
        <w:rPr>
          <w:sz w:val="12"/>
        </w:rPr>
      </w:pPr>
      <w:r>
        <w:rPr>
          <w:sz w:val="21"/>
        </w:rPr>
        <w:t>the </w:t>
      </w:r>
      <w:r>
        <w:rPr>
          <w:spacing w:val="-3"/>
          <w:sz w:val="21"/>
        </w:rPr>
        <w:t>releasing </w:t>
      </w:r>
      <w:r>
        <w:rPr>
          <w:sz w:val="21"/>
        </w:rPr>
        <w:t>party </w:t>
      </w:r>
      <w:r>
        <w:rPr>
          <w:spacing w:val="-2"/>
          <w:sz w:val="21"/>
        </w:rPr>
        <w:t>has </w:t>
      </w:r>
      <w:r>
        <w:rPr>
          <w:spacing w:val="-3"/>
          <w:sz w:val="21"/>
        </w:rPr>
        <w:t>taken  </w:t>
      </w:r>
      <w:r>
        <w:rPr>
          <w:sz w:val="21"/>
        </w:rPr>
        <w:t>independent advice in </w:t>
      </w:r>
      <w:r>
        <w:rPr>
          <w:spacing w:val="-3"/>
          <w:sz w:val="21"/>
        </w:rPr>
        <w:t>relation</w:t>
      </w:r>
      <w:r>
        <w:rPr>
          <w:spacing w:val="41"/>
          <w:sz w:val="21"/>
        </w:rPr>
        <w:t> </w:t>
      </w:r>
      <w:r>
        <w:rPr>
          <w:spacing w:val="-3"/>
          <w:sz w:val="21"/>
        </w:rPr>
        <w:t>to  </w:t>
      </w:r>
      <w:r>
        <w:rPr>
          <w:sz w:val="21"/>
        </w:rPr>
        <w:t>the release </w:t>
      </w:r>
      <w:r>
        <w:rPr>
          <w:spacing w:val="-3"/>
          <w:sz w:val="21"/>
        </w:rPr>
        <w:t>and, </w:t>
      </w:r>
      <w:r>
        <w:rPr>
          <w:sz w:val="21"/>
        </w:rPr>
        <w:t>if</w:t>
      </w:r>
      <w:r>
        <w:rPr>
          <w:spacing w:val="10"/>
          <w:sz w:val="21"/>
        </w:rPr>
        <w:t> </w:t>
      </w:r>
      <w:r>
        <w:rPr>
          <w:spacing w:val="-3"/>
          <w:sz w:val="21"/>
        </w:rPr>
        <w:t>so,</w:t>
      </w:r>
      <w:r>
        <w:rPr>
          <w:spacing w:val="11"/>
          <w:sz w:val="21"/>
        </w:rPr>
        <w:t> </w:t>
      </w:r>
      <w:r>
        <w:rPr>
          <w:spacing w:val="-2"/>
          <w:sz w:val="21"/>
        </w:rPr>
        <w:t>has</w:t>
      </w:r>
      <w:r>
        <w:rPr>
          <w:spacing w:val="11"/>
          <w:sz w:val="21"/>
        </w:rPr>
        <w:t> </w:t>
      </w:r>
      <w:r>
        <w:rPr>
          <w:sz w:val="21"/>
        </w:rPr>
        <w:t>given</w:t>
      </w:r>
      <w:r>
        <w:rPr>
          <w:spacing w:val="11"/>
          <w:sz w:val="21"/>
        </w:rPr>
        <w:t> </w:t>
      </w:r>
      <w:r>
        <w:rPr>
          <w:sz w:val="21"/>
        </w:rPr>
        <w:t>due</w:t>
      </w:r>
      <w:r>
        <w:rPr>
          <w:spacing w:val="10"/>
          <w:sz w:val="21"/>
        </w:rPr>
        <w:t> </w:t>
      </w:r>
      <w:r>
        <w:rPr>
          <w:spacing w:val="-3"/>
          <w:sz w:val="21"/>
        </w:rPr>
        <w:t>consideration</w:t>
      </w:r>
      <w:r>
        <w:rPr>
          <w:spacing w:val="11"/>
          <w:sz w:val="21"/>
        </w:rPr>
        <w:t> </w:t>
      </w:r>
      <w:r>
        <w:rPr>
          <w:spacing w:val="-3"/>
          <w:sz w:val="21"/>
        </w:rPr>
        <w:t>to</w:t>
      </w:r>
      <w:r>
        <w:rPr>
          <w:spacing w:val="11"/>
          <w:sz w:val="21"/>
        </w:rPr>
        <w:t> </w:t>
      </w:r>
      <w:r>
        <w:rPr>
          <w:spacing w:val="-3"/>
          <w:sz w:val="21"/>
        </w:rPr>
        <w:t>that</w:t>
      </w:r>
      <w:r>
        <w:rPr>
          <w:spacing w:val="11"/>
          <w:sz w:val="21"/>
        </w:rPr>
        <w:t> </w:t>
      </w:r>
      <w:r>
        <w:rPr>
          <w:spacing w:val="-3"/>
          <w:sz w:val="21"/>
        </w:rPr>
        <w:t>advice.</w:t>
      </w:r>
      <w:r>
        <w:rPr>
          <w:spacing w:val="-15"/>
          <w:sz w:val="21"/>
        </w:rPr>
        <w:t> </w:t>
      </w:r>
      <w:r>
        <w:rPr>
          <w:position w:val="7"/>
          <w:sz w:val="12"/>
        </w:rPr>
        <w:t>293</w:t>
      </w:r>
    </w:p>
    <w:p>
      <w:pPr>
        <w:pStyle w:val="ListParagraph"/>
        <w:numPr>
          <w:ilvl w:val="0"/>
          <w:numId w:val="97"/>
        </w:numPr>
        <w:tabs>
          <w:tab w:pos="2382" w:val="left" w:leader="none"/>
        </w:tabs>
        <w:spacing w:line="242" w:lineRule="auto" w:before="122" w:after="0"/>
        <w:ind w:left="2381" w:right="1835" w:hanging="794"/>
        <w:jc w:val="both"/>
        <w:rPr>
          <w:sz w:val="12"/>
        </w:rPr>
      </w:pPr>
      <w:r>
        <w:rPr>
          <w:w w:val="105"/>
          <w:sz w:val="21"/>
        </w:rPr>
        <w:t>Legal practitioners in New South </w:t>
      </w:r>
      <w:r>
        <w:rPr>
          <w:spacing w:val="-3"/>
          <w:w w:val="105"/>
          <w:sz w:val="21"/>
        </w:rPr>
        <w:t>Wales noted that </w:t>
      </w:r>
      <w:r>
        <w:rPr>
          <w:w w:val="105"/>
          <w:sz w:val="21"/>
        </w:rPr>
        <w:t>the </w:t>
      </w:r>
      <w:r>
        <w:rPr>
          <w:spacing w:val="-3"/>
          <w:w w:val="105"/>
          <w:sz w:val="21"/>
        </w:rPr>
        <w:t>Succession </w:t>
      </w:r>
      <w:r>
        <w:rPr>
          <w:w w:val="105"/>
          <w:sz w:val="21"/>
        </w:rPr>
        <w:t>Act release </w:t>
      </w:r>
      <w:r>
        <w:rPr>
          <w:spacing w:val="-3"/>
          <w:w w:val="105"/>
          <w:sz w:val="21"/>
        </w:rPr>
        <w:t>provision </w:t>
      </w:r>
      <w:r>
        <w:rPr>
          <w:w w:val="105"/>
          <w:sz w:val="21"/>
        </w:rPr>
        <w:t>is</w:t>
      </w:r>
      <w:r>
        <w:rPr>
          <w:spacing w:val="-7"/>
          <w:w w:val="105"/>
          <w:sz w:val="21"/>
        </w:rPr>
        <w:t> </w:t>
      </w:r>
      <w:r>
        <w:rPr>
          <w:w w:val="105"/>
          <w:sz w:val="21"/>
        </w:rPr>
        <w:t>used</w:t>
      </w:r>
      <w:r>
        <w:rPr>
          <w:spacing w:val="-7"/>
          <w:w w:val="105"/>
          <w:sz w:val="21"/>
        </w:rPr>
        <w:t> </w:t>
      </w:r>
      <w:r>
        <w:rPr>
          <w:w w:val="105"/>
          <w:sz w:val="21"/>
        </w:rPr>
        <w:t>where</w:t>
      </w:r>
      <w:r>
        <w:rPr>
          <w:spacing w:val="-6"/>
          <w:w w:val="105"/>
          <w:sz w:val="21"/>
        </w:rPr>
        <w:t> </w:t>
      </w:r>
      <w:r>
        <w:rPr>
          <w:w w:val="105"/>
          <w:sz w:val="21"/>
        </w:rPr>
        <w:t>there</w:t>
      </w:r>
      <w:r>
        <w:rPr>
          <w:spacing w:val="-7"/>
          <w:w w:val="105"/>
          <w:sz w:val="21"/>
        </w:rPr>
        <w:t> </w:t>
      </w:r>
      <w:r>
        <w:rPr>
          <w:spacing w:val="-2"/>
          <w:w w:val="105"/>
          <w:sz w:val="21"/>
        </w:rPr>
        <w:t>has</w:t>
      </w:r>
      <w:r>
        <w:rPr>
          <w:spacing w:val="-7"/>
          <w:w w:val="105"/>
          <w:sz w:val="21"/>
        </w:rPr>
        <w:t> </w:t>
      </w:r>
      <w:r>
        <w:rPr>
          <w:w w:val="105"/>
          <w:sz w:val="21"/>
        </w:rPr>
        <w:t>been</w:t>
      </w:r>
      <w:r>
        <w:rPr>
          <w:spacing w:val="-6"/>
          <w:w w:val="105"/>
          <w:sz w:val="21"/>
        </w:rPr>
        <w:t> </w:t>
      </w:r>
      <w:r>
        <w:rPr>
          <w:w w:val="105"/>
          <w:sz w:val="21"/>
        </w:rPr>
        <w:t>a</w:t>
      </w:r>
      <w:r>
        <w:rPr>
          <w:spacing w:val="-7"/>
          <w:w w:val="105"/>
          <w:sz w:val="21"/>
        </w:rPr>
        <w:t> </w:t>
      </w:r>
      <w:r>
        <w:rPr>
          <w:spacing w:val="-3"/>
          <w:w w:val="105"/>
          <w:sz w:val="21"/>
        </w:rPr>
        <w:t>transfer</w:t>
      </w:r>
      <w:r>
        <w:rPr>
          <w:spacing w:val="-6"/>
          <w:w w:val="105"/>
          <w:sz w:val="21"/>
        </w:rPr>
        <w:t> </w:t>
      </w:r>
      <w:r>
        <w:rPr>
          <w:w w:val="105"/>
          <w:sz w:val="21"/>
        </w:rPr>
        <w:t>of</w:t>
      </w:r>
      <w:r>
        <w:rPr>
          <w:spacing w:val="-7"/>
          <w:w w:val="105"/>
          <w:sz w:val="21"/>
        </w:rPr>
        <w:t> </w:t>
      </w:r>
      <w:r>
        <w:rPr>
          <w:spacing w:val="-3"/>
          <w:w w:val="105"/>
          <w:sz w:val="21"/>
        </w:rPr>
        <w:t>farm</w:t>
      </w:r>
      <w:r>
        <w:rPr>
          <w:spacing w:val="-7"/>
          <w:w w:val="105"/>
          <w:sz w:val="21"/>
        </w:rPr>
        <w:t> </w:t>
      </w:r>
      <w:r>
        <w:rPr>
          <w:w w:val="105"/>
          <w:sz w:val="21"/>
        </w:rPr>
        <w:t>property</w:t>
      </w:r>
      <w:r>
        <w:rPr>
          <w:spacing w:val="-6"/>
          <w:w w:val="105"/>
          <w:sz w:val="21"/>
        </w:rPr>
        <w:t> </w:t>
      </w:r>
      <w:r>
        <w:rPr>
          <w:w w:val="105"/>
          <w:sz w:val="21"/>
        </w:rPr>
        <w:t>by</w:t>
      </w:r>
      <w:r>
        <w:rPr>
          <w:spacing w:val="-7"/>
          <w:w w:val="105"/>
          <w:sz w:val="21"/>
        </w:rPr>
        <w:t> </w:t>
      </w:r>
      <w:r>
        <w:rPr>
          <w:spacing w:val="-3"/>
          <w:w w:val="105"/>
          <w:sz w:val="21"/>
        </w:rPr>
        <w:t>family</w:t>
      </w:r>
      <w:r>
        <w:rPr>
          <w:spacing w:val="-7"/>
          <w:w w:val="105"/>
          <w:sz w:val="21"/>
        </w:rPr>
        <w:t> </w:t>
      </w:r>
      <w:r>
        <w:rPr>
          <w:spacing w:val="-2"/>
          <w:w w:val="105"/>
          <w:sz w:val="21"/>
        </w:rPr>
        <w:t>agreement,</w:t>
      </w:r>
      <w:r>
        <w:rPr>
          <w:spacing w:val="-6"/>
          <w:w w:val="105"/>
          <w:sz w:val="21"/>
        </w:rPr>
        <w:t> </w:t>
      </w:r>
      <w:r>
        <w:rPr>
          <w:w w:val="105"/>
          <w:sz w:val="21"/>
        </w:rPr>
        <w:t>and</w:t>
      </w:r>
      <w:r>
        <w:rPr>
          <w:spacing w:val="-7"/>
          <w:w w:val="105"/>
          <w:sz w:val="21"/>
        </w:rPr>
        <w:t> </w:t>
      </w:r>
      <w:r>
        <w:rPr>
          <w:w w:val="105"/>
          <w:sz w:val="21"/>
        </w:rPr>
        <w:t>also where there </w:t>
      </w:r>
      <w:r>
        <w:rPr>
          <w:spacing w:val="-2"/>
          <w:w w:val="105"/>
          <w:sz w:val="21"/>
        </w:rPr>
        <w:t>has </w:t>
      </w:r>
      <w:r>
        <w:rPr>
          <w:w w:val="105"/>
          <w:sz w:val="21"/>
        </w:rPr>
        <w:t>been a </w:t>
      </w:r>
      <w:r>
        <w:rPr>
          <w:spacing w:val="-3"/>
          <w:w w:val="105"/>
          <w:sz w:val="21"/>
        </w:rPr>
        <w:t>family </w:t>
      </w:r>
      <w:r>
        <w:rPr>
          <w:w w:val="105"/>
          <w:sz w:val="21"/>
        </w:rPr>
        <w:t>law</w:t>
      </w:r>
      <w:r>
        <w:rPr>
          <w:spacing w:val="32"/>
          <w:w w:val="105"/>
          <w:sz w:val="21"/>
        </w:rPr>
        <w:t> </w:t>
      </w:r>
      <w:r>
        <w:rPr>
          <w:w w:val="105"/>
          <w:sz w:val="21"/>
        </w:rPr>
        <w:t>settlement.</w:t>
      </w:r>
      <w:r>
        <w:rPr>
          <w:w w:val="105"/>
          <w:position w:val="7"/>
          <w:sz w:val="12"/>
        </w:rPr>
        <w:t>294</w:t>
      </w:r>
    </w:p>
    <w:p>
      <w:pPr>
        <w:pStyle w:val="ListParagraph"/>
        <w:numPr>
          <w:ilvl w:val="0"/>
          <w:numId w:val="97"/>
        </w:numPr>
        <w:tabs>
          <w:tab w:pos="2381" w:val="left" w:leader="none"/>
          <w:tab w:pos="2382" w:val="left" w:leader="none"/>
        </w:tabs>
        <w:spacing w:line="242" w:lineRule="auto" w:before="123" w:after="0"/>
        <w:ind w:left="2381" w:right="1711" w:hanging="794"/>
        <w:jc w:val="left"/>
        <w:rPr>
          <w:sz w:val="21"/>
        </w:rPr>
      </w:pPr>
      <w:r>
        <w:rPr>
          <w:w w:val="105"/>
          <w:sz w:val="21"/>
        </w:rPr>
        <w:t>Although</w:t>
      </w:r>
      <w:r>
        <w:rPr>
          <w:spacing w:val="-5"/>
          <w:w w:val="105"/>
          <w:sz w:val="21"/>
        </w:rPr>
        <w:t> </w:t>
      </w:r>
      <w:r>
        <w:rPr>
          <w:spacing w:val="-3"/>
          <w:w w:val="105"/>
          <w:sz w:val="21"/>
        </w:rPr>
        <w:t>such</w:t>
      </w:r>
      <w:r>
        <w:rPr>
          <w:spacing w:val="-4"/>
          <w:w w:val="105"/>
          <w:sz w:val="21"/>
        </w:rPr>
        <w:t> </w:t>
      </w:r>
      <w:r>
        <w:rPr>
          <w:w w:val="105"/>
          <w:sz w:val="21"/>
        </w:rPr>
        <w:t>a</w:t>
      </w:r>
      <w:r>
        <w:rPr>
          <w:spacing w:val="-5"/>
          <w:w w:val="105"/>
          <w:sz w:val="21"/>
        </w:rPr>
        <w:t> </w:t>
      </w:r>
      <w:r>
        <w:rPr>
          <w:spacing w:val="-3"/>
          <w:w w:val="105"/>
          <w:sz w:val="21"/>
        </w:rPr>
        <w:t>provision</w:t>
      </w:r>
      <w:r>
        <w:rPr>
          <w:spacing w:val="-4"/>
          <w:w w:val="105"/>
          <w:sz w:val="21"/>
        </w:rPr>
        <w:t> </w:t>
      </w:r>
      <w:r>
        <w:rPr>
          <w:w w:val="105"/>
          <w:sz w:val="21"/>
        </w:rPr>
        <w:t>would</w:t>
      </w:r>
      <w:r>
        <w:rPr>
          <w:spacing w:val="-4"/>
          <w:w w:val="105"/>
          <w:sz w:val="21"/>
        </w:rPr>
        <w:t> </w:t>
      </w:r>
      <w:r>
        <w:rPr>
          <w:spacing w:val="-3"/>
          <w:w w:val="105"/>
          <w:sz w:val="21"/>
        </w:rPr>
        <w:t>have</w:t>
      </w:r>
      <w:r>
        <w:rPr>
          <w:spacing w:val="-5"/>
          <w:w w:val="105"/>
          <w:sz w:val="21"/>
        </w:rPr>
        <w:t> </w:t>
      </w:r>
      <w:r>
        <w:rPr>
          <w:w w:val="105"/>
          <w:sz w:val="21"/>
        </w:rPr>
        <w:t>general</w:t>
      </w:r>
      <w:r>
        <w:rPr>
          <w:spacing w:val="-4"/>
          <w:w w:val="105"/>
          <w:sz w:val="21"/>
        </w:rPr>
        <w:t> </w:t>
      </w:r>
      <w:r>
        <w:rPr>
          <w:spacing w:val="-3"/>
          <w:w w:val="105"/>
          <w:sz w:val="21"/>
        </w:rPr>
        <w:t>application,</w:t>
      </w:r>
      <w:r>
        <w:rPr>
          <w:spacing w:val="-4"/>
          <w:w w:val="105"/>
          <w:sz w:val="21"/>
        </w:rPr>
        <w:t> </w:t>
      </w:r>
      <w:r>
        <w:rPr>
          <w:w w:val="105"/>
          <w:sz w:val="21"/>
        </w:rPr>
        <w:t>it</w:t>
      </w:r>
      <w:r>
        <w:rPr>
          <w:spacing w:val="-5"/>
          <w:w w:val="105"/>
          <w:sz w:val="21"/>
        </w:rPr>
        <w:t> </w:t>
      </w:r>
      <w:r>
        <w:rPr>
          <w:w w:val="105"/>
          <w:sz w:val="21"/>
        </w:rPr>
        <w:t>would</w:t>
      </w:r>
      <w:r>
        <w:rPr>
          <w:spacing w:val="-4"/>
          <w:w w:val="105"/>
          <w:sz w:val="21"/>
        </w:rPr>
        <w:t> </w:t>
      </w:r>
      <w:r>
        <w:rPr>
          <w:w w:val="105"/>
          <w:sz w:val="21"/>
        </w:rPr>
        <w:t>be</w:t>
      </w:r>
      <w:r>
        <w:rPr>
          <w:spacing w:val="-5"/>
          <w:w w:val="105"/>
          <w:sz w:val="21"/>
        </w:rPr>
        <w:t> </w:t>
      </w:r>
      <w:r>
        <w:rPr>
          <w:w w:val="105"/>
          <w:sz w:val="21"/>
        </w:rPr>
        <w:t>particularly</w:t>
      </w:r>
      <w:r>
        <w:rPr>
          <w:spacing w:val="-4"/>
          <w:w w:val="105"/>
          <w:sz w:val="21"/>
        </w:rPr>
        <w:t> </w:t>
      </w:r>
      <w:r>
        <w:rPr>
          <w:spacing w:val="-3"/>
          <w:w w:val="105"/>
          <w:sz w:val="21"/>
        </w:rPr>
        <w:t>useful to encourage lifetime transfers </w:t>
      </w:r>
      <w:r>
        <w:rPr>
          <w:w w:val="105"/>
          <w:sz w:val="21"/>
        </w:rPr>
        <w:t>of </w:t>
      </w:r>
      <w:r>
        <w:rPr>
          <w:spacing w:val="-3"/>
          <w:w w:val="105"/>
          <w:sz w:val="21"/>
        </w:rPr>
        <w:t>farm </w:t>
      </w:r>
      <w:r>
        <w:rPr>
          <w:w w:val="105"/>
          <w:sz w:val="21"/>
        </w:rPr>
        <w:t>property, by </w:t>
      </w:r>
      <w:r>
        <w:rPr>
          <w:spacing w:val="-3"/>
          <w:w w:val="105"/>
          <w:sz w:val="21"/>
        </w:rPr>
        <w:t>heading </w:t>
      </w:r>
      <w:r>
        <w:rPr>
          <w:w w:val="105"/>
          <w:sz w:val="21"/>
        </w:rPr>
        <w:t>off </w:t>
      </w:r>
      <w:r>
        <w:rPr>
          <w:spacing w:val="-3"/>
          <w:w w:val="105"/>
          <w:sz w:val="21"/>
        </w:rPr>
        <w:t>family provision claims following death. </w:t>
      </w:r>
      <w:r>
        <w:rPr>
          <w:w w:val="105"/>
          <w:sz w:val="21"/>
        </w:rPr>
        <w:t>It is the </w:t>
      </w:r>
      <w:r>
        <w:rPr>
          <w:spacing w:val="-4"/>
          <w:w w:val="105"/>
          <w:sz w:val="21"/>
        </w:rPr>
        <w:t>Commission’s </w:t>
      </w:r>
      <w:r>
        <w:rPr>
          <w:w w:val="105"/>
          <w:sz w:val="21"/>
        </w:rPr>
        <w:t>view </w:t>
      </w:r>
      <w:r>
        <w:rPr>
          <w:spacing w:val="-3"/>
          <w:w w:val="105"/>
          <w:sz w:val="21"/>
        </w:rPr>
        <w:t>that such </w:t>
      </w:r>
      <w:r>
        <w:rPr>
          <w:w w:val="105"/>
          <w:sz w:val="21"/>
        </w:rPr>
        <w:t>a </w:t>
      </w:r>
      <w:r>
        <w:rPr>
          <w:spacing w:val="-3"/>
          <w:w w:val="105"/>
          <w:sz w:val="21"/>
        </w:rPr>
        <w:t>provision </w:t>
      </w:r>
      <w:r>
        <w:rPr>
          <w:w w:val="105"/>
          <w:sz w:val="21"/>
        </w:rPr>
        <w:t>would assist estate </w:t>
      </w:r>
      <w:r>
        <w:rPr>
          <w:spacing w:val="-3"/>
          <w:w w:val="105"/>
          <w:sz w:val="21"/>
        </w:rPr>
        <w:t>planning during </w:t>
      </w:r>
      <w:r>
        <w:rPr>
          <w:w w:val="105"/>
          <w:sz w:val="21"/>
        </w:rPr>
        <w:t>a </w:t>
      </w:r>
      <w:r>
        <w:rPr>
          <w:spacing w:val="-3"/>
          <w:w w:val="105"/>
          <w:sz w:val="21"/>
        </w:rPr>
        <w:t>will-maker’s life </w:t>
      </w:r>
      <w:r>
        <w:rPr>
          <w:w w:val="105"/>
          <w:sz w:val="21"/>
        </w:rPr>
        <w:t>and </w:t>
      </w:r>
      <w:r>
        <w:rPr>
          <w:spacing w:val="-3"/>
          <w:w w:val="105"/>
          <w:sz w:val="21"/>
        </w:rPr>
        <w:t>prevent </w:t>
      </w:r>
      <w:r>
        <w:rPr>
          <w:w w:val="105"/>
          <w:sz w:val="21"/>
        </w:rPr>
        <w:t>some </w:t>
      </w:r>
      <w:r>
        <w:rPr>
          <w:spacing w:val="-3"/>
          <w:w w:val="105"/>
          <w:sz w:val="21"/>
        </w:rPr>
        <w:t>family disputes </w:t>
      </w:r>
      <w:r>
        <w:rPr>
          <w:w w:val="105"/>
          <w:sz w:val="21"/>
        </w:rPr>
        <w:t>after</w:t>
      </w:r>
      <w:r>
        <w:rPr>
          <w:spacing w:val="44"/>
          <w:w w:val="105"/>
          <w:sz w:val="21"/>
        </w:rPr>
        <w:t> </w:t>
      </w:r>
      <w:r>
        <w:rPr>
          <w:spacing w:val="-3"/>
          <w:w w:val="105"/>
          <w:sz w:val="21"/>
        </w:rPr>
        <w:t>death.</w:t>
      </w:r>
    </w:p>
    <w:p>
      <w:pPr>
        <w:pStyle w:val="BodyText"/>
        <w:spacing w:before="2"/>
        <w:rPr>
          <w:sz w:val="15"/>
        </w:rPr>
      </w:pPr>
      <w:r>
        <w:rPr/>
        <w:pict>
          <v:group style="position:absolute;margin-left:62.362202pt;margin-top:11.208151pt;width:479.1pt;height:109.55pt;mso-position-horizontal-relative:page;mso-position-vertical-relative:paragraph;z-index:8240;mso-wrap-distance-left:0;mso-wrap-distance-right:0" coordorigin="1247,224" coordsize="9582,2191">
            <v:rect style="position:absolute;left:1587;top:224;width:8731;height:2191" filled="true" fillcolor="#fdebea" stroked="false">
              <v:fill type="solid"/>
            </v:rect>
            <v:line style="position:absolute" from="1247,975" to="10828,975" stroked="true" strokeweight="2.5pt" strokecolor="#ffffff">
              <v:stroke dashstyle="solid"/>
            </v:line>
            <v:shape style="position:absolute;left:2381;top:1211;width:7072;height:1029" type="#_x0000_t202" filled="false" stroked="false">
              <v:textbox inset="0,0,0,0">
                <w:txbxContent>
                  <w:p>
                    <w:pPr>
                      <w:spacing w:line="242" w:lineRule="auto" w:before="0"/>
                      <w:ind w:left="0" w:right="0" w:hanging="1"/>
                      <w:jc w:val="left"/>
                      <w:rPr>
                        <w:sz w:val="21"/>
                      </w:rPr>
                    </w:pPr>
                    <w:r>
                      <w:rPr>
                        <w:w w:val="105"/>
                        <w:sz w:val="21"/>
                      </w:rPr>
                      <w:t>The</w:t>
                    </w:r>
                    <w:r>
                      <w:rPr>
                        <w:spacing w:val="-7"/>
                        <w:w w:val="105"/>
                        <w:sz w:val="21"/>
                      </w:rPr>
                      <w:t> </w:t>
                    </w:r>
                    <w:r>
                      <w:rPr>
                        <w:rFonts w:ascii="Lucida Sans"/>
                        <w:i/>
                        <w:w w:val="105"/>
                        <w:sz w:val="21"/>
                      </w:rPr>
                      <w:t>Administration</w:t>
                    </w:r>
                    <w:r>
                      <w:rPr>
                        <w:rFonts w:ascii="Lucida Sans"/>
                        <w:i/>
                        <w:spacing w:val="-27"/>
                        <w:w w:val="105"/>
                        <w:sz w:val="21"/>
                      </w:rPr>
                      <w:t> </w:t>
                    </w:r>
                    <w:r>
                      <w:rPr>
                        <w:rFonts w:ascii="Lucida Sans"/>
                        <w:i/>
                        <w:w w:val="105"/>
                        <w:sz w:val="21"/>
                      </w:rPr>
                      <w:t>and</w:t>
                    </w:r>
                    <w:r>
                      <w:rPr>
                        <w:rFonts w:ascii="Lucida Sans"/>
                        <w:i/>
                        <w:spacing w:val="-26"/>
                        <w:w w:val="105"/>
                        <w:sz w:val="21"/>
                      </w:rPr>
                      <w:t> </w:t>
                    </w:r>
                    <w:r>
                      <w:rPr>
                        <w:rFonts w:ascii="Lucida Sans"/>
                        <w:i/>
                        <w:w w:val="105"/>
                        <w:sz w:val="21"/>
                      </w:rPr>
                      <w:t>Probate</w:t>
                    </w:r>
                    <w:r>
                      <w:rPr>
                        <w:rFonts w:ascii="Lucida Sans"/>
                        <w:i/>
                        <w:spacing w:val="-27"/>
                        <w:w w:val="105"/>
                        <w:sz w:val="21"/>
                      </w:rPr>
                      <w:t> </w:t>
                    </w:r>
                    <w:r>
                      <w:rPr>
                        <w:rFonts w:ascii="Lucida Sans"/>
                        <w:i/>
                        <w:w w:val="105"/>
                        <w:sz w:val="21"/>
                      </w:rPr>
                      <w:t>Act</w:t>
                    </w:r>
                    <w:r>
                      <w:rPr>
                        <w:rFonts w:ascii="Lucida Sans"/>
                        <w:i/>
                        <w:spacing w:val="-26"/>
                        <w:w w:val="105"/>
                        <w:sz w:val="21"/>
                      </w:rPr>
                      <w:t> </w:t>
                    </w:r>
                    <w:r>
                      <w:rPr>
                        <w:rFonts w:ascii="Lucida Sans"/>
                        <w:i/>
                        <w:spacing w:val="-4"/>
                        <w:w w:val="105"/>
                        <w:sz w:val="21"/>
                      </w:rPr>
                      <w:t>1958</w:t>
                    </w:r>
                    <w:r>
                      <w:rPr>
                        <w:rFonts w:ascii="Lucida Sans"/>
                        <w:i/>
                        <w:spacing w:val="-27"/>
                        <w:w w:val="105"/>
                        <w:sz w:val="21"/>
                      </w:rPr>
                      <w:t> </w:t>
                    </w:r>
                    <w:r>
                      <w:rPr>
                        <w:w w:val="105"/>
                        <w:sz w:val="21"/>
                      </w:rPr>
                      <w:t>(Vic)</w:t>
                    </w:r>
                    <w:r>
                      <w:rPr>
                        <w:spacing w:val="-7"/>
                        <w:w w:val="105"/>
                        <w:sz w:val="21"/>
                      </w:rPr>
                      <w:t> </w:t>
                    </w:r>
                    <w:r>
                      <w:rPr>
                        <w:w w:val="105"/>
                        <w:sz w:val="21"/>
                      </w:rPr>
                      <w:t>should</w:t>
                    </w:r>
                    <w:r>
                      <w:rPr>
                        <w:spacing w:val="-6"/>
                        <w:w w:val="105"/>
                        <w:sz w:val="21"/>
                      </w:rPr>
                      <w:t> </w:t>
                    </w:r>
                    <w:r>
                      <w:rPr>
                        <w:w w:val="105"/>
                        <w:sz w:val="21"/>
                      </w:rPr>
                      <w:t>permit</w:t>
                    </w:r>
                    <w:r>
                      <w:rPr>
                        <w:spacing w:val="-7"/>
                        <w:w w:val="105"/>
                        <w:sz w:val="21"/>
                      </w:rPr>
                      <w:t> </w:t>
                    </w:r>
                    <w:r>
                      <w:rPr>
                        <w:spacing w:val="-2"/>
                        <w:w w:val="105"/>
                        <w:sz w:val="21"/>
                      </w:rPr>
                      <w:t>any</w:t>
                    </w:r>
                    <w:r>
                      <w:rPr>
                        <w:spacing w:val="-6"/>
                        <w:w w:val="105"/>
                        <w:sz w:val="21"/>
                      </w:rPr>
                      <w:t> </w:t>
                    </w:r>
                    <w:r>
                      <w:rPr>
                        <w:w w:val="105"/>
                        <w:sz w:val="21"/>
                      </w:rPr>
                      <w:t>person to</w:t>
                    </w:r>
                    <w:r>
                      <w:rPr>
                        <w:spacing w:val="27"/>
                        <w:w w:val="105"/>
                        <w:sz w:val="21"/>
                      </w:rPr>
                      <w:t> </w:t>
                    </w:r>
                    <w:r>
                      <w:rPr>
                        <w:w w:val="105"/>
                        <w:sz w:val="21"/>
                      </w:rPr>
                      <w:t>apply</w:t>
                    </w:r>
                    <w:r>
                      <w:rPr>
                        <w:spacing w:val="27"/>
                        <w:w w:val="105"/>
                        <w:sz w:val="21"/>
                      </w:rPr>
                      <w:t> </w:t>
                    </w:r>
                    <w:r>
                      <w:rPr>
                        <w:w w:val="105"/>
                        <w:sz w:val="21"/>
                      </w:rPr>
                      <w:t>to</w:t>
                    </w:r>
                    <w:r>
                      <w:rPr>
                        <w:spacing w:val="28"/>
                        <w:w w:val="105"/>
                        <w:sz w:val="21"/>
                      </w:rPr>
                      <w:t> </w:t>
                    </w:r>
                    <w:r>
                      <w:rPr>
                        <w:w w:val="105"/>
                        <w:sz w:val="21"/>
                      </w:rPr>
                      <w:t>the</w:t>
                    </w:r>
                    <w:r>
                      <w:rPr>
                        <w:spacing w:val="27"/>
                        <w:w w:val="105"/>
                        <w:sz w:val="21"/>
                      </w:rPr>
                      <w:t> </w:t>
                    </w:r>
                    <w:r>
                      <w:rPr>
                        <w:w w:val="105"/>
                        <w:sz w:val="21"/>
                      </w:rPr>
                      <w:t>court</w:t>
                    </w:r>
                    <w:r>
                      <w:rPr>
                        <w:spacing w:val="28"/>
                        <w:w w:val="105"/>
                        <w:sz w:val="21"/>
                      </w:rPr>
                      <w:t> </w:t>
                    </w:r>
                    <w:r>
                      <w:rPr>
                        <w:w w:val="105"/>
                        <w:sz w:val="21"/>
                      </w:rPr>
                      <w:t>for</w:t>
                    </w:r>
                    <w:r>
                      <w:rPr>
                        <w:spacing w:val="27"/>
                        <w:w w:val="105"/>
                        <w:sz w:val="21"/>
                      </w:rPr>
                      <w:t> </w:t>
                    </w:r>
                    <w:r>
                      <w:rPr>
                        <w:w w:val="105"/>
                        <w:sz w:val="21"/>
                      </w:rPr>
                      <w:t>approval</w:t>
                    </w:r>
                    <w:r>
                      <w:rPr>
                        <w:spacing w:val="27"/>
                        <w:w w:val="105"/>
                        <w:sz w:val="21"/>
                      </w:rPr>
                      <w:t> </w:t>
                    </w:r>
                    <w:r>
                      <w:rPr>
                        <w:w w:val="105"/>
                        <w:sz w:val="21"/>
                      </w:rPr>
                      <w:t>of</w:t>
                    </w:r>
                    <w:r>
                      <w:rPr>
                        <w:spacing w:val="28"/>
                        <w:w w:val="105"/>
                        <w:sz w:val="21"/>
                      </w:rPr>
                      <w:t> </w:t>
                    </w:r>
                    <w:r>
                      <w:rPr>
                        <w:w w:val="105"/>
                        <w:sz w:val="21"/>
                      </w:rPr>
                      <w:t>a</w:t>
                    </w:r>
                    <w:r>
                      <w:rPr>
                        <w:spacing w:val="27"/>
                        <w:w w:val="105"/>
                        <w:sz w:val="21"/>
                      </w:rPr>
                      <w:t> </w:t>
                    </w:r>
                    <w:r>
                      <w:rPr>
                        <w:w w:val="105"/>
                        <w:sz w:val="21"/>
                      </w:rPr>
                      <w:t>release</w:t>
                    </w:r>
                    <w:r>
                      <w:rPr>
                        <w:spacing w:val="28"/>
                        <w:w w:val="105"/>
                        <w:sz w:val="21"/>
                      </w:rPr>
                      <w:t> </w:t>
                    </w:r>
                    <w:r>
                      <w:rPr>
                        <w:w w:val="105"/>
                        <w:sz w:val="21"/>
                      </w:rPr>
                      <w:t>of</w:t>
                    </w:r>
                    <w:r>
                      <w:rPr>
                        <w:spacing w:val="27"/>
                        <w:w w:val="105"/>
                        <w:sz w:val="21"/>
                      </w:rPr>
                      <w:t> </w:t>
                    </w:r>
                    <w:r>
                      <w:rPr>
                        <w:w w:val="105"/>
                        <w:sz w:val="21"/>
                      </w:rPr>
                      <w:t>their</w:t>
                    </w:r>
                    <w:r>
                      <w:rPr>
                        <w:spacing w:val="27"/>
                        <w:w w:val="105"/>
                        <w:sz w:val="21"/>
                      </w:rPr>
                      <w:t> </w:t>
                    </w:r>
                    <w:r>
                      <w:rPr>
                        <w:w w:val="105"/>
                        <w:sz w:val="21"/>
                      </w:rPr>
                      <w:t>rights</w:t>
                    </w:r>
                    <w:r>
                      <w:rPr>
                        <w:spacing w:val="28"/>
                        <w:w w:val="105"/>
                        <w:sz w:val="21"/>
                      </w:rPr>
                      <w:t> </w:t>
                    </w:r>
                    <w:r>
                      <w:rPr>
                        <w:w w:val="105"/>
                        <w:sz w:val="21"/>
                      </w:rPr>
                      <w:t>to</w:t>
                    </w:r>
                    <w:r>
                      <w:rPr>
                        <w:spacing w:val="27"/>
                        <w:w w:val="105"/>
                        <w:sz w:val="21"/>
                      </w:rPr>
                      <w:t> </w:t>
                    </w:r>
                    <w:r>
                      <w:rPr>
                        <w:spacing w:val="-3"/>
                        <w:w w:val="105"/>
                        <w:sz w:val="21"/>
                      </w:rPr>
                      <w:t>make</w:t>
                    </w:r>
                  </w:p>
                  <w:p>
                    <w:pPr>
                      <w:spacing w:before="0"/>
                      <w:ind w:left="0" w:right="0" w:firstLine="0"/>
                      <w:jc w:val="left"/>
                      <w:rPr>
                        <w:sz w:val="21"/>
                      </w:rPr>
                    </w:pPr>
                    <w:r>
                      <w:rPr>
                        <w:w w:val="115"/>
                        <w:sz w:val="21"/>
                      </w:rPr>
                      <w:t>a family provision application, as provided by sections 95 and 96 of the</w:t>
                    </w:r>
                  </w:p>
                  <w:p>
                    <w:pPr>
                      <w:spacing w:line="256" w:lineRule="exact" w:before="0"/>
                      <w:ind w:left="0" w:right="0" w:firstLine="0"/>
                      <w:jc w:val="left"/>
                      <w:rPr>
                        <w:sz w:val="21"/>
                      </w:rPr>
                    </w:pPr>
                    <w:r>
                      <w:rPr>
                        <w:rFonts w:ascii="Lucida Sans"/>
                        <w:i/>
                        <w:sz w:val="21"/>
                      </w:rPr>
                      <w:t>Succession Act 2006 </w:t>
                    </w:r>
                    <w:r>
                      <w:rPr>
                        <w:sz w:val="21"/>
                      </w:rPr>
                      <w:t>(NSW).</w:t>
                    </w:r>
                  </w:p>
                </w:txbxContent>
              </v:textbox>
              <w10:wrap type="none"/>
            </v:shape>
            <v:shape style="position:absolute;left:1814;top:1211;width:259;height:249" type="#_x0000_t202" filled="false" stroked="false">
              <v:textbox inset="0,0,0,0">
                <w:txbxContent>
                  <w:p>
                    <w:pPr>
                      <w:spacing w:line="249" w:lineRule="exact" w:before="0"/>
                      <w:ind w:left="0" w:right="0" w:firstLine="0"/>
                      <w:jc w:val="left"/>
                      <w:rPr>
                        <w:sz w:val="21"/>
                      </w:rPr>
                    </w:pPr>
                    <w:r>
                      <w:rPr>
                        <w:w w:val="110"/>
                        <w:sz w:val="21"/>
                      </w:rPr>
                      <w:t>48</w:t>
                    </w:r>
                  </w:p>
                </w:txbxContent>
              </v:textbox>
              <w10:wrap type="none"/>
            </v:shape>
            <v:shape style="position:absolute;left:1587;top:224;width:8731;height:726" type="#_x0000_t202" filled="true" fillcolor="#fdebea" stroked="false">
              <v:textbox inset="0,0,0,0">
                <w:txbxContent>
                  <w:p>
                    <w:pPr>
                      <w:spacing w:before="166"/>
                      <w:ind w:left="226" w:right="0" w:firstLine="0"/>
                      <w:jc w:val="left"/>
                      <w:rPr>
                        <w:b/>
                        <w:sz w:val="32"/>
                      </w:rPr>
                    </w:pPr>
                    <w:r>
                      <w:rPr>
                        <w:b/>
                        <w:color w:val="EC5A4F"/>
                        <w:w w:val="110"/>
                        <w:sz w:val="32"/>
                      </w:rPr>
                      <w:t>Recommendation</w:t>
                    </w:r>
                  </w:p>
                </w:txbxContent>
              </v:textbox>
              <v:fill type="solid"/>
              <w10:wrap type="none"/>
            </v:shape>
            <w10:wrap type="topAndBottom"/>
          </v:group>
        </w:pict>
      </w:r>
    </w:p>
    <w:p>
      <w:pPr>
        <w:pStyle w:val="Heading5"/>
        <w:spacing w:before="122"/>
      </w:pPr>
      <w:bookmarkStart w:name="_TOC_250001" w:id="129"/>
      <w:bookmarkEnd w:id="129"/>
      <w:r>
        <w:rPr>
          <w:w w:val="110"/>
        </w:rPr>
        <w:t>Notional estate</w:t>
      </w:r>
    </w:p>
    <w:p>
      <w:pPr>
        <w:pStyle w:val="Heading6"/>
        <w:spacing w:line="283" w:lineRule="auto" w:before="201"/>
        <w:ind w:right="3128"/>
      </w:pPr>
      <w:r>
        <w:rPr>
          <w:w w:val="115"/>
        </w:rPr>
        <w:t>The</w:t>
      </w:r>
      <w:r>
        <w:rPr>
          <w:spacing w:val="-19"/>
          <w:w w:val="115"/>
        </w:rPr>
        <w:t> </w:t>
      </w:r>
      <w:r>
        <w:rPr>
          <w:w w:val="115"/>
        </w:rPr>
        <w:t>New</w:t>
      </w:r>
      <w:r>
        <w:rPr>
          <w:spacing w:val="-19"/>
          <w:w w:val="115"/>
        </w:rPr>
        <w:t> </w:t>
      </w:r>
      <w:r>
        <w:rPr>
          <w:w w:val="115"/>
        </w:rPr>
        <w:t>South</w:t>
      </w:r>
      <w:r>
        <w:rPr>
          <w:spacing w:val="-18"/>
          <w:w w:val="115"/>
        </w:rPr>
        <w:t> </w:t>
      </w:r>
      <w:r>
        <w:rPr>
          <w:w w:val="115"/>
        </w:rPr>
        <w:t>Wales</w:t>
      </w:r>
      <w:r>
        <w:rPr>
          <w:spacing w:val="-19"/>
          <w:w w:val="115"/>
        </w:rPr>
        <w:t> </w:t>
      </w:r>
      <w:r>
        <w:rPr>
          <w:w w:val="115"/>
        </w:rPr>
        <w:t>notional</w:t>
      </w:r>
      <w:r>
        <w:rPr>
          <w:spacing w:val="-18"/>
          <w:w w:val="115"/>
        </w:rPr>
        <w:t> </w:t>
      </w:r>
      <w:r>
        <w:rPr>
          <w:w w:val="115"/>
        </w:rPr>
        <w:t>estate</w:t>
      </w:r>
      <w:r>
        <w:rPr>
          <w:spacing w:val="-19"/>
          <w:w w:val="115"/>
        </w:rPr>
        <w:t> </w:t>
      </w:r>
      <w:r>
        <w:rPr>
          <w:w w:val="115"/>
        </w:rPr>
        <w:t>provisions</w:t>
      </w:r>
      <w:r>
        <w:rPr>
          <w:spacing w:val="-18"/>
          <w:w w:val="115"/>
        </w:rPr>
        <w:t> </w:t>
      </w:r>
      <w:r>
        <w:rPr>
          <w:w w:val="115"/>
        </w:rPr>
        <w:t>recommended</w:t>
      </w:r>
      <w:r>
        <w:rPr>
          <w:spacing w:val="-19"/>
          <w:w w:val="115"/>
        </w:rPr>
        <w:t> </w:t>
      </w:r>
      <w:r>
        <w:rPr>
          <w:w w:val="115"/>
        </w:rPr>
        <w:t>by</w:t>
      </w:r>
      <w:r>
        <w:rPr>
          <w:spacing w:val="-18"/>
          <w:w w:val="115"/>
        </w:rPr>
        <w:t> </w:t>
      </w:r>
      <w:r>
        <w:rPr>
          <w:w w:val="115"/>
        </w:rPr>
        <w:t>the National</w:t>
      </w:r>
      <w:r>
        <w:rPr>
          <w:spacing w:val="-10"/>
          <w:w w:val="115"/>
        </w:rPr>
        <w:t> </w:t>
      </w:r>
      <w:r>
        <w:rPr>
          <w:w w:val="115"/>
        </w:rPr>
        <w:t>Committee</w:t>
      </w:r>
    </w:p>
    <w:p>
      <w:pPr>
        <w:pStyle w:val="ListParagraph"/>
        <w:numPr>
          <w:ilvl w:val="0"/>
          <w:numId w:val="97"/>
        </w:numPr>
        <w:tabs>
          <w:tab w:pos="2381" w:val="left" w:leader="none"/>
          <w:tab w:pos="2382" w:val="left" w:leader="none"/>
        </w:tabs>
        <w:spacing w:line="242" w:lineRule="auto" w:before="104" w:after="0"/>
        <w:ind w:left="2381" w:right="1587" w:hanging="794"/>
        <w:jc w:val="left"/>
        <w:rPr>
          <w:sz w:val="21"/>
        </w:rPr>
      </w:pPr>
      <w:r>
        <w:rPr>
          <w:w w:val="105"/>
          <w:sz w:val="21"/>
        </w:rPr>
        <w:t>In</w:t>
      </w:r>
      <w:r>
        <w:rPr>
          <w:spacing w:val="-7"/>
          <w:w w:val="105"/>
          <w:sz w:val="21"/>
        </w:rPr>
        <w:t> </w:t>
      </w:r>
      <w:r>
        <w:rPr>
          <w:spacing w:val="-3"/>
          <w:w w:val="105"/>
          <w:sz w:val="21"/>
        </w:rPr>
        <w:t>all</w:t>
      </w:r>
      <w:r>
        <w:rPr>
          <w:spacing w:val="-7"/>
          <w:w w:val="105"/>
          <w:sz w:val="21"/>
        </w:rPr>
        <w:t> </w:t>
      </w:r>
      <w:r>
        <w:rPr>
          <w:spacing w:val="-3"/>
          <w:w w:val="105"/>
          <w:sz w:val="21"/>
        </w:rPr>
        <w:t>Australian</w:t>
      </w:r>
      <w:r>
        <w:rPr>
          <w:spacing w:val="-6"/>
          <w:w w:val="105"/>
          <w:sz w:val="21"/>
        </w:rPr>
        <w:t> </w:t>
      </w:r>
      <w:r>
        <w:rPr>
          <w:w w:val="105"/>
          <w:sz w:val="21"/>
        </w:rPr>
        <w:t>states</w:t>
      </w:r>
      <w:r>
        <w:rPr>
          <w:spacing w:val="-7"/>
          <w:w w:val="105"/>
          <w:sz w:val="21"/>
        </w:rPr>
        <w:t> </w:t>
      </w:r>
      <w:r>
        <w:rPr>
          <w:w w:val="105"/>
          <w:sz w:val="21"/>
        </w:rPr>
        <w:t>and</w:t>
      </w:r>
      <w:r>
        <w:rPr>
          <w:spacing w:val="-6"/>
          <w:w w:val="105"/>
          <w:sz w:val="21"/>
        </w:rPr>
        <w:t> </w:t>
      </w:r>
      <w:r>
        <w:rPr>
          <w:spacing w:val="-3"/>
          <w:w w:val="105"/>
          <w:sz w:val="21"/>
        </w:rPr>
        <w:t>territories</w:t>
      </w:r>
      <w:r>
        <w:rPr>
          <w:spacing w:val="-7"/>
          <w:w w:val="105"/>
          <w:sz w:val="21"/>
        </w:rPr>
        <w:t> </w:t>
      </w:r>
      <w:r>
        <w:rPr>
          <w:spacing w:val="-3"/>
          <w:w w:val="105"/>
          <w:sz w:val="21"/>
        </w:rPr>
        <w:t>except</w:t>
      </w:r>
      <w:r>
        <w:rPr>
          <w:spacing w:val="-6"/>
          <w:w w:val="105"/>
          <w:sz w:val="21"/>
        </w:rPr>
        <w:t> </w:t>
      </w:r>
      <w:r>
        <w:rPr>
          <w:w w:val="105"/>
          <w:sz w:val="21"/>
        </w:rPr>
        <w:t>New</w:t>
      </w:r>
      <w:r>
        <w:rPr>
          <w:spacing w:val="-7"/>
          <w:w w:val="105"/>
          <w:sz w:val="21"/>
        </w:rPr>
        <w:t> </w:t>
      </w:r>
      <w:r>
        <w:rPr>
          <w:w w:val="105"/>
          <w:sz w:val="21"/>
        </w:rPr>
        <w:t>South</w:t>
      </w:r>
      <w:r>
        <w:rPr>
          <w:spacing w:val="-7"/>
          <w:w w:val="105"/>
          <w:sz w:val="21"/>
        </w:rPr>
        <w:t> </w:t>
      </w:r>
      <w:r>
        <w:rPr>
          <w:spacing w:val="-3"/>
          <w:w w:val="105"/>
          <w:sz w:val="21"/>
        </w:rPr>
        <w:t>Wales,</w:t>
      </w:r>
      <w:r>
        <w:rPr>
          <w:spacing w:val="-6"/>
          <w:w w:val="105"/>
          <w:sz w:val="21"/>
        </w:rPr>
        <w:t> </w:t>
      </w:r>
      <w:r>
        <w:rPr>
          <w:spacing w:val="-3"/>
          <w:w w:val="105"/>
          <w:sz w:val="21"/>
        </w:rPr>
        <w:t>family</w:t>
      </w:r>
      <w:r>
        <w:rPr>
          <w:spacing w:val="-7"/>
          <w:w w:val="105"/>
          <w:sz w:val="21"/>
        </w:rPr>
        <w:t> </w:t>
      </w:r>
      <w:r>
        <w:rPr>
          <w:spacing w:val="-3"/>
          <w:w w:val="105"/>
          <w:sz w:val="21"/>
        </w:rPr>
        <w:t>provision</w:t>
      </w:r>
      <w:r>
        <w:rPr>
          <w:spacing w:val="-6"/>
          <w:w w:val="105"/>
          <w:sz w:val="21"/>
        </w:rPr>
        <w:t> </w:t>
      </w:r>
      <w:r>
        <w:rPr>
          <w:w w:val="105"/>
          <w:sz w:val="21"/>
        </w:rPr>
        <w:t>can</w:t>
      </w:r>
      <w:r>
        <w:rPr>
          <w:spacing w:val="-7"/>
          <w:w w:val="105"/>
          <w:sz w:val="21"/>
        </w:rPr>
        <w:t> </w:t>
      </w:r>
      <w:r>
        <w:rPr>
          <w:spacing w:val="-3"/>
          <w:w w:val="105"/>
          <w:sz w:val="21"/>
        </w:rPr>
        <w:t>usually </w:t>
      </w:r>
      <w:r>
        <w:rPr>
          <w:w w:val="105"/>
          <w:sz w:val="21"/>
        </w:rPr>
        <w:t>only</w:t>
      </w:r>
      <w:r>
        <w:rPr>
          <w:spacing w:val="-7"/>
          <w:w w:val="105"/>
          <w:sz w:val="21"/>
        </w:rPr>
        <w:t> </w:t>
      </w:r>
      <w:r>
        <w:rPr>
          <w:w w:val="105"/>
          <w:sz w:val="21"/>
        </w:rPr>
        <w:t>be</w:t>
      </w:r>
      <w:r>
        <w:rPr>
          <w:spacing w:val="-6"/>
          <w:w w:val="105"/>
          <w:sz w:val="21"/>
        </w:rPr>
        <w:t> </w:t>
      </w:r>
      <w:r>
        <w:rPr>
          <w:w w:val="105"/>
          <w:sz w:val="21"/>
        </w:rPr>
        <w:t>made</w:t>
      </w:r>
      <w:r>
        <w:rPr>
          <w:spacing w:val="-7"/>
          <w:w w:val="105"/>
          <w:sz w:val="21"/>
        </w:rPr>
        <w:t> </w:t>
      </w:r>
      <w:r>
        <w:rPr>
          <w:w w:val="105"/>
          <w:sz w:val="21"/>
        </w:rPr>
        <w:t>out</w:t>
      </w:r>
      <w:r>
        <w:rPr>
          <w:spacing w:val="-6"/>
          <w:w w:val="105"/>
          <w:sz w:val="21"/>
        </w:rPr>
        <w:t> </w:t>
      </w:r>
      <w:r>
        <w:rPr>
          <w:w w:val="105"/>
          <w:sz w:val="21"/>
        </w:rPr>
        <w:t>of</w:t>
      </w:r>
      <w:r>
        <w:rPr>
          <w:spacing w:val="-7"/>
          <w:w w:val="105"/>
          <w:sz w:val="21"/>
        </w:rPr>
        <w:t> </w:t>
      </w:r>
      <w:r>
        <w:rPr>
          <w:w w:val="105"/>
          <w:sz w:val="21"/>
        </w:rPr>
        <w:t>property</w:t>
      </w:r>
      <w:r>
        <w:rPr>
          <w:spacing w:val="-6"/>
          <w:w w:val="105"/>
          <w:sz w:val="21"/>
        </w:rPr>
        <w:t> </w:t>
      </w:r>
      <w:r>
        <w:rPr>
          <w:spacing w:val="-3"/>
          <w:w w:val="105"/>
          <w:sz w:val="21"/>
        </w:rPr>
        <w:t>that</w:t>
      </w:r>
      <w:r>
        <w:rPr>
          <w:spacing w:val="-6"/>
          <w:w w:val="105"/>
          <w:sz w:val="21"/>
        </w:rPr>
        <w:t> </w:t>
      </w:r>
      <w:r>
        <w:rPr>
          <w:w w:val="105"/>
          <w:sz w:val="21"/>
        </w:rPr>
        <w:t>is</w:t>
      </w:r>
      <w:r>
        <w:rPr>
          <w:spacing w:val="-7"/>
          <w:w w:val="105"/>
          <w:sz w:val="21"/>
        </w:rPr>
        <w:t> </w:t>
      </w:r>
      <w:r>
        <w:rPr>
          <w:w w:val="105"/>
          <w:sz w:val="21"/>
        </w:rPr>
        <w:t>in</w:t>
      </w:r>
      <w:r>
        <w:rPr>
          <w:spacing w:val="-6"/>
          <w:w w:val="105"/>
          <w:sz w:val="21"/>
        </w:rPr>
        <w:t> </w:t>
      </w:r>
      <w:r>
        <w:rPr>
          <w:w w:val="105"/>
          <w:sz w:val="21"/>
        </w:rPr>
        <w:t>the</w:t>
      </w:r>
      <w:r>
        <w:rPr>
          <w:spacing w:val="-7"/>
          <w:w w:val="105"/>
          <w:sz w:val="21"/>
        </w:rPr>
        <w:t> </w:t>
      </w:r>
      <w:r>
        <w:rPr>
          <w:w w:val="105"/>
          <w:sz w:val="21"/>
        </w:rPr>
        <w:t>deceased</w:t>
      </w:r>
      <w:r>
        <w:rPr>
          <w:spacing w:val="-6"/>
          <w:w w:val="105"/>
          <w:sz w:val="21"/>
        </w:rPr>
        <w:t> </w:t>
      </w:r>
      <w:r>
        <w:rPr>
          <w:spacing w:val="-3"/>
          <w:w w:val="105"/>
          <w:sz w:val="21"/>
        </w:rPr>
        <w:t>person’s</w:t>
      </w:r>
      <w:r>
        <w:rPr>
          <w:spacing w:val="-7"/>
          <w:w w:val="105"/>
          <w:sz w:val="21"/>
        </w:rPr>
        <w:t> </w:t>
      </w:r>
      <w:r>
        <w:rPr>
          <w:w w:val="105"/>
          <w:sz w:val="21"/>
        </w:rPr>
        <w:t>estate.</w:t>
      </w:r>
      <w:r>
        <w:rPr>
          <w:w w:val="105"/>
          <w:position w:val="7"/>
          <w:sz w:val="12"/>
        </w:rPr>
        <w:t>295</w:t>
      </w:r>
      <w:r>
        <w:rPr>
          <w:spacing w:val="16"/>
          <w:w w:val="105"/>
          <w:position w:val="7"/>
          <w:sz w:val="12"/>
        </w:rPr>
        <w:t> </w:t>
      </w:r>
      <w:r>
        <w:rPr>
          <w:spacing w:val="-4"/>
          <w:w w:val="105"/>
          <w:sz w:val="21"/>
        </w:rPr>
        <w:t>However,</w:t>
      </w:r>
      <w:r>
        <w:rPr>
          <w:spacing w:val="-6"/>
          <w:w w:val="105"/>
          <w:sz w:val="21"/>
        </w:rPr>
        <w:t> </w:t>
      </w:r>
      <w:r>
        <w:rPr>
          <w:spacing w:val="-3"/>
          <w:w w:val="105"/>
          <w:sz w:val="21"/>
        </w:rPr>
        <w:t>notional </w:t>
      </w:r>
      <w:r>
        <w:rPr>
          <w:w w:val="105"/>
          <w:sz w:val="21"/>
        </w:rPr>
        <w:t>estate </w:t>
      </w:r>
      <w:r>
        <w:rPr>
          <w:spacing w:val="-3"/>
          <w:w w:val="105"/>
          <w:sz w:val="21"/>
        </w:rPr>
        <w:t>provisions </w:t>
      </w:r>
      <w:r>
        <w:rPr>
          <w:w w:val="105"/>
          <w:sz w:val="21"/>
        </w:rPr>
        <w:t>in New South </w:t>
      </w:r>
      <w:r>
        <w:rPr>
          <w:spacing w:val="-3"/>
          <w:w w:val="105"/>
          <w:sz w:val="21"/>
        </w:rPr>
        <w:t>Wales allow </w:t>
      </w:r>
      <w:r>
        <w:rPr>
          <w:w w:val="105"/>
          <w:sz w:val="21"/>
        </w:rPr>
        <w:t>certain property </w:t>
      </w:r>
      <w:r>
        <w:rPr>
          <w:spacing w:val="-3"/>
          <w:w w:val="105"/>
          <w:sz w:val="21"/>
        </w:rPr>
        <w:t>that </w:t>
      </w:r>
      <w:r>
        <w:rPr>
          <w:w w:val="105"/>
          <w:sz w:val="21"/>
        </w:rPr>
        <w:t>is </w:t>
      </w:r>
      <w:r>
        <w:rPr>
          <w:spacing w:val="-2"/>
          <w:w w:val="105"/>
          <w:sz w:val="21"/>
        </w:rPr>
        <w:t>not </w:t>
      </w:r>
      <w:r>
        <w:rPr>
          <w:w w:val="105"/>
          <w:sz w:val="21"/>
        </w:rPr>
        <w:t>part of the deceased </w:t>
      </w:r>
      <w:r>
        <w:rPr>
          <w:spacing w:val="-3"/>
          <w:w w:val="105"/>
          <w:sz w:val="21"/>
        </w:rPr>
        <w:t>person’s </w:t>
      </w:r>
      <w:r>
        <w:rPr>
          <w:w w:val="105"/>
          <w:sz w:val="21"/>
        </w:rPr>
        <w:t>estate </w:t>
      </w:r>
      <w:r>
        <w:rPr>
          <w:spacing w:val="-3"/>
          <w:w w:val="105"/>
          <w:sz w:val="21"/>
        </w:rPr>
        <w:t>to </w:t>
      </w:r>
      <w:r>
        <w:rPr>
          <w:w w:val="105"/>
          <w:sz w:val="21"/>
        </w:rPr>
        <w:t>be </w:t>
      </w:r>
      <w:r>
        <w:rPr>
          <w:spacing w:val="-3"/>
          <w:w w:val="105"/>
          <w:sz w:val="21"/>
        </w:rPr>
        <w:t>designated </w:t>
      </w:r>
      <w:r>
        <w:rPr>
          <w:w w:val="105"/>
          <w:sz w:val="21"/>
        </w:rPr>
        <w:t>as </w:t>
      </w:r>
      <w:r>
        <w:rPr>
          <w:spacing w:val="-3"/>
          <w:w w:val="105"/>
          <w:sz w:val="21"/>
        </w:rPr>
        <w:t>notional </w:t>
      </w:r>
      <w:r>
        <w:rPr>
          <w:w w:val="105"/>
          <w:sz w:val="21"/>
        </w:rPr>
        <w:t>estate </w:t>
      </w:r>
      <w:r>
        <w:rPr>
          <w:spacing w:val="-3"/>
          <w:w w:val="105"/>
          <w:sz w:val="21"/>
        </w:rPr>
        <w:t>to </w:t>
      </w:r>
      <w:r>
        <w:rPr>
          <w:w w:val="105"/>
          <w:sz w:val="21"/>
        </w:rPr>
        <w:t>satisfy a </w:t>
      </w:r>
      <w:r>
        <w:rPr>
          <w:spacing w:val="-3"/>
          <w:w w:val="105"/>
          <w:sz w:val="21"/>
        </w:rPr>
        <w:t>successful claim for family provision, </w:t>
      </w:r>
      <w:r>
        <w:rPr>
          <w:w w:val="105"/>
          <w:sz w:val="21"/>
        </w:rPr>
        <w:t>or </w:t>
      </w:r>
      <w:r>
        <w:rPr>
          <w:spacing w:val="-2"/>
          <w:w w:val="105"/>
          <w:sz w:val="21"/>
        </w:rPr>
        <w:t>pay </w:t>
      </w:r>
      <w:r>
        <w:rPr>
          <w:w w:val="105"/>
          <w:sz w:val="21"/>
        </w:rPr>
        <w:t>the costs of </w:t>
      </w:r>
      <w:r>
        <w:rPr>
          <w:spacing w:val="-3"/>
          <w:w w:val="105"/>
          <w:sz w:val="21"/>
        </w:rPr>
        <w:t>family provision </w:t>
      </w:r>
      <w:r>
        <w:rPr>
          <w:w w:val="105"/>
          <w:sz w:val="21"/>
        </w:rPr>
        <w:t>proceedings.</w:t>
      </w:r>
      <w:r>
        <w:rPr>
          <w:w w:val="105"/>
          <w:position w:val="7"/>
          <w:sz w:val="12"/>
        </w:rPr>
        <w:t>296 </w:t>
      </w:r>
      <w:r>
        <w:rPr>
          <w:w w:val="105"/>
          <w:sz w:val="21"/>
        </w:rPr>
        <w:t>The </w:t>
      </w:r>
      <w:r>
        <w:rPr>
          <w:spacing w:val="-4"/>
          <w:w w:val="105"/>
          <w:sz w:val="21"/>
        </w:rPr>
        <w:t>Commission’s </w:t>
      </w:r>
      <w:r>
        <w:rPr>
          <w:spacing w:val="-3"/>
          <w:w w:val="105"/>
          <w:sz w:val="21"/>
        </w:rPr>
        <w:t>consultation </w:t>
      </w:r>
      <w:r>
        <w:rPr>
          <w:w w:val="105"/>
          <w:sz w:val="21"/>
        </w:rPr>
        <w:t>paper on </w:t>
      </w:r>
      <w:r>
        <w:rPr>
          <w:spacing w:val="-3"/>
          <w:w w:val="105"/>
          <w:sz w:val="21"/>
        </w:rPr>
        <w:t>family provision </w:t>
      </w:r>
      <w:r>
        <w:rPr>
          <w:w w:val="105"/>
          <w:sz w:val="21"/>
        </w:rPr>
        <w:t>discussed </w:t>
      </w:r>
      <w:r>
        <w:rPr>
          <w:spacing w:val="-3"/>
          <w:w w:val="105"/>
          <w:sz w:val="21"/>
        </w:rPr>
        <w:t>notional </w:t>
      </w:r>
      <w:r>
        <w:rPr>
          <w:w w:val="105"/>
          <w:sz w:val="21"/>
        </w:rPr>
        <w:t>estate.</w:t>
      </w:r>
      <w:r>
        <w:rPr>
          <w:w w:val="105"/>
          <w:position w:val="7"/>
          <w:sz w:val="12"/>
        </w:rPr>
        <w:t>297 </w:t>
      </w:r>
      <w:r>
        <w:rPr>
          <w:w w:val="105"/>
          <w:sz w:val="21"/>
        </w:rPr>
        <w:t>The </w:t>
      </w:r>
      <w:r>
        <w:rPr>
          <w:spacing w:val="-3"/>
          <w:w w:val="105"/>
          <w:sz w:val="21"/>
        </w:rPr>
        <w:t>National Committee for Uniform Succession </w:t>
      </w:r>
      <w:r>
        <w:rPr>
          <w:w w:val="105"/>
          <w:sz w:val="21"/>
        </w:rPr>
        <w:t>Laws recommended </w:t>
      </w:r>
      <w:r>
        <w:rPr>
          <w:spacing w:val="-3"/>
          <w:w w:val="105"/>
          <w:sz w:val="21"/>
        </w:rPr>
        <w:t>that notional </w:t>
      </w:r>
      <w:r>
        <w:rPr>
          <w:w w:val="105"/>
          <w:sz w:val="21"/>
        </w:rPr>
        <w:t>estate </w:t>
      </w:r>
      <w:r>
        <w:rPr>
          <w:spacing w:val="-3"/>
          <w:w w:val="105"/>
          <w:sz w:val="21"/>
        </w:rPr>
        <w:t>provisions </w:t>
      </w:r>
      <w:r>
        <w:rPr>
          <w:w w:val="105"/>
          <w:sz w:val="21"/>
        </w:rPr>
        <w:t>based on the New South </w:t>
      </w:r>
      <w:r>
        <w:rPr>
          <w:spacing w:val="-3"/>
          <w:w w:val="105"/>
          <w:sz w:val="21"/>
        </w:rPr>
        <w:t>Wales legislation </w:t>
      </w:r>
      <w:r>
        <w:rPr>
          <w:w w:val="105"/>
          <w:sz w:val="21"/>
        </w:rPr>
        <w:t>should be adopted in </w:t>
      </w:r>
      <w:r>
        <w:rPr>
          <w:spacing w:val="-3"/>
          <w:w w:val="105"/>
          <w:sz w:val="21"/>
        </w:rPr>
        <w:t>all Australian</w:t>
      </w:r>
      <w:r>
        <w:rPr>
          <w:spacing w:val="5"/>
          <w:w w:val="105"/>
          <w:sz w:val="21"/>
        </w:rPr>
        <w:t> </w:t>
      </w:r>
      <w:r>
        <w:rPr>
          <w:w w:val="105"/>
          <w:sz w:val="21"/>
        </w:rPr>
        <w:t>states</w:t>
      </w:r>
    </w:p>
    <w:p>
      <w:pPr>
        <w:pStyle w:val="BodyText"/>
        <w:spacing w:before="9"/>
        <w:ind w:left="2381"/>
        <w:rPr>
          <w:sz w:val="12"/>
        </w:rPr>
      </w:pPr>
      <w:r>
        <w:rPr>
          <w:w w:val="105"/>
        </w:rPr>
        <w:t>and territories.</w:t>
      </w:r>
      <w:r>
        <w:rPr>
          <w:w w:val="105"/>
          <w:position w:val="7"/>
          <w:sz w:val="12"/>
        </w:rPr>
        <w:t>298</w:t>
      </w:r>
    </w:p>
    <w:p>
      <w:pPr>
        <w:pStyle w:val="BodyText"/>
        <w:rPr>
          <w:sz w:val="20"/>
        </w:rPr>
      </w:pPr>
    </w:p>
    <w:p>
      <w:pPr>
        <w:pStyle w:val="BodyText"/>
        <w:spacing w:before="9"/>
        <w:rPr>
          <w:sz w:val="22"/>
        </w:rPr>
      </w:pPr>
      <w:r>
        <w:rPr/>
        <w:pict>
          <v:line style="position:absolute;mso-position-horizontal-relative:page;mso-position-vertical-relative:paragraph;z-index:8264;mso-wrap-distance-left:0;mso-wrap-distance-right:0" from="79.370003pt,16.337315pt" to="515.905003pt,16.337315pt" stroked="true" strokeweight="1pt" strokecolor="#f9ceca">
            <v:stroke dashstyle="solid"/>
            <w10:wrap type="topAndBottom"/>
          </v:line>
        </w:pict>
      </w:r>
    </w:p>
    <w:p>
      <w:pPr>
        <w:pStyle w:val="BodyText"/>
        <w:spacing w:before="8"/>
        <w:rPr>
          <w:sz w:val="5"/>
        </w:rPr>
      </w:pPr>
    </w:p>
    <w:p>
      <w:pPr>
        <w:spacing w:after="0"/>
        <w:rPr>
          <w:sz w:val="5"/>
        </w:rPr>
        <w:sectPr>
          <w:pgSz w:w="11910" w:h="16840"/>
          <w:pgMar w:header="550" w:footer="0" w:top="1560" w:bottom="280" w:left="0" w:right="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40"/>
        </w:rPr>
      </w:pPr>
    </w:p>
    <w:p>
      <w:pPr>
        <w:spacing w:before="1"/>
        <w:ind w:left="720" w:right="0" w:firstLine="0"/>
        <w:jc w:val="left"/>
        <w:rPr>
          <w:b/>
          <w:sz w:val="24"/>
        </w:rPr>
      </w:pPr>
      <w:r>
        <w:rPr>
          <w:b/>
          <w:color w:val="EC5A4F"/>
          <w:spacing w:val="-3"/>
          <w:w w:val="110"/>
          <w:sz w:val="24"/>
        </w:rPr>
        <w:t>130</w:t>
      </w:r>
    </w:p>
    <w:p>
      <w:pPr>
        <w:pStyle w:val="ListParagraph"/>
        <w:numPr>
          <w:ilvl w:val="0"/>
          <w:numId w:val="105"/>
        </w:numPr>
        <w:tabs>
          <w:tab w:pos="1228" w:val="left" w:leader="none"/>
          <w:tab w:pos="1230" w:val="left" w:leader="none"/>
        </w:tabs>
        <w:spacing w:line="240" w:lineRule="auto" w:before="48" w:after="0"/>
        <w:ind w:left="1229" w:right="0" w:hanging="794"/>
        <w:jc w:val="left"/>
        <w:rPr>
          <w:sz w:val="13"/>
        </w:rPr>
      </w:pPr>
      <w:r>
        <w:rPr>
          <w:i/>
          <w:w w:val="110"/>
          <w:sz w:val="13"/>
        </w:rPr>
        <w:br w:type="column"/>
      </w:r>
      <w:r>
        <w:rPr>
          <w:i/>
          <w:w w:val="105"/>
          <w:sz w:val="13"/>
        </w:rPr>
        <w:t>Succession Act 2006 </w:t>
      </w:r>
      <w:r>
        <w:rPr>
          <w:spacing w:val="3"/>
          <w:w w:val="105"/>
          <w:sz w:val="13"/>
        </w:rPr>
        <w:t>(NSW) </w:t>
      </w:r>
      <w:r>
        <w:rPr>
          <w:w w:val="105"/>
          <w:sz w:val="13"/>
        </w:rPr>
        <w:t>ss</w:t>
      </w:r>
      <w:r>
        <w:rPr>
          <w:spacing w:val="18"/>
          <w:w w:val="105"/>
          <w:sz w:val="13"/>
        </w:rPr>
        <w:t> </w:t>
      </w:r>
      <w:r>
        <w:rPr>
          <w:spacing w:val="4"/>
          <w:w w:val="105"/>
          <w:sz w:val="13"/>
        </w:rPr>
        <w:t>95(1)–(2).</w:t>
      </w:r>
    </w:p>
    <w:p>
      <w:pPr>
        <w:pStyle w:val="ListParagraph"/>
        <w:numPr>
          <w:ilvl w:val="0"/>
          <w:numId w:val="105"/>
        </w:numPr>
        <w:tabs>
          <w:tab w:pos="1229" w:val="left" w:leader="none"/>
          <w:tab w:pos="1230" w:val="left" w:leader="none"/>
        </w:tabs>
        <w:spacing w:line="240" w:lineRule="auto" w:before="1" w:after="0"/>
        <w:ind w:left="1229" w:right="2014" w:hanging="794"/>
        <w:jc w:val="left"/>
        <w:rPr>
          <w:sz w:val="13"/>
        </w:rPr>
      </w:pPr>
      <w:r>
        <w:rPr>
          <w:sz w:val="13"/>
        </w:rPr>
        <w:t>Ibid s </w:t>
      </w:r>
      <w:r>
        <w:rPr>
          <w:spacing w:val="3"/>
          <w:sz w:val="13"/>
        </w:rPr>
        <w:t>95(3). </w:t>
      </w:r>
      <w:r>
        <w:rPr>
          <w:sz w:val="13"/>
        </w:rPr>
        <w:t>These factors are also considered retrospectively, in relation to the time at which the releasing </w:t>
      </w:r>
      <w:r>
        <w:rPr>
          <w:spacing w:val="2"/>
          <w:sz w:val="13"/>
        </w:rPr>
        <w:t>party </w:t>
      </w:r>
      <w:r>
        <w:rPr>
          <w:sz w:val="13"/>
        </w:rPr>
        <w:t>agreed to make the  release: s</w:t>
      </w:r>
      <w:r>
        <w:rPr>
          <w:spacing w:val="12"/>
          <w:sz w:val="13"/>
        </w:rPr>
        <w:t> </w:t>
      </w:r>
      <w:r>
        <w:rPr>
          <w:spacing w:val="3"/>
          <w:sz w:val="13"/>
        </w:rPr>
        <w:t>95(3).</w:t>
      </w:r>
    </w:p>
    <w:p>
      <w:pPr>
        <w:pStyle w:val="ListParagraph"/>
        <w:numPr>
          <w:ilvl w:val="0"/>
          <w:numId w:val="105"/>
        </w:numPr>
        <w:tabs>
          <w:tab w:pos="1229" w:val="left" w:leader="none"/>
          <w:tab w:pos="1230" w:val="left" w:leader="none"/>
        </w:tabs>
        <w:spacing w:line="240" w:lineRule="auto" w:before="3" w:after="0"/>
        <w:ind w:left="1229" w:right="0" w:hanging="794"/>
        <w:jc w:val="left"/>
        <w:rPr>
          <w:sz w:val="13"/>
        </w:rPr>
      </w:pPr>
      <w:r>
        <w:rPr>
          <w:w w:val="105"/>
          <w:sz w:val="13"/>
        </w:rPr>
        <w:t>Consultation </w:t>
      </w:r>
      <w:r>
        <w:rPr>
          <w:spacing w:val="-4"/>
          <w:w w:val="105"/>
          <w:sz w:val="13"/>
        </w:rPr>
        <w:t>12 </w:t>
      </w:r>
      <w:r>
        <w:rPr>
          <w:spacing w:val="3"/>
          <w:w w:val="105"/>
          <w:sz w:val="13"/>
        </w:rPr>
        <w:t>(Law </w:t>
      </w:r>
      <w:r>
        <w:rPr>
          <w:w w:val="105"/>
          <w:sz w:val="13"/>
        </w:rPr>
        <w:t>Society of New South</w:t>
      </w:r>
      <w:r>
        <w:rPr>
          <w:spacing w:val="7"/>
          <w:w w:val="105"/>
          <w:sz w:val="13"/>
        </w:rPr>
        <w:t> </w:t>
      </w:r>
      <w:r>
        <w:rPr>
          <w:w w:val="105"/>
          <w:sz w:val="13"/>
        </w:rPr>
        <w:t>Wales).</w:t>
      </w:r>
    </w:p>
    <w:p>
      <w:pPr>
        <w:pStyle w:val="ListParagraph"/>
        <w:numPr>
          <w:ilvl w:val="0"/>
          <w:numId w:val="105"/>
        </w:numPr>
        <w:tabs>
          <w:tab w:pos="1229" w:val="left" w:leader="none"/>
          <w:tab w:pos="1230" w:val="left" w:leader="none"/>
        </w:tabs>
        <w:spacing w:line="240" w:lineRule="auto" w:before="1" w:after="0"/>
        <w:ind w:left="1229" w:right="1753" w:hanging="794"/>
        <w:jc w:val="both"/>
        <w:rPr>
          <w:sz w:val="13"/>
        </w:rPr>
      </w:pPr>
      <w:r>
        <w:rPr>
          <w:w w:val="105"/>
          <w:sz w:val="13"/>
        </w:rPr>
        <w:t>However, in Queensland, a </w:t>
      </w:r>
      <w:r>
        <w:rPr>
          <w:i/>
          <w:w w:val="105"/>
          <w:sz w:val="13"/>
        </w:rPr>
        <w:t>donatio mortis </w:t>
      </w:r>
      <w:r>
        <w:rPr>
          <w:i/>
          <w:spacing w:val="2"/>
          <w:w w:val="105"/>
          <w:sz w:val="13"/>
        </w:rPr>
        <w:t>causa</w:t>
      </w:r>
      <w:r>
        <w:rPr>
          <w:spacing w:val="2"/>
          <w:w w:val="105"/>
          <w:sz w:val="13"/>
        </w:rPr>
        <w:t>—or </w:t>
      </w:r>
      <w:r>
        <w:rPr>
          <w:w w:val="105"/>
          <w:sz w:val="13"/>
        </w:rPr>
        <w:t>gift made in anticipation of </w:t>
      </w:r>
      <w:r>
        <w:rPr>
          <w:spacing w:val="2"/>
          <w:w w:val="105"/>
          <w:sz w:val="13"/>
        </w:rPr>
        <w:t>death—is </w:t>
      </w:r>
      <w:r>
        <w:rPr>
          <w:w w:val="105"/>
          <w:sz w:val="13"/>
        </w:rPr>
        <w:t>regarded as estate </w:t>
      </w:r>
      <w:r>
        <w:rPr>
          <w:spacing w:val="2"/>
          <w:w w:val="105"/>
          <w:sz w:val="13"/>
        </w:rPr>
        <w:t>property </w:t>
      </w:r>
      <w:r>
        <w:rPr>
          <w:w w:val="105"/>
          <w:sz w:val="13"/>
        </w:rPr>
        <w:t>for the purposes</w:t>
      </w:r>
      <w:r>
        <w:rPr>
          <w:spacing w:val="30"/>
          <w:w w:val="105"/>
          <w:sz w:val="13"/>
        </w:rPr>
        <w:t> </w:t>
      </w:r>
      <w:r>
        <w:rPr>
          <w:w w:val="105"/>
          <w:sz w:val="13"/>
        </w:rPr>
        <w:t>of a family provision application: </w:t>
      </w:r>
      <w:r>
        <w:rPr>
          <w:i/>
          <w:w w:val="105"/>
          <w:sz w:val="13"/>
        </w:rPr>
        <w:t>Succession Act </w:t>
      </w:r>
      <w:r>
        <w:rPr>
          <w:i/>
          <w:spacing w:val="-3"/>
          <w:w w:val="105"/>
          <w:sz w:val="13"/>
        </w:rPr>
        <w:t>1981  </w:t>
      </w:r>
      <w:r>
        <w:rPr>
          <w:spacing w:val="2"/>
          <w:w w:val="105"/>
          <w:sz w:val="13"/>
        </w:rPr>
        <w:t>(Qld) </w:t>
      </w:r>
      <w:r>
        <w:rPr>
          <w:w w:val="105"/>
          <w:sz w:val="13"/>
        </w:rPr>
        <w:t>s 41(12). For discussion of this, see: Rosalind Croucher, ‘Conflicting Narratives   in</w:t>
      </w:r>
      <w:r>
        <w:rPr>
          <w:spacing w:val="7"/>
          <w:w w:val="105"/>
          <w:sz w:val="13"/>
        </w:rPr>
        <w:t> </w:t>
      </w:r>
      <w:r>
        <w:rPr>
          <w:w w:val="105"/>
          <w:sz w:val="13"/>
        </w:rPr>
        <w:t>Succession</w:t>
      </w:r>
      <w:r>
        <w:rPr>
          <w:spacing w:val="7"/>
          <w:w w:val="105"/>
          <w:sz w:val="13"/>
        </w:rPr>
        <w:t> </w:t>
      </w:r>
      <w:r>
        <w:rPr>
          <w:spacing w:val="3"/>
          <w:w w:val="105"/>
          <w:sz w:val="13"/>
        </w:rPr>
        <w:t>Law—A</w:t>
      </w:r>
      <w:r>
        <w:rPr>
          <w:spacing w:val="8"/>
          <w:w w:val="105"/>
          <w:sz w:val="13"/>
        </w:rPr>
        <w:t> </w:t>
      </w:r>
      <w:r>
        <w:rPr>
          <w:w w:val="105"/>
          <w:sz w:val="13"/>
        </w:rPr>
        <w:t>Review</w:t>
      </w:r>
      <w:r>
        <w:rPr>
          <w:spacing w:val="7"/>
          <w:w w:val="105"/>
          <w:sz w:val="13"/>
        </w:rPr>
        <w:t> </w:t>
      </w:r>
      <w:r>
        <w:rPr>
          <w:w w:val="105"/>
          <w:sz w:val="13"/>
        </w:rPr>
        <w:t>of</w:t>
      </w:r>
      <w:r>
        <w:rPr>
          <w:spacing w:val="8"/>
          <w:w w:val="105"/>
          <w:sz w:val="13"/>
        </w:rPr>
        <w:t> </w:t>
      </w:r>
      <w:r>
        <w:rPr>
          <w:w w:val="105"/>
          <w:sz w:val="13"/>
        </w:rPr>
        <w:t>Recent</w:t>
      </w:r>
      <w:r>
        <w:rPr>
          <w:spacing w:val="7"/>
          <w:w w:val="105"/>
          <w:sz w:val="13"/>
        </w:rPr>
        <w:t> </w:t>
      </w:r>
      <w:r>
        <w:rPr>
          <w:w w:val="105"/>
          <w:sz w:val="13"/>
        </w:rPr>
        <w:t>Cases’</w:t>
      </w:r>
      <w:r>
        <w:rPr>
          <w:spacing w:val="8"/>
          <w:w w:val="105"/>
          <w:sz w:val="13"/>
        </w:rPr>
        <w:t> </w:t>
      </w:r>
      <w:r>
        <w:rPr>
          <w:w w:val="105"/>
          <w:sz w:val="13"/>
        </w:rPr>
        <w:t>(2007)</w:t>
      </w:r>
      <w:r>
        <w:rPr>
          <w:spacing w:val="7"/>
          <w:w w:val="105"/>
          <w:sz w:val="13"/>
        </w:rPr>
        <w:t> </w:t>
      </w:r>
      <w:r>
        <w:rPr>
          <w:spacing w:val="-3"/>
          <w:w w:val="105"/>
          <w:sz w:val="13"/>
        </w:rPr>
        <w:t>14</w:t>
      </w:r>
      <w:r>
        <w:rPr>
          <w:spacing w:val="8"/>
          <w:w w:val="105"/>
          <w:sz w:val="13"/>
        </w:rPr>
        <w:t> </w:t>
      </w:r>
      <w:r>
        <w:rPr>
          <w:i/>
          <w:w w:val="105"/>
          <w:sz w:val="13"/>
        </w:rPr>
        <w:t>Australian</w:t>
      </w:r>
      <w:r>
        <w:rPr>
          <w:i/>
          <w:spacing w:val="6"/>
          <w:w w:val="105"/>
          <w:sz w:val="13"/>
        </w:rPr>
        <w:t> </w:t>
      </w:r>
      <w:r>
        <w:rPr>
          <w:i/>
          <w:w w:val="105"/>
          <w:sz w:val="13"/>
        </w:rPr>
        <w:t>Property</w:t>
      </w:r>
      <w:r>
        <w:rPr>
          <w:i/>
          <w:spacing w:val="6"/>
          <w:w w:val="105"/>
          <w:sz w:val="13"/>
        </w:rPr>
        <w:t> </w:t>
      </w:r>
      <w:r>
        <w:rPr>
          <w:i/>
          <w:w w:val="105"/>
          <w:sz w:val="13"/>
        </w:rPr>
        <w:t>Law</w:t>
      </w:r>
      <w:r>
        <w:rPr>
          <w:i/>
          <w:spacing w:val="7"/>
          <w:w w:val="105"/>
          <w:sz w:val="13"/>
        </w:rPr>
        <w:t> </w:t>
      </w:r>
      <w:r>
        <w:rPr>
          <w:i/>
          <w:w w:val="105"/>
          <w:sz w:val="13"/>
        </w:rPr>
        <w:t>Journal</w:t>
      </w:r>
      <w:r>
        <w:rPr>
          <w:i/>
          <w:spacing w:val="6"/>
          <w:w w:val="105"/>
          <w:sz w:val="13"/>
        </w:rPr>
        <w:t> </w:t>
      </w:r>
      <w:r>
        <w:rPr>
          <w:w w:val="105"/>
          <w:sz w:val="13"/>
        </w:rPr>
        <w:t>179,</w:t>
      </w:r>
      <w:r>
        <w:rPr>
          <w:spacing w:val="8"/>
          <w:w w:val="105"/>
          <w:sz w:val="13"/>
        </w:rPr>
        <w:t> </w:t>
      </w:r>
      <w:r>
        <w:rPr>
          <w:spacing w:val="-3"/>
          <w:w w:val="105"/>
          <w:sz w:val="13"/>
        </w:rPr>
        <w:t>191;</w:t>
      </w:r>
      <w:r>
        <w:rPr>
          <w:spacing w:val="7"/>
          <w:w w:val="105"/>
          <w:sz w:val="13"/>
        </w:rPr>
        <w:t> </w:t>
      </w:r>
      <w:r>
        <w:rPr>
          <w:w w:val="105"/>
          <w:sz w:val="13"/>
        </w:rPr>
        <w:t>John</w:t>
      </w:r>
      <w:r>
        <w:rPr>
          <w:spacing w:val="8"/>
          <w:w w:val="105"/>
          <w:sz w:val="13"/>
        </w:rPr>
        <w:t> </w:t>
      </w:r>
      <w:r>
        <w:rPr>
          <w:w w:val="105"/>
          <w:sz w:val="13"/>
        </w:rPr>
        <w:t>K</w:t>
      </w:r>
      <w:r>
        <w:rPr>
          <w:spacing w:val="7"/>
          <w:w w:val="105"/>
          <w:sz w:val="13"/>
        </w:rPr>
        <w:t> </w:t>
      </w:r>
      <w:r>
        <w:rPr>
          <w:w w:val="105"/>
          <w:sz w:val="13"/>
        </w:rPr>
        <w:t>de</w:t>
      </w:r>
      <w:r>
        <w:rPr>
          <w:spacing w:val="8"/>
          <w:w w:val="105"/>
          <w:sz w:val="13"/>
        </w:rPr>
        <w:t> </w:t>
      </w:r>
      <w:r>
        <w:rPr>
          <w:w w:val="105"/>
          <w:sz w:val="13"/>
        </w:rPr>
        <w:t>Groot</w:t>
      </w:r>
      <w:r>
        <w:rPr>
          <w:spacing w:val="7"/>
          <w:w w:val="105"/>
          <w:sz w:val="13"/>
        </w:rPr>
        <w:t> </w:t>
      </w:r>
      <w:r>
        <w:rPr>
          <w:w w:val="105"/>
          <w:sz w:val="13"/>
        </w:rPr>
        <w:t>and</w:t>
      </w:r>
      <w:r>
        <w:rPr>
          <w:spacing w:val="8"/>
          <w:w w:val="105"/>
          <w:sz w:val="13"/>
        </w:rPr>
        <w:t> </w:t>
      </w:r>
      <w:r>
        <w:rPr>
          <w:w w:val="105"/>
          <w:sz w:val="13"/>
        </w:rPr>
        <w:t>Bruce</w:t>
      </w:r>
      <w:r>
        <w:rPr>
          <w:spacing w:val="7"/>
          <w:w w:val="105"/>
          <w:sz w:val="13"/>
        </w:rPr>
        <w:t> </w:t>
      </w:r>
      <w:r>
        <w:rPr>
          <w:w w:val="105"/>
          <w:sz w:val="13"/>
        </w:rPr>
        <w:t>W</w:t>
      </w:r>
      <w:r>
        <w:rPr>
          <w:spacing w:val="7"/>
          <w:w w:val="105"/>
          <w:sz w:val="13"/>
        </w:rPr>
        <w:t> </w:t>
      </w:r>
      <w:r>
        <w:rPr>
          <w:w w:val="105"/>
          <w:sz w:val="13"/>
        </w:rPr>
        <w:t>Nickel,</w:t>
      </w:r>
    </w:p>
    <w:p>
      <w:pPr>
        <w:spacing w:before="4"/>
        <w:ind w:left="1229" w:right="1890" w:firstLine="0"/>
        <w:jc w:val="left"/>
        <w:rPr>
          <w:sz w:val="13"/>
        </w:rPr>
      </w:pPr>
      <w:r>
        <w:rPr>
          <w:i/>
          <w:sz w:val="13"/>
        </w:rPr>
        <w:t>Family Provision in Australia </w:t>
      </w:r>
      <w:r>
        <w:rPr>
          <w:spacing w:val="2"/>
          <w:sz w:val="13"/>
        </w:rPr>
        <w:t>(LexisNexis </w:t>
      </w:r>
      <w:r>
        <w:rPr>
          <w:sz w:val="13"/>
        </w:rPr>
        <w:t>Butterworths, 4th ed, 2012) 53. Additionally, in all states and territories except Victoria, Queensland          and Tasmania, </w:t>
      </w:r>
      <w:r>
        <w:rPr>
          <w:spacing w:val="2"/>
          <w:sz w:val="13"/>
        </w:rPr>
        <w:t>property </w:t>
      </w:r>
      <w:r>
        <w:rPr>
          <w:sz w:val="13"/>
        </w:rPr>
        <w:t>that has  been  distributed  from  the  estate  may  be  subject  to  a  family  provision  order  in  certain  circumstances: </w:t>
      </w:r>
      <w:r>
        <w:rPr>
          <w:i/>
          <w:sz w:val="13"/>
        </w:rPr>
        <w:t>Family Provision Act 1969 </w:t>
      </w:r>
      <w:r>
        <w:rPr>
          <w:spacing w:val="2"/>
          <w:sz w:val="13"/>
        </w:rPr>
        <w:t>(ACT) </w:t>
      </w:r>
      <w:r>
        <w:rPr>
          <w:sz w:val="13"/>
        </w:rPr>
        <w:t>s 20; </w:t>
      </w:r>
      <w:r>
        <w:rPr>
          <w:i/>
          <w:sz w:val="13"/>
        </w:rPr>
        <w:t>Family Provision Act </w:t>
      </w:r>
      <w:r>
        <w:rPr>
          <w:i/>
          <w:spacing w:val="-4"/>
          <w:sz w:val="13"/>
        </w:rPr>
        <w:t>1970 </w:t>
      </w:r>
      <w:r>
        <w:rPr>
          <w:spacing w:val="4"/>
          <w:sz w:val="13"/>
        </w:rPr>
        <w:t>(NT) </w:t>
      </w:r>
      <w:r>
        <w:rPr>
          <w:sz w:val="13"/>
        </w:rPr>
        <w:t>s 20;  </w:t>
      </w:r>
      <w:r>
        <w:rPr>
          <w:i/>
          <w:sz w:val="13"/>
        </w:rPr>
        <w:t>Inheritance  (Family  Provision)  Act  </w:t>
      </w:r>
      <w:r>
        <w:rPr>
          <w:i/>
          <w:spacing w:val="-4"/>
          <w:sz w:val="13"/>
        </w:rPr>
        <w:t>1972  </w:t>
      </w:r>
      <w:r>
        <w:rPr>
          <w:spacing w:val="2"/>
          <w:sz w:val="13"/>
        </w:rPr>
        <w:t>(SA)  </w:t>
      </w:r>
      <w:r>
        <w:rPr>
          <w:sz w:val="13"/>
        </w:rPr>
        <w:t>s  </w:t>
      </w:r>
      <w:r>
        <w:rPr>
          <w:spacing w:val="2"/>
          <w:sz w:val="13"/>
        </w:rPr>
        <w:t>14(3);  </w:t>
      </w:r>
      <w:r>
        <w:rPr>
          <w:i/>
          <w:sz w:val="13"/>
        </w:rPr>
        <w:t>Inheritance </w:t>
      </w:r>
      <w:r>
        <w:rPr>
          <w:i/>
          <w:sz w:val="13"/>
        </w:rPr>
        <w:t>(Family and Dependants Provision) Act </w:t>
      </w:r>
      <w:r>
        <w:rPr>
          <w:i/>
          <w:spacing w:val="-4"/>
          <w:sz w:val="13"/>
        </w:rPr>
        <w:t>1972 </w:t>
      </w:r>
      <w:r>
        <w:rPr>
          <w:sz w:val="13"/>
        </w:rPr>
        <w:t>(WA) s 8.</w:t>
      </w:r>
    </w:p>
    <w:p>
      <w:pPr>
        <w:tabs>
          <w:tab w:pos="1229" w:val="left" w:leader="none"/>
        </w:tabs>
        <w:spacing w:before="6"/>
        <w:ind w:left="435" w:right="0" w:firstLine="0"/>
        <w:jc w:val="left"/>
        <w:rPr>
          <w:sz w:val="13"/>
        </w:rPr>
      </w:pPr>
      <w:r>
        <w:rPr>
          <w:w w:val="105"/>
          <w:sz w:val="13"/>
        </w:rPr>
        <w:t>296</w:t>
        <w:tab/>
      </w:r>
      <w:r>
        <w:rPr>
          <w:i/>
          <w:w w:val="105"/>
          <w:sz w:val="13"/>
        </w:rPr>
        <w:t>Succession Act 2006 </w:t>
      </w:r>
      <w:r>
        <w:rPr>
          <w:spacing w:val="3"/>
          <w:w w:val="105"/>
          <w:sz w:val="13"/>
        </w:rPr>
        <w:t>(NSW) </w:t>
      </w:r>
      <w:r>
        <w:rPr>
          <w:w w:val="105"/>
          <w:sz w:val="13"/>
        </w:rPr>
        <w:t>ss 78(1), </w:t>
      </w:r>
      <w:r>
        <w:rPr>
          <w:spacing w:val="3"/>
          <w:w w:val="105"/>
          <w:sz w:val="13"/>
        </w:rPr>
        <w:t>63(5),</w:t>
      </w:r>
      <w:r>
        <w:rPr>
          <w:spacing w:val="28"/>
          <w:w w:val="105"/>
          <w:sz w:val="13"/>
        </w:rPr>
        <w:t> </w:t>
      </w:r>
      <w:r>
        <w:rPr>
          <w:w w:val="105"/>
          <w:sz w:val="13"/>
        </w:rPr>
        <w:t>99.</w:t>
      </w:r>
    </w:p>
    <w:p>
      <w:pPr>
        <w:tabs>
          <w:tab w:pos="1229" w:val="left" w:leader="none"/>
        </w:tabs>
        <w:spacing w:before="1"/>
        <w:ind w:left="435" w:right="0" w:firstLine="0"/>
        <w:jc w:val="left"/>
        <w:rPr>
          <w:sz w:val="13"/>
        </w:rPr>
      </w:pPr>
      <w:r>
        <w:rPr>
          <w:w w:val="105"/>
          <w:sz w:val="13"/>
        </w:rPr>
        <w:t>297</w:t>
        <w:tab/>
        <w:t>Victorian Law Reform Commission, above n 2,</w:t>
      </w:r>
      <w:r>
        <w:rPr>
          <w:spacing w:val="2"/>
          <w:w w:val="105"/>
          <w:sz w:val="13"/>
        </w:rPr>
        <w:t> </w:t>
      </w:r>
      <w:r>
        <w:rPr>
          <w:spacing w:val="4"/>
          <w:w w:val="105"/>
          <w:sz w:val="13"/>
        </w:rPr>
        <w:t>30–4.</w:t>
      </w:r>
    </w:p>
    <w:p>
      <w:pPr>
        <w:tabs>
          <w:tab w:pos="1229" w:val="left" w:leader="none"/>
        </w:tabs>
        <w:spacing w:before="1"/>
        <w:ind w:left="1229" w:right="2148" w:hanging="794"/>
        <w:jc w:val="left"/>
        <w:rPr>
          <w:sz w:val="13"/>
        </w:rPr>
      </w:pPr>
      <w:r>
        <w:rPr>
          <w:w w:val="105"/>
          <w:sz w:val="13"/>
        </w:rPr>
        <w:t>298</w:t>
        <w:tab/>
        <w:t>National Committee for Uniform Succession Laws, </w:t>
      </w:r>
      <w:r>
        <w:rPr>
          <w:i/>
          <w:w w:val="105"/>
          <w:sz w:val="13"/>
        </w:rPr>
        <w:t>Family Provision Supplementary Report, </w:t>
      </w:r>
      <w:r>
        <w:rPr>
          <w:w w:val="105"/>
          <w:sz w:val="13"/>
        </w:rPr>
        <w:t>above n 109, ch </w:t>
      </w:r>
      <w:r>
        <w:rPr>
          <w:spacing w:val="2"/>
          <w:w w:val="105"/>
          <w:sz w:val="13"/>
        </w:rPr>
        <w:t>6; </w:t>
      </w:r>
      <w:r>
        <w:rPr>
          <w:w w:val="105"/>
          <w:sz w:val="13"/>
        </w:rPr>
        <w:t>National Committee for</w:t>
      </w:r>
      <w:r>
        <w:rPr>
          <w:spacing w:val="4"/>
          <w:w w:val="105"/>
          <w:sz w:val="13"/>
        </w:rPr>
        <w:t> </w:t>
      </w:r>
      <w:r>
        <w:rPr>
          <w:w w:val="105"/>
          <w:sz w:val="13"/>
        </w:rPr>
        <w:t>Uniform</w:t>
      </w:r>
      <w:r>
        <w:rPr>
          <w:spacing w:val="5"/>
          <w:w w:val="105"/>
          <w:sz w:val="13"/>
        </w:rPr>
        <w:t> </w:t>
      </w:r>
      <w:r>
        <w:rPr>
          <w:w w:val="105"/>
          <w:sz w:val="13"/>
        </w:rPr>
        <w:t>Succession</w:t>
      </w:r>
      <w:r>
        <w:rPr>
          <w:spacing w:val="5"/>
          <w:w w:val="105"/>
          <w:sz w:val="13"/>
        </w:rPr>
        <w:t> </w:t>
      </w:r>
      <w:r>
        <w:rPr>
          <w:w w:val="105"/>
          <w:sz w:val="13"/>
        </w:rPr>
        <w:t>Laws,</w:t>
      </w:r>
      <w:r>
        <w:rPr>
          <w:spacing w:val="4"/>
          <w:w w:val="105"/>
          <w:sz w:val="13"/>
        </w:rPr>
        <w:t> </w:t>
      </w:r>
      <w:r>
        <w:rPr>
          <w:i/>
          <w:w w:val="105"/>
          <w:sz w:val="13"/>
        </w:rPr>
        <w:t>Family</w:t>
      </w:r>
      <w:r>
        <w:rPr>
          <w:i/>
          <w:spacing w:val="4"/>
          <w:w w:val="105"/>
          <w:sz w:val="13"/>
        </w:rPr>
        <w:t> </w:t>
      </w:r>
      <w:r>
        <w:rPr>
          <w:i/>
          <w:w w:val="105"/>
          <w:sz w:val="13"/>
        </w:rPr>
        <w:t>Provision</w:t>
      </w:r>
      <w:r>
        <w:rPr>
          <w:i/>
          <w:spacing w:val="4"/>
          <w:w w:val="105"/>
          <w:sz w:val="13"/>
        </w:rPr>
        <w:t> </w:t>
      </w:r>
      <w:r>
        <w:rPr>
          <w:i/>
          <w:w w:val="105"/>
          <w:sz w:val="13"/>
        </w:rPr>
        <w:t>Supplementary</w:t>
      </w:r>
      <w:r>
        <w:rPr>
          <w:i/>
          <w:spacing w:val="4"/>
          <w:w w:val="105"/>
          <w:sz w:val="13"/>
        </w:rPr>
        <w:t> </w:t>
      </w:r>
      <w:r>
        <w:rPr>
          <w:i/>
          <w:w w:val="105"/>
          <w:sz w:val="13"/>
        </w:rPr>
        <w:t>Report</w:t>
      </w:r>
      <w:r>
        <w:rPr>
          <w:i/>
          <w:spacing w:val="3"/>
          <w:w w:val="105"/>
          <w:sz w:val="13"/>
        </w:rPr>
        <w:t> </w:t>
      </w:r>
      <w:r>
        <w:rPr>
          <w:i/>
          <w:w w:val="105"/>
          <w:sz w:val="13"/>
        </w:rPr>
        <w:t>,</w:t>
      </w:r>
      <w:r>
        <w:rPr>
          <w:w w:val="105"/>
          <w:sz w:val="13"/>
        </w:rPr>
        <w:t>above</w:t>
      </w:r>
      <w:r>
        <w:rPr>
          <w:spacing w:val="5"/>
          <w:w w:val="105"/>
          <w:sz w:val="13"/>
        </w:rPr>
        <w:t> </w:t>
      </w:r>
      <w:r>
        <w:rPr>
          <w:w w:val="105"/>
          <w:sz w:val="13"/>
        </w:rPr>
        <w:t>n</w:t>
      </w:r>
      <w:r>
        <w:rPr>
          <w:spacing w:val="5"/>
          <w:w w:val="105"/>
          <w:sz w:val="13"/>
        </w:rPr>
        <w:t> </w:t>
      </w:r>
      <w:r>
        <w:rPr>
          <w:spacing w:val="2"/>
          <w:w w:val="105"/>
          <w:sz w:val="13"/>
        </w:rPr>
        <w:t>88,</w:t>
      </w:r>
      <w:r>
        <w:rPr>
          <w:spacing w:val="4"/>
          <w:w w:val="105"/>
          <w:sz w:val="13"/>
        </w:rPr>
        <w:t> </w:t>
      </w:r>
      <w:r>
        <w:rPr>
          <w:w w:val="105"/>
          <w:sz w:val="13"/>
        </w:rPr>
        <w:t>ch</w:t>
      </w:r>
      <w:r>
        <w:rPr>
          <w:spacing w:val="5"/>
          <w:w w:val="105"/>
          <w:sz w:val="13"/>
        </w:rPr>
        <w:t> </w:t>
      </w:r>
      <w:r>
        <w:rPr>
          <w:w w:val="105"/>
          <w:sz w:val="13"/>
        </w:rPr>
        <w:t>3.</w:t>
      </w:r>
    </w:p>
    <w:p>
      <w:pPr>
        <w:spacing w:after="0"/>
        <w:jc w:val="left"/>
        <w:rPr>
          <w:sz w:val="13"/>
        </w:rPr>
        <w:sectPr>
          <w:type w:val="continuous"/>
          <w:pgSz w:w="11910" w:h="16840"/>
          <w:pgMar w:top="920" w:bottom="280" w:left="0" w:right="0"/>
          <w:cols w:num="2" w:equalWidth="0">
            <w:col w:w="1113" w:space="40"/>
            <w:col w:w="10757"/>
          </w:cols>
        </w:sectPr>
      </w:pPr>
    </w:p>
    <w:p>
      <w:pPr>
        <w:pStyle w:val="BodyText"/>
        <w:rPr>
          <w:sz w:val="20"/>
        </w:rPr>
      </w:pPr>
    </w:p>
    <w:p>
      <w:pPr>
        <w:pStyle w:val="BodyText"/>
        <w:rPr>
          <w:sz w:val="19"/>
        </w:rPr>
      </w:pPr>
    </w:p>
    <w:p>
      <w:pPr>
        <w:pStyle w:val="ListParagraph"/>
        <w:numPr>
          <w:ilvl w:val="0"/>
          <w:numId w:val="97"/>
        </w:numPr>
        <w:tabs>
          <w:tab w:pos="2381" w:val="left" w:leader="none"/>
          <w:tab w:pos="2382" w:val="left" w:leader="none"/>
        </w:tabs>
        <w:spacing w:line="242" w:lineRule="auto" w:before="91" w:after="0"/>
        <w:ind w:left="2381" w:right="1698" w:hanging="794"/>
        <w:jc w:val="left"/>
        <w:rPr>
          <w:sz w:val="21"/>
        </w:rPr>
      </w:pPr>
      <w:r>
        <w:rPr>
          <w:sz w:val="21"/>
        </w:rPr>
        <w:t>The New South </w:t>
      </w:r>
      <w:r>
        <w:rPr>
          <w:spacing w:val="-3"/>
          <w:sz w:val="21"/>
        </w:rPr>
        <w:t>Wales provisions  allow  </w:t>
      </w:r>
      <w:r>
        <w:rPr>
          <w:sz w:val="21"/>
        </w:rPr>
        <w:t>the court </w:t>
      </w:r>
      <w:r>
        <w:rPr>
          <w:spacing w:val="-3"/>
          <w:sz w:val="21"/>
        </w:rPr>
        <w:t>to</w:t>
      </w:r>
      <w:r>
        <w:rPr>
          <w:spacing w:val="41"/>
          <w:sz w:val="21"/>
        </w:rPr>
        <w:t> </w:t>
      </w:r>
      <w:r>
        <w:rPr>
          <w:spacing w:val="-3"/>
          <w:sz w:val="21"/>
        </w:rPr>
        <w:t>designate  </w:t>
      </w:r>
      <w:r>
        <w:rPr>
          <w:sz w:val="21"/>
        </w:rPr>
        <w:t>property as </w:t>
      </w:r>
      <w:r>
        <w:rPr>
          <w:spacing w:val="-3"/>
          <w:sz w:val="21"/>
        </w:rPr>
        <w:t>notional  </w:t>
      </w:r>
      <w:r>
        <w:rPr>
          <w:sz w:val="21"/>
        </w:rPr>
        <w:t>estate if it is property </w:t>
      </w:r>
      <w:r>
        <w:rPr>
          <w:spacing w:val="-3"/>
          <w:sz w:val="21"/>
        </w:rPr>
        <w:t>that </w:t>
      </w:r>
      <w:r>
        <w:rPr>
          <w:spacing w:val="-2"/>
          <w:sz w:val="21"/>
        </w:rPr>
        <w:t>has </w:t>
      </w:r>
      <w:r>
        <w:rPr>
          <w:spacing w:val="-3"/>
          <w:sz w:val="21"/>
        </w:rPr>
        <w:t>already </w:t>
      </w:r>
      <w:r>
        <w:rPr>
          <w:sz w:val="21"/>
        </w:rPr>
        <w:t>been </w:t>
      </w:r>
      <w:r>
        <w:rPr>
          <w:spacing w:val="-3"/>
          <w:sz w:val="21"/>
        </w:rPr>
        <w:t>distributed  from  </w:t>
      </w:r>
      <w:r>
        <w:rPr>
          <w:sz w:val="21"/>
        </w:rPr>
        <w:t>the </w:t>
      </w:r>
      <w:r>
        <w:rPr>
          <w:spacing w:val="-3"/>
          <w:sz w:val="21"/>
        </w:rPr>
        <w:t>estate,</w:t>
      </w:r>
      <w:r>
        <w:rPr>
          <w:spacing w:val="41"/>
          <w:sz w:val="21"/>
        </w:rPr>
        <w:t> </w:t>
      </w:r>
      <w:r>
        <w:rPr>
          <w:sz w:val="21"/>
        </w:rPr>
        <w:t>or property </w:t>
      </w:r>
      <w:r>
        <w:rPr>
          <w:spacing w:val="-3"/>
          <w:sz w:val="21"/>
        </w:rPr>
        <w:t>that  </w:t>
      </w:r>
      <w:r>
        <w:rPr>
          <w:spacing w:val="-2"/>
          <w:sz w:val="21"/>
        </w:rPr>
        <w:t>has </w:t>
      </w:r>
      <w:r>
        <w:rPr>
          <w:sz w:val="21"/>
        </w:rPr>
        <w:t>been subject </w:t>
      </w:r>
      <w:r>
        <w:rPr>
          <w:spacing w:val="-3"/>
          <w:sz w:val="21"/>
        </w:rPr>
        <w:t>to </w:t>
      </w:r>
      <w:r>
        <w:rPr>
          <w:sz w:val="21"/>
        </w:rPr>
        <w:t>a </w:t>
      </w:r>
      <w:r>
        <w:rPr>
          <w:spacing w:val="-4"/>
          <w:sz w:val="21"/>
        </w:rPr>
        <w:t>‘relevant </w:t>
      </w:r>
      <w:r>
        <w:rPr>
          <w:sz w:val="21"/>
        </w:rPr>
        <w:t>property </w:t>
      </w:r>
      <w:r>
        <w:rPr>
          <w:spacing w:val="-3"/>
          <w:sz w:val="21"/>
        </w:rPr>
        <w:t>transaction’.</w:t>
      </w:r>
      <w:r>
        <w:rPr>
          <w:spacing w:val="-3"/>
          <w:position w:val="7"/>
          <w:sz w:val="12"/>
        </w:rPr>
        <w:t>299 </w:t>
      </w:r>
      <w:r>
        <w:rPr>
          <w:spacing w:val="-3"/>
          <w:sz w:val="21"/>
        </w:rPr>
        <w:t>Generally speaking, relevant </w:t>
      </w:r>
      <w:r>
        <w:rPr>
          <w:sz w:val="21"/>
        </w:rPr>
        <w:t>property transactions </w:t>
      </w:r>
      <w:r>
        <w:rPr>
          <w:spacing w:val="-3"/>
          <w:sz w:val="21"/>
        </w:rPr>
        <w:t>captured </w:t>
      </w:r>
      <w:r>
        <w:rPr>
          <w:sz w:val="21"/>
        </w:rPr>
        <w:t>by the </w:t>
      </w:r>
      <w:r>
        <w:rPr>
          <w:spacing w:val="-3"/>
          <w:sz w:val="21"/>
        </w:rPr>
        <w:t>legislation are </w:t>
      </w:r>
      <w:r>
        <w:rPr>
          <w:sz w:val="21"/>
        </w:rPr>
        <w:t>acts or </w:t>
      </w:r>
      <w:r>
        <w:rPr>
          <w:spacing w:val="-3"/>
          <w:sz w:val="21"/>
        </w:rPr>
        <w:t>omissions </w:t>
      </w:r>
      <w:r>
        <w:rPr>
          <w:sz w:val="21"/>
        </w:rPr>
        <w:t>by the deceased</w:t>
      </w:r>
      <w:r>
        <w:rPr>
          <w:spacing w:val="28"/>
          <w:sz w:val="21"/>
        </w:rPr>
        <w:t> </w:t>
      </w:r>
      <w:r>
        <w:rPr>
          <w:sz w:val="21"/>
        </w:rPr>
        <w:t>person:</w:t>
      </w:r>
    </w:p>
    <w:p>
      <w:pPr>
        <w:pStyle w:val="ListParagraph"/>
        <w:numPr>
          <w:ilvl w:val="1"/>
          <w:numId w:val="97"/>
        </w:numPr>
        <w:tabs>
          <w:tab w:pos="2721" w:val="left" w:leader="none"/>
          <w:tab w:pos="2722" w:val="left" w:leader="none"/>
        </w:tabs>
        <w:spacing w:line="240" w:lineRule="auto" w:before="125" w:after="0"/>
        <w:ind w:left="2721" w:right="0" w:hanging="340"/>
        <w:jc w:val="left"/>
        <w:rPr>
          <w:sz w:val="21"/>
        </w:rPr>
      </w:pPr>
      <w:r>
        <w:rPr>
          <w:spacing w:val="-3"/>
          <w:w w:val="105"/>
          <w:sz w:val="21"/>
        </w:rPr>
        <w:t>for </w:t>
      </w:r>
      <w:r>
        <w:rPr>
          <w:w w:val="105"/>
          <w:sz w:val="21"/>
        </w:rPr>
        <w:t>which </w:t>
      </w:r>
      <w:r>
        <w:rPr>
          <w:spacing w:val="-3"/>
          <w:w w:val="105"/>
          <w:sz w:val="21"/>
        </w:rPr>
        <w:t>full valuable consideration </w:t>
      </w:r>
      <w:r>
        <w:rPr>
          <w:w w:val="105"/>
          <w:sz w:val="21"/>
        </w:rPr>
        <w:t>was </w:t>
      </w:r>
      <w:r>
        <w:rPr>
          <w:spacing w:val="-2"/>
          <w:w w:val="105"/>
          <w:sz w:val="21"/>
        </w:rPr>
        <w:t>not</w:t>
      </w:r>
      <w:r>
        <w:rPr>
          <w:spacing w:val="43"/>
          <w:w w:val="105"/>
          <w:sz w:val="21"/>
        </w:rPr>
        <w:t> </w:t>
      </w:r>
      <w:r>
        <w:rPr>
          <w:w w:val="105"/>
          <w:sz w:val="21"/>
        </w:rPr>
        <w:t>received</w:t>
      </w:r>
    </w:p>
    <w:p>
      <w:pPr>
        <w:pStyle w:val="ListParagraph"/>
        <w:numPr>
          <w:ilvl w:val="1"/>
          <w:numId w:val="97"/>
        </w:numPr>
        <w:tabs>
          <w:tab w:pos="2721" w:val="left" w:leader="none"/>
          <w:tab w:pos="2722" w:val="left" w:leader="none"/>
        </w:tabs>
        <w:spacing w:line="240" w:lineRule="auto" w:before="123" w:after="0"/>
        <w:ind w:left="2721" w:right="0" w:hanging="340"/>
        <w:jc w:val="left"/>
        <w:rPr>
          <w:sz w:val="21"/>
        </w:rPr>
      </w:pPr>
      <w:r>
        <w:rPr>
          <w:spacing w:val="-3"/>
          <w:w w:val="105"/>
          <w:sz w:val="21"/>
        </w:rPr>
        <w:t>that</w:t>
      </w:r>
      <w:r>
        <w:rPr>
          <w:spacing w:val="-8"/>
          <w:w w:val="105"/>
          <w:sz w:val="21"/>
        </w:rPr>
        <w:t> </w:t>
      </w:r>
      <w:r>
        <w:rPr>
          <w:w w:val="105"/>
          <w:sz w:val="21"/>
        </w:rPr>
        <w:t>took</w:t>
      </w:r>
      <w:r>
        <w:rPr>
          <w:spacing w:val="-7"/>
          <w:w w:val="105"/>
          <w:sz w:val="21"/>
        </w:rPr>
        <w:t> </w:t>
      </w:r>
      <w:r>
        <w:rPr>
          <w:spacing w:val="-3"/>
          <w:w w:val="105"/>
          <w:sz w:val="21"/>
        </w:rPr>
        <w:t>place</w:t>
      </w:r>
      <w:r>
        <w:rPr>
          <w:spacing w:val="-7"/>
          <w:w w:val="105"/>
          <w:sz w:val="21"/>
        </w:rPr>
        <w:t> </w:t>
      </w:r>
      <w:r>
        <w:rPr>
          <w:spacing w:val="-3"/>
          <w:w w:val="105"/>
          <w:sz w:val="21"/>
        </w:rPr>
        <w:t>within</w:t>
      </w:r>
      <w:r>
        <w:rPr>
          <w:spacing w:val="-7"/>
          <w:w w:val="105"/>
          <w:sz w:val="21"/>
        </w:rPr>
        <w:t> </w:t>
      </w:r>
      <w:r>
        <w:rPr>
          <w:w w:val="105"/>
          <w:sz w:val="21"/>
        </w:rPr>
        <w:t>a</w:t>
      </w:r>
      <w:r>
        <w:rPr>
          <w:spacing w:val="-7"/>
          <w:w w:val="105"/>
          <w:sz w:val="21"/>
        </w:rPr>
        <w:t> </w:t>
      </w:r>
      <w:r>
        <w:rPr>
          <w:w w:val="105"/>
          <w:sz w:val="21"/>
        </w:rPr>
        <w:t>certain</w:t>
      </w:r>
      <w:r>
        <w:rPr>
          <w:spacing w:val="-7"/>
          <w:w w:val="105"/>
          <w:sz w:val="21"/>
        </w:rPr>
        <w:t> </w:t>
      </w:r>
      <w:r>
        <w:rPr>
          <w:w w:val="105"/>
          <w:sz w:val="21"/>
        </w:rPr>
        <w:t>time</w:t>
      </w:r>
      <w:r>
        <w:rPr>
          <w:spacing w:val="-7"/>
          <w:w w:val="105"/>
          <w:sz w:val="21"/>
        </w:rPr>
        <w:t> </w:t>
      </w:r>
      <w:r>
        <w:rPr>
          <w:spacing w:val="-3"/>
          <w:w w:val="105"/>
          <w:sz w:val="21"/>
        </w:rPr>
        <w:t>before</w:t>
      </w:r>
      <w:r>
        <w:rPr>
          <w:spacing w:val="-7"/>
          <w:w w:val="105"/>
          <w:sz w:val="21"/>
        </w:rPr>
        <w:t> </w:t>
      </w:r>
      <w:r>
        <w:rPr>
          <w:w w:val="105"/>
          <w:sz w:val="21"/>
        </w:rPr>
        <w:t>the</w:t>
      </w:r>
      <w:r>
        <w:rPr>
          <w:spacing w:val="-7"/>
          <w:w w:val="105"/>
          <w:sz w:val="21"/>
        </w:rPr>
        <w:t> </w:t>
      </w:r>
      <w:r>
        <w:rPr>
          <w:w w:val="105"/>
          <w:sz w:val="21"/>
        </w:rPr>
        <w:t>deceased</w:t>
      </w:r>
      <w:r>
        <w:rPr>
          <w:spacing w:val="-7"/>
          <w:w w:val="105"/>
          <w:sz w:val="21"/>
        </w:rPr>
        <w:t> </w:t>
      </w:r>
      <w:r>
        <w:rPr>
          <w:spacing w:val="-3"/>
          <w:w w:val="105"/>
          <w:sz w:val="21"/>
        </w:rPr>
        <w:t>person’s</w:t>
      </w:r>
      <w:r>
        <w:rPr>
          <w:spacing w:val="-7"/>
          <w:w w:val="105"/>
          <w:sz w:val="21"/>
        </w:rPr>
        <w:t> </w:t>
      </w:r>
      <w:r>
        <w:rPr>
          <w:w w:val="105"/>
          <w:sz w:val="21"/>
        </w:rPr>
        <w:t>death</w:t>
      </w:r>
    </w:p>
    <w:p>
      <w:pPr>
        <w:pStyle w:val="ListParagraph"/>
        <w:numPr>
          <w:ilvl w:val="1"/>
          <w:numId w:val="97"/>
        </w:numPr>
        <w:tabs>
          <w:tab w:pos="2721" w:val="left" w:leader="none"/>
          <w:tab w:pos="2722" w:val="left" w:leader="none"/>
        </w:tabs>
        <w:spacing w:line="240" w:lineRule="auto" w:before="124" w:after="0"/>
        <w:ind w:left="2721" w:right="0" w:hanging="340"/>
        <w:jc w:val="left"/>
        <w:rPr>
          <w:sz w:val="12"/>
        </w:rPr>
      </w:pPr>
      <w:r>
        <w:rPr>
          <w:spacing w:val="-3"/>
          <w:w w:val="105"/>
          <w:sz w:val="21"/>
        </w:rPr>
        <w:t>that</w:t>
      </w:r>
      <w:r>
        <w:rPr>
          <w:spacing w:val="-8"/>
          <w:w w:val="105"/>
          <w:sz w:val="21"/>
        </w:rPr>
        <w:t> </w:t>
      </w:r>
      <w:r>
        <w:rPr>
          <w:spacing w:val="-3"/>
          <w:w w:val="105"/>
          <w:sz w:val="21"/>
        </w:rPr>
        <w:t>resulted</w:t>
      </w:r>
      <w:r>
        <w:rPr>
          <w:spacing w:val="-8"/>
          <w:w w:val="105"/>
          <w:sz w:val="21"/>
        </w:rPr>
        <w:t> </w:t>
      </w:r>
      <w:r>
        <w:rPr>
          <w:w w:val="105"/>
          <w:sz w:val="21"/>
        </w:rPr>
        <w:t>in</w:t>
      </w:r>
      <w:r>
        <w:rPr>
          <w:spacing w:val="-8"/>
          <w:w w:val="105"/>
          <w:sz w:val="21"/>
        </w:rPr>
        <w:t> </w:t>
      </w:r>
      <w:r>
        <w:rPr>
          <w:w w:val="105"/>
          <w:sz w:val="21"/>
        </w:rPr>
        <w:t>property</w:t>
      </w:r>
      <w:r>
        <w:rPr>
          <w:spacing w:val="-8"/>
          <w:w w:val="105"/>
          <w:sz w:val="21"/>
        </w:rPr>
        <w:t> </w:t>
      </w:r>
      <w:r>
        <w:rPr>
          <w:spacing w:val="-2"/>
          <w:w w:val="105"/>
          <w:sz w:val="21"/>
        </w:rPr>
        <w:t>not</w:t>
      </w:r>
      <w:r>
        <w:rPr>
          <w:spacing w:val="-8"/>
          <w:w w:val="105"/>
          <w:sz w:val="21"/>
        </w:rPr>
        <w:t> </w:t>
      </w:r>
      <w:r>
        <w:rPr>
          <w:spacing w:val="-3"/>
          <w:w w:val="105"/>
          <w:sz w:val="21"/>
        </w:rPr>
        <w:t>accruing</w:t>
      </w:r>
      <w:r>
        <w:rPr>
          <w:spacing w:val="-7"/>
          <w:w w:val="105"/>
          <w:sz w:val="21"/>
        </w:rPr>
        <w:t> </w:t>
      </w:r>
      <w:r>
        <w:rPr>
          <w:spacing w:val="-3"/>
          <w:w w:val="105"/>
          <w:sz w:val="21"/>
        </w:rPr>
        <w:t>to</w:t>
      </w:r>
      <w:r>
        <w:rPr>
          <w:spacing w:val="-8"/>
          <w:w w:val="105"/>
          <w:sz w:val="21"/>
        </w:rPr>
        <w:t> </w:t>
      </w:r>
      <w:r>
        <w:rPr>
          <w:w w:val="105"/>
          <w:sz w:val="21"/>
        </w:rPr>
        <w:t>the</w:t>
      </w:r>
      <w:r>
        <w:rPr>
          <w:spacing w:val="-8"/>
          <w:w w:val="105"/>
          <w:sz w:val="21"/>
        </w:rPr>
        <w:t> </w:t>
      </w:r>
      <w:r>
        <w:rPr>
          <w:w w:val="105"/>
          <w:sz w:val="21"/>
        </w:rPr>
        <w:t>deceased</w:t>
      </w:r>
      <w:r>
        <w:rPr>
          <w:spacing w:val="-8"/>
          <w:w w:val="105"/>
          <w:sz w:val="21"/>
        </w:rPr>
        <w:t> </w:t>
      </w:r>
      <w:r>
        <w:rPr>
          <w:spacing w:val="-3"/>
          <w:w w:val="105"/>
          <w:sz w:val="21"/>
        </w:rPr>
        <w:t>person’s</w:t>
      </w:r>
      <w:r>
        <w:rPr>
          <w:spacing w:val="-8"/>
          <w:w w:val="105"/>
          <w:sz w:val="21"/>
        </w:rPr>
        <w:t> </w:t>
      </w:r>
      <w:r>
        <w:rPr>
          <w:w w:val="105"/>
          <w:sz w:val="21"/>
        </w:rPr>
        <w:t>estate.</w:t>
      </w:r>
      <w:r>
        <w:rPr>
          <w:w w:val="105"/>
          <w:position w:val="7"/>
          <w:sz w:val="12"/>
        </w:rPr>
        <w:t>300</w:t>
      </w:r>
    </w:p>
    <w:p>
      <w:pPr>
        <w:pStyle w:val="ListParagraph"/>
        <w:numPr>
          <w:ilvl w:val="0"/>
          <w:numId w:val="97"/>
        </w:numPr>
        <w:tabs>
          <w:tab w:pos="2381" w:val="left" w:leader="none"/>
          <w:tab w:pos="2382" w:val="left" w:leader="none"/>
        </w:tabs>
        <w:spacing w:line="242" w:lineRule="auto" w:before="124" w:after="0"/>
        <w:ind w:left="2381" w:right="1606" w:hanging="794"/>
        <w:jc w:val="left"/>
        <w:rPr>
          <w:sz w:val="12"/>
        </w:rPr>
      </w:pPr>
      <w:r>
        <w:rPr>
          <w:w w:val="105"/>
          <w:sz w:val="21"/>
        </w:rPr>
        <w:t>Examples of the types of transactions </w:t>
      </w:r>
      <w:r>
        <w:rPr>
          <w:spacing w:val="-3"/>
          <w:w w:val="105"/>
          <w:sz w:val="21"/>
        </w:rPr>
        <w:t>that are </w:t>
      </w:r>
      <w:r>
        <w:rPr>
          <w:w w:val="105"/>
          <w:sz w:val="21"/>
        </w:rPr>
        <w:t>sometimes </w:t>
      </w:r>
      <w:r>
        <w:rPr>
          <w:spacing w:val="-3"/>
          <w:w w:val="105"/>
          <w:sz w:val="21"/>
        </w:rPr>
        <w:t>covered are </w:t>
      </w:r>
      <w:r>
        <w:rPr>
          <w:spacing w:val="-4"/>
          <w:w w:val="105"/>
          <w:sz w:val="21"/>
        </w:rPr>
        <w:t>failure </w:t>
      </w:r>
      <w:r>
        <w:rPr>
          <w:spacing w:val="-3"/>
          <w:w w:val="105"/>
          <w:sz w:val="21"/>
        </w:rPr>
        <w:t>to </w:t>
      </w:r>
      <w:r>
        <w:rPr>
          <w:w w:val="105"/>
          <w:sz w:val="21"/>
        </w:rPr>
        <w:t>sever a </w:t>
      </w:r>
      <w:r>
        <w:rPr>
          <w:spacing w:val="-3"/>
          <w:w w:val="105"/>
          <w:sz w:val="21"/>
        </w:rPr>
        <w:t>joint </w:t>
      </w:r>
      <w:r>
        <w:rPr>
          <w:w w:val="105"/>
          <w:sz w:val="21"/>
        </w:rPr>
        <w:t>tenancy and </w:t>
      </w:r>
      <w:r>
        <w:rPr>
          <w:spacing w:val="-4"/>
          <w:w w:val="105"/>
          <w:sz w:val="21"/>
        </w:rPr>
        <w:t>failure </w:t>
      </w:r>
      <w:r>
        <w:rPr>
          <w:spacing w:val="-3"/>
          <w:w w:val="105"/>
          <w:sz w:val="21"/>
        </w:rPr>
        <w:t>to </w:t>
      </w:r>
      <w:r>
        <w:rPr>
          <w:spacing w:val="-4"/>
          <w:w w:val="105"/>
          <w:sz w:val="21"/>
        </w:rPr>
        <w:t>make </w:t>
      </w:r>
      <w:r>
        <w:rPr>
          <w:w w:val="105"/>
          <w:sz w:val="21"/>
        </w:rPr>
        <w:t>a </w:t>
      </w:r>
      <w:r>
        <w:rPr>
          <w:spacing w:val="-3"/>
          <w:w w:val="105"/>
          <w:sz w:val="21"/>
        </w:rPr>
        <w:t>binding superannuation nomination </w:t>
      </w:r>
      <w:r>
        <w:rPr>
          <w:w w:val="105"/>
          <w:sz w:val="21"/>
        </w:rPr>
        <w:t>in </w:t>
      </w:r>
      <w:r>
        <w:rPr>
          <w:spacing w:val="-3"/>
          <w:w w:val="105"/>
          <w:sz w:val="21"/>
        </w:rPr>
        <w:t>favour </w:t>
      </w:r>
      <w:r>
        <w:rPr>
          <w:w w:val="105"/>
          <w:sz w:val="21"/>
        </w:rPr>
        <w:t>of the deceased </w:t>
      </w:r>
      <w:r>
        <w:rPr>
          <w:spacing w:val="-3"/>
          <w:w w:val="105"/>
          <w:sz w:val="21"/>
        </w:rPr>
        <w:t>person’s </w:t>
      </w:r>
      <w:r>
        <w:rPr>
          <w:w w:val="105"/>
          <w:sz w:val="21"/>
        </w:rPr>
        <w:t>personal </w:t>
      </w:r>
      <w:r>
        <w:rPr>
          <w:spacing w:val="-3"/>
          <w:w w:val="105"/>
          <w:sz w:val="21"/>
        </w:rPr>
        <w:t>representative.</w:t>
      </w:r>
      <w:r>
        <w:rPr>
          <w:spacing w:val="-3"/>
          <w:w w:val="105"/>
          <w:position w:val="7"/>
          <w:sz w:val="12"/>
        </w:rPr>
        <w:t>301 </w:t>
      </w:r>
      <w:r>
        <w:rPr>
          <w:w w:val="105"/>
          <w:sz w:val="21"/>
        </w:rPr>
        <w:t>A transaction </w:t>
      </w:r>
      <w:r>
        <w:rPr>
          <w:spacing w:val="-3"/>
          <w:w w:val="105"/>
          <w:sz w:val="21"/>
        </w:rPr>
        <w:t>that </w:t>
      </w:r>
      <w:r>
        <w:rPr>
          <w:w w:val="105"/>
          <w:sz w:val="21"/>
        </w:rPr>
        <w:t>took </w:t>
      </w:r>
      <w:r>
        <w:rPr>
          <w:spacing w:val="-3"/>
          <w:w w:val="105"/>
          <w:sz w:val="21"/>
        </w:rPr>
        <w:t>place </w:t>
      </w:r>
      <w:r>
        <w:rPr>
          <w:w w:val="105"/>
          <w:sz w:val="21"/>
        </w:rPr>
        <w:t>up </w:t>
      </w:r>
      <w:r>
        <w:rPr>
          <w:spacing w:val="-3"/>
          <w:w w:val="105"/>
          <w:sz w:val="21"/>
        </w:rPr>
        <w:t>to </w:t>
      </w:r>
      <w:r>
        <w:rPr>
          <w:w w:val="105"/>
          <w:sz w:val="21"/>
        </w:rPr>
        <w:t>three years </w:t>
      </w:r>
      <w:r>
        <w:rPr>
          <w:spacing w:val="-3"/>
          <w:w w:val="105"/>
          <w:sz w:val="21"/>
        </w:rPr>
        <w:t>before </w:t>
      </w:r>
      <w:r>
        <w:rPr>
          <w:w w:val="105"/>
          <w:sz w:val="21"/>
        </w:rPr>
        <w:t>the deceased </w:t>
      </w:r>
      <w:r>
        <w:rPr>
          <w:spacing w:val="-3"/>
          <w:w w:val="105"/>
          <w:sz w:val="21"/>
        </w:rPr>
        <w:t>person’s </w:t>
      </w:r>
      <w:r>
        <w:rPr>
          <w:w w:val="105"/>
          <w:sz w:val="21"/>
        </w:rPr>
        <w:t>death can be </w:t>
      </w:r>
      <w:r>
        <w:rPr>
          <w:spacing w:val="-3"/>
          <w:w w:val="105"/>
          <w:sz w:val="21"/>
        </w:rPr>
        <w:t>captured </w:t>
      </w:r>
      <w:r>
        <w:rPr>
          <w:w w:val="105"/>
          <w:sz w:val="21"/>
        </w:rPr>
        <w:t>if it was </w:t>
      </w:r>
      <w:r>
        <w:rPr>
          <w:spacing w:val="-3"/>
          <w:w w:val="105"/>
          <w:sz w:val="21"/>
        </w:rPr>
        <w:t>entered </w:t>
      </w:r>
      <w:r>
        <w:rPr>
          <w:spacing w:val="-4"/>
          <w:w w:val="105"/>
          <w:sz w:val="21"/>
        </w:rPr>
        <w:t>into </w:t>
      </w:r>
      <w:r>
        <w:rPr>
          <w:w w:val="105"/>
          <w:sz w:val="21"/>
        </w:rPr>
        <w:t>with the </w:t>
      </w:r>
      <w:r>
        <w:rPr>
          <w:spacing w:val="-3"/>
          <w:w w:val="105"/>
          <w:sz w:val="21"/>
        </w:rPr>
        <w:t>intention</w:t>
      </w:r>
      <w:r>
        <w:rPr>
          <w:spacing w:val="-7"/>
          <w:w w:val="105"/>
          <w:sz w:val="21"/>
        </w:rPr>
        <w:t> </w:t>
      </w:r>
      <w:r>
        <w:rPr>
          <w:w w:val="105"/>
          <w:sz w:val="21"/>
        </w:rPr>
        <w:t>of</w:t>
      </w:r>
      <w:r>
        <w:rPr>
          <w:spacing w:val="-6"/>
          <w:w w:val="105"/>
          <w:sz w:val="21"/>
        </w:rPr>
        <w:t> </w:t>
      </w:r>
      <w:r>
        <w:rPr>
          <w:w w:val="105"/>
          <w:sz w:val="21"/>
        </w:rPr>
        <w:t>depriving</w:t>
      </w:r>
      <w:r>
        <w:rPr>
          <w:spacing w:val="-6"/>
          <w:w w:val="105"/>
          <w:sz w:val="21"/>
        </w:rPr>
        <w:t> </w:t>
      </w:r>
      <w:r>
        <w:rPr>
          <w:w w:val="105"/>
          <w:sz w:val="21"/>
        </w:rPr>
        <w:t>someone</w:t>
      </w:r>
      <w:r>
        <w:rPr>
          <w:spacing w:val="-6"/>
          <w:w w:val="105"/>
          <w:sz w:val="21"/>
        </w:rPr>
        <w:t> </w:t>
      </w:r>
      <w:r>
        <w:rPr>
          <w:w w:val="105"/>
          <w:sz w:val="21"/>
        </w:rPr>
        <w:t>of</w:t>
      </w:r>
      <w:r>
        <w:rPr>
          <w:spacing w:val="-6"/>
          <w:w w:val="105"/>
          <w:sz w:val="21"/>
        </w:rPr>
        <w:t> </w:t>
      </w:r>
      <w:r>
        <w:rPr>
          <w:spacing w:val="-3"/>
          <w:w w:val="105"/>
          <w:sz w:val="21"/>
        </w:rPr>
        <w:t>family</w:t>
      </w:r>
      <w:r>
        <w:rPr>
          <w:spacing w:val="-6"/>
          <w:w w:val="105"/>
          <w:sz w:val="21"/>
        </w:rPr>
        <w:t> </w:t>
      </w:r>
      <w:r>
        <w:rPr>
          <w:spacing w:val="-3"/>
          <w:w w:val="105"/>
          <w:sz w:val="21"/>
        </w:rPr>
        <w:t>provision,</w:t>
      </w:r>
      <w:r>
        <w:rPr>
          <w:spacing w:val="-6"/>
          <w:w w:val="105"/>
          <w:sz w:val="21"/>
        </w:rPr>
        <w:t> </w:t>
      </w:r>
      <w:r>
        <w:rPr>
          <w:w w:val="105"/>
          <w:sz w:val="21"/>
        </w:rPr>
        <w:t>or</w:t>
      </w:r>
      <w:r>
        <w:rPr>
          <w:spacing w:val="-6"/>
          <w:w w:val="105"/>
          <w:sz w:val="21"/>
        </w:rPr>
        <w:t> </w:t>
      </w:r>
      <w:r>
        <w:rPr>
          <w:w w:val="105"/>
          <w:sz w:val="21"/>
        </w:rPr>
        <w:t>up</w:t>
      </w:r>
      <w:r>
        <w:rPr>
          <w:spacing w:val="-6"/>
          <w:w w:val="105"/>
          <w:sz w:val="21"/>
        </w:rPr>
        <w:t> </w:t>
      </w:r>
      <w:r>
        <w:rPr>
          <w:spacing w:val="-3"/>
          <w:w w:val="105"/>
          <w:sz w:val="21"/>
        </w:rPr>
        <w:t>to</w:t>
      </w:r>
      <w:r>
        <w:rPr>
          <w:spacing w:val="-6"/>
          <w:w w:val="105"/>
          <w:sz w:val="21"/>
        </w:rPr>
        <w:t> </w:t>
      </w:r>
      <w:r>
        <w:rPr>
          <w:w w:val="105"/>
          <w:sz w:val="21"/>
        </w:rPr>
        <w:t>one</w:t>
      </w:r>
      <w:r>
        <w:rPr>
          <w:spacing w:val="-6"/>
          <w:w w:val="105"/>
          <w:sz w:val="21"/>
        </w:rPr>
        <w:t> </w:t>
      </w:r>
      <w:r>
        <w:rPr>
          <w:spacing w:val="-3"/>
          <w:w w:val="105"/>
          <w:sz w:val="21"/>
        </w:rPr>
        <w:t>year</w:t>
      </w:r>
      <w:r>
        <w:rPr>
          <w:spacing w:val="-6"/>
          <w:w w:val="105"/>
          <w:sz w:val="21"/>
        </w:rPr>
        <w:t> </w:t>
      </w:r>
      <w:r>
        <w:rPr>
          <w:spacing w:val="-3"/>
          <w:w w:val="105"/>
          <w:sz w:val="21"/>
        </w:rPr>
        <w:t>before</w:t>
      </w:r>
      <w:r>
        <w:rPr>
          <w:spacing w:val="-6"/>
          <w:w w:val="105"/>
          <w:sz w:val="21"/>
        </w:rPr>
        <w:t> </w:t>
      </w:r>
      <w:r>
        <w:rPr>
          <w:w w:val="105"/>
          <w:sz w:val="21"/>
        </w:rPr>
        <w:t>the</w:t>
      </w:r>
      <w:r>
        <w:rPr>
          <w:spacing w:val="-6"/>
          <w:w w:val="105"/>
          <w:sz w:val="21"/>
        </w:rPr>
        <w:t> </w:t>
      </w:r>
      <w:r>
        <w:rPr>
          <w:w w:val="105"/>
          <w:sz w:val="21"/>
        </w:rPr>
        <w:t>deceased </w:t>
      </w:r>
      <w:r>
        <w:rPr>
          <w:spacing w:val="-3"/>
          <w:w w:val="105"/>
          <w:sz w:val="21"/>
        </w:rPr>
        <w:t>person’s </w:t>
      </w:r>
      <w:r>
        <w:rPr>
          <w:w w:val="105"/>
          <w:sz w:val="21"/>
        </w:rPr>
        <w:t>death if it was </w:t>
      </w:r>
      <w:r>
        <w:rPr>
          <w:spacing w:val="-3"/>
          <w:w w:val="105"/>
          <w:sz w:val="21"/>
        </w:rPr>
        <w:t>entered </w:t>
      </w:r>
      <w:r>
        <w:rPr>
          <w:spacing w:val="-4"/>
          <w:w w:val="105"/>
          <w:sz w:val="21"/>
        </w:rPr>
        <w:t>into </w:t>
      </w:r>
      <w:r>
        <w:rPr>
          <w:w w:val="105"/>
          <w:sz w:val="21"/>
        </w:rPr>
        <w:t>when the deceased person </w:t>
      </w:r>
      <w:r>
        <w:rPr>
          <w:spacing w:val="-2"/>
          <w:w w:val="105"/>
          <w:sz w:val="21"/>
        </w:rPr>
        <w:t>had </w:t>
      </w:r>
      <w:r>
        <w:rPr>
          <w:w w:val="105"/>
          <w:sz w:val="21"/>
        </w:rPr>
        <w:t>a </w:t>
      </w:r>
      <w:r>
        <w:rPr>
          <w:spacing w:val="-3"/>
          <w:w w:val="105"/>
          <w:sz w:val="21"/>
        </w:rPr>
        <w:t>responsibility to </w:t>
      </w:r>
      <w:r>
        <w:rPr>
          <w:spacing w:val="-4"/>
          <w:w w:val="105"/>
          <w:sz w:val="21"/>
        </w:rPr>
        <w:t>make </w:t>
      </w:r>
      <w:r>
        <w:rPr>
          <w:spacing w:val="-3"/>
          <w:w w:val="105"/>
          <w:sz w:val="21"/>
        </w:rPr>
        <w:t>provision for</w:t>
      </w:r>
      <w:r>
        <w:rPr>
          <w:spacing w:val="22"/>
          <w:w w:val="105"/>
          <w:sz w:val="21"/>
        </w:rPr>
        <w:t> </w:t>
      </w:r>
      <w:r>
        <w:rPr>
          <w:w w:val="105"/>
          <w:sz w:val="21"/>
        </w:rPr>
        <w:t>someone.</w:t>
      </w:r>
      <w:r>
        <w:rPr>
          <w:w w:val="105"/>
          <w:position w:val="7"/>
          <w:sz w:val="12"/>
        </w:rPr>
        <w:t>302</w:t>
      </w:r>
    </w:p>
    <w:p>
      <w:pPr>
        <w:pStyle w:val="ListParagraph"/>
        <w:numPr>
          <w:ilvl w:val="0"/>
          <w:numId w:val="97"/>
        </w:numPr>
        <w:tabs>
          <w:tab w:pos="2381" w:val="left" w:leader="none"/>
          <w:tab w:pos="2382" w:val="left" w:leader="none"/>
        </w:tabs>
        <w:spacing w:line="240" w:lineRule="auto" w:before="127" w:after="0"/>
        <w:ind w:left="2381" w:right="0" w:hanging="794"/>
        <w:jc w:val="left"/>
        <w:rPr>
          <w:sz w:val="21"/>
        </w:rPr>
      </w:pPr>
      <w:r>
        <w:rPr>
          <w:w w:val="105"/>
          <w:sz w:val="21"/>
        </w:rPr>
        <w:t>The court can only </w:t>
      </w:r>
      <w:r>
        <w:rPr>
          <w:spacing w:val="-4"/>
          <w:w w:val="105"/>
          <w:sz w:val="21"/>
        </w:rPr>
        <w:t>make </w:t>
      </w:r>
      <w:r>
        <w:rPr>
          <w:w w:val="105"/>
          <w:sz w:val="21"/>
        </w:rPr>
        <w:t>a </w:t>
      </w:r>
      <w:r>
        <w:rPr>
          <w:spacing w:val="-3"/>
          <w:w w:val="105"/>
          <w:sz w:val="21"/>
        </w:rPr>
        <w:t>notional </w:t>
      </w:r>
      <w:r>
        <w:rPr>
          <w:w w:val="105"/>
          <w:sz w:val="21"/>
        </w:rPr>
        <w:t>estate order if it is satisfied of </w:t>
      </w:r>
      <w:r>
        <w:rPr>
          <w:spacing w:val="-3"/>
          <w:w w:val="105"/>
          <w:sz w:val="21"/>
        </w:rPr>
        <w:t>any </w:t>
      </w:r>
      <w:r>
        <w:rPr>
          <w:w w:val="105"/>
          <w:sz w:val="21"/>
        </w:rPr>
        <w:t>of the</w:t>
      </w:r>
      <w:r>
        <w:rPr>
          <w:spacing w:val="44"/>
          <w:w w:val="105"/>
          <w:sz w:val="21"/>
        </w:rPr>
        <w:t> </w:t>
      </w:r>
      <w:r>
        <w:rPr>
          <w:w w:val="105"/>
          <w:sz w:val="21"/>
        </w:rPr>
        <w:t>following:</w:t>
      </w:r>
    </w:p>
    <w:p>
      <w:pPr>
        <w:pStyle w:val="ListParagraph"/>
        <w:numPr>
          <w:ilvl w:val="1"/>
          <w:numId w:val="97"/>
        </w:numPr>
        <w:tabs>
          <w:tab w:pos="2721" w:val="left" w:leader="none"/>
          <w:tab w:pos="2722" w:val="left" w:leader="none"/>
        </w:tabs>
        <w:spacing w:line="240" w:lineRule="auto" w:before="124" w:after="0"/>
        <w:ind w:left="2721" w:right="0" w:hanging="340"/>
        <w:jc w:val="left"/>
        <w:rPr>
          <w:sz w:val="21"/>
        </w:rPr>
      </w:pPr>
      <w:r>
        <w:rPr>
          <w:sz w:val="21"/>
        </w:rPr>
        <w:t>the deceased person left no</w:t>
      </w:r>
      <w:r>
        <w:rPr>
          <w:spacing w:val="41"/>
          <w:sz w:val="21"/>
        </w:rPr>
        <w:t> </w:t>
      </w:r>
      <w:r>
        <w:rPr>
          <w:sz w:val="21"/>
        </w:rPr>
        <w:t>estate</w:t>
      </w:r>
    </w:p>
    <w:p>
      <w:pPr>
        <w:pStyle w:val="ListParagraph"/>
        <w:numPr>
          <w:ilvl w:val="1"/>
          <w:numId w:val="97"/>
        </w:numPr>
        <w:tabs>
          <w:tab w:pos="2721" w:val="left" w:leader="none"/>
          <w:tab w:pos="2722" w:val="left" w:leader="none"/>
        </w:tabs>
        <w:spacing w:line="242" w:lineRule="auto" w:before="124" w:after="0"/>
        <w:ind w:left="2721" w:right="1909" w:hanging="340"/>
        <w:jc w:val="left"/>
        <w:rPr>
          <w:sz w:val="21"/>
        </w:rPr>
      </w:pPr>
      <w:r>
        <w:rPr>
          <w:sz w:val="21"/>
        </w:rPr>
        <w:t>the deceased </w:t>
      </w:r>
      <w:r>
        <w:rPr>
          <w:spacing w:val="-3"/>
          <w:sz w:val="21"/>
        </w:rPr>
        <w:t>person’s </w:t>
      </w:r>
      <w:r>
        <w:rPr>
          <w:sz w:val="21"/>
        </w:rPr>
        <w:t>estate is insufficient </w:t>
      </w:r>
      <w:r>
        <w:rPr>
          <w:spacing w:val="-3"/>
          <w:sz w:val="21"/>
        </w:rPr>
        <w:t>to </w:t>
      </w:r>
      <w:r>
        <w:rPr>
          <w:spacing w:val="-4"/>
          <w:sz w:val="21"/>
        </w:rPr>
        <w:t>make </w:t>
      </w:r>
      <w:r>
        <w:rPr>
          <w:sz w:val="21"/>
        </w:rPr>
        <w:t>a </w:t>
      </w:r>
      <w:r>
        <w:rPr>
          <w:spacing w:val="-3"/>
          <w:sz w:val="21"/>
        </w:rPr>
        <w:t>family provision </w:t>
      </w:r>
      <w:r>
        <w:rPr>
          <w:spacing w:val="-4"/>
          <w:sz w:val="21"/>
        </w:rPr>
        <w:t>order, </w:t>
      </w:r>
      <w:r>
        <w:rPr>
          <w:sz w:val="21"/>
        </w:rPr>
        <w:t>or </w:t>
      </w:r>
      <w:r>
        <w:rPr>
          <w:spacing w:val="-3"/>
          <w:sz w:val="21"/>
        </w:rPr>
        <w:t>any </w:t>
      </w:r>
      <w:r>
        <w:rPr>
          <w:sz w:val="21"/>
        </w:rPr>
        <w:t>order</w:t>
      </w:r>
      <w:r>
        <w:rPr>
          <w:spacing w:val="9"/>
          <w:sz w:val="21"/>
        </w:rPr>
        <w:t> </w:t>
      </w:r>
      <w:r>
        <w:rPr>
          <w:sz w:val="21"/>
        </w:rPr>
        <w:t>as</w:t>
      </w:r>
      <w:r>
        <w:rPr>
          <w:spacing w:val="9"/>
          <w:sz w:val="21"/>
        </w:rPr>
        <w:t> </w:t>
      </w:r>
      <w:r>
        <w:rPr>
          <w:spacing w:val="-3"/>
          <w:sz w:val="21"/>
        </w:rPr>
        <w:t>to</w:t>
      </w:r>
      <w:r>
        <w:rPr>
          <w:spacing w:val="10"/>
          <w:sz w:val="21"/>
        </w:rPr>
        <w:t> </w:t>
      </w:r>
      <w:r>
        <w:rPr>
          <w:sz w:val="21"/>
        </w:rPr>
        <w:t>costs,</w:t>
      </w:r>
      <w:r>
        <w:rPr>
          <w:spacing w:val="9"/>
          <w:sz w:val="21"/>
        </w:rPr>
        <w:t> </w:t>
      </w:r>
      <w:r>
        <w:rPr>
          <w:spacing w:val="-3"/>
          <w:sz w:val="21"/>
        </w:rPr>
        <w:t>that</w:t>
      </w:r>
      <w:r>
        <w:rPr>
          <w:spacing w:val="10"/>
          <w:sz w:val="21"/>
        </w:rPr>
        <w:t> </w:t>
      </w:r>
      <w:r>
        <w:rPr>
          <w:sz w:val="21"/>
        </w:rPr>
        <w:t>the</w:t>
      </w:r>
      <w:r>
        <w:rPr>
          <w:spacing w:val="9"/>
          <w:sz w:val="21"/>
        </w:rPr>
        <w:t> </w:t>
      </w:r>
      <w:r>
        <w:rPr>
          <w:sz w:val="21"/>
        </w:rPr>
        <w:t>court</w:t>
      </w:r>
      <w:r>
        <w:rPr>
          <w:spacing w:val="10"/>
          <w:sz w:val="21"/>
        </w:rPr>
        <w:t> </w:t>
      </w:r>
      <w:r>
        <w:rPr>
          <w:sz w:val="21"/>
        </w:rPr>
        <w:t>thinks</w:t>
      </w:r>
      <w:r>
        <w:rPr>
          <w:spacing w:val="9"/>
          <w:sz w:val="21"/>
        </w:rPr>
        <w:t> </w:t>
      </w:r>
      <w:r>
        <w:rPr>
          <w:sz w:val="21"/>
        </w:rPr>
        <w:t>should</w:t>
      </w:r>
      <w:r>
        <w:rPr>
          <w:spacing w:val="10"/>
          <w:sz w:val="21"/>
        </w:rPr>
        <w:t> </w:t>
      </w:r>
      <w:r>
        <w:rPr>
          <w:sz w:val="21"/>
        </w:rPr>
        <w:t>be</w:t>
      </w:r>
      <w:r>
        <w:rPr>
          <w:spacing w:val="9"/>
          <w:sz w:val="21"/>
        </w:rPr>
        <w:t> </w:t>
      </w:r>
      <w:r>
        <w:rPr>
          <w:sz w:val="21"/>
        </w:rPr>
        <w:t>made</w:t>
      </w:r>
    </w:p>
    <w:p>
      <w:pPr>
        <w:pStyle w:val="ListParagraph"/>
        <w:numPr>
          <w:ilvl w:val="1"/>
          <w:numId w:val="97"/>
        </w:numPr>
        <w:tabs>
          <w:tab w:pos="2722" w:val="left" w:leader="none"/>
        </w:tabs>
        <w:spacing w:line="242" w:lineRule="auto" w:before="122" w:after="0"/>
        <w:ind w:left="2721" w:right="1968" w:hanging="340"/>
        <w:jc w:val="both"/>
        <w:rPr>
          <w:sz w:val="12"/>
        </w:rPr>
      </w:pPr>
      <w:r>
        <w:rPr>
          <w:spacing w:val="-3"/>
          <w:w w:val="105"/>
          <w:sz w:val="21"/>
        </w:rPr>
        <w:t>provision</w:t>
      </w:r>
      <w:r>
        <w:rPr>
          <w:spacing w:val="-9"/>
          <w:w w:val="105"/>
          <w:sz w:val="21"/>
        </w:rPr>
        <w:t> </w:t>
      </w:r>
      <w:r>
        <w:rPr>
          <w:w w:val="105"/>
          <w:sz w:val="21"/>
        </w:rPr>
        <w:t>should</w:t>
      </w:r>
      <w:r>
        <w:rPr>
          <w:spacing w:val="-8"/>
          <w:w w:val="105"/>
          <w:sz w:val="21"/>
        </w:rPr>
        <w:t> </w:t>
      </w:r>
      <w:r>
        <w:rPr>
          <w:spacing w:val="-2"/>
          <w:w w:val="105"/>
          <w:sz w:val="21"/>
        </w:rPr>
        <w:t>not</w:t>
      </w:r>
      <w:r>
        <w:rPr>
          <w:spacing w:val="-9"/>
          <w:w w:val="105"/>
          <w:sz w:val="21"/>
        </w:rPr>
        <w:t> </w:t>
      </w:r>
      <w:r>
        <w:rPr>
          <w:w w:val="105"/>
          <w:sz w:val="21"/>
        </w:rPr>
        <w:t>be</w:t>
      </w:r>
      <w:r>
        <w:rPr>
          <w:spacing w:val="-8"/>
          <w:w w:val="105"/>
          <w:sz w:val="21"/>
        </w:rPr>
        <w:t> </w:t>
      </w:r>
      <w:r>
        <w:rPr>
          <w:w w:val="105"/>
          <w:sz w:val="21"/>
        </w:rPr>
        <w:t>made</w:t>
      </w:r>
      <w:r>
        <w:rPr>
          <w:spacing w:val="-9"/>
          <w:w w:val="105"/>
          <w:sz w:val="21"/>
        </w:rPr>
        <w:t> </w:t>
      </w:r>
      <w:r>
        <w:rPr>
          <w:w w:val="105"/>
          <w:sz w:val="21"/>
        </w:rPr>
        <w:t>wholly</w:t>
      </w:r>
      <w:r>
        <w:rPr>
          <w:spacing w:val="-8"/>
          <w:w w:val="105"/>
          <w:sz w:val="21"/>
        </w:rPr>
        <w:t> </w:t>
      </w:r>
      <w:r>
        <w:rPr>
          <w:w w:val="105"/>
          <w:sz w:val="21"/>
        </w:rPr>
        <w:t>out</w:t>
      </w:r>
      <w:r>
        <w:rPr>
          <w:spacing w:val="-8"/>
          <w:w w:val="105"/>
          <w:sz w:val="21"/>
        </w:rPr>
        <w:t> </w:t>
      </w:r>
      <w:r>
        <w:rPr>
          <w:w w:val="105"/>
          <w:sz w:val="21"/>
        </w:rPr>
        <w:t>of</w:t>
      </w:r>
      <w:r>
        <w:rPr>
          <w:spacing w:val="-9"/>
          <w:w w:val="105"/>
          <w:sz w:val="21"/>
        </w:rPr>
        <w:t> </w:t>
      </w:r>
      <w:r>
        <w:rPr>
          <w:w w:val="105"/>
          <w:sz w:val="21"/>
        </w:rPr>
        <w:t>the</w:t>
      </w:r>
      <w:r>
        <w:rPr>
          <w:spacing w:val="-8"/>
          <w:w w:val="105"/>
          <w:sz w:val="21"/>
        </w:rPr>
        <w:t> </w:t>
      </w:r>
      <w:r>
        <w:rPr>
          <w:w w:val="105"/>
          <w:sz w:val="21"/>
        </w:rPr>
        <w:t>deceased</w:t>
      </w:r>
      <w:r>
        <w:rPr>
          <w:spacing w:val="-9"/>
          <w:w w:val="105"/>
          <w:sz w:val="21"/>
        </w:rPr>
        <w:t> </w:t>
      </w:r>
      <w:r>
        <w:rPr>
          <w:spacing w:val="-3"/>
          <w:w w:val="105"/>
          <w:sz w:val="21"/>
        </w:rPr>
        <w:t>person’s</w:t>
      </w:r>
      <w:r>
        <w:rPr>
          <w:spacing w:val="-8"/>
          <w:w w:val="105"/>
          <w:sz w:val="21"/>
        </w:rPr>
        <w:t> </w:t>
      </w:r>
      <w:r>
        <w:rPr>
          <w:w w:val="105"/>
          <w:sz w:val="21"/>
        </w:rPr>
        <w:t>estate</w:t>
      </w:r>
      <w:r>
        <w:rPr>
          <w:spacing w:val="-8"/>
          <w:w w:val="105"/>
          <w:sz w:val="21"/>
        </w:rPr>
        <w:t> </w:t>
      </w:r>
      <w:r>
        <w:rPr>
          <w:w w:val="105"/>
          <w:sz w:val="21"/>
        </w:rPr>
        <w:t>because other</w:t>
      </w:r>
      <w:r>
        <w:rPr>
          <w:spacing w:val="-11"/>
          <w:w w:val="105"/>
          <w:sz w:val="21"/>
        </w:rPr>
        <w:t> </w:t>
      </w:r>
      <w:r>
        <w:rPr>
          <w:w w:val="105"/>
          <w:sz w:val="21"/>
        </w:rPr>
        <w:t>people</w:t>
      </w:r>
      <w:r>
        <w:rPr>
          <w:spacing w:val="-10"/>
          <w:w w:val="105"/>
          <w:sz w:val="21"/>
        </w:rPr>
        <w:t> </w:t>
      </w:r>
      <w:r>
        <w:rPr>
          <w:spacing w:val="-3"/>
          <w:w w:val="105"/>
          <w:sz w:val="21"/>
        </w:rPr>
        <w:t>are</w:t>
      </w:r>
      <w:r>
        <w:rPr>
          <w:spacing w:val="-10"/>
          <w:w w:val="105"/>
          <w:sz w:val="21"/>
        </w:rPr>
        <w:t> </w:t>
      </w:r>
      <w:r>
        <w:rPr>
          <w:w w:val="105"/>
          <w:sz w:val="21"/>
        </w:rPr>
        <w:t>entitled</w:t>
      </w:r>
      <w:r>
        <w:rPr>
          <w:spacing w:val="-11"/>
          <w:w w:val="105"/>
          <w:sz w:val="21"/>
        </w:rPr>
        <w:t> </w:t>
      </w:r>
      <w:r>
        <w:rPr>
          <w:spacing w:val="-3"/>
          <w:w w:val="105"/>
          <w:sz w:val="21"/>
        </w:rPr>
        <w:t>to</w:t>
      </w:r>
      <w:r>
        <w:rPr>
          <w:spacing w:val="-10"/>
          <w:w w:val="105"/>
          <w:sz w:val="21"/>
        </w:rPr>
        <w:t> </w:t>
      </w:r>
      <w:r>
        <w:rPr>
          <w:w w:val="105"/>
          <w:sz w:val="21"/>
        </w:rPr>
        <w:t>apply</w:t>
      </w:r>
      <w:r>
        <w:rPr>
          <w:spacing w:val="-10"/>
          <w:w w:val="105"/>
          <w:sz w:val="21"/>
        </w:rPr>
        <w:t> </w:t>
      </w:r>
      <w:r>
        <w:rPr>
          <w:spacing w:val="-3"/>
          <w:w w:val="105"/>
          <w:sz w:val="21"/>
        </w:rPr>
        <w:t>for</w:t>
      </w:r>
      <w:r>
        <w:rPr>
          <w:spacing w:val="-10"/>
          <w:w w:val="105"/>
          <w:sz w:val="21"/>
        </w:rPr>
        <w:t> </w:t>
      </w:r>
      <w:r>
        <w:rPr>
          <w:spacing w:val="-3"/>
          <w:w w:val="105"/>
          <w:sz w:val="21"/>
        </w:rPr>
        <w:t>family</w:t>
      </w:r>
      <w:r>
        <w:rPr>
          <w:spacing w:val="-11"/>
          <w:w w:val="105"/>
          <w:sz w:val="21"/>
        </w:rPr>
        <w:t> </w:t>
      </w:r>
      <w:r>
        <w:rPr>
          <w:spacing w:val="-3"/>
          <w:w w:val="105"/>
          <w:sz w:val="21"/>
        </w:rPr>
        <w:t>provision</w:t>
      </w:r>
      <w:r>
        <w:rPr>
          <w:spacing w:val="-10"/>
          <w:w w:val="105"/>
          <w:sz w:val="21"/>
        </w:rPr>
        <w:t> </w:t>
      </w:r>
      <w:r>
        <w:rPr>
          <w:w w:val="105"/>
          <w:sz w:val="21"/>
        </w:rPr>
        <w:t>orders</w:t>
      </w:r>
      <w:r>
        <w:rPr>
          <w:spacing w:val="-10"/>
          <w:w w:val="105"/>
          <w:sz w:val="21"/>
        </w:rPr>
        <w:t> </w:t>
      </w:r>
      <w:r>
        <w:rPr>
          <w:w w:val="105"/>
          <w:sz w:val="21"/>
        </w:rPr>
        <w:t>or</w:t>
      </w:r>
      <w:r>
        <w:rPr>
          <w:spacing w:val="-10"/>
          <w:w w:val="105"/>
          <w:sz w:val="21"/>
        </w:rPr>
        <w:t> </w:t>
      </w:r>
      <w:r>
        <w:rPr>
          <w:w w:val="105"/>
          <w:sz w:val="21"/>
        </w:rPr>
        <w:t>because</w:t>
      </w:r>
      <w:r>
        <w:rPr>
          <w:spacing w:val="-11"/>
          <w:w w:val="105"/>
          <w:sz w:val="21"/>
        </w:rPr>
        <w:t> </w:t>
      </w:r>
      <w:r>
        <w:rPr>
          <w:w w:val="105"/>
          <w:sz w:val="21"/>
        </w:rPr>
        <w:t>there</w:t>
      </w:r>
      <w:r>
        <w:rPr>
          <w:spacing w:val="-10"/>
          <w:w w:val="105"/>
          <w:sz w:val="21"/>
        </w:rPr>
        <w:t> </w:t>
      </w:r>
      <w:r>
        <w:rPr>
          <w:spacing w:val="-3"/>
          <w:w w:val="105"/>
          <w:sz w:val="21"/>
        </w:rPr>
        <w:t>are </w:t>
      </w:r>
      <w:r>
        <w:rPr>
          <w:w w:val="105"/>
          <w:sz w:val="21"/>
        </w:rPr>
        <w:t>special</w:t>
      </w:r>
      <w:r>
        <w:rPr>
          <w:spacing w:val="4"/>
          <w:w w:val="105"/>
          <w:sz w:val="21"/>
        </w:rPr>
        <w:t> </w:t>
      </w:r>
      <w:r>
        <w:rPr>
          <w:w w:val="105"/>
          <w:sz w:val="21"/>
        </w:rPr>
        <w:t>circumstances.</w:t>
      </w:r>
      <w:r>
        <w:rPr>
          <w:w w:val="105"/>
          <w:position w:val="7"/>
          <w:sz w:val="12"/>
        </w:rPr>
        <w:t>303</w:t>
      </w:r>
    </w:p>
    <w:p>
      <w:pPr>
        <w:pStyle w:val="ListParagraph"/>
        <w:numPr>
          <w:ilvl w:val="0"/>
          <w:numId w:val="97"/>
        </w:numPr>
        <w:tabs>
          <w:tab w:pos="2380" w:val="left" w:leader="none"/>
          <w:tab w:pos="2381" w:val="left" w:leader="none"/>
        </w:tabs>
        <w:spacing w:line="242" w:lineRule="auto" w:before="123" w:after="0"/>
        <w:ind w:left="2381" w:right="1773" w:hanging="794"/>
        <w:jc w:val="left"/>
        <w:rPr>
          <w:sz w:val="21"/>
        </w:rPr>
      </w:pPr>
      <w:r>
        <w:rPr>
          <w:w w:val="105"/>
          <w:sz w:val="21"/>
        </w:rPr>
        <w:t>The </w:t>
      </w:r>
      <w:r>
        <w:rPr>
          <w:spacing w:val="-3"/>
          <w:w w:val="105"/>
          <w:sz w:val="21"/>
        </w:rPr>
        <w:t>National Committee </w:t>
      </w:r>
      <w:r>
        <w:rPr>
          <w:w w:val="105"/>
          <w:sz w:val="21"/>
        </w:rPr>
        <w:t>recommended the adoption of </w:t>
      </w:r>
      <w:r>
        <w:rPr>
          <w:spacing w:val="-3"/>
          <w:w w:val="105"/>
          <w:sz w:val="21"/>
        </w:rPr>
        <w:t>notional </w:t>
      </w:r>
      <w:r>
        <w:rPr>
          <w:w w:val="105"/>
          <w:sz w:val="21"/>
        </w:rPr>
        <w:t>estate </w:t>
      </w:r>
      <w:r>
        <w:rPr>
          <w:spacing w:val="-3"/>
          <w:w w:val="105"/>
          <w:sz w:val="21"/>
        </w:rPr>
        <w:t>provisions </w:t>
      </w:r>
      <w:r>
        <w:rPr>
          <w:w w:val="105"/>
          <w:sz w:val="21"/>
        </w:rPr>
        <w:t>in response</w:t>
      </w:r>
      <w:r>
        <w:rPr>
          <w:spacing w:val="-10"/>
          <w:w w:val="105"/>
          <w:sz w:val="21"/>
        </w:rPr>
        <w:t> </w:t>
      </w:r>
      <w:r>
        <w:rPr>
          <w:spacing w:val="-3"/>
          <w:w w:val="105"/>
          <w:sz w:val="21"/>
        </w:rPr>
        <w:t>to</w:t>
      </w:r>
      <w:r>
        <w:rPr>
          <w:spacing w:val="-9"/>
          <w:w w:val="105"/>
          <w:sz w:val="21"/>
        </w:rPr>
        <w:t> </w:t>
      </w:r>
      <w:r>
        <w:rPr>
          <w:spacing w:val="-3"/>
          <w:w w:val="105"/>
          <w:sz w:val="21"/>
        </w:rPr>
        <w:t>concerns</w:t>
      </w:r>
      <w:r>
        <w:rPr>
          <w:spacing w:val="-9"/>
          <w:w w:val="105"/>
          <w:sz w:val="21"/>
        </w:rPr>
        <w:t> </w:t>
      </w:r>
      <w:r>
        <w:rPr>
          <w:spacing w:val="-3"/>
          <w:w w:val="105"/>
          <w:sz w:val="21"/>
        </w:rPr>
        <w:t>that</w:t>
      </w:r>
      <w:r>
        <w:rPr>
          <w:spacing w:val="-9"/>
          <w:w w:val="105"/>
          <w:sz w:val="21"/>
        </w:rPr>
        <w:t> </w:t>
      </w:r>
      <w:r>
        <w:rPr>
          <w:w w:val="105"/>
          <w:sz w:val="21"/>
        </w:rPr>
        <w:t>people</w:t>
      </w:r>
      <w:r>
        <w:rPr>
          <w:spacing w:val="-9"/>
          <w:w w:val="105"/>
          <w:sz w:val="21"/>
        </w:rPr>
        <w:t> </w:t>
      </w:r>
      <w:r>
        <w:rPr>
          <w:spacing w:val="-3"/>
          <w:w w:val="105"/>
          <w:sz w:val="21"/>
        </w:rPr>
        <w:t>were</w:t>
      </w:r>
      <w:r>
        <w:rPr>
          <w:spacing w:val="-9"/>
          <w:w w:val="105"/>
          <w:sz w:val="21"/>
        </w:rPr>
        <w:t> </w:t>
      </w:r>
      <w:r>
        <w:rPr>
          <w:spacing w:val="-4"/>
          <w:w w:val="105"/>
          <w:sz w:val="21"/>
        </w:rPr>
        <w:t>‘avoiding</w:t>
      </w:r>
      <w:r>
        <w:rPr>
          <w:spacing w:val="-9"/>
          <w:w w:val="105"/>
          <w:sz w:val="21"/>
        </w:rPr>
        <w:t> </w:t>
      </w:r>
      <w:r>
        <w:rPr>
          <w:w w:val="105"/>
          <w:sz w:val="21"/>
        </w:rPr>
        <w:t>their</w:t>
      </w:r>
      <w:r>
        <w:rPr>
          <w:spacing w:val="-9"/>
          <w:w w:val="105"/>
          <w:sz w:val="21"/>
        </w:rPr>
        <w:t> </w:t>
      </w:r>
      <w:r>
        <w:rPr>
          <w:spacing w:val="-3"/>
          <w:w w:val="105"/>
          <w:sz w:val="21"/>
        </w:rPr>
        <w:t>family</w:t>
      </w:r>
      <w:r>
        <w:rPr>
          <w:spacing w:val="-9"/>
          <w:w w:val="105"/>
          <w:sz w:val="21"/>
        </w:rPr>
        <w:t> </w:t>
      </w:r>
      <w:r>
        <w:rPr>
          <w:spacing w:val="-3"/>
          <w:w w:val="105"/>
          <w:sz w:val="21"/>
        </w:rPr>
        <w:t>provision</w:t>
      </w:r>
      <w:r>
        <w:rPr>
          <w:spacing w:val="-9"/>
          <w:w w:val="105"/>
          <w:sz w:val="21"/>
        </w:rPr>
        <w:t> </w:t>
      </w:r>
      <w:r>
        <w:rPr>
          <w:spacing w:val="-3"/>
          <w:w w:val="105"/>
          <w:sz w:val="21"/>
        </w:rPr>
        <w:t>responsibilities</w:t>
      </w:r>
      <w:r>
        <w:rPr>
          <w:spacing w:val="-9"/>
          <w:w w:val="105"/>
          <w:sz w:val="21"/>
        </w:rPr>
        <w:t> </w:t>
      </w:r>
      <w:r>
        <w:rPr>
          <w:w w:val="105"/>
          <w:sz w:val="21"/>
        </w:rPr>
        <w:t>by divesting themselves of property </w:t>
      </w:r>
      <w:r>
        <w:rPr>
          <w:spacing w:val="-3"/>
          <w:w w:val="105"/>
          <w:sz w:val="21"/>
        </w:rPr>
        <w:t>during </w:t>
      </w:r>
      <w:r>
        <w:rPr>
          <w:w w:val="105"/>
          <w:sz w:val="21"/>
        </w:rPr>
        <w:t>their </w:t>
      </w:r>
      <w:r>
        <w:rPr>
          <w:spacing w:val="-4"/>
          <w:w w:val="105"/>
          <w:sz w:val="21"/>
        </w:rPr>
        <w:t>lifetime’.</w:t>
      </w:r>
      <w:r>
        <w:rPr>
          <w:spacing w:val="-4"/>
          <w:w w:val="105"/>
          <w:position w:val="7"/>
          <w:sz w:val="12"/>
        </w:rPr>
        <w:t>304 </w:t>
      </w:r>
      <w:r>
        <w:rPr>
          <w:spacing w:val="-4"/>
          <w:w w:val="105"/>
          <w:sz w:val="21"/>
        </w:rPr>
        <w:t>However, </w:t>
      </w:r>
      <w:r>
        <w:rPr>
          <w:w w:val="105"/>
          <w:sz w:val="21"/>
        </w:rPr>
        <w:t>in </w:t>
      </w:r>
      <w:r>
        <w:rPr>
          <w:spacing w:val="-4"/>
          <w:w w:val="105"/>
          <w:sz w:val="21"/>
        </w:rPr>
        <w:t>1996, </w:t>
      </w:r>
      <w:r>
        <w:rPr>
          <w:w w:val="105"/>
          <w:sz w:val="21"/>
        </w:rPr>
        <w:t>the </w:t>
      </w:r>
      <w:r>
        <w:rPr>
          <w:spacing w:val="-3"/>
          <w:w w:val="105"/>
          <w:sz w:val="21"/>
        </w:rPr>
        <w:t>National Committee </w:t>
      </w:r>
      <w:r>
        <w:rPr>
          <w:spacing w:val="-2"/>
          <w:w w:val="105"/>
          <w:sz w:val="21"/>
        </w:rPr>
        <w:t>had </w:t>
      </w:r>
      <w:r>
        <w:rPr>
          <w:spacing w:val="-3"/>
          <w:w w:val="105"/>
          <w:sz w:val="21"/>
        </w:rPr>
        <w:t>published </w:t>
      </w:r>
      <w:r>
        <w:rPr>
          <w:w w:val="105"/>
          <w:sz w:val="21"/>
        </w:rPr>
        <w:t>an issues </w:t>
      </w:r>
      <w:r>
        <w:rPr>
          <w:spacing w:val="-4"/>
          <w:w w:val="105"/>
          <w:sz w:val="21"/>
        </w:rPr>
        <w:t>paper, </w:t>
      </w:r>
      <w:r>
        <w:rPr>
          <w:w w:val="105"/>
          <w:sz w:val="21"/>
        </w:rPr>
        <w:t>in which it </w:t>
      </w:r>
      <w:r>
        <w:rPr>
          <w:spacing w:val="-3"/>
          <w:w w:val="105"/>
          <w:sz w:val="21"/>
        </w:rPr>
        <w:t>noted</w:t>
      </w:r>
      <w:r>
        <w:rPr>
          <w:spacing w:val="3"/>
          <w:w w:val="105"/>
          <w:sz w:val="21"/>
        </w:rPr>
        <w:t> </w:t>
      </w:r>
      <w:r>
        <w:rPr>
          <w:w w:val="105"/>
          <w:sz w:val="21"/>
        </w:rPr>
        <w:t>that:</w:t>
      </w:r>
    </w:p>
    <w:p>
      <w:pPr>
        <w:spacing w:line="254" w:lineRule="auto" w:before="134"/>
        <w:ind w:left="2721" w:right="2010" w:firstLine="0"/>
        <w:jc w:val="left"/>
        <w:rPr>
          <w:sz w:val="11"/>
        </w:rPr>
      </w:pPr>
      <w:r>
        <w:rPr>
          <w:sz w:val="20"/>
        </w:rPr>
        <w:t>Whether it would be possible to persuade the other </w:t>
      </w:r>
      <w:r>
        <w:rPr>
          <w:spacing w:val="-3"/>
          <w:sz w:val="20"/>
        </w:rPr>
        <w:t>States </w:t>
      </w:r>
      <w:r>
        <w:rPr>
          <w:sz w:val="20"/>
        </w:rPr>
        <w:t>and </w:t>
      </w:r>
      <w:r>
        <w:rPr>
          <w:spacing w:val="-3"/>
          <w:sz w:val="20"/>
        </w:rPr>
        <w:t>Territories </w:t>
      </w:r>
      <w:r>
        <w:rPr>
          <w:sz w:val="20"/>
        </w:rPr>
        <w:t>to follow this approach may perhaps depend on how successful it has been in New South </w:t>
      </w:r>
      <w:r>
        <w:rPr>
          <w:spacing w:val="-3"/>
          <w:sz w:val="20"/>
        </w:rPr>
        <w:t>Wales </w:t>
      </w:r>
      <w:r>
        <w:rPr>
          <w:sz w:val="20"/>
        </w:rPr>
        <w:t>in practice </w:t>
      </w:r>
      <w:r>
        <w:rPr>
          <w:w w:val="115"/>
          <w:sz w:val="20"/>
        </w:rPr>
        <w:t>… </w:t>
      </w:r>
      <w:r>
        <w:rPr>
          <w:sz w:val="20"/>
        </w:rPr>
        <w:t>An evaluation of the legislation, from a New South </w:t>
      </w:r>
      <w:r>
        <w:rPr>
          <w:spacing w:val="-3"/>
          <w:sz w:val="20"/>
        </w:rPr>
        <w:t>Wales  </w:t>
      </w:r>
      <w:r>
        <w:rPr>
          <w:sz w:val="20"/>
        </w:rPr>
        <w:t>perspective, must  be undertaken as part of the</w:t>
      </w:r>
      <w:r>
        <w:rPr>
          <w:spacing w:val="9"/>
          <w:sz w:val="20"/>
        </w:rPr>
        <w:t> </w:t>
      </w:r>
      <w:r>
        <w:rPr>
          <w:sz w:val="20"/>
        </w:rPr>
        <w:t>project.</w:t>
      </w:r>
      <w:r>
        <w:rPr>
          <w:position w:val="7"/>
          <w:sz w:val="11"/>
        </w:rPr>
        <w:t>305</w:t>
      </w:r>
    </w:p>
    <w:p>
      <w:pPr>
        <w:pStyle w:val="ListParagraph"/>
        <w:numPr>
          <w:ilvl w:val="0"/>
          <w:numId w:val="97"/>
        </w:numPr>
        <w:tabs>
          <w:tab w:pos="2381" w:val="left" w:leader="none"/>
          <w:tab w:pos="2382" w:val="left" w:leader="none"/>
        </w:tabs>
        <w:spacing w:line="242" w:lineRule="auto" w:before="115" w:after="0"/>
        <w:ind w:left="2381" w:right="2160" w:hanging="794"/>
        <w:jc w:val="left"/>
        <w:rPr>
          <w:sz w:val="21"/>
        </w:rPr>
      </w:pPr>
      <w:r>
        <w:rPr>
          <w:w w:val="105"/>
          <w:sz w:val="21"/>
        </w:rPr>
        <w:t>No </w:t>
      </w:r>
      <w:r>
        <w:rPr>
          <w:spacing w:val="-3"/>
          <w:w w:val="105"/>
          <w:sz w:val="21"/>
        </w:rPr>
        <w:t>such evaluation </w:t>
      </w:r>
      <w:r>
        <w:rPr>
          <w:w w:val="105"/>
          <w:sz w:val="21"/>
        </w:rPr>
        <w:t>of the New South </w:t>
      </w:r>
      <w:r>
        <w:rPr>
          <w:spacing w:val="-3"/>
          <w:w w:val="105"/>
          <w:sz w:val="21"/>
        </w:rPr>
        <w:t>Wales provisions </w:t>
      </w:r>
      <w:r>
        <w:rPr>
          <w:spacing w:val="-2"/>
          <w:w w:val="105"/>
          <w:sz w:val="21"/>
        </w:rPr>
        <w:t>has </w:t>
      </w:r>
      <w:r>
        <w:rPr>
          <w:w w:val="105"/>
          <w:sz w:val="21"/>
        </w:rPr>
        <w:t>been </w:t>
      </w:r>
      <w:r>
        <w:rPr>
          <w:spacing w:val="-3"/>
          <w:w w:val="105"/>
          <w:sz w:val="21"/>
        </w:rPr>
        <w:t>undertaken, </w:t>
      </w:r>
      <w:r>
        <w:rPr>
          <w:w w:val="105"/>
          <w:sz w:val="21"/>
        </w:rPr>
        <w:t>and the</w:t>
      </w:r>
      <w:r>
        <w:rPr>
          <w:spacing w:val="-7"/>
          <w:w w:val="105"/>
          <w:sz w:val="21"/>
        </w:rPr>
        <w:t> </w:t>
      </w:r>
      <w:r>
        <w:rPr>
          <w:w w:val="105"/>
          <w:sz w:val="21"/>
        </w:rPr>
        <w:t>need</w:t>
      </w:r>
      <w:r>
        <w:rPr>
          <w:spacing w:val="-7"/>
          <w:w w:val="105"/>
          <w:sz w:val="21"/>
        </w:rPr>
        <w:t> </w:t>
      </w:r>
      <w:r>
        <w:rPr>
          <w:spacing w:val="-3"/>
          <w:w w:val="105"/>
          <w:sz w:val="21"/>
        </w:rPr>
        <w:t>for</w:t>
      </w:r>
      <w:r>
        <w:rPr>
          <w:spacing w:val="-7"/>
          <w:w w:val="105"/>
          <w:sz w:val="21"/>
        </w:rPr>
        <w:t> </w:t>
      </w:r>
      <w:r>
        <w:rPr>
          <w:spacing w:val="-3"/>
          <w:w w:val="105"/>
          <w:sz w:val="21"/>
        </w:rPr>
        <w:t>such</w:t>
      </w:r>
      <w:r>
        <w:rPr>
          <w:spacing w:val="-6"/>
          <w:w w:val="105"/>
          <w:sz w:val="21"/>
        </w:rPr>
        <w:t> </w:t>
      </w:r>
      <w:r>
        <w:rPr>
          <w:spacing w:val="-3"/>
          <w:w w:val="105"/>
          <w:sz w:val="21"/>
        </w:rPr>
        <w:t>provisions</w:t>
      </w:r>
      <w:r>
        <w:rPr>
          <w:spacing w:val="-7"/>
          <w:w w:val="105"/>
          <w:sz w:val="21"/>
        </w:rPr>
        <w:t> </w:t>
      </w:r>
      <w:r>
        <w:rPr>
          <w:w w:val="105"/>
          <w:sz w:val="21"/>
        </w:rPr>
        <w:t>and</w:t>
      </w:r>
      <w:r>
        <w:rPr>
          <w:spacing w:val="-7"/>
          <w:w w:val="105"/>
          <w:sz w:val="21"/>
        </w:rPr>
        <w:t> </w:t>
      </w:r>
      <w:r>
        <w:rPr>
          <w:w w:val="105"/>
          <w:sz w:val="21"/>
        </w:rPr>
        <w:t>the</w:t>
      </w:r>
      <w:r>
        <w:rPr>
          <w:spacing w:val="-6"/>
          <w:w w:val="105"/>
          <w:sz w:val="21"/>
        </w:rPr>
        <w:t> </w:t>
      </w:r>
      <w:r>
        <w:rPr>
          <w:w w:val="105"/>
          <w:sz w:val="21"/>
        </w:rPr>
        <w:t>effectiveness</w:t>
      </w:r>
      <w:r>
        <w:rPr>
          <w:spacing w:val="-7"/>
          <w:w w:val="105"/>
          <w:sz w:val="21"/>
        </w:rPr>
        <w:t> </w:t>
      </w:r>
      <w:r>
        <w:rPr>
          <w:w w:val="105"/>
          <w:sz w:val="21"/>
        </w:rPr>
        <w:t>of</w:t>
      </w:r>
      <w:r>
        <w:rPr>
          <w:spacing w:val="-7"/>
          <w:w w:val="105"/>
          <w:sz w:val="21"/>
        </w:rPr>
        <w:t> </w:t>
      </w:r>
      <w:r>
        <w:rPr>
          <w:w w:val="105"/>
          <w:sz w:val="21"/>
        </w:rPr>
        <w:t>the</w:t>
      </w:r>
      <w:r>
        <w:rPr>
          <w:spacing w:val="-6"/>
          <w:w w:val="105"/>
          <w:sz w:val="21"/>
        </w:rPr>
        <w:t> </w:t>
      </w:r>
      <w:r>
        <w:rPr>
          <w:spacing w:val="-3"/>
          <w:w w:val="105"/>
          <w:sz w:val="21"/>
        </w:rPr>
        <w:t>provisions</w:t>
      </w:r>
      <w:r>
        <w:rPr>
          <w:spacing w:val="-7"/>
          <w:w w:val="105"/>
          <w:sz w:val="21"/>
        </w:rPr>
        <w:t> </w:t>
      </w:r>
      <w:r>
        <w:rPr>
          <w:w w:val="105"/>
          <w:sz w:val="21"/>
        </w:rPr>
        <w:t>in</w:t>
      </w:r>
      <w:r>
        <w:rPr>
          <w:spacing w:val="-7"/>
          <w:w w:val="105"/>
          <w:sz w:val="21"/>
        </w:rPr>
        <w:t> </w:t>
      </w:r>
      <w:r>
        <w:rPr>
          <w:w w:val="105"/>
          <w:sz w:val="21"/>
        </w:rPr>
        <w:t>meeting</w:t>
      </w:r>
      <w:r>
        <w:rPr>
          <w:spacing w:val="-6"/>
          <w:w w:val="105"/>
          <w:sz w:val="21"/>
        </w:rPr>
        <w:t> </w:t>
      </w:r>
      <w:r>
        <w:rPr>
          <w:spacing w:val="-3"/>
          <w:w w:val="105"/>
          <w:sz w:val="21"/>
        </w:rPr>
        <w:t>such </w:t>
      </w:r>
      <w:r>
        <w:rPr>
          <w:w w:val="105"/>
          <w:sz w:val="21"/>
        </w:rPr>
        <w:t>a</w:t>
      </w:r>
      <w:r>
        <w:rPr>
          <w:spacing w:val="-5"/>
          <w:w w:val="105"/>
          <w:sz w:val="21"/>
        </w:rPr>
        <w:t> </w:t>
      </w:r>
      <w:r>
        <w:rPr>
          <w:w w:val="105"/>
          <w:sz w:val="21"/>
        </w:rPr>
        <w:t>need</w:t>
      </w:r>
      <w:r>
        <w:rPr>
          <w:spacing w:val="-4"/>
          <w:w w:val="105"/>
          <w:sz w:val="21"/>
        </w:rPr>
        <w:t> </w:t>
      </w:r>
      <w:r>
        <w:rPr>
          <w:w w:val="105"/>
          <w:sz w:val="21"/>
        </w:rPr>
        <w:t>(if</w:t>
      </w:r>
      <w:r>
        <w:rPr>
          <w:spacing w:val="-5"/>
          <w:w w:val="105"/>
          <w:sz w:val="21"/>
        </w:rPr>
        <w:t> </w:t>
      </w:r>
      <w:r>
        <w:rPr>
          <w:w w:val="105"/>
          <w:sz w:val="21"/>
        </w:rPr>
        <w:t>one</w:t>
      </w:r>
      <w:r>
        <w:rPr>
          <w:spacing w:val="-4"/>
          <w:w w:val="105"/>
          <w:sz w:val="21"/>
        </w:rPr>
        <w:t> </w:t>
      </w:r>
      <w:r>
        <w:rPr>
          <w:w w:val="105"/>
          <w:sz w:val="21"/>
        </w:rPr>
        <w:t>does</w:t>
      </w:r>
      <w:r>
        <w:rPr>
          <w:spacing w:val="-4"/>
          <w:w w:val="105"/>
          <w:sz w:val="21"/>
        </w:rPr>
        <w:t> </w:t>
      </w:r>
      <w:r>
        <w:rPr>
          <w:w w:val="105"/>
          <w:sz w:val="21"/>
        </w:rPr>
        <w:t>exist)</w:t>
      </w:r>
      <w:r>
        <w:rPr>
          <w:spacing w:val="-5"/>
          <w:w w:val="105"/>
          <w:sz w:val="21"/>
        </w:rPr>
        <w:t> </w:t>
      </w:r>
      <w:r>
        <w:rPr>
          <w:spacing w:val="-2"/>
          <w:w w:val="105"/>
          <w:sz w:val="21"/>
        </w:rPr>
        <w:t>has</w:t>
      </w:r>
      <w:r>
        <w:rPr>
          <w:spacing w:val="-4"/>
          <w:w w:val="105"/>
          <w:sz w:val="21"/>
        </w:rPr>
        <w:t> </w:t>
      </w:r>
      <w:r>
        <w:rPr>
          <w:w w:val="105"/>
          <w:sz w:val="21"/>
        </w:rPr>
        <w:t>never</w:t>
      </w:r>
      <w:r>
        <w:rPr>
          <w:spacing w:val="-5"/>
          <w:w w:val="105"/>
          <w:sz w:val="21"/>
        </w:rPr>
        <w:t> </w:t>
      </w:r>
      <w:r>
        <w:rPr>
          <w:w w:val="105"/>
          <w:sz w:val="21"/>
        </w:rPr>
        <w:t>been</w:t>
      </w:r>
      <w:r>
        <w:rPr>
          <w:spacing w:val="-4"/>
          <w:w w:val="105"/>
          <w:sz w:val="21"/>
        </w:rPr>
        <w:t> </w:t>
      </w:r>
      <w:r>
        <w:rPr>
          <w:spacing w:val="-3"/>
          <w:w w:val="105"/>
          <w:sz w:val="21"/>
        </w:rPr>
        <w:t>demonstrated.</w:t>
      </w:r>
      <w:r>
        <w:rPr>
          <w:spacing w:val="-4"/>
          <w:w w:val="105"/>
          <w:sz w:val="21"/>
        </w:rPr>
        <w:t> </w:t>
      </w:r>
      <w:r>
        <w:rPr>
          <w:w w:val="105"/>
          <w:sz w:val="21"/>
        </w:rPr>
        <w:t>The</w:t>
      </w:r>
      <w:r>
        <w:rPr>
          <w:spacing w:val="-5"/>
          <w:w w:val="105"/>
          <w:sz w:val="21"/>
        </w:rPr>
        <w:t> </w:t>
      </w:r>
      <w:r>
        <w:rPr>
          <w:spacing w:val="-3"/>
          <w:w w:val="105"/>
          <w:sz w:val="21"/>
        </w:rPr>
        <w:t>National</w:t>
      </w:r>
      <w:r>
        <w:rPr>
          <w:spacing w:val="-4"/>
          <w:w w:val="105"/>
          <w:sz w:val="21"/>
        </w:rPr>
        <w:t> Committee’s</w:t>
      </w:r>
    </w:p>
    <w:p>
      <w:pPr>
        <w:pStyle w:val="BodyText"/>
        <w:spacing w:line="242" w:lineRule="auto" w:before="3"/>
        <w:ind w:left="2381" w:right="1797"/>
        <w:jc w:val="both"/>
      </w:pPr>
      <w:r>
        <w:rPr>
          <w:spacing w:val="-3"/>
          <w:w w:val="105"/>
        </w:rPr>
        <w:t>recommendation to </w:t>
      </w:r>
      <w:r>
        <w:rPr>
          <w:w w:val="105"/>
        </w:rPr>
        <w:t>adopt the New South </w:t>
      </w:r>
      <w:r>
        <w:rPr>
          <w:spacing w:val="-3"/>
          <w:w w:val="105"/>
        </w:rPr>
        <w:t>Wales provisions </w:t>
      </w:r>
      <w:r>
        <w:rPr>
          <w:w w:val="105"/>
        </w:rPr>
        <w:t>was </w:t>
      </w:r>
      <w:r>
        <w:rPr>
          <w:spacing w:val="-2"/>
          <w:w w:val="105"/>
        </w:rPr>
        <w:t>not </w:t>
      </w:r>
      <w:r>
        <w:rPr>
          <w:w w:val="105"/>
        </w:rPr>
        <w:t>based on empirical </w:t>
      </w:r>
      <w:r>
        <w:rPr>
          <w:spacing w:val="-3"/>
          <w:w w:val="105"/>
        </w:rPr>
        <w:t>research demonstrating </w:t>
      </w:r>
      <w:r>
        <w:rPr>
          <w:w w:val="105"/>
        </w:rPr>
        <w:t>the need </w:t>
      </w:r>
      <w:r>
        <w:rPr>
          <w:spacing w:val="-3"/>
          <w:w w:val="105"/>
        </w:rPr>
        <w:t>for such provisions, </w:t>
      </w:r>
      <w:r>
        <w:rPr>
          <w:w w:val="105"/>
        </w:rPr>
        <w:t>but </w:t>
      </w:r>
      <w:r>
        <w:rPr>
          <w:spacing w:val="-3"/>
          <w:w w:val="105"/>
        </w:rPr>
        <w:t>rather </w:t>
      </w:r>
      <w:r>
        <w:rPr>
          <w:w w:val="105"/>
        </w:rPr>
        <w:t>because the </w:t>
      </w:r>
      <w:r>
        <w:rPr>
          <w:spacing w:val="-3"/>
          <w:w w:val="105"/>
        </w:rPr>
        <w:t>provisions </w:t>
      </w:r>
      <w:r>
        <w:rPr>
          <w:w w:val="105"/>
        </w:rPr>
        <w:t>existed</w:t>
      </w:r>
      <w:r>
        <w:rPr>
          <w:spacing w:val="-4"/>
          <w:w w:val="105"/>
        </w:rPr>
        <w:t> </w:t>
      </w:r>
      <w:r>
        <w:rPr>
          <w:w w:val="105"/>
        </w:rPr>
        <w:t>and</w:t>
      </w:r>
      <w:r>
        <w:rPr>
          <w:spacing w:val="-4"/>
          <w:w w:val="105"/>
        </w:rPr>
        <w:t> </w:t>
      </w:r>
      <w:r>
        <w:rPr>
          <w:spacing w:val="-2"/>
          <w:w w:val="105"/>
        </w:rPr>
        <w:t>had</w:t>
      </w:r>
      <w:r>
        <w:rPr>
          <w:spacing w:val="-4"/>
          <w:w w:val="105"/>
        </w:rPr>
        <w:t> </w:t>
      </w:r>
      <w:r>
        <w:rPr>
          <w:w w:val="105"/>
        </w:rPr>
        <w:t>been</w:t>
      </w:r>
      <w:r>
        <w:rPr>
          <w:spacing w:val="-4"/>
          <w:w w:val="105"/>
        </w:rPr>
        <w:t> </w:t>
      </w:r>
      <w:r>
        <w:rPr>
          <w:w w:val="105"/>
        </w:rPr>
        <w:t>in</w:t>
      </w:r>
      <w:r>
        <w:rPr>
          <w:spacing w:val="-4"/>
          <w:w w:val="105"/>
        </w:rPr>
        <w:t> </w:t>
      </w:r>
      <w:r>
        <w:rPr>
          <w:w w:val="105"/>
        </w:rPr>
        <w:t>operation</w:t>
      </w:r>
      <w:r>
        <w:rPr>
          <w:spacing w:val="-4"/>
          <w:w w:val="105"/>
        </w:rPr>
        <w:t> </w:t>
      </w:r>
      <w:r>
        <w:rPr>
          <w:spacing w:val="-3"/>
          <w:w w:val="105"/>
        </w:rPr>
        <w:t>for</w:t>
      </w:r>
      <w:r>
        <w:rPr>
          <w:spacing w:val="-4"/>
          <w:w w:val="105"/>
        </w:rPr>
        <w:t> </w:t>
      </w:r>
      <w:r>
        <w:rPr>
          <w:w w:val="105"/>
        </w:rPr>
        <w:t>some</w:t>
      </w:r>
      <w:r>
        <w:rPr>
          <w:spacing w:val="-4"/>
          <w:w w:val="105"/>
        </w:rPr>
        <w:t> </w:t>
      </w:r>
      <w:r>
        <w:rPr>
          <w:spacing w:val="-3"/>
          <w:w w:val="105"/>
        </w:rPr>
        <w:t>time,</w:t>
      </w:r>
      <w:r>
        <w:rPr>
          <w:spacing w:val="-4"/>
          <w:w w:val="105"/>
        </w:rPr>
        <w:t> </w:t>
      </w:r>
      <w:r>
        <w:rPr>
          <w:w w:val="105"/>
        </w:rPr>
        <w:t>and</w:t>
      </w:r>
      <w:r>
        <w:rPr>
          <w:spacing w:val="-4"/>
          <w:w w:val="105"/>
        </w:rPr>
        <w:t> </w:t>
      </w:r>
      <w:r>
        <w:rPr>
          <w:w w:val="105"/>
        </w:rPr>
        <w:t>there</w:t>
      </w:r>
      <w:r>
        <w:rPr>
          <w:spacing w:val="-4"/>
          <w:w w:val="105"/>
        </w:rPr>
        <w:t> </w:t>
      </w:r>
      <w:r>
        <w:rPr>
          <w:w w:val="105"/>
        </w:rPr>
        <w:t>was</w:t>
      </w:r>
      <w:r>
        <w:rPr>
          <w:spacing w:val="-4"/>
          <w:w w:val="105"/>
        </w:rPr>
        <w:t> ‘nothing </w:t>
      </w:r>
      <w:r>
        <w:rPr>
          <w:w w:val="105"/>
        </w:rPr>
        <w:t>hugely</w:t>
      </w:r>
      <w:r>
        <w:rPr>
          <w:spacing w:val="-4"/>
          <w:w w:val="105"/>
        </w:rPr>
        <w:t> </w:t>
      </w:r>
      <w:r>
        <w:rPr>
          <w:w w:val="105"/>
        </w:rPr>
        <w:t>wrong</w:t>
      </w:r>
    </w:p>
    <w:p>
      <w:pPr>
        <w:spacing w:before="44"/>
        <w:ind w:left="2381" w:right="0" w:firstLine="0"/>
        <w:jc w:val="left"/>
        <w:rPr>
          <w:sz w:val="12"/>
        </w:rPr>
      </w:pPr>
      <w:r>
        <w:rPr>
          <w:w w:val="105"/>
          <w:sz w:val="21"/>
        </w:rPr>
        <w:t>with them’.</w:t>
      </w:r>
      <w:r>
        <w:rPr>
          <w:w w:val="105"/>
          <w:position w:val="7"/>
          <w:sz w:val="12"/>
        </w:rPr>
        <w:t>306</w:t>
      </w:r>
    </w:p>
    <w:p>
      <w:pPr>
        <w:pStyle w:val="BodyText"/>
        <w:rPr>
          <w:sz w:val="20"/>
        </w:rPr>
      </w:pPr>
    </w:p>
    <w:p>
      <w:pPr>
        <w:pStyle w:val="BodyText"/>
        <w:rPr>
          <w:sz w:val="20"/>
        </w:rPr>
      </w:pPr>
    </w:p>
    <w:p>
      <w:pPr>
        <w:pStyle w:val="BodyText"/>
        <w:rPr>
          <w:sz w:val="20"/>
        </w:rPr>
      </w:pPr>
    </w:p>
    <w:p>
      <w:pPr>
        <w:pStyle w:val="BodyText"/>
        <w:spacing w:before="5"/>
        <w:rPr>
          <w:sz w:val="25"/>
        </w:rPr>
      </w:pPr>
      <w:r>
        <w:rPr/>
        <w:pict>
          <v:line style="position:absolute;mso-position-horizontal-relative:page;mso-position-vertical-relative:paragraph;z-index:8288;mso-wrap-distance-left:0;mso-wrap-distance-right:0" from="79.370003pt,18.007813pt" to="515.905003pt,18.007813pt" stroked="true" strokeweight="1pt" strokecolor="#f9ceca">
            <v:stroke dashstyle="solid"/>
            <w10:wrap type="topAndBottom"/>
          </v:line>
        </w:pict>
      </w:r>
    </w:p>
    <w:p>
      <w:pPr>
        <w:pStyle w:val="BodyText"/>
        <w:spacing w:before="8"/>
        <w:rPr>
          <w:sz w:val="5"/>
        </w:rPr>
      </w:pPr>
    </w:p>
    <w:p>
      <w:pPr>
        <w:spacing w:after="0"/>
        <w:rPr>
          <w:sz w:val="5"/>
        </w:rPr>
        <w:sectPr>
          <w:pgSz w:w="11910" w:h="16840"/>
          <w:pgMar w:header="805" w:footer="0" w:top="1360" w:bottom="280" w:left="0" w:right="0"/>
        </w:sectPr>
      </w:pPr>
    </w:p>
    <w:p>
      <w:pPr>
        <w:tabs>
          <w:tab w:pos="2380" w:val="left" w:leader="none"/>
        </w:tabs>
        <w:spacing w:before="48"/>
        <w:ind w:left="1587" w:right="5769" w:firstLine="0"/>
        <w:jc w:val="left"/>
        <w:rPr>
          <w:sz w:val="13"/>
        </w:rPr>
      </w:pPr>
      <w:r>
        <w:rPr>
          <w:w w:val="105"/>
          <w:sz w:val="13"/>
        </w:rPr>
        <w:t>299</w:t>
        <w:tab/>
      </w:r>
      <w:r>
        <w:rPr>
          <w:i/>
          <w:w w:val="105"/>
          <w:sz w:val="13"/>
        </w:rPr>
        <w:t>Succession Act 2006 </w:t>
      </w:r>
      <w:r>
        <w:rPr>
          <w:spacing w:val="3"/>
          <w:w w:val="105"/>
          <w:sz w:val="13"/>
        </w:rPr>
        <w:t>(NSW) </w:t>
      </w:r>
      <w:r>
        <w:rPr>
          <w:w w:val="105"/>
          <w:sz w:val="13"/>
        </w:rPr>
        <w:t>ss 79–81. </w:t>
      </w:r>
      <w:r>
        <w:rPr>
          <w:spacing w:val="2"/>
          <w:w w:val="105"/>
          <w:sz w:val="13"/>
        </w:rPr>
        <w:t>300</w:t>
        <w:tab/>
      </w:r>
      <w:r>
        <w:rPr>
          <w:w w:val="105"/>
          <w:sz w:val="13"/>
        </w:rPr>
        <w:t>Ibid ss 75,</w:t>
      </w:r>
      <w:r>
        <w:rPr>
          <w:spacing w:val="14"/>
          <w:w w:val="105"/>
          <w:sz w:val="13"/>
        </w:rPr>
        <w:t> </w:t>
      </w:r>
      <w:r>
        <w:rPr>
          <w:w w:val="105"/>
          <w:sz w:val="13"/>
        </w:rPr>
        <w:t>83(1).</w:t>
      </w:r>
    </w:p>
    <w:p>
      <w:pPr>
        <w:pStyle w:val="ListParagraph"/>
        <w:numPr>
          <w:ilvl w:val="0"/>
          <w:numId w:val="106"/>
        </w:numPr>
        <w:tabs>
          <w:tab w:pos="2381" w:val="left" w:leader="none"/>
          <w:tab w:pos="2382" w:val="left" w:leader="none"/>
        </w:tabs>
        <w:spacing w:line="240" w:lineRule="auto" w:before="3" w:after="0"/>
        <w:ind w:left="2417" w:right="386" w:hanging="830"/>
        <w:jc w:val="left"/>
        <w:rPr>
          <w:sz w:val="13"/>
        </w:rPr>
      </w:pPr>
      <w:r>
        <w:rPr>
          <w:i/>
          <w:w w:val="105"/>
          <w:sz w:val="13"/>
        </w:rPr>
        <w:t>Succession Act 2006 </w:t>
      </w:r>
      <w:r>
        <w:rPr>
          <w:spacing w:val="3"/>
          <w:w w:val="105"/>
          <w:sz w:val="13"/>
        </w:rPr>
        <w:t>(NSW) </w:t>
      </w:r>
      <w:r>
        <w:rPr>
          <w:w w:val="105"/>
          <w:sz w:val="13"/>
        </w:rPr>
        <w:t>s 75. For the New South Wales Supreme Court’s confirmation that superannuation benefits are captured</w:t>
      </w:r>
      <w:r>
        <w:rPr>
          <w:spacing w:val="30"/>
          <w:w w:val="105"/>
          <w:sz w:val="13"/>
        </w:rPr>
        <w:t> </w:t>
      </w:r>
      <w:r>
        <w:rPr>
          <w:w w:val="105"/>
          <w:sz w:val="13"/>
        </w:rPr>
        <w:t>by</w:t>
      </w:r>
      <w:r>
        <w:rPr>
          <w:spacing w:val="5"/>
          <w:w w:val="105"/>
          <w:sz w:val="13"/>
        </w:rPr>
        <w:t> </w:t>
      </w:r>
      <w:r>
        <w:rPr>
          <w:w w:val="105"/>
          <w:sz w:val="13"/>
        </w:rPr>
        <w:t>these</w:t>
      </w:r>
      <w:r>
        <w:rPr>
          <w:spacing w:val="5"/>
          <w:w w:val="105"/>
          <w:sz w:val="13"/>
        </w:rPr>
        <w:t> </w:t>
      </w:r>
      <w:r>
        <w:rPr>
          <w:w w:val="105"/>
          <w:sz w:val="13"/>
        </w:rPr>
        <w:t>provisions,</w:t>
      </w:r>
      <w:r>
        <w:rPr>
          <w:spacing w:val="5"/>
          <w:w w:val="105"/>
          <w:sz w:val="13"/>
        </w:rPr>
        <w:t> </w:t>
      </w:r>
      <w:r>
        <w:rPr>
          <w:w w:val="105"/>
          <w:sz w:val="13"/>
        </w:rPr>
        <w:t>see,</w:t>
      </w:r>
      <w:r>
        <w:rPr>
          <w:spacing w:val="6"/>
          <w:w w:val="105"/>
          <w:sz w:val="13"/>
        </w:rPr>
        <w:t> </w:t>
      </w:r>
      <w:r>
        <w:rPr>
          <w:w w:val="105"/>
          <w:sz w:val="13"/>
        </w:rPr>
        <w:t>eg,</w:t>
      </w:r>
      <w:r>
        <w:rPr>
          <w:spacing w:val="5"/>
          <w:w w:val="105"/>
          <w:sz w:val="13"/>
        </w:rPr>
        <w:t> </w:t>
      </w:r>
      <w:r>
        <w:rPr>
          <w:i/>
          <w:w w:val="105"/>
          <w:sz w:val="13"/>
        </w:rPr>
        <w:t>Cabban</w:t>
      </w:r>
      <w:r>
        <w:rPr>
          <w:i/>
          <w:spacing w:val="4"/>
          <w:w w:val="105"/>
          <w:sz w:val="13"/>
        </w:rPr>
        <w:t> </w:t>
      </w:r>
      <w:r>
        <w:rPr>
          <w:i/>
          <w:w w:val="105"/>
          <w:sz w:val="13"/>
        </w:rPr>
        <w:t>v</w:t>
      </w:r>
      <w:r>
        <w:rPr>
          <w:i/>
          <w:spacing w:val="5"/>
          <w:w w:val="105"/>
          <w:sz w:val="13"/>
        </w:rPr>
        <w:t> </w:t>
      </w:r>
      <w:r>
        <w:rPr>
          <w:i/>
          <w:w w:val="105"/>
          <w:sz w:val="13"/>
        </w:rPr>
        <w:t>Cabban</w:t>
      </w:r>
      <w:r>
        <w:rPr>
          <w:i/>
          <w:spacing w:val="5"/>
          <w:w w:val="105"/>
          <w:sz w:val="13"/>
        </w:rPr>
        <w:t> </w:t>
      </w:r>
      <w:r>
        <w:rPr>
          <w:w w:val="105"/>
          <w:sz w:val="13"/>
        </w:rPr>
        <w:t>[2010]</w:t>
      </w:r>
      <w:r>
        <w:rPr>
          <w:spacing w:val="5"/>
          <w:w w:val="105"/>
          <w:sz w:val="13"/>
        </w:rPr>
        <w:t> </w:t>
      </w:r>
      <w:r>
        <w:rPr>
          <w:w w:val="105"/>
          <w:sz w:val="13"/>
        </w:rPr>
        <w:t>NSWSC</w:t>
      </w:r>
      <w:r>
        <w:rPr>
          <w:spacing w:val="6"/>
          <w:w w:val="105"/>
          <w:sz w:val="13"/>
        </w:rPr>
        <w:t> </w:t>
      </w:r>
      <w:r>
        <w:rPr>
          <w:w w:val="105"/>
          <w:sz w:val="13"/>
        </w:rPr>
        <w:t>1433</w:t>
      </w:r>
      <w:r>
        <w:rPr>
          <w:spacing w:val="5"/>
          <w:w w:val="105"/>
          <w:sz w:val="13"/>
        </w:rPr>
        <w:t> </w:t>
      </w:r>
      <w:r>
        <w:rPr>
          <w:spacing w:val="-3"/>
          <w:w w:val="105"/>
          <w:sz w:val="13"/>
        </w:rPr>
        <w:t>(13</w:t>
      </w:r>
      <w:r>
        <w:rPr>
          <w:spacing w:val="5"/>
          <w:w w:val="105"/>
          <w:sz w:val="13"/>
        </w:rPr>
        <w:t> </w:t>
      </w:r>
      <w:r>
        <w:rPr>
          <w:w w:val="105"/>
          <w:sz w:val="13"/>
        </w:rPr>
        <w:t>December</w:t>
      </w:r>
      <w:r>
        <w:rPr>
          <w:spacing w:val="5"/>
          <w:w w:val="105"/>
          <w:sz w:val="13"/>
        </w:rPr>
        <w:t> </w:t>
      </w:r>
      <w:r>
        <w:rPr>
          <w:w w:val="105"/>
          <w:sz w:val="13"/>
        </w:rPr>
        <w:t>2010)</w:t>
      </w:r>
      <w:r>
        <w:rPr>
          <w:spacing w:val="6"/>
          <w:w w:val="105"/>
          <w:sz w:val="13"/>
        </w:rPr>
        <w:t> </w:t>
      </w:r>
      <w:r>
        <w:rPr>
          <w:w w:val="105"/>
          <w:sz w:val="13"/>
        </w:rPr>
        <w:t>[41]</w:t>
      </w:r>
      <w:r>
        <w:rPr>
          <w:spacing w:val="5"/>
          <w:w w:val="105"/>
          <w:sz w:val="13"/>
        </w:rPr>
        <w:t> </w:t>
      </w:r>
      <w:r>
        <w:rPr>
          <w:w w:val="105"/>
          <w:sz w:val="13"/>
        </w:rPr>
        <w:t>(Macready</w:t>
      </w:r>
      <w:r>
        <w:rPr>
          <w:spacing w:val="5"/>
          <w:w w:val="105"/>
          <w:sz w:val="13"/>
        </w:rPr>
        <w:t> </w:t>
      </w:r>
      <w:r>
        <w:rPr>
          <w:spacing w:val="4"/>
          <w:w w:val="105"/>
          <w:sz w:val="13"/>
        </w:rPr>
        <w:t>AsJ).</w:t>
      </w:r>
    </w:p>
    <w:p>
      <w:pPr>
        <w:pStyle w:val="ListParagraph"/>
        <w:numPr>
          <w:ilvl w:val="0"/>
          <w:numId w:val="106"/>
        </w:numPr>
        <w:tabs>
          <w:tab w:pos="2381" w:val="left" w:leader="none"/>
          <w:tab w:pos="2382" w:val="left" w:leader="none"/>
        </w:tabs>
        <w:spacing w:line="240" w:lineRule="auto" w:before="2" w:after="0"/>
        <w:ind w:left="2381" w:right="0" w:hanging="794"/>
        <w:jc w:val="left"/>
        <w:rPr>
          <w:sz w:val="13"/>
        </w:rPr>
      </w:pPr>
      <w:r>
        <w:rPr>
          <w:i/>
          <w:w w:val="105"/>
          <w:sz w:val="13"/>
        </w:rPr>
        <w:t>Succession Act 2006 </w:t>
      </w:r>
      <w:r>
        <w:rPr>
          <w:spacing w:val="3"/>
          <w:w w:val="105"/>
          <w:sz w:val="13"/>
        </w:rPr>
        <w:t>(NSW) </w:t>
      </w:r>
      <w:r>
        <w:rPr>
          <w:w w:val="105"/>
          <w:sz w:val="13"/>
        </w:rPr>
        <w:t>s </w:t>
      </w:r>
      <w:r>
        <w:rPr>
          <w:spacing w:val="3"/>
          <w:w w:val="105"/>
          <w:sz w:val="13"/>
        </w:rPr>
        <w:t>80(2) </w:t>
      </w:r>
      <w:r>
        <w:rPr>
          <w:w w:val="105"/>
          <w:sz w:val="13"/>
        </w:rPr>
        <w:t>(emphasis</w:t>
      </w:r>
      <w:r>
        <w:rPr>
          <w:spacing w:val="24"/>
          <w:w w:val="105"/>
          <w:sz w:val="13"/>
        </w:rPr>
        <w:t> </w:t>
      </w:r>
      <w:r>
        <w:rPr>
          <w:spacing w:val="2"/>
          <w:w w:val="105"/>
          <w:sz w:val="13"/>
        </w:rPr>
        <w:t>added).</w:t>
      </w:r>
    </w:p>
    <w:p>
      <w:pPr>
        <w:pStyle w:val="ListParagraph"/>
        <w:numPr>
          <w:ilvl w:val="0"/>
          <w:numId w:val="106"/>
        </w:numPr>
        <w:tabs>
          <w:tab w:pos="2381" w:val="left" w:leader="none"/>
          <w:tab w:pos="2382" w:val="left" w:leader="none"/>
        </w:tabs>
        <w:spacing w:line="240" w:lineRule="auto" w:before="2" w:after="0"/>
        <w:ind w:left="2381" w:right="0" w:hanging="794"/>
        <w:jc w:val="left"/>
        <w:rPr>
          <w:sz w:val="13"/>
        </w:rPr>
      </w:pPr>
      <w:r>
        <w:rPr>
          <w:sz w:val="13"/>
        </w:rPr>
        <w:t>Ibid s</w:t>
      </w:r>
      <w:r>
        <w:rPr>
          <w:spacing w:val="12"/>
          <w:sz w:val="13"/>
        </w:rPr>
        <w:t> </w:t>
      </w:r>
      <w:r>
        <w:rPr>
          <w:spacing w:val="2"/>
          <w:sz w:val="13"/>
        </w:rPr>
        <w:t>88.</w:t>
      </w:r>
    </w:p>
    <w:p>
      <w:pPr>
        <w:pStyle w:val="ListParagraph"/>
        <w:numPr>
          <w:ilvl w:val="0"/>
          <w:numId w:val="106"/>
        </w:numPr>
        <w:tabs>
          <w:tab w:pos="2381" w:val="left" w:leader="none"/>
          <w:tab w:pos="2382" w:val="left" w:leader="none"/>
        </w:tabs>
        <w:spacing w:line="240" w:lineRule="auto" w:before="1" w:after="0"/>
        <w:ind w:left="2381" w:right="0" w:hanging="794"/>
        <w:jc w:val="left"/>
        <w:rPr>
          <w:sz w:val="13"/>
        </w:rPr>
      </w:pPr>
      <w:r>
        <w:rPr>
          <w:w w:val="105"/>
          <w:sz w:val="13"/>
        </w:rPr>
        <w:t>National Committee for Uniform Succession Laws, </w:t>
      </w:r>
      <w:r>
        <w:rPr>
          <w:i/>
          <w:w w:val="105"/>
          <w:sz w:val="13"/>
        </w:rPr>
        <w:t>Family Provision Supplementary Report, </w:t>
      </w:r>
      <w:r>
        <w:rPr>
          <w:w w:val="105"/>
          <w:sz w:val="13"/>
        </w:rPr>
        <w:t>above n 109, </w:t>
      </w:r>
      <w:r>
        <w:rPr>
          <w:spacing w:val="3"/>
          <w:w w:val="105"/>
          <w:sz w:val="13"/>
        </w:rPr>
        <w:t>93–4; </w:t>
      </w:r>
      <w:r>
        <w:rPr>
          <w:w w:val="105"/>
          <w:sz w:val="13"/>
        </w:rPr>
        <w:t>National Committee for Uniform Succession Laws, </w:t>
      </w:r>
      <w:r>
        <w:rPr>
          <w:i/>
          <w:w w:val="105"/>
          <w:sz w:val="13"/>
        </w:rPr>
        <w:t>Family Provision Supplementary Report, </w:t>
      </w:r>
      <w:r>
        <w:rPr>
          <w:w w:val="105"/>
          <w:sz w:val="13"/>
        </w:rPr>
        <w:t>above n </w:t>
      </w:r>
      <w:r>
        <w:rPr>
          <w:spacing w:val="2"/>
          <w:w w:val="105"/>
          <w:sz w:val="13"/>
        </w:rPr>
        <w:t>88, </w:t>
      </w:r>
      <w:r>
        <w:rPr>
          <w:w w:val="105"/>
          <w:sz w:val="13"/>
        </w:rPr>
        <w:t>14, 19–26. The  National  Committee  had  also  considered draft notional estate provisions in New Zealand, but preferred the New South Wales model on the basis that the provisions were more comprehensive, had been in operation for </w:t>
      </w:r>
      <w:r>
        <w:rPr>
          <w:spacing w:val="-4"/>
          <w:w w:val="105"/>
          <w:sz w:val="13"/>
        </w:rPr>
        <w:t>17 </w:t>
      </w:r>
      <w:r>
        <w:rPr>
          <w:w w:val="105"/>
          <w:sz w:val="13"/>
        </w:rPr>
        <w:t>years and ‘by all accounts are now well regarded within that jurisdiction’: National Committee for</w:t>
      </w:r>
      <w:r>
        <w:rPr>
          <w:spacing w:val="4"/>
          <w:w w:val="105"/>
          <w:sz w:val="13"/>
        </w:rPr>
        <w:t> </w:t>
      </w:r>
      <w:r>
        <w:rPr>
          <w:w w:val="105"/>
          <w:sz w:val="13"/>
        </w:rPr>
        <w:t>Uniform</w:t>
      </w:r>
      <w:r>
        <w:rPr>
          <w:spacing w:val="5"/>
          <w:w w:val="105"/>
          <w:sz w:val="13"/>
        </w:rPr>
        <w:t> </w:t>
      </w:r>
      <w:r>
        <w:rPr>
          <w:w w:val="105"/>
          <w:sz w:val="13"/>
        </w:rPr>
        <w:t>Succession</w:t>
      </w:r>
      <w:r>
        <w:rPr>
          <w:spacing w:val="5"/>
          <w:w w:val="105"/>
          <w:sz w:val="13"/>
        </w:rPr>
        <w:t> </w:t>
      </w:r>
      <w:r>
        <w:rPr>
          <w:w w:val="105"/>
          <w:sz w:val="13"/>
        </w:rPr>
        <w:t>Laws,</w:t>
      </w:r>
      <w:r>
        <w:rPr>
          <w:spacing w:val="4"/>
          <w:w w:val="105"/>
          <w:sz w:val="13"/>
        </w:rPr>
        <w:t> </w:t>
      </w:r>
      <w:r>
        <w:rPr>
          <w:i/>
          <w:w w:val="105"/>
          <w:sz w:val="13"/>
        </w:rPr>
        <w:t>Family</w:t>
      </w:r>
      <w:r>
        <w:rPr>
          <w:i/>
          <w:spacing w:val="4"/>
          <w:w w:val="105"/>
          <w:sz w:val="13"/>
        </w:rPr>
        <w:t> </w:t>
      </w:r>
      <w:r>
        <w:rPr>
          <w:i/>
          <w:w w:val="105"/>
          <w:sz w:val="13"/>
        </w:rPr>
        <w:t>Provision</w:t>
      </w:r>
      <w:r>
        <w:rPr>
          <w:i/>
          <w:spacing w:val="4"/>
          <w:w w:val="105"/>
          <w:sz w:val="13"/>
        </w:rPr>
        <w:t> </w:t>
      </w:r>
      <w:r>
        <w:rPr>
          <w:i/>
          <w:w w:val="105"/>
          <w:sz w:val="13"/>
        </w:rPr>
        <w:t>Supplementary</w:t>
      </w:r>
      <w:r>
        <w:rPr>
          <w:i/>
          <w:spacing w:val="4"/>
          <w:w w:val="105"/>
          <w:sz w:val="13"/>
        </w:rPr>
        <w:t> </w:t>
      </w:r>
      <w:r>
        <w:rPr>
          <w:i/>
          <w:w w:val="105"/>
          <w:sz w:val="13"/>
        </w:rPr>
        <w:t>Report,</w:t>
      </w:r>
      <w:r>
        <w:rPr>
          <w:i/>
          <w:spacing w:val="3"/>
          <w:w w:val="105"/>
          <w:sz w:val="13"/>
        </w:rPr>
        <w:t> </w:t>
      </w:r>
      <w:r>
        <w:rPr>
          <w:w w:val="105"/>
          <w:sz w:val="13"/>
        </w:rPr>
        <w:t>above</w:t>
      </w:r>
      <w:r>
        <w:rPr>
          <w:spacing w:val="5"/>
          <w:w w:val="105"/>
          <w:sz w:val="13"/>
        </w:rPr>
        <w:t> </w:t>
      </w:r>
      <w:r>
        <w:rPr>
          <w:w w:val="105"/>
          <w:sz w:val="13"/>
        </w:rPr>
        <w:t>n</w:t>
      </w:r>
      <w:r>
        <w:rPr>
          <w:spacing w:val="5"/>
          <w:w w:val="105"/>
          <w:sz w:val="13"/>
        </w:rPr>
        <w:t> </w:t>
      </w:r>
      <w:r>
        <w:rPr>
          <w:w w:val="105"/>
          <w:sz w:val="13"/>
        </w:rPr>
        <w:t>109,</w:t>
      </w:r>
      <w:r>
        <w:rPr>
          <w:spacing w:val="5"/>
          <w:w w:val="105"/>
          <w:sz w:val="13"/>
        </w:rPr>
        <w:t> </w:t>
      </w:r>
      <w:r>
        <w:rPr>
          <w:w w:val="105"/>
          <w:sz w:val="13"/>
        </w:rPr>
        <w:t>93.</w:t>
      </w:r>
    </w:p>
    <w:p>
      <w:pPr>
        <w:pStyle w:val="ListParagraph"/>
        <w:numPr>
          <w:ilvl w:val="0"/>
          <w:numId w:val="106"/>
        </w:numPr>
        <w:tabs>
          <w:tab w:pos="2381" w:val="left" w:leader="none"/>
          <w:tab w:pos="2382" w:val="left" w:leader="none"/>
        </w:tabs>
        <w:spacing w:line="240" w:lineRule="auto" w:before="7" w:after="0"/>
        <w:ind w:left="2381" w:right="469" w:hanging="794"/>
        <w:jc w:val="left"/>
        <w:rPr>
          <w:sz w:val="13"/>
        </w:rPr>
      </w:pPr>
      <w:r>
        <w:rPr>
          <w:w w:val="105"/>
          <w:sz w:val="13"/>
        </w:rPr>
        <w:t>National Committee for Uniform Succession Laws, </w:t>
      </w:r>
      <w:r>
        <w:rPr>
          <w:i/>
          <w:w w:val="105"/>
          <w:sz w:val="13"/>
        </w:rPr>
        <w:t>Uniform Succession Laws: Family Provision</w:t>
      </w:r>
      <w:r>
        <w:rPr>
          <w:w w:val="105"/>
          <w:sz w:val="13"/>
        </w:rPr>
        <w:t>, Queensland Law Reform Commission Working Paper No 47 (1995)</w:t>
      </w:r>
      <w:r>
        <w:rPr>
          <w:spacing w:val="23"/>
          <w:w w:val="105"/>
          <w:sz w:val="13"/>
        </w:rPr>
        <w:t> </w:t>
      </w:r>
      <w:r>
        <w:rPr>
          <w:w w:val="105"/>
          <w:sz w:val="13"/>
        </w:rPr>
        <w:t>43.</w:t>
      </w:r>
    </w:p>
    <w:p>
      <w:pPr>
        <w:pStyle w:val="ListParagraph"/>
        <w:numPr>
          <w:ilvl w:val="0"/>
          <w:numId w:val="106"/>
        </w:numPr>
        <w:tabs>
          <w:tab w:pos="2381" w:val="left" w:leader="none"/>
          <w:tab w:pos="2382" w:val="left" w:leader="none"/>
        </w:tabs>
        <w:spacing w:line="240" w:lineRule="auto" w:before="2" w:after="0"/>
        <w:ind w:left="2381" w:right="24" w:hanging="794"/>
        <w:jc w:val="left"/>
        <w:rPr>
          <w:sz w:val="13"/>
        </w:rPr>
      </w:pPr>
      <w:r>
        <w:rPr>
          <w:w w:val="105"/>
          <w:sz w:val="13"/>
        </w:rPr>
        <w:t>Croucher, ‘Towards Uniform Succession’, above n </w:t>
      </w:r>
      <w:r>
        <w:rPr>
          <w:spacing w:val="2"/>
          <w:w w:val="105"/>
          <w:sz w:val="13"/>
        </w:rPr>
        <w:t>88, </w:t>
      </w:r>
      <w:r>
        <w:rPr>
          <w:w w:val="105"/>
          <w:sz w:val="13"/>
        </w:rPr>
        <w:t>740. For further discussion of notional estate, see Victorian Law Reform Commission, above n 2,</w:t>
      </w:r>
      <w:r>
        <w:rPr>
          <w:spacing w:val="13"/>
          <w:w w:val="105"/>
          <w:sz w:val="13"/>
        </w:rPr>
        <w:t> </w:t>
      </w:r>
      <w:r>
        <w:rPr>
          <w:spacing w:val="4"/>
          <w:w w:val="105"/>
          <w:sz w:val="13"/>
        </w:rPr>
        <w:t>30–4.</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0"/>
        <w:rPr>
          <w:sz w:val="38"/>
        </w:rPr>
      </w:pPr>
    </w:p>
    <w:p>
      <w:pPr>
        <w:spacing w:before="0"/>
        <w:ind w:left="563" w:right="573" w:firstLine="0"/>
        <w:jc w:val="center"/>
        <w:rPr>
          <w:b/>
          <w:sz w:val="24"/>
        </w:rPr>
      </w:pPr>
      <w:r>
        <w:rPr>
          <w:b/>
          <w:color w:val="EC5A4F"/>
          <w:w w:val="110"/>
          <w:sz w:val="24"/>
        </w:rPr>
        <w:t>131</w:t>
      </w:r>
    </w:p>
    <w:p>
      <w:pPr>
        <w:spacing w:after="0"/>
        <w:jc w:val="center"/>
        <w:rPr>
          <w:sz w:val="24"/>
        </w:rPr>
        <w:sectPr>
          <w:type w:val="continuous"/>
          <w:pgSz w:w="11910" w:h="16840"/>
          <w:pgMar w:top="920" w:bottom="280" w:left="0" w:right="0"/>
          <w:cols w:num="2" w:equalWidth="0">
            <w:col w:w="10291" w:space="40"/>
            <w:col w:w="1579"/>
          </w:cols>
        </w:sectPr>
      </w:pPr>
    </w:p>
    <w:p>
      <w:pPr>
        <w:pStyle w:val="BodyText"/>
        <w:spacing w:before="9"/>
        <w:rPr>
          <w:b/>
          <w:sz w:val="22"/>
        </w:rPr>
      </w:pPr>
    </w:p>
    <w:p>
      <w:pPr>
        <w:pStyle w:val="Heading6"/>
        <w:spacing w:before="100"/>
      </w:pPr>
      <w:r>
        <w:rPr>
          <w:w w:val="115"/>
        </w:rPr>
        <w:t>Views and conclusions</w:t>
      </w:r>
    </w:p>
    <w:p>
      <w:pPr>
        <w:pStyle w:val="ListParagraph"/>
        <w:numPr>
          <w:ilvl w:val="0"/>
          <w:numId w:val="97"/>
        </w:numPr>
        <w:tabs>
          <w:tab w:pos="2381" w:val="left" w:leader="none"/>
        </w:tabs>
        <w:spacing w:line="242" w:lineRule="auto" w:before="151" w:after="0"/>
        <w:ind w:left="2381" w:right="1625" w:hanging="794"/>
        <w:jc w:val="both"/>
        <w:rPr>
          <w:sz w:val="12"/>
        </w:rPr>
      </w:pPr>
      <w:r>
        <w:rPr>
          <w:sz w:val="21"/>
        </w:rPr>
        <w:t>The </w:t>
      </w:r>
      <w:r>
        <w:rPr>
          <w:spacing w:val="-4"/>
          <w:sz w:val="21"/>
        </w:rPr>
        <w:t>Commission’s </w:t>
      </w:r>
      <w:r>
        <w:rPr>
          <w:spacing w:val="-3"/>
          <w:sz w:val="21"/>
        </w:rPr>
        <w:t>consultation </w:t>
      </w:r>
      <w:r>
        <w:rPr>
          <w:sz w:val="21"/>
        </w:rPr>
        <w:t>paper on </w:t>
      </w:r>
      <w:r>
        <w:rPr>
          <w:spacing w:val="-3"/>
          <w:sz w:val="21"/>
        </w:rPr>
        <w:t>family provision asked </w:t>
      </w:r>
      <w:r>
        <w:rPr>
          <w:sz w:val="21"/>
        </w:rPr>
        <w:t>whether people do in fact deal with their assets </w:t>
      </w:r>
      <w:r>
        <w:rPr>
          <w:spacing w:val="-3"/>
          <w:sz w:val="21"/>
        </w:rPr>
        <w:t>during </w:t>
      </w:r>
      <w:r>
        <w:rPr>
          <w:sz w:val="21"/>
        </w:rPr>
        <w:t>their </w:t>
      </w:r>
      <w:r>
        <w:rPr>
          <w:spacing w:val="-3"/>
          <w:sz w:val="21"/>
        </w:rPr>
        <w:t>lifetime </w:t>
      </w:r>
      <w:r>
        <w:rPr>
          <w:sz w:val="21"/>
        </w:rPr>
        <w:t>in order </w:t>
      </w:r>
      <w:r>
        <w:rPr>
          <w:spacing w:val="-3"/>
          <w:sz w:val="21"/>
        </w:rPr>
        <w:t>to minimise </w:t>
      </w:r>
      <w:r>
        <w:rPr>
          <w:sz w:val="21"/>
        </w:rPr>
        <w:t>the property </w:t>
      </w:r>
      <w:r>
        <w:rPr>
          <w:spacing w:val="-3"/>
          <w:sz w:val="21"/>
        </w:rPr>
        <w:t>that </w:t>
      </w:r>
      <w:r>
        <w:rPr>
          <w:sz w:val="21"/>
        </w:rPr>
        <w:t>is in their estate and </w:t>
      </w:r>
      <w:r>
        <w:rPr>
          <w:spacing w:val="-3"/>
          <w:sz w:val="21"/>
        </w:rPr>
        <w:t>frustrate </w:t>
      </w:r>
      <w:r>
        <w:rPr>
          <w:sz w:val="21"/>
        </w:rPr>
        <w:t>the operation of </w:t>
      </w:r>
      <w:r>
        <w:rPr>
          <w:spacing w:val="-3"/>
          <w:sz w:val="21"/>
        </w:rPr>
        <w:t>family provision </w:t>
      </w:r>
      <w:r>
        <w:rPr>
          <w:sz w:val="21"/>
        </w:rPr>
        <w:t>laws </w:t>
      </w:r>
      <w:r>
        <w:rPr>
          <w:spacing w:val="-3"/>
          <w:sz w:val="21"/>
        </w:rPr>
        <w:t>and,  </w:t>
      </w:r>
      <w:r>
        <w:rPr>
          <w:sz w:val="21"/>
        </w:rPr>
        <w:t>if </w:t>
      </w:r>
      <w:r>
        <w:rPr>
          <w:spacing w:val="-3"/>
          <w:sz w:val="21"/>
        </w:rPr>
        <w:t>so,</w:t>
      </w:r>
      <w:r>
        <w:rPr>
          <w:spacing w:val="41"/>
          <w:sz w:val="21"/>
        </w:rPr>
        <w:t> </w:t>
      </w:r>
      <w:r>
        <w:rPr>
          <w:sz w:val="21"/>
        </w:rPr>
        <w:t>whether they should be entitled </w:t>
      </w:r>
      <w:r>
        <w:rPr>
          <w:spacing w:val="-3"/>
          <w:sz w:val="21"/>
        </w:rPr>
        <w:t>to </w:t>
      </w:r>
      <w:r>
        <w:rPr>
          <w:sz w:val="21"/>
        </w:rPr>
        <w:t>do</w:t>
      </w:r>
      <w:r>
        <w:rPr>
          <w:spacing w:val="36"/>
          <w:sz w:val="21"/>
        </w:rPr>
        <w:t> </w:t>
      </w:r>
      <w:r>
        <w:rPr>
          <w:sz w:val="21"/>
        </w:rPr>
        <w:t>so.</w:t>
      </w:r>
      <w:r>
        <w:rPr>
          <w:position w:val="7"/>
          <w:sz w:val="12"/>
        </w:rPr>
        <w:t>307</w:t>
      </w:r>
    </w:p>
    <w:p>
      <w:pPr>
        <w:pStyle w:val="ListParagraph"/>
        <w:numPr>
          <w:ilvl w:val="0"/>
          <w:numId w:val="97"/>
        </w:numPr>
        <w:tabs>
          <w:tab w:pos="2381" w:val="left" w:leader="none"/>
          <w:tab w:pos="2382" w:val="left" w:leader="none"/>
        </w:tabs>
        <w:spacing w:line="242" w:lineRule="auto" w:before="124" w:after="0"/>
        <w:ind w:left="2381" w:right="1800" w:hanging="794"/>
        <w:jc w:val="left"/>
        <w:rPr>
          <w:sz w:val="21"/>
        </w:rPr>
      </w:pPr>
      <w:r>
        <w:rPr>
          <w:spacing w:val="-3"/>
          <w:w w:val="105"/>
          <w:sz w:val="21"/>
        </w:rPr>
        <w:t>Several submissions </w:t>
      </w:r>
      <w:r>
        <w:rPr>
          <w:w w:val="105"/>
          <w:sz w:val="21"/>
        </w:rPr>
        <w:t>agreed </w:t>
      </w:r>
      <w:r>
        <w:rPr>
          <w:spacing w:val="-3"/>
          <w:w w:val="105"/>
          <w:sz w:val="21"/>
        </w:rPr>
        <w:t>that </w:t>
      </w:r>
      <w:r>
        <w:rPr>
          <w:w w:val="105"/>
          <w:sz w:val="21"/>
        </w:rPr>
        <w:t>sometimes people structure their assets so </w:t>
      </w:r>
      <w:r>
        <w:rPr>
          <w:spacing w:val="-3"/>
          <w:w w:val="105"/>
          <w:sz w:val="21"/>
        </w:rPr>
        <w:t>that </w:t>
      </w:r>
      <w:r>
        <w:rPr>
          <w:w w:val="105"/>
          <w:sz w:val="21"/>
        </w:rPr>
        <w:t>the majority</w:t>
      </w:r>
      <w:r>
        <w:rPr>
          <w:spacing w:val="-10"/>
          <w:w w:val="105"/>
          <w:sz w:val="21"/>
        </w:rPr>
        <w:t> </w:t>
      </w:r>
      <w:r>
        <w:rPr>
          <w:w w:val="105"/>
          <w:sz w:val="21"/>
        </w:rPr>
        <w:t>of</w:t>
      </w:r>
      <w:r>
        <w:rPr>
          <w:spacing w:val="-10"/>
          <w:w w:val="105"/>
          <w:sz w:val="21"/>
        </w:rPr>
        <w:t> </w:t>
      </w:r>
      <w:r>
        <w:rPr>
          <w:w w:val="105"/>
          <w:sz w:val="21"/>
        </w:rPr>
        <w:t>those</w:t>
      </w:r>
      <w:r>
        <w:rPr>
          <w:spacing w:val="-9"/>
          <w:w w:val="105"/>
          <w:sz w:val="21"/>
        </w:rPr>
        <w:t> </w:t>
      </w:r>
      <w:r>
        <w:rPr>
          <w:w w:val="105"/>
          <w:sz w:val="21"/>
        </w:rPr>
        <w:t>assets</w:t>
      </w:r>
      <w:r>
        <w:rPr>
          <w:spacing w:val="-10"/>
          <w:w w:val="105"/>
          <w:sz w:val="21"/>
        </w:rPr>
        <w:t> </w:t>
      </w:r>
      <w:r>
        <w:rPr>
          <w:spacing w:val="-4"/>
          <w:w w:val="105"/>
          <w:sz w:val="21"/>
        </w:rPr>
        <w:t>fall</w:t>
      </w:r>
      <w:r>
        <w:rPr>
          <w:spacing w:val="-9"/>
          <w:w w:val="105"/>
          <w:sz w:val="21"/>
        </w:rPr>
        <w:t> </w:t>
      </w:r>
      <w:r>
        <w:rPr>
          <w:w w:val="105"/>
          <w:sz w:val="21"/>
        </w:rPr>
        <w:t>outside</w:t>
      </w:r>
      <w:r>
        <w:rPr>
          <w:spacing w:val="-10"/>
          <w:w w:val="105"/>
          <w:sz w:val="21"/>
        </w:rPr>
        <w:t> </w:t>
      </w:r>
      <w:r>
        <w:rPr>
          <w:w w:val="105"/>
          <w:sz w:val="21"/>
        </w:rPr>
        <w:t>the</w:t>
      </w:r>
      <w:r>
        <w:rPr>
          <w:spacing w:val="-9"/>
          <w:w w:val="105"/>
          <w:sz w:val="21"/>
        </w:rPr>
        <w:t> </w:t>
      </w:r>
      <w:r>
        <w:rPr>
          <w:spacing w:val="-3"/>
          <w:w w:val="105"/>
          <w:sz w:val="21"/>
        </w:rPr>
        <w:t>reach</w:t>
      </w:r>
      <w:r>
        <w:rPr>
          <w:spacing w:val="-10"/>
          <w:w w:val="105"/>
          <w:sz w:val="21"/>
        </w:rPr>
        <w:t> </w:t>
      </w:r>
      <w:r>
        <w:rPr>
          <w:w w:val="105"/>
          <w:sz w:val="21"/>
        </w:rPr>
        <w:t>of</w:t>
      </w:r>
      <w:r>
        <w:rPr>
          <w:spacing w:val="-10"/>
          <w:w w:val="105"/>
          <w:sz w:val="21"/>
        </w:rPr>
        <w:t> </w:t>
      </w:r>
      <w:r>
        <w:rPr>
          <w:spacing w:val="-3"/>
          <w:w w:val="105"/>
          <w:sz w:val="21"/>
        </w:rPr>
        <w:t>family</w:t>
      </w:r>
      <w:r>
        <w:rPr>
          <w:spacing w:val="-9"/>
          <w:w w:val="105"/>
          <w:sz w:val="21"/>
        </w:rPr>
        <w:t> </w:t>
      </w:r>
      <w:r>
        <w:rPr>
          <w:spacing w:val="-3"/>
          <w:w w:val="105"/>
          <w:sz w:val="21"/>
        </w:rPr>
        <w:t>provision</w:t>
      </w:r>
      <w:r>
        <w:rPr>
          <w:spacing w:val="-10"/>
          <w:w w:val="105"/>
          <w:sz w:val="21"/>
        </w:rPr>
        <w:t> </w:t>
      </w:r>
      <w:r>
        <w:rPr>
          <w:w w:val="105"/>
          <w:sz w:val="21"/>
        </w:rPr>
        <w:t>legislation.</w:t>
      </w:r>
      <w:r>
        <w:rPr>
          <w:w w:val="105"/>
          <w:position w:val="7"/>
          <w:sz w:val="12"/>
        </w:rPr>
        <w:t>308</w:t>
      </w:r>
      <w:r>
        <w:rPr>
          <w:spacing w:val="13"/>
          <w:w w:val="105"/>
          <w:position w:val="7"/>
          <w:sz w:val="12"/>
        </w:rPr>
        <w:t> </w:t>
      </w:r>
      <w:r>
        <w:rPr>
          <w:spacing w:val="-4"/>
          <w:w w:val="105"/>
          <w:sz w:val="21"/>
        </w:rPr>
        <w:t>However, </w:t>
      </w:r>
      <w:r>
        <w:rPr>
          <w:w w:val="105"/>
          <w:sz w:val="21"/>
        </w:rPr>
        <w:t>a judge of the </w:t>
      </w:r>
      <w:r>
        <w:rPr>
          <w:spacing w:val="-3"/>
          <w:w w:val="105"/>
          <w:sz w:val="21"/>
        </w:rPr>
        <w:t>Supreme Court </w:t>
      </w:r>
      <w:r>
        <w:rPr>
          <w:w w:val="105"/>
          <w:sz w:val="21"/>
        </w:rPr>
        <w:t>of Victoria made the point </w:t>
      </w:r>
      <w:r>
        <w:rPr>
          <w:spacing w:val="-3"/>
          <w:w w:val="105"/>
          <w:sz w:val="21"/>
        </w:rPr>
        <w:t>that </w:t>
      </w:r>
      <w:r>
        <w:rPr>
          <w:w w:val="105"/>
          <w:sz w:val="21"/>
        </w:rPr>
        <w:t>there is a</w:t>
      </w:r>
      <w:r>
        <w:rPr>
          <w:spacing w:val="14"/>
          <w:w w:val="105"/>
          <w:sz w:val="21"/>
        </w:rPr>
        <w:t> </w:t>
      </w:r>
      <w:r>
        <w:rPr>
          <w:spacing w:val="-3"/>
          <w:w w:val="105"/>
          <w:sz w:val="21"/>
        </w:rPr>
        <w:t>difference</w:t>
      </w:r>
    </w:p>
    <w:p>
      <w:pPr>
        <w:pStyle w:val="BodyText"/>
        <w:spacing w:line="242" w:lineRule="auto" w:before="4"/>
        <w:ind w:left="2381" w:right="1826"/>
        <w:rPr>
          <w:sz w:val="12"/>
        </w:rPr>
      </w:pPr>
      <w:r>
        <w:rPr/>
        <w:t>between a person </w:t>
      </w:r>
      <w:r>
        <w:rPr>
          <w:spacing w:val="-3"/>
        </w:rPr>
        <w:t>dealing </w:t>
      </w:r>
      <w:r>
        <w:rPr/>
        <w:t>with their assets </w:t>
      </w:r>
      <w:r>
        <w:rPr>
          <w:spacing w:val="-3"/>
        </w:rPr>
        <w:t>to </w:t>
      </w:r>
      <w:r>
        <w:rPr/>
        <w:t>avoid </w:t>
      </w:r>
      <w:r>
        <w:rPr>
          <w:spacing w:val="-3"/>
        </w:rPr>
        <w:t>family provision  legislation,  </w:t>
      </w:r>
      <w:r>
        <w:rPr/>
        <w:t>and doing  so </w:t>
      </w:r>
      <w:r>
        <w:rPr>
          <w:spacing w:val="-3"/>
        </w:rPr>
        <w:t>to </w:t>
      </w:r>
      <w:r>
        <w:rPr/>
        <w:t>avoid their </w:t>
      </w:r>
      <w:r>
        <w:rPr>
          <w:spacing w:val="-3"/>
        </w:rPr>
        <w:t>responsibility to </w:t>
      </w:r>
      <w:r>
        <w:rPr/>
        <w:t>provide </w:t>
      </w:r>
      <w:r>
        <w:rPr>
          <w:spacing w:val="-3"/>
        </w:rPr>
        <w:t>for </w:t>
      </w:r>
      <w:r>
        <w:rPr/>
        <w:t>certain  people.  While  a  gift  of  property </w:t>
      </w:r>
      <w:r>
        <w:rPr>
          <w:spacing w:val="-3"/>
        </w:rPr>
        <w:t>during life may have </w:t>
      </w:r>
      <w:r>
        <w:rPr/>
        <w:t>the effect of </w:t>
      </w:r>
      <w:r>
        <w:rPr>
          <w:spacing w:val="-3"/>
        </w:rPr>
        <w:t>reducing  </w:t>
      </w:r>
      <w:r>
        <w:rPr/>
        <w:t>the property in a </w:t>
      </w:r>
      <w:r>
        <w:rPr>
          <w:spacing w:val="-3"/>
        </w:rPr>
        <w:t>person’s</w:t>
      </w:r>
      <w:r>
        <w:rPr>
          <w:spacing w:val="41"/>
        </w:rPr>
        <w:t> </w:t>
      </w:r>
      <w:r>
        <w:rPr>
          <w:spacing w:val="-3"/>
        </w:rPr>
        <w:t>estate,  </w:t>
      </w:r>
      <w:r>
        <w:rPr/>
        <w:t>the gift </w:t>
      </w:r>
      <w:r>
        <w:rPr>
          <w:spacing w:val="-3"/>
        </w:rPr>
        <w:t>may </w:t>
      </w:r>
      <w:r>
        <w:rPr/>
        <w:t>give effect </w:t>
      </w:r>
      <w:r>
        <w:rPr>
          <w:spacing w:val="-3"/>
        </w:rPr>
        <w:t>to that </w:t>
      </w:r>
      <w:r>
        <w:rPr/>
        <w:t>same </w:t>
      </w:r>
      <w:r>
        <w:rPr>
          <w:spacing w:val="-3"/>
        </w:rPr>
        <w:t>responsibility to </w:t>
      </w:r>
      <w:r>
        <w:rPr/>
        <w:t>provide.</w:t>
      </w:r>
      <w:r>
        <w:rPr>
          <w:position w:val="7"/>
          <w:sz w:val="12"/>
        </w:rPr>
        <w:t>309 </w:t>
      </w:r>
      <w:r>
        <w:rPr>
          <w:spacing w:val="-3"/>
        </w:rPr>
        <w:t>State </w:t>
      </w:r>
      <w:r>
        <w:rPr>
          <w:spacing w:val="-4"/>
        </w:rPr>
        <w:t>Trustees </w:t>
      </w:r>
      <w:r>
        <w:rPr/>
        <w:t>said </w:t>
      </w:r>
      <w:r>
        <w:rPr>
          <w:spacing w:val="-3"/>
        </w:rPr>
        <w:t>that  </w:t>
      </w:r>
      <w:r>
        <w:rPr/>
        <w:t>it  did  </w:t>
      </w:r>
      <w:r>
        <w:rPr>
          <w:spacing w:val="-2"/>
        </w:rPr>
        <w:t>not </w:t>
      </w:r>
      <w:r>
        <w:rPr>
          <w:spacing w:val="-3"/>
        </w:rPr>
        <w:t>consider </w:t>
      </w:r>
      <w:r>
        <w:rPr/>
        <w:t>it </w:t>
      </w:r>
      <w:r>
        <w:rPr>
          <w:spacing w:val="-4"/>
        </w:rPr>
        <w:t>likely </w:t>
      </w:r>
      <w:r>
        <w:rPr>
          <w:spacing w:val="-3"/>
        </w:rPr>
        <w:t>that </w:t>
      </w:r>
      <w:r>
        <w:rPr/>
        <w:t>people </w:t>
      </w:r>
      <w:r>
        <w:rPr>
          <w:spacing w:val="-3"/>
        </w:rPr>
        <w:t>have sought to  frustrate  </w:t>
      </w:r>
      <w:r>
        <w:rPr/>
        <w:t>the  operation  of  </w:t>
      </w:r>
      <w:r>
        <w:rPr>
          <w:spacing w:val="-3"/>
        </w:rPr>
        <w:t>family  provision </w:t>
      </w:r>
      <w:r>
        <w:rPr/>
        <w:t>laws, </w:t>
      </w:r>
      <w:r>
        <w:rPr>
          <w:spacing w:val="-4"/>
        </w:rPr>
        <w:t>‘even </w:t>
      </w:r>
      <w:r>
        <w:rPr/>
        <w:t>if their actions </w:t>
      </w:r>
      <w:r>
        <w:rPr>
          <w:spacing w:val="-3"/>
        </w:rPr>
        <w:t>may have that</w:t>
      </w:r>
      <w:r>
        <w:rPr>
          <w:spacing w:val="-1"/>
        </w:rPr>
        <w:t> </w:t>
      </w:r>
      <w:r>
        <w:rPr>
          <w:spacing w:val="-3"/>
        </w:rPr>
        <w:t>effect’.</w:t>
      </w:r>
      <w:r>
        <w:rPr>
          <w:spacing w:val="-3"/>
          <w:position w:val="7"/>
          <w:sz w:val="12"/>
        </w:rPr>
        <w:t>310</w:t>
      </w:r>
    </w:p>
    <w:p>
      <w:pPr>
        <w:pStyle w:val="ListParagraph"/>
        <w:numPr>
          <w:ilvl w:val="0"/>
          <w:numId w:val="97"/>
        </w:numPr>
        <w:tabs>
          <w:tab w:pos="2380" w:val="left" w:leader="none"/>
          <w:tab w:pos="2381" w:val="left" w:leader="none"/>
        </w:tabs>
        <w:spacing w:line="242" w:lineRule="auto" w:before="126" w:after="0"/>
        <w:ind w:left="2381" w:right="1699" w:hanging="794"/>
        <w:jc w:val="left"/>
        <w:rPr>
          <w:sz w:val="21"/>
        </w:rPr>
      </w:pPr>
      <w:r>
        <w:rPr>
          <w:w w:val="105"/>
          <w:sz w:val="21"/>
        </w:rPr>
        <w:t>A</w:t>
      </w:r>
      <w:r>
        <w:rPr>
          <w:spacing w:val="-5"/>
          <w:w w:val="105"/>
          <w:sz w:val="21"/>
        </w:rPr>
        <w:t> </w:t>
      </w:r>
      <w:r>
        <w:rPr>
          <w:w w:val="105"/>
          <w:sz w:val="21"/>
        </w:rPr>
        <w:t>number</w:t>
      </w:r>
      <w:r>
        <w:rPr>
          <w:spacing w:val="-4"/>
          <w:w w:val="105"/>
          <w:sz w:val="21"/>
        </w:rPr>
        <w:t> </w:t>
      </w:r>
      <w:r>
        <w:rPr>
          <w:w w:val="105"/>
          <w:sz w:val="21"/>
        </w:rPr>
        <w:t>of</w:t>
      </w:r>
      <w:r>
        <w:rPr>
          <w:spacing w:val="-4"/>
          <w:w w:val="105"/>
          <w:sz w:val="21"/>
        </w:rPr>
        <w:t> </w:t>
      </w:r>
      <w:r>
        <w:rPr>
          <w:w w:val="105"/>
          <w:sz w:val="21"/>
        </w:rPr>
        <w:t>those</w:t>
      </w:r>
      <w:r>
        <w:rPr>
          <w:spacing w:val="-4"/>
          <w:w w:val="105"/>
          <w:sz w:val="21"/>
        </w:rPr>
        <w:t> </w:t>
      </w:r>
      <w:r>
        <w:rPr>
          <w:w w:val="105"/>
          <w:sz w:val="21"/>
        </w:rPr>
        <w:t>who</w:t>
      </w:r>
      <w:r>
        <w:rPr>
          <w:spacing w:val="-4"/>
          <w:w w:val="105"/>
          <w:sz w:val="21"/>
        </w:rPr>
        <w:t> </w:t>
      </w:r>
      <w:r>
        <w:rPr>
          <w:w w:val="105"/>
          <w:sz w:val="21"/>
        </w:rPr>
        <w:t>made</w:t>
      </w:r>
      <w:r>
        <w:rPr>
          <w:spacing w:val="-4"/>
          <w:w w:val="105"/>
          <w:sz w:val="21"/>
        </w:rPr>
        <w:t> </w:t>
      </w:r>
      <w:r>
        <w:rPr>
          <w:spacing w:val="-3"/>
          <w:w w:val="105"/>
          <w:sz w:val="21"/>
        </w:rPr>
        <w:t>submissions</w:t>
      </w:r>
      <w:r>
        <w:rPr>
          <w:spacing w:val="-4"/>
          <w:w w:val="105"/>
          <w:sz w:val="21"/>
        </w:rPr>
        <w:t> </w:t>
      </w:r>
      <w:r>
        <w:rPr>
          <w:spacing w:val="-3"/>
          <w:w w:val="105"/>
          <w:sz w:val="21"/>
        </w:rPr>
        <w:t>were</w:t>
      </w:r>
      <w:r>
        <w:rPr>
          <w:spacing w:val="-4"/>
          <w:w w:val="105"/>
          <w:sz w:val="21"/>
        </w:rPr>
        <w:t> </w:t>
      </w:r>
      <w:r>
        <w:rPr>
          <w:w w:val="105"/>
          <w:sz w:val="21"/>
        </w:rPr>
        <w:t>opposed</w:t>
      </w:r>
      <w:r>
        <w:rPr>
          <w:spacing w:val="-4"/>
          <w:w w:val="105"/>
          <w:sz w:val="21"/>
        </w:rPr>
        <w:t> </w:t>
      </w:r>
      <w:r>
        <w:rPr>
          <w:spacing w:val="-3"/>
          <w:w w:val="105"/>
          <w:sz w:val="21"/>
        </w:rPr>
        <w:t>to</w:t>
      </w:r>
      <w:r>
        <w:rPr>
          <w:spacing w:val="-4"/>
          <w:w w:val="105"/>
          <w:sz w:val="21"/>
        </w:rPr>
        <w:t> </w:t>
      </w:r>
      <w:r>
        <w:rPr>
          <w:w w:val="105"/>
          <w:sz w:val="21"/>
        </w:rPr>
        <w:t>the</w:t>
      </w:r>
      <w:r>
        <w:rPr>
          <w:spacing w:val="-5"/>
          <w:w w:val="105"/>
          <w:sz w:val="21"/>
        </w:rPr>
        <w:t> </w:t>
      </w:r>
      <w:r>
        <w:rPr>
          <w:w w:val="105"/>
          <w:sz w:val="21"/>
        </w:rPr>
        <w:t>introduction</w:t>
      </w:r>
      <w:r>
        <w:rPr>
          <w:spacing w:val="-4"/>
          <w:w w:val="105"/>
          <w:sz w:val="21"/>
        </w:rPr>
        <w:t> </w:t>
      </w:r>
      <w:r>
        <w:rPr>
          <w:w w:val="105"/>
          <w:sz w:val="21"/>
        </w:rPr>
        <w:t>of</w:t>
      </w:r>
      <w:r>
        <w:rPr>
          <w:spacing w:val="-4"/>
          <w:w w:val="105"/>
          <w:sz w:val="21"/>
        </w:rPr>
        <w:t> </w:t>
      </w:r>
      <w:r>
        <w:rPr>
          <w:spacing w:val="-3"/>
          <w:w w:val="105"/>
          <w:sz w:val="21"/>
        </w:rPr>
        <w:t>notional </w:t>
      </w:r>
      <w:r>
        <w:rPr>
          <w:w w:val="105"/>
          <w:sz w:val="21"/>
        </w:rPr>
        <w:t>estate </w:t>
      </w:r>
      <w:r>
        <w:rPr>
          <w:spacing w:val="-3"/>
          <w:w w:val="105"/>
          <w:sz w:val="21"/>
        </w:rPr>
        <w:t>provisions.</w:t>
      </w:r>
      <w:r>
        <w:rPr>
          <w:spacing w:val="-3"/>
          <w:w w:val="105"/>
          <w:position w:val="7"/>
          <w:sz w:val="12"/>
        </w:rPr>
        <w:t>311 </w:t>
      </w:r>
      <w:r>
        <w:rPr>
          <w:w w:val="105"/>
          <w:sz w:val="21"/>
        </w:rPr>
        <w:t>Moores Legal </w:t>
      </w:r>
      <w:r>
        <w:rPr>
          <w:spacing w:val="-3"/>
          <w:w w:val="105"/>
          <w:sz w:val="21"/>
        </w:rPr>
        <w:t>considered that </w:t>
      </w:r>
      <w:r>
        <w:rPr>
          <w:w w:val="105"/>
          <w:sz w:val="21"/>
        </w:rPr>
        <w:t>it was arbitrary </w:t>
      </w:r>
      <w:r>
        <w:rPr>
          <w:spacing w:val="-3"/>
          <w:w w:val="105"/>
          <w:sz w:val="21"/>
        </w:rPr>
        <w:t>to place </w:t>
      </w:r>
      <w:r>
        <w:rPr>
          <w:w w:val="105"/>
          <w:sz w:val="21"/>
        </w:rPr>
        <w:t>a time</w:t>
      </w:r>
      <w:r>
        <w:rPr>
          <w:spacing w:val="-24"/>
          <w:w w:val="105"/>
          <w:sz w:val="21"/>
        </w:rPr>
        <w:t> </w:t>
      </w:r>
      <w:r>
        <w:rPr>
          <w:spacing w:val="-3"/>
          <w:w w:val="105"/>
          <w:sz w:val="21"/>
        </w:rPr>
        <w:t>limit</w:t>
      </w:r>
    </w:p>
    <w:p>
      <w:pPr>
        <w:pStyle w:val="BodyText"/>
        <w:spacing w:line="242" w:lineRule="auto" w:before="2"/>
        <w:ind w:left="2381" w:right="1696"/>
        <w:rPr>
          <w:sz w:val="12"/>
        </w:rPr>
      </w:pPr>
      <w:r>
        <w:rPr>
          <w:w w:val="105"/>
        </w:rPr>
        <w:t>on transactions, and expressed the view </w:t>
      </w:r>
      <w:r>
        <w:rPr>
          <w:spacing w:val="-3"/>
          <w:w w:val="105"/>
        </w:rPr>
        <w:t>that, </w:t>
      </w:r>
      <w:r>
        <w:rPr>
          <w:w w:val="105"/>
        </w:rPr>
        <w:t>given the incursion </w:t>
      </w:r>
      <w:r>
        <w:rPr>
          <w:spacing w:val="-4"/>
          <w:w w:val="105"/>
        </w:rPr>
        <w:t>into </w:t>
      </w:r>
      <w:r>
        <w:rPr>
          <w:w w:val="105"/>
        </w:rPr>
        <w:t>property rights </w:t>
      </w:r>
      <w:r>
        <w:rPr>
          <w:spacing w:val="-3"/>
          <w:w w:val="105"/>
        </w:rPr>
        <w:t>that family provision already </w:t>
      </w:r>
      <w:r>
        <w:rPr>
          <w:w w:val="105"/>
        </w:rPr>
        <w:t>represents, it is </w:t>
      </w:r>
      <w:r>
        <w:rPr>
          <w:spacing w:val="-2"/>
          <w:w w:val="105"/>
        </w:rPr>
        <w:t>not </w:t>
      </w:r>
      <w:r>
        <w:rPr>
          <w:w w:val="105"/>
        </w:rPr>
        <w:t>justifiable </w:t>
      </w:r>
      <w:r>
        <w:rPr>
          <w:spacing w:val="-3"/>
          <w:w w:val="105"/>
        </w:rPr>
        <w:t>to take </w:t>
      </w:r>
      <w:r>
        <w:rPr>
          <w:w w:val="105"/>
        </w:rPr>
        <w:t>the step of </w:t>
      </w:r>
      <w:r>
        <w:rPr>
          <w:spacing w:val="-3"/>
          <w:w w:val="105"/>
        </w:rPr>
        <w:t>unwinding lifetime dispositions.</w:t>
      </w:r>
      <w:r>
        <w:rPr>
          <w:spacing w:val="-3"/>
          <w:w w:val="105"/>
          <w:position w:val="7"/>
          <w:sz w:val="12"/>
        </w:rPr>
        <w:t>312 </w:t>
      </w:r>
      <w:r>
        <w:rPr>
          <w:w w:val="105"/>
        </w:rPr>
        <w:t>Arnold Bloch Leibler </w:t>
      </w:r>
      <w:r>
        <w:rPr>
          <w:spacing w:val="-3"/>
          <w:w w:val="105"/>
        </w:rPr>
        <w:t>considered that lifetime </w:t>
      </w:r>
      <w:r>
        <w:rPr>
          <w:w w:val="105"/>
        </w:rPr>
        <w:t>transactions </w:t>
      </w:r>
      <w:r>
        <w:rPr>
          <w:spacing w:val="-3"/>
          <w:w w:val="105"/>
        </w:rPr>
        <w:t>should </w:t>
      </w:r>
      <w:r>
        <w:rPr>
          <w:w w:val="105"/>
        </w:rPr>
        <w:t>only be overturned if they </w:t>
      </w:r>
      <w:r>
        <w:rPr>
          <w:spacing w:val="-3"/>
          <w:w w:val="105"/>
        </w:rPr>
        <w:t>involved undue influence </w:t>
      </w:r>
      <w:r>
        <w:rPr>
          <w:w w:val="105"/>
        </w:rPr>
        <w:t>or </w:t>
      </w:r>
      <w:r>
        <w:rPr>
          <w:spacing w:val="-3"/>
          <w:w w:val="105"/>
        </w:rPr>
        <w:t>duress.</w:t>
      </w:r>
      <w:r>
        <w:rPr>
          <w:spacing w:val="-3"/>
          <w:w w:val="105"/>
          <w:position w:val="7"/>
          <w:sz w:val="12"/>
        </w:rPr>
        <w:t>313 </w:t>
      </w:r>
      <w:r>
        <w:rPr>
          <w:w w:val="105"/>
        </w:rPr>
        <w:t>The Law </w:t>
      </w:r>
      <w:r>
        <w:rPr>
          <w:spacing w:val="-3"/>
          <w:w w:val="105"/>
        </w:rPr>
        <w:t>Institute </w:t>
      </w:r>
      <w:r>
        <w:rPr>
          <w:spacing w:val="-4"/>
          <w:w w:val="105"/>
        </w:rPr>
        <w:t>of </w:t>
      </w:r>
      <w:r>
        <w:rPr>
          <w:w w:val="105"/>
        </w:rPr>
        <w:t>Victoria </w:t>
      </w:r>
      <w:r>
        <w:rPr>
          <w:spacing w:val="-3"/>
          <w:w w:val="105"/>
        </w:rPr>
        <w:t>generally </w:t>
      </w:r>
      <w:r>
        <w:rPr>
          <w:w w:val="105"/>
        </w:rPr>
        <w:t>agreed </w:t>
      </w:r>
      <w:r>
        <w:rPr>
          <w:spacing w:val="-3"/>
          <w:w w:val="105"/>
        </w:rPr>
        <w:t>that </w:t>
      </w:r>
      <w:r>
        <w:rPr>
          <w:w w:val="105"/>
        </w:rPr>
        <w:t>people should be able </w:t>
      </w:r>
      <w:r>
        <w:rPr>
          <w:spacing w:val="-3"/>
          <w:w w:val="105"/>
        </w:rPr>
        <w:t>to </w:t>
      </w:r>
      <w:r>
        <w:rPr>
          <w:w w:val="105"/>
        </w:rPr>
        <w:t>deal with their property in </w:t>
      </w:r>
      <w:r>
        <w:rPr>
          <w:spacing w:val="-3"/>
          <w:w w:val="105"/>
        </w:rPr>
        <w:t>any manner </w:t>
      </w:r>
      <w:r>
        <w:rPr>
          <w:w w:val="105"/>
        </w:rPr>
        <w:t>they see fit </w:t>
      </w:r>
      <w:r>
        <w:rPr>
          <w:spacing w:val="-3"/>
          <w:w w:val="105"/>
        </w:rPr>
        <w:t>during </w:t>
      </w:r>
      <w:r>
        <w:rPr>
          <w:w w:val="105"/>
        </w:rPr>
        <w:t>their </w:t>
      </w:r>
      <w:r>
        <w:rPr>
          <w:spacing w:val="-4"/>
          <w:w w:val="105"/>
        </w:rPr>
        <w:t>lifetime.</w:t>
      </w:r>
      <w:r>
        <w:rPr>
          <w:spacing w:val="-4"/>
          <w:w w:val="105"/>
          <w:position w:val="7"/>
          <w:sz w:val="12"/>
        </w:rPr>
        <w:t>314</w:t>
      </w:r>
    </w:p>
    <w:p>
      <w:pPr>
        <w:pStyle w:val="ListParagraph"/>
        <w:numPr>
          <w:ilvl w:val="0"/>
          <w:numId w:val="97"/>
        </w:numPr>
        <w:tabs>
          <w:tab w:pos="2381" w:val="left" w:leader="none"/>
          <w:tab w:pos="2382" w:val="left" w:leader="none"/>
        </w:tabs>
        <w:spacing w:line="242" w:lineRule="auto" w:before="127" w:after="0"/>
        <w:ind w:left="2381" w:right="1731" w:hanging="794"/>
        <w:jc w:val="left"/>
        <w:rPr>
          <w:sz w:val="21"/>
        </w:rPr>
      </w:pPr>
      <w:r>
        <w:rPr>
          <w:spacing w:val="-3"/>
          <w:w w:val="105"/>
          <w:sz w:val="21"/>
        </w:rPr>
        <w:t>Carolyn Sparke </w:t>
      </w:r>
      <w:r>
        <w:rPr>
          <w:w w:val="105"/>
          <w:sz w:val="21"/>
        </w:rPr>
        <w:t>SC </w:t>
      </w:r>
      <w:r>
        <w:rPr>
          <w:spacing w:val="-3"/>
          <w:w w:val="105"/>
          <w:sz w:val="21"/>
        </w:rPr>
        <w:t>considered that individuals </w:t>
      </w:r>
      <w:r>
        <w:rPr>
          <w:w w:val="105"/>
          <w:sz w:val="21"/>
        </w:rPr>
        <w:t>should be permitted </w:t>
      </w:r>
      <w:r>
        <w:rPr>
          <w:spacing w:val="-3"/>
          <w:w w:val="105"/>
          <w:sz w:val="21"/>
        </w:rPr>
        <w:t>to </w:t>
      </w:r>
      <w:r>
        <w:rPr>
          <w:spacing w:val="-4"/>
          <w:w w:val="105"/>
          <w:sz w:val="21"/>
        </w:rPr>
        <w:t>make </w:t>
      </w:r>
      <w:r>
        <w:rPr>
          <w:w w:val="105"/>
          <w:sz w:val="21"/>
        </w:rPr>
        <w:t>gifts </w:t>
      </w:r>
      <w:r>
        <w:rPr>
          <w:spacing w:val="-3"/>
          <w:w w:val="105"/>
          <w:sz w:val="21"/>
        </w:rPr>
        <w:t>to family</w:t>
      </w:r>
      <w:r>
        <w:rPr>
          <w:spacing w:val="-7"/>
          <w:w w:val="105"/>
          <w:sz w:val="21"/>
        </w:rPr>
        <w:t> </w:t>
      </w:r>
      <w:r>
        <w:rPr>
          <w:w w:val="105"/>
          <w:sz w:val="21"/>
        </w:rPr>
        <w:t>and</w:t>
      </w:r>
      <w:r>
        <w:rPr>
          <w:spacing w:val="-7"/>
          <w:w w:val="105"/>
          <w:sz w:val="21"/>
        </w:rPr>
        <w:t> </w:t>
      </w:r>
      <w:r>
        <w:rPr>
          <w:spacing w:val="-3"/>
          <w:w w:val="105"/>
          <w:sz w:val="21"/>
        </w:rPr>
        <w:t>friends</w:t>
      </w:r>
      <w:r>
        <w:rPr>
          <w:spacing w:val="-7"/>
          <w:w w:val="105"/>
          <w:sz w:val="21"/>
        </w:rPr>
        <w:t> </w:t>
      </w:r>
      <w:r>
        <w:rPr>
          <w:w w:val="105"/>
          <w:sz w:val="21"/>
        </w:rPr>
        <w:t>while</w:t>
      </w:r>
      <w:r>
        <w:rPr>
          <w:spacing w:val="-7"/>
          <w:w w:val="105"/>
          <w:sz w:val="21"/>
        </w:rPr>
        <w:t> </w:t>
      </w:r>
      <w:r>
        <w:rPr>
          <w:w w:val="105"/>
          <w:sz w:val="21"/>
        </w:rPr>
        <w:t>they</w:t>
      </w:r>
      <w:r>
        <w:rPr>
          <w:spacing w:val="-7"/>
          <w:w w:val="105"/>
          <w:sz w:val="21"/>
        </w:rPr>
        <w:t> </w:t>
      </w:r>
      <w:r>
        <w:rPr>
          <w:spacing w:val="-3"/>
          <w:w w:val="105"/>
          <w:sz w:val="21"/>
        </w:rPr>
        <w:t>are</w:t>
      </w:r>
      <w:r>
        <w:rPr>
          <w:spacing w:val="-7"/>
          <w:w w:val="105"/>
          <w:sz w:val="21"/>
        </w:rPr>
        <w:t> </w:t>
      </w:r>
      <w:r>
        <w:rPr>
          <w:w w:val="105"/>
          <w:sz w:val="21"/>
        </w:rPr>
        <w:t>still</w:t>
      </w:r>
      <w:r>
        <w:rPr>
          <w:spacing w:val="-7"/>
          <w:w w:val="105"/>
          <w:sz w:val="21"/>
        </w:rPr>
        <w:t> </w:t>
      </w:r>
      <w:r>
        <w:rPr>
          <w:spacing w:val="-3"/>
          <w:w w:val="105"/>
          <w:sz w:val="21"/>
        </w:rPr>
        <w:t>alive</w:t>
      </w:r>
      <w:r>
        <w:rPr>
          <w:spacing w:val="-7"/>
          <w:w w:val="105"/>
          <w:sz w:val="21"/>
        </w:rPr>
        <w:t> </w:t>
      </w:r>
      <w:r>
        <w:rPr>
          <w:w w:val="105"/>
          <w:sz w:val="21"/>
        </w:rPr>
        <w:t>and</w:t>
      </w:r>
      <w:r>
        <w:rPr>
          <w:spacing w:val="-7"/>
          <w:w w:val="105"/>
          <w:sz w:val="21"/>
        </w:rPr>
        <w:t> </w:t>
      </w:r>
      <w:r>
        <w:rPr>
          <w:w w:val="105"/>
          <w:sz w:val="21"/>
        </w:rPr>
        <w:t>‘feel</w:t>
      </w:r>
      <w:r>
        <w:rPr>
          <w:spacing w:val="-7"/>
          <w:w w:val="105"/>
          <w:sz w:val="21"/>
        </w:rPr>
        <w:t> </w:t>
      </w:r>
      <w:r>
        <w:rPr>
          <w:w w:val="105"/>
          <w:sz w:val="21"/>
        </w:rPr>
        <w:t>the</w:t>
      </w:r>
      <w:r>
        <w:rPr>
          <w:spacing w:val="-6"/>
          <w:w w:val="105"/>
          <w:sz w:val="21"/>
        </w:rPr>
        <w:t> </w:t>
      </w:r>
      <w:r>
        <w:rPr>
          <w:w w:val="105"/>
          <w:sz w:val="21"/>
        </w:rPr>
        <w:t>satisfaction</w:t>
      </w:r>
      <w:r>
        <w:rPr>
          <w:spacing w:val="-7"/>
          <w:w w:val="105"/>
          <w:sz w:val="21"/>
        </w:rPr>
        <w:t> </w:t>
      </w:r>
      <w:r>
        <w:rPr>
          <w:w w:val="105"/>
          <w:sz w:val="21"/>
        </w:rPr>
        <w:t>of</w:t>
      </w:r>
      <w:r>
        <w:rPr>
          <w:spacing w:val="-7"/>
          <w:w w:val="105"/>
          <w:sz w:val="21"/>
        </w:rPr>
        <w:t> </w:t>
      </w:r>
      <w:r>
        <w:rPr>
          <w:spacing w:val="-3"/>
          <w:w w:val="105"/>
          <w:sz w:val="21"/>
        </w:rPr>
        <w:t>knowing</w:t>
      </w:r>
      <w:r>
        <w:rPr>
          <w:spacing w:val="-7"/>
          <w:w w:val="105"/>
          <w:sz w:val="21"/>
        </w:rPr>
        <w:t> </w:t>
      </w:r>
      <w:r>
        <w:rPr>
          <w:spacing w:val="-3"/>
          <w:w w:val="105"/>
          <w:sz w:val="21"/>
        </w:rPr>
        <w:t>that</w:t>
      </w:r>
      <w:r>
        <w:rPr>
          <w:spacing w:val="-7"/>
          <w:w w:val="105"/>
          <w:sz w:val="21"/>
        </w:rPr>
        <w:t> </w:t>
      </w:r>
      <w:r>
        <w:rPr>
          <w:w w:val="105"/>
          <w:sz w:val="21"/>
        </w:rPr>
        <w:t>their assets </w:t>
      </w:r>
      <w:r>
        <w:rPr>
          <w:spacing w:val="-3"/>
          <w:w w:val="105"/>
          <w:sz w:val="21"/>
        </w:rPr>
        <w:t>are </w:t>
      </w:r>
      <w:r>
        <w:rPr>
          <w:w w:val="105"/>
          <w:sz w:val="21"/>
        </w:rPr>
        <w:t>in the </w:t>
      </w:r>
      <w:r>
        <w:rPr>
          <w:spacing w:val="-3"/>
          <w:w w:val="105"/>
          <w:sz w:val="21"/>
        </w:rPr>
        <w:t>hands </w:t>
      </w:r>
      <w:r>
        <w:rPr>
          <w:w w:val="105"/>
          <w:sz w:val="21"/>
        </w:rPr>
        <w:t>of those they wish them </w:t>
      </w:r>
      <w:r>
        <w:rPr>
          <w:spacing w:val="-3"/>
          <w:w w:val="105"/>
          <w:sz w:val="21"/>
        </w:rPr>
        <w:t>to </w:t>
      </w:r>
      <w:r>
        <w:rPr>
          <w:spacing w:val="-6"/>
          <w:w w:val="105"/>
          <w:sz w:val="21"/>
        </w:rPr>
        <w:t>be’.</w:t>
      </w:r>
      <w:r>
        <w:rPr>
          <w:spacing w:val="-6"/>
          <w:w w:val="105"/>
          <w:position w:val="7"/>
          <w:sz w:val="12"/>
        </w:rPr>
        <w:t>315 </w:t>
      </w:r>
      <w:r>
        <w:rPr>
          <w:spacing w:val="-7"/>
          <w:w w:val="105"/>
          <w:sz w:val="21"/>
        </w:rPr>
        <w:t>To </w:t>
      </w:r>
      <w:r>
        <w:rPr>
          <w:spacing w:val="-3"/>
          <w:w w:val="105"/>
          <w:sz w:val="21"/>
        </w:rPr>
        <w:t>retain </w:t>
      </w:r>
      <w:r>
        <w:rPr>
          <w:w w:val="105"/>
          <w:sz w:val="21"/>
        </w:rPr>
        <w:t>this freedom, she </w:t>
      </w:r>
      <w:r>
        <w:rPr>
          <w:spacing w:val="-3"/>
          <w:w w:val="105"/>
          <w:sz w:val="21"/>
        </w:rPr>
        <w:t>considered that notional </w:t>
      </w:r>
      <w:r>
        <w:rPr>
          <w:w w:val="105"/>
          <w:sz w:val="21"/>
        </w:rPr>
        <w:t>estate </w:t>
      </w:r>
      <w:r>
        <w:rPr>
          <w:spacing w:val="-3"/>
          <w:w w:val="105"/>
          <w:sz w:val="21"/>
        </w:rPr>
        <w:t>provisions </w:t>
      </w:r>
      <w:r>
        <w:rPr>
          <w:w w:val="105"/>
          <w:sz w:val="21"/>
        </w:rPr>
        <w:t>should </w:t>
      </w:r>
      <w:r>
        <w:rPr>
          <w:spacing w:val="-2"/>
          <w:w w:val="105"/>
          <w:sz w:val="21"/>
        </w:rPr>
        <w:t>not </w:t>
      </w:r>
      <w:r>
        <w:rPr>
          <w:w w:val="105"/>
          <w:sz w:val="21"/>
        </w:rPr>
        <w:t>be </w:t>
      </w:r>
      <w:r>
        <w:rPr>
          <w:spacing w:val="-3"/>
          <w:w w:val="105"/>
          <w:sz w:val="21"/>
        </w:rPr>
        <w:t>introduced.</w:t>
      </w:r>
      <w:r>
        <w:rPr>
          <w:spacing w:val="-3"/>
          <w:w w:val="105"/>
          <w:position w:val="7"/>
          <w:sz w:val="12"/>
        </w:rPr>
        <w:t>316 </w:t>
      </w:r>
      <w:r>
        <w:rPr>
          <w:w w:val="105"/>
          <w:sz w:val="21"/>
        </w:rPr>
        <w:t>Barrister </w:t>
      </w:r>
      <w:r>
        <w:rPr>
          <w:spacing w:val="-3"/>
          <w:w w:val="105"/>
          <w:sz w:val="21"/>
        </w:rPr>
        <w:t>Andrew Verspaandonk </w:t>
      </w:r>
      <w:r>
        <w:rPr>
          <w:w w:val="105"/>
          <w:sz w:val="21"/>
        </w:rPr>
        <w:t>also put the point strongly in his</w:t>
      </w:r>
      <w:r>
        <w:rPr>
          <w:spacing w:val="28"/>
          <w:w w:val="105"/>
          <w:sz w:val="21"/>
        </w:rPr>
        <w:t> </w:t>
      </w:r>
      <w:r>
        <w:rPr>
          <w:w w:val="105"/>
          <w:sz w:val="21"/>
        </w:rPr>
        <w:t>submission:</w:t>
      </w:r>
    </w:p>
    <w:p>
      <w:pPr>
        <w:spacing w:line="254" w:lineRule="auto" w:before="135"/>
        <w:ind w:left="2721" w:right="1826" w:firstLine="0"/>
        <w:jc w:val="left"/>
        <w:rPr>
          <w:sz w:val="20"/>
        </w:rPr>
      </w:pPr>
      <w:r>
        <w:rPr>
          <w:sz w:val="20"/>
        </w:rPr>
        <w:t>I strongly believe </w:t>
      </w:r>
      <w:r>
        <w:rPr>
          <w:spacing w:val="-3"/>
          <w:sz w:val="20"/>
        </w:rPr>
        <w:t>that </w:t>
      </w:r>
      <w:r>
        <w:rPr>
          <w:sz w:val="20"/>
        </w:rPr>
        <w:t>people should </w:t>
      </w:r>
      <w:r>
        <w:rPr>
          <w:spacing w:val="-3"/>
          <w:sz w:val="20"/>
        </w:rPr>
        <w:t>have </w:t>
      </w:r>
      <w:r>
        <w:rPr>
          <w:sz w:val="20"/>
        </w:rPr>
        <w:t>the entitlement  to  </w:t>
      </w:r>
      <w:r>
        <w:rPr>
          <w:spacing w:val="-3"/>
          <w:sz w:val="20"/>
        </w:rPr>
        <w:t>exercise  </w:t>
      </w:r>
      <w:r>
        <w:rPr>
          <w:sz w:val="20"/>
        </w:rPr>
        <w:t>their  property rights while they are </w:t>
      </w:r>
      <w:r>
        <w:rPr>
          <w:spacing w:val="-3"/>
          <w:sz w:val="20"/>
        </w:rPr>
        <w:t>alive, </w:t>
      </w:r>
      <w:r>
        <w:rPr>
          <w:sz w:val="20"/>
        </w:rPr>
        <w:t>even if the effect would be to </w:t>
      </w:r>
      <w:r>
        <w:rPr>
          <w:spacing w:val="-3"/>
          <w:sz w:val="20"/>
        </w:rPr>
        <w:t>limit </w:t>
      </w:r>
      <w:r>
        <w:rPr>
          <w:sz w:val="20"/>
        </w:rPr>
        <w:t>the extent of their estate upon their </w:t>
      </w:r>
      <w:r>
        <w:rPr>
          <w:spacing w:val="-2"/>
          <w:sz w:val="20"/>
        </w:rPr>
        <w:t>death. </w:t>
      </w:r>
      <w:r>
        <w:rPr>
          <w:sz w:val="20"/>
        </w:rPr>
        <w:t>Private property rights are already </w:t>
      </w:r>
      <w:r>
        <w:rPr>
          <w:spacing w:val="-2"/>
          <w:sz w:val="20"/>
        </w:rPr>
        <w:t>significantly </w:t>
      </w:r>
      <w:r>
        <w:rPr>
          <w:sz w:val="20"/>
        </w:rPr>
        <w:t>encroached upon at </w:t>
      </w:r>
      <w:r>
        <w:rPr>
          <w:spacing w:val="-2"/>
          <w:sz w:val="20"/>
        </w:rPr>
        <w:t>the </w:t>
      </w:r>
      <w:r>
        <w:rPr>
          <w:sz w:val="20"/>
        </w:rPr>
        <w:t>point of death by the existence of </w:t>
      </w:r>
      <w:r>
        <w:rPr>
          <w:spacing w:val="-3"/>
          <w:sz w:val="20"/>
        </w:rPr>
        <w:t>Family </w:t>
      </w:r>
      <w:r>
        <w:rPr>
          <w:sz w:val="20"/>
        </w:rPr>
        <w:t>Provision </w:t>
      </w:r>
      <w:r>
        <w:rPr>
          <w:spacing w:val="-3"/>
          <w:sz w:val="20"/>
        </w:rPr>
        <w:t>legislation. </w:t>
      </w:r>
      <w:r>
        <w:rPr>
          <w:sz w:val="20"/>
        </w:rPr>
        <w:t>Given</w:t>
      </w:r>
      <w:r>
        <w:rPr>
          <w:spacing w:val="31"/>
          <w:sz w:val="20"/>
        </w:rPr>
        <w:t> </w:t>
      </w:r>
      <w:r>
        <w:rPr>
          <w:spacing w:val="-3"/>
          <w:sz w:val="20"/>
        </w:rPr>
        <w:t>that </w:t>
      </w:r>
      <w:r>
        <w:rPr>
          <w:sz w:val="20"/>
        </w:rPr>
        <w:t>testamentary</w:t>
      </w:r>
    </w:p>
    <w:p>
      <w:pPr>
        <w:spacing w:line="254" w:lineRule="auto" w:before="5"/>
        <w:ind w:left="2721" w:right="1711" w:firstLine="0"/>
        <w:jc w:val="left"/>
        <w:rPr>
          <w:sz w:val="11"/>
        </w:rPr>
      </w:pPr>
      <w:r>
        <w:rPr>
          <w:sz w:val="20"/>
        </w:rPr>
        <w:t>dispositions are actually gifts, the law </w:t>
      </w:r>
      <w:r>
        <w:rPr>
          <w:spacing w:val="-3"/>
          <w:sz w:val="20"/>
        </w:rPr>
        <w:t>ought </w:t>
      </w:r>
      <w:r>
        <w:rPr>
          <w:spacing w:val="-2"/>
          <w:sz w:val="20"/>
        </w:rPr>
        <w:t>not </w:t>
      </w:r>
      <w:r>
        <w:rPr>
          <w:sz w:val="20"/>
        </w:rPr>
        <w:t>reach back </w:t>
      </w:r>
      <w:r>
        <w:rPr>
          <w:spacing w:val="-3"/>
          <w:sz w:val="20"/>
        </w:rPr>
        <w:t>into </w:t>
      </w:r>
      <w:r>
        <w:rPr>
          <w:sz w:val="20"/>
        </w:rPr>
        <w:t>the </w:t>
      </w:r>
      <w:r>
        <w:rPr>
          <w:spacing w:val="-3"/>
          <w:sz w:val="20"/>
        </w:rPr>
        <w:t>lifetime  </w:t>
      </w:r>
      <w:r>
        <w:rPr>
          <w:sz w:val="20"/>
        </w:rPr>
        <w:t>of the testator  to further </w:t>
      </w:r>
      <w:r>
        <w:rPr>
          <w:spacing w:val="-3"/>
          <w:sz w:val="20"/>
        </w:rPr>
        <w:t>interfere </w:t>
      </w:r>
      <w:r>
        <w:rPr>
          <w:sz w:val="20"/>
        </w:rPr>
        <w:t>with property rights. If people are prepared to </w:t>
      </w:r>
      <w:r>
        <w:rPr>
          <w:spacing w:val="-3"/>
          <w:sz w:val="20"/>
        </w:rPr>
        <w:t>compromise </w:t>
      </w:r>
      <w:r>
        <w:rPr>
          <w:sz w:val="20"/>
        </w:rPr>
        <w:t>their own </w:t>
      </w:r>
      <w:r>
        <w:rPr>
          <w:spacing w:val="-2"/>
          <w:sz w:val="20"/>
        </w:rPr>
        <w:t>enjoyment </w:t>
      </w:r>
      <w:r>
        <w:rPr>
          <w:sz w:val="20"/>
        </w:rPr>
        <w:t>of property rights by </w:t>
      </w:r>
      <w:r>
        <w:rPr>
          <w:spacing w:val="-3"/>
          <w:sz w:val="20"/>
        </w:rPr>
        <w:t>alienation </w:t>
      </w:r>
      <w:r>
        <w:rPr>
          <w:i/>
          <w:spacing w:val="-3"/>
          <w:sz w:val="20"/>
        </w:rPr>
        <w:t>inter vivos</w:t>
      </w:r>
      <w:r>
        <w:rPr>
          <w:spacing w:val="-3"/>
          <w:sz w:val="20"/>
        </w:rPr>
        <w:t>, </w:t>
      </w:r>
      <w:r>
        <w:rPr>
          <w:sz w:val="20"/>
        </w:rPr>
        <w:t>they should be free to do</w:t>
      </w:r>
      <w:r>
        <w:rPr>
          <w:spacing w:val="16"/>
          <w:sz w:val="20"/>
        </w:rPr>
        <w:t> </w:t>
      </w:r>
      <w:r>
        <w:rPr>
          <w:sz w:val="20"/>
        </w:rPr>
        <w:t>so. </w:t>
      </w:r>
      <w:r>
        <w:rPr>
          <w:spacing w:val="-6"/>
          <w:position w:val="7"/>
          <w:sz w:val="11"/>
        </w:rPr>
        <w:t>317</w:t>
      </w:r>
    </w:p>
    <w:p>
      <w:pPr>
        <w:pStyle w:val="ListParagraph"/>
        <w:numPr>
          <w:ilvl w:val="0"/>
          <w:numId w:val="97"/>
        </w:numPr>
        <w:tabs>
          <w:tab w:pos="2381" w:val="left" w:leader="none"/>
          <w:tab w:pos="2382" w:val="left" w:leader="none"/>
        </w:tabs>
        <w:spacing w:line="242" w:lineRule="auto" w:before="114" w:after="0"/>
        <w:ind w:left="2381" w:right="1796" w:hanging="794"/>
        <w:jc w:val="left"/>
        <w:rPr>
          <w:sz w:val="12"/>
        </w:rPr>
      </w:pPr>
      <w:r>
        <w:rPr>
          <w:w w:val="105"/>
          <w:sz w:val="21"/>
        </w:rPr>
        <w:t>The </w:t>
      </w:r>
      <w:r>
        <w:rPr>
          <w:spacing w:val="-3"/>
          <w:w w:val="105"/>
          <w:sz w:val="21"/>
        </w:rPr>
        <w:t>Supreme Court </w:t>
      </w:r>
      <w:r>
        <w:rPr>
          <w:w w:val="105"/>
          <w:sz w:val="21"/>
        </w:rPr>
        <w:t>of Victoria said </w:t>
      </w:r>
      <w:r>
        <w:rPr>
          <w:spacing w:val="-3"/>
          <w:w w:val="105"/>
          <w:sz w:val="21"/>
        </w:rPr>
        <w:t>that, </w:t>
      </w:r>
      <w:r>
        <w:rPr>
          <w:spacing w:val="-5"/>
          <w:w w:val="105"/>
          <w:sz w:val="21"/>
        </w:rPr>
        <w:t>‘on </w:t>
      </w:r>
      <w:r>
        <w:rPr>
          <w:spacing w:val="-3"/>
          <w:w w:val="105"/>
          <w:sz w:val="21"/>
        </w:rPr>
        <w:t>balance, </w:t>
      </w:r>
      <w:r>
        <w:rPr>
          <w:w w:val="105"/>
          <w:sz w:val="21"/>
        </w:rPr>
        <w:t>the law </w:t>
      </w:r>
      <w:r>
        <w:rPr>
          <w:spacing w:val="-3"/>
          <w:w w:val="105"/>
          <w:sz w:val="21"/>
        </w:rPr>
        <w:t>ought </w:t>
      </w:r>
      <w:r>
        <w:rPr>
          <w:spacing w:val="-2"/>
          <w:w w:val="105"/>
          <w:sz w:val="21"/>
        </w:rPr>
        <w:t>not </w:t>
      </w:r>
      <w:r>
        <w:rPr>
          <w:spacing w:val="-3"/>
          <w:w w:val="105"/>
          <w:sz w:val="21"/>
        </w:rPr>
        <w:t>to </w:t>
      </w:r>
      <w:r>
        <w:rPr>
          <w:w w:val="105"/>
          <w:sz w:val="21"/>
        </w:rPr>
        <w:t>detract </w:t>
      </w:r>
      <w:r>
        <w:rPr>
          <w:spacing w:val="-3"/>
          <w:w w:val="105"/>
          <w:sz w:val="21"/>
        </w:rPr>
        <w:t>from </w:t>
      </w:r>
      <w:r>
        <w:rPr>
          <w:w w:val="105"/>
          <w:sz w:val="21"/>
        </w:rPr>
        <w:t>the general proposition </w:t>
      </w:r>
      <w:r>
        <w:rPr>
          <w:spacing w:val="-3"/>
          <w:w w:val="105"/>
          <w:sz w:val="21"/>
        </w:rPr>
        <w:t>that </w:t>
      </w:r>
      <w:r>
        <w:rPr>
          <w:w w:val="105"/>
          <w:sz w:val="21"/>
        </w:rPr>
        <w:t>persons </w:t>
      </w:r>
      <w:r>
        <w:rPr>
          <w:spacing w:val="-3"/>
          <w:w w:val="105"/>
          <w:sz w:val="21"/>
        </w:rPr>
        <w:t>are </w:t>
      </w:r>
      <w:r>
        <w:rPr>
          <w:w w:val="105"/>
          <w:sz w:val="21"/>
        </w:rPr>
        <w:t>able </w:t>
      </w:r>
      <w:r>
        <w:rPr>
          <w:spacing w:val="-3"/>
          <w:w w:val="105"/>
          <w:sz w:val="21"/>
        </w:rPr>
        <w:t>to </w:t>
      </w:r>
      <w:r>
        <w:rPr>
          <w:w w:val="105"/>
          <w:sz w:val="21"/>
        </w:rPr>
        <w:t>deal with their property as they </w:t>
      </w:r>
      <w:r>
        <w:rPr>
          <w:spacing w:val="-6"/>
          <w:w w:val="105"/>
          <w:sz w:val="21"/>
        </w:rPr>
        <w:t>wish’. </w:t>
      </w:r>
      <w:r>
        <w:rPr>
          <w:spacing w:val="-4"/>
          <w:w w:val="105"/>
          <w:sz w:val="21"/>
        </w:rPr>
        <w:t>However, </w:t>
      </w:r>
      <w:r>
        <w:rPr>
          <w:w w:val="105"/>
          <w:sz w:val="21"/>
        </w:rPr>
        <w:t>it </w:t>
      </w:r>
      <w:r>
        <w:rPr>
          <w:spacing w:val="-3"/>
          <w:w w:val="105"/>
          <w:sz w:val="21"/>
        </w:rPr>
        <w:t>noted that </w:t>
      </w:r>
      <w:r>
        <w:rPr>
          <w:w w:val="105"/>
          <w:sz w:val="21"/>
        </w:rPr>
        <w:t>if there is evidence in Victoria of people </w:t>
      </w:r>
      <w:r>
        <w:rPr>
          <w:spacing w:val="-3"/>
          <w:w w:val="105"/>
          <w:sz w:val="21"/>
        </w:rPr>
        <w:t>entering </w:t>
      </w:r>
      <w:r>
        <w:rPr>
          <w:spacing w:val="-4"/>
          <w:w w:val="105"/>
          <w:sz w:val="21"/>
        </w:rPr>
        <w:t>into </w:t>
      </w:r>
      <w:r>
        <w:rPr>
          <w:spacing w:val="-3"/>
          <w:w w:val="105"/>
          <w:sz w:val="21"/>
        </w:rPr>
        <w:t>‘artificial </w:t>
      </w:r>
      <w:r>
        <w:rPr>
          <w:w w:val="105"/>
          <w:sz w:val="21"/>
        </w:rPr>
        <w:t>arrangements designed </w:t>
      </w:r>
      <w:r>
        <w:rPr>
          <w:spacing w:val="-3"/>
          <w:w w:val="105"/>
          <w:sz w:val="21"/>
        </w:rPr>
        <w:t>to </w:t>
      </w:r>
      <w:r>
        <w:rPr>
          <w:w w:val="105"/>
          <w:sz w:val="21"/>
        </w:rPr>
        <w:t>avoid their moral </w:t>
      </w:r>
      <w:r>
        <w:rPr>
          <w:spacing w:val="-5"/>
          <w:w w:val="105"/>
          <w:sz w:val="21"/>
        </w:rPr>
        <w:t>obligation’, </w:t>
      </w:r>
      <w:r>
        <w:rPr>
          <w:w w:val="105"/>
          <w:sz w:val="21"/>
        </w:rPr>
        <w:t>then introduction of a </w:t>
      </w:r>
      <w:r>
        <w:rPr>
          <w:spacing w:val="-3"/>
          <w:w w:val="105"/>
          <w:sz w:val="21"/>
        </w:rPr>
        <w:t>notional </w:t>
      </w:r>
      <w:r>
        <w:rPr>
          <w:w w:val="105"/>
          <w:sz w:val="21"/>
        </w:rPr>
        <w:t>estate scheme </w:t>
      </w:r>
      <w:r>
        <w:rPr>
          <w:spacing w:val="-3"/>
          <w:w w:val="105"/>
          <w:sz w:val="21"/>
        </w:rPr>
        <w:t>may </w:t>
      </w:r>
      <w:r>
        <w:rPr>
          <w:w w:val="105"/>
          <w:sz w:val="21"/>
        </w:rPr>
        <w:t>be</w:t>
      </w:r>
      <w:r>
        <w:rPr>
          <w:spacing w:val="22"/>
          <w:w w:val="105"/>
          <w:sz w:val="21"/>
        </w:rPr>
        <w:t> </w:t>
      </w:r>
      <w:r>
        <w:rPr>
          <w:spacing w:val="-3"/>
          <w:w w:val="105"/>
          <w:sz w:val="21"/>
        </w:rPr>
        <w:t>necessary.</w:t>
      </w:r>
      <w:r>
        <w:rPr>
          <w:spacing w:val="-3"/>
          <w:w w:val="105"/>
          <w:position w:val="7"/>
          <w:sz w:val="12"/>
        </w:rPr>
        <w:t>318</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7"/>
        </w:rPr>
      </w:pPr>
      <w:r>
        <w:rPr/>
        <w:pict>
          <v:line style="position:absolute;mso-position-horizontal-relative:page;mso-position-vertical-relative:paragraph;z-index:8312;mso-wrap-distance-left:0;mso-wrap-distance-right:0" from="79.370102pt,13.178966pt" to="515.905102pt,13.178966pt" stroked="true" strokeweight="1pt" strokecolor="#f9ceca">
            <v:stroke dashstyle="solid"/>
            <w10:wrap type="topAndBottom"/>
          </v:line>
        </w:pict>
      </w:r>
    </w:p>
    <w:p>
      <w:pPr>
        <w:pStyle w:val="BodyText"/>
        <w:spacing w:before="8"/>
        <w:rPr>
          <w:sz w:val="5"/>
        </w:rPr>
      </w:pPr>
    </w:p>
    <w:p>
      <w:pPr>
        <w:spacing w:after="0"/>
        <w:rPr>
          <w:sz w:val="5"/>
        </w:rPr>
        <w:sectPr>
          <w:pgSz w:w="11910" w:h="16840"/>
          <w:pgMar w:header="550" w:footer="0" w:top="1560" w:bottom="280" w:left="0" w:right="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0"/>
        <w:rPr>
          <w:sz w:val="41"/>
        </w:rPr>
      </w:pPr>
    </w:p>
    <w:p>
      <w:pPr>
        <w:spacing w:before="0"/>
        <w:ind w:left="720" w:right="0" w:firstLine="0"/>
        <w:jc w:val="left"/>
        <w:rPr>
          <w:b/>
          <w:sz w:val="24"/>
        </w:rPr>
      </w:pPr>
      <w:r>
        <w:rPr>
          <w:b/>
          <w:color w:val="EC5A4F"/>
          <w:spacing w:val="-5"/>
          <w:w w:val="110"/>
          <w:sz w:val="24"/>
        </w:rPr>
        <w:t>132</w:t>
      </w:r>
    </w:p>
    <w:p>
      <w:pPr>
        <w:pStyle w:val="ListParagraph"/>
        <w:numPr>
          <w:ilvl w:val="0"/>
          <w:numId w:val="106"/>
        </w:numPr>
        <w:tabs>
          <w:tab w:pos="1232" w:val="left" w:leader="none"/>
          <w:tab w:pos="1233" w:val="left" w:leader="none"/>
        </w:tabs>
        <w:spacing w:line="240" w:lineRule="auto" w:before="48" w:after="0"/>
        <w:ind w:left="1232" w:right="0" w:hanging="794"/>
        <w:jc w:val="left"/>
        <w:rPr>
          <w:sz w:val="13"/>
        </w:rPr>
      </w:pPr>
      <w:r>
        <w:rPr>
          <w:spacing w:val="3"/>
          <w:w w:val="107"/>
          <w:sz w:val="13"/>
        </w:rPr>
        <w:br w:type="column"/>
      </w:r>
      <w:r>
        <w:rPr>
          <w:w w:val="105"/>
          <w:sz w:val="13"/>
        </w:rPr>
        <w:t>Victorian Law Reform Commission, above n 2,</w:t>
      </w:r>
      <w:r>
        <w:rPr>
          <w:spacing w:val="2"/>
          <w:w w:val="105"/>
          <w:sz w:val="13"/>
        </w:rPr>
        <w:t> </w:t>
      </w:r>
      <w:r>
        <w:rPr>
          <w:w w:val="105"/>
          <w:sz w:val="13"/>
        </w:rPr>
        <w:t>34.</w:t>
      </w:r>
    </w:p>
    <w:p>
      <w:pPr>
        <w:pStyle w:val="ListParagraph"/>
        <w:numPr>
          <w:ilvl w:val="0"/>
          <w:numId w:val="106"/>
        </w:numPr>
        <w:tabs>
          <w:tab w:pos="1232" w:val="left" w:leader="none"/>
          <w:tab w:pos="1233" w:val="left" w:leader="none"/>
        </w:tabs>
        <w:spacing w:line="240" w:lineRule="auto" w:before="1" w:after="0"/>
        <w:ind w:left="1232" w:right="0" w:hanging="794"/>
        <w:jc w:val="left"/>
        <w:rPr>
          <w:sz w:val="13"/>
        </w:rPr>
      </w:pPr>
      <w:r>
        <w:rPr>
          <w:w w:val="105"/>
          <w:sz w:val="13"/>
        </w:rPr>
        <w:t>Submissions</w:t>
      </w:r>
      <w:r>
        <w:rPr>
          <w:spacing w:val="5"/>
          <w:w w:val="105"/>
          <w:sz w:val="13"/>
        </w:rPr>
        <w:t> </w:t>
      </w:r>
      <w:r>
        <w:rPr>
          <w:w w:val="105"/>
          <w:sz w:val="13"/>
        </w:rPr>
        <w:t>25</w:t>
      </w:r>
      <w:r>
        <w:rPr>
          <w:spacing w:val="5"/>
          <w:w w:val="105"/>
          <w:sz w:val="13"/>
        </w:rPr>
        <w:t> </w:t>
      </w:r>
      <w:r>
        <w:rPr>
          <w:spacing w:val="2"/>
          <w:w w:val="105"/>
          <w:sz w:val="13"/>
        </w:rPr>
        <w:t>(Moores</w:t>
      </w:r>
      <w:r>
        <w:rPr>
          <w:spacing w:val="5"/>
          <w:w w:val="105"/>
          <w:sz w:val="13"/>
        </w:rPr>
        <w:t> </w:t>
      </w:r>
      <w:r>
        <w:rPr>
          <w:w w:val="105"/>
          <w:sz w:val="13"/>
        </w:rPr>
        <w:t>Legal);</w:t>
      </w:r>
      <w:r>
        <w:rPr>
          <w:spacing w:val="5"/>
          <w:w w:val="105"/>
          <w:sz w:val="13"/>
        </w:rPr>
        <w:t> </w:t>
      </w:r>
      <w:r>
        <w:rPr>
          <w:w w:val="105"/>
          <w:sz w:val="13"/>
        </w:rPr>
        <w:t>26</w:t>
      </w:r>
      <w:r>
        <w:rPr>
          <w:spacing w:val="5"/>
          <w:w w:val="105"/>
          <w:sz w:val="13"/>
        </w:rPr>
        <w:t> </w:t>
      </w:r>
      <w:r>
        <w:rPr>
          <w:spacing w:val="2"/>
          <w:w w:val="105"/>
          <w:sz w:val="13"/>
        </w:rPr>
        <w:t>(Rigby</w:t>
      </w:r>
      <w:r>
        <w:rPr>
          <w:spacing w:val="5"/>
          <w:w w:val="105"/>
          <w:sz w:val="13"/>
        </w:rPr>
        <w:t> </w:t>
      </w:r>
      <w:r>
        <w:rPr>
          <w:w w:val="105"/>
          <w:sz w:val="13"/>
        </w:rPr>
        <w:t>Cooke</w:t>
      </w:r>
      <w:r>
        <w:rPr>
          <w:spacing w:val="5"/>
          <w:w w:val="105"/>
          <w:sz w:val="13"/>
        </w:rPr>
        <w:t> </w:t>
      </w:r>
      <w:r>
        <w:rPr>
          <w:spacing w:val="2"/>
          <w:w w:val="105"/>
          <w:sz w:val="13"/>
        </w:rPr>
        <w:t>Lawyers);</w:t>
      </w:r>
      <w:r>
        <w:rPr>
          <w:spacing w:val="5"/>
          <w:w w:val="105"/>
          <w:sz w:val="13"/>
        </w:rPr>
        <w:t> </w:t>
      </w:r>
      <w:r>
        <w:rPr>
          <w:w w:val="105"/>
          <w:sz w:val="13"/>
        </w:rPr>
        <w:t>35</w:t>
      </w:r>
      <w:r>
        <w:rPr>
          <w:spacing w:val="5"/>
          <w:w w:val="105"/>
          <w:sz w:val="13"/>
        </w:rPr>
        <w:t> </w:t>
      </w:r>
      <w:r>
        <w:rPr>
          <w:w w:val="105"/>
          <w:sz w:val="13"/>
        </w:rPr>
        <w:t>(Andrew</w:t>
      </w:r>
      <w:r>
        <w:rPr>
          <w:spacing w:val="5"/>
          <w:w w:val="105"/>
          <w:sz w:val="13"/>
        </w:rPr>
        <w:t> </w:t>
      </w:r>
      <w:r>
        <w:rPr>
          <w:w w:val="105"/>
          <w:sz w:val="13"/>
        </w:rPr>
        <w:t>Verspaandonk);</w:t>
      </w:r>
      <w:r>
        <w:rPr>
          <w:spacing w:val="5"/>
          <w:w w:val="105"/>
          <w:sz w:val="13"/>
        </w:rPr>
        <w:t> </w:t>
      </w:r>
      <w:r>
        <w:rPr>
          <w:w w:val="105"/>
          <w:sz w:val="13"/>
        </w:rPr>
        <w:t>42b</w:t>
      </w:r>
      <w:r>
        <w:rPr>
          <w:spacing w:val="5"/>
          <w:w w:val="105"/>
          <w:sz w:val="13"/>
        </w:rPr>
        <w:t> </w:t>
      </w:r>
      <w:r>
        <w:rPr>
          <w:w w:val="105"/>
          <w:sz w:val="13"/>
        </w:rPr>
        <w:t>(Arnold</w:t>
      </w:r>
      <w:r>
        <w:rPr>
          <w:spacing w:val="5"/>
          <w:w w:val="105"/>
          <w:sz w:val="13"/>
        </w:rPr>
        <w:t> </w:t>
      </w:r>
      <w:r>
        <w:rPr>
          <w:w w:val="105"/>
          <w:sz w:val="13"/>
        </w:rPr>
        <w:t>Bloch</w:t>
      </w:r>
      <w:r>
        <w:rPr>
          <w:spacing w:val="5"/>
          <w:w w:val="105"/>
          <w:sz w:val="13"/>
        </w:rPr>
        <w:t> </w:t>
      </w:r>
      <w:r>
        <w:rPr>
          <w:w w:val="105"/>
          <w:sz w:val="13"/>
        </w:rPr>
        <w:t>Leibler).</w:t>
      </w:r>
    </w:p>
    <w:p>
      <w:pPr>
        <w:pStyle w:val="ListParagraph"/>
        <w:numPr>
          <w:ilvl w:val="0"/>
          <w:numId w:val="106"/>
        </w:numPr>
        <w:tabs>
          <w:tab w:pos="1232" w:val="left" w:leader="none"/>
          <w:tab w:pos="1233" w:val="left" w:leader="none"/>
        </w:tabs>
        <w:spacing w:line="240" w:lineRule="auto" w:before="2" w:after="0"/>
        <w:ind w:left="1232" w:right="0" w:hanging="794"/>
        <w:jc w:val="left"/>
        <w:rPr>
          <w:sz w:val="13"/>
        </w:rPr>
      </w:pPr>
      <w:r>
        <w:rPr>
          <w:w w:val="105"/>
          <w:sz w:val="13"/>
        </w:rPr>
        <w:t>Consultation </w:t>
      </w:r>
      <w:r>
        <w:rPr>
          <w:spacing w:val="-4"/>
          <w:w w:val="105"/>
          <w:sz w:val="13"/>
        </w:rPr>
        <w:t>17 </w:t>
      </w:r>
      <w:r>
        <w:rPr>
          <w:w w:val="105"/>
          <w:sz w:val="13"/>
        </w:rPr>
        <w:t>(Supreme Court of </w:t>
      </w:r>
      <w:r>
        <w:rPr>
          <w:spacing w:val="2"/>
          <w:w w:val="105"/>
          <w:sz w:val="13"/>
        </w:rPr>
        <w:t>Victoria—Judges).</w:t>
      </w:r>
    </w:p>
    <w:p>
      <w:pPr>
        <w:pStyle w:val="ListParagraph"/>
        <w:numPr>
          <w:ilvl w:val="0"/>
          <w:numId w:val="106"/>
        </w:numPr>
        <w:tabs>
          <w:tab w:pos="1232" w:val="left" w:leader="none"/>
          <w:tab w:pos="1233" w:val="left" w:leader="none"/>
        </w:tabs>
        <w:spacing w:line="240" w:lineRule="auto" w:before="1" w:after="0"/>
        <w:ind w:left="1232" w:right="0" w:hanging="794"/>
        <w:jc w:val="left"/>
        <w:rPr>
          <w:sz w:val="13"/>
        </w:rPr>
      </w:pPr>
      <w:r>
        <w:rPr>
          <w:w w:val="105"/>
          <w:sz w:val="13"/>
        </w:rPr>
        <w:t>Submission 33 (State Trustees</w:t>
      </w:r>
      <w:r>
        <w:rPr>
          <w:spacing w:val="18"/>
          <w:w w:val="105"/>
          <w:sz w:val="13"/>
        </w:rPr>
        <w:t> </w:t>
      </w:r>
      <w:r>
        <w:rPr>
          <w:w w:val="105"/>
          <w:sz w:val="13"/>
        </w:rPr>
        <w:t>Limited).</w:t>
      </w:r>
    </w:p>
    <w:p>
      <w:pPr>
        <w:pStyle w:val="ListParagraph"/>
        <w:numPr>
          <w:ilvl w:val="0"/>
          <w:numId w:val="106"/>
        </w:numPr>
        <w:tabs>
          <w:tab w:pos="1232" w:val="left" w:leader="none"/>
          <w:tab w:pos="1233" w:val="left" w:leader="none"/>
        </w:tabs>
        <w:spacing w:line="240" w:lineRule="auto" w:before="1" w:after="0"/>
        <w:ind w:left="1232" w:right="2419" w:hanging="794"/>
        <w:jc w:val="left"/>
        <w:rPr>
          <w:sz w:val="13"/>
        </w:rPr>
      </w:pPr>
      <w:r>
        <w:rPr>
          <w:w w:val="105"/>
          <w:sz w:val="13"/>
        </w:rPr>
        <w:t>Submissions 25 </w:t>
      </w:r>
      <w:r>
        <w:rPr>
          <w:spacing w:val="2"/>
          <w:w w:val="105"/>
          <w:sz w:val="13"/>
        </w:rPr>
        <w:t>(Moores </w:t>
      </w:r>
      <w:r>
        <w:rPr>
          <w:w w:val="105"/>
          <w:sz w:val="13"/>
        </w:rPr>
        <w:t>Legal); 26 </w:t>
      </w:r>
      <w:r>
        <w:rPr>
          <w:spacing w:val="2"/>
          <w:w w:val="105"/>
          <w:sz w:val="13"/>
        </w:rPr>
        <w:t>(Rigby </w:t>
      </w:r>
      <w:r>
        <w:rPr>
          <w:w w:val="105"/>
          <w:sz w:val="13"/>
        </w:rPr>
        <w:t>Cooke </w:t>
      </w:r>
      <w:r>
        <w:rPr>
          <w:spacing w:val="2"/>
          <w:w w:val="105"/>
          <w:sz w:val="13"/>
        </w:rPr>
        <w:t>Lawyers); </w:t>
      </w:r>
      <w:r>
        <w:rPr>
          <w:w w:val="105"/>
          <w:sz w:val="13"/>
        </w:rPr>
        <w:t>30a </w:t>
      </w:r>
      <w:r>
        <w:rPr>
          <w:spacing w:val="3"/>
          <w:w w:val="105"/>
          <w:sz w:val="13"/>
        </w:rPr>
        <w:t>(Law </w:t>
      </w:r>
      <w:r>
        <w:rPr>
          <w:w w:val="105"/>
          <w:sz w:val="13"/>
        </w:rPr>
        <w:t>Institute of </w:t>
      </w:r>
      <w:r>
        <w:rPr>
          <w:spacing w:val="3"/>
          <w:w w:val="105"/>
          <w:sz w:val="13"/>
        </w:rPr>
        <w:t>Victoria)—a </w:t>
      </w:r>
      <w:r>
        <w:rPr>
          <w:w w:val="105"/>
          <w:sz w:val="13"/>
        </w:rPr>
        <w:t>majority of survey respondents; 33</w:t>
      </w:r>
      <w:r>
        <w:rPr>
          <w:spacing w:val="6"/>
          <w:w w:val="105"/>
          <w:sz w:val="13"/>
        </w:rPr>
        <w:t> </w:t>
      </w:r>
      <w:r>
        <w:rPr>
          <w:w w:val="105"/>
          <w:sz w:val="13"/>
        </w:rPr>
        <w:t>(State</w:t>
      </w:r>
      <w:r>
        <w:rPr>
          <w:spacing w:val="6"/>
          <w:w w:val="105"/>
          <w:sz w:val="13"/>
        </w:rPr>
        <w:t> </w:t>
      </w:r>
      <w:r>
        <w:rPr>
          <w:w w:val="105"/>
          <w:sz w:val="13"/>
        </w:rPr>
        <w:t>Trustees</w:t>
      </w:r>
      <w:r>
        <w:rPr>
          <w:spacing w:val="6"/>
          <w:w w:val="105"/>
          <w:sz w:val="13"/>
        </w:rPr>
        <w:t> </w:t>
      </w:r>
      <w:r>
        <w:rPr>
          <w:w w:val="105"/>
          <w:sz w:val="13"/>
        </w:rPr>
        <w:t>Limited);</w:t>
      </w:r>
      <w:r>
        <w:rPr>
          <w:spacing w:val="6"/>
          <w:w w:val="105"/>
          <w:sz w:val="13"/>
        </w:rPr>
        <w:t> </w:t>
      </w:r>
      <w:r>
        <w:rPr>
          <w:w w:val="105"/>
          <w:sz w:val="13"/>
        </w:rPr>
        <w:t>35</w:t>
      </w:r>
      <w:r>
        <w:rPr>
          <w:spacing w:val="6"/>
          <w:w w:val="105"/>
          <w:sz w:val="13"/>
        </w:rPr>
        <w:t> </w:t>
      </w:r>
      <w:r>
        <w:rPr>
          <w:w w:val="105"/>
          <w:sz w:val="13"/>
        </w:rPr>
        <w:t>(Andrew</w:t>
      </w:r>
      <w:r>
        <w:rPr>
          <w:spacing w:val="6"/>
          <w:w w:val="105"/>
          <w:sz w:val="13"/>
        </w:rPr>
        <w:t> </w:t>
      </w:r>
      <w:r>
        <w:rPr>
          <w:w w:val="105"/>
          <w:sz w:val="13"/>
        </w:rPr>
        <w:t>Verspaandonk);</w:t>
      </w:r>
      <w:r>
        <w:rPr>
          <w:spacing w:val="6"/>
          <w:w w:val="105"/>
          <w:sz w:val="13"/>
        </w:rPr>
        <w:t> </w:t>
      </w:r>
      <w:r>
        <w:rPr>
          <w:w w:val="105"/>
          <w:sz w:val="13"/>
        </w:rPr>
        <w:t>39</w:t>
      </w:r>
      <w:r>
        <w:rPr>
          <w:spacing w:val="6"/>
          <w:w w:val="105"/>
          <w:sz w:val="13"/>
        </w:rPr>
        <w:t> </w:t>
      </w:r>
      <w:r>
        <w:rPr>
          <w:w w:val="105"/>
          <w:sz w:val="13"/>
        </w:rPr>
        <w:t>(Carolyn</w:t>
      </w:r>
      <w:r>
        <w:rPr>
          <w:spacing w:val="6"/>
          <w:w w:val="105"/>
          <w:sz w:val="13"/>
        </w:rPr>
        <w:t> </w:t>
      </w:r>
      <w:r>
        <w:rPr>
          <w:w w:val="105"/>
          <w:sz w:val="13"/>
        </w:rPr>
        <w:t>Sparke</w:t>
      </w:r>
      <w:r>
        <w:rPr>
          <w:spacing w:val="6"/>
          <w:w w:val="105"/>
          <w:sz w:val="13"/>
        </w:rPr>
        <w:t> </w:t>
      </w:r>
      <w:r>
        <w:rPr>
          <w:w w:val="105"/>
          <w:sz w:val="13"/>
        </w:rPr>
        <w:t>SC);</w:t>
      </w:r>
      <w:r>
        <w:rPr>
          <w:spacing w:val="6"/>
          <w:w w:val="105"/>
          <w:sz w:val="13"/>
        </w:rPr>
        <w:t> </w:t>
      </w:r>
      <w:r>
        <w:rPr>
          <w:w w:val="105"/>
          <w:sz w:val="13"/>
        </w:rPr>
        <w:t>42b</w:t>
      </w:r>
      <w:r>
        <w:rPr>
          <w:spacing w:val="6"/>
          <w:w w:val="105"/>
          <w:sz w:val="13"/>
        </w:rPr>
        <w:t> </w:t>
      </w:r>
      <w:r>
        <w:rPr>
          <w:w w:val="105"/>
          <w:sz w:val="13"/>
        </w:rPr>
        <w:t>(Arnold</w:t>
      </w:r>
      <w:r>
        <w:rPr>
          <w:spacing w:val="6"/>
          <w:w w:val="105"/>
          <w:sz w:val="13"/>
        </w:rPr>
        <w:t> </w:t>
      </w:r>
      <w:r>
        <w:rPr>
          <w:w w:val="105"/>
          <w:sz w:val="13"/>
        </w:rPr>
        <w:t>Bloch</w:t>
      </w:r>
      <w:r>
        <w:rPr>
          <w:spacing w:val="6"/>
          <w:w w:val="105"/>
          <w:sz w:val="13"/>
        </w:rPr>
        <w:t> </w:t>
      </w:r>
      <w:r>
        <w:rPr>
          <w:w w:val="105"/>
          <w:sz w:val="13"/>
        </w:rPr>
        <w:t>Leibler).</w:t>
      </w:r>
    </w:p>
    <w:p>
      <w:pPr>
        <w:pStyle w:val="ListParagraph"/>
        <w:numPr>
          <w:ilvl w:val="0"/>
          <w:numId w:val="106"/>
        </w:numPr>
        <w:tabs>
          <w:tab w:pos="1232" w:val="left" w:leader="none"/>
          <w:tab w:pos="1233" w:val="left" w:leader="none"/>
        </w:tabs>
        <w:spacing w:line="240" w:lineRule="auto" w:before="3" w:after="0"/>
        <w:ind w:left="1232" w:right="0" w:hanging="794"/>
        <w:jc w:val="left"/>
        <w:rPr>
          <w:sz w:val="13"/>
        </w:rPr>
      </w:pPr>
      <w:r>
        <w:rPr>
          <w:w w:val="105"/>
          <w:sz w:val="13"/>
        </w:rPr>
        <w:t>Submission 25 </w:t>
      </w:r>
      <w:r>
        <w:rPr>
          <w:spacing w:val="2"/>
          <w:w w:val="105"/>
          <w:sz w:val="13"/>
        </w:rPr>
        <w:t>(Moores</w:t>
      </w:r>
      <w:r>
        <w:rPr>
          <w:spacing w:val="13"/>
          <w:w w:val="105"/>
          <w:sz w:val="13"/>
        </w:rPr>
        <w:t> </w:t>
      </w:r>
      <w:r>
        <w:rPr>
          <w:w w:val="105"/>
          <w:sz w:val="13"/>
        </w:rPr>
        <w:t>Legal).</w:t>
      </w:r>
    </w:p>
    <w:p>
      <w:pPr>
        <w:pStyle w:val="ListParagraph"/>
        <w:numPr>
          <w:ilvl w:val="0"/>
          <w:numId w:val="106"/>
        </w:numPr>
        <w:tabs>
          <w:tab w:pos="1232" w:val="left" w:leader="none"/>
          <w:tab w:pos="1233" w:val="left" w:leader="none"/>
        </w:tabs>
        <w:spacing w:line="240" w:lineRule="auto" w:before="1" w:after="0"/>
        <w:ind w:left="1232" w:right="0" w:hanging="794"/>
        <w:jc w:val="left"/>
        <w:rPr>
          <w:sz w:val="13"/>
        </w:rPr>
      </w:pPr>
      <w:r>
        <w:rPr>
          <w:w w:val="105"/>
          <w:sz w:val="13"/>
        </w:rPr>
        <w:t>Submission 42b (Arnold Bloch</w:t>
      </w:r>
      <w:r>
        <w:rPr>
          <w:spacing w:val="18"/>
          <w:w w:val="105"/>
          <w:sz w:val="13"/>
        </w:rPr>
        <w:t> </w:t>
      </w:r>
      <w:r>
        <w:rPr>
          <w:w w:val="105"/>
          <w:sz w:val="13"/>
        </w:rPr>
        <w:t>Leibler).</w:t>
      </w:r>
    </w:p>
    <w:p>
      <w:pPr>
        <w:pStyle w:val="ListParagraph"/>
        <w:numPr>
          <w:ilvl w:val="0"/>
          <w:numId w:val="106"/>
        </w:numPr>
        <w:tabs>
          <w:tab w:pos="1232" w:val="left" w:leader="none"/>
          <w:tab w:pos="1233" w:val="left" w:leader="none"/>
        </w:tabs>
        <w:spacing w:line="240" w:lineRule="auto" w:before="2" w:after="0"/>
        <w:ind w:left="1232" w:right="0" w:hanging="794"/>
        <w:jc w:val="left"/>
        <w:rPr>
          <w:sz w:val="13"/>
        </w:rPr>
      </w:pPr>
      <w:r>
        <w:rPr>
          <w:w w:val="105"/>
          <w:sz w:val="13"/>
        </w:rPr>
        <w:t>Submission 30a </w:t>
      </w:r>
      <w:r>
        <w:rPr>
          <w:spacing w:val="3"/>
          <w:w w:val="105"/>
          <w:sz w:val="13"/>
        </w:rPr>
        <w:t>(Law </w:t>
      </w:r>
      <w:r>
        <w:rPr>
          <w:w w:val="105"/>
          <w:sz w:val="13"/>
        </w:rPr>
        <w:t>Institute of</w:t>
      </w:r>
      <w:r>
        <w:rPr>
          <w:spacing w:val="19"/>
          <w:w w:val="105"/>
          <w:sz w:val="13"/>
        </w:rPr>
        <w:t> </w:t>
      </w:r>
      <w:r>
        <w:rPr>
          <w:spacing w:val="2"/>
          <w:w w:val="105"/>
          <w:sz w:val="13"/>
        </w:rPr>
        <w:t>Victoria).</w:t>
      </w:r>
    </w:p>
    <w:p>
      <w:pPr>
        <w:pStyle w:val="ListParagraph"/>
        <w:numPr>
          <w:ilvl w:val="0"/>
          <w:numId w:val="106"/>
        </w:numPr>
        <w:tabs>
          <w:tab w:pos="1232" w:val="left" w:leader="none"/>
          <w:tab w:pos="1233" w:val="left" w:leader="none"/>
        </w:tabs>
        <w:spacing w:line="240" w:lineRule="auto" w:before="1" w:after="0"/>
        <w:ind w:left="1232" w:right="0" w:hanging="793"/>
        <w:jc w:val="left"/>
        <w:rPr>
          <w:sz w:val="13"/>
        </w:rPr>
      </w:pPr>
      <w:r>
        <w:rPr>
          <w:w w:val="105"/>
          <w:sz w:val="13"/>
        </w:rPr>
        <w:t>Submission 39 (Carolyn Sparke</w:t>
      </w:r>
      <w:r>
        <w:rPr>
          <w:spacing w:val="18"/>
          <w:w w:val="105"/>
          <w:sz w:val="13"/>
        </w:rPr>
        <w:t> </w:t>
      </w:r>
      <w:r>
        <w:rPr>
          <w:w w:val="105"/>
          <w:sz w:val="13"/>
        </w:rPr>
        <w:t>SC).</w:t>
      </w:r>
    </w:p>
    <w:p>
      <w:pPr>
        <w:pStyle w:val="ListParagraph"/>
        <w:numPr>
          <w:ilvl w:val="0"/>
          <w:numId w:val="106"/>
        </w:numPr>
        <w:tabs>
          <w:tab w:pos="1232" w:val="left" w:leader="none"/>
          <w:tab w:pos="1233" w:val="left" w:leader="none"/>
        </w:tabs>
        <w:spacing w:line="240" w:lineRule="auto" w:before="1" w:after="0"/>
        <w:ind w:left="1233" w:right="0" w:hanging="794"/>
        <w:jc w:val="left"/>
        <w:rPr>
          <w:sz w:val="13"/>
        </w:rPr>
      </w:pPr>
      <w:r>
        <w:rPr>
          <w:sz w:val="13"/>
        </w:rPr>
        <w:t>Ibid.</w:t>
      </w:r>
      <w:r>
        <w:rPr>
          <w:spacing w:val="8"/>
          <w:sz w:val="13"/>
        </w:rPr>
        <w:t> </w:t>
      </w:r>
      <w:r>
        <w:rPr>
          <w:sz w:val="13"/>
        </w:rPr>
        <w:t>The</w:t>
      </w:r>
      <w:r>
        <w:rPr>
          <w:spacing w:val="9"/>
          <w:sz w:val="13"/>
        </w:rPr>
        <w:t> </w:t>
      </w:r>
      <w:r>
        <w:rPr>
          <w:sz w:val="13"/>
        </w:rPr>
        <w:t>submission</w:t>
      </w:r>
      <w:r>
        <w:rPr>
          <w:spacing w:val="8"/>
          <w:sz w:val="13"/>
        </w:rPr>
        <w:t> </w:t>
      </w:r>
      <w:r>
        <w:rPr>
          <w:sz w:val="13"/>
        </w:rPr>
        <w:t>notes</w:t>
      </w:r>
      <w:r>
        <w:rPr>
          <w:spacing w:val="9"/>
          <w:sz w:val="13"/>
        </w:rPr>
        <w:t> </w:t>
      </w:r>
      <w:r>
        <w:rPr>
          <w:sz w:val="13"/>
        </w:rPr>
        <w:t>that</w:t>
      </w:r>
      <w:r>
        <w:rPr>
          <w:spacing w:val="9"/>
          <w:sz w:val="13"/>
        </w:rPr>
        <w:t> </w:t>
      </w:r>
      <w:r>
        <w:rPr>
          <w:sz w:val="13"/>
        </w:rPr>
        <w:t>this</w:t>
      </w:r>
      <w:r>
        <w:rPr>
          <w:spacing w:val="8"/>
          <w:sz w:val="13"/>
        </w:rPr>
        <w:t> </w:t>
      </w:r>
      <w:r>
        <w:rPr>
          <w:sz w:val="13"/>
        </w:rPr>
        <w:t>view</w:t>
      </w:r>
      <w:r>
        <w:rPr>
          <w:spacing w:val="9"/>
          <w:sz w:val="13"/>
        </w:rPr>
        <w:t> </w:t>
      </w:r>
      <w:r>
        <w:rPr>
          <w:sz w:val="13"/>
        </w:rPr>
        <w:t>was</w:t>
      </w:r>
      <w:r>
        <w:rPr>
          <w:spacing w:val="8"/>
          <w:sz w:val="13"/>
        </w:rPr>
        <w:t> </w:t>
      </w:r>
      <w:r>
        <w:rPr>
          <w:sz w:val="13"/>
        </w:rPr>
        <w:t>supported</w:t>
      </w:r>
      <w:r>
        <w:rPr>
          <w:spacing w:val="9"/>
          <w:sz w:val="13"/>
        </w:rPr>
        <w:t> </w:t>
      </w:r>
      <w:r>
        <w:rPr>
          <w:sz w:val="13"/>
        </w:rPr>
        <w:t>by</w:t>
      </w:r>
      <w:r>
        <w:rPr>
          <w:spacing w:val="9"/>
          <w:sz w:val="13"/>
        </w:rPr>
        <w:t> </w:t>
      </w:r>
      <w:r>
        <w:rPr>
          <w:sz w:val="13"/>
        </w:rPr>
        <w:t>other</w:t>
      </w:r>
      <w:r>
        <w:rPr>
          <w:spacing w:val="8"/>
          <w:sz w:val="13"/>
        </w:rPr>
        <w:t> </w:t>
      </w:r>
      <w:r>
        <w:rPr>
          <w:sz w:val="13"/>
        </w:rPr>
        <w:t>members</w:t>
      </w:r>
      <w:r>
        <w:rPr>
          <w:spacing w:val="9"/>
          <w:sz w:val="13"/>
        </w:rPr>
        <w:t> </w:t>
      </w:r>
      <w:r>
        <w:rPr>
          <w:sz w:val="13"/>
        </w:rPr>
        <w:t>of</w:t>
      </w:r>
      <w:r>
        <w:rPr>
          <w:spacing w:val="9"/>
          <w:sz w:val="13"/>
        </w:rPr>
        <w:t> </w:t>
      </w:r>
      <w:r>
        <w:rPr>
          <w:sz w:val="13"/>
        </w:rPr>
        <w:t>the</w:t>
      </w:r>
      <w:r>
        <w:rPr>
          <w:spacing w:val="8"/>
          <w:sz w:val="13"/>
        </w:rPr>
        <w:t> </w:t>
      </w:r>
      <w:r>
        <w:rPr>
          <w:sz w:val="13"/>
        </w:rPr>
        <w:t>Bar</w:t>
      </w:r>
      <w:r>
        <w:rPr>
          <w:spacing w:val="9"/>
          <w:sz w:val="13"/>
        </w:rPr>
        <w:t> </w:t>
      </w:r>
      <w:r>
        <w:rPr>
          <w:sz w:val="13"/>
        </w:rPr>
        <w:t>with</w:t>
      </w:r>
      <w:r>
        <w:rPr>
          <w:spacing w:val="8"/>
          <w:sz w:val="13"/>
        </w:rPr>
        <w:t> </w:t>
      </w:r>
      <w:r>
        <w:rPr>
          <w:sz w:val="13"/>
        </w:rPr>
        <w:t>whom</w:t>
      </w:r>
      <w:r>
        <w:rPr>
          <w:spacing w:val="9"/>
          <w:sz w:val="13"/>
        </w:rPr>
        <w:t> </w:t>
      </w:r>
      <w:r>
        <w:rPr>
          <w:sz w:val="13"/>
        </w:rPr>
        <w:t>it</w:t>
      </w:r>
      <w:r>
        <w:rPr>
          <w:spacing w:val="9"/>
          <w:sz w:val="13"/>
        </w:rPr>
        <w:t> </w:t>
      </w:r>
      <w:r>
        <w:rPr>
          <w:sz w:val="13"/>
        </w:rPr>
        <w:t>was</w:t>
      </w:r>
      <w:r>
        <w:rPr>
          <w:spacing w:val="8"/>
          <w:sz w:val="13"/>
        </w:rPr>
        <w:t> </w:t>
      </w:r>
      <w:r>
        <w:rPr>
          <w:sz w:val="13"/>
        </w:rPr>
        <w:t>discussed.</w:t>
      </w:r>
    </w:p>
    <w:p>
      <w:pPr>
        <w:pStyle w:val="ListParagraph"/>
        <w:numPr>
          <w:ilvl w:val="0"/>
          <w:numId w:val="106"/>
        </w:numPr>
        <w:tabs>
          <w:tab w:pos="1232" w:val="left" w:leader="none"/>
          <w:tab w:pos="1233" w:val="left" w:leader="none"/>
        </w:tabs>
        <w:spacing w:line="240" w:lineRule="auto" w:before="2" w:after="0"/>
        <w:ind w:left="1233" w:right="0" w:hanging="794"/>
        <w:jc w:val="left"/>
        <w:rPr>
          <w:sz w:val="13"/>
        </w:rPr>
      </w:pPr>
      <w:r>
        <w:rPr>
          <w:w w:val="105"/>
          <w:sz w:val="13"/>
        </w:rPr>
        <w:t>Submission 35 (Andrew</w:t>
      </w:r>
      <w:r>
        <w:rPr>
          <w:spacing w:val="14"/>
          <w:w w:val="105"/>
          <w:sz w:val="13"/>
        </w:rPr>
        <w:t> </w:t>
      </w:r>
      <w:r>
        <w:rPr>
          <w:w w:val="105"/>
          <w:sz w:val="13"/>
        </w:rPr>
        <w:t>Verspaandonk).</w:t>
      </w:r>
    </w:p>
    <w:p>
      <w:pPr>
        <w:pStyle w:val="ListParagraph"/>
        <w:numPr>
          <w:ilvl w:val="0"/>
          <w:numId w:val="106"/>
        </w:numPr>
        <w:tabs>
          <w:tab w:pos="1233" w:val="left" w:leader="none"/>
          <w:tab w:pos="1234" w:val="left" w:leader="none"/>
        </w:tabs>
        <w:spacing w:line="240" w:lineRule="auto" w:before="1" w:after="0"/>
        <w:ind w:left="1233" w:right="0" w:hanging="794"/>
        <w:jc w:val="left"/>
        <w:rPr>
          <w:sz w:val="13"/>
        </w:rPr>
      </w:pPr>
      <w:r>
        <w:rPr>
          <w:w w:val="105"/>
          <w:sz w:val="13"/>
        </w:rPr>
        <w:t>Submission 37 (Supreme Court of</w:t>
      </w:r>
      <w:r>
        <w:rPr>
          <w:spacing w:val="22"/>
          <w:w w:val="105"/>
          <w:sz w:val="13"/>
        </w:rPr>
        <w:t> </w:t>
      </w:r>
      <w:r>
        <w:rPr>
          <w:spacing w:val="2"/>
          <w:w w:val="105"/>
          <w:sz w:val="13"/>
        </w:rPr>
        <w:t>Victoria).</w:t>
      </w:r>
    </w:p>
    <w:p>
      <w:pPr>
        <w:spacing w:after="0" w:line="240" w:lineRule="auto"/>
        <w:jc w:val="left"/>
        <w:rPr>
          <w:sz w:val="13"/>
        </w:rPr>
        <w:sectPr>
          <w:type w:val="continuous"/>
          <w:pgSz w:w="11910" w:h="16840"/>
          <w:pgMar w:top="920" w:bottom="280" w:left="0" w:right="0"/>
          <w:cols w:num="2" w:equalWidth="0">
            <w:col w:w="1109" w:space="40"/>
            <w:col w:w="10761"/>
          </w:cols>
        </w:sectPr>
      </w:pPr>
    </w:p>
    <w:p>
      <w:pPr>
        <w:pStyle w:val="BodyText"/>
        <w:rPr>
          <w:sz w:val="20"/>
        </w:rPr>
      </w:pPr>
    </w:p>
    <w:p>
      <w:pPr>
        <w:pStyle w:val="BodyText"/>
        <w:rPr>
          <w:sz w:val="19"/>
        </w:rPr>
      </w:pPr>
    </w:p>
    <w:p>
      <w:pPr>
        <w:pStyle w:val="ListParagraph"/>
        <w:numPr>
          <w:ilvl w:val="0"/>
          <w:numId w:val="97"/>
        </w:numPr>
        <w:tabs>
          <w:tab w:pos="2380" w:val="left" w:leader="none"/>
          <w:tab w:pos="2381" w:val="left" w:leader="none"/>
        </w:tabs>
        <w:spacing w:line="242" w:lineRule="auto" w:before="91" w:after="0"/>
        <w:ind w:left="2381" w:right="1638" w:hanging="794"/>
        <w:jc w:val="left"/>
        <w:rPr>
          <w:sz w:val="12"/>
        </w:rPr>
      </w:pPr>
      <w:r>
        <w:rPr>
          <w:w w:val="105"/>
          <w:sz w:val="21"/>
        </w:rPr>
        <w:t>Of those who supported the introduction of a </w:t>
      </w:r>
      <w:r>
        <w:rPr>
          <w:spacing w:val="-3"/>
          <w:w w:val="105"/>
          <w:sz w:val="21"/>
        </w:rPr>
        <w:t>notional </w:t>
      </w:r>
      <w:r>
        <w:rPr>
          <w:w w:val="105"/>
          <w:sz w:val="21"/>
        </w:rPr>
        <w:t>estate scheme in Victoria, most proposed</w:t>
      </w:r>
      <w:r>
        <w:rPr>
          <w:spacing w:val="-11"/>
          <w:w w:val="105"/>
          <w:sz w:val="21"/>
        </w:rPr>
        <w:t> </w:t>
      </w:r>
      <w:r>
        <w:rPr>
          <w:w w:val="105"/>
          <w:sz w:val="21"/>
        </w:rPr>
        <w:t>departure</w:t>
      </w:r>
      <w:r>
        <w:rPr>
          <w:spacing w:val="-10"/>
          <w:w w:val="105"/>
          <w:sz w:val="21"/>
        </w:rPr>
        <w:t> </w:t>
      </w:r>
      <w:r>
        <w:rPr>
          <w:spacing w:val="-3"/>
          <w:w w:val="105"/>
          <w:sz w:val="21"/>
        </w:rPr>
        <w:t>from</w:t>
      </w:r>
      <w:r>
        <w:rPr>
          <w:spacing w:val="-10"/>
          <w:w w:val="105"/>
          <w:sz w:val="21"/>
        </w:rPr>
        <w:t> </w:t>
      </w:r>
      <w:r>
        <w:rPr>
          <w:w w:val="105"/>
          <w:sz w:val="21"/>
        </w:rPr>
        <w:t>the</w:t>
      </w:r>
      <w:r>
        <w:rPr>
          <w:spacing w:val="-10"/>
          <w:w w:val="105"/>
          <w:sz w:val="21"/>
        </w:rPr>
        <w:t> </w:t>
      </w:r>
      <w:r>
        <w:rPr>
          <w:w w:val="105"/>
          <w:sz w:val="21"/>
        </w:rPr>
        <w:t>New</w:t>
      </w:r>
      <w:r>
        <w:rPr>
          <w:spacing w:val="-10"/>
          <w:w w:val="105"/>
          <w:sz w:val="21"/>
        </w:rPr>
        <w:t> </w:t>
      </w:r>
      <w:r>
        <w:rPr>
          <w:w w:val="105"/>
          <w:sz w:val="21"/>
        </w:rPr>
        <w:t>South</w:t>
      </w:r>
      <w:r>
        <w:rPr>
          <w:spacing w:val="-11"/>
          <w:w w:val="105"/>
          <w:sz w:val="21"/>
        </w:rPr>
        <w:t> </w:t>
      </w:r>
      <w:r>
        <w:rPr>
          <w:spacing w:val="-3"/>
          <w:w w:val="105"/>
          <w:sz w:val="21"/>
        </w:rPr>
        <w:t>Wales</w:t>
      </w:r>
      <w:r>
        <w:rPr>
          <w:spacing w:val="-10"/>
          <w:w w:val="105"/>
          <w:sz w:val="21"/>
        </w:rPr>
        <w:t> </w:t>
      </w:r>
      <w:r>
        <w:rPr>
          <w:w w:val="105"/>
          <w:sz w:val="21"/>
        </w:rPr>
        <w:t>model.</w:t>
      </w:r>
      <w:r>
        <w:rPr>
          <w:spacing w:val="-10"/>
          <w:w w:val="105"/>
          <w:sz w:val="21"/>
        </w:rPr>
        <w:t> </w:t>
      </w:r>
      <w:r>
        <w:rPr>
          <w:w w:val="105"/>
          <w:sz w:val="21"/>
        </w:rPr>
        <w:t>A</w:t>
      </w:r>
      <w:r>
        <w:rPr>
          <w:spacing w:val="-10"/>
          <w:w w:val="105"/>
          <w:sz w:val="21"/>
        </w:rPr>
        <w:t> </w:t>
      </w:r>
      <w:r>
        <w:rPr>
          <w:w w:val="105"/>
          <w:sz w:val="21"/>
        </w:rPr>
        <w:t>minority</w:t>
      </w:r>
      <w:r>
        <w:rPr>
          <w:spacing w:val="-10"/>
          <w:w w:val="105"/>
          <w:sz w:val="21"/>
        </w:rPr>
        <w:t> </w:t>
      </w:r>
      <w:r>
        <w:rPr>
          <w:w w:val="105"/>
          <w:sz w:val="21"/>
        </w:rPr>
        <w:t>of</w:t>
      </w:r>
      <w:r>
        <w:rPr>
          <w:spacing w:val="-11"/>
          <w:w w:val="105"/>
          <w:sz w:val="21"/>
        </w:rPr>
        <w:t> </w:t>
      </w:r>
      <w:r>
        <w:rPr>
          <w:w w:val="105"/>
          <w:sz w:val="21"/>
        </w:rPr>
        <w:t>survey</w:t>
      </w:r>
      <w:r>
        <w:rPr>
          <w:spacing w:val="-10"/>
          <w:w w:val="105"/>
          <w:sz w:val="21"/>
        </w:rPr>
        <w:t> </w:t>
      </w:r>
      <w:r>
        <w:rPr>
          <w:w w:val="105"/>
          <w:sz w:val="21"/>
        </w:rPr>
        <w:t>respondents </w:t>
      </w:r>
      <w:r>
        <w:rPr>
          <w:spacing w:val="-3"/>
          <w:w w:val="105"/>
          <w:sz w:val="21"/>
        </w:rPr>
        <w:t>represented </w:t>
      </w:r>
      <w:r>
        <w:rPr>
          <w:w w:val="105"/>
          <w:sz w:val="21"/>
        </w:rPr>
        <w:t>in the Law </w:t>
      </w:r>
      <w:r>
        <w:rPr>
          <w:spacing w:val="-3"/>
          <w:w w:val="105"/>
          <w:sz w:val="21"/>
        </w:rPr>
        <w:t>Institute </w:t>
      </w:r>
      <w:r>
        <w:rPr>
          <w:w w:val="105"/>
          <w:sz w:val="21"/>
        </w:rPr>
        <w:t>of </w:t>
      </w:r>
      <w:r>
        <w:rPr>
          <w:spacing w:val="-3"/>
          <w:w w:val="105"/>
          <w:sz w:val="21"/>
        </w:rPr>
        <w:t>Victoria’s submission considered that notional </w:t>
      </w:r>
      <w:r>
        <w:rPr>
          <w:w w:val="105"/>
          <w:sz w:val="21"/>
        </w:rPr>
        <w:t>estate </w:t>
      </w:r>
      <w:r>
        <w:rPr>
          <w:spacing w:val="-3"/>
          <w:w w:val="105"/>
          <w:sz w:val="21"/>
        </w:rPr>
        <w:t>provisions </w:t>
      </w:r>
      <w:r>
        <w:rPr>
          <w:w w:val="105"/>
          <w:sz w:val="21"/>
        </w:rPr>
        <w:t>should be </w:t>
      </w:r>
      <w:r>
        <w:rPr>
          <w:spacing w:val="-3"/>
          <w:w w:val="105"/>
          <w:sz w:val="21"/>
        </w:rPr>
        <w:t>introduced, </w:t>
      </w:r>
      <w:r>
        <w:rPr>
          <w:w w:val="105"/>
          <w:sz w:val="21"/>
        </w:rPr>
        <w:t>but should be more </w:t>
      </w:r>
      <w:r>
        <w:rPr>
          <w:spacing w:val="-3"/>
          <w:w w:val="105"/>
          <w:sz w:val="21"/>
        </w:rPr>
        <w:t>limited </w:t>
      </w:r>
      <w:r>
        <w:rPr>
          <w:w w:val="105"/>
          <w:sz w:val="21"/>
        </w:rPr>
        <w:t>in scope </w:t>
      </w:r>
      <w:r>
        <w:rPr>
          <w:spacing w:val="-3"/>
          <w:w w:val="105"/>
          <w:sz w:val="21"/>
        </w:rPr>
        <w:t>than </w:t>
      </w:r>
      <w:r>
        <w:rPr>
          <w:w w:val="105"/>
          <w:sz w:val="21"/>
        </w:rPr>
        <w:t>the New South </w:t>
      </w:r>
      <w:r>
        <w:rPr>
          <w:spacing w:val="-3"/>
          <w:w w:val="105"/>
          <w:sz w:val="21"/>
        </w:rPr>
        <w:t>Wales provisions.</w:t>
      </w:r>
      <w:r>
        <w:rPr>
          <w:spacing w:val="-3"/>
          <w:w w:val="105"/>
          <w:position w:val="7"/>
          <w:sz w:val="12"/>
        </w:rPr>
        <w:t>319 </w:t>
      </w:r>
      <w:r>
        <w:rPr>
          <w:w w:val="105"/>
          <w:sz w:val="21"/>
        </w:rPr>
        <w:t>The </w:t>
      </w:r>
      <w:r>
        <w:rPr>
          <w:spacing w:val="-3"/>
          <w:w w:val="105"/>
          <w:sz w:val="21"/>
        </w:rPr>
        <w:t>Institute </w:t>
      </w:r>
      <w:r>
        <w:rPr>
          <w:w w:val="105"/>
          <w:sz w:val="21"/>
        </w:rPr>
        <w:t>of Legal Executives said </w:t>
      </w:r>
      <w:r>
        <w:rPr>
          <w:spacing w:val="-3"/>
          <w:w w:val="105"/>
          <w:sz w:val="21"/>
        </w:rPr>
        <w:t>that, </w:t>
      </w:r>
      <w:r>
        <w:rPr>
          <w:w w:val="105"/>
          <w:sz w:val="21"/>
        </w:rPr>
        <w:t>if </w:t>
      </w:r>
      <w:r>
        <w:rPr>
          <w:spacing w:val="-3"/>
          <w:w w:val="105"/>
          <w:sz w:val="21"/>
        </w:rPr>
        <w:t>notional </w:t>
      </w:r>
      <w:r>
        <w:rPr>
          <w:w w:val="105"/>
          <w:sz w:val="21"/>
        </w:rPr>
        <w:t>estate </w:t>
      </w:r>
      <w:r>
        <w:rPr>
          <w:spacing w:val="-3"/>
          <w:w w:val="105"/>
          <w:sz w:val="21"/>
        </w:rPr>
        <w:t>provisions</w:t>
      </w:r>
      <w:r>
        <w:rPr>
          <w:spacing w:val="-6"/>
          <w:w w:val="105"/>
          <w:sz w:val="21"/>
        </w:rPr>
        <w:t> </w:t>
      </w:r>
      <w:r>
        <w:rPr>
          <w:spacing w:val="-3"/>
          <w:w w:val="105"/>
          <w:sz w:val="21"/>
        </w:rPr>
        <w:t>were</w:t>
      </w:r>
      <w:r>
        <w:rPr>
          <w:spacing w:val="-6"/>
          <w:w w:val="105"/>
          <w:sz w:val="21"/>
        </w:rPr>
        <w:t> </w:t>
      </w:r>
      <w:r>
        <w:rPr>
          <w:spacing w:val="-3"/>
          <w:w w:val="105"/>
          <w:sz w:val="21"/>
        </w:rPr>
        <w:t>introduced,</w:t>
      </w:r>
      <w:r>
        <w:rPr>
          <w:spacing w:val="-6"/>
          <w:w w:val="105"/>
          <w:sz w:val="21"/>
        </w:rPr>
        <w:t> </w:t>
      </w:r>
      <w:r>
        <w:rPr>
          <w:w w:val="105"/>
          <w:sz w:val="21"/>
        </w:rPr>
        <w:t>they</w:t>
      </w:r>
      <w:r>
        <w:rPr>
          <w:spacing w:val="-6"/>
          <w:w w:val="105"/>
          <w:sz w:val="21"/>
        </w:rPr>
        <w:t> </w:t>
      </w:r>
      <w:r>
        <w:rPr>
          <w:w w:val="105"/>
          <w:sz w:val="21"/>
        </w:rPr>
        <w:t>should</w:t>
      </w:r>
      <w:r>
        <w:rPr>
          <w:spacing w:val="-6"/>
          <w:w w:val="105"/>
          <w:sz w:val="21"/>
        </w:rPr>
        <w:t> </w:t>
      </w:r>
      <w:r>
        <w:rPr>
          <w:w w:val="105"/>
          <w:sz w:val="21"/>
        </w:rPr>
        <w:t>be</w:t>
      </w:r>
      <w:r>
        <w:rPr>
          <w:spacing w:val="-6"/>
          <w:w w:val="105"/>
          <w:sz w:val="21"/>
        </w:rPr>
        <w:t> </w:t>
      </w:r>
      <w:r>
        <w:rPr>
          <w:spacing w:val="-3"/>
          <w:w w:val="105"/>
          <w:sz w:val="21"/>
        </w:rPr>
        <w:t>carefully</w:t>
      </w:r>
      <w:r>
        <w:rPr>
          <w:spacing w:val="-6"/>
          <w:w w:val="105"/>
          <w:sz w:val="21"/>
        </w:rPr>
        <w:t> </w:t>
      </w:r>
      <w:r>
        <w:rPr>
          <w:spacing w:val="-3"/>
          <w:w w:val="105"/>
          <w:sz w:val="21"/>
        </w:rPr>
        <w:t>drafted,</w:t>
      </w:r>
      <w:r>
        <w:rPr>
          <w:spacing w:val="-6"/>
          <w:w w:val="105"/>
          <w:sz w:val="21"/>
        </w:rPr>
        <w:t> </w:t>
      </w:r>
      <w:r>
        <w:rPr>
          <w:spacing w:val="-3"/>
          <w:w w:val="105"/>
          <w:sz w:val="21"/>
        </w:rPr>
        <w:t>to</w:t>
      </w:r>
      <w:r>
        <w:rPr>
          <w:spacing w:val="-6"/>
          <w:w w:val="105"/>
          <w:sz w:val="21"/>
        </w:rPr>
        <w:t> </w:t>
      </w:r>
      <w:r>
        <w:rPr>
          <w:spacing w:val="-3"/>
          <w:w w:val="105"/>
          <w:sz w:val="21"/>
        </w:rPr>
        <w:t>prevent</w:t>
      </w:r>
      <w:r>
        <w:rPr>
          <w:spacing w:val="-6"/>
          <w:w w:val="105"/>
          <w:sz w:val="21"/>
        </w:rPr>
        <w:t> </w:t>
      </w:r>
      <w:r>
        <w:rPr>
          <w:w w:val="105"/>
          <w:sz w:val="21"/>
        </w:rPr>
        <w:t>the</w:t>
      </w:r>
      <w:r>
        <w:rPr>
          <w:spacing w:val="-6"/>
          <w:w w:val="105"/>
          <w:sz w:val="21"/>
        </w:rPr>
        <w:t> </w:t>
      </w:r>
      <w:r>
        <w:rPr>
          <w:spacing w:val="-4"/>
          <w:w w:val="105"/>
          <w:sz w:val="21"/>
        </w:rPr>
        <w:t>unfair</w:t>
      </w:r>
      <w:r>
        <w:rPr>
          <w:spacing w:val="-6"/>
          <w:w w:val="105"/>
          <w:sz w:val="21"/>
        </w:rPr>
        <w:t> </w:t>
      </w:r>
      <w:r>
        <w:rPr>
          <w:spacing w:val="-3"/>
          <w:w w:val="105"/>
          <w:sz w:val="21"/>
        </w:rPr>
        <w:t>erosion </w:t>
      </w:r>
      <w:r>
        <w:rPr>
          <w:w w:val="105"/>
          <w:sz w:val="21"/>
        </w:rPr>
        <w:t>of a </w:t>
      </w:r>
      <w:r>
        <w:rPr>
          <w:spacing w:val="-3"/>
          <w:w w:val="105"/>
          <w:sz w:val="21"/>
        </w:rPr>
        <w:t>person’s </w:t>
      </w:r>
      <w:r>
        <w:rPr>
          <w:w w:val="105"/>
          <w:sz w:val="21"/>
        </w:rPr>
        <w:t>freedom </w:t>
      </w:r>
      <w:r>
        <w:rPr>
          <w:spacing w:val="-3"/>
          <w:w w:val="105"/>
          <w:sz w:val="21"/>
        </w:rPr>
        <w:t>to </w:t>
      </w:r>
      <w:r>
        <w:rPr>
          <w:w w:val="105"/>
          <w:sz w:val="21"/>
        </w:rPr>
        <w:t>deal with their assets </w:t>
      </w:r>
      <w:r>
        <w:rPr>
          <w:spacing w:val="-3"/>
          <w:w w:val="105"/>
          <w:sz w:val="21"/>
        </w:rPr>
        <w:t>during life.</w:t>
      </w:r>
      <w:r>
        <w:rPr>
          <w:spacing w:val="-3"/>
          <w:w w:val="105"/>
          <w:position w:val="7"/>
          <w:sz w:val="12"/>
        </w:rPr>
        <w:t>320 </w:t>
      </w:r>
      <w:r>
        <w:rPr>
          <w:w w:val="105"/>
          <w:sz w:val="21"/>
        </w:rPr>
        <w:t>Both the </w:t>
      </w:r>
      <w:r>
        <w:rPr>
          <w:spacing w:val="-4"/>
          <w:w w:val="105"/>
          <w:sz w:val="21"/>
        </w:rPr>
        <w:t>Commercial </w:t>
      </w:r>
      <w:r>
        <w:rPr>
          <w:w w:val="105"/>
          <w:sz w:val="21"/>
        </w:rPr>
        <w:t>Bar Association</w:t>
      </w:r>
      <w:r>
        <w:rPr>
          <w:spacing w:val="-11"/>
          <w:w w:val="105"/>
          <w:sz w:val="21"/>
        </w:rPr>
        <w:t> </w:t>
      </w:r>
      <w:r>
        <w:rPr>
          <w:w w:val="105"/>
          <w:sz w:val="21"/>
        </w:rPr>
        <w:t>and</w:t>
      </w:r>
      <w:r>
        <w:rPr>
          <w:spacing w:val="-11"/>
          <w:w w:val="105"/>
          <w:sz w:val="21"/>
        </w:rPr>
        <w:t> </w:t>
      </w:r>
      <w:r>
        <w:rPr>
          <w:w w:val="105"/>
          <w:sz w:val="21"/>
        </w:rPr>
        <w:t>barrister</w:t>
      </w:r>
      <w:r>
        <w:rPr>
          <w:spacing w:val="-10"/>
          <w:w w:val="105"/>
          <w:sz w:val="21"/>
        </w:rPr>
        <w:t> </w:t>
      </w:r>
      <w:r>
        <w:rPr>
          <w:spacing w:val="-3"/>
          <w:w w:val="105"/>
          <w:sz w:val="21"/>
        </w:rPr>
        <w:t>Shane</w:t>
      </w:r>
      <w:r>
        <w:rPr>
          <w:spacing w:val="-11"/>
          <w:w w:val="105"/>
          <w:sz w:val="21"/>
        </w:rPr>
        <w:t> </w:t>
      </w:r>
      <w:r>
        <w:rPr>
          <w:w w:val="105"/>
          <w:sz w:val="21"/>
        </w:rPr>
        <w:t>Newton</w:t>
      </w:r>
      <w:r>
        <w:rPr>
          <w:spacing w:val="-10"/>
          <w:w w:val="105"/>
          <w:sz w:val="21"/>
        </w:rPr>
        <w:t> </w:t>
      </w:r>
      <w:r>
        <w:rPr>
          <w:spacing w:val="-3"/>
          <w:w w:val="105"/>
          <w:sz w:val="21"/>
        </w:rPr>
        <w:t>considered</w:t>
      </w:r>
      <w:r>
        <w:rPr>
          <w:spacing w:val="-11"/>
          <w:w w:val="105"/>
          <w:sz w:val="21"/>
        </w:rPr>
        <w:t> </w:t>
      </w:r>
      <w:r>
        <w:rPr>
          <w:spacing w:val="-3"/>
          <w:w w:val="105"/>
          <w:sz w:val="21"/>
        </w:rPr>
        <w:t>that</w:t>
      </w:r>
      <w:r>
        <w:rPr>
          <w:spacing w:val="-11"/>
          <w:w w:val="105"/>
          <w:sz w:val="21"/>
        </w:rPr>
        <w:t> </w:t>
      </w:r>
      <w:r>
        <w:rPr>
          <w:spacing w:val="-3"/>
          <w:w w:val="105"/>
          <w:sz w:val="21"/>
        </w:rPr>
        <w:t>notional</w:t>
      </w:r>
      <w:r>
        <w:rPr>
          <w:spacing w:val="-10"/>
          <w:w w:val="105"/>
          <w:sz w:val="21"/>
        </w:rPr>
        <w:t> </w:t>
      </w:r>
      <w:r>
        <w:rPr>
          <w:w w:val="105"/>
          <w:sz w:val="21"/>
        </w:rPr>
        <w:t>estate</w:t>
      </w:r>
      <w:r>
        <w:rPr>
          <w:spacing w:val="-11"/>
          <w:w w:val="105"/>
          <w:sz w:val="21"/>
        </w:rPr>
        <w:t> </w:t>
      </w:r>
      <w:r>
        <w:rPr>
          <w:spacing w:val="-3"/>
          <w:w w:val="105"/>
          <w:sz w:val="21"/>
        </w:rPr>
        <w:t>provisions</w:t>
      </w:r>
      <w:r>
        <w:rPr>
          <w:spacing w:val="-10"/>
          <w:w w:val="105"/>
          <w:sz w:val="21"/>
        </w:rPr>
        <w:t> </w:t>
      </w:r>
      <w:r>
        <w:rPr>
          <w:w w:val="105"/>
          <w:sz w:val="21"/>
        </w:rPr>
        <w:t>should be </w:t>
      </w:r>
      <w:r>
        <w:rPr>
          <w:spacing w:val="-3"/>
          <w:w w:val="105"/>
          <w:sz w:val="21"/>
        </w:rPr>
        <w:t>introduced, </w:t>
      </w:r>
      <w:r>
        <w:rPr>
          <w:w w:val="105"/>
          <w:sz w:val="21"/>
        </w:rPr>
        <w:t>but should apply only </w:t>
      </w:r>
      <w:r>
        <w:rPr>
          <w:spacing w:val="-3"/>
          <w:w w:val="105"/>
          <w:sz w:val="21"/>
        </w:rPr>
        <w:t>to </w:t>
      </w:r>
      <w:r>
        <w:rPr>
          <w:w w:val="105"/>
          <w:sz w:val="21"/>
        </w:rPr>
        <w:t>transactions </w:t>
      </w:r>
      <w:r>
        <w:rPr>
          <w:spacing w:val="-3"/>
          <w:w w:val="105"/>
          <w:sz w:val="21"/>
        </w:rPr>
        <w:t>entered </w:t>
      </w:r>
      <w:r>
        <w:rPr>
          <w:spacing w:val="-4"/>
          <w:w w:val="105"/>
          <w:sz w:val="21"/>
        </w:rPr>
        <w:t>into </w:t>
      </w:r>
      <w:r>
        <w:rPr>
          <w:w w:val="105"/>
          <w:sz w:val="21"/>
        </w:rPr>
        <w:t>with the </w:t>
      </w:r>
      <w:r>
        <w:rPr>
          <w:spacing w:val="-3"/>
          <w:w w:val="105"/>
          <w:sz w:val="21"/>
        </w:rPr>
        <w:t>intention </w:t>
      </w:r>
      <w:r>
        <w:rPr>
          <w:w w:val="105"/>
          <w:sz w:val="21"/>
        </w:rPr>
        <w:t>of </w:t>
      </w:r>
      <w:r>
        <w:rPr>
          <w:spacing w:val="-3"/>
          <w:w w:val="105"/>
          <w:sz w:val="21"/>
        </w:rPr>
        <w:t>defeating </w:t>
      </w:r>
      <w:r>
        <w:rPr>
          <w:w w:val="105"/>
          <w:sz w:val="21"/>
        </w:rPr>
        <w:t>a </w:t>
      </w:r>
      <w:r>
        <w:rPr>
          <w:spacing w:val="-3"/>
          <w:w w:val="105"/>
          <w:sz w:val="21"/>
        </w:rPr>
        <w:t>claim for family</w:t>
      </w:r>
      <w:r>
        <w:rPr>
          <w:spacing w:val="35"/>
          <w:w w:val="105"/>
          <w:sz w:val="21"/>
        </w:rPr>
        <w:t> </w:t>
      </w:r>
      <w:r>
        <w:rPr>
          <w:spacing w:val="-3"/>
          <w:w w:val="105"/>
          <w:sz w:val="21"/>
        </w:rPr>
        <w:t>provision.</w:t>
      </w:r>
      <w:r>
        <w:rPr>
          <w:spacing w:val="-3"/>
          <w:w w:val="105"/>
          <w:position w:val="7"/>
          <w:sz w:val="12"/>
        </w:rPr>
        <w:t>321</w:t>
      </w:r>
    </w:p>
    <w:p>
      <w:pPr>
        <w:pStyle w:val="ListParagraph"/>
        <w:numPr>
          <w:ilvl w:val="0"/>
          <w:numId w:val="97"/>
        </w:numPr>
        <w:tabs>
          <w:tab w:pos="2380" w:val="left" w:leader="none"/>
          <w:tab w:pos="2381" w:val="left" w:leader="none"/>
        </w:tabs>
        <w:spacing w:line="242" w:lineRule="auto" w:before="131" w:after="0"/>
        <w:ind w:left="2381" w:right="1825" w:hanging="794"/>
        <w:jc w:val="left"/>
        <w:rPr>
          <w:sz w:val="21"/>
        </w:rPr>
      </w:pPr>
      <w:r>
        <w:rPr>
          <w:w w:val="105"/>
          <w:sz w:val="21"/>
        </w:rPr>
        <w:t>Participants</w:t>
      </w:r>
      <w:r>
        <w:rPr>
          <w:spacing w:val="-10"/>
          <w:w w:val="105"/>
          <w:sz w:val="21"/>
        </w:rPr>
        <w:t> </w:t>
      </w:r>
      <w:r>
        <w:rPr>
          <w:w w:val="105"/>
          <w:sz w:val="21"/>
        </w:rPr>
        <w:t>in</w:t>
      </w:r>
      <w:r>
        <w:rPr>
          <w:spacing w:val="-10"/>
          <w:w w:val="105"/>
          <w:sz w:val="21"/>
        </w:rPr>
        <w:t> </w:t>
      </w:r>
      <w:r>
        <w:rPr>
          <w:spacing w:val="-3"/>
          <w:w w:val="105"/>
          <w:sz w:val="21"/>
        </w:rPr>
        <w:t>consultations</w:t>
      </w:r>
      <w:r>
        <w:rPr>
          <w:spacing w:val="-10"/>
          <w:w w:val="105"/>
          <w:sz w:val="21"/>
        </w:rPr>
        <w:t> </w:t>
      </w:r>
      <w:r>
        <w:rPr>
          <w:w w:val="105"/>
          <w:sz w:val="21"/>
        </w:rPr>
        <w:t>in</w:t>
      </w:r>
      <w:r>
        <w:rPr>
          <w:spacing w:val="-10"/>
          <w:w w:val="105"/>
          <w:sz w:val="21"/>
        </w:rPr>
        <w:t> </w:t>
      </w:r>
      <w:r>
        <w:rPr>
          <w:w w:val="105"/>
          <w:sz w:val="21"/>
        </w:rPr>
        <w:t>New</w:t>
      </w:r>
      <w:r>
        <w:rPr>
          <w:spacing w:val="-10"/>
          <w:w w:val="105"/>
          <w:sz w:val="21"/>
        </w:rPr>
        <w:t> </w:t>
      </w:r>
      <w:r>
        <w:rPr>
          <w:w w:val="105"/>
          <w:sz w:val="21"/>
        </w:rPr>
        <w:t>South</w:t>
      </w:r>
      <w:r>
        <w:rPr>
          <w:spacing w:val="-9"/>
          <w:w w:val="105"/>
          <w:sz w:val="21"/>
        </w:rPr>
        <w:t> </w:t>
      </w:r>
      <w:r>
        <w:rPr>
          <w:spacing w:val="-3"/>
          <w:w w:val="105"/>
          <w:sz w:val="21"/>
        </w:rPr>
        <w:t>Wales</w:t>
      </w:r>
      <w:r>
        <w:rPr>
          <w:spacing w:val="-10"/>
          <w:w w:val="105"/>
          <w:sz w:val="21"/>
        </w:rPr>
        <w:t> </w:t>
      </w:r>
      <w:r>
        <w:rPr>
          <w:spacing w:val="-3"/>
          <w:w w:val="105"/>
          <w:sz w:val="21"/>
        </w:rPr>
        <w:t>were</w:t>
      </w:r>
      <w:r>
        <w:rPr>
          <w:spacing w:val="-10"/>
          <w:w w:val="105"/>
          <w:sz w:val="21"/>
        </w:rPr>
        <w:t> </w:t>
      </w:r>
      <w:r>
        <w:rPr>
          <w:w w:val="105"/>
          <w:sz w:val="21"/>
        </w:rPr>
        <w:t>supportive</w:t>
      </w:r>
      <w:r>
        <w:rPr>
          <w:spacing w:val="-10"/>
          <w:w w:val="105"/>
          <w:sz w:val="21"/>
        </w:rPr>
        <w:t> </w:t>
      </w:r>
      <w:r>
        <w:rPr>
          <w:w w:val="105"/>
          <w:sz w:val="21"/>
        </w:rPr>
        <w:t>of</w:t>
      </w:r>
      <w:r>
        <w:rPr>
          <w:spacing w:val="-10"/>
          <w:w w:val="105"/>
          <w:sz w:val="21"/>
        </w:rPr>
        <w:t> </w:t>
      </w:r>
      <w:r>
        <w:rPr>
          <w:w w:val="105"/>
          <w:sz w:val="21"/>
        </w:rPr>
        <w:t>the</w:t>
      </w:r>
      <w:r>
        <w:rPr>
          <w:spacing w:val="-10"/>
          <w:w w:val="105"/>
          <w:sz w:val="21"/>
        </w:rPr>
        <w:t> </w:t>
      </w:r>
      <w:r>
        <w:rPr>
          <w:spacing w:val="-3"/>
          <w:w w:val="105"/>
          <w:sz w:val="21"/>
        </w:rPr>
        <w:t>notional</w:t>
      </w:r>
      <w:r>
        <w:rPr>
          <w:spacing w:val="-9"/>
          <w:w w:val="105"/>
          <w:sz w:val="21"/>
        </w:rPr>
        <w:t> </w:t>
      </w:r>
      <w:r>
        <w:rPr>
          <w:w w:val="105"/>
          <w:sz w:val="21"/>
        </w:rPr>
        <w:t>estate scheme,</w:t>
      </w:r>
      <w:r>
        <w:rPr>
          <w:w w:val="105"/>
          <w:position w:val="7"/>
          <w:sz w:val="12"/>
        </w:rPr>
        <w:t>322 </w:t>
      </w:r>
      <w:r>
        <w:rPr>
          <w:w w:val="105"/>
          <w:sz w:val="21"/>
        </w:rPr>
        <w:t>and the </w:t>
      </w:r>
      <w:r>
        <w:rPr>
          <w:spacing w:val="-3"/>
          <w:w w:val="105"/>
          <w:sz w:val="21"/>
        </w:rPr>
        <w:t>submission </w:t>
      </w:r>
      <w:r>
        <w:rPr>
          <w:w w:val="105"/>
          <w:sz w:val="21"/>
        </w:rPr>
        <w:t>of the Elder Law and </w:t>
      </w:r>
      <w:r>
        <w:rPr>
          <w:spacing w:val="-3"/>
          <w:w w:val="105"/>
          <w:sz w:val="21"/>
        </w:rPr>
        <w:t>Succession Committee </w:t>
      </w:r>
      <w:r>
        <w:rPr>
          <w:w w:val="105"/>
          <w:sz w:val="21"/>
        </w:rPr>
        <w:t>of the Law Society of New South </w:t>
      </w:r>
      <w:r>
        <w:rPr>
          <w:spacing w:val="-3"/>
          <w:w w:val="105"/>
          <w:sz w:val="21"/>
        </w:rPr>
        <w:t>Wales </w:t>
      </w:r>
      <w:r>
        <w:rPr>
          <w:w w:val="105"/>
          <w:sz w:val="21"/>
        </w:rPr>
        <w:t>expressed the view </w:t>
      </w:r>
      <w:r>
        <w:rPr>
          <w:spacing w:val="-3"/>
          <w:w w:val="105"/>
          <w:sz w:val="21"/>
        </w:rPr>
        <w:t>that ‘if </w:t>
      </w:r>
      <w:r>
        <w:rPr>
          <w:w w:val="105"/>
          <w:sz w:val="21"/>
        </w:rPr>
        <w:t>one subscribes </w:t>
      </w:r>
      <w:r>
        <w:rPr>
          <w:spacing w:val="-3"/>
          <w:w w:val="105"/>
          <w:sz w:val="21"/>
        </w:rPr>
        <w:t>to </w:t>
      </w:r>
      <w:r>
        <w:rPr>
          <w:w w:val="105"/>
          <w:sz w:val="21"/>
        </w:rPr>
        <w:t>the </w:t>
      </w:r>
      <w:r>
        <w:rPr>
          <w:spacing w:val="-3"/>
          <w:w w:val="105"/>
          <w:sz w:val="21"/>
        </w:rPr>
        <w:t>concept </w:t>
      </w:r>
      <w:r>
        <w:rPr>
          <w:w w:val="105"/>
          <w:sz w:val="21"/>
        </w:rPr>
        <w:t>of </w:t>
      </w:r>
      <w:r>
        <w:rPr>
          <w:spacing w:val="-3"/>
          <w:w w:val="105"/>
          <w:sz w:val="21"/>
        </w:rPr>
        <w:t>family provision, </w:t>
      </w:r>
      <w:r>
        <w:rPr>
          <w:w w:val="105"/>
          <w:sz w:val="21"/>
        </w:rPr>
        <w:t>then the </w:t>
      </w:r>
      <w:r>
        <w:rPr>
          <w:spacing w:val="-3"/>
          <w:w w:val="105"/>
          <w:sz w:val="21"/>
        </w:rPr>
        <w:t>concept </w:t>
      </w:r>
      <w:r>
        <w:rPr>
          <w:w w:val="105"/>
          <w:sz w:val="21"/>
        </w:rPr>
        <w:t>of </w:t>
      </w:r>
      <w:r>
        <w:rPr>
          <w:spacing w:val="-3"/>
          <w:w w:val="105"/>
          <w:sz w:val="21"/>
        </w:rPr>
        <w:t>notional </w:t>
      </w:r>
      <w:r>
        <w:rPr>
          <w:w w:val="105"/>
          <w:sz w:val="21"/>
        </w:rPr>
        <w:t>estate must</w:t>
      </w:r>
      <w:r>
        <w:rPr>
          <w:spacing w:val="32"/>
          <w:w w:val="105"/>
          <w:sz w:val="21"/>
        </w:rPr>
        <w:t> </w:t>
      </w:r>
      <w:r>
        <w:rPr>
          <w:spacing w:val="-4"/>
          <w:w w:val="105"/>
          <w:sz w:val="21"/>
        </w:rPr>
        <w:t>follow’.</w:t>
      </w:r>
      <w:r>
        <w:rPr>
          <w:spacing w:val="-4"/>
          <w:w w:val="105"/>
          <w:position w:val="7"/>
          <w:sz w:val="12"/>
        </w:rPr>
        <w:t>323 </w:t>
      </w:r>
      <w:r>
        <w:rPr>
          <w:spacing w:val="-4"/>
          <w:w w:val="105"/>
          <w:sz w:val="21"/>
        </w:rPr>
        <w:t>However,</w:t>
      </w:r>
    </w:p>
    <w:p>
      <w:pPr>
        <w:pStyle w:val="BodyText"/>
        <w:spacing w:line="242" w:lineRule="auto" w:before="4"/>
        <w:ind w:left="2381" w:right="1826"/>
        <w:rPr>
          <w:sz w:val="12"/>
        </w:rPr>
      </w:pPr>
      <w:r>
        <w:rPr/>
        <w:t>representatives of the NSW </w:t>
      </w:r>
      <w:r>
        <w:rPr>
          <w:spacing w:val="-4"/>
        </w:rPr>
        <w:t>Trustee </w:t>
      </w:r>
      <w:r>
        <w:rPr/>
        <w:t>and </w:t>
      </w:r>
      <w:r>
        <w:rPr>
          <w:spacing w:val="-3"/>
        </w:rPr>
        <w:t>Guardian noted that </w:t>
      </w:r>
      <w:r>
        <w:rPr/>
        <w:t>it is typically the transactions </w:t>
      </w:r>
      <w:r>
        <w:rPr>
          <w:spacing w:val="-3"/>
        </w:rPr>
        <w:t>within </w:t>
      </w:r>
      <w:r>
        <w:rPr>
          <w:spacing w:val="-9"/>
        </w:rPr>
        <w:t>12 </w:t>
      </w:r>
      <w:r>
        <w:rPr>
          <w:spacing w:val="-3"/>
        </w:rPr>
        <w:t>months </w:t>
      </w:r>
      <w:r>
        <w:rPr/>
        <w:t>of the deceased </w:t>
      </w:r>
      <w:r>
        <w:rPr>
          <w:spacing w:val="-3"/>
        </w:rPr>
        <w:t>person’s </w:t>
      </w:r>
      <w:r>
        <w:rPr/>
        <w:t>death </w:t>
      </w:r>
      <w:r>
        <w:rPr>
          <w:spacing w:val="-3"/>
        </w:rPr>
        <w:t>that are </w:t>
      </w:r>
      <w:r>
        <w:rPr/>
        <w:t>the target of </w:t>
      </w:r>
      <w:r>
        <w:rPr>
          <w:spacing w:val="-3"/>
        </w:rPr>
        <w:t>applications for notional estate, </w:t>
      </w:r>
      <w:r>
        <w:rPr/>
        <w:t>where no </w:t>
      </w:r>
      <w:r>
        <w:rPr>
          <w:spacing w:val="-3"/>
        </w:rPr>
        <w:t>intention </w:t>
      </w:r>
      <w:r>
        <w:rPr/>
        <w:t>needs </w:t>
      </w:r>
      <w:r>
        <w:rPr>
          <w:spacing w:val="-3"/>
        </w:rPr>
        <w:t>to </w:t>
      </w:r>
      <w:r>
        <w:rPr/>
        <w:t>be </w:t>
      </w:r>
      <w:r>
        <w:rPr>
          <w:spacing w:val="-3"/>
        </w:rPr>
        <w:t>proved.</w:t>
      </w:r>
      <w:r>
        <w:rPr>
          <w:spacing w:val="-3"/>
          <w:position w:val="7"/>
          <w:sz w:val="12"/>
        </w:rPr>
        <w:t>324 </w:t>
      </w:r>
      <w:r>
        <w:rPr>
          <w:spacing w:val="-4"/>
        </w:rPr>
        <w:t>Consultees  </w:t>
      </w:r>
      <w:r>
        <w:rPr/>
        <w:t>also  </w:t>
      </w:r>
      <w:r>
        <w:rPr>
          <w:spacing w:val="-3"/>
        </w:rPr>
        <w:t>noted  that notional</w:t>
      </w:r>
      <w:r>
        <w:rPr>
          <w:spacing w:val="15"/>
        </w:rPr>
        <w:t> </w:t>
      </w:r>
      <w:r>
        <w:rPr/>
        <w:t>estate</w:t>
      </w:r>
      <w:r>
        <w:rPr>
          <w:spacing w:val="15"/>
        </w:rPr>
        <w:t> </w:t>
      </w:r>
      <w:r>
        <w:rPr/>
        <w:t>is</w:t>
      </w:r>
      <w:r>
        <w:rPr>
          <w:spacing w:val="15"/>
        </w:rPr>
        <w:t> </w:t>
      </w:r>
      <w:r>
        <w:rPr>
          <w:spacing w:val="-3"/>
        </w:rPr>
        <w:t>primarily</w:t>
      </w:r>
      <w:r>
        <w:rPr>
          <w:spacing w:val="15"/>
        </w:rPr>
        <w:t> </w:t>
      </w:r>
      <w:r>
        <w:rPr/>
        <w:t>used</w:t>
      </w:r>
      <w:r>
        <w:rPr>
          <w:spacing w:val="15"/>
        </w:rPr>
        <w:t> </w:t>
      </w:r>
      <w:r>
        <w:rPr>
          <w:spacing w:val="-3"/>
        </w:rPr>
        <w:t>to</w:t>
      </w:r>
      <w:r>
        <w:rPr>
          <w:spacing w:val="16"/>
        </w:rPr>
        <w:t> </w:t>
      </w:r>
      <w:r>
        <w:rPr/>
        <w:t>meet</w:t>
      </w:r>
      <w:r>
        <w:rPr>
          <w:spacing w:val="15"/>
        </w:rPr>
        <w:t> </w:t>
      </w:r>
      <w:r>
        <w:rPr/>
        <w:t>orders</w:t>
      </w:r>
      <w:r>
        <w:rPr>
          <w:spacing w:val="15"/>
        </w:rPr>
        <w:t> </w:t>
      </w:r>
      <w:r>
        <w:rPr>
          <w:spacing w:val="-3"/>
        </w:rPr>
        <w:t>for</w:t>
      </w:r>
      <w:r>
        <w:rPr>
          <w:spacing w:val="15"/>
        </w:rPr>
        <w:t> </w:t>
      </w:r>
      <w:r>
        <w:rPr>
          <w:spacing w:val="-3"/>
        </w:rPr>
        <w:t>family</w:t>
      </w:r>
      <w:r>
        <w:rPr>
          <w:spacing w:val="15"/>
        </w:rPr>
        <w:t> </w:t>
      </w:r>
      <w:r>
        <w:rPr>
          <w:spacing w:val="-3"/>
        </w:rPr>
        <w:t>provision,</w:t>
      </w:r>
      <w:r>
        <w:rPr>
          <w:spacing w:val="16"/>
        </w:rPr>
        <w:t> </w:t>
      </w:r>
      <w:r>
        <w:rPr>
          <w:spacing w:val="-2"/>
        </w:rPr>
        <w:t>not</w:t>
      </w:r>
      <w:r>
        <w:rPr>
          <w:spacing w:val="15"/>
        </w:rPr>
        <w:t> </w:t>
      </w:r>
      <w:r>
        <w:rPr/>
        <w:t>costs</w:t>
      </w:r>
      <w:r>
        <w:rPr>
          <w:spacing w:val="15"/>
        </w:rPr>
        <w:t> </w:t>
      </w:r>
      <w:r>
        <w:rPr/>
        <w:t>orders.</w:t>
      </w:r>
      <w:r>
        <w:rPr>
          <w:position w:val="7"/>
          <w:sz w:val="12"/>
        </w:rPr>
        <w:t>325</w:t>
      </w:r>
    </w:p>
    <w:p>
      <w:pPr>
        <w:pStyle w:val="ListParagraph"/>
        <w:numPr>
          <w:ilvl w:val="0"/>
          <w:numId w:val="97"/>
        </w:numPr>
        <w:tabs>
          <w:tab w:pos="2380" w:val="left" w:leader="none"/>
          <w:tab w:pos="2381" w:val="left" w:leader="none"/>
        </w:tabs>
        <w:spacing w:line="242" w:lineRule="auto" w:before="125" w:after="0"/>
        <w:ind w:left="2381" w:right="1615" w:hanging="794"/>
        <w:jc w:val="left"/>
        <w:rPr>
          <w:sz w:val="21"/>
        </w:rPr>
      </w:pPr>
      <w:r>
        <w:rPr>
          <w:spacing w:val="-6"/>
          <w:w w:val="105"/>
          <w:sz w:val="21"/>
        </w:rPr>
        <w:t>The</w:t>
      </w:r>
      <w:r>
        <w:rPr>
          <w:spacing w:val="-17"/>
          <w:w w:val="105"/>
          <w:sz w:val="21"/>
        </w:rPr>
        <w:t> </w:t>
      </w:r>
      <w:r>
        <w:rPr>
          <w:spacing w:val="-10"/>
          <w:w w:val="105"/>
          <w:sz w:val="21"/>
        </w:rPr>
        <w:t>Commission</w:t>
      </w:r>
      <w:r>
        <w:rPr>
          <w:spacing w:val="-17"/>
          <w:w w:val="105"/>
          <w:sz w:val="21"/>
        </w:rPr>
        <w:t> </w:t>
      </w:r>
      <w:r>
        <w:rPr>
          <w:spacing w:val="-9"/>
          <w:w w:val="105"/>
          <w:sz w:val="21"/>
        </w:rPr>
        <w:t>considers</w:t>
      </w:r>
      <w:r>
        <w:rPr>
          <w:spacing w:val="-17"/>
          <w:w w:val="105"/>
          <w:sz w:val="21"/>
        </w:rPr>
        <w:t> </w:t>
      </w:r>
      <w:r>
        <w:rPr>
          <w:spacing w:val="-8"/>
          <w:w w:val="105"/>
          <w:sz w:val="21"/>
        </w:rPr>
        <w:t>that</w:t>
      </w:r>
      <w:r>
        <w:rPr>
          <w:spacing w:val="-17"/>
          <w:w w:val="105"/>
          <w:sz w:val="21"/>
        </w:rPr>
        <w:t> </w:t>
      </w:r>
      <w:r>
        <w:rPr>
          <w:w w:val="105"/>
          <w:sz w:val="21"/>
        </w:rPr>
        <w:t>a</w:t>
      </w:r>
      <w:r>
        <w:rPr>
          <w:spacing w:val="-17"/>
          <w:w w:val="105"/>
          <w:sz w:val="21"/>
        </w:rPr>
        <w:t> </w:t>
      </w:r>
      <w:r>
        <w:rPr>
          <w:spacing w:val="-9"/>
          <w:w w:val="105"/>
          <w:sz w:val="21"/>
        </w:rPr>
        <w:t>notional</w:t>
      </w:r>
      <w:r>
        <w:rPr>
          <w:spacing w:val="-17"/>
          <w:w w:val="105"/>
          <w:sz w:val="21"/>
        </w:rPr>
        <w:t> </w:t>
      </w:r>
      <w:r>
        <w:rPr>
          <w:spacing w:val="-8"/>
          <w:w w:val="105"/>
          <w:sz w:val="21"/>
        </w:rPr>
        <w:t>estate</w:t>
      </w:r>
      <w:r>
        <w:rPr>
          <w:spacing w:val="-16"/>
          <w:w w:val="105"/>
          <w:sz w:val="21"/>
        </w:rPr>
        <w:t> </w:t>
      </w:r>
      <w:r>
        <w:rPr>
          <w:spacing w:val="-8"/>
          <w:w w:val="105"/>
          <w:sz w:val="21"/>
        </w:rPr>
        <w:t>scheme</w:t>
      </w:r>
      <w:r>
        <w:rPr>
          <w:spacing w:val="-17"/>
          <w:w w:val="105"/>
          <w:sz w:val="21"/>
        </w:rPr>
        <w:t> </w:t>
      </w:r>
      <w:r>
        <w:rPr>
          <w:spacing w:val="-8"/>
          <w:w w:val="105"/>
          <w:sz w:val="21"/>
        </w:rPr>
        <w:t>that</w:t>
      </w:r>
      <w:r>
        <w:rPr>
          <w:spacing w:val="-17"/>
          <w:w w:val="105"/>
          <w:sz w:val="21"/>
        </w:rPr>
        <w:t> </w:t>
      </w:r>
      <w:r>
        <w:rPr>
          <w:spacing w:val="-8"/>
          <w:w w:val="105"/>
          <w:sz w:val="21"/>
        </w:rPr>
        <w:t>only</w:t>
      </w:r>
      <w:r>
        <w:rPr>
          <w:spacing w:val="-17"/>
          <w:w w:val="105"/>
          <w:sz w:val="21"/>
        </w:rPr>
        <w:t> </w:t>
      </w:r>
      <w:r>
        <w:rPr>
          <w:spacing w:val="-9"/>
          <w:w w:val="105"/>
          <w:sz w:val="21"/>
        </w:rPr>
        <w:t>applied</w:t>
      </w:r>
      <w:r>
        <w:rPr>
          <w:spacing w:val="-17"/>
          <w:w w:val="105"/>
          <w:sz w:val="21"/>
        </w:rPr>
        <w:t> </w:t>
      </w:r>
      <w:r>
        <w:rPr>
          <w:spacing w:val="-6"/>
          <w:w w:val="105"/>
          <w:sz w:val="21"/>
        </w:rPr>
        <w:t>to</w:t>
      </w:r>
      <w:r>
        <w:rPr>
          <w:spacing w:val="-17"/>
          <w:w w:val="105"/>
          <w:sz w:val="21"/>
        </w:rPr>
        <w:t> </w:t>
      </w:r>
      <w:r>
        <w:rPr>
          <w:spacing w:val="-9"/>
          <w:w w:val="105"/>
          <w:sz w:val="21"/>
        </w:rPr>
        <w:t>transactions</w:t>
      </w:r>
      <w:r>
        <w:rPr>
          <w:spacing w:val="-17"/>
          <w:w w:val="105"/>
          <w:sz w:val="21"/>
        </w:rPr>
        <w:t> </w:t>
      </w:r>
      <w:r>
        <w:rPr>
          <w:spacing w:val="-9"/>
          <w:w w:val="105"/>
          <w:sz w:val="21"/>
        </w:rPr>
        <w:t>entered into </w:t>
      </w:r>
      <w:r>
        <w:rPr>
          <w:spacing w:val="-7"/>
          <w:w w:val="105"/>
          <w:sz w:val="21"/>
        </w:rPr>
        <w:t>with the </w:t>
      </w:r>
      <w:r>
        <w:rPr>
          <w:spacing w:val="-10"/>
          <w:w w:val="105"/>
          <w:sz w:val="21"/>
        </w:rPr>
        <w:t>intention </w:t>
      </w:r>
      <w:r>
        <w:rPr>
          <w:spacing w:val="-6"/>
          <w:w w:val="105"/>
          <w:sz w:val="21"/>
        </w:rPr>
        <w:t>of </w:t>
      </w:r>
      <w:r>
        <w:rPr>
          <w:spacing w:val="-9"/>
          <w:w w:val="105"/>
          <w:sz w:val="21"/>
        </w:rPr>
        <w:t>avoiding family provision obligations could </w:t>
      </w:r>
      <w:r>
        <w:rPr>
          <w:spacing w:val="-4"/>
          <w:w w:val="105"/>
          <w:sz w:val="21"/>
        </w:rPr>
        <w:t>be </w:t>
      </w:r>
      <w:r>
        <w:rPr>
          <w:spacing w:val="-9"/>
          <w:w w:val="105"/>
          <w:sz w:val="21"/>
        </w:rPr>
        <w:t>easily </w:t>
      </w:r>
      <w:r>
        <w:rPr>
          <w:spacing w:val="-10"/>
          <w:w w:val="105"/>
          <w:sz w:val="21"/>
        </w:rPr>
        <w:t>circumvented. Further,</w:t>
      </w:r>
      <w:r>
        <w:rPr>
          <w:spacing w:val="-17"/>
          <w:w w:val="105"/>
          <w:sz w:val="21"/>
        </w:rPr>
        <w:t> </w:t>
      </w:r>
      <w:r>
        <w:rPr>
          <w:spacing w:val="-10"/>
          <w:w w:val="105"/>
          <w:sz w:val="21"/>
        </w:rPr>
        <w:t>intention</w:t>
      </w:r>
      <w:r>
        <w:rPr>
          <w:spacing w:val="-17"/>
          <w:w w:val="105"/>
          <w:sz w:val="21"/>
        </w:rPr>
        <w:t> </w:t>
      </w:r>
      <w:r>
        <w:rPr>
          <w:spacing w:val="-6"/>
          <w:w w:val="105"/>
          <w:sz w:val="21"/>
        </w:rPr>
        <w:t>is</w:t>
      </w:r>
      <w:r>
        <w:rPr>
          <w:spacing w:val="-17"/>
          <w:w w:val="105"/>
          <w:sz w:val="21"/>
        </w:rPr>
        <w:t> </w:t>
      </w:r>
      <w:r>
        <w:rPr>
          <w:spacing w:val="-8"/>
          <w:w w:val="105"/>
          <w:sz w:val="21"/>
        </w:rPr>
        <w:t>difficult</w:t>
      </w:r>
      <w:r>
        <w:rPr>
          <w:spacing w:val="-16"/>
          <w:w w:val="105"/>
          <w:sz w:val="21"/>
        </w:rPr>
        <w:t> </w:t>
      </w:r>
      <w:r>
        <w:rPr>
          <w:spacing w:val="-6"/>
          <w:w w:val="105"/>
          <w:sz w:val="21"/>
        </w:rPr>
        <w:t>to</w:t>
      </w:r>
      <w:r>
        <w:rPr>
          <w:spacing w:val="-17"/>
          <w:w w:val="105"/>
          <w:sz w:val="21"/>
        </w:rPr>
        <w:t> </w:t>
      </w:r>
      <w:r>
        <w:rPr>
          <w:spacing w:val="-10"/>
          <w:w w:val="105"/>
          <w:sz w:val="21"/>
        </w:rPr>
        <w:t>prove,</w:t>
      </w:r>
      <w:r>
        <w:rPr>
          <w:spacing w:val="-17"/>
          <w:w w:val="105"/>
          <w:sz w:val="21"/>
        </w:rPr>
        <w:t> </w:t>
      </w:r>
      <w:r>
        <w:rPr>
          <w:spacing w:val="-5"/>
          <w:w w:val="105"/>
          <w:sz w:val="21"/>
        </w:rPr>
        <w:t>as</w:t>
      </w:r>
      <w:r>
        <w:rPr>
          <w:spacing w:val="-16"/>
          <w:w w:val="105"/>
          <w:sz w:val="21"/>
        </w:rPr>
        <w:t> </w:t>
      </w:r>
      <w:r>
        <w:rPr>
          <w:spacing w:val="-9"/>
          <w:w w:val="105"/>
          <w:sz w:val="21"/>
        </w:rPr>
        <w:t>evidenced</w:t>
      </w:r>
      <w:r>
        <w:rPr>
          <w:spacing w:val="-17"/>
          <w:w w:val="105"/>
          <w:sz w:val="21"/>
        </w:rPr>
        <w:t> </w:t>
      </w:r>
      <w:r>
        <w:rPr>
          <w:spacing w:val="-6"/>
          <w:w w:val="105"/>
          <w:sz w:val="21"/>
        </w:rPr>
        <w:t>by</w:t>
      </w:r>
      <w:r>
        <w:rPr>
          <w:spacing w:val="-17"/>
          <w:w w:val="105"/>
          <w:sz w:val="21"/>
        </w:rPr>
        <w:t> </w:t>
      </w:r>
      <w:r>
        <w:rPr>
          <w:spacing w:val="-7"/>
          <w:w w:val="105"/>
          <w:sz w:val="21"/>
        </w:rPr>
        <w:t>the</w:t>
      </w:r>
      <w:r>
        <w:rPr>
          <w:spacing w:val="-17"/>
          <w:w w:val="105"/>
          <w:sz w:val="21"/>
        </w:rPr>
        <w:t> </w:t>
      </w:r>
      <w:r>
        <w:rPr>
          <w:spacing w:val="-8"/>
          <w:w w:val="105"/>
          <w:sz w:val="21"/>
        </w:rPr>
        <w:t>clear</w:t>
      </w:r>
      <w:r>
        <w:rPr>
          <w:spacing w:val="-16"/>
          <w:w w:val="105"/>
          <w:sz w:val="21"/>
        </w:rPr>
        <w:t> </w:t>
      </w:r>
      <w:r>
        <w:rPr>
          <w:spacing w:val="-10"/>
          <w:w w:val="105"/>
          <w:sz w:val="21"/>
        </w:rPr>
        <w:t>preference</w:t>
      </w:r>
      <w:r>
        <w:rPr>
          <w:spacing w:val="-17"/>
          <w:w w:val="105"/>
          <w:sz w:val="21"/>
        </w:rPr>
        <w:t> </w:t>
      </w:r>
      <w:r>
        <w:rPr>
          <w:spacing w:val="-8"/>
          <w:w w:val="105"/>
          <w:sz w:val="21"/>
        </w:rPr>
        <w:t>for</w:t>
      </w:r>
      <w:r>
        <w:rPr>
          <w:spacing w:val="-17"/>
          <w:w w:val="105"/>
          <w:sz w:val="21"/>
        </w:rPr>
        <w:t> </w:t>
      </w:r>
      <w:r>
        <w:rPr>
          <w:spacing w:val="-7"/>
          <w:w w:val="105"/>
          <w:sz w:val="21"/>
        </w:rPr>
        <w:t>the</w:t>
      </w:r>
      <w:r>
        <w:rPr>
          <w:spacing w:val="-17"/>
          <w:w w:val="105"/>
          <w:sz w:val="21"/>
        </w:rPr>
        <w:t> </w:t>
      </w:r>
      <w:r>
        <w:rPr>
          <w:spacing w:val="-9"/>
          <w:w w:val="105"/>
          <w:sz w:val="21"/>
        </w:rPr>
        <w:t>notional</w:t>
      </w:r>
      <w:r>
        <w:rPr>
          <w:spacing w:val="-16"/>
          <w:w w:val="105"/>
          <w:sz w:val="21"/>
        </w:rPr>
        <w:t> </w:t>
      </w:r>
      <w:r>
        <w:rPr>
          <w:spacing w:val="-8"/>
          <w:w w:val="105"/>
          <w:sz w:val="21"/>
        </w:rPr>
        <w:t>estate </w:t>
      </w:r>
      <w:r>
        <w:rPr>
          <w:spacing w:val="-9"/>
          <w:w w:val="105"/>
          <w:sz w:val="21"/>
        </w:rPr>
        <w:t>provisions</w:t>
      </w:r>
      <w:r>
        <w:rPr>
          <w:spacing w:val="-12"/>
          <w:w w:val="105"/>
          <w:sz w:val="21"/>
        </w:rPr>
        <w:t> </w:t>
      </w:r>
      <w:r>
        <w:rPr>
          <w:spacing w:val="-6"/>
          <w:w w:val="105"/>
          <w:sz w:val="21"/>
        </w:rPr>
        <w:t>in</w:t>
      </w:r>
      <w:r>
        <w:rPr>
          <w:spacing w:val="-12"/>
          <w:w w:val="105"/>
          <w:sz w:val="21"/>
        </w:rPr>
        <w:t> </w:t>
      </w:r>
      <w:r>
        <w:rPr>
          <w:spacing w:val="-6"/>
          <w:w w:val="105"/>
          <w:sz w:val="21"/>
        </w:rPr>
        <w:t>New</w:t>
      </w:r>
      <w:r>
        <w:rPr>
          <w:spacing w:val="-11"/>
          <w:w w:val="105"/>
          <w:sz w:val="21"/>
        </w:rPr>
        <w:t> </w:t>
      </w:r>
      <w:r>
        <w:rPr>
          <w:spacing w:val="-8"/>
          <w:w w:val="105"/>
          <w:sz w:val="21"/>
        </w:rPr>
        <w:t>South</w:t>
      </w:r>
      <w:r>
        <w:rPr>
          <w:spacing w:val="-12"/>
          <w:w w:val="105"/>
          <w:sz w:val="21"/>
        </w:rPr>
        <w:t> </w:t>
      </w:r>
      <w:r>
        <w:rPr>
          <w:spacing w:val="-9"/>
          <w:w w:val="105"/>
          <w:sz w:val="21"/>
        </w:rPr>
        <w:t>Wales</w:t>
      </w:r>
      <w:r>
        <w:rPr>
          <w:spacing w:val="-11"/>
          <w:w w:val="105"/>
          <w:sz w:val="21"/>
        </w:rPr>
        <w:t> </w:t>
      </w:r>
      <w:r>
        <w:rPr>
          <w:spacing w:val="-8"/>
          <w:w w:val="105"/>
          <w:sz w:val="21"/>
        </w:rPr>
        <w:t>which</w:t>
      </w:r>
      <w:r>
        <w:rPr>
          <w:spacing w:val="-12"/>
          <w:w w:val="105"/>
          <w:sz w:val="21"/>
        </w:rPr>
        <w:t> </w:t>
      </w:r>
      <w:r>
        <w:rPr>
          <w:spacing w:val="-4"/>
          <w:w w:val="105"/>
          <w:sz w:val="21"/>
        </w:rPr>
        <w:t>do</w:t>
      </w:r>
      <w:r>
        <w:rPr>
          <w:spacing w:val="-11"/>
          <w:w w:val="105"/>
          <w:sz w:val="21"/>
        </w:rPr>
        <w:t> </w:t>
      </w:r>
      <w:r>
        <w:rPr>
          <w:spacing w:val="-7"/>
          <w:w w:val="105"/>
          <w:sz w:val="21"/>
        </w:rPr>
        <w:t>not</w:t>
      </w:r>
      <w:r>
        <w:rPr>
          <w:spacing w:val="-12"/>
          <w:w w:val="105"/>
          <w:sz w:val="21"/>
        </w:rPr>
        <w:t> </w:t>
      </w:r>
      <w:r>
        <w:rPr>
          <w:spacing w:val="-9"/>
          <w:w w:val="105"/>
          <w:sz w:val="21"/>
        </w:rPr>
        <w:t>require</w:t>
      </w:r>
      <w:r>
        <w:rPr>
          <w:spacing w:val="-11"/>
          <w:w w:val="105"/>
          <w:sz w:val="21"/>
        </w:rPr>
        <w:t> </w:t>
      </w:r>
      <w:r>
        <w:rPr>
          <w:spacing w:val="-8"/>
          <w:w w:val="105"/>
          <w:sz w:val="21"/>
        </w:rPr>
        <w:t>proof</w:t>
      </w:r>
      <w:r>
        <w:rPr>
          <w:spacing w:val="-12"/>
          <w:w w:val="105"/>
          <w:sz w:val="21"/>
        </w:rPr>
        <w:t> </w:t>
      </w:r>
      <w:r>
        <w:rPr>
          <w:spacing w:val="-6"/>
          <w:w w:val="105"/>
          <w:sz w:val="21"/>
        </w:rPr>
        <w:t>of</w:t>
      </w:r>
      <w:r>
        <w:rPr>
          <w:spacing w:val="-11"/>
          <w:w w:val="105"/>
          <w:sz w:val="21"/>
        </w:rPr>
        <w:t> </w:t>
      </w:r>
      <w:r>
        <w:rPr>
          <w:spacing w:val="-10"/>
          <w:w w:val="105"/>
          <w:sz w:val="21"/>
        </w:rPr>
        <w:t>intention</w:t>
      </w:r>
      <w:r>
        <w:rPr>
          <w:spacing w:val="-12"/>
          <w:w w:val="105"/>
          <w:sz w:val="21"/>
        </w:rPr>
        <w:t> </w:t>
      </w:r>
      <w:r>
        <w:rPr>
          <w:spacing w:val="-6"/>
          <w:w w:val="105"/>
          <w:sz w:val="21"/>
        </w:rPr>
        <w:t>to</w:t>
      </w:r>
      <w:r>
        <w:rPr>
          <w:spacing w:val="-11"/>
          <w:w w:val="105"/>
          <w:sz w:val="21"/>
        </w:rPr>
        <w:t> </w:t>
      </w:r>
      <w:r>
        <w:rPr>
          <w:spacing w:val="-9"/>
          <w:w w:val="105"/>
          <w:sz w:val="21"/>
        </w:rPr>
        <w:t>defeat</w:t>
      </w:r>
      <w:r>
        <w:rPr>
          <w:spacing w:val="-12"/>
          <w:w w:val="105"/>
          <w:sz w:val="21"/>
        </w:rPr>
        <w:t> </w:t>
      </w:r>
      <w:r>
        <w:rPr>
          <w:w w:val="105"/>
          <w:sz w:val="21"/>
        </w:rPr>
        <w:t>a</w:t>
      </w:r>
      <w:r>
        <w:rPr>
          <w:spacing w:val="-11"/>
          <w:w w:val="105"/>
          <w:sz w:val="21"/>
        </w:rPr>
        <w:t> </w:t>
      </w:r>
      <w:r>
        <w:rPr>
          <w:spacing w:val="-9"/>
          <w:w w:val="105"/>
          <w:sz w:val="21"/>
        </w:rPr>
        <w:t>possible</w:t>
      </w:r>
    </w:p>
    <w:p>
      <w:pPr>
        <w:pStyle w:val="BodyText"/>
        <w:spacing w:line="242" w:lineRule="auto" w:before="4"/>
        <w:ind w:left="2380" w:right="1751"/>
      </w:pPr>
      <w:r>
        <w:rPr>
          <w:spacing w:val="-9"/>
          <w:w w:val="105"/>
        </w:rPr>
        <w:t>family provision claim. </w:t>
      </w:r>
      <w:r>
        <w:rPr>
          <w:spacing w:val="-6"/>
          <w:w w:val="105"/>
        </w:rPr>
        <w:t>The </w:t>
      </w:r>
      <w:r>
        <w:rPr>
          <w:spacing w:val="-10"/>
          <w:w w:val="105"/>
        </w:rPr>
        <w:t>Commission </w:t>
      </w:r>
      <w:r>
        <w:rPr>
          <w:spacing w:val="-8"/>
          <w:w w:val="105"/>
        </w:rPr>
        <w:t>also agrees that any </w:t>
      </w:r>
      <w:r>
        <w:rPr>
          <w:spacing w:val="-9"/>
          <w:w w:val="105"/>
        </w:rPr>
        <w:t>notional </w:t>
      </w:r>
      <w:r>
        <w:rPr>
          <w:spacing w:val="-8"/>
          <w:w w:val="105"/>
        </w:rPr>
        <w:t>estate scheme that </w:t>
      </w:r>
      <w:r>
        <w:rPr>
          <w:spacing w:val="-6"/>
          <w:w w:val="105"/>
        </w:rPr>
        <w:t>does </w:t>
      </w:r>
      <w:r>
        <w:rPr>
          <w:spacing w:val="-7"/>
          <w:w w:val="105"/>
        </w:rPr>
        <w:t>not </w:t>
      </w:r>
      <w:r>
        <w:rPr>
          <w:spacing w:val="-9"/>
          <w:w w:val="105"/>
        </w:rPr>
        <w:t>require </w:t>
      </w:r>
      <w:r>
        <w:rPr>
          <w:spacing w:val="-7"/>
          <w:w w:val="105"/>
        </w:rPr>
        <w:t>some </w:t>
      </w:r>
      <w:r>
        <w:rPr>
          <w:spacing w:val="-10"/>
          <w:w w:val="105"/>
        </w:rPr>
        <w:t>intention </w:t>
      </w:r>
      <w:r>
        <w:rPr>
          <w:spacing w:val="-5"/>
          <w:w w:val="105"/>
        </w:rPr>
        <w:t>on </w:t>
      </w:r>
      <w:r>
        <w:rPr>
          <w:spacing w:val="-7"/>
          <w:w w:val="105"/>
        </w:rPr>
        <w:t>the </w:t>
      </w:r>
      <w:r>
        <w:rPr>
          <w:spacing w:val="-6"/>
          <w:w w:val="105"/>
        </w:rPr>
        <w:t>part of </w:t>
      </w:r>
      <w:r>
        <w:rPr>
          <w:spacing w:val="-7"/>
          <w:w w:val="105"/>
        </w:rPr>
        <w:t>the </w:t>
      </w:r>
      <w:r>
        <w:rPr>
          <w:spacing w:val="-8"/>
          <w:w w:val="105"/>
        </w:rPr>
        <w:t>deceased </w:t>
      </w:r>
      <w:r>
        <w:rPr>
          <w:spacing w:val="-7"/>
          <w:w w:val="105"/>
        </w:rPr>
        <w:t>person risks </w:t>
      </w:r>
      <w:r>
        <w:rPr>
          <w:spacing w:val="-8"/>
          <w:w w:val="105"/>
        </w:rPr>
        <w:t>being </w:t>
      </w:r>
      <w:r>
        <w:rPr>
          <w:spacing w:val="-7"/>
          <w:w w:val="105"/>
        </w:rPr>
        <w:t>too </w:t>
      </w:r>
      <w:r>
        <w:rPr>
          <w:spacing w:val="-10"/>
          <w:w w:val="105"/>
        </w:rPr>
        <w:t>far-reaching </w:t>
      </w:r>
      <w:r>
        <w:rPr>
          <w:spacing w:val="-7"/>
          <w:w w:val="105"/>
        </w:rPr>
        <w:t>and </w:t>
      </w:r>
      <w:r>
        <w:rPr>
          <w:spacing w:val="-9"/>
          <w:w w:val="105"/>
        </w:rPr>
        <w:t>unduly </w:t>
      </w:r>
      <w:r>
        <w:rPr>
          <w:spacing w:val="-10"/>
          <w:w w:val="105"/>
        </w:rPr>
        <w:t>limiting </w:t>
      </w:r>
      <w:r>
        <w:rPr>
          <w:spacing w:val="-6"/>
          <w:w w:val="105"/>
        </w:rPr>
        <w:t>of </w:t>
      </w:r>
      <w:r>
        <w:rPr>
          <w:w w:val="105"/>
        </w:rPr>
        <w:t>a </w:t>
      </w:r>
      <w:r>
        <w:rPr>
          <w:spacing w:val="-9"/>
          <w:w w:val="105"/>
        </w:rPr>
        <w:t>person’s right </w:t>
      </w:r>
      <w:r>
        <w:rPr>
          <w:spacing w:val="-6"/>
          <w:w w:val="105"/>
        </w:rPr>
        <w:t>to </w:t>
      </w:r>
      <w:r>
        <w:rPr>
          <w:spacing w:val="-8"/>
          <w:w w:val="105"/>
        </w:rPr>
        <w:t>dispose </w:t>
      </w:r>
      <w:r>
        <w:rPr>
          <w:spacing w:val="-6"/>
          <w:w w:val="105"/>
        </w:rPr>
        <w:t>of </w:t>
      </w:r>
      <w:r>
        <w:rPr>
          <w:spacing w:val="-8"/>
          <w:w w:val="105"/>
        </w:rPr>
        <w:t>their </w:t>
      </w:r>
      <w:r>
        <w:rPr>
          <w:spacing w:val="-7"/>
          <w:w w:val="105"/>
        </w:rPr>
        <w:t>property </w:t>
      </w:r>
      <w:r>
        <w:rPr>
          <w:spacing w:val="-9"/>
          <w:w w:val="105"/>
        </w:rPr>
        <w:t>during </w:t>
      </w:r>
      <w:r>
        <w:rPr>
          <w:spacing w:val="-8"/>
          <w:w w:val="105"/>
        </w:rPr>
        <w:t>their </w:t>
      </w:r>
      <w:r>
        <w:rPr>
          <w:spacing w:val="-10"/>
          <w:w w:val="105"/>
        </w:rPr>
        <w:t>life.</w:t>
      </w:r>
    </w:p>
    <w:p>
      <w:pPr>
        <w:pStyle w:val="ListParagraph"/>
        <w:numPr>
          <w:ilvl w:val="0"/>
          <w:numId w:val="97"/>
        </w:numPr>
        <w:tabs>
          <w:tab w:pos="2380" w:val="left" w:leader="none"/>
          <w:tab w:pos="2381" w:val="left" w:leader="none"/>
        </w:tabs>
        <w:spacing w:line="242" w:lineRule="auto" w:before="123" w:after="0"/>
        <w:ind w:left="2380" w:right="1716" w:hanging="793"/>
        <w:jc w:val="left"/>
        <w:rPr>
          <w:sz w:val="12"/>
        </w:rPr>
      </w:pPr>
      <w:r>
        <w:rPr>
          <w:w w:val="105"/>
          <w:sz w:val="21"/>
        </w:rPr>
        <w:t>The</w:t>
      </w:r>
      <w:r>
        <w:rPr>
          <w:spacing w:val="-11"/>
          <w:w w:val="105"/>
          <w:sz w:val="21"/>
        </w:rPr>
        <w:t> </w:t>
      </w:r>
      <w:r>
        <w:rPr>
          <w:w w:val="105"/>
          <w:sz w:val="21"/>
        </w:rPr>
        <w:t>New</w:t>
      </w:r>
      <w:r>
        <w:rPr>
          <w:spacing w:val="-11"/>
          <w:w w:val="105"/>
          <w:sz w:val="21"/>
        </w:rPr>
        <w:t> </w:t>
      </w:r>
      <w:r>
        <w:rPr>
          <w:w w:val="105"/>
          <w:sz w:val="21"/>
        </w:rPr>
        <w:t>South</w:t>
      </w:r>
      <w:r>
        <w:rPr>
          <w:spacing w:val="-11"/>
          <w:w w:val="105"/>
          <w:sz w:val="21"/>
        </w:rPr>
        <w:t> </w:t>
      </w:r>
      <w:r>
        <w:rPr>
          <w:spacing w:val="-3"/>
          <w:w w:val="105"/>
          <w:sz w:val="21"/>
        </w:rPr>
        <w:t>Wales</w:t>
      </w:r>
      <w:r>
        <w:rPr>
          <w:spacing w:val="-11"/>
          <w:w w:val="105"/>
          <w:sz w:val="21"/>
        </w:rPr>
        <w:t> </w:t>
      </w:r>
      <w:r>
        <w:rPr>
          <w:spacing w:val="-3"/>
          <w:w w:val="105"/>
          <w:sz w:val="21"/>
        </w:rPr>
        <w:t>notional</w:t>
      </w:r>
      <w:r>
        <w:rPr>
          <w:spacing w:val="-11"/>
          <w:w w:val="105"/>
          <w:sz w:val="21"/>
        </w:rPr>
        <w:t> </w:t>
      </w:r>
      <w:r>
        <w:rPr>
          <w:w w:val="105"/>
          <w:sz w:val="21"/>
        </w:rPr>
        <w:t>estate</w:t>
      </w:r>
      <w:r>
        <w:rPr>
          <w:spacing w:val="-11"/>
          <w:w w:val="105"/>
          <w:sz w:val="21"/>
        </w:rPr>
        <w:t> </w:t>
      </w:r>
      <w:r>
        <w:rPr>
          <w:spacing w:val="-3"/>
          <w:w w:val="105"/>
          <w:sz w:val="21"/>
        </w:rPr>
        <w:t>provisions</w:t>
      </w:r>
      <w:r>
        <w:rPr>
          <w:spacing w:val="-11"/>
          <w:w w:val="105"/>
          <w:sz w:val="21"/>
        </w:rPr>
        <w:t> </w:t>
      </w:r>
      <w:r>
        <w:rPr>
          <w:w w:val="105"/>
          <w:sz w:val="21"/>
        </w:rPr>
        <w:t>themselves</w:t>
      </w:r>
      <w:r>
        <w:rPr>
          <w:spacing w:val="-10"/>
          <w:w w:val="105"/>
          <w:sz w:val="21"/>
        </w:rPr>
        <w:t> </w:t>
      </w:r>
      <w:r>
        <w:rPr>
          <w:spacing w:val="-3"/>
          <w:w w:val="105"/>
          <w:sz w:val="21"/>
        </w:rPr>
        <w:t>were</w:t>
      </w:r>
      <w:r>
        <w:rPr>
          <w:spacing w:val="-11"/>
          <w:w w:val="105"/>
          <w:sz w:val="21"/>
        </w:rPr>
        <w:t> </w:t>
      </w:r>
      <w:r>
        <w:rPr>
          <w:spacing w:val="-2"/>
          <w:w w:val="105"/>
          <w:sz w:val="21"/>
        </w:rPr>
        <w:t>not</w:t>
      </w:r>
      <w:r>
        <w:rPr>
          <w:spacing w:val="-11"/>
          <w:w w:val="105"/>
          <w:sz w:val="21"/>
        </w:rPr>
        <w:t> </w:t>
      </w:r>
      <w:r>
        <w:rPr>
          <w:w w:val="105"/>
          <w:sz w:val="21"/>
        </w:rPr>
        <w:t>purpose-designed, </w:t>
      </w:r>
      <w:r>
        <w:rPr>
          <w:spacing w:val="-3"/>
          <w:w w:val="105"/>
          <w:sz w:val="21"/>
        </w:rPr>
        <w:t>having </w:t>
      </w:r>
      <w:r>
        <w:rPr>
          <w:w w:val="105"/>
          <w:sz w:val="21"/>
        </w:rPr>
        <w:t>been based on the former death duty</w:t>
      </w:r>
      <w:r>
        <w:rPr>
          <w:spacing w:val="35"/>
          <w:w w:val="105"/>
          <w:sz w:val="21"/>
        </w:rPr>
        <w:t> </w:t>
      </w:r>
      <w:r>
        <w:rPr>
          <w:spacing w:val="-3"/>
          <w:w w:val="105"/>
          <w:sz w:val="21"/>
        </w:rPr>
        <w:t>provisions.</w:t>
      </w:r>
      <w:r>
        <w:rPr>
          <w:spacing w:val="-3"/>
          <w:w w:val="105"/>
          <w:position w:val="7"/>
          <w:sz w:val="12"/>
        </w:rPr>
        <w:t>326</w:t>
      </w:r>
    </w:p>
    <w:p>
      <w:pPr>
        <w:pStyle w:val="ListParagraph"/>
        <w:numPr>
          <w:ilvl w:val="0"/>
          <w:numId w:val="97"/>
        </w:numPr>
        <w:tabs>
          <w:tab w:pos="2381" w:val="left" w:leader="none"/>
          <w:tab w:pos="2382" w:val="left" w:leader="none"/>
        </w:tabs>
        <w:spacing w:line="242" w:lineRule="auto" w:before="123" w:after="0"/>
        <w:ind w:left="2381" w:right="1734" w:hanging="794"/>
        <w:jc w:val="left"/>
        <w:rPr>
          <w:sz w:val="21"/>
        </w:rPr>
      </w:pPr>
      <w:r>
        <w:rPr>
          <w:sz w:val="21"/>
        </w:rPr>
        <w:t>The </w:t>
      </w:r>
      <w:r>
        <w:rPr>
          <w:spacing w:val="-3"/>
          <w:sz w:val="21"/>
        </w:rPr>
        <w:t>Commission </w:t>
      </w:r>
      <w:r>
        <w:rPr>
          <w:sz w:val="21"/>
        </w:rPr>
        <w:t>also considers </w:t>
      </w:r>
      <w:r>
        <w:rPr>
          <w:spacing w:val="-3"/>
          <w:sz w:val="21"/>
        </w:rPr>
        <w:t>that any </w:t>
      </w:r>
      <w:r>
        <w:rPr>
          <w:sz w:val="21"/>
        </w:rPr>
        <w:t>transaction </w:t>
      </w:r>
      <w:r>
        <w:rPr>
          <w:spacing w:val="-3"/>
          <w:sz w:val="21"/>
        </w:rPr>
        <w:t>entered </w:t>
      </w:r>
      <w:r>
        <w:rPr>
          <w:spacing w:val="-4"/>
          <w:sz w:val="21"/>
        </w:rPr>
        <w:t>into </w:t>
      </w:r>
      <w:r>
        <w:rPr>
          <w:spacing w:val="-3"/>
          <w:sz w:val="21"/>
        </w:rPr>
        <w:t>before  </w:t>
      </w:r>
      <w:r>
        <w:rPr>
          <w:sz w:val="21"/>
        </w:rPr>
        <w:t>death </w:t>
      </w:r>
      <w:r>
        <w:rPr>
          <w:spacing w:val="-3"/>
          <w:sz w:val="21"/>
        </w:rPr>
        <w:t>may</w:t>
      </w:r>
      <w:r>
        <w:rPr>
          <w:spacing w:val="41"/>
          <w:sz w:val="21"/>
        </w:rPr>
        <w:t> </w:t>
      </w:r>
      <w:r>
        <w:rPr>
          <w:spacing w:val="-3"/>
          <w:sz w:val="21"/>
        </w:rPr>
        <w:t>have </w:t>
      </w:r>
      <w:r>
        <w:rPr>
          <w:sz w:val="21"/>
        </w:rPr>
        <w:t>the effect of benefiting the same people who </w:t>
      </w:r>
      <w:r>
        <w:rPr>
          <w:spacing w:val="-3"/>
          <w:sz w:val="21"/>
        </w:rPr>
        <w:t>could later  </w:t>
      </w:r>
      <w:r>
        <w:rPr>
          <w:sz w:val="21"/>
        </w:rPr>
        <w:t>be </w:t>
      </w:r>
      <w:r>
        <w:rPr>
          <w:spacing w:val="-3"/>
          <w:sz w:val="21"/>
        </w:rPr>
        <w:t>family</w:t>
      </w:r>
      <w:r>
        <w:rPr>
          <w:spacing w:val="41"/>
          <w:sz w:val="21"/>
        </w:rPr>
        <w:t> </w:t>
      </w:r>
      <w:r>
        <w:rPr>
          <w:spacing w:val="-3"/>
          <w:sz w:val="21"/>
        </w:rPr>
        <w:t>provision  claimants.  </w:t>
      </w:r>
      <w:r>
        <w:rPr>
          <w:sz w:val="21"/>
        </w:rPr>
        <w:t>The gift </w:t>
      </w:r>
      <w:r>
        <w:rPr>
          <w:spacing w:val="-3"/>
          <w:sz w:val="21"/>
        </w:rPr>
        <w:t>during life may </w:t>
      </w:r>
      <w:r>
        <w:rPr>
          <w:sz w:val="21"/>
        </w:rPr>
        <w:t>give effect </w:t>
      </w:r>
      <w:r>
        <w:rPr>
          <w:spacing w:val="-3"/>
          <w:sz w:val="21"/>
        </w:rPr>
        <w:t>to </w:t>
      </w:r>
      <w:r>
        <w:rPr>
          <w:sz w:val="21"/>
        </w:rPr>
        <w:t>the </w:t>
      </w:r>
      <w:r>
        <w:rPr>
          <w:spacing w:val="-3"/>
          <w:sz w:val="21"/>
        </w:rPr>
        <w:t>person’s responsibility to provide, </w:t>
      </w:r>
      <w:r>
        <w:rPr>
          <w:sz w:val="21"/>
        </w:rPr>
        <w:t>but does this </w:t>
      </w:r>
      <w:r>
        <w:rPr>
          <w:spacing w:val="-3"/>
          <w:sz w:val="21"/>
        </w:rPr>
        <w:t>before </w:t>
      </w:r>
      <w:r>
        <w:rPr>
          <w:sz w:val="21"/>
        </w:rPr>
        <w:t>death </w:t>
      </w:r>
      <w:r>
        <w:rPr>
          <w:spacing w:val="-3"/>
          <w:sz w:val="21"/>
        </w:rPr>
        <w:t>rather than</w:t>
      </w:r>
      <w:r>
        <w:rPr>
          <w:spacing w:val="41"/>
          <w:sz w:val="21"/>
        </w:rPr>
        <w:t> </w:t>
      </w:r>
      <w:r>
        <w:rPr>
          <w:spacing w:val="-4"/>
          <w:sz w:val="21"/>
        </w:rPr>
        <w:t>after.</w:t>
      </w:r>
    </w:p>
    <w:p>
      <w:pPr>
        <w:pStyle w:val="ListParagraph"/>
        <w:numPr>
          <w:ilvl w:val="0"/>
          <w:numId w:val="97"/>
        </w:numPr>
        <w:tabs>
          <w:tab w:pos="2380" w:val="left" w:leader="none"/>
          <w:tab w:pos="2381" w:val="left" w:leader="none"/>
        </w:tabs>
        <w:spacing w:line="242" w:lineRule="auto" w:before="124" w:after="0"/>
        <w:ind w:left="2380" w:right="1844" w:hanging="793"/>
        <w:jc w:val="left"/>
        <w:rPr>
          <w:sz w:val="21"/>
        </w:rPr>
      </w:pPr>
      <w:r>
        <w:rPr>
          <w:w w:val="105"/>
          <w:sz w:val="21"/>
        </w:rPr>
        <w:t>In</w:t>
      </w:r>
      <w:r>
        <w:rPr>
          <w:spacing w:val="-8"/>
          <w:w w:val="105"/>
          <w:sz w:val="21"/>
        </w:rPr>
        <w:t> </w:t>
      </w:r>
      <w:r>
        <w:rPr>
          <w:w w:val="105"/>
          <w:sz w:val="21"/>
        </w:rPr>
        <w:t>the</w:t>
      </w:r>
      <w:r>
        <w:rPr>
          <w:spacing w:val="-7"/>
          <w:w w:val="105"/>
          <w:sz w:val="21"/>
        </w:rPr>
        <w:t> </w:t>
      </w:r>
      <w:r>
        <w:rPr>
          <w:w w:val="105"/>
          <w:sz w:val="21"/>
        </w:rPr>
        <w:t>absence</w:t>
      </w:r>
      <w:r>
        <w:rPr>
          <w:spacing w:val="-7"/>
          <w:w w:val="105"/>
          <w:sz w:val="21"/>
        </w:rPr>
        <w:t> </w:t>
      </w:r>
      <w:r>
        <w:rPr>
          <w:w w:val="105"/>
          <w:sz w:val="21"/>
        </w:rPr>
        <w:t>of</w:t>
      </w:r>
      <w:r>
        <w:rPr>
          <w:spacing w:val="-8"/>
          <w:w w:val="105"/>
          <w:sz w:val="21"/>
        </w:rPr>
        <w:t> </w:t>
      </w:r>
      <w:r>
        <w:rPr>
          <w:spacing w:val="-3"/>
          <w:w w:val="105"/>
          <w:sz w:val="21"/>
        </w:rPr>
        <w:t>clear</w:t>
      </w:r>
      <w:r>
        <w:rPr>
          <w:spacing w:val="-7"/>
          <w:w w:val="105"/>
          <w:sz w:val="21"/>
        </w:rPr>
        <w:t> </w:t>
      </w:r>
      <w:r>
        <w:rPr>
          <w:w w:val="105"/>
          <w:sz w:val="21"/>
        </w:rPr>
        <w:t>evidence</w:t>
      </w:r>
      <w:r>
        <w:rPr>
          <w:spacing w:val="-7"/>
          <w:w w:val="105"/>
          <w:sz w:val="21"/>
        </w:rPr>
        <w:t> </w:t>
      </w:r>
      <w:r>
        <w:rPr>
          <w:spacing w:val="-3"/>
          <w:w w:val="105"/>
          <w:sz w:val="21"/>
        </w:rPr>
        <w:t>demonstrating</w:t>
      </w:r>
      <w:r>
        <w:rPr>
          <w:spacing w:val="-8"/>
          <w:w w:val="105"/>
          <w:sz w:val="21"/>
        </w:rPr>
        <w:t> </w:t>
      </w:r>
      <w:r>
        <w:rPr>
          <w:w w:val="105"/>
          <w:sz w:val="21"/>
        </w:rPr>
        <w:t>the</w:t>
      </w:r>
      <w:r>
        <w:rPr>
          <w:spacing w:val="-7"/>
          <w:w w:val="105"/>
          <w:sz w:val="21"/>
        </w:rPr>
        <w:t> </w:t>
      </w:r>
      <w:r>
        <w:rPr>
          <w:w w:val="105"/>
          <w:sz w:val="21"/>
        </w:rPr>
        <w:t>need</w:t>
      </w:r>
      <w:r>
        <w:rPr>
          <w:spacing w:val="-7"/>
          <w:w w:val="105"/>
          <w:sz w:val="21"/>
        </w:rPr>
        <w:t> </w:t>
      </w:r>
      <w:r>
        <w:rPr>
          <w:spacing w:val="-3"/>
          <w:w w:val="105"/>
          <w:sz w:val="21"/>
        </w:rPr>
        <w:t>for</w:t>
      </w:r>
      <w:r>
        <w:rPr>
          <w:spacing w:val="-7"/>
          <w:w w:val="105"/>
          <w:sz w:val="21"/>
        </w:rPr>
        <w:t> </w:t>
      </w:r>
      <w:r>
        <w:rPr>
          <w:spacing w:val="-3"/>
          <w:w w:val="105"/>
          <w:sz w:val="21"/>
        </w:rPr>
        <w:t>such</w:t>
      </w:r>
      <w:r>
        <w:rPr>
          <w:spacing w:val="-8"/>
          <w:w w:val="105"/>
          <w:sz w:val="21"/>
        </w:rPr>
        <w:t> </w:t>
      </w:r>
      <w:r>
        <w:rPr>
          <w:spacing w:val="-3"/>
          <w:w w:val="105"/>
          <w:sz w:val="21"/>
        </w:rPr>
        <w:t>provisions</w:t>
      </w:r>
      <w:r>
        <w:rPr>
          <w:spacing w:val="-7"/>
          <w:w w:val="105"/>
          <w:sz w:val="21"/>
        </w:rPr>
        <w:t> </w:t>
      </w:r>
      <w:r>
        <w:rPr>
          <w:w w:val="105"/>
          <w:sz w:val="21"/>
        </w:rPr>
        <w:t>in</w:t>
      </w:r>
      <w:r>
        <w:rPr>
          <w:spacing w:val="-7"/>
          <w:w w:val="105"/>
          <w:sz w:val="21"/>
        </w:rPr>
        <w:t> </w:t>
      </w:r>
      <w:r>
        <w:rPr>
          <w:w w:val="105"/>
          <w:sz w:val="21"/>
        </w:rPr>
        <w:t>Victoria, or the effectiveness of </w:t>
      </w:r>
      <w:r>
        <w:rPr>
          <w:spacing w:val="-3"/>
          <w:w w:val="105"/>
          <w:sz w:val="21"/>
        </w:rPr>
        <w:t>such provisions </w:t>
      </w:r>
      <w:r>
        <w:rPr>
          <w:w w:val="105"/>
          <w:sz w:val="21"/>
        </w:rPr>
        <w:t>in New South </w:t>
      </w:r>
      <w:r>
        <w:rPr>
          <w:spacing w:val="-3"/>
          <w:w w:val="105"/>
          <w:sz w:val="21"/>
        </w:rPr>
        <w:t>Wales, </w:t>
      </w:r>
      <w:r>
        <w:rPr>
          <w:w w:val="105"/>
          <w:sz w:val="21"/>
        </w:rPr>
        <w:t>the </w:t>
      </w:r>
      <w:r>
        <w:rPr>
          <w:spacing w:val="-3"/>
          <w:w w:val="105"/>
          <w:sz w:val="21"/>
        </w:rPr>
        <w:t>Commission </w:t>
      </w:r>
      <w:r>
        <w:rPr>
          <w:w w:val="105"/>
          <w:sz w:val="21"/>
        </w:rPr>
        <w:t>does </w:t>
      </w:r>
      <w:r>
        <w:rPr>
          <w:spacing w:val="-2"/>
          <w:w w:val="105"/>
          <w:sz w:val="21"/>
        </w:rPr>
        <w:t>not </w:t>
      </w:r>
      <w:r>
        <w:rPr>
          <w:spacing w:val="-3"/>
          <w:w w:val="105"/>
          <w:sz w:val="21"/>
        </w:rPr>
        <w:t>recommend </w:t>
      </w:r>
      <w:r>
        <w:rPr>
          <w:w w:val="105"/>
          <w:sz w:val="21"/>
        </w:rPr>
        <w:t>the introduction of </w:t>
      </w:r>
      <w:r>
        <w:rPr>
          <w:spacing w:val="-3"/>
          <w:w w:val="105"/>
          <w:sz w:val="21"/>
        </w:rPr>
        <w:t>notional </w:t>
      </w:r>
      <w:r>
        <w:rPr>
          <w:w w:val="105"/>
          <w:sz w:val="21"/>
        </w:rPr>
        <w:t>estate </w:t>
      </w:r>
      <w:r>
        <w:rPr>
          <w:spacing w:val="-3"/>
          <w:w w:val="105"/>
          <w:sz w:val="21"/>
        </w:rPr>
        <w:t>provisions </w:t>
      </w:r>
      <w:r>
        <w:rPr>
          <w:w w:val="105"/>
          <w:sz w:val="21"/>
        </w:rPr>
        <w:t>in</w:t>
      </w:r>
      <w:r>
        <w:rPr>
          <w:spacing w:val="21"/>
          <w:w w:val="105"/>
          <w:sz w:val="21"/>
        </w:rPr>
        <w:t> </w:t>
      </w:r>
      <w:r>
        <w:rPr>
          <w:w w:val="105"/>
          <w:sz w:val="21"/>
        </w:rPr>
        <w:t>Victoria.</w:t>
      </w:r>
    </w:p>
    <w:p>
      <w:pPr>
        <w:pStyle w:val="BodyText"/>
        <w:spacing w:before="12"/>
        <w:rPr>
          <w:sz w:val="24"/>
        </w:rPr>
      </w:pPr>
    </w:p>
    <w:p>
      <w:pPr>
        <w:pStyle w:val="Heading5"/>
      </w:pPr>
      <w:bookmarkStart w:name="_TOC_250000" w:id="130"/>
      <w:r>
        <w:rPr>
          <w:w w:val="110"/>
        </w:rPr>
        <w:t>Time limit to </w:t>
      </w:r>
      <w:r>
        <w:rPr>
          <w:spacing w:val="-3"/>
          <w:w w:val="110"/>
        </w:rPr>
        <w:t>make </w:t>
      </w:r>
      <w:r>
        <w:rPr>
          <w:w w:val="110"/>
        </w:rPr>
        <w:t>a </w:t>
      </w:r>
      <w:r>
        <w:rPr>
          <w:spacing w:val="-3"/>
          <w:w w:val="110"/>
        </w:rPr>
        <w:t>family </w:t>
      </w:r>
      <w:r>
        <w:rPr>
          <w:w w:val="110"/>
        </w:rPr>
        <w:t>provision</w:t>
      </w:r>
      <w:r>
        <w:rPr>
          <w:spacing w:val="56"/>
          <w:w w:val="110"/>
        </w:rPr>
        <w:t> </w:t>
      </w:r>
      <w:bookmarkEnd w:id="130"/>
      <w:r>
        <w:rPr>
          <w:w w:val="110"/>
        </w:rPr>
        <w:t>claim</w:t>
      </w:r>
    </w:p>
    <w:p>
      <w:pPr>
        <w:pStyle w:val="ListParagraph"/>
        <w:numPr>
          <w:ilvl w:val="0"/>
          <w:numId w:val="97"/>
        </w:numPr>
        <w:tabs>
          <w:tab w:pos="2381" w:val="left" w:leader="none"/>
          <w:tab w:pos="2382" w:val="left" w:leader="none"/>
        </w:tabs>
        <w:spacing w:line="242" w:lineRule="auto" w:before="137" w:after="0"/>
        <w:ind w:left="2381" w:right="1699" w:hanging="794"/>
        <w:jc w:val="left"/>
        <w:rPr>
          <w:sz w:val="21"/>
        </w:rPr>
      </w:pPr>
      <w:r>
        <w:rPr>
          <w:w w:val="105"/>
          <w:sz w:val="21"/>
        </w:rPr>
        <w:t>In</w:t>
      </w:r>
      <w:r>
        <w:rPr>
          <w:spacing w:val="-6"/>
          <w:w w:val="105"/>
          <w:sz w:val="21"/>
        </w:rPr>
        <w:t> </w:t>
      </w:r>
      <w:r>
        <w:rPr>
          <w:w w:val="105"/>
          <w:sz w:val="21"/>
        </w:rPr>
        <w:t>the</w:t>
      </w:r>
      <w:r>
        <w:rPr>
          <w:spacing w:val="-5"/>
          <w:w w:val="105"/>
          <w:sz w:val="21"/>
        </w:rPr>
        <w:t> </w:t>
      </w:r>
      <w:r>
        <w:rPr>
          <w:spacing w:val="-3"/>
          <w:w w:val="105"/>
          <w:sz w:val="21"/>
        </w:rPr>
        <w:t>consultation</w:t>
      </w:r>
      <w:r>
        <w:rPr>
          <w:spacing w:val="-5"/>
          <w:w w:val="105"/>
          <w:sz w:val="21"/>
        </w:rPr>
        <w:t> </w:t>
      </w:r>
      <w:r>
        <w:rPr>
          <w:w w:val="105"/>
          <w:sz w:val="21"/>
        </w:rPr>
        <w:t>paper</w:t>
      </w:r>
      <w:r>
        <w:rPr>
          <w:spacing w:val="-5"/>
          <w:w w:val="105"/>
          <w:sz w:val="21"/>
        </w:rPr>
        <w:t> </w:t>
      </w:r>
      <w:r>
        <w:rPr>
          <w:w w:val="105"/>
          <w:sz w:val="21"/>
        </w:rPr>
        <w:t>on</w:t>
      </w:r>
      <w:r>
        <w:rPr>
          <w:spacing w:val="-5"/>
          <w:w w:val="105"/>
          <w:sz w:val="21"/>
        </w:rPr>
        <w:t> </w:t>
      </w:r>
      <w:r>
        <w:rPr>
          <w:spacing w:val="-3"/>
          <w:w w:val="105"/>
          <w:sz w:val="21"/>
        </w:rPr>
        <w:t>family</w:t>
      </w:r>
      <w:r>
        <w:rPr>
          <w:spacing w:val="-5"/>
          <w:w w:val="105"/>
          <w:sz w:val="21"/>
        </w:rPr>
        <w:t> </w:t>
      </w:r>
      <w:r>
        <w:rPr>
          <w:spacing w:val="-3"/>
          <w:w w:val="105"/>
          <w:sz w:val="21"/>
        </w:rPr>
        <w:t>provision,</w:t>
      </w:r>
      <w:r>
        <w:rPr>
          <w:spacing w:val="-5"/>
          <w:w w:val="105"/>
          <w:sz w:val="21"/>
        </w:rPr>
        <w:t> </w:t>
      </w:r>
      <w:r>
        <w:rPr>
          <w:w w:val="105"/>
          <w:sz w:val="21"/>
        </w:rPr>
        <w:t>the</w:t>
      </w:r>
      <w:r>
        <w:rPr>
          <w:spacing w:val="-5"/>
          <w:w w:val="105"/>
          <w:sz w:val="21"/>
        </w:rPr>
        <w:t> </w:t>
      </w:r>
      <w:r>
        <w:rPr>
          <w:spacing w:val="-3"/>
          <w:w w:val="105"/>
          <w:sz w:val="21"/>
        </w:rPr>
        <w:t>Commission</w:t>
      </w:r>
      <w:r>
        <w:rPr>
          <w:spacing w:val="-5"/>
          <w:w w:val="105"/>
          <w:sz w:val="21"/>
        </w:rPr>
        <w:t> </w:t>
      </w:r>
      <w:r>
        <w:rPr>
          <w:spacing w:val="-3"/>
          <w:w w:val="105"/>
          <w:sz w:val="21"/>
        </w:rPr>
        <w:t>asked</w:t>
      </w:r>
      <w:r>
        <w:rPr>
          <w:spacing w:val="-5"/>
          <w:w w:val="105"/>
          <w:sz w:val="21"/>
        </w:rPr>
        <w:t> </w:t>
      </w:r>
      <w:r>
        <w:rPr>
          <w:w w:val="105"/>
          <w:sz w:val="21"/>
        </w:rPr>
        <w:t>whether</w:t>
      </w:r>
      <w:r>
        <w:rPr>
          <w:spacing w:val="-5"/>
          <w:w w:val="105"/>
          <w:sz w:val="21"/>
        </w:rPr>
        <w:t> </w:t>
      </w:r>
      <w:r>
        <w:rPr>
          <w:w w:val="105"/>
          <w:sz w:val="21"/>
        </w:rPr>
        <w:t>the</w:t>
      </w:r>
      <w:r>
        <w:rPr>
          <w:spacing w:val="-5"/>
          <w:w w:val="105"/>
          <w:sz w:val="21"/>
        </w:rPr>
        <w:t> </w:t>
      </w:r>
      <w:r>
        <w:rPr>
          <w:spacing w:val="-3"/>
          <w:w w:val="105"/>
          <w:sz w:val="21"/>
        </w:rPr>
        <w:t>current </w:t>
      </w:r>
      <w:r>
        <w:rPr>
          <w:w w:val="105"/>
          <w:sz w:val="21"/>
        </w:rPr>
        <w:t>period </w:t>
      </w:r>
      <w:r>
        <w:rPr>
          <w:spacing w:val="-3"/>
          <w:w w:val="105"/>
          <w:sz w:val="21"/>
        </w:rPr>
        <w:t>within </w:t>
      </w:r>
      <w:r>
        <w:rPr>
          <w:w w:val="105"/>
          <w:sz w:val="21"/>
        </w:rPr>
        <w:t>which a </w:t>
      </w:r>
      <w:r>
        <w:rPr>
          <w:spacing w:val="-3"/>
          <w:w w:val="105"/>
          <w:sz w:val="21"/>
        </w:rPr>
        <w:t>family provision claim </w:t>
      </w:r>
      <w:r>
        <w:rPr>
          <w:w w:val="105"/>
          <w:sz w:val="21"/>
        </w:rPr>
        <w:t>can be made—six </w:t>
      </w:r>
      <w:r>
        <w:rPr>
          <w:spacing w:val="-3"/>
          <w:w w:val="105"/>
          <w:sz w:val="21"/>
        </w:rPr>
        <w:t>months from </w:t>
      </w:r>
      <w:r>
        <w:rPr>
          <w:w w:val="105"/>
          <w:sz w:val="21"/>
        </w:rPr>
        <w:t>the</w:t>
      </w:r>
      <w:r>
        <w:rPr>
          <w:spacing w:val="29"/>
          <w:w w:val="105"/>
          <w:sz w:val="21"/>
        </w:rPr>
        <w:t> </w:t>
      </w:r>
      <w:r>
        <w:rPr>
          <w:spacing w:val="-3"/>
          <w:w w:val="105"/>
          <w:sz w:val="21"/>
        </w:rPr>
        <w:t>grant</w:t>
      </w:r>
    </w:p>
    <w:p>
      <w:pPr>
        <w:pStyle w:val="BodyText"/>
        <w:spacing w:line="242" w:lineRule="auto" w:before="2"/>
        <w:ind w:left="2381" w:right="1584"/>
        <w:rPr>
          <w:sz w:val="12"/>
        </w:rPr>
      </w:pPr>
      <w:r>
        <w:rPr>
          <w:w w:val="105"/>
        </w:rPr>
        <w:t>of </w:t>
      </w:r>
      <w:r>
        <w:rPr>
          <w:spacing w:val="-2"/>
          <w:w w:val="105"/>
        </w:rPr>
        <w:t>representation </w:t>
      </w:r>
      <w:r>
        <w:rPr>
          <w:w w:val="105"/>
          <w:position w:val="7"/>
          <w:sz w:val="12"/>
        </w:rPr>
        <w:t>327</w:t>
      </w:r>
      <w:r>
        <w:rPr>
          <w:w w:val="105"/>
        </w:rPr>
        <w:t>—is </w:t>
      </w:r>
      <w:r>
        <w:rPr>
          <w:spacing w:val="-3"/>
          <w:w w:val="105"/>
        </w:rPr>
        <w:t>satisfactory, </w:t>
      </w:r>
      <w:r>
        <w:rPr>
          <w:w w:val="105"/>
        </w:rPr>
        <w:t>too short or too </w:t>
      </w:r>
      <w:r>
        <w:rPr>
          <w:spacing w:val="-3"/>
          <w:w w:val="105"/>
        </w:rPr>
        <w:t>long. </w:t>
      </w:r>
      <w:r>
        <w:rPr>
          <w:w w:val="105"/>
        </w:rPr>
        <w:t>The </w:t>
      </w:r>
      <w:r>
        <w:rPr>
          <w:spacing w:val="-3"/>
          <w:w w:val="105"/>
        </w:rPr>
        <w:t>National Committee for Uniform Succession </w:t>
      </w:r>
      <w:r>
        <w:rPr>
          <w:w w:val="105"/>
        </w:rPr>
        <w:t>Laws recommended </w:t>
      </w:r>
      <w:r>
        <w:rPr>
          <w:spacing w:val="-3"/>
          <w:w w:val="105"/>
        </w:rPr>
        <w:t>that </w:t>
      </w:r>
      <w:r>
        <w:rPr>
          <w:w w:val="105"/>
        </w:rPr>
        <w:t>an application </w:t>
      </w:r>
      <w:r>
        <w:rPr>
          <w:spacing w:val="-3"/>
          <w:w w:val="105"/>
        </w:rPr>
        <w:t>for provision </w:t>
      </w:r>
      <w:r>
        <w:rPr>
          <w:w w:val="105"/>
        </w:rPr>
        <w:t>should be made no </w:t>
      </w:r>
      <w:r>
        <w:rPr>
          <w:spacing w:val="-3"/>
          <w:w w:val="105"/>
        </w:rPr>
        <w:t>later than </w:t>
      </w:r>
      <w:r>
        <w:rPr>
          <w:spacing w:val="-9"/>
          <w:w w:val="105"/>
        </w:rPr>
        <w:t>12 </w:t>
      </w:r>
      <w:r>
        <w:rPr>
          <w:spacing w:val="-3"/>
          <w:w w:val="105"/>
        </w:rPr>
        <w:t>months </w:t>
      </w:r>
      <w:r>
        <w:rPr>
          <w:w w:val="105"/>
        </w:rPr>
        <w:t>after the </w:t>
      </w:r>
      <w:r>
        <w:rPr>
          <w:spacing w:val="-3"/>
          <w:w w:val="105"/>
        </w:rPr>
        <w:t>date </w:t>
      </w:r>
      <w:r>
        <w:rPr>
          <w:w w:val="105"/>
        </w:rPr>
        <w:t>of the deceased </w:t>
      </w:r>
      <w:r>
        <w:rPr>
          <w:spacing w:val="-3"/>
          <w:w w:val="105"/>
        </w:rPr>
        <w:t>person’s </w:t>
      </w:r>
      <w:r>
        <w:rPr>
          <w:w w:val="105"/>
        </w:rPr>
        <w:t>death.</w:t>
      </w:r>
      <w:r>
        <w:rPr>
          <w:w w:val="105"/>
          <w:position w:val="7"/>
          <w:sz w:val="12"/>
        </w:rPr>
        <w:t>328</w:t>
      </w:r>
    </w:p>
    <w:p>
      <w:pPr>
        <w:pStyle w:val="BodyText"/>
        <w:rPr>
          <w:sz w:val="20"/>
        </w:rPr>
      </w:pPr>
    </w:p>
    <w:p>
      <w:pPr>
        <w:pStyle w:val="BodyText"/>
        <w:rPr>
          <w:sz w:val="20"/>
        </w:rPr>
      </w:pPr>
    </w:p>
    <w:p>
      <w:pPr>
        <w:pStyle w:val="BodyText"/>
        <w:rPr>
          <w:sz w:val="20"/>
        </w:rPr>
      </w:pPr>
    </w:p>
    <w:p>
      <w:pPr>
        <w:pStyle w:val="BodyText"/>
        <w:spacing w:before="4"/>
        <w:rPr>
          <w:sz w:val="16"/>
        </w:rPr>
      </w:pPr>
      <w:r>
        <w:rPr/>
        <w:pict>
          <v:line style="position:absolute;mso-position-horizontal-relative:page;mso-position-vertical-relative:paragraph;z-index:8336;mso-wrap-distance-left:0;mso-wrap-distance-right:0" from="79.370102pt,12.430811pt" to="515.905102pt,12.430811pt" stroked="true" strokeweight="1pt" strokecolor="#f9ceca">
            <v:stroke dashstyle="solid"/>
            <w10:wrap type="topAndBottom"/>
          </v:line>
        </w:pict>
      </w:r>
    </w:p>
    <w:p>
      <w:pPr>
        <w:pStyle w:val="BodyText"/>
        <w:spacing w:before="8"/>
        <w:rPr>
          <w:sz w:val="5"/>
        </w:rPr>
      </w:pPr>
    </w:p>
    <w:p>
      <w:pPr>
        <w:spacing w:after="0"/>
        <w:rPr>
          <w:sz w:val="5"/>
        </w:rPr>
        <w:sectPr>
          <w:pgSz w:w="11910" w:h="16840"/>
          <w:pgMar w:header="805" w:footer="0" w:top="1360" w:bottom="280" w:left="0" w:right="0"/>
        </w:sectPr>
      </w:pPr>
    </w:p>
    <w:p>
      <w:pPr>
        <w:pStyle w:val="ListParagraph"/>
        <w:numPr>
          <w:ilvl w:val="0"/>
          <w:numId w:val="107"/>
        </w:numPr>
        <w:tabs>
          <w:tab w:pos="2380" w:val="left" w:leader="none"/>
          <w:tab w:pos="2382" w:val="left" w:leader="none"/>
        </w:tabs>
        <w:spacing w:line="240" w:lineRule="auto" w:before="48" w:after="0"/>
        <w:ind w:left="2381" w:right="0" w:hanging="794"/>
        <w:jc w:val="left"/>
        <w:rPr>
          <w:sz w:val="13"/>
        </w:rPr>
      </w:pPr>
      <w:r>
        <w:rPr>
          <w:w w:val="105"/>
          <w:sz w:val="13"/>
        </w:rPr>
        <w:t>Submission 30a </w:t>
      </w:r>
      <w:r>
        <w:rPr>
          <w:spacing w:val="3"/>
          <w:w w:val="105"/>
          <w:sz w:val="13"/>
        </w:rPr>
        <w:t>(Law </w:t>
      </w:r>
      <w:r>
        <w:rPr>
          <w:w w:val="105"/>
          <w:sz w:val="13"/>
        </w:rPr>
        <w:t>Institute of</w:t>
      </w:r>
      <w:r>
        <w:rPr>
          <w:spacing w:val="19"/>
          <w:w w:val="105"/>
          <w:sz w:val="13"/>
        </w:rPr>
        <w:t> </w:t>
      </w:r>
      <w:r>
        <w:rPr>
          <w:spacing w:val="2"/>
          <w:w w:val="105"/>
          <w:sz w:val="13"/>
        </w:rPr>
        <w:t>Victoria).</w:t>
      </w:r>
    </w:p>
    <w:p>
      <w:pPr>
        <w:pStyle w:val="ListParagraph"/>
        <w:numPr>
          <w:ilvl w:val="0"/>
          <w:numId w:val="107"/>
        </w:numPr>
        <w:tabs>
          <w:tab w:pos="2380" w:val="left" w:leader="none"/>
          <w:tab w:pos="2382" w:val="left" w:leader="none"/>
        </w:tabs>
        <w:spacing w:line="240" w:lineRule="auto" w:before="1" w:after="0"/>
        <w:ind w:left="2381" w:right="0" w:hanging="794"/>
        <w:jc w:val="left"/>
        <w:rPr>
          <w:sz w:val="13"/>
        </w:rPr>
      </w:pPr>
      <w:r>
        <w:rPr>
          <w:sz w:val="13"/>
        </w:rPr>
        <w:t>Submission 32 </w:t>
      </w:r>
      <w:r>
        <w:rPr>
          <w:spacing w:val="2"/>
          <w:sz w:val="13"/>
        </w:rPr>
        <w:t>(The </w:t>
      </w:r>
      <w:r>
        <w:rPr>
          <w:sz w:val="13"/>
        </w:rPr>
        <w:t>Institute of Legal</w:t>
      </w:r>
      <w:r>
        <w:rPr>
          <w:spacing w:val="9"/>
          <w:sz w:val="13"/>
        </w:rPr>
        <w:t> </w:t>
      </w:r>
      <w:r>
        <w:rPr>
          <w:sz w:val="13"/>
        </w:rPr>
        <w:t>Executives).</w:t>
      </w:r>
    </w:p>
    <w:p>
      <w:pPr>
        <w:pStyle w:val="ListParagraph"/>
        <w:numPr>
          <w:ilvl w:val="0"/>
          <w:numId w:val="107"/>
        </w:numPr>
        <w:tabs>
          <w:tab w:pos="2380" w:val="left" w:leader="none"/>
          <w:tab w:pos="2382" w:val="left" w:leader="none"/>
        </w:tabs>
        <w:spacing w:line="240" w:lineRule="auto" w:before="2" w:after="0"/>
        <w:ind w:left="2381" w:right="0" w:hanging="794"/>
        <w:jc w:val="left"/>
        <w:rPr>
          <w:sz w:val="13"/>
        </w:rPr>
      </w:pPr>
      <w:r>
        <w:rPr>
          <w:w w:val="105"/>
          <w:sz w:val="13"/>
        </w:rPr>
        <w:t>Submissions 10 (Shane </w:t>
      </w:r>
      <w:r>
        <w:rPr>
          <w:spacing w:val="2"/>
          <w:w w:val="105"/>
          <w:sz w:val="13"/>
        </w:rPr>
        <w:t>Newton); </w:t>
      </w:r>
      <w:r>
        <w:rPr>
          <w:spacing w:val="-3"/>
          <w:w w:val="105"/>
          <w:sz w:val="13"/>
        </w:rPr>
        <w:t>14 </w:t>
      </w:r>
      <w:r>
        <w:rPr>
          <w:w w:val="105"/>
          <w:sz w:val="13"/>
        </w:rPr>
        <w:t>(Commercial Bar</w:t>
      </w:r>
      <w:r>
        <w:rPr>
          <w:spacing w:val="2"/>
          <w:w w:val="105"/>
          <w:sz w:val="13"/>
        </w:rPr>
        <w:t> Association).</w:t>
      </w:r>
    </w:p>
    <w:p>
      <w:pPr>
        <w:pStyle w:val="ListParagraph"/>
        <w:numPr>
          <w:ilvl w:val="0"/>
          <w:numId w:val="107"/>
        </w:numPr>
        <w:tabs>
          <w:tab w:pos="2380" w:val="left" w:leader="none"/>
          <w:tab w:pos="2382" w:val="left" w:leader="none"/>
        </w:tabs>
        <w:spacing w:line="240" w:lineRule="auto" w:before="1" w:after="0"/>
        <w:ind w:left="2381" w:right="25" w:hanging="794"/>
        <w:jc w:val="left"/>
        <w:rPr>
          <w:sz w:val="13"/>
        </w:rPr>
      </w:pPr>
      <w:r>
        <w:rPr>
          <w:w w:val="105"/>
          <w:sz w:val="13"/>
        </w:rPr>
        <w:t>Submission 36 </w:t>
      </w:r>
      <w:r>
        <w:rPr>
          <w:spacing w:val="3"/>
          <w:w w:val="105"/>
          <w:sz w:val="13"/>
        </w:rPr>
        <w:t>(Law </w:t>
      </w:r>
      <w:r>
        <w:rPr>
          <w:w w:val="105"/>
          <w:sz w:val="13"/>
        </w:rPr>
        <w:t>Society of New South Wales). Consultations 9 </w:t>
      </w:r>
      <w:r>
        <w:rPr>
          <w:spacing w:val="3"/>
          <w:w w:val="105"/>
          <w:sz w:val="13"/>
        </w:rPr>
        <w:t>(NSW </w:t>
      </w:r>
      <w:r>
        <w:rPr>
          <w:w w:val="105"/>
          <w:sz w:val="13"/>
        </w:rPr>
        <w:t>Trustee and Guardian); </w:t>
      </w:r>
      <w:r>
        <w:rPr>
          <w:spacing w:val="-6"/>
          <w:w w:val="105"/>
          <w:sz w:val="13"/>
        </w:rPr>
        <w:t>11  </w:t>
      </w:r>
      <w:r>
        <w:rPr>
          <w:w w:val="105"/>
          <w:sz w:val="13"/>
        </w:rPr>
        <w:t>(Supreme Court of New South Wales);   </w:t>
      </w:r>
      <w:r>
        <w:rPr>
          <w:spacing w:val="-4"/>
          <w:w w:val="105"/>
          <w:sz w:val="13"/>
        </w:rPr>
        <w:t>12 </w:t>
      </w:r>
      <w:r>
        <w:rPr>
          <w:spacing w:val="3"/>
          <w:w w:val="105"/>
          <w:sz w:val="13"/>
        </w:rPr>
        <w:t>(Law </w:t>
      </w:r>
      <w:r>
        <w:rPr>
          <w:w w:val="105"/>
          <w:sz w:val="13"/>
        </w:rPr>
        <w:t>Society of New South</w:t>
      </w:r>
      <w:r>
        <w:rPr>
          <w:spacing w:val="2"/>
          <w:w w:val="105"/>
          <w:sz w:val="13"/>
        </w:rPr>
        <w:t> </w:t>
      </w:r>
      <w:r>
        <w:rPr>
          <w:w w:val="105"/>
          <w:sz w:val="13"/>
        </w:rPr>
        <w:t>Wales).</w:t>
      </w:r>
    </w:p>
    <w:p>
      <w:pPr>
        <w:pStyle w:val="ListParagraph"/>
        <w:numPr>
          <w:ilvl w:val="0"/>
          <w:numId w:val="107"/>
        </w:numPr>
        <w:tabs>
          <w:tab w:pos="2380" w:val="left" w:leader="none"/>
          <w:tab w:pos="2382" w:val="left" w:leader="none"/>
        </w:tabs>
        <w:spacing w:line="240" w:lineRule="auto" w:before="3" w:after="0"/>
        <w:ind w:left="2381" w:right="0" w:hanging="794"/>
        <w:jc w:val="left"/>
        <w:rPr>
          <w:sz w:val="13"/>
        </w:rPr>
      </w:pPr>
      <w:r>
        <w:rPr>
          <w:w w:val="105"/>
          <w:sz w:val="13"/>
        </w:rPr>
        <w:t>Submission 36 </w:t>
      </w:r>
      <w:r>
        <w:rPr>
          <w:spacing w:val="3"/>
          <w:w w:val="105"/>
          <w:sz w:val="13"/>
        </w:rPr>
        <w:t>(Law </w:t>
      </w:r>
      <w:r>
        <w:rPr>
          <w:w w:val="105"/>
          <w:sz w:val="13"/>
        </w:rPr>
        <w:t>Society of New South</w:t>
      </w:r>
      <w:r>
        <w:rPr>
          <w:spacing w:val="30"/>
          <w:w w:val="105"/>
          <w:sz w:val="13"/>
        </w:rPr>
        <w:t> </w:t>
      </w:r>
      <w:r>
        <w:rPr>
          <w:w w:val="105"/>
          <w:sz w:val="13"/>
        </w:rPr>
        <w:t>Wales).</w:t>
      </w:r>
    </w:p>
    <w:p>
      <w:pPr>
        <w:pStyle w:val="ListParagraph"/>
        <w:numPr>
          <w:ilvl w:val="0"/>
          <w:numId w:val="107"/>
        </w:numPr>
        <w:tabs>
          <w:tab w:pos="2381" w:val="left" w:leader="none"/>
          <w:tab w:pos="2382" w:val="left" w:leader="none"/>
        </w:tabs>
        <w:spacing w:line="240" w:lineRule="auto" w:before="1" w:after="0"/>
        <w:ind w:left="2381" w:right="0" w:hanging="794"/>
        <w:jc w:val="left"/>
        <w:rPr>
          <w:sz w:val="13"/>
        </w:rPr>
      </w:pPr>
      <w:r>
        <w:rPr>
          <w:w w:val="105"/>
          <w:sz w:val="13"/>
        </w:rPr>
        <w:t>Consultation 9 </w:t>
      </w:r>
      <w:r>
        <w:rPr>
          <w:spacing w:val="3"/>
          <w:w w:val="105"/>
          <w:sz w:val="13"/>
        </w:rPr>
        <w:t>(NSW </w:t>
      </w:r>
      <w:r>
        <w:rPr>
          <w:w w:val="105"/>
          <w:sz w:val="13"/>
        </w:rPr>
        <w:t>Trustee and</w:t>
      </w:r>
      <w:r>
        <w:rPr>
          <w:spacing w:val="20"/>
          <w:w w:val="105"/>
          <w:sz w:val="13"/>
        </w:rPr>
        <w:t> </w:t>
      </w:r>
      <w:r>
        <w:rPr>
          <w:w w:val="105"/>
          <w:sz w:val="13"/>
        </w:rPr>
        <w:t>Guardian).</w:t>
      </w:r>
    </w:p>
    <w:p>
      <w:pPr>
        <w:pStyle w:val="ListParagraph"/>
        <w:numPr>
          <w:ilvl w:val="0"/>
          <w:numId w:val="107"/>
        </w:numPr>
        <w:tabs>
          <w:tab w:pos="2381" w:val="left" w:leader="none"/>
          <w:tab w:pos="2382" w:val="left" w:leader="none"/>
        </w:tabs>
        <w:spacing w:line="240" w:lineRule="auto" w:before="1" w:after="0"/>
        <w:ind w:left="2381" w:right="0" w:hanging="794"/>
        <w:jc w:val="left"/>
        <w:rPr>
          <w:sz w:val="13"/>
        </w:rPr>
      </w:pPr>
      <w:r>
        <w:rPr>
          <w:w w:val="105"/>
          <w:sz w:val="13"/>
        </w:rPr>
        <w:t>Consultations 9 </w:t>
      </w:r>
      <w:r>
        <w:rPr>
          <w:spacing w:val="3"/>
          <w:w w:val="105"/>
          <w:sz w:val="13"/>
        </w:rPr>
        <w:t>(NSW </w:t>
      </w:r>
      <w:r>
        <w:rPr>
          <w:w w:val="105"/>
          <w:sz w:val="13"/>
        </w:rPr>
        <w:t>Trustee and Guardian); </w:t>
      </w:r>
      <w:r>
        <w:rPr>
          <w:spacing w:val="-4"/>
          <w:w w:val="105"/>
          <w:sz w:val="13"/>
        </w:rPr>
        <w:t>12 </w:t>
      </w:r>
      <w:r>
        <w:rPr>
          <w:spacing w:val="3"/>
          <w:w w:val="105"/>
          <w:sz w:val="13"/>
        </w:rPr>
        <w:t>(Law </w:t>
      </w:r>
      <w:r>
        <w:rPr>
          <w:w w:val="105"/>
          <w:sz w:val="13"/>
        </w:rPr>
        <w:t>Society of New South</w:t>
      </w:r>
      <w:r>
        <w:rPr>
          <w:spacing w:val="29"/>
          <w:w w:val="105"/>
          <w:sz w:val="13"/>
        </w:rPr>
        <w:t> </w:t>
      </w:r>
      <w:r>
        <w:rPr>
          <w:w w:val="105"/>
          <w:sz w:val="13"/>
        </w:rPr>
        <w:t>Wales).</w:t>
      </w:r>
    </w:p>
    <w:p>
      <w:pPr>
        <w:pStyle w:val="ListParagraph"/>
        <w:numPr>
          <w:ilvl w:val="0"/>
          <w:numId w:val="107"/>
        </w:numPr>
        <w:tabs>
          <w:tab w:pos="2381" w:val="left" w:leader="none"/>
          <w:tab w:pos="2382" w:val="left" w:leader="none"/>
        </w:tabs>
        <w:spacing w:line="240" w:lineRule="auto" w:before="2" w:after="0"/>
        <w:ind w:left="2381" w:right="0" w:hanging="794"/>
        <w:jc w:val="left"/>
        <w:rPr>
          <w:sz w:val="13"/>
        </w:rPr>
      </w:pPr>
      <w:r>
        <w:rPr>
          <w:w w:val="105"/>
          <w:sz w:val="13"/>
        </w:rPr>
        <w:t>See,</w:t>
      </w:r>
      <w:r>
        <w:rPr>
          <w:spacing w:val="4"/>
          <w:w w:val="105"/>
          <w:sz w:val="13"/>
        </w:rPr>
        <w:t> </w:t>
      </w:r>
      <w:r>
        <w:rPr>
          <w:w w:val="105"/>
          <w:sz w:val="13"/>
        </w:rPr>
        <w:t>eg,</w:t>
      </w:r>
      <w:r>
        <w:rPr>
          <w:spacing w:val="5"/>
          <w:w w:val="105"/>
          <w:sz w:val="13"/>
        </w:rPr>
        <w:t> </w:t>
      </w:r>
      <w:r>
        <w:rPr>
          <w:w w:val="105"/>
          <w:sz w:val="13"/>
        </w:rPr>
        <w:t>Croucher,</w:t>
      </w:r>
      <w:r>
        <w:rPr>
          <w:spacing w:val="5"/>
          <w:w w:val="105"/>
          <w:sz w:val="13"/>
        </w:rPr>
        <w:t> </w:t>
      </w:r>
      <w:r>
        <w:rPr>
          <w:w w:val="105"/>
          <w:sz w:val="13"/>
        </w:rPr>
        <w:t>‘Towards</w:t>
      </w:r>
      <w:r>
        <w:rPr>
          <w:spacing w:val="5"/>
          <w:w w:val="105"/>
          <w:sz w:val="13"/>
        </w:rPr>
        <w:t> </w:t>
      </w:r>
      <w:r>
        <w:rPr>
          <w:w w:val="105"/>
          <w:sz w:val="13"/>
        </w:rPr>
        <w:t>Uniform</w:t>
      </w:r>
      <w:r>
        <w:rPr>
          <w:spacing w:val="5"/>
          <w:w w:val="105"/>
          <w:sz w:val="13"/>
        </w:rPr>
        <w:t> </w:t>
      </w:r>
      <w:r>
        <w:rPr>
          <w:w w:val="105"/>
          <w:sz w:val="13"/>
        </w:rPr>
        <w:t>Succession’,</w:t>
      </w:r>
      <w:r>
        <w:rPr>
          <w:spacing w:val="4"/>
          <w:w w:val="105"/>
          <w:sz w:val="13"/>
        </w:rPr>
        <w:t> </w:t>
      </w:r>
      <w:r>
        <w:rPr>
          <w:w w:val="105"/>
          <w:sz w:val="13"/>
        </w:rPr>
        <w:t>above</w:t>
      </w:r>
      <w:r>
        <w:rPr>
          <w:spacing w:val="5"/>
          <w:w w:val="105"/>
          <w:sz w:val="13"/>
        </w:rPr>
        <w:t> </w:t>
      </w:r>
      <w:r>
        <w:rPr>
          <w:w w:val="105"/>
          <w:sz w:val="13"/>
        </w:rPr>
        <w:t>n</w:t>
      </w:r>
      <w:r>
        <w:rPr>
          <w:spacing w:val="5"/>
          <w:w w:val="105"/>
          <w:sz w:val="13"/>
        </w:rPr>
        <w:t> </w:t>
      </w:r>
      <w:r>
        <w:rPr>
          <w:spacing w:val="2"/>
          <w:w w:val="105"/>
          <w:sz w:val="13"/>
        </w:rPr>
        <w:t>88,</w:t>
      </w:r>
      <w:r>
        <w:rPr>
          <w:spacing w:val="5"/>
          <w:w w:val="105"/>
          <w:sz w:val="13"/>
        </w:rPr>
        <w:t> </w:t>
      </w:r>
      <w:r>
        <w:rPr>
          <w:w w:val="105"/>
          <w:sz w:val="13"/>
        </w:rPr>
        <w:t>740.</w:t>
      </w:r>
    </w:p>
    <w:p>
      <w:pPr>
        <w:pStyle w:val="ListParagraph"/>
        <w:numPr>
          <w:ilvl w:val="0"/>
          <w:numId w:val="107"/>
        </w:numPr>
        <w:tabs>
          <w:tab w:pos="2381" w:val="left" w:leader="none"/>
          <w:tab w:pos="2382" w:val="left" w:leader="none"/>
        </w:tabs>
        <w:spacing w:line="240" w:lineRule="auto" w:before="1" w:after="0"/>
        <w:ind w:left="2381" w:right="0" w:hanging="794"/>
        <w:jc w:val="left"/>
        <w:rPr>
          <w:sz w:val="13"/>
        </w:rPr>
      </w:pPr>
      <w:r>
        <w:rPr>
          <w:i/>
          <w:w w:val="105"/>
          <w:sz w:val="13"/>
        </w:rPr>
        <w:t>Administration and Probate Act 1958 </w:t>
      </w:r>
      <w:r>
        <w:rPr>
          <w:spacing w:val="2"/>
          <w:w w:val="105"/>
          <w:sz w:val="13"/>
        </w:rPr>
        <w:t>(Vic) </w:t>
      </w:r>
      <w:r>
        <w:rPr>
          <w:w w:val="105"/>
          <w:sz w:val="13"/>
        </w:rPr>
        <w:t>s</w:t>
      </w:r>
      <w:r>
        <w:rPr>
          <w:spacing w:val="24"/>
          <w:w w:val="105"/>
          <w:sz w:val="13"/>
        </w:rPr>
        <w:t> </w:t>
      </w:r>
      <w:r>
        <w:rPr>
          <w:w w:val="105"/>
          <w:sz w:val="13"/>
        </w:rPr>
        <w:t>99.</w:t>
      </w:r>
    </w:p>
    <w:p>
      <w:pPr>
        <w:pStyle w:val="ListParagraph"/>
        <w:numPr>
          <w:ilvl w:val="0"/>
          <w:numId w:val="107"/>
        </w:numPr>
        <w:tabs>
          <w:tab w:pos="2381" w:val="left" w:leader="none"/>
          <w:tab w:pos="2382" w:val="left" w:leader="none"/>
        </w:tabs>
        <w:spacing w:line="240" w:lineRule="auto" w:before="1" w:after="0"/>
        <w:ind w:left="2381" w:right="0" w:hanging="794"/>
        <w:jc w:val="left"/>
        <w:rPr>
          <w:sz w:val="13"/>
        </w:rPr>
      </w:pPr>
      <w:r>
        <w:rPr>
          <w:w w:val="105"/>
          <w:sz w:val="13"/>
        </w:rPr>
        <w:t>National</w:t>
      </w:r>
      <w:r>
        <w:rPr>
          <w:spacing w:val="5"/>
          <w:w w:val="105"/>
          <w:sz w:val="13"/>
        </w:rPr>
        <w:t> </w:t>
      </w:r>
      <w:r>
        <w:rPr>
          <w:w w:val="105"/>
          <w:sz w:val="13"/>
        </w:rPr>
        <w:t>Committee</w:t>
      </w:r>
      <w:r>
        <w:rPr>
          <w:spacing w:val="6"/>
          <w:w w:val="105"/>
          <w:sz w:val="13"/>
        </w:rPr>
        <w:t> </w:t>
      </w:r>
      <w:r>
        <w:rPr>
          <w:w w:val="105"/>
          <w:sz w:val="13"/>
        </w:rPr>
        <w:t>for</w:t>
      </w:r>
      <w:r>
        <w:rPr>
          <w:spacing w:val="6"/>
          <w:w w:val="105"/>
          <w:sz w:val="13"/>
        </w:rPr>
        <w:t> </w:t>
      </w:r>
      <w:r>
        <w:rPr>
          <w:w w:val="105"/>
          <w:sz w:val="13"/>
        </w:rPr>
        <w:t>Uniform</w:t>
      </w:r>
      <w:r>
        <w:rPr>
          <w:spacing w:val="5"/>
          <w:w w:val="105"/>
          <w:sz w:val="13"/>
        </w:rPr>
        <w:t> </w:t>
      </w:r>
      <w:r>
        <w:rPr>
          <w:w w:val="105"/>
          <w:sz w:val="13"/>
        </w:rPr>
        <w:t>Succession</w:t>
      </w:r>
      <w:r>
        <w:rPr>
          <w:spacing w:val="6"/>
          <w:w w:val="105"/>
          <w:sz w:val="13"/>
        </w:rPr>
        <w:t> </w:t>
      </w:r>
      <w:r>
        <w:rPr>
          <w:w w:val="105"/>
          <w:sz w:val="13"/>
        </w:rPr>
        <w:t>Laws,</w:t>
      </w:r>
      <w:r>
        <w:rPr>
          <w:spacing w:val="6"/>
          <w:w w:val="105"/>
          <w:sz w:val="13"/>
        </w:rPr>
        <w:t> </w:t>
      </w:r>
      <w:r>
        <w:rPr>
          <w:i/>
          <w:w w:val="105"/>
          <w:sz w:val="13"/>
        </w:rPr>
        <w:t>Family</w:t>
      </w:r>
      <w:r>
        <w:rPr>
          <w:i/>
          <w:spacing w:val="4"/>
          <w:w w:val="105"/>
          <w:sz w:val="13"/>
        </w:rPr>
        <w:t> </w:t>
      </w:r>
      <w:r>
        <w:rPr>
          <w:i/>
          <w:w w:val="105"/>
          <w:sz w:val="13"/>
        </w:rPr>
        <w:t>Provision</w:t>
      </w:r>
      <w:r>
        <w:rPr>
          <w:i/>
          <w:spacing w:val="5"/>
          <w:w w:val="105"/>
          <w:sz w:val="13"/>
        </w:rPr>
        <w:t> </w:t>
      </w:r>
      <w:r>
        <w:rPr>
          <w:i/>
          <w:w w:val="105"/>
          <w:sz w:val="13"/>
        </w:rPr>
        <w:t>Supplementary</w:t>
      </w:r>
      <w:r>
        <w:rPr>
          <w:i/>
          <w:spacing w:val="5"/>
          <w:w w:val="105"/>
          <w:sz w:val="13"/>
        </w:rPr>
        <w:t> </w:t>
      </w:r>
      <w:r>
        <w:rPr>
          <w:i/>
          <w:w w:val="105"/>
          <w:sz w:val="13"/>
        </w:rPr>
        <w:t>Report,</w:t>
      </w:r>
      <w:r>
        <w:rPr>
          <w:i/>
          <w:spacing w:val="4"/>
          <w:w w:val="105"/>
          <w:sz w:val="13"/>
        </w:rPr>
        <w:t> </w:t>
      </w:r>
      <w:r>
        <w:rPr>
          <w:w w:val="105"/>
          <w:sz w:val="13"/>
        </w:rPr>
        <w:t>above</w:t>
      </w:r>
      <w:r>
        <w:rPr>
          <w:spacing w:val="6"/>
          <w:w w:val="105"/>
          <w:sz w:val="13"/>
        </w:rPr>
        <w:t> </w:t>
      </w:r>
      <w:r>
        <w:rPr>
          <w:w w:val="105"/>
          <w:sz w:val="13"/>
        </w:rPr>
        <w:t>n</w:t>
      </w:r>
      <w:r>
        <w:rPr>
          <w:spacing w:val="6"/>
          <w:w w:val="105"/>
          <w:sz w:val="13"/>
        </w:rPr>
        <w:t> </w:t>
      </w:r>
      <w:r>
        <w:rPr>
          <w:spacing w:val="2"/>
          <w:w w:val="105"/>
          <w:sz w:val="13"/>
        </w:rPr>
        <w:t>88,</w:t>
      </w:r>
      <w:r>
        <w:rPr>
          <w:spacing w:val="5"/>
          <w:w w:val="105"/>
          <w:sz w:val="13"/>
        </w:rPr>
        <w:t> </w:t>
      </w:r>
      <w:r>
        <w:rPr>
          <w:w w:val="105"/>
          <w:sz w:val="13"/>
        </w:rPr>
        <w:t>Draft</w:t>
      </w:r>
      <w:r>
        <w:rPr>
          <w:spacing w:val="6"/>
          <w:w w:val="105"/>
          <w:sz w:val="13"/>
        </w:rPr>
        <w:t> </w:t>
      </w:r>
      <w:r>
        <w:rPr>
          <w:w w:val="105"/>
          <w:sz w:val="13"/>
        </w:rPr>
        <w:t>Family</w:t>
      </w:r>
      <w:r>
        <w:rPr>
          <w:spacing w:val="6"/>
          <w:w w:val="105"/>
          <w:sz w:val="13"/>
        </w:rPr>
        <w:t> </w:t>
      </w:r>
      <w:r>
        <w:rPr>
          <w:w w:val="105"/>
          <w:sz w:val="13"/>
        </w:rPr>
        <w:t>Provision</w:t>
      </w:r>
      <w:r>
        <w:rPr>
          <w:spacing w:val="5"/>
          <w:w w:val="105"/>
          <w:sz w:val="13"/>
        </w:rPr>
        <w:t> </w:t>
      </w:r>
      <w:r>
        <w:rPr>
          <w:w w:val="105"/>
          <w:sz w:val="13"/>
        </w:rPr>
        <w:t>Bill</w:t>
      </w:r>
      <w:r>
        <w:rPr>
          <w:spacing w:val="6"/>
          <w:w w:val="105"/>
          <w:sz w:val="13"/>
        </w:rPr>
        <w:t> </w:t>
      </w:r>
      <w:r>
        <w:rPr>
          <w:w w:val="105"/>
          <w:sz w:val="13"/>
        </w:rPr>
        <w:t>2004</w:t>
      </w:r>
      <w:r>
        <w:rPr>
          <w:spacing w:val="6"/>
          <w:w w:val="105"/>
          <w:sz w:val="13"/>
        </w:rPr>
        <w:t> </w:t>
      </w:r>
      <w:r>
        <w:rPr>
          <w:w w:val="105"/>
          <w:sz w:val="13"/>
        </w:rPr>
        <w:t>cl</w:t>
      </w:r>
      <w:r>
        <w:rPr>
          <w:spacing w:val="5"/>
          <w:w w:val="105"/>
          <w:sz w:val="13"/>
        </w:rPr>
        <w:t> </w:t>
      </w:r>
      <w:r>
        <w:rPr>
          <w:w w:val="105"/>
          <w:sz w:val="13"/>
        </w:rPr>
        <w:t>9.</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spacing w:before="176"/>
        <w:ind w:left="602" w:right="575" w:firstLine="0"/>
        <w:jc w:val="center"/>
        <w:rPr>
          <w:b/>
          <w:sz w:val="24"/>
        </w:rPr>
      </w:pPr>
      <w:r>
        <w:rPr>
          <w:b/>
          <w:color w:val="EC5A4F"/>
          <w:w w:val="110"/>
          <w:sz w:val="24"/>
        </w:rPr>
        <w:t>133</w:t>
      </w:r>
    </w:p>
    <w:p>
      <w:pPr>
        <w:spacing w:after="0"/>
        <w:jc w:val="center"/>
        <w:rPr>
          <w:sz w:val="24"/>
        </w:rPr>
        <w:sectPr>
          <w:type w:val="continuous"/>
          <w:pgSz w:w="11910" w:h="16840"/>
          <w:pgMar w:top="920" w:bottom="280" w:left="0" w:right="0"/>
          <w:cols w:num="2" w:equalWidth="0">
            <w:col w:w="10251" w:space="40"/>
            <w:col w:w="1619"/>
          </w:cols>
        </w:sectPr>
      </w:pPr>
    </w:p>
    <w:p>
      <w:pPr>
        <w:pStyle w:val="BodyText"/>
        <w:spacing w:before="9"/>
        <w:rPr>
          <w:b/>
          <w:sz w:val="22"/>
        </w:rPr>
      </w:pPr>
    </w:p>
    <w:p>
      <w:pPr>
        <w:pStyle w:val="ListParagraph"/>
        <w:numPr>
          <w:ilvl w:val="0"/>
          <w:numId w:val="97"/>
        </w:numPr>
        <w:tabs>
          <w:tab w:pos="2381" w:val="left" w:leader="none"/>
          <w:tab w:pos="2382" w:val="left" w:leader="none"/>
        </w:tabs>
        <w:spacing w:line="242" w:lineRule="auto" w:before="92" w:after="0"/>
        <w:ind w:left="2381" w:right="2220" w:hanging="794"/>
        <w:jc w:val="left"/>
        <w:rPr>
          <w:sz w:val="21"/>
        </w:rPr>
      </w:pPr>
      <w:r>
        <w:rPr>
          <w:w w:val="105"/>
          <w:sz w:val="21"/>
        </w:rPr>
        <w:t>Most</w:t>
      </w:r>
      <w:r>
        <w:rPr>
          <w:spacing w:val="-10"/>
          <w:w w:val="105"/>
          <w:sz w:val="21"/>
        </w:rPr>
        <w:t> </w:t>
      </w:r>
      <w:r>
        <w:rPr>
          <w:w w:val="105"/>
          <w:sz w:val="21"/>
        </w:rPr>
        <w:t>of</w:t>
      </w:r>
      <w:r>
        <w:rPr>
          <w:spacing w:val="-10"/>
          <w:w w:val="105"/>
          <w:sz w:val="21"/>
        </w:rPr>
        <w:t> </w:t>
      </w:r>
      <w:r>
        <w:rPr>
          <w:w w:val="105"/>
          <w:sz w:val="21"/>
        </w:rPr>
        <w:t>the</w:t>
      </w:r>
      <w:r>
        <w:rPr>
          <w:spacing w:val="-9"/>
          <w:w w:val="105"/>
          <w:sz w:val="21"/>
        </w:rPr>
        <w:t> </w:t>
      </w:r>
      <w:r>
        <w:rPr>
          <w:spacing w:val="-3"/>
          <w:w w:val="105"/>
          <w:sz w:val="21"/>
        </w:rPr>
        <w:t>submissions</w:t>
      </w:r>
      <w:r>
        <w:rPr>
          <w:spacing w:val="-10"/>
          <w:w w:val="105"/>
          <w:sz w:val="21"/>
        </w:rPr>
        <w:t> </w:t>
      </w:r>
      <w:r>
        <w:rPr>
          <w:spacing w:val="-3"/>
          <w:w w:val="105"/>
          <w:sz w:val="21"/>
        </w:rPr>
        <w:t>that</w:t>
      </w:r>
      <w:r>
        <w:rPr>
          <w:spacing w:val="-9"/>
          <w:w w:val="105"/>
          <w:sz w:val="21"/>
        </w:rPr>
        <w:t> </w:t>
      </w:r>
      <w:r>
        <w:rPr>
          <w:w w:val="105"/>
          <w:sz w:val="21"/>
        </w:rPr>
        <w:t>addressed</w:t>
      </w:r>
      <w:r>
        <w:rPr>
          <w:spacing w:val="-10"/>
          <w:w w:val="105"/>
          <w:sz w:val="21"/>
        </w:rPr>
        <w:t> </w:t>
      </w:r>
      <w:r>
        <w:rPr>
          <w:w w:val="105"/>
          <w:sz w:val="21"/>
        </w:rPr>
        <w:t>this</w:t>
      </w:r>
      <w:r>
        <w:rPr>
          <w:spacing w:val="-9"/>
          <w:w w:val="105"/>
          <w:sz w:val="21"/>
        </w:rPr>
        <w:t> </w:t>
      </w:r>
      <w:r>
        <w:rPr>
          <w:w w:val="105"/>
          <w:sz w:val="21"/>
        </w:rPr>
        <w:t>point</w:t>
      </w:r>
      <w:r>
        <w:rPr>
          <w:spacing w:val="-10"/>
          <w:w w:val="105"/>
          <w:sz w:val="21"/>
        </w:rPr>
        <w:t> </w:t>
      </w:r>
      <w:r>
        <w:rPr>
          <w:spacing w:val="-3"/>
          <w:w w:val="105"/>
          <w:sz w:val="21"/>
        </w:rPr>
        <w:t>considered</w:t>
      </w:r>
      <w:r>
        <w:rPr>
          <w:spacing w:val="-9"/>
          <w:w w:val="105"/>
          <w:sz w:val="21"/>
        </w:rPr>
        <w:t> </w:t>
      </w:r>
      <w:r>
        <w:rPr>
          <w:w w:val="105"/>
          <w:sz w:val="21"/>
        </w:rPr>
        <w:t>the</w:t>
      </w:r>
      <w:r>
        <w:rPr>
          <w:spacing w:val="-10"/>
          <w:w w:val="105"/>
          <w:sz w:val="21"/>
        </w:rPr>
        <w:t> </w:t>
      </w:r>
      <w:r>
        <w:rPr>
          <w:spacing w:val="-3"/>
          <w:w w:val="105"/>
          <w:sz w:val="21"/>
        </w:rPr>
        <w:t>current</w:t>
      </w:r>
      <w:r>
        <w:rPr>
          <w:spacing w:val="-9"/>
          <w:w w:val="105"/>
          <w:sz w:val="21"/>
        </w:rPr>
        <w:t> </w:t>
      </w:r>
      <w:r>
        <w:rPr>
          <w:w w:val="105"/>
          <w:sz w:val="21"/>
        </w:rPr>
        <w:t>time</w:t>
      </w:r>
      <w:r>
        <w:rPr>
          <w:spacing w:val="-10"/>
          <w:w w:val="105"/>
          <w:sz w:val="21"/>
        </w:rPr>
        <w:t> </w:t>
      </w:r>
      <w:r>
        <w:rPr>
          <w:spacing w:val="-3"/>
          <w:w w:val="105"/>
          <w:sz w:val="21"/>
        </w:rPr>
        <w:t>limit </w:t>
      </w:r>
      <w:r>
        <w:rPr>
          <w:w w:val="105"/>
          <w:sz w:val="21"/>
        </w:rPr>
        <w:t>to</w:t>
      </w:r>
      <w:r>
        <w:rPr>
          <w:spacing w:val="-13"/>
          <w:w w:val="105"/>
          <w:sz w:val="21"/>
        </w:rPr>
        <w:t> </w:t>
      </w:r>
      <w:r>
        <w:rPr>
          <w:w w:val="105"/>
          <w:sz w:val="21"/>
        </w:rPr>
        <w:t>be</w:t>
      </w:r>
      <w:r>
        <w:rPr>
          <w:spacing w:val="-12"/>
          <w:w w:val="105"/>
          <w:sz w:val="21"/>
        </w:rPr>
        <w:t> </w:t>
      </w:r>
      <w:r>
        <w:rPr>
          <w:w w:val="105"/>
          <w:sz w:val="21"/>
        </w:rPr>
        <w:t>satisfactory.</w:t>
      </w:r>
      <w:r>
        <w:rPr>
          <w:w w:val="105"/>
          <w:position w:val="7"/>
          <w:sz w:val="12"/>
        </w:rPr>
        <w:t>329</w:t>
      </w:r>
      <w:r>
        <w:rPr>
          <w:spacing w:val="9"/>
          <w:w w:val="105"/>
          <w:position w:val="7"/>
          <w:sz w:val="12"/>
        </w:rPr>
        <w:t> </w:t>
      </w:r>
      <w:r>
        <w:rPr>
          <w:spacing w:val="-3"/>
          <w:w w:val="105"/>
          <w:sz w:val="21"/>
        </w:rPr>
        <w:t>State</w:t>
      </w:r>
      <w:r>
        <w:rPr>
          <w:spacing w:val="-12"/>
          <w:w w:val="105"/>
          <w:sz w:val="21"/>
        </w:rPr>
        <w:t> </w:t>
      </w:r>
      <w:r>
        <w:rPr>
          <w:spacing w:val="-4"/>
          <w:w w:val="105"/>
          <w:sz w:val="21"/>
        </w:rPr>
        <w:t>Trustees</w:t>
      </w:r>
      <w:r>
        <w:rPr>
          <w:spacing w:val="-12"/>
          <w:w w:val="105"/>
          <w:sz w:val="21"/>
        </w:rPr>
        <w:t> </w:t>
      </w:r>
      <w:r>
        <w:rPr>
          <w:w w:val="105"/>
          <w:sz w:val="21"/>
        </w:rPr>
        <w:t>emphasised</w:t>
      </w:r>
      <w:r>
        <w:rPr>
          <w:spacing w:val="-13"/>
          <w:w w:val="105"/>
          <w:sz w:val="21"/>
        </w:rPr>
        <w:t> </w:t>
      </w:r>
      <w:r>
        <w:rPr>
          <w:w w:val="105"/>
          <w:sz w:val="21"/>
        </w:rPr>
        <w:t>the</w:t>
      </w:r>
      <w:r>
        <w:rPr>
          <w:spacing w:val="-12"/>
          <w:w w:val="105"/>
          <w:sz w:val="21"/>
        </w:rPr>
        <w:t> </w:t>
      </w:r>
      <w:r>
        <w:rPr>
          <w:w w:val="105"/>
          <w:sz w:val="21"/>
        </w:rPr>
        <w:t>need</w:t>
      </w:r>
      <w:r>
        <w:rPr>
          <w:spacing w:val="-12"/>
          <w:w w:val="105"/>
          <w:sz w:val="21"/>
        </w:rPr>
        <w:t> </w:t>
      </w:r>
      <w:r>
        <w:rPr>
          <w:spacing w:val="-3"/>
          <w:w w:val="105"/>
          <w:sz w:val="21"/>
        </w:rPr>
        <w:t>to</w:t>
      </w:r>
      <w:r>
        <w:rPr>
          <w:spacing w:val="-13"/>
          <w:w w:val="105"/>
          <w:sz w:val="21"/>
        </w:rPr>
        <w:t> </w:t>
      </w:r>
      <w:r>
        <w:rPr>
          <w:spacing w:val="-3"/>
          <w:w w:val="105"/>
          <w:sz w:val="21"/>
        </w:rPr>
        <w:t>balance</w:t>
      </w:r>
      <w:r>
        <w:rPr>
          <w:spacing w:val="-12"/>
          <w:w w:val="105"/>
          <w:sz w:val="21"/>
        </w:rPr>
        <w:t> </w:t>
      </w:r>
      <w:r>
        <w:rPr>
          <w:w w:val="105"/>
          <w:sz w:val="21"/>
        </w:rPr>
        <w:t>the</w:t>
      </w:r>
      <w:r>
        <w:rPr>
          <w:spacing w:val="-12"/>
          <w:w w:val="105"/>
          <w:sz w:val="21"/>
        </w:rPr>
        <w:t> </w:t>
      </w:r>
      <w:r>
        <w:rPr>
          <w:w w:val="105"/>
          <w:sz w:val="21"/>
        </w:rPr>
        <w:t>interests</w:t>
      </w:r>
      <w:r>
        <w:rPr>
          <w:spacing w:val="-13"/>
          <w:w w:val="105"/>
          <w:sz w:val="21"/>
        </w:rPr>
        <w:t> </w:t>
      </w:r>
      <w:r>
        <w:rPr>
          <w:w w:val="105"/>
          <w:sz w:val="21"/>
        </w:rPr>
        <w:t>of</w:t>
      </w:r>
    </w:p>
    <w:p>
      <w:pPr>
        <w:pStyle w:val="BodyText"/>
        <w:spacing w:line="242" w:lineRule="auto" w:before="2"/>
        <w:ind w:left="2381" w:right="1770"/>
      </w:pPr>
      <w:r>
        <w:rPr>
          <w:spacing w:val="-3"/>
          <w:w w:val="105"/>
        </w:rPr>
        <w:t>‘vulnerable</w:t>
      </w:r>
      <w:r>
        <w:rPr>
          <w:spacing w:val="-12"/>
          <w:w w:val="105"/>
        </w:rPr>
        <w:t> </w:t>
      </w:r>
      <w:r>
        <w:rPr>
          <w:spacing w:val="-3"/>
          <w:w w:val="105"/>
        </w:rPr>
        <w:t>potential</w:t>
      </w:r>
      <w:r>
        <w:rPr>
          <w:spacing w:val="-11"/>
          <w:w w:val="105"/>
        </w:rPr>
        <w:t> </w:t>
      </w:r>
      <w:r>
        <w:rPr>
          <w:spacing w:val="-3"/>
          <w:w w:val="105"/>
        </w:rPr>
        <w:t>claimants’</w:t>
      </w:r>
      <w:r>
        <w:rPr>
          <w:spacing w:val="-11"/>
          <w:w w:val="105"/>
        </w:rPr>
        <w:t> </w:t>
      </w:r>
      <w:r>
        <w:rPr>
          <w:w w:val="105"/>
        </w:rPr>
        <w:t>with</w:t>
      </w:r>
      <w:r>
        <w:rPr>
          <w:spacing w:val="-11"/>
          <w:w w:val="105"/>
        </w:rPr>
        <w:t> </w:t>
      </w:r>
      <w:r>
        <w:rPr>
          <w:w w:val="105"/>
        </w:rPr>
        <w:t>‘the</w:t>
      </w:r>
      <w:r>
        <w:rPr>
          <w:spacing w:val="-12"/>
          <w:w w:val="105"/>
        </w:rPr>
        <w:t> </w:t>
      </w:r>
      <w:r>
        <w:rPr>
          <w:spacing w:val="-3"/>
          <w:w w:val="105"/>
        </w:rPr>
        <w:t>desirability</w:t>
      </w:r>
      <w:r>
        <w:rPr>
          <w:spacing w:val="-11"/>
          <w:w w:val="105"/>
        </w:rPr>
        <w:t> </w:t>
      </w:r>
      <w:r>
        <w:rPr>
          <w:w w:val="105"/>
        </w:rPr>
        <w:t>of</w:t>
      </w:r>
      <w:r>
        <w:rPr>
          <w:spacing w:val="-11"/>
          <w:w w:val="105"/>
        </w:rPr>
        <w:t> </w:t>
      </w:r>
      <w:r>
        <w:rPr>
          <w:w w:val="105"/>
        </w:rPr>
        <w:t>expeditious,</w:t>
      </w:r>
      <w:r>
        <w:rPr>
          <w:spacing w:val="-11"/>
          <w:w w:val="105"/>
        </w:rPr>
        <w:t> </w:t>
      </w:r>
      <w:r>
        <w:rPr>
          <w:w w:val="105"/>
        </w:rPr>
        <w:t>efficient</w:t>
      </w:r>
      <w:r>
        <w:rPr>
          <w:spacing w:val="-11"/>
          <w:w w:val="105"/>
        </w:rPr>
        <w:t> </w:t>
      </w:r>
      <w:r>
        <w:rPr>
          <w:w w:val="105"/>
        </w:rPr>
        <w:t>and</w:t>
      </w:r>
      <w:r>
        <w:rPr>
          <w:spacing w:val="-12"/>
          <w:w w:val="105"/>
        </w:rPr>
        <w:t> </w:t>
      </w:r>
      <w:r>
        <w:rPr>
          <w:w w:val="105"/>
        </w:rPr>
        <w:t>certain </w:t>
      </w:r>
      <w:r>
        <w:rPr>
          <w:spacing w:val="-4"/>
          <w:w w:val="105"/>
        </w:rPr>
        <w:t>administration’, </w:t>
      </w:r>
      <w:r>
        <w:rPr>
          <w:w w:val="105"/>
        </w:rPr>
        <w:t>but said </w:t>
      </w:r>
      <w:r>
        <w:rPr>
          <w:spacing w:val="-3"/>
          <w:w w:val="105"/>
        </w:rPr>
        <w:t>that </w:t>
      </w:r>
      <w:r>
        <w:rPr>
          <w:w w:val="105"/>
        </w:rPr>
        <w:t>on </w:t>
      </w:r>
      <w:r>
        <w:rPr>
          <w:spacing w:val="-3"/>
          <w:w w:val="105"/>
        </w:rPr>
        <w:t>balance </w:t>
      </w:r>
      <w:r>
        <w:rPr>
          <w:w w:val="105"/>
        </w:rPr>
        <w:t>it </w:t>
      </w:r>
      <w:r>
        <w:rPr>
          <w:spacing w:val="-3"/>
          <w:w w:val="105"/>
        </w:rPr>
        <w:t>preferred retention </w:t>
      </w:r>
      <w:r>
        <w:rPr>
          <w:w w:val="105"/>
        </w:rPr>
        <w:t>of the </w:t>
      </w:r>
      <w:r>
        <w:rPr>
          <w:spacing w:val="-3"/>
          <w:w w:val="105"/>
        </w:rPr>
        <w:t>current </w:t>
      </w:r>
      <w:r>
        <w:rPr>
          <w:w w:val="105"/>
        </w:rPr>
        <w:t>time </w:t>
      </w:r>
      <w:r>
        <w:rPr>
          <w:spacing w:val="-3"/>
          <w:w w:val="105"/>
        </w:rPr>
        <w:t>frame, </w:t>
      </w:r>
      <w:r>
        <w:rPr>
          <w:w w:val="105"/>
        </w:rPr>
        <w:t>provided </w:t>
      </w:r>
      <w:r>
        <w:rPr>
          <w:spacing w:val="-3"/>
          <w:w w:val="105"/>
        </w:rPr>
        <w:t>that eligibility </w:t>
      </w:r>
      <w:r>
        <w:rPr>
          <w:w w:val="105"/>
        </w:rPr>
        <w:t>is </w:t>
      </w:r>
      <w:r>
        <w:rPr>
          <w:spacing w:val="-3"/>
          <w:w w:val="105"/>
        </w:rPr>
        <w:t>limited to </w:t>
      </w:r>
      <w:r>
        <w:rPr>
          <w:w w:val="105"/>
        </w:rPr>
        <w:t>deter speculative claims.</w:t>
      </w:r>
      <w:r>
        <w:rPr>
          <w:w w:val="105"/>
          <w:position w:val="7"/>
          <w:sz w:val="12"/>
        </w:rPr>
        <w:t>330 </w:t>
      </w:r>
      <w:r>
        <w:rPr>
          <w:w w:val="105"/>
        </w:rPr>
        <w:t>Barrister </w:t>
      </w:r>
      <w:r>
        <w:rPr>
          <w:spacing w:val="-3"/>
          <w:w w:val="105"/>
        </w:rPr>
        <w:t>Andrew Verspaandonk noted that </w:t>
      </w:r>
      <w:r>
        <w:rPr>
          <w:w w:val="105"/>
        </w:rPr>
        <w:t>the </w:t>
      </w:r>
      <w:r>
        <w:rPr>
          <w:spacing w:val="-3"/>
          <w:w w:val="105"/>
        </w:rPr>
        <w:t>current </w:t>
      </w:r>
      <w:r>
        <w:rPr>
          <w:w w:val="105"/>
        </w:rPr>
        <w:t>time </w:t>
      </w:r>
      <w:r>
        <w:rPr>
          <w:spacing w:val="-3"/>
          <w:w w:val="105"/>
        </w:rPr>
        <w:t>limit </w:t>
      </w:r>
      <w:r>
        <w:rPr>
          <w:w w:val="105"/>
        </w:rPr>
        <w:t>allows sufficient time </w:t>
      </w:r>
      <w:r>
        <w:rPr>
          <w:spacing w:val="-3"/>
          <w:w w:val="105"/>
        </w:rPr>
        <w:t>for </w:t>
      </w:r>
      <w:r>
        <w:rPr>
          <w:w w:val="105"/>
        </w:rPr>
        <w:t>advice and </w:t>
      </w:r>
      <w:r>
        <w:rPr>
          <w:spacing w:val="-3"/>
          <w:w w:val="105"/>
        </w:rPr>
        <w:t>consideration,</w:t>
      </w:r>
      <w:r>
        <w:rPr>
          <w:spacing w:val="-12"/>
          <w:w w:val="105"/>
        </w:rPr>
        <w:t> </w:t>
      </w:r>
      <w:r>
        <w:rPr>
          <w:w w:val="105"/>
        </w:rPr>
        <w:t>while</w:t>
      </w:r>
      <w:r>
        <w:rPr>
          <w:spacing w:val="-11"/>
          <w:w w:val="105"/>
        </w:rPr>
        <w:t> </w:t>
      </w:r>
      <w:r>
        <w:rPr>
          <w:w w:val="105"/>
        </w:rPr>
        <w:t>extensions</w:t>
      </w:r>
      <w:r>
        <w:rPr>
          <w:spacing w:val="-12"/>
          <w:w w:val="105"/>
        </w:rPr>
        <w:t> </w:t>
      </w:r>
      <w:r>
        <w:rPr>
          <w:w w:val="105"/>
        </w:rPr>
        <w:t>of</w:t>
      </w:r>
      <w:r>
        <w:rPr>
          <w:spacing w:val="-11"/>
          <w:w w:val="105"/>
        </w:rPr>
        <w:t> </w:t>
      </w:r>
      <w:r>
        <w:rPr>
          <w:w w:val="105"/>
        </w:rPr>
        <w:t>time</w:t>
      </w:r>
      <w:r>
        <w:rPr>
          <w:spacing w:val="-12"/>
          <w:w w:val="105"/>
        </w:rPr>
        <w:t> </w:t>
      </w:r>
      <w:r>
        <w:rPr>
          <w:spacing w:val="-3"/>
          <w:w w:val="105"/>
        </w:rPr>
        <w:t>are</w:t>
      </w:r>
      <w:r>
        <w:rPr>
          <w:spacing w:val="-11"/>
          <w:w w:val="105"/>
        </w:rPr>
        <w:t> </w:t>
      </w:r>
      <w:r>
        <w:rPr>
          <w:w w:val="105"/>
        </w:rPr>
        <w:t>permitted</w:t>
      </w:r>
      <w:r>
        <w:rPr>
          <w:spacing w:val="-11"/>
          <w:w w:val="105"/>
        </w:rPr>
        <w:t> </w:t>
      </w:r>
      <w:r>
        <w:rPr>
          <w:w w:val="105"/>
        </w:rPr>
        <w:t>by</w:t>
      </w:r>
      <w:r>
        <w:rPr>
          <w:spacing w:val="-12"/>
          <w:w w:val="105"/>
        </w:rPr>
        <w:t> </w:t>
      </w:r>
      <w:r>
        <w:rPr>
          <w:w w:val="105"/>
        </w:rPr>
        <w:t>the</w:t>
      </w:r>
      <w:r>
        <w:rPr>
          <w:spacing w:val="-11"/>
          <w:w w:val="105"/>
        </w:rPr>
        <w:t> </w:t>
      </w:r>
      <w:r>
        <w:rPr>
          <w:spacing w:val="-3"/>
          <w:w w:val="105"/>
        </w:rPr>
        <w:t>Administration</w:t>
      </w:r>
      <w:r>
        <w:rPr>
          <w:spacing w:val="-12"/>
          <w:w w:val="105"/>
        </w:rPr>
        <w:t> </w:t>
      </w:r>
      <w:r>
        <w:rPr>
          <w:w w:val="105"/>
        </w:rPr>
        <w:t>and</w:t>
      </w:r>
      <w:r>
        <w:rPr>
          <w:spacing w:val="-11"/>
          <w:w w:val="105"/>
        </w:rPr>
        <w:t> </w:t>
      </w:r>
      <w:r>
        <w:rPr>
          <w:spacing w:val="-3"/>
          <w:w w:val="105"/>
        </w:rPr>
        <w:t>Probate </w:t>
      </w:r>
      <w:r>
        <w:rPr>
          <w:w w:val="105"/>
        </w:rPr>
        <w:t>Act.</w:t>
      </w:r>
      <w:r>
        <w:rPr>
          <w:w w:val="105"/>
          <w:position w:val="7"/>
          <w:sz w:val="12"/>
        </w:rPr>
        <w:t>331</w:t>
      </w:r>
      <w:r>
        <w:rPr>
          <w:spacing w:val="25"/>
          <w:w w:val="105"/>
          <w:position w:val="7"/>
          <w:sz w:val="12"/>
        </w:rPr>
        <w:t> </w:t>
      </w:r>
      <w:r>
        <w:rPr>
          <w:spacing w:val="-3"/>
          <w:w w:val="105"/>
        </w:rPr>
        <w:t>Carolyn</w:t>
      </w:r>
      <w:r>
        <w:rPr>
          <w:spacing w:val="3"/>
          <w:w w:val="105"/>
        </w:rPr>
        <w:t> </w:t>
      </w:r>
      <w:r>
        <w:rPr>
          <w:spacing w:val="-3"/>
          <w:w w:val="105"/>
        </w:rPr>
        <w:t>Sparke</w:t>
      </w:r>
      <w:r>
        <w:rPr>
          <w:spacing w:val="4"/>
          <w:w w:val="105"/>
        </w:rPr>
        <w:t> </w:t>
      </w:r>
      <w:r>
        <w:rPr>
          <w:w w:val="105"/>
        </w:rPr>
        <w:t>SC</w:t>
      </w:r>
      <w:r>
        <w:rPr>
          <w:spacing w:val="3"/>
          <w:w w:val="105"/>
        </w:rPr>
        <w:t> </w:t>
      </w:r>
      <w:r>
        <w:rPr>
          <w:spacing w:val="-3"/>
          <w:w w:val="105"/>
        </w:rPr>
        <w:t>pointed</w:t>
      </w:r>
      <w:r>
        <w:rPr>
          <w:spacing w:val="3"/>
          <w:w w:val="105"/>
        </w:rPr>
        <w:t> </w:t>
      </w:r>
      <w:r>
        <w:rPr>
          <w:w w:val="105"/>
        </w:rPr>
        <w:t>out</w:t>
      </w:r>
      <w:r>
        <w:rPr>
          <w:spacing w:val="3"/>
          <w:w w:val="105"/>
        </w:rPr>
        <w:t> </w:t>
      </w:r>
      <w:r>
        <w:rPr>
          <w:spacing w:val="-3"/>
          <w:w w:val="105"/>
        </w:rPr>
        <w:t>that</w:t>
      </w:r>
      <w:r>
        <w:rPr>
          <w:spacing w:val="4"/>
          <w:w w:val="105"/>
        </w:rPr>
        <w:t> </w:t>
      </w:r>
      <w:r>
        <w:rPr>
          <w:w w:val="105"/>
        </w:rPr>
        <w:t>the</w:t>
      </w:r>
      <w:r>
        <w:rPr>
          <w:spacing w:val="3"/>
          <w:w w:val="105"/>
        </w:rPr>
        <w:t> </w:t>
      </w:r>
      <w:r>
        <w:rPr>
          <w:w w:val="105"/>
        </w:rPr>
        <w:t>time</w:t>
      </w:r>
      <w:r>
        <w:rPr>
          <w:spacing w:val="3"/>
          <w:w w:val="105"/>
        </w:rPr>
        <w:t> </w:t>
      </w:r>
      <w:r>
        <w:rPr>
          <w:spacing w:val="-3"/>
          <w:w w:val="105"/>
        </w:rPr>
        <w:t>taken</w:t>
      </w:r>
      <w:r>
        <w:rPr>
          <w:spacing w:val="4"/>
          <w:w w:val="105"/>
        </w:rPr>
        <w:t> </w:t>
      </w:r>
      <w:r>
        <w:rPr>
          <w:spacing w:val="-3"/>
          <w:w w:val="105"/>
        </w:rPr>
        <w:t>to</w:t>
      </w:r>
      <w:r>
        <w:rPr>
          <w:spacing w:val="3"/>
          <w:w w:val="105"/>
        </w:rPr>
        <w:t> </w:t>
      </w:r>
      <w:r>
        <w:rPr>
          <w:w w:val="105"/>
        </w:rPr>
        <w:t>obtain</w:t>
      </w:r>
      <w:r>
        <w:rPr>
          <w:spacing w:val="3"/>
          <w:w w:val="105"/>
        </w:rPr>
        <w:t> </w:t>
      </w:r>
      <w:r>
        <w:rPr>
          <w:spacing w:val="-3"/>
          <w:w w:val="105"/>
        </w:rPr>
        <w:t>probate</w:t>
      </w:r>
      <w:r>
        <w:rPr>
          <w:spacing w:val="4"/>
          <w:w w:val="105"/>
        </w:rPr>
        <w:t> </w:t>
      </w:r>
      <w:r>
        <w:rPr>
          <w:spacing w:val="-3"/>
          <w:w w:val="105"/>
        </w:rPr>
        <w:t>plus</w:t>
      </w:r>
      <w:r>
        <w:rPr>
          <w:spacing w:val="3"/>
          <w:w w:val="105"/>
        </w:rPr>
        <w:t> </w:t>
      </w:r>
      <w:r>
        <w:rPr>
          <w:w w:val="105"/>
        </w:rPr>
        <w:t>six</w:t>
      </w:r>
    </w:p>
    <w:p>
      <w:pPr>
        <w:pStyle w:val="BodyText"/>
        <w:spacing w:line="242" w:lineRule="auto" w:before="6"/>
        <w:ind w:left="2381" w:right="1532"/>
        <w:rPr>
          <w:sz w:val="12"/>
        </w:rPr>
      </w:pPr>
      <w:r>
        <w:rPr>
          <w:spacing w:val="-3"/>
          <w:w w:val="105"/>
        </w:rPr>
        <w:t>months </w:t>
      </w:r>
      <w:r>
        <w:rPr>
          <w:w w:val="105"/>
        </w:rPr>
        <w:t>typically gives people about </w:t>
      </w:r>
      <w:r>
        <w:rPr>
          <w:spacing w:val="-3"/>
          <w:w w:val="105"/>
        </w:rPr>
        <w:t>eight months from </w:t>
      </w:r>
      <w:r>
        <w:rPr>
          <w:w w:val="105"/>
        </w:rPr>
        <w:t>the </w:t>
      </w:r>
      <w:r>
        <w:rPr>
          <w:spacing w:val="-3"/>
          <w:w w:val="105"/>
        </w:rPr>
        <w:t>date </w:t>
      </w:r>
      <w:r>
        <w:rPr>
          <w:w w:val="105"/>
        </w:rPr>
        <w:t>of the deceased </w:t>
      </w:r>
      <w:r>
        <w:rPr>
          <w:spacing w:val="-3"/>
          <w:w w:val="105"/>
        </w:rPr>
        <w:t>person’s </w:t>
      </w:r>
      <w:r>
        <w:rPr>
          <w:w w:val="105"/>
        </w:rPr>
        <w:t>death </w:t>
      </w:r>
      <w:r>
        <w:rPr>
          <w:spacing w:val="-3"/>
          <w:w w:val="105"/>
        </w:rPr>
        <w:t>to </w:t>
      </w:r>
      <w:r>
        <w:rPr>
          <w:spacing w:val="-4"/>
          <w:w w:val="105"/>
        </w:rPr>
        <w:t>make </w:t>
      </w:r>
      <w:r>
        <w:rPr>
          <w:w w:val="105"/>
        </w:rPr>
        <w:t>an </w:t>
      </w:r>
      <w:r>
        <w:rPr>
          <w:spacing w:val="-3"/>
          <w:w w:val="105"/>
        </w:rPr>
        <w:t>application.</w:t>
      </w:r>
      <w:r>
        <w:rPr>
          <w:spacing w:val="-3"/>
          <w:w w:val="105"/>
          <w:position w:val="7"/>
          <w:sz w:val="12"/>
        </w:rPr>
        <w:t>332</w:t>
      </w:r>
    </w:p>
    <w:p>
      <w:pPr>
        <w:pStyle w:val="ListParagraph"/>
        <w:numPr>
          <w:ilvl w:val="0"/>
          <w:numId w:val="97"/>
        </w:numPr>
        <w:tabs>
          <w:tab w:pos="2380" w:val="left" w:leader="none"/>
          <w:tab w:pos="2381" w:val="left" w:leader="none"/>
        </w:tabs>
        <w:spacing w:line="242" w:lineRule="auto" w:before="123" w:after="0"/>
        <w:ind w:left="2381" w:right="1745" w:hanging="794"/>
        <w:jc w:val="left"/>
        <w:rPr>
          <w:sz w:val="12"/>
        </w:rPr>
      </w:pPr>
      <w:r>
        <w:rPr>
          <w:w w:val="105"/>
          <w:sz w:val="21"/>
        </w:rPr>
        <w:t>Other</w:t>
      </w:r>
      <w:r>
        <w:rPr>
          <w:spacing w:val="-8"/>
          <w:w w:val="105"/>
          <w:sz w:val="21"/>
        </w:rPr>
        <w:t> </w:t>
      </w:r>
      <w:r>
        <w:rPr>
          <w:spacing w:val="-3"/>
          <w:w w:val="105"/>
          <w:sz w:val="21"/>
        </w:rPr>
        <w:t>submissions</w:t>
      </w:r>
      <w:r>
        <w:rPr>
          <w:spacing w:val="-7"/>
          <w:w w:val="105"/>
          <w:sz w:val="21"/>
        </w:rPr>
        <w:t> </w:t>
      </w:r>
      <w:r>
        <w:rPr>
          <w:spacing w:val="-3"/>
          <w:w w:val="105"/>
          <w:sz w:val="21"/>
        </w:rPr>
        <w:t>considered</w:t>
      </w:r>
      <w:r>
        <w:rPr>
          <w:spacing w:val="-8"/>
          <w:w w:val="105"/>
          <w:sz w:val="21"/>
        </w:rPr>
        <w:t> </w:t>
      </w:r>
      <w:r>
        <w:rPr>
          <w:w w:val="105"/>
          <w:sz w:val="21"/>
        </w:rPr>
        <w:t>the</w:t>
      </w:r>
      <w:r>
        <w:rPr>
          <w:spacing w:val="-7"/>
          <w:w w:val="105"/>
          <w:sz w:val="21"/>
        </w:rPr>
        <w:t> </w:t>
      </w:r>
      <w:r>
        <w:rPr>
          <w:w w:val="105"/>
          <w:sz w:val="21"/>
        </w:rPr>
        <w:t>period</w:t>
      </w:r>
      <w:r>
        <w:rPr>
          <w:spacing w:val="-8"/>
          <w:w w:val="105"/>
          <w:sz w:val="21"/>
        </w:rPr>
        <w:t> </w:t>
      </w:r>
      <w:r>
        <w:rPr>
          <w:w w:val="105"/>
          <w:sz w:val="21"/>
        </w:rPr>
        <w:t>of</w:t>
      </w:r>
      <w:r>
        <w:rPr>
          <w:spacing w:val="-7"/>
          <w:w w:val="105"/>
          <w:sz w:val="21"/>
        </w:rPr>
        <w:t> </w:t>
      </w:r>
      <w:r>
        <w:rPr>
          <w:w w:val="105"/>
          <w:sz w:val="21"/>
        </w:rPr>
        <w:t>six</w:t>
      </w:r>
      <w:r>
        <w:rPr>
          <w:spacing w:val="-7"/>
          <w:w w:val="105"/>
          <w:sz w:val="21"/>
        </w:rPr>
        <w:t> </w:t>
      </w:r>
      <w:r>
        <w:rPr>
          <w:spacing w:val="-3"/>
          <w:w w:val="105"/>
          <w:sz w:val="21"/>
        </w:rPr>
        <w:t>months</w:t>
      </w:r>
      <w:r>
        <w:rPr>
          <w:spacing w:val="-8"/>
          <w:w w:val="105"/>
          <w:sz w:val="21"/>
        </w:rPr>
        <w:t> </w:t>
      </w:r>
      <w:r>
        <w:rPr>
          <w:spacing w:val="-3"/>
          <w:w w:val="105"/>
          <w:sz w:val="21"/>
        </w:rPr>
        <w:t>from</w:t>
      </w:r>
      <w:r>
        <w:rPr>
          <w:spacing w:val="-7"/>
          <w:w w:val="105"/>
          <w:sz w:val="21"/>
        </w:rPr>
        <w:t> </w:t>
      </w:r>
      <w:r>
        <w:rPr>
          <w:w w:val="105"/>
          <w:sz w:val="21"/>
        </w:rPr>
        <w:t>the</w:t>
      </w:r>
      <w:r>
        <w:rPr>
          <w:spacing w:val="-8"/>
          <w:w w:val="105"/>
          <w:sz w:val="21"/>
        </w:rPr>
        <w:t> </w:t>
      </w:r>
      <w:r>
        <w:rPr>
          <w:spacing w:val="-3"/>
          <w:w w:val="105"/>
          <w:sz w:val="21"/>
        </w:rPr>
        <w:t>grant</w:t>
      </w:r>
      <w:r>
        <w:rPr>
          <w:spacing w:val="-7"/>
          <w:w w:val="105"/>
          <w:sz w:val="21"/>
        </w:rPr>
        <w:t> </w:t>
      </w:r>
      <w:r>
        <w:rPr>
          <w:w w:val="105"/>
          <w:sz w:val="21"/>
        </w:rPr>
        <w:t>of</w:t>
      </w:r>
      <w:r>
        <w:rPr>
          <w:spacing w:val="-7"/>
          <w:w w:val="105"/>
          <w:sz w:val="21"/>
        </w:rPr>
        <w:t> </w:t>
      </w:r>
      <w:r>
        <w:rPr>
          <w:w w:val="105"/>
          <w:sz w:val="21"/>
        </w:rPr>
        <w:t>representation </w:t>
      </w:r>
      <w:r>
        <w:rPr>
          <w:spacing w:val="-3"/>
          <w:w w:val="105"/>
          <w:sz w:val="21"/>
        </w:rPr>
        <w:t>to </w:t>
      </w:r>
      <w:r>
        <w:rPr>
          <w:w w:val="105"/>
          <w:sz w:val="21"/>
        </w:rPr>
        <w:t>be too long.</w:t>
      </w:r>
      <w:r>
        <w:rPr>
          <w:w w:val="105"/>
          <w:position w:val="7"/>
          <w:sz w:val="12"/>
        </w:rPr>
        <w:t>333 </w:t>
      </w:r>
      <w:r>
        <w:rPr>
          <w:w w:val="105"/>
          <w:sz w:val="21"/>
        </w:rPr>
        <w:t>One </w:t>
      </w:r>
      <w:r>
        <w:rPr>
          <w:spacing w:val="-3"/>
          <w:w w:val="105"/>
          <w:sz w:val="21"/>
        </w:rPr>
        <w:t>submission </w:t>
      </w:r>
      <w:r>
        <w:rPr>
          <w:w w:val="105"/>
          <w:sz w:val="21"/>
        </w:rPr>
        <w:t>suggested </w:t>
      </w:r>
      <w:r>
        <w:rPr>
          <w:spacing w:val="-3"/>
          <w:w w:val="105"/>
          <w:sz w:val="21"/>
        </w:rPr>
        <w:t>that </w:t>
      </w:r>
      <w:r>
        <w:rPr>
          <w:w w:val="105"/>
          <w:sz w:val="21"/>
        </w:rPr>
        <w:t>the six-month </w:t>
      </w:r>
      <w:r>
        <w:rPr>
          <w:spacing w:val="-3"/>
          <w:w w:val="105"/>
          <w:sz w:val="21"/>
        </w:rPr>
        <w:t>limit ‘was </w:t>
      </w:r>
      <w:r>
        <w:rPr>
          <w:w w:val="105"/>
          <w:sz w:val="21"/>
        </w:rPr>
        <w:t>adopted in </w:t>
      </w:r>
      <w:r>
        <w:rPr>
          <w:spacing w:val="-3"/>
          <w:w w:val="105"/>
          <w:sz w:val="21"/>
        </w:rPr>
        <w:t>“horse </w:t>
      </w:r>
      <w:r>
        <w:rPr>
          <w:w w:val="105"/>
          <w:sz w:val="21"/>
        </w:rPr>
        <w:t>and buggy” days when there was no </w:t>
      </w:r>
      <w:r>
        <w:rPr>
          <w:spacing w:val="-3"/>
          <w:w w:val="105"/>
          <w:sz w:val="21"/>
        </w:rPr>
        <w:t>instant means </w:t>
      </w:r>
      <w:r>
        <w:rPr>
          <w:w w:val="105"/>
          <w:sz w:val="21"/>
        </w:rPr>
        <w:t>of </w:t>
      </w:r>
      <w:r>
        <w:rPr>
          <w:spacing w:val="-3"/>
          <w:w w:val="105"/>
          <w:sz w:val="21"/>
        </w:rPr>
        <w:t>communication </w:t>
      </w:r>
      <w:r>
        <w:rPr>
          <w:w w:val="105"/>
          <w:sz w:val="21"/>
        </w:rPr>
        <w:t>as there  is</w:t>
      </w:r>
      <w:r>
        <w:rPr>
          <w:spacing w:val="-12"/>
          <w:w w:val="105"/>
          <w:sz w:val="21"/>
        </w:rPr>
        <w:t> </w:t>
      </w:r>
      <w:r>
        <w:rPr>
          <w:spacing w:val="-3"/>
          <w:w w:val="105"/>
          <w:sz w:val="21"/>
        </w:rPr>
        <w:t>today’</w:t>
      </w:r>
      <w:r>
        <w:rPr>
          <w:spacing w:val="-11"/>
          <w:w w:val="105"/>
          <w:sz w:val="21"/>
        </w:rPr>
        <w:t> </w:t>
      </w:r>
      <w:r>
        <w:rPr>
          <w:w w:val="105"/>
          <w:sz w:val="21"/>
        </w:rPr>
        <w:t>and</w:t>
      </w:r>
      <w:r>
        <w:rPr>
          <w:spacing w:val="-11"/>
          <w:w w:val="105"/>
          <w:sz w:val="21"/>
        </w:rPr>
        <w:t> </w:t>
      </w:r>
      <w:r>
        <w:rPr>
          <w:w w:val="105"/>
          <w:sz w:val="21"/>
        </w:rPr>
        <w:t>is</w:t>
      </w:r>
      <w:r>
        <w:rPr>
          <w:spacing w:val="-11"/>
          <w:w w:val="105"/>
          <w:sz w:val="21"/>
        </w:rPr>
        <w:t> </w:t>
      </w:r>
      <w:r>
        <w:rPr>
          <w:spacing w:val="-4"/>
          <w:w w:val="105"/>
          <w:sz w:val="21"/>
        </w:rPr>
        <w:t>unfair</w:t>
      </w:r>
      <w:r>
        <w:rPr>
          <w:spacing w:val="-11"/>
          <w:w w:val="105"/>
          <w:sz w:val="21"/>
        </w:rPr>
        <w:t> </w:t>
      </w:r>
      <w:r>
        <w:rPr>
          <w:w w:val="105"/>
          <w:sz w:val="21"/>
        </w:rPr>
        <w:t>on</w:t>
      </w:r>
      <w:r>
        <w:rPr>
          <w:spacing w:val="-11"/>
          <w:w w:val="105"/>
          <w:sz w:val="21"/>
        </w:rPr>
        <w:t> </w:t>
      </w:r>
      <w:r>
        <w:rPr>
          <w:w w:val="105"/>
          <w:sz w:val="21"/>
        </w:rPr>
        <w:t>executors</w:t>
      </w:r>
      <w:r>
        <w:rPr>
          <w:spacing w:val="-11"/>
          <w:w w:val="105"/>
          <w:sz w:val="21"/>
        </w:rPr>
        <w:t> </w:t>
      </w:r>
      <w:r>
        <w:rPr>
          <w:w w:val="105"/>
          <w:sz w:val="21"/>
        </w:rPr>
        <w:t>and</w:t>
      </w:r>
      <w:r>
        <w:rPr>
          <w:spacing w:val="-12"/>
          <w:w w:val="105"/>
          <w:sz w:val="21"/>
        </w:rPr>
        <w:t> </w:t>
      </w:r>
      <w:r>
        <w:rPr>
          <w:w w:val="105"/>
          <w:sz w:val="21"/>
        </w:rPr>
        <w:t>beneficiaries.</w:t>
      </w:r>
      <w:r>
        <w:rPr>
          <w:spacing w:val="-27"/>
          <w:w w:val="105"/>
          <w:sz w:val="21"/>
        </w:rPr>
        <w:t> </w:t>
      </w:r>
      <w:r>
        <w:rPr>
          <w:w w:val="105"/>
          <w:sz w:val="21"/>
        </w:rPr>
        <w:t>This</w:t>
      </w:r>
      <w:r>
        <w:rPr>
          <w:spacing w:val="-12"/>
          <w:w w:val="105"/>
          <w:sz w:val="21"/>
        </w:rPr>
        <w:t> </w:t>
      </w:r>
      <w:r>
        <w:rPr>
          <w:w w:val="105"/>
          <w:sz w:val="21"/>
        </w:rPr>
        <w:t>person</w:t>
      </w:r>
      <w:r>
        <w:rPr>
          <w:spacing w:val="-11"/>
          <w:w w:val="105"/>
          <w:sz w:val="21"/>
        </w:rPr>
        <w:t> </w:t>
      </w:r>
      <w:r>
        <w:rPr>
          <w:w w:val="105"/>
          <w:sz w:val="21"/>
        </w:rPr>
        <w:t>recommended</w:t>
      </w:r>
      <w:r>
        <w:rPr>
          <w:spacing w:val="-11"/>
          <w:w w:val="105"/>
          <w:sz w:val="21"/>
        </w:rPr>
        <w:t> </w:t>
      </w:r>
      <w:r>
        <w:rPr>
          <w:spacing w:val="-3"/>
          <w:w w:val="105"/>
          <w:sz w:val="21"/>
        </w:rPr>
        <w:t>that</w:t>
      </w:r>
      <w:r>
        <w:rPr>
          <w:spacing w:val="-11"/>
          <w:w w:val="105"/>
          <w:sz w:val="21"/>
        </w:rPr>
        <w:t> </w:t>
      </w:r>
      <w:r>
        <w:rPr>
          <w:w w:val="105"/>
          <w:sz w:val="21"/>
        </w:rPr>
        <w:t>the period be </w:t>
      </w:r>
      <w:r>
        <w:rPr>
          <w:spacing w:val="-3"/>
          <w:w w:val="105"/>
          <w:sz w:val="21"/>
        </w:rPr>
        <w:t>reduced from </w:t>
      </w:r>
      <w:r>
        <w:rPr>
          <w:w w:val="105"/>
          <w:sz w:val="21"/>
        </w:rPr>
        <w:t>six </w:t>
      </w:r>
      <w:r>
        <w:rPr>
          <w:spacing w:val="-3"/>
          <w:w w:val="105"/>
          <w:sz w:val="21"/>
        </w:rPr>
        <w:t>months from </w:t>
      </w:r>
      <w:r>
        <w:rPr>
          <w:w w:val="105"/>
          <w:sz w:val="21"/>
        </w:rPr>
        <w:t>the </w:t>
      </w:r>
      <w:r>
        <w:rPr>
          <w:spacing w:val="-3"/>
          <w:w w:val="105"/>
          <w:sz w:val="21"/>
        </w:rPr>
        <w:t>grant </w:t>
      </w:r>
      <w:r>
        <w:rPr>
          <w:w w:val="105"/>
          <w:sz w:val="21"/>
        </w:rPr>
        <w:t>of </w:t>
      </w:r>
      <w:r>
        <w:rPr>
          <w:spacing w:val="-2"/>
          <w:w w:val="105"/>
          <w:sz w:val="21"/>
        </w:rPr>
        <w:t>representation </w:t>
      </w:r>
      <w:r>
        <w:rPr>
          <w:spacing w:val="-3"/>
          <w:w w:val="105"/>
          <w:sz w:val="21"/>
        </w:rPr>
        <w:t>to</w:t>
      </w:r>
      <w:r>
        <w:rPr>
          <w:spacing w:val="38"/>
          <w:w w:val="105"/>
          <w:sz w:val="21"/>
        </w:rPr>
        <w:t> </w:t>
      </w:r>
      <w:r>
        <w:rPr>
          <w:spacing w:val="-3"/>
          <w:w w:val="105"/>
          <w:sz w:val="21"/>
        </w:rPr>
        <w:t>three.</w:t>
      </w:r>
      <w:r>
        <w:rPr>
          <w:spacing w:val="-3"/>
          <w:w w:val="105"/>
          <w:position w:val="7"/>
          <w:sz w:val="12"/>
        </w:rPr>
        <w:t>334</w:t>
      </w:r>
    </w:p>
    <w:p>
      <w:pPr>
        <w:pStyle w:val="ListParagraph"/>
        <w:numPr>
          <w:ilvl w:val="0"/>
          <w:numId w:val="97"/>
        </w:numPr>
        <w:tabs>
          <w:tab w:pos="2381" w:val="left" w:leader="none"/>
          <w:tab w:pos="2382" w:val="left" w:leader="none"/>
        </w:tabs>
        <w:spacing w:line="242" w:lineRule="auto" w:before="125" w:after="0"/>
        <w:ind w:left="2381" w:right="1932" w:hanging="794"/>
        <w:jc w:val="left"/>
        <w:rPr>
          <w:sz w:val="12"/>
        </w:rPr>
      </w:pPr>
      <w:r>
        <w:rPr>
          <w:sz w:val="21"/>
        </w:rPr>
        <w:t>One </w:t>
      </w:r>
      <w:r>
        <w:rPr>
          <w:spacing w:val="-3"/>
          <w:sz w:val="21"/>
        </w:rPr>
        <w:t>submission </w:t>
      </w:r>
      <w:r>
        <w:rPr>
          <w:sz w:val="21"/>
        </w:rPr>
        <w:t>expressed the view </w:t>
      </w:r>
      <w:r>
        <w:rPr>
          <w:spacing w:val="-3"/>
          <w:sz w:val="21"/>
        </w:rPr>
        <w:t>that </w:t>
      </w:r>
      <w:r>
        <w:rPr>
          <w:sz w:val="21"/>
        </w:rPr>
        <w:t>the period of six </w:t>
      </w:r>
      <w:r>
        <w:rPr>
          <w:spacing w:val="-3"/>
          <w:sz w:val="21"/>
        </w:rPr>
        <w:t>months from </w:t>
      </w:r>
      <w:r>
        <w:rPr>
          <w:sz w:val="21"/>
        </w:rPr>
        <w:t>the </w:t>
      </w:r>
      <w:r>
        <w:rPr>
          <w:spacing w:val="-3"/>
          <w:sz w:val="21"/>
        </w:rPr>
        <w:t>date </w:t>
      </w:r>
      <w:r>
        <w:rPr>
          <w:sz w:val="21"/>
        </w:rPr>
        <w:t>of the </w:t>
      </w:r>
      <w:r>
        <w:rPr>
          <w:spacing w:val="-3"/>
          <w:sz w:val="21"/>
        </w:rPr>
        <w:t>grant </w:t>
      </w:r>
      <w:r>
        <w:rPr>
          <w:sz w:val="21"/>
        </w:rPr>
        <w:t>of </w:t>
      </w:r>
      <w:r>
        <w:rPr>
          <w:spacing w:val="-2"/>
          <w:sz w:val="21"/>
        </w:rPr>
        <w:t>representation  </w:t>
      </w:r>
      <w:r>
        <w:rPr>
          <w:sz w:val="21"/>
        </w:rPr>
        <w:t>is too short, and it and one other </w:t>
      </w:r>
      <w:r>
        <w:rPr>
          <w:spacing w:val="-3"/>
          <w:sz w:val="21"/>
        </w:rPr>
        <w:t>submission  considered  that  </w:t>
      </w:r>
      <w:r>
        <w:rPr>
          <w:sz w:val="21"/>
        </w:rPr>
        <w:t>the</w:t>
      </w:r>
      <w:r>
        <w:rPr>
          <w:spacing w:val="19"/>
          <w:sz w:val="21"/>
        </w:rPr>
        <w:t> </w:t>
      </w:r>
      <w:r>
        <w:rPr>
          <w:sz w:val="21"/>
        </w:rPr>
        <w:t>period</w:t>
      </w:r>
      <w:r>
        <w:rPr>
          <w:spacing w:val="19"/>
          <w:sz w:val="21"/>
        </w:rPr>
        <w:t> </w:t>
      </w:r>
      <w:r>
        <w:rPr>
          <w:sz w:val="21"/>
        </w:rPr>
        <w:t>should</w:t>
      </w:r>
      <w:r>
        <w:rPr>
          <w:spacing w:val="19"/>
          <w:sz w:val="21"/>
        </w:rPr>
        <w:t> </w:t>
      </w:r>
      <w:r>
        <w:rPr>
          <w:sz w:val="21"/>
        </w:rPr>
        <w:t>be</w:t>
      </w:r>
      <w:r>
        <w:rPr>
          <w:spacing w:val="20"/>
          <w:sz w:val="21"/>
        </w:rPr>
        <w:t> </w:t>
      </w:r>
      <w:r>
        <w:rPr>
          <w:spacing w:val="-9"/>
          <w:sz w:val="21"/>
        </w:rPr>
        <w:t>12</w:t>
      </w:r>
      <w:r>
        <w:rPr>
          <w:spacing w:val="19"/>
          <w:sz w:val="21"/>
        </w:rPr>
        <w:t> </w:t>
      </w:r>
      <w:r>
        <w:rPr>
          <w:spacing w:val="-3"/>
          <w:sz w:val="21"/>
        </w:rPr>
        <w:t>months</w:t>
      </w:r>
      <w:r>
        <w:rPr>
          <w:spacing w:val="19"/>
          <w:sz w:val="21"/>
        </w:rPr>
        <w:t> </w:t>
      </w:r>
      <w:r>
        <w:rPr>
          <w:spacing w:val="-3"/>
          <w:sz w:val="21"/>
        </w:rPr>
        <w:t>from</w:t>
      </w:r>
      <w:r>
        <w:rPr>
          <w:spacing w:val="19"/>
          <w:sz w:val="21"/>
        </w:rPr>
        <w:t> </w:t>
      </w:r>
      <w:r>
        <w:rPr>
          <w:sz w:val="21"/>
        </w:rPr>
        <w:t>the</w:t>
      </w:r>
      <w:r>
        <w:rPr>
          <w:spacing w:val="20"/>
          <w:sz w:val="21"/>
        </w:rPr>
        <w:t> </w:t>
      </w:r>
      <w:r>
        <w:rPr>
          <w:spacing w:val="-3"/>
          <w:sz w:val="21"/>
        </w:rPr>
        <w:t>date</w:t>
      </w:r>
      <w:r>
        <w:rPr>
          <w:spacing w:val="19"/>
          <w:sz w:val="21"/>
        </w:rPr>
        <w:t> </w:t>
      </w:r>
      <w:r>
        <w:rPr>
          <w:sz w:val="21"/>
        </w:rPr>
        <w:t>of</w:t>
      </w:r>
      <w:r>
        <w:rPr>
          <w:spacing w:val="19"/>
          <w:sz w:val="21"/>
        </w:rPr>
        <w:t> </w:t>
      </w:r>
      <w:r>
        <w:rPr>
          <w:spacing w:val="-3"/>
          <w:sz w:val="21"/>
        </w:rPr>
        <w:t>death,</w:t>
      </w:r>
      <w:r>
        <w:rPr>
          <w:spacing w:val="19"/>
          <w:sz w:val="21"/>
        </w:rPr>
        <w:t> </w:t>
      </w:r>
      <w:r>
        <w:rPr>
          <w:sz w:val="21"/>
        </w:rPr>
        <w:t>as</w:t>
      </w:r>
      <w:r>
        <w:rPr>
          <w:spacing w:val="20"/>
          <w:sz w:val="21"/>
        </w:rPr>
        <w:t> </w:t>
      </w:r>
      <w:r>
        <w:rPr>
          <w:sz w:val="21"/>
        </w:rPr>
        <w:t>in</w:t>
      </w:r>
      <w:r>
        <w:rPr>
          <w:spacing w:val="19"/>
          <w:sz w:val="21"/>
        </w:rPr>
        <w:t> </w:t>
      </w:r>
      <w:r>
        <w:rPr>
          <w:sz w:val="21"/>
        </w:rPr>
        <w:t>New</w:t>
      </w:r>
      <w:r>
        <w:rPr>
          <w:spacing w:val="19"/>
          <w:sz w:val="21"/>
        </w:rPr>
        <w:t> </w:t>
      </w:r>
      <w:r>
        <w:rPr>
          <w:sz w:val="21"/>
        </w:rPr>
        <w:t>South</w:t>
      </w:r>
      <w:r>
        <w:rPr>
          <w:spacing w:val="19"/>
          <w:sz w:val="21"/>
        </w:rPr>
        <w:t> </w:t>
      </w:r>
      <w:r>
        <w:rPr>
          <w:spacing w:val="-3"/>
          <w:sz w:val="21"/>
        </w:rPr>
        <w:t>Wales.</w:t>
      </w:r>
      <w:r>
        <w:rPr>
          <w:spacing w:val="-3"/>
          <w:position w:val="7"/>
          <w:sz w:val="12"/>
        </w:rPr>
        <w:t>335</w:t>
      </w:r>
    </w:p>
    <w:p>
      <w:pPr>
        <w:pStyle w:val="ListParagraph"/>
        <w:numPr>
          <w:ilvl w:val="0"/>
          <w:numId w:val="97"/>
        </w:numPr>
        <w:tabs>
          <w:tab w:pos="2381" w:val="left" w:leader="none"/>
          <w:tab w:pos="2382" w:val="left" w:leader="none"/>
        </w:tabs>
        <w:spacing w:line="242" w:lineRule="auto" w:before="123" w:after="0"/>
        <w:ind w:left="2381" w:right="1796" w:hanging="794"/>
        <w:jc w:val="left"/>
        <w:rPr>
          <w:sz w:val="21"/>
        </w:rPr>
      </w:pPr>
      <w:r>
        <w:rPr>
          <w:sz w:val="21"/>
        </w:rPr>
        <w:t>Moores Legal </w:t>
      </w:r>
      <w:r>
        <w:rPr>
          <w:spacing w:val="-3"/>
          <w:sz w:val="21"/>
        </w:rPr>
        <w:t>considered that </w:t>
      </w:r>
      <w:r>
        <w:rPr>
          <w:sz w:val="21"/>
        </w:rPr>
        <w:t>the </w:t>
      </w:r>
      <w:r>
        <w:rPr>
          <w:spacing w:val="-3"/>
          <w:sz w:val="21"/>
        </w:rPr>
        <w:t>limitation </w:t>
      </w:r>
      <w:r>
        <w:rPr>
          <w:sz w:val="21"/>
        </w:rPr>
        <w:t>period was probably </w:t>
      </w:r>
      <w:r>
        <w:rPr>
          <w:spacing w:val="-3"/>
          <w:sz w:val="21"/>
        </w:rPr>
        <w:t>satisfactory,  </w:t>
      </w:r>
      <w:r>
        <w:rPr>
          <w:sz w:val="21"/>
        </w:rPr>
        <w:t>but proposed a </w:t>
      </w:r>
      <w:r>
        <w:rPr>
          <w:spacing w:val="-3"/>
          <w:sz w:val="21"/>
        </w:rPr>
        <w:t>formal </w:t>
      </w:r>
      <w:r>
        <w:rPr>
          <w:sz w:val="21"/>
        </w:rPr>
        <w:t>process </w:t>
      </w:r>
      <w:r>
        <w:rPr>
          <w:spacing w:val="-3"/>
          <w:sz w:val="21"/>
        </w:rPr>
        <w:t>to allow </w:t>
      </w:r>
      <w:r>
        <w:rPr>
          <w:sz w:val="21"/>
        </w:rPr>
        <w:t>estates </w:t>
      </w:r>
      <w:r>
        <w:rPr>
          <w:spacing w:val="-3"/>
          <w:sz w:val="21"/>
        </w:rPr>
        <w:t>to </w:t>
      </w:r>
      <w:r>
        <w:rPr>
          <w:sz w:val="21"/>
        </w:rPr>
        <w:t>be </w:t>
      </w:r>
      <w:r>
        <w:rPr>
          <w:spacing w:val="-3"/>
          <w:sz w:val="21"/>
        </w:rPr>
        <w:t>distributed earlier ‘if </w:t>
      </w:r>
      <w:r>
        <w:rPr>
          <w:sz w:val="21"/>
        </w:rPr>
        <w:t>it appears </w:t>
      </w:r>
      <w:r>
        <w:rPr>
          <w:spacing w:val="-4"/>
          <w:sz w:val="21"/>
        </w:rPr>
        <w:t>unlikely </w:t>
      </w:r>
      <w:r>
        <w:rPr>
          <w:spacing w:val="-3"/>
          <w:sz w:val="21"/>
        </w:rPr>
        <w:t>that </w:t>
      </w:r>
      <w:r>
        <w:rPr>
          <w:sz w:val="21"/>
        </w:rPr>
        <w:t>a </w:t>
      </w:r>
      <w:r>
        <w:rPr>
          <w:spacing w:val="-3"/>
          <w:sz w:val="21"/>
        </w:rPr>
        <w:t>claim </w:t>
      </w:r>
      <w:r>
        <w:rPr>
          <w:sz w:val="21"/>
        </w:rPr>
        <w:t>would be </w:t>
      </w:r>
      <w:r>
        <w:rPr>
          <w:spacing w:val="-4"/>
          <w:sz w:val="21"/>
        </w:rPr>
        <w:t>brought’.</w:t>
      </w:r>
      <w:r>
        <w:rPr>
          <w:spacing w:val="-4"/>
          <w:position w:val="7"/>
          <w:sz w:val="12"/>
        </w:rPr>
        <w:t>336 </w:t>
      </w:r>
      <w:r>
        <w:rPr>
          <w:sz w:val="21"/>
        </w:rPr>
        <w:t>This </w:t>
      </w:r>
      <w:r>
        <w:rPr>
          <w:spacing w:val="-3"/>
          <w:sz w:val="21"/>
        </w:rPr>
        <w:t>submission</w:t>
      </w:r>
      <w:r>
        <w:rPr>
          <w:spacing w:val="7"/>
          <w:sz w:val="21"/>
        </w:rPr>
        <w:t> </w:t>
      </w:r>
      <w:r>
        <w:rPr>
          <w:sz w:val="21"/>
        </w:rPr>
        <w:t>proposed that:</w:t>
      </w:r>
    </w:p>
    <w:p>
      <w:pPr>
        <w:spacing w:line="254" w:lineRule="auto" w:before="133"/>
        <w:ind w:left="2721" w:right="2142" w:firstLine="0"/>
        <w:jc w:val="left"/>
        <w:rPr>
          <w:sz w:val="11"/>
        </w:rPr>
      </w:pPr>
      <w:r>
        <w:rPr>
          <w:sz w:val="20"/>
        </w:rPr>
        <w:t>if the executor is notified by all </w:t>
      </w:r>
      <w:r>
        <w:rPr>
          <w:spacing w:val="-4"/>
          <w:sz w:val="20"/>
        </w:rPr>
        <w:t>‘natural’  </w:t>
      </w:r>
      <w:r>
        <w:rPr>
          <w:sz w:val="20"/>
        </w:rPr>
        <w:t>beneficiaries that they do not </w:t>
      </w:r>
      <w:r>
        <w:rPr>
          <w:spacing w:val="-3"/>
          <w:sz w:val="20"/>
        </w:rPr>
        <w:t>intend  </w:t>
      </w:r>
      <w:r>
        <w:rPr>
          <w:sz w:val="20"/>
        </w:rPr>
        <w:t>to bring   a </w:t>
      </w:r>
      <w:r>
        <w:rPr>
          <w:spacing w:val="-3"/>
          <w:sz w:val="20"/>
        </w:rPr>
        <w:t>claim, </w:t>
      </w:r>
      <w:r>
        <w:rPr>
          <w:sz w:val="20"/>
        </w:rPr>
        <w:t>the executor is then able to distribute the estate within the limitation period without becoming personally liable to meet </w:t>
      </w:r>
      <w:r>
        <w:rPr>
          <w:spacing w:val="-2"/>
          <w:sz w:val="20"/>
        </w:rPr>
        <w:t>any</w:t>
      </w:r>
      <w:r>
        <w:rPr>
          <w:spacing w:val="2"/>
          <w:sz w:val="20"/>
        </w:rPr>
        <w:t> </w:t>
      </w:r>
      <w:r>
        <w:rPr>
          <w:spacing w:val="-3"/>
          <w:sz w:val="20"/>
        </w:rPr>
        <w:t>later claim.</w:t>
      </w:r>
      <w:r>
        <w:rPr>
          <w:spacing w:val="-3"/>
          <w:position w:val="7"/>
          <w:sz w:val="11"/>
        </w:rPr>
        <w:t>337</w:t>
      </w:r>
    </w:p>
    <w:p>
      <w:pPr>
        <w:pStyle w:val="ListParagraph"/>
        <w:numPr>
          <w:ilvl w:val="0"/>
          <w:numId w:val="97"/>
        </w:numPr>
        <w:tabs>
          <w:tab w:pos="2381" w:val="left" w:leader="none"/>
        </w:tabs>
        <w:spacing w:line="242" w:lineRule="auto" w:before="114" w:after="0"/>
        <w:ind w:left="2381" w:right="1956" w:hanging="794"/>
        <w:jc w:val="both"/>
        <w:rPr>
          <w:sz w:val="12"/>
        </w:rPr>
      </w:pPr>
      <w:r>
        <w:rPr>
          <w:w w:val="105"/>
          <w:sz w:val="21"/>
        </w:rPr>
        <w:t>The </w:t>
      </w:r>
      <w:r>
        <w:rPr>
          <w:spacing w:val="-3"/>
          <w:w w:val="105"/>
          <w:sz w:val="21"/>
        </w:rPr>
        <w:t>submission </w:t>
      </w:r>
      <w:r>
        <w:rPr>
          <w:w w:val="105"/>
          <w:sz w:val="21"/>
        </w:rPr>
        <w:t>suggests </w:t>
      </w:r>
      <w:r>
        <w:rPr>
          <w:spacing w:val="-3"/>
          <w:w w:val="105"/>
          <w:sz w:val="21"/>
        </w:rPr>
        <w:t>that, to guard against </w:t>
      </w:r>
      <w:r>
        <w:rPr>
          <w:w w:val="105"/>
          <w:sz w:val="21"/>
        </w:rPr>
        <w:t>the possibility of someone outside the </w:t>
      </w:r>
      <w:r>
        <w:rPr>
          <w:spacing w:val="-3"/>
          <w:w w:val="105"/>
          <w:sz w:val="21"/>
        </w:rPr>
        <w:t>range </w:t>
      </w:r>
      <w:r>
        <w:rPr>
          <w:w w:val="105"/>
          <w:sz w:val="21"/>
        </w:rPr>
        <w:t>of </w:t>
      </w:r>
      <w:r>
        <w:rPr>
          <w:spacing w:val="-4"/>
          <w:w w:val="105"/>
          <w:sz w:val="21"/>
        </w:rPr>
        <w:t>‘natural’ </w:t>
      </w:r>
      <w:r>
        <w:rPr>
          <w:w w:val="105"/>
          <w:sz w:val="21"/>
        </w:rPr>
        <w:t>beneficiaries of the estate </w:t>
      </w:r>
      <w:r>
        <w:rPr>
          <w:spacing w:val="-3"/>
          <w:w w:val="105"/>
          <w:sz w:val="21"/>
        </w:rPr>
        <w:t>bringing </w:t>
      </w:r>
      <w:r>
        <w:rPr>
          <w:w w:val="105"/>
          <w:sz w:val="21"/>
        </w:rPr>
        <w:t>a </w:t>
      </w:r>
      <w:r>
        <w:rPr>
          <w:spacing w:val="-3"/>
          <w:w w:val="105"/>
          <w:sz w:val="21"/>
        </w:rPr>
        <w:t>claim, </w:t>
      </w:r>
      <w:r>
        <w:rPr>
          <w:w w:val="105"/>
          <w:sz w:val="21"/>
        </w:rPr>
        <w:t>the </w:t>
      </w:r>
      <w:r>
        <w:rPr>
          <w:spacing w:val="-3"/>
          <w:w w:val="105"/>
          <w:sz w:val="21"/>
        </w:rPr>
        <w:t>executor could take </w:t>
      </w:r>
      <w:r>
        <w:rPr>
          <w:w w:val="105"/>
          <w:sz w:val="21"/>
        </w:rPr>
        <w:t>out</w:t>
      </w:r>
      <w:r>
        <w:rPr>
          <w:spacing w:val="-6"/>
          <w:w w:val="105"/>
          <w:sz w:val="21"/>
        </w:rPr>
        <w:t> </w:t>
      </w:r>
      <w:r>
        <w:rPr>
          <w:w w:val="105"/>
          <w:sz w:val="21"/>
        </w:rPr>
        <w:t>an</w:t>
      </w:r>
      <w:r>
        <w:rPr>
          <w:spacing w:val="-5"/>
          <w:w w:val="105"/>
          <w:sz w:val="21"/>
        </w:rPr>
        <w:t> </w:t>
      </w:r>
      <w:r>
        <w:rPr>
          <w:spacing w:val="-4"/>
          <w:w w:val="105"/>
          <w:sz w:val="21"/>
        </w:rPr>
        <w:t>insurance</w:t>
      </w:r>
      <w:r>
        <w:rPr>
          <w:spacing w:val="-6"/>
          <w:w w:val="105"/>
          <w:sz w:val="21"/>
        </w:rPr>
        <w:t> </w:t>
      </w:r>
      <w:r>
        <w:rPr>
          <w:spacing w:val="-3"/>
          <w:w w:val="105"/>
          <w:sz w:val="21"/>
        </w:rPr>
        <w:t>policy,</w:t>
      </w:r>
      <w:r>
        <w:rPr>
          <w:spacing w:val="-5"/>
          <w:w w:val="105"/>
          <w:sz w:val="21"/>
        </w:rPr>
        <w:t> </w:t>
      </w:r>
      <w:r>
        <w:rPr>
          <w:w w:val="105"/>
          <w:sz w:val="21"/>
        </w:rPr>
        <w:t>at</w:t>
      </w:r>
      <w:r>
        <w:rPr>
          <w:spacing w:val="-6"/>
          <w:w w:val="105"/>
          <w:sz w:val="21"/>
        </w:rPr>
        <w:t> </w:t>
      </w:r>
      <w:r>
        <w:rPr>
          <w:w w:val="105"/>
          <w:sz w:val="21"/>
        </w:rPr>
        <w:t>the</w:t>
      </w:r>
      <w:r>
        <w:rPr>
          <w:spacing w:val="-5"/>
          <w:w w:val="105"/>
          <w:sz w:val="21"/>
        </w:rPr>
        <w:t> </w:t>
      </w:r>
      <w:r>
        <w:rPr>
          <w:spacing w:val="-3"/>
          <w:w w:val="105"/>
          <w:sz w:val="21"/>
        </w:rPr>
        <w:t>estate’s</w:t>
      </w:r>
      <w:r>
        <w:rPr>
          <w:spacing w:val="-6"/>
          <w:w w:val="105"/>
          <w:sz w:val="21"/>
        </w:rPr>
        <w:t> </w:t>
      </w:r>
      <w:r>
        <w:rPr>
          <w:w w:val="105"/>
          <w:sz w:val="21"/>
        </w:rPr>
        <w:t>expense,</w:t>
      </w:r>
      <w:r>
        <w:rPr>
          <w:spacing w:val="-5"/>
          <w:w w:val="105"/>
          <w:sz w:val="21"/>
        </w:rPr>
        <w:t> </w:t>
      </w:r>
      <w:r>
        <w:rPr>
          <w:spacing w:val="-3"/>
          <w:w w:val="105"/>
          <w:sz w:val="21"/>
        </w:rPr>
        <w:t>to</w:t>
      </w:r>
      <w:r>
        <w:rPr>
          <w:spacing w:val="-6"/>
          <w:w w:val="105"/>
          <w:sz w:val="21"/>
        </w:rPr>
        <w:t> </w:t>
      </w:r>
      <w:r>
        <w:rPr>
          <w:w w:val="105"/>
          <w:sz w:val="21"/>
        </w:rPr>
        <w:t>indemnify</w:t>
      </w:r>
      <w:r>
        <w:rPr>
          <w:spacing w:val="-5"/>
          <w:w w:val="105"/>
          <w:sz w:val="21"/>
        </w:rPr>
        <w:t> </w:t>
      </w:r>
      <w:r>
        <w:rPr>
          <w:w w:val="105"/>
          <w:sz w:val="21"/>
        </w:rPr>
        <w:t>the</w:t>
      </w:r>
      <w:r>
        <w:rPr>
          <w:spacing w:val="-6"/>
          <w:w w:val="105"/>
          <w:sz w:val="21"/>
        </w:rPr>
        <w:t> </w:t>
      </w:r>
      <w:r>
        <w:rPr>
          <w:spacing w:val="-3"/>
          <w:w w:val="105"/>
          <w:sz w:val="21"/>
        </w:rPr>
        <w:t>executor</w:t>
      </w:r>
      <w:r>
        <w:rPr>
          <w:spacing w:val="-5"/>
          <w:w w:val="105"/>
          <w:sz w:val="21"/>
        </w:rPr>
        <w:t> </w:t>
      </w:r>
      <w:r>
        <w:rPr>
          <w:spacing w:val="-3"/>
          <w:w w:val="105"/>
          <w:sz w:val="21"/>
        </w:rPr>
        <w:t>against</w:t>
      </w:r>
      <w:r>
        <w:rPr>
          <w:spacing w:val="-6"/>
          <w:w w:val="105"/>
          <w:sz w:val="21"/>
        </w:rPr>
        <w:t> </w:t>
      </w:r>
      <w:r>
        <w:rPr>
          <w:spacing w:val="-3"/>
          <w:w w:val="105"/>
          <w:sz w:val="21"/>
        </w:rPr>
        <w:t>any later</w:t>
      </w:r>
      <w:r>
        <w:rPr>
          <w:spacing w:val="5"/>
          <w:w w:val="105"/>
          <w:sz w:val="21"/>
        </w:rPr>
        <w:t> </w:t>
      </w:r>
      <w:r>
        <w:rPr>
          <w:spacing w:val="-3"/>
          <w:w w:val="105"/>
          <w:sz w:val="21"/>
        </w:rPr>
        <w:t>claim.</w:t>
      </w:r>
      <w:r>
        <w:rPr>
          <w:spacing w:val="-3"/>
          <w:w w:val="105"/>
          <w:position w:val="7"/>
          <w:sz w:val="12"/>
        </w:rPr>
        <w:t>338</w:t>
      </w:r>
    </w:p>
    <w:p>
      <w:pPr>
        <w:pStyle w:val="ListParagraph"/>
        <w:numPr>
          <w:ilvl w:val="0"/>
          <w:numId w:val="97"/>
        </w:numPr>
        <w:tabs>
          <w:tab w:pos="2381" w:val="left" w:leader="none"/>
          <w:tab w:pos="2382" w:val="left" w:leader="none"/>
        </w:tabs>
        <w:spacing w:line="240" w:lineRule="auto" w:before="125" w:after="0"/>
        <w:ind w:left="2381" w:right="0" w:hanging="794"/>
        <w:jc w:val="left"/>
        <w:rPr>
          <w:sz w:val="21"/>
        </w:rPr>
      </w:pPr>
      <w:r>
        <w:rPr>
          <w:w w:val="105"/>
          <w:sz w:val="21"/>
        </w:rPr>
        <w:t>On</w:t>
      </w:r>
      <w:r>
        <w:rPr>
          <w:spacing w:val="3"/>
          <w:w w:val="105"/>
          <w:sz w:val="21"/>
        </w:rPr>
        <w:t> </w:t>
      </w:r>
      <w:r>
        <w:rPr>
          <w:spacing w:val="-3"/>
          <w:w w:val="105"/>
          <w:sz w:val="21"/>
        </w:rPr>
        <w:t>balance,</w:t>
      </w:r>
      <w:r>
        <w:rPr>
          <w:spacing w:val="3"/>
          <w:w w:val="105"/>
          <w:sz w:val="21"/>
        </w:rPr>
        <w:t> </w:t>
      </w:r>
      <w:r>
        <w:rPr>
          <w:w w:val="105"/>
          <w:sz w:val="21"/>
        </w:rPr>
        <w:t>the</w:t>
      </w:r>
      <w:r>
        <w:rPr>
          <w:spacing w:val="4"/>
          <w:w w:val="105"/>
          <w:sz w:val="21"/>
        </w:rPr>
        <w:t> </w:t>
      </w:r>
      <w:r>
        <w:rPr>
          <w:spacing w:val="-3"/>
          <w:w w:val="105"/>
          <w:sz w:val="21"/>
        </w:rPr>
        <w:t>Commission</w:t>
      </w:r>
      <w:r>
        <w:rPr>
          <w:spacing w:val="3"/>
          <w:w w:val="105"/>
          <w:sz w:val="21"/>
        </w:rPr>
        <w:t> </w:t>
      </w:r>
      <w:r>
        <w:rPr>
          <w:w w:val="105"/>
          <w:sz w:val="21"/>
        </w:rPr>
        <w:t>considers</w:t>
      </w:r>
      <w:r>
        <w:rPr>
          <w:spacing w:val="4"/>
          <w:w w:val="105"/>
          <w:sz w:val="21"/>
        </w:rPr>
        <w:t> </w:t>
      </w:r>
      <w:r>
        <w:rPr>
          <w:spacing w:val="-3"/>
          <w:w w:val="105"/>
          <w:sz w:val="21"/>
        </w:rPr>
        <w:t>that</w:t>
      </w:r>
      <w:r>
        <w:rPr>
          <w:spacing w:val="3"/>
          <w:w w:val="105"/>
          <w:sz w:val="21"/>
        </w:rPr>
        <w:t> </w:t>
      </w:r>
      <w:r>
        <w:rPr>
          <w:w w:val="105"/>
          <w:sz w:val="21"/>
        </w:rPr>
        <w:t>the</w:t>
      </w:r>
      <w:r>
        <w:rPr>
          <w:spacing w:val="4"/>
          <w:w w:val="105"/>
          <w:sz w:val="21"/>
        </w:rPr>
        <w:t> </w:t>
      </w:r>
      <w:r>
        <w:rPr>
          <w:w w:val="105"/>
          <w:sz w:val="21"/>
        </w:rPr>
        <w:t>period</w:t>
      </w:r>
      <w:r>
        <w:rPr>
          <w:spacing w:val="3"/>
          <w:w w:val="105"/>
          <w:sz w:val="21"/>
        </w:rPr>
        <w:t> </w:t>
      </w:r>
      <w:r>
        <w:rPr>
          <w:w w:val="105"/>
          <w:sz w:val="21"/>
        </w:rPr>
        <w:t>of</w:t>
      </w:r>
      <w:r>
        <w:rPr>
          <w:spacing w:val="4"/>
          <w:w w:val="105"/>
          <w:sz w:val="21"/>
        </w:rPr>
        <w:t> </w:t>
      </w:r>
      <w:r>
        <w:rPr>
          <w:w w:val="105"/>
          <w:sz w:val="21"/>
        </w:rPr>
        <w:t>six</w:t>
      </w:r>
      <w:r>
        <w:rPr>
          <w:spacing w:val="3"/>
          <w:w w:val="105"/>
          <w:sz w:val="21"/>
        </w:rPr>
        <w:t> </w:t>
      </w:r>
      <w:r>
        <w:rPr>
          <w:spacing w:val="-3"/>
          <w:w w:val="105"/>
          <w:sz w:val="21"/>
        </w:rPr>
        <w:t>months</w:t>
      </w:r>
      <w:r>
        <w:rPr>
          <w:spacing w:val="4"/>
          <w:w w:val="105"/>
          <w:sz w:val="21"/>
        </w:rPr>
        <w:t> </w:t>
      </w:r>
      <w:r>
        <w:rPr>
          <w:spacing w:val="-3"/>
          <w:w w:val="105"/>
          <w:sz w:val="21"/>
        </w:rPr>
        <w:t>from</w:t>
      </w:r>
      <w:r>
        <w:rPr>
          <w:spacing w:val="3"/>
          <w:w w:val="105"/>
          <w:sz w:val="21"/>
        </w:rPr>
        <w:t> </w:t>
      </w:r>
      <w:r>
        <w:rPr>
          <w:w w:val="105"/>
          <w:sz w:val="21"/>
        </w:rPr>
        <w:t>the</w:t>
      </w:r>
      <w:r>
        <w:rPr>
          <w:spacing w:val="3"/>
          <w:w w:val="105"/>
          <w:sz w:val="21"/>
        </w:rPr>
        <w:t> </w:t>
      </w:r>
      <w:r>
        <w:rPr>
          <w:spacing w:val="-3"/>
          <w:w w:val="105"/>
          <w:sz w:val="21"/>
        </w:rPr>
        <w:t>date</w:t>
      </w:r>
    </w:p>
    <w:p>
      <w:pPr>
        <w:pStyle w:val="BodyText"/>
        <w:spacing w:line="242" w:lineRule="auto" w:before="3"/>
        <w:ind w:left="2381" w:right="2010"/>
      </w:pPr>
      <w:r>
        <w:rPr/>
        <w:t>of the </w:t>
      </w:r>
      <w:r>
        <w:rPr>
          <w:spacing w:val="-3"/>
        </w:rPr>
        <w:t>grant </w:t>
      </w:r>
      <w:r>
        <w:rPr/>
        <w:t>of representation </w:t>
      </w:r>
      <w:r>
        <w:rPr>
          <w:spacing w:val="-3"/>
        </w:rPr>
        <w:t>strikes  </w:t>
      </w:r>
      <w:r>
        <w:rPr/>
        <w:t>an </w:t>
      </w:r>
      <w:r>
        <w:rPr>
          <w:spacing w:val="-3"/>
        </w:rPr>
        <w:t>appropriate</w:t>
      </w:r>
      <w:r>
        <w:rPr>
          <w:spacing w:val="41"/>
        </w:rPr>
        <w:t> </w:t>
      </w:r>
      <w:r>
        <w:rPr>
          <w:spacing w:val="-3"/>
        </w:rPr>
        <w:t>balance  </w:t>
      </w:r>
      <w:r>
        <w:rPr/>
        <w:t>between </w:t>
      </w:r>
      <w:r>
        <w:rPr>
          <w:spacing w:val="-3"/>
        </w:rPr>
        <w:t>providing  notice  to interested </w:t>
      </w:r>
      <w:r>
        <w:rPr/>
        <w:t>persons and efficiency. In the </w:t>
      </w:r>
      <w:r>
        <w:rPr>
          <w:spacing w:val="-4"/>
        </w:rPr>
        <w:t>Commission’s view, </w:t>
      </w:r>
      <w:r>
        <w:rPr/>
        <w:t>Moores </w:t>
      </w:r>
      <w:r>
        <w:rPr>
          <w:spacing w:val="-3"/>
        </w:rPr>
        <w:t>Legal’s </w:t>
      </w:r>
      <w:r>
        <w:rPr/>
        <w:t>proposal establishes a </w:t>
      </w:r>
      <w:r>
        <w:rPr>
          <w:spacing w:val="-3"/>
        </w:rPr>
        <w:t>potentially </w:t>
      </w:r>
      <w:r>
        <w:rPr/>
        <w:t>complex </w:t>
      </w:r>
      <w:r>
        <w:rPr>
          <w:spacing w:val="-3"/>
        </w:rPr>
        <w:t>regime </w:t>
      </w:r>
      <w:r>
        <w:rPr/>
        <w:t>of </w:t>
      </w:r>
      <w:r>
        <w:rPr>
          <w:spacing w:val="-4"/>
        </w:rPr>
        <w:t>insurance, </w:t>
      </w:r>
      <w:r>
        <w:rPr>
          <w:spacing w:val="-3"/>
        </w:rPr>
        <w:t>liability </w:t>
      </w:r>
      <w:r>
        <w:rPr/>
        <w:t>and </w:t>
      </w:r>
      <w:r>
        <w:rPr>
          <w:spacing w:val="-3"/>
        </w:rPr>
        <w:t>litigation.</w:t>
      </w:r>
      <w:r>
        <w:rPr>
          <w:spacing w:val="2"/>
        </w:rPr>
        <w:t> </w:t>
      </w:r>
      <w:r>
        <w:rPr/>
        <w:t>Under</w:t>
      </w:r>
    </w:p>
    <w:p>
      <w:pPr>
        <w:pStyle w:val="BodyText"/>
        <w:spacing w:line="242" w:lineRule="auto" w:before="3"/>
        <w:ind w:left="2381" w:right="2214"/>
        <w:jc w:val="both"/>
      </w:pPr>
      <w:r>
        <w:rPr>
          <w:spacing w:val="-3"/>
          <w:w w:val="105"/>
        </w:rPr>
        <w:t>such </w:t>
      </w:r>
      <w:r>
        <w:rPr>
          <w:w w:val="105"/>
        </w:rPr>
        <w:t>a </w:t>
      </w:r>
      <w:r>
        <w:rPr>
          <w:spacing w:val="-3"/>
          <w:w w:val="105"/>
        </w:rPr>
        <w:t>scheme, </w:t>
      </w:r>
      <w:r>
        <w:rPr>
          <w:w w:val="105"/>
        </w:rPr>
        <w:t>there would be a </w:t>
      </w:r>
      <w:r>
        <w:rPr>
          <w:spacing w:val="-3"/>
          <w:w w:val="105"/>
        </w:rPr>
        <w:t>real </w:t>
      </w:r>
      <w:r>
        <w:rPr>
          <w:w w:val="105"/>
        </w:rPr>
        <w:t>risk of someone outside the class of </w:t>
      </w:r>
      <w:r>
        <w:rPr>
          <w:spacing w:val="-4"/>
          <w:w w:val="105"/>
        </w:rPr>
        <w:t>‘natural’ </w:t>
      </w:r>
      <w:r>
        <w:rPr>
          <w:w w:val="105"/>
        </w:rPr>
        <w:t>beneficiaries</w:t>
      </w:r>
      <w:r>
        <w:rPr>
          <w:spacing w:val="-8"/>
          <w:w w:val="105"/>
        </w:rPr>
        <w:t> </w:t>
      </w:r>
      <w:r>
        <w:rPr>
          <w:spacing w:val="-3"/>
          <w:w w:val="105"/>
        </w:rPr>
        <w:t>making</w:t>
      </w:r>
      <w:r>
        <w:rPr>
          <w:spacing w:val="-8"/>
          <w:w w:val="105"/>
        </w:rPr>
        <w:t> </w:t>
      </w:r>
      <w:r>
        <w:rPr>
          <w:w w:val="105"/>
        </w:rPr>
        <w:t>a</w:t>
      </w:r>
      <w:r>
        <w:rPr>
          <w:spacing w:val="-7"/>
          <w:w w:val="105"/>
        </w:rPr>
        <w:t> </w:t>
      </w:r>
      <w:r>
        <w:rPr>
          <w:spacing w:val="-3"/>
          <w:w w:val="105"/>
        </w:rPr>
        <w:t>claim</w:t>
      </w:r>
      <w:r>
        <w:rPr>
          <w:spacing w:val="-8"/>
          <w:w w:val="105"/>
        </w:rPr>
        <w:t> </w:t>
      </w:r>
      <w:r>
        <w:rPr>
          <w:spacing w:val="-3"/>
          <w:w w:val="105"/>
        </w:rPr>
        <w:t>against</w:t>
      </w:r>
      <w:r>
        <w:rPr>
          <w:spacing w:val="-8"/>
          <w:w w:val="105"/>
        </w:rPr>
        <w:t> </w:t>
      </w:r>
      <w:r>
        <w:rPr>
          <w:w w:val="105"/>
        </w:rPr>
        <w:t>an</w:t>
      </w:r>
      <w:r>
        <w:rPr>
          <w:spacing w:val="-7"/>
          <w:w w:val="105"/>
        </w:rPr>
        <w:t> </w:t>
      </w:r>
      <w:r>
        <w:rPr>
          <w:spacing w:val="-3"/>
          <w:w w:val="105"/>
        </w:rPr>
        <w:t>already</w:t>
      </w:r>
      <w:r>
        <w:rPr>
          <w:spacing w:val="-8"/>
          <w:w w:val="105"/>
        </w:rPr>
        <w:t> </w:t>
      </w:r>
      <w:r>
        <w:rPr>
          <w:spacing w:val="-3"/>
          <w:w w:val="105"/>
        </w:rPr>
        <w:t>distributed</w:t>
      </w:r>
      <w:r>
        <w:rPr>
          <w:spacing w:val="-7"/>
          <w:w w:val="105"/>
        </w:rPr>
        <w:t> </w:t>
      </w:r>
      <w:r>
        <w:rPr>
          <w:spacing w:val="-3"/>
          <w:w w:val="105"/>
        </w:rPr>
        <w:t>estate.</w:t>
      </w:r>
      <w:r>
        <w:rPr>
          <w:spacing w:val="-8"/>
          <w:w w:val="105"/>
        </w:rPr>
        <w:t> </w:t>
      </w:r>
      <w:r>
        <w:rPr>
          <w:w w:val="105"/>
        </w:rPr>
        <w:t>There</w:t>
      </w:r>
      <w:r>
        <w:rPr>
          <w:spacing w:val="-8"/>
          <w:w w:val="105"/>
        </w:rPr>
        <w:t> </w:t>
      </w:r>
      <w:r>
        <w:rPr>
          <w:spacing w:val="-3"/>
          <w:w w:val="105"/>
        </w:rPr>
        <w:t>are</w:t>
      </w:r>
      <w:r>
        <w:rPr>
          <w:spacing w:val="-7"/>
          <w:w w:val="105"/>
        </w:rPr>
        <w:t> </w:t>
      </w:r>
      <w:r>
        <w:rPr>
          <w:w w:val="105"/>
        </w:rPr>
        <w:t>further difficulties in defining who </w:t>
      </w:r>
      <w:r>
        <w:rPr>
          <w:spacing w:val="-3"/>
          <w:w w:val="105"/>
        </w:rPr>
        <w:t>constitutes </w:t>
      </w:r>
      <w:r>
        <w:rPr>
          <w:w w:val="105"/>
        </w:rPr>
        <w:t>a </w:t>
      </w:r>
      <w:r>
        <w:rPr>
          <w:spacing w:val="-4"/>
          <w:w w:val="105"/>
        </w:rPr>
        <w:t>‘natural’ </w:t>
      </w:r>
      <w:r>
        <w:rPr>
          <w:w w:val="105"/>
        </w:rPr>
        <w:t>beneficiary of the</w:t>
      </w:r>
      <w:r>
        <w:rPr>
          <w:spacing w:val="6"/>
          <w:w w:val="105"/>
        </w:rPr>
        <w:t> </w:t>
      </w:r>
      <w:r>
        <w:rPr>
          <w:spacing w:val="-3"/>
          <w:w w:val="105"/>
        </w:rPr>
        <w:t>estate.</w:t>
      </w:r>
    </w:p>
    <w:p>
      <w:pPr>
        <w:pStyle w:val="ListParagraph"/>
        <w:numPr>
          <w:ilvl w:val="0"/>
          <w:numId w:val="97"/>
        </w:numPr>
        <w:tabs>
          <w:tab w:pos="2380" w:val="left" w:leader="none"/>
          <w:tab w:pos="2381" w:val="left" w:leader="none"/>
        </w:tabs>
        <w:spacing w:line="242" w:lineRule="auto" w:before="124" w:after="0"/>
        <w:ind w:left="2381" w:right="1615" w:hanging="794"/>
        <w:jc w:val="left"/>
        <w:rPr>
          <w:sz w:val="21"/>
        </w:rPr>
      </w:pPr>
      <w:r>
        <w:rPr>
          <w:spacing w:val="-4"/>
          <w:sz w:val="21"/>
        </w:rPr>
        <w:t>Additionally, </w:t>
      </w:r>
      <w:r>
        <w:rPr>
          <w:sz w:val="21"/>
        </w:rPr>
        <w:t>there is </w:t>
      </w:r>
      <w:r>
        <w:rPr>
          <w:spacing w:val="-3"/>
          <w:sz w:val="21"/>
        </w:rPr>
        <w:t>already limited </w:t>
      </w:r>
      <w:r>
        <w:rPr>
          <w:sz w:val="21"/>
        </w:rPr>
        <w:t>protection </w:t>
      </w:r>
      <w:r>
        <w:rPr>
          <w:spacing w:val="-3"/>
          <w:sz w:val="21"/>
        </w:rPr>
        <w:t>for </w:t>
      </w:r>
      <w:r>
        <w:rPr>
          <w:sz w:val="21"/>
        </w:rPr>
        <w:t>personal representatives who </w:t>
      </w:r>
      <w:r>
        <w:rPr>
          <w:spacing w:val="-4"/>
          <w:sz w:val="21"/>
        </w:rPr>
        <w:t>make </w:t>
      </w:r>
      <w:r>
        <w:rPr>
          <w:spacing w:val="-3"/>
          <w:sz w:val="21"/>
        </w:rPr>
        <w:t>distributions for  </w:t>
      </w:r>
      <w:r>
        <w:rPr>
          <w:sz w:val="21"/>
        </w:rPr>
        <w:t>the </w:t>
      </w:r>
      <w:r>
        <w:rPr>
          <w:spacing w:val="-4"/>
          <w:sz w:val="21"/>
        </w:rPr>
        <w:t>maintenance,  </w:t>
      </w:r>
      <w:r>
        <w:rPr>
          <w:sz w:val="21"/>
        </w:rPr>
        <w:t>support or education of the deceased </w:t>
      </w:r>
      <w:r>
        <w:rPr>
          <w:spacing w:val="-3"/>
          <w:sz w:val="21"/>
        </w:rPr>
        <w:t>person’s  </w:t>
      </w:r>
      <w:r>
        <w:rPr>
          <w:sz w:val="21"/>
        </w:rPr>
        <w:t>partner  or </w:t>
      </w:r>
      <w:r>
        <w:rPr>
          <w:spacing w:val="-3"/>
          <w:sz w:val="21"/>
        </w:rPr>
        <w:t>child within </w:t>
      </w:r>
      <w:r>
        <w:rPr>
          <w:sz w:val="21"/>
        </w:rPr>
        <w:t>six </w:t>
      </w:r>
      <w:r>
        <w:rPr>
          <w:spacing w:val="-3"/>
          <w:sz w:val="21"/>
        </w:rPr>
        <w:t>months from </w:t>
      </w:r>
      <w:r>
        <w:rPr>
          <w:sz w:val="21"/>
        </w:rPr>
        <w:t>the </w:t>
      </w:r>
      <w:r>
        <w:rPr>
          <w:spacing w:val="-3"/>
          <w:sz w:val="21"/>
        </w:rPr>
        <w:t>date </w:t>
      </w:r>
      <w:r>
        <w:rPr>
          <w:sz w:val="21"/>
        </w:rPr>
        <w:t>of the </w:t>
      </w:r>
      <w:r>
        <w:rPr>
          <w:spacing w:val="-3"/>
          <w:sz w:val="21"/>
        </w:rPr>
        <w:t>grant.</w:t>
      </w:r>
      <w:r>
        <w:rPr>
          <w:spacing w:val="-3"/>
          <w:position w:val="7"/>
          <w:sz w:val="12"/>
        </w:rPr>
        <w:t>339 </w:t>
      </w:r>
      <w:r>
        <w:rPr>
          <w:sz w:val="21"/>
        </w:rPr>
        <w:t>The type of </w:t>
      </w:r>
      <w:r>
        <w:rPr>
          <w:spacing w:val="-3"/>
          <w:sz w:val="21"/>
        </w:rPr>
        <w:t>reform </w:t>
      </w:r>
      <w:r>
        <w:rPr>
          <w:sz w:val="21"/>
        </w:rPr>
        <w:t>proposed by Moores Legal </w:t>
      </w:r>
      <w:r>
        <w:rPr>
          <w:spacing w:val="-3"/>
          <w:sz w:val="21"/>
        </w:rPr>
        <w:t>would, </w:t>
      </w:r>
      <w:r>
        <w:rPr>
          <w:sz w:val="21"/>
        </w:rPr>
        <w:t>at best, </w:t>
      </w:r>
      <w:r>
        <w:rPr>
          <w:spacing w:val="-3"/>
          <w:sz w:val="21"/>
        </w:rPr>
        <w:t>allow for </w:t>
      </w:r>
      <w:r>
        <w:rPr>
          <w:spacing w:val="-2"/>
          <w:sz w:val="21"/>
        </w:rPr>
        <w:t>distribution </w:t>
      </w:r>
      <w:r>
        <w:rPr>
          <w:sz w:val="21"/>
        </w:rPr>
        <w:t>only </w:t>
      </w:r>
      <w:r>
        <w:rPr>
          <w:spacing w:val="-3"/>
          <w:sz w:val="21"/>
        </w:rPr>
        <w:t>several months earlier than </w:t>
      </w:r>
      <w:r>
        <w:rPr>
          <w:sz w:val="21"/>
        </w:rPr>
        <w:t>would otherwise be </w:t>
      </w:r>
      <w:r>
        <w:rPr>
          <w:spacing w:val="-3"/>
          <w:sz w:val="21"/>
        </w:rPr>
        <w:t>possible. </w:t>
      </w:r>
      <w:r>
        <w:rPr>
          <w:sz w:val="21"/>
        </w:rPr>
        <w:t>For these </w:t>
      </w:r>
      <w:r>
        <w:rPr>
          <w:spacing w:val="-3"/>
          <w:sz w:val="21"/>
        </w:rPr>
        <w:t>reasons, </w:t>
      </w:r>
      <w:r>
        <w:rPr>
          <w:sz w:val="21"/>
        </w:rPr>
        <w:t>the </w:t>
      </w:r>
      <w:r>
        <w:rPr>
          <w:spacing w:val="-3"/>
          <w:sz w:val="21"/>
        </w:rPr>
        <w:t>Commission </w:t>
      </w:r>
      <w:r>
        <w:rPr>
          <w:sz w:val="21"/>
        </w:rPr>
        <w:t>does </w:t>
      </w:r>
      <w:r>
        <w:rPr>
          <w:spacing w:val="-2"/>
          <w:sz w:val="21"/>
        </w:rPr>
        <w:t>not </w:t>
      </w:r>
      <w:r>
        <w:rPr>
          <w:spacing w:val="-3"/>
          <w:sz w:val="21"/>
        </w:rPr>
        <w:t>recommend such </w:t>
      </w:r>
      <w:r>
        <w:rPr>
          <w:sz w:val="21"/>
        </w:rPr>
        <w:t>an </w:t>
      </w:r>
      <w:r>
        <w:rPr>
          <w:spacing w:val="-3"/>
          <w:sz w:val="21"/>
        </w:rPr>
        <w:t>approach.</w:t>
      </w:r>
    </w:p>
    <w:p>
      <w:pPr>
        <w:pStyle w:val="BodyText"/>
        <w:rPr>
          <w:sz w:val="20"/>
        </w:rPr>
      </w:pPr>
    </w:p>
    <w:p>
      <w:pPr>
        <w:pStyle w:val="BodyText"/>
        <w:rPr>
          <w:sz w:val="20"/>
        </w:rPr>
      </w:pPr>
    </w:p>
    <w:p>
      <w:pPr>
        <w:pStyle w:val="BodyText"/>
        <w:spacing w:before="1"/>
      </w:pPr>
      <w:r>
        <w:rPr/>
        <w:pict>
          <v:line style="position:absolute;mso-position-horizontal-relative:page;mso-position-vertical-relative:paragraph;z-index:8360;mso-wrap-distance-left:0;mso-wrap-distance-right:0" from="79.370003pt,15.366466pt" to="515.905003pt,15.366466pt" stroked="true" strokeweight="1pt" strokecolor="#f9ceca">
            <v:stroke dashstyle="solid"/>
            <w10:wrap type="topAndBottom"/>
          </v:line>
        </w:pict>
      </w:r>
    </w:p>
    <w:p>
      <w:pPr>
        <w:pStyle w:val="BodyText"/>
        <w:spacing w:before="8"/>
        <w:rPr>
          <w:sz w:val="5"/>
        </w:rPr>
      </w:pPr>
    </w:p>
    <w:p>
      <w:pPr>
        <w:spacing w:after="0"/>
        <w:rPr>
          <w:sz w:val="5"/>
        </w:rPr>
        <w:sectPr>
          <w:pgSz w:w="11910" w:h="16840"/>
          <w:pgMar w:header="550" w:footer="0" w:top="1560" w:bottom="280" w:left="0" w:right="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9"/>
        <w:rPr>
          <w:sz w:val="28"/>
        </w:rPr>
      </w:pPr>
    </w:p>
    <w:p>
      <w:pPr>
        <w:spacing w:before="0"/>
        <w:ind w:left="720" w:right="0" w:firstLine="0"/>
        <w:jc w:val="left"/>
        <w:rPr>
          <w:b/>
          <w:sz w:val="24"/>
        </w:rPr>
      </w:pPr>
      <w:r>
        <w:rPr>
          <w:b/>
          <w:color w:val="EC5A4F"/>
          <w:spacing w:val="-3"/>
          <w:w w:val="110"/>
          <w:sz w:val="24"/>
        </w:rPr>
        <w:t>134</w:t>
      </w:r>
    </w:p>
    <w:p>
      <w:pPr>
        <w:pStyle w:val="ListParagraph"/>
        <w:numPr>
          <w:ilvl w:val="0"/>
          <w:numId w:val="107"/>
        </w:numPr>
        <w:tabs>
          <w:tab w:pos="1228" w:val="left" w:leader="none"/>
          <w:tab w:pos="1229" w:val="left" w:leader="none"/>
        </w:tabs>
        <w:spacing w:line="240" w:lineRule="auto" w:before="48" w:after="0"/>
        <w:ind w:left="1228" w:right="1773" w:hanging="794"/>
        <w:jc w:val="left"/>
        <w:rPr>
          <w:sz w:val="13"/>
        </w:rPr>
      </w:pPr>
      <w:r>
        <w:rPr>
          <w:w w:val="108"/>
          <w:sz w:val="13"/>
        </w:rPr>
        <w:br w:type="column"/>
      </w:r>
      <w:r>
        <w:rPr>
          <w:w w:val="105"/>
          <w:sz w:val="13"/>
        </w:rPr>
        <w:t>Submissions </w:t>
      </w:r>
      <w:r>
        <w:rPr>
          <w:spacing w:val="-3"/>
          <w:w w:val="105"/>
          <w:sz w:val="13"/>
        </w:rPr>
        <w:t>14 </w:t>
      </w:r>
      <w:r>
        <w:rPr>
          <w:w w:val="105"/>
          <w:sz w:val="13"/>
        </w:rPr>
        <w:t>(Commercial Bar </w:t>
      </w:r>
      <w:r>
        <w:rPr>
          <w:spacing w:val="2"/>
          <w:w w:val="105"/>
          <w:sz w:val="13"/>
        </w:rPr>
        <w:t>Association); </w:t>
      </w:r>
      <w:r>
        <w:rPr>
          <w:spacing w:val="-3"/>
          <w:w w:val="105"/>
          <w:sz w:val="13"/>
        </w:rPr>
        <w:t>19 </w:t>
      </w:r>
      <w:r>
        <w:rPr>
          <w:spacing w:val="2"/>
          <w:w w:val="105"/>
          <w:sz w:val="13"/>
        </w:rPr>
        <w:t>(Association </w:t>
      </w:r>
      <w:r>
        <w:rPr>
          <w:w w:val="105"/>
          <w:sz w:val="13"/>
        </w:rPr>
        <w:t>of Independent Retirees); 26 </w:t>
      </w:r>
      <w:r>
        <w:rPr>
          <w:spacing w:val="2"/>
          <w:w w:val="105"/>
          <w:sz w:val="13"/>
        </w:rPr>
        <w:t>(Rigby </w:t>
      </w:r>
      <w:r>
        <w:rPr>
          <w:w w:val="105"/>
          <w:sz w:val="13"/>
        </w:rPr>
        <w:t>Cooke </w:t>
      </w:r>
      <w:r>
        <w:rPr>
          <w:spacing w:val="2"/>
          <w:w w:val="105"/>
          <w:sz w:val="13"/>
        </w:rPr>
        <w:t>Lawyers); </w:t>
      </w:r>
      <w:r>
        <w:rPr>
          <w:w w:val="105"/>
          <w:sz w:val="13"/>
        </w:rPr>
        <w:t>30a </w:t>
      </w:r>
      <w:r>
        <w:rPr>
          <w:spacing w:val="3"/>
          <w:w w:val="105"/>
          <w:sz w:val="13"/>
        </w:rPr>
        <w:t>(Law </w:t>
      </w:r>
      <w:r>
        <w:rPr>
          <w:w w:val="105"/>
          <w:sz w:val="13"/>
        </w:rPr>
        <w:t>Institute of </w:t>
      </w:r>
      <w:r>
        <w:rPr>
          <w:spacing w:val="2"/>
          <w:w w:val="105"/>
          <w:sz w:val="13"/>
        </w:rPr>
        <w:t>Victoria);</w:t>
      </w:r>
      <w:r>
        <w:rPr>
          <w:spacing w:val="5"/>
          <w:w w:val="105"/>
          <w:sz w:val="13"/>
        </w:rPr>
        <w:t> </w:t>
      </w:r>
      <w:r>
        <w:rPr>
          <w:w w:val="105"/>
          <w:sz w:val="13"/>
        </w:rPr>
        <w:t>33</w:t>
      </w:r>
      <w:r>
        <w:rPr>
          <w:spacing w:val="6"/>
          <w:w w:val="105"/>
          <w:sz w:val="13"/>
        </w:rPr>
        <w:t> </w:t>
      </w:r>
      <w:r>
        <w:rPr>
          <w:w w:val="105"/>
          <w:sz w:val="13"/>
        </w:rPr>
        <w:t>(State</w:t>
      </w:r>
      <w:r>
        <w:rPr>
          <w:spacing w:val="5"/>
          <w:w w:val="105"/>
          <w:sz w:val="13"/>
        </w:rPr>
        <w:t> </w:t>
      </w:r>
      <w:r>
        <w:rPr>
          <w:w w:val="105"/>
          <w:sz w:val="13"/>
        </w:rPr>
        <w:t>Trustees</w:t>
      </w:r>
      <w:r>
        <w:rPr>
          <w:spacing w:val="6"/>
          <w:w w:val="105"/>
          <w:sz w:val="13"/>
        </w:rPr>
        <w:t> </w:t>
      </w:r>
      <w:r>
        <w:rPr>
          <w:w w:val="105"/>
          <w:sz w:val="13"/>
        </w:rPr>
        <w:t>Limited);</w:t>
      </w:r>
      <w:r>
        <w:rPr>
          <w:spacing w:val="6"/>
          <w:w w:val="105"/>
          <w:sz w:val="13"/>
        </w:rPr>
        <w:t> </w:t>
      </w:r>
      <w:r>
        <w:rPr>
          <w:w w:val="105"/>
          <w:sz w:val="13"/>
        </w:rPr>
        <w:t>35</w:t>
      </w:r>
      <w:r>
        <w:rPr>
          <w:spacing w:val="5"/>
          <w:w w:val="105"/>
          <w:sz w:val="13"/>
        </w:rPr>
        <w:t> </w:t>
      </w:r>
      <w:r>
        <w:rPr>
          <w:w w:val="105"/>
          <w:sz w:val="13"/>
        </w:rPr>
        <w:t>(Andrew</w:t>
      </w:r>
      <w:r>
        <w:rPr>
          <w:spacing w:val="6"/>
          <w:w w:val="105"/>
          <w:sz w:val="13"/>
        </w:rPr>
        <w:t> </w:t>
      </w:r>
      <w:r>
        <w:rPr>
          <w:w w:val="105"/>
          <w:sz w:val="13"/>
        </w:rPr>
        <w:t>Verspaandonk);</w:t>
      </w:r>
      <w:r>
        <w:rPr>
          <w:spacing w:val="6"/>
          <w:w w:val="105"/>
          <w:sz w:val="13"/>
        </w:rPr>
        <w:t> </w:t>
      </w:r>
      <w:r>
        <w:rPr>
          <w:w w:val="105"/>
          <w:sz w:val="13"/>
        </w:rPr>
        <w:t>39</w:t>
      </w:r>
      <w:r>
        <w:rPr>
          <w:spacing w:val="5"/>
          <w:w w:val="105"/>
          <w:sz w:val="13"/>
        </w:rPr>
        <w:t> </w:t>
      </w:r>
      <w:r>
        <w:rPr>
          <w:w w:val="105"/>
          <w:sz w:val="13"/>
        </w:rPr>
        <w:t>(Carolyn</w:t>
      </w:r>
      <w:r>
        <w:rPr>
          <w:spacing w:val="6"/>
          <w:w w:val="105"/>
          <w:sz w:val="13"/>
        </w:rPr>
        <w:t> </w:t>
      </w:r>
      <w:r>
        <w:rPr>
          <w:w w:val="105"/>
          <w:sz w:val="13"/>
        </w:rPr>
        <w:t>Sparke</w:t>
      </w:r>
      <w:r>
        <w:rPr>
          <w:spacing w:val="6"/>
          <w:w w:val="105"/>
          <w:sz w:val="13"/>
        </w:rPr>
        <w:t> </w:t>
      </w:r>
      <w:r>
        <w:rPr>
          <w:w w:val="105"/>
          <w:sz w:val="13"/>
        </w:rPr>
        <w:t>SC);</w:t>
      </w:r>
      <w:r>
        <w:rPr>
          <w:spacing w:val="5"/>
          <w:w w:val="105"/>
          <w:sz w:val="13"/>
        </w:rPr>
        <w:t> </w:t>
      </w:r>
      <w:r>
        <w:rPr>
          <w:w w:val="105"/>
          <w:sz w:val="13"/>
        </w:rPr>
        <w:t>42b</w:t>
      </w:r>
      <w:r>
        <w:rPr>
          <w:spacing w:val="6"/>
          <w:w w:val="105"/>
          <w:sz w:val="13"/>
        </w:rPr>
        <w:t> </w:t>
      </w:r>
      <w:r>
        <w:rPr>
          <w:w w:val="105"/>
          <w:sz w:val="13"/>
        </w:rPr>
        <w:t>(Arnold</w:t>
      </w:r>
      <w:r>
        <w:rPr>
          <w:spacing w:val="6"/>
          <w:w w:val="105"/>
          <w:sz w:val="13"/>
        </w:rPr>
        <w:t> </w:t>
      </w:r>
      <w:r>
        <w:rPr>
          <w:w w:val="105"/>
          <w:sz w:val="13"/>
        </w:rPr>
        <w:t>Bloch</w:t>
      </w:r>
      <w:r>
        <w:rPr>
          <w:spacing w:val="5"/>
          <w:w w:val="105"/>
          <w:sz w:val="13"/>
        </w:rPr>
        <w:t> </w:t>
      </w:r>
      <w:r>
        <w:rPr>
          <w:w w:val="105"/>
          <w:sz w:val="13"/>
        </w:rPr>
        <w:t>Leibler).</w:t>
      </w:r>
    </w:p>
    <w:p>
      <w:pPr>
        <w:pStyle w:val="ListParagraph"/>
        <w:numPr>
          <w:ilvl w:val="0"/>
          <w:numId w:val="107"/>
        </w:numPr>
        <w:tabs>
          <w:tab w:pos="1228" w:val="left" w:leader="none"/>
          <w:tab w:pos="1229" w:val="left" w:leader="none"/>
        </w:tabs>
        <w:spacing w:line="240" w:lineRule="auto" w:before="3" w:after="0"/>
        <w:ind w:left="1228" w:right="0" w:hanging="794"/>
        <w:jc w:val="left"/>
        <w:rPr>
          <w:sz w:val="13"/>
        </w:rPr>
      </w:pPr>
      <w:r>
        <w:rPr>
          <w:w w:val="105"/>
          <w:sz w:val="13"/>
        </w:rPr>
        <w:t>Submission 33 (State Trustees</w:t>
      </w:r>
      <w:r>
        <w:rPr>
          <w:spacing w:val="18"/>
          <w:w w:val="105"/>
          <w:sz w:val="13"/>
        </w:rPr>
        <w:t> </w:t>
      </w:r>
      <w:r>
        <w:rPr>
          <w:w w:val="105"/>
          <w:sz w:val="13"/>
        </w:rPr>
        <w:t>Limited).</w:t>
      </w:r>
    </w:p>
    <w:p>
      <w:pPr>
        <w:pStyle w:val="ListParagraph"/>
        <w:numPr>
          <w:ilvl w:val="0"/>
          <w:numId w:val="107"/>
        </w:numPr>
        <w:tabs>
          <w:tab w:pos="1228" w:val="left" w:leader="none"/>
          <w:tab w:pos="1229" w:val="left" w:leader="none"/>
        </w:tabs>
        <w:spacing w:line="240" w:lineRule="auto" w:before="1" w:after="0"/>
        <w:ind w:left="1228" w:right="0" w:hanging="794"/>
        <w:jc w:val="left"/>
        <w:rPr>
          <w:sz w:val="13"/>
        </w:rPr>
      </w:pPr>
      <w:r>
        <w:rPr>
          <w:w w:val="105"/>
          <w:sz w:val="13"/>
        </w:rPr>
        <w:t>Submission 35 (Andrew</w:t>
      </w:r>
      <w:r>
        <w:rPr>
          <w:spacing w:val="14"/>
          <w:w w:val="105"/>
          <w:sz w:val="13"/>
        </w:rPr>
        <w:t> </w:t>
      </w:r>
      <w:r>
        <w:rPr>
          <w:w w:val="105"/>
          <w:sz w:val="13"/>
        </w:rPr>
        <w:t>Verspaandonk).</w:t>
      </w:r>
    </w:p>
    <w:p>
      <w:pPr>
        <w:pStyle w:val="ListParagraph"/>
        <w:numPr>
          <w:ilvl w:val="0"/>
          <w:numId w:val="107"/>
        </w:numPr>
        <w:tabs>
          <w:tab w:pos="1228" w:val="left" w:leader="none"/>
          <w:tab w:pos="1229" w:val="left" w:leader="none"/>
        </w:tabs>
        <w:spacing w:line="240" w:lineRule="auto" w:before="1" w:after="0"/>
        <w:ind w:left="1228" w:right="0" w:hanging="794"/>
        <w:jc w:val="left"/>
        <w:rPr>
          <w:sz w:val="13"/>
        </w:rPr>
      </w:pPr>
      <w:r>
        <w:rPr>
          <w:w w:val="105"/>
          <w:sz w:val="13"/>
        </w:rPr>
        <w:t>Submission 39 (Carolyn Sparke</w:t>
      </w:r>
      <w:r>
        <w:rPr>
          <w:spacing w:val="18"/>
          <w:w w:val="105"/>
          <w:sz w:val="13"/>
        </w:rPr>
        <w:t> </w:t>
      </w:r>
      <w:r>
        <w:rPr>
          <w:w w:val="105"/>
          <w:sz w:val="13"/>
        </w:rPr>
        <w:t>SC).</w:t>
      </w:r>
    </w:p>
    <w:p>
      <w:pPr>
        <w:pStyle w:val="ListParagraph"/>
        <w:numPr>
          <w:ilvl w:val="0"/>
          <w:numId w:val="107"/>
        </w:numPr>
        <w:tabs>
          <w:tab w:pos="1228" w:val="left" w:leader="none"/>
          <w:tab w:pos="1229" w:val="left" w:leader="none"/>
        </w:tabs>
        <w:spacing w:line="240" w:lineRule="auto" w:before="2" w:after="0"/>
        <w:ind w:left="1228" w:right="0" w:hanging="794"/>
        <w:jc w:val="left"/>
        <w:rPr>
          <w:sz w:val="13"/>
        </w:rPr>
      </w:pPr>
      <w:r>
        <w:rPr>
          <w:w w:val="105"/>
          <w:sz w:val="13"/>
        </w:rPr>
        <w:t>Submissions </w:t>
      </w:r>
      <w:r>
        <w:rPr>
          <w:spacing w:val="-4"/>
          <w:w w:val="105"/>
          <w:sz w:val="13"/>
        </w:rPr>
        <w:t>13 </w:t>
      </w:r>
      <w:r>
        <w:rPr>
          <w:w w:val="105"/>
          <w:sz w:val="13"/>
        </w:rPr>
        <w:t>(David Shalders); 16 </w:t>
      </w:r>
      <w:r>
        <w:rPr>
          <w:spacing w:val="2"/>
          <w:w w:val="105"/>
          <w:sz w:val="13"/>
        </w:rPr>
        <w:t>(Henry</w:t>
      </w:r>
      <w:r>
        <w:rPr>
          <w:spacing w:val="4"/>
          <w:w w:val="105"/>
          <w:sz w:val="13"/>
        </w:rPr>
        <w:t> </w:t>
      </w:r>
      <w:r>
        <w:rPr>
          <w:w w:val="105"/>
          <w:sz w:val="13"/>
        </w:rPr>
        <w:t>Dixon).</w:t>
      </w:r>
    </w:p>
    <w:p>
      <w:pPr>
        <w:pStyle w:val="ListParagraph"/>
        <w:numPr>
          <w:ilvl w:val="0"/>
          <w:numId w:val="107"/>
        </w:numPr>
        <w:tabs>
          <w:tab w:pos="1228" w:val="left" w:leader="none"/>
          <w:tab w:pos="1229" w:val="left" w:leader="none"/>
        </w:tabs>
        <w:spacing w:line="240" w:lineRule="auto" w:before="1" w:after="0"/>
        <w:ind w:left="1228" w:right="0" w:hanging="794"/>
        <w:jc w:val="left"/>
        <w:rPr>
          <w:sz w:val="13"/>
        </w:rPr>
      </w:pPr>
      <w:r>
        <w:rPr>
          <w:w w:val="105"/>
          <w:sz w:val="13"/>
        </w:rPr>
        <w:t>Submission 16 </w:t>
      </w:r>
      <w:r>
        <w:rPr>
          <w:spacing w:val="2"/>
          <w:w w:val="105"/>
          <w:sz w:val="13"/>
        </w:rPr>
        <w:t>(Henry</w:t>
      </w:r>
      <w:r>
        <w:rPr>
          <w:spacing w:val="13"/>
          <w:w w:val="105"/>
          <w:sz w:val="13"/>
        </w:rPr>
        <w:t> </w:t>
      </w:r>
      <w:r>
        <w:rPr>
          <w:w w:val="105"/>
          <w:sz w:val="13"/>
        </w:rPr>
        <w:t>Dixon).</w:t>
      </w:r>
    </w:p>
    <w:p>
      <w:pPr>
        <w:pStyle w:val="ListParagraph"/>
        <w:numPr>
          <w:ilvl w:val="0"/>
          <w:numId w:val="107"/>
        </w:numPr>
        <w:tabs>
          <w:tab w:pos="1228" w:val="left" w:leader="none"/>
          <w:tab w:pos="1229" w:val="left" w:leader="none"/>
        </w:tabs>
        <w:spacing w:line="240" w:lineRule="auto" w:before="1" w:after="0"/>
        <w:ind w:left="1228" w:right="0" w:hanging="794"/>
        <w:jc w:val="left"/>
        <w:rPr>
          <w:sz w:val="13"/>
        </w:rPr>
      </w:pPr>
      <w:r>
        <w:rPr>
          <w:w w:val="105"/>
          <w:sz w:val="13"/>
        </w:rPr>
        <w:t>Submissions</w:t>
      </w:r>
      <w:r>
        <w:rPr>
          <w:spacing w:val="4"/>
          <w:w w:val="105"/>
          <w:sz w:val="13"/>
        </w:rPr>
        <w:t> </w:t>
      </w:r>
      <w:r>
        <w:rPr>
          <w:w w:val="105"/>
          <w:sz w:val="13"/>
        </w:rPr>
        <w:t>8</w:t>
      </w:r>
      <w:r>
        <w:rPr>
          <w:spacing w:val="5"/>
          <w:w w:val="105"/>
          <w:sz w:val="13"/>
        </w:rPr>
        <w:t> </w:t>
      </w:r>
      <w:r>
        <w:rPr>
          <w:w w:val="105"/>
          <w:sz w:val="13"/>
        </w:rPr>
        <w:t>(Patricia</w:t>
      </w:r>
      <w:r>
        <w:rPr>
          <w:spacing w:val="5"/>
          <w:w w:val="105"/>
          <w:sz w:val="13"/>
        </w:rPr>
        <w:t> </w:t>
      </w:r>
      <w:r>
        <w:rPr>
          <w:w w:val="105"/>
          <w:sz w:val="13"/>
        </w:rPr>
        <w:t>Strachan);</w:t>
      </w:r>
      <w:r>
        <w:rPr>
          <w:spacing w:val="4"/>
          <w:w w:val="105"/>
          <w:sz w:val="13"/>
        </w:rPr>
        <w:t> </w:t>
      </w:r>
      <w:r>
        <w:rPr>
          <w:w w:val="105"/>
          <w:sz w:val="13"/>
        </w:rPr>
        <w:t>36</w:t>
      </w:r>
      <w:r>
        <w:rPr>
          <w:spacing w:val="5"/>
          <w:w w:val="105"/>
          <w:sz w:val="13"/>
        </w:rPr>
        <w:t> </w:t>
      </w:r>
      <w:r>
        <w:rPr>
          <w:spacing w:val="3"/>
          <w:w w:val="105"/>
          <w:sz w:val="13"/>
        </w:rPr>
        <w:t>(Law</w:t>
      </w:r>
      <w:r>
        <w:rPr>
          <w:spacing w:val="5"/>
          <w:w w:val="105"/>
          <w:sz w:val="13"/>
        </w:rPr>
        <w:t> </w:t>
      </w:r>
      <w:r>
        <w:rPr>
          <w:w w:val="105"/>
          <w:sz w:val="13"/>
        </w:rPr>
        <w:t>Society</w:t>
      </w:r>
      <w:r>
        <w:rPr>
          <w:spacing w:val="4"/>
          <w:w w:val="105"/>
          <w:sz w:val="13"/>
        </w:rPr>
        <w:t> </w:t>
      </w:r>
      <w:r>
        <w:rPr>
          <w:w w:val="105"/>
          <w:sz w:val="13"/>
        </w:rPr>
        <w:t>of</w:t>
      </w:r>
      <w:r>
        <w:rPr>
          <w:spacing w:val="5"/>
          <w:w w:val="105"/>
          <w:sz w:val="13"/>
        </w:rPr>
        <w:t> </w:t>
      </w:r>
      <w:r>
        <w:rPr>
          <w:w w:val="105"/>
          <w:sz w:val="13"/>
        </w:rPr>
        <w:t>New</w:t>
      </w:r>
      <w:r>
        <w:rPr>
          <w:spacing w:val="5"/>
          <w:w w:val="105"/>
          <w:sz w:val="13"/>
        </w:rPr>
        <w:t> </w:t>
      </w:r>
      <w:r>
        <w:rPr>
          <w:w w:val="105"/>
          <w:sz w:val="13"/>
        </w:rPr>
        <w:t>South</w:t>
      </w:r>
      <w:r>
        <w:rPr>
          <w:spacing w:val="4"/>
          <w:w w:val="105"/>
          <w:sz w:val="13"/>
        </w:rPr>
        <w:t> </w:t>
      </w:r>
      <w:r>
        <w:rPr>
          <w:w w:val="105"/>
          <w:sz w:val="13"/>
        </w:rPr>
        <w:t>Wales).</w:t>
      </w:r>
    </w:p>
    <w:p>
      <w:pPr>
        <w:pStyle w:val="ListParagraph"/>
        <w:numPr>
          <w:ilvl w:val="0"/>
          <w:numId w:val="107"/>
        </w:numPr>
        <w:tabs>
          <w:tab w:pos="1228" w:val="left" w:leader="none"/>
          <w:tab w:pos="1229" w:val="left" w:leader="none"/>
        </w:tabs>
        <w:spacing w:line="240" w:lineRule="auto" w:before="2" w:after="0"/>
        <w:ind w:left="1228" w:right="0" w:hanging="794"/>
        <w:jc w:val="left"/>
        <w:rPr>
          <w:sz w:val="13"/>
        </w:rPr>
      </w:pPr>
      <w:r>
        <w:rPr>
          <w:w w:val="105"/>
          <w:sz w:val="13"/>
        </w:rPr>
        <w:t>Submission 25 </w:t>
      </w:r>
      <w:r>
        <w:rPr>
          <w:spacing w:val="2"/>
          <w:w w:val="105"/>
          <w:sz w:val="13"/>
        </w:rPr>
        <w:t>(Moores</w:t>
      </w:r>
      <w:r>
        <w:rPr>
          <w:spacing w:val="13"/>
          <w:w w:val="105"/>
          <w:sz w:val="13"/>
        </w:rPr>
        <w:t> </w:t>
      </w:r>
      <w:r>
        <w:rPr>
          <w:w w:val="105"/>
          <w:sz w:val="13"/>
        </w:rPr>
        <w:t>Legal).</w:t>
      </w:r>
    </w:p>
    <w:p>
      <w:pPr>
        <w:pStyle w:val="ListParagraph"/>
        <w:numPr>
          <w:ilvl w:val="0"/>
          <w:numId w:val="107"/>
        </w:numPr>
        <w:tabs>
          <w:tab w:pos="1228" w:val="left" w:leader="none"/>
          <w:tab w:pos="1229" w:val="left" w:leader="none"/>
        </w:tabs>
        <w:spacing w:line="240" w:lineRule="auto" w:before="1" w:after="0"/>
        <w:ind w:left="1228" w:right="0" w:hanging="794"/>
        <w:jc w:val="left"/>
        <w:rPr>
          <w:sz w:val="13"/>
        </w:rPr>
      </w:pPr>
      <w:r>
        <w:rPr>
          <w:sz w:val="13"/>
        </w:rPr>
        <w:t>Ibid.</w:t>
      </w:r>
    </w:p>
    <w:p>
      <w:pPr>
        <w:pStyle w:val="ListParagraph"/>
        <w:numPr>
          <w:ilvl w:val="0"/>
          <w:numId w:val="107"/>
        </w:numPr>
        <w:tabs>
          <w:tab w:pos="1228" w:val="left" w:leader="none"/>
          <w:tab w:pos="1229" w:val="left" w:leader="none"/>
        </w:tabs>
        <w:spacing w:line="240" w:lineRule="auto" w:before="1" w:after="0"/>
        <w:ind w:left="1228" w:right="0" w:hanging="794"/>
        <w:jc w:val="left"/>
        <w:rPr>
          <w:sz w:val="13"/>
        </w:rPr>
      </w:pPr>
      <w:r>
        <w:rPr>
          <w:sz w:val="13"/>
        </w:rPr>
        <w:t>Ibid.</w:t>
      </w:r>
    </w:p>
    <w:p>
      <w:pPr>
        <w:pStyle w:val="ListParagraph"/>
        <w:numPr>
          <w:ilvl w:val="0"/>
          <w:numId w:val="107"/>
        </w:numPr>
        <w:tabs>
          <w:tab w:pos="1228" w:val="left" w:leader="none"/>
          <w:tab w:pos="1229" w:val="left" w:leader="none"/>
        </w:tabs>
        <w:spacing w:line="240" w:lineRule="auto" w:before="2" w:after="0"/>
        <w:ind w:left="1228" w:right="0" w:hanging="794"/>
        <w:jc w:val="left"/>
        <w:rPr>
          <w:sz w:val="13"/>
        </w:rPr>
      </w:pPr>
      <w:r>
        <w:rPr>
          <w:i/>
          <w:w w:val="105"/>
          <w:sz w:val="13"/>
        </w:rPr>
        <w:t>Administration and Probate Act 1958 </w:t>
      </w:r>
      <w:r>
        <w:rPr>
          <w:spacing w:val="2"/>
          <w:w w:val="105"/>
          <w:sz w:val="13"/>
        </w:rPr>
        <w:t>(Vic) </w:t>
      </w:r>
      <w:r>
        <w:rPr>
          <w:w w:val="105"/>
          <w:sz w:val="13"/>
        </w:rPr>
        <w:t>s</w:t>
      </w:r>
      <w:r>
        <w:rPr>
          <w:spacing w:val="26"/>
          <w:w w:val="105"/>
          <w:sz w:val="13"/>
        </w:rPr>
        <w:t> </w:t>
      </w:r>
      <w:r>
        <w:rPr>
          <w:w w:val="105"/>
          <w:sz w:val="13"/>
        </w:rPr>
        <w:t>99A(1).</w:t>
      </w:r>
    </w:p>
    <w:p>
      <w:pPr>
        <w:spacing w:after="0" w:line="240" w:lineRule="auto"/>
        <w:jc w:val="left"/>
        <w:rPr>
          <w:sz w:val="13"/>
        </w:rPr>
        <w:sectPr>
          <w:type w:val="continuous"/>
          <w:pgSz w:w="11910" w:h="16840"/>
          <w:pgMar w:top="920" w:bottom="280" w:left="0" w:right="0"/>
          <w:cols w:num="2" w:equalWidth="0">
            <w:col w:w="1113" w:space="40"/>
            <w:col w:w="10757"/>
          </w:cols>
        </w:sectPr>
      </w:pPr>
    </w:p>
    <w:p>
      <w:pPr>
        <w:pStyle w:val="BodyText"/>
        <w:rPr>
          <w:sz w:val="20"/>
        </w:rPr>
      </w:pPr>
    </w:p>
    <w:p>
      <w:pPr>
        <w:pStyle w:val="BodyText"/>
        <w:rPr>
          <w:sz w:val="19"/>
        </w:rPr>
      </w:pPr>
    </w:p>
    <w:p>
      <w:pPr>
        <w:pStyle w:val="ListParagraph"/>
        <w:numPr>
          <w:ilvl w:val="0"/>
          <w:numId w:val="97"/>
        </w:numPr>
        <w:tabs>
          <w:tab w:pos="2381" w:val="left" w:leader="none"/>
          <w:tab w:pos="2382" w:val="left" w:leader="none"/>
        </w:tabs>
        <w:spacing w:line="242" w:lineRule="auto" w:before="91" w:after="0"/>
        <w:ind w:left="2381" w:right="1598" w:hanging="794"/>
        <w:jc w:val="left"/>
        <w:rPr>
          <w:sz w:val="12"/>
        </w:rPr>
      </w:pPr>
      <w:r>
        <w:rPr>
          <w:w w:val="105"/>
          <w:sz w:val="21"/>
        </w:rPr>
        <w:t>The </w:t>
      </w:r>
      <w:r>
        <w:rPr>
          <w:spacing w:val="-3"/>
          <w:w w:val="105"/>
          <w:sz w:val="21"/>
        </w:rPr>
        <w:t>current </w:t>
      </w:r>
      <w:r>
        <w:rPr>
          <w:w w:val="105"/>
          <w:sz w:val="21"/>
        </w:rPr>
        <w:t>six-month period </w:t>
      </w:r>
      <w:r>
        <w:rPr>
          <w:spacing w:val="-3"/>
          <w:w w:val="105"/>
          <w:sz w:val="21"/>
        </w:rPr>
        <w:t>within </w:t>
      </w:r>
      <w:r>
        <w:rPr>
          <w:w w:val="105"/>
          <w:sz w:val="21"/>
        </w:rPr>
        <w:t>which </w:t>
      </w:r>
      <w:r>
        <w:rPr>
          <w:spacing w:val="-3"/>
          <w:w w:val="105"/>
          <w:sz w:val="21"/>
        </w:rPr>
        <w:t>to </w:t>
      </w:r>
      <w:r>
        <w:rPr>
          <w:spacing w:val="-4"/>
          <w:w w:val="105"/>
          <w:sz w:val="21"/>
        </w:rPr>
        <w:t>make </w:t>
      </w:r>
      <w:r>
        <w:rPr>
          <w:w w:val="105"/>
          <w:sz w:val="21"/>
        </w:rPr>
        <w:t>a </w:t>
      </w:r>
      <w:r>
        <w:rPr>
          <w:spacing w:val="-3"/>
          <w:w w:val="105"/>
          <w:sz w:val="21"/>
        </w:rPr>
        <w:t>family provision claim </w:t>
      </w:r>
      <w:r>
        <w:rPr>
          <w:w w:val="105"/>
          <w:sz w:val="21"/>
        </w:rPr>
        <w:t>in Victoria </w:t>
      </w:r>
      <w:r>
        <w:rPr>
          <w:spacing w:val="-3"/>
          <w:w w:val="105"/>
          <w:sz w:val="21"/>
        </w:rPr>
        <w:t>commences from </w:t>
      </w:r>
      <w:r>
        <w:rPr>
          <w:w w:val="105"/>
          <w:sz w:val="21"/>
        </w:rPr>
        <w:t>the </w:t>
      </w:r>
      <w:r>
        <w:rPr>
          <w:spacing w:val="-3"/>
          <w:w w:val="105"/>
          <w:sz w:val="21"/>
        </w:rPr>
        <w:t>date </w:t>
      </w:r>
      <w:r>
        <w:rPr>
          <w:w w:val="105"/>
          <w:sz w:val="21"/>
        </w:rPr>
        <w:t>of the </w:t>
      </w:r>
      <w:r>
        <w:rPr>
          <w:spacing w:val="-3"/>
          <w:w w:val="105"/>
          <w:sz w:val="21"/>
        </w:rPr>
        <w:t>grant </w:t>
      </w:r>
      <w:r>
        <w:rPr>
          <w:w w:val="105"/>
          <w:sz w:val="21"/>
        </w:rPr>
        <w:t>of representation.</w:t>
      </w:r>
      <w:r>
        <w:rPr>
          <w:w w:val="105"/>
          <w:position w:val="7"/>
          <w:sz w:val="12"/>
        </w:rPr>
        <w:t>340 </w:t>
      </w:r>
      <w:r>
        <w:rPr>
          <w:w w:val="105"/>
          <w:sz w:val="21"/>
        </w:rPr>
        <w:t>As </w:t>
      </w:r>
      <w:r>
        <w:rPr>
          <w:spacing w:val="-3"/>
          <w:w w:val="105"/>
          <w:sz w:val="21"/>
        </w:rPr>
        <w:t>noted above, </w:t>
      </w:r>
      <w:r>
        <w:rPr>
          <w:w w:val="105"/>
          <w:sz w:val="21"/>
        </w:rPr>
        <w:t>the </w:t>
      </w:r>
      <w:r>
        <w:rPr>
          <w:spacing w:val="-3"/>
          <w:w w:val="105"/>
          <w:sz w:val="21"/>
        </w:rPr>
        <w:t>National Committee for Uniform Succession </w:t>
      </w:r>
      <w:r>
        <w:rPr>
          <w:w w:val="105"/>
          <w:sz w:val="21"/>
        </w:rPr>
        <w:t>Laws recommended </w:t>
      </w:r>
      <w:r>
        <w:rPr>
          <w:spacing w:val="-3"/>
          <w:w w:val="105"/>
          <w:sz w:val="21"/>
        </w:rPr>
        <w:t>that </w:t>
      </w:r>
      <w:r>
        <w:rPr>
          <w:w w:val="105"/>
          <w:sz w:val="21"/>
        </w:rPr>
        <w:t>an application </w:t>
      </w:r>
      <w:r>
        <w:rPr>
          <w:spacing w:val="-3"/>
          <w:w w:val="105"/>
          <w:sz w:val="21"/>
        </w:rPr>
        <w:t>for provision </w:t>
      </w:r>
      <w:r>
        <w:rPr>
          <w:w w:val="105"/>
          <w:sz w:val="21"/>
        </w:rPr>
        <w:t>should be made no </w:t>
      </w:r>
      <w:r>
        <w:rPr>
          <w:spacing w:val="-3"/>
          <w:w w:val="105"/>
          <w:sz w:val="21"/>
        </w:rPr>
        <w:t>later than </w:t>
      </w:r>
      <w:r>
        <w:rPr>
          <w:spacing w:val="-9"/>
          <w:w w:val="105"/>
          <w:sz w:val="21"/>
        </w:rPr>
        <w:t>12 </w:t>
      </w:r>
      <w:r>
        <w:rPr>
          <w:spacing w:val="-3"/>
          <w:w w:val="105"/>
          <w:sz w:val="21"/>
        </w:rPr>
        <w:t>months </w:t>
      </w:r>
      <w:r>
        <w:rPr>
          <w:w w:val="105"/>
          <w:sz w:val="21"/>
        </w:rPr>
        <w:t>after the </w:t>
      </w:r>
      <w:r>
        <w:rPr>
          <w:spacing w:val="-3"/>
          <w:w w:val="105"/>
          <w:sz w:val="21"/>
        </w:rPr>
        <w:t>date </w:t>
      </w:r>
      <w:r>
        <w:rPr>
          <w:w w:val="105"/>
          <w:sz w:val="21"/>
        </w:rPr>
        <w:t>of the deceased </w:t>
      </w:r>
      <w:r>
        <w:rPr>
          <w:spacing w:val="-3"/>
          <w:w w:val="105"/>
          <w:sz w:val="21"/>
        </w:rPr>
        <w:t>person’s</w:t>
      </w:r>
      <w:r>
        <w:rPr>
          <w:spacing w:val="-8"/>
          <w:w w:val="105"/>
          <w:sz w:val="21"/>
        </w:rPr>
        <w:t> </w:t>
      </w:r>
      <w:r>
        <w:rPr>
          <w:spacing w:val="-3"/>
          <w:w w:val="105"/>
          <w:sz w:val="21"/>
        </w:rPr>
        <w:t>death.</w:t>
      </w:r>
      <w:r>
        <w:rPr>
          <w:spacing w:val="-3"/>
          <w:w w:val="105"/>
          <w:position w:val="7"/>
          <w:sz w:val="12"/>
        </w:rPr>
        <w:t>341</w:t>
      </w:r>
    </w:p>
    <w:p>
      <w:pPr>
        <w:pStyle w:val="ListParagraph"/>
        <w:numPr>
          <w:ilvl w:val="0"/>
          <w:numId w:val="97"/>
        </w:numPr>
        <w:tabs>
          <w:tab w:pos="2381" w:val="left" w:leader="none"/>
          <w:tab w:pos="2382" w:val="left" w:leader="none"/>
        </w:tabs>
        <w:spacing w:line="242" w:lineRule="auto" w:before="124" w:after="0"/>
        <w:ind w:left="2381" w:right="1669" w:hanging="794"/>
        <w:jc w:val="left"/>
        <w:rPr>
          <w:sz w:val="21"/>
        </w:rPr>
      </w:pPr>
      <w:r>
        <w:rPr>
          <w:w w:val="105"/>
          <w:sz w:val="21"/>
        </w:rPr>
        <w:t>Most </w:t>
      </w:r>
      <w:r>
        <w:rPr>
          <w:spacing w:val="-3"/>
          <w:w w:val="105"/>
          <w:sz w:val="21"/>
        </w:rPr>
        <w:t>submissions that </w:t>
      </w:r>
      <w:r>
        <w:rPr>
          <w:w w:val="105"/>
          <w:sz w:val="21"/>
        </w:rPr>
        <w:t>addressed this point </w:t>
      </w:r>
      <w:r>
        <w:rPr>
          <w:spacing w:val="-3"/>
          <w:w w:val="105"/>
          <w:sz w:val="21"/>
        </w:rPr>
        <w:t>considered that </w:t>
      </w:r>
      <w:r>
        <w:rPr>
          <w:w w:val="105"/>
          <w:sz w:val="21"/>
        </w:rPr>
        <w:t>time should begin </w:t>
      </w:r>
      <w:r>
        <w:rPr>
          <w:spacing w:val="-3"/>
          <w:w w:val="105"/>
          <w:sz w:val="21"/>
        </w:rPr>
        <w:t>to </w:t>
      </w:r>
      <w:r>
        <w:rPr>
          <w:w w:val="105"/>
          <w:sz w:val="21"/>
        </w:rPr>
        <w:t>run </w:t>
      </w:r>
      <w:r>
        <w:rPr>
          <w:spacing w:val="-3"/>
          <w:w w:val="105"/>
          <w:sz w:val="21"/>
        </w:rPr>
        <w:t>from </w:t>
      </w:r>
      <w:r>
        <w:rPr>
          <w:w w:val="105"/>
          <w:sz w:val="21"/>
        </w:rPr>
        <w:t>the </w:t>
      </w:r>
      <w:r>
        <w:rPr>
          <w:spacing w:val="-3"/>
          <w:w w:val="105"/>
          <w:sz w:val="21"/>
        </w:rPr>
        <w:t>date </w:t>
      </w:r>
      <w:r>
        <w:rPr>
          <w:w w:val="105"/>
          <w:sz w:val="21"/>
        </w:rPr>
        <w:t>of the </w:t>
      </w:r>
      <w:r>
        <w:rPr>
          <w:spacing w:val="-3"/>
          <w:w w:val="105"/>
          <w:sz w:val="21"/>
        </w:rPr>
        <w:t>grant </w:t>
      </w:r>
      <w:r>
        <w:rPr>
          <w:w w:val="105"/>
          <w:sz w:val="21"/>
        </w:rPr>
        <w:t>of representation.</w:t>
      </w:r>
      <w:r>
        <w:rPr>
          <w:w w:val="105"/>
          <w:position w:val="7"/>
          <w:sz w:val="12"/>
        </w:rPr>
        <w:t>342 </w:t>
      </w:r>
      <w:r>
        <w:rPr>
          <w:w w:val="105"/>
          <w:sz w:val="21"/>
        </w:rPr>
        <w:t>The Property and </w:t>
      </w:r>
      <w:r>
        <w:rPr>
          <w:spacing w:val="-3"/>
          <w:w w:val="105"/>
          <w:sz w:val="21"/>
        </w:rPr>
        <w:t>Probate </w:t>
      </w:r>
      <w:r>
        <w:rPr>
          <w:w w:val="105"/>
          <w:sz w:val="21"/>
        </w:rPr>
        <w:t>Division of the </w:t>
      </w:r>
      <w:r>
        <w:rPr>
          <w:spacing w:val="-4"/>
          <w:w w:val="105"/>
          <w:sz w:val="21"/>
        </w:rPr>
        <w:t>Commercial</w:t>
      </w:r>
      <w:r>
        <w:rPr>
          <w:spacing w:val="-10"/>
          <w:w w:val="105"/>
          <w:sz w:val="21"/>
        </w:rPr>
        <w:t> </w:t>
      </w:r>
      <w:r>
        <w:rPr>
          <w:w w:val="105"/>
          <w:sz w:val="21"/>
        </w:rPr>
        <w:t>Bar</w:t>
      </w:r>
      <w:r>
        <w:rPr>
          <w:spacing w:val="-9"/>
          <w:w w:val="105"/>
          <w:sz w:val="21"/>
        </w:rPr>
        <w:t> </w:t>
      </w:r>
      <w:r>
        <w:rPr>
          <w:w w:val="105"/>
          <w:sz w:val="21"/>
        </w:rPr>
        <w:t>Association</w:t>
      </w:r>
      <w:r>
        <w:rPr>
          <w:spacing w:val="-9"/>
          <w:w w:val="105"/>
          <w:sz w:val="21"/>
        </w:rPr>
        <w:t> </w:t>
      </w:r>
      <w:r>
        <w:rPr>
          <w:w w:val="105"/>
          <w:sz w:val="21"/>
        </w:rPr>
        <w:t>observed</w:t>
      </w:r>
      <w:r>
        <w:rPr>
          <w:spacing w:val="-9"/>
          <w:w w:val="105"/>
          <w:sz w:val="21"/>
        </w:rPr>
        <w:t> </w:t>
      </w:r>
      <w:r>
        <w:rPr>
          <w:spacing w:val="-3"/>
          <w:w w:val="105"/>
          <w:sz w:val="21"/>
        </w:rPr>
        <w:t>that</w:t>
      </w:r>
      <w:r>
        <w:rPr>
          <w:spacing w:val="-10"/>
          <w:w w:val="105"/>
          <w:sz w:val="21"/>
        </w:rPr>
        <w:t> </w:t>
      </w:r>
      <w:r>
        <w:rPr>
          <w:w w:val="105"/>
          <w:sz w:val="21"/>
        </w:rPr>
        <w:t>the</w:t>
      </w:r>
      <w:r>
        <w:rPr>
          <w:spacing w:val="-9"/>
          <w:w w:val="105"/>
          <w:sz w:val="21"/>
        </w:rPr>
        <w:t> </w:t>
      </w:r>
      <w:r>
        <w:rPr>
          <w:spacing w:val="-3"/>
          <w:w w:val="105"/>
          <w:sz w:val="21"/>
        </w:rPr>
        <w:t>grant</w:t>
      </w:r>
      <w:r>
        <w:rPr>
          <w:spacing w:val="-9"/>
          <w:w w:val="105"/>
          <w:sz w:val="21"/>
        </w:rPr>
        <w:t> </w:t>
      </w:r>
      <w:r>
        <w:rPr>
          <w:w w:val="105"/>
          <w:sz w:val="21"/>
        </w:rPr>
        <w:t>provides</w:t>
      </w:r>
      <w:r>
        <w:rPr>
          <w:spacing w:val="-9"/>
          <w:w w:val="105"/>
          <w:sz w:val="21"/>
        </w:rPr>
        <w:t> </w:t>
      </w:r>
      <w:r>
        <w:rPr>
          <w:spacing w:val="-3"/>
          <w:w w:val="105"/>
          <w:sz w:val="21"/>
        </w:rPr>
        <w:t>notice</w:t>
      </w:r>
      <w:r>
        <w:rPr>
          <w:spacing w:val="-10"/>
          <w:w w:val="105"/>
          <w:sz w:val="21"/>
        </w:rPr>
        <w:t> </w:t>
      </w:r>
      <w:r>
        <w:rPr>
          <w:spacing w:val="-3"/>
          <w:w w:val="105"/>
          <w:sz w:val="21"/>
        </w:rPr>
        <w:t>to</w:t>
      </w:r>
      <w:r>
        <w:rPr>
          <w:spacing w:val="-9"/>
          <w:w w:val="105"/>
          <w:sz w:val="21"/>
        </w:rPr>
        <w:t> </w:t>
      </w:r>
      <w:r>
        <w:rPr>
          <w:w w:val="105"/>
          <w:sz w:val="21"/>
        </w:rPr>
        <w:t>prospective</w:t>
      </w:r>
      <w:r>
        <w:rPr>
          <w:spacing w:val="-9"/>
          <w:w w:val="105"/>
          <w:sz w:val="21"/>
        </w:rPr>
        <w:t> </w:t>
      </w:r>
      <w:r>
        <w:rPr>
          <w:spacing w:val="-3"/>
          <w:w w:val="105"/>
          <w:sz w:val="21"/>
        </w:rPr>
        <w:t>family provision</w:t>
      </w:r>
      <w:r>
        <w:rPr>
          <w:spacing w:val="-5"/>
          <w:w w:val="105"/>
          <w:sz w:val="21"/>
        </w:rPr>
        <w:t> </w:t>
      </w:r>
      <w:r>
        <w:rPr>
          <w:w w:val="105"/>
          <w:sz w:val="21"/>
        </w:rPr>
        <w:t>applicants</w:t>
      </w:r>
      <w:r>
        <w:rPr>
          <w:spacing w:val="-5"/>
          <w:w w:val="105"/>
          <w:sz w:val="21"/>
        </w:rPr>
        <w:t> </w:t>
      </w:r>
      <w:r>
        <w:rPr>
          <w:spacing w:val="-3"/>
          <w:w w:val="105"/>
          <w:sz w:val="21"/>
        </w:rPr>
        <w:t>that</w:t>
      </w:r>
      <w:r>
        <w:rPr>
          <w:spacing w:val="-4"/>
          <w:w w:val="105"/>
          <w:sz w:val="21"/>
        </w:rPr>
        <w:t> </w:t>
      </w:r>
      <w:r>
        <w:rPr>
          <w:w w:val="105"/>
          <w:sz w:val="21"/>
        </w:rPr>
        <w:t>the</w:t>
      </w:r>
      <w:r>
        <w:rPr>
          <w:spacing w:val="-5"/>
          <w:w w:val="105"/>
          <w:sz w:val="21"/>
        </w:rPr>
        <w:t> </w:t>
      </w:r>
      <w:r>
        <w:rPr>
          <w:w w:val="105"/>
          <w:sz w:val="21"/>
        </w:rPr>
        <w:t>time</w:t>
      </w:r>
      <w:r>
        <w:rPr>
          <w:spacing w:val="-5"/>
          <w:w w:val="105"/>
          <w:sz w:val="21"/>
        </w:rPr>
        <w:t> </w:t>
      </w:r>
      <w:r>
        <w:rPr>
          <w:spacing w:val="-3"/>
          <w:w w:val="105"/>
          <w:sz w:val="21"/>
        </w:rPr>
        <w:t>within</w:t>
      </w:r>
      <w:r>
        <w:rPr>
          <w:spacing w:val="-4"/>
          <w:w w:val="105"/>
          <w:sz w:val="21"/>
        </w:rPr>
        <w:t> </w:t>
      </w:r>
      <w:r>
        <w:rPr>
          <w:w w:val="105"/>
          <w:sz w:val="21"/>
        </w:rPr>
        <w:t>which</w:t>
      </w:r>
      <w:r>
        <w:rPr>
          <w:spacing w:val="-5"/>
          <w:w w:val="105"/>
          <w:sz w:val="21"/>
        </w:rPr>
        <w:t> </w:t>
      </w:r>
      <w:r>
        <w:rPr>
          <w:spacing w:val="-3"/>
          <w:w w:val="105"/>
          <w:sz w:val="21"/>
        </w:rPr>
        <w:t>to</w:t>
      </w:r>
      <w:r>
        <w:rPr>
          <w:spacing w:val="-5"/>
          <w:w w:val="105"/>
          <w:sz w:val="21"/>
        </w:rPr>
        <w:t> </w:t>
      </w:r>
      <w:r>
        <w:rPr>
          <w:spacing w:val="-3"/>
          <w:w w:val="105"/>
          <w:sz w:val="21"/>
        </w:rPr>
        <w:t>exercise</w:t>
      </w:r>
      <w:r>
        <w:rPr>
          <w:spacing w:val="-4"/>
          <w:w w:val="105"/>
          <w:sz w:val="21"/>
        </w:rPr>
        <w:t> </w:t>
      </w:r>
      <w:r>
        <w:rPr>
          <w:w w:val="105"/>
          <w:sz w:val="21"/>
        </w:rPr>
        <w:t>their</w:t>
      </w:r>
      <w:r>
        <w:rPr>
          <w:spacing w:val="-5"/>
          <w:w w:val="105"/>
          <w:sz w:val="21"/>
        </w:rPr>
        <w:t> </w:t>
      </w:r>
      <w:r>
        <w:rPr>
          <w:w w:val="105"/>
          <w:sz w:val="21"/>
        </w:rPr>
        <w:t>rights</w:t>
      </w:r>
      <w:r>
        <w:rPr>
          <w:spacing w:val="-5"/>
          <w:w w:val="105"/>
          <w:sz w:val="21"/>
        </w:rPr>
        <w:t> </w:t>
      </w:r>
      <w:r>
        <w:rPr>
          <w:spacing w:val="-2"/>
          <w:w w:val="105"/>
          <w:sz w:val="21"/>
        </w:rPr>
        <w:t>has</w:t>
      </w:r>
      <w:r>
        <w:rPr>
          <w:spacing w:val="-4"/>
          <w:w w:val="105"/>
          <w:sz w:val="21"/>
        </w:rPr>
        <w:t> </w:t>
      </w:r>
      <w:r>
        <w:rPr>
          <w:spacing w:val="-3"/>
          <w:w w:val="105"/>
          <w:sz w:val="21"/>
        </w:rPr>
        <w:t>commenced.</w:t>
      </w:r>
    </w:p>
    <w:p>
      <w:pPr>
        <w:pStyle w:val="BodyText"/>
        <w:spacing w:line="242" w:lineRule="auto" w:before="5"/>
        <w:ind w:left="2380" w:right="1619"/>
        <w:rPr>
          <w:sz w:val="12"/>
        </w:rPr>
      </w:pPr>
      <w:r>
        <w:rPr/>
        <w:t>It pointed out that this type of public notification is not given in jurisdictions where time begins to run from the deceased person’s date of death.</w:t>
      </w:r>
      <w:r>
        <w:rPr>
          <w:position w:val="7"/>
          <w:sz w:val="12"/>
        </w:rPr>
        <w:t>343</w:t>
      </w:r>
    </w:p>
    <w:p>
      <w:pPr>
        <w:pStyle w:val="ListParagraph"/>
        <w:numPr>
          <w:ilvl w:val="0"/>
          <w:numId w:val="97"/>
        </w:numPr>
        <w:tabs>
          <w:tab w:pos="2380" w:val="left" w:leader="none"/>
          <w:tab w:pos="2382" w:val="left" w:leader="none"/>
        </w:tabs>
        <w:spacing w:line="242" w:lineRule="auto" w:before="122" w:after="0"/>
        <w:ind w:left="2381" w:right="1927" w:hanging="794"/>
        <w:jc w:val="left"/>
        <w:rPr>
          <w:sz w:val="12"/>
        </w:rPr>
      </w:pPr>
      <w:r>
        <w:rPr>
          <w:spacing w:val="-3"/>
          <w:w w:val="105"/>
          <w:sz w:val="21"/>
        </w:rPr>
        <w:t>Patricia </w:t>
      </w:r>
      <w:r>
        <w:rPr>
          <w:spacing w:val="-4"/>
          <w:w w:val="105"/>
          <w:sz w:val="21"/>
        </w:rPr>
        <w:t>Strachan </w:t>
      </w:r>
      <w:r>
        <w:rPr>
          <w:w w:val="105"/>
          <w:sz w:val="21"/>
        </w:rPr>
        <w:t>and the Law Society of New South </w:t>
      </w:r>
      <w:r>
        <w:rPr>
          <w:spacing w:val="-3"/>
          <w:w w:val="105"/>
          <w:sz w:val="21"/>
        </w:rPr>
        <w:t>Wales considered that </w:t>
      </w:r>
      <w:r>
        <w:rPr>
          <w:w w:val="105"/>
          <w:sz w:val="21"/>
        </w:rPr>
        <w:t>a time </w:t>
      </w:r>
      <w:r>
        <w:rPr>
          <w:spacing w:val="-3"/>
          <w:w w:val="105"/>
          <w:sz w:val="21"/>
        </w:rPr>
        <w:t>limit </w:t>
      </w:r>
      <w:r>
        <w:rPr>
          <w:w w:val="105"/>
          <w:sz w:val="21"/>
        </w:rPr>
        <w:t>of </w:t>
      </w:r>
      <w:r>
        <w:rPr>
          <w:spacing w:val="-9"/>
          <w:w w:val="105"/>
          <w:sz w:val="21"/>
        </w:rPr>
        <w:t>12 </w:t>
      </w:r>
      <w:r>
        <w:rPr>
          <w:spacing w:val="-3"/>
          <w:w w:val="105"/>
          <w:sz w:val="21"/>
        </w:rPr>
        <w:t>months </w:t>
      </w:r>
      <w:r>
        <w:rPr>
          <w:w w:val="105"/>
          <w:sz w:val="21"/>
        </w:rPr>
        <w:t>should start </w:t>
      </w:r>
      <w:r>
        <w:rPr>
          <w:spacing w:val="-3"/>
          <w:w w:val="105"/>
          <w:sz w:val="21"/>
        </w:rPr>
        <w:t>to </w:t>
      </w:r>
      <w:r>
        <w:rPr>
          <w:w w:val="105"/>
          <w:sz w:val="21"/>
        </w:rPr>
        <w:t>run </w:t>
      </w:r>
      <w:r>
        <w:rPr>
          <w:spacing w:val="-3"/>
          <w:w w:val="105"/>
          <w:sz w:val="21"/>
        </w:rPr>
        <w:t>from </w:t>
      </w:r>
      <w:r>
        <w:rPr>
          <w:w w:val="105"/>
          <w:sz w:val="21"/>
        </w:rPr>
        <w:t>the deceased </w:t>
      </w:r>
      <w:r>
        <w:rPr>
          <w:spacing w:val="-3"/>
          <w:w w:val="105"/>
          <w:sz w:val="21"/>
        </w:rPr>
        <w:t>person’s date </w:t>
      </w:r>
      <w:r>
        <w:rPr>
          <w:w w:val="105"/>
          <w:sz w:val="21"/>
        </w:rPr>
        <w:t>of</w:t>
      </w:r>
      <w:r>
        <w:rPr>
          <w:spacing w:val="46"/>
          <w:w w:val="105"/>
          <w:sz w:val="21"/>
        </w:rPr>
        <w:t> </w:t>
      </w:r>
      <w:r>
        <w:rPr>
          <w:w w:val="105"/>
          <w:sz w:val="21"/>
        </w:rPr>
        <w:t>death.</w:t>
      </w:r>
      <w:r>
        <w:rPr>
          <w:w w:val="105"/>
          <w:position w:val="7"/>
          <w:sz w:val="12"/>
        </w:rPr>
        <w:t>344</w:t>
      </w:r>
    </w:p>
    <w:p>
      <w:pPr>
        <w:pStyle w:val="ListParagraph"/>
        <w:numPr>
          <w:ilvl w:val="0"/>
          <w:numId w:val="97"/>
        </w:numPr>
        <w:tabs>
          <w:tab w:pos="2380" w:val="left" w:leader="none"/>
          <w:tab w:pos="2381" w:val="left" w:leader="none"/>
        </w:tabs>
        <w:spacing w:line="242" w:lineRule="auto" w:before="122" w:after="0"/>
        <w:ind w:left="2380" w:right="1618" w:hanging="793"/>
        <w:jc w:val="left"/>
        <w:rPr>
          <w:sz w:val="21"/>
        </w:rPr>
      </w:pPr>
      <w:r>
        <w:rPr>
          <w:w w:val="105"/>
          <w:sz w:val="21"/>
        </w:rPr>
        <w:t>On </w:t>
      </w:r>
      <w:r>
        <w:rPr>
          <w:spacing w:val="-3"/>
          <w:w w:val="105"/>
          <w:sz w:val="21"/>
        </w:rPr>
        <w:t>balance, </w:t>
      </w:r>
      <w:r>
        <w:rPr>
          <w:w w:val="105"/>
          <w:sz w:val="21"/>
        </w:rPr>
        <w:t>the </w:t>
      </w:r>
      <w:r>
        <w:rPr>
          <w:spacing w:val="-3"/>
          <w:w w:val="105"/>
          <w:sz w:val="21"/>
        </w:rPr>
        <w:t>Commission </w:t>
      </w:r>
      <w:r>
        <w:rPr>
          <w:w w:val="105"/>
          <w:sz w:val="21"/>
        </w:rPr>
        <w:t>considers </w:t>
      </w:r>
      <w:r>
        <w:rPr>
          <w:spacing w:val="-3"/>
          <w:w w:val="105"/>
          <w:sz w:val="21"/>
        </w:rPr>
        <w:t>that </w:t>
      </w:r>
      <w:r>
        <w:rPr>
          <w:w w:val="105"/>
          <w:sz w:val="21"/>
        </w:rPr>
        <w:t>six </w:t>
      </w:r>
      <w:r>
        <w:rPr>
          <w:spacing w:val="-3"/>
          <w:w w:val="105"/>
          <w:sz w:val="21"/>
        </w:rPr>
        <w:t>months from </w:t>
      </w:r>
      <w:r>
        <w:rPr>
          <w:w w:val="105"/>
          <w:sz w:val="21"/>
        </w:rPr>
        <w:t>the </w:t>
      </w:r>
      <w:r>
        <w:rPr>
          <w:spacing w:val="-3"/>
          <w:w w:val="105"/>
          <w:sz w:val="21"/>
        </w:rPr>
        <w:t>date </w:t>
      </w:r>
      <w:r>
        <w:rPr>
          <w:w w:val="105"/>
          <w:sz w:val="21"/>
        </w:rPr>
        <w:t>of </w:t>
      </w:r>
      <w:r>
        <w:rPr>
          <w:spacing w:val="-3"/>
          <w:w w:val="105"/>
          <w:sz w:val="21"/>
        </w:rPr>
        <w:t>grant </w:t>
      </w:r>
      <w:r>
        <w:rPr>
          <w:w w:val="105"/>
          <w:sz w:val="21"/>
        </w:rPr>
        <w:t>provides an </w:t>
      </w:r>
      <w:r>
        <w:rPr>
          <w:spacing w:val="-3"/>
          <w:w w:val="105"/>
          <w:sz w:val="21"/>
        </w:rPr>
        <w:t>adequate </w:t>
      </w:r>
      <w:r>
        <w:rPr>
          <w:w w:val="105"/>
          <w:sz w:val="21"/>
        </w:rPr>
        <w:t>period </w:t>
      </w:r>
      <w:r>
        <w:rPr>
          <w:spacing w:val="-3"/>
          <w:w w:val="105"/>
          <w:sz w:val="21"/>
        </w:rPr>
        <w:t>within </w:t>
      </w:r>
      <w:r>
        <w:rPr>
          <w:w w:val="105"/>
          <w:sz w:val="21"/>
        </w:rPr>
        <w:t>which </w:t>
      </w:r>
      <w:r>
        <w:rPr>
          <w:spacing w:val="-3"/>
          <w:w w:val="105"/>
          <w:sz w:val="21"/>
        </w:rPr>
        <w:t>to </w:t>
      </w:r>
      <w:r>
        <w:rPr>
          <w:w w:val="105"/>
          <w:sz w:val="21"/>
        </w:rPr>
        <w:t>obtain legal advice and </w:t>
      </w:r>
      <w:r>
        <w:rPr>
          <w:spacing w:val="-3"/>
          <w:w w:val="105"/>
          <w:sz w:val="21"/>
        </w:rPr>
        <w:t>commence proceedings. </w:t>
      </w:r>
      <w:r>
        <w:rPr>
          <w:spacing w:val="-4"/>
          <w:w w:val="105"/>
          <w:sz w:val="21"/>
        </w:rPr>
        <w:t>Further, </w:t>
      </w:r>
      <w:r>
        <w:rPr>
          <w:w w:val="105"/>
          <w:sz w:val="21"/>
        </w:rPr>
        <w:t>the </w:t>
      </w:r>
      <w:r>
        <w:rPr>
          <w:spacing w:val="-3"/>
          <w:w w:val="105"/>
          <w:sz w:val="21"/>
        </w:rPr>
        <w:t>grant </w:t>
      </w:r>
      <w:r>
        <w:rPr>
          <w:w w:val="105"/>
          <w:sz w:val="21"/>
        </w:rPr>
        <w:t>itself performs an important role in notifying </w:t>
      </w:r>
      <w:r>
        <w:rPr>
          <w:spacing w:val="-3"/>
          <w:w w:val="105"/>
          <w:sz w:val="21"/>
        </w:rPr>
        <w:t>interested </w:t>
      </w:r>
      <w:r>
        <w:rPr>
          <w:w w:val="105"/>
          <w:sz w:val="21"/>
        </w:rPr>
        <w:t>parties of when time </w:t>
      </w:r>
      <w:r>
        <w:rPr>
          <w:spacing w:val="-2"/>
          <w:w w:val="105"/>
          <w:sz w:val="21"/>
        </w:rPr>
        <w:t>has </w:t>
      </w:r>
      <w:r>
        <w:rPr>
          <w:w w:val="105"/>
          <w:sz w:val="21"/>
        </w:rPr>
        <w:t>started </w:t>
      </w:r>
      <w:r>
        <w:rPr>
          <w:spacing w:val="-3"/>
          <w:w w:val="105"/>
          <w:sz w:val="21"/>
        </w:rPr>
        <w:t>to run. </w:t>
      </w:r>
      <w:r>
        <w:rPr>
          <w:w w:val="105"/>
          <w:sz w:val="21"/>
        </w:rPr>
        <w:t>If a </w:t>
      </w:r>
      <w:r>
        <w:rPr>
          <w:spacing w:val="-3"/>
          <w:w w:val="105"/>
          <w:sz w:val="21"/>
        </w:rPr>
        <w:t>caveat </w:t>
      </w:r>
      <w:r>
        <w:rPr>
          <w:w w:val="105"/>
          <w:sz w:val="21"/>
        </w:rPr>
        <w:t>is lodged </w:t>
      </w:r>
      <w:r>
        <w:rPr>
          <w:spacing w:val="-3"/>
          <w:w w:val="105"/>
          <w:sz w:val="21"/>
        </w:rPr>
        <w:t>against </w:t>
      </w:r>
      <w:r>
        <w:rPr>
          <w:w w:val="105"/>
          <w:sz w:val="21"/>
        </w:rPr>
        <w:t>the </w:t>
      </w:r>
      <w:r>
        <w:rPr>
          <w:spacing w:val="-3"/>
          <w:w w:val="105"/>
          <w:sz w:val="21"/>
        </w:rPr>
        <w:t>making </w:t>
      </w:r>
      <w:r>
        <w:rPr>
          <w:w w:val="105"/>
          <w:sz w:val="21"/>
        </w:rPr>
        <w:t>of a </w:t>
      </w:r>
      <w:r>
        <w:rPr>
          <w:spacing w:val="-3"/>
          <w:w w:val="105"/>
          <w:sz w:val="21"/>
        </w:rPr>
        <w:t>grant </w:t>
      </w:r>
      <w:r>
        <w:rPr>
          <w:w w:val="105"/>
          <w:sz w:val="21"/>
        </w:rPr>
        <w:t>of </w:t>
      </w:r>
      <w:r>
        <w:rPr>
          <w:spacing w:val="-3"/>
          <w:w w:val="105"/>
          <w:sz w:val="21"/>
        </w:rPr>
        <w:t>representation, </w:t>
      </w:r>
      <w:r>
        <w:rPr>
          <w:w w:val="105"/>
          <w:sz w:val="21"/>
        </w:rPr>
        <w:t>the Registrar of Probates of the </w:t>
      </w:r>
      <w:r>
        <w:rPr>
          <w:spacing w:val="-3"/>
          <w:w w:val="105"/>
          <w:sz w:val="21"/>
        </w:rPr>
        <w:t>Supreme Court </w:t>
      </w:r>
      <w:r>
        <w:rPr>
          <w:w w:val="105"/>
          <w:sz w:val="21"/>
        </w:rPr>
        <w:t>must give the person who lodged the </w:t>
      </w:r>
      <w:r>
        <w:rPr>
          <w:spacing w:val="-3"/>
          <w:w w:val="105"/>
          <w:sz w:val="21"/>
        </w:rPr>
        <w:t>caveat notice </w:t>
      </w:r>
      <w:r>
        <w:rPr>
          <w:w w:val="105"/>
          <w:sz w:val="21"/>
        </w:rPr>
        <w:t>when </w:t>
      </w:r>
      <w:r>
        <w:rPr>
          <w:spacing w:val="-3"/>
          <w:w w:val="105"/>
          <w:sz w:val="21"/>
        </w:rPr>
        <w:t>any </w:t>
      </w:r>
      <w:r>
        <w:rPr>
          <w:w w:val="105"/>
          <w:sz w:val="21"/>
        </w:rPr>
        <w:t>application </w:t>
      </w:r>
      <w:r>
        <w:rPr>
          <w:spacing w:val="-3"/>
          <w:w w:val="105"/>
          <w:sz w:val="21"/>
        </w:rPr>
        <w:t>for </w:t>
      </w:r>
      <w:r>
        <w:rPr>
          <w:w w:val="105"/>
          <w:sz w:val="21"/>
        </w:rPr>
        <w:t>a </w:t>
      </w:r>
      <w:r>
        <w:rPr>
          <w:spacing w:val="-3"/>
          <w:w w:val="105"/>
          <w:sz w:val="21"/>
        </w:rPr>
        <w:t>grant </w:t>
      </w:r>
      <w:r>
        <w:rPr>
          <w:w w:val="105"/>
          <w:sz w:val="21"/>
        </w:rPr>
        <w:t>is made.</w:t>
      </w:r>
      <w:r>
        <w:rPr>
          <w:w w:val="105"/>
          <w:position w:val="7"/>
          <w:sz w:val="12"/>
        </w:rPr>
        <w:t>345 </w:t>
      </w:r>
      <w:r>
        <w:rPr>
          <w:w w:val="105"/>
          <w:sz w:val="21"/>
        </w:rPr>
        <w:t>The court’s power </w:t>
      </w:r>
      <w:r>
        <w:rPr>
          <w:spacing w:val="-3"/>
          <w:w w:val="105"/>
          <w:sz w:val="21"/>
        </w:rPr>
        <w:t>to grant </w:t>
      </w:r>
      <w:r>
        <w:rPr>
          <w:w w:val="105"/>
          <w:sz w:val="21"/>
        </w:rPr>
        <w:t>an extension of time operates as a sufficient </w:t>
      </w:r>
      <w:r>
        <w:rPr>
          <w:spacing w:val="-3"/>
          <w:w w:val="105"/>
          <w:sz w:val="21"/>
        </w:rPr>
        <w:t>safeguard. </w:t>
      </w:r>
      <w:r>
        <w:rPr>
          <w:w w:val="105"/>
          <w:sz w:val="21"/>
        </w:rPr>
        <w:t>For these </w:t>
      </w:r>
      <w:r>
        <w:rPr>
          <w:spacing w:val="-3"/>
          <w:w w:val="105"/>
          <w:sz w:val="21"/>
        </w:rPr>
        <w:t>reasons, </w:t>
      </w:r>
      <w:r>
        <w:rPr>
          <w:w w:val="105"/>
          <w:sz w:val="21"/>
        </w:rPr>
        <w:t>the </w:t>
      </w:r>
      <w:r>
        <w:rPr>
          <w:spacing w:val="-3"/>
          <w:w w:val="105"/>
          <w:sz w:val="21"/>
        </w:rPr>
        <w:t>Commission </w:t>
      </w:r>
      <w:r>
        <w:rPr>
          <w:w w:val="105"/>
          <w:sz w:val="21"/>
        </w:rPr>
        <w:t>does </w:t>
      </w:r>
      <w:r>
        <w:rPr>
          <w:spacing w:val="-2"/>
          <w:w w:val="105"/>
          <w:sz w:val="21"/>
        </w:rPr>
        <w:t>not </w:t>
      </w:r>
      <w:r>
        <w:rPr>
          <w:spacing w:val="-3"/>
          <w:w w:val="105"/>
          <w:sz w:val="21"/>
        </w:rPr>
        <w:t>recommend any change </w:t>
      </w:r>
      <w:r>
        <w:rPr>
          <w:w w:val="105"/>
          <w:sz w:val="21"/>
        </w:rPr>
        <w:t>in </w:t>
      </w:r>
      <w:r>
        <w:rPr>
          <w:spacing w:val="-3"/>
          <w:w w:val="105"/>
          <w:sz w:val="21"/>
        </w:rPr>
        <w:t>relation to </w:t>
      </w:r>
      <w:r>
        <w:rPr>
          <w:w w:val="105"/>
          <w:sz w:val="21"/>
        </w:rPr>
        <w:t>the time </w:t>
      </w:r>
      <w:r>
        <w:rPr>
          <w:spacing w:val="-3"/>
          <w:w w:val="105"/>
          <w:sz w:val="21"/>
        </w:rPr>
        <w:t>within </w:t>
      </w:r>
      <w:r>
        <w:rPr>
          <w:w w:val="105"/>
          <w:sz w:val="21"/>
        </w:rPr>
        <w:t>which </w:t>
      </w:r>
      <w:r>
        <w:rPr>
          <w:spacing w:val="-3"/>
          <w:w w:val="105"/>
          <w:sz w:val="21"/>
        </w:rPr>
        <w:t>to bring </w:t>
      </w:r>
      <w:r>
        <w:rPr>
          <w:w w:val="105"/>
          <w:sz w:val="21"/>
        </w:rPr>
        <w:t>a </w:t>
      </w:r>
      <w:r>
        <w:rPr>
          <w:spacing w:val="-3"/>
          <w:w w:val="105"/>
          <w:sz w:val="21"/>
        </w:rPr>
        <w:t>family provision</w:t>
      </w:r>
      <w:r>
        <w:rPr>
          <w:spacing w:val="5"/>
          <w:w w:val="105"/>
          <w:sz w:val="21"/>
        </w:rPr>
        <w:t> </w:t>
      </w:r>
      <w:r>
        <w:rPr>
          <w:spacing w:val="-3"/>
          <w:w w:val="105"/>
          <w:sz w:val="21"/>
        </w:rPr>
        <w:t>claim.</w:t>
      </w:r>
    </w:p>
    <w:p>
      <w:pPr>
        <w:pStyle w:val="BodyText"/>
        <w:spacing w:before="6"/>
        <w:rPr>
          <w:sz w:val="27"/>
        </w:rPr>
      </w:pPr>
    </w:p>
    <w:p>
      <w:pPr>
        <w:pStyle w:val="Heading6"/>
      </w:pPr>
      <w:r>
        <w:rPr>
          <w:w w:val="120"/>
        </w:rPr>
        <w:t>Notice of intention to make a family provision claim</w:t>
      </w:r>
    </w:p>
    <w:p>
      <w:pPr>
        <w:pStyle w:val="ListParagraph"/>
        <w:numPr>
          <w:ilvl w:val="0"/>
          <w:numId w:val="97"/>
        </w:numPr>
        <w:tabs>
          <w:tab w:pos="2380" w:val="left" w:leader="none"/>
          <w:tab w:pos="2381" w:val="left" w:leader="none"/>
        </w:tabs>
        <w:spacing w:line="242" w:lineRule="auto" w:before="151" w:after="0"/>
        <w:ind w:left="2381" w:right="1585" w:hanging="794"/>
        <w:jc w:val="left"/>
        <w:rPr>
          <w:sz w:val="12"/>
        </w:rPr>
      </w:pPr>
      <w:r>
        <w:rPr>
          <w:sz w:val="21"/>
        </w:rPr>
        <w:t>The </w:t>
      </w:r>
      <w:r>
        <w:rPr>
          <w:spacing w:val="-3"/>
          <w:sz w:val="21"/>
        </w:rPr>
        <w:t>submission </w:t>
      </w:r>
      <w:r>
        <w:rPr>
          <w:sz w:val="21"/>
        </w:rPr>
        <w:t>of the Property and </w:t>
      </w:r>
      <w:r>
        <w:rPr>
          <w:spacing w:val="-3"/>
          <w:sz w:val="21"/>
        </w:rPr>
        <w:t>Probate </w:t>
      </w:r>
      <w:r>
        <w:rPr>
          <w:sz w:val="21"/>
        </w:rPr>
        <w:t>Section of the  </w:t>
      </w:r>
      <w:r>
        <w:rPr>
          <w:spacing w:val="-4"/>
          <w:sz w:val="21"/>
        </w:rPr>
        <w:t>Commercial  </w:t>
      </w:r>
      <w:r>
        <w:rPr>
          <w:sz w:val="21"/>
        </w:rPr>
        <w:t>Bar  Association </w:t>
      </w:r>
      <w:r>
        <w:rPr>
          <w:spacing w:val="-2"/>
          <w:sz w:val="21"/>
        </w:rPr>
        <w:t>raises </w:t>
      </w:r>
      <w:r>
        <w:rPr>
          <w:sz w:val="21"/>
        </w:rPr>
        <w:t>a point </w:t>
      </w:r>
      <w:r>
        <w:rPr>
          <w:spacing w:val="-3"/>
          <w:sz w:val="21"/>
        </w:rPr>
        <w:t>that </w:t>
      </w:r>
      <w:r>
        <w:rPr>
          <w:sz w:val="21"/>
        </w:rPr>
        <w:t>is </w:t>
      </w:r>
      <w:r>
        <w:rPr>
          <w:spacing w:val="-3"/>
          <w:sz w:val="21"/>
        </w:rPr>
        <w:t>separate from, </w:t>
      </w:r>
      <w:r>
        <w:rPr>
          <w:sz w:val="21"/>
        </w:rPr>
        <w:t>but </w:t>
      </w:r>
      <w:r>
        <w:rPr>
          <w:spacing w:val="-3"/>
          <w:sz w:val="21"/>
        </w:rPr>
        <w:t>related </w:t>
      </w:r>
      <w:r>
        <w:rPr>
          <w:spacing w:val="-4"/>
          <w:sz w:val="21"/>
        </w:rPr>
        <w:t>to, </w:t>
      </w:r>
      <w:r>
        <w:rPr>
          <w:sz w:val="21"/>
        </w:rPr>
        <w:t>the time </w:t>
      </w:r>
      <w:r>
        <w:rPr>
          <w:spacing w:val="-3"/>
          <w:sz w:val="21"/>
        </w:rPr>
        <w:t>limit </w:t>
      </w:r>
      <w:r>
        <w:rPr>
          <w:sz w:val="21"/>
        </w:rPr>
        <w:t>and extension of time in </w:t>
      </w:r>
      <w:r>
        <w:rPr>
          <w:spacing w:val="-3"/>
          <w:sz w:val="21"/>
        </w:rPr>
        <w:t>family provision.  </w:t>
      </w:r>
      <w:r>
        <w:rPr>
          <w:sz w:val="21"/>
        </w:rPr>
        <w:t>Under the </w:t>
      </w:r>
      <w:r>
        <w:rPr>
          <w:spacing w:val="-3"/>
          <w:sz w:val="21"/>
        </w:rPr>
        <w:t>Administration</w:t>
      </w:r>
      <w:r>
        <w:rPr>
          <w:spacing w:val="41"/>
          <w:sz w:val="21"/>
        </w:rPr>
        <w:t> </w:t>
      </w:r>
      <w:r>
        <w:rPr>
          <w:sz w:val="21"/>
        </w:rPr>
        <w:t>and </w:t>
      </w:r>
      <w:r>
        <w:rPr>
          <w:spacing w:val="-3"/>
          <w:sz w:val="21"/>
        </w:rPr>
        <w:t>Probate  </w:t>
      </w:r>
      <w:r>
        <w:rPr>
          <w:sz w:val="21"/>
        </w:rPr>
        <w:t>Act, personal representatives </w:t>
      </w:r>
      <w:r>
        <w:rPr>
          <w:spacing w:val="-3"/>
          <w:sz w:val="21"/>
        </w:rPr>
        <w:t>are </w:t>
      </w:r>
      <w:r>
        <w:rPr>
          <w:spacing w:val="-2"/>
          <w:sz w:val="21"/>
        </w:rPr>
        <w:t>not </w:t>
      </w:r>
      <w:r>
        <w:rPr>
          <w:sz w:val="21"/>
        </w:rPr>
        <w:t>personally </w:t>
      </w:r>
      <w:r>
        <w:rPr>
          <w:spacing w:val="-3"/>
          <w:sz w:val="21"/>
        </w:rPr>
        <w:t>liable for making distributions from </w:t>
      </w:r>
      <w:r>
        <w:rPr>
          <w:sz w:val="21"/>
        </w:rPr>
        <w:t>the estate after the six-month </w:t>
      </w:r>
      <w:r>
        <w:rPr>
          <w:spacing w:val="-3"/>
          <w:sz w:val="21"/>
        </w:rPr>
        <w:t>limitation </w:t>
      </w:r>
      <w:r>
        <w:rPr>
          <w:sz w:val="21"/>
        </w:rPr>
        <w:t>period </w:t>
      </w:r>
      <w:r>
        <w:rPr>
          <w:spacing w:val="-2"/>
          <w:sz w:val="21"/>
        </w:rPr>
        <w:t>has </w:t>
      </w:r>
      <w:r>
        <w:rPr>
          <w:sz w:val="21"/>
        </w:rPr>
        <w:t>passed, where there </w:t>
      </w:r>
      <w:r>
        <w:rPr>
          <w:spacing w:val="-2"/>
          <w:sz w:val="21"/>
        </w:rPr>
        <w:t>has </w:t>
      </w:r>
      <w:r>
        <w:rPr>
          <w:sz w:val="21"/>
        </w:rPr>
        <w:t>been no </w:t>
      </w:r>
      <w:r>
        <w:rPr>
          <w:spacing w:val="-3"/>
          <w:sz w:val="21"/>
        </w:rPr>
        <w:t>notice </w:t>
      </w:r>
      <w:r>
        <w:rPr>
          <w:sz w:val="21"/>
        </w:rPr>
        <w:t>of a </w:t>
      </w:r>
      <w:r>
        <w:rPr>
          <w:spacing w:val="-3"/>
          <w:sz w:val="21"/>
        </w:rPr>
        <w:t>family provision </w:t>
      </w:r>
      <w:r>
        <w:rPr>
          <w:sz w:val="21"/>
        </w:rPr>
        <w:t>application or </w:t>
      </w:r>
      <w:r>
        <w:rPr>
          <w:spacing w:val="-3"/>
          <w:sz w:val="21"/>
        </w:rPr>
        <w:t>intended</w:t>
      </w:r>
      <w:r>
        <w:rPr>
          <w:spacing w:val="8"/>
          <w:sz w:val="21"/>
        </w:rPr>
        <w:t> </w:t>
      </w:r>
      <w:r>
        <w:rPr>
          <w:sz w:val="21"/>
        </w:rPr>
        <w:t>application.</w:t>
      </w:r>
      <w:r>
        <w:rPr>
          <w:position w:val="7"/>
          <w:sz w:val="12"/>
        </w:rPr>
        <w:t>346</w:t>
      </w:r>
    </w:p>
    <w:p>
      <w:pPr>
        <w:pStyle w:val="ListParagraph"/>
        <w:numPr>
          <w:ilvl w:val="0"/>
          <w:numId w:val="97"/>
        </w:numPr>
        <w:tabs>
          <w:tab w:pos="2381" w:val="left" w:leader="none"/>
          <w:tab w:pos="2382" w:val="left" w:leader="none"/>
        </w:tabs>
        <w:spacing w:line="242" w:lineRule="auto" w:before="127" w:after="0"/>
        <w:ind w:left="2381" w:right="1734" w:hanging="794"/>
        <w:jc w:val="left"/>
        <w:rPr>
          <w:sz w:val="21"/>
        </w:rPr>
      </w:pPr>
      <w:r>
        <w:rPr>
          <w:sz w:val="21"/>
        </w:rPr>
        <w:t>Notice provided </w:t>
      </w:r>
      <w:r>
        <w:rPr>
          <w:spacing w:val="-3"/>
          <w:sz w:val="21"/>
        </w:rPr>
        <w:t>to </w:t>
      </w:r>
      <w:r>
        <w:rPr>
          <w:sz w:val="21"/>
        </w:rPr>
        <w:t>the personal representative of an </w:t>
      </w:r>
      <w:r>
        <w:rPr>
          <w:spacing w:val="-3"/>
          <w:sz w:val="21"/>
        </w:rPr>
        <w:t>intention to </w:t>
      </w:r>
      <w:r>
        <w:rPr>
          <w:spacing w:val="-4"/>
          <w:sz w:val="21"/>
        </w:rPr>
        <w:t>make </w:t>
      </w:r>
      <w:r>
        <w:rPr>
          <w:sz w:val="21"/>
        </w:rPr>
        <w:t>a </w:t>
      </w:r>
      <w:r>
        <w:rPr>
          <w:spacing w:val="-3"/>
          <w:sz w:val="21"/>
        </w:rPr>
        <w:t>family provision application, </w:t>
      </w:r>
      <w:r>
        <w:rPr>
          <w:sz w:val="21"/>
        </w:rPr>
        <w:t>in writing and </w:t>
      </w:r>
      <w:r>
        <w:rPr>
          <w:spacing w:val="-3"/>
          <w:sz w:val="21"/>
        </w:rPr>
        <w:t>signed, </w:t>
      </w:r>
      <w:r>
        <w:rPr>
          <w:sz w:val="21"/>
        </w:rPr>
        <w:t>lapses after three </w:t>
      </w:r>
      <w:r>
        <w:rPr>
          <w:spacing w:val="-3"/>
          <w:sz w:val="21"/>
        </w:rPr>
        <w:t>months </w:t>
      </w:r>
      <w:r>
        <w:rPr>
          <w:sz w:val="21"/>
        </w:rPr>
        <w:t>and </w:t>
      </w:r>
      <w:r>
        <w:rPr>
          <w:spacing w:val="-3"/>
          <w:sz w:val="21"/>
        </w:rPr>
        <w:t>cannot </w:t>
      </w:r>
      <w:r>
        <w:rPr>
          <w:sz w:val="21"/>
        </w:rPr>
        <w:t>be</w:t>
      </w:r>
      <w:r>
        <w:rPr>
          <w:spacing w:val="32"/>
          <w:sz w:val="21"/>
        </w:rPr>
        <w:t> </w:t>
      </w:r>
      <w:r>
        <w:rPr>
          <w:spacing w:val="-3"/>
          <w:sz w:val="21"/>
        </w:rPr>
        <w:t>renewed.</w:t>
      </w:r>
    </w:p>
    <w:p>
      <w:pPr>
        <w:pStyle w:val="BodyText"/>
        <w:spacing w:line="242" w:lineRule="auto" w:before="2"/>
        <w:ind w:left="2381" w:right="2289"/>
        <w:rPr>
          <w:sz w:val="12"/>
        </w:rPr>
      </w:pPr>
      <w:r>
        <w:rPr/>
        <w:t>After three </w:t>
      </w:r>
      <w:r>
        <w:rPr>
          <w:spacing w:val="-3"/>
        </w:rPr>
        <w:t>months,  </w:t>
      </w:r>
      <w:r>
        <w:rPr/>
        <w:t>the personal representative can </w:t>
      </w:r>
      <w:r>
        <w:rPr>
          <w:spacing w:val="-4"/>
        </w:rPr>
        <w:t>‘act  </w:t>
      </w:r>
      <w:r>
        <w:rPr/>
        <w:t>as if he </w:t>
      </w:r>
      <w:r>
        <w:rPr>
          <w:spacing w:val="-2"/>
        </w:rPr>
        <w:t>had  not  </w:t>
      </w:r>
      <w:r>
        <w:rPr/>
        <w:t>received  the </w:t>
      </w:r>
      <w:r>
        <w:rPr>
          <w:spacing w:val="-3"/>
        </w:rPr>
        <w:t>notice’ </w:t>
      </w:r>
      <w:r>
        <w:rPr/>
        <w:t>unless, </w:t>
      </w:r>
      <w:r>
        <w:rPr>
          <w:spacing w:val="-3"/>
        </w:rPr>
        <w:t>within that </w:t>
      </w:r>
      <w:r>
        <w:rPr/>
        <w:t>three </w:t>
      </w:r>
      <w:r>
        <w:rPr>
          <w:spacing w:val="-3"/>
        </w:rPr>
        <w:t>months, notice </w:t>
      </w:r>
      <w:r>
        <w:rPr/>
        <w:t>is received </w:t>
      </w:r>
      <w:r>
        <w:rPr>
          <w:spacing w:val="-3"/>
        </w:rPr>
        <w:t>that </w:t>
      </w:r>
      <w:r>
        <w:rPr/>
        <w:t>a </w:t>
      </w:r>
      <w:r>
        <w:rPr>
          <w:spacing w:val="-3"/>
        </w:rPr>
        <w:t>family provision </w:t>
      </w:r>
      <w:r>
        <w:rPr/>
        <w:t>application </w:t>
      </w:r>
      <w:r>
        <w:rPr>
          <w:spacing w:val="-2"/>
        </w:rPr>
        <w:t>has </w:t>
      </w:r>
      <w:r>
        <w:rPr/>
        <w:t>been made </w:t>
      </w:r>
      <w:r>
        <w:rPr>
          <w:spacing w:val="-3"/>
        </w:rPr>
        <w:t>to </w:t>
      </w:r>
      <w:r>
        <w:rPr/>
        <w:t>the</w:t>
      </w:r>
      <w:r>
        <w:rPr>
          <w:spacing w:val="12"/>
        </w:rPr>
        <w:t> </w:t>
      </w:r>
      <w:r>
        <w:rPr/>
        <w:t>court.</w:t>
      </w:r>
      <w:r>
        <w:rPr>
          <w:position w:val="7"/>
          <w:sz w:val="12"/>
        </w:rPr>
        <w:t>347</w:t>
      </w:r>
    </w:p>
    <w:p>
      <w:pPr>
        <w:pStyle w:val="ListParagraph"/>
        <w:numPr>
          <w:ilvl w:val="0"/>
          <w:numId w:val="97"/>
        </w:numPr>
        <w:tabs>
          <w:tab w:pos="2381" w:val="left" w:leader="none"/>
          <w:tab w:pos="2382" w:val="left" w:leader="none"/>
        </w:tabs>
        <w:spacing w:line="242" w:lineRule="auto" w:before="123" w:after="0"/>
        <w:ind w:left="2381" w:right="1946" w:hanging="794"/>
        <w:jc w:val="left"/>
        <w:rPr>
          <w:sz w:val="12"/>
        </w:rPr>
      </w:pPr>
      <w:r>
        <w:rPr>
          <w:sz w:val="21"/>
        </w:rPr>
        <w:t>In the view of the Property and </w:t>
      </w:r>
      <w:r>
        <w:rPr>
          <w:spacing w:val="-3"/>
          <w:sz w:val="21"/>
        </w:rPr>
        <w:t>Probate </w:t>
      </w:r>
      <w:r>
        <w:rPr>
          <w:sz w:val="21"/>
        </w:rPr>
        <w:t>Section of the </w:t>
      </w:r>
      <w:r>
        <w:rPr>
          <w:spacing w:val="-4"/>
          <w:sz w:val="21"/>
        </w:rPr>
        <w:t>Commercial </w:t>
      </w:r>
      <w:r>
        <w:rPr>
          <w:sz w:val="21"/>
        </w:rPr>
        <w:t>Bar Association,  these </w:t>
      </w:r>
      <w:r>
        <w:rPr>
          <w:spacing w:val="-3"/>
          <w:sz w:val="21"/>
        </w:rPr>
        <w:t>provisions </w:t>
      </w:r>
      <w:r>
        <w:rPr>
          <w:sz w:val="21"/>
        </w:rPr>
        <w:t>effectively give rise </w:t>
      </w:r>
      <w:r>
        <w:rPr>
          <w:spacing w:val="-3"/>
          <w:sz w:val="21"/>
        </w:rPr>
        <w:t>to </w:t>
      </w:r>
      <w:r>
        <w:rPr>
          <w:sz w:val="21"/>
        </w:rPr>
        <w:t>a nine-month period </w:t>
      </w:r>
      <w:r>
        <w:rPr>
          <w:spacing w:val="-3"/>
          <w:sz w:val="21"/>
        </w:rPr>
        <w:t>within </w:t>
      </w:r>
      <w:r>
        <w:rPr>
          <w:sz w:val="21"/>
        </w:rPr>
        <w:t>which </w:t>
      </w:r>
      <w:r>
        <w:rPr>
          <w:spacing w:val="-3"/>
          <w:sz w:val="21"/>
        </w:rPr>
        <w:t>to </w:t>
      </w:r>
      <w:r>
        <w:rPr>
          <w:spacing w:val="-4"/>
          <w:sz w:val="21"/>
        </w:rPr>
        <w:t>make </w:t>
      </w:r>
      <w:r>
        <w:rPr>
          <w:sz w:val="21"/>
        </w:rPr>
        <w:t>a </w:t>
      </w:r>
      <w:r>
        <w:rPr>
          <w:spacing w:val="-3"/>
          <w:sz w:val="21"/>
        </w:rPr>
        <w:t>family provision claim, </w:t>
      </w:r>
      <w:r>
        <w:rPr>
          <w:sz w:val="21"/>
        </w:rPr>
        <w:t>if </w:t>
      </w:r>
      <w:r>
        <w:rPr>
          <w:spacing w:val="-3"/>
          <w:sz w:val="21"/>
        </w:rPr>
        <w:t>notice </w:t>
      </w:r>
      <w:r>
        <w:rPr>
          <w:sz w:val="21"/>
        </w:rPr>
        <w:t>is given on the last </w:t>
      </w:r>
      <w:r>
        <w:rPr>
          <w:spacing w:val="-3"/>
          <w:sz w:val="21"/>
        </w:rPr>
        <w:t>day </w:t>
      </w:r>
      <w:r>
        <w:rPr>
          <w:sz w:val="21"/>
        </w:rPr>
        <w:t>of the six-month period. </w:t>
      </w:r>
      <w:r>
        <w:rPr>
          <w:spacing w:val="2"/>
          <w:position w:val="7"/>
          <w:sz w:val="12"/>
        </w:rPr>
        <w:t>348 </w:t>
      </w:r>
      <w:r>
        <w:rPr>
          <w:sz w:val="21"/>
        </w:rPr>
        <w:t>The </w:t>
      </w:r>
      <w:r>
        <w:rPr>
          <w:spacing w:val="-3"/>
          <w:sz w:val="21"/>
        </w:rPr>
        <w:t>submission </w:t>
      </w:r>
      <w:r>
        <w:rPr>
          <w:sz w:val="21"/>
        </w:rPr>
        <w:t>states </w:t>
      </w:r>
      <w:r>
        <w:rPr>
          <w:spacing w:val="-3"/>
          <w:sz w:val="21"/>
        </w:rPr>
        <w:t>that consideration </w:t>
      </w:r>
      <w:r>
        <w:rPr>
          <w:sz w:val="21"/>
        </w:rPr>
        <w:t>should be given </w:t>
      </w:r>
      <w:r>
        <w:rPr>
          <w:spacing w:val="-3"/>
          <w:sz w:val="21"/>
        </w:rPr>
        <w:t>to </w:t>
      </w:r>
      <w:r>
        <w:rPr>
          <w:sz w:val="21"/>
        </w:rPr>
        <w:t>clarifying the effect of giving  </w:t>
      </w:r>
      <w:r>
        <w:rPr>
          <w:spacing w:val="-3"/>
          <w:sz w:val="21"/>
        </w:rPr>
        <w:t>such</w:t>
      </w:r>
      <w:r>
        <w:rPr>
          <w:spacing w:val="8"/>
          <w:sz w:val="21"/>
        </w:rPr>
        <w:t> </w:t>
      </w:r>
      <w:r>
        <w:rPr>
          <w:spacing w:val="-3"/>
          <w:sz w:val="21"/>
        </w:rPr>
        <w:t>notice.</w:t>
      </w:r>
      <w:r>
        <w:rPr>
          <w:spacing w:val="-3"/>
          <w:position w:val="7"/>
          <w:sz w:val="12"/>
        </w:rPr>
        <w:t>349</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2"/>
        </w:rPr>
      </w:pPr>
      <w:r>
        <w:rPr/>
        <w:pict>
          <v:line style="position:absolute;mso-position-horizontal-relative:page;mso-position-vertical-relative:paragraph;z-index:8384;mso-wrap-distance-left:0;mso-wrap-distance-right:0" from="79.370102pt,9.911866pt" to="515.905102pt,9.911866pt" stroked="true" strokeweight="1pt" strokecolor="#f9ceca">
            <v:stroke dashstyle="solid"/>
            <w10:wrap type="topAndBottom"/>
          </v:line>
        </w:pict>
      </w:r>
    </w:p>
    <w:p>
      <w:pPr>
        <w:pStyle w:val="BodyText"/>
        <w:spacing w:before="8"/>
        <w:rPr>
          <w:sz w:val="5"/>
        </w:rPr>
      </w:pPr>
    </w:p>
    <w:p>
      <w:pPr>
        <w:spacing w:after="0"/>
        <w:rPr>
          <w:sz w:val="5"/>
        </w:rPr>
        <w:sectPr>
          <w:pgSz w:w="11910" w:h="16840"/>
          <w:pgMar w:header="805" w:footer="0" w:top="1360" w:bottom="280" w:left="0" w:right="0"/>
        </w:sectPr>
      </w:pPr>
    </w:p>
    <w:p>
      <w:pPr>
        <w:pStyle w:val="ListParagraph"/>
        <w:numPr>
          <w:ilvl w:val="0"/>
          <w:numId w:val="108"/>
        </w:numPr>
        <w:tabs>
          <w:tab w:pos="2380" w:val="left" w:leader="none"/>
          <w:tab w:pos="2382" w:val="left" w:leader="none"/>
        </w:tabs>
        <w:spacing w:line="240" w:lineRule="auto" w:before="48" w:after="0"/>
        <w:ind w:left="2381" w:right="0" w:hanging="794"/>
        <w:jc w:val="left"/>
        <w:rPr>
          <w:sz w:val="13"/>
        </w:rPr>
      </w:pPr>
      <w:r>
        <w:rPr>
          <w:sz w:val="13"/>
        </w:rPr>
        <w:t>Ibid s</w:t>
      </w:r>
      <w:r>
        <w:rPr>
          <w:spacing w:val="12"/>
          <w:sz w:val="13"/>
        </w:rPr>
        <w:t> </w:t>
      </w:r>
      <w:r>
        <w:rPr>
          <w:sz w:val="13"/>
        </w:rPr>
        <w:t>99.</w:t>
      </w:r>
    </w:p>
    <w:p>
      <w:pPr>
        <w:pStyle w:val="ListParagraph"/>
        <w:numPr>
          <w:ilvl w:val="0"/>
          <w:numId w:val="108"/>
        </w:numPr>
        <w:tabs>
          <w:tab w:pos="2380" w:val="left" w:leader="none"/>
          <w:tab w:pos="2382" w:val="left" w:leader="none"/>
        </w:tabs>
        <w:spacing w:line="240" w:lineRule="auto" w:before="1" w:after="0"/>
        <w:ind w:left="2381" w:right="0" w:hanging="794"/>
        <w:jc w:val="left"/>
        <w:rPr>
          <w:sz w:val="13"/>
        </w:rPr>
      </w:pPr>
      <w:r>
        <w:rPr>
          <w:w w:val="105"/>
          <w:sz w:val="13"/>
        </w:rPr>
        <w:t>National</w:t>
      </w:r>
      <w:r>
        <w:rPr>
          <w:spacing w:val="5"/>
          <w:w w:val="105"/>
          <w:sz w:val="13"/>
        </w:rPr>
        <w:t> </w:t>
      </w:r>
      <w:r>
        <w:rPr>
          <w:w w:val="105"/>
          <w:sz w:val="13"/>
        </w:rPr>
        <w:t>Committee</w:t>
      </w:r>
      <w:r>
        <w:rPr>
          <w:spacing w:val="6"/>
          <w:w w:val="105"/>
          <w:sz w:val="13"/>
        </w:rPr>
        <w:t> </w:t>
      </w:r>
      <w:r>
        <w:rPr>
          <w:w w:val="105"/>
          <w:sz w:val="13"/>
        </w:rPr>
        <w:t>for</w:t>
      </w:r>
      <w:r>
        <w:rPr>
          <w:spacing w:val="6"/>
          <w:w w:val="105"/>
          <w:sz w:val="13"/>
        </w:rPr>
        <w:t> </w:t>
      </w:r>
      <w:r>
        <w:rPr>
          <w:w w:val="105"/>
          <w:sz w:val="13"/>
        </w:rPr>
        <w:t>Uniform</w:t>
      </w:r>
      <w:r>
        <w:rPr>
          <w:spacing w:val="5"/>
          <w:w w:val="105"/>
          <w:sz w:val="13"/>
        </w:rPr>
        <w:t> </w:t>
      </w:r>
      <w:r>
        <w:rPr>
          <w:w w:val="105"/>
          <w:sz w:val="13"/>
        </w:rPr>
        <w:t>Succession</w:t>
      </w:r>
      <w:r>
        <w:rPr>
          <w:spacing w:val="6"/>
          <w:w w:val="105"/>
          <w:sz w:val="13"/>
        </w:rPr>
        <w:t> </w:t>
      </w:r>
      <w:r>
        <w:rPr>
          <w:w w:val="105"/>
          <w:sz w:val="13"/>
        </w:rPr>
        <w:t>Laws,</w:t>
      </w:r>
      <w:r>
        <w:rPr>
          <w:spacing w:val="6"/>
          <w:w w:val="105"/>
          <w:sz w:val="13"/>
        </w:rPr>
        <w:t> </w:t>
      </w:r>
      <w:r>
        <w:rPr>
          <w:i/>
          <w:w w:val="105"/>
          <w:sz w:val="13"/>
        </w:rPr>
        <w:t>Family</w:t>
      </w:r>
      <w:r>
        <w:rPr>
          <w:i/>
          <w:spacing w:val="4"/>
          <w:w w:val="105"/>
          <w:sz w:val="13"/>
        </w:rPr>
        <w:t> </w:t>
      </w:r>
      <w:r>
        <w:rPr>
          <w:i/>
          <w:w w:val="105"/>
          <w:sz w:val="13"/>
        </w:rPr>
        <w:t>Provision</w:t>
      </w:r>
      <w:r>
        <w:rPr>
          <w:i/>
          <w:spacing w:val="5"/>
          <w:w w:val="105"/>
          <w:sz w:val="13"/>
        </w:rPr>
        <w:t> </w:t>
      </w:r>
      <w:r>
        <w:rPr>
          <w:i/>
          <w:w w:val="105"/>
          <w:sz w:val="13"/>
        </w:rPr>
        <w:t>Supplementary</w:t>
      </w:r>
      <w:r>
        <w:rPr>
          <w:i/>
          <w:spacing w:val="5"/>
          <w:w w:val="105"/>
          <w:sz w:val="13"/>
        </w:rPr>
        <w:t> </w:t>
      </w:r>
      <w:r>
        <w:rPr>
          <w:i/>
          <w:w w:val="105"/>
          <w:sz w:val="13"/>
        </w:rPr>
        <w:t>Report,</w:t>
      </w:r>
      <w:r>
        <w:rPr>
          <w:i/>
          <w:spacing w:val="5"/>
          <w:w w:val="105"/>
          <w:sz w:val="13"/>
        </w:rPr>
        <w:t> </w:t>
      </w:r>
      <w:r>
        <w:rPr>
          <w:w w:val="105"/>
          <w:sz w:val="13"/>
        </w:rPr>
        <w:t>above</w:t>
      </w:r>
      <w:r>
        <w:rPr>
          <w:spacing w:val="6"/>
          <w:w w:val="105"/>
          <w:sz w:val="13"/>
        </w:rPr>
        <w:t> </w:t>
      </w:r>
      <w:r>
        <w:rPr>
          <w:w w:val="105"/>
          <w:sz w:val="13"/>
        </w:rPr>
        <w:t>n</w:t>
      </w:r>
      <w:r>
        <w:rPr>
          <w:spacing w:val="6"/>
          <w:w w:val="105"/>
          <w:sz w:val="13"/>
        </w:rPr>
        <w:t> </w:t>
      </w:r>
      <w:r>
        <w:rPr>
          <w:spacing w:val="2"/>
          <w:w w:val="105"/>
          <w:sz w:val="13"/>
        </w:rPr>
        <w:t>88,</w:t>
      </w:r>
      <w:r>
        <w:rPr>
          <w:spacing w:val="5"/>
          <w:w w:val="105"/>
          <w:sz w:val="13"/>
        </w:rPr>
        <w:t> </w:t>
      </w:r>
      <w:r>
        <w:rPr>
          <w:w w:val="105"/>
          <w:sz w:val="13"/>
        </w:rPr>
        <w:t>Draft</w:t>
      </w:r>
      <w:r>
        <w:rPr>
          <w:spacing w:val="6"/>
          <w:w w:val="105"/>
          <w:sz w:val="13"/>
        </w:rPr>
        <w:t> </w:t>
      </w:r>
      <w:r>
        <w:rPr>
          <w:w w:val="105"/>
          <w:sz w:val="13"/>
        </w:rPr>
        <w:t>Family</w:t>
      </w:r>
      <w:r>
        <w:rPr>
          <w:spacing w:val="6"/>
          <w:w w:val="105"/>
          <w:sz w:val="13"/>
        </w:rPr>
        <w:t> </w:t>
      </w:r>
      <w:r>
        <w:rPr>
          <w:w w:val="105"/>
          <w:sz w:val="13"/>
        </w:rPr>
        <w:t>Provision</w:t>
      </w:r>
      <w:r>
        <w:rPr>
          <w:spacing w:val="5"/>
          <w:w w:val="105"/>
          <w:sz w:val="13"/>
        </w:rPr>
        <w:t> </w:t>
      </w:r>
      <w:r>
        <w:rPr>
          <w:w w:val="105"/>
          <w:sz w:val="13"/>
        </w:rPr>
        <w:t>Bill</w:t>
      </w:r>
      <w:r>
        <w:rPr>
          <w:spacing w:val="6"/>
          <w:w w:val="105"/>
          <w:sz w:val="13"/>
        </w:rPr>
        <w:t> </w:t>
      </w:r>
      <w:r>
        <w:rPr>
          <w:w w:val="105"/>
          <w:sz w:val="13"/>
        </w:rPr>
        <w:t>2004</w:t>
      </w:r>
      <w:r>
        <w:rPr>
          <w:spacing w:val="6"/>
          <w:w w:val="105"/>
          <w:sz w:val="13"/>
        </w:rPr>
        <w:t> </w:t>
      </w:r>
      <w:r>
        <w:rPr>
          <w:w w:val="105"/>
          <w:sz w:val="13"/>
        </w:rPr>
        <w:t>cl</w:t>
      </w:r>
      <w:r>
        <w:rPr>
          <w:spacing w:val="5"/>
          <w:w w:val="105"/>
          <w:sz w:val="13"/>
        </w:rPr>
        <w:t> </w:t>
      </w:r>
      <w:r>
        <w:rPr>
          <w:w w:val="105"/>
          <w:sz w:val="13"/>
        </w:rPr>
        <w:t>9.</w:t>
      </w:r>
    </w:p>
    <w:p>
      <w:pPr>
        <w:pStyle w:val="ListParagraph"/>
        <w:numPr>
          <w:ilvl w:val="0"/>
          <w:numId w:val="108"/>
        </w:numPr>
        <w:tabs>
          <w:tab w:pos="2380" w:val="left" w:leader="none"/>
          <w:tab w:pos="2382" w:val="left" w:leader="none"/>
        </w:tabs>
        <w:spacing w:line="240" w:lineRule="auto" w:before="2" w:after="0"/>
        <w:ind w:left="2381" w:right="0" w:hanging="794"/>
        <w:jc w:val="left"/>
        <w:rPr>
          <w:sz w:val="13"/>
        </w:rPr>
      </w:pPr>
      <w:r>
        <w:rPr>
          <w:w w:val="105"/>
          <w:sz w:val="13"/>
        </w:rPr>
        <w:t>Submissions</w:t>
      </w:r>
      <w:r>
        <w:rPr>
          <w:spacing w:val="4"/>
          <w:w w:val="105"/>
          <w:sz w:val="13"/>
        </w:rPr>
        <w:t> </w:t>
      </w:r>
      <w:r>
        <w:rPr>
          <w:spacing w:val="-3"/>
          <w:w w:val="105"/>
          <w:sz w:val="13"/>
        </w:rPr>
        <w:t>14</w:t>
      </w:r>
      <w:r>
        <w:rPr>
          <w:spacing w:val="5"/>
          <w:w w:val="105"/>
          <w:sz w:val="13"/>
        </w:rPr>
        <w:t> </w:t>
      </w:r>
      <w:r>
        <w:rPr>
          <w:w w:val="105"/>
          <w:sz w:val="13"/>
        </w:rPr>
        <w:t>(Commercial</w:t>
      </w:r>
      <w:r>
        <w:rPr>
          <w:spacing w:val="5"/>
          <w:w w:val="105"/>
          <w:sz w:val="13"/>
        </w:rPr>
        <w:t> </w:t>
      </w:r>
      <w:r>
        <w:rPr>
          <w:w w:val="105"/>
          <w:sz w:val="13"/>
        </w:rPr>
        <w:t>Bar</w:t>
      </w:r>
      <w:r>
        <w:rPr>
          <w:spacing w:val="5"/>
          <w:w w:val="105"/>
          <w:sz w:val="13"/>
        </w:rPr>
        <w:t> </w:t>
      </w:r>
      <w:r>
        <w:rPr>
          <w:spacing w:val="2"/>
          <w:w w:val="105"/>
          <w:sz w:val="13"/>
        </w:rPr>
        <w:t>Association);</w:t>
      </w:r>
      <w:r>
        <w:rPr>
          <w:spacing w:val="5"/>
          <w:w w:val="105"/>
          <w:sz w:val="13"/>
        </w:rPr>
        <w:t> </w:t>
      </w:r>
      <w:r>
        <w:rPr>
          <w:w w:val="105"/>
          <w:sz w:val="13"/>
        </w:rPr>
        <w:t>30a</w:t>
      </w:r>
      <w:r>
        <w:rPr>
          <w:spacing w:val="5"/>
          <w:w w:val="105"/>
          <w:sz w:val="13"/>
        </w:rPr>
        <w:t> </w:t>
      </w:r>
      <w:r>
        <w:rPr>
          <w:spacing w:val="3"/>
          <w:w w:val="105"/>
          <w:sz w:val="13"/>
        </w:rPr>
        <w:t>(Law</w:t>
      </w:r>
      <w:r>
        <w:rPr>
          <w:spacing w:val="5"/>
          <w:w w:val="105"/>
          <w:sz w:val="13"/>
        </w:rPr>
        <w:t> </w:t>
      </w:r>
      <w:r>
        <w:rPr>
          <w:w w:val="105"/>
          <w:sz w:val="13"/>
        </w:rPr>
        <w:t>Institute</w:t>
      </w:r>
      <w:r>
        <w:rPr>
          <w:spacing w:val="4"/>
          <w:w w:val="105"/>
          <w:sz w:val="13"/>
        </w:rPr>
        <w:t> </w:t>
      </w:r>
      <w:r>
        <w:rPr>
          <w:w w:val="105"/>
          <w:sz w:val="13"/>
        </w:rPr>
        <w:t>of</w:t>
      </w:r>
      <w:r>
        <w:rPr>
          <w:spacing w:val="5"/>
          <w:w w:val="105"/>
          <w:sz w:val="13"/>
        </w:rPr>
        <w:t> </w:t>
      </w:r>
      <w:r>
        <w:rPr>
          <w:spacing w:val="2"/>
          <w:w w:val="105"/>
          <w:sz w:val="13"/>
        </w:rPr>
        <w:t>Victoria);</w:t>
      </w:r>
      <w:r>
        <w:rPr>
          <w:spacing w:val="5"/>
          <w:w w:val="105"/>
          <w:sz w:val="13"/>
        </w:rPr>
        <w:t> </w:t>
      </w:r>
      <w:r>
        <w:rPr>
          <w:w w:val="105"/>
          <w:sz w:val="13"/>
        </w:rPr>
        <w:t>35</w:t>
      </w:r>
      <w:r>
        <w:rPr>
          <w:spacing w:val="5"/>
          <w:w w:val="105"/>
          <w:sz w:val="13"/>
        </w:rPr>
        <w:t> </w:t>
      </w:r>
      <w:r>
        <w:rPr>
          <w:w w:val="105"/>
          <w:sz w:val="13"/>
        </w:rPr>
        <w:t>(Andrew</w:t>
      </w:r>
      <w:r>
        <w:rPr>
          <w:spacing w:val="5"/>
          <w:w w:val="105"/>
          <w:sz w:val="13"/>
        </w:rPr>
        <w:t> </w:t>
      </w:r>
      <w:r>
        <w:rPr>
          <w:w w:val="105"/>
          <w:sz w:val="13"/>
        </w:rPr>
        <w:t>Verspaandonk).</w:t>
      </w:r>
    </w:p>
    <w:p>
      <w:pPr>
        <w:pStyle w:val="ListParagraph"/>
        <w:numPr>
          <w:ilvl w:val="0"/>
          <w:numId w:val="108"/>
        </w:numPr>
        <w:tabs>
          <w:tab w:pos="2380" w:val="left" w:leader="none"/>
          <w:tab w:pos="2382" w:val="left" w:leader="none"/>
        </w:tabs>
        <w:spacing w:line="240" w:lineRule="auto" w:before="1" w:after="0"/>
        <w:ind w:left="2381" w:right="0" w:hanging="794"/>
        <w:jc w:val="left"/>
        <w:rPr>
          <w:sz w:val="13"/>
        </w:rPr>
      </w:pPr>
      <w:r>
        <w:rPr>
          <w:w w:val="105"/>
          <w:sz w:val="13"/>
        </w:rPr>
        <w:t>Submission </w:t>
      </w:r>
      <w:r>
        <w:rPr>
          <w:spacing w:val="-3"/>
          <w:w w:val="105"/>
          <w:sz w:val="13"/>
        </w:rPr>
        <w:t>14 </w:t>
      </w:r>
      <w:r>
        <w:rPr>
          <w:w w:val="105"/>
          <w:sz w:val="13"/>
        </w:rPr>
        <w:t>(Commercial Bar</w:t>
      </w:r>
      <w:r>
        <w:rPr>
          <w:spacing w:val="21"/>
          <w:w w:val="105"/>
          <w:sz w:val="13"/>
        </w:rPr>
        <w:t> </w:t>
      </w:r>
      <w:r>
        <w:rPr>
          <w:spacing w:val="2"/>
          <w:w w:val="105"/>
          <w:sz w:val="13"/>
        </w:rPr>
        <w:t>Association).</w:t>
      </w:r>
    </w:p>
    <w:p>
      <w:pPr>
        <w:pStyle w:val="ListParagraph"/>
        <w:numPr>
          <w:ilvl w:val="0"/>
          <w:numId w:val="108"/>
        </w:numPr>
        <w:tabs>
          <w:tab w:pos="2380" w:val="left" w:leader="none"/>
          <w:tab w:pos="2382" w:val="left" w:leader="none"/>
        </w:tabs>
        <w:spacing w:line="240" w:lineRule="auto" w:before="1" w:after="0"/>
        <w:ind w:left="2381" w:right="0" w:hanging="794"/>
        <w:jc w:val="left"/>
        <w:rPr>
          <w:sz w:val="13"/>
        </w:rPr>
      </w:pPr>
      <w:r>
        <w:rPr>
          <w:w w:val="105"/>
          <w:sz w:val="13"/>
        </w:rPr>
        <w:t>Submissions</w:t>
      </w:r>
      <w:r>
        <w:rPr>
          <w:spacing w:val="4"/>
          <w:w w:val="105"/>
          <w:sz w:val="13"/>
        </w:rPr>
        <w:t> </w:t>
      </w:r>
      <w:r>
        <w:rPr>
          <w:w w:val="105"/>
          <w:sz w:val="13"/>
        </w:rPr>
        <w:t>8</w:t>
      </w:r>
      <w:r>
        <w:rPr>
          <w:spacing w:val="5"/>
          <w:w w:val="105"/>
          <w:sz w:val="13"/>
        </w:rPr>
        <w:t> </w:t>
      </w:r>
      <w:r>
        <w:rPr>
          <w:w w:val="105"/>
          <w:sz w:val="13"/>
        </w:rPr>
        <w:t>(Patricia</w:t>
      </w:r>
      <w:r>
        <w:rPr>
          <w:spacing w:val="5"/>
          <w:w w:val="105"/>
          <w:sz w:val="13"/>
        </w:rPr>
        <w:t> </w:t>
      </w:r>
      <w:r>
        <w:rPr>
          <w:w w:val="105"/>
          <w:sz w:val="13"/>
        </w:rPr>
        <w:t>Strachan);</w:t>
      </w:r>
      <w:r>
        <w:rPr>
          <w:spacing w:val="4"/>
          <w:w w:val="105"/>
          <w:sz w:val="13"/>
        </w:rPr>
        <w:t> </w:t>
      </w:r>
      <w:r>
        <w:rPr>
          <w:w w:val="105"/>
          <w:sz w:val="13"/>
        </w:rPr>
        <w:t>36</w:t>
      </w:r>
      <w:r>
        <w:rPr>
          <w:spacing w:val="5"/>
          <w:w w:val="105"/>
          <w:sz w:val="13"/>
        </w:rPr>
        <w:t> </w:t>
      </w:r>
      <w:r>
        <w:rPr>
          <w:spacing w:val="3"/>
          <w:w w:val="105"/>
          <w:sz w:val="13"/>
        </w:rPr>
        <w:t>(Law</w:t>
      </w:r>
      <w:r>
        <w:rPr>
          <w:spacing w:val="5"/>
          <w:w w:val="105"/>
          <w:sz w:val="13"/>
        </w:rPr>
        <w:t> </w:t>
      </w:r>
      <w:r>
        <w:rPr>
          <w:w w:val="105"/>
          <w:sz w:val="13"/>
        </w:rPr>
        <w:t>Society</w:t>
      </w:r>
      <w:r>
        <w:rPr>
          <w:spacing w:val="5"/>
          <w:w w:val="105"/>
          <w:sz w:val="13"/>
        </w:rPr>
        <w:t> </w:t>
      </w:r>
      <w:r>
        <w:rPr>
          <w:w w:val="105"/>
          <w:sz w:val="13"/>
        </w:rPr>
        <w:t>of</w:t>
      </w:r>
      <w:r>
        <w:rPr>
          <w:spacing w:val="4"/>
          <w:w w:val="105"/>
          <w:sz w:val="13"/>
        </w:rPr>
        <w:t> </w:t>
      </w:r>
      <w:r>
        <w:rPr>
          <w:w w:val="105"/>
          <w:sz w:val="13"/>
        </w:rPr>
        <w:t>New</w:t>
      </w:r>
      <w:r>
        <w:rPr>
          <w:spacing w:val="5"/>
          <w:w w:val="105"/>
          <w:sz w:val="13"/>
        </w:rPr>
        <w:t> </w:t>
      </w:r>
      <w:r>
        <w:rPr>
          <w:w w:val="105"/>
          <w:sz w:val="13"/>
        </w:rPr>
        <w:t>South</w:t>
      </w:r>
      <w:r>
        <w:rPr>
          <w:spacing w:val="5"/>
          <w:w w:val="105"/>
          <w:sz w:val="13"/>
        </w:rPr>
        <w:t> </w:t>
      </w:r>
      <w:r>
        <w:rPr>
          <w:w w:val="105"/>
          <w:sz w:val="13"/>
        </w:rPr>
        <w:t>Wales).</w:t>
      </w:r>
    </w:p>
    <w:p>
      <w:pPr>
        <w:pStyle w:val="ListParagraph"/>
        <w:numPr>
          <w:ilvl w:val="0"/>
          <w:numId w:val="108"/>
        </w:numPr>
        <w:tabs>
          <w:tab w:pos="2380" w:val="left" w:leader="none"/>
          <w:tab w:pos="2382" w:val="left" w:leader="none"/>
        </w:tabs>
        <w:spacing w:line="240" w:lineRule="auto" w:before="2" w:after="0"/>
        <w:ind w:left="2381" w:right="0" w:hanging="794"/>
        <w:jc w:val="left"/>
        <w:rPr>
          <w:sz w:val="13"/>
        </w:rPr>
      </w:pPr>
      <w:r>
        <w:rPr>
          <w:i/>
          <w:sz w:val="13"/>
        </w:rPr>
        <w:t>Supreme</w:t>
      </w:r>
      <w:r>
        <w:rPr>
          <w:i/>
          <w:spacing w:val="6"/>
          <w:sz w:val="13"/>
        </w:rPr>
        <w:t> </w:t>
      </w:r>
      <w:r>
        <w:rPr>
          <w:i/>
          <w:sz w:val="13"/>
        </w:rPr>
        <w:t>Court</w:t>
      </w:r>
      <w:r>
        <w:rPr>
          <w:i/>
          <w:spacing w:val="7"/>
          <w:sz w:val="13"/>
        </w:rPr>
        <w:t> </w:t>
      </w:r>
      <w:r>
        <w:rPr>
          <w:i/>
          <w:sz w:val="13"/>
        </w:rPr>
        <w:t>(Administration</w:t>
      </w:r>
      <w:r>
        <w:rPr>
          <w:i/>
          <w:spacing w:val="6"/>
          <w:sz w:val="13"/>
        </w:rPr>
        <w:t> </w:t>
      </w:r>
      <w:r>
        <w:rPr>
          <w:i/>
          <w:sz w:val="13"/>
        </w:rPr>
        <w:t>and</w:t>
      </w:r>
      <w:r>
        <w:rPr>
          <w:i/>
          <w:spacing w:val="7"/>
          <w:sz w:val="13"/>
        </w:rPr>
        <w:t> </w:t>
      </w:r>
      <w:r>
        <w:rPr>
          <w:i/>
          <w:sz w:val="13"/>
        </w:rPr>
        <w:t>Probate)</w:t>
      </w:r>
      <w:r>
        <w:rPr>
          <w:i/>
          <w:spacing w:val="6"/>
          <w:sz w:val="13"/>
        </w:rPr>
        <w:t> </w:t>
      </w:r>
      <w:r>
        <w:rPr>
          <w:i/>
          <w:sz w:val="13"/>
        </w:rPr>
        <w:t>Rules</w:t>
      </w:r>
      <w:r>
        <w:rPr>
          <w:i/>
          <w:spacing w:val="7"/>
          <w:sz w:val="13"/>
        </w:rPr>
        <w:t> </w:t>
      </w:r>
      <w:r>
        <w:rPr>
          <w:i/>
          <w:sz w:val="13"/>
        </w:rPr>
        <w:t>2004</w:t>
      </w:r>
      <w:r>
        <w:rPr>
          <w:i/>
          <w:spacing w:val="7"/>
          <w:sz w:val="13"/>
        </w:rPr>
        <w:t> </w:t>
      </w:r>
      <w:r>
        <w:rPr>
          <w:spacing w:val="2"/>
          <w:sz w:val="13"/>
        </w:rPr>
        <w:t>(Vic)</w:t>
      </w:r>
      <w:r>
        <w:rPr>
          <w:spacing w:val="8"/>
          <w:sz w:val="13"/>
        </w:rPr>
        <w:t> </w:t>
      </w:r>
      <w:r>
        <w:rPr>
          <w:sz w:val="13"/>
        </w:rPr>
        <w:t>r</w:t>
      </w:r>
      <w:r>
        <w:rPr>
          <w:spacing w:val="7"/>
          <w:sz w:val="13"/>
        </w:rPr>
        <w:t> </w:t>
      </w:r>
      <w:r>
        <w:rPr>
          <w:spacing w:val="2"/>
          <w:sz w:val="13"/>
        </w:rPr>
        <w:t>8.02(b).</w:t>
      </w:r>
    </w:p>
    <w:p>
      <w:pPr>
        <w:pStyle w:val="ListParagraph"/>
        <w:numPr>
          <w:ilvl w:val="0"/>
          <w:numId w:val="108"/>
        </w:numPr>
        <w:tabs>
          <w:tab w:pos="2381" w:val="left" w:leader="none"/>
          <w:tab w:pos="2382" w:val="left" w:leader="none"/>
        </w:tabs>
        <w:spacing w:line="240" w:lineRule="auto" w:before="1" w:after="0"/>
        <w:ind w:left="2381" w:right="0" w:hanging="794"/>
        <w:jc w:val="left"/>
        <w:rPr>
          <w:sz w:val="13"/>
        </w:rPr>
      </w:pPr>
      <w:r>
        <w:rPr>
          <w:i/>
          <w:w w:val="105"/>
          <w:sz w:val="13"/>
        </w:rPr>
        <w:t>Administration and Probate Act 1958 </w:t>
      </w:r>
      <w:r>
        <w:rPr>
          <w:spacing w:val="2"/>
          <w:w w:val="105"/>
          <w:sz w:val="13"/>
        </w:rPr>
        <w:t>(Vic) </w:t>
      </w:r>
      <w:r>
        <w:rPr>
          <w:w w:val="105"/>
          <w:sz w:val="13"/>
        </w:rPr>
        <w:t>s</w:t>
      </w:r>
      <w:r>
        <w:rPr>
          <w:spacing w:val="25"/>
          <w:w w:val="105"/>
          <w:sz w:val="13"/>
        </w:rPr>
        <w:t> </w:t>
      </w:r>
      <w:r>
        <w:rPr>
          <w:spacing w:val="2"/>
          <w:w w:val="105"/>
          <w:sz w:val="13"/>
        </w:rPr>
        <w:t>99A(3).</w:t>
      </w:r>
    </w:p>
    <w:p>
      <w:pPr>
        <w:pStyle w:val="ListParagraph"/>
        <w:numPr>
          <w:ilvl w:val="0"/>
          <w:numId w:val="108"/>
        </w:numPr>
        <w:tabs>
          <w:tab w:pos="2381" w:val="left" w:leader="none"/>
          <w:tab w:pos="2382" w:val="left" w:leader="none"/>
        </w:tabs>
        <w:spacing w:line="240" w:lineRule="auto" w:before="1" w:after="0"/>
        <w:ind w:left="2381" w:right="0" w:hanging="794"/>
        <w:jc w:val="left"/>
        <w:rPr>
          <w:sz w:val="13"/>
        </w:rPr>
      </w:pPr>
      <w:r>
        <w:rPr>
          <w:sz w:val="13"/>
        </w:rPr>
        <w:t>Ibid s</w:t>
      </w:r>
      <w:r>
        <w:rPr>
          <w:spacing w:val="12"/>
          <w:sz w:val="13"/>
        </w:rPr>
        <w:t> </w:t>
      </w:r>
      <w:r>
        <w:rPr>
          <w:spacing w:val="3"/>
          <w:sz w:val="13"/>
        </w:rPr>
        <w:t>99A(4).</w:t>
      </w:r>
    </w:p>
    <w:p>
      <w:pPr>
        <w:pStyle w:val="ListParagraph"/>
        <w:numPr>
          <w:ilvl w:val="0"/>
          <w:numId w:val="108"/>
        </w:numPr>
        <w:tabs>
          <w:tab w:pos="2381" w:val="left" w:leader="none"/>
          <w:tab w:pos="2382" w:val="left" w:leader="none"/>
        </w:tabs>
        <w:spacing w:line="240" w:lineRule="auto" w:before="2" w:after="0"/>
        <w:ind w:left="2381" w:right="0" w:hanging="794"/>
        <w:jc w:val="left"/>
        <w:rPr>
          <w:sz w:val="13"/>
        </w:rPr>
      </w:pPr>
      <w:r>
        <w:rPr>
          <w:w w:val="105"/>
          <w:sz w:val="13"/>
        </w:rPr>
        <w:t>Submission </w:t>
      </w:r>
      <w:r>
        <w:rPr>
          <w:spacing w:val="-3"/>
          <w:w w:val="105"/>
          <w:sz w:val="13"/>
        </w:rPr>
        <w:t>14 </w:t>
      </w:r>
      <w:r>
        <w:rPr>
          <w:w w:val="105"/>
          <w:sz w:val="13"/>
        </w:rPr>
        <w:t>(Commercial Bar</w:t>
      </w:r>
      <w:r>
        <w:rPr>
          <w:spacing w:val="21"/>
          <w:w w:val="105"/>
          <w:sz w:val="13"/>
        </w:rPr>
        <w:t> </w:t>
      </w:r>
      <w:r>
        <w:rPr>
          <w:spacing w:val="2"/>
          <w:w w:val="105"/>
          <w:sz w:val="13"/>
        </w:rPr>
        <w:t>Association).</w:t>
      </w:r>
    </w:p>
    <w:p>
      <w:pPr>
        <w:pStyle w:val="ListParagraph"/>
        <w:numPr>
          <w:ilvl w:val="0"/>
          <w:numId w:val="108"/>
        </w:numPr>
        <w:tabs>
          <w:tab w:pos="2381" w:val="left" w:leader="none"/>
          <w:tab w:pos="2382" w:val="left" w:leader="none"/>
        </w:tabs>
        <w:spacing w:line="240" w:lineRule="auto" w:before="1" w:after="0"/>
        <w:ind w:left="2381" w:right="0" w:hanging="794"/>
        <w:jc w:val="left"/>
        <w:rPr>
          <w:sz w:val="13"/>
        </w:rPr>
      </w:pPr>
      <w:r>
        <w:rPr>
          <w:sz w:val="13"/>
        </w:rPr>
        <w:t>Ibid.</w:t>
      </w:r>
    </w:p>
    <w:p>
      <w:pPr>
        <w:pStyle w:val="BodyText"/>
        <w:rPr>
          <w:sz w:val="28"/>
        </w:rPr>
      </w:pPr>
      <w:r>
        <w:rPr/>
        <w:br w:type="column"/>
      </w:r>
      <w:r>
        <w:rPr>
          <w:sz w:val="28"/>
        </w:rPr>
      </w:r>
    </w:p>
    <w:p>
      <w:pPr>
        <w:pStyle w:val="BodyText"/>
        <w:rPr>
          <w:sz w:val="28"/>
        </w:rPr>
      </w:pPr>
    </w:p>
    <w:p>
      <w:pPr>
        <w:pStyle w:val="BodyText"/>
        <w:rPr>
          <w:sz w:val="28"/>
        </w:rPr>
      </w:pPr>
    </w:p>
    <w:p>
      <w:pPr>
        <w:pStyle w:val="BodyText"/>
        <w:spacing w:before="4"/>
        <w:rPr>
          <w:sz w:val="29"/>
        </w:rPr>
      </w:pPr>
    </w:p>
    <w:p>
      <w:pPr>
        <w:spacing w:before="0"/>
        <w:ind w:left="602" w:right="575" w:firstLine="0"/>
        <w:jc w:val="center"/>
        <w:rPr>
          <w:b/>
          <w:sz w:val="24"/>
        </w:rPr>
      </w:pPr>
      <w:r>
        <w:rPr>
          <w:b/>
          <w:color w:val="EC5A4F"/>
          <w:w w:val="110"/>
          <w:sz w:val="24"/>
        </w:rPr>
        <w:t>135</w:t>
      </w:r>
    </w:p>
    <w:p>
      <w:pPr>
        <w:spacing w:after="0"/>
        <w:jc w:val="center"/>
        <w:rPr>
          <w:sz w:val="24"/>
        </w:rPr>
        <w:sectPr>
          <w:type w:val="continuous"/>
          <w:pgSz w:w="11910" w:h="16840"/>
          <w:pgMar w:top="920" w:bottom="280" w:left="0" w:right="0"/>
          <w:cols w:num="2" w:equalWidth="0">
            <w:col w:w="10251" w:space="40"/>
            <w:col w:w="1619"/>
          </w:cols>
        </w:sectPr>
      </w:pPr>
    </w:p>
    <w:p>
      <w:pPr>
        <w:pStyle w:val="BodyText"/>
        <w:spacing w:before="9"/>
        <w:rPr>
          <w:b/>
          <w:sz w:val="22"/>
        </w:rPr>
      </w:pPr>
    </w:p>
    <w:p>
      <w:pPr>
        <w:pStyle w:val="ListParagraph"/>
        <w:numPr>
          <w:ilvl w:val="0"/>
          <w:numId w:val="97"/>
        </w:numPr>
        <w:tabs>
          <w:tab w:pos="2381" w:val="left" w:leader="none"/>
          <w:tab w:pos="2382" w:val="left" w:leader="none"/>
        </w:tabs>
        <w:spacing w:line="240" w:lineRule="auto" w:before="92" w:after="0"/>
        <w:ind w:left="2381" w:right="0" w:hanging="794"/>
        <w:jc w:val="left"/>
        <w:rPr>
          <w:sz w:val="21"/>
        </w:rPr>
      </w:pPr>
      <w:r>
        <w:rPr>
          <w:w w:val="105"/>
          <w:sz w:val="21"/>
        </w:rPr>
        <w:t>The </w:t>
      </w:r>
      <w:r>
        <w:rPr>
          <w:spacing w:val="-3"/>
          <w:w w:val="105"/>
          <w:sz w:val="21"/>
        </w:rPr>
        <w:t>relevant provisions </w:t>
      </w:r>
      <w:r>
        <w:rPr>
          <w:w w:val="105"/>
          <w:sz w:val="21"/>
        </w:rPr>
        <w:t>of the </w:t>
      </w:r>
      <w:r>
        <w:rPr>
          <w:spacing w:val="-3"/>
          <w:w w:val="105"/>
          <w:sz w:val="21"/>
        </w:rPr>
        <w:t>Administration </w:t>
      </w:r>
      <w:r>
        <w:rPr>
          <w:w w:val="105"/>
          <w:sz w:val="21"/>
        </w:rPr>
        <w:t>and </w:t>
      </w:r>
      <w:r>
        <w:rPr>
          <w:spacing w:val="-3"/>
          <w:w w:val="105"/>
          <w:sz w:val="21"/>
        </w:rPr>
        <w:t>Probate </w:t>
      </w:r>
      <w:r>
        <w:rPr>
          <w:w w:val="105"/>
          <w:sz w:val="21"/>
        </w:rPr>
        <w:t>Act</w:t>
      </w:r>
      <w:r>
        <w:rPr>
          <w:spacing w:val="49"/>
          <w:w w:val="105"/>
          <w:sz w:val="21"/>
        </w:rPr>
        <w:t> </w:t>
      </w:r>
      <w:r>
        <w:rPr>
          <w:w w:val="105"/>
          <w:sz w:val="21"/>
        </w:rPr>
        <w:t>are:</w:t>
      </w:r>
    </w:p>
    <w:p>
      <w:pPr>
        <w:pStyle w:val="ListParagraph"/>
        <w:numPr>
          <w:ilvl w:val="1"/>
          <w:numId w:val="97"/>
        </w:numPr>
        <w:tabs>
          <w:tab w:pos="2721" w:val="left" w:leader="none"/>
          <w:tab w:pos="2722" w:val="left" w:leader="none"/>
        </w:tabs>
        <w:spacing w:line="242" w:lineRule="auto" w:before="123" w:after="0"/>
        <w:ind w:left="2721" w:right="1970" w:hanging="340"/>
        <w:jc w:val="left"/>
        <w:rPr>
          <w:sz w:val="21"/>
        </w:rPr>
      </w:pPr>
      <w:r>
        <w:rPr>
          <w:sz w:val="21"/>
        </w:rPr>
        <w:t>Section </w:t>
      </w:r>
      <w:r>
        <w:rPr>
          <w:spacing w:val="-3"/>
          <w:sz w:val="21"/>
        </w:rPr>
        <w:t>99, </w:t>
      </w:r>
      <w:r>
        <w:rPr>
          <w:sz w:val="21"/>
        </w:rPr>
        <w:t>which states </w:t>
      </w:r>
      <w:r>
        <w:rPr>
          <w:spacing w:val="-3"/>
          <w:sz w:val="21"/>
        </w:rPr>
        <w:t>that </w:t>
      </w:r>
      <w:r>
        <w:rPr>
          <w:sz w:val="21"/>
        </w:rPr>
        <w:t>no application </w:t>
      </w:r>
      <w:r>
        <w:rPr>
          <w:spacing w:val="-3"/>
          <w:sz w:val="21"/>
        </w:rPr>
        <w:t>shall </w:t>
      </w:r>
      <w:r>
        <w:rPr>
          <w:sz w:val="21"/>
        </w:rPr>
        <w:t>be </w:t>
      </w:r>
      <w:r>
        <w:rPr>
          <w:spacing w:val="-3"/>
          <w:sz w:val="21"/>
        </w:rPr>
        <w:t>heard </w:t>
      </w:r>
      <w:r>
        <w:rPr>
          <w:sz w:val="21"/>
        </w:rPr>
        <w:t>by the court unless the application is made </w:t>
      </w:r>
      <w:r>
        <w:rPr>
          <w:spacing w:val="-3"/>
          <w:sz w:val="21"/>
        </w:rPr>
        <w:t>within </w:t>
      </w:r>
      <w:r>
        <w:rPr>
          <w:sz w:val="21"/>
        </w:rPr>
        <w:t>six </w:t>
      </w:r>
      <w:r>
        <w:rPr>
          <w:spacing w:val="-3"/>
          <w:sz w:val="21"/>
        </w:rPr>
        <w:t>months </w:t>
      </w:r>
      <w:r>
        <w:rPr>
          <w:sz w:val="21"/>
        </w:rPr>
        <w:t>of the </w:t>
      </w:r>
      <w:r>
        <w:rPr>
          <w:spacing w:val="-3"/>
          <w:sz w:val="21"/>
        </w:rPr>
        <w:t>grant </w:t>
      </w:r>
      <w:r>
        <w:rPr>
          <w:sz w:val="21"/>
        </w:rPr>
        <w:t>of </w:t>
      </w:r>
      <w:r>
        <w:rPr>
          <w:spacing w:val="-2"/>
          <w:sz w:val="21"/>
        </w:rPr>
        <w:t>representation </w:t>
      </w:r>
      <w:r>
        <w:rPr>
          <w:sz w:val="21"/>
        </w:rPr>
        <w:t>or the court grants an extension of</w:t>
      </w:r>
      <w:r>
        <w:rPr>
          <w:spacing w:val="34"/>
          <w:sz w:val="21"/>
        </w:rPr>
        <w:t> </w:t>
      </w:r>
      <w:r>
        <w:rPr>
          <w:spacing w:val="-3"/>
          <w:sz w:val="21"/>
        </w:rPr>
        <w:t>time.</w:t>
      </w:r>
    </w:p>
    <w:p>
      <w:pPr>
        <w:pStyle w:val="ListParagraph"/>
        <w:numPr>
          <w:ilvl w:val="1"/>
          <w:numId w:val="97"/>
        </w:numPr>
        <w:tabs>
          <w:tab w:pos="2721" w:val="left" w:leader="none"/>
          <w:tab w:pos="2722" w:val="left" w:leader="none"/>
        </w:tabs>
        <w:spacing w:line="242" w:lineRule="auto" w:before="124" w:after="0"/>
        <w:ind w:left="2721" w:right="1943" w:hanging="340"/>
        <w:jc w:val="left"/>
        <w:rPr>
          <w:sz w:val="12"/>
        </w:rPr>
      </w:pPr>
      <w:r>
        <w:rPr>
          <w:sz w:val="21"/>
        </w:rPr>
        <w:t>Section 99A, which allows prospective </w:t>
      </w:r>
      <w:r>
        <w:rPr>
          <w:spacing w:val="-3"/>
          <w:sz w:val="21"/>
        </w:rPr>
        <w:t>family provision claimants  to  </w:t>
      </w:r>
      <w:r>
        <w:rPr>
          <w:sz w:val="21"/>
        </w:rPr>
        <w:t>provide </w:t>
      </w:r>
      <w:r>
        <w:rPr>
          <w:spacing w:val="-3"/>
          <w:sz w:val="21"/>
        </w:rPr>
        <w:t>notice</w:t>
      </w:r>
      <w:r>
        <w:rPr>
          <w:spacing w:val="41"/>
          <w:sz w:val="21"/>
        </w:rPr>
        <w:t> </w:t>
      </w:r>
      <w:r>
        <w:rPr>
          <w:spacing w:val="-3"/>
          <w:sz w:val="21"/>
        </w:rPr>
        <w:t>to </w:t>
      </w:r>
      <w:r>
        <w:rPr>
          <w:sz w:val="21"/>
        </w:rPr>
        <w:t>the personal representative and effectively extend the time in which they </w:t>
      </w:r>
      <w:r>
        <w:rPr>
          <w:spacing w:val="-3"/>
          <w:sz w:val="21"/>
        </w:rPr>
        <w:t>may </w:t>
      </w:r>
      <w:r>
        <w:rPr>
          <w:spacing w:val="-4"/>
          <w:sz w:val="21"/>
        </w:rPr>
        <w:t>make </w:t>
      </w:r>
      <w:r>
        <w:rPr>
          <w:sz w:val="21"/>
        </w:rPr>
        <w:t>a </w:t>
      </w:r>
      <w:r>
        <w:rPr>
          <w:spacing w:val="-3"/>
          <w:sz w:val="21"/>
        </w:rPr>
        <w:t>claim to nine</w:t>
      </w:r>
      <w:r>
        <w:rPr>
          <w:spacing w:val="12"/>
          <w:sz w:val="21"/>
        </w:rPr>
        <w:t> </w:t>
      </w:r>
      <w:r>
        <w:rPr>
          <w:sz w:val="21"/>
        </w:rPr>
        <w:t>months.</w:t>
      </w:r>
      <w:r>
        <w:rPr>
          <w:position w:val="7"/>
          <w:sz w:val="12"/>
        </w:rPr>
        <w:t>350</w:t>
      </w:r>
    </w:p>
    <w:p>
      <w:pPr>
        <w:pStyle w:val="ListParagraph"/>
        <w:numPr>
          <w:ilvl w:val="0"/>
          <w:numId w:val="97"/>
        </w:numPr>
        <w:tabs>
          <w:tab w:pos="2381" w:val="left" w:leader="none"/>
          <w:tab w:pos="2382" w:val="left" w:leader="none"/>
        </w:tabs>
        <w:spacing w:line="242" w:lineRule="auto" w:before="123" w:after="0"/>
        <w:ind w:left="2381" w:right="1867" w:hanging="794"/>
        <w:jc w:val="left"/>
        <w:rPr>
          <w:sz w:val="21"/>
        </w:rPr>
      </w:pPr>
      <w:r>
        <w:rPr>
          <w:sz w:val="21"/>
        </w:rPr>
        <w:t>It is </w:t>
      </w:r>
      <w:r>
        <w:rPr>
          <w:spacing w:val="-2"/>
          <w:sz w:val="21"/>
        </w:rPr>
        <w:t>not </w:t>
      </w:r>
      <w:r>
        <w:rPr>
          <w:spacing w:val="-3"/>
          <w:sz w:val="21"/>
        </w:rPr>
        <w:t>clear </w:t>
      </w:r>
      <w:r>
        <w:rPr>
          <w:sz w:val="21"/>
        </w:rPr>
        <w:t>whether someone who provides </w:t>
      </w:r>
      <w:r>
        <w:rPr>
          <w:spacing w:val="-3"/>
          <w:sz w:val="21"/>
        </w:rPr>
        <w:t>notice to </w:t>
      </w:r>
      <w:r>
        <w:rPr>
          <w:sz w:val="21"/>
        </w:rPr>
        <w:t>the personal representative of their </w:t>
      </w:r>
      <w:r>
        <w:rPr>
          <w:spacing w:val="-3"/>
          <w:sz w:val="21"/>
        </w:rPr>
        <w:t>intention to </w:t>
      </w:r>
      <w:r>
        <w:rPr>
          <w:spacing w:val="-4"/>
          <w:sz w:val="21"/>
        </w:rPr>
        <w:t>make </w:t>
      </w:r>
      <w:r>
        <w:rPr>
          <w:sz w:val="21"/>
        </w:rPr>
        <w:t>a </w:t>
      </w:r>
      <w:r>
        <w:rPr>
          <w:spacing w:val="-3"/>
          <w:sz w:val="21"/>
        </w:rPr>
        <w:t>family provision claim  within  </w:t>
      </w:r>
      <w:r>
        <w:rPr>
          <w:sz w:val="21"/>
        </w:rPr>
        <w:t>six </w:t>
      </w:r>
      <w:r>
        <w:rPr>
          <w:spacing w:val="-3"/>
          <w:sz w:val="21"/>
        </w:rPr>
        <w:t>months</w:t>
      </w:r>
      <w:r>
        <w:rPr>
          <w:spacing w:val="41"/>
          <w:sz w:val="21"/>
        </w:rPr>
        <w:t> </w:t>
      </w:r>
      <w:r>
        <w:rPr>
          <w:sz w:val="21"/>
        </w:rPr>
        <w:t>of the </w:t>
      </w:r>
      <w:r>
        <w:rPr>
          <w:spacing w:val="-3"/>
          <w:sz w:val="21"/>
        </w:rPr>
        <w:t>date  </w:t>
      </w:r>
      <w:r>
        <w:rPr>
          <w:sz w:val="21"/>
        </w:rPr>
        <w:t>of </w:t>
      </w:r>
      <w:r>
        <w:rPr>
          <w:spacing w:val="-3"/>
          <w:sz w:val="21"/>
        </w:rPr>
        <w:t>grant, </w:t>
      </w:r>
      <w:r>
        <w:rPr>
          <w:sz w:val="21"/>
        </w:rPr>
        <w:t>but does </w:t>
      </w:r>
      <w:r>
        <w:rPr>
          <w:spacing w:val="-2"/>
          <w:sz w:val="21"/>
        </w:rPr>
        <w:t>not </w:t>
      </w:r>
      <w:r>
        <w:rPr>
          <w:sz w:val="21"/>
        </w:rPr>
        <w:t>file their application in the court </w:t>
      </w:r>
      <w:r>
        <w:rPr>
          <w:spacing w:val="-3"/>
          <w:sz w:val="21"/>
        </w:rPr>
        <w:t>within that time, </w:t>
      </w:r>
      <w:r>
        <w:rPr>
          <w:sz w:val="21"/>
        </w:rPr>
        <w:t>would be </w:t>
      </w:r>
      <w:r>
        <w:rPr>
          <w:spacing w:val="-3"/>
          <w:sz w:val="21"/>
        </w:rPr>
        <w:t>required  to </w:t>
      </w:r>
      <w:r>
        <w:rPr>
          <w:sz w:val="21"/>
        </w:rPr>
        <w:t>apply </w:t>
      </w:r>
      <w:r>
        <w:rPr>
          <w:spacing w:val="-3"/>
          <w:sz w:val="21"/>
        </w:rPr>
        <w:t>to  </w:t>
      </w:r>
      <w:r>
        <w:rPr>
          <w:sz w:val="21"/>
        </w:rPr>
        <w:t>the court </w:t>
      </w:r>
      <w:r>
        <w:rPr>
          <w:spacing w:val="-3"/>
          <w:sz w:val="21"/>
        </w:rPr>
        <w:t>for</w:t>
      </w:r>
      <w:r>
        <w:rPr>
          <w:spacing w:val="41"/>
          <w:sz w:val="21"/>
        </w:rPr>
        <w:t> </w:t>
      </w:r>
      <w:r>
        <w:rPr>
          <w:sz w:val="21"/>
        </w:rPr>
        <w:t>an extension of </w:t>
      </w:r>
      <w:r>
        <w:rPr>
          <w:spacing w:val="-3"/>
          <w:sz w:val="21"/>
        </w:rPr>
        <w:t>time.  </w:t>
      </w:r>
      <w:r>
        <w:rPr>
          <w:sz w:val="21"/>
        </w:rPr>
        <w:t>It seems </w:t>
      </w:r>
      <w:r>
        <w:rPr>
          <w:spacing w:val="-5"/>
          <w:sz w:val="21"/>
        </w:rPr>
        <w:t>likely,  </w:t>
      </w:r>
      <w:r>
        <w:rPr>
          <w:spacing w:val="-4"/>
          <w:sz w:val="21"/>
        </w:rPr>
        <w:t>however,  </w:t>
      </w:r>
      <w:r>
        <w:rPr>
          <w:spacing w:val="-3"/>
          <w:sz w:val="21"/>
        </w:rPr>
        <w:t>that  </w:t>
      </w:r>
      <w:r>
        <w:rPr>
          <w:sz w:val="21"/>
        </w:rPr>
        <w:t>this </w:t>
      </w:r>
      <w:r>
        <w:rPr>
          <w:spacing w:val="-3"/>
          <w:sz w:val="21"/>
        </w:rPr>
        <w:t>provision </w:t>
      </w:r>
      <w:r>
        <w:rPr>
          <w:sz w:val="21"/>
        </w:rPr>
        <w:t>is only </w:t>
      </w:r>
      <w:r>
        <w:rPr>
          <w:spacing w:val="-3"/>
          <w:sz w:val="21"/>
        </w:rPr>
        <w:t>intended to </w:t>
      </w:r>
      <w:r>
        <w:rPr>
          <w:sz w:val="21"/>
        </w:rPr>
        <w:t>protect the personal representative </w:t>
      </w:r>
      <w:r>
        <w:rPr>
          <w:spacing w:val="-3"/>
          <w:sz w:val="21"/>
        </w:rPr>
        <w:t>for </w:t>
      </w:r>
      <w:r>
        <w:rPr>
          <w:sz w:val="21"/>
        </w:rPr>
        <w:t>certain </w:t>
      </w:r>
      <w:r>
        <w:rPr>
          <w:spacing w:val="-3"/>
          <w:sz w:val="21"/>
        </w:rPr>
        <w:t>distributions, </w:t>
      </w:r>
      <w:r>
        <w:rPr>
          <w:sz w:val="21"/>
        </w:rPr>
        <w:t>and</w:t>
      </w:r>
      <w:r>
        <w:rPr>
          <w:spacing w:val="25"/>
          <w:sz w:val="21"/>
        </w:rPr>
        <w:t> </w:t>
      </w:r>
      <w:r>
        <w:rPr>
          <w:spacing w:val="-2"/>
          <w:sz w:val="21"/>
        </w:rPr>
        <w:t>not</w:t>
      </w:r>
    </w:p>
    <w:p>
      <w:pPr>
        <w:pStyle w:val="BodyText"/>
        <w:spacing w:line="242" w:lineRule="auto" w:before="5"/>
        <w:ind w:left="2381" w:right="1711"/>
      </w:pPr>
      <w:r>
        <w:rPr/>
        <w:t>give rise </w:t>
      </w:r>
      <w:r>
        <w:rPr>
          <w:spacing w:val="-3"/>
        </w:rPr>
        <w:t>to </w:t>
      </w:r>
      <w:r>
        <w:rPr/>
        <w:t>an extension of time without court </w:t>
      </w:r>
      <w:r>
        <w:rPr>
          <w:spacing w:val="-4"/>
        </w:rPr>
        <w:t>order. </w:t>
      </w:r>
      <w:r>
        <w:rPr/>
        <w:t>The </w:t>
      </w:r>
      <w:r>
        <w:rPr>
          <w:spacing w:val="-3"/>
        </w:rPr>
        <w:t>Commission </w:t>
      </w:r>
      <w:r>
        <w:rPr/>
        <w:t>considers </w:t>
      </w:r>
      <w:r>
        <w:rPr>
          <w:spacing w:val="-3"/>
        </w:rPr>
        <w:t>that </w:t>
      </w:r>
      <w:r>
        <w:rPr/>
        <w:t>the </w:t>
      </w:r>
      <w:r>
        <w:rPr>
          <w:spacing w:val="-3"/>
        </w:rPr>
        <w:t>interaction </w:t>
      </w:r>
      <w:r>
        <w:rPr/>
        <w:t>between the </w:t>
      </w:r>
      <w:r>
        <w:rPr>
          <w:spacing w:val="-3"/>
        </w:rPr>
        <w:t>relevant provisions </w:t>
      </w:r>
      <w:r>
        <w:rPr/>
        <w:t>should be clarified </w:t>
      </w:r>
      <w:r>
        <w:rPr>
          <w:spacing w:val="-3"/>
        </w:rPr>
        <w:t>to </w:t>
      </w:r>
      <w:r>
        <w:rPr/>
        <w:t>specify </w:t>
      </w:r>
      <w:r>
        <w:rPr>
          <w:spacing w:val="-3"/>
        </w:rPr>
        <w:t>that  </w:t>
      </w:r>
      <w:r>
        <w:rPr/>
        <w:t>they </w:t>
      </w:r>
      <w:r>
        <w:rPr>
          <w:spacing w:val="-3"/>
        </w:rPr>
        <w:t>relate </w:t>
      </w:r>
      <w:r>
        <w:rPr/>
        <w:t>only </w:t>
      </w:r>
      <w:r>
        <w:rPr>
          <w:spacing w:val="-3"/>
        </w:rPr>
        <w:t>to </w:t>
      </w:r>
      <w:r>
        <w:rPr/>
        <w:t>the </w:t>
      </w:r>
      <w:r>
        <w:rPr>
          <w:spacing w:val="-3"/>
        </w:rPr>
        <w:t>liability </w:t>
      </w:r>
      <w:r>
        <w:rPr/>
        <w:t>of personal representatives </w:t>
      </w:r>
      <w:r>
        <w:rPr>
          <w:spacing w:val="-3"/>
        </w:rPr>
        <w:t>for distributions made,  </w:t>
      </w:r>
      <w:r>
        <w:rPr/>
        <w:t>and do </w:t>
      </w:r>
      <w:r>
        <w:rPr>
          <w:spacing w:val="-2"/>
        </w:rPr>
        <w:t>not</w:t>
      </w:r>
      <w:r>
        <w:rPr>
          <w:spacing w:val="43"/>
        </w:rPr>
        <w:t> </w:t>
      </w:r>
      <w:r>
        <w:rPr/>
        <w:t>give rise </w:t>
      </w:r>
      <w:r>
        <w:rPr>
          <w:spacing w:val="-3"/>
        </w:rPr>
        <w:t>to</w:t>
      </w:r>
      <w:r>
        <w:rPr>
          <w:spacing w:val="12"/>
        </w:rPr>
        <w:t> </w:t>
      </w:r>
      <w:r>
        <w:rPr/>
        <w:t>a</w:t>
      </w:r>
      <w:r>
        <w:rPr>
          <w:spacing w:val="12"/>
        </w:rPr>
        <w:t> </w:t>
      </w:r>
      <w:r>
        <w:rPr/>
        <w:t>nine-month</w:t>
      </w:r>
      <w:r>
        <w:rPr>
          <w:spacing w:val="13"/>
        </w:rPr>
        <w:t> </w:t>
      </w:r>
      <w:r>
        <w:rPr/>
        <w:t>period</w:t>
      </w:r>
      <w:r>
        <w:rPr>
          <w:spacing w:val="12"/>
        </w:rPr>
        <w:t> </w:t>
      </w:r>
      <w:r>
        <w:rPr>
          <w:spacing w:val="-3"/>
        </w:rPr>
        <w:t>within</w:t>
      </w:r>
      <w:r>
        <w:rPr>
          <w:spacing w:val="13"/>
        </w:rPr>
        <w:t> </w:t>
      </w:r>
      <w:r>
        <w:rPr/>
        <w:t>which</w:t>
      </w:r>
      <w:r>
        <w:rPr>
          <w:spacing w:val="12"/>
        </w:rPr>
        <w:t> </w:t>
      </w:r>
      <w:r>
        <w:rPr>
          <w:spacing w:val="-3"/>
        </w:rPr>
        <w:t>to</w:t>
      </w:r>
      <w:r>
        <w:rPr>
          <w:spacing w:val="12"/>
        </w:rPr>
        <w:t> </w:t>
      </w:r>
      <w:r>
        <w:rPr>
          <w:spacing w:val="-4"/>
        </w:rPr>
        <w:t>make</w:t>
      </w:r>
      <w:r>
        <w:rPr>
          <w:spacing w:val="13"/>
        </w:rPr>
        <w:t> </w:t>
      </w:r>
      <w:r>
        <w:rPr/>
        <w:t>a</w:t>
      </w:r>
      <w:r>
        <w:rPr>
          <w:spacing w:val="12"/>
        </w:rPr>
        <w:t> </w:t>
      </w:r>
      <w:r>
        <w:rPr>
          <w:spacing w:val="-3"/>
        </w:rPr>
        <w:t>family</w:t>
      </w:r>
      <w:r>
        <w:rPr>
          <w:spacing w:val="13"/>
        </w:rPr>
        <w:t> </w:t>
      </w:r>
      <w:r>
        <w:rPr>
          <w:spacing w:val="-3"/>
        </w:rPr>
        <w:t>provision</w:t>
      </w:r>
      <w:r>
        <w:rPr>
          <w:spacing w:val="12"/>
        </w:rPr>
        <w:t> </w:t>
      </w:r>
      <w:r>
        <w:rPr>
          <w:spacing w:val="-3"/>
        </w:rPr>
        <w:t>claim.</w:t>
      </w:r>
    </w:p>
    <w:p>
      <w:pPr>
        <w:pStyle w:val="BodyText"/>
        <w:spacing w:before="1"/>
        <w:rPr>
          <w:sz w:val="16"/>
        </w:rPr>
      </w:pPr>
      <w:r>
        <w:rPr/>
        <w:pict>
          <v:group style="position:absolute;margin-left:62.362202pt;margin-top:11.771533pt;width:479.1pt;height:134.550pt;mso-position-horizontal-relative:page;mso-position-vertical-relative:paragraph;z-index:8480;mso-wrap-distance-left:0;mso-wrap-distance-right:0" coordorigin="1247,235" coordsize="9582,2691">
            <v:rect style="position:absolute;left:1587;top:235;width:8731;height:2691" filled="true" fillcolor="#fdebea" stroked="false">
              <v:fill type="solid"/>
            </v:rect>
            <v:line style="position:absolute" from="1247,986" to="10828,986" stroked="true" strokeweight="2.5pt" strokecolor="#ffffff">
              <v:stroke dashstyle="solid"/>
            </v:line>
            <v:shape style="position:absolute;left:2381;top:1223;width:7667;height:1530" type="#_x0000_t202" filled="false" stroked="false">
              <v:textbox inset="0,0,0,0">
                <w:txbxContent>
                  <w:p>
                    <w:pPr>
                      <w:spacing w:line="242" w:lineRule="auto" w:before="0"/>
                      <w:ind w:left="0" w:right="0" w:firstLine="0"/>
                      <w:jc w:val="left"/>
                      <w:rPr>
                        <w:sz w:val="21"/>
                      </w:rPr>
                    </w:pPr>
                    <w:r>
                      <w:rPr>
                        <w:w w:val="105"/>
                        <w:sz w:val="21"/>
                      </w:rPr>
                      <w:t>Section</w:t>
                    </w:r>
                    <w:r>
                      <w:rPr>
                        <w:spacing w:val="-6"/>
                        <w:w w:val="105"/>
                        <w:sz w:val="21"/>
                      </w:rPr>
                      <w:t> </w:t>
                    </w:r>
                    <w:r>
                      <w:rPr>
                        <w:w w:val="105"/>
                        <w:sz w:val="21"/>
                      </w:rPr>
                      <w:t>99A</w:t>
                    </w:r>
                    <w:r>
                      <w:rPr>
                        <w:spacing w:val="-6"/>
                        <w:w w:val="105"/>
                        <w:sz w:val="21"/>
                      </w:rPr>
                      <w:t> </w:t>
                    </w:r>
                    <w:r>
                      <w:rPr>
                        <w:w w:val="105"/>
                        <w:sz w:val="21"/>
                      </w:rPr>
                      <w:t>of</w:t>
                    </w:r>
                    <w:r>
                      <w:rPr>
                        <w:spacing w:val="-6"/>
                        <w:w w:val="105"/>
                        <w:sz w:val="21"/>
                      </w:rPr>
                      <w:t> </w:t>
                    </w:r>
                    <w:r>
                      <w:rPr>
                        <w:w w:val="105"/>
                        <w:sz w:val="21"/>
                      </w:rPr>
                      <w:t>the</w:t>
                    </w:r>
                    <w:r>
                      <w:rPr>
                        <w:spacing w:val="-5"/>
                        <w:w w:val="105"/>
                        <w:sz w:val="21"/>
                      </w:rPr>
                      <w:t> </w:t>
                    </w:r>
                    <w:r>
                      <w:rPr>
                        <w:rFonts w:ascii="Lucida Sans"/>
                        <w:i/>
                        <w:w w:val="105"/>
                        <w:sz w:val="21"/>
                      </w:rPr>
                      <w:t>Administration</w:t>
                    </w:r>
                    <w:r>
                      <w:rPr>
                        <w:rFonts w:ascii="Lucida Sans"/>
                        <w:i/>
                        <w:spacing w:val="-26"/>
                        <w:w w:val="105"/>
                        <w:sz w:val="21"/>
                      </w:rPr>
                      <w:t> </w:t>
                    </w:r>
                    <w:r>
                      <w:rPr>
                        <w:rFonts w:ascii="Lucida Sans"/>
                        <w:i/>
                        <w:w w:val="105"/>
                        <w:sz w:val="21"/>
                      </w:rPr>
                      <w:t>and</w:t>
                    </w:r>
                    <w:r>
                      <w:rPr>
                        <w:rFonts w:ascii="Lucida Sans"/>
                        <w:i/>
                        <w:spacing w:val="-26"/>
                        <w:w w:val="105"/>
                        <w:sz w:val="21"/>
                      </w:rPr>
                      <w:t> </w:t>
                    </w:r>
                    <w:r>
                      <w:rPr>
                        <w:rFonts w:ascii="Lucida Sans"/>
                        <w:i/>
                        <w:w w:val="105"/>
                        <w:sz w:val="21"/>
                      </w:rPr>
                      <w:t>Probate</w:t>
                    </w:r>
                    <w:r>
                      <w:rPr>
                        <w:rFonts w:ascii="Lucida Sans"/>
                        <w:i/>
                        <w:spacing w:val="-26"/>
                        <w:w w:val="105"/>
                        <w:sz w:val="21"/>
                      </w:rPr>
                      <w:t> </w:t>
                    </w:r>
                    <w:r>
                      <w:rPr>
                        <w:rFonts w:ascii="Lucida Sans"/>
                        <w:i/>
                        <w:w w:val="105"/>
                        <w:sz w:val="21"/>
                      </w:rPr>
                      <w:t>Act</w:t>
                    </w:r>
                    <w:r>
                      <w:rPr>
                        <w:rFonts w:ascii="Lucida Sans"/>
                        <w:i/>
                        <w:spacing w:val="-25"/>
                        <w:w w:val="105"/>
                        <w:sz w:val="21"/>
                      </w:rPr>
                      <w:t> </w:t>
                    </w:r>
                    <w:r>
                      <w:rPr>
                        <w:rFonts w:ascii="Lucida Sans"/>
                        <w:i/>
                        <w:spacing w:val="-4"/>
                        <w:w w:val="105"/>
                        <w:sz w:val="21"/>
                      </w:rPr>
                      <w:t>1958</w:t>
                    </w:r>
                    <w:r>
                      <w:rPr>
                        <w:rFonts w:ascii="Lucida Sans"/>
                        <w:i/>
                        <w:spacing w:val="-26"/>
                        <w:w w:val="105"/>
                        <w:sz w:val="21"/>
                      </w:rPr>
                      <w:t> </w:t>
                    </w:r>
                    <w:r>
                      <w:rPr>
                        <w:w w:val="105"/>
                        <w:sz w:val="21"/>
                      </w:rPr>
                      <w:t>(Vic)</w:t>
                    </w:r>
                    <w:r>
                      <w:rPr>
                        <w:spacing w:val="-6"/>
                        <w:w w:val="105"/>
                        <w:sz w:val="21"/>
                      </w:rPr>
                      <w:t> </w:t>
                    </w:r>
                    <w:r>
                      <w:rPr>
                        <w:w w:val="105"/>
                        <w:sz w:val="21"/>
                      </w:rPr>
                      <w:t>should</w:t>
                    </w:r>
                    <w:r>
                      <w:rPr>
                        <w:spacing w:val="-5"/>
                        <w:w w:val="105"/>
                        <w:sz w:val="21"/>
                      </w:rPr>
                      <w:t> </w:t>
                    </w:r>
                    <w:r>
                      <w:rPr>
                        <w:w w:val="105"/>
                        <w:sz w:val="21"/>
                      </w:rPr>
                      <w:t>be amended to clarify</w:t>
                    </w:r>
                    <w:r>
                      <w:rPr>
                        <w:spacing w:val="22"/>
                        <w:w w:val="105"/>
                        <w:sz w:val="21"/>
                      </w:rPr>
                      <w:t> </w:t>
                    </w:r>
                    <w:r>
                      <w:rPr>
                        <w:w w:val="105"/>
                        <w:sz w:val="21"/>
                      </w:rPr>
                      <w:t>that:</w:t>
                    </w:r>
                  </w:p>
                  <w:p>
                    <w:pPr>
                      <w:numPr>
                        <w:ilvl w:val="0"/>
                        <w:numId w:val="109"/>
                      </w:numPr>
                      <w:tabs>
                        <w:tab w:pos="341" w:val="left" w:leader="none"/>
                      </w:tabs>
                      <w:spacing w:before="115"/>
                      <w:ind w:left="340" w:right="0" w:hanging="340"/>
                      <w:jc w:val="left"/>
                      <w:rPr>
                        <w:sz w:val="21"/>
                      </w:rPr>
                    </w:pPr>
                    <w:r>
                      <w:rPr>
                        <w:w w:val="115"/>
                        <w:sz w:val="21"/>
                      </w:rPr>
                      <w:t>it relates only to protection of personal representatives,</w:t>
                    </w:r>
                    <w:r>
                      <w:rPr>
                        <w:spacing w:val="-18"/>
                        <w:w w:val="115"/>
                        <w:sz w:val="21"/>
                      </w:rPr>
                      <w:t> </w:t>
                    </w:r>
                    <w:r>
                      <w:rPr>
                        <w:w w:val="115"/>
                        <w:sz w:val="21"/>
                      </w:rPr>
                      <w:t>and</w:t>
                    </w:r>
                  </w:p>
                  <w:p>
                    <w:pPr>
                      <w:numPr>
                        <w:ilvl w:val="0"/>
                        <w:numId w:val="109"/>
                      </w:numPr>
                      <w:tabs>
                        <w:tab w:pos="341" w:val="left" w:leader="none"/>
                      </w:tabs>
                      <w:spacing w:before="124"/>
                      <w:ind w:left="340" w:right="18" w:hanging="340"/>
                      <w:jc w:val="left"/>
                      <w:rPr>
                        <w:sz w:val="21"/>
                      </w:rPr>
                    </w:pPr>
                    <w:r>
                      <w:rPr>
                        <w:w w:val="105"/>
                        <w:sz w:val="21"/>
                      </w:rPr>
                      <w:t>it does not  affect  the  </w:t>
                    </w:r>
                    <w:r>
                      <w:rPr>
                        <w:spacing w:val="-3"/>
                        <w:w w:val="105"/>
                        <w:sz w:val="21"/>
                      </w:rPr>
                      <w:t>time  within  which  </w:t>
                    </w:r>
                    <w:r>
                      <w:rPr>
                        <w:w w:val="105"/>
                        <w:sz w:val="21"/>
                      </w:rPr>
                      <w:t>a  </w:t>
                    </w:r>
                    <w:r>
                      <w:rPr>
                        <w:spacing w:val="-4"/>
                        <w:w w:val="105"/>
                        <w:sz w:val="21"/>
                      </w:rPr>
                      <w:t>family  </w:t>
                    </w:r>
                    <w:r>
                      <w:rPr>
                        <w:spacing w:val="-3"/>
                        <w:w w:val="105"/>
                        <w:sz w:val="21"/>
                      </w:rPr>
                      <w:t>provision  application  </w:t>
                    </w:r>
                    <w:r>
                      <w:rPr>
                        <w:w w:val="105"/>
                        <w:sz w:val="21"/>
                      </w:rPr>
                      <w:t>must be</w:t>
                    </w:r>
                    <w:r>
                      <w:rPr>
                        <w:spacing w:val="-6"/>
                        <w:w w:val="105"/>
                        <w:sz w:val="21"/>
                      </w:rPr>
                      <w:t> </w:t>
                    </w:r>
                    <w:r>
                      <w:rPr>
                        <w:w w:val="105"/>
                        <w:sz w:val="21"/>
                      </w:rPr>
                      <w:t>made</w:t>
                    </w:r>
                    <w:r>
                      <w:rPr>
                        <w:spacing w:val="-5"/>
                        <w:w w:val="105"/>
                        <w:sz w:val="21"/>
                      </w:rPr>
                      <w:t> </w:t>
                    </w:r>
                    <w:r>
                      <w:rPr>
                        <w:w w:val="105"/>
                        <w:sz w:val="21"/>
                      </w:rPr>
                      <w:t>under</w:t>
                    </w:r>
                    <w:r>
                      <w:rPr>
                        <w:spacing w:val="-6"/>
                        <w:w w:val="105"/>
                        <w:sz w:val="21"/>
                      </w:rPr>
                      <w:t> </w:t>
                    </w:r>
                    <w:r>
                      <w:rPr>
                        <w:w w:val="105"/>
                        <w:sz w:val="21"/>
                      </w:rPr>
                      <w:t>section</w:t>
                    </w:r>
                    <w:r>
                      <w:rPr>
                        <w:spacing w:val="-5"/>
                        <w:w w:val="105"/>
                        <w:sz w:val="21"/>
                      </w:rPr>
                      <w:t> </w:t>
                    </w:r>
                    <w:r>
                      <w:rPr>
                        <w:w w:val="105"/>
                        <w:sz w:val="21"/>
                      </w:rPr>
                      <w:t>99</w:t>
                    </w:r>
                    <w:r>
                      <w:rPr>
                        <w:spacing w:val="-5"/>
                        <w:w w:val="105"/>
                        <w:sz w:val="21"/>
                      </w:rPr>
                      <w:t> </w:t>
                    </w:r>
                    <w:r>
                      <w:rPr>
                        <w:w w:val="105"/>
                        <w:sz w:val="21"/>
                      </w:rPr>
                      <w:t>of</w:t>
                    </w:r>
                    <w:r>
                      <w:rPr>
                        <w:spacing w:val="-6"/>
                        <w:w w:val="105"/>
                        <w:sz w:val="21"/>
                      </w:rPr>
                      <w:t> </w:t>
                    </w:r>
                    <w:r>
                      <w:rPr>
                        <w:w w:val="105"/>
                        <w:sz w:val="21"/>
                      </w:rPr>
                      <w:t>the</w:t>
                    </w:r>
                    <w:r>
                      <w:rPr>
                        <w:spacing w:val="-5"/>
                        <w:w w:val="105"/>
                        <w:sz w:val="21"/>
                      </w:rPr>
                      <w:t> </w:t>
                    </w:r>
                    <w:r>
                      <w:rPr>
                        <w:rFonts w:ascii="Lucida Sans"/>
                        <w:i/>
                        <w:spacing w:val="-3"/>
                        <w:w w:val="105"/>
                        <w:sz w:val="21"/>
                      </w:rPr>
                      <w:t>Administration</w:t>
                    </w:r>
                    <w:r>
                      <w:rPr>
                        <w:rFonts w:ascii="Lucida Sans"/>
                        <w:i/>
                        <w:spacing w:val="-26"/>
                        <w:w w:val="105"/>
                        <w:sz w:val="21"/>
                      </w:rPr>
                      <w:t> </w:t>
                    </w:r>
                    <w:r>
                      <w:rPr>
                        <w:rFonts w:ascii="Lucida Sans"/>
                        <w:i/>
                        <w:spacing w:val="-2"/>
                        <w:w w:val="105"/>
                        <w:sz w:val="21"/>
                      </w:rPr>
                      <w:t>and</w:t>
                    </w:r>
                    <w:r>
                      <w:rPr>
                        <w:rFonts w:ascii="Lucida Sans"/>
                        <w:i/>
                        <w:spacing w:val="-25"/>
                        <w:w w:val="105"/>
                        <w:sz w:val="21"/>
                      </w:rPr>
                      <w:t> </w:t>
                    </w:r>
                    <w:r>
                      <w:rPr>
                        <w:rFonts w:ascii="Lucida Sans"/>
                        <w:i/>
                        <w:w w:val="105"/>
                        <w:sz w:val="21"/>
                      </w:rPr>
                      <w:t>Probate</w:t>
                    </w:r>
                    <w:r>
                      <w:rPr>
                        <w:rFonts w:ascii="Lucida Sans"/>
                        <w:i/>
                        <w:spacing w:val="-25"/>
                        <w:w w:val="105"/>
                        <w:sz w:val="21"/>
                      </w:rPr>
                      <w:t> </w:t>
                    </w:r>
                    <w:r>
                      <w:rPr>
                        <w:rFonts w:ascii="Lucida Sans"/>
                        <w:i/>
                        <w:w w:val="105"/>
                        <w:sz w:val="21"/>
                      </w:rPr>
                      <w:t>Act</w:t>
                    </w:r>
                    <w:r>
                      <w:rPr>
                        <w:rFonts w:ascii="Lucida Sans"/>
                        <w:i/>
                        <w:spacing w:val="-26"/>
                        <w:w w:val="105"/>
                        <w:sz w:val="21"/>
                      </w:rPr>
                      <w:t> </w:t>
                    </w:r>
                    <w:r>
                      <w:rPr>
                        <w:rFonts w:ascii="Lucida Sans"/>
                        <w:i/>
                        <w:spacing w:val="-5"/>
                        <w:w w:val="105"/>
                        <w:sz w:val="21"/>
                      </w:rPr>
                      <w:t>1958</w:t>
                    </w:r>
                    <w:r>
                      <w:rPr>
                        <w:rFonts w:ascii="Lucida Sans"/>
                        <w:i/>
                        <w:spacing w:val="-25"/>
                        <w:w w:val="105"/>
                        <w:sz w:val="21"/>
                      </w:rPr>
                      <w:t> </w:t>
                    </w:r>
                    <w:r>
                      <w:rPr>
                        <w:w w:val="105"/>
                        <w:sz w:val="21"/>
                      </w:rPr>
                      <w:t>(Vic).</w:t>
                    </w:r>
                  </w:p>
                </w:txbxContent>
              </v:textbox>
              <w10:wrap type="none"/>
            </v:shape>
            <v:shape style="position:absolute;left:1814;top:1223;width:252;height:249" type="#_x0000_t202" filled="false" stroked="false">
              <v:textbox inset="0,0,0,0">
                <w:txbxContent>
                  <w:p>
                    <w:pPr>
                      <w:spacing w:line="249" w:lineRule="exact" w:before="0"/>
                      <w:ind w:left="0" w:right="0" w:firstLine="0"/>
                      <w:jc w:val="left"/>
                      <w:rPr>
                        <w:sz w:val="21"/>
                      </w:rPr>
                    </w:pPr>
                    <w:r>
                      <w:rPr>
                        <w:w w:val="110"/>
                        <w:sz w:val="21"/>
                      </w:rPr>
                      <w:t>49</w:t>
                    </w:r>
                  </w:p>
                </w:txbxContent>
              </v:textbox>
              <w10:wrap type="none"/>
            </v:shape>
            <v:shape style="position:absolute;left:1587;top:235;width:8731;height:726" type="#_x0000_t202" filled="true" fillcolor="#fdebea" stroked="false">
              <v:textbox inset="0,0,0,0">
                <w:txbxContent>
                  <w:p>
                    <w:pPr>
                      <w:spacing w:before="166"/>
                      <w:ind w:left="226" w:right="0" w:firstLine="0"/>
                      <w:jc w:val="left"/>
                      <w:rPr>
                        <w:b/>
                        <w:sz w:val="32"/>
                      </w:rPr>
                    </w:pPr>
                    <w:r>
                      <w:rPr>
                        <w:b/>
                        <w:color w:val="EC5A4F"/>
                        <w:w w:val="110"/>
                        <w:sz w:val="32"/>
                      </w:rPr>
                      <w:t>Recommendation</w:t>
                    </w:r>
                  </w:p>
                </w:txbxContent>
              </v:textbox>
              <v:fill type="solid"/>
              <w10:wrap type="none"/>
            </v:shape>
            <w10:wrap type="topAndBottom"/>
          </v:group>
        </w:pict>
      </w:r>
    </w:p>
    <w:p>
      <w:pPr>
        <w:pStyle w:val="ListParagraph"/>
        <w:numPr>
          <w:ilvl w:val="0"/>
          <w:numId w:val="97"/>
        </w:numPr>
        <w:tabs>
          <w:tab w:pos="2381" w:val="left" w:leader="none"/>
          <w:tab w:pos="2382" w:val="left" w:leader="none"/>
        </w:tabs>
        <w:spacing w:line="242" w:lineRule="auto" w:before="150" w:after="0"/>
        <w:ind w:left="2381" w:right="1789" w:hanging="794"/>
        <w:jc w:val="left"/>
        <w:rPr>
          <w:sz w:val="21"/>
        </w:rPr>
      </w:pPr>
      <w:r>
        <w:rPr>
          <w:w w:val="105"/>
          <w:sz w:val="21"/>
        </w:rPr>
        <w:t>The </w:t>
      </w:r>
      <w:r>
        <w:rPr>
          <w:spacing w:val="-4"/>
          <w:w w:val="105"/>
          <w:sz w:val="21"/>
        </w:rPr>
        <w:t>Commercial </w:t>
      </w:r>
      <w:r>
        <w:rPr>
          <w:w w:val="105"/>
          <w:sz w:val="21"/>
        </w:rPr>
        <w:t>Bar Association also </w:t>
      </w:r>
      <w:r>
        <w:rPr>
          <w:spacing w:val="-3"/>
          <w:w w:val="105"/>
          <w:sz w:val="21"/>
        </w:rPr>
        <w:t>pointed </w:t>
      </w:r>
      <w:r>
        <w:rPr>
          <w:w w:val="105"/>
          <w:sz w:val="21"/>
        </w:rPr>
        <w:t>out </w:t>
      </w:r>
      <w:r>
        <w:rPr>
          <w:spacing w:val="-3"/>
          <w:w w:val="105"/>
          <w:sz w:val="21"/>
        </w:rPr>
        <w:t>that </w:t>
      </w:r>
      <w:r>
        <w:rPr>
          <w:w w:val="105"/>
          <w:sz w:val="21"/>
        </w:rPr>
        <w:t>section 99 of the </w:t>
      </w:r>
      <w:r>
        <w:rPr>
          <w:spacing w:val="-3"/>
          <w:w w:val="105"/>
          <w:sz w:val="21"/>
        </w:rPr>
        <w:t>Administration </w:t>
      </w:r>
      <w:r>
        <w:rPr>
          <w:w w:val="105"/>
          <w:sz w:val="21"/>
        </w:rPr>
        <w:t>and </w:t>
      </w:r>
      <w:r>
        <w:rPr>
          <w:spacing w:val="-3"/>
          <w:w w:val="105"/>
          <w:sz w:val="21"/>
        </w:rPr>
        <w:t>Probate </w:t>
      </w:r>
      <w:r>
        <w:rPr>
          <w:w w:val="105"/>
          <w:sz w:val="21"/>
        </w:rPr>
        <w:t>Act still refers </w:t>
      </w:r>
      <w:r>
        <w:rPr>
          <w:spacing w:val="-3"/>
          <w:w w:val="105"/>
          <w:sz w:val="21"/>
        </w:rPr>
        <w:t>to </w:t>
      </w:r>
      <w:r>
        <w:rPr>
          <w:w w:val="105"/>
          <w:sz w:val="21"/>
        </w:rPr>
        <w:t>Part V of the </w:t>
      </w:r>
      <w:r>
        <w:rPr>
          <w:spacing w:val="-3"/>
          <w:w w:val="105"/>
          <w:sz w:val="21"/>
        </w:rPr>
        <w:t>Administration </w:t>
      </w:r>
      <w:r>
        <w:rPr>
          <w:w w:val="105"/>
          <w:sz w:val="21"/>
        </w:rPr>
        <w:t>and </w:t>
      </w:r>
      <w:r>
        <w:rPr>
          <w:spacing w:val="-3"/>
          <w:w w:val="105"/>
          <w:sz w:val="21"/>
        </w:rPr>
        <w:t>Probate </w:t>
      </w:r>
      <w:r>
        <w:rPr>
          <w:w w:val="105"/>
          <w:sz w:val="21"/>
        </w:rPr>
        <w:t>Act.</w:t>
      </w:r>
      <w:r>
        <w:rPr>
          <w:w w:val="105"/>
          <w:position w:val="7"/>
          <w:sz w:val="12"/>
        </w:rPr>
        <w:t>351 </w:t>
      </w:r>
      <w:r>
        <w:rPr>
          <w:w w:val="105"/>
          <w:sz w:val="21"/>
        </w:rPr>
        <w:t>Part V </w:t>
      </w:r>
      <w:r>
        <w:rPr>
          <w:spacing w:val="-3"/>
          <w:w w:val="105"/>
          <w:sz w:val="21"/>
        </w:rPr>
        <w:t>previously</w:t>
      </w:r>
      <w:r>
        <w:rPr>
          <w:spacing w:val="-9"/>
          <w:w w:val="105"/>
          <w:sz w:val="21"/>
        </w:rPr>
        <w:t> </w:t>
      </w:r>
      <w:r>
        <w:rPr>
          <w:w w:val="105"/>
          <w:sz w:val="21"/>
        </w:rPr>
        <w:t>dealt</w:t>
      </w:r>
      <w:r>
        <w:rPr>
          <w:spacing w:val="-9"/>
          <w:w w:val="105"/>
          <w:sz w:val="21"/>
        </w:rPr>
        <w:t> </w:t>
      </w:r>
      <w:r>
        <w:rPr>
          <w:w w:val="105"/>
          <w:sz w:val="21"/>
        </w:rPr>
        <w:t>with</w:t>
      </w:r>
      <w:r>
        <w:rPr>
          <w:spacing w:val="-9"/>
          <w:w w:val="105"/>
          <w:sz w:val="21"/>
        </w:rPr>
        <w:t> </w:t>
      </w:r>
      <w:r>
        <w:rPr>
          <w:w w:val="105"/>
          <w:sz w:val="21"/>
        </w:rPr>
        <w:t>witness</w:t>
      </w:r>
      <w:r>
        <w:rPr>
          <w:spacing w:val="-9"/>
          <w:w w:val="105"/>
          <w:sz w:val="21"/>
        </w:rPr>
        <w:t> </w:t>
      </w:r>
      <w:r>
        <w:rPr>
          <w:w w:val="105"/>
          <w:sz w:val="21"/>
        </w:rPr>
        <w:t>beneficiaries</w:t>
      </w:r>
      <w:r>
        <w:rPr>
          <w:spacing w:val="-9"/>
          <w:w w:val="105"/>
          <w:sz w:val="21"/>
        </w:rPr>
        <w:t> </w:t>
      </w:r>
      <w:r>
        <w:rPr>
          <w:w w:val="105"/>
          <w:sz w:val="21"/>
        </w:rPr>
        <w:t>and</w:t>
      </w:r>
      <w:r>
        <w:rPr>
          <w:spacing w:val="-9"/>
          <w:w w:val="105"/>
          <w:sz w:val="21"/>
        </w:rPr>
        <w:t> </w:t>
      </w:r>
      <w:r>
        <w:rPr>
          <w:w w:val="105"/>
          <w:sz w:val="21"/>
        </w:rPr>
        <w:t>was</w:t>
      </w:r>
      <w:r>
        <w:rPr>
          <w:spacing w:val="-9"/>
          <w:w w:val="105"/>
          <w:sz w:val="21"/>
        </w:rPr>
        <w:t> </w:t>
      </w:r>
      <w:r>
        <w:rPr>
          <w:w w:val="105"/>
          <w:sz w:val="21"/>
        </w:rPr>
        <w:t>repealed</w:t>
      </w:r>
      <w:r>
        <w:rPr>
          <w:spacing w:val="-8"/>
          <w:w w:val="105"/>
          <w:sz w:val="21"/>
        </w:rPr>
        <w:t> </w:t>
      </w:r>
      <w:r>
        <w:rPr>
          <w:w w:val="105"/>
          <w:sz w:val="21"/>
        </w:rPr>
        <w:t>by</w:t>
      </w:r>
      <w:r>
        <w:rPr>
          <w:spacing w:val="-9"/>
          <w:w w:val="105"/>
          <w:sz w:val="21"/>
        </w:rPr>
        <w:t> </w:t>
      </w:r>
      <w:r>
        <w:rPr>
          <w:w w:val="105"/>
          <w:sz w:val="21"/>
        </w:rPr>
        <w:t>the</w:t>
      </w:r>
      <w:r>
        <w:rPr>
          <w:spacing w:val="-9"/>
          <w:w w:val="105"/>
          <w:sz w:val="21"/>
        </w:rPr>
        <w:t> </w:t>
      </w:r>
      <w:r>
        <w:rPr>
          <w:i/>
          <w:w w:val="105"/>
          <w:sz w:val="21"/>
        </w:rPr>
        <w:t>Wills</w:t>
      </w:r>
      <w:r>
        <w:rPr>
          <w:i/>
          <w:spacing w:val="-7"/>
          <w:w w:val="105"/>
          <w:sz w:val="21"/>
        </w:rPr>
        <w:t> </w:t>
      </w:r>
      <w:r>
        <w:rPr>
          <w:i/>
          <w:w w:val="105"/>
          <w:sz w:val="21"/>
        </w:rPr>
        <w:t>Act</w:t>
      </w:r>
      <w:r>
        <w:rPr>
          <w:i/>
          <w:spacing w:val="-8"/>
          <w:w w:val="105"/>
          <w:sz w:val="21"/>
        </w:rPr>
        <w:t> </w:t>
      </w:r>
      <w:r>
        <w:rPr>
          <w:i/>
          <w:spacing w:val="-7"/>
          <w:w w:val="105"/>
          <w:sz w:val="21"/>
        </w:rPr>
        <w:t>1997</w:t>
      </w:r>
      <w:r>
        <w:rPr>
          <w:i/>
          <w:spacing w:val="-8"/>
          <w:w w:val="105"/>
          <w:sz w:val="21"/>
        </w:rPr>
        <w:t> </w:t>
      </w:r>
      <w:r>
        <w:rPr>
          <w:w w:val="105"/>
          <w:sz w:val="21"/>
        </w:rPr>
        <w:t>(Vic). If an application was made under Part V of the </w:t>
      </w:r>
      <w:r>
        <w:rPr>
          <w:spacing w:val="-3"/>
          <w:w w:val="105"/>
          <w:sz w:val="21"/>
        </w:rPr>
        <w:t>Administration </w:t>
      </w:r>
      <w:r>
        <w:rPr>
          <w:w w:val="105"/>
          <w:sz w:val="21"/>
        </w:rPr>
        <w:t>and </w:t>
      </w:r>
      <w:r>
        <w:rPr>
          <w:spacing w:val="-3"/>
          <w:w w:val="105"/>
          <w:sz w:val="21"/>
        </w:rPr>
        <w:t>Probate </w:t>
      </w:r>
      <w:r>
        <w:rPr>
          <w:w w:val="105"/>
          <w:sz w:val="21"/>
        </w:rPr>
        <w:t>Act, section 99 of the Act </w:t>
      </w:r>
      <w:r>
        <w:rPr>
          <w:spacing w:val="-3"/>
          <w:w w:val="105"/>
          <w:sz w:val="21"/>
        </w:rPr>
        <w:t>allowed for </w:t>
      </w:r>
      <w:r>
        <w:rPr>
          <w:w w:val="105"/>
          <w:sz w:val="21"/>
        </w:rPr>
        <w:t>time </w:t>
      </w:r>
      <w:r>
        <w:rPr>
          <w:spacing w:val="-3"/>
          <w:w w:val="105"/>
          <w:sz w:val="21"/>
        </w:rPr>
        <w:t>within </w:t>
      </w:r>
      <w:r>
        <w:rPr>
          <w:w w:val="105"/>
          <w:sz w:val="21"/>
        </w:rPr>
        <w:t>which </w:t>
      </w:r>
      <w:r>
        <w:rPr>
          <w:spacing w:val="-3"/>
          <w:w w:val="105"/>
          <w:sz w:val="21"/>
        </w:rPr>
        <w:t>to </w:t>
      </w:r>
      <w:r>
        <w:rPr>
          <w:spacing w:val="-4"/>
          <w:w w:val="105"/>
          <w:sz w:val="21"/>
        </w:rPr>
        <w:t>make </w:t>
      </w:r>
      <w:r>
        <w:rPr>
          <w:w w:val="105"/>
          <w:sz w:val="21"/>
        </w:rPr>
        <w:t>a </w:t>
      </w:r>
      <w:r>
        <w:rPr>
          <w:spacing w:val="-3"/>
          <w:w w:val="105"/>
          <w:sz w:val="21"/>
        </w:rPr>
        <w:t>family provision </w:t>
      </w:r>
      <w:r>
        <w:rPr>
          <w:w w:val="105"/>
          <w:sz w:val="21"/>
        </w:rPr>
        <w:t>application </w:t>
      </w:r>
      <w:r>
        <w:rPr>
          <w:spacing w:val="-3"/>
          <w:w w:val="105"/>
          <w:sz w:val="21"/>
        </w:rPr>
        <w:t>to  </w:t>
      </w:r>
      <w:r>
        <w:rPr>
          <w:w w:val="105"/>
          <w:sz w:val="21"/>
        </w:rPr>
        <w:t>be extended.</w:t>
      </w:r>
      <w:r>
        <w:rPr>
          <w:w w:val="105"/>
          <w:position w:val="7"/>
          <w:sz w:val="12"/>
        </w:rPr>
        <w:t>352 </w:t>
      </w:r>
      <w:r>
        <w:rPr>
          <w:w w:val="105"/>
          <w:sz w:val="21"/>
        </w:rPr>
        <w:t>The </w:t>
      </w:r>
      <w:r>
        <w:rPr>
          <w:spacing w:val="-3"/>
          <w:w w:val="105"/>
          <w:sz w:val="21"/>
        </w:rPr>
        <w:t>Commission recommends that </w:t>
      </w:r>
      <w:r>
        <w:rPr>
          <w:w w:val="105"/>
          <w:sz w:val="21"/>
        </w:rPr>
        <w:t>the </w:t>
      </w:r>
      <w:r>
        <w:rPr>
          <w:spacing w:val="-3"/>
          <w:w w:val="105"/>
          <w:sz w:val="21"/>
        </w:rPr>
        <w:t>reference to </w:t>
      </w:r>
      <w:r>
        <w:rPr>
          <w:w w:val="105"/>
          <w:sz w:val="21"/>
        </w:rPr>
        <w:t>Part V should be removed </w:t>
      </w:r>
      <w:r>
        <w:rPr>
          <w:spacing w:val="-3"/>
          <w:w w:val="105"/>
          <w:sz w:val="21"/>
        </w:rPr>
        <w:t>from </w:t>
      </w:r>
      <w:r>
        <w:rPr>
          <w:w w:val="105"/>
          <w:sz w:val="21"/>
        </w:rPr>
        <w:t>section 99 of the </w:t>
      </w:r>
      <w:r>
        <w:rPr>
          <w:spacing w:val="-3"/>
          <w:w w:val="105"/>
          <w:sz w:val="21"/>
        </w:rPr>
        <w:t>Administration </w:t>
      </w:r>
      <w:r>
        <w:rPr>
          <w:w w:val="105"/>
          <w:sz w:val="21"/>
        </w:rPr>
        <w:t>and </w:t>
      </w:r>
      <w:r>
        <w:rPr>
          <w:spacing w:val="-3"/>
          <w:w w:val="105"/>
          <w:sz w:val="21"/>
        </w:rPr>
        <w:t>Probate</w:t>
      </w:r>
      <w:r>
        <w:rPr>
          <w:spacing w:val="40"/>
          <w:w w:val="105"/>
          <w:sz w:val="21"/>
        </w:rPr>
        <w:t> </w:t>
      </w:r>
      <w:r>
        <w:rPr>
          <w:w w:val="105"/>
          <w:sz w:val="21"/>
        </w:rPr>
        <w:t>Act.</w:t>
      </w:r>
    </w:p>
    <w:p>
      <w:pPr>
        <w:pStyle w:val="BodyText"/>
        <w:spacing w:before="8"/>
        <w:rPr>
          <w:sz w:val="16"/>
        </w:rPr>
      </w:pPr>
      <w:r>
        <w:rPr/>
        <w:pict>
          <v:group style="position:absolute;margin-left:62.362099pt;margin-top:12.161103pt;width:479.1pt;height:83.55pt;mso-position-horizontal-relative:page;mso-position-vertical-relative:paragraph;z-index:8576;mso-wrap-distance-left:0;mso-wrap-distance-right:0" coordorigin="1247,243" coordsize="9582,1671">
            <v:rect style="position:absolute;left:1587;top:243;width:8731;height:1671" filled="true" fillcolor="#fdebea" stroked="false">
              <v:fill type="solid"/>
            </v:rect>
            <v:line style="position:absolute" from="1247,994" to="10828,994" stroked="true" strokeweight="2.5pt" strokecolor="#ffffff">
              <v:stroke dashstyle="solid"/>
            </v:line>
            <v:shape style="position:absolute;left:2381;top:1231;width:7479;height:509" type="#_x0000_t202" filled="false" stroked="false">
              <v:textbox inset="0,0,0,0">
                <w:txbxContent>
                  <w:p>
                    <w:pPr>
                      <w:spacing w:line="253" w:lineRule="exact" w:before="0"/>
                      <w:ind w:left="0" w:right="0" w:firstLine="0"/>
                      <w:jc w:val="left"/>
                      <w:rPr>
                        <w:rFonts w:ascii="Lucida Sans"/>
                        <w:i/>
                        <w:sz w:val="21"/>
                      </w:rPr>
                    </w:pPr>
                    <w:r>
                      <w:rPr>
                        <w:w w:val="105"/>
                        <w:sz w:val="21"/>
                      </w:rPr>
                      <w:t>The</w:t>
                    </w:r>
                    <w:r>
                      <w:rPr>
                        <w:spacing w:val="-5"/>
                        <w:w w:val="105"/>
                        <w:sz w:val="21"/>
                      </w:rPr>
                      <w:t> </w:t>
                    </w:r>
                    <w:r>
                      <w:rPr>
                        <w:w w:val="105"/>
                        <w:sz w:val="21"/>
                      </w:rPr>
                      <w:t>second</w:t>
                    </w:r>
                    <w:r>
                      <w:rPr>
                        <w:spacing w:val="-5"/>
                        <w:w w:val="105"/>
                        <w:sz w:val="21"/>
                      </w:rPr>
                      <w:t> </w:t>
                    </w:r>
                    <w:r>
                      <w:rPr>
                        <w:w w:val="105"/>
                        <w:sz w:val="21"/>
                      </w:rPr>
                      <w:t>proviso</w:t>
                    </w:r>
                    <w:r>
                      <w:rPr>
                        <w:spacing w:val="-4"/>
                        <w:w w:val="105"/>
                        <w:sz w:val="21"/>
                      </w:rPr>
                      <w:t> </w:t>
                    </w:r>
                    <w:r>
                      <w:rPr>
                        <w:w w:val="105"/>
                        <w:sz w:val="21"/>
                      </w:rPr>
                      <w:t>to</w:t>
                    </w:r>
                    <w:r>
                      <w:rPr>
                        <w:spacing w:val="-5"/>
                        <w:w w:val="105"/>
                        <w:sz w:val="21"/>
                      </w:rPr>
                      <w:t> </w:t>
                    </w:r>
                    <w:r>
                      <w:rPr>
                        <w:w w:val="105"/>
                        <w:sz w:val="21"/>
                      </w:rPr>
                      <w:t>section</w:t>
                    </w:r>
                    <w:r>
                      <w:rPr>
                        <w:spacing w:val="-5"/>
                        <w:w w:val="105"/>
                        <w:sz w:val="21"/>
                      </w:rPr>
                      <w:t> </w:t>
                    </w:r>
                    <w:r>
                      <w:rPr>
                        <w:w w:val="105"/>
                        <w:sz w:val="21"/>
                      </w:rPr>
                      <w:t>99</w:t>
                    </w:r>
                    <w:r>
                      <w:rPr>
                        <w:spacing w:val="-4"/>
                        <w:w w:val="105"/>
                        <w:sz w:val="21"/>
                      </w:rPr>
                      <w:t> </w:t>
                    </w:r>
                    <w:r>
                      <w:rPr>
                        <w:w w:val="105"/>
                        <w:sz w:val="21"/>
                      </w:rPr>
                      <w:t>of</w:t>
                    </w:r>
                    <w:r>
                      <w:rPr>
                        <w:spacing w:val="-5"/>
                        <w:w w:val="105"/>
                        <w:sz w:val="21"/>
                      </w:rPr>
                      <w:t> </w:t>
                    </w:r>
                    <w:r>
                      <w:rPr>
                        <w:w w:val="105"/>
                        <w:sz w:val="21"/>
                      </w:rPr>
                      <w:t>the</w:t>
                    </w:r>
                    <w:r>
                      <w:rPr>
                        <w:spacing w:val="-5"/>
                        <w:w w:val="105"/>
                        <w:sz w:val="21"/>
                      </w:rPr>
                      <w:t> </w:t>
                    </w:r>
                    <w:r>
                      <w:rPr>
                        <w:rFonts w:ascii="Lucida Sans"/>
                        <w:i/>
                        <w:w w:val="105"/>
                        <w:sz w:val="21"/>
                      </w:rPr>
                      <w:t>Administration</w:t>
                    </w:r>
                    <w:r>
                      <w:rPr>
                        <w:rFonts w:ascii="Lucida Sans"/>
                        <w:i/>
                        <w:spacing w:val="-24"/>
                        <w:w w:val="105"/>
                        <w:sz w:val="21"/>
                      </w:rPr>
                      <w:t> </w:t>
                    </w:r>
                    <w:r>
                      <w:rPr>
                        <w:rFonts w:ascii="Lucida Sans"/>
                        <w:i/>
                        <w:w w:val="105"/>
                        <w:sz w:val="21"/>
                      </w:rPr>
                      <w:t>and</w:t>
                    </w:r>
                    <w:r>
                      <w:rPr>
                        <w:rFonts w:ascii="Lucida Sans"/>
                        <w:i/>
                        <w:spacing w:val="-25"/>
                        <w:w w:val="105"/>
                        <w:sz w:val="21"/>
                      </w:rPr>
                      <w:t> </w:t>
                    </w:r>
                    <w:r>
                      <w:rPr>
                        <w:rFonts w:ascii="Lucida Sans"/>
                        <w:i/>
                        <w:w w:val="105"/>
                        <w:sz w:val="21"/>
                      </w:rPr>
                      <w:t>Probate</w:t>
                    </w:r>
                    <w:r>
                      <w:rPr>
                        <w:rFonts w:ascii="Lucida Sans"/>
                        <w:i/>
                        <w:spacing w:val="-24"/>
                        <w:w w:val="105"/>
                        <w:sz w:val="21"/>
                      </w:rPr>
                      <w:t> </w:t>
                    </w:r>
                    <w:r>
                      <w:rPr>
                        <w:rFonts w:ascii="Lucida Sans"/>
                        <w:i/>
                        <w:w w:val="105"/>
                        <w:sz w:val="21"/>
                      </w:rPr>
                      <w:t>Act</w:t>
                    </w:r>
                    <w:r>
                      <w:rPr>
                        <w:rFonts w:ascii="Lucida Sans"/>
                        <w:i/>
                        <w:spacing w:val="-25"/>
                        <w:w w:val="105"/>
                        <w:sz w:val="21"/>
                      </w:rPr>
                      <w:t> </w:t>
                    </w:r>
                    <w:r>
                      <w:rPr>
                        <w:rFonts w:ascii="Lucida Sans"/>
                        <w:i/>
                        <w:spacing w:val="-4"/>
                        <w:w w:val="105"/>
                        <w:sz w:val="21"/>
                      </w:rPr>
                      <w:t>1958</w:t>
                    </w:r>
                  </w:p>
                  <w:p>
                    <w:pPr>
                      <w:spacing w:line="252" w:lineRule="exact" w:before="3"/>
                      <w:ind w:left="0" w:right="0" w:firstLine="0"/>
                      <w:jc w:val="left"/>
                      <w:rPr>
                        <w:sz w:val="21"/>
                      </w:rPr>
                    </w:pPr>
                    <w:r>
                      <w:rPr>
                        <w:w w:val="115"/>
                        <w:sz w:val="21"/>
                      </w:rPr>
                      <w:t>(Vic), which refers to Part V of that Act, should be removed.</w:t>
                    </w:r>
                  </w:p>
                </w:txbxContent>
              </v:textbox>
              <w10:wrap type="none"/>
            </v:shape>
            <v:shape style="position:absolute;left:1814;top:1231;width:254;height:249" type="#_x0000_t202" filled="false" stroked="false">
              <v:textbox inset="0,0,0,0">
                <w:txbxContent>
                  <w:p>
                    <w:pPr>
                      <w:spacing w:line="249" w:lineRule="exact" w:before="0"/>
                      <w:ind w:left="0" w:right="0" w:firstLine="0"/>
                      <w:jc w:val="left"/>
                      <w:rPr>
                        <w:sz w:val="21"/>
                      </w:rPr>
                    </w:pPr>
                    <w:r>
                      <w:rPr>
                        <w:w w:val="110"/>
                        <w:sz w:val="21"/>
                      </w:rPr>
                      <w:t>50</w:t>
                    </w:r>
                  </w:p>
                </w:txbxContent>
              </v:textbox>
              <w10:wrap type="none"/>
            </v:shape>
            <v:shape style="position:absolute;left:1587;top:243;width:8731;height:726" type="#_x0000_t202" filled="true" fillcolor="#fdebea" stroked="false">
              <v:textbox inset="0,0,0,0">
                <w:txbxContent>
                  <w:p>
                    <w:pPr>
                      <w:spacing w:before="166"/>
                      <w:ind w:left="226" w:right="0" w:firstLine="0"/>
                      <w:jc w:val="left"/>
                      <w:rPr>
                        <w:b/>
                        <w:sz w:val="32"/>
                      </w:rPr>
                    </w:pPr>
                    <w:r>
                      <w:rPr>
                        <w:b/>
                        <w:color w:val="EC5A4F"/>
                        <w:w w:val="110"/>
                        <w:sz w:val="32"/>
                      </w:rPr>
                      <w:t>Recommendation</w:t>
                    </w:r>
                  </w:p>
                </w:txbxContent>
              </v:textbox>
              <v:fill type="solid"/>
              <w10:wrap type="none"/>
            </v:shap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7"/>
        </w:rPr>
      </w:pPr>
      <w:r>
        <w:rPr/>
        <w:pict>
          <v:line style="position:absolute;mso-position-horizontal-relative:page;mso-position-vertical-relative:paragraph;z-index:8600;mso-wrap-distance-left:0;mso-wrap-distance-right:0" from="79.370003pt,19.292650pt" to="515.905003pt,19.292650pt" stroked="true" strokeweight="1pt" strokecolor="#f9ceca">
            <v:stroke dashstyle="solid"/>
            <w10:wrap type="topAndBottom"/>
          </v:line>
        </w:pict>
      </w:r>
    </w:p>
    <w:p>
      <w:pPr>
        <w:tabs>
          <w:tab w:pos="2380" w:val="left" w:leader="none"/>
        </w:tabs>
        <w:spacing w:before="117"/>
        <w:ind w:left="1587" w:right="0" w:firstLine="0"/>
        <w:jc w:val="left"/>
        <w:rPr>
          <w:sz w:val="13"/>
        </w:rPr>
      </w:pPr>
      <w:r>
        <w:rPr>
          <w:w w:val="105"/>
          <w:sz w:val="13"/>
        </w:rPr>
        <w:t>350</w:t>
        <w:tab/>
        <w:t>See, in particular, </w:t>
      </w:r>
      <w:r>
        <w:rPr>
          <w:i/>
          <w:w w:val="105"/>
          <w:sz w:val="13"/>
        </w:rPr>
        <w:t>Administration and Probate Act 1958 </w:t>
      </w:r>
      <w:r>
        <w:rPr>
          <w:spacing w:val="2"/>
          <w:w w:val="105"/>
          <w:sz w:val="13"/>
        </w:rPr>
        <w:t>(Vic) </w:t>
      </w:r>
      <w:r>
        <w:rPr>
          <w:w w:val="105"/>
          <w:sz w:val="13"/>
        </w:rPr>
        <w:t>s</w:t>
      </w:r>
      <w:r>
        <w:rPr>
          <w:spacing w:val="8"/>
          <w:w w:val="105"/>
          <w:sz w:val="13"/>
        </w:rPr>
        <w:t> </w:t>
      </w:r>
      <w:r>
        <w:rPr>
          <w:spacing w:val="3"/>
          <w:w w:val="105"/>
          <w:sz w:val="13"/>
        </w:rPr>
        <w:t>99A(4).</w:t>
      </w:r>
    </w:p>
    <w:p>
      <w:pPr>
        <w:tabs>
          <w:tab w:pos="2380" w:val="left" w:leader="none"/>
        </w:tabs>
        <w:spacing w:line="122" w:lineRule="exact" w:before="1"/>
        <w:ind w:left="1587" w:right="0" w:firstLine="0"/>
        <w:jc w:val="left"/>
        <w:rPr>
          <w:sz w:val="13"/>
        </w:rPr>
      </w:pPr>
      <w:r>
        <w:rPr>
          <w:spacing w:val="-3"/>
          <w:w w:val="105"/>
          <w:sz w:val="13"/>
        </w:rPr>
        <w:t>351</w:t>
        <w:tab/>
      </w:r>
      <w:r>
        <w:rPr>
          <w:w w:val="105"/>
          <w:sz w:val="13"/>
        </w:rPr>
        <w:t>Submission </w:t>
      </w:r>
      <w:r>
        <w:rPr>
          <w:spacing w:val="-3"/>
          <w:w w:val="105"/>
          <w:sz w:val="13"/>
        </w:rPr>
        <w:t>14 </w:t>
      </w:r>
      <w:r>
        <w:rPr>
          <w:w w:val="105"/>
          <w:sz w:val="13"/>
        </w:rPr>
        <w:t>(Commercial Bar</w:t>
      </w:r>
      <w:r>
        <w:rPr>
          <w:spacing w:val="21"/>
          <w:w w:val="105"/>
          <w:sz w:val="13"/>
        </w:rPr>
        <w:t> </w:t>
      </w:r>
      <w:r>
        <w:rPr>
          <w:spacing w:val="2"/>
          <w:w w:val="105"/>
          <w:sz w:val="13"/>
        </w:rPr>
        <w:t>Association).</w:t>
      </w:r>
    </w:p>
    <w:p>
      <w:pPr>
        <w:tabs>
          <w:tab w:pos="1587" w:val="left" w:leader="none"/>
          <w:tab w:pos="2380" w:val="left" w:leader="none"/>
        </w:tabs>
        <w:spacing w:line="256" w:lineRule="exact" w:before="0"/>
        <w:ind w:left="720" w:right="0" w:firstLine="0"/>
        <w:jc w:val="left"/>
        <w:rPr>
          <w:sz w:val="13"/>
        </w:rPr>
      </w:pPr>
      <w:r>
        <w:rPr>
          <w:b/>
          <w:color w:val="EC5A4F"/>
          <w:spacing w:val="-4"/>
          <w:w w:val="105"/>
          <w:position w:val="-2"/>
          <w:sz w:val="24"/>
        </w:rPr>
        <w:t>136</w:t>
        <w:tab/>
      </w:r>
      <w:r>
        <w:rPr>
          <w:w w:val="105"/>
          <w:sz w:val="13"/>
        </w:rPr>
        <w:t>352</w:t>
        <w:tab/>
      </w:r>
      <w:r>
        <w:rPr>
          <w:i/>
          <w:w w:val="105"/>
          <w:sz w:val="13"/>
        </w:rPr>
        <w:t>Administration and Probate Act 1958 </w:t>
      </w:r>
      <w:r>
        <w:rPr>
          <w:spacing w:val="2"/>
          <w:w w:val="105"/>
          <w:sz w:val="13"/>
        </w:rPr>
        <w:t>(Vic) </w:t>
      </w:r>
      <w:r>
        <w:rPr>
          <w:w w:val="105"/>
          <w:sz w:val="13"/>
        </w:rPr>
        <w:t>s</w:t>
      </w:r>
      <w:r>
        <w:rPr>
          <w:spacing w:val="25"/>
          <w:w w:val="105"/>
          <w:sz w:val="13"/>
        </w:rPr>
        <w:t> </w:t>
      </w:r>
      <w:r>
        <w:rPr>
          <w:w w:val="105"/>
          <w:sz w:val="13"/>
        </w:rPr>
        <w:t>99.</w:t>
      </w:r>
    </w:p>
    <w:p>
      <w:pPr>
        <w:spacing w:after="0" w:line="256" w:lineRule="exact"/>
        <w:jc w:val="left"/>
        <w:rPr>
          <w:sz w:val="13"/>
        </w:rPr>
        <w:sectPr>
          <w:pgSz w:w="11910" w:h="16840"/>
          <w:pgMar w:header="550" w:footer="0" w:top="1560" w:bottom="280" w:left="0" w:right="0"/>
        </w:sectPr>
      </w:pPr>
    </w:p>
    <w:p>
      <w:pPr>
        <w:pStyle w:val="Heading1"/>
        <w:tabs>
          <w:tab w:pos="1417" w:val="left" w:leader="none"/>
        </w:tabs>
        <w:jc w:val="right"/>
      </w:pPr>
      <w:r>
        <w:rPr/>
        <w:pict>
          <v:shape style="position:absolute;margin-left:538.582581pt;margin-top:4.373536pt;width:13.35pt;height:28.45pt;mso-position-horizontal-relative:page;mso-position-vertical-relative:paragraph;z-index:-297784" type="#_x0000_t202" filled="false" stroked="false">
            <v:textbox inset="0,0,0,0">
              <w:txbxContent>
                <w:p>
                  <w:pPr>
                    <w:spacing w:line="569" w:lineRule="exact" w:before="0"/>
                    <w:ind w:left="0" w:right="0" w:firstLine="0"/>
                    <w:jc w:val="left"/>
                    <w:rPr>
                      <w:b/>
                      <w:sz w:val="48"/>
                    </w:rPr>
                  </w:pPr>
                  <w:r>
                    <w:rPr>
                      <w:b/>
                      <w:color w:val="FFFFFF"/>
                      <w:w w:val="109"/>
                      <w:sz w:val="48"/>
                    </w:rPr>
                    <w:t>1</w:t>
                  </w:r>
                </w:p>
              </w:txbxContent>
            </v:textbox>
            <w10:wrap type="none"/>
          </v:shape>
        </w:pict>
      </w:r>
      <w:r>
        <w:rPr/>
        <w:pict>
          <v:rect style="position:absolute;margin-left:0pt;margin-top:0pt;width:595.276001pt;height:841.890015pt;mso-position-horizontal-relative:page;mso-position-vertical-relative:page;z-index:-297760" filled="true" fillcolor="#fdefed" stroked="false">
            <v:fill type="solid"/>
            <w10:wrap type="none"/>
          </v:rect>
        </w:pict>
      </w:r>
      <w:r>
        <w:rPr>
          <w:color w:val="FFFFFF"/>
          <w:w w:val="122"/>
          <w:shd w:fill="EC5A4F" w:color="auto" w:val="clear"/>
        </w:rPr>
        <w:t> </w:t>
      </w:r>
      <w:r>
        <w:rPr>
          <w:color w:val="FFFFFF"/>
          <w:spacing w:val="41"/>
          <w:shd w:fill="EC5A4F" w:color="auto" w:val="clear"/>
        </w:rPr>
        <w:t> </w:t>
      </w:r>
      <w:r>
        <w:rPr>
          <w:color w:val="FFFFFF"/>
          <w:w w:val="105"/>
          <w:shd w:fill="EC5A4F" w:color="auto" w:val="clear"/>
        </w:rPr>
        <w:t>7</w:t>
      </w:r>
      <w:r>
        <w:rPr>
          <w:color w:val="FFFFFF"/>
          <w:shd w:fill="EC5A4F" w:color="auto" w:val="clear"/>
        </w:rPr>
        <w:tab/>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28"/>
        </w:rPr>
      </w:pPr>
    </w:p>
    <w:p>
      <w:pPr>
        <w:tabs>
          <w:tab w:pos="1417" w:val="left" w:leader="none"/>
          <w:tab w:pos="8690" w:val="left" w:leader="none"/>
        </w:tabs>
        <w:spacing w:line="1146" w:lineRule="exact" w:before="95"/>
        <w:ind w:left="0" w:right="0" w:firstLine="0"/>
        <w:jc w:val="left"/>
        <w:rPr>
          <w:b/>
          <w:sz w:val="96"/>
        </w:rPr>
      </w:pPr>
      <w:r>
        <w:rPr>
          <w:b/>
          <w:color w:val="EC5A4F"/>
          <w:w w:val="122"/>
          <w:sz w:val="96"/>
          <w:shd w:fill="FFFFFF" w:color="auto" w:val="clear"/>
        </w:rPr>
        <w:t> </w:t>
      </w:r>
      <w:r>
        <w:rPr>
          <w:b/>
          <w:color w:val="EC5A4F"/>
          <w:sz w:val="96"/>
          <w:shd w:fill="FFFFFF" w:color="auto" w:val="clear"/>
        </w:rPr>
        <w:tab/>
      </w:r>
      <w:r>
        <w:rPr>
          <w:b/>
          <w:color w:val="EC5A4F"/>
          <w:spacing w:val="-12"/>
          <w:w w:val="110"/>
          <w:sz w:val="96"/>
          <w:shd w:fill="FFFFFF" w:color="auto" w:val="clear"/>
        </w:rPr>
        <w:t>Executors’</w:t>
      </w:r>
      <w:r>
        <w:rPr>
          <w:b/>
          <w:color w:val="EC5A4F"/>
          <w:spacing w:val="147"/>
          <w:w w:val="110"/>
          <w:sz w:val="96"/>
          <w:shd w:fill="FFFFFF" w:color="auto" w:val="clear"/>
        </w:rPr>
        <w:t> </w:t>
      </w:r>
      <w:r>
        <w:rPr>
          <w:b/>
          <w:color w:val="EC5A4F"/>
          <w:spacing w:val="-9"/>
          <w:w w:val="110"/>
          <w:sz w:val="96"/>
          <w:shd w:fill="FFFFFF" w:color="auto" w:val="clear"/>
        </w:rPr>
        <w:t>costs</w:t>
      </w:r>
      <w:r>
        <w:rPr>
          <w:b/>
          <w:color w:val="EC5A4F"/>
          <w:spacing w:val="-9"/>
          <w:sz w:val="96"/>
          <w:shd w:fill="FFFFFF" w:color="auto" w:val="clear"/>
        </w:rPr>
        <w:tab/>
      </w:r>
    </w:p>
    <w:p>
      <w:pPr>
        <w:tabs>
          <w:tab w:pos="1417" w:val="left" w:leader="none"/>
          <w:tab w:pos="8816" w:val="left" w:leader="none"/>
        </w:tabs>
        <w:spacing w:line="1146" w:lineRule="exact" w:before="0"/>
        <w:ind w:left="0" w:right="0" w:firstLine="0"/>
        <w:jc w:val="left"/>
        <w:rPr>
          <w:b/>
          <w:sz w:val="96"/>
        </w:rPr>
      </w:pPr>
      <w:r>
        <w:rPr>
          <w:b/>
          <w:color w:val="EC5A4F"/>
          <w:w w:val="122"/>
          <w:sz w:val="96"/>
          <w:shd w:fill="FFFFFF" w:color="auto" w:val="clear"/>
        </w:rPr>
        <w:t> </w:t>
      </w:r>
      <w:r>
        <w:rPr>
          <w:b/>
          <w:color w:val="EC5A4F"/>
          <w:sz w:val="96"/>
          <w:shd w:fill="FFFFFF" w:color="auto" w:val="clear"/>
        </w:rPr>
        <w:tab/>
      </w:r>
      <w:r>
        <w:rPr>
          <w:b/>
          <w:color w:val="EC5A4F"/>
          <w:spacing w:val="-8"/>
          <w:w w:val="110"/>
          <w:sz w:val="96"/>
          <w:shd w:fill="FFFFFF" w:color="auto" w:val="clear"/>
        </w:rPr>
        <w:t>and</w:t>
      </w:r>
      <w:r>
        <w:rPr>
          <w:b/>
          <w:color w:val="EC5A4F"/>
          <w:spacing w:val="136"/>
          <w:w w:val="110"/>
          <w:sz w:val="96"/>
          <w:shd w:fill="FFFFFF" w:color="auto" w:val="clear"/>
        </w:rPr>
        <w:t> </w:t>
      </w:r>
      <w:r>
        <w:rPr>
          <w:b/>
          <w:color w:val="EC5A4F"/>
          <w:spacing w:val="-12"/>
          <w:w w:val="110"/>
          <w:sz w:val="96"/>
          <w:shd w:fill="FFFFFF" w:color="auto" w:val="clear"/>
        </w:rPr>
        <w:t>commission</w:t>
      </w:r>
      <w:r>
        <w:rPr>
          <w:b/>
          <w:color w:val="EC5A4F"/>
          <w:spacing w:val="-12"/>
          <w:sz w:val="96"/>
          <w:shd w:fill="FFFFFF" w:color="auto" w:val="clear"/>
        </w:rPr>
        <w:tab/>
      </w:r>
    </w:p>
    <w:p>
      <w:pPr>
        <w:pStyle w:val="BodyText"/>
        <w:rPr>
          <w:b/>
          <w:sz w:val="20"/>
        </w:rPr>
      </w:pPr>
    </w:p>
    <w:p>
      <w:pPr>
        <w:pStyle w:val="BodyText"/>
        <w:rPr>
          <w:b/>
          <w:sz w:val="20"/>
        </w:rPr>
      </w:pPr>
    </w:p>
    <w:p>
      <w:pPr>
        <w:pStyle w:val="BodyText"/>
        <w:rPr>
          <w:b/>
          <w:sz w:val="20"/>
        </w:rPr>
      </w:pPr>
    </w:p>
    <w:p>
      <w:pPr>
        <w:pStyle w:val="BodyText"/>
        <w:spacing w:before="3"/>
        <w:rPr>
          <w:b/>
          <w:sz w:val="12"/>
        </w:rPr>
      </w:pPr>
    </w:p>
    <w:tbl>
      <w:tblPr>
        <w:tblW w:w="0" w:type="auto"/>
        <w:jc w:val="left"/>
        <w:tblInd w:w="14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0"/>
        <w:gridCol w:w="5025"/>
      </w:tblGrid>
      <w:tr>
        <w:trPr>
          <w:trHeight w:val="338" w:hRule="atLeast"/>
        </w:trPr>
        <w:tc>
          <w:tcPr>
            <w:tcW w:w="510" w:type="dxa"/>
            <w:tcBorders>
              <w:bottom w:val="single" w:sz="18" w:space="0" w:color="FFFFFF"/>
            </w:tcBorders>
            <w:shd w:val="clear" w:color="auto" w:fill="FDEFED"/>
          </w:tcPr>
          <w:p>
            <w:pPr>
              <w:pStyle w:val="TableParagraph"/>
              <w:spacing w:line="292" w:lineRule="exact"/>
              <w:rPr>
                <w:b/>
                <w:sz w:val="24"/>
              </w:rPr>
            </w:pPr>
            <w:r>
              <w:rPr>
                <w:b/>
                <w:w w:val="110"/>
                <w:sz w:val="24"/>
              </w:rPr>
              <w:t>138</w:t>
            </w:r>
          </w:p>
        </w:tc>
        <w:tc>
          <w:tcPr>
            <w:tcW w:w="5025" w:type="dxa"/>
            <w:shd w:val="clear" w:color="auto" w:fill="FDEFED"/>
          </w:tcPr>
          <w:p>
            <w:pPr>
              <w:pStyle w:val="TableParagraph"/>
              <w:spacing w:line="292" w:lineRule="exact"/>
              <w:ind w:left="56"/>
              <w:rPr>
                <w:b/>
                <w:sz w:val="24"/>
              </w:rPr>
            </w:pPr>
            <w:r>
              <w:rPr>
                <w:b/>
                <w:w w:val="110"/>
                <w:sz w:val="24"/>
              </w:rPr>
              <w:t>Introduction</w:t>
            </w:r>
          </w:p>
        </w:tc>
      </w:tr>
      <w:tr>
        <w:trPr>
          <w:trHeight w:val="428" w:hRule="atLeast"/>
        </w:trPr>
        <w:tc>
          <w:tcPr>
            <w:tcW w:w="510" w:type="dxa"/>
            <w:tcBorders>
              <w:top w:val="single" w:sz="18" w:space="0" w:color="FFFFFF"/>
              <w:bottom w:val="single" w:sz="18" w:space="0" w:color="FFFFFF"/>
            </w:tcBorders>
            <w:shd w:val="clear" w:color="auto" w:fill="FDEFED"/>
          </w:tcPr>
          <w:p>
            <w:pPr>
              <w:pStyle w:val="TableParagraph"/>
              <w:spacing w:line="240" w:lineRule="auto" w:before="89"/>
              <w:rPr>
                <w:b/>
                <w:sz w:val="24"/>
              </w:rPr>
            </w:pPr>
            <w:r>
              <w:rPr>
                <w:b/>
                <w:w w:val="110"/>
                <w:sz w:val="24"/>
              </w:rPr>
              <w:t>140</w:t>
            </w:r>
          </w:p>
        </w:tc>
        <w:tc>
          <w:tcPr>
            <w:tcW w:w="5025" w:type="dxa"/>
            <w:shd w:val="clear" w:color="auto" w:fill="FDEFED"/>
          </w:tcPr>
          <w:p>
            <w:pPr>
              <w:pStyle w:val="TableParagraph"/>
              <w:spacing w:line="240" w:lineRule="auto" w:before="89"/>
              <w:ind w:left="56"/>
              <w:rPr>
                <w:b/>
                <w:sz w:val="24"/>
              </w:rPr>
            </w:pPr>
            <w:r>
              <w:rPr>
                <w:b/>
                <w:w w:val="115"/>
                <w:sz w:val="24"/>
              </w:rPr>
              <w:t>Regulation of the legal profession</w:t>
            </w:r>
          </w:p>
        </w:tc>
      </w:tr>
      <w:tr>
        <w:trPr>
          <w:trHeight w:val="428" w:hRule="atLeast"/>
        </w:trPr>
        <w:tc>
          <w:tcPr>
            <w:tcW w:w="510" w:type="dxa"/>
            <w:tcBorders>
              <w:top w:val="single" w:sz="18" w:space="0" w:color="FFFFFF"/>
              <w:bottom w:val="single" w:sz="18" w:space="0" w:color="FFFFFF"/>
            </w:tcBorders>
            <w:shd w:val="clear" w:color="auto" w:fill="FDEFED"/>
          </w:tcPr>
          <w:p>
            <w:pPr>
              <w:pStyle w:val="TableParagraph"/>
              <w:spacing w:line="240" w:lineRule="auto" w:before="88"/>
              <w:rPr>
                <w:b/>
                <w:sz w:val="24"/>
              </w:rPr>
            </w:pPr>
            <w:r>
              <w:rPr>
                <w:b/>
                <w:w w:val="110"/>
                <w:sz w:val="24"/>
              </w:rPr>
              <w:t>143</w:t>
            </w:r>
          </w:p>
        </w:tc>
        <w:tc>
          <w:tcPr>
            <w:tcW w:w="5025" w:type="dxa"/>
            <w:shd w:val="clear" w:color="auto" w:fill="FDEFED"/>
          </w:tcPr>
          <w:p>
            <w:pPr>
              <w:pStyle w:val="TableParagraph"/>
              <w:spacing w:line="240" w:lineRule="auto" w:before="88"/>
              <w:ind w:left="56"/>
              <w:rPr>
                <w:b/>
                <w:sz w:val="24"/>
              </w:rPr>
            </w:pPr>
            <w:r>
              <w:rPr>
                <w:b/>
                <w:w w:val="115"/>
                <w:sz w:val="24"/>
              </w:rPr>
              <w:t>Special</w:t>
            </w:r>
            <w:r>
              <w:rPr>
                <w:b/>
                <w:spacing w:val="-20"/>
                <w:w w:val="115"/>
                <w:sz w:val="24"/>
              </w:rPr>
              <w:t> </w:t>
            </w:r>
            <w:r>
              <w:rPr>
                <w:b/>
                <w:w w:val="115"/>
                <w:sz w:val="24"/>
              </w:rPr>
              <w:t>rules</w:t>
            </w:r>
            <w:r>
              <w:rPr>
                <w:b/>
                <w:spacing w:val="-20"/>
                <w:w w:val="115"/>
                <w:sz w:val="24"/>
              </w:rPr>
              <w:t> </w:t>
            </w:r>
            <w:r>
              <w:rPr>
                <w:b/>
                <w:w w:val="115"/>
                <w:sz w:val="24"/>
              </w:rPr>
              <w:t>for</w:t>
            </w:r>
            <w:r>
              <w:rPr>
                <w:b/>
                <w:spacing w:val="-20"/>
                <w:w w:val="115"/>
                <w:sz w:val="24"/>
              </w:rPr>
              <w:t> </w:t>
            </w:r>
            <w:r>
              <w:rPr>
                <w:b/>
                <w:w w:val="115"/>
                <w:sz w:val="24"/>
              </w:rPr>
              <w:t>legal</w:t>
            </w:r>
            <w:r>
              <w:rPr>
                <w:b/>
                <w:spacing w:val="-20"/>
                <w:w w:val="115"/>
                <w:sz w:val="24"/>
              </w:rPr>
              <w:t> </w:t>
            </w:r>
            <w:r>
              <w:rPr>
                <w:b/>
                <w:w w:val="115"/>
                <w:sz w:val="24"/>
              </w:rPr>
              <w:t>practitioner</w:t>
            </w:r>
            <w:r>
              <w:rPr>
                <w:b/>
                <w:spacing w:val="-20"/>
                <w:w w:val="115"/>
                <w:sz w:val="24"/>
              </w:rPr>
              <w:t> </w:t>
            </w:r>
            <w:r>
              <w:rPr>
                <w:b/>
                <w:w w:val="115"/>
                <w:sz w:val="24"/>
              </w:rPr>
              <w:t>executors</w:t>
            </w:r>
          </w:p>
        </w:tc>
      </w:tr>
      <w:tr>
        <w:trPr>
          <w:trHeight w:val="428" w:hRule="atLeast"/>
        </w:trPr>
        <w:tc>
          <w:tcPr>
            <w:tcW w:w="510" w:type="dxa"/>
            <w:tcBorders>
              <w:top w:val="single" w:sz="18" w:space="0" w:color="FFFFFF"/>
              <w:bottom w:val="single" w:sz="18" w:space="0" w:color="FFFFFF"/>
            </w:tcBorders>
            <w:shd w:val="clear" w:color="auto" w:fill="FDEFED"/>
          </w:tcPr>
          <w:p>
            <w:pPr>
              <w:pStyle w:val="TableParagraph"/>
              <w:spacing w:line="240" w:lineRule="auto" w:before="88"/>
              <w:rPr>
                <w:b/>
                <w:sz w:val="24"/>
              </w:rPr>
            </w:pPr>
            <w:r>
              <w:rPr>
                <w:b/>
                <w:w w:val="110"/>
                <w:sz w:val="24"/>
              </w:rPr>
              <w:t>159</w:t>
            </w:r>
          </w:p>
        </w:tc>
        <w:tc>
          <w:tcPr>
            <w:tcW w:w="5025" w:type="dxa"/>
            <w:shd w:val="clear" w:color="auto" w:fill="FDEFED"/>
          </w:tcPr>
          <w:p>
            <w:pPr>
              <w:pStyle w:val="TableParagraph"/>
              <w:spacing w:line="240" w:lineRule="auto" w:before="88"/>
              <w:ind w:left="56"/>
              <w:rPr>
                <w:b/>
                <w:sz w:val="24"/>
              </w:rPr>
            </w:pPr>
            <w:r>
              <w:rPr>
                <w:b/>
                <w:w w:val="115"/>
                <w:sz w:val="24"/>
              </w:rPr>
              <w:t>Court review of costs and commission</w:t>
            </w:r>
          </w:p>
        </w:tc>
      </w:tr>
      <w:tr>
        <w:trPr>
          <w:trHeight w:val="428" w:hRule="atLeast"/>
        </w:trPr>
        <w:tc>
          <w:tcPr>
            <w:tcW w:w="510" w:type="dxa"/>
            <w:tcBorders>
              <w:top w:val="single" w:sz="18" w:space="0" w:color="FFFFFF"/>
              <w:bottom w:val="single" w:sz="18" w:space="0" w:color="FFFFFF"/>
            </w:tcBorders>
            <w:shd w:val="clear" w:color="auto" w:fill="FDEFED"/>
          </w:tcPr>
          <w:p>
            <w:pPr>
              <w:pStyle w:val="TableParagraph"/>
              <w:spacing w:line="240" w:lineRule="auto" w:before="88"/>
              <w:rPr>
                <w:b/>
                <w:sz w:val="24"/>
              </w:rPr>
            </w:pPr>
            <w:r>
              <w:rPr>
                <w:b/>
                <w:w w:val="110"/>
                <w:sz w:val="24"/>
              </w:rPr>
              <w:t>166</w:t>
            </w:r>
          </w:p>
        </w:tc>
        <w:tc>
          <w:tcPr>
            <w:tcW w:w="5025" w:type="dxa"/>
            <w:shd w:val="clear" w:color="auto" w:fill="FDEFED"/>
          </w:tcPr>
          <w:p>
            <w:pPr>
              <w:pStyle w:val="TableParagraph"/>
              <w:spacing w:line="240" w:lineRule="auto" w:before="88"/>
              <w:ind w:left="56"/>
              <w:rPr>
                <w:b/>
                <w:sz w:val="24"/>
              </w:rPr>
            </w:pPr>
            <w:r>
              <w:rPr>
                <w:b/>
                <w:w w:val="115"/>
                <w:sz w:val="24"/>
              </w:rPr>
              <w:t>Other regulatory reform</w:t>
            </w:r>
          </w:p>
        </w:tc>
      </w:tr>
    </w:tbl>
    <w:p>
      <w:pPr>
        <w:spacing w:after="0" w:line="240" w:lineRule="auto"/>
        <w:rPr>
          <w:sz w:val="24"/>
        </w:rPr>
        <w:sectPr>
          <w:headerReference w:type="default" r:id="rId94"/>
          <w:headerReference w:type="even" r:id="rId95"/>
          <w:pgSz w:w="11910" w:h="16840"/>
          <w:pgMar w:header="0" w:footer="0" w:top="700" w:bottom="280" w:left="0" w:right="0"/>
        </w:sectPr>
      </w:pPr>
    </w:p>
    <w:p>
      <w:pPr>
        <w:pStyle w:val="BodyText"/>
        <w:spacing w:before="10"/>
        <w:rPr>
          <w:b/>
          <w:sz w:val="18"/>
        </w:rPr>
      </w:pPr>
    </w:p>
    <w:p>
      <w:pPr>
        <w:pStyle w:val="Heading2"/>
        <w:numPr>
          <w:ilvl w:val="0"/>
          <w:numId w:val="22"/>
        </w:numPr>
        <w:tabs>
          <w:tab w:pos="1015" w:val="left" w:leader="none"/>
        </w:tabs>
        <w:spacing w:line="240" w:lineRule="auto" w:before="98" w:after="0"/>
        <w:ind w:left="1014" w:right="0" w:hanging="448"/>
        <w:jc w:val="left"/>
      </w:pPr>
      <w:bookmarkStart w:name="7. Executors’ costs and commission" w:id="131"/>
      <w:bookmarkEnd w:id="131"/>
      <w:r>
        <w:rPr>
          <w:b w:val="0"/>
        </w:rPr>
      </w:r>
      <w:bookmarkStart w:name="Introduction" w:id="132"/>
      <w:bookmarkEnd w:id="132"/>
      <w:r>
        <w:rPr>
          <w:b w:val="0"/>
        </w:rPr>
      </w:r>
      <w:bookmarkStart w:name="Introduction" w:id="133"/>
      <w:bookmarkEnd w:id="133"/>
      <w:r>
        <w:rPr>
          <w:color w:val="EC5A4F"/>
          <w:spacing w:val="-3"/>
          <w:w w:val="110"/>
        </w:rPr>
        <w:t>E</w:t>
      </w:r>
      <w:r>
        <w:rPr>
          <w:color w:val="EC5A4F"/>
          <w:spacing w:val="-3"/>
          <w:w w:val="110"/>
        </w:rPr>
        <w:t>xecutors’ </w:t>
      </w:r>
      <w:r>
        <w:rPr>
          <w:color w:val="EC5A4F"/>
          <w:w w:val="110"/>
        </w:rPr>
        <w:t>costs and</w:t>
      </w:r>
      <w:r>
        <w:rPr>
          <w:color w:val="EC5A4F"/>
          <w:spacing w:val="46"/>
          <w:w w:val="110"/>
        </w:rPr>
        <w:t> </w:t>
      </w:r>
      <w:r>
        <w:rPr>
          <w:color w:val="EC5A4F"/>
          <w:spacing w:val="-3"/>
          <w:w w:val="110"/>
        </w:rPr>
        <w:t>commission</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27"/>
        </w:rPr>
      </w:pPr>
    </w:p>
    <w:p>
      <w:pPr>
        <w:pStyle w:val="Heading4"/>
        <w:spacing w:before="99"/>
      </w:pPr>
      <w:r>
        <w:rPr>
          <w:color w:val="EC5A4F"/>
          <w:w w:val="110"/>
        </w:rPr>
        <w:t>Introduction</w:t>
      </w:r>
    </w:p>
    <w:p>
      <w:pPr>
        <w:pStyle w:val="Heading5"/>
        <w:spacing w:before="223"/>
      </w:pPr>
      <w:r>
        <w:rPr>
          <w:w w:val="115"/>
        </w:rPr>
        <w:t>Terms of reference</w:t>
      </w:r>
    </w:p>
    <w:p>
      <w:pPr>
        <w:pStyle w:val="ListParagraph"/>
        <w:numPr>
          <w:ilvl w:val="1"/>
          <w:numId w:val="22"/>
        </w:numPr>
        <w:tabs>
          <w:tab w:pos="2380" w:val="left" w:leader="none"/>
          <w:tab w:pos="2381" w:val="left" w:leader="none"/>
        </w:tabs>
        <w:spacing w:line="242" w:lineRule="auto" w:before="137" w:after="0"/>
        <w:ind w:left="2381" w:right="1705" w:hanging="794"/>
        <w:jc w:val="left"/>
        <w:rPr>
          <w:sz w:val="21"/>
        </w:rPr>
      </w:pPr>
      <w:r>
        <w:rPr>
          <w:sz w:val="21"/>
        </w:rPr>
        <w:t>Almost </w:t>
      </w:r>
      <w:r>
        <w:rPr>
          <w:spacing w:val="-3"/>
          <w:sz w:val="21"/>
        </w:rPr>
        <w:t>all </w:t>
      </w:r>
      <w:r>
        <w:rPr>
          <w:sz w:val="21"/>
        </w:rPr>
        <w:t>executors </w:t>
      </w:r>
      <w:r>
        <w:rPr>
          <w:spacing w:val="-3"/>
          <w:sz w:val="21"/>
        </w:rPr>
        <w:t>are </w:t>
      </w:r>
      <w:r>
        <w:rPr>
          <w:sz w:val="21"/>
        </w:rPr>
        <w:t>trusted </w:t>
      </w:r>
      <w:r>
        <w:rPr>
          <w:spacing w:val="-3"/>
          <w:sz w:val="21"/>
        </w:rPr>
        <w:t>friends </w:t>
      </w:r>
      <w:r>
        <w:rPr>
          <w:sz w:val="21"/>
        </w:rPr>
        <w:t>or </w:t>
      </w:r>
      <w:r>
        <w:rPr>
          <w:spacing w:val="-3"/>
          <w:sz w:val="21"/>
        </w:rPr>
        <w:t>relatives </w:t>
      </w:r>
      <w:r>
        <w:rPr>
          <w:sz w:val="21"/>
        </w:rPr>
        <w:t>of the </w:t>
      </w:r>
      <w:r>
        <w:rPr>
          <w:spacing w:val="-4"/>
          <w:sz w:val="21"/>
        </w:rPr>
        <w:t>will-maker.  </w:t>
      </w:r>
      <w:r>
        <w:rPr>
          <w:sz w:val="21"/>
        </w:rPr>
        <w:t>The  </w:t>
      </w:r>
      <w:r>
        <w:rPr>
          <w:spacing w:val="-3"/>
          <w:sz w:val="21"/>
        </w:rPr>
        <w:t>remainder </w:t>
      </w:r>
      <w:r>
        <w:rPr>
          <w:sz w:val="21"/>
        </w:rPr>
        <w:t>provide </w:t>
      </w:r>
      <w:r>
        <w:rPr>
          <w:spacing w:val="-3"/>
          <w:sz w:val="21"/>
        </w:rPr>
        <w:t>executorial </w:t>
      </w:r>
      <w:r>
        <w:rPr>
          <w:sz w:val="21"/>
        </w:rPr>
        <w:t>services in a </w:t>
      </w:r>
      <w:r>
        <w:rPr>
          <w:spacing w:val="-3"/>
          <w:sz w:val="21"/>
        </w:rPr>
        <w:t>professional capacity. </w:t>
      </w:r>
      <w:r>
        <w:rPr>
          <w:sz w:val="21"/>
        </w:rPr>
        <w:t>They </w:t>
      </w:r>
      <w:r>
        <w:rPr>
          <w:spacing w:val="-3"/>
          <w:sz w:val="21"/>
        </w:rPr>
        <w:t>include </w:t>
      </w:r>
      <w:r>
        <w:rPr>
          <w:sz w:val="21"/>
        </w:rPr>
        <w:t>legal practitioners, </w:t>
      </w:r>
      <w:r>
        <w:rPr>
          <w:spacing w:val="-3"/>
          <w:sz w:val="21"/>
        </w:rPr>
        <w:t>accountants, financial </w:t>
      </w:r>
      <w:r>
        <w:rPr>
          <w:sz w:val="21"/>
        </w:rPr>
        <w:t>advisers and trustee </w:t>
      </w:r>
      <w:r>
        <w:rPr>
          <w:spacing w:val="-3"/>
          <w:sz w:val="21"/>
        </w:rPr>
        <w:t>companies </w:t>
      </w:r>
      <w:r>
        <w:rPr>
          <w:sz w:val="21"/>
        </w:rPr>
        <w:t>and </w:t>
      </w:r>
      <w:r>
        <w:rPr>
          <w:spacing w:val="-3"/>
          <w:sz w:val="21"/>
        </w:rPr>
        <w:t>are referred to </w:t>
      </w:r>
      <w:r>
        <w:rPr>
          <w:sz w:val="21"/>
        </w:rPr>
        <w:t>as </w:t>
      </w:r>
      <w:r>
        <w:rPr>
          <w:spacing w:val="-4"/>
          <w:sz w:val="21"/>
        </w:rPr>
        <w:t>‘professional </w:t>
      </w:r>
      <w:r>
        <w:rPr>
          <w:sz w:val="21"/>
        </w:rPr>
        <w:t>executors’ in this</w:t>
      </w:r>
      <w:r>
        <w:rPr>
          <w:spacing w:val="24"/>
          <w:sz w:val="21"/>
        </w:rPr>
        <w:t> </w:t>
      </w:r>
      <w:r>
        <w:rPr>
          <w:sz w:val="21"/>
        </w:rPr>
        <w:t>report.</w:t>
      </w:r>
    </w:p>
    <w:p>
      <w:pPr>
        <w:pStyle w:val="ListParagraph"/>
        <w:numPr>
          <w:ilvl w:val="1"/>
          <w:numId w:val="22"/>
        </w:numPr>
        <w:tabs>
          <w:tab w:pos="2380" w:val="left" w:leader="none"/>
          <w:tab w:pos="2381" w:val="left" w:leader="none"/>
        </w:tabs>
        <w:spacing w:line="242" w:lineRule="auto" w:before="125" w:after="0"/>
        <w:ind w:left="2381" w:right="2025" w:hanging="794"/>
        <w:jc w:val="left"/>
        <w:rPr>
          <w:sz w:val="21"/>
        </w:rPr>
      </w:pPr>
      <w:r>
        <w:rPr>
          <w:sz w:val="21"/>
        </w:rPr>
        <w:t>Executors </w:t>
      </w:r>
      <w:r>
        <w:rPr>
          <w:spacing w:val="-3"/>
          <w:sz w:val="21"/>
        </w:rPr>
        <w:t>cannot claim </w:t>
      </w:r>
      <w:r>
        <w:rPr>
          <w:sz w:val="21"/>
        </w:rPr>
        <w:t>money </w:t>
      </w:r>
      <w:r>
        <w:rPr>
          <w:spacing w:val="-3"/>
          <w:sz w:val="21"/>
        </w:rPr>
        <w:t>from </w:t>
      </w:r>
      <w:r>
        <w:rPr>
          <w:sz w:val="21"/>
        </w:rPr>
        <w:t>the estate </w:t>
      </w:r>
      <w:r>
        <w:rPr>
          <w:spacing w:val="-3"/>
          <w:sz w:val="21"/>
        </w:rPr>
        <w:t>for  </w:t>
      </w:r>
      <w:r>
        <w:rPr>
          <w:sz w:val="21"/>
        </w:rPr>
        <w:t>their time and </w:t>
      </w:r>
      <w:r>
        <w:rPr>
          <w:spacing w:val="-3"/>
          <w:sz w:val="21"/>
        </w:rPr>
        <w:t>trouble</w:t>
      </w:r>
      <w:r>
        <w:rPr>
          <w:spacing w:val="41"/>
          <w:sz w:val="21"/>
        </w:rPr>
        <w:t> </w:t>
      </w:r>
      <w:r>
        <w:rPr>
          <w:sz w:val="21"/>
        </w:rPr>
        <w:t>unless they </w:t>
      </w:r>
      <w:r>
        <w:rPr>
          <w:spacing w:val="-3"/>
          <w:sz w:val="21"/>
        </w:rPr>
        <w:t>are </w:t>
      </w:r>
      <w:r>
        <w:rPr>
          <w:sz w:val="21"/>
        </w:rPr>
        <w:t>authorised </w:t>
      </w:r>
      <w:r>
        <w:rPr>
          <w:spacing w:val="-3"/>
          <w:sz w:val="21"/>
        </w:rPr>
        <w:t>to </w:t>
      </w:r>
      <w:r>
        <w:rPr>
          <w:sz w:val="21"/>
        </w:rPr>
        <w:t>do so. </w:t>
      </w:r>
      <w:r>
        <w:rPr>
          <w:spacing w:val="-4"/>
          <w:sz w:val="21"/>
        </w:rPr>
        <w:t>Trustee </w:t>
      </w:r>
      <w:r>
        <w:rPr>
          <w:spacing w:val="-3"/>
          <w:sz w:val="21"/>
        </w:rPr>
        <w:t>companies are </w:t>
      </w:r>
      <w:r>
        <w:rPr>
          <w:sz w:val="21"/>
        </w:rPr>
        <w:t>authorised by </w:t>
      </w:r>
      <w:r>
        <w:rPr>
          <w:spacing w:val="-3"/>
          <w:sz w:val="21"/>
        </w:rPr>
        <w:t>legislation to charge for executorial services.</w:t>
      </w:r>
      <w:r>
        <w:rPr>
          <w:spacing w:val="-3"/>
          <w:position w:val="7"/>
          <w:sz w:val="12"/>
        </w:rPr>
        <w:t>1 </w:t>
      </w:r>
      <w:r>
        <w:rPr>
          <w:sz w:val="21"/>
        </w:rPr>
        <w:t>All other executors need the </w:t>
      </w:r>
      <w:r>
        <w:rPr>
          <w:spacing w:val="-3"/>
          <w:sz w:val="21"/>
        </w:rPr>
        <w:t>informed  consent  </w:t>
      </w:r>
      <w:r>
        <w:rPr>
          <w:sz w:val="21"/>
        </w:rPr>
        <w:t>of the </w:t>
      </w:r>
      <w:r>
        <w:rPr>
          <w:spacing w:val="-3"/>
          <w:sz w:val="21"/>
        </w:rPr>
        <w:t>will-maker  </w:t>
      </w:r>
      <w:r>
        <w:rPr>
          <w:sz w:val="21"/>
        </w:rPr>
        <w:t>or beneficiaries, or otherwise can seek authorisation </w:t>
      </w:r>
      <w:r>
        <w:rPr>
          <w:spacing w:val="-3"/>
          <w:sz w:val="21"/>
        </w:rPr>
        <w:t>from </w:t>
      </w:r>
      <w:r>
        <w:rPr>
          <w:sz w:val="21"/>
        </w:rPr>
        <w:t>the</w:t>
      </w:r>
      <w:r>
        <w:rPr>
          <w:spacing w:val="13"/>
          <w:sz w:val="21"/>
        </w:rPr>
        <w:t> </w:t>
      </w:r>
      <w:r>
        <w:rPr>
          <w:spacing w:val="-3"/>
          <w:sz w:val="21"/>
        </w:rPr>
        <w:t>Supreme Court.</w:t>
      </w:r>
    </w:p>
    <w:p>
      <w:pPr>
        <w:pStyle w:val="ListParagraph"/>
        <w:numPr>
          <w:ilvl w:val="1"/>
          <w:numId w:val="22"/>
        </w:numPr>
        <w:tabs>
          <w:tab w:pos="2380" w:val="left" w:leader="none"/>
          <w:tab w:pos="2381" w:val="left" w:leader="none"/>
        </w:tabs>
        <w:spacing w:line="242" w:lineRule="auto" w:before="124" w:after="0"/>
        <w:ind w:left="2380" w:right="1797" w:hanging="793"/>
        <w:jc w:val="left"/>
        <w:rPr>
          <w:sz w:val="21"/>
        </w:rPr>
      </w:pPr>
      <w:r>
        <w:rPr>
          <w:sz w:val="21"/>
        </w:rPr>
        <w:t>Payments </w:t>
      </w:r>
      <w:r>
        <w:rPr>
          <w:spacing w:val="-3"/>
          <w:sz w:val="21"/>
        </w:rPr>
        <w:t>to </w:t>
      </w:r>
      <w:r>
        <w:rPr>
          <w:sz w:val="21"/>
        </w:rPr>
        <w:t>executors </w:t>
      </w:r>
      <w:r>
        <w:rPr>
          <w:spacing w:val="-3"/>
          <w:sz w:val="21"/>
        </w:rPr>
        <w:t>are </w:t>
      </w:r>
      <w:r>
        <w:rPr>
          <w:spacing w:val="-2"/>
          <w:sz w:val="21"/>
        </w:rPr>
        <w:t>commonly </w:t>
      </w:r>
      <w:r>
        <w:rPr>
          <w:sz w:val="21"/>
        </w:rPr>
        <w:t>in the </w:t>
      </w:r>
      <w:r>
        <w:rPr>
          <w:spacing w:val="-3"/>
          <w:sz w:val="21"/>
        </w:rPr>
        <w:t>form </w:t>
      </w:r>
      <w:r>
        <w:rPr>
          <w:sz w:val="21"/>
        </w:rPr>
        <w:t>of </w:t>
      </w:r>
      <w:r>
        <w:rPr>
          <w:spacing w:val="-3"/>
          <w:sz w:val="21"/>
        </w:rPr>
        <w:t>commission, </w:t>
      </w:r>
      <w:r>
        <w:rPr>
          <w:sz w:val="21"/>
        </w:rPr>
        <w:t>expressed as a percentage of the capital and </w:t>
      </w:r>
      <w:r>
        <w:rPr>
          <w:spacing w:val="-3"/>
          <w:sz w:val="21"/>
        </w:rPr>
        <w:t>income </w:t>
      </w:r>
      <w:r>
        <w:rPr>
          <w:sz w:val="21"/>
        </w:rPr>
        <w:t>of the </w:t>
      </w:r>
      <w:r>
        <w:rPr>
          <w:spacing w:val="-3"/>
          <w:sz w:val="21"/>
        </w:rPr>
        <w:t>estate. </w:t>
      </w:r>
      <w:r>
        <w:rPr>
          <w:sz w:val="21"/>
        </w:rPr>
        <w:t>Some </w:t>
      </w:r>
      <w:r>
        <w:rPr>
          <w:spacing w:val="-3"/>
          <w:sz w:val="21"/>
        </w:rPr>
        <w:t>professional </w:t>
      </w:r>
      <w:r>
        <w:rPr>
          <w:sz w:val="21"/>
        </w:rPr>
        <w:t>executors </w:t>
      </w:r>
      <w:r>
        <w:rPr>
          <w:spacing w:val="-3"/>
          <w:sz w:val="21"/>
        </w:rPr>
        <w:t>charge </w:t>
      </w:r>
      <w:r>
        <w:rPr>
          <w:sz w:val="21"/>
        </w:rPr>
        <w:t>fees </w:t>
      </w:r>
      <w:r>
        <w:rPr>
          <w:spacing w:val="-3"/>
          <w:sz w:val="21"/>
        </w:rPr>
        <w:t>instead </w:t>
      </w:r>
      <w:r>
        <w:rPr>
          <w:sz w:val="21"/>
        </w:rPr>
        <w:t>of </w:t>
      </w:r>
      <w:r>
        <w:rPr>
          <w:spacing w:val="-3"/>
          <w:sz w:val="21"/>
        </w:rPr>
        <w:t>claiming </w:t>
      </w:r>
      <w:r>
        <w:rPr>
          <w:sz w:val="21"/>
        </w:rPr>
        <w:t>commission; others </w:t>
      </w:r>
      <w:r>
        <w:rPr>
          <w:spacing w:val="-3"/>
          <w:sz w:val="21"/>
        </w:rPr>
        <w:t>claim commission for </w:t>
      </w:r>
      <w:r>
        <w:rPr>
          <w:sz w:val="21"/>
        </w:rPr>
        <w:t>their </w:t>
      </w:r>
      <w:r>
        <w:rPr>
          <w:spacing w:val="-3"/>
          <w:sz w:val="21"/>
        </w:rPr>
        <w:t>executorial responsibilities</w:t>
      </w:r>
      <w:r>
        <w:rPr>
          <w:spacing w:val="11"/>
          <w:sz w:val="21"/>
        </w:rPr>
        <w:t> </w:t>
      </w:r>
      <w:r>
        <w:rPr>
          <w:sz w:val="21"/>
        </w:rPr>
        <w:t>and</w:t>
      </w:r>
      <w:r>
        <w:rPr>
          <w:spacing w:val="12"/>
          <w:sz w:val="21"/>
        </w:rPr>
        <w:t> </w:t>
      </w:r>
      <w:r>
        <w:rPr>
          <w:spacing w:val="-3"/>
          <w:sz w:val="21"/>
        </w:rPr>
        <w:t>charge</w:t>
      </w:r>
      <w:r>
        <w:rPr>
          <w:spacing w:val="12"/>
          <w:sz w:val="21"/>
        </w:rPr>
        <w:t> </w:t>
      </w:r>
      <w:r>
        <w:rPr>
          <w:sz w:val="21"/>
        </w:rPr>
        <w:t>fees</w:t>
      </w:r>
      <w:r>
        <w:rPr>
          <w:spacing w:val="12"/>
          <w:sz w:val="21"/>
        </w:rPr>
        <w:t> </w:t>
      </w:r>
      <w:r>
        <w:rPr>
          <w:spacing w:val="-3"/>
          <w:sz w:val="21"/>
        </w:rPr>
        <w:t>for</w:t>
      </w:r>
      <w:r>
        <w:rPr>
          <w:spacing w:val="11"/>
          <w:sz w:val="21"/>
        </w:rPr>
        <w:t> </w:t>
      </w:r>
      <w:r>
        <w:rPr>
          <w:spacing w:val="-3"/>
          <w:sz w:val="21"/>
        </w:rPr>
        <w:t>any</w:t>
      </w:r>
      <w:r>
        <w:rPr>
          <w:spacing w:val="12"/>
          <w:sz w:val="21"/>
        </w:rPr>
        <w:t> </w:t>
      </w:r>
      <w:r>
        <w:rPr>
          <w:spacing w:val="-3"/>
          <w:sz w:val="21"/>
        </w:rPr>
        <w:t>additional</w:t>
      </w:r>
      <w:r>
        <w:rPr>
          <w:spacing w:val="12"/>
          <w:sz w:val="21"/>
        </w:rPr>
        <w:t> </w:t>
      </w:r>
      <w:r>
        <w:rPr>
          <w:sz w:val="21"/>
        </w:rPr>
        <w:t>services</w:t>
      </w:r>
      <w:r>
        <w:rPr>
          <w:spacing w:val="12"/>
          <w:sz w:val="21"/>
        </w:rPr>
        <w:t> </w:t>
      </w:r>
      <w:r>
        <w:rPr>
          <w:sz w:val="21"/>
        </w:rPr>
        <w:t>they</w:t>
      </w:r>
      <w:r>
        <w:rPr>
          <w:spacing w:val="12"/>
          <w:sz w:val="21"/>
        </w:rPr>
        <w:t> </w:t>
      </w:r>
      <w:r>
        <w:rPr>
          <w:spacing w:val="-3"/>
          <w:sz w:val="21"/>
        </w:rPr>
        <w:t>provide.</w:t>
      </w:r>
    </w:p>
    <w:p>
      <w:pPr>
        <w:pStyle w:val="ListParagraph"/>
        <w:numPr>
          <w:ilvl w:val="1"/>
          <w:numId w:val="22"/>
        </w:numPr>
        <w:tabs>
          <w:tab w:pos="2380" w:val="left" w:leader="none"/>
          <w:tab w:pos="2381" w:val="left" w:leader="none"/>
        </w:tabs>
        <w:spacing w:line="242" w:lineRule="auto" w:before="124" w:after="0"/>
        <w:ind w:left="2380" w:right="1669" w:hanging="794"/>
        <w:jc w:val="left"/>
        <w:rPr>
          <w:sz w:val="21"/>
        </w:rPr>
      </w:pPr>
      <w:r>
        <w:rPr>
          <w:w w:val="105"/>
          <w:sz w:val="21"/>
        </w:rPr>
        <w:t>The</w:t>
      </w:r>
      <w:r>
        <w:rPr>
          <w:spacing w:val="-5"/>
          <w:w w:val="105"/>
          <w:sz w:val="21"/>
        </w:rPr>
        <w:t> </w:t>
      </w:r>
      <w:r>
        <w:rPr>
          <w:spacing w:val="-3"/>
          <w:w w:val="105"/>
          <w:sz w:val="21"/>
        </w:rPr>
        <w:t>Commission</w:t>
      </w:r>
      <w:r>
        <w:rPr>
          <w:spacing w:val="-5"/>
          <w:w w:val="105"/>
          <w:sz w:val="21"/>
        </w:rPr>
        <w:t> </w:t>
      </w:r>
      <w:r>
        <w:rPr>
          <w:spacing w:val="-2"/>
          <w:w w:val="105"/>
          <w:sz w:val="21"/>
        </w:rPr>
        <w:t>has</w:t>
      </w:r>
      <w:r>
        <w:rPr>
          <w:spacing w:val="-5"/>
          <w:w w:val="105"/>
          <w:sz w:val="21"/>
        </w:rPr>
        <w:t> </w:t>
      </w:r>
      <w:r>
        <w:rPr>
          <w:w w:val="105"/>
          <w:sz w:val="21"/>
        </w:rPr>
        <w:t>been</w:t>
      </w:r>
      <w:r>
        <w:rPr>
          <w:spacing w:val="-4"/>
          <w:w w:val="105"/>
          <w:sz w:val="21"/>
        </w:rPr>
        <w:t> </w:t>
      </w:r>
      <w:r>
        <w:rPr>
          <w:spacing w:val="-3"/>
          <w:w w:val="105"/>
          <w:sz w:val="21"/>
        </w:rPr>
        <w:t>asked</w:t>
      </w:r>
      <w:r>
        <w:rPr>
          <w:spacing w:val="-5"/>
          <w:w w:val="105"/>
          <w:sz w:val="21"/>
        </w:rPr>
        <w:t> </w:t>
      </w:r>
      <w:r>
        <w:rPr>
          <w:spacing w:val="-3"/>
          <w:w w:val="105"/>
          <w:sz w:val="21"/>
        </w:rPr>
        <w:t>to</w:t>
      </w:r>
      <w:r>
        <w:rPr>
          <w:spacing w:val="-5"/>
          <w:w w:val="105"/>
          <w:sz w:val="21"/>
        </w:rPr>
        <w:t> </w:t>
      </w:r>
      <w:r>
        <w:rPr>
          <w:w w:val="105"/>
          <w:sz w:val="21"/>
        </w:rPr>
        <w:t>review</w:t>
      </w:r>
      <w:r>
        <w:rPr>
          <w:spacing w:val="-5"/>
          <w:w w:val="105"/>
          <w:sz w:val="21"/>
        </w:rPr>
        <w:t> </w:t>
      </w:r>
      <w:r>
        <w:rPr>
          <w:w w:val="105"/>
          <w:sz w:val="21"/>
        </w:rPr>
        <w:t>and</w:t>
      </w:r>
      <w:r>
        <w:rPr>
          <w:spacing w:val="-4"/>
          <w:w w:val="105"/>
          <w:sz w:val="21"/>
        </w:rPr>
        <w:t> </w:t>
      </w:r>
      <w:r>
        <w:rPr>
          <w:w w:val="105"/>
          <w:sz w:val="21"/>
        </w:rPr>
        <w:t>report</w:t>
      </w:r>
      <w:r>
        <w:rPr>
          <w:spacing w:val="-5"/>
          <w:w w:val="105"/>
          <w:sz w:val="21"/>
        </w:rPr>
        <w:t> </w:t>
      </w:r>
      <w:r>
        <w:rPr>
          <w:w w:val="105"/>
          <w:sz w:val="21"/>
        </w:rPr>
        <w:t>on</w:t>
      </w:r>
      <w:r>
        <w:rPr>
          <w:spacing w:val="-5"/>
          <w:w w:val="105"/>
          <w:sz w:val="21"/>
        </w:rPr>
        <w:t> </w:t>
      </w:r>
      <w:r>
        <w:rPr>
          <w:w w:val="105"/>
          <w:sz w:val="21"/>
        </w:rPr>
        <w:t>two</w:t>
      </w:r>
      <w:r>
        <w:rPr>
          <w:spacing w:val="-5"/>
          <w:w w:val="105"/>
          <w:sz w:val="21"/>
        </w:rPr>
        <w:t> </w:t>
      </w:r>
      <w:r>
        <w:rPr>
          <w:w w:val="105"/>
          <w:sz w:val="21"/>
        </w:rPr>
        <w:t>issues</w:t>
      </w:r>
      <w:r>
        <w:rPr>
          <w:spacing w:val="-4"/>
          <w:w w:val="105"/>
          <w:sz w:val="21"/>
        </w:rPr>
        <w:t> </w:t>
      </w:r>
      <w:r>
        <w:rPr>
          <w:spacing w:val="-3"/>
          <w:w w:val="105"/>
          <w:sz w:val="21"/>
        </w:rPr>
        <w:t>relating</w:t>
      </w:r>
      <w:r>
        <w:rPr>
          <w:spacing w:val="-5"/>
          <w:w w:val="105"/>
          <w:sz w:val="21"/>
        </w:rPr>
        <w:t> </w:t>
      </w:r>
      <w:r>
        <w:rPr>
          <w:spacing w:val="-3"/>
          <w:w w:val="105"/>
          <w:sz w:val="21"/>
        </w:rPr>
        <w:t>to</w:t>
      </w:r>
      <w:r>
        <w:rPr>
          <w:spacing w:val="-5"/>
          <w:w w:val="105"/>
          <w:sz w:val="21"/>
        </w:rPr>
        <w:t> </w:t>
      </w:r>
      <w:r>
        <w:rPr>
          <w:w w:val="105"/>
          <w:sz w:val="21"/>
        </w:rPr>
        <w:t>payments made to</w:t>
      </w:r>
      <w:r>
        <w:rPr>
          <w:spacing w:val="10"/>
          <w:w w:val="105"/>
          <w:sz w:val="21"/>
        </w:rPr>
        <w:t> </w:t>
      </w:r>
      <w:r>
        <w:rPr>
          <w:w w:val="105"/>
          <w:sz w:val="21"/>
        </w:rPr>
        <w:t>executors:</w:t>
      </w:r>
    </w:p>
    <w:p>
      <w:pPr>
        <w:pStyle w:val="ListParagraph"/>
        <w:numPr>
          <w:ilvl w:val="2"/>
          <w:numId w:val="22"/>
        </w:numPr>
        <w:tabs>
          <w:tab w:pos="2720" w:val="left" w:leader="none"/>
          <w:tab w:pos="2721" w:val="left" w:leader="none"/>
        </w:tabs>
        <w:spacing w:line="242" w:lineRule="auto" w:before="123" w:after="0"/>
        <w:ind w:left="2720" w:right="1666" w:hanging="340"/>
        <w:jc w:val="left"/>
        <w:rPr>
          <w:sz w:val="21"/>
        </w:rPr>
      </w:pPr>
      <w:r>
        <w:rPr>
          <w:w w:val="105"/>
          <w:sz w:val="21"/>
        </w:rPr>
        <w:t>whether</w:t>
      </w:r>
      <w:r>
        <w:rPr>
          <w:spacing w:val="-13"/>
          <w:w w:val="105"/>
          <w:sz w:val="21"/>
        </w:rPr>
        <w:t> </w:t>
      </w:r>
      <w:r>
        <w:rPr>
          <w:w w:val="105"/>
          <w:sz w:val="21"/>
        </w:rPr>
        <w:t>there</w:t>
      </w:r>
      <w:r>
        <w:rPr>
          <w:spacing w:val="-13"/>
          <w:w w:val="105"/>
          <w:sz w:val="21"/>
        </w:rPr>
        <w:t> </w:t>
      </w:r>
      <w:r>
        <w:rPr>
          <w:w w:val="105"/>
          <w:sz w:val="21"/>
        </w:rPr>
        <w:t>should</w:t>
      </w:r>
      <w:r>
        <w:rPr>
          <w:spacing w:val="-12"/>
          <w:w w:val="105"/>
          <w:sz w:val="21"/>
        </w:rPr>
        <w:t> </w:t>
      </w:r>
      <w:r>
        <w:rPr>
          <w:w w:val="105"/>
          <w:sz w:val="21"/>
        </w:rPr>
        <w:t>be</w:t>
      </w:r>
      <w:r>
        <w:rPr>
          <w:spacing w:val="-13"/>
          <w:w w:val="105"/>
          <w:sz w:val="21"/>
        </w:rPr>
        <w:t> </w:t>
      </w:r>
      <w:r>
        <w:rPr>
          <w:w w:val="105"/>
          <w:sz w:val="21"/>
        </w:rPr>
        <w:t>special</w:t>
      </w:r>
      <w:r>
        <w:rPr>
          <w:spacing w:val="-12"/>
          <w:w w:val="105"/>
          <w:sz w:val="21"/>
        </w:rPr>
        <w:t> </w:t>
      </w:r>
      <w:r>
        <w:rPr>
          <w:w w:val="105"/>
          <w:sz w:val="21"/>
        </w:rPr>
        <w:t>rules</w:t>
      </w:r>
      <w:r>
        <w:rPr>
          <w:spacing w:val="-13"/>
          <w:w w:val="105"/>
          <w:sz w:val="21"/>
        </w:rPr>
        <w:t> </w:t>
      </w:r>
      <w:r>
        <w:rPr>
          <w:spacing w:val="-3"/>
          <w:w w:val="105"/>
          <w:sz w:val="21"/>
        </w:rPr>
        <w:t>for</w:t>
      </w:r>
      <w:r>
        <w:rPr>
          <w:spacing w:val="-12"/>
          <w:w w:val="105"/>
          <w:sz w:val="21"/>
        </w:rPr>
        <w:t> </w:t>
      </w:r>
      <w:r>
        <w:rPr>
          <w:w w:val="105"/>
          <w:sz w:val="21"/>
        </w:rPr>
        <w:t>legal</w:t>
      </w:r>
      <w:r>
        <w:rPr>
          <w:spacing w:val="-13"/>
          <w:w w:val="105"/>
          <w:sz w:val="21"/>
        </w:rPr>
        <w:t> </w:t>
      </w:r>
      <w:r>
        <w:rPr>
          <w:w w:val="105"/>
          <w:sz w:val="21"/>
        </w:rPr>
        <w:t>practitioners</w:t>
      </w:r>
      <w:r>
        <w:rPr>
          <w:spacing w:val="-12"/>
          <w:w w:val="105"/>
          <w:sz w:val="21"/>
        </w:rPr>
        <w:t> </w:t>
      </w:r>
      <w:r>
        <w:rPr>
          <w:w w:val="105"/>
          <w:sz w:val="21"/>
        </w:rPr>
        <w:t>who</w:t>
      </w:r>
      <w:r>
        <w:rPr>
          <w:spacing w:val="-13"/>
          <w:w w:val="105"/>
          <w:sz w:val="21"/>
        </w:rPr>
        <w:t> </w:t>
      </w:r>
      <w:r>
        <w:rPr>
          <w:w w:val="105"/>
          <w:sz w:val="21"/>
        </w:rPr>
        <w:t>act</w:t>
      </w:r>
      <w:r>
        <w:rPr>
          <w:spacing w:val="-13"/>
          <w:w w:val="105"/>
          <w:sz w:val="21"/>
        </w:rPr>
        <w:t> </w:t>
      </w:r>
      <w:r>
        <w:rPr>
          <w:w w:val="105"/>
          <w:sz w:val="21"/>
        </w:rPr>
        <w:t>as</w:t>
      </w:r>
      <w:r>
        <w:rPr>
          <w:spacing w:val="-12"/>
          <w:w w:val="105"/>
          <w:sz w:val="21"/>
        </w:rPr>
        <w:t> </w:t>
      </w:r>
      <w:r>
        <w:rPr>
          <w:w w:val="105"/>
          <w:sz w:val="21"/>
        </w:rPr>
        <w:t>executors</w:t>
      </w:r>
      <w:r>
        <w:rPr>
          <w:spacing w:val="-13"/>
          <w:w w:val="105"/>
          <w:sz w:val="21"/>
        </w:rPr>
        <w:t> </w:t>
      </w:r>
      <w:r>
        <w:rPr>
          <w:w w:val="105"/>
          <w:sz w:val="21"/>
        </w:rPr>
        <w:t>and also carry out legal work on behalf of the </w:t>
      </w:r>
      <w:r>
        <w:rPr>
          <w:spacing w:val="-3"/>
          <w:w w:val="105"/>
          <w:sz w:val="21"/>
        </w:rPr>
        <w:t>estate, including </w:t>
      </w:r>
      <w:r>
        <w:rPr>
          <w:w w:val="105"/>
          <w:sz w:val="21"/>
        </w:rPr>
        <w:t>rules </w:t>
      </w:r>
      <w:r>
        <w:rPr>
          <w:spacing w:val="-3"/>
          <w:w w:val="105"/>
          <w:sz w:val="21"/>
        </w:rPr>
        <w:t>for </w:t>
      </w:r>
      <w:r>
        <w:rPr>
          <w:w w:val="105"/>
          <w:sz w:val="21"/>
        </w:rPr>
        <w:t>the </w:t>
      </w:r>
      <w:r>
        <w:rPr>
          <w:spacing w:val="-3"/>
          <w:w w:val="105"/>
          <w:sz w:val="21"/>
        </w:rPr>
        <w:t>charging </w:t>
      </w:r>
      <w:r>
        <w:rPr>
          <w:w w:val="105"/>
          <w:sz w:val="21"/>
        </w:rPr>
        <w:t>of costs and</w:t>
      </w:r>
      <w:r>
        <w:rPr>
          <w:spacing w:val="10"/>
          <w:w w:val="105"/>
          <w:sz w:val="21"/>
        </w:rPr>
        <w:t> </w:t>
      </w:r>
      <w:r>
        <w:rPr>
          <w:spacing w:val="-3"/>
          <w:w w:val="105"/>
          <w:sz w:val="21"/>
        </w:rPr>
        <w:t>commission</w:t>
      </w:r>
    </w:p>
    <w:p>
      <w:pPr>
        <w:pStyle w:val="ListParagraph"/>
        <w:numPr>
          <w:ilvl w:val="2"/>
          <w:numId w:val="22"/>
        </w:numPr>
        <w:tabs>
          <w:tab w:pos="2720" w:val="left" w:leader="none"/>
          <w:tab w:pos="2721" w:val="left" w:leader="none"/>
        </w:tabs>
        <w:spacing w:line="242" w:lineRule="auto" w:before="123" w:after="0"/>
        <w:ind w:left="2720" w:right="2034" w:hanging="340"/>
        <w:jc w:val="left"/>
        <w:rPr>
          <w:sz w:val="21"/>
        </w:rPr>
      </w:pPr>
      <w:r>
        <w:rPr>
          <w:w w:val="105"/>
          <w:sz w:val="21"/>
        </w:rPr>
        <w:t>whether</w:t>
      </w:r>
      <w:r>
        <w:rPr>
          <w:spacing w:val="-8"/>
          <w:w w:val="105"/>
          <w:sz w:val="21"/>
        </w:rPr>
        <w:t> </w:t>
      </w:r>
      <w:r>
        <w:rPr>
          <w:w w:val="105"/>
          <w:sz w:val="21"/>
        </w:rPr>
        <w:t>a</w:t>
      </w:r>
      <w:r>
        <w:rPr>
          <w:spacing w:val="-8"/>
          <w:w w:val="105"/>
          <w:sz w:val="21"/>
        </w:rPr>
        <w:t> </w:t>
      </w:r>
      <w:r>
        <w:rPr>
          <w:w w:val="105"/>
          <w:sz w:val="21"/>
        </w:rPr>
        <w:t>court</w:t>
      </w:r>
      <w:r>
        <w:rPr>
          <w:spacing w:val="-8"/>
          <w:w w:val="105"/>
          <w:sz w:val="21"/>
        </w:rPr>
        <w:t> </w:t>
      </w:r>
      <w:r>
        <w:rPr>
          <w:w w:val="105"/>
          <w:sz w:val="21"/>
        </w:rPr>
        <w:t>should</w:t>
      </w:r>
      <w:r>
        <w:rPr>
          <w:spacing w:val="-8"/>
          <w:w w:val="105"/>
          <w:sz w:val="21"/>
        </w:rPr>
        <w:t> </w:t>
      </w:r>
      <w:r>
        <w:rPr>
          <w:spacing w:val="-3"/>
          <w:w w:val="105"/>
          <w:sz w:val="21"/>
        </w:rPr>
        <w:t>have</w:t>
      </w:r>
      <w:r>
        <w:rPr>
          <w:spacing w:val="-7"/>
          <w:w w:val="105"/>
          <w:sz w:val="21"/>
        </w:rPr>
        <w:t> </w:t>
      </w:r>
      <w:r>
        <w:rPr>
          <w:w w:val="105"/>
          <w:sz w:val="21"/>
        </w:rPr>
        <w:t>the</w:t>
      </w:r>
      <w:r>
        <w:rPr>
          <w:spacing w:val="-8"/>
          <w:w w:val="105"/>
          <w:sz w:val="21"/>
        </w:rPr>
        <w:t> </w:t>
      </w:r>
      <w:r>
        <w:rPr>
          <w:w w:val="105"/>
          <w:sz w:val="21"/>
        </w:rPr>
        <w:t>power</w:t>
      </w:r>
      <w:r>
        <w:rPr>
          <w:spacing w:val="-8"/>
          <w:w w:val="105"/>
          <w:sz w:val="21"/>
        </w:rPr>
        <w:t> </w:t>
      </w:r>
      <w:r>
        <w:rPr>
          <w:spacing w:val="-3"/>
          <w:w w:val="105"/>
          <w:sz w:val="21"/>
        </w:rPr>
        <w:t>to</w:t>
      </w:r>
      <w:r>
        <w:rPr>
          <w:spacing w:val="-8"/>
          <w:w w:val="105"/>
          <w:sz w:val="21"/>
        </w:rPr>
        <w:t> </w:t>
      </w:r>
      <w:r>
        <w:rPr>
          <w:w w:val="105"/>
          <w:sz w:val="21"/>
        </w:rPr>
        <w:t>review</w:t>
      </w:r>
      <w:r>
        <w:rPr>
          <w:spacing w:val="-7"/>
          <w:w w:val="105"/>
          <w:sz w:val="21"/>
        </w:rPr>
        <w:t> </w:t>
      </w:r>
      <w:r>
        <w:rPr>
          <w:w w:val="105"/>
          <w:sz w:val="21"/>
        </w:rPr>
        <w:t>and</w:t>
      </w:r>
      <w:r>
        <w:rPr>
          <w:spacing w:val="-8"/>
          <w:w w:val="105"/>
          <w:sz w:val="21"/>
        </w:rPr>
        <w:t> </w:t>
      </w:r>
      <w:r>
        <w:rPr>
          <w:w w:val="105"/>
          <w:sz w:val="21"/>
        </w:rPr>
        <w:t>vary</w:t>
      </w:r>
      <w:r>
        <w:rPr>
          <w:spacing w:val="-8"/>
          <w:w w:val="105"/>
          <w:sz w:val="21"/>
        </w:rPr>
        <w:t> </w:t>
      </w:r>
      <w:r>
        <w:rPr>
          <w:w w:val="105"/>
          <w:sz w:val="21"/>
        </w:rPr>
        <w:t>costs</w:t>
      </w:r>
      <w:r>
        <w:rPr>
          <w:spacing w:val="-8"/>
          <w:w w:val="105"/>
          <w:sz w:val="21"/>
        </w:rPr>
        <w:t> </w:t>
      </w:r>
      <w:r>
        <w:rPr>
          <w:w w:val="105"/>
          <w:sz w:val="21"/>
        </w:rPr>
        <w:t>and</w:t>
      </w:r>
      <w:r>
        <w:rPr>
          <w:spacing w:val="-7"/>
          <w:w w:val="105"/>
          <w:sz w:val="21"/>
        </w:rPr>
        <w:t> </w:t>
      </w:r>
      <w:r>
        <w:rPr>
          <w:spacing w:val="-3"/>
          <w:w w:val="105"/>
          <w:sz w:val="21"/>
        </w:rPr>
        <w:t>commission charged </w:t>
      </w:r>
      <w:r>
        <w:rPr>
          <w:w w:val="105"/>
          <w:sz w:val="21"/>
        </w:rPr>
        <w:t>by</w:t>
      </w:r>
      <w:r>
        <w:rPr>
          <w:spacing w:val="13"/>
          <w:w w:val="105"/>
          <w:sz w:val="21"/>
        </w:rPr>
        <w:t> </w:t>
      </w:r>
      <w:r>
        <w:rPr>
          <w:w w:val="105"/>
          <w:sz w:val="21"/>
        </w:rPr>
        <w:t>executors.</w:t>
      </w:r>
    </w:p>
    <w:p>
      <w:pPr>
        <w:pStyle w:val="ListParagraph"/>
        <w:numPr>
          <w:ilvl w:val="1"/>
          <w:numId w:val="22"/>
        </w:numPr>
        <w:tabs>
          <w:tab w:pos="2380" w:val="left" w:leader="none"/>
          <w:tab w:pos="2381" w:val="left" w:leader="none"/>
        </w:tabs>
        <w:spacing w:line="242" w:lineRule="auto" w:before="122" w:after="0"/>
        <w:ind w:left="2380" w:right="1594" w:hanging="794"/>
        <w:jc w:val="left"/>
        <w:rPr>
          <w:sz w:val="21"/>
        </w:rPr>
      </w:pPr>
      <w:r>
        <w:rPr>
          <w:sz w:val="21"/>
        </w:rPr>
        <w:t>The first issue </w:t>
      </w:r>
      <w:r>
        <w:rPr>
          <w:spacing w:val="-3"/>
          <w:sz w:val="21"/>
        </w:rPr>
        <w:t>concerns </w:t>
      </w:r>
      <w:r>
        <w:rPr>
          <w:sz w:val="21"/>
        </w:rPr>
        <w:t>executors who </w:t>
      </w:r>
      <w:r>
        <w:rPr>
          <w:spacing w:val="-3"/>
          <w:sz w:val="21"/>
        </w:rPr>
        <w:t>are </w:t>
      </w:r>
      <w:r>
        <w:rPr>
          <w:sz w:val="21"/>
        </w:rPr>
        <w:t>legal practitioners. The second </w:t>
      </w:r>
      <w:r>
        <w:rPr>
          <w:spacing w:val="-3"/>
          <w:sz w:val="21"/>
        </w:rPr>
        <w:t>concerns all </w:t>
      </w:r>
      <w:r>
        <w:rPr>
          <w:sz w:val="21"/>
        </w:rPr>
        <w:t>executors but is particularly </w:t>
      </w:r>
      <w:r>
        <w:rPr>
          <w:spacing w:val="-3"/>
          <w:sz w:val="21"/>
        </w:rPr>
        <w:t>relevant to professional </w:t>
      </w:r>
      <w:r>
        <w:rPr>
          <w:sz w:val="21"/>
        </w:rPr>
        <w:t>executors because they </w:t>
      </w:r>
      <w:r>
        <w:rPr>
          <w:spacing w:val="-3"/>
          <w:sz w:val="21"/>
        </w:rPr>
        <w:t>are </w:t>
      </w:r>
      <w:r>
        <w:rPr>
          <w:sz w:val="21"/>
        </w:rPr>
        <w:t>more </w:t>
      </w:r>
      <w:r>
        <w:rPr>
          <w:spacing w:val="-4"/>
          <w:sz w:val="21"/>
        </w:rPr>
        <w:t>likely </w:t>
      </w:r>
      <w:r>
        <w:rPr>
          <w:spacing w:val="-3"/>
          <w:sz w:val="21"/>
        </w:rPr>
        <w:t>than </w:t>
      </w:r>
      <w:r>
        <w:rPr>
          <w:sz w:val="21"/>
        </w:rPr>
        <w:t>a </w:t>
      </w:r>
      <w:r>
        <w:rPr>
          <w:spacing w:val="-3"/>
          <w:sz w:val="21"/>
        </w:rPr>
        <w:t>will-maker’s </w:t>
      </w:r>
      <w:r>
        <w:rPr>
          <w:sz w:val="21"/>
        </w:rPr>
        <w:t>friend or </w:t>
      </w:r>
      <w:r>
        <w:rPr>
          <w:spacing w:val="-3"/>
          <w:sz w:val="21"/>
        </w:rPr>
        <w:t>relative </w:t>
      </w:r>
      <w:r>
        <w:rPr>
          <w:sz w:val="21"/>
        </w:rPr>
        <w:t>(who is also often a beneficiary) </w:t>
      </w:r>
      <w:r>
        <w:rPr>
          <w:spacing w:val="-3"/>
          <w:sz w:val="21"/>
        </w:rPr>
        <w:t>to charge for </w:t>
      </w:r>
      <w:r>
        <w:rPr>
          <w:sz w:val="21"/>
        </w:rPr>
        <w:t>their services.</w:t>
      </w:r>
    </w:p>
    <w:p>
      <w:pPr>
        <w:pStyle w:val="ListParagraph"/>
        <w:numPr>
          <w:ilvl w:val="1"/>
          <w:numId w:val="22"/>
        </w:numPr>
        <w:tabs>
          <w:tab w:pos="2380" w:val="left" w:leader="none"/>
          <w:tab w:pos="2381" w:val="left" w:leader="none"/>
        </w:tabs>
        <w:spacing w:line="242" w:lineRule="auto" w:before="125" w:after="0"/>
        <w:ind w:left="2380" w:right="1742" w:hanging="794"/>
        <w:jc w:val="left"/>
        <w:rPr>
          <w:sz w:val="21"/>
        </w:rPr>
      </w:pPr>
      <w:r>
        <w:rPr>
          <w:spacing w:val="-4"/>
          <w:sz w:val="21"/>
        </w:rPr>
        <w:t>At </w:t>
      </w:r>
      <w:r>
        <w:rPr>
          <w:sz w:val="21"/>
        </w:rPr>
        <w:t>the heart of both issues lies the conflict between duty  and  </w:t>
      </w:r>
      <w:r>
        <w:rPr>
          <w:spacing w:val="-3"/>
          <w:sz w:val="21"/>
        </w:rPr>
        <w:t>interest  that  </w:t>
      </w:r>
      <w:r>
        <w:rPr>
          <w:sz w:val="21"/>
        </w:rPr>
        <w:t>can  arise when an </w:t>
      </w:r>
      <w:r>
        <w:rPr>
          <w:spacing w:val="-3"/>
          <w:sz w:val="21"/>
        </w:rPr>
        <w:t>executor  charges  </w:t>
      </w:r>
      <w:r>
        <w:rPr>
          <w:sz w:val="21"/>
        </w:rPr>
        <w:t>the estate </w:t>
      </w:r>
      <w:r>
        <w:rPr>
          <w:spacing w:val="-3"/>
          <w:sz w:val="21"/>
        </w:rPr>
        <w:t>for</w:t>
      </w:r>
      <w:r>
        <w:rPr>
          <w:spacing w:val="41"/>
          <w:sz w:val="21"/>
        </w:rPr>
        <w:t> </w:t>
      </w:r>
      <w:r>
        <w:rPr>
          <w:sz w:val="21"/>
        </w:rPr>
        <w:t>their time and </w:t>
      </w:r>
      <w:r>
        <w:rPr>
          <w:spacing w:val="-3"/>
          <w:sz w:val="21"/>
        </w:rPr>
        <w:t>trouble.  </w:t>
      </w:r>
      <w:r>
        <w:rPr>
          <w:sz w:val="21"/>
        </w:rPr>
        <w:t>An </w:t>
      </w:r>
      <w:r>
        <w:rPr>
          <w:spacing w:val="-3"/>
          <w:sz w:val="21"/>
        </w:rPr>
        <w:t>executor  </w:t>
      </w:r>
      <w:r>
        <w:rPr>
          <w:spacing w:val="-2"/>
          <w:sz w:val="21"/>
        </w:rPr>
        <w:t>has  </w:t>
      </w:r>
      <w:r>
        <w:rPr>
          <w:sz w:val="21"/>
        </w:rPr>
        <w:t>a duty </w:t>
      </w:r>
      <w:r>
        <w:rPr>
          <w:spacing w:val="-3"/>
          <w:sz w:val="21"/>
        </w:rPr>
        <w:t>to </w:t>
      </w:r>
      <w:r>
        <w:rPr>
          <w:sz w:val="21"/>
        </w:rPr>
        <w:t>act in the interests of the beneficiaries. </w:t>
      </w:r>
      <w:r>
        <w:rPr>
          <w:spacing w:val="-4"/>
          <w:sz w:val="21"/>
        </w:rPr>
        <w:t>However, </w:t>
      </w:r>
      <w:r>
        <w:rPr>
          <w:sz w:val="21"/>
        </w:rPr>
        <w:t>in </w:t>
      </w:r>
      <w:r>
        <w:rPr>
          <w:spacing w:val="-3"/>
          <w:sz w:val="21"/>
        </w:rPr>
        <w:t>claiming </w:t>
      </w:r>
      <w:r>
        <w:rPr>
          <w:sz w:val="21"/>
        </w:rPr>
        <w:t>a </w:t>
      </w:r>
      <w:r>
        <w:rPr>
          <w:spacing w:val="-3"/>
          <w:sz w:val="21"/>
        </w:rPr>
        <w:t>reward from  </w:t>
      </w:r>
      <w:r>
        <w:rPr>
          <w:sz w:val="21"/>
        </w:rPr>
        <w:t>the estate </w:t>
      </w:r>
      <w:r>
        <w:rPr>
          <w:spacing w:val="-3"/>
          <w:sz w:val="21"/>
        </w:rPr>
        <w:t>for </w:t>
      </w:r>
      <w:r>
        <w:rPr>
          <w:sz w:val="21"/>
        </w:rPr>
        <w:t>meeting their </w:t>
      </w:r>
      <w:r>
        <w:rPr>
          <w:spacing w:val="-3"/>
          <w:sz w:val="21"/>
        </w:rPr>
        <w:t>executorial responsibilities, </w:t>
      </w:r>
      <w:r>
        <w:rPr>
          <w:sz w:val="21"/>
        </w:rPr>
        <w:t>they </w:t>
      </w:r>
      <w:r>
        <w:rPr>
          <w:spacing w:val="-3"/>
          <w:sz w:val="21"/>
        </w:rPr>
        <w:t>are drawing from </w:t>
      </w:r>
      <w:r>
        <w:rPr>
          <w:sz w:val="21"/>
        </w:rPr>
        <w:t>assets </w:t>
      </w:r>
      <w:r>
        <w:rPr>
          <w:spacing w:val="-3"/>
          <w:sz w:val="21"/>
        </w:rPr>
        <w:t>to </w:t>
      </w:r>
      <w:r>
        <w:rPr>
          <w:sz w:val="21"/>
        </w:rPr>
        <w:t>which a beneficiary </w:t>
      </w:r>
      <w:r>
        <w:rPr>
          <w:spacing w:val="-3"/>
          <w:sz w:val="21"/>
        </w:rPr>
        <w:t>might </w:t>
      </w:r>
      <w:r>
        <w:rPr>
          <w:sz w:val="21"/>
        </w:rPr>
        <w:t>otherwise </w:t>
      </w:r>
      <w:r>
        <w:rPr>
          <w:spacing w:val="-3"/>
          <w:sz w:val="21"/>
        </w:rPr>
        <w:t>have </w:t>
      </w:r>
      <w:r>
        <w:rPr>
          <w:sz w:val="21"/>
        </w:rPr>
        <w:t>been</w:t>
      </w:r>
      <w:r>
        <w:rPr>
          <w:spacing w:val="5"/>
          <w:sz w:val="21"/>
        </w:rPr>
        <w:t> </w:t>
      </w:r>
      <w:r>
        <w:rPr>
          <w:spacing w:val="-3"/>
          <w:sz w:val="21"/>
        </w:rPr>
        <w:t>entitled.</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1"/>
        </w:rPr>
      </w:pPr>
      <w:r>
        <w:rPr/>
        <w:pict>
          <v:line style="position:absolute;mso-position-horizontal-relative:page;mso-position-vertical-relative:paragraph;z-index:8672;mso-wrap-distance-left:0;mso-wrap-distance-right:0" from="79.370102pt,9.238975pt" to="515.905102pt,9.238975pt" stroked="true" strokeweight="1pt" strokecolor="#f9ceca">
            <v:stroke dashstyle="solid"/>
            <w10:wrap type="topAndBottom"/>
          </v:line>
        </w:pict>
      </w:r>
    </w:p>
    <w:p>
      <w:pPr>
        <w:pStyle w:val="BodyText"/>
        <w:spacing w:before="8"/>
        <w:rPr>
          <w:sz w:val="5"/>
        </w:rPr>
      </w:pPr>
    </w:p>
    <w:p>
      <w:pPr>
        <w:spacing w:after="0"/>
        <w:rPr>
          <w:sz w:val="5"/>
        </w:rPr>
        <w:sectPr>
          <w:pgSz w:w="11910" w:h="16840"/>
          <w:pgMar w:header="550" w:footer="0" w:top="1560" w:bottom="280" w:left="0" w:right="0"/>
        </w:sectPr>
      </w:pPr>
    </w:p>
    <w:p>
      <w:pPr>
        <w:spacing w:before="118"/>
        <w:ind w:left="720" w:right="0" w:firstLine="0"/>
        <w:jc w:val="left"/>
        <w:rPr>
          <w:b/>
          <w:sz w:val="24"/>
        </w:rPr>
      </w:pPr>
      <w:r>
        <w:rPr>
          <w:b/>
          <w:color w:val="EC5A4F"/>
          <w:spacing w:val="-3"/>
          <w:w w:val="110"/>
          <w:sz w:val="24"/>
        </w:rPr>
        <w:t>138</w:t>
      </w:r>
    </w:p>
    <w:p>
      <w:pPr>
        <w:tabs>
          <w:tab w:pos="1228" w:val="left" w:leader="none"/>
        </w:tabs>
        <w:spacing w:before="48"/>
        <w:ind w:left="1228" w:right="2824" w:hanging="794"/>
        <w:jc w:val="left"/>
        <w:rPr>
          <w:sz w:val="13"/>
        </w:rPr>
      </w:pPr>
      <w:r>
        <w:rPr/>
        <w:br w:type="column"/>
      </w:r>
      <w:r>
        <w:rPr>
          <w:w w:val="105"/>
          <w:sz w:val="13"/>
        </w:rPr>
        <w:t>1</w:t>
        <w:tab/>
      </w:r>
      <w:r>
        <w:rPr>
          <w:i/>
          <w:w w:val="105"/>
          <w:sz w:val="13"/>
        </w:rPr>
        <w:t>Corporations Act 2001 </w:t>
      </w:r>
      <w:r>
        <w:rPr>
          <w:w w:val="105"/>
          <w:sz w:val="13"/>
        </w:rPr>
        <w:t>(Cth) pt 5D.3 (applicable to licensed trustee companies); </w:t>
      </w:r>
      <w:r>
        <w:rPr>
          <w:i/>
          <w:w w:val="105"/>
          <w:sz w:val="13"/>
        </w:rPr>
        <w:t>Trustee Companies Act 1984 </w:t>
      </w:r>
      <w:r>
        <w:rPr>
          <w:spacing w:val="2"/>
          <w:w w:val="105"/>
          <w:sz w:val="13"/>
        </w:rPr>
        <w:t>(Vic) </w:t>
      </w:r>
      <w:r>
        <w:rPr>
          <w:w w:val="105"/>
          <w:sz w:val="13"/>
        </w:rPr>
        <w:t>s 21 (applicable to State Trustees</w:t>
      </w:r>
      <w:r>
        <w:rPr>
          <w:spacing w:val="17"/>
          <w:w w:val="105"/>
          <w:sz w:val="13"/>
        </w:rPr>
        <w:t> </w:t>
      </w:r>
      <w:r>
        <w:rPr>
          <w:w w:val="105"/>
          <w:sz w:val="13"/>
        </w:rPr>
        <w:t>Limited).</w:t>
      </w:r>
    </w:p>
    <w:p>
      <w:pPr>
        <w:spacing w:after="0"/>
        <w:jc w:val="left"/>
        <w:rPr>
          <w:sz w:val="13"/>
        </w:rPr>
        <w:sectPr>
          <w:type w:val="continuous"/>
          <w:pgSz w:w="11910" w:h="16840"/>
          <w:pgMar w:top="920" w:bottom="280" w:left="0" w:right="0"/>
          <w:cols w:num="2" w:equalWidth="0">
            <w:col w:w="1113" w:space="40"/>
            <w:col w:w="10757"/>
          </w:cols>
        </w:sectPr>
      </w:pPr>
    </w:p>
    <w:p>
      <w:pPr>
        <w:pStyle w:val="BodyText"/>
        <w:rPr>
          <w:sz w:val="20"/>
        </w:rPr>
      </w:pPr>
    </w:p>
    <w:p>
      <w:pPr>
        <w:pStyle w:val="BodyText"/>
        <w:rPr>
          <w:sz w:val="19"/>
        </w:rPr>
      </w:pPr>
    </w:p>
    <w:p>
      <w:pPr>
        <w:pStyle w:val="ListParagraph"/>
        <w:numPr>
          <w:ilvl w:val="1"/>
          <w:numId w:val="22"/>
        </w:numPr>
        <w:tabs>
          <w:tab w:pos="2381" w:val="left" w:leader="none"/>
          <w:tab w:pos="2382" w:val="left" w:leader="none"/>
        </w:tabs>
        <w:spacing w:line="240" w:lineRule="auto" w:before="91" w:after="0"/>
        <w:ind w:left="2381" w:right="0" w:hanging="794"/>
        <w:jc w:val="left"/>
        <w:rPr>
          <w:sz w:val="21"/>
        </w:rPr>
      </w:pPr>
      <w:r>
        <w:rPr>
          <w:sz w:val="21"/>
        </w:rPr>
        <w:t>Unless</w:t>
      </w:r>
      <w:r>
        <w:rPr>
          <w:spacing w:val="10"/>
          <w:sz w:val="21"/>
        </w:rPr>
        <w:t> </w:t>
      </w:r>
      <w:r>
        <w:rPr>
          <w:sz w:val="21"/>
        </w:rPr>
        <w:t>the</w:t>
      </w:r>
      <w:r>
        <w:rPr>
          <w:spacing w:val="10"/>
          <w:sz w:val="21"/>
        </w:rPr>
        <w:t> </w:t>
      </w:r>
      <w:r>
        <w:rPr>
          <w:sz w:val="21"/>
        </w:rPr>
        <w:t>conflict</w:t>
      </w:r>
      <w:r>
        <w:rPr>
          <w:spacing w:val="10"/>
          <w:sz w:val="21"/>
        </w:rPr>
        <w:t> </w:t>
      </w:r>
      <w:r>
        <w:rPr>
          <w:sz w:val="21"/>
        </w:rPr>
        <w:t>of</w:t>
      </w:r>
      <w:r>
        <w:rPr>
          <w:spacing w:val="10"/>
          <w:sz w:val="21"/>
        </w:rPr>
        <w:t> </w:t>
      </w:r>
      <w:r>
        <w:rPr>
          <w:sz w:val="21"/>
        </w:rPr>
        <w:t>duty</w:t>
      </w:r>
      <w:r>
        <w:rPr>
          <w:spacing w:val="10"/>
          <w:sz w:val="21"/>
        </w:rPr>
        <w:t> </w:t>
      </w:r>
      <w:r>
        <w:rPr>
          <w:sz w:val="21"/>
        </w:rPr>
        <w:t>and</w:t>
      </w:r>
      <w:r>
        <w:rPr>
          <w:spacing w:val="11"/>
          <w:sz w:val="21"/>
        </w:rPr>
        <w:t> </w:t>
      </w:r>
      <w:r>
        <w:rPr>
          <w:spacing w:val="-3"/>
          <w:sz w:val="21"/>
        </w:rPr>
        <w:t>interest</w:t>
      </w:r>
      <w:r>
        <w:rPr>
          <w:spacing w:val="10"/>
          <w:sz w:val="21"/>
        </w:rPr>
        <w:t> </w:t>
      </w:r>
      <w:r>
        <w:rPr>
          <w:sz w:val="21"/>
        </w:rPr>
        <w:t>is</w:t>
      </w:r>
      <w:r>
        <w:rPr>
          <w:spacing w:val="10"/>
          <w:sz w:val="21"/>
        </w:rPr>
        <w:t> </w:t>
      </w:r>
      <w:r>
        <w:rPr>
          <w:spacing w:val="-3"/>
          <w:sz w:val="21"/>
        </w:rPr>
        <w:t>carefully</w:t>
      </w:r>
      <w:r>
        <w:rPr>
          <w:spacing w:val="10"/>
          <w:sz w:val="21"/>
        </w:rPr>
        <w:t> </w:t>
      </w:r>
      <w:r>
        <w:rPr>
          <w:spacing w:val="-3"/>
          <w:sz w:val="21"/>
        </w:rPr>
        <w:t>managed,</w:t>
      </w:r>
      <w:r>
        <w:rPr>
          <w:spacing w:val="10"/>
          <w:sz w:val="21"/>
        </w:rPr>
        <w:t> </w:t>
      </w:r>
      <w:r>
        <w:rPr>
          <w:sz w:val="21"/>
        </w:rPr>
        <w:t>the</w:t>
      </w:r>
      <w:r>
        <w:rPr>
          <w:spacing w:val="11"/>
          <w:sz w:val="21"/>
        </w:rPr>
        <w:t> </w:t>
      </w:r>
      <w:r>
        <w:rPr>
          <w:sz w:val="21"/>
        </w:rPr>
        <w:t>assets</w:t>
      </w:r>
      <w:r>
        <w:rPr>
          <w:spacing w:val="10"/>
          <w:sz w:val="21"/>
        </w:rPr>
        <w:t> </w:t>
      </w:r>
      <w:r>
        <w:rPr>
          <w:spacing w:val="-3"/>
          <w:sz w:val="21"/>
        </w:rPr>
        <w:t>are</w:t>
      </w:r>
      <w:r>
        <w:rPr>
          <w:spacing w:val="10"/>
          <w:sz w:val="21"/>
        </w:rPr>
        <w:t> </w:t>
      </w:r>
      <w:r>
        <w:rPr>
          <w:sz w:val="21"/>
        </w:rPr>
        <w:t>at</w:t>
      </w:r>
      <w:r>
        <w:rPr>
          <w:spacing w:val="10"/>
          <w:sz w:val="21"/>
        </w:rPr>
        <w:t> </w:t>
      </w:r>
      <w:r>
        <w:rPr>
          <w:sz w:val="21"/>
        </w:rPr>
        <w:t>risk</w:t>
      </w:r>
    </w:p>
    <w:p>
      <w:pPr>
        <w:pStyle w:val="BodyText"/>
        <w:spacing w:before="4"/>
        <w:ind w:left="2381"/>
      </w:pPr>
      <w:r>
        <w:rPr/>
        <w:t>of being depleted by excessive or unnecessary charges. The risk is exacerbated when:</w:t>
      </w:r>
    </w:p>
    <w:p>
      <w:pPr>
        <w:pStyle w:val="ListParagraph"/>
        <w:numPr>
          <w:ilvl w:val="2"/>
          <w:numId w:val="22"/>
        </w:numPr>
        <w:tabs>
          <w:tab w:pos="2721" w:val="left" w:leader="none"/>
          <w:tab w:pos="2722" w:val="left" w:leader="none"/>
        </w:tabs>
        <w:spacing w:line="242" w:lineRule="auto" w:before="124" w:after="0"/>
        <w:ind w:left="2721" w:right="1833" w:hanging="340"/>
        <w:jc w:val="left"/>
        <w:rPr>
          <w:sz w:val="21"/>
        </w:rPr>
      </w:pPr>
      <w:r>
        <w:rPr>
          <w:sz w:val="21"/>
        </w:rPr>
        <w:t>The </w:t>
      </w:r>
      <w:r>
        <w:rPr>
          <w:spacing w:val="-3"/>
          <w:sz w:val="21"/>
        </w:rPr>
        <w:t>executor </w:t>
      </w:r>
      <w:r>
        <w:rPr>
          <w:sz w:val="21"/>
        </w:rPr>
        <w:t>is a </w:t>
      </w:r>
      <w:r>
        <w:rPr>
          <w:spacing w:val="-3"/>
          <w:sz w:val="21"/>
        </w:rPr>
        <w:t>professional </w:t>
      </w:r>
      <w:r>
        <w:rPr>
          <w:sz w:val="21"/>
        </w:rPr>
        <w:t>who also drafted the </w:t>
      </w:r>
      <w:r>
        <w:rPr>
          <w:spacing w:val="-3"/>
          <w:sz w:val="21"/>
        </w:rPr>
        <w:t>will </w:t>
      </w:r>
      <w:r>
        <w:rPr>
          <w:sz w:val="21"/>
        </w:rPr>
        <w:t>and it </w:t>
      </w:r>
      <w:r>
        <w:rPr>
          <w:spacing w:val="-3"/>
          <w:sz w:val="21"/>
        </w:rPr>
        <w:t>contains </w:t>
      </w:r>
      <w:r>
        <w:rPr>
          <w:sz w:val="21"/>
        </w:rPr>
        <w:t>a </w:t>
      </w:r>
      <w:r>
        <w:rPr>
          <w:spacing w:val="-3"/>
          <w:sz w:val="21"/>
        </w:rPr>
        <w:t>clause that </w:t>
      </w:r>
      <w:r>
        <w:rPr>
          <w:sz w:val="21"/>
        </w:rPr>
        <w:t>authorises the payment of </w:t>
      </w:r>
      <w:r>
        <w:rPr>
          <w:spacing w:val="-3"/>
          <w:sz w:val="21"/>
        </w:rPr>
        <w:t>commission. Here, </w:t>
      </w:r>
      <w:r>
        <w:rPr>
          <w:sz w:val="21"/>
        </w:rPr>
        <w:t>a further conflict of duty and </w:t>
      </w:r>
      <w:r>
        <w:rPr>
          <w:spacing w:val="-3"/>
          <w:sz w:val="21"/>
        </w:rPr>
        <w:t>interest </w:t>
      </w:r>
      <w:r>
        <w:rPr>
          <w:sz w:val="21"/>
        </w:rPr>
        <w:t>arises because the </w:t>
      </w:r>
      <w:r>
        <w:rPr>
          <w:spacing w:val="-3"/>
          <w:sz w:val="21"/>
        </w:rPr>
        <w:t>professional </w:t>
      </w:r>
      <w:r>
        <w:rPr>
          <w:sz w:val="21"/>
        </w:rPr>
        <w:t>owes a duty </w:t>
      </w:r>
      <w:r>
        <w:rPr>
          <w:spacing w:val="-3"/>
          <w:sz w:val="21"/>
        </w:rPr>
        <w:t>to </w:t>
      </w:r>
      <w:r>
        <w:rPr>
          <w:sz w:val="21"/>
        </w:rPr>
        <w:t>act in the best interests of the </w:t>
      </w:r>
      <w:r>
        <w:rPr>
          <w:spacing w:val="-3"/>
          <w:sz w:val="21"/>
        </w:rPr>
        <w:t>client </w:t>
      </w:r>
      <w:r>
        <w:rPr>
          <w:sz w:val="21"/>
        </w:rPr>
        <w:t>but </w:t>
      </w:r>
      <w:r>
        <w:rPr>
          <w:spacing w:val="-2"/>
          <w:sz w:val="21"/>
        </w:rPr>
        <w:t>has </w:t>
      </w:r>
      <w:r>
        <w:rPr>
          <w:sz w:val="21"/>
        </w:rPr>
        <w:t>a personal </w:t>
      </w:r>
      <w:r>
        <w:rPr>
          <w:spacing w:val="-3"/>
          <w:sz w:val="21"/>
        </w:rPr>
        <w:t>interest </w:t>
      </w:r>
      <w:r>
        <w:rPr>
          <w:sz w:val="21"/>
        </w:rPr>
        <w:t>in securing </w:t>
      </w:r>
      <w:r>
        <w:rPr>
          <w:spacing w:val="-3"/>
          <w:sz w:val="21"/>
        </w:rPr>
        <w:t>appropriate remuneration for all </w:t>
      </w:r>
      <w:r>
        <w:rPr>
          <w:sz w:val="21"/>
        </w:rPr>
        <w:t>services </w:t>
      </w:r>
      <w:r>
        <w:rPr>
          <w:spacing w:val="-3"/>
          <w:sz w:val="21"/>
        </w:rPr>
        <w:t>rendered </w:t>
      </w:r>
      <w:r>
        <w:rPr>
          <w:sz w:val="21"/>
        </w:rPr>
        <w:t>in the </w:t>
      </w:r>
      <w:r>
        <w:rPr>
          <w:spacing w:val="-3"/>
          <w:sz w:val="21"/>
        </w:rPr>
        <w:t>administration </w:t>
      </w:r>
      <w:r>
        <w:rPr>
          <w:sz w:val="21"/>
        </w:rPr>
        <w:t>of the</w:t>
      </w:r>
      <w:r>
        <w:rPr>
          <w:spacing w:val="14"/>
          <w:sz w:val="21"/>
        </w:rPr>
        <w:t> </w:t>
      </w:r>
      <w:r>
        <w:rPr>
          <w:spacing w:val="-3"/>
          <w:sz w:val="21"/>
        </w:rPr>
        <w:t>estate.</w:t>
      </w:r>
    </w:p>
    <w:p>
      <w:pPr>
        <w:pStyle w:val="ListParagraph"/>
        <w:numPr>
          <w:ilvl w:val="2"/>
          <w:numId w:val="22"/>
        </w:numPr>
        <w:tabs>
          <w:tab w:pos="2721" w:val="left" w:leader="none"/>
          <w:tab w:pos="2722" w:val="left" w:leader="none"/>
        </w:tabs>
        <w:spacing w:line="242" w:lineRule="auto" w:before="125" w:after="0"/>
        <w:ind w:left="2721" w:right="1685" w:hanging="340"/>
        <w:jc w:val="left"/>
        <w:rPr>
          <w:sz w:val="21"/>
        </w:rPr>
      </w:pPr>
      <w:r>
        <w:rPr>
          <w:sz w:val="21"/>
        </w:rPr>
        <w:t>The </w:t>
      </w:r>
      <w:r>
        <w:rPr>
          <w:spacing w:val="-3"/>
          <w:sz w:val="21"/>
        </w:rPr>
        <w:t>executor  </w:t>
      </w:r>
      <w:r>
        <w:rPr>
          <w:sz w:val="21"/>
        </w:rPr>
        <w:t>is a </w:t>
      </w:r>
      <w:r>
        <w:rPr>
          <w:spacing w:val="-3"/>
          <w:sz w:val="21"/>
        </w:rPr>
        <w:t>professional</w:t>
      </w:r>
      <w:r>
        <w:rPr>
          <w:spacing w:val="41"/>
          <w:sz w:val="21"/>
        </w:rPr>
        <w:t> </w:t>
      </w:r>
      <w:r>
        <w:rPr>
          <w:sz w:val="21"/>
        </w:rPr>
        <w:t>who is authorised by a </w:t>
      </w:r>
      <w:r>
        <w:rPr>
          <w:spacing w:val="-3"/>
          <w:sz w:val="21"/>
        </w:rPr>
        <w:t>remuneration  clause  </w:t>
      </w:r>
      <w:r>
        <w:rPr>
          <w:sz w:val="21"/>
        </w:rPr>
        <w:t>in the </w:t>
      </w:r>
      <w:r>
        <w:rPr>
          <w:spacing w:val="-3"/>
          <w:sz w:val="21"/>
        </w:rPr>
        <w:t>will   to charge </w:t>
      </w:r>
      <w:r>
        <w:rPr>
          <w:sz w:val="21"/>
        </w:rPr>
        <w:t>the estate </w:t>
      </w:r>
      <w:r>
        <w:rPr>
          <w:spacing w:val="-3"/>
          <w:sz w:val="21"/>
        </w:rPr>
        <w:t>for any professional </w:t>
      </w:r>
      <w:r>
        <w:rPr>
          <w:sz w:val="21"/>
        </w:rPr>
        <w:t>services they provide in addition </w:t>
      </w:r>
      <w:r>
        <w:rPr>
          <w:spacing w:val="-3"/>
          <w:sz w:val="21"/>
        </w:rPr>
        <w:t>to charging commission for </w:t>
      </w:r>
      <w:r>
        <w:rPr>
          <w:sz w:val="21"/>
        </w:rPr>
        <w:t>their </w:t>
      </w:r>
      <w:r>
        <w:rPr>
          <w:spacing w:val="-3"/>
          <w:sz w:val="21"/>
        </w:rPr>
        <w:t>executorial responsibilities. Here, </w:t>
      </w:r>
      <w:r>
        <w:rPr>
          <w:sz w:val="21"/>
        </w:rPr>
        <w:t>it is left up </w:t>
      </w:r>
      <w:r>
        <w:rPr>
          <w:spacing w:val="-3"/>
          <w:sz w:val="21"/>
        </w:rPr>
        <w:t>to </w:t>
      </w:r>
      <w:r>
        <w:rPr>
          <w:sz w:val="21"/>
        </w:rPr>
        <w:t>the </w:t>
      </w:r>
      <w:r>
        <w:rPr>
          <w:spacing w:val="-3"/>
          <w:sz w:val="21"/>
        </w:rPr>
        <w:t>executor to determine </w:t>
      </w:r>
      <w:r>
        <w:rPr>
          <w:sz w:val="21"/>
        </w:rPr>
        <w:t>which services attract the operation of the </w:t>
      </w:r>
      <w:r>
        <w:rPr>
          <w:spacing w:val="-3"/>
          <w:sz w:val="21"/>
        </w:rPr>
        <w:t>remuneration clause </w:t>
      </w:r>
      <w:r>
        <w:rPr>
          <w:sz w:val="21"/>
        </w:rPr>
        <w:t>and which attract the operation of the </w:t>
      </w:r>
      <w:r>
        <w:rPr>
          <w:spacing w:val="-3"/>
          <w:sz w:val="21"/>
        </w:rPr>
        <w:t>commission</w:t>
      </w:r>
      <w:r>
        <w:rPr>
          <w:spacing w:val="11"/>
          <w:sz w:val="21"/>
        </w:rPr>
        <w:t> </w:t>
      </w:r>
      <w:r>
        <w:rPr>
          <w:spacing w:val="-3"/>
          <w:sz w:val="21"/>
        </w:rPr>
        <w:t>clause.</w:t>
      </w:r>
    </w:p>
    <w:p>
      <w:pPr>
        <w:pStyle w:val="ListParagraph"/>
        <w:numPr>
          <w:ilvl w:val="1"/>
          <w:numId w:val="22"/>
        </w:numPr>
        <w:tabs>
          <w:tab w:pos="2381" w:val="left" w:leader="none"/>
          <w:tab w:pos="2382" w:val="left" w:leader="none"/>
        </w:tabs>
        <w:spacing w:line="242" w:lineRule="auto" w:before="125" w:after="0"/>
        <w:ind w:left="2381" w:right="1717" w:hanging="794"/>
        <w:jc w:val="left"/>
        <w:rPr>
          <w:sz w:val="12"/>
        </w:rPr>
      </w:pPr>
      <w:r>
        <w:rPr>
          <w:sz w:val="21"/>
        </w:rPr>
        <w:t>Although the </w:t>
      </w:r>
      <w:r>
        <w:rPr>
          <w:spacing w:val="-3"/>
          <w:sz w:val="21"/>
        </w:rPr>
        <w:t>terms </w:t>
      </w:r>
      <w:r>
        <w:rPr>
          <w:sz w:val="21"/>
        </w:rPr>
        <w:t>of </w:t>
      </w:r>
      <w:r>
        <w:rPr>
          <w:spacing w:val="-3"/>
          <w:sz w:val="21"/>
        </w:rPr>
        <w:t>reference draw </w:t>
      </w:r>
      <w:r>
        <w:rPr>
          <w:sz w:val="21"/>
        </w:rPr>
        <w:t>attention </w:t>
      </w:r>
      <w:r>
        <w:rPr>
          <w:spacing w:val="-3"/>
          <w:sz w:val="21"/>
        </w:rPr>
        <w:t>to </w:t>
      </w:r>
      <w:r>
        <w:rPr>
          <w:sz w:val="21"/>
        </w:rPr>
        <w:t>the actions of legal practitioners, it is important </w:t>
      </w:r>
      <w:r>
        <w:rPr>
          <w:spacing w:val="-3"/>
          <w:sz w:val="21"/>
        </w:rPr>
        <w:t>to note that </w:t>
      </w:r>
      <w:r>
        <w:rPr>
          <w:sz w:val="21"/>
        </w:rPr>
        <w:t>other </w:t>
      </w:r>
      <w:r>
        <w:rPr>
          <w:spacing w:val="-3"/>
          <w:sz w:val="21"/>
        </w:rPr>
        <w:t>professional </w:t>
      </w:r>
      <w:r>
        <w:rPr>
          <w:sz w:val="21"/>
        </w:rPr>
        <w:t>executors </w:t>
      </w:r>
      <w:r>
        <w:rPr>
          <w:spacing w:val="-3"/>
          <w:sz w:val="21"/>
        </w:rPr>
        <w:t>are increasingly </w:t>
      </w:r>
      <w:r>
        <w:rPr>
          <w:sz w:val="21"/>
        </w:rPr>
        <w:t>being </w:t>
      </w:r>
      <w:r>
        <w:rPr>
          <w:spacing w:val="-3"/>
          <w:sz w:val="21"/>
        </w:rPr>
        <w:t>appointed  </w:t>
      </w:r>
      <w:r>
        <w:rPr>
          <w:sz w:val="21"/>
        </w:rPr>
        <w:t>and </w:t>
      </w:r>
      <w:r>
        <w:rPr>
          <w:spacing w:val="-3"/>
          <w:sz w:val="21"/>
        </w:rPr>
        <w:t>are  charging  for  </w:t>
      </w:r>
      <w:r>
        <w:rPr>
          <w:sz w:val="21"/>
        </w:rPr>
        <w:t>their services. </w:t>
      </w:r>
      <w:r>
        <w:rPr>
          <w:spacing w:val="-3"/>
          <w:sz w:val="21"/>
        </w:rPr>
        <w:t>Compared</w:t>
      </w:r>
      <w:r>
        <w:rPr>
          <w:spacing w:val="41"/>
          <w:sz w:val="21"/>
        </w:rPr>
        <w:t> </w:t>
      </w:r>
      <w:r>
        <w:rPr>
          <w:spacing w:val="-3"/>
          <w:sz w:val="21"/>
        </w:rPr>
        <w:t>to  </w:t>
      </w:r>
      <w:r>
        <w:rPr>
          <w:sz w:val="21"/>
        </w:rPr>
        <w:t>the legal </w:t>
      </w:r>
      <w:r>
        <w:rPr>
          <w:spacing w:val="-3"/>
          <w:sz w:val="21"/>
        </w:rPr>
        <w:t>profession,  </w:t>
      </w:r>
      <w:r>
        <w:rPr>
          <w:sz w:val="21"/>
        </w:rPr>
        <w:t>there is less </w:t>
      </w:r>
      <w:r>
        <w:rPr>
          <w:spacing w:val="-3"/>
          <w:sz w:val="21"/>
        </w:rPr>
        <w:t>regulation </w:t>
      </w:r>
      <w:r>
        <w:rPr>
          <w:sz w:val="21"/>
        </w:rPr>
        <w:t>of the </w:t>
      </w:r>
      <w:r>
        <w:rPr>
          <w:spacing w:val="-3"/>
          <w:sz w:val="21"/>
        </w:rPr>
        <w:t>executorial </w:t>
      </w:r>
      <w:r>
        <w:rPr>
          <w:sz w:val="21"/>
        </w:rPr>
        <w:t>services they </w:t>
      </w:r>
      <w:r>
        <w:rPr>
          <w:spacing w:val="-3"/>
          <w:sz w:val="21"/>
        </w:rPr>
        <w:t>provide, </w:t>
      </w:r>
      <w:r>
        <w:rPr>
          <w:sz w:val="21"/>
        </w:rPr>
        <w:t>yet conflicts of </w:t>
      </w:r>
      <w:r>
        <w:rPr>
          <w:spacing w:val="-3"/>
          <w:sz w:val="21"/>
        </w:rPr>
        <w:t>interest </w:t>
      </w:r>
      <w:r>
        <w:rPr>
          <w:sz w:val="21"/>
        </w:rPr>
        <w:t>can </w:t>
      </w:r>
      <w:r>
        <w:rPr>
          <w:spacing w:val="-3"/>
          <w:sz w:val="21"/>
        </w:rPr>
        <w:t>similarly</w:t>
      </w:r>
      <w:r>
        <w:rPr>
          <w:spacing w:val="23"/>
          <w:sz w:val="21"/>
        </w:rPr>
        <w:t> </w:t>
      </w:r>
      <w:r>
        <w:rPr>
          <w:spacing w:val="-3"/>
          <w:sz w:val="21"/>
        </w:rPr>
        <w:t>arise.</w:t>
      </w:r>
      <w:r>
        <w:rPr>
          <w:spacing w:val="-3"/>
          <w:position w:val="7"/>
          <w:sz w:val="12"/>
        </w:rPr>
        <w:t>2</w:t>
      </w:r>
    </w:p>
    <w:p>
      <w:pPr>
        <w:pStyle w:val="BodyText"/>
        <w:spacing w:before="1"/>
        <w:rPr>
          <w:sz w:val="25"/>
        </w:rPr>
      </w:pPr>
    </w:p>
    <w:p>
      <w:pPr>
        <w:pStyle w:val="Heading5"/>
      </w:pPr>
      <w:r>
        <w:rPr>
          <w:w w:val="115"/>
        </w:rPr>
        <w:t>Legal</w:t>
      </w:r>
      <w:r>
        <w:rPr>
          <w:spacing w:val="-38"/>
          <w:w w:val="115"/>
        </w:rPr>
        <w:t> </w:t>
      </w:r>
      <w:r>
        <w:rPr>
          <w:w w:val="115"/>
        </w:rPr>
        <w:t>practitioner</w:t>
      </w:r>
      <w:r>
        <w:rPr>
          <w:spacing w:val="-38"/>
          <w:w w:val="115"/>
        </w:rPr>
        <w:t> </w:t>
      </w:r>
      <w:r>
        <w:rPr>
          <w:w w:val="115"/>
        </w:rPr>
        <w:t>executors</w:t>
      </w:r>
    </w:p>
    <w:p>
      <w:pPr>
        <w:pStyle w:val="ListParagraph"/>
        <w:numPr>
          <w:ilvl w:val="1"/>
          <w:numId w:val="22"/>
        </w:numPr>
        <w:tabs>
          <w:tab w:pos="2381" w:val="left" w:leader="none"/>
          <w:tab w:pos="2382" w:val="left" w:leader="none"/>
        </w:tabs>
        <w:spacing w:line="242" w:lineRule="auto" w:before="137" w:after="0"/>
        <w:ind w:left="2381" w:right="1764" w:hanging="794"/>
        <w:jc w:val="left"/>
        <w:rPr>
          <w:sz w:val="21"/>
        </w:rPr>
      </w:pPr>
      <w:r>
        <w:rPr>
          <w:sz w:val="21"/>
        </w:rPr>
        <w:t>There </w:t>
      </w:r>
      <w:r>
        <w:rPr>
          <w:spacing w:val="-3"/>
          <w:sz w:val="21"/>
        </w:rPr>
        <w:t>are </w:t>
      </w:r>
      <w:r>
        <w:rPr>
          <w:spacing w:val="-2"/>
          <w:sz w:val="21"/>
        </w:rPr>
        <w:t>cogent </w:t>
      </w:r>
      <w:r>
        <w:rPr>
          <w:spacing w:val="-3"/>
          <w:sz w:val="21"/>
        </w:rPr>
        <w:t>reasons </w:t>
      </w:r>
      <w:r>
        <w:rPr>
          <w:sz w:val="21"/>
        </w:rPr>
        <w:t>why legal practitioners </w:t>
      </w:r>
      <w:r>
        <w:rPr>
          <w:spacing w:val="-3"/>
          <w:sz w:val="21"/>
        </w:rPr>
        <w:t>are appointed  </w:t>
      </w:r>
      <w:r>
        <w:rPr>
          <w:sz w:val="21"/>
        </w:rPr>
        <w:t>as executors, and it is in the </w:t>
      </w:r>
      <w:r>
        <w:rPr>
          <w:spacing w:val="-3"/>
          <w:sz w:val="21"/>
        </w:rPr>
        <w:t>community’s interest that </w:t>
      </w:r>
      <w:r>
        <w:rPr>
          <w:sz w:val="21"/>
        </w:rPr>
        <w:t>they </w:t>
      </w:r>
      <w:r>
        <w:rPr>
          <w:spacing w:val="-3"/>
          <w:sz w:val="21"/>
        </w:rPr>
        <w:t>continue to </w:t>
      </w:r>
      <w:r>
        <w:rPr>
          <w:sz w:val="21"/>
        </w:rPr>
        <w:t>provide </w:t>
      </w:r>
      <w:r>
        <w:rPr>
          <w:spacing w:val="-3"/>
          <w:sz w:val="21"/>
        </w:rPr>
        <w:t>executorial </w:t>
      </w:r>
      <w:r>
        <w:rPr>
          <w:sz w:val="21"/>
        </w:rPr>
        <w:t>services. Most legal practitioners act in the best interests of will-makers and beneficiaries. Their duty </w:t>
      </w:r>
      <w:r>
        <w:rPr>
          <w:spacing w:val="-3"/>
          <w:sz w:val="21"/>
        </w:rPr>
        <w:t>to  </w:t>
      </w:r>
      <w:r>
        <w:rPr>
          <w:sz w:val="21"/>
        </w:rPr>
        <w:t>act    in their </w:t>
      </w:r>
      <w:r>
        <w:rPr>
          <w:spacing w:val="-3"/>
          <w:sz w:val="21"/>
        </w:rPr>
        <w:t>client’s </w:t>
      </w:r>
      <w:r>
        <w:rPr>
          <w:sz w:val="21"/>
        </w:rPr>
        <w:t>interests is the cornerstone of the </w:t>
      </w:r>
      <w:r>
        <w:rPr>
          <w:spacing w:val="-4"/>
          <w:sz w:val="21"/>
        </w:rPr>
        <w:t>profession’s </w:t>
      </w:r>
      <w:r>
        <w:rPr>
          <w:sz w:val="21"/>
        </w:rPr>
        <w:t>ethical standards and legal </w:t>
      </w:r>
      <w:r>
        <w:rPr>
          <w:spacing w:val="-3"/>
          <w:sz w:val="21"/>
        </w:rPr>
        <w:t>obligations.</w:t>
      </w:r>
    </w:p>
    <w:p>
      <w:pPr>
        <w:pStyle w:val="ListParagraph"/>
        <w:numPr>
          <w:ilvl w:val="1"/>
          <w:numId w:val="22"/>
        </w:numPr>
        <w:tabs>
          <w:tab w:pos="2381" w:val="left" w:leader="none"/>
          <w:tab w:pos="2382" w:val="left" w:leader="none"/>
        </w:tabs>
        <w:spacing w:line="242" w:lineRule="auto" w:before="126" w:after="0"/>
        <w:ind w:left="2381" w:right="2379" w:hanging="794"/>
        <w:jc w:val="left"/>
        <w:rPr>
          <w:sz w:val="21"/>
        </w:rPr>
      </w:pPr>
      <w:r>
        <w:rPr>
          <w:sz w:val="21"/>
        </w:rPr>
        <w:t>It is </w:t>
      </w:r>
      <w:r>
        <w:rPr>
          <w:spacing w:val="-3"/>
          <w:sz w:val="21"/>
        </w:rPr>
        <w:t>therefore concerning that </w:t>
      </w:r>
      <w:r>
        <w:rPr>
          <w:sz w:val="21"/>
        </w:rPr>
        <w:t>some legal practitioner executors </w:t>
      </w:r>
      <w:r>
        <w:rPr>
          <w:spacing w:val="-3"/>
          <w:sz w:val="21"/>
        </w:rPr>
        <w:t>have taken </w:t>
      </w:r>
      <w:r>
        <w:rPr>
          <w:spacing w:val="-4"/>
          <w:sz w:val="21"/>
        </w:rPr>
        <w:t>unfair </w:t>
      </w:r>
      <w:r>
        <w:rPr>
          <w:sz w:val="21"/>
        </w:rPr>
        <w:t>advantage of their position</w:t>
      </w:r>
      <w:r>
        <w:rPr>
          <w:spacing w:val="33"/>
          <w:sz w:val="21"/>
        </w:rPr>
        <w:t> </w:t>
      </w:r>
      <w:r>
        <w:rPr>
          <w:sz w:val="21"/>
        </w:rPr>
        <w:t>by:</w:t>
      </w:r>
    </w:p>
    <w:p>
      <w:pPr>
        <w:pStyle w:val="ListParagraph"/>
        <w:numPr>
          <w:ilvl w:val="2"/>
          <w:numId w:val="22"/>
        </w:numPr>
        <w:tabs>
          <w:tab w:pos="2721" w:val="left" w:leader="none"/>
          <w:tab w:pos="2722" w:val="left" w:leader="none"/>
        </w:tabs>
        <w:spacing w:line="240" w:lineRule="auto" w:before="122" w:after="0"/>
        <w:ind w:left="2721" w:right="0" w:hanging="340"/>
        <w:jc w:val="left"/>
        <w:rPr>
          <w:sz w:val="21"/>
        </w:rPr>
      </w:pPr>
      <w:r>
        <w:rPr>
          <w:spacing w:val="-3"/>
          <w:sz w:val="21"/>
        </w:rPr>
        <w:t>charging </w:t>
      </w:r>
      <w:r>
        <w:rPr>
          <w:sz w:val="21"/>
        </w:rPr>
        <w:t>the estate without the </w:t>
      </w:r>
      <w:r>
        <w:rPr>
          <w:spacing w:val="-3"/>
          <w:sz w:val="21"/>
        </w:rPr>
        <w:t>informed consent </w:t>
      </w:r>
      <w:r>
        <w:rPr>
          <w:sz w:val="21"/>
        </w:rPr>
        <w:t>of the </w:t>
      </w:r>
      <w:r>
        <w:rPr>
          <w:spacing w:val="-3"/>
          <w:sz w:val="21"/>
        </w:rPr>
        <w:t>will-maker</w:t>
      </w:r>
      <w:r>
        <w:rPr>
          <w:spacing w:val="8"/>
          <w:sz w:val="21"/>
        </w:rPr>
        <w:t> </w:t>
      </w:r>
      <w:r>
        <w:rPr>
          <w:sz w:val="21"/>
        </w:rPr>
        <w:t>or beneficiaries</w:t>
      </w:r>
    </w:p>
    <w:p>
      <w:pPr>
        <w:pStyle w:val="ListParagraph"/>
        <w:numPr>
          <w:ilvl w:val="2"/>
          <w:numId w:val="22"/>
        </w:numPr>
        <w:tabs>
          <w:tab w:pos="2721" w:val="left" w:leader="none"/>
          <w:tab w:pos="2722" w:val="left" w:leader="none"/>
        </w:tabs>
        <w:spacing w:line="240" w:lineRule="auto" w:before="124" w:after="0"/>
        <w:ind w:left="2721" w:right="0" w:hanging="340"/>
        <w:jc w:val="left"/>
        <w:rPr>
          <w:sz w:val="21"/>
        </w:rPr>
      </w:pPr>
      <w:r>
        <w:rPr>
          <w:spacing w:val="-3"/>
          <w:w w:val="105"/>
          <w:sz w:val="21"/>
        </w:rPr>
        <w:t>claiming </w:t>
      </w:r>
      <w:r>
        <w:rPr>
          <w:spacing w:val="-2"/>
          <w:w w:val="105"/>
          <w:sz w:val="21"/>
        </w:rPr>
        <w:t>excessive</w:t>
      </w:r>
      <w:r>
        <w:rPr>
          <w:spacing w:val="13"/>
          <w:w w:val="105"/>
          <w:sz w:val="21"/>
        </w:rPr>
        <w:t> </w:t>
      </w:r>
      <w:r>
        <w:rPr>
          <w:w w:val="105"/>
          <w:sz w:val="21"/>
        </w:rPr>
        <w:t>amounts</w:t>
      </w:r>
    </w:p>
    <w:p>
      <w:pPr>
        <w:pStyle w:val="ListParagraph"/>
        <w:numPr>
          <w:ilvl w:val="2"/>
          <w:numId w:val="22"/>
        </w:numPr>
        <w:tabs>
          <w:tab w:pos="2721" w:val="left" w:leader="none"/>
          <w:tab w:pos="2722" w:val="left" w:leader="none"/>
        </w:tabs>
        <w:spacing w:line="240" w:lineRule="auto" w:before="124" w:after="0"/>
        <w:ind w:left="2721" w:right="0" w:hanging="340"/>
        <w:jc w:val="left"/>
        <w:rPr>
          <w:sz w:val="12"/>
        </w:rPr>
      </w:pPr>
      <w:r>
        <w:rPr>
          <w:spacing w:val="-3"/>
          <w:w w:val="105"/>
          <w:sz w:val="21"/>
        </w:rPr>
        <w:t>receiving </w:t>
      </w:r>
      <w:r>
        <w:rPr>
          <w:w w:val="105"/>
          <w:sz w:val="21"/>
        </w:rPr>
        <w:t>both </w:t>
      </w:r>
      <w:r>
        <w:rPr>
          <w:spacing w:val="-3"/>
          <w:w w:val="105"/>
          <w:sz w:val="21"/>
        </w:rPr>
        <w:t>commission </w:t>
      </w:r>
      <w:r>
        <w:rPr>
          <w:w w:val="105"/>
          <w:sz w:val="21"/>
        </w:rPr>
        <w:t>and </w:t>
      </w:r>
      <w:r>
        <w:rPr>
          <w:spacing w:val="-3"/>
          <w:w w:val="105"/>
          <w:sz w:val="21"/>
        </w:rPr>
        <w:t>professional </w:t>
      </w:r>
      <w:r>
        <w:rPr>
          <w:w w:val="105"/>
          <w:sz w:val="21"/>
        </w:rPr>
        <w:t>fees </w:t>
      </w:r>
      <w:r>
        <w:rPr>
          <w:spacing w:val="-3"/>
          <w:w w:val="105"/>
          <w:sz w:val="21"/>
        </w:rPr>
        <w:t>for </w:t>
      </w:r>
      <w:r>
        <w:rPr>
          <w:w w:val="105"/>
          <w:sz w:val="21"/>
        </w:rPr>
        <w:t>the same</w:t>
      </w:r>
      <w:r>
        <w:rPr>
          <w:spacing w:val="43"/>
          <w:w w:val="105"/>
          <w:sz w:val="21"/>
        </w:rPr>
        <w:t> </w:t>
      </w:r>
      <w:r>
        <w:rPr>
          <w:w w:val="105"/>
          <w:sz w:val="21"/>
        </w:rPr>
        <w:t>services.</w:t>
      </w:r>
      <w:r>
        <w:rPr>
          <w:w w:val="105"/>
          <w:position w:val="7"/>
          <w:sz w:val="12"/>
        </w:rPr>
        <w:t>3</w:t>
      </w:r>
    </w:p>
    <w:p>
      <w:pPr>
        <w:pStyle w:val="ListParagraph"/>
        <w:numPr>
          <w:ilvl w:val="1"/>
          <w:numId w:val="22"/>
        </w:numPr>
        <w:tabs>
          <w:tab w:pos="2381" w:val="left" w:leader="none"/>
          <w:tab w:pos="2382" w:val="left" w:leader="none"/>
        </w:tabs>
        <w:spacing w:line="242" w:lineRule="auto" w:before="123" w:after="0"/>
        <w:ind w:left="2381" w:right="1745" w:hanging="794"/>
        <w:jc w:val="left"/>
        <w:rPr>
          <w:sz w:val="21"/>
        </w:rPr>
      </w:pPr>
      <w:r>
        <w:rPr>
          <w:w w:val="105"/>
          <w:sz w:val="21"/>
        </w:rPr>
        <w:t>In</w:t>
      </w:r>
      <w:r>
        <w:rPr>
          <w:spacing w:val="-6"/>
          <w:w w:val="105"/>
          <w:sz w:val="21"/>
        </w:rPr>
        <w:t> </w:t>
      </w:r>
      <w:r>
        <w:rPr>
          <w:w w:val="105"/>
          <w:sz w:val="21"/>
        </w:rPr>
        <w:t>this</w:t>
      </w:r>
      <w:r>
        <w:rPr>
          <w:spacing w:val="-5"/>
          <w:w w:val="105"/>
          <w:sz w:val="21"/>
        </w:rPr>
        <w:t> chapter,</w:t>
      </w:r>
      <w:r>
        <w:rPr>
          <w:spacing w:val="-6"/>
          <w:w w:val="105"/>
          <w:sz w:val="21"/>
        </w:rPr>
        <w:t> </w:t>
      </w:r>
      <w:r>
        <w:rPr>
          <w:w w:val="105"/>
          <w:sz w:val="21"/>
        </w:rPr>
        <w:t>the</w:t>
      </w:r>
      <w:r>
        <w:rPr>
          <w:spacing w:val="-5"/>
          <w:w w:val="105"/>
          <w:sz w:val="21"/>
        </w:rPr>
        <w:t> </w:t>
      </w:r>
      <w:r>
        <w:rPr>
          <w:spacing w:val="-3"/>
          <w:w w:val="105"/>
          <w:sz w:val="21"/>
        </w:rPr>
        <w:t>Commission</w:t>
      </w:r>
      <w:r>
        <w:rPr>
          <w:spacing w:val="-6"/>
          <w:w w:val="105"/>
          <w:sz w:val="21"/>
        </w:rPr>
        <w:t> </w:t>
      </w:r>
      <w:r>
        <w:rPr>
          <w:w w:val="105"/>
          <w:sz w:val="21"/>
        </w:rPr>
        <w:t>considers</w:t>
      </w:r>
      <w:r>
        <w:rPr>
          <w:spacing w:val="-5"/>
          <w:w w:val="105"/>
          <w:sz w:val="21"/>
        </w:rPr>
        <w:t> </w:t>
      </w:r>
      <w:r>
        <w:rPr>
          <w:w w:val="105"/>
          <w:sz w:val="21"/>
        </w:rPr>
        <w:t>a</w:t>
      </w:r>
      <w:r>
        <w:rPr>
          <w:spacing w:val="-6"/>
          <w:w w:val="105"/>
          <w:sz w:val="21"/>
        </w:rPr>
        <w:t> </w:t>
      </w:r>
      <w:r>
        <w:rPr>
          <w:w w:val="105"/>
          <w:sz w:val="21"/>
        </w:rPr>
        <w:t>number</w:t>
      </w:r>
      <w:r>
        <w:rPr>
          <w:spacing w:val="-5"/>
          <w:w w:val="105"/>
          <w:sz w:val="21"/>
        </w:rPr>
        <w:t> </w:t>
      </w:r>
      <w:r>
        <w:rPr>
          <w:w w:val="105"/>
          <w:sz w:val="21"/>
        </w:rPr>
        <w:t>of</w:t>
      </w:r>
      <w:r>
        <w:rPr>
          <w:spacing w:val="-6"/>
          <w:w w:val="105"/>
          <w:sz w:val="21"/>
        </w:rPr>
        <w:t> </w:t>
      </w:r>
      <w:r>
        <w:rPr>
          <w:spacing w:val="-3"/>
          <w:w w:val="105"/>
          <w:sz w:val="21"/>
        </w:rPr>
        <w:t>measures</w:t>
      </w:r>
      <w:r>
        <w:rPr>
          <w:spacing w:val="-5"/>
          <w:w w:val="105"/>
          <w:sz w:val="21"/>
        </w:rPr>
        <w:t> </w:t>
      </w:r>
      <w:r>
        <w:rPr>
          <w:spacing w:val="-3"/>
          <w:w w:val="105"/>
          <w:sz w:val="21"/>
        </w:rPr>
        <w:t>to</w:t>
      </w:r>
      <w:r>
        <w:rPr>
          <w:spacing w:val="-6"/>
          <w:w w:val="105"/>
          <w:sz w:val="21"/>
        </w:rPr>
        <w:t> </w:t>
      </w:r>
      <w:r>
        <w:rPr>
          <w:spacing w:val="-3"/>
          <w:w w:val="105"/>
          <w:sz w:val="21"/>
        </w:rPr>
        <w:t>reduce</w:t>
      </w:r>
      <w:r>
        <w:rPr>
          <w:spacing w:val="-5"/>
          <w:w w:val="105"/>
          <w:sz w:val="21"/>
        </w:rPr>
        <w:t> </w:t>
      </w:r>
      <w:r>
        <w:rPr>
          <w:w w:val="105"/>
          <w:sz w:val="21"/>
        </w:rPr>
        <w:t>the</w:t>
      </w:r>
      <w:r>
        <w:rPr>
          <w:spacing w:val="-6"/>
          <w:w w:val="105"/>
          <w:sz w:val="21"/>
        </w:rPr>
        <w:t> </w:t>
      </w:r>
      <w:r>
        <w:rPr>
          <w:spacing w:val="-3"/>
          <w:w w:val="105"/>
          <w:sz w:val="21"/>
        </w:rPr>
        <w:t>incidence </w:t>
      </w:r>
      <w:r>
        <w:rPr>
          <w:w w:val="105"/>
          <w:sz w:val="21"/>
        </w:rPr>
        <w:t>of </w:t>
      </w:r>
      <w:r>
        <w:rPr>
          <w:spacing w:val="-3"/>
          <w:w w:val="105"/>
          <w:sz w:val="21"/>
        </w:rPr>
        <w:t>unethical </w:t>
      </w:r>
      <w:r>
        <w:rPr>
          <w:w w:val="105"/>
          <w:sz w:val="21"/>
        </w:rPr>
        <w:t>and unlawful </w:t>
      </w:r>
      <w:r>
        <w:rPr>
          <w:spacing w:val="-3"/>
          <w:w w:val="105"/>
          <w:sz w:val="21"/>
        </w:rPr>
        <w:t>charging </w:t>
      </w:r>
      <w:r>
        <w:rPr>
          <w:w w:val="105"/>
          <w:sz w:val="21"/>
        </w:rPr>
        <w:t>practices by legal practitioner executors. Its </w:t>
      </w:r>
      <w:r>
        <w:rPr>
          <w:spacing w:val="-3"/>
          <w:w w:val="105"/>
          <w:sz w:val="21"/>
        </w:rPr>
        <w:t>recommendations aim to improve compliance </w:t>
      </w:r>
      <w:r>
        <w:rPr>
          <w:w w:val="105"/>
          <w:sz w:val="21"/>
        </w:rPr>
        <w:t>by legal practitioner executors with their ethical and legal </w:t>
      </w:r>
      <w:r>
        <w:rPr>
          <w:spacing w:val="-3"/>
          <w:w w:val="105"/>
          <w:sz w:val="21"/>
        </w:rPr>
        <w:t>obligations, </w:t>
      </w:r>
      <w:r>
        <w:rPr>
          <w:w w:val="105"/>
          <w:sz w:val="21"/>
        </w:rPr>
        <w:t>and assist beneficiaries in understanding those </w:t>
      </w:r>
      <w:r>
        <w:rPr>
          <w:spacing w:val="-3"/>
          <w:w w:val="105"/>
          <w:sz w:val="21"/>
        </w:rPr>
        <w:t>obligations </w:t>
      </w:r>
      <w:r>
        <w:rPr>
          <w:w w:val="105"/>
          <w:sz w:val="21"/>
        </w:rPr>
        <w:t>and </w:t>
      </w:r>
      <w:r>
        <w:rPr>
          <w:spacing w:val="-3"/>
          <w:w w:val="105"/>
          <w:sz w:val="21"/>
        </w:rPr>
        <w:t>enforcing </w:t>
      </w:r>
      <w:r>
        <w:rPr>
          <w:w w:val="105"/>
          <w:sz w:val="21"/>
        </w:rPr>
        <w:t>them when necessary. They also </w:t>
      </w:r>
      <w:r>
        <w:rPr>
          <w:spacing w:val="-3"/>
          <w:w w:val="105"/>
          <w:sz w:val="21"/>
        </w:rPr>
        <w:t>recognise that </w:t>
      </w:r>
      <w:r>
        <w:rPr>
          <w:w w:val="105"/>
          <w:sz w:val="21"/>
        </w:rPr>
        <w:t>some of the </w:t>
      </w:r>
      <w:r>
        <w:rPr>
          <w:spacing w:val="-2"/>
          <w:w w:val="105"/>
          <w:sz w:val="21"/>
        </w:rPr>
        <w:t>problems </w:t>
      </w:r>
      <w:r>
        <w:rPr>
          <w:w w:val="105"/>
          <w:sz w:val="21"/>
        </w:rPr>
        <w:t>identified </w:t>
      </w:r>
      <w:r>
        <w:rPr>
          <w:spacing w:val="-3"/>
          <w:w w:val="105"/>
          <w:sz w:val="21"/>
        </w:rPr>
        <w:t>are </w:t>
      </w:r>
      <w:r>
        <w:rPr>
          <w:spacing w:val="-2"/>
          <w:w w:val="105"/>
          <w:sz w:val="21"/>
        </w:rPr>
        <w:t>not </w:t>
      </w:r>
      <w:r>
        <w:rPr>
          <w:w w:val="105"/>
          <w:sz w:val="21"/>
        </w:rPr>
        <w:t>confined </w:t>
      </w:r>
      <w:r>
        <w:rPr>
          <w:spacing w:val="-3"/>
          <w:w w:val="105"/>
          <w:sz w:val="21"/>
        </w:rPr>
        <w:t>to </w:t>
      </w:r>
      <w:r>
        <w:rPr>
          <w:w w:val="105"/>
          <w:sz w:val="21"/>
        </w:rPr>
        <w:t>the legal </w:t>
      </w:r>
      <w:r>
        <w:rPr>
          <w:spacing w:val="-3"/>
          <w:w w:val="105"/>
          <w:sz w:val="21"/>
        </w:rPr>
        <w:t>profession </w:t>
      </w:r>
      <w:r>
        <w:rPr>
          <w:w w:val="105"/>
          <w:sz w:val="21"/>
        </w:rPr>
        <w:t>and need broader</w:t>
      </w:r>
      <w:r>
        <w:rPr>
          <w:spacing w:val="13"/>
          <w:w w:val="105"/>
          <w:sz w:val="21"/>
        </w:rPr>
        <w:t> </w:t>
      </w:r>
      <w:r>
        <w:rPr>
          <w:spacing w:val="-3"/>
          <w:w w:val="105"/>
          <w:sz w:val="21"/>
        </w:rPr>
        <w:t>solutions.</w:t>
      </w:r>
    </w:p>
    <w:p>
      <w:pPr>
        <w:pStyle w:val="ListParagraph"/>
        <w:numPr>
          <w:ilvl w:val="1"/>
          <w:numId w:val="22"/>
        </w:numPr>
        <w:tabs>
          <w:tab w:pos="2380" w:val="left" w:leader="none"/>
          <w:tab w:pos="2381" w:val="left" w:leader="none"/>
        </w:tabs>
        <w:spacing w:line="242" w:lineRule="auto" w:before="127" w:after="0"/>
        <w:ind w:left="2380" w:right="1676" w:hanging="793"/>
        <w:jc w:val="left"/>
        <w:rPr>
          <w:sz w:val="12"/>
        </w:rPr>
      </w:pPr>
      <w:r>
        <w:rPr>
          <w:sz w:val="21"/>
        </w:rPr>
        <w:t>Decisions about whether specific rules </w:t>
      </w:r>
      <w:r>
        <w:rPr>
          <w:spacing w:val="-3"/>
          <w:sz w:val="21"/>
        </w:rPr>
        <w:t>for </w:t>
      </w:r>
      <w:r>
        <w:rPr>
          <w:sz w:val="21"/>
        </w:rPr>
        <w:t>legal practitioners </w:t>
      </w:r>
      <w:r>
        <w:rPr>
          <w:spacing w:val="-3"/>
          <w:sz w:val="21"/>
        </w:rPr>
        <w:t>are </w:t>
      </w:r>
      <w:r>
        <w:rPr>
          <w:sz w:val="21"/>
        </w:rPr>
        <w:t>necessary, and the </w:t>
      </w:r>
      <w:r>
        <w:rPr>
          <w:spacing w:val="-3"/>
          <w:sz w:val="21"/>
        </w:rPr>
        <w:t>form </w:t>
      </w:r>
      <w:r>
        <w:rPr>
          <w:sz w:val="21"/>
        </w:rPr>
        <w:t>they should </w:t>
      </w:r>
      <w:r>
        <w:rPr>
          <w:spacing w:val="-3"/>
          <w:sz w:val="21"/>
        </w:rPr>
        <w:t>take </w:t>
      </w:r>
      <w:r>
        <w:rPr>
          <w:sz w:val="21"/>
        </w:rPr>
        <w:t>if they </w:t>
      </w:r>
      <w:r>
        <w:rPr>
          <w:spacing w:val="-4"/>
          <w:sz w:val="21"/>
        </w:rPr>
        <w:t>are, </w:t>
      </w:r>
      <w:r>
        <w:rPr>
          <w:sz w:val="21"/>
        </w:rPr>
        <w:t>need </w:t>
      </w:r>
      <w:r>
        <w:rPr>
          <w:spacing w:val="-3"/>
          <w:sz w:val="21"/>
        </w:rPr>
        <w:t>to </w:t>
      </w:r>
      <w:r>
        <w:rPr>
          <w:sz w:val="21"/>
        </w:rPr>
        <w:t>be made in the context of the existing regulatory </w:t>
      </w:r>
      <w:r>
        <w:rPr>
          <w:spacing w:val="-3"/>
          <w:sz w:val="21"/>
        </w:rPr>
        <w:t>framework. </w:t>
      </w:r>
      <w:r>
        <w:rPr>
          <w:sz w:val="21"/>
        </w:rPr>
        <w:t>The regulatory </w:t>
      </w:r>
      <w:r>
        <w:rPr>
          <w:spacing w:val="-3"/>
          <w:sz w:val="21"/>
        </w:rPr>
        <w:t>framework within </w:t>
      </w:r>
      <w:r>
        <w:rPr>
          <w:sz w:val="21"/>
        </w:rPr>
        <w:t>which legal practitioner executors </w:t>
      </w:r>
      <w:r>
        <w:rPr>
          <w:spacing w:val="-3"/>
          <w:sz w:val="21"/>
        </w:rPr>
        <w:t>currently </w:t>
      </w:r>
      <w:r>
        <w:rPr>
          <w:sz w:val="21"/>
        </w:rPr>
        <w:t>operate is described briefly in the next section. The discussion then </w:t>
      </w:r>
      <w:r>
        <w:rPr>
          <w:spacing w:val="-3"/>
          <w:sz w:val="21"/>
        </w:rPr>
        <w:t>turns to </w:t>
      </w:r>
      <w:r>
        <w:rPr>
          <w:sz w:val="21"/>
        </w:rPr>
        <w:t>the rules </w:t>
      </w:r>
      <w:r>
        <w:rPr>
          <w:spacing w:val="-3"/>
          <w:sz w:val="21"/>
        </w:rPr>
        <w:t>that </w:t>
      </w:r>
      <w:r>
        <w:rPr>
          <w:sz w:val="21"/>
        </w:rPr>
        <w:t>should</w:t>
      </w:r>
      <w:r>
        <w:rPr>
          <w:spacing w:val="8"/>
          <w:sz w:val="21"/>
        </w:rPr>
        <w:t> </w:t>
      </w:r>
      <w:r>
        <w:rPr>
          <w:spacing w:val="-4"/>
          <w:sz w:val="21"/>
        </w:rPr>
        <w:t>apply.</w:t>
      </w:r>
      <w:r>
        <w:rPr>
          <w:spacing w:val="-4"/>
          <w:position w:val="7"/>
          <w:sz w:val="12"/>
        </w:rPr>
        <w:t>4</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2"/>
        </w:rPr>
      </w:pPr>
      <w:r>
        <w:rPr/>
        <w:pict>
          <v:line style="position:absolute;mso-position-horizontal-relative:page;mso-position-vertical-relative:paragraph;z-index:8696;mso-wrap-distance-left:0;mso-wrap-distance-right:0" from="79.370102pt,9.881349pt" to="515.905102pt,9.881349pt" stroked="true" strokeweight="1pt" strokecolor="#f9ceca">
            <v:stroke dashstyle="solid"/>
            <w10:wrap type="topAndBottom"/>
          </v:line>
        </w:pict>
      </w:r>
    </w:p>
    <w:p>
      <w:pPr>
        <w:pStyle w:val="BodyText"/>
        <w:spacing w:before="8"/>
        <w:rPr>
          <w:sz w:val="5"/>
        </w:rPr>
      </w:pPr>
    </w:p>
    <w:p>
      <w:pPr>
        <w:spacing w:after="0"/>
        <w:rPr>
          <w:sz w:val="5"/>
        </w:rPr>
        <w:sectPr>
          <w:headerReference w:type="default" r:id="rId96"/>
          <w:headerReference w:type="even" r:id="rId97"/>
          <w:pgSz w:w="11910" w:h="16840"/>
          <w:pgMar w:header="805" w:footer="0" w:top="1360" w:bottom="280" w:left="0" w:right="0"/>
        </w:sectPr>
      </w:pPr>
    </w:p>
    <w:p>
      <w:pPr>
        <w:pStyle w:val="ListParagraph"/>
        <w:numPr>
          <w:ilvl w:val="0"/>
          <w:numId w:val="110"/>
        </w:numPr>
        <w:tabs>
          <w:tab w:pos="2380" w:val="left" w:leader="none"/>
          <w:tab w:pos="2382" w:val="left" w:leader="none"/>
        </w:tabs>
        <w:spacing w:line="240" w:lineRule="auto" w:before="48" w:after="0"/>
        <w:ind w:left="2381" w:right="52" w:hanging="794"/>
        <w:jc w:val="left"/>
        <w:rPr>
          <w:sz w:val="13"/>
        </w:rPr>
      </w:pPr>
      <w:r>
        <w:rPr>
          <w:sz w:val="13"/>
        </w:rPr>
        <w:t>For example, the New South Wales Supreme Court recently found that an executor who had been the deceased person’s financial adviser            was in serious breach of his duties because of a conflict of interests. The executor had transferred funds from the estate to his personal       account, and in turn to his company that was in financial difficulties, before the amount was repaid to the estate without interest several      months</w:t>
      </w:r>
      <w:r>
        <w:rPr>
          <w:spacing w:val="8"/>
          <w:sz w:val="13"/>
        </w:rPr>
        <w:t> </w:t>
      </w:r>
      <w:r>
        <w:rPr>
          <w:sz w:val="13"/>
        </w:rPr>
        <w:t>later:</w:t>
      </w:r>
      <w:r>
        <w:rPr>
          <w:spacing w:val="8"/>
          <w:sz w:val="13"/>
        </w:rPr>
        <w:t> </w:t>
      </w:r>
      <w:r>
        <w:rPr>
          <w:i/>
          <w:sz w:val="13"/>
        </w:rPr>
        <w:t>Chick</w:t>
      </w:r>
      <w:r>
        <w:rPr>
          <w:i/>
          <w:spacing w:val="7"/>
          <w:sz w:val="13"/>
        </w:rPr>
        <w:t> </w:t>
      </w:r>
      <w:r>
        <w:rPr>
          <w:i/>
          <w:sz w:val="13"/>
        </w:rPr>
        <w:t>v</w:t>
      </w:r>
      <w:r>
        <w:rPr>
          <w:i/>
          <w:spacing w:val="7"/>
          <w:sz w:val="13"/>
        </w:rPr>
        <w:t> </w:t>
      </w:r>
      <w:r>
        <w:rPr>
          <w:i/>
          <w:sz w:val="13"/>
        </w:rPr>
        <w:t>Grosfeld</w:t>
      </w:r>
      <w:r>
        <w:rPr>
          <w:i/>
          <w:spacing w:val="7"/>
          <w:sz w:val="13"/>
        </w:rPr>
        <w:t> </w:t>
      </w:r>
      <w:r>
        <w:rPr>
          <w:sz w:val="13"/>
        </w:rPr>
        <w:t>[2012]</w:t>
      </w:r>
      <w:r>
        <w:rPr>
          <w:spacing w:val="8"/>
          <w:sz w:val="13"/>
        </w:rPr>
        <w:t> </w:t>
      </w:r>
      <w:r>
        <w:rPr>
          <w:sz w:val="13"/>
        </w:rPr>
        <w:t>NSWSC</w:t>
      </w:r>
      <w:r>
        <w:rPr>
          <w:spacing w:val="8"/>
          <w:sz w:val="13"/>
        </w:rPr>
        <w:t> </w:t>
      </w:r>
      <w:r>
        <w:rPr>
          <w:spacing w:val="-3"/>
          <w:sz w:val="13"/>
        </w:rPr>
        <w:t>1166</w:t>
      </w:r>
      <w:r>
        <w:rPr>
          <w:spacing w:val="8"/>
          <w:sz w:val="13"/>
        </w:rPr>
        <w:t> </w:t>
      </w:r>
      <w:r>
        <w:rPr>
          <w:sz w:val="13"/>
        </w:rPr>
        <w:t>(25</w:t>
      </w:r>
      <w:r>
        <w:rPr>
          <w:spacing w:val="9"/>
          <w:sz w:val="13"/>
        </w:rPr>
        <w:t> </w:t>
      </w:r>
      <w:r>
        <w:rPr>
          <w:sz w:val="13"/>
        </w:rPr>
        <w:t>September</w:t>
      </w:r>
      <w:r>
        <w:rPr>
          <w:spacing w:val="8"/>
          <w:sz w:val="13"/>
        </w:rPr>
        <w:t> </w:t>
      </w:r>
      <w:r>
        <w:rPr>
          <w:sz w:val="13"/>
        </w:rPr>
        <w:t>2012)</w:t>
      </w:r>
      <w:r>
        <w:rPr>
          <w:spacing w:val="8"/>
          <w:sz w:val="13"/>
        </w:rPr>
        <w:t> </w:t>
      </w:r>
      <w:r>
        <w:rPr>
          <w:spacing w:val="2"/>
          <w:sz w:val="13"/>
        </w:rPr>
        <w:t>[23].</w:t>
      </w:r>
    </w:p>
    <w:p>
      <w:pPr>
        <w:pStyle w:val="ListParagraph"/>
        <w:numPr>
          <w:ilvl w:val="0"/>
          <w:numId w:val="110"/>
        </w:numPr>
        <w:tabs>
          <w:tab w:pos="2380" w:val="left" w:leader="none"/>
          <w:tab w:pos="2382" w:val="left" w:leader="none"/>
        </w:tabs>
        <w:spacing w:line="240" w:lineRule="auto" w:before="5" w:after="0"/>
        <w:ind w:left="2381" w:right="0" w:hanging="794"/>
        <w:jc w:val="left"/>
        <w:rPr>
          <w:sz w:val="13"/>
        </w:rPr>
      </w:pPr>
      <w:r>
        <w:rPr>
          <w:w w:val="105"/>
          <w:sz w:val="13"/>
        </w:rPr>
        <w:t>See, eg, </w:t>
      </w:r>
      <w:r>
        <w:rPr>
          <w:i/>
          <w:w w:val="105"/>
          <w:sz w:val="13"/>
        </w:rPr>
        <w:t>Walker v D’Alessandro </w:t>
      </w:r>
      <w:r>
        <w:rPr>
          <w:w w:val="105"/>
          <w:sz w:val="13"/>
        </w:rPr>
        <w:t>[2010] VSC </w:t>
      </w:r>
      <w:r>
        <w:rPr>
          <w:spacing w:val="-3"/>
          <w:w w:val="105"/>
          <w:sz w:val="13"/>
        </w:rPr>
        <w:t>15 </w:t>
      </w:r>
      <w:r>
        <w:rPr>
          <w:w w:val="105"/>
          <w:sz w:val="13"/>
        </w:rPr>
        <w:t>(5 February 2010); </w:t>
      </w:r>
      <w:r>
        <w:rPr>
          <w:i/>
          <w:w w:val="105"/>
          <w:sz w:val="13"/>
        </w:rPr>
        <w:t>Re Estate of Zsusanna Gray </w:t>
      </w:r>
      <w:r>
        <w:rPr>
          <w:w w:val="105"/>
          <w:sz w:val="13"/>
        </w:rPr>
        <w:t>[2010] VSC </w:t>
      </w:r>
      <w:r>
        <w:rPr>
          <w:spacing w:val="-3"/>
          <w:w w:val="105"/>
          <w:sz w:val="13"/>
        </w:rPr>
        <w:t>173 </w:t>
      </w:r>
      <w:r>
        <w:rPr>
          <w:w w:val="105"/>
          <w:sz w:val="13"/>
        </w:rPr>
        <w:t>(30 April 2010); </w:t>
      </w:r>
      <w:r>
        <w:rPr>
          <w:i/>
          <w:w w:val="105"/>
          <w:sz w:val="13"/>
        </w:rPr>
        <w:t>Szmulewicz v </w:t>
      </w:r>
      <w:r>
        <w:rPr>
          <w:i/>
          <w:w w:val="105"/>
          <w:sz w:val="13"/>
        </w:rPr>
        <w:t>Recht</w:t>
      </w:r>
      <w:r>
        <w:rPr>
          <w:i/>
          <w:spacing w:val="8"/>
          <w:w w:val="105"/>
          <w:sz w:val="13"/>
        </w:rPr>
        <w:t> </w:t>
      </w:r>
      <w:r>
        <w:rPr>
          <w:spacing w:val="-3"/>
          <w:w w:val="105"/>
          <w:sz w:val="13"/>
        </w:rPr>
        <w:t>[2011]</w:t>
      </w:r>
      <w:r>
        <w:rPr>
          <w:spacing w:val="8"/>
          <w:w w:val="105"/>
          <w:sz w:val="13"/>
        </w:rPr>
        <w:t> </w:t>
      </w:r>
      <w:r>
        <w:rPr>
          <w:w w:val="105"/>
          <w:sz w:val="13"/>
        </w:rPr>
        <w:t>VSC</w:t>
      </w:r>
      <w:r>
        <w:rPr>
          <w:spacing w:val="8"/>
          <w:w w:val="105"/>
          <w:sz w:val="13"/>
        </w:rPr>
        <w:t> </w:t>
      </w:r>
      <w:r>
        <w:rPr>
          <w:w w:val="105"/>
          <w:sz w:val="13"/>
        </w:rPr>
        <w:t>368</w:t>
      </w:r>
      <w:r>
        <w:rPr>
          <w:spacing w:val="9"/>
          <w:w w:val="105"/>
          <w:sz w:val="13"/>
        </w:rPr>
        <w:t> </w:t>
      </w:r>
      <w:r>
        <w:rPr>
          <w:spacing w:val="-2"/>
          <w:w w:val="105"/>
          <w:sz w:val="13"/>
        </w:rPr>
        <w:t>(10</w:t>
      </w:r>
      <w:r>
        <w:rPr>
          <w:spacing w:val="8"/>
          <w:w w:val="105"/>
          <w:sz w:val="13"/>
        </w:rPr>
        <w:t> </w:t>
      </w:r>
      <w:r>
        <w:rPr>
          <w:w w:val="105"/>
          <w:sz w:val="13"/>
        </w:rPr>
        <w:t>August</w:t>
      </w:r>
      <w:r>
        <w:rPr>
          <w:spacing w:val="8"/>
          <w:w w:val="105"/>
          <w:sz w:val="13"/>
        </w:rPr>
        <w:t> </w:t>
      </w:r>
      <w:r>
        <w:rPr>
          <w:w w:val="105"/>
          <w:sz w:val="13"/>
        </w:rPr>
        <w:t>2011);</w:t>
      </w:r>
      <w:r>
        <w:rPr>
          <w:spacing w:val="9"/>
          <w:w w:val="105"/>
          <w:sz w:val="13"/>
        </w:rPr>
        <w:t> </w:t>
      </w:r>
      <w:r>
        <w:rPr>
          <w:i/>
          <w:w w:val="105"/>
          <w:sz w:val="13"/>
        </w:rPr>
        <w:t>Legal</w:t>
      </w:r>
      <w:r>
        <w:rPr>
          <w:i/>
          <w:spacing w:val="7"/>
          <w:w w:val="105"/>
          <w:sz w:val="13"/>
        </w:rPr>
        <w:t> </w:t>
      </w:r>
      <w:r>
        <w:rPr>
          <w:i/>
          <w:w w:val="105"/>
          <w:sz w:val="13"/>
        </w:rPr>
        <w:t>Services</w:t>
      </w:r>
      <w:r>
        <w:rPr>
          <w:i/>
          <w:spacing w:val="7"/>
          <w:w w:val="105"/>
          <w:sz w:val="13"/>
        </w:rPr>
        <w:t> </w:t>
      </w:r>
      <w:r>
        <w:rPr>
          <w:i/>
          <w:w w:val="105"/>
          <w:sz w:val="13"/>
        </w:rPr>
        <w:t>Commissioner</w:t>
      </w:r>
      <w:r>
        <w:rPr>
          <w:i/>
          <w:spacing w:val="7"/>
          <w:w w:val="105"/>
          <w:sz w:val="13"/>
        </w:rPr>
        <w:t> </w:t>
      </w:r>
      <w:r>
        <w:rPr>
          <w:i/>
          <w:w w:val="105"/>
          <w:sz w:val="13"/>
        </w:rPr>
        <w:t>v</w:t>
      </w:r>
      <w:r>
        <w:rPr>
          <w:i/>
          <w:spacing w:val="8"/>
          <w:w w:val="105"/>
          <w:sz w:val="13"/>
        </w:rPr>
        <w:t> </w:t>
      </w:r>
      <w:r>
        <w:rPr>
          <w:i/>
          <w:w w:val="105"/>
          <w:sz w:val="13"/>
        </w:rPr>
        <w:t>Hession</w:t>
      </w:r>
      <w:r>
        <w:rPr>
          <w:i/>
          <w:spacing w:val="8"/>
          <w:w w:val="105"/>
          <w:sz w:val="13"/>
        </w:rPr>
        <w:t> </w:t>
      </w:r>
      <w:r>
        <w:rPr>
          <w:i/>
          <w:w w:val="105"/>
          <w:sz w:val="13"/>
        </w:rPr>
        <w:t>(Legal</w:t>
      </w:r>
      <w:r>
        <w:rPr>
          <w:i/>
          <w:spacing w:val="7"/>
          <w:w w:val="105"/>
          <w:sz w:val="13"/>
        </w:rPr>
        <w:t> </w:t>
      </w:r>
      <w:r>
        <w:rPr>
          <w:i/>
          <w:w w:val="105"/>
          <w:sz w:val="13"/>
        </w:rPr>
        <w:t>Practice)</w:t>
      </w:r>
      <w:r>
        <w:rPr>
          <w:i/>
          <w:spacing w:val="9"/>
          <w:w w:val="105"/>
          <w:sz w:val="13"/>
        </w:rPr>
        <w:t> </w:t>
      </w:r>
      <w:r>
        <w:rPr>
          <w:w w:val="105"/>
          <w:sz w:val="13"/>
        </w:rPr>
        <w:t>[2010]</w:t>
      </w:r>
      <w:r>
        <w:rPr>
          <w:spacing w:val="8"/>
          <w:w w:val="105"/>
          <w:sz w:val="13"/>
        </w:rPr>
        <w:t> </w:t>
      </w:r>
      <w:r>
        <w:rPr>
          <w:w w:val="105"/>
          <w:sz w:val="13"/>
        </w:rPr>
        <w:t>VCAT</w:t>
      </w:r>
      <w:r>
        <w:rPr>
          <w:spacing w:val="8"/>
          <w:w w:val="105"/>
          <w:sz w:val="13"/>
        </w:rPr>
        <w:t> </w:t>
      </w:r>
      <w:r>
        <w:rPr>
          <w:spacing w:val="-3"/>
          <w:w w:val="105"/>
          <w:sz w:val="13"/>
        </w:rPr>
        <w:t>1328</w:t>
      </w:r>
      <w:r>
        <w:rPr>
          <w:spacing w:val="9"/>
          <w:w w:val="105"/>
          <w:sz w:val="13"/>
        </w:rPr>
        <w:t> </w:t>
      </w:r>
      <w:r>
        <w:rPr>
          <w:spacing w:val="-5"/>
          <w:w w:val="105"/>
          <w:sz w:val="13"/>
        </w:rPr>
        <w:t>(11</w:t>
      </w:r>
      <w:r>
        <w:rPr>
          <w:spacing w:val="8"/>
          <w:w w:val="105"/>
          <w:sz w:val="13"/>
        </w:rPr>
        <w:t> </w:t>
      </w:r>
      <w:r>
        <w:rPr>
          <w:w w:val="105"/>
          <w:sz w:val="13"/>
        </w:rPr>
        <w:t>August</w:t>
      </w:r>
      <w:r>
        <w:rPr>
          <w:spacing w:val="8"/>
          <w:w w:val="105"/>
          <w:sz w:val="13"/>
        </w:rPr>
        <w:t> </w:t>
      </w:r>
      <w:r>
        <w:rPr>
          <w:w w:val="105"/>
          <w:sz w:val="13"/>
        </w:rPr>
        <w:t>2010).</w:t>
      </w:r>
    </w:p>
    <w:p>
      <w:pPr>
        <w:tabs>
          <w:tab w:pos="2380" w:val="left" w:leader="none"/>
        </w:tabs>
        <w:spacing w:before="3"/>
        <w:ind w:left="1587" w:right="0" w:firstLine="0"/>
        <w:jc w:val="left"/>
        <w:rPr>
          <w:sz w:val="13"/>
        </w:rPr>
      </w:pPr>
      <w:r>
        <w:rPr>
          <w:w w:val="105"/>
          <w:sz w:val="13"/>
        </w:rPr>
        <w:t>4</w:t>
        <w:tab/>
        <w:t>See</w:t>
      </w:r>
      <w:r>
        <w:rPr>
          <w:spacing w:val="4"/>
          <w:w w:val="105"/>
          <w:sz w:val="13"/>
        </w:rPr>
        <w:t> </w:t>
      </w:r>
      <w:r>
        <w:rPr>
          <w:w w:val="105"/>
          <w:sz w:val="13"/>
        </w:rPr>
        <w:t>[7.35]–[7.114].</w:t>
      </w:r>
    </w:p>
    <w:p>
      <w:pPr>
        <w:pStyle w:val="BodyText"/>
        <w:rPr>
          <w:sz w:val="28"/>
        </w:rPr>
      </w:pPr>
      <w:r>
        <w:rPr/>
        <w:br w:type="column"/>
      </w:r>
      <w:r>
        <w:rPr>
          <w:sz w:val="28"/>
        </w:rPr>
      </w:r>
    </w:p>
    <w:p>
      <w:pPr>
        <w:pStyle w:val="BodyText"/>
        <w:rPr>
          <w:sz w:val="28"/>
        </w:rPr>
      </w:pPr>
    </w:p>
    <w:p>
      <w:pPr>
        <w:spacing w:before="220"/>
        <w:ind w:left="624" w:right="575" w:firstLine="0"/>
        <w:jc w:val="center"/>
        <w:rPr>
          <w:b/>
          <w:sz w:val="24"/>
        </w:rPr>
      </w:pPr>
      <w:r>
        <w:rPr>
          <w:b/>
          <w:color w:val="EC5A4F"/>
          <w:w w:val="110"/>
          <w:sz w:val="24"/>
        </w:rPr>
        <w:t>139</w:t>
      </w:r>
    </w:p>
    <w:p>
      <w:pPr>
        <w:spacing w:after="0"/>
        <w:jc w:val="center"/>
        <w:rPr>
          <w:sz w:val="24"/>
        </w:rPr>
        <w:sectPr>
          <w:type w:val="continuous"/>
          <w:pgSz w:w="11910" w:h="16840"/>
          <w:pgMar w:top="920" w:bottom="280" w:left="0" w:right="0"/>
          <w:cols w:num="2" w:equalWidth="0">
            <w:col w:w="10229" w:space="40"/>
            <w:col w:w="1641"/>
          </w:cols>
        </w:sectPr>
      </w:pPr>
    </w:p>
    <w:p>
      <w:pPr>
        <w:pStyle w:val="BodyText"/>
        <w:spacing w:before="9"/>
        <w:rPr>
          <w:b/>
          <w:sz w:val="19"/>
        </w:rPr>
      </w:pPr>
    </w:p>
    <w:p>
      <w:pPr>
        <w:spacing w:before="99"/>
        <w:ind w:left="1587" w:right="0" w:firstLine="0"/>
        <w:jc w:val="left"/>
        <w:rPr>
          <w:b/>
          <w:sz w:val="28"/>
        </w:rPr>
      </w:pPr>
      <w:bookmarkStart w:name="Regulation of the legal profession" w:id="134"/>
      <w:bookmarkEnd w:id="134"/>
      <w:r>
        <w:rPr/>
      </w:r>
      <w:r>
        <w:rPr>
          <w:b/>
          <w:color w:val="EC5A4F"/>
          <w:w w:val="115"/>
          <w:sz w:val="28"/>
        </w:rPr>
        <w:t>Regulation of the legal profession</w:t>
      </w:r>
    </w:p>
    <w:p>
      <w:pPr>
        <w:spacing w:before="223"/>
        <w:ind w:left="1587" w:right="0" w:firstLine="0"/>
        <w:jc w:val="left"/>
        <w:rPr>
          <w:b/>
          <w:sz w:val="24"/>
        </w:rPr>
      </w:pPr>
      <w:r>
        <w:rPr>
          <w:b/>
          <w:w w:val="115"/>
          <w:sz w:val="24"/>
        </w:rPr>
        <w:t>Legal Profession Act</w:t>
      </w:r>
    </w:p>
    <w:p>
      <w:pPr>
        <w:pStyle w:val="ListParagraph"/>
        <w:numPr>
          <w:ilvl w:val="1"/>
          <w:numId w:val="22"/>
        </w:numPr>
        <w:tabs>
          <w:tab w:pos="2380" w:val="left" w:leader="none"/>
          <w:tab w:pos="2381" w:val="left" w:leader="none"/>
        </w:tabs>
        <w:spacing w:line="242" w:lineRule="auto" w:before="137" w:after="0"/>
        <w:ind w:left="2381" w:right="1982" w:hanging="794"/>
        <w:jc w:val="left"/>
        <w:rPr>
          <w:sz w:val="12"/>
        </w:rPr>
      </w:pPr>
      <w:r>
        <w:rPr>
          <w:w w:val="105"/>
          <w:sz w:val="21"/>
        </w:rPr>
        <w:t>The legal </w:t>
      </w:r>
      <w:r>
        <w:rPr>
          <w:spacing w:val="-3"/>
          <w:w w:val="105"/>
          <w:sz w:val="21"/>
        </w:rPr>
        <w:t>profession </w:t>
      </w:r>
      <w:r>
        <w:rPr>
          <w:w w:val="105"/>
          <w:sz w:val="21"/>
        </w:rPr>
        <w:t>in Victoria is </w:t>
      </w:r>
      <w:r>
        <w:rPr>
          <w:spacing w:val="-3"/>
          <w:w w:val="105"/>
          <w:sz w:val="21"/>
        </w:rPr>
        <w:t>regulated </w:t>
      </w:r>
      <w:r>
        <w:rPr>
          <w:w w:val="105"/>
          <w:sz w:val="21"/>
        </w:rPr>
        <w:t>under the </w:t>
      </w:r>
      <w:r>
        <w:rPr>
          <w:i/>
          <w:w w:val="105"/>
          <w:sz w:val="21"/>
        </w:rPr>
        <w:t>Legal </w:t>
      </w:r>
      <w:r>
        <w:rPr>
          <w:i/>
          <w:spacing w:val="-3"/>
          <w:w w:val="105"/>
          <w:sz w:val="21"/>
        </w:rPr>
        <w:t>Profession </w:t>
      </w:r>
      <w:r>
        <w:rPr>
          <w:i/>
          <w:w w:val="105"/>
          <w:sz w:val="21"/>
        </w:rPr>
        <w:t>Act 2004 </w:t>
      </w:r>
      <w:r>
        <w:rPr>
          <w:w w:val="105"/>
          <w:sz w:val="21"/>
        </w:rPr>
        <w:t>(Vic). The Act establishes a co-regulatory </w:t>
      </w:r>
      <w:r>
        <w:rPr>
          <w:spacing w:val="-3"/>
          <w:w w:val="105"/>
          <w:sz w:val="21"/>
        </w:rPr>
        <w:t>framework, </w:t>
      </w:r>
      <w:r>
        <w:rPr>
          <w:w w:val="105"/>
          <w:sz w:val="21"/>
        </w:rPr>
        <w:t>along the </w:t>
      </w:r>
      <w:r>
        <w:rPr>
          <w:spacing w:val="-3"/>
          <w:w w:val="105"/>
          <w:sz w:val="21"/>
        </w:rPr>
        <w:t>lines </w:t>
      </w:r>
      <w:r>
        <w:rPr>
          <w:w w:val="105"/>
          <w:sz w:val="21"/>
        </w:rPr>
        <w:t>of a </w:t>
      </w:r>
      <w:r>
        <w:rPr>
          <w:spacing w:val="-3"/>
          <w:w w:val="105"/>
          <w:sz w:val="21"/>
        </w:rPr>
        <w:t>national </w:t>
      </w:r>
      <w:r>
        <w:rPr>
          <w:w w:val="105"/>
          <w:sz w:val="21"/>
        </w:rPr>
        <w:t>model developed by the former </w:t>
      </w:r>
      <w:r>
        <w:rPr>
          <w:spacing w:val="-3"/>
          <w:w w:val="105"/>
          <w:sz w:val="21"/>
        </w:rPr>
        <w:t>Standing Committee </w:t>
      </w:r>
      <w:r>
        <w:rPr>
          <w:w w:val="105"/>
          <w:sz w:val="21"/>
        </w:rPr>
        <w:t>of </w:t>
      </w:r>
      <w:r>
        <w:rPr>
          <w:spacing w:val="-3"/>
          <w:w w:val="105"/>
          <w:sz w:val="21"/>
        </w:rPr>
        <w:t>Attorneys</w:t>
      </w:r>
      <w:r>
        <w:rPr>
          <w:spacing w:val="33"/>
          <w:w w:val="105"/>
          <w:sz w:val="21"/>
        </w:rPr>
        <w:t> </w:t>
      </w:r>
      <w:r>
        <w:rPr>
          <w:spacing w:val="-3"/>
          <w:w w:val="105"/>
          <w:sz w:val="21"/>
        </w:rPr>
        <w:t>General.</w:t>
      </w:r>
      <w:r>
        <w:rPr>
          <w:spacing w:val="-3"/>
          <w:w w:val="105"/>
          <w:position w:val="7"/>
          <w:sz w:val="12"/>
        </w:rPr>
        <w:t>5</w:t>
      </w:r>
    </w:p>
    <w:p>
      <w:pPr>
        <w:pStyle w:val="ListParagraph"/>
        <w:numPr>
          <w:ilvl w:val="1"/>
          <w:numId w:val="22"/>
        </w:numPr>
        <w:tabs>
          <w:tab w:pos="2380" w:val="left" w:leader="none"/>
          <w:tab w:pos="2381" w:val="left" w:leader="none"/>
        </w:tabs>
        <w:spacing w:line="242" w:lineRule="auto" w:before="123" w:after="0"/>
        <w:ind w:left="2380" w:right="2028" w:hanging="793"/>
        <w:jc w:val="left"/>
        <w:rPr>
          <w:sz w:val="12"/>
        </w:rPr>
      </w:pPr>
      <w:r>
        <w:rPr>
          <w:w w:val="105"/>
          <w:sz w:val="21"/>
        </w:rPr>
        <w:t>The peak </w:t>
      </w:r>
      <w:r>
        <w:rPr>
          <w:spacing w:val="-3"/>
          <w:w w:val="105"/>
          <w:sz w:val="21"/>
        </w:rPr>
        <w:t>regulator </w:t>
      </w:r>
      <w:r>
        <w:rPr>
          <w:w w:val="105"/>
          <w:sz w:val="21"/>
        </w:rPr>
        <w:t>is the Legal Services </w:t>
      </w:r>
      <w:r>
        <w:rPr>
          <w:spacing w:val="-3"/>
          <w:w w:val="105"/>
          <w:sz w:val="21"/>
        </w:rPr>
        <w:t>Board, </w:t>
      </w:r>
      <w:r>
        <w:rPr>
          <w:w w:val="105"/>
          <w:sz w:val="21"/>
        </w:rPr>
        <w:t>which is an independent authority established</w:t>
      </w:r>
      <w:r>
        <w:rPr>
          <w:spacing w:val="-6"/>
          <w:w w:val="105"/>
          <w:sz w:val="21"/>
        </w:rPr>
        <w:t> </w:t>
      </w:r>
      <w:r>
        <w:rPr>
          <w:w w:val="105"/>
          <w:sz w:val="21"/>
        </w:rPr>
        <w:t>by</w:t>
      </w:r>
      <w:r>
        <w:rPr>
          <w:spacing w:val="-5"/>
          <w:w w:val="105"/>
          <w:sz w:val="21"/>
        </w:rPr>
        <w:t> </w:t>
      </w:r>
      <w:r>
        <w:rPr>
          <w:w w:val="105"/>
          <w:sz w:val="21"/>
        </w:rPr>
        <w:t>the</w:t>
      </w:r>
      <w:r>
        <w:rPr>
          <w:spacing w:val="-5"/>
          <w:w w:val="105"/>
          <w:sz w:val="21"/>
        </w:rPr>
        <w:t> </w:t>
      </w:r>
      <w:r>
        <w:rPr>
          <w:w w:val="105"/>
          <w:sz w:val="21"/>
        </w:rPr>
        <w:t>Act.</w:t>
      </w:r>
      <w:r>
        <w:rPr>
          <w:spacing w:val="-5"/>
          <w:w w:val="105"/>
          <w:sz w:val="21"/>
        </w:rPr>
        <w:t> </w:t>
      </w:r>
      <w:r>
        <w:rPr>
          <w:w w:val="105"/>
          <w:sz w:val="21"/>
        </w:rPr>
        <w:t>Among</w:t>
      </w:r>
      <w:r>
        <w:rPr>
          <w:spacing w:val="-5"/>
          <w:w w:val="105"/>
          <w:sz w:val="21"/>
        </w:rPr>
        <w:t> </w:t>
      </w:r>
      <w:r>
        <w:rPr>
          <w:w w:val="105"/>
          <w:sz w:val="21"/>
        </w:rPr>
        <w:t>its</w:t>
      </w:r>
      <w:r>
        <w:rPr>
          <w:spacing w:val="-5"/>
          <w:w w:val="105"/>
          <w:sz w:val="21"/>
        </w:rPr>
        <w:t> </w:t>
      </w:r>
      <w:r>
        <w:rPr>
          <w:w w:val="105"/>
          <w:sz w:val="21"/>
        </w:rPr>
        <w:t>functions</w:t>
      </w:r>
      <w:r>
        <w:rPr>
          <w:spacing w:val="-5"/>
          <w:w w:val="105"/>
          <w:sz w:val="21"/>
        </w:rPr>
        <w:t> </w:t>
      </w:r>
      <w:r>
        <w:rPr>
          <w:w w:val="105"/>
          <w:sz w:val="21"/>
        </w:rPr>
        <w:t>is</w:t>
      </w:r>
      <w:r>
        <w:rPr>
          <w:spacing w:val="-5"/>
          <w:w w:val="105"/>
          <w:sz w:val="21"/>
        </w:rPr>
        <w:t> </w:t>
      </w:r>
      <w:r>
        <w:rPr>
          <w:w w:val="105"/>
          <w:sz w:val="21"/>
        </w:rPr>
        <w:t>the</w:t>
      </w:r>
      <w:r>
        <w:rPr>
          <w:spacing w:val="-6"/>
          <w:w w:val="105"/>
          <w:sz w:val="21"/>
        </w:rPr>
        <w:t> </w:t>
      </w:r>
      <w:r>
        <w:rPr>
          <w:spacing w:val="-3"/>
          <w:w w:val="105"/>
          <w:sz w:val="21"/>
        </w:rPr>
        <w:t>responsibility</w:t>
      </w:r>
      <w:r>
        <w:rPr>
          <w:spacing w:val="-5"/>
          <w:w w:val="105"/>
          <w:sz w:val="21"/>
        </w:rPr>
        <w:t> </w:t>
      </w:r>
      <w:r>
        <w:rPr>
          <w:spacing w:val="-3"/>
          <w:w w:val="105"/>
          <w:sz w:val="21"/>
        </w:rPr>
        <w:t>to</w:t>
      </w:r>
      <w:r>
        <w:rPr>
          <w:spacing w:val="-5"/>
          <w:w w:val="105"/>
          <w:sz w:val="21"/>
        </w:rPr>
        <w:t> </w:t>
      </w:r>
      <w:r>
        <w:rPr>
          <w:spacing w:val="-4"/>
          <w:w w:val="105"/>
          <w:sz w:val="21"/>
        </w:rPr>
        <w:t>make</w:t>
      </w:r>
      <w:r>
        <w:rPr>
          <w:spacing w:val="-5"/>
          <w:w w:val="105"/>
          <w:sz w:val="21"/>
        </w:rPr>
        <w:t> </w:t>
      </w:r>
      <w:r>
        <w:rPr>
          <w:w w:val="105"/>
          <w:sz w:val="21"/>
        </w:rPr>
        <w:t>and</w:t>
      </w:r>
      <w:r>
        <w:rPr>
          <w:spacing w:val="-5"/>
          <w:w w:val="105"/>
          <w:sz w:val="21"/>
        </w:rPr>
        <w:t> </w:t>
      </w:r>
      <w:r>
        <w:rPr>
          <w:spacing w:val="-3"/>
          <w:w w:val="105"/>
          <w:sz w:val="21"/>
        </w:rPr>
        <w:t>approve </w:t>
      </w:r>
      <w:r>
        <w:rPr>
          <w:w w:val="105"/>
          <w:sz w:val="21"/>
        </w:rPr>
        <w:t>legal practice</w:t>
      </w:r>
      <w:r>
        <w:rPr>
          <w:spacing w:val="9"/>
          <w:w w:val="105"/>
          <w:sz w:val="21"/>
        </w:rPr>
        <w:t> </w:t>
      </w:r>
      <w:r>
        <w:rPr>
          <w:w w:val="105"/>
          <w:sz w:val="21"/>
        </w:rPr>
        <w:t>rules.</w:t>
      </w:r>
      <w:r>
        <w:rPr>
          <w:w w:val="105"/>
          <w:position w:val="7"/>
          <w:sz w:val="12"/>
        </w:rPr>
        <w:t>6</w:t>
      </w:r>
    </w:p>
    <w:p>
      <w:pPr>
        <w:pStyle w:val="ListParagraph"/>
        <w:numPr>
          <w:ilvl w:val="1"/>
          <w:numId w:val="22"/>
        </w:numPr>
        <w:tabs>
          <w:tab w:pos="2381" w:val="left" w:leader="none"/>
          <w:tab w:pos="2382" w:val="left" w:leader="none"/>
        </w:tabs>
        <w:spacing w:line="242" w:lineRule="auto" w:before="124" w:after="0"/>
        <w:ind w:left="2381" w:right="1887" w:hanging="794"/>
        <w:jc w:val="left"/>
        <w:rPr>
          <w:sz w:val="21"/>
        </w:rPr>
      </w:pPr>
      <w:r>
        <w:rPr>
          <w:sz w:val="21"/>
        </w:rPr>
        <w:t>With the </w:t>
      </w:r>
      <w:r>
        <w:rPr>
          <w:spacing w:val="-3"/>
          <w:sz w:val="21"/>
        </w:rPr>
        <w:t>board’s  approval,  </w:t>
      </w:r>
      <w:r>
        <w:rPr>
          <w:sz w:val="21"/>
        </w:rPr>
        <w:t>the Law </w:t>
      </w:r>
      <w:r>
        <w:rPr>
          <w:spacing w:val="-3"/>
          <w:sz w:val="21"/>
        </w:rPr>
        <w:t>Institute</w:t>
      </w:r>
      <w:r>
        <w:rPr>
          <w:spacing w:val="41"/>
          <w:sz w:val="21"/>
        </w:rPr>
        <w:t> </w:t>
      </w:r>
      <w:r>
        <w:rPr>
          <w:sz w:val="21"/>
        </w:rPr>
        <w:t>of Victoria </w:t>
      </w:r>
      <w:r>
        <w:rPr>
          <w:spacing w:val="-3"/>
          <w:sz w:val="21"/>
        </w:rPr>
        <w:t>may  </w:t>
      </w:r>
      <w:r>
        <w:rPr>
          <w:spacing w:val="-4"/>
          <w:sz w:val="21"/>
        </w:rPr>
        <w:t>make  </w:t>
      </w:r>
      <w:r>
        <w:rPr>
          <w:sz w:val="21"/>
        </w:rPr>
        <w:t>legal practice rules </w:t>
      </w:r>
      <w:r>
        <w:rPr>
          <w:spacing w:val="-3"/>
          <w:sz w:val="21"/>
        </w:rPr>
        <w:t>for </w:t>
      </w:r>
      <w:r>
        <w:rPr>
          <w:sz w:val="21"/>
        </w:rPr>
        <w:t>legal practitioners other </w:t>
      </w:r>
      <w:r>
        <w:rPr>
          <w:spacing w:val="-3"/>
          <w:sz w:val="21"/>
        </w:rPr>
        <w:t>than </w:t>
      </w:r>
      <w:r>
        <w:rPr>
          <w:sz w:val="21"/>
        </w:rPr>
        <w:t>barristers, and the Victorian Bar </w:t>
      </w:r>
      <w:r>
        <w:rPr>
          <w:spacing w:val="-3"/>
          <w:sz w:val="21"/>
        </w:rPr>
        <w:t>may </w:t>
      </w:r>
      <w:r>
        <w:rPr>
          <w:spacing w:val="-4"/>
          <w:sz w:val="21"/>
        </w:rPr>
        <w:t>make </w:t>
      </w:r>
      <w:r>
        <w:rPr>
          <w:sz w:val="21"/>
        </w:rPr>
        <w:t>rules </w:t>
      </w:r>
      <w:r>
        <w:rPr>
          <w:spacing w:val="-3"/>
          <w:sz w:val="21"/>
        </w:rPr>
        <w:t>for barristers.</w:t>
      </w:r>
      <w:r>
        <w:rPr>
          <w:spacing w:val="-3"/>
          <w:position w:val="7"/>
          <w:sz w:val="12"/>
        </w:rPr>
        <w:t>7 </w:t>
      </w:r>
      <w:r>
        <w:rPr>
          <w:sz w:val="21"/>
        </w:rPr>
        <w:t>The Law </w:t>
      </w:r>
      <w:r>
        <w:rPr>
          <w:spacing w:val="-3"/>
          <w:sz w:val="21"/>
        </w:rPr>
        <w:t>Institute </w:t>
      </w:r>
      <w:r>
        <w:rPr>
          <w:sz w:val="21"/>
        </w:rPr>
        <w:t>of </w:t>
      </w:r>
      <w:r>
        <w:rPr>
          <w:spacing w:val="-3"/>
          <w:sz w:val="21"/>
        </w:rPr>
        <w:t>Victoria’s </w:t>
      </w:r>
      <w:r>
        <w:rPr>
          <w:i/>
          <w:spacing w:val="-3"/>
          <w:sz w:val="21"/>
        </w:rPr>
        <w:t>Professional  </w:t>
      </w:r>
      <w:r>
        <w:rPr>
          <w:i/>
          <w:sz w:val="21"/>
        </w:rPr>
        <w:t>Conduct and Practice Rules 2005  </w:t>
      </w:r>
      <w:r>
        <w:rPr>
          <w:spacing w:val="-3"/>
          <w:sz w:val="21"/>
        </w:rPr>
        <w:t>are </w:t>
      </w:r>
      <w:r>
        <w:rPr>
          <w:sz w:val="21"/>
        </w:rPr>
        <w:t>applicable </w:t>
      </w:r>
      <w:r>
        <w:rPr>
          <w:spacing w:val="-3"/>
          <w:sz w:val="21"/>
        </w:rPr>
        <w:t>to </w:t>
      </w:r>
      <w:r>
        <w:rPr>
          <w:sz w:val="21"/>
        </w:rPr>
        <w:t>legal practitioner executors and </w:t>
      </w:r>
      <w:r>
        <w:rPr>
          <w:spacing w:val="-3"/>
          <w:sz w:val="21"/>
        </w:rPr>
        <w:t>are  </w:t>
      </w:r>
      <w:r>
        <w:rPr>
          <w:sz w:val="21"/>
        </w:rPr>
        <w:t>discussed in more detail </w:t>
      </w:r>
      <w:r>
        <w:rPr>
          <w:spacing w:val="-3"/>
          <w:sz w:val="21"/>
        </w:rPr>
        <w:t>later</w:t>
      </w:r>
      <w:r>
        <w:rPr>
          <w:spacing w:val="41"/>
          <w:sz w:val="21"/>
        </w:rPr>
        <w:t> </w:t>
      </w:r>
      <w:r>
        <w:rPr>
          <w:sz w:val="21"/>
        </w:rPr>
        <w:t>in this</w:t>
      </w:r>
      <w:r>
        <w:rPr>
          <w:spacing w:val="8"/>
          <w:sz w:val="21"/>
        </w:rPr>
        <w:t> </w:t>
      </w:r>
      <w:r>
        <w:rPr>
          <w:spacing w:val="-5"/>
          <w:sz w:val="21"/>
        </w:rPr>
        <w:t>chapter.</w:t>
      </w:r>
    </w:p>
    <w:p>
      <w:pPr>
        <w:pStyle w:val="ListParagraph"/>
        <w:numPr>
          <w:ilvl w:val="1"/>
          <w:numId w:val="22"/>
        </w:numPr>
        <w:tabs>
          <w:tab w:pos="2381" w:val="left" w:leader="none"/>
          <w:tab w:pos="2382" w:val="left" w:leader="none"/>
        </w:tabs>
        <w:spacing w:line="242" w:lineRule="auto" w:before="125" w:after="0"/>
        <w:ind w:left="2381" w:right="1653" w:hanging="794"/>
        <w:jc w:val="left"/>
        <w:rPr>
          <w:sz w:val="21"/>
        </w:rPr>
      </w:pPr>
      <w:r>
        <w:rPr>
          <w:w w:val="105"/>
          <w:sz w:val="21"/>
        </w:rPr>
        <w:t>The</w:t>
      </w:r>
      <w:r>
        <w:rPr>
          <w:spacing w:val="-10"/>
          <w:w w:val="105"/>
          <w:sz w:val="21"/>
        </w:rPr>
        <w:t> </w:t>
      </w:r>
      <w:r>
        <w:rPr>
          <w:w w:val="105"/>
          <w:sz w:val="21"/>
        </w:rPr>
        <w:t>chief</w:t>
      </w:r>
      <w:r>
        <w:rPr>
          <w:spacing w:val="-10"/>
          <w:w w:val="105"/>
          <w:sz w:val="21"/>
        </w:rPr>
        <w:t> </w:t>
      </w:r>
      <w:r>
        <w:rPr>
          <w:w w:val="105"/>
          <w:sz w:val="21"/>
        </w:rPr>
        <w:t>executive</w:t>
      </w:r>
      <w:r>
        <w:rPr>
          <w:spacing w:val="-10"/>
          <w:w w:val="105"/>
          <w:sz w:val="21"/>
        </w:rPr>
        <w:t> </w:t>
      </w:r>
      <w:r>
        <w:rPr>
          <w:w w:val="105"/>
          <w:sz w:val="21"/>
        </w:rPr>
        <w:t>officer</w:t>
      </w:r>
      <w:r>
        <w:rPr>
          <w:spacing w:val="-10"/>
          <w:w w:val="105"/>
          <w:sz w:val="21"/>
        </w:rPr>
        <w:t> </w:t>
      </w:r>
      <w:r>
        <w:rPr>
          <w:w w:val="105"/>
          <w:sz w:val="21"/>
        </w:rPr>
        <w:t>of</w:t>
      </w:r>
      <w:r>
        <w:rPr>
          <w:spacing w:val="-10"/>
          <w:w w:val="105"/>
          <w:sz w:val="21"/>
        </w:rPr>
        <w:t> </w:t>
      </w:r>
      <w:r>
        <w:rPr>
          <w:w w:val="105"/>
          <w:sz w:val="21"/>
        </w:rPr>
        <w:t>the</w:t>
      </w:r>
      <w:r>
        <w:rPr>
          <w:spacing w:val="-10"/>
          <w:w w:val="105"/>
          <w:sz w:val="21"/>
        </w:rPr>
        <w:t> </w:t>
      </w:r>
      <w:r>
        <w:rPr>
          <w:w w:val="105"/>
          <w:sz w:val="21"/>
        </w:rPr>
        <w:t>Legal</w:t>
      </w:r>
      <w:r>
        <w:rPr>
          <w:spacing w:val="-10"/>
          <w:w w:val="105"/>
          <w:sz w:val="21"/>
        </w:rPr>
        <w:t> </w:t>
      </w:r>
      <w:r>
        <w:rPr>
          <w:w w:val="105"/>
          <w:sz w:val="21"/>
        </w:rPr>
        <w:t>Services</w:t>
      </w:r>
      <w:r>
        <w:rPr>
          <w:spacing w:val="-10"/>
          <w:w w:val="105"/>
          <w:sz w:val="21"/>
        </w:rPr>
        <w:t> </w:t>
      </w:r>
      <w:r>
        <w:rPr>
          <w:w w:val="105"/>
          <w:sz w:val="21"/>
        </w:rPr>
        <w:t>Board</w:t>
      </w:r>
      <w:r>
        <w:rPr>
          <w:spacing w:val="-10"/>
          <w:w w:val="105"/>
          <w:sz w:val="21"/>
        </w:rPr>
        <w:t> </w:t>
      </w:r>
      <w:r>
        <w:rPr>
          <w:w w:val="105"/>
          <w:sz w:val="21"/>
        </w:rPr>
        <w:t>is</w:t>
      </w:r>
      <w:r>
        <w:rPr>
          <w:spacing w:val="-10"/>
          <w:w w:val="105"/>
          <w:sz w:val="21"/>
        </w:rPr>
        <w:t> </w:t>
      </w:r>
      <w:r>
        <w:rPr>
          <w:w w:val="105"/>
          <w:sz w:val="21"/>
        </w:rPr>
        <w:t>the</w:t>
      </w:r>
      <w:r>
        <w:rPr>
          <w:spacing w:val="-10"/>
          <w:w w:val="105"/>
          <w:sz w:val="21"/>
        </w:rPr>
        <w:t> </w:t>
      </w:r>
      <w:r>
        <w:rPr>
          <w:w w:val="105"/>
          <w:sz w:val="21"/>
        </w:rPr>
        <w:t>Legal</w:t>
      </w:r>
      <w:r>
        <w:rPr>
          <w:spacing w:val="-10"/>
          <w:w w:val="105"/>
          <w:sz w:val="21"/>
        </w:rPr>
        <w:t> </w:t>
      </w:r>
      <w:r>
        <w:rPr>
          <w:w w:val="105"/>
          <w:sz w:val="21"/>
        </w:rPr>
        <w:t>Services</w:t>
      </w:r>
      <w:r>
        <w:rPr>
          <w:spacing w:val="-10"/>
          <w:w w:val="105"/>
          <w:sz w:val="21"/>
        </w:rPr>
        <w:t> </w:t>
      </w:r>
      <w:r>
        <w:rPr>
          <w:spacing w:val="-4"/>
          <w:w w:val="105"/>
          <w:sz w:val="21"/>
        </w:rPr>
        <w:t>Commissioner, </w:t>
      </w:r>
      <w:r>
        <w:rPr>
          <w:spacing w:val="-3"/>
          <w:w w:val="105"/>
          <w:sz w:val="21"/>
        </w:rPr>
        <w:t>another </w:t>
      </w:r>
      <w:r>
        <w:rPr>
          <w:w w:val="105"/>
          <w:sz w:val="21"/>
        </w:rPr>
        <w:t>statutory office </w:t>
      </w:r>
      <w:r>
        <w:rPr>
          <w:spacing w:val="-3"/>
          <w:w w:val="105"/>
          <w:sz w:val="21"/>
        </w:rPr>
        <w:t>created </w:t>
      </w:r>
      <w:r>
        <w:rPr>
          <w:w w:val="105"/>
          <w:sz w:val="21"/>
        </w:rPr>
        <w:t>under the Legal </w:t>
      </w:r>
      <w:r>
        <w:rPr>
          <w:spacing w:val="-3"/>
          <w:w w:val="105"/>
          <w:sz w:val="21"/>
        </w:rPr>
        <w:t>Profession </w:t>
      </w:r>
      <w:r>
        <w:rPr>
          <w:w w:val="105"/>
          <w:sz w:val="21"/>
        </w:rPr>
        <w:t>Act. The Legal Services </w:t>
      </w:r>
      <w:r>
        <w:rPr>
          <w:spacing w:val="-3"/>
          <w:w w:val="105"/>
          <w:sz w:val="21"/>
        </w:rPr>
        <w:t>Commissioner </w:t>
      </w:r>
      <w:r>
        <w:rPr>
          <w:spacing w:val="-2"/>
          <w:w w:val="105"/>
          <w:sz w:val="21"/>
        </w:rPr>
        <w:t>has </w:t>
      </w:r>
      <w:r>
        <w:rPr>
          <w:w w:val="105"/>
          <w:sz w:val="21"/>
        </w:rPr>
        <w:t>an </w:t>
      </w:r>
      <w:r>
        <w:rPr>
          <w:spacing w:val="-3"/>
          <w:w w:val="105"/>
          <w:sz w:val="21"/>
        </w:rPr>
        <w:t>obligation</w:t>
      </w:r>
      <w:r>
        <w:rPr>
          <w:spacing w:val="27"/>
          <w:w w:val="105"/>
          <w:sz w:val="21"/>
        </w:rPr>
        <w:t> </w:t>
      </w:r>
      <w:r>
        <w:rPr>
          <w:w w:val="105"/>
          <w:sz w:val="21"/>
        </w:rPr>
        <w:t>to:</w:t>
      </w:r>
    </w:p>
    <w:p>
      <w:pPr>
        <w:pStyle w:val="ListParagraph"/>
        <w:numPr>
          <w:ilvl w:val="2"/>
          <w:numId w:val="22"/>
        </w:numPr>
        <w:tabs>
          <w:tab w:pos="2721" w:val="left" w:leader="none"/>
          <w:tab w:pos="2722" w:val="left" w:leader="none"/>
        </w:tabs>
        <w:spacing w:line="242" w:lineRule="auto" w:before="123" w:after="0"/>
        <w:ind w:left="2721" w:right="2251" w:hanging="340"/>
        <w:jc w:val="left"/>
        <w:rPr>
          <w:sz w:val="21"/>
        </w:rPr>
      </w:pPr>
      <w:r>
        <w:rPr>
          <w:spacing w:val="-3"/>
          <w:sz w:val="21"/>
        </w:rPr>
        <w:t>ensure that complaints against </w:t>
      </w:r>
      <w:r>
        <w:rPr>
          <w:sz w:val="21"/>
        </w:rPr>
        <w:t>legal practitioners </w:t>
      </w:r>
      <w:r>
        <w:rPr>
          <w:spacing w:val="-3"/>
          <w:sz w:val="21"/>
        </w:rPr>
        <w:t>are </w:t>
      </w:r>
      <w:r>
        <w:rPr>
          <w:sz w:val="21"/>
        </w:rPr>
        <w:t>dealt with in a timely and effective</w:t>
      </w:r>
      <w:r>
        <w:rPr>
          <w:spacing w:val="8"/>
          <w:sz w:val="21"/>
        </w:rPr>
        <w:t> </w:t>
      </w:r>
      <w:r>
        <w:rPr>
          <w:spacing w:val="-3"/>
          <w:sz w:val="21"/>
        </w:rPr>
        <w:t>manner</w:t>
      </w:r>
    </w:p>
    <w:p>
      <w:pPr>
        <w:pStyle w:val="ListParagraph"/>
        <w:numPr>
          <w:ilvl w:val="2"/>
          <w:numId w:val="22"/>
        </w:numPr>
        <w:tabs>
          <w:tab w:pos="2721" w:val="left" w:leader="none"/>
          <w:tab w:pos="2722" w:val="left" w:leader="none"/>
        </w:tabs>
        <w:spacing w:line="242" w:lineRule="auto" w:before="123" w:after="0"/>
        <w:ind w:left="2721" w:right="1643" w:hanging="340"/>
        <w:jc w:val="left"/>
        <w:rPr>
          <w:sz w:val="21"/>
        </w:rPr>
      </w:pPr>
      <w:r>
        <w:rPr>
          <w:w w:val="105"/>
          <w:sz w:val="21"/>
        </w:rPr>
        <w:t>educate</w:t>
      </w:r>
      <w:r>
        <w:rPr>
          <w:spacing w:val="-6"/>
          <w:w w:val="105"/>
          <w:sz w:val="21"/>
        </w:rPr>
        <w:t> </w:t>
      </w:r>
      <w:r>
        <w:rPr>
          <w:w w:val="105"/>
          <w:sz w:val="21"/>
        </w:rPr>
        <w:t>the</w:t>
      </w:r>
      <w:r>
        <w:rPr>
          <w:spacing w:val="-6"/>
          <w:w w:val="105"/>
          <w:sz w:val="21"/>
        </w:rPr>
        <w:t> </w:t>
      </w:r>
      <w:r>
        <w:rPr>
          <w:w w:val="105"/>
          <w:sz w:val="21"/>
        </w:rPr>
        <w:t>legal</w:t>
      </w:r>
      <w:r>
        <w:rPr>
          <w:spacing w:val="-6"/>
          <w:w w:val="105"/>
          <w:sz w:val="21"/>
        </w:rPr>
        <w:t> </w:t>
      </w:r>
      <w:r>
        <w:rPr>
          <w:spacing w:val="-3"/>
          <w:w w:val="105"/>
          <w:sz w:val="21"/>
        </w:rPr>
        <w:t>profession</w:t>
      </w:r>
      <w:r>
        <w:rPr>
          <w:spacing w:val="-6"/>
          <w:w w:val="105"/>
          <w:sz w:val="21"/>
        </w:rPr>
        <w:t> </w:t>
      </w:r>
      <w:r>
        <w:rPr>
          <w:w w:val="105"/>
          <w:sz w:val="21"/>
        </w:rPr>
        <w:t>about</w:t>
      </w:r>
      <w:r>
        <w:rPr>
          <w:spacing w:val="-6"/>
          <w:w w:val="105"/>
          <w:sz w:val="21"/>
        </w:rPr>
        <w:t> </w:t>
      </w:r>
      <w:r>
        <w:rPr>
          <w:w w:val="105"/>
          <w:sz w:val="21"/>
        </w:rPr>
        <w:t>issues</w:t>
      </w:r>
      <w:r>
        <w:rPr>
          <w:spacing w:val="-6"/>
          <w:w w:val="105"/>
          <w:sz w:val="21"/>
        </w:rPr>
        <w:t> </w:t>
      </w:r>
      <w:r>
        <w:rPr>
          <w:w w:val="105"/>
          <w:sz w:val="21"/>
        </w:rPr>
        <w:t>of</w:t>
      </w:r>
      <w:r>
        <w:rPr>
          <w:spacing w:val="-6"/>
          <w:w w:val="105"/>
          <w:sz w:val="21"/>
        </w:rPr>
        <w:t> </w:t>
      </w:r>
      <w:r>
        <w:rPr>
          <w:spacing w:val="-3"/>
          <w:w w:val="105"/>
          <w:sz w:val="21"/>
        </w:rPr>
        <w:t>concern</w:t>
      </w:r>
      <w:r>
        <w:rPr>
          <w:spacing w:val="-6"/>
          <w:w w:val="105"/>
          <w:sz w:val="21"/>
        </w:rPr>
        <w:t> </w:t>
      </w:r>
      <w:r>
        <w:rPr>
          <w:spacing w:val="-3"/>
          <w:w w:val="105"/>
          <w:sz w:val="21"/>
        </w:rPr>
        <w:t>to</w:t>
      </w:r>
      <w:r>
        <w:rPr>
          <w:spacing w:val="-6"/>
          <w:w w:val="105"/>
          <w:sz w:val="21"/>
        </w:rPr>
        <w:t> </w:t>
      </w:r>
      <w:r>
        <w:rPr>
          <w:w w:val="105"/>
          <w:sz w:val="21"/>
        </w:rPr>
        <w:t>the</w:t>
      </w:r>
      <w:r>
        <w:rPr>
          <w:spacing w:val="-6"/>
          <w:w w:val="105"/>
          <w:sz w:val="21"/>
        </w:rPr>
        <w:t> </w:t>
      </w:r>
      <w:r>
        <w:rPr>
          <w:spacing w:val="-3"/>
          <w:w w:val="105"/>
          <w:sz w:val="21"/>
        </w:rPr>
        <w:t>profession</w:t>
      </w:r>
      <w:r>
        <w:rPr>
          <w:spacing w:val="-6"/>
          <w:w w:val="105"/>
          <w:sz w:val="21"/>
        </w:rPr>
        <w:t> </w:t>
      </w:r>
      <w:r>
        <w:rPr>
          <w:w w:val="105"/>
          <w:sz w:val="21"/>
        </w:rPr>
        <w:t>and</w:t>
      </w:r>
      <w:r>
        <w:rPr>
          <w:spacing w:val="-6"/>
          <w:w w:val="105"/>
          <w:sz w:val="21"/>
        </w:rPr>
        <w:t> </w:t>
      </w:r>
      <w:r>
        <w:rPr>
          <w:spacing w:val="-3"/>
          <w:w w:val="105"/>
          <w:sz w:val="21"/>
        </w:rPr>
        <w:t>consumers </w:t>
      </w:r>
      <w:r>
        <w:rPr>
          <w:w w:val="105"/>
          <w:sz w:val="21"/>
        </w:rPr>
        <w:t>of legal</w:t>
      </w:r>
      <w:r>
        <w:rPr>
          <w:spacing w:val="10"/>
          <w:w w:val="105"/>
          <w:sz w:val="21"/>
        </w:rPr>
        <w:t> </w:t>
      </w:r>
      <w:r>
        <w:rPr>
          <w:w w:val="105"/>
          <w:sz w:val="21"/>
        </w:rPr>
        <w:t>services</w:t>
      </w:r>
    </w:p>
    <w:p>
      <w:pPr>
        <w:pStyle w:val="ListParagraph"/>
        <w:numPr>
          <w:ilvl w:val="2"/>
          <w:numId w:val="22"/>
        </w:numPr>
        <w:tabs>
          <w:tab w:pos="2721" w:val="left" w:leader="none"/>
          <w:tab w:pos="2722" w:val="left" w:leader="none"/>
        </w:tabs>
        <w:spacing w:line="242" w:lineRule="auto" w:before="122" w:after="0"/>
        <w:ind w:left="2721" w:right="1930" w:hanging="340"/>
        <w:jc w:val="left"/>
        <w:rPr>
          <w:sz w:val="12"/>
        </w:rPr>
      </w:pPr>
      <w:r>
        <w:rPr>
          <w:w w:val="105"/>
          <w:sz w:val="21"/>
        </w:rPr>
        <w:t>educate</w:t>
      </w:r>
      <w:r>
        <w:rPr>
          <w:spacing w:val="-8"/>
          <w:w w:val="105"/>
          <w:sz w:val="21"/>
        </w:rPr>
        <w:t> </w:t>
      </w:r>
      <w:r>
        <w:rPr>
          <w:w w:val="105"/>
          <w:sz w:val="21"/>
        </w:rPr>
        <w:t>the</w:t>
      </w:r>
      <w:r>
        <w:rPr>
          <w:spacing w:val="-7"/>
          <w:w w:val="105"/>
          <w:sz w:val="21"/>
        </w:rPr>
        <w:t> </w:t>
      </w:r>
      <w:r>
        <w:rPr>
          <w:w w:val="105"/>
          <w:sz w:val="21"/>
        </w:rPr>
        <w:t>community</w:t>
      </w:r>
      <w:r>
        <w:rPr>
          <w:spacing w:val="-7"/>
          <w:w w:val="105"/>
          <w:sz w:val="21"/>
        </w:rPr>
        <w:t> </w:t>
      </w:r>
      <w:r>
        <w:rPr>
          <w:w w:val="105"/>
          <w:sz w:val="21"/>
        </w:rPr>
        <w:t>about</w:t>
      </w:r>
      <w:r>
        <w:rPr>
          <w:spacing w:val="-7"/>
          <w:w w:val="105"/>
          <w:sz w:val="21"/>
        </w:rPr>
        <w:t> </w:t>
      </w:r>
      <w:r>
        <w:rPr>
          <w:w w:val="105"/>
          <w:sz w:val="21"/>
        </w:rPr>
        <w:t>legal</w:t>
      </w:r>
      <w:r>
        <w:rPr>
          <w:spacing w:val="-7"/>
          <w:w w:val="105"/>
          <w:sz w:val="21"/>
        </w:rPr>
        <w:t> </w:t>
      </w:r>
      <w:r>
        <w:rPr>
          <w:w w:val="105"/>
          <w:sz w:val="21"/>
        </w:rPr>
        <w:t>issues</w:t>
      </w:r>
      <w:r>
        <w:rPr>
          <w:spacing w:val="-7"/>
          <w:w w:val="105"/>
          <w:sz w:val="21"/>
        </w:rPr>
        <w:t> </w:t>
      </w:r>
      <w:r>
        <w:rPr>
          <w:w w:val="105"/>
          <w:sz w:val="21"/>
        </w:rPr>
        <w:t>and</w:t>
      </w:r>
      <w:r>
        <w:rPr>
          <w:spacing w:val="-7"/>
          <w:w w:val="105"/>
          <w:sz w:val="21"/>
        </w:rPr>
        <w:t> </w:t>
      </w:r>
      <w:r>
        <w:rPr>
          <w:w w:val="105"/>
          <w:sz w:val="21"/>
        </w:rPr>
        <w:t>the</w:t>
      </w:r>
      <w:r>
        <w:rPr>
          <w:spacing w:val="-7"/>
          <w:w w:val="105"/>
          <w:sz w:val="21"/>
        </w:rPr>
        <w:t> </w:t>
      </w:r>
      <w:r>
        <w:rPr>
          <w:w w:val="105"/>
          <w:sz w:val="21"/>
        </w:rPr>
        <w:t>rights</w:t>
      </w:r>
      <w:r>
        <w:rPr>
          <w:spacing w:val="-7"/>
          <w:w w:val="105"/>
          <w:sz w:val="21"/>
        </w:rPr>
        <w:t> </w:t>
      </w:r>
      <w:r>
        <w:rPr>
          <w:w w:val="105"/>
          <w:sz w:val="21"/>
        </w:rPr>
        <w:t>and</w:t>
      </w:r>
      <w:r>
        <w:rPr>
          <w:spacing w:val="-7"/>
          <w:w w:val="105"/>
          <w:sz w:val="21"/>
        </w:rPr>
        <w:t> </w:t>
      </w:r>
      <w:r>
        <w:rPr>
          <w:spacing w:val="-3"/>
          <w:w w:val="105"/>
          <w:sz w:val="21"/>
        </w:rPr>
        <w:t>obligations</w:t>
      </w:r>
      <w:r>
        <w:rPr>
          <w:spacing w:val="-7"/>
          <w:w w:val="105"/>
          <w:sz w:val="21"/>
        </w:rPr>
        <w:t> </w:t>
      </w:r>
      <w:r>
        <w:rPr>
          <w:spacing w:val="-3"/>
          <w:w w:val="105"/>
          <w:sz w:val="21"/>
        </w:rPr>
        <w:t>that</w:t>
      </w:r>
      <w:r>
        <w:rPr>
          <w:spacing w:val="-7"/>
          <w:w w:val="105"/>
          <w:sz w:val="21"/>
        </w:rPr>
        <w:t> </w:t>
      </w:r>
      <w:r>
        <w:rPr>
          <w:w w:val="105"/>
          <w:sz w:val="21"/>
        </w:rPr>
        <w:t>flow </w:t>
      </w:r>
      <w:r>
        <w:rPr>
          <w:spacing w:val="-3"/>
          <w:w w:val="105"/>
          <w:sz w:val="21"/>
        </w:rPr>
        <w:t>from </w:t>
      </w:r>
      <w:r>
        <w:rPr>
          <w:w w:val="105"/>
          <w:sz w:val="21"/>
        </w:rPr>
        <w:t>the </w:t>
      </w:r>
      <w:r>
        <w:rPr>
          <w:spacing w:val="-3"/>
          <w:w w:val="105"/>
          <w:sz w:val="21"/>
        </w:rPr>
        <w:t>client-practitioner</w:t>
      </w:r>
      <w:r>
        <w:rPr>
          <w:spacing w:val="17"/>
          <w:w w:val="105"/>
          <w:sz w:val="21"/>
        </w:rPr>
        <w:t> </w:t>
      </w:r>
      <w:r>
        <w:rPr>
          <w:spacing w:val="-3"/>
          <w:w w:val="105"/>
          <w:sz w:val="21"/>
        </w:rPr>
        <w:t>relationship.</w:t>
      </w:r>
      <w:r>
        <w:rPr>
          <w:spacing w:val="-3"/>
          <w:w w:val="105"/>
          <w:position w:val="7"/>
          <w:sz w:val="12"/>
        </w:rPr>
        <w:t>8</w:t>
      </w:r>
    </w:p>
    <w:p>
      <w:pPr>
        <w:pStyle w:val="ListParagraph"/>
        <w:numPr>
          <w:ilvl w:val="1"/>
          <w:numId w:val="22"/>
        </w:numPr>
        <w:tabs>
          <w:tab w:pos="2380" w:val="left" w:leader="none"/>
          <w:tab w:pos="2382" w:val="left" w:leader="none"/>
        </w:tabs>
        <w:spacing w:line="242" w:lineRule="auto" w:before="122" w:after="0"/>
        <w:ind w:left="2381" w:right="1626" w:hanging="794"/>
        <w:jc w:val="left"/>
        <w:rPr>
          <w:sz w:val="12"/>
        </w:rPr>
      </w:pPr>
      <w:r>
        <w:rPr>
          <w:w w:val="105"/>
          <w:sz w:val="21"/>
        </w:rPr>
        <w:t>A number of the functions of the Legal Services Board and the Legal Services </w:t>
      </w:r>
      <w:r>
        <w:rPr>
          <w:spacing w:val="-3"/>
          <w:w w:val="105"/>
          <w:sz w:val="21"/>
        </w:rPr>
        <w:t>Commissioner</w:t>
      </w:r>
      <w:r>
        <w:rPr>
          <w:spacing w:val="-6"/>
          <w:w w:val="105"/>
          <w:sz w:val="21"/>
        </w:rPr>
        <w:t> </w:t>
      </w:r>
      <w:r>
        <w:rPr>
          <w:spacing w:val="-3"/>
          <w:w w:val="105"/>
          <w:sz w:val="21"/>
        </w:rPr>
        <w:t>have</w:t>
      </w:r>
      <w:r>
        <w:rPr>
          <w:spacing w:val="-5"/>
          <w:w w:val="105"/>
          <w:sz w:val="21"/>
        </w:rPr>
        <w:t> </w:t>
      </w:r>
      <w:r>
        <w:rPr>
          <w:w w:val="105"/>
          <w:sz w:val="21"/>
        </w:rPr>
        <w:t>been</w:t>
      </w:r>
      <w:r>
        <w:rPr>
          <w:spacing w:val="-6"/>
          <w:w w:val="105"/>
          <w:sz w:val="21"/>
        </w:rPr>
        <w:t> </w:t>
      </w:r>
      <w:r>
        <w:rPr>
          <w:w w:val="105"/>
          <w:sz w:val="21"/>
        </w:rPr>
        <w:t>delegated</w:t>
      </w:r>
      <w:r>
        <w:rPr>
          <w:spacing w:val="-5"/>
          <w:w w:val="105"/>
          <w:sz w:val="21"/>
        </w:rPr>
        <w:t> </w:t>
      </w:r>
      <w:r>
        <w:rPr>
          <w:spacing w:val="-3"/>
          <w:w w:val="105"/>
          <w:sz w:val="21"/>
        </w:rPr>
        <w:t>to</w:t>
      </w:r>
      <w:r>
        <w:rPr>
          <w:spacing w:val="-6"/>
          <w:w w:val="105"/>
          <w:sz w:val="21"/>
        </w:rPr>
        <w:t> </w:t>
      </w:r>
      <w:r>
        <w:rPr>
          <w:w w:val="105"/>
          <w:sz w:val="21"/>
        </w:rPr>
        <w:t>the</w:t>
      </w:r>
      <w:r>
        <w:rPr>
          <w:spacing w:val="-5"/>
          <w:w w:val="105"/>
          <w:sz w:val="21"/>
        </w:rPr>
        <w:t> </w:t>
      </w:r>
      <w:r>
        <w:rPr>
          <w:w w:val="105"/>
          <w:sz w:val="21"/>
        </w:rPr>
        <w:t>Law</w:t>
      </w:r>
      <w:r>
        <w:rPr>
          <w:spacing w:val="-6"/>
          <w:w w:val="105"/>
          <w:sz w:val="21"/>
        </w:rPr>
        <w:t> </w:t>
      </w:r>
      <w:r>
        <w:rPr>
          <w:spacing w:val="-3"/>
          <w:w w:val="105"/>
          <w:sz w:val="21"/>
        </w:rPr>
        <w:t>Institute</w:t>
      </w:r>
      <w:r>
        <w:rPr>
          <w:spacing w:val="-5"/>
          <w:w w:val="105"/>
          <w:sz w:val="21"/>
        </w:rPr>
        <w:t> </w:t>
      </w:r>
      <w:r>
        <w:rPr>
          <w:w w:val="105"/>
          <w:sz w:val="21"/>
        </w:rPr>
        <w:t>of</w:t>
      </w:r>
      <w:r>
        <w:rPr>
          <w:spacing w:val="-6"/>
          <w:w w:val="105"/>
          <w:sz w:val="21"/>
        </w:rPr>
        <w:t> </w:t>
      </w:r>
      <w:r>
        <w:rPr>
          <w:w w:val="105"/>
          <w:sz w:val="21"/>
        </w:rPr>
        <w:t>Victoria</w:t>
      </w:r>
      <w:r>
        <w:rPr>
          <w:spacing w:val="-5"/>
          <w:w w:val="105"/>
          <w:sz w:val="21"/>
        </w:rPr>
        <w:t> </w:t>
      </w:r>
      <w:r>
        <w:rPr>
          <w:w w:val="105"/>
          <w:sz w:val="21"/>
        </w:rPr>
        <w:t>and</w:t>
      </w:r>
      <w:r>
        <w:rPr>
          <w:spacing w:val="-5"/>
          <w:w w:val="105"/>
          <w:sz w:val="21"/>
        </w:rPr>
        <w:t> </w:t>
      </w:r>
      <w:r>
        <w:rPr>
          <w:w w:val="105"/>
          <w:sz w:val="21"/>
        </w:rPr>
        <w:t>the</w:t>
      </w:r>
      <w:r>
        <w:rPr>
          <w:spacing w:val="-6"/>
          <w:w w:val="105"/>
          <w:sz w:val="21"/>
        </w:rPr>
        <w:t> </w:t>
      </w:r>
      <w:r>
        <w:rPr>
          <w:w w:val="105"/>
          <w:sz w:val="21"/>
        </w:rPr>
        <w:t>Victorian</w:t>
      </w:r>
      <w:r>
        <w:rPr>
          <w:spacing w:val="-5"/>
          <w:w w:val="105"/>
          <w:sz w:val="21"/>
        </w:rPr>
        <w:t> </w:t>
      </w:r>
      <w:r>
        <w:rPr>
          <w:spacing w:val="-6"/>
          <w:w w:val="105"/>
          <w:sz w:val="21"/>
        </w:rPr>
        <w:t>Bar.</w:t>
      </w:r>
      <w:r>
        <w:rPr>
          <w:spacing w:val="-6"/>
          <w:w w:val="105"/>
          <w:position w:val="7"/>
          <w:sz w:val="12"/>
        </w:rPr>
        <w:t>9</w:t>
      </w:r>
    </w:p>
    <w:p>
      <w:pPr>
        <w:pStyle w:val="BodyText"/>
        <w:spacing w:before="10"/>
        <w:rPr>
          <w:sz w:val="26"/>
        </w:rPr>
      </w:pPr>
    </w:p>
    <w:p>
      <w:pPr>
        <w:pStyle w:val="Heading6"/>
      </w:pPr>
      <w:r>
        <w:rPr>
          <w:w w:val="120"/>
        </w:rPr>
        <w:t>Complaints and discipline</w:t>
      </w:r>
    </w:p>
    <w:p>
      <w:pPr>
        <w:pStyle w:val="ListParagraph"/>
        <w:numPr>
          <w:ilvl w:val="1"/>
          <w:numId w:val="22"/>
        </w:numPr>
        <w:tabs>
          <w:tab w:pos="2381" w:val="left" w:leader="none"/>
          <w:tab w:pos="2382" w:val="left" w:leader="none"/>
        </w:tabs>
        <w:spacing w:line="242" w:lineRule="auto" w:before="151" w:after="0"/>
        <w:ind w:left="2438" w:right="2705" w:hanging="851"/>
        <w:jc w:val="left"/>
        <w:rPr>
          <w:sz w:val="12"/>
        </w:rPr>
      </w:pPr>
      <w:r>
        <w:rPr>
          <w:w w:val="105"/>
          <w:sz w:val="21"/>
        </w:rPr>
        <w:t>A </w:t>
      </w:r>
      <w:r>
        <w:rPr>
          <w:spacing w:val="-3"/>
          <w:w w:val="105"/>
          <w:sz w:val="21"/>
        </w:rPr>
        <w:t>complaint to </w:t>
      </w:r>
      <w:r>
        <w:rPr>
          <w:w w:val="105"/>
          <w:sz w:val="21"/>
        </w:rPr>
        <w:t>the Legal Services </w:t>
      </w:r>
      <w:r>
        <w:rPr>
          <w:spacing w:val="-3"/>
          <w:w w:val="105"/>
          <w:sz w:val="21"/>
        </w:rPr>
        <w:t>Commissioner may involve </w:t>
      </w:r>
      <w:r>
        <w:rPr>
          <w:w w:val="105"/>
          <w:sz w:val="21"/>
        </w:rPr>
        <w:t>a civil </w:t>
      </w:r>
      <w:r>
        <w:rPr>
          <w:spacing w:val="-3"/>
          <w:w w:val="105"/>
          <w:sz w:val="21"/>
        </w:rPr>
        <w:t>complaint, </w:t>
      </w:r>
      <w:r>
        <w:rPr>
          <w:w w:val="105"/>
          <w:sz w:val="21"/>
        </w:rPr>
        <w:t>a </w:t>
      </w:r>
      <w:r>
        <w:rPr>
          <w:spacing w:val="-3"/>
          <w:w w:val="105"/>
          <w:sz w:val="21"/>
        </w:rPr>
        <w:t>disciplinary complaint, </w:t>
      </w:r>
      <w:r>
        <w:rPr>
          <w:w w:val="105"/>
          <w:sz w:val="21"/>
        </w:rPr>
        <w:t>or</w:t>
      </w:r>
      <w:r>
        <w:rPr>
          <w:spacing w:val="27"/>
          <w:w w:val="105"/>
          <w:sz w:val="21"/>
        </w:rPr>
        <w:t> </w:t>
      </w:r>
      <w:r>
        <w:rPr>
          <w:spacing w:val="-6"/>
          <w:w w:val="105"/>
          <w:sz w:val="21"/>
        </w:rPr>
        <w:t>both.</w:t>
      </w:r>
      <w:r>
        <w:rPr>
          <w:spacing w:val="-6"/>
          <w:w w:val="105"/>
          <w:position w:val="7"/>
          <w:sz w:val="12"/>
        </w:rPr>
        <w:t>10</w:t>
      </w:r>
    </w:p>
    <w:p>
      <w:pPr>
        <w:pStyle w:val="ListParagraph"/>
        <w:numPr>
          <w:ilvl w:val="1"/>
          <w:numId w:val="22"/>
        </w:numPr>
        <w:tabs>
          <w:tab w:pos="2381" w:val="left" w:leader="none"/>
          <w:tab w:pos="2382" w:val="left" w:leader="none"/>
        </w:tabs>
        <w:spacing w:line="242" w:lineRule="auto" w:before="123" w:after="0"/>
        <w:ind w:left="2381" w:right="1777" w:hanging="794"/>
        <w:jc w:val="left"/>
        <w:rPr>
          <w:sz w:val="21"/>
        </w:rPr>
      </w:pPr>
      <w:r>
        <w:rPr>
          <w:w w:val="105"/>
          <w:sz w:val="21"/>
        </w:rPr>
        <w:t>A civil </w:t>
      </w:r>
      <w:r>
        <w:rPr>
          <w:spacing w:val="-3"/>
          <w:w w:val="105"/>
          <w:sz w:val="21"/>
        </w:rPr>
        <w:t>complaint </w:t>
      </w:r>
      <w:r>
        <w:rPr>
          <w:w w:val="105"/>
          <w:sz w:val="21"/>
        </w:rPr>
        <w:t>is a civil </w:t>
      </w:r>
      <w:r>
        <w:rPr>
          <w:spacing w:val="-3"/>
          <w:w w:val="105"/>
          <w:sz w:val="21"/>
        </w:rPr>
        <w:t>dispute, including </w:t>
      </w:r>
      <w:r>
        <w:rPr>
          <w:w w:val="105"/>
          <w:sz w:val="21"/>
        </w:rPr>
        <w:t>a costs </w:t>
      </w:r>
      <w:r>
        <w:rPr>
          <w:spacing w:val="-3"/>
          <w:w w:val="105"/>
          <w:sz w:val="21"/>
        </w:rPr>
        <w:t>dispute, </w:t>
      </w:r>
      <w:r>
        <w:rPr>
          <w:w w:val="105"/>
          <w:sz w:val="21"/>
        </w:rPr>
        <w:t>between a law practice or legal</w:t>
      </w:r>
      <w:r>
        <w:rPr>
          <w:spacing w:val="-11"/>
          <w:w w:val="105"/>
          <w:sz w:val="21"/>
        </w:rPr>
        <w:t> </w:t>
      </w:r>
      <w:r>
        <w:rPr>
          <w:w w:val="105"/>
          <w:sz w:val="21"/>
        </w:rPr>
        <w:t>practitioner</w:t>
      </w:r>
      <w:r>
        <w:rPr>
          <w:spacing w:val="-10"/>
          <w:w w:val="105"/>
          <w:sz w:val="21"/>
        </w:rPr>
        <w:t> </w:t>
      </w:r>
      <w:r>
        <w:rPr>
          <w:w w:val="105"/>
          <w:sz w:val="21"/>
        </w:rPr>
        <w:t>and</w:t>
      </w:r>
      <w:r>
        <w:rPr>
          <w:spacing w:val="-10"/>
          <w:w w:val="105"/>
          <w:sz w:val="21"/>
        </w:rPr>
        <w:t> </w:t>
      </w:r>
      <w:r>
        <w:rPr>
          <w:w w:val="105"/>
          <w:sz w:val="21"/>
        </w:rPr>
        <w:t>a</w:t>
      </w:r>
      <w:r>
        <w:rPr>
          <w:spacing w:val="-10"/>
          <w:w w:val="105"/>
          <w:sz w:val="21"/>
        </w:rPr>
        <w:t> </w:t>
      </w:r>
      <w:r>
        <w:rPr>
          <w:w w:val="105"/>
          <w:sz w:val="21"/>
        </w:rPr>
        <w:t>person</w:t>
      </w:r>
      <w:r>
        <w:rPr>
          <w:spacing w:val="-10"/>
          <w:w w:val="105"/>
          <w:sz w:val="21"/>
        </w:rPr>
        <w:t> </w:t>
      </w:r>
      <w:r>
        <w:rPr>
          <w:w w:val="105"/>
          <w:sz w:val="21"/>
        </w:rPr>
        <w:t>about</w:t>
      </w:r>
      <w:r>
        <w:rPr>
          <w:spacing w:val="-10"/>
          <w:w w:val="105"/>
          <w:sz w:val="21"/>
        </w:rPr>
        <w:t> </w:t>
      </w:r>
      <w:r>
        <w:rPr>
          <w:w w:val="105"/>
          <w:sz w:val="21"/>
        </w:rPr>
        <w:t>the</w:t>
      </w:r>
      <w:r>
        <w:rPr>
          <w:spacing w:val="-10"/>
          <w:w w:val="105"/>
          <w:sz w:val="21"/>
        </w:rPr>
        <w:t> </w:t>
      </w:r>
      <w:r>
        <w:rPr>
          <w:spacing w:val="-3"/>
          <w:w w:val="105"/>
          <w:sz w:val="21"/>
        </w:rPr>
        <w:t>provision</w:t>
      </w:r>
      <w:r>
        <w:rPr>
          <w:spacing w:val="-10"/>
          <w:w w:val="105"/>
          <w:sz w:val="21"/>
        </w:rPr>
        <w:t> </w:t>
      </w:r>
      <w:r>
        <w:rPr>
          <w:w w:val="105"/>
          <w:sz w:val="21"/>
        </w:rPr>
        <w:t>of</w:t>
      </w:r>
      <w:r>
        <w:rPr>
          <w:spacing w:val="-10"/>
          <w:w w:val="105"/>
          <w:sz w:val="21"/>
        </w:rPr>
        <w:t> </w:t>
      </w:r>
      <w:r>
        <w:rPr>
          <w:w w:val="105"/>
          <w:sz w:val="21"/>
        </w:rPr>
        <w:t>legal</w:t>
      </w:r>
      <w:r>
        <w:rPr>
          <w:spacing w:val="-10"/>
          <w:w w:val="105"/>
          <w:sz w:val="21"/>
        </w:rPr>
        <w:t> </w:t>
      </w:r>
      <w:r>
        <w:rPr>
          <w:w w:val="105"/>
          <w:sz w:val="21"/>
        </w:rPr>
        <w:t>services.</w:t>
      </w:r>
      <w:r>
        <w:rPr>
          <w:spacing w:val="-10"/>
          <w:w w:val="105"/>
          <w:sz w:val="21"/>
        </w:rPr>
        <w:t> </w:t>
      </w:r>
      <w:r>
        <w:rPr>
          <w:w w:val="105"/>
          <w:sz w:val="21"/>
        </w:rPr>
        <w:t>A</w:t>
      </w:r>
      <w:r>
        <w:rPr>
          <w:spacing w:val="-10"/>
          <w:w w:val="105"/>
          <w:sz w:val="21"/>
        </w:rPr>
        <w:t> </w:t>
      </w:r>
      <w:r>
        <w:rPr>
          <w:w w:val="105"/>
          <w:sz w:val="21"/>
        </w:rPr>
        <w:t>beneficiary</w:t>
      </w:r>
      <w:r>
        <w:rPr>
          <w:spacing w:val="-10"/>
          <w:w w:val="105"/>
          <w:sz w:val="21"/>
        </w:rPr>
        <w:t> </w:t>
      </w:r>
      <w:r>
        <w:rPr>
          <w:w w:val="105"/>
          <w:sz w:val="21"/>
        </w:rPr>
        <w:t>under a </w:t>
      </w:r>
      <w:r>
        <w:rPr>
          <w:spacing w:val="-3"/>
          <w:w w:val="105"/>
          <w:sz w:val="21"/>
        </w:rPr>
        <w:t>will </w:t>
      </w:r>
      <w:r>
        <w:rPr>
          <w:w w:val="105"/>
          <w:sz w:val="21"/>
        </w:rPr>
        <w:t>can </w:t>
      </w:r>
      <w:r>
        <w:rPr>
          <w:spacing w:val="-3"/>
          <w:w w:val="105"/>
          <w:sz w:val="21"/>
        </w:rPr>
        <w:t>complain to </w:t>
      </w:r>
      <w:r>
        <w:rPr>
          <w:w w:val="105"/>
          <w:sz w:val="21"/>
        </w:rPr>
        <w:t>the Legal Services </w:t>
      </w:r>
      <w:r>
        <w:rPr>
          <w:spacing w:val="-3"/>
          <w:w w:val="105"/>
          <w:sz w:val="21"/>
        </w:rPr>
        <w:t>Commissioner </w:t>
      </w:r>
      <w:r>
        <w:rPr>
          <w:w w:val="105"/>
          <w:sz w:val="21"/>
        </w:rPr>
        <w:t>about legal fees </w:t>
      </w:r>
      <w:r>
        <w:rPr>
          <w:spacing w:val="-3"/>
          <w:w w:val="105"/>
          <w:sz w:val="21"/>
        </w:rPr>
        <w:t>charged to </w:t>
      </w:r>
      <w:r>
        <w:rPr>
          <w:w w:val="105"/>
          <w:sz w:val="21"/>
        </w:rPr>
        <w:t>the </w:t>
      </w:r>
      <w:r>
        <w:rPr>
          <w:spacing w:val="-3"/>
          <w:w w:val="105"/>
          <w:sz w:val="21"/>
        </w:rPr>
        <w:t>estate, </w:t>
      </w:r>
      <w:r>
        <w:rPr>
          <w:w w:val="105"/>
          <w:sz w:val="21"/>
        </w:rPr>
        <w:t>if the </w:t>
      </w:r>
      <w:r>
        <w:rPr>
          <w:spacing w:val="-3"/>
          <w:w w:val="105"/>
          <w:sz w:val="21"/>
        </w:rPr>
        <w:t>disputed amount </w:t>
      </w:r>
      <w:r>
        <w:rPr>
          <w:w w:val="105"/>
          <w:sz w:val="21"/>
        </w:rPr>
        <w:t>is $25,000 or less and the </w:t>
      </w:r>
      <w:r>
        <w:rPr>
          <w:spacing w:val="-3"/>
          <w:w w:val="105"/>
          <w:sz w:val="21"/>
        </w:rPr>
        <w:t>complaint </w:t>
      </w:r>
      <w:r>
        <w:rPr>
          <w:w w:val="105"/>
          <w:sz w:val="21"/>
        </w:rPr>
        <w:t>is made </w:t>
      </w:r>
      <w:r>
        <w:rPr>
          <w:spacing w:val="-3"/>
          <w:w w:val="105"/>
          <w:sz w:val="21"/>
        </w:rPr>
        <w:t>within </w:t>
      </w:r>
      <w:r>
        <w:rPr>
          <w:w w:val="105"/>
          <w:sz w:val="21"/>
        </w:rPr>
        <w:t>the prescribed time </w:t>
      </w:r>
      <w:r>
        <w:rPr>
          <w:spacing w:val="-6"/>
          <w:w w:val="105"/>
          <w:sz w:val="21"/>
        </w:rPr>
        <w:t>limit.</w:t>
      </w:r>
      <w:r>
        <w:rPr>
          <w:spacing w:val="-6"/>
          <w:w w:val="105"/>
          <w:position w:val="7"/>
          <w:sz w:val="12"/>
        </w:rPr>
        <w:t>11 </w:t>
      </w:r>
      <w:r>
        <w:rPr>
          <w:w w:val="105"/>
          <w:sz w:val="21"/>
        </w:rPr>
        <w:t>The definition does </w:t>
      </w:r>
      <w:r>
        <w:rPr>
          <w:spacing w:val="-2"/>
          <w:w w:val="105"/>
          <w:sz w:val="21"/>
        </w:rPr>
        <w:t>not </w:t>
      </w:r>
      <w:r>
        <w:rPr>
          <w:w w:val="105"/>
          <w:sz w:val="21"/>
        </w:rPr>
        <w:t>extend </w:t>
      </w:r>
      <w:r>
        <w:rPr>
          <w:spacing w:val="-3"/>
          <w:w w:val="105"/>
          <w:sz w:val="21"/>
        </w:rPr>
        <w:t>to disputes </w:t>
      </w:r>
      <w:r>
        <w:rPr>
          <w:w w:val="105"/>
          <w:sz w:val="21"/>
        </w:rPr>
        <w:t>about </w:t>
      </w:r>
      <w:r>
        <w:rPr>
          <w:spacing w:val="-3"/>
          <w:w w:val="105"/>
          <w:sz w:val="21"/>
        </w:rPr>
        <w:t>commission charged </w:t>
      </w:r>
      <w:r>
        <w:rPr>
          <w:w w:val="105"/>
          <w:sz w:val="21"/>
        </w:rPr>
        <w:t>by a legal practitioner </w:t>
      </w:r>
      <w:r>
        <w:rPr>
          <w:spacing w:val="-3"/>
          <w:w w:val="105"/>
          <w:sz w:val="21"/>
        </w:rPr>
        <w:t>executor for executorial </w:t>
      </w:r>
      <w:r>
        <w:rPr>
          <w:w w:val="105"/>
          <w:sz w:val="21"/>
        </w:rPr>
        <w:t>services, as these services </w:t>
      </w:r>
      <w:r>
        <w:rPr>
          <w:spacing w:val="-3"/>
          <w:w w:val="105"/>
          <w:sz w:val="21"/>
        </w:rPr>
        <w:t>are </w:t>
      </w:r>
      <w:r>
        <w:rPr>
          <w:spacing w:val="-2"/>
          <w:w w:val="105"/>
          <w:sz w:val="21"/>
        </w:rPr>
        <w:t>not </w:t>
      </w:r>
      <w:r>
        <w:rPr>
          <w:spacing w:val="-3"/>
          <w:w w:val="105"/>
          <w:sz w:val="21"/>
        </w:rPr>
        <w:t>considered to </w:t>
      </w:r>
      <w:r>
        <w:rPr>
          <w:w w:val="105"/>
          <w:sz w:val="21"/>
        </w:rPr>
        <w:t>be legal</w:t>
      </w:r>
      <w:r>
        <w:rPr>
          <w:spacing w:val="31"/>
          <w:w w:val="105"/>
          <w:sz w:val="21"/>
        </w:rPr>
        <w:t> </w:t>
      </w:r>
      <w:r>
        <w:rPr>
          <w:w w:val="105"/>
          <w:sz w:val="21"/>
        </w:rPr>
        <w:t>services.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0"/>
        </w:rPr>
      </w:pPr>
      <w:r>
        <w:rPr/>
        <w:pict>
          <v:line style="position:absolute;mso-position-horizontal-relative:page;mso-position-vertical-relative:paragraph;z-index:8720;mso-wrap-distance-left:0;mso-wrap-distance-right:0" from="79.370102pt,8.976739pt" to="515.905102pt,8.976739pt" stroked="true" strokeweight="1pt" strokecolor="#f9ceca">
            <v:stroke dashstyle="solid"/>
            <w10:wrap type="topAndBottom"/>
          </v:line>
        </w:pict>
      </w:r>
    </w:p>
    <w:p>
      <w:pPr>
        <w:pStyle w:val="ListParagraph"/>
        <w:numPr>
          <w:ilvl w:val="0"/>
          <w:numId w:val="111"/>
        </w:numPr>
        <w:tabs>
          <w:tab w:pos="2380" w:val="left" w:leader="none"/>
          <w:tab w:pos="2382" w:val="left" w:leader="none"/>
        </w:tabs>
        <w:spacing w:line="240" w:lineRule="auto" w:before="117" w:after="0"/>
        <w:ind w:left="2381" w:right="2215" w:hanging="794"/>
        <w:jc w:val="left"/>
        <w:rPr>
          <w:sz w:val="13"/>
        </w:rPr>
      </w:pPr>
      <w:r>
        <w:rPr>
          <w:w w:val="105"/>
          <w:sz w:val="13"/>
        </w:rPr>
        <w:t>Now known, since September </w:t>
      </w:r>
      <w:r>
        <w:rPr>
          <w:spacing w:val="-5"/>
          <w:w w:val="105"/>
          <w:sz w:val="13"/>
        </w:rPr>
        <w:t>2011, </w:t>
      </w:r>
      <w:r>
        <w:rPr>
          <w:w w:val="105"/>
          <w:sz w:val="13"/>
        </w:rPr>
        <w:t>as the Standing Council on Law and Justice. It comprises Commonwealth, state and territory Attorneys-General and the New Zealand Minister for</w:t>
      </w:r>
      <w:r>
        <w:rPr>
          <w:spacing w:val="1"/>
          <w:w w:val="105"/>
          <w:sz w:val="13"/>
        </w:rPr>
        <w:t> </w:t>
      </w:r>
      <w:r>
        <w:rPr>
          <w:w w:val="105"/>
          <w:sz w:val="13"/>
        </w:rPr>
        <w:t>Justice.</w:t>
      </w:r>
    </w:p>
    <w:p>
      <w:pPr>
        <w:pStyle w:val="ListParagraph"/>
        <w:numPr>
          <w:ilvl w:val="0"/>
          <w:numId w:val="111"/>
        </w:numPr>
        <w:tabs>
          <w:tab w:pos="2380" w:val="left" w:leader="none"/>
          <w:tab w:pos="2382" w:val="left" w:leader="none"/>
        </w:tabs>
        <w:spacing w:line="240" w:lineRule="auto" w:before="3" w:after="0"/>
        <w:ind w:left="2381" w:right="0" w:hanging="794"/>
        <w:jc w:val="left"/>
        <w:rPr>
          <w:sz w:val="13"/>
        </w:rPr>
      </w:pPr>
      <w:r>
        <w:rPr>
          <w:i/>
          <w:w w:val="105"/>
          <w:sz w:val="13"/>
        </w:rPr>
        <w:t>Legal Profession Act 2004 </w:t>
      </w:r>
      <w:r>
        <w:rPr>
          <w:spacing w:val="2"/>
          <w:w w:val="105"/>
          <w:sz w:val="13"/>
        </w:rPr>
        <w:t>(Vic) </w:t>
      </w:r>
      <w:r>
        <w:rPr>
          <w:w w:val="105"/>
          <w:sz w:val="13"/>
        </w:rPr>
        <w:t>s</w:t>
      </w:r>
      <w:r>
        <w:rPr>
          <w:spacing w:val="22"/>
          <w:w w:val="105"/>
          <w:sz w:val="13"/>
        </w:rPr>
        <w:t> </w:t>
      </w:r>
      <w:r>
        <w:rPr>
          <w:w w:val="105"/>
          <w:sz w:val="13"/>
        </w:rPr>
        <w:t>3.2.9(1).</w:t>
      </w:r>
    </w:p>
    <w:p>
      <w:pPr>
        <w:pStyle w:val="ListParagraph"/>
        <w:numPr>
          <w:ilvl w:val="0"/>
          <w:numId w:val="111"/>
        </w:numPr>
        <w:tabs>
          <w:tab w:pos="2380" w:val="left" w:leader="none"/>
          <w:tab w:pos="2382" w:val="left" w:leader="none"/>
        </w:tabs>
        <w:spacing w:line="240" w:lineRule="auto" w:before="1" w:after="0"/>
        <w:ind w:left="2381" w:right="1921" w:hanging="794"/>
        <w:jc w:val="left"/>
        <w:rPr>
          <w:sz w:val="13"/>
        </w:rPr>
      </w:pPr>
      <w:r>
        <w:rPr>
          <w:sz w:val="13"/>
        </w:rPr>
        <w:t>The Board’s rules prevail to the extent of any inconsistency with rules made by the Law Institute of Victoria or the Victorian Bar: ibid ss    3.2.9(2)</w:t>
      </w:r>
      <w:r>
        <w:rPr>
          <w:spacing w:val="-16"/>
          <w:sz w:val="13"/>
        </w:rPr>
        <w:t> </w:t>
      </w:r>
      <w:r>
        <w:rPr>
          <w:spacing w:val="5"/>
          <w:sz w:val="13"/>
        </w:rPr>
        <w:t>–(4).</w:t>
      </w:r>
    </w:p>
    <w:p>
      <w:pPr>
        <w:pStyle w:val="ListParagraph"/>
        <w:numPr>
          <w:ilvl w:val="0"/>
          <w:numId w:val="111"/>
        </w:numPr>
        <w:tabs>
          <w:tab w:pos="2380" w:val="left" w:leader="none"/>
          <w:tab w:pos="2382" w:val="left" w:leader="none"/>
        </w:tabs>
        <w:spacing w:line="240" w:lineRule="auto" w:before="3" w:after="0"/>
        <w:ind w:left="2381" w:right="0" w:hanging="794"/>
        <w:jc w:val="left"/>
        <w:rPr>
          <w:sz w:val="13"/>
        </w:rPr>
      </w:pPr>
      <w:r>
        <w:rPr>
          <w:w w:val="105"/>
          <w:sz w:val="13"/>
        </w:rPr>
        <w:t>Submission 45 </w:t>
      </w:r>
      <w:r>
        <w:rPr>
          <w:spacing w:val="2"/>
          <w:w w:val="105"/>
          <w:sz w:val="13"/>
        </w:rPr>
        <w:t>(Legal </w:t>
      </w:r>
      <w:r>
        <w:rPr>
          <w:w w:val="105"/>
          <w:sz w:val="13"/>
        </w:rPr>
        <w:t>Services</w:t>
      </w:r>
      <w:r>
        <w:rPr>
          <w:spacing w:val="16"/>
          <w:w w:val="105"/>
          <w:sz w:val="13"/>
        </w:rPr>
        <w:t> </w:t>
      </w:r>
      <w:r>
        <w:rPr>
          <w:w w:val="105"/>
          <w:sz w:val="13"/>
        </w:rPr>
        <w:t>Commissioner).</w:t>
      </w:r>
    </w:p>
    <w:p>
      <w:pPr>
        <w:pStyle w:val="ListParagraph"/>
        <w:numPr>
          <w:ilvl w:val="0"/>
          <w:numId w:val="111"/>
        </w:numPr>
        <w:tabs>
          <w:tab w:pos="2380" w:val="left" w:leader="none"/>
          <w:tab w:pos="2382" w:val="left" w:leader="none"/>
        </w:tabs>
        <w:spacing w:line="240" w:lineRule="auto" w:before="1" w:after="0"/>
        <w:ind w:left="2381" w:right="1994" w:hanging="794"/>
        <w:jc w:val="left"/>
        <w:rPr>
          <w:sz w:val="13"/>
        </w:rPr>
      </w:pPr>
      <w:r>
        <w:rPr>
          <w:w w:val="105"/>
          <w:sz w:val="13"/>
        </w:rPr>
        <w:t>Legal Services Board, </w:t>
      </w:r>
      <w:r>
        <w:rPr>
          <w:i/>
          <w:w w:val="105"/>
          <w:sz w:val="13"/>
        </w:rPr>
        <w:t>Current External Delegations </w:t>
      </w:r>
      <w:r>
        <w:rPr>
          <w:w w:val="105"/>
          <w:sz w:val="13"/>
        </w:rPr>
        <w:t>(September 2012) </w:t>
      </w:r>
      <w:r>
        <w:rPr>
          <w:spacing w:val="2"/>
          <w:w w:val="105"/>
          <w:sz w:val="13"/>
        </w:rPr>
        <w:t>&lt;</w:t>
      </w:r>
      <w:hyperlink r:id="rId98">
        <w:r>
          <w:rPr>
            <w:spacing w:val="2"/>
            <w:w w:val="105"/>
            <w:sz w:val="13"/>
          </w:rPr>
          <w:t>http://www.lsb.vic.gov.au/documents/Current_LSB_External_</w:t>
        </w:r>
      </w:hyperlink>
      <w:r>
        <w:rPr>
          <w:spacing w:val="2"/>
          <w:w w:val="105"/>
          <w:sz w:val="13"/>
        </w:rPr>
        <w:t> </w:t>
      </w:r>
      <w:r>
        <w:rPr>
          <w:w w:val="105"/>
          <w:sz w:val="13"/>
        </w:rPr>
        <w:t>Delegation_Master_List_Sept_2012.pdf&gt;;</w:t>
      </w:r>
      <w:r>
        <w:rPr>
          <w:spacing w:val="6"/>
          <w:w w:val="105"/>
          <w:sz w:val="13"/>
        </w:rPr>
        <w:t> </w:t>
      </w:r>
      <w:r>
        <w:rPr>
          <w:w w:val="105"/>
          <w:sz w:val="13"/>
        </w:rPr>
        <w:t>Legal</w:t>
      </w:r>
      <w:r>
        <w:rPr>
          <w:spacing w:val="6"/>
          <w:w w:val="105"/>
          <w:sz w:val="13"/>
        </w:rPr>
        <w:t> </w:t>
      </w:r>
      <w:r>
        <w:rPr>
          <w:w w:val="105"/>
          <w:sz w:val="13"/>
        </w:rPr>
        <w:t>Services</w:t>
      </w:r>
      <w:r>
        <w:rPr>
          <w:spacing w:val="7"/>
          <w:w w:val="105"/>
          <w:sz w:val="13"/>
        </w:rPr>
        <w:t> </w:t>
      </w:r>
      <w:r>
        <w:rPr>
          <w:w w:val="105"/>
          <w:sz w:val="13"/>
        </w:rPr>
        <w:t>Commissioner,</w:t>
      </w:r>
      <w:r>
        <w:rPr>
          <w:spacing w:val="6"/>
          <w:w w:val="105"/>
          <w:sz w:val="13"/>
        </w:rPr>
        <w:t> </w:t>
      </w:r>
      <w:r>
        <w:rPr>
          <w:i/>
          <w:w w:val="105"/>
          <w:sz w:val="13"/>
        </w:rPr>
        <w:t>Current</w:t>
      </w:r>
      <w:r>
        <w:rPr>
          <w:i/>
          <w:spacing w:val="6"/>
          <w:w w:val="105"/>
          <w:sz w:val="13"/>
        </w:rPr>
        <w:t> </w:t>
      </w:r>
      <w:r>
        <w:rPr>
          <w:i/>
          <w:w w:val="105"/>
          <w:sz w:val="13"/>
        </w:rPr>
        <w:t>External</w:t>
      </w:r>
      <w:r>
        <w:rPr>
          <w:i/>
          <w:spacing w:val="5"/>
          <w:w w:val="105"/>
          <w:sz w:val="13"/>
        </w:rPr>
        <w:t> </w:t>
      </w:r>
      <w:r>
        <w:rPr>
          <w:i/>
          <w:w w:val="105"/>
          <w:sz w:val="13"/>
        </w:rPr>
        <w:t>Delegations</w:t>
      </w:r>
      <w:r>
        <w:rPr>
          <w:i/>
          <w:spacing w:val="7"/>
          <w:w w:val="105"/>
          <w:sz w:val="13"/>
        </w:rPr>
        <w:t> </w:t>
      </w:r>
      <w:r>
        <w:rPr>
          <w:w w:val="105"/>
          <w:sz w:val="13"/>
        </w:rPr>
        <w:t>(April</w:t>
      </w:r>
      <w:r>
        <w:rPr>
          <w:spacing w:val="6"/>
          <w:w w:val="105"/>
          <w:sz w:val="13"/>
        </w:rPr>
        <w:t> </w:t>
      </w:r>
      <w:r>
        <w:rPr>
          <w:w w:val="105"/>
          <w:sz w:val="13"/>
        </w:rPr>
        <w:t>2010)</w:t>
      </w:r>
    </w:p>
    <w:p>
      <w:pPr>
        <w:spacing w:before="3"/>
        <w:ind w:left="2381" w:right="0" w:firstLine="0"/>
        <w:jc w:val="left"/>
        <w:rPr>
          <w:sz w:val="13"/>
        </w:rPr>
      </w:pPr>
      <w:r>
        <w:rPr>
          <w:w w:val="105"/>
          <w:sz w:val="13"/>
        </w:rPr>
        <w:t>&lt;</w:t>
      </w:r>
      <w:hyperlink r:id="rId99">
        <w:r>
          <w:rPr>
            <w:w w:val="105"/>
            <w:sz w:val="13"/>
          </w:rPr>
          <w:t>http://www.lsc.vic.gov.au/documents/Current_LSC_External_Delegations_Master_List_April_2010.pdf</w:t>
        </w:r>
      </w:hyperlink>
      <w:r>
        <w:rPr>
          <w:w w:val="105"/>
          <w:sz w:val="13"/>
        </w:rPr>
        <w:t>&gt; .</w:t>
      </w:r>
    </w:p>
    <w:p>
      <w:pPr>
        <w:pStyle w:val="ListParagraph"/>
        <w:numPr>
          <w:ilvl w:val="0"/>
          <w:numId w:val="111"/>
        </w:numPr>
        <w:tabs>
          <w:tab w:pos="2380" w:val="left" w:leader="none"/>
          <w:tab w:pos="2382" w:val="left" w:leader="none"/>
        </w:tabs>
        <w:spacing w:line="240" w:lineRule="auto" w:before="1" w:after="0"/>
        <w:ind w:left="2381" w:right="0" w:hanging="794"/>
        <w:jc w:val="left"/>
        <w:rPr>
          <w:sz w:val="13"/>
        </w:rPr>
      </w:pPr>
      <w:r>
        <w:rPr>
          <w:i/>
          <w:w w:val="105"/>
          <w:sz w:val="13"/>
        </w:rPr>
        <w:t>Legal Profession Act 2004 </w:t>
      </w:r>
      <w:r>
        <w:rPr>
          <w:spacing w:val="2"/>
          <w:w w:val="105"/>
          <w:sz w:val="13"/>
        </w:rPr>
        <w:t>(Vic) </w:t>
      </w:r>
      <w:r>
        <w:rPr>
          <w:w w:val="105"/>
          <w:sz w:val="13"/>
        </w:rPr>
        <w:t>s</w:t>
      </w:r>
      <w:r>
        <w:rPr>
          <w:spacing w:val="22"/>
          <w:w w:val="105"/>
          <w:sz w:val="13"/>
        </w:rPr>
        <w:t> </w:t>
      </w:r>
      <w:r>
        <w:rPr>
          <w:w w:val="105"/>
          <w:sz w:val="13"/>
        </w:rPr>
        <w:t>4.2.1(2).</w:t>
      </w:r>
    </w:p>
    <w:p>
      <w:pPr>
        <w:pStyle w:val="ListParagraph"/>
        <w:numPr>
          <w:ilvl w:val="0"/>
          <w:numId w:val="111"/>
        </w:numPr>
        <w:tabs>
          <w:tab w:pos="2381" w:val="left" w:leader="none"/>
          <w:tab w:pos="2382" w:val="left" w:leader="none"/>
        </w:tabs>
        <w:spacing w:line="240" w:lineRule="auto" w:before="1" w:after="0"/>
        <w:ind w:left="2381" w:right="1673" w:hanging="794"/>
        <w:jc w:val="left"/>
        <w:rPr>
          <w:sz w:val="13"/>
        </w:rPr>
      </w:pPr>
      <w:r>
        <w:rPr>
          <w:w w:val="105"/>
          <w:sz w:val="13"/>
        </w:rPr>
        <w:t>Within 60 days after the legal costs were payable or, if an itemised bill was requested, within 30 days after the request was complied with. The</w:t>
      </w:r>
      <w:r>
        <w:rPr>
          <w:spacing w:val="4"/>
          <w:w w:val="105"/>
          <w:sz w:val="13"/>
        </w:rPr>
        <w:t> </w:t>
      </w:r>
      <w:r>
        <w:rPr>
          <w:w w:val="105"/>
          <w:sz w:val="13"/>
        </w:rPr>
        <w:t>Legal</w:t>
      </w:r>
      <w:r>
        <w:rPr>
          <w:spacing w:val="5"/>
          <w:w w:val="105"/>
          <w:sz w:val="13"/>
        </w:rPr>
        <w:t> </w:t>
      </w:r>
      <w:r>
        <w:rPr>
          <w:w w:val="105"/>
          <w:sz w:val="13"/>
        </w:rPr>
        <w:t>Services</w:t>
      </w:r>
      <w:r>
        <w:rPr>
          <w:spacing w:val="5"/>
          <w:w w:val="105"/>
          <w:sz w:val="13"/>
        </w:rPr>
        <w:t> </w:t>
      </w:r>
      <w:r>
        <w:rPr>
          <w:w w:val="105"/>
          <w:sz w:val="13"/>
        </w:rPr>
        <w:t>Commissioner</w:t>
      </w:r>
      <w:r>
        <w:rPr>
          <w:spacing w:val="5"/>
          <w:w w:val="105"/>
          <w:sz w:val="13"/>
        </w:rPr>
        <w:t> </w:t>
      </w:r>
      <w:r>
        <w:rPr>
          <w:w w:val="105"/>
          <w:sz w:val="13"/>
        </w:rPr>
        <w:t>has</w:t>
      </w:r>
      <w:r>
        <w:rPr>
          <w:spacing w:val="5"/>
          <w:w w:val="105"/>
          <w:sz w:val="13"/>
        </w:rPr>
        <w:t> </w:t>
      </w:r>
      <w:r>
        <w:rPr>
          <w:w w:val="105"/>
          <w:sz w:val="13"/>
        </w:rPr>
        <w:t>the</w:t>
      </w:r>
      <w:r>
        <w:rPr>
          <w:spacing w:val="5"/>
          <w:w w:val="105"/>
          <w:sz w:val="13"/>
        </w:rPr>
        <w:t> </w:t>
      </w:r>
      <w:r>
        <w:rPr>
          <w:w w:val="105"/>
          <w:sz w:val="13"/>
        </w:rPr>
        <w:t>discretion</w:t>
      </w:r>
      <w:r>
        <w:rPr>
          <w:spacing w:val="4"/>
          <w:w w:val="105"/>
          <w:sz w:val="13"/>
        </w:rPr>
        <w:t> </w:t>
      </w:r>
      <w:r>
        <w:rPr>
          <w:w w:val="105"/>
          <w:sz w:val="13"/>
        </w:rPr>
        <w:t>to</w:t>
      </w:r>
      <w:r>
        <w:rPr>
          <w:spacing w:val="5"/>
          <w:w w:val="105"/>
          <w:sz w:val="13"/>
        </w:rPr>
        <w:t> </w:t>
      </w:r>
      <w:r>
        <w:rPr>
          <w:w w:val="105"/>
          <w:sz w:val="13"/>
        </w:rPr>
        <w:t>accept</w:t>
      </w:r>
      <w:r>
        <w:rPr>
          <w:spacing w:val="5"/>
          <w:w w:val="105"/>
          <w:sz w:val="13"/>
        </w:rPr>
        <w:t> </w:t>
      </w:r>
      <w:r>
        <w:rPr>
          <w:w w:val="105"/>
          <w:sz w:val="13"/>
        </w:rPr>
        <w:t>a</w:t>
      </w:r>
      <w:r>
        <w:rPr>
          <w:spacing w:val="5"/>
          <w:w w:val="105"/>
          <w:sz w:val="13"/>
        </w:rPr>
        <w:t> </w:t>
      </w:r>
      <w:r>
        <w:rPr>
          <w:w w:val="105"/>
          <w:sz w:val="13"/>
        </w:rPr>
        <w:t>costs</w:t>
      </w:r>
      <w:r>
        <w:rPr>
          <w:spacing w:val="5"/>
          <w:w w:val="105"/>
          <w:sz w:val="13"/>
        </w:rPr>
        <w:t> </w:t>
      </w:r>
      <w:r>
        <w:rPr>
          <w:w w:val="105"/>
          <w:sz w:val="13"/>
        </w:rPr>
        <w:t>dispute</w:t>
      </w:r>
      <w:r>
        <w:rPr>
          <w:spacing w:val="5"/>
          <w:w w:val="105"/>
          <w:sz w:val="13"/>
        </w:rPr>
        <w:t> </w:t>
      </w:r>
      <w:r>
        <w:rPr>
          <w:w w:val="105"/>
          <w:sz w:val="13"/>
        </w:rPr>
        <w:t>made</w:t>
      </w:r>
      <w:r>
        <w:rPr>
          <w:spacing w:val="4"/>
          <w:w w:val="105"/>
          <w:sz w:val="13"/>
        </w:rPr>
        <w:t> </w:t>
      </w:r>
      <w:r>
        <w:rPr>
          <w:w w:val="105"/>
          <w:sz w:val="13"/>
        </w:rPr>
        <w:t>within</w:t>
      </w:r>
      <w:r>
        <w:rPr>
          <w:spacing w:val="5"/>
          <w:w w:val="105"/>
          <w:sz w:val="13"/>
        </w:rPr>
        <w:t> </w:t>
      </w:r>
      <w:r>
        <w:rPr>
          <w:w w:val="105"/>
          <w:sz w:val="13"/>
        </w:rPr>
        <w:t>four</w:t>
      </w:r>
      <w:r>
        <w:rPr>
          <w:spacing w:val="5"/>
          <w:w w:val="105"/>
          <w:sz w:val="13"/>
        </w:rPr>
        <w:t> </w:t>
      </w:r>
      <w:r>
        <w:rPr>
          <w:w w:val="105"/>
          <w:sz w:val="13"/>
        </w:rPr>
        <w:t>months</w:t>
      </w:r>
      <w:r>
        <w:rPr>
          <w:spacing w:val="5"/>
          <w:w w:val="105"/>
          <w:sz w:val="13"/>
        </w:rPr>
        <w:t> </w:t>
      </w:r>
      <w:r>
        <w:rPr>
          <w:w w:val="105"/>
          <w:sz w:val="13"/>
        </w:rPr>
        <w:t>of</w:t>
      </w:r>
      <w:r>
        <w:rPr>
          <w:spacing w:val="5"/>
          <w:w w:val="105"/>
          <w:sz w:val="13"/>
        </w:rPr>
        <w:t> </w:t>
      </w:r>
      <w:r>
        <w:rPr>
          <w:w w:val="105"/>
          <w:sz w:val="13"/>
        </w:rPr>
        <w:t>the</w:t>
      </w:r>
      <w:r>
        <w:rPr>
          <w:spacing w:val="5"/>
          <w:w w:val="105"/>
          <w:sz w:val="13"/>
        </w:rPr>
        <w:t> </w:t>
      </w:r>
      <w:r>
        <w:rPr>
          <w:w w:val="105"/>
          <w:sz w:val="13"/>
        </w:rPr>
        <w:t>end</w:t>
      </w:r>
      <w:r>
        <w:rPr>
          <w:spacing w:val="4"/>
          <w:w w:val="105"/>
          <w:sz w:val="13"/>
        </w:rPr>
        <w:t> </w:t>
      </w:r>
      <w:r>
        <w:rPr>
          <w:w w:val="105"/>
          <w:sz w:val="13"/>
        </w:rPr>
        <w:t>of</w:t>
      </w:r>
      <w:r>
        <w:rPr>
          <w:spacing w:val="5"/>
          <w:w w:val="105"/>
          <w:sz w:val="13"/>
        </w:rPr>
        <w:t> </w:t>
      </w:r>
      <w:r>
        <w:rPr>
          <w:w w:val="105"/>
          <w:sz w:val="13"/>
        </w:rPr>
        <w:t>the</w:t>
      </w:r>
      <w:r>
        <w:rPr>
          <w:spacing w:val="5"/>
          <w:w w:val="105"/>
          <w:sz w:val="13"/>
        </w:rPr>
        <w:t> </w:t>
      </w:r>
      <w:r>
        <w:rPr>
          <w:w w:val="105"/>
          <w:sz w:val="13"/>
        </w:rPr>
        <w:t>relevant</w:t>
      </w:r>
      <w:r>
        <w:rPr>
          <w:spacing w:val="5"/>
          <w:w w:val="105"/>
          <w:sz w:val="13"/>
        </w:rPr>
        <w:t> </w:t>
      </w:r>
      <w:r>
        <w:rPr>
          <w:w w:val="105"/>
          <w:sz w:val="13"/>
        </w:rPr>
        <w:t>period:</w:t>
      </w:r>
    </w:p>
    <w:p>
      <w:pPr>
        <w:tabs>
          <w:tab w:pos="2381" w:val="left" w:leader="none"/>
        </w:tabs>
        <w:spacing w:line="221" w:lineRule="exact" w:before="0"/>
        <w:ind w:left="720" w:right="0" w:firstLine="0"/>
        <w:jc w:val="left"/>
        <w:rPr>
          <w:sz w:val="13"/>
        </w:rPr>
      </w:pPr>
      <w:r>
        <w:rPr>
          <w:b/>
          <w:color w:val="EC5A4F"/>
          <w:w w:val="105"/>
          <w:position w:val="-2"/>
          <w:sz w:val="24"/>
        </w:rPr>
        <w:t>140</w:t>
        <w:tab/>
      </w:r>
      <w:r>
        <w:rPr>
          <w:w w:val="105"/>
          <w:sz w:val="13"/>
        </w:rPr>
        <w:t>ibid ss</w:t>
      </w:r>
      <w:r>
        <w:rPr>
          <w:spacing w:val="9"/>
          <w:w w:val="105"/>
          <w:sz w:val="13"/>
        </w:rPr>
        <w:t> </w:t>
      </w:r>
      <w:r>
        <w:rPr>
          <w:spacing w:val="3"/>
          <w:w w:val="105"/>
          <w:sz w:val="13"/>
        </w:rPr>
        <w:t>4.2.7(2)–(4).</w:t>
      </w:r>
    </w:p>
    <w:p>
      <w:pPr>
        <w:spacing w:after="0" w:line="221" w:lineRule="exact"/>
        <w:jc w:val="left"/>
        <w:rPr>
          <w:sz w:val="13"/>
        </w:rPr>
        <w:sectPr>
          <w:pgSz w:w="11910" w:h="16840"/>
          <w:pgMar w:header="550" w:footer="0" w:top="1560" w:bottom="280" w:left="0" w:right="0"/>
        </w:sectPr>
      </w:pPr>
    </w:p>
    <w:p>
      <w:pPr>
        <w:pStyle w:val="BodyText"/>
        <w:rPr>
          <w:sz w:val="20"/>
        </w:rPr>
      </w:pPr>
    </w:p>
    <w:p>
      <w:pPr>
        <w:pStyle w:val="BodyText"/>
        <w:spacing w:before="5"/>
        <w:rPr>
          <w:sz w:val="17"/>
        </w:rPr>
      </w:pPr>
    </w:p>
    <w:p>
      <w:pPr>
        <w:pStyle w:val="ListParagraph"/>
        <w:numPr>
          <w:ilvl w:val="1"/>
          <w:numId w:val="22"/>
        </w:numPr>
        <w:tabs>
          <w:tab w:pos="2381" w:val="left" w:leader="none"/>
          <w:tab w:pos="2382" w:val="left" w:leader="none"/>
        </w:tabs>
        <w:spacing w:line="242" w:lineRule="auto" w:before="92" w:after="0"/>
        <w:ind w:left="2381" w:right="1612" w:hanging="794"/>
        <w:jc w:val="left"/>
        <w:rPr>
          <w:sz w:val="12"/>
        </w:rPr>
      </w:pPr>
      <w:r>
        <w:rPr>
          <w:sz w:val="21"/>
        </w:rPr>
        <w:t>The Legal Services </w:t>
      </w:r>
      <w:r>
        <w:rPr>
          <w:spacing w:val="-3"/>
          <w:sz w:val="21"/>
        </w:rPr>
        <w:t>Commissioner </w:t>
      </w:r>
      <w:r>
        <w:rPr>
          <w:sz w:val="21"/>
        </w:rPr>
        <w:t>must attempt </w:t>
      </w:r>
      <w:r>
        <w:rPr>
          <w:spacing w:val="-3"/>
          <w:sz w:val="21"/>
        </w:rPr>
        <w:t>to </w:t>
      </w:r>
      <w:r>
        <w:rPr>
          <w:sz w:val="21"/>
        </w:rPr>
        <w:t>resolve civil </w:t>
      </w:r>
      <w:r>
        <w:rPr>
          <w:spacing w:val="-3"/>
          <w:sz w:val="21"/>
        </w:rPr>
        <w:t>disputes, </w:t>
      </w:r>
      <w:r>
        <w:rPr>
          <w:sz w:val="21"/>
        </w:rPr>
        <w:t>taking </w:t>
      </w:r>
      <w:r>
        <w:rPr>
          <w:spacing w:val="-3"/>
          <w:sz w:val="21"/>
        </w:rPr>
        <w:t>any </w:t>
      </w:r>
      <w:r>
        <w:rPr>
          <w:sz w:val="21"/>
        </w:rPr>
        <w:t>action necessary. This </w:t>
      </w:r>
      <w:r>
        <w:rPr>
          <w:spacing w:val="-3"/>
          <w:sz w:val="21"/>
        </w:rPr>
        <w:t>may include referring </w:t>
      </w:r>
      <w:r>
        <w:rPr>
          <w:sz w:val="21"/>
        </w:rPr>
        <w:t>the matter </w:t>
      </w:r>
      <w:r>
        <w:rPr>
          <w:spacing w:val="-3"/>
          <w:sz w:val="21"/>
        </w:rPr>
        <w:t>for </w:t>
      </w:r>
      <w:r>
        <w:rPr>
          <w:sz w:val="21"/>
        </w:rPr>
        <w:t>mediation </w:t>
      </w:r>
      <w:r>
        <w:rPr>
          <w:spacing w:val="-3"/>
          <w:sz w:val="21"/>
        </w:rPr>
        <w:t>and, </w:t>
      </w:r>
      <w:r>
        <w:rPr>
          <w:sz w:val="21"/>
        </w:rPr>
        <w:t>in the case of a costs </w:t>
      </w:r>
      <w:r>
        <w:rPr>
          <w:spacing w:val="-3"/>
          <w:sz w:val="21"/>
        </w:rPr>
        <w:t>dispute, arranging for  </w:t>
      </w:r>
      <w:r>
        <w:rPr>
          <w:sz w:val="21"/>
        </w:rPr>
        <w:t>a non-binding assessment of legal </w:t>
      </w:r>
      <w:r>
        <w:rPr>
          <w:spacing w:val="-5"/>
          <w:sz w:val="21"/>
        </w:rPr>
        <w:t>costs.</w:t>
      </w:r>
      <w:r>
        <w:rPr>
          <w:spacing w:val="-5"/>
          <w:position w:val="7"/>
          <w:sz w:val="12"/>
        </w:rPr>
        <w:t>12</w:t>
      </w:r>
      <w:r>
        <w:rPr>
          <w:spacing w:val="17"/>
          <w:position w:val="7"/>
          <w:sz w:val="12"/>
        </w:rPr>
        <w:t> </w:t>
      </w:r>
      <w:r>
        <w:rPr>
          <w:sz w:val="21"/>
        </w:rPr>
        <w:t>If the </w:t>
      </w:r>
      <w:r>
        <w:rPr>
          <w:spacing w:val="-3"/>
          <w:sz w:val="21"/>
        </w:rPr>
        <w:t>dispute  </w:t>
      </w:r>
      <w:r>
        <w:rPr>
          <w:sz w:val="21"/>
        </w:rPr>
        <w:t>is </w:t>
      </w:r>
      <w:r>
        <w:rPr>
          <w:spacing w:val="-3"/>
          <w:sz w:val="21"/>
        </w:rPr>
        <w:t>unable  to  </w:t>
      </w:r>
      <w:r>
        <w:rPr>
          <w:sz w:val="21"/>
        </w:rPr>
        <w:t>be resolved, the </w:t>
      </w:r>
      <w:r>
        <w:rPr>
          <w:spacing w:val="-3"/>
          <w:sz w:val="21"/>
        </w:rPr>
        <w:t>Commissioner </w:t>
      </w:r>
      <w:r>
        <w:rPr>
          <w:sz w:val="21"/>
        </w:rPr>
        <w:t>notifies the parties </w:t>
      </w:r>
      <w:r>
        <w:rPr>
          <w:spacing w:val="-3"/>
          <w:sz w:val="21"/>
        </w:rPr>
        <w:t>accordingly </w:t>
      </w:r>
      <w:r>
        <w:rPr>
          <w:sz w:val="21"/>
        </w:rPr>
        <w:t>and </w:t>
      </w:r>
      <w:r>
        <w:rPr>
          <w:spacing w:val="-3"/>
          <w:sz w:val="21"/>
        </w:rPr>
        <w:t>informs </w:t>
      </w:r>
      <w:r>
        <w:rPr>
          <w:sz w:val="21"/>
        </w:rPr>
        <w:t>them of their  </w:t>
      </w:r>
      <w:r>
        <w:rPr>
          <w:spacing w:val="-3"/>
          <w:sz w:val="21"/>
        </w:rPr>
        <w:t>right to </w:t>
      </w:r>
      <w:r>
        <w:rPr>
          <w:sz w:val="21"/>
        </w:rPr>
        <w:t>apply </w:t>
      </w:r>
      <w:r>
        <w:rPr>
          <w:spacing w:val="-3"/>
          <w:sz w:val="21"/>
        </w:rPr>
        <w:t>to </w:t>
      </w:r>
      <w:r>
        <w:rPr>
          <w:sz w:val="21"/>
        </w:rPr>
        <w:t>the Victorian </w:t>
      </w:r>
      <w:r>
        <w:rPr>
          <w:spacing w:val="-3"/>
          <w:sz w:val="21"/>
        </w:rPr>
        <w:t>Civil </w:t>
      </w:r>
      <w:r>
        <w:rPr>
          <w:sz w:val="21"/>
        </w:rPr>
        <w:t>and </w:t>
      </w:r>
      <w:r>
        <w:rPr>
          <w:spacing w:val="-3"/>
          <w:sz w:val="21"/>
        </w:rPr>
        <w:t>Administrative </w:t>
      </w:r>
      <w:r>
        <w:rPr>
          <w:spacing w:val="-5"/>
          <w:sz w:val="21"/>
        </w:rPr>
        <w:t>Tribunal </w:t>
      </w:r>
      <w:r>
        <w:rPr>
          <w:sz w:val="21"/>
        </w:rPr>
        <w:t>(VCAT) </w:t>
      </w:r>
      <w:r>
        <w:rPr>
          <w:spacing w:val="-3"/>
          <w:sz w:val="21"/>
        </w:rPr>
        <w:t>for </w:t>
      </w:r>
      <w:r>
        <w:rPr>
          <w:sz w:val="21"/>
        </w:rPr>
        <w:t>an </w:t>
      </w:r>
      <w:r>
        <w:rPr>
          <w:spacing w:val="-3"/>
          <w:sz w:val="21"/>
        </w:rPr>
        <w:t>arbitrated resolution.  </w:t>
      </w:r>
      <w:r>
        <w:rPr>
          <w:spacing w:val="-5"/>
          <w:sz w:val="21"/>
        </w:rPr>
        <w:t>VCAT  </w:t>
      </w:r>
      <w:r>
        <w:rPr>
          <w:sz w:val="21"/>
        </w:rPr>
        <w:t>can </w:t>
      </w:r>
      <w:r>
        <w:rPr>
          <w:spacing w:val="-4"/>
          <w:sz w:val="21"/>
        </w:rPr>
        <w:t>make  </w:t>
      </w:r>
      <w:r>
        <w:rPr>
          <w:spacing w:val="-3"/>
          <w:sz w:val="21"/>
        </w:rPr>
        <w:t>any  </w:t>
      </w:r>
      <w:r>
        <w:rPr>
          <w:sz w:val="21"/>
        </w:rPr>
        <w:t>of a </w:t>
      </w:r>
      <w:r>
        <w:rPr>
          <w:spacing w:val="-3"/>
          <w:sz w:val="21"/>
        </w:rPr>
        <w:t>range</w:t>
      </w:r>
      <w:r>
        <w:rPr>
          <w:spacing w:val="41"/>
          <w:sz w:val="21"/>
        </w:rPr>
        <w:t> </w:t>
      </w:r>
      <w:r>
        <w:rPr>
          <w:sz w:val="21"/>
        </w:rPr>
        <w:t>of orders set out in the Legal </w:t>
      </w:r>
      <w:r>
        <w:rPr>
          <w:spacing w:val="-3"/>
          <w:sz w:val="21"/>
        </w:rPr>
        <w:t>Profession  </w:t>
      </w:r>
      <w:r>
        <w:rPr>
          <w:sz w:val="21"/>
        </w:rPr>
        <w:t>Act,      or</w:t>
      </w:r>
      <w:r>
        <w:rPr>
          <w:spacing w:val="9"/>
          <w:sz w:val="21"/>
        </w:rPr>
        <w:t> </w:t>
      </w:r>
      <w:r>
        <w:rPr>
          <w:spacing w:val="-3"/>
          <w:sz w:val="21"/>
        </w:rPr>
        <w:t>any</w:t>
      </w:r>
      <w:r>
        <w:rPr>
          <w:spacing w:val="9"/>
          <w:sz w:val="21"/>
        </w:rPr>
        <w:t> </w:t>
      </w:r>
      <w:r>
        <w:rPr>
          <w:sz w:val="21"/>
        </w:rPr>
        <w:t>order</w:t>
      </w:r>
      <w:r>
        <w:rPr>
          <w:spacing w:val="9"/>
          <w:sz w:val="21"/>
        </w:rPr>
        <w:t> </w:t>
      </w:r>
      <w:r>
        <w:rPr>
          <w:sz w:val="21"/>
        </w:rPr>
        <w:t>it</w:t>
      </w:r>
      <w:r>
        <w:rPr>
          <w:spacing w:val="9"/>
          <w:sz w:val="21"/>
        </w:rPr>
        <w:t> </w:t>
      </w:r>
      <w:r>
        <w:rPr>
          <w:sz w:val="21"/>
        </w:rPr>
        <w:t>thinks</w:t>
      </w:r>
      <w:r>
        <w:rPr>
          <w:spacing w:val="9"/>
          <w:sz w:val="21"/>
        </w:rPr>
        <w:t> </w:t>
      </w:r>
      <w:r>
        <w:rPr>
          <w:sz w:val="21"/>
        </w:rPr>
        <w:t>fit,</w:t>
      </w:r>
      <w:r>
        <w:rPr>
          <w:spacing w:val="9"/>
          <w:sz w:val="21"/>
        </w:rPr>
        <w:t> </w:t>
      </w:r>
      <w:r>
        <w:rPr>
          <w:spacing w:val="-3"/>
          <w:sz w:val="21"/>
        </w:rPr>
        <w:t>to</w:t>
      </w:r>
      <w:r>
        <w:rPr>
          <w:spacing w:val="9"/>
          <w:sz w:val="21"/>
        </w:rPr>
        <w:t> </w:t>
      </w:r>
      <w:r>
        <w:rPr>
          <w:spacing w:val="-3"/>
          <w:sz w:val="21"/>
        </w:rPr>
        <w:t>finalise</w:t>
      </w:r>
      <w:r>
        <w:rPr>
          <w:spacing w:val="10"/>
          <w:sz w:val="21"/>
        </w:rPr>
        <w:t> </w:t>
      </w:r>
      <w:r>
        <w:rPr>
          <w:sz w:val="21"/>
        </w:rPr>
        <w:t>the</w:t>
      </w:r>
      <w:r>
        <w:rPr>
          <w:spacing w:val="9"/>
          <w:sz w:val="21"/>
        </w:rPr>
        <w:t> </w:t>
      </w:r>
      <w:r>
        <w:rPr>
          <w:spacing w:val="-6"/>
          <w:sz w:val="21"/>
        </w:rPr>
        <w:t>dispute.</w:t>
      </w:r>
      <w:r>
        <w:rPr>
          <w:spacing w:val="-6"/>
          <w:position w:val="7"/>
          <w:sz w:val="12"/>
        </w:rPr>
        <w:t>13</w:t>
      </w:r>
    </w:p>
    <w:p>
      <w:pPr>
        <w:pStyle w:val="ListParagraph"/>
        <w:numPr>
          <w:ilvl w:val="1"/>
          <w:numId w:val="22"/>
        </w:numPr>
        <w:tabs>
          <w:tab w:pos="2381" w:val="left" w:leader="none"/>
          <w:tab w:pos="2382" w:val="left" w:leader="none"/>
        </w:tabs>
        <w:spacing w:line="242" w:lineRule="auto" w:before="127" w:after="0"/>
        <w:ind w:left="2381" w:right="2531" w:hanging="794"/>
        <w:jc w:val="left"/>
        <w:rPr>
          <w:sz w:val="21"/>
        </w:rPr>
      </w:pPr>
      <w:r>
        <w:rPr>
          <w:sz w:val="21"/>
        </w:rPr>
        <w:t>A </w:t>
      </w:r>
      <w:r>
        <w:rPr>
          <w:spacing w:val="-3"/>
          <w:sz w:val="21"/>
        </w:rPr>
        <w:t>disciplinary  complaint  </w:t>
      </w:r>
      <w:r>
        <w:rPr>
          <w:sz w:val="21"/>
        </w:rPr>
        <w:t>is a </w:t>
      </w:r>
      <w:r>
        <w:rPr>
          <w:spacing w:val="-3"/>
          <w:sz w:val="21"/>
        </w:rPr>
        <w:t>complaint</w:t>
      </w:r>
      <w:r>
        <w:rPr>
          <w:spacing w:val="41"/>
          <w:sz w:val="21"/>
        </w:rPr>
        <w:t> </w:t>
      </w:r>
      <w:r>
        <w:rPr>
          <w:sz w:val="21"/>
        </w:rPr>
        <w:t>about a legal </w:t>
      </w:r>
      <w:r>
        <w:rPr>
          <w:spacing w:val="-3"/>
          <w:sz w:val="21"/>
        </w:rPr>
        <w:t>practitioner’s  </w:t>
      </w:r>
      <w:r>
        <w:rPr>
          <w:sz w:val="21"/>
        </w:rPr>
        <w:t>conduct </w:t>
      </w:r>
      <w:r>
        <w:rPr>
          <w:spacing w:val="-3"/>
          <w:sz w:val="21"/>
        </w:rPr>
        <w:t>that,  </w:t>
      </w:r>
      <w:r>
        <w:rPr>
          <w:sz w:val="21"/>
        </w:rPr>
        <w:t>if established, would </w:t>
      </w:r>
      <w:r>
        <w:rPr>
          <w:spacing w:val="-3"/>
          <w:sz w:val="21"/>
        </w:rPr>
        <w:t>amount to</w:t>
      </w:r>
      <w:r>
        <w:rPr>
          <w:spacing w:val="2"/>
          <w:sz w:val="21"/>
        </w:rPr>
        <w:t> </w:t>
      </w:r>
      <w:r>
        <w:rPr>
          <w:sz w:val="21"/>
        </w:rPr>
        <w:t>either:</w:t>
      </w:r>
    </w:p>
    <w:p>
      <w:pPr>
        <w:pStyle w:val="ListParagraph"/>
        <w:numPr>
          <w:ilvl w:val="2"/>
          <w:numId w:val="22"/>
        </w:numPr>
        <w:tabs>
          <w:tab w:pos="2721" w:val="left" w:leader="none"/>
          <w:tab w:pos="2722" w:val="left" w:leader="none"/>
        </w:tabs>
        <w:spacing w:line="240" w:lineRule="auto" w:before="123" w:after="0"/>
        <w:ind w:left="2721" w:right="0" w:hanging="340"/>
        <w:jc w:val="left"/>
        <w:rPr>
          <w:sz w:val="21"/>
        </w:rPr>
      </w:pPr>
      <w:r>
        <w:rPr>
          <w:w w:val="105"/>
          <w:sz w:val="21"/>
        </w:rPr>
        <w:t>unsatisfactory </w:t>
      </w:r>
      <w:r>
        <w:rPr>
          <w:spacing w:val="-3"/>
          <w:w w:val="105"/>
          <w:sz w:val="21"/>
        </w:rPr>
        <w:t>professional </w:t>
      </w:r>
      <w:r>
        <w:rPr>
          <w:spacing w:val="-4"/>
          <w:w w:val="105"/>
          <w:sz w:val="21"/>
        </w:rPr>
        <w:t>conduct,</w:t>
      </w:r>
      <w:r>
        <w:rPr>
          <w:spacing w:val="-4"/>
          <w:w w:val="105"/>
          <w:position w:val="7"/>
          <w:sz w:val="12"/>
        </w:rPr>
        <w:t>14</w:t>
      </w:r>
      <w:r>
        <w:rPr>
          <w:spacing w:val="15"/>
          <w:w w:val="105"/>
          <w:position w:val="7"/>
          <w:sz w:val="12"/>
        </w:rPr>
        <w:t> </w:t>
      </w:r>
      <w:r>
        <w:rPr>
          <w:w w:val="105"/>
          <w:sz w:val="21"/>
        </w:rPr>
        <w:t>or</w:t>
      </w:r>
    </w:p>
    <w:p>
      <w:pPr>
        <w:pStyle w:val="ListParagraph"/>
        <w:numPr>
          <w:ilvl w:val="2"/>
          <w:numId w:val="22"/>
        </w:numPr>
        <w:tabs>
          <w:tab w:pos="2721" w:val="left" w:leader="none"/>
          <w:tab w:pos="2722" w:val="left" w:leader="none"/>
        </w:tabs>
        <w:spacing w:line="240" w:lineRule="auto" w:before="123" w:after="0"/>
        <w:ind w:left="2721" w:right="0" w:hanging="340"/>
        <w:jc w:val="left"/>
        <w:rPr>
          <w:sz w:val="12"/>
        </w:rPr>
      </w:pPr>
      <w:r>
        <w:rPr>
          <w:spacing w:val="-3"/>
          <w:w w:val="105"/>
          <w:sz w:val="21"/>
        </w:rPr>
        <w:t>professional</w:t>
      </w:r>
      <w:r>
        <w:rPr>
          <w:spacing w:val="5"/>
          <w:w w:val="105"/>
          <w:sz w:val="21"/>
        </w:rPr>
        <w:t> </w:t>
      </w:r>
      <w:r>
        <w:rPr>
          <w:spacing w:val="-5"/>
          <w:w w:val="105"/>
          <w:sz w:val="21"/>
        </w:rPr>
        <w:t>misconduct.</w:t>
      </w:r>
      <w:r>
        <w:rPr>
          <w:spacing w:val="-5"/>
          <w:w w:val="105"/>
          <w:position w:val="7"/>
          <w:sz w:val="12"/>
        </w:rPr>
        <w:t>15</w:t>
      </w:r>
    </w:p>
    <w:p>
      <w:pPr>
        <w:pStyle w:val="ListParagraph"/>
        <w:numPr>
          <w:ilvl w:val="1"/>
          <w:numId w:val="22"/>
        </w:numPr>
        <w:tabs>
          <w:tab w:pos="2381" w:val="left" w:leader="none"/>
          <w:tab w:pos="2382" w:val="left" w:leader="none"/>
        </w:tabs>
        <w:spacing w:line="240" w:lineRule="auto" w:before="124" w:after="0"/>
        <w:ind w:left="2381" w:right="0" w:hanging="794"/>
        <w:jc w:val="left"/>
        <w:rPr>
          <w:sz w:val="21"/>
        </w:rPr>
      </w:pPr>
      <w:r>
        <w:rPr>
          <w:w w:val="105"/>
          <w:sz w:val="21"/>
        </w:rPr>
        <w:t>The Act sets out the conduct </w:t>
      </w:r>
      <w:r>
        <w:rPr>
          <w:spacing w:val="-3"/>
          <w:w w:val="105"/>
          <w:sz w:val="21"/>
        </w:rPr>
        <w:t>that </w:t>
      </w:r>
      <w:r>
        <w:rPr>
          <w:w w:val="105"/>
          <w:sz w:val="21"/>
        </w:rPr>
        <w:t>does, or </w:t>
      </w:r>
      <w:r>
        <w:rPr>
          <w:spacing w:val="-3"/>
          <w:w w:val="105"/>
          <w:sz w:val="21"/>
        </w:rPr>
        <w:t>could, </w:t>
      </w:r>
      <w:r>
        <w:rPr>
          <w:spacing w:val="-4"/>
          <w:w w:val="105"/>
          <w:sz w:val="21"/>
        </w:rPr>
        <w:t>fall </w:t>
      </w:r>
      <w:r>
        <w:rPr>
          <w:spacing w:val="-3"/>
          <w:w w:val="105"/>
          <w:sz w:val="21"/>
        </w:rPr>
        <w:t>within</w:t>
      </w:r>
      <w:r>
        <w:rPr>
          <w:spacing w:val="7"/>
          <w:w w:val="105"/>
          <w:sz w:val="21"/>
        </w:rPr>
        <w:t> </w:t>
      </w:r>
      <w:r>
        <w:rPr>
          <w:w w:val="105"/>
          <w:sz w:val="21"/>
        </w:rPr>
        <w:t>each of these categories.</w:t>
      </w:r>
    </w:p>
    <w:p>
      <w:pPr>
        <w:pStyle w:val="BodyText"/>
        <w:spacing w:line="242" w:lineRule="auto" w:before="3"/>
        <w:ind w:left="2381" w:right="1619"/>
        <w:rPr>
          <w:sz w:val="12"/>
        </w:rPr>
      </w:pPr>
      <w:r>
        <w:rPr/>
        <w:t>A contravention by a legal practitioner executor of the Professional Conduct and Practice Rules may fall into either category.</w:t>
      </w:r>
      <w:r>
        <w:rPr>
          <w:position w:val="7"/>
          <w:sz w:val="12"/>
        </w:rPr>
        <w:t>16</w:t>
      </w:r>
    </w:p>
    <w:p>
      <w:pPr>
        <w:pStyle w:val="ListParagraph"/>
        <w:numPr>
          <w:ilvl w:val="1"/>
          <w:numId w:val="22"/>
        </w:numPr>
        <w:tabs>
          <w:tab w:pos="2381" w:val="left" w:leader="none"/>
          <w:tab w:pos="2382" w:val="left" w:leader="none"/>
        </w:tabs>
        <w:spacing w:line="242" w:lineRule="auto" w:before="123" w:after="0"/>
        <w:ind w:left="2381" w:right="1953" w:hanging="794"/>
        <w:jc w:val="left"/>
        <w:rPr>
          <w:sz w:val="12"/>
        </w:rPr>
      </w:pPr>
      <w:r>
        <w:rPr>
          <w:w w:val="105"/>
          <w:sz w:val="21"/>
        </w:rPr>
        <w:t>Anyone </w:t>
      </w:r>
      <w:r>
        <w:rPr>
          <w:spacing w:val="-3"/>
          <w:w w:val="105"/>
          <w:sz w:val="21"/>
        </w:rPr>
        <w:t>may </w:t>
      </w:r>
      <w:r>
        <w:rPr>
          <w:spacing w:val="-4"/>
          <w:w w:val="105"/>
          <w:sz w:val="21"/>
        </w:rPr>
        <w:t>make </w:t>
      </w:r>
      <w:r>
        <w:rPr>
          <w:w w:val="105"/>
          <w:sz w:val="21"/>
        </w:rPr>
        <w:t>a </w:t>
      </w:r>
      <w:r>
        <w:rPr>
          <w:spacing w:val="-3"/>
          <w:w w:val="105"/>
          <w:sz w:val="21"/>
        </w:rPr>
        <w:t>disciplinary complaint, including </w:t>
      </w:r>
      <w:r>
        <w:rPr>
          <w:w w:val="105"/>
          <w:sz w:val="21"/>
        </w:rPr>
        <w:t>a beneficiary under a </w:t>
      </w:r>
      <w:r>
        <w:rPr>
          <w:spacing w:val="-6"/>
          <w:w w:val="105"/>
          <w:sz w:val="21"/>
        </w:rPr>
        <w:t>will.</w:t>
      </w:r>
      <w:r>
        <w:rPr>
          <w:spacing w:val="-6"/>
          <w:w w:val="105"/>
          <w:position w:val="7"/>
          <w:sz w:val="12"/>
        </w:rPr>
        <w:t>17 </w:t>
      </w:r>
      <w:r>
        <w:rPr>
          <w:w w:val="105"/>
          <w:sz w:val="21"/>
        </w:rPr>
        <w:t>The Legal</w:t>
      </w:r>
      <w:r>
        <w:rPr>
          <w:spacing w:val="-10"/>
          <w:w w:val="105"/>
          <w:sz w:val="21"/>
        </w:rPr>
        <w:t> </w:t>
      </w:r>
      <w:r>
        <w:rPr>
          <w:w w:val="105"/>
          <w:sz w:val="21"/>
        </w:rPr>
        <w:t>Services</w:t>
      </w:r>
      <w:r>
        <w:rPr>
          <w:spacing w:val="-9"/>
          <w:w w:val="105"/>
          <w:sz w:val="21"/>
        </w:rPr>
        <w:t> </w:t>
      </w:r>
      <w:r>
        <w:rPr>
          <w:spacing w:val="-3"/>
          <w:w w:val="105"/>
          <w:sz w:val="21"/>
        </w:rPr>
        <w:t>Commissioner</w:t>
      </w:r>
      <w:r>
        <w:rPr>
          <w:spacing w:val="-10"/>
          <w:w w:val="105"/>
          <w:sz w:val="21"/>
        </w:rPr>
        <w:t> </w:t>
      </w:r>
      <w:r>
        <w:rPr>
          <w:spacing w:val="-3"/>
          <w:w w:val="105"/>
          <w:sz w:val="21"/>
        </w:rPr>
        <w:t>may</w:t>
      </w:r>
      <w:r>
        <w:rPr>
          <w:spacing w:val="-9"/>
          <w:w w:val="105"/>
          <w:sz w:val="21"/>
        </w:rPr>
        <w:t> </w:t>
      </w:r>
      <w:r>
        <w:rPr>
          <w:w w:val="105"/>
          <w:sz w:val="21"/>
        </w:rPr>
        <w:t>also</w:t>
      </w:r>
      <w:r>
        <w:rPr>
          <w:spacing w:val="-9"/>
          <w:w w:val="105"/>
          <w:sz w:val="21"/>
        </w:rPr>
        <w:t> </w:t>
      </w:r>
      <w:r>
        <w:rPr>
          <w:spacing w:val="-3"/>
          <w:w w:val="105"/>
          <w:sz w:val="21"/>
        </w:rPr>
        <w:t>investigate</w:t>
      </w:r>
      <w:r>
        <w:rPr>
          <w:spacing w:val="-10"/>
          <w:w w:val="105"/>
          <w:sz w:val="21"/>
        </w:rPr>
        <w:t> </w:t>
      </w:r>
      <w:r>
        <w:rPr>
          <w:w w:val="105"/>
          <w:sz w:val="21"/>
        </w:rPr>
        <w:t>the</w:t>
      </w:r>
      <w:r>
        <w:rPr>
          <w:spacing w:val="-9"/>
          <w:w w:val="105"/>
          <w:sz w:val="21"/>
        </w:rPr>
        <w:t> </w:t>
      </w:r>
      <w:r>
        <w:rPr>
          <w:w w:val="105"/>
          <w:sz w:val="21"/>
        </w:rPr>
        <w:t>conduct</w:t>
      </w:r>
      <w:r>
        <w:rPr>
          <w:spacing w:val="-10"/>
          <w:w w:val="105"/>
          <w:sz w:val="21"/>
        </w:rPr>
        <w:t> </w:t>
      </w:r>
      <w:r>
        <w:rPr>
          <w:w w:val="105"/>
          <w:sz w:val="21"/>
        </w:rPr>
        <w:t>of</w:t>
      </w:r>
      <w:r>
        <w:rPr>
          <w:spacing w:val="-9"/>
          <w:w w:val="105"/>
          <w:sz w:val="21"/>
        </w:rPr>
        <w:t> </w:t>
      </w:r>
      <w:r>
        <w:rPr>
          <w:w w:val="105"/>
          <w:sz w:val="21"/>
        </w:rPr>
        <w:t>the</w:t>
      </w:r>
      <w:r>
        <w:rPr>
          <w:spacing w:val="-9"/>
          <w:w w:val="105"/>
          <w:sz w:val="21"/>
        </w:rPr>
        <w:t> </w:t>
      </w:r>
      <w:r>
        <w:rPr>
          <w:w w:val="105"/>
          <w:sz w:val="21"/>
        </w:rPr>
        <w:t>legal</w:t>
      </w:r>
      <w:r>
        <w:rPr>
          <w:spacing w:val="-10"/>
          <w:w w:val="105"/>
          <w:sz w:val="21"/>
        </w:rPr>
        <w:t> </w:t>
      </w:r>
      <w:r>
        <w:rPr>
          <w:w w:val="105"/>
          <w:sz w:val="21"/>
        </w:rPr>
        <w:t>practitioner in the absence of a </w:t>
      </w:r>
      <w:r>
        <w:rPr>
          <w:spacing w:val="-3"/>
          <w:w w:val="105"/>
          <w:sz w:val="21"/>
        </w:rPr>
        <w:t>disciplinary complaint, </w:t>
      </w:r>
      <w:r>
        <w:rPr>
          <w:w w:val="105"/>
          <w:sz w:val="21"/>
        </w:rPr>
        <w:t>or if the </w:t>
      </w:r>
      <w:r>
        <w:rPr>
          <w:spacing w:val="-3"/>
          <w:w w:val="105"/>
          <w:sz w:val="21"/>
        </w:rPr>
        <w:t>complaint </w:t>
      </w:r>
      <w:r>
        <w:rPr>
          <w:w w:val="105"/>
          <w:sz w:val="21"/>
        </w:rPr>
        <w:t>is</w:t>
      </w:r>
      <w:r>
        <w:rPr>
          <w:spacing w:val="35"/>
          <w:w w:val="105"/>
          <w:sz w:val="21"/>
        </w:rPr>
        <w:t> </w:t>
      </w:r>
      <w:r>
        <w:rPr>
          <w:spacing w:val="-5"/>
          <w:w w:val="105"/>
          <w:sz w:val="21"/>
        </w:rPr>
        <w:t>withdrawn.</w:t>
      </w:r>
      <w:r>
        <w:rPr>
          <w:spacing w:val="-5"/>
          <w:w w:val="105"/>
          <w:position w:val="7"/>
          <w:sz w:val="12"/>
        </w:rPr>
        <w:t>18</w:t>
      </w:r>
    </w:p>
    <w:p>
      <w:pPr>
        <w:pStyle w:val="ListParagraph"/>
        <w:numPr>
          <w:ilvl w:val="1"/>
          <w:numId w:val="22"/>
        </w:numPr>
        <w:tabs>
          <w:tab w:pos="2381" w:val="left" w:leader="none"/>
          <w:tab w:pos="2382" w:val="left" w:leader="none"/>
        </w:tabs>
        <w:spacing w:line="242" w:lineRule="auto" w:before="123" w:after="0"/>
        <w:ind w:left="2381" w:right="1600" w:hanging="794"/>
        <w:jc w:val="left"/>
        <w:rPr>
          <w:sz w:val="21"/>
        </w:rPr>
      </w:pPr>
      <w:r>
        <w:rPr>
          <w:w w:val="105"/>
          <w:sz w:val="21"/>
        </w:rPr>
        <w:t>If</w:t>
      </w:r>
      <w:r>
        <w:rPr>
          <w:spacing w:val="-6"/>
          <w:w w:val="105"/>
          <w:sz w:val="21"/>
        </w:rPr>
        <w:t> </w:t>
      </w:r>
      <w:r>
        <w:rPr>
          <w:w w:val="105"/>
          <w:sz w:val="21"/>
        </w:rPr>
        <w:t>the</w:t>
      </w:r>
      <w:r>
        <w:rPr>
          <w:spacing w:val="-5"/>
          <w:w w:val="105"/>
          <w:sz w:val="21"/>
        </w:rPr>
        <w:t> </w:t>
      </w:r>
      <w:r>
        <w:rPr>
          <w:spacing w:val="-3"/>
          <w:w w:val="105"/>
          <w:sz w:val="21"/>
        </w:rPr>
        <w:t>investigation</w:t>
      </w:r>
      <w:r>
        <w:rPr>
          <w:spacing w:val="-5"/>
          <w:w w:val="105"/>
          <w:sz w:val="21"/>
        </w:rPr>
        <w:t> </w:t>
      </w:r>
      <w:r>
        <w:rPr>
          <w:w w:val="105"/>
          <w:sz w:val="21"/>
        </w:rPr>
        <w:t>of</w:t>
      </w:r>
      <w:r>
        <w:rPr>
          <w:spacing w:val="-5"/>
          <w:w w:val="105"/>
          <w:sz w:val="21"/>
        </w:rPr>
        <w:t> </w:t>
      </w:r>
      <w:r>
        <w:rPr>
          <w:w w:val="105"/>
          <w:sz w:val="21"/>
        </w:rPr>
        <w:t>the</w:t>
      </w:r>
      <w:r>
        <w:rPr>
          <w:spacing w:val="-5"/>
          <w:w w:val="105"/>
          <w:sz w:val="21"/>
        </w:rPr>
        <w:t> </w:t>
      </w:r>
      <w:r>
        <w:rPr>
          <w:spacing w:val="-3"/>
          <w:w w:val="105"/>
          <w:sz w:val="21"/>
        </w:rPr>
        <w:t>complaint</w:t>
      </w:r>
      <w:r>
        <w:rPr>
          <w:spacing w:val="-5"/>
          <w:w w:val="105"/>
          <w:sz w:val="21"/>
        </w:rPr>
        <w:t> </w:t>
      </w:r>
      <w:r>
        <w:rPr>
          <w:w w:val="105"/>
          <w:sz w:val="21"/>
        </w:rPr>
        <w:t>shows</w:t>
      </w:r>
      <w:r>
        <w:rPr>
          <w:spacing w:val="-5"/>
          <w:w w:val="105"/>
          <w:sz w:val="21"/>
        </w:rPr>
        <w:t> </w:t>
      </w:r>
      <w:r>
        <w:rPr>
          <w:spacing w:val="-3"/>
          <w:w w:val="105"/>
          <w:sz w:val="21"/>
        </w:rPr>
        <w:t>that</w:t>
      </w:r>
      <w:r>
        <w:rPr>
          <w:spacing w:val="-5"/>
          <w:w w:val="105"/>
          <w:sz w:val="21"/>
        </w:rPr>
        <w:t> </w:t>
      </w:r>
      <w:r>
        <w:rPr>
          <w:w w:val="105"/>
          <w:sz w:val="21"/>
        </w:rPr>
        <w:t>the</w:t>
      </w:r>
      <w:r>
        <w:rPr>
          <w:spacing w:val="-5"/>
          <w:w w:val="105"/>
          <w:sz w:val="21"/>
        </w:rPr>
        <w:t> </w:t>
      </w:r>
      <w:r>
        <w:rPr>
          <w:w w:val="105"/>
          <w:sz w:val="21"/>
        </w:rPr>
        <w:t>legal</w:t>
      </w:r>
      <w:r>
        <w:rPr>
          <w:spacing w:val="-5"/>
          <w:w w:val="105"/>
          <w:sz w:val="21"/>
        </w:rPr>
        <w:t> </w:t>
      </w:r>
      <w:r>
        <w:rPr>
          <w:w w:val="105"/>
          <w:sz w:val="21"/>
        </w:rPr>
        <w:t>practitioner</w:t>
      </w:r>
      <w:r>
        <w:rPr>
          <w:spacing w:val="-5"/>
          <w:w w:val="105"/>
          <w:sz w:val="21"/>
        </w:rPr>
        <w:t> </w:t>
      </w:r>
      <w:r>
        <w:rPr>
          <w:w w:val="105"/>
          <w:sz w:val="21"/>
        </w:rPr>
        <w:t>would</w:t>
      </w:r>
      <w:r>
        <w:rPr>
          <w:spacing w:val="-5"/>
          <w:w w:val="105"/>
          <w:sz w:val="21"/>
        </w:rPr>
        <w:t> </w:t>
      </w:r>
      <w:r>
        <w:rPr>
          <w:w w:val="105"/>
          <w:sz w:val="21"/>
        </w:rPr>
        <w:t>be</w:t>
      </w:r>
      <w:r>
        <w:rPr>
          <w:spacing w:val="-5"/>
          <w:w w:val="105"/>
          <w:sz w:val="21"/>
        </w:rPr>
        <w:t> </w:t>
      </w:r>
      <w:r>
        <w:rPr>
          <w:spacing w:val="-4"/>
          <w:w w:val="105"/>
          <w:sz w:val="21"/>
        </w:rPr>
        <w:t>likely</w:t>
      </w:r>
      <w:r>
        <w:rPr>
          <w:spacing w:val="-5"/>
          <w:w w:val="105"/>
          <w:sz w:val="21"/>
        </w:rPr>
        <w:t> </w:t>
      </w:r>
      <w:r>
        <w:rPr>
          <w:spacing w:val="-3"/>
          <w:w w:val="105"/>
          <w:sz w:val="21"/>
        </w:rPr>
        <w:t>to</w:t>
      </w:r>
      <w:r>
        <w:rPr>
          <w:spacing w:val="-5"/>
          <w:w w:val="105"/>
          <w:sz w:val="21"/>
        </w:rPr>
        <w:t> </w:t>
      </w:r>
      <w:r>
        <w:rPr>
          <w:w w:val="105"/>
          <w:sz w:val="21"/>
        </w:rPr>
        <w:t>be </w:t>
      </w:r>
      <w:r>
        <w:rPr>
          <w:spacing w:val="-3"/>
          <w:w w:val="105"/>
          <w:sz w:val="21"/>
        </w:rPr>
        <w:t>found </w:t>
      </w:r>
      <w:r>
        <w:rPr>
          <w:w w:val="105"/>
          <w:sz w:val="21"/>
        </w:rPr>
        <w:t>guilty of unsatisfactory </w:t>
      </w:r>
      <w:r>
        <w:rPr>
          <w:spacing w:val="-3"/>
          <w:w w:val="105"/>
          <w:sz w:val="21"/>
        </w:rPr>
        <w:t>professional </w:t>
      </w:r>
      <w:r>
        <w:rPr>
          <w:w w:val="105"/>
          <w:sz w:val="21"/>
        </w:rPr>
        <w:t>conduct, the Legal Services </w:t>
      </w:r>
      <w:r>
        <w:rPr>
          <w:spacing w:val="-3"/>
          <w:w w:val="105"/>
          <w:sz w:val="21"/>
        </w:rPr>
        <w:t>Commissioner </w:t>
      </w:r>
      <w:r>
        <w:rPr>
          <w:spacing w:val="-2"/>
          <w:w w:val="105"/>
          <w:sz w:val="21"/>
        </w:rPr>
        <w:t>has </w:t>
      </w:r>
      <w:r>
        <w:rPr>
          <w:w w:val="105"/>
          <w:sz w:val="21"/>
        </w:rPr>
        <w:t>a number of options </w:t>
      </w:r>
      <w:r>
        <w:rPr>
          <w:spacing w:val="-3"/>
          <w:w w:val="105"/>
          <w:sz w:val="21"/>
        </w:rPr>
        <w:t>available. </w:t>
      </w:r>
      <w:r>
        <w:rPr>
          <w:w w:val="105"/>
          <w:sz w:val="21"/>
        </w:rPr>
        <w:t>These</w:t>
      </w:r>
      <w:r>
        <w:rPr>
          <w:spacing w:val="28"/>
          <w:w w:val="105"/>
          <w:sz w:val="21"/>
        </w:rPr>
        <w:t> </w:t>
      </w:r>
      <w:r>
        <w:rPr>
          <w:w w:val="105"/>
          <w:sz w:val="21"/>
        </w:rPr>
        <w:t>include:</w:t>
      </w:r>
    </w:p>
    <w:p>
      <w:pPr>
        <w:pStyle w:val="ListParagraph"/>
        <w:numPr>
          <w:ilvl w:val="2"/>
          <w:numId w:val="22"/>
        </w:numPr>
        <w:tabs>
          <w:tab w:pos="2721" w:val="left" w:leader="none"/>
          <w:tab w:pos="2722" w:val="left" w:leader="none"/>
        </w:tabs>
        <w:spacing w:line="240" w:lineRule="auto" w:before="123" w:after="0"/>
        <w:ind w:left="2721" w:right="0" w:hanging="340"/>
        <w:jc w:val="left"/>
        <w:rPr>
          <w:sz w:val="21"/>
        </w:rPr>
      </w:pPr>
      <w:r>
        <w:rPr>
          <w:w w:val="105"/>
          <w:sz w:val="21"/>
        </w:rPr>
        <w:t>taking no further</w:t>
      </w:r>
      <w:r>
        <w:rPr>
          <w:spacing w:val="15"/>
          <w:w w:val="105"/>
          <w:sz w:val="21"/>
        </w:rPr>
        <w:t> </w:t>
      </w:r>
      <w:r>
        <w:rPr>
          <w:w w:val="105"/>
          <w:sz w:val="21"/>
        </w:rPr>
        <w:t>action</w:t>
      </w:r>
    </w:p>
    <w:p>
      <w:pPr>
        <w:pStyle w:val="ListParagraph"/>
        <w:numPr>
          <w:ilvl w:val="2"/>
          <w:numId w:val="22"/>
        </w:numPr>
        <w:tabs>
          <w:tab w:pos="2721" w:val="left" w:leader="none"/>
          <w:tab w:pos="2722" w:val="left" w:leader="none"/>
        </w:tabs>
        <w:spacing w:line="240" w:lineRule="auto" w:before="124" w:after="0"/>
        <w:ind w:left="2721" w:right="0" w:hanging="340"/>
        <w:jc w:val="left"/>
        <w:rPr>
          <w:sz w:val="21"/>
        </w:rPr>
      </w:pPr>
      <w:r>
        <w:rPr>
          <w:spacing w:val="-3"/>
          <w:w w:val="105"/>
          <w:sz w:val="21"/>
        </w:rPr>
        <w:t>cautioning </w:t>
      </w:r>
      <w:r>
        <w:rPr>
          <w:w w:val="105"/>
          <w:sz w:val="21"/>
        </w:rPr>
        <w:t>the</w:t>
      </w:r>
      <w:r>
        <w:rPr>
          <w:spacing w:val="13"/>
          <w:w w:val="105"/>
          <w:sz w:val="21"/>
        </w:rPr>
        <w:t> </w:t>
      </w:r>
      <w:r>
        <w:rPr>
          <w:w w:val="105"/>
          <w:sz w:val="21"/>
        </w:rPr>
        <w:t>practitioner</w:t>
      </w:r>
    </w:p>
    <w:p>
      <w:pPr>
        <w:pStyle w:val="ListParagraph"/>
        <w:numPr>
          <w:ilvl w:val="2"/>
          <w:numId w:val="22"/>
        </w:numPr>
        <w:tabs>
          <w:tab w:pos="2721" w:val="left" w:leader="none"/>
          <w:tab w:pos="2722" w:val="left" w:leader="none"/>
        </w:tabs>
        <w:spacing w:line="240" w:lineRule="auto" w:before="124" w:after="0"/>
        <w:ind w:left="2721" w:right="0" w:hanging="340"/>
        <w:jc w:val="left"/>
        <w:rPr>
          <w:sz w:val="21"/>
        </w:rPr>
      </w:pPr>
      <w:r>
        <w:rPr>
          <w:spacing w:val="-3"/>
          <w:w w:val="105"/>
          <w:sz w:val="21"/>
        </w:rPr>
        <w:t>reprimanding </w:t>
      </w:r>
      <w:r>
        <w:rPr>
          <w:w w:val="105"/>
          <w:sz w:val="21"/>
        </w:rPr>
        <w:t>or </w:t>
      </w:r>
      <w:r>
        <w:rPr>
          <w:spacing w:val="-3"/>
          <w:w w:val="105"/>
          <w:sz w:val="21"/>
        </w:rPr>
        <w:t>fining </w:t>
      </w:r>
      <w:r>
        <w:rPr>
          <w:w w:val="105"/>
          <w:sz w:val="21"/>
        </w:rPr>
        <w:t>the</w:t>
      </w:r>
      <w:r>
        <w:rPr>
          <w:spacing w:val="26"/>
          <w:w w:val="105"/>
          <w:sz w:val="21"/>
        </w:rPr>
        <w:t> </w:t>
      </w:r>
      <w:r>
        <w:rPr>
          <w:w w:val="105"/>
          <w:sz w:val="21"/>
        </w:rPr>
        <w:t>practitioner</w:t>
      </w:r>
    </w:p>
    <w:p>
      <w:pPr>
        <w:pStyle w:val="ListParagraph"/>
        <w:numPr>
          <w:ilvl w:val="2"/>
          <w:numId w:val="22"/>
        </w:numPr>
        <w:tabs>
          <w:tab w:pos="2721" w:val="left" w:leader="none"/>
          <w:tab w:pos="2722" w:val="left" w:leader="none"/>
        </w:tabs>
        <w:spacing w:line="240" w:lineRule="auto" w:before="123" w:after="0"/>
        <w:ind w:left="2721" w:right="0" w:hanging="340"/>
        <w:jc w:val="left"/>
        <w:rPr>
          <w:sz w:val="21"/>
        </w:rPr>
      </w:pPr>
      <w:r>
        <w:rPr>
          <w:spacing w:val="-3"/>
          <w:sz w:val="21"/>
        </w:rPr>
        <w:t>requiring </w:t>
      </w:r>
      <w:r>
        <w:rPr>
          <w:sz w:val="21"/>
        </w:rPr>
        <w:t>the practitioner </w:t>
      </w:r>
      <w:r>
        <w:rPr>
          <w:spacing w:val="-3"/>
          <w:sz w:val="21"/>
        </w:rPr>
        <w:t>to </w:t>
      </w:r>
      <w:r>
        <w:rPr>
          <w:spacing w:val="-2"/>
          <w:sz w:val="21"/>
        </w:rPr>
        <w:t>pay </w:t>
      </w:r>
      <w:r>
        <w:rPr>
          <w:spacing w:val="-3"/>
          <w:sz w:val="21"/>
        </w:rPr>
        <w:t>compensation,</w:t>
      </w:r>
      <w:r>
        <w:rPr>
          <w:spacing w:val="18"/>
          <w:sz w:val="21"/>
        </w:rPr>
        <w:t> </w:t>
      </w:r>
      <w:r>
        <w:rPr>
          <w:sz w:val="21"/>
        </w:rPr>
        <w:t>or</w:t>
      </w:r>
    </w:p>
    <w:p>
      <w:pPr>
        <w:pStyle w:val="ListParagraph"/>
        <w:numPr>
          <w:ilvl w:val="2"/>
          <w:numId w:val="22"/>
        </w:numPr>
        <w:tabs>
          <w:tab w:pos="2721" w:val="left" w:leader="none"/>
          <w:tab w:pos="2722" w:val="left" w:leader="none"/>
        </w:tabs>
        <w:spacing w:line="240" w:lineRule="auto" w:before="124" w:after="0"/>
        <w:ind w:left="2721" w:right="0" w:hanging="340"/>
        <w:jc w:val="left"/>
        <w:rPr>
          <w:sz w:val="12"/>
        </w:rPr>
      </w:pPr>
      <w:r>
        <w:rPr>
          <w:sz w:val="21"/>
        </w:rPr>
        <w:t>seeking </w:t>
      </w:r>
      <w:r>
        <w:rPr>
          <w:spacing w:val="-3"/>
          <w:sz w:val="21"/>
        </w:rPr>
        <w:t>to </w:t>
      </w:r>
      <w:r>
        <w:rPr>
          <w:sz w:val="21"/>
        </w:rPr>
        <w:t>prosecute the practitioner in</w:t>
      </w:r>
      <w:r>
        <w:rPr>
          <w:spacing w:val="10"/>
          <w:sz w:val="21"/>
        </w:rPr>
        <w:t> </w:t>
      </w:r>
      <w:r>
        <w:rPr>
          <w:spacing w:val="-9"/>
          <w:sz w:val="21"/>
        </w:rPr>
        <w:t>VCAT.</w:t>
      </w:r>
      <w:r>
        <w:rPr>
          <w:spacing w:val="-9"/>
          <w:position w:val="7"/>
          <w:sz w:val="12"/>
        </w:rPr>
        <w:t>19</w:t>
      </w:r>
    </w:p>
    <w:p>
      <w:pPr>
        <w:pStyle w:val="ListParagraph"/>
        <w:numPr>
          <w:ilvl w:val="1"/>
          <w:numId w:val="22"/>
        </w:numPr>
        <w:tabs>
          <w:tab w:pos="2380" w:val="left" w:leader="none"/>
          <w:tab w:pos="2382" w:val="left" w:leader="none"/>
        </w:tabs>
        <w:spacing w:line="242" w:lineRule="auto" w:before="123" w:after="0"/>
        <w:ind w:left="2381" w:right="1797" w:hanging="794"/>
        <w:jc w:val="left"/>
        <w:rPr>
          <w:sz w:val="21"/>
        </w:rPr>
      </w:pPr>
      <w:r>
        <w:rPr>
          <w:w w:val="105"/>
          <w:sz w:val="21"/>
        </w:rPr>
        <w:t>If</w:t>
      </w:r>
      <w:r>
        <w:rPr>
          <w:spacing w:val="-7"/>
          <w:w w:val="105"/>
          <w:sz w:val="21"/>
        </w:rPr>
        <w:t> </w:t>
      </w:r>
      <w:r>
        <w:rPr>
          <w:w w:val="105"/>
          <w:sz w:val="21"/>
        </w:rPr>
        <w:t>it</w:t>
      </w:r>
      <w:r>
        <w:rPr>
          <w:spacing w:val="-7"/>
          <w:w w:val="105"/>
          <w:sz w:val="21"/>
        </w:rPr>
        <w:t> </w:t>
      </w:r>
      <w:r>
        <w:rPr>
          <w:w w:val="105"/>
          <w:sz w:val="21"/>
        </w:rPr>
        <w:t>is</w:t>
      </w:r>
      <w:r>
        <w:rPr>
          <w:spacing w:val="-7"/>
          <w:w w:val="105"/>
          <w:sz w:val="21"/>
        </w:rPr>
        <w:t> </w:t>
      </w:r>
      <w:r>
        <w:rPr>
          <w:spacing w:val="-4"/>
          <w:w w:val="105"/>
          <w:sz w:val="21"/>
        </w:rPr>
        <w:t>likely</w:t>
      </w:r>
      <w:r>
        <w:rPr>
          <w:spacing w:val="-6"/>
          <w:w w:val="105"/>
          <w:sz w:val="21"/>
        </w:rPr>
        <w:t> </w:t>
      </w:r>
      <w:r>
        <w:rPr>
          <w:spacing w:val="-3"/>
          <w:w w:val="105"/>
          <w:sz w:val="21"/>
        </w:rPr>
        <w:t>that</w:t>
      </w:r>
      <w:r>
        <w:rPr>
          <w:spacing w:val="-7"/>
          <w:w w:val="105"/>
          <w:sz w:val="21"/>
        </w:rPr>
        <w:t> </w:t>
      </w:r>
      <w:r>
        <w:rPr>
          <w:w w:val="105"/>
          <w:sz w:val="21"/>
        </w:rPr>
        <w:t>the</w:t>
      </w:r>
      <w:r>
        <w:rPr>
          <w:spacing w:val="-7"/>
          <w:w w:val="105"/>
          <w:sz w:val="21"/>
        </w:rPr>
        <w:t> </w:t>
      </w:r>
      <w:r>
        <w:rPr>
          <w:w w:val="105"/>
          <w:sz w:val="21"/>
        </w:rPr>
        <w:t>legal</w:t>
      </w:r>
      <w:r>
        <w:rPr>
          <w:spacing w:val="-6"/>
          <w:w w:val="105"/>
          <w:sz w:val="21"/>
        </w:rPr>
        <w:t> </w:t>
      </w:r>
      <w:r>
        <w:rPr>
          <w:w w:val="105"/>
          <w:sz w:val="21"/>
        </w:rPr>
        <w:t>practitioner</w:t>
      </w:r>
      <w:r>
        <w:rPr>
          <w:spacing w:val="-7"/>
          <w:w w:val="105"/>
          <w:sz w:val="21"/>
        </w:rPr>
        <w:t> </w:t>
      </w:r>
      <w:r>
        <w:rPr>
          <w:w w:val="105"/>
          <w:sz w:val="21"/>
        </w:rPr>
        <w:t>would</w:t>
      </w:r>
      <w:r>
        <w:rPr>
          <w:spacing w:val="-7"/>
          <w:w w:val="105"/>
          <w:sz w:val="21"/>
        </w:rPr>
        <w:t> </w:t>
      </w:r>
      <w:r>
        <w:rPr>
          <w:w w:val="105"/>
          <w:sz w:val="21"/>
        </w:rPr>
        <w:t>be</w:t>
      </w:r>
      <w:r>
        <w:rPr>
          <w:spacing w:val="-6"/>
          <w:w w:val="105"/>
          <w:sz w:val="21"/>
        </w:rPr>
        <w:t> </w:t>
      </w:r>
      <w:r>
        <w:rPr>
          <w:spacing w:val="-3"/>
          <w:w w:val="105"/>
          <w:sz w:val="21"/>
        </w:rPr>
        <w:t>found</w:t>
      </w:r>
      <w:r>
        <w:rPr>
          <w:spacing w:val="-7"/>
          <w:w w:val="105"/>
          <w:sz w:val="21"/>
        </w:rPr>
        <w:t> </w:t>
      </w:r>
      <w:r>
        <w:rPr>
          <w:w w:val="105"/>
          <w:sz w:val="21"/>
        </w:rPr>
        <w:t>guilty</w:t>
      </w:r>
      <w:r>
        <w:rPr>
          <w:spacing w:val="-7"/>
          <w:w w:val="105"/>
          <w:sz w:val="21"/>
        </w:rPr>
        <w:t> </w:t>
      </w:r>
      <w:r>
        <w:rPr>
          <w:w w:val="105"/>
          <w:sz w:val="21"/>
        </w:rPr>
        <w:t>of</w:t>
      </w:r>
      <w:r>
        <w:rPr>
          <w:spacing w:val="-6"/>
          <w:w w:val="105"/>
          <w:sz w:val="21"/>
        </w:rPr>
        <w:t> </w:t>
      </w:r>
      <w:r>
        <w:rPr>
          <w:spacing w:val="-3"/>
          <w:w w:val="105"/>
          <w:sz w:val="21"/>
        </w:rPr>
        <w:t>professional</w:t>
      </w:r>
      <w:r>
        <w:rPr>
          <w:spacing w:val="-7"/>
          <w:w w:val="105"/>
          <w:sz w:val="21"/>
        </w:rPr>
        <w:t> </w:t>
      </w:r>
      <w:r>
        <w:rPr>
          <w:w w:val="105"/>
          <w:sz w:val="21"/>
        </w:rPr>
        <w:t>misconduct, the Legal Services </w:t>
      </w:r>
      <w:r>
        <w:rPr>
          <w:spacing w:val="-3"/>
          <w:w w:val="105"/>
          <w:sz w:val="21"/>
        </w:rPr>
        <w:t>Commissioner </w:t>
      </w:r>
      <w:r>
        <w:rPr>
          <w:w w:val="105"/>
          <w:sz w:val="21"/>
        </w:rPr>
        <w:t>must seek </w:t>
      </w:r>
      <w:r>
        <w:rPr>
          <w:spacing w:val="-3"/>
          <w:w w:val="105"/>
          <w:sz w:val="21"/>
        </w:rPr>
        <w:t>to </w:t>
      </w:r>
      <w:r>
        <w:rPr>
          <w:w w:val="105"/>
          <w:sz w:val="21"/>
        </w:rPr>
        <w:t>prosecute the practitioner in </w:t>
      </w:r>
      <w:r>
        <w:rPr>
          <w:spacing w:val="-8"/>
          <w:w w:val="105"/>
          <w:sz w:val="21"/>
        </w:rPr>
        <w:t>VCAT. </w:t>
      </w:r>
      <w:r>
        <w:rPr>
          <w:w w:val="105"/>
          <w:sz w:val="21"/>
        </w:rPr>
        <w:t>If a legal practitioner is </w:t>
      </w:r>
      <w:r>
        <w:rPr>
          <w:spacing w:val="-3"/>
          <w:w w:val="105"/>
          <w:sz w:val="21"/>
        </w:rPr>
        <w:t>found</w:t>
      </w:r>
      <w:r>
        <w:rPr>
          <w:spacing w:val="19"/>
          <w:w w:val="105"/>
          <w:sz w:val="21"/>
        </w:rPr>
        <w:t> </w:t>
      </w:r>
      <w:r>
        <w:rPr>
          <w:w w:val="105"/>
          <w:sz w:val="21"/>
        </w:rPr>
        <w:t>guilty:</w:t>
      </w:r>
    </w:p>
    <w:p>
      <w:pPr>
        <w:pStyle w:val="ListParagraph"/>
        <w:numPr>
          <w:ilvl w:val="2"/>
          <w:numId w:val="22"/>
        </w:numPr>
        <w:tabs>
          <w:tab w:pos="2721" w:val="left" w:leader="none"/>
          <w:tab w:pos="2722" w:val="left" w:leader="none"/>
        </w:tabs>
        <w:spacing w:line="240" w:lineRule="auto" w:before="124" w:after="0"/>
        <w:ind w:left="2721" w:right="0" w:hanging="340"/>
        <w:jc w:val="left"/>
        <w:rPr>
          <w:sz w:val="21"/>
        </w:rPr>
      </w:pPr>
      <w:r>
        <w:rPr>
          <w:w w:val="105"/>
          <w:sz w:val="21"/>
        </w:rPr>
        <w:t>they </w:t>
      </w:r>
      <w:r>
        <w:rPr>
          <w:spacing w:val="-3"/>
          <w:w w:val="105"/>
          <w:sz w:val="21"/>
        </w:rPr>
        <w:t>may </w:t>
      </w:r>
      <w:r>
        <w:rPr>
          <w:w w:val="105"/>
          <w:sz w:val="21"/>
        </w:rPr>
        <w:t>be</w:t>
      </w:r>
      <w:r>
        <w:rPr>
          <w:spacing w:val="18"/>
          <w:w w:val="105"/>
          <w:sz w:val="21"/>
        </w:rPr>
        <w:t> </w:t>
      </w:r>
      <w:r>
        <w:rPr>
          <w:w w:val="105"/>
          <w:sz w:val="21"/>
        </w:rPr>
        <w:t>fined</w:t>
      </w:r>
    </w:p>
    <w:p>
      <w:pPr>
        <w:pStyle w:val="ListParagraph"/>
        <w:numPr>
          <w:ilvl w:val="2"/>
          <w:numId w:val="22"/>
        </w:numPr>
        <w:tabs>
          <w:tab w:pos="2721" w:val="left" w:leader="none"/>
          <w:tab w:pos="2722" w:val="left" w:leader="none"/>
        </w:tabs>
        <w:spacing w:line="240" w:lineRule="auto" w:before="124" w:after="0"/>
        <w:ind w:left="2721" w:right="0" w:hanging="340"/>
        <w:jc w:val="left"/>
        <w:rPr>
          <w:sz w:val="21"/>
        </w:rPr>
      </w:pPr>
      <w:r>
        <w:rPr>
          <w:sz w:val="21"/>
        </w:rPr>
        <w:t>their</w:t>
      </w:r>
      <w:r>
        <w:rPr>
          <w:spacing w:val="9"/>
          <w:sz w:val="21"/>
        </w:rPr>
        <w:t> </w:t>
      </w:r>
      <w:r>
        <w:rPr>
          <w:sz w:val="21"/>
        </w:rPr>
        <w:t>ability</w:t>
      </w:r>
      <w:r>
        <w:rPr>
          <w:spacing w:val="9"/>
          <w:sz w:val="21"/>
        </w:rPr>
        <w:t> </w:t>
      </w:r>
      <w:r>
        <w:rPr>
          <w:spacing w:val="-3"/>
          <w:sz w:val="21"/>
        </w:rPr>
        <w:t>to</w:t>
      </w:r>
      <w:r>
        <w:rPr>
          <w:spacing w:val="9"/>
          <w:sz w:val="21"/>
        </w:rPr>
        <w:t> </w:t>
      </w:r>
      <w:r>
        <w:rPr>
          <w:sz w:val="21"/>
        </w:rPr>
        <w:t>practise</w:t>
      </w:r>
      <w:r>
        <w:rPr>
          <w:spacing w:val="9"/>
          <w:sz w:val="21"/>
        </w:rPr>
        <w:t> </w:t>
      </w:r>
      <w:r>
        <w:rPr>
          <w:sz w:val="21"/>
        </w:rPr>
        <w:t>law</w:t>
      </w:r>
      <w:r>
        <w:rPr>
          <w:spacing w:val="9"/>
          <w:sz w:val="21"/>
        </w:rPr>
        <w:t> </w:t>
      </w:r>
      <w:r>
        <w:rPr>
          <w:spacing w:val="-3"/>
          <w:sz w:val="21"/>
        </w:rPr>
        <w:t>may</w:t>
      </w:r>
      <w:r>
        <w:rPr>
          <w:spacing w:val="9"/>
          <w:sz w:val="21"/>
        </w:rPr>
        <w:t> </w:t>
      </w:r>
      <w:r>
        <w:rPr>
          <w:sz w:val="21"/>
        </w:rPr>
        <w:t>be</w:t>
      </w:r>
      <w:r>
        <w:rPr>
          <w:spacing w:val="9"/>
          <w:sz w:val="21"/>
        </w:rPr>
        <w:t> </w:t>
      </w:r>
      <w:r>
        <w:rPr>
          <w:sz w:val="21"/>
        </w:rPr>
        <w:t>amended,</w:t>
      </w:r>
      <w:r>
        <w:rPr>
          <w:spacing w:val="9"/>
          <w:sz w:val="21"/>
        </w:rPr>
        <w:t> </w:t>
      </w:r>
      <w:r>
        <w:rPr>
          <w:sz w:val="21"/>
        </w:rPr>
        <w:t>suspended</w:t>
      </w:r>
      <w:r>
        <w:rPr>
          <w:spacing w:val="9"/>
          <w:sz w:val="21"/>
        </w:rPr>
        <w:t> </w:t>
      </w:r>
      <w:r>
        <w:rPr>
          <w:sz w:val="21"/>
        </w:rPr>
        <w:t>or</w:t>
      </w:r>
      <w:r>
        <w:rPr>
          <w:spacing w:val="9"/>
          <w:sz w:val="21"/>
        </w:rPr>
        <w:t> </w:t>
      </w:r>
      <w:r>
        <w:rPr>
          <w:sz w:val="21"/>
        </w:rPr>
        <w:t>curtailed,</w:t>
      </w:r>
      <w:r>
        <w:rPr>
          <w:spacing w:val="9"/>
          <w:sz w:val="21"/>
        </w:rPr>
        <w:t> </w:t>
      </w:r>
      <w:r>
        <w:rPr>
          <w:sz w:val="21"/>
        </w:rPr>
        <w:t>or</w:t>
      </w:r>
    </w:p>
    <w:p>
      <w:pPr>
        <w:pStyle w:val="ListParagraph"/>
        <w:numPr>
          <w:ilvl w:val="2"/>
          <w:numId w:val="22"/>
        </w:numPr>
        <w:tabs>
          <w:tab w:pos="2721" w:val="left" w:leader="none"/>
          <w:tab w:pos="2722" w:val="left" w:leader="none"/>
        </w:tabs>
        <w:spacing w:line="240" w:lineRule="auto" w:before="123" w:after="0"/>
        <w:ind w:left="2721" w:right="0" w:hanging="340"/>
        <w:jc w:val="left"/>
        <w:rPr>
          <w:sz w:val="12"/>
        </w:rPr>
      </w:pPr>
      <w:r>
        <w:rPr>
          <w:sz w:val="21"/>
        </w:rPr>
        <w:t>they</w:t>
      </w:r>
      <w:r>
        <w:rPr>
          <w:spacing w:val="9"/>
          <w:sz w:val="21"/>
        </w:rPr>
        <w:t> </w:t>
      </w:r>
      <w:r>
        <w:rPr>
          <w:spacing w:val="-3"/>
          <w:sz w:val="21"/>
        </w:rPr>
        <w:t>may</w:t>
      </w:r>
      <w:r>
        <w:rPr>
          <w:spacing w:val="10"/>
          <w:sz w:val="21"/>
        </w:rPr>
        <w:t> </w:t>
      </w:r>
      <w:r>
        <w:rPr>
          <w:sz w:val="21"/>
        </w:rPr>
        <w:t>be</w:t>
      </w:r>
      <w:r>
        <w:rPr>
          <w:spacing w:val="10"/>
          <w:sz w:val="21"/>
        </w:rPr>
        <w:t> </w:t>
      </w:r>
      <w:r>
        <w:rPr>
          <w:sz w:val="21"/>
        </w:rPr>
        <w:t>subject</w:t>
      </w:r>
      <w:r>
        <w:rPr>
          <w:spacing w:val="9"/>
          <w:sz w:val="21"/>
        </w:rPr>
        <w:t> </w:t>
      </w:r>
      <w:r>
        <w:rPr>
          <w:spacing w:val="-3"/>
          <w:sz w:val="21"/>
        </w:rPr>
        <w:t>to</w:t>
      </w:r>
      <w:r>
        <w:rPr>
          <w:spacing w:val="10"/>
          <w:sz w:val="21"/>
        </w:rPr>
        <w:t> </w:t>
      </w:r>
      <w:r>
        <w:rPr>
          <w:spacing w:val="-3"/>
          <w:sz w:val="21"/>
        </w:rPr>
        <w:t>any</w:t>
      </w:r>
      <w:r>
        <w:rPr>
          <w:spacing w:val="10"/>
          <w:sz w:val="21"/>
        </w:rPr>
        <w:t> </w:t>
      </w:r>
      <w:r>
        <w:rPr>
          <w:sz w:val="21"/>
        </w:rPr>
        <w:t>other</w:t>
      </w:r>
      <w:r>
        <w:rPr>
          <w:spacing w:val="9"/>
          <w:sz w:val="21"/>
        </w:rPr>
        <w:t> </w:t>
      </w:r>
      <w:r>
        <w:rPr>
          <w:sz w:val="21"/>
        </w:rPr>
        <w:t>order</w:t>
      </w:r>
      <w:r>
        <w:rPr>
          <w:spacing w:val="10"/>
          <w:sz w:val="21"/>
        </w:rPr>
        <w:t> </w:t>
      </w:r>
      <w:r>
        <w:rPr>
          <w:spacing w:val="-3"/>
          <w:sz w:val="21"/>
        </w:rPr>
        <w:t>that</w:t>
      </w:r>
      <w:r>
        <w:rPr>
          <w:spacing w:val="10"/>
          <w:sz w:val="21"/>
        </w:rPr>
        <w:t> </w:t>
      </w:r>
      <w:r>
        <w:rPr>
          <w:spacing w:val="-5"/>
          <w:sz w:val="21"/>
        </w:rPr>
        <w:t>VCAT</w:t>
      </w:r>
      <w:r>
        <w:rPr>
          <w:spacing w:val="9"/>
          <w:sz w:val="21"/>
        </w:rPr>
        <w:t> </w:t>
      </w:r>
      <w:r>
        <w:rPr>
          <w:sz w:val="21"/>
        </w:rPr>
        <w:t>thinks</w:t>
      </w:r>
      <w:r>
        <w:rPr>
          <w:spacing w:val="10"/>
          <w:sz w:val="21"/>
        </w:rPr>
        <w:t> </w:t>
      </w:r>
      <w:r>
        <w:rPr>
          <w:sz w:val="21"/>
        </w:rPr>
        <w:t>fit.</w:t>
      </w:r>
      <w:r>
        <w:rPr>
          <w:position w:val="7"/>
          <w:sz w:val="12"/>
        </w:rPr>
        <w:t>20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5"/>
        </w:rPr>
      </w:pPr>
      <w:r>
        <w:rPr/>
        <w:pict>
          <v:line style="position:absolute;mso-position-horizontal-relative:page;mso-position-vertical-relative:paragraph;z-index:8744;mso-wrap-distance-left:0;mso-wrap-distance-right:0" from="79.370102pt,11.785567pt" to="515.905102pt,11.785567pt" stroked="true" strokeweight="1pt" strokecolor="#f9ceca">
            <v:stroke dashstyle="solid"/>
            <w10:wrap type="topAndBottom"/>
          </v:line>
        </w:pict>
      </w:r>
    </w:p>
    <w:p>
      <w:pPr>
        <w:pStyle w:val="BodyText"/>
        <w:spacing w:before="8"/>
        <w:rPr>
          <w:sz w:val="5"/>
        </w:rPr>
      </w:pPr>
    </w:p>
    <w:p>
      <w:pPr>
        <w:spacing w:after="0"/>
        <w:rPr>
          <w:sz w:val="5"/>
        </w:rPr>
        <w:sectPr>
          <w:pgSz w:w="11910" w:h="16840"/>
          <w:pgMar w:header="805" w:footer="0" w:top="1360" w:bottom="280" w:left="0" w:right="0"/>
        </w:sectPr>
      </w:pPr>
    </w:p>
    <w:p>
      <w:pPr>
        <w:pStyle w:val="ListParagraph"/>
        <w:numPr>
          <w:ilvl w:val="0"/>
          <w:numId w:val="111"/>
        </w:numPr>
        <w:tabs>
          <w:tab w:pos="2381" w:val="left" w:leader="none"/>
          <w:tab w:pos="2382" w:val="left" w:leader="none"/>
        </w:tabs>
        <w:spacing w:line="240" w:lineRule="auto" w:before="48" w:after="0"/>
        <w:ind w:left="2381" w:right="0" w:hanging="794"/>
        <w:jc w:val="left"/>
        <w:rPr>
          <w:sz w:val="13"/>
        </w:rPr>
      </w:pPr>
      <w:r>
        <w:rPr>
          <w:i/>
          <w:w w:val="105"/>
          <w:sz w:val="13"/>
        </w:rPr>
        <w:t>Legal Profession Act 2004 </w:t>
      </w:r>
      <w:r>
        <w:rPr>
          <w:spacing w:val="2"/>
          <w:w w:val="105"/>
          <w:sz w:val="13"/>
        </w:rPr>
        <w:t>(Vic) </w:t>
      </w:r>
      <w:r>
        <w:rPr>
          <w:w w:val="105"/>
          <w:sz w:val="13"/>
        </w:rPr>
        <w:t>s</w:t>
      </w:r>
      <w:r>
        <w:rPr>
          <w:spacing w:val="23"/>
          <w:w w:val="105"/>
          <w:sz w:val="13"/>
        </w:rPr>
        <w:t> </w:t>
      </w:r>
      <w:r>
        <w:rPr>
          <w:w w:val="105"/>
          <w:sz w:val="13"/>
        </w:rPr>
        <w:t>4.3.5.</w:t>
      </w:r>
    </w:p>
    <w:p>
      <w:pPr>
        <w:tabs>
          <w:tab w:pos="2381" w:val="left" w:leader="none"/>
        </w:tabs>
        <w:spacing w:before="1"/>
        <w:ind w:left="1587" w:right="0" w:firstLine="0"/>
        <w:jc w:val="left"/>
        <w:rPr>
          <w:sz w:val="13"/>
        </w:rPr>
      </w:pPr>
      <w:r>
        <w:rPr>
          <w:spacing w:val="-4"/>
          <w:w w:val="105"/>
          <w:sz w:val="13"/>
        </w:rPr>
        <w:t>13</w:t>
        <w:tab/>
      </w:r>
      <w:r>
        <w:rPr>
          <w:w w:val="105"/>
          <w:sz w:val="13"/>
        </w:rPr>
        <w:t>Ibid s</w:t>
      </w:r>
      <w:r>
        <w:rPr>
          <w:spacing w:val="9"/>
          <w:w w:val="105"/>
          <w:sz w:val="13"/>
        </w:rPr>
        <w:t> </w:t>
      </w:r>
      <w:r>
        <w:rPr>
          <w:spacing w:val="-4"/>
          <w:w w:val="105"/>
          <w:sz w:val="13"/>
        </w:rPr>
        <w:t>4.3.17.</w:t>
      </w:r>
    </w:p>
    <w:p>
      <w:pPr>
        <w:pStyle w:val="ListParagraph"/>
        <w:numPr>
          <w:ilvl w:val="0"/>
          <w:numId w:val="112"/>
        </w:numPr>
        <w:tabs>
          <w:tab w:pos="2381" w:val="left" w:leader="none"/>
          <w:tab w:pos="2382" w:val="left" w:leader="none"/>
        </w:tabs>
        <w:spacing w:line="240" w:lineRule="auto" w:before="2" w:after="0"/>
        <w:ind w:left="2381" w:right="0" w:hanging="794"/>
        <w:jc w:val="left"/>
        <w:rPr>
          <w:sz w:val="13"/>
        </w:rPr>
      </w:pPr>
      <w:r>
        <w:rPr>
          <w:w w:val="105"/>
          <w:sz w:val="13"/>
        </w:rPr>
        <w:t>Conduct occurring in connection with the practice of law that falls short of the standard of competence or diligence that a member   of</w:t>
      </w:r>
      <w:r>
        <w:rPr>
          <w:spacing w:val="4"/>
          <w:w w:val="105"/>
          <w:sz w:val="13"/>
        </w:rPr>
        <w:t> </w:t>
      </w:r>
      <w:r>
        <w:rPr>
          <w:w w:val="105"/>
          <w:sz w:val="13"/>
        </w:rPr>
        <w:t>the</w:t>
      </w:r>
      <w:r>
        <w:rPr>
          <w:spacing w:val="5"/>
          <w:w w:val="105"/>
          <w:sz w:val="13"/>
        </w:rPr>
        <w:t> </w:t>
      </w:r>
      <w:r>
        <w:rPr>
          <w:w w:val="105"/>
          <w:sz w:val="13"/>
        </w:rPr>
        <w:t>public</w:t>
      </w:r>
      <w:r>
        <w:rPr>
          <w:spacing w:val="4"/>
          <w:w w:val="105"/>
          <w:sz w:val="13"/>
        </w:rPr>
        <w:t> </w:t>
      </w:r>
      <w:r>
        <w:rPr>
          <w:w w:val="105"/>
          <w:sz w:val="13"/>
        </w:rPr>
        <w:t>is</w:t>
      </w:r>
      <w:r>
        <w:rPr>
          <w:spacing w:val="5"/>
          <w:w w:val="105"/>
          <w:sz w:val="13"/>
        </w:rPr>
        <w:t> </w:t>
      </w:r>
      <w:r>
        <w:rPr>
          <w:w w:val="105"/>
          <w:sz w:val="13"/>
        </w:rPr>
        <w:t>entitled</w:t>
      </w:r>
      <w:r>
        <w:rPr>
          <w:spacing w:val="4"/>
          <w:w w:val="105"/>
          <w:sz w:val="13"/>
        </w:rPr>
        <w:t> </w:t>
      </w:r>
      <w:r>
        <w:rPr>
          <w:w w:val="105"/>
          <w:sz w:val="13"/>
        </w:rPr>
        <w:t>to</w:t>
      </w:r>
      <w:r>
        <w:rPr>
          <w:spacing w:val="5"/>
          <w:w w:val="105"/>
          <w:sz w:val="13"/>
        </w:rPr>
        <w:t> </w:t>
      </w:r>
      <w:r>
        <w:rPr>
          <w:spacing w:val="2"/>
          <w:w w:val="105"/>
          <w:sz w:val="13"/>
        </w:rPr>
        <w:t>expect</w:t>
      </w:r>
      <w:r>
        <w:rPr>
          <w:spacing w:val="5"/>
          <w:w w:val="105"/>
          <w:sz w:val="13"/>
        </w:rPr>
        <w:t> </w:t>
      </w:r>
      <w:r>
        <w:rPr>
          <w:w w:val="105"/>
          <w:sz w:val="13"/>
        </w:rPr>
        <w:t>of</w:t>
      </w:r>
      <w:r>
        <w:rPr>
          <w:spacing w:val="4"/>
          <w:w w:val="105"/>
          <w:sz w:val="13"/>
        </w:rPr>
        <w:t> </w:t>
      </w:r>
      <w:r>
        <w:rPr>
          <w:w w:val="105"/>
          <w:sz w:val="13"/>
        </w:rPr>
        <w:t>a</w:t>
      </w:r>
      <w:r>
        <w:rPr>
          <w:spacing w:val="5"/>
          <w:w w:val="105"/>
          <w:sz w:val="13"/>
        </w:rPr>
        <w:t> </w:t>
      </w:r>
      <w:r>
        <w:rPr>
          <w:w w:val="105"/>
          <w:sz w:val="13"/>
        </w:rPr>
        <w:t>reasonably</w:t>
      </w:r>
      <w:r>
        <w:rPr>
          <w:spacing w:val="4"/>
          <w:w w:val="105"/>
          <w:sz w:val="13"/>
        </w:rPr>
        <w:t> </w:t>
      </w:r>
      <w:r>
        <w:rPr>
          <w:w w:val="105"/>
          <w:sz w:val="13"/>
        </w:rPr>
        <w:t>competent</w:t>
      </w:r>
      <w:r>
        <w:rPr>
          <w:spacing w:val="5"/>
          <w:w w:val="105"/>
          <w:sz w:val="13"/>
        </w:rPr>
        <w:t> </w:t>
      </w:r>
      <w:r>
        <w:rPr>
          <w:w w:val="105"/>
          <w:sz w:val="13"/>
        </w:rPr>
        <w:t>legal</w:t>
      </w:r>
      <w:r>
        <w:rPr>
          <w:spacing w:val="4"/>
          <w:w w:val="105"/>
          <w:sz w:val="13"/>
        </w:rPr>
        <w:t> </w:t>
      </w:r>
      <w:r>
        <w:rPr>
          <w:w w:val="105"/>
          <w:sz w:val="13"/>
        </w:rPr>
        <w:t>practitioner:</w:t>
      </w:r>
      <w:r>
        <w:rPr>
          <w:spacing w:val="5"/>
          <w:w w:val="105"/>
          <w:sz w:val="13"/>
        </w:rPr>
        <w:t> </w:t>
      </w:r>
      <w:r>
        <w:rPr>
          <w:w w:val="105"/>
          <w:sz w:val="13"/>
        </w:rPr>
        <w:t>ibid</w:t>
      </w:r>
      <w:r>
        <w:rPr>
          <w:spacing w:val="5"/>
          <w:w w:val="105"/>
          <w:sz w:val="13"/>
        </w:rPr>
        <w:t> </w:t>
      </w:r>
      <w:r>
        <w:rPr>
          <w:w w:val="105"/>
          <w:sz w:val="13"/>
        </w:rPr>
        <w:t>s</w:t>
      </w:r>
      <w:r>
        <w:rPr>
          <w:spacing w:val="4"/>
          <w:w w:val="105"/>
          <w:sz w:val="13"/>
        </w:rPr>
        <w:t> </w:t>
      </w:r>
      <w:r>
        <w:rPr>
          <w:w w:val="105"/>
          <w:sz w:val="13"/>
        </w:rPr>
        <w:t>4.4.2.</w:t>
      </w:r>
    </w:p>
    <w:p>
      <w:pPr>
        <w:pStyle w:val="ListParagraph"/>
        <w:numPr>
          <w:ilvl w:val="0"/>
          <w:numId w:val="112"/>
        </w:numPr>
        <w:tabs>
          <w:tab w:pos="2381" w:val="left" w:leader="none"/>
          <w:tab w:pos="2382" w:val="left" w:leader="none"/>
        </w:tabs>
        <w:spacing w:line="240" w:lineRule="auto" w:before="2" w:after="0"/>
        <w:ind w:left="2381" w:right="4" w:hanging="794"/>
        <w:jc w:val="left"/>
        <w:rPr>
          <w:sz w:val="13"/>
        </w:rPr>
      </w:pPr>
      <w:r>
        <w:rPr>
          <w:sz w:val="13"/>
        </w:rPr>
        <w:t>Unsatisfactory professional conduct where the conduct involves a substantial or consistent failure to reach or maintain a reasonable standard of competence and diligence; and any conduct that would, if established, justify a finding that the practitioner is not a fit              and</w:t>
      </w:r>
      <w:r>
        <w:rPr>
          <w:spacing w:val="8"/>
          <w:sz w:val="13"/>
        </w:rPr>
        <w:t> </w:t>
      </w:r>
      <w:r>
        <w:rPr>
          <w:sz w:val="13"/>
        </w:rPr>
        <w:t>proper</w:t>
      </w:r>
      <w:r>
        <w:rPr>
          <w:spacing w:val="9"/>
          <w:sz w:val="13"/>
        </w:rPr>
        <w:t> </w:t>
      </w:r>
      <w:r>
        <w:rPr>
          <w:sz w:val="13"/>
        </w:rPr>
        <w:t>person</w:t>
      </w:r>
      <w:r>
        <w:rPr>
          <w:spacing w:val="8"/>
          <w:sz w:val="13"/>
        </w:rPr>
        <w:t> </w:t>
      </w:r>
      <w:r>
        <w:rPr>
          <w:sz w:val="13"/>
        </w:rPr>
        <w:t>to</w:t>
      </w:r>
      <w:r>
        <w:rPr>
          <w:spacing w:val="9"/>
          <w:sz w:val="13"/>
        </w:rPr>
        <w:t> </w:t>
      </w:r>
      <w:r>
        <w:rPr>
          <w:sz w:val="13"/>
        </w:rPr>
        <w:t>engage</w:t>
      </w:r>
      <w:r>
        <w:rPr>
          <w:spacing w:val="8"/>
          <w:sz w:val="13"/>
        </w:rPr>
        <w:t> </w:t>
      </w:r>
      <w:r>
        <w:rPr>
          <w:sz w:val="13"/>
        </w:rPr>
        <w:t>in</w:t>
      </w:r>
      <w:r>
        <w:rPr>
          <w:spacing w:val="9"/>
          <w:sz w:val="13"/>
        </w:rPr>
        <w:t> </w:t>
      </w:r>
      <w:r>
        <w:rPr>
          <w:sz w:val="13"/>
        </w:rPr>
        <w:t>practice:</w:t>
      </w:r>
      <w:r>
        <w:rPr>
          <w:spacing w:val="8"/>
          <w:sz w:val="13"/>
        </w:rPr>
        <w:t> </w:t>
      </w:r>
      <w:r>
        <w:rPr>
          <w:i/>
          <w:sz w:val="13"/>
        </w:rPr>
        <w:t>Legal</w:t>
      </w:r>
      <w:r>
        <w:rPr>
          <w:i/>
          <w:spacing w:val="7"/>
          <w:sz w:val="13"/>
        </w:rPr>
        <w:t> </w:t>
      </w:r>
      <w:r>
        <w:rPr>
          <w:i/>
          <w:sz w:val="13"/>
        </w:rPr>
        <w:t>Profession</w:t>
      </w:r>
      <w:r>
        <w:rPr>
          <w:i/>
          <w:spacing w:val="8"/>
          <w:sz w:val="13"/>
        </w:rPr>
        <w:t> </w:t>
      </w:r>
      <w:r>
        <w:rPr>
          <w:i/>
          <w:sz w:val="13"/>
        </w:rPr>
        <w:t>Act</w:t>
      </w:r>
      <w:r>
        <w:rPr>
          <w:i/>
          <w:spacing w:val="7"/>
          <w:sz w:val="13"/>
        </w:rPr>
        <w:t> </w:t>
      </w:r>
      <w:r>
        <w:rPr>
          <w:i/>
          <w:sz w:val="13"/>
        </w:rPr>
        <w:t>2004</w:t>
      </w:r>
      <w:r>
        <w:rPr>
          <w:i/>
          <w:spacing w:val="9"/>
          <w:sz w:val="13"/>
        </w:rPr>
        <w:t> </w:t>
      </w:r>
      <w:r>
        <w:rPr>
          <w:spacing w:val="2"/>
          <w:sz w:val="13"/>
        </w:rPr>
        <w:t>(Vic)</w:t>
      </w:r>
      <w:r>
        <w:rPr>
          <w:spacing w:val="8"/>
          <w:sz w:val="13"/>
        </w:rPr>
        <w:t> </w:t>
      </w:r>
      <w:r>
        <w:rPr>
          <w:sz w:val="13"/>
        </w:rPr>
        <w:t>s</w:t>
      </w:r>
      <w:r>
        <w:rPr>
          <w:spacing w:val="9"/>
          <w:sz w:val="13"/>
        </w:rPr>
        <w:t> </w:t>
      </w:r>
      <w:r>
        <w:rPr>
          <w:sz w:val="13"/>
        </w:rPr>
        <w:t>4.4.3.</w:t>
      </w:r>
    </w:p>
    <w:p>
      <w:pPr>
        <w:tabs>
          <w:tab w:pos="2381" w:val="left" w:leader="none"/>
        </w:tabs>
        <w:spacing w:before="4"/>
        <w:ind w:left="1587" w:right="0" w:firstLine="0"/>
        <w:jc w:val="left"/>
        <w:rPr>
          <w:sz w:val="13"/>
        </w:rPr>
      </w:pPr>
      <w:r>
        <w:rPr>
          <w:w w:val="105"/>
          <w:sz w:val="13"/>
        </w:rPr>
        <w:t>16</w:t>
        <w:tab/>
        <w:t>Ibid ss</w:t>
      </w:r>
      <w:r>
        <w:rPr>
          <w:spacing w:val="9"/>
          <w:w w:val="105"/>
          <w:sz w:val="13"/>
        </w:rPr>
        <w:t> </w:t>
      </w:r>
      <w:r>
        <w:rPr>
          <w:spacing w:val="3"/>
          <w:w w:val="105"/>
          <w:sz w:val="13"/>
        </w:rPr>
        <w:t>4.4.4–4.4.6.</w:t>
      </w:r>
    </w:p>
    <w:p>
      <w:pPr>
        <w:tabs>
          <w:tab w:pos="2381" w:val="left" w:leader="none"/>
        </w:tabs>
        <w:spacing w:before="2"/>
        <w:ind w:left="1587" w:right="0" w:firstLine="0"/>
        <w:jc w:val="left"/>
        <w:rPr>
          <w:sz w:val="13"/>
        </w:rPr>
      </w:pPr>
      <w:r>
        <w:rPr>
          <w:spacing w:val="-4"/>
          <w:w w:val="105"/>
          <w:sz w:val="13"/>
        </w:rPr>
        <w:t>17</w:t>
        <w:tab/>
      </w:r>
      <w:r>
        <w:rPr>
          <w:w w:val="105"/>
          <w:sz w:val="13"/>
        </w:rPr>
        <w:t>Ibid s</w:t>
      </w:r>
      <w:r>
        <w:rPr>
          <w:spacing w:val="9"/>
          <w:w w:val="105"/>
          <w:sz w:val="13"/>
        </w:rPr>
        <w:t> </w:t>
      </w:r>
      <w:r>
        <w:rPr>
          <w:spacing w:val="2"/>
          <w:w w:val="105"/>
          <w:sz w:val="13"/>
        </w:rPr>
        <w:t>4.2.4(2).</w:t>
      </w:r>
    </w:p>
    <w:p>
      <w:pPr>
        <w:tabs>
          <w:tab w:pos="2381" w:val="left" w:leader="none"/>
        </w:tabs>
        <w:spacing w:before="1"/>
        <w:ind w:left="1587" w:right="0" w:firstLine="0"/>
        <w:jc w:val="left"/>
        <w:rPr>
          <w:sz w:val="13"/>
        </w:rPr>
      </w:pPr>
      <w:r>
        <w:rPr>
          <w:w w:val="105"/>
          <w:sz w:val="13"/>
        </w:rPr>
        <w:t>18</w:t>
        <w:tab/>
        <w:t>Ibid s</w:t>
      </w:r>
      <w:r>
        <w:rPr>
          <w:spacing w:val="9"/>
          <w:w w:val="105"/>
          <w:sz w:val="13"/>
        </w:rPr>
        <w:t> </w:t>
      </w:r>
      <w:r>
        <w:rPr>
          <w:spacing w:val="2"/>
          <w:w w:val="105"/>
          <w:sz w:val="13"/>
        </w:rPr>
        <w:t>4.4.8.</w:t>
      </w:r>
    </w:p>
    <w:p>
      <w:pPr>
        <w:tabs>
          <w:tab w:pos="2381" w:val="left" w:leader="none"/>
        </w:tabs>
        <w:spacing w:before="1"/>
        <w:ind w:left="1587" w:right="0" w:firstLine="0"/>
        <w:jc w:val="left"/>
        <w:rPr>
          <w:sz w:val="13"/>
        </w:rPr>
      </w:pPr>
      <w:r>
        <w:rPr>
          <w:spacing w:val="-3"/>
          <w:w w:val="105"/>
          <w:sz w:val="13"/>
        </w:rPr>
        <w:t>19</w:t>
        <w:tab/>
      </w:r>
      <w:r>
        <w:rPr>
          <w:w w:val="105"/>
          <w:sz w:val="13"/>
        </w:rPr>
        <w:t>Ibid s</w:t>
      </w:r>
      <w:r>
        <w:rPr>
          <w:spacing w:val="12"/>
          <w:w w:val="105"/>
          <w:sz w:val="13"/>
        </w:rPr>
        <w:t> </w:t>
      </w:r>
      <w:r>
        <w:rPr>
          <w:w w:val="105"/>
          <w:sz w:val="13"/>
        </w:rPr>
        <w:t>4.4.13.</w:t>
      </w:r>
    </w:p>
    <w:p>
      <w:pPr>
        <w:tabs>
          <w:tab w:pos="2381" w:val="left" w:leader="none"/>
        </w:tabs>
        <w:spacing w:before="2"/>
        <w:ind w:left="1587" w:right="0" w:firstLine="0"/>
        <w:jc w:val="left"/>
        <w:rPr>
          <w:sz w:val="13"/>
        </w:rPr>
      </w:pPr>
      <w:r>
        <w:rPr>
          <w:w w:val="105"/>
          <w:sz w:val="13"/>
        </w:rPr>
        <w:t>20</w:t>
        <w:tab/>
        <w:t>Ibid  s</w:t>
      </w:r>
      <w:r>
        <w:rPr>
          <w:spacing w:val="-8"/>
          <w:w w:val="105"/>
          <w:sz w:val="13"/>
        </w:rPr>
        <w:t> </w:t>
      </w:r>
      <w:r>
        <w:rPr>
          <w:spacing w:val="-3"/>
          <w:w w:val="105"/>
          <w:sz w:val="13"/>
        </w:rPr>
        <w:t>4.4.17.</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spacing w:before="1"/>
        <w:rPr>
          <w:sz w:val="29"/>
        </w:rPr>
      </w:pPr>
    </w:p>
    <w:p>
      <w:pPr>
        <w:spacing w:before="0"/>
        <w:ind w:left="1045" w:right="0" w:firstLine="0"/>
        <w:jc w:val="left"/>
        <w:rPr>
          <w:b/>
          <w:sz w:val="24"/>
        </w:rPr>
      </w:pPr>
      <w:r>
        <w:rPr>
          <w:b/>
          <w:color w:val="EC5A4F"/>
          <w:w w:val="110"/>
          <w:sz w:val="24"/>
        </w:rPr>
        <w:t>141</w:t>
      </w:r>
    </w:p>
    <w:p>
      <w:pPr>
        <w:spacing w:after="0"/>
        <w:jc w:val="left"/>
        <w:rPr>
          <w:sz w:val="24"/>
        </w:rPr>
        <w:sectPr>
          <w:type w:val="continuous"/>
          <w:pgSz w:w="11910" w:h="16840"/>
          <w:pgMar w:top="920" w:bottom="280" w:left="0" w:right="0"/>
          <w:cols w:num="2" w:equalWidth="0">
            <w:col w:w="9836" w:space="40"/>
            <w:col w:w="2034"/>
          </w:cols>
        </w:sectPr>
      </w:pPr>
    </w:p>
    <w:p>
      <w:pPr>
        <w:pStyle w:val="BodyText"/>
        <w:spacing w:before="9"/>
        <w:rPr>
          <w:b/>
          <w:sz w:val="22"/>
        </w:rPr>
      </w:pPr>
    </w:p>
    <w:p>
      <w:pPr>
        <w:pStyle w:val="Heading6"/>
        <w:spacing w:before="100"/>
      </w:pPr>
      <w:r>
        <w:rPr>
          <w:w w:val="120"/>
        </w:rPr>
        <w:t>Proposed new uniform law</w:t>
      </w:r>
    </w:p>
    <w:p>
      <w:pPr>
        <w:pStyle w:val="ListParagraph"/>
        <w:numPr>
          <w:ilvl w:val="1"/>
          <w:numId w:val="22"/>
        </w:numPr>
        <w:tabs>
          <w:tab w:pos="2381" w:val="left" w:leader="none"/>
          <w:tab w:pos="2382" w:val="left" w:leader="none"/>
        </w:tabs>
        <w:spacing w:line="242" w:lineRule="auto" w:before="151" w:after="0"/>
        <w:ind w:left="2381" w:right="1663" w:hanging="794"/>
        <w:jc w:val="left"/>
        <w:rPr>
          <w:sz w:val="12"/>
        </w:rPr>
      </w:pPr>
      <w:r>
        <w:rPr>
          <w:w w:val="105"/>
          <w:sz w:val="21"/>
        </w:rPr>
        <w:t>Victoria is </w:t>
      </w:r>
      <w:r>
        <w:rPr>
          <w:spacing w:val="-3"/>
          <w:w w:val="105"/>
          <w:sz w:val="21"/>
        </w:rPr>
        <w:t>developing </w:t>
      </w:r>
      <w:r>
        <w:rPr>
          <w:w w:val="105"/>
          <w:sz w:val="21"/>
        </w:rPr>
        <w:t>a new regulatory scheme </w:t>
      </w:r>
      <w:r>
        <w:rPr>
          <w:spacing w:val="-3"/>
          <w:w w:val="105"/>
          <w:sz w:val="21"/>
        </w:rPr>
        <w:t>for </w:t>
      </w:r>
      <w:r>
        <w:rPr>
          <w:w w:val="105"/>
          <w:sz w:val="21"/>
        </w:rPr>
        <w:t>the legal </w:t>
      </w:r>
      <w:r>
        <w:rPr>
          <w:spacing w:val="-3"/>
          <w:w w:val="105"/>
          <w:sz w:val="21"/>
        </w:rPr>
        <w:t>profession </w:t>
      </w:r>
      <w:r>
        <w:rPr>
          <w:w w:val="105"/>
          <w:sz w:val="21"/>
        </w:rPr>
        <w:t>in conjunction with New South </w:t>
      </w:r>
      <w:r>
        <w:rPr>
          <w:spacing w:val="-3"/>
          <w:w w:val="105"/>
          <w:sz w:val="21"/>
        </w:rPr>
        <w:t>Wales, </w:t>
      </w:r>
      <w:r>
        <w:rPr>
          <w:w w:val="105"/>
          <w:sz w:val="21"/>
        </w:rPr>
        <w:t>and the </w:t>
      </w:r>
      <w:r>
        <w:rPr>
          <w:spacing w:val="-3"/>
          <w:w w:val="105"/>
          <w:sz w:val="21"/>
        </w:rPr>
        <w:t>enabling legislation </w:t>
      </w:r>
      <w:r>
        <w:rPr>
          <w:w w:val="105"/>
          <w:sz w:val="21"/>
        </w:rPr>
        <w:t>is expected </w:t>
      </w:r>
      <w:r>
        <w:rPr>
          <w:spacing w:val="-3"/>
          <w:w w:val="105"/>
          <w:sz w:val="21"/>
        </w:rPr>
        <w:t>to </w:t>
      </w:r>
      <w:r>
        <w:rPr>
          <w:w w:val="105"/>
          <w:sz w:val="21"/>
        </w:rPr>
        <w:t>be </w:t>
      </w:r>
      <w:r>
        <w:rPr>
          <w:spacing w:val="-3"/>
          <w:w w:val="105"/>
          <w:sz w:val="21"/>
        </w:rPr>
        <w:t>introduced to Parliament during </w:t>
      </w:r>
      <w:r>
        <w:rPr>
          <w:spacing w:val="-8"/>
          <w:w w:val="105"/>
          <w:sz w:val="21"/>
        </w:rPr>
        <w:t>2013. </w:t>
      </w:r>
      <w:r>
        <w:rPr>
          <w:w w:val="105"/>
          <w:sz w:val="21"/>
        </w:rPr>
        <w:t>It is based on draft </w:t>
      </w:r>
      <w:r>
        <w:rPr>
          <w:spacing w:val="-3"/>
          <w:w w:val="105"/>
          <w:sz w:val="21"/>
        </w:rPr>
        <w:t>national legislation that </w:t>
      </w:r>
      <w:r>
        <w:rPr>
          <w:w w:val="105"/>
          <w:sz w:val="21"/>
        </w:rPr>
        <w:t>was </w:t>
      </w:r>
      <w:r>
        <w:rPr>
          <w:spacing w:val="-3"/>
          <w:w w:val="105"/>
          <w:sz w:val="21"/>
        </w:rPr>
        <w:t>prepared </w:t>
      </w:r>
      <w:r>
        <w:rPr>
          <w:w w:val="105"/>
          <w:sz w:val="21"/>
        </w:rPr>
        <w:t>in </w:t>
      </w:r>
      <w:r>
        <w:rPr>
          <w:spacing w:val="-10"/>
          <w:w w:val="105"/>
          <w:sz w:val="21"/>
        </w:rPr>
        <w:t>2011 </w:t>
      </w:r>
      <w:r>
        <w:rPr>
          <w:w w:val="105"/>
          <w:sz w:val="21"/>
        </w:rPr>
        <w:t>under the </w:t>
      </w:r>
      <w:r>
        <w:rPr>
          <w:spacing w:val="-3"/>
          <w:w w:val="105"/>
          <w:sz w:val="21"/>
        </w:rPr>
        <w:t>auspices </w:t>
      </w:r>
      <w:r>
        <w:rPr>
          <w:w w:val="105"/>
          <w:sz w:val="21"/>
        </w:rPr>
        <w:t>of the </w:t>
      </w:r>
      <w:r>
        <w:rPr>
          <w:spacing w:val="-4"/>
          <w:w w:val="105"/>
          <w:sz w:val="21"/>
        </w:rPr>
        <w:t>Council </w:t>
      </w:r>
      <w:r>
        <w:rPr>
          <w:w w:val="105"/>
          <w:sz w:val="21"/>
        </w:rPr>
        <w:t>of </w:t>
      </w:r>
      <w:r>
        <w:rPr>
          <w:spacing w:val="-3"/>
          <w:w w:val="105"/>
          <w:sz w:val="21"/>
        </w:rPr>
        <w:t>Australian</w:t>
      </w:r>
      <w:r>
        <w:rPr>
          <w:spacing w:val="-1"/>
          <w:w w:val="105"/>
          <w:sz w:val="21"/>
        </w:rPr>
        <w:t> </w:t>
      </w:r>
      <w:r>
        <w:rPr>
          <w:spacing w:val="-3"/>
          <w:w w:val="105"/>
          <w:sz w:val="21"/>
        </w:rPr>
        <w:t>Governments.</w:t>
      </w:r>
      <w:r>
        <w:rPr>
          <w:spacing w:val="-3"/>
          <w:w w:val="105"/>
          <w:position w:val="7"/>
          <w:sz w:val="12"/>
        </w:rPr>
        <w:t>21</w:t>
      </w:r>
    </w:p>
    <w:p>
      <w:pPr>
        <w:pStyle w:val="ListParagraph"/>
        <w:numPr>
          <w:ilvl w:val="1"/>
          <w:numId w:val="22"/>
        </w:numPr>
        <w:tabs>
          <w:tab w:pos="2381" w:val="left" w:leader="none"/>
          <w:tab w:pos="2382" w:val="left" w:leader="none"/>
        </w:tabs>
        <w:spacing w:line="242" w:lineRule="auto" w:before="125" w:after="0"/>
        <w:ind w:left="2381" w:right="1621" w:hanging="794"/>
        <w:jc w:val="left"/>
        <w:rPr>
          <w:sz w:val="12"/>
        </w:rPr>
      </w:pPr>
      <w:r>
        <w:rPr>
          <w:w w:val="105"/>
          <w:sz w:val="21"/>
        </w:rPr>
        <w:t>Although only Victoria and New South </w:t>
      </w:r>
      <w:r>
        <w:rPr>
          <w:spacing w:val="-3"/>
          <w:w w:val="105"/>
          <w:sz w:val="21"/>
        </w:rPr>
        <w:t>Wales are proceeding </w:t>
      </w:r>
      <w:r>
        <w:rPr>
          <w:w w:val="105"/>
          <w:sz w:val="21"/>
        </w:rPr>
        <w:t>with the </w:t>
      </w:r>
      <w:r>
        <w:rPr>
          <w:spacing w:val="-3"/>
          <w:w w:val="105"/>
          <w:sz w:val="21"/>
        </w:rPr>
        <w:t>reform </w:t>
      </w:r>
      <w:r>
        <w:rPr>
          <w:w w:val="105"/>
          <w:sz w:val="21"/>
        </w:rPr>
        <w:t>at this </w:t>
      </w:r>
      <w:r>
        <w:rPr>
          <w:spacing w:val="-3"/>
          <w:w w:val="105"/>
          <w:sz w:val="21"/>
        </w:rPr>
        <w:t>time, </w:t>
      </w:r>
      <w:r>
        <w:rPr>
          <w:w w:val="105"/>
          <w:sz w:val="21"/>
        </w:rPr>
        <w:t>they </w:t>
      </w:r>
      <w:r>
        <w:rPr>
          <w:spacing w:val="-3"/>
          <w:w w:val="105"/>
          <w:sz w:val="21"/>
        </w:rPr>
        <w:t>have </w:t>
      </w:r>
      <w:r>
        <w:rPr>
          <w:w w:val="105"/>
          <w:sz w:val="21"/>
        </w:rPr>
        <w:t>agreed </w:t>
      </w:r>
      <w:r>
        <w:rPr>
          <w:spacing w:val="-3"/>
          <w:w w:val="105"/>
          <w:sz w:val="21"/>
        </w:rPr>
        <w:t>to changes that are intended to reduce </w:t>
      </w:r>
      <w:r>
        <w:rPr>
          <w:w w:val="105"/>
          <w:sz w:val="21"/>
        </w:rPr>
        <w:t>costs and </w:t>
      </w:r>
      <w:r>
        <w:rPr>
          <w:spacing w:val="-4"/>
          <w:w w:val="105"/>
          <w:sz w:val="21"/>
        </w:rPr>
        <w:t>make </w:t>
      </w:r>
      <w:r>
        <w:rPr>
          <w:w w:val="105"/>
          <w:sz w:val="21"/>
        </w:rPr>
        <w:t>the scheme more attractive </w:t>
      </w:r>
      <w:r>
        <w:rPr>
          <w:spacing w:val="-3"/>
          <w:w w:val="105"/>
          <w:sz w:val="21"/>
        </w:rPr>
        <w:t>to smaller</w:t>
      </w:r>
      <w:r>
        <w:rPr>
          <w:spacing w:val="18"/>
          <w:w w:val="105"/>
          <w:sz w:val="21"/>
        </w:rPr>
        <w:t> </w:t>
      </w:r>
      <w:r>
        <w:rPr>
          <w:w w:val="105"/>
          <w:sz w:val="21"/>
        </w:rPr>
        <w:t>jurisdictions.</w:t>
      </w:r>
      <w:r>
        <w:rPr>
          <w:w w:val="105"/>
          <w:position w:val="7"/>
          <w:sz w:val="12"/>
        </w:rPr>
        <w:t>22</w:t>
      </w:r>
    </w:p>
    <w:p>
      <w:pPr>
        <w:pStyle w:val="ListParagraph"/>
        <w:numPr>
          <w:ilvl w:val="1"/>
          <w:numId w:val="22"/>
        </w:numPr>
        <w:tabs>
          <w:tab w:pos="2381" w:val="left" w:leader="none"/>
          <w:tab w:pos="2382" w:val="left" w:leader="none"/>
        </w:tabs>
        <w:spacing w:line="242" w:lineRule="auto" w:before="123" w:after="0"/>
        <w:ind w:left="2381" w:right="1642" w:hanging="794"/>
        <w:jc w:val="left"/>
        <w:rPr>
          <w:sz w:val="12"/>
        </w:rPr>
      </w:pPr>
      <w:r>
        <w:rPr>
          <w:w w:val="105"/>
          <w:sz w:val="21"/>
        </w:rPr>
        <w:t>The</w:t>
      </w:r>
      <w:r>
        <w:rPr>
          <w:spacing w:val="-9"/>
          <w:w w:val="105"/>
          <w:sz w:val="21"/>
        </w:rPr>
        <w:t> </w:t>
      </w:r>
      <w:r>
        <w:rPr>
          <w:w w:val="105"/>
          <w:sz w:val="21"/>
        </w:rPr>
        <w:t>new</w:t>
      </w:r>
      <w:r>
        <w:rPr>
          <w:spacing w:val="-10"/>
          <w:w w:val="105"/>
          <w:sz w:val="21"/>
        </w:rPr>
        <w:t> </w:t>
      </w:r>
      <w:r>
        <w:rPr>
          <w:w w:val="105"/>
          <w:sz w:val="21"/>
        </w:rPr>
        <w:t>scheme</w:t>
      </w:r>
      <w:r>
        <w:rPr>
          <w:spacing w:val="-9"/>
          <w:w w:val="105"/>
          <w:sz w:val="21"/>
        </w:rPr>
        <w:t> </w:t>
      </w:r>
      <w:r>
        <w:rPr>
          <w:spacing w:val="-2"/>
          <w:w w:val="105"/>
          <w:sz w:val="21"/>
        </w:rPr>
        <w:t>has</w:t>
      </w:r>
      <w:r>
        <w:rPr>
          <w:spacing w:val="-9"/>
          <w:w w:val="105"/>
          <w:sz w:val="21"/>
        </w:rPr>
        <w:t> </w:t>
      </w:r>
      <w:r>
        <w:rPr>
          <w:spacing w:val="-3"/>
          <w:w w:val="105"/>
          <w:sz w:val="21"/>
        </w:rPr>
        <w:t>many</w:t>
      </w:r>
      <w:r>
        <w:rPr>
          <w:spacing w:val="-9"/>
          <w:w w:val="105"/>
          <w:sz w:val="21"/>
        </w:rPr>
        <w:t> </w:t>
      </w:r>
      <w:r>
        <w:rPr>
          <w:w w:val="105"/>
          <w:sz w:val="21"/>
        </w:rPr>
        <w:t>of</w:t>
      </w:r>
      <w:r>
        <w:rPr>
          <w:spacing w:val="-9"/>
          <w:w w:val="105"/>
          <w:sz w:val="21"/>
        </w:rPr>
        <w:t> </w:t>
      </w:r>
      <w:r>
        <w:rPr>
          <w:w w:val="105"/>
          <w:sz w:val="21"/>
        </w:rPr>
        <w:t>the</w:t>
      </w:r>
      <w:r>
        <w:rPr>
          <w:spacing w:val="-9"/>
          <w:w w:val="105"/>
          <w:sz w:val="21"/>
        </w:rPr>
        <w:t> </w:t>
      </w:r>
      <w:r>
        <w:rPr>
          <w:w w:val="105"/>
          <w:sz w:val="21"/>
        </w:rPr>
        <w:t>same</w:t>
      </w:r>
      <w:r>
        <w:rPr>
          <w:spacing w:val="-9"/>
          <w:w w:val="105"/>
          <w:sz w:val="21"/>
        </w:rPr>
        <w:t> </w:t>
      </w:r>
      <w:r>
        <w:rPr>
          <w:spacing w:val="-3"/>
          <w:w w:val="105"/>
          <w:sz w:val="21"/>
        </w:rPr>
        <w:t>features</w:t>
      </w:r>
      <w:r>
        <w:rPr>
          <w:spacing w:val="-9"/>
          <w:w w:val="105"/>
          <w:sz w:val="21"/>
        </w:rPr>
        <w:t> </w:t>
      </w:r>
      <w:r>
        <w:rPr>
          <w:w w:val="105"/>
          <w:sz w:val="21"/>
        </w:rPr>
        <w:t>as</w:t>
      </w:r>
      <w:r>
        <w:rPr>
          <w:spacing w:val="-9"/>
          <w:w w:val="105"/>
          <w:sz w:val="21"/>
        </w:rPr>
        <w:t> </w:t>
      </w:r>
      <w:r>
        <w:rPr>
          <w:w w:val="105"/>
          <w:sz w:val="21"/>
        </w:rPr>
        <w:t>the</w:t>
      </w:r>
      <w:r>
        <w:rPr>
          <w:spacing w:val="-9"/>
          <w:w w:val="105"/>
          <w:sz w:val="21"/>
        </w:rPr>
        <w:t> </w:t>
      </w:r>
      <w:r>
        <w:rPr>
          <w:w w:val="105"/>
          <w:sz w:val="21"/>
        </w:rPr>
        <w:t>co-regulatory</w:t>
      </w:r>
      <w:r>
        <w:rPr>
          <w:spacing w:val="-9"/>
          <w:w w:val="105"/>
          <w:sz w:val="21"/>
        </w:rPr>
        <w:t> </w:t>
      </w:r>
      <w:r>
        <w:rPr>
          <w:w w:val="105"/>
          <w:sz w:val="21"/>
        </w:rPr>
        <w:t>scheme</w:t>
      </w:r>
      <w:r>
        <w:rPr>
          <w:spacing w:val="-9"/>
          <w:w w:val="105"/>
          <w:sz w:val="21"/>
        </w:rPr>
        <w:t> </w:t>
      </w:r>
      <w:r>
        <w:rPr>
          <w:w w:val="105"/>
          <w:sz w:val="21"/>
        </w:rPr>
        <w:t>established by the Legal </w:t>
      </w:r>
      <w:r>
        <w:rPr>
          <w:spacing w:val="-3"/>
          <w:w w:val="105"/>
          <w:sz w:val="21"/>
        </w:rPr>
        <w:t>Profession </w:t>
      </w:r>
      <w:r>
        <w:rPr>
          <w:w w:val="105"/>
          <w:sz w:val="21"/>
        </w:rPr>
        <w:t>Act. The role of peak </w:t>
      </w:r>
      <w:r>
        <w:rPr>
          <w:spacing w:val="-3"/>
          <w:w w:val="105"/>
          <w:sz w:val="21"/>
        </w:rPr>
        <w:t>regulator will </w:t>
      </w:r>
      <w:r>
        <w:rPr>
          <w:w w:val="105"/>
          <w:sz w:val="21"/>
        </w:rPr>
        <w:t>be assumed by a </w:t>
      </w:r>
      <w:r>
        <w:rPr>
          <w:spacing w:val="-3"/>
          <w:w w:val="105"/>
          <w:sz w:val="21"/>
        </w:rPr>
        <w:t>joint </w:t>
      </w:r>
      <w:r>
        <w:rPr>
          <w:w w:val="105"/>
          <w:sz w:val="21"/>
        </w:rPr>
        <w:t>Legal Services </w:t>
      </w:r>
      <w:r>
        <w:rPr>
          <w:spacing w:val="-4"/>
          <w:w w:val="105"/>
          <w:sz w:val="21"/>
        </w:rPr>
        <w:t>Council, </w:t>
      </w:r>
      <w:r>
        <w:rPr>
          <w:w w:val="105"/>
          <w:sz w:val="21"/>
        </w:rPr>
        <w:t>and a </w:t>
      </w:r>
      <w:r>
        <w:rPr>
          <w:spacing w:val="-3"/>
          <w:w w:val="105"/>
          <w:sz w:val="21"/>
        </w:rPr>
        <w:t>Commissioner for Uniform </w:t>
      </w:r>
      <w:r>
        <w:rPr>
          <w:w w:val="105"/>
          <w:sz w:val="21"/>
        </w:rPr>
        <w:t>Legal Services </w:t>
      </w:r>
      <w:r>
        <w:rPr>
          <w:spacing w:val="-3"/>
          <w:w w:val="105"/>
          <w:sz w:val="21"/>
        </w:rPr>
        <w:t>Regulation will </w:t>
      </w:r>
      <w:r>
        <w:rPr>
          <w:w w:val="105"/>
          <w:sz w:val="21"/>
        </w:rPr>
        <w:t>be established.</w:t>
      </w:r>
      <w:r>
        <w:rPr>
          <w:spacing w:val="-11"/>
          <w:w w:val="105"/>
          <w:sz w:val="21"/>
        </w:rPr>
        <w:t> </w:t>
      </w:r>
      <w:r>
        <w:rPr>
          <w:w w:val="105"/>
          <w:sz w:val="21"/>
        </w:rPr>
        <w:t>Both</w:t>
      </w:r>
      <w:r>
        <w:rPr>
          <w:spacing w:val="-10"/>
          <w:w w:val="105"/>
          <w:sz w:val="21"/>
        </w:rPr>
        <w:t> </w:t>
      </w:r>
      <w:r>
        <w:rPr>
          <w:w w:val="105"/>
          <w:sz w:val="21"/>
        </w:rPr>
        <w:t>entities</w:t>
      </w:r>
      <w:r>
        <w:rPr>
          <w:spacing w:val="-10"/>
          <w:w w:val="105"/>
          <w:sz w:val="21"/>
        </w:rPr>
        <w:t> </w:t>
      </w:r>
      <w:r>
        <w:rPr>
          <w:spacing w:val="-3"/>
          <w:w w:val="105"/>
          <w:sz w:val="21"/>
        </w:rPr>
        <w:t>will</w:t>
      </w:r>
      <w:r>
        <w:rPr>
          <w:spacing w:val="-10"/>
          <w:w w:val="105"/>
          <w:sz w:val="21"/>
        </w:rPr>
        <w:t> </w:t>
      </w:r>
      <w:r>
        <w:rPr>
          <w:w w:val="105"/>
          <w:sz w:val="21"/>
        </w:rPr>
        <w:t>be</w:t>
      </w:r>
      <w:r>
        <w:rPr>
          <w:spacing w:val="-10"/>
          <w:w w:val="105"/>
          <w:sz w:val="21"/>
        </w:rPr>
        <w:t> </w:t>
      </w:r>
      <w:r>
        <w:rPr>
          <w:spacing w:val="-3"/>
          <w:w w:val="105"/>
          <w:sz w:val="21"/>
        </w:rPr>
        <w:t>created</w:t>
      </w:r>
      <w:r>
        <w:rPr>
          <w:spacing w:val="-10"/>
          <w:w w:val="105"/>
          <w:sz w:val="21"/>
        </w:rPr>
        <w:t> </w:t>
      </w:r>
      <w:r>
        <w:rPr>
          <w:w w:val="105"/>
          <w:sz w:val="21"/>
        </w:rPr>
        <w:t>by</w:t>
      </w:r>
      <w:r>
        <w:rPr>
          <w:spacing w:val="-10"/>
          <w:w w:val="105"/>
          <w:sz w:val="21"/>
        </w:rPr>
        <w:t> </w:t>
      </w:r>
      <w:r>
        <w:rPr>
          <w:w w:val="105"/>
          <w:sz w:val="21"/>
        </w:rPr>
        <w:t>Victorian</w:t>
      </w:r>
      <w:r>
        <w:rPr>
          <w:spacing w:val="-10"/>
          <w:w w:val="105"/>
          <w:sz w:val="21"/>
        </w:rPr>
        <w:t> </w:t>
      </w:r>
      <w:r>
        <w:rPr>
          <w:spacing w:val="-3"/>
          <w:w w:val="105"/>
          <w:sz w:val="21"/>
        </w:rPr>
        <w:t>legislation</w:t>
      </w:r>
      <w:r>
        <w:rPr>
          <w:spacing w:val="-10"/>
          <w:w w:val="105"/>
          <w:sz w:val="21"/>
        </w:rPr>
        <w:t> </w:t>
      </w:r>
      <w:r>
        <w:rPr>
          <w:w w:val="105"/>
          <w:sz w:val="21"/>
        </w:rPr>
        <w:t>but</w:t>
      </w:r>
      <w:r>
        <w:rPr>
          <w:spacing w:val="-10"/>
          <w:w w:val="105"/>
          <w:sz w:val="21"/>
        </w:rPr>
        <w:t> </w:t>
      </w:r>
      <w:r>
        <w:rPr>
          <w:w w:val="105"/>
          <w:sz w:val="21"/>
        </w:rPr>
        <w:t>located</w:t>
      </w:r>
      <w:r>
        <w:rPr>
          <w:spacing w:val="-10"/>
          <w:w w:val="105"/>
          <w:sz w:val="21"/>
        </w:rPr>
        <w:t> </w:t>
      </w:r>
      <w:r>
        <w:rPr>
          <w:w w:val="105"/>
          <w:sz w:val="21"/>
        </w:rPr>
        <w:t>in</w:t>
      </w:r>
      <w:r>
        <w:rPr>
          <w:spacing w:val="-10"/>
          <w:w w:val="105"/>
          <w:sz w:val="21"/>
        </w:rPr>
        <w:t> </w:t>
      </w:r>
      <w:r>
        <w:rPr>
          <w:w w:val="105"/>
          <w:sz w:val="21"/>
        </w:rPr>
        <w:t>New</w:t>
      </w:r>
      <w:r>
        <w:rPr>
          <w:spacing w:val="-10"/>
          <w:w w:val="105"/>
          <w:sz w:val="21"/>
        </w:rPr>
        <w:t> </w:t>
      </w:r>
      <w:r>
        <w:rPr>
          <w:w w:val="105"/>
          <w:sz w:val="21"/>
        </w:rPr>
        <w:t>South </w:t>
      </w:r>
      <w:r>
        <w:rPr>
          <w:spacing w:val="-3"/>
          <w:w w:val="105"/>
          <w:sz w:val="21"/>
        </w:rPr>
        <w:t>Wales.</w:t>
      </w:r>
      <w:r>
        <w:rPr>
          <w:spacing w:val="-9"/>
          <w:w w:val="105"/>
          <w:sz w:val="21"/>
        </w:rPr>
        <w:t> </w:t>
      </w:r>
      <w:r>
        <w:rPr>
          <w:w w:val="105"/>
          <w:sz w:val="21"/>
        </w:rPr>
        <w:t>Functions</w:t>
      </w:r>
      <w:r>
        <w:rPr>
          <w:spacing w:val="-9"/>
          <w:w w:val="105"/>
          <w:sz w:val="21"/>
        </w:rPr>
        <w:t> </w:t>
      </w:r>
      <w:r>
        <w:rPr>
          <w:spacing w:val="-3"/>
          <w:w w:val="105"/>
          <w:sz w:val="21"/>
        </w:rPr>
        <w:t>will</w:t>
      </w:r>
      <w:r>
        <w:rPr>
          <w:spacing w:val="-9"/>
          <w:w w:val="105"/>
          <w:sz w:val="21"/>
        </w:rPr>
        <w:t> </w:t>
      </w:r>
      <w:r>
        <w:rPr>
          <w:w w:val="105"/>
          <w:sz w:val="21"/>
        </w:rPr>
        <w:t>also</w:t>
      </w:r>
      <w:r>
        <w:rPr>
          <w:spacing w:val="-9"/>
          <w:w w:val="105"/>
          <w:sz w:val="21"/>
        </w:rPr>
        <w:t> </w:t>
      </w:r>
      <w:r>
        <w:rPr>
          <w:w w:val="105"/>
          <w:sz w:val="21"/>
        </w:rPr>
        <w:t>be</w:t>
      </w:r>
      <w:r>
        <w:rPr>
          <w:spacing w:val="-8"/>
          <w:w w:val="105"/>
          <w:sz w:val="21"/>
        </w:rPr>
        <w:t> </w:t>
      </w:r>
      <w:r>
        <w:rPr>
          <w:spacing w:val="-3"/>
          <w:w w:val="105"/>
          <w:sz w:val="21"/>
        </w:rPr>
        <w:t>conferred</w:t>
      </w:r>
      <w:r>
        <w:rPr>
          <w:spacing w:val="-9"/>
          <w:w w:val="105"/>
          <w:sz w:val="21"/>
        </w:rPr>
        <w:t> </w:t>
      </w:r>
      <w:r>
        <w:rPr>
          <w:w w:val="105"/>
          <w:sz w:val="21"/>
        </w:rPr>
        <w:t>directly</w:t>
      </w:r>
      <w:r>
        <w:rPr>
          <w:spacing w:val="-9"/>
          <w:w w:val="105"/>
          <w:sz w:val="21"/>
        </w:rPr>
        <w:t> </w:t>
      </w:r>
      <w:r>
        <w:rPr>
          <w:w w:val="105"/>
          <w:sz w:val="21"/>
        </w:rPr>
        <w:t>on</w:t>
      </w:r>
      <w:r>
        <w:rPr>
          <w:spacing w:val="-9"/>
          <w:w w:val="105"/>
          <w:sz w:val="21"/>
        </w:rPr>
        <w:t> </w:t>
      </w:r>
      <w:r>
        <w:rPr>
          <w:w w:val="105"/>
          <w:sz w:val="21"/>
        </w:rPr>
        <w:t>the</w:t>
      </w:r>
      <w:r>
        <w:rPr>
          <w:spacing w:val="-8"/>
          <w:w w:val="105"/>
          <w:sz w:val="21"/>
        </w:rPr>
        <w:t> </w:t>
      </w:r>
      <w:r>
        <w:rPr>
          <w:w w:val="105"/>
          <w:sz w:val="21"/>
        </w:rPr>
        <w:t>Victorian</w:t>
      </w:r>
      <w:r>
        <w:rPr>
          <w:spacing w:val="-9"/>
          <w:w w:val="105"/>
          <w:sz w:val="21"/>
        </w:rPr>
        <w:t> </w:t>
      </w:r>
      <w:r>
        <w:rPr>
          <w:w w:val="105"/>
          <w:sz w:val="21"/>
        </w:rPr>
        <w:t>Legal</w:t>
      </w:r>
      <w:r>
        <w:rPr>
          <w:spacing w:val="-9"/>
          <w:w w:val="105"/>
          <w:sz w:val="21"/>
        </w:rPr>
        <w:t> </w:t>
      </w:r>
      <w:r>
        <w:rPr>
          <w:w w:val="105"/>
          <w:sz w:val="21"/>
        </w:rPr>
        <w:t>Services</w:t>
      </w:r>
      <w:r>
        <w:rPr>
          <w:spacing w:val="-9"/>
          <w:w w:val="105"/>
          <w:sz w:val="21"/>
        </w:rPr>
        <w:t> </w:t>
      </w:r>
      <w:r>
        <w:rPr>
          <w:w w:val="105"/>
          <w:sz w:val="21"/>
        </w:rPr>
        <w:t>Board</w:t>
      </w:r>
      <w:r>
        <w:rPr>
          <w:spacing w:val="-8"/>
          <w:w w:val="105"/>
          <w:sz w:val="21"/>
        </w:rPr>
        <w:t> </w:t>
      </w:r>
      <w:r>
        <w:rPr>
          <w:w w:val="105"/>
          <w:sz w:val="21"/>
        </w:rPr>
        <w:t>and Legal Services </w:t>
      </w:r>
      <w:r>
        <w:rPr>
          <w:spacing w:val="-4"/>
          <w:w w:val="105"/>
          <w:sz w:val="21"/>
        </w:rPr>
        <w:t>Commissioner.</w:t>
      </w:r>
      <w:r>
        <w:rPr>
          <w:spacing w:val="-8"/>
          <w:w w:val="105"/>
          <w:sz w:val="21"/>
        </w:rPr>
        <w:t> </w:t>
      </w:r>
      <w:r>
        <w:rPr>
          <w:w w:val="105"/>
          <w:position w:val="7"/>
          <w:sz w:val="12"/>
        </w:rPr>
        <w:t>23</w:t>
      </w:r>
    </w:p>
    <w:p>
      <w:pPr>
        <w:pStyle w:val="ListParagraph"/>
        <w:numPr>
          <w:ilvl w:val="1"/>
          <w:numId w:val="22"/>
        </w:numPr>
        <w:tabs>
          <w:tab w:pos="2380" w:val="left" w:leader="none"/>
          <w:tab w:pos="2381" w:val="left" w:leader="none"/>
        </w:tabs>
        <w:spacing w:line="242" w:lineRule="auto" w:before="126" w:after="0"/>
        <w:ind w:left="2381" w:right="1711" w:hanging="794"/>
        <w:jc w:val="left"/>
        <w:rPr>
          <w:sz w:val="21"/>
        </w:rPr>
      </w:pPr>
      <w:r>
        <w:rPr>
          <w:sz w:val="21"/>
        </w:rPr>
        <w:t>The new </w:t>
      </w:r>
      <w:r>
        <w:rPr>
          <w:spacing w:val="-3"/>
          <w:sz w:val="21"/>
        </w:rPr>
        <w:t>uniform </w:t>
      </w:r>
      <w:r>
        <w:rPr>
          <w:sz w:val="21"/>
        </w:rPr>
        <w:t>law </w:t>
      </w:r>
      <w:r>
        <w:rPr>
          <w:spacing w:val="-3"/>
          <w:sz w:val="21"/>
        </w:rPr>
        <w:t>will </w:t>
      </w:r>
      <w:r>
        <w:rPr>
          <w:sz w:val="21"/>
        </w:rPr>
        <w:t>be </w:t>
      </w:r>
      <w:r>
        <w:rPr>
          <w:spacing w:val="-3"/>
          <w:sz w:val="21"/>
        </w:rPr>
        <w:t>underpinned </w:t>
      </w:r>
      <w:r>
        <w:rPr>
          <w:sz w:val="21"/>
        </w:rPr>
        <w:t>by </w:t>
      </w:r>
      <w:r>
        <w:rPr>
          <w:spacing w:val="-3"/>
          <w:sz w:val="21"/>
        </w:rPr>
        <w:t>uniform  </w:t>
      </w:r>
      <w:r>
        <w:rPr>
          <w:sz w:val="21"/>
        </w:rPr>
        <w:t>rules. The Law </w:t>
      </w:r>
      <w:r>
        <w:rPr>
          <w:spacing w:val="-4"/>
          <w:sz w:val="21"/>
        </w:rPr>
        <w:t>Council  </w:t>
      </w:r>
      <w:r>
        <w:rPr>
          <w:sz w:val="21"/>
        </w:rPr>
        <w:t>of </w:t>
      </w:r>
      <w:r>
        <w:rPr>
          <w:spacing w:val="-3"/>
          <w:sz w:val="21"/>
        </w:rPr>
        <w:t>Australia  </w:t>
      </w:r>
      <w:r>
        <w:rPr>
          <w:spacing w:val="-2"/>
          <w:sz w:val="21"/>
        </w:rPr>
        <w:t>has  </w:t>
      </w:r>
      <w:r>
        <w:rPr>
          <w:sz w:val="21"/>
        </w:rPr>
        <w:t>issued a set of </w:t>
      </w:r>
      <w:r>
        <w:rPr>
          <w:i/>
          <w:spacing w:val="-3"/>
          <w:sz w:val="21"/>
        </w:rPr>
        <w:t>Australian  </w:t>
      </w:r>
      <w:r>
        <w:rPr>
          <w:i/>
          <w:sz w:val="21"/>
        </w:rPr>
        <w:t>Solicitors’ Conduct Rules </w:t>
      </w:r>
      <w:r>
        <w:rPr>
          <w:position w:val="7"/>
          <w:sz w:val="12"/>
        </w:rPr>
        <w:t>24  </w:t>
      </w:r>
      <w:r>
        <w:rPr>
          <w:spacing w:val="-3"/>
          <w:sz w:val="21"/>
        </w:rPr>
        <w:t>that  were  prepared  </w:t>
      </w:r>
      <w:r>
        <w:rPr>
          <w:sz w:val="21"/>
        </w:rPr>
        <w:t>with a view </w:t>
      </w:r>
      <w:r>
        <w:rPr>
          <w:spacing w:val="-3"/>
          <w:sz w:val="21"/>
        </w:rPr>
        <w:t>to </w:t>
      </w:r>
      <w:r>
        <w:rPr>
          <w:sz w:val="21"/>
        </w:rPr>
        <w:t>the introduction of </w:t>
      </w:r>
      <w:r>
        <w:rPr>
          <w:spacing w:val="-3"/>
          <w:sz w:val="21"/>
        </w:rPr>
        <w:t>uniform </w:t>
      </w:r>
      <w:r>
        <w:rPr>
          <w:sz w:val="21"/>
        </w:rPr>
        <w:t>rules across </w:t>
      </w:r>
      <w:r>
        <w:rPr>
          <w:spacing w:val="-3"/>
          <w:sz w:val="21"/>
        </w:rPr>
        <w:t>all </w:t>
      </w:r>
      <w:r>
        <w:rPr>
          <w:sz w:val="21"/>
        </w:rPr>
        <w:t>jurisdictions. These rules </w:t>
      </w:r>
      <w:r>
        <w:rPr>
          <w:spacing w:val="-3"/>
          <w:sz w:val="21"/>
        </w:rPr>
        <w:t>are </w:t>
      </w:r>
      <w:r>
        <w:rPr>
          <w:spacing w:val="-4"/>
          <w:sz w:val="21"/>
        </w:rPr>
        <w:t>likely </w:t>
      </w:r>
      <w:r>
        <w:rPr>
          <w:spacing w:val="-3"/>
          <w:sz w:val="21"/>
        </w:rPr>
        <w:t>to </w:t>
      </w:r>
      <w:r>
        <w:rPr>
          <w:sz w:val="21"/>
        </w:rPr>
        <w:t>be </w:t>
      </w:r>
      <w:r>
        <w:rPr>
          <w:spacing w:val="-2"/>
          <w:sz w:val="21"/>
        </w:rPr>
        <w:t>submitted </w:t>
      </w:r>
      <w:r>
        <w:rPr>
          <w:spacing w:val="-3"/>
          <w:sz w:val="21"/>
        </w:rPr>
        <w:t>to </w:t>
      </w:r>
      <w:r>
        <w:rPr>
          <w:sz w:val="21"/>
        </w:rPr>
        <w:t>the new Legal Services </w:t>
      </w:r>
      <w:r>
        <w:rPr>
          <w:spacing w:val="-4"/>
          <w:sz w:val="21"/>
        </w:rPr>
        <w:t>Council </w:t>
      </w:r>
      <w:r>
        <w:rPr>
          <w:spacing w:val="-3"/>
          <w:sz w:val="21"/>
        </w:rPr>
        <w:t>for consideration </w:t>
      </w:r>
      <w:r>
        <w:rPr>
          <w:sz w:val="21"/>
        </w:rPr>
        <w:t>and</w:t>
      </w:r>
      <w:r>
        <w:rPr>
          <w:spacing w:val="-14"/>
          <w:sz w:val="21"/>
        </w:rPr>
        <w:t> </w:t>
      </w:r>
      <w:r>
        <w:rPr>
          <w:sz w:val="21"/>
        </w:rPr>
        <w:t>adoption.</w:t>
      </w:r>
    </w:p>
    <w:p>
      <w:pPr>
        <w:pStyle w:val="ListParagraph"/>
        <w:numPr>
          <w:ilvl w:val="1"/>
          <w:numId w:val="22"/>
        </w:numPr>
        <w:tabs>
          <w:tab w:pos="2380" w:val="left" w:leader="none"/>
          <w:tab w:pos="2381" w:val="left" w:leader="none"/>
        </w:tabs>
        <w:spacing w:line="242" w:lineRule="auto" w:before="125" w:after="0"/>
        <w:ind w:left="2380" w:right="1636" w:hanging="793"/>
        <w:jc w:val="left"/>
        <w:rPr>
          <w:sz w:val="12"/>
        </w:rPr>
      </w:pPr>
      <w:r>
        <w:rPr>
          <w:w w:val="105"/>
          <w:sz w:val="21"/>
        </w:rPr>
        <w:t>The </w:t>
      </w:r>
      <w:r>
        <w:rPr>
          <w:spacing w:val="-3"/>
          <w:w w:val="105"/>
          <w:sz w:val="21"/>
        </w:rPr>
        <w:t>Australian Solicitors’ Conduct </w:t>
      </w:r>
      <w:r>
        <w:rPr>
          <w:w w:val="105"/>
          <w:sz w:val="21"/>
        </w:rPr>
        <w:t>Rules </w:t>
      </w:r>
      <w:r>
        <w:rPr>
          <w:spacing w:val="-3"/>
          <w:w w:val="105"/>
          <w:sz w:val="21"/>
        </w:rPr>
        <w:t>are </w:t>
      </w:r>
      <w:r>
        <w:rPr>
          <w:w w:val="105"/>
          <w:sz w:val="21"/>
        </w:rPr>
        <w:t>very </w:t>
      </w:r>
      <w:r>
        <w:rPr>
          <w:spacing w:val="-3"/>
          <w:w w:val="105"/>
          <w:sz w:val="21"/>
        </w:rPr>
        <w:t>similar to </w:t>
      </w:r>
      <w:r>
        <w:rPr>
          <w:w w:val="105"/>
          <w:sz w:val="21"/>
        </w:rPr>
        <w:t>the Law </w:t>
      </w:r>
      <w:r>
        <w:rPr>
          <w:spacing w:val="-3"/>
          <w:w w:val="105"/>
          <w:sz w:val="21"/>
        </w:rPr>
        <w:t>Institute </w:t>
      </w:r>
      <w:r>
        <w:rPr>
          <w:w w:val="105"/>
          <w:sz w:val="21"/>
        </w:rPr>
        <w:t>of </w:t>
      </w:r>
      <w:r>
        <w:rPr>
          <w:spacing w:val="-3"/>
          <w:w w:val="105"/>
          <w:sz w:val="21"/>
        </w:rPr>
        <w:t>Victoria’s Professional Conduct </w:t>
      </w:r>
      <w:r>
        <w:rPr>
          <w:w w:val="105"/>
          <w:sz w:val="21"/>
        </w:rPr>
        <w:t>and Practice Rules. </w:t>
      </w:r>
      <w:r>
        <w:rPr>
          <w:spacing w:val="-3"/>
          <w:w w:val="105"/>
          <w:sz w:val="21"/>
        </w:rPr>
        <w:t>Significantly, </w:t>
      </w:r>
      <w:r>
        <w:rPr>
          <w:w w:val="105"/>
          <w:sz w:val="21"/>
        </w:rPr>
        <w:t>the rule </w:t>
      </w:r>
      <w:r>
        <w:rPr>
          <w:spacing w:val="-3"/>
          <w:w w:val="105"/>
          <w:sz w:val="21"/>
        </w:rPr>
        <w:t>that </w:t>
      </w:r>
      <w:r>
        <w:rPr>
          <w:w w:val="105"/>
          <w:sz w:val="21"/>
        </w:rPr>
        <w:t>applies </w:t>
      </w:r>
      <w:r>
        <w:rPr>
          <w:spacing w:val="-3"/>
          <w:w w:val="105"/>
          <w:sz w:val="21"/>
        </w:rPr>
        <w:t>to </w:t>
      </w:r>
      <w:r>
        <w:rPr>
          <w:w w:val="105"/>
          <w:sz w:val="21"/>
        </w:rPr>
        <w:t>legal practitioners</w:t>
      </w:r>
      <w:r>
        <w:rPr>
          <w:spacing w:val="-11"/>
          <w:w w:val="105"/>
          <w:sz w:val="21"/>
        </w:rPr>
        <w:t> </w:t>
      </w:r>
      <w:r>
        <w:rPr>
          <w:w w:val="105"/>
          <w:sz w:val="21"/>
        </w:rPr>
        <w:t>who</w:t>
      </w:r>
      <w:r>
        <w:rPr>
          <w:spacing w:val="-10"/>
          <w:w w:val="105"/>
          <w:sz w:val="21"/>
        </w:rPr>
        <w:t> </w:t>
      </w:r>
      <w:r>
        <w:rPr>
          <w:w w:val="105"/>
          <w:sz w:val="21"/>
        </w:rPr>
        <w:t>draft</w:t>
      </w:r>
      <w:r>
        <w:rPr>
          <w:spacing w:val="-10"/>
          <w:w w:val="105"/>
          <w:sz w:val="21"/>
        </w:rPr>
        <w:t> </w:t>
      </w:r>
      <w:r>
        <w:rPr>
          <w:spacing w:val="-3"/>
          <w:w w:val="105"/>
          <w:sz w:val="21"/>
        </w:rPr>
        <w:t>wills</w:t>
      </w:r>
      <w:r>
        <w:rPr>
          <w:spacing w:val="-10"/>
          <w:w w:val="105"/>
          <w:sz w:val="21"/>
        </w:rPr>
        <w:t> </w:t>
      </w:r>
      <w:r>
        <w:rPr>
          <w:spacing w:val="-3"/>
          <w:w w:val="105"/>
          <w:sz w:val="21"/>
        </w:rPr>
        <w:t>that</w:t>
      </w:r>
      <w:r>
        <w:rPr>
          <w:spacing w:val="-11"/>
          <w:w w:val="105"/>
          <w:sz w:val="21"/>
        </w:rPr>
        <w:t> </w:t>
      </w:r>
      <w:r>
        <w:rPr>
          <w:w w:val="105"/>
          <w:sz w:val="21"/>
        </w:rPr>
        <w:t>appoint</w:t>
      </w:r>
      <w:r>
        <w:rPr>
          <w:spacing w:val="-10"/>
          <w:w w:val="105"/>
          <w:sz w:val="21"/>
        </w:rPr>
        <w:t> </w:t>
      </w:r>
      <w:r>
        <w:rPr>
          <w:w w:val="105"/>
          <w:sz w:val="21"/>
        </w:rPr>
        <w:t>them</w:t>
      </w:r>
      <w:r>
        <w:rPr>
          <w:spacing w:val="-10"/>
          <w:w w:val="105"/>
          <w:sz w:val="21"/>
        </w:rPr>
        <w:t> </w:t>
      </w:r>
      <w:r>
        <w:rPr>
          <w:w w:val="105"/>
          <w:sz w:val="21"/>
        </w:rPr>
        <w:t>as</w:t>
      </w:r>
      <w:r>
        <w:rPr>
          <w:spacing w:val="-10"/>
          <w:w w:val="105"/>
          <w:sz w:val="21"/>
        </w:rPr>
        <w:t> </w:t>
      </w:r>
      <w:r>
        <w:rPr>
          <w:spacing w:val="-4"/>
          <w:w w:val="105"/>
          <w:sz w:val="21"/>
        </w:rPr>
        <w:t>executor,</w:t>
      </w:r>
      <w:r>
        <w:rPr>
          <w:spacing w:val="-11"/>
          <w:w w:val="105"/>
          <w:sz w:val="21"/>
        </w:rPr>
        <w:t> </w:t>
      </w:r>
      <w:r>
        <w:rPr>
          <w:w w:val="105"/>
          <w:sz w:val="21"/>
        </w:rPr>
        <w:t>discussed</w:t>
      </w:r>
      <w:r>
        <w:rPr>
          <w:spacing w:val="-10"/>
          <w:w w:val="105"/>
          <w:sz w:val="21"/>
        </w:rPr>
        <w:t> </w:t>
      </w:r>
      <w:r>
        <w:rPr>
          <w:spacing w:val="-3"/>
          <w:w w:val="105"/>
          <w:sz w:val="21"/>
        </w:rPr>
        <w:t>later</w:t>
      </w:r>
      <w:r>
        <w:rPr>
          <w:spacing w:val="-10"/>
          <w:w w:val="105"/>
          <w:sz w:val="21"/>
        </w:rPr>
        <w:t> </w:t>
      </w:r>
      <w:r>
        <w:rPr>
          <w:w w:val="105"/>
          <w:sz w:val="21"/>
        </w:rPr>
        <w:t>in</w:t>
      </w:r>
      <w:r>
        <w:rPr>
          <w:spacing w:val="-10"/>
          <w:w w:val="105"/>
          <w:sz w:val="21"/>
        </w:rPr>
        <w:t> </w:t>
      </w:r>
      <w:r>
        <w:rPr>
          <w:w w:val="105"/>
          <w:sz w:val="21"/>
        </w:rPr>
        <w:t>this</w:t>
      </w:r>
      <w:r>
        <w:rPr>
          <w:spacing w:val="-11"/>
          <w:w w:val="105"/>
          <w:sz w:val="21"/>
        </w:rPr>
        <w:t> </w:t>
      </w:r>
      <w:r>
        <w:rPr>
          <w:spacing w:val="-5"/>
          <w:w w:val="105"/>
          <w:sz w:val="21"/>
        </w:rPr>
        <w:t>chapter, </w:t>
      </w:r>
      <w:r>
        <w:rPr>
          <w:w w:val="105"/>
          <w:sz w:val="21"/>
        </w:rPr>
        <w:t>is almost</w:t>
      </w:r>
      <w:r>
        <w:rPr>
          <w:spacing w:val="10"/>
          <w:w w:val="105"/>
          <w:sz w:val="21"/>
        </w:rPr>
        <w:t> </w:t>
      </w:r>
      <w:r>
        <w:rPr>
          <w:spacing w:val="-3"/>
          <w:w w:val="105"/>
          <w:sz w:val="21"/>
        </w:rPr>
        <w:t>identical.</w:t>
      </w:r>
      <w:r>
        <w:rPr>
          <w:spacing w:val="-3"/>
          <w:w w:val="105"/>
          <w:position w:val="7"/>
          <w:sz w:val="12"/>
        </w:rPr>
        <w:t>25</w:t>
      </w:r>
    </w:p>
    <w:p>
      <w:pPr>
        <w:pStyle w:val="ListParagraph"/>
        <w:numPr>
          <w:ilvl w:val="1"/>
          <w:numId w:val="22"/>
        </w:numPr>
        <w:tabs>
          <w:tab w:pos="2381" w:val="left" w:leader="none"/>
          <w:tab w:pos="2382" w:val="left" w:leader="none"/>
        </w:tabs>
        <w:spacing w:line="242" w:lineRule="auto" w:before="124" w:after="0"/>
        <w:ind w:left="2381" w:right="1625" w:hanging="794"/>
        <w:jc w:val="left"/>
        <w:rPr>
          <w:sz w:val="21"/>
        </w:rPr>
      </w:pPr>
      <w:r>
        <w:rPr>
          <w:spacing w:val="-4"/>
          <w:w w:val="105"/>
          <w:sz w:val="21"/>
        </w:rPr>
        <w:t>At </w:t>
      </w:r>
      <w:r>
        <w:rPr>
          <w:w w:val="105"/>
          <w:sz w:val="21"/>
        </w:rPr>
        <w:t>the time of writing this report, the proposed new </w:t>
      </w:r>
      <w:r>
        <w:rPr>
          <w:spacing w:val="-3"/>
          <w:w w:val="105"/>
          <w:sz w:val="21"/>
        </w:rPr>
        <w:t>uniform legislation </w:t>
      </w:r>
      <w:r>
        <w:rPr>
          <w:spacing w:val="-2"/>
          <w:w w:val="105"/>
          <w:sz w:val="21"/>
        </w:rPr>
        <w:t>had not </w:t>
      </w:r>
      <w:r>
        <w:rPr>
          <w:w w:val="105"/>
          <w:sz w:val="21"/>
        </w:rPr>
        <w:t>been </w:t>
      </w:r>
      <w:r>
        <w:rPr>
          <w:spacing w:val="-3"/>
          <w:w w:val="105"/>
          <w:sz w:val="21"/>
        </w:rPr>
        <w:t>introduced </w:t>
      </w:r>
      <w:r>
        <w:rPr>
          <w:spacing w:val="-4"/>
          <w:w w:val="105"/>
          <w:sz w:val="21"/>
        </w:rPr>
        <w:t>into </w:t>
      </w:r>
      <w:r>
        <w:rPr>
          <w:spacing w:val="-3"/>
          <w:w w:val="105"/>
          <w:sz w:val="21"/>
        </w:rPr>
        <w:t>Parliament </w:t>
      </w:r>
      <w:r>
        <w:rPr>
          <w:w w:val="105"/>
          <w:sz w:val="21"/>
        </w:rPr>
        <w:t>but was </w:t>
      </w:r>
      <w:r>
        <w:rPr>
          <w:spacing w:val="-3"/>
          <w:w w:val="105"/>
          <w:sz w:val="21"/>
        </w:rPr>
        <w:t>well advanced. Recommendations to </w:t>
      </w:r>
      <w:r>
        <w:rPr>
          <w:w w:val="105"/>
          <w:sz w:val="21"/>
        </w:rPr>
        <w:t>amend the Legal </w:t>
      </w:r>
      <w:r>
        <w:rPr>
          <w:spacing w:val="-3"/>
          <w:w w:val="105"/>
          <w:sz w:val="21"/>
        </w:rPr>
        <w:t>Profession </w:t>
      </w:r>
      <w:r>
        <w:rPr>
          <w:w w:val="105"/>
          <w:sz w:val="21"/>
        </w:rPr>
        <w:t>Act would </w:t>
      </w:r>
      <w:r>
        <w:rPr>
          <w:spacing w:val="-2"/>
          <w:w w:val="105"/>
          <w:sz w:val="21"/>
        </w:rPr>
        <w:t>not </w:t>
      </w:r>
      <w:r>
        <w:rPr>
          <w:w w:val="105"/>
          <w:sz w:val="21"/>
        </w:rPr>
        <w:t>be </w:t>
      </w:r>
      <w:r>
        <w:rPr>
          <w:spacing w:val="-3"/>
          <w:w w:val="105"/>
          <w:sz w:val="21"/>
        </w:rPr>
        <w:t>relevant, </w:t>
      </w:r>
      <w:r>
        <w:rPr>
          <w:w w:val="105"/>
          <w:sz w:val="21"/>
        </w:rPr>
        <w:t>but the </w:t>
      </w:r>
      <w:r>
        <w:rPr>
          <w:spacing w:val="-3"/>
          <w:w w:val="105"/>
          <w:sz w:val="21"/>
        </w:rPr>
        <w:t>Commission </w:t>
      </w:r>
      <w:r>
        <w:rPr>
          <w:spacing w:val="-2"/>
          <w:w w:val="105"/>
          <w:sz w:val="21"/>
        </w:rPr>
        <w:t>has not </w:t>
      </w:r>
      <w:r>
        <w:rPr>
          <w:w w:val="105"/>
          <w:sz w:val="21"/>
        </w:rPr>
        <w:t>seen the </w:t>
      </w:r>
      <w:r>
        <w:rPr>
          <w:spacing w:val="-3"/>
          <w:w w:val="105"/>
          <w:sz w:val="21"/>
        </w:rPr>
        <w:t>legislation that will underpin </w:t>
      </w:r>
      <w:r>
        <w:rPr>
          <w:w w:val="105"/>
          <w:sz w:val="21"/>
        </w:rPr>
        <w:t>the new regulatory </w:t>
      </w:r>
      <w:r>
        <w:rPr>
          <w:spacing w:val="-3"/>
          <w:w w:val="105"/>
          <w:sz w:val="21"/>
        </w:rPr>
        <w:t>scheme. Therefore, </w:t>
      </w:r>
      <w:r>
        <w:rPr>
          <w:w w:val="105"/>
          <w:sz w:val="21"/>
        </w:rPr>
        <w:t>when the </w:t>
      </w:r>
      <w:r>
        <w:rPr>
          <w:spacing w:val="-3"/>
          <w:w w:val="105"/>
          <w:sz w:val="21"/>
        </w:rPr>
        <w:t>Commission </w:t>
      </w:r>
      <w:r>
        <w:rPr>
          <w:spacing w:val="-2"/>
          <w:w w:val="105"/>
          <w:sz w:val="21"/>
        </w:rPr>
        <w:t>has </w:t>
      </w:r>
      <w:r>
        <w:rPr>
          <w:w w:val="105"/>
          <w:sz w:val="21"/>
        </w:rPr>
        <w:t>identified </w:t>
      </w:r>
      <w:r>
        <w:rPr>
          <w:spacing w:val="-3"/>
          <w:w w:val="105"/>
          <w:sz w:val="21"/>
        </w:rPr>
        <w:t>shortcomings </w:t>
      </w:r>
      <w:r>
        <w:rPr>
          <w:w w:val="105"/>
          <w:sz w:val="21"/>
        </w:rPr>
        <w:t>in the </w:t>
      </w:r>
      <w:r>
        <w:rPr>
          <w:spacing w:val="-3"/>
          <w:w w:val="105"/>
          <w:sz w:val="21"/>
        </w:rPr>
        <w:t>current scheme, </w:t>
      </w:r>
      <w:r>
        <w:rPr>
          <w:w w:val="105"/>
          <w:sz w:val="21"/>
        </w:rPr>
        <w:t>it </w:t>
      </w:r>
      <w:r>
        <w:rPr>
          <w:spacing w:val="-2"/>
          <w:w w:val="105"/>
          <w:sz w:val="21"/>
        </w:rPr>
        <w:t>has </w:t>
      </w:r>
      <w:r>
        <w:rPr>
          <w:w w:val="105"/>
          <w:sz w:val="21"/>
        </w:rPr>
        <w:t>directed its</w:t>
      </w:r>
      <w:r>
        <w:rPr>
          <w:spacing w:val="-5"/>
          <w:w w:val="105"/>
          <w:sz w:val="21"/>
        </w:rPr>
        <w:t> </w:t>
      </w:r>
      <w:r>
        <w:rPr>
          <w:spacing w:val="-3"/>
          <w:w w:val="105"/>
          <w:sz w:val="21"/>
        </w:rPr>
        <w:t>recommendations</w:t>
      </w:r>
    </w:p>
    <w:p>
      <w:pPr>
        <w:pStyle w:val="BodyText"/>
        <w:spacing w:before="5"/>
        <w:ind w:left="2381"/>
      </w:pPr>
      <w:r>
        <w:rPr/>
        <w:t>to ensuring that the problems will not persist under the new scheme.</w:t>
      </w:r>
    </w:p>
    <w:p>
      <w:pPr>
        <w:pStyle w:val="BodyText"/>
        <w:spacing w:before="5"/>
        <w:rPr>
          <w:sz w:val="23"/>
        </w:rPr>
      </w:pPr>
    </w:p>
    <w:p>
      <w:pPr>
        <w:pStyle w:val="Heading5"/>
      </w:pPr>
      <w:r>
        <w:rPr>
          <w:w w:val="115"/>
        </w:rPr>
        <w:t>Other legislation</w:t>
      </w:r>
    </w:p>
    <w:p>
      <w:pPr>
        <w:pStyle w:val="ListParagraph"/>
        <w:numPr>
          <w:ilvl w:val="1"/>
          <w:numId w:val="22"/>
        </w:numPr>
        <w:tabs>
          <w:tab w:pos="2381" w:val="left" w:leader="none"/>
          <w:tab w:pos="2382" w:val="left" w:leader="none"/>
        </w:tabs>
        <w:spacing w:line="242" w:lineRule="auto" w:before="137" w:after="0"/>
        <w:ind w:left="2381" w:right="1634" w:hanging="794"/>
        <w:jc w:val="left"/>
        <w:rPr>
          <w:sz w:val="12"/>
        </w:rPr>
      </w:pPr>
      <w:r>
        <w:rPr>
          <w:sz w:val="21"/>
        </w:rPr>
        <w:t>Although the Legal </w:t>
      </w:r>
      <w:r>
        <w:rPr>
          <w:spacing w:val="-3"/>
          <w:sz w:val="21"/>
        </w:rPr>
        <w:t>Profession </w:t>
      </w:r>
      <w:r>
        <w:rPr>
          <w:sz w:val="21"/>
        </w:rPr>
        <w:t>Act imposes </w:t>
      </w:r>
      <w:r>
        <w:rPr>
          <w:spacing w:val="-3"/>
          <w:sz w:val="21"/>
        </w:rPr>
        <w:t>obligations  </w:t>
      </w:r>
      <w:r>
        <w:rPr>
          <w:sz w:val="21"/>
        </w:rPr>
        <w:t>on  legal  practitioners  when </w:t>
      </w:r>
      <w:r>
        <w:rPr>
          <w:spacing w:val="-3"/>
          <w:sz w:val="21"/>
        </w:rPr>
        <w:t>providing </w:t>
      </w:r>
      <w:r>
        <w:rPr>
          <w:sz w:val="21"/>
        </w:rPr>
        <w:t>legal services, and </w:t>
      </w:r>
      <w:r>
        <w:rPr>
          <w:spacing w:val="-3"/>
          <w:sz w:val="21"/>
        </w:rPr>
        <w:t>avenues for </w:t>
      </w:r>
      <w:r>
        <w:rPr>
          <w:sz w:val="21"/>
        </w:rPr>
        <w:t>resolving </w:t>
      </w:r>
      <w:r>
        <w:rPr>
          <w:spacing w:val="-3"/>
          <w:sz w:val="21"/>
        </w:rPr>
        <w:t>disputes </w:t>
      </w:r>
      <w:r>
        <w:rPr>
          <w:sz w:val="21"/>
        </w:rPr>
        <w:t>and </w:t>
      </w:r>
      <w:r>
        <w:rPr>
          <w:spacing w:val="-3"/>
          <w:sz w:val="21"/>
        </w:rPr>
        <w:t>complaints, </w:t>
      </w:r>
      <w:r>
        <w:rPr>
          <w:sz w:val="21"/>
        </w:rPr>
        <w:t>the </w:t>
      </w:r>
      <w:r>
        <w:rPr>
          <w:spacing w:val="-3"/>
          <w:sz w:val="21"/>
        </w:rPr>
        <w:t>Australian </w:t>
      </w:r>
      <w:r>
        <w:rPr>
          <w:spacing w:val="-4"/>
          <w:sz w:val="21"/>
        </w:rPr>
        <w:t>Consumer </w:t>
      </w:r>
      <w:r>
        <w:rPr>
          <w:sz w:val="21"/>
        </w:rPr>
        <w:t>Law also applies </w:t>
      </w:r>
      <w:r>
        <w:rPr>
          <w:spacing w:val="-3"/>
          <w:sz w:val="21"/>
        </w:rPr>
        <w:t>to </w:t>
      </w:r>
      <w:r>
        <w:rPr>
          <w:sz w:val="21"/>
        </w:rPr>
        <w:t>the legal  services  they  </w:t>
      </w:r>
      <w:r>
        <w:rPr>
          <w:spacing w:val="-3"/>
          <w:sz w:val="21"/>
        </w:rPr>
        <w:t>provide.</w:t>
      </w:r>
      <w:r>
        <w:rPr>
          <w:spacing w:val="-3"/>
          <w:position w:val="7"/>
          <w:sz w:val="12"/>
        </w:rPr>
        <w:t>26  </w:t>
      </w:r>
      <w:r>
        <w:rPr>
          <w:spacing w:val="-4"/>
          <w:sz w:val="21"/>
        </w:rPr>
        <w:t>However,  </w:t>
      </w:r>
      <w:r>
        <w:rPr>
          <w:sz w:val="21"/>
        </w:rPr>
        <w:t>it  is  </w:t>
      </w:r>
      <w:r>
        <w:rPr>
          <w:spacing w:val="-2"/>
          <w:sz w:val="21"/>
        </w:rPr>
        <w:t>not  </w:t>
      </w:r>
      <w:r>
        <w:rPr>
          <w:spacing w:val="-3"/>
          <w:sz w:val="21"/>
        </w:rPr>
        <w:t>clear that </w:t>
      </w:r>
      <w:r>
        <w:rPr>
          <w:sz w:val="21"/>
        </w:rPr>
        <w:t>a beneficiary would </w:t>
      </w:r>
      <w:r>
        <w:rPr>
          <w:spacing w:val="-3"/>
          <w:sz w:val="21"/>
        </w:rPr>
        <w:t>have </w:t>
      </w:r>
      <w:r>
        <w:rPr>
          <w:sz w:val="21"/>
        </w:rPr>
        <w:t>standing </w:t>
      </w:r>
      <w:r>
        <w:rPr>
          <w:spacing w:val="-3"/>
          <w:sz w:val="21"/>
        </w:rPr>
        <w:t>to </w:t>
      </w:r>
      <w:r>
        <w:rPr>
          <w:spacing w:val="-4"/>
          <w:sz w:val="21"/>
        </w:rPr>
        <w:t>make  </w:t>
      </w:r>
      <w:r>
        <w:rPr>
          <w:sz w:val="21"/>
        </w:rPr>
        <w:t>a </w:t>
      </w:r>
      <w:r>
        <w:rPr>
          <w:spacing w:val="-3"/>
          <w:sz w:val="21"/>
        </w:rPr>
        <w:t>complaint  </w:t>
      </w:r>
      <w:r>
        <w:rPr>
          <w:sz w:val="21"/>
        </w:rPr>
        <w:t>about legal costs </w:t>
      </w:r>
      <w:r>
        <w:rPr>
          <w:spacing w:val="-3"/>
          <w:sz w:val="21"/>
        </w:rPr>
        <w:t>charged</w:t>
      </w:r>
      <w:r>
        <w:rPr>
          <w:spacing w:val="41"/>
          <w:sz w:val="21"/>
        </w:rPr>
        <w:t> </w:t>
      </w:r>
      <w:r>
        <w:rPr>
          <w:spacing w:val="-3"/>
          <w:sz w:val="21"/>
        </w:rPr>
        <w:t>to  </w:t>
      </w:r>
      <w:r>
        <w:rPr>
          <w:sz w:val="21"/>
        </w:rPr>
        <w:t>the </w:t>
      </w:r>
      <w:r>
        <w:rPr>
          <w:spacing w:val="-3"/>
          <w:sz w:val="21"/>
        </w:rPr>
        <w:t>estate, </w:t>
      </w:r>
      <w:r>
        <w:rPr>
          <w:sz w:val="21"/>
        </w:rPr>
        <w:t>as the estate—not the beneficiaries—is </w:t>
      </w:r>
      <w:r>
        <w:rPr>
          <w:spacing w:val="-3"/>
          <w:sz w:val="21"/>
        </w:rPr>
        <w:t>liable  to  </w:t>
      </w:r>
      <w:r>
        <w:rPr>
          <w:spacing w:val="-5"/>
          <w:sz w:val="21"/>
        </w:rPr>
        <w:t>pay.  </w:t>
      </w:r>
      <w:r>
        <w:rPr>
          <w:sz w:val="21"/>
        </w:rPr>
        <w:t>In </w:t>
      </w:r>
      <w:r>
        <w:rPr>
          <w:spacing w:val="-3"/>
          <w:sz w:val="21"/>
        </w:rPr>
        <w:t>any  event,  </w:t>
      </w:r>
      <w:r>
        <w:rPr>
          <w:sz w:val="21"/>
        </w:rPr>
        <w:t>it is </w:t>
      </w:r>
      <w:r>
        <w:rPr>
          <w:spacing w:val="-4"/>
          <w:sz w:val="21"/>
        </w:rPr>
        <w:t>likely </w:t>
      </w:r>
      <w:r>
        <w:rPr>
          <w:spacing w:val="-3"/>
          <w:sz w:val="21"/>
        </w:rPr>
        <w:t>that any </w:t>
      </w:r>
      <w:r>
        <w:rPr>
          <w:sz w:val="21"/>
        </w:rPr>
        <w:t>conduct </w:t>
      </w:r>
      <w:r>
        <w:rPr>
          <w:spacing w:val="-3"/>
          <w:sz w:val="21"/>
        </w:rPr>
        <w:t>that contravenes </w:t>
      </w:r>
      <w:r>
        <w:rPr>
          <w:sz w:val="21"/>
        </w:rPr>
        <w:t>the customer service </w:t>
      </w:r>
      <w:r>
        <w:rPr>
          <w:spacing w:val="-3"/>
          <w:sz w:val="21"/>
        </w:rPr>
        <w:t>guarantees </w:t>
      </w:r>
      <w:r>
        <w:rPr>
          <w:sz w:val="21"/>
        </w:rPr>
        <w:t>under the </w:t>
      </w:r>
      <w:r>
        <w:rPr>
          <w:spacing w:val="-3"/>
          <w:sz w:val="21"/>
        </w:rPr>
        <w:t>Australian </w:t>
      </w:r>
      <w:r>
        <w:rPr>
          <w:spacing w:val="-4"/>
          <w:sz w:val="21"/>
        </w:rPr>
        <w:t>Consumer </w:t>
      </w:r>
      <w:r>
        <w:rPr>
          <w:sz w:val="21"/>
        </w:rPr>
        <w:t>Law </w:t>
      </w:r>
      <w:r>
        <w:rPr>
          <w:spacing w:val="-3"/>
          <w:sz w:val="21"/>
        </w:rPr>
        <w:t>will </w:t>
      </w:r>
      <w:r>
        <w:rPr>
          <w:sz w:val="21"/>
        </w:rPr>
        <w:t>be behaviour </w:t>
      </w:r>
      <w:r>
        <w:rPr>
          <w:spacing w:val="-3"/>
          <w:sz w:val="21"/>
        </w:rPr>
        <w:t>for </w:t>
      </w:r>
      <w:r>
        <w:rPr>
          <w:sz w:val="21"/>
        </w:rPr>
        <w:t>which the legal practitioner can be </w:t>
      </w:r>
      <w:r>
        <w:rPr>
          <w:spacing w:val="-3"/>
          <w:sz w:val="21"/>
        </w:rPr>
        <w:t>disciplined  </w:t>
      </w:r>
      <w:r>
        <w:rPr>
          <w:sz w:val="21"/>
        </w:rPr>
        <w:t>under  the Legal </w:t>
      </w:r>
      <w:r>
        <w:rPr>
          <w:spacing w:val="-3"/>
          <w:sz w:val="21"/>
        </w:rPr>
        <w:t>Profession </w:t>
      </w:r>
      <w:r>
        <w:rPr>
          <w:sz w:val="21"/>
        </w:rPr>
        <w:t>Act as</w:t>
      </w:r>
      <w:r>
        <w:rPr>
          <w:spacing w:val="1"/>
          <w:sz w:val="21"/>
        </w:rPr>
        <w:t> </w:t>
      </w:r>
      <w:r>
        <w:rPr>
          <w:spacing w:val="-3"/>
          <w:sz w:val="21"/>
        </w:rPr>
        <w:t>well.</w:t>
      </w:r>
      <w:r>
        <w:rPr>
          <w:spacing w:val="-3"/>
          <w:position w:val="7"/>
          <w:sz w:val="12"/>
        </w:rPr>
        <w:t>27</w:t>
      </w:r>
    </w:p>
    <w:p>
      <w:pPr>
        <w:pStyle w:val="ListParagraph"/>
        <w:numPr>
          <w:ilvl w:val="1"/>
          <w:numId w:val="22"/>
        </w:numPr>
        <w:tabs>
          <w:tab w:pos="2380" w:val="left" w:leader="none"/>
          <w:tab w:pos="2381" w:val="left" w:leader="none"/>
        </w:tabs>
        <w:spacing w:line="242" w:lineRule="auto" w:before="129" w:after="0"/>
        <w:ind w:left="2381" w:right="1586" w:hanging="794"/>
        <w:jc w:val="left"/>
        <w:rPr>
          <w:sz w:val="21"/>
        </w:rPr>
      </w:pPr>
      <w:r>
        <w:rPr>
          <w:spacing w:val="-5"/>
          <w:sz w:val="21"/>
        </w:rPr>
        <w:t>Legal </w:t>
      </w:r>
      <w:r>
        <w:rPr>
          <w:spacing w:val="-6"/>
          <w:sz w:val="21"/>
        </w:rPr>
        <w:t>practitioner executors </w:t>
      </w:r>
      <w:r>
        <w:rPr>
          <w:spacing w:val="-5"/>
          <w:sz w:val="21"/>
        </w:rPr>
        <w:t>must also </w:t>
      </w:r>
      <w:r>
        <w:rPr>
          <w:spacing w:val="-6"/>
          <w:sz w:val="21"/>
        </w:rPr>
        <w:t>comply </w:t>
      </w:r>
      <w:r>
        <w:rPr>
          <w:spacing w:val="-5"/>
          <w:sz w:val="21"/>
        </w:rPr>
        <w:t>with </w:t>
      </w:r>
      <w:r>
        <w:rPr>
          <w:spacing w:val="-4"/>
          <w:sz w:val="21"/>
        </w:rPr>
        <w:t>the </w:t>
      </w:r>
      <w:r>
        <w:rPr>
          <w:spacing w:val="-6"/>
          <w:sz w:val="21"/>
        </w:rPr>
        <w:t>requirements that </w:t>
      </w:r>
      <w:r>
        <w:rPr>
          <w:spacing w:val="-5"/>
          <w:sz w:val="21"/>
        </w:rPr>
        <w:t>apply to all </w:t>
      </w:r>
      <w:r>
        <w:rPr>
          <w:spacing w:val="-6"/>
          <w:sz w:val="21"/>
        </w:rPr>
        <w:t>other executors. </w:t>
      </w:r>
      <w:r>
        <w:rPr>
          <w:sz w:val="21"/>
        </w:rPr>
        <w:t>An </w:t>
      </w:r>
      <w:r>
        <w:rPr>
          <w:spacing w:val="-6"/>
          <w:sz w:val="21"/>
        </w:rPr>
        <w:t>executor </w:t>
      </w:r>
      <w:r>
        <w:rPr>
          <w:spacing w:val="-4"/>
          <w:sz w:val="21"/>
        </w:rPr>
        <w:t>who </w:t>
      </w:r>
      <w:r>
        <w:rPr>
          <w:spacing w:val="-6"/>
          <w:sz w:val="21"/>
        </w:rPr>
        <w:t>applies </w:t>
      </w:r>
      <w:r>
        <w:rPr>
          <w:spacing w:val="-5"/>
          <w:sz w:val="21"/>
        </w:rPr>
        <w:t>to </w:t>
      </w:r>
      <w:r>
        <w:rPr>
          <w:spacing w:val="-4"/>
          <w:sz w:val="21"/>
        </w:rPr>
        <w:t>the </w:t>
      </w:r>
      <w:r>
        <w:rPr>
          <w:spacing w:val="-6"/>
          <w:sz w:val="21"/>
        </w:rPr>
        <w:t>Supreme  Court  </w:t>
      </w:r>
      <w:r>
        <w:rPr>
          <w:spacing w:val="-5"/>
          <w:sz w:val="21"/>
        </w:rPr>
        <w:t>for </w:t>
      </w:r>
      <w:r>
        <w:rPr>
          <w:sz w:val="21"/>
        </w:rPr>
        <w:t>a </w:t>
      </w:r>
      <w:r>
        <w:rPr>
          <w:spacing w:val="-6"/>
          <w:sz w:val="21"/>
        </w:rPr>
        <w:t>grant  </w:t>
      </w:r>
      <w:r>
        <w:rPr>
          <w:spacing w:val="-4"/>
          <w:sz w:val="21"/>
        </w:rPr>
        <w:t>of </w:t>
      </w:r>
      <w:r>
        <w:rPr>
          <w:spacing w:val="-6"/>
          <w:sz w:val="21"/>
        </w:rPr>
        <w:t>probate  </w:t>
      </w:r>
      <w:r>
        <w:rPr>
          <w:spacing w:val="-5"/>
          <w:sz w:val="21"/>
        </w:rPr>
        <w:t>must </w:t>
      </w:r>
      <w:r>
        <w:rPr>
          <w:spacing w:val="-6"/>
          <w:sz w:val="21"/>
        </w:rPr>
        <w:t>provide  </w:t>
      </w:r>
      <w:r>
        <w:rPr>
          <w:spacing w:val="-4"/>
          <w:sz w:val="21"/>
        </w:rPr>
        <w:t>an </w:t>
      </w:r>
      <w:r>
        <w:rPr>
          <w:spacing w:val="-5"/>
          <w:sz w:val="21"/>
        </w:rPr>
        <w:t>affidavit </w:t>
      </w:r>
      <w:r>
        <w:rPr>
          <w:spacing w:val="-7"/>
          <w:sz w:val="21"/>
        </w:rPr>
        <w:t>containing </w:t>
      </w:r>
      <w:r>
        <w:rPr>
          <w:spacing w:val="-6"/>
          <w:sz w:val="21"/>
        </w:rPr>
        <w:t>detailed </w:t>
      </w:r>
      <w:r>
        <w:rPr>
          <w:spacing w:val="-7"/>
          <w:sz w:val="21"/>
        </w:rPr>
        <w:t>information </w:t>
      </w:r>
      <w:r>
        <w:rPr>
          <w:spacing w:val="-5"/>
          <w:sz w:val="21"/>
        </w:rPr>
        <w:t>about </w:t>
      </w:r>
      <w:r>
        <w:rPr>
          <w:spacing w:val="-4"/>
          <w:sz w:val="21"/>
        </w:rPr>
        <w:t>the </w:t>
      </w:r>
      <w:r>
        <w:rPr>
          <w:spacing w:val="-6"/>
          <w:sz w:val="21"/>
        </w:rPr>
        <w:t>will, </w:t>
      </w:r>
      <w:r>
        <w:rPr>
          <w:spacing w:val="-4"/>
          <w:sz w:val="21"/>
        </w:rPr>
        <w:t>the </w:t>
      </w:r>
      <w:r>
        <w:rPr>
          <w:spacing w:val="-8"/>
          <w:sz w:val="21"/>
        </w:rPr>
        <w:t>will-maker, </w:t>
      </w:r>
      <w:r>
        <w:rPr>
          <w:spacing w:val="-4"/>
          <w:sz w:val="21"/>
        </w:rPr>
        <w:t>the</w:t>
      </w:r>
      <w:r>
        <w:rPr>
          <w:spacing w:val="26"/>
          <w:sz w:val="21"/>
        </w:rPr>
        <w:t> </w:t>
      </w:r>
      <w:r>
        <w:rPr>
          <w:spacing w:val="-5"/>
          <w:sz w:val="21"/>
        </w:rPr>
        <w:t>witnesses</w:t>
      </w:r>
    </w:p>
    <w:p>
      <w:pPr>
        <w:pStyle w:val="BodyText"/>
        <w:spacing w:line="242" w:lineRule="auto" w:before="3"/>
        <w:ind w:left="2381" w:right="1661"/>
        <w:rPr>
          <w:sz w:val="12"/>
        </w:rPr>
      </w:pPr>
      <w:r>
        <w:rPr>
          <w:spacing w:val="-5"/>
          <w:w w:val="105"/>
        </w:rPr>
        <w:t>and </w:t>
      </w:r>
      <w:r>
        <w:rPr>
          <w:spacing w:val="-4"/>
          <w:w w:val="105"/>
        </w:rPr>
        <w:t>the </w:t>
      </w:r>
      <w:r>
        <w:rPr>
          <w:spacing w:val="-6"/>
          <w:w w:val="105"/>
        </w:rPr>
        <w:t>executors. </w:t>
      </w:r>
      <w:r>
        <w:rPr>
          <w:spacing w:val="-4"/>
          <w:w w:val="105"/>
        </w:rPr>
        <w:t>The </w:t>
      </w:r>
      <w:r>
        <w:rPr>
          <w:spacing w:val="-5"/>
          <w:w w:val="105"/>
        </w:rPr>
        <w:t>affidavit must also </w:t>
      </w:r>
      <w:r>
        <w:rPr>
          <w:spacing w:val="-6"/>
          <w:w w:val="105"/>
        </w:rPr>
        <w:t>include </w:t>
      </w:r>
      <w:r>
        <w:rPr>
          <w:spacing w:val="-4"/>
          <w:w w:val="105"/>
        </w:rPr>
        <w:t>an </w:t>
      </w:r>
      <w:r>
        <w:rPr>
          <w:spacing w:val="-6"/>
          <w:w w:val="105"/>
        </w:rPr>
        <w:t>undertaking that, </w:t>
      </w:r>
      <w:r>
        <w:rPr>
          <w:spacing w:val="-3"/>
          <w:w w:val="105"/>
        </w:rPr>
        <w:t>if </w:t>
      </w:r>
      <w:r>
        <w:rPr>
          <w:spacing w:val="-6"/>
          <w:w w:val="105"/>
        </w:rPr>
        <w:t>probate </w:t>
      </w:r>
      <w:r>
        <w:rPr>
          <w:spacing w:val="-4"/>
          <w:w w:val="105"/>
        </w:rPr>
        <w:t>is </w:t>
      </w:r>
      <w:r>
        <w:rPr>
          <w:spacing w:val="-6"/>
          <w:w w:val="105"/>
        </w:rPr>
        <w:t>obtained, </w:t>
      </w:r>
      <w:r>
        <w:rPr>
          <w:spacing w:val="-4"/>
          <w:w w:val="105"/>
        </w:rPr>
        <w:t>the </w:t>
      </w:r>
      <w:r>
        <w:rPr>
          <w:spacing w:val="-6"/>
          <w:w w:val="105"/>
        </w:rPr>
        <w:t>executor will ‘well </w:t>
      </w:r>
      <w:r>
        <w:rPr>
          <w:spacing w:val="-5"/>
          <w:w w:val="105"/>
        </w:rPr>
        <w:t>and truly collect and </w:t>
      </w:r>
      <w:r>
        <w:rPr>
          <w:spacing w:val="-6"/>
          <w:w w:val="105"/>
        </w:rPr>
        <w:t>administer’ </w:t>
      </w:r>
      <w:r>
        <w:rPr>
          <w:spacing w:val="-4"/>
          <w:w w:val="105"/>
        </w:rPr>
        <w:t>the </w:t>
      </w:r>
      <w:r>
        <w:rPr>
          <w:spacing w:val="-5"/>
          <w:w w:val="105"/>
        </w:rPr>
        <w:t>estate </w:t>
      </w:r>
      <w:r>
        <w:rPr>
          <w:spacing w:val="-8"/>
          <w:w w:val="105"/>
        </w:rPr>
        <w:t>‘according </w:t>
      </w:r>
      <w:r>
        <w:rPr>
          <w:spacing w:val="-5"/>
          <w:w w:val="105"/>
        </w:rPr>
        <w:t>to </w:t>
      </w:r>
      <w:r>
        <w:rPr>
          <w:spacing w:val="-8"/>
          <w:w w:val="105"/>
        </w:rPr>
        <w:t>law’.</w:t>
      </w:r>
      <w:r>
        <w:rPr>
          <w:spacing w:val="-8"/>
          <w:w w:val="105"/>
          <w:position w:val="7"/>
          <w:sz w:val="12"/>
        </w:rPr>
        <w:t>28</w:t>
      </w:r>
    </w:p>
    <w:p>
      <w:pPr>
        <w:pStyle w:val="BodyText"/>
        <w:spacing w:before="9"/>
        <w:rPr>
          <w:sz w:val="12"/>
        </w:rPr>
      </w:pPr>
      <w:r>
        <w:rPr/>
        <w:pict>
          <v:line style="position:absolute;mso-position-horizontal-relative:page;mso-position-vertical-relative:paragraph;z-index:8768;mso-wrap-distance-left:0;mso-wrap-distance-right:0" from="79.370102pt,10.264903pt" to="515.905102pt,10.264903pt" stroked="true" strokeweight="1pt" strokecolor="#f9ceca">
            <v:stroke dashstyle="solid"/>
            <w10:wrap type="topAndBottom"/>
          </v:line>
        </w:pict>
      </w:r>
    </w:p>
    <w:p>
      <w:pPr>
        <w:pStyle w:val="BodyText"/>
        <w:spacing w:before="8"/>
        <w:rPr>
          <w:sz w:val="5"/>
        </w:rPr>
      </w:pPr>
    </w:p>
    <w:p>
      <w:pPr>
        <w:spacing w:after="0"/>
        <w:rPr>
          <w:sz w:val="5"/>
        </w:rPr>
        <w:sectPr>
          <w:pgSz w:w="11910" w:h="16840"/>
          <w:pgMar w:header="550" w:footer="0" w:top="1560" w:bottom="280" w:left="0" w:right="0"/>
        </w:sectPr>
      </w:pPr>
    </w:p>
    <w:p>
      <w:pPr>
        <w:pStyle w:val="BodyText"/>
        <w:rPr>
          <w:sz w:val="28"/>
        </w:rPr>
      </w:pPr>
    </w:p>
    <w:p>
      <w:pPr>
        <w:pStyle w:val="BodyText"/>
        <w:rPr>
          <w:sz w:val="28"/>
        </w:rPr>
      </w:pPr>
    </w:p>
    <w:p>
      <w:pPr>
        <w:pStyle w:val="BodyText"/>
        <w:rPr>
          <w:sz w:val="28"/>
        </w:rPr>
      </w:pPr>
    </w:p>
    <w:p>
      <w:pPr>
        <w:pStyle w:val="BodyText"/>
        <w:rPr>
          <w:sz w:val="28"/>
        </w:rPr>
      </w:pPr>
    </w:p>
    <w:p>
      <w:pPr>
        <w:spacing w:before="191"/>
        <w:ind w:left="720" w:right="0" w:firstLine="0"/>
        <w:jc w:val="left"/>
        <w:rPr>
          <w:b/>
          <w:sz w:val="24"/>
        </w:rPr>
      </w:pPr>
      <w:r>
        <w:rPr>
          <w:b/>
          <w:color w:val="EC5A4F"/>
          <w:spacing w:val="-3"/>
          <w:w w:val="110"/>
          <w:sz w:val="24"/>
        </w:rPr>
        <w:t>142</w:t>
      </w:r>
    </w:p>
    <w:p>
      <w:pPr>
        <w:pStyle w:val="ListParagraph"/>
        <w:numPr>
          <w:ilvl w:val="0"/>
          <w:numId w:val="113"/>
        </w:numPr>
        <w:tabs>
          <w:tab w:pos="1226" w:val="left" w:leader="none"/>
          <w:tab w:pos="1227" w:val="left" w:leader="none"/>
        </w:tabs>
        <w:spacing w:line="240" w:lineRule="auto" w:before="48" w:after="0"/>
        <w:ind w:left="1226" w:right="2486" w:hanging="793"/>
        <w:jc w:val="left"/>
        <w:rPr>
          <w:sz w:val="13"/>
        </w:rPr>
      </w:pPr>
      <w:r>
        <w:rPr>
          <w:spacing w:val="-1"/>
          <w:w w:val="115"/>
          <w:sz w:val="13"/>
        </w:rPr>
        <w:br w:type="column"/>
      </w:r>
      <w:r>
        <w:rPr>
          <w:w w:val="105"/>
          <w:sz w:val="13"/>
        </w:rPr>
        <w:t>Attorney-General’s Department, </w:t>
      </w:r>
      <w:r>
        <w:rPr>
          <w:i/>
          <w:w w:val="105"/>
          <w:sz w:val="13"/>
        </w:rPr>
        <w:t>Legal Profession National Law </w:t>
      </w:r>
      <w:r>
        <w:rPr>
          <w:w w:val="105"/>
          <w:sz w:val="13"/>
        </w:rPr>
        <w:t>(31 May </w:t>
      </w:r>
      <w:r>
        <w:rPr>
          <w:spacing w:val="-4"/>
          <w:w w:val="105"/>
          <w:sz w:val="13"/>
        </w:rPr>
        <w:t>2011) </w:t>
      </w:r>
      <w:r>
        <w:rPr>
          <w:spacing w:val="2"/>
          <w:w w:val="105"/>
          <w:sz w:val="13"/>
        </w:rPr>
        <w:t>&lt;</w:t>
      </w:r>
      <w:hyperlink r:id="rId100">
        <w:r>
          <w:rPr>
            <w:spacing w:val="2"/>
            <w:w w:val="105"/>
            <w:sz w:val="13"/>
          </w:rPr>
          <w:t>http://www.ag.gov.au/Consultations/Pages/</w:t>
        </w:r>
      </w:hyperlink>
      <w:r>
        <w:rPr>
          <w:spacing w:val="2"/>
          <w:w w:val="105"/>
          <w:sz w:val="13"/>
        </w:rPr>
        <w:t> </w:t>
      </w:r>
      <w:r>
        <w:rPr>
          <w:w w:val="105"/>
          <w:sz w:val="13"/>
        </w:rPr>
        <w:t>NationalLegalProfessionalReform.aspx&gt;.</w:t>
      </w:r>
    </w:p>
    <w:p>
      <w:pPr>
        <w:pStyle w:val="ListParagraph"/>
        <w:numPr>
          <w:ilvl w:val="0"/>
          <w:numId w:val="113"/>
        </w:numPr>
        <w:tabs>
          <w:tab w:pos="1226" w:val="left" w:leader="none"/>
          <w:tab w:pos="1227" w:val="left" w:leader="none"/>
        </w:tabs>
        <w:spacing w:line="240" w:lineRule="auto" w:before="3" w:after="0"/>
        <w:ind w:left="1226" w:right="0" w:hanging="793"/>
        <w:jc w:val="left"/>
        <w:rPr>
          <w:sz w:val="13"/>
        </w:rPr>
      </w:pPr>
      <w:r>
        <w:rPr>
          <w:w w:val="105"/>
          <w:sz w:val="13"/>
        </w:rPr>
        <w:t>Alex</w:t>
      </w:r>
      <w:r>
        <w:rPr>
          <w:spacing w:val="4"/>
          <w:w w:val="105"/>
          <w:sz w:val="13"/>
        </w:rPr>
        <w:t> </w:t>
      </w:r>
      <w:r>
        <w:rPr>
          <w:w w:val="105"/>
          <w:sz w:val="13"/>
        </w:rPr>
        <w:t>Boxsell,</w:t>
      </w:r>
      <w:r>
        <w:rPr>
          <w:spacing w:val="5"/>
          <w:w w:val="105"/>
          <w:sz w:val="13"/>
        </w:rPr>
        <w:t> </w:t>
      </w:r>
      <w:r>
        <w:rPr>
          <w:w w:val="105"/>
          <w:sz w:val="13"/>
        </w:rPr>
        <w:t>‘Regulatory</w:t>
      </w:r>
      <w:r>
        <w:rPr>
          <w:spacing w:val="5"/>
          <w:w w:val="105"/>
          <w:sz w:val="13"/>
        </w:rPr>
        <w:t> </w:t>
      </w:r>
      <w:r>
        <w:rPr>
          <w:w w:val="105"/>
          <w:sz w:val="13"/>
        </w:rPr>
        <w:t>Reform</w:t>
      </w:r>
      <w:r>
        <w:rPr>
          <w:spacing w:val="5"/>
          <w:w w:val="105"/>
          <w:sz w:val="13"/>
        </w:rPr>
        <w:t> </w:t>
      </w:r>
      <w:r>
        <w:rPr>
          <w:w w:val="105"/>
          <w:sz w:val="13"/>
        </w:rPr>
        <w:t>Hits</w:t>
      </w:r>
      <w:r>
        <w:rPr>
          <w:spacing w:val="4"/>
          <w:w w:val="105"/>
          <w:sz w:val="13"/>
        </w:rPr>
        <w:t> </w:t>
      </w:r>
      <w:r>
        <w:rPr>
          <w:w w:val="105"/>
          <w:sz w:val="13"/>
        </w:rPr>
        <w:t>Funding</w:t>
      </w:r>
      <w:r>
        <w:rPr>
          <w:spacing w:val="5"/>
          <w:w w:val="105"/>
          <w:sz w:val="13"/>
        </w:rPr>
        <w:t> </w:t>
      </w:r>
      <w:r>
        <w:rPr>
          <w:w w:val="105"/>
          <w:sz w:val="13"/>
        </w:rPr>
        <w:t>Wall’,</w:t>
      </w:r>
      <w:r>
        <w:rPr>
          <w:spacing w:val="5"/>
          <w:w w:val="105"/>
          <w:sz w:val="13"/>
        </w:rPr>
        <w:t> </w:t>
      </w:r>
      <w:r>
        <w:rPr>
          <w:i/>
          <w:w w:val="105"/>
          <w:sz w:val="13"/>
        </w:rPr>
        <w:t>Australian</w:t>
      </w:r>
      <w:r>
        <w:rPr>
          <w:i/>
          <w:spacing w:val="3"/>
          <w:w w:val="105"/>
          <w:sz w:val="13"/>
        </w:rPr>
        <w:t> </w:t>
      </w:r>
      <w:r>
        <w:rPr>
          <w:i/>
          <w:w w:val="105"/>
          <w:sz w:val="13"/>
        </w:rPr>
        <w:t>Financial</w:t>
      </w:r>
      <w:r>
        <w:rPr>
          <w:i/>
          <w:spacing w:val="4"/>
          <w:w w:val="105"/>
          <w:sz w:val="13"/>
        </w:rPr>
        <w:t> </w:t>
      </w:r>
      <w:r>
        <w:rPr>
          <w:i/>
          <w:w w:val="105"/>
          <w:sz w:val="13"/>
        </w:rPr>
        <w:t>Review</w:t>
      </w:r>
      <w:r>
        <w:rPr>
          <w:i/>
          <w:spacing w:val="5"/>
          <w:w w:val="105"/>
          <w:sz w:val="13"/>
        </w:rPr>
        <w:t> </w:t>
      </w:r>
      <w:r>
        <w:rPr>
          <w:w w:val="105"/>
          <w:sz w:val="13"/>
        </w:rPr>
        <w:t>(Sydney),</w:t>
      </w:r>
      <w:r>
        <w:rPr>
          <w:spacing w:val="5"/>
          <w:w w:val="105"/>
          <w:sz w:val="13"/>
        </w:rPr>
        <w:t> </w:t>
      </w:r>
      <w:r>
        <w:rPr>
          <w:w w:val="105"/>
          <w:sz w:val="13"/>
        </w:rPr>
        <w:t>3</w:t>
      </w:r>
      <w:r>
        <w:rPr>
          <w:spacing w:val="4"/>
          <w:w w:val="105"/>
          <w:sz w:val="13"/>
        </w:rPr>
        <w:t> </w:t>
      </w:r>
      <w:r>
        <w:rPr>
          <w:w w:val="105"/>
          <w:sz w:val="13"/>
        </w:rPr>
        <w:t>May</w:t>
      </w:r>
      <w:r>
        <w:rPr>
          <w:spacing w:val="5"/>
          <w:w w:val="105"/>
          <w:sz w:val="13"/>
        </w:rPr>
        <w:t> </w:t>
      </w:r>
      <w:r>
        <w:rPr>
          <w:spacing w:val="-3"/>
          <w:w w:val="105"/>
          <w:sz w:val="13"/>
        </w:rPr>
        <w:t>2013,</w:t>
      </w:r>
      <w:r>
        <w:rPr>
          <w:spacing w:val="5"/>
          <w:w w:val="105"/>
          <w:sz w:val="13"/>
        </w:rPr>
        <w:t> </w:t>
      </w:r>
      <w:r>
        <w:rPr>
          <w:w w:val="105"/>
          <w:sz w:val="13"/>
        </w:rPr>
        <w:t>38.</w:t>
      </w:r>
    </w:p>
    <w:p>
      <w:pPr>
        <w:pStyle w:val="ListParagraph"/>
        <w:numPr>
          <w:ilvl w:val="0"/>
          <w:numId w:val="113"/>
        </w:numPr>
        <w:tabs>
          <w:tab w:pos="1226" w:val="left" w:leader="none"/>
          <w:tab w:pos="1227" w:val="left" w:leader="none"/>
        </w:tabs>
        <w:spacing w:line="240" w:lineRule="auto" w:before="1" w:after="0"/>
        <w:ind w:left="1226" w:right="0" w:hanging="794"/>
        <w:jc w:val="left"/>
        <w:rPr>
          <w:sz w:val="13"/>
        </w:rPr>
      </w:pPr>
      <w:r>
        <w:rPr>
          <w:w w:val="105"/>
          <w:sz w:val="13"/>
        </w:rPr>
        <w:t>Information</w:t>
      </w:r>
      <w:r>
        <w:rPr>
          <w:spacing w:val="4"/>
          <w:w w:val="105"/>
          <w:sz w:val="13"/>
        </w:rPr>
        <w:t> </w:t>
      </w:r>
      <w:r>
        <w:rPr>
          <w:w w:val="105"/>
          <w:sz w:val="13"/>
        </w:rPr>
        <w:t>provided</w:t>
      </w:r>
      <w:r>
        <w:rPr>
          <w:spacing w:val="5"/>
          <w:w w:val="105"/>
          <w:sz w:val="13"/>
        </w:rPr>
        <w:t> </w:t>
      </w:r>
      <w:r>
        <w:rPr>
          <w:w w:val="105"/>
          <w:sz w:val="13"/>
        </w:rPr>
        <w:t>by</w:t>
      </w:r>
      <w:r>
        <w:rPr>
          <w:spacing w:val="5"/>
          <w:w w:val="105"/>
          <w:sz w:val="13"/>
        </w:rPr>
        <w:t> </w:t>
      </w:r>
      <w:r>
        <w:rPr>
          <w:w w:val="105"/>
          <w:sz w:val="13"/>
        </w:rPr>
        <w:t>the</w:t>
      </w:r>
      <w:r>
        <w:rPr>
          <w:spacing w:val="4"/>
          <w:w w:val="105"/>
          <w:sz w:val="13"/>
        </w:rPr>
        <w:t> </w:t>
      </w:r>
      <w:r>
        <w:rPr>
          <w:w w:val="105"/>
          <w:sz w:val="13"/>
        </w:rPr>
        <w:t>Department</w:t>
      </w:r>
      <w:r>
        <w:rPr>
          <w:spacing w:val="5"/>
          <w:w w:val="105"/>
          <w:sz w:val="13"/>
        </w:rPr>
        <w:t> </w:t>
      </w:r>
      <w:r>
        <w:rPr>
          <w:w w:val="105"/>
          <w:sz w:val="13"/>
        </w:rPr>
        <w:t>of</w:t>
      </w:r>
      <w:r>
        <w:rPr>
          <w:spacing w:val="5"/>
          <w:w w:val="105"/>
          <w:sz w:val="13"/>
        </w:rPr>
        <w:t> </w:t>
      </w:r>
      <w:r>
        <w:rPr>
          <w:w w:val="105"/>
          <w:sz w:val="13"/>
        </w:rPr>
        <w:t>Justice,</w:t>
      </w:r>
      <w:r>
        <w:rPr>
          <w:spacing w:val="4"/>
          <w:w w:val="105"/>
          <w:sz w:val="13"/>
        </w:rPr>
        <w:t> </w:t>
      </w:r>
      <w:r>
        <w:rPr>
          <w:w w:val="105"/>
          <w:sz w:val="13"/>
        </w:rPr>
        <w:t>30</w:t>
      </w:r>
      <w:r>
        <w:rPr>
          <w:spacing w:val="5"/>
          <w:w w:val="105"/>
          <w:sz w:val="13"/>
        </w:rPr>
        <w:t> </w:t>
      </w:r>
      <w:r>
        <w:rPr>
          <w:w w:val="105"/>
          <w:sz w:val="13"/>
        </w:rPr>
        <w:t>May</w:t>
      </w:r>
      <w:r>
        <w:rPr>
          <w:spacing w:val="5"/>
          <w:w w:val="105"/>
          <w:sz w:val="13"/>
        </w:rPr>
        <w:t> </w:t>
      </w:r>
      <w:r>
        <w:rPr>
          <w:spacing w:val="-3"/>
          <w:w w:val="105"/>
          <w:sz w:val="13"/>
        </w:rPr>
        <w:t>2013.</w:t>
      </w:r>
    </w:p>
    <w:p>
      <w:pPr>
        <w:pStyle w:val="ListParagraph"/>
        <w:numPr>
          <w:ilvl w:val="0"/>
          <w:numId w:val="113"/>
        </w:numPr>
        <w:tabs>
          <w:tab w:pos="1226" w:val="left" w:leader="none"/>
          <w:tab w:pos="1227" w:val="left" w:leader="none"/>
        </w:tabs>
        <w:spacing w:line="240" w:lineRule="auto" w:before="1" w:after="0"/>
        <w:ind w:left="1226" w:right="0" w:hanging="794"/>
        <w:jc w:val="left"/>
        <w:rPr>
          <w:sz w:val="13"/>
        </w:rPr>
      </w:pPr>
      <w:r>
        <w:rPr>
          <w:w w:val="105"/>
          <w:sz w:val="13"/>
        </w:rPr>
        <w:t>Law Council of Australia, </w:t>
      </w:r>
      <w:r>
        <w:rPr>
          <w:i/>
          <w:w w:val="105"/>
          <w:sz w:val="13"/>
        </w:rPr>
        <w:t>Australian Solicitors’ Conduct Rules </w:t>
      </w:r>
      <w:r>
        <w:rPr>
          <w:w w:val="105"/>
          <w:sz w:val="13"/>
        </w:rPr>
        <w:t>(June</w:t>
      </w:r>
      <w:r>
        <w:rPr>
          <w:spacing w:val="9"/>
          <w:w w:val="105"/>
          <w:sz w:val="13"/>
        </w:rPr>
        <w:t> </w:t>
      </w:r>
      <w:r>
        <w:rPr>
          <w:spacing w:val="-2"/>
          <w:w w:val="105"/>
          <w:sz w:val="13"/>
        </w:rPr>
        <w:t>2011).</w:t>
      </w:r>
    </w:p>
    <w:p>
      <w:pPr>
        <w:pStyle w:val="ListParagraph"/>
        <w:numPr>
          <w:ilvl w:val="0"/>
          <w:numId w:val="113"/>
        </w:numPr>
        <w:tabs>
          <w:tab w:pos="1226" w:val="left" w:leader="none"/>
          <w:tab w:pos="1227" w:val="left" w:leader="none"/>
        </w:tabs>
        <w:spacing w:line="240" w:lineRule="auto" w:before="2" w:after="0"/>
        <w:ind w:left="1226" w:right="0" w:hanging="794"/>
        <w:jc w:val="left"/>
        <w:rPr>
          <w:sz w:val="13"/>
        </w:rPr>
      </w:pPr>
      <w:r>
        <w:rPr>
          <w:w w:val="105"/>
          <w:sz w:val="13"/>
        </w:rPr>
        <w:t>Law</w:t>
      </w:r>
      <w:r>
        <w:rPr>
          <w:spacing w:val="5"/>
          <w:w w:val="105"/>
          <w:sz w:val="13"/>
        </w:rPr>
        <w:t> </w:t>
      </w:r>
      <w:r>
        <w:rPr>
          <w:w w:val="105"/>
          <w:sz w:val="13"/>
        </w:rPr>
        <w:t>Institute</w:t>
      </w:r>
      <w:r>
        <w:rPr>
          <w:spacing w:val="5"/>
          <w:w w:val="105"/>
          <w:sz w:val="13"/>
        </w:rPr>
        <w:t> </w:t>
      </w:r>
      <w:r>
        <w:rPr>
          <w:w w:val="105"/>
          <w:sz w:val="13"/>
        </w:rPr>
        <w:t>of</w:t>
      </w:r>
      <w:r>
        <w:rPr>
          <w:spacing w:val="6"/>
          <w:w w:val="105"/>
          <w:sz w:val="13"/>
        </w:rPr>
        <w:t> </w:t>
      </w:r>
      <w:r>
        <w:rPr>
          <w:w w:val="105"/>
          <w:sz w:val="13"/>
        </w:rPr>
        <w:t>Victoria,</w:t>
      </w:r>
      <w:r>
        <w:rPr>
          <w:spacing w:val="5"/>
          <w:w w:val="105"/>
          <w:sz w:val="13"/>
        </w:rPr>
        <w:t> </w:t>
      </w:r>
      <w:r>
        <w:rPr>
          <w:i/>
          <w:w w:val="105"/>
          <w:sz w:val="13"/>
        </w:rPr>
        <w:t>Professional</w:t>
      </w:r>
      <w:r>
        <w:rPr>
          <w:i/>
          <w:spacing w:val="4"/>
          <w:w w:val="105"/>
          <w:sz w:val="13"/>
        </w:rPr>
        <w:t> </w:t>
      </w:r>
      <w:r>
        <w:rPr>
          <w:i/>
          <w:w w:val="105"/>
          <w:sz w:val="13"/>
        </w:rPr>
        <w:t>Conduct</w:t>
      </w:r>
      <w:r>
        <w:rPr>
          <w:i/>
          <w:spacing w:val="5"/>
          <w:w w:val="105"/>
          <w:sz w:val="13"/>
        </w:rPr>
        <w:t> </w:t>
      </w:r>
      <w:r>
        <w:rPr>
          <w:i/>
          <w:w w:val="105"/>
          <w:sz w:val="13"/>
        </w:rPr>
        <w:t>and</w:t>
      </w:r>
      <w:r>
        <w:rPr>
          <w:i/>
          <w:spacing w:val="4"/>
          <w:w w:val="105"/>
          <w:sz w:val="13"/>
        </w:rPr>
        <w:t> </w:t>
      </w:r>
      <w:r>
        <w:rPr>
          <w:i/>
          <w:w w:val="105"/>
          <w:sz w:val="13"/>
        </w:rPr>
        <w:t>Practice</w:t>
      </w:r>
      <w:r>
        <w:rPr>
          <w:i/>
          <w:spacing w:val="4"/>
          <w:w w:val="105"/>
          <w:sz w:val="13"/>
        </w:rPr>
        <w:t> </w:t>
      </w:r>
      <w:r>
        <w:rPr>
          <w:i/>
          <w:w w:val="105"/>
          <w:sz w:val="13"/>
        </w:rPr>
        <w:t>Rules</w:t>
      </w:r>
      <w:r>
        <w:rPr>
          <w:i/>
          <w:spacing w:val="5"/>
          <w:w w:val="105"/>
          <w:sz w:val="13"/>
        </w:rPr>
        <w:t> </w:t>
      </w:r>
      <w:r>
        <w:rPr>
          <w:i/>
          <w:w w:val="105"/>
          <w:sz w:val="13"/>
        </w:rPr>
        <w:t>2005</w:t>
      </w:r>
      <w:r>
        <w:rPr>
          <w:i/>
          <w:spacing w:val="5"/>
          <w:w w:val="105"/>
          <w:sz w:val="13"/>
        </w:rPr>
        <w:t> </w:t>
      </w:r>
      <w:r>
        <w:rPr>
          <w:w w:val="105"/>
          <w:sz w:val="13"/>
        </w:rPr>
        <w:t>(30</w:t>
      </w:r>
      <w:r>
        <w:rPr>
          <w:spacing w:val="5"/>
          <w:w w:val="105"/>
          <w:sz w:val="13"/>
        </w:rPr>
        <w:t> </w:t>
      </w:r>
      <w:r>
        <w:rPr>
          <w:w w:val="105"/>
          <w:sz w:val="13"/>
        </w:rPr>
        <w:t>September</w:t>
      </w:r>
      <w:r>
        <w:rPr>
          <w:spacing w:val="6"/>
          <w:w w:val="105"/>
          <w:sz w:val="13"/>
        </w:rPr>
        <w:t> </w:t>
      </w:r>
      <w:r>
        <w:rPr>
          <w:w w:val="105"/>
          <w:sz w:val="13"/>
        </w:rPr>
        <w:t>2005)</w:t>
      </w:r>
      <w:r>
        <w:rPr>
          <w:spacing w:val="5"/>
          <w:w w:val="105"/>
          <w:sz w:val="13"/>
        </w:rPr>
        <w:t> </w:t>
      </w:r>
      <w:r>
        <w:rPr>
          <w:w w:val="105"/>
          <w:sz w:val="13"/>
        </w:rPr>
        <w:t>r</w:t>
      </w:r>
      <w:r>
        <w:rPr>
          <w:spacing w:val="6"/>
          <w:w w:val="105"/>
          <w:sz w:val="13"/>
        </w:rPr>
        <w:t> </w:t>
      </w:r>
      <w:r>
        <w:rPr>
          <w:spacing w:val="-3"/>
          <w:w w:val="105"/>
          <w:sz w:val="13"/>
        </w:rPr>
        <w:t>10.1;</w:t>
      </w:r>
      <w:r>
        <w:rPr>
          <w:spacing w:val="5"/>
          <w:w w:val="105"/>
          <w:sz w:val="13"/>
        </w:rPr>
        <w:t> </w:t>
      </w:r>
      <w:r>
        <w:rPr>
          <w:w w:val="105"/>
          <w:sz w:val="13"/>
        </w:rPr>
        <w:t>Law</w:t>
      </w:r>
      <w:r>
        <w:rPr>
          <w:spacing w:val="5"/>
          <w:w w:val="105"/>
          <w:sz w:val="13"/>
        </w:rPr>
        <w:t> </w:t>
      </w:r>
      <w:r>
        <w:rPr>
          <w:w w:val="105"/>
          <w:sz w:val="13"/>
        </w:rPr>
        <w:t>Council</w:t>
      </w:r>
      <w:r>
        <w:rPr>
          <w:spacing w:val="6"/>
          <w:w w:val="105"/>
          <w:sz w:val="13"/>
        </w:rPr>
        <w:t> </w:t>
      </w:r>
      <w:r>
        <w:rPr>
          <w:w w:val="105"/>
          <w:sz w:val="13"/>
        </w:rPr>
        <w:t>of</w:t>
      </w:r>
      <w:r>
        <w:rPr>
          <w:spacing w:val="5"/>
          <w:w w:val="105"/>
          <w:sz w:val="13"/>
        </w:rPr>
        <w:t> </w:t>
      </w:r>
      <w:r>
        <w:rPr>
          <w:w w:val="105"/>
          <w:sz w:val="13"/>
        </w:rPr>
        <w:t>Australia,</w:t>
      </w:r>
    </w:p>
    <w:p>
      <w:pPr>
        <w:spacing w:before="1"/>
        <w:ind w:left="1226" w:right="0" w:firstLine="0"/>
        <w:jc w:val="left"/>
        <w:rPr>
          <w:sz w:val="13"/>
        </w:rPr>
      </w:pPr>
      <w:r>
        <w:rPr>
          <w:i/>
          <w:w w:val="105"/>
          <w:sz w:val="13"/>
        </w:rPr>
        <w:t>Australian Solicitors’ Conduct Rules </w:t>
      </w:r>
      <w:r>
        <w:rPr>
          <w:w w:val="105"/>
          <w:sz w:val="13"/>
        </w:rPr>
        <w:t>(June 2011) r 12.4.1.</w:t>
      </w:r>
    </w:p>
    <w:p>
      <w:pPr>
        <w:pStyle w:val="ListParagraph"/>
        <w:numPr>
          <w:ilvl w:val="0"/>
          <w:numId w:val="113"/>
        </w:numPr>
        <w:tabs>
          <w:tab w:pos="1226" w:val="left" w:leader="none"/>
          <w:tab w:pos="1227" w:val="left" w:leader="none"/>
        </w:tabs>
        <w:spacing w:line="240" w:lineRule="auto" w:before="1" w:after="0"/>
        <w:ind w:left="1226" w:right="0" w:hanging="794"/>
        <w:jc w:val="left"/>
        <w:rPr>
          <w:sz w:val="13"/>
        </w:rPr>
      </w:pPr>
      <w:r>
        <w:rPr>
          <w:i/>
          <w:w w:val="105"/>
          <w:sz w:val="13"/>
        </w:rPr>
        <w:t>Australian Consumer Law and Fair Trading Act </w:t>
      </w:r>
      <w:r>
        <w:rPr>
          <w:i/>
          <w:spacing w:val="-4"/>
          <w:w w:val="105"/>
          <w:sz w:val="13"/>
        </w:rPr>
        <w:t>2012</w:t>
      </w:r>
      <w:r>
        <w:rPr>
          <w:i/>
          <w:spacing w:val="1"/>
          <w:w w:val="105"/>
          <w:sz w:val="13"/>
        </w:rPr>
        <w:t> </w:t>
      </w:r>
      <w:r>
        <w:rPr>
          <w:spacing w:val="2"/>
          <w:w w:val="105"/>
          <w:sz w:val="13"/>
        </w:rPr>
        <w:t>(Vic).</w:t>
      </w:r>
    </w:p>
    <w:p>
      <w:pPr>
        <w:pStyle w:val="ListParagraph"/>
        <w:numPr>
          <w:ilvl w:val="0"/>
          <w:numId w:val="113"/>
        </w:numPr>
        <w:tabs>
          <w:tab w:pos="1226" w:val="left" w:leader="none"/>
          <w:tab w:pos="1227" w:val="left" w:leader="none"/>
        </w:tabs>
        <w:spacing w:line="240" w:lineRule="auto" w:before="2" w:after="0"/>
        <w:ind w:left="1226" w:right="2418" w:hanging="794"/>
        <w:jc w:val="left"/>
        <w:rPr>
          <w:sz w:val="13"/>
        </w:rPr>
      </w:pPr>
      <w:r>
        <w:rPr>
          <w:w w:val="105"/>
          <w:sz w:val="13"/>
        </w:rPr>
        <w:t>Civil Justice Research Group, </w:t>
      </w:r>
      <w:r>
        <w:rPr>
          <w:spacing w:val="2"/>
          <w:w w:val="105"/>
          <w:sz w:val="13"/>
        </w:rPr>
        <w:t>‘The </w:t>
      </w:r>
      <w:r>
        <w:rPr>
          <w:w w:val="105"/>
          <w:sz w:val="13"/>
        </w:rPr>
        <w:t>Impact of Australian Consumer Law on </w:t>
      </w:r>
      <w:r>
        <w:rPr>
          <w:spacing w:val="2"/>
          <w:w w:val="105"/>
          <w:sz w:val="13"/>
        </w:rPr>
        <w:t>Lawyers’ </w:t>
      </w:r>
      <w:r>
        <w:rPr>
          <w:w w:val="105"/>
          <w:sz w:val="13"/>
        </w:rPr>
        <w:t>(Transcript of proceedings of a roundtable held</w:t>
      </w:r>
      <w:r>
        <w:rPr>
          <w:spacing w:val="4"/>
          <w:w w:val="105"/>
          <w:sz w:val="13"/>
        </w:rPr>
        <w:t> </w:t>
      </w:r>
      <w:r>
        <w:rPr>
          <w:w w:val="105"/>
          <w:sz w:val="13"/>
        </w:rPr>
        <w:t>at</w:t>
      </w:r>
      <w:r>
        <w:rPr>
          <w:spacing w:val="5"/>
          <w:w w:val="105"/>
          <w:sz w:val="13"/>
        </w:rPr>
        <w:t> </w:t>
      </w:r>
      <w:r>
        <w:rPr>
          <w:w w:val="105"/>
          <w:sz w:val="13"/>
        </w:rPr>
        <w:t>Melbourne</w:t>
      </w:r>
      <w:r>
        <w:rPr>
          <w:spacing w:val="5"/>
          <w:w w:val="105"/>
          <w:sz w:val="13"/>
        </w:rPr>
        <w:t> </w:t>
      </w:r>
      <w:r>
        <w:rPr>
          <w:w w:val="105"/>
          <w:sz w:val="13"/>
        </w:rPr>
        <w:t>Law</w:t>
      </w:r>
      <w:r>
        <w:rPr>
          <w:spacing w:val="5"/>
          <w:w w:val="105"/>
          <w:sz w:val="13"/>
        </w:rPr>
        <w:t> </w:t>
      </w:r>
      <w:r>
        <w:rPr>
          <w:w w:val="105"/>
          <w:sz w:val="13"/>
        </w:rPr>
        <w:t>School,</w:t>
      </w:r>
      <w:r>
        <w:rPr>
          <w:spacing w:val="4"/>
          <w:w w:val="105"/>
          <w:sz w:val="13"/>
        </w:rPr>
        <w:t> </w:t>
      </w:r>
      <w:r>
        <w:rPr>
          <w:w w:val="105"/>
          <w:sz w:val="13"/>
        </w:rPr>
        <w:t>Melbourne,</w:t>
      </w:r>
      <w:r>
        <w:rPr>
          <w:spacing w:val="5"/>
          <w:w w:val="105"/>
          <w:sz w:val="13"/>
        </w:rPr>
        <w:t> </w:t>
      </w:r>
      <w:r>
        <w:rPr>
          <w:w w:val="105"/>
          <w:sz w:val="13"/>
        </w:rPr>
        <w:t>28</w:t>
      </w:r>
      <w:r>
        <w:rPr>
          <w:spacing w:val="5"/>
          <w:w w:val="105"/>
          <w:sz w:val="13"/>
        </w:rPr>
        <w:t> </w:t>
      </w:r>
      <w:r>
        <w:rPr>
          <w:w w:val="105"/>
          <w:sz w:val="13"/>
        </w:rPr>
        <w:t>May</w:t>
      </w:r>
      <w:r>
        <w:rPr>
          <w:spacing w:val="5"/>
          <w:w w:val="105"/>
          <w:sz w:val="13"/>
        </w:rPr>
        <w:t> </w:t>
      </w:r>
      <w:r>
        <w:rPr>
          <w:w w:val="105"/>
          <w:sz w:val="13"/>
        </w:rPr>
        <w:t>2012)</w:t>
      </w:r>
      <w:r>
        <w:rPr>
          <w:spacing w:val="5"/>
          <w:w w:val="105"/>
          <w:sz w:val="13"/>
        </w:rPr>
        <w:t> </w:t>
      </w:r>
      <w:r>
        <w:rPr>
          <w:w w:val="105"/>
          <w:sz w:val="13"/>
        </w:rPr>
        <w:t>5.</w:t>
      </w:r>
    </w:p>
    <w:p>
      <w:pPr>
        <w:pStyle w:val="ListParagraph"/>
        <w:numPr>
          <w:ilvl w:val="0"/>
          <w:numId w:val="113"/>
        </w:numPr>
        <w:tabs>
          <w:tab w:pos="1226" w:val="left" w:leader="none"/>
          <w:tab w:pos="1227" w:val="left" w:leader="none"/>
        </w:tabs>
        <w:spacing w:line="240" w:lineRule="auto" w:before="2" w:after="0"/>
        <w:ind w:left="1226" w:right="0" w:hanging="793"/>
        <w:jc w:val="left"/>
        <w:rPr>
          <w:sz w:val="13"/>
        </w:rPr>
      </w:pPr>
      <w:r>
        <w:rPr>
          <w:i/>
          <w:sz w:val="13"/>
        </w:rPr>
        <w:t>Supreme</w:t>
      </w:r>
      <w:r>
        <w:rPr>
          <w:i/>
          <w:spacing w:val="6"/>
          <w:sz w:val="13"/>
        </w:rPr>
        <w:t> </w:t>
      </w:r>
      <w:r>
        <w:rPr>
          <w:i/>
          <w:sz w:val="13"/>
        </w:rPr>
        <w:t>Court</w:t>
      </w:r>
      <w:r>
        <w:rPr>
          <w:i/>
          <w:spacing w:val="6"/>
          <w:sz w:val="13"/>
        </w:rPr>
        <w:t> </w:t>
      </w:r>
      <w:r>
        <w:rPr>
          <w:i/>
          <w:sz w:val="13"/>
        </w:rPr>
        <w:t>(Administration</w:t>
      </w:r>
      <w:r>
        <w:rPr>
          <w:i/>
          <w:spacing w:val="6"/>
          <w:sz w:val="13"/>
        </w:rPr>
        <w:t> </w:t>
      </w:r>
      <w:r>
        <w:rPr>
          <w:i/>
          <w:sz w:val="13"/>
        </w:rPr>
        <w:t>and</w:t>
      </w:r>
      <w:r>
        <w:rPr>
          <w:i/>
          <w:spacing w:val="6"/>
          <w:sz w:val="13"/>
        </w:rPr>
        <w:t> </w:t>
      </w:r>
      <w:r>
        <w:rPr>
          <w:i/>
          <w:sz w:val="13"/>
        </w:rPr>
        <w:t>Probate)</w:t>
      </w:r>
      <w:r>
        <w:rPr>
          <w:i/>
          <w:spacing w:val="7"/>
          <w:sz w:val="13"/>
        </w:rPr>
        <w:t> </w:t>
      </w:r>
      <w:r>
        <w:rPr>
          <w:i/>
          <w:sz w:val="13"/>
        </w:rPr>
        <w:t>Rules</w:t>
      </w:r>
      <w:r>
        <w:rPr>
          <w:i/>
          <w:spacing w:val="6"/>
          <w:sz w:val="13"/>
        </w:rPr>
        <w:t> </w:t>
      </w:r>
      <w:r>
        <w:rPr>
          <w:i/>
          <w:sz w:val="13"/>
        </w:rPr>
        <w:t>2004</w:t>
      </w:r>
      <w:r>
        <w:rPr>
          <w:i/>
          <w:spacing w:val="7"/>
          <w:sz w:val="13"/>
        </w:rPr>
        <w:t> </w:t>
      </w:r>
      <w:r>
        <w:rPr>
          <w:spacing w:val="2"/>
          <w:sz w:val="13"/>
        </w:rPr>
        <w:t>(Vic)</w:t>
      </w:r>
      <w:r>
        <w:rPr>
          <w:spacing w:val="7"/>
          <w:sz w:val="13"/>
        </w:rPr>
        <w:t> </w:t>
      </w:r>
      <w:r>
        <w:rPr>
          <w:sz w:val="13"/>
        </w:rPr>
        <w:t>r</w:t>
      </w:r>
      <w:r>
        <w:rPr>
          <w:spacing w:val="8"/>
          <w:sz w:val="13"/>
        </w:rPr>
        <w:t> </w:t>
      </w:r>
      <w:r>
        <w:rPr>
          <w:spacing w:val="3"/>
          <w:sz w:val="13"/>
        </w:rPr>
        <w:t>2A.04(2)(c)(i).</w:t>
      </w:r>
    </w:p>
    <w:p>
      <w:pPr>
        <w:spacing w:after="0" w:line="240" w:lineRule="auto"/>
        <w:jc w:val="left"/>
        <w:rPr>
          <w:sz w:val="13"/>
        </w:rPr>
        <w:sectPr>
          <w:type w:val="continuous"/>
          <w:pgSz w:w="11910" w:h="16840"/>
          <w:pgMar w:top="920" w:bottom="280" w:left="0" w:right="0"/>
          <w:cols w:num="2" w:equalWidth="0">
            <w:col w:w="1115" w:space="40"/>
            <w:col w:w="10755"/>
          </w:cols>
        </w:sectPr>
      </w:pPr>
    </w:p>
    <w:p>
      <w:pPr>
        <w:pStyle w:val="BodyText"/>
        <w:rPr>
          <w:sz w:val="20"/>
        </w:rPr>
      </w:pPr>
    </w:p>
    <w:p>
      <w:pPr>
        <w:pStyle w:val="BodyText"/>
        <w:rPr>
          <w:sz w:val="19"/>
        </w:rPr>
      </w:pPr>
    </w:p>
    <w:p>
      <w:pPr>
        <w:pStyle w:val="ListParagraph"/>
        <w:numPr>
          <w:ilvl w:val="1"/>
          <w:numId w:val="22"/>
        </w:numPr>
        <w:tabs>
          <w:tab w:pos="2380" w:val="left" w:leader="none"/>
          <w:tab w:pos="2381" w:val="left" w:leader="none"/>
        </w:tabs>
        <w:spacing w:line="242" w:lineRule="auto" w:before="91" w:after="0"/>
        <w:ind w:left="2381" w:right="1650" w:hanging="794"/>
        <w:jc w:val="left"/>
        <w:rPr>
          <w:sz w:val="12"/>
        </w:rPr>
      </w:pPr>
      <w:bookmarkStart w:name="Special rules for legal practitioner exe" w:id="135"/>
      <w:bookmarkEnd w:id="135"/>
      <w:r>
        <w:rPr/>
      </w:r>
      <w:bookmarkStart w:name="Special rules for legal practitioner exe" w:id="136"/>
      <w:bookmarkEnd w:id="136"/>
      <w:r>
        <w:rPr>
          <w:w w:val="105"/>
          <w:sz w:val="21"/>
        </w:rPr>
        <w:t>E</w:t>
      </w:r>
      <w:r>
        <w:rPr>
          <w:w w:val="105"/>
          <w:sz w:val="21"/>
        </w:rPr>
        <w:t>xecutors</w:t>
      </w:r>
      <w:r>
        <w:rPr>
          <w:spacing w:val="-11"/>
          <w:w w:val="105"/>
          <w:sz w:val="21"/>
        </w:rPr>
        <w:t> </w:t>
      </w:r>
      <w:r>
        <w:rPr>
          <w:spacing w:val="-3"/>
          <w:w w:val="105"/>
          <w:sz w:val="21"/>
        </w:rPr>
        <w:t>are</w:t>
      </w:r>
      <w:r>
        <w:rPr>
          <w:spacing w:val="-10"/>
          <w:w w:val="105"/>
          <w:sz w:val="21"/>
        </w:rPr>
        <w:t> </w:t>
      </w:r>
      <w:r>
        <w:rPr>
          <w:w w:val="105"/>
          <w:sz w:val="21"/>
        </w:rPr>
        <w:t>assigned</w:t>
      </w:r>
      <w:r>
        <w:rPr>
          <w:spacing w:val="-10"/>
          <w:w w:val="105"/>
          <w:sz w:val="21"/>
        </w:rPr>
        <w:t> </w:t>
      </w:r>
      <w:r>
        <w:rPr>
          <w:w w:val="105"/>
          <w:sz w:val="21"/>
        </w:rPr>
        <w:t>some</w:t>
      </w:r>
      <w:r>
        <w:rPr>
          <w:spacing w:val="-10"/>
          <w:w w:val="105"/>
          <w:sz w:val="21"/>
        </w:rPr>
        <w:t> </w:t>
      </w:r>
      <w:r>
        <w:rPr>
          <w:w w:val="105"/>
          <w:sz w:val="21"/>
        </w:rPr>
        <w:t>specific</w:t>
      </w:r>
      <w:r>
        <w:rPr>
          <w:spacing w:val="-10"/>
          <w:w w:val="105"/>
          <w:sz w:val="21"/>
        </w:rPr>
        <w:t> </w:t>
      </w:r>
      <w:r>
        <w:rPr>
          <w:spacing w:val="-3"/>
          <w:w w:val="105"/>
          <w:sz w:val="21"/>
        </w:rPr>
        <w:t>responsibilities</w:t>
      </w:r>
      <w:r>
        <w:rPr>
          <w:spacing w:val="-10"/>
          <w:w w:val="105"/>
          <w:sz w:val="21"/>
        </w:rPr>
        <w:t> </w:t>
      </w:r>
      <w:r>
        <w:rPr>
          <w:w w:val="105"/>
          <w:sz w:val="21"/>
        </w:rPr>
        <w:t>by</w:t>
      </w:r>
      <w:r>
        <w:rPr>
          <w:spacing w:val="-10"/>
          <w:w w:val="105"/>
          <w:sz w:val="21"/>
        </w:rPr>
        <w:t> </w:t>
      </w:r>
      <w:r>
        <w:rPr>
          <w:spacing w:val="-3"/>
          <w:w w:val="105"/>
          <w:sz w:val="21"/>
        </w:rPr>
        <w:t>legislation</w:t>
      </w:r>
      <w:r>
        <w:rPr>
          <w:spacing w:val="-10"/>
          <w:w w:val="105"/>
          <w:sz w:val="21"/>
        </w:rPr>
        <w:t> </w:t>
      </w:r>
      <w:r>
        <w:rPr>
          <w:w w:val="105"/>
          <w:sz w:val="21"/>
        </w:rPr>
        <w:t>and</w:t>
      </w:r>
      <w:r>
        <w:rPr>
          <w:spacing w:val="-11"/>
          <w:w w:val="105"/>
          <w:sz w:val="21"/>
        </w:rPr>
        <w:t> </w:t>
      </w:r>
      <w:r>
        <w:rPr>
          <w:spacing w:val="-3"/>
          <w:w w:val="105"/>
          <w:sz w:val="21"/>
        </w:rPr>
        <w:t>various</w:t>
      </w:r>
      <w:r>
        <w:rPr>
          <w:spacing w:val="-10"/>
          <w:w w:val="105"/>
          <w:sz w:val="21"/>
        </w:rPr>
        <w:t> </w:t>
      </w:r>
      <w:r>
        <w:rPr>
          <w:w w:val="105"/>
          <w:sz w:val="21"/>
        </w:rPr>
        <w:t>duties</w:t>
      </w:r>
      <w:r>
        <w:rPr>
          <w:spacing w:val="-10"/>
          <w:w w:val="105"/>
          <w:sz w:val="21"/>
        </w:rPr>
        <w:t> </w:t>
      </w:r>
      <w:r>
        <w:rPr>
          <w:spacing w:val="-3"/>
          <w:w w:val="105"/>
          <w:sz w:val="21"/>
        </w:rPr>
        <w:t>that </w:t>
      </w:r>
      <w:r>
        <w:rPr>
          <w:w w:val="105"/>
          <w:sz w:val="21"/>
        </w:rPr>
        <w:t>arise </w:t>
      </w:r>
      <w:r>
        <w:rPr>
          <w:spacing w:val="-3"/>
          <w:w w:val="105"/>
          <w:sz w:val="21"/>
        </w:rPr>
        <w:t>from </w:t>
      </w:r>
      <w:r>
        <w:rPr>
          <w:spacing w:val="-2"/>
          <w:w w:val="105"/>
          <w:sz w:val="21"/>
        </w:rPr>
        <w:t>common </w:t>
      </w:r>
      <w:r>
        <w:rPr>
          <w:w w:val="105"/>
          <w:sz w:val="21"/>
        </w:rPr>
        <w:t>law and equity and the powers of the </w:t>
      </w:r>
      <w:r>
        <w:rPr>
          <w:spacing w:val="-3"/>
          <w:w w:val="105"/>
          <w:sz w:val="21"/>
        </w:rPr>
        <w:t>Court. </w:t>
      </w:r>
      <w:r>
        <w:rPr>
          <w:w w:val="105"/>
          <w:position w:val="7"/>
          <w:sz w:val="12"/>
        </w:rPr>
        <w:t>29 </w:t>
      </w:r>
      <w:r>
        <w:rPr>
          <w:w w:val="105"/>
          <w:sz w:val="21"/>
        </w:rPr>
        <w:t>The </w:t>
      </w:r>
      <w:r>
        <w:rPr>
          <w:spacing w:val="-3"/>
          <w:w w:val="105"/>
          <w:sz w:val="21"/>
        </w:rPr>
        <w:t>Supreme Court may remove </w:t>
      </w:r>
      <w:r>
        <w:rPr>
          <w:w w:val="105"/>
          <w:sz w:val="21"/>
        </w:rPr>
        <w:t>an </w:t>
      </w:r>
      <w:r>
        <w:rPr>
          <w:spacing w:val="-3"/>
          <w:w w:val="105"/>
          <w:sz w:val="21"/>
        </w:rPr>
        <w:t>executor </w:t>
      </w:r>
      <w:r>
        <w:rPr>
          <w:w w:val="105"/>
          <w:sz w:val="21"/>
        </w:rPr>
        <w:t>who is unfit </w:t>
      </w:r>
      <w:r>
        <w:rPr>
          <w:spacing w:val="-3"/>
          <w:w w:val="105"/>
          <w:sz w:val="21"/>
        </w:rPr>
        <w:t>to </w:t>
      </w:r>
      <w:r>
        <w:rPr>
          <w:w w:val="105"/>
          <w:sz w:val="21"/>
        </w:rPr>
        <w:t>act in </w:t>
      </w:r>
      <w:r>
        <w:rPr>
          <w:spacing w:val="-3"/>
          <w:w w:val="105"/>
          <w:sz w:val="21"/>
        </w:rPr>
        <w:t>that </w:t>
      </w:r>
      <w:r>
        <w:rPr>
          <w:w w:val="105"/>
          <w:sz w:val="21"/>
        </w:rPr>
        <w:t>office.</w:t>
      </w:r>
      <w:r>
        <w:rPr>
          <w:w w:val="105"/>
          <w:position w:val="7"/>
          <w:sz w:val="12"/>
        </w:rPr>
        <w:t>30 </w:t>
      </w:r>
      <w:r>
        <w:rPr>
          <w:w w:val="105"/>
          <w:sz w:val="21"/>
        </w:rPr>
        <w:t>It </w:t>
      </w:r>
      <w:r>
        <w:rPr>
          <w:spacing w:val="-3"/>
          <w:w w:val="105"/>
          <w:sz w:val="21"/>
        </w:rPr>
        <w:t>will </w:t>
      </w:r>
      <w:r>
        <w:rPr>
          <w:w w:val="105"/>
          <w:sz w:val="21"/>
        </w:rPr>
        <w:t>order the </w:t>
      </w:r>
      <w:r>
        <w:rPr>
          <w:spacing w:val="-3"/>
          <w:w w:val="105"/>
          <w:sz w:val="21"/>
        </w:rPr>
        <w:t>removal </w:t>
      </w:r>
      <w:r>
        <w:rPr>
          <w:w w:val="105"/>
          <w:sz w:val="21"/>
        </w:rPr>
        <w:t>of an </w:t>
      </w:r>
      <w:r>
        <w:rPr>
          <w:spacing w:val="-3"/>
          <w:w w:val="105"/>
          <w:sz w:val="21"/>
        </w:rPr>
        <w:t>executor </w:t>
      </w:r>
      <w:r>
        <w:rPr>
          <w:w w:val="105"/>
          <w:sz w:val="21"/>
        </w:rPr>
        <w:t>if satisfied </w:t>
      </w:r>
      <w:r>
        <w:rPr>
          <w:spacing w:val="-3"/>
          <w:w w:val="105"/>
          <w:sz w:val="21"/>
        </w:rPr>
        <w:t>that </w:t>
      </w:r>
      <w:r>
        <w:rPr>
          <w:w w:val="105"/>
          <w:sz w:val="21"/>
        </w:rPr>
        <w:t>is necessary </w:t>
      </w:r>
      <w:r>
        <w:rPr>
          <w:spacing w:val="-3"/>
          <w:w w:val="105"/>
          <w:sz w:val="21"/>
        </w:rPr>
        <w:t>for </w:t>
      </w:r>
      <w:r>
        <w:rPr>
          <w:w w:val="105"/>
          <w:sz w:val="21"/>
        </w:rPr>
        <w:t>the due and proper </w:t>
      </w:r>
      <w:r>
        <w:rPr>
          <w:spacing w:val="-3"/>
          <w:w w:val="105"/>
          <w:sz w:val="21"/>
        </w:rPr>
        <w:t>administration </w:t>
      </w:r>
      <w:r>
        <w:rPr>
          <w:w w:val="105"/>
          <w:sz w:val="21"/>
        </w:rPr>
        <w:t>of the estate and the </w:t>
      </w:r>
      <w:r>
        <w:rPr>
          <w:spacing w:val="-3"/>
          <w:w w:val="105"/>
          <w:sz w:val="21"/>
        </w:rPr>
        <w:t>advancement </w:t>
      </w:r>
      <w:r>
        <w:rPr>
          <w:w w:val="105"/>
          <w:sz w:val="21"/>
        </w:rPr>
        <w:t>of the interests of the</w:t>
      </w:r>
      <w:r>
        <w:rPr>
          <w:spacing w:val="25"/>
          <w:w w:val="105"/>
          <w:sz w:val="21"/>
        </w:rPr>
        <w:t> </w:t>
      </w:r>
      <w:r>
        <w:rPr>
          <w:w w:val="105"/>
          <w:sz w:val="21"/>
        </w:rPr>
        <w:t>beneficiaries.</w:t>
      </w:r>
      <w:r>
        <w:rPr>
          <w:w w:val="105"/>
          <w:position w:val="7"/>
          <w:sz w:val="12"/>
        </w:rPr>
        <w:t>31</w:t>
      </w:r>
    </w:p>
    <w:p>
      <w:pPr>
        <w:pStyle w:val="BodyText"/>
        <w:rPr>
          <w:sz w:val="22"/>
        </w:rPr>
      </w:pPr>
    </w:p>
    <w:p>
      <w:pPr>
        <w:pStyle w:val="Heading4"/>
      </w:pPr>
      <w:r>
        <w:rPr>
          <w:color w:val="EC5A4F"/>
          <w:w w:val="115"/>
        </w:rPr>
        <w:t>Special rules for legal practitioner executors</w:t>
      </w:r>
    </w:p>
    <w:p>
      <w:pPr>
        <w:pStyle w:val="Heading5"/>
        <w:spacing w:before="167"/>
      </w:pPr>
      <w:r>
        <w:rPr>
          <w:w w:val="115"/>
        </w:rPr>
        <w:t>Obtaining informed consent</w:t>
      </w:r>
    </w:p>
    <w:p>
      <w:pPr>
        <w:pStyle w:val="Heading6"/>
        <w:spacing w:before="201"/>
      </w:pPr>
      <w:r>
        <w:rPr>
          <w:w w:val="115"/>
        </w:rPr>
        <w:t>The problem</w:t>
      </w:r>
    </w:p>
    <w:p>
      <w:pPr>
        <w:pStyle w:val="ListParagraph"/>
        <w:numPr>
          <w:ilvl w:val="1"/>
          <w:numId w:val="22"/>
        </w:numPr>
        <w:tabs>
          <w:tab w:pos="2381" w:val="left" w:leader="none"/>
          <w:tab w:pos="2382" w:val="left" w:leader="none"/>
        </w:tabs>
        <w:spacing w:line="242" w:lineRule="auto" w:before="151" w:after="0"/>
        <w:ind w:left="2381" w:right="1584" w:hanging="794"/>
        <w:jc w:val="left"/>
        <w:rPr>
          <w:sz w:val="21"/>
        </w:rPr>
      </w:pPr>
      <w:r>
        <w:rPr>
          <w:w w:val="105"/>
          <w:sz w:val="21"/>
        </w:rPr>
        <w:t>In legal </w:t>
      </w:r>
      <w:r>
        <w:rPr>
          <w:spacing w:val="-3"/>
          <w:w w:val="105"/>
          <w:sz w:val="21"/>
        </w:rPr>
        <w:t>terms, </w:t>
      </w:r>
      <w:r>
        <w:rPr>
          <w:w w:val="105"/>
          <w:sz w:val="21"/>
        </w:rPr>
        <w:t>the </w:t>
      </w:r>
      <w:r>
        <w:rPr>
          <w:spacing w:val="-3"/>
          <w:w w:val="105"/>
          <w:sz w:val="21"/>
        </w:rPr>
        <w:t>relationship </w:t>
      </w:r>
      <w:r>
        <w:rPr>
          <w:w w:val="105"/>
          <w:sz w:val="21"/>
        </w:rPr>
        <w:t>between an </w:t>
      </w:r>
      <w:r>
        <w:rPr>
          <w:spacing w:val="-3"/>
          <w:w w:val="105"/>
          <w:sz w:val="21"/>
        </w:rPr>
        <w:t>executor </w:t>
      </w:r>
      <w:r>
        <w:rPr>
          <w:w w:val="105"/>
          <w:sz w:val="21"/>
        </w:rPr>
        <w:t>and a beneficiary under the </w:t>
      </w:r>
      <w:r>
        <w:rPr>
          <w:spacing w:val="-3"/>
          <w:w w:val="105"/>
          <w:sz w:val="21"/>
        </w:rPr>
        <w:t>will </w:t>
      </w:r>
      <w:r>
        <w:rPr>
          <w:w w:val="105"/>
          <w:sz w:val="21"/>
        </w:rPr>
        <w:t>is of a fiduciary </w:t>
      </w:r>
      <w:r>
        <w:rPr>
          <w:spacing w:val="-4"/>
          <w:w w:val="105"/>
          <w:sz w:val="21"/>
        </w:rPr>
        <w:t>nature. </w:t>
      </w:r>
      <w:r>
        <w:rPr>
          <w:w w:val="105"/>
          <w:sz w:val="21"/>
        </w:rPr>
        <w:t>The </w:t>
      </w:r>
      <w:r>
        <w:rPr>
          <w:spacing w:val="-3"/>
          <w:w w:val="105"/>
          <w:sz w:val="21"/>
        </w:rPr>
        <w:t>executor—the </w:t>
      </w:r>
      <w:r>
        <w:rPr>
          <w:w w:val="105"/>
          <w:sz w:val="21"/>
        </w:rPr>
        <w:t>fiduciary—has been </w:t>
      </w:r>
      <w:r>
        <w:rPr>
          <w:spacing w:val="-2"/>
          <w:w w:val="105"/>
          <w:sz w:val="21"/>
        </w:rPr>
        <w:t>entrusted </w:t>
      </w:r>
      <w:r>
        <w:rPr>
          <w:w w:val="105"/>
          <w:sz w:val="21"/>
        </w:rPr>
        <w:t>by the </w:t>
      </w:r>
      <w:r>
        <w:rPr>
          <w:spacing w:val="-3"/>
          <w:w w:val="105"/>
          <w:sz w:val="21"/>
        </w:rPr>
        <w:t>will-maker to exercise</w:t>
      </w:r>
      <w:r>
        <w:rPr>
          <w:spacing w:val="-12"/>
          <w:w w:val="105"/>
          <w:sz w:val="21"/>
        </w:rPr>
        <w:t> </w:t>
      </w:r>
      <w:r>
        <w:rPr>
          <w:w w:val="105"/>
          <w:sz w:val="21"/>
        </w:rPr>
        <w:t>powers</w:t>
      </w:r>
      <w:r>
        <w:rPr>
          <w:spacing w:val="-12"/>
          <w:w w:val="105"/>
          <w:sz w:val="21"/>
        </w:rPr>
        <w:t> </w:t>
      </w:r>
      <w:r>
        <w:rPr>
          <w:w w:val="105"/>
          <w:sz w:val="21"/>
        </w:rPr>
        <w:t>and</w:t>
      </w:r>
      <w:r>
        <w:rPr>
          <w:spacing w:val="-12"/>
          <w:w w:val="105"/>
          <w:sz w:val="21"/>
        </w:rPr>
        <w:t> </w:t>
      </w:r>
      <w:r>
        <w:rPr>
          <w:spacing w:val="-3"/>
          <w:w w:val="105"/>
          <w:sz w:val="21"/>
        </w:rPr>
        <w:t>discretions</w:t>
      </w:r>
      <w:r>
        <w:rPr>
          <w:spacing w:val="-12"/>
          <w:w w:val="105"/>
          <w:sz w:val="21"/>
        </w:rPr>
        <w:t> </w:t>
      </w:r>
      <w:r>
        <w:rPr>
          <w:spacing w:val="-3"/>
          <w:w w:val="105"/>
          <w:sz w:val="21"/>
        </w:rPr>
        <w:t>that</w:t>
      </w:r>
      <w:r>
        <w:rPr>
          <w:spacing w:val="-12"/>
          <w:w w:val="105"/>
          <w:sz w:val="21"/>
        </w:rPr>
        <w:t> </w:t>
      </w:r>
      <w:r>
        <w:rPr>
          <w:w w:val="105"/>
          <w:sz w:val="21"/>
        </w:rPr>
        <w:t>affect</w:t>
      </w:r>
      <w:r>
        <w:rPr>
          <w:spacing w:val="-12"/>
          <w:w w:val="105"/>
          <w:sz w:val="21"/>
        </w:rPr>
        <w:t> </w:t>
      </w:r>
      <w:r>
        <w:rPr>
          <w:w w:val="105"/>
          <w:sz w:val="21"/>
        </w:rPr>
        <w:t>the</w:t>
      </w:r>
      <w:r>
        <w:rPr>
          <w:spacing w:val="-12"/>
          <w:w w:val="105"/>
          <w:sz w:val="21"/>
        </w:rPr>
        <w:t> </w:t>
      </w:r>
      <w:r>
        <w:rPr>
          <w:w w:val="105"/>
          <w:sz w:val="21"/>
        </w:rPr>
        <w:t>interests</w:t>
      </w:r>
      <w:r>
        <w:rPr>
          <w:spacing w:val="-12"/>
          <w:w w:val="105"/>
          <w:sz w:val="21"/>
        </w:rPr>
        <w:t> </w:t>
      </w:r>
      <w:r>
        <w:rPr>
          <w:w w:val="105"/>
          <w:sz w:val="21"/>
        </w:rPr>
        <w:t>of</w:t>
      </w:r>
      <w:r>
        <w:rPr>
          <w:spacing w:val="-12"/>
          <w:w w:val="105"/>
          <w:sz w:val="21"/>
        </w:rPr>
        <w:t> </w:t>
      </w:r>
      <w:r>
        <w:rPr>
          <w:w w:val="105"/>
          <w:sz w:val="21"/>
        </w:rPr>
        <w:t>the</w:t>
      </w:r>
      <w:r>
        <w:rPr>
          <w:spacing w:val="-12"/>
          <w:w w:val="105"/>
          <w:sz w:val="21"/>
        </w:rPr>
        <w:t> </w:t>
      </w:r>
      <w:r>
        <w:rPr>
          <w:spacing w:val="-2"/>
          <w:w w:val="105"/>
          <w:sz w:val="21"/>
        </w:rPr>
        <w:t>beneficiary.</w:t>
      </w:r>
      <w:r>
        <w:rPr>
          <w:spacing w:val="-12"/>
          <w:w w:val="105"/>
          <w:sz w:val="21"/>
        </w:rPr>
        <w:t> </w:t>
      </w:r>
      <w:r>
        <w:rPr>
          <w:w w:val="105"/>
          <w:sz w:val="21"/>
        </w:rPr>
        <w:t>The</w:t>
      </w:r>
      <w:r>
        <w:rPr>
          <w:spacing w:val="-12"/>
          <w:w w:val="105"/>
          <w:sz w:val="21"/>
        </w:rPr>
        <w:t> </w:t>
      </w:r>
      <w:r>
        <w:rPr>
          <w:w w:val="105"/>
          <w:sz w:val="21"/>
        </w:rPr>
        <w:t>beneficiary is </w:t>
      </w:r>
      <w:r>
        <w:rPr>
          <w:spacing w:val="-3"/>
          <w:w w:val="105"/>
          <w:sz w:val="21"/>
        </w:rPr>
        <w:t>vulnerable to any </w:t>
      </w:r>
      <w:r>
        <w:rPr>
          <w:w w:val="105"/>
          <w:sz w:val="21"/>
        </w:rPr>
        <w:t>abuse by the </w:t>
      </w:r>
      <w:r>
        <w:rPr>
          <w:spacing w:val="-3"/>
          <w:w w:val="105"/>
          <w:sz w:val="21"/>
        </w:rPr>
        <w:t>executor </w:t>
      </w:r>
      <w:r>
        <w:rPr>
          <w:w w:val="105"/>
          <w:sz w:val="21"/>
        </w:rPr>
        <w:t>of the </w:t>
      </w:r>
      <w:r>
        <w:rPr>
          <w:spacing w:val="-3"/>
          <w:w w:val="105"/>
          <w:sz w:val="21"/>
        </w:rPr>
        <w:t>position. </w:t>
      </w:r>
      <w:r>
        <w:rPr>
          <w:w w:val="105"/>
          <w:sz w:val="21"/>
        </w:rPr>
        <w:t>As a </w:t>
      </w:r>
      <w:r>
        <w:rPr>
          <w:spacing w:val="-3"/>
          <w:w w:val="105"/>
          <w:sz w:val="21"/>
        </w:rPr>
        <w:t>consequence, </w:t>
      </w:r>
      <w:r>
        <w:rPr>
          <w:w w:val="105"/>
          <w:sz w:val="21"/>
        </w:rPr>
        <w:t>the </w:t>
      </w:r>
      <w:r>
        <w:rPr>
          <w:spacing w:val="-3"/>
          <w:w w:val="105"/>
          <w:sz w:val="21"/>
        </w:rPr>
        <w:t>executor </w:t>
      </w:r>
      <w:r>
        <w:rPr>
          <w:spacing w:val="-2"/>
          <w:w w:val="105"/>
          <w:sz w:val="21"/>
        </w:rPr>
        <w:t>has </w:t>
      </w:r>
      <w:r>
        <w:rPr>
          <w:w w:val="105"/>
          <w:sz w:val="21"/>
        </w:rPr>
        <w:t>a duty </w:t>
      </w:r>
      <w:r>
        <w:rPr>
          <w:spacing w:val="-3"/>
          <w:w w:val="105"/>
          <w:sz w:val="21"/>
        </w:rPr>
        <w:t>to </w:t>
      </w:r>
      <w:r>
        <w:rPr>
          <w:w w:val="105"/>
          <w:sz w:val="21"/>
        </w:rPr>
        <w:t>act in the beneficiary’s</w:t>
      </w:r>
      <w:r>
        <w:rPr>
          <w:spacing w:val="38"/>
          <w:w w:val="105"/>
          <w:sz w:val="21"/>
        </w:rPr>
        <w:t> </w:t>
      </w:r>
      <w:r>
        <w:rPr>
          <w:spacing w:val="-3"/>
          <w:w w:val="105"/>
          <w:sz w:val="21"/>
        </w:rPr>
        <w:t>interests.</w:t>
      </w:r>
    </w:p>
    <w:p>
      <w:pPr>
        <w:pStyle w:val="ListParagraph"/>
        <w:numPr>
          <w:ilvl w:val="1"/>
          <w:numId w:val="22"/>
        </w:numPr>
        <w:tabs>
          <w:tab w:pos="2381" w:val="left" w:leader="none"/>
          <w:tab w:pos="2382" w:val="left" w:leader="none"/>
        </w:tabs>
        <w:spacing w:line="242" w:lineRule="auto" w:before="126" w:after="0"/>
        <w:ind w:left="2381" w:right="1872" w:hanging="794"/>
        <w:jc w:val="left"/>
        <w:rPr>
          <w:sz w:val="21"/>
        </w:rPr>
      </w:pPr>
      <w:r>
        <w:rPr>
          <w:sz w:val="21"/>
        </w:rPr>
        <w:t>The connection between the </w:t>
      </w:r>
      <w:r>
        <w:rPr>
          <w:spacing w:val="-3"/>
          <w:sz w:val="21"/>
        </w:rPr>
        <w:t>relationship  </w:t>
      </w:r>
      <w:r>
        <w:rPr>
          <w:sz w:val="21"/>
        </w:rPr>
        <w:t>and the duty was explained by Justice Mason  in </w:t>
      </w:r>
      <w:r>
        <w:rPr>
          <w:i/>
          <w:spacing w:val="-3"/>
          <w:sz w:val="21"/>
        </w:rPr>
        <w:t>Hospital </w:t>
      </w:r>
      <w:r>
        <w:rPr>
          <w:i/>
          <w:sz w:val="21"/>
        </w:rPr>
        <w:t>Products </w:t>
      </w:r>
      <w:r>
        <w:rPr>
          <w:i/>
          <w:spacing w:val="-3"/>
          <w:sz w:val="21"/>
        </w:rPr>
        <w:t>International </w:t>
      </w:r>
      <w:r>
        <w:rPr>
          <w:i/>
          <w:spacing w:val="3"/>
          <w:sz w:val="21"/>
        </w:rPr>
        <w:t>Pty </w:t>
      </w:r>
      <w:r>
        <w:rPr>
          <w:i/>
          <w:spacing w:val="-4"/>
          <w:sz w:val="21"/>
        </w:rPr>
        <w:t>Ltd </w:t>
      </w:r>
      <w:r>
        <w:rPr>
          <w:i/>
          <w:sz w:val="21"/>
        </w:rPr>
        <w:t>v United </w:t>
      </w:r>
      <w:r>
        <w:rPr>
          <w:i/>
          <w:spacing w:val="-4"/>
          <w:sz w:val="21"/>
        </w:rPr>
        <w:t>States </w:t>
      </w:r>
      <w:r>
        <w:rPr>
          <w:i/>
          <w:spacing w:val="-3"/>
          <w:sz w:val="21"/>
        </w:rPr>
        <w:t>Surgical</w:t>
      </w:r>
      <w:r>
        <w:rPr>
          <w:i/>
          <w:spacing w:val="-1"/>
          <w:sz w:val="21"/>
        </w:rPr>
        <w:t> </w:t>
      </w:r>
      <w:r>
        <w:rPr>
          <w:i/>
          <w:spacing w:val="-3"/>
          <w:sz w:val="21"/>
        </w:rPr>
        <w:t>Corporation</w:t>
      </w:r>
      <w:r>
        <w:rPr>
          <w:spacing w:val="-3"/>
          <w:sz w:val="21"/>
        </w:rPr>
        <w:t>:</w:t>
      </w:r>
    </w:p>
    <w:p>
      <w:pPr>
        <w:spacing w:line="254" w:lineRule="auto" w:before="131"/>
        <w:ind w:left="2721" w:right="2142" w:firstLine="0"/>
        <w:jc w:val="left"/>
        <w:rPr>
          <w:sz w:val="11"/>
        </w:rPr>
      </w:pPr>
      <w:r>
        <w:rPr>
          <w:w w:val="105"/>
          <w:sz w:val="20"/>
        </w:rPr>
        <w:t>It</w:t>
      </w:r>
      <w:r>
        <w:rPr>
          <w:spacing w:val="-13"/>
          <w:w w:val="105"/>
          <w:sz w:val="20"/>
        </w:rPr>
        <w:t> </w:t>
      </w:r>
      <w:r>
        <w:rPr>
          <w:w w:val="105"/>
          <w:sz w:val="20"/>
        </w:rPr>
        <w:t>is</w:t>
      </w:r>
      <w:r>
        <w:rPr>
          <w:spacing w:val="-12"/>
          <w:w w:val="105"/>
          <w:sz w:val="20"/>
        </w:rPr>
        <w:t> </w:t>
      </w:r>
      <w:r>
        <w:rPr>
          <w:w w:val="105"/>
          <w:sz w:val="20"/>
        </w:rPr>
        <w:t>partly</w:t>
      </w:r>
      <w:r>
        <w:rPr>
          <w:spacing w:val="-12"/>
          <w:w w:val="105"/>
          <w:sz w:val="20"/>
        </w:rPr>
        <w:t> </w:t>
      </w:r>
      <w:r>
        <w:rPr>
          <w:w w:val="105"/>
          <w:sz w:val="20"/>
        </w:rPr>
        <w:t>because</w:t>
      </w:r>
      <w:r>
        <w:rPr>
          <w:spacing w:val="-12"/>
          <w:w w:val="105"/>
          <w:sz w:val="20"/>
        </w:rPr>
        <w:t> </w:t>
      </w:r>
      <w:r>
        <w:rPr>
          <w:w w:val="105"/>
          <w:sz w:val="20"/>
        </w:rPr>
        <w:t>the</w:t>
      </w:r>
      <w:r>
        <w:rPr>
          <w:spacing w:val="-12"/>
          <w:w w:val="105"/>
          <w:sz w:val="20"/>
        </w:rPr>
        <w:t> </w:t>
      </w:r>
      <w:r>
        <w:rPr>
          <w:w w:val="105"/>
          <w:sz w:val="20"/>
        </w:rPr>
        <w:t>fiduciary’s</w:t>
      </w:r>
      <w:r>
        <w:rPr>
          <w:spacing w:val="-12"/>
          <w:w w:val="105"/>
          <w:sz w:val="20"/>
        </w:rPr>
        <w:t> </w:t>
      </w:r>
      <w:r>
        <w:rPr>
          <w:w w:val="105"/>
          <w:sz w:val="20"/>
        </w:rPr>
        <w:t>exercise</w:t>
      </w:r>
      <w:r>
        <w:rPr>
          <w:spacing w:val="-12"/>
          <w:w w:val="105"/>
          <w:sz w:val="20"/>
        </w:rPr>
        <w:t> </w:t>
      </w:r>
      <w:r>
        <w:rPr>
          <w:w w:val="105"/>
          <w:sz w:val="20"/>
        </w:rPr>
        <w:t>of</w:t>
      </w:r>
      <w:r>
        <w:rPr>
          <w:spacing w:val="-12"/>
          <w:w w:val="105"/>
          <w:sz w:val="20"/>
        </w:rPr>
        <w:t> </w:t>
      </w:r>
      <w:r>
        <w:rPr>
          <w:w w:val="105"/>
          <w:sz w:val="20"/>
        </w:rPr>
        <w:t>the</w:t>
      </w:r>
      <w:r>
        <w:rPr>
          <w:spacing w:val="-12"/>
          <w:w w:val="105"/>
          <w:sz w:val="20"/>
        </w:rPr>
        <w:t> </w:t>
      </w:r>
      <w:r>
        <w:rPr>
          <w:w w:val="105"/>
          <w:sz w:val="20"/>
        </w:rPr>
        <w:t>power</w:t>
      </w:r>
      <w:r>
        <w:rPr>
          <w:spacing w:val="-12"/>
          <w:w w:val="105"/>
          <w:sz w:val="20"/>
        </w:rPr>
        <w:t> </w:t>
      </w:r>
      <w:r>
        <w:rPr>
          <w:w w:val="105"/>
          <w:sz w:val="20"/>
        </w:rPr>
        <w:t>or</w:t>
      </w:r>
      <w:r>
        <w:rPr>
          <w:spacing w:val="-13"/>
          <w:w w:val="105"/>
          <w:sz w:val="20"/>
        </w:rPr>
        <w:t> </w:t>
      </w:r>
      <w:r>
        <w:rPr>
          <w:w w:val="105"/>
          <w:sz w:val="20"/>
        </w:rPr>
        <w:t>discretion</w:t>
      </w:r>
      <w:r>
        <w:rPr>
          <w:spacing w:val="-12"/>
          <w:w w:val="105"/>
          <w:sz w:val="20"/>
        </w:rPr>
        <w:t> </w:t>
      </w:r>
      <w:r>
        <w:rPr>
          <w:w w:val="105"/>
          <w:sz w:val="20"/>
        </w:rPr>
        <w:t>can</w:t>
      </w:r>
      <w:r>
        <w:rPr>
          <w:spacing w:val="-12"/>
          <w:w w:val="105"/>
          <w:sz w:val="20"/>
        </w:rPr>
        <w:t> </w:t>
      </w:r>
      <w:r>
        <w:rPr>
          <w:w w:val="105"/>
          <w:sz w:val="20"/>
        </w:rPr>
        <w:t>adversely affect</w:t>
      </w:r>
      <w:r>
        <w:rPr>
          <w:spacing w:val="-7"/>
          <w:w w:val="105"/>
          <w:sz w:val="20"/>
        </w:rPr>
        <w:t> </w:t>
      </w:r>
      <w:r>
        <w:rPr>
          <w:w w:val="105"/>
          <w:sz w:val="20"/>
        </w:rPr>
        <w:t>the</w:t>
      </w:r>
      <w:r>
        <w:rPr>
          <w:spacing w:val="-6"/>
          <w:w w:val="105"/>
          <w:sz w:val="20"/>
        </w:rPr>
        <w:t> </w:t>
      </w:r>
      <w:r>
        <w:rPr>
          <w:w w:val="105"/>
          <w:sz w:val="20"/>
        </w:rPr>
        <w:t>interests</w:t>
      </w:r>
      <w:r>
        <w:rPr>
          <w:spacing w:val="-6"/>
          <w:w w:val="105"/>
          <w:sz w:val="20"/>
        </w:rPr>
        <w:t> </w:t>
      </w:r>
      <w:r>
        <w:rPr>
          <w:w w:val="105"/>
          <w:sz w:val="20"/>
        </w:rPr>
        <w:t>of</w:t>
      </w:r>
      <w:r>
        <w:rPr>
          <w:spacing w:val="-6"/>
          <w:w w:val="105"/>
          <w:sz w:val="20"/>
        </w:rPr>
        <w:t> </w:t>
      </w:r>
      <w:r>
        <w:rPr>
          <w:w w:val="105"/>
          <w:sz w:val="20"/>
        </w:rPr>
        <w:t>the</w:t>
      </w:r>
      <w:r>
        <w:rPr>
          <w:spacing w:val="-6"/>
          <w:w w:val="105"/>
          <w:sz w:val="20"/>
        </w:rPr>
        <w:t> </w:t>
      </w:r>
      <w:r>
        <w:rPr>
          <w:w w:val="105"/>
          <w:sz w:val="20"/>
        </w:rPr>
        <w:t>person</w:t>
      </w:r>
      <w:r>
        <w:rPr>
          <w:spacing w:val="-6"/>
          <w:w w:val="105"/>
          <w:sz w:val="20"/>
        </w:rPr>
        <w:t> </w:t>
      </w:r>
      <w:r>
        <w:rPr>
          <w:w w:val="105"/>
          <w:sz w:val="20"/>
        </w:rPr>
        <w:t>to</w:t>
      </w:r>
      <w:r>
        <w:rPr>
          <w:spacing w:val="-6"/>
          <w:w w:val="105"/>
          <w:sz w:val="20"/>
        </w:rPr>
        <w:t> </w:t>
      </w:r>
      <w:r>
        <w:rPr>
          <w:w w:val="105"/>
          <w:sz w:val="20"/>
        </w:rPr>
        <w:t>whom</w:t>
      </w:r>
      <w:r>
        <w:rPr>
          <w:spacing w:val="-7"/>
          <w:w w:val="105"/>
          <w:sz w:val="20"/>
        </w:rPr>
        <w:t> </w:t>
      </w:r>
      <w:r>
        <w:rPr>
          <w:w w:val="105"/>
          <w:sz w:val="20"/>
        </w:rPr>
        <w:t>the</w:t>
      </w:r>
      <w:r>
        <w:rPr>
          <w:spacing w:val="-6"/>
          <w:w w:val="105"/>
          <w:sz w:val="20"/>
        </w:rPr>
        <w:t> </w:t>
      </w:r>
      <w:r>
        <w:rPr>
          <w:w w:val="105"/>
          <w:sz w:val="20"/>
        </w:rPr>
        <w:t>duty</w:t>
      </w:r>
      <w:r>
        <w:rPr>
          <w:spacing w:val="-6"/>
          <w:w w:val="105"/>
          <w:sz w:val="20"/>
        </w:rPr>
        <w:t> </w:t>
      </w:r>
      <w:r>
        <w:rPr>
          <w:w w:val="105"/>
          <w:sz w:val="20"/>
        </w:rPr>
        <w:t>is</w:t>
      </w:r>
      <w:r>
        <w:rPr>
          <w:spacing w:val="-6"/>
          <w:w w:val="105"/>
          <w:sz w:val="20"/>
        </w:rPr>
        <w:t> </w:t>
      </w:r>
      <w:r>
        <w:rPr>
          <w:w w:val="105"/>
          <w:sz w:val="20"/>
        </w:rPr>
        <w:t>owed</w:t>
      </w:r>
      <w:r>
        <w:rPr>
          <w:spacing w:val="-6"/>
          <w:w w:val="105"/>
          <w:sz w:val="20"/>
        </w:rPr>
        <w:t> </w:t>
      </w:r>
      <w:r>
        <w:rPr>
          <w:w w:val="105"/>
          <w:sz w:val="20"/>
        </w:rPr>
        <w:t>and</w:t>
      </w:r>
      <w:r>
        <w:rPr>
          <w:spacing w:val="-6"/>
          <w:w w:val="105"/>
          <w:sz w:val="20"/>
        </w:rPr>
        <w:t> </w:t>
      </w:r>
      <w:r>
        <w:rPr>
          <w:w w:val="105"/>
          <w:sz w:val="20"/>
        </w:rPr>
        <w:t>because</w:t>
      </w:r>
      <w:r>
        <w:rPr>
          <w:spacing w:val="-6"/>
          <w:w w:val="105"/>
          <w:sz w:val="20"/>
        </w:rPr>
        <w:t> </w:t>
      </w:r>
      <w:r>
        <w:rPr>
          <w:w w:val="105"/>
          <w:sz w:val="20"/>
        </w:rPr>
        <w:t>the</w:t>
      </w:r>
      <w:r>
        <w:rPr>
          <w:spacing w:val="-6"/>
          <w:w w:val="105"/>
          <w:sz w:val="20"/>
        </w:rPr>
        <w:t> </w:t>
      </w:r>
      <w:r>
        <w:rPr>
          <w:w w:val="105"/>
          <w:sz w:val="20"/>
        </w:rPr>
        <w:t>latter is at the mercy of the former that the fiduciary comes under a duty to exercise his power or discretion in the interests of the person to whom it is</w:t>
      </w:r>
      <w:r>
        <w:rPr>
          <w:spacing w:val="7"/>
          <w:w w:val="105"/>
          <w:sz w:val="20"/>
        </w:rPr>
        <w:t> </w:t>
      </w:r>
      <w:r>
        <w:rPr>
          <w:w w:val="105"/>
          <w:sz w:val="20"/>
        </w:rPr>
        <w:t>owed.</w:t>
      </w:r>
      <w:r>
        <w:rPr>
          <w:w w:val="105"/>
          <w:position w:val="7"/>
          <w:sz w:val="11"/>
        </w:rPr>
        <w:t>32</w:t>
      </w:r>
    </w:p>
    <w:p>
      <w:pPr>
        <w:pStyle w:val="ListParagraph"/>
        <w:numPr>
          <w:ilvl w:val="1"/>
          <w:numId w:val="22"/>
        </w:numPr>
        <w:tabs>
          <w:tab w:pos="2380" w:val="left" w:leader="none"/>
          <w:tab w:pos="2381" w:val="left" w:leader="none"/>
        </w:tabs>
        <w:spacing w:line="242" w:lineRule="auto" w:before="116" w:after="0"/>
        <w:ind w:left="2381" w:right="1775" w:hanging="794"/>
        <w:jc w:val="left"/>
        <w:rPr>
          <w:sz w:val="21"/>
        </w:rPr>
      </w:pPr>
      <w:r>
        <w:rPr>
          <w:sz w:val="21"/>
        </w:rPr>
        <w:t>The extent of the duty depends on the </w:t>
      </w:r>
      <w:r>
        <w:rPr>
          <w:spacing w:val="-3"/>
          <w:sz w:val="21"/>
        </w:rPr>
        <w:t>circumstances </w:t>
      </w:r>
      <w:r>
        <w:rPr>
          <w:sz w:val="21"/>
        </w:rPr>
        <w:t>but there is a general </w:t>
      </w:r>
      <w:r>
        <w:rPr>
          <w:spacing w:val="-3"/>
          <w:sz w:val="21"/>
        </w:rPr>
        <w:t>requirement that </w:t>
      </w:r>
      <w:r>
        <w:rPr>
          <w:sz w:val="21"/>
        </w:rPr>
        <w:t>executors act free of </w:t>
      </w:r>
      <w:r>
        <w:rPr>
          <w:spacing w:val="-3"/>
          <w:sz w:val="21"/>
        </w:rPr>
        <w:t>charge. </w:t>
      </w:r>
      <w:r>
        <w:rPr>
          <w:sz w:val="21"/>
        </w:rPr>
        <w:t>They </w:t>
      </w:r>
      <w:r>
        <w:rPr>
          <w:spacing w:val="-3"/>
          <w:sz w:val="21"/>
        </w:rPr>
        <w:t>have </w:t>
      </w:r>
      <w:r>
        <w:rPr>
          <w:sz w:val="21"/>
        </w:rPr>
        <w:t>no </w:t>
      </w:r>
      <w:r>
        <w:rPr>
          <w:spacing w:val="-3"/>
          <w:sz w:val="21"/>
        </w:rPr>
        <w:t>automatic entitlement to </w:t>
      </w:r>
      <w:r>
        <w:rPr>
          <w:sz w:val="21"/>
        </w:rPr>
        <w:t>be paid </w:t>
      </w:r>
      <w:r>
        <w:rPr>
          <w:spacing w:val="-3"/>
          <w:sz w:val="21"/>
        </w:rPr>
        <w:t>for </w:t>
      </w:r>
      <w:r>
        <w:rPr>
          <w:sz w:val="21"/>
        </w:rPr>
        <w:t>meeting their</w:t>
      </w:r>
      <w:r>
        <w:rPr>
          <w:spacing w:val="16"/>
          <w:sz w:val="21"/>
        </w:rPr>
        <w:t> </w:t>
      </w:r>
      <w:r>
        <w:rPr>
          <w:spacing w:val="-3"/>
          <w:sz w:val="21"/>
        </w:rPr>
        <w:t>responsibilities.</w:t>
      </w:r>
    </w:p>
    <w:p>
      <w:pPr>
        <w:pStyle w:val="ListParagraph"/>
        <w:numPr>
          <w:ilvl w:val="1"/>
          <w:numId w:val="22"/>
        </w:numPr>
        <w:tabs>
          <w:tab w:pos="2380" w:val="left" w:leader="none"/>
          <w:tab w:pos="2381" w:val="left" w:leader="none"/>
        </w:tabs>
        <w:spacing w:line="242" w:lineRule="auto" w:before="123" w:after="0"/>
        <w:ind w:left="2380" w:right="1874" w:hanging="793"/>
        <w:jc w:val="left"/>
        <w:rPr>
          <w:sz w:val="21"/>
        </w:rPr>
      </w:pPr>
      <w:r>
        <w:rPr>
          <w:sz w:val="21"/>
        </w:rPr>
        <w:t>A legal practitioner who is </w:t>
      </w:r>
      <w:r>
        <w:rPr>
          <w:spacing w:val="-3"/>
          <w:sz w:val="21"/>
        </w:rPr>
        <w:t>asked to prepare </w:t>
      </w:r>
      <w:r>
        <w:rPr>
          <w:sz w:val="21"/>
        </w:rPr>
        <w:t>a </w:t>
      </w:r>
      <w:r>
        <w:rPr>
          <w:spacing w:val="-3"/>
          <w:sz w:val="21"/>
        </w:rPr>
        <w:t>will that </w:t>
      </w:r>
      <w:r>
        <w:rPr>
          <w:sz w:val="21"/>
        </w:rPr>
        <w:t>appoints them as </w:t>
      </w:r>
      <w:r>
        <w:rPr>
          <w:spacing w:val="-3"/>
          <w:sz w:val="21"/>
        </w:rPr>
        <w:t>executor </w:t>
      </w:r>
      <w:r>
        <w:rPr>
          <w:sz w:val="21"/>
        </w:rPr>
        <w:t>must obtain the </w:t>
      </w:r>
      <w:r>
        <w:rPr>
          <w:spacing w:val="-3"/>
          <w:sz w:val="21"/>
        </w:rPr>
        <w:t>client’s informed consent  before  including  any  clause  that  </w:t>
      </w:r>
      <w:r>
        <w:rPr>
          <w:sz w:val="21"/>
        </w:rPr>
        <w:t>authorises them, or their law firm, </w:t>
      </w:r>
      <w:r>
        <w:rPr>
          <w:spacing w:val="-3"/>
          <w:sz w:val="21"/>
        </w:rPr>
        <w:t>to charge </w:t>
      </w:r>
      <w:r>
        <w:rPr>
          <w:sz w:val="21"/>
        </w:rPr>
        <w:t>the estate a fee or </w:t>
      </w:r>
      <w:r>
        <w:rPr>
          <w:spacing w:val="-3"/>
          <w:sz w:val="21"/>
        </w:rPr>
        <w:t>commission for </w:t>
      </w:r>
      <w:r>
        <w:rPr>
          <w:sz w:val="21"/>
        </w:rPr>
        <w:t>their</w:t>
      </w:r>
      <w:r>
        <w:rPr>
          <w:spacing w:val="-15"/>
          <w:sz w:val="21"/>
        </w:rPr>
        <w:t> </w:t>
      </w:r>
      <w:r>
        <w:rPr>
          <w:sz w:val="21"/>
        </w:rPr>
        <w:t>services.</w:t>
      </w:r>
    </w:p>
    <w:p>
      <w:pPr>
        <w:pStyle w:val="ListParagraph"/>
        <w:numPr>
          <w:ilvl w:val="1"/>
          <w:numId w:val="22"/>
        </w:numPr>
        <w:tabs>
          <w:tab w:pos="2380" w:val="left" w:leader="none"/>
          <w:tab w:pos="2381" w:val="left" w:leader="none"/>
        </w:tabs>
        <w:spacing w:line="242" w:lineRule="auto" w:before="123" w:after="0"/>
        <w:ind w:left="2380" w:right="1602" w:hanging="794"/>
        <w:jc w:val="left"/>
        <w:rPr>
          <w:sz w:val="12"/>
        </w:rPr>
      </w:pPr>
      <w:r>
        <w:rPr>
          <w:w w:val="105"/>
          <w:sz w:val="21"/>
        </w:rPr>
        <w:t>If a legal practitioner is </w:t>
      </w:r>
      <w:r>
        <w:rPr>
          <w:spacing w:val="-3"/>
          <w:w w:val="105"/>
          <w:sz w:val="21"/>
        </w:rPr>
        <w:t>appointed executor </w:t>
      </w:r>
      <w:r>
        <w:rPr>
          <w:w w:val="105"/>
          <w:sz w:val="21"/>
        </w:rPr>
        <w:t>under a </w:t>
      </w:r>
      <w:r>
        <w:rPr>
          <w:spacing w:val="-3"/>
          <w:w w:val="105"/>
          <w:sz w:val="21"/>
        </w:rPr>
        <w:t>will that </w:t>
      </w:r>
      <w:r>
        <w:rPr>
          <w:w w:val="105"/>
          <w:sz w:val="21"/>
        </w:rPr>
        <w:t>does </w:t>
      </w:r>
      <w:r>
        <w:rPr>
          <w:spacing w:val="-2"/>
          <w:w w:val="105"/>
          <w:sz w:val="21"/>
        </w:rPr>
        <w:t>not </w:t>
      </w:r>
      <w:r>
        <w:rPr>
          <w:spacing w:val="-3"/>
          <w:w w:val="105"/>
          <w:sz w:val="21"/>
        </w:rPr>
        <w:t>contain </w:t>
      </w:r>
      <w:r>
        <w:rPr>
          <w:w w:val="105"/>
          <w:sz w:val="21"/>
        </w:rPr>
        <w:t>a </w:t>
      </w:r>
      <w:r>
        <w:rPr>
          <w:spacing w:val="-3"/>
          <w:w w:val="105"/>
          <w:sz w:val="21"/>
        </w:rPr>
        <w:t>commission </w:t>
      </w:r>
      <w:r>
        <w:rPr>
          <w:w w:val="105"/>
          <w:sz w:val="21"/>
        </w:rPr>
        <w:t>or </w:t>
      </w:r>
      <w:r>
        <w:rPr>
          <w:spacing w:val="-3"/>
          <w:w w:val="105"/>
          <w:sz w:val="21"/>
        </w:rPr>
        <w:t>charging clause, </w:t>
      </w:r>
      <w:r>
        <w:rPr>
          <w:w w:val="105"/>
          <w:sz w:val="21"/>
        </w:rPr>
        <w:t>they can seek the </w:t>
      </w:r>
      <w:r>
        <w:rPr>
          <w:spacing w:val="-3"/>
          <w:w w:val="105"/>
          <w:sz w:val="21"/>
        </w:rPr>
        <w:t>informed consent </w:t>
      </w:r>
      <w:r>
        <w:rPr>
          <w:w w:val="105"/>
          <w:sz w:val="21"/>
        </w:rPr>
        <w:t>of the beneficiaries. </w:t>
      </w:r>
      <w:r>
        <w:rPr>
          <w:spacing w:val="-3"/>
          <w:w w:val="105"/>
          <w:sz w:val="21"/>
        </w:rPr>
        <w:t>Alternatively, </w:t>
      </w:r>
      <w:r>
        <w:rPr>
          <w:w w:val="105"/>
          <w:sz w:val="21"/>
        </w:rPr>
        <w:t>they can apply </w:t>
      </w:r>
      <w:r>
        <w:rPr>
          <w:spacing w:val="-3"/>
          <w:w w:val="105"/>
          <w:sz w:val="21"/>
        </w:rPr>
        <w:t>to </w:t>
      </w:r>
      <w:r>
        <w:rPr>
          <w:w w:val="105"/>
          <w:sz w:val="21"/>
        </w:rPr>
        <w:t>the </w:t>
      </w:r>
      <w:r>
        <w:rPr>
          <w:spacing w:val="-3"/>
          <w:w w:val="105"/>
          <w:sz w:val="21"/>
        </w:rPr>
        <w:t>Supreme Court </w:t>
      </w:r>
      <w:r>
        <w:rPr>
          <w:w w:val="105"/>
          <w:sz w:val="21"/>
        </w:rPr>
        <w:t>under section </w:t>
      </w:r>
      <w:r>
        <w:rPr>
          <w:spacing w:val="-3"/>
          <w:w w:val="105"/>
          <w:sz w:val="21"/>
        </w:rPr>
        <w:t>65 </w:t>
      </w:r>
      <w:r>
        <w:rPr>
          <w:w w:val="105"/>
          <w:sz w:val="21"/>
        </w:rPr>
        <w:t>of the </w:t>
      </w:r>
      <w:r>
        <w:rPr>
          <w:i/>
          <w:spacing w:val="-3"/>
          <w:w w:val="105"/>
          <w:sz w:val="21"/>
        </w:rPr>
        <w:t>Administration </w:t>
      </w:r>
      <w:r>
        <w:rPr>
          <w:i/>
          <w:w w:val="105"/>
          <w:sz w:val="21"/>
        </w:rPr>
        <w:t>and Probate Act </w:t>
      </w:r>
      <w:r>
        <w:rPr>
          <w:i/>
          <w:spacing w:val="-6"/>
          <w:w w:val="105"/>
          <w:sz w:val="21"/>
        </w:rPr>
        <w:t>1958 </w:t>
      </w:r>
      <w:r>
        <w:rPr>
          <w:w w:val="105"/>
          <w:sz w:val="21"/>
        </w:rPr>
        <w:t>(Vic). The </w:t>
      </w:r>
      <w:r>
        <w:rPr>
          <w:spacing w:val="-3"/>
          <w:w w:val="105"/>
          <w:sz w:val="21"/>
        </w:rPr>
        <w:t>Court may allow commission </w:t>
      </w:r>
      <w:r>
        <w:rPr>
          <w:w w:val="105"/>
          <w:sz w:val="21"/>
        </w:rPr>
        <w:t>as is </w:t>
      </w:r>
      <w:r>
        <w:rPr>
          <w:spacing w:val="-3"/>
          <w:w w:val="105"/>
          <w:sz w:val="21"/>
        </w:rPr>
        <w:t>‘just </w:t>
      </w:r>
      <w:r>
        <w:rPr>
          <w:w w:val="105"/>
          <w:sz w:val="21"/>
        </w:rPr>
        <w:t>and </w:t>
      </w:r>
      <w:r>
        <w:rPr>
          <w:spacing w:val="-3"/>
          <w:w w:val="105"/>
          <w:sz w:val="21"/>
        </w:rPr>
        <w:t>reasonable’ for </w:t>
      </w:r>
      <w:r>
        <w:rPr>
          <w:w w:val="105"/>
          <w:sz w:val="21"/>
        </w:rPr>
        <w:t>the </w:t>
      </w:r>
      <w:r>
        <w:rPr>
          <w:spacing w:val="-3"/>
          <w:w w:val="105"/>
          <w:sz w:val="21"/>
        </w:rPr>
        <w:t>executor’s </w:t>
      </w:r>
      <w:r>
        <w:rPr>
          <w:spacing w:val="-4"/>
          <w:w w:val="105"/>
          <w:sz w:val="21"/>
        </w:rPr>
        <w:t>‘pains </w:t>
      </w:r>
      <w:r>
        <w:rPr>
          <w:w w:val="105"/>
          <w:sz w:val="21"/>
        </w:rPr>
        <w:t>and </w:t>
      </w:r>
      <w:r>
        <w:rPr>
          <w:spacing w:val="-5"/>
          <w:w w:val="105"/>
          <w:sz w:val="21"/>
        </w:rPr>
        <w:t>trouble’, </w:t>
      </w:r>
      <w:r>
        <w:rPr>
          <w:w w:val="105"/>
          <w:sz w:val="21"/>
        </w:rPr>
        <w:t>though it </w:t>
      </w:r>
      <w:r>
        <w:rPr>
          <w:spacing w:val="-3"/>
          <w:w w:val="105"/>
          <w:sz w:val="21"/>
        </w:rPr>
        <w:t>may </w:t>
      </w:r>
      <w:r>
        <w:rPr>
          <w:spacing w:val="-2"/>
          <w:w w:val="105"/>
          <w:sz w:val="21"/>
        </w:rPr>
        <w:t>not </w:t>
      </w:r>
      <w:r>
        <w:rPr>
          <w:w w:val="105"/>
          <w:sz w:val="21"/>
        </w:rPr>
        <w:t>exceed five per </w:t>
      </w:r>
      <w:r>
        <w:rPr>
          <w:spacing w:val="-3"/>
          <w:w w:val="105"/>
          <w:sz w:val="21"/>
        </w:rPr>
        <w:t>cent </w:t>
      </w:r>
      <w:r>
        <w:rPr>
          <w:w w:val="105"/>
          <w:sz w:val="21"/>
        </w:rPr>
        <w:t>of the </w:t>
      </w:r>
      <w:r>
        <w:rPr>
          <w:spacing w:val="-3"/>
          <w:w w:val="105"/>
          <w:sz w:val="21"/>
        </w:rPr>
        <w:t>value </w:t>
      </w:r>
      <w:r>
        <w:rPr>
          <w:w w:val="105"/>
          <w:sz w:val="21"/>
        </w:rPr>
        <w:t>of the</w:t>
      </w:r>
      <w:r>
        <w:rPr>
          <w:spacing w:val="11"/>
          <w:w w:val="105"/>
          <w:sz w:val="21"/>
        </w:rPr>
        <w:t> </w:t>
      </w:r>
      <w:r>
        <w:rPr>
          <w:spacing w:val="-3"/>
          <w:w w:val="105"/>
          <w:sz w:val="21"/>
        </w:rPr>
        <w:t>estate.</w:t>
      </w:r>
      <w:r>
        <w:rPr>
          <w:spacing w:val="-3"/>
          <w:w w:val="105"/>
          <w:position w:val="7"/>
          <w:sz w:val="12"/>
        </w:rPr>
        <w:t>33</w:t>
      </w:r>
    </w:p>
    <w:p>
      <w:pPr>
        <w:pStyle w:val="ListParagraph"/>
        <w:numPr>
          <w:ilvl w:val="1"/>
          <w:numId w:val="22"/>
        </w:numPr>
        <w:tabs>
          <w:tab w:pos="2380" w:val="left" w:leader="none"/>
          <w:tab w:pos="2381" w:val="left" w:leader="none"/>
        </w:tabs>
        <w:spacing w:line="242" w:lineRule="auto" w:before="127" w:after="0"/>
        <w:ind w:left="2381" w:right="1621" w:hanging="794"/>
        <w:jc w:val="left"/>
        <w:rPr>
          <w:sz w:val="21"/>
        </w:rPr>
      </w:pPr>
      <w:r>
        <w:rPr>
          <w:spacing w:val="-4"/>
          <w:sz w:val="21"/>
        </w:rPr>
        <w:t>Legal </w:t>
      </w:r>
      <w:r>
        <w:rPr>
          <w:spacing w:val="-5"/>
          <w:sz w:val="21"/>
        </w:rPr>
        <w:t>practitioners’ </w:t>
      </w:r>
      <w:r>
        <w:rPr>
          <w:spacing w:val="-3"/>
          <w:sz w:val="21"/>
        </w:rPr>
        <w:t>duty </w:t>
      </w:r>
      <w:r>
        <w:rPr>
          <w:spacing w:val="-4"/>
          <w:sz w:val="21"/>
        </w:rPr>
        <w:t>to </w:t>
      </w:r>
      <w:r>
        <w:rPr>
          <w:spacing w:val="-5"/>
          <w:sz w:val="21"/>
        </w:rPr>
        <w:t>avoid </w:t>
      </w:r>
      <w:r>
        <w:rPr>
          <w:spacing w:val="-4"/>
          <w:sz w:val="21"/>
        </w:rPr>
        <w:t>conflicts of </w:t>
      </w:r>
      <w:r>
        <w:rPr>
          <w:spacing w:val="-6"/>
          <w:sz w:val="21"/>
        </w:rPr>
        <w:t>interest </w:t>
      </w:r>
      <w:r>
        <w:rPr>
          <w:spacing w:val="-4"/>
          <w:sz w:val="21"/>
        </w:rPr>
        <w:t>pervades </w:t>
      </w:r>
      <w:r>
        <w:rPr>
          <w:spacing w:val="-5"/>
          <w:sz w:val="21"/>
        </w:rPr>
        <w:t>all </w:t>
      </w:r>
      <w:r>
        <w:rPr>
          <w:spacing w:val="-3"/>
          <w:sz w:val="21"/>
        </w:rPr>
        <w:t>aspects </w:t>
      </w:r>
      <w:r>
        <w:rPr>
          <w:spacing w:val="-4"/>
          <w:sz w:val="21"/>
        </w:rPr>
        <w:t>of the </w:t>
      </w:r>
      <w:r>
        <w:rPr>
          <w:spacing w:val="-5"/>
          <w:sz w:val="21"/>
        </w:rPr>
        <w:t>legal </w:t>
      </w:r>
      <w:r>
        <w:rPr>
          <w:spacing w:val="-4"/>
          <w:sz w:val="21"/>
        </w:rPr>
        <w:t>services they </w:t>
      </w:r>
      <w:r>
        <w:rPr>
          <w:spacing w:val="-5"/>
          <w:sz w:val="21"/>
        </w:rPr>
        <w:t>provide </w:t>
      </w:r>
      <w:r>
        <w:rPr>
          <w:spacing w:val="-4"/>
          <w:sz w:val="21"/>
        </w:rPr>
        <w:t>and </w:t>
      </w:r>
      <w:r>
        <w:rPr>
          <w:spacing w:val="-3"/>
          <w:sz w:val="21"/>
        </w:rPr>
        <w:t>is </w:t>
      </w:r>
      <w:r>
        <w:rPr>
          <w:spacing w:val="-5"/>
          <w:sz w:val="21"/>
        </w:rPr>
        <w:t>emphasised </w:t>
      </w:r>
      <w:r>
        <w:rPr>
          <w:spacing w:val="-4"/>
          <w:sz w:val="21"/>
        </w:rPr>
        <w:t>in </w:t>
      </w:r>
      <w:r>
        <w:rPr>
          <w:spacing w:val="-5"/>
          <w:sz w:val="21"/>
        </w:rPr>
        <w:t>their </w:t>
      </w:r>
      <w:r>
        <w:rPr>
          <w:spacing w:val="-6"/>
          <w:sz w:val="21"/>
        </w:rPr>
        <w:t>professional </w:t>
      </w:r>
      <w:r>
        <w:rPr>
          <w:spacing w:val="-4"/>
          <w:sz w:val="21"/>
        </w:rPr>
        <w:t>rules of </w:t>
      </w:r>
      <w:r>
        <w:rPr>
          <w:spacing w:val="-5"/>
          <w:sz w:val="21"/>
        </w:rPr>
        <w:t>conduct.</w:t>
      </w:r>
      <w:r>
        <w:rPr>
          <w:spacing w:val="-5"/>
          <w:position w:val="7"/>
          <w:sz w:val="12"/>
        </w:rPr>
        <w:t>34 </w:t>
      </w:r>
      <w:r>
        <w:rPr>
          <w:spacing w:val="-7"/>
          <w:sz w:val="21"/>
        </w:rPr>
        <w:t>However,</w:t>
      </w:r>
      <w:r>
        <w:rPr>
          <w:spacing w:val="-5"/>
          <w:sz w:val="21"/>
        </w:rPr>
        <w:t> there</w:t>
      </w:r>
    </w:p>
    <w:p>
      <w:pPr>
        <w:pStyle w:val="BodyText"/>
        <w:spacing w:line="242" w:lineRule="auto" w:before="2"/>
        <w:ind w:left="2381" w:right="1826"/>
        <w:rPr>
          <w:sz w:val="12"/>
        </w:rPr>
      </w:pPr>
      <w:r>
        <w:rPr>
          <w:spacing w:val="-3"/>
          <w:w w:val="105"/>
        </w:rPr>
        <w:t>is </w:t>
      </w:r>
      <w:r>
        <w:rPr>
          <w:spacing w:val="-5"/>
          <w:w w:val="105"/>
        </w:rPr>
        <w:t>persistent </w:t>
      </w:r>
      <w:r>
        <w:rPr>
          <w:spacing w:val="-6"/>
          <w:w w:val="105"/>
        </w:rPr>
        <w:t>concern </w:t>
      </w:r>
      <w:r>
        <w:rPr>
          <w:spacing w:val="-5"/>
          <w:w w:val="105"/>
        </w:rPr>
        <w:t>that </w:t>
      </w:r>
      <w:r>
        <w:rPr>
          <w:spacing w:val="-4"/>
          <w:w w:val="105"/>
        </w:rPr>
        <w:t>some </w:t>
      </w:r>
      <w:r>
        <w:rPr>
          <w:spacing w:val="-5"/>
          <w:w w:val="105"/>
        </w:rPr>
        <w:t>legal practitioner executors are </w:t>
      </w:r>
      <w:r>
        <w:rPr>
          <w:spacing w:val="-6"/>
          <w:w w:val="105"/>
        </w:rPr>
        <w:t>charging </w:t>
      </w:r>
      <w:r>
        <w:rPr>
          <w:spacing w:val="-4"/>
          <w:w w:val="105"/>
        </w:rPr>
        <w:t>the estates they </w:t>
      </w:r>
      <w:r>
        <w:rPr>
          <w:spacing w:val="-6"/>
          <w:w w:val="105"/>
        </w:rPr>
        <w:t>administer </w:t>
      </w:r>
      <w:r>
        <w:rPr>
          <w:spacing w:val="-5"/>
          <w:w w:val="105"/>
        </w:rPr>
        <w:t>without </w:t>
      </w:r>
      <w:r>
        <w:rPr>
          <w:spacing w:val="-6"/>
          <w:w w:val="105"/>
        </w:rPr>
        <w:t>consent </w:t>
      </w:r>
      <w:r>
        <w:rPr>
          <w:spacing w:val="-3"/>
          <w:w w:val="105"/>
        </w:rPr>
        <w:t>or </w:t>
      </w:r>
      <w:r>
        <w:rPr>
          <w:spacing w:val="-4"/>
          <w:w w:val="105"/>
        </w:rPr>
        <w:t>in </w:t>
      </w:r>
      <w:r>
        <w:rPr>
          <w:spacing w:val="-6"/>
          <w:w w:val="105"/>
        </w:rPr>
        <w:t>circumstances </w:t>
      </w:r>
      <w:r>
        <w:rPr>
          <w:spacing w:val="-5"/>
          <w:w w:val="105"/>
        </w:rPr>
        <w:t>where </w:t>
      </w:r>
      <w:r>
        <w:rPr>
          <w:spacing w:val="-4"/>
          <w:w w:val="105"/>
        </w:rPr>
        <w:t>the person </w:t>
      </w:r>
      <w:r>
        <w:rPr>
          <w:spacing w:val="-3"/>
          <w:w w:val="105"/>
        </w:rPr>
        <w:t>who </w:t>
      </w:r>
      <w:r>
        <w:rPr>
          <w:spacing w:val="-5"/>
          <w:w w:val="105"/>
        </w:rPr>
        <w:t>gave </w:t>
      </w:r>
      <w:r>
        <w:rPr>
          <w:spacing w:val="-4"/>
          <w:w w:val="105"/>
        </w:rPr>
        <w:t>the </w:t>
      </w:r>
      <w:r>
        <w:rPr>
          <w:spacing w:val="-6"/>
          <w:w w:val="105"/>
        </w:rPr>
        <w:t>consent </w:t>
      </w:r>
      <w:r>
        <w:rPr>
          <w:spacing w:val="-4"/>
          <w:w w:val="105"/>
        </w:rPr>
        <w:t>was not </w:t>
      </w:r>
      <w:r>
        <w:rPr>
          <w:spacing w:val="-5"/>
          <w:w w:val="105"/>
        </w:rPr>
        <w:t>fully </w:t>
      </w:r>
      <w:r>
        <w:rPr>
          <w:spacing w:val="-6"/>
          <w:w w:val="105"/>
        </w:rPr>
        <w:t>informed </w:t>
      </w:r>
      <w:r>
        <w:rPr>
          <w:spacing w:val="-4"/>
          <w:w w:val="105"/>
        </w:rPr>
        <w:t>about the </w:t>
      </w:r>
      <w:r>
        <w:rPr>
          <w:spacing w:val="-5"/>
          <w:w w:val="105"/>
        </w:rPr>
        <w:t>decision </w:t>
      </w:r>
      <w:r>
        <w:rPr>
          <w:spacing w:val="-4"/>
          <w:w w:val="105"/>
        </w:rPr>
        <w:t>they </w:t>
      </w:r>
      <w:r>
        <w:rPr>
          <w:spacing w:val="-5"/>
          <w:w w:val="105"/>
        </w:rPr>
        <w:t>were </w:t>
      </w:r>
      <w:r>
        <w:rPr>
          <w:spacing w:val="-6"/>
          <w:w w:val="105"/>
        </w:rPr>
        <w:t>asked </w:t>
      </w:r>
      <w:r>
        <w:rPr>
          <w:spacing w:val="-4"/>
          <w:w w:val="105"/>
        </w:rPr>
        <w:t>to </w:t>
      </w:r>
      <w:r>
        <w:rPr>
          <w:spacing w:val="-7"/>
          <w:w w:val="105"/>
        </w:rPr>
        <w:t>make. </w:t>
      </w:r>
      <w:r>
        <w:rPr>
          <w:spacing w:val="-4"/>
          <w:w w:val="105"/>
        </w:rPr>
        <w:t>This </w:t>
      </w:r>
      <w:r>
        <w:rPr>
          <w:spacing w:val="-6"/>
          <w:w w:val="105"/>
        </w:rPr>
        <w:t>concern, </w:t>
      </w:r>
      <w:r>
        <w:rPr>
          <w:spacing w:val="-4"/>
          <w:w w:val="105"/>
        </w:rPr>
        <w:t>and the </w:t>
      </w:r>
      <w:r>
        <w:rPr>
          <w:spacing w:val="-7"/>
          <w:w w:val="105"/>
        </w:rPr>
        <w:t>Commission’s </w:t>
      </w:r>
      <w:r>
        <w:rPr>
          <w:spacing w:val="-6"/>
          <w:w w:val="105"/>
        </w:rPr>
        <w:t>recommendations </w:t>
      </w:r>
      <w:r>
        <w:rPr>
          <w:spacing w:val="-5"/>
          <w:w w:val="105"/>
        </w:rPr>
        <w:t>for </w:t>
      </w:r>
      <w:r>
        <w:rPr>
          <w:spacing w:val="-6"/>
          <w:w w:val="105"/>
        </w:rPr>
        <w:t>reform, </w:t>
      </w:r>
      <w:r>
        <w:rPr>
          <w:spacing w:val="-5"/>
          <w:w w:val="105"/>
        </w:rPr>
        <w:t>are discussed </w:t>
      </w:r>
      <w:r>
        <w:rPr>
          <w:spacing w:val="-4"/>
          <w:w w:val="105"/>
        </w:rPr>
        <w:t>in the </w:t>
      </w:r>
      <w:r>
        <w:rPr>
          <w:spacing w:val="-3"/>
          <w:w w:val="105"/>
        </w:rPr>
        <w:t>next </w:t>
      </w:r>
      <w:r>
        <w:rPr>
          <w:w w:val="105"/>
        </w:rPr>
        <w:t>two </w:t>
      </w:r>
      <w:r>
        <w:rPr>
          <w:spacing w:val="-5"/>
          <w:w w:val="105"/>
        </w:rPr>
        <w:t>sections.</w:t>
      </w:r>
      <w:r>
        <w:rPr>
          <w:spacing w:val="-5"/>
          <w:w w:val="105"/>
          <w:position w:val="7"/>
          <w:sz w:val="12"/>
        </w:rPr>
        <w:t>35</w:t>
      </w:r>
    </w:p>
    <w:p>
      <w:pPr>
        <w:pStyle w:val="BodyText"/>
        <w:rPr>
          <w:sz w:val="20"/>
        </w:rPr>
      </w:pPr>
    </w:p>
    <w:p>
      <w:pPr>
        <w:pStyle w:val="BodyText"/>
        <w:rPr>
          <w:sz w:val="20"/>
        </w:rPr>
      </w:pPr>
    </w:p>
    <w:p>
      <w:pPr>
        <w:pStyle w:val="BodyText"/>
        <w:rPr>
          <w:sz w:val="20"/>
        </w:rPr>
      </w:pPr>
    </w:p>
    <w:p>
      <w:pPr>
        <w:pStyle w:val="BodyText"/>
        <w:spacing w:before="11"/>
        <w:rPr>
          <w:sz w:val="22"/>
        </w:rPr>
      </w:pPr>
      <w:r>
        <w:rPr/>
        <w:pict>
          <v:line style="position:absolute;mso-position-horizontal-relative:page;mso-position-vertical-relative:paragraph;z-index:8792;mso-wrap-distance-left:0;mso-wrap-distance-right:0" from="79.370102pt,16.457520pt" to="515.905102pt,16.457520pt" stroked="true" strokeweight="1pt" strokecolor="#f9ceca">
            <v:stroke dashstyle="solid"/>
            <w10:wrap type="topAndBottom"/>
          </v:line>
        </w:pict>
      </w:r>
    </w:p>
    <w:p>
      <w:pPr>
        <w:pStyle w:val="BodyText"/>
        <w:spacing w:before="8"/>
        <w:rPr>
          <w:sz w:val="5"/>
        </w:rPr>
      </w:pPr>
    </w:p>
    <w:p>
      <w:pPr>
        <w:spacing w:after="0"/>
        <w:rPr>
          <w:sz w:val="5"/>
        </w:rPr>
        <w:sectPr>
          <w:pgSz w:w="11910" w:h="16840"/>
          <w:pgMar w:header="805" w:footer="0" w:top="1360" w:bottom="280" w:left="0" w:right="0"/>
        </w:sectPr>
      </w:pPr>
    </w:p>
    <w:p>
      <w:pPr>
        <w:pStyle w:val="ListParagraph"/>
        <w:numPr>
          <w:ilvl w:val="0"/>
          <w:numId w:val="113"/>
        </w:numPr>
        <w:tabs>
          <w:tab w:pos="2380" w:val="left" w:leader="none"/>
          <w:tab w:pos="2382" w:val="left" w:leader="none"/>
        </w:tabs>
        <w:spacing w:line="240" w:lineRule="auto" w:before="48" w:after="0"/>
        <w:ind w:left="2381" w:right="366" w:hanging="794"/>
        <w:jc w:val="left"/>
        <w:rPr>
          <w:sz w:val="13"/>
        </w:rPr>
      </w:pPr>
      <w:r>
        <w:rPr>
          <w:sz w:val="13"/>
        </w:rPr>
        <w:t>For example, executors have a duty to keep ‘such a record that  their  transactions  can  be  understood  and  brought  into  the  form  of regular accounts if </w:t>
      </w:r>
      <w:r>
        <w:rPr>
          <w:spacing w:val="2"/>
          <w:sz w:val="13"/>
        </w:rPr>
        <w:t>necessary’: </w:t>
      </w:r>
      <w:r>
        <w:rPr>
          <w:i/>
          <w:sz w:val="13"/>
        </w:rPr>
        <w:t>Grunden v Nissen </w:t>
      </w:r>
      <w:r>
        <w:rPr>
          <w:spacing w:val="-4"/>
          <w:sz w:val="13"/>
        </w:rPr>
        <w:t>[1911] </w:t>
      </w:r>
      <w:r>
        <w:rPr>
          <w:spacing w:val="2"/>
          <w:sz w:val="13"/>
        </w:rPr>
        <w:t>VLR </w:t>
      </w:r>
      <w:r>
        <w:rPr>
          <w:spacing w:val="-3"/>
          <w:sz w:val="13"/>
        </w:rPr>
        <w:t>267, </w:t>
      </w:r>
      <w:r>
        <w:rPr>
          <w:sz w:val="13"/>
        </w:rPr>
        <w:t>271–2; and they must present accounts of the estate when required: </w:t>
      </w:r>
      <w:r>
        <w:rPr>
          <w:i/>
          <w:sz w:val="13"/>
        </w:rPr>
        <w:t>Administration</w:t>
      </w:r>
      <w:r>
        <w:rPr>
          <w:i/>
          <w:spacing w:val="13"/>
          <w:sz w:val="13"/>
        </w:rPr>
        <w:t> </w:t>
      </w:r>
      <w:r>
        <w:rPr>
          <w:i/>
          <w:sz w:val="13"/>
        </w:rPr>
        <w:t>and</w:t>
      </w:r>
      <w:r>
        <w:rPr>
          <w:i/>
          <w:spacing w:val="14"/>
          <w:sz w:val="13"/>
        </w:rPr>
        <w:t> </w:t>
      </w:r>
      <w:r>
        <w:rPr>
          <w:i/>
          <w:sz w:val="13"/>
        </w:rPr>
        <w:t>Probate</w:t>
      </w:r>
      <w:r>
        <w:rPr>
          <w:i/>
          <w:spacing w:val="13"/>
          <w:sz w:val="13"/>
        </w:rPr>
        <w:t> </w:t>
      </w:r>
      <w:r>
        <w:rPr>
          <w:i/>
          <w:sz w:val="13"/>
        </w:rPr>
        <w:t>Act</w:t>
      </w:r>
      <w:r>
        <w:rPr>
          <w:i/>
          <w:spacing w:val="14"/>
          <w:sz w:val="13"/>
        </w:rPr>
        <w:t> </w:t>
      </w:r>
      <w:r>
        <w:rPr>
          <w:i/>
          <w:sz w:val="13"/>
        </w:rPr>
        <w:t>1958</w:t>
      </w:r>
      <w:r>
        <w:rPr>
          <w:i/>
          <w:spacing w:val="15"/>
          <w:sz w:val="13"/>
        </w:rPr>
        <w:t> </w:t>
      </w:r>
      <w:r>
        <w:rPr>
          <w:spacing w:val="2"/>
          <w:sz w:val="13"/>
        </w:rPr>
        <w:t>(Vic)</w:t>
      </w:r>
      <w:r>
        <w:rPr>
          <w:spacing w:val="15"/>
          <w:sz w:val="13"/>
        </w:rPr>
        <w:t> </w:t>
      </w:r>
      <w:r>
        <w:rPr>
          <w:sz w:val="13"/>
        </w:rPr>
        <w:t>s</w:t>
      </w:r>
      <w:r>
        <w:rPr>
          <w:spacing w:val="15"/>
          <w:sz w:val="13"/>
        </w:rPr>
        <w:t> </w:t>
      </w:r>
      <w:r>
        <w:rPr>
          <w:sz w:val="13"/>
        </w:rPr>
        <w:t>28(1);</w:t>
      </w:r>
      <w:r>
        <w:rPr>
          <w:spacing w:val="15"/>
          <w:sz w:val="13"/>
        </w:rPr>
        <w:t> </w:t>
      </w:r>
      <w:r>
        <w:rPr>
          <w:i/>
          <w:sz w:val="13"/>
        </w:rPr>
        <w:t>Supreme</w:t>
      </w:r>
      <w:r>
        <w:rPr>
          <w:i/>
          <w:spacing w:val="13"/>
          <w:sz w:val="13"/>
        </w:rPr>
        <w:t> </w:t>
      </w:r>
      <w:r>
        <w:rPr>
          <w:i/>
          <w:sz w:val="13"/>
        </w:rPr>
        <w:t>Court</w:t>
      </w:r>
      <w:r>
        <w:rPr>
          <w:i/>
          <w:spacing w:val="14"/>
          <w:sz w:val="13"/>
        </w:rPr>
        <w:t> </w:t>
      </w:r>
      <w:r>
        <w:rPr>
          <w:i/>
          <w:sz w:val="13"/>
        </w:rPr>
        <w:t>(Administration</w:t>
      </w:r>
      <w:r>
        <w:rPr>
          <w:i/>
          <w:spacing w:val="14"/>
          <w:sz w:val="13"/>
        </w:rPr>
        <w:t> </w:t>
      </w:r>
      <w:r>
        <w:rPr>
          <w:i/>
          <w:sz w:val="13"/>
        </w:rPr>
        <w:t>and</w:t>
      </w:r>
      <w:r>
        <w:rPr>
          <w:i/>
          <w:spacing w:val="13"/>
          <w:sz w:val="13"/>
        </w:rPr>
        <w:t> </w:t>
      </w:r>
      <w:r>
        <w:rPr>
          <w:i/>
          <w:sz w:val="13"/>
        </w:rPr>
        <w:t>Probate)</w:t>
      </w:r>
      <w:r>
        <w:rPr>
          <w:i/>
          <w:spacing w:val="14"/>
          <w:sz w:val="13"/>
        </w:rPr>
        <w:t> </w:t>
      </w:r>
      <w:r>
        <w:rPr>
          <w:i/>
          <w:sz w:val="13"/>
        </w:rPr>
        <w:t>Rules</w:t>
      </w:r>
      <w:r>
        <w:rPr>
          <w:i/>
          <w:spacing w:val="14"/>
          <w:sz w:val="13"/>
        </w:rPr>
        <w:t> </w:t>
      </w:r>
      <w:r>
        <w:rPr>
          <w:i/>
          <w:sz w:val="13"/>
        </w:rPr>
        <w:t>2004</w:t>
      </w:r>
      <w:r>
        <w:rPr>
          <w:i/>
          <w:spacing w:val="15"/>
          <w:sz w:val="13"/>
        </w:rPr>
        <w:t> </w:t>
      </w:r>
      <w:r>
        <w:rPr>
          <w:spacing w:val="2"/>
          <w:sz w:val="13"/>
        </w:rPr>
        <w:t>(Vic),</w:t>
      </w:r>
      <w:r>
        <w:rPr>
          <w:spacing w:val="14"/>
          <w:sz w:val="13"/>
        </w:rPr>
        <w:t> </w:t>
      </w:r>
      <w:r>
        <w:rPr>
          <w:sz w:val="13"/>
        </w:rPr>
        <w:t>r</w:t>
      </w:r>
      <w:r>
        <w:rPr>
          <w:spacing w:val="15"/>
          <w:sz w:val="13"/>
        </w:rPr>
        <w:t> </w:t>
      </w:r>
      <w:r>
        <w:rPr>
          <w:sz w:val="13"/>
        </w:rPr>
        <w:t>6.03(1).</w:t>
      </w:r>
    </w:p>
    <w:p>
      <w:pPr>
        <w:pStyle w:val="ListParagraph"/>
        <w:numPr>
          <w:ilvl w:val="0"/>
          <w:numId w:val="113"/>
        </w:numPr>
        <w:tabs>
          <w:tab w:pos="2380" w:val="left" w:leader="none"/>
          <w:tab w:pos="2382" w:val="left" w:leader="none"/>
        </w:tabs>
        <w:spacing w:line="240" w:lineRule="auto" w:before="4" w:after="0"/>
        <w:ind w:left="2381" w:right="0" w:hanging="794"/>
        <w:jc w:val="left"/>
        <w:rPr>
          <w:sz w:val="13"/>
        </w:rPr>
      </w:pPr>
      <w:r>
        <w:rPr>
          <w:i/>
          <w:w w:val="105"/>
          <w:sz w:val="13"/>
        </w:rPr>
        <w:t>Administration and Probate Act 1958 </w:t>
      </w:r>
      <w:r>
        <w:rPr>
          <w:spacing w:val="2"/>
          <w:w w:val="105"/>
          <w:sz w:val="13"/>
        </w:rPr>
        <w:t>(Vic) </w:t>
      </w:r>
      <w:r>
        <w:rPr>
          <w:w w:val="105"/>
          <w:sz w:val="13"/>
        </w:rPr>
        <w:t>s</w:t>
      </w:r>
      <w:r>
        <w:rPr>
          <w:spacing w:val="25"/>
          <w:w w:val="105"/>
          <w:sz w:val="13"/>
        </w:rPr>
        <w:t> </w:t>
      </w:r>
      <w:r>
        <w:rPr>
          <w:spacing w:val="2"/>
          <w:w w:val="105"/>
          <w:sz w:val="13"/>
        </w:rPr>
        <w:t>34(1)(c).</w:t>
      </w:r>
    </w:p>
    <w:p>
      <w:pPr>
        <w:pStyle w:val="ListParagraph"/>
        <w:numPr>
          <w:ilvl w:val="0"/>
          <w:numId w:val="113"/>
        </w:numPr>
        <w:tabs>
          <w:tab w:pos="2380" w:val="left" w:leader="none"/>
          <w:tab w:pos="2382" w:val="left" w:leader="none"/>
        </w:tabs>
        <w:spacing w:line="240" w:lineRule="auto" w:before="1" w:after="0"/>
        <w:ind w:left="2381" w:right="0" w:hanging="794"/>
        <w:jc w:val="left"/>
        <w:rPr>
          <w:sz w:val="13"/>
        </w:rPr>
      </w:pPr>
      <w:r>
        <w:rPr>
          <w:w w:val="105"/>
          <w:sz w:val="13"/>
        </w:rPr>
        <w:t>Matthew</w:t>
      </w:r>
      <w:r>
        <w:rPr>
          <w:spacing w:val="4"/>
          <w:w w:val="105"/>
          <w:sz w:val="13"/>
        </w:rPr>
        <w:t> </w:t>
      </w:r>
      <w:r>
        <w:rPr>
          <w:w w:val="105"/>
          <w:sz w:val="13"/>
        </w:rPr>
        <w:t>Groves,</w:t>
      </w:r>
      <w:r>
        <w:rPr>
          <w:spacing w:val="5"/>
          <w:w w:val="105"/>
          <w:sz w:val="13"/>
        </w:rPr>
        <w:t> </w:t>
      </w:r>
      <w:r>
        <w:rPr>
          <w:spacing w:val="2"/>
          <w:w w:val="105"/>
          <w:sz w:val="13"/>
        </w:rPr>
        <w:t>‘The</w:t>
      </w:r>
      <w:r>
        <w:rPr>
          <w:spacing w:val="5"/>
          <w:w w:val="105"/>
          <w:sz w:val="13"/>
        </w:rPr>
        <w:t> </w:t>
      </w:r>
      <w:r>
        <w:rPr>
          <w:w w:val="105"/>
          <w:sz w:val="13"/>
        </w:rPr>
        <w:t>Forced</w:t>
      </w:r>
      <w:r>
        <w:rPr>
          <w:spacing w:val="5"/>
          <w:w w:val="105"/>
          <w:sz w:val="13"/>
        </w:rPr>
        <w:t> </w:t>
      </w:r>
      <w:r>
        <w:rPr>
          <w:w w:val="105"/>
          <w:sz w:val="13"/>
        </w:rPr>
        <w:t>Removal</w:t>
      </w:r>
      <w:r>
        <w:rPr>
          <w:spacing w:val="5"/>
          <w:w w:val="105"/>
          <w:sz w:val="13"/>
        </w:rPr>
        <w:t> </w:t>
      </w:r>
      <w:r>
        <w:rPr>
          <w:w w:val="105"/>
          <w:sz w:val="13"/>
        </w:rPr>
        <w:t>of</w:t>
      </w:r>
      <w:r>
        <w:rPr>
          <w:spacing w:val="4"/>
          <w:w w:val="105"/>
          <w:sz w:val="13"/>
        </w:rPr>
        <w:t> </w:t>
      </w:r>
      <w:r>
        <w:rPr>
          <w:w w:val="105"/>
          <w:sz w:val="13"/>
        </w:rPr>
        <w:t>Executors’</w:t>
      </w:r>
      <w:r>
        <w:rPr>
          <w:spacing w:val="5"/>
          <w:w w:val="105"/>
          <w:sz w:val="13"/>
        </w:rPr>
        <w:t> </w:t>
      </w:r>
      <w:r>
        <w:rPr>
          <w:w w:val="105"/>
          <w:sz w:val="13"/>
        </w:rPr>
        <w:t>(2007</w:t>
      </w:r>
      <w:r>
        <w:rPr>
          <w:i/>
          <w:w w:val="105"/>
          <w:sz w:val="13"/>
        </w:rPr>
        <w:t>)</w:t>
      </w:r>
      <w:r>
        <w:rPr>
          <w:i/>
          <w:spacing w:val="4"/>
          <w:w w:val="105"/>
          <w:sz w:val="13"/>
        </w:rPr>
        <w:t> </w:t>
      </w:r>
      <w:r>
        <w:rPr>
          <w:spacing w:val="2"/>
          <w:w w:val="105"/>
          <w:sz w:val="13"/>
        </w:rPr>
        <w:t>81(6)</w:t>
      </w:r>
      <w:r>
        <w:rPr>
          <w:spacing w:val="5"/>
          <w:w w:val="105"/>
          <w:sz w:val="13"/>
        </w:rPr>
        <w:t> </w:t>
      </w:r>
      <w:r>
        <w:rPr>
          <w:i/>
          <w:w w:val="105"/>
          <w:sz w:val="13"/>
        </w:rPr>
        <w:t>Law</w:t>
      </w:r>
      <w:r>
        <w:rPr>
          <w:i/>
          <w:spacing w:val="4"/>
          <w:w w:val="105"/>
          <w:sz w:val="13"/>
        </w:rPr>
        <w:t> </w:t>
      </w:r>
      <w:r>
        <w:rPr>
          <w:i/>
          <w:w w:val="105"/>
          <w:sz w:val="13"/>
        </w:rPr>
        <w:t>Institute</w:t>
      </w:r>
      <w:r>
        <w:rPr>
          <w:i/>
          <w:spacing w:val="3"/>
          <w:w w:val="105"/>
          <w:sz w:val="13"/>
        </w:rPr>
        <w:t> </w:t>
      </w:r>
      <w:r>
        <w:rPr>
          <w:i/>
          <w:w w:val="105"/>
          <w:sz w:val="13"/>
        </w:rPr>
        <w:t>Journal</w:t>
      </w:r>
      <w:r>
        <w:rPr>
          <w:i/>
          <w:spacing w:val="5"/>
          <w:w w:val="105"/>
          <w:sz w:val="13"/>
        </w:rPr>
        <w:t> </w:t>
      </w:r>
      <w:r>
        <w:rPr>
          <w:w w:val="105"/>
          <w:sz w:val="13"/>
        </w:rPr>
        <w:t>56,</w:t>
      </w:r>
      <w:r>
        <w:rPr>
          <w:spacing w:val="5"/>
          <w:w w:val="105"/>
          <w:sz w:val="13"/>
        </w:rPr>
        <w:t> </w:t>
      </w:r>
      <w:r>
        <w:rPr>
          <w:w w:val="105"/>
          <w:sz w:val="13"/>
        </w:rPr>
        <w:t>56.</w:t>
      </w:r>
    </w:p>
    <w:p>
      <w:pPr>
        <w:pStyle w:val="ListParagraph"/>
        <w:numPr>
          <w:ilvl w:val="0"/>
          <w:numId w:val="113"/>
        </w:numPr>
        <w:tabs>
          <w:tab w:pos="2380" w:val="left" w:leader="none"/>
          <w:tab w:pos="2382" w:val="left" w:leader="none"/>
        </w:tabs>
        <w:spacing w:line="240" w:lineRule="auto" w:before="2" w:after="0"/>
        <w:ind w:left="2381" w:right="0" w:hanging="794"/>
        <w:jc w:val="left"/>
        <w:rPr>
          <w:sz w:val="13"/>
        </w:rPr>
      </w:pPr>
      <w:r>
        <w:rPr>
          <w:i/>
          <w:w w:val="105"/>
          <w:sz w:val="13"/>
        </w:rPr>
        <w:t>Hospital Products International </w:t>
      </w:r>
      <w:r>
        <w:rPr>
          <w:i/>
          <w:spacing w:val="3"/>
          <w:w w:val="105"/>
          <w:sz w:val="13"/>
        </w:rPr>
        <w:t>Pty </w:t>
      </w:r>
      <w:r>
        <w:rPr>
          <w:i/>
          <w:w w:val="105"/>
          <w:sz w:val="13"/>
        </w:rPr>
        <w:t>Ltd v United States Surgical Corporation </w:t>
      </w:r>
      <w:r>
        <w:rPr>
          <w:w w:val="105"/>
          <w:sz w:val="13"/>
        </w:rPr>
        <w:t>(1984) 156 CLR </w:t>
      </w:r>
      <w:r>
        <w:rPr>
          <w:spacing w:val="-4"/>
          <w:w w:val="105"/>
          <w:sz w:val="13"/>
        </w:rPr>
        <w:t>41, </w:t>
      </w:r>
      <w:r>
        <w:rPr>
          <w:w w:val="105"/>
          <w:sz w:val="13"/>
        </w:rPr>
        <w:t>97 </w:t>
      </w:r>
      <w:r>
        <w:rPr>
          <w:spacing w:val="2"/>
          <w:w w:val="105"/>
          <w:sz w:val="13"/>
        </w:rPr>
        <w:t>(Mason </w:t>
      </w:r>
      <w:r>
        <w:rPr>
          <w:spacing w:val="3"/>
          <w:w w:val="105"/>
          <w:sz w:val="13"/>
        </w:rPr>
        <w:t>J).</w:t>
      </w:r>
    </w:p>
    <w:p>
      <w:pPr>
        <w:pStyle w:val="ListParagraph"/>
        <w:numPr>
          <w:ilvl w:val="0"/>
          <w:numId w:val="113"/>
        </w:numPr>
        <w:tabs>
          <w:tab w:pos="2380" w:val="left" w:leader="none"/>
          <w:tab w:pos="2382" w:val="left" w:leader="none"/>
        </w:tabs>
        <w:spacing w:line="240" w:lineRule="auto" w:before="1" w:after="0"/>
        <w:ind w:left="2381" w:right="0" w:hanging="794"/>
        <w:jc w:val="left"/>
        <w:rPr>
          <w:sz w:val="13"/>
        </w:rPr>
      </w:pPr>
      <w:r>
        <w:rPr>
          <w:w w:val="105"/>
          <w:sz w:val="13"/>
        </w:rPr>
        <w:t>Trustee companies need not rely on either informed consent or Supreme Court authorisation as they have a statutory entitlement to charge: </w:t>
      </w:r>
      <w:r>
        <w:rPr>
          <w:i/>
          <w:w w:val="105"/>
          <w:sz w:val="13"/>
        </w:rPr>
        <w:t>Corporations Act 2001 </w:t>
      </w:r>
      <w:r>
        <w:rPr>
          <w:w w:val="105"/>
          <w:sz w:val="13"/>
        </w:rPr>
        <w:t>(Cth) pt 5D.3 (applicable to licensed trustee companies); </w:t>
      </w:r>
      <w:r>
        <w:rPr>
          <w:i/>
          <w:w w:val="105"/>
          <w:sz w:val="13"/>
        </w:rPr>
        <w:t>Trustee Companies Act 1984 </w:t>
      </w:r>
      <w:r>
        <w:rPr>
          <w:spacing w:val="2"/>
          <w:w w:val="105"/>
          <w:sz w:val="13"/>
        </w:rPr>
        <w:t>(Vic) </w:t>
      </w:r>
      <w:r>
        <w:rPr>
          <w:w w:val="105"/>
          <w:sz w:val="13"/>
        </w:rPr>
        <w:t>s 21 (applicable to State Trustees</w:t>
      </w:r>
      <w:r>
        <w:rPr>
          <w:spacing w:val="5"/>
          <w:w w:val="105"/>
          <w:sz w:val="13"/>
        </w:rPr>
        <w:t> </w:t>
      </w:r>
      <w:r>
        <w:rPr>
          <w:w w:val="105"/>
          <w:sz w:val="13"/>
        </w:rPr>
        <w:t>Limited).</w:t>
      </w:r>
      <w:r>
        <w:rPr>
          <w:spacing w:val="6"/>
          <w:w w:val="105"/>
          <w:sz w:val="13"/>
        </w:rPr>
        <w:t> </w:t>
      </w:r>
      <w:r>
        <w:rPr>
          <w:w w:val="105"/>
          <w:sz w:val="13"/>
        </w:rPr>
        <w:t>See</w:t>
      </w:r>
      <w:r>
        <w:rPr>
          <w:spacing w:val="6"/>
          <w:w w:val="105"/>
          <w:sz w:val="13"/>
        </w:rPr>
        <w:t> </w:t>
      </w:r>
      <w:r>
        <w:rPr>
          <w:w w:val="105"/>
          <w:sz w:val="13"/>
        </w:rPr>
        <w:t>also</w:t>
      </w:r>
      <w:r>
        <w:rPr>
          <w:spacing w:val="6"/>
          <w:w w:val="105"/>
          <w:sz w:val="13"/>
        </w:rPr>
        <w:t> </w:t>
      </w:r>
      <w:r>
        <w:rPr>
          <w:w w:val="105"/>
          <w:sz w:val="13"/>
        </w:rPr>
        <w:t>Victorian</w:t>
      </w:r>
      <w:r>
        <w:rPr>
          <w:spacing w:val="6"/>
          <w:w w:val="105"/>
          <w:sz w:val="13"/>
        </w:rPr>
        <w:t> </w:t>
      </w:r>
      <w:r>
        <w:rPr>
          <w:w w:val="105"/>
          <w:sz w:val="13"/>
        </w:rPr>
        <w:t>Law</w:t>
      </w:r>
      <w:r>
        <w:rPr>
          <w:spacing w:val="6"/>
          <w:w w:val="105"/>
          <w:sz w:val="13"/>
        </w:rPr>
        <w:t> </w:t>
      </w:r>
      <w:r>
        <w:rPr>
          <w:w w:val="105"/>
          <w:sz w:val="13"/>
        </w:rPr>
        <w:t>Reform</w:t>
      </w:r>
      <w:r>
        <w:rPr>
          <w:spacing w:val="6"/>
          <w:w w:val="105"/>
          <w:sz w:val="13"/>
        </w:rPr>
        <w:t> </w:t>
      </w:r>
      <w:r>
        <w:rPr>
          <w:w w:val="105"/>
          <w:sz w:val="13"/>
        </w:rPr>
        <w:t>Commission,</w:t>
      </w:r>
      <w:r>
        <w:rPr>
          <w:spacing w:val="6"/>
          <w:w w:val="105"/>
          <w:sz w:val="13"/>
        </w:rPr>
        <w:t> </w:t>
      </w:r>
      <w:r>
        <w:rPr>
          <w:i/>
          <w:w w:val="105"/>
          <w:sz w:val="13"/>
        </w:rPr>
        <w:t>Succession</w:t>
      </w:r>
      <w:r>
        <w:rPr>
          <w:i/>
          <w:spacing w:val="5"/>
          <w:w w:val="105"/>
          <w:sz w:val="13"/>
        </w:rPr>
        <w:t> </w:t>
      </w:r>
      <w:r>
        <w:rPr>
          <w:i/>
          <w:w w:val="105"/>
          <w:sz w:val="13"/>
        </w:rPr>
        <w:t>Laws:</w:t>
      </w:r>
      <w:r>
        <w:rPr>
          <w:i/>
          <w:spacing w:val="5"/>
          <w:w w:val="105"/>
          <w:sz w:val="13"/>
        </w:rPr>
        <w:t> </w:t>
      </w:r>
      <w:r>
        <w:rPr>
          <w:i/>
          <w:w w:val="105"/>
          <w:sz w:val="13"/>
        </w:rPr>
        <w:t>Executors</w:t>
      </w:r>
      <w:r>
        <w:rPr>
          <w:w w:val="105"/>
          <w:sz w:val="13"/>
        </w:rPr>
        <w:t>,</w:t>
      </w:r>
      <w:r>
        <w:rPr>
          <w:spacing w:val="6"/>
          <w:w w:val="105"/>
          <w:sz w:val="13"/>
        </w:rPr>
        <w:t> </w:t>
      </w:r>
      <w:r>
        <w:rPr>
          <w:w w:val="105"/>
          <w:sz w:val="13"/>
        </w:rPr>
        <w:t>Consultation</w:t>
      </w:r>
      <w:r>
        <w:rPr>
          <w:spacing w:val="6"/>
          <w:w w:val="105"/>
          <w:sz w:val="13"/>
        </w:rPr>
        <w:t> </w:t>
      </w:r>
      <w:r>
        <w:rPr>
          <w:w w:val="105"/>
          <w:sz w:val="13"/>
        </w:rPr>
        <w:t>Paper</w:t>
      </w:r>
      <w:r>
        <w:rPr>
          <w:spacing w:val="6"/>
          <w:w w:val="105"/>
          <w:sz w:val="13"/>
        </w:rPr>
        <w:t> </w:t>
      </w:r>
      <w:r>
        <w:rPr>
          <w:w w:val="105"/>
          <w:sz w:val="13"/>
        </w:rPr>
        <w:t>No</w:t>
      </w:r>
      <w:r>
        <w:rPr>
          <w:spacing w:val="6"/>
          <w:w w:val="105"/>
          <w:sz w:val="13"/>
        </w:rPr>
        <w:t> </w:t>
      </w:r>
      <w:r>
        <w:rPr>
          <w:spacing w:val="-3"/>
          <w:w w:val="105"/>
          <w:sz w:val="13"/>
        </w:rPr>
        <w:t>14</w:t>
      </w:r>
      <w:r>
        <w:rPr>
          <w:spacing w:val="5"/>
          <w:w w:val="105"/>
          <w:sz w:val="13"/>
        </w:rPr>
        <w:t> </w:t>
      </w:r>
      <w:r>
        <w:rPr>
          <w:w w:val="105"/>
          <w:sz w:val="13"/>
        </w:rPr>
        <w:t>(2012)</w:t>
      </w:r>
      <w:r>
        <w:rPr>
          <w:spacing w:val="6"/>
          <w:w w:val="105"/>
          <w:sz w:val="13"/>
        </w:rPr>
        <w:t> </w:t>
      </w:r>
      <w:r>
        <w:rPr>
          <w:w w:val="105"/>
          <w:sz w:val="13"/>
        </w:rPr>
        <w:t>22–3.</w:t>
      </w:r>
    </w:p>
    <w:p>
      <w:pPr>
        <w:pStyle w:val="ListParagraph"/>
        <w:numPr>
          <w:ilvl w:val="0"/>
          <w:numId w:val="113"/>
        </w:numPr>
        <w:tabs>
          <w:tab w:pos="2381" w:val="left" w:leader="none"/>
          <w:tab w:pos="2382" w:val="left" w:leader="none"/>
        </w:tabs>
        <w:spacing w:line="240" w:lineRule="auto" w:before="4" w:after="0"/>
        <w:ind w:left="2381" w:right="380" w:hanging="794"/>
        <w:jc w:val="left"/>
        <w:rPr>
          <w:sz w:val="13"/>
        </w:rPr>
      </w:pPr>
      <w:r>
        <w:rPr>
          <w:w w:val="105"/>
          <w:sz w:val="13"/>
        </w:rPr>
        <w:t>For example, The Victorian Bar Incorporated, Practice Rules (22 September </w:t>
      </w:r>
      <w:r>
        <w:rPr>
          <w:spacing w:val="2"/>
          <w:w w:val="105"/>
          <w:sz w:val="13"/>
        </w:rPr>
        <w:t>2009) </w:t>
      </w:r>
      <w:r>
        <w:rPr>
          <w:w w:val="105"/>
          <w:sz w:val="13"/>
        </w:rPr>
        <w:t>r 72; Law Institute of Victoria, Professional Conduct and Practice Rules 2005 (30 September 2005) r</w:t>
      </w:r>
      <w:r>
        <w:rPr>
          <w:spacing w:val="6"/>
          <w:w w:val="105"/>
          <w:sz w:val="13"/>
        </w:rPr>
        <w:t> </w:t>
      </w:r>
      <w:r>
        <w:rPr>
          <w:w w:val="105"/>
          <w:sz w:val="13"/>
        </w:rPr>
        <w:t>9.</w:t>
      </w:r>
    </w:p>
    <w:p>
      <w:pPr>
        <w:tabs>
          <w:tab w:pos="2381" w:val="left" w:leader="none"/>
        </w:tabs>
        <w:spacing w:before="3"/>
        <w:ind w:left="1587" w:right="0" w:firstLine="0"/>
        <w:jc w:val="left"/>
        <w:rPr>
          <w:sz w:val="13"/>
        </w:rPr>
      </w:pPr>
      <w:r>
        <w:rPr>
          <w:w w:val="105"/>
          <w:sz w:val="13"/>
        </w:rPr>
        <w:t>35</w:t>
        <w:tab/>
      </w:r>
      <w:r>
        <w:rPr>
          <w:spacing w:val="-4"/>
          <w:w w:val="105"/>
          <w:sz w:val="13"/>
        </w:rPr>
        <w:t>[7.41]</w:t>
      </w:r>
      <w:r>
        <w:rPr>
          <w:spacing w:val="-19"/>
          <w:w w:val="105"/>
          <w:sz w:val="13"/>
        </w:rPr>
        <w:t> </w:t>
      </w:r>
      <w:r>
        <w:rPr>
          <w:w w:val="105"/>
          <w:sz w:val="13"/>
        </w:rPr>
        <w:t>–[7.74].</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spacing w:before="6"/>
        <w:rPr>
          <w:sz w:val="27"/>
        </w:rPr>
      </w:pPr>
    </w:p>
    <w:p>
      <w:pPr>
        <w:spacing w:before="0"/>
        <w:ind w:left="535" w:right="573" w:firstLine="0"/>
        <w:jc w:val="center"/>
        <w:rPr>
          <w:b/>
          <w:sz w:val="24"/>
        </w:rPr>
      </w:pPr>
      <w:r>
        <w:rPr>
          <w:b/>
          <w:color w:val="EC5A4F"/>
          <w:w w:val="110"/>
          <w:sz w:val="24"/>
        </w:rPr>
        <w:t>143</w:t>
      </w:r>
    </w:p>
    <w:p>
      <w:pPr>
        <w:spacing w:after="0"/>
        <w:jc w:val="center"/>
        <w:rPr>
          <w:sz w:val="24"/>
        </w:rPr>
        <w:sectPr>
          <w:type w:val="continuous"/>
          <w:pgSz w:w="11910" w:h="16840"/>
          <w:pgMar w:top="920" w:bottom="280" w:left="0" w:right="0"/>
          <w:cols w:num="2" w:equalWidth="0">
            <w:col w:w="10319" w:space="40"/>
            <w:col w:w="1551"/>
          </w:cols>
        </w:sectPr>
      </w:pPr>
    </w:p>
    <w:p>
      <w:pPr>
        <w:pStyle w:val="BodyText"/>
        <w:spacing w:before="11"/>
        <w:rPr>
          <w:b/>
        </w:rPr>
      </w:pPr>
    </w:p>
    <w:p>
      <w:pPr>
        <w:spacing w:before="99"/>
        <w:ind w:left="1587" w:right="0" w:firstLine="0"/>
        <w:jc w:val="left"/>
        <w:rPr>
          <w:b/>
          <w:sz w:val="24"/>
        </w:rPr>
      </w:pPr>
      <w:r>
        <w:rPr>
          <w:b/>
          <w:w w:val="110"/>
          <w:sz w:val="24"/>
        </w:rPr>
        <w:t>The will-maker’s consent</w:t>
      </w:r>
    </w:p>
    <w:p>
      <w:pPr>
        <w:pStyle w:val="ListParagraph"/>
        <w:numPr>
          <w:ilvl w:val="1"/>
          <w:numId w:val="22"/>
        </w:numPr>
        <w:tabs>
          <w:tab w:pos="2380" w:val="left" w:leader="none"/>
          <w:tab w:pos="2381" w:val="left" w:leader="none"/>
        </w:tabs>
        <w:spacing w:line="242" w:lineRule="auto" w:before="137" w:after="0"/>
        <w:ind w:left="2381" w:right="1945" w:hanging="794"/>
        <w:jc w:val="left"/>
        <w:rPr>
          <w:sz w:val="12"/>
        </w:rPr>
      </w:pPr>
      <w:r>
        <w:rPr>
          <w:w w:val="105"/>
          <w:sz w:val="21"/>
        </w:rPr>
        <w:t>The </w:t>
      </w:r>
      <w:r>
        <w:rPr>
          <w:spacing w:val="-3"/>
          <w:w w:val="105"/>
          <w:sz w:val="21"/>
        </w:rPr>
        <w:t>will-maker’s consent to </w:t>
      </w:r>
      <w:r>
        <w:rPr>
          <w:w w:val="105"/>
          <w:sz w:val="21"/>
        </w:rPr>
        <w:t>the </w:t>
      </w:r>
      <w:r>
        <w:rPr>
          <w:spacing w:val="-3"/>
          <w:w w:val="105"/>
          <w:sz w:val="21"/>
        </w:rPr>
        <w:t>executor </w:t>
      </w:r>
      <w:r>
        <w:rPr>
          <w:w w:val="105"/>
          <w:sz w:val="21"/>
        </w:rPr>
        <w:t>being paid </w:t>
      </w:r>
      <w:r>
        <w:rPr>
          <w:spacing w:val="-3"/>
          <w:w w:val="105"/>
          <w:sz w:val="21"/>
        </w:rPr>
        <w:t>from </w:t>
      </w:r>
      <w:r>
        <w:rPr>
          <w:w w:val="105"/>
          <w:sz w:val="21"/>
        </w:rPr>
        <w:t>the estate </w:t>
      </w:r>
      <w:r>
        <w:rPr>
          <w:spacing w:val="-3"/>
          <w:w w:val="105"/>
          <w:sz w:val="21"/>
        </w:rPr>
        <w:t>for providing executorial</w:t>
      </w:r>
      <w:r>
        <w:rPr>
          <w:spacing w:val="-9"/>
          <w:w w:val="105"/>
          <w:sz w:val="21"/>
        </w:rPr>
        <w:t> </w:t>
      </w:r>
      <w:r>
        <w:rPr>
          <w:w w:val="105"/>
          <w:sz w:val="21"/>
        </w:rPr>
        <w:t>services,</w:t>
      </w:r>
      <w:r>
        <w:rPr>
          <w:spacing w:val="-9"/>
          <w:w w:val="105"/>
          <w:sz w:val="21"/>
        </w:rPr>
        <w:t> </w:t>
      </w:r>
      <w:r>
        <w:rPr>
          <w:w w:val="105"/>
          <w:sz w:val="21"/>
        </w:rPr>
        <w:t>legal</w:t>
      </w:r>
      <w:r>
        <w:rPr>
          <w:spacing w:val="-9"/>
          <w:w w:val="105"/>
          <w:sz w:val="21"/>
        </w:rPr>
        <w:t> </w:t>
      </w:r>
      <w:r>
        <w:rPr>
          <w:w w:val="105"/>
          <w:sz w:val="21"/>
        </w:rPr>
        <w:t>services,</w:t>
      </w:r>
      <w:r>
        <w:rPr>
          <w:spacing w:val="-8"/>
          <w:w w:val="105"/>
          <w:sz w:val="21"/>
        </w:rPr>
        <w:t> </w:t>
      </w:r>
      <w:r>
        <w:rPr>
          <w:w w:val="105"/>
          <w:sz w:val="21"/>
        </w:rPr>
        <w:t>or</w:t>
      </w:r>
      <w:r>
        <w:rPr>
          <w:spacing w:val="-9"/>
          <w:w w:val="105"/>
          <w:sz w:val="21"/>
        </w:rPr>
        <w:t> </w:t>
      </w:r>
      <w:r>
        <w:rPr>
          <w:spacing w:val="-3"/>
          <w:w w:val="105"/>
          <w:sz w:val="21"/>
        </w:rPr>
        <w:t>both,</w:t>
      </w:r>
      <w:r>
        <w:rPr>
          <w:spacing w:val="-9"/>
          <w:w w:val="105"/>
          <w:sz w:val="21"/>
        </w:rPr>
        <w:t> </w:t>
      </w:r>
      <w:r>
        <w:rPr>
          <w:w w:val="105"/>
          <w:sz w:val="21"/>
        </w:rPr>
        <w:t>is</w:t>
      </w:r>
      <w:r>
        <w:rPr>
          <w:spacing w:val="-8"/>
          <w:w w:val="105"/>
          <w:sz w:val="21"/>
        </w:rPr>
        <w:t> </w:t>
      </w:r>
      <w:r>
        <w:rPr>
          <w:spacing w:val="-3"/>
          <w:w w:val="105"/>
          <w:sz w:val="21"/>
        </w:rPr>
        <w:t>conveyed</w:t>
      </w:r>
      <w:r>
        <w:rPr>
          <w:spacing w:val="-9"/>
          <w:w w:val="105"/>
          <w:sz w:val="21"/>
        </w:rPr>
        <w:t> </w:t>
      </w:r>
      <w:r>
        <w:rPr>
          <w:w w:val="105"/>
          <w:sz w:val="21"/>
        </w:rPr>
        <w:t>by</w:t>
      </w:r>
      <w:r>
        <w:rPr>
          <w:spacing w:val="-9"/>
          <w:w w:val="105"/>
          <w:sz w:val="21"/>
        </w:rPr>
        <w:t> </w:t>
      </w:r>
      <w:r>
        <w:rPr>
          <w:w w:val="105"/>
          <w:sz w:val="21"/>
        </w:rPr>
        <w:t>the</w:t>
      </w:r>
      <w:r>
        <w:rPr>
          <w:spacing w:val="-9"/>
          <w:w w:val="105"/>
          <w:sz w:val="21"/>
        </w:rPr>
        <w:t> </w:t>
      </w:r>
      <w:r>
        <w:rPr>
          <w:spacing w:val="-3"/>
          <w:w w:val="105"/>
          <w:sz w:val="21"/>
        </w:rPr>
        <w:t>inclusion</w:t>
      </w:r>
      <w:r>
        <w:rPr>
          <w:spacing w:val="-8"/>
          <w:w w:val="105"/>
          <w:sz w:val="21"/>
        </w:rPr>
        <w:t> </w:t>
      </w:r>
      <w:r>
        <w:rPr>
          <w:w w:val="105"/>
          <w:sz w:val="21"/>
        </w:rPr>
        <w:t>of</w:t>
      </w:r>
      <w:r>
        <w:rPr>
          <w:spacing w:val="-9"/>
          <w:w w:val="105"/>
          <w:sz w:val="21"/>
        </w:rPr>
        <w:t> </w:t>
      </w:r>
      <w:r>
        <w:rPr>
          <w:spacing w:val="-3"/>
          <w:w w:val="105"/>
          <w:sz w:val="21"/>
        </w:rPr>
        <w:t>commission </w:t>
      </w:r>
      <w:r>
        <w:rPr>
          <w:w w:val="105"/>
          <w:sz w:val="21"/>
        </w:rPr>
        <w:t>and </w:t>
      </w:r>
      <w:r>
        <w:rPr>
          <w:spacing w:val="-3"/>
          <w:w w:val="105"/>
          <w:sz w:val="21"/>
        </w:rPr>
        <w:t>charging </w:t>
      </w:r>
      <w:r>
        <w:rPr>
          <w:w w:val="105"/>
          <w:sz w:val="21"/>
        </w:rPr>
        <w:t>clauses in the </w:t>
      </w:r>
      <w:r>
        <w:rPr>
          <w:spacing w:val="-3"/>
          <w:w w:val="105"/>
          <w:sz w:val="21"/>
        </w:rPr>
        <w:t>will. </w:t>
      </w:r>
      <w:r>
        <w:rPr>
          <w:spacing w:val="-4"/>
          <w:w w:val="105"/>
          <w:sz w:val="21"/>
        </w:rPr>
        <w:t>However, </w:t>
      </w:r>
      <w:r>
        <w:rPr>
          <w:w w:val="105"/>
          <w:sz w:val="21"/>
        </w:rPr>
        <w:t>some legal practitioners </w:t>
      </w:r>
      <w:r>
        <w:rPr>
          <w:spacing w:val="-3"/>
          <w:w w:val="105"/>
          <w:sz w:val="21"/>
        </w:rPr>
        <w:t>have </w:t>
      </w:r>
      <w:r>
        <w:rPr>
          <w:w w:val="105"/>
          <w:sz w:val="21"/>
        </w:rPr>
        <w:t>been </w:t>
      </w:r>
      <w:r>
        <w:rPr>
          <w:spacing w:val="-3"/>
          <w:w w:val="105"/>
          <w:sz w:val="21"/>
        </w:rPr>
        <w:t>drafting wills that contain commission </w:t>
      </w:r>
      <w:r>
        <w:rPr>
          <w:w w:val="105"/>
          <w:sz w:val="21"/>
        </w:rPr>
        <w:t>and </w:t>
      </w:r>
      <w:r>
        <w:rPr>
          <w:spacing w:val="-3"/>
          <w:w w:val="105"/>
          <w:sz w:val="21"/>
        </w:rPr>
        <w:t>charging </w:t>
      </w:r>
      <w:r>
        <w:rPr>
          <w:w w:val="105"/>
          <w:sz w:val="21"/>
        </w:rPr>
        <w:t>clauses without the </w:t>
      </w:r>
      <w:r>
        <w:rPr>
          <w:spacing w:val="-3"/>
          <w:w w:val="105"/>
          <w:sz w:val="21"/>
        </w:rPr>
        <w:t>fully informed consent </w:t>
      </w:r>
      <w:r>
        <w:rPr>
          <w:w w:val="105"/>
          <w:sz w:val="21"/>
        </w:rPr>
        <w:t>of</w:t>
      </w:r>
      <w:r>
        <w:rPr>
          <w:spacing w:val="-5"/>
          <w:w w:val="105"/>
          <w:sz w:val="21"/>
        </w:rPr>
        <w:t> </w:t>
      </w:r>
      <w:r>
        <w:rPr>
          <w:w w:val="105"/>
          <w:sz w:val="21"/>
        </w:rPr>
        <w:t>the</w:t>
      </w:r>
      <w:r>
        <w:rPr>
          <w:spacing w:val="-5"/>
          <w:w w:val="105"/>
          <w:sz w:val="21"/>
        </w:rPr>
        <w:t> </w:t>
      </w:r>
      <w:r>
        <w:rPr>
          <w:spacing w:val="-4"/>
          <w:w w:val="105"/>
          <w:sz w:val="21"/>
        </w:rPr>
        <w:t>will-maker.</w:t>
      </w:r>
      <w:r>
        <w:rPr>
          <w:spacing w:val="-5"/>
          <w:w w:val="105"/>
          <w:sz w:val="21"/>
        </w:rPr>
        <w:t> </w:t>
      </w:r>
      <w:r>
        <w:rPr>
          <w:w w:val="105"/>
          <w:sz w:val="21"/>
        </w:rPr>
        <w:t>People</w:t>
      </w:r>
      <w:r>
        <w:rPr>
          <w:spacing w:val="-4"/>
          <w:w w:val="105"/>
          <w:sz w:val="21"/>
        </w:rPr>
        <w:t> </w:t>
      </w:r>
      <w:r>
        <w:rPr>
          <w:spacing w:val="-3"/>
          <w:w w:val="105"/>
          <w:sz w:val="21"/>
        </w:rPr>
        <w:t>making</w:t>
      </w:r>
      <w:r>
        <w:rPr>
          <w:spacing w:val="-5"/>
          <w:w w:val="105"/>
          <w:sz w:val="21"/>
        </w:rPr>
        <w:t> </w:t>
      </w:r>
      <w:r>
        <w:rPr>
          <w:spacing w:val="-3"/>
          <w:w w:val="105"/>
          <w:sz w:val="21"/>
        </w:rPr>
        <w:t>wills</w:t>
      </w:r>
      <w:r>
        <w:rPr>
          <w:spacing w:val="-5"/>
          <w:w w:val="105"/>
          <w:sz w:val="21"/>
        </w:rPr>
        <w:t> </w:t>
      </w:r>
      <w:r>
        <w:rPr>
          <w:w w:val="105"/>
          <w:sz w:val="21"/>
        </w:rPr>
        <w:t>often</w:t>
      </w:r>
      <w:r>
        <w:rPr>
          <w:spacing w:val="-5"/>
          <w:w w:val="105"/>
          <w:sz w:val="21"/>
        </w:rPr>
        <w:t> </w:t>
      </w:r>
      <w:r>
        <w:rPr>
          <w:w w:val="105"/>
          <w:sz w:val="21"/>
        </w:rPr>
        <w:t>do</w:t>
      </w:r>
      <w:r>
        <w:rPr>
          <w:spacing w:val="-4"/>
          <w:w w:val="105"/>
          <w:sz w:val="21"/>
        </w:rPr>
        <w:t> </w:t>
      </w:r>
      <w:r>
        <w:rPr>
          <w:spacing w:val="-2"/>
          <w:w w:val="105"/>
          <w:sz w:val="21"/>
        </w:rPr>
        <w:t>not</w:t>
      </w:r>
      <w:r>
        <w:rPr>
          <w:spacing w:val="-5"/>
          <w:w w:val="105"/>
          <w:sz w:val="21"/>
        </w:rPr>
        <w:t> </w:t>
      </w:r>
      <w:r>
        <w:rPr>
          <w:spacing w:val="-3"/>
          <w:w w:val="105"/>
          <w:sz w:val="21"/>
        </w:rPr>
        <w:t>really</w:t>
      </w:r>
      <w:r>
        <w:rPr>
          <w:spacing w:val="-5"/>
          <w:w w:val="105"/>
          <w:sz w:val="21"/>
        </w:rPr>
        <w:t> </w:t>
      </w:r>
      <w:r>
        <w:rPr>
          <w:w w:val="105"/>
          <w:sz w:val="21"/>
        </w:rPr>
        <w:t>understand</w:t>
      </w:r>
      <w:r>
        <w:rPr>
          <w:spacing w:val="-4"/>
          <w:w w:val="105"/>
          <w:sz w:val="21"/>
        </w:rPr>
        <w:t> </w:t>
      </w:r>
      <w:r>
        <w:rPr>
          <w:w w:val="105"/>
          <w:sz w:val="21"/>
        </w:rPr>
        <w:t>these</w:t>
      </w:r>
      <w:r>
        <w:rPr>
          <w:spacing w:val="-5"/>
          <w:w w:val="105"/>
          <w:sz w:val="21"/>
        </w:rPr>
        <w:t> </w:t>
      </w:r>
      <w:r>
        <w:rPr>
          <w:w w:val="105"/>
          <w:sz w:val="21"/>
        </w:rPr>
        <w:t>clauses.</w:t>
      </w:r>
      <w:r>
        <w:rPr>
          <w:w w:val="105"/>
          <w:position w:val="7"/>
          <w:sz w:val="12"/>
        </w:rPr>
        <w:t>36</w:t>
      </w:r>
    </w:p>
    <w:p>
      <w:pPr>
        <w:pStyle w:val="BodyText"/>
        <w:spacing w:before="1"/>
        <w:rPr>
          <w:sz w:val="27"/>
        </w:rPr>
      </w:pPr>
    </w:p>
    <w:p>
      <w:pPr>
        <w:pStyle w:val="Heading6"/>
      </w:pPr>
      <w:r>
        <w:rPr>
          <w:w w:val="115"/>
        </w:rPr>
        <w:t>Rule 10.1</w:t>
      </w:r>
    </w:p>
    <w:p>
      <w:pPr>
        <w:pStyle w:val="ListParagraph"/>
        <w:numPr>
          <w:ilvl w:val="1"/>
          <w:numId w:val="22"/>
        </w:numPr>
        <w:tabs>
          <w:tab w:pos="2381" w:val="left" w:leader="none"/>
          <w:tab w:pos="2382" w:val="left" w:leader="none"/>
        </w:tabs>
        <w:spacing w:line="242" w:lineRule="auto" w:before="152" w:after="0"/>
        <w:ind w:left="2381" w:right="2516" w:hanging="794"/>
        <w:jc w:val="left"/>
        <w:rPr>
          <w:i/>
          <w:sz w:val="21"/>
        </w:rPr>
      </w:pPr>
      <w:r>
        <w:rPr>
          <w:w w:val="105"/>
          <w:sz w:val="21"/>
        </w:rPr>
        <w:t>The</w:t>
      </w:r>
      <w:r>
        <w:rPr>
          <w:spacing w:val="-5"/>
          <w:w w:val="105"/>
          <w:sz w:val="21"/>
        </w:rPr>
        <w:t> </w:t>
      </w:r>
      <w:r>
        <w:rPr>
          <w:w w:val="105"/>
          <w:sz w:val="21"/>
        </w:rPr>
        <w:t>Law</w:t>
      </w:r>
      <w:r>
        <w:rPr>
          <w:spacing w:val="-5"/>
          <w:w w:val="105"/>
          <w:sz w:val="21"/>
        </w:rPr>
        <w:t> </w:t>
      </w:r>
      <w:r>
        <w:rPr>
          <w:spacing w:val="-3"/>
          <w:w w:val="105"/>
          <w:sz w:val="21"/>
        </w:rPr>
        <w:t>Institute</w:t>
      </w:r>
      <w:r>
        <w:rPr>
          <w:spacing w:val="-5"/>
          <w:w w:val="105"/>
          <w:sz w:val="21"/>
        </w:rPr>
        <w:t> </w:t>
      </w:r>
      <w:r>
        <w:rPr>
          <w:w w:val="105"/>
          <w:sz w:val="21"/>
        </w:rPr>
        <w:t>of</w:t>
      </w:r>
      <w:r>
        <w:rPr>
          <w:spacing w:val="-4"/>
          <w:w w:val="105"/>
          <w:sz w:val="21"/>
        </w:rPr>
        <w:t> </w:t>
      </w:r>
      <w:r>
        <w:rPr>
          <w:w w:val="105"/>
          <w:sz w:val="21"/>
        </w:rPr>
        <w:t>Victoria</w:t>
      </w:r>
      <w:r>
        <w:rPr>
          <w:spacing w:val="-5"/>
          <w:w w:val="105"/>
          <w:sz w:val="21"/>
        </w:rPr>
        <w:t> </w:t>
      </w:r>
      <w:r>
        <w:rPr>
          <w:spacing w:val="-2"/>
          <w:w w:val="105"/>
          <w:sz w:val="21"/>
        </w:rPr>
        <w:t>has</w:t>
      </w:r>
      <w:r>
        <w:rPr>
          <w:spacing w:val="-5"/>
          <w:w w:val="105"/>
          <w:sz w:val="21"/>
        </w:rPr>
        <w:t> </w:t>
      </w:r>
      <w:r>
        <w:rPr>
          <w:w w:val="105"/>
          <w:sz w:val="21"/>
        </w:rPr>
        <w:t>approached</w:t>
      </w:r>
      <w:r>
        <w:rPr>
          <w:spacing w:val="-5"/>
          <w:w w:val="105"/>
          <w:sz w:val="21"/>
        </w:rPr>
        <w:t> </w:t>
      </w:r>
      <w:r>
        <w:rPr>
          <w:w w:val="105"/>
          <w:sz w:val="21"/>
        </w:rPr>
        <w:t>the</w:t>
      </w:r>
      <w:r>
        <w:rPr>
          <w:spacing w:val="-4"/>
          <w:w w:val="105"/>
          <w:sz w:val="21"/>
        </w:rPr>
        <w:t> </w:t>
      </w:r>
      <w:r>
        <w:rPr>
          <w:w w:val="105"/>
          <w:sz w:val="21"/>
        </w:rPr>
        <w:t>problem</w:t>
      </w:r>
      <w:r>
        <w:rPr>
          <w:spacing w:val="-5"/>
          <w:w w:val="105"/>
          <w:sz w:val="21"/>
        </w:rPr>
        <w:t> </w:t>
      </w:r>
      <w:r>
        <w:rPr>
          <w:w w:val="105"/>
          <w:sz w:val="21"/>
        </w:rPr>
        <w:t>by</w:t>
      </w:r>
      <w:r>
        <w:rPr>
          <w:spacing w:val="-5"/>
          <w:w w:val="105"/>
          <w:sz w:val="21"/>
        </w:rPr>
        <w:t> </w:t>
      </w:r>
      <w:r>
        <w:rPr>
          <w:spacing w:val="-3"/>
          <w:w w:val="105"/>
          <w:sz w:val="21"/>
        </w:rPr>
        <w:t>including</w:t>
      </w:r>
      <w:r>
        <w:rPr>
          <w:spacing w:val="-5"/>
          <w:w w:val="105"/>
          <w:sz w:val="21"/>
        </w:rPr>
        <w:t> </w:t>
      </w:r>
      <w:r>
        <w:rPr>
          <w:w w:val="105"/>
          <w:sz w:val="21"/>
        </w:rPr>
        <w:t>rule</w:t>
      </w:r>
      <w:r>
        <w:rPr>
          <w:spacing w:val="-4"/>
          <w:w w:val="105"/>
          <w:sz w:val="21"/>
        </w:rPr>
        <w:t> </w:t>
      </w:r>
      <w:r>
        <w:rPr>
          <w:spacing w:val="-9"/>
          <w:w w:val="105"/>
          <w:sz w:val="21"/>
        </w:rPr>
        <w:t>10.1 </w:t>
      </w:r>
      <w:r>
        <w:rPr>
          <w:w w:val="105"/>
          <w:sz w:val="21"/>
        </w:rPr>
        <w:t>in the Victorian </w:t>
      </w:r>
      <w:r>
        <w:rPr>
          <w:i/>
          <w:spacing w:val="-3"/>
          <w:w w:val="105"/>
          <w:sz w:val="21"/>
        </w:rPr>
        <w:t>Professional </w:t>
      </w:r>
      <w:r>
        <w:rPr>
          <w:i/>
          <w:w w:val="105"/>
          <w:sz w:val="21"/>
        </w:rPr>
        <w:t>Conduct and Practice Rules</w:t>
      </w:r>
      <w:r>
        <w:rPr>
          <w:i/>
          <w:spacing w:val="23"/>
          <w:w w:val="105"/>
          <w:sz w:val="21"/>
        </w:rPr>
        <w:t> </w:t>
      </w:r>
      <w:r>
        <w:rPr>
          <w:i/>
          <w:w w:val="105"/>
          <w:sz w:val="21"/>
        </w:rPr>
        <w:t>2005:</w:t>
      </w:r>
    </w:p>
    <w:p>
      <w:pPr>
        <w:spacing w:before="127"/>
        <w:ind w:left="2721" w:right="0" w:firstLine="0"/>
        <w:jc w:val="left"/>
        <w:rPr>
          <w:rFonts w:ascii="Lucida Sans"/>
          <w:b/>
          <w:sz w:val="20"/>
        </w:rPr>
      </w:pPr>
      <w:r>
        <w:rPr>
          <w:rFonts w:ascii="Lucida Sans"/>
          <w:b/>
          <w:sz w:val="20"/>
        </w:rPr>
        <w:t>Receiving a Benefit under a Will or other Instrument</w:t>
      </w:r>
    </w:p>
    <w:p>
      <w:pPr>
        <w:pStyle w:val="ListParagraph"/>
        <w:numPr>
          <w:ilvl w:val="1"/>
          <w:numId w:val="114"/>
        </w:numPr>
        <w:tabs>
          <w:tab w:pos="3402" w:val="left" w:leader="none"/>
        </w:tabs>
        <w:spacing w:line="254" w:lineRule="auto" w:before="149" w:after="0"/>
        <w:ind w:left="3401" w:right="1871" w:hanging="680"/>
        <w:jc w:val="both"/>
        <w:rPr>
          <w:sz w:val="20"/>
        </w:rPr>
      </w:pPr>
      <w:r>
        <w:rPr>
          <w:sz w:val="20"/>
        </w:rPr>
        <w:t>A practitioner who receives instructions from a </w:t>
      </w:r>
      <w:r>
        <w:rPr>
          <w:spacing w:val="-3"/>
          <w:sz w:val="20"/>
        </w:rPr>
        <w:t>client </w:t>
      </w:r>
      <w:r>
        <w:rPr>
          <w:sz w:val="20"/>
        </w:rPr>
        <w:t>to </w:t>
      </w:r>
      <w:r>
        <w:rPr>
          <w:spacing w:val="-3"/>
          <w:sz w:val="20"/>
        </w:rPr>
        <w:t>draw </w:t>
      </w:r>
      <w:r>
        <w:rPr>
          <w:sz w:val="20"/>
        </w:rPr>
        <w:t>a will appointing the practitioner or an associate of the practitioner an executor must </w:t>
      </w:r>
      <w:r>
        <w:rPr>
          <w:spacing w:val="-3"/>
          <w:sz w:val="20"/>
        </w:rPr>
        <w:t>inform </w:t>
      </w:r>
      <w:r>
        <w:rPr>
          <w:sz w:val="20"/>
        </w:rPr>
        <w:t>the </w:t>
      </w:r>
      <w:r>
        <w:rPr>
          <w:spacing w:val="-3"/>
          <w:sz w:val="20"/>
        </w:rPr>
        <w:t>client</w:t>
      </w:r>
      <w:r>
        <w:rPr>
          <w:spacing w:val="9"/>
          <w:sz w:val="20"/>
        </w:rPr>
        <w:t> </w:t>
      </w:r>
      <w:r>
        <w:rPr>
          <w:sz w:val="20"/>
        </w:rPr>
        <w:t>in</w:t>
      </w:r>
      <w:r>
        <w:rPr>
          <w:spacing w:val="9"/>
          <w:sz w:val="20"/>
        </w:rPr>
        <w:t> </w:t>
      </w:r>
      <w:r>
        <w:rPr>
          <w:sz w:val="20"/>
        </w:rPr>
        <w:t>writing</w:t>
      </w:r>
      <w:r>
        <w:rPr>
          <w:spacing w:val="9"/>
          <w:sz w:val="20"/>
        </w:rPr>
        <w:t> </w:t>
      </w:r>
      <w:r>
        <w:rPr>
          <w:sz w:val="20"/>
        </w:rPr>
        <w:t>before</w:t>
      </w:r>
      <w:r>
        <w:rPr>
          <w:spacing w:val="9"/>
          <w:sz w:val="20"/>
        </w:rPr>
        <w:t> </w:t>
      </w:r>
      <w:r>
        <w:rPr>
          <w:sz w:val="20"/>
        </w:rPr>
        <w:t>the</w:t>
      </w:r>
      <w:r>
        <w:rPr>
          <w:spacing w:val="10"/>
          <w:sz w:val="20"/>
        </w:rPr>
        <w:t> </w:t>
      </w:r>
      <w:r>
        <w:rPr>
          <w:spacing w:val="-3"/>
          <w:sz w:val="20"/>
        </w:rPr>
        <w:t>client</w:t>
      </w:r>
      <w:r>
        <w:rPr>
          <w:spacing w:val="9"/>
          <w:sz w:val="20"/>
        </w:rPr>
        <w:t> </w:t>
      </w:r>
      <w:r>
        <w:rPr>
          <w:sz w:val="20"/>
        </w:rPr>
        <w:t>signs</w:t>
      </w:r>
      <w:r>
        <w:rPr>
          <w:spacing w:val="9"/>
          <w:sz w:val="20"/>
        </w:rPr>
        <w:t> </w:t>
      </w:r>
      <w:r>
        <w:rPr>
          <w:sz w:val="20"/>
        </w:rPr>
        <w:t>the</w:t>
      </w:r>
      <w:r>
        <w:rPr>
          <w:spacing w:val="9"/>
          <w:sz w:val="20"/>
        </w:rPr>
        <w:t> </w:t>
      </w:r>
      <w:r>
        <w:rPr>
          <w:sz w:val="20"/>
        </w:rPr>
        <w:t>will</w:t>
      </w:r>
      <w:r>
        <w:rPr>
          <w:spacing w:val="9"/>
          <w:sz w:val="20"/>
        </w:rPr>
        <w:t> </w:t>
      </w:r>
      <w:r>
        <w:rPr>
          <w:sz w:val="20"/>
        </w:rPr>
        <w:t>–</w:t>
      </w:r>
    </w:p>
    <w:p>
      <w:pPr>
        <w:pStyle w:val="ListParagraph"/>
        <w:numPr>
          <w:ilvl w:val="2"/>
          <w:numId w:val="114"/>
        </w:numPr>
        <w:tabs>
          <w:tab w:pos="4004" w:val="left" w:leader="none"/>
        </w:tabs>
        <w:spacing w:line="254" w:lineRule="auto" w:before="123" w:after="0"/>
        <w:ind w:left="4003" w:right="2406" w:hanging="602"/>
        <w:jc w:val="left"/>
        <w:rPr>
          <w:sz w:val="20"/>
        </w:rPr>
      </w:pPr>
      <w:r>
        <w:rPr>
          <w:sz w:val="20"/>
        </w:rPr>
        <w:t>of </w:t>
      </w:r>
      <w:r>
        <w:rPr>
          <w:spacing w:val="-2"/>
          <w:sz w:val="20"/>
        </w:rPr>
        <w:t>any </w:t>
      </w:r>
      <w:r>
        <w:rPr>
          <w:sz w:val="20"/>
        </w:rPr>
        <w:t>entitlement of the </w:t>
      </w:r>
      <w:r>
        <w:rPr>
          <w:spacing w:val="-3"/>
          <w:sz w:val="20"/>
        </w:rPr>
        <w:t>practitioner, </w:t>
      </w:r>
      <w:r>
        <w:rPr>
          <w:sz w:val="20"/>
        </w:rPr>
        <w:t>or the practitioner’s firm or associate, to claim</w:t>
      </w:r>
      <w:r>
        <w:rPr>
          <w:spacing w:val="25"/>
          <w:sz w:val="20"/>
        </w:rPr>
        <w:t> </w:t>
      </w:r>
      <w:r>
        <w:rPr>
          <w:sz w:val="20"/>
        </w:rPr>
        <w:t>commission;</w:t>
      </w:r>
    </w:p>
    <w:p>
      <w:pPr>
        <w:pStyle w:val="ListParagraph"/>
        <w:numPr>
          <w:ilvl w:val="2"/>
          <w:numId w:val="114"/>
        </w:numPr>
        <w:tabs>
          <w:tab w:pos="4024" w:val="left" w:leader="none"/>
        </w:tabs>
        <w:spacing w:line="254" w:lineRule="auto" w:before="123" w:after="0"/>
        <w:ind w:left="4023" w:right="1743" w:hanging="622"/>
        <w:jc w:val="left"/>
        <w:rPr>
          <w:sz w:val="20"/>
        </w:rPr>
      </w:pPr>
      <w:r>
        <w:rPr>
          <w:sz w:val="20"/>
        </w:rPr>
        <w:t>of the </w:t>
      </w:r>
      <w:r>
        <w:rPr>
          <w:spacing w:val="-2"/>
          <w:sz w:val="20"/>
        </w:rPr>
        <w:t>inclusion  </w:t>
      </w:r>
      <w:r>
        <w:rPr>
          <w:sz w:val="20"/>
        </w:rPr>
        <w:t>in the will of </w:t>
      </w:r>
      <w:r>
        <w:rPr>
          <w:spacing w:val="-2"/>
          <w:sz w:val="20"/>
        </w:rPr>
        <w:t>any  </w:t>
      </w:r>
      <w:r>
        <w:rPr>
          <w:sz w:val="20"/>
        </w:rPr>
        <w:t>provision </w:t>
      </w:r>
      <w:r>
        <w:rPr>
          <w:spacing w:val="-3"/>
          <w:sz w:val="20"/>
        </w:rPr>
        <w:t>entitling  </w:t>
      </w:r>
      <w:r>
        <w:rPr>
          <w:sz w:val="20"/>
        </w:rPr>
        <w:t>the </w:t>
      </w:r>
      <w:r>
        <w:rPr>
          <w:spacing w:val="-3"/>
          <w:sz w:val="20"/>
        </w:rPr>
        <w:t>practitioner,  </w:t>
      </w:r>
      <w:r>
        <w:rPr>
          <w:sz w:val="20"/>
        </w:rPr>
        <w:t>or  the practitioner’s firm or associate, to charge legal costs in relation to the administration of the estate,</w:t>
      </w:r>
      <w:r>
        <w:rPr>
          <w:spacing w:val="33"/>
          <w:sz w:val="20"/>
        </w:rPr>
        <w:t> </w:t>
      </w:r>
      <w:r>
        <w:rPr>
          <w:sz w:val="20"/>
        </w:rPr>
        <w:t>and;</w:t>
      </w:r>
    </w:p>
    <w:p>
      <w:pPr>
        <w:pStyle w:val="ListParagraph"/>
        <w:numPr>
          <w:ilvl w:val="2"/>
          <w:numId w:val="114"/>
        </w:numPr>
        <w:tabs>
          <w:tab w:pos="4021" w:val="left" w:leader="none"/>
        </w:tabs>
        <w:spacing w:line="254" w:lineRule="auto" w:before="123" w:after="0"/>
        <w:ind w:left="4020" w:right="1660" w:hanging="619"/>
        <w:jc w:val="left"/>
        <w:rPr>
          <w:sz w:val="20"/>
        </w:rPr>
      </w:pPr>
      <w:r>
        <w:rPr>
          <w:sz w:val="20"/>
        </w:rPr>
        <w:t>if the practitioner or the practitioner’s firm or associate has an entitlement to </w:t>
      </w:r>
      <w:r>
        <w:rPr>
          <w:spacing w:val="-3"/>
          <w:sz w:val="20"/>
        </w:rPr>
        <w:t>claim </w:t>
      </w:r>
      <w:r>
        <w:rPr>
          <w:sz w:val="20"/>
        </w:rPr>
        <w:t>commission, that the person </w:t>
      </w:r>
      <w:r>
        <w:rPr>
          <w:spacing w:val="-3"/>
          <w:sz w:val="20"/>
        </w:rPr>
        <w:t>could </w:t>
      </w:r>
      <w:r>
        <w:rPr>
          <w:sz w:val="20"/>
        </w:rPr>
        <w:t>appoint as executor a person who might </w:t>
      </w:r>
      <w:r>
        <w:rPr>
          <w:spacing w:val="-3"/>
          <w:sz w:val="20"/>
        </w:rPr>
        <w:t>make </w:t>
      </w:r>
      <w:r>
        <w:rPr>
          <w:sz w:val="20"/>
        </w:rPr>
        <w:t>no </w:t>
      </w:r>
      <w:r>
        <w:rPr>
          <w:spacing w:val="-3"/>
          <w:sz w:val="20"/>
        </w:rPr>
        <w:t>claim </w:t>
      </w:r>
      <w:r>
        <w:rPr>
          <w:sz w:val="20"/>
        </w:rPr>
        <w:t>for</w:t>
      </w:r>
      <w:r>
        <w:rPr>
          <w:spacing w:val="-19"/>
          <w:sz w:val="20"/>
        </w:rPr>
        <w:t> </w:t>
      </w:r>
      <w:r>
        <w:rPr>
          <w:sz w:val="20"/>
        </w:rPr>
        <w:t>commission.</w:t>
      </w:r>
    </w:p>
    <w:p>
      <w:pPr>
        <w:pStyle w:val="ListParagraph"/>
        <w:numPr>
          <w:ilvl w:val="1"/>
          <w:numId w:val="22"/>
        </w:numPr>
        <w:tabs>
          <w:tab w:pos="2381" w:val="left" w:leader="none"/>
          <w:tab w:pos="2382" w:val="left" w:leader="none"/>
        </w:tabs>
        <w:spacing w:line="242" w:lineRule="auto" w:before="115" w:after="0"/>
        <w:ind w:left="2381" w:right="1657" w:hanging="794"/>
        <w:jc w:val="left"/>
        <w:rPr>
          <w:sz w:val="12"/>
        </w:rPr>
      </w:pPr>
      <w:r>
        <w:rPr>
          <w:sz w:val="21"/>
        </w:rPr>
        <w:t>Not </w:t>
      </w:r>
      <w:r>
        <w:rPr>
          <w:spacing w:val="-3"/>
          <w:sz w:val="21"/>
        </w:rPr>
        <w:t>all </w:t>
      </w:r>
      <w:r>
        <w:rPr>
          <w:sz w:val="21"/>
        </w:rPr>
        <w:t>legal practitioners </w:t>
      </w:r>
      <w:r>
        <w:rPr>
          <w:spacing w:val="-3"/>
          <w:sz w:val="21"/>
        </w:rPr>
        <w:t>follow </w:t>
      </w:r>
      <w:r>
        <w:rPr>
          <w:sz w:val="21"/>
        </w:rPr>
        <w:t>rule </w:t>
      </w:r>
      <w:r>
        <w:rPr>
          <w:spacing w:val="-11"/>
          <w:sz w:val="21"/>
        </w:rPr>
        <w:t>10.1, </w:t>
      </w:r>
      <w:r>
        <w:rPr>
          <w:sz w:val="21"/>
        </w:rPr>
        <w:t>even though a </w:t>
      </w:r>
      <w:r>
        <w:rPr>
          <w:spacing w:val="-4"/>
          <w:sz w:val="21"/>
        </w:rPr>
        <w:t>failure </w:t>
      </w:r>
      <w:r>
        <w:rPr>
          <w:spacing w:val="-3"/>
          <w:sz w:val="21"/>
        </w:rPr>
        <w:t>to </w:t>
      </w:r>
      <w:r>
        <w:rPr>
          <w:sz w:val="21"/>
        </w:rPr>
        <w:t>comply </w:t>
      </w:r>
      <w:r>
        <w:rPr>
          <w:spacing w:val="-3"/>
          <w:sz w:val="21"/>
        </w:rPr>
        <w:t>may constitute </w:t>
      </w:r>
      <w:r>
        <w:rPr>
          <w:sz w:val="21"/>
        </w:rPr>
        <w:t>unsatisfactory </w:t>
      </w:r>
      <w:r>
        <w:rPr>
          <w:spacing w:val="-3"/>
          <w:sz w:val="21"/>
        </w:rPr>
        <w:t>professional </w:t>
      </w:r>
      <w:r>
        <w:rPr>
          <w:sz w:val="21"/>
        </w:rPr>
        <w:t>conduct or </w:t>
      </w:r>
      <w:r>
        <w:rPr>
          <w:spacing w:val="-3"/>
          <w:sz w:val="21"/>
        </w:rPr>
        <w:t>professional </w:t>
      </w:r>
      <w:r>
        <w:rPr>
          <w:sz w:val="21"/>
        </w:rPr>
        <w:t>misconduct. The </w:t>
      </w:r>
      <w:r>
        <w:rPr>
          <w:spacing w:val="-3"/>
          <w:sz w:val="21"/>
        </w:rPr>
        <w:t>Supreme  Court’s Probate </w:t>
      </w:r>
      <w:r>
        <w:rPr>
          <w:sz w:val="21"/>
        </w:rPr>
        <w:t>Users </w:t>
      </w:r>
      <w:r>
        <w:rPr>
          <w:spacing w:val="-3"/>
          <w:sz w:val="21"/>
        </w:rPr>
        <w:t>Committee, </w:t>
      </w:r>
      <w:r>
        <w:rPr>
          <w:sz w:val="21"/>
        </w:rPr>
        <w:t>a </w:t>
      </w:r>
      <w:r>
        <w:rPr>
          <w:spacing w:val="-3"/>
          <w:sz w:val="21"/>
        </w:rPr>
        <w:t>forum for </w:t>
      </w:r>
      <w:r>
        <w:rPr>
          <w:sz w:val="21"/>
        </w:rPr>
        <w:t>legal practitioners and the  </w:t>
      </w:r>
      <w:r>
        <w:rPr>
          <w:spacing w:val="-3"/>
          <w:sz w:val="21"/>
        </w:rPr>
        <w:t>Court  to  </w:t>
      </w:r>
      <w:r>
        <w:rPr>
          <w:sz w:val="21"/>
        </w:rPr>
        <w:t>discuss </w:t>
      </w:r>
      <w:r>
        <w:rPr>
          <w:spacing w:val="-3"/>
          <w:sz w:val="21"/>
        </w:rPr>
        <w:t>succession </w:t>
      </w:r>
      <w:r>
        <w:rPr>
          <w:sz w:val="21"/>
        </w:rPr>
        <w:t>law and </w:t>
      </w:r>
      <w:r>
        <w:rPr>
          <w:spacing w:val="-3"/>
          <w:sz w:val="21"/>
        </w:rPr>
        <w:t>practice, </w:t>
      </w:r>
      <w:r>
        <w:rPr>
          <w:spacing w:val="-2"/>
          <w:sz w:val="21"/>
        </w:rPr>
        <w:t>has </w:t>
      </w:r>
      <w:r>
        <w:rPr>
          <w:sz w:val="21"/>
        </w:rPr>
        <w:t>expressed </w:t>
      </w:r>
      <w:r>
        <w:rPr>
          <w:spacing w:val="-3"/>
          <w:sz w:val="21"/>
        </w:rPr>
        <w:t>concern </w:t>
      </w:r>
      <w:r>
        <w:rPr>
          <w:sz w:val="21"/>
        </w:rPr>
        <w:t>about the  </w:t>
      </w:r>
      <w:r>
        <w:rPr>
          <w:spacing w:val="-3"/>
          <w:sz w:val="21"/>
        </w:rPr>
        <w:t>problem.  Sharing  </w:t>
      </w:r>
      <w:r>
        <w:rPr>
          <w:sz w:val="21"/>
        </w:rPr>
        <w:t>this </w:t>
      </w:r>
      <w:r>
        <w:rPr>
          <w:spacing w:val="-3"/>
          <w:sz w:val="21"/>
        </w:rPr>
        <w:t>concern, </w:t>
      </w:r>
      <w:r>
        <w:rPr>
          <w:sz w:val="21"/>
        </w:rPr>
        <w:t>the Registrar of Probates issued a </w:t>
      </w:r>
      <w:r>
        <w:rPr>
          <w:spacing w:val="-3"/>
          <w:sz w:val="21"/>
        </w:rPr>
        <w:t>reminder  notice  to  all  </w:t>
      </w:r>
      <w:r>
        <w:rPr>
          <w:sz w:val="21"/>
        </w:rPr>
        <w:t>legal practitioners in </w:t>
      </w:r>
      <w:r>
        <w:rPr>
          <w:spacing w:val="-7"/>
          <w:sz w:val="21"/>
        </w:rPr>
        <w:t>2010. </w:t>
      </w:r>
      <w:r>
        <w:rPr>
          <w:spacing w:val="-4"/>
          <w:sz w:val="21"/>
        </w:rPr>
        <w:t>However, </w:t>
      </w:r>
      <w:r>
        <w:rPr>
          <w:sz w:val="21"/>
        </w:rPr>
        <w:t>there is no evidence </w:t>
      </w:r>
      <w:r>
        <w:rPr>
          <w:spacing w:val="-3"/>
          <w:sz w:val="21"/>
        </w:rPr>
        <w:t>that </w:t>
      </w:r>
      <w:r>
        <w:rPr>
          <w:sz w:val="21"/>
        </w:rPr>
        <w:t>the level of  </w:t>
      </w:r>
      <w:r>
        <w:rPr>
          <w:spacing w:val="-3"/>
          <w:sz w:val="21"/>
        </w:rPr>
        <w:t>compliance  </w:t>
      </w:r>
      <w:r>
        <w:rPr>
          <w:spacing w:val="-2"/>
          <w:sz w:val="21"/>
        </w:rPr>
        <w:t>has  </w:t>
      </w:r>
      <w:r>
        <w:rPr>
          <w:spacing w:val="-3"/>
          <w:sz w:val="21"/>
        </w:rPr>
        <w:t>improved.  </w:t>
      </w:r>
      <w:r>
        <w:rPr>
          <w:sz w:val="21"/>
        </w:rPr>
        <w:t>The </w:t>
      </w:r>
      <w:r>
        <w:rPr>
          <w:spacing w:val="-3"/>
          <w:sz w:val="21"/>
        </w:rPr>
        <w:t>Probate </w:t>
      </w:r>
      <w:r>
        <w:rPr>
          <w:sz w:val="21"/>
        </w:rPr>
        <w:t>Registry </w:t>
      </w:r>
      <w:r>
        <w:rPr>
          <w:spacing w:val="-2"/>
          <w:sz w:val="21"/>
        </w:rPr>
        <w:t>has </w:t>
      </w:r>
      <w:r>
        <w:rPr>
          <w:sz w:val="21"/>
        </w:rPr>
        <w:t>observed </w:t>
      </w:r>
      <w:r>
        <w:rPr>
          <w:spacing w:val="-3"/>
          <w:sz w:val="21"/>
        </w:rPr>
        <w:t>that </w:t>
      </w:r>
      <w:r>
        <w:rPr>
          <w:sz w:val="21"/>
        </w:rPr>
        <w:t>a </w:t>
      </w:r>
      <w:r>
        <w:rPr>
          <w:spacing w:val="-3"/>
          <w:sz w:val="21"/>
        </w:rPr>
        <w:t>small </w:t>
      </w:r>
      <w:r>
        <w:rPr>
          <w:sz w:val="21"/>
        </w:rPr>
        <w:t>but </w:t>
      </w:r>
      <w:r>
        <w:rPr>
          <w:spacing w:val="-3"/>
          <w:sz w:val="21"/>
        </w:rPr>
        <w:t>recurring </w:t>
      </w:r>
      <w:r>
        <w:rPr>
          <w:sz w:val="21"/>
        </w:rPr>
        <w:t>percentage of legal practitioners </w:t>
      </w:r>
      <w:r>
        <w:rPr>
          <w:spacing w:val="-3"/>
          <w:sz w:val="21"/>
        </w:rPr>
        <w:t>consistently </w:t>
      </w:r>
      <w:r>
        <w:rPr>
          <w:sz w:val="21"/>
        </w:rPr>
        <w:t>draft </w:t>
      </w:r>
      <w:r>
        <w:rPr>
          <w:spacing w:val="-3"/>
          <w:sz w:val="21"/>
        </w:rPr>
        <w:t>wills  that  contain  </w:t>
      </w:r>
      <w:r>
        <w:rPr>
          <w:sz w:val="21"/>
        </w:rPr>
        <w:t>generous </w:t>
      </w:r>
      <w:r>
        <w:rPr>
          <w:spacing w:val="-3"/>
          <w:sz w:val="21"/>
        </w:rPr>
        <w:t>commission</w:t>
      </w:r>
      <w:r>
        <w:rPr>
          <w:spacing w:val="41"/>
          <w:sz w:val="21"/>
        </w:rPr>
        <w:t> </w:t>
      </w:r>
      <w:r>
        <w:rPr>
          <w:sz w:val="21"/>
        </w:rPr>
        <w:t>clauses. Where it can be seen </w:t>
      </w:r>
      <w:r>
        <w:rPr>
          <w:spacing w:val="-3"/>
          <w:sz w:val="21"/>
        </w:rPr>
        <w:t>that  </w:t>
      </w:r>
      <w:r>
        <w:rPr>
          <w:sz w:val="21"/>
        </w:rPr>
        <w:t>a </w:t>
      </w:r>
      <w:r>
        <w:rPr>
          <w:spacing w:val="-3"/>
          <w:sz w:val="21"/>
        </w:rPr>
        <w:t>will</w:t>
      </w:r>
      <w:r>
        <w:rPr>
          <w:spacing w:val="41"/>
          <w:sz w:val="21"/>
        </w:rPr>
        <w:t> </w:t>
      </w:r>
      <w:r>
        <w:rPr>
          <w:sz w:val="21"/>
        </w:rPr>
        <w:t>was drafted after the </w:t>
      </w:r>
      <w:r>
        <w:rPr>
          <w:spacing w:val="-3"/>
          <w:sz w:val="21"/>
        </w:rPr>
        <w:t>Registrar’s  notice  </w:t>
      </w:r>
      <w:r>
        <w:rPr>
          <w:sz w:val="21"/>
        </w:rPr>
        <w:t>was issued, a </w:t>
      </w:r>
      <w:r>
        <w:rPr>
          <w:spacing w:val="-3"/>
          <w:sz w:val="21"/>
        </w:rPr>
        <w:t>requisition  </w:t>
      </w:r>
      <w:r>
        <w:rPr>
          <w:sz w:val="21"/>
        </w:rPr>
        <w:t>is </w:t>
      </w:r>
      <w:r>
        <w:rPr>
          <w:spacing w:val="-2"/>
          <w:sz w:val="21"/>
        </w:rPr>
        <w:t>raised  </w:t>
      </w:r>
      <w:r>
        <w:rPr>
          <w:spacing w:val="-3"/>
          <w:sz w:val="21"/>
        </w:rPr>
        <w:t>to </w:t>
      </w:r>
      <w:r>
        <w:rPr>
          <w:sz w:val="21"/>
        </w:rPr>
        <w:t>seek proof of </w:t>
      </w:r>
      <w:r>
        <w:rPr>
          <w:spacing w:val="-3"/>
          <w:sz w:val="21"/>
        </w:rPr>
        <w:t>compliance </w:t>
      </w:r>
      <w:r>
        <w:rPr>
          <w:sz w:val="21"/>
        </w:rPr>
        <w:t>with the</w:t>
      </w:r>
      <w:r>
        <w:rPr>
          <w:spacing w:val="11"/>
          <w:sz w:val="21"/>
        </w:rPr>
        <w:t> </w:t>
      </w:r>
      <w:r>
        <w:rPr>
          <w:spacing w:val="-3"/>
          <w:sz w:val="21"/>
        </w:rPr>
        <w:t>rule.</w:t>
      </w:r>
      <w:r>
        <w:rPr>
          <w:spacing w:val="-3"/>
          <w:position w:val="7"/>
          <w:sz w:val="12"/>
        </w:rPr>
        <w:t>37</w:t>
      </w:r>
    </w:p>
    <w:p>
      <w:pPr>
        <w:pStyle w:val="ListParagraph"/>
        <w:numPr>
          <w:ilvl w:val="1"/>
          <w:numId w:val="22"/>
        </w:numPr>
        <w:tabs>
          <w:tab w:pos="2380" w:val="left" w:leader="none"/>
          <w:tab w:pos="2381" w:val="left" w:leader="none"/>
        </w:tabs>
        <w:spacing w:line="242" w:lineRule="auto" w:before="130" w:after="0"/>
        <w:ind w:left="2381" w:right="1769" w:hanging="794"/>
        <w:jc w:val="left"/>
        <w:rPr>
          <w:sz w:val="12"/>
        </w:rPr>
      </w:pPr>
      <w:r>
        <w:rPr>
          <w:sz w:val="21"/>
        </w:rPr>
        <w:t>The </w:t>
      </w:r>
      <w:r>
        <w:rPr>
          <w:spacing w:val="-3"/>
          <w:sz w:val="21"/>
        </w:rPr>
        <w:t>Commission </w:t>
      </w:r>
      <w:r>
        <w:rPr>
          <w:sz w:val="21"/>
        </w:rPr>
        <w:t>was told </w:t>
      </w:r>
      <w:r>
        <w:rPr>
          <w:spacing w:val="-3"/>
          <w:sz w:val="21"/>
        </w:rPr>
        <w:t>that </w:t>
      </w:r>
      <w:r>
        <w:rPr>
          <w:sz w:val="21"/>
        </w:rPr>
        <w:t>legal practitioners who </w:t>
      </w:r>
      <w:r>
        <w:rPr>
          <w:spacing w:val="-3"/>
          <w:sz w:val="21"/>
        </w:rPr>
        <w:t>frequently </w:t>
      </w:r>
      <w:r>
        <w:rPr>
          <w:sz w:val="21"/>
        </w:rPr>
        <w:t>draft </w:t>
      </w:r>
      <w:r>
        <w:rPr>
          <w:spacing w:val="-3"/>
          <w:sz w:val="21"/>
        </w:rPr>
        <w:t>wills that </w:t>
      </w:r>
      <w:r>
        <w:rPr>
          <w:sz w:val="21"/>
        </w:rPr>
        <w:t>appoint them, or a member of their law </w:t>
      </w:r>
      <w:r>
        <w:rPr>
          <w:spacing w:val="-3"/>
          <w:sz w:val="21"/>
        </w:rPr>
        <w:t>practice, </w:t>
      </w:r>
      <w:r>
        <w:rPr>
          <w:sz w:val="21"/>
        </w:rPr>
        <w:t>as </w:t>
      </w:r>
      <w:r>
        <w:rPr>
          <w:spacing w:val="-3"/>
          <w:sz w:val="21"/>
        </w:rPr>
        <w:t>executor </w:t>
      </w:r>
      <w:r>
        <w:rPr>
          <w:sz w:val="21"/>
        </w:rPr>
        <w:t>do </w:t>
      </w:r>
      <w:r>
        <w:rPr>
          <w:spacing w:val="-3"/>
          <w:sz w:val="21"/>
        </w:rPr>
        <w:t>follow </w:t>
      </w:r>
      <w:r>
        <w:rPr>
          <w:sz w:val="21"/>
        </w:rPr>
        <w:t>rule </w:t>
      </w:r>
      <w:r>
        <w:rPr>
          <w:spacing w:val="-10"/>
          <w:sz w:val="21"/>
        </w:rPr>
        <w:t>10.1. </w:t>
      </w:r>
      <w:r>
        <w:rPr>
          <w:sz w:val="21"/>
        </w:rPr>
        <w:t>Inexperienced practitioners look </w:t>
      </w:r>
      <w:r>
        <w:rPr>
          <w:spacing w:val="-3"/>
          <w:sz w:val="21"/>
        </w:rPr>
        <w:t>for guidance </w:t>
      </w:r>
      <w:r>
        <w:rPr>
          <w:sz w:val="21"/>
        </w:rPr>
        <w:t>in </w:t>
      </w:r>
      <w:r>
        <w:rPr>
          <w:spacing w:val="-3"/>
          <w:sz w:val="21"/>
        </w:rPr>
        <w:t>legislation </w:t>
      </w:r>
      <w:r>
        <w:rPr>
          <w:sz w:val="21"/>
        </w:rPr>
        <w:t>and would </w:t>
      </w:r>
      <w:r>
        <w:rPr>
          <w:spacing w:val="-2"/>
          <w:sz w:val="21"/>
        </w:rPr>
        <w:t>not </w:t>
      </w:r>
      <w:r>
        <w:rPr>
          <w:spacing w:val="-3"/>
          <w:sz w:val="21"/>
        </w:rPr>
        <w:t>think </w:t>
      </w:r>
      <w:r>
        <w:rPr>
          <w:sz w:val="21"/>
        </w:rPr>
        <w:t>of </w:t>
      </w:r>
      <w:r>
        <w:rPr>
          <w:spacing w:val="-3"/>
          <w:sz w:val="21"/>
        </w:rPr>
        <w:t>consulting </w:t>
      </w:r>
      <w:r>
        <w:rPr>
          <w:sz w:val="21"/>
        </w:rPr>
        <w:t>the </w:t>
      </w:r>
      <w:r>
        <w:rPr>
          <w:spacing w:val="-3"/>
          <w:sz w:val="21"/>
        </w:rPr>
        <w:t>Professional Conduct </w:t>
      </w:r>
      <w:r>
        <w:rPr>
          <w:sz w:val="21"/>
        </w:rPr>
        <w:t>and Practice Rules.</w:t>
      </w:r>
      <w:r>
        <w:rPr>
          <w:position w:val="7"/>
          <w:sz w:val="12"/>
        </w:rPr>
        <w:t>38 </w:t>
      </w:r>
      <w:r>
        <w:rPr>
          <w:sz w:val="21"/>
        </w:rPr>
        <w:t>One legal practitioner </w:t>
      </w:r>
      <w:r>
        <w:rPr>
          <w:spacing w:val="-3"/>
          <w:sz w:val="21"/>
        </w:rPr>
        <w:t>commented that, </w:t>
      </w:r>
      <w:r>
        <w:rPr>
          <w:sz w:val="21"/>
        </w:rPr>
        <w:t>in his experience, clients who </w:t>
      </w:r>
      <w:r>
        <w:rPr>
          <w:spacing w:val="-3"/>
          <w:sz w:val="21"/>
        </w:rPr>
        <w:t>have </w:t>
      </w:r>
      <w:r>
        <w:rPr>
          <w:sz w:val="21"/>
        </w:rPr>
        <w:t>been given the </w:t>
      </w:r>
      <w:r>
        <w:rPr>
          <w:spacing w:val="-3"/>
          <w:sz w:val="21"/>
        </w:rPr>
        <w:t>information required </w:t>
      </w:r>
      <w:r>
        <w:rPr>
          <w:sz w:val="21"/>
        </w:rPr>
        <w:t>by rule </w:t>
      </w:r>
      <w:r>
        <w:rPr>
          <w:spacing w:val="-9"/>
          <w:sz w:val="21"/>
        </w:rPr>
        <w:t>10.1 </w:t>
      </w:r>
      <w:r>
        <w:rPr>
          <w:sz w:val="21"/>
        </w:rPr>
        <w:t>no longer </w:t>
      </w:r>
      <w:r>
        <w:rPr>
          <w:spacing w:val="-3"/>
          <w:sz w:val="21"/>
        </w:rPr>
        <w:t>want</w:t>
      </w:r>
      <w:r>
        <w:rPr>
          <w:spacing w:val="9"/>
          <w:sz w:val="21"/>
        </w:rPr>
        <w:t> </w:t>
      </w:r>
      <w:r>
        <w:rPr>
          <w:spacing w:val="-3"/>
          <w:sz w:val="21"/>
        </w:rPr>
        <w:t>to</w:t>
      </w:r>
      <w:r>
        <w:rPr>
          <w:spacing w:val="10"/>
          <w:sz w:val="21"/>
        </w:rPr>
        <w:t> </w:t>
      </w:r>
      <w:r>
        <w:rPr>
          <w:sz w:val="21"/>
        </w:rPr>
        <w:t>appoint</w:t>
      </w:r>
      <w:r>
        <w:rPr>
          <w:spacing w:val="9"/>
          <w:sz w:val="21"/>
        </w:rPr>
        <w:t> </w:t>
      </w:r>
      <w:r>
        <w:rPr>
          <w:sz w:val="21"/>
        </w:rPr>
        <w:t>the</w:t>
      </w:r>
      <w:r>
        <w:rPr>
          <w:spacing w:val="10"/>
          <w:sz w:val="21"/>
        </w:rPr>
        <w:t> </w:t>
      </w:r>
      <w:r>
        <w:rPr>
          <w:sz w:val="21"/>
        </w:rPr>
        <w:t>legal</w:t>
      </w:r>
      <w:r>
        <w:rPr>
          <w:spacing w:val="9"/>
          <w:sz w:val="21"/>
        </w:rPr>
        <w:t> </w:t>
      </w:r>
      <w:r>
        <w:rPr>
          <w:sz w:val="21"/>
        </w:rPr>
        <w:t>practitioner</w:t>
      </w:r>
      <w:r>
        <w:rPr>
          <w:spacing w:val="10"/>
          <w:sz w:val="21"/>
        </w:rPr>
        <w:t> </w:t>
      </w:r>
      <w:r>
        <w:rPr>
          <w:sz w:val="21"/>
        </w:rPr>
        <w:t>as</w:t>
      </w:r>
      <w:r>
        <w:rPr>
          <w:spacing w:val="10"/>
          <w:sz w:val="21"/>
        </w:rPr>
        <w:t> </w:t>
      </w:r>
      <w:r>
        <w:rPr>
          <w:spacing w:val="-4"/>
          <w:sz w:val="21"/>
        </w:rPr>
        <w:t>executor.</w:t>
      </w:r>
      <w:r>
        <w:rPr>
          <w:spacing w:val="-4"/>
          <w:position w:val="7"/>
          <w:sz w:val="12"/>
        </w:rPr>
        <w:t>39</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5"/>
        </w:rPr>
      </w:pPr>
      <w:r>
        <w:rPr/>
        <w:pict>
          <v:line style="position:absolute;mso-position-horizontal-relative:page;mso-position-vertical-relative:paragraph;z-index:8816;mso-wrap-distance-left:0;mso-wrap-distance-right:0" from="79.370003pt,18.212559pt" to="515.905003pt,18.212559pt" stroked="true" strokeweight="1pt" strokecolor="#f9ceca">
            <v:stroke dashstyle="solid"/>
            <w10:wrap type="topAndBottom"/>
          </v:line>
        </w:pict>
      </w:r>
    </w:p>
    <w:p>
      <w:pPr>
        <w:pStyle w:val="BodyText"/>
        <w:spacing w:before="8"/>
        <w:rPr>
          <w:sz w:val="5"/>
        </w:rPr>
      </w:pPr>
    </w:p>
    <w:p>
      <w:pPr>
        <w:spacing w:after="0"/>
        <w:rPr>
          <w:sz w:val="5"/>
        </w:rPr>
        <w:sectPr>
          <w:pgSz w:w="11910" w:h="16840"/>
          <w:pgMar w:header="550" w:footer="0" w:top="1560" w:bottom="280" w:left="0" w:right="0"/>
        </w:sectPr>
      </w:pPr>
    </w:p>
    <w:p>
      <w:pPr>
        <w:pStyle w:val="BodyText"/>
        <w:rPr>
          <w:sz w:val="28"/>
        </w:rPr>
      </w:pPr>
    </w:p>
    <w:p>
      <w:pPr>
        <w:pStyle w:val="BodyText"/>
        <w:spacing w:before="12"/>
        <w:rPr>
          <w:sz w:val="20"/>
        </w:rPr>
      </w:pPr>
    </w:p>
    <w:p>
      <w:pPr>
        <w:spacing w:before="0"/>
        <w:ind w:left="720" w:right="0" w:firstLine="0"/>
        <w:jc w:val="left"/>
        <w:rPr>
          <w:b/>
          <w:sz w:val="24"/>
        </w:rPr>
      </w:pPr>
      <w:r>
        <w:rPr>
          <w:b/>
          <w:color w:val="EC5A4F"/>
          <w:spacing w:val="-1"/>
          <w:w w:val="110"/>
          <w:sz w:val="24"/>
        </w:rPr>
        <w:t>144</w:t>
      </w:r>
    </w:p>
    <w:p>
      <w:pPr>
        <w:pStyle w:val="ListParagraph"/>
        <w:numPr>
          <w:ilvl w:val="0"/>
          <w:numId w:val="115"/>
        </w:numPr>
        <w:tabs>
          <w:tab w:pos="1222" w:val="left" w:leader="none"/>
          <w:tab w:pos="1223" w:val="left" w:leader="none"/>
        </w:tabs>
        <w:spacing w:line="240" w:lineRule="auto" w:before="48" w:after="0"/>
        <w:ind w:left="1222" w:right="0" w:hanging="794"/>
        <w:jc w:val="left"/>
        <w:rPr>
          <w:sz w:val="13"/>
        </w:rPr>
      </w:pPr>
      <w:r>
        <w:rPr>
          <w:spacing w:val="1"/>
          <w:w w:val="115"/>
          <w:sz w:val="13"/>
        </w:rPr>
        <w:br w:type="column"/>
      </w:r>
      <w:r>
        <w:rPr>
          <w:w w:val="105"/>
          <w:sz w:val="13"/>
        </w:rPr>
        <w:t>Advisory Committee (Meeting</w:t>
      </w:r>
      <w:r>
        <w:rPr>
          <w:spacing w:val="13"/>
          <w:w w:val="105"/>
          <w:sz w:val="13"/>
        </w:rPr>
        <w:t> </w:t>
      </w:r>
      <w:r>
        <w:rPr>
          <w:w w:val="105"/>
          <w:sz w:val="13"/>
        </w:rPr>
        <w:t>1).</w:t>
      </w:r>
    </w:p>
    <w:p>
      <w:pPr>
        <w:pStyle w:val="ListParagraph"/>
        <w:numPr>
          <w:ilvl w:val="0"/>
          <w:numId w:val="115"/>
        </w:numPr>
        <w:tabs>
          <w:tab w:pos="1222" w:val="left" w:leader="none"/>
          <w:tab w:pos="1223" w:val="left" w:leader="none"/>
        </w:tabs>
        <w:spacing w:line="240" w:lineRule="auto" w:before="1" w:after="0"/>
        <w:ind w:left="1222" w:right="0" w:hanging="794"/>
        <w:jc w:val="left"/>
        <w:rPr>
          <w:sz w:val="13"/>
        </w:rPr>
      </w:pPr>
      <w:r>
        <w:rPr>
          <w:sz w:val="13"/>
        </w:rPr>
        <w:t>Ibid.</w:t>
      </w:r>
    </w:p>
    <w:p>
      <w:pPr>
        <w:pStyle w:val="ListParagraph"/>
        <w:numPr>
          <w:ilvl w:val="0"/>
          <w:numId w:val="115"/>
        </w:numPr>
        <w:tabs>
          <w:tab w:pos="1222" w:val="left" w:leader="none"/>
          <w:tab w:pos="1223" w:val="left" w:leader="none"/>
        </w:tabs>
        <w:spacing w:line="240" w:lineRule="auto" w:before="2" w:after="0"/>
        <w:ind w:left="1222" w:right="1973" w:hanging="794"/>
        <w:jc w:val="left"/>
        <w:rPr>
          <w:sz w:val="13"/>
        </w:rPr>
      </w:pPr>
      <w:r>
        <w:rPr>
          <w:w w:val="105"/>
          <w:sz w:val="13"/>
        </w:rPr>
        <w:t>Informal discussions with </w:t>
      </w:r>
      <w:r>
        <w:rPr>
          <w:spacing w:val="2"/>
          <w:w w:val="105"/>
          <w:sz w:val="13"/>
        </w:rPr>
        <w:t>staff </w:t>
      </w:r>
      <w:r>
        <w:rPr>
          <w:w w:val="105"/>
          <w:sz w:val="13"/>
        </w:rPr>
        <w:t>of the Legal Services Commissioner; consultation 7 </w:t>
      </w:r>
      <w:r>
        <w:rPr>
          <w:spacing w:val="3"/>
          <w:w w:val="105"/>
          <w:sz w:val="13"/>
        </w:rPr>
        <w:t>(Law </w:t>
      </w:r>
      <w:r>
        <w:rPr>
          <w:w w:val="105"/>
          <w:sz w:val="13"/>
        </w:rPr>
        <w:t>Institute of Victoria Wills &amp; Estates Discussion Group).</w:t>
      </w:r>
    </w:p>
    <w:p>
      <w:pPr>
        <w:pStyle w:val="ListParagraph"/>
        <w:numPr>
          <w:ilvl w:val="0"/>
          <w:numId w:val="115"/>
        </w:numPr>
        <w:tabs>
          <w:tab w:pos="1222" w:val="left" w:leader="none"/>
          <w:tab w:pos="1223" w:val="left" w:leader="none"/>
        </w:tabs>
        <w:spacing w:line="240" w:lineRule="auto" w:before="2" w:after="0"/>
        <w:ind w:left="1222" w:right="0" w:hanging="794"/>
        <w:jc w:val="left"/>
        <w:rPr>
          <w:sz w:val="13"/>
        </w:rPr>
      </w:pPr>
      <w:r>
        <w:rPr>
          <w:w w:val="105"/>
          <w:sz w:val="13"/>
        </w:rPr>
        <w:t>Advisory Committee (Meeting</w:t>
      </w:r>
      <w:r>
        <w:rPr>
          <w:spacing w:val="13"/>
          <w:w w:val="105"/>
          <w:sz w:val="13"/>
        </w:rPr>
        <w:t> </w:t>
      </w:r>
      <w:r>
        <w:rPr>
          <w:spacing w:val="3"/>
          <w:w w:val="105"/>
          <w:sz w:val="13"/>
        </w:rPr>
        <w:t>4).</w:t>
      </w:r>
    </w:p>
    <w:p>
      <w:pPr>
        <w:spacing w:after="0" w:line="240" w:lineRule="auto"/>
        <w:jc w:val="left"/>
        <w:rPr>
          <w:sz w:val="13"/>
        </w:rPr>
        <w:sectPr>
          <w:type w:val="continuous"/>
          <w:pgSz w:w="11910" w:h="16840"/>
          <w:pgMar w:top="920" w:bottom="280" w:left="0" w:right="0"/>
          <w:cols w:num="2" w:equalWidth="0">
            <w:col w:w="1119" w:space="40"/>
            <w:col w:w="10751"/>
          </w:cols>
        </w:sectPr>
      </w:pPr>
    </w:p>
    <w:p>
      <w:pPr>
        <w:pStyle w:val="BodyText"/>
        <w:rPr>
          <w:sz w:val="20"/>
        </w:rPr>
      </w:pPr>
    </w:p>
    <w:p>
      <w:pPr>
        <w:pStyle w:val="BodyText"/>
        <w:spacing w:before="12"/>
        <w:rPr>
          <w:sz w:val="18"/>
        </w:rPr>
      </w:pPr>
    </w:p>
    <w:p>
      <w:pPr>
        <w:pStyle w:val="Heading6"/>
        <w:spacing w:before="100"/>
      </w:pPr>
      <w:r>
        <w:rPr>
          <w:w w:val="115"/>
        </w:rPr>
        <w:t>Reform proposals</w:t>
      </w:r>
    </w:p>
    <w:p>
      <w:pPr>
        <w:pStyle w:val="ListParagraph"/>
        <w:numPr>
          <w:ilvl w:val="1"/>
          <w:numId w:val="22"/>
        </w:numPr>
        <w:tabs>
          <w:tab w:pos="2381" w:val="left" w:leader="none"/>
          <w:tab w:pos="2382" w:val="left" w:leader="none"/>
        </w:tabs>
        <w:spacing w:line="242" w:lineRule="auto" w:before="151" w:after="0"/>
        <w:ind w:left="2381" w:right="1802" w:hanging="794"/>
        <w:jc w:val="left"/>
        <w:rPr>
          <w:sz w:val="21"/>
        </w:rPr>
      </w:pPr>
      <w:r>
        <w:rPr>
          <w:w w:val="105"/>
          <w:sz w:val="21"/>
        </w:rPr>
        <w:t>The</w:t>
      </w:r>
      <w:r>
        <w:rPr>
          <w:spacing w:val="-10"/>
          <w:w w:val="105"/>
          <w:sz w:val="21"/>
        </w:rPr>
        <w:t> </w:t>
      </w:r>
      <w:r>
        <w:rPr>
          <w:spacing w:val="-3"/>
          <w:w w:val="105"/>
          <w:sz w:val="21"/>
        </w:rPr>
        <w:t>consultation</w:t>
      </w:r>
      <w:r>
        <w:rPr>
          <w:spacing w:val="-9"/>
          <w:w w:val="105"/>
          <w:sz w:val="21"/>
        </w:rPr>
        <w:t> </w:t>
      </w:r>
      <w:r>
        <w:rPr>
          <w:w w:val="105"/>
          <w:sz w:val="21"/>
        </w:rPr>
        <w:t>paper</w:t>
      </w:r>
      <w:r>
        <w:rPr>
          <w:spacing w:val="-9"/>
          <w:w w:val="105"/>
          <w:sz w:val="21"/>
        </w:rPr>
        <w:t> </w:t>
      </w:r>
      <w:r>
        <w:rPr>
          <w:w w:val="105"/>
          <w:sz w:val="21"/>
        </w:rPr>
        <w:t>on</w:t>
      </w:r>
      <w:r>
        <w:rPr>
          <w:spacing w:val="-9"/>
          <w:w w:val="105"/>
          <w:sz w:val="21"/>
        </w:rPr>
        <w:t> </w:t>
      </w:r>
      <w:r>
        <w:rPr>
          <w:w w:val="105"/>
          <w:sz w:val="21"/>
        </w:rPr>
        <w:t>executors</w:t>
      </w:r>
      <w:r>
        <w:rPr>
          <w:spacing w:val="-9"/>
          <w:w w:val="105"/>
          <w:sz w:val="21"/>
        </w:rPr>
        <w:t> </w:t>
      </w:r>
      <w:r>
        <w:rPr>
          <w:spacing w:val="-3"/>
          <w:w w:val="105"/>
          <w:sz w:val="21"/>
        </w:rPr>
        <w:t>invited</w:t>
      </w:r>
      <w:r>
        <w:rPr>
          <w:spacing w:val="-9"/>
          <w:w w:val="105"/>
          <w:sz w:val="21"/>
        </w:rPr>
        <w:t> </w:t>
      </w:r>
      <w:r>
        <w:rPr>
          <w:spacing w:val="-3"/>
          <w:w w:val="105"/>
          <w:sz w:val="21"/>
        </w:rPr>
        <w:t>submissions</w:t>
      </w:r>
      <w:r>
        <w:rPr>
          <w:spacing w:val="-9"/>
          <w:w w:val="105"/>
          <w:sz w:val="21"/>
        </w:rPr>
        <w:t> </w:t>
      </w:r>
      <w:r>
        <w:rPr>
          <w:w w:val="105"/>
          <w:sz w:val="21"/>
        </w:rPr>
        <w:t>on</w:t>
      </w:r>
      <w:r>
        <w:rPr>
          <w:spacing w:val="-9"/>
          <w:w w:val="105"/>
          <w:sz w:val="21"/>
        </w:rPr>
        <w:t> </w:t>
      </w:r>
      <w:r>
        <w:rPr>
          <w:spacing w:val="-3"/>
          <w:w w:val="105"/>
          <w:sz w:val="21"/>
        </w:rPr>
        <w:t>improving</w:t>
      </w:r>
      <w:r>
        <w:rPr>
          <w:spacing w:val="-9"/>
          <w:w w:val="105"/>
          <w:sz w:val="21"/>
        </w:rPr>
        <w:t> </w:t>
      </w:r>
      <w:r>
        <w:rPr>
          <w:w w:val="105"/>
          <w:sz w:val="21"/>
        </w:rPr>
        <w:t>the</w:t>
      </w:r>
      <w:r>
        <w:rPr>
          <w:spacing w:val="-9"/>
          <w:w w:val="105"/>
          <w:sz w:val="21"/>
        </w:rPr>
        <w:t> </w:t>
      </w:r>
      <w:r>
        <w:rPr>
          <w:w w:val="105"/>
          <w:sz w:val="21"/>
        </w:rPr>
        <w:t>existing</w:t>
      </w:r>
      <w:r>
        <w:rPr>
          <w:spacing w:val="-9"/>
          <w:w w:val="105"/>
          <w:sz w:val="21"/>
        </w:rPr>
        <w:t> </w:t>
      </w:r>
      <w:r>
        <w:rPr>
          <w:w w:val="105"/>
          <w:sz w:val="21"/>
        </w:rPr>
        <w:t>rules </w:t>
      </w:r>
      <w:r>
        <w:rPr>
          <w:spacing w:val="-3"/>
          <w:w w:val="105"/>
          <w:sz w:val="21"/>
        </w:rPr>
        <w:t>for</w:t>
      </w:r>
      <w:r>
        <w:rPr>
          <w:spacing w:val="-8"/>
          <w:w w:val="105"/>
          <w:sz w:val="21"/>
        </w:rPr>
        <w:t> </w:t>
      </w:r>
      <w:r>
        <w:rPr>
          <w:spacing w:val="-3"/>
          <w:w w:val="105"/>
          <w:sz w:val="21"/>
        </w:rPr>
        <w:t>ensuring</w:t>
      </w:r>
      <w:r>
        <w:rPr>
          <w:spacing w:val="-7"/>
          <w:w w:val="105"/>
          <w:sz w:val="21"/>
        </w:rPr>
        <w:t> </w:t>
      </w:r>
      <w:r>
        <w:rPr>
          <w:spacing w:val="-3"/>
          <w:w w:val="105"/>
          <w:sz w:val="21"/>
        </w:rPr>
        <w:t>that</w:t>
      </w:r>
      <w:r>
        <w:rPr>
          <w:spacing w:val="-7"/>
          <w:w w:val="105"/>
          <w:sz w:val="21"/>
        </w:rPr>
        <w:t> </w:t>
      </w:r>
      <w:r>
        <w:rPr>
          <w:w w:val="105"/>
          <w:sz w:val="21"/>
        </w:rPr>
        <w:t>will-makers</w:t>
      </w:r>
      <w:r>
        <w:rPr>
          <w:spacing w:val="-7"/>
          <w:w w:val="105"/>
          <w:sz w:val="21"/>
        </w:rPr>
        <w:t> </w:t>
      </w:r>
      <w:r>
        <w:rPr>
          <w:spacing w:val="-3"/>
          <w:w w:val="105"/>
          <w:sz w:val="21"/>
        </w:rPr>
        <w:t>are</w:t>
      </w:r>
      <w:r>
        <w:rPr>
          <w:spacing w:val="-7"/>
          <w:w w:val="105"/>
          <w:sz w:val="21"/>
        </w:rPr>
        <w:t> </w:t>
      </w:r>
      <w:r>
        <w:rPr>
          <w:spacing w:val="-3"/>
          <w:w w:val="105"/>
          <w:sz w:val="21"/>
        </w:rPr>
        <w:t>fully</w:t>
      </w:r>
      <w:r>
        <w:rPr>
          <w:spacing w:val="-7"/>
          <w:w w:val="105"/>
          <w:sz w:val="21"/>
        </w:rPr>
        <w:t> </w:t>
      </w:r>
      <w:r>
        <w:rPr>
          <w:spacing w:val="-3"/>
          <w:w w:val="105"/>
          <w:sz w:val="21"/>
        </w:rPr>
        <w:t>informed</w:t>
      </w:r>
      <w:r>
        <w:rPr>
          <w:spacing w:val="-7"/>
          <w:w w:val="105"/>
          <w:sz w:val="21"/>
        </w:rPr>
        <w:t> </w:t>
      </w:r>
      <w:r>
        <w:rPr>
          <w:w w:val="105"/>
          <w:sz w:val="21"/>
        </w:rPr>
        <w:t>about</w:t>
      </w:r>
      <w:r>
        <w:rPr>
          <w:spacing w:val="-7"/>
          <w:w w:val="105"/>
          <w:sz w:val="21"/>
        </w:rPr>
        <w:t> </w:t>
      </w:r>
      <w:r>
        <w:rPr>
          <w:w w:val="105"/>
          <w:sz w:val="21"/>
        </w:rPr>
        <w:t>the</w:t>
      </w:r>
      <w:r>
        <w:rPr>
          <w:spacing w:val="-7"/>
          <w:w w:val="105"/>
          <w:sz w:val="21"/>
        </w:rPr>
        <w:t> </w:t>
      </w:r>
      <w:r>
        <w:rPr>
          <w:w w:val="105"/>
          <w:sz w:val="21"/>
        </w:rPr>
        <w:t>possible</w:t>
      </w:r>
      <w:r>
        <w:rPr>
          <w:spacing w:val="-7"/>
          <w:w w:val="105"/>
          <w:sz w:val="21"/>
        </w:rPr>
        <w:t> </w:t>
      </w:r>
      <w:r>
        <w:rPr>
          <w:w w:val="105"/>
          <w:sz w:val="21"/>
        </w:rPr>
        <w:t>costs</w:t>
      </w:r>
      <w:r>
        <w:rPr>
          <w:spacing w:val="-7"/>
          <w:w w:val="105"/>
          <w:sz w:val="21"/>
        </w:rPr>
        <w:t> </w:t>
      </w:r>
      <w:r>
        <w:rPr>
          <w:spacing w:val="-3"/>
          <w:w w:val="105"/>
          <w:sz w:val="21"/>
        </w:rPr>
        <w:t>to</w:t>
      </w:r>
      <w:r>
        <w:rPr>
          <w:spacing w:val="-7"/>
          <w:w w:val="105"/>
          <w:sz w:val="21"/>
        </w:rPr>
        <w:t> </w:t>
      </w:r>
      <w:r>
        <w:rPr>
          <w:w w:val="105"/>
          <w:sz w:val="21"/>
        </w:rPr>
        <w:t>the</w:t>
      </w:r>
      <w:r>
        <w:rPr>
          <w:spacing w:val="-7"/>
          <w:w w:val="105"/>
          <w:sz w:val="21"/>
        </w:rPr>
        <w:t> </w:t>
      </w:r>
      <w:r>
        <w:rPr>
          <w:w w:val="105"/>
          <w:sz w:val="21"/>
        </w:rPr>
        <w:t>estate</w:t>
      </w:r>
      <w:r>
        <w:rPr>
          <w:spacing w:val="-7"/>
          <w:w w:val="105"/>
          <w:sz w:val="21"/>
        </w:rPr>
        <w:t> </w:t>
      </w:r>
      <w:r>
        <w:rPr>
          <w:w w:val="105"/>
          <w:sz w:val="21"/>
        </w:rPr>
        <w:t>of </w:t>
      </w:r>
      <w:r>
        <w:rPr>
          <w:spacing w:val="-3"/>
          <w:w w:val="105"/>
          <w:sz w:val="21"/>
        </w:rPr>
        <w:t>appointing </w:t>
      </w:r>
      <w:r>
        <w:rPr>
          <w:w w:val="105"/>
          <w:sz w:val="21"/>
        </w:rPr>
        <w:t>a legal practitioner </w:t>
      </w:r>
      <w:r>
        <w:rPr>
          <w:spacing w:val="-4"/>
          <w:w w:val="105"/>
          <w:sz w:val="21"/>
        </w:rPr>
        <w:t>executor. </w:t>
      </w:r>
      <w:r>
        <w:rPr>
          <w:w w:val="105"/>
          <w:sz w:val="21"/>
        </w:rPr>
        <w:t>The proposals </w:t>
      </w:r>
      <w:r>
        <w:rPr>
          <w:spacing w:val="-3"/>
          <w:w w:val="105"/>
          <w:sz w:val="21"/>
        </w:rPr>
        <w:t>considered </w:t>
      </w:r>
      <w:r>
        <w:rPr>
          <w:w w:val="105"/>
          <w:sz w:val="21"/>
        </w:rPr>
        <w:t>by the </w:t>
      </w:r>
      <w:r>
        <w:rPr>
          <w:spacing w:val="-3"/>
          <w:w w:val="105"/>
          <w:sz w:val="21"/>
        </w:rPr>
        <w:t>Commission </w:t>
      </w:r>
      <w:r>
        <w:rPr>
          <w:w w:val="105"/>
          <w:sz w:val="21"/>
        </w:rPr>
        <w:t>included:</w:t>
      </w:r>
    </w:p>
    <w:p>
      <w:pPr>
        <w:pStyle w:val="ListParagraph"/>
        <w:numPr>
          <w:ilvl w:val="2"/>
          <w:numId w:val="22"/>
        </w:numPr>
        <w:tabs>
          <w:tab w:pos="2721" w:val="left" w:leader="none"/>
          <w:tab w:pos="2722" w:val="left" w:leader="none"/>
        </w:tabs>
        <w:spacing w:line="242" w:lineRule="auto" w:before="124" w:after="0"/>
        <w:ind w:left="2721" w:right="2130" w:hanging="340"/>
        <w:jc w:val="left"/>
        <w:rPr>
          <w:sz w:val="21"/>
        </w:rPr>
      </w:pPr>
      <w:r>
        <w:rPr>
          <w:spacing w:val="-3"/>
          <w:w w:val="105"/>
          <w:sz w:val="21"/>
        </w:rPr>
        <w:t>requiring </w:t>
      </w:r>
      <w:r>
        <w:rPr>
          <w:w w:val="105"/>
          <w:sz w:val="21"/>
        </w:rPr>
        <w:t>a </w:t>
      </w:r>
      <w:r>
        <w:rPr>
          <w:spacing w:val="-3"/>
          <w:w w:val="105"/>
          <w:sz w:val="21"/>
        </w:rPr>
        <w:t>will appointing </w:t>
      </w:r>
      <w:r>
        <w:rPr>
          <w:w w:val="105"/>
          <w:sz w:val="21"/>
        </w:rPr>
        <w:t>a legal practitioner as </w:t>
      </w:r>
      <w:r>
        <w:rPr>
          <w:spacing w:val="-3"/>
          <w:w w:val="105"/>
          <w:sz w:val="21"/>
        </w:rPr>
        <w:t>executor to </w:t>
      </w:r>
      <w:r>
        <w:rPr>
          <w:w w:val="105"/>
          <w:sz w:val="21"/>
        </w:rPr>
        <w:t>be witnessed by an independent</w:t>
      </w:r>
      <w:r>
        <w:rPr>
          <w:spacing w:val="4"/>
          <w:w w:val="105"/>
          <w:sz w:val="21"/>
        </w:rPr>
        <w:t> </w:t>
      </w:r>
      <w:r>
        <w:rPr>
          <w:w w:val="105"/>
          <w:sz w:val="21"/>
        </w:rPr>
        <w:t>witness</w:t>
      </w:r>
    </w:p>
    <w:p>
      <w:pPr>
        <w:pStyle w:val="ListParagraph"/>
        <w:numPr>
          <w:ilvl w:val="2"/>
          <w:numId w:val="22"/>
        </w:numPr>
        <w:tabs>
          <w:tab w:pos="2721" w:val="left" w:leader="none"/>
          <w:tab w:pos="2722" w:val="left" w:leader="none"/>
        </w:tabs>
        <w:spacing w:line="242" w:lineRule="auto" w:before="122" w:after="0"/>
        <w:ind w:left="2721" w:right="1584" w:hanging="340"/>
        <w:jc w:val="left"/>
        <w:rPr>
          <w:sz w:val="21"/>
        </w:rPr>
      </w:pPr>
      <w:r>
        <w:rPr>
          <w:spacing w:val="-3"/>
          <w:w w:val="105"/>
          <w:sz w:val="21"/>
        </w:rPr>
        <w:t>requiring </w:t>
      </w:r>
      <w:r>
        <w:rPr>
          <w:w w:val="105"/>
          <w:sz w:val="21"/>
        </w:rPr>
        <w:t>the </w:t>
      </w:r>
      <w:r>
        <w:rPr>
          <w:spacing w:val="-3"/>
          <w:w w:val="105"/>
          <w:sz w:val="21"/>
        </w:rPr>
        <w:t>will-maker to </w:t>
      </w:r>
      <w:r>
        <w:rPr>
          <w:w w:val="105"/>
          <w:sz w:val="21"/>
        </w:rPr>
        <w:t>obtain independent advice </w:t>
      </w:r>
      <w:r>
        <w:rPr>
          <w:spacing w:val="-3"/>
          <w:w w:val="105"/>
          <w:sz w:val="21"/>
        </w:rPr>
        <w:t>before agreeing to </w:t>
      </w:r>
      <w:r>
        <w:rPr>
          <w:w w:val="105"/>
          <w:sz w:val="21"/>
        </w:rPr>
        <w:t>the </w:t>
      </w:r>
      <w:r>
        <w:rPr>
          <w:spacing w:val="-3"/>
          <w:w w:val="105"/>
          <w:sz w:val="21"/>
        </w:rPr>
        <w:t>inclusion </w:t>
      </w:r>
      <w:r>
        <w:rPr>
          <w:w w:val="105"/>
          <w:sz w:val="21"/>
        </w:rPr>
        <w:t>of a </w:t>
      </w:r>
      <w:r>
        <w:rPr>
          <w:spacing w:val="-3"/>
          <w:w w:val="105"/>
          <w:sz w:val="21"/>
        </w:rPr>
        <w:t>commission</w:t>
      </w:r>
      <w:r>
        <w:rPr>
          <w:spacing w:val="16"/>
          <w:w w:val="105"/>
          <w:sz w:val="21"/>
        </w:rPr>
        <w:t> </w:t>
      </w:r>
      <w:r>
        <w:rPr>
          <w:spacing w:val="-3"/>
          <w:w w:val="105"/>
          <w:sz w:val="21"/>
        </w:rPr>
        <w:t>clause</w:t>
      </w:r>
    </w:p>
    <w:p>
      <w:pPr>
        <w:pStyle w:val="ListParagraph"/>
        <w:numPr>
          <w:ilvl w:val="2"/>
          <w:numId w:val="22"/>
        </w:numPr>
        <w:tabs>
          <w:tab w:pos="2721" w:val="left" w:leader="none"/>
          <w:tab w:pos="2722" w:val="left" w:leader="none"/>
        </w:tabs>
        <w:spacing w:line="240" w:lineRule="auto" w:before="123" w:after="0"/>
        <w:ind w:left="2721" w:right="0" w:hanging="340"/>
        <w:jc w:val="left"/>
        <w:rPr>
          <w:sz w:val="21"/>
        </w:rPr>
      </w:pPr>
      <w:r>
        <w:rPr>
          <w:spacing w:val="-3"/>
          <w:w w:val="105"/>
          <w:sz w:val="21"/>
        </w:rPr>
        <w:t>incorporating </w:t>
      </w:r>
      <w:r>
        <w:rPr>
          <w:w w:val="105"/>
          <w:sz w:val="21"/>
        </w:rPr>
        <w:t>rule </w:t>
      </w:r>
      <w:r>
        <w:rPr>
          <w:spacing w:val="-9"/>
          <w:w w:val="105"/>
          <w:sz w:val="21"/>
        </w:rPr>
        <w:t>10.1 </w:t>
      </w:r>
      <w:r>
        <w:rPr>
          <w:spacing w:val="-4"/>
          <w:w w:val="105"/>
          <w:sz w:val="21"/>
        </w:rPr>
        <w:t>into</w:t>
      </w:r>
      <w:r>
        <w:rPr>
          <w:spacing w:val="-7"/>
          <w:w w:val="105"/>
          <w:sz w:val="21"/>
        </w:rPr>
        <w:t> </w:t>
      </w:r>
      <w:r>
        <w:rPr>
          <w:spacing w:val="-3"/>
          <w:w w:val="105"/>
          <w:sz w:val="21"/>
        </w:rPr>
        <w:t>legislation</w:t>
      </w:r>
    </w:p>
    <w:p>
      <w:pPr>
        <w:pStyle w:val="ListParagraph"/>
        <w:numPr>
          <w:ilvl w:val="2"/>
          <w:numId w:val="22"/>
        </w:numPr>
        <w:tabs>
          <w:tab w:pos="2721" w:val="left" w:leader="none"/>
          <w:tab w:pos="2722" w:val="left" w:leader="none"/>
        </w:tabs>
        <w:spacing w:line="240" w:lineRule="auto" w:before="123" w:after="0"/>
        <w:ind w:left="2721" w:right="0" w:hanging="340"/>
        <w:jc w:val="left"/>
        <w:rPr>
          <w:sz w:val="21"/>
        </w:rPr>
      </w:pPr>
      <w:r>
        <w:rPr>
          <w:spacing w:val="-3"/>
          <w:w w:val="105"/>
          <w:sz w:val="21"/>
        </w:rPr>
        <w:t>incorporating </w:t>
      </w:r>
      <w:r>
        <w:rPr>
          <w:w w:val="105"/>
          <w:sz w:val="21"/>
        </w:rPr>
        <w:t>a new rule on </w:t>
      </w:r>
      <w:r>
        <w:rPr>
          <w:spacing w:val="-3"/>
          <w:w w:val="105"/>
          <w:sz w:val="21"/>
        </w:rPr>
        <w:t>obtaining informed consent </w:t>
      </w:r>
      <w:r>
        <w:rPr>
          <w:spacing w:val="-4"/>
          <w:w w:val="105"/>
          <w:sz w:val="21"/>
        </w:rPr>
        <w:t>into</w:t>
      </w:r>
      <w:r>
        <w:rPr>
          <w:spacing w:val="10"/>
          <w:w w:val="105"/>
          <w:sz w:val="21"/>
        </w:rPr>
        <w:t> </w:t>
      </w:r>
      <w:r>
        <w:rPr>
          <w:spacing w:val="-3"/>
          <w:w w:val="105"/>
          <w:sz w:val="21"/>
        </w:rPr>
        <w:t>legislation.</w:t>
      </w:r>
    </w:p>
    <w:p>
      <w:pPr>
        <w:pStyle w:val="BodyText"/>
        <w:rPr>
          <w:sz w:val="27"/>
        </w:rPr>
      </w:pPr>
    </w:p>
    <w:p>
      <w:pPr>
        <w:pStyle w:val="Heading6"/>
      </w:pPr>
      <w:r>
        <w:rPr>
          <w:color w:val="6D6E71"/>
          <w:w w:val="115"/>
        </w:rPr>
        <w:t>Independent witness</w:t>
      </w:r>
    </w:p>
    <w:p>
      <w:pPr>
        <w:pStyle w:val="ListParagraph"/>
        <w:numPr>
          <w:ilvl w:val="1"/>
          <w:numId w:val="22"/>
        </w:numPr>
        <w:tabs>
          <w:tab w:pos="2381" w:val="left" w:leader="none"/>
          <w:tab w:pos="2382" w:val="left" w:leader="none"/>
        </w:tabs>
        <w:spacing w:line="242" w:lineRule="auto" w:before="151" w:after="0"/>
        <w:ind w:left="2381" w:right="1584" w:hanging="794"/>
        <w:jc w:val="left"/>
        <w:rPr>
          <w:sz w:val="21"/>
        </w:rPr>
      </w:pPr>
      <w:r>
        <w:rPr>
          <w:w w:val="105"/>
          <w:sz w:val="21"/>
        </w:rPr>
        <w:t>The </w:t>
      </w:r>
      <w:r>
        <w:rPr>
          <w:spacing w:val="-3"/>
          <w:w w:val="105"/>
          <w:sz w:val="21"/>
        </w:rPr>
        <w:t>Commission sought </w:t>
      </w:r>
      <w:r>
        <w:rPr>
          <w:w w:val="105"/>
          <w:sz w:val="21"/>
        </w:rPr>
        <w:t>comments on the idea of </w:t>
      </w:r>
      <w:r>
        <w:rPr>
          <w:spacing w:val="-3"/>
          <w:w w:val="105"/>
          <w:sz w:val="21"/>
        </w:rPr>
        <w:t>introducing </w:t>
      </w:r>
      <w:r>
        <w:rPr>
          <w:w w:val="105"/>
          <w:sz w:val="21"/>
        </w:rPr>
        <w:t>a rule </w:t>
      </w:r>
      <w:r>
        <w:rPr>
          <w:spacing w:val="-3"/>
          <w:w w:val="105"/>
          <w:sz w:val="21"/>
        </w:rPr>
        <w:t>that </w:t>
      </w:r>
      <w:r>
        <w:rPr>
          <w:w w:val="105"/>
          <w:sz w:val="21"/>
        </w:rPr>
        <w:t>a </w:t>
      </w:r>
      <w:r>
        <w:rPr>
          <w:spacing w:val="-3"/>
          <w:w w:val="105"/>
          <w:sz w:val="21"/>
        </w:rPr>
        <w:t>will appointing </w:t>
      </w:r>
      <w:r>
        <w:rPr>
          <w:w w:val="105"/>
          <w:sz w:val="21"/>
        </w:rPr>
        <w:t>a legal practitioner as </w:t>
      </w:r>
      <w:r>
        <w:rPr>
          <w:spacing w:val="-3"/>
          <w:w w:val="105"/>
          <w:sz w:val="21"/>
        </w:rPr>
        <w:t>executor </w:t>
      </w:r>
      <w:r>
        <w:rPr>
          <w:w w:val="105"/>
          <w:sz w:val="21"/>
        </w:rPr>
        <w:t>must be witnessed by someone who is independent and external </w:t>
      </w:r>
      <w:r>
        <w:rPr>
          <w:spacing w:val="-3"/>
          <w:w w:val="105"/>
          <w:sz w:val="21"/>
        </w:rPr>
        <w:t>to </w:t>
      </w:r>
      <w:r>
        <w:rPr>
          <w:w w:val="105"/>
          <w:sz w:val="21"/>
        </w:rPr>
        <w:t>the legal practice.</w:t>
      </w:r>
      <w:r>
        <w:rPr>
          <w:w w:val="105"/>
          <w:position w:val="7"/>
          <w:sz w:val="12"/>
        </w:rPr>
        <w:t>40 </w:t>
      </w:r>
      <w:r>
        <w:rPr>
          <w:spacing w:val="-3"/>
          <w:w w:val="105"/>
          <w:sz w:val="21"/>
        </w:rPr>
        <w:t>Such </w:t>
      </w:r>
      <w:r>
        <w:rPr>
          <w:w w:val="105"/>
          <w:sz w:val="21"/>
        </w:rPr>
        <w:t>a rule </w:t>
      </w:r>
      <w:r>
        <w:rPr>
          <w:spacing w:val="-3"/>
          <w:w w:val="105"/>
          <w:sz w:val="21"/>
        </w:rPr>
        <w:t>could </w:t>
      </w:r>
      <w:r>
        <w:rPr>
          <w:w w:val="105"/>
          <w:sz w:val="21"/>
        </w:rPr>
        <w:t>provide some protection </w:t>
      </w:r>
      <w:r>
        <w:rPr>
          <w:spacing w:val="-3"/>
          <w:w w:val="105"/>
          <w:sz w:val="21"/>
        </w:rPr>
        <w:t>against </w:t>
      </w:r>
      <w:r>
        <w:rPr>
          <w:spacing w:val="-4"/>
          <w:w w:val="105"/>
          <w:sz w:val="21"/>
        </w:rPr>
        <w:t>unfair </w:t>
      </w:r>
      <w:r>
        <w:rPr>
          <w:w w:val="105"/>
          <w:sz w:val="21"/>
        </w:rPr>
        <w:t>practices, if the witness </w:t>
      </w:r>
      <w:r>
        <w:rPr>
          <w:spacing w:val="-3"/>
          <w:w w:val="105"/>
          <w:sz w:val="21"/>
        </w:rPr>
        <w:t>were </w:t>
      </w:r>
      <w:r>
        <w:rPr>
          <w:w w:val="105"/>
          <w:sz w:val="21"/>
        </w:rPr>
        <w:t>able </w:t>
      </w:r>
      <w:r>
        <w:rPr>
          <w:spacing w:val="-3"/>
          <w:w w:val="105"/>
          <w:sz w:val="21"/>
        </w:rPr>
        <w:t>to </w:t>
      </w:r>
      <w:r>
        <w:rPr>
          <w:w w:val="105"/>
          <w:sz w:val="21"/>
        </w:rPr>
        <w:t>understand the </w:t>
      </w:r>
      <w:r>
        <w:rPr>
          <w:spacing w:val="-3"/>
          <w:w w:val="105"/>
          <w:sz w:val="21"/>
        </w:rPr>
        <w:t>consequences </w:t>
      </w:r>
      <w:r>
        <w:rPr>
          <w:w w:val="105"/>
          <w:sz w:val="21"/>
        </w:rPr>
        <w:t>of </w:t>
      </w:r>
      <w:r>
        <w:rPr>
          <w:spacing w:val="-3"/>
          <w:w w:val="105"/>
          <w:sz w:val="21"/>
        </w:rPr>
        <w:t>any</w:t>
      </w:r>
      <w:r>
        <w:rPr>
          <w:spacing w:val="-30"/>
          <w:w w:val="105"/>
          <w:sz w:val="21"/>
        </w:rPr>
        <w:t> </w:t>
      </w:r>
      <w:r>
        <w:rPr>
          <w:spacing w:val="-3"/>
          <w:w w:val="105"/>
          <w:sz w:val="21"/>
        </w:rPr>
        <w:t>commission</w:t>
      </w:r>
    </w:p>
    <w:p>
      <w:pPr>
        <w:pStyle w:val="BodyText"/>
        <w:spacing w:before="4"/>
        <w:ind w:left="2381"/>
      </w:pPr>
      <w:r>
        <w:rPr/>
        <w:t>or charging clauses and assess whether or not they were reasonable.</w:t>
      </w:r>
    </w:p>
    <w:p>
      <w:pPr>
        <w:pStyle w:val="ListParagraph"/>
        <w:numPr>
          <w:ilvl w:val="1"/>
          <w:numId w:val="22"/>
        </w:numPr>
        <w:tabs>
          <w:tab w:pos="2381" w:val="left" w:leader="none"/>
          <w:tab w:pos="2382" w:val="left" w:leader="none"/>
        </w:tabs>
        <w:spacing w:line="242" w:lineRule="auto" w:before="124" w:after="0"/>
        <w:ind w:left="2381" w:right="1595" w:hanging="794"/>
        <w:jc w:val="left"/>
        <w:rPr>
          <w:sz w:val="21"/>
        </w:rPr>
      </w:pPr>
      <w:r>
        <w:rPr>
          <w:w w:val="105"/>
          <w:sz w:val="21"/>
        </w:rPr>
        <w:t>The proposal received some support as a </w:t>
      </w:r>
      <w:r>
        <w:rPr>
          <w:spacing w:val="-3"/>
          <w:w w:val="105"/>
          <w:sz w:val="21"/>
        </w:rPr>
        <w:t>means </w:t>
      </w:r>
      <w:r>
        <w:rPr>
          <w:w w:val="105"/>
          <w:sz w:val="21"/>
        </w:rPr>
        <w:t>of </w:t>
      </w:r>
      <w:r>
        <w:rPr>
          <w:spacing w:val="-3"/>
          <w:w w:val="105"/>
          <w:sz w:val="21"/>
        </w:rPr>
        <w:t>reducing </w:t>
      </w:r>
      <w:r>
        <w:rPr>
          <w:spacing w:val="-2"/>
          <w:w w:val="105"/>
          <w:sz w:val="21"/>
        </w:rPr>
        <w:t>problems </w:t>
      </w:r>
      <w:r>
        <w:rPr>
          <w:spacing w:val="-3"/>
          <w:w w:val="105"/>
          <w:sz w:val="21"/>
        </w:rPr>
        <w:t>that </w:t>
      </w:r>
      <w:r>
        <w:rPr>
          <w:w w:val="105"/>
          <w:sz w:val="21"/>
        </w:rPr>
        <w:t>can arise when a legal practitioner is </w:t>
      </w:r>
      <w:r>
        <w:rPr>
          <w:spacing w:val="-3"/>
          <w:w w:val="105"/>
          <w:sz w:val="21"/>
        </w:rPr>
        <w:t>appointed </w:t>
      </w:r>
      <w:r>
        <w:rPr>
          <w:w w:val="105"/>
          <w:sz w:val="21"/>
        </w:rPr>
        <w:t>as </w:t>
      </w:r>
      <w:r>
        <w:rPr>
          <w:spacing w:val="-3"/>
          <w:w w:val="105"/>
          <w:sz w:val="21"/>
        </w:rPr>
        <w:t>executor </w:t>
      </w:r>
      <w:r>
        <w:rPr>
          <w:w w:val="105"/>
          <w:sz w:val="21"/>
        </w:rPr>
        <w:t>under a </w:t>
      </w:r>
      <w:r>
        <w:rPr>
          <w:spacing w:val="-4"/>
          <w:w w:val="105"/>
          <w:sz w:val="21"/>
        </w:rPr>
        <w:t>will.</w:t>
      </w:r>
      <w:r>
        <w:rPr>
          <w:spacing w:val="-4"/>
          <w:w w:val="105"/>
          <w:position w:val="7"/>
          <w:sz w:val="12"/>
        </w:rPr>
        <w:t>41 </w:t>
      </w:r>
      <w:r>
        <w:rPr>
          <w:w w:val="105"/>
          <w:sz w:val="21"/>
        </w:rPr>
        <w:t>The </w:t>
      </w:r>
      <w:r>
        <w:rPr>
          <w:spacing w:val="-3"/>
          <w:w w:val="105"/>
          <w:sz w:val="21"/>
        </w:rPr>
        <w:t>Institute </w:t>
      </w:r>
      <w:r>
        <w:rPr>
          <w:w w:val="105"/>
          <w:sz w:val="21"/>
        </w:rPr>
        <w:t>of Legal Executives suggested </w:t>
      </w:r>
      <w:r>
        <w:rPr>
          <w:spacing w:val="-3"/>
          <w:w w:val="105"/>
          <w:sz w:val="21"/>
        </w:rPr>
        <w:t>that </w:t>
      </w:r>
      <w:r>
        <w:rPr>
          <w:w w:val="105"/>
          <w:sz w:val="21"/>
        </w:rPr>
        <w:t>perhaps there should be two independent witnesses.</w:t>
      </w:r>
      <w:r>
        <w:rPr>
          <w:w w:val="105"/>
          <w:position w:val="7"/>
          <w:sz w:val="12"/>
        </w:rPr>
        <w:t>42 </w:t>
      </w:r>
      <w:r>
        <w:rPr>
          <w:w w:val="105"/>
          <w:sz w:val="21"/>
        </w:rPr>
        <w:t>The </w:t>
      </w:r>
      <w:r>
        <w:rPr>
          <w:spacing w:val="-4"/>
          <w:w w:val="105"/>
          <w:sz w:val="21"/>
        </w:rPr>
        <w:t>Commercial </w:t>
      </w:r>
      <w:r>
        <w:rPr>
          <w:w w:val="105"/>
          <w:sz w:val="21"/>
        </w:rPr>
        <w:t>Bar Association observed </w:t>
      </w:r>
      <w:r>
        <w:rPr>
          <w:spacing w:val="-3"/>
          <w:w w:val="105"/>
          <w:sz w:val="21"/>
        </w:rPr>
        <w:t>that </w:t>
      </w:r>
      <w:r>
        <w:rPr>
          <w:w w:val="105"/>
          <w:sz w:val="21"/>
        </w:rPr>
        <w:t>merely witnessing the </w:t>
      </w:r>
      <w:r>
        <w:rPr>
          <w:spacing w:val="-3"/>
          <w:w w:val="105"/>
          <w:sz w:val="21"/>
        </w:rPr>
        <w:t>will </w:t>
      </w:r>
      <w:r>
        <w:rPr>
          <w:w w:val="105"/>
          <w:sz w:val="21"/>
        </w:rPr>
        <w:t>would be of little benefit</w:t>
      </w:r>
      <w:r>
        <w:rPr>
          <w:spacing w:val="-13"/>
          <w:w w:val="105"/>
          <w:sz w:val="21"/>
        </w:rPr>
        <w:t> </w:t>
      </w:r>
      <w:r>
        <w:rPr>
          <w:w w:val="105"/>
          <w:sz w:val="21"/>
        </w:rPr>
        <w:t>unless</w:t>
      </w:r>
      <w:r>
        <w:rPr>
          <w:spacing w:val="-12"/>
          <w:w w:val="105"/>
          <w:sz w:val="21"/>
        </w:rPr>
        <w:t> </w:t>
      </w:r>
      <w:r>
        <w:rPr>
          <w:w w:val="105"/>
          <w:sz w:val="21"/>
        </w:rPr>
        <w:t>the</w:t>
      </w:r>
      <w:r>
        <w:rPr>
          <w:spacing w:val="-12"/>
          <w:w w:val="105"/>
          <w:sz w:val="21"/>
        </w:rPr>
        <w:t> </w:t>
      </w:r>
      <w:r>
        <w:rPr>
          <w:w w:val="105"/>
          <w:sz w:val="21"/>
        </w:rPr>
        <w:t>witness</w:t>
      </w:r>
      <w:r>
        <w:rPr>
          <w:spacing w:val="-13"/>
          <w:w w:val="105"/>
          <w:sz w:val="21"/>
        </w:rPr>
        <w:t> </w:t>
      </w:r>
      <w:r>
        <w:rPr>
          <w:w w:val="105"/>
          <w:sz w:val="21"/>
        </w:rPr>
        <w:t>also</w:t>
      </w:r>
      <w:r>
        <w:rPr>
          <w:spacing w:val="-12"/>
          <w:w w:val="105"/>
          <w:sz w:val="21"/>
        </w:rPr>
        <w:t> </w:t>
      </w:r>
      <w:r>
        <w:rPr>
          <w:w w:val="105"/>
          <w:sz w:val="21"/>
        </w:rPr>
        <w:t>certified</w:t>
      </w:r>
      <w:r>
        <w:rPr>
          <w:spacing w:val="-12"/>
          <w:w w:val="105"/>
          <w:sz w:val="21"/>
        </w:rPr>
        <w:t> </w:t>
      </w:r>
      <w:r>
        <w:rPr>
          <w:spacing w:val="-3"/>
          <w:w w:val="105"/>
          <w:sz w:val="21"/>
        </w:rPr>
        <w:t>that</w:t>
      </w:r>
      <w:r>
        <w:rPr>
          <w:spacing w:val="-13"/>
          <w:w w:val="105"/>
          <w:sz w:val="21"/>
        </w:rPr>
        <w:t> </w:t>
      </w:r>
      <w:r>
        <w:rPr>
          <w:w w:val="105"/>
          <w:sz w:val="21"/>
        </w:rPr>
        <w:t>they</w:t>
      </w:r>
      <w:r>
        <w:rPr>
          <w:spacing w:val="-12"/>
          <w:w w:val="105"/>
          <w:sz w:val="21"/>
        </w:rPr>
        <w:t> </w:t>
      </w:r>
      <w:r>
        <w:rPr>
          <w:w w:val="105"/>
          <w:sz w:val="21"/>
        </w:rPr>
        <w:t>believed</w:t>
      </w:r>
      <w:r>
        <w:rPr>
          <w:spacing w:val="-12"/>
          <w:w w:val="105"/>
          <w:sz w:val="21"/>
        </w:rPr>
        <w:t> </w:t>
      </w:r>
      <w:r>
        <w:rPr>
          <w:spacing w:val="-3"/>
          <w:w w:val="105"/>
          <w:sz w:val="21"/>
        </w:rPr>
        <w:t>that</w:t>
      </w:r>
      <w:r>
        <w:rPr>
          <w:spacing w:val="-13"/>
          <w:w w:val="105"/>
          <w:sz w:val="21"/>
        </w:rPr>
        <w:t> </w:t>
      </w:r>
      <w:r>
        <w:rPr>
          <w:w w:val="105"/>
          <w:sz w:val="21"/>
        </w:rPr>
        <w:t>the</w:t>
      </w:r>
      <w:r>
        <w:rPr>
          <w:spacing w:val="-12"/>
          <w:w w:val="105"/>
          <w:sz w:val="21"/>
        </w:rPr>
        <w:t> </w:t>
      </w:r>
      <w:r>
        <w:rPr>
          <w:spacing w:val="-3"/>
          <w:w w:val="105"/>
          <w:sz w:val="21"/>
        </w:rPr>
        <w:t>will-maker</w:t>
      </w:r>
      <w:r>
        <w:rPr>
          <w:spacing w:val="-12"/>
          <w:w w:val="105"/>
          <w:sz w:val="21"/>
        </w:rPr>
        <w:t> </w:t>
      </w:r>
      <w:r>
        <w:rPr>
          <w:w w:val="105"/>
          <w:sz w:val="21"/>
        </w:rPr>
        <w:t>was</w:t>
      </w:r>
      <w:r>
        <w:rPr>
          <w:spacing w:val="-13"/>
          <w:w w:val="105"/>
          <w:sz w:val="21"/>
        </w:rPr>
        <w:t> </w:t>
      </w:r>
      <w:r>
        <w:rPr>
          <w:w w:val="105"/>
          <w:sz w:val="21"/>
        </w:rPr>
        <w:t>advised </w:t>
      </w:r>
      <w:r>
        <w:rPr>
          <w:spacing w:val="-3"/>
          <w:w w:val="105"/>
          <w:sz w:val="21"/>
        </w:rPr>
        <w:t>appropriately </w:t>
      </w:r>
      <w:r>
        <w:rPr>
          <w:w w:val="105"/>
          <w:sz w:val="21"/>
        </w:rPr>
        <w:t>in certain matters.</w:t>
      </w:r>
      <w:r>
        <w:rPr>
          <w:w w:val="105"/>
          <w:position w:val="7"/>
          <w:sz w:val="12"/>
        </w:rPr>
        <w:t>43 </w:t>
      </w:r>
      <w:r>
        <w:rPr>
          <w:w w:val="105"/>
          <w:sz w:val="21"/>
        </w:rPr>
        <w:t>Both </w:t>
      </w:r>
      <w:r>
        <w:rPr>
          <w:spacing w:val="-3"/>
          <w:w w:val="105"/>
          <w:sz w:val="21"/>
        </w:rPr>
        <w:t>organisations </w:t>
      </w:r>
      <w:r>
        <w:rPr>
          <w:w w:val="105"/>
          <w:sz w:val="21"/>
        </w:rPr>
        <w:t>said </w:t>
      </w:r>
      <w:r>
        <w:rPr>
          <w:spacing w:val="-3"/>
          <w:w w:val="105"/>
          <w:sz w:val="21"/>
        </w:rPr>
        <w:t>that </w:t>
      </w:r>
      <w:r>
        <w:rPr>
          <w:w w:val="105"/>
          <w:sz w:val="21"/>
        </w:rPr>
        <w:t>there would </w:t>
      </w:r>
      <w:r>
        <w:rPr>
          <w:spacing w:val="-3"/>
          <w:w w:val="105"/>
          <w:sz w:val="21"/>
        </w:rPr>
        <w:t>have to </w:t>
      </w:r>
      <w:r>
        <w:rPr>
          <w:w w:val="105"/>
          <w:sz w:val="21"/>
        </w:rPr>
        <w:t>be </w:t>
      </w:r>
      <w:r>
        <w:rPr>
          <w:spacing w:val="-3"/>
          <w:w w:val="105"/>
          <w:sz w:val="21"/>
        </w:rPr>
        <w:t>exceptions to </w:t>
      </w:r>
      <w:r>
        <w:rPr>
          <w:w w:val="105"/>
          <w:sz w:val="21"/>
        </w:rPr>
        <w:t>the</w:t>
      </w:r>
      <w:r>
        <w:rPr>
          <w:spacing w:val="21"/>
          <w:w w:val="105"/>
          <w:sz w:val="21"/>
        </w:rPr>
        <w:t> </w:t>
      </w:r>
      <w:r>
        <w:rPr>
          <w:spacing w:val="-3"/>
          <w:w w:val="105"/>
          <w:sz w:val="21"/>
        </w:rPr>
        <w:t>rule.</w:t>
      </w:r>
    </w:p>
    <w:p>
      <w:pPr>
        <w:pStyle w:val="ListParagraph"/>
        <w:numPr>
          <w:ilvl w:val="1"/>
          <w:numId w:val="22"/>
        </w:numPr>
        <w:tabs>
          <w:tab w:pos="2381" w:val="left" w:leader="none"/>
          <w:tab w:pos="2382" w:val="left" w:leader="none"/>
        </w:tabs>
        <w:spacing w:line="242" w:lineRule="auto" w:before="128" w:after="0"/>
        <w:ind w:left="2381" w:right="1698" w:hanging="794"/>
        <w:jc w:val="left"/>
        <w:rPr>
          <w:sz w:val="21"/>
        </w:rPr>
      </w:pPr>
      <w:r>
        <w:rPr>
          <w:w w:val="105"/>
          <w:sz w:val="21"/>
        </w:rPr>
        <w:t>Some of those who opposed the idea said </w:t>
      </w:r>
      <w:r>
        <w:rPr>
          <w:spacing w:val="-3"/>
          <w:w w:val="105"/>
          <w:sz w:val="21"/>
        </w:rPr>
        <w:t>that compliance </w:t>
      </w:r>
      <w:r>
        <w:rPr>
          <w:w w:val="105"/>
          <w:sz w:val="21"/>
        </w:rPr>
        <w:t>with rule </w:t>
      </w:r>
      <w:r>
        <w:rPr>
          <w:spacing w:val="-9"/>
          <w:w w:val="105"/>
          <w:sz w:val="21"/>
        </w:rPr>
        <w:t>10.1 </w:t>
      </w:r>
      <w:r>
        <w:rPr>
          <w:w w:val="105"/>
          <w:sz w:val="21"/>
        </w:rPr>
        <w:t>is sufficient and</w:t>
      </w:r>
      <w:r>
        <w:rPr>
          <w:spacing w:val="-7"/>
          <w:w w:val="105"/>
          <w:sz w:val="21"/>
        </w:rPr>
        <w:t> </w:t>
      </w:r>
      <w:r>
        <w:rPr>
          <w:spacing w:val="-3"/>
          <w:w w:val="105"/>
          <w:sz w:val="21"/>
        </w:rPr>
        <w:t>that</w:t>
      </w:r>
      <w:r>
        <w:rPr>
          <w:spacing w:val="-6"/>
          <w:w w:val="105"/>
          <w:sz w:val="21"/>
        </w:rPr>
        <w:t> </w:t>
      </w:r>
      <w:r>
        <w:rPr>
          <w:w w:val="105"/>
          <w:sz w:val="21"/>
        </w:rPr>
        <w:t>a</w:t>
      </w:r>
      <w:r>
        <w:rPr>
          <w:spacing w:val="-7"/>
          <w:w w:val="105"/>
          <w:sz w:val="21"/>
        </w:rPr>
        <w:t> </w:t>
      </w:r>
      <w:r>
        <w:rPr>
          <w:w w:val="105"/>
          <w:sz w:val="21"/>
        </w:rPr>
        <w:t>legal</w:t>
      </w:r>
      <w:r>
        <w:rPr>
          <w:spacing w:val="-6"/>
          <w:w w:val="105"/>
          <w:sz w:val="21"/>
        </w:rPr>
        <w:t> </w:t>
      </w:r>
      <w:r>
        <w:rPr>
          <w:w w:val="105"/>
          <w:sz w:val="21"/>
        </w:rPr>
        <w:t>practitioner</w:t>
      </w:r>
      <w:r>
        <w:rPr>
          <w:spacing w:val="-7"/>
          <w:w w:val="105"/>
          <w:sz w:val="21"/>
        </w:rPr>
        <w:t> </w:t>
      </w:r>
      <w:r>
        <w:rPr>
          <w:w w:val="105"/>
          <w:sz w:val="21"/>
        </w:rPr>
        <w:t>always</w:t>
      </w:r>
      <w:r>
        <w:rPr>
          <w:spacing w:val="-6"/>
          <w:w w:val="105"/>
          <w:sz w:val="21"/>
        </w:rPr>
        <w:t> </w:t>
      </w:r>
      <w:r>
        <w:rPr>
          <w:spacing w:val="-2"/>
          <w:w w:val="105"/>
          <w:sz w:val="21"/>
        </w:rPr>
        <w:t>has</w:t>
      </w:r>
      <w:r>
        <w:rPr>
          <w:spacing w:val="-7"/>
          <w:w w:val="105"/>
          <w:sz w:val="21"/>
        </w:rPr>
        <w:t> </w:t>
      </w:r>
      <w:r>
        <w:rPr>
          <w:w w:val="105"/>
          <w:sz w:val="21"/>
        </w:rPr>
        <w:t>the</w:t>
      </w:r>
      <w:r>
        <w:rPr>
          <w:spacing w:val="-6"/>
          <w:w w:val="105"/>
          <w:sz w:val="21"/>
        </w:rPr>
        <w:t> </w:t>
      </w:r>
      <w:r>
        <w:rPr>
          <w:w w:val="105"/>
          <w:sz w:val="21"/>
        </w:rPr>
        <w:t>option</w:t>
      </w:r>
      <w:r>
        <w:rPr>
          <w:spacing w:val="-7"/>
          <w:w w:val="105"/>
          <w:sz w:val="21"/>
        </w:rPr>
        <w:t> </w:t>
      </w:r>
      <w:r>
        <w:rPr>
          <w:w w:val="105"/>
          <w:sz w:val="21"/>
        </w:rPr>
        <w:t>of</w:t>
      </w:r>
      <w:r>
        <w:rPr>
          <w:spacing w:val="-6"/>
          <w:w w:val="105"/>
          <w:sz w:val="21"/>
        </w:rPr>
        <w:t> </w:t>
      </w:r>
      <w:r>
        <w:rPr>
          <w:spacing w:val="-3"/>
          <w:w w:val="105"/>
          <w:sz w:val="21"/>
        </w:rPr>
        <w:t>bringing</w:t>
      </w:r>
      <w:r>
        <w:rPr>
          <w:spacing w:val="-7"/>
          <w:w w:val="105"/>
          <w:sz w:val="21"/>
        </w:rPr>
        <w:t> </w:t>
      </w:r>
      <w:r>
        <w:rPr>
          <w:w w:val="105"/>
          <w:sz w:val="21"/>
        </w:rPr>
        <w:t>in</w:t>
      </w:r>
      <w:r>
        <w:rPr>
          <w:spacing w:val="-6"/>
          <w:w w:val="105"/>
          <w:sz w:val="21"/>
        </w:rPr>
        <w:t> </w:t>
      </w:r>
      <w:r>
        <w:rPr>
          <w:w w:val="105"/>
          <w:sz w:val="21"/>
        </w:rPr>
        <w:t>an</w:t>
      </w:r>
      <w:r>
        <w:rPr>
          <w:spacing w:val="-7"/>
          <w:w w:val="105"/>
          <w:sz w:val="21"/>
        </w:rPr>
        <w:t> </w:t>
      </w:r>
      <w:r>
        <w:rPr>
          <w:w w:val="105"/>
          <w:sz w:val="21"/>
        </w:rPr>
        <w:t>independent</w:t>
      </w:r>
      <w:r>
        <w:rPr>
          <w:spacing w:val="-6"/>
          <w:w w:val="105"/>
          <w:sz w:val="21"/>
        </w:rPr>
        <w:t> </w:t>
      </w:r>
      <w:r>
        <w:rPr>
          <w:w w:val="105"/>
          <w:sz w:val="21"/>
        </w:rPr>
        <w:t>witness in </w:t>
      </w:r>
      <w:r>
        <w:rPr>
          <w:spacing w:val="-3"/>
          <w:w w:val="105"/>
          <w:sz w:val="21"/>
        </w:rPr>
        <w:t>any </w:t>
      </w:r>
      <w:r>
        <w:rPr>
          <w:w w:val="105"/>
          <w:sz w:val="21"/>
        </w:rPr>
        <w:t>case.</w:t>
      </w:r>
      <w:r>
        <w:rPr>
          <w:w w:val="105"/>
          <w:position w:val="7"/>
          <w:sz w:val="12"/>
        </w:rPr>
        <w:t>44 </w:t>
      </w:r>
      <w:r>
        <w:rPr>
          <w:spacing w:val="-3"/>
          <w:w w:val="105"/>
          <w:sz w:val="21"/>
        </w:rPr>
        <w:t>Rigby </w:t>
      </w:r>
      <w:r>
        <w:rPr>
          <w:spacing w:val="-4"/>
          <w:w w:val="105"/>
          <w:sz w:val="21"/>
        </w:rPr>
        <w:t>Cooke </w:t>
      </w:r>
      <w:r>
        <w:rPr>
          <w:w w:val="105"/>
          <w:sz w:val="21"/>
        </w:rPr>
        <w:t>Lawyers said </w:t>
      </w:r>
      <w:r>
        <w:rPr>
          <w:spacing w:val="-3"/>
          <w:w w:val="105"/>
          <w:sz w:val="21"/>
        </w:rPr>
        <w:t>that </w:t>
      </w:r>
      <w:r>
        <w:rPr>
          <w:w w:val="105"/>
          <w:sz w:val="21"/>
        </w:rPr>
        <w:t>it would </w:t>
      </w:r>
      <w:r>
        <w:rPr>
          <w:spacing w:val="-4"/>
          <w:w w:val="105"/>
          <w:sz w:val="21"/>
        </w:rPr>
        <w:t>make </w:t>
      </w:r>
      <w:r>
        <w:rPr>
          <w:w w:val="105"/>
          <w:sz w:val="21"/>
        </w:rPr>
        <w:t>the process unnecessarily difficult,</w:t>
      </w:r>
      <w:r>
        <w:rPr>
          <w:w w:val="105"/>
          <w:position w:val="7"/>
          <w:sz w:val="12"/>
        </w:rPr>
        <w:t>45 </w:t>
      </w:r>
      <w:r>
        <w:rPr>
          <w:w w:val="105"/>
          <w:sz w:val="21"/>
        </w:rPr>
        <w:t>and Moores Legal questioned whether it would be</w:t>
      </w:r>
      <w:r>
        <w:rPr>
          <w:spacing w:val="7"/>
          <w:w w:val="105"/>
          <w:sz w:val="21"/>
        </w:rPr>
        <w:t> </w:t>
      </w:r>
      <w:r>
        <w:rPr>
          <w:w w:val="105"/>
          <w:sz w:val="21"/>
        </w:rPr>
        <w:t>effective:</w:t>
      </w:r>
    </w:p>
    <w:p>
      <w:pPr>
        <w:spacing w:line="254" w:lineRule="auto" w:before="133"/>
        <w:ind w:left="2721" w:right="1619" w:firstLine="0"/>
        <w:jc w:val="left"/>
        <w:rPr>
          <w:sz w:val="11"/>
        </w:rPr>
      </w:pPr>
      <w:r>
        <w:rPr>
          <w:w w:val="105"/>
          <w:sz w:val="20"/>
        </w:rPr>
        <w:t>If the will is witnessed by another member of the same firm, it is questionable how ‘independent’ they will really be; if witnessed by someone outside the firm, it would seem</w:t>
      </w:r>
      <w:r>
        <w:rPr>
          <w:spacing w:val="-14"/>
          <w:w w:val="105"/>
          <w:sz w:val="20"/>
        </w:rPr>
        <w:t> </w:t>
      </w:r>
      <w:r>
        <w:rPr>
          <w:w w:val="105"/>
          <w:sz w:val="20"/>
        </w:rPr>
        <w:t>even</w:t>
      </w:r>
      <w:r>
        <w:rPr>
          <w:spacing w:val="-14"/>
          <w:w w:val="105"/>
          <w:sz w:val="20"/>
        </w:rPr>
        <w:t> </w:t>
      </w:r>
      <w:r>
        <w:rPr>
          <w:w w:val="105"/>
          <w:sz w:val="20"/>
        </w:rPr>
        <w:t>less</w:t>
      </w:r>
      <w:r>
        <w:rPr>
          <w:spacing w:val="-14"/>
          <w:w w:val="105"/>
          <w:sz w:val="20"/>
        </w:rPr>
        <w:t> </w:t>
      </w:r>
      <w:r>
        <w:rPr>
          <w:spacing w:val="-3"/>
          <w:w w:val="105"/>
          <w:sz w:val="20"/>
        </w:rPr>
        <w:t>likely</w:t>
      </w:r>
      <w:r>
        <w:rPr>
          <w:spacing w:val="-13"/>
          <w:w w:val="105"/>
          <w:sz w:val="20"/>
        </w:rPr>
        <w:t> </w:t>
      </w:r>
      <w:r>
        <w:rPr>
          <w:w w:val="105"/>
          <w:sz w:val="20"/>
        </w:rPr>
        <w:t>that</w:t>
      </w:r>
      <w:r>
        <w:rPr>
          <w:spacing w:val="-14"/>
          <w:w w:val="105"/>
          <w:sz w:val="20"/>
        </w:rPr>
        <w:t> </w:t>
      </w:r>
      <w:r>
        <w:rPr>
          <w:w w:val="105"/>
          <w:sz w:val="20"/>
        </w:rPr>
        <w:t>the</w:t>
      </w:r>
      <w:r>
        <w:rPr>
          <w:spacing w:val="-14"/>
          <w:w w:val="105"/>
          <w:sz w:val="20"/>
        </w:rPr>
        <w:t> </w:t>
      </w:r>
      <w:r>
        <w:rPr>
          <w:w w:val="105"/>
          <w:sz w:val="20"/>
        </w:rPr>
        <w:t>will-maker</w:t>
      </w:r>
      <w:r>
        <w:rPr>
          <w:spacing w:val="-13"/>
          <w:w w:val="105"/>
          <w:sz w:val="20"/>
        </w:rPr>
        <w:t> </w:t>
      </w:r>
      <w:r>
        <w:rPr>
          <w:w w:val="105"/>
          <w:sz w:val="20"/>
        </w:rPr>
        <w:t>will</w:t>
      </w:r>
      <w:r>
        <w:rPr>
          <w:spacing w:val="-14"/>
          <w:w w:val="105"/>
          <w:sz w:val="20"/>
        </w:rPr>
        <w:t> </w:t>
      </w:r>
      <w:r>
        <w:rPr>
          <w:w w:val="105"/>
          <w:sz w:val="20"/>
        </w:rPr>
        <w:t>receive</w:t>
      </w:r>
      <w:r>
        <w:rPr>
          <w:spacing w:val="-14"/>
          <w:w w:val="105"/>
          <w:sz w:val="20"/>
        </w:rPr>
        <w:t> </w:t>
      </w:r>
      <w:r>
        <w:rPr>
          <w:w w:val="105"/>
          <w:sz w:val="20"/>
        </w:rPr>
        <w:t>complete</w:t>
      </w:r>
      <w:r>
        <w:rPr>
          <w:spacing w:val="-14"/>
          <w:w w:val="105"/>
          <w:sz w:val="20"/>
        </w:rPr>
        <w:t> </w:t>
      </w:r>
      <w:r>
        <w:rPr>
          <w:w w:val="105"/>
          <w:sz w:val="20"/>
        </w:rPr>
        <w:t>advice</w:t>
      </w:r>
      <w:r>
        <w:rPr>
          <w:spacing w:val="-13"/>
          <w:w w:val="105"/>
          <w:sz w:val="20"/>
        </w:rPr>
        <w:t> </w:t>
      </w:r>
      <w:r>
        <w:rPr>
          <w:w w:val="105"/>
          <w:sz w:val="20"/>
        </w:rPr>
        <w:t>about</w:t>
      </w:r>
      <w:r>
        <w:rPr>
          <w:spacing w:val="-14"/>
          <w:w w:val="105"/>
          <w:sz w:val="20"/>
        </w:rPr>
        <w:t> </w:t>
      </w:r>
      <w:r>
        <w:rPr>
          <w:w w:val="105"/>
          <w:sz w:val="20"/>
        </w:rPr>
        <w:t>the</w:t>
      </w:r>
      <w:r>
        <w:rPr>
          <w:spacing w:val="-14"/>
          <w:w w:val="105"/>
          <w:sz w:val="20"/>
        </w:rPr>
        <w:t> </w:t>
      </w:r>
      <w:r>
        <w:rPr>
          <w:spacing w:val="-3"/>
          <w:w w:val="105"/>
          <w:sz w:val="20"/>
        </w:rPr>
        <w:t>solicitor- executor’s</w:t>
      </w:r>
      <w:r>
        <w:rPr>
          <w:spacing w:val="-4"/>
          <w:w w:val="105"/>
          <w:sz w:val="20"/>
        </w:rPr>
        <w:t> </w:t>
      </w:r>
      <w:r>
        <w:rPr>
          <w:w w:val="105"/>
          <w:sz w:val="20"/>
        </w:rPr>
        <w:t>rights</w:t>
      </w:r>
      <w:r>
        <w:rPr>
          <w:spacing w:val="-4"/>
          <w:w w:val="105"/>
          <w:sz w:val="20"/>
        </w:rPr>
        <w:t> </w:t>
      </w:r>
      <w:r>
        <w:rPr>
          <w:w w:val="105"/>
          <w:sz w:val="20"/>
        </w:rPr>
        <w:t>in</w:t>
      </w:r>
      <w:r>
        <w:rPr>
          <w:spacing w:val="-4"/>
          <w:w w:val="105"/>
          <w:sz w:val="20"/>
        </w:rPr>
        <w:t> </w:t>
      </w:r>
      <w:r>
        <w:rPr>
          <w:w w:val="105"/>
          <w:sz w:val="20"/>
        </w:rPr>
        <w:t>relation</w:t>
      </w:r>
      <w:r>
        <w:rPr>
          <w:spacing w:val="-4"/>
          <w:w w:val="105"/>
          <w:sz w:val="20"/>
        </w:rPr>
        <w:t> </w:t>
      </w:r>
      <w:r>
        <w:rPr>
          <w:w w:val="105"/>
          <w:sz w:val="20"/>
        </w:rPr>
        <w:t>to</w:t>
      </w:r>
      <w:r>
        <w:rPr>
          <w:spacing w:val="-4"/>
          <w:w w:val="105"/>
          <w:sz w:val="20"/>
        </w:rPr>
        <w:t> </w:t>
      </w:r>
      <w:r>
        <w:rPr>
          <w:w w:val="105"/>
          <w:sz w:val="20"/>
        </w:rPr>
        <w:t>commission</w:t>
      </w:r>
      <w:r>
        <w:rPr>
          <w:spacing w:val="-4"/>
          <w:w w:val="105"/>
          <w:sz w:val="20"/>
        </w:rPr>
        <w:t> </w:t>
      </w:r>
      <w:r>
        <w:rPr>
          <w:w w:val="105"/>
          <w:sz w:val="20"/>
        </w:rPr>
        <w:t>and</w:t>
      </w:r>
      <w:r>
        <w:rPr>
          <w:spacing w:val="-4"/>
          <w:w w:val="105"/>
          <w:sz w:val="20"/>
        </w:rPr>
        <w:t> </w:t>
      </w:r>
      <w:r>
        <w:rPr>
          <w:w w:val="105"/>
          <w:sz w:val="20"/>
        </w:rPr>
        <w:t>other</w:t>
      </w:r>
      <w:r>
        <w:rPr>
          <w:spacing w:val="-3"/>
          <w:w w:val="105"/>
          <w:sz w:val="20"/>
        </w:rPr>
        <w:t> </w:t>
      </w:r>
      <w:r>
        <w:rPr>
          <w:w w:val="105"/>
          <w:sz w:val="20"/>
        </w:rPr>
        <w:t>possible</w:t>
      </w:r>
      <w:r>
        <w:rPr>
          <w:spacing w:val="-4"/>
          <w:w w:val="105"/>
          <w:sz w:val="20"/>
        </w:rPr>
        <w:t> </w:t>
      </w:r>
      <w:r>
        <w:rPr>
          <w:w w:val="105"/>
          <w:sz w:val="20"/>
        </w:rPr>
        <w:t>costs</w:t>
      </w:r>
      <w:r>
        <w:rPr>
          <w:spacing w:val="-4"/>
          <w:w w:val="105"/>
          <w:sz w:val="20"/>
        </w:rPr>
        <w:t> </w:t>
      </w:r>
      <w:r>
        <w:rPr>
          <w:w w:val="105"/>
          <w:sz w:val="20"/>
        </w:rPr>
        <w:t>to</w:t>
      </w:r>
      <w:r>
        <w:rPr>
          <w:spacing w:val="-4"/>
          <w:w w:val="105"/>
          <w:sz w:val="20"/>
        </w:rPr>
        <w:t> </w:t>
      </w:r>
      <w:r>
        <w:rPr>
          <w:w w:val="105"/>
          <w:sz w:val="20"/>
        </w:rPr>
        <w:t>the</w:t>
      </w:r>
      <w:r>
        <w:rPr>
          <w:spacing w:val="-4"/>
          <w:w w:val="105"/>
          <w:sz w:val="20"/>
        </w:rPr>
        <w:t> </w:t>
      </w:r>
      <w:r>
        <w:rPr>
          <w:w w:val="105"/>
          <w:sz w:val="20"/>
        </w:rPr>
        <w:t>estate.</w:t>
      </w:r>
      <w:r>
        <w:rPr>
          <w:w w:val="105"/>
          <w:position w:val="7"/>
          <w:sz w:val="11"/>
        </w:rPr>
        <w:t>46</w:t>
      </w:r>
    </w:p>
    <w:p>
      <w:pPr>
        <w:pStyle w:val="ListParagraph"/>
        <w:numPr>
          <w:ilvl w:val="1"/>
          <w:numId w:val="22"/>
        </w:numPr>
        <w:tabs>
          <w:tab w:pos="2380" w:val="left" w:leader="none"/>
          <w:tab w:pos="2381" w:val="left" w:leader="none"/>
        </w:tabs>
        <w:spacing w:line="242" w:lineRule="auto" w:before="116" w:after="0"/>
        <w:ind w:left="2381" w:right="1978" w:hanging="794"/>
        <w:jc w:val="left"/>
        <w:rPr>
          <w:sz w:val="21"/>
        </w:rPr>
      </w:pPr>
      <w:r>
        <w:rPr>
          <w:w w:val="105"/>
          <w:sz w:val="21"/>
        </w:rPr>
        <w:t>As discussed in </w:t>
      </w:r>
      <w:r>
        <w:rPr>
          <w:spacing w:val="-4"/>
          <w:w w:val="105"/>
          <w:sz w:val="21"/>
        </w:rPr>
        <w:t>Chapter 2, </w:t>
      </w:r>
      <w:r>
        <w:rPr>
          <w:w w:val="105"/>
          <w:sz w:val="21"/>
        </w:rPr>
        <w:t>the </w:t>
      </w:r>
      <w:r>
        <w:rPr>
          <w:spacing w:val="-3"/>
          <w:w w:val="105"/>
          <w:sz w:val="21"/>
        </w:rPr>
        <w:t>Commission considered </w:t>
      </w:r>
      <w:r>
        <w:rPr>
          <w:w w:val="105"/>
          <w:sz w:val="21"/>
        </w:rPr>
        <w:t>a </w:t>
      </w:r>
      <w:r>
        <w:rPr>
          <w:spacing w:val="-3"/>
          <w:w w:val="105"/>
          <w:sz w:val="21"/>
        </w:rPr>
        <w:t>similar </w:t>
      </w:r>
      <w:r>
        <w:rPr>
          <w:w w:val="105"/>
          <w:sz w:val="21"/>
        </w:rPr>
        <w:t>proposal as a possible </w:t>
      </w:r>
      <w:r>
        <w:rPr>
          <w:spacing w:val="-3"/>
          <w:w w:val="105"/>
          <w:sz w:val="21"/>
        </w:rPr>
        <w:t>means </w:t>
      </w:r>
      <w:r>
        <w:rPr>
          <w:w w:val="105"/>
          <w:sz w:val="21"/>
        </w:rPr>
        <w:t>of protecting will-makers </w:t>
      </w:r>
      <w:r>
        <w:rPr>
          <w:spacing w:val="-3"/>
          <w:w w:val="105"/>
          <w:sz w:val="21"/>
        </w:rPr>
        <w:t>from undue influence </w:t>
      </w:r>
      <w:r>
        <w:rPr>
          <w:w w:val="105"/>
          <w:sz w:val="21"/>
        </w:rPr>
        <w:t>and </w:t>
      </w:r>
      <w:r>
        <w:rPr>
          <w:spacing w:val="-3"/>
          <w:w w:val="105"/>
          <w:sz w:val="21"/>
        </w:rPr>
        <w:t>concluded that </w:t>
      </w:r>
      <w:r>
        <w:rPr>
          <w:w w:val="105"/>
          <w:sz w:val="21"/>
        </w:rPr>
        <w:t>it would be ineffective and would </w:t>
      </w:r>
      <w:r>
        <w:rPr>
          <w:spacing w:val="-3"/>
          <w:w w:val="105"/>
          <w:sz w:val="21"/>
        </w:rPr>
        <w:t>increase </w:t>
      </w:r>
      <w:r>
        <w:rPr>
          <w:w w:val="105"/>
          <w:sz w:val="21"/>
        </w:rPr>
        <w:t>the complexity of the will-making process. The </w:t>
      </w:r>
      <w:r>
        <w:rPr>
          <w:spacing w:val="-3"/>
          <w:w w:val="105"/>
          <w:sz w:val="21"/>
        </w:rPr>
        <w:t>Commission </w:t>
      </w:r>
      <w:r>
        <w:rPr>
          <w:w w:val="105"/>
          <w:sz w:val="21"/>
        </w:rPr>
        <w:t>does </w:t>
      </w:r>
      <w:r>
        <w:rPr>
          <w:spacing w:val="-2"/>
          <w:w w:val="105"/>
          <w:sz w:val="21"/>
        </w:rPr>
        <w:t>not </w:t>
      </w:r>
      <w:r>
        <w:rPr>
          <w:w w:val="105"/>
          <w:sz w:val="21"/>
        </w:rPr>
        <w:t>support this proposal </w:t>
      </w:r>
      <w:r>
        <w:rPr>
          <w:spacing w:val="-3"/>
          <w:w w:val="105"/>
          <w:sz w:val="21"/>
        </w:rPr>
        <w:t>for </w:t>
      </w:r>
      <w:r>
        <w:rPr>
          <w:w w:val="105"/>
          <w:sz w:val="21"/>
        </w:rPr>
        <w:t>the same</w:t>
      </w:r>
      <w:r>
        <w:rPr>
          <w:spacing w:val="34"/>
          <w:w w:val="105"/>
          <w:sz w:val="21"/>
        </w:rPr>
        <w:t> </w:t>
      </w:r>
      <w:r>
        <w:rPr>
          <w:spacing w:val="-3"/>
          <w:w w:val="105"/>
          <w:sz w:val="21"/>
        </w:rPr>
        <w:t>reasons.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5"/>
        </w:rPr>
      </w:pPr>
      <w:r>
        <w:rPr/>
        <w:pict>
          <v:line style="position:absolute;mso-position-horizontal-relative:page;mso-position-vertical-relative:paragraph;z-index:8840;mso-wrap-distance-left:0;mso-wrap-distance-right:0" from="79.370102pt,18.111475pt" to="515.905102pt,18.111475pt" stroked="true" strokeweight="1pt" strokecolor="#f9ceca">
            <v:stroke dashstyle="solid"/>
            <w10:wrap type="topAndBottom"/>
          </v:line>
        </w:pict>
      </w:r>
    </w:p>
    <w:p>
      <w:pPr>
        <w:pStyle w:val="BodyText"/>
        <w:spacing w:before="8"/>
        <w:rPr>
          <w:sz w:val="5"/>
        </w:rPr>
      </w:pPr>
    </w:p>
    <w:p>
      <w:pPr>
        <w:spacing w:after="0"/>
        <w:rPr>
          <w:sz w:val="5"/>
        </w:rPr>
        <w:sectPr>
          <w:pgSz w:w="11910" w:h="16840"/>
          <w:pgMar w:header="805" w:footer="0" w:top="1360" w:bottom="280" w:left="0" w:right="0"/>
        </w:sectPr>
      </w:pPr>
    </w:p>
    <w:p>
      <w:pPr>
        <w:pStyle w:val="ListParagraph"/>
        <w:numPr>
          <w:ilvl w:val="0"/>
          <w:numId w:val="115"/>
        </w:numPr>
        <w:tabs>
          <w:tab w:pos="2380" w:val="left" w:leader="none"/>
          <w:tab w:pos="2382" w:val="left" w:leader="none"/>
        </w:tabs>
        <w:spacing w:line="240" w:lineRule="auto" w:before="48" w:after="0"/>
        <w:ind w:left="2381" w:right="0" w:hanging="794"/>
        <w:jc w:val="left"/>
        <w:rPr>
          <w:sz w:val="13"/>
        </w:rPr>
      </w:pPr>
      <w:r>
        <w:rPr>
          <w:w w:val="105"/>
          <w:sz w:val="13"/>
        </w:rPr>
        <w:t>Victorian Law Reform Commission, above n 33,</w:t>
      </w:r>
      <w:r>
        <w:rPr>
          <w:spacing w:val="3"/>
          <w:w w:val="105"/>
          <w:sz w:val="13"/>
        </w:rPr>
        <w:t> </w:t>
      </w:r>
      <w:r>
        <w:rPr>
          <w:w w:val="105"/>
          <w:sz w:val="13"/>
        </w:rPr>
        <w:t>34.</w:t>
      </w:r>
    </w:p>
    <w:p>
      <w:pPr>
        <w:pStyle w:val="ListParagraph"/>
        <w:numPr>
          <w:ilvl w:val="0"/>
          <w:numId w:val="115"/>
        </w:numPr>
        <w:tabs>
          <w:tab w:pos="2380" w:val="left" w:leader="none"/>
          <w:tab w:pos="2382" w:val="left" w:leader="none"/>
        </w:tabs>
        <w:spacing w:line="240" w:lineRule="auto" w:before="1" w:after="0"/>
        <w:ind w:left="2381" w:right="0" w:hanging="794"/>
        <w:jc w:val="left"/>
        <w:rPr>
          <w:sz w:val="13"/>
        </w:rPr>
      </w:pPr>
      <w:r>
        <w:rPr>
          <w:w w:val="105"/>
          <w:sz w:val="13"/>
        </w:rPr>
        <w:t>Submissions 1 </w:t>
      </w:r>
      <w:r>
        <w:rPr>
          <w:spacing w:val="2"/>
          <w:w w:val="105"/>
          <w:sz w:val="13"/>
        </w:rPr>
        <w:t>(Legal </w:t>
      </w:r>
      <w:r>
        <w:rPr>
          <w:w w:val="105"/>
          <w:sz w:val="13"/>
        </w:rPr>
        <w:t>Services Commissioner); </w:t>
      </w:r>
      <w:r>
        <w:rPr>
          <w:spacing w:val="-3"/>
          <w:w w:val="105"/>
          <w:sz w:val="13"/>
        </w:rPr>
        <w:t>14 </w:t>
      </w:r>
      <w:r>
        <w:rPr>
          <w:w w:val="105"/>
          <w:sz w:val="13"/>
        </w:rPr>
        <w:t>(Commercial Bar </w:t>
      </w:r>
      <w:r>
        <w:rPr>
          <w:spacing w:val="2"/>
          <w:w w:val="105"/>
          <w:sz w:val="13"/>
        </w:rPr>
        <w:t>Association); </w:t>
      </w:r>
      <w:r>
        <w:rPr>
          <w:w w:val="105"/>
          <w:sz w:val="13"/>
        </w:rPr>
        <w:t>22 (Paul Bravender-Coyle); 32 </w:t>
      </w:r>
      <w:r>
        <w:rPr>
          <w:spacing w:val="2"/>
          <w:w w:val="105"/>
          <w:sz w:val="13"/>
        </w:rPr>
        <w:t>(The </w:t>
      </w:r>
      <w:r>
        <w:rPr>
          <w:w w:val="105"/>
          <w:sz w:val="13"/>
        </w:rPr>
        <w:t>Institute of Legal Executives); 40 (Janice</w:t>
      </w:r>
      <w:r>
        <w:rPr>
          <w:spacing w:val="13"/>
          <w:w w:val="105"/>
          <w:sz w:val="13"/>
        </w:rPr>
        <w:t> </w:t>
      </w:r>
      <w:r>
        <w:rPr>
          <w:w w:val="105"/>
          <w:sz w:val="13"/>
        </w:rPr>
        <w:t>Brownfoot).</w:t>
      </w:r>
    </w:p>
    <w:p>
      <w:pPr>
        <w:pStyle w:val="ListParagraph"/>
        <w:numPr>
          <w:ilvl w:val="0"/>
          <w:numId w:val="115"/>
        </w:numPr>
        <w:tabs>
          <w:tab w:pos="2380" w:val="left" w:leader="none"/>
          <w:tab w:pos="2382" w:val="left" w:leader="none"/>
        </w:tabs>
        <w:spacing w:line="240" w:lineRule="auto" w:before="3" w:after="0"/>
        <w:ind w:left="2381" w:right="0" w:hanging="794"/>
        <w:jc w:val="left"/>
        <w:rPr>
          <w:sz w:val="13"/>
        </w:rPr>
      </w:pPr>
      <w:r>
        <w:rPr>
          <w:sz w:val="13"/>
        </w:rPr>
        <w:t>Submission 32 </w:t>
      </w:r>
      <w:r>
        <w:rPr>
          <w:spacing w:val="2"/>
          <w:sz w:val="13"/>
        </w:rPr>
        <w:t>(The </w:t>
      </w:r>
      <w:r>
        <w:rPr>
          <w:sz w:val="13"/>
        </w:rPr>
        <w:t>Institute of Legal</w:t>
      </w:r>
      <w:r>
        <w:rPr>
          <w:spacing w:val="9"/>
          <w:sz w:val="13"/>
        </w:rPr>
        <w:t> </w:t>
      </w:r>
      <w:r>
        <w:rPr>
          <w:sz w:val="13"/>
        </w:rPr>
        <w:t>Executives).</w:t>
      </w:r>
    </w:p>
    <w:p>
      <w:pPr>
        <w:pStyle w:val="ListParagraph"/>
        <w:numPr>
          <w:ilvl w:val="0"/>
          <w:numId w:val="115"/>
        </w:numPr>
        <w:tabs>
          <w:tab w:pos="2380" w:val="left" w:leader="none"/>
          <w:tab w:pos="2382" w:val="left" w:leader="none"/>
        </w:tabs>
        <w:spacing w:line="240" w:lineRule="auto" w:before="1" w:after="0"/>
        <w:ind w:left="2381" w:right="0" w:hanging="794"/>
        <w:jc w:val="left"/>
        <w:rPr>
          <w:sz w:val="13"/>
        </w:rPr>
      </w:pPr>
      <w:r>
        <w:rPr>
          <w:w w:val="105"/>
          <w:sz w:val="13"/>
        </w:rPr>
        <w:t>Submission </w:t>
      </w:r>
      <w:r>
        <w:rPr>
          <w:spacing w:val="-3"/>
          <w:w w:val="105"/>
          <w:sz w:val="13"/>
        </w:rPr>
        <w:t>14 </w:t>
      </w:r>
      <w:r>
        <w:rPr>
          <w:w w:val="105"/>
          <w:sz w:val="13"/>
        </w:rPr>
        <w:t>(Commercial Bar</w:t>
      </w:r>
      <w:r>
        <w:rPr>
          <w:spacing w:val="21"/>
          <w:w w:val="105"/>
          <w:sz w:val="13"/>
        </w:rPr>
        <w:t> </w:t>
      </w:r>
      <w:r>
        <w:rPr>
          <w:spacing w:val="2"/>
          <w:w w:val="105"/>
          <w:sz w:val="13"/>
        </w:rPr>
        <w:t>Association).</w:t>
      </w:r>
    </w:p>
    <w:p>
      <w:pPr>
        <w:pStyle w:val="ListParagraph"/>
        <w:numPr>
          <w:ilvl w:val="0"/>
          <w:numId w:val="115"/>
        </w:numPr>
        <w:tabs>
          <w:tab w:pos="2380" w:val="left" w:leader="none"/>
          <w:tab w:pos="2382" w:val="left" w:leader="none"/>
        </w:tabs>
        <w:spacing w:line="240" w:lineRule="auto" w:before="2" w:after="0"/>
        <w:ind w:left="2381" w:right="106" w:hanging="794"/>
        <w:jc w:val="left"/>
        <w:rPr>
          <w:sz w:val="13"/>
        </w:rPr>
      </w:pPr>
      <w:r>
        <w:rPr>
          <w:w w:val="105"/>
          <w:sz w:val="13"/>
        </w:rPr>
        <w:t>Submissions 8 (Patricia Strachan); 30a </w:t>
      </w:r>
      <w:r>
        <w:rPr>
          <w:spacing w:val="3"/>
          <w:w w:val="105"/>
          <w:sz w:val="13"/>
        </w:rPr>
        <w:t>(Law </w:t>
      </w:r>
      <w:r>
        <w:rPr>
          <w:w w:val="105"/>
          <w:sz w:val="13"/>
        </w:rPr>
        <w:t>Institute of </w:t>
      </w:r>
      <w:r>
        <w:rPr>
          <w:spacing w:val="2"/>
          <w:w w:val="105"/>
          <w:sz w:val="13"/>
        </w:rPr>
        <w:t>Victoria). </w:t>
      </w:r>
      <w:r>
        <w:rPr>
          <w:w w:val="105"/>
          <w:sz w:val="13"/>
        </w:rPr>
        <w:t>State Trustees did not support the proposal either: submission 33 (State Trustees</w:t>
      </w:r>
      <w:r>
        <w:rPr>
          <w:spacing w:val="8"/>
          <w:w w:val="105"/>
          <w:sz w:val="13"/>
        </w:rPr>
        <w:t> </w:t>
      </w:r>
      <w:r>
        <w:rPr>
          <w:w w:val="105"/>
          <w:sz w:val="13"/>
        </w:rPr>
        <w:t>Limited).</w:t>
      </w:r>
    </w:p>
    <w:p>
      <w:pPr>
        <w:pStyle w:val="ListParagraph"/>
        <w:numPr>
          <w:ilvl w:val="0"/>
          <w:numId w:val="115"/>
        </w:numPr>
        <w:tabs>
          <w:tab w:pos="2380" w:val="left" w:leader="none"/>
          <w:tab w:pos="2382" w:val="left" w:leader="none"/>
        </w:tabs>
        <w:spacing w:line="240" w:lineRule="auto" w:before="2" w:after="0"/>
        <w:ind w:left="2381" w:right="0" w:hanging="794"/>
        <w:jc w:val="left"/>
        <w:rPr>
          <w:sz w:val="13"/>
        </w:rPr>
      </w:pPr>
      <w:r>
        <w:rPr>
          <w:w w:val="105"/>
          <w:sz w:val="13"/>
        </w:rPr>
        <w:t>Submission 26 </w:t>
      </w:r>
      <w:r>
        <w:rPr>
          <w:spacing w:val="2"/>
          <w:w w:val="105"/>
          <w:sz w:val="13"/>
        </w:rPr>
        <w:t>(Rigby </w:t>
      </w:r>
      <w:r>
        <w:rPr>
          <w:w w:val="105"/>
          <w:sz w:val="13"/>
        </w:rPr>
        <w:t>Cooke</w:t>
      </w:r>
      <w:r>
        <w:rPr>
          <w:spacing w:val="16"/>
          <w:w w:val="105"/>
          <w:sz w:val="13"/>
        </w:rPr>
        <w:t> </w:t>
      </w:r>
      <w:r>
        <w:rPr>
          <w:spacing w:val="2"/>
          <w:w w:val="105"/>
          <w:sz w:val="13"/>
        </w:rPr>
        <w:t>Lawyers).</w:t>
      </w:r>
    </w:p>
    <w:p>
      <w:pPr>
        <w:pStyle w:val="ListParagraph"/>
        <w:numPr>
          <w:ilvl w:val="0"/>
          <w:numId w:val="115"/>
        </w:numPr>
        <w:tabs>
          <w:tab w:pos="2380" w:val="left" w:leader="none"/>
          <w:tab w:pos="2382" w:val="left" w:leader="none"/>
        </w:tabs>
        <w:spacing w:line="240" w:lineRule="auto" w:before="2" w:after="0"/>
        <w:ind w:left="2381" w:right="0" w:hanging="794"/>
        <w:jc w:val="left"/>
        <w:rPr>
          <w:sz w:val="13"/>
        </w:rPr>
      </w:pPr>
      <w:r>
        <w:rPr>
          <w:w w:val="105"/>
          <w:sz w:val="13"/>
        </w:rPr>
        <w:t>Submission 25 </w:t>
      </w:r>
      <w:r>
        <w:rPr>
          <w:spacing w:val="2"/>
          <w:w w:val="105"/>
          <w:sz w:val="13"/>
        </w:rPr>
        <w:t>(Moores</w:t>
      </w:r>
      <w:r>
        <w:rPr>
          <w:spacing w:val="13"/>
          <w:w w:val="105"/>
          <w:sz w:val="13"/>
        </w:rPr>
        <w:t> </w:t>
      </w:r>
      <w:r>
        <w:rPr>
          <w:w w:val="105"/>
          <w:sz w:val="13"/>
        </w:rPr>
        <w:t>Legal).</w:t>
      </w:r>
    </w:p>
    <w:p>
      <w:pPr>
        <w:pStyle w:val="BodyText"/>
        <w:rPr>
          <w:sz w:val="28"/>
        </w:rPr>
      </w:pPr>
      <w:r>
        <w:rPr/>
        <w:br w:type="column"/>
      </w:r>
      <w:r>
        <w:rPr>
          <w:sz w:val="28"/>
        </w:rPr>
      </w:r>
    </w:p>
    <w:p>
      <w:pPr>
        <w:pStyle w:val="BodyText"/>
        <w:rPr>
          <w:sz w:val="28"/>
        </w:rPr>
      </w:pPr>
    </w:p>
    <w:p>
      <w:pPr>
        <w:pStyle w:val="BodyText"/>
        <w:rPr>
          <w:sz w:val="28"/>
        </w:rPr>
      </w:pPr>
    </w:p>
    <w:p>
      <w:pPr>
        <w:spacing w:before="198"/>
        <w:ind w:left="998" w:right="0" w:firstLine="0"/>
        <w:jc w:val="left"/>
        <w:rPr>
          <w:b/>
          <w:sz w:val="24"/>
        </w:rPr>
      </w:pPr>
      <w:r>
        <w:rPr>
          <w:b/>
          <w:color w:val="EC5A4F"/>
          <w:w w:val="110"/>
          <w:sz w:val="24"/>
        </w:rPr>
        <w:t>145</w:t>
      </w:r>
    </w:p>
    <w:p>
      <w:pPr>
        <w:spacing w:after="0"/>
        <w:jc w:val="left"/>
        <w:rPr>
          <w:sz w:val="24"/>
        </w:rPr>
        <w:sectPr>
          <w:type w:val="continuous"/>
          <w:pgSz w:w="11910" w:h="16840"/>
          <w:pgMar w:top="920" w:bottom="280" w:left="0" w:right="0"/>
          <w:cols w:num="2" w:equalWidth="0">
            <w:col w:w="9878" w:space="40"/>
            <w:col w:w="1992"/>
          </w:cols>
        </w:sectPr>
      </w:pPr>
    </w:p>
    <w:p>
      <w:pPr>
        <w:pStyle w:val="BodyText"/>
        <w:spacing w:before="9"/>
        <w:rPr>
          <w:b/>
          <w:sz w:val="22"/>
        </w:rPr>
      </w:pPr>
    </w:p>
    <w:p>
      <w:pPr>
        <w:pStyle w:val="Heading6"/>
        <w:spacing w:before="100"/>
      </w:pPr>
      <w:r>
        <w:rPr>
          <w:color w:val="6D6E71"/>
          <w:w w:val="120"/>
        </w:rPr>
        <w:t>Independent advice</w:t>
      </w:r>
    </w:p>
    <w:p>
      <w:pPr>
        <w:pStyle w:val="ListParagraph"/>
        <w:numPr>
          <w:ilvl w:val="1"/>
          <w:numId w:val="22"/>
        </w:numPr>
        <w:tabs>
          <w:tab w:pos="2381" w:val="left" w:leader="none"/>
          <w:tab w:pos="2382" w:val="left" w:leader="none"/>
        </w:tabs>
        <w:spacing w:line="242" w:lineRule="auto" w:before="151" w:after="0"/>
        <w:ind w:left="2381" w:right="1624" w:hanging="794"/>
        <w:jc w:val="left"/>
        <w:rPr>
          <w:sz w:val="12"/>
        </w:rPr>
      </w:pPr>
      <w:r>
        <w:rPr>
          <w:sz w:val="21"/>
        </w:rPr>
        <w:t>It was suggested in </w:t>
      </w:r>
      <w:r>
        <w:rPr>
          <w:spacing w:val="-3"/>
          <w:sz w:val="21"/>
        </w:rPr>
        <w:t>consultations that </w:t>
      </w:r>
      <w:r>
        <w:rPr>
          <w:sz w:val="21"/>
        </w:rPr>
        <w:t>the </w:t>
      </w:r>
      <w:r>
        <w:rPr>
          <w:spacing w:val="-3"/>
          <w:sz w:val="21"/>
        </w:rPr>
        <w:t>will-maker </w:t>
      </w:r>
      <w:r>
        <w:rPr>
          <w:sz w:val="21"/>
        </w:rPr>
        <w:t>should receive independent advice </w:t>
      </w:r>
      <w:r>
        <w:rPr>
          <w:spacing w:val="-3"/>
          <w:sz w:val="21"/>
        </w:rPr>
        <w:t>before </w:t>
      </w:r>
      <w:r>
        <w:rPr>
          <w:sz w:val="21"/>
        </w:rPr>
        <w:t>a </w:t>
      </w:r>
      <w:r>
        <w:rPr>
          <w:spacing w:val="-3"/>
          <w:sz w:val="21"/>
        </w:rPr>
        <w:t>commission clause </w:t>
      </w:r>
      <w:r>
        <w:rPr>
          <w:sz w:val="21"/>
        </w:rPr>
        <w:t>is </w:t>
      </w:r>
      <w:r>
        <w:rPr>
          <w:spacing w:val="-3"/>
          <w:sz w:val="21"/>
        </w:rPr>
        <w:t>included </w:t>
      </w:r>
      <w:r>
        <w:rPr>
          <w:sz w:val="21"/>
        </w:rPr>
        <w:t>in the </w:t>
      </w:r>
      <w:r>
        <w:rPr>
          <w:spacing w:val="-3"/>
          <w:sz w:val="21"/>
        </w:rPr>
        <w:t>will.</w:t>
      </w:r>
      <w:r>
        <w:rPr>
          <w:spacing w:val="-3"/>
          <w:position w:val="7"/>
          <w:sz w:val="12"/>
        </w:rPr>
        <w:t>47 </w:t>
      </w:r>
      <w:r>
        <w:rPr>
          <w:sz w:val="21"/>
        </w:rPr>
        <w:t>A </w:t>
      </w:r>
      <w:r>
        <w:rPr>
          <w:spacing w:val="-3"/>
          <w:sz w:val="21"/>
        </w:rPr>
        <w:t>comparison </w:t>
      </w:r>
      <w:r>
        <w:rPr>
          <w:sz w:val="21"/>
        </w:rPr>
        <w:t>was made with </w:t>
      </w:r>
      <w:r>
        <w:rPr>
          <w:spacing w:val="-3"/>
          <w:sz w:val="21"/>
        </w:rPr>
        <w:t>binding financial </w:t>
      </w:r>
      <w:r>
        <w:rPr>
          <w:sz w:val="21"/>
        </w:rPr>
        <w:t>agreements under the </w:t>
      </w:r>
      <w:r>
        <w:rPr>
          <w:i/>
          <w:spacing w:val="-3"/>
          <w:sz w:val="21"/>
        </w:rPr>
        <w:t>Family </w:t>
      </w:r>
      <w:r>
        <w:rPr>
          <w:i/>
          <w:sz w:val="21"/>
        </w:rPr>
        <w:t>Law Act  </w:t>
      </w:r>
      <w:r>
        <w:rPr>
          <w:i/>
          <w:spacing w:val="-10"/>
          <w:sz w:val="21"/>
        </w:rPr>
        <w:t>1975  </w:t>
      </w:r>
      <w:r>
        <w:rPr>
          <w:sz w:val="21"/>
        </w:rPr>
        <w:t>(Cth).  Each  party  </w:t>
      </w:r>
      <w:r>
        <w:rPr>
          <w:spacing w:val="-3"/>
          <w:sz w:val="21"/>
        </w:rPr>
        <w:t>to  </w:t>
      </w:r>
      <w:r>
        <w:rPr>
          <w:sz w:val="21"/>
        </w:rPr>
        <w:t>a  </w:t>
      </w:r>
      <w:r>
        <w:rPr>
          <w:spacing w:val="-3"/>
          <w:sz w:val="21"/>
        </w:rPr>
        <w:t>binding financial </w:t>
      </w:r>
      <w:r>
        <w:rPr>
          <w:spacing w:val="-2"/>
          <w:sz w:val="21"/>
        </w:rPr>
        <w:t>agreement </w:t>
      </w:r>
      <w:r>
        <w:rPr>
          <w:sz w:val="21"/>
        </w:rPr>
        <w:t>must obtain independent legal </w:t>
      </w:r>
      <w:r>
        <w:rPr>
          <w:spacing w:val="-3"/>
          <w:sz w:val="21"/>
        </w:rPr>
        <w:t>advice, </w:t>
      </w:r>
      <w:r>
        <w:rPr>
          <w:sz w:val="21"/>
        </w:rPr>
        <w:t>and the practitioners  who provide</w:t>
      </w:r>
      <w:r>
        <w:rPr>
          <w:spacing w:val="9"/>
          <w:sz w:val="21"/>
        </w:rPr>
        <w:t> </w:t>
      </w:r>
      <w:r>
        <w:rPr>
          <w:sz w:val="21"/>
        </w:rPr>
        <w:t>it</w:t>
      </w:r>
      <w:r>
        <w:rPr>
          <w:spacing w:val="10"/>
          <w:sz w:val="21"/>
        </w:rPr>
        <w:t> </w:t>
      </w:r>
      <w:r>
        <w:rPr>
          <w:sz w:val="21"/>
        </w:rPr>
        <w:t>must</w:t>
      </w:r>
      <w:r>
        <w:rPr>
          <w:spacing w:val="10"/>
          <w:sz w:val="21"/>
        </w:rPr>
        <w:t> </w:t>
      </w:r>
      <w:r>
        <w:rPr>
          <w:sz w:val="21"/>
        </w:rPr>
        <w:t>provide</w:t>
      </w:r>
      <w:r>
        <w:rPr>
          <w:spacing w:val="10"/>
          <w:sz w:val="21"/>
        </w:rPr>
        <w:t> </w:t>
      </w:r>
      <w:r>
        <w:rPr>
          <w:sz w:val="21"/>
        </w:rPr>
        <w:t>a</w:t>
      </w:r>
      <w:r>
        <w:rPr>
          <w:spacing w:val="10"/>
          <w:sz w:val="21"/>
        </w:rPr>
        <w:t> </w:t>
      </w:r>
      <w:r>
        <w:rPr>
          <w:sz w:val="21"/>
        </w:rPr>
        <w:t>written</w:t>
      </w:r>
      <w:r>
        <w:rPr>
          <w:spacing w:val="10"/>
          <w:sz w:val="21"/>
        </w:rPr>
        <w:t> </w:t>
      </w:r>
      <w:r>
        <w:rPr>
          <w:sz w:val="21"/>
        </w:rPr>
        <w:t>statement</w:t>
      </w:r>
      <w:r>
        <w:rPr>
          <w:spacing w:val="10"/>
          <w:sz w:val="21"/>
        </w:rPr>
        <w:t> </w:t>
      </w:r>
      <w:r>
        <w:rPr>
          <w:spacing w:val="-3"/>
          <w:sz w:val="21"/>
        </w:rPr>
        <w:t>that</w:t>
      </w:r>
      <w:r>
        <w:rPr>
          <w:spacing w:val="10"/>
          <w:sz w:val="21"/>
        </w:rPr>
        <w:t> </w:t>
      </w:r>
      <w:r>
        <w:rPr>
          <w:sz w:val="21"/>
        </w:rPr>
        <w:t>the</w:t>
      </w:r>
      <w:r>
        <w:rPr>
          <w:spacing w:val="10"/>
          <w:sz w:val="21"/>
        </w:rPr>
        <w:t> </w:t>
      </w:r>
      <w:r>
        <w:rPr>
          <w:sz w:val="21"/>
        </w:rPr>
        <w:t>advice</w:t>
      </w:r>
      <w:r>
        <w:rPr>
          <w:spacing w:val="10"/>
          <w:sz w:val="21"/>
        </w:rPr>
        <w:t> </w:t>
      </w:r>
      <w:r>
        <w:rPr>
          <w:sz w:val="21"/>
        </w:rPr>
        <w:t>was</w:t>
      </w:r>
      <w:r>
        <w:rPr>
          <w:spacing w:val="10"/>
          <w:sz w:val="21"/>
        </w:rPr>
        <w:t> </w:t>
      </w:r>
      <w:r>
        <w:rPr>
          <w:sz w:val="21"/>
        </w:rPr>
        <w:t>given.</w:t>
      </w:r>
      <w:r>
        <w:rPr>
          <w:position w:val="7"/>
          <w:sz w:val="12"/>
        </w:rPr>
        <w:t>48</w:t>
      </w:r>
    </w:p>
    <w:p>
      <w:pPr>
        <w:pStyle w:val="ListParagraph"/>
        <w:numPr>
          <w:ilvl w:val="1"/>
          <w:numId w:val="22"/>
        </w:numPr>
        <w:tabs>
          <w:tab w:pos="2380" w:val="left" w:leader="none"/>
          <w:tab w:pos="2381" w:val="left" w:leader="none"/>
        </w:tabs>
        <w:spacing w:line="242" w:lineRule="auto" w:before="126" w:after="0"/>
        <w:ind w:left="2381" w:right="2137" w:hanging="794"/>
        <w:jc w:val="left"/>
        <w:rPr>
          <w:sz w:val="12"/>
        </w:rPr>
      </w:pPr>
      <w:r>
        <w:rPr>
          <w:w w:val="105"/>
          <w:sz w:val="21"/>
        </w:rPr>
        <w:t>Those</w:t>
      </w:r>
      <w:r>
        <w:rPr>
          <w:spacing w:val="-5"/>
          <w:w w:val="105"/>
          <w:sz w:val="21"/>
        </w:rPr>
        <w:t> </w:t>
      </w:r>
      <w:r>
        <w:rPr>
          <w:spacing w:val="-3"/>
          <w:w w:val="105"/>
          <w:sz w:val="21"/>
        </w:rPr>
        <w:t>against</w:t>
      </w:r>
      <w:r>
        <w:rPr>
          <w:spacing w:val="-5"/>
          <w:w w:val="105"/>
          <w:sz w:val="21"/>
        </w:rPr>
        <w:t> </w:t>
      </w:r>
      <w:r>
        <w:rPr>
          <w:w w:val="105"/>
          <w:sz w:val="21"/>
        </w:rPr>
        <w:t>the</w:t>
      </w:r>
      <w:r>
        <w:rPr>
          <w:spacing w:val="-4"/>
          <w:w w:val="105"/>
          <w:sz w:val="21"/>
        </w:rPr>
        <w:t> </w:t>
      </w:r>
      <w:r>
        <w:rPr>
          <w:w w:val="105"/>
          <w:sz w:val="21"/>
        </w:rPr>
        <w:t>idea</w:t>
      </w:r>
      <w:r>
        <w:rPr>
          <w:spacing w:val="-5"/>
          <w:w w:val="105"/>
          <w:sz w:val="21"/>
        </w:rPr>
        <w:t> </w:t>
      </w:r>
      <w:r>
        <w:rPr>
          <w:w w:val="105"/>
          <w:sz w:val="21"/>
        </w:rPr>
        <w:t>said</w:t>
      </w:r>
      <w:r>
        <w:rPr>
          <w:spacing w:val="-4"/>
          <w:w w:val="105"/>
          <w:sz w:val="21"/>
        </w:rPr>
        <w:t> </w:t>
      </w:r>
      <w:r>
        <w:rPr>
          <w:spacing w:val="-3"/>
          <w:w w:val="105"/>
          <w:sz w:val="21"/>
        </w:rPr>
        <w:t>that</w:t>
      </w:r>
      <w:r>
        <w:rPr>
          <w:spacing w:val="-5"/>
          <w:w w:val="105"/>
          <w:sz w:val="21"/>
        </w:rPr>
        <w:t> </w:t>
      </w:r>
      <w:r>
        <w:rPr>
          <w:w w:val="105"/>
          <w:sz w:val="21"/>
        </w:rPr>
        <w:t>clients</w:t>
      </w:r>
      <w:r>
        <w:rPr>
          <w:spacing w:val="-4"/>
          <w:w w:val="105"/>
          <w:sz w:val="21"/>
        </w:rPr>
        <w:t> </w:t>
      </w:r>
      <w:r>
        <w:rPr>
          <w:spacing w:val="-3"/>
          <w:w w:val="105"/>
          <w:sz w:val="21"/>
        </w:rPr>
        <w:t>will</w:t>
      </w:r>
      <w:r>
        <w:rPr>
          <w:spacing w:val="-5"/>
          <w:w w:val="105"/>
          <w:sz w:val="21"/>
        </w:rPr>
        <w:t> </w:t>
      </w:r>
      <w:r>
        <w:rPr>
          <w:spacing w:val="-2"/>
          <w:w w:val="105"/>
          <w:sz w:val="21"/>
        </w:rPr>
        <w:t>not</w:t>
      </w:r>
      <w:r>
        <w:rPr>
          <w:spacing w:val="-4"/>
          <w:w w:val="105"/>
          <w:sz w:val="21"/>
        </w:rPr>
        <w:t> </w:t>
      </w:r>
      <w:r>
        <w:rPr>
          <w:spacing w:val="-3"/>
          <w:w w:val="105"/>
          <w:sz w:val="21"/>
        </w:rPr>
        <w:t>want</w:t>
      </w:r>
      <w:r>
        <w:rPr>
          <w:spacing w:val="-5"/>
          <w:w w:val="105"/>
          <w:sz w:val="21"/>
        </w:rPr>
        <w:t> </w:t>
      </w:r>
      <w:r>
        <w:rPr>
          <w:spacing w:val="-3"/>
          <w:w w:val="105"/>
          <w:sz w:val="21"/>
        </w:rPr>
        <w:t>to</w:t>
      </w:r>
      <w:r>
        <w:rPr>
          <w:spacing w:val="-5"/>
          <w:w w:val="105"/>
          <w:sz w:val="21"/>
        </w:rPr>
        <w:t> </w:t>
      </w:r>
      <w:r>
        <w:rPr>
          <w:spacing w:val="-2"/>
          <w:w w:val="105"/>
          <w:sz w:val="21"/>
        </w:rPr>
        <w:t>pay</w:t>
      </w:r>
      <w:r>
        <w:rPr>
          <w:spacing w:val="-4"/>
          <w:w w:val="105"/>
          <w:sz w:val="21"/>
        </w:rPr>
        <w:t> </w:t>
      </w:r>
      <w:r>
        <w:rPr>
          <w:w w:val="105"/>
          <w:sz w:val="21"/>
        </w:rPr>
        <w:t>the</w:t>
      </w:r>
      <w:r>
        <w:rPr>
          <w:spacing w:val="-5"/>
          <w:w w:val="105"/>
          <w:sz w:val="21"/>
        </w:rPr>
        <w:t> </w:t>
      </w:r>
      <w:r>
        <w:rPr>
          <w:w w:val="105"/>
          <w:sz w:val="21"/>
        </w:rPr>
        <w:t>cost</w:t>
      </w:r>
      <w:r>
        <w:rPr>
          <w:spacing w:val="-4"/>
          <w:w w:val="105"/>
          <w:sz w:val="21"/>
        </w:rPr>
        <w:t> </w:t>
      </w:r>
      <w:r>
        <w:rPr>
          <w:w w:val="105"/>
          <w:sz w:val="21"/>
        </w:rPr>
        <w:t>of</w:t>
      </w:r>
      <w:r>
        <w:rPr>
          <w:spacing w:val="-5"/>
          <w:w w:val="105"/>
          <w:sz w:val="21"/>
        </w:rPr>
        <w:t> </w:t>
      </w:r>
      <w:r>
        <w:rPr>
          <w:w w:val="105"/>
          <w:sz w:val="21"/>
        </w:rPr>
        <w:t>independent </w:t>
      </w:r>
      <w:r>
        <w:rPr>
          <w:spacing w:val="-3"/>
          <w:w w:val="105"/>
          <w:sz w:val="21"/>
        </w:rPr>
        <w:t>advice, </w:t>
      </w:r>
      <w:r>
        <w:rPr>
          <w:w w:val="105"/>
          <w:sz w:val="21"/>
        </w:rPr>
        <w:t>notwithstanding the fact </w:t>
      </w:r>
      <w:r>
        <w:rPr>
          <w:spacing w:val="-3"/>
          <w:w w:val="105"/>
          <w:sz w:val="21"/>
        </w:rPr>
        <w:t>that </w:t>
      </w:r>
      <w:r>
        <w:rPr>
          <w:w w:val="105"/>
          <w:sz w:val="21"/>
        </w:rPr>
        <w:t>this is </w:t>
      </w:r>
      <w:r>
        <w:rPr>
          <w:spacing w:val="-2"/>
          <w:w w:val="105"/>
          <w:sz w:val="21"/>
        </w:rPr>
        <w:t>not </w:t>
      </w:r>
      <w:r>
        <w:rPr>
          <w:w w:val="105"/>
          <w:sz w:val="21"/>
        </w:rPr>
        <w:t>a problem when </w:t>
      </w:r>
      <w:r>
        <w:rPr>
          <w:spacing w:val="-3"/>
          <w:w w:val="105"/>
          <w:sz w:val="21"/>
        </w:rPr>
        <w:t>making </w:t>
      </w:r>
      <w:r>
        <w:rPr>
          <w:w w:val="105"/>
          <w:sz w:val="21"/>
        </w:rPr>
        <w:t>a </w:t>
      </w:r>
      <w:r>
        <w:rPr>
          <w:spacing w:val="-3"/>
          <w:w w:val="105"/>
          <w:sz w:val="21"/>
        </w:rPr>
        <w:t>binding financial </w:t>
      </w:r>
      <w:r>
        <w:rPr>
          <w:w w:val="105"/>
          <w:sz w:val="21"/>
        </w:rPr>
        <w:t>agreement.</w:t>
      </w:r>
      <w:r>
        <w:rPr>
          <w:w w:val="105"/>
          <w:position w:val="7"/>
          <w:sz w:val="12"/>
        </w:rPr>
        <w:t>49 </w:t>
      </w:r>
      <w:r>
        <w:rPr>
          <w:w w:val="105"/>
          <w:sz w:val="21"/>
        </w:rPr>
        <w:t>It was also said </w:t>
      </w:r>
      <w:r>
        <w:rPr>
          <w:spacing w:val="-3"/>
          <w:w w:val="105"/>
          <w:sz w:val="21"/>
        </w:rPr>
        <w:t>that </w:t>
      </w:r>
      <w:r>
        <w:rPr>
          <w:w w:val="105"/>
          <w:sz w:val="21"/>
        </w:rPr>
        <w:t>a </w:t>
      </w:r>
      <w:r>
        <w:rPr>
          <w:spacing w:val="-3"/>
          <w:w w:val="105"/>
          <w:sz w:val="21"/>
        </w:rPr>
        <w:t>client </w:t>
      </w:r>
      <w:r>
        <w:rPr>
          <w:w w:val="105"/>
          <w:sz w:val="21"/>
        </w:rPr>
        <w:t>who trusts the legal practitioner enough </w:t>
      </w:r>
      <w:r>
        <w:rPr>
          <w:spacing w:val="-3"/>
          <w:w w:val="105"/>
          <w:sz w:val="21"/>
        </w:rPr>
        <w:t>to </w:t>
      </w:r>
      <w:r>
        <w:rPr>
          <w:w w:val="105"/>
          <w:sz w:val="21"/>
        </w:rPr>
        <w:t>appoint them as </w:t>
      </w:r>
      <w:r>
        <w:rPr>
          <w:spacing w:val="-3"/>
          <w:w w:val="105"/>
          <w:sz w:val="21"/>
        </w:rPr>
        <w:t>executor </w:t>
      </w:r>
      <w:r>
        <w:rPr>
          <w:w w:val="105"/>
          <w:sz w:val="21"/>
        </w:rPr>
        <w:t>is </w:t>
      </w:r>
      <w:r>
        <w:rPr>
          <w:spacing w:val="-4"/>
          <w:w w:val="105"/>
          <w:sz w:val="21"/>
        </w:rPr>
        <w:t>likely </w:t>
      </w:r>
      <w:r>
        <w:rPr>
          <w:spacing w:val="-3"/>
          <w:w w:val="105"/>
          <w:sz w:val="21"/>
        </w:rPr>
        <w:t>to accept </w:t>
      </w:r>
      <w:r>
        <w:rPr>
          <w:w w:val="105"/>
          <w:sz w:val="21"/>
        </w:rPr>
        <w:t>their word about what a </w:t>
      </w:r>
      <w:r>
        <w:rPr>
          <w:spacing w:val="-3"/>
          <w:w w:val="105"/>
          <w:sz w:val="21"/>
        </w:rPr>
        <w:t>reasonable </w:t>
      </w:r>
      <w:r>
        <w:rPr>
          <w:w w:val="105"/>
          <w:sz w:val="21"/>
        </w:rPr>
        <w:t>or </w:t>
      </w:r>
      <w:r>
        <w:rPr>
          <w:spacing w:val="-2"/>
          <w:w w:val="105"/>
          <w:sz w:val="21"/>
        </w:rPr>
        <w:t>normal </w:t>
      </w:r>
      <w:r>
        <w:rPr>
          <w:spacing w:val="-3"/>
          <w:w w:val="105"/>
          <w:sz w:val="21"/>
        </w:rPr>
        <w:t>rate </w:t>
      </w:r>
      <w:r>
        <w:rPr>
          <w:w w:val="105"/>
          <w:sz w:val="21"/>
        </w:rPr>
        <w:t>of </w:t>
      </w:r>
      <w:r>
        <w:rPr>
          <w:spacing w:val="-3"/>
          <w:w w:val="105"/>
          <w:sz w:val="21"/>
        </w:rPr>
        <w:t>remuneration </w:t>
      </w:r>
      <w:r>
        <w:rPr>
          <w:w w:val="105"/>
          <w:sz w:val="21"/>
        </w:rPr>
        <w:t>would</w:t>
      </w:r>
      <w:r>
        <w:rPr>
          <w:spacing w:val="39"/>
          <w:w w:val="105"/>
          <w:sz w:val="21"/>
        </w:rPr>
        <w:t> </w:t>
      </w:r>
      <w:r>
        <w:rPr>
          <w:w w:val="105"/>
          <w:sz w:val="21"/>
        </w:rPr>
        <w:t>be.</w:t>
      </w:r>
      <w:r>
        <w:rPr>
          <w:w w:val="105"/>
          <w:position w:val="7"/>
          <w:sz w:val="12"/>
        </w:rPr>
        <w:t>50</w:t>
      </w:r>
    </w:p>
    <w:p>
      <w:pPr>
        <w:pStyle w:val="ListParagraph"/>
        <w:numPr>
          <w:ilvl w:val="1"/>
          <w:numId w:val="22"/>
        </w:numPr>
        <w:tabs>
          <w:tab w:pos="2381" w:val="left" w:leader="none"/>
          <w:tab w:pos="2382" w:val="left" w:leader="none"/>
        </w:tabs>
        <w:spacing w:line="242" w:lineRule="auto" w:before="125" w:after="0"/>
        <w:ind w:left="2381" w:right="1691" w:hanging="794"/>
        <w:jc w:val="left"/>
        <w:rPr>
          <w:sz w:val="21"/>
        </w:rPr>
      </w:pPr>
      <w:r>
        <w:rPr>
          <w:sz w:val="21"/>
        </w:rPr>
        <w:t>The </w:t>
      </w:r>
      <w:r>
        <w:rPr>
          <w:spacing w:val="-3"/>
          <w:sz w:val="21"/>
        </w:rPr>
        <w:t>Commission </w:t>
      </w:r>
      <w:r>
        <w:rPr>
          <w:sz w:val="21"/>
        </w:rPr>
        <w:t>agrees </w:t>
      </w:r>
      <w:r>
        <w:rPr>
          <w:spacing w:val="-3"/>
          <w:sz w:val="21"/>
        </w:rPr>
        <w:t>that </w:t>
      </w:r>
      <w:r>
        <w:rPr>
          <w:sz w:val="21"/>
        </w:rPr>
        <w:t>clients should be </w:t>
      </w:r>
      <w:r>
        <w:rPr>
          <w:spacing w:val="-3"/>
          <w:sz w:val="21"/>
        </w:rPr>
        <w:t>encouraged to </w:t>
      </w:r>
      <w:r>
        <w:rPr>
          <w:sz w:val="21"/>
        </w:rPr>
        <w:t>seek independent  advice about </w:t>
      </w:r>
      <w:r>
        <w:rPr>
          <w:spacing w:val="-3"/>
          <w:sz w:val="21"/>
        </w:rPr>
        <w:t>including </w:t>
      </w:r>
      <w:r>
        <w:rPr>
          <w:sz w:val="21"/>
        </w:rPr>
        <w:t>a </w:t>
      </w:r>
      <w:r>
        <w:rPr>
          <w:spacing w:val="-3"/>
          <w:sz w:val="21"/>
        </w:rPr>
        <w:t>commission clause  </w:t>
      </w:r>
      <w:r>
        <w:rPr>
          <w:sz w:val="21"/>
        </w:rPr>
        <w:t>in </w:t>
      </w:r>
      <w:r>
        <w:rPr>
          <w:spacing w:val="-3"/>
          <w:sz w:val="21"/>
        </w:rPr>
        <w:t>favour</w:t>
      </w:r>
      <w:r>
        <w:rPr>
          <w:spacing w:val="41"/>
          <w:sz w:val="21"/>
        </w:rPr>
        <w:t> </w:t>
      </w:r>
      <w:r>
        <w:rPr>
          <w:sz w:val="21"/>
        </w:rPr>
        <w:t>of either the legal practitioner who drafts  the </w:t>
      </w:r>
      <w:r>
        <w:rPr>
          <w:spacing w:val="-3"/>
          <w:sz w:val="21"/>
        </w:rPr>
        <w:t>will </w:t>
      </w:r>
      <w:r>
        <w:rPr>
          <w:sz w:val="21"/>
        </w:rPr>
        <w:t>or </w:t>
      </w:r>
      <w:r>
        <w:rPr>
          <w:spacing w:val="-3"/>
          <w:sz w:val="21"/>
        </w:rPr>
        <w:t>another </w:t>
      </w:r>
      <w:r>
        <w:rPr>
          <w:sz w:val="21"/>
        </w:rPr>
        <w:t>member of the law </w:t>
      </w:r>
      <w:r>
        <w:rPr>
          <w:spacing w:val="-3"/>
          <w:sz w:val="21"/>
        </w:rPr>
        <w:t>practice. </w:t>
      </w:r>
      <w:r>
        <w:rPr>
          <w:spacing w:val="-4"/>
          <w:sz w:val="21"/>
        </w:rPr>
        <w:t>However, </w:t>
      </w:r>
      <w:r>
        <w:rPr>
          <w:spacing w:val="-3"/>
          <w:sz w:val="21"/>
        </w:rPr>
        <w:t>for </w:t>
      </w:r>
      <w:r>
        <w:rPr>
          <w:sz w:val="21"/>
        </w:rPr>
        <w:t>the </w:t>
      </w:r>
      <w:r>
        <w:rPr>
          <w:spacing w:val="-3"/>
          <w:sz w:val="21"/>
        </w:rPr>
        <w:t>following reasons </w:t>
      </w:r>
      <w:r>
        <w:rPr>
          <w:sz w:val="21"/>
        </w:rPr>
        <w:t>it </w:t>
      </w:r>
      <w:r>
        <w:rPr>
          <w:spacing w:val="-2"/>
          <w:sz w:val="21"/>
        </w:rPr>
        <w:t>has </w:t>
      </w:r>
      <w:r>
        <w:rPr>
          <w:spacing w:val="-3"/>
          <w:sz w:val="21"/>
        </w:rPr>
        <w:t>concluded</w:t>
      </w:r>
      <w:r>
        <w:rPr>
          <w:spacing w:val="9"/>
          <w:sz w:val="21"/>
        </w:rPr>
        <w:t> </w:t>
      </w:r>
      <w:r>
        <w:rPr>
          <w:spacing w:val="-3"/>
          <w:sz w:val="21"/>
        </w:rPr>
        <w:t>that</w:t>
      </w:r>
      <w:r>
        <w:rPr>
          <w:spacing w:val="10"/>
          <w:sz w:val="21"/>
        </w:rPr>
        <w:t> </w:t>
      </w:r>
      <w:r>
        <w:rPr>
          <w:sz w:val="21"/>
        </w:rPr>
        <w:t>it</w:t>
      </w:r>
      <w:r>
        <w:rPr>
          <w:spacing w:val="10"/>
          <w:sz w:val="21"/>
        </w:rPr>
        <w:t> </w:t>
      </w:r>
      <w:r>
        <w:rPr>
          <w:sz w:val="21"/>
        </w:rPr>
        <w:t>should</w:t>
      </w:r>
      <w:r>
        <w:rPr>
          <w:spacing w:val="10"/>
          <w:sz w:val="21"/>
        </w:rPr>
        <w:t> </w:t>
      </w:r>
      <w:r>
        <w:rPr>
          <w:spacing w:val="-2"/>
          <w:sz w:val="21"/>
        </w:rPr>
        <w:t>not</w:t>
      </w:r>
      <w:r>
        <w:rPr>
          <w:spacing w:val="10"/>
          <w:sz w:val="21"/>
        </w:rPr>
        <w:t> </w:t>
      </w:r>
      <w:r>
        <w:rPr>
          <w:sz w:val="21"/>
        </w:rPr>
        <w:t>be</w:t>
      </w:r>
      <w:r>
        <w:rPr>
          <w:spacing w:val="10"/>
          <w:sz w:val="21"/>
        </w:rPr>
        <w:t> </w:t>
      </w:r>
      <w:r>
        <w:rPr>
          <w:sz w:val="21"/>
        </w:rPr>
        <w:t>a</w:t>
      </w:r>
      <w:r>
        <w:rPr>
          <w:spacing w:val="10"/>
          <w:sz w:val="21"/>
        </w:rPr>
        <w:t> </w:t>
      </w:r>
      <w:r>
        <w:rPr>
          <w:sz w:val="21"/>
        </w:rPr>
        <w:t>statutory</w:t>
      </w:r>
      <w:r>
        <w:rPr>
          <w:spacing w:val="10"/>
          <w:sz w:val="21"/>
        </w:rPr>
        <w:t> </w:t>
      </w:r>
      <w:r>
        <w:rPr>
          <w:spacing w:val="-3"/>
          <w:sz w:val="21"/>
        </w:rPr>
        <w:t>requirement:</w:t>
      </w:r>
    </w:p>
    <w:p>
      <w:pPr>
        <w:pStyle w:val="ListParagraph"/>
        <w:numPr>
          <w:ilvl w:val="2"/>
          <w:numId w:val="22"/>
        </w:numPr>
        <w:tabs>
          <w:tab w:pos="2721" w:val="left" w:leader="none"/>
          <w:tab w:pos="2722" w:val="left" w:leader="none"/>
        </w:tabs>
        <w:spacing w:line="240" w:lineRule="auto" w:before="124" w:after="0"/>
        <w:ind w:left="2721" w:right="0" w:hanging="340"/>
        <w:jc w:val="left"/>
        <w:rPr>
          <w:sz w:val="21"/>
        </w:rPr>
      </w:pPr>
      <w:r>
        <w:rPr>
          <w:w w:val="105"/>
          <w:sz w:val="21"/>
        </w:rPr>
        <w:t>Independent advice is </w:t>
      </w:r>
      <w:r>
        <w:rPr>
          <w:spacing w:val="-2"/>
          <w:w w:val="105"/>
          <w:sz w:val="21"/>
        </w:rPr>
        <w:t>not </w:t>
      </w:r>
      <w:r>
        <w:rPr>
          <w:w w:val="105"/>
          <w:sz w:val="21"/>
        </w:rPr>
        <w:t>a necessary </w:t>
      </w:r>
      <w:r>
        <w:rPr>
          <w:spacing w:val="-3"/>
          <w:w w:val="105"/>
          <w:sz w:val="21"/>
        </w:rPr>
        <w:t>component </w:t>
      </w:r>
      <w:r>
        <w:rPr>
          <w:w w:val="105"/>
          <w:sz w:val="21"/>
        </w:rPr>
        <w:t>of </w:t>
      </w:r>
      <w:r>
        <w:rPr>
          <w:spacing w:val="-3"/>
          <w:w w:val="105"/>
          <w:sz w:val="21"/>
        </w:rPr>
        <w:t>informed</w:t>
      </w:r>
      <w:r>
        <w:rPr>
          <w:spacing w:val="37"/>
          <w:w w:val="105"/>
          <w:sz w:val="21"/>
        </w:rPr>
        <w:t> </w:t>
      </w:r>
      <w:r>
        <w:rPr>
          <w:spacing w:val="-3"/>
          <w:w w:val="105"/>
          <w:sz w:val="21"/>
        </w:rPr>
        <w:t>consent.</w:t>
      </w:r>
    </w:p>
    <w:p>
      <w:pPr>
        <w:pStyle w:val="BodyText"/>
        <w:spacing w:line="242" w:lineRule="auto" w:before="4"/>
        <w:ind w:left="2721" w:right="2289"/>
      </w:pPr>
      <w:r>
        <w:rPr>
          <w:w w:val="105"/>
        </w:rPr>
        <w:t>The </w:t>
      </w:r>
      <w:r>
        <w:rPr>
          <w:spacing w:val="-3"/>
          <w:w w:val="105"/>
        </w:rPr>
        <w:t>Commission </w:t>
      </w:r>
      <w:r>
        <w:rPr>
          <w:w w:val="105"/>
        </w:rPr>
        <w:t>considers </w:t>
      </w:r>
      <w:r>
        <w:rPr>
          <w:spacing w:val="-3"/>
          <w:w w:val="105"/>
        </w:rPr>
        <w:t>that </w:t>
      </w:r>
      <w:r>
        <w:rPr>
          <w:w w:val="105"/>
        </w:rPr>
        <w:t>the courts should </w:t>
      </w:r>
      <w:r>
        <w:rPr>
          <w:spacing w:val="-3"/>
          <w:w w:val="105"/>
        </w:rPr>
        <w:t>continue to determine </w:t>
      </w:r>
      <w:r>
        <w:rPr>
          <w:w w:val="105"/>
        </w:rPr>
        <w:t>what the components of </w:t>
      </w:r>
      <w:r>
        <w:rPr>
          <w:spacing w:val="-3"/>
          <w:w w:val="105"/>
        </w:rPr>
        <w:t>informed consent </w:t>
      </w:r>
      <w:r>
        <w:rPr>
          <w:w w:val="105"/>
        </w:rPr>
        <w:t>should be in </w:t>
      </w:r>
      <w:r>
        <w:rPr>
          <w:spacing w:val="-3"/>
          <w:w w:val="105"/>
        </w:rPr>
        <w:t>any </w:t>
      </w:r>
      <w:r>
        <w:rPr>
          <w:w w:val="105"/>
        </w:rPr>
        <w:t>given </w:t>
      </w:r>
      <w:r>
        <w:rPr>
          <w:spacing w:val="-3"/>
          <w:w w:val="105"/>
        </w:rPr>
        <w:t>circumstance.</w:t>
      </w:r>
    </w:p>
    <w:p>
      <w:pPr>
        <w:pStyle w:val="ListParagraph"/>
        <w:numPr>
          <w:ilvl w:val="2"/>
          <w:numId w:val="22"/>
        </w:numPr>
        <w:tabs>
          <w:tab w:pos="2721" w:val="left" w:leader="none"/>
          <w:tab w:pos="2722" w:val="left" w:leader="none"/>
        </w:tabs>
        <w:spacing w:line="242" w:lineRule="auto" w:before="122" w:after="0"/>
        <w:ind w:left="2721" w:right="2085" w:hanging="340"/>
        <w:jc w:val="left"/>
        <w:rPr>
          <w:sz w:val="21"/>
        </w:rPr>
      </w:pPr>
      <w:r>
        <w:rPr>
          <w:sz w:val="21"/>
        </w:rPr>
        <w:t>It </w:t>
      </w:r>
      <w:r>
        <w:rPr>
          <w:spacing w:val="-3"/>
          <w:sz w:val="21"/>
        </w:rPr>
        <w:t>could  </w:t>
      </w:r>
      <w:r>
        <w:rPr>
          <w:sz w:val="21"/>
        </w:rPr>
        <w:t>be of uncertain net benefit </w:t>
      </w:r>
      <w:r>
        <w:rPr>
          <w:spacing w:val="-3"/>
          <w:sz w:val="21"/>
        </w:rPr>
        <w:t>to</w:t>
      </w:r>
      <w:r>
        <w:rPr>
          <w:spacing w:val="41"/>
          <w:sz w:val="21"/>
        </w:rPr>
        <w:t> </w:t>
      </w:r>
      <w:r>
        <w:rPr>
          <w:sz w:val="21"/>
        </w:rPr>
        <w:t>the </w:t>
      </w:r>
      <w:r>
        <w:rPr>
          <w:spacing w:val="-3"/>
          <w:sz w:val="21"/>
        </w:rPr>
        <w:t>client  </w:t>
      </w:r>
      <w:r>
        <w:rPr>
          <w:sz w:val="21"/>
        </w:rPr>
        <w:t>in view of the cost and </w:t>
      </w:r>
      <w:r>
        <w:rPr>
          <w:spacing w:val="-4"/>
          <w:sz w:val="21"/>
        </w:rPr>
        <w:t>delay.    </w:t>
      </w:r>
      <w:r>
        <w:rPr>
          <w:sz w:val="21"/>
        </w:rPr>
        <w:t>The </w:t>
      </w:r>
      <w:r>
        <w:rPr>
          <w:spacing w:val="-3"/>
          <w:sz w:val="21"/>
        </w:rPr>
        <w:t>Commission </w:t>
      </w:r>
      <w:r>
        <w:rPr>
          <w:sz w:val="21"/>
        </w:rPr>
        <w:t>is </w:t>
      </w:r>
      <w:r>
        <w:rPr>
          <w:spacing w:val="-3"/>
          <w:sz w:val="21"/>
        </w:rPr>
        <w:t>mindful </w:t>
      </w:r>
      <w:r>
        <w:rPr>
          <w:sz w:val="21"/>
        </w:rPr>
        <w:t>of the need </w:t>
      </w:r>
      <w:r>
        <w:rPr>
          <w:spacing w:val="-2"/>
          <w:sz w:val="21"/>
        </w:rPr>
        <w:t>not </w:t>
      </w:r>
      <w:r>
        <w:rPr>
          <w:spacing w:val="-3"/>
          <w:sz w:val="21"/>
        </w:rPr>
        <w:t>to discourage </w:t>
      </w:r>
      <w:r>
        <w:rPr>
          <w:sz w:val="21"/>
        </w:rPr>
        <w:t>members of the </w:t>
      </w:r>
      <w:r>
        <w:rPr>
          <w:spacing w:val="-3"/>
          <w:sz w:val="21"/>
        </w:rPr>
        <w:t>public from using </w:t>
      </w:r>
      <w:r>
        <w:rPr>
          <w:sz w:val="21"/>
        </w:rPr>
        <w:t>legal practitioners when </w:t>
      </w:r>
      <w:r>
        <w:rPr>
          <w:spacing w:val="-3"/>
          <w:sz w:val="21"/>
        </w:rPr>
        <w:t>making</w:t>
      </w:r>
      <w:r>
        <w:rPr>
          <w:spacing w:val="-9"/>
          <w:sz w:val="21"/>
        </w:rPr>
        <w:t> </w:t>
      </w:r>
      <w:r>
        <w:rPr>
          <w:sz w:val="21"/>
        </w:rPr>
        <w:t>a </w:t>
      </w:r>
      <w:r>
        <w:rPr>
          <w:spacing w:val="-3"/>
          <w:sz w:val="21"/>
        </w:rPr>
        <w:t>will.</w:t>
      </w:r>
    </w:p>
    <w:p>
      <w:pPr>
        <w:pStyle w:val="ListParagraph"/>
        <w:numPr>
          <w:ilvl w:val="2"/>
          <w:numId w:val="22"/>
        </w:numPr>
        <w:tabs>
          <w:tab w:pos="2721" w:val="left" w:leader="none"/>
          <w:tab w:pos="2722" w:val="left" w:leader="none"/>
        </w:tabs>
        <w:spacing w:line="242" w:lineRule="auto" w:before="124" w:after="0"/>
        <w:ind w:left="2721" w:right="2233" w:hanging="340"/>
        <w:jc w:val="left"/>
        <w:rPr>
          <w:sz w:val="21"/>
        </w:rPr>
      </w:pPr>
      <w:r>
        <w:rPr>
          <w:w w:val="105"/>
          <w:sz w:val="21"/>
        </w:rPr>
        <w:t>The </w:t>
      </w:r>
      <w:r>
        <w:rPr>
          <w:spacing w:val="-3"/>
          <w:w w:val="105"/>
          <w:sz w:val="21"/>
        </w:rPr>
        <w:t>circumstances </w:t>
      </w:r>
      <w:r>
        <w:rPr>
          <w:w w:val="105"/>
          <w:sz w:val="21"/>
        </w:rPr>
        <w:t>in which a person enters a </w:t>
      </w:r>
      <w:r>
        <w:rPr>
          <w:spacing w:val="-3"/>
          <w:w w:val="105"/>
          <w:sz w:val="21"/>
        </w:rPr>
        <w:t>binding financial </w:t>
      </w:r>
      <w:r>
        <w:rPr>
          <w:spacing w:val="-2"/>
          <w:w w:val="105"/>
          <w:sz w:val="21"/>
        </w:rPr>
        <w:t>agreement </w:t>
      </w:r>
      <w:r>
        <w:rPr>
          <w:w w:val="105"/>
          <w:sz w:val="21"/>
        </w:rPr>
        <w:t>with a</w:t>
      </w:r>
      <w:r>
        <w:rPr>
          <w:spacing w:val="-7"/>
          <w:w w:val="105"/>
          <w:sz w:val="21"/>
        </w:rPr>
        <w:t> </w:t>
      </w:r>
      <w:r>
        <w:rPr>
          <w:spacing w:val="-3"/>
          <w:w w:val="105"/>
          <w:sz w:val="21"/>
        </w:rPr>
        <w:t>current</w:t>
      </w:r>
      <w:r>
        <w:rPr>
          <w:spacing w:val="-6"/>
          <w:w w:val="105"/>
          <w:sz w:val="21"/>
        </w:rPr>
        <w:t> </w:t>
      </w:r>
      <w:r>
        <w:rPr>
          <w:w w:val="105"/>
          <w:sz w:val="21"/>
        </w:rPr>
        <w:t>or</w:t>
      </w:r>
      <w:r>
        <w:rPr>
          <w:spacing w:val="-6"/>
          <w:w w:val="105"/>
          <w:sz w:val="21"/>
        </w:rPr>
        <w:t> </w:t>
      </w:r>
      <w:r>
        <w:rPr>
          <w:w w:val="105"/>
          <w:sz w:val="21"/>
        </w:rPr>
        <w:t>former</w:t>
      </w:r>
      <w:r>
        <w:rPr>
          <w:spacing w:val="-6"/>
          <w:w w:val="105"/>
          <w:sz w:val="21"/>
        </w:rPr>
        <w:t> </w:t>
      </w:r>
      <w:r>
        <w:rPr>
          <w:w w:val="105"/>
          <w:sz w:val="21"/>
        </w:rPr>
        <w:t>partner</w:t>
      </w:r>
      <w:r>
        <w:rPr>
          <w:spacing w:val="-6"/>
          <w:w w:val="105"/>
          <w:sz w:val="21"/>
        </w:rPr>
        <w:t> </w:t>
      </w:r>
      <w:r>
        <w:rPr>
          <w:spacing w:val="-3"/>
          <w:w w:val="105"/>
          <w:sz w:val="21"/>
        </w:rPr>
        <w:t>that</w:t>
      </w:r>
      <w:r>
        <w:rPr>
          <w:spacing w:val="-6"/>
          <w:w w:val="105"/>
          <w:sz w:val="21"/>
        </w:rPr>
        <w:t> </w:t>
      </w:r>
      <w:r>
        <w:rPr>
          <w:spacing w:val="-3"/>
          <w:w w:val="105"/>
          <w:sz w:val="21"/>
        </w:rPr>
        <w:t>could</w:t>
      </w:r>
      <w:r>
        <w:rPr>
          <w:spacing w:val="-6"/>
          <w:w w:val="105"/>
          <w:sz w:val="21"/>
        </w:rPr>
        <w:t> </w:t>
      </w:r>
      <w:r>
        <w:rPr>
          <w:w w:val="105"/>
          <w:sz w:val="21"/>
        </w:rPr>
        <w:t>affect</w:t>
      </w:r>
      <w:r>
        <w:rPr>
          <w:spacing w:val="-6"/>
          <w:w w:val="105"/>
          <w:sz w:val="21"/>
        </w:rPr>
        <w:t> </w:t>
      </w:r>
      <w:r>
        <w:rPr>
          <w:w w:val="105"/>
          <w:sz w:val="21"/>
        </w:rPr>
        <w:t>their</w:t>
      </w:r>
      <w:r>
        <w:rPr>
          <w:spacing w:val="-6"/>
          <w:w w:val="105"/>
          <w:sz w:val="21"/>
        </w:rPr>
        <w:t> </w:t>
      </w:r>
      <w:r>
        <w:rPr>
          <w:spacing w:val="-3"/>
          <w:w w:val="105"/>
          <w:sz w:val="21"/>
        </w:rPr>
        <w:t>future</w:t>
      </w:r>
      <w:r>
        <w:rPr>
          <w:spacing w:val="-6"/>
          <w:w w:val="105"/>
          <w:sz w:val="21"/>
        </w:rPr>
        <w:t> </w:t>
      </w:r>
      <w:r>
        <w:rPr>
          <w:spacing w:val="-3"/>
          <w:w w:val="105"/>
          <w:sz w:val="21"/>
        </w:rPr>
        <w:t>financial</w:t>
      </w:r>
      <w:r>
        <w:rPr>
          <w:spacing w:val="-7"/>
          <w:w w:val="105"/>
          <w:sz w:val="21"/>
        </w:rPr>
        <w:t> </w:t>
      </w:r>
      <w:r>
        <w:rPr>
          <w:spacing w:val="-3"/>
          <w:w w:val="105"/>
          <w:sz w:val="21"/>
        </w:rPr>
        <w:t>security,</w:t>
      </w:r>
      <w:r>
        <w:rPr>
          <w:spacing w:val="-6"/>
          <w:w w:val="105"/>
          <w:sz w:val="21"/>
        </w:rPr>
        <w:t> </w:t>
      </w:r>
      <w:r>
        <w:rPr>
          <w:w w:val="105"/>
          <w:sz w:val="21"/>
        </w:rPr>
        <w:t>and</w:t>
      </w:r>
    </w:p>
    <w:p>
      <w:pPr>
        <w:pStyle w:val="BodyText"/>
        <w:spacing w:line="242" w:lineRule="auto" w:before="2"/>
        <w:ind w:left="2721" w:right="2142"/>
      </w:pPr>
      <w:r>
        <w:rPr/>
        <w:t>the associated risks, </w:t>
      </w:r>
      <w:r>
        <w:rPr>
          <w:spacing w:val="-3"/>
        </w:rPr>
        <w:t>are quite  </w:t>
      </w:r>
      <w:r>
        <w:rPr/>
        <w:t>distinct </w:t>
      </w:r>
      <w:r>
        <w:rPr>
          <w:spacing w:val="-3"/>
        </w:rPr>
        <w:t>from</w:t>
      </w:r>
      <w:r>
        <w:rPr>
          <w:spacing w:val="41"/>
        </w:rPr>
        <w:t> </w:t>
      </w:r>
      <w:r>
        <w:rPr/>
        <w:t>those </w:t>
      </w:r>
      <w:r>
        <w:rPr>
          <w:spacing w:val="-3"/>
        </w:rPr>
        <w:t>that  </w:t>
      </w:r>
      <w:r>
        <w:rPr/>
        <w:t>exist when a person </w:t>
      </w:r>
      <w:r>
        <w:rPr>
          <w:spacing w:val="-3"/>
        </w:rPr>
        <w:t>makes  </w:t>
      </w:r>
      <w:r>
        <w:rPr/>
        <w:t>a</w:t>
      </w:r>
      <w:r>
        <w:rPr>
          <w:spacing w:val="9"/>
        </w:rPr>
        <w:t> </w:t>
      </w:r>
      <w:r>
        <w:rPr>
          <w:spacing w:val="-3"/>
        </w:rPr>
        <w:t>will</w:t>
      </w:r>
      <w:r>
        <w:rPr>
          <w:spacing w:val="9"/>
        </w:rPr>
        <w:t> </w:t>
      </w:r>
      <w:r>
        <w:rPr>
          <w:spacing w:val="-3"/>
        </w:rPr>
        <w:t>for</w:t>
      </w:r>
      <w:r>
        <w:rPr>
          <w:spacing w:val="9"/>
        </w:rPr>
        <w:t> </w:t>
      </w:r>
      <w:r>
        <w:rPr/>
        <w:t>the</w:t>
      </w:r>
      <w:r>
        <w:rPr>
          <w:spacing w:val="10"/>
        </w:rPr>
        <w:t> </w:t>
      </w:r>
      <w:r>
        <w:rPr>
          <w:spacing w:val="-2"/>
        </w:rPr>
        <w:t>distribution</w:t>
      </w:r>
      <w:r>
        <w:rPr>
          <w:spacing w:val="9"/>
        </w:rPr>
        <w:t> </w:t>
      </w:r>
      <w:r>
        <w:rPr/>
        <w:t>of</w:t>
      </w:r>
      <w:r>
        <w:rPr>
          <w:spacing w:val="9"/>
        </w:rPr>
        <w:t> </w:t>
      </w:r>
      <w:r>
        <w:rPr/>
        <w:t>their</w:t>
      </w:r>
      <w:r>
        <w:rPr>
          <w:spacing w:val="10"/>
        </w:rPr>
        <w:t> </w:t>
      </w:r>
      <w:r>
        <w:rPr/>
        <w:t>estate</w:t>
      </w:r>
      <w:r>
        <w:rPr>
          <w:spacing w:val="9"/>
        </w:rPr>
        <w:t> </w:t>
      </w:r>
      <w:r>
        <w:rPr/>
        <w:t>after</w:t>
      </w:r>
      <w:r>
        <w:rPr>
          <w:spacing w:val="9"/>
        </w:rPr>
        <w:t> </w:t>
      </w:r>
      <w:r>
        <w:rPr>
          <w:spacing w:val="-3"/>
        </w:rPr>
        <w:t>death.</w:t>
      </w:r>
    </w:p>
    <w:p>
      <w:pPr>
        <w:pStyle w:val="BodyText"/>
        <w:spacing w:before="10"/>
        <w:rPr>
          <w:sz w:val="26"/>
        </w:rPr>
      </w:pPr>
    </w:p>
    <w:p>
      <w:pPr>
        <w:pStyle w:val="Heading6"/>
      </w:pPr>
      <w:r>
        <w:rPr>
          <w:color w:val="6D6E71"/>
          <w:w w:val="115"/>
        </w:rPr>
        <w:t>Incorporate rule 10.1 into legislation</w:t>
      </w:r>
    </w:p>
    <w:p>
      <w:pPr>
        <w:pStyle w:val="ListParagraph"/>
        <w:numPr>
          <w:ilvl w:val="1"/>
          <w:numId w:val="22"/>
        </w:numPr>
        <w:tabs>
          <w:tab w:pos="2381" w:val="left" w:leader="none"/>
          <w:tab w:pos="2382" w:val="left" w:leader="none"/>
        </w:tabs>
        <w:spacing w:line="242" w:lineRule="auto" w:before="151" w:after="0"/>
        <w:ind w:left="2381" w:right="1909" w:hanging="794"/>
        <w:jc w:val="left"/>
        <w:rPr>
          <w:sz w:val="21"/>
        </w:rPr>
      </w:pPr>
      <w:r>
        <w:rPr>
          <w:w w:val="105"/>
          <w:sz w:val="21"/>
        </w:rPr>
        <w:t>An idea </w:t>
      </w:r>
      <w:r>
        <w:rPr>
          <w:spacing w:val="-3"/>
          <w:w w:val="105"/>
          <w:sz w:val="21"/>
        </w:rPr>
        <w:t>that </w:t>
      </w:r>
      <w:r>
        <w:rPr>
          <w:w w:val="105"/>
          <w:sz w:val="21"/>
        </w:rPr>
        <w:t>the </w:t>
      </w:r>
      <w:r>
        <w:rPr>
          <w:spacing w:val="-3"/>
          <w:w w:val="105"/>
          <w:sz w:val="21"/>
        </w:rPr>
        <w:t>Commission </w:t>
      </w:r>
      <w:r>
        <w:rPr>
          <w:w w:val="105"/>
          <w:sz w:val="21"/>
        </w:rPr>
        <w:t>put forward in the </w:t>
      </w:r>
      <w:r>
        <w:rPr>
          <w:spacing w:val="-3"/>
          <w:w w:val="105"/>
          <w:sz w:val="21"/>
        </w:rPr>
        <w:t>consultation </w:t>
      </w:r>
      <w:r>
        <w:rPr>
          <w:w w:val="105"/>
          <w:sz w:val="21"/>
        </w:rPr>
        <w:t>paper on executors was </w:t>
      </w:r>
      <w:r>
        <w:rPr>
          <w:spacing w:val="-3"/>
          <w:w w:val="105"/>
          <w:sz w:val="21"/>
        </w:rPr>
        <w:t>to incorporate </w:t>
      </w:r>
      <w:r>
        <w:rPr>
          <w:w w:val="105"/>
          <w:sz w:val="21"/>
        </w:rPr>
        <w:t>rule </w:t>
      </w:r>
      <w:r>
        <w:rPr>
          <w:spacing w:val="-9"/>
          <w:w w:val="105"/>
          <w:sz w:val="21"/>
        </w:rPr>
        <w:t>10.1 </w:t>
      </w:r>
      <w:r>
        <w:rPr>
          <w:spacing w:val="-4"/>
          <w:w w:val="105"/>
          <w:sz w:val="21"/>
        </w:rPr>
        <w:t>into </w:t>
      </w:r>
      <w:r>
        <w:rPr>
          <w:w w:val="105"/>
          <w:sz w:val="21"/>
        </w:rPr>
        <w:t>the </w:t>
      </w:r>
      <w:r>
        <w:rPr>
          <w:i/>
          <w:w w:val="105"/>
          <w:sz w:val="21"/>
        </w:rPr>
        <w:t>Wills Act </w:t>
      </w:r>
      <w:r>
        <w:rPr>
          <w:i/>
          <w:spacing w:val="-8"/>
          <w:w w:val="105"/>
          <w:sz w:val="21"/>
        </w:rPr>
        <w:t>1997 </w:t>
      </w:r>
      <w:r>
        <w:rPr>
          <w:w w:val="105"/>
          <w:sz w:val="21"/>
        </w:rPr>
        <w:t>(Vic).</w:t>
      </w:r>
      <w:r>
        <w:rPr>
          <w:w w:val="105"/>
          <w:position w:val="7"/>
          <w:sz w:val="12"/>
        </w:rPr>
        <w:t>51 </w:t>
      </w:r>
      <w:r>
        <w:rPr>
          <w:w w:val="105"/>
          <w:sz w:val="21"/>
        </w:rPr>
        <w:t>By </w:t>
      </w:r>
      <w:r>
        <w:rPr>
          <w:spacing w:val="-3"/>
          <w:w w:val="105"/>
          <w:sz w:val="21"/>
        </w:rPr>
        <w:t>appearing </w:t>
      </w:r>
      <w:r>
        <w:rPr>
          <w:w w:val="105"/>
          <w:sz w:val="21"/>
        </w:rPr>
        <w:t>in </w:t>
      </w:r>
      <w:r>
        <w:rPr>
          <w:spacing w:val="-3"/>
          <w:w w:val="105"/>
          <w:sz w:val="21"/>
        </w:rPr>
        <w:t>legislation that any</w:t>
      </w:r>
      <w:r>
        <w:rPr>
          <w:spacing w:val="-8"/>
          <w:w w:val="105"/>
          <w:sz w:val="21"/>
        </w:rPr>
        <w:t> </w:t>
      </w:r>
      <w:r>
        <w:rPr>
          <w:w w:val="105"/>
          <w:sz w:val="21"/>
        </w:rPr>
        <w:t>legal</w:t>
      </w:r>
      <w:r>
        <w:rPr>
          <w:spacing w:val="-7"/>
          <w:w w:val="105"/>
          <w:sz w:val="21"/>
        </w:rPr>
        <w:t> </w:t>
      </w:r>
      <w:r>
        <w:rPr>
          <w:w w:val="105"/>
          <w:sz w:val="21"/>
        </w:rPr>
        <w:t>practitioner</w:t>
      </w:r>
      <w:r>
        <w:rPr>
          <w:spacing w:val="-8"/>
          <w:w w:val="105"/>
          <w:sz w:val="21"/>
        </w:rPr>
        <w:t> </w:t>
      </w:r>
      <w:r>
        <w:rPr>
          <w:w w:val="105"/>
          <w:sz w:val="21"/>
        </w:rPr>
        <w:t>seeking</w:t>
      </w:r>
      <w:r>
        <w:rPr>
          <w:spacing w:val="-7"/>
          <w:w w:val="105"/>
          <w:sz w:val="21"/>
        </w:rPr>
        <w:t> </w:t>
      </w:r>
      <w:r>
        <w:rPr>
          <w:spacing w:val="-3"/>
          <w:w w:val="105"/>
          <w:sz w:val="21"/>
        </w:rPr>
        <w:t>information</w:t>
      </w:r>
      <w:r>
        <w:rPr>
          <w:spacing w:val="-8"/>
          <w:w w:val="105"/>
          <w:sz w:val="21"/>
        </w:rPr>
        <w:t> </w:t>
      </w:r>
      <w:r>
        <w:rPr>
          <w:w w:val="105"/>
          <w:sz w:val="21"/>
        </w:rPr>
        <w:t>about</w:t>
      </w:r>
      <w:r>
        <w:rPr>
          <w:spacing w:val="-7"/>
          <w:w w:val="105"/>
          <w:sz w:val="21"/>
        </w:rPr>
        <w:t> </w:t>
      </w:r>
      <w:r>
        <w:rPr>
          <w:w w:val="105"/>
          <w:sz w:val="21"/>
        </w:rPr>
        <w:t>the</w:t>
      </w:r>
      <w:r>
        <w:rPr>
          <w:spacing w:val="-7"/>
          <w:w w:val="105"/>
          <w:sz w:val="21"/>
        </w:rPr>
        <w:t> </w:t>
      </w:r>
      <w:r>
        <w:rPr>
          <w:spacing w:val="-3"/>
          <w:w w:val="105"/>
          <w:sz w:val="21"/>
        </w:rPr>
        <w:t>requirements</w:t>
      </w:r>
      <w:r>
        <w:rPr>
          <w:spacing w:val="-8"/>
          <w:w w:val="105"/>
          <w:sz w:val="21"/>
        </w:rPr>
        <w:t> </w:t>
      </w:r>
      <w:r>
        <w:rPr>
          <w:spacing w:val="-3"/>
          <w:w w:val="105"/>
          <w:sz w:val="21"/>
        </w:rPr>
        <w:t>for</w:t>
      </w:r>
      <w:r>
        <w:rPr>
          <w:spacing w:val="-7"/>
          <w:w w:val="105"/>
          <w:sz w:val="21"/>
        </w:rPr>
        <w:t> </w:t>
      </w:r>
      <w:r>
        <w:rPr>
          <w:spacing w:val="-3"/>
          <w:w w:val="105"/>
          <w:sz w:val="21"/>
        </w:rPr>
        <w:t>preparing</w:t>
      </w:r>
      <w:r>
        <w:rPr>
          <w:spacing w:val="-8"/>
          <w:w w:val="105"/>
          <w:sz w:val="21"/>
        </w:rPr>
        <w:t> </w:t>
      </w:r>
      <w:r>
        <w:rPr>
          <w:w w:val="105"/>
          <w:sz w:val="21"/>
        </w:rPr>
        <w:t>a</w:t>
      </w:r>
      <w:r>
        <w:rPr>
          <w:spacing w:val="-7"/>
          <w:w w:val="105"/>
          <w:sz w:val="21"/>
        </w:rPr>
        <w:t> </w:t>
      </w:r>
      <w:r>
        <w:rPr>
          <w:spacing w:val="-3"/>
          <w:w w:val="105"/>
          <w:sz w:val="21"/>
        </w:rPr>
        <w:t>valid will </w:t>
      </w:r>
      <w:r>
        <w:rPr>
          <w:w w:val="105"/>
          <w:sz w:val="21"/>
        </w:rPr>
        <w:t>would </w:t>
      </w:r>
      <w:r>
        <w:rPr>
          <w:spacing w:val="-3"/>
          <w:w w:val="105"/>
          <w:sz w:val="21"/>
        </w:rPr>
        <w:t>consult, </w:t>
      </w:r>
      <w:r>
        <w:rPr>
          <w:w w:val="105"/>
          <w:sz w:val="21"/>
        </w:rPr>
        <w:t>it would be more </w:t>
      </w:r>
      <w:r>
        <w:rPr>
          <w:spacing w:val="-4"/>
          <w:w w:val="105"/>
          <w:sz w:val="21"/>
        </w:rPr>
        <w:t>likely </w:t>
      </w:r>
      <w:r>
        <w:rPr>
          <w:spacing w:val="-3"/>
          <w:w w:val="105"/>
          <w:sz w:val="21"/>
        </w:rPr>
        <w:t>to </w:t>
      </w:r>
      <w:r>
        <w:rPr>
          <w:w w:val="105"/>
          <w:sz w:val="21"/>
        </w:rPr>
        <w:t>be </w:t>
      </w:r>
      <w:r>
        <w:rPr>
          <w:spacing w:val="-3"/>
          <w:w w:val="105"/>
          <w:sz w:val="21"/>
        </w:rPr>
        <w:t>noticed </w:t>
      </w:r>
      <w:r>
        <w:rPr>
          <w:w w:val="105"/>
          <w:sz w:val="21"/>
        </w:rPr>
        <w:t>and </w:t>
      </w:r>
      <w:r>
        <w:rPr>
          <w:spacing w:val="-3"/>
          <w:w w:val="105"/>
          <w:sz w:val="21"/>
        </w:rPr>
        <w:t>followed. Elevating </w:t>
      </w:r>
      <w:r>
        <w:rPr>
          <w:w w:val="105"/>
          <w:sz w:val="21"/>
        </w:rPr>
        <w:t>the </w:t>
      </w:r>
      <w:r>
        <w:rPr>
          <w:spacing w:val="-3"/>
          <w:w w:val="105"/>
          <w:sz w:val="21"/>
        </w:rPr>
        <w:t>requirement</w:t>
      </w:r>
      <w:r>
        <w:rPr>
          <w:spacing w:val="-7"/>
          <w:w w:val="105"/>
          <w:sz w:val="21"/>
        </w:rPr>
        <w:t> </w:t>
      </w:r>
      <w:r>
        <w:rPr>
          <w:spacing w:val="-3"/>
          <w:w w:val="105"/>
          <w:sz w:val="21"/>
        </w:rPr>
        <w:t>to</w:t>
      </w:r>
      <w:r>
        <w:rPr>
          <w:spacing w:val="-7"/>
          <w:w w:val="105"/>
          <w:sz w:val="21"/>
        </w:rPr>
        <w:t> </w:t>
      </w:r>
      <w:r>
        <w:rPr>
          <w:w w:val="105"/>
          <w:sz w:val="21"/>
        </w:rPr>
        <w:t>a</w:t>
      </w:r>
      <w:r>
        <w:rPr>
          <w:spacing w:val="-7"/>
          <w:w w:val="105"/>
          <w:sz w:val="21"/>
        </w:rPr>
        <w:t> </w:t>
      </w:r>
      <w:r>
        <w:rPr>
          <w:w w:val="105"/>
          <w:sz w:val="21"/>
        </w:rPr>
        <w:t>statutory</w:t>
      </w:r>
      <w:r>
        <w:rPr>
          <w:spacing w:val="-7"/>
          <w:w w:val="105"/>
          <w:sz w:val="21"/>
        </w:rPr>
        <w:t> </w:t>
      </w:r>
      <w:r>
        <w:rPr>
          <w:w w:val="105"/>
          <w:sz w:val="21"/>
        </w:rPr>
        <w:t>duty</w:t>
      </w:r>
      <w:r>
        <w:rPr>
          <w:spacing w:val="-7"/>
          <w:w w:val="105"/>
          <w:sz w:val="21"/>
        </w:rPr>
        <w:t> </w:t>
      </w:r>
      <w:r>
        <w:rPr>
          <w:w w:val="105"/>
          <w:sz w:val="21"/>
        </w:rPr>
        <w:t>would</w:t>
      </w:r>
      <w:r>
        <w:rPr>
          <w:spacing w:val="-7"/>
          <w:w w:val="105"/>
          <w:sz w:val="21"/>
        </w:rPr>
        <w:t> </w:t>
      </w:r>
      <w:r>
        <w:rPr>
          <w:w w:val="105"/>
          <w:sz w:val="21"/>
        </w:rPr>
        <w:t>also</w:t>
      </w:r>
      <w:r>
        <w:rPr>
          <w:spacing w:val="-6"/>
          <w:w w:val="105"/>
          <w:sz w:val="21"/>
        </w:rPr>
        <w:t> </w:t>
      </w:r>
      <w:r>
        <w:rPr>
          <w:spacing w:val="-4"/>
          <w:w w:val="105"/>
          <w:sz w:val="21"/>
        </w:rPr>
        <w:t>reinforce</w:t>
      </w:r>
      <w:r>
        <w:rPr>
          <w:spacing w:val="-7"/>
          <w:w w:val="105"/>
          <w:sz w:val="21"/>
        </w:rPr>
        <w:t> </w:t>
      </w:r>
      <w:r>
        <w:rPr>
          <w:w w:val="105"/>
          <w:sz w:val="21"/>
        </w:rPr>
        <w:t>the</w:t>
      </w:r>
      <w:r>
        <w:rPr>
          <w:spacing w:val="-7"/>
          <w:w w:val="105"/>
          <w:sz w:val="21"/>
        </w:rPr>
        <w:t> </w:t>
      </w:r>
      <w:r>
        <w:rPr>
          <w:w w:val="105"/>
          <w:sz w:val="21"/>
        </w:rPr>
        <w:t>need</w:t>
      </w:r>
      <w:r>
        <w:rPr>
          <w:spacing w:val="-7"/>
          <w:w w:val="105"/>
          <w:sz w:val="21"/>
        </w:rPr>
        <w:t> </w:t>
      </w:r>
      <w:r>
        <w:rPr>
          <w:spacing w:val="-3"/>
          <w:w w:val="105"/>
          <w:sz w:val="21"/>
        </w:rPr>
        <w:t>to</w:t>
      </w:r>
      <w:r>
        <w:rPr>
          <w:spacing w:val="-7"/>
          <w:w w:val="105"/>
          <w:sz w:val="21"/>
        </w:rPr>
        <w:t> </w:t>
      </w:r>
      <w:r>
        <w:rPr>
          <w:w w:val="105"/>
          <w:sz w:val="21"/>
        </w:rPr>
        <w:t>seek</w:t>
      </w:r>
      <w:r>
        <w:rPr>
          <w:spacing w:val="-7"/>
          <w:w w:val="105"/>
          <w:sz w:val="21"/>
        </w:rPr>
        <w:t> </w:t>
      </w:r>
      <w:r>
        <w:rPr>
          <w:w w:val="105"/>
          <w:sz w:val="21"/>
        </w:rPr>
        <w:t>the</w:t>
      </w:r>
      <w:r>
        <w:rPr>
          <w:spacing w:val="-7"/>
          <w:w w:val="105"/>
          <w:sz w:val="21"/>
        </w:rPr>
        <w:t> </w:t>
      </w:r>
      <w:r>
        <w:rPr>
          <w:spacing w:val="-3"/>
          <w:w w:val="105"/>
          <w:sz w:val="21"/>
        </w:rPr>
        <w:t>will-maker’s consent.</w:t>
      </w:r>
    </w:p>
    <w:p>
      <w:pPr>
        <w:pStyle w:val="ListParagraph"/>
        <w:numPr>
          <w:ilvl w:val="1"/>
          <w:numId w:val="22"/>
        </w:numPr>
        <w:tabs>
          <w:tab w:pos="2381" w:val="left" w:leader="none"/>
          <w:tab w:pos="2382" w:val="left" w:leader="none"/>
        </w:tabs>
        <w:spacing w:line="242" w:lineRule="auto" w:before="127" w:after="0"/>
        <w:ind w:left="2381" w:right="2125" w:hanging="794"/>
        <w:jc w:val="left"/>
        <w:rPr>
          <w:sz w:val="12"/>
        </w:rPr>
      </w:pPr>
      <w:r>
        <w:rPr>
          <w:w w:val="105"/>
          <w:sz w:val="21"/>
        </w:rPr>
        <w:t>Mixed views </w:t>
      </w:r>
      <w:r>
        <w:rPr>
          <w:spacing w:val="-3"/>
          <w:w w:val="105"/>
          <w:sz w:val="21"/>
        </w:rPr>
        <w:t>were </w:t>
      </w:r>
      <w:r>
        <w:rPr>
          <w:w w:val="105"/>
          <w:sz w:val="21"/>
        </w:rPr>
        <w:t>expressed in </w:t>
      </w:r>
      <w:r>
        <w:rPr>
          <w:spacing w:val="-3"/>
          <w:w w:val="105"/>
          <w:sz w:val="21"/>
        </w:rPr>
        <w:t>submissions that commented </w:t>
      </w:r>
      <w:r>
        <w:rPr>
          <w:w w:val="105"/>
          <w:sz w:val="21"/>
        </w:rPr>
        <w:t>on this idea. Some supported </w:t>
      </w:r>
      <w:r>
        <w:rPr>
          <w:spacing w:val="-3"/>
          <w:w w:val="105"/>
          <w:sz w:val="21"/>
        </w:rPr>
        <w:t>it,</w:t>
      </w:r>
      <w:r>
        <w:rPr>
          <w:spacing w:val="-3"/>
          <w:w w:val="105"/>
          <w:position w:val="7"/>
          <w:sz w:val="12"/>
        </w:rPr>
        <w:t>52 </w:t>
      </w:r>
      <w:r>
        <w:rPr>
          <w:w w:val="105"/>
          <w:sz w:val="21"/>
        </w:rPr>
        <w:t>some opposed </w:t>
      </w:r>
      <w:r>
        <w:rPr>
          <w:spacing w:val="-3"/>
          <w:w w:val="105"/>
          <w:sz w:val="21"/>
        </w:rPr>
        <w:t>any </w:t>
      </w:r>
      <w:r>
        <w:rPr>
          <w:w w:val="105"/>
          <w:sz w:val="21"/>
        </w:rPr>
        <w:t>statutory duty </w:t>
      </w:r>
      <w:r>
        <w:rPr>
          <w:w w:val="105"/>
          <w:position w:val="7"/>
          <w:sz w:val="12"/>
        </w:rPr>
        <w:t>53 </w:t>
      </w:r>
      <w:r>
        <w:rPr>
          <w:w w:val="105"/>
          <w:sz w:val="21"/>
        </w:rPr>
        <w:t>and some suggested modifying the</w:t>
      </w:r>
      <w:r>
        <w:rPr>
          <w:spacing w:val="-6"/>
          <w:w w:val="105"/>
          <w:sz w:val="21"/>
        </w:rPr>
        <w:t> </w:t>
      </w:r>
      <w:r>
        <w:rPr>
          <w:spacing w:val="-3"/>
          <w:w w:val="105"/>
          <w:sz w:val="21"/>
        </w:rPr>
        <w:t>rule.</w:t>
      </w:r>
      <w:r>
        <w:rPr>
          <w:spacing w:val="-3"/>
          <w:w w:val="105"/>
          <w:position w:val="7"/>
          <w:sz w:val="12"/>
        </w:rPr>
        <w:t>54</w:t>
      </w:r>
      <w:r>
        <w:rPr>
          <w:spacing w:val="16"/>
          <w:w w:val="105"/>
          <w:position w:val="7"/>
          <w:sz w:val="12"/>
        </w:rPr>
        <w:t> </w:t>
      </w:r>
      <w:r>
        <w:rPr>
          <w:w w:val="105"/>
          <w:sz w:val="21"/>
        </w:rPr>
        <w:t>Reasons</w:t>
      </w:r>
      <w:r>
        <w:rPr>
          <w:spacing w:val="-6"/>
          <w:w w:val="105"/>
          <w:sz w:val="21"/>
        </w:rPr>
        <w:t> </w:t>
      </w:r>
      <w:r>
        <w:rPr>
          <w:w w:val="105"/>
          <w:sz w:val="21"/>
        </w:rPr>
        <w:t>given</w:t>
      </w:r>
      <w:r>
        <w:rPr>
          <w:spacing w:val="-5"/>
          <w:w w:val="105"/>
          <w:sz w:val="21"/>
        </w:rPr>
        <w:t> </w:t>
      </w:r>
      <w:r>
        <w:rPr>
          <w:spacing w:val="-3"/>
          <w:w w:val="105"/>
          <w:sz w:val="21"/>
        </w:rPr>
        <w:t>for</w:t>
      </w:r>
      <w:r>
        <w:rPr>
          <w:spacing w:val="-6"/>
          <w:w w:val="105"/>
          <w:sz w:val="21"/>
        </w:rPr>
        <w:t> </w:t>
      </w:r>
      <w:r>
        <w:rPr>
          <w:w w:val="105"/>
          <w:sz w:val="21"/>
        </w:rPr>
        <w:t>supporting</w:t>
      </w:r>
      <w:r>
        <w:rPr>
          <w:spacing w:val="-6"/>
          <w:w w:val="105"/>
          <w:sz w:val="21"/>
        </w:rPr>
        <w:t> </w:t>
      </w:r>
      <w:r>
        <w:rPr>
          <w:w w:val="105"/>
          <w:sz w:val="21"/>
        </w:rPr>
        <w:t>the</w:t>
      </w:r>
      <w:r>
        <w:rPr>
          <w:spacing w:val="-5"/>
          <w:w w:val="105"/>
          <w:sz w:val="21"/>
        </w:rPr>
        <w:t> </w:t>
      </w:r>
      <w:r>
        <w:rPr>
          <w:w w:val="105"/>
          <w:sz w:val="21"/>
        </w:rPr>
        <w:t>idea</w:t>
      </w:r>
      <w:r>
        <w:rPr>
          <w:spacing w:val="-6"/>
          <w:w w:val="105"/>
          <w:sz w:val="21"/>
        </w:rPr>
        <w:t> </w:t>
      </w:r>
      <w:r>
        <w:rPr>
          <w:spacing w:val="-3"/>
          <w:w w:val="105"/>
          <w:sz w:val="21"/>
        </w:rPr>
        <w:t>were</w:t>
      </w:r>
      <w:r>
        <w:rPr>
          <w:spacing w:val="-6"/>
          <w:w w:val="105"/>
          <w:sz w:val="21"/>
        </w:rPr>
        <w:t> </w:t>
      </w:r>
      <w:r>
        <w:rPr>
          <w:spacing w:val="-3"/>
          <w:w w:val="105"/>
          <w:sz w:val="21"/>
        </w:rPr>
        <w:t>that</w:t>
      </w:r>
      <w:r>
        <w:rPr>
          <w:spacing w:val="-5"/>
          <w:w w:val="105"/>
          <w:sz w:val="21"/>
        </w:rPr>
        <w:t> </w:t>
      </w:r>
      <w:r>
        <w:rPr>
          <w:w w:val="105"/>
          <w:sz w:val="21"/>
        </w:rPr>
        <w:t>it</w:t>
      </w:r>
      <w:r>
        <w:rPr>
          <w:spacing w:val="-6"/>
          <w:w w:val="105"/>
          <w:sz w:val="21"/>
        </w:rPr>
        <w:t> </w:t>
      </w:r>
      <w:r>
        <w:rPr>
          <w:w w:val="105"/>
          <w:sz w:val="21"/>
        </w:rPr>
        <w:t>would</w:t>
      </w:r>
      <w:r>
        <w:rPr>
          <w:spacing w:val="-6"/>
          <w:w w:val="105"/>
          <w:sz w:val="21"/>
        </w:rPr>
        <w:t> </w:t>
      </w:r>
      <w:r>
        <w:rPr>
          <w:spacing w:val="-3"/>
          <w:w w:val="105"/>
          <w:sz w:val="21"/>
        </w:rPr>
        <w:t>create</w:t>
      </w:r>
      <w:r>
        <w:rPr>
          <w:spacing w:val="-5"/>
          <w:w w:val="105"/>
          <w:sz w:val="21"/>
        </w:rPr>
        <w:t> </w:t>
      </w:r>
      <w:r>
        <w:rPr>
          <w:w w:val="105"/>
          <w:sz w:val="21"/>
        </w:rPr>
        <w:t>a</w:t>
      </w:r>
      <w:r>
        <w:rPr>
          <w:spacing w:val="-6"/>
          <w:w w:val="105"/>
          <w:sz w:val="21"/>
        </w:rPr>
        <w:t> </w:t>
      </w:r>
      <w:r>
        <w:rPr>
          <w:w w:val="105"/>
          <w:sz w:val="21"/>
        </w:rPr>
        <w:t>general rule </w:t>
      </w:r>
      <w:r>
        <w:rPr>
          <w:spacing w:val="-3"/>
          <w:w w:val="105"/>
          <w:sz w:val="21"/>
        </w:rPr>
        <w:t>rather than </w:t>
      </w:r>
      <w:r>
        <w:rPr>
          <w:w w:val="105"/>
          <w:sz w:val="21"/>
        </w:rPr>
        <w:t>applying only </w:t>
      </w:r>
      <w:r>
        <w:rPr>
          <w:spacing w:val="-3"/>
          <w:w w:val="105"/>
          <w:sz w:val="21"/>
        </w:rPr>
        <w:t>to </w:t>
      </w:r>
      <w:r>
        <w:rPr>
          <w:w w:val="105"/>
          <w:sz w:val="21"/>
        </w:rPr>
        <w:t>legal practitioners,</w:t>
      </w:r>
      <w:r>
        <w:rPr>
          <w:w w:val="105"/>
          <w:position w:val="7"/>
          <w:sz w:val="12"/>
        </w:rPr>
        <w:t>55 </w:t>
      </w:r>
      <w:r>
        <w:rPr>
          <w:w w:val="105"/>
          <w:sz w:val="21"/>
        </w:rPr>
        <w:t>and </w:t>
      </w:r>
      <w:r>
        <w:rPr>
          <w:spacing w:val="-3"/>
          <w:w w:val="105"/>
          <w:sz w:val="21"/>
        </w:rPr>
        <w:t>that </w:t>
      </w:r>
      <w:r>
        <w:rPr>
          <w:w w:val="105"/>
          <w:sz w:val="21"/>
        </w:rPr>
        <w:t>the </w:t>
      </w:r>
      <w:r>
        <w:rPr>
          <w:spacing w:val="-3"/>
          <w:w w:val="105"/>
          <w:sz w:val="21"/>
        </w:rPr>
        <w:t>current </w:t>
      </w:r>
      <w:r>
        <w:rPr>
          <w:spacing w:val="-4"/>
          <w:w w:val="105"/>
          <w:sz w:val="21"/>
        </w:rPr>
        <w:t>failure of </w:t>
      </w:r>
      <w:r>
        <w:rPr>
          <w:w w:val="105"/>
          <w:sz w:val="21"/>
        </w:rPr>
        <w:t>practitioners </w:t>
      </w:r>
      <w:r>
        <w:rPr>
          <w:spacing w:val="-3"/>
          <w:w w:val="105"/>
          <w:sz w:val="21"/>
        </w:rPr>
        <w:t>to </w:t>
      </w:r>
      <w:r>
        <w:rPr>
          <w:w w:val="105"/>
          <w:sz w:val="21"/>
        </w:rPr>
        <w:t>comply with the rule shows </w:t>
      </w:r>
      <w:r>
        <w:rPr>
          <w:spacing w:val="-3"/>
          <w:w w:val="105"/>
          <w:sz w:val="21"/>
        </w:rPr>
        <w:t>that </w:t>
      </w:r>
      <w:r>
        <w:rPr>
          <w:w w:val="105"/>
          <w:sz w:val="21"/>
        </w:rPr>
        <w:t>it is </w:t>
      </w:r>
      <w:r>
        <w:rPr>
          <w:spacing w:val="-2"/>
          <w:w w:val="105"/>
          <w:sz w:val="21"/>
        </w:rPr>
        <w:t>not </w:t>
      </w:r>
      <w:r>
        <w:rPr>
          <w:spacing w:val="-3"/>
          <w:w w:val="105"/>
          <w:sz w:val="21"/>
        </w:rPr>
        <w:t>well </w:t>
      </w:r>
      <w:r>
        <w:rPr>
          <w:w w:val="105"/>
          <w:sz w:val="21"/>
        </w:rPr>
        <w:t>known and its </w:t>
      </w:r>
      <w:r>
        <w:rPr>
          <w:spacing w:val="-3"/>
          <w:w w:val="105"/>
          <w:sz w:val="21"/>
        </w:rPr>
        <w:t>force </w:t>
      </w:r>
      <w:r>
        <w:rPr>
          <w:w w:val="105"/>
          <w:sz w:val="21"/>
        </w:rPr>
        <w:t>is </w:t>
      </w:r>
      <w:r>
        <w:rPr>
          <w:spacing w:val="-2"/>
          <w:w w:val="105"/>
          <w:sz w:val="21"/>
        </w:rPr>
        <w:t>not </w:t>
      </w:r>
      <w:r>
        <w:rPr>
          <w:w w:val="105"/>
          <w:sz w:val="21"/>
        </w:rPr>
        <w:t>sufficiently</w:t>
      </w:r>
      <w:r>
        <w:rPr>
          <w:spacing w:val="12"/>
          <w:w w:val="105"/>
          <w:sz w:val="21"/>
        </w:rPr>
        <w:t> </w:t>
      </w:r>
      <w:r>
        <w:rPr>
          <w:spacing w:val="-3"/>
          <w:w w:val="105"/>
          <w:sz w:val="21"/>
        </w:rPr>
        <w:t>felt.</w:t>
      </w:r>
      <w:r>
        <w:rPr>
          <w:spacing w:val="-3"/>
          <w:w w:val="105"/>
          <w:position w:val="7"/>
          <w:sz w:val="12"/>
        </w:rPr>
        <w:t>56</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9"/>
        </w:rPr>
      </w:pPr>
      <w:r>
        <w:rPr/>
        <w:pict>
          <v:line style="position:absolute;mso-position-horizontal-relative:page;mso-position-vertical-relative:paragraph;z-index:8864;mso-wrap-distance-left:0;mso-wrap-distance-right:0" from="79.370102pt,20.630039pt" to="515.905102pt,20.630039pt" stroked="true" strokeweight="1pt" strokecolor="#f9ceca">
            <v:stroke dashstyle="solid"/>
            <w10:wrap type="topAndBottom"/>
          </v:line>
        </w:pict>
      </w:r>
    </w:p>
    <w:p>
      <w:pPr>
        <w:pStyle w:val="BodyText"/>
        <w:spacing w:before="8"/>
        <w:rPr>
          <w:sz w:val="5"/>
        </w:rPr>
      </w:pPr>
    </w:p>
    <w:p>
      <w:pPr>
        <w:spacing w:after="0"/>
        <w:rPr>
          <w:sz w:val="5"/>
        </w:rPr>
        <w:sectPr>
          <w:pgSz w:w="11910" w:h="16840"/>
          <w:pgMar w:header="550" w:footer="0" w:top="1560" w:bottom="280" w:left="0" w:right="0"/>
        </w:sectPr>
      </w:pPr>
    </w:p>
    <w:p>
      <w:pPr>
        <w:pStyle w:val="BodyText"/>
        <w:rPr>
          <w:sz w:val="28"/>
        </w:rPr>
      </w:pPr>
    </w:p>
    <w:p>
      <w:pPr>
        <w:pStyle w:val="BodyText"/>
        <w:rPr>
          <w:sz w:val="28"/>
        </w:rPr>
      </w:pPr>
    </w:p>
    <w:p>
      <w:pPr>
        <w:pStyle w:val="BodyText"/>
        <w:rPr>
          <w:sz w:val="28"/>
        </w:rPr>
      </w:pPr>
    </w:p>
    <w:p>
      <w:pPr>
        <w:pStyle w:val="BodyText"/>
        <w:spacing w:before="6"/>
        <w:rPr>
          <w:sz w:val="30"/>
        </w:rPr>
      </w:pPr>
    </w:p>
    <w:p>
      <w:pPr>
        <w:spacing w:before="0"/>
        <w:ind w:left="720" w:right="0" w:firstLine="0"/>
        <w:jc w:val="left"/>
        <w:rPr>
          <w:b/>
          <w:sz w:val="24"/>
        </w:rPr>
      </w:pPr>
      <w:r>
        <w:rPr>
          <w:b/>
          <w:color w:val="EC5A4F"/>
          <w:spacing w:val="-2"/>
          <w:w w:val="110"/>
          <w:sz w:val="24"/>
        </w:rPr>
        <w:t>146</w:t>
      </w:r>
    </w:p>
    <w:p>
      <w:pPr>
        <w:pStyle w:val="ListParagraph"/>
        <w:numPr>
          <w:ilvl w:val="0"/>
          <w:numId w:val="115"/>
        </w:numPr>
        <w:tabs>
          <w:tab w:pos="1225" w:val="left" w:leader="none"/>
          <w:tab w:pos="1227" w:val="left" w:leader="none"/>
        </w:tabs>
        <w:spacing w:line="240" w:lineRule="auto" w:before="48" w:after="0"/>
        <w:ind w:left="1226" w:right="0" w:hanging="794"/>
        <w:jc w:val="left"/>
        <w:rPr>
          <w:sz w:val="13"/>
        </w:rPr>
      </w:pPr>
      <w:r>
        <w:rPr>
          <w:spacing w:val="-3"/>
          <w:w w:val="125"/>
          <w:sz w:val="13"/>
        </w:rPr>
        <w:br w:type="column"/>
      </w:r>
      <w:r>
        <w:rPr>
          <w:w w:val="105"/>
          <w:sz w:val="13"/>
        </w:rPr>
        <w:t>Consultations</w:t>
      </w:r>
      <w:r>
        <w:rPr>
          <w:spacing w:val="4"/>
          <w:w w:val="105"/>
          <w:sz w:val="13"/>
        </w:rPr>
        <w:t> </w:t>
      </w:r>
      <w:r>
        <w:rPr>
          <w:w w:val="105"/>
          <w:sz w:val="13"/>
        </w:rPr>
        <w:t>3</w:t>
      </w:r>
      <w:r>
        <w:rPr>
          <w:spacing w:val="5"/>
          <w:w w:val="105"/>
          <w:sz w:val="13"/>
        </w:rPr>
        <w:t> </w:t>
      </w:r>
      <w:r>
        <w:rPr>
          <w:spacing w:val="2"/>
          <w:w w:val="105"/>
          <w:sz w:val="13"/>
        </w:rPr>
        <w:t>(Legal</w:t>
      </w:r>
      <w:r>
        <w:rPr>
          <w:spacing w:val="5"/>
          <w:w w:val="105"/>
          <w:sz w:val="13"/>
        </w:rPr>
        <w:t> </w:t>
      </w:r>
      <w:r>
        <w:rPr>
          <w:w w:val="105"/>
          <w:sz w:val="13"/>
        </w:rPr>
        <w:t>practitioners</w:t>
      </w:r>
      <w:r>
        <w:rPr>
          <w:spacing w:val="5"/>
          <w:w w:val="105"/>
          <w:sz w:val="13"/>
        </w:rPr>
        <w:t> </w:t>
      </w:r>
      <w:r>
        <w:rPr>
          <w:w w:val="105"/>
          <w:sz w:val="13"/>
        </w:rPr>
        <w:t>in</w:t>
      </w:r>
      <w:r>
        <w:rPr>
          <w:spacing w:val="5"/>
          <w:w w:val="105"/>
          <w:sz w:val="13"/>
        </w:rPr>
        <w:t> </w:t>
      </w:r>
      <w:r>
        <w:rPr>
          <w:w w:val="105"/>
          <w:sz w:val="13"/>
        </w:rPr>
        <w:t>the</w:t>
      </w:r>
      <w:r>
        <w:rPr>
          <w:spacing w:val="5"/>
          <w:w w:val="105"/>
          <w:sz w:val="13"/>
        </w:rPr>
        <w:t> </w:t>
      </w:r>
      <w:r>
        <w:rPr>
          <w:w w:val="105"/>
          <w:sz w:val="13"/>
        </w:rPr>
        <w:t>Goulburn</w:t>
      </w:r>
      <w:r>
        <w:rPr>
          <w:spacing w:val="5"/>
          <w:w w:val="105"/>
          <w:sz w:val="13"/>
        </w:rPr>
        <w:t> </w:t>
      </w:r>
      <w:r>
        <w:rPr>
          <w:w w:val="105"/>
          <w:sz w:val="13"/>
        </w:rPr>
        <w:t>Valley</w:t>
      </w:r>
      <w:r>
        <w:rPr>
          <w:spacing w:val="5"/>
          <w:w w:val="105"/>
          <w:sz w:val="13"/>
        </w:rPr>
        <w:t> </w:t>
      </w:r>
      <w:r>
        <w:rPr>
          <w:w w:val="105"/>
          <w:sz w:val="13"/>
        </w:rPr>
        <w:t>region);</w:t>
      </w:r>
      <w:r>
        <w:rPr>
          <w:spacing w:val="5"/>
          <w:w w:val="105"/>
          <w:sz w:val="13"/>
        </w:rPr>
        <w:t> </w:t>
      </w:r>
      <w:r>
        <w:rPr>
          <w:w w:val="105"/>
          <w:sz w:val="13"/>
        </w:rPr>
        <w:t>7</w:t>
      </w:r>
      <w:r>
        <w:rPr>
          <w:spacing w:val="4"/>
          <w:w w:val="105"/>
          <w:sz w:val="13"/>
        </w:rPr>
        <w:t> </w:t>
      </w:r>
      <w:r>
        <w:rPr>
          <w:spacing w:val="3"/>
          <w:w w:val="105"/>
          <w:sz w:val="13"/>
        </w:rPr>
        <w:t>(Law</w:t>
      </w:r>
      <w:r>
        <w:rPr>
          <w:spacing w:val="5"/>
          <w:w w:val="105"/>
          <w:sz w:val="13"/>
        </w:rPr>
        <w:t> </w:t>
      </w:r>
      <w:r>
        <w:rPr>
          <w:w w:val="105"/>
          <w:sz w:val="13"/>
        </w:rPr>
        <w:t>Institute</w:t>
      </w:r>
      <w:r>
        <w:rPr>
          <w:spacing w:val="5"/>
          <w:w w:val="105"/>
          <w:sz w:val="13"/>
        </w:rPr>
        <w:t> </w:t>
      </w:r>
      <w:r>
        <w:rPr>
          <w:w w:val="105"/>
          <w:sz w:val="13"/>
        </w:rPr>
        <w:t>of</w:t>
      </w:r>
      <w:r>
        <w:rPr>
          <w:spacing w:val="5"/>
          <w:w w:val="105"/>
          <w:sz w:val="13"/>
        </w:rPr>
        <w:t> </w:t>
      </w:r>
      <w:r>
        <w:rPr>
          <w:w w:val="105"/>
          <w:sz w:val="13"/>
        </w:rPr>
        <w:t>Victoria</w:t>
      </w:r>
      <w:r>
        <w:rPr>
          <w:spacing w:val="5"/>
          <w:w w:val="105"/>
          <w:sz w:val="13"/>
        </w:rPr>
        <w:t> </w:t>
      </w:r>
      <w:r>
        <w:rPr>
          <w:w w:val="105"/>
          <w:sz w:val="13"/>
        </w:rPr>
        <w:t>Wills</w:t>
      </w:r>
      <w:r>
        <w:rPr>
          <w:spacing w:val="5"/>
          <w:w w:val="105"/>
          <w:sz w:val="13"/>
        </w:rPr>
        <w:t> </w:t>
      </w:r>
      <w:r>
        <w:rPr>
          <w:w w:val="105"/>
          <w:sz w:val="13"/>
        </w:rPr>
        <w:t>&amp;</w:t>
      </w:r>
      <w:r>
        <w:rPr>
          <w:spacing w:val="5"/>
          <w:w w:val="105"/>
          <w:sz w:val="13"/>
        </w:rPr>
        <w:t> </w:t>
      </w:r>
      <w:r>
        <w:rPr>
          <w:w w:val="105"/>
          <w:sz w:val="13"/>
        </w:rPr>
        <w:t>Estates</w:t>
      </w:r>
      <w:r>
        <w:rPr>
          <w:spacing w:val="5"/>
          <w:w w:val="105"/>
          <w:sz w:val="13"/>
        </w:rPr>
        <w:t> </w:t>
      </w:r>
      <w:r>
        <w:rPr>
          <w:w w:val="105"/>
          <w:sz w:val="13"/>
        </w:rPr>
        <w:t>Discussion</w:t>
      </w:r>
      <w:r>
        <w:rPr>
          <w:spacing w:val="5"/>
          <w:w w:val="105"/>
          <w:sz w:val="13"/>
        </w:rPr>
        <w:t> </w:t>
      </w:r>
      <w:r>
        <w:rPr>
          <w:w w:val="105"/>
          <w:sz w:val="13"/>
        </w:rPr>
        <w:t>Group).</w:t>
      </w:r>
    </w:p>
    <w:p>
      <w:pPr>
        <w:pStyle w:val="ListParagraph"/>
        <w:numPr>
          <w:ilvl w:val="0"/>
          <w:numId w:val="115"/>
        </w:numPr>
        <w:tabs>
          <w:tab w:pos="1225" w:val="left" w:leader="none"/>
          <w:tab w:pos="1227" w:val="left" w:leader="none"/>
        </w:tabs>
        <w:spacing w:line="240" w:lineRule="auto" w:before="1" w:after="0"/>
        <w:ind w:left="1226" w:right="0" w:hanging="794"/>
        <w:jc w:val="left"/>
        <w:rPr>
          <w:sz w:val="13"/>
        </w:rPr>
      </w:pPr>
      <w:r>
        <w:rPr>
          <w:i/>
          <w:w w:val="105"/>
          <w:sz w:val="13"/>
        </w:rPr>
        <w:t>Family Law Act </w:t>
      </w:r>
      <w:r>
        <w:rPr>
          <w:i/>
          <w:spacing w:val="-4"/>
          <w:w w:val="105"/>
          <w:sz w:val="13"/>
        </w:rPr>
        <w:t>1975 </w:t>
      </w:r>
      <w:r>
        <w:rPr>
          <w:w w:val="105"/>
          <w:sz w:val="13"/>
        </w:rPr>
        <w:t>(Cth) ss</w:t>
      </w:r>
      <w:r>
        <w:rPr>
          <w:spacing w:val="1"/>
          <w:w w:val="105"/>
          <w:sz w:val="13"/>
        </w:rPr>
        <w:t> </w:t>
      </w:r>
      <w:r>
        <w:rPr>
          <w:spacing w:val="5"/>
          <w:w w:val="105"/>
          <w:sz w:val="13"/>
        </w:rPr>
        <w:t>90G(b)–(c).</w:t>
      </w:r>
    </w:p>
    <w:p>
      <w:pPr>
        <w:pStyle w:val="ListParagraph"/>
        <w:numPr>
          <w:ilvl w:val="0"/>
          <w:numId w:val="115"/>
        </w:numPr>
        <w:tabs>
          <w:tab w:pos="1225" w:val="left" w:leader="none"/>
          <w:tab w:pos="1227" w:val="left" w:leader="none"/>
        </w:tabs>
        <w:spacing w:line="240" w:lineRule="auto" w:before="2" w:after="0"/>
        <w:ind w:left="1226" w:right="0" w:hanging="794"/>
        <w:jc w:val="left"/>
        <w:rPr>
          <w:sz w:val="13"/>
        </w:rPr>
      </w:pPr>
      <w:r>
        <w:rPr>
          <w:w w:val="105"/>
          <w:sz w:val="13"/>
        </w:rPr>
        <w:t>Consultation</w:t>
      </w:r>
      <w:r>
        <w:rPr>
          <w:spacing w:val="4"/>
          <w:w w:val="105"/>
          <w:sz w:val="13"/>
        </w:rPr>
        <w:t> </w:t>
      </w:r>
      <w:r>
        <w:rPr>
          <w:w w:val="105"/>
          <w:sz w:val="13"/>
        </w:rPr>
        <w:t>7</w:t>
      </w:r>
      <w:r>
        <w:rPr>
          <w:spacing w:val="5"/>
          <w:w w:val="105"/>
          <w:sz w:val="13"/>
        </w:rPr>
        <w:t> </w:t>
      </w:r>
      <w:r>
        <w:rPr>
          <w:spacing w:val="3"/>
          <w:w w:val="105"/>
          <w:sz w:val="13"/>
        </w:rPr>
        <w:t>(Law</w:t>
      </w:r>
      <w:r>
        <w:rPr>
          <w:spacing w:val="4"/>
          <w:w w:val="105"/>
          <w:sz w:val="13"/>
        </w:rPr>
        <w:t> </w:t>
      </w:r>
      <w:r>
        <w:rPr>
          <w:w w:val="105"/>
          <w:sz w:val="13"/>
        </w:rPr>
        <w:t>Institute</w:t>
      </w:r>
      <w:r>
        <w:rPr>
          <w:spacing w:val="5"/>
          <w:w w:val="105"/>
          <w:sz w:val="13"/>
        </w:rPr>
        <w:t> </w:t>
      </w:r>
      <w:r>
        <w:rPr>
          <w:w w:val="105"/>
          <w:sz w:val="13"/>
        </w:rPr>
        <w:t>of</w:t>
      </w:r>
      <w:r>
        <w:rPr>
          <w:spacing w:val="5"/>
          <w:w w:val="105"/>
          <w:sz w:val="13"/>
        </w:rPr>
        <w:t> </w:t>
      </w:r>
      <w:r>
        <w:rPr>
          <w:w w:val="105"/>
          <w:sz w:val="13"/>
        </w:rPr>
        <w:t>Victoria</w:t>
      </w:r>
      <w:r>
        <w:rPr>
          <w:spacing w:val="4"/>
          <w:w w:val="105"/>
          <w:sz w:val="13"/>
        </w:rPr>
        <w:t> </w:t>
      </w:r>
      <w:r>
        <w:rPr>
          <w:w w:val="105"/>
          <w:sz w:val="13"/>
        </w:rPr>
        <w:t>Wills</w:t>
      </w:r>
      <w:r>
        <w:rPr>
          <w:spacing w:val="5"/>
          <w:w w:val="105"/>
          <w:sz w:val="13"/>
        </w:rPr>
        <w:t> </w:t>
      </w:r>
      <w:r>
        <w:rPr>
          <w:w w:val="105"/>
          <w:sz w:val="13"/>
        </w:rPr>
        <w:t>&amp;</w:t>
      </w:r>
      <w:r>
        <w:rPr>
          <w:spacing w:val="5"/>
          <w:w w:val="105"/>
          <w:sz w:val="13"/>
        </w:rPr>
        <w:t> </w:t>
      </w:r>
      <w:r>
        <w:rPr>
          <w:w w:val="105"/>
          <w:sz w:val="13"/>
        </w:rPr>
        <w:t>Estates</w:t>
      </w:r>
      <w:r>
        <w:rPr>
          <w:spacing w:val="4"/>
          <w:w w:val="105"/>
          <w:sz w:val="13"/>
        </w:rPr>
        <w:t> </w:t>
      </w:r>
      <w:r>
        <w:rPr>
          <w:w w:val="105"/>
          <w:sz w:val="13"/>
        </w:rPr>
        <w:t>Discussion</w:t>
      </w:r>
      <w:r>
        <w:rPr>
          <w:spacing w:val="5"/>
          <w:w w:val="105"/>
          <w:sz w:val="13"/>
        </w:rPr>
        <w:t> </w:t>
      </w:r>
      <w:r>
        <w:rPr>
          <w:w w:val="105"/>
          <w:sz w:val="13"/>
        </w:rPr>
        <w:t>Group).</w:t>
      </w:r>
    </w:p>
    <w:p>
      <w:pPr>
        <w:pStyle w:val="ListParagraph"/>
        <w:numPr>
          <w:ilvl w:val="0"/>
          <w:numId w:val="115"/>
        </w:numPr>
        <w:tabs>
          <w:tab w:pos="1225" w:val="left" w:leader="none"/>
          <w:tab w:pos="1227" w:val="left" w:leader="none"/>
        </w:tabs>
        <w:spacing w:line="240" w:lineRule="auto" w:before="1" w:after="0"/>
        <w:ind w:left="1226" w:right="0" w:hanging="794"/>
        <w:jc w:val="left"/>
        <w:rPr>
          <w:sz w:val="13"/>
        </w:rPr>
      </w:pPr>
      <w:r>
        <w:rPr>
          <w:w w:val="105"/>
          <w:sz w:val="13"/>
        </w:rPr>
        <w:t>Consultation 18 </w:t>
      </w:r>
      <w:r>
        <w:rPr>
          <w:spacing w:val="2"/>
          <w:w w:val="105"/>
          <w:sz w:val="13"/>
        </w:rPr>
        <w:t>(Legal </w:t>
      </w:r>
      <w:r>
        <w:rPr>
          <w:w w:val="105"/>
          <w:sz w:val="13"/>
        </w:rPr>
        <w:t>practitioners in</w:t>
      </w:r>
      <w:r>
        <w:rPr>
          <w:spacing w:val="21"/>
          <w:w w:val="105"/>
          <w:sz w:val="13"/>
        </w:rPr>
        <w:t> </w:t>
      </w:r>
      <w:r>
        <w:rPr>
          <w:w w:val="105"/>
          <w:sz w:val="13"/>
        </w:rPr>
        <w:t>Wodonga).</w:t>
      </w:r>
    </w:p>
    <w:p>
      <w:pPr>
        <w:pStyle w:val="ListParagraph"/>
        <w:numPr>
          <w:ilvl w:val="0"/>
          <w:numId w:val="115"/>
        </w:numPr>
        <w:tabs>
          <w:tab w:pos="1226" w:val="left" w:leader="none"/>
          <w:tab w:pos="1227" w:val="left" w:leader="none"/>
        </w:tabs>
        <w:spacing w:line="240" w:lineRule="auto" w:before="1" w:after="0"/>
        <w:ind w:left="1226" w:right="0" w:hanging="794"/>
        <w:jc w:val="left"/>
        <w:rPr>
          <w:sz w:val="13"/>
        </w:rPr>
      </w:pPr>
      <w:r>
        <w:rPr>
          <w:w w:val="105"/>
          <w:sz w:val="13"/>
        </w:rPr>
        <w:t>Victorian Law Reform Commission, above n 33,</w:t>
      </w:r>
      <w:r>
        <w:rPr>
          <w:spacing w:val="2"/>
          <w:w w:val="105"/>
          <w:sz w:val="13"/>
        </w:rPr>
        <w:t> </w:t>
      </w:r>
      <w:r>
        <w:rPr>
          <w:spacing w:val="3"/>
          <w:w w:val="105"/>
          <w:sz w:val="13"/>
        </w:rPr>
        <w:t>34–5.</w:t>
      </w:r>
    </w:p>
    <w:p>
      <w:pPr>
        <w:pStyle w:val="ListParagraph"/>
        <w:numPr>
          <w:ilvl w:val="0"/>
          <w:numId w:val="115"/>
        </w:numPr>
        <w:tabs>
          <w:tab w:pos="1226" w:val="left" w:leader="none"/>
          <w:tab w:pos="1227" w:val="left" w:leader="none"/>
        </w:tabs>
        <w:spacing w:line="240" w:lineRule="auto" w:before="2" w:after="0"/>
        <w:ind w:left="1226" w:right="0" w:hanging="794"/>
        <w:jc w:val="left"/>
        <w:rPr>
          <w:sz w:val="13"/>
        </w:rPr>
      </w:pPr>
      <w:r>
        <w:rPr>
          <w:w w:val="105"/>
          <w:sz w:val="13"/>
        </w:rPr>
        <w:t>Submissions</w:t>
      </w:r>
      <w:r>
        <w:rPr>
          <w:spacing w:val="4"/>
          <w:w w:val="105"/>
          <w:sz w:val="13"/>
        </w:rPr>
        <w:t> </w:t>
      </w:r>
      <w:r>
        <w:rPr>
          <w:w w:val="105"/>
          <w:sz w:val="13"/>
        </w:rPr>
        <w:t>8</w:t>
      </w:r>
      <w:r>
        <w:rPr>
          <w:spacing w:val="5"/>
          <w:w w:val="105"/>
          <w:sz w:val="13"/>
        </w:rPr>
        <w:t> </w:t>
      </w:r>
      <w:r>
        <w:rPr>
          <w:w w:val="105"/>
          <w:sz w:val="13"/>
        </w:rPr>
        <w:t>(Patricia</w:t>
      </w:r>
      <w:r>
        <w:rPr>
          <w:spacing w:val="5"/>
          <w:w w:val="105"/>
          <w:sz w:val="13"/>
        </w:rPr>
        <w:t> </w:t>
      </w:r>
      <w:r>
        <w:rPr>
          <w:w w:val="105"/>
          <w:sz w:val="13"/>
        </w:rPr>
        <w:t>Strachan);</w:t>
      </w:r>
      <w:r>
        <w:rPr>
          <w:spacing w:val="5"/>
          <w:w w:val="105"/>
          <w:sz w:val="13"/>
        </w:rPr>
        <w:t> </w:t>
      </w:r>
      <w:r>
        <w:rPr>
          <w:spacing w:val="-3"/>
          <w:w w:val="105"/>
          <w:sz w:val="13"/>
        </w:rPr>
        <w:t>14</w:t>
      </w:r>
      <w:r>
        <w:rPr>
          <w:spacing w:val="5"/>
          <w:w w:val="105"/>
          <w:sz w:val="13"/>
        </w:rPr>
        <w:t> </w:t>
      </w:r>
      <w:r>
        <w:rPr>
          <w:w w:val="105"/>
          <w:sz w:val="13"/>
        </w:rPr>
        <w:t>(Commercial</w:t>
      </w:r>
      <w:r>
        <w:rPr>
          <w:spacing w:val="5"/>
          <w:w w:val="105"/>
          <w:sz w:val="13"/>
        </w:rPr>
        <w:t> </w:t>
      </w:r>
      <w:r>
        <w:rPr>
          <w:w w:val="105"/>
          <w:sz w:val="13"/>
        </w:rPr>
        <w:t>Bar</w:t>
      </w:r>
      <w:r>
        <w:rPr>
          <w:spacing w:val="5"/>
          <w:w w:val="105"/>
          <w:sz w:val="13"/>
        </w:rPr>
        <w:t> </w:t>
      </w:r>
      <w:r>
        <w:rPr>
          <w:spacing w:val="2"/>
          <w:w w:val="105"/>
          <w:sz w:val="13"/>
        </w:rPr>
        <w:t>Association);</w:t>
      </w:r>
      <w:r>
        <w:rPr>
          <w:spacing w:val="5"/>
          <w:w w:val="105"/>
          <w:sz w:val="13"/>
        </w:rPr>
        <w:t> </w:t>
      </w:r>
      <w:r>
        <w:rPr>
          <w:w w:val="105"/>
          <w:sz w:val="13"/>
        </w:rPr>
        <w:t>25</w:t>
      </w:r>
      <w:r>
        <w:rPr>
          <w:spacing w:val="5"/>
          <w:w w:val="105"/>
          <w:sz w:val="13"/>
        </w:rPr>
        <w:t> </w:t>
      </w:r>
      <w:r>
        <w:rPr>
          <w:spacing w:val="2"/>
          <w:w w:val="105"/>
          <w:sz w:val="13"/>
        </w:rPr>
        <w:t>(Moores</w:t>
      </w:r>
      <w:r>
        <w:rPr>
          <w:spacing w:val="5"/>
          <w:w w:val="105"/>
          <w:sz w:val="13"/>
        </w:rPr>
        <w:t> </w:t>
      </w:r>
      <w:r>
        <w:rPr>
          <w:w w:val="105"/>
          <w:sz w:val="13"/>
        </w:rPr>
        <w:t>Legal);</w:t>
      </w:r>
      <w:r>
        <w:rPr>
          <w:spacing w:val="5"/>
          <w:w w:val="105"/>
          <w:sz w:val="13"/>
        </w:rPr>
        <w:t> </w:t>
      </w:r>
      <w:r>
        <w:rPr>
          <w:w w:val="105"/>
          <w:sz w:val="13"/>
        </w:rPr>
        <w:t>26</w:t>
      </w:r>
      <w:r>
        <w:rPr>
          <w:spacing w:val="5"/>
          <w:w w:val="105"/>
          <w:sz w:val="13"/>
        </w:rPr>
        <w:t> </w:t>
      </w:r>
      <w:r>
        <w:rPr>
          <w:spacing w:val="2"/>
          <w:w w:val="105"/>
          <w:sz w:val="13"/>
        </w:rPr>
        <w:t>(Rigby</w:t>
      </w:r>
      <w:r>
        <w:rPr>
          <w:spacing w:val="5"/>
          <w:w w:val="105"/>
          <w:sz w:val="13"/>
        </w:rPr>
        <w:t> </w:t>
      </w:r>
      <w:r>
        <w:rPr>
          <w:w w:val="105"/>
          <w:sz w:val="13"/>
        </w:rPr>
        <w:t>Cooke</w:t>
      </w:r>
      <w:r>
        <w:rPr>
          <w:spacing w:val="5"/>
          <w:w w:val="105"/>
          <w:sz w:val="13"/>
        </w:rPr>
        <w:t> </w:t>
      </w:r>
      <w:r>
        <w:rPr>
          <w:spacing w:val="2"/>
          <w:w w:val="105"/>
          <w:sz w:val="13"/>
        </w:rPr>
        <w:t>Lawyers);</w:t>
      </w:r>
      <w:r>
        <w:rPr>
          <w:spacing w:val="5"/>
          <w:w w:val="105"/>
          <w:sz w:val="13"/>
        </w:rPr>
        <w:t> </w:t>
      </w:r>
      <w:r>
        <w:rPr>
          <w:w w:val="105"/>
          <w:sz w:val="13"/>
        </w:rPr>
        <w:t>40</w:t>
      </w:r>
      <w:r>
        <w:rPr>
          <w:spacing w:val="4"/>
          <w:w w:val="105"/>
          <w:sz w:val="13"/>
        </w:rPr>
        <w:t> </w:t>
      </w:r>
      <w:r>
        <w:rPr>
          <w:w w:val="105"/>
          <w:sz w:val="13"/>
        </w:rPr>
        <w:t>(Janice</w:t>
      </w:r>
      <w:r>
        <w:rPr>
          <w:spacing w:val="5"/>
          <w:w w:val="105"/>
          <w:sz w:val="13"/>
        </w:rPr>
        <w:t> </w:t>
      </w:r>
      <w:r>
        <w:rPr>
          <w:w w:val="105"/>
          <w:sz w:val="13"/>
        </w:rPr>
        <w:t>Brownfoot).</w:t>
      </w:r>
    </w:p>
    <w:p>
      <w:pPr>
        <w:pStyle w:val="ListParagraph"/>
        <w:numPr>
          <w:ilvl w:val="0"/>
          <w:numId w:val="115"/>
        </w:numPr>
        <w:tabs>
          <w:tab w:pos="1226" w:val="left" w:leader="none"/>
          <w:tab w:pos="1227" w:val="left" w:leader="none"/>
        </w:tabs>
        <w:spacing w:line="240" w:lineRule="auto" w:before="1" w:after="0"/>
        <w:ind w:left="1226" w:right="0" w:hanging="794"/>
        <w:jc w:val="left"/>
        <w:rPr>
          <w:sz w:val="13"/>
        </w:rPr>
      </w:pPr>
      <w:r>
        <w:rPr>
          <w:w w:val="105"/>
          <w:sz w:val="13"/>
        </w:rPr>
        <w:t>Submissions</w:t>
      </w:r>
      <w:r>
        <w:rPr>
          <w:spacing w:val="4"/>
          <w:w w:val="105"/>
          <w:sz w:val="13"/>
        </w:rPr>
        <w:t> </w:t>
      </w:r>
      <w:r>
        <w:rPr>
          <w:w w:val="105"/>
          <w:sz w:val="13"/>
        </w:rPr>
        <w:t>22</w:t>
      </w:r>
      <w:r>
        <w:rPr>
          <w:spacing w:val="5"/>
          <w:w w:val="105"/>
          <w:sz w:val="13"/>
        </w:rPr>
        <w:t> </w:t>
      </w:r>
      <w:r>
        <w:rPr>
          <w:w w:val="105"/>
          <w:sz w:val="13"/>
        </w:rPr>
        <w:t>(Paul</w:t>
      </w:r>
      <w:r>
        <w:rPr>
          <w:spacing w:val="4"/>
          <w:w w:val="105"/>
          <w:sz w:val="13"/>
        </w:rPr>
        <w:t> </w:t>
      </w:r>
      <w:r>
        <w:rPr>
          <w:w w:val="105"/>
          <w:sz w:val="13"/>
        </w:rPr>
        <w:t>Bravender-Coyle);</w:t>
      </w:r>
      <w:r>
        <w:rPr>
          <w:spacing w:val="5"/>
          <w:w w:val="105"/>
          <w:sz w:val="13"/>
        </w:rPr>
        <w:t> </w:t>
      </w:r>
      <w:r>
        <w:rPr>
          <w:w w:val="105"/>
          <w:sz w:val="13"/>
        </w:rPr>
        <w:t>30a</w:t>
      </w:r>
      <w:r>
        <w:rPr>
          <w:spacing w:val="5"/>
          <w:w w:val="105"/>
          <w:sz w:val="13"/>
        </w:rPr>
        <w:t> </w:t>
      </w:r>
      <w:r>
        <w:rPr>
          <w:spacing w:val="3"/>
          <w:w w:val="105"/>
          <w:sz w:val="13"/>
        </w:rPr>
        <w:t>(Law</w:t>
      </w:r>
      <w:r>
        <w:rPr>
          <w:spacing w:val="4"/>
          <w:w w:val="105"/>
          <w:sz w:val="13"/>
        </w:rPr>
        <w:t> </w:t>
      </w:r>
      <w:r>
        <w:rPr>
          <w:w w:val="105"/>
          <w:sz w:val="13"/>
        </w:rPr>
        <w:t>Institute</w:t>
      </w:r>
      <w:r>
        <w:rPr>
          <w:spacing w:val="5"/>
          <w:w w:val="105"/>
          <w:sz w:val="13"/>
        </w:rPr>
        <w:t> </w:t>
      </w:r>
      <w:r>
        <w:rPr>
          <w:w w:val="105"/>
          <w:sz w:val="13"/>
        </w:rPr>
        <w:t>of</w:t>
      </w:r>
      <w:r>
        <w:rPr>
          <w:spacing w:val="5"/>
          <w:w w:val="105"/>
          <w:sz w:val="13"/>
        </w:rPr>
        <w:t> </w:t>
      </w:r>
      <w:r>
        <w:rPr>
          <w:spacing w:val="2"/>
          <w:w w:val="105"/>
          <w:sz w:val="13"/>
        </w:rPr>
        <w:t>Victoria);</w:t>
      </w:r>
      <w:r>
        <w:rPr>
          <w:spacing w:val="4"/>
          <w:w w:val="105"/>
          <w:sz w:val="13"/>
        </w:rPr>
        <w:t> </w:t>
      </w:r>
      <w:r>
        <w:rPr>
          <w:w w:val="105"/>
          <w:sz w:val="13"/>
        </w:rPr>
        <w:t>32</w:t>
      </w:r>
      <w:r>
        <w:rPr>
          <w:spacing w:val="5"/>
          <w:w w:val="105"/>
          <w:sz w:val="13"/>
        </w:rPr>
        <w:t> </w:t>
      </w:r>
      <w:r>
        <w:rPr>
          <w:spacing w:val="2"/>
          <w:w w:val="105"/>
          <w:sz w:val="13"/>
        </w:rPr>
        <w:t>(The</w:t>
      </w:r>
      <w:r>
        <w:rPr>
          <w:spacing w:val="5"/>
          <w:w w:val="105"/>
          <w:sz w:val="13"/>
        </w:rPr>
        <w:t> </w:t>
      </w:r>
      <w:r>
        <w:rPr>
          <w:w w:val="105"/>
          <w:sz w:val="13"/>
        </w:rPr>
        <w:t>Institute</w:t>
      </w:r>
      <w:r>
        <w:rPr>
          <w:spacing w:val="4"/>
          <w:w w:val="105"/>
          <w:sz w:val="13"/>
        </w:rPr>
        <w:t> </w:t>
      </w:r>
      <w:r>
        <w:rPr>
          <w:w w:val="105"/>
          <w:sz w:val="13"/>
        </w:rPr>
        <w:t>of</w:t>
      </w:r>
      <w:r>
        <w:rPr>
          <w:spacing w:val="5"/>
          <w:w w:val="105"/>
          <w:sz w:val="13"/>
        </w:rPr>
        <w:t> </w:t>
      </w:r>
      <w:r>
        <w:rPr>
          <w:w w:val="105"/>
          <w:sz w:val="13"/>
        </w:rPr>
        <w:t>Legal</w:t>
      </w:r>
      <w:r>
        <w:rPr>
          <w:spacing w:val="5"/>
          <w:w w:val="105"/>
          <w:sz w:val="13"/>
        </w:rPr>
        <w:t> </w:t>
      </w:r>
      <w:r>
        <w:rPr>
          <w:w w:val="105"/>
          <w:sz w:val="13"/>
        </w:rPr>
        <w:t>Executives);</w:t>
      </w:r>
      <w:r>
        <w:rPr>
          <w:spacing w:val="4"/>
          <w:w w:val="105"/>
          <w:sz w:val="13"/>
        </w:rPr>
        <w:t> </w:t>
      </w:r>
      <w:r>
        <w:rPr>
          <w:w w:val="105"/>
          <w:sz w:val="13"/>
        </w:rPr>
        <w:t>42a</w:t>
      </w:r>
      <w:r>
        <w:rPr>
          <w:spacing w:val="5"/>
          <w:w w:val="105"/>
          <w:sz w:val="13"/>
        </w:rPr>
        <w:t> </w:t>
      </w:r>
      <w:r>
        <w:rPr>
          <w:w w:val="105"/>
          <w:sz w:val="13"/>
        </w:rPr>
        <w:t>(Arnold</w:t>
      </w:r>
      <w:r>
        <w:rPr>
          <w:spacing w:val="5"/>
          <w:w w:val="105"/>
          <w:sz w:val="13"/>
        </w:rPr>
        <w:t> </w:t>
      </w:r>
      <w:r>
        <w:rPr>
          <w:w w:val="105"/>
          <w:sz w:val="13"/>
        </w:rPr>
        <w:t>Bloch</w:t>
      </w:r>
      <w:r>
        <w:rPr>
          <w:spacing w:val="4"/>
          <w:w w:val="105"/>
          <w:sz w:val="13"/>
        </w:rPr>
        <w:t> </w:t>
      </w:r>
      <w:r>
        <w:rPr>
          <w:w w:val="105"/>
          <w:sz w:val="13"/>
        </w:rPr>
        <w:t>Leibler).</w:t>
      </w:r>
    </w:p>
    <w:p>
      <w:pPr>
        <w:pStyle w:val="ListParagraph"/>
        <w:numPr>
          <w:ilvl w:val="0"/>
          <w:numId w:val="115"/>
        </w:numPr>
        <w:tabs>
          <w:tab w:pos="1226" w:val="left" w:leader="none"/>
          <w:tab w:pos="1227" w:val="left" w:leader="none"/>
        </w:tabs>
        <w:spacing w:line="240" w:lineRule="auto" w:before="1" w:after="0"/>
        <w:ind w:left="1226" w:right="0" w:hanging="794"/>
        <w:jc w:val="left"/>
        <w:rPr>
          <w:sz w:val="13"/>
        </w:rPr>
      </w:pPr>
      <w:r>
        <w:rPr>
          <w:w w:val="105"/>
          <w:sz w:val="13"/>
        </w:rPr>
        <w:t>Submissions</w:t>
      </w:r>
      <w:r>
        <w:rPr>
          <w:spacing w:val="4"/>
          <w:w w:val="105"/>
          <w:sz w:val="13"/>
        </w:rPr>
        <w:t> </w:t>
      </w:r>
      <w:r>
        <w:rPr>
          <w:w w:val="105"/>
          <w:sz w:val="13"/>
        </w:rPr>
        <w:t>32</w:t>
      </w:r>
      <w:r>
        <w:rPr>
          <w:spacing w:val="5"/>
          <w:w w:val="105"/>
          <w:sz w:val="13"/>
        </w:rPr>
        <w:t> </w:t>
      </w:r>
      <w:r>
        <w:rPr>
          <w:spacing w:val="2"/>
          <w:w w:val="105"/>
          <w:sz w:val="13"/>
        </w:rPr>
        <w:t>(The</w:t>
      </w:r>
      <w:r>
        <w:rPr>
          <w:spacing w:val="5"/>
          <w:w w:val="105"/>
          <w:sz w:val="13"/>
        </w:rPr>
        <w:t> </w:t>
      </w:r>
      <w:r>
        <w:rPr>
          <w:w w:val="105"/>
          <w:sz w:val="13"/>
        </w:rPr>
        <w:t>Institute</w:t>
      </w:r>
      <w:r>
        <w:rPr>
          <w:spacing w:val="4"/>
          <w:w w:val="105"/>
          <w:sz w:val="13"/>
        </w:rPr>
        <w:t> </w:t>
      </w:r>
      <w:r>
        <w:rPr>
          <w:w w:val="105"/>
          <w:sz w:val="13"/>
        </w:rPr>
        <w:t>of</w:t>
      </w:r>
      <w:r>
        <w:rPr>
          <w:spacing w:val="5"/>
          <w:w w:val="105"/>
          <w:sz w:val="13"/>
        </w:rPr>
        <w:t> </w:t>
      </w:r>
      <w:r>
        <w:rPr>
          <w:w w:val="105"/>
          <w:sz w:val="13"/>
        </w:rPr>
        <w:t>Legal</w:t>
      </w:r>
      <w:r>
        <w:rPr>
          <w:spacing w:val="5"/>
          <w:w w:val="105"/>
          <w:sz w:val="13"/>
        </w:rPr>
        <w:t> </w:t>
      </w:r>
      <w:r>
        <w:rPr>
          <w:w w:val="105"/>
          <w:sz w:val="13"/>
        </w:rPr>
        <w:t>Executives);</w:t>
      </w:r>
      <w:r>
        <w:rPr>
          <w:spacing w:val="5"/>
          <w:w w:val="105"/>
          <w:sz w:val="13"/>
        </w:rPr>
        <w:t> </w:t>
      </w:r>
      <w:r>
        <w:rPr>
          <w:w w:val="105"/>
          <w:sz w:val="13"/>
        </w:rPr>
        <w:t>33</w:t>
      </w:r>
      <w:r>
        <w:rPr>
          <w:spacing w:val="4"/>
          <w:w w:val="105"/>
          <w:sz w:val="13"/>
        </w:rPr>
        <w:t> </w:t>
      </w:r>
      <w:r>
        <w:rPr>
          <w:w w:val="105"/>
          <w:sz w:val="13"/>
        </w:rPr>
        <w:t>(State</w:t>
      </w:r>
      <w:r>
        <w:rPr>
          <w:spacing w:val="5"/>
          <w:w w:val="105"/>
          <w:sz w:val="13"/>
        </w:rPr>
        <w:t> </w:t>
      </w:r>
      <w:r>
        <w:rPr>
          <w:w w:val="105"/>
          <w:sz w:val="13"/>
        </w:rPr>
        <w:t>Trustees</w:t>
      </w:r>
      <w:r>
        <w:rPr>
          <w:spacing w:val="5"/>
          <w:w w:val="105"/>
          <w:sz w:val="13"/>
        </w:rPr>
        <w:t> </w:t>
      </w:r>
      <w:r>
        <w:rPr>
          <w:w w:val="105"/>
          <w:sz w:val="13"/>
        </w:rPr>
        <w:t>Limited);</w:t>
      </w:r>
      <w:r>
        <w:rPr>
          <w:spacing w:val="5"/>
          <w:w w:val="105"/>
          <w:sz w:val="13"/>
        </w:rPr>
        <w:t> </w:t>
      </w:r>
      <w:r>
        <w:rPr>
          <w:w w:val="105"/>
          <w:sz w:val="13"/>
        </w:rPr>
        <w:t>39</w:t>
      </w:r>
      <w:r>
        <w:rPr>
          <w:spacing w:val="4"/>
          <w:w w:val="105"/>
          <w:sz w:val="13"/>
        </w:rPr>
        <w:t> </w:t>
      </w:r>
      <w:r>
        <w:rPr>
          <w:w w:val="105"/>
          <w:sz w:val="13"/>
        </w:rPr>
        <w:t>(Carolyn</w:t>
      </w:r>
      <w:r>
        <w:rPr>
          <w:spacing w:val="5"/>
          <w:w w:val="105"/>
          <w:sz w:val="13"/>
        </w:rPr>
        <w:t> </w:t>
      </w:r>
      <w:r>
        <w:rPr>
          <w:w w:val="105"/>
          <w:sz w:val="13"/>
        </w:rPr>
        <w:t>Sparke</w:t>
      </w:r>
      <w:r>
        <w:rPr>
          <w:spacing w:val="5"/>
          <w:w w:val="105"/>
          <w:sz w:val="13"/>
        </w:rPr>
        <w:t> </w:t>
      </w:r>
      <w:r>
        <w:rPr>
          <w:w w:val="105"/>
          <w:sz w:val="13"/>
        </w:rPr>
        <w:t>SC).</w:t>
      </w:r>
    </w:p>
    <w:p>
      <w:pPr>
        <w:pStyle w:val="ListParagraph"/>
        <w:numPr>
          <w:ilvl w:val="0"/>
          <w:numId w:val="115"/>
        </w:numPr>
        <w:tabs>
          <w:tab w:pos="1226" w:val="left" w:leader="none"/>
          <w:tab w:pos="1227" w:val="left" w:leader="none"/>
        </w:tabs>
        <w:spacing w:line="240" w:lineRule="auto" w:before="2" w:after="0"/>
        <w:ind w:left="1226" w:right="0" w:hanging="794"/>
        <w:jc w:val="left"/>
        <w:rPr>
          <w:sz w:val="13"/>
        </w:rPr>
      </w:pPr>
      <w:r>
        <w:rPr>
          <w:w w:val="105"/>
          <w:sz w:val="13"/>
        </w:rPr>
        <w:t>Submission </w:t>
      </w:r>
      <w:r>
        <w:rPr>
          <w:spacing w:val="-3"/>
          <w:w w:val="105"/>
          <w:sz w:val="13"/>
        </w:rPr>
        <w:t>14 </w:t>
      </w:r>
      <w:r>
        <w:rPr>
          <w:w w:val="105"/>
          <w:sz w:val="13"/>
        </w:rPr>
        <w:t>(Commercial Bar</w:t>
      </w:r>
      <w:r>
        <w:rPr>
          <w:spacing w:val="21"/>
          <w:w w:val="105"/>
          <w:sz w:val="13"/>
        </w:rPr>
        <w:t> </w:t>
      </w:r>
      <w:r>
        <w:rPr>
          <w:spacing w:val="2"/>
          <w:w w:val="105"/>
          <w:sz w:val="13"/>
        </w:rPr>
        <w:t>Association).</w:t>
      </w:r>
    </w:p>
    <w:p>
      <w:pPr>
        <w:pStyle w:val="ListParagraph"/>
        <w:numPr>
          <w:ilvl w:val="0"/>
          <w:numId w:val="115"/>
        </w:numPr>
        <w:tabs>
          <w:tab w:pos="1226" w:val="left" w:leader="none"/>
          <w:tab w:pos="1227" w:val="left" w:leader="none"/>
        </w:tabs>
        <w:spacing w:line="240" w:lineRule="auto" w:before="1" w:after="0"/>
        <w:ind w:left="1226" w:right="0" w:hanging="794"/>
        <w:jc w:val="left"/>
        <w:rPr>
          <w:sz w:val="13"/>
        </w:rPr>
      </w:pPr>
      <w:r>
        <w:rPr>
          <w:w w:val="105"/>
          <w:sz w:val="13"/>
        </w:rPr>
        <w:t>Submission 25 </w:t>
      </w:r>
      <w:r>
        <w:rPr>
          <w:spacing w:val="2"/>
          <w:w w:val="105"/>
          <w:sz w:val="13"/>
        </w:rPr>
        <w:t>(Moores</w:t>
      </w:r>
      <w:r>
        <w:rPr>
          <w:spacing w:val="13"/>
          <w:w w:val="105"/>
          <w:sz w:val="13"/>
        </w:rPr>
        <w:t> </w:t>
      </w:r>
      <w:r>
        <w:rPr>
          <w:w w:val="105"/>
          <w:sz w:val="13"/>
        </w:rPr>
        <w:t>Legal).</w:t>
      </w:r>
    </w:p>
    <w:p>
      <w:pPr>
        <w:spacing w:after="0" w:line="240" w:lineRule="auto"/>
        <w:jc w:val="left"/>
        <w:rPr>
          <w:sz w:val="13"/>
        </w:rPr>
        <w:sectPr>
          <w:type w:val="continuous"/>
          <w:pgSz w:w="11910" w:h="16840"/>
          <w:pgMar w:top="920" w:bottom="280" w:left="0" w:right="0"/>
          <w:cols w:num="2" w:equalWidth="0">
            <w:col w:w="1116" w:space="40"/>
            <w:col w:w="10754"/>
          </w:cols>
        </w:sectPr>
      </w:pPr>
    </w:p>
    <w:p>
      <w:pPr>
        <w:pStyle w:val="BodyText"/>
        <w:rPr>
          <w:sz w:val="20"/>
        </w:rPr>
      </w:pPr>
    </w:p>
    <w:p>
      <w:pPr>
        <w:pStyle w:val="BodyText"/>
        <w:rPr>
          <w:sz w:val="19"/>
        </w:rPr>
      </w:pPr>
    </w:p>
    <w:p>
      <w:pPr>
        <w:pStyle w:val="ListParagraph"/>
        <w:numPr>
          <w:ilvl w:val="1"/>
          <w:numId w:val="22"/>
        </w:numPr>
        <w:tabs>
          <w:tab w:pos="2381" w:val="left" w:leader="none"/>
          <w:tab w:pos="2382" w:val="left" w:leader="none"/>
        </w:tabs>
        <w:spacing w:line="242" w:lineRule="auto" w:before="91" w:after="0"/>
        <w:ind w:left="2381" w:right="2027" w:hanging="794"/>
        <w:jc w:val="left"/>
        <w:rPr>
          <w:sz w:val="21"/>
        </w:rPr>
      </w:pPr>
      <w:r>
        <w:rPr>
          <w:sz w:val="21"/>
        </w:rPr>
        <w:t>The idea was opposed by those who argued </w:t>
      </w:r>
      <w:r>
        <w:rPr>
          <w:spacing w:val="-3"/>
          <w:sz w:val="21"/>
        </w:rPr>
        <w:t>that  compliance  </w:t>
      </w:r>
      <w:r>
        <w:rPr>
          <w:sz w:val="21"/>
        </w:rPr>
        <w:t>with </w:t>
      </w:r>
      <w:r>
        <w:rPr>
          <w:spacing w:val="-3"/>
          <w:sz w:val="21"/>
        </w:rPr>
        <w:t>professional</w:t>
      </w:r>
      <w:r>
        <w:rPr>
          <w:spacing w:val="41"/>
          <w:sz w:val="21"/>
        </w:rPr>
        <w:t> </w:t>
      </w:r>
      <w:r>
        <w:rPr>
          <w:sz w:val="21"/>
        </w:rPr>
        <w:t>rules    is</w:t>
      </w:r>
      <w:r>
        <w:rPr>
          <w:spacing w:val="18"/>
          <w:sz w:val="21"/>
        </w:rPr>
        <w:t> </w:t>
      </w:r>
      <w:r>
        <w:rPr>
          <w:sz w:val="21"/>
        </w:rPr>
        <w:t>sufficient</w:t>
      </w:r>
      <w:r>
        <w:rPr>
          <w:spacing w:val="19"/>
          <w:sz w:val="21"/>
        </w:rPr>
        <w:t> </w:t>
      </w:r>
      <w:r>
        <w:rPr>
          <w:sz w:val="21"/>
        </w:rPr>
        <w:t>(even</w:t>
      </w:r>
      <w:r>
        <w:rPr>
          <w:spacing w:val="19"/>
          <w:sz w:val="21"/>
        </w:rPr>
        <w:t> </w:t>
      </w:r>
      <w:r>
        <w:rPr>
          <w:sz w:val="21"/>
        </w:rPr>
        <w:t>if</w:t>
      </w:r>
      <w:r>
        <w:rPr>
          <w:spacing w:val="19"/>
          <w:sz w:val="21"/>
        </w:rPr>
        <w:t> </w:t>
      </w:r>
      <w:r>
        <w:rPr>
          <w:sz w:val="21"/>
        </w:rPr>
        <w:t>rule</w:t>
      </w:r>
      <w:r>
        <w:rPr>
          <w:spacing w:val="18"/>
          <w:sz w:val="21"/>
        </w:rPr>
        <w:t> </w:t>
      </w:r>
      <w:r>
        <w:rPr>
          <w:spacing w:val="-9"/>
          <w:sz w:val="21"/>
        </w:rPr>
        <w:t>10.1</w:t>
      </w:r>
      <w:r>
        <w:rPr>
          <w:spacing w:val="19"/>
          <w:sz w:val="21"/>
        </w:rPr>
        <w:t> </w:t>
      </w:r>
      <w:r>
        <w:rPr>
          <w:sz w:val="21"/>
        </w:rPr>
        <w:t>needs</w:t>
      </w:r>
      <w:r>
        <w:rPr>
          <w:spacing w:val="19"/>
          <w:sz w:val="21"/>
        </w:rPr>
        <w:t> </w:t>
      </w:r>
      <w:r>
        <w:rPr>
          <w:spacing w:val="-3"/>
          <w:sz w:val="21"/>
        </w:rPr>
        <w:t>to</w:t>
      </w:r>
      <w:r>
        <w:rPr>
          <w:spacing w:val="19"/>
          <w:sz w:val="21"/>
        </w:rPr>
        <w:t> </w:t>
      </w:r>
      <w:r>
        <w:rPr>
          <w:sz w:val="21"/>
        </w:rPr>
        <w:t>be</w:t>
      </w:r>
      <w:r>
        <w:rPr>
          <w:spacing w:val="18"/>
          <w:sz w:val="21"/>
        </w:rPr>
        <w:t> </w:t>
      </w:r>
      <w:r>
        <w:rPr>
          <w:sz w:val="21"/>
        </w:rPr>
        <w:t>modified)</w:t>
      </w:r>
      <w:r>
        <w:rPr>
          <w:position w:val="7"/>
          <w:sz w:val="12"/>
        </w:rPr>
        <w:t>57</w:t>
      </w:r>
      <w:r>
        <w:rPr>
          <w:spacing w:val="13"/>
          <w:position w:val="7"/>
          <w:sz w:val="12"/>
        </w:rPr>
        <w:t> </w:t>
      </w:r>
      <w:r>
        <w:rPr>
          <w:sz w:val="21"/>
        </w:rPr>
        <w:t>or</w:t>
      </w:r>
      <w:r>
        <w:rPr>
          <w:spacing w:val="19"/>
          <w:sz w:val="21"/>
        </w:rPr>
        <w:t> </w:t>
      </w:r>
      <w:r>
        <w:rPr>
          <w:spacing w:val="-3"/>
          <w:sz w:val="21"/>
        </w:rPr>
        <w:t>that</w:t>
      </w:r>
      <w:r>
        <w:rPr>
          <w:spacing w:val="19"/>
          <w:sz w:val="21"/>
        </w:rPr>
        <w:t> </w:t>
      </w:r>
      <w:r>
        <w:rPr>
          <w:sz w:val="21"/>
        </w:rPr>
        <w:t>the</w:t>
      </w:r>
      <w:r>
        <w:rPr>
          <w:spacing w:val="19"/>
          <w:sz w:val="21"/>
        </w:rPr>
        <w:t> </w:t>
      </w:r>
      <w:r>
        <w:rPr>
          <w:spacing w:val="-2"/>
          <w:sz w:val="21"/>
        </w:rPr>
        <w:t>common</w:t>
      </w:r>
      <w:r>
        <w:rPr>
          <w:spacing w:val="18"/>
          <w:sz w:val="21"/>
        </w:rPr>
        <w:t> </w:t>
      </w:r>
      <w:r>
        <w:rPr>
          <w:sz w:val="21"/>
        </w:rPr>
        <w:t>law</w:t>
      </w:r>
      <w:r>
        <w:rPr>
          <w:spacing w:val="19"/>
          <w:sz w:val="21"/>
        </w:rPr>
        <w:t> </w:t>
      </w:r>
      <w:r>
        <w:rPr>
          <w:sz w:val="21"/>
        </w:rPr>
        <w:t>should</w:t>
      </w:r>
    </w:p>
    <w:p>
      <w:pPr>
        <w:pStyle w:val="BodyText"/>
        <w:spacing w:line="242" w:lineRule="auto" w:before="2"/>
        <w:ind w:left="2381" w:right="1619"/>
        <w:rPr>
          <w:sz w:val="12"/>
        </w:rPr>
      </w:pPr>
      <w:r>
        <w:rPr>
          <w:spacing w:val="-3"/>
          <w:w w:val="105"/>
        </w:rPr>
        <w:t>apply.</w:t>
      </w:r>
      <w:r>
        <w:rPr>
          <w:spacing w:val="-3"/>
          <w:w w:val="105"/>
          <w:position w:val="7"/>
          <w:sz w:val="12"/>
        </w:rPr>
        <w:t>58 </w:t>
      </w:r>
      <w:r>
        <w:rPr>
          <w:w w:val="105"/>
        </w:rPr>
        <w:t>The Law </w:t>
      </w:r>
      <w:r>
        <w:rPr>
          <w:spacing w:val="-3"/>
          <w:w w:val="105"/>
        </w:rPr>
        <w:t>Institute </w:t>
      </w:r>
      <w:r>
        <w:rPr>
          <w:w w:val="105"/>
        </w:rPr>
        <w:t>of Victoria </w:t>
      </w:r>
      <w:r>
        <w:rPr>
          <w:spacing w:val="-3"/>
          <w:w w:val="105"/>
        </w:rPr>
        <w:t>maintained that </w:t>
      </w:r>
      <w:r>
        <w:rPr>
          <w:w w:val="105"/>
        </w:rPr>
        <w:t>rules can be more </w:t>
      </w:r>
      <w:r>
        <w:rPr>
          <w:spacing w:val="-3"/>
          <w:w w:val="105"/>
        </w:rPr>
        <w:t>easily changed than legislative provisions </w:t>
      </w:r>
      <w:r>
        <w:rPr>
          <w:w w:val="105"/>
        </w:rPr>
        <w:t>when new problems </w:t>
      </w:r>
      <w:r>
        <w:rPr>
          <w:spacing w:val="-3"/>
          <w:w w:val="105"/>
        </w:rPr>
        <w:t>are </w:t>
      </w:r>
      <w:r>
        <w:rPr>
          <w:w w:val="105"/>
        </w:rPr>
        <w:t>identified.</w:t>
      </w:r>
      <w:r>
        <w:rPr>
          <w:w w:val="105"/>
          <w:position w:val="7"/>
          <w:sz w:val="12"/>
        </w:rPr>
        <w:t>59</w:t>
      </w:r>
    </w:p>
    <w:p>
      <w:pPr>
        <w:pStyle w:val="ListParagraph"/>
        <w:numPr>
          <w:ilvl w:val="1"/>
          <w:numId w:val="22"/>
        </w:numPr>
        <w:tabs>
          <w:tab w:pos="2381" w:val="left" w:leader="none"/>
          <w:tab w:pos="2382" w:val="left" w:leader="none"/>
        </w:tabs>
        <w:spacing w:line="242" w:lineRule="auto" w:before="123" w:after="0"/>
        <w:ind w:left="2381" w:right="1890" w:hanging="794"/>
        <w:jc w:val="left"/>
        <w:rPr>
          <w:sz w:val="21"/>
        </w:rPr>
      </w:pPr>
      <w:r>
        <w:rPr>
          <w:w w:val="105"/>
          <w:sz w:val="21"/>
        </w:rPr>
        <w:t>The </w:t>
      </w:r>
      <w:r>
        <w:rPr>
          <w:spacing w:val="-3"/>
          <w:w w:val="105"/>
          <w:sz w:val="21"/>
        </w:rPr>
        <w:t>Commission </w:t>
      </w:r>
      <w:r>
        <w:rPr>
          <w:w w:val="105"/>
          <w:sz w:val="21"/>
        </w:rPr>
        <w:t>does </w:t>
      </w:r>
      <w:r>
        <w:rPr>
          <w:spacing w:val="-2"/>
          <w:w w:val="105"/>
          <w:sz w:val="21"/>
        </w:rPr>
        <w:t>not </w:t>
      </w:r>
      <w:r>
        <w:rPr>
          <w:w w:val="105"/>
          <w:sz w:val="21"/>
        </w:rPr>
        <w:t>support the </w:t>
      </w:r>
      <w:r>
        <w:rPr>
          <w:spacing w:val="-3"/>
          <w:w w:val="105"/>
          <w:sz w:val="21"/>
        </w:rPr>
        <w:t>incorporation </w:t>
      </w:r>
      <w:r>
        <w:rPr>
          <w:w w:val="105"/>
          <w:sz w:val="21"/>
        </w:rPr>
        <w:t>of rule </w:t>
      </w:r>
      <w:r>
        <w:rPr>
          <w:spacing w:val="-9"/>
          <w:w w:val="105"/>
          <w:sz w:val="21"/>
        </w:rPr>
        <w:t>10.1 </w:t>
      </w:r>
      <w:r>
        <w:rPr>
          <w:spacing w:val="-4"/>
          <w:w w:val="105"/>
          <w:sz w:val="21"/>
        </w:rPr>
        <w:t>into </w:t>
      </w:r>
      <w:r>
        <w:rPr>
          <w:spacing w:val="-3"/>
          <w:w w:val="105"/>
          <w:sz w:val="21"/>
        </w:rPr>
        <w:t>legislation. </w:t>
      </w:r>
      <w:r>
        <w:rPr>
          <w:w w:val="105"/>
          <w:sz w:val="21"/>
        </w:rPr>
        <w:t>Although</w:t>
      </w:r>
      <w:r>
        <w:rPr>
          <w:spacing w:val="-5"/>
          <w:w w:val="105"/>
          <w:sz w:val="21"/>
        </w:rPr>
        <w:t> </w:t>
      </w:r>
      <w:r>
        <w:rPr>
          <w:w w:val="105"/>
          <w:sz w:val="21"/>
        </w:rPr>
        <w:t>there</w:t>
      </w:r>
      <w:r>
        <w:rPr>
          <w:spacing w:val="-5"/>
          <w:w w:val="105"/>
          <w:sz w:val="21"/>
        </w:rPr>
        <w:t> </w:t>
      </w:r>
      <w:r>
        <w:rPr>
          <w:w w:val="105"/>
          <w:sz w:val="21"/>
        </w:rPr>
        <w:t>would</w:t>
      </w:r>
      <w:r>
        <w:rPr>
          <w:spacing w:val="-5"/>
          <w:w w:val="105"/>
          <w:sz w:val="21"/>
        </w:rPr>
        <w:t> </w:t>
      </w:r>
      <w:r>
        <w:rPr>
          <w:w w:val="105"/>
          <w:sz w:val="21"/>
        </w:rPr>
        <w:t>be</w:t>
      </w:r>
      <w:r>
        <w:rPr>
          <w:spacing w:val="-5"/>
          <w:w w:val="105"/>
          <w:sz w:val="21"/>
        </w:rPr>
        <w:t> </w:t>
      </w:r>
      <w:r>
        <w:rPr>
          <w:w w:val="105"/>
          <w:sz w:val="21"/>
        </w:rPr>
        <w:t>benefits</w:t>
      </w:r>
      <w:r>
        <w:rPr>
          <w:spacing w:val="-5"/>
          <w:w w:val="105"/>
          <w:sz w:val="21"/>
        </w:rPr>
        <w:t> </w:t>
      </w:r>
      <w:r>
        <w:rPr>
          <w:w w:val="105"/>
          <w:sz w:val="21"/>
        </w:rPr>
        <w:t>in</w:t>
      </w:r>
      <w:r>
        <w:rPr>
          <w:spacing w:val="-4"/>
          <w:w w:val="105"/>
          <w:sz w:val="21"/>
        </w:rPr>
        <w:t> </w:t>
      </w:r>
      <w:r>
        <w:rPr>
          <w:w w:val="105"/>
          <w:sz w:val="21"/>
        </w:rPr>
        <w:t>giving</w:t>
      </w:r>
      <w:r>
        <w:rPr>
          <w:spacing w:val="-5"/>
          <w:w w:val="105"/>
          <w:sz w:val="21"/>
        </w:rPr>
        <w:t> </w:t>
      </w:r>
      <w:r>
        <w:rPr>
          <w:w w:val="105"/>
          <w:sz w:val="21"/>
        </w:rPr>
        <w:t>statutory</w:t>
      </w:r>
      <w:r>
        <w:rPr>
          <w:spacing w:val="-5"/>
          <w:w w:val="105"/>
          <w:sz w:val="21"/>
        </w:rPr>
        <w:t> </w:t>
      </w:r>
      <w:r>
        <w:rPr>
          <w:spacing w:val="-3"/>
          <w:w w:val="105"/>
          <w:sz w:val="21"/>
        </w:rPr>
        <w:t>recognition</w:t>
      </w:r>
      <w:r>
        <w:rPr>
          <w:spacing w:val="-5"/>
          <w:w w:val="105"/>
          <w:sz w:val="21"/>
        </w:rPr>
        <w:t> </w:t>
      </w:r>
      <w:r>
        <w:rPr>
          <w:spacing w:val="-3"/>
          <w:w w:val="105"/>
          <w:sz w:val="21"/>
        </w:rPr>
        <w:t>to</w:t>
      </w:r>
      <w:r>
        <w:rPr>
          <w:spacing w:val="-5"/>
          <w:w w:val="105"/>
          <w:sz w:val="21"/>
        </w:rPr>
        <w:t> </w:t>
      </w:r>
      <w:r>
        <w:rPr>
          <w:w w:val="105"/>
          <w:sz w:val="21"/>
        </w:rPr>
        <w:t>the</w:t>
      </w:r>
      <w:r>
        <w:rPr>
          <w:spacing w:val="-4"/>
          <w:w w:val="105"/>
          <w:sz w:val="21"/>
        </w:rPr>
        <w:t> </w:t>
      </w:r>
      <w:r>
        <w:rPr>
          <w:w w:val="105"/>
          <w:sz w:val="21"/>
        </w:rPr>
        <w:t>need</w:t>
      </w:r>
      <w:r>
        <w:rPr>
          <w:spacing w:val="-5"/>
          <w:w w:val="105"/>
          <w:sz w:val="21"/>
        </w:rPr>
        <w:t> </w:t>
      </w:r>
      <w:r>
        <w:rPr>
          <w:spacing w:val="-3"/>
          <w:w w:val="105"/>
          <w:sz w:val="21"/>
        </w:rPr>
        <w:t>to</w:t>
      </w:r>
      <w:r>
        <w:rPr>
          <w:spacing w:val="-5"/>
          <w:w w:val="105"/>
          <w:sz w:val="21"/>
        </w:rPr>
        <w:t> </w:t>
      </w:r>
      <w:r>
        <w:rPr>
          <w:w w:val="105"/>
          <w:sz w:val="21"/>
        </w:rPr>
        <w:t>obtain the </w:t>
      </w:r>
      <w:r>
        <w:rPr>
          <w:spacing w:val="-3"/>
          <w:w w:val="105"/>
          <w:sz w:val="21"/>
        </w:rPr>
        <w:t>will-maker’s informed consent, complying </w:t>
      </w:r>
      <w:r>
        <w:rPr>
          <w:w w:val="105"/>
          <w:sz w:val="21"/>
        </w:rPr>
        <w:t>with rule </w:t>
      </w:r>
      <w:r>
        <w:rPr>
          <w:spacing w:val="-9"/>
          <w:w w:val="105"/>
          <w:sz w:val="21"/>
        </w:rPr>
        <w:t>10.1 </w:t>
      </w:r>
      <w:r>
        <w:rPr>
          <w:w w:val="105"/>
          <w:sz w:val="21"/>
        </w:rPr>
        <w:t>does </w:t>
      </w:r>
      <w:r>
        <w:rPr>
          <w:spacing w:val="-2"/>
          <w:w w:val="105"/>
          <w:sz w:val="21"/>
        </w:rPr>
        <w:t>not </w:t>
      </w:r>
      <w:r>
        <w:rPr>
          <w:spacing w:val="-3"/>
          <w:w w:val="105"/>
          <w:sz w:val="21"/>
        </w:rPr>
        <w:t>ensure that </w:t>
      </w:r>
      <w:r>
        <w:rPr>
          <w:w w:val="105"/>
          <w:sz w:val="21"/>
        </w:rPr>
        <w:t>the </w:t>
      </w:r>
      <w:r>
        <w:rPr>
          <w:spacing w:val="-3"/>
          <w:w w:val="105"/>
          <w:sz w:val="21"/>
        </w:rPr>
        <w:t>will-maker’s informed consent </w:t>
      </w:r>
      <w:r>
        <w:rPr>
          <w:w w:val="105"/>
          <w:sz w:val="21"/>
        </w:rPr>
        <w:t>is</w:t>
      </w:r>
      <w:r>
        <w:rPr>
          <w:spacing w:val="29"/>
          <w:w w:val="105"/>
          <w:sz w:val="21"/>
        </w:rPr>
        <w:t> </w:t>
      </w:r>
      <w:r>
        <w:rPr>
          <w:spacing w:val="-3"/>
          <w:w w:val="105"/>
          <w:sz w:val="21"/>
        </w:rPr>
        <w:t>obtained.</w:t>
      </w:r>
    </w:p>
    <w:p>
      <w:pPr>
        <w:pStyle w:val="ListParagraph"/>
        <w:numPr>
          <w:ilvl w:val="1"/>
          <w:numId w:val="22"/>
        </w:numPr>
        <w:tabs>
          <w:tab w:pos="2380" w:val="left" w:leader="none"/>
          <w:tab w:pos="2382" w:val="left" w:leader="none"/>
        </w:tabs>
        <w:spacing w:line="242" w:lineRule="auto" w:before="124" w:after="0"/>
        <w:ind w:left="2381" w:right="1644" w:hanging="794"/>
        <w:jc w:val="left"/>
        <w:rPr>
          <w:sz w:val="21"/>
        </w:rPr>
      </w:pPr>
      <w:r>
        <w:rPr>
          <w:spacing w:val="-3"/>
          <w:sz w:val="21"/>
        </w:rPr>
        <w:t>Rule </w:t>
      </w:r>
      <w:r>
        <w:rPr>
          <w:spacing w:val="-10"/>
          <w:sz w:val="21"/>
        </w:rPr>
        <w:t>10.1 </w:t>
      </w:r>
      <w:r>
        <w:rPr>
          <w:spacing w:val="-3"/>
          <w:sz w:val="21"/>
        </w:rPr>
        <w:t>merely </w:t>
      </w:r>
      <w:r>
        <w:rPr>
          <w:spacing w:val="-4"/>
          <w:sz w:val="21"/>
        </w:rPr>
        <w:t>requires </w:t>
      </w:r>
      <w:r>
        <w:rPr>
          <w:sz w:val="21"/>
        </w:rPr>
        <w:t>the </w:t>
      </w:r>
      <w:r>
        <w:rPr>
          <w:spacing w:val="-3"/>
          <w:sz w:val="21"/>
        </w:rPr>
        <w:t>legal practitioner to  </w:t>
      </w:r>
      <w:r>
        <w:rPr>
          <w:spacing w:val="-4"/>
          <w:sz w:val="21"/>
        </w:rPr>
        <w:t>draw  </w:t>
      </w:r>
      <w:r>
        <w:rPr>
          <w:sz w:val="21"/>
        </w:rPr>
        <w:t>the </w:t>
      </w:r>
      <w:r>
        <w:rPr>
          <w:spacing w:val="-4"/>
          <w:sz w:val="21"/>
        </w:rPr>
        <w:t>client’s  </w:t>
      </w:r>
      <w:r>
        <w:rPr>
          <w:spacing w:val="-3"/>
          <w:sz w:val="21"/>
        </w:rPr>
        <w:t>attention  to  what  </w:t>
      </w:r>
      <w:r>
        <w:rPr>
          <w:sz w:val="21"/>
        </w:rPr>
        <w:t>the </w:t>
      </w:r>
      <w:r>
        <w:rPr>
          <w:spacing w:val="-3"/>
          <w:sz w:val="21"/>
        </w:rPr>
        <w:t>will states. </w:t>
      </w:r>
      <w:r>
        <w:rPr>
          <w:sz w:val="21"/>
        </w:rPr>
        <w:t>The </w:t>
      </w:r>
      <w:r>
        <w:rPr>
          <w:spacing w:val="-4"/>
          <w:sz w:val="21"/>
        </w:rPr>
        <w:t>client </w:t>
      </w:r>
      <w:r>
        <w:rPr>
          <w:sz w:val="21"/>
        </w:rPr>
        <w:t>is  </w:t>
      </w:r>
      <w:r>
        <w:rPr>
          <w:spacing w:val="-3"/>
          <w:sz w:val="21"/>
        </w:rPr>
        <w:t>notified  about  </w:t>
      </w:r>
      <w:r>
        <w:rPr>
          <w:spacing w:val="-4"/>
          <w:sz w:val="21"/>
        </w:rPr>
        <w:t>commission  </w:t>
      </w:r>
      <w:r>
        <w:rPr>
          <w:spacing w:val="-3"/>
          <w:sz w:val="21"/>
        </w:rPr>
        <w:t>and  legal  </w:t>
      </w:r>
      <w:r>
        <w:rPr>
          <w:sz w:val="21"/>
        </w:rPr>
        <w:t>costs  </w:t>
      </w:r>
      <w:r>
        <w:rPr>
          <w:spacing w:val="-3"/>
          <w:sz w:val="21"/>
        </w:rPr>
        <w:t>that  </w:t>
      </w:r>
      <w:r>
        <w:rPr>
          <w:sz w:val="21"/>
        </w:rPr>
        <w:t>the  </w:t>
      </w:r>
      <w:r>
        <w:rPr>
          <w:spacing w:val="-4"/>
          <w:sz w:val="21"/>
        </w:rPr>
        <w:t>practitioner, </w:t>
      </w:r>
      <w:r>
        <w:rPr>
          <w:spacing w:val="-3"/>
          <w:sz w:val="21"/>
        </w:rPr>
        <w:t>law practice </w:t>
      </w:r>
      <w:r>
        <w:rPr>
          <w:sz w:val="21"/>
        </w:rPr>
        <w:t>or </w:t>
      </w:r>
      <w:r>
        <w:rPr>
          <w:spacing w:val="-3"/>
          <w:sz w:val="21"/>
        </w:rPr>
        <w:t>associate will </w:t>
      </w:r>
      <w:r>
        <w:rPr>
          <w:spacing w:val="-4"/>
          <w:sz w:val="21"/>
        </w:rPr>
        <w:t>charge  </w:t>
      </w:r>
      <w:r>
        <w:rPr>
          <w:sz w:val="21"/>
        </w:rPr>
        <w:t>the </w:t>
      </w:r>
      <w:r>
        <w:rPr>
          <w:spacing w:val="-3"/>
          <w:sz w:val="21"/>
        </w:rPr>
        <w:t>estate  under  </w:t>
      </w:r>
      <w:r>
        <w:rPr>
          <w:sz w:val="21"/>
        </w:rPr>
        <w:t>the </w:t>
      </w:r>
      <w:r>
        <w:rPr>
          <w:spacing w:val="-3"/>
          <w:sz w:val="21"/>
        </w:rPr>
        <w:t>terms</w:t>
      </w:r>
      <w:r>
        <w:rPr>
          <w:spacing w:val="41"/>
          <w:sz w:val="21"/>
        </w:rPr>
        <w:t> </w:t>
      </w:r>
      <w:r>
        <w:rPr>
          <w:spacing w:val="-3"/>
          <w:sz w:val="21"/>
        </w:rPr>
        <w:t>of  </w:t>
      </w:r>
      <w:r>
        <w:rPr>
          <w:sz w:val="21"/>
        </w:rPr>
        <w:t>the </w:t>
      </w:r>
      <w:r>
        <w:rPr>
          <w:spacing w:val="-4"/>
          <w:sz w:val="21"/>
        </w:rPr>
        <w:t>will,  </w:t>
      </w:r>
      <w:r>
        <w:rPr>
          <w:spacing w:val="-3"/>
          <w:sz w:val="21"/>
        </w:rPr>
        <w:t>and  </w:t>
      </w:r>
      <w:r>
        <w:rPr>
          <w:sz w:val="21"/>
        </w:rPr>
        <w:t>the fact </w:t>
      </w:r>
      <w:r>
        <w:rPr>
          <w:spacing w:val="-3"/>
          <w:sz w:val="21"/>
        </w:rPr>
        <w:t>that </w:t>
      </w:r>
      <w:r>
        <w:rPr>
          <w:sz w:val="21"/>
        </w:rPr>
        <w:t>the </w:t>
      </w:r>
      <w:r>
        <w:rPr>
          <w:spacing w:val="-4"/>
          <w:sz w:val="21"/>
        </w:rPr>
        <w:t>client </w:t>
      </w:r>
      <w:r>
        <w:rPr>
          <w:spacing w:val="-3"/>
          <w:sz w:val="21"/>
        </w:rPr>
        <w:t>could appoint </w:t>
      </w:r>
      <w:r>
        <w:rPr>
          <w:sz w:val="21"/>
        </w:rPr>
        <w:t>as </w:t>
      </w:r>
      <w:r>
        <w:rPr>
          <w:spacing w:val="-4"/>
          <w:sz w:val="21"/>
        </w:rPr>
        <w:t>executor </w:t>
      </w:r>
      <w:r>
        <w:rPr>
          <w:sz w:val="21"/>
        </w:rPr>
        <w:t>someone who </w:t>
      </w:r>
      <w:r>
        <w:rPr>
          <w:spacing w:val="-4"/>
          <w:sz w:val="21"/>
        </w:rPr>
        <w:t>might </w:t>
      </w:r>
      <w:r>
        <w:rPr>
          <w:spacing w:val="-3"/>
          <w:sz w:val="21"/>
        </w:rPr>
        <w:t>not </w:t>
      </w:r>
      <w:r>
        <w:rPr>
          <w:spacing w:val="-4"/>
          <w:sz w:val="21"/>
        </w:rPr>
        <w:t>claim commission. </w:t>
      </w:r>
      <w:r>
        <w:rPr>
          <w:sz w:val="21"/>
        </w:rPr>
        <w:t>The </w:t>
      </w:r>
      <w:r>
        <w:rPr>
          <w:spacing w:val="-4"/>
          <w:sz w:val="21"/>
        </w:rPr>
        <w:t>wording </w:t>
      </w:r>
      <w:r>
        <w:rPr>
          <w:spacing w:val="-3"/>
          <w:sz w:val="21"/>
        </w:rPr>
        <w:t>of </w:t>
      </w:r>
      <w:r>
        <w:rPr>
          <w:sz w:val="21"/>
        </w:rPr>
        <w:t>the </w:t>
      </w:r>
      <w:r>
        <w:rPr>
          <w:spacing w:val="-3"/>
          <w:sz w:val="21"/>
        </w:rPr>
        <w:t>rule </w:t>
      </w:r>
      <w:r>
        <w:rPr>
          <w:sz w:val="21"/>
        </w:rPr>
        <w:t>does </w:t>
      </w:r>
      <w:r>
        <w:rPr>
          <w:spacing w:val="-3"/>
          <w:sz w:val="21"/>
        </w:rPr>
        <w:t>not suggest that </w:t>
      </w:r>
      <w:r>
        <w:rPr>
          <w:sz w:val="21"/>
        </w:rPr>
        <w:t>the </w:t>
      </w:r>
      <w:r>
        <w:rPr>
          <w:spacing w:val="-4"/>
          <w:sz w:val="21"/>
        </w:rPr>
        <w:t>procedure </w:t>
      </w:r>
      <w:r>
        <w:rPr>
          <w:sz w:val="21"/>
        </w:rPr>
        <w:t>is </w:t>
      </w:r>
      <w:r>
        <w:rPr>
          <w:spacing w:val="-3"/>
          <w:sz w:val="21"/>
        </w:rPr>
        <w:t>more than </w:t>
      </w:r>
      <w:r>
        <w:rPr>
          <w:sz w:val="21"/>
        </w:rPr>
        <w:t>a </w:t>
      </w:r>
      <w:r>
        <w:rPr>
          <w:spacing w:val="-3"/>
          <w:sz w:val="21"/>
        </w:rPr>
        <w:t>formality; that </w:t>
      </w:r>
      <w:r>
        <w:rPr>
          <w:sz w:val="21"/>
        </w:rPr>
        <w:t>it is      </w:t>
      </w:r>
      <w:r>
        <w:rPr>
          <w:spacing w:val="-3"/>
          <w:sz w:val="21"/>
        </w:rPr>
        <w:t>in</w:t>
      </w:r>
      <w:r>
        <w:rPr>
          <w:spacing w:val="20"/>
          <w:sz w:val="21"/>
        </w:rPr>
        <w:t> </w:t>
      </w:r>
      <w:r>
        <w:rPr>
          <w:spacing w:val="-3"/>
          <w:sz w:val="21"/>
        </w:rPr>
        <w:t>aid</w:t>
      </w:r>
      <w:r>
        <w:rPr>
          <w:spacing w:val="20"/>
          <w:sz w:val="21"/>
        </w:rPr>
        <w:t> </w:t>
      </w:r>
      <w:r>
        <w:rPr>
          <w:spacing w:val="-3"/>
          <w:sz w:val="21"/>
        </w:rPr>
        <w:t>of</w:t>
      </w:r>
      <w:r>
        <w:rPr>
          <w:spacing w:val="20"/>
          <w:sz w:val="21"/>
        </w:rPr>
        <w:t> </w:t>
      </w:r>
      <w:r>
        <w:rPr>
          <w:spacing w:val="-4"/>
          <w:sz w:val="21"/>
        </w:rPr>
        <w:t>gaining</w:t>
      </w:r>
      <w:r>
        <w:rPr>
          <w:spacing w:val="20"/>
          <w:sz w:val="21"/>
        </w:rPr>
        <w:t> </w:t>
      </w:r>
      <w:r>
        <w:rPr>
          <w:sz w:val="21"/>
        </w:rPr>
        <w:t>the</w:t>
      </w:r>
      <w:r>
        <w:rPr>
          <w:spacing w:val="20"/>
          <w:sz w:val="21"/>
        </w:rPr>
        <w:t> </w:t>
      </w:r>
      <w:r>
        <w:rPr>
          <w:spacing w:val="-4"/>
          <w:sz w:val="21"/>
        </w:rPr>
        <w:t>consent</w:t>
      </w:r>
      <w:r>
        <w:rPr>
          <w:spacing w:val="20"/>
          <w:sz w:val="21"/>
        </w:rPr>
        <w:t> </w:t>
      </w:r>
      <w:r>
        <w:rPr>
          <w:sz w:val="21"/>
        </w:rPr>
        <w:t>on</w:t>
      </w:r>
      <w:r>
        <w:rPr>
          <w:spacing w:val="20"/>
          <w:sz w:val="21"/>
        </w:rPr>
        <w:t> </w:t>
      </w:r>
      <w:r>
        <w:rPr>
          <w:spacing w:val="-3"/>
          <w:sz w:val="21"/>
        </w:rPr>
        <w:t>which</w:t>
      </w:r>
      <w:r>
        <w:rPr>
          <w:spacing w:val="20"/>
          <w:sz w:val="21"/>
        </w:rPr>
        <w:t> </w:t>
      </w:r>
      <w:r>
        <w:rPr>
          <w:sz w:val="21"/>
        </w:rPr>
        <w:t>the</w:t>
      </w:r>
      <w:r>
        <w:rPr>
          <w:spacing w:val="20"/>
          <w:sz w:val="21"/>
        </w:rPr>
        <w:t> </w:t>
      </w:r>
      <w:r>
        <w:rPr>
          <w:spacing w:val="-4"/>
          <w:sz w:val="21"/>
        </w:rPr>
        <w:t>entitlement</w:t>
      </w:r>
      <w:r>
        <w:rPr>
          <w:spacing w:val="20"/>
          <w:sz w:val="21"/>
        </w:rPr>
        <w:t> </w:t>
      </w:r>
      <w:r>
        <w:rPr>
          <w:spacing w:val="-3"/>
          <w:sz w:val="21"/>
        </w:rPr>
        <w:t>to</w:t>
      </w:r>
      <w:r>
        <w:rPr>
          <w:spacing w:val="20"/>
          <w:sz w:val="21"/>
        </w:rPr>
        <w:t> </w:t>
      </w:r>
      <w:r>
        <w:rPr>
          <w:sz w:val="21"/>
        </w:rPr>
        <w:t>be</w:t>
      </w:r>
      <w:r>
        <w:rPr>
          <w:spacing w:val="20"/>
          <w:sz w:val="21"/>
        </w:rPr>
        <w:t> </w:t>
      </w:r>
      <w:r>
        <w:rPr>
          <w:spacing w:val="-3"/>
          <w:sz w:val="21"/>
        </w:rPr>
        <w:t>paid</w:t>
      </w:r>
      <w:r>
        <w:rPr>
          <w:spacing w:val="20"/>
          <w:sz w:val="21"/>
        </w:rPr>
        <w:t> </w:t>
      </w:r>
      <w:r>
        <w:rPr>
          <w:spacing w:val="-3"/>
          <w:sz w:val="21"/>
        </w:rPr>
        <w:t>from</w:t>
      </w:r>
      <w:r>
        <w:rPr>
          <w:spacing w:val="20"/>
          <w:sz w:val="21"/>
        </w:rPr>
        <w:t> </w:t>
      </w:r>
      <w:r>
        <w:rPr>
          <w:sz w:val="21"/>
        </w:rPr>
        <w:t>the</w:t>
      </w:r>
      <w:r>
        <w:rPr>
          <w:spacing w:val="20"/>
          <w:sz w:val="21"/>
        </w:rPr>
        <w:t> </w:t>
      </w:r>
      <w:r>
        <w:rPr>
          <w:spacing w:val="-3"/>
          <w:sz w:val="21"/>
        </w:rPr>
        <w:t>estate</w:t>
      </w:r>
      <w:r>
        <w:rPr>
          <w:spacing w:val="20"/>
          <w:sz w:val="21"/>
        </w:rPr>
        <w:t> </w:t>
      </w:r>
      <w:r>
        <w:rPr>
          <w:sz w:val="21"/>
        </w:rPr>
        <w:t>is</w:t>
      </w:r>
      <w:r>
        <w:rPr>
          <w:spacing w:val="20"/>
          <w:sz w:val="21"/>
        </w:rPr>
        <w:t> </w:t>
      </w:r>
      <w:r>
        <w:rPr>
          <w:spacing w:val="-3"/>
          <w:sz w:val="21"/>
        </w:rPr>
        <w:t>based.</w:t>
      </w:r>
    </w:p>
    <w:p>
      <w:pPr>
        <w:pStyle w:val="ListParagraph"/>
        <w:numPr>
          <w:ilvl w:val="1"/>
          <w:numId w:val="22"/>
        </w:numPr>
        <w:tabs>
          <w:tab w:pos="2380" w:val="left" w:leader="none"/>
          <w:tab w:pos="2381" w:val="left" w:leader="none"/>
        </w:tabs>
        <w:spacing w:line="242" w:lineRule="auto" w:before="127" w:after="0"/>
        <w:ind w:left="2381" w:right="1625" w:hanging="794"/>
        <w:jc w:val="left"/>
        <w:rPr>
          <w:sz w:val="21"/>
        </w:rPr>
      </w:pPr>
      <w:r>
        <w:rPr>
          <w:w w:val="105"/>
          <w:sz w:val="21"/>
        </w:rPr>
        <w:t>The </w:t>
      </w:r>
      <w:r>
        <w:rPr>
          <w:spacing w:val="-3"/>
          <w:w w:val="105"/>
          <w:sz w:val="21"/>
        </w:rPr>
        <w:t>limitations </w:t>
      </w:r>
      <w:r>
        <w:rPr>
          <w:w w:val="105"/>
          <w:sz w:val="21"/>
        </w:rPr>
        <w:t>of rule </w:t>
      </w:r>
      <w:r>
        <w:rPr>
          <w:spacing w:val="-9"/>
          <w:w w:val="105"/>
          <w:sz w:val="21"/>
        </w:rPr>
        <w:t>10.1 </w:t>
      </w:r>
      <w:r>
        <w:rPr>
          <w:spacing w:val="-3"/>
          <w:w w:val="105"/>
          <w:sz w:val="21"/>
        </w:rPr>
        <w:t>are illustrated </w:t>
      </w:r>
      <w:r>
        <w:rPr>
          <w:w w:val="105"/>
          <w:sz w:val="21"/>
        </w:rPr>
        <w:t>in </w:t>
      </w:r>
      <w:r>
        <w:rPr>
          <w:i/>
          <w:w w:val="105"/>
          <w:sz w:val="21"/>
        </w:rPr>
        <w:t>Szmulewicz v </w:t>
      </w:r>
      <w:r>
        <w:rPr>
          <w:i/>
          <w:spacing w:val="-3"/>
          <w:w w:val="105"/>
          <w:sz w:val="21"/>
        </w:rPr>
        <w:t>Recht</w:t>
      </w:r>
      <w:r>
        <w:rPr>
          <w:spacing w:val="-3"/>
          <w:w w:val="105"/>
          <w:sz w:val="21"/>
        </w:rPr>
        <w:t>.</w:t>
      </w:r>
      <w:r>
        <w:rPr>
          <w:spacing w:val="-3"/>
          <w:w w:val="105"/>
          <w:position w:val="7"/>
          <w:sz w:val="12"/>
        </w:rPr>
        <w:t>60 </w:t>
      </w:r>
      <w:r>
        <w:rPr>
          <w:w w:val="105"/>
          <w:sz w:val="21"/>
        </w:rPr>
        <w:t>In </w:t>
      </w:r>
      <w:r>
        <w:rPr>
          <w:spacing w:val="-3"/>
          <w:w w:val="105"/>
          <w:sz w:val="21"/>
        </w:rPr>
        <w:t>that case, </w:t>
      </w:r>
      <w:r>
        <w:rPr>
          <w:w w:val="105"/>
          <w:sz w:val="21"/>
        </w:rPr>
        <w:t>Justice Habersberger </w:t>
      </w:r>
      <w:r>
        <w:rPr>
          <w:spacing w:val="-3"/>
          <w:w w:val="105"/>
          <w:sz w:val="21"/>
        </w:rPr>
        <w:t>found that </w:t>
      </w:r>
      <w:r>
        <w:rPr>
          <w:w w:val="105"/>
          <w:sz w:val="21"/>
        </w:rPr>
        <w:t>the legal practitioner who drafted a </w:t>
      </w:r>
      <w:r>
        <w:rPr>
          <w:spacing w:val="-3"/>
          <w:w w:val="105"/>
          <w:sz w:val="21"/>
        </w:rPr>
        <w:t>will failed to fully </w:t>
      </w:r>
      <w:r>
        <w:rPr>
          <w:w w:val="105"/>
          <w:sz w:val="21"/>
        </w:rPr>
        <w:t>disclose </w:t>
      </w:r>
      <w:r>
        <w:rPr>
          <w:spacing w:val="-3"/>
          <w:w w:val="105"/>
          <w:sz w:val="21"/>
        </w:rPr>
        <w:t>all relevant </w:t>
      </w:r>
      <w:r>
        <w:rPr>
          <w:w w:val="105"/>
          <w:sz w:val="21"/>
        </w:rPr>
        <w:t>facts about a </w:t>
      </w:r>
      <w:r>
        <w:rPr>
          <w:spacing w:val="-3"/>
          <w:w w:val="105"/>
          <w:sz w:val="21"/>
        </w:rPr>
        <w:t>commission clause to </w:t>
      </w:r>
      <w:r>
        <w:rPr>
          <w:w w:val="105"/>
          <w:sz w:val="21"/>
        </w:rPr>
        <w:t>the </w:t>
      </w:r>
      <w:r>
        <w:rPr>
          <w:spacing w:val="-4"/>
          <w:w w:val="105"/>
          <w:sz w:val="21"/>
        </w:rPr>
        <w:t>will-maker. </w:t>
      </w:r>
      <w:r>
        <w:rPr>
          <w:w w:val="105"/>
          <w:sz w:val="21"/>
        </w:rPr>
        <w:t>The </w:t>
      </w:r>
      <w:r>
        <w:rPr>
          <w:spacing w:val="-3"/>
          <w:w w:val="105"/>
          <w:sz w:val="21"/>
        </w:rPr>
        <w:t>will-maker </w:t>
      </w:r>
      <w:r>
        <w:rPr>
          <w:w w:val="105"/>
          <w:sz w:val="21"/>
        </w:rPr>
        <w:t>should </w:t>
      </w:r>
      <w:r>
        <w:rPr>
          <w:spacing w:val="-3"/>
          <w:w w:val="105"/>
          <w:sz w:val="21"/>
        </w:rPr>
        <w:t>have </w:t>
      </w:r>
      <w:r>
        <w:rPr>
          <w:w w:val="105"/>
          <w:sz w:val="21"/>
        </w:rPr>
        <w:t>been given more details </w:t>
      </w:r>
      <w:r>
        <w:rPr>
          <w:spacing w:val="-3"/>
          <w:w w:val="105"/>
          <w:sz w:val="21"/>
        </w:rPr>
        <w:t>than required </w:t>
      </w:r>
      <w:r>
        <w:rPr>
          <w:w w:val="105"/>
          <w:sz w:val="21"/>
        </w:rPr>
        <w:t>by rule </w:t>
      </w:r>
      <w:r>
        <w:rPr>
          <w:spacing w:val="-11"/>
          <w:w w:val="105"/>
          <w:sz w:val="21"/>
        </w:rPr>
        <w:t>10.1, </w:t>
      </w:r>
      <w:r>
        <w:rPr>
          <w:spacing w:val="-3"/>
          <w:w w:val="105"/>
          <w:sz w:val="21"/>
        </w:rPr>
        <w:t>including</w:t>
      </w:r>
      <w:r>
        <w:rPr>
          <w:spacing w:val="11"/>
          <w:w w:val="105"/>
          <w:sz w:val="21"/>
        </w:rPr>
        <w:t> </w:t>
      </w:r>
      <w:r>
        <w:rPr>
          <w:w w:val="105"/>
          <w:sz w:val="21"/>
        </w:rPr>
        <w:t>that:</w:t>
      </w:r>
    </w:p>
    <w:p>
      <w:pPr>
        <w:pStyle w:val="ListParagraph"/>
        <w:numPr>
          <w:ilvl w:val="2"/>
          <w:numId w:val="22"/>
        </w:numPr>
        <w:tabs>
          <w:tab w:pos="2721" w:val="left" w:leader="none"/>
          <w:tab w:pos="2722" w:val="left" w:leader="none"/>
        </w:tabs>
        <w:spacing w:line="242" w:lineRule="auto" w:before="124" w:after="0"/>
        <w:ind w:left="2721" w:right="2304" w:hanging="340"/>
        <w:jc w:val="left"/>
        <w:rPr>
          <w:sz w:val="21"/>
        </w:rPr>
      </w:pPr>
      <w:r>
        <w:rPr>
          <w:w w:val="105"/>
          <w:sz w:val="21"/>
        </w:rPr>
        <w:t>the</w:t>
      </w:r>
      <w:r>
        <w:rPr>
          <w:spacing w:val="-7"/>
          <w:w w:val="105"/>
          <w:sz w:val="21"/>
        </w:rPr>
        <w:t> </w:t>
      </w:r>
      <w:r>
        <w:rPr>
          <w:w w:val="105"/>
          <w:sz w:val="21"/>
        </w:rPr>
        <w:t>executors</w:t>
      </w:r>
      <w:r>
        <w:rPr>
          <w:spacing w:val="-6"/>
          <w:w w:val="105"/>
          <w:sz w:val="21"/>
        </w:rPr>
        <w:t> </w:t>
      </w:r>
      <w:r>
        <w:rPr>
          <w:spacing w:val="-2"/>
          <w:w w:val="105"/>
          <w:sz w:val="21"/>
        </w:rPr>
        <w:t>had</w:t>
      </w:r>
      <w:r>
        <w:rPr>
          <w:spacing w:val="-6"/>
          <w:w w:val="105"/>
          <w:sz w:val="21"/>
        </w:rPr>
        <w:t> </w:t>
      </w:r>
      <w:r>
        <w:rPr>
          <w:w w:val="105"/>
          <w:sz w:val="21"/>
        </w:rPr>
        <w:t>no</w:t>
      </w:r>
      <w:r>
        <w:rPr>
          <w:spacing w:val="-6"/>
          <w:w w:val="105"/>
          <w:sz w:val="21"/>
        </w:rPr>
        <w:t> </w:t>
      </w:r>
      <w:r>
        <w:rPr>
          <w:spacing w:val="-3"/>
          <w:w w:val="105"/>
          <w:sz w:val="21"/>
        </w:rPr>
        <w:t>automatic</w:t>
      </w:r>
      <w:r>
        <w:rPr>
          <w:spacing w:val="-6"/>
          <w:w w:val="105"/>
          <w:sz w:val="21"/>
        </w:rPr>
        <w:t> </w:t>
      </w:r>
      <w:r>
        <w:rPr>
          <w:spacing w:val="-3"/>
          <w:w w:val="105"/>
          <w:sz w:val="21"/>
        </w:rPr>
        <w:t>right</w:t>
      </w:r>
      <w:r>
        <w:rPr>
          <w:spacing w:val="-6"/>
          <w:w w:val="105"/>
          <w:sz w:val="21"/>
        </w:rPr>
        <w:t> </w:t>
      </w:r>
      <w:r>
        <w:rPr>
          <w:spacing w:val="-3"/>
          <w:w w:val="105"/>
          <w:sz w:val="21"/>
        </w:rPr>
        <w:t>to</w:t>
      </w:r>
      <w:r>
        <w:rPr>
          <w:spacing w:val="-6"/>
          <w:w w:val="105"/>
          <w:sz w:val="21"/>
        </w:rPr>
        <w:t> </w:t>
      </w:r>
      <w:r>
        <w:rPr>
          <w:w w:val="105"/>
          <w:sz w:val="21"/>
        </w:rPr>
        <w:t>receive</w:t>
      </w:r>
      <w:r>
        <w:rPr>
          <w:spacing w:val="-6"/>
          <w:w w:val="105"/>
          <w:sz w:val="21"/>
        </w:rPr>
        <w:t> </w:t>
      </w:r>
      <w:r>
        <w:rPr>
          <w:spacing w:val="-3"/>
          <w:w w:val="105"/>
          <w:sz w:val="21"/>
        </w:rPr>
        <w:t>commission,</w:t>
      </w:r>
      <w:r>
        <w:rPr>
          <w:spacing w:val="-7"/>
          <w:w w:val="105"/>
          <w:sz w:val="21"/>
        </w:rPr>
        <w:t> </w:t>
      </w:r>
      <w:r>
        <w:rPr>
          <w:w w:val="105"/>
          <w:sz w:val="21"/>
        </w:rPr>
        <w:t>so</w:t>
      </w:r>
      <w:r>
        <w:rPr>
          <w:spacing w:val="-6"/>
          <w:w w:val="105"/>
          <w:sz w:val="21"/>
        </w:rPr>
        <w:t> </w:t>
      </w:r>
      <w:r>
        <w:rPr>
          <w:w w:val="105"/>
          <w:sz w:val="21"/>
        </w:rPr>
        <w:t>the</w:t>
      </w:r>
      <w:r>
        <w:rPr>
          <w:spacing w:val="-6"/>
          <w:w w:val="105"/>
          <w:sz w:val="21"/>
        </w:rPr>
        <w:t> </w:t>
      </w:r>
      <w:r>
        <w:rPr>
          <w:spacing w:val="-3"/>
          <w:w w:val="105"/>
          <w:sz w:val="21"/>
        </w:rPr>
        <w:t>will-maker </w:t>
      </w:r>
      <w:r>
        <w:rPr>
          <w:w w:val="105"/>
          <w:sz w:val="21"/>
        </w:rPr>
        <w:t>did </w:t>
      </w:r>
      <w:r>
        <w:rPr>
          <w:spacing w:val="-2"/>
          <w:w w:val="105"/>
          <w:sz w:val="21"/>
        </w:rPr>
        <w:t>not </w:t>
      </w:r>
      <w:r>
        <w:rPr>
          <w:spacing w:val="-3"/>
          <w:w w:val="105"/>
          <w:sz w:val="21"/>
        </w:rPr>
        <w:t>have to include </w:t>
      </w:r>
      <w:r>
        <w:rPr>
          <w:w w:val="105"/>
          <w:sz w:val="21"/>
        </w:rPr>
        <w:t>the</w:t>
      </w:r>
      <w:r>
        <w:rPr>
          <w:spacing w:val="41"/>
          <w:w w:val="105"/>
          <w:sz w:val="21"/>
        </w:rPr>
        <w:t> </w:t>
      </w:r>
      <w:r>
        <w:rPr>
          <w:spacing w:val="-3"/>
          <w:w w:val="105"/>
          <w:sz w:val="21"/>
        </w:rPr>
        <w:t>clause</w:t>
      </w:r>
    </w:p>
    <w:p>
      <w:pPr>
        <w:pStyle w:val="ListParagraph"/>
        <w:numPr>
          <w:ilvl w:val="2"/>
          <w:numId w:val="22"/>
        </w:numPr>
        <w:tabs>
          <w:tab w:pos="2722" w:val="left" w:leader="none"/>
        </w:tabs>
        <w:spacing w:line="242" w:lineRule="auto" w:before="122" w:after="0"/>
        <w:ind w:left="2721" w:right="1898" w:hanging="340"/>
        <w:jc w:val="both"/>
        <w:rPr>
          <w:sz w:val="21"/>
        </w:rPr>
      </w:pPr>
      <w:r>
        <w:rPr>
          <w:w w:val="105"/>
          <w:sz w:val="21"/>
        </w:rPr>
        <w:t>in</w:t>
      </w:r>
      <w:r>
        <w:rPr>
          <w:spacing w:val="-8"/>
          <w:w w:val="105"/>
          <w:sz w:val="21"/>
        </w:rPr>
        <w:t> </w:t>
      </w:r>
      <w:r>
        <w:rPr>
          <w:w w:val="105"/>
          <w:sz w:val="21"/>
        </w:rPr>
        <w:t>the</w:t>
      </w:r>
      <w:r>
        <w:rPr>
          <w:spacing w:val="-7"/>
          <w:w w:val="105"/>
          <w:sz w:val="21"/>
        </w:rPr>
        <w:t> </w:t>
      </w:r>
      <w:r>
        <w:rPr>
          <w:w w:val="105"/>
          <w:sz w:val="21"/>
        </w:rPr>
        <w:t>absence</w:t>
      </w:r>
      <w:r>
        <w:rPr>
          <w:spacing w:val="-7"/>
          <w:w w:val="105"/>
          <w:sz w:val="21"/>
        </w:rPr>
        <w:t> </w:t>
      </w:r>
      <w:r>
        <w:rPr>
          <w:w w:val="105"/>
          <w:sz w:val="21"/>
        </w:rPr>
        <w:t>of</w:t>
      </w:r>
      <w:r>
        <w:rPr>
          <w:spacing w:val="-7"/>
          <w:w w:val="105"/>
          <w:sz w:val="21"/>
        </w:rPr>
        <w:t> </w:t>
      </w:r>
      <w:r>
        <w:rPr>
          <w:w w:val="105"/>
          <w:sz w:val="21"/>
        </w:rPr>
        <w:t>the</w:t>
      </w:r>
      <w:r>
        <w:rPr>
          <w:spacing w:val="-8"/>
          <w:w w:val="105"/>
          <w:sz w:val="21"/>
        </w:rPr>
        <w:t> </w:t>
      </w:r>
      <w:r>
        <w:rPr>
          <w:spacing w:val="-3"/>
          <w:w w:val="105"/>
          <w:sz w:val="21"/>
        </w:rPr>
        <w:t>clause,</w:t>
      </w:r>
      <w:r>
        <w:rPr>
          <w:spacing w:val="-7"/>
          <w:w w:val="105"/>
          <w:sz w:val="21"/>
        </w:rPr>
        <w:t> </w:t>
      </w:r>
      <w:r>
        <w:rPr>
          <w:w w:val="105"/>
          <w:sz w:val="21"/>
        </w:rPr>
        <w:t>the</w:t>
      </w:r>
      <w:r>
        <w:rPr>
          <w:spacing w:val="-7"/>
          <w:w w:val="105"/>
          <w:sz w:val="21"/>
        </w:rPr>
        <w:t> </w:t>
      </w:r>
      <w:r>
        <w:rPr>
          <w:w w:val="105"/>
          <w:sz w:val="21"/>
        </w:rPr>
        <w:t>executors</w:t>
      </w:r>
      <w:r>
        <w:rPr>
          <w:spacing w:val="-7"/>
          <w:w w:val="105"/>
          <w:sz w:val="21"/>
        </w:rPr>
        <w:t> </w:t>
      </w:r>
      <w:r>
        <w:rPr>
          <w:spacing w:val="-3"/>
          <w:w w:val="105"/>
          <w:sz w:val="21"/>
        </w:rPr>
        <w:t>could</w:t>
      </w:r>
      <w:r>
        <w:rPr>
          <w:spacing w:val="-7"/>
          <w:w w:val="105"/>
          <w:sz w:val="21"/>
        </w:rPr>
        <w:t> </w:t>
      </w:r>
      <w:r>
        <w:rPr>
          <w:w w:val="105"/>
          <w:sz w:val="21"/>
        </w:rPr>
        <w:t>still</w:t>
      </w:r>
      <w:r>
        <w:rPr>
          <w:spacing w:val="-8"/>
          <w:w w:val="105"/>
          <w:sz w:val="21"/>
        </w:rPr>
        <w:t> </w:t>
      </w:r>
      <w:r>
        <w:rPr>
          <w:w w:val="105"/>
          <w:sz w:val="21"/>
        </w:rPr>
        <w:t>apply</w:t>
      </w:r>
      <w:r>
        <w:rPr>
          <w:spacing w:val="-7"/>
          <w:w w:val="105"/>
          <w:sz w:val="21"/>
        </w:rPr>
        <w:t> </w:t>
      </w:r>
      <w:r>
        <w:rPr>
          <w:w w:val="105"/>
          <w:sz w:val="21"/>
        </w:rPr>
        <w:t>under</w:t>
      </w:r>
      <w:r>
        <w:rPr>
          <w:spacing w:val="-7"/>
          <w:w w:val="105"/>
          <w:sz w:val="21"/>
        </w:rPr>
        <w:t> </w:t>
      </w:r>
      <w:r>
        <w:rPr>
          <w:w w:val="105"/>
          <w:sz w:val="21"/>
        </w:rPr>
        <w:t>section</w:t>
      </w:r>
      <w:r>
        <w:rPr>
          <w:spacing w:val="-7"/>
          <w:w w:val="105"/>
          <w:sz w:val="21"/>
        </w:rPr>
        <w:t> </w:t>
      </w:r>
      <w:r>
        <w:rPr>
          <w:spacing w:val="-3"/>
          <w:w w:val="105"/>
          <w:sz w:val="21"/>
        </w:rPr>
        <w:t>65</w:t>
      </w:r>
      <w:r>
        <w:rPr>
          <w:spacing w:val="-8"/>
          <w:w w:val="105"/>
          <w:sz w:val="21"/>
        </w:rPr>
        <w:t> </w:t>
      </w:r>
      <w:r>
        <w:rPr>
          <w:w w:val="105"/>
          <w:sz w:val="21"/>
        </w:rPr>
        <w:t>of</w:t>
      </w:r>
      <w:r>
        <w:rPr>
          <w:spacing w:val="-7"/>
          <w:w w:val="105"/>
          <w:sz w:val="21"/>
        </w:rPr>
        <w:t> </w:t>
      </w:r>
      <w:r>
        <w:rPr>
          <w:w w:val="105"/>
          <w:sz w:val="21"/>
        </w:rPr>
        <w:t>the </w:t>
      </w:r>
      <w:r>
        <w:rPr>
          <w:spacing w:val="-3"/>
          <w:w w:val="105"/>
          <w:sz w:val="21"/>
        </w:rPr>
        <w:t>Administration </w:t>
      </w:r>
      <w:r>
        <w:rPr>
          <w:w w:val="105"/>
          <w:sz w:val="21"/>
        </w:rPr>
        <w:t>and </w:t>
      </w:r>
      <w:r>
        <w:rPr>
          <w:spacing w:val="-3"/>
          <w:w w:val="105"/>
          <w:sz w:val="21"/>
        </w:rPr>
        <w:t>Probate </w:t>
      </w:r>
      <w:r>
        <w:rPr>
          <w:w w:val="105"/>
          <w:sz w:val="21"/>
        </w:rPr>
        <w:t>Act and be </w:t>
      </w:r>
      <w:r>
        <w:rPr>
          <w:spacing w:val="-3"/>
          <w:w w:val="105"/>
          <w:sz w:val="21"/>
        </w:rPr>
        <w:t>allowed commission </w:t>
      </w:r>
      <w:r>
        <w:rPr>
          <w:spacing w:val="-2"/>
          <w:w w:val="105"/>
          <w:sz w:val="21"/>
        </w:rPr>
        <w:t>not </w:t>
      </w:r>
      <w:r>
        <w:rPr>
          <w:spacing w:val="-3"/>
          <w:w w:val="105"/>
          <w:sz w:val="21"/>
        </w:rPr>
        <w:t>exceeding </w:t>
      </w:r>
      <w:r>
        <w:rPr>
          <w:w w:val="105"/>
          <w:sz w:val="21"/>
        </w:rPr>
        <w:t>five per </w:t>
      </w:r>
      <w:r>
        <w:rPr>
          <w:spacing w:val="-3"/>
          <w:w w:val="105"/>
          <w:sz w:val="21"/>
        </w:rPr>
        <w:t>cent for </w:t>
      </w:r>
      <w:r>
        <w:rPr>
          <w:w w:val="105"/>
          <w:sz w:val="21"/>
        </w:rPr>
        <w:t>their </w:t>
      </w:r>
      <w:r>
        <w:rPr>
          <w:spacing w:val="-4"/>
          <w:w w:val="105"/>
          <w:sz w:val="21"/>
        </w:rPr>
        <w:t>‘pains </w:t>
      </w:r>
      <w:r>
        <w:rPr>
          <w:w w:val="105"/>
          <w:sz w:val="21"/>
        </w:rPr>
        <w:t>and </w:t>
      </w:r>
      <w:r>
        <w:rPr>
          <w:spacing w:val="-3"/>
          <w:w w:val="105"/>
          <w:sz w:val="21"/>
        </w:rPr>
        <w:t>trouble </w:t>
      </w:r>
      <w:r>
        <w:rPr>
          <w:w w:val="105"/>
          <w:sz w:val="21"/>
        </w:rPr>
        <w:t>as is just and</w:t>
      </w:r>
      <w:r>
        <w:rPr>
          <w:spacing w:val="47"/>
          <w:w w:val="105"/>
          <w:sz w:val="21"/>
        </w:rPr>
        <w:t> </w:t>
      </w:r>
      <w:r>
        <w:rPr>
          <w:spacing w:val="-3"/>
          <w:w w:val="105"/>
          <w:sz w:val="21"/>
        </w:rPr>
        <w:t>reasonable’</w:t>
      </w:r>
    </w:p>
    <w:p>
      <w:pPr>
        <w:pStyle w:val="ListParagraph"/>
        <w:numPr>
          <w:ilvl w:val="2"/>
          <w:numId w:val="22"/>
        </w:numPr>
        <w:tabs>
          <w:tab w:pos="2721" w:val="left" w:leader="none"/>
          <w:tab w:pos="2722" w:val="left" w:leader="none"/>
        </w:tabs>
        <w:spacing w:line="240" w:lineRule="auto" w:before="123" w:after="0"/>
        <w:ind w:left="2721" w:right="0" w:hanging="340"/>
        <w:jc w:val="left"/>
        <w:rPr>
          <w:sz w:val="21"/>
        </w:rPr>
      </w:pPr>
      <w:r>
        <w:rPr>
          <w:spacing w:val="-3"/>
          <w:sz w:val="21"/>
        </w:rPr>
        <w:t>including</w:t>
      </w:r>
      <w:r>
        <w:rPr>
          <w:spacing w:val="10"/>
          <w:sz w:val="21"/>
        </w:rPr>
        <w:t> </w:t>
      </w:r>
      <w:r>
        <w:rPr>
          <w:sz w:val="21"/>
        </w:rPr>
        <w:t>the</w:t>
      </w:r>
      <w:r>
        <w:rPr>
          <w:spacing w:val="11"/>
          <w:sz w:val="21"/>
        </w:rPr>
        <w:t> </w:t>
      </w:r>
      <w:r>
        <w:rPr>
          <w:spacing w:val="-3"/>
          <w:sz w:val="21"/>
        </w:rPr>
        <w:t>commission</w:t>
      </w:r>
      <w:r>
        <w:rPr>
          <w:spacing w:val="10"/>
          <w:sz w:val="21"/>
        </w:rPr>
        <w:t> </w:t>
      </w:r>
      <w:r>
        <w:rPr>
          <w:spacing w:val="-3"/>
          <w:sz w:val="21"/>
        </w:rPr>
        <w:t>clause</w:t>
      </w:r>
      <w:r>
        <w:rPr>
          <w:spacing w:val="11"/>
          <w:sz w:val="21"/>
        </w:rPr>
        <w:t> </w:t>
      </w:r>
      <w:r>
        <w:rPr>
          <w:sz w:val="21"/>
        </w:rPr>
        <w:t>entitled</w:t>
      </w:r>
      <w:r>
        <w:rPr>
          <w:spacing w:val="10"/>
          <w:sz w:val="21"/>
        </w:rPr>
        <w:t> </w:t>
      </w:r>
      <w:r>
        <w:rPr>
          <w:sz w:val="21"/>
        </w:rPr>
        <w:t>the</w:t>
      </w:r>
      <w:r>
        <w:rPr>
          <w:spacing w:val="11"/>
          <w:sz w:val="21"/>
        </w:rPr>
        <w:t> </w:t>
      </w:r>
      <w:r>
        <w:rPr>
          <w:sz w:val="21"/>
        </w:rPr>
        <w:t>executors</w:t>
      </w:r>
      <w:r>
        <w:rPr>
          <w:spacing w:val="10"/>
          <w:sz w:val="21"/>
        </w:rPr>
        <w:t> </w:t>
      </w:r>
      <w:r>
        <w:rPr>
          <w:spacing w:val="-3"/>
          <w:sz w:val="21"/>
        </w:rPr>
        <w:t>to</w:t>
      </w:r>
      <w:r>
        <w:rPr>
          <w:spacing w:val="11"/>
          <w:sz w:val="21"/>
        </w:rPr>
        <w:t> </w:t>
      </w:r>
      <w:r>
        <w:rPr>
          <w:sz w:val="21"/>
        </w:rPr>
        <w:t>receive</w:t>
      </w:r>
      <w:r>
        <w:rPr>
          <w:spacing w:val="10"/>
          <w:sz w:val="21"/>
        </w:rPr>
        <w:t> </w:t>
      </w:r>
      <w:r>
        <w:rPr>
          <w:spacing w:val="-4"/>
          <w:sz w:val="21"/>
        </w:rPr>
        <w:t>3.5</w:t>
      </w:r>
      <w:r>
        <w:rPr>
          <w:spacing w:val="11"/>
          <w:sz w:val="21"/>
        </w:rPr>
        <w:t> </w:t>
      </w:r>
      <w:r>
        <w:rPr>
          <w:sz w:val="21"/>
        </w:rPr>
        <w:t>per</w:t>
      </w:r>
      <w:r>
        <w:rPr>
          <w:spacing w:val="11"/>
          <w:sz w:val="21"/>
        </w:rPr>
        <w:t> </w:t>
      </w:r>
      <w:r>
        <w:rPr>
          <w:spacing w:val="-3"/>
          <w:sz w:val="21"/>
        </w:rPr>
        <w:t>cent</w:t>
      </w:r>
    </w:p>
    <w:p>
      <w:pPr>
        <w:pStyle w:val="BodyText"/>
        <w:spacing w:line="242" w:lineRule="auto" w:before="4"/>
        <w:ind w:left="2721" w:right="1930"/>
      </w:pPr>
      <w:r>
        <w:rPr/>
        <w:t>of capital and five per </w:t>
      </w:r>
      <w:r>
        <w:rPr>
          <w:spacing w:val="-3"/>
        </w:rPr>
        <w:t>cent </w:t>
      </w:r>
      <w:r>
        <w:rPr/>
        <w:t>of </w:t>
      </w:r>
      <w:r>
        <w:rPr>
          <w:spacing w:val="-3"/>
        </w:rPr>
        <w:t>income </w:t>
      </w:r>
      <w:r>
        <w:rPr/>
        <w:t>irrespective of the </w:t>
      </w:r>
      <w:r>
        <w:rPr>
          <w:spacing w:val="-3"/>
        </w:rPr>
        <w:t>amount  </w:t>
      </w:r>
      <w:r>
        <w:rPr/>
        <w:t>of work performed  by them in the </w:t>
      </w:r>
      <w:r>
        <w:rPr>
          <w:spacing w:val="-3"/>
        </w:rPr>
        <w:t>administration </w:t>
      </w:r>
      <w:r>
        <w:rPr/>
        <w:t>of the estate and without </w:t>
      </w:r>
      <w:r>
        <w:rPr>
          <w:spacing w:val="-3"/>
        </w:rPr>
        <w:t>any  </w:t>
      </w:r>
      <w:r>
        <w:rPr/>
        <w:t>independent </w:t>
      </w:r>
      <w:r>
        <w:rPr>
          <w:spacing w:val="-4"/>
        </w:rPr>
        <w:t>scrutiny,  </w:t>
      </w:r>
      <w:r>
        <w:rPr>
          <w:spacing w:val="-3"/>
        </w:rPr>
        <w:t>such</w:t>
      </w:r>
      <w:r>
        <w:rPr>
          <w:spacing w:val="10"/>
        </w:rPr>
        <w:t> </w:t>
      </w:r>
      <w:r>
        <w:rPr/>
        <w:t>as</w:t>
      </w:r>
      <w:r>
        <w:rPr>
          <w:spacing w:val="10"/>
        </w:rPr>
        <w:t> </w:t>
      </w:r>
      <w:r>
        <w:rPr/>
        <w:t>by</w:t>
      </w:r>
      <w:r>
        <w:rPr>
          <w:spacing w:val="10"/>
        </w:rPr>
        <w:t> </w:t>
      </w:r>
      <w:r>
        <w:rPr/>
        <w:t>the</w:t>
      </w:r>
      <w:r>
        <w:rPr>
          <w:spacing w:val="10"/>
        </w:rPr>
        <w:t> </w:t>
      </w:r>
      <w:r>
        <w:rPr>
          <w:spacing w:val="-3"/>
        </w:rPr>
        <w:t>Supreme</w:t>
      </w:r>
      <w:r>
        <w:rPr>
          <w:spacing w:val="10"/>
        </w:rPr>
        <w:t> </w:t>
      </w:r>
      <w:r>
        <w:rPr>
          <w:spacing w:val="-3"/>
        </w:rPr>
        <w:t>Court</w:t>
      </w:r>
      <w:r>
        <w:rPr>
          <w:spacing w:val="10"/>
        </w:rPr>
        <w:t> </w:t>
      </w:r>
      <w:r>
        <w:rPr/>
        <w:t>under</w:t>
      </w:r>
      <w:r>
        <w:rPr>
          <w:spacing w:val="10"/>
        </w:rPr>
        <w:t> </w:t>
      </w:r>
      <w:r>
        <w:rPr/>
        <w:t>section</w:t>
      </w:r>
      <w:r>
        <w:rPr>
          <w:spacing w:val="10"/>
        </w:rPr>
        <w:t> </w:t>
      </w:r>
      <w:r>
        <w:rPr>
          <w:spacing w:val="-3"/>
        </w:rPr>
        <w:t>65</w:t>
      </w:r>
    </w:p>
    <w:p>
      <w:pPr>
        <w:pStyle w:val="ListParagraph"/>
        <w:numPr>
          <w:ilvl w:val="2"/>
          <w:numId w:val="22"/>
        </w:numPr>
        <w:tabs>
          <w:tab w:pos="2721" w:val="left" w:leader="none"/>
          <w:tab w:pos="2722" w:val="left" w:leader="none"/>
        </w:tabs>
        <w:spacing w:line="242" w:lineRule="auto" w:before="123" w:after="0"/>
        <w:ind w:left="2721" w:right="2097" w:hanging="340"/>
        <w:jc w:val="left"/>
        <w:rPr>
          <w:sz w:val="21"/>
        </w:rPr>
      </w:pPr>
      <w:r>
        <w:rPr>
          <w:spacing w:val="-3"/>
          <w:sz w:val="21"/>
        </w:rPr>
        <w:t>including </w:t>
      </w:r>
      <w:r>
        <w:rPr>
          <w:sz w:val="21"/>
        </w:rPr>
        <w:t>the </w:t>
      </w:r>
      <w:r>
        <w:rPr>
          <w:spacing w:val="-3"/>
          <w:sz w:val="21"/>
        </w:rPr>
        <w:t>commission clause  meant  that  </w:t>
      </w:r>
      <w:r>
        <w:rPr>
          <w:sz w:val="21"/>
        </w:rPr>
        <w:t>the  beneficiaries  would  be  </w:t>
      </w:r>
      <w:r>
        <w:rPr>
          <w:spacing w:val="-3"/>
          <w:sz w:val="21"/>
        </w:rPr>
        <w:t>unable to challenge </w:t>
      </w:r>
      <w:r>
        <w:rPr>
          <w:sz w:val="21"/>
        </w:rPr>
        <w:t>the level of </w:t>
      </w:r>
      <w:r>
        <w:rPr>
          <w:spacing w:val="-3"/>
          <w:sz w:val="21"/>
        </w:rPr>
        <w:t>remuneration </w:t>
      </w:r>
      <w:r>
        <w:rPr>
          <w:sz w:val="21"/>
        </w:rPr>
        <w:t>or subject it </w:t>
      </w:r>
      <w:r>
        <w:rPr>
          <w:spacing w:val="-3"/>
          <w:sz w:val="21"/>
        </w:rPr>
        <w:t>to  </w:t>
      </w:r>
      <w:r>
        <w:rPr>
          <w:sz w:val="21"/>
        </w:rPr>
        <w:t>independent </w:t>
      </w:r>
      <w:r>
        <w:rPr>
          <w:spacing w:val="-4"/>
          <w:sz w:val="21"/>
        </w:rPr>
        <w:t>scrutiny,  </w:t>
      </w:r>
      <w:r>
        <w:rPr>
          <w:spacing w:val="-3"/>
          <w:sz w:val="21"/>
        </w:rPr>
        <w:t>such </w:t>
      </w:r>
      <w:r>
        <w:rPr>
          <w:sz w:val="21"/>
        </w:rPr>
        <w:t>as</w:t>
      </w:r>
      <w:r>
        <w:rPr>
          <w:spacing w:val="9"/>
          <w:sz w:val="21"/>
        </w:rPr>
        <w:t> </w:t>
      </w:r>
      <w:r>
        <w:rPr>
          <w:sz w:val="21"/>
        </w:rPr>
        <w:t>by</w:t>
      </w:r>
      <w:r>
        <w:rPr>
          <w:spacing w:val="10"/>
          <w:sz w:val="21"/>
        </w:rPr>
        <w:t> </w:t>
      </w:r>
      <w:r>
        <w:rPr>
          <w:sz w:val="21"/>
        </w:rPr>
        <w:t>the</w:t>
      </w:r>
      <w:r>
        <w:rPr>
          <w:spacing w:val="10"/>
          <w:sz w:val="21"/>
        </w:rPr>
        <w:t> </w:t>
      </w:r>
      <w:r>
        <w:rPr>
          <w:spacing w:val="-3"/>
          <w:sz w:val="21"/>
        </w:rPr>
        <w:t>Supreme</w:t>
      </w:r>
      <w:r>
        <w:rPr>
          <w:spacing w:val="9"/>
          <w:sz w:val="21"/>
        </w:rPr>
        <w:t> </w:t>
      </w:r>
      <w:r>
        <w:rPr>
          <w:spacing w:val="-3"/>
          <w:sz w:val="21"/>
        </w:rPr>
        <w:t>Court</w:t>
      </w:r>
      <w:r>
        <w:rPr>
          <w:spacing w:val="10"/>
          <w:sz w:val="21"/>
        </w:rPr>
        <w:t> </w:t>
      </w:r>
      <w:r>
        <w:rPr>
          <w:sz w:val="21"/>
        </w:rPr>
        <w:t>under</w:t>
      </w:r>
      <w:r>
        <w:rPr>
          <w:spacing w:val="10"/>
          <w:sz w:val="21"/>
        </w:rPr>
        <w:t> </w:t>
      </w:r>
      <w:r>
        <w:rPr>
          <w:sz w:val="21"/>
        </w:rPr>
        <w:t>section</w:t>
      </w:r>
      <w:r>
        <w:rPr>
          <w:spacing w:val="10"/>
          <w:sz w:val="21"/>
        </w:rPr>
        <w:t> </w:t>
      </w:r>
      <w:r>
        <w:rPr>
          <w:spacing w:val="-3"/>
          <w:sz w:val="21"/>
        </w:rPr>
        <w:t>65</w:t>
      </w:r>
    </w:p>
    <w:p>
      <w:pPr>
        <w:pStyle w:val="ListParagraph"/>
        <w:numPr>
          <w:ilvl w:val="2"/>
          <w:numId w:val="22"/>
        </w:numPr>
        <w:tabs>
          <w:tab w:pos="2721" w:val="left" w:leader="none"/>
          <w:tab w:pos="2722" w:val="left" w:leader="none"/>
        </w:tabs>
        <w:spacing w:line="242" w:lineRule="auto" w:before="124" w:after="0"/>
        <w:ind w:left="2721" w:right="1914" w:hanging="340"/>
        <w:jc w:val="left"/>
        <w:rPr>
          <w:sz w:val="12"/>
        </w:rPr>
      </w:pPr>
      <w:r>
        <w:rPr>
          <w:w w:val="105"/>
          <w:sz w:val="21"/>
        </w:rPr>
        <w:t>the</w:t>
      </w:r>
      <w:r>
        <w:rPr>
          <w:spacing w:val="-6"/>
          <w:w w:val="105"/>
          <w:sz w:val="21"/>
        </w:rPr>
        <w:t> </w:t>
      </w:r>
      <w:r>
        <w:rPr>
          <w:spacing w:val="-3"/>
          <w:w w:val="105"/>
          <w:sz w:val="21"/>
        </w:rPr>
        <w:t>rates</w:t>
      </w:r>
      <w:r>
        <w:rPr>
          <w:spacing w:val="-5"/>
          <w:w w:val="105"/>
          <w:sz w:val="21"/>
        </w:rPr>
        <w:t> </w:t>
      </w:r>
      <w:r>
        <w:rPr>
          <w:spacing w:val="-3"/>
          <w:w w:val="105"/>
          <w:sz w:val="21"/>
        </w:rPr>
        <w:t>included</w:t>
      </w:r>
      <w:r>
        <w:rPr>
          <w:spacing w:val="-6"/>
          <w:w w:val="105"/>
          <w:sz w:val="21"/>
        </w:rPr>
        <w:t> </w:t>
      </w:r>
      <w:r>
        <w:rPr>
          <w:w w:val="105"/>
          <w:sz w:val="21"/>
        </w:rPr>
        <w:t>in</w:t>
      </w:r>
      <w:r>
        <w:rPr>
          <w:spacing w:val="-5"/>
          <w:w w:val="105"/>
          <w:sz w:val="21"/>
        </w:rPr>
        <w:t> </w:t>
      </w:r>
      <w:r>
        <w:rPr>
          <w:w w:val="105"/>
          <w:sz w:val="21"/>
        </w:rPr>
        <w:t>the</w:t>
      </w:r>
      <w:r>
        <w:rPr>
          <w:spacing w:val="-6"/>
          <w:w w:val="105"/>
          <w:sz w:val="21"/>
        </w:rPr>
        <w:t> </w:t>
      </w:r>
      <w:r>
        <w:rPr>
          <w:spacing w:val="-3"/>
          <w:w w:val="105"/>
          <w:sz w:val="21"/>
        </w:rPr>
        <w:t>clause</w:t>
      </w:r>
      <w:r>
        <w:rPr>
          <w:spacing w:val="-5"/>
          <w:w w:val="105"/>
          <w:sz w:val="21"/>
        </w:rPr>
        <w:t> </w:t>
      </w:r>
      <w:r>
        <w:rPr>
          <w:spacing w:val="-3"/>
          <w:w w:val="105"/>
          <w:sz w:val="21"/>
        </w:rPr>
        <w:t>were</w:t>
      </w:r>
      <w:r>
        <w:rPr>
          <w:spacing w:val="-6"/>
          <w:w w:val="105"/>
          <w:sz w:val="21"/>
        </w:rPr>
        <w:t> </w:t>
      </w:r>
      <w:r>
        <w:rPr>
          <w:w w:val="105"/>
          <w:sz w:val="21"/>
        </w:rPr>
        <w:t>those</w:t>
      </w:r>
      <w:r>
        <w:rPr>
          <w:spacing w:val="-5"/>
          <w:w w:val="105"/>
          <w:sz w:val="21"/>
        </w:rPr>
        <w:t> </w:t>
      </w:r>
      <w:r>
        <w:rPr>
          <w:w w:val="105"/>
          <w:sz w:val="21"/>
        </w:rPr>
        <w:t>decided</w:t>
      </w:r>
      <w:r>
        <w:rPr>
          <w:spacing w:val="-6"/>
          <w:w w:val="105"/>
          <w:sz w:val="21"/>
        </w:rPr>
        <w:t> </w:t>
      </w:r>
      <w:r>
        <w:rPr>
          <w:w w:val="105"/>
          <w:sz w:val="21"/>
        </w:rPr>
        <w:t>by</w:t>
      </w:r>
      <w:r>
        <w:rPr>
          <w:spacing w:val="-5"/>
          <w:w w:val="105"/>
          <w:sz w:val="21"/>
        </w:rPr>
        <w:t> </w:t>
      </w:r>
      <w:r>
        <w:rPr>
          <w:w w:val="105"/>
          <w:sz w:val="21"/>
        </w:rPr>
        <w:t>the</w:t>
      </w:r>
      <w:r>
        <w:rPr>
          <w:spacing w:val="-6"/>
          <w:w w:val="105"/>
          <w:sz w:val="21"/>
        </w:rPr>
        <w:t> </w:t>
      </w:r>
      <w:r>
        <w:rPr>
          <w:spacing w:val="-3"/>
          <w:w w:val="105"/>
          <w:sz w:val="21"/>
        </w:rPr>
        <w:t>solicitor</w:t>
      </w:r>
      <w:r>
        <w:rPr>
          <w:spacing w:val="-5"/>
          <w:w w:val="105"/>
          <w:sz w:val="21"/>
        </w:rPr>
        <w:t> </w:t>
      </w:r>
      <w:r>
        <w:rPr>
          <w:w w:val="105"/>
          <w:sz w:val="21"/>
        </w:rPr>
        <w:t>and</w:t>
      </w:r>
      <w:r>
        <w:rPr>
          <w:spacing w:val="-6"/>
          <w:w w:val="105"/>
          <w:sz w:val="21"/>
        </w:rPr>
        <w:t> </w:t>
      </w:r>
      <w:r>
        <w:rPr>
          <w:spacing w:val="-3"/>
          <w:w w:val="105"/>
          <w:sz w:val="21"/>
        </w:rPr>
        <w:t>accountant </w:t>
      </w:r>
      <w:r>
        <w:rPr>
          <w:w w:val="105"/>
          <w:sz w:val="21"/>
        </w:rPr>
        <w:t>who </w:t>
      </w:r>
      <w:r>
        <w:rPr>
          <w:spacing w:val="-3"/>
          <w:w w:val="105"/>
          <w:sz w:val="21"/>
        </w:rPr>
        <w:t>were nominated </w:t>
      </w:r>
      <w:r>
        <w:rPr>
          <w:w w:val="105"/>
          <w:sz w:val="21"/>
        </w:rPr>
        <w:t>as executors; they </w:t>
      </w:r>
      <w:r>
        <w:rPr>
          <w:spacing w:val="-3"/>
          <w:w w:val="105"/>
          <w:sz w:val="21"/>
        </w:rPr>
        <w:t>were </w:t>
      </w:r>
      <w:r>
        <w:rPr>
          <w:spacing w:val="-2"/>
          <w:w w:val="105"/>
          <w:sz w:val="21"/>
        </w:rPr>
        <w:t>not </w:t>
      </w:r>
      <w:r>
        <w:rPr>
          <w:w w:val="105"/>
          <w:sz w:val="21"/>
        </w:rPr>
        <w:t>fixed by law and </w:t>
      </w:r>
      <w:r>
        <w:rPr>
          <w:spacing w:val="-3"/>
          <w:w w:val="105"/>
          <w:sz w:val="21"/>
        </w:rPr>
        <w:t>thus could ultimately </w:t>
      </w:r>
      <w:r>
        <w:rPr>
          <w:w w:val="105"/>
          <w:sz w:val="21"/>
        </w:rPr>
        <w:t>be </w:t>
      </w:r>
      <w:r>
        <w:rPr>
          <w:spacing w:val="-3"/>
          <w:w w:val="105"/>
          <w:sz w:val="21"/>
        </w:rPr>
        <w:t>reduced </w:t>
      </w:r>
      <w:r>
        <w:rPr>
          <w:w w:val="105"/>
          <w:sz w:val="21"/>
        </w:rPr>
        <w:t>by the</w:t>
      </w:r>
      <w:r>
        <w:rPr>
          <w:spacing w:val="23"/>
          <w:w w:val="105"/>
          <w:sz w:val="21"/>
        </w:rPr>
        <w:t> </w:t>
      </w:r>
      <w:r>
        <w:rPr>
          <w:spacing w:val="-5"/>
          <w:w w:val="105"/>
          <w:sz w:val="21"/>
        </w:rPr>
        <w:t>will-maker.</w:t>
      </w:r>
      <w:r>
        <w:rPr>
          <w:spacing w:val="-5"/>
          <w:w w:val="105"/>
          <w:position w:val="7"/>
          <w:sz w:val="12"/>
        </w:rPr>
        <w:t>61</w:t>
      </w:r>
    </w:p>
    <w:p>
      <w:pPr>
        <w:pStyle w:val="ListParagraph"/>
        <w:numPr>
          <w:ilvl w:val="1"/>
          <w:numId w:val="22"/>
        </w:numPr>
        <w:tabs>
          <w:tab w:pos="2380" w:val="left" w:leader="none"/>
          <w:tab w:pos="2381" w:val="left" w:leader="none"/>
        </w:tabs>
        <w:spacing w:line="242" w:lineRule="auto" w:before="123" w:after="0"/>
        <w:ind w:left="2381" w:right="1688" w:hanging="794"/>
        <w:jc w:val="left"/>
        <w:rPr>
          <w:sz w:val="21"/>
        </w:rPr>
      </w:pPr>
      <w:r>
        <w:rPr>
          <w:sz w:val="21"/>
        </w:rPr>
        <w:t>The </w:t>
      </w:r>
      <w:r>
        <w:rPr>
          <w:spacing w:val="-3"/>
          <w:sz w:val="21"/>
        </w:rPr>
        <w:t>Commission </w:t>
      </w:r>
      <w:r>
        <w:rPr>
          <w:sz w:val="21"/>
        </w:rPr>
        <w:t>considers </w:t>
      </w:r>
      <w:r>
        <w:rPr>
          <w:spacing w:val="-3"/>
          <w:sz w:val="21"/>
        </w:rPr>
        <w:t>that </w:t>
      </w:r>
      <w:r>
        <w:rPr>
          <w:sz w:val="21"/>
        </w:rPr>
        <w:t>rule </w:t>
      </w:r>
      <w:r>
        <w:rPr>
          <w:spacing w:val="-9"/>
          <w:sz w:val="21"/>
        </w:rPr>
        <w:t>10.1 </w:t>
      </w:r>
      <w:r>
        <w:rPr>
          <w:sz w:val="21"/>
        </w:rPr>
        <w:t>should be revised  </w:t>
      </w:r>
      <w:r>
        <w:rPr>
          <w:spacing w:val="-3"/>
          <w:sz w:val="21"/>
        </w:rPr>
        <w:t>to  align  </w:t>
      </w:r>
      <w:r>
        <w:rPr>
          <w:sz w:val="21"/>
        </w:rPr>
        <w:t>with  the  standards now </w:t>
      </w:r>
      <w:r>
        <w:rPr>
          <w:spacing w:val="-3"/>
          <w:sz w:val="21"/>
        </w:rPr>
        <w:t>required </w:t>
      </w:r>
      <w:r>
        <w:rPr>
          <w:sz w:val="21"/>
        </w:rPr>
        <w:t>by the </w:t>
      </w:r>
      <w:r>
        <w:rPr>
          <w:spacing w:val="-3"/>
          <w:sz w:val="21"/>
        </w:rPr>
        <w:t>Court. </w:t>
      </w:r>
      <w:r>
        <w:rPr>
          <w:spacing w:val="-5"/>
          <w:sz w:val="21"/>
        </w:rPr>
        <w:t>Currently, </w:t>
      </w:r>
      <w:r>
        <w:rPr>
          <w:spacing w:val="-3"/>
          <w:sz w:val="21"/>
        </w:rPr>
        <w:t>any </w:t>
      </w:r>
      <w:r>
        <w:rPr>
          <w:sz w:val="21"/>
        </w:rPr>
        <w:t>decision </w:t>
      </w:r>
      <w:r>
        <w:rPr>
          <w:spacing w:val="-3"/>
          <w:sz w:val="21"/>
        </w:rPr>
        <w:t>to </w:t>
      </w:r>
      <w:r>
        <w:rPr>
          <w:sz w:val="21"/>
        </w:rPr>
        <w:t>amend rule </w:t>
      </w:r>
      <w:r>
        <w:rPr>
          <w:spacing w:val="-9"/>
          <w:sz w:val="21"/>
        </w:rPr>
        <w:t>10.1 </w:t>
      </w:r>
      <w:r>
        <w:rPr>
          <w:spacing w:val="-3"/>
          <w:sz w:val="21"/>
        </w:rPr>
        <w:t>to overcome </w:t>
      </w:r>
      <w:r>
        <w:rPr>
          <w:sz w:val="21"/>
        </w:rPr>
        <w:t>its </w:t>
      </w:r>
      <w:r>
        <w:rPr>
          <w:spacing w:val="-3"/>
          <w:sz w:val="21"/>
        </w:rPr>
        <w:t>limitations  </w:t>
      </w:r>
      <w:r>
        <w:rPr>
          <w:sz w:val="21"/>
        </w:rPr>
        <w:t>is a matter </w:t>
      </w:r>
      <w:r>
        <w:rPr>
          <w:spacing w:val="-3"/>
          <w:sz w:val="21"/>
        </w:rPr>
        <w:t>for</w:t>
      </w:r>
      <w:r>
        <w:rPr>
          <w:spacing w:val="41"/>
          <w:sz w:val="21"/>
        </w:rPr>
        <w:t> </w:t>
      </w:r>
      <w:r>
        <w:rPr>
          <w:sz w:val="21"/>
        </w:rPr>
        <w:t>the Law </w:t>
      </w:r>
      <w:r>
        <w:rPr>
          <w:spacing w:val="-3"/>
          <w:sz w:val="21"/>
        </w:rPr>
        <w:t>Institute  </w:t>
      </w:r>
      <w:r>
        <w:rPr>
          <w:sz w:val="21"/>
        </w:rPr>
        <w:t>of Victoria. An almost identical rule appears     </w:t>
      </w:r>
      <w:r>
        <w:rPr>
          <w:spacing w:val="-3"/>
          <w:sz w:val="21"/>
        </w:rPr>
        <w:t>in </w:t>
      </w:r>
      <w:r>
        <w:rPr>
          <w:spacing w:val="-4"/>
          <w:sz w:val="21"/>
        </w:rPr>
        <w:t>professional </w:t>
      </w:r>
      <w:r>
        <w:rPr>
          <w:spacing w:val="-3"/>
          <w:sz w:val="21"/>
        </w:rPr>
        <w:t>conduct and practice rules made by </w:t>
      </w:r>
      <w:r>
        <w:rPr>
          <w:sz w:val="21"/>
        </w:rPr>
        <w:t>the Law Society </w:t>
      </w:r>
      <w:r>
        <w:rPr>
          <w:spacing w:val="-3"/>
          <w:sz w:val="21"/>
        </w:rPr>
        <w:t>of </w:t>
      </w:r>
      <w:r>
        <w:rPr>
          <w:sz w:val="21"/>
        </w:rPr>
        <w:t>New </w:t>
      </w:r>
      <w:r>
        <w:rPr>
          <w:spacing w:val="-3"/>
          <w:sz w:val="21"/>
        </w:rPr>
        <w:t>South </w:t>
      </w:r>
      <w:r>
        <w:rPr>
          <w:spacing w:val="-4"/>
          <w:sz w:val="21"/>
        </w:rPr>
        <w:t>Wales </w:t>
      </w:r>
      <w:r>
        <w:rPr>
          <w:spacing w:val="-3"/>
          <w:position w:val="7"/>
          <w:sz w:val="12"/>
        </w:rPr>
        <w:t>62 </w:t>
      </w:r>
      <w:r>
        <w:rPr>
          <w:spacing w:val="-3"/>
          <w:sz w:val="12"/>
        </w:rPr>
        <w:t> </w:t>
      </w:r>
      <w:r>
        <w:rPr>
          <w:spacing w:val="-3"/>
          <w:sz w:val="21"/>
        </w:rPr>
        <w:t>and, </w:t>
      </w:r>
      <w:r>
        <w:rPr>
          <w:sz w:val="21"/>
        </w:rPr>
        <w:t>as </w:t>
      </w:r>
      <w:r>
        <w:rPr>
          <w:spacing w:val="-3"/>
          <w:sz w:val="21"/>
        </w:rPr>
        <w:t>noted </w:t>
      </w:r>
      <w:r>
        <w:rPr>
          <w:sz w:val="21"/>
        </w:rPr>
        <w:t>in </w:t>
      </w:r>
      <w:r>
        <w:rPr>
          <w:spacing w:val="-4"/>
          <w:sz w:val="21"/>
        </w:rPr>
        <w:t>[7.30], </w:t>
      </w:r>
      <w:r>
        <w:rPr>
          <w:sz w:val="21"/>
        </w:rPr>
        <w:t>the </w:t>
      </w:r>
      <w:r>
        <w:rPr>
          <w:spacing w:val="-3"/>
          <w:sz w:val="21"/>
        </w:rPr>
        <w:t>Australian Solicitors’ Conduct  </w:t>
      </w:r>
      <w:r>
        <w:rPr>
          <w:sz w:val="21"/>
        </w:rPr>
        <w:t>Rules  </w:t>
      </w:r>
      <w:r>
        <w:rPr>
          <w:spacing w:val="-3"/>
          <w:sz w:val="21"/>
        </w:rPr>
        <w:t>prepared  </w:t>
      </w:r>
      <w:r>
        <w:rPr>
          <w:sz w:val="21"/>
        </w:rPr>
        <w:t>by  the  Law </w:t>
      </w:r>
      <w:r>
        <w:rPr>
          <w:spacing w:val="-4"/>
          <w:sz w:val="21"/>
        </w:rPr>
        <w:t>Council </w:t>
      </w:r>
      <w:r>
        <w:rPr>
          <w:sz w:val="21"/>
        </w:rPr>
        <w:t>of </w:t>
      </w:r>
      <w:r>
        <w:rPr>
          <w:spacing w:val="-3"/>
          <w:sz w:val="21"/>
        </w:rPr>
        <w:t>Australia. </w:t>
      </w:r>
      <w:r>
        <w:rPr>
          <w:sz w:val="21"/>
        </w:rPr>
        <w:t>All three </w:t>
      </w:r>
      <w:r>
        <w:rPr>
          <w:spacing w:val="-3"/>
          <w:sz w:val="21"/>
        </w:rPr>
        <w:t>professional </w:t>
      </w:r>
      <w:r>
        <w:rPr>
          <w:sz w:val="21"/>
        </w:rPr>
        <w:t>associations </w:t>
      </w:r>
      <w:r>
        <w:rPr>
          <w:spacing w:val="-3"/>
          <w:sz w:val="21"/>
        </w:rPr>
        <w:t>may well </w:t>
      </w:r>
      <w:r>
        <w:rPr>
          <w:sz w:val="21"/>
        </w:rPr>
        <w:t>be </w:t>
      </w:r>
      <w:r>
        <w:rPr>
          <w:spacing w:val="-3"/>
          <w:sz w:val="21"/>
        </w:rPr>
        <w:t>involved </w:t>
      </w:r>
      <w:r>
        <w:rPr>
          <w:sz w:val="21"/>
        </w:rPr>
        <w:t>in </w:t>
      </w:r>
      <w:r>
        <w:rPr>
          <w:spacing w:val="-3"/>
          <w:sz w:val="21"/>
        </w:rPr>
        <w:t>preparing uniform</w:t>
      </w:r>
      <w:r>
        <w:rPr>
          <w:spacing w:val="10"/>
          <w:sz w:val="21"/>
        </w:rPr>
        <w:t> </w:t>
      </w:r>
      <w:r>
        <w:rPr>
          <w:sz w:val="21"/>
        </w:rPr>
        <w:t>conduct</w:t>
      </w:r>
      <w:r>
        <w:rPr>
          <w:spacing w:val="10"/>
          <w:sz w:val="21"/>
        </w:rPr>
        <w:t> </w:t>
      </w:r>
      <w:r>
        <w:rPr>
          <w:sz w:val="21"/>
        </w:rPr>
        <w:t>rules</w:t>
      </w:r>
      <w:r>
        <w:rPr>
          <w:spacing w:val="10"/>
          <w:sz w:val="21"/>
        </w:rPr>
        <w:t> </w:t>
      </w:r>
      <w:r>
        <w:rPr>
          <w:sz w:val="21"/>
        </w:rPr>
        <w:t>under</w:t>
      </w:r>
      <w:r>
        <w:rPr>
          <w:spacing w:val="10"/>
          <w:sz w:val="21"/>
        </w:rPr>
        <w:t> </w:t>
      </w:r>
      <w:r>
        <w:rPr>
          <w:sz w:val="21"/>
        </w:rPr>
        <w:t>the</w:t>
      </w:r>
      <w:r>
        <w:rPr>
          <w:spacing w:val="10"/>
          <w:sz w:val="21"/>
        </w:rPr>
        <w:t> </w:t>
      </w:r>
      <w:r>
        <w:rPr>
          <w:sz w:val="21"/>
        </w:rPr>
        <w:t>proposed</w:t>
      </w:r>
      <w:r>
        <w:rPr>
          <w:spacing w:val="10"/>
          <w:sz w:val="21"/>
        </w:rPr>
        <w:t> </w:t>
      </w:r>
      <w:r>
        <w:rPr>
          <w:spacing w:val="-3"/>
          <w:sz w:val="21"/>
        </w:rPr>
        <w:t>uniform</w:t>
      </w:r>
      <w:r>
        <w:rPr>
          <w:spacing w:val="11"/>
          <w:sz w:val="21"/>
        </w:rPr>
        <w:t> </w:t>
      </w:r>
      <w:r>
        <w:rPr>
          <w:spacing w:val="-5"/>
          <w:sz w:val="21"/>
        </w:rPr>
        <w:t>law.</w:t>
      </w:r>
    </w:p>
    <w:p>
      <w:pPr>
        <w:pStyle w:val="ListParagraph"/>
        <w:numPr>
          <w:ilvl w:val="1"/>
          <w:numId w:val="22"/>
        </w:numPr>
        <w:tabs>
          <w:tab w:pos="2382" w:val="left" w:leader="none"/>
        </w:tabs>
        <w:spacing w:line="242" w:lineRule="auto" w:before="127" w:after="0"/>
        <w:ind w:left="2381" w:right="1637" w:hanging="794"/>
        <w:jc w:val="both"/>
        <w:rPr>
          <w:sz w:val="21"/>
        </w:rPr>
      </w:pPr>
      <w:r>
        <w:rPr/>
        <w:pict>
          <v:line style="position:absolute;mso-position-horizontal-relative:page;mso-position-vertical-relative:paragraph;z-index:8888;mso-wrap-distance-left:0;mso-wrap-distance-right:0" from="79.370102pt,64.801254pt" to="515.905102pt,64.801254pt" stroked="true" strokeweight="1pt" strokecolor="#f9ceca">
            <v:stroke dashstyle="solid"/>
            <w10:wrap type="topAndBottom"/>
          </v:line>
        </w:pict>
      </w:r>
      <w:r>
        <w:rPr>
          <w:sz w:val="21"/>
        </w:rPr>
        <w:t>The introduction of the </w:t>
      </w:r>
      <w:r>
        <w:rPr>
          <w:spacing w:val="-3"/>
          <w:sz w:val="21"/>
        </w:rPr>
        <w:t>uniform </w:t>
      </w:r>
      <w:r>
        <w:rPr>
          <w:sz w:val="21"/>
        </w:rPr>
        <w:t>rules provides an opportunity </w:t>
      </w:r>
      <w:r>
        <w:rPr>
          <w:spacing w:val="-3"/>
          <w:sz w:val="21"/>
        </w:rPr>
        <w:t>for </w:t>
      </w:r>
      <w:r>
        <w:rPr>
          <w:sz w:val="21"/>
        </w:rPr>
        <w:t>the </w:t>
      </w:r>
      <w:r>
        <w:rPr>
          <w:spacing w:val="-3"/>
          <w:sz w:val="21"/>
        </w:rPr>
        <w:t>profession to </w:t>
      </w:r>
      <w:r>
        <w:rPr>
          <w:sz w:val="21"/>
        </w:rPr>
        <w:t>revise the rule in </w:t>
      </w:r>
      <w:r>
        <w:rPr>
          <w:spacing w:val="-3"/>
          <w:sz w:val="21"/>
        </w:rPr>
        <w:t>all </w:t>
      </w:r>
      <w:r>
        <w:rPr>
          <w:sz w:val="21"/>
        </w:rPr>
        <w:t>its </w:t>
      </w:r>
      <w:r>
        <w:rPr>
          <w:spacing w:val="-3"/>
          <w:sz w:val="21"/>
        </w:rPr>
        <w:t>forms.  </w:t>
      </w:r>
      <w:r>
        <w:rPr>
          <w:sz w:val="21"/>
        </w:rPr>
        <w:t>It should be amended </w:t>
      </w:r>
      <w:r>
        <w:rPr>
          <w:spacing w:val="-3"/>
          <w:sz w:val="21"/>
        </w:rPr>
        <w:t>to</w:t>
      </w:r>
      <w:r>
        <w:rPr>
          <w:spacing w:val="41"/>
          <w:sz w:val="21"/>
        </w:rPr>
        <w:t> </w:t>
      </w:r>
      <w:r>
        <w:rPr>
          <w:spacing w:val="-3"/>
          <w:sz w:val="21"/>
        </w:rPr>
        <w:t>ensure  that  </w:t>
      </w:r>
      <w:r>
        <w:rPr>
          <w:sz w:val="21"/>
        </w:rPr>
        <w:t>a legal practitioner </w:t>
      </w:r>
      <w:r>
        <w:rPr>
          <w:spacing w:val="-3"/>
          <w:sz w:val="21"/>
        </w:rPr>
        <w:t>preparing  </w:t>
      </w:r>
      <w:r>
        <w:rPr>
          <w:sz w:val="21"/>
        </w:rPr>
        <w:t>a </w:t>
      </w:r>
      <w:r>
        <w:rPr>
          <w:spacing w:val="-3"/>
          <w:sz w:val="21"/>
        </w:rPr>
        <w:t>will that includes commission </w:t>
      </w:r>
      <w:r>
        <w:rPr>
          <w:sz w:val="21"/>
        </w:rPr>
        <w:t>and </w:t>
      </w:r>
      <w:r>
        <w:rPr>
          <w:spacing w:val="-3"/>
          <w:sz w:val="21"/>
        </w:rPr>
        <w:t>charging </w:t>
      </w:r>
      <w:r>
        <w:rPr>
          <w:sz w:val="21"/>
        </w:rPr>
        <w:t>clauses </w:t>
      </w:r>
      <w:r>
        <w:rPr>
          <w:spacing w:val="-3"/>
          <w:sz w:val="21"/>
        </w:rPr>
        <w:t>complies </w:t>
      </w:r>
      <w:r>
        <w:rPr>
          <w:sz w:val="21"/>
        </w:rPr>
        <w:t>with their fiduciary duty </w:t>
      </w:r>
      <w:r>
        <w:rPr>
          <w:spacing w:val="-3"/>
          <w:sz w:val="21"/>
        </w:rPr>
        <w:t>to </w:t>
      </w:r>
      <w:r>
        <w:rPr>
          <w:sz w:val="21"/>
        </w:rPr>
        <w:t>obtain the </w:t>
      </w:r>
      <w:r>
        <w:rPr>
          <w:spacing w:val="-3"/>
          <w:sz w:val="21"/>
        </w:rPr>
        <w:t>will-maker’s informed</w:t>
      </w:r>
      <w:r>
        <w:rPr>
          <w:spacing w:val="40"/>
          <w:sz w:val="21"/>
        </w:rPr>
        <w:t> </w:t>
      </w:r>
      <w:r>
        <w:rPr>
          <w:spacing w:val="-3"/>
          <w:sz w:val="21"/>
        </w:rPr>
        <w:t>consent.</w:t>
      </w:r>
    </w:p>
    <w:p>
      <w:pPr>
        <w:pStyle w:val="BodyText"/>
        <w:spacing w:before="8"/>
        <w:rPr>
          <w:sz w:val="5"/>
        </w:rPr>
      </w:pPr>
    </w:p>
    <w:p>
      <w:pPr>
        <w:spacing w:after="0"/>
        <w:rPr>
          <w:sz w:val="5"/>
        </w:rPr>
        <w:sectPr>
          <w:pgSz w:w="11910" w:h="16840"/>
          <w:pgMar w:header="805" w:footer="0" w:top="1360" w:bottom="280" w:left="0" w:right="0"/>
        </w:sectPr>
      </w:pPr>
    </w:p>
    <w:p>
      <w:pPr>
        <w:pStyle w:val="ListParagraph"/>
        <w:numPr>
          <w:ilvl w:val="0"/>
          <w:numId w:val="115"/>
        </w:numPr>
        <w:tabs>
          <w:tab w:pos="2381" w:val="left" w:leader="none"/>
          <w:tab w:pos="2382" w:val="left" w:leader="none"/>
        </w:tabs>
        <w:spacing w:line="240" w:lineRule="auto" w:before="48" w:after="0"/>
        <w:ind w:left="2381" w:right="0" w:hanging="794"/>
        <w:jc w:val="left"/>
        <w:rPr>
          <w:sz w:val="13"/>
        </w:rPr>
      </w:pPr>
      <w:r>
        <w:rPr>
          <w:sz w:val="13"/>
        </w:rPr>
        <w:t>Submission 32 </w:t>
      </w:r>
      <w:r>
        <w:rPr>
          <w:spacing w:val="2"/>
          <w:sz w:val="13"/>
        </w:rPr>
        <w:t>(The </w:t>
      </w:r>
      <w:r>
        <w:rPr>
          <w:sz w:val="13"/>
        </w:rPr>
        <w:t>Institute of Legal</w:t>
      </w:r>
      <w:r>
        <w:rPr>
          <w:spacing w:val="9"/>
          <w:sz w:val="13"/>
        </w:rPr>
        <w:t> </w:t>
      </w:r>
      <w:r>
        <w:rPr>
          <w:sz w:val="13"/>
        </w:rPr>
        <w:t>Executives).</w:t>
      </w:r>
    </w:p>
    <w:p>
      <w:pPr>
        <w:pStyle w:val="ListParagraph"/>
        <w:numPr>
          <w:ilvl w:val="0"/>
          <w:numId w:val="115"/>
        </w:numPr>
        <w:tabs>
          <w:tab w:pos="2381" w:val="left" w:leader="none"/>
          <w:tab w:pos="2382" w:val="left" w:leader="none"/>
        </w:tabs>
        <w:spacing w:line="240" w:lineRule="auto" w:before="1" w:after="0"/>
        <w:ind w:left="2381" w:right="0" w:hanging="794"/>
        <w:jc w:val="left"/>
        <w:rPr>
          <w:sz w:val="13"/>
        </w:rPr>
      </w:pPr>
      <w:r>
        <w:rPr>
          <w:w w:val="105"/>
          <w:sz w:val="13"/>
        </w:rPr>
        <w:t>Submission 22 (Paul</w:t>
      </w:r>
      <w:r>
        <w:rPr>
          <w:spacing w:val="13"/>
          <w:w w:val="105"/>
          <w:sz w:val="13"/>
        </w:rPr>
        <w:t> </w:t>
      </w:r>
      <w:r>
        <w:rPr>
          <w:w w:val="105"/>
          <w:sz w:val="13"/>
        </w:rPr>
        <w:t>Bravender-Coyle).</w:t>
      </w:r>
    </w:p>
    <w:p>
      <w:pPr>
        <w:pStyle w:val="ListParagraph"/>
        <w:numPr>
          <w:ilvl w:val="0"/>
          <w:numId w:val="115"/>
        </w:numPr>
        <w:tabs>
          <w:tab w:pos="2381" w:val="left" w:leader="none"/>
          <w:tab w:pos="2382" w:val="left" w:leader="none"/>
        </w:tabs>
        <w:spacing w:line="240" w:lineRule="auto" w:before="2" w:after="0"/>
        <w:ind w:left="2381" w:right="0" w:hanging="794"/>
        <w:jc w:val="left"/>
        <w:rPr>
          <w:sz w:val="13"/>
        </w:rPr>
      </w:pPr>
      <w:r>
        <w:rPr>
          <w:w w:val="105"/>
          <w:sz w:val="13"/>
        </w:rPr>
        <w:t>Submission 30a </w:t>
      </w:r>
      <w:r>
        <w:rPr>
          <w:spacing w:val="3"/>
          <w:w w:val="105"/>
          <w:sz w:val="13"/>
        </w:rPr>
        <w:t>(Law </w:t>
      </w:r>
      <w:r>
        <w:rPr>
          <w:w w:val="105"/>
          <w:sz w:val="13"/>
        </w:rPr>
        <w:t>Institute of</w:t>
      </w:r>
      <w:r>
        <w:rPr>
          <w:spacing w:val="19"/>
          <w:w w:val="105"/>
          <w:sz w:val="13"/>
        </w:rPr>
        <w:t> </w:t>
      </w:r>
      <w:r>
        <w:rPr>
          <w:spacing w:val="2"/>
          <w:w w:val="105"/>
          <w:sz w:val="13"/>
        </w:rPr>
        <w:t>Victoria).</w:t>
      </w:r>
    </w:p>
    <w:p>
      <w:pPr>
        <w:pStyle w:val="ListParagraph"/>
        <w:numPr>
          <w:ilvl w:val="0"/>
          <w:numId w:val="115"/>
        </w:numPr>
        <w:tabs>
          <w:tab w:pos="2381" w:val="left" w:leader="none"/>
          <w:tab w:pos="2382" w:val="left" w:leader="none"/>
        </w:tabs>
        <w:spacing w:line="240" w:lineRule="auto" w:before="1" w:after="0"/>
        <w:ind w:left="2381" w:right="0" w:hanging="794"/>
        <w:jc w:val="left"/>
        <w:rPr>
          <w:sz w:val="13"/>
        </w:rPr>
      </w:pPr>
      <w:r>
        <w:rPr>
          <w:spacing w:val="-3"/>
          <w:w w:val="105"/>
          <w:sz w:val="13"/>
        </w:rPr>
        <w:t>[2011]</w:t>
      </w:r>
      <w:r>
        <w:rPr>
          <w:spacing w:val="5"/>
          <w:w w:val="105"/>
          <w:sz w:val="13"/>
        </w:rPr>
        <w:t> </w:t>
      </w:r>
      <w:r>
        <w:rPr>
          <w:w w:val="105"/>
          <w:sz w:val="13"/>
        </w:rPr>
        <w:t>VSC</w:t>
      </w:r>
      <w:r>
        <w:rPr>
          <w:spacing w:val="6"/>
          <w:w w:val="105"/>
          <w:sz w:val="13"/>
        </w:rPr>
        <w:t> </w:t>
      </w:r>
      <w:r>
        <w:rPr>
          <w:w w:val="105"/>
          <w:sz w:val="13"/>
        </w:rPr>
        <w:t>368</w:t>
      </w:r>
      <w:r>
        <w:rPr>
          <w:spacing w:val="6"/>
          <w:w w:val="105"/>
          <w:sz w:val="13"/>
        </w:rPr>
        <w:t> </w:t>
      </w:r>
      <w:r>
        <w:rPr>
          <w:spacing w:val="-2"/>
          <w:w w:val="105"/>
          <w:sz w:val="13"/>
        </w:rPr>
        <w:t>(10</w:t>
      </w:r>
      <w:r>
        <w:rPr>
          <w:spacing w:val="6"/>
          <w:w w:val="105"/>
          <w:sz w:val="13"/>
        </w:rPr>
        <w:t> </w:t>
      </w:r>
      <w:r>
        <w:rPr>
          <w:w w:val="105"/>
          <w:sz w:val="13"/>
        </w:rPr>
        <w:t>August</w:t>
      </w:r>
      <w:r>
        <w:rPr>
          <w:spacing w:val="6"/>
          <w:w w:val="105"/>
          <w:sz w:val="13"/>
        </w:rPr>
        <w:t> </w:t>
      </w:r>
      <w:r>
        <w:rPr>
          <w:spacing w:val="-2"/>
          <w:w w:val="105"/>
          <w:sz w:val="13"/>
        </w:rPr>
        <w:t>2011),</w:t>
      </w:r>
      <w:r>
        <w:rPr>
          <w:spacing w:val="6"/>
          <w:w w:val="105"/>
          <w:sz w:val="13"/>
        </w:rPr>
        <w:t> </w:t>
      </w:r>
      <w:r>
        <w:rPr>
          <w:w w:val="105"/>
          <w:sz w:val="13"/>
        </w:rPr>
        <w:t>discussed</w:t>
      </w:r>
      <w:r>
        <w:rPr>
          <w:spacing w:val="6"/>
          <w:w w:val="105"/>
          <w:sz w:val="13"/>
        </w:rPr>
        <w:t> </w:t>
      </w:r>
      <w:r>
        <w:rPr>
          <w:w w:val="105"/>
          <w:sz w:val="13"/>
        </w:rPr>
        <w:t>in</w:t>
      </w:r>
      <w:r>
        <w:rPr>
          <w:spacing w:val="6"/>
          <w:w w:val="105"/>
          <w:sz w:val="13"/>
        </w:rPr>
        <w:t> </w:t>
      </w:r>
      <w:r>
        <w:rPr>
          <w:w w:val="105"/>
          <w:sz w:val="13"/>
        </w:rPr>
        <w:t>Victorian</w:t>
      </w:r>
      <w:r>
        <w:rPr>
          <w:spacing w:val="6"/>
          <w:w w:val="105"/>
          <w:sz w:val="13"/>
        </w:rPr>
        <w:t> </w:t>
      </w:r>
      <w:r>
        <w:rPr>
          <w:w w:val="105"/>
          <w:sz w:val="13"/>
        </w:rPr>
        <w:t>Law</w:t>
      </w:r>
      <w:r>
        <w:rPr>
          <w:spacing w:val="6"/>
          <w:w w:val="105"/>
          <w:sz w:val="13"/>
        </w:rPr>
        <w:t> </w:t>
      </w:r>
      <w:r>
        <w:rPr>
          <w:w w:val="105"/>
          <w:sz w:val="13"/>
        </w:rPr>
        <w:t>Reform</w:t>
      </w:r>
      <w:r>
        <w:rPr>
          <w:spacing w:val="6"/>
          <w:w w:val="105"/>
          <w:sz w:val="13"/>
        </w:rPr>
        <w:t> </w:t>
      </w:r>
      <w:r>
        <w:rPr>
          <w:w w:val="105"/>
          <w:sz w:val="13"/>
        </w:rPr>
        <w:t>Commission,</w:t>
      </w:r>
      <w:r>
        <w:rPr>
          <w:spacing w:val="6"/>
          <w:w w:val="105"/>
          <w:sz w:val="13"/>
        </w:rPr>
        <w:t> </w:t>
      </w:r>
      <w:r>
        <w:rPr>
          <w:w w:val="105"/>
          <w:sz w:val="13"/>
        </w:rPr>
        <w:t>above</w:t>
      </w:r>
      <w:r>
        <w:rPr>
          <w:spacing w:val="6"/>
          <w:w w:val="105"/>
          <w:sz w:val="13"/>
        </w:rPr>
        <w:t> </w:t>
      </w:r>
      <w:r>
        <w:rPr>
          <w:w w:val="105"/>
          <w:sz w:val="13"/>
        </w:rPr>
        <w:t>n</w:t>
      </w:r>
      <w:r>
        <w:rPr>
          <w:spacing w:val="6"/>
          <w:w w:val="105"/>
          <w:sz w:val="13"/>
        </w:rPr>
        <w:t> </w:t>
      </w:r>
      <w:r>
        <w:rPr>
          <w:w w:val="105"/>
          <w:sz w:val="13"/>
        </w:rPr>
        <w:t>33,</w:t>
      </w:r>
      <w:r>
        <w:rPr>
          <w:spacing w:val="6"/>
          <w:w w:val="105"/>
          <w:sz w:val="13"/>
        </w:rPr>
        <w:t> </w:t>
      </w:r>
      <w:r>
        <w:rPr>
          <w:w w:val="105"/>
          <w:sz w:val="13"/>
        </w:rPr>
        <w:t>20.</w:t>
      </w:r>
    </w:p>
    <w:p>
      <w:pPr>
        <w:pStyle w:val="ListParagraph"/>
        <w:numPr>
          <w:ilvl w:val="0"/>
          <w:numId w:val="115"/>
        </w:numPr>
        <w:tabs>
          <w:tab w:pos="2381" w:val="left" w:leader="none"/>
          <w:tab w:pos="2382" w:val="left" w:leader="none"/>
        </w:tabs>
        <w:spacing w:line="240" w:lineRule="auto" w:before="1" w:after="0"/>
        <w:ind w:left="2381" w:right="0" w:hanging="794"/>
        <w:jc w:val="left"/>
        <w:rPr>
          <w:sz w:val="13"/>
        </w:rPr>
      </w:pPr>
      <w:r>
        <w:rPr>
          <w:i/>
          <w:w w:val="105"/>
          <w:sz w:val="13"/>
        </w:rPr>
        <w:t>Szmulewicz v Recht </w:t>
      </w:r>
      <w:r>
        <w:rPr>
          <w:spacing w:val="-3"/>
          <w:w w:val="105"/>
          <w:sz w:val="13"/>
        </w:rPr>
        <w:t>[2011] </w:t>
      </w:r>
      <w:r>
        <w:rPr>
          <w:w w:val="105"/>
          <w:sz w:val="13"/>
        </w:rPr>
        <w:t>VSC 368 </w:t>
      </w:r>
      <w:r>
        <w:rPr>
          <w:spacing w:val="-2"/>
          <w:w w:val="105"/>
          <w:sz w:val="13"/>
        </w:rPr>
        <w:t>(10 </w:t>
      </w:r>
      <w:r>
        <w:rPr>
          <w:w w:val="105"/>
          <w:sz w:val="13"/>
        </w:rPr>
        <w:t>August </w:t>
      </w:r>
      <w:r>
        <w:rPr>
          <w:spacing w:val="-4"/>
          <w:w w:val="105"/>
          <w:sz w:val="13"/>
        </w:rPr>
        <w:t>2011) </w:t>
      </w:r>
      <w:r>
        <w:rPr>
          <w:spacing w:val="2"/>
          <w:w w:val="105"/>
          <w:sz w:val="13"/>
        </w:rPr>
        <w:t>[43]. </w:t>
      </w:r>
      <w:r>
        <w:rPr>
          <w:w w:val="105"/>
          <w:sz w:val="13"/>
        </w:rPr>
        <w:t>The legal practitioner in </w:t>
      </w:r>
      <w:r>
        <w:rPr>
          <w:i/>
          <w:w w:val="105"/>
          <w:sz w:val="13"/>
        </w:rPr>
        <w:t>Szmulewicz </w:t>
      </w:r>
      <w:r>
        <w:rPr>
          <w:w w:val="105"/>
          <w:sz w:val="13"/>
        </w:rPr>
        <w:t>was unaware of the existence of rule 10. However</w:t>
      </w:r>
      <w:r>
        <w:rPr>
          <w:spacing w:val="4"/>
          <w:w w:val="105"/>
          <w:sz w:val="13"/>
        </w:rPr>
        <w:t> </w:t>
      </w:r>
      <w:r>
        <w:rPr>
          <w:w w:val="105"/>
          <w:sz w:val="13"/>
        </w:rPr>
        <w:t>as</w:t>
      </w:r>
      <w:r>
        <w:rPr>
          <w:spacing w:val="5"/>
          <w:w w:val="105"/>
          <w:sz w:val="13"/>
        </w:rPr>
        <w:t> </w:t>
      </w:r>
      <w:r>
        <w:rPr>
          <w:w w:val="105"/>
          <w:sz w:val="13"/>
        </w:rPr>
        <w:t>compliance</w:t>
      </w:r>
      <w:r>
        <w:rPr>
          <w:spacing w:val="5"/>
          <w:w w:val="105"/>
          <w:sz w:val="13"/>
        </w:rPr>
        <w:t> </w:t>
      </w:r>
      <w:r>
        <w:rPr>
          <w:w w:val="105"/>
          <w:sz w:val="13"/>
        </w:rPr>
        <w:t>with</w:t>
      </w:r>
      <w:r>
        <w:rPr>
          <w:spacing w:val="5"/>
          <w:w w:val="105"/>
          <w:sz w:val="13"/>
        </w:rPr>
        <w:t> </w:t>
      </w:r>
      <w:r>
        <w:rPr>
          <w:w w:val="105"/>
          <w:sz w:val="13"/>
        </w:rPr>
        <w:t>professional</w:t>
      </w:r>
      <w:r>
        <w:rPr>
          <w:spacing w:val="5"/>
          <w:w w:val="105"/>
          <w:sz w:val="13"/>
        </w:rPr>
        <w:t> </w:t>
      </w:r>
      <w:r>
        <w:rPr>
          <w:w w:val="105"/>
          <w:sz w:val="13"/>
        </w:rPr>
        <w:t>rules</w:t>
      </w:r>
      <w:r>
        <w:rPr>
          <w:spacing w:val="4"/>
          <w:w w:val="105"/>
          <w:sz w:val="13"/>
        </w:rPr>
        <w:t> </w:t>
      </w:r>
      <w:r>
        <w:rPr>
          <w:w w:val="105"/>
          <w:sz w:val="13"/>
        </w:rPr>
        <w:t>does</w:t>
      </w:r>
      <w:r>
        <w:rPr>
          <w:spacing w:val="5"/>
          <w:w w:val="105"/>
          <w:sz w:val="13"/>
        </w:rPr>
        <w:t> </w:t>
      </w:r>
      <w:r>
        <w:rPr>
          <w:w w:val="105"/>
          <w:sz w:val="13"/>
        </w:rPr>
        <w:t>not</w:t>
      </w:r>
      <w:r>
        <w:rPr>
          <w:spacing w:val="5"/>
          <w:w w:val="105"/>
          <w:sz w:val="13"/>
        </w:rPr>
        <w:t> </w:t>
      </w:r>
      <w:r>
        <w:rPr>
          <w:w w:val="105"/>
          <w:sz w:val="13"/>
        </w:rPr>
        <w:t>necessarily</w:t>
      </w:r>
      <w:r>
        <w:rPr>
          <w:spacing w:val="5"/>
          <w:w w:val="105"/>
          <w:sz w:val="13"/>
        </w:rPr>
        <w:t> </w:t>
      </w:r>
      <w:r>
        <w:rPr>
          <w:w w:val="105"/>
          <w:sz w:val="13"/>
        </w:rPr>
        <w:t>satisfy</w:t>
      </w:r>
      <w:r>
        <w:rPr>
          <w:spacing w:val="5"/>
          <w:w w:val="105"/>
          <w:sz w:val="13"/>
        </w:rPr>
        <w:t> </w:t>
      </w:r>
      <w:r>
        <w:rPr>
          <w:w w:val="105"/>
          <w:sz w:val="13"/>
        </w:rPr>
        <w:t>the</w:t>
      </w:r>
      <w:r>
        <w:rPr>
          <w:spacing w:val="5"/>
          <w:w w:val="105"/>
          <w:sz w:val="13"/>
        </w:rPr>
        <w:t> </w:t>
      </w:r>
      <w:r>
        <w:rPr>
          <w:w w:val="105"/>
          <w:sz w:val="13"/>
        </w:rPr>
        <w:t>fiduciary</w:t>
      </w:r>
      <w:r>
        <w:rPr>
          <w:spacing w:val="4"/>
          <w:w w:val="105"/>
          <w:sz w:val="13"/>
        </w:rPr>
        <w:t> </w:t>
      </w:r>
      <w:r>
        <w:rPr>
          <w:w w:val="105"/>
          <w:sz w:val="13"/>
        </w:rPr>
        <w:t>obligations</w:t>
      </w:r>
      <w:r>
        <w:rPr>
          <w:spacing w:val="5"/>
          <w:w w:val="105"/>
          <w:sz w:val="13"/>
        </w:rPr>
        <w:t> </w:t>
      </w:r>
      <w:r>
        <w:rPr>
          <w:w w:val="105"/>
          <w:sz w:val="13"/>
        </w:rPr>
        <w:t>of</w:t>
      </w:r>
      <w:r>
        <w:rPr>
          <w:spacing w:val="5"/>
          <w:w w:val="105"/>
          <w:sz w:val="13"/>
        </w:rPr>
        <w:t> </w:t>
      </w:r>
      <w:r>
        <w:rPr>
          <w:w w:val="105"/>
          <w:sz w:val="13"/>
        </w:rPr>
        <w:t>a</w:t>
      </w:r>
      <w:r>
        <w:rPr>
          <w:spacing w:val="5"/>
          <w:w w:val="105"/>
          <w:sz w:val="13"/>
        </w:rPr>
        <w:t> </w:t>
      </w:r>
      <w:r>
        <w:rPr>
          <w:w w:val="105"/>
          <w:sz w:val="13"/>
        </w:rPr>
        <w:t>legal</w:t>
      </w:r>
      <w:r>
        <w:rPr>
          <w:spacing w:val="5"/>
          <w:w w:val="105"/>
          <w:sz w:val="13"/>
        </w:rPr>
        <w:t> </w:t>
      </w:r>
      <w:r>
        <w:rPr>
          <w:w w:val="105"/>
          <w:sz w:val="13"/>
        </w:rPr>
        <w:t>practitioner</w:t>
      </w:r>
      <w:r>
        <w:rPr>
          <w:spacing w:val="5"/>
          <w:w w:val="105"/>
          <w:sz w:val="13"/>
        </w:rPr>
        <w:t> </w:t>
      </w:r>
      <w:r>
        <w:rPr>
          <w:w w:val="105"/>
          <w:sz w:val="13"/>
        </w:rPr>
        <w:t>to</w:t>
      </w:r>
      <w:r>
        <w:rPr>
          <w:spacing w:val="4"/>
          <w:w w:val="105"/>
          <w:sz w:val="13"/>
        </w:rPr>
        <w:t> </w:t>
      </w:r>
      <w:r>
        <w:rPr>
          <w:w w:val="105"/>
          <w:sz w:val="13"/>
        </w:rPr>
        <w:t>a</w:t>
      </w:r>
      <w:r>
        <w:rPr>
          <w:spacing w:val="5"/>
          <w:w w:val="105"/>
          <w:sz w:val="13"/>
        </w:rPr>
        <w:t> </w:t>
      </w:r>
      <w:r>
        <w:rPr>
          <w:w w:val="105"/>
          <w:sz w:val="13"/>
        </w:rPr>
        <w:t>client,</w:t>
      </w:r>
    </w:p>
    <w:p>
      <w:pPr>
        <w:spacing w:before="3"/>
        <w:ind w:left="2381" w:right="0" w:firstLine="0"/>
        <w:jc w:val="left"/>
        <w:rPr>
          <w:sz w:val="13"/>
        </w:rPr>
      </w:pPr>
      <w:r>
        <w:rPr>
          <w:sz w:val="13"/>
        </w:rPr>
        <w:t>the decision in </w:t>
      </w:r>
      <w:r>
        <w:rPr>
          <w:i/>
          <w:sz w:val="13"/>
        </w:rPr>
        <w:t>Szmulewicz </w:t>
      </w:r>
      <w:r>
        <w:rPr>
          <w:sz w:val="13"/>
        </w:rPr>
        <w:t>did not turn on whether the legal practitioner complied with rule 10: see [39]–[40].</w:t>
      </w:r>
    </w:p>
    <w:p>
      <w:pPr>
        <w:pStyle w:val="ListParagraph"/>
        <w:numPr>
          <w:ilvl w:val="0"/>
          <w:numId w:val="115"/>
        </w:numPr>
        <w:tabs>
          <w:tab w:pos="2381" w:val="left" w:leader="none"/>
          <w:tab w:pos="2382" w:val="left" w:leader="none"/>
        </w:tabs>
        <w:spacing w:line="240" w:lineRule="auto" w:before="1" w:after="0"/>
        <w:ind w:left="2381" w:right="785" w:hanging="794"/>
        <w:jc w:val="left"/>
        <w:rPr>
          <w:sz w:val="13"/>
        </w:rPr>
      </w:pPr>
      <w:r>
        <w:rPr>
          <w:w w:val="105"/>
          <w:sz w:val="13"/>
        </w:rPr>
        <w:t>Law Society of New South Wales, </w:t>
      </w:r>
      <w:r>
        <w:rPr>
          <w:i/>
          <w:w w:val="105"/>
          <w:sz w:val="13"/>
        </w:rPr>
        <w:t>Professional Conduct and Practice Rules: Legal Profession Act 1987 </w:t>
      </w:r>
      <w:r>
        <w:rPr>
          <w:spacing w:val="-2"/>
          <w:w w:val="105"/>
          <w:sz w:val="13"/>
        </w:rPr>
        <w:t>(10 </w:t>
      </w:r>
      <w:r>
        <w:rPr>
          <w:w w:val="105"/>
          <w:sz w:val="13"/>
        </w:rPr>
        <w:t>June 1994) r </w:t>
      </w:r>
      <w:r>
        <w:rPr>
          <w:spacing w:val="-6"/>
          <w:w w:val="105"/>
          <w:sz w:val="13"/>
        </w:rPr>
        <w:t>11.1; </w:t>
      </w:r>
      <w:r>
        <w:rPr>
          <w:w w:val="105"/>
          <w:sz w:val="13"/>
        </w:rPr>
        <w:t>Law Council of Australia, </w:t>
      </w:r>
      <w:r>
        <w:rPr>
          <w:i/>
          <w:w w:val="105"/>
          <w:sz w:val="13"/>
        </w:rPr>
        <w:t>Australian Solicitors’ Conduct Rules </w:t>
      </w:r>
      <w:r>
        <w:rPr>
          <w:w w:val="105"/>
          <w:sz w:val="13"/>
        </w:rPr>
        <w:t>(June </w:t>
      </w:r>
      <w:r>
        <w:rPr>
          <w:spacing w:val="-4"/>
          <w:w w:val="105"/>
          <w:sz w:val="13"/>
        </w:rPr>
        <w:t>2011) </w:t>
      </w:r>
      <w:r>
        <w:rPr>
          <w:w w:val="105"/>
          <w:sz w:val="13"/>
        </w:rPr>
        <w:t>r</w:t>
      </w:r>
      <w:r>
        <w:rPr>
          <w:spacing w:val="2"/>
          <w:w w:val="105"/>
          <w:sz w:val="13"/>
        </w:rPr>
        <w:t> </w:t>
      </w:r>
      <w:r>
        <w:rPr>
          <w:spacing w:val="-3"/>
          <w:w w:val="105"/>
          <w:sz w:val="13"/>
        </w:rPr>
        <w:t>12.4.1.</w:t>
      </w:r>
    </w:p>
    <w:p>
      <w:pPr>
        <w:pStyle w:val="BodyText"/>
        <w:rPr>
          <w:sz w:val="28"/>
        </w:rPr>
      </w:pPr>
      <w:r>
        <w:rPr/>
        <w:br w:type="column"/>
      </w:r>
      <w:r>
        <w:rPr>
          <w:sz w:val="28"/>
        </w:rPr>
      </w:r>
    </w:p>
    <w:p>
      <w:pPr>
        <w:pStyle w:val="BodyText"/>
        <w:rPr>
          <w:sz w:val="28"/>
        </w:rPr>
      </w:pPr>
    </w:p>
    <w:p>
      <w:pPr>
        <w:pStyle w:val="BodyText"/>
        <w:rPr>
          <w:sz w:val="28"/>
        </w:rPr>
      </w:pPr>
    </w:p>
    <w:p>
      <w:pPr>
        <w:spacing w:before="198"/>
        <w:ind w:left="746" w:right="575" w:firstLine="0"/>
        <w:jc w:val="center"/>
        <w:rPr>
          <w:b/>
          <w:sz w:val="24"/>
        </w:rPr>
      </w:pPr>
      <w:r>
        <w:rPr>
          <w:b/>
          <w:color w:val="EC5A4F"/>
          <w:w w:val="110"/>
          <w:sz w:val="24"/>
        </w:rPr>
        <w:t>147</w:t>
      </w:r>
    </w:p>
    <w:p>
      <w:pPr>
        <w:spacing w:after="0"/>
        <w:jc w:val="center"/>
        <w:rPr>
          <w:sz w:val="24"/>
        </w:rPr>
        <w:sectPr>
          <w:type w:val="continuous"/>
          <w:pgSz w:w="11910" w:h="16840"/>
          <w:pgMar w:top="920" w:bottom="280" w:left="0" w:right="0"/>
          <w:cols w:num="2" w:equalWidth="0">
            <w:col w:w="10107" w:space="40"/>
            <w:col w:w="1763"/>
          </w:cols>
        </w:sectPr>
      </w:pPr>
    </w:p>
    <w:p>
      <w:pPr>
        <w:pStyle w:val="BodyText"/>
        <w:rPr>
          <w:b/>
          <w:sz w:val="20"/>
        </w:rPr>
      </w:pPr>
    </w:p>
    <w:p>
      <w:pPr>
        <w:pStyle w:val="BodyText"/>
        <w:spacing w:before="9"/>
        <w:rPr>
          <w:b/>
          <w:sz w:val="13"/>
        </w:rPr>
      </w:pPr>
    </w:p>
    <w:p>
      <w:pPr>
        <w:pStyle w:val="BodyText"/>
        <w:ind w:left="1222"/>
        <w:rPr>
          <w:sz w:val="20"/>
        </w:rPr>
      </w:pPr>
      <w:r>
        <w:rPr>
          <w:sz w:val="20"/>
        </w:rPr>
        <w:pict>
          <v:group style="width:479.1pt;height:122.55pt;mso-position-horizontal-relative:char;mso-position-vertical-relative:line" coordorigin="0,0" coordsize="9582,2451">
            <v:rect style="position:absolute;left:340;top:0;width:8731;height:2451" filled="true" fillcolor="#fdebea" stroked="false">
              <v:fill type="solid"/>
            </v:rect>
            <v:line style="position:absolute" from="0,751" to="9581,751" stroked="true" strokeweight="2.5pt" strokecolor="#ffffff">
              <v:stroke dashstyle="solid"/>
            </v:line>
            <v:shape style="position:absolute;left:1133;top:987;width:7572;height:1289" type="#_x0000_t202" filled="false" stroked="false">
              <v:textbox inset="0,0,0,0">
                <w:txbxContent>
                  <w:p>
                    <w:pPr>
                      <w:spacing w:line="242" w:lineRule="auto" w:before="0"/>
                      <w:ind w:left="0" w:right="18" w:firstLine="0"/>
                      <w:jc w:val="left"/>
                      <w:rPr>
                        <w:sz w:val="21"/>
                      </w:rPr>
                    </w:pPr>
                    <w:r>
                      <w:rPr>
                        <w:w w:val="115"/>
                        <w:sz w:val="21"/>
                      </w:rPr>
                      <w:t>The</w:t>
                    </w:r>
                    <w:r>
                      <w:rPr>
                        <w:spacing w:val="-7"/>
                        <w:w w:val="115"/>
                        <w:sz w:val="21"/>
                      </w:rPr>
                      <w:t> </w:t>
                    </w:r>
                    <w:r>
                      <w:rPr>
                        <w:w w:val="115"/>
                        <w:sz w:val="21"/>
                      </w:rPr>
                      <w:t>Law</w:t>
                    </w:r>
                    <w:r>
                      <w:rPr>
                        <w:spacing w:val="-6"/>
                        <w:w w:val="115"/>
                        <w:sz w:val="21"/>
                      </w:rPr>
                      <w:t> </w:t>
                    </w:r>
                    <w:r>
                      <w:rPr>
                        <w:w w:val="115"/>
                        <w:sz w:val="21"/>
                      </w:rPr>
                      <w:t>Institute</w:t>
                    </w:r>
                    <w:r>
                      <w:rPr>
                        <w:spacing w:val="-6"/>
                        <w:w w:val="115"/>
                        <w:sz w:val="21"/>
                      </w:rPr>
                      <w:t> </w:t>
                    </w:r>
                    <w:r>
                      <w:rPr>
                        <w:w w:val="115"/>
                        <w:sz w:val="21"/>
                      </w:rPr>
                      <w:t>of</w:t>
                    </w:r>
                    <w:r>
                      <w:rPr>
                        <w:spacing w:val="-6"/>
                        <w:w w:val="115"/>
                        <w:sz w:val="21"/>
                      </w:rPr>
                      <w:t> </w:t>
                    </w:r>
                    <w:r>
                      <w:rPr>
                        <w:w w:val="115"/>
                        <w:sz w:val="21"/>
                      </w:rPr>
                      <w:t>Victoria</w:t>
                    </w:r>
                    <w:r>
                      <w:rPr>
                        <w:spacing w:val="-6"/>
                        <w:w w:val="115"/>
                        <w:sz w:val="21"/>
                      </w:rPr>
                      <w:t> </w:t>
                    </w:r>
                    <w:r>
                      <w:rPr>
                        <w:w w:val="115"/>
                        <w:sz w:val="21"/>
                      </w:rPr>
                      <w:t>or</w:t>
                    </w:r>
                    <w:r>
                      <w:rPr>
                        <w:spacing w:val="-6"/>
                        <w:w w:val="115"/>
                        <w:sz w:val="21"/>
                      </w:rPr>
                      <w:t> </w:t>
                    </w:r>
                    <w:r>
                      <w:rPr>
                        <w:w w:val="115"/>
                        <w:sz w:val="21"/>
                      </w:rPr>
                      <w:t>other</w:t>
                    </w:r>
                    <w:r>
                      <w:rPr>
                        <w:spacing w:val="-6"/>
                        <w:w w:val="115"/>
                        <w:sz w:val="21"/>
                      </w:rPr>
                      <w:t> </w:t>
                    </w:r>
                    <w:r>
                      <w:rPr>
                        <w:spacing w:val="-3"/>
                        <w:w w:val="115"/>
                        <w:sz w:val="21"/>
                      </w:rPr>
                      <w:t>relevant</w:t>
                    </w:r>
                    <w:r>
                      <w:rPr>
                        <w:spacing w:val="-6"/>
                        <w:w w:val="115"/>
                        <w:sz w:val="21"/>
                      </w:rPr>
                      <w:t> </w:t>
                    </w:r>
                    <w:r>
                      <w:rPr>
                        <w:w w:val="115"/>
                        <w:sz w:val="21"/>
                      </w:rPr>
                      <w:t>body</w:t>
                    </w:r>
                    <w:r>
                      <w:rPr>
                        <w:spacing w:val="-7"/>
                        <w:w w:val="115"/>
                        <w:sz w:val="21"/>
                      </w:rPr>
                      <w:t> </w:t>
                    </w:r>
                    <w:r>
                      <w:rPr>
                        <w:w w:val="115"/>
                        <w:sz w:val="21"/>
                      </w:rPr>
                      <w:t>should</w:t>
                    </w:r>
                    <w:r>
                      <w:rPr>
                        <w:spacing w:val="-6"/>
                        <w:w w:val="115"/>
                        <w:sz w:val="21"/>
                      </w:rPr>
                      <w:t> </w:t>
                    </w:r>
                    <w:r>
                      <w:rPr>
                        <w:w w:val="115"/>
                        <w:sz w:val="21"/>
                      </w:rPr>
                      <w:t>revise</w:t>
                    </w:r>
                    <w:r>
                      <w:rPr>
                        <w:spacing w:val="-6"/>
                        <w:w w:val="115"/>
                        <w:sz w:val="21"/>
                      </w:rPr>
                      <w:t> </w:t>
                    </w:r>
                    <w:r>
                      <w:rPr>
                        <w:w w:val="115"/>
                        <w:sz w:val="21"/>
                      </w:rPr>
                      <w:t>the</w:t>
                    </w:r>
                    <w:r>
                      <w:rPr>
                        <w:spacing w:val="-6"/>
                        <w:w w:val="115"/>
                        <w:sz w:val="21"/>
                      </w:rPr>
                      <w:t> </w:t>
                    </w:r>
                    <w:r>
                      <w:rPr>
                        <w:w w:val="115"/>
                        <w:sz w:val="21"/>
                      </w:rPr>
                      <w:t>conduct and practice rules that apply to legal practitioners who prepare a </w:t>
                    </w:r>
                    <w:r>
                      <w:rPr>
                        <w:spacing w:val="-3"/>
                        <w:w w:val="115"/>
                        <w:sz w:val="21"/>
                      </w:rPr>
                      <w:t>will </w:t>
                    </w:r>
                    <w:r>
                      <w:rPr>
                        <w:w w:val="115"/>
                        <w:sz w:val="21"/>
                      </w:rPr>
                      <w:t>or other</w:t>
                    </w:r>
                    <w:r>
                      <w:rPr>
                        <w:spacing w:val="-7"/>
                        <w:w w:val="115"/>
                        <w:sz w:val="21"/>
                      </w:rPr>
                      <w:t> </w:t>
                    </w:r>
                    <w:r>
                      <w:rPr>
                        <w:w w:val="115"/>
                        <w:sz w:val="21"/>
                      </w:rPr>
                      <w:t>instrument</w:t>
                    </w:r>
                    <w:r>
                      <w:rPr>
                        <w:spacing w:val="-6"/>
                        <w:w w:val="115"/>
                        <w:sz w:val="21"/>
                      </w:rPr>
                      <w:t> </w:t>
                    </w:r>
                    <w:r>
                      <w:rPr>
                        <w:w w:val="115"/>
                        <w:sz w:val="21"/>
                      </w:rPr>
                      <w:t>under</w:t>
                    </w:r>
                    <w:r>
                      <w:rPr>
                        <w:spacing w:val="-6"/>
                        <w:w w:val="115"/>
                        <w:sz w:val="21"/>
                      </w:rPr>
                      <w:t> </w:t>
                    </w:r>
                    <w:r>
                      <w:rPr>
                        <w:w w:val="115"/>
                        <w:sz w:val="21"/>
                      </w:rPr>
                      <w:t>which</w:t>
                    </w:r>
                    <w:r>
                      <w:rPr>
                        <w:spacing w:val="-6"/>
                        <w:w w:val="115"/>
                        <w:sz w:val="21"/>
                      </w:rPr>
                      <w:t> </w:t>
                    </w:r>
                    <w:r>
                      <w:rPr>
                        <w:w w:val="115"/>
                        <w:sz w:val="21"/>
                      </w:rPr>
                      <w:t>they</w:t>
                    </w:r>
                    <w:r>
                      <w:rPr>
                        <w:spacing w:val="-6"/>
                        <w:w w:val="115"/>
                        <w:sz w:val="21"/>
                      </w:rPr>
                      <w:t> </w:t>
                    </w:r>
                    <w:r>
                      <w:rPr>
                        <w:w w:val="115"/>
                        <w:sz w:val="21"/>
                      </w:rPr>
                      <w:t>receive</w:t>
                    </w:r>
                    <w:r>
                      <w:rPr>
                        <w:spacing w:val="-6"/>
                        <w:w w:val="115"/>
                        <w:sz w:val="21"/>
                      </w:rPr>
                      <w:t> </w:t>
                    </w:r>
                    <w:r>
                      <w:rPr>
                        <w:w w:val="115"/>
                        <w:sz w:val="21"/>
                      </w:rPr>
                      <w:t>a</w:t>
                    </w:r>
                    <w:r>
                      <w:rPr>
                        <w:spacing w:val="-7"/>
                        <w:w w:val="115"/>
                        <w:sz w:val="21"/>
                      </w:rPr>
                      <w:t> </w:t>
                    </w:r>
                    <w:r>
                      <w:rPr>
                        <w:w w:val="115"/>
                        <w:sz w:val="21"/>
                      </w:rPr>
                      <w:t>benefit</w:t>
                    </w:r>
                    <w:r>
                      <w:rPr>
                        <w:spacing w:val="-6"/>
                        <w:w w:val="115"/>
                        <w:sz w:val="21"/>
                      </w:rPr>
                      <w:t> </w:t>
                    </w:r>
                    <w:r>
                      <w:rPr>
                        <w:w w:val="115"/>
                        <w:sz w:val="21"/>
                      </w:rPr>
                      <w:t>to</w:t>
                    </w:r>
                    <w:r>
                      <w:rPr>
                        <w:spacing w:val="-6"/>
                        <w:w w:val="115"/>
                        <w:sz w:val="21"/>
                      </w:rPr>
                      <w:t> </w:t>
                    </w:r>
                    <w:r>
                      <w:rPr>
                        <w:w w:val="115"/>
                        <w:sz w:val="21"/>
                      </w:rPr>
                      <w:t>expressly</w:t>
                    </w:r>
                    <w:r>
                      <w:rPr>
                        <w:spacing w:val="-6"/>
                        <w:w w:val="115"/>
                        <w:sz w:val="21"/>
                      </w:rPr>
                      <w:t> </w:t>
                    </w:r>
                    <w:r>
                      <w:rPr>
                        <w:w w:val="115"/>
                        <w:sz w:val="21"/>
                      </w:rPr>
                      <w:t>require</w:t>
                    </w:r>
                  </w:p>
                  <w:p>
                    <w:pPr>
                      <w:spacing w:line="242" w:lineRule="auto" w:before="0"/>
                      <w:ind w:left="0" w:right="557" w:firstLine="0"/>
                      <w:jc w:val="left"/>
                      <w:rPr>
                        <w:sz w:val="21"/>
                      </w:rPr>
                    </w:pPr>
                    <w:r>
                      <w:rPr>
                        <w:w w:val="115"/>
                        <w:sz w:val="21"/>
                      </w:rPr>
                      <w:t>the practitioner to obtain the client’s informed consent to the payment of the benefit.</w:t>
                    </w:r>
                  </w:p>
                </w:txbxContent>
              </v:textbox>
              <w10:wrap type="none"/>
            </v:shape>
            <v:shape style="position:absolute;left:566;top:987;width:241;height:249" type="#_x0000_t202" filled="false" stroked="false">
              <v:textbox inset="0,0,0,0">
                <w:txbxContent>
                  <w:p>
                    <w:pPr>
                      <w:spacing w:line="249" w:lineRule="exact" w:before="0"/>
                      <w:ind w:left="0" w:right="0" w:firstLine="0"/>
                      <w:jc w:val="left"/>
                      <w:rPr>
                        <w:sz w:val="21"/>
                      </w:rPr>
                    </w:pPr>
                    <w:r>
                      <w:rPr>
                        <w:w w:val="110"/>
                        <w:sz w:val="21"/>
                      </w:rPr>
                      <w:t>51</w:t>
                    </w:r>
                  </w:p>
                </w:txbxContent>
              </v:textbox>
              <w10:wrap type="none"/>
            </v:shape>
            <v:shape style="position:absolute;left:340;top:0;width:8731;height:726" type="#_x0000_t202" filled="true" fillcolor="#fdebea" stroked="false">
              <v:textbox inset="0,0,0,0">
                <w:txbxContent>
                  <w:p>
                    <w:pPr>
                      <w:spacing w:before="166"/>
                      <w:ind w:left="226" w:right="0" w:firstLine="0"/>
                      <w:jc w:val="left"/>
                      <w:rPr>
                        <w:b/>
                        <w:sz w:val="32"/>
                      </w:rPr>
                    </w:pPr>
                    <w:r>
                      <w:rPr>
                        <w:b/>
                        <w:color w:val="EC5A4F"/>
                        <w:w w:val="110"/>
                        <w:sz w:val="32"/>
                      </w:rPr>
                      <w:t>Recommendation</w:t>
                    </w:r>
                  </w:p>
                </w:txbxContent>
              </v:textbox>
              <v:fill type="solid"/>
              <w10:wrap type="none"/>
            </v:shape>
          </v:group>
        </w:pict>
      </w:r>
      <w:r>
        <w:rPr>
          <w:sz w:val="20"/>
        </w:rPr>
      </w:r>
    </w:p>
    <w:p>
      <w:pPr>
        <w:pStyle w:val="BodyText"/>
        <w:spacing w:before="1"/>
        <w:rPr>
          <w:b/>
          <w:sz w:val="12"/>
        </w:rPr>
      </w:pPr>
    </w:p>
    <w:p>
      <w:pPr>
        <w:pStyle w:val="Heading6"/>
        <w:spacing w:before="100"/>
      </w:pPr>
      <w:r>
        <w:rPr>
          <w:color w:val="6D6E71"/>
          <w:w w:val="115"/>
        </w:rPr>
        <w:t>Incorporating a new rule on informed consent into legislation</w:t>
      </w:r>
    </w:p>
    <w:p>
      <w:pPr>
        <w:pStyle w:val="ListParagraph"/>
        <w:numPr>
          <w:ilvl w:val="1"/>
          <w:numId w:val="22"/>
        </w:numPr>
        <w:tabs>
          <w:tab w:pos="2380" w:val="left" w:leader="none"/>
          <w:tab w:pos="2381" w:val="left" w:leader="none"/>
        </w:tabs>
        <w:spacing w:line="242" w:lineRule="auto" w:before="151" w:after="0"/>
        <w:ind w:left="2381" w:right="1774" w:hanging="794"/>
        <w:jc w:val="left"/>
        <w:rPr>
          <w:sz w:val="21"/>
        </w:rPr>
      </w:pPr>
      <w:r>
        <w:rPr>
          <w:sz w:val="21"/>
        </w:rPr>
        <w:t>Rather </w:t>
      </w:r>
      <w:r>
        <w:rPr>
          <w:spacing w:val="-3"/>
          <w:sz w:val="21"/>
        </w:rPr>
        <w:t>than </w:t>
      </w:r>
      <w:r>
        <w:rPr>
          <w:sz w:val="21"/>
        </w:rPr>
        <w:t>giving rule </w:t>
      </w:r>
      <w:r>
        <w:rPr>
          <w:spacing w:val="-9"/>
          <w:sz w:val="21"/>
        </w:rPr>
        <w:t>10.1 </w:t>
      </w:r>
      <w:r>
        <w:rPr>
          <w:sz w:val="21"/>
        </w:rPr>
        <w:t>in its </w:t>
      </w:r>
      <w:r>
        <w:rPr>
          <w:spacing w:val="-3"/>
          <w:sz w:val="21"/>
        </w:rPr>
        <w:t>current  form  </w:t>
      </w:r>
      <w:r>
        <w:rPr>
          <w:sz w:val="21"/>
        </w:rPr>
        <w:t>statutory </w:t>
      </w:r>
      <w:r>
        <w:rPr>
          <w:spacing w:val="-4"/>
          <w:sz w:val="21"/>
        </w:rPr>
        <w:t>force,  </w:t>
      </w:r>
      <w:r>
        <w:rPr>
          <w:sz w:val="21"/>
        </w:rPr>
        <w:t>a modified version </w:t>
      </w:r>
      <w:r>
        <w:rPr>
          <w:spacing w:val="-3"/>
          <w:sz w:val="21"/>
        </w:rPr>
        <w:t>could  </w:t>
      </w:r>
      <w:r>
        <w:rPr>
          <w:sz w:val="21"/>
        </w:rPr>
        <w:t>be </w:t>
      </w:r>
      <w:r>
        <w:rPr>
          <w:spacing w:val="-3"/>
          <w:sz w:val="21"/>
        </w:rPr>
        <w:t>incorporated </w:t>
      </w:r>
      <w:r>
        <w:rPr>
          <w:spacing w:val="-4"/>
          <w:sz w:val="21"/>
        </w:rPr>
        <w:t>into </w:t>
      </w:r>
      <w:r>
        <w:rPr>
          <w:spacing w:val="-3"/>
          <w:sz w:val="21"/>
        </w:rPr>
        <w:t>legislation. </w:t>
      </w:r>
      <w:r>
        <w:rPr>
          <w:sz w:val="21"/>
        </w:rPr>
        <w:t>It </w:t>
      </w:r>
      <w:r>
        <w:rPr>
          <w:spacing w:val="-3"/>
          <w:sz w:val="21"/>
        </w:rPr>
        <w:t>could </w:t>
      </w:r>
      <w:r>
        <w:rPr>
          <w:sz w:val="21"/>
        </w:rPr>
        <w:t>explicitly </w:t>
      </w:r>
      <w:r>
        <w:rPr>
          <w:spacing w:val="-3"/>
          <w:sz w:val="21"/>
        </w:rPr>
        <w:t>require  </w:t>
      </w:r>
      <w:r>
        <w:rPr>
          <w:sz w:val="21"/>
        </w:rPr>
        <w:t>the  </w:t>
      </w:r>
      <w:r>
        <w:rPr>
          <w:spacing w:val="-3"/>
          <w:sz w:val="21"/>
        </w:rPr>
        <w:t>will-maker’s  informed consent to  any  commission  </w:t>
      </w:r>
      <w:r>
        <w:rPr>
          <w:sz w:val="21"/>
        </w:rPr>
        <w:t>or </w:t>
      </w:r>
      <w:r>
        <w:rPr>
          <w:spacing w:val="-3"/>
          <w:sz w:val="21"/>
        </w:rPr>
        <w:t>charging</w:t>
      </w:r>
      <w:r>
        <w:rPr>
          <w:spacing w:val="41"/>
          <w:sz w:val="21"/>
        </w:rPr>
        <w:t> </w:t>
      </w:r>
      <w:r>
        <w:rPr>
          <w:sz w:val="21"/>
        </w:rPr>
        <w:t>clauses </w:t>
      </w:r>
      <w:r>
        <w:rPr>
          <w:spacing w:val="-3"/>
          <w:sz w:val="21"/>
        </w:rPr>
        <w:t>that  </w:t>
      </w:r>
      <w:r>
        <w:rPr>
          <w:sz w:val="21"/>
        </w:rPr>
        <w:t>benefit the drafter of the </w:t>
      </w:r>
      <w:r>
        <w:rPr>
          <w:spacing w:val="-3"/>
          <w:sz w:val="21"/>
        </w:rPr>
        <w:t>will,  </w:t>
      </w:r>
      <w:r>
        <w:rPr>
          <w:sz w:val="21"/>
        </w:rPr>
        <w:t>and set out the </w:t>
      </w:r>
      <w:r>
        <w:rPr>
          <w:spacing w:val="-3"/>
          <w:sz w:val="21"/>
        </w:rPr>
        <w:t>range </w:t>
      </w:r>
      <w:r>
        <w:rPr>
          <w:sz w:val="21"/>
        </w:rPr>
        <w:t>of details </w:t>
      </w:r>
      <w:r>
        <w:rPr>
          <w:spacing w:val="-3"/>
          <w:sz w:val="21"/>
        </w:rPr>
        <w:t>that </w:t>
      </w:r>
      <w:r>
        <w:rPr>
          <w:sz w:val="21"/>
        </w:rPr>
        <w:t>must be explained </w:t>
      </w:r>
      <w:r>
        <w:rPr>
          <w:spacing w:val="-3"/>
          <w:sz w:val="21"/>
        </w:rPr>
        <w:t>to  </w:t>
      </w:r>
      <w:r>
        <w:rPr>
          <w:sz w:val="21"/>
        </w:rPr>
        <w:t>the </w:t>
      </w:r>
      <w:r>
        <w:rPr>
          <w:spacing w:val="-4"/>
          <w:sz w:val="21"/>
        </w:rPr>
        <w:t>will-maker,  </w:t>
      </w:r>
      <w:r>
        <w:rPr>
          <w:sz w:val="21"/>
        </w:rPr>
        <w:t>along the </w:t>
      </w:r>
      <w:r>
        <w:rPr>
          <w:spacing w:val="-3"/>
          <w:sz w:val="21"/>
        </w:rPr>
        <w:t>lines  </w:t>
      </w:r>
      <w:r>
        <w:rPr>
          <w:sz w:val="21"/>
        </w:rPr>
        <w:t>of  the comments made by Justice Habersberger in </w:t>
      </w:r>
      <w:r>
        <w:rPr>
          <w:i/>
          <w:spacing w:val="-3"/>
          <w:sz w:val="21"/>
        </w:rPr>
        <w:t>Szmulewicz</w:t>
      </w:r>
      <w:r>
        <w:rPr>
          <w:spacing w:val="-3"/>
          <w:sz w:val="21"/>
        </w:rPr>
        <w:t>. </w:t>
      </w:r>
      <w:r>
        <w:rPr>
          <w:sz w:val="21"/>
        </w:rPr>
        <w:t>This would </w:t>
      </w:r>
      <w:r>
        <w:rPr>
          <w:spacing w:val="-3"/>
          <w:sz w:val="21"/>
        </w:rPr>
        <w:t>raise  </w:t>
      </w:r>
      <w:r>
        <w:rPr>
          <w:sz w:val="21"/>
        </w:rPr>
        <w:t>awareness  of the need </w:t>
      </w:r>
      <w:r>
        <w:rPr>
          <w:spacing w:val="-3"/>
          <w:sz w:val="21"/>
        </w:rPr>
        <w:t>to </w:t>
      </w:r>
      <w:r>
        <w:rPr>
          <w:sz w:val="21"/>
        </w:rPr>
        <w:t>seek </w:t>
      </w:r>
      <w:r>
        <w:rPr>
          <w:spacing w:val="-3"/>
          <w:sz w:val="21"/>
        </w:rPr>
        <w:t>informed consent </w:t>
      </w:r>
      <w:r>
        <w:rPr>
          <w:sz w:val="21"/>
        </w:rPr>
        <w:t>and </w:t>
      </w:r>
      <w:r>
        <w:rPr>
          <w:spacing w:val="-3"/>
          <w:sz w:val="21"/>
        </w:rPr>
        <w:t>overcome </w:t>
      </w:r>
      <w:r>
        <w:rPr>
          <w:sz w:val="21"/>
        </w:rPr>
        <w:t>the </w:t>
      </w:r>
      <w:r>
        <w:rPr>
          <w:spacing w:val="-3"/>
          <w:sz w:val="21"/>
        </w:rPr>
        <w:t>limitations </w:t>
      </w:r>
      <w:r>
        <w:rPr>
          <w:sz w:val="21"/>
        </w:rPr>
        <w:t>of rule</w:t>
      </w:r>
      <w:r>
        <w:rPr>
          <w:spacing w:val="-7"/>
          <w:sz w:val="21"/>
        </w:rPr>
        <w:t> </w:t>
      </w:r>
      <w:r>
        <w:rPr>
          <w:spacing w:val="-10"/>
          <w:sz w:val="21"/>
        </w:rPr>
        <w:t>10.1.</w:t>
      </w:r>
    </w:p>
    <w:p>
      <w:pPr>
        <w:pStyle w:val="ListParagraph"/>
        <w:numPr>
          <w:ilvl w:val="1"/>
          <w:numId w:val="22"/>
        </w:numPr>
        <w:tabs>
          <w:tab w:pos="2380" w:val="left" w:leader="none"/>
          <w:tab w:pos="2381" w:val="left" w:leader="none"/>
        </w:tabs>
        <w:spacing w:line="242" w:lineRule="auto" w:before="127" w:after="0"/>
        <w:ind w:left="2381" w:right="1643" w:hanging="794"/>
        <w:jc w:val="left"/>
        <w:rPr>
          <w:sz w:val="21"/>
        </w:rPr>
      </w:pPr>
      <w:r>
        <w:rPr>
          <w:w w:val="105"/>
          <w:sz w:val="21"/>
        </w:rPr>
        <w:t>The </w:t>
      </w:r>
      <w:r>
        <w:rPr>
          <w:spacing w:val="-3"/>
          <w:w w:val="105"/>
          <w:sz w:val="21"/>
        </w:rPr>
        <w:t>Commission </w:t>
      </w:r>
      <w:r>
        <w:rPr>
          <w:spacing w:val="-2"/>
          <w:w w:val="105"/>
          <w:sz w:val="21"/>
        </w:rPr>
        <w:t>has </w:t>
      </w:r>
      <w:r>
        <w:rPr>
          <w:spacing w:val="-3"/>
          <w:w w:val="105"/>
          <w:sz w:val="21"/>
        </w:rPr>
        <w:t>concluded, </w:t>
      </w:r>
      <w:r>
        <w:rPr>
          <w:spacing w:val="-4"/>
          <w:w w:val="105"/>
          <w:sz w:val="21"/>
        </w:rPr>
        <w:t>however, </w:t>
      </w:r>
      <w:r>
        <w:rPr>
          <w:spacing w:val="-3"/>
          <w:w w:val="105"/>
          <w:sz w:val="21"/>
        </w:rPr>
        <w:t>that </w:t>
      </w:r>
      <w:r>
        <w:rPr>
          <w:w w:val="105"/>
          <w:sz w:val="21"/>
        </w:rPr>
        <w:t>it would be </w:t>
      </w:r>
      <w:r>
        <w:rPr>
          <w:spacing w:val="-3"/>
          <w:w w:val="105"/>
          <w:sz w:val="21"/>
        </w:rPr>
        <w:t>unwise to </w:t>
      </w:r>
      <w:r>
        <w:rPr>
          <w:w w:val="105"/>
          <w:sz w:val="21"/>
        </w:rPr>
        <w:t>specify in </w:t>
      </w:r>
      <w:r>
        <w:rPr>
          <w:spacing w:val="-3"/>
          <w:w w:val="105"/>
          <w:sz w:val="21"/>
        </w:rPr>
        <w:t>legislation </w:t>
      </w:r>
      <w:r>
        <w:rPr>
          <w:w w:val="105"/>
          <w:sz w:val="21"/>
        </w:rPr>
        <w:t>what the </w:t>
      </w:r>
      <w:r>
        <w:rPr>
          <w:spacing w:val="-3"/>
          <w:w w:val="105"/>
          <w:sz w:val="21"/>
        </w:rPr>
        <w:t>will-maker </w:t>
      </w:r>
      <w:r>
        <w:rPr>
          <w:w w:val="105"/>
          <w:sz w:val="21"/>
        </w:rPr>
        <w:t>should be told because the details depend on the</w:t>
      </w:r>
      <w:r>
        <w:rPr>
          <w:spacing w:val="-35"/>
          <w:w w:val="105"/>
          <w:sz w:val="21"/>
        </w:rPr>
        <w:t> </w:t>
      </w:r>
      <w:r>
        <w:rPr>
          <w:spacing w:val="-3"/>
          <w:w w:val="105"/>
          <w:sz w:val="21"/>
        </w:rPr>
        <w:t>circumstances.</w:t>
      </w:r>
    </w:p>
    <w:p>
      <w:pPr>
        <w:spacing w:before="2"/>
        <w:ind w:left="2380" w:right="0" w:firstLine="0"/>
        <w:jc w:val="left"/>
        <w:rPr>
          <w:sz w:val="21"/>
        </w:rPr>
      </w:pPr>
      <w:r>
        <w:rPr>
          <w:w w:val="105"/>
          <w:sz w:val="21"/>
        </w:rPr>
        <w:t>As the High Court observed in </w:t>
      </w:r>
      <w:r>
        <w:rPr>
          <w:i/>
          <w:w w:val="105"/>
          <w:sz w:val="21"/>
        </w:rPr>
        <w:t>Maguire v Makaronis</w:t>
      </w:r>
      <w:r>
        <w:rPr>
          <w:w w:val="105"/>
          <w:sz w:val="21"/>
        </w:rPr>
        <w:t>:</w:t>
      </w:r>
    </w:p>
    <w:p>
      <w:pPr>
        <w:spacing w:line="254" w:lineRule="auto" w:before="133"/>
        <w:ind w:left="2721" w:right="1826" w:firstLine="0"/>
        <w:jc w:val="left"/>
        <w:rPr>
          <w:sz w:val="11"/>
        </w:rPr>
      </w:pPr>
      <w:r>
        <w:rPr>
          <w:sz w:val="20"/>
        </w:rPr>
        <w:t>What is </w:t>
      </w:r>
      <w:r>
        <w:rPr>
          <w:spacing w:val="-2"/>
          <w:sz w:val="20"/>
        </w:rPr>
        <w:t>required  </w:t>
      </w:r>
      <w:r>
        <w:rPr>
          <w:sz w:val="20"/>
        </w:rPr>
        <w:t>for a fully informed consent is a question of fact in all the circumstances  of each case and there is no precise </w:t>
      </w:r>
      <w:r>
        <w:rPr>
          <w:spacing w:val="-3"/>
          <w:sz w:val="20"/>
        </w:rPr>
        <w:t>formula </w:t>
      </w:r>
      <w:r>
        <w:rPr>
          <w:sz w:val="20"/>
        </w:rPr>
        <w:t>which will determine in all cases if fully informed consent has been</w:t>
      </w:r>
      <w:r>
        <w:rPr>
          <w:spacing w:val="34"/>
          <w:sz w:val="20"/>
        </w:rPr>
        <w:t> </w:t>
      </w:r>
      <w:r>
        <w:rPr>
          <w:sz w:val="20"/>
        </w:rPr>
        <w:t>given.</w:t>
      </w:r>
      <w:r>
        <w:rPr>
          <w:position w:val="7"/>
          <w:sz w:val="11"/>
        </w:rPr>
        <w:t>63</w:t>
      </w:r>
    </w:p>
    <w:p>
      <w:pPr>
        <w:pStyle w:val="ListParagraph"/>
        <w:numPr>
          <w:ilvl w:val="1"/>
          <w:numId w:val="22"/>
        </w:numPr>
        <w:tabs>
          <w:tab w:pos="2381" w:val="left" w:leader="none"/>
          <w:tab w:pos="2382" w:val="left" w:leader="none"/>
        </w:tabs>
        <w:spacing w:line="242" w:lineRule="auto" w:before="114" w:after="0"/>
        <w:ind w:left="2381" w:right="1903" w:hanging="794"/>
        <w:jc w:val="left"/>
        <w:rPr>
          <w:sz w:val="21"/>
        </w:rPr>
      </w:pPr>
      <w:r>
        <w:rPr>
          <w:sz w:val="21"/>
        </w:rPr>
        <w:t>A </w:t>
      </w:r>
      <w:r>
        <w:rPr>
          <w:spacing w:val="-3"/>
          <w:sz w:val="21"/>
        </w:rPr>
        <w:t>provision covering all </w:t>
      </w:r>
      <w:r>
        <w:rPr>
          <w:sz w:val="21"/>
        </w:rPr>
        <w:t>possible </w:t>
      </w:r>
      <w:r>
        <w:rPr>
          <w:spacing w:val="-3"/>
          <w:sz w:val="21"/>
        </w:rPr>
        <w:t>scenarios </w:t>
      </w:r>
      <w:r>
        <w:rPr>
          <w:sz w:val="21"/>
        </w:rPr>
        <w:t>would be so </w:t>
      </w:r>
      <w:r>
        <w:rPr>
          <w:spacing w:val="-3"/>
          <w:sz w:val="21"/>
        </w:rPr>
        <w:t>comprehensive that compliance </w:t>
      </w:r>
      <w:r>
        <w:rPr>
          <w:sz w:val="21"/>
        </w:rPr>
        <w:t>would </w:t>
      </w:r>
      <w:r>
        <w:rPr>
          <w:spacing w:val="-3"/>
          <w:sz w:val="21"/>
        </w:rPr>
        <w:t>introduce </w:t>
      </w:r>
      <w:r>
        <w:rPr>
          <w:sz w:val="21"/>
        </w:rPr>
        <w:t>unnecessary </w:t>
      </w:r>
      <w:r>
        <w:rPr>
          <w:spacing w:val="-3"/>
          <w:sz w:val="21"/>
        </w:rPr>
        <w:t>formality </w:t>
      </w:r>
      <w:r>
        <w:rPr>
          <w:spacing w:val="-4"/>
          <w:sz w:val="21"/>
        </w:rPr>
        <w:t>into </w:t>
      </w:r>
      <w:r>
        <w:rPr>
          <w:sz w:val="21"/>
        </w:rPr>
        <w:t>the process of </w:t>
      </w:r>
      <w:r>
        <w:rPr>
          <w:spacing w:val="-3"/>
          <w:sz w:val="21"/>
        </w:rPr>
        <w:t>making </w:t>
      </w:r>
      <w:r>
        <w:rPr>
          <w:sz w:val="21"/>
        </w:rPr>
        <w:t>a </w:t>
      </w:r>
      <w:r>
        <w:rPr>
          <w:spacing w:val="-3"/>
          <w:sz w:val="21"/>
        </w:rPr>
        <w:t>will. </w:t>
      </w:r>
      <w:r>
        <w:rPr>
          <w:sz w:val="21"/>
        </w:rPr>
        <w:t>In</w:t>
      </w:r>
      <w:r>
        <w:rPr>
          <w:spacing w:val="47"/>
          <w:sz w:val="21"/>
        </w:rPr>
        <w:t> </w:t>
      </w:r>
      <w:r>
        <w:rPr>
          <w:spacing w:val="-3"/>
          <w:sz w:val="21"/>
        </w:rPr>
        <w:t>addition,</w:t>
      </w:r>
    </w:p>
    <w:p>
      <w:pPr>
        <w:pStyle w:val="BodyText"/>
        <w:spacing w:line="242" w:lineRule="auto" w:before="3"/>
        <w:ind w:left="2381" w:right="1826"/>
      </w:pPr>
      <w:r>
        <w:rPr/>
        <w:t>legal practitioners </w:t>
      </w:r>
      <w:r>
        <w:rPr>
          <w:spacing w:val="-3"/>
        </w:rPr>
        <w:t>could </w:t>
      </w:r>
      <w:r>
        <w:rPr/>
        <w:t>be </w:t>
      </w:r>
      <w:r>
        <w:rPr>
          <w:spacing w:val="-3"/>
        </w:rPr>
        <w:t>tempted to </w:t>
      </w:r>
      <w:r>
        <w:rPr/>
        <w:t>simply give will-makers a page of fine </w:t>
      </w:r>
      <w:r>
        <w:rPr>
          <w:spacing w:val="-3"/>
        </w:rPr>
        <w:t>print to read </w:t>
      </w:r>
      <w:r>
        <w:rPr/>
        <w:t>and </w:t>
      </w:r>
      <w:r>
        <w:rPr>
          <w:spacing w:val="-3"/>
        </w:rPr>
        <w:t>sign, to create </w:t>
      </w:r>
      <w:r>
        <w:rPr/>
        <w:t>evidence of  </w:t>
      </w:r>
      <w:r>
        <w:rPr>
          <w:spacing w:val="-3"/>
        </w:rPr>
        <w:t>compliance  </w:t>
      </w:r>
      <w:r>
        <w:rPr/>
        <w:t>with  the  </w:t>
      </w:r>
      <w:r>
        <w:rPr>
          <w:spacing w:val="-3"/>
        </w:rPr>
        <w:t>provision  rather  than  ensuring  that </w:t>
      </w:r>
      <w:r>
        <w:rPr/>
        <w:t>the</w:t>
      </w:r>
      <w:r>
        <w:rPr>
          <w:spacing w:val="14"/>
        </w:rPr>
        <w:t> </w:t>
      </w:r>
      <w:r>
        <w:rPr>
          <w:spacing w:val="-3"/>
        </w:rPr>
        <w:t>client</w:t>
      </w:r>
      <w:r>
        <w:rPr>
          <w:spacing w:val="14"/>
        </w:rPr>
        <w:t> </w:t>
      </w:r>
      <w:r>
        <w:rPr/>
        <w:t>is</w:t>
      </w:r>
      <w:r>
        <w:rPr>
          <w:spacing w:val="14"/>
        </w:rPr>
        <w:t> </w:t>
      </w:r>
      <w:r>
        <w:rPr>
          <w:spacing w:val="-3"/>
        </w:rPr>
        <w:t>fully</w:t>
      </w:r>
      <w:r>
        <w:rPr>
          <w:spacing w:val="14"/>
        </w:rPr>
        <w:t> </w:t>
      </w:r>
      <w:r>
        <w:rPr>
          <w:spacing w:val="-3"/>
        </w:rPr>
        <w:t>informed</w:t>
      </w:r>
      <w:r>
        <w:rPr>
          <w:spacing w:val="14"/>
        </w:rPr>
        <w:t> </w:t>
      </w:r>
      <w:r>
        <w:rPr/>
        <w:t>about</w:t>
      </w:r>
      <w:r>
        <w:rPr>
          <w:spacing w:val="15"/>
        </w:rPr>
        <w:t> </w:t>
      </w:r>
      <w:r>
        <w:rPr/>
        <w:t>the</w:t>
      </w:r>
      <w:r>
        <w:rPr>
          <w:spacing w:val="14"/>
        </w:rPr>
        <w:t> </w:t>
      </w:r>
      <w:r>
        <w:rPr/>
        <w:t>decision</w:t>
      </w:r>
      <w:r>
        <w:rPr>
          <w:spacing w:val="14"/>
        </w:rPr>
        <w:t> </w:t>
      </w:r>
      <w:r>
        <w:rPr/>
        <w:t>they</w:t>
      </w:r>
      <w:r>
        <w:rPr>
          <w:spacing w:val="14"/>
        </w:rPr>
        <w:t> </w:t>
      </w:r>
      <w:r>
        <w:rPr>
          <w:spacing w:val="-3"/>
        </w:rPr>
        <w:t>are</w:t>
      </w:r>
      <w:r>
        <w:rPr>
          <w:spacing w:val="14"/>
        </w:rPr>
        <w:t> </w:t>
      </w:r>
      <w:r>
        <w:rPr/>
        <w:t>being</w:t>
      </w:r>
      <w:r>
        <w:rPr>
          <w:spacing w:val="14"/>
        </w:rPr>
        <w:t> </w:t>
      </w:r>
      <w:r>
        <w:rPr>
          <w:spacing w:val="-3"/>
        </w:rPr>
        <w:t>asked</w:t>
      </w:r>
      <w:r>
        <w:rPr>
          <w:spacing w:val="14"/>
        </w:rPr>
        <w:t> </w:t>
      </w:r>
      <w:r>
        <w:rPr>
          <w:spacing w:val="-3"/>
        </w:rPr>
        <w:t>to</w:t>
      </w:r>
      <w:r>
        <w:rPr>
          <w:spacing w:val="15"/>
        </w:rPr>
        <w:t> </w:t>
      </w:r>
      <w:r>
        <w:rPr>
          <w:spacing w:val="-5"/>
        </w:rPr>
        <w:t>make.</w:t>
      </w:r>
      <w:r>
        <w:rPr>
          <w:spacing w:val="14"/>
        </w:rPr>
        <w:t> </w:t>
      </w:r>
      <w:r>
        <w:rPr/>
        <w:t>Once</w:t>
      </w:r>
    </w:p>
    <w:p>
      <w:pPr>
        <w:pStyle w:val="BodyText"/>
        <w:spacing w:line="242" w:lineRule="auto" w:before="3"/>
        <w:ind w:left="2381" w:right="1987"/>
      </w:pPr>
      <w:r>
        <w:rPr>
          <w:w w:val="105"/>
        </w:rPr>
        <w:t>in </w:t>
      </w:r>
      <w:r>
        <w:rPr>
          <w:spacing w:val="-3"/>
          <w:w w:val="105"/>
        </w:rPr>
        <w:t>legislation, </w:t>
      </w:r>
      <w:r>
        <w:rPr>
          <w:w w:val="105"/>
        </w:rPr>
        <w:t>it would be difficult </w:t>
      </w:r>
      <w:r>
        <w:rPr>
          <w:spacing w:val="-3"/>
          <w:w w:val="105"/>
        </w:rPr>
        <w:t>to </w:t>
      </w:r>
      <w:r>
        <w:rPr>
          <w:w w:val="105"/>
        </w:rPr>
        <w:t>amend and would constrict the development by the courts of the law </w:t>
      </w:r>
      <w:r>
        <w:rPr>
          <w:spacing w:val="-3"/>
          <w:w w:val="105"/>
        </w:rPr>
        <w:t>around informed consent.</w:t>
      </w:r>
    </w:p>
    <w:p>
      <w:pPr>
        <w:pStyle w:val="ListParagraph"/>
        <w:numPr>
          <w:ilvl w:val="1"/>
          <w:numId w:val="22"/>
        </w:numPr>
        <w:tabs>
          <w:tab w:pos="2381" w:val="left" w:leader="none"/>
          <w:tab w:pos="2382" w:val="left" w:leader="none"/>
        </w:tabs>
        <w:spacing w:line="242" w:lineRule="auto" w:before="122" w:after="0"/>
        <w:ind w:left="2381" w:right="1631" w:hanging="794"/>
        <w:jc w:val="left"/>
        <w:rPr>
          <w:sz w:val="21"/>
        </w:rPr>
      </w:pPr>
      <w:r>
        <w:rPr>
          <w:w w:val="105"/>
          <w:sz w:val="21"/>
        </w:rPr>
        <w:t>The </w:t>
      </w:r>
      <w:r>
        <w:rPr>
          <w:spacing w:val="-4"/>
          <w:w w:val="105"/>
          <w:sz w:val="21"/>
        </w:rPr>
        <w:t>Commission’s </w:t>
      </w:r>
      <w:r>
        <w:rPr>
          <w:spacing w:val="-3"/>
          <w:w w:val="105"/>
          <w:sz w:val="21"/>
        </w:rPr>
        <w:t>preferred </w:t>
      </w:r>
      <w:r>
        <w:rPr>
          <w:w w:val="105"/>
          <w:sz w:val="21"/>
        </w:rPr>
        <w:t>solution is </w:t>
      </w:r>
      <w:r>
        <w:rPr>
          <w:spacing w:val="-3"/>
          <w:w w:val="105"/>
          <w:sz w:val="21"/>
        </w:rPr>
        <w:t>to introduce </w:t>
      </w:r>
      <w:r>
        <w:rPr>
          <w:w w:val="105"/>
          <w:sz w:val="21"/>
        </w:rPr>
        <w:t>a statutory </w:t>
      </w:r>
      <w:r>
        <w:rPr>
          <w:spacing w:val="-3"/>
          <w:w w:val="105"/>
          <w:sz w:val="21"/>
        </w:rPr>
        <w:t>provision that </w:t>
      </w:r>
      <w:r>
        <w:rPr>
          <w:w w:val="105"/>
          <w:sz w:val="21"/>
        </w:rPr>
        <w:t>draws attention</w:t>
      </w:r>
      <w:r>
        <w:rPr>
          <w:spacing w:val="-6"/>
          <w:w w:val="105"/>
          <w:sz w:val="21"/>
        </w:rPr>
        <w:t> </w:t>
      </w:r>
      <w:r>
        <w:rPr>
          <w:spacing w:val="-3"/>
          <w:w w:val="105"/>
          <w:sz w:val="21"/>
        </w:rPr>
        <w:t>to</w:t>
      </w:r>
      <w:r>
        <w:rPr>
          <w:spacing w:val="-5"/>
          <w:w w:val="105"/>
          <w:sz w:val="21"/>
        </w:rPr>
        <w:t> </w:t>
      </w:r>
      <w:r>
        <w:rPr>
          <w:w w:val="105"/>
          <w:sz w:val="21"/>
        </w:rPr>
        <w:t>the</w:t>
      </w:r>
      <w:r>
        <w:rPr>
          <w:spacing w:val="-5"/>
          <w:w w:val="105"/>
          <w:sz w:val="21"/>
        </w:rPr>
        <w:t> </w:t>
      </w:r>
      <w:r>
        <w:rPr>
          <w:w w:val="105"/>
          <w:sz w:val="21"/>
        </w:rPr>
        <w:t>need</w:t>
      </w:r>
      <w:r>
        <w:rPr>
          <w:spacing w:val="-6"/>
          <w:w w:val="105"/>
          <w:sz w:val="21"/>
        </w:rPr>
        <w:t> </w:t>
      </w:r>
      <w:r>
        <w:rPr>
          <w:spacing w:val="-3"/>
          <w:w w:val="105"/>
          <w:sz w:val="21"/>
        </w:rPr>
        <w:t>to</w:t>
      </w:r>
      <w:r>
        <w:rPr>
          <w:spacing w:val="-5"/>
          <w:w w:val="105"/>
          <w:sz w:val="21"/>
        </w:rPr>
        <w:t> </w:t>
      </w:r>
      <w:r>
        <w:rPr>
          <w:w w:val="105"/>
          <w:sz w:val="21"/>
        </w:rPr>
        <w:t>seek</w:t>
      </w:r>
      <w:r>
        <w:rPr>
          <w:spacing w:val="-5"/>
          <w:w w:val="105"/>
          <w:sz w:val="21"/>
        </w:rPr>
        <w:t> </w:t>
      </w:r>
      <w:r>
        <w:rPr>
          <w:w w:val="105"/>
          <w:sz w:val="21"/>
        </w:rPr>
        <w:t>the</w:t>
      </w:r>
      <w:r>
        <w:rPr>
          <w:spacing w:val="-6"/>
          <w:w w:val="105"/>
          <w:sz w:val="21"/>
        </w:rPr>
        <w:t> </w:t>
      </w:r>
      <w:r>
        <w:rPr>
          <w:spacing w:val="-3"/>
          <w:w w:val="105"/>
          <w:sz w:val="21"/>
        </w:rPr>
        <w:t>will-maker’s</w:t>
      </w:r>
      <w:r>
        <w:rPr>
          <w:spacing w:val="-5"/>
          <w:w w:val="105"/>
          <w:sz w:val="21"/>
        </w:rPr>
        <w:t> </w:t>
      </w:r>
      <w:r>
        <w:rPr>
          <w:spacing w:val="-3"/>
          <w:w w:val="105"/>
          <w:sz w:val="21"/>
        </w:rPr>
        <w:t>informed</w:t>
      </w:r>
      <w:r>
        <w:rPr>
          <w:spacing w:val="-5"/>
          <w:w w:val="105"/>
          <w:sz w:val="21"/>
        </w:rPr>
        <w:t> </w:t>
      </w:r>
      <w:r>
        <w:rPr>
          <w:spacing w:val="-3"/>
          <w:w w:val="105"/>
          <w:sz w:val="21"/>
        </w:rPr>
        <w:t>consent</w:t>
      </w:r>
      <w:r>
        <w:rPr>
          <w:spacing w:val="-5"/>
          <w:w w:val="105"/>
          <w:sz w:val="21"/>
        </w:rPr>
        <w:t> </w:t>
      </w:r>
      <w:r>
        <w:rPr>
          <w:w w:val="105"/>
          <w:sz w:val="21"/>
        </w:rPr>
        <w:t>without</w:t>
      </w:r>
      <w:r>
        <w:rPr>
          <w:spacing w:val="-6"/>
          <w:w w:val="105"/>
          <w:sz w:val="21"/>
        </w:rPr>
        <w:t> </w:t>
      </w:r>
      <w:r>
        <w:rPr>
          <w:spacing w:val="-3"/>
          <w:w w:val="105"/>
          <w:sz w:val="21"/>
        </w:rPr>
        <w:t>prescribing</w:t>
      </w:r>
      <w:r>
        <w:rPr>
          <w:spacing w:val="-5"/>
          <w:w w:val="105"/>
          <w:sz w:val="21"/>
        </w:rPr>
        <w:t> </w:t>
      </w:r>
      <w:r>
        <w:rPr>
          <w:w w:val="105"/>
          <w:sz w:val="21"/>
        </w:rPr>
        <w:t>what the </w:t>
      </w:r>
      <w:r>
        <w:rPr>
          <w:spacing w:val="-3"/>
          <w:w w:val="105"/>
          <w:sz w:val="21"/>
        </w:rPr>
        <w:t>will-maker </w:t>
      </w:r>
      <w:r>
        <w:rPr>
          <w:w w:val="105"/>
          <w:sz w:val="21"/>
        </w:rPr>
        <w:t>needs </w:t>
      </w:r>
      <w:r>
        <w:rPr>
          <w:spacing w:val="-3"/>
          <w:w w:val="105"/>
          <w:sz w:val="21"/>
        </w:rPr>
        <w:t>to </w:t>
      </w:r>
      <w:r>
        <w:rPr>
          <w:w w:val="105"/>
          <w:sz w:val="21"/>
        </w:rPr>
        <w:t>be </w:t>
      </w:r>
      <w:r>
        <w:rPr>
          <w:spacing w:val="-3"/>
          <w:w w:val="105"/>
          <w:sz w:val="21"/>
        </w:rPr>
        <w:t>told. </w:t>
      </w:r>
      <w:r>
        <w:rPr>
          <w:w w:val="105"/>
          <w:sz w:val="21"/>
        </w:rPr>
        <w:t>What </w:t>
      </w:r>
      <w:r>
        <w:rPr>
          <w:spacing w:val="-3"/>
          <w:w w:val="105"/>
          <w:sz w:val="21"/>
        </w:rPr>
        <w:t>constitutes informed consent will </w:t>
      </w:r>
      <w:r>
        <w:rPr>
          <w:w w:val="105"/>
          <w:sz w:val="21"/>
        </w:rPr>
        <w:t>depend on the </w:t>
      </w:r>
      <w:r>
        <w:rPr>
          <w:spacing w:val="-3"/>
          <w:w w:val="105"/>
          <w:sz w:val="21"/>
        </w:rPr>
        <w:t>circumstances </w:t>
      </w:r>
      <w:r>
        <w:rPr>
          <w:w w:val="105"/>
          <w:sz w:val="21"/>
        </w:rPr>
        <w:t>of each </w:t>
      </w:r>
      <w:r>
        <w:rPr>
          <w:spacing w:val="-3"/>
          <w:w w:val="105"/>
          <w:sz w:val="21"/>
        </w:rPr>
        <w:t>case, including </w:t>
      </w:r>
      <w:r>
        <w:rPr>
          <w:w w:val="105"/>
          <w:sz w:val="21"/>
        </w:rPr>
        <w:t>the </w:t>
      </w:r>
      <w:r>
        <w:rPr>
          <w:spacing w:val="-3"/>
          <w:w w:val="105"/>
          <w:sz w:val="21"/>
        </w:rPr>
        <w:t>nature </w:t>
      </w:r>
      <w:r>
        <w:rPr>
          <w:w w:val="105"/>
          <w:sz w:val="21"/>
        </w:rPr>
        <w:t>of the </w:t>
      </w:r>
      <w:r>
        <w:rPr>
          <w:spacing w:val="-3"/>
          <w:w w:val="105"/>
          <w:sz w:val="21"/>
        </w:rPr>
        <w:t>clause </w:t>
      </w:r>
      <w:r>
        <w:rPr>
          <w:w w:val="105"/>
          <w:sz w:val="21"/>
        </w:rPr>
        <w:t>in question, the </w:t>
      </w:r>
      <w:r>
        <w:rPr>
          <w:spacing w:val="-3"/>
          <w:w w:val="105"/>
          <w:sz w:val="21"/>
        </w:rPr>
        <w:t>nature </w:t>
      </w:r>
      <w:r>
        <w:rPr>
          <w:w w:val="105"/>
          <w:sz w:val="21"/>
        </w:rPr>
        <w:t>of the </w:t>
      </w:r>
      <w:r>
        <w:rPr>
          <w:spacing w:val="-3"/>
          <w:w w:val="105"/>
          <w:sz w:val="21"/>
        </w:rPr>
        <w:t>information </w:t>
      </w:r>
      <w:r>
        <w:rPr>
          <w:w w:val="105"/>
          <w:sz w:val="21"/>
        </w:rPr>
        <w:t>given </w:t>
      </w:r>
      <w:r>
        <w:rPr>
          <w:spacing w:val="-3"/>
          <w:w w:val="105"/>
          <w:sz w:val="21"/>
        </w:rPr>
        <w:t>to </w:t>
      </w:r>
      <w:r>
        <w:rPr>
          <w:w w:val="105"/>
          <w:sz w:val="21"/>
        </w:rPr>
        <w:t>the </w:t>
      </w:r>
      <w:r>
        <w:rPr>
          <w:spacing w:val="-3"/>
          <w:w w:val="105"/>
          <w:sz w:val="21"/>
        </w:rPr>
        <w:t>will-maker </w:t>
      </w:r>
      <w:r>
        <w:rPr>
          <w:w w:val="105"/>
          <w:sz w:val="21"/>
        </w:rPr>
        <w:t>at the </w:t>
      </w:r>
      <w:r>
        <w:rPr>
          <w:spacing w:val="-3"/>
          <w:w w:val="105"/>
          <w:sz w:val="21"/>
        </w:rPr>
        <w:t>time, </w:t>
      </w:r>
      <w:r>
        <w:rPr>
          <w:w w:val="105"/>
          <w:sz w:val="21"/>
        </w:rPr>
        <w:t>and </w:t>
      </w:r>
      <w:r>
        <w:rPr>
          <w:spacing w:val="-3"/>
          <w:w w:val="105"/>
          <w:sz w:val="21"/>
        </w:rPr>
        <w:t>such </w:t>
      </w:r>
      <w:r>
        <w:rPr>
          <w:w w:val="105"/>
          <w:sz w:val="21"/>
        </w:rPr>
        <w:t>other matters </w:t>
      </w:r>
      <w:r>
        <w:rPr>
          <w:spacing w:val="-3"/>
          <w:w w:val="105"/>
          <w:sz w:val="21"/>
        </w:rPr>
        <w:t>to </w:t>
      </w:r>
      <w:r>
        <w:rPr>
          <w:w w:val="105"/>
          <w:sz w:val="21"/>
        </w:rPr>
        <w:t>which the </w:t>
      </w:r>
      <w:r>
        <w:rPr>
          <w:spacing w:val="-3"/>
          <w:w w:val="105"/>
          <w:sz w:val="21"/>
        </w:rPr>
        <w:t>Court </w:t>
      </w:r>
      <w:r>
        <w:rPr>
          <w:w w:val="105"/>
          <w:sz w:val="21"/>
        </w:rPr>
        <w:t>would </w:t>
      </w:r>
      <w:r>
        <w:rPr>
          <w:spacing w:val="-3"/>
          <w:w w:val="105"/>
          <w:sz w:val="21"/>
        </w:rPr>
        <w:t>have</w:t>
      </w:r>
      <w:r>
        <w:rPr>
          <w:spacing w:val="19"/>
          <w:w w:val="105"/>
          <w:sz w:val="21"/>
        </w:rPr>
        <w:t> </w:t>
      </w:r>
      <w:r>
        <w:rPr>
          <w:spacing w:val="-3"/>
          <w:w w:val="105"/>
          <w:sz w:val="21"/>
        </w:rPr>
        <w:t>regard.</w:t>
      </w:r>
    </w:p>
    <w:p>
      <w:pPr>
        <w:pStyle w:val="ListParagraph"/>
        <w:numPr>
          <w:ilvl w:val="1"/>
          <w:numId w:val="22"/>
        </w:numPr>
        <w:tabs>
          <w:tab w:pos="2380" w:val="left" w:leader="none"/>
          <w:tab w:pos="2381" w:val="left" w:leader="none"/>
        </w:tabs>
        <w:spacing w:line="242" w:lineRule="auto" w:before="127" w:after="0"/>
        <w:ind w:left="2381" w:right="1865" w:hanging="794"/>
        <w:jc w:val="left"/>
        <w:rPr>
          <w:sz w:val="21"/>
        </w:rPr>
      </w:pPr>
      <w:r>
        <w:rPr>
          <w:w w:val="105"/>
          <w:sz w:val="21"/>
        </w:rPr>
        <w:t>The new </w:t>
      </w:r>
      <w:r>
        <w:rPr>
          <w:spacing w:val="-3"/>
          <w:w w:val="105"/>
          <w:sz w:val="21"/>
        </w:rPr>
        <w:t>provision </w:t>
      </w:r>
      <w:r>
        <w:rPr>
          <w:w w:val="105"/>
          <w:sz w:val="21"/>
        </w:rPr>
        <w:t>would clarify the </w:t>
      </w:r>
      <w:r>
        <w:rPr>
          <w:spacing w:val="-3"/>
          <w:w w:val="105"/>
          <w:sz w:val="21"/>
        </w:rPr>
        <w:t>obligation </w:t>
      </w:r>
      <w:r>
        <w:rPr>
          <w:w w:val="105"/>
          <w:sz w:val="21"/>
        </w:rPr>
        <w:t>while </w:t>
      </w:r>
      <w:r>
        <w:rPr>
          <w:spacing w:val="-3"/>
          <w:w w:val="105"/>
          <w:sz w:val="21"/>
        </w:rPr>
        <w:t>accommodating different circumstances </w:t>
      </w:r>
      <w:r>
        <w:rPr>
          <w:w w:val="105"/>
          <w:sz w:val="21"/>
        </w:rPr>
        <w:t>and </w:t>
      </w:r>
      <w:r>
        <w:rPr>
          <w:spacing w:val="-3"/>
          <w:w w:val="105"/>
          <w:sz w:val="21"/>
        </w:rPr>
        <w:t>allowing for </w:t>
      </w:r>
      <w:r>
        <w:rPr>
          <w:w w:val="105"/>
          <w:sz w:val="21"/>
        </w:rPr>
        <w:t>the law </w:t>
      </w:r>
      <w:r>
        <w:rPr>
          <w:spacing w:val="-3"/>
          <w:w w:val="105"/>
          <w:sz w:val="21"/>
        </w:rPr>
        <w:t>concerning informed consent to continue to </w:t>
      </w:r>
      <w:r>
        <w:rPr>
          <w:w w:val="105"/>
          <w:sz w:val="21"/>
        </w:rPr>
        <w:t>be developed</w:t>
      </w:r>
      <w:r>
        <w:rPr>
          <w:spacing w:val="-5"/>
          <w:w w:val="105"/>
          <w:sz w:val="21"/>
        </w:rPr>
        <w:t> </w:t>
      </w:r>
      <w:r>
        <w:rPr>
          <w:w w:val="105"/>
          <w:sz w:val="21"/>
        </w:rPr>
        <w:t>by</w:t>
      </w:r>
      <w:r>
        <w:rPr>
          <w:spacing w:val="-5"/>
          <w:w w:val="105"/>
          <w:sz w:val="21"/>
        </w:rPr>
        <w:t> </w:t>
      </w:r>
      <w:r>
        <w:rPr>
          <w:w w:val="105"/>
          <w:sz w:val="21"/>
        </w:rPr>
        <w:t>the</w:t>
      </w:r>
      <w:r>
        <w:rPr>
          <w:spacing w:val="-5"/>
          <w:w w:val="105"/>
          <w:sz w:val="21"/>
        </w:rPr>
        <w:t> </w:t>
      </w:r>
      <w:r>
        <w:rPr>
          <w:w w:val="105"/>
          <w:sz w:val="21"/>
        </w:rPr>
        <w:t>courts.</w:t>
      </w:r>
      <w:r>
        <w:rPr>
          <w:spacing w:val="-5"/>
          <w:w w:val="105"/>
          <w:sz w:val="21"/>
        </w:rPr>
        <w:t> </w:t>
      </w:r>
      <w:r>
        <w:rPr>
          <w:w w:val="105"/>
          <w:sz w:val="21"/>
        </w:rPr>
        <w:t>In</w:t>
      </w:r>
      <w:r>
        <w:rPr>
          <w:spacing w:val="-5"/>
          <w:w w:val="105"/>
          <w:sz w:val="21"/>
        </w:rPr>
        <w:t> </w:t>
      </w:r>
      <w:r>
        <w:rPr>
          <w:spacing w:val="-3"/>
          <w:w w:val="105"/>
          <w:sz w:val="21"/>
        </w:rPr>
        <w:t>addition,</w:t>
      </w:r>
      <w:r>
        <w:rPr>
          <w:spacing w:val="-5"/>
          <w:w w:val="105"/>
          <w:sz w:val="21"/>
        </w:rPr>
        <w:t> </w:t>
      </w:r>
      <w:r>
        <w:rPr>
          <w:w w:val="105"/>
          <w:sz w:val="21"/>
        </w:rPr>
        <w:t>it</w:t>
      </w:r>
      <w:r>
        <w:rPr>
          <w:spacing w:val="-5"/>
          <w:w w:val="105"/>
          <w:sz w:val="21"/>
        </w:rPr>
        <w:t> </w:t>
      </w:r>
      <w:r>
        <w:rPr>
          <w:w w:val="105"/>
          <w:sz w:val="21"/>
        </w:rPr>
        <w:t>would</w:t>
      </w:r>
      <w:r>
        <w:rPr>
          <w:spacing w:val="-5"/>
          <w:w w:val="105"/>
          <w:sz w:val="21"/>
        </w:rPr>
        <w:t> </w:t>
      </w:r>
      <w:r>
        <w:rPr>
          <w:w w:val="105"/>
          <w:sz w:val="21"/>
        </w:rPr>
        <w:t>amend</w:t>
      </w:r>
      <w:r>
        <w:rPr>
          <w:spacing w:val="-5"/>
          <w:w w:val="105"/>
          <w:sz w:val="21"/>
        </w:rPr>
        <w:t> </w:t>
      </w:r>
      <w:r>
        <w:rPr>
          <w:w w:val="105"/>
          <w:sz w:val="21"/>
        </w:rPr>
        <w:t>Victorian</w:t>
      </w:r>
      <w:r>
        <w:rPr>
          <w:spacing w:val="-5"/>
          <w:w w:val="105"/>
          <w:sz w:val="21"/>
        </w:rPr>
        <w:t> </w:t>
      </w:r>
      <w:r>
        <w:rPr>
          <w:spacing w:val="-3"/>
          <w:w w:val="105"/>
          <w:sz w:val="21"/>
        </w:rPr>
        <w:t>legislation</w:t>
      </w:r>
      <w:r>
        <w:rPr>
          <w:spacing w:val="-5"/>
          <w:w w:val="105"/>
          <w:sz w:val="21"/>
        </w:rPr>
        <w:t> </w:t>
      </w:r>
      <w:r>
        <w:rPr>
          <w:w w:val="105"/>
          <w:sz w:val="21"/>
        </w:rPr>
        <w:t>in</w:t>
      </w:r>
      <w:r>
        <w:rPr>
          <w:spacing w:val="-5"/>
          <w:w w:val="105"/>
          <w:sz w:val="21"/>
        </w:rPr>
        <w:t> </w:t>
      </w:r>
      <w:r>
        <w:rPr>
          <w:w w:val="105"/>
          <w:sz w:val="21"/>
        </w:rPr>
        <w:t>a</w:t>
      </w:r>
      <w:r>
        <w:rPr>
          <w:spacing w:val="-5"/>
          <w:w w:val="105"/>
          <w:sz w:val="21"/>
        </w:rPr>
        <w:t> </w:t>
      </w:r>
      <w:r>
        <w:rPr>
          <w:spacing w:val="-3"/>
          <w:w w:val="105"/>
          <w:sz w:val="21"/>
        </w:rPr>
        <w:t>way</w:t>
      </w:r>
      <w:r>
        <w:rPr>
          <w:spacing w:val="-5"/>
          <w:w w:val="105"/>
          <w:sz w:val="21"/>
        </w:rPr>
        <w:t> </w:t>
      </w:r>
      <w:r>
        <w:rPr>
          <w:spacing w:val="-3"/>
          <w:w w:val="105"/>
          <w:sz w:val="21"/>
        </w:rPr>
        <w:t>that </w:t>
      </w:r>
      <w:r>
        <w:rPr>
          <w:w w:val="105"/>
          <w:sz w:val="21"/>
        </w:rPr>
        <w:t>would </w:t>
      </w:r>
      <w:r>
        <w:rPr>
          <w:spacing w:val="-2"/>
          <w:w w:val="105"/>
          <w:sz w:val="21"/>
        </w:rPr>
        <w:t>not </w:t>
      </w:r>
      <w:r>
        <w:rPr>
          <w:w w:val="105"/>
          <w:sz w:val="21"/>
        </w:rPr>
        <w:t>cause </w:t>
      </w:r>
      <w:r>
        <w:rPr>
          <w:spacing w:val="-3"/>
          <w:w w:val="105"/>
          <w:sz w:val="21"/>
        </w:rPr>
        <w:t>material inconsistencies </w:t>
      </w:r>
      <w:r>
        <w:rPr>
          <w:w w:val="105"/>
          <w:sz w:val="21"/>
        </w:rPr>
        <w:t>with other</w:t>
      </w:r>
      <w:r>
        <w:rPr>
          <w:spacing w:val="27"/>
          <w:w w:val="105"/>
          <w:sz w:val="21"/>
        </w:rPr>
        <w:t> </w:t>
      </w:r>
      <w:r>
        <w:rPr>
          <w:spacing w:val="-3"/>
          <w:w w:val="105"/>
          <w:sz w:val="21"/>
        </w:rPr>
        <w:t>jurisdictions.</w:t>
      </w:r>
    </w:p>
    <w:p>
      <w:pPr>
        <w:pStyle w:val="ListParagraph"/>
        <w:numPr>
          <w:ilvl w:val="1"/>
          <w:numId w:val="22"/>
        </w:numPr>
        <w:tabs>
          <w:tab w:pos="2380" w:val="left" w:leader="none"/>
          <w:tab w:pos="2381" w:val="left" w:leader="none"/>
        </w:tabs>
        <w:spacing w:line="242" w:lineRule="auto" w:before="124" w:after="0"/>
        <w:ind w:left="2381" w:right="1689" w:hanging="794"/>
        <w:jc w:val="left"/>
        <w:rPr>
          <w:sz w:val="21"/>
        </w:rPr>
      </w:pPr>
      <w:r>
        <w:rPr>
          <w:w w:val="105"/>
          <w:sz w:val="21"/>
        </w:rPr>
        <w:t>The </w:t>
      </w:r>
      <w:r>
        <w:rPr>
          <w:spacing w:val="-3"/>
          <w:w w:val="105"/>
          <w:sz w:val="21"/>
        </w:rPr>
        <w:t>consultation </w:t>
      </w:r>
      <w:r>
        <w:rPr>
          <w:w w:val="105"/>
          <w:sz w:val="21"/>
        </w:rPr>
        <w:t>paper on executors </w:t>
      </w:r>
      <w:r>
        <w:rPr>
          <w:spacing w:val="-3"/>
          <w:w w:val="105"/>
          <w:sz w:val="21"/>
        </w:rPr>
        <w:t>indicated that any such </w:t>
      </w:r>
      <w:r>
        <w:rPr>
          <w:w w:val="105"/>
          <w:sz w:val="21"/>
        </w:rPr>
        <w:t>new </w:t>
      </w:r>
      <w:r>
        <w:rPr>
          <w:spacing w:val="-3"/>
          <w:w w:val="105"/>
          <w:sz w:val="21"/>
        </w:rPr>
        <w:t>provision </w:t>
      </w:r>
      <w:r>
        <w:rPr>
          <w:w w:val="105"/>
          <w:sz w:val="21"/>
        </w:rPr>
        <w:t>should be in the</w:t>
      </w:r>
      <w:r>
        <w:rPr>
          <w:spacing w:val="-5"/>
          <w:w w:val="105"/>
          <w:sz w:val="21"/>
        </w:rPr>
        <w:t> </w:t>
      </w:r>
      <w:r>
        <w:rPr>
          <w:spacing w:val="-3"/>
          <w:w w:val="105"/>
          <w:sz w:val="21"/>
        </w:rPr>
        <w:t>form</w:t>
      </w:r>
      <w:r>
        <w:rPr>
          <w:spacing w:val="-4"/>
          <w:w w:val="105"/>
          <w:sz w:val="21"/>
        </w:rPr>
        <w:t> </w:t>
      </w:r>
      <w:r>
        <w:rPr>
          <w:w w:val="105"/>
          <w:sz w:val="21"/>
        </w:rPr>
        <w:t>of</w:t>
      </w:r>
      <w:r>
        <w:rPr>
          <w:spacing w:val="-4"/>
          <w:w w:val="105"/>
          <w:sz w:val="21"/>
        </w:rPr>
        <w:t> </w:t>
      </w:r>
      <w:r>
        <w:rPr>
          <w:w w:val="105"/>
          <w:sz w:val="21"/>
        </w:rPr>
        <w:t>an</w:t>
      </w:r>
      <w:r>
        <w:rPr>
          <w:spacing w:val="-4"/>
          <w:w w:val="105"/>
          <w:sz w:val="21"/>
        </w:rPr>
        <w:t> </w:t>
      </w:r>
      <w:r>
        <w:rPr>
          <w:spacing w:val="-3"/>
          <w:w w:val="105"/>
          <w:sz w:val="21"/>
        </w:rPr>
        <w:t>amendment</w:t>
      </w:r>
      <w:r>
        <w:rPr>
          <w:spacing w:val="-4"/>
          <w:w w:val="105"/>
          <w:sz w:val="21"/>
        </w:rPr>
        <w:t> </w:t>
      </w:r>
      <w:r>
        <w:rPr>
          <w:spacing w:val="-3"/>
          <w:w w:val="105"/>
          <w:sz w:val="21"/>
        </w:rPr>
        <w:t>to</w:t>
      </w:r>
      <w:r>
        <w:rPr>
          <w:spacing w:val="-4"/>
          <w:w w:val="105"/>
          <w:sz w:val="21"/>
        </w:rPr>
        <w:t> </w:t>
      </w:r>
      <w:r>
        <w:rPr>
          <w:w w:val="105"/>
          <w:sz w:val="21"/>
        </w:rPr>
        <w:t>the</w:t>
      </w:r>
      <w:r>
        <w:rPr>
          <w:spacing w:val="-4"/>
          <w:w w:val="105"/>
          <w:sz w:val="21"/>
        </w:rPr>
        <w:t> </w:t>
      </w:r>
      <w:r>
        <w:rPr>
          <w:spacing w:val="-3"/>
          <w:w w:val="105"/>
          <w:sz w:val="21"/>
        </w:rPr>
        <w:t>Wills</w:t>
      </w:r>
      <w:r>
        <w:rPr>
          <w:spacing w:val="-4"/>
          <w:w w:val="105"/>
          <w:sz w:val="21"/>
        </w:rPr>
        <w:t> </w:t>
      </w:r>
      <w:r>
        <w:rPr>
          <w:w w:val="105"/>
          <w:sz w:val="21"/>
        </w:rPr>
        <w:t>Act,</w:t>
      </w:r>
      <w:r>
        <w:rPr>
          <w:spacing w:val="-4"/>
          <w:w w:val="105"/>
          <w:sz w:val="21"/>
        </w:rPr>
        <w:t> </w:t>
      </w:r>
      <w:r>
        <w:rPr>
          <w:w w:val="105"/>
          <w:sz w:val="21"/>
        </w:rPr>
        <w:t>as</w:t>
      </w:r>
      <w:r>
        <w:rPr>
          <w:spacing w:val="-4"/>
          <w:w w:val="105"/>
          <w:sz w:val="21"/>
        </w:rPr>
        <w:t> </w:t>
      </w:r>
      <w:r>
        <w:rPr>
          <w:w w:val="105"/>
          <w:sz w:val="21"/>
        </w:rPr>
        <w:t>it</w:t>
      </w:r>
      <w:r>
        <w:rPr>
          <w:spacing w:val="-4"/>
          <w:w w:val="105"/>
          <w:sz w:val="21"/>
        </w:rPr>
        <w:t> </w:t>
      </w:r>
      <w:r>
        <w:rPr>
          <w:w w:val="105"/>
          <w:sz w:val="21"/>
        </w:rPr>
        <w:t>is</w:t>
      </w:r>
      <w:r>
        <w:rPr>
          <w:spacing w:val="-4"/>
          <w:w w:val="105"/>
          <w:sz w:val="21"/>
        </w:rPr>
        <w:t> </w:t>
      </w:r>
      <w:r>
        <w:rPr>
          <w:w w:val="105"/>
          <w:sz w:val="21"/>
        </w:rPr>
        <w:t>the</w:t>
      </w:r>
      <w:r>
        <w:rPr>
          <w:spacing w:val="-4"/>
          <w:w w:val="105"/>
          <w:sz w:val="21"/>
        </w:rPr>
        <w:t> </w:t>
      </w:r>
      <w:r>
        <w:rPr>
          <w:spacing w:val="-3"/>
          <w:w w:val="105"/>
          <w:sz w:val="21"/>
        </w:rPr>
        <w:t>natural</w:t>
      </w:r>
      <w:r>
        <w:rPr>
          <w:spacing w:val="-4"/>
          <w:w w:val="105"/>
          <w:sz w:val="21"/>
        </w:rPr>
        <w:t> </w:t>
      </w:r>
      <w:r>
        <w:rPr>
          <w:w w:val="105"/>
          <w:sz w:val="21"/>
        </w:rPr>
        <w:t>repository</w:t>
      </w:r>
      <w:r>
        <w:rPr>
          <w:spacing w:val="-4"/>
          <w:w w:val="105"/>
          <w:sz w:val="21"/>
        </w:rPr>
        <w:t> </w:t>
      </w:r>
      <w:r>
        <w:rPr>
          <w:w w:val="105"/>
          <w:sz w:val="21"/>
        </w:rPr>
        <w:t>of</w:t>
      </w:r>
      <w:r>
        <w:rPr>
          <w:spacing w:val="-5"/>
          <w:w w:val="105"/>
          <w:sz w:val="21"/>
        </w:rPr>
        <w:t> </w:t>
      </w:r>
      <w:r>
        <w:rPr>
          <w:spacing w:val="-3"/>
          <w:w w:val="105"/>
          <w:sz w:val="21"/>
        </w:rPr>
        <w:t>all</w:t>
      </w:r>
      <w:r>
        <w:rPr>
          <w:spacing w:val="-4"/>
          <w:w w:val="105"/>
          <w:sz w:val="21"/>
        </w:rPr>
        <w:t> </w:t>
      </w:r>
      <w:r>
        <w:rPr>
          <w:spacing w:val="-3"/>
          <w:w w:val="105"/>
          <w:sz w:val="21"/>
        </w:rPr>
        <w:t>provisions dealing </w:t>
      </w:r>
      <w:r>
        <w:rPr>
          <w:w w:val="105"/>
          <w:sz w:val="21"/>
        </w:rPr>
        <w:t>with the </w:t>
      </w:r>
      <w:r>
        <w:rPr>
          <w:spacing w:val="-3"/>
          <w:w w:val="105"/>
          <w:sz w:val="21"/>
        </w:rPr>
        <w:t>drafting </w:t>
      </w:r>
      <w:r>
        <w:rPr>
          <w:w w:val="105"/>
          <w:sz w:val="21"/>
        </w:rPr>
        <w:t>and execution of </w:t>
      </w:r>
      <w:r>
        <w:rPr>
          <w:spacing w:val="-3"/>
          <w:w w:val="105"/>
          <w:sz w:val="21"/>
        </w:rPr>
        <w:t>wills. </w:t>
      </w:r>
      <w:r>
        <w:rPr>
          <w:spacing w:val="-4"/>
          <w:w w:val="105"/>
          <w:sz w:val="21"/>
        </w:rPr>
        <w:t>However, </w:t>
      </w:r>
      <w:r>
        <w:rPr>
          <w:w w:val="105"/>
          <w:sz w:val="21"/>
        </w:rPr>
        <w:t>the </w:t>
      </w:r>
      <w:r>
        <w:rPr>
          <w:spacing w:val="-3"/>
          <w:w w:val="105"/>
          <w:sz w:val="21"/>
        </w:rPr>
        <w:t>Commission </w:t>
      </w:r>
      <w:r>
        <w:rPr>
          <w:spacing w:val="-2"/>
          <w:w w:val="105"/>
          <w:sz w:val="21"/>
        </w:rPr>
        <w:t>has </w:t>
      </w:r>
      <w:r>
        <w:rPr>
          <w:w w:val="105"/>
          <w:sz w:val="21"/>
        </w:rPr>
        <w:t>come </w:t>
      </w:r>
      <w:r>
        <w:rPr>
          <w:spacing w:val="-3"/>
          <w:w w:val="105"/>
          <w:sz w:val="21"/>
        </w:rPr>
        <w:t>to </w:t>
      </w:r>
      <w:r>
        <w:rPr>
          <w:w w:val="105"/>
          <w:sz w:val="21"/>
        </w:rPr>
        <w:t>the view </w:t>
      </w:r>
      <w:r>
        <w:rPr>
          <w:spacing w:val="-3"/>
          <w:w w:val="105"/>
          <w:sz w:val="21"/>
        </w:rPr>
        <w:t>that all </w:t>
      </w:r>
      <w:r>
        <w:rPr>
          <w:w w:val="105"/>
          <w:sz w:val="21"/>
        </w:rPr>
        <w:t>rules </w:t>
      </w:r>
      <w:r>
        <w:rPr>
          <w:spacing w:val="-3"/>
          <w:w w:val="105"/>
          <w:sz w:val="21"/>
        </w:rPr>
        <w:t>concerning </w:t>
      </w:r>
      <w:r>
        <w:rPr>
          <w:w w:val="105"/>
          <w:sz w:val="21"/>
        </w:rPr>
        <w:t>the payment of </w:t>
      </w:r>
      <w:r>
        <w:rPr>
          <w:spacing w:val="-3"/>
          <w:w w:val="105"/>
          <w:sz w:val="21"/>
        </w:rPr>
        <w:t>commission </w:t>
      </w:r>
      <w:r>
        <w:rPr>
          <w:w w:val="105"/>
          <w:sz w:val="21"/>
        </w:rPr>
        <w:t>and other</w:t>
      </w:r>
      <w:r>
        <w:rPr>
          <w:spacing w:val="3"/>
          <w:w w:val="105"/>
          <w:sz w:val="21"/>
        </w:rPr>
        <w:t> </w:t>
      </w:r>
      <w:r>
        <w:rPr>
          <w:w w:val="105"/>
          <w:sz w:val="21"/>
        </w:rPr>
        <w:t>amounts</w:t>
      </w:r>
    </w:p>
    <w:p>
      <w:pPr>
        <w:pStyle w:val="BodyText"/>
        <w:spacing w:before="4"/>
        <w:ind w:left="2380"/>
      </w:pPr>
      <w:r>
        <w:rPr>
          <w:w w:val="105"/>
        </w:rPr>
        <w:t>to executors should be co-located in the Administration and Probate Act.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4"/>
        </w:rPr>
      </w:pPr>
      <w:r>
        <w:rPr/>
        <w:pict>
          <v:line style="position:absolute;mso-position-horizontal-relative:page;mso-position-vertical-relative:paragraph;z-index:9008;mso-wrap-distance-left:0;mso-wrap-distance-right:0" from="79.370102pt,17.247641pt" to="515.905102pt,17.247641pt" stroked="true" strokeweight="1pt" strokecolor="#f9ceca">
            <v:stroke dashstyle="solid"/>
            <w10:wrap type="topAndBottom"/>
          </v:line>
        </w:pict>
      </w:r>
    </w:p>
    <w:p>
      <w:pPr>
        <w:tabs>
          <w:tab w:pos="1587" w:val="left" w:leader="none"/>
          <w:tab w:pos="2380" w:val="left" w:leader="none"/>
        </w:tabs>
        <w:spacing w:before="27"/>
        <w:ind w:left="720" w:right="0" w:firstLine="0"/>
        <w:jc w:val="left"/>
        <w:rPr>
          <w:sz w:val="13"/>
        </w:rPr>
      </w:pPr>
      <w:r>
        <w:rPr>
          <w:b/>
          <w:color w:val="EC5A4F"/>
          <w:w w:val="105"/>
          <w:sz w:val="24"/>
        </w:rPr>
        <w:t>148</w:t>
        <w:tab/>
      </w:r>
      <w:r>
        <w:rPr>
          <w:w w:val="105"/>
          <w:position w:val="1"/>
          <w:sz w:val="13"/>
        </w:rPr>
        <w:t>63</w:t>
        <w:tab/>
      </w:r>
      <w:r>
        <w:rPr>
          <w:i/>
          <w:w w:val="105"/>
          <w:position w:val="1"/>
          <w:sz w:val="13"/>
        </w:rPr>
        <w:t>Maguire v Makaronis </w:t>
      </w:r>
      <w:r>
        <w:rPr>
          <w:w w:val="105"/>
          <w:position w:val="1"/>
          <w:sz w:val="13"/>
        </w:rPr>
        <w:t>(1997) 188 CLR 449,</w:t>
      </w:r>
      <w:r>
        <w:rPr>
          <w:spacing w:val="29"/>
          <w:w w:val="105"/>
          <w:position w:val="1"/>
          <w:sz w:val="13"/>
        </w:rPr>
        <w:t> </w:t>
      </w:r>
      <w:r>
        <w:rPr>
          <w:spacing w:val="2"/>
          <w:w w:val="105"/>
          <w:position w:val="1"/>
          <w:sz w:val="13"/>
        </w:rPr>
        <w:t>466.</w:t>
      </w:r>
    </w:p>
    <w:p>
      <w:pPr>
        <w:spacing w:after="0"/>
        <w:jc w:val="left"/>
        <w:rPr>
          <w:sz w:val="13"/>
        </w:rPr>
        <w:sectPr>
          <w:pgSz w:w="11910" w:h="16840"/>
          <w:pgMar w:header="550" w:footer="0" w:top="1560" w:bottom="280" w:left="0" w:right="0"/>
        </w:sectPr>
      </w:pPr>
    </w:p>
    <w:p>
      <w:pPr>
        <w:pStyle w:val="BodyText"/>
        <w:rPr>
          <w:sz w:val="20"/>
        </w:rPr>
      </w:pPr>
    </w:p>
    <w:p>
      <w:pPr>
        <w:pStyle w:val="BodyText"/>
        <w:spacing w:before="11" w:after="1"/>
        <w:rPr>
          <w:sz w:val="29"/>
        </w:rPr>
      </w:pPr>
    </w:p>
    <w:p>
      <w:pPr>
        <w:pStyle w:val="BodyText"/>
        <w:ind w:left="1222"/>
        <w:rPr>
          <w:sz w:val="20"/>
        </w:rPr>
      </w:pPr>
      <w:r>
        <w:rPr>
          <w:sz w:val="20"/>
        </w:rPr>
        <w:pict>
          <v:group style="width:479.1pt;height:122.55pt;mso-position-horizontal-relative:char;mso-position-vertical-relative:line" coordorigin="0,0" coordsize="9582,2451">
            <v:rect style="position:absolute;left:340;top:0;width:8731;height:2451" filled="true" fillcolor="#fdebea" stroked="false">
              <v:fill type="solid"/>
            </v:rect>
            <v:line style="position:absolute" from="0,751" to="9581,751" stroked="true" strokeweight="2.5pt" strokecolor="#ffffff">
              <v:stroke dashstyle="solid"/>
            </v:line>
            <v:shape style="position:absolute;left:1133;top:987;width:7427;height:1289" type="#_x0000_t202" filled="false" stroked="false">
              <v:textbox inset="0,0,0,0">
                <w:txbxContent>
                  <w:p>
                    <w:pPr>
                      <w:spacing w:line="242" w:lineRule="auto" w:before="0"/>
                      <w:ind w:left="0" w:right="0" w:firstLine="0"/>
                      <w:jc w:val="left"/>
                      <w:rPr>
                        <w:sz w:val="21"/>
                      </w:rPr>
                    </w:pPr>
                    <w:r>
                      <w:rPr>
                        <w:w w:val="105"/>
                        <w:sz w:val="21"/>
                      </w:rPr>
                      <w:t>A new provision should be inserted into the </w:t>
                    </w:r>
                    <w:r>
                      <w:rPr>
                        <w:rFonts w:ascii="Lucida Sans"/>
                        <w:i/>
                        <w:w w:val="105"/>
                        <w:sz w:val="21"/>
                      </w:rPr>
                      <w:t>Administration and Probate Act </w:t>
                    </w:r>
                    <w:r>
                      <w:rPr>
                        <w:rFonts w:ascii="Lucida Sans"/>
                        <w:i/>
                        <w:w w:val="105"/>
                        <w:sz w:val="21"/>
                      </w:rPr>
                      <w:t>1958 </w:t>
                    </w:r>
                    <w:r>
                      <w:rPr>
                        <w:w w:val="105"/>
                        <w:sz w:val="21"/>
                      </w:rPr>
                      <w:t>(Vic) to the effect that a professional executor is unable to rely on a remuneration or commission clause in a will unless the will-maker gave</w:t>
                    </w:r>
                  </w:p>
                  <w:p>
                    <w:pPr>
                      <w:spacing w:line="242" w:lineRule="auto" w:before="0"/>
                      <w:ind w:left="0" w:right="340" w:firstLine="0"/>
                      <w:jc w:val="left"/>
                      <w:rPr>
                        <w:sz w:val="21"/>
                      </w:rPr>
                    </w:pPr>
                    <w:r>
                      <w:rPr>
                        <w:w w:val="115"/>
                        <w:sz w:val="21"/>
                      </w:rPr>
                      <w:t>their informed written consent to the inclusion of the clause, before the will was executed.</w:t>
                    </w:r>
                  </w:p>
                </w:txbxContent>
              </v:textbox>
              <w10:wrap type="none"/>
            </v:shape>
            <v:shape style="position:absolute;left:566;top:987;width:252;height:249" type="#_x0000_t202" filled="false" stroked="false">
              <v:textbox inset="0,0,0,0">
                <w:txbxContent>
                  <w:p>
                    <w:pPr>
                      <w:spacing w:line="249" w:lineRule="exact" w:before="0"/>
                      <w:ind w:left="0" w:right="0" w:firstLine="0"/>
                      <w:jc w:val="left"/>
                      <w:rPr>
                        <w:sz w:val="21"/>
                      </w:rPr>
                    </w:pPr>
                    <w:r>
                      <w:rPr>
                        <w:w w:val="110"/>
                        <w:sz w:val="21"/>
                      </w:rPr>
                      <w:t>52</w:t>
                    </w:r>
                  </w:p>
                </w:txbxContent>
              </v:textbox>
              <w10:wrap type="none"/>
            </v:shape>
            <v:shape style="position:absolute;left:340;top:0;width:8731;height:726" type="#_x0000_t202" filled="true" fillcolor="#fdebea" stroked="false">
              <v:textbox inset="0,0,0,0">
                <w:txbxContent>
                  <w:p>
                    <w:pPr>
                      <w:spacing w:before="166"/>
                      <w:ind w:left="226" w:right="0" w:firstLine="0"/>
                      <w:jc w:val="left"/>
                      <w:rPr>
                        <w:b/>
                        <w:sz w:val="32"/>
                      </w:rPr>
                    </w:pPr>
                    <w:r>
                      <w:rPr>
                        <w:b/>
                        <w:color w:val="EC5A4F"/>
                        <w:w w:val="110"/>
                        <w:sz w:val="32"/>
                      </w:rPr>
                      <w:t>Recommendation</w:t>
                    </w:r>
                  </w:p>
                </w:txbxContent>
              </v:textbox>
              <v:fill type="solid"/>
              <w10:wrap type="none"/>
            </v:shape>
          </v:group>
        </w:pict>
      </w:r>
      <w:r>
        <w:rPr>
          <w:sz w:val="20"/>
        </w:rPr>
      </w:r>
    </w:p>
    <w:p>
      <w:pPr>
        <w:pStyle w:val="BodyText"/>
        <w:spacing w:before="3"/>
        <w:rPr>
          <w:sz w:val="10"/>
        </w:rPr>
      </w:pPr>
    </w:p>
    <w:p>
      <w:pPr>
        <w:pStyle w:val="Heading5"/>
        <w:spacing w:before="99"/>
      </w:pPr>
      <w:r>
        <w:rPr>
          <w:w w:val="110"/>
        </w:rPr>
        <w:t>The beneficiaries’ consent</w:t>
      </w:r>
    </w:p>
    <w:p>
      <w:pPr>
        <w:pStyle w:val="ListParagraph"/>
        <w:numPr>
          <w:ilvl w:val="1"/>
          <w:numId w:val="22"/>
        </w:numPr>
        <w:tabs>
          <w:tab w:pos="2380" w:val="left" w:leader="none"/>
          <w:tab w:pos="2381" w:val="left" w:leader="none"/>
        </w:tabs>
        <w:spacing w:line="242" w:lineRule="auto" w:before="137" w:after="0"/>
        <w:ind w:left="2381" w:right="2394" w:hanging="794"/>
        <w:jc w:val="left"/>
        <w:rPr>
          <w:sz w:val="21"/>
        </w:rPr>
      </w:pPr>
      <w:r>
        <w:rPr>
          <w:sz w:val="21"/>
        </w:rPr>
        <w:t>What the beneficiaries need </w:t>
      </w:r>
      <w:r>
        <w:rPr>
          <w:spacing w:val="-3"/>
          <w:sz w:val="21"/>
        </w:rPr>
        <w:t>to </w:t>
      </w:r>
      <w:r>
        <w:rPr>
          <w:sz w:val="21"/>
        </w:rPr>
        <w:t>know in order </w:t>
      </w:r>
      <w:r>
        <w:rPr>
          <w:spacing w:val="-3"/>
          <w:sz w:val="21"/>
        </w:rPr>
        <w:t>to  </w:t>
      </w:r>
      <w:r>
        <w:rPr>
          <w:sz w:val="21"/>
        </w:rPr>
        <w:t>give their </w:t>
      </w:r>
      <w:r>
        <w:rPr>
          <w:spacing w:val="-3"/>
          <w:sz w:val="21"/>
        </w:rPr>
        <w:t>informed</w:t>
      </w:r>
      <w:r>
        <w:rPr>
          <w:spacing w:val="41"/>
          <w:sz w:val="21"/>
        </w:rPr>
        <w:t> </w:t>
      </w:r>
      <w:r>
        <w:rPr>
          <w:spacing w:val="-3"/>
          <w:sz w:val="21"/>
        </w:rPr>
        <w:t>consent  to </w:t>
      </w:r>
      <w:r>
        <w:rPr>
          <w:sz w:val="21"/>
        </w:rPr>
        <w:t>the payment of </w:t>
      </w:r>
      <w:r>
        <w:rPr>
          <w:spacing w:val="-3"/>
          <w:sz w:val="21"/>
        </w:rPr>
        <w:t>commission  to  </w:t>
      </w:r>
      <w:r>
        <w:rPr>
          <w:sz w:val="21"/>
        </w:rPr>
        <w:t>an </w:t>
      </w:r>
      <w:r>
        <w:rPr>
          <w:spacing w:val="-3"/>
          <w:sz w:val="21"/>
        </w:rPr>
        <w:t>executor</w:t>
      </w:r>
      <w:r>
        <w:rPr>
          <w:spacing w:val="41"/>
          <w:sz w:val="21"/>
        </w:rPr>
        <w:t> </w:t>
      </w:r>
      <w:r>
        <w:rPr>
          <w:sz w:val="21"/>
        </w:rPr>
        <w:t>also depends on the </w:t>
      </w:r>
      <w:r>
        <w:rPr>
          <w:spacing w:val="-3"/>
          <w:sz w:val="21"/>
        </w:rPr>
        <w:t>circumstances.     </w:t>
      </w:r>
      <w:r>
        <w:rPr>
          <w:sz w:val="21"/>
        </w:rPr>
        <w:t>In </w:t>
      </w:r>
      <w:r>
        <w:rPr>
          <w:i/>
          <w:spacing w:val="-4"/>
          <w:sz w:val="21"/>
        </w:rPr>
        <w:t>Walker </w:t>
      </w:r>
      <w:r>
        <w:rPr>
          <w:i/>
          <w:sz w:val="21"/>
        </w:rPr>
        <w:t>v </w:t>
      </w:r>
      <w:r>
        <w:rPr>
          <w:i/>
          <w:spacing w:val="-4"/>
          <w:sz w:val="21"/>
        </w:rPr>
        <w:t>D’Alessandro</w:t>
      </w:r>
      <w:r>
        <w:rPr>
          <w:spacing w:val="-4"/>
          <w:sz w:val="21"/>
        </w:rPr>
        <w:t>, </w:t>
      </w:r>
      <w:r>
        <w:rPr>
          <w:sz w:val="21"/>
        </w:rPr>
        <w:t>Justice T M Forrest set out the </w:t>
      </w:r>
      <w:r>
        <w:rPr>
          <w:spacing w:val="-3"/>
          <w:sz w:val="21"/>
        </w:rPr>
        <w:t>‘bare </w:t>
      </w:r>
      <w:r>
        <w:rPr>
          <w:spacing w:val="-4"/>
          <w:sz w:val="21"/>
        </w:rPr>
        <w:t>minimum’ </w:t>
      </w:r>
      <w:r>
        <w:rPr>
          <w:spacing w:val="-3"/>
          <w:sz w:val="21"/>
        </w:rPr>
        <w:t>that </w:t>
      </w:r>
      <w:r>
        <w:rPr>
          <w:sz w:val="21"/>
        </w:rPr>
        <w:t>the </w:t>
      </w:r>
      <w:r>
        <w:rPr>
          <w:spacing w:val="-3"/>
          <w:sz w:val="21"/>
        </w:rPr>
        <w:t>executor </w:t>
      </w:r>
      <w:r>
        <w:rPr>
          <w:sz w:val="21"/>
        </w:rPr>
        <w:t>should</w:t>
      </w:r>
      <w:r>
        <w:rPr>
          <w:spacing w:val="19"/>
          <w:sz w:val="21"/>
        </w:rPr>
        <w:t> </w:t>
      </w:r>
      <w:r>
        <w:rPr>
          <w:sz w:val="21"/>
        </w:rPr>
        <w:t>disclose:</w:t>
      </w:r>
    </w:p>
    <w:p>
      <w:pPr>
        <w:pStyle w:val="ListParagraph"/>
        <w:numPr>
          <w:ilvl w:val="0"/>
          <w:numId w:val="116"/>
        </w:numPr>
        <w:tabs>
          <w:tab w:pos="2990" w:val="left" w:leader="none"/>
        </w:tabs>
        <w:spacing w:line="254" w:lineRule="auto" w:before="134" w:after="0"/>
        <w:ind w:left="2989" w:right="2261" w:hanging="268"/>
        <w:jc w:val="left"/>
        <w:rPr>
          <w:sz w:val="20"/>
        </w:rPr>
      </w:pPr>
      <w:r>
        <w:rPr>
          <w:w w:val="105"/>
          <w:sz w:val="20"/>
        </w:rPr>
        <w:t>The</w:t>
      </w:r>
      <w:r>
        <w:rPr>
          <w:spacing w:val="-6"/>
          <w:w w:val="105"/>
          <w:sz w:val="20"/>
        </w:rPr>
        <w:t> </w:t>
      </w:r>
      <w:r>
        <w:rPr>
          <w:w w:val="105"/>
          <w:sz w:val="20"/>
        </w:rPr>
        <w:t>work</w:t>
      </w:r>
      <w:r>
        <w:rPr>
          <w:spacing w:val="-5"/>
          <w:w w:val="105"/>
          <w:sz w:val="20"/>
        </w:rPr>
        <w:t> </w:t>
      </w:r>
      <w:r>
        <w:rPr>
          <w:w w:val="105"/>
          <w:sz w:val="20"/>
        </w:rPr>
        <w:t>that</w:t>
      </w:r>
      <w:r>
        <w:rPr>
          <w:spacing w:val="-6"/>
          <w:w w:val="105"/>
          <w:sz w:val="20"/>
        </w:rPr>
        <w:t> </w:t>
      </w:r>
      <w:r>
        <w:rPr>
          <w:w w:val="105"/>
          <w:sz w:val="20"/>
        </w:rPr>
        <w:t>he</w:t>
      </w:r>
      <w:r>
        <w:rPr>
          <w:spacing w:val="-5"/>
          <w:w w:val="105"/>
          <w:sz w:val="20"/>
        </w:rPr>
        <w:t> </w:t>
      </w:r>
      <w:r>
        <w:rPr>
          <w:w w:val="105"/>
          <w:sz w:val="20"/>
        </w:rPr>
        <w:t>has</w:t>
      </w:r>
      <w:r>
        <w:rPr>
          <w:spacing w:val="-6"/>
          <w:w w:val="105"/>
          <w:sz w:val="20"/>
        </w:rPr>
        <w:t> </w:t>
      </w:r>
      <w:r>
        <w:rPr>
          <w:w w:val="105"/>
          <w:sz w:val="20"/>
        </w:rPr>
        <w:t>done</w:t>
      </w:r>
      <w:r>
        <w:rPr>
          <w:spacing w:val="-5"/>
          <w:w w:val="105"/>
          <w:sz w:val="20"/>
        </w:rPr>
        <w:t> </w:t>
      </w:r>
      <w:r>
        <w:rPr>
          <w:w w:val="105"/>
          <w:sz w:val="20"/>
        </w:rPr>
        <w:t>to</w:t>
      </w:r>
      <w:r>
        <w:rPr>
          <w:spacing w:val="-5"/>
          <w:w w:val="105"/>
          <w:sz w:val="20"/>
        </w:rPr>
        <w:t> </w:t>
      </w:r>
      <w:r>
        <w:rPr>
          <w:w w:val="105"/>
          <w:sz w:val="20"/>
        </w:rPr>
        <w:t>justify</w:t>
      </w:r>
      <w:r>
        <w:rPr>
          <w:spacing w:val="-6"/>
          <w:w w:val="105"/>
          <w:sz w:val="20"/>
        </w:rPr>
        <w:t> </w:t>
      </w:r>
      <w:r>
        <w:rPr>
          <w:w w:val="105"/>
          <w:sz w:val="20"/>
        </w:rPr>
        <w:t>the</w:t>
      </w:r>
      <w:r>
        <w:rPr>
          <w:spacing w:val="-5"/>
          <w:w w:val="105"/>
          <w:sz w:val="20"/>
        </w:rPr>
        <w:t> </w:t>
      </w:r>
      <w:r>
        <w:rPr>
          <w:w w:val="105"/>
          <w:sz w:val="20"/>
        </w:rPr>
        <w:t>commission.</w:t>
      </w:r>
      <w:r>
        <w:rPr>
          <w:spacing w:val="-6"/>
          <w:w w:val="105"/>
          <w:sz w:val="20"/>
        </w:rPr>
        <w:t> </w:t>
      </w:r>
      <w:r>
        <w:rPr>
          <w:w w:val="105"/>
          <w:sz w:val="20"/>
        </w:rPr>
        <w:t>This</w:t>
      </w:r>
      <w:r>
        <w:rPr>
          <w:spacing w:val="-5"/>
          <w:w w:val="105"/>
          <w:sz w:val="20"/>
        </w:rPr>
        <w:t> </w:t>
      </w:r>
      <w:r>
        <w:rPr>
          <w:w w:val="105"/>
          <w:sz w:val="20"/>
        </w:rPr>
        <w:t>should</w:t>
      </w:r>
      <w:r>
        <w:rPr>
          <w:spacing w:val="-5"/>
          <w:w w:val="105"/>
          <w:sz w:val="20"/>
        </w:rPr>
        <w:t> </w:t>
      </w:r>
      <w:r>
        <w:rPr>
          <w:w w:val="105"/>
          <w:sz w:val="20"/>
        </w:rPr>
        <w:t>be</w:t>
      </w:r>
      <w:r>
        <w:rPr>
          <w:spacing w:val="-6"/>
          <w:w w:val="105"/>
          <w:sz w:val="20"/>
        </w:rPr>
        <w:t> </w:t>
      </w:r>
      <w:r>
        <w:rPr>
          <w:w w:val="105"/>
          <w:sz w:val="20"/>
        </w:rPr>
        <w:t>done</w:t>
      </w:r>
      <w:r>
        <w:rPr>
          <w:spacing w:val="-5"/>
          <w:w w:val="105"/>
          <w:sz w:val="20"/>
        </w:rPr>
        <w:t> </w:t>
      </w:r>
      <w:r>
        <w:rPr>
          <w:w w:val="105"/>
          <w:sz w:val="20"/>
        </w:rPr>
        <w:t>with particularity.</w:t>
      </w:r>
    </w:p>
    <w:p>
      <w:pPr>
        <w:pStyle w:val="ListParagraph"/>
        <w:numPr>
          <w:ilvl w:val="0"/>
          <w:numId w:val="116"/>
        </w:numPr>
        <w:tabs>
          <w:tab w:pos="3003" w:val="left" w:leader="none"/>
        </w:tabs>
        <w:spacing w:line="254" w:lineRule="auto" w:before="122" w:after="0"/>
        <w:ind w:left="3002" w:right="2051" w:hanging="281"/>
        <w:jc w:val="left"/>
        <w:rPr>
          <w:sz w:val="20"/>
        </w:rPr>
      </w:pPr>
      <w:r>
        <w:rPr>
          <w:w w:val="105"/>
          <w:sz w:val="20"/>
        </w:rPr>
        <w:t>If he is </w:t>
      </w:r>
      <w:r>
        <w:rPr>
          <w:spacing w:val="-3"/>
          <w:w w:val="105"/>
          <w:sz w:val="20"/>
        </w:rPr>
        <w:t>invoicing </w:t>
      </w:r>
      <w:r>
        <w:rPr>
          <w:w w:val="105"/>
          <w:sz w:val="20"/>
        </w:rPr>
        <w:t>the estate for legal fees and disbursements he ought identify with</w:t>
      </w:r>
      <w:r>
        <w:rPr>
          <w:spacing w:val="-12"/>
          <w:w w:val="105"/>
          <w:sz w:val="20"/>
        </w:rPr>
        <w:t> </w:t>
      </w:r>
      <w:r>
        <w:rPr>
          <w:w w:val="105"/>
          <w:sz w:val="20"/>
        </w:rPr>
        <w:t>particularity</w:t>
      </w:r>
      <w:r>
        <w:rPr>
          <w:spacing w:val="-11"/>
          <w:w w:val="105"/>
          <w:sz w:val="20"/>
        </w:rPr>
        <w:t> </w:t>
      </w:r>
      <w:r>
        <w:rPr>
          <w:w w:val="105"/>
          <w:sz w:val="20"/>
        </w:rPr>
        <w:t>what</w:t>
      </w:r>
      <w:r>
        <w:rPr>
          <w:spacing w:val="-12"/>
          <w:w w:val="105"/>
          <w:sz w:val="20"/>
        </w:rPr>
        <w:t> </w:t>
      </w:r>
      <w:r>
        <w:rPr>
          <w:w w:val="105"/>
          <w:sz w:val="20"/>
        </w:rPr>
        <w:t>constitutes</w:t>
      </w:r>
      <w:r>
        <w:rPr>
          <w:spacing w:val="-11"/>
          <w:w w:val="105"/>
          <w:sz w:val="20"/>
        </w:rPr>
        <w:t> </w:t>
      </w:r>
      <w:r>
        <w:rPr>
          <w:w w:val="105"/>
          <w:sz w:val="20"/>
        </w:rPr>
        <w:t>the</w:t>
      </w:r>
      <w:r>
        <w:rPr>
          <w:spacing w:val="-12"/>
          <w:w w:val="105"/>
          <w:sz w:val="20"/>
        </w:rPr>
        <w:t> </w:t>
      </w:r>
      <w:r>
        <w:rPr>
          <w:w w:val="105"/>
          <w:sz w:val="20"/>
        </w:rPr>
        <w:t>basis</w:t>
      </w:r>
      <w:r>
        <w:rPr>
          <w:spacing w:val="-11"/>
          <w:w w:val="105"/>
          <w:sz w:val="20"/>
        </w:rPr>
        <w:t> </w:t>
      </w:r>
      <w:r>
        <w:rPr>
          <w:w w:val="105"/>
          <w:sz w:val="20"/>
        </w:rPr>
        <w:t>for</w:t>
      </w:r>
      <w:r>
        <w:rPr>
          <w:spacing w:val="-12"/>
          <w:w w:val="105"/>
          <w:sz w:val="20"/>
        </w:rPr>
        <w:t> </w:t>
      </w:r>
      <w:r>
        <w:rPr>
          <w:w w:val="105"/>
          <w:sz w:val="20"/>
        </w:rPr>
        <w:t>same.</w:t>
      </w:r>
      <w:r>
        <w:rPr>
          <w:spacing w:val="-11"/>
          <w:w w:val="105"/>
          <w:sz w:val="20"/>
        </w:rPr>
        <w:t> </w:t>
      </w:r>
      <w:r>
        <w:rPr>
          <w:w w:val="105"/>
          <w:sz w:val="20"/>
        </w:rPr>
        <w:t>Only</w:t>
      </w:r>
      <w:r>
        <w:rPr>
          <w:spacing w:val="-11"/>
          <w:w w:val="105"/>
          <w:sz w:val="20"/>
        </w:rPr>
        <w:t> </w:t>
      </w:r>
      <w:r>
        <w:rPr>
          <w:w w:val="105"/>
          <w:sz w:val="20"/>
        </w:rPr>
        <w:t>then</w:t>
      </w:r>
      <w:r>
        <w:rPr>
          <w:spacing w:val="-12"/>
          <w:w w:val="105"/>
          <w:sz w:val="20"/>
        </w:rPr>
        <w:t> </w:t>
      </w:r>
      <w:r>
        <w:rPr>
          <w:w w:val="105"/>
          <w:sz w:val="20"/>
        </w:rPr>
        <w:t>can</w:t>
      </w:r>
      <w:r>
        <w:rPr>
          <w:spacing w:val="-11"/>
          <w:w w:val="105"/>
          <w:sz w:val="20"/>
        </w:rPr>
        <w:t> </w:t>
      </w:r>
      <w:r>
        <w:rPr>
          <w:w w:val="105"/>
          <w:sz w:val="20"/>
        </w:rPr>
        <w:t>a</w:t>
      </w:r>
      <w:r>
        <w:rPr>
          <w:spacing w:val="-12"/>
          <w:w w:val="105"/>
          <w:sz w:val="20"/>
        </w:rPr>
        <w:t> </w:t>
      </w:r>
      <w:r>
        <w:rPr>
          <w:w w:val="105"/>
          <w:sz w:val="20"/>
        </w:rPr>
        <w:t>beneficiary </w:t>
      </w:r>
      <w:r>
        <w:rPr>
          <w:spacing w:val="-3"/>
          <w:w w:val="105"/>
          <w:sz w:val="20"/>
        </w:rPr>
        <w:t>accurately </w:t>
      </w:r>
      <w:r>
        <w:rPr>
          <w:w w:val="105"/>
          <w:sz w:val="20"/>
        </w:rPr>
        <w:t>measure the </w:t>
      </w:r>
      <w:r>
        <w:rPr>
          <w:spacing w:val="-3"/>
          <w:w w:val="105"/>
          <w:sz w:val="20"/>
        </w:rPr>
        <w:t>‘pains </w:t>
      </w:r>
      <w:r>
        <w:rPr>
          <w:w w:val="105"/>
          <w:sz w:val="20"/>
        </w:rPr>
        <w:t>and troubles’ occasioned to the executor beyond the subject matter of those legal fees and</w:t>
      </w:r>
      <w:r>
        <w:rPr>
          <w:spacing w:val="20"/>
          <w:w w:val="105"/>
          <w:sz w:val="20"/>
        </w:rPr>
        <w:t> </w:t>
      </w:r>
      <w:r>
        <w:rPr>
          <w:w w:val="105"/>
          <w:sz w:val="20"/>
        </w:rPr>
        <w:t>disbursements.</w:t>
      </w:r>
    </w:p>
    <w:p>
      <w:pPr>
        <w:pStyle w:val="ListParagraph"/>
        <w:numPr>
          <w:ilvl w:val="0"/>
          <w:numId w:val="116"/>
        </w:numPr>
        <w:tabs>
          <w:tab w:pos="2976" w:val="left" w:leader="none"/>
        </w:tabs>
        <w:spacing w:line="254" w:lineRule="auto" w:before="125" w:after="0"/>
        <w:ind w:left="2975" w:right="1879" w:hanging="254"/>
        <w:jc w:val="left"/>
        <w:rPr>
          <w:sz w:val="20"/>
        </w:rPr>
      </w:pPr>
      <w:r>
        <w:rPr>
          <w:sz w:val="20"/>
        </w:rPr>
        <w:t>That the beneficiaries are entitled to </w:t>
      </w:r>
      <w:r>
        <w:rPr>
          <w:spacing w:val="-3"/>
          <w:sz w:val="20"/>
        </w:rPr>
        <w:t>have </w:t>
      </w:r>
      <w:r>
        <w:rPr>
          <w:sz w:val="20"/>
        </w:rPr>
        <w:t>this Court assess his commission pursuant to</w:t>
      </w:r>
      <w:r>
        <w:rPr>
          <w:spacing w:val="13"/>
          <w:sz w:val="20"/>
        </w:rPr>
        <w:t> </w:t>
      </w:r>
      <w:r>
        <w:rPr>
          <w:sz w:val="20"/>
        </w:rPr>
        <w:t>s</w:t>
      </w:r>
      <w:r>
        <w:rPr>
          <w:spacing w:val="14"/>
          <w:sz w:val="20"/>
        </w:rPr>
        <w:t> </w:t>
      </w:r>
      <w:r>
        <w:rPr>
          <w:spacing w:val="-3"/>
          <w:sz w:val="20"/>
        </w:rPr>
        <w:t>65</w:t>
      </w:r>
      <w:r>
        <w:rPr>
          <w:spacing w:val="14"/>
          <w:sz w:val="20"/>
        </w:rPr>
        <w:t> </w:t>
      </w:r>
      <w:r>
        <w:rPr>
          <w:sz w:val="20"/>
        </w:rPr>
        <w:t>of</w:t>
      </w:r>
      <w:r>
        <w:rPr>
          <w:spacing w:val="14"/>
          <w:sz w:val="20"/>
        </w:rPr>
        <w:t> </w:t>
      </w:r>
      <w:r>
        <w:rPr>
          <w:sz w:val="20"/>
        </w:rPr>
        <w:t>the</w:t>
      </w:r>
      <w:r>
        <w:rPr>
          <w:spacing w:val="13"/>
          <w:sz w:val="20"/>
        </w:rPr>
        <w:t> </w:t>
      </w:r>
      <w:r>
        <w:rPr>
          <w:sz w:val="20"/>
        </w:rPr>
        <w:t>[Administration</w:t>
      </w:r>
      <w:r>
        <w:rPr>
          <w:spacing w:val="14"/>
          <w:sz w:val="20"/>
        </w:rPr>
        <w:t> </w:t>
      </w:r>
      <w:r>
        <w:rPr>
          <w:sz w:val="20"/>
        </w:rPr>
        <w:t>and</w:t>
      </w:r>
      <w:r>
        <w:rPr>
          <w:spacing w:val="14"/>
          <w:sz w:val="20"/>
        </w:rPr>
        <w:t> </w:t>
      </w:r>
      <w:r>
        <w:rPr>
          <w:sz w:val="20"/>
        </w:rPr>
        <w:t>Probate]</w:t>
      </w:r>
      <w:r>
        <w:rPr>
          <w:spacing w:val="14"/>
          <w:sz w:val="20"/>
        </w:rPr>
        <w:t> </w:t>
      </w:r>
      <w:r>
        <w:rPr>
          <w:sz w:val="20"/>
        </w:rPr>
        <w:t>Act.</w:t>
      </w:r>
      <w:r>
        <w:rPr>
          <w:spacing w:val="13"/>
          <w:sz w:val="20"/>
        </w:rPr>
        <w:t> </w:t>
      </w:r>
      <w:r>
        <w:rPr>
          <w:sz w:val="20"/>
        </w:rPr>
        <w:t>This</w:t>
      </w:r>
      <w:r>
        <w:rPr>
          <w:spacing w:val="14"/>
          <w:sz w:val="20"/>
        </w:rPr>
        <w:t> </w:t>
      </w:r>
      <w:r>
        <w:rPr>
          <w:sz w:val="20"/>
        </w:rPr>
        <w:t>needs</w:t>
      </w:r>
      <w:r>
        <w:rPr>
          <w:spacing w:val="14"/>
          <w:sz w:val="20"/>
        </w:rPr>
        <w:t> </w:t>
      </w:r>
      <w:r>
        <w:rPr>
          <w:sz w:val="20"/>
        </w:rPr>
        <w:t>to</w:t>
      </w:r>
      <w:r>
        <w:rPr>
          <w:spacing w:val="14"/>
          <w:sz w:val="20"/>
        </w:rPr>
        <w:t> </w:t>
      </w:r>
      <w:r>
        <w:rPr>
          <w:sz w:val="20"/>
        </w:rPr>
        <w:t>be</w:t>
      </w:r>
      <w:r>
        <w:rPr>
          <w:spacing w:val="14"/>
          <w:sz w:val="20"/>
        </w:rPr>
        <w:t> </w:t>
      </w:r>
      <w:r>
        <w:rPr>
          <w:sz w:val="20"/>
        </w:rPr>
        <w:t>explained</w:t>
      </w:r>
      <w:r>
        <w:rPr>
          <w:spacing w:val="13"/>
          <w:sz w:val="20"/>
        </w:rPr>
        <w:t> </w:t>
      </w:r>
      <w:r>
        <w:rPr>
          <w:spacing w:val="-4"/>
          <w:sz w:val="20"/>
        </w:rPr>
        <w:t>fully.</w:t>
      </w:r>
    </w:p>
    <w:p>
      <w:pPr>
        <w:pStyle w:val="ListParagraph"/>
        <w:numPr>
          <w:ilvl w:val="0"/>
          <w:numId w:val="116"/>
        </w:numPr>
        <w:tabs>
          <w:tab w:pos="2999" w:val="left" w:leader="none"/>
        </w:tabs>
        <w:spacing w:line="254" w:lineRule="auto" w:before="123" w:after="0"/>
        <w:ind w:left="2998" w:right="2258" w:hanging="277"/>
        <w:jc w:val="left"/>
        <w:rPr>
          <w:sz w:val="20"/>
        </w:rPr>
      </w:pPr>
      <w:r>
        <w:rPr>
          <w:sz w:val="20"/>
        </w:rPr>
        <w:t>That it is </w:t>
      </w:r>
      <w:r>
        <w:rPr>
          <w:spacing w:val="-3"/>
          <w:sz w:val="20"/>
        </w:rPr>
        <w:t>desirable that </w:t>
      </w:r>
      <w:r>
        <w:rPr>
          <w:sz w:val="20"/>
        </w:rPr>
        <w:t>the </w:t>
      </w:r>
      <w:r>
        <w:rPr>
          <w:spacing w:val="-3"/>
          <w:sz w:val="20"/>
        </w:rPr>
        <w:t>beneficiaries </w:t>
      </w:r>
      <w:r>
        <w:rPr>
          <w:sz w:val="20"/>
        </w:rPr>
        <w:t>seek  </w:t>
      </w:r>
      <w:r>
        <w:rPr>
          <w:spacing w:val="-3"/>
          <w:sz w:val="20"/>
        </w:rPr>
        <w:t>independent  </w:t>
      </w:r>
      <w:r>
        <w:rPr>
          <w:sz w:val="20"/>
        </w:rPr>
        <w:t>legal  </w:t>
      </w:r>
      <w:r>
        <w:rPr>
          <w:spacing w:val="-2"/>
          <w:sz w:val="20"/>
        </w:rPr>
        <w:t>advice  </w:t>
      </w:r>
      <w:r>
        <w:rPr>
          <w:sz w:val="20"/>
        </w:rPr>
        <w:t>as  </w:t>
      </w:r>
      <w:r>
        <w:rPr>
          <w:spacing w:val="-3"/>
          <w:sz w:val="20"/>
        </w:rPr>
        <w:t>to their </w:t>
      </w:r>
      <w:r>
        <w:rPr>
          <w:sz w:val="20"/>
        </w:rPr>
        <w:t>position on </w:t>
      </w:r>
      <w:r>
        <w:rPr>
          <w:spacing w:val="-3"/>
          <w:sz w:val="20"/>
        </w:rPr>
        <w:t>this issue </w:t>
      </w:r>
      <w:r>
        <w:rPr>
          <w:sz w:val="20"/>
        </w:rPr>
        <w:t>of </w:t>
      </w:r>
      <w:r>
        <w:rPr>
          <w:spacing w:val="-3"/>
          <w:sz w:val="20"/>
        </w:rPr>
        <w:t>consent. </w:t>
      </w:r>
      <w:r>
        <w:rPr>
          <w:sz w:val="20"/>
        </w:rPr>
        <w:t>In </w:t>
      </w:r>
      <w:r>
        <w:rPr>
          <w:spacing w:val="-3"/>
          <w:sz w:val="20"/>
        </w:rPr>
        <w:t>many </w:t>
      </w:r>
      <w:r>
        <w:rPr>
          <w:sz w:val="20"/>
        </w:rPr>
        <w:t>cases where the </w:t>
      </w:r>
      <w:r>
        <w:rPr>
          <w:spacing w:val="-3"/>
          <w:sz w:val="20"/>
        </w:rPr>
        <w:t>beneficiaries are</w:t>
      </w:r>
    </w:p>
    <w:p>
      <w:pPr>
        <w:spacing w:line="254" w:lineRule="auto" w:before="2"/>
        <w:ind w:left="2998" w:right="1648" w:firstLine="0"/>
        <w:jc w:val="left"/>
        <w:rPr>
          <w:sz w:val="11"/>
        </w:rPr>
      </w:pPr>
      <w:r>
        <w:rPr>
          <w:spacing w:val="-3"/>
          <w:w w:val="105"/>
          <w:sz w:val="20"/>
        </w:rPr>
        <w:t>unsophisticated</w:t>
      </w:r>
      <w:r>
        <w:rPr>
          <w:spacing w:val="-7"/>
          <w:w w:val="105"/>
          <w:sz w:val="20"/>
        </w:rPr>
        <w:t> </w:t>
      </w:r>
      <w:r>
        <w:rPr>
          <w:w w:val="105"/>
          <w:sz w:val="20"/>
        </w:rPr>
        <w:t>people</w:t>
      </w:r>
      <w:r>
        <w:rPr>
          <w:spacing w:val="-6"/>
          <w:w w:val="105"/>
          <w:sz w:val="20"/>
        </w:rPr>
        <w:t> </w:t>
      </w:r>
      <w:r>
        <w:rPr>
          <w:w w:val="105"/>
          <w:sz w:val="20"/>
        </w:rPr>
        <w:t>and</w:t>
      </w:r>
      <w:r>
        <w:rPr>
          <w:spacing w:val="-6"/>
          <w:w w:val="105"/>
          <w:sz w:val="20"/>
        </w:rPr>
        <w:t> </w:t>
      </w:r>
      <w:r>
        <w:rPr>
          <w:w w:val="105"/>
          <w:sz w:val="20"/>
        </w:rPr>
        <w:t>the</w:t>
      </w:r>
      <w:r>
        <w:rPr>
          <w:spacing w:val="-6"/>
          <w:w w:val="105"/>
          <w:sz w:val="20"/>
        </w:rPr>
        <w:t> </w:t>
      </w:r>
      <w:r>
        <w:rPr>
          <w:spacing w:val="-3"/>
          <w:w w:val="105"/>
          <w:sz w:val="20"/>
        </w:rPr>
        <w:t>issues</w:t>
      </w:r>
      <w:r>
        <w:rPr>
          <w:spacing w:val="-7"/>
          <w:w w:val="105"/>
          <w:sz w:val="20"/>
        </w:rPr>
        <w:t> </w:t>
      </w:r>
      <w:r>
        <w:rPr>
          <w:spacing w:val="-3"/>
          <w:w w:val="105"/>
          <w:sz w:val="20"/>
        </w:rPr>
        <w:t>are</w:t>
      </w:r>
      <w:r>
        <w:rPr>
          <w:spacing w:val="-6"/>
          <w:w w:val="105"/>
          <w:sz w:val="20"/>
        </w:rPr>
        <w:t> </w:t>
      </w:r>
      <w:r>
        <w:rPr>
          <w:spacing w:val="-3"/>
          <w:w w:val="105"/>
          <w:sz w:val="20"/>
        </w:rPr>
        <w:t>complex</w:t>
      </w:r>
      <w:r>
        <w:rPr>
          <w:spacing w:val="-6"/>
          <w:w w:val="105"/>
          <w:sz w:val="20"/>
        </w:rPr>
        <w:t> </w:t>
      </w:r>
      <w:r>
        <w:rPr>
          <w:w w:val="105"/>
          <w:sz w:val="20"/>
        </w:rPr>
        <w:t>he</w:t>
      </w:r>
      <w:r>
        <w:rPr>
          <w:spacing w:val="-6"/>
          <w:w w:val="105"/>
          <w:sz w:val="20"/>
        </w:rPr>
        <w:t> </w:t>
      </w:r>
      <w:r>
        <w:rPr>
          <w:spacing w:val="-3"/>
          <w:w w:val="105"/>
          <w:sz w:val="20"/>
        </w:rPr>
        <w:t>ought</w:t>
      </w:r>
      <w:r>
        <w:rPr>
          <w:spacing w:val="-6"/>
          <w:w w:val="105"/>
          <w:sz w:val="20"/>
        </w:rPr>
        <w:t> </w:t>
      </w:r>
      <w:r>
        <w:rPr>
          <w:spacing w:val="-3"/>
          <w:w w:val="105"/>
          <w:sz w:val="20"/>
        </w:rPr>
        <w:t>insist</w:t>
      </w:r>
      <w:r>
        <w:rPr>
          <w:spacing w:val="-7"/>
          <w:w w:val="105"/>
          <w:sz w:val="20"/>
        </w:rPr>
        <w:t> </w:t>
      </w:r>
      <w:r>
        <w:rPr>
          <w:w w:val="105"/>
          <w:sz w:val="20"/>
        </w:rPr>
        <w:t>upon</w:t>
      </w:r>
      <w:r>
        <w:rPr>
          <w:spacing w:val="-6"/>
          <w:w w:val="105"/>
          <w:sz w:val="20"/>
        </w:rPr>
        <w:t> </w:t>
      </w:r>
      <w:r>
        <w:rPr>
          <w:w w:val="105"/>
          <w:sz w:val="20"/>
        </w:rPr>
        <w:t>them</w:t>
      </w:r>
      <w:r>
        <w:rPr>
          <w:spacing w:val="-6"/>
          <w:w w:val="105"/>
          <w:sz w:val="20"/>
        </w:rPr>
        <w:t> </w:t>
      </w:r>
      <w:r>
        <w:rPr>
          <w:spacing w:val="-3"/>
          <w:w w:val="105"/>
          <w:sz w:val="20"/>
        </w:rPr>
        <w:t>receiving independent </w:t>
      </w:r>
      <w:r>
        <w:rPr>
          <w:w w:val="105"/>
          <w:sz w:val="20"/>
        </w:rPr>
        <w:t>legal </w:t>
      </w:r>
      <w:r>
        <w:rPr>
          <w:spacing w:val="-2"/>
          <w:w w:val="105"/>
          <w:sz w:val="20"/>
        </w:rPr>
        <w:t>advice </w:t>
      </w:r>
      <w:r>
        <w:rPr>
          <w:w w:val="105"/>
          <w:sz w:val="20"/>
        </w:rPr>
        <w:t>and </w:t>
      </w:r>
      <w:r>
        <w:rPr>
          <w:spacing w:val="-3"/>
          <w:w w:val="105"/>
          <w:sz w:val="20"/>
        </w:rPr>
        <w:t>ought </w:t>
      </w:r>
      <w:r>
        <w:rPr>
          <w:spacing w:val="-2"/>
          <w:w w:val="105"/>
          <w:sz w:val="20"/>
        </w:rPr>
        <w:t>not </w:t>
      </w:r>
      <w:r>
        <w:rPr>
          <w:spacing w:val="-3"/>
          <w:w w:val="105"/>
          <w:sz w:val="20"/>
        </w:rPr>
        <w:t>enter </w:t>
      </w:r>
      <w:r>
        <w:rPr>
          <w:spacing w:val="-4"/>
          <w:w w:val="105"/>
          <w:sz w:val="20"/>
        </w:rPr>
        <w:t>into </w:t>
      </w:r>
      <w:r>
        <w:rPr>
          <w:spacing w:val="-3"/>
          <w:w w:val="105"/>
          <w:sz w:val="20"/>
        </w:rPr>
        <w:t>any commission agreement </w:t>
      </w:r>
      <w:r>
        <w:rPr>
          <w:spacing w:val="-4"/>
          <w:w w:val="105"/>
          <w:sz w:val="20"/>
        </w:rPr>
        <w:t>until </w:t>
      </w:r>
      <w:r>
        <w:rPr>
          <w:spacing w:val="-3"/>
          <w:w w:val="105"/>
          <w:sz w:val="20"/>
        </w:rPr>
        <w:t>they</w:t>
      </w:r>
      <w:r>
        <w:rPr>
          <w:spacing w:val="3"/>
          <w:w w:val="105"/>
          <w:sz w:val="20"/>
        </w:rPr>
        <w:t> </w:t>
      </w:r>
      <w:r>
        <w:rPr>
          <w:spacing w:val="-3"/>
          <w:w w:val="105"/>
          <w:sz w:val="20"/>
        </w:rPr>
        <w:t>have.</w:t>
      </w:r>
      <w:r>
        <w:rPr>
          <w:spacing w:val="-3"/>
          <w:w w:val="105"/>
          <w:position w:val="7"/>
          <w:sz w:val="11"/>
        </w:rPr>
        <w:t>64</w:t>
      </w:r>
    </w:p>
    <w:p>
      <w:pPr>
        <w:pStyle w:val="ListParagraph"/>
        <w:numPr>
          <w:ilvl w:val="1"/>
          <w:numId w:val="22"/>
        </w:numPr>
        <w:tabs>
          <w:tab w:pos="2380" w:val="left" w:leader="none"/>
          <w:tab w:pos="2381" w:val="left" w:leader="none"/>
        </w:tabs>
        <w:spacing w:line="242" w:lineRule="auto" w:before="114" w:after="0"/>
        <w:ind w:left="2381" w:right="1782" w:hanging="794"/>
        <w:jc w:val="left"/>
        <w:rPr>
          <w:sz w:val="21"/>
        </w:rPr>
      </w:pPr>
      <w:r>
        <w:rPr>
          <w:sz w:val="21"/>
        </w:rPr>
        <w:t>Legal practitioner executors </w:t>
      </w:r>
      <w:r>
        <w:rPr>
          <w:spacing w:val="-2"/>
          <w:sz w:val="21"/>
        </w:rPr>
        <w:t>commonly </w:t>
      </w:r>
      <w:r>
        <w:rPr>
          <w:spacing w:val="-3"/>
          <w:sz w:val="21"/>
        </w:rPr>
        <w:t>tell </w:t>
      </w:r>
      <w:r>
        <w:rPr>
          <w:sz w:val="21"/>
        </w:rPr>
        <w:t>beneficiaries </w:t>
      </w:r>
      <w:r>
        <w:rPr>
          <w:spacing w:val="-3"/>
          <w:sz w:val="21"/>
        </w:rPr>
        <w:t>that, </w:t>
      </w:r>
      <w:r>
        <w:rPr>
          <w:sz w:val="21"/>
        </w:rPr>
        <w:t>if they do </w:t>
      </w:r>
      <w:r>
        <w:rPr>
          <w:spacing w:val="-2"/>
          <w:sz w:val="21"/>
        </w:rPr>
        <w:t>not </w:t>
      </w:r>
      <w:r>
        <w:rPr>
          <w:sz w:val="21"/>
        </w:rPr>
        <w:t>agree </w:t>
      </w:r>
      <w:r>
        <w:rPr>
          <w:spacing w:val="-3"/>
          <w:sz w:val="21"/>
        </w:rPr>
        <w:t>to </w:t>
      </w:r>
      <w:r>
        <w:rPr>
          <w:sz w:val="21"/>
        </w:rPr>
        <w:t>the payment of </w:t>
      </w:r>
      <w:r>
        <w:rPr>
          <w:spacing w:val="-3"/>
          <w:sz w:val="21"/>
        </w:rPr>
        <w:t>commission, </w:t>
      </w:r>
      <w:r>
        <w:rPr>
          <w:sz w:val="21"/>
        </w:rPr>
        <w:t>there </w:t>
      </w:r>
      <w:r>
        <w:rPr>
          <w:spacing w:val="-3"/>
          <w:sz w:val="21"/>
        </w:rPr>
        <w:t>will </w:t>
      </w:r>
      <w:r>
        <w:rPr>
          <w:sz w:val="21"/>
        </w:rPr>
        <w:t>be a </w:t>
      </w:r>
      <w:r>
        <w:rPr>
          <w:spacing w:val="-3"/>
          <w:sz w:val="21"/>
        </w:rPr>
        <w:t>greater </w:t>
      </w:r>
      <w:r>
        <w:rPr>
          <w:sz w:val="21"/>
        </w:rPr>
        <w:t>cost </w:t>
      </w:r>
      <w:r>
        <w:rPr>
          <w:spacing w:val="-3"/>
          <w:sz w:val="21"/>
        </w:rPr>
        <w:t>to </w:t>
      </w:r>
      <w:r>
        <w:rPr>
          <w:sz w:val="21"/>
        </w:rPr>
        <w:t>the estate because the </w:t>
      </w:r>
      <w:r>
        <w:rPr>
          <w:spacing w:val="-3"/>
          <w:sz w:val="21"/>
        </w:rPr>
        <w:t>executor </w:t>
      </w:r>
      <w:r>
        <w:rPr>
          <w:sz w:val="21"/>
        </w:rPr>
        <w:t>would then apply </w:t>
      </w:r>
      <w:r>
        <w:rPr>
          <w:spacing w:val="-3"/>
          <w:sz w:val="21"/>
        </w:rPr>
        <w:t>to </w:t>
      </w:r>
      <w:r>
        <w:rPr>
          <w:sz w:val="21"/>
        </w:rPr>
        <w:t>the </w:t>
      </w:r>
      <w:r>
        <w:rPr>
          <w:spacing w:val="-3"/>
          <w:sz w:val="21"/>
        </w:rPr>
        <w:t>Supreme Court for authorisation.  </w:t>
      </w:r>
      <w:r>
        <w:rPr>
          <w:sz w:val="21"/>
        </w:rPr>
        <w:t>The cost of the </w:t>
      </w:r>
      <w:r>
        <w:rPr>
          <w:spacing w:val="-3"/>
          <w:sz w:val="21"/>
        </w:rPr>
        <w:t>application,</w:t>
      </w:r>
      <w:r>
        <w:rPr>
          <w:spacing w:val="41"/>
          <w:sz w:val="21"/>
        </w:rPr>
        <w:t> </w:t>
      </w:r>
      <w:r>
        <w:rPr>
          <w:sz w:val="21"/>
        </w:rPr>
        <w:t>which </w:t>
      </w:r>
      <w:r>
        <w:rPr>
          <w:spacing w:val="-3"/>
          <w:sz w:val="21"/>
        </w:rPr>
        <w:t>may </w:t>
      </w:r>
      <w:r>
        <w:rPr>
          <w:sz w:val="21"/>
        </w:rPr>
        <w:t>be </w:t>
      </w:r>
      <w:r>
        <w:rPr>
          <w:spacing w:val="-4"/>
          <w:sz w:val="21"/>
        </w:rPr>
        <w:t>$10,000  </w:t>
      </w:r>
      <w:r>
        <w:rPr>
          <w:sz w:val="21"/>
        </w:rPr>
        <w:t>or </w:t>
      </w:r>
      <w:r>
        <w:rPr>
          <w:spacing w:val="-3"/>
          <w:sz w:val="21"/>
        </w:rPr>
        <w:t>more,</w:t>
      </w:r>
      <w:r>
        <w:rPr>
          <w:spacing w:val="-3"/>
          <w:position w:val="7"/>
          <w:sz w:val="12"/>
        </w:rPr>
        <w:t>65  </w:t>
      </w:r>
      <w:r>
        <w:rPr>
          <w:sz w:val="21"/>
        </w:rPr>
        <w:t>is </w:t>
      </w:r>
      <w:r>
        <w:rPr>
          <w:spacing w:val="-3"/>
          <w:sz w:val="21"/>
        </w:rPr>
        <w:t>usually  </w:t>
      </w:r>
      <w:r>
        <w:rPr>
          <w:sz w:val="21"/>
        </w:rPr>
        <w:t>met </w:t>
      </w:r>
      <w:r>
        <w:rPr>
          <w:spacing w:val="-3"/>
          <w:sz w:val="21"/>
        </w:rPr>
        <w:t>from</w:t>
      </w:r>
      <w:r>
        <w:rPr>
          <w:spacing w:val="41"/>
          <w:sz w:val="21"/>
        </w:rPr>
        <w:t> </w:t>
      </w:r>
      <w:r>
        <w:rPr>
          <w:sz w:val="21"/>
        </w:rPr>
        <w:t>the </w:t>
      </w:r>
      <w:r>
        <w:rPr>
          <w:spacing w:val="-3"/>
          <w:sz w:val="21"/>
        </w:rPr>
        <w:t>estate.  </w:t>
      </w:r>
      <w:r>
        <w:rPr>
          <w:sz w:val="21"/>
        </w:rPr>
        <w:t>They </w:t>
      </w:r>
      <w:r>
        <w:rPr>
          <w:spacing w:val="-3"/>
          <w:sz w:val="21"/>
        </w:rPr>
        <w:t>are  </w:t>
      </w:r>
      <w:r>
        <w:rPr>
          <w:sz w:val="21"/>
        </w:rPr>
        <w:t>also told </w:t>
      </w:r>
      <w:r>
        <w:rPr>
          <w:spacing w:val="-3"/>
          <w:sz w:val="21"/>
        </w:rPr>
        <w:t>that,  </w:t>
      </w:r>
      <w:r>
        <w:rPr>
          <w:sz w:val="21"/>
        </w:rPr>
        <w:t>if</w:t>
      </w:r>
      <w:r>
        <w:rPr>
          <w:spacing w:val="10"/>
          <w:sz w:val="21"/>
        </w:rPr>
        <w:t> </w:t>
      </w:r>
      <w:r>
        <w:rPr>
          <w:sz w:val="21"/>
        </w:rPr>
        <w:t>they</w:t>
      </w:r>
      <w:r>
        <w:rPr>
          <w:spacing w:val="10"/>
          <w:sz w:val="21"/>
        </w:rPr>
        <w:t> </w:t>
      </w:r>
      <w:r>
        <w:rPr>
          <w:sz w:val="21"/>
        </w:rPr>
        <w:t>give</w:t>
      </w:r>
      <w:r>
        <w:rPr>
          <w:spacing w:val="10"/>
          <w:sz w:val="21"/>
        </w:rPr>
        <w:t> </w:t>
      </w:r>
      <w:r>
        <w:rPr>
          <w:sz w:val="21"/>
        </w:rPr>
        <w:t>their</w:t>
      </w:r>
      <w:r>
        <w:rPr>
          <w:spacing w:val="10"/>
          <w:sz w:val="21"/>
        </w:rPr>
        <w:t> </w:t>
      </w:r>
      <w:r>
        <w:rPr>
          <w:spacing w:val="-3"/>
          <w:sz w:val="21"/>
        </w:rPr>
        <w:t>consent,</w:t>
      </w:r>
      <w:r>
        <w:rPr>
          <w:spacing w:val="10"/>
          <w:sz w:val="21"/>
        </w:rPr>
        <w:t> </w:t>
      </w:r>
      <w:r>
        <w:rPr>
          <w:sz w:val="21"/>
        </w:rPr>
        <w:t>the</w:t>
      </w:r>
      <w:r>
        <w:rPr>
          <w:spacing w:val="10"/>
          <w:sz w:val="21"/>
        </w:rPr>
        <w:t> </w:t>
      </w:r>
      <w:r>
        <w:rPr>
          <w:sz w:val="21"/>
        </w:rPr>
        <w:t>estate</w:t>
      </w:r>
      <w:r>
        <w:rPr>
          <w:spacing w:val="10"/>
          <w:sz w:val="21"/>
        </w:rPr>
        <w:t> </w:t>
      </w:r>
      <w:r>
        <w:rPr>
          <w:spacing w:val="-3"/>
          <w:sz w:val="21"/>
        </w:rPr>
        <w:t>will</w:t>
      </w:r>
      <w:r>
        <w:rPr>
          <w:spacing w:val="10"/>
          <w:sz w:val="21"/>
        </w:rPr>
        <w:t> </w:t>
      </w:r>
      <w:r>
        <w:rPr>
          <w:sz w:val="21"/>
        </w:rPr>
        <w:t>be</w:t>
      </w:r>
      <w:r>
        <w:rPr>
          <w:spacing w:val="10"/>
          <w:sz w:val="21"/>
        </w:rPr>
        <w:t> </w:t>
      </w:r>
      <w:r>
        <w:rPr>
          <w:spacing w:val="-3"/>
          <w:sz w:val="21"/>
        </w:rPr>
        <w:t>distributed</w:t>
      </w:r>
      <w:r>
        <w:rPr>
          <w:spacing w:val="10"/>
          <w:sz w:val="21"/>
        </w:rPr>
        <w:t> </w:t>
      </w:r>
      <w:r>
        <w:rPr>
          <w:spacing w:val="-4"/>
          <w:sz w:val="21"/>
        </w:rPr>
        <w:t>sooner.</w:t>
      </w:r>
    </w:p>
    <w:p>
      <w:pPr>
        <w:pStyle w:val="ListParagraph"/>
        <w:numPr>
          <w:ilvl w:val="1"/>
          <w:numId w:val="22"/>
        </w:numPr>
        <w:tabs>
          <w:tab w:pos="2380" w:val="left" w:leader="none"/>
          <w:tab w:pos="2382" w:val="left" w:leader="none"/>
        </w:tabs>
        <w:spacing w:line="242" w:lineRule="auto" w:before="126" w:after="0"/>
        <w:ind w:left="2381" w:right="1738" w:hanging="794"/>
        <w:jc w:val="left"/>
        <w:rPr>
          <w:sz w:val="21"/>
        </w:rPr>
      </w:pPr>
      <w:r>
        <w:rPr>
          <w:w w:val="105"/>
          <w:sz w:val="21"/>
        </w:rPr>
        <w:t>As a </w:t>
      </w:r>
      <w:r>
        <w:rPr>
          <w:spacing w:val="-3"/>
          <w:w w:val="105"/>
          <w:sz w:val="21"/>
        </w:rPr>
        <w:t>result, </w:t>
      </w:r>
      <w:r>
        <w:rPr>
          <w:w w:val="105"/>
          <w:sz w:val="21"/>
        </w:rPr>
        <w:t>beneficiaries can feel </w:t>
      </w:r>
      <w:r>
        <w:rPr>
          <w:spacing w:val="-3"/>
          <w:w w:val="105"/>
          <w:sz w:val="21"/>
        </w:rPr>
        <w:t>coerced </w:t>
      </w:r>
      <w:r>
        <w:rPr>
          <w:spacing w:val="-4"/>
          <w:w w:val="105"/>
          <w:sz w:val="21"/>
        </w:rPr>
        <w:t>into </w:t>
      </w:r>
      <w:r>
        <w:rPr>
          <w:spacing w:val="-3"/>
          <w:w w:val="105"/>
          <w:sz w:val="21"/>
        </w:rPr>
        <w:t>agreeing to </w:t>
      </w:r>
      <w:r>
        <w:rPr>
          <w:w w:val="105"/>
          <w:sz w:val="21"/>
        </w:rPr>
        <w:t>the payment of </w:t>
      </w:r>
      <w:r>
        <w:rPr>
          <w:spacing w:val="-3"/>
          <w:w w:val="105"/>
          <w:sz w:val="21"/>
        </w:rPr>
        <w:t>commission </w:t>
      </w:r>
      <w:r>
        <w:rPr>
          <w:w w:val="105"/>
          <w:sz w:val="21"/>
        </w:rPr>
        <w:t>because</w:t>
      </w:r>
      <w:r>
        <w:rPr>
          <w:spacing w:val="-11"/>
          <w:w w:val="105"/>
          <w:sz w:val="21"/>
        </w:rPr>
        <w:t> </w:t>
      </w:r>
      <w:r>
        <w:rPr>
          <w:w w:val="105"/>
          <w:sz w:val="21"/>
        </w:rPr>
        <w:t>they</w:t>
      </w:r>
      <w:r>
        <w:rPr>
          <w:spacing w:val="-10"/>
          <w:w w:val="105"/>
          <w:sz w:val="21"/>
        </w:rPr>
        <w:t> </w:t>
      </w:r>
      <w:r>
        <w:rPr>
          <w:spacing w:val="-3"/>
          <w:w w:val="105"/>
          <w:sz w:val="21"/>
        </w:rPr>
        <w:t>fear</w:t>
      </w:r>
      <w:r>
        <w:rPr>
          <w:spacing w:val="-10"/>
          <w:w w:val="105"/>
          <w:sz w:val="21"/>
        </w:rPr>
        <w:t> </w:t>
      </w:r>
      <w:r>
        <w:rPr>
          <w:spacing w:val="-3"/>
          <w:w w:val="105"/>
          <w:sz w:val="21"/>
        </w:rPr>
        <w:t>that</w:t>
      </w:r>
      <w:r>
        <w:rPr>
          <w:spacing w:val="-10"/>
          <w:w w:val="105"/>
          <w:sz w:val="21"/>
        </w:rPr>
        <w:t> </w:t>
      </w:r>
      <w:r>
        <w:rPr>
          <w:w w:val="105"/>
          <w:sz w:val="21"/>
        </w:rPr>
        <w:t>otherwise</w:t>
      </w:r>
      <w:r>
        <w:rPr>
          <w:spacing w:val="-10"/>
          <w:w w:val="105"/>
          <w:sz w:val="21"/>
        </w:rPr>
        <w:t> </w:t>
      </w:r>
      <w:r>
        <w:rPr>
          <w:w w:val="105"/>
          <w:sz w:val="21"/>
        </w:rPr>
        <w:t>their</w:t>
      </w:r>
      <w:r>
        <w:rPr>
          <w:spacing w:val="-10"/>
          <w:w w:val="105"/>
          <w:sz w:val="21"/>
        </w:rPr>
        <w:t> </w:t>
      </w:r>
      <w:r>
        <w:rPr>
          <w:spacing w:val="-3"/>
          <w:w w:val="105"/>
          <w:sz w:val="21"/>
        </w:rPr>
        <w:t>share</w:t>
      </w:r>
      <w:r>
        <w:rPr>
          <w:spacing w:val="-10"/>
          <w:w w:val="105"/>
          <w:sz w:val="21"/>
        </w:rPr>
        <w:t> </w:t>
      </w:r>
      <w:r>
        <w:rPr>
          <w:w w:val="105"/>
          <w:sz w:val="21"/>
        </w:rPr>
        <w:t>of</w:t>
      </w:r>
      <w:r>
        <w:rPr>
          <w:spacing w:val="-10"/>
          <w:w w:val="105"/>
          <w:sz w:val="21"/>
        </w:rPr>
        <w:t> </w:t>
      </w:r>
      <w:r>
        <w:rPr>
          <w:w w:val="105"/>
          <w:sz w:val="21"/>
        </w:rPr>
        <w:t>the</w:t>
      </w:r>
      <w:r>
        <w:rPr>
          <w:spacing w:val="-10"/>
          <w:w w:val="105"/>
          <w:sz w:val="21"/>
        </w:rPr>
        <w:t> </w:t>
      </w:r>
      <w:r>
        <w:rPr>
          <w:w w:val="105"/>
          <w:sz w:val="21"/>
        </w:rPr>
        <w:t>estate</w:t>
      </w:r>
      <w:r>
        <w:rPr>
          <w:spacing w:val="-10"/>
          <w:w w:val="105"/>
          <w:sz w:val="21"/>
        </w:rPr>
        <w:t> </w:t>
      </w:r>
      <w:r>
        <w:rPr>
          <w:spacing w:val="-3"/>
          <w:w w:val="105"/>
          <w:sz w:val="21"/>
        </w:rPr>
        <w:t>will</w:t>
      </w:r>
      <w:r>
        <w:rPr>
          <w:spacing w:val="-10"/>
          <w:w w:val="105"/>
          <w:sz w:val="21"/>
        </w:rPr>
        <w:t> </w:t>
      </w:r>
      <w:r>
        <w:rPr>
          <w:w w:val="105"/>
          <w:sz w:val="21"/>
        </w:rPr>
        <w:t>be</w:t>
      </w:r>
      <w:r>
        <w:rPr>
          <w:spacing w:val="-11"/>
          <w:w w:val="105"/>
          <w:sz w:val="21"/>
        </w:rPr>
        <w:t> </w:t>
      </w:r>
      <w:r>
        <w:rPr>
          <w:w w:val="105"/>
          <w:sz w:val="21"/>
        </w:rPr>
        <w:t>depleted</w:t>
      </w:r>
      <w:r>
        <w:rPr>
          <w:spacing w:val="-10"/>
          <w:w w:val="105"/>
          <w:sz w:val="21"/>
        </w:rPr>
        <w:t> </w:t>
      </w:r>
      <w:r>
        <w:rPr>
          <w:w w:val="105"/>
          <w:sz w:val="21"/>
        </w:rPr>
        <w:t>by</w:t>
      </w:r>
      <w:r>
        <w:rPr>
          <w:spacing w:val="-10"/>
          <w:w w:val="105"/>
          <w:sz w:val="21"/>
        </w:rPr>
        <w:t> </w:t>
      </w:r>
      <w:r>
        <w:rPr>
          <w:w w:val="105"/>
          <w:sz w:val="21"/>
        </w:rPr>
        <w:t>legal</w:t>
      </w:r>
      <w:r>
        <w:rPr>
          <w:spacing w:val="-10"/>
          <w:w w:val="105"/>
          <w:sz w:val="21"/>
        </w:rPr>
        <w:t> </w:t>
      </w:r>
      <w:r>
        <w:rPr>
          <w:w w:val="105"/>
          <w:sz w:val="21"/>
        </w:rPr>
        <w:t>costs. In some cases, the </w:t>
      </w:r>
      <w:r>
        <w:rPr>
          <w:spacing w:val="-3"/>
          <w:w w:val="105"/>
          <w:sz w:val="21"/>
        </w:rPr>
        <w:t>commission charged </w:t>
      </w:r>
      <w:r>
        <w:rPr>
          <w:w w:val="105"/>
          <w:sz w:val="21"/>
        </w:rPr>
        <w:t>is </w:t>
      </w:r>
      <w:r>
        <w:rPr>
          <w:spacing w:val="-2"/>
          <w:w w:val="105"/>
          <w:sz w:val="21"/>
        </w:rPr>
        <w:t>significantly </w:t>
      </w:r>
      <w:r>
        <w:rPr>
          <w:spacing w:val="-3"/>
          <w:w w:val="105"/>
          <w:sz w:val="21"/>
        </w:rPr>
        <w:t>higher than </w:t>
      </w:r>
      <w:r>
        <w:rPr>
          <w:w w:val="105"/>
          <w:sz w:val="21"/>
        </w:rPr>
        <w:t>what the </w:t>
      </w:r>
      <w:r>
        <w:rPr>
          <w:spacing w:val="-3"/>
          <w:w w:val="105"/>
          <w:sz w:val="21"/>
        </w:rPr>
        <w:t>Supreme Court </w:t>
      </w:r>
      <w:r>
        <w:rPr>
          <w:w w:val="105"/>
          <w:sz w:val="21"/>
        </w:rPr>
        <w:t>would be </w:t>
      </w:r>
      <w:r>
        <w:rPr>
          <w:spacing w:val="-4"/>
          <w:w w:val="105"/>
          <w:sz w:val="21"/>
        </w:rPr>
        <w:t>likely </w:t>
      </w:r>
      <w:r>
        <w:rPr>
          <w:spacing w:val="-3"/>
          <w:w w:val="105"/>
          <w:sz w:val="21"/>
        </w:rPr>
        <w:t>to</w:t>
      </w:r>
      <w:r>
        <w:rPr>
          <w:spacing w:val="33"/>
          <w:w w:val="105"/>
          <w:sz w:val="21"/>
        </w:rPr>
        <w:t> </w:t>
      </w:r>
      <w:r>
        <w:rPr>
          <w:spacing w:val="-3"/>
          <w:w w:val="105"/>
          <w:sz w:val="21"/>
        </w:rPr>
        <w:t>authorise.</w:t>
      </w:r>
    </w:p>
    <w:p>
      <w:pPr>
        <w:pStyle w:val="ListParagraph"/>
        <w:numPr>
          <w:ilvl w:val="1"/>
          <w:numId w:val="22"/>
        </w:numPr>
        <w:tabs>
          <w:tab w:pos="2380" w:val="left" w:leader="none"/>
          <w:tab w:pos="2382" w:val="left" w:leader="none"/>
        </w:tabs>
        <w:spacing w:line="242" w:lineRule="auto" w:before="124" w:after="0"/>
        <w:ind w:left="2381" w:right="1866" w:hanging="794"/>
        <w:jc w:val="left"/>
        <w:rPr>
          <w:sz w:val="21"/>
        </w:rPr>
      </w:pPr>
      <w:r>
        <w:rPr>
          <w:sz w:val="21"/>
        </w:rPr>
        <w:t>Sometimes the beneficiaries’ </w:t>
      </w:r>
      <w:r>
        <w:rPr>
          <w:spacing w:val="-3"/>
          <w:sz w:val="21"/>
        </w:rPr>
        <w:t>consent </w:t>
      </w:r>
      <w:r>
        <w:rPr>
          <w:sz w:val="21"/>
        </w:rPr>
        <w:t>is </w:t>
      </w:r>
      <w:r>
        <w:rPr>
          <w:spacing w:val="-2"/>
          <w:sz w:val="21"/>
        </w:rPr>
        <w:t>not </w:t>
      </w:r>
      <w:r>
        <w:rPr>
          <w:spacing w:val="-3"/>
          <w:sz w:val="21"/>
        </w:rPr>
        <w:t>sought </w:t>
      </w:r>
      <w:r>
        <w:rPr>
          <w:sz w:val="21"/>
        </w:rPr>
        <w:t>at </w:t>
      </w:r>
      <w:r>
        <w:rPr>
          <w:spacing w:val="-3"/>
          <w:sz w:val="21"/>
        </w:rPr>
        <w:t>all. </w:t>
      </w:r>
      <w:r>
        <w:rPr>
          <w:sz w:val="21"/>
        </w:rPr>
        <w:t>For </w:t>
      </w:r>
      <w:r>
        <w:rPr>
          <w:spacing w:val="-3"/>
          <w:sz w:val="21"/>
        </w:rPr>
        <w:t>example, </w:t>
      </w:r>
      <w:r>
        <w:rPr>
          <w:sz w:val="21"/>
        </w:rPr>
        <w:t>where the beneficiaries </w:t>
      </w:r>
      <w:r>
        <w:rPr>
          <w:spacing w:val="-3"/>
          <w:sz w:val="21"/>
        </w:rPr>
        <w:t>include charities, </w:t>
      </w:r>
      <w:r>
        <w:rPr>
          <w:sz w:val="21"/>
        </w:rPr>
        <w:t>executors </w:t>
      </w:r>
      <w:r>
        <w:rPr>
          <w:spacing w:val="-3"/>
          <w:sz w:val="21"/>
        </w:rPr>
        <w:t>are </w:t>
      </w:r>
      <w:r>
        <w:rPr>
          <w:sz w:val="21"/>
        </w:rPr>
        <w:t>known </w:t>
      </w:r>
      <w:r>
        <w:rPr>
          <w:spacing w:val="-3"/>
          <w:sz w:val="21"/>
        </w:rPr>
        <w:t>to  have  </w:t>
      </w:r>
      <w:r>
        <w:rPr>
          <w:sz w:val="21"/>
        </w:rPr>
        <w:t>drawn a </w:t>
      </w:r>
      <w:r>
        <w:rPr>
          <w:spacing w:val="-3"/>
          <w:sz w:val="21"/>
        </w:rPr>
        <w:t>commission</w:t>
      </w:r>
      <w:r>
        <w:rPr>
          <w:spacing w:val="41"/>
          <w:sz w:val="21"/>
        </w:rPr>
        <w:t> </w:t>
      </w:r>
      <w:r>
        <w:rPr>
          <w:spacing w:val="-3"/>
          <w:sz w:val="21"/>
        </w:rPr>
        <w:t>from </w:t>
      </w:r>
      <w:r>
        <w:rPr>
          <w:sz w:val="21"/>
        </w:rPr>
        <w:t>the estate without </w:t>
      </w:r>
      <w:r>
        <w:rPr>
          <w:spacing w:val="-3"/>
          <w:sz w:val="21"/>
        </w:rPr>
        <w:t>consent </w:t>
      </w:r>
      <w:r>
        <w:rPr>
          <w:sz w:val="21"/>
        </w:rPr>
        <w:t>in the expectation </w:t>
      </w:r>
      <w:r>
        <w:rPr>
          <w:spacing w:val="-3"/>
          <w:sz w:val="21"/>
        </w:rPr>
        <w:t>that </w:t>
      </w:r>
      <w:r>
        <w:rPr>
          <w:sz w:val="21"/>
        </w:rPr>
        <w:t>the </w:t>
      </w:r>
      <w:r>
        <w:rPr>
          <w:spacing w:val="-3"/>
          <w:sz w:val="21"/>
        </w:rPr>
        <w:t>charitable </w:t>
      </w:r>
      <w:r>
        <w:rPr>
          <w:sz w:val="21"/>
        </w:rPr>
        <w:t>beneficiaries </w:t>
      </w:r>
      <w:r>
        <w:rPr>
          <w:spacing w:val="-3"/>
          <w:sz w:val="21"/>
        </w:rPr>
        <w:t>will </w:t>
      </w:r>
      <w:r>
        <w:rPr>
          <w:spacing w:val="-2"/>
          <w:sz w:val="21"/>
        </w:rPr>
        <w:t>not </w:t>
      </w:r>
      <w:r>
        <w:rPr>
          <w:spacing w:val="-3"/>
          <w:sz w:val="21"/>
        </w:rPr>
        <w:t>notice.</w:t>
      </w:r>
      <w:r>
        <w:rPr>
          <w:spacing w:val="-3"/>
          <w:position w:val="7"/>
          <w:sz w:val="12"/>
        </w:rPr>
        <w:t>66 </w:t>
      </w:r>
      <w:r>
        <w:rPr>
          <w:sz w:val="21"/>
        </w:rPr>
        <w:t>The executors in these cases </w:t>
      </w:r>
      <w:r>
        <w:rPr>
          <w:spacing w:val="-3"/>
          <w:sz w:val="21"/>
        </w:rPr>
        <w:t>are </w:t>
      </w:r>
      <w:r>
        <w:rPr>
          <w:spacing w:val="-2"/>
          <w:sz w:val="21"/>
        </w:rPr>
        <w:t>not </w:t>
      </w:r>
      <w:r>
        <w:rPr>
          <w:sz w:val="21"/>
        </w:rPr>
        <w:t>necessarily legal practitioners, which suggests </w:t>
      </w:r>
      <w:r>
        <w:rPr>
          <w:spacing w:val="-3"/>
          <w:sz w:val="21"/>
        </w:rPr>
        <w:t>that any legislative </w:t>
      </w:r>
      <w:r>
        <w:rPr>
          <w:sz w:val="21"/>
        </w:rPr>
        <w:t>response should apply </w:t>
      </w:r>
      <w:r>
        <w:rPr>
          <w:spacing w:val="-3"/>
          <w:sz w:val="21"/>
        </w:rPr>
        <w:t>generally  rather  than  </w:t>
      </w:r>
      <w:r>
        <w:rPr>
          <w:sz w:val="21"/>
        </w:rPr>
        <w:t>being directed </w:t>
      </w:r>
      <w:r>
        <w:rPr>
          <w:spacing w:val="-3"/>
          <w:sz w:val="21"/>
        </w:rPr>
        <w:t>to </w:t>
      </w:r>
      <w:r>
        <w:rPr>
          <w:sz w:val="21"/>
        </w:rPr>
        <w:t>legal practitioner</w:t>
      </w:r>
      <w:r>
        <w:rPr>
          <w:spacing w:val="27"/>
          <w:sz w:val="21"/>
        </w:rPr>
        <w:t> </w:t>
      </w:r>
      <w:r>
        <w:rPr>
          <w:sz w:val="21"/>
        </w:rPr>
        <w:t>executors.</w:t>
      </w:r>
    </w:p>
    <w:p>
      <w:pPr>
        <w:pStyle w:val="BodyText"/>
        <w:rPr>
          <w:sz w:val="20"/>
        </w:rPr>
      </w:pPr>
    </w:p>
    <w:p>
      <w:pPr>
        <w:pStyle w:val="BodyText"/>
        <w:rPr>
          <w:sz w:val="20"/>
        </w:rPr>
      </w:pPr>
    </w:p>
    <w:p>
      <w:pPr>
        <w:pStyle w:val="BodyText"/>
        <w:spacing w:before="7"/>
        <w:rPr>
          <w:sz w:val="18"/>
        </w:rPr>
      </w:pPr>
      <w:r>
        <w:rPr/>
        <w:pict>
          <v:line style="position:absolute;mso-position-horizontal-relative:page;mso-position-vertical-relative:paragraph;z-index:9128;mso-wrap-distance-left:0;mso-wrap-distance-right:0" from="79.370003pt,13.786118pt" to="515.905003pt,13.786118pt" stroked="true" strokeweight="1pt" strokecolor="#f9ceca">
            <v:stroke dashstyle="solid"/>
            <w10:wrap type="topAndBottom"/>
          </v:line>
        </w:pict>
      </w:r>
    </w:p>
    <w:p>
      <w:pPr>
        <w:pStyle w:val="BodyText"/>
        <w:spacing w:before="8"/>
        <w:rPr>
          <w:sz w:val="5"/>
        </w:rPr>
      </w:pPr>
    </w:p>
    <w:p>
      <w:pPr>
        <w:spacing w:after="0"/>
        <w:rPr>
          <w:sz w:val="5"/>
        </w:rPr>
        <w:sectPr>
          <w:pgSz w:w="11910" w:h="16840"/>
          <w:pgMar w:header="805" w:footer="0" w:top="1360" w:bottom="280" w:left="0" w:right="0"/>
        </w:sectPr>
      </w:pPr>
    </w:p>
    <w:p>
      <w:pPr>
        <w:pStyle w:val="ListParagraph"/>
        <w:numPr>
          <w:ilvl w:val="0"/>
          <w:numId w:val="117"/>
        </w:numPr>
        <w:tabs>
          <w:tab w:pos="2381" w:val="left" w:leader="none"/>
          <w:tab w:pos="2382" w:val="left" w:leader="none"/>
        </w:tabs>
        <w:spacing w:line="240" w:lineRule="auto" w:before="48" w:after="0"/>
        <w:ind w:left="2381" w:right="0" w:hanging="794"/>
        <w:jc w:val="left"/>
        <w:rPr>
          <w:sz w:val="13"/>
        </w:rPr>
      </w:pPr>
      <w:r>
        <w:rPr>
          <w:i/>
          <w:w w:val="105"/>
          <w:sz w:val="13"/>
        </w:rPr>
        <w:t>Walker v D’Alessandro </w:t>
      </w:r>
      <w:r>
        <w:rPr>
          <w:w w:val="105"/>
          <w:sz w:val="13"/>
        </w:rPr>
        <w:t>[2010] VSC </w:t>
      </w:r>
      <w:r>
        <w:rPr>
          <w:spacing w:val="-3"/>
          <w:w w:val="105"/>
          <w:sz w:val="13"/>
        </w:rPr>
        <w:t>15</w:t>
      </w:r>
      <w:r>
        <w:rPr>
          <w:spacing w:val="12"/>
          <w:w w:val="105"/>
          <w:sz w:val="13"/>
        </w:rPr>
        <w:t> </w:t>
      </w:r>
      <w:r>
        <w:rPr>
          <w:w w:val="105"/>
          <w:sz w:val="13"/>
        </w:rPr>
        <w:t>(5 February 2010) </w:t>
      </w:r>
      <w:r>
        <w:rPr>
          <w:spacing w:val="3"/>
          <w:w w:val="105"/>
          <w:sz w:val="13"/>
        </w:rPr>
        <w:t>[30].</w:t>
      </w:r>
    </w:p>
    <w:p>
      <w:pPr>
        <w:pStyle w:val="ListParagraph"/>
        <w:numPr>
          <w:ilvl w:val="0"/>
          <w:numId w:val="117"/>
        </w:numPr>
        <w:tabs>
          <w:tab w:pos="2381" w:val="left" w:leader="none"/>
          <w:tab w:pos="2382" w:val="left" w:leader="none"/>
        </w:tabs>
        <w:spacing w:line="240" w:lineRule="auto" w:before="1" w:after="0"/>
        <w:ind w:left="2381" w:right="0" w:hanging="794"/>
        <w:jc w:val="left"/>
        <w:rPr>
          <w:sz w:val="13"/>
        </w:rPr>
      </w:pPr>
      <w:r>
        <w:rPr>
          <w:sz w:val="13"/>
        </w:rPr>
        <w:t>The application is costly because counsel is often briefed and affidavits setting out the executor’s ‘pains and trouble’ in detail are prepared.                If the beneficiaries contest the application, the costs escalate further and the estate is at risk of being depleted. One practitioner said that                 no</w:t>
      </w:r>
      <w:r>
        <w:rPr>
          <w:spacing w:val="16"/>
          <w:sz w:val="13"/>
        </w:rPr>
        <w:t> </w:t>
      </w:r>
      <w:r>
        <w:rPr>
          <w:sz w:val="13"/>
        </w:rPr>
        <w:t>beneficiary,</w:t>
      </w:r>
      <w:r>
        <w:rPr>
          <w:spacing w:val="16"/>
          <w:sz w:val="13"/>
        </w:rPr>
        <w:t> </w:t>
      </w:r>
      <w:r>
        <w:rPr>
          <w:sz w:val="13"/>
        </w:rPr>
        <w:t>properly</w:t>
      </w:r>
      <w:r>
        <w:rPr>
          <w:spacing w:val="16"/>
          <w:sz w:val="13"/>
        </w:rPr>
        <w:t> </w:t>
      </w:r>
      <w:r>
        <w:rPr>
          <w:sz w:val="13"/>
        </w:rPr>
        <w:t>advised,</w:t>
      </w:r>
      <w:r>
        <w:rPr>
          <w:spacing w:val="16"/>
          <w:sz w:val="13"/>
        </w:rPr>
        <w:t> </w:t>
      </w:r>
      <w:r>
        <w:rPr>
          <w:sz w:val="13"/>
        </w:rPr>
        <w:t>would</w:t>
      </w:r>
      <w:r>
        <w:rPr>
          <w:spacing w:val="16"/>
          <w:sz w:val="13"/>
        </w:rPr>
        <w:t> </w:t>
      </w:r>
      <w:r>
        <w:rPr>
          <w:sz w:val="13"/>
        </w:rPr>
        <w:t>go</w:t>
      </w:r>
      <w:r>
        <w:rPr>
          <w:spacing w:val="16"/>
          <w:sz w:val="13"/>
        </w:rPr>
        <w:t> </w:t>
      </w:r>
      <w:r>
        <w:rPr>
          <w:sz w:val="13"/>
        </w:rPr>
        <w:t>to</w:t>
      </w:r>
      <w:r>
        <w:rPr>
          <w:spacing w:val="17"/>
          <w:sz w:val="13"/>
        </w:rPr>
        <w:t> </w:t>
      </w:r>
      <w:r>
        <w:rPr>
          <w:sz w:val="13"/>
        </w:rPr>
        <w:t>court</w:t>
      </w:r>
      <w:r>
        <w:rPr>
          <w:spacing w:val="16"/>
          <w:sz w:val="13"/>
        </w:rPr>
        <w:t> </w:t>
      </w:r>
      <w:r>
        <w:rPr>
          <w:sz w:val="13"/>
        </w:rPr>
        <w:t>when</w:t>
      </w:r>
      <w:r>
        <w:rPr>
          <w:spacing w:val="16"/>
          <w:sz w:val="13"/>
        </w:rPr>
        <w:t> </w:t>
      </w:r>
      <w:r>
        <w:rPr>
          <w:sz w:val="13"/>
        </w:rPr>
        <w:t>they</w:t>
      </w:r>
      <w:r>
        <w:rPr>
          <w:spacing w:val="16"/>
          <w:sz w:val="13"/>
        </w:rPr>
        <w:t> </w:t>
      </w:r>
      <w:r>
        <w:rPr>
          <w:sz w:val="13"/>
        </w:rPr>
        <w:t>can</w:t>
      </w:r>
      <w:r>
        <w:rPr>
          <w:spacing w:val="16"/>
          <w:sz w:val="13"/>
        </w:rPr>
        <w:t> </w:t>
      </w:r>
      <w:r>
        <w:rPr>
          <w:sz w:val="13"/>
        </w:rPr>
        <w:t>just</w:t>
      </w:r>
      <w:r>
        <w:rPr>
          <w:spacing w:val="16"/>
          <w:sz w:val="13"/>
        </w:rPr>
        <w:t> </w:t>
      </w:r>
      <w:r>
        <w:rPr>
          <w:sz w:val="13"/>
        </w:rPr>
        <w:t>pay</w:t>
      </w:r>
      <w:r>
        <w:rPr>
          <w:spacing w:val="17"/>
          <w:sz w:val="13"/>
        </w:rPr>
        <w:t> </w:t>
      </w:r>
      <w:r>
        <w:rPr>
          <w:sz w:val="13"/>
        </w:rPr>
        <w:t>out</w:t>
      </w:r>
      <w:r>
        <w:rPr>
          <w:spacing w:val="16"/>
          <w:sz w:val="13"/>
        </w:rPr>
        <w:t> </w:t>
      </w:r>
      <w:r>
        <w:rPr>
          <w:sz w:val="13"/>
        </w:rPr>
        <w:t>the</w:t>
      </w:r>
      <w:r>
        <w:rPr>
          <w:spacing w:val="16"/>
          <w:sz w:val="13"/>
        </w:rPr>
        <w:t> </w:t>
      </w:r>
      <w:r>
        <w:rPr>
          <w:sz w:val="13"/>
        </w:rPr>
        <w:t>commission:</w:t>
      </w:r>
      <w:r>
        <w:rPr>
          <w:spacing w:val="16"/>
          <w:sz w:val="13"/>
        </w:rPr>
        <w:t> </w:t>
      </w:r>
      <w:r>
        <w:rPr>
          <w:sz w:val="13"/>
        </w:rPr>
        <w:t>Advisory</w:t>
      </w:r>
      <w:r>
        <w:rPr>
          <w:spacing w:val="16"/>
          <w:sz w:val="13"/>
        </w:rPr>
        <w:t> </w:t>
      </w:r>
      <w:r>
        <w:rPr>
          <w:sz w:val="13"/>
        </w:rPr>
        <w:t>Committee</w:t>
      </w:r>
      <w:r>
        <w:rPr>
          <w:spacing w:val="16"/>
          <w:sz w:val="13"/>
        </w:rPr>
        <w:t> </w:t>
      </w:r>
      <w:r>
        <w:rPr>
          <w:sz w:val="13"/>
        </w:rPr>
        <w:t>(Meeting</w:t>
      </w:r>
      <w:r>
        <w:rPr>
          <w:spacing w:val="16"/>
          <w:sz w:val="13"/>
        </w:rPr>
        <w:t> </w:t>
      </w:r>
      <w:r>
        <w:rPr>
          <w:sz w:val="13"/>
        </w:rPr>
        <w:t>1).</w:t>
      </w:r>
    </w:p>
    <w:p>
      <w:pPr>
        <w:spacing w:before="4"/>
        <w:ind w:left="2381" w:right="39" w:firstLine="0"/>
        <w:jc w:val="left"/>
        <w:rPr>
          <w:sz w:val="13"/>
        </w:rPr>
      </w:pPr>
      <w:r>
        <w:rPr>
          <w:w w:val="105"/>
          <w:sz w:val="13"/>
        </w:rPr>
        <w:t>An Associate Judge told the Commission that the costs involved in applying for commission commonly end up as high as the commission itself: consultation 16 (Supreme Court of Victoria—Associate Judges).</w:t>
      </w:r>
    </w:p>
    <w:p>
      <w:pPr>
        <w:pStyle w:val="ListParagraph"/>
        <w:numPr>
          <w:ilvl w:val="0"/>
          <w:numId w:val="117"/>
        </w:numPr>
        <w:tabs>
          <w:tab w:pos="2381" w:val="left" w:leader="none"/>
          <w:tab w:pos="2382" w:val="left" w:leader="none"/>
        </w:tabs>
        <w:spacing w:line="240" w:lineRule="auto" w:before="3" w:after="0"/>
        <w:ind w:left="2381" w:right="0" w:hanging="794"/>
        <w:jc w:val="left"/>
        <w:rPr>
          <w:sz w:val="13"/>
        </w:rPr>
      </w:pPr>
      <w:r>
        <w:rPr>
          <w:w w:val="105"/>
          <w:sz w:val="13"/>
        </w:rPr>
        <w:t>Consultation</w:t>
      </w:r>
      <w:r>
        <w:rPr>
          <w:spacing w:val="4"/>
          <w:w w:val="105"/>
          <w:sz w:val="13"/>
        </w:rPr>
        <w:t> </w:t>
      </w:r>
      <w:r>
        <w:rPr>
          <w:w w:val="105"/>
          <w:sz w:val="13"/>
        </w:rPr>
        <w:t>2</w:t>
      </w:r>
      <w:r>
        <w:rPr>
          <w:spacing w:val="5"/>
          <w:w w:val="105"/>
          <w:sz w:val="13"/>
        </w:rPr>
        <w:t> </w:t>
      </w:r>
      <w:r>
        <w:rPr>
          <w:w w:val="105"/>
          <w:sz w:val="13"/>
        </w:rPr>
        <w:t>(Include</w:t>
      </w:r>
      <w:r>
        <w:rPr>
          <w:spacing w:val="5"/>
          <w:w w:val="105"/>
          <w:sz w:val="13"/>
        </w:rPr>
        <w:t> </w:t>
      </w:r>
      <w:r>
        <w:rPr>
          <w:w w:val="105"/>
          <w:sz w:val="13"/>
        </w:rPr>
        <w:t>a</w:t>
      </w:r>
      <w:r>
        <w:rPr>
          <w:spacing w:val="5"/>
          <w:w w:val="105"/>
          <w:sz w:val="13"/>
        </w:rPr>
        <w:t> </w:t>
      </w:r>
      <w:r>
        <w:rPr>
          <w:w w:val="105"/>
          <w:sz w:val="13"/>
        </w:rPr>
        <w:t>Charity,</w:t>
      </w:r>
      <w:r>
        <w:rPr>
          <w:spacing w:val="5"/>
          <w:w w:val="105"/>
          <w:sz w:val="13"/>
        </w:rPr>
        <w:t> </w:t>
      </w:r>
      <w:r>
        <w:rPr>
          <w:w w:val="105"/>
          <w:sz w:val="13"/>
        </w:rPr>
        <w:t>Peter</w:t>
      </w:r>
      <w:r>
        <w:rPr>
          <w:spacing w:val="5"/>
          <w:w w:val="105"/>
          <w:sz w:val="13"/>
        </w:rPr>
        <w:t> </w:t>
      </w:r>
      <w:r>
        <w:rPr>
          <w:w w:val="105"/>
          <w:sz w:val="13"/>
        </w:rPr>
        <w:t>MacCallum</w:t>
      </w:r>
      <w:r>
        <w:rPr>
          <w:spacing w:val="5"/>
          <w:w w:val="105"/>
          <w:sz w:val="13"/>
        </w:rPr>
        <w:t> </w:t>
      </w:r>
      <w:r>
        <w:rPr>
          <w:w w:val="105"/>
          <w:sz w:val="13"/>
        </w:rPr>
        <w:t>Cancer</w:t>
      </w:r>
      <w:r>
        <w:rPr>
          <w:spacing w:val="5"/>
          <w:w w:val="105"/>
          <w:sz w:val="13"/>
        </w:rPr>
        <w:t> </w:t>
      </w:r>
      <w:r>
        <w:rPr>
          <w:w w:val="105"/>
          <w:sz w:val="13"/>
        </w:rPr>
        <w:t>Centre,</w:t>
      </w:r>
      <w:r>
        <w:rPr>
          <w:spacing w:val="5"/>
          <w:w w:val="105"/>
          <w:sz w:val="13"/>
        </w:rPr>
        <w:t> </w:t>
      </w:r>
      <w:r>
        <w:rPr>
          <w:w w:val="105"/>
          <w:sz w:val="13"/>
        </w:rPr>
        <w:t>Heart</w:t>
      </w:r>
      <w:r>
        <w:rPr>
          <w:spacing w:val="5"/>
          <w:w w:val="105"/>
          <w:sz w:val="13"/>
        </w:rPr>
        <w:t> </w:t>
      </w:r>
      <w:r>
        <w:rPr>
          <w:w w:val="105"/>
          <w:sz w:val="13"/>
        </w:rPr>
        <w:t>Foundation</w:t>
      </w:r>
      <w:r>
        <w:rPr>
          <w:spacing w:val="5"/>
          <w:w w:val="105"/>
          <w:sz w:val="13"/>
        </w:rPr>
        <w:t> </w:t>
      </w:r>
      <w:r>
        <w:rPr>
          <w:spacing w:val="2"/>
          <w:w w:val="105"/>
          <w:sz w:val="13"/>
        </w:rPr>
        <w:t>Victoria).</w:t>
      </w:r>
    </w:p>
    <w:p>
      <w:pPr>
        <w:pStyle w:val="BodyText"/>
        <w:rPr>
          <w:sz w:val="28"/>
        </w:rPr>
      </w:pPr>
      <w:r>
        <w:rPr/>
        <w:br w:type="column"/>
      </w:r>
      <w:r>
        <w:rPr>
          <w:sz w:val="28"/>
        </w:rPr>
      </w:r>
    </w:p>
    <w:p>
      <w:pPr>
        <w:pStyle w:val="BodyText"/>
        <w:rPr>
          <w:sz w:val="28"/>
        </w:rPr>
      </w:pPr>
    </w:p>
    <w:p>
      <w:pPr>
        <w:spacing w:before="220"/>
        <w:ind w:left="597" w:right="575" w:firstLine="0"/>
        <w:jc w:val="center"/>
        <w:rPr>
          <w:b/>
          <w:sz w:val="24"/>
        </w:rPr>
      </w:pPr>
      <w:r>
        <w:rPr>
          <w:b/>
          <w:color w:val="EC5A4F"/>
          <w:w w:val="110"/>
          <w:sz w:val="24"/>
        </w:rPr>
        <w:t>149</w:t>
      </w:r>
    </w:p>
    <w:p>
      <w:pPr>
        <w:spacing w:after="0"/>
        <w:jc w:val="center"/>
        <w:rPr>
          <w:sz w:val="24"/>
        </w:rPr>
        <w:sectPr>
          <w:type w:val="continuous"/>
          <w:pgSz w:w="11910" w:h="16840"/>
          <w:pgMar w:top="920" w:bottom="280" w:left="0" w:right="0"/>
          <w:cols w:num="2" w:equalWidth="0">
            <w:col w:w="10256" w:space="40"/>
            <w:col w:w="1614"/>
          </w:cols>
        </w:sectPr>
      </w:pPr>
    </w:p>
    <w:p>
      <w:pPr>
        <w:pStyle w:val="BodyText"/>
        <w:rPr>
          <w:b/>
          <w:sz w:val="20"/>
        </w:rPr>
      </w:pPr>
    </w:p>
    <w:p>
      <w:pPr>
        <w:pStyle w:val="BodyText"/>
        <w:rPr>
          <w:b/>
          <w:sz w:val="20"/>
        </w:rPr>
      </w:pPr>
    </w:p>
    <w:p>
      <w:pPr>
        <w:pStyle w:val="BodyText"/>
        <w:spacing w:before="4"/>
        <w:rPr>
          <w:b/>
        </w:rPr>
      </w:pPr>
    </w:p>
    <w:p>
      <w:pPr>
        <w:pStyle w:val="ListParagraph"/>
        <w:numPr>
          <w:ilvl w:val="1"/>
          <w:numId w:val="22"/>
        </w:numPr>
        <w:tabs>
          <w:tab w:pos="2381" w:val="left" w:leader="none"/>
          <w:tab w:pos="2382" w:val="left" w:leader="none"/>
        </w:tabs>
        <w:spacing w:line="242" w:lineRule="auto" w:before="1" w:after="0"/>
        <w:ind w:left="2381" w:right="1855" w:hanging="794"/>
        <w:jc w:val="left"/>
        <w:rPr>
          <w:sz w:val="21"/>
        </w:rPr>
      </w:pPr>
      <w:r>
        <w:rPr>
          <w:w w:val="105"/>
          <w:sz w:val="21"/>
        </w:rPr>
        <w:t>The </w:t>
      </w:r>
      <w:r>
        <w:rPr>
          <w:spacing w:val="-3"/>
          <w:w w:val="105"/>
          <w:sz w:val="21"/>
        </w:rPr>
        <w:t>Commission sought submissions </w:t>
      </w:r>
      <w:r>
        <w:rPr>
          <w:w w:val="105"/>
          <w:sz w:val="21"/>
        </w:rPr>
        <w:t>on whether the </w:t>
      </w:r>
      <w:r>
        <w:rPr>
          <w:spacing w:val="-3"/>
          <w:w w:val="105"/>
          <w:sz w:val="21"/>
        </w:rPr>
        <w:t>principles </w:t>
      </w:r>
      <w:r>
        <w:rPr>
          <w:w w:val="105"/>
          <w:sz w:val="21"/>
        </w:rPr>
        <w:t>in </w:t>
      </w:r>
      <w:r>
        <w:rPr>
          <w:i/>
          <w:spacing w:val="-4"/>
          <w:w w:val="105"/>
          <w:sz w:val="21"/>
        </w:rPr>
        <w:t>D’Alessandro </w:t>
      </w:r>
      <w:r>
        <w:rPr>
          <w:w w:val="105"/>
          <w:sz w:val="21"/>
        </w:rPr>
        <w:t>should </w:t>
      </w:r>
      <w:r>
        <w:rPr>
          <w:spacing w:val="-3"/>
          <w:w w:val="105"/>
          <w:sz w:val="21"/>
        </w:rPr>
        <w:t>have </w:t>
      </w:r>
      <w:r>
        <w:rPr>
          <w:w w:val="105"/>
          <w:sz w:val="21"/>
        </w:rPr>
        <w:t>a statutory basis.</w:t>
      </w:r>
      <w:r>
        <w:rPr>
          <w:w w:val="105"/>
          <w:position w:val="7"/>
          <w:sz w:val="12"/>
        </w:rPr>
        <w:t>67 </w:t>
      </w:r>
      <w:r>
        <w:rPr>
          <w:w w:val="105"/>
          <w:sz w:val="21"/>
        </w:rPr>
        <w:t>All but one of the </w:t>
      </w:r>
      <w:r>
        <w:rPr>
          <w:spacing w:val="-3"/>
          <w:w w:val="105"/>
          <w:sz w:val="21"/>
        </w:rPr>
        <w:t>submissions </w:t>
      </w:r>
      <w:r>
        <w:rPr>
          <w:w w:val="105"/>
          <w:sz w:val="21"/>
        </w:rPr>
        <w:t>received in response agreed </w:t>
      </w:r>
      <w:r>
        <w:rPr>
          <w:spacing w:val="-3"/>
          <w:w w:val="105"/>
          <w:sz w:val="21"/>
        </w:rPr>
        <w:t>that </w:t>
      </w:r>
      <w:r>
        <w:rPr>
          <w:w w:val="105"/>
          <w:sz w:val="21"/>
        </w:rPr>
        <w:t>the </w:t>
      </w:r>
      <w:r>
        <w:rPr>
          <w:spacing w:val="-2"/>
          <w:w w:val="105"/>
          <w:sz w:val="21"/>
        </w:rPr>
        <w:t>common </w:t>
      </w:r>
      <w:r>
        <w:rPr>
          <w:w w:val="105"/>
          <w:sz w:val="21"/>
        </w:rPr>
        <w:t>law </w:t>
      </w:r>
      <w:r>
        <w:rPr>
          <w:spacing w:val="-3"/>
          <w:w w:val="105"/>
          <w:sz w:val="21"/>
        </w:rPr>
        <w:t>concerning </w:t>
      </w:r>
      <w:r>
        <w:rPr>
          <w:w w:val="105"/>
          <w:sz w:val="21"/>
        </w:rPr>
        <w:t>the </w:t>
      </w:r>
      <w:r>
        <w:rPr>
          <w:spacing w:val="-3"/>
          <w:w w:val="105"/>
          <w:sz w:val="21"/>
        </w:rPr>
        <w:t>minimum information that </w:t>
      </w:r>
      <w:r>
        <w:rPr>
          <w:w w:val="105"/>
          <w:sz w:val="21"/>
        </w:rPr>
        <w:t>should be disclosed</w:t>
      </w:r>
      <w:r>
        <w:rPr>
          <w:spacing w:val="-22"/>
          <w:w w:val="105"/>
          <w:sz w:val="21"/>
        </w:rPr>
        <w:t> </w:t>
      </w:r>
      <w:r>
        <w:rPr>
          <w:spacing w:val="-3"/>
          <w:w w:val="105"/>
          <w:sz w:val="21"/>
        </w:rPr>
        <w:t>to</w:t>
      </w:r>
    </w:p>
    <w:p>
      <w:pPr>
        <w:pStyle w:val="BodyText"/>
        <w:spacing w:line="242" w:lineRule="auto" w:before="3"/>
        <w:ind w:left="2381" w:right="1585"/>
        <w:jc w:val="both"/>
        <w:rPr>
          <w:sz w:val="12"/>
        </w:rPr>
      </w:pPr>
      <w:r>
        <w:rPr>
          <w:w w:val="105"/>
        </w:rPr>
        <w:t>beneficiaries when they </w:t>
      </w:r>
      <w:r>
        <w:rPr>
          <w:spacing w:val="-3"/>
          <w:w w:val="105"/>
        </w:rPr>
        <w:t>are </w:t>
      </w:r>
      <w:r>
        <w:rPr>
          <w:w w:val="105"/>
        </w:rPr>
        <w:t>being </w:t>
      </w:r>
      <w:r>
        <w:rPr>
          <w:spacing w:val="-3"/>
          <w:w w:val="105"/>
        </w:rPr>
        <w:t>asked to consent to </w:t>
      </w:r>
      <w:r>
        <w:rPr>
          <w:w w:val="105"/>
        </w:rPr>
        <w:t>the payment of </w:t>
      </w:r>
      <w:r>
        <w:rPr>
          <w:spacing w:val="-3"/>
          <w:w w:val="105"/>
        </w:rPr>
        <w:t>commission </w:t>
      </w:r>
      <w:r>
        <w:rPr>
          <w:w w:val="105"/>
        </w:rPr>
        <w:t>should be in </w:t>
      </w:r>
      <w:r>
        <w:rPr>
          <w:spacing w:val="-3"/>
          <w:w w:val="105"/>
        </w:rPr>
        <w:t>legislation.</w:t>
      </w:r>
      <w:r>
        <w:rPr>
          <w:spacing w:val="-3"/>
          <w:w w:val="105"/>
          <w:position w:val="7"/>
          <w:sz w:val="12"/>
        </w:rPr>
        <w:t>68 </w:t>
      </w:r>
      <w:r>
        <w:rPr>
          <w:w w:val="105"/>
        </w:rPr>
        <w:t>The </w:t>
      </w:r>
      <w:r>
        <w:rPr>
          <w:spacing w:val="-3"/>
          <w:w w:val="105"/>
        </w:rPr>
        <w:t>exception </w:t>
      </w:r>
      <w:r>
        <w:rPr>
          <w:w w:val="105"/>
        </w:rPr>
        <w:t>was the </w:t>
      </w:r>
      <w:r>
        <w:rPr>
          <w:spacing w:val="-3"/>
          <w:w w:val="105"/>
        </w:rPr>
        <w:t>submission from </w:t>
      </w:r>
      <w:r>
        <w:rPr>
          <w:w w:val="105"/>
        </w:rPr>
        <w:t>the Association of Independent Retirees,</w:t>
      </w:r>
      <w:r>
        <w:rPr>
          <w:spacing w:val="-8"/>
          <w:w w:val="105"/>
        </w:rPr>
        <w:t> </w:t>
      </w:r>
      <w:r>
        <w:rPr>
          <w:w w:val="105"/>
        </w:rPr>
        <w:t>which</w:t>
      </w:r>
      <w:r>
        <w:rPr>
          <w:spacing w:val="-8"/>
          <w:w w:val="105"/>
        </w:rPr>
        <w:t> </w:t>
      </w:r>
      <w:r>
        <w:rPr>
          <w:w w:val="105"/>
        </w:rPr>
        <w:t>suggested</w:t>
      </w:r>
      <w:r>
        <w:rPr>
          <w:spacing w:val="-8"/>
          <w:w w:val="105"/>
        </w:rPr>
        <w:t> </w:t>
      </w:r>
      <w:r>
        <w:rPr>
          <w:spacing w:val="-3"/>
          <w:w w:val="105"/>
        </w:rPr>
        <w:t>that</w:t>
      </w:r>
      <w:r>
        <w:rPr>
          <w:spacing w:val="-7"/>
          <w:w w:val="105"/>
        </w:rPr>
        <w:t> </w:t>
      </w:r>
      <w:r>
        <w:rPr>
          <w:w w:val="105"/>
        </w:rPr>
        <w:t>perhaps</w:t>
      </w:r>
      <w:r>
        <w:rPr>
          <w:spacing w:val="-8"/>
          <w:w w:val="105"/>
        </w:rPr>
        <w:t> </w:t>
      </w:r>
      <w:r>
        <w:rPr>
          <w:w w:val="105"/>
        </w:rPr>
        <w:t>they</w:t>
      </w:r>
      <w:r>
        <w:rPr>
          <w:spacing w:val="-8"/>
          <w:w w:val="105"/>
        </w:rPr>
        <w:t> </w:t>
      </w:r>
      <w:r>
        <w:rPr>
          <w:w w:val="105"/>
        </w:rPr>
        <w:t>should</w:t>
      </w:r>
      <w:r>
        <w:rPr>
          <w:spacing w:val="-8"/>
          <w:w w:val="105"/>
        </w:rPr>
        <w:t> </w:t>
      </w:r>
      <w:r>
        <w:rPr>
          <w:w w:val="105"/>
        </w:rPr>
        <w:t>be</w:t>
      </w:r>
      <w:r>
        <w:rPr>
          <w:spacing w:val="-7"/>
          <w:w w:val="105"/>
        </w:rPr>
        <w:t> </w:t>
      </w:r>
      <w:r>
        <w:rPr>
          <w:w w:val="105"/>
        </w:rPr>
        <w:t>set</w:t>
      </w:r>
      <w:r>
        <w:rPr>
          <w:spacing w:val="-8"/>
          <w:w w:val="105"/>
        </w:rPr>
        <w:t> </w:t>
      </w:r>
      <w:r>
        <w:rPr>
          <w:w w:val="105"/>
        </w:rPr>
        <w:t>out</w:t>
      </w:r>
      <w:r>
        <w:rPr>
          <w:spacing w:val="-8"/>
          <w:w w:val="105"/>
        </w:rPr>
        <w:t> </w:t>
      </w:r>
      <w:r>
        <w:rPr>
          <w:w w:val="105"/>
        </w:rPr>
        <w:t>in</w:t>
      </w:r>
      <w:r>
        <w:rPr>
          <w:spacing w:val="-7"/>
          <w:w w:val="105"/>
        </w:rPr>
        <w:t> </w:t>
      </w:r>
      <w:r>
        <w:rPr>
          <w:w w:val="105"/>
        </w:rPr>
        <w:t>the</w:t>
      </w:r>
      <w:r>
        <w:rPr>
          <w:spacing w:val="-8"/>
          <w:w w:val="105"/>
        </w:rPr>
        <w:t> </w:t>
      </w:r>
      <w:r>
        <w:rPr>
          <w:spacing w:val="-3"/>
          <w:w w:val="105"/>
        </w:rPr>
        <w:t>Professional</w:t>
      </w:r>
      <w:r>
        <w:rPr>
          <w:spacing w:val="-8"/>
          <w:w w:val="105"/>
        </w:rPr>
        <w:t> </w:t>
      </w:r>
      <w:r>
        <w:rPr>
          <w:spacing w:val="-3"/>
          <w:w w:val="105"/>
        </w:rPr>
        <w:t>Conduct </w:t>
      </w:r>
      <w:r>
        <w:rPr>
          <w:w w:val="105"/>
        </w:rPr>
        <w:t>and Practice</w:t>
      </w:r>
      <w:r>
        <w:rPr>
          <w:spacing w:val="10"/>
          <w:w w:val="105"/>
        </w:rPr>
        <w:t> </w:t>
      </w:r>
      <w:r>
        <w:rPr>
          <w:w w:val="105"/>
        </w:rPr>
        <w:t>Rules.</w:t>
      </w:r>
      <w:r>
        <w:rPr>
          <w:w w:val="105"/>
          <w:position w:val="7"/>
          <w:sz w:val="12"/>
        </w:rPr>
        <w:t>69</w:t>
      </w:r>
    </w:p>
    <w:p>
      <w:pPr>
        <w:pStyle w:val="ListParagraph"/>
        <w:numPr>
          <w:ilvl w:val="1"/>
          <w:numId w:val="22"/>
        </w:numPr>
        <w:tabs>
          <w:tab w:pos="2381" w:val="left" w:leader="none"/>
          <w:tab w:pos="2382" w:val="left" w:leader="none"/>
        </w:tabs>
        <w:spacing w:line="242" w:lineRule="auto" w:before="124" w:after="0"/>
        <w:ind w:left="2381" w:right="1661" w:hanging="794"/>
        <w:jc w:val="left"/>
        <w:rPr>
          <w:sz w:val="12"/>
        </w:rPr>
      </w:pPr>
      <w:r>
        <w:rPr>
          <w:sz w:val="21"/>
        </w:rPr>
        <w:t>The proposal </w:t>
      </w:r>
      <w:r>
        <w:rPr>
          <w:spacing w:val="-3"/>
          <w:sz w:val="21"/>
        </w:rPr>
        <w:t>to </w:t>
      </w:r>
      <w:r>
        <w:rPr>
          <w:sz w:val="21"/>
        </w:rPr>
        <w:t>provide a statutory basis </w:t>
      </w:r>
      <w:r>
        <w:rPr>
          <w:spacing w:val="-3"/>
          <w:sz w:val="21"/>
        </w:rPr>
        <w:t>to </w:t>
      </w:r>
      <w:r>
        <w:rPr>
          <w:sz w:val="21"/>
        </w:rPr>
        <w:t>the </w:t>
      </w:r>
      <w:r>
        <w:rPr>
          <w:spacing w:val="-3"/>
          <w:sz w:val="21"/>
        </w:rPr>
        <w:t>principles </w:t>
      </w:r>
      <w:r>
        <w:rPr>
          <w:sz w:val="21"/>
        </w:rPr>
        <w:t>in </w:t>
      </w:r>
      <w:r>
        <w:rPr>
          <w:i/>
          <w:spacing w:val="-4"/>
          <w:sz w:val="21"/>
        </w:rPr>
        <w:t>D’Alessandro </w:t>
      </w:r>
      <w:r>
        <w:rPr>
          <w:sz w:val="21"/>
        </w:rPr>
        <w:t>was welcomed because it would set out a </w:t>
      </w:r>
      <w:r>
        <w:rPr>
          <w:spacing w:val="-3"/>
          <w:sz w:val="21"/>
        </w:rPr>
        <w:t>clear requirement </w:t>
      </w:r>
      <w:r>
        <w:rPr>
          <w:sz w:val="21"/>
        </w:rPr>
        <w:t>in </w:t>
      </w:r>
      <w:r>
        <w:rPr>
          <w:spacing w:val="-3"/>
          <w:sz w:val="21"/>
        </w:rPr>
        <w:t>legislation  that  </w:t>
      </w:r>
      <w:r>
        <w:rPr>
          <w:sz w:val="21"/>
        </w:rPr>
        <w:t>would  apply  </w:t>
      </w:r>
      <w:r>
        <w:rPr>
          <w:spacing w:val="-3"/>
          <w:sz w:val="21"/>
        </w:rPr>
        <w:t>to  all </w:t>
      </w:r>
      <w:r>
        <w:rPr>
          <w:sz w:val="21"/>
        </w:rPr>
        <w:t>executors and </w:t>
      </w:r>
      <w:r>
        <w:rPr>
          <w:spacing w:val="-3"/>
          <w:sz w:val="21"/>
        </w:rPr>
        <w:t>could </w:t>
      </w:r>
      <w:r>
        <w:rPr>
          <w:sz w:val="21"/>
        </w:rPr>
        <w:t>be </w:t>
      </w:r>
      <w:r>
        <w:rPr>
          <w:spacing w:val="-3"/>
          <w:sz w:val="21"/>
        </w:rPr>
        <w:t>considered </w:t>
      </w:r>
      <w:r>
        <w:rPr>
          <w:sz w:val="21"/>
        </w:rPr>
        <w:t>by beneficiaries who </w:t>
      </w:r>
      <w:r>
        <w:rPr>
          <w:spacing w:val="-3"/>
          <w:sz w:val="21"/>
        </w:rPr>
        <w:t>are  thinking  </w:t>
      </w:r>
      <w:r>
        <w:rPr>
          <w:sz w:val="21"/>
        </w:rPr>
        <w:t>of  </w:t>
      </w:r>
      <w:r>
        <w:rPr>
          <w:spacing w:val="-3"/>
          <w:sz w:val="21"/>
        </w:rPr>
        <w:t>making  </w:t>
      </w:r>
      <w:r>
        <w:rPr>
          <w:sz w:val="21"/>
        </w:rPr>
        <w:t>a </w:t>
      </w:r>
      <w:r>
        <w:rPr>
          <w:spacing w:val="-3"/>
          <w:sz w:val="21"/>
        </w:rPr>
        <w:t>complaint. </w:t>
      </w:r>
      <w:r>
        <w:rPr>
          <w:spacing w:val="-4"/>
          <w:sz w:val="21"/>
        </w:rPr>
        <w:t>However, </w:t>
      </w:r>
      <w:r>
        <w:rPr>
          <w:sz w:val="21"/>
        </w:rPr>
        <w:t>members of the advisory committee cautioned </w:t>
      </w:r>
      <w:r>
        <w:rPr>
          <w:spacing w:val="-3"/>
          <w:sz w:val="21"/>
        </w:rPr>
        <w:t>against </w:t>
      </w:r>
      <w:r>
        <w:rPr>
          <w:sz w:val="21"/>
        </w:rPr>
        <w:t>it. They said  </w:t>
      </w:r>
      <w:r>
        <w:rPr>
          <w:spacing w:val="-3"/>
          <w:sz w:val="21"/>
        </w:rPr>
        <w:t>that </w:t>
      </w:r>
      <w:r>
        <w:rPr>
          <w:sz w:val="21"/>
        </w:rPr>
        <w:t>the </w:t>
      </w:r>
      <w:r>
        <w:rPr>
          <w:spacing w:val="-2"/>
          <w:sz w:val="21"/>
        </w:rPr>
        <w:t>common </w:t>
      </w:r>
      <w:r>
        <w:rPr>
          <w:sz w:val="21"/>
        </w:rPr>
        <w:t>law is sufficient and warned </w:t>
      </w:r>
      <w:r>
        <w:rPr>
          <w:spacing w:val="-3"/>
          <w:sz w:val="21"/>
        </w:rPr>
        <w:t>that </w:t>
      </w:r>
      <w:r>
        <w:rPr>
          <w:sz w:val="21"/>
        </w:rPr>
        <w:t>setting out the </w:t>
      </w:r>
      <w:r>
        <w:rPr>
          <w:spacing w:val="-3"/>
          <w:sz w:val="21"/>
        </w:rPr>
        <w:t>principles </w:t>
      </w:r>
      <w:r>
        <w:rPr>
          <w:sz w:val="21"/>
        </w:rPr>
        <w:t>in </w:t>
      </w:r>
      <w:r>
        <w:rPr>
          <w:spacing w:val="-3"/>
          <w:sz w:val="21"/>
        </w:rPr>
        <w:t>legislation </w:t>
      </w:r>
      <w:r>
        <w:rPr>
          <w:sz w:val="21"/>
        </w:rPr>
        <w:t>would </w:t>
      </w:r>
      <w:r>
        <w:rPr>
          <w:spacing w:val="-3"/>
          <w:sz w:val="21"/>
        </w:rPr>
        <w:t>create </w:t>
      </w:r>
      <w:r>
        <w:rPr>
          <w:sz w:val="21"/>
        </w:rPr>
        <w:t>uncertainty </w:t>
      </w:r>
      <w:r>
        <w:rPr>
          <w:spacing w:val="-3"/>
          <w:sz w:val="21"/>
        </w:rPr>
        <w:t>for </w:t>
      </w:r>
      <w:r>
        <w:rPr>
          <w:sz w:val="21"/>
        </w:rPr>
        <w:t>executors about whether an </w:t>
      </w:r>
      <w:r>
        <w:rPr>
          <w:spacing w:val="-2"/>
          <w:sz w:val="21"/>
        </w:rPr>
        <w:t>agreement </w:t>
      </w:r>
      <w:r>
        <w:rPr>
          <w:sz w:val="21"/>
        </w:rPr>
        <w:t>they made with the beneficiaries would </w:t>
      </w:r>
      <w:r>
        <w:rPr>
          <w:spacing w:val="-3"/>
          <w:sz w:val="21"/>
        </w:rPr>
        <w:t>subsequently </w:t>
      </w:r>
      <w:r>
        <w:rPr>
          <w:sz w:val="21"/>
        </w:rPr>
        <w:t>be set</w:t>
      </w:r>
      <w:r>
        <w:rPr>
          <w:spacing w:val="2"/>
          <w:sz w:val="21"/>
        </w:rPr>
        <w:t> </w:t>
      </w:r>
      <w:r>
        <w:rPr>
          <w:spacing w:val="-4"/>
          <w:sz w:val="21"/>
        </w:rPr>
        <w:t>aside.</w:t>
      </w:r>
      <w:r>
        <w:rPr>
          <w:spacing w:val="-4"/>
          <w:position w:val="7"/>
          <w:sz w:val="12"/>
        </w:rPr>
        <w:t>70</w:t>
      </w:r>
    </w:p>
    <w:p>
      <w:pPr>
        <w:pStyle w:val="ListParagraph"/>
        <w:numPr>
          <w:ilvl w:val="1"/>
          <w:numId w:val="22"/>
        </w:numPr>
        <w:tabs>
          <w:tab w:pos="2381" w:val="left" w:leader="none"/>
          <w:tab w:pos="2382" w:val="left" w:leader="none"/>
        </w:tabs>
        <w:spacing w:line="242" w:lineRule="auto" w:before="128" w:after="0"/>
        <w:ind w:left="2381" w:right="1677" w:hanging="794"/>
        <w:jc w:val="left"/>
        <w:rPr>
          <w:sz w:val="12"/>
        </w:rPr>
      </w:pPr>
      <w:r>
        <w:rPr>
          <w:w w:val="105"/>
          <w:sz w:val="21"/>
        </w:rPr>
        <w:t>Although it would be </w:t>
      </w:r>
      <w:r>
        <w:rPr>
          <w:spacing w:val="-3"/>
          <w:w w:val="105"/>
          <w:sz w:val="21"/>
        </w:rPr>
        <w:t>convenient to have </w:t>
      </w:r>
      <w:r>
        <w:rPr>
          <w:w w:val="105"/>
          <w:sz w:val="21"/>
        </w:rPr>
        <w:t>the </w:t>
      </w:r>
      <w:r>
        <w:rPr>
          <w:spacing w:val="-3"/>
          <w:w w:val="105"/>
          <w:sz w:val="21"/>
        </w:rPr>
        <w:t>principles </w:t>
      </w:r>
      <w:r>
        <w:rPr>
          <w:w w:val="105"/>
          <w:sz w:val="21"/>
        </w:rPr>
        <w:t>in </w:t>
      </w:r>
      <w:r>
        <w:rPr>
          <w:spacing w:val="-3"/>
          <w:w w:val="105"/>
          <w:sz w:val="21"/>
        </w:rPr>
        <w:t>legislation, </w:t>
      </w:r>
      <w:r>
        <w:rPr>
          <w:w w:val="105"/>
          <w:sz w:val="21"/>
        </w:rPr>
        <w:t>the </w:t>
      </w:r>
      <w:r>
        <w:rPr>
          <w:spacing w:val="-3"/>
          <w:w w:val="105"/>
          <w:sz w:val="21"/>
        </w:rPr>
        <w:t>Commission  </w:t>
      </w:r>
      <w:r>
        <w:rPr>
          <w:spacing w:val="-2"/>
          <w:w w:val="105"/>
          <w:sz w:val="21"/>
        </w:rPr>
        <w:t>has </w:t>
      </w:r>
      <w:r>
        <w:rPr>
          <w:w w:val="105"/>
          <w:sz w:val="21"/>
        </w:rPr>
        <w:t>decided </w:t>
      </w:r>
      <w:r>
        <w:rPr>
          <w:spacing w:val="-2"/>
          <w:w w:val="105"/>
          <w:sz w:val="21"/>
        </w:rPr>
        <w:t>not </w:t>
      </w:r>
      <w:r>
        <w:rPr>
          <w:spacing w:val="-3"/>
          <w:w w:val="105"/>
          <w:sz w:val="21"/>
        </w:rPr>
        <w:t>to recommend </w:t>
      </w:r>
      <w:r>
        <w:rPr>
          <w:w w:val="105"/>
          <w:sz w:val="21"/>
        </w:rPr>
        <w:t>it, </w:t>
      </w:r>
      <w:r>
        <w:rPr>
          <w:spacing w:val="-3"/>
          <w:w w:val="105"/>
          <w:sz w:val="21"/>
        </w:rPr>
        <w:t>for </w:t>
      </w:r>
      <w:r>
        <w:rPr>
          <w:w w:val="105"/>
          <w:sz w:val="21"/>
        </w:rPr>
        <w:t>the same </w:t>
      </w:r>
      <w:r>
        <w:rPr>
          <w:spacing w:val="-3"/>
          <w:w w:val="105"/>
          <w:sz w:val="21"/>
        </w:rPr>
        <w:t>reasons that </w:t>
      </w:r>
      <w:r>
        <w:rPr>
          <w:w w:val="105"/>
          <w:sz w:val="21"/>
        </w:rPr>
        <w:t>it did </w:t>
      </w:r>
      <w:r>
        <w:rPr>
          <w:spacing w:val="-2"/>
          <w:w w:val="105"/>
          <w:sz w:val="21"/>
        </w:rPr>
        <w:t>not </w:t>
      </w:r>
      <w:r>
        <w:rPr>
          <w:spacing w:val="-3"/>
          <w:w w:val="105"/>
          <w:sz w:val="21"/>
        </w:rPr>
        <w:t>recommend </w:t>
      </w:r>
      <w:r>
        <w:rPr>
          <w:w w:val="105"/>
          <w:sz w:val="21"/>
        </w:rPr>
        <w:t>giving statutory </w:t>
      </w:r>
      <w:r>
        <w:rPr>
          <w:spacing w:val="-3"/>
          <w:w w:val="105"/>
          <w:sz w:val="21"/>
        </w:rPr>
        <w:t>backing to </w:t>
      </w:r>
      <w:r>
        <w:rPr>
          <w:w w:val="105"/>
          <w:sz w:val="21"/>
        </w:rPr>
        <w:t>the </w:t>
      </w:r>
      <w:r>
        <w:rPr>
          <w:spacing w:val="-2"/>
          <w:w w:val="105"/>
          <w:sz w:val="21"/>
        </w:rPr>
        <w:t>common </w:t>
      </w:r>
      <w:r>
        <w:rPr>
          <w:w w:val="105"/>
          <w:sz w:val="21"/>
        </w:rPr>
        <w:t>law </w:t>
      </w:r>
      <w:r>
        <w:rPr>
          <w:spacing w:val="-3"/>
          <w:w w:val="105"/>
          <w:sz w:val="21"/>
        </w:rPr>
        <w:t>requirements </w:t>
      </w:r>
      <w:r>
        <w:rPr>
          <w:w w:val="105"/>
          <w:sz w:val="21"/>
        </w:rPr>
        <w:t>when seeking a </w:t>
      </w:r>
      <w:r>
        <w:rPr>
          <w:spacing w:val="-3"/>
          <w:w w:val="105"/>
          <w:sz w:val="21"/>
        </w:rPr>
        <w:t>will-maker’s consent to charge for executorial</w:t>
      </w:r>
      <w:r>
        <w:rPr>
          <w:spacing w:val="29"/>
          <w:w w:val="105"/>
          <w:sz w:val="21"/>
        </w:rPr>
        <w:t> </w:t>
      </w:r>
      <w:r>
        <w:rPr>
          <w:spacing w:val="-3"/>
          <w:w w:val="105"/>
          <w:sz w:val="21"/>
        </w:rPr>
        <w:t>services.</w:t>
      </w:r>
      <w:r>
        <w:rPr>
          <w:spacing w:val="-3"/>
          <w:w w:val="105"/>
          <w:position w:val="7"/>
          <w:sz w:val="12"/>
        </w:rPr>
        <w:t>71</w:t>
      </w:r>
    </w:p>
    <w:p>
      <w:pPr>
        <w:pStyle w:val="ListParagraph"/>
        <w:numPr>
          <w:ilvl w:val="1"/>
          <w:numId w:val="22"/>
        </w:numPr>
        <w:tabs>
          <w:tab w:pos="2380" w:val="left" w:leader="none"/>
          <w:tab w:pos="2381" w:val="left" w:leader="none"/>
        </w:tabs>
        <w:spacing w:line="242" w:lineRule="auto" w:before="124" w:after="0"/>
        <w:ind w:left="2381" w:right="1611" w:hanging="794"/>
        <w:jc w:val="left"/>
        <w:rPr>
          <w:sz w:val="21"/>
        </w:rPr>
      </w:pPr>
      <w:r>
        <w:rPr>
          <w:spacing w:val="-7"/>
          <w:sz w:val="21"/>
        </w:rPr>
        <w:t>However,  </w:t>
      </w:r>
      <w:r>
        <w:rPr>
          <w:spacing w:val="-5"/>
          <w:sz w:val="21"/>
        </w:rPr>
        <w:t>there would </w:t>
      </w:r>
      <w:r>
        <w:rPr>
          <w:sz w:val="21"/>
        </w:rPr>
        <w:t>be </w:t>
      </w:r>
      <w:r>
        <w:rPr>
          <w:spacing w:val="-4"/>
          <w:sz w:val="21"/>
        </w:rPr>
        <w:t>benefit in </w:t>
      </w:r>
      <w:r>
        <w:rPr>
          <w:spacing w:val="-6"/>
          <w:sz w:val="21"/>
        </w:rPr>
        <w:t>introducing  </w:t>
      </w:r>
      <w:r>
        <w:rPr>
          <w:sz w:val="21"/>
        </w:rPr>
        <w:t>a </w:t>
      </w:r>
      <w:r>
        <w:rPr>
          <w:spacing w:val="-4"/>
          <w:sz w:val="21"/>
        </w:rPr>
        <w:t>statutory </w:t>
      </w:r>
      <w:r>
        <w:rPr>
          <w:spacing w:val="-5"/>
          <w:sz w:val="21"/>
        </w:rPr>
        <w:t>provision that </w:t>
      </w:r>
      <w:r>
        <w:rPr>
          <w:spacing w:val="-6"/>
          <w:sz w:val="21"/>
        </w:rPr>
        <w:t>highlights  </w:t>
      </w:r>
      <w:r>
        <w:rPr>
          <w:spacing w:val="-4"/>
          <w:sz w:val="21"/>
        </w:rPr>
        <w:t>the need   to</w:t>
      </w:r>
      <w:r>
        <w:rPr>
          <w:spacing w:val="12"/>
          <w:sz w:val="21"/>
        </w:rPr>
        <w:t> </w:t>
      </w:r>
      <w:r>
        <w:rPr>
          <w:spacing w:val="-4"/>
          <w:sz w:val="21"/>
        </w:rPr>
        <w:t>seek</w:t>
      </w:r>
      <w:r>
        <w:rPr>
          <w:spacing w:val="13"/>
          <w:sz w:val="21"/>
        </w:rPr>
        <w:t> </w:t>
      </w:r>
      <w:r>
        <w:rPr>
          <w:spacing w:val="-4"/>
          <w:sz w:val="21"/>
        </w:rPr>
        <w:t>the</w:t>
      </w:r>
      <w:r>
        <w:rPr>
          <w:spacing w:val="13"/>
          <w:sz w:val="21"/>
        </w:rPr>
        <w:t> </w:t>
      </w:r>
      <w:r>
        <w:rPr>
          <w:spacing w:val="-5"/>
          <w:sz w:val="21"/>
        </w:rPr>
        <w:t>beneficiaries’</w:t>
      </w:r>
      <w:r>
        <w:rPr>
          <w:spacing w:val="13"/>
          <w:sz w:val="21"/>
        </w:rPr>
        <w:t> </w:t>
      </w:r>
      <w:r>
        <w:rPr>
          <w:spacing w:val="-6"/>
          <w:sz w:val="21"/>
        </w:rPr>
        <w:t>informed</w:t>
      </w:r>
      <w:r>
        <w:rPr>
          <w:spacing w:val="12"/>
          <w:sz w:val="21"/>
        </w:rPr>
        <w:t> </w:t>
      </w:r>
      <w:r>
        <w:rPr>
          <w:spacing w:val="-6"/>
          <w:sz w:val="21"/>
        </w:rPr>
        <w:t>consent.</w:t>
      </w:r>
      <w:r>
        <w:rPr>
          <w:spacing w:val="13"/>
          <w:sz w:val="21"/>
        </w:rPr>
        <w:t> </w:t>
      </w:r>
      <w:r>
        <w:rPr>
          <w:sz w:val="21"/>
        </w:rPr>
        <w:t>It</w:t>
      </w:r>
      <w:r>
        <w:rPr>
          <w:spacing w:val="13"/>
          <w:sz w:val="21"/>
        </w:rPr>
        <w:t> </w:t>
      </w:r>
      <w:r>
        <w:rPr>
          <w:spacing w:val="-5"/>
          <w:sz w:val="21"/>
        </w:rPr>
        <w:t>would</w:t>
      </w:r>
      <w:r>
        <w:rPr>
          <w:spacing w:val="13"/>
          <w:sz w:val="21"/>
        </w:rPr>
        <w:t> </w:t>
      </w:r>
      <w:r>
        <w:rPr>
          <w:spacing w:val="-4"/>
          <w:sz w:val="21"/>
        </w:rPr>
        <w:t>apply</w:t>
      </w:r>
      <w:r>
        <w:rPr>
          <w:spacing w:val="12"/>
          <w:sz w:val="21"/>
        </w:rPr>
        <w:t> </w:t>
      </w:r>
      <w:r>
        <w:rPr>
          <w:spacing w:val="-4"/>
          <w:sz w:val="21"/>
        </w:rPr>
        <w:t>to</w:t>
      </w:r>
      <w:r>
        <w:rPr>
          <w:spacing w:val="13"/>
          <w:sz w:val="21"/>
        </w:rPr>
        <w:t> </w:t>
      </w:r>
      <w:r>
        <w:rPr>
          <w:spacing w:val="-5"/>
          <w:sz w:val="21"/>
        </w:rPr>
        <w:t>all</w:t>
      </w:r>
      <w:r>
        <w:rPr>
          <w:spacing w:val="13"/>
          <w:sz w:val="21"/>
        </w:rPr>
        <w:t> </w:t>
      </w:r>
      <w:r>
        <w:rPr>
          <w:spacing w:val="-5"/>
          <w:sz w:val="21"/>
        </w:rPr>
        <w:t>executors</w:t>
      </w:r>
      <w:r>
        <w:rPr>
          <w:spacing w:val="13"/>
          <w:sz w:val="21"/>
        </w:rPr>
        <w:t> </w:t>
      </w:r>
      <w:r>
        <w:rPr>
          <w:spacing w:val="-4"/>
          <w:sz w:val="21"/>
        </w:rPr>
        <w:t>and</w:t>
      </w:r>
      <w:r>
        <w:rPr>
          <w:spacing w:val="12"/>
          <w:sz w:val="21"/>
        </w:rPr>
        <w:t> </w:t>
      </w:r>
      <w:r>
        <w:rPr>
          <w:spacing w:val="-3"/>
          <w:sz w:val="21"/>
        </w:rPr>
        <w:t>alert</w:t>
      </w:r>
      <w:r>
        <w:rPr>
          <w:spacing w:val="13"/>
          <w:sz w:val="21"/>
        </w:rPr>
        <w:t> </w:t>
      </w:r>
      <w:r>
        <w:rPr>
          <w:spacing w:val="-4"/>
          <w:sz w:val="21"/>
        </w:rPr>
        <w:t>them</w:t>
      </w:r>
    </w:p>
    <w:p>
      <w:pPr>
        <w:pStyle w:val="BodyText"/>
        <w:spacing w:line="242" w:lineRule="auto" w:before="2"/>
        <w:ind w:left="2381" w:right="1584"/>
      </w:pPr>
      <w:r>
        <w:rPr>
          <w:spacing w:val="-4"/>
          <w:w w:val="105"/>
        </w:rPr>
        <w:t>to the </w:t>
      </w:r>
      <w:r>
        <w:rPr>
          <w:spacing w:val="-6"/>
          <w:w w:val="105"/>
        </w:rPr>
        <w:t>requirement </w:t>
      </w:r>
      <w:r>
        <w:rPr>
          <w:spacing w:val="-5"/>
          <w:w w:val="105"/>
        </w:rPr>
        <w:t>while </w:t>
      </w:r>
      <w:r>
        <w:rPr>
          <w:spacing w:val="-6"/>
          <w:w w:val="105"/>
        </w:rPr>
        <w:t>allowing </w:t>
      </w:r>
      <w:r>
        <w:rPr>
          <w:spacing w:val="-5"/>
          <w:w w:val="105"/>
        </w:rPr>
        <w:t>for </w:t>
      </w:r>
      <w:r>
        <w:rPr>
          <w:spacing w:val="-4"/>
          <w:w w:val="105"/>
        </w:rPr>
        <w:t>the </w:t>
      </w:r>
      <w:r>
        <w:rPr>
          <w:spacing w:val="-5"/>
          <w:w w:val="105"/>
        </w:rPr>
        <w:t>common law </w:t>
      </w:r>
      <w:r>
        <w:rPr>
          <w:spacing w:val="-4"/>
          <w:w w:val="105"/>
        </w:rPr>
        <w:t>to </w:t>
      </w:r>
      <w:r>
        <w:rPr>
          <w:spacing w:val="-6"/>
          <w:w w:val="105"/>
        </w:rPr>
        <w:t>continue </w:t>
      </w:r>
      <w:r>
        <w:rPr>
          <w:spacing w:val="-4"/>
          <w:w w:val="105"/>
        </w:rPr>
        <w:t>to </w:t>
      </w:r>
      <w:r>
        <w:rPr>
          <w:spacing w:val="-5"/>
          <w:w w:val="105"/>
        </w:rPr>
        <w:t>develop </w:t>
      </w:r>
      <w:r>
        <w:rPr>
          <w:spacing w:val="-4"/>
          <w:w w:val="105"/>
        </w:rPr>
        <w:t>and </w:t>
      </w:r>
      <w:r>
        <w:rPr>
          <w:spacing w:val="-6"/>
          <w:w w:val="105"/>
        </w:rPr>
        <w:t>avoiding </w:t>
      </w:r>
      <w:r>
        <w:rPr>
          <w:spacing w:val="-5"/>
          <w:w w:val="105"/>
        </w:rPr>
        <w:t>inconsistency </w:t>
      </w:r>
      <w:r>
        <w:rPr>
          <w:spacing w:val="-4"/>
          <w:w w:val="105"/>
        </w:rPr>
        <w:t>with </w:t>
      </w:r>
      <w:r>
        <w:rPr>
          <w:spacing w:val="-6"/>
          <w:w w:val="105"/>
        </w:rPr>
        <w:t>equivalent </w:t>
      </w:r>
      <w:r>
        <w:rPr>
          <w:spacing w:val="-5"/>
          <w:w w:val="105"/>
        </w:rPr>
        <w:t>legislation </w:t>
      </w:r>
      <w:r>
        <w:rPr>
          <w:spacing w:val="-4"/>
          <w:w w:val="105"/>
        </w:rPr>
        <w:t>in </w:t>
      </w:r>
      <w:r>
        <w:rPr>
          <w:spacing w:val="-5"/>
          <w:w w:val="105"/>
        </w:rPr>
        <w:t>other jurisdictions. </w:t>
      </w:r>
      <w:r>
        <w:rPr>
          <w:spacing w:val="-3"/>
          <w:w w:val="105"/>
        </w:rPr>
        <w:t>The </w:t>
      </w:r>
      <w:r>
        <w:rPr>
          <w:spacing w:val="-5"/>
          <w:w w:val="105"/>
        </w:rPr>
        <w:t>general </w:t>
      </w:r>
      <w:r>
        <w:rPr>
          <w:spacing w:val="-6"/>
          <w:w w:val="105"/>
        </w:rPr>
        <w:t>wording </w:t>
      </w:r>
      <w:r>
        <w:rPr>
          <w:spacing w:val="-5"/>
          <w:w w:val="105"/>
        </w:rPr>
        <w:t>should assuage </w:t>
      </w:r>
      <w:r>
        <w:rPr>
          <w:spacing w:val="-6"/>
          <w:w w:val="105"/>
        </w:rPr>
        <w:t>concern </w:t>
      </w:r>
      <w:r>
        <w:rPr>
          <w:spacing w:val="-5"/>
          <w:w w:val="105"/>
        </w:rPr>
        <w:t>that </w:t>
      </w:r>
      <w:r>
        <w:rPr>
          <w:w w:val="105"/>
        </w:rPr>
        <w:t>a </w:t>
      </w:r>
      <w:r>
        <w:rPr>
          <w:spacing w:val="-6"/>
          <w:w w:val="105"/>
        </w:rPr>
        <w:t>failure </w:t>
      </w:r>
      <w:r>
        <w:rPr>
          <w:spacing w:val="-4"/>
          <w:w w:val="105"/>
        </w:rPr>
        <w:t>to </w:t>
      </w:r>
      <w:r>
        <w:rPr>
          <w:spacing w:val="-5"/>
          <w:w w:val="105"/>
        </w:rPr>
        <w:t>provide all details </w:t>
      </w:r>
      <w:r>
        <w:rPr>
          <w:spacing w:val="-3"/>
          <w:w w:val="105"/>
        </w:rPr>
        <w:t>as </w:t>
      </w:r>
      <w:r>
        <w:rPr>
          <w:spacing w:val="-5"/>
          <w:w w:val="105"/>
        </w:rPr>
        <w:t>listed </w:t>
      </w:r>
      <w:r>
        <w:rPr>
          <w:spacing w:val="-4"/>
          <w:w w:val="105"/>
        </w:rPr>
        <w:t>in </w:t>
      </w:r>
      <w:r>
        <w:rPr>
          <w:spacing w:val="-6"/>
          <w:w w:val="105"/>
        </w:rPr>
        <w:t>legislation, </w:t>
      </w:r>
      <w:r>
        <w:rPr>
          <w:spacing w:val="-5"/>
          <w:w w:val="105"/>
        </w:rPr>
        <w:t>even </w:t>
      </w:r>
      <w:r>
        <w:rPr>
          <w:spacing w:val="-3"/>
          <w:w w:val="105"/>
        </w:rPr>
        <w:t>if </w:t>
      </w:r>
      <w:r>
        <w:rPr>
          <w:spacing w:val="-6"/>
          <w:w w:val="105"/>
        </w:rPr>
        <w:t>informed consent </w:t>
      </w:r>
      <w:r>
        <w:rPr>
          <w:spacing w:val="-4"/>
          <w:w w:val="105"/>
        </w:rPr>
        <w:t>was </w:t>
      </w:r>
      <w:r>
        <w:rPr>
          <w:spacing w:val="-5"/>
          <w:w w:val="105"/>
        </w:rPr>
        <w:t>given </w:t>
      </w:r>
      <w:r>
        <w:rPr>
          <w:spacing w:val="-4"/>
          <w:w w:val="105"/>
        </w:rPr>
        <w:t>in the </w:t>
      </w:r>
      <w:r>
        <w:rPr>
          <w:spacing w:val="-6"/>
          <w:w w:val="105"/>
        </w:rPr>
        <w:t>circumstances, </w:t>
      </w:r>
      <w:r>
        <w:rPr>
          <w:spacing w:val="-5"/>
          <w:w w:val="105"/>
        </w:rPr>
        <w:t>would </w:t>
      </w:r>
      <w:r>
        <w:rPr>
          <w:w w:val="105"/>
        </w:rPr>
        <w:t>be </w:t>
      </w:r>
      <w:r>
        <w:rPr>
          <w:spacing w:val="-6"/>
          <w:w w:val="105"/>
        </w:rPr>
        <w:t>grounds </w:t>
      </w:r>
      <w:r>
        <w:rPr>
          <w:spacing w:val="-5"/>
          <w:w w:val="105"/>
        </w:rPr>
        <w:t>for </w:t>
      </w:r>
      <w:r>
        <w:rPr>
          <w:spacing w:val="-4"/>
          <w:w w:val="105"/>
        </w:rPr>
        <w:t>the </w:t>
      </w:r>
      <w:r>
        <w:rPr>
          <w:spacing w:val="-5"/>
          <w:w w:val="105"/>
        </w:rPr>
        <w:t>agreement </w:t>
      </w:r>
      <w:r>
        <w:rPr>
          <w:spacing w:val="-4"/>
          <w:w w:val="105"/>
        </w:rPr>
        <w:t>to </w:t>
      </w:r>
      <w:r>
        <w:rPr>
          <w:w w:val="105"/>
        </w:rPr>
        <w:t>be </w:t>
      </w:r>
      <w:r>
        <w:rPr>
          <w:spacing w:val="-4"/>
          <w:w w:val="105"/>
        </w:rPr>
        <w:t>set </w:t>
      </w:r>
      <w:r>
        <w:rPr>
          <w:spacing w:val="-6"/>
          <w:w w:val="105"/>
        </w:rPr>
        <w:t>aside.</w:t>
      </w:r>
    </w:p>
    <w:p>
      <w:pPr>
        <w:pStyle w:val="BodyText"/>
        <w:spacing w:before="8"/>
        <w:rPr>
          <w:sz w:val="16"/>
        </w:rPr>
      </w:pPr>
      <w:r>
        <w:rPr/>
        <w:pict>
          <v:group style="position:absolute;margin-left:62.362202pt;margin-top:12.154196pt;width:479.1pt;height:109.55pt;mso-position-horizontal-relative:page;mso-position-vertical-relative:paragraph;z-index:9224;mso-wrap-distance-left:0;mso-wrap-distance-right:0" coordorigin="1247,243" coordsize="9582,2191">
            <v:rect style="position:absolute;left:1587;top:243;width:8731;height:2191" filled="true" fillcolor="#fdebea" stroked="false">
              <v:fill type="solid"/>
            </v:rect>
            <v:line style="position:absolute" from="1247,994" to="10828,994" stroked="true" strokeweight="2.5pt" strokecolor="#ffffff">
              <v:stroke dashstyle="solid"/>
            </v:line>
            <v:shape style="position:absolute;left:2381;top:1230;width:7397;height:1029" type="#_x0000_t202" filled="false" stroked="false">
              <v:textbox inset="0,0,0,0">
                <w:txbxContent>
                  <w:p>
                    <w:pPr>
                      <w:spacing w:line="242" w:lineRule="auto" w:before="0"/>
                      <w:ind w:left="0" w:right="45" w:firstLine="0"/>
                      <w:jc w:val="left"/>
                      <w:rPr>
                        <w:sz w:val="21"/>
                      </w:rPr>
                    </w:pPr>
                    <w:r>
                      <w:rPr>
                        <w:w w:val="105"/>
                        <w:sz w:val="21"/>
                      </w:rPr>
                      <w:t>A new provision should be inserted into  the  </w:t>
                    </w:r>
                    <w:r>
                      <w:rPr>
                        <w:rFonts w:ascii="Lucida Sans"/>
                        <w:i/>
                        <w:w w:val="105"/>
                        <w:sz w:val="21"/>
                      </w:rPr>
                      <w:t>Administration and Probate </w:t>
                    </w:r>
                    <w:r>
                      <w:rPr>
                        <w:rFonts w:ascii="Lucida Sans"/>
                        <w:i/>
                        <w:w w:val="105"/>
                        <w:sz w:val="21"/>
                      </w:rPr>
                      <w:t>Act </w:t>
                    </w:r>
                    <w:r>
                      <w:rPr>
                        <w:rFonts w:ascii="Lucida Sans"/>
                        <w:i/>
                        <w:spacing w:val="-4"/>
                        <w:w w:val="105"/>
                        <w:sz w:val="21"/>
                      </w:rPr>
                      <w:t>1958 </w:t>
                    </w:r>
                    <w:r>
                      <w:rPr>
                        <w:w w:val="105"/>
                        <w:sz w:val="21"/>
                      </w:rPr>
                      <w:t>(Vic) to the effect that an executor  may  receive  commission  from the assets of an estate providedthat the executor obtains the fully informed consent of </w:t>
                    </w:r>
                    <w:r>
                      <w:rPr>
                        <w:spacing w:val="-3"/>
                        <w:w w:val="105"/>
                        <w:sz w:val="21"/>
                      </w:rPr>
                      <w:t>all </w:t>
                    </w:r>
                    <w:r>
                      <w:rPr>
                        <w:w w:val="105"/>
                        <w:sz w:val="21"/>
                      </w:rPr>
                      <w:t>interested</w:t>
                    </w:r>
                    <w:r>
                      <w:rPr>
                        <w:spacing w:val="38"/>
                        <w:w w:val="105"/>
                        <w:sz w:val="21"/>
                      </w:rPr>
                      <w:t> </w:t>
                    </w:r>
                    <w:r>
                      <w:rPr>
                        <w:w w:val="105"/>
                        <w:sz w:val="21"/>
                      </w:rPr>
                      <w:t>beneficiaries.</w:t>
                    </w:r>
                  </w:p>
                </w:txbxContent>
              </v:textbox>
              <w10:wrap type="none"/>
            </v:shape>
            <v:shape style="position:absolute;left:1814;top:1230;width:251;height:249" type="#_x0000_t202" filled="false" stroked="false">
              <v:textbox inset="0,0,0,0">
                <w:txbxContent>
                  <w:p>
                    <w:pPr>
                      <w:spacing w:line="249" w:lineRule="exact" w:before="0"/>
                      <w:ind w:left="0" w:right="0" w:firstLine="0"/>
                      <w:jc w:val="left"/>
                      <w:rPr>
                        <w:sz w:val="21"/>
                      </w:rPr>
                    </w:pPr>
                    <w:r>
                      <w:rPr>
                        <w:w w:val="110"/>
                        <w:sz w:val="21"/>
                      </w:rPr>
                      <w:t>53</w:t>
                    </w:r>
                  </w:p>
                </w:txbxContent>
              </v:textbox>
              <w10:wrap type="none"/>
            </v:shape>
            <v:shape style="position:absolute;left:1587;top:243;width:8731;height:726" type="#_x0000_t202" filled="true" fillcolor="#fdebea" stroked="false">
              <v:textbox inset="0,0,0,0">
                <w:txbxContent>
                  <w:p>
                    <w:pPr>
                      <w:spacing w:before="166"/>
                      <w:ind w:left="226" w:right="0" w:firstLine="0"/>
                      <w:jc w:val="left"/>
                      <w:rPr>
                        <w:b/>
                        <w:sz w:val="32"/>
                      </w:rPr>
                    </w:pPr>
                    <w:r>
                      <w:rPr>
                        <w:b/>
                        <w:color w:val="EC5A4F"/>
                        <w:w w:val="110"/>
                        <w:sz w:val="32"/>
                      </w:rPr>
                      <w:t>Recommendation</w:t>
                    </w:r>
                  </w:p>
                </w:txbxContent>
              </v:textbox>
              <v:fill type="solid"/>
              <w10:wrap type="none"/>
            </v:shape>
            <w10:wrap type="topAndBottom"/>
          </v:group>
        </w:pict>
      </w:r>
    </w:p>
    <w:p>
      <w:pPr>
        <w:pStyle w:val="BodyText"/>
        <w:spacing w:before="1"/>
        <w:rPr>
          <w:sz w:val="9"/>
        </w:rPr>
      </w:pPr>
    </w:p>
    <w:p>
      <w:pPr>
        <w:pStyle w:val="Heading5"/>
        <w:spacing w:before="99"/>
      </w:pPr>
      <w:r>
        <w:rPr>
          <w:w w:val="115"/>
        </w:rPr>
        <w:t>Distinguishing between executorial and professional services</w:t>
      </w:r>
    </w:p>
    <w:p>
      <w:pPr>
        <w:pStyle w:val="Heading6"/>
        <w:spacing w:before="201"/>
      </w:pPr>
      <w:r>
        <w:rPr>
          <w:w w:val="115"/>
        </w:rPr>
        <w:t>The problem</w:t>
      </w:r>
    </w:p>
    <w:p>
      <w:pPr>
        <w:pStyle w:val="ListParagraph"/>
        <w:numPr>
          <w:ilvl w:val="1"/>
          <w:numId w:val="22"/>
        </w:numPr>
        <w:tabs>
          <w:tab w:pos="2381" w:val="left" w:leader="none"/>
          <w:tab w:pos="2382" w:val="left" w:leader="none"/>
        </w:tabs>
        <w:spacing w:line="242" w:lineRule="auto" w:before="151" w:after="0"/>
        <w:ind w:left="2381" w:right="2277" w:hanging="794"/>
        <w:jc w:val="left"/>
        <w:rPr>
          <w:sz w:val="21"/>
        </w:rPr>
      </w:pPr>
      <w:r>
        <w:rPr>
          <w:w w:val="105"/>
          <w:sz w:val="21"/>
        </w:rPr>
        <w:t>There </w:t>
      </w:r>
      <w:r>
        <w:rPr>
          <w:spacing w:val="-3"/>
          <w:w w:val="105"/>
          <w:sz w:val="21"/>
        </w:rPr>
        <w:t>are </w:t>
      </w:r>
      <w:r>
        <w:rPr>
          <w:w w:val="105"/>
          <w:sz w:val="21"/>
        </w:rPr>
        <w:t>widespread </w:t>
      </w:r>
      <w:r>
        <w:rPr>
          <w:spacing w:val="-3"/>
          <w:w w:val="105"/>
          <w:sz w:val="21"/>
        </w:rPr>
        <w:t>concerns </w:t>
      </w:r>
      <w:r>
        <w:rPr>
          <w:w w:val="105"/>
          <w:sz w:val="21"/>
        </w:rPr>
        <w:t>about executors </w:t>
      </w:r>
      <w:r>
        <w:rPr>
          <w:spacing w:val="-4"/>
          <w:w w:val="105"/>
          <w:sz w:val="21"/>
        </w:rPr>
        <w:t>‘double </w:t>
      </w:r>
      <w:r>
        <w:rPr>
          <w:spacing w:val="-3"/>
          <w:w w:val="105"/>
          <w:sz w:val="21"/>
        </w:rPr>
        <w:t>dipping’ </w:t>
      </w:r>
      <w:r>
        <w:rPr>
          <w:w w:val="105"/>
          <w:sz w:val="21"/>
        </w:rPr>
        <w:t>by </w:t>
      </w:r>
      <w:r>
        <w:rPr>
          <w:spacing w:val="-3"/>
          <w:w w:val="105"/>
          <w:sz w:val="21"/>
        </w:rPr>
        <w:t>charging </w:t>
      </w:r>
      <w:r>
        <w:rPr>
          <w:w w:val="105"/>
          <w:sz w:val="21"/>
        </w:rPr>
        <w:t>both </w:t>
      </w:r>
      <w:r>
        <w:rPr>
          <w:spacing w:val="-3"/>
          <w:w w:val="105"/>
          <w:sz w:val="21"/>
        </w:rPr>
        <w:t>commission </w:t>
      </w:r>
      <w:r>
        <w:rPr>
          <w:w w:val="105"/>
          <w:sz w:val="21"/>
        </w:rPr>
        <w:t>and </w:t>
      </w:r>
      <w:r>
        <w:rPr>
          <w:spacing w:val="-3"/>
          <w:w w:val="105"/>
          <w:sz w:val="21"/>
        </w:rPr>
        <w:t>professional </w:t>
      </w:r>
      <w:r>
        <w:rPr>
          <w:w w:val="105"/>
          <w:sz w:val="21"/>
        </w:rPr>
        <w:t>fees </w:t>
      </w:r>
      <w:r>
        <w:rPr>
          <w:spacing w:val="-3"/>
          <w:w w:val="105"/>
          <w:sz w:val="21"/>
        </w:rPr>
        <w:t>for </w:t>
      </w:r>
      <w:r>
        <w:rPr>
          <w:w w:val="105"/>
          <w:sz w:val="21"/>
        </w:rPr>
        <w:t>the same</w:t>
      </w:r>
      <w:r>
        <w:rPr>
          <w:spacing w:val="31"/>
          <w:w w:val="105"/>
          <w:sz w:val="21"/>
        </w:rPr>
        <w:t> </w:t>
      </w:r>
      <w:r>
        <w:rPr>
          <w:w w:val="105"/>
          <w:sz w:val="21"/>
        </w:rPr>
        <w:t>services.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4"/>
        </w:rPr>
      </w:pPr>
      <w:r>
        <w:rPr/>
        <w:pict>
          <v:line style="position:absolute;mso-position-horizontal-relative:page;mso-position-vertical-relative:paragraph;z-index:9248;mso-wrap-distance-left:0;mso-wrap-distance-right:0" from="79.370003pt,11.509288pt" to="515.905003pt,11.509288pt" stroked="true" strokeweight="1pt" strokecolor="#f9ceca">
            <v:stroke dashstyle="solid"/>
            <w10:wrap type="topAndBottom"/>
          </v:line>
        </w:pict>
      </w:r>
    </w:p>
    <w:p>
      <w:pPr>
        <w:pStyle w:val="BodyText"/>
        <w:spacing w:before="8"/>
        <w:rPr>
          <w:sz w:val="5"/>
        </w:rPr>
      </w:pPr>
    </w:p>
    <w:p>
      <w:pPr>
        <w:spacing w:after="0"/>
        <w:rPr>
          <w:sz w:val="5"/>
        </w:rPr>
        <w:sectPr>
          <w:pgSz w:w="11910" w:h="16840"/>
          <w:pgMar w:header="550" w:footer="0" w:top="1560" w:bottom="280" w:left="0" w:right="0"/>
        </w:sectPr>
      </w:pPr>
    </w:p>
    <w:p>
      <w:pPr>
        <w:pStyle w:val="BodyText"/>
        <w:rPr>
          <w:sz w:val="28"/>
        </w:rPr>
      </w:pPr>
    </w:p>
    <w:p>
      <w:pPr>
        <w:pStyle w:val="BodyText"/>
        <w:spacing w:before="1"/>
        <w:rPr>
          <w:sz w:val="34"/>
        </w:rPr>
      </w:pPr>
    </w:p>
    <w:p>
      <w:pPr>
        <w:spacing w:before="0"/>
        <w:ind w:left="720" w:right="0" w:firstLine="0"/>
        <w:jc w:val="left"/>
        <w:rPr>
          <w:b/>
          <w:sz w:val="24"/>
        </w:rPr>
      </w:pPr>
      <w:r>
        <w:rPr>
          <w:b/>
          <w:color w:val="EC5A4F"/>
          <w:spacing w:val="-4"/>
          <w:w w:val="110"/>
          <w:sz w:val="24"/>
        </w:rPr>
        <w:t>150</w:t>
      </w:r>
    </w:p>
    <w:p>
      <w:pPr>
        <w:pStyle w:val="ListParagraph"/>
        <w:numPr>
          <w:ilvl w:val="0"/>
          <w:numId w:val="117"/>
        </w:numPr>
        <w:tabs>
          <w:tab w:pos="1228" w:val="left" w:leader="none"/>
          <w:tab w:pos="1230" w:val="left" w:leader="none"/>
        </w:tabs>
        <w:spacing w:line="240" w:lineRule="auto" w:before="48" w:after="0"/>
        <w:ind w:left="1229" w:right="0" w:hanging="794"/>
        <w:jc w:val="left"/>
        <w:rPr>
          <w:sz w:val="13"/>
        </w:rPr>
      </w:pPr>
      <w:r>
        <w:rPr>
          <w:spacing w:val="3"/>
          <w:w w:val="107"/>
          <w:sz w:val="13"/>
        </w:rPr>
        <w:br w:type="column"/>
      </w:r>
      <w:r>
        <w:rPr>
          <w:w w:val="105"/>
          <w:sz w:val="13"/>
        </w:rPr>
        <w:t>Victorian Law Reform Commission, above n 33,</w:t>
      </w:r>
      <w:r>
        <w:rPr>
          <w:spacing w:val="2"/>
          <w:w w:val="105"/>
          <w:sz w:val="13"/>
        </w:rPr>
        <w:t> </w:t>
      </w:r>
      <w:r>
        <w:rPr>
          <w:w w:val="105"/>
          <w:sz w:val="13"/>
        </w:rPr>
        <w:t>36.</w:t>
      </w:r>
    </w:p>
    <w:p>
      <w:pPr>
        <w:pStyle w:val="ListParagraph"/>
        <w:numPr>
          <w:ilvl w:val="0"/>
          <w:numId w:val="117"/>
        </w:numPr>
        <w:tabs>
          <w:tab w:pos="1228" w:val="left" w:leader="none"/>
          <w:tab w:pos="1230" w:val="left" w:leader="none"/>
        </w:tabs>
        <w:spacing w:line="240" w:lineRule="auto" w:before="1" w:after="0"/>
        <w:ind w:left="1229" w:right="2272" w:hanging="794"/>
        <w:jc w:val="left"/>
        <w:rPr>
          <w:sz w:val="13"/>
        </w:rPr>
      </w:pPr>
      <w:r>
        <w:rPr>
          <w:w w:val="105"/>
          <w:sz w:val="13"/>
        </w:rPr>
        <w:t>Submissions 1 </w:t>
      </w:r>
      <w:r>
        <w:rPr>
          <w:spacing w:val="2"/>
          <w:w w:val="105"/>
          <w:sz w:val="13"/>
        </w:rPr>
        <w:t>(Legal </w:t>
      </w:r>
      <w:r>
        <w:rPr>
          <w:w w:val="105"/>
          <w:sz w:val="13"/>
        </w:rPr>
        <w:t>Services Commissioner); 8 (Patricia Strachan); </w:t>
      </w:r>
      <w:r>
        <w:rPr>
          <w:spacing w:val="-3"/>
          <w:w w:val="105"/>
          <w:sz w:val="13"/>
        </w:rPr>
        <w:t>14 </w:t>
      </w:r>
      <w:r>
        <w:rPr>
          <w:w w:val="105"/>
          <w:sz w:val="13"/>
        </w:rPr>
        <w:t>(Commercial Bar </w:t>
      </w:r>
      <w:r>
        <w:rPr>
          <w:spacing w:val="2"/>
          <w:w w:val="105"/>
          <w:sz w:val="13"/>
        </w:rPr>
        <w:t>Association); </w:t>
      </w:r>
      <w:r>
        <w:rPr>
          <w:w w:val="105"/>
          <w:sz w:val="13"/>
        </w:rPr>
        <w:t>22 (Paul Bravender-Coyle); 25</w:t>
      </w:r>
      <w:r>
        <w:rPr>
          <w:spacing w:val="5"/>
          <w:w w:val="105"/>
          <w:sz w:val="13"/>
        </w:rPr>
        <w:t> </w:t>
      </w:r>
      <w:r>
        <w:rPr>
          <w:spacing w:val="2"/>
          <w:w w:val="105"/>
          <w:sz w:val="13"/>
        </w:rPr>
        <w:t>(Moores</w:t>
      </w:r>
      <w:r>
        <w:rPr>
          <w:spacing w:val="5"/>
          <w:w w:val="105"/>
          <w:sz w:val="13"/>
        </w:rPr>
        <w:t> </w:t>
      </w:r>
      <w:r>
        <w:rPr>
          <w:w w:val="105"/>
          <w:sz w:val="13"/>
        </w:rPr>
        <w:t>Legal);</w:t>
      </w:r>
      <w:r>
        <w:rPr>
          <w:spacing w:val="5"/>
          <w:w w:val="105"/>
          <w:sz w:val="13"/>
        </w:rPr>
        <w:t> </w:t>
      </w:r>
      <w:r>
        <w:rPr>
          <w:w w:val="105"/>
          <w:sz w:val="13"/>
        </w:rPr>
        <w:t>26</w:t>
      </w:r>
      <w:r>
        <w:rPr>
          <w:spacing w:val="5"/>
          <w:w w:val="105"/>
          <w:sz w:val="13"/>
        </w:rPr>
        <w:t> </w:t>
      </w:r>
      <w:r>
        <w:rPr>
          <w:spacing w:val="2"/>
          <w:w w:val="105"/>
          <w:sz w:val="13"/>
        </w:rPr>
        <w:t>(Rigby</w:t>
      </w:r>
      <w:r>
        <w:rPr>
          <w:spacing w:val="5"/>
          <w:w w:val="105"/>
          <w:sz w:val="13"/>
        </w:rPr>
        <w:t> </w:t>
      </w:r>
      <w:r>
        <w:rPr>
          <w:w w:val="105"/>
          <w:sz w:val="13"/>
        </w:rPr>
        <w:t>Cooke</w:t>
      </w:r>
      <w:r>
        <w:rPr>
          <w:spacing w:val="5"/>
          <w:w w:val="105"/>
          <w:sz w:val="13"/>
        </w:rPr>
        <w:t> </w:t>
      </w:r>
      <w:r>
        <w:rPr>
          <w:spacing w:val="2"/>
          <w:w w:val="105"/>
          <w:sz w:val="13"/>
        </w:rPr>
        <w:t>Lawyers);</w:t>
      </w:r>
      <w:r>
        <w:rPr>
          <w:spacing w:val="5"/>
          <w:w w:val="105"/>
          <w:sz w:val="13"/>
        </w:rPr>
        <w:t> </w:t>
      </w:r>
      <w:r>
        <w:rPr>
          <w:w w:val="105"/>
          <w:sz w:val="13"/>
        </w:rPr>
        <w:t>30a</w:t>
      </w:r>
      <w:r>
        <w:rPr>
          <w:spacing w:val="6"/>
          <w:w w:val="105"/>
          <w:sz w:val="13"/>
        </w:rPr>
        <w:t> </w:t>
      </w:r>
      <w:r>
        <w:rPr>
          <w:spacing w:val="3"/>
          <w:w w:val="105"/>
          <w:sz w:val="13"/>
        </w:rPr>
        <w:t>(Law</w:t>
      </w:r>
      <w:r>
        <w:rPr>
          <w:spacing w:val="5"/>
          <w:w w:val="105"/>
          <w:sz w:val="13"/>
        </w:rPr>
        <w:t> </w:t>
      </w:r>
      <w:r>
        <w:rPr>
          <w:w w:val="105"/>
          <w:sz w:val="13"/>
        </w:rPr>
        <w:t>Institute</w:t>
      </w:r>
      <w:r>
        <w:rPr>
          <w:spacing w:val="5"/>
          <w:w w:val="105"/>
          <w:sz w:val="13"/>
        </w:rPr>
        <w:t> </w:t>
      </w:r>
      <w:r>
        <w:rPr>
          <w:w w:val="105"/>
          <w:sz w:val="13"/>
        </w:rPr>
        <w:t>of</w:t>
      </w:r>
      <w:r>
        <w:rPr>
          <w:spacing w:val="5"/>
          <w:w w:val="105"/>
          <w:sz w:val="13"/>
        </w:rPr>
        <w:t> </w:t>
      </w:r>
      <w:r>
        <w:rPr>
          <w:spacing w:val="2"/>
          <w:w w:val="105"/>
          <w:sz w:val="13"/>
        </w:rPr>
        <w:t>Victoria);</w:t>
      </w:r>
      <w:r>
        <w:rPr>
          <w:spacing w:val="5"/>
          <w:w w:val="105"/>
          <w:sz w:val="13"/>
        </w:rPr>
        <w:t> </w:t>
      </w:r>
      <w:r>
        <w:rPr>
          <w:w w:val="105"/>
          <w:sz w:val="13"/>
        </w:rPr>
        <w:t>39</w:t>
      </w:r>
      <w:r>
        <w:rPr>
          <w:spacing w:val="5"/>
          <w:w w:val="105"/>
          <w:sz w:val="13"/>
        </w:rPr>
        <w:t> </w:t>
      </w:r>
      <w:r>
        <w:rPr>
          <w:w w:val="105"/>
          <w:sz w:val="13"/>
        </w:rPr>
        <w:t>(Carolyn</w:t>
      </w:r>
      <w:r>
        <w:rPr>
          <w:spacing w:val="5"/>
          <w:w w:val="105"/>
          <w:sz w:val="13"/>
        </w:rPr>
        <w:t> </w:t>
      </w:r>
      <w:r>
        <w:rPr>
          <w:w w:val="105"/>
          <w:sz w:val="13"/>
        </w:rPr>
        <w:t>Sparke</w:t>
      </w:r>
      <w:r>
        <w:rPr>
          <w:spacing w:val="5"/>
          <w:w w:val="105"/>
          <w:sz w:val="13"/>
        </w:rPr>
        <w:t> </w:t>
      </w:r>
      <w:r>
        <w:rPr>
          <w:w w:val="105"/>
          <w:sz w:val="13"/>
        </w:rPr>
        <w:t>SC).</w:t>
      </w:r>
    </w:p>
    <w:p>
      <w:pPr>
        <w:pStyle w:val="ListParagraph"/>
        <w:numPr>
          <w:ilvl w:val="0"/>
          <w:numId w:val="117"/>
        </w:numPr>
        <w:tabs>
          <w:tab w:pos="1228" w:val="left" w:leader="none"/>
          <w:tab w:pos="1230" w:val="left" w:leader="none"/>
        </w:tabs>
        <w:spacing w:line="240" w:lineRule="auto" w:before="3" w:after="0"/>
        <w:ind w:left="1229" w:right="0" w:hanging="794"/>
        <w:jc w:val="left"/>
        <w:rPr>
          <w:sz w:val="13"/>
        </w:rPr>
      </w:pPr>
      <w:r>
        <w:rPr>
          <w:w w:val="105"/>
          <w:sz w:val="13"/>
        </w:rPr>
        <w:t>Submission </w:t>
      </w:r>
      <w:r>
        <w:rPr>
          <w:spacing w:val="-3"/>
          <w:w w:val="105"/>
          <w:sz w:val="13"/>
        </w:rPr>
        <w:t>19 </w:t>
      </w:r>
      <w:r>
        <w:rPr>
          <w:spacing w:val="2"/>
          <w:w w:val="105"/>
          <w:sz w:val="13"/>
        </w:rPr>
        <w:t>(Association </w:t>
      </w:r>
      <w:r>
        <w:rPr>
          <w:w w:val="105"/>
          <w:sz w:val="13"/>
        </w:rPr>
        <w:t>of Independent</w:t>
      </w:r>
      <w:r>
        <w:rPr>
          <w:spacing w:val="23"/>
          <w:w w:val="105"/>
          <w:sz w:val="13"/>
        </w:rPr>
        <w:t> </w:t>
      </w:r>
      <w:r>
        <w:rPr>
          <w:w w:val="105"/>
          <w:sz w:val="13"/>
        </w:rPr>
        <w:t>Retirees).</w:t>
      </w:r>
    </w:p>
    <w:p>
      <w:pPr>
        <w:pStyle w:val="ListParagraph"/>
        <w:numPr>
          <w:ilvl w:val="0"/>
          <w:numId w:val="117"/>
        </w:numPr>
        <w:tabs>
          <w:tab w:pos="1229" w:val="left" w:leader="none"/>
          <w:tab w:pos="1230" w:val="left" w:leader="none"/>
        </w:tabs>
        <w:spacing w:line="240" w:lineRule="auto" w:before="1" w:after="0"/>
        <w:ind w:left="1229" w:right="0" w:hanging="794"/>
        <w:jc w:val="left"/>
        <w:rPr>
          <w:sz w:val="13"/>
        </w:rPr>
      </w:pPr>
      <w:r>
        <w:rPr>
          <w:w w:val="105"/>
          <w:sz w:val="13"/>
        </w:rPr>
        <w:t>Advisory Committee (Meeting</w:t>
      </w:r>
      <w:r>
        <w:rPr>
          <w:spacing w:val="13"/>
          <w:w w:val="105"/>
          <w:sz w:val="13"/>
        </w:rPr>
        <w:t> </w:t>
      </w:r>
      <w:r>
        <w:rPr>
          <w:w w:val="105"/>
          <w:sz w:val="13"/>
        </w:rPr>
        <w:t>1).</w:t>
      </w:r>
    </w:p>
    <w:p>
      <w:pPr>
        <w:pStyle w:val="ListParagraph"/>
        <w:numPr>
          <w:ilvl w:val="0"/>
          <w:numId w:val="117"/>
        </w:numPr>
        <w:tabs>
          <w:tab w:pos="1229" w:val="left" w:leader="none"/>
          <w:tab w:pos="1230" w:val="left" w:leader="none"/>
        </w:tabs>
        <w:spacing w:line="240" w:lineRule="auto" w:before="2" w:after="0"/>
        <w:ind w:left="1229" w:right="0" w:hanging="794"/>
        <w:jc w:val="left"/>
        <w:rPr>
          <w:sz w:val="13"/>
        </w:rPr>
      </w:pPr>
      <w:r>
        <w:rPr>
          <w:w w:val="105"/>
          <w:sz w:val="13"/>
        </w:rPr>
        <w:t>See discussion above at</w:t>
      </w:r>
      <w:r>
        <w:rPr>
          <w:spacing w:val="18"/>
          <w:w w:val="105"/>
          <w:sz w:val="13"/>
        </w:rPr>
        <w:t> </w:t>
      </w:r>
      <w:r>
        <w:rPr>
          <w:w w:val="105"/>
          <w:sz w:val="13"/>
        </w:rPr>
        <w:t>[7.61]–[7.66].</w:t>
      </w:r>
    </w:p>
    <w:p>
      <w:pPr>
        <w:spacing w:after="0" w:line="240" w:lineRule="auto"/>
        <w:jc w:val="left"/>
        <w:rPr>
          <w:sz w:val="13"/>
        </w:rPr>
        <w:sectPr>
          <w:type w:val="continuous"/>
          <w:pgSz w:w="11910" w:h="16840"/>
          <w:pgMar w:top="920" w:bottom="280" w:left="0" w:right="0"/>
          <w:cols w:num="2" w:equalWidth="0">
            <w:col w:w="1113" w:space="40"/>
            <w:col w:w="10757"/>
          </w:cols>
        </w:sectPr>
      </w:pPr>
    </w:p>
    <w:p>
      <w:pPr>
        <w:pStyle w:val="BodyText"/>
        <w:rPr>
          <w:sz w:val="20"/>
        </w:rPr>
      </w:pPr>
    </w:p>
    <w:p>
      <w:pPr>
        <w:pStyle w:val="BodyText"/>
        <w:spacing w:before="11"/>
        <w:rPr>
          <w:sz w:val="18"/>
        </w:rPr>
      </w:pPr>
    </w:p>
    <w:p>
      <w:pPr>
        <w:pStyle w:val="ListParagraph"/>
        <w:numPr>
          <w:ilvl w:val="1"/>
          <w:numId w:val="22"/>
        </w:numPr>
        <w:tabs>
          <w:tab w:pos="2381" w:val="left" w:leader="none"/>
          <w:tab w:pos="2382" w:val="left" w:leader="none"/>
        </w:tabs>
        <w:spacing w:line="242" w:lineRule="auto" w:before="92" w:after="0"/>
        <w:ind w:left="2381" w:right="1803" w:hanging="794"/>
        <w:jc w:val="left"/>
        <w:rPr>
          <w:sz w:val="21"/>
        </w:rPr>
      </w:pPr>
      <w:r>
        <w:rPr>
          <w:w w:val="105"/>
          <w:sz w:val="21"/>
        </w:rPr>
        <w:t>The problem of double </w:t>
      </w:r>
      <w:r>
        <w:rPr>
          <w:spacing w:val="-3"/>
          <w:w w:val="105"/>
          <w:sz w:val="21"/>
        </w:rPr>
        <w:t>dipping </w:t>
      </w:r>
      <w:r>
        <w:rPr>
          <w:w w:val="105"/>
          <w:sz w:val="21"/>
        </w:rPr>
        <w:t>was </w:t>
      </w:r>
      <w:r>
        <w:rPr>
          <w:spacing w:val="-3"/>
          <w:w w:val="105"/>
          <w:sz w:val="21"/>
        </w:rPr>
        <w:t>illustrated </w:t>
      </w:r>
      <w:r>
        <w:rPr>
          <w:w w:val="105"/>
          <w:sz w:val="21"/>
        </w:rPr>
        <w:t>in </w:t>
      </w:r>
      <w:r>
        <w:rPr>
          <w:i/>
          <w:w w:val="105"/>
          <w:sz w:val="21"/>
        </w:rPr>
        <w:t>Re the Will and Estate </w:t>
      </w:r>
      <w:r>
        <w:rPr>
          <w:i/>
          <w:spacing w:val="-3"/>
          <w:w w:val="105"/>
          <w:sz w:val="21"/>
        </w:rPr>
        <w:t>of McClung</w:t>
      </w:r>
      <w:r>
        <w:rPr>
          <w:spacing w:val="-3"/>
          <w:w w:val="105"/>
          <w:sz w:val="21"/>
        </w:rPr>
        <w:t>,</w:t>
      </w:r>
      <w:r>
        <w:rPr>
          <w:spacing w:val="-3"/>
          <w:w w:val="105"/>
          <w:position w:val="7"/>
          <w:sz w:val="12"/>
        </w:rPr>
        <w:t>72</w:t>
      </w:r>
      <w:r>
        <w:rPr>
          <w:spacing w:val="-3"/>
          <w:w w:val="105"/>
          <w:sz w:val="12"/>
        </w:rPr>
        <w:t> </w:t>
      </w:r>
      <w:r>
        <w:rPr>
          <w:w w:val="105"/>
          <w:sz w:val="21"/>
        </w:rPr>
        <w:t>which </w:t>
      </w:r>
      <w:r>
        <w:rPr>
          <w:spacing w:val="-3"/>
          <w:w w:val="105"/>
          <w:sz w:val="21"/>
        </w:rPr>
        <w:t>concerned </w:t>
      </w:r>
      <w:r>
        <w:rPr>
          <w:w w:val="105"/>
          <w:sz w:val="21"/>
        </w:rPr>
        <w:t>an application </w:t>
      </w:r>
      <w:r>
        <w:rPr>
          <w:spacing w:val="-3"/>
          <w:w w:val="105"/>
          <w:sz w:val="21"/>
        </w:rPr>
        <w:t>for commission </w:t>
      </w:r>
      <w:r>
        <w:rPr>
          <w:w w:val="105"/>
          <w:sz w:val="21"/>
        </w:rPr>
        <w:t>by </w:t>
      </w:r>
      <w:r>
        <w:rPr>
          <w:spacing w:val="-3"/>
          <w:w w:val="105"/>
          <w:sz w:val="21"/>
        </w:rPr>
        <w:t>joint </w:t>
      </w:r>
      <w:r>
        <w:rPr>
          <w:w w:val="105"/>
          <w:sz w:val="21"/>
        </w:rPr>
        <w:t>executors of a will: one a legal </w:t>
      </w:r>
      <w:r>
        <w:rPr>
          <w:spacing w:val="-3"/>
          <w:w w:val="105"/>
          <w:sz w:val="21"/>
        </w:rPr>
        <w:t>practitioner, </w:t>
      </w:r>
      <w:r>
        <w:rPr>
          <w:w w:val="105"/>
          <w:sz w:val="21"/>
        </w:rPr>
        <w:t>and the other an </w:t>
      </w:r>
      <w:r>
        <w:rPr>
          <w:spacing w:val="-3"/>
          <w:w w:val="105"/>
          <w:sz w:val="21"/>
        </w:rPr>
        <w:t>accountant. </w:t>
      </w:r>
      <w:r>
        <w:rPr>
          <w:w w:val="105"/>
          <w:sz w:val="21"/>
        </w:rPr>
        <w:t>The legal practitioner </w:t>
      </w:r>
      <w:r>
        <w:rPr>
          <w:spacing w:val="-3"/>
          <w:w w:val="105"/>
          <w:sz w:val="21"/>
        </w:rPr>
        <w:t>executor </w:t>
      </w:r>
      <w:r>
        <w:rPr>
          <w:spacing w:val="-2"/>
          <w:w w:val="105"/>
          <w:sz w:val="21"/>
        </w:rPr>
        <w:t>had </w:t>
      </w:r>
      <w:r>
        <w:rPr>
          <w:w w:val="105"/>
          <w:sz w:val="21"/>
        </w:rPr>
        <w:t>drafted the </w:t>
      </w:r>
      <w:r>
        <w:rPr>
          <w:spacing w:val="-3"/>
          <w:w w:val="105"/>
          <w:sz w:val="21"/>
        </w:rPr>
        <w:t>will, </w:t>
      </w:r>
      <w:r>
        <w:rPr>
          <w:w w:val="105"/>
          <w:sz w:val="21"/>
        </w:rPr>
        <w:t>which </w:t>
      </w:r>
      <w:r>
        <w:rPr>
          <w:spacing w:val="-3"/>
          <w:w w:val="105"/>
          <w:sz w:val="21"/>
        </w:rPr>
        <w:t>contained </w:t>
      </w:r>
      <w:r>
        <w:rPr>
          <w:w w:val="105"/>
          <w:sz w:val="21"/>
        </w:rPr>
        <w:t>a widely expressed </w:t>
      </w:r>
      <w:r>
        <w:rPr>
          <w:spacing w:val="-3"/>
          <w:w w:val="105"/>
          <w:sz w:val="21"/>
        </w:rPr>
        <w:t>charging clause that </w:t>
      </w:r>
      <w:r>
        <w:rPr>
          <w:w w:val="105"/>
          <w:sz w:val="21"/>
        </w:rPr>
        <w:t>permitted </w:t>
      </w:r>
      <w:r>
        <w:rPr>
          <w:spacing w:val="-3"/>
          <w:w w:val="105"/>
          <w:sz w:val="21"/>
        </w:rPr>
        <w:t>him to charge for executorial </w:t>
      </w:r>
      <w:r>
        <w:rPr>
          <w:w w:val="105"/>
          <w:sz w:val="21"/>
        </w:rPr>
        <w:t>as </w:t>
      </w:r>
      <w:r>
        <w:rPr>
          <w:spacing w:val="-3"/>
          <w:w w:val="105"/>
          <w:sz w:val="21"/>
        </w:rPr>
        <w:t>well </w:t>
      </w:r>
      <w:r>
        <w:rPr>
          <w:w w:val="105"/>
          <w:sz w:val="21"/>
        </w:rPr>
        <w:t>as legal services. He </w:t>
      </w:r>
      <w:r>
        <w:rPr>
          <w:spacing w:val="-2"/>
          <w:w w:val="105"/>
          <w:sz w:val="21"/>
        </w:rPr>
        <w:t>had </w:t>
      </w:r>
      <w:r>
        <w:rPr>
          <w:w w:val="105"/>
          <w:sz w:val="21"/>
        </w:rPr>
        <w:t>provided most of the </w:t>
      </w:r>
      <w:r>
        <w:rPr>
          <w:spacing w:val="-3"/>
          <w:w w:val="105"/>
          <w:sz w:val="21"/>
        </w:rPr>
        <w:t>executorial </w:t>
      </w:r>
      <w:r>
        <w:rPr>
          <w:w w:val="105"/>
          <w:sz w:val="21"/>
        </w:rPr>
        <w:t>services, and </w:t>
      </w:r>
      <w:r>
        <w:rPr>
          <w:spacing w:val="-3"/>
          <w:w w:val="105"/>
          <w:sz w:val="21"/>
        </w:rPr>
        <w:t>charged </w:t>
      </w:r>
      <w:r>
        <w:rPr>
          <w:w w:val="105"/>
          <w:sz w:val="21"/>
        </w:rPr>
        <w:t>the estate </w:t>
      </w:r>
      <w:r>
        <w:rPr>
          <w:spacing w:val="-4"/>
          <w:w w:val="105"/>
          <w:sz w:val="21"/>
        </w:rPr>
        <w:t>accordingly. </w:t>
      </w:r>
      <w:r>
        <w:rPr>
          <w:w w:val="105"/>
          <w:sz w:val="21"/>
        </w:rPr>
        <w:t>Not </w:t>
      </w:r>
      <w:r>
        <w:rPr>
          <w:spacing w:val="-4"/>
          <w:w w:val="105"/>
          <w:sz w:val="21"/>
        </w:rPr>
        <w:t>surprisingly, </w:t>
      </w:r>
      <w:r>
        <w:rPr>
          <w:w w:val="105"/>
          <w:sz w:val="21"/>
        </w:rPr>
        <w:t>the </w:t>
      </w:r>
      <w:r>
        <w:rPr>
          <w:spacing w:val="-3"/>
          <w:w w:val="105"/>
          <w:sz w:val="21"/>
        </w:rPr>
        <w:t>Court </w:t>
      </w:r>
      <w:r>
        <w:rPr>
          <w:w w:val="105"/>
          <w:sz w:val="21"/>
        </w:rPr>
        <w:t>rejected </w:t>
      </w:r>
      <w:r>
        <w:rPr>
          <w:spacing w:val="-3"/>
          <w:w w:val="105"/>
          <w:sz w:val="21"/>
        </w:rPr>
        <w:t>any claim for commission </w:t>
      </w:r>
      <w:r>
        <w:rPr>
          <w:w w:val="105"/>
          <w:sz w:val="21"/>
        </w:rPr>
        <w:t>under section </w:t>
      </w:r>
      <w:r>
        <w:rPr>
          <w:spacing w:val="-3"/>
          <w:w w:val="105"/>
          <w:sz w:val="21"/>
        </w:rPr>
        <w:t>65 </w:t>
      </w:r>
      <w:r>
        <w:rPr>
          <w:w w:val="105"/>
          <w:sz w:val="21"/>
        </w:rPr>
        <w:t>of the </w:t>
      </w:r>
      <w:r>
        <w:rPr>
          <w:spacing w:val="-3"/>
          <w:w w:val="105"/>
          <w:sz w:val="21"/>
        </w:rPr>
        <w:t>Administration </w:t>
      </w:r>
      <w:r>
        <w:rPr>
          <w:w w:val="105"/>
          <w:sz w:val="21"/>
        </w:rPr>
        <w:t>and </w:t>
      </w:r>
      <w:r>
        <w:rPr>
          <w:spacing w:val="-3"/>
          <w:w w:val="105"/>
          <w:sz w:val="21"/>
        </w:rPr>
        <w:t>Probate </w:t>
      </w:r>
      <w:r>
        <w:rPr>
          <w:w w:val="105"/>
          <w:sz w:val="21"/>
        </w:rPr>
        <w:t>Act. The legal practitioner</w:t>
      </w:r>
      <w:r>
        <w:rPr>
          <w:spacing w:val="-13"/>
          <w:w w:val="105"/>
          <w:sz w:val="21"/>
        </w:rPr>
        <w:t> </w:t>
      </w:r>
      <w:r>
        <w:rPr>
          <w:spacing w:val="-3"/>
          <w:w w:val="105"/>
          <w:sz w:val="21"/>
        </w:rPr>
        <w:t>executor</w:t>
      </w:r>
      <w:r>
        <w:rPr>
          <w:spacing w:val="-12"/>
          <w:w w:val="105"/>
          <w:sz w:val="21"/>
        </w:rPr>
        <w:t> </w:t>
      </w:r>
      <w:r>
        <w:rPr>
          <w:spacing w:val="-2"/>
          <w:w w:val="105"/>
          <w:sz w:val="21"/>
        </w:rPr>
        <w:t>had</w:t>
      </w:r>
      <w:r>
        <w:rPr>
          <w:spacing w:val="-13"/>
          <w:w w:val="105"/>
          <w:sz w:val="21"/>
        </w:rPr>
        <w:t> </w:t>
      </w:r>
      <w:r>
        <w:rPr>
          <w:w w:val="105"/>
          <w:sz w:val="21"/>
        </w:rPr>
        <w:t>effectively</w:t>
      </w:r>
      <w:r>
        <w:rPr>
          <w:spacing w:val="-12"/>
          <w:w w:val="105"/>
          <w:sz w:val="21"/>
        </w:rPr>
        <w:t> </w:t>
      </w:r>
      <w:r>
        <w:rPr>
          <w:w w:val="105"/>
          <w:sz w:val="21"/>
        </w:rPr>
        <w:t>been</w:t>
      </w:r>
      <w:r>
        <w:rPr>
          <w:spacing w:val="-13"/>
          <w:w w:val="105"/>
          <w:sz w:val="21"/>
        </w:rPr>
        <w:t> </w:t>
      </w:r>
      <w:r>
        <w:rPr>
          <w:w w:val="105"/>
          <w:sz w:val="21"/>
        </w:rPr>
        <w:t>paid</w:t>
      </w:r>
      <w:r>
        <w:rPr>
          <w:spacing w:val="-12"/>
          <w:w w:val="105"/>
          <w:sz w:val="21"/>
        </w:rPr>
        <w:t> </w:t>
      </w:r>
      <w:r>
        <w:rPr>
          <w:spacing w:val="-3"/>
          <w:w w:val="105"/>
          <w:sz w:val="21"/>
        </w:rPr>
        <w:t>for</w:t>
      </w:r>
      <w:r>
        <w:rPr>
          <w:spacing w:val="-13"/>
          <w:w w:val="105"/>
          <w:sz w:val="21"/>
        </w:rPr>
        <w:t> </w:t>
      </w:r>
      <w:r>
        <w:rPr>
          <w:spacing w:val="-3"/>
          <w:w w:val="105"/>
          <w:sz w:val="21"/>
        </w:rPr>
        <w:t>executorial</w:t>
      </w:r>
      <w:r>
        <w:rPr>
          <w:spacing w:val="-12"/>
          <w:w w:val="105"/>
          <w:sz w:val="21"/>
        </w:rPr>
        <w:t> </w:t>
      </w:r>
      <w:r>
        <w:rPr>
          <w:w w:val="105"/>
          <w:sz w:val="21"/>
        </w:rPr>
        <w:t>services</w:t>
      </w:r>
      <w:r>
        <w:rPr>
          <w:spacing w:val="-13"/>
          <w:w w:val="105"/>
          <w:sz w:val="21"/>
        </w:rPr>
        <w:t> </w:t>
      </w:r>
      <w:r>
        <w:rPr>
          <w:spacing w:val="-3"/>
          <w:w w:val="105"/>
          <w:sz w:val="21"/>
        </w:rPr>
        <w:t>rendered</w:t>
      </w:r>
      <w:r>
        <w:rPr>
          <w:spacing w:val="-12"/>
          <w:w w:val="105"/>
          <w:sz w:val="21"/>
        </w:rPr>
        <w:t> </w:t>
      </w:r>
      <w:r>
        <w:rPr>
          <w:w w:val="105"/>
          <w:sz w:val="21"/>
        </w:rPr>
        <w:t>by</w:t>
      </w:r>
      <w:r>
        <w:rPr>
          <w:spacing w:val="-13"/>
          <w:w w:val="105"/>
          <w:sz w:val="21"/>
        </w:rPr>
        <w:t> </w:t>
      </w:r>
      <w:r>
        <w:rPr>
          <w:spacing w:val="-3"/>
          <w:w w:val="105"/>
          <w:sz w:val="21"/>
        </w:rPr>
        <w:t>him. </w:t>
      </w:r>
      <w:r>
        <w:rPr>
          <w:w w:val="105"/>
          <w:sz w:val="21"/>
        </w:rPr>
        <w:t>The </w:t>
      </w:r>
      <w:r>
        <w:rPr>
          <w:spacing w:val="-3"/>
          <w:w w:val="105"/>
          <w:sz w:val="21"/>
        </w:rPr>
        <w:t>accountant executor </w:t>
      </w:r>
      <w:r>
        <w:rPr>
          <w:spacing w:val="-2"/>
          <w:w w:val="105"/>
          <w:sz w:val="21"/>
        </w:rPr>
        <w:t>had </w:t>
      </w:r>
      <w:r>
        <w:rPr>
          <w:w w:val="105"/>
          <w:sz w:val="21"/>
        </w:rPr>
        <w:t>provided little in the </w:t>
      </w:r>
      <w:r>
        <w:rPr>
          <w:spacing w:val="-3"/>
          <w:w w:val="105"/>
          <w:sz w:val="21"/>
        </w:rPr>
        <w:t>way </w:t>
      </w:r>
      <w:r>
        <w:rPr>
          <w:w w:val="105"/>
          <w:sz w:val="21"/>
        </w:rPr>
        <w:t>of </w:t>
      </w:r>
      <w:r>
        <w:rPr>
          <w:spacing w:val="-3"/>
          <w:w w:val="105"/>
          <w:sz w:val="21"/>
        </w:rPr>
        <w:t>executorial</w:t>
      </w:r>
      <w:r>
        <w:rPr>
          <w:spacing w:val="3"/>
          <w:w w:val="105"/>
          <w:sz w:val="21"/>
        </w:rPr>
        <w:t> </w:t>
      </w:r>
      <w:r>
        <w:rPr>
          <w:w w:val="105"/>
          <w:sz w:val="21"/>
        </w:rPr>
        <w:t>services.</w:t>
      </w:r>
    </w:p>
    <w:p>
      <w:pPr>
        <w:pStyle w:val="BodyText"/>
        <w:spacing w:before="6"/>
        <w:rPr>
          <w:sz w:val="27"/>
        </w:rPr>
      </w:pPr>
    </w:p>
    <w:p>
      <w:pPr>
        <w:pStyle w:val="Heading6"/>
      </w:pPr>
      <w:r>
        <w:rPr>
          <w:w w:val="115"/>
        </w:rPr>
        <w:t>Reform proposals</w:t>
      </w:r>
    </w:p>
    <w:p>
      <w:pPr>
        <w:spacing w:before="215"/>
        <w:ind w:left="1587" w:right="0" w:firstLine="0"/>
        <w:jc w:val="left"/>
        <w:rPr>
          <w:rFonts w:ascii="Gill Sans MT"/>
          <w:sz w:val="22"/>
        </w:rPr>
      </w:pPr>
      <w:r>
        <w:rPr>
          <w:rFonts w:ascii="Gill Sans MT"/>
          <w:color w:val="6D6E71"/>
          <w:w w:val="115"/>
          <w:sz w:val="22"/>
        </w:rPr>
        <w:t>Ability of legal practitioner executors to provide legal services to the estate</w:t>
      </w:r>
    </w:p>
    <w:p>
      <w:pPr>
        <w:pStyle w:val="ListParagraph"/>
        <w:numPr>
          <w:ilvl w:val="1"/>
          <w:numId w:val="22"/>
        </w:numPr>
        <w:tabs>
          <w:tab w:pos="2380" w:val="left" w:leader="none"/>
          <w:tab w:pos="2381" w:val="left" w:leader="none"/>
        </w:tabs>
        <w:spacing w:line="242" w:lineRule="auto" w:before="151" w:after="0"/>
        <w:ind w:left="2381" w:right="1598" w:hanging="794"/>
        <w:jc w:val="left"/>
        <w:rPr>
          <w:sz w:val="21"/>
        </w:rPr>
      </w:pPr>
      <w:r>
        <w:rPr>
          <w:w w:val="105"/>
          <w:sz w:val="21"/>
        </w:rPr>
        <w:t>The </w:t>
      </w:r>
      <w:r>
        <w:rPr>
          <w:spacing w:val="-3"/>
          <w:w w:val="105"/>
          <w:sz w:val="21"/>
        </w:rPr>
        <w:t>Commission sought submissions </w:t>
      </w:r>
      <w:r>
        <w:rPr>
          <w:w w:val="105"/>
          <w:sz w:val="21"/>
        </w:rPr>
        <w:t>on whether legal practitioner executors should be </w:t>
      </w:r>
      <w:r>
        <w:rPr>
          <w:spacing w:val="-3"/>
          <w:w w:val="105"/>
          <w:sz w:val="21"/>
        </w:rPr>
        <w:t>prohibited from providing </w:t>
      </w:r>
      <w:r>
        <w:rPr>
          <w:w w:val="105"/>
          <w:sz w:val="21"/>
        </w:rPr>
        <w:t>legal services </w:t>
      </w:r>
      <w:r>
        <w:rPr>
          <w:spacing w:val="-3"/>
          <w:w w:val="105"/>
          <w:sz w:val="21"/>
        </w:rPr>
        <w:t>to </w:t>
      </w:r>
      <w:r>
        <w:rPr>
          <w:w w:val="105"/>
          <w:sz w:val="21"/>
        </w:rPr>
        <w:t>the estates they </w:t>
      </w:r>
      <w:r>
        <w:rPr>
          <w:spacing w:val="-4"/>
          <w:w w:val="105"/>
          <w:sz w:val="21"/>
        </w:rPr>
        <w:t>administer.</w:t>
      </w:r>
      <w:r>
        <w:rPr>
          <w:spacing w:val="-4"/>
          <w:w w:val="105"/>
          <w:position w:val="7"/>
          <w:sz w:val="12"/>
        </w:rPr>
        <w:t>73 </w:t>
      </w:r>
      <w:r>
        <w:rPr>
          <w:w w:val="105"/>
          <w:sz w:val="21"/>
        </w:rPr>
        <w:t>The idea </w:t>
      </w:r>
      <w:r>
        <w:rPr>
          <w:spacing w:val="-3"/>
          <w:w w:val="105"/>
          <w:sz w:val="21"/>
        </w:rPr>
        <w:t>was </w:t>
      </w:r>
      <w:r>
        <w:rPr>
          <w:w w:val="105"/>
          <w:sz w:val="21"/>
        </w:rPr>
        <w:t>they would be </w:t>
      </w:r>
      <w:r>
        <w:rPr>
          <w:spacing w:val="-3"/>
          <w:w w:val="105"/>
          <w:sz w:val="21"/>
        </w:rPr>
        <w:t>required to </w:t>
      </w:r>
      <w:r>
        <w:rPr>
          <w:w w:val="105"/>
          <w:sz w:val="21"/>
        </w:rPr>
        <w:t>instruct </w:t>
      </w:r>
      <w:r>
        <w:rPr>
          <w:spacing w:val="-4"/>
          <w:w w:val="105"/>
          <w:sz w:val="21"/>
        </w:rPr>
        <w:t>another, </w:t>
      </w:r>
      <w:r>
        <w:rPr>
          <w:spacing w:val="-3"/>
          <w:w w:val="105"/>
          <w:sz w:val="21"/>
        </w:rPr>
        <w:t>unrelated, </w:t>
      </w:r>
      <w:r>
        <w:rPr>
          <w:w w:val="105"/>
          <w:sz w:val="21"/>
        </w:rPr>
        <w:t>law practice </w:t>
      </w:r>
      <w:r>
        <w:rPr>
          <w:spacing w:val="-3"/>
          <w:w w:val="105"/>
          <w:sz w:val="21"/>
        </w:rPr>
        <w:t>to </w:t>
      </w:r>
      <w:r>
        <w:rPr>
          <w:w w:val="105"/>
          <w:sz w:val="21"/>
        </w:rPr>
        <w:t>act </w:t>
      </w:r>
      <w:r>
        <w:rPr>
          <w:spacing w:val="-3"/>
          <w:w w:val="105"/>
          <w:sz w:val="21"/>
        </w:rPr>
        <w:t>for </w:t>
      </w:r>
      <w:r>
        <w:rPr>
          <w:w w:val="105"/>
          <w:sz w:val="21"/>
        </w:rPr>
        <w:t>the </w:t>
      </w:r>
      <w:r>
        <w:rPr>
          <w:spacing w:val="-3"/>
          <w:w w:val="105"/>
          <w:sz w:val="21"/>
        </w:rPr>
        <w:t>estate. </w:t>
      </w:r>
      <w:r>
        <w:rPr>
          <w:w w:val="105"/>
          <w:sz w:val="21"/>
        </w:rPr>
        <w:t>The</w:t>
      </w:r>
      <w:r>
        <w:rPr>
          <w:spacing w:val="-11"/>
          <w:w w:val="105"/>
          <w:sz w:val="21"/>
        </w:rPr>
        <w:t> </w:t>
      </w:r>
      <w:r>
        <w:rPr>
          <w:w w:val="105"/>
          <w:sz w:val="21"/>
        </w:rPr>
        <w:t>other</w:t>
      </w:r>
      <w:r>
        <w:rPr>
          <w:spacing w:val="-10"/>
          <w:w w:val="105"/>
          <w:sz w:val="21"/>
        </w:rPr>
        <w:t> </w:t>
      </w:r>
      <w:r>
        <w:rPr>
          <w:w w:val="105"/>
          <w:sz w:val="21"/>
        </w:rPr>
        <w:t>law</w:t>
      </w:r>
      <w:r>
        <w:rPr>
          <w:spacing w:val="-11"/>
          <w:w w:val="105"/>
          <w:sz w:val="21"/>
        </w:rPr>
        <w:t> </w:t>
      </w:r>
      <w:r>
        <w:rPr>
          <w:w w:val="105"/>
          <w:sz w:val="21"/>
        </w:rPr>
        <w:t>practice</w:t>
      </w:r>
      <w:r>
        <w:rPr>
          <w:spacing w:val="-10"/>
          <w:w w:val="105"/>
          <w:sz w:val="21"/>
        </w:rPr>
        <w:t> </w:t>
      </w:r>
      <w:r>
        <w:rPr>
          <w:w w:val="105"/>
          <w:sz w:val="21"/>
        </w:rPr>
        <w:t>would</w:t>
      </w:r>
      <w:r>
        <w:rPr>
          <w:spacing w:val="-11"/>
          <w:w w:val="105"/>
          <w:sz w:val="21"/>
        </w:rPr>
        <w:t> </w:t>
      </w:r>
      <w:r>
        <w:rPr>
          <w:w w:val="105"/>
          <w:sz w:val="21"/>
        </w:rPr>
        <w:t>provide</w:t>
      </w:r>
      <w:r>
        <w:rPr>
          <w:spacing w:val="-10"/>
          <w:w w:val="105"/>
          <w:sz w:val="21"/>
        </w:rPr>
        <w:t> </w:t>
      </w:r>
      <w:r>
        <w:rPr>
          <w:w w:val="105"/>
          <w:sz w:val="21"/>
        </w:rPr>
        <w:t>legal</w:t>
      </w:r>
      <w:r>
        <w:rPr>
          <w:spacing w:val="-10"/>
          <w:w w:val="105"/>
          <w:sz w:val="21"/>
        </w:rPr>
        <w:t> </w:t>
      </w:r>
      <w:r>
        <w:rPr>
          <w:w w:val="105"/>
          <w:sz w:val="21"/>
        </w:rPr>
        <w:t>services</w:t>
      </w:r>
      <w:r>
        <w:rPr>
          <w:spacing w:val="-11"/>
          <w:w w:val="105"/>
          <w:sz w:val="21"/>
        </w:rPr>
        <w:t> </w:t>
      </w:r>
      <w:r>
        <w:rPr>
          <w:w w:val="105"/>
          <w:sz w:val="21"/>
        </w:rPr>
        <w:t>and</w:t>
      </w:r>
      <w:r>
        <w:rPr>
          <w:spacing w:val="-10"/>
          <w:w w:val="105"/>
          <w:sz w:val="21"/>
        </w:rPr>
        <w:t> </w:t>
      </w:r>
      <w:r>
        <w:rPr>
          <w:w w:val="105"/>
          <w:sz w:val="21"/>
        </w:rPr>
        <w:t>hold</w:t>
      </w:r>
      <w:r>
        <w:rPr>
          <w:spacing w:val="-11"/>
          <w:w w:val="105"/>
          <w:sz w:val="21"/>
        </w:rPr>
        <w:t> </w:t>
      </w:r>
      <w:r>
        <w:rPr>
          <w:w w:val="105"/>
          <w:sz w:val="21"/>
        </w:rPr>
        <w:t>the</w:t>
      </w:r>
      <w:r>
        <w:rPr>
          <w:spacing w:val="-10"/>
          <w:w w:val="105"/>
          <w:sz w:val="21"/>
        </w:rPr>
        <w:t> </w:t>
      </w:r>
      <w:r>
        <w:rPr>
          <w:w w:val="105"/>
          <w:sz w:val="21"/>
        </w:rPr>
        <w:t>estate</w:t>
      </w:r>
      <w:r>
        <w:rPr>
          <w:spacing w:val="-11"/>
          <w:w w:val="105"/>
          <w:sz w:val="21"/>
        </w:rPr>
        <w:t> </w:t>
      </w:r>
      <w:r>
        <w:rPr>
          <w:w w:val="105"/>
          <w:sz w:val="21"/>
        </w:rPr>
        <w:t>money</w:t>
      </w:r>
      <w:r>
        <w:rPr>
          <w:spacing w:val="-10"/>
          <w:w w:val="105"/>
          <w:sz w:val="21"/>
        </w:rPr>
        <w:t> </w:t>
      </w:r>
      <w:r>
        <w:rPr>
          <w:w w:val="105"/>
          <w:sz w:val="21"/>
        </w:rPr>
        <w:t>in</w:t>
      </w:r>
      <w:r>
        <w:rPr>
          <w:spacing w:val="-10"/>
          <w:w w:val="105"/>
          <w:sz w:val="21"/>
        </w:rPr>
        <w:t> </w:t>
      </w:r>
      <w:r>
        <w:rPr>
          <w:w w:val="105"/>
          <w:sz w:val="21"/>
        </w:rPr>
        <w:t>its</w:t>
      </w:r>
      <w:r>
        <w:rPr>
          <w:spacing w:val="-11"/>
          <w:w w:val="105"/>
          <w:sz w:val="21"/>
        </w:rPr>
        <w:t> </w:t>
      </w:r>
      <w:r>
        <w:rPr>
          <w:w w:val="105"/>
          <w:sz w:val="21"/>
        </w:rPr>
        <w:t>trust </w:t>
      </w:r>
      <w:r>
        <w:rPr>
          <w:spacing w:val="-3"/>
          <w:w w:val="105"/>
          <w:sz w:val="21"/>
        </w:rPr>
        <w:t>account.</w:t>
      </w:r>
      <w:r>
        <w:rPr>
          <w:spacing w:val="-6"/>
          <w:w w:val="105"/>
          <w:sz w:val="21"/>
        </w:rPr>
        <w:t> </w:t>
      </w:r>
      <w:r>
        <w:rPr>
          <w:w w:val="105"/>
          <w:sz w:val="21"/>
        </w:rPr>
        <w:t>The</w:t>
      </w:r>
      <w:r>
        <w:rPr>
          <w:spacing w:val="-5"/>
          <w:w w:val="105"/>
          <w:sz w:val="21"/>
        </w:rPr>
        <w:t> </w:t>
      </w:r>
      <w:r>
        <w:rPr>
          <w:w w:val="105"/>
          <w:sz w:val="21"/>
        </w:rPr>
        <w:t>proposal</w:t>
      </w:r>
      <w:r>
        <w:rPr>
          <w:spacing w:val="-6"/>
          <w:w w:val="105"/>
          <w:sz w:val="21"/>
        </w:rPr>
        <w:t> </w:t>
      </w:r>
      <w:r>
        <w:rPr>
          <w:w w:val="105"/>
          <w:sz w:val="21"/>
        </w:rPr>
        <w:t>would</w:t>
      </w:r>
      <w:r>
        <w:rPr>
          <w:spacing w:val="-5"/>
          <w:w w:val="105"/>
          <w:sz w:val="21"/>
        </w:rPr>
        <w:t> </w:t>
      </w:r>
      <w:r>
        <w:rPr>
          <w:w w:val="105"/>
          <w:sz w:val="21"/>
        </w:rPr>
        <w:t>address</w:t>
      </w:r>
      <w:r>
        <w:rPr>
          <w:spacing w:val="-6"/>
          <w:w w:val="105"/>
          <w:sz w:val="21"/>
        </w:rPr>
        <w:t> </w:t>
      </w:r>
      <w:r>
        <w:rPr>
          <w:w w:val="105"/>
          <w:sz w:val="21"/>
        </w:rPr>
        <w:t>the</w:t>
      </w:r>
      <w:r>
        <w:rPr>
          <w:spacing w:val="-5"/>
          <w:w w:val="105"/>
          <w:sz w:val="21"/>
        </w:rPr>
        <w:t> </w:t>
      </w:r>
      <w:r>
        <w:rPr>
          <w:w w:val="105"/>
          <w:sz w:val="21"/>
        </w:rPr>
        <w:t>problem</w:t>
      </w:r>
      <w:r>
        <w:rPr>
          <w:spacing w:val="-5"/>
          <w:w w:val="105"/>
          <w:sz w:val="21"/>
        </w:rPr>
        <w:t> </w:t>
      </w:r>
      <w:r>
        <w:rPr>
          <w:w w:val="105"/>
          <w:sz w:val="21"/>
        </w:rPr>
        <w:t>of</w:t>
      </w:r>
      <w:r>
        <w:rPr>
          <w:spacing w:val="-6"/>
          <w:w w:val="105"/>
          <w:sz w:val="21"/>
        </w:rPr>
        <w:t> </w:t>
      </w:r>
      <w:r>
        <w:rPr>
          <w:w w:val="105"/>
          <w:sz w:val="21"/>
        </w:rPr>
        <w:t>double</w:t>
      </w:r>
      <w:r>
        <w:rPr>
          <w:spacing w:val="-5"/>
          <w:w w:val="105"/>
          <w:sz w:val="21"/>
        </w:rPr>
        <w:t> </w:t>
      </w:r>
      <w:r>
        <w:rPr>
          <w:spacing w:val="-3"/>
          <w:w w:val="105"/>
          <w:sz w:val="21"/>
        </w:rPr>
        <w:t>dipping,</w:t>
      </w:r>
      <w:r>
        <w:rPr>
          <w:spacing w:val="-6"/>
          <w:w w:val="105"/>
          <w:sz w:val="21"/>
        </w:rPr>
        <w:t> </w:t>
      </w:r>
      <w:r>
        <w:rPr>
          <w:w w:val="105"/>
          <w:sz w:val="21"/>
        </w:rPr>
        <w:t>as</w:t>
      </w:r>
      <w:r>
        <w:rPr>
          <w:spacing w:val="-5"/>
          <w:w w:val="105"/>
          <w:sz w:val="21"/>
        </w:rPr>
        <w:t> </w:t>
      </w:r>
      <w:r>
        <w:rPr>
          <w:w w:val="105"/>
          <w:sz w:val="21"/>
        </w:rPr>
        <w:t>it</w:t>
      </w:r>
      <w:r>
        <w:rPr>
          <w:spacing w:val="-6"/>
          <w:w w:val="105"/>
          <w:sz w:val="21"/>
        </w:rPr>
        <w:t> </w:t>
      </w:r>
      <w:r>
        <w:rPr>
          <w:w w:val="105"/>
          <w:sz w:val="21"/>
        </w:rPr>
        <w:t>would</w:t>
      </w:r>
      <w:r>
        <w:rPr>
          <w:spacing w:val="-5"/>
          <w:w w:val="105"/>
          <w:sz w:val="21"/>
        </w:rPr>
        <w:t> </w:t>
      </w:r>
      <w:r>
        <w:rPr>
          <w:spacing w:val="-3"/>
          <w:w w:val="105"/>
          <w:sz w:val="21"/>
        </w:rPr>
        <w:t>separate </w:t>
      </w:r>
      <w:r>
        <w:rPr>
          <w:w w:val="105"/>
          <w:sz w:val="21"/>
        </w:rPr>
        <w:t>payments </w:t>
      </w:r>
      <w:r>
        <w:rPr>
          <w:spacing w:val="-3"/>
          <w:w w:val="105"/>
          <w:sz w:val="21"/>
        </w:rPr>
        <w:t>for executorial </w:t>
      </w:r>
      <w:r>
        <w:rPr>
          <w:w w:val="105"/>
          <w:sz w:val="21"/>
        </w:rPr>
        <w:t>services by the </w:t>
      </w:r>
      <w:r>
        <w:rPr>
          <w:spacing w:val="-3"/>
          <w:w w:val="105"/>
          <w:sz w:val="21"/>
        </w:rPr>
        <w:t>executor from charges for </w:t>
      </w:r>
      <w:r>
        <w:rPr>
          <w:w w:val="105"/>
          <w:sz w:val="21"/>
        </w:rPr>
        <w:t>legal services by the other law</w:t>
      </w:r>
      <w:r>
        <w:rPr>
          <w:spacing w:val="10"/>
          <w:w w:val="105"/>
          <w:sz w:val="21"/>
        </w:rPr>
        <w:t> </w:t>
      </w:r>
      <w:r>
        <w:rPr>
          <w:spacing w:val="-3"/>
          <w:w w:val="105"/>
          <w:sz w:val="21"/>
        </w:rPr>
        <w:t>practice.</w:t>
      </w:r>
    </w:p>
    <w:p>
      <w:pPr>
        <w:pStyle w:val="ListParagraph"/>
        <w:numPr>
          <w:ilvl w:val="1"/>
          <w:numId w:val="22"/>
        </w:numPr>
        <w:tabs>
          <w:tab w:pos="2381" w:val="left" w:leader="none"/>
          <w:tab w:pos="2382" w:val="left" w:leader="none"/>
        </w:tabs>
        <w:spacing w:line="242" w:lineRule="auto" w:before="128" w:after="0"/>
        <w:ind w:left="2381" w:right="1733" w:hanging="794"/>
        <w:jc w:val="left"/>
        <w:rPr>
          <w:sz w:val="21"/>
        </w:rPr>
      </w:pPr>
      <w:r>
        <w:rPr>
          <w:w w:val="105"/>
          <w:sz w:val="21"/>
        </w:rPr>
        <w:t>Some legal practitioners said </w:t>
      </w:r>
      <w:r>
        <w:rPr>
          <w:spacing w:val="-3"/>
          <w:w w:val="105"/>
          <w:sz w:val="21"/>
        </w:rPr>
        <w:t>during consultations that </w:t>
      </w:r>
      <w:r>
        <w:rPr>
          <w:w w:val="105"/>
          <w:sz w:val="21"/>
        </w:rPr>
        <w:t>they </w:t>
      </w:r>
      <w:r>
        <w:rPr>
          <w:spacing w:val="-3"/>
          <w:w w:val="105"/>
          <w:sz w:val="21"/>
        </w:rPr>
        <w:t>thought </w:t>
      </w:r>
      <w:r>
        <w:rPr>
          <w:w w:val="105"/>
          <w:sz w:val="21"/>
        </w:rPr>
        <w:t>it would be good </w:t>
      </w:r>
      <w:r>
        <w:rPr>
          <w:spacing w:val="-4"/>
          <w:w w:val="105"/>
          <w:sz w:val="21"/>
        </w:rPr>
        <w:t>practice,</w:t>
      </w:r>
      <w:r>
        <w:rPr>
          <w:spacing w:val="-4"/>
          <w:w w:val="105"/>
          <w:position w:val="7"/>
          <w:sz w:val="12"/>
        </w:rPr>
        <w:t>74 </w:t>
      </w:r>
      <w:r>
        <w:rPr>
          <w:w w:val="105"/>
          <w:sz w:val="21"/>
        </w:rPr>
        <w:t>or </w:t>
      </w:r>
      <w:r>
        <w:rPr>
          <w:spacing w:val="-3"/>
          <w:w w:val="105"/>
          <w:sz w:val="21"/>
        </w:rPr>
        <w:t>that </w:t>
      </w:r>
      <w:r>
        <w:rPr>
          <w:w w:val="105"/>
          <w:sz w:val="21"/>
        </w:rPr>
        <w:t>they </w:t>
      </w:r>
      <w:r>
        <w:rPr>
          <w:spacing w:val="-3"/>
          <w:w w:val="105"/>
          <w:sz w:val="21"/>
        </w:rPr>
        <w:t>already </w:t>
      </w:r>
      <w:r>
        <w:rPr>
          <w:w w:val="105"/>
          <w:sz w:val="21"/>
        </w:rPr>
        <w:t>do </w:t>
      </w:r>
      <w:r>
        <w:rPr>
          <w:spacing w:val="-4"/>
          <w:w w:val="105"/>
          <w:sz w:val="21"/>
        </w:rPr>
        <w:t>it.</w:t>
      </w:r>
      <w:r>
        <w:rPr>
          <w:spacing w:val="-4"/>
          <w:w w:val="105"/>
          <w:position w:val="7"/>
          <w:sz w:val="12"/>
        </w:rPr>
        <w:t>75 </w:t>
      </w:r>
      <w:r>
        <w:rPr>
          <w:spacing w:val="-4"/>
          <w:w w:val="105"/>
          <w:sz w:val="21"/>
        </w:rPr>
        <w:t>However, </w:t>
      </w:r>
      <w:r>
        <w:rPr>
          <w:w w:val="105"/>
          <w:sz w:val="21"/>
        </w:rPr>
        <w:t>overwhelming opposition was expressed in </w:t>
      </w:r>
      <w:r>
        <w:rPr>
          <w:spacing w:val="-3"/>
          <w:w w:val="105"/>
          <w:sz w:val="21"/>
        </w:rPr>
        <w:t>submissions for </w:t>
      </w:r>
      <w:r>
        <w:rPr>
          <w:w w:val="105"/>
          <w:sz w:val="21"/>
        </w:rPr>
        <w:t>the </w:t>
      </w:r>
      <w:r>
        <w:rPr>
          <w:spacing w:val="-3"/>
          <w:w w:val="105"/>
          <w:sz w:val="21"/>
        </w:rPr>
        <w:t>following</w:t>
      </w:r>
      <w:r>
        <w:rPr>
          <w:spacing w:val="30"/>
          <w:w w:val="105"/>
          <w:sz w:val="21"/>
        </w:rPr>
        <w:t> </w:t>
      </w:r>
      <w:r>
        <w:rPr>
          <w:w w:val="105"/>
          <w:sz w:val="21"/>
        </w:rPr>
        <w:t>reasons:</w:t>
      </w:r>
    </w:p>
    <w:p>
      <w:pPr>
        <w:pStyle w:val="ListParagraph"/>
        <w:numPr>
          <w:ilvl w:val="2"/>
          <w:numId w:val="22"/>
        </w:numPr>
        <w:tabs>
          <w:tab w:pos="2721" w:val="left" w:leader="none"/>
          <w:tab w:pos="2722" w:val="left" w:leader="none"/>
        </w:tabs>
        <w:spacing w:line="240" w:lineRule="auto" w:before="123" w:after="0"/>
        <w:ind w:left="2721" w:right="0" w:hanging="340"/>
        <w:jc w:val="left"/>
        <w:rPr>
          <w:sz w:val="12"/>
        </w:rPr>
      </w:pPr>
      <w:r>
        <w:rPr>
          <w:sz w:val="21"/>
        </w:rPr>
        <w:t>This is a matter </w:t>
      </w:r>
      <w:r>
        <w:rPr>
          <w:spacing w:val="-3"/>
          <w:sz w:val="21"/>
        </w:rPr>
        <w:t>for </w:t>
      </w:r>
      <w:r>
        <w:rPr>
          <w:sz w:val="21"/>
        </w:rPr>
        <w:t>the</w:t>
      </w:r>
      <w:r>
        <w:rPr>
          <w:spacing w:val="7"/>
          <w:sz w:val="21"/>
        </w:rPr>
        <w:t> </w:t>
      </w:r>
      <w:r>
        <w:rPr>
          <w:spacing w:val="-5"/>
          <w:sz w:val="21"/>
        </w:rPr>
        <w:t>will-maker.</w:t>
      </w:r>
      <w:r>
        <w:rPr>
          <w:spacing w:val="-5"/>
          <w:position w:val="7"/>
          <w:sz w:val="12"/>
        </w:rPr>
        <w:t>76</w:t>
      </w:r>
    </w:p>
    <w:p>
      <w:pPr>
        <w:pStyle w:val="ListParagraph"/>
        <w:numPr>
          <w:ilvl w:val="2"/>
          <w:numId w:val="22"/>
        </w:numPr>
        <w:tabs>
          <w:tab w:pos="2721" w:val="left" w:leader="none"/>
          <w:tab w:pos="2722" w:val="left" w:leader="none"/>
        </w:tabs>
        <w:spacing w:line="240" w:lineRule="auto" w:before="124" w:after="0"/>
        <w:ind w:left="2721" w:right="0" w:hanging="340"/>
        <w:jc w:val="left"/>
        <w:rPr>
          <w:sz w:val="12"/>
        </w:rPr>
      </w:pPr>
      <w:r>
        <w:rPr>
          <w:sz w:val="21"/>
        </w:rPr>
        <w:t>It would cost the estate</w:t>
      </w:r>
      <w:r>
        <w:rPr>
          <w:spacing w:val="42"/>
          <w:sz w:val="21"/>
        </w:rPr>
        <w:t> </w:t>
      </w:r>
      <w:r>
        <w:rPr>
          <w:spacing w:val="-4"/>
          <w:sz w:val="21"/>
        </w:rPr>
        <w:t>more.</w:t>
      </w:r>
      <w:r>
        <w:rPr>
          <w:spacing w:val="-4"/>
          <w:position w:val="7"/>
          <w:sz w:val="12"/>
        </w:rPr>
        <w:t>77</w:t>
      </w:r>
    </w:p>
    <w:p>
      <w:pPr>
        <w:pStyle w:val="ListParagraph"/>
        <w:numPr>
          <w:ilvl w:val="2"/>
          <w:numId w:val="22"/>
        </w:numPr>
        <w:tabs>
          <w:tab w:pos="2721" w:val="left" w:leader="none"/>
          <w:tab w:pos="2722" w:val="left" w:leader="none"/>
        </w:tabs>
        <w:spacing w:line="240" w:lineRule="auto" w:before="123" w:after="0"/>
        <w:ind w:left="2721" w:right="0" w:hanging="340"/>
        <w:jc w:val="left"/>
        <w:rPr>
          <w:sz w:val="12"/>
        </w:rPr>
      </w:pPr>
      <w:r>
        <w:rPr>
          <w:sz w:val="21"/>
        </w:rPr>
        <w:t>It</w:t>
      </w:r>
      <w:r>
        <w:rPr>
          <w:spacing w:val="9"/>
          <w:sz w:val="21"/>
        </w:rPr>
        <w:t> </w:t>
      </w:r>
      <w:r>
        <w:rPr>
          <w:sz w:val="21"/>
        </w:rPr>
        <w:t>would</w:t>
      </w:r>
      <w:r>
        <w:rPr>
          <w:spacing w:val="10"/>
          <w:sz w:val="21"/>
        </w:rPr>
        <w:t> </w:t>
      </w:r>
      <w:r>
        <w:rPr>
          <w:spacing w:val="-3"/>
          <w:sz w:val="21"/>
        </w:rPr>
        <w:t>draw</w:t>
      </w:r>
      <w:r>
        <w:rPr>
          <w:spacing w:val="9"/>
          <w:sz w:val="21"/>
        </w:rPr>
        <w:t> </w:t>
      </w:r>
      <w:r>
        <w:rPr>
          <w:sz w:val="21"/>
        </w:rPr>
        <w:t>out</w:t>
      </w:r>
      <w:r>
        <w:rPr>
          <w:spacing w:val="10"/>
          <w:sz w:val="21"/>
        </w:rPr>
        <w:t> </w:t>
      </w:r>
      <w:r>
        <w:rPr>
          <w:sz w:val="21"/>
        </w:rPr>
        <w:t>the</w:t>
      </w:r>
      <w:r>
        <w:rPr>
          <w:spacing w:val="10"/>
          <w:sz w:val="21"/>
        </w:rPr>
        <w:t> </w:t>
      </w:r>
      <w:r>
        <w:rPr>
          <w:sz w:val="21"/>
        </w:rPr>
        <w:t>process</w:t>
      </w:r>
      <w:r>
        <w:rPr>
          <w:spacing w:val="9"/>
          <w:sz w:val="21"/>
        </w:rPr>
        <w:t> </w:t>
      </w:r>
      <w:r>
        <w:rPr>
          <w:sz w:val="21"/>
        </w:rPr>
        <w:t>of</w:t>
      </w:r>
      <w:r>
        <w:rPr>
          <w:spacing w:val="10"/>
          <w:sz w:val="21"/>
        </w:rPr>
        <w:t> </w:t>
      </w:r>
      <w:r>
        <w:rPr>
          <w:spacing w:val="-3"/>
          <w:sz w:val="21"/>
        </w:rPr>
        <w:t>administering</w:t>
      </w:r>
      <w:r>
        <w:rPr>
          <w:spacing w:val="9"/>
          <w:sz w:val="21"/>
        </w:rPr>
        <w:t> </w:t>
      </w:r>
      <w:r>
        <w:rPr>
          <w:sz w:val="21"/>
        </w:rPr>
        <w:t>the</w:t>
      </w:r>
      <w:r>
        <w:rPr>
          <w:spacing w:val="10"/>
          <w:sz w:val="21"/>
        </w:rPr>
        <w:t> </w:t>
      </w:r>
      <w:r>
        <w:rPr>
          <w:spacing w:val="-3"/>
          <w:sz w:val="21"/>
        </w:rPr>
        <w:t>estate.</w:t>
      </w:r>
      <w:r>
        <w:rPr>
          <w:spacing w:val="-3"/>
          <w:position w:val="7"/>
          <w:sz w:val="12"/>
        </w:rPr>
        <w:t>78</w:t>
      </w:r>
    </w:p>
    <w:p>
      <w:pPr>
        <w:pStyle w:val="ListParagraph"/>
        <w:numPr>
          <w:ilvl w:val="2"/>
          <w:numId w:val="22"/>
        </w:numPr>
        <w:tabs>
          <w:tab w:pos="2721" w:val="left" w:leader="none"/>
          <w:tab w:pos="2722" w:val="left" w:leader="none"/>
        </w:tabs>
        <w:spacing w:line="240" w:lineRule="auto" w:before="124" w:after="0"/>
        <w:ind w:left="2721" w:right="0" w:hanging="340"/>
        <w:jc w:val="left"/>
        <w:rPr>
          <w:sz w:val="12"/>
        </w:rPr>
      </w:pPr>
      <w:r>
        <w:rPr>
          <w:spacing w:val="-4"/>
          <w:sz w:val="21"/>
        </w:rPr>
        <w:t>Trustee </w:t>
      </w:r>
      <w:r>
        <w:rPr>
          <w:spacing w:val="-3"/>
          <w:sz w:val="21"/>
        </w:rPr>
        <w:t>companies </w:t>
      </w:r>
      <w:r>
        <w:rPr>
          <w:sz w:val="21"/>
        </w:rPr>
        <w:t>can provide </w:t>
      </w:r>
      <w:r>
        <w:rPr>
          <w:spacing w:val="-3"/>
          <w:sz w:val="21"/>
        </w:rPr>
        <w:t>professional </w:t>
      </w:r>
      <w:r>
        <w:rPr>
          <w:sz w:val="21"/>
        </w:rPr>
        <w:t>services </w:t>
      </w:r>
      <w:r>
        <w:rPr>
          <w:spacing w:val="-3"/>
          <w:sz w:val="21"/>
        </w:rPr>
        <w:t>to</w:t>
      </w:r>
      <w:r>
        <w:rPr>
          <w:spacing w:val="-13"/>
          <w:sz w:val="21"/>
        </w:rPr>
        <w:t> </w:t>
      </w:r>
      <w:r>
        <w:rPr>
          <w:sz w:val="21"/>
        </w:rPr>
        <w:t>the estates they </w:t>
      </w:r>
      <w:r>
        <w:rPr>
          <w:spacing w:val="-4"/>
          <w:sz w:val="21"/>
        </w:rPr>
        <w:t>administer.</w:t>
      </w:r>
      <w:r>
        <w:rPr>
          <w:spacing w:val="-4"/>
          <w:position w:val="7"/>
          <w:sz w:val="12"/>
        </w:rPr>
        <w:t>79</w:t>
      </w:r>
    </w:p>
    <w:p>
      <w:pPr>
        <w:pStyle w:val="ListParagraph"/>
        <w:numPr>
          <w:ilvl w:val="1"/>
          <w:numId w:val="22"/>
        </w:numPr>
        <w:tabs>
          <w:tab w:pos="2381" w:val="left" w:leader="none"/>
          <w:tab w:pos="2382" w:val="left" w:leader="none"/>
        </w:tabs>
        <w:spacing w:line="242" w:lineRule="auto" w:before="124" w:after="0"/>
        <w:ind w:left="2381" w:right="1992" w:hanging="794"/>
        <w:jc w:val="left"/>
        <w:rPr>
          <w:sz w:val="21"/>
        </w:rPr>
      </w:pPr>
      <w:r>
        <w:rPr>
          <w:w w:val="105"/>
          <w:sz w:val="21"/>
        </w:rPr>
        <w:t>The</w:t>
      </w:r>
      <w:r>
        <w:rPr>
          <w:spacing w:val="-5"/>
          <w:w w:val="105"/>
          <w:sz w:val="21"/>
        </w:rPr>
        <w:t> </w:t>
      </w:r>
      <w:r>
        <w:rPr>
          <w:spacing w:val="-3"/>
          <w:w w:val="105"/>
          <w:sz w:val="21"/>
        </w:rPr>
        <w:t>Commission</w:t>
      </w:r>
      <w:r>
        <w:rPr>
          <w:spacing w:val="-4"/>
          <w:w w:val="105"/>
          <w:sz w:val="21"/>
        </w:rPr>
        <w:t> </w:t>
      </w:r>
      <w:r>
        <w:rPr>
          <w:w w:val="105"/>
          <w:sz w:val="21"/>
        </w:rPr>
        <w:t>is</w:t>
      </w:r>
      <w:r>
        <w:rPr>
          <w:spacing w:val="-4"/>
          <w:w w:val="105"/>
          <w:sz w:val="21"/>
        </w:rPr>
        <w:t> </w:t>
      </w:r>
      <w:r>
        <w:rPr>
          <w:w w:val="105"/>
          <w:sz w:val="21"/>
        </w:rPr>
        <w:t>persuaded</w:t>
      </w:r>
      <w:r>
        <w:rPr>
          <w:spacing w:val="-4"/>
          <w:w w:val="105"/>
          <w:sz w:val="21"/>
        </w:rPr>
        <w:t> </w:t>
      </w:r>
      <w:r>
        <w:rPr>
          <w:w w:val="105"/>
          <w:sz w:val="21"/>
        </w:rPr>
        <w:t>by</w:t>
      </w:r>
      <w:r>
        <w:rPr>
          <w:spacing w:val="-4"/>
          <w:w w:val="105"/>
          <w:sz w:val="21"/>
        </w:rPr>
        <w:t> </w:t>
      </w:r>
      <w:r>
        <w:rPr>
          <w:w w:val="105"/>
          <w:sz w:val="21"/>
        </w:rPr>
        <w:t>these</w:t>
      </w:r>
      <w:r>
        <w:rPr>
          <w:spacing w:val="-4"/>
          <w:w w:val="105"/>
          <w:sz w:val="21"/>
        </w:rPr>
        <w:t> </w:t>
      </w:r>
      <w:r>
        <w:rPr>
          <w:w w:val="105"/>
          <w:sz w:val="21"/>
        </w:rPr>
        <w:t>arguments</w:t>
      </w:r>
      <w:r>
        <w:rPr>
          <w:spacing w:val="-4"/>
          <w:w w:val="105"/>
          <w:sz w:val="21"/>
        </w:rPr>
        <w:t> </w:t>
      </w:r>
      <w:r>
        <w:rPr>
          <w:w w:val="105"/>
          <w:sz w:val="21"/>
        </w:rPr>
        <w:t>and</w:t>
      </w:r>
      <w:r>
        <w:rPr>
          <w:spacing w:val="-4"/>
          <w:w w:val="105"/>
          <w:sz w:val="21"/>
        </w:rPr>
        <w:t> </w:t>
      </w:r>
      <w:r>
        <w:rPr>
          <w:spacing w:val="-2"/>
          <w:w w:val="105"/>
          <w:sz w:val="21"/>
        </w:rPr>
        <w:t>has</w:t>
      </w:r>
      <w:r>
        <w:rPr>
          <w:spacing w:val="-4"/>
          <w:w w:val="105"/>
          <w:sz w:val="21"/>
        </w:rPr>
        <w:t> </w:t>
      </w:r>
      <w:r>
        <w:rPr>
          <w:spacing w:val="-3"/>
          <w:w w:val="105"/>
          <w:sz w:val="21"/>
        </w:rPr>
        <w:t>concluded</w:t>
      </w:r>
      <w:r>
        <w:rPr>
          <w:spacing w:val="-4"/>
          <w:w w:val="105"/>
          <w:sz w:val="21"/>
        </w:rPr>
        <w:t> </w:t>
      </w:r>
      <w:r>
        <w:rPr>
          <w:spacing w:val="-3"/>
          <w:w w:val="105"/>
          <w:sz w:val="21"/>
        </w:rPr>
        <w:t>that</w:t>
      </w:r>
      <w:r>
        <w:rPr>
          <w:spacing w:val="-4"/>
          <w:w w:val="105"/>
          <w:sz w:val="21"/>
        </w:rPr>
        <w:t> </w:t>
      </w:r>
      <w:r>
        <w:rPr>
          <w:w w:val="105"/>
          <w:sz w:val="21"/>
        </w:rPr>
        <w:t>it</w:t>
      </w:r>
      <w:r>
        <w:rPr>
          <w:spacing w:val="-4"/>
          <w:w w:val="105"/>
          <w:sz w:val="21"/>
        </w:rPr>
        <w:t> </w:t>
      </w:r>
      <w:r>
        <w:rPr>
          <w:w w:val="105"/>
          <w:sz w:val="21"/>
        </w:rPr>
        <w:t>does</w:t>
      </w:r>
      <w:r>
        <w:rPr>
          <w:spacing w:val="-4"/>
          <w:w w:val="105"/>
          <w:sz w:val="21"/>
        </w:rPr>
        <w:t> </w:t>
      </w:r>
      <w:r>
        <w:rPr>
          <w:spacing w:val="-2"/>
          <w:w w:val="105"/>
          <w:sz w:val="21"/>
        </w:rPr>
        <w:t>not </w:t>
      </w:r>
      <w:r>
        <w:rPr>
          <w:w w:val="105"/>
          <w:sz w:val="21"/>
        </w:rPr>
        <w:t>support the</w:t>
      </w:r>
      <w:r>
        <w:rPr>
          <w:spacing w:val="10"/>
          <w:w w:val="105"/>
          <w:sz w:val="21"/>
        </w:rPr>
        <w:t> </w:t>
      </w:r>
      <w:r>
        <w:rPr>
          <w:w w:val="105"/>
          <w:sz w:val="21"/>
        </w:rPr>
        <w:t>proposal.</w:t>
      </w:r>
    </w:p>
    <w:p>
      <w:pPr>
        <w:pStyle w:val="ListParagraph"/>
        <w:numPr>
          <w:ilvl w:val="1"/>
          <w:numId w:val="22"/>
        </w:numPr>
        <w:tabs>
          <w:tab w:pos="2381" w:val="left" w:leader="none"/>
          <w:tab w:pos="2382" w:val="left" w:leader="none"/>
        </w:tabs>
        <w:spacing w:line="242" w:lineRule="auto" w:before="122" w:after="0"/>
        <w:ind w:left="2381" w:right="1909" w:hanging="794"/>
        <w:jc w:val="left"/>
        <w:rPr>
          <w:sz w:val="21"/>
        </w:rPr>
      </w:pPr>
      <w:r>
        <w:rPr>
          <w:w w:val="105"/>
          <w:sz w:val="21"/>
        </w:rPr>
        <w:t>While </w:t>
      </w:r>
      <w:r>
        <w:rPr>
          <w:spacing w:val="-3"/>
          <w:w w:val="105"/>
          <w:sz w:val="21"/>
        </w:rPr>
        <w:t>maintaining that </w:t>
      </w:r>
      <w:r>
        <w:rPr>
          <w:w w:val="105"/>
          <w:sz w:val="21"/>
        </w:rPr>
        <w:t>legal practitioner executors should be able </w:t>
      </w:r>
      <w:r>
        <w:rPr>
          <w:spacing w:val="-3"/>
          <w:w w:val="105"/>
          <w:sz w:val="21"/>
        </w:rPr>
        <w:t>to continue to </w:t>
      </w:r>
      <w:r>
        <w:rPr>
          <w:w w:val="105"/>
          <w:sz w:val="21"/>
        </w:rPr>
        <w:t>engage</w:t>
      </w:r>
      <w:r>
        <w:rPr>
          <w:spacing w:val="-9"/>
          <w:w w:val="105"/>
          <w:sz w:val="21"/>
        </w:rPr>
        <w:t> </w:t>
      </w:r>
      <w:r>
        <w:rPr>
          <w:w w:val="105"/>
          <w:sz w:val="21"/>
        </w:rPr>
        <w:t>their</w:t>
      </w:r>
      <w:r>
        <w:rPr>
          <w:spacing w:val="-9"/>
          <w:w w:val="105"/>
          <w:sz w:val="21"/>
        </w:rPr>
        <w:t> </w:t>
      </w:r>
      <w:r>
        <w:rPr>
          <w:w w:val="105"/>
          <w:sz w:val="21"/>
        </w:rPr>
        <w:t>own</w:t>
      </w:r>
      <w:r>
        <w:rPr>
          <w:spacing w:val="-8"/>
          <w:w w:val="105"/>
          <w:sz w:val="21"/>
        </w:rPr>
        <w:t> </w:t>
      </w:r>
      <w:r>
        <w:rPr>
          <w:w w:val="105"/>
          <w:sz w:val="21"/>
        </w:rPr>
        <w:t>firms</w:t>
      </w:r>
      <w:r>
        <w:rPr>
          <w:spacing w:val="-9"/>
          <w:w w:val="105"/>
          <w:sz w:val="21"/>
        </w:rPr>
        <w:t> </w:t>
      </w:r>
      <w:r>
        <w:rPr>
          <w:spacing w:val="-3"/>
          <w:w w:val="105"/>
          <w:sz w:val="21"/>
        </w:rPr>
        <w:t>to</w:t>
      </w:r>
      <w:r>
        <w:rPr>
          <w:spacing w:val="-8"/>
          <w:w w:val="105"/>
          <w:sz w:val="21"/>
        </w:rPr>
        <w:t> </w:t>
      </w:r>
      <w:r>
        <w:rPr>
          <w:w w:val="105"/>
          <w:sz w:val="21"/>
        </w:rPr>
        <w:t>provide</w:t>
      </w:r>
      <w:r>
        <w:rPr>
          <w:spacing w:val="-9"/>
          <w:w w:val="105"/>
          <w:sz w:val="21"/>
        </w:rPr>
        <w:t> </w:t>
      </w:r>
      <w:r>
        <w:rPr>
          <w:w w:val="105"/>
          <w:sz w:val="21"/>
        </w:rPr>
        <w:t>legal</w:t>
      </w:r>
      <w:r>
        <w:rPr>
          <w:spacing w:val="-9"/>
          <w:w w:val="105"/>
          <w:sz w:val="21"/>
        </w:rPr>
        <w:t> </w:t>
      </w:r>
      <w:r>
        <w:rPr>
          <w:w w:val="105"/>
          <w:sz w:val="21"/>
        </w:rPr>
        <w:t>services</w:t>
      </w:r>
      <w:r>
        <w:rPr>
          <w:spacing w:val="-8"/>
          <w:w w:val="105"/>
          <w:sz w:val="21"/>
        </w:rPr>
        <w:t> </w:t>
      </w:r>
      <w:r>
        <w:rPr>
          <w:spacing w:val="-3"/>
          <w:w w:val="105"/>
          <w:sz w:val="21"/>
        </w:rPr>
        <w:t>to</w:t>
      </w:r>
      <w:r>
        <w:rPr>
          <w:spacing w:val="-9"/>
          <w:w w:val="105"/>
          <w:sz w:val="21"/>
        </w:rPr>
        <w:t> </w:t>
      </w:r>
      <w:r>
        <w:rPr>
          <w:w w:val="105"/>
          <w:sz w:val="21"/>
        </w:rPr>
        <w:t>the</w:t>
      </w:r>
      <w:r>
        <w:rPr>
          <w:spacing w:val="-8"/>
          <w:w w:val="105"/>
          <w:sz w:val="21"/>
        </w:rPr>
        <w:t> </w:t>
      </w:r>
      <w:r>
        <w:rPr>
          <w:spacing w:val="-3"/>
          <w:w w:val="105"/>
          <w:sz w:val="21"/>
        </w:rPr>
        <w:t>estate,</w:t>
      </w:r>
      <w:r>
        <w:rPr>
          <w:spacing w:val="-9"/>
          <w:w w:val="105"/>
          <w:sz w:val="21"/>
        </w:rPr>
        <w:t> </w:t>
      </w:r>
      <w:r>
        <w:rPr>
          <w:w w:val="105"/>
          <w:sz w:val="21"/>
        </w:rPr>
        <w:t>some</w:t>
      </w:r>
      <w:r>
        <w:rPr>
          <w:spacing w:val="-9"/>
          <w:w w:val="105"/>
          <w:sz w:val="21"/>
        </w:rPr>
        <w:t> </w:t>
      </w:r>
      <w:r>
        <w:rPr>
          <w:spacing w:val="-3"/>
          <w:w w:val="105"/>
          <w:sz w:val="21"/>
        </w:rPr>
        <w:t>submissions</w:t>
      </w:r>
      <w:r>
        <w:rPr>
          <w:spacing w:val="-8"/>
          <w:w w:val="105"/>
          <w:sz w:val="21"/>
        </w:rPr>
        <w:t> </w:t>
      </w:r>
      <w:r>
        <w:rPr>
          <w:w w:val="105"/>
          <w:sz w:val="21"/>
        </w:rPr>
        <w:t>made suggestions</w:t>
      </w:r>
      <w:r>
        <w:rPr>
          <w:spacing w:val="-10"/>
          <w:w w:val="105"/>
          <w:sz w:val="21"/>
        </w:rPr>
        <w:t> </w:t>
      </w:r>
      <w:r>
        <w:rPr>
          <w:spacing w:val="-3"/>
          <w:w w:val="105"/>
          <w:sz w:val="21"/>
        </w:rPr>
        <w:t>to</w:t>
      </w:r>
      <w:r>
        <w:rPr>
          <w:spacing w:val="-10"/>
          <w:w w:val="105"/>
          <w:sz w:val="21"/>
        </w:rPr>
        <w:t> </w:t>
      </w:r>
      <w:r>
        <w:rPr>
          <w:spacing w:val="-3"/>
          <w:w w:val="105"/>
          <w:sz w:val="21"/>
        </w:rPr>
        <w:t>increase</w:t>
      </w:r>
      <w:r>
        <w:rPr>
          <w:spacing w:val="-10"/>
          <w:w w:val="105"/>
          <w:sz w:val="21"/>
        </w:rPr>
        <w:t> </w:t>
      </w:r>
      <w:r>
        <w:rPr>
          <w:w w:val="105"/>
          <w:sz w:val="21"/>
        </w:rPr>
        <w:t>transparency</w:t>
      </w:r>
      <w:r>
        <w:rPr>
          <w:spacing w:val="-10"/>
          <w:w w:val="105"/>
          <w:sz w:val="21"/>
        </w:rPr>
        <w:t> </w:t>
      </w:r>
      <w:r>
        <w:rPr>
          <w:w w:val="105"/>
          <w:sz w:val="21"/>
        </w:rPr>
        <w:t>and</w:t>
      </w:r>
      <w:r>
        <w:rPr>
          <w:spacing w:val="-9"/>
          <w:w w:val="105"/>
          <w:sz w:val="21"/>
        </w:rPr>
        <w:t> </w:t>
      </w:r>
      <w:r>
        <w:rPr>
          <w:spacing w:val="-3"/>
          <w:w w:val="105"/>
          <w:sz w:val="21"/>
        </w:rPr>
        <w:t>accountability.</w:t>
      </w:r>
      <w:r>
        <w:rPr>
          <w:spacing w:val="-10"/>
          <w:w w:val="105"/>
          <w:sz w:val="21"/>
        </w:rPr>
        <w:t> </w:t>
      </w:r>
      <w:r>
        <w:rPr>
          <w:w w:val="105"/>
          <w:sz w:val="21"/>
        </w:rPr>
        <w:t>These</w:t>
      </w:r>
      <w:r>
        <w:rPr>
          <w:spacing w:val="-10"/>
          <w:w w:val="105"/>
          <w:sz w:val="21"/>
        </w:rPr>
        <w:t> </w:t>
      </w:r>
      <w:r>
        <w:rPr>
          <w:w w:val="105"/>
          <w:sz w:val="21"/>
        </w:rPr>
        <w:t>suggestions</w:t>
      </w:r>
      <w:r>
        <w:rPr>
          <w:spacing w:val="-10"/>
          <w:w w:val="105"/>
          <w:sz w:val="21"/>
        </w:rPr>
        <w:t> </w:t>
      </w:r>
      <w:r>
        <w:rPr>
          <w:w w:val="105"/>
          <w:sz w:val="21"/>
        </w:rPr>
        <w:t>included:</w:t>
      </w:r>
    </w:p>
    <w:p>
      <w:pPr>
        <w:pStyle w:val="ListParagraph"/>
        <w:numPr>
          <w:ilvl w:val="2"/>
          <w:numId w:val="22"/>
        </w:numPr>
        <w:tabs>
          <w:tab w:pos="2721" w:val="left" w:leader="none"/>
          <w:tab w:pos="2722" w:val="left" w:leader="none"/>
        </w:tabs>
        <w:spacing w:line="242" w:lineRule="auto" w:before="123" w:after="0"/>
        <w:ind w:left="2721" w:right="1679" w:hanging="340"/>
        <w:jc w:val="left"/>
        <w:rPr>
          <w:sz w:val="12"/>
        </w:rPr>
      </w:pPr>
      <w:r>
        <w:rPr>
          <w:spacing w:val="-3"/>
          <w:sz w:val="21"/>
        </w:rPr>
        <w:t>requiring </w:t>
      </w:r>
      <w:r>
        <w:rPr>
          <w:sz w:val="21"/>
        </w:rPr>
        <w:t>the legal practitioner </w:t>
      </w:r>
      <w:r>
        <w:rPr>
          <w:spacing w:val="-3"/>
          <w:sz w:val="21"/>
        </w:rPr>
        <w:t>to demonstrate </w:t>
      </w:r>
      <w:r>
        <w:rPr>
          <w:sz w:val="21"/>
        </w:rPr>
        <w:t>the bases on which the estate is being </w:t>
      </w:r>
      <w:r>
        <w:rPr>
          <w:spacing w:val="-3"/>
          <w:sz w:val="21"/>
        </w:rPr>
        <w:t>charged</w:t>
      </w:r>
      <w:r>
        <w:rPr>
          <w:spacing w:val="-26"/>
          <w:sz w:val="21"/>
        </w:rPr>
        <w:t> </w:t>
      </w:r>
      <w:r>
        <w:rPr>
          <w:spacing w:val="3"/>
          <w:position w:val="7"/>
          <w:sz w:val="12"/>
        </w:rPr>
        <w:t>80</w:t>
      </w:r>
    </w:p>
    <w:p>
      <w:pPr>
        <w:pStyle w:val="ListParagraph"/>
        <w:numPr>
          <w:ilvl w:val="2"/>
          <w:numId w:val="22"/>
        </w:numPr>
        <w:tabs>
          <w:tab w:pos="2722" w:val="left" w:leader="none"/>
        </w:tabs>
        <w:spacing w:line="242" w:lineRule="auto" w:before="122" w:after="0"/>
        <w:ind w:left="2721" w:right="1749" w:hanging="340"/>
        <w:jc w:val="both"/>
        <w:rPr>
          <w:sz w:val="12"/>
        </w:rPr>
      </w:pPr>
      <w:r>
        <w:rPr>
          <w:spacing w:val="-3"/>
          <w:w w:val="105"/>
          <w:sz w:val="21"/>
        </w:rPr>
        <w:t>preparing guidelines, including requirements to </w:t>
      </w:r>
      <w:r>
        <w:rPr>
          <w:w w:val="105"/>
          <w:sz w:val="21"/>
        </w:rPr>
        <w:t>obtain the </w:t>
      </w:r>
      <w:r>
        <w:rPr>
          <w:spacing w:val="-3"/>
          <w:w w:val="105"/>
          <w:sz w:val="21"/>
        </w:rPr>
        <w:t>consent </w:t>
      </w:r>
      <w:r>
        <w:rPr>
          <w:w w:val="105"/>
          <w:sz w:val="21"/>
        </w:rPr>
        <w:t>of the </w:t>
      </w:r>
      <w:r>
        <w:rPr>
          <w:spacing w:val="-3"/>
          <w:w w:val="105"/>
          <w:sz w:val="21"/>
        </w:rPr>
        <w:t>will-maker </w:t>
      </w:r>
      <w:r>
        <w:rPr>
          <w:w w:val="105"/>
          <w:sz w:val="21"/>
        </w:rPr>
        <w:t>or</w:t>
      </w:r>
      <w:r>
        <w:rPr>
          <w:spacing w:val="-9"/>
          <w:w w:val="105"/>
          <w:sz w:val="21"/>
        </w:rPr>
        <w:t> </w:t>
      </w:r>
      <w:r>
        <w:rPr>
          <w:w w:val="105"/>
          <w:sz w:val="21"/>
        </w:rPr>
        <w:t>beneficiaries</w:t>
      </w:r>
      <w:r>
        <w:rPr>
          <w:spacing w:val="-8"/>
          <w:w w:val="105"/>
          <w:sz w:val="21"/>
        </w:rPr>
        <w:t> </w:t>
      </w:r>
      <w:r>
        <w:rPr>
          <w:spacing w:val="-3"/>
          <w:w w:val="105"/>
          <w:sz w:val="21"/>
        </w:rPr>
        <w:t>to</w:t>
      </w:r>
      <w:r>
        <w:rPr>
          <w:spacing w:val="-8"/>
          <w:w w:val="105"/>
          <w:sz w:val="21"/>
        </w:rPr>
        <w:t> </w:t>
      </w:r>
      <w:r>
        <w:rPr>
          <w:spacing w:val="-3"/>
          <w:w w:val="105"/>
          <w:sz w:val="21"/>
        </w:rPr>
        <w:t>any</w:t>
      </w:r>
      <w:r>
        <w:rPr>
          <w:spacing w:val="-8"/>
          <w:w w:val="105"/>
          <w:sz w:val="21"/>
        </w:rPr>
        <w:t> </w:t>
      </w:r>
      <w:r>
        <w:rPr>
          <w:w w:val="105"/>
          <w:sz w:val="21"/>
        </w:rPr>
        <w:t>particular</w:t>
      </w:r>
      <w:r>
        <w:rPr>
          <w:spacing w:val="-8"/>
          <w:w w:val="105"/>
          <w:sz w:val="21"/>
        </w:rPr>
        <w:t> </w:t>
      </w:r>
      <w:r>
        <w:rPr>
          <w:spacing w:val="-3"/>
          <w:w w:val="105"/>
          <w:sz w:val="21"/>
        </w:rPr>
        <w:t>rate</w:t>
      </w:r>
      <w:r>
        <w:rPr>
          <w:spacing w:val="-8"/>
          <w:w w:val="105"/>
          <w:sz w:val="21"/>
        </w:rPr>
        <w:t> </w:t>
      </w:r>
      <w:r>
        <w:rPr>
          <w:w w:val="105"/>
          <w:sz w:val="21"/>
        </w:rPr>
        <w:t>of</w:t>
      </w:r>
      <w:r>
        <w:rPr>
          <w:spacing w:val="-8"/>
          <w:w w:val="105"/>
          <w:sz w:val="21"/>
        </w:rPr>
        <w:t> </w:t>
      </w:r>
      <w:r>
        <w:rPr>
          <w:spacing w:val="-3"/>
          <w:w w:val="105"/>
          <w:sz w:val="21"/>
        </w:rPr>
        <w:t>charging</w:t>
      </w:r>
      <w:r>
        <w:rPr>
          <w:spacing w:val="-8"/>
          <w:w w:val="105"/>
          <w:sz w:val="21"/>
        </w:rPr>
        <w:t> </w:t>
      </w:r>
      <w:r>
        <w:rPr>
          <w:w w:val="105"/>
          <w:sz w:val="21"/>
        </w:rPr>
        <w:t>(as</w:t>
      </w:r>
      <w:r>
        <w:rPr>
          <w:spacing w:val="-8"/>
          <w:w w:val="105"/>
          <w:sz w:val="21"/>
        </w:rPr>
        <w:t> </w:t>
      </w:r>
      <w:r>
        <w:rPr>
          <w:w w:val="105"/>
          <w:sz w:val="21"/>
        </w:rPr>
        <w:t>distinct</w:t>
      </w:r>
      <w:r>
        <w:rPr>
          <w:spacing w:val="-8"/>
          <w:w w:val="105"/>
          <w:sz w:val="21"/>
        </w:rPr>
        <w:t> </w:t>
      </w:r>
      <w:r>
        <w:rPr>
          <w:spacing w:val="-3"/>
          <w:w w:val="105"/>
          <w:sz w:val="21"/>
        </w:rPr>
        <w:t>from</w:t>
      </w:r>
      <w:r>
        <w:rPr>
          <w:spacing w:val="-8"/>
          <w:w w:val="105"/>
          <w:sz w:val="21"/>
        </w:rPr>
        <w:t> </w:t>
      </w:r>
      <w:r>
        <w:rPr>
          <w:spacing w:val="-3"/>
          <w:w w:val="105"/>
          <w:sz w:val="21"/>
        </w:rPr>
        <w:t>rates</w:t>
      </w:r>
      <w:r>
        <w:rPr>
          <w:spacing w:val="-9"/>
          <w:w w:val="105"/>
          <w:sz w:val="21"/>
        </w:rPr>
        <w:t> </w:t>
      </w:r>
      <w:r>
        <w:rPr>
          <w:w w:val="105"/>
          <w:sz w:val="21"/>
        </w:rPr>
        <w:t>based</w:t>
      </w:r>
      <w:r>
        <w:rPr>
          <w:spacing w:val="-8"/>
          <w:w w:val="105"/>
          <w:sz w:val="21"/>
        </w:rPr>
        <w:t> </w:t>
      </w:r>
      <w:r>
        <w:rPr>
          <w:w w:val="105"/>
          <w:sz w:val="21"/>
        </w:rPr>
        <w:t>on</w:t>
      </w:r>
      <w:r>
        <w:rPr>
          <w:spacing w:val="-8"/>
          <w:w w:val="105"/>
          <w:sz w:val="21"/>
        </w:rPr>
        <w:t> </w:t>
      </w:r>
      <w:r>
        <w:rPr>
          <w:w w:val="105"/>
          <w:sz w:val="21"/>
        </w:rPr>
        <w:t>the </w:t>
      </w:r>
      <w:r>
        <w:rPr>
          <w:spacing w:val="-3"/>
          <w:w w:val="105"/>
          <w:sz w:val="21"/>
        </w:rPr>
        <w:t>Professional Remuneration </w:t>
      </w:r>
      <w:r>
        <w:rPr>
          <w:w w:val="105"/>
          <w:sz w:val="21"/>
        </w:rPr>
        <w:t>Order or</w:t>
      </w:r>
      <w:r>
        <w:rPr>
          <w:spacing w:val="20"/>
          <w:w w:val="105"/>
          <w:sz w:val="21"/>
        </w:rPr>
        <w:t> </w:t>
      </w:r>
      <w:r>
        <w:rPr>
          <w:w w:val="105"/>
          <w:sz w:val="21"/>
        </w:rPr>
        <w:t>equivalent).</w:t>
      </w:r>
      <w:r>
        <w:rPr>
          <w:w w:val="105"/>
          <w:position w:val="7"/>
          <w:sz w:val="12"/>
        </w:rPr>
        <w:t>81</w:t>
      </w:r>
    </w:p>
    <w:p>
      <w:pPr>
        <w:pStyle w:val="ListParagraph"/>
        <w:numPr>
          <w:ilvl w:val="1"/>
          <w:numId w:val="22"/>
        </w:numPr>
        <w:tabs>
          <w:tab w:pos="2380" w:val="left" w:leader="none"/>
          <w:tab w:pos="2381" w:val="left" w:leader="none"/>
        </w:tabs>
        <w:spacing w:line="242" w:lineRule="auto" w:before="124" w:after="0"/>
        <w:ind w:left="2381" w:right="1790" w:hanging="794"/>
        <w:jc w:val="left"/>
        <w:rPr>
          <w:sz w:val="12"/>
        </w:rPr>
      </w:pPr>
      <w:r>
        <w:rPr>
          <w:w w:val="105"/>
          <w:sz w:val="21"/>
        </w:rPr>
        <w:t>Later</w:t>
      </w:r>
      <w:r>
        <w:rPr>
          <w:spacing w:val="-6"/>
          <w:w w:val="105"/>
          <w:sz w:val="21"/>
        </w:rPr>
        <w:t> </w:t>
      </w:r>
      <w:r>
        <w:rPr>
          <w:w w:val="105"/>
          <w:sz w:val="21"/>
        </w:rPr>
        <w:t>in</w:t>
      </w:r>
      <w:r>
        <w:rPr>
          <w:spacing w:val="-6"/>
          <w:w w:val="105"/>
          <w:sz w:val="21"/>
        </w:rPr>
        <w:t> </w:t>
      </w:r>
      <w:r>
        <w:rPr>
          <w:w w:val="105"/>
          <w:sz w:val="21"/>
        </w:rPr>
        <w:t>this</w:t>
      </w:r>
      <w:r>
        <w:rPr>
          <w:spacing w:val="-5"/>
          <w:w w:val="105"/>
          <w:sz w:val="21"/>
        </w:rPr>
        <w:t> chapter,</w:t>
      </w:r>
      <w:r>
        <w:rPr>
          <w:spacing w:val="-6"/>
          <w:w w:val="105"/>
          <w:sz w:val="21"/>
        </w:rPr>
        <w:t> </w:t>
      </w:r>
      <w:r>
        <w:rPr>
          <w:w w:val="105"/>
          <w:sz w:val="21"/>
        </w:rPr>
        <w:t>the</w:t>
      </w:r>
      <w:r>
        <w:rPr>
          <w:spacing w:val="-5"/>
          <w:w w:val="105"/>
          <w:sz w:val="21"/>
        </w:rPr>
        <w:t> </w:t>
      </w:r>
      <w:r>
        <w:rPr>
          <w:spacing w:val="-3"/>
          <w:w w:val="105"/>
          <w:sz w:val="21"/>
        </w:rPr>
        <w:t>Commission</w:t>
      </w:r>
      <w:r>
        <w:rPr>
          <w:spacing w:val="-6"/>
          <w:w w:val="105"/>
          <w:sz w:val="21"/>
        </w:rPr>
        <w:t> </w:t>
      </w:r>
      <w:r>
        <w:rPr>
          <w:spacing w:val="-3"/>
          <w:w w:val="105"/>
          <w:sz w:val="21"/>
        </w:rPr>
        <w:t>makes</w:t>
      </w:r>
      <w:r>
        <w:rPr>
          <w:spacing w:val="-5"/>
          <w:w w:val="105"/>
          <w:sz w:val="21"/>
        </w:rPr>
        <w:t> </w:t>
      </w:r>
      <w:r>
        <w:rPr>
          <w:spacing w:val="-3"/>
          <w:w w:val="105"/>
          <w:sz w:val="21"/>
        </w:rPr>
        <w:t>recommendations</w:t>
      </w:r>
      <w:r>
        <w:rPr>
          <w:spacing w:val="-6"/>
          <w:w w:val="105"/>
          <w:sz w:val="21"/>
        </w:rPr>
        <w:t> </w:t>
      </w:r>
      <w:r>
        <w:rPr>
          <w:w w:val="105"/>
          <w:sz w:val="21"/>
        </w:rPr>
        <w:t>about</w:t>
      </w:r>
      <w:r>
        <w:rPr>
          <w:spacing w:val="-5"/>
          <w:w w:val="105"/>
          <w:sz w:val="21"/>
        </w:rPr>
        <w:t> </w:t>
      </w:r>
      <w:r>
        <w:rPr>
          <w:w w:val="105"/>
          <w:sz w:val="21"/>
        </w:rPr>
        <w:t>costs</w:t>
      </w:r>
      <w:r>
        <w:rPr>
          <w:spacing w:val="-6"/>
          <w:w w:val="105"/>
          <w:sz w:val="21"/>
        </w:rPr>
        <w:t> </w:t>
      </w:r>
      <w:r>
        <w:rPr>
          <w:spacing w:val="-3"/>
          <w:w w:val="105"/>
          <w:sz w:val="21"/>
        </w:rPr>
        <w:t>disclosure</w:t>
      </w:r>
      <w:r>
        <w:rPr>
          <w:spacing w:val="-5"/>
          <w:w w:val="105"/>
          <w:sz w:val="21"/>
        </w:rPr>
        <w:t> </w:t>
      </w:r>
      <w:r>
        <w:rPr>
          <w:spacing w:val="-3"/>
          <w:w w:val="105"/>
          <w:sz w:val="21"/>
        </w:rPr>
        <w:t>to </w:t>
      </w:r>
      <w:r>
        <w:rPr>
          <w:w w:val="105"/>
          <w:sz w:val="21"/>
        </w:rPr>
        <w:t>beneficiaries and the </w:t>
      </w:r>
      <w:r>
        <w:rPr>
          <w:spacing w:val="-3"/>
          <w:w w:val="105"/>
          <w:sz w:val="21"/>
        </w:rPr>
        <w:t>preparation </w:t>
      </w:r>
      <w:r>
        <w:rPr>
          <w:w w:val="105"/>
          <w:sz w:val="21"/>
        </w:rPr>
        <w:t>of </w:t>
      </w:r>
      <w:r>
        <w:rPr>
          <w:spacing w:val="-3"/>
          <w:w w:val="105"/>
          <w:sz w:val="21"/>
        </w:rPr>
        <w:t>guidelines that </w:t>
      </w:r>
      <w:r>
        <w:rPr>
          <w:w w:val="105"/>
          <w:sz w:val="21"/>
        </w:rPr>
        <w:t>help legal practitioners </w:t>
      </w:r>
      <w:r>
        <w:rPr>
          <w:spacing w:val="-3"/>
          <w:w w:val="105"/>
          <w:sz w:val="21"/>
        </w:rPr>
        <w:t>distinguish </w:t>
      </w:r>
      <w:r>
        <w:rPr>
          <w:w w:val="105"/>
          <w:sz w:val="21"/>
        </w:rPr>
        <w:t>between legal and </w:t>
      </w:r>
      <w:r>
        <w:rPr>
          <w:spacing w:val="-3"/>
          <w:w w:val="105"/>
          <w:sz w:val="21"/>
        </w:rPr>
        <w:t>executorial</w:t>
      </w:r>
      <w:r>
        <w:rPr>
          <w:spacing w:val="18"/>
          <w:w w:val="105"/>
          <w:sz w:val="21"/>
        </w:rPr>
        <w:t> </w:t>
      </w:r>
      <w:r>
        <w:rPr>
          <w:w w:val="105"/>
          <w:sz w:val="21"/>
        </w:rPr>
        <w:t>services.</w:t>
      </w:r>
      <w:r>
        <w:rPr>
          <w:w w:val="105"/>
          <w:position w:val="7"/>
          <w:sz w:val="12"/>
        </w:rPr>
        <w:t>82</w:t>
      </w:r>
    </w:p>
    <w:p>
      <w:pPr>
        <w:pStyle w:val="BodyText"/>
        <w:rPr>
          <w:sz w:val="20"/>
        </w:rPr>
      </w:pPr>
    </w:p>
    <w:p>
      <w:pPr>
        <w:pStyle w:val="BodyText"/>
        <w:spacing w:before="5"/>
        <w:rPr>
          <w:sz w:val="19"/>
        </w:rPr>
      </w:pPr>
      <w:r>
        <w:rPr/>
        <w:pict>
          <v:line style="position:absolute;mso-position-horizontal-relative:page;mso-position-vertical-relative:paragraph;z-index:9272;mso-wrap-distance-left:0;mso-wrap-distance-right:0" from="79.370102pt,14.309278pt" to="515.905102pt,14.309278pt" stroked="true" strokeweight="1pt" strokecolor="#f9ceca">
            <v:stroke dashstyle="solid"/>
            <w10:wrap type="topAndBottom"/>
          </v:line>
        </w:pict>
      </w:r>
    </w:p>
    <w:p>
      <w:pPr>
        <w:pStyle w:val="BodyText"/>
        <w:spacing w:before="8"/>
        <w:rPr>
          <w:sz w:val="5"/>
        </w:rPr>
      </w:pPr>
    </w:p>
    <w:p>
      <w:pPr>
        <w:spacing w:after="0"/>
        <w:rPr>
          <w:sz w:val="5"/>
        </w:rPr>
        <w:sectPr>
          <w:pgSz w:w="11910" w:h="16840"/>
          <w:pgMar w:header="805" w:footer="0" w:top="1360" w:bottom="280" w:left="0" w:right="0"/>
        </w:sectPr>
      </w:pPr>
    </w:p>
    <w:p>
      <w:pPr>
        <w:tabs>
          <w:tab w:pos="2381" w:val="left" w:leader="none"/>
        </w:tabs>
        <w:spacing w:before="48"/>
        <w:ind w:left="1587" w:right="0" w:firstLine="0"/>
        <w:jc w:val="left"/>
        <w:rPr>
          <w:sz w:val="13"/>
        </w:rPr>
      </w:pPr>
      <w:r>
        <w:rPr>
          <w:w w:val="105"/>
          <w:sz w:val="13"/>
        </w:rPr>
        <w:t>72</w:t>
        <w:tab/>
      </w:r>
      <w:r>
        <w:rPr>
          <w:spacing w:val="2"/>
          <w:w w:val="105"/>
          <w:sz w:val="13"/>
        </w:rPr>
        <w:t>[2006] </w:t>
      </w:r>
      <w:r>
        <w:rPr>
          <w:w w:val="105"/>
          <w:sz w:val="13"/>
        </w:rPr>
        <w:t>VSC 209 </w:t>
      </w:r>
      <w:r>
        <w:rPr>
          <w:spacing w:val="2"/>
          <w:w w:val="105"/>
          <w:sz w:val="13"/>
        </w:rPr>
        <w:t>(9 </w:t>
      </w:r>
      <w:r>
        <w:rPr>
          <w:w w:val="105"/>
          <w:sz w:val="13"/>
        </w:rPr>
        <w:t>June</w:t>
      </w:r>
      <w:r>
        <w:rPr>
          <w:spacing w:val="20"/>
          <w:w w:val="105"/>
          <w:sz w:val="13"/>
        </w:rPr>
        <w:t> </w:t>
      </w:r>
      <w:r>
        <w:rPr>
          <w:spacing w:val="-2"/>
          <w:w w:val="105"/>
          <w:sz w:val="13"/>
        </w:rPr>
        <w:t>2011).</w:t>
      </w:r>
    </w:p>
    <w:p>
      <w:pPr>
        <w:pStyle w:val="ListParagraph"/>
        <w:numPr>
          <w:ilvl w:val="1"/>
          <w:numId w:val="117"/>
        </w:numPr>
        <w:tabs>
          <w:tab w:pos="2381" w:val="left" w:leader="none"/>
          <w:tab w:pos="2382" w:val="left" w:leader="none"/>
        </w:tabs>
        <w:spacing w:line="240" w:lineRule="auto" w:before="1" w:after="0"/>
        <w:ind w:left="2381" w:right="0" w:hanging="794"/>
        <w:jc w:val="left"/>
        <w:rPr>
          <w:sz w:val="13"/>
        </w:rPr>
      </w:pPr>
      <w:r>
        <w:rPr>
          <w:w w:val="105"/>
          <w:sz w:val="13"/>
        </w:rPr>
        <w:t>Victorian Law Reform Commission, above n 33,</w:t>
      </w:r>
      <w:r>
        <w:rPr>
          <w:spacing w:val="3"/>
          <w:w w:val="105"/>
          <w:sz w:val="13"/>
        </w:rPr>
        <w:t> </w:t>
      </w:r>
      <w:r>
        <w:rPr>
          <w:w w:val="105"/>
          <w:sz w:val="13"/>
        </w:rPr>
        <w:t>33.</w:t>
      </w:r>
    </w:p>
    <w:p>
      <w:pPr>
        <w:pStyle w:val="ListParagraph"/>
        <w:numPr>
          <w:ilvl w:val="1"/>
          <w:numId w:val="117"/>
        </w:numPr>
        <w:tabs>
          <w:tab w:pos="2381" w:val="left" w:leader="none"/>
          <w:tab w:pos="2382" w:val="left" w:leader="none"/>
        </w:tabs>
        <w:spacing w:line="240" w:lineRule="auto" w:before="2" w:after="0"/>
        <w:ind w:left="2381" w:right="828" w:hanging="794"/>
        <w:jc w:val="left"/>
        <w:rPr>
          <w:sz w:val="13"/>
        </w:rPr>
      </w:pPr>
      <w:r>
        <w:rPr>
          <w:w w:val="105"/>
          <w:sz w:val="13"/>
        </w:rPr>
        <w:t>Consultations 4 </w:t>
      </w:r>
      <w:r>
        <w:rPr>
          <w:spacing w:val="2"/>
          <w:w w:val="105"/>
          <w:sz w:val="13"/>
        </w:rPr>
        <w:t>(Legal </w:t>
      </w:r>
      <w:r>
        <w:rPr>
          <w:w w:val="105"/>
          <w:sz w:val="13"/>
        </w:rPr>
        <w:t>practitioners from the Goulburn Valley and Loddon Campaspe Community Legal Centres);    6 </w:t>
      </w:r>
      <w:r>
        <w:rPr>
          <w:spacing w:val="3"/>
          <w:w w:val="105"/>
          <w:sz w:val="13"/>
        </w:rPr>
        <w:t>(Law </w:t>
      </w:r>
      <w:r>
        <w:rPr>
          <w:w w:val="105"/>
          <w:sz w:val="13"/>
        </w:rPr>
        <w:t>Institute of Victoria Succession Law</w:t>
      </w:r>
      <w:r>
        <w:rPr>
          <w:spacing w:val="30"/>
          <w:w w:val="105"/>
          <w:sz w:val="13"/>
        </w:rPr>
        <w:t> </w:t>
      </w:r>
      <w:r>
        <w:rPr>
          <w:w w:val="105"/>
          <w:sz w:val="13"/>
        </w:rPr>
        <w:t>Committee).</w:t>
      </w:r>
    </w:p>
    <w:p>
      <w:pPr>
        <w:pStyle w:val="ListParagraph"/>
        <w:numPr>
          <w:ilvl w:val="1"/>
          <w:numId w:val="117"/>
        </w:numPr>
        <w:tabs>
          <w:tab w:pos="2381" w:val="left" w:leader="none"/>
          <w:tab w:pos="2382" w:val="left" w:leader="none"/>
        </w:tabs>
        <w:spacing w:line="240" w:lineRule="auto" w:before="2" w:after="0"/>
        <w:ind w:left="2381" w:right="0" w:hanging="794"/>
        <w:jc w:val="left"/>
        <w:rPr>
          <w:sz w:val="13"/>
        </w:rPr>
      </w:pPr>
      <w:r>
        <w:rPr>
          <w:w w:val="105"/>
          <w:sz w:val="13"/>
        </w:rPr>
        <w:t>Consultation 6 </w:t>
      </w:r>
      <w:r>
        <w:rPr>
          <w:spacing w:val="3"/>
          <w:w w:val="105"/>
          <w:sz w:val="13"/>
        </w:rPr>
        <w:t>(Law </w:t>
      </w:r>
      <w:r>
        <w:rPr>
          <w:w w:val="105"/>
          <w:sz w:val="13"/>
        </w:rPr>
        <w:t>Institute of Victoria Succession Law</w:t>
      </w:r>
      <w:r>
        <w:rPr>
          <w:spacing w:val="5"/>
          <w:w w:val="105"/>
          <w:sz w:val="13"/>
        </w:rPr>
        <w:t> </w:t>
      </w:r>
      <w:r>
        <w:rPr>
          <w:w w:val="105"/>
          <w:sz w:val="13"/>
        </w:rPr>
        <w:t>Committee).</w:t>
      </w:r>
    </w:p>
    <w:p>
      <w:pPr>
        <w:pStyle w:val="ListParagraph"/>
        <w:numPr>
          <w:ilvl w:val="1"/>
          <w:numId w:val="117"/>
        </w:numPr>
        <w:tabs>
          <w:tab w:pos="2381" w:val="left" w:leader="none"/>
          <w:tab w:pos="2382" w:val="left" w:leader="none"/>
        </w:tabs>
        <w:spacing w:line="240" w:lineRule="auto" w:before="2" w:after="0"/>
        <w:ind w:left="2381" w:right="0" w:hanging="794"/>
        <w:jc w:val="left"/>
        <w:rPr>
          <w:sz w:val="13"/>
        </w:rPr>
      </w:pPr>
      <w:r>
        <w:rPr>
          <w:w w:val="105"/>
          <w:sz w:val="13"/>
        </w:rPr>
        <w:t>Submissions</w:t>
      </w:r>
      <w:r>
        <w:rPr>
          <w:spacing w:val="4"/>
          <w:w w:val="105"/>
          <w:sz w:val="13"/>
        </w:rPr>
        <w:t> </w:t>
      </w:r>
      <w:r>
        <w:rPr>
          <w:w w:val="105"/>
          <w:sz w:val="13"/>
        </w:rPr>
        <w:t>8</w:t>
      </w:r>
      <w:r>
        <w:rPr>
          <w:spacing w:val="5"/>
          <w:w w:val="105"/>
          <w:sz w:val="13"/>
        </w:rPr>
        <w:t> </w:t>
      </w:r>
      <w:r>
        <w:rPr>
          <w:w w:val="105"/>
          <w:sz w:val="13"/>
        </w:rPr>
        <w:t>(Patricia</w:t>
      </w:r>
      <w:r>
        <w:rPr>
          <w:spacing w:val="5"/>
          <w:w w:val="105"/>
          <w:sz w:val="13"/>
        </w:rPr>
        <w:t> </w:t>
      </w:r>
      <w:r>
        <w:rPr>
          <w:w w:val="105"/>
          <w:sz w:val="13"/>
        </w:rPr>
        <w:t>Strachan);</w:t>
      </w:r>
      <w:r>
        <w:rPr>
          <w:spacing w:val="5"/>
          <w:w w:val="105"/>
          <w:sz w:val="13"/>
        </w:rPr>
        <w:t> </w:t>
      </w:r>
      <w:r>
        <w:rPr>
          <w:spacing w:val="-3"/>
          <w:w w:val="105"/>
          <w:sz w:val="13"/>
        </w:rPr>
        <w:t>14</w:t>
      </w:r>
      <w:r>
        <w:rPr>
          <w:spacing w:val="4"/>
          <w:w w:val="105"/>
          <w:sz w:val="13"/>
        </w:rPr>
        <w:t> </w:t>
      </w:r>
      <w:r>
        <w:rPr>
          <w:w w:val="105"/>
          <w:sz w:val="13"/>
        </w:rPr>
        <w:t>(Commercial</w:t>
      </w:r>
      <w:r>
        <w:rPr>
          <w:spacing w:val="5"/>
          <w:w w:val="105"/>
          <w:sz w:val="13"/>
        </w:rPr>
        <w:t> </w:t>
      </w:r>
      <w:r>
        <w:rPr>
          <w:w w:val="105"/>
          <w:sz w:val="13"/>
        </w:rPr>
        <w:t>Bar</w:t>
      </w:r>
      <w:r>
        <w:rPr>
          <w:spacing w:val="5"/>
          <w:w w:val="105"/>
          <w:sz w:val="13"/>
        </w:rPr>
        <w:t> </w:t>
      </w:r>
      <w:r>
        <w:rPr>
          <w:spacing w:val="2"/>
          <w:w w:val="105"/>
          <w:sz w:val="13"/>
        </w:rPr>
        <w:t>Association);</w:t>
      </w:r>
      <w:r>
        <w:rPr>
          <w:spacing w:val="5"/>
          <w:w w:val="105"/>
          <w:sz w:val="13"/>
        </w:rPr>
        <w:t> </w:t>
      </w:r>
      <w:r>
        <w:rPr>
          <w:w w:val="105"/>
          <w:sz w:val="13"/>
        </w:rPr>
        <w:t>42a</w:t>
      </w:r>
      <w:r>
        <w:rPr>
          <w:spacing w:val="5"/>
          <w:w w:val="105"/>
          <w:sz w:val="13"/>
        </w:rPr>
        <w:t> </w:t>
      </w:r>
      <w:r>
        <w:rPr>
          <w:w w:val="105"/>
          <w:sz w:val="13"/>
        </w:rPr>
        <w:t>(Arnold</w:t>
      </w:r>
      <w:r>
        <w:rPr>
          <w:spacing w:val="4"/>
          <w:w w:val="105"/>
          <w:sz w:val="13"/>
        </w:rPr>
        <w:t> </w:t>
      </w:r>
      <w:r>
        <w:rPr>
          <w:w w:val="105"/>
          <w:sz w:val="13"/>
        </w:rPr>
        <w:t>Bloch</w:t>
      </w:r>
      <w:r>
        <w:rPr>
          <w:spacing w:val="5"/>
          <w:w w:val="105"/>
          <w:sz w:val="13"/>
        </w:rPr>
        <w:t> </w:t>
      </w:r>
      <w:r>
        <w:rPr>
          <w:w w:val="105"/>
          <w:sz w:val="13"/>
        </w:rPr>
        <w:t>Leibler).</w:t>
      </w:r>
    </w:p>
    <w:p>
      <w:pPr>
        <w:pStyle w:val="ListParagraph"/>
        <w:numPr>
          <w:ilvl w:val="1"/>
          <w:numId w:val="117"/>
        </w:numPr>
        <w:tabs>
          <w:tab w:pos="2381" w:val="left" w:leader="none"/>
          <w:tab w:pos="2382" w:val="left" w:leader="none"/>
        </w:tabs>
        <w:spacing w:line="240" w:lineRule="auto" w:before="1" w:after="0"/>
        <w:ind w:left="2381" w:right="0" w:hanging="794"/>
        <w:jc w:val="left"/>
        <w:rPr>
          <w:sz w:val="13"/>
        </w:rPr>
      </w:pPr>
      <w:r>
        <w:rPr>
          <w:w w:val="105"/>
          <w:sz w:val="13"/>
        </w:rPr>
        <w:t>Submissions 25 </w:t>
      </w:r>
      <w:r>
        <w:rPr>
          <w:spacing w:val="2"/>
          <w:w w:val="105"/>
          <w:sz w:val="13"/>
        </w:rPr>
        <w:t>(Moores </w:t>
      </w:r>
      <w:r>
        <w:rPr>
          <w:w w:val="105"/>
          <w:sz w:val="13"/>
        </w:rPr>
        <w:t>Legal); 26 </w:t>
      </w:r>
      <w:r>
        <w:rPr>
          <w:spacing w:val="2"/>
          <w:w w:val="105"/>
          <w:sz w:val="13"/>
        </w:rPr>
        <w:t>(Rigby </w:t>
      </w:r>
      <w:r>
        <w:rPr>
          <w:w w:val="105"/>
          <w:sz w:val="13"/>
        </w:rPr>
        <w:t>Cooke</w:t>
      </w:r>
      <w:r>
        <w:rPr>
          <w:spacing w:val="28"/>
          <w:w w:val="105"/>
          <w:sz w:val="13"/>
        </w:rPr>
        <w:t> </w:t>
      </w:r>
      <w:r>
        <w:rPr>
          <w:spacing w:val="2"/>
          <w:w w:val="105"/>
          <w:sz w:val="13"/>
        </w:rPr>
        <w:t>Lawyers).</w:t>
      </w:r>
    </w:p>
    <w:p>
      <w:pPr>
        <w:pStyle w:val="ListParagraph"/>
        <w:numPr>
          <w:ilvl w:val="1"/>
          <w:numId w:val="117"/>
        </w:numPr>
        <w:tabs>
          <w:tab w:pos="2381" w:val="left" w:leader="none"/>
          <w:tab w:pos="2382" w:val="left" w:leader="none"/>
        </w:tabs>
        <w:spacing w:line="240" w:lineRule="auto" w:before="1" w:after="0"/>
        <w:ind w:left="2381" w:right="0" w:hanging="794"/>
        <w:jc w:val="left"/>
        <w:rPr>
          <w:sz w:val="13"/>
        </w:rPr>
      </w:pPr>
      <w:r>
        <w:rPr>
          <w:w w:val="105"/>
          <w:sz w:val="13"/>
        </w:rPr>
        <w:t>Submission 26 </w:t>
      </w:r>
      <w:r>
        <w:rPr>
          <w:spacing w:val="2"/>
          <w:w w:val="105"/>
          <w:sz w:val="13"/>
        </w:rPr>
        <w:t>(Rigby </w:t>
      </w:r>
      <w:r>
        <w:rPr>
          <w:w w:val="105"/>
          <w:sz w:val="13"/>
        </w:rPr>
        <w:t>Cooke</w:t>
      </w:r>
      <w:r>
        <w:rPr>
          <w:spacing w:val="16"/>
          <w:w w:val="105"/>
          <w:sz w:val="13"/>
        </w:rPr>
        <w:t> </w:t>
      </w:r>
      <w:r>
        <w:rPr>
          <w:spacing w:val="2"/>
          <w:w w:val="105"/>
          <w:sz w:val="13"/>
        </w:rPr>
        <w:t>Lawyers).</w:t>
      </w:r>
    </w:p>
    <w:p>
      <w:pPr>
        <w:pStyle w:val="ListParagraph"/>
        <w:numPr>
          <w:ilvl w:val="1"/>
          <w:numId w:val="117"/>
        </w:numPr>
        <w:tabs>
          <w:tab w:pos="2381" w:val="left" w:leader="none"/>
          <w:tab w:pos="2382" w:val="left" w:leader="none"/>
        </w:tabs>
        <w:spacing w:line="240" w:lineRule="auto" w:before="2" w:after="0"/>
        <w:ind w:left="2381" w:right="0" w:hanging="794"/>
        <w:jc w:val="left"/>
        <w:rPr>
          <w:sz w:val="13"/>
        </w:rPr>
      </w:pPr>
      <w:r>
        <w:rPr>
          <w:w w:val="105"/>
          <w:sz w:val="13"/>
        </w:rPr>
        <w:t>Submission 30a </w:t>
      </w:r>
      <w:r>
        <w:rPr>
          <w:spacing w:val="3"/>
          <w:w w:val="105"/>
          <w:sz w:val="13"/>
        </w:rPr>
        <w:t>(Law </w:t>
      </w:r>
      <w:r>
        <w:rPr>
          <w:w w:val="105"/>
          <w:sz w:val="13"/>
        </w:rPr>
        <w:t>Institute of</w:t>
      </w:r>
      <w:r>
        <w:rPr>
          <w:spacing w:val="19"/>
          <w:w w:val="105"/>
          <w:sz w:val="13"/>
        </w:rPr>
        <w:t> </w:t>
      </w:r>
      <w:r>
        <w:rPr>
          <w:spacing w:val="2"/>
          <w:w w:val="105"/>
          <w:sz w:val="13"/>
        </w:rPr>
        <w:t>Victoria).</w:t>
      </w:r>
    </w:p>
    <w:p>
      <w:pPr>
        <w:pStyle w:val="ListParagraph"/>
        <w:numPr>
          <w:ilvl w:val="1"/>
          <w:numId w:val="117"/>
        </w:numPr>
        <w:tabs>
          <w:tab w:pos="2381" w:val="left" w:leader="none"/>
          <w:tab w:pos="2382" w:val="left" w:leader="none"/>
        </w:tabs>
        <w:spacing w:line="240" w:lineRule="auto" w:before="1" w:after="0"/>
        <w:ind w:left="2381" w:right="0" w:hanging="794"/>
        <w:jc w:val="left"/>
        <w:rPr>
          <w:sz w:val="13"/>
        </w:rPr>
      </w:pPr>
      <w:r>
        <w:rPr>
          <w:sz w:val="13"/>
        </w:rPr>
        <w:t>Submission 32 </w:t>
      </w:r>
      <w:r>
        <w:rPr>
          <w:spacing w:val="2"/>
          <w:sz w:val="13"/>
        </w:rPr>
        <w:t>(The </w:t>
      </w:r>
      <w:r>
        <w:rPr>
          <w:sz w:val="13"/>
        </w:rPr>
        <w:t>Institute of Legal</w:t>
      </w:r>
      <w:r>
        <w:rPr>
          <w:spacing w:val="10"/>
          <w:sz w:val="13"/>
        </w:rPr>
        <w:t> </w:t>
      </w:r>
      <w:r>
        <w:rPr>
          <w:sz w:val="13"/>
        </w:rPr>
        <w:t>Executives).</w:t>
      </w:r>
    </w:p>
    <w:p>
      <w:pPr>
        <w:pStyle w:val="ListParagraph"/>
        <w:numPr>
          <w:ilvl w:val="1"/>
          <w:numId w:val="117"/>
        </w:numPr>
        <w:tabs>
          <w:tab w:pos="2381" w:val="left" w:leader="none"/>
          <w:tab w:pos="2382" w:val="left" w:leader="none"/>
        </w:tabs>
        <w:spacing w:line="240" w:lineRule="auto" w:before="1" w:after="0"/>
        <w:ind w:left="2381" w:right="0" w:hanging="794"/>
        <w:jc w:val="left"/>
        <w:rPr>
          <w:sz w:val="13"/>
        </w:rPr>
      </w:pPr>
      <w:r>
        <w:rPr>
          <w:w w:val="105"/>
          <w:sz w:val="13"/>
        </w:rPr>
        <w:t>Submission 39 (Carolyn Sparke</w:t>
      </w:r>
      <w:r>
        <w:rPr>
          <w:spacing w:val="19"/>
          <w:w w:val="105"/>
          <w:sz w:val="13"/>
        </w:rPr>
        <w:t> </w:t>
      </w:r>
      <w:r>
        <w:rPr>
          <w:w w:val="105"/>
          <w:sz w:val="13"/>
        </w:rPr>
        <w:t>SC).</w:t>
      </w:r>
    </w:p>
    <w:p>
      <w:pPr>
        <w:pStyle w:val="ListParagraph"/>
        <w:numPr>
          <w:ilvl w:val="1"/>
          <w:numId w:val="117"/>
        </w:numPr>
        <w:tabs>
          <w:tab w:pos="2381" w:val="left" w:leader="none"/>
          <w:tab w:pos="2382" w:val="left" w:leader="none"/>
        </w:tabs>
        <w:spacing w:line="240" w:lineRule="auto" w:before="2" w:after="0"/>
        <w:ind w:left="2381" w:right="0" w:hanging="794"/>
        <w:jc w:val="left"/>
        <w:rPr>
          <w:sz w:val="13"/>
        </w:rPr>
      </w:pPr>
      <w:r>
        <w:rPr>
          <w:w w:val="105"/>
          <w:sz w:val="13"/>
        </w:rPr>
        <w:t>Costs</w:t>
      </w:r>
      <w:r>
        <w:rPr>
          <w:spacing w:val="3"/>
          <w:w w:val="105"/>
          <w:sz w:val="13"/>
        </w:rPr>
        <w:t> </w:t>
      </w:r>
      <w:r>
        <w:rPr>
          <w:w w:val="105"/>
          <w:sz w:val="13"/>
        </w:rPr>
        <w:t>disclosure</w:t>
      </w:r>
      <w:r>
        <w:rPr>
          <w:spacing w:val="4"/>
          <w:w w:val="105"/>
          <w:sz w:val="13"/>
        </w:rPr>
        <w:t> </w:t>
      </w:r>
      <w:r>
        <w:rPr>
          <w:w w:val="105"/>
          <w:sz w:val="13"/>
        </w:rPr>
        <w:t>is</w:t>
      </w:r>
      <w:r>
        <w:rPr>
          <w:spacing w:val="4"/>
          <w:w w:val="105"/>
          <w:sz w:val="13"/>
        </w:rPr>
        <w:t> </w:t>
      </w:r>
      <w:r>
        <w:rPr>
          <w:w w:val="105"/>
          <w:sz w:val="13"/>
        </w:rPr>
        <w:t>discussed</w:t>
      </w:r>
      <w:r>
        <w:rPr>
          <w:spacing w:val="4"/>
          <w:w w:val="105"/>
          <w:sz w:val="13"/>
        </w:rPr>
        <w:t> </w:t>
      </w:r>
      <w:r>
        <w:rPr>
          <w:w w:val="105"/>
          <w:sz w:val="13"/>
        </w:rPr>
        <w:t>at</w:t>
      </w:r>
      <w:r>
        <w:rPr>
          <w:spacing w:val="4"/>
          <w:w w:val="105"/>
          <w:sz w:val="13"/>
        </w:rPr>
        <w:t> </w:t>
      </w:r>
      <w:r>
        <w:rPr>
          <w:w w:val="105"/>
          <w:sz w:val="13"/>
        </w:rPr>
        <w:t>[7.95]–[7.103].</w:t>
      </w:r>
      <w:r>
        <w:rPr>
          <w:spacing w:val="4"/>
          <w:w w:val="105"/>
          <w:sz w:val="13"/>
        </w:rPr>
        <w:t> </w:t>
      </w:r>
      <w:r>
        <w:rPr>
          <w:w w:val="105"/>
          <w:sz w:val="13"/>
        </w:rPr>
        <w:t>The</w:t>
      </w:r>
      <w:r>
        <w:rPr>
          <w:spacing w:val="4"/>
          <w:w w:val="105"/>
          <w:sz w:val="13"/>
        </w:rPr>
        <w:t> </w:t>
      </w:r>
      <w:r>
        <w:rPr>
          <w:w w:val="105"/>
          <w:sz w:val="13"/>
        </w:rPr>
        <w:t>need</w:t>
      </w:r>
      <w:r>
        <w:rPr>
          <w:spacing w:val="4"/>
          <w:w w:val="105"/>
          <w:sz w:val="13"/>
        </w:rPr>
        <w:t> </w:t>
      </w:r>
      <w:r>
        <w:rPr>
          <w:w w:val="105"/>
          <w:sz w:val="13"/>
        </w:rPr>
        <w:t>for</w:t>
      </w:r>
      <w:r>
        <w:rPr>
          <w:spacing w:val="4"/>
          <w:w w:val="105"/>
          <w:sz w:val="13"/>
        </w:rPr>
        <w:t> </w:t>
      </w:r>
      <w:r>
        <w:rPr>
          <w:w w:val="105"/>
          <w:sz w:val="13"/>
        </w:rPr>
        <w:t>new</w:t>
      </w:r>
      <w:r>
        <w:rPr>
          <w:spacing w:val="4"/>
          <w:w w:val="105"/>
          <w:sz w:val="13"/>
        </w:rPr>
        <w:t> </w:t>
      </w:r>
      <w:r>
        <w:rPr>
          <w:w w:val="105"/>
          <w:sz w:val="13"/>
        </w:rPr>
        <w:t>professional</w:t>
      </w:r>
      <w:r>
        <w:rPr>
          <w:spacing w:val="4"/>
          <w:w w:val="105"/>
          <w:sz w:val="13"/>
        </w:rPr>
        <w:t> </w:t>
      </w:r>
      <w:r>
        <w:rPr>
          <w:w w:val="105"/>
          <w:sz w:val="13"/>
        </w:rPr>
        <w:t>rules</w:t>
      </w:r>
      <w:r>
        <w:rPr>
          <w:spacing w:val="4"/>
          <w:w w:val="105"/>
          <w:sz w:val="13"/>
        </w:rPr>
        <w:t> </w:t>
      </w:r>
      <w:r>
        <w:rPr>
          <w:w w:val="105"/>
          <w:sz w:val="13"/>
        </w:rPr>
        <w:t>and</w:t>
      </w:r>
      <w:r>
        <w:rPr>
          <w:spacing w:val="4"/>
          <w:w w:val="105"/>
          <w:sz w:val="13"/>
        </w:rPr>
        <w:t> </w:t>
      </w:r>
      <w:r>
        <w:rPr>
          <w:w w:val="105"/>
          <w:sz w:val="13"/>
        </w:rPr>
        <w:t>guidelines</w:t>
      </w:r>
      <w:r>
        <w:rPr>
          <w:spacing w:val="4"/>
          <w:w w:val="105"/>
          <w:sz w:val="13"/>
        </w:rPr>
        <w:t> </w:t>
      </w:r>
      <w:r>
        <w:rPr>
          <w:w w:val="105"/>
          <w:sz w:val="13"/>
        </w:rPr>
        <w:t>is</w:t>
      </w:r>
      <w:r>
        <w:rPr>
          <w:spacing w:val="4"/>
          <w:w w:val="105"/>
          <w:sz w:val="13"/>
        </w:rPr>
        <w:t> </w:t>
      </w:r>
      <w:r>
        <w:rPr>
          <w:w w:val="105"/>
          <w:sz w:val="13"/>
        </w:rPr>
        <w:t>discussed</w:t>
      </w:r>
      <w:r>
        <w:rPr>
          <w:spacing w:val="4"/>
          <w:w w:val="105"/>
          <w:sz w:val="13"/>
        </w:rPr>
        <w:t> </w:t>
      </w:r>
      <w:r>
        <w:rPr>
          <w:w w:val="105"/>
          <w:sz w:val="13"/>
        </w:rPr>
        <w:t>at</w:t>
      </w:r>
      <w:r>
        <w:rPr>
          <w:spacing w:val="4"/>
          <w:w w:val="105"/>
          <w:sz w:val="13"/>
        </w:rPr>
        <w:t> </w:t>
      </w:r>
      <w:r>
        <w:rPr>
          <w:w w:val="105"/>
          <w:sz w:val="13"/>
        </w:rPr>
        <w:t>[7.189]–]7.192]</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spacing w:before="6"/>
        <w:rPr>
          <w:sz w:val="27"/>
        </w:rPr>
      </w:pPr>
    </w:p>
    <w:p>
      <w:pPr>
        <w:spacing w:before="0"/>
        <w:ind w:left="1257" w:right="0" w:firstLine="0"/>
        <w:jc w:val="left"/>
        <w:rPr>
          <w:b/>
          <w:sz w:val="24"/>
        </w:rPr>
      </w:pPr>
      <w:r>
        <w:rPr>
          <w:b/>
          <w:color w:val="EC5A4F"/>
          <w:w w:val="110"/>
          <w:sz w:val="24"/>
        </w:rPr>
        <w:t>151</w:t>
      </w:r>
    </w:p>
    <w:p>
      <w:pPr>
        <w:spacing w:after="0"/>
        <w:jc w:val="left"/>
        <w:rPr>
          <w:sz w:val="24"/>
        </w:rPr>
        <w:sectPr>
          <w:type w:val="continuous"/>
          <w:pgSz w:w="11910" w:h="16840"/>
          <w:pgMar w:top="920" w:bottom="280" w:left="0" w:right="0"/>
          <w:cols w:num="2" w:equalWidth="0">
            <w:col w:w="9625" w:space="40"/>
            <w:col w:w="2245"/>
          </w:cols>
        </w:sectPr>
      </w:pPr>
    </w:p>
    <w:p>
      <w:pPr>
        <w:pStyle w:val="BodyText"/>
        <w:spacing w:before="9"/>
        <w:rPr>
          <w:b/>
          <w:sz w:val="22"/>
        </w:rPr>
      </w:pPr>
    </w:p>
    <w:p>
      <w:pPr>
        <w:pStyle w:val="Heading6"/>
        <w:spacing w:before="100"/>
      </w:pPr>
      <w:r>
        <w:rPr>
          <w:color w:val="6D6E71"/>
          <w:w w:val="115"/>
        </w:rPr>
        <w:t>A policy of declining to act as executor</w:t>
      </w:r>
    </w:p>
    <w:p>
      <w:pPr>
        <w:pStyle w:val="ListParagraph"/>
        <w:numPr>
          <w:ilvl w:val="1"/>
          <w:numId w:val="22"/>
        </w:numPr>
        <w:tabs>
          <w:tab w:pos="2380" w:val="left" w:leader="none"/>
          <w:tab w:pos="2381" w:val="left" w:leader="none"/>
        </w:tabs>
        <w:spacing w:line="240" w:lineRule="auto" w:before="151" w:after="0"/>
        <w:ind w:left="2381" w:right="0" w:hanging="794"/>
        <w:jc w:val="left"/>
        <w:rPr>
          <w:sz w:val="21"/>
        </w:rPr>
      </w:pPr>
      <w:r>
        <w:rPr>
          <w:sz w:val="21"/>
        </w:rPr>
        <w:t>In </w:t>
      </w:r>
      <w:r>
        <w:rPr>
          <w:i/>
          <w:spacing w:val="-3"/>
          <w:sz w:val="21"/>
        </w:rPr>
        <w:t>McClung</w:t>
      </w:r>
      <w:r>
        <w:rPr>
          <w:spacing w:val="-3"/>
          <w:sz w:val="21"/>
        </w:rPr>
        <w:t>, </w:t>
      </w:r>
      <w:r>
        <w:rPr>
          <w:sz w:val="21"/>
        </w:rPr>
        <w:t>Master </w:t>
      </w:r>
      <w:r>
        <w:rPr>
          <w:spacing w:val="-3"/>
          <w:sz w:val="21"/>
        </w:rPr>
        <w:t>Evans</w:t>
      </w:r>
      <w:r>
        <w:rPr>
          <w:spacing w:val="37"/>
          <w:sz w:val="21"/>
        </w:rPr>
        <w:t> </w:t>
      </w:r>
      <w:r>
        <w:rPr>
          <w:sz w:val="21"/>
        </w:rPr>
        <w:t>said:</w:t>
      </w:r>
    </w:p>
    <w:p>
      <w:pPr>
        <w:spacing w:line="254" w:lineRule="auto" w:before="133"/>
        <w:ind w:left="2721" w:right="1688" w:firstLine="0"/>
        <w:jc w:val="left"/>
        <w:rPr>
          <w:sz w:val="11"/>
        </w:rPr>
      </w:pPr>
      <w:r>
        <w:rPr>
          <w:w w:val="105"/>
          <w:sz w:val="20"/>
        </w:rPr>
        <w:t>Given the very real </w:t>
      </w:r>
      <w:r>
        <w:rPr>
          <w:spacing w:val="-3"/>
          <w:w w:val="105"/>
          <w:sz w:val="20"/>
        </w:rPr>
        <w:t>potential </w:t>
      </w:r>
      <w:r>
        <w:rPr>
          <w:w w:val="105"/>
          <w:sz w:val="20"/>
        </w:rPr>
        <w:t>for a conflict arising between the interests of the </w:t>
      </w:r>
      <w:r>
        <w:rPr>
          <w:spacing w:val="-3"/>
          <w:w w:val="105"/>
          <w:sz w:val="20"/>
        </w:rPr>
        <w:t>client </w:t>
      </w:r>
      <w:r>
        <w:rPr>
          <w:w w:val="105"/>
          <w:sz w:val="20"/>
        </w:rPr>
        <w:t>and the interests of the solicitor on such an occasion, it would be </w:t>
      </w:r>
      <w:r>
        <w:rPr>
          <w:spacing w:val="-3"/>
          <w:w w:val="105"/>
          <w:sz w:val="20"/>
        </w:rPr>
        <w:t>preferable </w:t>
      </w:r>
      <w:r>
        <w:rPr>
          <w:w w:val="105"/>
          <w:sz w:val="20"/>
        </w:rPr>
        <w:t>that solicitors declined to act as executors.</w:t>
      </w:r>
      <w:r>
        <w:rPr>
          <w:w w:val="105"/>
          <w:position w:val="7"/>
          <w:sz w:val="11"/>
        </w:rPr>
        <w:t>83</w:t>
      </w:r>
    </w:p>
    <w:p>
      <w:pPr>
        <w:pStyle w:val="ListParagraph"/>
        <w:numPr>
          <w:ilvl w:val="1"/>
          <w:numId w:val="22"/>
        </w:numPr>
        <w:tabs>
          <w:tab w:pos="2380" w:val="left" w:leader="none"/>
          <w:tab w:pos="2381" w:val="left" w:leader="none"/>
        </w:tabs>
        <w:spacing w:line="242" w:lineRule="auto" w:before="114" w:after="0"/>
        <w:ind w:left="2381" w:right="1734" w:hanging="794"/>
        <w:jc w:val="left"/>
        <w:rPr>
          <w:sz w:val="21"/>
        </w:rPr>
      </w:pPr>
      <w:r>
        <w:rPr>
          <w:spacing w:val="-3"/>
          <w:sz w:val="21"/>
        </w:rPr>
        <w:t>Many </w:t>
      </w:r>
      <w:r>
        <w:rPr>
          <w:sz w:val="21"/>
        </w:rPr>
        <w:t>practitioners told the </w:t>
      </w:r>
      <w:r>
        <w:rPr>
          <w:spacing w:val="-3"/>
          <w:sz w:val="21"/>
        </w:rPr>
        <w:t>Commission during consultations that </w:t>
      </w:r>
      <w:r>
        <w:rPr>
          <w:sz w:val="21"/>
        </w:rPr>
        <w:t>the policy of their firm was </w:t>
      </w:r>
      <w:r>
        <w:rPr>
          <w:spacing w:val="-2"/>
          <w:sz w:val="21"/>
        </w:rPr>
        <w:t>not </w:t>
      </w:r>
      <w:r>
        <w:rPr>
          <w:spacing w:val="-3"/>
          <w:sz w:val="21"/>
        </w:rPr>
        <w:t>to </w:t>
      </w:r>
      <w:r>
        <w:rPr>
          <w:sz w:val="21"/>
        </w:rPr>
        <w:t>agree </w:t>
      </w:r>
      <w:r>
        <w:rPr>
          <w:spacing w:val="-3"/>
          <w:sz w:val="21"/>
        </w:rPr>
        <w:t>to </w:t>
      </w:r>
      <w:r>
        <w:rPr>
          <w:sz w:val="21"/>
        </w:rPr>
        <w:t>be </w:t>
      </w:r>
      <w:r>
        <w:rPr>
          <w:spacing w:val="-3"/>
          <w:sz w:val="21"/>
        </w:rPr>
        <w:t>appointed </w:t>
      </w:r>
      <w:r>
        <w:rPr>
          <w:sz w:val="21"/>
        </w:rPr>
        <w:t>as  </w:t>
      </w:r>
      <w:r>
        <w:rPr>
          <w:spacing w:val="-3"/>
          <w:sz w:val="21"/>
        </w:rPr>
        <w:t>executor  </w:t>
      </w:r>
      <w:r>
        <w:rPr>
          <w:sz w:val="21"/>
        </w:rPr>
        <w:t>other  </w:t>
      </w:r>
      <w:r>
        <w:rPr>
          <w:spacing w:val="-3"/>
          <w:sz w:val="21"/>
        </w:rPr>
        <w:t>than  </w:t>
      </w:r>
      <w:r>
        <w:rPr>
          <w:sz w:val="21"/>
        </w:rPr>
        <w:t>in  </w:t>
      </w:r>
      <w:r>
        <w:rPr>
          <w:spacing w:val="-3"/>
          <w:sz w:val="21"/>
        </w:rPr>
        <w:t>exceptional  circumstances </w:t>
      </w:r>
      <w:r>
        <w:rPr>
          <w:sz w:val="21"/>
        </w:rPr>
        <w:t>and </w:t>
      </w:r>
      <w:r>
        <w:rPr>
          <w:spacing w:val="-3"/>
          <w:sz w:val="21"/>
        </w:rPr>
        <w:t>that </w:t>
      </w:r>
      <w:r>
        <w:rPr>
          <w:sz w:val="21"/>
        </w:rPr>
        <w:t>they </w:t>
      </w:r>
      <w:r>
        <w:rPr>
          <w:spacing w:val="-3"/>
          <w:sz w:val="21"/>
        </w:rPr>
        <w:t>consider </w:t>
      </w:r>
      <w:r>
        <w:rPr>
          <w:sz w:val="21"/>
        </w:rPr>
        <w:t>this best practice in view of their fiduciary duties.</w:t>
      </w:r>
      <w:r>
        <w:rPr>
          <w:position w:val="7"/>
          <w:sz w:val="12"/>
        </w:rPr>
        <w:t>84 </w:t>
      </w:r>
      <w:r>
        <w:rPr>
          <w:spacing w:val="-3"/>
          <w:sz w:val="21"/>
        </w:rPr>
        <w:t>Retired legal </w:t>
      </w:r>
      <w:r>
        <w:rPr>
          <w:sz w:val="21"/>
        </w:rPr>
        <w:t>practitioner </w:t>
      </w:r>
      <w:r>
        <w:rPr>
          <w:spacing w:val="-3"/>
          <w:sz w:val="21"/>
        </w:rPr>
        <w:t>Patricia </w:t>
      </w:r>
      <w:r>
        <w:rPr>
          <w:spacing w:val="-4"/>
          <w:sz w:val="21"/>
        </w:rPr>
        <w:t>Strachan </w:t>
      </w:r>
      <w:r>
        <w:rPr>
          <w:sz w:val="21"/>
        </w:rPr>
        <w:t>observed in her</w:t>
      </w:r>
      <w:r>
        <w:rPr>
          <w:spacing w:val="18"/>
          <w:sz w:val="21"/>
        </w:rPr>
        <w:t> </w:t>
      </w:r>
      <w:r>
        <w:rPr>
          <w:sz w:val="21"/>
        </w:rPr>
        <w:t>submission:</w:t>
      </w:r>
    </w:p>
    <w:p>
      <w:pPr>
        <w:spacing w:line="254" w:lineRule="auto" w:before="134"/>
        <w:ind w:left="2721" w:right="1691" w:firstLine="0"/>
        <w:jc w:val="left"/>
        <w:rPr>
          <w:sz w:val="11"/>
        </w:rPr>
      </w:pPr>
      <w:r>
        <w:rPr>
          <w:sz w:val="20"/>
        </w:rPr>
        <w:t>I always told clients point blank that I </w:t>
      </w:r>
      <w:r>
        <w:rPr>
          <w:spacing w:val="-2"/>
          <w:sz w:val="20"/>
        </w:rPr>
        <w:t>preferred  </w:t>
      </w:r>
      <w:r>
        <w:rPr>
          <w:sz w:val="20"/>
        </w:rPr>
        <w:t>not to be appointed an executor and that    I would not allow them to leave me anything in their will. Only once I agreed to accept a legacy</w:t>
      </w:r>
      <w:r>
        <w:rPr>
          <w:spacing w:val="16"/>
          <w:sz w:val="20"/>
        </w:rPr>
        <w:t> </w:t>
      </w:r>
      <w:r>
        <w:rPr>
          <w:sz w:val="20"/>
        </w:rPr>
        <w:t>($1,000)</w:t>
      </w:r>
      <w:r>
        <w:rPr>
          <w:spacing w:val="16"/>
          <w:sz w:val="20"/>
        </w:rPr>
        <w:t> </w:t>
      </w:r>
      <w:r>
        <w:rPr>
          <w:sz w:val="20"/>
        </w:rPr>
        <w:t>on</w:t>
      </w:r>
      <w:r>
        <w:rPr>
          <w:spacing w:val="16"/>
          <w:sz w:val="20"/>
        </w:rPr>
        <w:t> </w:t>
      </w:r>
      <w:r>
        <w:rPr>
          <w:sz w:val="20"/>
        </w:rPr>
        <w:t>the</w:t>
      </w:r>
      <w:r>
        <w:rPr>
          <w:spacing w:val="16"/>
          <w:sz w:val="20"/>
        </w:rPr>
        <w:t> </w:t>
      </w:r>
      <w:r>
        <w:rPr>
          <w:spacing w:val="-3"/>
          <w:sz w:val="20"/>
        </w:rPr>
        <w:t>insistence</w:t>
      </w:r>
      <w:r>
        <w:rPr>
          <w:spacing w:val="16"/>
          <w:sz w:val="20"/>
        </w:rPr>
        <w:t> </w:t>
      </w:r>
      <w:r>
        <w:rPr>
          <w:sz w:val="20"/>
        </w:rPr>
        <w:t>of</w:t>
      </w:r>
      <w:r>
        <w:rPr>
          <w:spacing w:val="16"/>
          <w:sz w:val="20"/>
        </w:rPr>
        <w:t> </w:t>
      </w:r>
      <w:r>
        <w:rPr>
          <w:sz w:val="20"/>
        </w:rPr>
        <w:t>a</w:t>
      </w:r>
      <w:r>
        <w:rPr>
          <w:spacing w:val="16"/>
          <w:sz w:val="20"/>
        </w:rPr>
        <w:t> </w:t>
      </w:r>
      <w:r>
        <w:rPr>
          <w:sz w:val="20"/>
        </w:rPr>
        <w:t>client,</w:t>
      </w:r>
      <w:r>
        <w:rPr>
          <w:spacing w:val="17"/>
          <w:sz w:val="20"/>
        </w:rPr>
        <w:t> </w:t>
      </w:r>
      <w:r>
        <w:rPr>
          <w:sz w:val="20"/>
        </w:rPr>
        <w:t>a</w:t>
      </w:r>
      <w:r>
        <w:rPr>
          <w:spacing w:val="16"/>
          <w:sz w:val="20"/>
        </w:rPr>
        <w:t> </w:t>
      </w:r>
      <w:r>
        <w:rPr>
          <w:sz w:val="20"/>
        </w:rPr>
        <w:t>secretary</w:t>
      </w:r>
      <w:r>
        <w:rPr>
          <w:spacing w:val="16"/>
          <w:sz w:val="20"/>
        </w:rPr>
        <w:t> </w:t>
      </w:r>
      <w:r>
        <w:rPr>
          <w:sz w:val="20"/>
        </w:rPr>
        <w:t>of</w:t>
      </w:r>
      <w:r>
        <w:rPr>
          <w:spacing w:val="16"/>
          <w:sz w:val="20"/>
        </w:rPr>
        <w:t> </w:t>
      </w:r>
      <w:r>
        <w:rPr>
          <w:sz w:val="20"/>
        </w:rPr>
        <w:t>another</w:t>
      </w:r>
      <w:r>
        <w:rPr>
          <w:spacing w:val="16"/>
          <w:sz w:val="20"/>
        </w:rPr>
        <w:t> </w:t>
      </w:r>
      <w:r>
        <w:rPr>
          <w:sz w:val="20"/>
        </w:rPr>
        <w:t>solicitor</w:t>
      </w:r>
      <w:r>
        <w:rPr>
          <w:spacing w:val="16"/>
          <w:sz w:val="20"/>
        </w:rPr>
        <w:t> </w:t>
      </w:r>
      <w:r>
        <w:rPr>
          <w:sz w:val="20"/>
        </w:rPr>
        <w:t>at</w:t>
      </w:r>
      <w:r>
        <w:rPr>
          <w:spacing w:val="16"/>
          <w:sz w:val="20"/>
        </w:rPr>
        <w:t> </w:t>
      </w:r>
      <w:r>
        <w:rPr>
          <w:sz w:val="20"/>
        </w:rPr>
        <w:t>the</w:t>
      </w:r>
      <w:r>
        <w:rPr>
          <w:spacing w:val="16"/>
          <w:sz w:val="20"/>
        </w:rPr>
        <w:t> </w:t>
      </w:r>
      <w:r>
        <w:rPr>
          <w:sz w:val="20"/>
        </w:rPr>
        <w:t>firm.</w:t>
      </w:r>
      <w:r>
        <w:rPr>
          <w:position w:val="7"/>
          <w:sz w:val="11"/>
        </w:rPr>
        <w:t>85</w:t>
      </w:r>
    </w:p>
    <w:p>
      <w:pPr>
        <w:pStyle w:val="ListParagraph"/>
        <w:numPr>
          <w:ilvl w:val="1"/>
          <w:numId w:val="22"/>
        </w:numPr>
        <w:tabs>
          <w:tab w:pos="2380" w:val="left" w:leader="none"/>
          <w:tab w:pos="2381" w:val="left" w:leader="none"/>
        </w:tabs>
        <w:spacing w:line="242" w:lineRule="auto" w:before="114" w:after="0"/>
        <w:ind w:left="2381" w:right="1909" w:hanging="794"/>
        <w:jc w:val="left"/>
        <w:rPr>
          <w:sz w:val="21"/>
        </w:rPr>
      </w:pPr>
      <w:r>
        <w:rPr>
          <w:sz w:val="21"/>
        </w:rPr>
        <w:t>It was also </w:t>
      </w:r>
      <w:r>
        <w:rPr>
          <w:spacing w:val="-3"/>
          <w:sz w:val="21"/>
        </w:rPr>
        <w:t>pointed </w:t>
      </w:r>
      <w:r>
        <w:rPr>
          <w:sz w:val="21"/>
        </w:rPr>
        <w:t>out </w:t>
      </w:r>
      <w:r>
        <w:rPr>
          <w:spacing w:val="-3"/>
          <w:sz w:val="21"/>
        </w:rPr>
        <w:t>that  </w:t>
      </w:r>
      <w:r>
        <w:rPr>
          <w:sz w:val="21"/>
        </w:rPr>
        <w:t>there </w:t>
      </w:r>
      <w:r>
        <w:rPr>
          <w:spacing w:val="-3"/>
          <w:sz w:val="21"/>
        </w:rPr>
        <w:t>may</w:t>
      </w:r>
      <w:r>
        <w:rPr>
          <w:spacing w:val="41"/>
          <w:sz w:val="21"/>
        </w:rPr>
        <w:t> </w:t>
      </w:r>
      <w:r>
        <w:rPr>
          <w:sz w:val="21"/>
        </w:rPr>
        <w:t>be </w:t>
      </w:r>
      <w:r>
        <w:rPr>
          <w:spacing w:val="-3"/>
          <w:sz w:val="21"/>
        </w:rPr>
        <w:t>few  </w:t>
      </w:r>
      <w:r>
        <w:rPr>
          <w:sz w:val="21"/>
        </w:rPr>
        <w:t>options </w:t>
      </w:r>
      <w:r>
        <w:rPr>
          <w:spacing w:val="-3"/>
          <w:sz w:val="21"/>
        </w:rPr>
        <w:t>for  referral.</w:t>
      </w:r>
      <w:r>
        <w:rPr>
          <w:spacing w:val="-3"/>
          <w:position w:val="7"/>
          <w:sz w:val="12"/>
        </w:rPr>
        <w:t>86  </w:t>
      </w:r>
      <w:r>
        <w:rPr>
          <w:sz w:val="21"/>
        </w:rPr>
        <w:t>One practitioner said </w:t>
      </w:r>
      <w:r>
        <w:rPr>
          <w:spacing w:val="-3"/>
          <w:sz w:val="21"/>
        </w:rPr>
        <w:t>that </w:t>
      </w:r>
      <w:r>
        <w:rPr>
          <w:sz w:val="21"/>
        </w:rPr>
        <w:t>he would </w:t>
      </w:r>
      <w:r>
        <w:rPr>
          <w:spacing w:val="-3"/>
          <w:sz w:val="21"/>
        </w:rPr>
        <w:t>prefer to take </w:t>
      </w:r>
      <w:r>
        <w:rPr>
          <w:sz w:val="21"/>
        </w:rPr>
        <w:t>on the role of </w:t>
      </w:r>
      <w:r>
        <w:rPr>
          <w:spacing w:val="-3"/>
          <w:sz w:val="21"/>
        </w:rPr>
        <w:t>executor for </w:t>
      </w:r>
      <w:r>
        <w:rPr>
          <w:sz w:val="21"/>
        </w:rPr>
        <w:t>a </w:t>
      </w:r>
      <w:r>
        <w:rPr>
          <w:spacing w:val="-3"/>
          <w:sz w:val="21"/>
        </w:rPr>
        <w:t>client </w:t>
      </w:r>
      <w:r>
        <w:rPr>
          <w:sz w:val="21"/>
        </w:rPr>
        <w:t>who </w:t>
      </w:r>
      <w:r>
        <w:rPr>
          <w:spacing w:val="-2"/>
          <w:sz w:val="21"/>
        </w:rPr>
        <w:t>had </w:t>
      </w:r>
      <w:r>
        <w:rPr>
          <w:sz w:val="21"/>
        </w:rPr>
        <w:t>no</w:t>
      </w:r>
      <w:r>
        <w:rPr>
          <w:spacing w:val="35"/>
          <w:sz w:val="21"/>
        </w:rPr>
        <w:t> </w:t>
      </w:r>
      <w:r>
        <w:rPr>
          <w:sz w:val="21"/>
        </w:rPr>
        <w:t>other</w:t>
      </w:r>
    </w:p>
    <w:p>
      <w:pPr>
        <w:pStyle w:val="BodyText"/>
        <w:spacing w:line="242" w:lineRule="auto" w:before="2"/>
        <w:ind w:left="2381" w:right="2010"/>
      </w:pPr>
      <w:r>
        <w:rPr>
          <w:spacing w:val="-3"/>
        </w:rPr>
        <w:t>friends </w:t>
      </w:r>
      <w:r>
        <w:rPr/>
        <w:t>or </w:t>
      </w:r>
      <w:r>
        <w:rPr>
          <w:spacing w:val="-3"/>
        </w:rPr>
        <w:t>family to </w:t>
      </w:r>
      <w:r>
        <w:rPr>
          <w:spacing w:val="-4"/>
        </w:rPr>
        <w:t>nominate,  </w:t>
      </w:r>
      <w:r>
        <w:rPr>
          <w:spacing w:val="-3"/>
        </w:rPr>
        <w:t>rather than refer </w:t>
      </w:r>
      <w:r>
        <w:rPr/>
        <w:t>the </w:t>
      </w:r>
      <w:r>
        <w:rPr>
          <w:spacing w:val="-3"/>
        </w:rPr>
        <w:t>client to </w:t>
      </w:r>
      <w:r>
        <w:rPr/>
        <w:t>an </w:t>
      </w:r>
      <w:r>
        <w:rPr>
          <w:spacing w:val="-3"/>
        </w:rPr>
        <w:t>institutional executor such     </w:t>
      </w:r>
      <w:r>
        <w:rPr/>
        <w:t>as </w:t>
      </w:r>
      <w:r>
        <w:rPr>
          <w:spacing w:val="-3"/>
        </w:rPr>
        <w:t>State Trustees.</w:t>
      </w:r>
      <w:r>
        <w:rPr>
          <w:spacing w:val="-3"/>
          <w:position w:val="7"/>
          <w:sz w:val="12"/>
        </w:rPr>
        <w:t>87 </w:t>
      </w:r>
      <w:r>
        <w:rPr/>
        <w:t>Another observed </w:t>
      </w:r>
      <w:r>
        <w:rPr>
          <w:spacing w:val="-3"/>
        </w:rPr>
        <w:t>that </w:t>
      </w:r>
      <w:r>
        <w:rPr/>
        <w:t>a legal practitioner would be</w:t>
      </w:r>
      <w:r>
        <w:rPr>
          <w:spacing w:val="5"/>
        </w:rPr>
        <w:t> </w:t>
      </w:r>
      <w:r>
        <w:rPr>
          <w:spacing w:val="-4"/>
        </w:rPr>
        <w:t>likely </w:t>
      </w:r>
      <w:r>
        <w:rPr>
          <w:spacing w:val="-3"/>
        </w:rPr>
        <w:t>to charge</w:t>
      </w:r>
    </w:p>
    <w:p>
      <w:pPr>
        <w:pStyle w:val="BodyText"/>
        <w:spacing w:line="242" w:lineRule="auto" w:before="3"/>
        <w:ind w:left="2381" w:right="1931"/>
        <w:jc w:val="both"/>
      </w:pPr>
      <w:r>
        <w:rPr>
          <w:w w:val="105"/>
        </w:rPr>
        <w:t>a </w:t>
      </w:r>
      <w:r>
        <w:rPr>
          <w:spacing w:val="-3"/>
          <w:w w:val="105"/>
        </w:rPr>
        <w:t>longstanding client </w:t>
      </w:r>
      <w:r>
        <w:rPr>
          <w:w w:val="105"/>
        </w:rPr>
        <w:t>a </w:t>
      </w:r>
      <w:r>
        <w:rPr>
          <w:spacing w:val="-3"/>
          <w:w w:val="105"/>
        </w:rPr>
        <w:t>commission that </w:t>
      </w:r>
      <w:r>
        <w:rPr>
          <w:w w:val="105"/>
        </w:rPr>
        <w:t>is </w:t>
      </w:r>
      <w:r>
        <w:rPr>
          <w:spacing w:val="-3"/>
          <w:w w:val="105"/>
        </w:rPr>
        <w:t>far </w:t>
      </w:r>
      <w:r>
        <w:rPr>
          <w:w w:val="105"/>
        </w:rPr>
        <w:t>less </w:t>
      </w:r>
      <w:r>
        <w:rPr>
          <w:spacing w:val="-3"/>
          <w:w w:val="105"/>
        </w:rPr>
        <w:t>than </w:t>
      </w:r>
      <w:r>
        <w:rPr>
          <w:w w:val="105"/>
        </w:rPr>
        <w:t>the </w:t>
      </w:r>
      <w:r>
        <w:rPr>
          <w:spacing w:val="-3"/>
          <w:w w:val="105"/>
        </w:rPr>
        <w:t>amount </w:t>
      </w:r>
      <w:r>
        <w:rPr>
          <w:w w:val="105"/>
        </w:rPr>
        <w:t>a trustee </w:t>
      </w:r>
      <w:r>
        <w:rPr>
          <w:spacing w:val="-3"/>
          <w:w w:val="105"/>
        </w:rPr>
        <w:t>company </w:t>
      </w:r>
      <w:r>
        <w:rPr>
          <w:w w:val="105"/>
        </w:rPr>
        <w:t>would </w:t>
      </w:r>
      <w:r>
        <w:rPr>
          <w:spacing w:val="-3"/>
          <w:w w:val="105"/>
        </w:rPr>
        <w:t>charge.</w:t>
      </w:r>
      <w:r>
        <w:rPr>
          <w:spacing w:val="-3"/>
          <w:w w:val="105"/>
          <w:position w:val="7"/>
          <w:sz w:val="12"/>
        </w:rPr>
        <w:t>88 </w:t>
      </w:r>
      <w:r>
        <w:rPr>
          <w:w w:val="105"/>
        </w:rPr>
        <w:t>Other </w:t>
      </w:r>
      <w:r>
        <w:rPr>
          <w:spacing w:val="-3"/>
          <w:w w:val="105"/>
        </w:rPr>
        <w:t>reasons </w:t>
      </w:r>
      <w:r>
        <w:rPr>
          <w:w w:val="105"/>
        </w:rPr>
        <w:t>put forward </w:t>
      </w:r>
      <w:r>
        <w:rPr>
          <w:spacing w:val="-3"/>
          <w:w w:val="105"/>
        </w:rPr>
        <w:t>for </w:t>
      </w:r>
      <w:r>
        <w:rPr>
          <w:spacing w:val="-2"/>
          <w:w w:val="105"/>
        </w:rPr>
        <w:t>not </w:t>
      </w:r>
      <w:r>
        <w:rPr>
          <w:spacing w:val="-3"/>
          <w:w w:val="105"/>
        </w:rPr>
        <w:t>impeding </w:t>
      </w:r>
      <w:r>
        <w:rPr>
          <w:w w:val="105"/>
        </w:rPr>
        <w:t>the </w:t>
      </w:r>
      <w:r>
        <w:rPr>
          <w:spacing w:val="-3"/>
          <w:w w:val="105"/>
        </w:rPr>
        <w:t>appointment </w:t>
      </w:r>
      <w:r>
        <w:rPr>
          <w:w w:val="105"/>
        </w:rPr>
        <w:t>of legal practitioners as executors included:</w:t>
      </w:r>
    </w:p>
    <w:p>
      <w:pPr>
        <w:pStyle w:val="ListParagraph"/>
        <w:numPr>
          <w:ilvl w:val="2"/>
          <w:numId w:val="22"/>
        </w:numPr>
        <w:tabs>
          <w:tab w:pos="2721" w:val="left" w:leader="none"/>
          <w:tab w:pos="2722" w:val="left" w:leader="none"/>
        </w:tabs>
        <w:spacing w:line="240" w:lineRule="auto" w:before="123" w:after="0"/>
        <w:ind w:left="2721" w:right="0" w:hanging="340"/>
        <w:jc w:val="left"/>
        <w:rPr>
          <w:sz w:val="12"/>
        </w:rPr>
      </w:pPr>
      <w:r>
        <w:rPr>
          <w:sz w:val="21"/>
        </w:rPr>
        <w:t>they</w:t>
      </w:r>
      <w:r>
        <w:rPr>
          <w:spacing w:val="11"/>
          <w:sz w:val="21"/>
        </w:rPr>
        <w:t> </w:t>
      </w:r>
      <w:r>
        <w:rPr>
          <w:spacing w:val="-3"/>
          <w:sz w:val="21"/>
        </w:rPr>
        <w:t>are</w:t>
      </w:r>
      <w:r>
        <w:rPr>
          <w:spacing w:val="12"/>
          <w:sz w:val="21"/>
        </w:rPr>
        <w:t> </w:t>
      </w:r>
      <w:r>
        <w:rPr>
          <w:sz w:val="21"/>
        </w:rPr>
        <w:t>more</w:t>
      </w:r>
      <w:r>
        <w:rPr>
          <w:spacing w:val="11"/>
          <w:sz w:val="21"/>
        </w:rPr>
        <w:t> </w:t>
      </w:r>
      <w:r>
        <w:rPr>
          <w:spacing w:val="-3"/>
          <w:sz w:val="21"/>
        </w:rPr>
        <w:t>highly</w:t>
      </w:r>
      <w:r>
        <w:rPr>
          <w:spacing w:val="12"/>
          <w:sz w:val="21"/>
        </w:rPr>
        <w:t> </w:t>
      </w:r>
      <w:r>
        <w:rPr>
          <w:spacing w:val="-3"/>
          <w:sz w:val="21"/>
        </w:rPr>
        <w:t>regulated</w:t>
      </w:r>
      <w:r>
        <w:rPr>
          <w:spacing w:val="11"/>
          <w:sz w:val="21"/>
        </w:rPr>
        <w:t> </w:t>
      </w:r>
      <w:r>
        <w:rPr>
          <w:spacing w:val="-3"/>
          <w:sz w:val="21"/>
        </w:rPr>
        <w:t>than</w:t>
      </w:r>
      <w:r>
        <w:rPr>
          <w:spacing w:val="11"/>
          <w:sz w:val="21"/>
        </w:rPr>
        <w:t> </w:t>
      </w:r>
      <w:r>
        <w:rPr>
          <w:spacing w:val="-3"/>
          <w:sz w:val="21"/>
        </w:rPr>
        <w:t>accountants</w:t>
      </w:r>
      <w:r>
        <w:rPr>
          <w:spacing w:val="12"/>
          <w:sz w:val="21"/>
        </w:rPr>
        <w:t> </w:t>
      </w:r>
      <w:r>
        <w:rPr>
          <w:sz w:val="21"/>
        </w:rPr>
        <w:t>and</w:t>
      </w:r>
      <w:r>
        <w:rPr>
          <w:spacing w:val="11"/>
          <w:sz w:val="21"/>
        </w:rPr>
        <w:t> </w:t>
      </w:r>
      <w:r>
        <w:rPr>
          <w:sz w:val="21"/>
        </w:rPr>
        <w:t>other</w:t>
      </w:r>
      <w:r>
        <w:rPr>
          <w:spacing w:val="12"/>
          <w:sz w:val="21"/>
        </w:rPr>
        <w:t> </w:t>
      </w:r>
      <w:r>
        <w:rPr>
          <w:spacing w:val="-3"/>
          <w:sz w:val="21"/>
        </w:rPr>
        <w:t>professionals</w:t>
      </w:r>
      <w:r>
        <w:rPr>
          <w:spacing w:val="-25"/>
          <w:sz w:val="21"/>
        </w:rPr>
        <w:t> </w:t>
      </w:r>
      <w:r>
        <w:rPr>
          <w:position w:val="7"/>
          <w:sz w:val="12"/>
        </w:rPr>
        <w:t>89</w:t>
      </w:r>
    </w:p>
    <w:p>
      <w:pPr>
        <w:pStyle w:val="ListParagraph"/>
        <w:numPr>
          <w:ilvl w:val="2"/>
          <w:numId w:val="22"/>
        </w:numPr>
        <w:tabs>
          <w:tab w:pos="2721" w:val="left" w:leader="none"/>
          <w:tab w:pos="2722" w:val="left" w:leader="none"/>
        </w:tabs>
        <w:spacing w:line="242" w:lineRule="auto" w:before="124" w:after="0"/>
        <w:ind w:left="2721" w:right="1901" w:hanging="340"/>
        <w:jc w:val="left"/>
        <w:rPr>
          <w:sz w:val="12"/>
        </w:rPr>
      </w:pPr>
      <w:r>
        <w:rPr>
          <w:sz w:val="21"/>
        </w:rPr>
        <w:t>they </w:t>
      </w:r>
      <w:r>
        <w:rPr>
          <w:spacing w:val="-3"/>
          <w:sz w:val="21"/>
        </w:rPr>
        <w:t>are </w:t>
      </w:r>
      <w:r>
        <w:rPr>
          <w:spacing w:val="-4"/>
          <w:sz w:val="21"/>
        </w:rPr>
        <w:t>likely </w:t>
      </w:r>
      <w:r>
        <w:rPr>
          <w:spacing w:val="-3"/>
          <w:sz w:val="21"/>
        </w:rPr>
        <w:t>to </w:t>
      </w:r>
      <w:r>
        <w:rPr>
          <w:sz w:val="21"/>
        </w:rPr>
        <w:t>be </w:t>
      </w:r>
      <w:r>
        <w:rPr>
          <w:spacing w:val="-3"/>
          <w:sz w:val="21"/>
        </w:rPr>
        <w:t>careful to </w:t>
      </w:r>
      <w:r>
        <w:rPr>
          <w:sz w:val="21"/>
        </w:rPr>
        <w:t>draft a </w:t>
      </w:r>
      <w:r>
        <w:rPr>
          <w:spacing w:val="-3"/>
          <w:sz w:val="21"/>
        </w:rPr>
        <w:t>will that  avoids  </w:t>
      </w:r>
      <w:r>
        <w:rPr>
          <w:spacing w:val="-2"/>
          <w:sz w:val="21"/>
        </w:rPr>
        <w:t>problems </w:t>
      </w:r>
      <w:r>
        <w:rPr>
          <w:sz w:val="21"/>
        </w:rPr>
        <w:t>when </w:t>
      </w:r>
      <w:r>
        <w:rPr>
          <w:spacing w:val="-3"/>
          <w:sz w:val="21"/>
        </w:rPr>
        <w:t>administering </w:t>
      </w:r>
      <w:r>
        <w:rPr>
          <w:sz w:val="21"/>
        </w:rPr>
        <w:t>the estate </w:t>
      </w:r>
      <w:r>
        <w:rPr>
          <w:spacing w:val="-3"/>
          <w:sz w:val="21"/>
        </w:rPr>
        <w:t>later </w:t>
      </w:r>
      <w:r>
        <w:rPr>
          <w:sz w:val="21"/>
        </w:rPr>
        <w:t>on</w:t>
      </w:r>
      <w:r>
        <w:rPr>
          <w:spacing w:val="1"/>
          <w:sz w:val="21"/>
        </w:rPr>
        <w:t> </w:t>
      </w:r>
      <w:r>
        <w:rPr>
          <w:spacing w:val="4"/>
          <w:position w:val="7"/>
          <w:sz w:val="12"/>
        </w:rPr>
        <w:t>90</w:t>
      </w:r>
    </w:p>
    <w:p>
      <w:pPr>
        <w:pStyle w:val="ListParagraph"/>
        <w:numPr>
          <w:ilvl w:val="2"/>
          <w:numId w:val="22"/>
        </w:numPr>
        <w:tabs>
          <w:tab w:pos="2721" w:val="left" w:leader="none"/>
          <w:tab w:pos="2722" w:val="left" w:leader="none"/>
        </w:tabs>
        <w:spacing w:line="240" w:lineRule="auto" w:before="122" w:after="0"/>
        <w:ind w:left="2721" w:right="0" w:hanging="340"/>
        <w:jc w:val="left"/>
        <w:rPr>
          <w:sz w:val="12"/>
        </w:rPr>
      </w:pPr>
      <w:r>
        <w:rPr>
          <w:w w:val="105"/>
          <w:sz w:val="21"/>
        </w:rPr>
        <w:t>will-makers </w:t>
      </w:r>
      <w:r>
        <w:rPr>
          <w:spacing w:val="-3"/>
          <w:w w:val="105"/>
          <w:sz w:val="21"/>
        </w:rPr>
        <w:t>want to </w:t>
      </w:r>
      <w:r>
        <w:rPr>
          <w:w w:val="105"/>
          <w:sz w:val="21"/>
        </w:rPr>
        <w:t>use local lawyers who know their </w:t>
      </w:r>
      <w:r>
        <w:rPr>
          <w:spacing w:val="-3"/>
          <w:w w:val="105"/>
          <w:sz w:val="21"/>
        </w:rPr>
        <w:t>family </w:t>
      </w:r>
      <w:r>
        <w:rPr>
          <w:w w:val="105"/>
          <w:sz w:val="21"/>
        </w:rPr>
        <w:t>and </w:t>
      </w:r>
      <w:r>
        <w:rPr>
          <w:spacing w:val="-3"/>
          <w:w w:val="105"/>
          <w:sz w:val="21"/>
        </w:rPr>
        <w:t>financial </w:t>
      </w:r>
      <w:r>
        <w:rPr>
          <w:w w:val="105"/>
          <w:sz w:val="21"/>
        </w:rPr>
        <w:t>affairs</w:t>
      </w:r>
      <w:r>
        <w:rPr>
          <w:spacing w:val="34"/>
          <w:w w:val="105"/>
          <w:sz w:val="21"/>
        </w:rPr>
        <w:t> </w:t>
      </w:r>
      <w:r>
        <w:rPr>
          <w:spacing w:val="-3"/>
          <w:w w:val="105"/>
          <w:position w:val="7"/>
          <w:sz w:val="12"/>
        </w:rPr>
        <w:t>91</w:t>
      </w:r>
    </w:p>
    <w:p>
      <w:pPr>
        <w:pStyle w:val="ListParagraph"/>
        <w:numPr>
          <w:ilvl w:val="2"/>
          <w:numId w:val="22"/>
        </w:numPr>
        <w:tabs>
          <w:tab w:pos="2721" w:val="left" w:leader="none"/>
          <w:tab w:pos="2722" w:val="left" w:leader="none"/>
        </w:tabs>
        <w:spacing w:line="242" w:lineRule="auto" w:before="123" w:after="0"/>
        <w:ind w:left="2721" w:right="1920" w:hanging="340"/>
        <w:jc w:val="left"/>
        <w:rPr>
          <w:sz w:val="12"/>
        </w:rPr>
      </w:pPr>
      <w:r>
        <w:rPr>
          <w:sz w:val="21"/>
        </w:rPr>
        <w:t>will-makers who </w:t>
      </w:r>
      <w:r>
        <w:rPr>
          <w:spacing w:val="-3"/>
          <w:sz w:val="21"/>
        </w:rPr>
        <w:t>have </w:t>
      </w:r>
      <w:r>
        <w:rPr>
          <w:sz w:val="21"/>
        </w:rPr>
        <w:t>experienced or observed </w:t>
      </w:r>
      <w:r>
        <w:rPr>
          <w:spacing w:val="-3"/>
          <w:sz w:val="21"/>
        </w:rPr>
        <w:t>family provision claims tear families </w:t>
      </w:r>
      <w:r>
        <w:rPr>
          <w:sz w:val="21"/>
        </w:rPr>
        <w:t>apart</w:t>
      </w:r>
      <w:r>
        <w:rPr>
          <w:spacing w:val="10"/>
          <w:sz w:val="21"/>
        </w:rPr>
        <w:t> </w:t>
      </w:r>
      <w:r>
        <w:rPr>
          <w:sz w:val="21"/>
        </w:rPr>
        <w:t>feel</w:t>
      </w:r>
      <w:r>
        <w:rPr>
          <w:spacing w:val="10"/>
          <w:sz w:val="21"/>
        </w:rPr>
        <w:t> </w:t>
      </w:r>
      <w:r>
        <w:rPr>
          <w:sz w:val="21"/>
        </w:rPr>
        <w:t>it</w:t>
      </w:r>
      <w:r>
        <w:rPr>
          <w:spacing w:val="10"/>
          <w:sz w:val="21"/>
        </w:rPr>
        <w:t> </w:t>
      </w:r>
      <w:r>
        <w:rPr>
          <w:sz w:val="21"/>
        </w:rPr>
        <w:t>is</w:t>
      </w:r>
      <w:r>
        <w:rPr>
          <w:spacing w:val="11"/>
          <w:sz w:val="21"/>
        </w:rPr>
        <w:t> </w:t>
      </w:r>
      <w:r>
        <w:rPr>
          <w:spacing w:val="-3"/>
          <w:sz w:val="21"/>
        </w:rPr>
        <w:t>undesirable</w:t>
      </w:r>
      <w:r>
        <w:rPr>
          <w:spacing w:val="10"/>
          <w:sz w:val="21"/>
        </w:rPr>
        <w:t> </w:t>
      </w:r>
      <w:r>
        <w:rPr>
          <w:spacing w:val="-3"/>
          <w:sz w:val="21"/>
        </w:rPr>
        <w:t>to</w:t>
      </w:r>
      <w:r>
        <w:rPr>
          <w:spacing w:val="10"/>
          <w:sz w:val="21"/>
        </w:rPr>
        <w:t> </w:t>
      </w:r>
      <w:r>
        <w:rPr>
          <w:sz w:val="21"/>
        </w:rPr>
        <w:t>appoint</w:t>
      </w:r>
      <w:r>
        <w:rPr>
          <w:spacing w:val="10"/>
          <w:sz w:val="21"/>
        </w:rPr>
        <w:t> </w:t>
      </w:r>
      <w:r>
        <w:rPr>
          <w:sz w:val="21"/>
        </w:rPr>
        <w:t>a</w:t>
      </w:r>
      <w:r>
        <w:rPr>
          <w:spacing w:val="11"/>
          <w:sz w:val="21"/>
        </w:rPr>
        <w:t> </w:t>
      </w:r>
      <w:r>
        <w:rPr>
          <w:spacing w:val="-3"/>
          <w:sz w:val="21"/>
        </w:rPr>
        <w:t>relative</w:t>
      </w:r>
      <w:r>
        <w:rPr>
          <w:spacing w:val="10"/>
          <w:sz w:val="21"/>
        </w:rPr>
        <w:t> </w:t>
      </w:r>
      <w:r>
        <w:rPr>
          <w:sz w:val="21"/>
        </w:rPr>
        <w:t>as</w:t>
      </w:r>
      <w:r>
        <w:rPr>
          <w:spacing w:val="10"/>
          <w:sz w:val="21"/>
        </w:rPr>
        <w:t> </w:t>
      </w:r>
      <w:r>
        <w:rPr>
          <w:spacing w:val="-5"/>
          <w:sz w:val="21"/>
        </w:rPr>
        <w:t>executor.</w:t>
      </w:r>
      <w:r>
        <w:rPr>
          <w:spacing w:val="-5"/>
          <w:position w:val="7"/>
          <w:sz w:val="12"/>
        </w:rPr>
        <w:t>92</w:t>
      </w:r>
    </w:p>
    <w:p>
      <w:pPr>
        <w:pStyle w:val="ListParagraph"/>
        <w:numPr>
          <w:ilvl w:val="1"/>
          <w:numId w:val="22"/>
        </w:numPr>
        <w:tabs>
          <w:tab w:pos="2381" w:val="left" w:leader="none"/>
          <w:tab w:pos="2382" w:val="left" w:leader="none"/>
        </w:tabs>
        <w:spacing w:line="242" w:lineRule="auto" w:before="123" w:after="0"/>
        <w:ind w:left="2381" w:right="1648" w:hanging="794"/>
        <w:jc w:val="left"/>
        <w:rPr>
          <w:sz w:val="21"/>
        </w:rPr>
      </w:pPr>
      <w:r>
        <w:rPr>
          <w:sz w:val="21"/>
        </w:rPr>
        <w:t>In its </w:t>
      </w:r>
      <w:r>
        <w:rPr>
          <w:spacing w:val="-3"/>
          <w:sz w:val="21"/>
        </w:rPr>
        <w:t>submission, </w:t>
      </w:r>
      <w:r>
        <w:rPr>
          <w:sz w:val="21"/>
        </w:rPr>
        <w:t>the Law </w:t>
      </w:r>
      <w:r>
        <w:rPr>
          <w:spacing w:val="-3"/>
          <w:sz w:val="21"/>
        </w:rPr>
        <w:t>Institute </w:t>
      </w:r>
      <w:r>
        <w:rPr>
          <w:sz w:val="21"/>
        </w:rPr>
        <w:t>of Victoria </w:t>
      </w:r>
      <w:r>
        <w:rPr>
          <w:spacing w:val="-3"/>
          <w:sz w:val="21"/>
        </w:rPr>
        <w:t>summarised </w:t>
      </w:r>
      <w:r>
        <w:rPr>
          <w:sz w:val="21"/>
        </w:rPr>
        <w:t>the </w:t>
      </w:r>
      <w:r>
        <w:rPr>
          <w:spacing w:val="-3"/>
          <w:sz w:val="21"/>
        </w:rPr>
        <w:t>circumstances </w:t>
      </w:r>
      <w:r>
        <w:rPr>
          <w:sz w:val="21"/>
        </w:rPr>
        <w:t>in which it is </w:t>
      </w:r>
      <w:r>
        <w:rPr>
          <w:spacing w:val="-3"/>
          <w:sz w:val="21"/>
        </w:rPr>
        <w:t>appropriate </w:t>
      </w:r>
      <w:r>
        <w:rPr>
          <w:sz w:val="21"/>
        </w:rPr>
        <w:t>or </w:t>
      </w:r>
      <w:r>
        <w:rPr>
          <w:spacing w:val="-3"/>
          <w:sz w:val="21"/>
        </w:rPr>
        <w:t>desirable to </w:t>
      </w:r>
      <w:r>
        <w:rPr>
          <w:sz w:val="21"/>
        </w:rPr>
        <w:t>appoint a legal practitioner as</w:t>
      </w:r>
      <w:r>
        <w:rPr>
          <w:spacing w:val="-30"/>
          <w:sz w:val="21"/>
        </w:rPr>
        <w:t> </w:t>
      </w:r>
      <w:r>
        <w:rPr>
          <w:spacing w:val="-3"/>
          <w:sz w:val="21"/>
        </w:rPr>
        <w:t>executor:</w:t>
      </w:r>
    </w:p>
    <w:p>
      <w:pPr>
        <w:pStyle w:val="ListParagraph"/>
        <w:numPr>
          <w:ilvl w:val="0"/>
          <w:numId w:val="118"/>
        </w:numPr>
        <w:tabs>
          <w:tab w:pos="2930" w:val="left" w:leader="none"/>
        </w:tabs>
        <w:spacing w:line="254" w:lineRule="auto" w:before="131" w:after="0"/>
        <w:ind w:left="2929" w:right="1735" w:hanging="208"/>
        <w:jc w:val="left"/>
        <w:rPr>
          <w:sz w:val="20"/>
        </w:rPr>
      </w:pPr>
      <w:r>
        <w:rPr>
          <w:sz w:val="20"/>
        </w:rPr>
        <w:t>Where the legal practitioner has particular knowledge of the </w:t>
      </w:r>
      <w:r>
        <w:rPr>
          <w:spacing w:val="-3"/>
          <w:sz w:val="20"/>
        </w:rPr>
        <w:t>testator’s  family  </w:t>
      </w:r>
      <w:r>
        <w:rPr>
          <w:sz w:val="20"/>
        </w:rPr>
        <w:t>or business affairs gained over (many) years of dealing that would be demonstrably  difficult for a </w:t>
      </w:r>
      <w:r>
        <w:rPr>
          <w:spacing w:val="-3"/>
          <w:sz w:val="20"/>
        </w:rPr>
        <w:t>third </w:t>
      </w:r>
      <w:r>
        <w:rPr>
          <w:sz w:val="20"/>
        </w:rPr>
        <w:t>party to </w:t>
      </w:r>
      <w:r>
        <w:rPr>
          <w:spacing w:val="-3"/>
          <w:sz w:val="20"/>
        </w:rPr>
        <w:t>pick-up </w:t>
      </w:r>
      <w:r>
        <w:rPr>
          <w:sz w:val="20"/>
        </w:rPr>
        <w:t>by reading of the estate papers. For example, this  may be the case with disabled </w:t>
      </w:r>
      <w:r>
        <w:rPr>
          <w:spacing w:val="-3"/>
          <w:sz w:val="20"/>
        </w:rPr>
        <w:t>children </w:t>
      </w:r>
      <w:r>
        <w:rPr>
          <w:sz w:val="20"/>
        </w:rPr>
        <w:t>or other dependants, with </w:t>
      </w:r>
      <w:r>
        <w:rPr>
          <w:spacing w:val="-3"/>
          <w:sz w:val="20"/>
        </w:rPr>
        <w:t>family </w:t>
      </w:r>
      <w:r>
        <w:rPr>
          <w:sz w:val="20"/>
        </w:rPr>
        <w:t>owned farms and</w:t>
      </w:r>
      <w:r>
        <w:rPr>
          <w:spacing w:val="8"/>
          <w:sz w:val="20"/>
        </w:rPr>
        <w:t> </w:t>
      </w:r>
      <w:r>
        <w:rPr>
          <w:sz w:val="20"/>
        </w:rPr>
        <w:t>businesses</w:t>
      </w:r>
      <w:r>
        <w:rPr>
          <w:spacing w:val="9"/>
          <w:sz w:val="20"/>
        </w:rPr>
        <w:t> </w:t>
      </w:r>
      <w:r>
        <w:rPr>
          <w:sz w:val="20"/>
        </w:rPr>
        <w:t>and</w:t>
      </w:r>
      <w:r>
        <w:rPr>
          <w:spacing w:val="9"/>
          <w:sz w:val="20"/>
        </w:rPr>
        <w:t> </w:t>
      </w:r>
      <w:r>
        <w:rPr>
          <w:sz w:val="20"/>
        </w:rPr>
        <w:t>with</w:t>
      </w:r>
      <w:r>
        <w:rPr>
          <w:spacing w:val="8"/>
          <w:sz w:val="20"/>
        </w:rPr>
        <w:t> </w:t>
      </w:r>
      <w:r>
        <w:rPr>
          <w:sz w:val="20"/>
        </w:rPr>
        <w:t>assets</w:t>
      </w:r>
      <w:r>
        <w:rPr>
          <w:spacing w:val="9"/>
          <w:sz w:val="20"/>
        </w:rPr>
        <w:t> </w:t>
      </w:r>
      <w:r>
        <w:rPr>
          <w:sz w:val="20"/>
        </w:rPr>
        <w:t>held</w:t>
      </w:r>
      <w:r>
        <w:rPr>
          <w:spacing w:val="9"/>
          <w:sz w:val="20"/>
        </w:rPr>
        <w:t> </w:t>
      </w:r>
      <w:r>
        <w:rPr>
          <w:sz w:val="20"/>
        </w:rPr>
        <w:t>in</w:t>
      </w:r>
      <w:r>
        <w:rPr>
          <w:spacing w:val="8"/>
          <w:sz w:val="20"/>
        </w:rPr>
        <w:t> </w:t>
      </w:r>
      <w:r>
        <w:rPr>
          <w:sz w:val="20"/>
        </w:rPr>
        <w:t>several</w:t>
      </w:r>
      <w:r>
        <w:rPr>
          <w:spacing w:val="9"/>
          <w:sz w:val="20"/>
        </w:rPr>
        <w:t> </w:t>
      </w:r>
      <w:r>
        <w:rPr>
          <w:sz w:val="20"/>
        </w:rPr>
        <w:t>jurisdictions;</w:t>
      </w:r>
    </w:p>
    <w:p>
      <w:pPr>
        <w:pStyle w:val="ListParagraph"/>
        <w:numPr>
          <w:ilvl w:val="0"/>
          <w:numId w:val="118"/>
        </w:numPr>
        <w:tabs>
          <w:tab w:pos="2936" w:val="left" w:leader="none"/>
        </w:tabs>
        <w:spacing w:line="254" w:lineRule="auto" w:before="126" w:after="0"/>
        <w:ind w:left="2935" w:right="1886" w:hanging="214"/>
        <w:jc w:val="both"/>
        <w:rPr>
          <w:sz w:val="20"/>
        </w:rPr>
      </w:pPr>
      <w:r>
        <w:rPr>
          <w:sz w:val="20"/>
        </w:rPr>
        <w:t>Where the estate is </w:t>
      </w:r>
      <w:r>
        <w:rPr>
          <w:spacing w:val="-3"/>
          <w:sz w:val="20"/>
        </w:rPr>
        <w:t>likely </w:t>
      </w:r>
      <w:r>
        <w:rPr>
          <w:sz w:val="20"/>
        </w:rPr>
        <w:t>to be subject to Part IV (Family Provision) or other litigation and it would be </w:t>
      </w:r>
      <w:r>
        <w:rPr>
          <w:spacing w:val="-3"/>
          <w:sz w:val="20"/>
        </w:rPr>
        <w:t>inappropriate </w:t>
      </w:r>
      <w:r>
        <w:rPr>
          <w:sz w:val="20"/>
        </w:rPr>
        <w:t>to set one part of the </w:t>
      </w:r>
      <w:r>
        <w:rPr>
          <w:spacing w:val="-3"/>
          <w:sz w:val="20"/>
        </w:rPr>
        <w:t>family </w:t>
      </w:r>
      <w:r>
        <w:rPr>
          <w:sz w:val="20"/>
        </w:rPr>
        <w:t>up as defendants against  the others as</w:t>
      </w:r>
      <w:r>
        <w:rPr>
          <w:spacing w:val="24"/>
          <w:sz w:val="20"/>
        </w:rPr>
        <w:t> </w:t>
      </w:r>
      <w:r>
        <w:rPr>
          <w:sz w:val="20"/>
        </w:rPr>
        <w:t>plaintiffs;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9"/>
        </w:rPr>
      </w:pPr>
      <w:r>
        <w:rPr/>
        <w:pict>
          <v:line style="position:absolute;mso-position-horizontal-relative:page;mso-position-vertical-relative:paragraph;z-index:9296;mso-wrap-distance-left:0;mso-wrap-distance-right:0" from="79.370003pt,20.224375pt" to="515.905003pt,20.224375pt" stroked="true" strokeweight="1pt" strokecolor="#f9ceca">
            <v:stroke dashstyle="solid"/>
            <w10:wrap type="topAndBottom"/>
          </v:line>
        </w:pict>
      </w:r>
    </w:p>
    <w:p>
      <w:pPr>
        <w:pStyle w:val="BodyText"/>
        <w:spacing w:before="8"/>
        <w:rPr>
          <w:sz w:val="5"/>
        </w:rPr>
      </w:pPr>
    </w:p>
    <w:p>
      <w:pPr>
        <w:spacing w:after="0"/>
        <w:rPr>
          <w:sz w:val="5"/>
        </w:rPr>
        <w:sectPr>
          <w:pgSz w:w="11910" w:h="16840"/>
          <w:pgMar w:header="550" w:footer="0" w:top="1560" w:bottom="280" w:left="0" w:right="0"/>
        </w:sectPr>
      </w:pPr>
    </w:p>
    <w:p>
      <w:pPr>
        <w:pStyle w:val="BodyText"/>
        <w:rPr>
          <w:sz w:val="28"/>
        </w:rPr>
      </w:pPr>
    </w:p>
    <w:p>
      <w:pPr>
        <w:pStyle w:val="BodyText"/>
        <w:rPr>
          <w:sz w:val="28"/>
        </w:rPr>
      </w:pPr>
    </w:p>
    <w:p>
      <w:pPr>
        <w:pStyle w:val="BodyText"/>
        <w:rPr>
          <w:sz w:val="28"/>
        </w:rPr>
      </w:pPr>
    </w:p>
    <w:p>
      <w:pPr>
        <w:pStyle w:val="BodyText"/>
        <w:rPr>
          <w:sz w:val="28"/>
        </w:rPr>
      </w:pPr>
    </w:p>
    <w:p>
      <w:pPr>
        <w:spacing w:before="191"/>
        <w:ind w:left="720" w:right="0" w:firstLine="0"/>
        <w:jc w:val="left"/>
        <w:rPr>
          <w:b/>
          <w:sz w:val="24"/>
        </w:rPr>
      </w:pPr>
      <w:r>
        <w:rPr>
          <w:b/>
          <w:color w:val="EC5A4F"/>
          <w:spacing w:val="-4"/>
          <w:w w:val="110"/>
          <w:sz w:val="24"/>
        </w:rPr>
        <w:t>152</w:t>
      </w:r>
    </w:p>
    <w:p>
      <w:pPr>
        <w:pStyle w:val="ListParagraph"/>
        <w:numPr>
          <w:ilvl w:val="1"/>
          <w:numId w:val="117"/>
        </w:numPr>
        <w:tabs>
          <w:tab w:pos="1231" w:val="left" w:leader="none"/>
          <w:tab w:pos="1232" w:val="left" w:leader="none"/>
        </w:tabs>
        <w:spacing w:line="240" w:lineRule="auto" w:before="48" w:after="0"/>
        <w:ind w:left="1231" w:right="0" w:hanging="793"/>
        <w:jc w:val="left"/>
        <w:rPr>
          <w:sz w:val="13"/>
        </w:rPr>
      </w:pPr>
      <w:r>
        <w:rPr>
          <w:i/>
          <w:spacing w:val="1"/>
          <w:w w:val="102"/>
          <w:sz w:val="13"/>
        </w:rPr>
        <w:br w:type="column"/>
      </w:r>
      <w:r>
        <w:rPr>
          <w:i/>
          <w:w w:val="105"/>
          <w:sz w:val="13"/>
        </w:rPr>
        <w:t>Re the Will and Estate of McClung </w:t>
      </w:r>
      <w:r>
        <w:rPr>
          <w:spacing w:val="2"/>
          <w:w w:val="105"/>
          <w:sz w:val="13"/>
        </w:rPr>
        <w:t>[2006] </w:t>
      </w:r>
      <w:r>
        <w:rPr>
          <w:w w:val="105"/>
          <w:sz w:val="13"/>
        </w:rPr>
        <w:t>VSC 209 </w:t>
      </w:r>
      <w:r>
        <w:rPr>
          <w:spacing w:val="2"/>
          <w:w w:val="105"/>
          <w:sz w:val="13"/>
        </w:rPr>
        <w:t>(9 </w:t>
      </w:r>
      <w:r>
        <w:rPr>
          <w:w w:val="105"/>
          <w:sz w:val="13"/>
        </w:rPr>
        <w:t>June </w:t>
      </w:r>
      <w:r>
        <w:rPr>
          <w:spacing w:val="-4"/>
          <w:w w:val="105"/>
          <w:sz w:val="13"/>
        </w:rPr>
        <w:t>2011) </w:t>
      </w:r>
      <w:r>
        <w:rPr>
          <w:w w:val="105"/>
          <w:sz w:val="13"/>
        </w:rPr>
        <w:t>[36] (Master</w:t>
      </w:r>
      <w:r>
        <w:rPr>
          <w:spacing w:val="8"/>
          <w:w w:val="105"/>
          <w:sz w:val="13"/>
        </w:rPr>
        <w:t> </w:t>
      </w:r>
      <w:r>
        <w:rPr>
          <w:w w:val="105"/>
          <w:sz w:val="13"/>
        </w:rPr>
        <w:t>Evans).</w:t>
      </w:r>
    </w:p>
    <w:p>
      <w:pPr>
        <w:pStyle w:val="ListParagraph"/>
        <w:numPr>
          <w:ilvl w:val="1"/>
          <w:numId w:val="117"/>
        </w:numPr>
        <w:tabs>
          <w:tab w:pos="1231" w:val="left" w:leader="none"/>
          <w:tab w:pos="1232" w:val="left" w:leader="none"/>
        </w:tabs>
        <w:spacing w:line="240" w:lineRule="auto" w:before="1" w:after="0"/>
        <w:ind w:left="1231" w:right="0" w:hanging="793"/>
        <w:jc w:val="left"/>
        <w:rPr>
          <w:sz w:val="13"/>
        </w:rPr>
      </w:pPr>
      <w:r>
        <w:rPr>
          <w:w w:val="105"/>
          <w:sz w:val="13"/>
        </w:rPr>
        <w:t>Consultations</w:t>
      </w:r>
      <w:r>
        <w:rPr>
          <w:spacing w:val="4"/>
          <w:w w:val="105"/>
          <w:sz w:val="13"/>
        </w:rPr>
        <w:t> </w:t>
      </w:r>
      <w:r>
        <w:rPr>
          <w:w w:val="105"/>
          <w:sz w:val="13"/>
        </w:rPr>
        <w:t>3</w:t>
      </w:r>
      <w:r>
        <w:rPr>
          <w:spacing w:val="5"/>
          <w:w w:val="105"/>
          <w:sz w:val="13"/>
        </w:rPr>
        <w:t> </w:t>
      </w:r>
      <w:r>
        <w:rPr>
          <w:spacing w:val="2"/>
          <w:w w:val="105"/>
          <w:sz w:val="13"/>
        </w:rPr>
        <w:t>(Legal</w:t>
      </w:r>
      <w:r>
        <w:rPr>
          <w:spacing w:val="5"/>
          <w:w w:val="105"/>
          <w:sz w:val="13"/>
        </w:rPr>
        <w:t> </w:t>
      </w:r>
      <w:r>
        <w:rPr>
          <w:w w:val="105"/>
          <w:sz w:val="13"/>
        </w:rPr>
        <w:t>practitioners</w:t>
      </w:r>
      <w:r>
        <w:rPr>
          <w:spacing w:val="5"/>
          <w:w w:val="105"/>
          <w:sz w:val="13"/>
        </w:rPr>
        <w:t> </w:t>
      </w:r>
      <w:r>
        <w:rPr>
          <w:w w:val="105"/>
          <w:sz w:val="13"/>
        </w:rPr>
        <w:t>in</w:t>
      </w:r>
      <w:r>
        <w:rPr>
          <w:spacing w:val="5"/>
          <w:w w:val="105"/>
          <w:sz w:val="13"/>
        </w:rPr>
        <w:t> </w:t>
      </w:r>
      <w:r>
        <w:rPr>
          <w:w w:val="105"/>
          <w:sz w:val="13"/>
        </w:rPr>
        <w:t>the</w:t>
      </w:r>
      <w:r>
        <w:rPr>
          <w:spacing w:val="5"/>
          <w:w w:val="105"/>
          <w:sz w:val="13"/>
        </w:rPr>
        <w:t> </w:t>
      </w:r>
      <w:r>
        <w:rPr>
          <w:w w:val="105"/>
          <w:sz w:val="13"/>
        </w:rPr>
        <w:t>Goulburn</w:t>
      </w:r>
      <w:r>
        <w:rPr>
          <w:spacing w:val="5"/>
          <w:w w:val="105"/>
          <w:sz w:val="13"/>
        </w:rPr>
        <w:t> </w:t>
      </w:r>
      <w:r>
        <w:rPr>
          <w:w w:val="105"/>
          <w:sz w:val="13"/>
        </w:rPr>
        <w:t>Valley</w:t>
      </w:r>
      <w:r>
        <w:rPr>
          <w:spacing w:val="5"/>
          <w:w w:val="105"/>
          <w:sz w:val="13"/>
        </w:rPr>
        <w:t> </w:t>
      </w:r>
      <w:r>
        <w:rPr>
          <w:w w:val="105"/>
          <w:sz w:val="13"/>
        </w:rPr>
        <w:t>region);</w:t>
      </w:r>
      <w:r>
        <w:rPr>
          <w:spacing w:val="5"/>
          <w:w w:val="105"/>
          <w:sz w:val="13"/>
        </w:rPr>
        <w:t> </w:t>
      </w:r>
      <w:r>
        <w:rPr>
          <w:w w:val="105"/>
          <w:sz w:val="13"/>
        </w:rPr>
        <w:t>18</w:t>
      </w:r>
      <w:r>
        <w:rPr>
          <w:spacing w:val="4"/>
          <w:w w:val="105"/>
          <w:sz w:val="13"/>
        </w:rPr>
        <w:t> </w:t>
      </w:r>
      <w:r>
        <w:rPr>
          <w:spacing w:val="2"/>
          <w:w w:val="105"/>
          <w:sz w:val="13"/>
        </w:rPr>
        <w:t>(Legal</w:t>
      </w:r>
      <w:r>
        <w:rPr>
          <w:spacing w:val="5"/>
          <w:w w:val="105"/>
          <w:sz w:val="13"/>
        </w:rPr>
        <w:t> </w:t>
      </w:r>
      <w:r>
        <w:rPr>
          <w:w w:val="105"/>
          <w:sz w:val="13"/>
        </w:rPr>
        <w:t>practitioners</w:t>
      </w:r>
      <w:r>
        <w:rPr>
          <w:spacing w:val="5"/>
          <w:w w:val="105"/>
          <w:sz w:val="13"/>
        </w:rPr>
        <w:t> </w:t>
      </w:r>
      <w:r>
        <w:rPr>
          <w:w w:val="105"/>
          <w:sz w:val="13"/>
        </w:rPr>
        <w:t>in</w:t>
      </w:r>
      <w:r>
        <w:rPr>
          <w:spacing w:val="5"/>
          <w:w w:val="105"/>
          <w:sz w:val="13"/>
        </w:rPr>
        <w:t> </w:t>
      </w:r>
      <w:r>
        <w:rPr>
          <w:w w:val="105"/>
          <w:sz w:val="13"/>
        </w:rPr>
        <w:t>Wodonga).</w:t>
      </w:r>
    </w:p>
    <w:p>
      <w:pPr>
        <w:pStyle w:val="ListParagraph"/>
        <w:numPr>
          <w:ilvl w:val="1"/>
          <w:numId w:val="117"/>
        </w:numPr>
        <w:tabs>
          <w:tab w:pos="1231" w:val="left" w:leader="none"/>
          <w:tab w:pos="1232" w:val="left" w:leader="none"/>
        </w:tabs>
        <w:spacing w:line="240" w:lineRule="auto" w:before="2" w:after="0"/>
        <w:ind w:left="1231" w:right="0" w:hanging="793"/>
        <w:jc w:val="left"/>
        <w:rPr>
          <w:sz w:val="13"/>
        </w:rPr>
      </w:pPr>
      <w:r>
        <w:rPr>
          <w:w w:val="105"/>
          <w:sz w:val="13"/>
        </w:rPr>
        <w:t>Submission 8 (Patricia</w:t>
      </w:r>
      <w:r>
        <w:rPr>
          <w:spacing w:val="13"/>
          <w:w w:val="105"/>
          <w:sz w:val="13"/>
        </w:rPr>
        <w:t> </w:t>
      </w:r>
      <w:r>
        <w:rPr>
          <w:w w:val="105"/>
          <w:sz w:val="13"/>
        </w:rPr>
        <w:t>Strachan).</w:t>
      </w:r>
    </w:p>
    <w:p>
      <w:pPr>
        <w:pStyle w:val="ListParagraph"/>
        <w:numPr>
          <w:ilvl w:val="1"/>
          <w:numId w:val="117"/>
        </w:numPr>
        <w:tabs>
          <w:tab w:pos="1231" w:val="left" w:leader="none"/>
          <w:tab w:pos="1232" w:val="left" w:leader="none"/>
        </w:tabs>
        <w:spacing w:line="240" w:lineRule="auto" w:before="1" w:after="0"/>
        <w:ind w:left="1231" w:right="0" w:hanging="793"/>
        <w:jc w:val="left"/>
        <w:rPr>
          <w:sz w:val="13"/>
        </w:rPr>
      </w:pPr>
      <w:r>
        <w:rPr>
          <w:w w:val="105"/>
          <w:sz w:val="13"/>
        </w:rPr>
        <w:t>Consultations</w:t>
      </w:r>
      <w:r>
        <w:rPr>
          <w:spacing w:val="4"/>
          <w:w w:val="105"/>
          <w:sz w:val="13"/>
        </w:rPr>
        <w:t> </w:t>
      </w:r>
      <w:r>
        <w:rPr>
          <w:w w:val="105"/>
          <w:sz w:val="13"/>
        </w:rPr>
        <w:t>7</w:t>
      </w:r>
      <w:r>
        <w:rPr>
          <w:spacing w:val="5"/>
          <w:w w:val="105"/>
          <w:sz w:val="13"/>
        </w:rPr>
        <w:t> </w:t>
      </w:r>
      <w:r>
        <w:rPr>
          <w:spacing w:val="3"/>
          <w:w w:val="105"/>
          <w:sz w:val="13"/>
        </w:rPr>
        <w:t>(Law</w:t>
      </w:r>
      <w:r>
        <w:rPr>
          <w:spacing w:val="5"/>
          <w:w w:val="105"/>
          <w:sz w:val="13"/>
        </w:rPr>
        <w:t> </w:t>
      </w:r>
      <w:r>
        <w:rPr>
          <w:w w:val="105"/>
          <w:sz w:val="13"/>
        </w:rPr>
        <w:t>Institute</w:t>
      </w:r>
      <w:r>
        <w:rPr>
          <w:spacing w:val="5"/>
          <w:w w:val="105"/>
          <w:sz w:val="13"/>
        </w:rPr>
        <w:t> </w:t>
      </w:r>
      <w:r>
        <w:rPr>
          <w:w w:val="105"/>
          <w:sz w:val="13"/>
        </w:rPr>
        <w:t>of</w:t>
      </w:r>
      <w:r>
        <w:rPr>
          <w:spacing w:val="5"/>
          <w:w w:val="105"/>
          <w:sz w:val="13"/>
        </w:rPr>
        <w:t> </w:t>
      </w:r>
      <w:r>
        <w:rPr>
          <w:w w:val="105"/>
          <w:sz w:val="13"/>
        </w:rPr>
        <w:t>Victoria</w:t>
      </w:r>
      <w:r>
        <w:rPr>
          <w:spacing w:val="4"/>
          <w:w w:val="105"/>
          <w:sz w:val="13"/>
        </w:rPr>
        <w:t> </w:t>
      </w:r>
      <w:r>
        <w:rPr>
          <w:w w:val="105"/>
          <w:sz w:val="13"/>
        </w:rPr>
        <w:t>Wills</w:t>
      </w:r>
      <w:r>
        <w:rPr>
          <w:spacing w:val="5"/>
          <w:w w:val="105"/>
          <w:sz w:val="13"/>
        </w:rPr>
        <w:t> </w:t>
      </w:r>
      <w:r>
        <w:rPr>
          <w:w w:val="105"/>
          <w:sz w:val="13"/>
        </w:rPr>
        <w:t>&amp;</w:t>
      </w:r>
      <w:r>
        <w:rPr>
          <w:spacing w:val="5"/>
          <w:w w:val="105"/>
          <w:sz w:val="13"/>
        </w:rPr>
        <w:t> </w:t>
      </w:r>
      <w:r>
        <w:rPr>
          <w:w w:val="105"/>
          <w:sz w:val="13"/>
        </w:rPr>
        <w:t>Estates</w:t>
      </w:r>
      <w:r>
        <w:rPr>
          <w:spacing w:val="5"/>
          <w:w w:val="105"/>
          <w:sz w:val="13"/>
        </w:rPr>
        <w:t> </w:t>
      </w:r>
      <w:r>
        <w:rPr>
          <w:w w:val="105"/>
          <w:sz w:val="13"/>
        </w:rPr>
        <w:t>Discussion</w:t>
      </w:r>
      <w:r>
        <w:rPr>
          <w:spacing w:val="5"/>
          <w:w w:val="105"/>
          <w:sz w:val="13"/>
        </w:rPr>
        <w:t> </w:t>
      </w:r>
      <w:r>
        <w:rPr>
          <w:w w:val="105"/>
          <w:sz w:val="13"/>
        </w:rPr>
        <w:t>Group);</w:t>
      </w:r>
      <w:r>
        <w:rPr>
          <w:spacing w:val="4"/>
          <w:w w:val="105"/>
          <w:sz w:val="13"/>
        </w:rPr>
        <w:t> </w:t>
      </w:r>
      <w:r>
        <w:rPr>
          <w:w w:val="105"/>
          <w:sz w:val="13"/>
        </w:rPr>
        <w:t>20</w:t>
      </w:r>
      <w:r>
        <w:rPr>
          <w:spacing w:val="5"/>
          <w:w w:val="105"/>
          <w:sz w:val="13"/>
        </w:rPr>
        <w:t> </w:t>
      </w:r>
      <w:r>
        <w:rPr>
          <w:spacing w:val="2"/>
          <w:w w:val="105"/>
          <w:sz w:val="13"/>
        </w:rPr>
        <w:t>(Legal</w:t>
      </w:r>
      <w:r>
        <w:rPr>
          <w:spacing w:val="5"/>
          <w:w w:val="105"/>
          <w:sz w:val="13"/>
        </w:rPr>
        <w:t> </w:t>
      </w:r>
      <w:r>
        <w:rPr>
          <w:w w:val="105"/>
          <w:sz w:val="13"/>
        </w:rPr>
        <w:t>practitioners</w:t>
      </w:r>
      <w:r>
        <w:rPr>
          <w:spacing w:val="5"/>
          <w:w w:val="105"/>
          <w:sz w:val="13"/>
        </w:rPr>
        <w:t> </w:t>
      </w:r>
      <w:r>
        <w:rPr>
          <w:w w:val="105"/>
          <w:sz w:val="13"/>
        </w:rPr>
        <w:t>in</w:t>
      </w:r>
      <w:r>
        <w:rPr>
          <w:spacing w:val="5"/>
          <w:w w:val="105"/>
          <w:sz w:val="13"/>
        </w:rPr>
        <w:t> </w:t>
      </w:r>
      <w:r>
        <w:rPr>
          <w:w w:val="105"/>
          <w:sz w:val="13"/>
        </w:rPr>
        <w:t>Colac).</w:t>
      </w:r>
    </w:p>
    <w:p>
      <w:pPr>
        <w:pStyle w:val="ListParagraph"/>
        <w:numPr>
          <w:ilvl w:val="1"/>
          <w:numId w:val="117"/>
        </w:numPr>
        <w:tabs>
          <w:tab w:pos="1231" w:val="left" w:leader="none"/>
          <w:tab w:pos="1232" w:val="left" w:leader="none"/>
        </w:tabs>
        <w:spacing w:line="240" w:lineRule="auto" w:before="1" w:after="0"/>
        <w:ind w:left="1231" w:right="0" w:hanging="793"/>
        <w:jc w:val="left"/>
        <w:rPr>
          <w:sz w:val="13"/>
        </w:rPr>
      </w:pPr>
      <w:r>
        <w:rPr>
          <w:w w:val="105"/>
          <w:sz w:val="13"/>
        </w:rPr>
        <w:t>Consultation 3 </w:t>
      </w:r>
      <w:r>
        <w:rPr>
          <w:spacing w:val="2"/>
          <w:w w:val="105"/>
          <w:sz w:val="13"/>
        </w:rPr>
        <w:t>(Legal </w:t>
      </w:r>
      <w:r>
        <w:rPr>
          <w:w w:val="105"/>
          <w:sz w:val="13"/>
        </w:rPr>
        <w:t>practitioners in the Goulburn Valley</w:t>
      </w:r>
      <w:r>
        <w:rPr>
          <w:spacing w:val="4"/>
          <w:w w:val="105"/>
          <w:sz w:val="13"/>
        </w:rPr>
        <w:t> </w:t>
      </w:r>
      <w:r>
        <w:rPr>
          <w:w w:val="105"/>
          <w:sz w:val="13"/>
        </w:rPr>
        <w:t>region).</w:t>
      </w:r>
    </w:p>
    <w:p>
      <w:pPr>
        <w:pStyle w:val="ListParagraph"/>
        <w:numPr>
          <w:ilvl w:val="1"/>
          <w:numId w:val="117"/>
        </w:numPr>
        <w:tabs>
          <w:tab w:pos="1231" w:val="left" w:leader="none"/>
          <w:tab w:pos="1232" w:val="left" w:leader="none"/>
        </w:tabs>
        <w:spacing w:line="240" w:lineRule="auto" w:before="2" w:after="0"/>
        <w:ind w:left="1231" w:right="1927" w:hanging="793"/>
        <w:jc w:val="left"/>
        <w:rPr>
          <w:sz w:val="13"/>
        </w:rPr>
      </w:pPr>
      <w:r>
        <w:rPr>
          <w:w w:val="105"/>
          <w:sz w:val="13"/>
        </w:rPr>
        <w:t>Consultation 7 </w:t>
      </w:r>
      <w:r>
        <w:rPr>
          <w:spacing w:val="3"/>
          <w:w w:val="105"/>
          <w:sz w:val="13"/>
        </w:rPr>
        <w:t>(Law </w:t>
      </w:r>
      <w:r>
        <w:rPr>
          <w:w w:val="105"/>
          <w:sz w:val="13"/>
        </w:rPr>
        <w:t>Institute of Victoria Wills &amp; Estates Discussion Group). However, the Financial Services Council pointed out during informal</w:t>
      </w:r>
      <w:r>
        <w:rPr>
          <w:spacing w:val="4"/>
          <w:w w:val="105"/>
          <w:sz w:val="13"/>
        </w:rPr>
        <w:t> </w:t>
      </w:r>
      <w:r>
        <w:rPr>
          <w:w w:val="105"/>
          <w:sz w:val="13"/>
        </w:rPr>
        <w:t>discussions</w:t>
      </w:r>
      <w:r>
        <w:rPr>
          <w:spacing w:val="5"/>
          <w:w w:val="105"/>
          <w:sz w:val="13"/>
        </w:rPr>
        <w:t> </w:t>
      </w:r>
      <w:r>
        <w:rPr>
          <w:w w:val="105"/>
          <w:sz w:val="13"/>
        </w:rPr>
        <w:t>in</w:t>
      </w:r>
      <w:r>
        <w:rPr>
          <w:spacing w:val="5"/>
          <w:w w:val="105"/>
          <w:sz w:val="13"/>
        </w:rPr>
        <w:t> </w:t>
      </w:r>
      <w:r>
        <w:rPr>
          <w:spacing w:val="-3"/>
          <w:w w:val="105"/>
          <w:sz w:val="13"/>
        </w:rPr>
        <w:t>2012</w:t>
      </w:r>
      <w:r>
        <w:rPr>
          <w:spacing w:val="4"/>
          <w:w w:val="105"/>
          <w:sz w:val="13"/>
        </w:rPr>
        <w:t> </w:t>
      </w:r>
      <w:r>
        <w:rPr>
          <w:w w:val="105"/>
          <w:sz w:val="13"/>
        </w:rPr>
        <w:t>that</w:t>
      </w:r>
      <w:r>
        <w:rPr>
          <w:spacing w:val="5"/>
          <w:w w:val="105"/>
          <w:sz w:val="13"/>
        </w:rPr>
        <w:t> </w:t>
      </w:r>
      <w:r>
        <w:rPr>
          <w:w w:val="105"/>
          <w:sz w:val="13"/>
        </w:rPr>
        <w:t>legal</w:t>
      </w:r>
      <w:r>
        <w:rPr>
          <w:spacing w:val="5"/>
          <w:w w:val="105"/>
          <w:sz w:val="13"/>
        </w:rPr>
        <w:t> </w:t>
      </w:r>
      <w:r>
        <w:rPr>
          <w:w w:val="105"/>
          <w:sz w:val="13"/>
        </w:rPr>
        <w:t>practitioner</w:t>
      </w:r>
      <w:r>
        <w:rPr>
          <w:spacing w:val="4"/>
          <w:w w:val="105"/>
          <w:sz w:val="13"/>
        </w:rPr>
        <w:t> </w:t>
      </w:r>
      <w:r>
        <w:rPr>
          <w:w w:val="105"/>
          <w:sz w:val="13"/>
        </w:rPr>
        <w:t>executors</w:t>
      </w:r>
      <w:r>
        <w:rPr>
          <w:spacing w:val="5"/>
          <w:w w:val="105"/>
          <w:sz w:val="13"/>
        </w:rPr>
        <w:t> </w:t>
      </w:r>
      <w:r>
        <w:rPr>
          <w:w w:val="105"/>
          <w:sz w:val="13"/>
        </w:rPr>
        <w:t>sometimes</w:t>
      </w:r>
      <w:r>
        <w:rPr>
          <w:spacing w:val="5"/>
          <w:w w:val="105"/>
          <w:sz w:val="13"/>
        </w:rPr>
        <w:t> </w:t>
      </w:r>
      <w:r>
        <w:rPr>
          <w:w w:val="105"/>
          <w:sz w:val="13"/>
        </w:rPr>
        <w:t>charge</w:t>
      </w:r>
      <w:r>
        <w:rPr>
          <w:spacing w:val="5"/>
          <w:w w:val="105"/>
          <w:sz w:val="13"/>
        </w:rPr>
        <w:t> </w:t>
      </w:r>
      <w:r>
        <w:rPr>
          <w:w w:val="105"/>
          <w:sz w:val="13"/>
        </w:rPr>
        <w:t>more</w:t>
      </w:r>
      <w:r>
        <w:rPr>
          <w:spacing w:val="4"/>
          <w:w w:val="105"/>
          <w:sz w:val="13"/>
        </w:rPr>
        <w:t> </w:t>
      </w:r>
      <w:r>
        <w:rPr>
          <w:w w:val="105"/>
          <w:sz w:val="13"/>
        </w:rPr>
        <w:t>than</w:t>
      </w:r>
      <w:r>
        <w:rPr>
          <w:spacing w:val="5"/>
          <w:w w:val="105"/>
          <w:sz w:val="13"/>
        </w:rPr>
        <w:t> </w:t>
      </w:r>
      <w:r>
        <w:rPr>
          <w:w w:val="105"/>
          <w:sz w:val="13"/>
        </w:rPr>
        <w:t>trustee</w:t>
      </w:r>
      <w:r>
        <w:rPr>
          <w:spacing w:val="5"/>
          <w:w w:val="105"/>
          <w:sz w:val="13"/>
        </w:rPr>
        <w:t> </w:t>
      </w:r>
      <w:r>
        <w:rPr>
          <w:w w:val="105"/>
          <w:sz w:val="13"/>
        </w:rPr>
        <w:t>companies.</w:t>
      </w:r>
    </w:p>
    <w:p>
      <w:pPr>
        <w:pStyle w:val="ListParagraph"/>
        <w:numPr>
          <w:ilvl w:val="1"/>
          <w:numId w:val="117"/>
        </w:numPr>
        <w:tabs>
          <w:tab w:pos="1231" w:val="left" w:leader="none"/>
          <w:tab w:pos="1232" w:val="left" w:leader="none"/>
        </w:tabs>
        <w:spacing w:line="240" w:lineRule="auto" w:before="2" w:after="0"/>
        <w:ind w:left="1231" w:right="0" w:hanging="793"/>
        <w:jc w:val="left"/>
        <w:rPr>
          <w:sz w:val="13"/>
        </w:rPr>
      </w:pPr>
      <w:r>
        <w:rPr>
          <w:w w:val="105"/>
          <w:sz w:val="13"/>
        </w:rPr>
        <w:t>Consultation</w:t>
      </w:r>
      <w:r>
        <w:rPr>
          <w:spacing w:val="4"/>
          <w:w w:val="105"/>
          <w:sz w:val="13"/>
        </w:rPr>
        <w:t> </w:t>
      </w:r>
      <w:r>
        <w:rPr>
          <w:w w:val="105"/>
          <w:sz w:val="13"/>
        </w:rPr>
        <w:t>7</w:t>
      </w:r>
      <w:r>
        <w:rPr>
          <w:spacing w:val="5"/>
          <w:w w:val="105"/>
          <w:sz w:val="13"/>
        </w:rPr>
        <w:t> </w:t>
      </w:r>
      <w:r>
        <w:rPr>
          <w:spacing w:val="3"/>
          <w:w w:val="105"/>
          <w:sz w:val="13"/>
        </w:rPr>
        <w:t>(Law</w:t>
      </w:r>
      <w:r>
        <w:rPr>
          <w:spacing w:val="4"/>
          <w:w w:val="105"/>
          <w:sz w:val="13"/>
        </w:rPr>
        <w:t> </w:t>
      </w:r>
      <w:r>
        <w:rPr>
          <w:w w:val="105"/>
          <w:sz w:val="13"/>
        </w:rPr>
        <w:t>Institute</w:t>
      </w:r>
      <w:r>
        <w:rPr>
          <w:spacing w:val="5"/>
          <w:w w:val="105"/>
          <w:sz w:val="13"/>
        </w:rPr>
        <w:t> </w:t>
      </w:r>
      <w:r>
        <w:rPr>
          <w:w w:val="105"/>
          <w:sz w:val="13"/>
        </w:rPr>
        <w:t>of</w:t>
      </w:r>
      <w:r>
        <w:rPr>
          <w:spacing w:val="5"/>
          <w:w w:val="105"/>
          <w:sz w:val="13"/>
        </w:rPr>
        <w:t> </w:t>
      </w:r>
      <w:r>
        <w:rPr>
          <w:w w:val="105"/>
          <w:sz w:val="13"/>
        </w:rPr>
        <w:t>Victoria</w:t>
      </w:r>
      <w:r>
        <w:rPr>
          <w:spacing w:val="4"/>
          <w:w w:val="105"/>
          <w:sz w:val="13"/>
        </w:rPr>
        <w:t> </w:t>
      </w:r>
      <w:r>
        <w:rPr>
          <w:w w:val="105"/>
          <w:sz w:val="13"/>
        </w:rPr>
        <w:t>Wills</w:t>
      </w:r>
      <w:r>
        <w:rPr>
          <w:spacing w:val="5"/>
          <w:w w:val="105"/>
          <w:sz w:val="13"/>
        </w:rPr>
        <w:t> </w:t>
      </w:r>
      <w:r>
        <w:rPr>
          <w:w w:val="105"/>
          <w:sz w:val="13"/>
        </w:rPr>
        <w:t>&amp;</w:t>
      </w:r>
      <w:r>
        <w:rPr>
          <w:spacing w:val="5"/>
          <w:w w:val="105"/>
          <w:sz w:val="13"/>
        </w:rPr>
        <w:t> </w:t>
      </w:r>
      <w:r>
        <w:rPr>
          <w:w w:val="105"/>
          <w:sz w:val="13"/>
        </w:rPr>
        <w:t>Estates</w:t>
      </w:r>
      <w:r>
        <w:rPr>
          <w:spacing w:val="4"/>
          <w:w w:val="105"/>
          <w:sz w:val="13"/>
        </w:rPr>
        <w:t> </w:t>
      </w:r>
      <w:r>
        <w:rPr>
          <w:w w:val="105"/>
          <w:sz w:val="13"/>
        </w:rPr>
        <w:t>Discussion</w:t>
      </w:r>
      <w:r>
        <w:rPr>
          <w:spacing w:val="5"/>
          <w:w w:val="105"/>
          <w:sz w:val="13"/>
        </w:rPr>
        <w:t> </w:t>
      </w:r>
      <w:r>
        <w:rPr>
          <w:w w:val="105"/>
          <w:sz w:val="13"/>
        </w:rPr>
        <w:t>Group).</w:t>
      </w:r>
    </w:p>
    <w:p>
      <w:pPr>
        <w:pStyle w:val="ListParagraph"/>
        <w:numPr>
          <w:ilvl w:val="1"/>
          <w:numId w:val="117"/>
        </w:numPr>
        <w:tabs>
          <w:tab w:pos="1231" w:val="left" w:leader="none"/>
          <w:tab w:pos="1232" w:val="left" w:leader="none"/>
        </w:tabs>
        <w:spacing w:line="240" w:lineRule="auto" w:before="2" w:after="0"/>
        <w:ind w:left="1231" w:right="0" w:hanging="793"/>
        <w:jc w:val="left"/>
        <w:rPr>
          <w:sz w:val="13"/>
        </w:rPr>
      </w:pPr>
      <w:r>
        <w:rPr>
          <w:w w:val="105"/>
          <w:sz w:val="13"/>
        </w:rPr>
        <w:t>Consultation 20 </w:t>
      </w:r>
      <w:r>
        <w:rPr>
          <w:spacing w:val="2"/>
          <w:w w:val="105"/>
          <w:sz w:val="13"/>
        </w:rPr>
        <w:t>(Legal </w:t>
      </w:r>
      <w:r>
        <w:rPr>
          <w:w w:val="105"/>
          <w:sz w:val="13"/>
        </w:rPr>
        <w:t>practitioners in</w:t>
      </w:r>
      <w:r>
        <w:rPr>
          <w:spacing w:val="21"/>
          <w:w w:val="105"/>
          <w:sz w:val="13"/>
        </w:rPr>
        <w:t> </w:t>
      </w:r>
      <w:r>
        <w:rPr>
          <w:w w:val="105"/>
          <w:sz w:val="13"/>
        </w:rPr>
        <w:t>Colac).</w:t>
      </w:r>
    </w:p>
    <w:p>
      <w:pPr>
        <w:pStyle w:val="ListParagraph"/>
        <w:numPr>
          <w:ilvl w:val="1"/>
          <w:numId w:val="117"/>
        </w:numPr>
        <w:tabs>
          <w:tab w:pos="1231" w:val="left" w:leader="none"/>
          <w:tab w:pos="1232" w:val="left" w:leader="none"/>
        </w:tabs>
        <w:spacing w:line="240" w:lineRule="auto" w:before="1" w:after="0"/>
        <w:ind w:left="1231" w:right="0" w:hanging="793"/>
        <w:jc w:val="left"/>
        <w:rPr>
          <w:sz w:val="13"/>
        </w:rPr>
      </w:pPr>
      <w:r>
        <w:rPr>
          <w:sz w:val="13"/>
        </w:rPr>
        <w:t>Ibid.</w:t>
      </w:r>
    </w:p>
    <w:p>
      <w:pPr>
        <w:pStyle w:val="ListParagraph"/>
        <w:numPr>
          <w:ilvl w:val="1"/>
          <w:numId w:val="117"/>
        </w:numPr>
        <w:tabs>
          <w:tab w:pos="1231" w:val="left" w:leader="none"/>
          <w:tab w:pos="1232" w:val="left" w:leader="none"/>
        </w:tabs>
        <w:spacing w:line="240" w:lineRule="auto" w:before="1" w:after="0"/>
        <w:ind w:left="1231" w:right="0" w:hanging="793"/>
        <w:jc w:val="left"/>
        <w:rPr>
          <w:sz w:val="13"/>
        </w:rPr>
      </w:pPr>
      <w:r>
        <w:rPr>
          <w:w w:val="105"/>
          <w:sz w:val="13"/>
        </w:rPr>
        <w:t>Consultation</w:t>
      </w:r>
      <w:r>
        <w:rPr>
          <w:spacing w:val="4"/>
          <w:w w:val="105"/>
          <w:sz w:val="13"/>
        </w:rPr>
        <w:t> </w:t>
      </w:r>
      <w:r>
        <w:rPr>
          <w:w w:val="105"/>
          <w:sz w:val="13"/>
        </w:rPr>
        <w:t>7</w:t>
      </w:r>
      <w:r>
        <w:rPr>
          <w:spacing w:val="5"/>
          <w:w w:val="105"/>
          <w:sz w:val="13"/>
        </w:rPr>
        <w:t> </w:t>
      </w:r>
      <w:r>
        <w:rPr>
          <w:spacing w:val="3"/>
          <w:w w:val="105"/>
          <w:sz w:val="13"/>
        </w:rPr>
        <w:t>(Law</w:t>
      </w:r>
      <w:r>
        <w:rPr>
          <w:spacing w:val="4"/>
          <w:w w:val="105"/>
          <w:sz w:val="13"/>
        </w:rPr>
        <w:t> </w:t>
      </w:r>
      <w:r>
        <w:rPr>
          <w:w w:val="105"/>
          <w:sz w:val="13"/>
        </w:rPr>
        <w:t>Institute</w:t>
      </w:r>
      <w:r>
        <w:rPr>
          <w:spacing w:val="5"/>
          <w:w w:val="105"/>
          <w:sz w:val="13"/>
        </w:rPr>
        <w:t> </w:t>
      </w:r>
      <w:r>
        <w:rPr>
          <w:w w:val="105"/>
          <w:sz w:val="13"/>
        </w:rPr>
        <w:t>of</w:t>
      </w:r>
      <w:r>
        <w:rPr>
          <w:spacing w:val="5"/>
          <w:w w:val="105"/>
          <w:sz w:val="13"/>
        </w:rPr>
        <w:t> </w:t>
      </w:r>
      <w:r>
        <w:rPr>
          <w:w w:val="105"/>
          <w:sz w:val="13"/>
        </w:rPr>
        <w:t>Victoria</w:t>
      </w:r>
      <w:r>
        <w:rPr>
          <w:spacing w:val="4"/>
          <w:w w:val="105"/>
          <w:sz w:val="13"/>
        </w:rPr>
        <w:t> </w:t>
      </w:r>
      <w:r>
        <w:rPr>
          <w:w w:val="105"/>
          <w:sz w:val="13"/>
        </w:rPr>
        <w:t>Wills</w:t>
      </w:r>
      <w:r>
        <w:rPr>
          <w:spacing w:val="5"/>
          <w:w w:val="105"/>
          <w:sz w:val="13"/>
        </w:rPr>
        <w:t> </w:t>
      </w:r>
      <w:r>
        <w:rPr>
          <w:w w:val="105"/>
          <w:sz w:val="13"/>
        </w:rPr>
        <w:t>&amp;</w:t>
      </w:r>
      <w:r>
        <w:rPr>
          <w:spacing w:val="5"/>
          <w:w w:val="105"/>
          <w:sz w:val="13"/>
        </w:rPr>
        <w:t> </w:t>
      </w:r>
      <w:r>
        <w:rPr>
          <w:w w:val="105"/>
          <w:sz w:val="13"/>
        </w:rPr>
        <w:t>Estates</w:t>
      </w:r>
      <w:r>
        <w:rPr>
          <w:spacing w:val="4"/>
          <w:w w:val="105"/>
          <w:sz w:val="13"/>
        </w:rPr>
        <w:t> </w:t>
      </w:r>
      <w:r>
        <w:rPr>
          <w:w w:val="105"/>
          <w:sz w:val="13"/>
        </w:rPr>
        <w:t>Discussion</w:t>
      </w:r>
      <w:r>
        <w:rPr>
          <w:spacing w:val="5"/>
          <w:w w:val="105"/>
          <w:sz w:val="13"/>
        </w:rPr>
        <w:t> </w:t>
      </w:r>
      <w:r>
        <w:rPr>
          <w:w w:val="105"/>
          <w:sz w:val="13"/>
        </w:rPr>
        <w:t>Group).</w:t>
      </w:r>
    </w:p>
    <w:p>
      <w:pPr>
        <w:spacing w:after="0" w:line="240" w:lineRule="auto"/>
        <w:jc w:val="left"/>
        <w:rPr>
          <w:sz w:val="13"/>
        </w:rPr>
        <w:sectPr>
          <w:type w:val="continuous"/>
          <w:pgSz w:w="11910" w:h="16840"/>
          <w:pgMar w:top="920" w:bottom="280" w:left="0" w:right="0"/>
          <w:cols w:num="2" w:equalWidth="0">
            <w:col w:w="1110" w:space="40"/>
            <w:col w:w="10760"/>
          </w:cols>
        </w:sectPr>
      </w:pPr>
    </w:p>
    <w:p>
      <w:pPr>
        <w:pStyle w:val="BodyText"/>
        <w:rPr>
          <w:sz w:val="20"/>
        </w:rPr>
      </w:pPr>
    </w:p>
    <w:p>
      <w:pPr>
        <w:pStyle w:val="BodyText"/>
        <w:spacing w:before="1"/>
        <w:rPr>
          <w:sz w:val="19"/>
        </w:rPr>
      </w:pPr>
    </w:p>
    <w:p>
      <w:pPr>
        <w:pStyle w:val="ListParagraph"/>
        <w:numPr>
          <w:ilvl w:val="0"/>
          <w:numId w:val="118"/>
        </w:numPr>
        <w:tabs>
          <w:tab w:pos="2939" w:val="left" w:leader="none"/>
        </w:tabs>
        <w:spacing w:line="254" w:lineRule="auto" w:before="92" w:after="0"/>
        <w:ind w:left="2938" w:right="1894" w:hanging="217"/>
        <w:jc w:val="left"/>
        <w:rPr>
          <w:sz w:val="20"/>
        </w:rPr>
      </w:pPr>
      <w:r>
        <w:rPr>
          <w:sz w:val="20"/>
        </w:rPr>
        <w:t>Where the terms of the trusts of the will are complex and </w:t>
      </w:r>
      <w:r>
        <w:rPr>
          <w:spacing w:val="-3"/>
          <w:sz w:val="20"/>
        </w:rPr>
        <w:t>require </w:t>
      </w:r>
      <w:r>
        <w:rPr>
          <w:sz w:val="20"/>
        </w:rPr>
        <w:t>the </w:t>
      </w:r>
      <w:r>
        <w:rPr>
          <w:spacing w:val="-3"/>
          <w:sz w:val="20"/>
        </w:rPr>
        <w:t>skills </w:t>
      </w:r>
      <w:r>
        <w:rPr>
          <w:sz w:val="20"/>
        </w:rPr>
        <w:t>of a legal practitioner</w:t>
      </w:r>
      <w:r>
        <w:rPr>
          <w:spacing w:val="9"/>
          <w:sz w:val="20"/>
        </w:rPr>
        <w:t> </w:t>
      </w:r>
      <w:r>
        <w:rPr>
          <w:sz w:val="20"/>
        </w:rPr>
        <w:t>competent</w:t>
      </w:r>
      <w:r>
        <w:rPr>
          <w:spacing w:val="10"/>
          <w:sz w:val="20"/>
        </w:rPr>
        <w:t> </w:t>
      </w:r>
      <w:r>
        <w:rPr>
          <w:sz w:val="20"/>
        </w:rPr>
        <w:t>in</w:t>
      </w:r>
      <w:r>
        <w:rPr>
          <w:spacing w:val="10"/>
          <w:sz w:val="20"/>
        </w:rPr>
        <w:t> </w:t>
      </w:r>
      <w:r>
        <w:rPr>
          <w:sz w:val="20"/>
        </w:rPr>
        <w:t>trust</w:t>
      </w:r>
      <w:r>
        <w:rPr>
          <w:spacing w:val="10"/>
          <w:sz w:val="20"/>
        </w:rPr>
        <w:t> </w:t>
      </w:r>
      <w:r>
        <w:rPr>
          <w:sz w:val="20"/>
        </w:rPr>
        <w:t>law</w:t>
      </w:r>
      <w:r>
        <w:rPr>
          <w:spacing w:val="9"/>
          <w:sz w:val="20"/>
        </w:rPr>
        <w:t> </w:t>
      </w:r>
      <w:r>
        <w:rPr>
          <w:sz w:val="20"/>
        </w:rPr>
        <w:t>and</w:t>
      </w:r>
      <w:r>
        <w:rPr>
          <w:spacing w:val="10"/>
          <w:sz w:val="20"/>
        </w:rPr>
        <w:t> </w:t>
      </w:r>
      <w:r>
        <w:rPr>
          <w:sz w:val="20"/>
        </w:rPr>
        <w:t>administration</w:t>
      </w:r>
      <w:r>
        <w:rPr>
          <w:spacing w:val="10"/>
          <w:sz w:val="20"/>
        </w:rPr>
        <w:t> </w:t>
      </w:r>
      <w:r>
        <w:rPr>
          <w:sz w:val="20"/>
        </w:rPr>
        <w:t>to</w:t>
      </w:r>
      <w:r>
        <w:rPr>
          <w:spacing w:val="10"/>
          <w:sz w:val="20"/>
        </w:rPr>
        <w:t> </w:t>
      </w:r>
      <w:r>
        <w:rPr>
          <w:sz w:val="20"/>
        </w:rPr>
        <w:t>be</w:t>
      </w:r>
      <w:r>
        <w:rPr>
          <w:spacing w:val="9"/>
          <w:sz w:val="20"/>
        </w:rPr>
        <w:t> </w:t>
      </w:r>
      <w:r>
        <w:rPr>
          <w:sz w:val="20"/>
        </w:rPr>
        <w:t>the</w:t>
      </w:r>
      <w:r>
        <w:rPr>
          <w:spacing w:val="10"/>
          <w:sz w:val="20"/>
        </w:rPr>
        <w:t> </w:t>
      </w:r>
      <w:r>
        <w:rPr>
          <w:sz w:val="20"/>
        </w:rPr>
        <w:t>executor;</w:t>
      </w:r>
    </w:p>
    <w:p>
      <w:pPr>
        <w:pStyle w:val="ListParagraph"/>
        <w:numPr>
          <w:ilvl w:val="0"/>
          <w:numId w:val="118"/>
        </w:numPr>
        <w:tabs>
          <w:tab w:pos="2942" w:val="left" w:leader="none"/>
        </w:tabs>
        <w:spacing w:line="240" w:lineRule="auto" w:before="123" w:after="0"/>
        <w:ind w:left="2941" w:right="0" w:hanging="220"/>
        <w:jc w:val="left"/>
        <w:rPr>
          <w:sz w:val="20"/>
        </w:rPr>
      </w:pPr>
      <w:r>
        <w:rPr>
          <w:sz w:val="20"/>
        </w:rPr>
        <w:t>Where</w:t>
      </w:r>
      <w:r>
        <w:rPr>
          <w:spacing w:val="9"/>
          <w:sz w:val="20"/>
        </w:rPr>
        <w:t> </w:t>
      </w:r>
      <w:r>
        <w:rPr>
          <w:sz w:val="20"/>
        </w:rPr>
        <w:t>the</w:t>
      </w:r>
      <w:r>
        <w:rPr>
          <w:spacing w:val="9"/>
          <w:sz w:val="20"/>
        </w:rPr>
        <w:t> </w:t>
      </w:r>
      <w:r>
        <w:rPr>
          <w:sz w:val="20"/>
        </w:rPr>
        <w:t>will-maker</w:t>
      </w:r>
      <w:r>
        <w:rPr>
          <w:spacing w:val="9"/>
          <w:sz w:val="20"/>
        </w:rPr>
        <w:t> </w:t>
      </w:r>
      <w:r>
        <w:rPr>
          <w:sz w:val="20"/>
        </w:rPr>
        <w:t>has</w:t>
      </w:r>
      <w:r>
        <w:rPr>
          <w:spacing w:val="9"/>
          <w:sz w:val="20"/>
        </w:rPr>
        <w:t> </w:t>
      </w:r>
      <w:r>
        <w:rPr>
          <w:sz w:val="20"/>
        </w:rPr>
        <w:t>no</w:t>
      </w:r>
      <w:r>
        <w:rPr>
          <w:spacing w:val="9"/>
          <w:sz w:val="20"/>
        </w:rPr>
        <w:t> </w:t>
      </w:r>
      <w:r>
        <w:rPr>
          <w:spacing w:val="-3"/>
          <w:sz w:val="20"/>
        </w:rPr>
        <w:t>family</w:t>
      </w:r>
      <w:r>
        <w:rPr>
          <w:spacing w:val="9"/>
          <w:sz w:val="20"/>
        </w:rPr>
        <w:t> </w:t>
      </w:r>
      <w:r>
        <w:rPr>
          <w:sz w:val="20"/>
        </w:rPr>
        <w:t>or</w:t>
      </w:r>
      <w:r>
        <w:rPr>
          <w:spacing w:val="9"/>
          <w:sz w:val="20"/>
        </w:rPr>
        <w:t> </w:t>
      </w:r>
      <w:r>
        <w:rPr>
          <w:sz w:val="20"/>
        </w:rPr>
        <w:t>friends</w:t>
      </w:r>
      <w:r>
        <w:rPr>
          <w:spacing w:val="9"/>
          <w:sz w:val="20"/>
        </w:rPr>
        <w:t> </w:t>
      </w:r>
      <w:r>
        <w:rPr>
          <w:sz w:val="20"/>
        </w:rPr>
        <w:t>in</w:t>
      </w:r>
      <w:r>
        <w:rPr>
          <w:spacing w:val="9"/>
          <w:sz w:val="20"/>
        </w:rPr>
        <w:t> </w:t>
      </w:r>
      <w:r>
        <w:rPr>
          <w:sz w:val="20"/>
        </w:rPr>
        <w:t>Australia;</w:t>
      </w:r>
      <w:r>
        <w:rPr>
          <w:spacing w:val="9"/>
          <w:sz w:val="20"/>
        </w:rPr>
        <w:t> </w:t>
      </w:r>
      <w:r>
        <w:rPr>
          <w:sz w:val="20"/>
        </w:rPr>
        <w:t>and</w:t>
      </w:r>
    </w:p>
    <w:p>
      <w:pPr>
        <w:pStyle w:val="ListParagraph"/>
        <w:numPr>
          <w:ilvl w:val="0"/>
          <w:numId w:val="118"/>
        </w:numPr>
        <w:tabs>
          <w:tab w:pos="2940" w:val="left" w:leader="none"/>
        </w:tabs>
        <w:spacing w:line="254" w:lineRule="auto" w:before="135" w:after="0"/>
        <w:ind w:left="2939" w:right="2174" w:hanging="218"/>
        <w:jc w:val="left"/>
        <w:rPr>
          <w:sz w:val="11"/>
        </w:rPr>
      </w:pPr>
      <w:r>
        <w:rPr>
          <w:w w:val="105"/>
          <w:sz w:val="20"/>
        </w:rPr>
        <w:t>Where</w:t>
      </w:r>
      <w:r>
        <w:rPr>
          <w:spacing w:val="-4"/>
          <w:w w:val="105"/>
          <w:sz w:val="20"/>
        </w:rPr>
        <w:t> </w:t>
      </w:r>
      <w:r>
        <w:rPr>
          <w:w w:val="105"/>
          <w:sz w:val="20"/>
        </w:rPr>
        <w:t>a</w:t>
      </w:r>
      <w:r>
        <w:rPr>
          <w:spacing w:val="-3"/>
          <w:w w:val="105"/>
          <w:sz w:val="20"/>
        </w:rPr>
        <w:t> </w:t>
      </w:r>
      <w:r>
        <w:rPr>
          <w:w w:val="105"/>
          <w:sz w:val="20"/>
        </w:rPr>
        <w:t>will-maker</w:t>
      </w:r>
      <w:r>
        <w:rPr>
          <w:spacing w:val="-3"/>
          <w:w w:val="105"/>
          <w:sz w:val="20"/>
        </w:rPr>
        <w:t> </w:t>
      </w:r>
      <w:r>
        <w:rPr>
          <w:w w:val="105"/>
          <w:sz w:val="20"/>
        </w:rPr>
        <w:t>does</w:t>
      </w:r>
      <w:r>
        <w:rPr>
          <w:spacing w:val="-4"/>
          <w:w w:val="105"/>
          <w:sz w:val="20"/>
        </w:rPr>
        <w:t> </w:t>
      </w:r>
      <w:r>
        <w:rPr>
          <w:w w:val="105"/>
          <w:sz w:val="20"/>
        </w:rPr>
        <w:t>not</w:t>
      </w:r>
      <w:r>
        <w:rPr>
          <w:spacing w:val="-3"/>
          <w:w w:val="105"/>
          <w:sz w:val="20"/>
        </w:rPr>
        <w:t> </w:t>
      </w:r>
      <w:r>
        <w:rPr>
          <w:w w:val="105"/>
          <w:sz w:val="20"/>
        </w:rPr>
        <w:t>reside</w:t>
      </w:r>
      <w:r>
        <w:rPr>
          <w:spacing w:val="-3"/>
          <w:w w:val="105"/>
          <w:sz w:val="20"/>
        </w:rPr>
        <w:t> </w:t>
      </w:r>
      <w:r>
        <w:rPr>
          <w:w w:val="105"/>
          <w:sz w:val="20"/>
        </w:rPr>
        <w:t>in</w:t>
      </w:r>
      <w:r>
        <w:rPr>
          <w:spacing w:val="-4"/>
          <w:w w:val="105"/>
          <w:sz w:val="20"/>
        </w:rPr>
        <w:t> </w:t>
      </w:r>
      <w:r>
        <w:rPr>
          <w:spacing w:val="-3"/>
          <w:w w:val="105"/>
          <w:sz w:val="20"/>
        </w:rPr>
        <w:t>Australia </w:t>
      </w:r>
      <w:r>
        <w:rPr>
          <w:w w:val="105"/>
          <w:sz w:val="20"/>
        </w:rPr>
        <w:t>and</w:t>
      </w:r>
      <w:r>
        <w:rPr>
          <w:spacing w:val="-3"/>
          <w:w w:val="105"/>
          <w:sz w:val="20"/>
        </w:rPr>
        <w:t> makes</w:t>
      </w:r>
      <w:r>
        <w:rPr>
          <w:spacing w:val="-4"/>
          <w:w w:val="105"/>
          <w:sz w:val="20"/>
        </w:rPr>
        <w:t> </w:t>
      </w:r>
      <w:r>
        <w:rPr>
          <w:w w:val="105"/>
          <w:sz w:val="20"/>
        </w:rPr>
        <w:t>a</w:t>
      </w:r>
      <w:r>
        <w:rPr>
          <w:spacing w:val="-3"/>
          <w:w w:val="105"/>
          <w:sz w:val="20"/>
        </w:rPr>
        <w:t> </w:t>
      </w:r>
      <w:r>
        <w:rPr>
          <w:w w:val="105"/>
          <w:sz w:val="20"/>
        </w:rPr>
        <w:t>will</w:t>
      </w:r>
      <w:r>
        <w:rPr>
          <w:spacing w:val="-3"/>
          <w:w w:val="105"/>
          <w:sz w:val="20"/>
        </w:rPr>
        <w:t> </w:t>
      </w:r>
      <w:r>
        <w:rPr>
          <w:w w:val="105"/>
          <w:sz w:val="20"/>
        </w:rPr>
        <w:t>in</w:t>
      </w:r>
      <w:r>
        <w:rPr>
          <w:spacing w:val="-4"/>
          <w:w w:val="105"/>
          <w:sz w:val="20"/>
        </w:rPr>
        <w:t> </w:t>
      </w:r>
      <w:r>
        <w:rPr>
          <w:w w:val="105"/>
          <w:sz w:val="20"/>
        </w:rPr>
        <w:t>an</w:t>
      </w:r>
      <w:r>
        <w:rPr>
          <w:spacing w:val="-3"/>
          <w:w w:val="105"/>
          <w:sz w:val="20"/>
        </w:rPr>
        <w:t> Australian </w:t>
      </w:r>
      <w:r>
        <w:rPr>
          <w:w w:val="105"/>
          <w:sz w:val="20"/>
        </w:rPr>
        <w:t>jurisdiction regarding assets in</w:t>
      </w:r>
      <w:r>
        <w:rPr>
          <w:spacing w:val="18"/>
          <w:w w:val="105"/>
          <w:sz w:val="20"/>
        </w:rPr>
        <w:t> </w:t>
      </w:r>
      <w:r>
        <w:rPr>
          <w:spacing w:val="-3"/>
          <w:w w:val="105"/>
          <w:sz w:val="20"/>
        </w:rPr>
        <w:t>Australia.</w:t>
      </w:r>
      <w:r>
        <w:rPr>
          <w:spacing w:val="-3"/>
          <w:w w:val="105"/>
          <w:position w:val="7"/>
          <w:sz w:val="11"/>
        </w:rPr>
        <w:t>93</w:t>
      </w:r>
    </w:p>
    <w:p>
      <w:pPr>
        <w:pStyle w:val="ListParagraph"/>
        <w:numPr>
          <w:ilvl w:val="1"/>
          <w:numId w:val="22"/>
        </w:numPr>
        <w:tabs>
          <w:tab w:pos="2380" w:val="left" w:leader="none"/>
          <w:tab w:pos="2381" w:val="left" w:leader="none"/>
        </w:tabs>
        <w:spacing w:line="242" w:lineRule="auto" w:before="113" w:after="0"/>
        <w:ind w:left="2381" w:right="1849" w:hanging="794"/>
        <w:jc w:val="left"/>
        <w:rPr>
          <w:sz w:val="21"/>
        </w:rPr>
      </w:pPr>
      <w:r>
        <w:rPr>
          <w:spacing w:val="-5"/>
          <w:sz w:val="21"/>
        </w:rPr>
        <w:t>Although </w:t>
      </w:r>
      <w:r>
        <w:rPr>
          <w:spacing w:val="-4"/>
          <w:sz w:val="21"/>
        </w:rPr>
        <w:t>not all </w:t>
      </w:r>
      <w:r>
        <w:rPr>
          <w:spacing w:val="-3"/>
          <w:sz w:val="21"/>
        </w:rPr>
        <w:t>of </w:t>
      </w:r>
      <w:r>
        <w:rPr>
          <w:spacing w:val="-4"/>
          <w:sz w:val="21"/>
        </w:rPr>
        <w:t>these </w:t>
      </w:r>
      <w:r>
        <w:rPr>
          <w:spacing w:val="-5"/>
          <w:sz w:val="21"/>
        </w:rPr>
        <w:t>situations  present  </w:t>
      </w:r>
      <w:r>
        <w:rPr>
          <w:spacing w:val="-3"/>
          <w:sz w:val="21"/>
        </w:rPr>
        <w:t>an  </w:t>
      </w:r>
      <w:r>
        <w:rPr>
          <w:spacing w:val="-5"/>
          <w:sz w:val="21"/>
        </w:rPr>
        <w:t>equally  compelling  reason  </w:t>
      </w:r>
      <w:r>
        <w:rPr>
          <w:spacing w:val="-4"/>
          <w:sz w:val="21"/>
        </w:rPr>
        <w:t>to  </w:t>
      </w:r>
      <w:r>
        <w:rPr>
          <w:spacing w:val="-5"/>
          <w:sz w:val="21"/>
        </w:rPr>
        <w:t>appoint  </w:t>
      </w:r>
      <w:r>
        <w:rPr>
          <w:sz w:val="21"/>
        </w:rPr>
        <w:t>a </w:t>
      </w:r>
      <w:r>
        <w:rPr>
          <w:spacing w:val="-4"/>
          <w:sz w:val="21"/>
        </w:rPr>
        <w:t>legal </w:t>
      </w:r>
      <w:r>
        <w:rPr>
          <w:spacing w:val="-5"/>
          <w:sz w:val="21"/>
        </w:rPr>
        <w:t>practitioner </w:t>
      </w:r>
      <w:r>
        <w:rPr>
          <w:spacing w:val="-3"/>
          <w:sz w:val="21"/>
        </w:rPr>
        <w:t>as </w:t>
      </w:r>
      <w:r>
        <w:rPr>
          <w:spacing w:val="-7"/>
          <w:sz w:val="21"/>
        </w:rPr>
        <w:t>executor, </w:t>
      </w:r>
      <w:r>
        <w:rPr>
          <w:spacing w:val="-4"/>
          <w:sz w:val="21"/>
        </w:rPr>
        <w:t>the </w:t>
      </w:r>
      <w:r>
        <w:rPr>
          <w:spacing w:val="-6"/>
          <w:sz w:val="21"/>
        </w:rPr>
        <w:t>Commission </w:t>
      </w:r>
      <w:r>
        <w:rPr>
          <w:spacing w:val="-4"/>
          <w:sz w:val="21"/>
        </w:rPr>
        <w:t>agrees </w:t>
      </w:r>
      <w:r>
        <w:rPr>
          <w:spacing w:val="-5"/>
          <w:sz w:val="21"/>
        </w:rPr>
        <w:t>that there </w:t>
      </w:r>
      <w:r>
        <w:rPr>
          <w:spacing w:val="-3"/>
          <w:sz w:val="21"/>
        </w:rPr>
        <w:t>is </w:t>
      </w:r>
      <w:r>
        <w:rPr>
          <w:sz w:val="21"/>
        </w:rPr>
        <w:t>a </w:t>
      </w:r>
      <w:r>
        <w:rPr>
          <w:spacing w:val="-5"/>
          <w:sz w:val="21"/>
        </w:rPr>
        <w:t>public interest </w:t>
      </w:r>
      <w:r>
        <w:rPr>
          <w:spacing w:val="-3"/>
          <w:sz w:val="21"/>
        </w:rPr>
        <w:t>in</w:t>
      </w:r>
      <w:r>
        <w:rPr>
          <w:spacing w:val="40"/>
          <w:sz w:val="21"/>
        </w:rPr>
        <w:t> </w:t>
      </w:r>
      <w:r>
        <w:rPr>
          <w:spacing w:val="-4"/>
          <w:sz w:val="21"/>
        </w:rPr>
        <w:t>legal</w:t>
      </w:r>
    </w:p>
    <w:p>
      <w:pPr>
        <w:pStyle w:val="BodyText"/>
        <w:spacing w:line="242" w:lineRule="auto" w:before="2"/>
        <w:ind w:left="2380" w:right="1585"/>
        <w:jc w:val="both"/>
        <w:rPr>
          <w:sz w:val="12"/>
        </w:rPr>
      </w:pPr>
      <w:r>
        <w:rPr>
          <w:spacing w:val="-4"/>
        </w:rPr>
        <w:t>practitioners </w:t>
      </w:r>
      <w:r>
        <w:rPr>
          <w:spacing w:val="-6"/>
        </w:rPr>
        <w:t>continuing  </w:t>
      </w:r>
      <w:r>
        <w:rPr>
          <w:spacing w:val="-4"/>
        </w:rPr>
        <w:t>to </w:t>
      </w:r>
      <w:r>
        <w:rPr/>
        <w:t>be </w:t>
      </w:r>
      <w:r>
        <w:rPr>
          <w:spacing w:val="-4"/>
        </w:rPr>
        <w:t>able to </w:t>
      </w:r>
      <w:r>
        <w:rPr>
          <w:spacing w:val="-5"/>
        </w:rPr>
        <w:t>provide executorial </w:t>
      </w:r>
      <w:r>
        <w:rPr>
          <w:spacing w:val="-4"/>
        </w:rPr>
        <w:t>services </w:t>
      </w:r>
      <w:r>
        <w:rPr>
          <w:spacing w:val="-5"/>
        </w:rPr>
        <w:t>for their </w:t>
      </w:r>
      <w:r>
        <w:rPr>
          <w:spacing w:val="-4"/>
        </w:rPr>
        <w:t>clients. That said, </w:t>
      </w:r>
      <w:r>
        <w:rPr>
          <w:spacing w:val="-3"/>
        </w:rPr>
        <w:t>it     is </w:t>
      </w:r>
      <w:r>
        <w:rPr>
          <w:spacing w:val="-4"/>
        </w:rPr>
        <w:t>all the more </w:t>
      </w:r>
      <w:r>
        <w:rPr>
          <w:spacing w:val="-5"/>
        </w:rPr>
        <w:t>reason </w:t>
      </w:r>
      <w:r>
        <w:rPr>
          <w:spacing w:val="-4"/>
        </w:rPr>
        <w:t>why the </w:t>
      </w:r>
      <w:r>
        <w:rPr>
          <w:spacing w:val="-5"/>
        </w:rPr>
        <w:t>provision </w:t>
      </w:r>
      <w:r>
        <w:rPr>
          <w:spacing w:val="-3"/>
        </w:rPr>
        <w:t>of </w:t>
      </w:r>
      <w:r>
        <w:rPr>
          <w:spacing w:val="-5"/>
        </w:rPr>
        <w:t>executorial  </w:t>
      </w:r>
      <w:r>
        <w:rPr>
          <w:spacing w:val="-4"/>
        </w:rPr>
        <w:t>services </w:t>
      </w:r>
      <w:r>
        <w:rPr>
          <w:spacing w:val="-5"/>
        </w:rPr>
        <w:t>should  </w:t>
      </w:r>
      <w:r>
        <w:rPr/>
        <w:t>be </w:t>
      </w:r>
      <w:r>
        <w:rPr>
          <w:spacing w:val="-5"/>
        </w:rPr>
        <w:t>squarely  recognised  </w:t>
      </w:r>
      <w:r>
        <w:rPr>
          <w:spacing w:val="-3"/>
        </w:rPr>
        <w:t>as </w:t>
      </w:r>
      <w:r>
        <w:rPr/>
        <w:t>a </w:t>
      </w:r>
      <w:r>
        <w:rPr>
          <w:spacing w:val="-4"/>
        </w:rPr>
        <w:t>function </w:t>
      </w:r>
      <w:r>
        <w:rPr>
          <w:spacing w:val="-5"/>
        </w:rPr>
        <w:t>that </w:t>
      </w:r>
      <w:r>
        <w:rPr>
          <w:spacing w:val="-4"/>
        </w:rPr>
        <w:t>law </w:t>
      </w:r>
      <w:r>
        <w:rPr>
          <w:spacing w:val="-5"/>
        </w:rPr>
        <w:t>practices </w:t>
      </w:r>
      <w:r>
        <w:rPr>
          <w:spacing w:val="-4"/>
        </w:rPr>
        <w:t>perform and </w:t>
      </w:r>
      <w:r>
        <w:rPr>
          <w:spacing w:val="-5"/>
        </w:rPr>
        <w:t>brought within </w:t>
      </w:r>
      <w:r>
        <w:rPr>
          <w:spacing w:val="-4"/>
        </w:rPr>
        <w:t>the </w:t>
      </w:r>
      <w:r>
        <w:rPr>
          <w:spacing w:val="-5"/>
        </w:rPr>
        <w:t>regulatory framework </w:t>
      </w:r>
      <w:r>
        <w:rPr>
          <w:spacing w:val="-3"/>
        </w:rPr>
        <w:t>of </w:t>
      </w:r>
      <w:r>
        <w:rPr>
          <w:spacing w:val="-4"/>
        </w:rPr>
        <w:t>the  legal</w:t>
      </w:r>
      <w:r>
        <w:rPr>
          <w:spacing w:val="9"/>
        </w:rPr>
        <w:t> </w:t>
      </w:r>
      <w:r>
        <w:rPr>
          <w:spacing w:val="-5"/>
        </w:rPr>
        <w:t>profession.</w:t>
      </w:r>
      <w:r>
        <w:rPr>
          <w:spacing w:val="10"/>
        </w:rPr>
        <w:t> </w:t>
      </w:r>
      <w:r>
        <w:rPr>
          <w:spacing w:val="-3"/>
        </w:rPr>
        <w:t>The</w:t>
      </w:r>
      <w:r>
        <w:rPr>
          <w:spacing w:val="10"/>
        </w:rPr>
        <w:t> </w:t>
      </w:r>
      <w:r>
        <w:rPr>
          <w:spacing w:val="-3"/>
        </w:rPr>
        <w:t>need</w:t>
      </w:r>
      <w:r>
        <w:rPr>
          <w:spacing w:val="10"/>
        </w:rPr>
        <w:t> </w:t>
      </w:r>
      <w:r>
        <w:rPr>
          <w:spacing w:val="-5"/>
        </w:rPr>
        <w:t>for</w:t>
      </w:r>
      <w:r>
        <w:rPr>
          <w:spacing w:val="10"/>
        </w:rPr>
        <w:t> </w:t>
      </w:r>
      <w:r>
        <w:rPr>
          <w:spacing w:val="-5"/>
        </w:rPr>
        <w:t>regulatory</w:t>
      </w:r>
      <w:r>
        <w:rPr>
          <w:spacing w:val="10"/>
        </w:rPr>
        <w:t> </w:t>
      </w:r>
      <w:r>
        <w:rPr>
          <w:spacing w:val="-5"/>
        </w:rPr>
        <w:t>reform</w:t>
      </w:r>
      <w:r>
        <w:rPr>
          <w:spacing w:val="10"/>
        </w:rPr>
        <w:t> </w:t>
      </w:r>
      <w:r>
        <w:rPr>
          <w:spacing w:val="-3"/>
        </w:rPr>
        <w:t>is</w:t>
      </w:r>
      <w:r>
        <w:rPr>
          <w:spacing w:val="9"/>
        </w:rPr>
        <w:t> </w:t>
      </w:r>
      <w:r>
        <w:rPr>
          <w:spacing w:val="-5"/>
        </w:rPr>
        <w:t>discussed</w:t>
      </w:r>
      <w:r>
        <w:rPr>
          <w:spacing w:val="10"/>
        </w:rPr>
        <w:t> </w:t>
      </w:r>
      <w:r>
        <w:rPr>
          <w:spacing w:val="-5"/>
        </w:rPr>
        <w:t>later</w:t>
      </w:r>
      <w:r>
        <w:rPr>
          <w:spacing w:val="10"/>
        </w:rPr>
        <w:t> </w:t>
      </w:r>
      <w:r>
        <w:rPr>
          <w:spacing w:val="-3"/>
        </w:rPr>
        <w:t>in</w:t>
      </w:r>
      <w:r>
        <w:rPr>
          <w:spacing w:val="10"/>
        </w:rPr>
        <w:t> </w:t>
      </w:r>
      <w:r>
        <w:rPr>
          <w:spacing w:val="-5"/>
        </w:rPr>
        <w:t>this</w:t>
      </w:r>
      <w:r>
        <w:rPr>
          <w:spacing w:val="10"/>
        </w:rPr>
        <w:t> </w:t>
      </w:r>
      <w:r>
        <w:rPr>
          <w:spacing w:val="-7"/>
        </w:rPr>
        <w:t>chapter.</w:t>
      </w:r>
      <w:r>
        <w:rPr>
          <w:spacing w:val="-7"/>
          <w:position w:val="7"/>
          <w:sz w:val="12"/>
        </w:rPr>
        <w:t>94</w:t>
      </w:r>
    </w:p>
    <w:p>
      <w:pPr>
        <w:pStyle w:val="BodyText"/>
        <w:spacing w:before="1"/>
        <w:rPr>
          <w:sz w:val="27"/>
        </w:rPr>
      </w:pPr>
    </w:p>
    <w:p>
      <w:pPr>
        <w:pStyle w:val="Heading6"/>
      </w:pPr>
      <w:r>
        <w:rPr>
          <w:color w:val="6D6E71"/>
          <w:w w:val="115"/>
        </w:rPr>
        <w:t>The need for legal practitioner education</w:t>
      </w:r>
    </w:p>
    <w:p>
      <w:pPr>
        <w:pStyle w:val="ListParagraph"/>
        <w:numPr>
          <w:ilvl w:val="1"/>
          <w:numId w:val="22"/>
        </w:numPr>
        <w:tabs>
          <w:tab w:pos="2382" w:val="left" w:leader="none"/>
        </w:tabs>
        <w:spacing w:line="242" w:lineRule="auto" w:before="151" w:after="0"/>
        <w:ind w:left="2381" w:right="1618" w:hanging="794"/>
        <w:jc w:val="both"/>
        <w:rPr>
          <w:sz w:val="12"/>
        </w:rPr>
      </w:pPr>
      <w:r>
        <w:rPr>
          <w:w w:val="105"/>
          <w:sz w:val="21"/>
        </w:rPr>
        <w:t>The</w:t>
      </w:r>
      <w:r>
        <w:rPr>
          <w:spacing w:val="-12"/>
          <w:w w:val="105"/>
          <w:sz w:val="21"/>
        </w:rPr>
        <w:t> </w:t>
      </w:r>
      <w:r>
        <w:rPr>
          <w:w w:val="105"/>
          <w:sz w:val="21"/>
        </w:rPr>
        <w:t>Law</w:t>
      </w:r>
      <w:r>
        <w:rPr>
          <w:spacing w:val="-12"/>
          <w:w w:val="105"/>
          <w:sz w:val="21"/>
        </w:rPr>
        <w:t> </w:t>
      </w:r>
      <w:r>
        <w:rPr>
          <w:spacing w:val="-3"/>
          <w:w w:val="105"/>
          <w:sz w:val="21"/>
        </w:rPr>
        <w:t>Institute</w:t>
      </w:r>
      <w:r>
        <w:rPr>
          <w:spacing w:val="-12"/>
          <w:w w:val="105"/>
          <w:sz w:val="21"/>
        </w:rPr>
        <w:t> </w:t>
      </w:r>
      <w:r>
        <w:rPr>
          <w:w w:val="105"/>
          <w:sz w:val="21"/>
        </w:rPr>
        <w:t>of</w:t>
      </w:r>
      <w:r>
        <w:rPr>
          <w:spacing w:val="-12"/>
          <w:w w:val="105"/>
          <w:sz w:val="21"/>
        </w:rPr>
        <w:t> </w:t>
      </w:r>
      <w:r>
        <w:rPr>
          <w:spacing w:val="-3"/>
          <w:w w:val="105"/>
          <w:sz w:val="21"/>
        </w:rPr>
        <w:t>Victoria’s</w:t>
      </w:r>
      <w:r>
        <w:rPr>
          <w:spacing w:val="-12"/>
          <w:w w:val="105"/>
          <w:sz w:val="21"/>
        </w:rPr>
        <w:t> </w:t>
      </w:r>
      <w:r>
        <w:rPr>
          <w:w w:val="105"/>
          <w:sz w:val="21"/>
        </w:rPr>
        <w:t>cost</w:t>
      </w:r>
      <w:r>
        <w:rPr>
          <w:spacing w:val="-12"/>
          <w:w w:val="105"/>
          <w:sz w:val="21"/>
        </w:rPr>
        <w:t> </w:t>
      </w:r>
      <w:r>
        <w:rPr>
          <w:w w:val="105"/>
          <w:sz w:val="21"/>
        </w:rPr>
        <w:t>lawyers</w:t>
      </w:r>
      <w:r>
        <w:rPr>
          <w:spacing w:val="-12"/>
          <w:w w:val="105"/>
          <w:sz w:val="21"/>
        </w:rPr>
        <w:t> </w:t>
      </w:r>
      <w:r>
        <w:rPr>
          <w:spacing w:val="-3"/>
          <w:w w:val="105"/>
          <w:sz w:val="21"/>
        </w:rPr>
        <w:t>have</w:t>
      </w:r>
      <w:r>
        <w:rPr>
          <w:spacing w:val="-12"/>
          <w:w w:val="105"/>
          <w:sz w:val="21"/>
        </w:rPr>
        <w:t> </w:t>
      </w:r>
      <w:r>
        <w:rPr>
          <w:w w:val="105"/>
          <w:sz w:val="21"/>
        </w:rPr>
        <w:t>observed</w:t>
      </w:r>
      <w:r>
        <w:rPr>
          <w:spacing w:val="-12"/>
          <w:w w:val="105"/>
          <w:sz w:val="21"/>
        </w:rPr>
        <w:t> </w:t>
      </w:r>
      <w:r>
        <w:rPr>
          <w:spacing w:val="-3"/>
          <w:w w:val="105"/>
          <w:sz w:val="21"/>
        </w:rPr>
        <w:t>that</w:t>
      </w:r>
      <w:r>
        <w:rPr>
          <w:spacing w:val="-12"/>
          <w:w w:val="105"/>
          <w:sz w:val="21"/>
        </w:rPr>
        <w:t> </w:t>
      </w:r>
      <w:r>
        <w:rPr>
          <w:w w:val="105"/>
          <w:sz w:val="21"/>
        </w:rPr>
        <w:t>legal</w:t>
      </w:r>
      <w:r>
        <w:rPr>
          <w:spacing w:val="-12"/>
          <w:w w:val="105"/>
          <w:sz w:val="21"/>
        </w:rPr>
        <w:t> </w:t>
      </w:r>
      <w:r>
        <w:rPr>
          <w:w w:val="105"/>
          <w:sz w:val="21"/>
        </w:rPr>
        <w:t>practitioner</w:t>
      </w:r>
      <w:r>
        <w:rPr>
          <w:spacing w:val="-12"/>
          <w:w w:val="105"/>
          <w:sz w:val="21"/>
        </w:rPr>
        <w:t> </w:t>
      </w:r>
      <w:r>
        <w:rPr>
          <w:w w:val="105"/>
          <w:sz w:val="21"/>
        </w:rPr>
        <w:t>executors need</w:t>
      </w:r>
      <w:r>
        <w:rPr>
          <w:spacing w:val="-8"/>
          <w:w w:val="105"/>
          <w:sz w:val="21"/>
        </w:rPr>
        <w:t> </w:t>
      </w:r>
      <w:r>
        <w:rPr>
          <w:spacing w:val="-3"/>
          <w:w w:val="105"/>
          <w:sz w:val="21"/>
        </w:rPr>
        <w:t>to</w:t>
      </w:r>
      <w:r>
        <w:rPr>
          <w:spacing w:val="-8"/>
          <w:w w:val="105"/>
          <w:sz w:val="21"/>
        </w:rPr>
        <w:t> </w:t>
      </w:r>
      <w:r>
        <w:rPr>
          <w:w w:val="105"/>
          <w:sz w:val="21"/>
        </w:rPr>
        <w:t>be</w:t>
      </w:r>
      <w:r>
        <w:rPr>
          <w:spacing w:val="-8"/>
          <w:w w:val="105"/>
          <w:sz w:val="21"/>
        </w:rPr>
        <w:t> </w:t>
      </w:r>
      <w:r>
        <w:rPr>
          <w:w w:val="105"/>
          <w:sz w:val="21"/>
        </w:rPr>
        <w:t>better</w:t>
      </w:r>
      <w:r>
        <w:rPr>
          <w:spacing w:val="-7"/>
          <w:w w:val="105"/>
          <w:sz w:val="21"/>
        </w:rPr>
        <w:t> </w:t>
      </w:r>
      <w:r>
        <w:rPr>
          <w:w w:val="105"/>
          <w:sz w:val="21"/>
        </w:rPr>
        <w:t>educated</w:t>
      </w:r>
      <w:r>
        <w:rPr>
          <w:spacing w:val="-8"/>
          <w:w w:val="105"/>
          <w:sz w:val="21"/>
        </w:rPr>
        <w:t> </w:t>
      </w:r>
      <w:r>
        <w:rPr>
          <w:w w:val="105"/>
          <w:sz w:val="21"/>
        </w:rPr>
        <w:t>about</w:t>
      </w:r>
      <w:r>
        <w:rPr>
          <w:spacing w:val="-8"/>
          <w:w w:val="105"/>
          <w:sz w:val="21"/>
        </w:rPr>
        <w:t> </w:t>
      </w:r>
      <w:r>
        <w:rPr>
          <w:w w:val="105"/>
          <w:sz w:val="21"/>
        </w:rPr>
        <w:t>when</w:t>
      </w:r>
      <w:r>
        <w:rPr>
          <w:spacing w:val="-8"/>
          <w:w w:val="105"/>
          <w:sz w:val="21"/>
        </w:rPr>
        <w:t> </w:t>
      </w:r>
      <w:r>
        <w:rPr>
          <w:w w:val="105"/>
          <w:sz w:val="21"/>
        </w:rPr>
        <w:t>they</w:t>
      </w:r>
      <w:r>
        <w:rPr>
          <w:spacing w:val="-7"/>
          <w:w w:val="105"/>
          <w:sz w:val="21"/>
        </w:rPr>
        <w:t> </w:t>
      </w:r>
      <w:r>
        <w:rPr>
          <w:w w:val="105"/>
          <w:sz w:val="21"/>
        </w:rPr>
        <w:t>can</w:t>
      </w:r>
      <w:r>
        <w:rPr>
          <w:spacing w:val="-8"/>
          <w:w w:val="105"/>
          <w:sz w:val="21"/>
        </w:rPr>
        <w:t> </w:t>
      </w:r>
      <w:r>
        <w:rPr>
          <w:spacing w:val="-3"/>
          <w:w w:val="105"/>
          <w:sz w:val="21"/>
        </w:rPr>
        <w:t>charge</w:t>
      </w:r>
      <w:r>
        <w:rPr>
          <w:spacing w:val="-8"/>
          <w:w w:val="105"/>
          <w:sz w:val="21"/>
        </w:rPr>
        <w:t> </w:t>
      </w:r>
      <w:r>
        <w:rPr>
          <w:spacing w:val="-3"/>
          <w:w w:val="105"/>
          <w:sz w:val="21"/>
        </w:rPr>
        <w:t>commission,</w:t>
      </w:r>
      <w:r>
        <w:rPr>
          <w:spacing w:val="-8"/>
          <w:w w:val="105"/>
          <w:sz w:val="21"/>
        </w:rPr>
        <w:t> </w:t>
      </w:r>
      <w:r>
        <w:rPr>
          <w:w w:val="105"/>
          <w:sz w:val="21"/>
        </w:rPr>
        <w:t>and</w:t>
      </w:r>
      <w:r>
        <w:rPr>
          <w:spacing w:val="-7"/>
          <w:w w:val="105"/>
          <w:sz w:val="21"/>
        </w:rPr>
        <w:t> </w:t>
      </w:r>
      <w:r>
        <w:rPr>
          <w:w w:val="105"/>
          <w:sz w:val="21"/>
        </w:rPr>
        <w:t>particularly</w:t>
      </w:r>
      <w:r>
        <w:rPr>
          <w:spacing w:val="-8"/>
          <w:w w:val="105"/>
          <w:sz w:val="21"/>
        </w:rPr>
        <w:t> </w:t>
      </w:r>
      <w:r>
        <w:rPr>
          <w:w w:val="105"/>
          <w:sz w:val="21"/>
        </w:rPr>
        <w:t>the need</w:t>
      </w:r>
      <w:r>
        <w:rPr>
          <w:spacing w:val="-17"/>
          <w:w w:val="105"/>
          <w:sz w:val="21"/>
        </w:rPr>
        <w:t> </w:t>
      </w:r>
      <w:r>
        <w:rPr>
          <w:spacing w:val="-3"/>
          <w:w w:val="105"/>
          <w:sz w:val="21"/>
        </w:rPr>
        <w:t>to</w:t>
      </w:r>
      <w:r>
        <w:rPr>
          <w:spacing w:val="-17"/>
          <w:w w:val="105"/>
          <w:sz w:val="21"/>
        </w:rPr>
        <w:t> </w:t>
      </w:r>
      <w:r>
        <w:rPr>
          <w:w w:val="105"/>
          <w:sz w:val="21"/>
        </w:rPr>
        <w:t>obtain</w:t>
      </w:r>
      <w:r>
        <w:rPr>
          <w:spacing w:val="-17"/>
          <w:w w:val="105"/>
          <w:sz w:val="21"/>
        </w:rPr>
        <w:t> </w:t>
      </w:r>
      <w:r>
        <w:rPr>
          <w:spacing w:val="-3"/>
          <w:w w:val="105"/>
          <w:sz w:val="21"/>
        </w:rPr>
        <w:t>informed</w:t>
      </w:r>
      <w:r>
        <w:rPr>
          <w:spacing w:val="-17"/>
          <w:w w:val="105"/>
          <w:sz w:val="21"/>
        </w:rPr>
        <w:t> </w:t>
      </w:r>
      <w:r>
        <w:rPr>
          <w:spacing w:val="-3"/>
          <w:w w:val="105"/>
          <w:sz w:val="21"/>
        </w:rPr>
        <w:t>consent.</w:t>
      </w:r>
      <w:r>
        <w:rPr>
          <w:spacing w:val="-17"/>
          <w:w w:val="105"/>
          <w:sz w:val="21"/>
        </w:rPr>
        <w:t> </w:t>
      </w:r>
      <w:r>
        <w:rPr>
          <w:w w:val="105"/>
          <w:sz w:val="21"/>
        </w:rPr>
        <w:t>Instances</w:t>
      </w:r>
      <w:r>
        <w:rPr>
          <w:spacing w:val="-17"/>
          <w:w w:val="105"/>
          <w:sz w:val="21"/>
        </w:rPr>
        <w:t> </w:t>
      </w:r>
      <w:r>
        <w:rPr>
          <w:w w:val="105"/>
          <w:sz w:val="21"/>
        </w:rPr>
        <w:t>where</w:t>
      </w:r>
      <w:r>
        <w:rPr>
          <w:spacing w:val="-17"/>
          <w:w w:val="105"/>
          <w:sz w:val="21"/>
        </w:rPr>
        <w:t> </w:t>
      </w:r>
      <w:r>
        <w:rPr>
          <w:w w:val="105"/>
          <w:sz w:val="21"/>
        </w:rPr>
        <w:t>the</w:t>
      </w:r>
      <w:r>
        <w:rPr>
          <w:spacing w:val="-17"/>
          <w:w w:val="105"/>
          <w:sz w:val="21"/>
        </w:rPr>
        <w:t> </w:t>
      </w:r>
      <w:r>
        <w:rPr>
          <w:w w:val="105"/>
          <w:sz w:val="21"/>
        </w:rPr>
        <w:t>practitioner</w:t>
      </w:r>
      <w:r>
        <w:rPr>
          <w:spacing w:val="-17"/>
          <w:w w:val="105"/>
          <w:sz w:val="21"/>
        </w:rPr>
        <w:t> </w:t>
      </w:r>
      <w:r>
        <w:rPr>
          <w:w w:val="105"/>
          <w:sz w:val="21"/>
        </w:rPr>
        <w:t>simply</w:t>
      </w:r>
      <w:r>
        <w:rPr>
          <w:spacing w:val="-17"/>
          <w:w w:val="105"/>
          <w:sz w:val="21"/>
        </w:rPr>
        <w:t> </w:t>
      </w:r>
      <w:r>
        <w:rPr>
          <w:w w:val="105"/>
          <w:sz w:val="21"/>
        </w:rPr>
        <w:t>misunderstands the </w:t>
      </w:r>
      <w:r>
        <w:rPr>
          <w:spacing w:val="-3"/>
          <w:w w:val="105"/>
          <w:sz w:val="21"/>
        </w:rPr>
        <w:t>requirements far </w:t>
      </w:r>
      <w:r>
        <w:rPr>
          <w:w w:val="105"/>
          <w:sz w:val="21"/>
        </w:rPr>
        <w:t>outnumber those of </w:t>
      </w:r>
      <w:r>
        <w:rPr>
          <w:spacing w:val="-3"/>
          <w:w w:val="105"/>
          <w:sz w:val="21"/>
        </w:rPr>
        <w:t>fraudulent</w:t>
      </w:r>
      <w:r>
        <w:rPr>
          <w:spacing w:val="29"/>
          <w:w w:val="105"/>
          <w:sz w:val="21"/>
        </w:rPr>
        <w:t> </w:t>
      </w:r>
      <w:r>
        <w:rPr>
          <w:spacing w:val="-4"/>
          <w:w w:val="105"/>
          <w:sz w:val="21"/>
        </w:rPr>
        <w:t>behaviour.</w:t>
      </w:r>
      <w:r>
        <w:rPr>
          <w:spacing w:val="-4"/>
          <w:w w:val="105"/>
          <w:position w:val="7"/>
          <w:sz w:val="12"/>
        </w:rPr>
        <w:t>95</w:t>
      </w:r>
    </w:p>
    <w:p>
      <w:pPr>
        <w:pStyle w:val="ListParagraph"/>
        <w:numPr>
          <w:ilvl w:val="1"/>
          <w:numId w:val="22"/>
        </w:numPr>
        <w:tabs>
          <w:tab w:pos="2381" w:val="left" w:leader="none"/>
          <w:tab w:pos="2382" w:val="left" w:leader="none"/>
        </w:tabs>
        <w:spacing w:line="242" w:lineRule="auto" w:before="124" w:after="0"/>
        <w:ind w:left="2381" w:right="2147" w:hanging="794"/>
        <w:jc w:val="left"/>
        <w:rPr>
          <w:sz w:val="21"/>
        </w:rPr>
      </w:pPr>
      <w:r>
        <w:rPr>
          <w:spacing w:val="-3"/>
          <w:w w:val="105"/>
          <w:sz w:val="21"/>
        </w:rPr>
        <w:t>According</w:t>
      </w:r>
      <w:r>
        <w:rPr>
          <w:spacing w:val="-9"/>
          <w:w w:val="105"/>
          <w:sz w:val="21"/>
        </w:rPr>
        <w:t> </w:t>
      </w:r>
      <w:r>
        <w:rPr>
          <w:spacing w:val="-3"/>
          <w:w w:val="105"/>
          <w:sz w:val="21"/>
        </w:rPr>
        <w:t>to</w:t>
      </w:r>
      <w:r>
        <w:rPr>
          <w:spacing w:val="-8"/>
          <w:w w:val="105"/>
          <w:sz w:val="21"/>
        </w:rPr>
        <w:t> </w:t>
      </w:r>
      <w:r>
        <w:rPr>
          <w:w w:val="105"/>
          <w:sz w:val="21"/>
        </w:rPr>
        <w:t>a</w:t>
      </w:r>
      <w:r>
        <w:rPr>
          <w:spacing w:val="-9"/>
          <w:w w:val="105"/>
          <w:sz w:val="21"/>
        </w:rPr>
        <w:t> </w:t>
      </w:r>
      <w:r>
        <w:rPr>
          <w:w w:val="105"/>
          <w:sz w:val="21"/>
        </w:rPr>
        <w:t>legal</w:t>
      </w:r>
      <w:r>
        <w:rPr>
          <w:spacing w:val="-8"/>
          <w:w w:val="105"/>
          <w:sz w:val="21"/>
        </w:rPr>
        <w:t> </w:t>
      </w:r>
      <w:r>
        <w:rPr>
          <w:spacing w:val="-3"/>
          <w:w w:val="105"/>
          <w:sz w:val="21"/>
        </w:rPr>
        <w:t>practitioner,</w:t>
      </w:r>
      <w:r>
        <w:rPr>
          <w:spacing w:val="-9"/>
          <w:w w:val="105"/>
          <w:sz w:val="21"/>
        </w:rPr>
        <w:t> </w:t>
      </w:r>
      <w:r>
        <w:rPr>
          <w:w w:val="105"/>
          <w:sz w:val="21"/>
        </w:rPr>
        <w:t>a</w:t>
      </w:r>
      <w:r>
        <w:rPr>
          <w:spacing w:val="-8"/>
          <w:w w:val="105"/>
          <w:sz w:val="21"/>
        </w:rPr>
        <w:t> </w:t>
      </w:r>
      <w:r>
        <w:rPr>
          <w:w w:val="105"/>
          <w:sz w:val="21"/>
        </w:rPr>
        <w:t>particular</w:t>
      </w:r>
      <w:r>
        <w:rPr>
          <w:spacing w:val="-9"/>
          <w:w w:val="105"/>
          <w:sz w:val="21"/>
        </w:rPr>
        <w:t> </w:t>
      </w:r>
      <w:r>
        <w:rPr>
          <w:w w:val="105"/>
          <w:sz w:val="21"/>
        </w:rPr>
        <w:t>problem</w:t>
      </w:r>
      <w:r>
        <w:rPr>
          <w:spacing w:val="-8"/>
          <w:w w:val="105"/>
          <w:sz w:val="21"/>
        </w:rPr>
        <w:t> </w:t>
      </w:r>
      <w:r>
        <w:rPr>
          <w:w w:val="105"/>
          <w:sz w:val="21"/>
        </w:rPr>
        <w:t>with</w:t>
      </w:r>
      <w:r>
        <w:rPr>
          <w:spacing w:val="-9"/>
          <w:w w:val="105"/>
          <w:sz w:val="21"/>
        </w:rPr>
        <w:t> </w:t>
      </w:r>
      <w:r>
        <w:rPr>
          <w:w w:val="105"/>
          <w:sz w:val="21"/>
        </w:rPr>
        <w:t>legal</w:t>
      </w:r>
      <w:r>
        <w:rPr>
          <w:spacing w:val="-8"/>
          <w:w w:val="105"/>
          <w:sz w:val="21"/>
        </w:rPr>
        <w:t> </w:t>
      </w:r>
      <w:r>
        <w:rPr>
          <w:w w:val="105"/>
          <w:sz w:val="21"/>
        </w:rPr>
        <w:t>practitioners</w:t>
      </w:r>
      <w:r>
        <w:rPr>
          <w:spacing w:val="-9"/>
          <w:w w:val="105"/>
          <w:sz w:val="21"/>
        </w:rPr>
        <w:t> </w:t>
      </w:r>
      <w:r>
        <w:rPr>
          <w:w w:val="105"/>
          <w:sz w:val="21"/>
        </w:rPr>
        <w:t>acting as</w:t>
      </w:r>
      <w:r>
        <w:rPr>
          <w:spacing w:val="-5"/>
          <w:w w:val="105"/>
          <w:sz w:val="21"/>
        </w:rPr>
        <w:t> </w:t>
      </w:r>
      <w:r>
        <w:rPr>
          <w:w w:val="105"/>
          <w:sz w:val="21"/>
        </w:rPr>
        <w:t>executors</w:t>
      </w:r>
      <w:r>
        <w:rPr>
          <w:spacing w:val="-4"/>
          <w:w w:val="105"/>
          <w:sz w:val="21"/>
        </w:rPr>
        <w:t> </w:t>
      </w:r>
      <w:r>
        <w:rPr>
          <w:w w:val="105"/>
          <w:sz w:val="21"/>
        </w:rPr>
        <w:t>is</w:t>
      </w:r>
      <w:r>
        <w:rPr>
          <w:spacing w:val="-5"/>
          <w:w w:val="105"/>
          <w:sz w:val="21"/>
        </w:rPr>
        <w:t> </w:t>
      </w:r>
      <w:r>
        <w:rPr>
          <w:spacing w:val="-3"/>
          <w:w w:val="105"/>
          <w:sz w:val="21"/>
        </w:rPr>
        <w:t>that</w:t>
      </w:r>
      <w:r>
        <w:rPr>
          <w:spacing w:val="-4"/>
          <w:w w:val="105"/>
          <w:sz w:val="21"/>
        </w:rPr>
        <w:t> </w:t>
      </w:r>
      <w:r>
        <w:rPr>
          <w:spacing w:val="-3"/>
          <w:w w:val="105"/>
          <w:sz w:val="21"/>
        </w:rPr>
        <w:t>many</w:t>
      </w:r>
      <w:r>
        <w:rPr>
          <w:spacing w:val="-5"/>
          <w:w w:val="105"/>
          <w:sz w:val="21"/>
        </w:rPr>
        <w:t> </w:t>
      </w:r>
      <w:r>
        <w:rPr>
          <w:w w:val="105"/>
          <w:sz w:val="21"/>
        </w:rPr>
        <w:t>of</w:t>
      </w:r>
      <w:r>
        <w:rPr>
          <w:spacing w:val="-4"/>
          <w:w w:val="105"/>
          <w:sz w:val="21"/>
        </w:rPr>
        <w:t> </w:t>
      </w:r>
      <w:r>
        <w:rPr>
          <w:w w:val="105"/>
          <w:sz w:val="21"/>
        </w:rPr>
        <w:t>those</w:t>
      </w:r>
      <w:r>
        <w:rPr>
          <w:spacing w:val="-4"/>
          <w:w w:val="105"/>
          <w:sz w:val="21"/>
        </w:rPr>
        <w:t> </w:t>
      </w:r>
      <w:r>
        <w:rPr>
          <w:w w:val="105"/>
          <w:sz w:val="21"/>
        </w:rPr>
        <w:t>who</w:t>
      </w:r>
      <w:r>
        <w:rPr>
          <w:spacing w:val="-5"/>
          <w:w w:val="105"/>
          <w:sz w:val="21"/>
        </w:rPr>
        <w:t> </w:t>
      </w:r>
      <w:r>
        <w:rPr>
          <w:spacing w:val="-3"/>
          <w:w w:val="105"/>
          <w:sz w:val="21"/>
        </w:rPr>
        <w:t>take</w:t>
      </w:r>
      <w:r>
        <w:rPr>
          <w:spacing w:val="-4"/>
          <w:w w:val="105"/>
          <w:sz w:val="21"/>
        </w:rPr>
        <w:t> </w:t>
      </w:r>
      <w:r>
        <w:rPr>
          <w:w w:val="105"/>
          <w:sz w:val="21"/>
        </w:rPr>
        <w:t>on</w:t>
      </w:r>
      <w:r>
        <w:rPr>
          <w:spacing w:val="-5"/>
          <w:w w:val="105"/>
          <w:sz w:val="21"/>
        </w:rPr>
        <w:t> </w:t>
      </w:r>
      <w:r>
        <w:rPr>
          <w:w w:val="105"/>
          <w:sz w:val="21"/>
        </w:rPr>
        <w:t>the</w:t>
      </w:r>
      <w:r>
        <w:rPr>
          <w:spacing w:val="-4"/>
          <w:w w:val="105"/>
          <w:sz w:val="21"/>
        </w:rPr>
        <w:t> </w:t>
      </w:r>
      <w:r>
        <w:rPr>
          <w:w w:val="105"/>
          <w:sz w:val="21"/>
        </w:rPr>
        <w:t>role</w:t>
      </w:r>
      <w:r>
        <w:rPr>
          <w:spacing w:val="-5"/>
          <w:w w:val="105"/>
          <w:sz w:val="21"/>
        </w:rPr>
        <w:t> </w:t>
      </w:r>
      <w:r>
        <w:rPr>
          <w:spacing w:val="-3"/>
          <w:w w:val="105"/>
          <w:sz w:val="21"/>
        </w:rPr>
        <w:t>are</w:t>
      </w:r>
      <w:r>
        <w:rPr>
          <w:spacing w:val="-4"/>
          <w:w w:val="105"/>
          <w:sz w:val="21"/>
        </w:rPr>
        <w:t> </w:t>
      </w:r>
      <w:r>
        <w:rPr>
          <w:w w:val="105"/>
          <w:sz w:val="21"/>
        </w:rPr>
        <w:t>inexperienced.</w:t>
      </w:r>
      <w:r>
        <w:rPr>
          <w:spacing w:val="-4"/>
          <w:w w:val="105"/>
          <w:sz w:val="21"/>
        </w:rPr>
        <w:t> </w:t>
      </w:r>
      <w:r>
        <w:rPr>
          <w:spacing w:val="-3"/>
          <w:w w:val="105"/>
          <w:sz w:val="21"/>
        </w:rPr>
        <w:t>Many</w:t>
      </w:r>
    </w:p>
    <w:p>
      <w:pPr>
        <w:pStyle w:val="BodyText"/>
        <w:spacing w:line="242" w:lineRule="auto" w:before="2"/>
        <w:ind w:left="2381" w:right="1732"/>
        <w:rPr>
          <w:sz w:val="12"/>
        </w:rPr>
      </w:pPr>
      <w:r>
        <w:rPr/>
        <w:t>experienced practitioners </w:t>
      </w:r>
      <w:r>
        <w:rPr>
          <w:spacing w:val="-3"/>
        </w:rPr>
        <w:t>will  </w:t>
      </w:r>
      <w:r>
        <w:rPr>
          <w:spacing w:val="-2"/>
        </w:rPr>
        <w:t>not  </w:t>
      </w:r>
      <w:r>
        <w:rPr/>
        <w:t>do it.</w:t>
      </w:r>
      <w:r>
        <w:rPr>
          <w:position w:val="7"/>
          <w:sz w:val="12"/>
        </w:rPr>
        <w:t>96   </w:t>
      </w:r>
      <w:r>
        <w:rPr/>
        <w:t>Another problem is </w:t>
      </w:r>
      <w:r>
        <w:rPr>
          <w:spacing w:val="-3"/>
        </w:rPr>
        <w:t>that,  although  drafting  wills </w:t>
      </w:r>
      <w:r>
        <w:rPr/>
        <w:t>is one of the more difficult tasks </w:t>
      </w:r>
      <w:r>
        <w:rPr>
          <w:spacing w:val="-3"/>
        </w:rPr>
        <w:t>that </w:t>
      </w:r>
      <w:r>
        <w:rPr/>
        <w:t>a lawyer undertakes, the legal </w:t>
      </w:r>
      <w:r>
        <w:rPr>
          <w:spacing w:val="-3"/>
        </w:rPr>
        <w:t>profession </w:t>
      </w:r>
      <w:r>
        <w:rPr/>
        <w:t>reportedly </w:t>
      </w:r>
      <w:r>
        <w:rPr>
          <w:spacing w:val="-2"/>
        </w:rPr>
        <w:t>has  </w:t>
      </w:r>
      <w:r>
        <w:rPr/>
        <w:t>a general </w:t>
      </w:r>
      <w:r>
        <w:rPr>
          <w:spacing w:val="-3"/>
        </w:rPr>
        <w:t>disregard  for  </w:t>
      </w:r>
      <w:r>
        <w:rPr/>
        <w:t>it and sees it as work </w:t>
      </w:r>
      <w:r>
        <w:rPr>
          <w:spacing w:val="-3"/>
        </w:rPr>
        <w:t>to  </w:t>
      </w:r>
      <w:r>
        <w:rPr/>
        <w:t>be given </w:t>
      </w:r>
      <w:r>
        <w:rPr>
          <w:spacing w:val="-3"/>
        </w:rPr>
        <w:t>to  </w:t>
      </w:r>
      <w:r>
        <w:rPr/>
        <w:t>less experienced and  </w:t>
      </w:r>
      <w:r>
        <w:rPr>
          <w:spacing w:val="-3"/>
        </w:rPr>
        <w:t>junior staff. </w:t>
      </w:r>
      <w:r>
        <w:rPr/>
        <w:t>This attitude and the </w:t>
      </w:r>
      <w:r>
        <w:rPr>
          <w:spacing w:val="-3"/>
        </w:rPr>
        <w:t>resulting </w:t>
      </w:r>
      <w:r>
        <w:rPr/>
        <w:t>poor </w:t>
      </w:r>
      <w:r>
        <w:rPr>
          <w:spacing w:val="-3"/>
        </w:rPr>
        <w:t>drafting </w:t>
      </w:r>
      <w:r>
        <w:rPr/>
        <w:t>lead  </w:t>
      </w:r>
      <w:r>
        <w:rPr>
          <w:spacing w:val="-3"/>
        </w:rPr>
        <w:t>to  </w:t>
      </w:r>
      <w:r>
        <w:rPr/>
        <w:t>impractical  and  </w:t>
      </w:r>
      <w:r>
        <w:rPr>
          <w:spacing w:val="-3"/>
        </w:rPr>
        <w:t>invalid wills. Promoting </w:t>
      </w:r>
      <w:r>
        <w:rPr/>
        <w:t>integrity in the </w:t>
      </w:r>
      <w:r>
        <w:rPr>
          <w:spacing w:val="-3"/>
        </w:rPr>
        <w:t>drafting </w:t>
      </w:r>
      <w:r>
        <w:rPr/>
        <w:t>process </w:t>
      </w:r>
      <w:r>
        <w:rPr>
          <w:spacing w:val="-2"/>
        </w:rPr>
        <w:t>prevents </w:t>
      </w:r>
      <w:r>
        <w:rPr/>
        <w:t>serious </w:t>
      </w:r>
      <w:r>
        <w:rPr>
          <w:spacing w:val="-2"/>
        </w:rPr>
        <w:t>problems</w:t>
      </w:r>
      <w:r>
        <w:rPr>
          <w:spacing w:val="21"/>
        </w:rPr>
        <w:t> </w:t>
      </w:r>
      <w:r>
        <w:rPr>
          <w:spacing w:val="-5"/>
        </w:rPr>
        <w:t>later.</w:t>
      </w:r>
      <w:r>
        <w:rPr>
          <w:spacing w:val="-5"/>
          <w:position w:val="7"/>
          <w:sz w:val="12"/>
        </w:rPr>
        <w:t>97</w:t>
      </w:r>
    </w:p>
    <w:p>
      <w:pPr>
        <w:pStyle w:val="ListParagraph"/>
        <w:numPr>
          <w:ilvl w:val="1"/>
          <w:numId w:val="22"/>
        </w:numPr>
        <w:tabs>
          <w:tab w:pos="2380" w:val="left" w:leader="none"/>
          <w:tab w:pos="2381" w:val="left" w:leader="none"/>
        </w:tabs>
        <w:spacing w:line="242" w:lineRule="auto" w:before="126" w:after="0"/>
        <w:ind w:left="2381" w:right="2043" w:hanging="794"/>
        <w:jc w:val="left"/>
        <w:rPr>
          <w:sz w:val="21"/>
        </w:rPr>
      </w:pPr>
      <w:r>
        <w:rPr>
          <w:spacing w:val="-3"/>
          <w:w w:val="105"/>
          <w:sz w:val="21"/>
        </w:rPr>
        <w:t>These </w:t>
      </w:r>
      <w:r>
        <w:rPr>
          <w:spacing w:val="-4"/>
          <w:w w:val="105"/>
          <w:sz w:val="21"/>
        </w:rPr>
        <w:t>observations are </w:t>
      </w:r>
      <w:r>
        <w:rPr>
          <w:spacing w:val="-5"/>
          <w:w w:val="105"/>
          <w:sz w:val="21"/>
        </w:rPr>
        <w:t>consistent </w:t>
      </w:r>
      <w:r>
        <w:rPr>
          <w:spacing w:val="-3"/>
          <w:w w:val="105"/>
          <w:sz w:val="21"/>
        </w:rPr>
        <w:t>with </w:t>
      </w:r>
      <w:r>
        <w:rPr>
          <w:spacing w:val="-4"/>
          <w:w w:val="105"/>
          <w:sz w:val="21"/>
        </w:rPr>
        <w:t>comments </w:t>
      </w:r>
      <w:r>
        <w:rPr>
          <w:spacing w:val="-3"/>
          <w:w w:val="105"/>
          <w:sz w:val="21"/>
        </w:rPr>
        <w:t>made at </w:t>
      </w:r>
      <w:r>
        <w:rPr>
          <w:w w:val="105"/>
          <w:sz w:val="21"/>
        </w:rPr>
        <w:t>a </w:t>
      </w:r>
      <w:r>
        <w:rPr>
          <w:spacing w:val="-4"/>
          <w:w w:val="105"/>
          <w:sz w:val="21"/>
        </w:rPr>
        <w:t>roundtable </w:t>
      </w:r>
      <w:r>
        <w:rPr>
          <w:spacing w:val="-5"/>
          <w:w w:val="105"/>
          <w:sz w:val="21"/>
        </w:rPr>
        <w:t>convened </w:t>
      </w:r>
      <w:r>
        <w:rPr>
          <w:spacing w:val="-3"/>
          <w:w w:val="105"/>
          <w:sz w:val="21"/>
        </w:rPr>
        <w:t>by the </w:t>
      </w:r>
      <w:r>
        <w:rPr>
          <w:spacing w:val="-4"/>
          <w:w w:val="105"/>
          <w:sz w:val="21"/>
        </w:rPr>
        <w:t>Legal </w:t>
      </w:r>
      <w:r>
        <w:rPr>
          <w:spacing w:val="-3"/>
          <w:w w:val="105"/>
          <w:sz w:val="21"/>
        </w:rPr>
        <w:t>Services </w:t>
      </w:r>
      <w:r>
        <w:rPr>
          <w:spacing w:val="-5"/>
          <w:w w:val="105"/>
          <w:sz w:val="21"/>
        </w:rPr>
        <w:t>Commissioner </w:t>
      </w:r>
      <w:r>
        <w:rPr>
          <w:spacing w:val="-3"/>
          <w:w w:val="105"/>
          <w:sz w:val="21"/>
        </w:rPr>
        <w:t>in </w:t>
      </w:r>
      <w:r>
        <w:rPr>
          <w:spacing w:val="-9"/>
          <w:w w:val="105"/>
          <w:sz w:val="21"/>
        </w:rPr>
        <w:t>2010 </w:t>
      </w:r>
      <w:r>
        <w:rPr>
          <w:spacing w:val="-3"/>
          <w:w w:val="105"/>
          <w:sz w:val="21"/>
        </w:rPr>
        <w:t>in </w:t>
      </w:r>
      <w:r>
        <w:rPr>
          <w:spacing w:val="-4"/>
          <w:w w:val="105"/>
          <w:sz w:val="21"/>
        </w:rPr>
        <w:t>response to </w:t>
      </w:r>
      <w:r>
        <w:rPr>
          <w:spacing w:val="-3"/>
          <w:w w:val="105"/>
          <w:sz w:val="21"/>
        </w:rPr>
        <w:t>the </w:t>
      </w:r>
      <w:r>
        <w:rPr>
          <w:spacing w:val="-4"/>
          <w:w w:val="105"/>
          <w:sz w:val="21"/>
        </w:rPr>
        <w:t>high number </w:t>
      </w:r>
      <w:r>
        <w:rPr>
          <w:spacing w:val="-3"/>
          <w:w w:val="105"/>
          <w:sz w:val="21"/>
        </w:rPr>
        <w:t>of</w:t>
      </w:r>
      <w:r>
        <w:rPr>
          <w:spacing w:val="34"/>
          <w:w w:val="105"/>
          <w:sz w:val="21"/>
        </w:rPr>
        <w:t> </w:t>
      </w:r>
      <w:r>
        <w:rPr>
          <w:spacing w:val="-5"/>
          <w:w w:val="105"/>
          <w:sz w:val="21"/>
        </w:rPr>
        <w:t>complaints</w:t>
      </w:r>
    </w:p>
    <w:p>
      <w:pPr>
        <w:pStyle w:val="BodyText"/>
        <w:spacing w:line="242" w:lineRule="auto" w:before="2"/>
        <w:ind w:left="2381" w:right="1826" w:hanging="1"/>
      </w:pPr>
      <w:r>
        <w:rPr>
          <w:spacing w:val="-4"/>
        </w:rPr>
        <w:t>being </w:t>
      </w:r>
      <w:r>
        <w:rPr>
          <w:spacing w:val="-3"/>
        </w:rPr>
        <w:t>made about </w:t>
      </w:r>
      <w:r>
        <w:rPr>
          <w:spacing w:val="-5"/>
        </w:rPr>
        <w:t>probate </w:t>
      </w:r>
      <w:r>
        <w:rPr>
          <w:spacing w:val="-4"/>
        </w:rPr>
        <w:t>and </w:t>
      </w:r>
      <w:r>
        <w:rPr>
          <w:spacing w:val="-3"/>
        </w:rPr>
        <w:t>estate </w:t>
      </w:r>
      <w:r>
        <w:rPr>
          <w:spacing w:val="-4"/>
        </w:rPr>
        <w:t>matters.</w:t>
      </w:r>
      <w:r>
        <w:rPr>
          <w:spacing w:val="-4"/>
          <w:position w:val="7"/>
          <w:sz w:val="12"/>
        </w:rPr>
        <w:t>98 </w:t>
      </w:r>
      <w:r>
        <w:rPr>
          <w:spacing w:val="-4"/>
        </w:rPr>
        <w:t>Representatives </w:t>
      </w:r>
      <w:r>
        <w:rPr>
          <w:spacing w:val="-3"/>
        </w:rPr>
        <w:t>of the </w:t>
      </w:r>
      <w:r>
        <w:rPr>
          <w:spacing w:val="-5"/>
        </w:rPr>
        <w:t>judiciary, </w:t>
      </w:r>
      <w:r>
        <w:rPr>
          <w:spacing w:val="-3"/>
        </w:rPr>
        <w:t>the </w:t>
      </w:r>
      <w:r>
        <w:rPr>
          <w:spacing w:val="-4"/>
        </w:rPr>
        <w:t>legal </w:t>
      </w:r>
      <w:r>
        <w:rPr>
          <w:spacing w:val="-5"/>
        </w:rPr>
        <w:t>profession, consumer </w:t>
      </w:r>
      <w:r>
        <w:rPr>
          <w:spacing w:val="-3"/>
        </w:rPr>
        <w:t>advocacy </w:t>
      </w:r>
      <w:r>
        <w:rPr>
          <w:spacing w:val="-4"/>
        </w:rPr>
        <w:t>groups and </w:t>
      </w:r>
      <w:r>
        <w:rPr>
          <w:spacing w:val="-3"/>
        </w:rPr>
        <w:t>service </w:t>
      </w:r>
      <w:r>
        <w:rPr>
          <w:spacing w:val="-5"/>
        </w:rPr>
        <w:t>organisations  </w:t>
      </w:r>
      <w:r>
        <w:rPr>
          <w:spacing w:val="-4"/>
        </w:rPr>
        <w:t>attended.  </w:t>
      </w:r>
      <w:r>
        <w:rPr/>
        <w:t>It </w:t>
      </w:r>
      <w:r>
        <w:rPr>
          <w:spacing w:val="-4"/>
        </w:rPr>
        <w:t>emerged  from </w:t>
      </w:r>
      <w:r>
        <w:rPr>
          <w:spacing w:val="-3"/>
        </w:rPr>
        <w:t>the</w:t>
      </w:r>
      <w:r>
        <w:rPr>
          <w:spacing w:val="17"/>
        </w:rPr>
        <w:t> </w:t>
      </w:r>
      <w:r>
        <w:rPr>
          <w:spacing w:val="-4"/>
        </w:rPr>
        <w:t>discussion</w:t>
      </w:r>
      <w:r>
        <w:rPr>
          <w:spacing w:val="18"/>
        </w:rPr>
        <w:t> </w:t>
      </w:r>
      <w:r>
        <w:rPr>
          <w:spacing w:val="-4"/>
        </w:rPr>
        <w:t>that</w:t>
      </w:r>
      <w:r>
        <w:rPr>
          <w:spacing w:val="18"/>
        </w:rPr>
        <w:t> </w:t>
      </w:r>
      <w:r>
        <w:rPr>
          <w:spacing w:val="-4"/>
        </w:rPr>
        <w:t>there</w:t>
      </w:r>
      <w:r>
        <w:rPr>
          <w:spacing w:val="17"/>
        </w:rPr>
        <w:t> </w:t>
      </w:r>
      <w:r>
        <w:rPr>
          <w:spacing w:val="-3"/>
        </w:rPr>
        <w:t>is</w:t>
      </w:r>
      <w:r>
        <w:rPr>
          <w:spacing w:val="18"/>
        </w:rPr>
        <w:t> </w:t>
      </w:r>
      <w:r>
        <w:rPr/>
        <w:t>a</w:t>
      </w:r>
      <w:r>
        <w:rPr>
          <w:spacing w:val="18"/>
        </w:rPr>
        <w:t> </w:t>
      </w:r>
      <w:r>
        <w:rPr>
          <w:spacing w:val="-4"/>
        </w:rPr>
        <w:t>generally</w:t>
      </w:r>
      <w:r>
        <w:rPr>
          <w:spacing w:val="18"/>
        </w:rPr>
        <w:t> </w:t>
      </w:r>
      <w:r>
        <w:rPr>
          <w:spacing w:val="-3"/>
        </w:rPr>
        <w:t>poor</w:t>
      </w:r>
      <w:r>
        <w:rPr>
          <w:spacing w:val="17"/>
        </w:rPr>
        <w:t> </w:t>
      </w:r>
      <w:r>
        <w:rPr>
          <w:spacing w:val="-4"/>
        </w:rPr>
        <w:t>understanding</w:t>
      </w:r>
      <w:r>
        <w:rPr>
          <w:spacing w:val="18"/>
        </w:rPr>
        <w:t> </w:t>
      </w:r>
      <w:r>
        <w:rPr>
          <w:spacing w:val="-4"/>
        </w:rPr>
        <w:t>among</w:t>
      </w:r>
      <w:r>
        <w:rPr>
          <w:spacing w:val="18"/>
        </w:rPr>
        <w:t> </w:t>
      </w:r>
      <w:r>
        <w:rPr>
          <w:spacing w:val="-4"/>
        </w:rPr>
        <w:t>legal</w:t>
      </w:r>
      <w:r>
        <w:rPr>
          <w:spacing w:val="18"/>
        </w:rPr>
        <w:t> </w:t>
      </w:r>
      <w:r>
        <w:rPr>
          <w:spacing w:val="-4"/>
        </w:rPr>
        <w:t>practitioners</w:t>
      </w:r>
      <w:r>
        <w:rPr>
          <w:spacing w:val="17"/>
        </w:rPr>
        <w:t> </w:t>
      </w:r>
      <w:r>
        <w:rPr>
          <w:spacing w:val="-4"/>
        </w:rPr>
        <w:t>of:</w:t>
      </w:r>
    </w:p>
    <w:p>
      <w:pPr>
        <w:pStyle w:val="ListParagraph"/>
        <w:numPr>
          <w:ilvl w:val="2"/>
          <w:numId w:val="22"/>
        </w:numPr>
        <w:tabs>
          <w:tab w:pos="2721" w:val="left" w:leader="none"/>
          <w:tab w:pos="2722" w:val="left" w:leader="none"/>
        </w:tabs>
        <w:spacing w:line="240" w:lineRule="auto" w:before="123" w:after="0"/>
        <w:ind w:left="2721" w:right="0" w:hanging="340"/>
        <w:jc w:val="left"/>
        <w:rPr>
          <w:sz w:val="21"/>
        </w:rPr>
      </w:pPr>
      <w:r>
        <w:rPr>
          <w:w w:val="105"/>
          <w:sz w:val="21"/>
        </w:rPr>
        <w:t>the costs they can </w:t>
      </w:r>
      <w:r>
        <w:rPr>
          <w:spacing w:val="-3"/>
          <w:w w:val="105"/>
          <w:sz w:val="21"/>
        </w:rPr>
        <w:t>legitimately charge </w:t>
      </w:r>
      <w:r>
        <w:rPr>
          <w:w w:val="105"/>
          <w:sz w:val="21"/>
        </w:rPr>
        <w:t>when acting as</w:t>
      </w:r>
      <w:r>
        <w:rPr>
          <w:spacing w:val="45"/>
          <w:w w:val="105"/>
          <w:sz w:val="21"/>
        </w:rPr>
        <w:t> </w:t>
      </w:r>
      <w:r>
        <w:rPr>
          <w:spacing w:val="-3"/>
          <w:w w:val="105"/>
          <w:sz w:val="21"/>
        </w:rPr>
        <w:t>executor</w:t>
      </w:r>
    </w:p>
    <w:p>
      <w:pPr>
        <w:pStyle w:val="ListParagraph"/>
        <w:numPr>
          <w:ilvl w:val="2"/>
          <w:numId w:val="22"/>
        </w:numPr>
        <w:tabs>
          <w:tab w:pos="2721" w:val="left" w:leader="none"/>
          <w:tab w:pos="2722" w:val="left" w:leader="none"/>
        </w:tabs>
        <w:spacing w:line="240" w:lineRule="auto" w:before="124" w:after="0"/>
        <w:ind w:left="2721" w:right="0" w:hanging="340"/>
        <w:jc w:val="left"/>
        <w:rPr>
          <w:sz w:val="21"/>
        </w:rPr>
      </w:pPr>
      <w:r>
        <w:rPr>
          <w:sz w:val="21"/>
        </w:rPr>
        <w:t>whether</w:t>
      </w:r>
      <w:r>
        <w:rPr>
          <w:spacing w:val="9"/>
          <w:sz w:val="21"/>
        </w:rPr>
        <w:t> </w:t>
      </w:r>
      <w:r>
        <w:rPr>
          <w:sz w:val="21"/>
        </w:rPr>
        <w:t>they</w:t>
      </w:r>
      <w:r>
        <w:rPr>
          <w:spacing w:val="10"/>
          <w:sz w:val="21"/>
        </w:rPr>
        <w:t> </w:t>
      </w:r>
      <w:r>
        <w:rPr>
          <w:sz w:val="21"/>
        </w:rPr>
        <w:t>can</w:t>
      </w:r>
      <w:r>
        <w:rPr>
          <w:spacing w:val="10"/>
          <w:sz w:val="21"/>
        </w:rPr>
        <w:t> </w:t>
      </w:r>
      <w:r>
        <w:rPr>
          <w:spacing w:val="-3"/>
          <w:sz w:val="21"/>
        </w:rPr>
        <w:t>charge</w:t>
      </w:r>
      <w:r>
        <w:rPr>
          <w:spacing w:val="9"/>
          <w:sz w:val="21"/>
        </w:rPr>
        <w:t> </w:t>
      </w:r>
      <w:r>
        <w:rPr>
          <w:spacing w:val="-3"/>
          <w:sz w:val="21"/>
        </w:rPr>
        <w:t>commission</w:t>
      </w:r>
      <w:r>
        <w:rPr>
          <w:spacing w:val="10"/>
          <w:sz w:val="21"/>
        </w:rPr>
        <w:t> </w:t>
      </w:r>
      <w:r>
        <w:rPr>
          <w:spacing w:val="-3"/>
          <w:sz w:val="21"/>
        </w:rPr>
        <w:t>for</w:t>
      </w:r>
      <w:r>
        <w:rPr>
          <w:spacing w:val="10"/>
          <w:sz w:val="21"/>
        </w:rPr>
        <w:t> </w:t>
      </w:r>
      <w:r>
        <w:rPr>
          <w:sz w:val="21"/>
        </w:rPr>
        <w:t>their</w:t>
      </w:r>
      <w:r>
        <w:rPr>
          <w:spacing w:val="10"/>
          <w:sz w:val="21"/>
        </w:rPr>
        <w:t> </w:t>
      </w:r>
      <w:r>
        <w:rPr>
          <w:spacing w:val="-3"/>
          <w:sz w:val="21"/>
        </w:rPr>
        <w:t>executorial</w:t>
      </w:r>
      <w:r>
        <w:rPr>
          <w:spacing w:val="9"/>
          <w:sz w:val="21"/>
        </w:rPr>
        <w:t> </w:t>
      </w:r>
      <w:r>
        <w:rPr>
          <w:sz w:val="21"/>
        </w:rPr>
        <w:t>duties</w:t>
      </w:r>
    </w:p>
    <w:p>
      <w:pPr>
        <w:pStyle w:val="ListParagraph"/>
        <w:numPr>
          <w:ilvl w:val="2"/>
          <w:numId w:val="22"/>
        </w:numPr>
        <w:tabs>
          <w:tab w:pos="2721" w:val="left" w:leader="none"/>
          <w:tab w:pos="2722" w:val="left" w:leader="none"/>
        </w:tabs>
        <w:spacing w:line="240" w:lineRule="auto" w:before="124" w:after="0"/>
        <w:ind w:left="2721" w:right="0" w:hanging="340"/>
        <w:jc w:val="left"/>
        <w:rPr>
          <w:sz w:val="21"/>
        </w:rPr>
      </w:pPr>
      <w:r>
        <w:rPr>
          <w:w w:val="105"/>
          <w:sz w:val="21"/>
        </w:rPr>
        <w:t>the fact </w:t>
      </w:r>
      <w:r>
        <w:rPr>
          <w:spacing w:val="-3"/>
          <w:w w:val="105"/>
          <w:sz w:val="21"/>
        </w:rPr>
        <w:t>that </w:t>
      </w:r>
      <w:r>
        <w:rPr>
          <w:w w:val="105"/>
          <w:sz w:val="21"/>
        </w:rPr>
        <w:t>they </w:t>
      </w:r>
      <w:r>
        <w:rPr>
          <w:spacing w:val="-3"/>
          <w:w w:val="105"/>
          <w:sz w:val="21"/>
        </w:rPr>
        <w:t>cannot charge </w:t>
      </w:r>
      <w:r>
        <w:rPr>
          <w:w w:val="105"/>
          <w:sz w:val="21"/>
        </w:rPr>
        <w:t>both legal fees and </w:t>
      </w:r>
      <w:r>
        <w:rPr>
          <w:spacing w:val="-3"/>
          <w:w w:val="105"/>
          <w:sz w:val="21"/>
        </w:rPr>
        <w:t>commission for</w:t>
      </w:r>
      <w:r>
        <w:rPr>
          <w:spacing w:val="9"/>
          <w:w w:val="105"/>
          <w:sz w:val="21"/>
        </w:rPr>
        <w:t> </w:t>
      </w:r>
      <w:r>
        <w:rPr>
          <w:w w:val="105"/>
          <w:sz w:val="21"/>
        </w:rPr>
        <w:t>the same work</w:t>
      </w:r>
    </w:p>
    <w:p>
      <w:pPr>
        <w:pStyle w:val="ListParagraph"/>
        <w:numPr>
          <w:ilvl w:val="2"/>
          <w:numId w:val="22"/>
        </w:numPr>
        <w:tabs>
          <w:tab w:pos="2721" w:val="left" w:leader="none"/>
          <w:tab w:pos="2722" w:val="left" w:leader="none"/>
        </w:tabs>
        <w:spacing w:line="242" w:lineRule="auto" w:before="124" w:after="0"/>
        <w:ind w:left="2721" w:right="1590" w:hanging="340"/>
        <w:jc w:val="left"/>
        <w:rPr>
          <w:sz w:val="12"/>
        </w:rPr>
      </w:pPr>
      <w:r>
        <w:rPr>
          <w:spacing w:val="-5"/>
          <w:w w:val="105"/>
          <w:sz w:val="21"/>
        </w:rPr>
        <w:t>the fact </w:t>
      </w:r>
      <w:r>
        <w:rPr>
          <w:spacing w:val="-7"/>
          <w:w w:val="105"/>
          <w:sz w:val="21"/>
        </w:rPr>
        <w:t>that </w:t>
      </w:r>
      <w:r>
        <w:rPr>
          <w:w w:val="105"/>
          <w:sz w:val="21"/>
        </w:rPr>
        <w:t>a </w:t>
      </w:r>
      <w:r>
        <w:rPr>
          <w:spacing w:val="-7"/>
          <w:w w:val="105"/>
          <w:sz w:val="21"/>
        </w:rPr>
        <w:t>clause </w:t>
      </w:r>
      <w:r>
        <w:rPr>
          <w:spacing w:val="-5"/>
          <w:w w:val="105"/>
          <w:sz w:val="21"/>
        </w:rPr>
        <w:t>in </w:t>
      </w:r>
      <w:r>
        <w:rPr>
          <w:w w:val="105"/>
          <w:sz w:val="21"/>
        </w:rPr>
        <w:t>a </w:t>
      </w:r>
      <w:r>
        <w:rPr>
          <w:spacing w:val="-6"/>
          <w:w w:val="105"/>
          <w:sz w:val="21"/>
        </w:rPr>
        <w:t>will </w:t>
      </w:r>
      <w:r>
        <w:rPr>
          <w:spacing w:val="-7"/>
          <w:w w:val="105"/>
          <w:sz w:val="21"/>
        </w:rPr>
        <w:t>that authorises </w:t>
      </w:r>
      <w:r>
        <w:rPr>
          <w:spacing w:val="-6"/>
          <w:w w:val="105"/>
          <w:sz w:val="21"/>
        </w:rPr>
        <w:t>them </w:t>
      </w:r>
      <w:r>
        <w:rPr>
          <w:spacing w:val="-5"/>
          <w:w w:val="105"/>
          <w:sz w:val="21"/>
        </w:rPr>
        <w:t>to </w:t>
      </w:r>
      <w:r>
        <w:rPr>
          <w:spacing w:val="-7"/>
          <w:w w:val="105"/>
          <w:sz w:val="21"/>
        </w:rPr>
        <w:t>charge </w:t>
      </w:r>
      <w:r>
        <w:rPr>
          <w:spacing w:val="-6"/>
          <w:w w:val="105"/>
          <w:sz w:val="21"/>
        </w:rPr>
        <w:t>for legal work </w:t>
      </w:r>
      <w:r>
        <w:rPr>
          <w:spacing w:val="-5"/>
          <w:w w:val="105"/>
          <w:sz w:val="21"/>
        </w:rPr>
        <w:t>does </w:t>
      </w:r>
      <w:r>
        <w:rPr>
          <w:spacing w:val="-6"/>
          <w:w w:val="105"/>
          <w:sz w:val="21"/>
        </w:rPr>
        <w:t>not give them</w:t>
      </w:r>
      <w:r>
        <w:rPr>
          <w:spacing w:val="-13"/>
          <w:w w:val="105"/>
          <w:sz w:val="21"/>
        </w:rPr>
        <w:t> </w:t>
      </w:r>
      <w:r>
        <w:rPr>
          <w:spacing w:val="-4"/>
          <w:w w:val="105"/>
          <w:sz w:val="21"/>
        </w:rPr>
        <w:t>an</w:t>
      </w:r>
      <w:r>
        <w:rPr>
          <w:spacing w:val="-12"/>
          <w:w w:val="105"/>
          <w:sz w:val="21"/>
        </w:rPr>
        <w:t> </w:t>
      </w:r>
      <w:r>
        <w:rPr>
          <w:spacing w:val="-8"/>
          <w:w w:val="105"/>
          <w:sz w:val="21"/>
        </w:rPr>
        <w:t>automatic</w:t>
      </w:r>
      <w:r>
        <w:rPr>
          <w:spacing w:val="-12"/>
          <w:w w:val="105"/>
          <w:sz w:val="21"/>
        </w:rPr>
        <w:t> </w:t>
      </w:r>
      <w:r>
        <w:rPr>
          <w:spacing w:val="-7"/>
          <w:w w:val="105"/>
          <w:sz w:val="21"/>
        </w:rPr>
        <w:t>right</w:t>
      </w:r>
      <w:r>
        <w:rPr>
          <w:spacing w:val="-13"/>
          <w:w w:val="105"/>
          <w:sz w:val="21"/>
        </w:rPr>
        <w:t> </w:t>
      </w:r>
      <w:r>
        <w:rPr>
          <w:spacing w:val="-5"/>
          <w:w w:val="105"/>
          <w:sz w:val="21"/>
        </w:rPr>
        <w:t>to</w:t>
      </w:r>
      <w:r>
        <w:rPr>
          <w:spacing w:val="-12"/>
          <w:w w:val="105"/>
          <w:sz w:val="21"/>
        </w:rPr>
        <w:t> </w:t>
      </w:r>
      <w:r>
        <w:rPr>
          <w:spacing w:val="-7"/>
          <w:w w:val="105"/>
          <w:sz w:val="21"/>
        </w:rPr>
        <w:t>claim</w:t>
      </w:r>
      <w:r>
        <w:rPr>
          <w:spacing w:val="-12"/>
          <w:w w:val="105"/>
          <w:sz w:val="21"/>
        </w:rPr>
        <w:t> </w:t>
      </w:r>
      <w:r>
        <w:rPr>
          <w:spacing w:val="-7"/>
          <w:w w:val="105"/>
          <w:sz w:val="21"/>
        </w:rPr>
        <w:t>commission</w:t>
      </w:r>
      <w:r>
        <w:rPr>
          <w:spacing w:val="-13"/>
          <w:w w:val="105"/>
          <w:sz w:val="21"/>
        </w:rPr>
        <w:t> </w:t>
      </w:r>
      <w:r>
        <w:rPr>
          <w:spacing w:val="-6"/>
          <w:w w:val="105"/>
          <w:sz w:val="21"/>
        </w:rPr>
        <w:t>for</w:t>
      </w:r>
      <w:r>
        <w:rPr>
          <w:spacing w:val="-12"/>
          <w:w w:val="105"/>
          <w:sz w:val="21"/>
        </w:rPr>
        <w:t> </w:t>
      </w:r>
      <w:r>
        <w:rPr>
          <w:spacing w:val="-7"/>
          <w:w w:val="105"/>
          <w:sz w:val="21"/>
        </w:rPr>
        <w:t>meeting</w:t>
      </w:r>
      <w:r>
        <w:rPr>
          <w:spacing w:val="-12"/>
          <w:w w:val="105"/>
          <w:sz w:val="21"/>
        </w:rPr>
        <w:t> </w:t>
      </w:r>
      <w:r>
        <w:rPr>
          <w:spacing w:val="-7"/>
          <w:w w:val="105"/>
          <w:sz w:val="21"/>
        </w:rPr>
        <w:t>their</w:t>
      </w:r>
      <w:r>
        <w:rPr>
          <w:spacing w:val="-13"/>
          <w:w w:val="105"/>
          <w:sz w:val="21"/>
        </w:rPr>
        <w:t> </w:t>
      </w:r>
      <w:r>
        <w:rPr>
          <w:spacing w:val="-8"/>
          <w:w w:val="105"/>
          <w:sz w:val="21"/>
        </w:rPr>
        <w:t>responsibilities</w:t>
      </w:r>
      <w:r>
        <w:rPr>
          <w:spacing w:val="-12"/>
          <w:w w:val="105"/>
          <w:sz w:val="21"/>
        </w:rPr>
        <w:t> </w:t>
      </w:r>
      <w:r>
        <w:rPr>
          <w:spacing w:val="-4"/>
          <w:w w:val="105"/>
          <w:sz w:val="21"/>
        </w:rPr>
        <w:t>as</w:t>
      </w:r>
      <w:r>
        <w:rPr>
          <w:spacing w:val="-12"/>
          <w:w w:val="105"/>
          <w:sz w:val="21"/>
        </w:rPr>
        <w:t> </w:t>
      </w:r>
      <w:r>
        <w:rPr>
          <w:spacing w:val="-9"/>
          <w:w w:val="105"/>
          <w:sz w:val="21"/>
        </w:rPr>
        <w:t>executor.</w:t>
      </w:r>
      <w:r>
        <w:rPr>
          <w:spacing w:val="-9"/>
          <w:w w:val="105"/>
          <w:position w:val="7"/>
          <w:sz w:val="12"/>
        </w:rPr>
        <w:t>99</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2"/>
        </w:rPr>
      </w:pPr>
      <w:r>
        <w:rPr/>
        <w:pict>
          <v:line style="position:absolute;mso-position-horizontal-relative:page;mso-position-vertical-relative:paragraph;z-index:9320;mso-wrap-distance-left:0;mso-wrap-distance-right:0" from="79.370102pt,10.258986pt" to="515.905102pt,10.258986pt" stroked="true" strokeweight="1pt" strokecolor="#f9ceca">
            <v:stroke dashstyle="solid"/>
            <w10:wrap type="topAndBottom"/>
          </v:line>
        </w:pict>
      </w:r>
    </w:p>
    <w:p>
      <w:pPr>
        <w:pStyle w:val="BodyText"/>
        <w:spacing w:before="8"/>
        <w:rPr>
          <w:sz w:val="5"/>
        </w:rPr>
      </w:pPr>
    </w:p>
    <w:p>
      <w:pPr>
        <w:spacing w:after="0"/>
        <w:rPr>
          <w:sz w:val="5"/>
        </w:rPr>
        <w:sectPr>
          <w:pgSz w:w="11910" w:h="16840"/>
          <w:pgMar w:header="805" w:footer="0" w:top="1360" w:bottom="280" w:left="0" w:right="0"/>
        </w:sectPr>
      </w:pPr>
    </w:p>
    <w:p>
      <w:pPr>
        <w:pStyle w:val="ListParagraph"/>
        <w:numPr>
          <w:ilvl w:val="1"/>
          <w:numId w:val="117"/>
        </w:numPr>
        <w:tabs>
          <w:tab w:pos="2380" w:val="left" w:leader="none"/>
          <w:tab w:pos="2382" w:val="left" w:leader="none"/>
        </w:tabs>
        <w:spacing w:line="240" w:lineRule="auto" w:before="48" w:after="0"/>
        <w:ind w:left="2381" w:right="0" w:hanging="794"/>
        <w:jc w:val="left"/>
        <w:rPr>
          <w:sz w:val="13"/>
        </w:rPr>
      </w:pPr>
      <w:r>
        <w:rPr>
          <w:w w:val="105"/>
          <w:sz w:val="13"/>
        </w:rPr>
        <w:t>Submission 30a </w:t>
      </w:r>
      <w:r>
        <w:rPr>
          <w:spacing w:val="3"/>
          <w:w w:val="105"/>
          <w:sz w:val="13"/>
        </w:rPr>
        <w:t>(Law </w:t>
      </w:r>
      <w:r>
        <w:rPr>
          <w:w w:val="105"/>
          <w:sz w:val="13"/>
        </w:rPr>
        <w:t>Institute of</w:t>
      </w:r>
      <w:r>
        <w:rPr>
          <w:spacing w:val="19"/>
          <w:w w:val="105"/>
          <w:sz w:val="13"/>
        </w:rPr>
        <w:t> </w:t>
      </w:r>
      <w:r>
        <w:rPr>
          <w:spacing w:val="2"/>
          <w:w w:val="105"/>
          <w:sz w:val="13"/>
        </w:rPr>
        <w:t>Victoria).</w:t>
      </w:r>
    </w:p>
    <w:p>
      <w:pPr>
        <w:tabs>
          <w:tab w:pos="2380" w:val="left" w:leader="none"/>
        </w:tabs>
        <w:spacing w:before="1"/>
        <w:ind w:left="1587" w:right="0" w:firstLine="0"/>
        <w:jc w:val="left"/>
        <w:rPr>
          <w:sz w:val="13"/>
        </w:rPr>
      </w:pPr>
      <w:r>
        <w:rPr>
          <w:w w:val="105"/>
          <w:sz w:val="13"/>
        </w:rPr>
        <w:t>94</w:t>
        <w:tab/>
        <w:t>See [7.163]–[7.192]</w:t>
      </w:r>
      <w:r>
        <w:rPr>
          <w:spacing w:val="8"/>
          <w:w w:val="105"/>
          <w:sz w:val="13"/>
        </w:rPr>
        <w:t> </w:t>
      </w:r>
      <w:r>
        <w:rPr>
          <w:w w:val="105"/>
          <w:sz w:val="13"/>
        </w:rPr>
        <w:t>below.</w:t>
      </w:r>
    </w:p>
    <w:p>
      <w:pPr>
        <w:pStyle w:val="ListParagraph"/>
        <w:numPr>
          <w:ilvl w:val="0"/>
          <w:numId w:val="119"/>
        </w:numPr>
        <w:tabs>
          <w:tab w:pos="2380" w:val="left" w:leader="none"/>
          <w:tab w:pos="2382" w:val="left" w:leader="none"/>
        </w:tabs>
        <w:spacing w:line="240" w:lineRule="auto" w:before="2" w:after="0"/>
        <w:ind w:left="2381" w:right="0" w:hanging="794"/>
        <w:jc w:val="left"/>
        <w:rPr>
          <w:sz w:val="13"/>
        </w:rPr>
      </w:pPr>
      <w:r>
        <w:rPr>
          <w:w w:val="105"/>
          <w:sz w:val="13"/>
        </w:rPr>
        <w:t>Discussion</w:t>
      </w:r>
      <w:r>
        <w:rPr>
          <w:spacing w:val="5"/>
          <w:w w:val="105"/>
          <w:sz w:val="13"/>
        </w:rPr>
        <w:t> </w:t>
      </w:r>
      <w:r>
        <w:rPr>
          <w:w w:val="105"/>
          <w:sz w:val="13"/>
        </w:rPr>
        <w:t>with</w:t>
      </w:r>
      <w:r>
        <w:rPr>
          <w:spacing w:val="5"/>
          <w:w w:val="105"/>
          <w:sz w:val="13"/>
        </w:rPr>
        <w:t> </w:t>
      </w:r>
      <w:r>
        <w:rPr>
          <w:w w:val="105"/>
          <w:sz w:val="13"/>
        </w:rPr>
        <w:t>Roger</w:t>
      </w:r>
      <w:r>
        <w:rPr>
          <w:spacing w:val="5"/>
          <w:w w:val="105"/>
          <w:sz w:val="13"/>
        </w:rPr>
        <w:t> </w:t>
      </w:r>
      <w:r>
        <w:rPr>
          <w:w w:val="105"/>
          <w:sz w:val="13"/>
        </w:rPr>
        <w:t>Walton,</w:t>
      </w:r>
      <w:r>
        <w:rPr>
          <w:spacing w:val="5"/>
          <w:w w:val="105"/>
          <w:sz w:val="13"/>
        </w:rPr>
        <w:t> </w:t>
      </w:r>
      <w:r>
        <w:rPr>
          <w:w w:val="105"/>
          <w:sz w:val="13"/>
        </w:rPr>
        <w:t>Law</w:t>
      </w:r>
      <w:r>
        <w:rPr>
          <w:spacing w:val="5"/>
          <w:w w:val="105"/>
          <w:sz w:val="13"/>
        </w:rPr>
        <w:t> </w:t>
      </w:r>
      <w:r>
        <w:rPr>
          <w:w w:val="105"/>
          <w:sz w:val="13"/>
        </w:rPr>
        <w:t>Institute</w:t>
      </w:r>
      <w:r>
        <w:rPr>
          <w:spacing w:val="5"/>
          <w:w w:val="105"/>
          <w:sz w:val="13"/>
        </w:rPr>
        <w:t> </w:t>
      </w:r>
      <w:r>
        <w:rPr>
          <w:w w:val="105"/>
          <w:sz w:val="13"/>
        </w:rPr>
        <w:t>of</w:t>
      </w:r>
      <w:r>
        <w:rPr>
          <w:spacing w:val="5"/>
          <w:w w:val="105"/>
          <w:sz w:val="13"/>
        </w:rPr>
        <w:t> </w:t>
      </w:r>
      <w:r>
        <w:rPr>
          <w:w w:val="105"/>
          <w:sz w:val="13"/>
        </w:rPr>
        <w:t>Victoria</w:t>
      </w:r>
      <w:r>
        <w:rPr>
          <w:spacing w:val="5"/>
          <w:w w:val="105"/>
          <w:sz w:val="13"/>
        </w:rPr>
        <w:t> </w:t>
      </w:r>
      <w:r>
        <w:rPr>
          <w:w w:val="105"/>
          <w:sz w:val="13"/>
        </w:rPr>
        <w:t>Cost</w:t>
      </w:r>
      <w:r>
        <w:rPr>
          <w:spacing w:val="6"/>
          <w:w w:val="105"/>
          <w:sz w:val="13"/>
        </w:rPr>
        <w:t> </w:t>
      </w:r>
      <w:r>
        <w:rPr>
          <w:w w:val="105"/>
          <w:sz w:val="13"/>
        </w:rPr>
        <w:t>Lawyer,</w:t>
      </w:r>
      <w:r>
        <w:rPr>
          <w:spacing w:val="5"/>
          <w:w w:val="105"/>
          <w:sz w:val="13"/>
        </w:rPr>
        <w:t> </w:t>
      </w:r>
      <w:r>
        <w:rPr>
          <w:w w:val="105"/>
          <w:sz w:val="13"/>
        </w:rPr>
        <w:t>6</w:t>
      </w:r>
      <w:r>
        <w:rPr>
          <w:spacing w:val="5"/>
          <w:w w:val="105"/>
          <w:sz w:val="13"/>
        </w:rPr>
        <w:t> </w:t>
      </w:r>
      <w:r>
        <w:rPr>
          <w:w w:val="105"/>
          <w:sz w:val="13"/>
        </w:rPr>
        <w:t>June</w:t>
      </w:r>
      <w:r>
        <w:rPr>
          <w:spacing w:val="5"/>
          <w:w w:val="105"/>
          <w:sz w:val="13"/>
        </w:rPr>
        <w:t> </w:t>
      </w:r>
      <w:r>
        <w:rPr>
          <w:spacing w:val="-3"/>
          <w:w w:val="105"/>
          <w:sz w:val="13"/>
        </w:rPr>
        <w:t>2013.</w:t>
      </w:r>
    </w:p>
    <w:p>
      <w:pPr>
        <w:pStyle w:val="ListParagraph"/>
        <w:numPr>
          <w:ilvl w:val="0"/>
          <w:numId w:val="119"/>
        </w:numPr>
        <w:tabs>
          <w:tab w:pos="2381" w:val="left" w:leader="none"/>
          <w:tab w:pos="2382" w:val="left" w:leader="none"/>
        </w:tabs>
        <w:spacing w:line="240" w:lineRule="auto" w:before="1" w:after="0"/>
        <w:ind w:left="2381" w:right="0" w:hanging="794"/>
        <w:jc w:val="left"/>
        <w:rPr>
          <w:sz w:val="13"/>
        </w:rPr>
      </w:pPr>
      <w:r>
        <w:rPr>
          <w:w w:val="105"/>
          <w:sz w:val="13"/>
        </w:rPr>
        <w:t>Consultation 3 </w:t>
      </w:r>
      <w:r>
        <w:rPr>
          <w:spacing w:val="2"/>
          <w:w w:val="105"/>
          <w:sz w:val="13"/>
        </w:rPr>
        <w:t>(Legal </w:t>
      </w:r>
      <w:r>
        <w:rPr>
          <w:w w:val="105"/>
          <w:sz w:val="13"/>
        </w:rPr>
        <w:t>practitioners in the Goulburn Valley</w:t>
      </w:r>
      <w:r>
        <w:rPr>
          <w:spacing w:val="5"/>
          <w:w w:val="105"/>
          <w:sz w:val="13"/>
        </w:rPr>
        <w:t> </w:t>
      </w:r>
      <w:r>
        <w:rPr>
          <w:w w:val="105"/>
          <w:sz w:val="13"/>
        </w:rPr>
        <w:t>region).</w:t>
      </w:r>
    </w:p>
    <w:p>
      <w:pPr>
        <w:pStyle w:val="ListParagraph"/>
        <w:numPr>
          <w:ilvl w:val="0"/>
          <w:numId w:val="119"/>
        </w:numPr>
        <w:tabs>
          <w:tab w:pos="2381" w:val="left" w:leader="none"/>
          <w:tab w:pos="2382" w:val="left" w:leader="none"/>
        </w:tabs>
        <w:spacing w:line="240" w:lineRule="auto" w:before="1" w:after="0"/>
        <w:ind w:left="2381" w:right="0" w:hanging="794"/>
        <w:jc w:val="left"/>
        <w:rPr>
          <w:sz w:val="13"/>
        </w:rPr>
      </w:pPr>
      <w:r>
        <w:rPr>
          <w:w w:val="105"/>
          <w:sz w:val="13"/>
        </w:rPr>
        <w:t>Consultation</w:t>
      </w:r>
      <w:r>
        <w:rPr>
          <w:spacing w:val="5"/>
          <w:w w:val="105"/>
          <w:sz w:val="13"/>
        </w:rPr>
        <w:t> </w:t>
      </w:r>
      <w:r>
        <w:rPr>
          <w:w w:val="105"/>
          <w:sz w:val="13"/>
        </w:rPr>
        <w:t>4</w:t>
      </w:r>
      <w:r>
        <w:rPr>
          <w:spacing w:val="6"/>
          <w:w w:val="105"/>
          <w:sz w:val="13"/>
        </w:rPr>
        <w:t> </w:t>
      </w:r>
      <w:r>
        <w:rPr>
          <w:spacing w:val="2"/>
          <w:w w:val="105"/>
          <w:sz w:val="13"/>
        </w:rPr>
        <w:t>(Legal</w:t>
      </w:r>
      <w:r>
        <w:rPr>
          <w:spacing w:val="6"/>
          <w:w w:val="105"/>
          <w:sz w:val="13"/>
        </w:rPr>
        <w:t> </w:t>
      </w:r>
      <w:r>
        <w:rPr>
          <w:w w:val="105"/>
          <w:sz w:val="13"/>
        </w:rPr>
        <w:t>practitioners</w:t>
      </w:r>
      <w:r>
        <w:rPr>
          <w:spacing w:val="6"/>
          <w:w w:val="105"/>
          <w:sz w:val="13"/>
        </w:rPr>
        <w:t> </w:t>
      </w:r>
      <w:r>
        <w:rPr>
          <w:w w:val="105"/>
          <w:sz w:val="13"/>
        </w:rPr>
        <w:t>from</w:t>
      </w:r>
      <w:r>
        <w:rPr>
          <w:spacing w:val="6"/>
          <w:w w:val="105"/>
          <w:sz w:val="13"/>
        </w:rPr>
        <w:t> </w:t>
      </w:r>
      <w:r>
        <w:rPr>
          <w:w w:val="105"/>
          <w:sz w:val="13"/>
        </w:rPr>
        <w:t>the</w:t>
      </w:r>
      <w:r>
        <w:rPr>
          <w:spacing w:val="6"/>
          <w:w w:val="105"/>
          <w:sz w:val="13"/>
        </w:rPr>
        <w:t> </w:t>
      </w:r>
      <w:r>
        <w:rPr>
          <w:w w:val="105"/>
          <w:sz w:val="13"/>
        </w:rPr>
        <w:t>Goulburn</w:t>
      </w:r>
      <w:r>
        <w:rPr>
          <w:spacing w:val="6"/>
          <w:w w:val="105"/>
          <w:sz w:val="13"/>
        </w:rPr>
        <w:t> </w:t>
      </w:r>
      <w:r>
        <w:rPr>
          <w:w w:val="105"/>
          <w:sz w:val="13"/>
        </w:rPr>
        <w:t>Valley</w:t>
      </w:r>
      <w:r>
        <w:rPr>
          <w:spacing w:val="6"/>
          <w:w w:val="105"/>
          <w:sz w:val="13"/>
        </w:rPr>
        <w:t> </w:t>
      </w:r>
      <w:r>
        <w:rPr>
          <w:w w:val="105"/>
          <w:sz w:val="13"/>
        </w:rPr>
        <w:t>and</w:t>
      </w:r>
      <w:r>
        <w:rPr>
          <w:spacing w:val="6"/>
          <w:w w:val="105"/>
          <w:sz w:val="13"/>
        </w:rPr>
        <w:t> </w:t>
      </w:r>
      <w:r>
        <w:rPr>
          <w:w w:val="105"/>
          <w:sz w:val="13"/>
        </w:rPr>
        <w:t>Loddon</w:t>
      </w:r>
      <w:r>
        <w:rPr>
          <w:spacing w:val="6"/>
          <w:w w:val="105"/>
          <w:sz w:val="13"/>
        </w:rPr>
        <w:t> </w:t>
      </w:r>
      <w:r>
        <w:rPr>
          <w:w w:val="105"/>
          <w:sz w:val="13"/>
        </w:rPr>
        <w:t>Campaspe</w:t>
      </w:r>
      <w:r>
        <w:rPr>
          <w:spacing w:val="6"/>
          <w:w w:val="105"/>
          <w:sz w:val="13"/>
        </w:rPr>
        <w:t> </w:t>
      </w:r>
      <w:r>
        <w:rPr>
          <w:w w:val="105"/>
          <w:sz w:val="13"/>
        </w:rPr>
        <w:t>Community</w:t>
      </w:r>
      <w:r>
        <w:rPr>
          <w:spacing w:val="6"/>
          <w:w w:val="105"/>
          <w:sz w:val="13"/>
        </w:rPr>
        <w:t> </w:t>
      </w:r>
      <w:r>
        <w:rPr>
          <w:w w:val="105"/>
          <w:sz w:val="13"/>
        </w:rPr>
        <w:t>Legal</w:t>
      </w:r>
      <w:r>
        <w:rPr>
          <w:spacing w:val="6"/>
          <w:w w:val="105"/>
          <w:sz w:val="13"/>
        </w:rPr>
        <w:t> </w:t>
      </w:r>
      <w:r>
        <w:rPr>
          <w:w w:val="105"/>
          <w:sz w:val="13"/>
        </w:rPr>
        <w:t>Centres).</w:t>
      </w:r>
    </w:p>
    <w:p>
      <w:pPr>
        <w:pStyle w:val="ListParagraph"/>
        <w:numPr>
          <w:ilvl w:val="0"/>
          <w:numId w:val="119"/>
        </w:numPr>
        <w:tabs>
          <w:tab w:pos="2381" w:val="left" w:leader="none"/>
          <w:tab w:pos="2382" w:val="left" w:leader="none"/>
        </w:tabs>
        <w:spacing w:line="240" w:lineRule="auto" w:before="2" w:after="0"/>
        <w:ind w:left="2381" w:right="298" w:hanging="794"/>
        <w:jc w:val="left"/>
        <w:rPr>
          <w:sz w:val="13"/>
        </w:rPr>
      </w:pPr>
      <w:r>
        <w:rPr>
          <w:w w:val="105"/>
          <w:sz w:val="13"/>
        </w:rPr>
        <w:t>In the 2010–11 and </w:t>
      </w:r>
      <w:r>
        <w:rPr>
          <w:spacing w:val="-4"/>
          <w:w w:val="105"/>
          <w:sz w:val="13"/>
        </w:rPr>
        <w:t>2011–12 </w:t>
      </w:r>
      <w:r>
        <w:rPr>
          <w:w w:val="105"/>
          <w:sz w:val="13"/>
        </w:rPr>
        <w:t>financial years, probate and estate matters represented 10% of all complaints received: submission 45 </w:t>
      </w:r>
      <w:r>
        <w:rPr>
          <w:spacing w:val="2"/>
          <w:w w:val="105"/>
          <w:sz w:val="13"/>
        </w:rPr>
        <w:t>(Legal </w:t>
      </w:r>
      <w:r>
        <w:rPr>
          <w:w w:val="105"/>
          <w:sz w:val="13"/>
        </w:rPr>
        <w:t>Services</w:t>
      </w:r>
      <w:r>
        <w:rPr>
          <w:spacing w:val="7"/>
          <w:w w:val="105"/>
          <w:sz w:val="13"/>
        </w:rPr>
        <w:t> </w:t>
      </w:r>
      <w:r>
        <w:rPr>
          <w:w w:val="105"/>
          <w:sz w:val="13"/>
        </w:rPr>
        <w:t>Commissioner).</w:t>
      </w:r>
    </w:p>
    <w:p>
      <w:pPr>
        <w:pStyle w:val="ListParagraph"/>
        <w:numPr>
          <w:ilvl w:val="0"/>
          <w:numId w:val="119"/>
        </w:numPr>
        <w:tabs>
          <w:tab w:pos="2381" w:val="left" w:leader="none"/>
          <w:tab w:pos="2382" w:val="left" w:leader="none"/>
        </w:tabs>
        <w:spacing w:line="240" w:lineRule="auto" w:before="2" w:after="0"/>
        <w:ind w:left="2381" w:right="0" w:hanging="794"/>
        <w:jc w:val="left"/>
        <w:rPr>
          <w:sz w:val="13"/>
        </w:rPr>
      </w:pPr>
      <w:r>
        <w:rPr>
          <w:w w:val="105"/>
          <w:sz w:val="13"/>
        </w:rPr>
        <w:t>Legal Services Commissioner, Summary of the 2010 Succession Law Round Table Convened by the Legal Services Commission of Victoria (22 August 2010) </w:t>
      </w:r>
      <w:r>
        <w:rPr>
          <w:spacing w:val="-4"/>
          <w:w w:val="105"/>
          <w:sz w:val="13"/>
        </w:rPr>
        <w:t>17</w:t>
      </w:r>
      <w:r>
        <w:rPr>
          <w:spacing w:val="16"/>
          <w:w w:val="105"/>
          <w:sz w:val="13"/>
        </w:rPr>
        <w:t> </w:t>
      </w:r>
      <w:r>
        <w:rPr>
          <w:spacing w:val="2"/>
          <w:w w:val="105"/>
          <w:sz w:val="13"/>
        </w:rPr>
        <w:t>&lt;</w:t>
      </w:r>
      <w:hyperlink r:id="rId101">
        <w:r>
          <w:rPr>
            <w:spacing w:val="2"/>
            <w:w w:val="105"/>
            <w:sz w:val="13"/>
          </w:rPr>
          <w:t>http://www.lsc.vic.gov.au/forms-and-publications/reports/</w:t>
        </w:r>
      </w:hyperlink>
      <w:r>
        <w:rPr>
          <w:spacing w:val="2"/>
          <w:w w:val="105"/>
          <w:sz w:val="13"/>
        </w:rPr>
        <w:t>&gt;.</w:t>
      </w:r>
    </w:p>
    <w:p>
      <w:pPr>
        <w:pStyle w:val="BodyText"/>
        <w:rPr>
          <w:sz w:val="28"/>
        </w:rPr>
      </w:pPr>
      <w:r>
        <w:rPr/>
        <w:br w:type="column"/>
      </w:r>
      <w:r>
        <w:rPr>
          <w:sz w:val="28"/>
        </w:rPr>
      </w:r>
    </w:p>
    <w:p>
      <w:pPr>
        <w:pStyle w:val="BodyText"/>
        <w:rPr>
          <w:sz w:val="28"/>
        </w:rPr>
      </w:pPr>
    </w:p>
    <w:p>
      <w:pPr>
        <w:pStyle w:val="BodyText"/>
        <w:rPr>
          <w:sz w:val="28"/>
        </w:rPr>
      </w:pPr>
    </w:p>
    <w:p>
      <w:pPr>
        <w:spacing w:before="198"/>
        <w:ind w:left="735" w:right="575" w:firstLine="0"/>
        <w:jc w:val="center"/>
        <w:rPr>
          <w:b/>
          <w:sz w:val="24"/>
        </w:rPr>
      </w:pPr>
      <w:r>
        <w:rPr>
          <w:b/>
          <w:color w:val="EC5A4F"/>
          <w:w w:val="110"/>
          <w:sz w:val="24"/>
        </w:rPr>
        <w:t>153</w:t>
      </w:r>
    </w:p>
    <w:p>
      <w:pPr>
        <w:spacing w:after="0"/>
        <w:jc w:val="center"/>
        <w:rPr>
          <w:sz w:val="24"/>
        </w:rPr>
        <w:sectPr>
          <w:type w:val="continuous"/>
          <w:pgSz w:w="11910" w:h="16840"/>
          <w:pgMar w:top="920" w:bottom="280" w:left="0" w:right="0"/>
          <w:cols w:num="2" w:equalWidth="0">
            <w:col w:w="10118" w:space="40"/>
            <w:col w:w="1752"/>
          </w:cols>
        </w:sectPr>
      </w:pPr>
    </w:p>
    <w:p>
      <w:pPr>
        <w:pStyle w:val="BodyText"/>
        <w:spacing w:before="9"/>
        <w:rPr>
          <w:b/>
          <w:sz w:val="22"/>
        </w:rPr>
      </w:pPr>
    </w:p>
    <w:p>
      <w:pPr>
        <w:pStyle w:val="ListParagraph"/>
        <w:numPr>
          <w:ilvl w:val="1"/>
          <w:numId w:val="22"/>
        </w:numPr>
        <w:tabs>
          <w:tab w:pos="2381" w:val="left" w:leader="none"/>
          <w:tab w:pos="2382" w:val="left" w:leader="none"/>
        </w:tabs>
        <w:spacing w:line="242" w:lineRule="auto" w:before="92" w:after="0"/>
        <w:ind w:left="2381" w:right="1703" w:hanging="794"/>
        <w:jc w:val="left"/>
        <w:rPr>
          <w:sz w:val="21"/>
        </w:rPr>
      </w:pPr>
      <w:r>
        <w:rPr>
          <w:w w:val="105"/>
          <w:sz w:val="21"/>
        </w:rPr>
        <w:t>Following the </w:t>
      </w:r>
      <w:r>
        <w:rPr>
          <w:spacing w:val="-3"/>
          <w:w w:val="105"/>
          <w:sz w:val="21"/>
        </w:rPr>
        <w:t>roundtable, </w:t>
      </w:r>
      <w:r>
        <w:rPr>
          <w:w w:val="105"/>
          <w:sz w:val="21"/>
        </w:rPr>
        <w:t>the Legal Services </w:t>
      </w:r>
      <w:r>
        <w:rPr>
          <w:spacing w:val="-3"/>
          <w:w w:val="105"/>
          <w:sz w:val="21"/>
        </w:rPr>
        <w:t>Commissioner </w:t>
      </w:r>
      <w:r>
        <w:rPr>
          <w:w w:val="105"/>
          <w:sz w:val="21"/>
        </w:rPr>
        <w:t>identified and </w:t>
      </w:r>
      <w:r>
        <w:rPr>
          <w:spacing w:val="-2"/>
          <w:w w:val="105"/>
          <w:sz w:val="21"/>
        </w:rPr>
        <w:t>committed </w:t>
      </w:r>
      <w:r>
        <w:rPr>
          <w:spacing w:val="-3"/>
          <w:w w:val="105"/>
          <w:sz w:val="21"/>
        </w:rPr>
        <w:t>to </w:t>
      </w:r>
      <w:r>
        <w:rPr>
          <w:w w:val="105"/>
          <w:sz w:val="21"/>
        </w:rPr>
        <w:t>a number of activities </w:t>
      </w:r>
      <w:r>
        <w:rPr>
          <w:spacing w:val="-3"/>
          <w:w w:val="105"/>
          <w:sz w:val="21"/>
        </w:rPr>
        <w:t>arising from </w:t>
      </w:r>
      <w:r>
        <w:rPr>
          <w:w w:val="105"/>
          <w:sz w:val="21"/>
        </w:rPr>
        <w:t>the discussion </w:t>
      </w:r>
      <w:r>
        <w:rPr>
          <w:spacing w:val="-3"/>
          <w:w w:val="105"/>
          <w:sz w:val="21"/>
        </w:rPr>
        <w:t>that </w:t>
      </w:r>
      <w:r>
        <w:rPr>
          <w:w w:val="105"/>
          <w:sz w:val="21"/>
        </w:rPr>
        <w:t>would either directly or indirectly </w:t>
      </w:r>
      <w:r>
        <w:rPr>
          <w:spacing w:val="-3"/>
          <w:w w:val="105"/>
          <w:sz w:val="21"/>
        </w:rPr>
        <w:t>improve</w:t>
      </w:r>
      <w:r>
        <w:rPr>
          <w:spacing w:val="-11"/>
          <w:w w:val="105"/>
          <w:sz w:val="21"/>
        </w:rPr>
        <w:t> </w:t>
      </w:r>
      <w:r>
        <w:rPr>
          <w:w w:val="105"/>
          <w:sz w:val="21"/>
        </w:rPr>
        <w:t>the</w:t>
      </w:r>
      <w:r>
        <w:rPr>
          <w:spacing w:val="-10"/>
          <w:w w:val="105"/>
          <w:sz w:val="21"/>
        </w:rPr>
        <w:t> </w:t>
      </w:r>
      <w:r>
        <w:rPr>
          <w:w w:val="105"/>
          <w:sz w:val="21"/>
        </w:rPr>
        <w:t>knowledge</w:t>
      </w:r>
      <w:r>
        <w:rPr>
          <w:spacing w:val="-10"/>
          <w:w w:val="105"/>
          <w:sz w:val="21"/>
        </w:rPr>
        <w:t> </w:t>
      </w:r>
      <w:r>
        <w:rPr>
          <w:w w:val="105"/>
          <w:sz w:val="21"/>
        </w:rPr>
        <w:t>and</w:t>
      </w:r>
      <w:r>
        <w:rPr>
          <w:spacing w:val="-10"/>
          <w:w w:val="105"/>
          <w:sz w:val="21"/>
        </w:rPr>
        <w:t> </w:t>
      </w:r>
      <w:r>
        <w:rPr>
          <w:spacing w:val="-3"/>
          <w:w w:val="105"/>
          <w:sz w:val="21"/>
        </w:rPr>
        <w:t>skills</w:t>
      </w:r>
      <w:r>
        <w:rPr>
          <w:spacing w:val="-10"/>
          <w:w w:val="105"/>
          <w:sz w:val="21"/>
        </w:rPr>
        <w:t> </w:t>
      </w:r>
      <w:r>
        <w:rPr>
          <w:w w:val="105"/>
          <w:sz w:val="21"/>
        </w:rPr>
        <w:t>of</w:t>
      </w:r>
      <w:r>
        <w:rPr>
          <w:spacing w:val="-10"/>
          <w:w w:val="105"/>
          <w:sz w:val="21"/>
        </w:rPr>
        <w:t> </w:t>
      </w:r>
      <w:r>
        <w:rPr>
          <w:w w:val="105"/>
          <w:sz w:val="21"/>
        </w:rPr>
        <w:t>legal</w:t>
      </w:r>
      <w:r>
        <w:rPr>
          <w:spacing w:val="-10"/>
          <w:w w:val="105"/>
          <w:sz w:val="21"/>
        </w:rPr>
        <w:t> </w:t>
      </w:r>
      <w:r>
        <w:rPr>
          <w:w w:val="105"/>
          <w:sz w:val="21"/>
        </w:rPr>
        <w:t>practitioners</w:t>
      </w:r>
      <w:r>
        <w:rPr>
          <w:spacing w:val="-10"/>
          <w:w w:val="105"/>
          <w:sz w:val="21"/>
        </w:rPr>
        <w:t> </w:t>
      </w:r>
      <w:r>
        <w:rPr>
          <w:w w:val="105"/>
          <w:sz w:val="21"/>
        </w:rPr>
        <w:t>about</w:t>
      </w:r>
      <w:r>
        <w:rPr>
          <w:spacing w:val="-10"/>
          <w:w w:val="105"/>
          <w:sz w:val="21"/>
        </w:rPr>
        <w:t> </w:t>
      </w:r>
      <w:r>
        <w:rPr>
          <w:spacing w:val="-3"/>
          <w:w w:val="105"/>
          <w:sz w:val="21"/>
        </w:rPr>
        <w:t>executorial</w:t>
      </w:r>
      <w:r>
        <w:rPr>
          <w:spacing w:val="-10"/>
          <w:w w:val="105"/>
          <w:sz w:val="21"/>
        </w:rPr>
        <w:t> </w:t>
      </w:r>
      <w:r>
        <w:rPr>
          <w:w w:val="105"/>
          <w:sz w:val="21"/>
        </w:rPr>
        <w:t>duties</w:t>
      </w:r>
      <w:r>
        <w:rPr>
          <w:spacing w:val="-10"/>
          <w:w w:val="105"/>
          <w:sz w:val="21"/>
        </w:rPr>
        <w:t> </w:t>
      </w:r>
      <w:r>
        <w:rPr>
          <w:w w:val="105"/>
          <w:sz w:val="21"/>
        </w:rPr>
        <w:t>they</w:t>
      </w:r>
      <w:r>
        <w:rPr>
          <w:spacing w:val="-10"/>
          <w:w w:val="105"/>
          <w:sz w:val="21"/>
        </w:rPr>
        <w:t> </w:t>
      </w:r>
      <w:r>
        <w:rPr>
          <w:spacing w:val="-3"/>
          <w:w w:val="105"/>
          <w:sz w:val="21"/>
        </w:rPr>
        <w:t>may </w:t>
      </w:r>
      <w:r>
        <w:rPr>
          <w:w w:val="105"/>
          <w:sz w:val="21"/>
        </w:rPr>
        <w:t>perform. They </w:t>
      </w:r>
      <w:r>
        <w:rPr>
          <w:spacing w:val="-3"/>
          <w:w w:val="105"/>
          <w:sz w:val="21"/>
        </w:rPr>
        <w:t>included educating </w:t>
      </w:r>
      <w:r>
        <w:rPr>
          <w:w w:val="105"/>
          <w:sz w:val="21"/>
        </w:rPr>
        <w:t>the </w:t>
      </w:r>
      <w:r>
        <w:rPr>
          <w:spacing w:val="-3"/>
          <w:w w:val="105"/>
          <w:sz w:val="21"/>
        </w:rPr>
        <w:t>profession</w:t>
      </w:r>
      <w:r>
        <w:rPr>
          <w:spacing w:val="32"/>
          <w:w w:val="105"/>
          <w:sz w:val="21"/>
        </w:rPr>
        <w:t> </w:t>
      </w:r>
      <w:r>
        <w:rPr>
          <w:w w:val="105"/>
          <w:sz w:val="21"/>
        </w:rPr>
        <w:t>about:</w:t>
      </w:r>
    </w:p>
    <w:p>
      <w:pPr>
        <w:pStyle w:val="ListParagraph"/>
        <w:numPr>
          <w:ilvl w:val="2"/>
          <w:numId w:val="22"/>
        </w:numPr>
        <w:tabs>
          <w:tab w:pos="2722" w:val="left" w:leader="none"/>
        </w:tabs>
        <w:spacing w:line="242" w:lineRule="auto" w:before="124" w:after="0"/>
        <w:ind w:left="2721" w:right="1834" w:hanging="340"/>
        <w:jc w:val="both"/>
        <w:rPr>
          <w:sz w:val="21"/>
        </w:rPr>
      </w:pPr>
      <w:r>
        <w:rPr>
          <w:sz w:val="21"/>
        </w:rPr>
        <w:t>the issues which </w:t>
      </w:r>
      <w:r>
        <w:rPr>
          <w:spacing w:val="-2"/>
          <w:sz w:val="21"/>
        </w:rPr>
        <w:t>commonly </w:t>
      </w:r>
      <w:r>
        <w:rPr>
          <w:sz w:val="21"/>
        </w:rPr>
        <w:t>arise in </w:t>
      </w:r>
      <w:r>
        <w:rPr>
          <w:spacing w:val="-3"/>
          <w:sz w:val="21"/>
        </w:rPr>
        <w:t>succession </w:t>
      </w:r>
      <w:r>
        <w:rPr>
          <w:sz w:val="21"/>
        </w:rPr>
        <w:t>law matters </w:t>
      </w:r>
      <w:r>
        <w:rPr>
          <w:spacing w:val="-3"/>
          <w:sz w:val="21"/>
        </w:rPr>
        <w:t>that </w:t>
      </w:r>
      <w:r>
        <w:rPr>
          <w:sz w:val="21"/>
        </w:rPr>
        <w:t>can </w:t>
      </w:r>
      <w:r>
        <w:rPr>
          <w:spacing w:val="-3"/>
          <w:sz w:val="21"/>
        </w:rPr>
        <w:t>have </w:t>
      </w:r>
      <w:r>
        <w:rPr>
          <w:sz w:val="21"/>
        </w:rPr>
        <w:t>an impact  on the lawyer-client </w:t>
      </w:r>
      <w:r>
        <w:rPr>
          <w:spacing w:val="-3"/>
          <w:sz w:val="21"/>
        </w:rPr>
        <w:t>relationship, for </w:t>
      </w:r>
      <w:r>
        <w:rPr>
          <w:sz w:val="21"/>
        </w:rPr>
        <w:t>example </w:t>
      </w:r>
      <w:r>
        <w:rPr>
          <w:spacing w:val="-3"/>
          <w:sz w:val="21"/>
        </w:rPr>
        <w:t>client emotions, family disputes, client </w:t>
      </w:r>
      <w:r>
        <w:rPr>
          <w:sz w:val="21"/>
        </w:rPr>
        <w:t>expectations and</w:t>
      </w:r>
      <w:r>
        <w:rPr>
          <w:spacing w:val="16"/>
          <w:sz w:val="21"/>
        </w:rPr>
        <w:t> </w:t>
      </w:r>
      <w:r>
        <w:rPr>
          <w:sz w:val="21"/>
        </w:rPr>
        <w:t>delays</w:t>
      </w:r>
    </w:p>
    <w:p>
      <w:pPr>
        <w:pStyle w:val="ListParagraph"/>
        <w:numPr>
          <w:ilvl w:val="2"/>
          <w:numId w:val="22"/>
        </w:numPr>
        <w:tabs>
          <w:tab w:pos="2721" w:val="left" w:leader="none"/>
          <w:tab w:pos="2722" w:val="left" w:leader="none"/>
        </w:tabs>
        <w:spacing w:line="240" w:lineRule="auto" w:before="123" w:after="0"/>
        <w:ind w:left="2721" w:right="0" w:hanging="340"/>
        <w:jc w:val="left"/>
        <w:rPr>
          <w:sz w:val="21"/>
        </w:rPr>
      </w:pPr>
      <w:r>
        <w:rPr>
          <w:w w:val="105"/>
          <w:sz w:val="21"/>
        </w:rPr>
        <w:t>the importance of </w:t>
      </w:r>
      <w:r>
        <w:rPr>
          <w:spacing w:val="-3"/>
          <w:w w:val="105"/>
          <w:sz w:val="21"/>
        </w:rPr>
        <w:t>providing clear </w:t>
      </w:r>
      <w:r>
        <w:rPr>
          <w:w w:val="105"/>
          <w:sz w:val="21"/>
        </w:rPr>
        <w:t>and detailed </w:t>
      </w:r>
      <w:r>
        <w:rPr>
          <w:spacing w:val="-3"/>
          <w:w w:val="105"/>
          <w:sz w:val="21"/>
        </w:rPr>
        <w:t>information </w:t>
      </w:r>
      <w:r>
        <w:rPr>
          <w:w w:val="105"/>
          <w:sz w:val="21"/>
        </w:rPr>
        <w:t>about legal</w:t>
      </w:r>
      <w:r>
        <w:rPr>
          <w:spacing w:val="39"/>
          <w:w w:val="105"/>
          <w:sz w:val="21"/>
        </w:rPr>
        <w:t> </w:t>
      </w:r>
      <w:r>
        <w:rPr>
          <w:w w:val="105"/>
          <w:sz w:val="21"/>
        </w:rPr>
        <w:t>costs</w:t>
      </w:r>
    </w:p>
    <w:p>
      <w:pPr>
        <w:pStyle w:val="ListParagraph"/>
        <w:numPr>
          <w:ilvl w:val="2"/>
          <w:numId w:val="22"/>
        </w:numPr>
        <w:tabs>
          <w:tab w:pos="2721" w:val="left" w:leader="none"/>
          <w:tab w:pos="2722" w:val="left" w:leader="none"/>
        </w:tabs>
        <w:spacing w:line="240" w:lineRule="auto" w:before="124" w:after="0"/>
        <w:ind w:left="2721" w:right="0" w:hanging="340"/>
        <w:jc w:val="left"/>
        <w:rPr>
          <w:sz w:val="21"/>
        </w:rPr>
      </w:pPr>
      <w:r>
        <w:rPr>
          <w:spacing w:val="-3"/>
          <w:w w:val="105"/>
          <w:sz w:val="21"/>
        </w:rPr>
        <w:t>avoiding potential </w:t>
      </w:r>
      <w:r>
        <w:rPr>
          <w:w w:val="105"/>
          <w:sz w:val="21"/>
        </w:rPr>
        <w:t>problem </w:t>
      </w:r>
      <w:r>
        <w:rPr>
          <w:spacing w:val="-3"/>
          <w:w w:val="105"/>
          <w:sz w:val="21"/>
        </w:rPr>
        <w:t>areas </w:t>
      </w:r>
      <w:r>
        <w:rPr>
          <w:w w:val="105"/>
          <w:sz w:val="21"/>
        </w:rPr>
        <w:t>when </w:t>
      </w:r>
      <w:r>
        <w:rPr>
          <w:spacing w:val="-3"/>
          <w:w w:val="105"/>
          <w:sz w:val="21"/>
        </w:rPr>
        <w:t>drafting</w:t>
      </w:r>
      <w:r>
        <w:rPr>
          <w:spacing w:val="39"/>
          <w:w w:val="105"/>
          <w:sz w:val="21"/>
        </w:rPr>
        <w:t> </w:t>
      </w:r>
      <w:r>
        <w:rPr>
          <w:spacing w:val="-3"/>
          <w:w w:val="105"/>
          <w:sz w:val="21"/>
        </w:rPr>
        <w:t>wills</w:t>
      </w:r>
    </w:p>
    <w:p>
      <w:pPr>
        <w:pStyle w:val="ListParagraph"/>
        <w:numPr>
          <w:ilvl w:val="2"/>
          <w:numId w:val="22"/>
        </w:numPr>
        <w:tabs>
          <w:tab w:pos="2721" w:val="left" w:leader="none"/>
          <w:tab w:pos="2722" w:val="left" w:leader="none"/>
        </w:tabs>
        <w:spacing w:line="242" w:lineRule="auto" w:before="124" w:after="0"/>
        <w:ind w:left="2721" w:right="1743" w:hanging="340"/>
        <w:jc w:val="left"/>
        <w:rPr>
          <w:sz w:val="21"/>
        </w:rPr>
      </w:pPr>
      <w:r>
        <w:rPr>
          <w:spacing w:val="-3"/>
          <w:w w:val="105"/>
          <w:sz w:val="21"/>
        </w:rPr>
        <w:t>working</w:t>
      </w:r>
      <w:r>
        <w:rPr>
          <w:spacing w:val="-7"/>
          <w:w w:val="105"/>
          <w:sz w:val="21"/>
        </w:rPr>
        <w:t> </w:t>
      </w:r>
      <w:r>
        <w:rPr>
          <w:w w:val="105"/>
          <w:sz w:val="21"/>
        </w:rPr>
        <w:t>with</w:t>
      </w:r>
      <w:r>
        <w:rPr>
          <w:spacing w:val="-7"/>
          <w:w w:val="105"/>
          <w:sz w:val="21"/>
        </w:rPr>
        <w:t> </w:t>
      </w:r>
      <w:r>
        <w:rPr>
          <w:spacing w:val="-3"/>
          <w:w w:val="105"/>
          <w:sz w:val="21"/>
        </w:rPr>
        <w:t>professional</w:t>
      </w:r>
      <w:r>
        <w:rPr>
          <w:spacing w:val="-7"/>
          <w:w w:val="105"/>
          <w:sz w:val="21"/>
        </w:rPr>
        <w:t> </w:t>
      </w:r>
      <w:r>
        <w:rPr>
          <w:w w:val="105"/>
          <w:sz w:val="21"/>
        </w:rPr>
        <w:t>associations</w:t>
      </w:r>
      <w:r>
        <w:rPr>
          <w:spacing w:val="-7"/>
          <w:w w:val="105"/>
          <w:sz w:val="21"/>
        </w:rPr>
        <w:t> </w:t>
      </w:r>
      <w:r>
        <w:rPr>
          <w:spacing w:val="-3"/>
          <w:w w:val="105"/>
          <w:sz w:val="21"/>
        </w:rPr>
        <w:t>to</w:t>
      </w:r>
      <w:r>
        <w:rPr>
          <w:spacing w:val="-7"/>
          <w:w w:val="105"/>
          <w:sz w:val="21"/>
        </w:rPr>
        <w:t> </w:t>
      </w:r>
      <w:r>
        <w:rPr>
          <w:spacing w:val="-3"/>
          <w:w w:val="105"/>
          <w:sz w:val="21"/>
        </w:rPr>
        <w:t>encourage</w:t>
      </w:r>
      <w:r>
        <w:rPr>
          <w:spacing w:val="-7"/>
          <w:w w:val="105"/>
          <w:sz w:val="21"/>
        </w:rPr>
        <w:t> </w:t>
      </w:r>
      <w:r>
        <w:rPr>
          <w:w w:val="105"/>
          <w:sz w:val="21"/>
        </w:rPr>
        <w:t>lawyers</w:t>
      </w:r>
      <w:r>
        <w:rPr>
          <w:spacing w:val="-7"/>
          <w:w w:val="105"/>
          <w:sz w:val="21"/>
        </w:rPr>
        <w:t> </w:t>
      </w:r>
      <w:r>
        <w:rPr>
          <w:spacing w:val="-3"/>
          <w:w w:val="105"/>
          <w:sz w:val="21"/>
        </w:rPr>
        <w:t>involved</w:t>
      </w:r>
      <w:r>
        <w:rPr>
          <w:spacing w:val="-7"/>
          <w:w w:val="105"/>
          <w:sz w:val="21"/>
        </w:rPr>
        <w:t> </w:t>
      </w:r>
      <w:r>
        <w:rPr>
          <w:w w:val="105"/>
          <w:sz w:val="21"/>
        </w:rPr>
        <w:t>in</w:t>
      </w:r>
      <w:r>
        <w:rPr>
          <w:spacing w:val="-6"/>
          <w:w w:val="105"/>
          <w:sz w:val="21"/>
        </w:rPr>
        <w:t> </w:t>
      </w:r>
      <w:r>
        <w:rPr>
          <w:w w:val="105"/>
          <w:sz w:val="21"/>
        </w:rPr>
        <w:t>will-drafting </w:t>
      </w:r>
      <w:r>
        <w:rPr>
          <w:spacing w:val="-3"/>
          <w:w w:val="105"/>
          <w:sz w:val="21"/>
        </w:rPr>
        <w:t>to </w:t>
      </w:r>
      <w:r>
        <w:rPr>
          <w:w w:val="105"/>
          <w:sz w:val="21"/>
        </w:rPr>
        <w:t>attend </w:t>
      </w:r>
      <w:r>
        <w:rPr>
          <w:spacing w:val="-3"/>
          <w:w w:val="105"/>
          <w:sz w:val="21"/>
        </w:rPr>
        <w:t>regular training </w:t>
      </w:r>
      <w:r>
        <w:rPr>
          <w:w w:val="105"/>
          <w:sz w:val="21"/>
        </w:rPr>
        <w:t>in </w:t>
      </w:r>
      <w:r>
        <w:rPr>
          <w:spacing w:val="-3"/>
          <w:w w:val="105"/>
          <w:sz w:val="21"/>
        </w:rPr>
        <w:t>succession</w:t>
      </w:r>
      <w:r>
        <w:rPr>
          <w:spacing w:val="38"/>
          <w:w w:val="105"/>
          <w:sz w:val="21"/>
        </w:rPr>
        <w:t> </w:t>
      </w:r>
      <w:r>
        <w:rPr>
          <w:w w:val="105"/>
          <w:sz w:val="21"/>
        </w:rPr>
        <w:t>law</w:t>
      </w:r>
    </w:p>
    <w:p>
      <w:pPr>
        <w:pStyle w:val="ListParagraph"/>
        <w:numPr>
          <w:ilvl w:val="2"/>
          <w:numId w:val="22"/>
        </w:numPr>
        <w:tabs>
          <w:tab w:pos="2721" w:val="left" w:leader="none"/>
          <w:tab w:pos="2722" w:val="left" w:leader="none"/>
        </w:tabs>
        <w:spacing w:line="242" w:lineRule="auto" w:before="122" w:after="0"/>
        <w:ind w:left="2721" w:right="1649" w:hanging="340"/>
        <w:jc w:val="left"/>
        <w:rPr>
          <w:sz w:val="12"/>
        </w:rPr>
      </w:pPr>
      <w:r>
        <w:rPr>
          <w:w w:val="105"/>
          <w:sz w:val="21"/>
        </w:rPr>
        <w:t>the </w:t>
      </w:r>
      <w:r>
        <w:rPr>
          <w:spacing w:val="-2"/>
          <w:w w:val="105"/>
          <w:sz w:val="21"/>
        </w:rPr>
        <w:t>problems </w:t>
      </w:r>
      <w:r>
        <w:rPr>
          <w:w w:val="105"/>
          <w:sz w:val="21"/>
        </w:rPr>
        <w:t>and complexities </w:t>
      </w:r>
      <w:r>
        <w:rPr>
          <w:spacing w:val="-3"/>
          <w:w w:val="105"/>
          <w:sz w:val="21"/>
        </w:rPr>
        <w:t>involved </w:t>
      </w:r>
      <w:r>
        <w:rPr>
          <w:w w:val="105"/>
          <w:sz w:val="21"/>
        </w:rPr>
        <w:t>in solicitors acting as executors of a </w:t>
      </w:r>
      <w:r>
        <w:rPr>
          <w:spacing w:val="-3"/>
          <w:w w:val="105"/>
          <w:sz w:val="21"/>
        </w:rPr>
        <w:t>will, </w:t>
      </w:r>
      <w:r>
        <w:rPr>
          <w:w w:val="105"/>
          <w:sz w:val="21"/>
        </w:rPr>
        <w:t>and the rules and </w:t>
      </w:r>
      <w:r>
        <w:rPr>
          <w:spacing w:val="-3"/>
          <w:w w:val="105"/>
          <w:sz w:val="21"/>
        </w:rPr>
        <w:t>obligations </w:t>
      </w:r>
      <w:r>
        <w:rPr>
          <w:w w:val="105"/>
          <w:sz w:val="21"/>
        </w:rPr>
        <w:t>associated with </w:t>
      </w:r>
      <w:r>
        <w:rPr>
          <w:spacing w:val="-3"/>
          <w:w w:val="105"/>
          <w:sz w:val="21"/>
        </w:rPr>
        <w:t>charging executorial </w:t>
      </w:r>
      <w:r>
        <w:rPr>
          <w:w w:val="105"/>
          <w:sz w:val="21"/>
        </w:rPr>
        <w:t>fees and</w:t>
      </w:r>
      <w:r>
        <w:rPr>
          <w:spacing w:val="-35"/>
          <w:w w:val="105"/>
          <w:sz w:val="21"/>
        </w:rPr>
        <w:t> </w:t>
      </w:r>
      <w:r>
        <w:rPr>
          <w:spacing w:val="-4"/>
          <w:w w:val="105"/>
          <w:sz w:val="21"/>
        </w:rPr>
        <w:t>commission.</w:t>
      </w:r>
      <w:r>
        <w:rPr>
          <w:spacing w:val="-4"/>
          <w:w w:val="105"/>
          <w:position w:val="7"/>
          <w:sz w:val="12"/>
        </w:rPr>
        <w:t>100</w:t>
      </w:r>
    </w:p>
    <w:p>
      <w:pPr>
        <w:pStyle w:val="ListParagraph"/>
        <w:numPr>
          <w:ilvl w:val="1"/>
          <w:numId w:val="22"/>
        </w:numPr>
        <w:tabs>
          <w:tab w:pos="2380" w:val="left" w:leader="none"/>
          <w:tab w:pos="2382" w:val="left" w:leader="none"/>
        </w:tabs>
        <w:spacing w:line="242" w:lineRule="auto" w:before="122" w:after="0"/>
        <w:ind w:left="2381" w:right="1843" w:hanging="794"/>
        <w:jc w:val="left"/>
        <w:rPr>
          <w:sz w:val="21"/>
        </w:rPr>
      </w:pPr>
      <w:r>
        <w:rPr>
          <w:w w:val="105"/>
          <w:sz w:val="21"/>
        </w:rPr>
        <w:t>The</w:t>
      </w:r>
      <w:r>
        <w:rPr>
          <w:spacing w:val="-9"/>
          <w:w w:val="105"/>
          <w:sz w:val="21"/>
        </w:rPr>
        <w:t> </w:t>
      </w:r>
      <w:r>
        <w:rPr>
          <w:w w:val="105"/>
          <w:sz w:val="21"/>
        </w:rPr>
        <w:t>Legal</w:t>
      </w:r>
      <w:r>
        <w:rPr>
          <w:spacing w:val="-9"/>
          <w:w w:val="105"/>
          <w:sz w:val="21"/>
        </w:rPr>
        <w:t> </w:t>
      </w:r>
      <w:r>
        <w:rPr>
          <w:w w:val="105"/>
          <w:sz w:val="21"/>
        </w:rPr>
        <w:t>Services</w:t>
      </w:r>
      <w:r>
        <w:rPr>
          <w:spacing w:val="-8"/>
          <w:w w:val="105"/>
          <w:sz w:val="21"/>
        </w:rPr>
        <w:t> </w:t>
      </w:r>
      <w:r>
        <w:rPr>
          <w:spacing w:val="-3"/>
          <w:w w:val="105"/>
          <w:sz w:val="21"/>
        </w:rPr>
        <w:t>Commissioner</w:t>
      </w:r>
      <w:r>
        <w:rPr>
          <w:spacing w:val="-9"/>
          <w:w w:val="105"/>
          <w:sz w:val="21"/>
        </w:rPr>
        <w:t> </w:t>
      </w:r>
      <w:r>
        <w:rPr>
          <w:w w:val="105"/>
          <w:sz w:val="21"/>
        </w:rPr>
        <w:t>directly</w:t>
      </w:r>
      <w:r>
        <w:rPr>
          <w:spacing w:val="-8"/>
          <w:w w:val="105"/>
          <w:sz w:val="21"/>
        </w:rPr>
        <w:t> </w:t>
      </w:r>
      <w:r>
        <w:rPr>
          <w:w w:val="105"/>
          <w:sz w:val="21"/>
        </w:rPr>
        <w:t>engages</w:t>
      </w:r>
      <w:r>
        <w:rPr>
          <w:spacing w:val="-9"/>
          <w:w w:val="105"/>
          <w:sz w:val="21"/>
        </w:rPr>
        <w:t> </w:t>
      </w:r>
      <w:r>
        <w:rPr>
          <w:spacing w:val="-3"/>
          <w:w w:val="105"/>
          <w:sz w:val="21"/>
        </w:rPr>
        <w:t>approximately</w:t>
      </w:r>
      <w:r>
        <w:rPr>
          <w:spacing w:val="-8"/>
          <w:w w:val="105"/>
          <w:sz w:val="21"/>
        </w:rPr>
        <w:t> </w:t>
      </w:r>
      <w:r>
        <w:rPr>
          <w:w w:val="105"/>
          <w:sz w:val="21"/>
        </w:rPr>
        <w:t>1000</w:t>
      </w:r>
      <w:r>
        <w:rPr>
          <w:spacing w:val="-9"/>
          <w:w w:val="105"/>
          <w:sz w:val="21"/>
        </w:rPr>
        <w:t> </w:t>
      </w:r>
      <w:r>
        <w:rPr>
          <w:w w:val="105"/>
          <w:sz w:val="21"/>
        </w:rPr>
        <w:t>lawyers</w:t>
      </w:r>
      <w:r>
        <w:rPr>
          <w:spacing w:val="-8"/>
          <w:w w:val="105"/>
          <w:sz w:val="21"/>
        </w:rPr>
        <w:t> </w:t>
      </w:r>
      <w:r>
        <w:rPr>
          <w:w w:val="105"/>
          <w:sz w:val="21"/>
        </w:rPr>
        <w:t>per</w:t>
      </w:r>
      <w:r>
        <w:rPr>
          <w:spacing w:val="-9"/>
          <w:w w:val="105"/>
          <w:sz w:val="21"/>
        </w:rPr>
        <w:t> </w:t>
      </w:r>
      <w:r>
        <w:rPr>
          <w:spacing w:val="-3"/>
          <w:w w:val="105"/>
          <w:sz w:val="21"/>
        </w:rPr>
        <w:t>year </w:t>
      </w:r>
      <w:r>
        <w:rPr>
          <w:w w:val="105"/>
          <w:sz w:val="21"/>
        </w:rPr>
        <w:t>via seminars, </w:t>
      </w:r>
      <w:r>
        <w:rPr>
          <w:spacing w:val="-3"/>
          <w:w w:val="105"/>
          <w:sz w:val="21"/>
        </w:rPr>
        <w:t>presentations </w:t>
      </w:r>
      <w:r>
        <w:rPr>
          <w:w w:val="105"/>
          <w:sz w:val="21"/>
        </w:rPr>
        <w:t>and workshops, and the </w:t>
      </w:r>
      <w:r>
        <w:rPr>
          <w:spacing w:val="-3"/>
          <w:w w:val="105"/>
          <w:sz w:val="21"/>
        </w:rPr>
        <w:t>insights gained </w:t>
      </w:r>
      <w:r>
        <w:rPr>
          <w:w w:val="105"/>
          <w:sz w:val="21"/>
        </w:rPr>
        <w:t>at the </w:t>
      </w:r>
      <w:r>
        <w:rPr>
          <w:spacing w:val="-3"/>
          <w:w w:val="105"/>
          <w:sz w:val="21"/>
        </w:rPr>
        <w:t>roundtable have informed </w:t>
      </w:r>
      <w:r>
        <w:rPr>
          <w:w w:val="105"/>
          <w:sz w:val="21"/>
        </w:rPr>
        <w:t>the </w:t>
      </w:r>
      <w:r>
        <w:rPr>
          <w:spacing w:val="-3"/>
          <w:w w:val="105"/>
          <w:sz w:val="21"/>
        </w:rPr>
        <w:t>Commissioner’s </w:t>
      </w:r>
      <w:r>
        <w:rPr>
          <w:w w:val="105"/>
          <w:sz w:val="21"/>
        </w:rPr>
        <w:t>education function</w:t>
      </w:r>
      <w:r>
        <w:rPr>
          <w:spacing w:val="31"/>
          <w:w w:val="105"/>
          <w:sz w:val="21"/>
        </w:rPr>
        <w:t> </w:t>
      </w:r>
      <w:r>
        <w:rPr>
          <w:spacing w:val="-4"/>
          <w:w w:val="105"/>
          <w:sz w:val="21"/>
        </w:rPr>
        <w:t>generally.</w:t>
      </w:r>
    </w:p>
    <w:p>
      <w:pPr>
        <w:pStyle w:val="ListParagraph"/>
        <w:numPr>
          <w:ilvl w:val="1"/>
          <w:numId w:val="22"/>
        </w:numPr>
        <w:tabs>
          <w:tab w:pos="2380" w:val="left" w:leader="none"/>
          <w:tab w:pos="2381" w:val="left" w:leader="none"/>
        </w:tabs>
        <w:spacing w:line="242" w:lineRule="auto" w:before="123" w:after="0"/>
        <w:ind w:left="2380" w:right="1818" w:hanging="793"/>
        <w:jc w:val="left"/>
        <w:rPr>
          <w:sz w:val="21"/>
        </w:rPr>
      </w:pPr>
      <w:r>
        <w:rPr>
          <w:spacing w:val="-4"/>
          <w:w w:val="105"/>
          <w:sz w:val="21"/>
        </w:rPr>
        <w:t>Talks,</w:t>
      </w:r>
      <w:r>
        <w:rPr>
          <w:spacing w:val="-11"/>
          <w:w w:val="105"/>
          <w:sz w:val="21"/>
        </w:rPr>
        <w:t> </w:t>
      </w:r>
      <w:r>
        <w:rPr>
          <w:spacing w:val="-3"/>
          <w:w w:val="105"/>
          <w:sz w:val="21"/>
        </w:rPr>
        <w:t>consultations,</w:t>
      </w:r>
      <w:r>
        <w:rPr>
          <w:spacing w:val="-10"/>
          <w:w w:val="105"/>
          <w:sz w:val="21"/>
        </w:rPr>
        <w:t> </w:t>
      </w:r>
      <w:r>
        <w:rPr>
          <w:w w:val="105"/>
          <w:sz w:val="21"/>
        </w:rPr>
        <w:t>seminars</w:t>
      </w:r>
      <w:r>
        <w:rPr>
          <w:spacing w:val="-10"/>
          <w:w w:val="105"/>
          <w:sz w:val="21"/>
        </w:rPr>
        <w:t> </w:t>
      </w:r>
      <w:r>
        <w:rPr>
          <w:w w:val="105"/>
          <w:sz w:val="21"/>
        </w:rPr>
        <w:t>and</w:t>
      </w:r>
      <w:r>
        <w:rPr>
          <w:spacing w:val="-11"/>
          <w:w w:val="105"/>
          <w:sz w:val="21"/>
        </w:rPr>
        <w:t> </w:t>
      </w:r>
      <w:r>
        <w:rPr>
          <w:w w:val="105"/>
          <w:sz w:val="21"/>
        </w:rPr>
        <w:t>workshops</w:t>
      </w:r>
      <w:r>
        <w:rPr>
          <w:spacing w:val="-10"/>
          <w:w w:val="105"/>
          <w:sz w:val="21"/>
        </w:rPr>
        <w:t> </w:t>
      </w:r>
      <w:r>
        <w:rPr>
          <w:spacing w:val="-3"/>
          <w:w w:val="105"/>
          <w:sz w:val="21"/>
        </w:rPr>
        <w:t>have</w:t>
      </w:r>
      <w:r>
        <w:rPr>
          <w:spacing w:val="-10"/>
          <w:w w:val="105"/>
          <w:sz w:val="21"/>
        </w:rPr>
        <w:t> </w:t>
      </w:r>
      <w:r>
        <w:rPr>
          <w:w w:val="105"/>
          <w:sz w:val="21"/>
        </w:rPr>
        <w:t>addressed</w:t>
      </w:r>
      <w:r>
        <w:rPr>
          <w:spacing w:val="-10"/>
          <w:w w:val="105"/>
          <w:sz w:val="21"/>
        </w:rPr>
        <w:t> </w:t>
      </w:r>
      <w:r>
        <w:rPr>
          <w:w w:val="105"/>
          <w:sz w:val="21"/>
        </w:rPr>
        <w:t>issues</w:t>
      </w:r>
      <w:r>
        <w:rPr>
          <w:spacing w:val="-11"/>
          <w:w w:val="105"/>
          <w:sz w:val="21"/>
        </w:rPr>
        <w:t> </w:t>
      </w:r>
      <w:r>
        <w:rPr>
          <w:spacing w:val="-3"/>
          <w:w w:val="105"/>
          <w:sz w:val="21"/>
        </w:rPr>
        <w:t>relating</w:t>
      </w:r>
      <w:r>
        <w:rPr>
          <w:spacing w:val="-10"/>
          <w:w w:val="105"/>
          <w:sz w:val="21"/>
        </w:rPr>
        <w:t> </w:t>
      </w:r>
      <w:r>
        <w:rPr>
          <w:spacing w:val="-3"/>
          <w:w w:val="105"/>
          <w:sz w:val="21"/>
        </w:rPr>
        <w:t>to</w:t>
      </w:r>
      <w:r>
        <w:rPr>
          <w:spacing w:val="-10"/>
          <w:w w:val="105"/>
          <w:sz w:val="21"/>
        </w:rPr>
        <w:t> </w:t>
      </w:r>
      <w:r>
        <w:rPr>
          <w:spacing w:val="-3"/>
          <w:w w:val="105"/>
          <w:sz w:val="21"/>
        </w:rPr>
        <w:t>probate, wills </w:t>
      </w:r>
      <w:r>
        <w:rPr>
          <w:w w:val="105"/>
          <w:sz w:val="21"/>
        </w:rPr>
        <w:t>and estates, and staff of the office </w:t>
      </w:r>
      <w:r>
        <w:rPr>
          <w:spacing w:val="-3"/>
          <w:w w:val="105"/>
          <w:sz w:val="21"/>
        </w:rPr>
        <w:t>have informed </w:t>
      </w:r>
      <w:r>
        <w:rPr>
          <w:w w:val="105"/>
          <w:sz w:val="21"/>
        </w:rPr>
        <w:t>practitioners and </w:t>
      </w:r>
      <w:r>
        <w:rPr>
          <w:spacing w:val="-3"/>
          <w:w w:val="105"/>
          <w:sz w:val="21"/>
        </w:rPr>
        <w:t>consumers </w:t>
      </w:r>
      <w:r>
        <w:rPr>
          <w:w w:val="105"/>
          <w:sz w:val="21"/>
        </w:rPr>
        <w:t>about</w:t>
      </w:r>
      <w:r>
        <w:rPr>
          <w:spacing w:val="-10"/>
          <w:w w:val="105"/>
          <w:sz w:val="21"/>
        </w:rPr>
        <w:t> </w:t>
      </w:r>
      <w:r>
        <w:rPr>
          <w:w w:val="105"/>
          <w:sz w:val="21"/>
        </w:rPr>
        <w:t>issues</w:t>
      </w:r>
      <w:r>
        <w:rPr>
          <w:spacing w:val="-10"/>
          <w:w w:val="105"/>
          <w:sz w:val="21"/>
        </w:rPr>
        <w:t> </w:t>
      </w:r>
      <w:r>
        <w:rPr>
          <w:spacing w:val="-3"/>
          <w:w w:val="105"/>
          <w:sz w:val="21"/>
        </w:rPr>
        <w:t>that</w:t>
      </w:r>
      <w:r>
        <w:rPr>
          <w:spacing w:val="-10"/>
          <w:w w:val="105"/>
          <w:sz w:val="21"/>
        </w:rPr>
        <w:t> </w:t>
      </w:r>
      <w:r>
        <w:rPr>
          <w:spacing w:val="-2"/>
          <w:w w:val="105"/>
          <w:sz w:val="21"/>
        </w:rPr>
        <w:t>commonly</w:t>
      </w:r>
      <w:r>
        <w:rPr>
          <w:spacing w:val="-10"/>
          <w:w w:val="105"/>
          <w:sz w:val="21"/>
        </w:rPr>
        <w:t> </w:t>
      </w:r>
      <w:r>
        <w:rPr>
          <w:spacing w:val="-3"/>
          <w:w w:val="105"/>
          <w:sz w:val="21"/>
        </w:rPr>
        <w:t>arise.</w:t>
      </w:r>
      <w:r>
        <w:rPr>
          <w:spacing w:val="-10"/>
          <w:w w:val="105"/>
          <w:sz w:val="21"/>
        </w:rPr>
        <w:t> </w:t>
      </w:r>
      <w:r>
        <w:rPr>
          <w:spacing w:val="-3"/>
          <w:w w:val="105"/>
          <w:sz w:val="21"/>
        </w:rPr>
        <w:t>Outreach</w:t>
      </w:r>
      <w:r>
        <w:rPr>
          <w:spacing w:val="-10"/>
          <w:w w:val="105"/>
          <w:sz w:val="21"/>
        </w:rPr>
        <w:t> </w:t>
      </w:r>
      <w:r>
        <w:rPr>
          <w:w w:val="105"/>
          <w:sz w:val="21"/>
        </w:rPr>
        <w:t>and</w:t>
      </w:r>
      <w:r>
        <w:rPr>
          <w:spacing w:val="-10"/>
          <w:w w:val="105"/>
          <w:sz w:val="21"/>
        </w:rPr>
        <w:t> </w:t>
      </w:r>
      <w:r>
        <w:rPr>
          <w:w w:val="105"/>
          <w:sz w:val="21"/>
        </w:rPr>
        <w:t>education</w:t>
      </w:r>
      <w:r>
        <w:rPr>
          <w:spacing w:val="-10"/>
          <w:w w:val="105"/>
          <w:sz w:val="21"/>
        </w:rPr>
        <w:t> </w:t>
      </w:r>
      <w:r>
        <w:rPr>
          <w:w w:val="105"/>
          <w:sz w:val="21"/>
        </w:rPr>
        <w:t>visits</w:t>
      </w:r>
      <w:r>
        <w:rPr>
          <w:spacing w:val="-10"/>
          <w:w w:val="105"/>
          <w:sz w:val="21"/>
        </w:rPr>
        <w:t> </w:t>
      </w:r>
      <w:r>
        <w:rPr>
          <w:spacing w:val="-3"/>
          <w:w w:val="105"/>
          <w:sz w:val="21"/>
        </w:rPr>
        <w:t>have</w:t>
      </w:r>
      <w:r>
        <w:rPr>
          <w:spacing w:val="-10"/>
          <w:w w:val="105"/>
          <w:sz w:val="21"/>
        </w:rPr>
        <w:t> </w:t>
      </w:r>
      <w:r>
        <w:rPr>
          <w:w w:val="105"/>
          <w:sz w:val="21"/>
        </w:rPr>
        <w:t>also</w:t>
      </w:r>
      <w:r>
        <w:rPr>
          <w:spacing w:val="-10"/>
          <w:w w:val="105"/>
          <w:sz w:val="21"/>
        </w:rPr>
        <w:t> </w:t>
      </w:r>
      <w:r>
        <w:rPr>
          <w:spacing w:val="-2"/>
          <w:w w:val="105"/>
          <w:sz w:val="21"/>
        </w:rPr>
        <w:t>raised</w:t>
      </w:r>
      <w:r>
        <w:rPr>
          <w:spacing w:val="-10"/>
          <w:w w:val="105"/>
          <w:sz w:val="21"/>
        </w:rPr>
        <w:t> </w:t>
      </w:r>
      <w:r>
        <w:rPr>
          <w:w w:val="105"/>
          <w:sz w:val="21"/>
        </w:rPr>
        <w:t>issues identified by the </w:t>
      </w:r>
      <w:r>
        <w:rPr>
          <w:spacing w:val="-3"/>
          <w:w w:val="105"/>
          <w:sz w:val="21"/>
        </w:rPr>
        <w:t>roundtable. </w:t>
      </w:r>
      <w:r>
        <w:rPr>
          <w:w w:val="105"/>
          <w:sz w:val="21"/>
        </w:rPr>
        <w:t>They </w:t>
      </w:r>
      <w:r>
        <w:rPr>
          <w:spacing w:val="-3"/>
          <w:w w:val="105"/>
          <w:sz w:val="21"/>
        </w:rPr>
        <w:t>have included </w:t>
      </w:r>
      <w:r>
        <w:rPr>
          <w:w w:val="105"/>
          <w:sz w:val="21"/>
        </w:rPr>
        <w:t>visits </w:t>
      </w:r>
      <w:r>
        <w:rPr>
          <w:spacing w:val="-3"/>
          <w:w w:val="105"/>
          <w:sz w:val="21"/>
        </w:rPr>
        <w:t>to </w:t>
      </w:r>
      <w:r>
        <w:rPr>
          <w:w w:val="105"/>
          <w:sz w:val="21"/>
        </w:rPr>
        <w:t>community legal </w:t>
      </w:r>
      <w:r>
        <w:rPr>
          <w:spacing w:val="-3"/>
          <w:w w:val="105"/>
          <w:sz w:val="21"/>
        </w:rPr>
        <w:t>centres, </w:t>
      </w:r>
      <w:r>
        <w:rPr>
          <w:w w:val="105"/>
          <w:sz w:val="21"/>
        </w:rPr>
        <w:t>law practices and community </w:t>
      </w:r>
      <w:r>
        <w:rPr>
          <w:spacing w:val="-3"/>
          <w:w w:val="105"/>
          <w:sz w:val="21"/>
        </w:rPr>
        <w:t>organisations. </w:t>
      </w:r>
      <w:r>
        <w:rPr>
          <w:w w:val="105"/>
          <w:sz w:val="21"/>
        </w:rPr>
        <w:t>In </w:t>
      </w:r>
      <w:r>
        <w:rPr>
          <w:spacing w:val="-3"/>
          <w:w w:val="105"/>
          <w:sz w:val="21"/>
        </w:rPr>
        <w:t>addition, information </w:t>
      </w:r>
      <w:r>
        <w:rPr>
          <w:spacing w:val="-2"/>
          <w:w w:val="105"/>
          <w:sz w:val="21"/>
        </w:rPr>
        <w:t>has </w:t>
      </w:r>
      <w:r>
        <w:rPr>
          <w:w w:val="105"/>
          <w:sz w:val="21"/>
        </w:rPr>
        <w:t>been </w:t>
      </w:r>
      <w:r>
        <w:rPr>
          <w:spacing w:val="-3"/>
          <w:w w:val="105"/>
          <w:sz w:val="21"/>
        </w:rPr>
        <w:t>published </w:t>
      </w:r>
      <w:r>
        <w:rPr>
          <w:w w:val="105"/>
          <w:sz w:val="21"/>
        </w:rPr>
        <w:t>on the Legal Services </w:t>
      </w:r>
      <w:r>
        <w:rPr>
          <w:spacing w:val="-3"/>
          <w:w w:val="105"/>
          <w:sz w:val="21"/>
        </w:rPr>
        <w:t>Commissioner’s</w:t>
      </w:r>
      <w:r>
        <w:rPr>
          <w:spacing w:val="18"/>
          <w:w w:val="105"/>
          <w:sz w:val="21"/>
        </w:rPr>
        <w:t> </w:t>
      </w:r>
      <w:r>
        <w:rPr>
          <w:spacing w:val="-3"/>
          <w:w w:val="105"/>
          <w:sz w:val="21"/>
        </w:rPr>
        <w:t>website.</w:t>
      </w:r>
    </w:p>
    <w:p>
      <w:pPr>
        <w:pStyle w:val="ListParagraph"/>
        <w:numPr>
          <w:ilvl w:val="1"/>
          <w:numId w:val="22"/>
        </w:numPr>
        <w:tabs>
          <w:tab w:pos="2380" w:val="left" w:leader="none"/>
          <w:tab w:pos="2381" w:val="left" w:leader="none"/>
        </w:tabs>
        <w:spacing w:line="242" w:lineRule="auto" w:before="127" w:after="0"/>
        <w:ind w:left="2380" w:right="2190" w:hanging="793"/>
        <w:jc w:val="left"/>
        <w:rPr>
          <w:sz w:val="21"/>
        </w:rPr>
      </w:pPr>
      <w:r>
        <w:rPr>
          <w:spacing w:val="-3"/>
          <w:sz w:val="21"/>
        </w:rPr>
        <w:t>Many  </w:t>
      </w:r>
      <w:r>
        <w:rPr>
          <w:sz w:val="21"/>
        </w:rPr>
        <w:t>firms do </w:t>
      </w:r>
      <w:r>
        <w:rPr>
          <w:spacing w:val="-2"/>
          <w:sz w:val="21"/>
        </w:rPr>
        <w:t>not</w:t>
      </w:r>
      <w:r>
        <w:rPr>
          <w:spacing w:val="43"/>
          <w:sz w:val="21"/>
        </w:rPr>
        <w:t> </w:t>
      </w:r>
      <w:r>
        <w:rPr>
          <w:sz w:val="21"/>
        </w:rPr>
        <w:t>provide </w:t>
      </w:r>
      <w:r>
        <w:rPr>
          <w:spacing w:val="-3"/>
          <w:sz w:val="21"/>
        </w:rPr>
        <w:t>executorial  </w:t>
      </w:r>
      <w:r>
        <w:rPr>
          <w:sz w:val="21"/>
        </w:rPr>
        <w:t>services or provide them only </w:t>
      </w:r>
      <w:r>
        <w:rPr>
          <w:spacing w:val="-4"/>
          <w:sz w:val="21"/>
        </w:rPr>
        <w:t>occasionally.  </w:t>
      </w:r>
      <w:r>
        <w:rPr>
          <w:sz w:val="21"/>
        </w:rPr>
        <w:t>It is </w:t>
      </w:r>
      <w:r>
        <w:rPr>
          <w:spacing w:val="-3"/>
          <w:sz w:val="21"/>
        </w:rPr>
        <w:t>therefore </w:t>
      </w:r>
      <w:r>
        <w:rPr>
          <w:sz w:val="21"/>
        </w:rPr>
        <w:t>essential </w:t>
      </w:r>
      <w:r>
        <w:rPr>
          <w:spacing w:val="-3"/>
          <w:sz w:val="21"/>
        </w:rPr>
        <w:t>that </w:t>
      </w:r>
      <w:r>
        <w:rPr>
          <w:sz w:val="21"/>
        </w:rPr>
        <w:t>legal practitioners </w:t>
      </w:r>
      <w:r>
        <w:rPr>
          <w:spacing w:val="-3"/>
          <w:sz w:val="21"/>
        </w:rPr>
        <w:t>have </w:t>
      </w:r>
      <w:r>
        <w:rPr>
          <w:sz w:val="21"/>
        </w:rPr>
        <w:t>ready </w:t>
      </w:r>
      <w:r>
        <w:rPr>
          <w:spacing w:val="-2"/>
          <w:sz w:val="21"/>
        </w:rPr>
        <w:t>access </w:t>
      </w:r>
      <w:r>
        <w:rPr>
          <w:spacing w:val="-3"/>
          <w:sz w:val="21"/>
        </w:rPr>
        <w:t>to information</w:t>
      </w:r>
      <w:r>
        <w:rPr>
          <w:spacing w:val="-21"/>
          <w:sz w:val="21"/>
        </w:rPr>
        <w:t> </w:t>
      </w:r>
      <w:r>
        <w:rPr>
          <w:sz w:val="21"/>
        </w:rPr>
        <w:t>about</w:t>
      </w:r>
    </w:p>
    <w:p>
      <w:pPr>
        <w:pStyle w:val="BodyText"/>
        <w:spacing w:line="242" w:lineRule="auto" w:before="2"/>
        <w:ind w:left="2380" w:right="2010"/>
      </w:pPr>
      <w:r>
        <w:rPr/>
        <w:t>charging for executorial services and know the importance of consulting it in order to avoid breaching their duty to the beneficiaries. Educational activities in this area of the law should be continually available and widely promoted.</w:t>
      </w:r>
    </w:p>
    <w:p>
      <w:pPr>
        <w:pStyle w:val="ListParagraph"/>
        <w:numPr>
          <w:ilvl w:val="1"/>
          <w:numId w:val="22"/>
        </w:numPr>
        <w:tabs>
          <w:tab w:pos="2380" w:val="left" w:leader="none"/>
          <w:tab w:pos="2381" w:val="left" w:leader="none"/>
        </w:tabs>
        <w:spacing w:line="242" w:lineRule="auto" w:before="123" w:after="0"/>
        <w:ind w:left="2380" w:right="1852" w:hanging="794"/>
        <w:jc w:val="left"/>
        <w:rPr>
          <w:sz w:val="21"/>
        </w:rPr>
      </w:pPr>
      <w:r>
        <w:rPr>
          <w:w w:val="105"/>
          <w:sz w:val="21"/>
        </w:rPr>
        <w:t>The </w:t>
      </w:r>
      <w:r>
        <w:rPr>
          <w:spacing w:val="-3"/>
          <w:w w:val="105"/>
          <w:sz w:val="21"/>
        </w:rPr>
        <w:t>Commission </w:t>
      </w:r>
      <w:r>
        <w:rPr>
          <w:spacing w:val="-2"/>
          <w:w w:val="105"/>
          <w:sz w:val="21"/>
        </w:rPr>
        <w:t>has </w:t>
      </w:r>
      <w:r>
        <w:rPr>
          <w:w w:val="105"/>
          <w:sz w:val="21"/>
        </w:rPr>
        <w:t>no evidence </w:t>
      </w:r>
      <w:r>
        <w:rPr>
          <w:spacing w:val="-3"/>
          <w:w w:val="105"/>
          <w:sz w:val="21"/>
        </w:rPr>
        <w:t>to </w:t>
      </w:r>
      <w:r>
        <w:rPr>
          <w:w w:val="105"/>
          <w:sz w:val="21"/>
        </w:rPr>
        <w:t>suggest </w:t>
      </w:r>
      <w:r>
        <w:rPr>
          <w:spacing w:val="-3"/>
          <w:w w:val="105"/>
          <w:sz w:val="21"/>
        </w:rPr>
        <w:t>that </w:t>
      </w:r>
      <w:r>
        <w:rPr>
          <w:w w:val="105"/>
          <w:sz w:val="21"/>
        </w:rPr>
        <w:t>a </w:t>
      </w:r>
      <w:r>
        <w:rPr>
          <w:spacing w:val="-3"/>
          <w:w w:val="105"/>
          <w:sz w:val="21"/>
        </w:rPr>
        <w:t>change </w:t>
      </w:r>
      <w:r>
        <w:rPr>
          <w:w w:val="105"/>
          <w:sz w:val="21"/>
        </w:rPr>
        <w:t>is needed </w:t>
      </w:r>
      <w:r>
        <w:rPr>
          <w:spacing w:val="-3"/>
          <w:w w:val="105"/>
          <w:sz w:val="21"/>
        </w:rPr>
        <w:t>to </w:t>
      </w:r>
      <w:r>
        <w:rPr>
          <w:w w:val="105"/>
          <w:sz w:val="21"/>
        </w:rPr>
        <w:t>the approach being</w:t>
      </w:r>
      <w:r>
        <w:rPr>
          <w:spacing w:val="-5"/>
          <w:w w:val="105"/>
          <w:sz w:val="21"/>
        </w:rPr>
        <w:t> </w:t>
      </w:r>
      <w:r>
        <w:rPr>
          <w:spacing w:val="-3"/>
          <w:w w:val="105"/>
          <w:sz w:val="21"/>
        </w:rPr>
        <w:t>taken</w:t>
      </w:r>
      <w:r>
        <w:rPr>
          <w:spacing w:val="-5"/>
          <w:w w:val="105"/>
          <w:sz w:val="21"/>
        </w:rPr>
        <w:t> </w:t>
      </w:r>
      <w:r>
        <w:rPr>
          <w:w w:val="105"/>
          <w:sz w:val="21"/>
        </w:rPr>
        <w:t>by</w:t>
      </w:r>
      <w:r>
        <w:rPr>
          <w:spacing w:val="-5"/>
          <w:w w:val="105"/>
          <w:sz w:val="21"/>
        </w:rPr>
        <w:t> </w:t>
      </w:r>
      <w:r>
        <w:rPr>
          <w:w w:val="105"/>
          <w:sz w:val="21"/>
        </w:rPr>
        <w:t>the</w:t>
      </w:r>
      <w:r>
        <w:rPr>
          <w:spacing w:val="-5"/>
          <w:w w:val="105"/>
          <w:sz w:val="21"/>
        </w:rPr>
        <w:t> </w:t>
      </w:r>
      <w:r>
        <w:rPr>
          <w:w w:val="105"/>
          <w:sz w:val="21"/>
        </w:rPr>
        <w:t>Legal</w:t>
      </w:r>
      <w:r>
        <w:rPr>
          <w:spacing w:val="-4"/>
          <w:w w:val="105"/>
          <w:sz w:val="21"/>
        </w:rPr>
        <w:t> </w:t>
      </w:r>
      <w:r>
        <w:rPr>
          <w:w w:val="105"/>
          <w:sz w:val="21"/>
        </w:rPr>
        <w:t>Services</w:t>
      </w:r>
      <w:r>
        <w:rPr>
          <w:spacing w:val="-5"/>
          <w:w w:val="105"/>
          <w:sz w:val="21"/>
        </w:rPr>
        <w:t> </w:t>
      </w:r>
      <w:r>
        <w:rPr>
          <w:spacing w:val="-3"/>
          <w:w w:val="105"/>
          <w:sz w:val="21"/>
        </w:rPr>
        <w:t>Commissioner</w:t>
      </w:r>
      <w:r>
        <w:rPr>
          <w:spacing w:val="-5"/>
          <w:w w:val="105"/>
          <w:sz w:val="21"/>
        </w:rPr>
        <w:t> </w:t>
      </w:r>
      <w:r>
        <w:rPr>
          <w:w w:val="105"/>
          <w:sz w:val="21"/>
        </w:rPr>
        <w:t>and</w:t>
      </w:r>
      <w:r>
        <w:rPr>
          <w:spacing w:val="-5"/>
          <w:w w:val="105"/>
          <w:sz w:val="21"/>
        </w:rPr>
        <w:t> </w:t>
      </w:r>
      <w:r>
        <w:rPr>
          <w:w w:val="105"/>
          <w:sz w:val="21"/>
        </w:rPr>
        <w:t>would</w:t>
      </w:r>
      <w:r>
        <w:rPr>
          <w:spacing w:val="-4"/>
          <w:w w:val="105"/>
          <w:sz w:val="21"/>
        </w:rPr>
        <w:t> </w:t>
      </w:r>
      <w:r>
        <w:rPr>
          <w:w w:val="105"/>
          <w:sz w:val="21"/>
        </w:rPr>
        <w:t>support</w:t>
      </w:r>
      <w:r>
        <w:rPr>
          <w:spacing w:val="-5"/>
          <w:w w:val="105"/>
          <w:sz w:val="21"/>
        </w:rPr>
        <w:t> </w:t>
      </w:r>
      <w:r>
        <w:rPr>
          <w:w w:val="105"/>
          <w:sz w:val="21"/>
        </w:rPr>
        <w:t>this</w:t>
      </w:r>
      <w:r>
        <w:rPr>
          <w:spacing w:val="-5"/>
          <w:w w:val="105"/>
          <w:sz w:val="21"/>
        </w:rPr>
        <w:t> </w:t>
      </w:r>
      <w:r>
        <w:rPr>
          <w:w w:val="105"/>
          <w:sz w:val="21"/>
        </w:rPr>
        <w:t>function</w:t>
      </w:r>
      <w:r>
        <w:rPr>
          <w:spacing w:val="-5"/>
          <w:w w:val="105"/>
          <w:sz w:val="21"/>
        </w:rPr>
        <w:t> </w:t>
      </w:r>
      <w:r>
        <w:rPr>
          <w:w w:val="105"/>
          <w:sz w:val="21"/>
        </w:rPr>
        <w:t>being strengthened under the new </w:t>
      </w:r>
      <w:r>
        <w:rPr>
          <w:spacing w:val="-3"/>
          <w:w w:val="105"/>
          <w:sz w:val="21"/>
        </w:rPr>
        <w:t>uniform</w:t>
      </w:r>
      <w:r>
        <w:rPr>
          <w:spacing w:val="23"/>
          <w:w w:val="105"/>
          <w:sz w:val="21"/>
        </w:rPr>
        <w:t> </w:t>
      </w:r>
      <w:r>
        <w:rPr>
          <w:spacing w:val="-5"/>
          <w:w w:val="105"/>
          <w:sz w:val="21"/>
        </w:rPr>
        <w:t>law.</w:t>
      </w:r>
    </w:p>
    <w:p>
      <w:pPr>
        <w:pStyle w:val="BodyText"/>
        <w:rPr>
          <w:sz w:val="25"/>
        </w:rPr>
      </w:pPr>
    </w:p>
    <w:p>
      <w:pPr>
        <w:pStyle w:val="Heading5"/>
      </w:pPr>
      <w:r>
        <w:rPr>
          <w:w w:val="115"/>
        </w:rPr>
        <w:t>Information given to beneficiaries</w:t>
      </w:r>
    </w:p>
    <w:p>
      <w:pPr>
        <w:pStyle w:val="Heading6"/>
        <w:spacing w:before="201"/>
      </w:pPr>
      <w:r>
        <w:rPr>
          <w:w w:val="115"/>
        </w:rPr>
        <w:t>The problem</w:t>
      </w:r>
    </w:p>
    <w:p>
      <w:pPr>
        <w:pStyle w:val="ListParagraph"/>
        <w:numPr>
          <w:ilvl w:val="1"/>
          <w:numId w:val="22"/>
        </w:numPr>
        <w:tabs>
          <w:tab w:pos="2380" w:val="left" w:leader="none"/>
          <w:tab w:pos="2381" w:val="left" w:leader="none"/>
        </w:tabs>
        <w:spacing w:line="242" w:lineRule="auto" w:before="151" w:after="0"/>
        <w:ind w:left="2381" w:right="1703" w:hanging="794"/>
        <w:jc w:val="left"/>
        <w:rPr>
          <w:sz w:val="12"/>
        </w:rPr>
      </w:pPr>
      <w:r>
        <w:rPr>
          <w:w w:val="105"/>
          <w:sz w:val="21"/>
        </w:rPr>
        <w:t>The Legal Services </w:t>
      </w:r>
      <w:r>
        <w:rPr>
          <w:spacing w:val="-3"/>
          <w:w w:val="105"/>
          <w:sz w:val="21"/>
        </w:rPr>
        <w:t>Commissioner </w:t>
      </w:r>
      <w:r>
        <w:rPr>
          <w:spacing w:val="-2"/>
          <w:w w:val="105"/>
          <w:sz w:val="21"/>
        </w:rPr>
        <w:t>has </w:t>
      </w:r>
      <w:r>
        <w:rPr>
          <w:spacing w:val="-3"/>
          <w:w w:val="105"/>
          <w:sz w:val="21"/>
        </w:rPr>
        <w:t>commented that, </w:t>
      </w:r>
      <w:r>
        <w:rPr>
          <w:w w:val="105"/>
          <w:sz w:val="21"/>
        </w:rPr>
        <w:t>in </w:t>
      </w:r>
      <w:r>
        <w:rPr>
          <w:spacing w:val="-3"/>
          <w:w w:val="105"/>
          <w:sz w:val="21"/>
        </w:rPr>
        <w:t>many complaints </w:t>
      </w:r>
      <w:r>
        <w:rPr>
          <w:w w:val="105"/>
          <w:sz w:val="21"/>
        </w:rPr>
        <w:t>about legal practitioner executors, there </w:t>
      </w:r>
      <w:r>
        <w:rPr>
          <w:spacing w:val="-2"/>
          <w:w w:val="105"/>
          <w:sz w:val="21"/>
        </w:rPr>
        <w:t>has </w:t>
      </w:r>
      <w:r>
        <w:rPr>
          <w:w w:val="105"/>
          <w:sz w:val="21"/>
        </w:rPr>
        <w:t>been a lack of transparency and </w:t>
      </w:r>
      <w:r>
        <w:rPr>
          <w:spacing w:val="-3"/>
          <w:w w:val="105"/>
          <w:sz w:val="21"/>
        </w:rPr>
        <w:t>accountability to beneficiaries.</w:t>
      </w:r>
      <w:r>
        <w:rPr>
          <w:spacing w:val="-3"/>
          <w:w w:val="105"/>
          <w:position w:val="7"/>
          <w:sz w:val="12"/>
        </w:rPr>
        <w:t>101 </w:t>
      </w:r>
      <w:r>
        <w:rPr>
          <w:i/>
          <w:spacing w:val="-4"/>
          <w:w w:val="105"/>
          <w:sz w:val="21"/>
        </w:rPr>
        <w:t>D’Alessandro </w:t>
      </w:r>
      <w:r>
        <w:rPr>
          <w:w w:val="105"/>
          <w:sz w:val="21"/>
        </w:rPr>
        <w:t>and other cases where an </w:t>
      </w:r>
      <w:r>
        <w:rPr>
          <w:spacing w:val="-3"/>
          <w:w w:val="105"/>
          <w:sz w:val="21"/>
        </w:rPr>
        <w:t>executor’s claim for commission </w:t>
      </w:r>
      <w:r>
        <w:rPr>
          <w:spacing w:val="-2"/>
          <w:w w:val="105"/>
          <w:sz w:val="21"/>
        </w:rPr>
        <w:t>has</w:t>
      </w:r>
      <w:r>
        <w:rPr>
          <w:spacing w:val="-6"/>
          <w:w w:val="105"/>
          <w:sz w:val="21"/>
        </w:rPr>
        <w:t> </w:t>
      </w:r>
      <w:r>
        <w:rPr>
          <w:w w:val="105"/>
          <w:sz w:val="21"/>
        </w:rPr>
        <w:t>been</w:t>
      </w:r>
      <w:r>
        <w:rPr>
          <w:spacing w:val="-5"/>
          <w:w w:val="105"/>
          <w:sz w:val="21"/>
        </w:rPr>
        <w:t> </w:t>
      </w:r>
      <w:r>
        <w:rPr>
          <w:spacing w:val="-3"/>
          <w:w w:val="105"/>
          <w:sz w:val="21"/>
        </w:rPr>
        <w:t>challenged</w:t>
      </w:r>
      <w:r>
        <w:rPr>
          <w:spacing w:val="-5"/>
          <w:w w:val="105"/>
          <w:sz w:val="21"/>
        </w:rPr>
        <w:t> </w:t>
      </w:r>
      <w:r>
        <w:rPr>
          <w:w w:val="105"/>
          <w:sz w:val="21"/>
        </w:rPr>
        <w:t>also</w:t>
      </w:r>
      <w:r>
        <w:rPr>
          <w:spacing w:val="-6"/>
          <w:w w:val="105"/>
          <w:sz w:val="21"/>
        </w:rPr>
        <w:t> </w:t>
      </w:r>
      <w:r>
        <w:rPr>
          <w:spacing w:val="-3"/>
          <w:w w:val="105"/>
          <w:sz w:val="21"/>
        </w:rPr>
        <w:t>illustrate</w:t>
      </w:r>
      <w:r>
        <w:rPr>
          <w:spacing w:val="-5"/>
          <w:w w:val="105"/>
          <w:sz w:val="21"/>
        </w:rPr>
        <w:t> </w:t>
      </w:r>
      <w:r>
        <w:rPr>
          <w:w w:val="105"/>
          <w:sz w:val="21"/>
        </w:rPr>
        <w:t>the</w:t>
      </w:r>
      <w:r>
        <w:rPr>
          <w:spacing w:val="-5"/>
          <w:w w:val="105"/>
          <w:sz w:val="21"/>
        </w:rPr>
        <w:t> </w:t>
      </w:r>
      <w:r>
        <w:rPr>
          <w:w w:val="105"/>
          <w:sz w:val="21"/>
        </w:rPr>
        <w:t>need</w:t>
      </w:r>
      <w:r>
        <w:rPr>
          <w:spacing w:val="-5"/>
          <w:w w:val="105"/>
          <w:sz w:val="21"/>
        </w:rPr>
        <w:t> </w:t>
      </w:r>
      <w:r>
        <w:rPr>
          <w:spacing w:val="-3"/>
          <w:w w:val="105"/>
          <w:sz w:val="21"/>
        </w:rPr>
        <w:t>for</w:t>
      </w:r>
      <w:r>
        <w:rPr>
          <w:spacing w:val="-6"/>
          <w:w w:val="105"/>
          <w:sz w:val="21"/>
        </w:rPr>
        <w:t> </w:t>
      </w:r>
      <w:r>
        <w:rPr>
          <w:w w:val="105"/>
          <w:sz w:val="21"/>
        </w:rPr>
        <w:t>good</w:t>
      </w:r>
      <w:r>
        <w:rPr>
          <w:spacing w:val="-5"/>
          <w:w w:val="105"/>
          <w:sz w:val="21"/>
        </w:rPr>
        <w:t> </w:t>
      </w:r>
      <w:r>
        <w:rPr>
          <w:spacing w:val="-3"/>
          <w:w w:val="105"/>
          <w:sz w:val="21"/>
        </w:rPr>
        <w:t>communication</w:t>
      </w:r>
      <w:r>
        <w:rPr>
          <w:spacing w:val="-5"/>
          <w:w w:val="105"/>
          <w:sz w:val="21"/>
        </w:rPr>
        <w:t> </w:t>
      </w:r>
      <w:r>
        <w:rPr>
          <w:w w:val="105"/>
          <w:sz w:val="21"/>
        </w:rPr>
        <w:t>between</w:t>
      </w:r>
      <w:r>
        <w:rPr>
          <w:spacing w:val="-5"/>
          <w:w w:val="105"/>
          <w:sz w:val="21"/>
        </w:rPr>
        <w:t> </w:t>
      </w:r>
      <w:r>
        <w:rPr>
          <w:w w:val="105"/>
          <w:sz w:val="21"/>
        </w:rPr>
        <w:t>executors and beneficiaries.</w:t>
      </w:r>
      <w:r>
        <w:rPr>
          <w:spacing w:val="-14"/>
          <w:w w:val="105"/>
          <w:sz w:val="21"/>
        </w:rPr>
        <w:t> </w:t>
      </w:r>
      <w:r>
        <w:rPr>
          <w:w w:val="105"/>
          <w:position w:val="7"/>
          <w:sz w:val="12"/>
        </w:rPr>
        <w:t>102</w:t>
      </w:r>
    </w:p>
    <w:p>
      <w:pPr>
        <w:pStyle w:val="ListParagraph"/>
        <w:numPr>
          <w:ilvl w:val="1"/>
          <w:numId w:val="22"/>
        </w:numPr>
        <w:tabs>
          <w:tab w:pos="2381" w:val="left" w:leader="none"/>
          <w:tab w:pos="2382" w:val="left" w:leader="none"/>
        </w:tabs>
        <w:spacing w:line="242" w:lineRule="auto" w:before="126" w:after="0"/>
        <w:ind w:left="2381" w:right="1885" w:hanging="794"/>
        <w:jc w:val="left"/>
        <w:rPr>
          <w:sz w:val="12"/>
        </w:rPr>
      </w:pPr>
      <w:r>
        <w:rPr>
          <w:w w:val="105"/>
          <w:sz w:val="21"/>
        </w:rPr>
        <w:t>Beneficiaries </w:t>
      </w:r>
      <w:r>
        <w:rPr>
          <w:spacing w:val="-3"/>
          <w:w w:val="105"/>
          <w:sz w:val="21"/>
        </w:rPr>
        <w:t>are reliant </w:t>
      </w:r>
      <w:r>
        <w:rPr>
          <w:w w:val="105"/>
          <w:sz w:val="21"/>
        </w:rPr>
        <w:t>on a person </w:t>
      </w:r>
      <w:r>
        <w:rPr>
          <w:spacing w:val="-3"/>
          <w:w w:val="105"/>
          <w:sz w:val="21"/>
        </w:rPr>
        <w:t>that </w:t>
      </w:r>
      <w:r>
        <w:rPr>
          <w:w w:val="105"/>
          <w:sz w:val="21"/>
        </w:rPr>
        <w:t>they did </w:t>
      </w:r>
      <w:r>
        <w:rPr>
          <w:spacing w:val="-2"/>
          <w:w w:val="105"/>
          <w:sz w:val="21"/>
        </w:rPr>
        <w:t>not </w:t>
      </w:r>
      <w:r>
        <w:rPr>
          <w:w w:val="105"/>
          <w:sz w:val="21"/>
        </w:rPr>
        <w:t>select </w:t>
      </w:r>
      <w:r>
        <w:rPr>
          <w:spacing w:val="-3"/>
          <w:w w:val="105"/>
          <w:sz w:val="21"/>
        </w:rPr>
        <w:t>for </w:t>
      </w:r>
      <w:r>
        <w:rPr>
          <w:w w:val="105"/>
          <w:sz w:val="21"/>
        </w:rPr>
        <w:t>the </w:t>
      </w:r>
      <w:r>
        <w:rPr>
          <w:spacing w:val="-3"/>
          <w:w w:val="105"/>
          <w:sz w:val="21"/>
        </w:rPr>
        <w:t>position, </w:t>
      </w:r>
      <w:r>
        <w:rPr>
          <w:w w:val="105"/>
          <w:sz w:val="21"/>
        </w:rPr>
        <w:t>so the </w:t>
      </w:r>
      <w:r>
        <w:rPr>
          <w:spacing w:val="-3"/>
          <w:w w:val="105"/>
          <w:sz w:val="21"/>
        </w:rPr>
        <w:t>executor cannot </w:t>
      </w:r>
      <w:r>
        <w:rPr>
          <w:w w:val="105"/>
          <w:sz w:val="21"/>
        </w:rPr>
        <w:t>expect </w:t>
      </w:r>
      <w:r>
        <w:rPr>
          <w:spacing w:val="-3"/>
          <w:w w:val="105"/>
          <w:sz w:val="21"/>
        </w:rPr>
        <w:t>to </w:t>
      </w:r>
      <w:r>
        <w:rPr>
          <w:w w:val="105"/>
          <w:sz w:val="21"/>
        </w:rPr>
        <w:t>be trusted or </w:t>
      </w:r>
      <w:r>
        <w:rPr>
          <w:spacing w:val="-3"/>
          <w:w w:val="105"/>
          <w:sz w:val="21"/>
        </w:rPr>
        <w:t>continue to </w:t>
      </w:r>
      <w:r>
        <w:rPr>
          <w:w w:val="105"/>
          <w:sz w:val="21"/>
        </w:rPr>
        <w:t>be trusted without </w:t>
      </w:r>
      <w:r>
        <w:rPr>
          <w:spacing w:val="-3"/>
          <w:w w:val="105"/>
          <w:sz w:val="21"/>
        </w:rPr>
        <w:t>maintaining </w:t>
      </w:r>
      <w:r>
        <w:rPr>
          <w:w w:val="105"/>
          <w:sz w:val="21"/>
        </w:rPr>
        <w:t>an effective</w:t>
      </w:r>
      <w:r>
        <w:rPr>
          <w:spacing w:val="-12"/>
          <w:w w:val="105"/>
          <w:sz w:val="21"/>
        </w:rPr>
        <w:t> </w:t>
      </w:r>
      <w:r>
        <w:rPr>
          <w:w w:val="105"/>
          <w:sz w:val="21"/>
        </w:rPr>
        <w:t>flow</w:t>
      </w:r>
      <w:r>
        <w:rPr>
          <w:spacing w:val="-11"/>
          <w:w w:val="105"/>
          <w:sz w:val="21"/>
        </w:rPr>
        <w:t> </w:t>
      </w:r>
      <w:r>
        <w:rPr>
          <w:w w:val="105"/>
          <w:sz w:val="21"/>
        </w:rPr>
        <w:t>of</w:t>
      </w:r>
      <w:r>
        <w:rPr>
          <w:spacing w:val="-11"/>
          <w:w w:val="105"/>
          <w:sz w:val="21"/>
        </w:rPr>
        <w:t> </w:t>
      </w:r>
      <w:r>
        <w:rPr>
          <w:spacing w:val="-3"/>
          <w:w w:val="105"/>
          <w:sz w:val="21"/>
        </w:rPr>
        <w:t>communication.</w:t>
      </w:r>
      <w:r>
        <w:rPr>
          <w:spacing w:val="-12"/>
          <w:w w:val="105"/>
          <w:sz w:val="21"/>
        </w:rPr>
        <w:t> </w:t>
      </w:r>
      <w:r>
        <w:rPr>
          <w:w w:val="105"/>
          <w:sz w:val="21"/>
        </w:rPr>
        <w:t>A</w:t>
      </w:r>
      <w:r>
        <w:rPr>
          <w:spacing w:val="-11"/>
          <w:w w:val="105"/>
          <w:sz w:val="21"/>
        </w:rPr>
        <w:t> </w:t>
      </w:r>
      <w:r>
        <w:rPr>
          <w:w w:val="105"/>
          <w:sz w:val="21"/>
        </w:rPr>
        <w:t>particular</w:t>
      </w:r>
      <w:r>
        <w:rPr>
          <w:spacing w:val="-11"/>
          <w:w w:val="105"/>
          <w:sz w:val="21"/>
        </w:rPr>
        <w:t> </w:t>
      </w:r>
      <w:r>
        <w:rPr>
          <w:w w:val="105"/>
          <w:sz w:val="21"/>
        </w:rPr>
        <w:t>problem</w:t>
      </w:r>
      <w:r>
        <w:rPr>
          <w:spacing w:val="-12"/>
          <w:w w:val="105"/>
          <w:sz w:val="21"/>
        </w:rPr>
        <w:t> </w:t>
      </w:r>
      <w:r>
        <w:rPr>
          <w:w w:val="105"/>
          <w:sz w:val="21"/>
        </w:rPr>
        <w:t>identified</w:t>
      </w:r>
      <w:r>
        <w:rPr>
          <w:spacing w:val="-11"/>
          <w:w w:val="105"/>
          <w:sz w:val="21"/>
        </w:rPr>
        <w:t> </w:t>
      </w:r>
      <w:r>
        <w:rPr>
          <w:w w:val="105"/>
          <w:sz w:val="21"/>
        </w:rPr>
        <w:t>in</w:t>
      </w:r>
      <w:r>
        <w:rPr>
          <w:spacing w:val="-11"/>
          <w:w w:val="105"/>
          <w:sz w:val="21"/>
        </w:rPr>
        <w:t> </w:t>
      </w:r>
      <w:r>
        <w:rPr>
          <w:spacing w:val="-3"/>
          <w:w w:val="105"/>
          <w:sz w:val="21"/>
        </w:rPr>
        <w:t>consultations</w:t>
      </w:r>
      <w:r>
        <w:rPr>
          <w:spacing w:val="-12"/>
          <w:w w:val="105"/>
          <w:sz w:val="21"/>
        </w:rPr>
        <w:t> </w:t>
      </w:r>
      <w:r>
        <w:rPr>
          <w:w w:val="105"/>
          <w:sz w:val="21"/>
        </w:rPr>
        <w:t>arises where the beneficiaries perceive </w:t>
      </w:r>
      <w:r>
        <w:rPr>
          <w:spacing w:val="-5"/>
          <w:w w:val="105"/>
          <w:sz w:val="21"/>
        </w:rPr>
        <w:t>overcharging.</w:t>
      </w:r>
      <w:r>
        <w:rPr>
          <w:spacing w:val="-5"/>
          <w:w w:val="105"/>
          <w:position w:val="7"/>
          <w:sz w:val="12"/>
        </w:rPr>
        <w:t>103 </w:t>
      </w:r>
      <w:r>
        <w:rPr>
          <w:w w:val="105"/>
          <w:sz w:val="21"/>
        </w:rPr>
        <w:t>The </w:t>
      </w:r>
      <w:r>
        <w:rPr>
          <w:spacing w:val="-3"/>
          <w:w w:val="105"/>
          <w:sz w:val="21"/>
        </w:rPr>
        <w:t>Commission </w:t>
      </w:r>
      <w:r>
        <w:rPr>
          <w:w w:val="105"/>
          <w:sz w:val="21"/>
        </w:rPr>
        <w:t>was told </w:t>
      </w:r>
      <w:r>
        <w:rPr>
          <w:spacing w:val="-3"/>
          <w:w w:val="105"/>
          <w:sz w:val="21"/>
        </w:rPr>
        <w:t>that </w:t>
      </w:r>
      <w:r>
        <w:rPr>
          <w:w w:val="105"/>
          <w:sz w:val="21"/>
        </w:rPr>
        <w:t>even if there is a </w:t>
      </w:r>
      <w:r>
        <w:rPr>
          <w:spacing w:val="-3"/>
          <w:w w:val="105"/>
          <w:sz w:val="21"/>
        </w:rPr>
        <w:t>charging </w:t>
      </w:r>
      <w:r>
        <w:rPr>
          <w:w w:val="105"/>
          <w:sz w:val="21"/>
        </w:rPr>
        <w:t>or </w:t>
      </w:r>
      <w:r>
        <w:rPr>
          <w:spacing w:val="-3"/>
          <w:w w:val="105"/>
          <w:sz w:val="21"/>
        </w:rPr>
        <w:t>commission clause </w:t>
      </w:r>
      <w:r>
        <w:rPr>
          <w:w w:val="105"/>
          <w:sz w:val="21"/>
        </w:rPr>
        <w:t>in the </w:t>
      </w:r>
      <w:r>
        <w:rPr>
          <w:spacing w:val="-3"/>
          <w:w w:val="105"/>
          <w:sz w:val="21"/>
        </w:rPr>
        <w:t>will, </w:t>
      </w:r>
      <w:r>
        <w:rPr>
          <w:w w:val="105"/>
          <w:sz w:val="21"/>
        </w:rPr>
        <w:t>an absence of </w:t>
      </w:r>
      <w:r>
        <w:rPr>
          <w:spacing w:val="-3"/>
          <w:w w:val="105"/>
          <w:sz w:val="21"/>
        </w:rPr>
        <w:t>communication </w:t>
      </w:r>
      <w:r>
        <w:rPr>
          <w:w w:val="105"/>
          <w:sz w:val="21"/>
        </w:rPr>
        <w:t>on the method of </w:t>
      </w:r>
      <w:r>
        <w:rPr>
          <w:spacing w:val="-3"/>
          <w:w w:val="105"/>
          <w:sz w:val="21"/>
        </w:rPr>
        <w:t>charging </w:t>
      </w:r>
      <w:r>
        <w:rPr>
          <w:w w:val="105"/>
          <w:sz w:val="21"/>
        </w:rPr>
        <w:t>can </w:t>
      </w:r>
      <w:r>
        <w:rPr>
          <w:spacing w:val="-3"/>
          <w:w w:val="105"/>
          <w:sz w:val="21"/>
        </w:rPr>
        <w:t>create tensions </w:t>
      </w:r>
      <w:r>
        <w:rPr>
          <w:w w:val="105"/>
          <w:sz w:val="21"/>
        </w:rPr>
        <w:t>with</w:t>
      </w:r>
      <w:r>
        <w:rPr>
          <w:spacing w:val="41"/>
          <w:w w:val="105"/>
          <w:sz w:val="21"/>
        </w:rPr>
        <w:t> </w:t>
      </w:r>
      <w:r>
        <w:rPr>
          <w:spacing w:val="-3"/>
          <w:w w:val="105"/>
          <w:sz w:val="21"/>
        </w:rPr>
        <w:t>beneficiaries.</w:t>
      </w:r>
      <w:r>
        <w:rPr>
          <w:spacing w:val="-3"/>
          <w:w w:val="105"/>
          <w:position w:val="7"/>
          <w:sz w:val="12"/>
        </w:rPr>
        <w:t>104</w:t>
      </w:r>
    </w:p>
    <w:p>
      <w:pPr>
        <w:pStyle w:val="BodyText"/>
        <w:spacing w:before="11"/>
        <w:rPr>
          <w:sz w:val="24"/>
        </w:rPr>
      </w:pPr>
      <w:r>
        <w:rPr/>
        <w:pict>
          <v:line style="position:absolute;mso-position-horizontal-relative:page;mso-position-vertical-relative:paragraph;z-index:9344;mso-wrap-distance-left:0;mso-wrap-distance-right:0" from="79.370102pt,17.676817pt" to="515.905102pt,17.676817pt" stroked="true" strokeweight="1pt" strokecolor="#f9ceca">
            <v:stroke dashstyle="solid"/>
            <w10:wrap type="topAndBottom"/>
          </v:line>
        </w:pict>
      </w:r>
    </w:p>
    <w:p>
      <w:pPr>
        <w:pStyle w:val="BodyText"/>
        <w:spacing w:before="8"/>
        <w:rPr>
          <w:sz w:val="5"/>
        </w:rPr>
      </w:pPr>
    </w:p>
    <w:p>
      <w:pPr>
        <w:spacing w:after="0"/>
        <w:rPr>
          <w:sz w:val="5"/>
        </w:rPr>
        <w:sectPr>
          <w:pgSz w:w="11910" w:h="16840"/>
          <w:pgMar w:header="550" w:footer="0" w:top="1560" w:bottom="280" w:left="0" w:right="0"/>
        </w:sectPr>
      </w:pPr>
    </w:p>
    <w:p>
      <w:pPr>
        <w:pStyle w:val="BodyText"/>
        <w:rPr>
          <w:sz w:val="28"/>
        </w:rPr>
      </w:pPr>
    </w:p>
    <w:p>
      <w:pPr>
        <w:pStyle w:val="BodyText"/>
        <w:spacing w:before="12"/>
        <w:rPr>
          <w:sz w:val="20"/>
        </w:rPr>
      </w:pPr>
    </w:p>
    <w:p>
      <w:pPr>
        <w:spacing w:before="0"/>
        <w:ind w:left="720" w:right="0" w:firstLine="0"/>
        <w:jc w:val="left"/>
        <w:rPr>
          <w:b/>
          <w:sz w:val="24"/>
        </w:rPr>
      </w:pPr>
      <w:r>
        <w:rPr>
          <w:b/>
          <w:color w:val="EC5A4F"/>
          <w:spacing w:val="-3"/>
          <w:w w:val="110"/>
          <w:sz w:val="24"/>
        </w:rPr>
        <w:t>154</w:t>
      </w:r>
    </w:p>
    <w:p>
      <w:pPr>
        <w:pStyle w:val="ListParagraph"/>
        <w:numPr>
          <w:ilvl w:val="0"/>
          <w:numId w:val="119"/>
        </w:numPr>
        <w:tabs>
          <w:tab w:pos="1226" w:val="left" w:leader="none"/>
          <w:tab w:pos="1227" w:val="left" w:leader="none"/>
        </w:tabs>
        <w:spacing w:line="240" w:lineRule="auto" w:before="48" w:after="0"/>
        <w:ind w:left="1226" w:right="0" w:hanging="794"/>
        <w:jc w:val="left"/>
        <w:rPr>
          <w:sz w:val="13"/>
        </w:rPr>
      </w:pPr>
      <w:r>
        <w:rPr>
          <w:spacing w:val="3"/>
          <w:w w:val="88"/>
          <w:sz w:val="13"/>
        </w:rPr>
        <w:br w:type="column"/>
      </w:r>
      <w:r>
        <w:rPr>
          <w:sz w:val="13"/>
        </w:rPr>
        <w:t>Ibid.</w:t>
      </w:r>
    </w:p>
    <w:p>
      <w:pPr>
        <w:pStyle w:val="ListParagraph"/>
        <w:numPr>
          <w:ilvl w:val="0"/>
          <w:numId w:val="119"/>
        </w:numPr>
        <w:tabs>
          <w:tab w:pos="1226" w:val="left" w:leader="none"/>
          <w:tab w:pos="1227" w:val="left" w:leader="none"/>
        </w:tabs>
        <w:spacing w:line="240" w:lineRule="auto" w:before="1" w:after="0"/>
        <w:ind w:left="1226" w:right="0" w:hanging="794"/>
        <w:jc w:val="left"/>
        <w:rPr>
          <w:sz w:val="13"/>
        </w:rPr>
      </w:pPr>
      <w:r>
        <w:rPr>
          <w:w w:val="105"/>
          <w:sz w:val="13"/>
        </w:rPr>
        <w:t>Submission 1 </w:t>
      </w:r>
      <w:r>
        <w:rPr>
          <w:spacing w:val="2"/>
          <w:w w:val="105"/>
          <w:sz w:val="13"/>
        </w:rPr>
        <w:t>(Legal </w:t>
      </w:r>
      <w:r>
        <w:rPr>
          <w:w w:val="105"/>
          <w:sz w:val="13"/>
        </w:rPr>
        <w:t>Services</w:t>
      </w:r>
      <w:r>
        <w:rPr>
          <w:spacing w:val="16"/>
          <w:w w:val="105"/>
          <w:sz w:val="13"/>
        </w:rPr>
        <w:t> </w:t>
      </w:r>
      <w:r>
        <w:rPr>
          <w:w w:val="105"/>
          <w:sz w:val="13"/>
        </w:rPr>
        <w:t>Commissioner).</w:t>
      </w:r>
    </w:p>
    <w:p>
      <w:pPr>
        <w:pStyle w:val="ListParagraph"/>
        <w:numPr>
          <w:ilvl w:val="0"/>
          <w:numId w:val="119"/>
        </w:numPr>
        <w:tabs>
          <w:tab w:pos="1226" w:val="left" w:leader="none"/>
          <w:tab w:pos="1227" w:val="left" w:leader="none"/>
        </w:tabs>
        <w:spacing w:line="240" w:lineRule="auto" w:before="2" w:after="0"/>
        <w:ind w:left="1226" w:right="0" w:hanging="793"/>
        <w:jc w:val="left"/>
        <w:rPr>
          <w:sz w:val="13"/>
        </w:rPr>
      </w:pPr>
      <w:r>
        <w:rPr>
          <w:w w:val="105"/>
          <w:sz w:val="13"/>
        </w:rPr>
        <w:t>For example: </w:t>
      </w:r>
      <w:r>
        <w:rPr>
          <w:i/>
          <w:w w:val="105"/>
          <w:sz w:val="13"/>
        </w:rPr>
        <w:t>Re Estate of Zsuzanna Gray </w:t>
      </w:r>
      <w:r>
        <w:rPr>
          <w:spacing w:val="-3"/>
          <w:w w:val="105"/>
          <w:sz w:val="13"/>
        </w:rPr>
        <w:t>[2011] </w:t>
      </w:r>
      <w:r>
        <w:rPr>
          <w:w w:val="105"/>
          <w:sz w:val="13"/>
        </w:rPr>
        <w:t>VSC </w:t>
      </w:r>
      <w:r>
        <w:rPr>
          <w:spacing w:val="-3"/>
          <w:w w:val="105"/>
          <w:sz w:val="13"/>
        </w:rPr>
        <w:t>173 </w:t>
      </w:r>
      <w:r>
        <w:rPr>
          <w:w w:val="105"/>
          <w:sz w:val="13"/>
        </w:rPr>
        <w:t>(30 April 2010); </w:t>
      </w:r>
      <w:r>
        <w:rPr>
          <w:i/>
          <w:w w:val="105"/>
          <w:sz w:val="13"/>
        </w:rPr>
        <w:t>Szmulewicz v Recht </w:t>
      </w:r>
      <w:r>
        <w:rPr>
          <w:spacing w:val="-3"/>
          <w:w w:val="105"/>
          <w:sz w:val="13"/>
        </w:rPr>
        <w:t>[2011] </w:t>
      </w:r>
      <w:r>
        <w:rPr>
          <w:w w:val="105"/>
          <w:sz w:val="13"/>
        </w:rPr>
        <w:t>VSC 368 </w:t>
      </w:r>
      <w:r>
        <w:rPr>
          <w:spacing w:val="-2"/>
          <w:w w:val="105"/>
          <w:sz w:val="13"/>
        </w:rPr>
        <w:t>(10</w:t>
      </w:r>
      <w:r>
        <w:rPr>
          <w:spacing w:val="13"/>
          <w:w w:val="105"/>
          <w:sz w:val="13"/>
        </w:rPr>
        <w:t> </w:t>
      </w:r>
      <w:r>
        <w:rPr>
          <w:w w:val="105"/>
          <w:sz w:val="13"/>
        </w:rPr>
        <w:t>August </w:t>
      </w:r>
      <w:r>
        <w:rPr>
          <w:spacing w:val="-2"/>
          <w:w w:val="105"/>
          <w:sz w:val="13"/>
        </w:rPr>
        <w:t>2011).</w:t>
      </w:r>
    </w:p>
    <w:p>
      <w:pPr>
        <w:pStyle w:val="ListParagraph"/>
        <w:numPr>
          <w:ilvl w:val="0"/>
          <w:numId w:val="119"/>
        </w:numPr>
        <w:tabs>
          <w:tab w:pos="1226" w:val="left" w:leader="none"/>
          <w:tab w:pos="1227" w:val="left" w:leader="none"/>
        </w:tabs>
        <w:spacing w:line="240" w:lineRule="auto" w:before="1" w:after="0"/>
        <w:ind w:left="1226" w:right="0" w:hanging="793"/>
        <w:jc w:val="left"/>
        <w:rPr>
          <w:sz w:val="13"/>
        </w:rPr>
      </w:pPr>
      <w:r>
        <w:rPr>
          <w:w w:val="105"/>
          <w:sz w:val="13"/>
        </w:rPr>
        <w:t>Consultation 20 </w:t>
      </w:r>
      <w:r>
        <w:rPr>
          <w:spacing w:val="2"/>
          <w:w w:val="105"/>
          <w:sz w:val="13"/>
        </w:rPr>
        <w:t>(Legal </w:t>
      </w:r>
      <w:r>
        <w:rPr>
          <w:w w:val="105"/>
          <w:sz w:val="13"/>
        </w:rPr>
        <w:t>practitioners in</w:t>
      </w:r>
      <w:r>
        <w:rPr>
          <w:spacing w:val="21"/>
          <w:w w:val="105"/>
          <w:sz w:val="13"/>
        </w:rPr>
        <w:t> </w:t>
      </w:r>
      <w:r>
        <w:rPr>
          <w:w w:val="105"/>
          <w:sz w:val="13"/>
        </w:rPr>
        <w:t>Colac).</w:t>
      </w:r>
    </w:p>
    <w:p>
      <w:pPr>
        <w:pStyle w:val="ListParagraph"/>
        <w:numPr>
          <w:ilvl w:val="0"/>
          <w:numId w:val="119"/>
        </w:numPr>
        <w:tabs>
          <w:tab w:pos="1226" w:val="left" w:leader="none"/>
          <w:tab w:pos="1227" w:val="left" w:leader="none"/>
        </w:tabs>
        <w:spacing w:line="240" w:lineRule="auto" w:before="1" w:after="0"/>
        <w:ind w:left="1226" w:right="0" w:hanging="793"/>
        <w:jc w:val="left"/>
        <w:rPr>
          <w:sz w:val="13"/>
        </w:rPr>
      </w:pPr>
      <w:r>
        <w:rPr>
          <w:w w:val="105"/>
          <w:sz w:val="13"/>
        </w:rPr>
        <w:t>Submission 22 (Paul</w:t>
      </w:r>
      <w:r>
        <w:rPr>
          <w:spacing w:val="13"/>
          <w:w w:val="105"/>
          <w:sz w:val="13"/>
        </w:rPr>
        <w:t> </w:t>
      </w:r>
      <w:r>
        <w:rPr>
          <w:w w:val="105"/>
          <w:sz w:val="13"/>
        </w:rPr>
        <w:t>Bravender-Coyle).</w:t>
      </w:r>
    </w:p>
    <w:p>
      <w:pPr>
        <w:spacing w:after="0" w:line="240" w:lineRule="auto"/>
        <w:jc w:val="left"/>
        <w:rPr>
          <w:sz w:val="13"/>
        </w:rPr>
        <w:sectPr>
          <w:type w:val="continuous"/>
          <w:pgSz w:w="11910" w:h="16840"/>
          <w:pgMar w:top="920" w:bottom="280" w:left="0" w:right="0"/>
          <w:cols w:num="2" w:equalWidth="0">
            <w:col w:w="1115" w:space="40"/>
            <w:col w:w="10755"/>
          </w:cols>
        </w:sectPr>
      </w:pPr>
    </w:p>
    <w:p>
      <w:pPr>
        <w:pStyle w:val="BodyText"/>
        <w:rPr>
          <w:sz w:val="20"/>
        </w:rPr>
      </w:pPr>
    </w:p>
    <w:p>
      <w:pPr>
        <w:pStyle w:val="BodyText"/>
        <w:spacing w:before="12"/>
        <w:rPr>
          <w:sz w:val="18"/>
        </w:rPr>
      </w:pPr>
    </w:p>
    <w:p>
      <w:pPr>
        <w:pStyle w:val="Heading6"/>
        <w:spacing w:before="100"/>
      </w:pPr>
      <w:r>
        <w:rPr>
          <w:w w:val="115"/>
        </w:rPr>
        <w:t>Reform proposals</w:t>
      </w:r>
    </w:p>
    <w:p>
      <w:pPr>
        <w:spacing w:before="215"/>
        <w:ind w:left="1587" w:right="0" w:firstLine="0"/>
        <w:jc w:val="left"/>
        <w:rPr>
          <w:rFonts w:ascii="Gill Sans MT"/>
          <w:sz w:val="22"/>
        </w:rPr>
      </w:pPr>
      <w:r>
        <w:rPr>
          <w:rFonts w:ascii="Gill Sans MT"/>
          <w:color w:val="6D6E71"/>
          <w:w w:val="110"/>
          <w:sz w:val="22"/>
        </w:rPr>
        <w:t>Costs disclosure</w:t>
      </w:r>
    </w:p>
    <w:p>
      <w:pPr>
        <w:pStyle w:val="ListParagraph"/>
        <w:numPr>
          <w:ilvl w:val="1"/>
          <w:numId w:val="22"/>
        </w:numPr>
        <w:tabs>
          <w:tab w:pos="2380" w:val="left" w:leader="none"/>
          <w:tab w:pos="2381" w:val="left" w:leader="none"/>
        </w:tabs>
        <w:spacing w:line="242" w:lineRule="auto" w:before="151" w:after="0"/>
        <w:ind w:left="2381" w:right="1796" w:hanging="794"/>
        <w:jc w:val="left"/>
        <w:rPr>
          <w:sz w:val="21"/>
        </w:rPr>
      </w:pPr>
      <w:r>
        <w:rPr>
          <w:w w:val="105"/>
          <w:sz w:val="21"/>
        </w:rPr>
        <w:t>Law practices </w:t>
      </w:r>
      <w:r>
        <w:rPr>
          <w:spacing w:val="-3"/>
          <w:w w:val="105"/>
          <w:sz w:val="21"/>
        </w:rPr>
        <w:t>are required </w:t>
      </w:r>
      <w:r>
        <w:rPr>
          <w:w w:val="105"/>
          <w:sz w:val="21"/>
        </w:rPr>
        <w:t>by section </w:t>
      </w:r>
      <w:r>
        <w:rPr>
          <w:spacing w:val="-4"/>
          <w:w w:val="105"/>
          <w:sz w:val="21"/>
        </w:rPr>
        <w:t>3.4.9 </w:t>
      </w:r>
      <w:r>
        <w:rPr>
          <w:w w:val="105"/>
          <w:sz w:val="21"/>
        </w:rPr>
        <w:t>of the Legal </w:t>
      </w:r>
      <w:r>
        <w:rPr>
          <w:spacing w:val="-3"/>
          <w:w w:val="105"/>
          <w:sz w:val="21"/>
        </w:rPr>
        <w:t>Profession </w:t>
      </w:r>
      <w:r>
        <w:rPr>
          <w:w w:val="105"/>
          <w:sz w:val="21"/>
        </w:rPr>
        <w:t>Act </w:t>
      </w:r>
      <w:r>
        <w:rPr>
          <w:spacing w:val="-3"/>
          <w:w w:val="105"/>
          <w:sz w:val="21"/>
        </w:rPr>
        <w:t>to </w:t>
      </w:r>
      <w:r>
        <w:rPr>
          <w:w w:val="105"/>
          <w:sz w:val="21"/>
        </w:rPr>
        <w:t>disclose their costs </w:t>
      </w:r>
      <w:r>
        <w:rPr>
          <w:spacing w:val="-3"/>
          <w:w w:val="105"/>
          <w:sz w:val="21"/>
        </w:rPr>
        <w:t>to </w:t>
      </w:r>
      <w:r>
        <w:rPr>
          <w:w w:val="105"/>
          <w:sz w:val="21"/>
        </w:rPr>
        <w:t>their clients, including—among other things—the basis on which they </w:t>
      </w:r>
      <w:r>
        <w:rPr>
          <w:spacing w:val="-3"/>
          <w:w w:val="105"/>
          <w:sz w:val="21"/>
        </w:rPr>
        <w:t>are calculated </w:t>
      </w:r>
      <w:r>
        <w:rPr>
          <w:w w:val="105"/>
          <w:sz w:val="21"/>
        </w:rPr>
        <w:t>and either an </w:t>
      </w:r>
      <w:r>
        <w:rPr>
          <w:spacing w:val="-3"/>
          <w:w w:val="105"/>
          <w:sz w:val="21"/>
        </w:rPr>
        <w:t>estimate </w:t>
      </w:r>
      <w:r>
        <w:rPr>
          <w:w w:val="105"/>
          <w:sz w:val="21"/>
        </w:rPr>
        <w:t>of the </w:t>
      </w:r>
      <w:r>
        <w:rPr>
          <w:spacing w:val="-4"/>
          <w:w w:val="105"/>
          <w:sz w:val="21"/>
        </w:rPr>
        <w:t>likely </w:t>
      </w:r>
      <w:r>
        <w:rPr>
          <w:w w:val="105"/>
          <w:sz w:val="21"/>
        </w:rPr>
        <w:t>costs or the </w:t>
      </w:r>
      <w:r>
        <w:rPr>
          <w:spacing w:val="-3"/>
          <w:w w:val="105"/>
          <w:sz w:val="21"/>
        </w:rPr>
        <w:t>range </w:t>
      </w:r>
      <w:r>
        <w:rPr>
          <w:w w:val="105"/>
          <w:sz w:val="21"/>
        </w:rPr>
        <w:t>of </w:t>
      </w:r>
      <w:r>
        <w:rPr>
          <w:spacing w:val="-2"/>
          <w:w w:val="105"/>
          <w:sz w:val="21"/>
        </w:rPr>
        <w:t>estimated </w:t>
      </w:r>
      <w:r>
        <w:rPr>
          <w:w w:val="105"/>
          <w:sz w:val="21"/>
        </w:rPr>
        <w:t>costs. They</w:t>
      </w:r>
      <w:r>
        <w:rPr>
          <w:spacing w:val="-11"/>
          <w:w w:val="105"/>
          <w:sz w:val="21"/>
        </w:rPr>
        <w:t> </w:t>
      </w:r>
      <w:r>
        <w:rPr>
          <w:w w:val="105"/>
          <w:sz w:val="21"/>
        </w:rPr>
        <w:t>must</w:t>
      </w:r>
      <w:r>
        <w:rPr>
          <w:spacing w:val="-10"/>
          <w:w w:val="105"/>
          <w:sz w:val="21"/>
        </w:rPr>
        <w:t> </w:t>
      </w:r>
      <w:r>
        <w:rPr>
          <w:w w:val="105"/>
          <w:sz w:val="21"/>
        </w:rPr>
        <w:t>also</w:t>
      </w:r>
      <w:r>
        <w:rPr>
          <w:spacing w:val="-10"/>
          <w:w w:val="105"/>
          <w:sz w:val="21"/>
        </w:rPr>
        <w:t> </w:t>
      </w:r>
      <w:r>
        <w:rPr>
          <w:spacing w:val="-3"/>
          <w:w w:val="105"/>
          <w:sz w:val="21"/>
        </w:rPr>
        <w:t>inform</w:t>
      </w:r>
      <w:r>
        <w:rPr>
          <w:spacing w:val="-10"/>
          <w:w w:val="105"/>
          <w:sz w:val="21"/>
        </w:rPr>
        <w:t> </w:t>
      </w:r>
      <w:r>
        <w:rPr>
          <w:w w:val="105"/>
          <w:sz w:val="21"/>
        </w:rPr>
        <w:t>clients</w:t>
      </w:r>
      <w:r>
        <w:rPr>
          <w:spacing w:val="-10"/>
          <w:w w:val="105"/>
          <w:sz w:val="21"/>
        </w:rPr>
        <w:t> </w:t>
      </w:r>
      <w:r>
        <w:rPr>
          <w:w w:val="105"/>
          <w:sz w:val="21"/>
        </w:rPr>
        <w:t>about</w:t>
      </w:r>
      <w:r>
        <w:rPr>
          <w:spacing w:val="-10"/>
          <w:w w:val="105"/>
          <w:sz w:val="21"/>
        </w:rPr>
        <w:t> </w:t>
      </w:r>
      <w:r>
        <w:rPr>
          <w:w w:val="105"/>
          <w:sz w:val="21"/>
        </w:rPr>
        <w:t>the</w:t>
      </w:r>
      <w:r>
        <w:rPr>
          <w:spacing w:val="-10"/>
          <w:w w:val="105"/>
          <w:sz w:val="21"/>
        </w:rPr>
        <w:t> </w:t>
      </w:r>
      <w:r>
        <w:rPr>
          <w:spacing w:val="-3"/>
          <w:w w:val="105"/>
          <w:sz w:val="21"/>
        </w:rPr>
        <w:t>avenues</w:t>
      </w:r>
      <w:r>
        <w:rPr>
          <w:spacing w:val="-10"/>
          <w:w w:val="105"/>
          <w:sz w:val="21"/>
        </w:rPr>
        <w:t> </w:t>
      </w:r>
      <w:r>
        <w:rPr>
          <w:w w:val="105"/>
          <w:sz w:val="21"/>
        </w:rPr>
        <w:t>of</w:t>
      </w:r>
      <w:r>
        <w:rPr>
          <w:spacing w:val="-10"/>
          <w:w w:val="105"/>
          <w:sz w:val="21"/>
        </w:rPr>
        <w:t> </w:t>
      </w:r>
      <w:r>
        <w:rPr>
          <w:spacing w:val="-3"/>
          <w:w w:val="105"/>
          <w:sz w:val="21"/>
        </w:rPr>
        <w:t>dispute</w:t>
      </w:r>
      <w:r>
        <w:rPr>
          <w:spacing w:val="-11"/>
          <w:w w:val="105"/>
          <w:sz w:val="21"/>
        </w:rPr>
        <w:t> </w:t>
      </w:r>
      <w:r>
        <w:rPr>
          <w:w w:val="105"/>
          <w:sz w:val="21"/>
        </w:rPr>
        <w:t>resolution</w:t>
      </w:r>
      <w:r>
        <w:rPr>
          <w:spacing w:val="-10"/>
          <w:w w:val="105"/>
          <w:sz w:val="21"/>
        </w:rPr>
        <w:t> </w:t>
      </w:r>
      <w:r>
        <w:rPr>
          <w:spacing w:val="-3"/>
          <w:w w:val="105"/>
          <w:sz w:val="21"/>
        </w:rPr>
        <w:t>available</w:t>
      </w:r>
      <w:r>
        <w:rPr>
          <w:spacing w:val="-10"/>
          <w:w w:val="105"/>
          <w:sz w:val="21"/>
        </w:rPr>
        <w:t> </w:t>
      </w:r>
      <w:r>
        <w:rPr>
          <w:spacing w:val="-3"/>
          <w:w w:val="105"/>
          <w:sz w:val="21"/>
        </w:rPr>
        <w:t>to</w:t>
      </w:r>
      <w:r>
        <w:rPr>
          <w:spacing w:val="-10"/>
          <w:w w:val="105"/>
          <w:sz w:val="21"/>
        </w:rPr>
        <w:t> </w:t>
      </w:r>
      <w:r>
        <w:rPr>
          <w:w w:val="105"/>
          <w:sz w:val="21"/>
        </w:rPr>
        <w:t>them.</w:t>
      </w:r>
    </w:p>
    <w:p>
      <w:pPr>
        <w:pStyle w:val="BodyText"/>
        <w:spacing w:line="242" w:lineRule="auto" w:before="4"/>
        <w:ind w:left="2380" w:right="1619"/>
      </w:pPr>
      <w:r>
        <w:rPr/>
        <w:t>Accordingly, a legal practitioner must disclose details of this type to an executor to whom they provide legal services.</w:t>
      </w:r>
    </w:p>
    <w:p>
      <w:pPr>
        <w:pStyle w:val="ListParagraph"/>
        <w:numPr>
          <w:ilvl w:val="1"/>
          <w:numId w:val="22"/>
        </w:numPr>
        <w:tabs>
          <w:tab w:pos="2380" w:val="left" w:leader="none"/>
          <w:tab w:pos="2381" w:val="left" w:leader="none"/>
        </w:tabs>
        <w:spacing w:line="242" w:lineRule="auto" w:before="122" w:after="0"/>
        <w:ind w:left="2381" w:right="1735" w:hanging="794"/>
        <w:jc w:val="left"/>
        <w:rPr>
          <w:sz w:val="21"/>
        </w:rPr>
      </w:pPr>
      <w:r>
        <w:rPr>
          <w:sz w:val="21"/>
        </w:rPr>
        <w:t>When the legal practitioner is also the </w:t>
      </w:r>
      <w:r>
        <w:rPr>
          <w:spacing w:val="-4"/>
          <w:sz w:val="21"/>
        </w:rPr>
        <w:t>executor, </w:t>
      </w:r>
      <w:r>
        <w:rPr>
          <w:sz w:val="21"/>
        </w:rPr>
        <w:t>the </w:t>
      </w:r>
      <w:r>
        <w:rPr>
          <w:spacing w:val="-3"/>
          <w:sz w:val="21"/>
        </w:rPr>
        <w:t>disclosure requirement </w:t>
      </w:r>
      <w:r>
        <w:rPr>
          <w:sz w:val="21"/>
        </w:rPr>
        <w:t>is ineffective. There is no </w:t>
      </w:r>
      <w:r>
        <w:rPr>
          <w:spacing w:val="-3"/>
          <w:sz w:val="21"/>
        </w:rPr>
        <w:t>equivalent obligation to </w:t>
      </w:r>
      <w:r>
        <w:rPr>
          <w:spacing w:val="-4"/>
          <w:sz w:val="21"/>
        </w:rPr>
        <w:t>make </w:t>
      </w:r>
      <w:r>
        <w:rPr>
          <w:spacing w:val="-3"/>
          <w:sz w:val="21"/>
        </w:rPr>
        <w:t>full </w:t>
      </w:r>
      <w:r>
        <w:rPr>
          <w:sz w:val="21"/>
        </w:rPr>
        <w:t>costs </w:t>
      </w:r>
      <w:r>
        <w:rPr>
          <w:spacing w:val="-3"/>
          <w:sz w:val="21"/>
        </w:rPr>
        <w:t>disclosure to </w:t>
      </w:r>
      <w:r>
        <w:rPr>
          <w:sz w:val="21"/>
        </w:rPr>
        <w:t>beneficiaries </w:t>
      </w:r>
      <w:r>
        <w:rPr>
          <w:spacing w:val="-3"/>
          <w:sz w:val="21"/>
        </w:rPr>
        <w:t>before </w:t>
      </w:r>
      <w:r>
        <w:rPr>
          <w:sz w:val="21"/>
        </w:rPr>
        <w:t>the </w:t>
      </w:r>
      <w:r>
        <w:rPr>
          <w:spacing w:val="-3"/>
          <w:sz w:val="21"/>
        </w:rPr>
        <w:t>administration  </w:t>
      </w:r>
      <w:r>
        <w:rPr>
          <w:sz w:val="21"/>
        </w:rPr>
        <w:t>of the estate is </w:t>
      </w:r>
      <w:r>
        <w:rPr>
          <w:spacing w:val="-3"/>
          <w:sz w:val="21"/>
        </w:rPr>
        <w:t>completed </w:t>
      </w:r>
      <w:r>
        <w:rPr>
          <w:position w:val="7"/>
          <w:sz w:val="12"/>
        </w:rPr>
        <w:t>105</w:t>
      </w:r>
      <w:r>
        <w:rPr>
          <w:spacing w:val="27"/>
          <w:position w:val="7"/>
          <w:sz w:val="12"/>
        </w:rPr>
        <w:t> </w:t>
      </w:r>
      <w:r>
        <w:rPr>
          <w:sz w:val="21"/>
        </w:rPr>
        <w:t>or </w:t>
      </w:r>
      <w:r>
        <w:rPr>
          <w:spacing w:val="-3"/>
          <w:sz w:val="21"/>
        </w:rPr>
        <w:t>inform  </w:t>
      </w:r>
      <w:r>
        <w:rPr>
          <w:sz w:val="21"/>
        </w:rPr>
        <w:t>them about what they can do in   the </w:t>
      </w:r>
      <w:r>
        <w:rPr>
          <w:spacing w:val="-3"/>
          <w:sz w:val="21"/>
        </w:rPr>
        <w:t>event </w:t>
      </w:r>
      <w:r>
        <w:rPr>
          <w:sz w:val="21"/>
        </w:rPr>
        <w:t>of a</w:t>
      </w:r>
      <w:r>
        <w:rPr>
          <w:spacing w:val="36"/>
          <w:sz w:val="21"/>
        </w:rPr>
        <w:t> </w:t>
      </w:r>
      <w:r>
        <w:rPr>
          <w:spacing w:val="-3"/>
          <w:sz w:val="21"/>
        </w:rPr>
        <w:t>dispute.</w:t>
      </w:r>
    </w:p>
    <w:p>
      <w:pPr>
        <w:pStyle w:val="ListParagraph"/>
        <w:numPr>
          <w:ilvl w:val="1"/>
          <w:numId w:val="22"/>
        </w:numPr>
        <w:tabs>
          <w:tab w:pos="2381" w:val="left" w:leader="none"/>
          <w:tab w:pos="2382" w:val="left" w:leader="none"/>
        </w:tabs>
        <w:spacing w:line="242" w:lineRule="auto" w:before="125" w:after="0"/>
        <w:ind w:left="2381" w:right="1598" w:hanging="794"/>
        <w:jc w:val="left"/>
        <w:rPr>
          <w:sz w:val="12"/>
        </w:rPr>
      </w:pPr>
      <w:r>
        <w:rPr>
          <w:sz w:val="21"/>
        </w:rPr>
        <w:t>The </w:t>
      </w:r>
      <w:r>
        <w:rPr>
          <w:spacing w:val="-3"/>
          <w:sz w:val="21"/>
        </w:rPr>
        <w:t>Commission sought submissions </w:t>
      </w:r>
      <w:r>
        <w:rPr>
          <w:sz w:val="21"/>
        </w:rPr>
        <w:t>on whether legal practitioner executors should be </w:t>
      </w:r>
      <w:r>
        <w:rPr>
          <w:spacing w:val="-3"/>
          <w:sz w:val="21"/>
        </w:rPr>
        <w:t>required to </w:t>
      </w:r>
      <w:r>
        <w:rPr>
          <w:sz w:val="21"/>
        </w:rPr>
        <w:t>disclose </w:t>
      </w:r>
      <w:r>
        <w:rPr>
          <w:spacing w:val="-3"/>
          <w:sz w:val="21"/>
        </w:rPr>
        <w:t>to </w:t>
      </w:r>
      <w:r>
        <w:rPr>
          <w:sz w:val="21"/>
        </w:rPr>
        <w:t>beneficiaries the basis on which they </w:t>
      </w:r>
      <w:r>
        <w:rPr>
          <w:spacing w:val="-3"/>
          <w:sz w:val="21"/>
        </w:rPr>
        <w:t>will charge </w:t>
      </w:r>
      <w:r>
        <w:rPr>
          <w:sz w:val="21"/>
        </w:rPr>
        <w:t>the estate </w:t>
      </w:r>
      <w:r>
        <w:rPr>
          <w:spacing w:val="-3"/>
          <w:sz w:val="21"/>
        </w:rPr>
        <w:t>for </w:t>
      </w:r>
      <w:r>
        <w:rPr>
          <w:sz w:val="21"/>
        </w:rPr>
        <w:t>their </w:t>
      </w:r>
      <w:r>
        <w:rPr>
          <w:spacing w:val="-3"/>
          <w:sz w:val="21"/>
        </w:rPr>
        <w:t>executorial </w:t>
      </w:r>
      <w:r>
        <w:rPr>
          <w:sz w:val="21"/>
        </w:rPr>
        <w:t>and legal </w:t>
      </w:r>
      <w:r>
        <w:rPr>
          <w:spacing w:val="-4"/>
          <w:sz w:val="21"/>
        </w:rPr>
        <w:t>work.</w:t>
      </w:r>
      <w:r>
        <w:rPr>
          <w:spacing w:val="-4"/>
          <w:position w:val="7"/>
          <w:sz w:val="12"/>
        </w:rPr>
        <w:t>106 </w:t>
      </w:r>
      <w:r>
        <w:rPr>
          <w:sz w:val="21"/>
        </w:rPr>
        <w:t>All responses expressed support </w:t>
      </w:r>
      <w:r>
        <w:rPr>
          <w:spacing w:val="-3"/>
          <w:sz w:val="21"/>
        </w:rPr>
        <w:t>for </w:t>
      </w:r>
      <w:r>
        <w:rPr>
          <w:sz w:val="21"/>
        </w:rPr>
        <w:t>the</w:t>
      </w:r>
      <w:r>
        <w:rPr>
          <w:spacing w:val="32"/>
          <w:sz w:val="21"/>
        </w:rPr>
        <w:t> </w:t>
      </w:r>
      <w:r>
        <w:rPr>
          <w:spacing w:val="-5"/>
          <w:sz w:val="21"/>
        </w:rPr>
        <w:t>idea.</w:t>
      </w:r>
      <w:r>
        <w:rPr>
          <w:spacing w:val="-5"/>
          <w:position w:val="7"/>
          <w:sz w:val="12"/>
        </w:rPr>
        <w:t>107</w:t>
      </w:r>
    </w:p>
    <w:p>
      <w:pPr>
        <w:pStyle w:val="ListParagraph"/>
        <w:numPr>
          <w:ilvl w:val="1"/>
          <w:numId w:val="22"/>
        </w:numPr>
        <w:tabs>
          <w:tab w:pos="2381" w:val="left" w:leader="none"/>
          <w:tab w:pos="2382" w:val="left" w:leader="none"/>
        </w:tabs>
        <w:spacing w:line="240" w:lineRule="auto" w:before="123" w:after="0"/>
        <w:ind w:left="2381" w:right="0" w:hanging="794"/>
        <w:jc w:val="left"/>
        <w:rPr>
          <w:sz w:val="21"/>
        </w:rPr>
      </w:pPr>
      <w:r>
        <w:rPr>
          <w:w w:val="105"/>
          <w:sz w:val="21"/>
        </w:rPr>
        <w:t>Reasons given </w:t>
      </w:r>
      <w:r>
        <w:rPr>
          <w:spacing w:val="-3"/>
          <w:w w:val="105"/>
          <w:sz w:val="21"/>
        </w:rPr>
        <w:t>for introducing </w:t>
      </w:r>
      <w:r>
        <w:rPr>
          <w:w w:val="105"/>
          <w:sz w:val="21"/>
        </w:rPr>
        <w:t>costs </w:t>
      </w:r>
      <w:r>
        <w:rPr>
          <w:spacing w:val="-3"/>
          <w:w w:val="105"/>
          <w:sz w:val="21"/>
        </w:rPr>
        <w:t>disclosure</w:t>
      </w:r>
      <w:r>
        <w:rPr>
          <w:spacing w:val="33"/>
          <w:w w:val="105"/>
          <w:sz w:val="21"/>
        </w:rPr>
        <w:t> </w:t>
      </w:r>
      <w:r>
        <w:rPr>
          <w:w w:val="105"/>
          <w:sz w:val="21"/>
        </w:rPr>
        <w:t>included:</w:t>
      </w:r>
    </w:p>
    <w:p>
      <w:pPr>
        <w:pStyle w:val="ListParagraph"/>
        <w:numPr>
          <w:ilvl w:val="2"/>
          <w:numId w:val="22"/>
        </w:numPr>
        <w:tabs>
          <w:tab w:pos="2721" w:val="left" w:leader="none"/>
          <w:tab w:pos="2722" w:val="left" w:leader="none"/>
        </w:tabs>
        <w:spacing w:line="242" w:lineRule="auto" w:before="124" w:after="0"/>
        <w:ind w:left="2721" w:right="1713" w:hanging="340"/>
        <w:jc w:val="left"/>
        <w:rPr>
          <w:sz w:val="12"/>
        </w:rPr>
      </w:pPr>
      <w:r>
        <w:rPr>
          <w:w w:val="105"/>
          <w:sz w:val="21"/>
        </w:rPr>
        <w:t>It</w:t>
      </w:r>
      <w:r>
        <w:rPr>
          <w:spacing w:val="-8"/>
          <w:w w:val="105"/>
          <w:sz w:val="21"/>
        </w:rPr>
        <w:t> </w:t>
      </w:r>
      <w:r>
        <w:rPr>
          <w:w w:val="105"/>
          <w:sz w:val="21"/>
        </w:rPr>
        <w:t>is</w:t>
      </w:r>
      <w:r>
        <w:rPr>
          <w:spacing w:val="-8"/>
          <w:w w:val="105"/>
          <w:sz w:val="21"/>
        </w:rPr>
        <w:t> </w:t>
      </w:r>
      <w:r>
        <w:rPr>
          <w:w w:val="105"/>
          <w:sz w:val="21"/>
        </w:rPr>
        <w:t>a</w:t>
      </w:r>
      <w:r>
        <w:rPr>
          <w:spacing w:val="-8"/>
          <w:w w:val="105"/>
          <w:sz w:val="21"/>
        </w:rPr>
        <w:t> </w:t>
      </w:r>
      <w:r>
        <w:rPr>
          <w:spacing w:val="-3"/>
          <w:w w:val="105"/>
          <w:sz w:val="21"/>
        </w:rPr>
        <w:t>way</w:t>
      </w:r>
      <w:r>
        <w:rPr>
          <w:spacing w:val="-8"/>
          <w:w w:val="105"/>
          <w:sz w:val="21"/>
        </w:rPr>
        <w:t> </w:t>
      </w:r>
      <w:r>
        <w:rPr>
          <w:w w:val="105"/>
          <w:sz w:val="21"/>
        </w:rPr>
        <w:t>of</w:t>
      </w:r>
      <w:r>
        <w:rPr>
          <w:spacing w:val="-8"/>
          <w:w w:val="105"/>
          <w:sz w:val="21"/>
        </w:rPr>
        <w:t> </w:t>
      </w:r>
      <w:r>
        <w:rPr>
          <w:spacing w:val="-3"/>
          <w:w w:val="105"/>
          <w:sz w:val="21"/>
        </w:rPr>
        <w:t>discouraging</w:t>
      </w:r>
      <w:r>
        <w:rPr>
          <w:spacing w:val="-8"/>
          <w:w w:val="105"/>
          <w:sz w:val="21"/>
        </w:rPr>
        <w:t> </w:t>
      </w:r>
      <w:r>
        <w:rPr>
          <w:w w:val="105"/>
          <w:sz w:val="21"/>
        </w:rPr>
        <w:t>legal</w:t>
      </w:r>
      <w:r>
        <w:rPr>
          <w:spacing w:val="-8"/>
          <w:w w:val="105"/>
          <w:sz w:val="21"/>
        </w:rPr>
        <w:t> </w:t>
      </w:r>
      <w:r>
        <w:rPr>
          <w:w w:val="105"/>
          <w:sz w:val="21"/>
        </w:rPr>
        <w:t>practitioner</w:t>
      </w:r>
      <w:r>
        <w:rPr>
          <w:spacing w:val="-8"/>
          <w:w w:val="105"/>
          <w:sz w:val="21"/>
        </w:rPr>
        <w:t> </w:t>
      </w:r>
      <w:r>
        <w:rPr>
          <w:w w:val="105"/>
          <w:sz w:val="21"/>
        </w:rPr>
        <w:t>executors</w:t>
      </w:r>
      <w:r>
        <w:rPr>
          <w:spacing w:val="-8"/>
          <w:w w:val="105"/>
          <w:sz w:val="21"/>
        </w:rPr>
        <w:t> </w:t>
      </w:r>
      <w:r>
        <w:rPr>
          <w:spacing w:val="-3"/>
          <w:w w:val="105"/>
          <w:sz w:val="21"/>
        </w:rPr>
        <w:t>from</w:t>
      </w:r>
      <w:r>
        <w:rPr>
          <w:spacing w:val="-8"/>
          <w:w w:val="105"/>
          <w:sz w:val="21"/>
        </w:rPr>
        <w:t> </w:t>
      </w:r>
      <w:r>
        <w:rPr>
          <w:spacing w:val="-3"/>
          <w:w w:val="105"/>
          <w:sz w:val="21"/>
        </w:rPr>
        <w:t>claiming</w:t>
      </w:r>
      <w:r>
        <w:rPr>
          <w:spacing w:val="-8"/>
          <w:w w:val="105"/>
          <w:sz w:val="21"/>
        </w:rPr>
        <w:t> </w:t>
      </w:r>
      <w:r>
        <w:rPr>
          <w:w w:val="105"/>
          <w:sz w:val="21"/>
        </w:rPr>
        <w:t>they</w:t>
      </w:r>
      <w:r>
        <w:rPr>
          <w:spacing w:val="-8"/>
          <w:w w:val="105"/>
          <w:sz w:val="21"/>
        </w:rPr>
        <w:t> </w:t>
      </w:r>
      <w:r>
        <w:rPr>
          <w:spacing w:val="-3"/>
          <w:w w:val="105"/>
          <w:sz w:val="21"/>
        </w:rPr>
        <w:t>are</w:t>
      </w:r>
      <w:r>
        <w:rPr>
          <w:spacing w:val="-8"/>
          <w:w w:val="105"/>
          <w:sz w:val="21"/>
        </w:rPr>
        <w:t> </w:t>
      </w:r>
      <w:r>
        <w:rPr>
          <w:w w:val="105"/>
          <w:sz w:val="21"/>
        </w:rPr>
        <w:t>entitled by law </w:t>
      </w:r>
      <w:r>
        <w:rPr>
          <w:spacing w:val="-3"/>
          <w:w w:val="105"/>
          <w:sz w:val="21"/>
        </w:rPr>
        <w:t>to charge </w:t>
      </w:r>
      <w:r>
        <w:rPr>
          <w:w w:val="105"/>
          <w:sz w:val="21"/>
        </w:rPr>
        <w:t>a </w:t>
      </w:r>
      <w:r>
        <w:rPr>
          <w:spacing w:val="-3"/>
          <w:w w:val="105"/>
          <w:sz w:val="21"/>
        </w:rPr>
        <w:t>commission </w:t>
      </w:r>
      <w:r>
        <w:rPr>
          <w:w w:val="105"/>
          <w:sz w:val="21"/>
        </w:rPr>
        <w:t>of five per</w:t>
      </w:r>
      <w:r>
        <w:rPr>
          <w:spacing w:val="4"/>
          <w:w w:val="105"/>
          <w:sz w:val="21"/>
        </w:rPr>
        <w:t> </w:t>
      </w:r>
      <w:r>
        <w:rPr>
          <w:spacing w:val="-5"/>
          <w:w w:val="105"/>
          <w:sz w:val="21"/>
        </w:rPr>
        <w:t>cent.</w:t>
      </w:r>
      <w:r>
        <w:rPr>
          <w:spacing w:val="-5"/>
          <w:w w:val="105"/>
          <w:position w:val="7"/>
          <w:sz w:val="12"/>
        </w:rPr>
        <w:t>108</w:t>
      </w:r>
    </w:p>
    <w:p>
      <w:pPr>
        <w:pStyle w:val="ListParagraph"/>
        <w:numPr>
          <w:ilvl w:val="2"/>
          <w:numId w:val="22"/>
        </w:numPr>
        <w:tabs>
          <w:tab w:pos="2721" w:val="left" w:leader="none"/>
          <w:tab w:pos="2722" w:val="left" w:leader="none"/>
        </w:tabs>
        <w:spacing w:line="242" w:lineRule="auto" w:before="122" w:after="0"/>
        <w:ind w:left="2721" w:right="1647" w:hanging="340"/>
        <w:jc w:val="left"/>
        <w:rPr>
          <w:sz w:val="12"/>
        </w:rPr>
      </w:pPr>
      <w:r>
        <w:rPr>
          <w:sz w:val="21"/>
        </w:rPr>
        <w:t>It </w:t>
      </w:r>
      <w:r>
        <w:rPr>
          <w:spacing w:val="-3"/>
          <w:sz w:val="21"/>
        </w:rPr>
        <w:t>creates </w:t>
      </w:r>
      <w:r>
        <w:rPr>
          <w:spacing w:val="-2"/>
          <w:sz w:val="21"/>
        </w:rPr>
        <w:t>transparency </w:t>
      </w:r>
      <w:r>
        <w:rPr>
          <w:sz w:val="21"/>
        </w:rPr>
        <w:t>and </w:t>
      </w:r>
      <w:r>
        <w:rPr>
          <w:spacing w:val="-3"/>
          <w:sz w:val="21"/>
        </w:rPr>
        <w:t>takes  </w:t>
      </w:r>
      <w:r>
        <w:rPr>
          <w:sz w:val="21"/>
        </w:rPr>
        <w:t>the </w:t>
      </w:r>
      <w:r>
        <w:rPr>
          <w:spacing w:val="-3"/>
          <w:sz w:val="21"/>
        </w:rPr>
        <w:t>pressure</w:t>
      </w:r>
      <w:r>
        <w:rPr>
          <w:spacing w:val="41"/>
          <w:sz w:val="21"/>
        </w:rPr>
        <w:t> </w:t>
      </w:r>
      <w:r>
        <w:rPr>
          <w:sz w:val="21"/>
        </w:rPr>
        <w:t>off the </w:t>
      </w:r>
      <w:r>
        <w:rPr>
          <w:spacing w:val="-4"/>
          <w:sz w:val="21"/>
        </w:rPr>
        <w:t>executor.  </w:t>
      </w:r>
      <w:r>
        <w:rPr>
          <w:sz w:val="21"/>
        </w:rPr>
        <w:t>Beneficiaries </w:t>
      </w:r>
      <w:r>
        <w:rPr>
          <w:spacing w:val="-3"/>
          <w:sz w:val="21"/>
        </w:rPr>
        <w:t>will  </w:t>
      </w:r>
      <w:r>
        <w:rPr>
          <w:sz w:val="21"/>
        </w:rPr>
        <w:t>be less </w:t>
      </w:r>
      <w:r>
        <w:rPr>
          <w:spacing w:val="-4"/>
          <w:sz w:val="21"/>
        </w:rPr>
        <w:t>likely </w:t>
      </w:r>
      <w:r>
        <w:rPr>
          <w:spacing w:val="-3"/>
          <w:sz w:val="21"/>
        </w:rPr>
        <w:t>to </w:t>
      </w:r>
      <w:r>
        <w:rPr>
          <w:sz w:val="21"/>
        </w:rPr>
        <w:t>suspect dishonest practice and </w:t>
      </w:r>
      <w:r>
        <w:rPr>
          <w:spacing w:val="-3"/>
          <w:sz w:val="21"/>
        </w:rPr>
        <w:t>applications for </w:t>
      </w:r>
      <w:r>
        <w:rPr>
          <w:sz w:val="21"/>
        </w:rPr>
        <w:t>review </w:t>
      </w:r>
      <w:r>
        <w:rPr>
          <w:spacing w:val="-3"/>
          <w:sz w:val="21"/>
        </w:rPr>
        <w:t>will </w:t>
      </w:r>
      <w:r>
        <w:rPr>
          <w:sz w:val="21"/>
        </w:rPr>
        <w:t>be less</w:t>
      </w:r>
      <w:r>
        <w:rPr>
          <w:spacing w:val="28"/>
          <w:sz w:val="21"/>
        </w:rPr>
        <w:t> </w:t>
      </w:r>
      <w:r>
        <w:rPr>
          <w:spacing w:val="-6"/>
          <w:sz w:val="21"/>
        </w:rPr>
        <w:t>likely.</w:t>
      </w:r>
      <w:r>
        <w:rPr>
          <w:spacing w:val="-6"/>
          <w:position w:val="7"/>
          <w:sz w:val="12"/>
        </w:rPr>
        <w:t>109</w:t>
      </w:r>
    </w:p>
    <w:p>
      <w:pPr>
        <w:pStyle w:val="ListParagraph"/>
        <w:numPr>
          <w:ilvl w:val="2"/>
          <w:numId w:val="22"/>
        </w:numPr>
        <w:tabs>
          <w:tab w:pos="2721" w:val="left" w:leader="none"/>
          <w:tab w:pos="2722" w:val="left" w:leader="none"/>
        </w:tabs>
        <w:spacing w:line="242" w:lineRule="auto" w:before="122" w:after="0"/>
        <w:ind w:left="2721" w:right="2224" w:hanging="340"/>
        <w:jc w:val="left"/>
        <w:rPr>
          <w:sz w:val="12"/>
        </w:rPr>
      </w:pPr>
      <w:r>
        <w:rPr>
          <w:spacing w:val="-3"/>
          <w:w w:val="105"/>
          <w:sz w:val="21"/>
        </w:rPr>
        <w:t>State</w:t>
      </w:r>
      <w:r>
        <w:rPr>
          <w:spacing w:val="-13"/>
          <w:w w:val="105"/>
          <w:sz w:val="21"/>
        </w:rPr>
        <w:t> </w:t>
      </w:r>
      <w:r>
        <w:rPr>
          <w:spacing w:val="-4"/>
          <w:w w:val="105"/>
          <w:sz w:val="21"/>
        </w:rPr>
        <w:t>Trustees</w:t>
      </w:r>
      <w:r>
        <w:rPr>
          <w:spacing w:val="-12"/>
          <w:w w:val="105"/>
          <w:sz w:val="21"/>
        </w:rPr>
        <w:t> </w:t>
      </w:r>
      <w:r>
        <w:rPr>
          <w:w w:val="105"/>
          <w:sz w:val="21"/>
        </w:rPr>
        <w:t>and</w:t>
      </w:r>
      <w:r>
        <w:rPr>
          <w:spacing w:val="-13"/>
          <w:w w:val="105"/>
          <w:sz w:val="21"/>
        </w:rPr>
        <w:t> </w:t>
      </w:r>
      <w:r>
        <w:rPr>
          <w:spacing w:val="-3"/>
          <w:w w:val="105"/>
          <w:sz w:val="21"/>
        </w:rPr>
        <w:t>licensed</w:t>
      </w:r>
      <w:r>
        <w:rPr>
          <w:spacing w:val="-12"/>
          <w:w w:val="105"/>
          <w:sz w:val="21"/>
        </w:rPr>
        <w:t> </w:t>
      </w:r>
      <w:r>
        <w:rPr>
          <w:w w:val="105"/>
          <w:sz w:val="21"/>
        </w:rPr>
        <w:t>trustees</w:t>
      </w:r>
      <w:r>
        <w:rPr>
          <w:spacing w:val="-13"/>
          <w:w w:val="105"/>
          <w:sz w:val="21"/>
        </w:rPr>
        <w:t> </w:t>
      </w:r>
      <w:r>
        <w:rPr>
          <w:spacing w:val="-3"/>
          <w:w w:val="105"/>
          <w:sz w:val="21"/>
        </w:rPr>
        <w:t>are</w:t>
      </w:r>
      <w:r>
        <w:rPr>
          <w:spacing w:val="-12"/>
          <w:w w:val="105"/>
          <w:sz w:val="21"/>
        </w:rPr>
        <w:t> </w:t>
      </w:r>
      <w:r>
        <w:rPr>
          <w:w w:val="105"/>
          <w:sz w:val="21"/>
        </w:rPr>
        <w:t>subject</w:t>
      </w:r>
      <w:r>
        <w:rPr>
          <w:spacing w:val="-13"/>
          <w:w w:val="105"/>
          <w:sz w:val="21"/>
        </w:rPr>
        <w:t> </w:t>
      </w:r>
      <w:r>
        <w:rPr>
          <w:spacing w:val="-3"/>
          <w:w w:val="105"/>
          <w:sz w:val="21"/>
        </w:rPr>
        <w:t>to</w:t>
      </w:r>
      <w:r>
        <w:rPr>
          <w:spacing w:val="-12"/>
          <w:w w:val="105"/>
          <w:sz w:val="21"/>
        </w:rPr>
        <w:t> </w:t>
      </w:r>
      <w:r>
        <w:rPr>
          <w:spacing w:val="-3"/>
          <w:w w:val="105"/>
          <w:sz w:val="21"/>
        </w:rPr>
        <w:t>separate</w:t>
      </w:r>
      <w:r>
        <w:rPr>
          <w:spacing w:val="-13"/>
          <w:w w:val="105"/>
          <w:sz w:val="21"/>
        </w:rPr>
        <w:t> </w:t>
      </w:r>
      <w:r>
        <w:rPr>
          <w:w w:val="105"/>
          <w:sz w:val="21"/>
        </w:rPr>
        <w:t>statutory</w:t>
      </w:r>
      <w:r>
        <w:rPr>
          <w:spacing w:val="-12"/>
          <w:w w:val="105"/>
          <w:sz w:val="21"/>
        </w:rPr>
        <w:t> </w:t>
      </w:r>
      <w:r>
        <w:rPr>
          <w:spacing w:val="-2"/>
          <w:w w:val="105"/>
          <w:sz w:val="21"/>
        </w:rPr>
        <w:t>regimes</w:t>
      </w:r>
      <w:r>
        <w:rPr>
          <w:spacing w:val="-13"/>
          <w:w w:val="105"/>
          <w:sz w:val="21"/>
        </w:rPr>
        <w:t> </w:t>
      </w:r>
      <w:r>
        <w:rPr>
          <w:w w:val="105"/>
          <w:sz w:val="21"/>
        </w:rPr>
        <w:t>in respect of their</w:t>
      </w:r>
      <w:r>
        <w:rPr>
          <w:spacing w:val="14"/>
          <w:w w:val="105"/>
          <w:sz w:val="21"/>
        </w:rPr>
        <w:t> </w:t>
      </w:r>
      <w:r>
        <w:rPr>
          <w:spacing w:val="-5"/>
          <w:w w:val="105"/>
          <w:sz w:val="21"/>
        </w:rPr>
        <w:t>remuneration.</w:t>
      </w:r>
      <w:r>
        <w:rPr>
          <w:spacing w:val="-5"/>
          <w:w w:val="105"/>
          <w:position w:val="7"/>
          <w:sz w:val="12"/>
        </w:rPr>
        <w:t>110</w:t>
      </w:r>
    </w:p>
    <w:p>
      <w:pPr>
        <w:pStyle w:val="ListParagraph"/>
        <w:numPr>
          <w:ilvl w:val="1"/>
          <w:numId w:val="22"/>
        </w:numPr>
        <w:tabs>
          <w:tab w:pos="2381" w:val="left" w:leader="none"/>
          <w:tab w:pos="2382" w:val="left" w:leader="none"/>
        </w:tabs>
        <w:spacing w:line="242" w:lineRule="auto" w:before="122" w:after="0"/>
        <w:ind w:left="2381" w:right="1860" w:hanging="794"/>
        <w:jc w:val="left"/>
        <w:rPr>
          <w:sz w:val="21"/>
        </w:rPr>
      </w:pPr>
      <w:r>
        <w:rPr>
          <w:sz w:val="21"/>
        </w:rPr>
        <w:t>The Law </w:t>
      </w:r>
      <w:r>
        <w:rPr>
          <w:spacing w:val="-3"/>
          <w:sz w:val="21"/>
        </w:rPr>
        <w:t>Institute </w:t>
      </w:r>
      <w:r>
        <w:rPr>
          <w:sz w:val="21"/>
        </w:rPr>
        <w:t>of Victoria considers it good practice </w:t>
      </w:r>
      <w:r>
        <w:rPr>
          <w:spacing w:val="-3"/>
          <w:sz w:val="21"/>
        </w:rPr>
        <w:t>for </w:t>
      </w:r>
      <w:r>
        <w:rPr>
          <w:sz w:val="21"/>
        </w:rPr>
        <w:t>legal practitioners </w:t>
      </w:r>
      <w:r>
        <w:rPr>
          <w:spacing w:val="-3"/>
          <w:sz w:val="21"/>
        </w:rPr>
        <w:t>to </w:t>
      </w:r>
      <w:r>
        <w:rPr>
          <w:sz w:val="21"/>
        </w:rPr>
        <w:t>provide cost </w:t>
      </w:r>
      <w:r>
        <w:rPr>
          <w:spacing w:val="-3"/>
          <w:sz w:val="21"/>
        </w:rPr>
        <w:t>disclosure to </w:t>
      </w:r>
      <w:r>
        <w:rPr>
          <w:sz w:val="21"/>
        </w:rPr>
        <w:t>beneficiaries and would support </w:t>
      </w:r>
      <w:r>
        <w:rPr>
          <w:spacing w:val="-3"/>
          <w:sz w:val="21"/>
        </w:rPr>
        <w:t>reintroduction </w:t>
      </w:r>
      <w:r>
        <w:rPr>
          <w:sz w:val="21"/>
        </w:rPr>
        <w:t>of a </w:t>
      </w:r>
      <w:r>
        <w:rPr>
          <w:spacing w:val="-3"/>
          <w:sz w:val="21"/>
        </w:rPr>
        <w:t>requirement  to </w:t>
      </w:r>
      <w:r>
        <w:rPr>
          <w:spacing w:val="-4"/>
          <w:sz w:val="21"/>
        </w:rPr>
        <w:t>make </w:t>
      </w:r>
      <w:r>
        <w:rPr>
          <w:sz w:val="21"/>
        </w:rPr>
        <w:t>costs </w:t>
      </w:r>
      <w:r>
        <w:rPr>
          <w:spacing w:val="-3"/>
          <w:sz w:val="21"/>
        </w:rPr>
        <w:t>disclosure </w:t>
      </w:r>
      <w:r>
        <w:rPr>
          <w:sz w:val="21"/>
        </w:rPr>
        <w:t>under Part </w:t>
      </w:r>
      <w:r>
        <w:rPr>
          <w:spacing w:val="-3"/>
          <w:sz w:val="21"/>
        </w:rPr>
        <w:t>3.4 </w:t>
      </w:r>
      <w:r>
        <w:rPr>
          <w:sz w:val="21"/>
        </w:rPr>
        <w:t>of the Legal </w:t>
      </w:r>
      <w:r>
        <w:rPr>
          <w:spacing w:val="-3"/>
          <w:sz w:val="21"/>
        </w:rPr>
        <w:t>Profession </w:t>
      </w:r>
      <w:r>
        <w:rPr>
          <w:spacing w:val="-7"/>
          <w:sz w:val="21"/>
        </w:rPr>
        <w:t>Act.</w:t>
      </w:r>
      <w:r>
        <w:rPr>
          <w:spacing w:val="-7"/>
          <w:position w:val="7"/>
          <w:sz w:val="12"/>
        </w:rPr>
        <w:t>111 </w:t>
      </w:r>
      <w:r>
        <w:rPr>
          <w:sz w:val="21"/>
        </w:rPr>
        <w:t>It proposed in its </w:t>
      </w:r>
      <w:r>
        <w:rPr>
          <w:spacing w:val="-3"/>
          <w:sz w:val="21"/>
        </w:rPr>
        <w:t>submission</w:t>
      </w:r>
      <w:r>
        <w:rPr>
          <w:spacing w:val="8"/>
          <w:sz w:val="21"/>
        </w:rPr>
        <w:t> </w:t>
      </w:r>
      <w:r>
        <w:rPr>
          <w:sz w:val="21"/>
        </w:rPr>
        <w:t>that:</w:t>
      </w:r>
    </w:p>
    <w:p>
      <w:pPr>
        <w:pStyle w:val="ListParagraph"/>
        <w:numPr>
          <w:ilvl w:val="2"/>
          <w:numId w:val="22"/>
        </w:numPr>
        <w:tabs>
          <w:tab w:pos="2721" w:val="left" w:leader="none"/>
          <w:tab w:pos="2722" w:val="left" w:leader="none"/>
        </w:tabs>
        <w:spacing w:line="242" w:lineRule="auto" w:before="124" w:after="0"/>
        <w:ind w:left="2721" w:right="1776" w:hanging="340"/>
        <w:jc w:val="left"/>
        <w:rPr>
          <w:sz w:val="12"/>
        </w:rPr>
      </w:pPr>
      <w:r>
        <w:rPr>
          <w:sz w:val="21"/>
        </w:rPr>
        <w:t>Costs </w:t>
      </w:r>
      <w:r>
        <w:rPr>
          <w:spacing w:val="-3"/>
          <w:sz w:val="21"/>
        </w:rPr>
        <w:t>disclosure </w:t>
      </w:r>
      <w:r>
        <w:rPr>
          <w:sz w:val="21"/>
        </w:rPr>
        <w:t>should be </w:t>
      </w:r>
      <w:r>
        <w:rPr>
          <w:spacing w:val="-3"/>
          <w:sz w:val="21"/>
        </w:rPr>
        <w:t>required to  </w:t>
      </w:r>
      <w:r>
        <w:rPr>
          <w:sz w:val="21"/>
        </w:rPr>
        <w:t>beneficiaries only where the legal practitioner  is the sole </w:t>
      </w:r>
      <w:r>
        <w:rPr>
          <w:spacing w:val="-4"/>
          <w:sz w:val="21"/>
        </w:rPr>
        <w:t>executor. </w:t>
      </w:r>
      <w:r>
        <w:rPr>
          <w:sz w:val="21"/>
        </w:rPr>
        <w:t>Where the legal practitioner is one of two or more executors, costs </w:t>
      </w:r>
      <w:r>
        <w:rPr>
          <w:spacing w:val="-3"/>
          <w:sz w:val="21"/>
        </w:rPr>
        <w:t>disclosure </w:t>
      </w:r>
      <w:r>
        <w:rPr>
          <w:sz w:val="21"/>
        </w:rPr>
        <w:t>is </w:t>
      </w:r>
      <w:r>
        <w:rPr>
          <w:spacing w:val="-4"/>
          <w:sz w:val="21"/>
        </w:rPr>
        <w:t>likely </w:t>
      </w:r>
      <w:r>
        <w:rPr>
          <w:spacing w:val="-3"/>
          <w:sz w:val="21"/>
        </w:rPr>
        <w:t>to </w:t>
      </w:r>
      <w:r>
        <w:rPr>
          <w:sz w:val="21"/>
        </w:rPr>
        <w:t>be </w:t>
      </w:r>
      <w:r>
        <w:rPr>
          <w:spacing w:val="-3"/>
          <w:sz w:val="21"/>
        </w:rPr>
        <w:t>required to </w:t>
      </w:r>
      <w:r>
        <w:rPr>
          <w:sz w:val="21"/>
        </w:rPr>
        <w:t>the other </w:t>
      </w:r>
      <w:r>
        <w:rPr>
          <w:spacing w:val="-3"/>
          <w:sz w:val="21"/>
        </w:rPr>
        <w:t>executor </w:t>
      </w:r>
      <w:r>
        <w:rPr>
          <w:sz w:val="21"/>
        </w:rPr>
        <w:t>in </w:t>
      </w:r>
      <w:r>
        <w:rPr>
          <w:spacing w:val="-3"/>
          <w:sz w:val="21"/>
        </w:rPr>
        <w:t>any event </w:t>
      </w:r>
      <w:r>
        <w:rPr>
          <w:sz w:val="21"/>
        </w:rPr>
        <w:t>under the existing</w:t>
      </w:r>
      <w:r>
        <w:rPr>
          <w:spacing w:val="8"/>
          <w:sz w:val="21"/>
        </w:rPr>
        <w:t> </w:t>
      </w:r>
      <w:r>
        <w:rPr>
          <w:spacing w:val="-5"/>
          <w:sz w:val="21"/>
        </w:rPr>
        <w:t>provisions.</w:t>
      </w:r>
      <w:r>
        <w:rPr>
          <w:spacing w:val="-5"/>
          <w:position w:val="7"/>
          <w:sz w:val="12"/>
        </w:rPr>
        <w:t>112</w:t>
      </w:r>
    </w:p>
    <w:p>
      <w:pPr>
        <w:pStyle w:val="ListParagraph"/>
        <w:numPr>
          <w:ilvl w:val="2"/>
          <w:numId w:val="22"/>
        </w:numPr>
        <w:tabs>
          <w:tab w:pos="2721" w:val="left" w:leader="none"/>
          <w:tab w:pos="2722" w:val="left" w:leader="none"/>
        </w:tabs>
        <w:spacing w:line="242" w:lineRule="auto" w:before="125" w:after="0"/>
        <w:ind w:left="2721" w:right="2077" w:hanging="340"/>
        <w:jc w:val="left"/>
        <w:rPr>
          <w:sz w:val="12"/>
        </w:rPr>
      </w:pPr>
      <w:r>
        <w:rPr>
          <w:sz w:val="21"/>
        </w:rPr>
        <w:t>Costs </w:t>
      </w:r>
      <w:r>
        <w:rPr>
          <w:spacing w:val="-3"/>
          <w:sz w:val="21"/>
        </w:rPr>
        <w:t>disclosure  </w:t>
      </w:r>
      <w:r>
        <w:rPr>
          <w:sz w:val="21"/>
        </w:rPr>
        <w:t>should be </w:t>
      </w:r>
      <w:r>
        <w:rPr>
          <w:spacing w:val="-3"/>
          <w:sz w:val="21"/>
        </w:rPr>
        <w:t>required</w:t>
      </w:r>
      <w:r>
        <w:rPr>
          <w:spacing w:val="41"/>
          <w:sz w:val="21"/>
        </w:rPr>
        <w:t> </w:t>
      </w:r>
      <w:r>
        <w:rPr>
          <w:sz w:val="21"/>
        </w:rPr>
        <w:t>only </w:t>
      </w:r>
      <w:r>
        <w:rPr>
          <w:spacing w:val="-3"/>
          <w:sz w:val="21"/>
        </w:rPr>
        <w:t>to  </w:t>
      </w:r>
      <w:r>
        <w:rPr>
          <w:sz w:val="21"/>
        </w:rPr>
        <w:t>residuary beneficiaries, as they </w:t>
      </w:r>
      <w:r>
        <w:rPr>
          <w:spacing w:val="-3"/>
          <w:sz w:val="21"/>
        </w:rPr>
        <w:t>will    </w:t>
      </w:r>
      <w:r>
        <w:rPr>
          <w:sz w:val="21"/>
        </w:rPr>
        <w:t>be the only beneficiaries affected by legal costs. In some </w:t>
      </w:r>
      <w:r>
        <w:rPr>
          <w:spacing w:val="-3"/>
          <w:sz w:val="21"/>
        </w:rPr>
        <w:t>situations, </w:t>
      </w:r>
      <w:r>
        <w:rPr>
          <w:sz w:val="21"/>
        </w:rPr>
        <w:t>the residuary beneficiaries </w:t>
      </w:r>
      <w:r>
        <w:rPr>
          <w:spacing w:val="-3"/>
          <w:sz w:val="21"/>
        </w:rPr>
        <w:t>will </w:t>
      </w:r>
      <w:r>
        <w:rPr>
          <w:sz w:val="21"/>
        </w:rPr>
        <w:t>be minors or </w:t>
      </w:r>
      <w:r>
        <w:rPr>
          <w:spacing w:val="-2"/>
          <w:sz w:val="21"/>
        </w:rPr>
        <w:t>not legally </w:t>
      </w:r>
      <w:r>
        <w:rPr>
          <w:spacing w:val="-3"/>
          <w:sz w:val="21"/>
        </w:rPr>
        <w:t>competent  for  another  </w:t>
      </w:r>
      <w:r>
        <w:rPr>
          <w:sz w:val="21"/>
        </w:rPr>
        <w:t>reason and </w:t>
      </w:r>
      <w:r>
        <w:rPr>
          <w:spacing w:val="-3"/>
          <w:sz w:val="21"/>
        </w:rPr>
        <w:t>will </w:t>
      </w:r>
      <w:r>
        <w:rPr>
          <w:sz w:val="21"/>
        </w:rPr>
        <w:t>be yet </w:t>
      </w:r>
      <w:r>
        <w:rPr>
          <w:spacing w:val="-3"/>
          <w:sz w:val="21"/>
        </w:rPr>
        <w:t>to </w:t>
      </w:r>
      <w:r>
        <w:rPr>
          <w:sz w:val="21"/>
        </w:rPr>
        <w:t>be ascertained, in which case it </w:t>
      </w:r>
      <w:r>
        <w:rPr>
          <w:spacing w:val="-3"/>
          <w:sz w:val="21"/>
        </w:rPr>
        <w:t>will </w:t>
      </w:r>
      <w:r>
        <w:rPr>
          <w:spacing w:val="-2"/>
          <w:sz w:val="21"/>
        </w:rPr>
        <w:t>not </w:t>
      </w:r>
      <w:r>
        <w:rPr>
          <w:sz w:val="21"/>
        </w:rPr>
        <w:t>be possible </w:t>
      </w:r>
      <w:r>
        <w:rPr>
          <w:spacing w:val="-3"/>
          <w:sz w:val="21"/>
        </w:rPr>
        <w:t>to </w:t>
      </w:r>
      <w:r>
        <w:rPr>
          <w:sz w:val="21"/>
        </w:rPr>
        <w:t>provide costs </w:t>
      </w:r>
      <w:r>
        <w:rPr>
          <w:spacing w:val="-5"/>
          <w:sz w:val="21"/>
        </w:rPr>
        <w:t>disclosure.</w:t>
      </w:r>
      <w:r>
        <w:rPr>
          <w:spacing w:val="-5"/>
          <w:position w:val="7"/>
          <w:sz w:val="12"/>
        </w:rPr>
        <w:t>113</w:t>
      </w:r>
    </w:p>
    <w:p>
      <w:pPr>
        <w:pStyle w:val="ListParagraph"/>
        <w:numPr>
          <w:ilvl w:val="1"/>
          <w:numId w:val="22"/>
        </w:numPr>
        <w:tabs>
          <w:tab w:pos="2380" w:val="left" w:leader="none"/>
          <w:tab w:pos="2381" w:val="left" w:leader="none"/>
        </w:tabs>
        <w:spacing w:line="240" w:lineRule="auto" w:before="125" w:after="0"/>
        <w:ind w:left="2380" w:right="0" w:hanging="793"/>
        <w:jc w:val="left"/>
        <w:rPr>
          <w:sz w:val="12"/>
        </w:rPr>
      </w:pPr>
      <w:r>
        <w:rPr>
          <w:w w:val="105"/>
          <w:sz w:val="21"/>
        </w:rPr>
        <w:t>Moores Legal </w:t>
      </w:r>
      <w:r>
        <w:rPr>
          <w:spacing w:val="-3"/>
          <w:w w:val="105"/>
          <w:sz w:val="21"/>
        </w:rPr>
        <w:t>commented that </w:t>
      </w:r>
      <w:r>
        <w:rPr>
          <w:w w:val="105"/>
          <w:sz w:val="21"/>
        </w:rPr>
        <w:t>it would assist </w:t>
      </w:r>
      <w:r>
        <w:rPr>
          <w:spacing w:val="-3"/>
          <w:w w:val="105"/>
          <w:sz w:val="21"/>
        </w:rPr>
        <w:t>to have </w:t>
      </w:r>
      <w:r>
        <w:rPr>
          <w:w w:val="105"/>
          <w:sz w:val="21"/>
        </w:rPr>
        <w:t>a standard</w:t>
      </w:r>
      <w:r>
        <w:rPr>
          <w:spacing w:val="5"/>
          <w:w w:val="105"/>
          <w:sz w:val="21"/>
        </w:rPr>
        <w:t> </w:t>
      </w:r>
      <w:r>
        <w:rPr>
          <w:spacing w:val="-7"/>
          <w:w w:val="105"/>
          <w:sz w:val="21"/>
        </w:rPr>
        <w:t>form.</w:t>
      </w:r>
      <w:r>
        <w:rPr>
          <w:spacing w:val="-7"/>
          <w:w w:val="105"/>
          <w:position w:val="7"/>
          <w:sz w:val="12"/>
        </w:rPr>
        <w:t>114</w:t>
      </w:r>
    </w:p>
    <w:p>
      <w:pPr>
        <w:pStyle w:val="ListParagraph"/>
        <w:numPr>
          <w:ilvl w:val="1"/>
          <w:numId w:val="22"/>
        </w:numPr>
        <w:tabs>
          <w:tab w:pos="2381" w:val="left" w:leader="none"/>
          <w:tab w:pos="2382" w:val="left" w:leader="none"/>
        </w:tabs>
        <w:spacing w:line="242" w:lineRule="auto" w:before="124" w:after="0"/>
        <w:ind w:left="2381" w:right="1716" w:hanging="794"/>
        <w:jc w:val="left"/>
        <w:rPr>
          <w:sz w:val="21"/>
        </w:rPr>
      </w:pPr>
      <w:r>
        <w:rPr>
          <w:w w:val="105"/>
          <w:sz w:val="21"/>
        </w:rPr>
        <w:t>The </w:t>
      </w:r>
      <w:r>
        <w:rPr>
          <w:spacing w:val="-3"/>
          <w:w w:val="105"/>
          <w:sz w:val="21"/>
        </w:rPr>
        <w:t>Commission </w:t>
      </w:r>
      <w:r>
        <w:rPr>
          <w:w w:val="105"/>
          <w:sz w:val="21"/>
        </w:rPr>
        <w:t>agrees with these suggestions and considers </w:t>
      </w:r>
      <w:r>
        <w:rPr>
          <w:spacing w:val="-3"/>
          <w:w w:val="105"/>
          <w:sz w:val="21"/>
        </w:rPr>
        <w:t>that many </w:t>
      </w:r>
      <w:r>
        <w:rPr>
          <w:w w:val="105"/>
          <w:sz w:val="21"/>
        </w:rPr>
        <w:t>of the costs </w:t>
      </w:r>
      <w:r>
        <w:rPr>
          <w:spacing w:val="-3"/>
          <w:w w:val="105"/>
          <w:sz w:val="21"/>
        </w:rPr>
        <w:t>disclosure provisions </w:t>
      </w:r>
      <w:r>
        <w:rPr>
          <w:w w:val="105"/>
          <w:sz w:val="21"/>
        </w:rPr>
        <w:t>in Division 3 of Part </w:t>
      </w:r>
      <w:r>
        <w:rPr>
          <w:spacing w:val="-3"/>
          <w:w w:val="105"/>
          <w:sz w:val="21"/>
        </w:rPr>
        <w:t>3.4 </w:t>
      </w:r>
      <w:r>
        <w:rPr>
          <w:w w:val="105"/>
          <w:sz w:val="21"/>
        </w:rPr>
        <w:t>of the Legal </w:t>
      </w:r>
      <w:r>
        <w:rPr>
          <w:spacing w:val="-3"/>
          <w:w w:val="105"/>
          <w:sz w:val="21"/>
        </w:rPr>
        <w:t>Profession </w:t>
      </w:r>
      <w:r>
        <w:rPr>
          <w:w w:val="105"/>
          <w:sz w:val="21"/>
        </w:rPr>
        <w:t>Act </w:t>
      </w:r>
      <w:r>
        <w:rPr>
          <w:spacing w:val="-3"/>
          <w:w w:val="105"/>
          <w:sz w:val="21"/>
        </w:rPr>
        <w:t>concerning disclosure</w:t>
      </w:r>
      <w:r>
        <w:rPr>
          <w:spacing w:val="-9"/>
          <w:w w:val="105"/>
          <w:sz w:val="21"/>
        </w:rPr>
        <w:t> </w:t>
      </w:r>
      <w:r>
        <w:rPr>
          <w:spacing w:val="-3"/>
          <w:w w:val="105"/>
          <w:sz w:val="21"/>
        </w:rPr>
        <w:t>to</w:t>
      </w:r>
      <w:r>
        <w:rPr>
          <w:spacing w:val="-9"/>
          <w:w w:val="105"/>
          <w:sz w:val="21"/>
        </w:rPr>
        <w:t> </w:t>
      </w:r>
      <w:r>
        <w:rPr>
          <w:w w:val="105"/>
          <w:sz w:val="21"/>
        </w:rPr>
        <w:t>clients</w:t>
      </w:r>
      <w:r>
        <w:rPr>
          <w:spacing w:val="-8"/>
          <w:w w:val="105"/>
          <w:sz w:val="21"/>
        </w:rPr>
        <w:t> </w:t>
      </w:r>
      <w:r>
        <w:rPr>
          <w:spacing w:val="-3"/>
          <w:w w:val="105"/>
          <w:sz w:val="21"/>
        </w:rPr>
        <w:t>could</w:t>
      </w:r>
      <w:r>
        <w:rPr>
          <w:spacing w:val="-9"/>
          <w:w w:val="105"/>
          <w:sz w:val="21"/>
        </w:rPr>
        <w:t> </w:t>
      </w:r>
      <w:r>
        <w:rPr>
          <w:spacing w:val="-3"/>
          <w:w w:val="105"/>
          <w:sz w:val="21"/>
        </w:rPr>
        <w:t>form</w:t>
      </w:r>
      <w:r>
        <w:rPr>
          <w:spacing w:val="-8"/>
          <w:w w:val="105"/>
          <w:sz w:val="21"/>
        </w:rPr>
        <w:t> </w:t>
      </w:r>
      <w:r>
        <w:rPr>
          <w:w w:val="105"/>
          <w:sz w:val="21"/>
        </w:rPr>
        <w:t>the</w:t>
      </w:r>
      <w:r>
        <w:rPr>
          <w:spacing w:val="-9"/>
          <w:w w:val="105"/>
          <w:sz w:val="21"/>
        </w:rPr>
        <w:t> </w:t>
      </w:r>
      <w:r>
        <w:rPr>
          <w:w w:val="105"/>
          <w:sz w:val="21"/>
        </w:rPr>
        <w:t>basis</w:t>
      </w:r>
      <w:r>
        <w:rPr>
          <w:spacing w:val="-8"/>
          <w:w w:val="105"/>
          <w:sz w:val="21"/>
        </w:rPr>
        <w:t> </w:t>
      </w:r>
      <w:r>
        <w:rPr>
          <w:w w:val="105"/>
          <w:sz w:val="21"/>
        </w:rPr>
        <w:t>of</w:t>
      </w:r>
      <w:r>
        <w:rPr>
          <w:spacing w:val="-9"/>
          <w:w w:val="105"/>
          <w:sz w:val="21"/>
        </w:rPr>
        <w:t> </w:t>
      </w:r>
      <w:r>
        <w:rPr>
          <w:w w:val="105"/>
          <w:sz w:val="21"/>
        </w:rPr>
        <w:t>new</w:t>
      </w:r>
      <w:r>
        <w:rPr>
          <w:spacing w:val="-8"/>
          <w:w w:val="105"/>
          <w:sz w:val="21"/>
        </w:rPr>
        <w:t> </w:t>
      </w:r>
      <w:r>
        <w:rPr>
          <w:spacing w:val="-3"/>
          <w:w w:val="105"/>
          <w:sz w:val="21"/>
        </w:rPr>
        <w:t>provisions</w:t>
      </w:r>
      <w:r>
        <w:rPr>
          <w:spacing w:val="-9"/>
          <w:w w:val="105"/>
          <w:sz w:val="21"/>
        </w:rPr>
        <w:t> </w:t>
      </w:r>
      <w:r>
        <w:rPr>
          <w:spacing w:val="-3"/>
          <w:w w:val="105"/>
          <w:sz w:val="21"/>
        </w:rPr>
        <w:t>for</w:t>
      </w:r>
      <w:r>
        <w:rPr>
          <w:spacing w:val="-8"/>
          <w:w w:val="105"/>
          <w:sz w:val="21"/>
        </w:rPr>
        <w:t> </w:t>
      </w:r>
      <w:r>
        <w:rPr>
          <w:spacing w:val="-3"/>
          <w:w w:val="105"/>
          <w:sz w:val="21"/>
        </w:rPr>
        <w:t>disclosure</w:t>
      </w:r>
      <w:r>
        <w:rPr>
          <w:spacing w:val="-9"/>
          <w:w w:val="105"/>
          <w:sz w:val="21"/>
        </w:rPr>
        <w:t> </w:t>
      </w:r>
      <w:r>
        <w:rPr>
          <w:spacing w:val="-3"/>
          <w:w w:val="105"/>
          <w:sz w:val="21"/>
        </w:rPr>
        <w:t>to</w:t>
      </w:r>
      <w:r>
        <w:rPr>
          <w:spacing w:val="-8"/>
          <w:w w:val="105"/>
          <w:sz w:val="21"/>
        </w:rPr>
        <w:t> </w:t>
      </w:r>
      <w:r>
        <w:rPr>
          <w:w w:val="105"/>
          <w:sz w:val="21"/>
        </w:rPr>
        <w:t>beneficiaries.</w:t>
      </w:r>
    </w:p>
    <w:p>
      <w:pPr>
        <w:pStyle w:val="BodyText"/>
        <w:rPr>
          <w:sz w:val="20"/>
        </w:rPr>
      </w:pPr>
    </w:p>
    <w:p>
      <w:pPr>
        <w:pStyle w:val="BodyText"/>
        <w:spacing w:before="3"/>
        <w:rPr>
          <w:sz w:val="14"/>
        </w:rPr>
      </w:pPr>
      <w:r>
        <w:rPr/>
        <w:pict>
          <v:line style="position:absolute;mso-position-horizontal-relative:page;mso-position-vertical-relative:paragraph;z-index:9368;mso-wrap-distance-left:0;mso-wrap-distance-right:0" from="79.370102pt,11.186866pt" to="515.905102pt,11.186866pt" stroked="true" strokeweight="1pt" strokecolor="#f9ceca">
            <v:stroke dashstyle="solid"/>
            <w10:wrap type="topAndBottom"/>
          </v:line>
        </w:pict>
      </w:r>
    </w:p>
    <w:p>
      <w:pPr>
        <w:pStyle w:val="BodyText"/>
        <w:spacing w:before="8"/>
        <w:rPr>
          <w:sz w:val="5"/>
        </w:rPr>
      </w:pPr>
    </w:p>
    <w:p>
      <w:pPr>
        <w:spacing w:after="0"/>
        <w:rPr>
          <w:sz w:val="5"/>
        </w:rPr>
        <w:sectPr>
          <w:pgSz w:w="11910" w:h="16840"/>
          <w:pgMar w:header="805" w:footer="0" w:top="1360" w:bottom="280" w:left="0" w:right="0"/>
        </w:sectPr>
      </w:pPr>
    </w:p>
    <w:p>
      <w:pPr>
        <w:pStyle w:val="ListParagraph"/>
        <w:numPr>
          <w:ilvl w:val="0"/>
          <w:numId w:val="119"/>
        </w:numPr>
        <w:tabs>
          <w:tab w:pos="2380" w:val="left" w:leader="none"/>
          <w:tab w:pos="2382" w:val="left" w:leader="none"/>
        </w:tabs>
        <w:spacing w:line="240" w:lineRule="auto" w:before="48" w:after="0"/>
        <w:ind w:left="2381" w:right="0" w:hanging="794"/>
        <w:jc w:val="left"/>
        <w:rPr>
          <w:sz w:val="13"/>
        </w:rPr>
      </w:pPr>
      <w:r>
        <w:rPr>
          <w:sz w:val="13"/>
        </w:rPr>
        <w:t>On completion of administration, the executor/trustee will be subject to the normal duties imposed by equity, including the duty to account              to beneficiaries for all receipts and</w:t>
      </w:r>
      <w:r>
        <w:rPr>
          <w:spacing w:val="11"/>
          <w:sz w:val="13"/>
        </w:rPr>
        <w:t> </w:t>
      </w:r>
      <w:r>
        <w:rPr>
          <w:sz w:val="13"/>
        </w:rPr>
        <w:t>disbursements.</w:t>
      </w:r>
    </w:p>
    <w:p>
      <w:pPr>
        <w:pStyle w:val="ListParagraph"/>
        <w:numPr>
          <w:ilvl w:val="0"/>
          <w:numId w:val="119"/>
        </w:numPr>
        <w:tabs>
          <w:tab w:pos="2380" w:val="left" w:leader="none"/>
          <w:tab w:pos="2382" w:val="left" w:leader="none"/>
        </w:tabs>
        <w:spacing w:line="240" w:lineRule="auto" w:before="3" w:after="0"/>
        <w:ind w:left="2381" w:right="0" w:hanging="794"/>
        <w:jc w:val="left"/>
        <w:rPr>
          <w:sz w:val="13"/>
        </w:rPr>
      </w:pPr>
      <w:r>
        <w:rPr>
          <w:w w:val="105"/>
          <w:sz w:val="13"/>
        </w:rPr>
        <w:t>Victorian Law Reform Commission, above n 33,</w:t>
      </w:r>
      <w:r>
        <w:rPr>
          <w:spacing w:val="2"/>
          <w:w w:val="105"/>
          <w:sz w:val="13"/>
        </w:rPr>
        <w:t> </w:t>
      </w:r>
      <w:r>
        <w:rPr>
          <w:w w:val="105"/>
          <w:sz w:val="13"/>
        </w:rPr>
        <w:t>35.</w:t>
      </w:r>
    </w:p>
    <w:p>
      <w:pPr>
        <w:pStyle w:val="ListParagraph"/>
        <w:numPr>
          <w:ilvl w:val="0"/>
          <w:numId w:val="119"/>
        </w:numPr>
        <w:tabs>
          <w:tab w:pos="2380" w:val="left" w:leader="none"/>
          <w:tab w:pos="2382" w:val="left" w:leader="none"/>
        </w:tabs>
        <w:spacing w:line="240" w:lineRule="auto" w:before="1" w:after="0"/>
        <w:ind w:left="2381" w:right="132" w:hanging="794"/>
        <w:jc w:val="left"/>
        <w:rPr>
          <w:sz w:val="13"/>
        </w:rPr>
      </w:pPr>
      <w:r>
        <w:rPr>
          <w:w w:val="105"/>
          <w:sz w:val="13"/>
        </w:rPr>
        <w:t>Submissions 1 </w:t>
      </w:r>
      <w:r>
        <w:rPr>
          <w:spacing w:val="2"/>
          <w:w w:val="105"/>
          <w:sz w:val="13"/>
        </w:rPr>
        <w:t>(Legal </w:t>
      </w:r>
      <w:r>
        <w:rPr>
          <w:w w:val="105"/>
          <w:sz w:val="13"/>
        </w:rPr>
        <w:t>Services Commissioner); 8 (Patricia Strachan); </w:t>
      </w:r>
      <w:r>
        <w:rPr>
          <w:spacing w:val="-3"/>
          <w:w w:val="105"/>
          <w:sz w:val="13"/>
        </w:rPr>
        <w:t>14 </w:t>
      </w:r>
      <w:r>
        <w:rPr>
          <w:w w:val="105"/>
          <w:sz w:val="13"/>
        </w:rPr>
        <w:t>(Commercial Bar </w:t>
      </w:r>
      <w:r>
        <w:rPr>
          <w:spacing w:val="2"/>
          <w:w w:val="105"/>
          <w:sz w:val="13"/>
        </w:rPr>
        <w:t>Association); </w:t>
      </w:r>
      <w:r>
        <w:rPr>
          <w:w w:val="105"/>
          <w:sz w:val="13"/>
        </w:rPr>
        <w:t>25 </w:t>
      </w:r>
      <w:r>
        <w:rPr>
          <w:spacing w:val="2"/>
          <w:w w:val="105"/>
          <w:sz w:val="13"/>
        </w:rPr>
        <w:t>(Moores </w:t>
      </w:r>
      <w:r>
        <w:rPr>
          <w:w w:val="105"/>
          <w:sz w:val="13"/>
        </w:rPr>
        <w:t>Legal); 26 </w:t>
      </w:r>
      <w:r>
        <w:rPr>
          <w:spacing w:val="2"/>
          <w:w w:val="105"/>
          <w:sz w:val="13"/>
        </w:rPr>
        <w:t>(Rigby </w:t>
      </w:r>
      <w:r>
        <w:rPr>
          <w:w w:val="105"/>
          <w:sz w:val="13"/>
        </w:rPr>
        <w:t>Cooke </w:t>
      </w:r>
      <w:r>
        <w:rPr>
          <w:spacing w:val="2"/>
          <w:w w:val="105"/>
          <w:sz w:val="13"/>
        </w:rPr>
        <w:t>Lawyers);</w:t>
      </w:r>
      <w:r>
        <w:rPr>
          <w:spacing w:val="4"/>
          <w:w w:val="105"/>
          <w:sz w:val="13"/>
        </w:rPr>
        <w:t> </w:t>
      </w:r>
      <w:r>
        <w:rPr>
          <w:w w:val="105"/>
          <w:sz w:val="13"/>
        </w:rPr>
        <w:t>30a</w:t>
      </w:r>
      <w:r>
        <w:rPr>
          <w:spacing w:val="4"/>
          <w:w w:val="105"/>
          <w:sz w:val="13"/>
        </w:rPr>
        <w:t> </w:t>
      </w:r>
      <w:r>
        <w:rPr>
          <w:spacing w:val="3"/>
          <w:w w:val="105"/>
          <w:sz w:val="13"/>
        </w:rPr>
        <w:t>(Law</w:t>
      </w:r>
      <w:r>
        <w:rPr>
          <w:spacing w:val="5"/>
          <w:w w:val="105"/>
          <w:sz w:val="13"/>
        </w:rPr>
        <w:t> </w:t>
      </w:r>
      <w:r>
        <w:rPr>
          <w:w w:val="105"/>
          <w:sz w:val="13"/>
        </w:rPr>
        <w:t>Institute</w:t>
      </w:r>
      <w:r>
        <w:rPr>
          <w:spacing w:val="4"/>
          <w:w w:val="105"/>
          <w:sz w:val="13"/>
        </w:rPr>
        <w:t> </w:t>
      </w:r>
      <w:r>
        <w:rPr>
          <w:w w:val="105"/>
          <w:sz w:val="13"/>
        </w:rPr>
        <w:t>of</w:t>
      </w:r>
      <w:r>
        <w:rPr>
          <w:spacing w:val="5"/>
          <w:w w:val="105"/>
          <w:sz w:val="13"/>
        </w:rPr>
        <w:t> </w:t>
      </w:r>
      <w:r>
        <w:rPr>
          <w:spacing w:val="2"/>
          <w:w w:val="105"/>
          <w:sz w:val="13"/>
        </w:rPr>
        <w:t>Victoria);</w:t>
      </w:r>
      <w:r>
        <w:rPr>
          <w:spacing w:val="4"/>
          <w:w w:val="105"/>
          <w:sz w:val="13"/>
        </w:rPr>
        <w:t> </w:t>
      </w:r>
      <w:r>
        <w:rPr>
          <w:w w:val="105"/>
          <w:sz w:val="13"/>
        </w:rPr>
        <w:t>33</w:t>
      </w:r>
      <w:r>
        <w:rPr>
          <w:spacing w:val="5"/>
          <w:w w:val="105"/>
          <w:sz w:val="13"/>
        </w:rPr>
        <w:t> </w:t>
      </w:r>
      <w:r>
        <w:rPr>
          <w:w w:val="105"/>
          <w:sz w:val="13"/>
        </w:rPr>
        <w:t>(State</w:t>
      </w:r>
      <w:r>
        <w:rPr>
          <w:spacing w:val="4"/>
          <w:w w:val="105"/>
          <w:sz w:val="13"/>
        </w:rPr>
        <w:t> </w:t>
      </w:r>
      <w:r>
        <w:rPr>
          <w:w w:val="105"/>
          <w:sz w:val="13"/>
        </w:rPr>
        <w:t>Trustees</w:t>
      </w:r>
      <w:r>
        <w:rPr>
          <w:spacing w:val="5"/>
          <w:w w:val="105"/>
          <w:sz w:val="13"/>
        </w:rPr>
        <w:t> </w:t>
      </w:r>
      <w:r>
        <w:rPr>
          <w:w w:val="105"/>
          <w:sz w:val="13"/>
        </w:rPr>
        <w:t>Limited);</w:t>
      </w:r>
      <w:r>
        <w:rPr>
          <w:spacing w:val="4"/>
          <w:w w:val="105"/>
          <w:sz w:val="13"/>
        </w:rPr>
        <w:t> </w:t>
      </w:r>
      <w:r>
        <w:rPr>
          <w:w w:val="105"/>
          <w:sz w:val="13"/>
        </w:rPr>
        <w:t>40</w:t>
      </w:r>
      <w:r>
        <w:rPr>
          <w:spacing w:val="5"/>
          <w:w w:val="105"/>
          <w:sz w:val="13"/>
        </w:rPr>
        <w:t> </w:t>
      </w:r>
      <w:r>
        <w:rPr>
          <w:w w:val="105"/>
          <w:sz w:val="13"/>
        </w:rPr>
        <w:t>(Janice</w:t>
      </w:r>
      <w:r>
        <w:rPr>
          <w:spacing w:val="4"/>
          <w:w w:val="105"/>
          <w:sz w:val="13"/>
        </w:rPr>
        <w:t> </w:t>
      </w:r>
      <w:r>
        <w:rPr>
          <w:w w:val="105"/>
          <w:sz w:val="13"/>
        </w:rPr>
        <w:t>Brownfoot);</w:t>
      </w:r>
      <w:r>
        <w:rPr>
          <w:spacing w:val="5"/>
          <w:w w:val="105"/>
          <w:sz w:val="13"/>
        </w:rPr>
        <w:t> </w:t>
      </w:r>
      <w:r>
        <w:rPr>
          <w:w w:val="105"/>
          <w:sz w:val="13"/>
        </w:rPr>
        <w:t>42a</w:t>
      </w:r>
      <w:r>
        <w:rPr>
          <w:spacing w:val="4"/>
          <w:w w:val="105"/>
          <w:sz w:val="13"/>
        </w:rPr>
        <w:t> </w:t>
      </w:r>
      <w:r>
        <w:rPr>
          <w:w w:val="105"/>
          <w:sz w:val="13"/>
        </w:rPr>
        <w:t>(Arnold</w:t>
      </w:r>
      <w:r>
        <w:rPr>
          <w:spacing w:val="5"/>
          <w:w w:val="105"/>
          <w:sz w:val="13"/>
        </w:rPr>
        <w:t> </w:t>
      </w:r>
      <w:r>
        <w:rPr>
          <w:w w:val="105"/>
          <w:sz w:val="13"/>
        </w:rPr>
        <w:t>Bloch</w:t>
      </w:r>
      <w:r>
        <w:rPr>
          <w:spacing w:val="4"/>
          <w:w w:val="105"/>
          <w:sz w:val="13"/>
        </w:rPr>
        <w:t> </w:t>
      </w:r>
      <w:r>
        <w:rPr>
          <w:w w:val="105"/>
          <w:sz w:val="13"/>
        </w:rPr>
        <w:t>Leibler).</w:t>
      </w:r>
    </w:p>
    <w:p>
      <w:pPr>
        <w:pStyle w:val="ListParagraph"/>
        <w:numPr>
          <w:ilvl w:val="0"/>
          <w:numId w:val="119"/>
        </w:numPr>
        <w:tabs>
          <w:tab w:pos="2380" w:val="left" w:leader="none"/>
          <w:tab w:pos="2382" w:val="left" w:leader="none"/>
        </w:tabs>
        <w:spacing w:line="240" w:lineRule="auto" w:before="3" w:after="0"/>
        <w:ind w:left="2381" w:right="0" w:hanging="794"/>
        <w:jc w:val="left"/>
        <w:rPr>
          <w:sz w:val="13"/>
        </w:rPr>
      </w:pPr>
      <w:r>
        <w:rPr>
          <w:w w:val="105"/>
          <w:sz w:val="13"/>
        </w:rPr>
        <w:t>Submission 8 (Patricia</w:t>
      </w:r>
      <w:r>
        <w:rPr>
          <w:spacing w:val="13"/>
          <w:w w:val="105"/>
          <w:sz w:val="13"/>
        </w:rPr>
        <w:t> </w:t>
      </w:r>
      <w:r>
        <w:rPr>
          <w:w w:val="105"/>
          <w:sz w:val="13"/>
        </w:rPr>
        <w:t>Strachan).</w:t>
      </w:r>
    </w:p>
    <w:p>
      <w:pPr>
        <w:pStyle w:val="ListParagraph"/>
        <w:numPr>
          <w:ilvl w:val="0"/>
          <w:numId w:val="119"/>
        </w:numPr>
        <w:tabs>
          <w:tab w:pos="2380" w:val="left" w:leader="none"/>
          <w:tab w:pos="2382" w:val="left" w:leader="none"/>
        </w:tabs>
        <w:spacing w:line="240" w:lineRule="auto" w:before="1" w:after="0"/>
        <w:ind w:left="2381" w:right="0" w:hanging="794"/>
        <w:jc w:val="left"/>
        <w:rPr>
          <w:sz w:val="13"/>
        </w:rPr>
      </w:pPr>
      <w:r>
        <w:rPr>
          <w:w w:val="105"/>
          <w:sz w:val="13"/>
        </w:rPr>
        <w:t>Submission 26 </w:t>
      </w:r>
      <w:r>
        <w:rPr>
          <w:spacing w:val="2"/>
          <w:w w:val="105"/>
          <w:sz w:val="13"/>
        </w:rPr>
        <w:t>(Rigby </w:t>
      </w:r>
      <w:r>
        <w:rPr>
          <w:w w:val="105"/>
          <w:sz w:val="13"/>
        </w:rPr>
        <w:t>Cooke</w:t>
      </w:r>
      <w:r>
        <w:rPr>
          <w:spacing w:val="26"/>
          <w:w w:val="105"/>
          <w:sz w:val="13"/>
        </w:rPr>
        <w:t> </w:t>
      </w:r>
      <w:r>
        <w:rPr>
          <w:spacing w:val="2"/>
          <w:w w:val="105"/>
          <w:sz w:val="13"/>
        </w:rPr>
        <w:t>Lawyers).</w:t>
      </w:r>
    </w:p>
    <w:p>
      <w:pPr>
        <w:pStyle w:val="ListParagraph"/>
        <w:numPr>
          <w:ilvl w:val="0"/>
          <w:numId w:val="119"/>
        </w:numPr>
        <w:tabs>
          <w:tab w:pos="2380" w:val="left" w:leader="none"/>
          <w:tab w:pos="2382" w:val="left" w:leader="none"/>
        </w:tabs>
        <w:spacing w:line="240" w:lineRule="auto" w:before="1" w:after="0"/>
        <w:ind w:left="2381" w:right="0" w:hanging="794"/>
        <w:jc w:val="left"/>
        <w:rPr>
          <w:sz w:val="13"/>
        </w:rPr>
      </w:pPr>
      <w:r>
        <w:rPr>
          <w:w w:val="105"/>
          <w:sz w:val="13"/>
        </w:rPr>
        <w:t>Submission 33 (State Trustees</w:t>
      </w:r>
      <w:r>
        <w:rPr>
          <w:spacing w:val="13"/>
          <w:w w:val="105"/>
          <w:sz w:val="13"/>
        </w:rPr>
        <w:t> </w:t>
      </w:r>
      <w:r>
        <w:rPr>
          <w:w w:val="105"/>
          <w:sz w:val="13"/>
        </w:rPr>
        <w:t>Limited).</w:t>
      </w:r>
    </w:p>
    <w:p>
      <w:pPr>
        <w:pStyle w:val="ListParagraph"/>
        <w:numPr>
          <w:ilvl w:val="0"/>
          <w:numId w:val="119"/>
        </w:numPr>
        <w:tabs>
          <w:tab w:pos="2380" w:val="left" w:leader="none"/>
          <w:tab w:pos="2382" w:val="left" w:leader="none"/>
        </w:tabs>
        <w:spacing w:line="240" w:lineRule="auto" w:before="2" w:after="0"/>
        <w:ind w:left="2381" w:right="0" w:hanging="794"/>
        <w:jc w:val="left"/>
        <w:rPr>
          <w:sz w:val="13"/>
        </w:rPr>
      </w:pPr>
      <w:r>
        <w:rPr>
          <w:w w:val="105"/>
          <w:sz w:val="13"/>
        </w:rPr>
        <w:t>Submission 30a </w:t>
      </w:r>
      <w:r>
        <w:rPr>
          <w:spacing w:val="3"/>
          <w:w w:val="105"/>
          <w:sz w:val="13"/>
        </w:rPr>
        <w:t>(Law </w:t>
      </w:r>
      <w:r>
        <w:rPr>
          <w:w w:val="105"/>
          <w:sz w:val="13"/>
        </w:rPr>
        <w:t>Institute of</w:t>
      </w:r>
      <w:r>
        <w:rPr>
          <w:spacing w:val="19"/>
          <w:w w:val="105"/>
          <w:sz w:val="13"/>
        </w:rPr>
        <w:t> </w:t>
      </w:r>
      <w:r>
        <w:rPr>
          <w:spacing w:val="2"/>
          <w:w w:val="105"/>
          <w:sz w:val="13"/>
        </w:rPr>
        <w:t>Victoria).</w:t>
      </w:r>
    </w:p>
    <w:p>
      <w:pPr>
        <w:pStyle w:val="ListParagraph"/>
        <w:numPr>
          <w:ilvl w:val="0"/>
          <w:numId w:val="119"/>
        </w:numPr>
        <w:tabs>
          <w:tab w:pos="2380" w:val="left" w:leader="none"/>
          <w:tab w:pos="2382" w:val="left" w:leader="none"/>
        </w:tabs>
        <w:spacing w:line="240" w:lineRule="auto" w:before="1" w:after="0"/>
        <w:ind w:left="2381" w:right="0" w:hanging="794"/>
        <w:jc w:val="left"/>
        <w:rPr>
          <w:sz w:val="13"/>
        </w:rPr>
      </w:pPr>
      <w:r>
        <w:rPr>
          <w:sz w:val="13"/>
        </w:rPr>
        <w:t>This</w:t>
      </w:r>
      <w:r>
        <w:rPr>
          <w:spacing w:val="7"/>
          <w:sz w:val="13"/>
        </w:rPr>
        <w:t> </w:t>
      </w:r>
      <w:r>
        <w:rPr>
          <w:sz w:val="13"/>
        </w:rPr>
        <w:t>idea</w:t>
      </w:r>
      <w:r>
        <w:rPr>
          <w:spacing w:val="7"/>
          <w:sz w:val="13"/>
        </w:rPr>
        <w:t> </w:t>
      </w:r>
      <w:r>
        <w:rPr>
          <w:sz w:val="13"/>
        </w:rPr>
        <w:t>was</w:t>
      </w:r>
      <w:r>
        <w:rPr>
          <w:spacing w:val="8"/>
          <w:sz w:val="13"/>
        </w:rPr>
        <w:t> </w:t>
      </w:r>
      <w:r>
        <w:rPr>
          <w:sz w:val="13"/>
        </w:rPr>
        <w:t>also</w:t>
      </w:r>
      <w:r>
        <w:rPr>
          <w:spacing w:val="7"/>
          <w:sz w:val="13"/>
        </w:rPr>
        <w:t> </w:t>
      </w:r>
      <w:r>
        <w:rPr>
          <w:sz w:val="13"/>
        </w:rPr>
        <w:t>proposed</w:t>
      </w:r>
      <w:r>
        <w:rPr>
          <w:spacing w:val="8"/>
          <w:sz w:val="13"/>
        </w:rPr>
        <w:t> </w:t>
      </w:r>
      <w:r>
        <w:rPr>
          <w:sz w:val="13"/>
        </w:rPr>
        <w:t>by</w:t>
      </w:r>
      <w:r>
        <w:rPr>
          <w:spacing w:val="7"/>
          <w:sz w:val="13"/>
        </w:rPr>
        <w:t> </w:t>
      </w:r>
      <w:r>
        <w:rPr>
          <w:sz w:val="13"/>
        </w:rPr>
        <w:t>submission</w:t>
      </w:r>
      <w:r>
        <w:rPr>
          <w:spacing w:val="8"/>
          <w:sz w:val="13"/>
        </w:rPr>
        <w:t> </w:t>
      </w:r>
      <w:r>
        <w:rPr>
          <w:sz w:val="13"/>
        </w:rPr>
        <w:t>42a</w:t>
      </w:r>
      <w:r>
        <w:rPr>
          <w:spacing w:val="7"/>
          <w:sz w:val="13"/>
        </w:rPr>
        <w:t> </w:t>
      </w:r>
      <w:r>
        <w:rPr>
          <w:sz w:val="13"/>
        </w:rPr>
        <w:t>(Arnold</w:t>
      </w:r>
      <w:r>
        <w:rPr>
          <w:spacing w:val="8"/>
          <w:sz w:val="13"/>
        </w:rPr>
        <w:t> </w:t>
      </w:r>
      <w:r>
        <w:rPr>
          <w:sz w:val="13"/>
        </w:rPr>
        <w:t>Bloch</w:t>
      </w:r>
      <w:r>
        <w:rPr>
          <w:spacing w:val="7"/>
          <w:sz w:val="13"/>
        </w:rPr>
        <w:t> </w:t>
      </w:r>
      <w:r>
        <w:rPr>
          <w:sz w:val="13"/>
        </w:rPr>
        <w:t>Leibler).</w:t>
      </w:r>
    </w:p>
    <w:p>
      <w:pPr>
        <w:pStyle w:val="ListParagraph"/>
        <w:numPr>
          <w:ilvl w:val="0"/>
          <w:numId w:val="119"/>
        </w:numPr>
        <w:tabs>
          <w:tab w:pos="2380" w:val="left" w:leader="none"/>
          <w:tab w:pos="2382" w:val="left" w:leader="none"/>
        </w:tabs>
        <w:spacing w:line="240" w:lineRule="auto" w:before="1" w:after="0"/>
        <w:ind w:left="2381" w:right="0" w:hanging="794"/>
        <w:jc w:val="left"/>
        <w:rPr>
          <w:sz w:val="13"/>
        </w:rPr>
      </w:pPr>
      <w:r>
        <w:rPr>
          <w:w w:val="105"/>
          <w:sz w:val="13"/>
        </w:rPr>
        <w:t>Submission 30a </w:t>
      </w:r>
      <w:r>
        <w:rPr>
          <w:spacing w:val="3"/>
          <w:w w:val="105"/>
          <w:sz w:val="13"/>
        </w:rPr>
        <w:t>(Law </w:t>
      </w:r>
      <w:r>
        <w:rPr>
          <w:w w:val="105"/>
          <w:sz w:val="13"/>
        </w:rPr>
        <w:t>Institute of</w:t>
      </w:r>
      <w:r>
        <w:rPr>
          <w:spacing w:val="19"/>
          <w:w w:val="105"/>
          <w:sz w:val="13"/>
        </w:rPr>
        <w:t> </w:t>
      </w:r>
      <w:r>
        <w:rPr>
          <w:spacing w:val="2"/>
          <w:w w:val="105"/>
          <w:sz w:val="13"/>
        </w:rPr>
        <w:t>Victoria).</w:t>
      </w:r>
    </w:p>
    <w:p>
      <w:pPr>
        <w:pStyle w:val="ListParagraph"/>
        <w:numPr>
          <w:ilvl w:val="0"/>
          <w:numId w:val="119"/>
        </w:numPr>
        <w:tabs>
          <w:tab w:pos="2380" w:val="left" w:leader="none"/>
          <w:tab w:pos="2382" w:val="left" w:leader="none"/>
        </w:tabs>
        <w:spacing w:line="240" w:lineRule="auto" w:before="2" w:after="0"/>
        <w:ind w:left="2381" w:right="0" w:hanging="794"/>
        <w:jc w:val="left"/>
        <w:rPr>
          <w:sz w:val="13"/>
        </w:rPr>
      </w:pPr>
      <w:r>
        <w:rPr>
          <w:w w:val="105"/>
          <w:sz w:val="13"/>
        </w:rPr>
        <w:t>Submission 25 </w:t>
      </w:r>
      <w:r>
        <w:rPr>
          <w:spacing w:val="2"/>
          <w:w w:val="105"/>
          <w:sz w:val="13"/>
        </w:rPr>
        <w:t>(Moores</w:t>
      </w:r>
      <w:r>
        <w:rPr>
          <w:spacing w:val="13"/>
          <w:w w:val="105"/>
          <w:sz w:val="13"/>
        </w:rPr>
        <w:t> </w:t>
      </w:r>
      <w:r>
        <w:rPr>
          <w:w w:val="105"/>
          <w:sz w:val="13"/>
        </w:rPr>
        <w:t>Legal).</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spacing w:before="6"/>
        <w:rPr>
          <w:sz w:val="27"/>
        </w:rPr>
      </w:pPr>
    </w:p>
    <w:p>
      <w:pPr>
        <w:spacing w:before="0"/>
        <w:ind w:left="559" w:right="573" w:firstLine="0"/>
        <w:jc w:val="center"/>
        <w:rPr>
          <w:b/>
          <w:sz w:val="24"/>
        </w:rPr>
      </w:pPr>
      <w:r>
        <w:rPr>
          <w:b/>
          <w:color w:val="EC5A4F"/>
          <w:w w:val="110"/>
          <w:sz w:val="24"/>
        </w:rPr>
        <w:t>155</w:t>
      </w:r>
    </w:p>
    <w:p>
      <w:pPr>
        <w:spacing w:after="0"/>
        <w:jc w:val="center"/>
        <w:rPr>
          <w:sz w:val="24"/>
        </w:rPr>
        <w:sectPr>
          <w:type w:val="continuous"/>
          <w:pgSz w:w="11910" w:h="16840"/>
          <w:pgMar w:top="920" w:bottom="280" w:left="0" w:right="0"/>
          <w:cols w:num="2" w:equalWidth="0">
            <w:col w:w="10295" w:space="40"/>
            <w:col w:w="1575"/>
          </w:cols>
        </w:sectPr>
      </w:pPr>
    </w:p>
    <w:p>
      <w:pPr>
        <w:pStyle w:val="BodyText"/>
        <w:rPr>
          <w:b/>
          <w:sz w:val="20"/>
        </w:rPr>
      </w:pPr>
    </w:p>
    <w:p>
      <w:pPr>
        <w:pStyle w:val="BodyText"/>
        <w:spacing w:before="3"/>
        <w:rPr>
          <w:b/>
          <w:sz w:val="19"/>
        </w:rPr>
      </w:pPr>
    </w:p>
    <w:p>
      <w:pPr>
        <w:spacing w:before="99"/>
        <w:ind w:left="1814" w:right="0" w:firstLine="0"/>
        <w:jc w:val="left"/>
        <w:rPr>
          <w:b/>
          <w:sz w:val="32"/>
        </w:rPr>
      </w:pPr>
      <w:r>
        <w:rPr/>
        <w:pict>
          <v:group style="position:absolute;margin-left:62.362202pt;margin-top:-3.345896pt;width:479.1pt;height:539.550pt;mso-position-horizontal-relative:page;mso-position-vertical-relative:paragraph;z-index:-297016" coordorigin="1247,-67" coordsize="9582,10791">
            <v:rect style="position:absolute;left:1587;top:-67;width:8731;height:10791" filled="true" fillcolor="#fdebea" stroked="false">
              <v:fill type="solid"/>
            </v:rect>
            <v:line style="position:absolute" from="1247,684" to="10828,684" stroked="true" strokeweight="2.5pt" strokecolor="#ffffff">
              <v:stroke dashstyle="solid"/>
            </v:line>
            <w10:wrap type="none"/>
          </v:group>
        </w:pict>
      </w:r>
      <w:r>
        <w:rPr>
          <w:b/>
          <w:color w:val="EC5A4F"/>
          <w:w w:val="110"/>
          <w:sz w:val="32"/>
        </w:rPr>
        <w:t>Recommendations</w:t>
      </w:r>
    </w:p>
    <w:p>
      <w:pPr>
        <w:pStyle w:val="BodyText"/>
        <w:rPr>
          <w:b/>
          <w:sz w:val="35"/>
        </w:rPr>
      </w:pPr>
    </w:p>
    <w:p>
      <w:pPr>
        <w:pStyle w:val="ListParagraph"/>
        <w:numPr>
          <w:ilvl w:val="1"/>
          <w:numId w:val="119"/>
        </w:numPr>
        <w:tabs>
          <w:tab w:pos="2381" w:val="left" w:leader="none"/>
          <w:tab w:pos="2382" w:val="left" w:leader="none"/>
        </w:tabs>
        <w:spacing w:line="242" w:lineRule="auto" w:before="0" w:after="0"/>
        <w:ind w:left="2381" w:right="1960" w:hanging="567"/>
        <w:jc w:val="left"/>
        <w:rPr>
          <w:sz w:val="21"/>
        </w:rPr>
      </w:pPr>
      <w:r>
        <w:rPr>
          <w:w w:val="110"/>
          <w:sz w:val="21"/>
        </w:rPr>
        <w:t>Legal practitioner executors should be required to disclose to beneficiaries details about their charges to the estate  for  executorial  and  legal  services, and associated information, along the lines currently required by section 3.4.9 of</w:t>
      </w:r>
      <w:r>
        <w:rPr>
          <w:spacing w:val="-16"/>
          <w:w w:val="110"/>
          <w:sz w:val="21"/>
        </w:rPr>
        <w:t> </w:t>
      </w:r>
      <w:r>
        <w:rPr>
          <w:w w:val="110"/>
          <w:sz w:val="21"/>
        </w:rPr>
        <w:t>the</w:t>
      </w:r>
      <w:r>
        <w:rPr>
          <w:spacing w:val="-16"/>
          <w:w w:val="110"/>
          <w:sz w:val="21"/>
        </w:rPr>
        <w:t> </w:t>
      </w:r>
      <w:r>
        <w:rPr>
          <w:rFonts w:ascii="Lucida Sans"/>
          <w:i/>
          <w:w w:val="110"/>
          <w:sz w:val="21"/>
        </w:rPr>
        <w:t>Legal</w:t>
      </w:r>
      <w:r>
        <w:rPr>
          <w:rFonts w:ascii="Lucida Sans"/>
          <w:i/>
          <w:spacing w:val="-37"/>
          <w:w w:val="110"/>
          <w:sz w:val="21"/>
        </w:rPr>
        <w:t> </w:t>
      </w:r>
      <w:r>
        <w:rPr>
          <w:rFonts w:ascii="Lucida Sans"/>
          <w:i/>
          <w:w w:val="110"/>
          <w:sz w:val="21"/>
        </w:rPr>
        <w:t>Profession</w:t>
      </w:r>
      <w:r>
        <w:rPr>
          <w:rFonts w:ascii="Lucida Sans"/>
          <w:i/>
          <w:spacing w:val="-37"/>
          <w:w w:val="110"/>
          <w:sz w:val="21"/>
        </w:rPr>
        <w:t> </w:t>
      </w:r>
      <w:r>
        <w:rPr>
          <w:rFonts w:ascii="Lucida Sans"/>
          <w:i/>
          <w:w w:val="110"/>
          <w:sz w:val="21"/>
        </w:rPr>
        <w:t>Act</w:t>
      </w:r>
      <w:r>
        <w:rPr>
          <w:rFonts w:ascii="Lucida Sans"/>
          <w:i/>
          <w:spacing w:val="-37"/>
          <w:w w:val="110"/>
          <w:sz w:val="21"/>
        </w:rPr>
        <w:t> </w:t>
      </w:r>
      <w:r>
        <w:rPr>
          <w:rFonts w:ascii="Lucida Sans"/>
          <w:i/>
          <w:w w:val="110"/>
          <w:sz w:val="21"/>
        </w:rPr>
        <w:t>2004</w:t>
      </w:r>
      <w:r>
        <w:rPr>
          <w:rFonts w:ascii="Lucida Sans"/>
          <w:i/>
          <w:spacing w:val="-36"/>
          <w:w w:val="110"/>
          <w:sz w:val="21"/>
        </w:rPr>
        <w:t> </w:t>
      </w:r>
      <w:r>
        <w:rPr>
          <w:w w:val="110"/>
          <w:sz w:val="21"/>
        </w:rPr>
        <w:t>(Vic)</w:t>
      </w:r>
      <w:r>
        <w:rPr>
          <w:spacing w:val="-16"/>
          <w:w w:val="110"/>
          <w:sz w:val="21"/>
        </w:rPr>
        <w:t> </w:t>
      </w:r>
      <w:r>
        <w:rPr>
          <w:w w:val="110"/>
          <w:sz w:val="21"/>
        </w:rPr>
        <w:t>in</w:t>
      </w:r>
      <w:r>
        <w:rPr>
          <w:spacing w:val="-16"/>
          <w:w w:val="110"/>
          <w:sz w:val="21"/>
        </w:rPr>
        <w:t> </w:t>
      </w:r>
      <w:r>
        <w:rPr>
          <w:w w:val="110"/>
          <w:sz w:val="21"/>
        </w:rPr>
        <w:t>respect</w:t>
      </w:r>
      <w:r>
        <w:rPr>
          <w:spacing w:val="-16"/>
          <w:w w:val="110"/>
          <w:sz w:val="21"/>
        </w:rPr>
        <w:t> </w:t>
      </w:r>
      <w:r>
        <w:rPr>
          <w:w w:val="110"/>
          <w:sz w:val="21"/>
        </w:rPr>
        <w:t>of</w:t>
      </w:r>
      <w:r>
        <w:rPr>
          <w:spacing w:val="-16"/>
          <w:w w:val="110"/>
          <w:sz w:val="21"/>
        </w:rPr>
        <w:t> </w:t>
      </w:r>
      <w:r>
        <w:rPr>
          <w:w w:val="110"/>
          <w:sz w:val="21"/>
        </w:rPr>
        <w:t>costs</w:t>
      </w:r>
      <w:r>
        <w:rPr>
          <w:spacing w:val="-16"/>
          <w:w w:val="110"/>
          <w:sz w:val="21"/>
        </w:rPr>
        <w:t> </w:t>
      </w:r>
      <w:r>
        <w:rPr>
          <w:w w:val="110"/>
          <w:sz w:val="21"/>
        </w:rPr>
        <w:t>disclosure</w:t>
      </w:r>
      <w:r>
        <w:rPr>
          <w:spacing w:val="-16"/>
          <w:w w:val="110"/>
          <w:sz w:val="21"/>
        </w:rPr>
        <w:t> </w:t>
      </w:r>
      <w:r>
        <w:rPr>
          <w:w w:val="110"/>
          <w:sz w:val="21"/>
        </w:rPr>
        <w:t>to</w:t>
      </w:r>
      <w:r>
        <w:rPr>
          <w:spacing w:val="-15"/>
          <w:w w:val="110"/>
          <w:sz w:val="21"/>
        </w:rPr>
        <w:t> </w:t>
      </w:r>
      <w:r>
        <w:rPr>
          <w:w w:val="110"/>
          <w:sz w:val="21"/>
        </w:rPr>
        <w:t>clients. In</w:t>
      </w:r>
      <w:r>
        <w:rPr>
          <w:spacing w:val="3"/>
          <w:w w:val="110"/>
          <w:sz w:val="21"/>
        </w:rPr>
        <w:t> </w:t>
      </w:r>
      <w:r>
        <w:rPr>
          <w:w w:val="110"/>
          <w:sz w:val="21"/>
        </w:rPr>
        <w:t>particular:</w:t>
      </w:r>
    </w:p>
    <w:p>
      <w:pPr>
        <w:pStyle w:val="ListParagraph"/>
        <w:numPr>
          <w:ilvl w:val="2"/>
          <w:numId w:val="119"/>
        </w:numPr>
        <w:tabs>
          <w:tab w:pos="2722" w:val="left" w:leader="none"/>
        </w:tabs>
        <w:spacing w:line="240" w:lineRule="auto" w:before="122" w:after="0"/>
        <w:ind w:left="2721" w:right="0" w:hanging="340"/>
        <w:jc w:val="left"/>
        <w:rPr>
          <w:sz w:val="21"/>
        </w:rPr>
      </w:pPr>
      <w:r>
        <w:rPr>
          <w:w w:val="115"/>
          <w:sz w:val="21"/>
        </w:rPr>
        <w:t>Costs disclosure to beneficiaries should be</w:t>
      </w:r>
      <w:r>
        <w:rPr>
          <w:spacing w:val="-4"/>
          <w:w w:val="115"/>
          <w:sz w:val="21"/>
        </w:rPr>
        <w:t> </w:t>
      </w:r>
      <w:r>
        <w:rPr>
          <w:w w:val="115"/>
          <w:sz w:val="21"/>
        </w:rPr>
        <w:t>required:</w:t>
      </w:r>
    </w:p>
    <w:p>
      <w:pPr>
        <w:pStyle w:val="ListParagraph"/>
        <w:numPr>
          <w:ilvl w:val="3"/>
          <w:numId w:val="119"/>
        </w:numPr>
        <w:tabs>
          <w:tab w:pos="3254" w:val="left" w:leader="none"/>
          <w:tab w:pos="3255" w:val="left" w:leader="none"/>
        </w:tabs>
        <w:spacing w:line="242" w:lineRule="auto" w:before="124" w:after="0"/>
        <w:ind w:left="3254" w:right="2402" w:hanging="533"/>
        <w:jc w:val="left"/>
        <w:rPr>
          <w:sz w:val="21"/>
        </w:rPr>
      </w:pPr>
      <w:r>
        <w:rPr>
          <w:w w:val="115"/>
          <w:sz w:val="21"/>
        </w:rPr>
        <w:t>as</w:t>
      </w:r>
      <w:r>
        <w:rPr>
          <w:spacing w:val="-8"/>
          <w:w w:val="115"/>
          <w:sz w:val="21"/>
        </w:rPr>
        <w:t> </w:t>
      </w:r>
      <w:r>
        <w:rPr>
          <w:w w:val="115"/>
          <w:sz w:val="21"/>
        </w:rPr>
        <w:t>soon</w:t>
      </w:r>
      <w:r>
        <w:rPr>
          <w:spacing w:val="-8"/>
          <w:w w:val="115"/>
          <w:sz w:val="21"/>
        </w:rPr>
        <w:t> </w:t>
      </w:r>
      <w:r>
        <w:rPr>
          <w:w w:val="115"/>
          <w:sz w:val="21"/>
        </w:rPr>
        <w:t>as</w:t>
      </w:r>
      <w:r>
        <w:rPr>
          <w:spacing w:val="-7"/>
          <w:w w:val="115"/>
          <w:sz w:val="21"/>
        </w:rPr>
        <w:t> </w:t>
      </w:r>
      <w:r>
        <w:rPr>
          <w:w w:val="115"/>
          <w:sz w:val="21"/>
        </w:rPr>
        <w:t>practicable</w:t>
      </w:r>
      <w:r>
        <w:rPr>
          <w:spacing w:val="-8"/>
          <w:w w:val="115"/>
          <w:sz w:val="21"/>
        </w:rPr>
        <w:t> </w:t>
      </w:r>
      <w:r>
        <w:rPr>
          <w:w w:val="115"/>
          <w:sz w:val="21"/>
        </w:rPr>
        <w:t>after</w:t>
      </w:r>
      <w:r>
        <w:rPr>
          <w:spacing w:val="-7"/>
          <w:w w:val="115"/>
          <w:sz w:val="21"/>
        </w:rPr>
        <w:t> </w:t>
      </w:r>
      <w:r>
        <w:rPr>
          <w:w w:val="115"/>
          <w:sz w:val="21"/>
        </w:rPr>
        <w:t>the</w:t>
      </w:r>
      <w:r>
        <w:rPr>
          <w:spacing w:val="-8"/>
          <w:w w:val="115"/>
          <w:sz w:val="21"/>
        </w:rPr>
        <w:t> </w:t>
      </w:r>
      <w:r>
        <w:rPr>
          <w:w w:val="115"/>
          <w:sz w:val="21"/>
        </w:rPr>
        <w:t>law</w:t>
      </w:r>
      <w:r>
        <w:rPr>
          <w:spacing w:val="-7"/>
          <w:w w:val="115"/>
          <w:sz w:val="21"/>
        </w:rPr>
        <w:t> </w:t>
      </w:r>
      <w:r>
        <w:rPr>
          <w:w w:val="115"/>
          <w:sz w:val="21"/>
        </w:rPr>
        <w:t>practice</w:t>
      </w:r>
      <w:r>
        <w:rPr>
          <w:spacing w:val="-8"/>
          <w:w w:val="115"/>
          <w:sz w:val="21"/>
        </w:rPr>
        <w:t> </w:t>
      </w:r>
      <w:r>
        <w:rPr>
          <w:w w:val="115"/>
          <w:sz w:val="21"/>
        </w:rPr>
        <w:t>or</w:t>
      </w:r>
      <w:r>
        <w:rPr>
          <w:spacing w:val="-7"/>
          <w:w w:val="115"/>
          <w:sz w:val="21"/>
        </w:rPr>
        <w:t> </w:t>
      </w:r>
      <w:r>
        <w:rPr>
          <w:w w:val="115"/>
          <w:sz w:val="21"/>
        </w:rPr>
        <w:t>legal</w:t>
      </w:r>
      <w:r>
        <w:rPr>
          <w:spacing w:val="-8"/>
          <w:w w:val="115"/>
          <w:sz w:val="21"/>
        </w:rPr>
        <w:t> </w:t>
      </w:r>
      <w:r>
        <w:rPr>
          <w:w w:val="115"/>
          <w:sz w:val="21"/>
        </w:rPr>
        <w:t>practitioner commences in the position of</w:t>
      </w:r>
      <w:r>
        <w:rPr>
          <w:spacing w:val="-5"/>
          <w:w w:val="115"/>
          <w:sz w:val="21"/>
        </w:rPr>
        <w:t> </w:t>
      </w:r>
      <w:r>
        <w:rPr>
          <w:w w:val="115"/>
          <w:sz w:val="21"/>
        </w:rPr>
        <w:t>executor</w:t>
      </w:r>
    </w:p>
    <w:p>
      <w:pPr>
        <w:pStyle w:val="ListParagraph"/>
        <w:numPr>
          <w:ilvl w:val="3"/>
          <w:numId w:val="119"/>
        </w:numPr>
        <w:tabs>
          <w:tab w:pos="3254" w:val="left" w:leader="none"/>
          <w:tab w:pos="3255" w:val="left" w:leader="none"/>
        </w:tabs>
        <w:spacing w:line="242" w:lineRule="auto" w:before="122" w:after="0"/>
        <w:ind w:left="3254" w:right="2402" w:hanging="533"/>
        <w:jc w:val="left"/>
        <w:rPr>
          <w:sz w:val="21"/>
        </w:rPr>
      </w:pPr>
      <w:r>
        <w:rPr>
          <w:w w:val="115"/>
          <w:sz w:val="21"/>
        </w:rPr>
        <w:t>as</w:t>
      </w:r>
      <w:r>
        <w:rPr>
          <w:spacing w:val="-8"/>
          <w:w w:val="115"/>
          <w:sz w:val="21"/>
        </w:rPr>
        <w:t> </w:t>
      </w:r>
      <w:r>
        <w:rPr>
          <w:w w:val="115"/>
          <w:sz w:val="21"/>
        </w:rPr>
        <w:t>soon</w:t>
      </w:r>
      <w:r>
        <w:rPr>
          <w:spacing w:val="-8"/>
          <w:w w:val="115"/>
          <w:sz w:val="21"/>
        </w:rPr>
        <w:t> </w:t>
      </w:r>
      <w:r>
        <w:rPr>
          <w:w w:val="115"/>
          <w:sz w:val="21"/>
        </w:rPr>
        <w:t>as</w:t>
      </w:r>
      <w:r>
        <w:rPr>
          <w:spacing w:val="-7"/>
          <w:w w:val="115"/>
          <w:sz w:val="21"/>
        </w:rPr>
        <w:t> </w:t>
      </w:r>
      <w:r>
        <w:rPr>
          <w:w w:val="115"/>
          <w:sz w:val="21"/>
        </w:rPr>
        <w:t>practicable</w:t>
      </w:r>
      <w:r>
        <w:rPr>
          <w:spacing w:val="-8"/>
          <w:w w:val="115"/>
          <w:sz w:val="21"/>
        </w:rPr>
        <w:t> </w:t>
      </w:r>
      <w:r>
        <w:rPr>
          <w:w w:val="115"/>
          <w:sz w:val="21"/>
        </w:rPr>
        <w:t>after</w:t>
      </w:r>
      <w:r>
        <w:rPr>
          <w:spacing w:val="-7"/>
          <w:w w:val="115"/>
          <w:sz w:val="21"/>
        </w:rPr>
        <w:t> </w:t>
      </w:r>
      <w:r>
        <w:rPr>
          <w:w w:val="115"/>
          <w:sz w:val="21"/>
        </w:rPr>
        <w:t>the</w:t>
      </w:r>
      <w:r>
        <w:rPr>
          <w:spacing w:val="-8"/>
          <w:w w:val="115"/>
          <w:sz w:val="21"/>
        </w:rPr>
        <w:t> </w:t>
      </w:r>
      <w:r>
        <w:rPr>
          <w:w w:val="115"/>
          <w:sz w:val="21"/>
        </w:rPr>
        <w:t>law</w:t>
      </w:r>
      <w:r>
        <w:rPr>
          <w:spacing w:val="-7"/>
          <w:w w:val="115"/>
          <w:sz w:val="21"/>
        </w:rPr>
        <w:t> </w:t>
      </w:r>
      <w:r>
        <w:rPr>
          <w:w w:val="115"/>
          <w:sz w:val="21"/>
        </w:rPr>
        <w:t>practice</w:t>
      </w:r>
      <w:r>
        <w:rPr>
          <w:spacing w:val="-8"/>
          <w:w w:val="115"/>
          <w:sz w:val="21"/>
        </w:rPr>
        <w:t> </w:t>
      </w:r>
      <w:r>
        <w:rPr>
          <w:w w:val="115"/>
          <w:sz w:val="21"/>
        </w:rPr>
        <w:t>or</w:t>
      </w:r>
      <w:r>
        <w:rPr>
          <w:spacing w:val="-7"/>
          <w:w w:val="115"/>
          <w:sz w:val="21"/>
        </w:rPr>
        <w:t> </w:t>
      </w:r>
      <w:r>
        <w:rPr>
          <w:w w:val="115"/>
          <w:sz w:val="21"/>
        </w:rPr>
        <w:t>legal</w:t>
      </w:r>
      <w:r>
        <w:rPr>
          <w:spacing w:val="-8"/>
          <w:w w:val="115"/>
          <w:sz w:val="21"/>
        </w:rPr>
        <w:t> </w:t>
      </w:r>
      <w:r>
        <w:rPr>
          <w:w w:val="115"/>
          <w:sz w:val="21"/>
        </w:rPr>
        <w:t>practitioner executor becomes aware of </w:t>
      </w:r>
      <w:r>
        <w:rPr>
          <w:spacing w:val="-2"/>
          <w:w w:val="115"/>
          <w:sz w:val="21"/>
        </w:rPr>
        <w:t>any </w:t>
      </w:r>
      <w:r>
        <w:rPr>
          <w:w w:val="115"/>
          <w:sz w:val="21"/>
        </w:rPr>
        <w:t>substantial change to anything included in a disclosure already made to the</w:t>
      </w:r>
      <w:r>
        <w:rPr>
          <w:spacing w:val="-24"/>
          <w:w w:val="115"/>
          <w:sz w:val="21"/>
        </w:rPr>
        <w:t> </w:t>
      </w:r>
      <w:r>
        <w:rPr>
          <w:w w:val="115"/>
          <w:sz w:val="21"/>
        </w:rPr>
        <w:t>beneficiary</w:t>
      </w:r>
    </w:p>
    <w:p>
      <w:pPr>
        <w:pStyle w:val="ListParagraph"/>
        <w:numPr>
          <w:ilvl w:val="3"/>
          <w:numId w:val="119"/>
        </w:numPr>
        <w:tabs>
          <w:tab w:pos="3254" w:val="left" w:leader="none"/>
          <w:tab w:pos="3255" w:val="left" w:leader="none"/>
        </w:tabs>
        <w:spacing w:line="242" w:lineRule="auto" w:before="124" w:after="0"/>
        <w:ind w:left="3254" w:right="2267" w:hanging="533"/>
        <w:jc w:val="left"/>
        <w:rPr>
          <w:sz w:val="21"/>
        </w:rPr>
      </w:pPr>
      <w:r>
        <w:rPr>
          <w:w w:val="115"/>
          <w:sz w:val="21"/>
        </w:rPr>
        <w:t>in plain language, which may be in a language other than English if the beneficiary is more </w:t>
      </w:r>
      <w:r>
        <w:rPr>
          <w:spacing w:val="-3"/>
          <w:w w:val="115"/>
          <w:sz w:val="21"/>
        </w:rPr>
        <w:t>familiar </w:t>
      </w:r>
      <w:r>
        <w:rPr>
          <w:w w:val="115"/>
          <w:sz w:val="21"/>
        </w:rPr>
        <w:t>with that</w:t>
      </w:r>
      <w:r>
        <w:rPr>
          <w:spacing w:val="11"/>
          <w:w w:val="115"/>
          <w:sz w:val="21"/>
        </w:rPr>
        <w:t> </w:t>
      </w:r>
      <w:r>
        <w:rPr>
          <w:w w:val="115"/>
          <w:sz w:val="21"/>
        </w:rPr>
        <w:t>language</w:t>
      </w:r>
    </w:p>
    <w:p>
      <w:pPr>
        <w:pStyle w:val="ListParagraph"/>
        <w:numPr>
          <w:ilvl w:val="3"/>
          <w:numId w:val="119"/>
        </w:numPr>
        <w:tabs>
          <w:tab w:pos="3254" w:val="left" w:leader="none"/>
          <w:tab w:pos="3255" w:val="left" w:leader="none"/>
        </w:tabs>
        <w:spacing w:line="242" w:lineRule="auto" w:before="122" w:after="0"/>
        <w:ind w:left="3254" w:right="2468" w:hanging="532"/>
        <w:jc w:val="left"/>
        <w:rPr>
          <w:sz w:val="21"/>
        </w:rPr>
      </w:pPr>
      <w:r>
        <w:rPr>
          <w:w w:val="115"/>
          <w:sz w:val="21"/>
        </w:rPr>
        <w:t>by spoken word to a beneficiary of legal capacity who is unable to read.</w:t>
      </w:r>
    </w:p>
    <w:p>
      <w:pPr>
        <w:pStyle w:val="ListParagraph"/>
        <w:numPr>
          <w:ilvl w:val="2"/>
          <w:numId w:val="119"/>
        </w:numPr>
        <w:tabs>
          <w:tab w:pos="2723" w:val="left" w:leader="none"/>
        </w:tabs>
        <w:spacing w:line="240" w:lineRule="auto" w:before="122" w:after="0"/>
        <w:ind w:left="2722" w:right="0" w:hanging="340"/>
        <w:jc w:val="left"/>
        <w:rPr>
          <w:sz w:val="21"/>
        </w:rPr>
      </w:pPr>
      <w:r>
        <w:rPr>
          <w:w w:val="115"/>
          <w:sz w:val="21"/>
        </w:rPr>
        <w:t>Costs disclosure to beneficiaries should not be</w:t>
      </w:r>
      <w:r>
        <w:rPr>
          <w:spacing w:val="-5"/>
          <w:w w:val="115"/>
          <w:sz w:val="21"/>
        </w:rPr>
        <w:t> </w:t>
      </w:r>
      <w:r>
        <w:rPr>
          <w:w w:val="115"/>
          <w:sz w:val="21"/>
        </w:rPr>
        <w:t>required:</w:t>
      </w:r>
    </w:p>
    <w:p>
      <w:pPr>
        <w:pStyle w:val="ListParagraph"/>
        <w:numPr>
          <w:ilvl w:val="3"/>
          <w:numId w:val="119"/>
        </w:numPr>
        <w:tabs>
          <w:tab w:pos="3255" w:val="left" w:leader="none"/>
          <w:tab w:pos="3256" w:val="left" w:leader="none"/>
        </w:tabs>
        <w:spacing w:line="242" w:lineRule="auto" w:before="124" w:after="0"/>
        <w:ind w:left="3255" w:right="2201" w:hanging="533"/>
        <w:jc w:val="left"/>
        <w:rPr>
          <w:sz w:val="21"/>
        </w:rPr>
      </w:pPr>
      <w:r>
        <w:rPr>
          <w:w w:val="115"/>
          <w:sz w:val="21"/>
        </w:rPr>
        <w:t>if disclosure in accordance with the obligations currently set out at</w:t>
      </w:r>
      <w:r>
        <w:rPr>
          <w:spacing w:val="-12"/>
          <w:w w:val="115"/>
          <w:sz w:val="21"/>
        </w:rPr>
        <w:t> </w:t>
      </w:r>
      <w:r>
        <w:rPr>
          <w:w w:val="115"/>
          <w:sz w:val="21"/>
        </w:rPr>
        <w:t>sections</w:t>
      </w:r>
      <w:r>
        <w:rPr>
          <w:spacing w:val="-11"/>
          <w:w w:val="115"/>
          <w:sz w:val="21"/>
        </w:rPr>
        <w:t> </w:t>
      </w:r>
      <w:r>
        <w:rPr>
          <w:w w:val="115"/>
          <w:sz w:val="21"/>
        </w:rPr>
        <w:t>3.4.9–3.4.18</w:t>
      </w:r>
      <w:r>
        <w:rPr>
          <w:spacing w:val="-12"/>
          <w:w w:val="115"/>
          <w:sz w:val="21"/>
        </w:rPr>
        <w:t> </w:t>
      </w:r>
      <w:r>
        <w:rPr>
          <w:w w:val="115"/>
          <w:sz w:val="21"/>
        </w:rPr>
        <w:t>is</w:t>
      </w:r>
      <w:r>
        <w:rPr>
          <w:spacing w:val="-11"/>
          <w:w w:val="115"/>
          <w:sz w:val="21"/>
        </w:rPr>
        <w:t> </w:t>
      </w:r>
      <w:r>
        <w:rPr>
          <w:w w:val="115"/>
          <w:sz w:val="21"/>
        </w:rPr>
        <w:t>made</w:t>
      </w:r>
      <w:r>
        <w:rPr>
          <w:spacing w:val="-12"/>
          <w:w w:val="115"/>
          <w:sz w:val="21"/>
        </w:rPr>
        <w:t> </w:t>
      </w:r>
      <w:r>
        <w:rPr>
          <w:w w:val="115"/>
          <w:sz w:val="21"/>
        </w:rPr>
        <w:t>to</w:t>
      </w:r>
      <w:r>
        <w:rPr>
          <w:spacing w:val="-11"/>
          <w:w w:val="115"/>
          <w:sz w:val="21"/>
        </w:rPr>
        <w:t> </w:t>
      </w:r>
      <w:r>
        <w:rPr>
          <w:w w:val="115"/>
          <w:sz w:val="21"/>
        </w:rPr>
        <w:t>a</w:t>
      </w:r>
      <w:r>
        <w:rPr>
          <w:spacing w:val="-11"/>
          <w:w w:val="115"/>
          <w:sz w:val="21"/>
        </w:rPr>
        <w:t> </w:t>
      </w:r>
      <w:r>
        <w:rPr>
          <w:w w:val="115"/>
          <w:sz w:val="21"/>
        </w:rPr>
        <w:t>co-executor</w:t>
      </w:r>
      <w:r>
        <w:rPr>
          <w:spacing w:val="-12"/>
          <w:w w:val="115"/>
          <w:sz w:val="21"/>
        </w:rPr>
        <w:t> </w:t>
      </w:r>
      <w:r>
        <w:rPr>
          <w:w w:val="115"/>
          <w:sz w:val="21"/>
        </w:rPr>
        <w:t>who</w:t>
      </w:r>
      <w:r>
        <w:rPr>
          <w:spacing w:val="-11"/>
          <w:w w:val="115"/>
          <w:sz w:val="21"/>
        </w:rPr>
        <w:t> </w:t>
      </w:r>
      <w:r>
        <w:rPr>
          <w:w w:val="115"/>
          <w:sz w:val="21"/>
        </w:rPr>
        <w:t>is</w:t>
      </w:r>
      <w:r>
        <w:rPr>
          <w:spacing w:val="-12"/>
          <w:w w:val="115"/>
          <w:sz w:val="21"/>
        </w:rPr>
        <w:t> </w:t>
      </w:r>
      <w:r>
        <w:rPr>
          <w:w w:val="115"/>
          <w:sz w:val="21"/>
        </w:rPr>
        <w:t>not</w:t>
      </w:r>
      <w:r>
        <w:rPr>
          <w:spacing w:val="-11"/>
          <w:w w:val="115"/>
          <w:sz w:val="21"/>
        </w:rPr>
        <w:t> </w:t>
      </w:r>
      <w:r>
        <w:rPr>
          <w:w w:val="115"/>
          <w:sz w:val="21"/>
        </w:rPr>
        <w:t>a</w:t>
      </w:r>
      <w:r>
        <w:rPr>
          <w:spacing w:val="-12"/>
          <w:w w:val="115"/>
          <w:sz w:val="21"/>
        </w:rPr>
        <w:t> </w:t>
      </w:r>
      <w:r>
        <w:rPr>
          <w:w w:val="115"/>
          <w:sz w:val="21"/>
        </w:rPr>
        <w:t>legal practitioner</w:t>
      </w:r>
    </w:p>
    <w:p>
      <w:pPr>
        <w:pStyle w:val="ListParagraph"/>
        <w:numPr>
          <w:ilvl w:val="3"/>
          <w:numId w:val="119"/>
        </w:numPr>
        <w:tabs>
          <w:tab w:pos="3255" w:val="left" w:leader="none"/>
          <w:tab w:pos="3256" w:val="left" w:leader="none"/>
        </w:tabs>
        <w:spacing w:line="240" w:lineRule="auto" w:before="123" w:after="0"/>
        <w:ind w:left="3255" w:right="0" w:hanging="533"/>
        <w:jc w:val="left"/>
        <w:rPr>
          <w:sz w:val="21"/>
        </w:rPr>
      </w:pPr>
      <w:r>
        <w:rPr>
          <w:w w:val="115"/>
          <w:sz w:val="21"/>
        </w:rPr>
        <w:t>to a beneficiary who is not legally</w:t>
      </w:r>
      <w:r>
        <w:rPr>
          <w:spacing w:val="3"/>
          <w:w w:val="115"/>
          <w:sz w:val="21"/>
        </w:rPr>
        <w:t> </w:t>
      </w:r>
      <w:r>
        <w:rPr>
          <w:w w:val="115"/>
          <w:sz w:val="21"/>
        </w:rPr>
        <w:t>competent</w:t>
      </w:r>
    </w:p>
    <w:p>
      <w:pPr>
        <w:pStyle w:val="ListParagraph"/>
        <w:numPr>
          <w:ilvl w:val="3"/>
          <w:numId w:val="119"/>
        </w:numPr>
        <w:tabs>
          <w:tab w:pos="3255" w:val="left" w:leader="none"/>
          <w:tab w:pos="3256" w:val="left" w:leader="none"/>
        </w:tabs>
        <w:spacing w:line="242" w:lineRule="auto" w:before="124" w:after="0"/>
        <w:ind w:left="3312" w:right="2488" w:hanging="590"/>
        <w:jc w:val="left"/>
        <w:rPr>
          <w:sz w:val="21"/>
        </w:rPr>
      </w:pPr>
      <w:r>
        <w:rPr>
          <w:w w:val="115"/>
          <w:sz w:val="21"/>
        </w:rPr>
        <w:t>to a beneficiary whose entitlement under the </w:t>
      </w:r>
      <w:r>
        <w:rPr>
          <w:spacing w:val="-3"/>
          <w:w w:val="115"/>
          <w:sz w:val="21"/>
        </w:rPr>
        <w:t>will </w:t>
      </w:r>
      <w:r>
        <w:rPr>
          <w:w w:val="115"/>
          <w:sz w:val="21"/>
        </w:rPr>
        <w:t>is unaffected by</w:t>
      </w:r>
      <w:r>
        <w:rPr>
          <w:spacing w:val="-9"/>
          <w:w w:val="115"/>
          <w:sz w:val="21"/>
        </w:rPr>
        <w:t> </w:t>
      </w:r>
      <w:r>
        <w:rPr>
          <w:w w:val="115"/>
          <w:sz w:val="21"/>
        </w:rPr>
        <w:t>payment</w:t>
      </w:r>
      <w:r>
        <w:rPr>
          <w:spacing w:val="-8"/>
          <w:w w:val="115"/>
          <w:sz w:val="21"/>
        </w:rPr>
        <w:t> </w:t>
      </w:r>
      <w:r>
        <w:rPr>
          <w:w w:val="115"/>
          <w:sz w:val="21"/>
        </w:rPr>
        <w:t>from</w:t>
      </w:r>
      <w:r>
        <w:rPr>
          <w:spacing w:val="-9"/>
          <w:w w:val="115"/>
          <w:sz w:val="21"/>
        </w:rPr>
        <w:t> </w:t>
      </w:r>
      <w:r>
        <w:rPr>
          <w:w w:val="115"/>
          <w:sz w:val="21"/>
        </w:rPr>
        <w:t>the</w:t>
      </w:r>
      <w:r>
        <w:rPr>
          <w:spacing w:val="-8"/>
          <w:w w:val="115"/>
          <w:sz w:val="21"/>
        </w:rPr>
        <w:t> </w:t>
      </w:r>
      <w:r>
        <w:rPr>
          <w:w w:val="115"/>
          <w:sz w:val="21"/>
        </w:rPr>
        <w:t>estate</w:t>
      </w:r>
      <w:r>
        <w:rPr>
          <w:spacing w:val="-9"/>
          <w:w w:val="115"/>
          <w:sz w:val="21"/>
        </w:rPr>
        <w:t> </w:t>
      </w:r>
      <w:r>
        <w:rPr>
          <w:w w:val="115"/>
          <w:sz w:val="21"/>
        </w:rPr>
        <w:t>for</w:t>
      </w:r>
      <w:r>
        <w:rPr>
          <w:spacing w:val="-8"/>
          <w:w w:val="115"/>
          <w:sz w:val="21"/>
        </w:rPr>
        <w:t> </w:t>
      </w:r>
      <w:r>
        <w:rPr>
          <w:w w:val="115"/>
          <w:sz w:val="21"/>
        </w:rPr>
        <w:t>legal</w:t>
      </w:r>
      <w:r>
        <w:rPr>
          <w:spacing w:val="-8"/>
          <w:w w:val="115"/>
          <w:sz w:val="21"/>
        </w:rPr>
        <w:t> </w:t>
      </w:r>
      <w:r>
        <w:rPr>
          <w:w w:val="115"/>
          <w:sz w:val="21"/>
        </w:rPr>
        <w:t>and</w:t>
      </w:r>
      <w:r>
        <w:rPr>
          <w:spacing w:val="-9"/>
          <w:w w:val="115"/>
          <w:sz w:val="21"/>
        </w:rPr>
        <w:t> </w:t>
      </w:r>
      <w:r>
        <w:rPr>
          <w:w w:val="115"/>
          <w:sz w:val="21"/>
        </w:rPr>
        <w:t>executorial</w:t>
      </w:r>
      <w:r>
        <w:rPr>
          <w:spacing w:val="-8"/>
          <w:w w:val="115"/>
          <w:sz w:val="21"/>
        </w:rPr>
        <w:t> </w:t>
      </w:r>
      <w:r>
        <w:rPr>
          <w:w w:val="115"/>
          <w:sz w:val="21"/>
        </w:rPr>
        <w:t>services.</w:t>
      </w:r>
    </w:p>
    <w:p>
      <w:pPr>
        <w:pStyle w:val="ListParagraph"/>
        <w:numPr>
          <w:ilvl w:val="2"/>
          <w:numId w:val="119"/>
        </w:numPr>
        <w:tabs>
          <w:tab w:pos="2723" w:val="left" w:leader="none"/>
        </w:tabs>
        <w:spacing w:line="242" w:lineRule="auto" w:before="122" w:after="0"/>
        <w:ind w:left="2722" w:right="2407" w:hanging="340"/>
        <w:jc w:val="left"/>
        <w:rPr>
          <w:sz w:val="21"/>
        </w:rPr>
      </w:pPr>
      <w:r>
        <w:rPr>
          <w:w w:val="115"/>
          <w:sz w:val="21"/>
        </w:rPr>
        <w:t>A</w:t>
      </w:r>
      <w:r>
        <w:rPr>
          <w:spacing w:val="-9"/>
          <w:w w:val="115"/>
          <w:sz w:val="21"/>
        </w:rPr>
        <w:t> </w:t>
      </w:r>
      <w:r>
        <w:rPr>
          <w:spacing w:val="-3"/>
          <w:w w:val="115"/>
          <w:sz w:val="21"/>
        </w:rPr>
        <w:t>failure</w:t>
      </w:r>
      <w:r>
        <w:rPr>
          <w:spacing w:val="-8"/>
          <w:w w:val="115"/>
          <w:sz w:val="21"/>
        </w:rPr>
        <w:t> </w:t>
      </w:r>
      <w:r>
        <w:rPr>
          <w:w w:val="115"/>
          <w:sz w:val="21"/>
        </w:rPr>
        <w:t>by</w:t>
      </w:r>
      <w:r>
        <w:rPr>
          <w:spacing w:val="-8"/>
          <w:w w:val="115"/>
          <w:sz w:val="21"/>
        </w:rPr>
        <w:t> </w:t>
      </w:r>
      <w:r>
        <w:rPr>
          <w:w w:val="115"/>
          <w:sz w:val="21"/>
        </w:rPr>
        <w:t>a</w:t>
      </w:r>
      <w:r>
        <w:rPr>
          <w:spacing w:val="-8"/>
          <w:w w:val="115"/>
          <w:sz w:val="21"/>
        </w:rPr>
        <w:t> </w:t>
      </w:r>
      <w:r>
        <w:rPr>
          <w:w w:val="115"/>
          <w:sz w:val="21"/>
        </w:rPr>
        <w:t>law</w:t>
      </w:r>
      <w:r>
        <w:rPr>
          <w:spacing w:val="-8"/>
          <w:w w:val="115"/>
          <w:sz w:val="21"/>
        </w:rPr>
        <w:t> </w:t>
      </w:r>
      <w:r>
        <w:rPr>
          <w:w w:val="115"/>
          <w:sz w:val="21"/>
        </w:rPr>
        <w:t>practice</w:t>
      </w:r>
      <w:r>
        <w:rPr>
          <w:spacing w:val="-8"/>
          <w:w w:val="115"/>
          <w:sz w:val="21"/>
        </w:rPr>
        <w:t> </w:t>
      </w:r>
      <w:r>
        <w:rPr>
          <w:w w:val="115"/>
          <w:sz w:val="21"/>
        </w:rPr>
        <w:t>to</w:t>
      </w:r>
      <w:r>
        <w:rPr>
          <w:spacing w:val="-9"/>
          <w:w w:val="115"/>
          <w:sz w:val="21"/>
        </w:rPr>
        <w:t> </w:t>
      </w:r>
      <w:r>
        <w:rPr>
          <w:w w:val="115"/>
          <w:sz w:val="21"/>
        </w:rPr>
        <w:t>comply</w:t>
      </w:r>
      <w:r>
        <w:rPr>
          <w:spacing w:val="-8"/>
          <w:w w:val="115"/>
          <w:sz w:val="21"/>
        </w:rPr>
        <w:t> </w:t>
      </w:r>
      <w:r>
        <w:rPr>
          <w:w w:val="115"/>
          <w:sz w:val="21"/>
        </w:rPr>
        <w:t>with</w:t>
      </w:r>
      <w:r>
        <w:rPr>
          <w:spacing w:val="-8"/>
          <w:w w:val="115"/>
          <w:sz w:val="21"/>
        </w:rPr>
        <w:t> </w:t>
      </w:r>
      <w:r>
        <w:rPr>
          <w:w w:val="115"/>
          <w:sz w:val="21"/>
        </w:rPr>
        <w:t>the</w:t>
      </w:r>
      <w:r>
        <w:rPr>
          <w:spacing w:val="-8"/>
          <w:w w:val="115"/>
          <w:sz w:val="21"/>
        </w:rPr>
        <w:t> </w:t>
      </w:r>
      <w:r>
        <w:rPr>
          <w:w w:val="115"/>
          <w:sz w:val="21"/>
        </w:rPr>
        <w:t>disclosure</w:t>
      </w:r>
      <w:r>
        <w:rPr>
          <w:spacing w:val="-8"/>
          <w:w w:val="115"/>
          <w:sz w:val="21"/>
        </w:rPr>
        <w:t> </w:t>
      </w:r>
      <w:r>
        <w:rPr>
          <w:w w:val="115"/>
          <w:sz w:val="21"/>
        </w:rPr>
        <w:t>requirements should</w:t>
      </w:r>
      <w:r>
        <w:rPr>
          <w:spacing w:val="-11"/>
          <w:w w:val="115"/>
          <w:sz w:val="21"/>
        </w:rPr>
        <w:t> </w:t>
      </w:r>
      <w:r>
        <w:rPr>
          <w:w w:val="115"/>
          <w:sz w:val="21"/>
        </w:rPr>
        <w:t>be</w:t>
      </w:r>
      <w:r>
        <w:rPr>
          <w:spacing w:val="-11"/>
          <w:w w:val="115"/>
          <w:sz w:val="21"/>
        </w:rPr>
        <w:t> </w:t>
      </w:r>
      <w:r>
        <w:rPr>
          <w:w w:val="115"/>
          <w:sz w:val="21"/>
        </w:rPr>
        <w:t>capable</w:t>
      </w:r>
      <w:r>
        <w:rPr>
          <w:spacing w:val="-11"/>
          <w:w w:val="115"/>
          <w:sz w:val="21"/>
        </w:rPr>
        <w:t> </w:t>
      </w:r>
      <w:r>
        <w:rPr>
          <w:w w:val="115"/>
          <w:sz w:val="21"/>
        </w:rPr>
        <w:t>of</w:t>
      </w:r>
      <w:r>
        <w:rPr>
          <w:spacing w:val="-11"/>
          <w:w w:val="115"/>
          <w:sz w:val="21"/>
        </w:rPr>
        <w:t> </w:t>
      </w:r>
      <w:r>
        <w:rPr>
          <w:w w:val="115"/>
          <w:sz w:val="21"/>
        </w:rPr>
        <w:t>constituting</w:t>
      </w:r>
      <w:r>
        <w:rPr>
          <w:spacing w:val="-11"/>
          <w:w w:val="115"/>
          <w:sz w:val="21"/>
        </w:rPr>
        <w:t> </w:t>
      </w:r>
      <w:r>
        <w:rPr>
          <w:w w:val="115"/>
          <w:sz w:val="21"/>
        </w:rPr>
        <w:t>unsatisfactory</w:t>
      </w:r>
      <w:r>
        <w:rPr>
          <w:spacing w:val="-11"/>
          <w:w w:val="115"/>
          <w:sz w:val="21"/>
        </w:rPr>
        <w:t> </w:t>
      </w:r>
      <w:r>
        <w:rPr>
          <w:w w:val="115"/>
          <w:sz w:val="21"/>
        </w:rPr>
        <w:t>professional</w:t>
      </w:r>
      <w:r>
        <w:rPr>
          <w:spacing w:val="-11"/>
          <w:w w:val="115"/>
          <w:sz w:val="21"/>
        </w:rPr>
        <w:t> </w:t>
      </w:r>
      <w:r>
        <w:rPr>
          <w:w w:val="115"/>
          <w:sz w:val="21"/>
        </w:rPr>
        <w:t>conduct</w:t>
      </w:r>
    </w:p>
    <w:p>
      <w:pPr>
        <w:pStyle w:val="BodyText"/>
        <w:spacing w:line="242" w:lineRule="auto" w:before="2"/>
        <w:ind w:left="2722" w:right="2010"/>
      </w:pPr>
      <w:r>
        <w:rPr>
          <w:w w:val="115"/>
        </w:rPr>
        <w:t>or professional misconduct on the part of any legal practitioner involved in the failure, as currently applies in respect of disclosure to clients.</w:t>
      </w:r>
    </w:p>
    <w:p>
      <w:pPr>
        <w:pStyle w:val="ListParagraph"/>
        <w:numPr>
          <w:ilvl w:val="1"/>
          <w:numId w:val="119"/>
        </w:numPr>
        <w:tabs>
          <w:tab w:pos="2382" w:val="left" w:leader="none"/>
          <w:tab w:pos="2383" w:val="left" w:leader="none"/>
        </w:tabs>
        <w:spacing w:line="242" w:lineRule="auto" w:before="123" w:after="0"/>
        <w:ind w:left="2382" w:right="1888" w:hanging="567"/>
        <w:jc w:val="left"/>
        <w:rPr>
          <w:sz w:val="21"/>
        </w:rPr>
      </w:pPr>
      <w:r>
        <w:rPr>
          <w:w w:val="115"/>
          <w:sz w:val="21"/>
        </w:rPr>
        <w:t>Costs</w:t>
      </w:r>
      <w:r>
        <w:rPr>
          <w:spacing w:val="-14"/>
          <w:w w:val="115"/>
          <w:sz w:val="21"/>
        </w:rPr>
        <w:t> </w:t>
      </w:r>
      <w:r>
        <w:rPr>
          <w:w w:val="115"/>
          <w:sz w:val="21"/>
        </w:rPr>
        <w:t>disclosure</w:t>
      </w:r>
      <w:r>
        <w:rPr>
          <w:spacing w:val="-13"/>
          <w:w w:val="115"/>
          <w:sz w:val="21"/>
        </w:rPr>
        <w:t> </w:t>
      </w:r>
      <w:r>
        <w:rPr>
          <w:w w:val="115"/>
          <w:sz w:val="21"/>
        </w:rPr>
        <w:t>to</w:t>
      </w:r>
      <w:r>
        <w:rPr>
          <w:spacing w:val="-13"/>
          <w:w w:val="115"/>
          <w:sz w:val="21"/>
        </w:rPr>
        <w:t> </w:t>
      </w:r>
      <w:r>
        <w:rPr>
          <w:w w:val="115"/>
          <w:sz w:val="21"/>
        </w:rPr>
        <w:t>beneficiaries</w:t>
      </w:r>
      <w:r>
        <w:rPr>
          <w:spacing w:val="-14"/>
          <w:w w:val="115"/>
          <w:sz w:val="21"/>
        </w:rPr>
        <w:t> </w:t>
      </w:r>
      <w:r>
        <w:rPr>
          <w:w w:val="115"/>
          <w:sz w:val="21"/>
        </w:rPr>
        <w:t>about</w:t>
      </w:r>
      <w:r>
        <w:rPr>
          <w:spacing w:val="-13"/>
          <w:w w:val="115"/>
          <w:sz w:val="21"/>
        </w:rPr>
        <w:t> </w:t>
      </w:r>
      <w:r>
        <w:rPr>
          <w:w w:val="115"/>
          <w:sz w:val="21"/>
        </w:rPr>
        <w:t>their</w:t>
      </w:r>
      <w:r>
        <w:rPr>
          <w:spacing w:val="-13"/>
          <w:w w:val="115"/>
          <w:sz w:val="21"/>
        </w:rPr>
        <w:t> </w:t>
      </w:r>
      <w:r>
        <w:rPr>
          <w:w w:val="115"/>
          <w:sz w:val="21"/>
        </w:rPr>
        <w:t>rights</w:t>
      </w:r>
      <w:r>
        <w:rPr>
          <w:spacing w:val="-14"/>
          <w:w w:val="115"/>
          <w:sz w:val="21"/>
        </w:rPr>
        <w:t> </w:t>
      </w:r>
      <w:r>
        <w:rPr>
          <w:w w:val="115"/>
          <w:sz w:val="21"/>
        </w:rPr>
        <w:t>to</w:t>
      </w:r>
      <w:r>
        <w:rPr>
          <w:spacing w:val="-13"/>
          <w:w w:val="115"/>
          <w:sz w:val="21"/>
        </w:rPr>
        <w:t> </w:t>
      </w:r>
      <w:r>
        <w:rPr>
          <w:w w:val="115"/>
          <w:sz w:val="21"/>
        </w:rPr>
        <w:t>receive</w:t>
      </w:r>
      <w:r>
        <w:rPr>
          <w:spacing w:val="-13"/>
          <w:w w:val="115"/>
          <w:sz w:val="21"/>
        </w:rPr>
        <w:t> </w:t>
      </w:r>
      <w:r>
        <w:rPr>
          <w:w w:val="115"/>
          <w:sz w:val="21"/>
        </w:rPr>
        <w:t>information,</w:t>
      </w:r>
      <w:r>
        <w:rPr>
          <w:spacing w:val="-14"/>
          <w:w w:val="115"/>
          <w:sz w:val="21"/>
        </w:rPr>
        <w:t> </w:t>
      </w:r>
      <w:r>
        <w:rPr>
          <w:w w:val="115"/>
          <w:sz w:val="21"/>
        </w:rPr>
        <w:t>seek costs review and </w:t>
      </w:r>
      <w:r>
        <w:rPr>
          <w:spacing w:val="-3"/>
          <w:w w:val="115"/>
          <w:sz w:val="21"/>
        </w:rPr>
        <w:t>make </w:t>
      </w:r>
      <w:r>
        <w:rPr>
          <w:w w:val="115"/>
          <w:sz w:val="21"/>
        </w:rPr>
        <w:t>a complaint should be possible by providing a written statement.</w:t>
      </w:r>
      <w:r>
        <w:rPr>
          <w:spacing w:val="-14"/>
          <w:w w:val="115"/>
          <w:sz w:val="21"/>
        </w:rPr>
        <w:t> </w:t>
      </w:r>
      <w:r>
        <w:rPr>
          <w:spacing w:val="2"/>
          <w:w w:val="115"/>
          <w:sz w:val="21"/>
        </w:rPr>
        <w:t>As</w:t>
      </w:r>
      <w:r>
        <w:rPr>
          <w:spacing w:val="-13"/>
          <w:w w:val="115"/>
          <w:sz w:val="21"/>
        </w:rPr>
        <w:t> </w:t>
      </w:r>
      <w:r>
        <w:rPr>
          <w:w w:val="115"/>
          <w:sz w:val="21"/>
        </w:rPr>
        <w:t>is</w:t>
      </w:r>
      <w:r>
        <w:rPr>
          <w:spacing w:val="-13"/>
          <w:w w:val="115"/>
          <w:sz w:val="21"/>
        </w:rPr>
        <w:t> </w:t>
      </w:r>
      <w:r>
        <w:rPr>
          <w:w w:val="115"/>
          <w:sz w:val="21"/>
        </w:rPr>
        <w:t>currently</w:t>
      </w:r>
      <w:r>
        <w:rPr>
          <w:spacing w:val="-13"/>
          <w:w w:val="115"/>
          <w:sz w:val="21"/>
        </w:rPr>
        <w:t> </w:t>
      </w:r>
      <w:r>
        <w:rPr>
          <w:w w:val="115"/>
          <w:sz w:val="21"/>
        </w:rPr>
        <w:t>permitted</w:t>
      </w:r>
      <w:r>
        <w:rPr>
          <w:spacing w:val="-13"/>
          <w:w w:val="115"/>
          <w:sz w:val="21"/>
        </w:rPr>
        <w:t> </w:t>
      </w:r>
      <w:r>
        <w:rPr>
          <w:w w:val="115"/>
          <w:sz w:val="21"/>
        </w:rPr>
        <w:t>in</w:t>
      </w:r>
      <w:r>
        <w:rPr>
          <w:spacing w:val="-13"/>
          <w:w w:val="115"/>
          <w:sz w:val="21"/>
        </w:rPr>
        <w:t> </w:t>
      </w:r>
      <w:r>
        <w:rPr>
          <w:w w:val="115"/>
          <w:sz w:val="21"/>
        </w:rPr>
        <w:t>respect</w:t>
      </w:r>
      <w:r>
        <w:rPr>
          <w:spacing w:val="-13"/>
          <w:w w:val="115"/>
          <w:sz w:val="21"/>
        </w:rPr>
        <w:t> </w:t>
      </w:r>
      <w:r>
        <w:rPr>
          <w:w w:val="115"/>
          <w:sz w:val="21"/>
        </w:rPr>
        <w:t>of</w:t>
      </w:r>
      <w:r>
        <w:rPr>
          <w:spacing w:val="-14"/>
          <w:w w:val="115"/>
          <w:sz w:val="21"/>
        </w:rPr>
        <w:t> </w:t>
      </w:r>
      <w:r>
        <w:rPr>
          <w:w w:val="115"/>
          <w:sz w:val="21"/>
        </w:rPr>
        <w:t>cost</w:t>
      </w:r>
      <w:r>
        <w:rPr>
          <w:spacing w:val="-13"/>
          <w:w w:val="115"/>
          <w:sz w:val="21"/>
        </w:rPr>
        <w:t> </w:t>
      </w:r>
      <w:r>
        <w:rPr>
          <w:w w:val="115"/>
          <w:sz w:val="21"/>
        </w:rPr>
        <w:t>disclosure</w:t>
      </w:r>
      <w:r>
        <w:rPr>
          <w:spacing w:val="-13"/>
          <w:w w:val="115"/>
          <w:sz w:val="21"/>
        </w:rPr>
        <w:t> </w:t>
      </w:r>
      <w:r>
        <w:rPr>
          <w:w w:val="115"/>
          <w:sz w:val="21"/>
        </w:rPr>
        <w:t>to</w:t>
      </w:r>
      <w:r>
        <w:rPr>
          <w:spacing w:val="-13"/>
          <w:w w:val="115"/>
          <w:sz w:val="21"/>
        </w:rPr>
        <w:t> </w:t>
      </w:r>
      <w:r>
        <w:rPr>
          <w:w w:val="115"/>
          <w:sz w:val="21"/>
        </w:rPr>
        <w:t>clients,</w:t>
      </w:r>
      <w:r>
        <w:rPr>
          <w:spacing w:val="-13"/>
          <w:w w:val="115"/>
          <w:sz w:val="21"/>
        </w:rPr>
        <w:t> </w:t>
      </w:r>
      <w:r>
        <w:rPr>
          <w:w w:val="115"/>
          <w:sz w:val="21"/>
        </w:rPr>
        <w:t>the written</w:t>
      </w:r>
      <w:r>
        <w:rPr>
          <w:spacing w:val="-9"/>
          <w:w w:val="115"/>
          <w:sz w:val="21"/>
        </w:rPr>
        <w:t> </w:t>
      </w:r>
      <w:r>
        <w:rPr>
          <w:w w:val="115"/>
          <w:sz w:val="21"/>
        </w:rPr>
        <w:t>statement</w:t>
      </w:r>
      <w:r>
        <w:rPr>
          <w:spacing w:val="-9"/>
          <w:w w:val="115"/>
          <w:sz w:val="21"/>
        </w:rPr>
        <w:t> </w:t>
      </w:r>
      <w:r>
        <w:rPr>
          <w:w w:val="115"/>
          <w:sz w:val="21"/>
        </w:rPr>
        <w:t>should</w:t>
      </w:r>
      <w:r>
        <w:rPr>
          <w:spacing w:val="-9"/>
          <w:w w:val="115"/>
          <w:sz w:val="21"/>
        </w:rPr>
        <w:t> </w:t>
      </w:r>
      <w:r>
        <w:rPr>
          <w:w w:val="115"/>
          <w:sz w:val="21"/>
        </w:rPr>
        <w:t>be</w:t>
      </w:r>
      <w:r>
        <w:rPr>
          <w:spacing w:val="-9"/>
          <w:w w:val="115"/>
          <w:sz w:val="21"/>
        </w:rPr>
        <w:t> </w:t>
      </w:r>
      <w:r>
        <w:rPr>
          <w:w w:val="115"/>
          <w:sz w:val="21"/>
        </w:rPr>
        <w:t>prepared</w:t>
      </w:r>
      <w:r>
        <w:rPr>
          <w:spacing w:val="-8"/>
          <w:w w:val="115"/>
          <w:sz w:val="21"/>
        </w:rPr>
        <w:t> </w:t>
      </w:r>
      <w:r>
        <w:rPr>
          <w:w w:val="115"/>
          <w:sz w:val="21"/>
        </w:rPr>
        <w:t>in</w:t>
      </w:r>
      <w:r>
        <w:rPr>
          <w:spacing w:val="-9"/>
          <w:w w:val="115"/>
          <w:sz w:val="21"/>
        </w:rPr>
        <w:t> </w:t>
      </w:r>
      <w:r>
        <w:rPr>
          <w:w w:val="115"/>
          <w:sz w:val="21"/>
        </w:rPr>
        <w:t>accordance</w:t>
      </w:r>
      <w:r>
        <w:rPr>
          <w:spacing w:val="-9"/>
          <w:w w:val="115"/>
          <w:sz w:val="21"/>
        </w:rPr>
        <w:t> </w:t>
      </w:r>
      <w:r>
        <w:rPr>
          <w:w w:val="115"/>
          <w:sz w:val="21"/>
        </w:rPr>
        <w:t>with</w:t>
      </w:r>
      <w:r>
        <w:rPr>
          <w:spacing w:val="-9"/>
          <w:w w:val="115"/>
          <w:sz w:val="21"/>
        </w:rPr>
        <w:t> </w:t>
      </w:r>
      <w:r>
        <w:rPr>
          <w:w w:val="115"/>
          <w:sz w:val="21"/>
        </w:rPr>
        <w:t>the</w:t>
      </w:r>
      <w:r>
        <w:rPr>
          <w:spacing w:val="-9"/>
          <w:w w:val="115"/>
          <w:sz w:val="21"/>
        </w:rPr>
        <w:t> </w:t>
      </w:r>
      <w:r>
        <w:rPr>
          <w:w w:val="115"/>
          <w:sz w:val="21"/>
        </w:rPr>
        <w:t>regulations,</w:t>
      </w:r>
      <w:r>
        <w:rPr>
          <w:spacing w:val="-8"/>
          <w:w w:val="115"/>
          <w:sz w:val="21"/>
        </w:rPr>
        <w:t> </w:t>
      </w:r>
      <w:r>
        <w:rPr>
          <w:w w:val="115"/>
          <w:sz w:val="21"/>
        </w:rPr>
        <w:t>and supplemented by fact sheets and documents prepared by the Legal Services Commissioner in consultation with the</w:t>
      </w:r>
      <w:r>
        <w:rPr>
          <w:spacing w:val="-5"/>
          <w:w w:val="115"/>
          <w:sz w:val="21"/>
        </w:rPr>
        <w:t> </w:t>
      </w:r>
      <w:r>
        <w:rPr>
          <w:w w:val="115"/>
          <w:sz w:val="21"/>
        </w:rPr>
        <w:t>profession.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4"/>
        </w:rPr>
      </w:pPr>
    </w:p>
    <w:p>
      <w:pPr>
        <w:spacing w:before="99"/>
        <w:ind w:left="720" w:right="0" w:firstLine="0"/>
        <w:jc w:val="left"/>
        <w:rPr>
          <w:b/>
          <w:sz w:val="24"/>
        </w:rPr>
      </w:pPr>
      <w:r>
        <w:rPr>
          <w:b/>
          <w:color w:val="EC5A4F"/>
          <w:w w:val="110"/>
          <w:sz w:val="24"/>
        </w:rPr>
        <w:t>156</w:t>
      </w:r>
    </w:p>
    <w:p>
      <w:pPr>
        <w:spacing w:after="0"/>
        <w:jc w:val="left"/>
        <w:rPr>
          <w:sz w:val="24"/>
        </w:rPr>
        <w:sectPr>
          <w:pgSz w:w="11910" w:h="16840"/>
          <w:pgMar w:header="550" w:footer="0" w:top="1560" w:bottom="280" w:left="0" w:right="0"/>
        </w:sectPr>
      </w:pPr>
    </w:p>
    <w:p>
      <w:pPr>
        <w:pStyle w:val="BodyText"/>
        <w:rPr>
          <w:b/>
          <w:sz w:val="20"/>
        </w:rPr>
      </w:pPr>
    </w:p>
    <w:p>
      <w:pPr>
        <w:pStyle w:val="BodyText"/>
        <w:spacing w:before="12"/>
        <w:rPr>
          <w:b/>
          <w:sz w:val="18"/>
        </w:rPr>
      </w:pPr>
    </w:p>
    <w:p>
      <w:pPr>
        <w:pStyle w:val="Heading6"/>
        <w:spacing w:before="100"/>
      </w:pPr>
      <w:r>
        <w:rPr>
          <w:color w:val="6D6E71"/>
          <w:w w:val="120"/>
        </w:rPr>
        <w:t>Charging a fee rather than commission for executorial services</w:t>
      </w:r>
    </w:p>
    <w:p>
      <w:pPr>
        <w:pStyle w:val="ListParagraph"/>
        <w:numPr>
          <w:ilvl w:val="1"/>
          <w:numId w:val="22"/>
        </w:numPr>
        <w:tabs>
          <w:tab w:pos="2380" w:val="left" w:leader="none"/>
          <w:tab w:pos="2381" w:val="left" w:leader="none"/>
        </w:tabs>
        <w:spacing w:line="242" w:lineRule="auto" w:before="151" w:after="0"/>
        <w:ind w:left="2381" w:right="1774" w:hanging="794"/>
        <w:jc w:val="left"/>
        <w:rPr>
          <w:sz w:val="21"/>
        </w:rPr>
      </w:pPr>
      <w:r>
        <w:rPr>
          <w:w w:val="105"/>
          <w:sz w:val="21"/>
        </w:rPr>
        <w:t>In response </w:t>
      </w:r>
      <w:r>
        <w:rPr>
          <w:spacing w:val="-3"/>
          <w:w w:val="105"/>
          <w:sz w:val="21"/>
        </w:rPr>
        <w:t>to </w:t>
      </w:r>
      <w:r>
        <w:rPr>
          <w:w w:val="105"/>
          <w:sz w:val="21"/>
        </w:rPr>
        <w:t>a proposal by the Legal Services </w:t>
      </w:r>
      <w:r>
        <w:rPr>
          <w:spacing w:val="-6"/>
          <w:w w:val="105"/>
          <w:sz w:val="21"/>
        </w:rPr>
        <w:t>Commissioner,</w:t>
      </w:r>
      <w:r>
        <w:rPr>
          <w:spacing w:val="-6"/>
          <w:w w:val="105"/>
          <w:position w:val="7"/>
          <w:sz w:val="12"/>
        </w:rPr>
        <w:t>115 </w:t>
      </w:r>
      <w:r>
        <w:rPr>
          <w:w w:val="105"/>
          <w:sz w:val="21"/>
        </w:rPr>
        <w:t>the </w:t>
      </w:r>
      <w:r>
        <w:rPr>
          <w:spacing w:val="-3"/>
          <w:w w:val="105"/>
          <w:sz w:val="21"/>
        </w:rPr>
        <w:t>Commission </w:t>
      </w:r>
      <w:r>
        <w:rPr>
          <w:w w:val="105"/>
          <w:sz w:val="21"/>
        </w:rPr>
        <w:t>questioned</w:t>
      </w:r>
      <w:r>
        <w:rPr>
          <w:spacing w:val="-12"/>
          <w:w w:val="105"/>
          <w:sz w:val="21"/>
        </w:rPr>
        <w:t> </w:t>
      </w:r>
      <w:r>
        <w:rPr>
          <w:w w:val="105"/>
          <w:sz w:val="21"/>
        </w:rPr>
        <w:t>whether</w:t>
      </w:r>
      <w:r>
        <w:rPr>
          <w:spacing w:val="-11"/>
          <w:w w:val="105"/>
          <w:sz w:val="21"/>
        </w:rPr>
        <w:t> </w:t>
      </w:r>
      <w:r>
        <w:rPr>
          <w:w w:val="105"/>
          <w:sz w:val="21"/>
        </w:rPr>
        <w:t>legal</w:t>
      </w:r>
      <w:r>
        <w:rPr>
          <w:spacing w:val="-11"/>
          <w:w w:val="105"/>
          <w:sz w:val="21"/>
        </w:rPr>
        <w:t> </w:t>
      </w:r>
      <w:r>
        <w:rPr>
          <w:w w:val="105"/>
          <w:sz w:val="21"/>
        </w:rPr>
        <w:t>practitioner</w:t>
      </w:r>
      <w:r>
        <w:rPr>
          <w:spacing w:val="-11"/>
          <w:w w:val="105"/>
          <w:sz w:val="21"/>
        </w:rPr>
        <w:t> </w:t>
      </w:r>
      <w:r>
        <w:rPr>
          <w:w w:val="105"/>
          <w:sz w:val="21"/>
        </w:rPr>
        <w:t>executors</w:t>
      </w:r>
      <w:r>
        <w:rPr>
          <w:spacing w:val="-11"/>
          <w:w w:val="105"/>
          <w:sz w:val="21"/>
        </w:rPr>
        <w:t> </w:t>
      </w:r>
      <w:r>
        <w:rPr>
          <w:w w:val="105"/>
          <w:sz w:val="21"/>
        </w:rPr>
        <w:t>should</w:t>
      </w:r>
      <w:r>
        <w:rPr>
          <w:spacing w:val="-11"/>
          <w:w w:val="105"/>
          <w:sz w:val="21"/>
        </w:rPr>
        <w:t> </w:t>
      </w:r>
      <w:r>
        <w:rPr>
          <w:w w:val="105"/>
          <w:sz w:val="21"/>
        </w:rPr>
        <w:t>no</w:t>
      </w:r>
      <w:r>
        <w:rPr>
          <w:spacing w:val="-11"/>
          <w:w w:val="105"/>
          <w:sz w:val="21"/>
        </w:rPr>
        <w:t> </w:t>
      </w:r>
      <w:r>
        <w:rPr>
          <w:w w:val="105"/>
          <w:sz w:val="21"/>
        </w:rPr>
        <w:t>longer</w:t>
      </w:r>
      <w:r>
        <w:rPr>
          <w:spacing w:val="-11"/>
          <w:w w:val="105"/>
          <w:sz w:val="21"/>
        </w:rPr>
        <w:t> </w:t>
      </w:r>
      <w:r>
        <w:rPr>
          <w:spacing w:val="-3"/>
          <w:w w:val="105"/>
          <w:sz w:val="21"/>
        </w:rPr>
        <w:t>have</w:t>
      </w:r>
      <w:r>
        <w:rPr>
          <w:spacing w:val="-11"/>
          <w:w w:val="105"/>
          <w:sz w:val="21"/>
        </w:rPr>
        <w:t> </w:t>
      </w:r>
      <w:r>
        <w:rPr>
          <w:w w:val="105"/>
          <w:sz w:val="21"/>
        </w:rPr>
        <w:t>the</w:t>
      </w:r>
      <w:r>
        <w:rPr>
          <w:spacing w:val="-11"/>
          <w:w w:val="105"/>
          <w:sz w:val="21"/>
        </w:rPr>
        <w:t> </w:t>
      </w:r>
      <w:r>
        <w:rPr>
          <w:spacing w:val="-3"/>
          <w:w w:val="105"/>
          <w:sz w:val="21"/>
        </w:rPr>
        <w:t>right</w:t>
      </w:r>
      <w:r>
        <w:rPr>
          <w:spacing w:val="-11"/>
          <w:w w:val="105"/>
          <w:sz w:val="21"/>
        </w:rPr>
        <w:t> </w:t>
      </w:r>
      <w:r>
        <w:rPr>
          <w:spacing w:val="-3"/>
          <w:w w:val="105"/>
          <w:sz w:val="21"/>
        </w:rPr>
        <w:t>to</w:t>
      </w:r>
      <w:r>
        <w:rPr>
          <w:spacing w:val="-11"/>
          <w:w w:val="105"/>
          <w:sz w:val="21"/>
        </w:rPr>
        <w:t> </w:t>
      </w:r>
      <w:r>
        <w:rPr>
          <w:w w:val="105"/>
          <w:sz w:val="21"/>
        </w:rPr>
        <w:t>a</w:t>
      </w:r>
      <w:r>
        <w:rPr>
          <w:spacing w:val="-11"/>
          <w:w w:val="105"/>
          <w:sz w:val="21"/>
        </w:rPr>
        <w:t> </w:t>
      </w:r>
      <w:r>
        <w:rPr>
          <w:w w:val="105"/>
          <w:sz w:val="21"/>
        </w:rPr>
        <w:t>set percentage of the estate as </w:t>
      </w:r>
      <w:r>
        <w:rPr>
          <w:spacing w:val="-3"/>
          <w:w w:val="105"/>
          <w:sz w:val="21"/>
        </w:rPr>
        <w:t>commission. </w:t>
      </w:r>
      <w:r>
        <w:rPr>
          <w:w w:val="105"/>
          <w:sz w:val="21"/>
        </w:rPr>
        <w:t>They would </w:t>
      </w:r>
      <w:r>
        <w:rPr>
          <w:spacing w:val="-3"/>
          <w:w w:val="105"/>
          <w:sz w:val="21"/>
        </w:rPr>
        <w:t>instead charge </w:t>
      </w:r>
      <w:r>
        <w:rPr>
          <w:w w:val="105"/>
          <w:sz w:val="21"/>
        </w:rPr>
        <w:t>an hourly </w:t>
      </w:r>
      <w:r>
        <w:rPr>
          <w:spacing w:val="-3"/>
          <w:w w:val="105"/>
          <w:sz w:val="21"/>
        </w:rPr>
        <w:t>rate for executorial </w:t>
      </w:r>
      <w:r>
        <w:rPr>
          <w:w w:val="105"/>
          <w:sz w:val="21"/>
        </w:rPr>
        <w:t>work, which </w:t>
      </w:r>
      <w:r>
        <w:rPr>
          <w:spacing w:val="-3"/>
          <w:w w:val="105"/>
          <w:sz w:val="21"/>
        </w:rPr>
        <w:t>may </w:t>
      </w:r>
      <w:r>
        <w:rPr>
          <w:w w:val="105"/>
          <w:sz w:val="21"/>
        </w:rPr>
        <w:t>be lower </w:t>
      </w:r>
      <w:r>
        <w:rPr>
          <w:spacing w:val="-3"/>
          <w:w w:val="105"/>
          <w:sz w:val="21"/>
        </w:rPr>
        <w:t>than </w:t>
      </w:r>
      <w:r>
        <w:rPr>
          <w:w w:val="105"/>
          <w:sz w:val="21"/>
        </w:rPr>
        <w:t>the </w:t>
      </w:r>
      <w:r>
        <w:rPr>
          <w:spacing w:val="-3"/>
          <w:w w:val="105"/>
          <w:sz w:val="21"/>
        </w:rPr>
        <w:t>rate for </w:t>
      </w:r>
      <w:r>
        <w:rPr>
          <w:w w:val="105"/>
          <w:sz w:val="21"/>
        </w:rPr>
        <w:t>legal work. As a </w:t>
      </w:r>
      <w:r>
        <w:rPr>
          <w:spacing w:val="-3"/>
          <w:w w:val="105"/>
          <w:sz w:val="21"/>
        </w:rPr>
        <w:t>consequence, </w:t>
      </w:r>
      <w:r>
        <w:rPr>
          <w:w w:val="105"/>
          <w:sz w:val="21"/>
        </w:rPr>
        <w:t>they would only be paid </w:t>
      </w:r>
      <w:r>
        <w:rPr>
          <w:spacing w:val="-3"/>
          <w:w w:val="105"/>
          <w:sz w:val="21"/>
        </w:rPr>
        <w:t>according to </w:t>
      </w:r>
      <w:r>
        <w:rPr>
          <w:w w:val="105"/>
          <w:sz w:val="21"/>
        </w:rPr>
        <w:t>the </w:t>
      </w:r>
      <w:r>
        <w:rPr>
          <w:spacing w:val="-3"/>
          <w:w w:val="105"/>
          <w:sz w:val="21"/>
        </w:rPr>
        <w:t>amount </w:t>
      </w:r>
      <w:r>
        <w:rPr>
          <w:w w:val="105"/>
          <w:sz w:val="21"/>
        </w:rPr>
        <w:t>of work performed </w:t>
      </w:r>
      <w:r>
        <w:rPr>
          <w:spacing w:val="-3"/>
          <w:w w:val="105"/>
          <w:sz w:val="21"/>
        </w:rPr>
        <w:t>rather than </w:t>
      </w:r>
      <w:r>
        <w:rPr>
          <w:w w:val="105"/>
          <w:sz w:val="21"/>
        </w:rPr>
        <w:t>the </w:t>
      </w:r>
      <w:r>
        <w:rPr>
          <w:spacing w:val="-3"/>
          <w:w w:val="105"/>
          <w:sz w:val="21"/>
        </w:rPr>
        <w:t>value </w:t>
      </w:r>
      <w:r>
        <w:rPr>
          <w:w w:val="105"/>
          <w:sz w:val="21"/>
        </w:rPr>
        <w:t>of the</w:t>
      </w:r>
      <w:r>
        <w:rPr>
          <w:spacing w:val="18"/>
          <w:w w:val="105"/>
          <w:sz w:val="21"/>
        </w:rPr>
        <w:t> </w:t>
      </w:r>
      <w:r>
        <w:rPr>
          <w:spacing w:val="-3"/>
          <w:w w:val="105"/>
          <w:sz w:val="21"/>
        </w:rPr>
        <w:t>estate.</w:t>
      </w:r>
    </w:p>
    <w:p>
      <w:pPr>
        <w:pStyle w:val="ListParagraph"/>
        <w:numPr>
          <w:ilvl w:val="1"/>
          <w:numId w:val="22"/>
        </w:numPr>
        <w:tabs>
          <w:tab w:pos="2380" w:val="left" w:leader="none"/>
          <w:tab w:pos="2382" w:val="left" w:leader="none"/>
        </w:tabs>
        <w:spacing w:line="242" w:lineRule="auto" w:before="126" w:after="0"/>
        <w:ind w:left="2381" w:right="1870" w:hanging="794"/>
        <w:jc w:val="left"/>
        <w:rPr>
          <w:sz w:val="21"/>
        </w:rPr>
      </w:pPr>
      <w:r>
        <w:rPr>
          <w:w w:val="105"/>
          <w:sz w:val="21"/>
        </w:rPr>
        <w:t>None</w:t>
      </w:r>
      <w:r>
        <w:rPr>
          <w:spacing w:val="-6"/>
          <w:w w:val="105"/>
          <w:sz w:val="21"/>
        </w:rPr>
        <w:t> </w:t>
      </w:r>
      <w:r>
        <w:rPr>
          <w:w w:val="105"/>
          <w:sz w:val="21"/>
        </w:rPr>
        <w:t>of</w:t>
      </w:r>
      <w:r>
        <w:rPr>
          <w:spacing w:val="-6"/>
          <w:w w:val="105"/>
          <w:sz w:val="21"/>
        </w:rPr>
        <w:t> </w:t>
      </w:r>
      <w:r>
        <w:rPr>
          <w:w w:val="105"/>
          <w:sz w:val="21"/>
        </w:rPr>
        <w:t>the</w:t>
      </w:r>
      <w:r>
        <w:rPr>
          <w:spacing w:val="-6"/>
          <w:w w:val="105"/>
          <w:sz w:val="21"/>
        </w:rPr>
        <w:t> </w:t>
      </w:r>
      <w:r>
        <w:rPr>
          <w:w w:val="105"/>
          <w:sz w:val="21"/>
        </w:rPr>
        <w:t>responses</w:t>
      </w:r>
      <w:r>
        <w:rPr>
          <w:spacing w:val="-6"/>
          <w:w w:val="105"/>
          <w:sz w:val="21"/>
        </w:rPr>
        <w:t> </w:t>
      </w:r>
      <w:r>
        <w:rPr>
          <w:spacing w:val="-3"/>
          <w:w w:val="105"/>
          <w:sz w:val="21"/>
        </w:rPr>
        <w:t>favoured</w:t>
      </w:r>
      <w:r>
        <w:rPr>
          <w:spacing w:val="-5"/>
          <w:w w:val="105"/>
          <w:sz w:val="21"/>
        </w:rPr>
        <w:t> </w:t>
      </w:r>
      <w:r>
        <w:rPr>
          <w:w w:val="105"/>
          <w:sz w:val="21"/>
        </w:rPr>
        <w:t>the</w:t>
      </w:r>
      <w:r>
        <w:rPr>
          <w:spacing w:val="-6"/>
          <w:w w:val="105"/>
          <w:sz w:val="21"/>
        </w:rPr>
        <w:t> </w:t>
      </w:r>
      <w:r>
        <w:rPr>
          <w:w w:val="105"/>
          <w:sz w:val="21"/>
        </w:rPr>
        <w:t>idea,</w:t>
      </w:r>
      <w:r>
        <w:rPr>
          <w:spacing w:val="-6"/>
          <w:w w:val="105"/>
          <w:sz w:val="21"/>
        </w:rPr>
        <w:t> </w:t>
      </w:r>
      <w:r>
        <w:rPr>
          <w:w w:val="105"/>
          <w:sz w:val="21"/>
        </w:rPr>
        <w:t>and</w:t>
      </w:r>
      <w:r>
        <w:rPr>
          <w:spacing w:val="-6"/>
          <w:w w:val="105"/>
          <w:sz w:val="21"/>
        </w:rPr>
        <w:t> </w:t>
      </w:r>
      <w:r>
        <w:rPr>
          <w:w w:val="105"/>
          <w:sz w:val="21"/>
        </w:rPr>
        <w:t>nor</w:t>
      </w:r>
      <w:r>
        <w:rPr>
          <w:spacing w:val="-5"/>
          <w:w w:val="105"/>
          <w:sz w:val="21"/>
        </w:rPr>
        <w:t> </w:t>
      </w:r>
      <w:r>
        <w:rPr>
          <w:w w:val="105"/>
          <w:sz w:val="21"/>
        </w:rPr>
        <w:t>does</w:t>
      </w:r>
      <w:r>
        <w:rPr>
          <w:spacing w:val="-6"/>
          <w:w w:val="105"/>
          <w:sz w:val="21"/>
        </w:rPr>
        <w:t> </w:t>
      </w:r>
      <w:r>
        <w:rPr>
          <w:w w:val="105"/>
          <w:sz w:val="21"/>
        </w:rPr>
        <w:t>the</w:t>
      </w:r>
      <w:r>
        <w:rPr>
          <w:spacing w:val="-6"/>
          <w:w w:val="105"/>
          <w:sz w:val="21"/>
        </w:rPr>
        <w:t> </w:t>
      </w:r>
      <w:r>
        <w:rPr>
          <w:spacing w:val="-3"/>
          <w:w w:val="105"/>
          <w:sz w:val="21"/>
        </w:rPr>
        <w:t>Commission.</w:t>
      </w:r>
      <w:r>
        <w:rPr>
          <w:spacing w:val="-6"/>
          <w:w w:val="105"/>
          <w:sz w:val="21"/>
        </w:rPr>
        <w:t> </w:t>
      </w:r>
      <w:r>
        <w:rPr>
          <w:w w:val="105"/>
          <w:sz w:val="21"/>
        </w:rPr>
        <w:t>It</w:t>
      </w:r>
      <w:r>
        <w:rPr>
          <w:spacing w:val="-5"/>
          <w:w w:val="105"/>
          <w:sz w:val="21"/>
        </w:rPr>
        <w:t> </w:t>
      </w:r>
      <w:r>
        <w:rPr>
          <w:w w:val="105"/>
          <w:sz w:val="21"/>
        </w:rPr>
        <w:t>would</w:t>
      </w:r>
      <w:r>
        <w:rPr>
          <w:spacing w:val="-6"/>
          <w:w w:val="105"/>
          <w:sz w:val="21"/>
        </w:rPr>
        <w:t> </w:t>
      </w:r>
      <w:r>
        <w:rPr>
          <w:w w:val="105"/>
          <w:sz w:val="21"/>
        </w:rPr>
        <w:t>deny legal</w:t>
      </w:r>
      <w:r>
        <w:rPr>
          <w:spacing w:val="-12"/>
          <w:w w:val="105"/>
          <w:sz w:val="21"/>
        </w:rPr>
        <w:t> </w:t>
      </w:r>
      <w:r>
        <w:rPr>
          <w:w w:val="105"/>
          <w:sz w:val="21"/>
        </w:rPr>
        <w:t>practitioner</w:t>
      </w:r>
      <w:r>
        <w:rPr>
          <w:spacing w:val="-12"/>
          <w:w w:val="105"/>
          <w:sz w:val="21"/>
        </w:rPr>
        <w:t> </w:t>
      </w:r>
      <w:r>
        <w:rPr>
          <w:w w:val="105"/>
          <w:sz w:val="21"/>
        </w:rPr>
        <w:t>executors</w:t>
      </w:r>
      <w:r>
        <w:rPr>
          <w:spacing w:val="-12"/>
          <w:w w:val="105"/>
          <w:sz w:val="21"/>
        </w:rPr>
        <w:t> </w:t>
      </w:r>
      <w:r>
        <w:rPr>
          <w:w w:val="105"/>
          <w:sz w:val="21"/>
        </w:rPr>
        <w:t>a</w:t>
      </w:r>
      <w:r>
        <w:rPr>
          <w:spacing w:val="-11"/>
          <w:w w:val="105"/>
          <w:sz w:val="21"/>
        </w:rPr>
        <w:t> </w:t>
      </w:r>
      <w:r>
        <w:rPr>
          <w:spacing w:val="-3"/>
          <w:w w:val="105"/>
          <w:sz w:val="21"/>
        </w:rPr>
        <w:t>form</w:t>
      </w:r>
      <w:r>
        <w:rPr>
          <w:spacing w:val="-12"/>
          <w:w w:val="105"/>
          <w:sz w:val="21"/>
        </w:rPr>
        <w:t> </w:t>
      </w:r>
      <w:r>
        <w:rPr>
          <w:w w:val="105"/>
          <w:sz w:val="21"/>
        </w:rPr>
        <w:t>of</w:t>
      </w:r>
      <w:r>
        <w:rPr>
          <w:spacing w:val="-12"/>
          <w:w w:val="105"/>
          <w:sz w:val="21"/>
        </w:rPr>
        <w:t> </w:t>
      </w:r>
      <w:r>
        <w:rPr>
          <w:spacing w:val="-3"/>
          <w:w w:val="105"/>
          <w:sz w:val="21"/>
        </w:rPr>
        <w:t>remuneration</w:t>
      </w:r>
      <w:r>
        <w:rPr>
          <w:spacing w:val="-12"/>
          <w:w w:val="105"/>
          <w:sz w:val="21"/>
        </w:rPr>
        <w:t> </w:t>
      </w:r>
      <w:r>
        <w:rPr>
          <w:spacing w:val="-3"/>
          <w:w w:val="105"/>
          <w:sz w:val="21"/>
        </w:rPr>
        <w:t>that</w:t>
      </w:r>
      <w:r>
        <w:rPr>
          <w:spacing w:val="-11"/>
          <w:w w:val="105"/>
          <w:sz w:val="21"/>
        </w:rPr>
        <w:t> </w:t>
      </w:r>
      <w:r>
        <w:rPr>
          <w:w w:val="105"/>
          <w:sz w:val="21"/>
        </w:rPr>
        <w:t>is</w:t>
      </w:r>
      <w:r>
        <w:rPr>
          <w:spacing w:val="-12"/>
          <w:w w:val="105"/>
          <w:sz w:val="21"/>
        </w:rPr>
        <w:t> </w:t>
      </w:r>
      <w:r>
        <w:rPr>
          <w:spacing w:val="-3"/>
          <w:w w:val="105"/>
          <w:sz w:val="21"/>
        </w:rPr>
        <w:t>available</w:t>
      </w:r>
      <w:r>
        <w:rPr>
          <w:spacing w:val="-12"/>
          <w:w w:val="105"/>
          <w:sz w:val="21"/>
        </w:rPr>
        <w:t> </w:t>
      </w:r>
      <w:r>
        <w:rPr>
          <w:spacing w:val="-3"/>
          <w:w w:val="105"/>
          <w:sz w:val="21"/>
        </w:rPr>
        <w:t>to</w:t>
      </w:r>
      <w:r>
        <w:rPr>
          <w:spacing w:val="-12"/>
          <w:w w:val="105"/>
          <w:sz w:val="21"/>
        </w:rPr>
        <w:t> </w:t>
      </w:r>
      <w:r>
        <w:rPr>
          <w:w w:val="105"/>
          <w:sz w:val="21"/>
        </w:rPr>
        <w:t>other</w:t>
      </w:r>
      <w:r>
        <w:rPr>
          <w:spacing w:val="-11"/>
          <w:w w:val="105"/>
          <w:sz w:val="21"/>
        </w:rPr>
        <w:t> </w:t>
      </w:r>
      <w:r>
        <w:rPr>
          <w:w w:val="105"/>
          <w:sz w:val="21"/>
        </w:rPr>
        <w:t>executors, and </w:t>
      </w:r>
      <w:r>
        <w:rPr>
          <w:spacing w:val="-3"/>
          <w:w w:val="105"/>
          <w:sz w:val="21"/>
        </w:rPr>
        <w:t>disregard </w:t>
      </w:r>
      <w:r>
        <w:rPr>
          <w:w w:val="105"/>
          <w:sz w:val="21"/>
        </w:rPr>
        <w:t>the freedom of will-makers </w:t>
      </w:r>
      <w:r>
        <w:rPr>
          <w:spacing w:val="-3"/>
          <w:w w:val="105"/>
          <w:sz w:val="21"/>
        </w:rPr>
        <w:t>to </w:t>
      </w:r>
      <w:r>
        <w:rPr>
          <w:w w:val="105"/>
          <w:sz w:val="21"/>
        </w:rPr>
        <w:t>choose the </w:t>
      </w:r>
      <w:r>
        <w:rPr>
          <w:spacing w:val="-3"/>
          <w:w w:val="105"/>
          <w:sz w:val="21"/>
        </w:rPr>
        <w:t>manner </w:t>
      </w:r>
      <w:r>
        <w:rPr>
          <w:w w:val="105"/>
          <w:sz w:val="21"/>
        </w:rPr>
        <w:t>in which they wish </w:t>
      </w:r>
      <w:r>
        <w:rPr>
          <w:spacing w:val="-3"/>
          <w:w w:val="105"/>
          <w:sz w:val="21"/>
        </w:rPr>
        <w:t>to compensate </w:t>
      </w:r>
      <w:r>
        <w:rPr>
          <w:w w:val="105"/>
          <w:sz w:val="21"/>
        </w:rPr>
        <w:t>them. The </w:t>
      </w:r>
      <w:r>
        <w:rPr>
          <w:spacing w:val="-4"/>
          <w:w w:val="105"/>
          <w:sz w:val="21"/>
        </w:rPr>
        <w:t>Commission’s </w:t>
      </w:r>
      <w:r>
        <w:rPr>
          <w:w w:val="105"/>
          <w:sz w:val="21"/>
        </w:rPr>
        <w:t>other </w:t>
      </w:r>
      <w:r>
        <w:rPr>
          <w:spacing w:val="-3"/>
          <w:w w:val="105"/>
          <w:sz w:val="21"/>
        </w:rPr>
        <w:t>recommendations, </w:t>
      </w:r>
      <w:r>
        <w:rPr>
          <w:w w:val="105"/>
          <w:sz w:val="21"/>
        </w:rPr>
        <w:t>if </w:t>
      </w:r>
      <w:r>
        <w:rPr>
          <w:spacing w:val="-3"/>
          <w:w w:val="105"/>
          <w:sz w:val="21"/>
        </w:rPr>
        <w:t>implemented, would </w:t>
      </w:r>
      <w:r>
        <w:rPr>
          <w:w w:val="105"/>
          <w:sz w:val="21"/>
        </w:rPr>
        <w:t>provide</w:t>
      </w:r>
      <w:r>
        <w:rPr>
          <w:spacing w:val="-10"/>
          <w:w w:val="105"/>
          <w:sz w:val="21"/>
        </w:rPr>
        <w:t> </w:t>
      </w:r>
      <w:r>
        <w:rPr>
          <w:w w:val="105"/>
          <w:sz w:val="21"/>
        </w:rPr>
        <w:t>clarity</w:t>
      </w:r>
      <w:r>
        <w:rPr>
          <w:spacing w:val="-9"/>
          <w:w w:val="105"/>
          <w:sz w:val="21"/>
        </w:rPr>
        <w:t> </w:t>
      </w:r>
      <w:r>
        <w:rPr>
          <w:spacing w:val="-3"/>
          <w:w w:val="105"/>
          <w:sz w:val="21"/>
        </w:rPr>
        <w:t>for</w:t>
      </w:r>
      <w:r>
        <w:rPr>
          <w:spacing w:val="-9"/>
          <w:w w:val="105"/>
          <w:sz w:val="21"/>
        </w:rPr>
        <w:t> </w:t>
      </w:r>
      <w:r>
        <w:rPr>
          <w:w w:val="105"/>
          <w:sz w:val="21"/>
        </w:rPr>
        <w:t>beneficiaries</w:t>
      </w:r>
      <w:r>
        <w:rPr>
          <w:spacing w:val="-9"/>
          <w:w w:val="105"/>
          <w:sz w:val="21"/>
        </w:rPr>
        <w:t> </w:t>
      </w:r>
      <w:r>
        <w:rPr>
          <w:w w:val="105"/>
          <w:sz w:val="21"/>
        </w:rPr>
        <w:t>about</w:t>
      </w:r>
      <w:r>
        <w:rPr>
          <w:spacing w:val="-9"/>
          <w:w w:val="105"/>
          <w:sz w:val="21"/>
        </w:rPr>
        <w:t> </w:t>
      </w:r>
      <w:r>
        <w:rPr>
          <w:w w:val="105"/>
          <w:sz w:val="21"/>
        </w:rPr>
        <w:t>the</w:t>
      </w:r>
      <w:r>
        <w:rPr>
          <w:spacing w:val="-9"/>
          <w:w w:val="105"/>
          <w:sz w:val="21"/>
        </w:rPr>
        <w:t> </w:t>
      </w:r>
      <w:r>
        <w:rPr>
          <w:w w:val="105"/>
          <w:sz w:val="21"/>
        </w:rPr>
        <w:t>basis</w:t>
      </w:r>
      <w:r>
        <w:rPr>
          <w:spacing w:val="-9"/>
          <w:w w:val="105"/>
          <w:sz w:val="21"/>
        </w:rPr>
        <w:t> </w:t>
      </w:r>
      <w:r>
        <w:rPr>
          <w:w w:val="105"/>
          <w:sz w:val="21"/>
        </w:rPr>
        <w:t>on</w:t>
      </w:r>
      <w:r>
        <w:rPr>
          <w:spacing w:val="-10"/>
          <w:w w:val="105"/>
          <w:sz w:val="21"/>
        </w:rPr>
        <w:t> </w:t>
      </w:r>
      <w:r>
        <w:rPr>
          <w:w w:val="105"/>
          <w:sz w:val="21"/>
        </w:rPr>
        <w:t>which</w:t>
      </w:r>
      <w:r>
        <w:rPr>
          <w:spacing w:val="-9"/>
          <w:w w:val="105"/>
          <w:sz w:val="21"/>
        </w:rPr>
        <w:t> </w:t>
      </w:r>
      <w:r>
        <w:rPr>
          <w:w w:val="105"/>
          <w:sz w:val="21"/>
        </w:rPr>
        <w:t>the</w:t>
      </w:r>
      <w:r>
        <w:rPr>
          <w:spacing w:val="-9"/>
          <w:w w:val="105"/>
          <w:sz w:val="21"/>
        </w:rPr>
        <w:t> </w:t>
      </w:r>
      <w:r>
        <w:rPr>
          <w:w w:val="105"/>
          <w:sz w:val="21"/>
        </w:rPr>
        <w:t>estate</w:t>
      </w:r>
      <w:r>
        <w:rPr>
          <w:spacing w:val="-9"/>
          <w:w w:val="105"/>
          <w:sz w:val="21"/>
        </w:rPr>
        <w:t> </w:t>
      </w:r>
      <w:r>
        <w:rPr>
          <w:w w:val="105"/>
          <w:sz w:val="21"/>
        </w:rPr>
        <w:t>is</w:t>
      </w:r>
      <w:r>
        <w:rPr>
          <w:spacing w:val="-9"/>
          <w:w w:val="105"/>
          <w:sz w:val="21"/>
        </w:rPr>
        <w:t> </w:t>
      </w:r>
      <w:r>
        <w:rPr>
          <w:spacing w:val="-3"/>
          <w:w w:val="105"/>
          <w:sz w:val="21"/>
        </w:rPr>
        <w:t>charged</w:t>
      </w:r>
      <w:r>
        <w:rPr>
          <w:spacing w:val="-9"/>
          <w:w w:val="105"/>
          <w:sz w:val="21"/>
        </w:rPr>
        <w:t> </w:t>
      </w:r>
      <w:r>
        <w:rPr>
          <w:w w:val="105"/>
          <w:sz w:val="21"/>
        </w:rPr>
        <w:t>by</w:t>
      </w:r>
      <w:r>
        <w:rPr>
          <w:spacing w:val="-9"/>
          <w:w w:val="105"/>
          <w:sz w:val="21"/>
        </w:rPr>
        <w:t> </w:t>
      </w:r>
      <w:r>
        <w:rPr>
          <w:w w:val="105"/>
          <w:sz w:val="21"/>
        </w:rPr>
        <w:t>legal practitioner executors </w:t>
      </w:r>
      <w:r>
        <w:rPr>
          <w:spacing w:val="-3"/>
          <w:w w:val="105"/>
          <w:sz w:val="21"/>
        </w:rPr>
        <w:t>for executorial </w:t>
      </w:r>
      <w:r>
        <w:rPr>
          <w:w w:val="105"/>
          <w:sz w:val="21"/>
        </w:rPr>
        <w:t>and legal</w:t>
      </w:r>
      <w:r>
        <w:rPr>
          <w:spacing w:val="21"/>
          <w:w w:val="105"/>
          <w:sz w:val="21"/>
        </w:rPr>
        <w:t> </w:t>
      </w:r>
      <w:r>
        <w:rPr>
          <w:w w:val="105"/>
          <w:sz w:val="21"/>
        </w:rPr>
        <w:t>services.</w:t>
      </w:r>
    </w:p>
    <w:p>
      <w:pPr>
        <w:pStyle w:val="ListParagraph"/>
        <w:numPr>
          <w:ilvl w:val="1"/>
          <w:numId w:val="22"/>
        </w:numPr>
        <w:tabs>
          <w:tab w:pos="2380" w:val="left" w:leader="none"/>
          <w:tab w:pos="2382" w:val="left" w:leader="none"/>
        </w:tabs>
        <w:spacing w:line="242" w:lineRule="auto" w:before="127" w:after="0"/>
        <w:ind w:left="2381" w:right="2133" w:hanging="794"/>
        <w:jc w:val="left"/>
        <w:rPr>
          <w:sz w:val="21"/>
        </w:rPr>
      </w:pPr>
      <w:r>
        <w:rPr>
          <w:w w:val="105"/>
          <w:sz w:val="21"/>
        </w:rPr>
        <w:t>The</w:t>
      </w:r>
      <w:r>
        <w:rPr>
          <w:spacing w:val="-10"/>
          <w:w w:val="105"/>
          <w:sz w:val="21"/>
        </w:rPr>
        <w:t> </w:t>
      </w:r>
      <w:r>
        <w:rPr>
          <w:spacing w:val="-3"/>
          <w:w w:val="105"/>
          <w:sz w:val="21"/>
        </w:rPr>
        <w:t>Commission</w:t>
      </w:r>
      <w:r>
        <w:rPr>
          <w:spacing w:val="-10"/>
          <w:w w:val="105"/>
          <w:sz w:val="21"/>
        </w:rPr>
        <w:t> </w:t>
      </w:r>
      <w:r>
        <w:rPr>
          <w:w w:val="105"/>
          <w:sz w:val="21"/>
        </w:rPr>
        <w:t>also</w:t>
      </w:r>
      <w:r>
        <w:rPr>
          <w:spacing w:val="-10"/>
          <w:w w:val="105"/>
          <w:sz w:val="21"/>
        </w:rPr>
        <w:t> </w:t>
      </w:r>
      <w:r>
        <w:rPr>
          <w:w w:val="105"/>
          <w:sz w:val="21"/>
        </w:rPr>
        <w:t>explored</w:t>
      </w:r>
      <w:r>
        <w:rPr>
          <w:spacing w:val="-10"/>
          <w:w w:val="105"/>
          <w:sz w:val="21"/>
        </w:rPr>
        <w:t> </w:t>
      </w:r>
      <w:r>
        <w:rPr>
          <w:w w:val="105"/>
          <w:sz w:val="21"/>
        </w:rPr>
        <w:t>whether</w:t>
      </w:r>
      <w:r>
        <w:rPr>
          <w:spacing w:val="-10"/>
          <w:w w:val="105"/>
          <w:sz w:val="21"/>
        </w:rPr>
        <w:t> </w:t>
      </w:r>
      <w:r>
        <w:rPr>
          <w:w w:val="105"/>
          <w:sz w:val="21"/>
        </w:rPr>
        <w:t>legal</w:t>
      </w:r>
      <w:r>
        <w:rPr>
          <w:spacing w:val="-10"/>
          <w:w w:val="105"/>
          <w:sz w:val="21"/>
        </w:rPr>
        <w:t> </w:t>
      </w:r>
      <w:r>
        <w:rPr>
          <w:w w:val="105"/>
          <w:sz w:val="21"/>
        </w:rPr>
        <w:t>practitioners</w:t>
      </w:r>
      <w:r>
        <w:rPr>
          <w:spacing w:val="-9"/>
          <w:w w:val="105"/>
          <w:sz w:val="21"/>
        </w:rPr>
        <w:t> </w:t>
      </w:r>
      <w:r>
        <w:rPr>
          <w:w w:val="105"/>
          <w:sz w:val="21"/>
        </w:rPr>
        <w:t>should</w:t>
      </w:r>
      <w:r>
        <w:rPr>
          <w:spacing w:val="-10"/>
          <w:w w:val="105"/>
          <w:sz w:val="21"/>
        </w:rPr>
        <w:t> </w:t>
      </w:r>
      <w:r>
        <w:rPr>
          <w:w w:val="105"/>
          <w:sz w:val="21"/>
        </w:rPr>
        <w:t>be</w:t>
      </w:r>
      <w:r>
        <w:rPr>
          <w:spacing w:val="-10"/>
          <w:w w:val="105"/>
          <w:sz w:val="21"/>
        </w:rPr>
        <w:t> </w:t>
      </w:r>
      <w:r>
        <w:rPr>
          <w:w w:val="105"/>
          <w:sz w:val="21"/>
        </w:rPr>
        <w:t>able</w:t>
      </w:r>
      <w:r>
        <w:rPr>
          <w:spacing w:val="-10"/>
          <w:w w:val="105"/>
          <w:sz w:val="21"/>
        </w:rPr>
        <w:t> </w:t>
      </w:r>
      <w:r>
        <w:rPr>
          <w:spacing w:val="-3"/>
          <w:w w:val="105"/>
          <w:sz w:val="21"/>
        </w:rPr>
        <w:t>to</w:t>
      </w:r>
      <w:r>
        <w:rPr>
          <w:spacing w:val="-10"/>
          <w:w w:val="105"/>
          <w:sz w:val="21"/>
        </w:rPr>
        <w:t> </w:t>
      </w:r>
      <w:r>
        <w:rPr>
          <w:w w:val="105"/>
          <w:sz w:val="21"/>
        </w:rPr>
        <w:t>elect</w:t>
      </w:r>
      <w:r>
        <w:rPr>
          <w:spacing w:val="-10"/>
          <w:w w:val="105"/>
          <w:sz w:val="21"/>
        </w:rPr>
        <w:t> </w:t>
      </w:r>
      <w:r>
        <w:rPr>
          <w:spacing w:val="-3"/>
          <w:w w:val="105"/>
          <w:sz w:val="21"/>
        </w:rPr>
        <w:t>to charge </w:t>
      </w:r>
      <w:r>
        <w:rPr>
          <w:w w:val="105"/>
          <w:sz w:val="21"/>
        </w:rPr>
        <w:t>a fee </w:t>
      </w:r>
      <w:r>
        <w:rPr>
          <w:spacing w:val="-3"/>
          <w:w w:val="105"/>
          <w:sz w:val="21"/>
        </w:rPr>
        <w:t>for executorial </w:t>
      </w:r>
      <w:r>
        <w:rPr>
          <w:w w:val="105"/>
          <w:sz w:val="21"/>
        </w:rPr>
        <w:t>services, </w:t>
      </w:r>
      <w:r>
        <w:rPr>
          <w:spacing w:val="-3"/>
          <w:w w:val="105"/>
          <w:sz w:val="21"/>
        </w:rPr>
        <w:t>rather than claiming commission to </w:t>
      </w:r>
      <w:r>
        <w:rPr>
          <w:w w:val="105"/>
          <w:sz w:val="21"/>
        </w:rPr>
        <w:t>which they would otherwise be </w:t>
      </w:r>
      <w:r>
        <w:rPr>
          <w:spacing w:val="-3"/>
          <w:w w:val="105"/>
          <w:sz w:val="21"/>
        </w:rPr>
        <w:t>entitled. </w:t>
      </w:r>
      <w:r>
        <w:rPr>
          <w:w w:val="105"/>
          <w:sz w:val="21"/>
        </w:rPr>
        <w:t>Most responses endorsed the idea and the </w:t>
      </w:r>
      <w:r>
        <w:rPr>
          <w:spacing w:val="-3"/>
          <w:w w:val="105"/>
          <w:sz w:val="21"/>
        </w:rPr>
        <w:t>following </w:t>
      </w:r>
      <w:r>
        <w:rPr>
          <w:w w:val="105"/>
          <w:sz w:val="21"/>
        </w:rPr>
        <w:t>benefits </w:t>
      </w:r>
      <w:r>
        <w:rPr>
          <w:spacing w:val="-3"/>
          <w:w w:val="105"/>
          <w:sz w:val="21"/>
        </w:rPr>
        <w:t>were</w:t>
      </w:r>
      <w:r>
        <w:rPr>
          <w:spacing w:val="10"/>
          <w:w w:val="105"/>
          <w:sz w:val="21"/>
        </w:rPr>
        <w:t> </w:t>
      </w:r>
      <w:r>
        <w:rPr>
          <w:w w:val="105"/>
          <w:sz w:val="21"/>
        </w:rPr>
        <w:t>identified:</w:t>
      </w:r>
    </w:p>
    <w:p>
      <w:pPr>
        <w:pStyle w:val="ListParagraph"/>
        <w:numPr>
          <w:ilvl w:val="2"/>
          <w:numId w:val="22"/>
        </w:numPr>
        <w:tabs>
          <w:tab w:pos="2721" w:val="left" w:leader="none"/>
          <w:tab w:pos="2722" w:val="left" w:leader="none"/>
        </w:tabs>
        <w:spacing w:line="242" w:lineRule="auto" w:before="124" w:after="0"/>
        <w:ind w:left="2721" w:right="2083" w:hanging="340"/>
        <w:jc w:val="left"/>
        <w:rPr>
          <w:sz w:val="12"/>
        </w:rPr>
      </w:pPr>
      <w:r>
        <w:rPr>
          <w:spacing w:val="-3"/>
          <w:w w:val="105"/>
          <w:sz w:val="21"/>
        </w:rPr>
        <w:t>Commission</w:t>
      </w:r>
      <w:r>
        <w:rPr>
          <w:spacing w:val="-4"/>
          <w:w w:val="105"/>
          <w:sz w:val="21"/>
        </w:rPr>
        <w:t> </w:t>
      </w:r>
      <w:r>
        <w:rPr>
          <w:spacing w:val="-3"/>
          <w:w w:val="105"/>
          <w:sz w:val="21"/>
        </w:rPr>
        <w:t>claimed</w:t>
      </w:r>
      <w:r>
        <w:rPr>
          <w:spacing w:val="-4"/>
          <w:w w:val="105"/>
          <w:sz w:val="21"/>
        </w:rPr>
        <w:t> </w:t>
      </w:r>
      <w:r>
        <w:rPr>
          <w:w w:val="105"/>
          <w:sz w:val="21"/>
        </w:rPr>
        <w:t>on</w:t>
      </w:r>
      <w:r>
        <w:rPr>
          <w:spacing w:val="-4"/>
          <w:w w:val="105"/>
          <w:sz w:val="21"/>
        </w:rPr>
        <w:t> </w:t>
      </w:r>
      <w:r>
        <w:rPr>
          <w:w w:val="105"/>
          <w:sz w:val="21"/>
        </w:rPr>
        <w:t>the</w:t>
      </w:r>
      <w:r>
        <w:rPr>
          <w:spacing w:val="-4"/>
          <w:w w:val="105"/>
          <w:sz w:val="21"/>
        </w:rPr>
        <w:t> </w:t>
      </w:r>
      <w:r>
        <w:rPr>
          <w:w w:val="105"/>
          <w:sz w:val="21"/>
        </w:rPr>
        <w:t>basis</w:t>
      </w:r>
      <w:r>
        <w:rPr>
          <w:spacing w:val="-4"/>
          <w:w w:val="105"/>
          <w:sz w:val="21"/>
        </w:rPr>
        <w:t> </w:t>
      </w:r>
      <w:r>
        <w:rPr>
          <w:w w:val="105"/>
          <w:sz w:val="21"/>
        </w:rPr>
        <w:t>of</w:t>
      </w:r>
      <w:r>
        <w:rPr>
          <w:spacing w:val="-3"/>
          <w:w w:val="105"/>
          <w:sz w:val="21"/>
        </w:rPr>
        <w:t> </w:t>
      </w:r>
      <w:r>
        <w:rPr>
          <w:w w:val="105"/>
          <w:sz w:val="21"/>
        </w:rPr>
        <w:t>a</w:t>
      </w:r>
      <w:r>
        <w:rPr>
          <w:spacing w:val="-4"/>
          <w:w w:val="105"/>
          <w:sz w:val="21"/>
        </w:rPr>
        <w:t> </w:t>
      </w:r>
      <w:r>
        <w:rPr>
          <w:w w:val="105"/>
          <w:sz w:val="21"/>
        </w:rPr>
        <w:t>percentage</w:t>
      </w:r>
      <w:r>
        <w:rPr>
          <w:spacing w:val="-4"/>
          <w:w w:val="105"/>
          <w:sz w:val="21"/>
        </w:rPr>
        <w:t> </w:t>
      </w:r>
      <w:r>
        <w:rPr>
          <w:w w:val="105"/>
          <w:sz w:val="21"/>
        </w:rPr>
        <w:t>of</w:t>
      </w:r>
      <w:r>
        <w:rPr>
          <w:spacing w:val="-4"/>
          <w:w w:val="105"/>
          <w:sz w:val="21"/>
        </w:rPr>
        <w:t> </w:t>
      </w:r>
      <w:r>
        <w:rPr>
          <w:w w:val="105"/>
          <w:sz w:val="21"/>
        </w:rPr>
        <w:t>the</w:t>
      </w:r>
      <w:r>
        <w:rPr>
          <w:spacing w:val="-4"/>
          <w:w w:val="105"/>
          <w:sz w:val="21"/>
        </w:rPr>
        <w:t> </w:t>
      </w:r>
      <w:r>
        <w:rPr>
          <w:w w:val="105"/>
          <w:sz w:val="21"/>
        </w:rPr>
        <w:t>estate</w:t>
      </w:r>
      <w:r>
        <w:rPr>
          <w:spacing w:val="-3"/>
          <w:w w:val="105"/>
          <w:sz w:val="21"/>
        </w:rPr>
        <w:t> </w:t>
      </w:r>
      <w:r>
        <w:rPr>
          <w:w w:val="105"/>
          <w:sz w:val="21"/>
        </w:rPr>
        <w:t>or</w:t>
      </w:r>
      <w:r>
        <w:rPr>
          <w:spacing w:val="-4"/>
          <w:w w:val="105"/>
          <w:sz w:val="21"/>
        </w:rPr>
        <w:t> </w:t>
      </w:r>
      <w:r>
        <w:rPr>
          <w:w w:val="105"/>
          <w:sz w:val="21"/>
        </w:rPr>
        <w:t>its</w:t>
      </w:r>
      <w:r>
        <w:rPr>
          <w:spacing w:val="-4"/>
          <w:w w:val="105"/>
          <w:sz w:val="21"/>
        </w:rPr>
        <w:t> </w:t>
      </w:r>
      <w:r>
        <w:rPr>
          <w:spacing w:val="-3"/>
          <w:w w:val="105"/>
          <w:sz w:val="21"/>
        </w:rPr>
        <w:t>income</w:t>
      </w:r>
      <w:r>
        <w:rPr>
          <w:spacing w:val="-4"/>
          <w:w w:val="105"/>
          <w:sz w:val="21"/>
        </w:rPr>
        <w:t> </w:t>
      </w:r>
      <w:r>
        <w:rPr>
          <w:w w:val="105"/>
          <w:sz w:val="21"/>
        </w:rPr>
        <w:t>can </w:t>
      </w:r>
      <w:r>
        <w:rPr>
          <w:spacing w:val="-3"/>
          <w:w w:val="105"/>
          <w:sz w:val="21"/>
        </w:rPr>
        <w:t>produce outcomes that are </w:t>
      </w:r>
      <w:r>
        <w:rPr>
          <w:w w:val="105"/>
          <w:sz w:val="21"/>
        </w:rPr>
        <w:t>cost ineffective in the case of large</w:t>
      </w:r>
      <w:r>
        <w:rPr>
          <w:spacing w:val="16"/>
          <w:w w:val="105"/>
          <w:sz w:val="21"/>
        </w:rPr>
        <w:t> </w:t>
      </w:r>
      <w:r>
        <w:rPr>
          <w:spacing w:val="-5"/>
          <w:w w:val="105"/>
          <w:sz w:val="21"/>
        </w:rPr>
        <w:t>estates.</w:t>
      </w:r>
      <w:r>
        <w:rPr>
          <w:spacing w:val="-5"/>
          <w:w w:val="105"/>
          <w:position w:val="7"/>
          <w:sz w:val="12"/>
        </w:rPr>
        <w:t>116</w:t>
      </w:r>
    </w:p>
    <w:p>
      <w:pPr>
        <w:pStyle w:val="ListParagraph"/>
        <w:numPr>
          <w:ilvl w:val="2"/>
          <w:numId w:val="22"/>
        </w:numPr>
        <w:tabs>
          <w:tab w:pos="2721" w:val="left" w:leader="none"/>
          <w:tab w:pos="2722" w:val="left" w:leader="none"/>
        </w:tabs>
        <w:spacing w:line="240" w:lineRule="auto" w:before="122" w:after="0"/>
        <w:ind w:left="2721" w:right="0" w:hanging="340"/>
        <w:jc w:val="left"/>
        <w:rPr>
          <w:sz w:val="12"/>
        </w:rPr>
      </w:pPr>
      <w:r>
        <w:rPr>
          <w:w w:val="105"/>
          <w:sz w:val="21"/>
        </w:rPr>
        <w:t>It </w:t>
      </w:r>
      <w:r>
        <w:rPr>
          <w:spacing w:val="-3"/>
          <w:w w:val="105"/>
          <w:sz w:val="21"/>
        </w:rPr>
        <w:t>will </w:t>
      </w:r>
      <w:r>
        <w:rPr>
          <w:w w:val="105"/>
          <w:sz w:val="21"/>
        </w:rPr>
        <w:t>help </w:t>
      </w:r>
      <w:r>
        <w:rPr>
          <w:spacing w:val="-3"/>
          <w:w w:val="105"/>
          <w:sz w:val="21"/>
        </w:rPr>
        <w:t>to </w:t>
      </w:r>
      <w:r>
        <w:rPr>
          <w:w w:val="105"/>
          <w:sz w:val="21"/>
        </w:rPr>
        <w:t>avoid </w:t>
      </w:r>
      <w:r>
        <w:rPr>
          <w:spacing w:val="-4"/>
          <w:w w:val="105"/>
          <w:sz w:val="21"/>
        </w:rPr>
        <w:t>‘double </w:t>
      </w:r>
      <w:r>
        <w:rPr>
          <w:spacing w:val="-3"/>
          <w:w w:val="105"/>
          <w:sz w:val="21"/>
        </w:rPr>
        <w:t>dipping’ from</w:t>
      </w:r>
      <w:r>
        <w:rPr>
          <w:spacing w:val="11"/>
          <w:w w:val="105"/>
          <w:sz w:val="21"/>
        </w:rPr>
        <w:t> </w:t>
      </w:r>
      <w:r>
        <w:rPr>
          <w:w w:val="105"/>
          <w:sz w:val="21"/>
        </w:rPr>
        <w:t>the </w:t>
      </w:r>
      <w:r>
        <w:rPr>
          <w:spacing w:val="-6"/>
          <w:w w:val="105"/>
          <w:sz w:val="21"/>
        </w:rPr>
        <w:t>estate.</w:t>
      </w:r>
      <w:r>
        <w:rPr>
          <w:spacing w:val="-6"/>
          <w:w w:val="105"/>
          <w:position w:val="7"/>
          <w:sz w:val="12"/>
        </w:rPr>
        <w:t>117</w:t>
      </w:r>
    </w:p>
    <w:p>
      <w:pPr>
        <w:pStyle w:val="ListParagraph"/>
        <w:numPr>
          <w:ilvl w:val="2"/>
          <w:numId w:val="22"/>
        </w:numPr>
        <w:tabs>
          <w:tab w:pos="2721" w:val="left" w:leader="none"/>
          <w:tab w:pos="2722" w:val="left" w:leader="none"/>
        </w:tabs>
        <w:spacing w:line="240" w:lineRule="auto" w:before="124" w:after="0"/>
        <w:ind w:left="2721" w:right="0" w:hanging="340"/>
        <w:jc w:val="left"/>
        <w:rPr>
          <w:sz w:val="12"/>
        </w:rPr>
      </w:pPr>
      <w:r>
        <w:rPr>
          <w:w w:val="105"/>
          <w:sz w:val="21"/>
        </w:rPr>
        <w:t>It would resolve the problem of </w:t>
      </w:r>
      <w:r>
        <w:rPr>
          <w:spacing w:val="-3"/>
          <w:w w:val="105"/>
          <w:sz w:val="21"/>
        </w:rPr>
        <w:t>delineating </w:t>
      </w:r>
      <w:r>
        <w:rPr>
          <w:w w:val="105"/>
          <w:sz w:val="21"/>
        </w:rPr>
        <w:t>between legal costs and</w:t>
      </w:r>
      <w:r>
        <w:rPr>
          <w:spacing w:val="29"/>
          <w:w w:val="105"/>
          <w:sz w:val="21"/>
        </w:rPr>
        <w:t> </w:t>
      </w:r>
      <w:r>
        <w:rPr>
          <w:spacing w:val="-5"/>
          <w:w w:val="105"/>
          <w:sz w:val="21"/>
        </w:rPr>
        <w:t>commission.</w:t>
      </w:r>
      <w:r>
        <w:rPr>
          <w:spacing w:val="-5"/>
          <w:w w:val="105"/>
          <w:position w:val="7"/>
          <w:sz w:val="12"/>
        </w:rPr>
        <w:t>118</w:t>
      </w:r>
    </w:p>
    <w:p>
      <w:pPr>
        <w:pStyle w:val="ListParagraph"/>
        <w:numPr>
          <w:ilvl w:val="1"/>
          <w:numId w:val="22"/>
        </w:numPr>
        <w:tabs>
          <w:tab w:pos="2381" w:val="left" w:leader="none"/>
          <w:tab w:pos="2382" w:val="left" w:leader="none"/>
        </w:tabs>
        <w:spacing w:line="242" w:lineRule="auto" w:before="124" w:after="0"/>
        <w:ind w:left="2381" w:right="1997" w:hanging="794"/>
        <w:jc w:val="left"/>
        <w:rPr>
          <w:sz w:val="12"/>
        </w:rPr>
      </w:pPr>
      <w:r>
        <w:rPr>
          <w:w w:val="105"/>
          <w:sz w:val="21"/>
        </w:rPr>
        <w:t>The </w:t>
      </w:r>
      <w:r>
        <w:rPr>
          <w:spacing w:val="-3"/>
          <w:w w:val="105"/>
          <w:sz w:val="21"/>
        </w:rPr>
        <w:t>submission from </w:t>
      </w:r>
      <w:r>
        <w:rPr>
          <w:w w:val="105"/>
          <w:sz w:val="21"/>
        </w:rPr>
        <w:t>the Law </w:t>
      </w:r>
      <w:r>
        <w:rPr>
          <w:spacing w:val="-3"/>
          <w:w w:val="105"/>
          <w:sz w:val="21"/>
        </w:rPr>
        <w:t>Institute </w:t>
      </w:r>
      <w:r>
        <w:rPr>
          <w:w w:val="105"/>
          <w:sz w:val="21"/>
        </w:rPr>
        <w:t>of Victoria supported the status </w:t>
      </w:r>
      <w:r>
        <w:rPr>
          <w:spacing w:val="-7"/>
          <w:w w:val="105"/>
          <w:sz w:val="21"/>
        </w:rPr>
        <w:t>quo.</w:t>
      </w:r>
      <w:r>
        <w:rPr>
          <w:spacing w:val="-7"/>
          <w:w w:val="105"/>
          <w:position w:val="7"/>
          <w:sz w:val="12"/>
        </w:rPr>
        <w:t>119 </w:t>
      </w:r>
      <w:r>
        <w:rPr>
          <w:w w:val="105"/>
          <w:sz w:val="21"/>
        </w:rPr>
        <w:t>The Association</w:t>
      </w:r>
      <w:r>
        <w:rPr>
          <w:spacing w:val="-9"/>
          <w:w w:val="105"/>
          <w:sz w:val="21"/>
        </w:rPr>
        <w:t> </w:t>
      </w:r>
      <w:r>
        <w:rPr>
          <w:w w:val="105"/>
          <w:sz w:val="21"/>
        </w:rPr>
        <w:t>of</w:t>
      </w:r>
      <w:r>
        <w:rPr>
          <w:spacing w:val="-8"/>
          <w:w w:val="105"/>
          <w:sz w:val="21"/>
        </w:rPr>
        <w:t> </w:t>
      </w:r>
      <w:r>
        <w:rPr>
          <w:w w:val="105"/>
          <w:sz w:val="21"/>
        </w:rPr>
        <w:t>Independent</w:t>
      </w:r>
      <w:r>
        <w:rPr>
          <w:spacing w:val="-8"/>
          <w:w w:val="105"/>
          <w:sz w:val="21"/>
        </w:rPr>
        <w:t> </w:t>
      </w:r>
      <w:r>
        <w:rPr>
          <w:w w:val="105"/>
          <w:sz w:val="21"/>
        </w:rPr>
        <w:t>Retirees</w:t>
      </w:r>
      <w:r>
        <w:rPr>
          <w:spacing w:val="-9"/>
          <w:w w:val="105"/>
          <w:sz w:val="21"/>
        </w:rPr>
        <w:t> </w:t>
      </w:r>
      <w:r>
        <w:rPr>
          <w:w w:val="105"/>
          <w:sz w:val="21"/>
        </w:rPr>
        <w:t>agreed</w:t>
      </w:r>
      <w:r>
        <w:rPr>
          <w:spacing w:val="-8"/>
          <w:w w:val="105"/>
          <w:sz w:val="21"/>
        </w:rPr>
        <w:t> </w:t>
      </w:r>
      <w:r>
        <w:rPr>
          <w:w w:val="105"/>
          <w:sz w:val="21"/>
        </w:rPr>
        <w:t>with</w:t>
      </w:r>
      <w:r>
        <w:rPr>
          <w:spacing w:val="-8"/>
          <w:w w:val="105"/>
          <w:sz w:val="21"/>
        </w:rPr>
        <w:t> </w:t>
      </w:r>
      <w:r>
        <w:rPr>
          <w:w w:val="105"/>
          <w:sz w:val="21"/>
        </w:rPr>
        <w:t>the</w:t>
      </w:r>
      <w:r>
        <w:rPr>
          <w:spacing w:val="-8"/>
          <w:w w:val="105"/>
          <w:sz w:val="21"/>
        </w:rPr>
        <w:t> </w:t>
      </w:r>
      <w:r>
        <w:rPr>
          <w:w w:val="105"/>
          <w:sz w:val="21"/>
        </w:rPr>
        <w:t>idea</w:t>
      </w:r>
      <w:r>
        <w:rPr>
          <w:spacing w:val="-9"/>
          <w:w w:val="105"/>
          <w:sz w:val="21"/>
        </w:rPr>
        <w:t> </w:t>
      </w:r>
      <w:r>
        <w:rPr>
          <w:w w:val="105"/>
          <w:sz w:val="21"/>
        </w:rPr>
        <w:t>but</w:t>
      </w:r>
      <w:r>
        <w:rPr>
          <w:spacing w:val="-8"/>
          <w:w w:val="105"/>
          <w:sz w:val="21"/>
        </w:rPr>
        <w:t> </w:t>
      </w:r>
      <w:r>
        <w:rPr>
          <w:spacing w:val="-3"/>
          <w:w w:val="105"/>
          <w:sz w:val="21"/>
        </w:rPr>
        <w:t>noted</w:t>
      </w:r>
      <w:r>
        <w:rPr>
          <w:spacing w:val="-8"/>
          <w:w w:val="105"/>
          <w:sz w:val="21"/>
        </w:rPr>
        <w:t> </w:t>
      </w:r>
      <w:r>
        <w:rPr>
          <w:spacing w:val="-3"/>
          <w:w w:val="105"/>
          <w:sz w:val="21"/>
        </w:rPr>
        <w:t>that</w:t>
      </w:r>
      <w:r>
        <w:rPr>
          <w:spacing w:val="-8"/>
          <w:w w:val="105"/>
          <w:sz w:val="21"/>
        </w:rPr>
        <w:t> </w:t>
      </w:r>
      <w:r>
        <w:rPr>
          <w:w w:val="105"/>
          <w:sz w:val="21"/>
        </w:rPr>
        <w:t>it</w:t>
      </w:r>
      <w:r>
        <w:rPr>
          <w:spacing w:val="-9"/>
          <w:w w:val="105"/>
          <w:sz w:val="21"/>
        </w:rPr>
        <w:t> </w:t>
      </w:r>
      <w:r>
        <w:rPr>
          <w:w w:val="105"/>
          <w:sz w:val="21"/>
        </w:rPr>
        <w:t>would</w:t>
      </w:r>
      <w:r>
        <w:rPr>
          <w:spacing w:val="-8"/>
          <w:w w:val="105"/>
          <w:sz w:val="21"/>
        </w:rPr>
        <w:t> </w:t>
      </w:r>
      <w:r>
        <w:rPr>
          <w:spacing w:val="-2"/>
          <w:w w:val="105"/>
          <w:sz w:val="21"/>
        </w:rPr>
        <w:t>not </w:t>
      </w:r>
      <w:r>
        <w:rPr>
          <w:w w:val="105"/>
          <w:sz w:val="21"/>
        </w:rPr>
        <w:t>necessarily </w:t>
      </w:r>
      <w:r>
        <w:rPr>
          <w:spacing w:val="-3"/>
          <w:w w:val="105"/>
          <w:sz w:val="21"/>
        </w:rPr>
        <w:t>reduce </w:t>
      </w:r>
      <w:r>
        <w:rPr>
          <w:w w:val="105"/>
          <w:sz w:val="21"/>
        </w:rPr>
        <w:t>the </w:t>
      </w:r>
      <w:r>
        <w:rPr>
          <w:spacing w:val="-3"/>
          <w:w w:val="105"/>
          <w:sz w:val="21"/>
        </w:rPr>
        <w:t>amount</w:t>
      </w:r>
      <w:r>
        <w:rPr>
          <w:spacing w:val="21"/>
          <w:w w:val="105"/>
          <w:sz w:val="21"/>
        </w:rPr>
        <w:t> </w:t>
      </w:r>
      <w:r>
        <w:rPr>
          <w:spacing w:val="-5"/>
          <w:w w:val="105"/>
          <w:sz w:val="21"/>
        </w:rPr>
        <w:t>claimed.</w:t>
      </w:r>
      <w:r>
        <w:rPr>
          <w:spacing w:val="-5"/>
          <w:w w:val="105"/>
          <w:position w:val="7"/>
          <w:sz w:val="12"/>
        </w:rPr>
        <w:t>120</w:t>
      </w:r>
    </w:p>
    <w:p>
      <w:pPr>
        <w:pStyle w:val="ListParagraph"/>
        <w:numPr>
          <w:ilvl w:val="1"/>
          <w:numId w:val="22"/>
        </w:numPr>
        <w:tabs>
          <w:tab w:pos="2380" w:val="left" w:leader="none"/>
          <w:tab w:pos="2381" w:val="left" w:leader="none"/>
        </w:tabs>
        <w:spacing w:line="242" w:lineRule="auto" w:before="123" w:after="0"/>
        <w:ind w:left="2381" w:right="1591" w:hanging="794"/>
        <w:jc w:val="left"/>
        <w:rPr>
          <w:sz w:val="21"/>
        </w:rPr>
      </w:pPr>
      <w:r>
        <w:rPr>
          <w:w w:val="105"/>
          <w:sz w:val="21"/>
        </w:rPr>
        <w:t>A</w:t>
      </w:r>
      <w:r>
        <w:rPr>
          <w:spacing w:val="-10"/>
          <w:w w:val="105"/>
          <w:sz w:val="21"/>
        </w:rPr>
        <w:t> </w:t>
      </w:r>
      <w:r>
        <w:rPr>
          <w:w w:val="105"/>
          <w:sz w:val="21"/>
        </w:rPr>
        <w:t>number</w:t>
      </w:r>
      <w:r>
        <w:rPr>
          <w:spacing w:val="-9"/>
          <w:w w:val="105"/>
          <w:sz w:val="21"/>
        </w:rPr>
        <w:t> </w:t>
      </w:r>
      <w:r>
        <w:rPr>
          <w:w w:val="105"/>
          <w:sz w:val="21"/>
        </w:rPr>
        <w:t>of</w:t>
      </w:r>
      <w:r>
        <w:rPr>
          <w:spacing w:val="-10"/>
          <w:w w:val="105"/>
          <w:sz w:val="21"/>
        </w:rPr>
        <w:t> </w:t>
      </w:r>
      <w:r>
        <w:rPr>
          <w:w w:val="105"/>
          <w:sz w:val="21"/>
        </w:rPr>
        <w:t>legal</w:t>
      </w:r>
      <w:r>
        <w:rPr>
          <w:spacing w:val="-9"/>
          <w:w w:val="105"/>
          <w:sz w:val="21"/>
        </w:rPr>
        <w:t> </w:t>
      </w:r>
      <w:r>
        <w:rPr>
          <w:w w:val="105"/>
          <w:sz w:val="21"/>
        </w:rPr>
        <w:t>practitioners</w:t>
      </w:r>
      <w:r>
        <w:rPr>
          <w:spacing w:val="-10"/>
          <w:w w:val="105"/>
          <w:sz w:val="21"/>
        </w:rPr>
        <w:t> </w:t>
      </w:r>
      <w:r>
        <w:rPr>
          <w:w w:val="105"/>
          <w:sz w:val="21"/>
        </w:rPr>
        <w:t>said</w:t>
      </w:r>
      <w:r>
        <w:rPr>
          <w:spacing w:val="-9"/>
          <w:w w:val="105"/>
          <w:sz w:val="21"/>
        </w:rPr>
        <w:t> </w:t>
      </w:r>
      <w:r>
        <w:rPr>
          <w:spacing w:val="-3"/>
          <w:w w:val="105"/>
          <w:sz w:val="21"/>
        </w:rPr>
        <w:t>that</w:t>
      </w:r>
      <w:r>
        <w:rPr>
          <w:spacing w:val="-10"/>
          <w:w w:val="105"/>
          <w:sz w:val="21"/>
        </w:rPr>
        <w:t> </w:t>
      </w:r>
      <w:r>
        <w:rPr>
          <w:w w:val="105"/>
          <w:sz w:val="21"/>
        </w:rPr>
        <w:t>they</w:t>
      </w:r>
      <w:r>
        <w:rPr>
          <w:spacing w:val="-9"/>
          <w:w w:val="105"/>
          <w:sz w:val="21"/>
        </w:rPr>
        <w:t> </w:t>
      </w:r>
      <w:r>
        <w:rPr>
          <w:spacing w:val="-3"/>
          <w:w w:val="105"/>
          <w:sz w:val="21"/>
        </w:rPr>
        <w:t>routinely</w:t>
      </w:r>
      <w:r>
        <w:rPr>
          <w:spacing w:val="-10"/>
          <w:w w:val="105"/>
          <w:sz w:val="21"/>
        </w:rPr>
        <w:t> </w:t>
      </w:r>
      <w:r>
        <w:rPr>
          <w:spacing w:val="-3"/>
          <w:w w:val="105"/>
          <w:sz w:val="21"/>
        </w:rPr>
        <w:t>charge</w:t>
      </w:r>
      <w:r>
        <w:rPr>
          <w:spacing w:val="-9"/>
          <w:w w:val="105"/>
          <w:sz w:val="21"/>
        </w:rPr>
        <w:t> </w:t>
      </w:r>
      <w:r>
        <w:rPr>
          <w:w w:val="105"/>
          <w:sz w:val="21"/>
        </w:rPr>
        <w:t>fees</w:t>
      </w:r>
      <w:r>
        <w:rPr>
          <w:spacing w:val="-10"/>
          <w:w w:val="105"/>
          <w:sz w:val="21"/>
        </w:rPr>
        <w:t> </w:t>
      </w:r>
      <w:r>
        <w:rPr>
          <w:spacing w:val="-3"/>
          <w:w w:val="105"/>
          <w:sz w:val="21"/>
        </w:rPr>
        <w:t>for</w:t>
      </w:r>
      <w:r>
        <w:rPr>
          <w:spacing w:val="-9"/>
          <w:w w:val="105"/>
          <w:sz w:val="21"/>
        </w:rPr>
        <w:t> </w:t>
      </w:r>
      <w:r>
        <w:rPr>
          <w:spacing w:val="-3"/>
          <w:w w:val="105"/>
          <w:sz w:val="21"/>
        </w:rPr>
        <w:t>executorial</w:t>
      </w:r>
      <w:r>
        <w:rPr>
          <w:spacing w:val="-10"/>
          <w:w w:val="105"/>
          <w:sz w:val="21"/>
        </w:rPr>
        <w:t> </w:t>
      </w:r>
      <w:r>
        <w:rPr>
          <w:w w:val="105"/>
          <w:sz w:val="21"/>
        </w:rPr>
        <w:t>services </w:t>
      </w:r>
      <w:r>
        <w:rPr>
          <w:spacing w:val="-3"/>
          <w:w w:val="105"/>
          <w:sz w:val="21"/>
        </w:rPr>
        <w:t>rather than </w:t>
      </w:r>
      <w:r>
        <w:rPr>
          <w:spacing w:val="-5"/>
          <w:w w:val="105"/>
          <w:sz w:val="21"/>
        </w:rPr>
        <w:t>commission.</w:t>
      </w:r>
      <w:r>
        <w:rPr>
          <w:spacing w:val="-5"/>
          <w:w w:val="105"/>
          <w:position w:val="7"/>
          <w:sz w:val="12"/>
        </w:rPr>
        <w:t>121 </w:t>
      </w:r>
      <w:r>
        <w:rPr>
          <w:spacing w:val="-4"/>
          <w:w w:val="105"/>
          <w:sz w:val="21"/>
        </w:rPr>
        <w:t>However, </w:t>
      </w:r>
      <w:r>
        <w:rPr>
          <w:w w:val="105"/>
          <w:sz w:val="21"/>
        </w:rPr>
        <w:t>the basis on which the fees </w:t>
      </w:r>
      <w:r>
        <w:rPr>
          <w:spacing w:val="-3"/>
          <w:w w:val="105"/>
          <w:sz w:val="21"/>
        </w:rPr>
        <w:t>are calculated </w:t>
      </w:r>
      <w:r>
        <w:rPr>
          <w:w w:val="105"/>
          <w:sz w:val="21"/>
        </w:rPr>
        <w:t>was </w:t>
      </w:r>
      <w:r>
        <w:rPr>
          <w:spacing w:val="-2"/>
          <w:w w:val="105"/>
          <w:sz w:val="21"/>
        </w:rPr>
        <w:t>not </w:t>
      </w:r>
      <w:r>
        <w:rPr>
          <w:w w:val="105"/>
          <w:sz w:val="21"/>
        </w:rPr>
        <w:t>always </w:t>
      </w:r>
      <w:r>
        <w:rPr>
          <w:spacing w:val="-5"/>
          <w:w w:val="105"/>
          <w:sz w:val="21"/>
        </w:rPr>
        <w:t>clear. </w:t>
      </w:r>
      <w:r>
        <w:rPr>
          <w:w w:val="105"/>
          <w:sz w:val="21"/>
        </w:rPr>
        <w:t>The </w:t>
      </w:r>
      <w:r>
        <w:rPr>
          <w:spacing w:val="-3"/>
          <w:w w:val="105"/>
          <w:sz w:val="21"/>
        </w:rPr>
        <w:t>charges were variously referred to </w:t>
      </w:r>
      <w:r>
        <w:rPr>
          <w:w w:val="105"/>
          <w:sz w:val="21"/>
        </w:rPr>
        <w:t>as legal fees and </w:t>
      </w:r>
      <w:r>
        <w:rPr>
          <w:spacing w:val="-3"/>
          <w:w w:val="105"/>
          <w:sz w:val="21"/>
        </w:rPr>
        <w:t>professional </w:t>
      </w:r>
      <w:r>
        <w:rPr>
          <w:w w:val="105"/>
          <w:sz w:val="21"/>
        </w:rPr>
        <w:t>fees, even</w:t>
      </w:r>
      <w:r>
        <w:rPr>
          <w:spacing w:val="-10"/>
          <w:w w:val="105"/>
          <w:sz w:val="21"/>
        </w:rPr>
        <w:t> </w:t>
      </w:r>
      <w:r>
        <w:rPr>
          <w:w w:val="105"/>
          <w:sz w:val="21"/>
        </w:rPr>
        <w:t>though</w:t>
      </w:r>
      <w:r>
        <w:rPr>
          <w:spacing w:val="-9"/>
          <w:w w:val="105"/>
          <w:sz w:val="21"/>
        </w:rPr>
        <w:t> </w:t>
      </w:r>
      <w:r>
        <w:rPr>
          <w:w w:val="105"/>
          <w:sz w:val="21"/>
        </w:rPr>
        <w:t>neither</w:t>
      </w:r>
      <w:r>
        <w:rPr>
          <w:spacing w:val="-9"/>
          <w:w w:val="105"/>
          <w:sz w:val="21"/>
        </w:rPr>
        <w:t> </w:t>
      </w:r>
      <w:r>
        <w:rPr>
          <w:w w:val="105"/>
          <w:sz w:val="21"/>
        </w:rPr>
        <w:t>legal</w:t>
      </w:r>
      <w:r>
        <w:rPr>
          <w:spacing w:val="-9"/>
          <w:w w:val="105"/>
          <w:sz w:val="21"/>
        </w:rPr>
        <w:t> </w:t>
      </w:r>
      <w:r>
        <w:rPr>
          <w:w w:val="105"/>
          <w:sz w:val="21"/>
        </w:rPr>
        <w:t>nor</w:t>
      </w:r>
      <w:r>
        <w:rPr>
          <w:spacing w:val="-9"/>
          <w:w w:val="105"/>
          <w:sz w:val="21"/>
        </w:rPr>
        <w:t> </w:t>
      </w:r>
      <w:r>
        <w:rPr>
          <w:spacing w:val="-3"/>
          <w:w w:val="105"/>
          <w:sz w:val="21"/>
        </w:rPr>
        <w:t>professional</w:t>
      </w:r>
      <w:r>
        <w:rPr>
          <w:spacing w:val="-9"/>
          <w:w w:val="105"/>
          <w:sz w:val="21"/>
        </w:rPr>
        <w:t> </w:t>
      </w:r>
      <w:r>
        <w:rPr>
          <w:spacing w:val="-3"/>
          <w:w w:val="105"/>
          <w:sz w:val="21"/>
        </w:rPr>
        <w:t>skills</w:t>
      </w:r>
      <w:r>
        <w:rPr>
          <w:spacing w:val="-9"/>
          <w:w w:val="105"/>
          <w:sz w:val="21"/>
        </w:rPr>
        <w:t> </w:t>
      </w:r>
      <w:r>
        <w:rPr>
          <w:spacing w:val="-3"/>
          <w:w w:val="105"/>
          <w:sz w:val="21"/>
        </w:rPr>
        <w:t>may</w:t>
      </w:r>
      <w:r>
        <w:rPr>
          <w:spacing w:val="-10"/>
          <w:w w:val="105"/>
          <w:sz w:val="21"/>
        </w:rPr>
        <w:t> </w:t>
      </w:r>
      <w:r>
        <w:rPr>
          <w:w w:val="105"/>
          <w:sz w:val="21"/>
        </w:rPr>
        <w:t>be</w:t>
      </w:r>
      <w:r>
        <w:rPr>
          <w:spacing w:val="-9"/>
          <w:w w:val="105"/>
          <w:sz w:val="21"/>
        </w:rPr>
        <w:t> </w:t>
      </w:r>
      <w:r>
        <w:rPr>
          <w:spacing w:val="-3"/>
          <w:w w:val="105"/>
          <w:sz w:val="21"/>
        </w:rPr>
        <w:t>required</w:t>
      </w:r>
      <w:r>
        <w:rPr>
          <w:spacing w:val="-9"/>
          <w:w w:val="105"/>
          <w:sz w:val="21"/>
        </w:rPr>
        <w:t> </w:t>
      </w:r>
      <w:r>
        <w:rPr>
          <w:w w:val="105"/>
          <w:sz w:val="21"/>
        </w:rPr>
        <w:t>in</w:t>
      </w:r>
      <w:r>
        <w:rPr>
          <w:spacing w:val="-9"/>
          <w:w w:val="105"/>
          <w:sz w:val="21"/>
        </w:rPr>
        <w:t> </w:t>
      </w:r>
      <w:r>
        <w:rPr>
          <w:w w:val="105"/>
          <w:sz w:val="21"/>
        </w:rPr>
        <w:t>performing</w:t>
      </w:r>
      <w:r>
        <w:rPr>
          <w:spacing w:val="-9"/>
          <w:w w:val="105"/>
          <w:sz w:val="21"/>
        </w:rPr>
        <w:t> </w:t>
      </w:r>
      <w:r>
        <w:rPr>
          <w:spacing w:val="-3"/>
          <w:w w:val="105"/>
          <w:sz w:val="21"/>
        </w:rPr>
        <w:t>executorial </w:t>
      </w:r>
      <w:r>
        <w:rPr>
          <w:w w:val="105"/>
          <w:sz w:val="21"/>
        </w:rPr>
        <w:t>tasks. </w:t>
      </w:r>
      <w:r>
        <w:rPr>
          <w:spacing w:val="-3"/>
          <w:w w:val="105"/>
          <w:sz w:val="21"/>
        </w:rPr>
        <w:t>Many executorial </w:t>
      </w:r>
      <w:r>
        <w:rPr>
          <w:w w:val="105"/>
          <w:sz w:val="21"/>
        </w:rPr>
        <w:t>tasks </w:t>
      </w:r>
      <w:r>
        <w:rPr>
          <w:spacing w:val="-3"/>
          <w:w w:val="105"/>
          <w:sz w:val="21"/>
        </w:rPr>
        <w:t>are </w:t>
      </w:r>
      <w:r>
        <w:rPr>
          <w:w w:val="105"/>
          <w:sz w:val="21"/>
        </w:rPr>
        <w:t>performed by clerical staff </w:t>
      </w:r>
      <w:r>
        <w:rPr>
          <w:spacing w:val="-3"/>
          <w:w w:val="105"/>
          <w:sz w:val="21"/>
        </w:rPr>
        <w:t>rather than </w:t>
      </w:r>
      <w:r>
        <w:rPr>
          <w:w w:val="105"/>
          <w:sz w:val="21"/>
        </w:rPr>
        <w:t>by the </w:t>
      </w:r>
      <w:r>
        <w:rPr>
          <w:spacing w:val="-3"/>
          <w:w w:val="105"/>
          <w:sz w:val="21"/>
        </w:rPr>
        <w:t>appointed </w:t>
      </w:r>
      <w:r>
        <w:rPr>
          <w:w w:val="105"/>
          <w:sz w:val="21"/>
        </w:rPr>
        <w:t>legal</w:t>
      </w:r>
      <w:r>
        <w:rPr>
          <w:spacing w:val="-10"/>
          <w:w w:val="105"/>
          <w:sz w:val="21"/>
        </w:rPr>
        <w:t> </w:t>
      </w:r>
      <w:r>
        <w:rPr>
          <w:spacing w:val="-3"/>
          <w:w w:val="105"/>
          <w:sz w:val="21"/>
        </w:rPr>
        <w:t>practitioner.</w:t>
      </w:r>
      <w:r>
        <w:rPr>
          <w:spacing w:val="-9"/>
          <w:w w:val="105"/>
          <w:sz w:val="21"/>
        </w:rPr>
        <w:t> </w:t>
      </w:r>
      <w:r>
        <w:rPr>
          <w:w w:val="105"/>
          <w:sz w:val="21"/>
        </w:rPr>
        <w:t>Where</w:t>
      </w:r>
      <w:r>
        <w:rPr>
          <w:spacing w:val="-10"/>
          <w:w w:val="105"/>
          <w:sz w:val="21"/>
        </w:rPr>
        <w:t> </w:t>
      </w:r>
      <w:r>
        <w:rPr>
          <w:w w:val="105"/>
          <w:sz w:val="21"/>
        </w:rPr>
        <w:t>the</w:t>
      </w:r>
      <w:r>
        <w:rPr>
          <w:spacing w:val="-9"/>
          <w:w w:val="105"/>
          <w:sz w:val="21"/>
        </w:rPr>
        <w:t> </w:t>
      </w:r>
      <w:r>
        <w:rPr>
          <w:w w:val="105"/>
          <w:sz w:val="21"/>
        </w:rPr>
        <w:t>law</w:t>
      </w:r>
      <w:r>
        <w:rPr>
          <w:spacing w:val="-9"/>
          <w:w w:val="105"/>
          <w:sz w:val="21"/>
        </w:rPr>
        <w:t> </w:t>
      </w:r>
      <w:r>
        <w:rPr>
          <w:w w:val="105"/>
          <w:sz w:val="21"/>
        </w:rPr>
        <w:t>practice</w:t>
      </w:r>
      <w:r>
        <w:rPr>
          <w:spacing w:val="-10"/>
          <w:w w:val="105"/>
          <w:sz w:val="21"/>
        </w:rPr>
        <w:t> </w:t>
      </w:r>
      <w:r>
        <w:rPr>
          <w:spacing w:val="-3"/>
          <w:w w:val="105"/>
          <w:sz w:val="21"/>
        </w:rPr>
        <w:t>for</w:t>
      </w:r>
      <w:r>
        <w:rPr>
          <w:spacing w:val="-9"/>
          <w:w w:val="105"/>
          <w:sz w:val="21"/>
        </w:rPr>
        <w:t> </w:t>
      </w:r>
      <w:r>
        <w:rPr>
          <w:w w:val="105"/>
          <w:sz w:val="21"/>
        </w:rPr>
        <w:t>which</w:t>
      </w:r>
      <w:r>
        <w:rPr>
          <w:spacing w:val="-9"/>
          <w:w w:val="105"/>
          <w:sz w:val="21"/>
        </w:rPr>
        <w:t> </w:t>
      </w:r>
      <w:r>
        <w:rPr>
          <w:w w:val="105"/>
          <w:sz w:val="21"/>
        </w:rPr>
        <w:t>the</w:t>
      </w:r>
      <w:r>
        <w:rPr>
          <w:spacing w:val="-10"/>
          <w:w w:val="105"/>
          <w:sz w:val="21"/>
        </w:rPr>
        <w:t> </w:t>
      </w:r>
      <w:r>
        <w:rPr>
          <w:spacing w:val="-3"/>
          <w:w w:val="105"/>
          <w:sz w:val="21"/>
        </w:rPr>
        <w:t>executor</w:t>
      </w:r>
      <w:r>
        <w:rPr>
          <w:spacing w:val="-9"/>
          <w:w w:val="105"/>
          <w:sz w:val="21"/>
        </w:rPr>
        <w:t> </w:t>
      </w:r>
      <w:r>
        <w:rPr>
          <w:w w:val="105"/>
          <w:sz w:val="21"/>
        </w:rPr>
        <w:t>works</w:t>
      </w:r>
      <w:r>
        <w:rPr>
          <w:spacing w:val="-10"/>
          <w:w w:val="105"/>
          <w:sz w:val="21"/>
        </w:rPr>
        <w:t> </w:t>
      </w:r>
      <w:r>
        <w:rPr>
          <w:w w:val="105"/>
          <w:sz w:val="21"/>
        </w:rPr>
        <w:t>also</w:t>
      </w:r>
      <w:r>
        <w:rPr>
          <w:spacing w:val="-9"/>
          <w:w w:val="105"/>
          <w:sz w:val="21"/>
        </w:rPr>
        <w:t> </w:t>
      </w:r>
      <w:r>
        <w:rPr>
          <w:w w:val="105"/>
          <w:sz w:val="21"/>
        </w:rPr>
        <w:t>provides</w:t>
      </w:r>
      <w:r>
        <w:rPr>
          <w:spacing w:val="-9"/>
          <w:w w:val="105"/>
          <w:sz w:val="21"/>
        </w:rPr>
        <w:t> </w:t>
      </w:r>
      <w:r>
        <w:rPr>
          <w:w w:val="105"/>
          <w:sz w:val="21"/>
        </w:rPr>
        <w:t>legal services, there is even less call on the </w:t>
      </w:r>
      <w:r>
        <w:rPr>
          <w:spacing w:val="-3"/>
          <w:w w:val="105"/>
          <w:sz w:val="21"/>
        </w:rPr>
        <w:t>executor’s professional</w:t>
      </w:r>
      <w:r>
        <w:rPr>
          <w:spacing w:val="18"/>
          <w:w w:val="105"/>
          <w:sz w:val="21"/>
        </w:rPr>
        <w:t> </w:t>
      </w:r>
      <w:r>
        <w:rPr>
          <w:spacing w:val="-3"/>
          <w:w w:val="105"/>
          <w:sz w:val="21"/>
        </w:rPr>
        <w:t>skills:</w:t>
      </w:r>
    </w:p>
    <w:p>
      <w:pPr>
        <w:spacing w:line="254" w:lineRule="auto" w:before="137"/>
        <w:ind w:left="2721" w:right="1826" w:firstLine="0"/>
        <w:jc w:val="left"/>
        <w:rPr>
          <w:sz w:val="11"/>
        </w:rPr>
      </w:pPr>
      <w:r>
        <w:rPr>
          <w:w w:val="105"/>
          <w:sz w:val="20"/>
        </w:rPr>
        <w:t>Often,</w:t>
      </w:r>
      <w:r>
        <w:rPr>
          <w:spacing w:val="-6"/>
          <w:w w:val="105"/>
          <w:sz w:val="20"/>
        </w:rPr>
        <w:t> </w:t>
      </w:r>
      <w:r>
        <w:rPr>
          <w:w w:val="105"/>
          <w:sz w:val="20"/>
        </w:rPr>
        <w:t>virtually</w:t>
      </w:r>
      <w:r>
        <w:rPr>
          <w:spacing w:val="-5"/>
          <w:w w:val="105"/>
          <w:sz w:val="20"/>
        </w:rPr>
        <w:t> </w:t>
      </w:r>
      <w:r>
        <w:rPr>
          <w:w w:val="105"/>
          <w:sz w:val="20"/>
        </w:rPr>
        <w:t>all</w:t>
      </w:r>
      <w:r>
        <w:rPr>
          <w:spacing w:val="-5"/>
          <w:w w:val="105"/>
          <w:sz w:val="20"/>
        </w:rPr>
        <w:t> </w:t>
      </w:r>
      <w:r>
        <w:rPr>
          <w:w w:val="105"/>
          <w:sz w:val="20"/>
        </w:rPr>
        <w:t>the</w:t>
      </w:r>
      <w:r>
        <w:rPr>
          <w:spacing w:val="-5"/>
          <w:w w:val="105"/>
          <w:sz w:val="20"/>
        </w:rPr>
        <w:t> </w:t>
      </w:r>
      <w:r>
        <w:rPr>
          <w:w w:val="105"/>
          <w:sz w:val="20"/>
        </w:rPr>
        <w:t>work</w:t>
      </w:r>
      <w:r>
        <w:rPr>
          <w:spacing w:val="-5"/>
          <w:w w:val="105"/>
          <w:sz w:val="20"/>
        </w:rPr>
        <w:t> </w:t>
      </w:r>
      <w:r>
        <w:rPr>
          <w:w w:val="105"/>
          <w:sz w:val="20"/>
        </w:rPr>
        <w:t>is</w:t>
      </w:r>
      <w:r>
        <w:rPr>
          <w:spacing w:val="-5"/>
          <w:w w:val="105"/>
          <w:sz w:val="20"/>
        </w:rPr>
        <w:t> </w:t>
      </w:r>
      <w:r>
        <w:rPr>
          <w:w w:val="105"/>
          <w:sz w:val="20"/>
        </w:rPr>
        <w:t>done</w:t>
      </w:r>
      <w:r>
        <w:rPr>
          <w:spacing w:val="-5"/>
          <w:w w:val="105"/>
          <w:sz w:val="20"/>
        </w:rPr>
        <w:t> </w:t>
      </w:r>
      <w:r>
        <w:rPr>
          <w:w w:val="105"/>
          <w:sz w:val="20"/>
        </w:rPr>
        <w:t>by</w:t>
      </w:r>
      <w:r>
        <w:rPr>
          <w:spacing w:val="-5"/>
          <w:w w:val="105"/>
          <w:sz w:val="20"/>
        </w:rPr>
        <w:t> </w:t>
      </w:r>
      <w:r>
        <w:rPr>
          <w:w w:val="105"/>
          <w:sz w:val="20"/>
        </w:rPr>
        <w:t>the</w:t>
      </w:r>
      <w:r>
        <w:rPr>
          <w:spacing w:val="-5"/>
          <w:w w:val="105"/>
          <w:sz w:val="20"/>
        </w:rPr>
        <w:t> </w:t>
      </w:r>
      <w:r>
        <w:rPr>
          <w:w w:val="105"/>
          <w:sz w:val="20"/>
        </w:rPr>
        <w:t>firm.</w:t>
      </w:r>
      <w:r>
        <w:rPr>
          <w:spacing w:val="-5"/>
          <w:w w:val="105"/>
          <w:sz w:val="20"/>
        </w:rPr>
        <w:t> </w:t>
      </w:r>
      <w:r>
        <w:rPr>
          <w:w w:val="105"/>
          <w:sz w:val="20"/>
        </w:rPr>
        <w:t>The</w:t>
      </w:r>
      <w:r>
        <w:rPr>
          <w:spacing w:val="-5"/>
          <w:w w:val="105"/>
          <w:sz w:val="20"/>
        </w:rPr>
        <w:t> </w:t>
      </w:r>
      <w:r>
        <w:rPr>
          <w:w w:val="105"/>
          <w:sz w:val="20"/>
        </w:rPr>
        <w:t>only</w:t>
      </w:r>
      <w:r>
        <w:rPr>
          <w:spacing w:val="-5"/>
          <w:w w:val="105"/>
          <w:sz w:val="20"/>
        </w:rPr>
        <w:t> </w:t>
      </w:r>
      <w:r>
        <w:rPr>
          <w:w w:val="105"/>
          <w:sz w:val="20"/>
        </w:rPr>
        <w:t>work,</w:t>
      </w:r>
      <w:r>
        <w:rPr>
          <w:spacing w:val="-6"/>
          <w:w w:val="105"/>
          <w:sz w:val="20"/>
        </w:rPr>
        <w:t> </w:t>
      </w:r>
      <w:r>
        <w:rPr>
          <w:w w:val="105"/>
          <w:sz w:val="20"/>
        </w:rPr>
        <w:t>apart</w:t>
      </w:r>
      <w:r>
        <w:rPr>
          <w:spacing w:val="-5"/>
          <w:w w:val="105"/>
          <w:sz w:val="20"/>
        </w:rPr>
        <w:t> </w:t>
      </w:r>
      <w:r>
        <w:rPr>
          <w:w w:val="105"/>
          <w:sz w:val="20"/>
        </w:rPr>
        <w:t>from</w:t>
      </w:r>
      <w:r>
        <w:rPr>
          <w:spacing w:val="-5"/>
          <w:w w:val="105"/>
          <w:sz w:val="20"/>
        </w:rPr>
        <w:t> </w:t>
      </w:r>
      <w:r>
        <w:rPr>
          <w:w w:val="105"/>
          <w:sz w:val="20"/>
        </w:rPr>
        <w:t>the</w:t>
      </w:r>
      <w:r>
        <w:rPr>
          <w:spacing w:val="-5"/>
          <w:w w:val="105"/>
          <w:sz w:val="20"/>
        </w:rPr>
        <w:t> </w:t>
      </w:r>
      <w:r>
        <w:rPr>
          <w:spacing w:val="-3"/>
          <w:w w:val="105"/>
          <w:sz w:val="20"/>
        </w:rPr>
        <w:t>minimal </w:t>
      </w:r>
      <w:r>
        <w:rPr>
          <w:w w:val="105"/>
          <w:sz w:val="20"/>
        </w:rPr>
        <w:t>work </w:t>
      </w:r>
      <w:r>
        <w:rPr>
          <w:spacing w:val="-3"/>
          <w:w w:val="105"/>
          <w:sz w:val="20"/>
        </w:rPr>
        <w:t>relating </w:t>
      </w:r>
      <w:r>
        <w:rPr>
          <w:w w:val="105"/>
          <w:sz w:val="20"/>
        </w:rPr>
        <w:t>to obtaining a </w:t>
      </w:r>
      <w:r>
        <w:rPr>
          <w:spacing w:val="-3"/>
          <w:w w:val="105"/>
          <w:sz w:val="20"/>
        </w:rPr>
        <w:t>grant </w:t>
      </w:r>
      <w:r>
        <w:rPr>
          <w:w w:val="105"/>
          <w:sz w:val="20"/>
        </w:rPr>
        <w:t>and signing the transmission application, are attendances</w:t>
      </w:r>
      <w:r>
        <w:rPr>
          <w:spacing w:val="-10"/>
          <w:w w:val="105"/>
          <w:sz w:val="20"/>
        </w:rPr>
        <w:t> </w:t>
      </w:r>
      <w:r>
        <w:rPr>
          <w:w w:val="105"/>
          <w:sz w:val="20"/>
        </w:rPr>
        <w:t>on</w:t>
      </w:r>
      <w:r>
        <w:rPr>
          <w:spacing w:val="-10"/>
          <w:w w:val="105"/>
          <w:sz w:val="20"/>
        </w:rPr>
        <w:t> </w:t>
      </w:r>
      <w:r>
        <w:rPr>
          <w:w w:val="105"/>
          <w:sz w:val="20"/>
        </w:rPr>
        <w:t>the</w:t>
      </w:r>
      <w:r>
        <w:rPr>
          <w:spacing w:val="-10"/>
          <w:w w:val="105"/>
          <w:sz w:val="20"/>
        </w:rPr>
        <w:t> </w:t>
      </w:r>
      <w:r>
        <w:rPr>
          <w:w w:val="105"/>
          <w:sz w:val="20"/>
        </w:rPr>
        <w:t>solicitors</w:t>
      </w:r>
      <w:r>
        <w:rPr>
          <w:spacing w:val="-10"/>
          <w:w w:val="105"/>
          <w:sz w:val="20"/>
        </w:rPr>
        <w:t> </w:t>
      </w:r>
      <w:r>
        <w:rPr>
          <w:w w:val="105"/>
          <w:sz w:val="20"/>
        </w:rPr>
        <w:t>of</w:t>
      </w:r>
      <w:r>
        <w:rPr>
          <w:spacing w:val="-10"/>
          <w:w w:val="105"/>
          <w:sz w:val="20"/>
        </w:rPr>
        <w:t> </w:t>
      </w:r>
      <w:r>
        <w:rPr>
          <w:w w:val="105"/>
          <w:sz w:val="20"/>
        </w:rPr>
        <w:t>their</w:t>
      </w:r>
      <w:r>
        <w:rPr>
          <w:spacing w:val="-10"/>
          <w:w w:val="105"/>
          <w:sz w:val="20"/>
        </w:rPr>
        <w:t> </w:t>
      </w:r>
      <w:r>
        <w:rPr>
          <w:w w:val="105"/>
          <w:sz w:val="20"/>
        </w:rPr>
        <w:t>firm</w:t>
      </w:r>
      <w:r>
        <w:rPr>
          <w:spacing w:val="-9"/>
          <w:w w:val="105"/>
          <w:sz w:val="20"/>
        </w:rPr>
        <w:t> </w:t>
      </w:r>
      <w:r>
        <w:rPr>
          <w:w w:val="105"/>
          <w:sz w:val="20"/>
        </w:rPr>
        <w:t>and</w:t>
      </w:r>
      <w:r>
        <w:rPr>
          <w:spacing w:val="-10"/>
          <w:w w:val="105"/>
          <w:sz w:val="20"/>
        </w:rPr>
        <w:t> </w:t>
      </w:r>
      <w:r>
        <w:rPr>
          <w:w w:val="105"/>
          <w:sz w:val="20"/>
        </w:rPr>
        <w:t>to</w:t>
      </w:r>
      <w:r>
        <w:rPr>
          <w:spacing w:val="-10"/>
          <w:w w:val="105"/>
          <w:sz w:val="20"/>
        </w:rPr>
        <w:t> </w:t>
      </w:r>
      <w:r>
        <w:rPr>
          <w:w w:val="105"/>
          <w:sz w:val="20"/>
        </w:rPr>
        <w:t>read</w:t>
      </w:r>
      <w:r>
        <w:rPr>
          <w:spacing w:val="-10"/>
          <w:w w:val="105"/>
          <w:sz w:val="20"/>
        </w:rPr>
        <w:t> </w:t>
      </w:r>
      <w:r>
        <w:rPr>
          <w:w w:val="105"/>
          <w:sz w:val="20"/>
        </w:rPr>
        <w:t>letters</w:t>
      </w:r>
      <w:r>
        <w:rPr>
          <w:spacing w:val="-10"/>
          <w:w w:val="105"/>
          <w:sz w:val="20"/>
        </w:rPr>
        <w:t> </w:t>
      </w:r>
      <w:r>
        <w:rPr>
          <w:w w:val="105"/>
          <w:sz w:val="20"/>
        </w:rPr>
        <w:t>from</w:t>
      </w:r>
      <w:r>
        <w:rPr>
          <w:spacing w:val="-10"/>
          <w:w w:val="105"/>
          <w:sz w:val="20"/>
        </w:rPr>
        <w:t> </w:t>
      </w:r>
      <w:r>
        <w:rPr>
          <w:w w:val="105"/>
          <w:sz w:val="20"/>
        </w:rPr>
        <w:t>their</w:t>
      </w:r>
      <w:r>
        <w:rPr>
          <w:spacing w:val="-9"/>
          <w:w w:val="105"/>
          <w:sz w:val="20"/>
        </w:rPr>
        <w:t> </w:t>
      </w:r>
      <w:r>
        <w:rPr>
          <w:w w:val="105"/>
          <w:sz w:val="20"/>
        </w:rPr>
        <w:t>firm,</w:t>
      </w:r>
      <w:r>
        <w:rPr>
          <w:spacing w:val="-10"/>
          <w:w w:val="105"/>
          <w:sz w:val="20"/>
        </w:rPr>
        <w:t> </w:t>
      </w:r>
      <w:r>
        <w:rPr>
          <w:w w:val="105"/>
          <w:sz w:val="20"/>
        </w:rPr>
        <w:t>for</w:t>
      </w:r>
      <w:r>
        <w:rPr>
          <w:spacing w:val="-10"/>
          <w:w w:val="105"/>
          <w:sz w:val="20"/>
        </w:rPr>
        <w:t> </w:t>
      </w:r>
      <w:r>
        <w:rPr>
          <w:w w:val="105"/>
          <w:sz w:val="20"/>
        </w:rPr>
        <w:t>which the firm has charged the</w:t>
      </w:r>
      <w:r>
        <w:rPr>
          <w:spacing w:val="25"/>
          <w:w w:val="105"/>
          <w:sz w:val="20"/>
        </w:rPr>
        <w:t> </w:t>
      </w:r>
      <w:r>
        <w:rPr>
          <w:spacing w:val="-4"/>
          <w:w w:val="105"/>
          <w:sz w:val="20"/>
        </w:rPr>
        <w:t>estate.</w:t>
      </w:r>
      <w:r>
        <w:rPr>
          <w:spacing w:val="-4"/>
          <w:w w:val="105"/>
          <w:position w:val="7"/>
          <w:sz w:val="11"/>
        </w:rPr>
        <w:t>122</w:t>
      </w:r>
    </w:p>
    <w:p>
      <w:pPr>
        <w:pStyle w:val="ListParagraph"/>
        <w:numPr>
          <w:ilvl w:val="1"/>
          <w:numId w:val="22"/>
        </w:numPr>
        <w:tabs>
          <w:tab w:pos="2381" w:val="left" w:leader="none"/>
          <w:tab w:pos="2382" w:val="left" w:leader="none"/>
        </w:tabs>
        <w:spacing w:line="242" w:lineRule="auto" w:before="115" w:after="0"/>
        <w:ind w:left="2381" w:right="1937" w:hanging="794"/>
        <w:jc w:val="left"/>
        <w:rPr>
          <w:sz w:val="21"/>
        </w:rPr>
      </w:pPr>
      <w:r>
        <w:rPr>
          <w:sz w:val="21"/>
        </w:rPr>
        <w:t>The </w:t>
      </w:r>
      <w:r>
        <w:rPr>
          <w:spacing w:val="-3"/>
          <w:sz w:val="21"/>
        </w:rPr>
        <w:t>Commission </w:t>
      </w:r>
      <w:r>
        <w:rPr>
          <w:sz w:val="21"/>
        </w:rPr>
        <w:t>was told </w:t>
      </w:r>
      <w:r>
        <w:rPr>
          <w:spacing w:val="-3"/>
          <w:sz w:val="21"/>
        </w:rPr>
        <w:t>that </w:t>
      </w:r>
      <w:r>
        <w:rPr>
          <w:sz w:val="21"/>
        </w:rPr>
        <w:t>the </w:t>
      </w:r>
      <w:r>
        <w:rPr>
          <w:i/>
          <w:sz w:val="21"/>
        </w:rPr>
        <w:t>Practitioner </w:t>
      </w:r>
      <w:r>
        <w:rPr>
          <w:i/>
          <w:spacing w:val="-3"/>
          <w:sz w:val="21"/>
        </w:rPr>
        <w:t>Remuneration </w:t>
      </w:r>
      <w:r>
        <w:rPr>
          <w:i/>
          <w:sz w:val="21"/>
        </w:rPr>
        <w:t>Order </w:t>
      </w:r>
      <w:r>
        <w:rPr>
          <w:sz w:val="21"/>
        </w:rPr>
        <w:t>provides sufficient </w:t>
      </w:r>
      <w:r>
        <w:rPr>
          <w:spacing w:val="-3"/>
          <w:sz w:val="21"/>
        </w:rPr>
        <w:t>guidance </w:t>
      </w:r>
      <w:r>
        <w:rPr>
          <w:sz w:val="21"/>
        </w:rPr>
        <w:t>on how </w:t>
      </w:r>
      <w:r>
        <w:rPr>
          <w:spacing w:val="-3"/>
          <w:sz w:val="21"/>
        </w:rPr>
        <w:t>to calculate </w:t>
      </w:r>
      <w:r>
        <w:rPr>
          <w:sz w:val="21"/>
        </w:rPr>
        <w:t>fees </w:t>
      </w:r>
      <w:r>
        <w:rPr>
          <w:spacing w:val="-3"/>
          <w:sz w:val="21"/>
        </w:rPr>
        <w:t>for executorial services.</w:t>
      </w:r>
      <w:r>
        <w:rPr>
          <w:spacing w:val="-3"/>
          <w:position w:val="7"/>
          <w:sz w:val="12"/>
        </w:rPr>
        <w:t>123 </w:t>
      </w:r>
      <w:r>
        <w:rPr>
          <w:sz w:val="21"/>
        </w:rPr>
        <w:t>The Practitioner </w:t>
      </w:r>
      <w:r>
        <w:rPr>
          <w:spacing w:val="-3"/>
          <w:sz w:val="21"/>
        </w:rPr>
        <w:t>Remuneration </w:t>
      </w:r>
      <w:r>
        <w:rPr>
          <w:sz w:val="21"/>
        </w:rPr>
        <w:t>Order sets out the costs </w:t>
      </w:r>
      <w:r>
        <w:rPr>
          <w:spacing w:val="-3"/>
          <w:sz w:val="21"/>
        </w:rPr>
        <w:t>that </w:t>
      </w:r>
      <w:r>
        <w:rPr>
          <w:sz w:val="21"/>
        </w:rPr>
        <w:t>law practices </w:t>
      </w:r>
      <w:r>
        <w:rPr>
          <w:spacing w:val="-3"/>
          <w:sz w:val="21"/>
        </w:rPr>
        <w:t>may charge for </w:t>
      </w:r>
      <w:r>
        <w:rPr>
          <w:sz w:val="21"/>
        </w:rPr>
        <w:t>legal services other </w:t>
      </w:r>
      <w:r>
        <w:rPr>
          <w:spacing w:val="-3"/>
          <w:sz w:val="21"/>
        </w:rPr>
        <w:t>than </w:t>
      </w:r>
      <w:r>
        <w:rPr>
          <w:sz w:val="21"/>
        </w:rPr>
        <w:t>in </w:t>
      </w:r>
      <w:r>
        <w:rPr>
          <w:spacing w:val="-3"/>
          <w:sz w:val="21"/>
        </w:rPr>
        <w:t>relation to litigious </w:t>
      </w:r>
      <w:r>
        <w:rPr>
          <w:sz w:val="21"/>
        </w:rPr>
        <w:t>matters and is </w:t>
      </w:r>
      <w:r>
        <w:rPr>
          <w:spacing w:val="-3"/>
          <w:sz w:val="21"/>
        </w:rPr>
        <w:t>prepared </w:t>
      </w:r>
      <w:r>
        <w:rPr>
          <w:sz w:val="21"/>
        </w:rPr>
        <w:t>in </w:t>
      </w:r>
      <w:r>
        <w:rPr>
          <w:spacing w:val="-3"/>
          <w:sz w:val="21"/>
        </w:rPr>
        <w:t>accordance </w:t>
      </w:r>
      <w:r>
        <w:rPr>
          <w:sz w:val="21"/>
        </w:rPr>
        <w:t>with</w:t>
      </w:r>
      <w:r>
        <w:rPr>
          <w:spacing w:val="-24"/>
          <w:sz w:val="21"/>
        </w:rPr>
        <w:t> </w:t>
      </w:r>
      <w:r>
        <w:rPr>
          <w:sz w:val="21"/>
        </w:rPr>
        <w:t>section</w:t>
      </w:r>
    </w:p>
    <w:p>
      <w:pPr>
        <w:pStyle w:val="BodyText"/>
        <w:spacing w:before="5"/>
        <w:ind w:left="2381"/>
      </w:pPr>
      <w:r>
        <w:rPr>
          <w:w w:val="105"/>
        </w:rPr>
        <w:t>3.4.22 of the Legal Profession Act.</w:t>
      </w:r>
    </w:p>
    <w:p>
      <w:pPr>
        <w:pStyle w:val="BodyText"/>
        <w:rPr>
          <w:sz w:val="20"/>
        </w:rPr>
      </w:pPr>
    </w:p>
    <w:p>
      <w:pPr>
        <w:pStyle w:val="BodyText"/>
        <w:rPr>
          <w:sz w:val="20"/>
        </w:rPr>
      </w:pPr>
    </w:p>
    <w:p>
      <w:pPr>
        <w:pStyle w:val="BodyText"/>
        <w:rPr>
          <w:sz w:val="20"/>
        </w:rPr>
      </w:pPr>
    </w:p>
    <w:p>
      <w:pPr>
        <w:pStyle w:val="BodyText"/>
        <w:spacing w:before="1"/>
        <w:rPr>
          <w:sz w:val="16"/>
        </w:rPr>
      </w:pPr>
      <w:r>
        <w:rPr/>
        <w:pict>
          <v:line style="position:absolute;mso-position-horizontal-relative:page;mso-position-vertical-relative:paragraph;z-index:9416;mso-wrap-distance-left:0;mso-wrap-distance-right:0" from="79.370102pt,12.290626pt" to="515.905102pt,12.290626pt" stroked="true" strokeweight="1pt" strokecolor="#f9ceca">
            <v:stroke dashstyle="solid"/>
            <w10:wrap type="topAndBottom"/>
          </v:line>
        </w:pict>
      </w:r>
    </w:p>
    <w:p>
      <w:pPr>
        <w:pStyle w:val="BodyText"/>
        <w:spacing w:before="8"/>
        <w:rPr>
          <w:sz w:val="5"/>
        </w:rPr>
      </w:pPr>
    </w:p>
    <w:p>
      <w:pPr>
        <w:spacing w:after="0"/>
        <w:rPr>
          <w:sz w:val="5"/>
        </w:rPr>
        <w:sectPr>
          <w:pgSz w:w="11910" w:h="16840"/>
          <w:pgMar w:header="805" w:footer="0" w:top="1360" w:bottom="280" w:left="0" w:right="0"/>
        </w:sectPr>
      </w:pPr>
    </w:p>
    <w:p>
      <w:pPr>
        <w:pStyle w:val="ListParagraph"/>
        <w:numPr>
          <w:ilvl w:val="0"/>
          <w:numId w:val="119"/>
        </w:numPr>
        <w:tabs>
          <w:tab w:pos="2380" w:val="left" w:leader="none"/>
          <w:tab w:pos="2382" w:val="left" w:leader="none"/>
        </w:tabs>
        <w:spacing w:line="240" w:lineRule="auto" w:before="48" w:after="0"/>
        <w:ind w:left="2381" w:right="0" w:hanging="794"/>
        <w:jc w:val="left"/>
        <w:rPr>
          <w:sz w:val="13"/>
        </w:rPr>
      </w:pPr>
      <w:r>
        <w:rPr>
          <w:w w:val="105"/>
          <w:sz w:val="13"/>
        </w:rPr>
        <w:t>Submission 1 </w:t>
      </w:r>
      <w:r>
        <w:rPr>
          <w:spacing w:val="2"/>
          <w:w w:val="105"/>
          <w:sz w:val="13"/>
        </w:rPr>
        <w:t>(Legal </w:t>
      </w:r>
      <w:r>
        <w:rPr>
          <w:w w:val="105"/>
          <w:sz w:val="13"/>
        </w:rPr>
        <w:t>Services</w:t>
      </w:r>
      <w:r>
        <w:rPr>
          <w:spacing w:val="28"/>
          <w:w w:val="105"/>
          <w:sz w:val="13"/>
        </w:rPr>
        <w:t> </w:t>
      </w:r>
      <w:r>
        <w:rPr>
          <w:w w:val="105"/>
          <w:sz w:val="13"/>
        </w:rPr>
        <w:t>Commissioner).</w:t>
      </w:r>
    </w:p>
    <w:p>
      <w:pPr>
        <w:pStyle w:val="ListParagraph"/>
        <w:numPr>
          <w:ilvl w:val="0"/>
          <w:numId w:val="119"/>
        </w:numPr>
        <w:tabs>
          <w:tab w:pos="2380" w:val="left" w:leader="none"/>
          <w:tab w:pos="2382" w:val="left" w:leader="none"/>
        </w:tabs>
        <w:spacing w:line="240" w:lineRule="auto" w:before="1" w:after="0"/>
        <w:ind w:left="2381" w:right="0" w:hanging="794"/>
        <w:jc w:val="left"/>
        <w:rPr>
          <w:sz w:val="13"/>
        </w:rPr>
      </w:pPr>
      <w:r>
        <w:rPr>
          <w:w w:val="105"/>
          <w:sz w:val="13"/>
        </w:rPr>
        <w:t>Submission </w:t>
      </w:r>
      <w:r>
        <w:rPr>
          <w:spacing w:val="-3"/>
          <w:w w:val="105"/>
          <w:sz w:val="13"/>
        </w:rPr>
        <w:t>14  </w:t>
      </w:r>
      <w:r>
        <w:rPr>
          <w:w w:val="105"/>
          <w:sz w:val="13"/>
        </w:rPr>
        <w:t>(Commercial Bar</w:t>
      </w:r>
      <w:r>
        <w:rPr>
          <w:spacing w:val="1"/>
          <w:w w:val="105"/>
          <w:sz w:val="13"/>
        </w:rPr>
        <w:t> </w:t>
      </w:r>
      <w:r>
        <w:rPr>
          <w:spacing w:val="2"/>
          <w:w w:val="105"/>
          <w:sz w:val="13"/>
        </w:rPr>
        <w:t>Association).</w:t>
      </w:r>
    </w:p>
    <w:p>
      <w:pPr>
        <w:pStyle w:val="ListParagraph"/>
        <w:numPr>
          <w:ilvl w:val="0"/>
          <w:numId w:val="119"/>
        </w:numPr>
        <w:tabs>
          <w:tab w:pos="2380" w:val="left" w:leader="none"/>
          <w:tab w:pos="2382" w:val="left" w:leader="none"/>
        </w:tabs>
        <w:spacing w:line="240" w:lineRule="auto" w:before="2" w:after="0"/>
        <w:ind w:left="2381" w:right="0" w:hanging="794"/>
        <w:jc w:val="left"/>
        <w:rPr>
          <w:sz w:val="13"/>
        </w:rPr>
      </w:pPr>
      <w:r>
        <w:rPr>
          <w:w w:val="105"/>
          <w:sz w:val="13"/>
        </w:rPr>
        <w:t>Submissions 25 </w:t>
      </w:r>
      <w:r>
        <w:rPr>
          <w:spacing w:val="2"/>
          <w:w w:val="105"/>
          <w:sz w:val="13"/>
        </w:rPr>
        <w:t>(Moores </w:t>
      </w:r>
      <w:r>
        <w:rPr>
          <w:w w:val="105"/>
          <w:sz w:val="13"/>
        </w:rPr>
        <w:t>Legal); 42a (Arnold Bloch Leibler).</w:t>
      </w:r>
    </w:p>
    <w:p>
      <w:pPr>
        <w:pStyle w:val="ListParagraph"/>
        <w:numPr>
          <w:ilvl w:val="0"/>
          <w:numId w:val="119"/>
        </w:numPr>
        <w:tabs>
          <w:tab w:pos="2380" w:val="left" w:leader="none"/>
          <w:tab w:pos="2382" w:val="left" w:leader="none"/>
        </w:tabs>
        <w:spacing w:line="240" w:lineRule="auto" w:before="1" w:after="0"/>
        <w:ind w:left="2381" w:right="0" w:hanging="794"/>
        <w:jc w:val="left"/>
        <w:rPr>
          <w:sz w:val="13"/>
        </w:rPr>
      </w:pPr>
      <w:r>
        <w:rPr>
          <w:w w:val="105"/>
          <w:sz w:val="13"/>
        </w:rPr>
        <w:t>Consultation 6 </w:t>
      </w:r>
      <w:r>
        <w:rPr>
          <w:spacing w:val="3"/>
          <w:w w:val="105"/>
          <w:sz w:val="13"/>
        </w:rPr>
        <w:t>(Law </w:t>
      </w:r>
      <w:r>
        <w:rPr>
          <w:w w:val="105"/>
          <w:sz w:val="13"/>
        </w:rPr>
        <w:t>Institute of Victoria Succession Law</w:t>
      </w:r>
      <w:r>
        <w:rPr>
          <w:spacing w:val="5"/>
          <w:w w:val="105"/>
          <w:sz w:val="13"/>
        </w:rPr>
        <w:t> </w:t>
      </w:r>
      <w:r>
        <w:rPr>
          <w:w w:val="105"/>
          <w:sz w:val="13"/>
        </w:rPr>
        <w:t>Committee).</w:t>
      </w:r>
    </w:p>
    <w:p>
      <w:pPr>
        <w:pStyle w:val="ListParagraph"/>
        <w:numPr>
          <w:ilvl w:val="0"/>
          <w:numId w:val="119"/>
        </w:numPr>
        <w:tabs>
          <w:tab w:pos="2381" w:val="left" w:leader="none"/>
          <w:tab w:pos="2382" w:val="left" w:leader="none"/>
        </w:tabs>
        <w:spacing w:line="240" w:lineRule="auto" w:before="1" w:after="0"/>
        <w:ind w:left="2381" w:right="0" w:hanging="794"/>
        <w:jc w:val="left"/>
        <w:rPr>
          <w:sz w:val="13"/>
        </w:rPr>
      </w:pPr>
      <w:r>
        <w:rPr>
          <w:w w:val="105"/>
          <w:sz w:val="13"/>
        </w:rPr>
        <w:t>Submission 30a </w:t>
      </w:r>
      <w:r>
        <w:rPr>
          <w:spacing w:val="3"/>
          <w:w w:val="105"/>
          <w:sz w:val="13"/>
        </w:rPr>
        <w:t>(Law </w:t>
      </w:r>
      <w:r>
        <w:rPr>
          <w:w w:val="105"/>
          <w:sz w:val="13"/>
        </w:rPr>
        <w:t>Institute of</w:t>
      </w:r>
      <w:r>
        <w:rPr>
          <w:spacing w:val="19"/>
          <w:w w:val="105"/>
          <w:sz w:val="13"/>
        </w:rPr>
        <w:t> </w:t>
      </w:r>
      <w:r>
        <w:rPr>
          <w:spacing w:val="2"/>
          <w:w w:val="105"/>
          <w:sz w:val="13"/>
        </w:rPr>
        <w:t>Victoria).</w:t>
      </w:r>
    </w:p>
    <w:p>
      <w:pPr>
        <w:pStyle w:val="ListParagraph"/>
        <w:numPr>
          <w:ilvl w:val="0"/>
          <w:numId w:val="119"/>
        </w:numPr>
        <w:tabs>
          <w:tab w:pos="2381" w:val="left" w:leader="none"/>
          <w:tab w:pos="2382" w:val="left" w:leader="none"/>
        </w:tabs>
        <w:spacing w:line="240" w:lineRule="auto" w:before="2" w:after="0"/>
        <w:ind w:left="2381" w:right="0" w:hanging="794"/>
        <w:jc w:val="left"/>
        <w:rPr>
          <w:sz w:val="13"/>
        </w:rPr>
      </w:pPr>
      <w:r>
        <w:rPr>
          <w:w w:val="105"/>
          <w:sz w:val="13"/>
        </w:rPr>
        <w:t>Submission </w:t>
      </w:r>
      <w:r>
        <w:rPr>
          <w:spacing w:val="-3"/>
          <w:w w:val="105"/>
          <w:sz w:val="13"/>
        </w:rPr>
        <w:t>19 </w:t>
      </w:r>
      <w:r>
        <w:rPr>
          <w:spacing w:val="2"/>
          <w:w w:val="105"/>
          <w:sz w:val="13"/>
        </w:rPr>
        <w:t>(Association </w:t>
      </w:r>
      <w:r>
        <w:rPr>
          <w:w w:val="105"/>
          <w:sz w:val="13"/>
        </w:rPr>
        <w:t>of Independent</w:t>
      </w:r>
      <w:r>
        <w:rPr>
          <w:spacing w:val="23"/>
          <w:w w:val="105"/>
          <w:sz w:val="13"/>
        </w:rPr>
        <w:t> </w:t>
      </w:r>
      <w:r>
        <w:rPr>
          <w:w w:val="105"/>
          <w:sz w:val="13"/>
        </w:rPr>
        <w:t>Retirees).</w:t>
      </w:r>
    </w:p>
    <w:p>
      <w:pPr>
        <w:pStyle w:val="ListParagraph"/>
        <w:numPr>
          <w:ilvl w:val="0"/>
          <w:numId w:val="119"/>
        </w:numPr>
        <w:tabs>
          <w:tab w:pos="2381" w:val="left" w:leader="none"/>
          <w:tab w:pos="2382" w:val="left" w:leader="none"/>
        </w:tabs>
        <w:spacing w:line="240" w:lineRule="auto" w:before="1" w:after="0"/>
        <w:ind w:left="2381" w:right="0" w:hanging="794"/>
        <w:jc w:val="left"/>
        <w:rPr>
          <w:sz w:val="13"/>
        </w:rPr>
      </w:pPr>
      <w:r>
        <w:rPr>
          <w:w w:val="105"/>
          <w:sz w:val="13"/>
        </w:rPr>
        <w:t>Consultations 3 </w:t>
      </w:r>
      <w:r>
        <w:rPr>
          <w:spacing w:val="2"/>
          <w:w w:val="105"/>
          <w:sz w:val="13"/>
        </w:rPr>
        <w:t>(Legal </w:t>
      </w:r>
      <w:r>
        <w:rPr>
          <w:w w:val="105"/>
          <w:sz w:val="13"/>
        </w:rPr>
        <w:t>practitioners in the Goulburn Valley region); 7 </w:t>
      </w:r>
      <w:r>
        <w:rPr>
          <w:spacing w:val="3"/>
          <w:w w:val="105"/>
          <w:sz w:val="13"/>
        </w:rPr>
        <w:t>(Law </w:t>
      </w:r>
      <w:r>
        <w:rPr>
          <w:w w:val="105"/>
          <w:sz w:val="13"/>
        </w:rPr>
        <w:t>Institute of Victoria Wills &amp; Estates Discussion Group); 20 </w:t>
      </w:r>
      <w:r>
        <w:rPr>
          <w:spacing w:val="2"/>
          <w:w w:val="105"/>
          <w:sz w:val="13"/>
        </w:rPr>
        <w:t>(Legal </w:t>
      </w:r>
      <w:r>
        <w:rPr>
          <w:w w:val="105"/>
          <w:sz w:val="13"/>
        </w:rPr>
        <w:t>practitioners in</w:t>
      </w:r>
      <w:r>
        <w:rPr>
          <w:spacing w:val="16"/>
          <w:w w:val="105"/>
          <w:sz w:val="13"/>
        </w:rPr>
        <w:t> </w:t>
      </w:r>
      <w:r>
        <w:rPr>
          <w:w w:val="105"/>
          <w:sz w:val="13"/>
        </w:rPr>
        <w:t>Colac).</w:t>
      </w:r>
    </w:p>
    <w:p>
      <w:pPr>
        <w:pStyle w:val="ListParagraph"/>
        <w:numPr>
          <w:ilvl w:val="0"/>
          <w:numId w:val="119"/>
        </w:numPr>
        <w:tabs>
          <w:tab w:pos="2381" w:val="left" w:leader="none"/>
          <w:tab w:pos="2382" w:val="left" w:leader="none"/>
        </w:tabs>
        <w:spacing w:line="240" w:lineRule="auto" w:before="3" w:after="0"/>
        <w:ind w:left="2381" w:right="0" w:hanging="794"/>
        <w:jc w:val="left"/>
        <w:rPr>
          <w:sz w:val="13"/>
        </w:rPr>
      </w:pPr>
      <w:r>
        <w:rPr>
          <w:w w:val="105"/>
          <w:sz w:val="13"/>
        </w:rPr>
        <w:t>Submission 22 (Paul</w:t>
      </w:r>
      <w:r>
        <w:rPr>
          <w:spacing w:val="13"/>
          <w:w w:val="105"/>
          <w:sz w:val="13"/>
        </w:rPr>
        <w:t> </w:t>
      </w:r>
      <w:r>
        <w:rPr>
          <w:w w:val="105"/>
          <w:sz w:val="13"/>
        </w:rPr>
        <w:t>Bravender-Coyle).</w:t>
      </w:r>
    </w:p>
    <w:p>
      <w:pPr>
        <w:pStyle w:val="ListParagraph"/>
        <w:numPr>
          <w:ilvl w:val="0"/>
          <w:numId w:val="119"/>
        </w:numPr>
        <w:tabs>
          <w:tab w:pos="2381" w:val="left" w:leader="none"/>
          <w:tab w:pos="2382" w:val="left" w:leader="none"/>
        </w:tabs>
        <w:spacing w:line="240" w:lineRule="auto" w:before="1" w:after="0"/>
        <w:ind w:left="2381" w:right="0" w:hanging="794"/>
        <w:jc w:val="left"/>
        <w:rPr>
          <w:sz w:val="13"/>
        </w:rPr>
      </w:pPr>
      <w:r>
        <w:rPr>
          <w:w w:val="105"/>
          <w:sz w:val="13"/>
        </w:rPr>
        <w:t>Consultation</w:t>
      </w:r>
      <w:r>
        <w:rPr>
          <w:spacing w:val="4"/>
          <w:w w:val="105"/>
          <w:sz w:val="13"/>
        </w:rPr>
        <w:t> </w:t>
      </w:r>
      <w:r>
        <w:rPr>
          <w:w w:val="105"/>
          <w:sz w:val="13"/>
        </w:rPr>
        <w:t>7</w:t>
      </w:r>
      <w:r>
        <w:rPr>
          <w:spacing w:val="5"/>
          <w:w w:val="105"/>
          <w:sz w:val="13"/>
        </w:rPr>
        <w:t> </w:t>
      </w:r>
      <w:r>
        <w:rPr>
          <w:spacing w:val="3"/>
          <w:w w:val="105"/>
          <w:sz w:val="13"/>
        </w:rPr>
        <w:t>(Law</w:t>
      </w:r>
      <w:r>
        <w:rPr>
          <w:spacing w:val="5"/>
          <w:w w:val="105"/>
          <w:sz w:val="13"/>
        </w:rPr>
        <w:t> </w:t>
      </w:r>
      <w:r>
        <w:rPr>
          <w:w w:val="105"/>
          <w:sz w:val="13"/>
        </w:rPr>
        <w:t>Institute</w:t>
      </w:r>
      <w:r>
        <w:rPr>
          <w:spacing w:val="4"/>
          <w:w w:val="105"/>
          <w:sz w:val="13"/>
        </w:rPr>
        <w:t> </w:t>
      </w:r>
      <w:r>
        <w:rPr>
          <w:w w:val="105"/>
          <w:sz w:val="13"/>
        </w:rPr>
        <w:t>of</w:t>
      </w:r>
      <w:r>
        <w:rPr>
          <w:spacing w:val="5"/>
          <w:w w:val="105"/>
          <w:sz w:val="13"/>
        </w:rPr>
        <w:t> </w:t>
      </w:r>
      <w:r>
        <w:rPr>
          <w:w w:val="105"/>
          <w:sz w:val="13"/>
        </w:rPr>
        <w:t>Victoria</w:t>
      </w:r>
      <w:r>
        <w:rPr>
          <w:spacing w:val="5"/>
          <w:w w:val="105"/>
          <w:sz w:val="13"/>
        </w:rPr>
        <w:t> </w:t>
      </w:r>
      <w:r>
        <w:rPr>
          <w:w w:val="105"/>
          <w:sz w:val="13"/>
        </w:rPr>
        <w:t>Wills</w:t>
      </w:r>
      <w:r>
        <w:rPr>
          <w:spacing w:val="5"/>
          <w:w w:val="105"/>
          <w:sz w:val="13"/>
        </w:rPr>
        <w:t> </w:t>
      </w:r>
      <w:r>
        <w:rPr>
          <w:w w:val="105"/>
          <w:sz w:val="13"/>
        </w:rPr>
        <w:t>&amp;</w:t>
      </w:r>
      <w:r>
        <w:rPr>
          <w:spacing w:val="4"/>
          <w:w w:val="105"/>
          <w:sz w:val="13"/>
        </w:rPr>
        <w:t> </w:t>
      </w:r>
      <w:r>
        <w:rPr>
          <w:w w:val="105"/>
          <w:sz w:val="13"/>
        </w:rPr>
        <w:t>Estates</w:t>
      </w:r>
      <w:r>
        <w:rPr>
          <w:spacing w:val="5"/>
          <w:w w:val="105"/>
          <w:sz w:val="13"/>
        </w:rPr>
        <w:t> </w:t>
      </w:r>
      <w:r>
        <w:rPr>
          <w:w w:val="105"/>
          <w:sz w:val="13"/>
        </w:rPr>
        <w:t>Discussion</w:t>
      </w:r>
      <w:r>
        <w:rPr>
          <w:spacing w:val="5"/>
          <w:w w:val="105"/>
          <w:sz w:val="13"/>
        </w:rPr>
        <w:t> </w:t>
      </w:r>
      <w:r>
        <w:rPr>
          <w:w w:val="105"/>
          <w:sz w:val="13"/>
        </w:rPr>
        <w:t>Group).</w:t>
      </w:r>
    </w:p>
    <w:p>
      <w:pPr>
        <w:pStyle w:val="BodyText"/>
        <w:rPr>
          <w:sz w:val="28"/>
        </w:rPr>
      </w:pPr>
      <w:r>
        <w:rPr/>
        <w:br w:type="column"/>
      </w:r>
      <w:r>
        <w:rPr>
          <w:sz w:val="28"/>
        </w:rPr>
      </w:r>
    </w:p>
    <w:p>
      <w:pPr>
        <w:pStyle w:val="BodyText"/>
        <w:rPr>
          <w:sz w:val="28"/>
        </w:rPr>
      </w:pPr>
    </w:p>
    <w:p>
      <w:pPr>
        <w:pStyle w:val="BodyText"/>
        <w:rPr>
          <w:sz w:val="28"/>
        </w:rPr>
      </w:pPr>
    </w:p>
    <w:p>
      <w:pPr>
        <w:pStyle w:val="BodyText"/>
        <w:spacing w:before="4"/>
        <w:rPr>
          <w:sz w:val="29"/>
        </w:rPr>
      </w:pPr>
    </w:p>
    <w:p>
      <w:pPr>
        <w:spacing w:before="0"/>
        <w:ind w:left="1200" w:right="0" w:firstLine="0"/>
        <w:jc w:val="left"/>
        <w:rPr>
          <w:b/>
          <w:sz w:val="24"/>
        </w:rPr>
      </w:pPr>
      <w:r>
        <w:rPr>
          <w:b/>
          <w:color w:val="EC5A4F"/>
          <w:w w:val="110"/>
          <w:sz w:val="24"/>
        </w:rPr>
        <w:t>157</w:t>
      </w:r>
    </w:p>
    <w:p>
      <w:pPr>
        <w:spacing w:after="0"/>
        <w:jc w:val="left"/>
        <w:rPr>
          <w:sz w:val="24"/>
        </w:rPr>
        <w:sectPr>
          <w:type w:val="continuous"/>
          <w:pgSz w:w="11910" w:h="16840"/>
          <w:pgMar w:top="920" w:bottom="280" w:left="0" w:right="0"/>
          <w:cols w:num="2" w:equalWidth="0">
            <w:col w:w="9678" w:space="40"/>
            <w:col w:w="2192"/>
          </w:cols>
        </w:sectPr>
      </w:pPr>
    </w:p>
    <w:p>
      <w:pPr>
        <w:pStyle w:val="BodyText"/>
        <w:spacing w:before="9"/>
        <w:rPr>
          <w:b/>
          <w:sz w:val="22"/>
        </w:rPr>
      </w:pPr>
    </w:p>
    <w:p>
      <w:pPr>
        <w:pStyle w:val="ListParagraph"/>
        <w:numPr>
          <w:ilvl w:val="1"/>
          <w:numId w:val="22"/>
        </w:numPr>
        <w:tabs>
          <w:tab w:pos="2380" w:val="left" w:leader="none"/>
          <w:tab w:pos="2381" w:val="left" w:leader="none"/>
        </w:tabs>
        <w:spacing w:line="242" w:lineRule="auto" w:before="92" w:after="0"/>
        <w:ind w:left="2381" w:right="1934" w:hanging="794"/>
        <w:jc w:val="left"/>
        <w:rPr>
          <w:sz w:val="21"/>
        </w:rPr>
      </w:pPr>
      <w:r>
        <w:rPr>
          <w:sz w:val="21"/>
        </w:rPr>
        <w:t>Some legal practitioners </w:t>
      </w:r>
      <w:r>
        <w:rPr>
          <w:spacing w:val="-3"/>
          <w:sz w:val="21"/>
        </w:rPr>
        <w:t>routinely have </w:t>
      </w:r>
      <w:r>
        <w:rPr>
          <w:sz w:val="21"/>
        </w:rPr>
        <w:t>the file costed by the Law </w:t>
      </w:r>
      <w:r>
        <w:rPr>
          <w:spacing w:val="-3"/>
          <w:sz w:val="21"/>
        </w:rPr>
        <w:t>Institute </w:t>
      </w:r>
      <w:r>
        <w:rPr>
          <w:sz w:val="21"/>
        </w:rPr>
        <w:t>of </w:t>
      </w:r>
      <w:r>
        <w:rPr>
          <w:spacing w:val="-3"/>
          <w:sz w:val="21"/>
        </w:rPr>
        <w:t>Victoria’s Cost </w:t>
      </w:r>
      <w:r>
        <w:rPr>
          <w:sz w:val="21"/>
        </w:rPr>
        <w:t>Lawyers Service, which is a  </w:t>
      </w:r>
      <w:r>
        <w:rPr>
          <w:spacing w:val="-3"/>
          <w:sz w:val="21"/>
        </w:rPr>
        <w:t>useful  way  </w:t>
      </w:r>
      <w:r>
        <w:rPr>
          <w:sz w:val="21"/>
        </w:rPr>
        <w:t>of  </w:t>
      </w:r>
      <w:r>
        <w:rPr>
          <w:spacing w:val="-3"/>
          <w:sz w:val="21"/>
        </w:rPr>
        <w:t>checking  that  </w:t>
      </w:r>
      <w:r>
        <w:rPr>
          <w:sz w:val="21"/>
        </w:rPr>
        <w:t>they  </w:t>
      </w:r>
      <w:r>
        <w:rPr>
          <w:spacing w:val="-3"/>
          <w:sz w:val="21"/>
        </w:rPr>
        <w:t>have  </w:t>
      </w:r>
      <w:r>
        <w:rPr>
          <w:sz w:val="21"/>
        </w:rPr>
        <w:t>understood the distinction between </w:t>
      </w:r>
      <w:r>
        <w:rPr>
          <w:spacing w:val="-3"/>
          <w:sz w:val="21"/>
        </w:rPr>
        <w:t>executorial </w:t>
      </w:r>
      <w:r>
        <w:rPr>
          <w:sz w:val="21"/>
        </w:rPr>
        <w:t>and legal </w:t>
      </w:r>
      <w:r>
        <w:rPr>
          <w:spacing w:val="-6"/>
          <w:sz w:val="21"/>
        </w:rPr>
        <w:t>work.</w:t>
      </w:r>
      <w:r>
        <w:rPr>
          <w:spacing w:val="-6"/>
          <w:position w:val="7"/>
          <w:sz w:val="12"/>
        </w:rPr>
        <w:t>124 </w:t>
      </w:r>
      <w:r>
        <w:rPr>
          <w:sz w:val="21"/>
        </w:rPr>
        <w:t>The </w:t>
      </w:r>
      <w:r>
        <w:rPr>
          <w:spacing w:val="-3"/>
          <w:sz w:val="21"/>
        </w:rPr>
        <w:t>Cost </w:t>
      </w:r>
      <w:r>
        <w:rPr>
          <w:sz w:val="21"/>
        </w:rPr>
        <w:t>Lawyers Service </w:t>
      </w:r>
      <w:r>
        <w:rPr>
          <w:spacing w:val="-2"/>
          <w:sz w:val="21"/>
        </w:rPr>
        <w:t>has </w:t>
      </w:r>
      <w:r>
        <w:rPr>
          <w:sz w:val="21"/>
        </w:rPr>
        <w:t>confirmed </w:t>
      </w:r>
      <w:r>
        <w:rPr>
          <w:spacing w:val="-3"/>
          <w:sz w:val="21"/>
        </w:rPr>
        <w:t>that </w:t>
      </w:r>
      <w:r>
        <w:rPr>
          <w:sz w:val="21"/>
        </w:rPr>
        <w:t>there is </w:t>
      </w:r>
      <w:r>
        <w:rPr>
          <w:spacing w:val="-3"/>
          <w:sz w:val="21"/>
        </w:rPr>
        <w:t>adequate </w:t>
      </w:r>
      <w:r>
        <w:rPr>
          <w:sz w:val="21"/>
        </w:rPr>
        <w:t>scope </w:t>
      </w:r>
      <w:r>
        <w:rPr>
          <w:spacing w:val="-3"/>
          <w:sz w:val="21"/>
        </w:rPr>
        <w:t>to charge for executorial</w:t>
      </w:r>
      <w:r>
        <w:rPr>
          <w:spacing w:val="-8"/>
          <w:sz w:val="21"/>
        </w:rPr>
        <w:t> </w:t>
      </w:r>
      <w:r>
        <w:rPr>
          <w:sz w:val="21"/>
        </w:rPr>
        <w:t>activities under the</w:t>
      </w:r>
    </w:p>
    <w:p>
      <w:pPr>
        <w:pStyle w:val="BodyText"/>
        <w:spacing w:line="242" w:lineRule="auto" w:before="4"/>
        <w:ind w:left="2381" w:right="1619"/>
        <w:rPr>
          <w:sz w:val="12"/>
        </w:rPr>
      </w:pPr>
      <w:r>
        <w:rPr/>
        <w:t>Practitioner Remuneration Order, as the provisions for attendances distinguish between tasks that require the exercise of skill or legal knowledge and those that do not.</w:t>
      </w:r>
      <w:r>
        <w:rPr>
          <w:position w:val="7"/>
          <w:sz w:val="12"/>
        </w:rPr>
        <w:t>125</w:t>
      </w:r>
    </w:p>
    <w:p>
      <w:pPr>
        <w:pStyle w:val="ListParagraph"/>
        <w:numPr>
          <w:ilvl w:val="1"/>
          <w:numId w:val="22"/>
        </w:numPr>
        <w:tabs>
          <w:tab w:pos="2380" w:val="left" w:leader="none"/>
          <w:tab w:pos="2381" w:val="left" w:leader="none"/>
        </w:tabs>
        <w:spacing w:line="242" w:lineRule="auto" w:before="122" w:after="0"/>
        <w:ind w:left="2380" w:right="1907" w:hanging="793"/>
        <w:jc w:val="left"/>
        <w:rPr>
          <w:sz w:val="21"/>
        </w:rPr>
      </w:pPr>
      <w:r>
        <w:rPr>
          <w:sz w:val="21"/>
        </w:rPr>
        <w:t>The </w:t>
      </w:r>
      <w:r>
        <w:rPr>
          <w:spacing w:val="-3"/>
          <w:sz w:val="21"/>
        </w:rPr>
        <w:t>Commission </w:t>
      </w:r>
      <w:r>
        <w:rPr>
          <w:sz w:val="21"/>
        </w:rPr>
        <w:t>accepts </w:t>
      </w:r>
      <w:r>
        <w:rPr>
          <w:spacing w:val="-3"/>
          <w:sz w:val="21"/>
        </w:rPr>
        <w:t>that </w:t>
      </w:r>
      <w:r>
        <w:rPr>
          <w:sz w:val="21"/>
        </w:rPr>
        <w:t>the Practitioner </w:t>
      </w:r>
      <w:r>
        <w:rPr>
          <w:spacing w:val="-3"/>
          <w:sz w:val="21"/>
        </w:rPr>
        <w:t>Remuneration </w:t>
      </w:r>
      <w:r>
        <w:rPr>
          <w:sz w:val="21"/>
        </w:rPr>
        <w:t>Order can be applied </w:t>
      </w:r>
      <w:r>
        <w:rPr>
          <w:spacing w:val="-3"/>
          <w:sz w:val="21"/>
        </w:rPr>
        <w:t>to costing for executorial </w:t>
      </w:r>
      <w:r>
        <w:rPr>
          <w:sz w:val="21"/>
        </w:rPr>
        <w:t>services but is </w:t>
      </w:r>
      <w:r>
        <w:rPr>
          <w:spacing w:val="-2"/>
          <w:sz w:val="21"/>
        </w:rPr>
        <w:t>not confident  </w:t>
      </w:r>
      <w:r>
        <w:rPr>
          <w:spacing w:val="-3"/>
          <w:sz w:val="21"/>
        </w:rPr>
        <w:t>that  </w:t>
      </w:r>
      <w:r>
        <w:rPr>
          <w:sz w:val="21"/>
        </w:rPr>
        <w:t>it  is  </w:t>
      </w:r>
      <w:r>
        <w:rPr>
          <w:spacing w:val="-3"/>
          <w:sz w:val="21"/>
        </w:rPr>
        <w:t>interpreted  </w:t>
      </w:r>
      <w:r>
        <w:rPr>
          <w:spacing w:val="-4"/>
          <w:sz w:val="21"/>
        </w:rPr>
        <w:t>consistently. </w:t>
      </w:r>
      <w:r>
        <w:rPr>
          <w:sz w:val="21"/>
        </w:rPr>
        <w:t>The </w:t>
      </w:r>
      <w:r>
        <w:rPr>
          <w:spacing w:val="-3"/>
          <w:sz w:val="21"/>
        </w:rPr>
        <w:t>amount that </w:t>
      </w:r>
      <w:r>
        <w:rPr>
          <w:sz w:val="21"/>
        </w:rPr>
        <w:t>a legal practitioner </w:t>
      </w:r>
      <w:r>
        <w:rPr>
          <w:spacing w:val="-3"/>
          <w:sz w:val="21"/>
        </w:rPr>
        <w:t>may  charge  </w:t>
      </w:r>
      <w:r>
        <w:rPr>
          <w:sz w:val="21"/>
        </w:rPr>
        <w:t>in </w:t>
      </w:r>
      <w:r>
        <w:rPr>
          <w:spacing w:val="-3"/>
          <w:sz w:val="21"/>
        </w:rPr>
        <w:t>obtaining</w:t>
      </w:r>
      <w:r>
        <w:rPr>
          <w:spacing w:val="41"/>
          <w:sz w:val="21"/>
        </w:rPr>
        <w:t> </w:t>
      </w:r>
      <w:r>
        <w:rPr>
          <w:sz w:val="21"/>
        </w:rPr>
        <w:t>a </w:t>
      </w:r>
      <w:r>
        <w:rPr>
          <w:spacing w:val="-3"/>
          <w:sz w:val="21"/>
        </w:rPr>
        <w:t>grant  </w:t>
      </w:r>
      <w:r>
        <w:rPr>
          <w:sz w:val="21"/>
        </w:rPr>
        <w:t>of </w:t>
      </w:r>
      <w:r>
        <w:rPr>
          <w:spacing w:val="-2"/>
          <w:sz w:val="21"/>
        </w:rPr>
        <w:t>representation  </w:t>
      </w:r>
      <w:r>
        <w:rPr>
          <w:sz w:val="21"/>
        </w:rPr>
        <w:t>is prescribed by </w:t>
      </w:r>
      <w:r>
        <w:rPr>
          <w:spacing w:val="-3"/>
          <w:sz w:val="21"/>
        </w:rPr>
        <w:t>regulation </w:t>
      </w:r>
      <w:r>
        <w:rPr>
          <w:spacing w:val="-3"/>
          <w:position w:val="7"/>
          <w:sz w:val="12"/>
        </w:rPr>
        <w:t>126 </w:t>
      </w:r>
      <w:r>
        <w:rPr>
          <w:sz w:val="21"/>
        </w:rPr>
        <w:t>and it </w:t>
      </w:r>
      <w:r>
        <w:rPr>
          <w:spacing w:val="-3"/>
          <w:sz w:val="21"/>
        </w:rPr>
        <w:t>may </w:t>
      </w:r>
      <w:r>
        <w:rPr>
          <w:sz w:val="21"/>
        </w:rPr>
        <w:t>be </w:t>
      </w:r>
      <w:r>
        <w:rPr>
          <w:spacing w:val="-3"/>
          <w:sz w:val="21"/>
        </w:rPr>
        <w:t>useful for </w:t>
      </w:r>
      <w:r>
        <w:rPr>
          <w:sz w:val="21"/>
        </w:rPr>
        <w:t>other </w:t>
      </w:r>
      <w:r>
        <w:rPr>
          <w:spacing w:val="-3"/>
          <w:sz w:val="21"/>
        </w:rPr>
        <w:t>charges </w:t>
      </w:r>
      <w:r>
        <w:rPr>
          <w:sz w:val="21"/>
        </w:rPr>
        <w:t>associated</w:t>
      </w:r>
      <w:r>
        <w:rPr>
          <w:spacing w:val="9"/>
          <w:sz w:val="21"/>
        </w:rPr>
        <w:t> </w:t>
      </w:r>
      <w:r>
        <w:rPr>
          <w:sz w:val="21"/>
        </w:rPr>
        <w:t>with</w:t>
      </w:r>
    </w:p>
    <w:p>
      <w:pPr>
        <w:pStyle w:val="BodyText"/>
        <w:spacing w:line="242" w:lineRule="auto" w:before="5"/>
        <w:ind w:left="2381" w:right="1770"/>
        <w:jc w:val="both"/>
      </w:pPr>
      <w:r>
        <w:rPr/>
        <w:t>executorial duties to be prescribed in the Practitioner Remuneration Order or in a special order for practitioner executors. Legal practitioners have certainly welcomed the idea of being able to charge a standard rate for executorial services.</w:t>
      </w:r>
    </w:p>
    <w:p>
      <w:pPr>
        <w:pStyle w:val="ListParagraph"/>
        <w:numPr>
          <w:ilvl w:val="1"/>
          <w:numId w:val="22"/>
        </w:numPr>
        <w:tabs>
          <w:tab w:pos="2381" w:val="left" w:leader="none"/>
          <w:tab w:pos="2382" w:val="left" w:leader="none"/>
        </w:tabs>
        <w:spacing w:line="242" w:lineRule="auto" w:before="123" w:after="0"/>
        <w:ind w:left="2381" w:right="1606" w:hanging="794"/>
        <w:jc w:val="left"/>
        <w:rPr>
          <w:sz w:val="12"/>
        </w:rPr>
      </w:pPr>
      <w:r>
        <w:rPr>
          <w:sz w:val="21"/>
        </w:rPr>
        <w:t>On the other </w:t>
      </w:r>
      <w:r>
        <w:rPr>
          <w:spacing w:val="-3"/>
          <w:sz w:val="21"/>
        </w:rPr>
        <w:t>hand, </w:t>
      </w:r>
      <w:r>
        <w:rPr>
          <w:sz w:val="21"/>
        </w:rPr>
        <w:t>the Law </w:t>
      </w:r>
      <w:r>
        <w:rPr>
          <w:spacing w:val="-3"/>
          <w:sz w:val="21"/>
        </w:rPr>
        <w:t>Institute  </w:t>
      </w:r>
      <w:r>
        <w:rPr>
          <w:sz w:val="21"/>
        </w:rPr>
        <w:t>of </w:t>
      </w:r>
      <w:r>
        <w:rPr>
          <w:spacing w:val="-3"/>
          <w:sz w:val="21"/>
        </w:rPr>
        <w:t>Victoria’s</w:t>
      </w:r>
      <w:r>
        <w:rPr>
          <w:spacing w:val="41"/>
          <w:sz w:val="21"/>
        </w:rPr>
        <w:t> </w:t>
      </w:r>
      <w:r>
        <w:rPr>
          <w:spacing w:val="-3"/>
          <w:sz w:val="21"/>
        </w:rPr>
        <w:t>Cost  </w:t>
      </w:r>
      <w:r>
        <w:rPr>
          <w:sz w:val="21"/>
        </w:rPr>
        <w:t>Lawyers Service would give priority  </w:t>
      </w:r>
      <w:r>
        <w:rPr>
          <w:spacing w:val="-3"/>
          <w:sz w:val="21"/>
        </w:rPr>
        <w:t>to ensuring that </w:t>
      </w:r>
      <w:r>
        <w:rPr>
          <w:sz w:val="21"/>
        </w:rPr>
        <w:t>legal practitioners </w:t>
      </w:r>
      <w:r>
        <w:rPr>
          <w:spacing w:val="-3"/>
          <w:sz w:val="21"/>
        </w:rPr>
        <w:t>are </w:t>
      </w:r>
      <w:r>
        <w:rPr>
          <w:sz w:val="21"/>
        </w:rPr>
        <w:t>better educated about the </w:t>
      </w:r>
      <w:r>
        <w:rPr>
          <w:spacing w:val="-3"/>
          <w:sz w:val="21"/>
        </w:rPr>
        <w:t>circumstances </w:t>
      </w:r>
      <w:r>
        <w:rPr>
          <w:sz w:val="21"/>
        </w:rPr>
        <w:t>in which they</w:t>
      </w:r>
      <w:r>
        <w:rPr>
          <w:spacing w:val="9"/>
          <w:sz w:val="21"/>
        </w:rPr>
        <w:t> </w:t>
      </w:r>
      <w:r>
        <w:rPr>
          <w:spacing w:val="-3"/>
          <w:sz w:val="21"/>
        </w:rPr>
        <w:t>may</w:t>
      </w:r>
      <w:r>
        <w:rPr>
          <w:spacing w:val="9"/>
          <w:sz w:val="21"/>
        </w:rPr>
        <w:t> </w:t>
      </w:r>
      <w:r>
        <w:rPr>
          <w:spacing w:val="-3"/>
          <w:sz w:val="21"/>
        </w:rPr>
        <w:t>charge</w:t>
      </w:r>
      <w:r>
        <w:rPr>
          <w:spacing w:val="10"/>
          <w:sz w:val="21"/>
        </w:rPr>
        <w:t> </w:t>
      </w:r>
      <w:r>
        <w:rPr>
          <w:spacing w:val="-3"/>
          <w:sz w:val="21"/>
        </w:rPr>
        <w:t>for</w:t>
      </w:r>
      <w:r>
        <w:rPr>
          <w:spacing w:val="9"/>
          <w:sz w:val="21"/>
        </w:rPr>
        <w:t> </w:t>
      </w:r>
      <w:r>
        <w:rPr>
          <w:spacing w:val="-3"/>
          <w:sz w:val="21"/>
        </w:rPr>
        <w:t>executorial</w:t>
      </w:r>
      <w:r>
        <w:rPr>
          <w:spacing w:val="9"/>
          <w:sz w:val="21"/>
        </w:rPr>
        <w:t> </w:t>
      </w:r>
      <w:r>
        <w:rPr>
          <w:sz w:val="21"/>
        </w:rPr>
        <w:t>services</w:t>
      </w:r>
      <w:r>
        <w:rPr>
          <w:spacing w:val="10"/>
          <w:sz w:val="21"/>
        </w:rPr>
        <w:t> </w:t>
      </w:r>
      <w:r>
        <w:rPr>
          <w:sz w:val="21"/>
        </w:rPr>
        <w:t>at</w:t>
      </w:r>
      <w:r>
        <w:rPr>
          <w:spacing w:val="9"/>
          <w:sz w:val="21"/>
        </w:rPr>
        <w:t> </w:t>
      </w:r>
      <w:r>
        <w:rPr>
          <w:spacing w:val="-6"/>
          <w:sz w:val="21"/>
        </w:rPr>
        <w:t>all.</w:t>
      </w:r>
      <w:r>
        <w:rPr>
          <w:spacing w:val="-6"/>
          <w:position w:val="7"/>
          <w:sz w:val="12"/>
        </w:rPr>
        <w:t>127</w:t>
      </w:r>
    </w:p>
    <w:p>
      <w:pPr>
        <w:pStyle w:val="ListParagraph"/>
        <w:numPr>
          <w:ilvl w:val="1"/>
          <w:numId w:val="22"/>
        </w:numPr>
        <w:tabs>
          <w:tab w:pos="2381" w:val="left" w:leader="none"/>
          <w:tab w:pos="2382" w:val="left" w:leader="none"/>
        </w:tabs>
        <w:spacing w:line="242" w:lineRule="auto" w:before="123" w:after="0"/>
        <w:ind w:left="2381" w:right="1930" w:hanging="794"/>
        <w:jc w:val="left"/>
        <w:rPr>
          <w:sz w:val="21"/>
        </w:rPr>
      </w:pPr>
      <w:r>
        <w:rPr>
          <w:sz w:val="21"/>
        </w:rPr>
        <w:t>This is a matter </w:t>
      </w:r>
      <w:r>
        <w:rPr>
          <w:spacing w:val="-3"/>
          <w:sz w:val="21"/>
        </w:rPr>
        <w:t>that will  </w:t>
      </w:r>
      <w:r>
        <w:rPr>
          <w:sz w:val="21"/>
        </w:rPr>
        <w:t>need </w:t>
      </w:r>
      <w:r>
        <w:rPr>
          <w:spacing w:val="-3"/>
          <w:sz w:val="21"/>
        </w:rPr>
        <w:t>to</w:t>
      </w:r>
      <w:r>
        <w:rPr>
          <w:spacing w:val="41"/>
          <w:sz w:val="21"/>
        </w:rPr>
        <w:t> </w:t>
      </w:r>
      <w:r>
        <w:rPr>
          <w:sz w:val="21"/>
        </w:rPr>
        <w:t>be </w:t>
      </w:r>
      <w:r>
        <w:rPr>
          <w:spacing w:val="-3"/>
          <w:sz w:val="21"/>
        </w:rPr>
        <w:t>monitored  </w:t>
      </w:r>
      <w:r>
        <w:rPr>
          <w:sz w:val="21"/>
        </w:rPr>
        <w:t>if the </w:t>
      </w:r>
      <w:r>
        <w:rPr>
          <w:spacing w:val="-4"/>
          <w:sz w:val="21"/>
        </w:rPr>
        <w:t>Commission’s  </w:t>
      </w:r>
      <w:r>
        <w:rPr>
          <w:spacing w:val="-3"/>
          <w:sz w:val="21"/>
        </w:rPr>
        <w:t>recommendations  </w:t>
      </w:r>
      <w:r>
        <w:rPr>
          <w:sz w:val="21"/>
        </w:rPr>
        <w:t>on costs </w:t>
      </w:r>
      <w:r>
        <w:rPr>
          <w:spacing w:val="-3"/>
          <w:sz w:val="21"/>
        </w:rPr>
        <w:t>disclosure are implemented. </w:t>
      </w:r>
      <w:r>
        <w:rPr>
          <w:sz w:val="21"/>
        </w:rPr>
        <w:t>The </w:t>
      </w:r>
      <w:r>
        <w:rPr>
          <w:spacing w:val="-3"/>
          <w:sz w:val="21"/>
        </w:rPr>
        <w:t>requirement to </w:t>
      </w:r>
      <w:r>
        <w:rPr>
          <w:sz w:val="21"/>
        </w:rPr>
        <w:t>be </w:t>
      </w:r>
      <w:r>
        <w:rPr>
          <w:spacing w:val="-3"/>
          <w:sz w:val="21"/>
        </w:rPr>
        <w:t>transparent </w:t>
      </w:r>
      <w:r>
        <w:rPr>
          <w:sz w:val="21"/>
        </w:rPr>
        <w:t>about </w:t>
      </w:r>
      <w:r>
        <w:rPr>
          <w:spacing w:val="-3"/>
          <w:sz w:val="21"/>
        </w:rPr>
        <w:t>costing </w:t>
      </w:r>
      <w:r>
        <w:rPr>
          <w:sz w:val="21"/>
        </w:rPr>
        <w:t>practices</w:t>
      </w:r>
      <w:r>
        <w:rPr>
          <w:spacing w:val="9"/>
          <w:sz w:val="21"/>
        </w:rPr>
        <w:t> </w:t>
      </w:r>
      <w:r>
        <w:rPr>
          <w:spacing w:val="-3"/>
          <w:sz w:val="21"/>
        </w:rPr>
        <w:t>may</w:t>
      </w:r>
      <w:r>
        <w:rPr>
          <w:spacing w:val="10"/>
          <w:sz w:val="21"/>
        </w:rPr>
        <w:t> </w:t>
      </w:r>
      <w:r>
        <w:rPr>
          <w:spacing w:val="-3"/>
          <w:sz w:val="21"/>
        </w:rPr>
        <w:t>well</w:t>
      </w:r>
      <w:r>
        <w:rPr>
          <w:spacing w:val="10"/>
          <w:sz w:val="21"/>
        </w:rPr>
        <w:t> </w:t>
      </w:r>
      <w:r>
        <w:rPr>
          <w:spacing w:val="-3"/>
          <w:sz w:val="21"/>
        </w:rPr>
        <w:t>create</w:t>
      </w:r>
      <w:r>
        <w:rPr>
          <w:spacing w:val="9"/>
          <w:sz w:val="21"/>
        </w:rPr>
        <w:t> </w:t>
      </w:r>
      <w:r>
        <w:rPr>
          <w:spacing w:val="-3"/>
          <w:sz w:val="21"/>
        </w:rPr>
        <w:t>pressure</w:t>
      </w:r>
      <w:r>
        <w:rPr>
          <w:spacing w:val="10"/>
          <w:sz w:val="21"/>
        </w:rPr>
        <w:t> </w:t>
      </w:r>
      <w:r>
        <w:rPr>
          <w:spacing w:val="-3"/>
          <w:sz w:val="21"/>
        </w:rPr>
        <w:t>to</w:t>
      </w:r>
      <w:r>
        <w:rPr>
          <w:spacing w:val="10"/>
          <w:sz w:val="21"/>
        </w:rPr>
        <w:t> </w:t>
      </w:r>
      <w:r>
        <w:rPr>
          <w:sz w:val="21"/>
        </w:rPr>
        <w:t>be</w:t>
      </w:r>
      <w:r>
        <w:rPr>
          <w:spacing w:val="10"/>
          <w:sz w:val="21"/>
        </w:rPr>
        <w:t> </w:t>
      </w:r>
      <w:r>
        <w:rPr>
          <w:spacing w:val="-3"/>
          <w:sz w:val="21"/>
        </w:rPr>
        <w:t>clear</w:t>
      </w:r>
      <w:r>
        <w:rPr>
          <w:spacing w:val="9"/>
          <w:sz w:val="21"/>
        </w:rPr>
        <w:t> </w:t>
      </w:r>
      <w:r>
        <w:rPr>
          <w:sz w:val="21"/>
        </w:rPr>
        <w:t>and</w:t>
      </w:r>
      <w:r>
        <w:rPr>
          <w:spacing w:val="10"/>
          <w:sz w:val="21"/>
        </w:rPr>
        <w:t> </w:t>
      </w:r>
      <w:r>
        <w:rPr>
          <w:spacing w:val="-3"/>
          <w:sz w:val="21"/>
        </w:rPr>
        <w:t>simple.</w:t>
      </w:r>
    </w:p>
    <w:p>
      <w:pPr>
        <w:pStyle w:val="ListParagraph"/>
        <w:numPr>
          <w:ilvl w:val="1"/>
          <w:numId w:val="22"/>
        </w:numPr>
        <w:tabs>
          <w:tab w:pos="2380" w:val="left" w:leader="none"/>
          <w:tab w:pos="2381" w:val="left" w:leader="none"/>
        </w:tabs>
        <w:spacing w:line="242" w:lineRule="auto" w:before="123" w:after="0"/>
        <w:ind w:left="2381" w:right="1766" w:hanging="794"/>
        <w:jc w:val="left"/>
        <w:rPr>
          <w:sz w:val="21"/>
        </w:rPr>
      </w:pPr>
      <w:r>
        <w:rPr>
          <w:w w:val="105"/>
          <w:sz w:val="21"/>
        </w:rPr>
        <w:t>The </w:t>
      </w:r>
      <w:r>
        <w:rPr>
          <w:spacing w:val="-3"/>
          <w:w w:val="105"/>
          <w:sz w:val="21"/>
        </w:rPr>
        <w:t>Commission </w:t>
      </w:r>
      <w:r>
        <w:rPr>
          <w:spacing w:val="-2"/>
          <w:w w:val="105"/>
          <w:sz w:val="21"/>
        </w:rPr>
        <w:t>has </w:t>
      </w:r>
      <w:r>
        <w:rPr>
          <w:spacing w:val="-3"/>
          <w:w w:val="105"/>
          <w:sz w:val="21"/>
        </w:rPr>
        <w:t>concluded that </w:t>
      </w:r>
      <w:r>
        <w:rPr>
          <w:w w:val="105"/>
          <w:sz w:val="21"/>
        </w:rPr>
        <w:t>it would be </w:t>
      </w:r>
      <w:r>
        <w:rPr>
          <w:spacing w:val="-3"/>
          <w:w w:val="105"/>
          <w:sz w:val="21"/>
        </w:rPr>
        <w:t>useful for </w:t>
      </w:r>
      <w:r>
        <w:rPr>
          <w:w w:val="105"/>
          <w:sz w:val="21"/>
        </w:rPr>
        <w:t>legal practitioners and beneficiaries </w:t>
      </w:r>
      <w:r>
        <w:rPr>
          <w:spacing w:val="-4"/>
          <w:w w:val="105"/>
          <w:sz w:val="21"/>
        </w:rPr>
        <w:t>alike </w:t>
      </w:r>
      <w:r>
        <w:rPr>
          <w:w w:val="105"/>
          <w:sz w:val="21"/>
        </w:rPr>
        <w:t>if there </w:t>
      </w:r>
      <w:r>
        <w:rPr>
          <w:spacing w:val="-3"/>
          <w:w w:val="105"/>
          <w:sz w:val="21"/>
        </w:rPr>
        <w:t>were </w:t>
      </w:r>
      <w:r>
        <w:rPr>
          <w:w w:val="105"/>
          <w:sz w:val="21"/>
        </w:rPr>
        <w:t>a statutory </w:t>
      </w:r>
      <w:r>
        <w:rPr>
          <w:spacing w:val="-3"/>
          <w:w w:val="105"/>
          <w:sz w:val="21"/>
        </w:rPr>
        <w:t>provision that </w:t>
      </w:r>
      <w:r>
        <w:rPr>
          <w:w w:val="105"/>
          <w:sz w:val="21"/>
        </w:rPr>
        <w:t>clearly permitted legal practitioner</w:t>
      </w:r>
      <w:r>
        <w:rPr>
          <w:spacing w:val="-9"/>
          <w:w w:val="105"/>
          <w:sz w:val="21"/>
        </w:rPr>
        <w:t> </w:t>
      </w:r>
      <w:r>
        <w:rPr>
          <w:w w:val="105"/>
          <w:sz w:val="21"/>
        </w:rPr>
        <w:t>executors</w:t>
      </w:r>
      <w:r>
        <w:rPr>
          <w:spacing w:val="-9"/>
          <w:w w:val="105"/>
          <w:sz w:val="21"/>
        </w:rPr>
        <w:t> </w:t>
      </w:r>
      <w:r>
        <w:rPr>
          <w:spacing w:val="-3"/>
          <w:w w:val="105"/>
          <w:sz w:val="21"/>
        </w:rPr>
        <w:t>to</w:t>
      </w:r>
      <w:r>
        <w:rPr>
          <w:spacing w:val="-9"/>
          <w:w w:val="105"/>
          <w:sz w:val="21"/>
        </w:rPr>
        <w:t> </w:t>
      </w:r>
      <w:r>
        <w:rPr>
          <w:w w:val="105"/>
          <w:sz w:val="21"/>
        </w:rPr>
        <w:t>elect</w:t>
      </w:r>
      <w:r>
        <w:rPr>
          <w:spacing w:val="-9"/>
          <w:w w:val="105"/>
          <w:sz w:val="21"/>
        </w:rPr>
        <w:t> </w:t>
      </w:r>
      <w:r>
        <w:rPr>
          <w:spacing w:val="-3"/>
          <w:w w:val="105"/>
          <w:sz w:val="21"/>
        </w:rPr>
        <w:t>to</w:t>
      </w:r>
      <w:r>
        <w:rPr>
          <w:spacing w:val="-9"/>
          <w:w w:val="105"/>
          <w:sz w:val="21"/>
        </w:rPr>
        <w:t> </w:t>
      </w:r>
      <w:r>
        <w:rPr>
          <w:spacing w:val="-3"/>
          <w:w w:val="105"/>
          <w:sz w:val="21"/>
        </w:rPr>
        <w:t>charge</w:t>
      </w:r>
      <w:r>
        <w:rPr>
          <w:spacing w:val="-9"/>
          <w:w w:val="105"/>
          <w:sz w:val="21"/>
        </w:rPr>
        <w:t> </w:t>
      </w:r>
      <w:r>
        <w:rPr>
          <w:w w:val="105"/>
          <w:sz w:val="21"/>
        </w:rPr>
        <w:t>a</w:t>
      </w:r>
      <w:r>
        <w:rPr>
          <w:spacing w:val="-9"/>
          <w:w w:val="105"/>
          <w:sz w:val="21"/>
        </w:rPr>
        <w:t> </w:t>
      </w:r>
      <w:r>
        <w:rPr>
          <w:w w:val="105"/>
          <w:sz w:val="21"/>
        </w:rPr>
        <w:t>fee</w:t>
      </w:r>
      <w:r>
        <w:rPr>
          <w:spacing w:val="-8"/>
          <w:w w:val="105"/>
          <w:sz w:val="21"/>
        </w:rPr>
        <w:t> </w:t>
      </w:r>
      <w:r>
        <w:rPr>
          <w:spacing w:val="-3"/>
          <w:w w:val="105"/>
          <w:sz w:val="21"/>
        </w:rPr>
        <w:t>for</w:t>
      </w:r>
      <w:r>
        <w:rPr>
          <w:spacing w:val="-9"/>
          <w:w w:val="105"/>
          <w:sz w:val="21"/>
        </w:rPr>
        <w:t> </w:t>
      </w:r>
      <w:r>
        <w:rPr>
          <w:spacing w:val="-3"/>
          <w:w w:val="105"/>
          <w:sz w:val="21"/>
        </w:rPr>
        <w:t>executorial</w:t>
      </w:r>
      <w:r>
        <w:rPr>
          <w:spacing w:val="-9"/>
          <w:w w:val="105"/>
          <w:sz w:val="21"/>
        </w:rPr>
        <w:t> </w:t>
      </w:r>
      <w:r>
        <w:rPr>
          <w:w w:val="105"/>
          <w:sz w:val="21"/>
        </w:rPr>
        <w:t>services</w:t>
      </w:r>
      <w:r>
        <w:rPr>
          <w:spacing w:val="-9"/>
          <w:w w:val="105"/>
          <w:sz w:val="21"/>
        </w:rPr>
        <w:t> </w:t>
      </w:r>
      <w:r>
        <w:rPr>
          <w:spacing w:val="-3"/>
          <w:w w:val="105"/>
          <w:sz w:val="21"/>
        </w:rPr>
        <w:t>instead</w:t>
      </w:r>
      <w:r>
        <w:rPr>
          <w:spacing w:val="-9"/>
          <w:w w:val="105"/>
          <w:sz w:val="21"/>
        </w:rPr>
        <w:t> </w:t>
      </w:r>
      <w:r>
        <w:rPr>
          <w:w w:val="105"/>
          <w:sz w:val="21"/>
        </w:rPr>
        <w:t>of</w:t>
      </w:r>
      <w:r>
        <w:rPr>
          <w:spacing w:val="-9"/>
          <w:w w:val="105"/>
          <w:sz w:val="21"/>
        </w:rPr>
        <w:t> </w:t>
      </w:r>
      <w:r>
        <w:rPr>
          <w:spacing w:val="-3"/>
          <w:w w:val="105"/>
          <w:sz w:val="21"/>
        </w:rPr>
        <w:t>claiming commission to </w:t>
      </w:r>
      <w:r>
        <w:rPr>
          <w:w w:val="105"/>
          <w:sz w:val="21"/>
        </w:rPr>
        <w:t>which they </w:t>
      </w:r>
      <w:r>
        <w:rPr>
          <w:spacing w:val="-3"/>
          <w:w w:val="105"/>
          <w:sz w:val="21"/>
        </w:rPr>
        <w:t>are </w:t>
      </w:r>
      <w:r>
        <w:rPr>
          <w:w w:val="105"/>
          <w:sz w:val="21"/>
        </w:rPr>
        <w:t>otherwise </w:t>
      </w:r>
      <w:r>
        <w:rPr>
          <w:spacing w:val="-3"/>
          <w:w w:val="105"/>
          <w:sz w:val="21"/>
        </w:rPr>
        <w:t>entitled. </w:t>
      </w:r>
      <w:r>
        <w:rPr>
          <w:w w:val="105"/>
          <w:sz w:val="21"/>
        </w:rPr>
        <w:t>In </w:t>
      </w:r>
      <w:r>
        <w:rPr>
          <w:spacing w:val="-3"/>
          <w:w w:val="105"/>
          <w:sz w:val="21"/>
        </w:rPr>
        <w:t>formulating </w:t>
      </w:r>
      <w:r>
        <w:rPr>
          <w:w w:val="105"/>
          <w:sz w:val="21"/>
        </w:rPr>
        <w:t>a</w:t>
      </w:r>
      <w:r>
        <w:rPr>
          <w:spacing w:val="4"/>
          <w:w w:val="105"/>
          <w:sz w:val="21"/>
        </w:rPr>
        <w:t> </w:t>
      </w:r>
      <w:r>
        <w:rPr>
          <w:spacing w:val="-3"/>
          <w:w w:val="105"/>
          <w:sz w:val="21"/>
        </w:rPr>
        <w:t>recommendation,</w:t>
      </w:r>
    </w:p>
    <w:p>
      <w:pPr>
        <w:pStyle w:val="BodyText"/>
        <w:spacing w:line="242" w:lineRule="auto" w:before="5"/>
        <w:ind w:left="2380" w:right="1619"/>
      </w:pPr>
      <w:r>
        <w:rPr/>
        <w:t>the Commission considered and rejected a model provision devised by the National Committee for Uniform Succession Laws to enable a personal representative to renounce commission.</w:t>
      </w:r>
      <w:r>
        <w:rPr>
          <w:position w:val="7"/>
          <w:sz w:val="12"/>
        </w:rPr>
        <w:t>128 </w:t>
      </w:r>
      <w:r>
        <w:rPr/>
        <w:t>The meaning of the provision is not clear on its face because of the terminology used and it is not easily adapted to Victorian legislation.</w:t>
      </w:r>
    </w:p>
    <w:p>
      <w:pPr>
        <w:pStyle w:val="BodyText"/>
        <w:spacing w:before="11"/>
        <w:rPr>
          <w:sz w:val="14"/>
        </w:rPr>
      </w:pPr>
      <w:r>
        <w:rPr/>
        <w:pict>
          <v:group style="position:absolute;margin-left:62.362202pt;margin-top:11.062237pt;width:479.1pt;height:276.25pt;mso-position-horizontal-relative:page;mso-position-vertical-relative:paragraph;z-index:9512;mso-wrap-distance-left:0;mso-wrap-distance-right:0" coordorigin="1247,221" coordsize="9582,5525">
            <v:rect style="position:absolute;left:1587;top:221;width:8731;height:5525" filled="true" fillcolor="#fdebea" stroked="false">
              <v:fill type="solid"/>
            </v:rect>
            <v:line style="position:absolute" from="1247,972" to="10828,972" stroked="true" strokeweight="2.5pt" strokecolor="#ffffff">
              <v:stroke dashstyle="solid"/>
            </v:line>
            <v:shape style="position:absolute;left:2380;top:1209;width:7705;height:4363" type="#_x0000_t202" filled="false" stroked="false">
              <v:textbox inset="0,0,0,0">
                <w:txbxContent>
                  <w:p>
                    <w:pPr>
                      <w:spacing w:line="242" w:lineRule="auto" w:before="0"/>
                      <w:ind w:left="0" w:right="60" w:firstLine="0"/>
                      <w:jc w:val="left"/>
                      <w:rPr>
                        <w:sz w:val="21"/>
                      </w:rPr>
                    </w:pPr>
                    <w:r>
                      <w:rPr>
                        <w:w w:val="105"/>
                        <w:sz w:val="21"/>
                      </w:rPr>
                      <w:t>A </w:t>
                    </w:r>
                    <w:r>
                      <w:rPr>
                        <w:spacing w:val="-4"/>
                        <w:w w:val="105"/>
                        <w:sz w:val="21"/>
                      </w:rPr>
                      <w:t>new </w:t>
                    </w:r>
                    <w:r>
                      <w:rPr>
                        <w:spacing w:val="-6"/>
                        <w:w w:val="105"/>
                        <w:sz w:val="21"/>
                      </w:rPr>
                      <w:t>provision </w:t>
                    </w:r>
                    <w:r>
                      <w:rPr>
                        <w:spacing w:val="-5"/>
                        <w:w w:val="105"/>
                        <w:sz w:val="21"/>
                      </w:rPr>
                      <w:t>should </w:t>
                    </w:r>
                    <w:r>
                      <w:rPr>
                        <w:w w:val="105"/>
                        <w:sz w:val="21"/>
                      </w:rPr>
                      <w:t>be </w:t>
                    </w:r>
                    <w:r>
                      <w:rPr>
                        <w:spacing w:val="-4"/>
                        <w:w w:val="105"/>
                        <w:sz w:val="21"/>
                      </w:rPr>
                      <w:t>inserted </w:t>
                    </w:r>
                    <w:r>
                      <w:rPr>
                        <w:spacing w:val="-6"/>
                        <w:w w:val="105"/>
                        <w:sz w:val="21"/>
                      </w:rPr>
                      <w:t>into </w:t>
                    </w:r>
                    <w:r>
                      <w:rPr>
                        <w:spacing w:val="-4"/>
                        <w:w w:val="105"/>
                        <w:sz w:val="21"/>
                      </w:rPr>
                      <w:t>the </w:t>
                    </w:r>
                    <w:r>
                      <w:rPr>
                        <w:rFonts w:ascii="Lucida Sans"/>
                        <w:i/>
                        <w:spacing w:val="-6"/>
                        <w:w w:val="105"/>
                        <w:sz w:val="21"/>
                      </w:rPr>
                      <w:t>Administration </w:t>
                    </w:r>
                    <w:r>
                      <w:rPr>
                        <w:rFonts w:ascii="Lucida Sans"/>
                        <w:i/>
                        <w:spacing w:val="-4"/>
                        <w:w w:val="105"/>
                        <w:sz w:val="21"/>
                      </w:rPr>
                      <w:t>and </w:t>
                    </w:r>
                    <w:r>
                      <w:rPr>
                        <w:rFonts w:ascii="Lucida Sans"/>
                        <w:i/>
                        <w:spacing w:val="-5"/>
                        <w:w w:val="105"/>
                        <w:sz w:val="21"/>
                      </w:rPr>
                      <w:t>Probate </w:t>
                    </w:r>
                    <w:r>
                      <w:rPr>
                        <w:rFonts w:ascii="Lucida Sans"/>
                        <w:i/>
                        <w:w w:val="105"/>
                        <w:sz w:val="21"/>
                      </w:rPr>
                      <w:t>Act </w:t>
                    </w:r>
                    <w:r>
                      <w:rPr>
                        <w:rFonts w:ascii="Lucida Sans"/>
                        <w:i/>
                        <w:spacing w:val="-7"/>
                        <w:w w:val="105"/>
                        <w:sz w:val="21"/>
                      </w:rPr>
                      <w:t>1958 </w:t>
                    </w:r>
                    <w:r>
                      <w:rPr>
                        <w:spacing w:val="-3"/>
                        <w:w w:val="105"/>
                        <w:sz w:val="21"/>
                      </w:rPr>
                      <w:t>(Vic) </w:t>
                    </w:r>
                    <w:r>
                      <w:rPr>
                        <w:spacing w:val="-4"/>
                        <w:w w:val="105"/>
                        <w:sz w:val="21"/>
                      </w:rPr>
                      <w:t>to the </w:t>
                    </w:r>
                    <w:r>
                      <w:rPr>
                        <w:spacing w:val="-3"/>
                        <w:w w:val="105"/>
                        <w:sz w:val="21"/>
                      </w:rPr>
                      <w:t>effect </w:t>
                    </w:r>
                    <w:r>
                      <w:rPr>
                        <w:spacing w:val="-4"/>
                        <w:w w:val="105"/>
                        <w:sz w:val="21"/>
                      </w:rPr>
                      <w:t>that, </w:t>
                    </w:r>
                    <w:r>
                      <w:rPr>
                        <w:spacing w:val="-5"/>
                        <w:w w:val="105"/>
                        <w:sz w:val="21"/>
                      </w:rPr>
                      <w:t>where </w:t>
                    </w:r>
                    <w:r>
                      <w:rPr>
                        <w:w w:val="105"/>
                        <w:sz w:val="21"/>
                      </w:rPr>
                      <w:t>a </w:t>
                    </w:r>
                    <w:r>
                      <w:rPr>
                        <w:spacing w:val="-6"/>
                        <w:w w:val="105"/>
                        <w:sz w:val="21"/>
                      </w:rPr>
                      <w:t>will </w:t>
                    </w:r>
                    <w:r>
                      <w:rPr>
                        <w:spacing w:val="-5"/>
                        <w:w w:val="105"/>
                        <w:sz w:val="21"/>
                      </w:rPr>
                      <w:t>contains </w:t>
                    </w:r>
                    <w:r>
                      <w:rPr>
                        <w:w w:val="105"/>
                        <w:sz w:val="21"/>
                      </w:rPr>
                      <w:t>a </w:t>
                    </w:r>
                    <w:r>
                      <w:rPr>
                        <w:spacing w:val="-6"/>
                        <w:w w:val="105"/>
                        <w:sz w:val="21"/>
                      </w:rPr>
                      <w:t>provision authorising </w:t>
                    </w:r>
                    <w:r>
                      <w:rPr>
                        <w:w w:val="105"/>
                        <w:sz w:val="21"/>
                      </w:rPr>
                      <w:t>a </w:t>
                    </w:r>
                    <w:r>
                      <w:rPr>
                        <w:spacing w:val="-6"/>
                        <w:w w:val="105"/>
                        <w:sz w:val="21"/>
                      </w:rPr>
                      <w:t>professional executor </w:t>
                    </w:r>
                    <w:r>
                      <w:rPr>
                        <w:spacing w:val="-4"/>
                        <w:w w:val="105"/>
                        <w:sz w:val="21"/>
                      </w:rPr>
                      <w:t>to </w:t>
                    </w:r>
                    <w:r>
                      <w:rPr>
                        <w:spacing w:val="-5"/>
                        <w:w w:val="105"/>
                        <w:sz w:val="21"/>
                      </w:rPr>
                      <w:t>charge commission,  </w:t>
                    </w:r>
                    <w:r>
                      <w:rPr>
                        <w:spacing w:val="-4"/>
                        <w:w w:val="105"/>
                        <w:sz w:val="21"/>
                      </w:rPr>
                      <w:t>the  </w:t>
                    </w:r>
                    <w:r>
                      <w:rPr>
                        <w:spacing w:val="-6"/>
                        <w:w w:val="105"/>
                        <w:sz w:val="21"/>
                      </w:rPr>
                      <w:t>professional  executor  </w:t>
                    </w:r>
                    <w:r>
                      <w:rPr>
                        <w:spacing w:val="-5"/>
                        <w:w w:val="105"/>
                        <w:sz w:val="21"/>
                      </w:rPr>
                      <w:t>may  </w:t>
                    </w:r>
                    <w:r>
                      <w:rPr>
                        <w:spacing w:val="-3"/>
                        <w:w w:val="105"/>
                        <w:sz w:val="21"/>
                      </w:rPr>
                      <w:t>elect  </w:t>
                    </w:r>
                    <w:r>
                      <w:rPr>
                        <w:spacing w:val="-4"/>
                        <w:w w:val="105"/>
                        <w:sz w:val="21"/>
                      </w:rPr>
                      <w:t>to  </w:t>
                    </w:r>
                    <w:r>
                      <w:rPr>
                        <w:spacing w:val="-5"/>
                        <w:w w:val="105"/>
                        <w:sz w:val="21"/>
                      </w:rPr>
                      <w:t>charge  </w:t>
                    </w:r>
                    <w:r>
                      <w:rPr>
                        <w:spacing w:val="-4"/>
                        <w:w w:val="105"/>
                        <w:sz w:val="21"/>
                      </w:rPr>
                      <w:t>fees  for </w:t>
                    </w:r>
                    <w:r>
                      <w:rPr>
                        <w:spacing w:val="-6"/>
                        <w:w w:val="105"/>
                        <w:sz w:val="21"/>
                      </w:rPr>
                      <w:t>executorial </w:t>
                    </w:r>
                    <w:r>
                      <w:rPr>
                        <w:spacing w:val="-5"/>
                        <w:w w:val="105"/>
                        <w:sz w:val="21"/>
                      </w:rPr>
                      <w:t>work rather than </w:t>
                    </w:r>
                    <w:r>
                      <w:rPr>
                        <w:spacing w:val="-6"/>
                        <w:w w:val="105"/>
                        <w:sz w:val="21"/>
                      </w:rPr>
                      <w:t>relying </w:t>
                    </w:r>
                    <w:r>
                      <w:rPr>
                        <w:spacing w:val="-3"/>
                        <w:w w:val="105"/>
                        <w:sz w:val="21"/>
                      </w:rPr>
                      <w:t>on  </w:t>
                    </w:r>
                    <w:r>
                      <w:rPr>
                        <w:spacing w:val="-4"/>
                        <w:w w:val="105"/>
                        <w:sz w:val="21"/>
                      </w:rPr>
                      <w:t>the  </w:t>
                    </w:r>
                    <w:r>
                      <w:rPr>
                        <w:spacing w:val="-6"/>
                        <w:w w:val="105"/>
                        <w:sz w:val="21"/>
                      </w:rPr>
                      <w:t>provision  </w:t>
                    </w:r>
                    <w:r>
                      <w:rPr>
                        <w:spacing w:val="-4"/>
                        <w:w w:val="105"/>
                        <w:sz w:val="21"/>
                      </w:rPr>
                      <w:t>in  the  </w:t>
                    </w:r>
                    <w:r>
                      <w:rPr>
                        <w:spacing w:val="-6"/>
                        <w:w w:val="105"/>
                        <w:sz w:val="21"/>
                      </w:rPr>
                      <w:t>will.  </w:t>
                    </w:r>
                    <w:r>
                      <w:rPr>
                        <w:spacing w:val="-3"/>
                        <w:w w:val="105"/>
                        <w:sz w:val="21"/>
                      </w:rPr>
                      <w:t>The  </w:t>
                    </w:r>
                    <w:r>
                      <w:rPr>
                        <w:spacing w:val="-5"/>
                        <w:w w:val="105"/>
                        <w:sz w:val="21"/>
                      </w:rPr>
                      <w:t>ability  </w:t>
                    </w:r>
                    <w:r>
                      <w:rPr>
                        <w:spacing w:val="-4"/>
                        <w:w w:val="105"/>
                        <w:sz w:val="21"/>
                      </w:rPr>
                      <w:t>to </w:t>
                    </w:r>
                    <w:r>
                      <w:rPr>
                        <w:spacing w:val="-6"/>
                        <w:w w:val="105"/>
                        <w:sz w:val="21"/>
                      </w:rPr>
                      <w:t>make </w:t>
                    </w:r>
                    <w:r>
                      <w:rPr>
                        <w:spacing w:val="-3"/>
                        <w:w w:val="105"/>
                        <w:sz w:val="21"/>
                      </w:rPr>
                      <w:t>an </w:t>
                    </w:r>
                    <w:r>
                      <w:rPr>
                        <w:spacing w:val="-5"/>
                        <w:w w:val="105"/>
                        <w:sz w:val="21"/>
                      </w:rPr>
                      <w:t>election </w:t>
                    </w:r>
                    <w:r>
                      <w:rPr>
                        <w:spacing w:val="-6"/>
                        <w:w w:val="105"/>
                        <w:sz w:val="21"/>
                      </w:rPr>
                      <w:t>would </w:t>
                    </w:r>
                    <w:r>
                      <w:rPr>
                        <w:w w:val="105"/>
                        <w:sz w:val="21"/>
                      </w:rPr>
                      <w:t>be </w:t>
                    </w:r>
                    <w:r>
                      <w:rPr>
                        <w:spacing w:val="-4"/>
                        <w:w w:val="105"/>
                        <w:sz w:val="21"/>
                      </w:rPr>
                      <w:t>subject to </w:t>
                    </w:r>
                    <w:r>
                      <w:rPr>
                        <w:spacing w:val="-5"/>
                        <w:w w:val="105"/>
                        <w:sz w:val="21"/>
                      </w:rPr>
                      <w:t>conditions, </w:t>
                    </w:r>
                    <w:r>
                      <w:rPr>
                        <w:spacing w:val="-6"/>
                        <w:w w:val="105"/>
                        <w:sz w:val="21"/>
                      </w:rPr>
                      <w:t>including </w:t>
                    </w:r>
                    <w:r>
                      <w:rPr>
                        <w:spacing w:val="-5"/>
                        <w:w w:val="105"/>
                        <w:sz w:val="21"/>
                      </w:rPr>
                      <w:t>that</w:t>
                    </w:r>
                    <w:r>
                      <w:rPr>
                        <w:spacing w:val="-3"/>
                        <w:w w:val="105"/>
                        <w:sz w:val="21"/>
                      </w:rPr>
                      <w:t> </w:t>
                    </w:r>
                    <w:r>
                      <w:rPr>
                        <w:spacing w:val="-4"/>
                        <w:w w:val="105"/>
                        <w:sz w:val="21"/>
                      </w:rPr>
                      <w:t>the </w:t>
                    </w:r>
                    <w:r>
                      <w:rPr>
                        <w:spacing w:val="-3"/>
                        <w:w w:val="105"/>
                        <w:sz w:val="21"/>
                      </w:rPr>
                      <w:t>fees:</w:t>
                    </w:r>
                  </w:p>
                  <w:p>
                    <w:pPr>
                      <w:numPr>
                        <w:ilvl w:val="0"/>
                        <w:numId w:val="120"/>
                      </w:numPr>
                      <w:tabs>
                        <w:tab w:pos="341" w:val="left" w:leader="none"/>
                      </w:tabs>
                      <w:spacing w:line="242" w:lineRule="auto" w:before="112"/>
                      <w:ind w:left="340" w:right="108" w:hanging="340"/>
                      <w:jc w:val="left"/>
                      <w:rPr>
                        <w:sz w:val="21"/>
                      </w:rPr>
                    </w:pPr>
                    <w:r>
                      <w:rPr>
                        <w:w w:val="115"/>
                        <w:sz w:val="21"/>
                      </w:rPr>
                      <w:t>do</w:t>
                    </w:r>
                    <w:r>
                      <w:rPr>
                        <w:spacing w:val="-5"/>
                        <w:w w:val="115"/>
                        <w:sz w:val="21"/>
                      </w:rPr>
                      <w:t> </w:t>
                    </w:r>
                    <w:r>
                      <w:rPr>
                        <w:w w:val="115"/>
                        <w:sz w:val="21"/>
                      </w:rPr>
                      <w:t>not</w:t>
                    </w:r>
                    <w:r>
                      <w:rPr>
                        <w:spacing w:val="-5"/>
                        <w:w w:val="115"/>
                        <w:sz w:val="21"/>
                      </w:rPr>
                      <w:t> </w:t>
                    </w:r>
                    <w:r>
                      <w:rPr>
                        <w:w w:val="115"/>
                        <w:sz w:val="21"/>
                      </w:rPr>
                      <w:t>exceed</w:t>
                    </w:r>
                    <w:r>
                      <w:rPr>
                        <w:spacing w:val="-5"/>
                        <w:w w:val="115"/>
                        <w:sz w:val="21"/>
                      </w:rPr>
                      <w:t> </w:t>
                    </w:r>
                    <w:r>
                      <w:rPr>
                        <w:w w:val="115"/>
                        <w:sz w:val="21"/>
                      </w:rPr>
                      <w:t>in</w:t>
                    </w:r>
                    <w:r>
                      <w:rPr>
                        <w:spacing w:val="-4"/>
                        <w:w w:val="115"/>
                        <w:sz w:val="21"/>
                      </w:rPr>
                      <w:t> </w:t>
                    </w:r>
                    <w:r>
                      <w:rPr>
                        <w:w w:val="115"/>
                        <w:sz w:val="21"/>
                      </w:rPr>
                      <w:t>total</w:t>
                    </w:r>
                    <w:r>
                      <w:rPr>
                        <w:spacing w:val="-5"/>
                        <w:w w:val="115"/>
                        <w:sz w:val="21"/>
                      </w:rPr>
                      <w:t> </w:t>
                    </w:r>
                    <w:r>
                      <w:rPr>
                        <w:w w:val="115"/>
                        <w:sz w:val="21"/>
                      </w:rPr>
                      <w:t>the</w:t>
                    </w:r>
                    <w:r>
                      <w:rPr>
                        <w:spacing w:val="-5"/>
                        <w:w w:val="115"/>
                        <w:sz w:val="21"/>
                      </w:rPr>
                      <w:t> </w:t>
                    </w:r>
                    <w:r>
                      <w:rPr>
                        <w:w w:val="115"/>
                        <w:sz w:val="21"/>
                      </w:rPr>
                      <w:t>amount</w:t>
                    </w:r>
                    <w:r>
                      <w:rPr>
                        <w:spacing w:val="-4"/>
                        <w:w w:val="115"/>
                        <w:sz w:val="21"/>
                      </w:rPr>
                      <w:t> </w:t>
                    </w:r>
                    <w:r>
                      <w:rPr>
                        <w:w w:val="115"/>
                        <w:sz w:val="21"/>
                      </w:rPr>
                      <w:t>to</w:t>
                    </w:r>
                    <w:r>
                      <w:rPr>
                        <w:spacing w:val="-5"/>
                        <w:w w:val="115"/>
                        <w:sz w:val="21"/>
                      </w:rPr>
                      <w:t> </w:t>
                    </w:r>
                    <w:r>
                      <w:rPr>
                        <w:w w:val="115"/>
                        <w:sz w:val="21"/>
                      </w:rPr>
                      <w:t>which</w:t>
                    </w:r>
                    <w:r>
                      <w:rPr>
                        <w:spacing w:val="-5"/>
                        <w:w w:val="115"/>
                        <w:sz w:val="21"/>
                      </w:rPr>
                      <w:t> </w:t>
                    </w:r>
                    <w:r>
                      <w:rPr>
                        <w:w w:val="115"/>
                        <w:sz w:val="21"/>
                      </w:rPr>
                      <w:t>the</w:t>
                    </w:r>
                    <w:r>
                      <w:rPr>
                        <w:spacing w:val="-4"/>
                        <w:w w:val="115"/>
                        <w:sz w:val="21"/>
                      </w:rPr>
                      <w:t> </w:t>
                    </w:r>
                    <w:r>
                      <w:rPr>
                        <w:w w:val="115"/>
                        <w:sz w:val="21"/>
                      </w:rPr>
                      <w:t>executor</w:t>
                    </w:r>
                    <w:r>
                      <w:rPr>
                        <w:spacing w:val="-5"/>
                        <w:w w:val="115"/>
                        <w:sz w:val="21"/>
                      </w:rPr>
                      <w:t> </w:t>
                    </w:r>
                    <w:r>
                      <w:rPr>
                        <w:w w:val="115"/>
                        <w:sz w:val="21"/>
                      </w:rPr>
                      <w:t>would</w:t>
                    </w:r>
                    <w:r>
                      <w:rPr>
                        <w:spacing w:val="-5"/>
                        <w:w w:val="115"/>
                        <w:sz w:val="21"/>
                      </w:rPr>
                      <w:t> </w:t>
                    </w:r>
                    <w:r>
                      <w:rPr>
                        <w:spacing w:val="-3"/>
                        <w:w w:val="115"/>
                        <w:sz w:val="21"/>
                      </w:rPr>
                      <w:t>have</w:t>
                    </w:r>
                    <w:r>
                      <w:rPr>
                        <w:spacing w:val="-4"/>
                        <w:w w:val="115"/>
                        <w:sz w:val="21"/>
                      </w:rPr>
                      <w:t> </w:t>
                    </w:r>
                    <w:r>
                      <w:rPr>
                        <w:w w:val="115"/>
                        <w:sz w:val="21"/>
                      </w:rPr>
                      <w:t>been entitled if the executor had not made the</w:t>
                    </w:r>
                    <w:r>
                      <w:rPr>
                        <w:spacing w:val="-2"/>
                        <w:w w:val="115"/>
                        <w:sz w:val="21"/>
                      </w:rPr>
                      <w:t> </w:t>
                    </w:r>
                    <w:r>
                      <w:rPr>
                        <w:w w:val="115"/>
                        <w:sz w:val="21"/>
                      </w:rPr>
                      <w:t>election</w:t>
                    </w:r>
                  </w:p>
                  <w:p>
                    <w:pPr>
                      <w:numPr>
                        <w:ilvl w:val="0"/>
                        <w:numId w:val="120"/>
                      </w:numPr>
                      <w:tabs>
                        <w:tab w:pos="341" w:val="left" w:leader="none"/>
                      </w:tabs>
                      <w:spacing w:line="242" w:lineRule="auto" w:before="122"/>
                      <w:ind w:left="340" w:right="679" w:hanging="340"/>
                      <w:jc w:val="left"/>
                      <w:rPr>
                        <w:sz w:val="21"/>
                      </w:rPr>
                    </w:pPr>
                    <w:r>
                      <w:rPr>
                        <w:w w:val="115"/>
                        <w:sz w:val="21"/>
                      </w:rPr>
                      <w:t>are</w:t>
                    </w:r>
                    <w:r>
                      <w:rPr>
                        <w:spacing w:val="-6"/>
                        <w:w w:val="115"/>
                        <w:sz w:val="21"/>
                      </w:rPr>
                      <w:t> </w:t>
                    </w:r>
                    <w:r>
                      <w:rPr>
                        <w:w w:val="115"/>
                        <w:sz w:val="21"/>
                      </w:rPr>
                      <w:t>calculated</w:t>
                    </w:r>
                    <w:r>
                      <w:rPr>
                        <w:spacing w:val="-5"/>
                        <w:w w:val="115"/>
                        <w:sz w:val="21"/>
                      </w:rPr>
                      <w:t> </w:t>
                    </w:r>
                    <w:r>
                      <w:rPr>
                        <w:w w:val="115"/>
                        <w:sz w:val="21"/>
                      </w:rPr>
                      <w:t>at</w:t>
                    </w:r>
                    <w:r>
                      <w:rPr>
                        <w:spacing w:val="-5"/>
                        <w:w w:val="115"/>
                        <w:sz w:val="21"/>
                      </w:rPr>
                      <w:t> </w:t>
                    </w:r>
                    <w:r>
                      <w:rPr>
                        <w:w w:val="115"/>
                        <w:sz w:val="21"/>
                      </w:rPr>
                      <w:t>a</w:t>
                    </w:r>
                    <w:r>
                      <w:rPr>
                        <w:spacing w:val="-5"/>
                        <w:w w:val="115"/>
                        <w:sz w:val="21"/>
                      </w:rPr>
                      <w:t> </w:t>
                    </w:r>
                    <w:r>
                      <w:rPr>
                        <w:spacing w:val="-3"/>
                        <w:w w:val="115"/>
                        <w:sz w:val="21"/>
                      </w:rPr>
                      <w:t>rate</w:t>
                    </w:r>
                    <w:r>
                      <w:rPr>
                        <w:spacing w:val="-5"/>
                        <w:w w:val="115"/>
                        <w:sz w:val="21"/>
                      </w:rPr>
                      <w:t> </w:t>
                    </w:r>
                    <w:r>
                      <w:rPr>
                        <w:w w:val="115"/>
                        <w:sz w:val="21"/>
                      </w:rPr>
                      <w:t>applicable</w:t>
                    </w:r>
                    <w:r>
                      <w:rPr>
                        <w:spacing w:val="-5"/>
                        <w:w w:val="115"/>
                        <w:sz w:val="21"/>
                      </w:rPr>
                      <w:t> </w:t>
                    </w:r>
                    <w:r>
                      <w:rPr>
                        <w:w w:val="115"/>
                        <w:sz w:val="21"/>
                      </w:rPr>
                      <w:t>for</w:t>
                    </w:r>
                    <w:r>
                      <w:rPr>
                        <w:spacing w:val="-5"/>
                        <w:w w:val="115"/>
                        <w:sz w:val="21"/>
                      </w:rPr>
                      <w:t> </w:t>
                    </w:r>
                    <w:r>
                      <w:rPr>
                        <w:w w:val="115"/>
                        <w:sz w:val="21"/>
                      </w:rPr>
                      <w:t>work</w:t>
                    </w:r>
                    <w:r>
                      <w:rPr>
                        <w:spacing w:val="-5"/>
                        <w:w w:val="115"/>
                        <w:sz w:val="21"/>
                      </w:rPr>
                      <w:t> </w:t>
                    </w:r>
                    <w:r>
                      <w:rPr>
                        <w:w w:val="115"/>
                        <w:sz w:val="21"/>
                      </w:rPr>
                      <w:t>that</w:t>
                    </w:r>
                    <w:r>
                      <w:rPr>
                        <w:spacing w:val="-5"/>
                        <w:w w:val="115"/>
                        <w:sz w:val="21"/>
                      </w:rPr>
                      <w:t> </w:t>
                    </w:r>
                    <w:r>
                      <w:rPr>
                        <w:w w:val="115"/>
                        <w:sz w:val="21"/>
                      </w:rPr>
                      <w:t>does</w:t>
                    </w:r>
                    <w:r>
                      <w:rPr>
                        <w:spacing w:val="-5"/>
                        <w:w w:val="115"/>
                        <w:sz w:val="21"/>
                      </w:rPr>
                      <w:t> </w:t>
                    </w:r>
                    <w:r>
                      <w:rPr>
                        <w:w w:val="115"/>
                        <w:sz w:val="21"/>
                      </w:rPr>
                      <w:t>not</w:t>
                    </w:r>
                    <w:r>
                      <w:rPr>
                        <w:spacing w:val="-5"/>
                        <w:w w:val="115"/>
                        <w:sz w:val="21"/>
                      </w:rPr>
                      <w:t> </w:t>
                    </w:r>
                    <w:r>
                      <w:rPr>
                        <w:w w:val="115"/>
                        <w:sz w:val="21"/>
                      </w:rPr>
                      <w:t>require</w:t>
                    </w:r>
                    <w:r>
                      <w:rPr>
                        <w:spacing w:val="-5"/>
                        <w:w w:val="115"/>
                        <w:sz w:val="21"/>
                      </w:rPr>
                      <w:t> </w:t>
                    </w:r>
                    <w:r>
                      <w:rPr>
                        <w:w w:val="115"/>
                        <w:sz w:val="21"/>
                      </w:rPr>
                      <w:t>the executor to use their specialist professional</w:t>
                    </w:r>
                    <w:r>
                      <w:rPr>
                        <w:spacing w:val="-14"/>
                        <w:w w:val="115"/>
                        <w:sz w:val="21"/>
                      </w:rPr>
                      <w:t> </w:t>
                    </w:r>
                    <w:r>
                      <w:rPr>
                        <w:w w:val="115"/>
                        <w:sz w:val="21"/>
                      </w:rPr>
                      <w:t>skills</w:t>
                    </w:r>
                  </w:p>
                  <w:p>
                    <w:pPr>
                      <w:numPr>
                        <w:ilvl w:val="0"/>
                        <w:numId w:val="120"/>
                      </w:numPr>
                      <w:tabs>
                        <w:tab w:pos="341" w:val="left" w:leader="none"/>
                      </w:tabs>
                      <w:spacing w:line="242" w:lineRule="auto" w:before="122"/>
                      <w:ind w:left="340" w:right="656" w:hanging="340"/>
                      <w:jc w:val="left"/>
                      <w:rPr>
                        <w:sz w:val="21"/>
                      </w:rPr>
                    </w:pPr>
                    <w:r>
                      <w:rPr>
                        <w:w w:val="115"/>
                        <w:sz w:val="21"/>
                      </w:rPr>
                      <w:t>are</w:t>
                    </w:r>
                    <w:r>
                      <w:rPr>
                        <w:spacing w:val="-10"/>
                        <w:w w:val="115"/>
                        <w:sz w:val="21"/>
                      </w:rPr>
                      <w:t> </w:t>
                    </w:r>
                    <w:r>
                      <w:rPr>
                        <w:w w:val="115"/>
                        <w:sz w:val="21"/>
                      </w:rPr>
                      <w:t>distinguished</w:t>
                    </w:r>
                    <w:r>
                      <w:rPr>
                        <w:spacing w:val="-10"/>
                        <w:w w:val="115"/>
                        <w:sz w:val="21"/>
                      </w:rPr>
                      <w:t> </w:t>
                    </w:r>
                    <w:r>
                      <w:rPr>
                        <w:w w:val="115"/>
                        <w:sz w:val="21"/>
                      </w:rPr>
                      <w:t>from</w:t>
                    </w:r>
                    <w:r>
                      <w:rPr>
                        <w:spacing w:val="-10"/>
                        <w:w w:val="115"/>
                        <w:sz w:val="21"/>
                      </w:rPr>
                      <w:t> </w:t>
                    </w:r>
                    <w:r>
                      <w:rPr>
                        <w:spacing w:val="-2"/>
                        <w:w w:val="115"/>
                        <w:sz w:val="21"/>
                      </w:rPr>
                      <w:t>any</w:t>
                    </w:r>
                    <w:r>
                      <w:rPr>
                        <w:spacing w:val="-10"/>
                        <w:w w:val="115"/>
                        <w:sz w:val="21"/>
                      </w:rPr>
                      <w:t> </w:t>
                    </w:r>
                    <w:r>
                      <w:rPr>
                        <w:w w:val="115"/>
                        <w:sz w:val="21"/>
                      </w:rPr>
                      <w:t>fees</w:t>
                    </w:r>
                    <w:r>
                      <w:rPr>
                        <w:spacing w:val="-10"/>
                        <w:w w:val="115"/>
                        <w:sz w:val="21"/>
                      </w:rPr>
                      <w:t> </w:t>
                    </w:r>
                    <w:r>
                      <w:rPr>
                        <w:w w:val="115"/>
                        <w:sz w:val="21"/>
                      </w:rPr>
                      <w:t>charged</w:t>
                    </w:r>
                    <w:r>
                      <w:rPr>
                        <w:spacing w:val="-10"/>
                        <w:w w:val="115"/>
                        <w:sz w:val="21"/>
                      </w:rPr>
                      <w:t> </w:t>
                    </w:r>
                    <w:r>
                      <w:rPr>
                        <w:w w:val="115"/>
                        <w:sz w:val="21"/>
                      </w:rPr>
                      <w:t>by</w:t>
                    </w:r>
                    <w:r>
                      <w:rPr>
                        <w:spacing w:val="-10"/>
                        <w:w w:val="115"/>
                        <w:sz w:val="21"/>
                      </w:rPr>
                      <w:t> </w:t>
                    </w:r>
                    <w:r>
                      <w:rPr>
                        <w:w w:val="115"/>
                        <w:sz w:val="21"/>
                      </w:rPr>
                      <w:t>the</w:t>
                    </w:r>
                    <w:r>
                      <w:rPr>
                        <w:spacing w:val="-10"/>
                        <w:w w:val="115"/>
                        <w:sz w:val="21"/>
                      </w:rPr>
                      <w:t> </w:t>
                    </w:r>
                    <w:r>
                      <w:rPr>
                        <w:w w:val="115"/>
                        <w:sz w:val="21"/>
                      </w:rPr>
                      <w:t>professional</w:t>
                    </w:r>
                    <w:r>
                      <w:rPr>
                        <w:spacing w:val="-10"/>
                        <w:w w:val="115"/>
                        <w:sz w:val="21"/>
                      </w:rPr>
                      <w:t> </w:t>
                    </w:r>
                    <w:r>
                      <w:rPr>
                        <w:w w:val="115"/>
                        <w:sz w:val="21"/>
                      </w:rPr>
                      <w:t>executor for professional services</w:t>
                    </w:r>
                  </w:p>
                  <w:p>
                    <w:pPr>
                      <w:numPr>
                        <w:ilvl w:val="0"/>
                        <w:numId w:val="120"/>
                      </w:numPr>
                      <w:tabs>
                        <w:tab w:pos="341" w:val="left" w:leader="none"/>
                      </w:tabs>
                      <w:spacing w:line="242" w:lineRule="auto" w:before="123"/>
                      <w:ind w:left="340" w:right="150" w:hanging="340"/>
                      <w:jc w:val="left"/>
                      <w:rPr>
                        <w:sz w:val="21"/>
                      </w:rPr>
                    </w:pPr>
                    <w:r>
                      <w:rPr>
                        <w:w w:val="115"/>
                        <w:sz w:val="21"/>
                      </w:rPr>
                      <w:t>where</w:t>
                    </w:r>
                    <w:r>
                      <w:rPr>
                        <w:spacing w:val="-10"/>
                        <w:w w:val="115"/>
                        <w:sz w:val="21"/>
                      </w:rPr>
                      <w:t> </w:t>
                    </w:r>
                    <w:r>
                      <w:rPr>
                        <w:w w:val="115"/>
                        <w:sz w:val="21"/>
                      </w:rPr>
                      <w:t>the</w:t>
                    </w:r>
                    <w:r>
                      <w:rPr>
                        <w:spacing w:val="-9"/>
                        <w:w w:val="115"/>
                        <w:sz w:val="21"/>
                      </w:rPr>
                      <w:t> </w:t>
                    </w:r>
                    <w:r>
                      <w:rPr>
                        <w:w w:val="115"/>
                        <w:sz w:val="21"/>
                      </w:rPr>
                      <w:t>professional</w:t>
                    </w:r>
                    <w:r>
                      <w:rPr>
                        <w:spacing w:val="-10"/>
                        <w:w w:val="115"/>
                        <w:sz w:val="21"/>
                      </w:rPr>
                      <w:t> </w:t>
                    </w:r>
                    <w:r>
                      <w:rPr>
                        <w:w w:val="115"/>
                        <w:sz w:val="21"/>
                      </w:rPr>
                      <w:t>executor</w:t>
                    </w:r>
                    <w:r>
                      <w:rPr>
                        <w:spacing w:val="-9"/>
                        <w:w w:val="115"/>
                        <w:sz w:val="21"/>
                      </w:rPr>
                      <w:t> </w:t>
                    </w:r>
                    <w:r>
                      <w:rPr>
                        <w:w w:val="115"/>
                        <w:sz w:val="21"/>
                      </w:rPr>
                      <w:t>is</w:t>
                    </w:r>
                    <w:r>
                      <w:rPr>
                        <w:spacing w:val="-10"/>
                        <w:w w:val="115"/>
                        <w:sz w:val="21"/>
                      </w:rPr>
                      <w:t> </w:t>
                    </w:r>
                    <w:r>
                      <w:rPr>
                        <w:w w:val="115"/>
                        <w:sz w:val="21"/>
                      </w:rPr>
                      <w:t>a</w:t>
                    </w:r>
                    <w:r>
                      <w:rPr>
                        <w:spacing w:val="-9"/>
                        <w:w w:val="115"/>
                        <w:sz w:val="21"/>
                      </w:rPr>
                      <w:t> </w:t>
                    </w:r>
                    <w:r>
                      <w:rPr>
                        <w:w w:val="115"/>
                        <w:sz w:val="21"/>
                      </w:rPr>
                      <w:t>legal</w:t>
                    </w:r>
                    <w:r>
                      <w:rPr>
                        <w:spacing w:val="-10"/>
                        <w:w w:val="115"/>
                        <w:sz w:val="21"/>
                      </w:rPr>
                      <w:t> </w:t>
                    </w:r>
                    <w:r>
                      <w:rPr>
                        <w:w w:val="115"/>
                        <w:sz w:val="21"/>
                      </w:rPr>
                      <w:t>practitioner,</w:t>
                    </w:r>
                    <w:r>
                      <w:rPr>
                        <w:spacing w:val="-9"/>
                        <w:w w:val="115"/>
                        <w:sz w:val="21"/>
                      </w:rPr>
                      <w:t> </w:t>
                    </w:r>
                    <w:r>
                      <w:rPr>
                        <w:w w:val="115"/>
                        <w:sz w:val="21"/>
                      </w:rPr>
                      <w:t>are</w:t>
                    </w:r>
                    <w:r>
                      <w:rPr>
                        <w:spacing w:val="-9"/>
                        <w:w w:val="115"/>
                        <w:sz w:val="21"/>
                      </w:rPr>
                      <w:t> </w:t>
                    </w:r>
                    <w:r>
                      <w:rPr>
                        <w:w w:val="115"/>
                        <w:sz w:val="21"/>
                      </w:rPr>
                      <w:t>treated</w:t>
                    </w:r>
                    <w:r>
                      <w:rPr>
                        <w:spacing w:val="-10"/>
                        <w:w w:val="115"/>
                        <w:sz w:val="21"/>
                      </w:rPr>
                      <w:t> </w:t>
                    </w:r>
                    <w:r>
                      <w:rPr>
                        <w:w w:val="115"/>
                        <w:sz w:val="21"/>
                      </w:rPr>
                      <w:t>as</w:t>
                    </w:r>
                    <w:r>
                      <w:rPr>
                        <w:spacing w:val="-9"/>
                        <w:w w:val="115"/>
                        <w:sz w:val="21"/>
                      </w:rPr>
                      <w:t> </w:t>
                    </w:r>
                    <w:r>
                      <w:rPr>
                        <w:w w:val="115"/>
                        <w:sz w:val="21"/>
                      </w:rPr>
                      <w:t>legal costs for the purposes of the rights of the beneficiaries to apply for costs review by the Costs Court and </w:t>
                    </w:r>
                    <w:r>
                      <w:rPr>
                        <w:spacing w:val="-3"/>
                        <w:w w:val="115"/>
                        <w:sz w:val="21"/>
                      </w:rPr>
                      <w:t>make </w:t>
                    </w:r>
                    <w:r>
                      <w:rPr>
                        <w:w w:val="115"/>
                        <w:sz w:val="21"/>
                      </w:rPr>
                      <w:t>a </w:t>
                    </w:r>
                    <w:r>
                      <w:rPr>
                        <w:spacing w:val="-3"/>
                        <w:w w:val="115"/>
                        <w:sz w:val="21"/>
                      </w:rPr>
                      <w:t>civil </w:t>
                    </w:r>
                    <w:r>
                      <w:rPr>
                        <w:w w:val="115"/>
                        <w:sz w:val="21"/>
                      </w:rPr>
                      <w:t>complaint to the Legal Services </w:t>
                    </w:r>
                    <w:r>
                      <w:rPr>
                        <w:spacing w:val="-3"/>
                        <w:w w:val="115"/>
                        <w:sz w:val="21"/>
                      </w:rPr>
                      <w:t>Commissioner.</w:t>
                    </w:r>
                  </w:p>
                </w:txbxContent>
              </v:textbox>
              <w10:wrap type="none"/>
            </v:shape>
            <v:shape style="position:absolute;left:1814;top:1209;width:253;height:249" type="#_x0000_t202" filled="false" stroked="false">
              <v:textbox inset="0,0,0,0">
                <w:txbxContent>
                  <w:p>
                    <w:pPr>
                      <w:spacing w:line="249" w:lineRule="exact" w:before="0"/>
                      <w:ind w:left="0" w:right="0" w:firstLine="0"/>
                      <w:jc w:val="left"/>
                      <w:rPr>
                        <w:sz w:val="21"/>
                      </w:rPr>
                    </w:pPr>
                    <w:r>
                      <w:rPr>
                        <w:w w:val="110"/>
                        <w:sz w:val="21"/>
                      </w:rPr>
                      <w:t>56</w:t>
                    </w:r>
                  </w:p>
                </w:txbxContent>
              </v:textbox>
              <w10:wrap type="none"/>
            </v:shape>
            <v:shape style="position:absolute;left:1587;top:221;width:8731;height:726" type="#_x0000_t202" filled="true" fillcolor="#fdebea" stroked="false">
              <v:textbox inset="0,0,0,0">
                <w:txbxContent>
                  <w:p>
                    <w:pPr>
                      <w:spacing w:before="166"/>
                      <w:ind w:left="226" w:right="0" w:firstLine="0"/>
                      <w:jc w:val="left"/>
                      <w:rPr>
                        <w:b/>
                        <w:sz w:val="32"/>
                      </w:rPr>
                    </w:pPr>
                    <w:r>
                      <w:rPr>
                        <w:b/>
                        <w:color w:val="EC5A4F"/>
                        <w:w w:val="110"/>
                        <w:sz w:val="32"/>
                      </w:rPr>
                      <w:t>Recommendation</w:t>
                    </w:r>
                  </w:p>
                </w:txbxContent>
              </v:textbox>
              <v:fill type="solid"/>
              <w10:wrap type="none"/>
            </v:shape>
            <w10:wrap type="topAndBottom"/>
          </v:group>
        </w:pict>
      </w:r>
      <w:r>
        <w:rPr/>
        <w:pict>
          <v:line style="position:absolute;mso-position-horizontal-relative:page;mso-position-vertical-relative:paragraph;z-index:9536;mso-wrap-distance-left:0;mso-wrap-distance-right:0" from="79.370003pt,295.671844pt" to="515.905003pt,295.671844pt" stroked="true" strokeweight="1pt" strokecolor="#f9ceca">
            <v:stroke dashstyle="solid"/>
            <w10:wrap type="topAndBottom"/>
          </v:line>
        </w:pict>
      </w:r>
    </w:p>
    <w:p>
      <w:pPr>
        <w:pStyle w:val="BodyText"/>
        <w:spacing w:before="4"/>
        <w:rPr>
          <w:sz w:val="7"/>
        </w:rPr>
      </w:pPr>
    </w:p>
    <w:p>
      <w:pPr>
        <w:pStyle w:val="BodyText"/>
        <w:spacing w:before="8"/>
        <w:rPr>
          <w:sz w:val="5"/>
        </w:rPr>
      </w:pPr>
    </w:p>
    <w:p>
      <w:pPr>
        <w:spacing w:after="0"/>
        <w:rPr>
          <w:sz w:val="5"/>
        </w:rPr>
        <w:sectPr>
          <w:pgSz w:w="11910" w:h="16840"/>
          <w:pgMar w:header="550" w:footer="0" w:top="1560" w:bottom="280" w:left="0" w:right="0"/>
        </w:sectPr>
      </w:pPr>
    </w:p>
    <w:p>
      <w:pPr>
        <w:pStyle w:val="BodyText"/>
        <w:rPr>
          <w:sz w:val="28"/>
        </w:rPr>
      </w:pPr>
    </w:p>
    <w:p>
      <w:pPr>
        <w:pStyle w:val="BodyText"/>
        <w:spacing w:before="12"/>
        <w:rPr>
          <w:sz w:val="20"/>
        </w:rPr>
      </w:pPr>
    </w:p>
    <w:p>
      <w:pPr>
        <w:spacing w:before="0"/>
        <w:ind w:left="720" w:right="0" w:firstLine="0"/>
        <w:jc w:val="left"/>
        <w:rPr>
          <w:b/>
          <w:sz w:val="24"/>
        </w:rPr>
      </w:pPr>
      <w:r>
        <w:rPr>
          <w:b/>
          <w:color w:val="EC5A4F"/>
          <w:spacing w:val="-4"/>
          <w:w w:val="110"/>
          <w:sz w:val="24"/>
        </w:rPr>
        <w:t>158</w:t>
      </w:r>
    </w:p>
    <w:p>
      <w:pPr>
        <w:pStyle w:val="ListParagraph"/>
        <w:numPr>
          <w:ilvl w:val="0"/>
          <w:numId w:val="119"/>
        </w:numPr>
        <w:tabs>
          <w:tab w:pos="1228" w:val="left" w:leader="none"/>
          <w:tab w:pos="1229" w:val="left" w:leader="none"/>
        </w:tabs>
        <w:spacing w:line="240" w:lineRule="auto" w:before="48" w:after="0"/>
        <w:ind w:left="1228" w:right="0" w:hanging="793"/>
        <w:jc w:val="left"/>
        <w:rPr>
          <w:sz w:val="13"/>
        </w:rPr>
      </w:pPr>
      <w:r>
        <w:rPr>
          <w:spacing w:val="-3"/>
          <w:w w:val="125"/>
          <w:sz w:val="13"/>
        </w:rPr>
        <w:br w:type="column"/>
      </w:r>
      <w:r>
        <w:rPr>
          <w:w w:val="105"/>
          <w:sz w:val="13"/>
        </w:rPr>
        <w:t>Consultation 3 </w:t>
      </w:r>
      <w:r>
        <w:rPr>
          <w:spacing w:val="2"/>
          <w:w w:val="105"/>
          <w:sz w:val="13"/>
        </w:rPr>
        <w:t>(Legal </w:t>
      </w:r>
      <w:r>
        <w:rPr>
          <w:w w:val="105"/>
          <w:sz w:val="13"/>
        </w:rPr>
        <w:t>practitioners in the Goulburn Valley</w:t>
      </w:r>
      <w:r>
        <w:rPr>
          <w:spacing w:val="4"/>
          <w:w w:val="105"/>
          <w:sz w:val="13"/>
        </w:rPr>
        <w:t> </w:t>
      </w:r>
      <w:r>
        <w:rPr>
          <w:w w:val="105"/>
          <w:sz w:val="13"/>
        </w:rPr>
        <w:t>region).</w:t>
      </w:r>
    </w:p>
    <w:p>
      <w:pPr>
        <w:pStyle w:val="ListParagraph"/>
        <w:numPr>
          <w:ilvl w:val="0"/>
          <w:numId w:val="119"/>
        </w:numPr>
        <w:tabs>
          <w:tab w:pos="1228" w:val="left" w:leader="none"/>
          <w:tab w:pos="1230" w:val="left" w:leader="none"/>
        </w:tabs>
        <w:spacing w:line="240" w:lineRule="auto" w:before="1" w:after="0"/>
        <w:ind w:left="1229" w:right="0" w:hanging="794"/>
        <w:jc w:val="left"/>
        <w:rPr>
          <w:sz w:val="13"/>
        </w:rPr>
      </w:pPr>
      <w:r>
        <w:rPr>
          <w:w w:val="105"/>
          <w:sz w:val="13"/>
        </w:rPr>
        <w:t>Discussion</w:t>
      </w:r>
      <w:r>
        <w:rPr>
          <w:spacing w:val="4"/>
          <w:w w:val="105"/>
          <w:sz w:val="13"/>
        </w:rPr>
        <w:t> </w:t>
      </w:r>
      <w:r>
        <w:rPr>
          <w:w w:val="105"/>
          <w:sz w:val="13"/>
        </w:rPr>
        <w:t>with</w:t>
      </w:r>
      <w:r>
        <w:rPr>
          <w:spacing w:val="5"/>
          <w:w w:val="105"/>
          <w:sz w:val="13"/>
        </w:rPr>
        <w:t> </w:t>
      </w:r>
      <w:r>
        <w:rPr>
          <w:w w:val="105"/>
          <w:sz w:val="13"/>
        </w:rPr>
        <w:t>Roger</w:t>
      </w:r>
      <w:r>
        <w:rPr>
          <w:spacing w:val="5"/>
          <w:w w:val="105"/>
          <w:sz w:val="13"/>
        </w:rPr>
        <w:t> </w:t>
      </w:r>
      <w:r>
        <w:rPr>
          <w:w w:val="105"/>
          <w:sz w:val="13"/>
        </w:rPr>
        <w:t>Walton,</w:t>
      </w:r>
      <w:r>
        <w:rPr>
          <w:spacing w:val="5"/>
          <w:w w:val="105"/>
          <w:sz w:val="13"/>
        </w:rPr>
        <w:t> </w:t>
      </w:r>
      <w:r>
        <w:rPr>
          <w:w w:val="105"/>
          <w:sz w:val="13"/>
        </w:rPr>
        <w:t>Law</w:t>
      </w:r>
      <w:r>
        <w:rPr>
          <w:spacing w:val="5"/>
          <w:w w:val="105"/>
          <w:sz w:val="13"/>
        </w:rPr>
        <w:t> </w:t>
      </w:r>
      <w:r>
        <w:rPr>
          <w:w w:val="105"/>
          <w:sz w:val="13"/>
        </w:rPr>
        <w:t>Institute</w:t>
      </w:r>
      <w:r>
        <w:rPr>
          <w:spacing w:val="5"/>
          <w:w w:val="105"/>
          <w:sz w:val="13"/>
        </w:rPr>
        <w:t> </w:t>
      </w:r>
      <w:r>
        <w:rPr>
          <w:w w:val="105"/>
          <w:sz w:val="13"/>
        </w:rPr>
        <w:t>of</w:t>
      </w:r>
      <w:r>
        <w:rPr>
          <w:spacing w:val="5"/>
          <w:w w:val="105"/>
          <w:sz w:val="13"/>
        </w:rPr>
        <w:t> </w:t>
      </w:r>
      <w:r>
        <w:rPr>
          <w:w w:val="105"/>
          <w:sz w:val="13"/>
        </w:rPr>
        <w:t>Victoria</w:t>
      </w:r>
      <w:r>
        <w:rPr>
          <w:spacing w:val="5"/>
          <w:w w:val="105"/>
          <w:sz w:val="13"/>
        </w:rPr>
        <w:t> </w:t>
      </w:r>
      <w:r>
        <w:rPr>
          <w:w w:val="105"/>
          <w:sz w:val="13"/>
        </w:rPr>
        <w:t>Cost</w:t>
      </w:r>
      <w:r>
        <w:rPr>
          <w:spacing w:val="5"/>
          <w:w w:val="105"/>
          <w:sz w:val="13"/>
        </w:rPr>
        <w:t> </w:t>
      </w:r>
      <w:r>
        <w:rPr>
          <w:w w:val="105"/>
          <w:sz w:val="13"/>
        </w:rPr>
        <w:t>Lawyer,</w:t>
      </w:r>
      <w:r>
        <w:rPr>
          <w:spacing w:val="5"/>
          <w:w w:val="105"/>
          <w:sz w:val="13"/>
        </w:rPr>
        <w:t> </w:t>
      </w:r>
      <w:r>
        <w:rPr>
          <w:w w:val="105"/>
          <w:sz w:val="13"/>
        </w:rPr>
        <w:t>6</w:t>
      </w:r>
      <w:r>
        <w:rPr>
          <w:spacing w:val="5"/>
          <w:w w:val="105"/>
          <w:sz w:val="13"/>
        </w:rPr>
        <w:t> </w:t>
      </w:r>
      <w:r>
        <w:rPr>
          <w:w w:val="105"/>
          <w:sz w:val="13"/>
        </w:rPr>
        <w:t>June</w:t>
      </w:r>
      <w:r>
        <w:rPr>
          <w:spacing w:val="5"/>
          <w:w w:val="105"/>
          <w:sz w:val="13"/>
        </w:rPr>
        <w:t> </w:t>
      </w:r>
      <w:r>
        <w:rPr>
          <w:spacing w:val="-3"/>
          <w:w w:val="105"/>
          <w:sz w:val="13"/>
        </w:rPr>
        <w:t>2013.</w:t>
      </w:r>
    </w:p>
    <w:p>
      <w:pPr>
        <w:pStyle w:val="ListParagraph"/>
        <w:numPr>
          <w:ilvl w:val="0"/>
          <w:numId w:val="119"/>
        </w:numPr>
        <w:tabs>
          <w:tab w:pos="1228" w:val="left" w:leader="none"/>
          <w:tab w:pos="1230" w:val="left" w:leader="none"/>
        </w:tabs>
        <w:spacing w:line="240" w:lineRule="auto" w:before="2" w:after="0"/>
        <w:ind w:left="1229" w:right="0" w:hanging="794"/>
        <w:jc w:val="left"/>
        <w:rPr>
          <w:sz w:val="13"/>
        </w:rPr>
      </w:pPr>
      <w:r>
        <w:rPr>
          <w:sz w:val="13"/>
        </w:rPr>
        <w:t>Supreme</w:t>
      </w:r>
      <w:r>
        <w:rPr>
          <w:spacing w:val="7"/>
          <w:sz w:val="13"/>
        </w:rPr>
        <w:t> </w:t>
      </w:r>
      <w:r>
        <w:rPr>
          <w:sz w:val="13"/>
        </w:rPr>
        <w:t>Court</w:t>
      </w:r>
      <w:r>
        <w:rPr>
          <w:spacing w:val="7"/>
          <w:sz w:val="13"/>
        </w:rPr>
        <w:t> </w:t>
      </w:r>
      <w:r>
        <w:rPr>
          <w:sz w:val="13"/>
        </w:rPr>
        <w:t>(Administration</w:t>
      </w:r>
      <w:r>
        <w:rPr>
          <w:spacing w:val="7"/>
          <w:sz w:val="13"/>
        </w:rPr>
        <w:t> </w:t>
      </w:r>
      <w:r>
        <w:rPr>
          <w:sz w:val="13"/>
        </w:rPr>
        <w:t>and</w:t>
      </w:r>
      <w:r>
        <w:rPr>
          <w:spacing w:val="7"/>
          <w:sz w:val="13"/>
        </w:rPr>
        <w:t> </w:t>
      </w:r>
      <w:r>
        <w:rPr>
          <w:sz w:val="13"/>
        </w:rPr>
        <w:t>Probate)</w:t>
      </w:r>
      <w:r>
        <w:rPr>
          <w:spacing w:val="7"/>
          <w:sz w:val="13"/>
        </w:rPr>
        <w:t> </w:t>
      </w:r>
      <w:r>
        <w:rPr>
          <w:sz w:val="13"/>
        </w:rPr>
        <w:t>Rules</w:t>
      </w:r>
      <w:r>
        <w:rPr>
          <w:spacing w:val="7"/>
          <w:sz w:val="13"/>
        </w:rPr>
        <w:t> </w:t>
      </w:r>
      <w:r>
        <w:rPr>
          <w:sz w:val="13"/>
        </w:rPr>
        <w:t>2004</w:t>
      </w:r>
      <w:r>
        <w:rPr>
          <w:spacing w:val="7"/>
          <w:sz w:val="13"/>
        </w:rPr>
        <w:t> </w:t>
      </w:r>
      <w:r>
        <w:rPr>
          <w:spacing w:val="2"/>
          <w:sz w:val="13"/>
        </w:rPr>
        <w:t>(Vic)</w:t>
      </w:r>
      <w:r>
        <w:rPr>
          <w:spacing w:val="7"/>
          <w:sz w:val="13"/>
        </w:rPr>
        <w:t> </w:t>
      </w:r>
      <w:r>
        <w:rPr>
          <w:sz w:val="13"/>
        </w:rPr>
        <w:t>r</w:t>
      </w:r>
      <w:r>
        <w:rPr>
          <w:spacing w:val="7"/>
          <w:sz w:val="13"/>
        </w:rPr>
        <w:t> </w:t>
      </w:r>
      <w:r>
        <w:rPr>
          <w:sz w:val="13"/>
        </w:rPr>
        <w:t>9.</w:t>
      </w:r>
    </w:p>
    <w:p>
      <w:pPr>
        <w:pStyle w:val="ListParagraph"/>
        <w:numPr>
          <w:ilvl w:val="0"/>
          <w:numId w:val="119"/>
        </w:numPr>
        <w:tabs>
          <w:tab w:pos="1228" w:val="left" w:leader="none"/>
          <w:tab w:pos="1230" w:val="left" w:leader="none"/>
        </w:tabs>
        <w:spacing w:line="240" w:lineRule="auto" w:before="1" w:after="0"/>
        <w:ind w:left="1229" w:right="0" w:hanging="794"/>
        <w:jc w:val="left"/>
        <w:rPr>
          <w:sz w:val="13"/>
        </w:rPr>
      </w:pPr>
      <w:r>
        <w:rPr>
          <w:w w:val="105"/>
          <w:sz w:val="13"/>
        </w:rPr>
        <w:t>Discussion</w:t>
      </w:r>
      <w:r>
        <w:rPr>
          <w:spacing w:val="4"/>
          <w:w w:val="105"/>
          <w:sz w:val="13"/>
        </w:rPr>
        <w:t> </w:t>
      </w:r>
      <w:r>
        <w:rPr>
          <w:w w:val="105"/>
          <w:sz w:val="13"/>
        </w:rPr>
        <w:t>with</w:t>
      </w:r>
      <w:r>
        <w:rPr>
          <w:spacing w:val="5"/>
          <w:w w:val="105"/>
          <w:sz w:val="13"/>
        </w:rPr>
        <w:t> </w:t>
      </w:r>
      <w:r>
        <w:rPr>
          <w:w w:val="105"/>
          <w:sz w:val="13"/>
        </w:rPr>
        <w:t>Roger</w:t>
      </w:r>
      <w:r>
        <w:rPr>
          <w:spacing w:val="5"/>
          <w:w w:val="105"/>
          <w:sz w:val="13"/>
        </w:rPr>
        <w:t> </w:t>
      </w:r>
      <w:r>
        <w:rPr>
          <w:w w:val="105"/>
          <w:sz w:val="13"/>
        </w:rPr>
        <w:t>Walton,</w:t>
      </w:r>
      <w:r>
        <w:rPr>
          <w:spacing w:val="5"/>
          <w:w w:val="105"/>
          <w:sz w:val="13"/>
        </w:rPr>
        <w:t> </w:t>
      </w:r>
      <w:r>
        <w:rPr>
          <w:w w:val="105"/>
          <w:sz w:val="13"/>
        </w:rPr>
        <w:t>Law</w:t>
      </w:r>
      <w:r>
        <w:rPr>
          <w:spacing w:val="5"/>
          <w:w w:val="105"/>
          <w:sz w:val="13"/>
        </w:rPr>
        <w:t> </w:t>
      </w:r>
      <w:r>
        <w:rPr>
          <w:w w:val="105"/>
          <w:sz w:val="13"/>
        </w:rPr>
        <w:t>Institute</w:t>
      </w:r>
      <w:r>
        <w:rPr>
          <w:spacing w:val="5"/>
          <w:w w:val="105"/>
          <w:sz w:val="13"/>
        </w:rPr>
        <w:t> </w:t>
      </w:r>
      <w:r>
        <w:rPr>
          <w:w w:val="105"/>
          <w:sz w:val="13"/>
        </w:rPr>
        <w:t>of</w:t>
      </w:r>
      <w:r>
        <w:rPr>
          <w:spacing w:val="5"/>
          <w:w w:val="105"/>
          <w:sz w:val="13"/>
        </w:rPr>
        <w:t> </w:t>
      </w:r>
      <w:r>
        <w:rPr>
          <w:w w:val="105"/>
          <w:sz w:val="13"/>
        </w:rPr>
        <w:t>Victoria</w:t>
      </w:r>
      <w:r>
        <w:rPr>
          <w:spacing w:val="5"/>
          <w:w w:val="105"/>
          <w:sz w:val="13"/>
        </w:rPr>
        <w:t> </w:t>
      </w:r>
      <w:r>
        <w:rPr>
          <w:w w:val="105"/>
          <w:sz w:val="13"/>
        </w:rPr>
        <w:t>Cost</w:t>
      </w:r>
      <w:r>
        <w:rPr>
          <w:spacing w:val="5"/>
          <w:w w:val="105"/>
          <w:sz w:val="13"/>
        </w:rPr>
        <w:t> </w:t>
      </w:r>
      <w:r>
        <w:rPr>
          <w:w w:val="105"/>
          <w:sz w:val="13"/>
        </w:rPr>
        <w:t>Lawyer,</w:t>
      </w:r>
      <w:r>
        <w:rPr>
          <w:spacing w:val="5"/>
          <w:w w:val="105"/>
          <w:sz w:val="13"/>
        </w:rPr>
        <w:t> </w:t>
      </w:r>
      <w:r>
        <w:rPr>
          <w:w w:val="105"/>
          <w:sz w:val="13"/>
        </w:rPr>
        <w:t>6</w:t>
      </w:r>
      <w:r>
        <w:rPr>
          <w:spacing w:val="5"/>
          <w:w w:val="105"/>
          <w:sz w:val="13"/>
        </w:rPr>
        <w:t> </w:t>
      </w:r>
      <w:r>
        <w:rPr>
          <w:w w:val="105"/>
          <w:sz w:val="13"/>
        </w:rPr>
        <w:t>June</w:t>
      </w:r>
      <w:r>
        <w:rPr>
          <w:spacing w:val="5"/>
          <w:w w:val="105"/>
          <w:sz w:val="13"/>
        </w:rPr>
        <w:t> </w:t>
      </w:r>
      <w:r>
        <w:rPr>
          <w:spacing w:val="-3"/>
          <w:w w:val="105"/>
          <w:sz w:val="13"/>
        </w:rPr>
        <w:t>2013.</w:t>
      </w:r>
    </w:p>
    <w:p>
      <w:pPr>
        <w:pStyle w:val="ListParagraph"/>
        <w:numPr>
          <w:ilvl w:val="0"/>
          <w:numId w:val="119"/>
        </w:numPr>
        <w:tabs>
          <w:tab w:pos="1229" w:val="left" w:leader="none"/>
          <w:tab w:pos="1230" w:val="left" w:leader="none"/>
        </w:tabs>
        <w:spacing w:line="240" w:lineRule="auto" w:before="1" w:after="0"/>
        <w:ind w:left="1229" w:right="0" w:hanging="794"/>
        <w:jc w:val="left"/>
        <w:rPr>
          <w:sz w:val="13"/>
        </w:rPr>
      </w:pPr>
      <w:r>
        <w:rPr>
          <w:w w:val="105"/>
          <w:sz w:val="13"/>
        </w:rPr>
        <w:t>Victorian Law Reform Commission, above n 33,</w:t>
      </w:r>
      <w:r>
        <w:rPr>
          <w:spacing w:val="2"/>
          <w:w w:val="105"/>
          <w:sz w:val="13"/>
        </w:rPr>
        <w:t> </w:t>
      </w:r>
      <w:r>
        <w:rPr>
          <w:spacing w:val="-4"/>
          <w:w w:val="105"/>
          <w:sz w:val="13"/>
        </w:rPr>
        <w:t>37.</w:t>
      </w:r>
    </w:p>
    <w:p>
      <w:pPr>
        <w:spacing w:after="0" w:line="240" w:lineRule="auto"/>
        <w:jc w:val="left"/>
        <w:rPr>
          <w:sz w:val="13"/>
        </w:rPr>
        <w:sectPr>
          <w:type w:val="continuous"/>
          <w:pgSz w:w="11910" w:h="16840"/>
          <w:pgMar w:top="920" w:bottom="280" w:left="0" w:right="0"/>
          <w:cols w:num="2" w:equalWidth="0">
            <w:col w:w="1113" w:space="40"/>
            <w:col w:w="10757"/>
          </w:cols>
        </w:sectPr>
      </w:pPr>
    </w:p>
    <w:p>
      <w:pPr>
        <w:pStyle w:val="BodyText"/>
        <w:rPr>
          <w:sz w:val="20"/>
        </w:rPr>
      </w:pPr>
    </w:p>
    <w:p>
      <w:pPr>
        <w:pStyle w:val="BodyText"/>
        <w:spacing w:before="6"/>
        <w:rPr>
          <w:sz w:val="17"/>
        </w:rPr>
      </w:pPr>
    </w:p>
    <w:p>
      <w:pPr>
        <w:pStyle w:val="Heading4"/>
        <w:spacing w:before="99"/>
      </w:pPr>
      <w:r>
        <w:rPr>
          <w:color w:val="EC5A4F"/>
          <w:w w:val="115"/>
        </w:rPr>
        <w:t>Court review of costs and commission</w:t>
      </w:r>
    </w:p>
    <w:p>
      <w:pPr>
        <w:pStyle w:val="Heading5"/>
        <w:spacing w:before="166"/>
      </w:pPr>
      <w:r>
        <w:rPr>
          <w:w w:val="110"/>
        </w:rPr>
        <w:t>Proposed reforms</w:t>
      </w:r>
    </w:p>
    <w:p>
      <w:pPr>
        <w:pStyle w:val="Heading6"/>
        <w:spacing w:before="201"/>
      </w:pPr>
      <w:r>
        <w:rPr>
          <w:w w:val="115"/>
        </w:rPr>
        <w:t>National Committee for Uniform Succession</w:t>
      </w:r>
      <w:r>
        <w:rPr>
          <w:spacing w:val="-52"/>
          <w:w w:val="115"/>
        </w:rPr>
        <w:t> </w:t>
      </w:r>
      <w:r>
        <w:rPr>
          <w:w w:val="115"/>
        </w:rPr>
        <w:t>Laws</w:t>
      </w:r>
    </w:p>
    <w:p>
      <w:pPr>
        <w:pStyle w:val="ListParagraph"/>
        <w:numPr>
          <w:ilvl w:val="1"/>
          <w:numId w:val="22"/>
        </w:numPr>
        <w:tabs>
          <w:tab w:pos="2380" w:val="left" w:leader="none"/>
          <w:tab w:pos="2381" w:val="left" w:leader="none"/>
        </w:tabs>
        <w:spacing w:line="242" w:lineRule="auto" w:before="151" w:after="0"/>
        <w:ind w:left="2381" w:right="1801" w:hanging="794"/>
        <w:jc w:val="left"/>
        <w:rPr>
          <w:sz w:val="21"/>
        </w:rPr>
      </w:pPr>
      <w:r>
        <w:rPr>
          <w:w w:val="105"/>
          <w:sz w:val="21"/>
        </w:rPr>
        <w:t>The </w:t>
      </w:r>
      <w:r>
        <w:rPr>
          <w:spacing w:val="-3"/>
          <w:w w:val="105"/>
          <w:sz w:val="21"/>
        </w:rPr>
        <w:t>Commission </w:t>
      </w:r>
      <w:r>
        <w:rPr>
          <w:spacing w:val="-2"/>
          <w:w w:val="105"/>
          <w:sz w:val="21"/>
        </w:rPr>
        <w:t>has </w:t>
      </w:r>
      <w:r>
        <w:rPr>
          <w:w w:val="105"/>
          <w:sz w:val="21"/>
        </w:rPr>
        <w:t>been </w:t>
      </w:r>
      <w:r>
        <w:rPr>
          <w:spacing w:val="-3"/>
          <w:w w:val="105"/>
          <w:sz w:val="21"/>
        </w:rPr>
        <w:t>asked to </w:t>
      </w:r>
      <w:r>
        <w:rPr>
          <w:w w:val="105"/>
          <w:sz w:val="21"/>
        </w:rPr>
        <w:t>review and report on whether a court should </w:t>
      </w:r>
      <w:r>
        <w:rPr>
          <w:spacing w:val="-3"/>
          <w:w w:val="105"/>
          <w:sz w:val="21"/>
        </w:rPr>
        <w:t>have </w:t>
      </w:r>
      <w:r>
        <w:rPr>
          <w:w w:val="105"/>
          <w:sz w:val="21"/>
        </w:rPr>
        <w:t>the</w:t>
      </w:r>
      <w:r>
        <w:rPr>
          <w:spacing w:val="-7"/>
          <w:w w:val="105"/>
          <w:sz w:val="21"/>
        </w:rPr>
        <w:t> </w:t>
      </w:r>
      <w:r>
        <w:rPr>
          <w:w w:val="105"/>
          <w:sz w:val="21"/>
        </w:rPr>
        <w:t>power</w:t>
      </w:r>
      <w:r>
        <w:rPr>
          <w:spacing w:val="-7"/>
          <w:w w:val="105"/>
          <w:sz w:val="21"/>
        </w:rPr>
        <w:t> </w:t>
      </w:r>
      <w:r>
        <w:rPr>
          <w:spacing w:val="-3"/>
          <w:w w:val="105"/>
          <w:sz w:val="21"/>
        </w:rPr>
        <w:t>to</w:t>
      </w:r>
      <w:r>
        <w:rPr>
          <w:spacing w:val="-7"/>
          <w:w w:val="105"/>
          <w:sz w:val="21"/>
        </w:rPr>
        <w:t> </w:t>
      </w:r>
      <w:r>
        <w:rPr>
          <w:w w:val="105"/>
          <w:sz w:val="21"/>
        </w:rPr>
        <w:t>review</w:t>
      </w:r>
      <w:r>
        <w:rPr>
          <w:spacing w:val="-7"/>
          <w:w w:val="105"/>
          <w:sz w:val="21"/>
        </w:rPr>
        <w:t> </w:t>
      </w:r>
      <w:r>
        <w:rPr>
          <w:w w:val="105"/>
          <w:sz w:val="21"/>
        </w:rPr>
        <w:t>and</w:t>
      </w:r>
      <w:r>
        <w:rPr>
          <w:spacing w:val="-7"/>
          <w:w w:val="105"/>
          <w:sz w:val="21"/>
        </w:rPr>
        <w:t> </w:t>
      </w:r>
      <w:r>
        <w:rPr>
          <w:w w:val="105"/>
          <w:sz w:val="21"/>
        </w:rPr>
        <w:t>vary</w:t>
      </w:r>
      <w:r>
        <w:rPr>
          <w:spacing w:val="-7"/>
          <w:w w:val="105"/>
          <w:sz w:val="21"/>
        </w:rPr>
        <w:t> </w:t>
      </w:r>
      <w:r>
        <w:rPr>
          <w:w w:val="105"/>
          <w:sz w:val="21"/>
        </w:rPr>
        <w:t>costs</w:t>
      </w:r>
      <w:r>
        <w:rPr>
          <w:spacing w:val="-7"/>
          <w:w w:val="105"/>
          <w:sz w:val="21"/>
        </w:rPr>
        <w:t> </w:t>
      </w:r>
      <w:r>
        <w:rPr>
          <w:w w:val="105"/>
          <w:sz w:val="21"/>
        </w:rPr>
        <w:t>and</w:t>
      </w:r>
      <w:r>
        <w:rPr>
          <w:spacing w:val="-7"/>
          <w:w w:val="105"/>
          <w:sz w:val="21"/>
        </w:rPr>
        <w:t> </w:t>
      </w:r>
      <w:r>
        <w:rPr>
          <w:spacing w:val="-3"/>
          <w:w w:val="105"/>
          <w:sz w:val="21"/>
        </w:rPr>
        <w:t>commission</w:t>
      </w:r>
      <w:r>
        <w:rPr>
          <w:spacing w:val="-7"/>
          <w:w w:val="105"/>
          <w:sz w:val="21"/>
        </w:rPr>
        <w:t> </w:t>
      </w:r>
      <w:r>
        <w:rPr>
          <w:spacing w:val="-3"/>
          <w:w w:val="105"/>
          <w:sz w:val="21"/>
        </w:rPr>
        <w:t>charged</w:t>
      </w:r>
      <w:r>
        <w:rPr>
          <w:spacing w:val="-7"/>
          <w:w w:val="105"/>
          <w:sz w:val="21"/>
        </w:rPr>
        <w:t> </w:t>
      </w:r>
      <w:r>
        <w:rPr>
          <w:w w:val="105"/>
          <w:sz w:val="21"/>
        </w:rPr>
        <w:t>by</w:t>
      </w:r>
      <w:r>
        <w:rPr>
          <w:spacing w:val="-7"/>
          <w:w w:val="105"/>
          <w:sz w:val="21"/>
        </w:rPr>
        <w:t> </w:t>
      </w:r>
      <w:r>
        <w:rPr>
          <w:w w:val="105"/>
          <w:sz w:val="21"/>
        </w:rPr>
        <w:t>executors.</w:t>
      </w:r>
      <w:r>
        <w:rPr>
          <w:spacing w:val="-7"/>
          <w:w w:val="105"/>
          <w:sz w:val="21"/>
        </w:rPr>
        <w:t> </w:t>
      </w:r>
      <w:r>
        <w:rPr>
          <w:w w:val="105"/>
          <w:sz w:val="21"/>
        </w:rPr>
        <w:t>The</w:t>
      </w:r>
      <w:r>
        <w:rPr>
          <w:spacing w:val="-7"/>
          <w:w w:val="105"/>
          <w:sz w:val="21"/>
        </w:rPr>
        <w:t> </w:t>
      </w:r>
      <w:r>
        <w:rPr>
          <w:spacing w:val="-3"/>
          <w:w w:val="105"/>
          <w:sz w:val="21"/>
        </w:rPr>
        <w:t>National Committee for Uniform Succession </w:t>
      </w:r>
      <w:r>
        <w:rPr>
          <w:w w:val="105"/>
          <w:sz w:val="21"/>
        </w:rPr>
        <w:t>Laws made a </w:t>
      </w:r>
      <w:r>
        <w:rPr>
          <w:spacing w:val="-3"/>
          <w:w w:val="105"/>
          <w:sz w:val="21"/>
        </w:rPr>
        <w:t>recommendation to </w:t>
      </w:r>
      <w:r>
        <w:rPr>
          <w:w w:val="105"/>
          <w:sz w:val="21"/>
        </w:rPr>
        <w:t>this effect in response </w:t>
      </w:r>
      <w:r>
        <w:rPr>
          <w:spacing w:val="-3"/>
          <w:w w:val="105"/>
          <w:sz w:val="21"/>
        </w:rPr>
        <w:t>to concern </w:t>
      </w:r>
      <w:r>
        <w:rPr>
          <w:w w:val="105"/>
          <w:sz w:val="21"/>
        </w:rPr>
        <w:t>about legal practitioners </w:t>
      </w:r>
      <w:r>
        <w:rPr>
          <w:spacing w:val="-3"/>
          <w:w w:val="105"/>
          <w:sz w:val="21"/>
        </w:rPr>
        <w:t>drafting wills that </w:t>
      </w:r>
      <w:r>
        <w:rPr>
          <w:w w:val="105"/>
          <w:sz w:val="21"/>
        </w:rPr>
        <w:t>give them a more generous </w:t>
      </w:r>
      <w:r>
        <w:rPr>
          <w:spacing w:val="-3"/>
          <w:w w:val="105"/>
          <w:sz w:val="21"/>
        </w:rPr>
        <w:t>commission than </w:t>
      </w:r>
      <w:r>
        <w:rPr>
          <w:w w:val="105"/>
          <w:sz w:val="21"/>
        </w:rPr>
        <w:t>a court</w:t>
      </w:r>
      <w:r>
        <w:rPr>
          <w:spacing w:val="31"/>
          <w:w w:val="105"/>
          <w:sz w:val="21"/>
        </w:rPr>
        <w:t> </w:t>
      </w:r>
      <w:r>
        <w:rPr>
          <w:w w:val="105"/>
          <w:sz w:val="21"/>
        </w:rPr>
        <w:t>would:</w:t>
      </w:r>
    </w:p>
    <w:p>
      <w:pPr>
        <w:spacing w:line="254" w:lineRule="auto" w:before="135"/>
        <w:ind w:left="2721" w:right="1711" w:firstLine="0"/>
        <w:jc w:val="left"/>
        <w:rPr>
          <w:sz w:val="11"/>
        </w:rPr>
      </w:pPr>
      <w:r>
        <w:rPr>
          <w:sz w:val="20"/>
        </w:rPr>
        <w:t>The issue is not so much a problem where the will  provides  for  the  </w:t>
      </w:r>
      <w:r>
        <w:rPr>
          <w:spacing w:val="-3"/>
          <w:sz w:val="20"/>
        </w:rPr>
        <w:t>charging  </w:t>
      </w:r>
      <w:r>
        <w:rPr>
          <w:sz w:val="20"/>
        </w:rPr>
        <w:t>of professional fees (and commission is simply allowed by the court), but where the will itself includes a provision setting a </w:t>
      </w:r>
      <w:r>
        <w:rPr>
          <w:spacing w:val="-3"/>
          <w:sz w:val="20"/>
        </w:rPr>
        <w:t>rate </w:t>
      </w:r>
      <w:r>
        <w:rPr>
          <w:sz w:val="20"/>
        </w:rPr>
        <w:t>of commission that is higher than that which the court would</w:t>
      </w:r>
      <w:r>
        <w:rPr>
          <w:spacing w:val="9"/>
          <w:sz w:val="20"/>
        </w:rPr>
        <w:t> </w:t>
      </w:r>
      <w:r>
        <w:rPr>
          <w:sz w:val="20"/>
        </w:rPr>
        <w:t>be</w:t>
      </w:r>
      <w:r>
        <w:rPr>
          <w:spacing w:val="9"/>
          <w:sz w:val="20"/>
        </w:rPr>
        <w:t> </w:t>
      </w:r>
      <w:r>
        <w:rPr>
          <w:spacing w:val="-3"/>
          <w:sz w:val="20"/>
        </w:rPr>
        <w:t>likely</w:t>
      </w:r>
      <w:r>
        <w:rPr>
          <w:spacing w:val="9"/>
          <w:sz w:val="20"/>
        </w:rPr>
        <w:t> </w:t>
      </w:r>
      <w:r>
        <w:rPr>
          <w:sz w:val="20"/>
        </w:rPr>
        <w:t>to</w:t>
      </w:r>
      <w:r>
        <w:rPr>
          <w:spacing w:val="10"/>
          <w:sz w:val="20"/>
        </w:rPr>
        <w:t> </w:t>
      </w:r>
      <w:r>
        <w:rPr>
          <w:sz w:val="20"/>
        </w:rPr>
        <w:t>allow</w:t>
      </w:r>
      <w:r>
        <w:rPr>
          <w:spacing w:val="9"/>
          <w:sz w:val="20"/>
        </w:rPr>
        <w:t> </w:t>
      </w:r>
      <w:r>
        <w:rPr>
          <w:sz w:val="20"/>
        </w:rPr>
        <w:t>in</w:t>
      </w:r>
      <w:r>
        <w:rPr>
          <w:spacing w:val="9"/>
          <w:sz w:val="20"/>
        </w:rPr>
        <w:t> </w:t>
      </w:r>
      <w:r>
        <w:rPr>
          <w:sz w:val="20"/>
        </w:rPr>
        <w:t>its</w:t>
      </w:r>
      <w:r>
        <w:rPr>
          <w:spacing w:val="9"/>
          <w:sz w:val="20"/>
        </w:rPr>
        <w:t> </w:t>
      </w:r>
      <w:r>
        <w:rPr>
          <w:spacing w:val="-4"/>
          <w:sz w:val="20"/>
        </w:rPr>
        <w:t>discretion.</w:t>
      </w:r>
      <w:r>
        <w:rPr>
          <w:spacing w:val="-4"/>
          <w:position w:val="7"/>
          <w:sz w:val="11"/>
        </w:rPr>
        <w:t>129</w:t>
      </w:r>
    </w:p>
    <w:p>
      <w:pPr>
        <w:pStyle w:val="ListParagraph"/>
        <w:numPr>
          <w:ilvl w:val="1"/>
          <w:numId w:val="22"/>
        </w:numPr>
        <w:tabs>
          <w:tab w:pos="2381" w:val="left" w:leader="none"/>
          <w:tab w:pos="2382" w:val="left" w:leader="none"/>
        </w:tabs>
        <w:spacing w:line="242" w:lineRule="auto" w:before="116" w:after="0"/>
        <w:ind w:left="2381" w:right="1713" w:hanging="794"/>
        <w:jc w:val="left"/>
        <w:rPr>
          <w:sz w:val="12"/>
        </w:rPr>
      </w:pPr>
      <w:r>
        <w:rPr>
          <w:w w:val="105"/>
          <w:sz w:val="21"/>
        </w:rPr>
        <w:t>Excessive </w:t>
      </w:r>
      <w:r>
        <w:rPr>
          <w:spacing w:val="-3"/>
          <w:w w:val="105"/>
          <w:sz w:val="21"/>
        </w:rPr>
        <w:t>charging may </w:t>
      </w:r>
      <w:r>
        <w:rPr>
          <w:spacing w:val="-2"/>
          <w:w w:val="105"/>
          <w:sz w:val="21"/>
        </w:rPr>
        <w:t>not </w:t>
      </w:r>
      <w:r>
        <w:rPr>
          <w:w w:val="105"/>
          <w:sz w:val="21"/>
        </w:rPr>
        <w:t>always be caused by greed. Estates can </w:t>
      </w:r>
      <w:r>
        <w:rPr>
          <w:spacing w:val="-3"/>
          <w:w w:val="105"/>
          <w:sz w:val="21"/>
        </w:rPr>
        <w:t>change </w:t>
      </w:r>
      <w:r>
        <w:rPr>
          <w:spacing w:val="-2"/>
          <w:w w:val="105"/>
          <w:sz w:val="21"/>
        </w:rPr>
        <w:t>significantly </w:t>
      </w:r>
      <w:r>
        <w:rPr>
          <w:w w:val="105"/>
          <w:sz w:val="21"/>
        </w:rPr>
        <w:t>in </w:t>
      </w:r>
      <w:r>
        <w:rPr>
          <w:spacing w:val="-3"/>
          <w:w w:val="105"/>
          <w:sz w:val="21"/>
        </w:rPr>
        <w:t>value </w:t>
      </w:r>
      <w:r>
        <w:rPr>
          <w:w w:val="105"/>
          <w:sz w:val="21"/>
        </w:rPr>
        <w:t>between the time a </w:t>
      </w:r>
      <w:r>
        <w:rPr>
          <w:spacing w:val="-3"/>
          <w:w w:val="105"/>
          <w:sz w:val="21"/>
        </w:rPr>
        <w:t>will </w:t>
      </w:r>
      <w:r>
        <w:rPr>
          <w:w w:val="105"/>
          <w:sz w:val="21"/>
        </w:rPr>
        <w:t>is </w:t>
      </w:r>
      <w:r>
        <w:rPr>
          <w:spacing w:val="-3"/>
          <w:w w:val="105"/>
          <w:sz w:val="21"/>
        </w:rPr>
        <w:t>prepared </w:t>
      </w:r>
      <w:r>
        <w:rPr>
          <w:w w:val="105"/>
          <w:sz w:val="21"/>
        </w:rPr>
        <w:t>and when the </w:t>
      </w:r>
      <w:r>
        <w:rPr>
          <w:spacing w:val="-3"/>
          <w:w w:val="105"/>
          <w:sz w:val="21"/>
        </w:rPr>
        <w:t>will-maker </w:t>
      </w:r>
      <w:r>
        <w:rPr>
          <w:w w:val="105"/>
          <w:sz w:val="21"/>
        </w:rPr>
        <w:t>dies. The </w:t>
      </w:r>
      <w:r>
        <w:rPr>
          <w:spacing w:val="-3"/>
          <w:w w:val="105"/>
          <w:sz w:val="21"/>
        </w:rPr>
        <w:t>amount </w:t>
      </w:r>
      <w:r>
        <w:rPr>
          <w:w w:val="105"/>
          <w:sz w:val="21"/>
        </w:rPr>
        <w:t>a </w:t>
      </w:r>
      <w:r>
        <w:rPr>
          <w:spacing w:val="-3"/>
          <w:w w:val="105"/>
          <w:sz w:val="21"/>
        </w:rPr>
        <w:t>will-maker </w:t>
      </w:r>
      <w:r>
        <w:rPr>
          <w:w w:val="105"/>
          <w:sz w:val="21"/>
        </w:rPr>
        <w:t>expects the </w:t>
      </w:r>
      <w:r>
        <w:rPr>
          <w:spacing w:val="-3"/>
          <w:w w:val="105"/>
          <w:sz w:val="21"/>
        </w:rPr>
        <w:t>executor to </w:t>
      </w:r>
      <w:r>
        <w:rPr>
          <w:w w:val="105"/>
          <w:sz w:val="21"/>
        </w:rPr>
        <w:t>receive </w:t>
      </w:r>
      <w:r>
        <w:rPr>
          <w:spacing w:val="-3"/>
          <w:w w:val="105"/>
          <w:sz w:val="21"/>
        </w:rPr>
        <w:t>may </w:t>
      </w:r>
      <w:r>
        <w:rPr>
          <w:w w:val="105"/>
          <w:sz w:val="21"/>
        </w:rPr>
        <w:t>be </w:t>
      </w:r>
      <w:r>
        <w:rPr>
          <w:spacing w:val="-3"/>
          <w:w w:val="105"/>
          <w:sz w:val="21"/>
        </w:rPr>
        <w:t>far </w:t>
      </w:r>
      <w:r>
        <w:rPr>
          <w:w w:val="105"/>
          <w:sz w:val="21"/>
        </w:rPr>
        <w:t>less (or </w:t>
      </w:r>
      <w:r>
        <w:rPr>
          <w:spacing w:val="-3"/>
          <w:w w:val="105"/>
          <w:sz w:val="21"/>
        </w:rPr>
        <w:t>far </w:t>
      </w:r>
      <w:r>
        <w:rPr>
          <w:w w:val="105"/>
          <w:sz w:val="21"/>
        </w:rPr>
        <w:t>more) </w:t>
      </w:r>
      <w:r>
        <w:rPr>
          <w:spacing w:val="-3"/>
          <w:w w:val="105"/>
          <w:sz w:val="21"/>
        </w:rPr>
        <w:t>than </w:t>
      </w:r>
      <w:r>
        <w:rPr>
          <w:w w:val="105"/>
          <w:sz w:val="21"/>
        </w:rPr>
        <w:t>the </w:t>
      </w:r>
      <w:r>
        <w:rPr>
          <w:spacing w:val="-3"/>
          <w:w w:val="105"/>
          <w:sz w:val="21"/>
        </w:rPr>
        <w:t>amount</w:t>
      </w:r>
      <w:r>
        <w:rPr>
          <w:spacing w:val="-7"/>
          <w:w w:val="105"/>
          <w:sz w:val="21"/>
        </w:rPr>
        <w:t> </w:t>
      </w:r>
      <w:r>
        <w:rPr>
          <w:spacing w:val="-3"/>
          <w:w w:val="105"/>
          <w:sz w:val="21"/>
        </w:rPr>
        <w:t>that</w:t>
      </w:r>
      <w:r>
        <w:rPr>
          <w:spacing w:val="-6"/>
          <w:w w:val="105"/>
          <w:sz w:val="21"/>
        </w:rPr>
        <w:t> </w:t>
      </w:r>
      <w:r>
        <w:rPr>
          <w:w w:val="105"/>
          <w:sz w:val="21"/>
        </w:rPr>
        <w:t>the</w:t>
      </w:r>
      <w:r>
        <w:rPr>
          <w:spacing w:val="-6"/>
          <w:w w:val="105"/>
          <w:sz w:val="21"/>
        </w:rPr>
        <w:t> </w:t>
      </w:r>
      <w:r>
        <w:rPr>
          <w:spacing w:val="-3"/>
          <w:w w:val="105"/>
          <w:sz w:val="21"/>
        </w:rPr>
        <w:t>commission</w:t>
      </w:r>
      <w:r>
        <w:rPr>
          <w:spacing w:val="-6"/>
          <w:w w:val="105"/>
          <w:sz w:val="21"/>
        </w:rPr>
        <w:t> </w:t>
      </w:r>
      <w:r>
        <w:rPr>
          <w:spacing w:val="-3"/>
          <w:w w:val="105"/>
          <w:sz w:val="21"/>
        </w:rPr>
        <w:t>clause</w:t>
      </w:r>
      <w:r>
        <w:rPr>
          <w:spacing w:val="-6"/>
          <w:w w:val="105"/>
          <w:sz w:val="21"/>
        </w:rPr>
        <w:t> </w:t>
      </w:r>
      <w:r>
        <w:rPr>
          <w:w w:val="105"/>
          <w:sz w:val="21"/>
        </w:rPr>
        <w:t>in</w:t>
      </w:r>
      <w:r>
        <w:rPr>
          <w:spacing w:val="-6"/>
          <w:w w:val="105"/>
          <w:sz w:val="21"/>
        </w:rPr>
        <w:t> </w:t>
      </w:r>
      <w:r>
        <w:rPr>
          <w:w w:val="105"/>
          <w:sz w:val="21"/>
        </w:rPr>
        <w:t>the</w:t>
      </w:r>
      <w:r>
        <w:rPr>
          <w:spacing w:val="-6"/>
          <w:w w:val="105"/>
          <w:sz w:val="21"/>
        </w:rPr>
        <w:t> </w:t>
      </w:r>
      <w:r>
        <w:rPr>
          <w:spacing w:val="-3"/>
          <w:w w:val="105"/>
          <w:sz w:val="21"/>
        </w:rPr>
        <w:t>will</w:t>
      </w:r>
      <w:r>
        <w:rPr>
          <w:spacing w:val="-6"/>
          <w:w w:val="105"/>
          <w:sz w:val="21"/>
        </w:rPr>
        <w:t> </w:t>
      </w:r>
      <w:r>
        <w:rPr>
          <w:spacing w:val="-3"/>
          <w:w w:val="105"/>
          <w:sz w:val="21"/>
        </w:rPr>
        <w:t>eventually</w:t>
      </w:r>
      <w:r>
        <w:rPr>
          <w:spacing w:val="-6"/>
          <w:w w:val="105"/>
          <w:sz w:val="21"/>
        </w:rPr>
        <w:t> </w:t>
      </w:r>
      <w:r>
        <w:rPr>
          <w:w w:val="105"/>
          <w:sz w:val="21"/>
        </w:rPr>
        <w:t>provides</w:t>
      </w:r>
      <w:r>
        <w:rPr>
          <w:spacing w:val="-6"/>
          <w:w w:val="105"/>
          <w:sz w:val="21"/>
        </w:rPr>
        <w:t> </w:t>
      </w:r>
      <w:r>
        <w:rPr>
          <w:w w:val="105"/>
          <w:sz w:val="21"/>
        </w:rPr>
        <w:t>in</w:t>
      </w:r>
      <w:r>
        <w:rPr>
          <w:spacing w:val="-6"/>
          <w:w w:val="105"/>
          <w:sz w:val="21"/>
        </w:rPr>
        <w:t> </w:t>
      </w:r>
      <w:r>
        <w:rPr>
          <w:spacing w:val="-3"/>
          <w:w w:val="105"/>
          <w:sz w:val="21"/>
        </w:rPr>
        <w:t>practice.</w:t>
      </w:r>
      <w:r>
        <w:rPr>
          <w:spacing w:val="-6"/>
          <w:w w:val="105"/>
          <w:sz w:val="21"/>
        </w:rPr>
        <w:t> </w:t>
      </w:r>
      <w:r>
        <w:rPr>
          <w:w w:val="105"/>
          <w:sz w:val="21"/>
        </w:rPr>
        <w:t>The</w:t>
      </w:r>
      <w:r>
        <w:rPr>
          <w:spacing w:val="-6"/>
          <w:w w:val="105"/>
          <w:sz w:val="21"/>
        </w:rPr>
        <w:t> </w:t>
      </w:r>
      <w:r>
        <w:rPr>
          <w:spacing w:val="-3"/>
          <w:w w:val="105"/>
          <w:sz w:val="21"/>
        </w:rPr>
        <w:t>reform </w:t>
      </w:r>
      <w:r>
        <w:rPr>
          <w:w w:val="105"/>
          <w:sz w:val="21"/>
        </w:rPr>
        <w:t>proposed by the </w:t>
      </w:r>
      <w:r>
        <w:rPr>
          <w:spacing w:val="-3"/>
          <w:w w:val="105"/>
          <w:sz w:val="21"/>
        </w:rPr>
        <w:t>National Committee </w:t>
      </w:r>
      <w:r>
        <w:rPr>
          <w:w w:val="105"/>
          <w:sz w:val="21"/>
        </w:rPr>
        <w:t>would </w:t>
      </w:r>
      <w:r>
        <w:rPr>
          <w:spacing w:val="-3"/>
          <w:w w:val="105"/>
          <w:sz w:val="21"/>
        </w:rPr>
        <w:t>allow </w:t>
      </w:r>
      <w:r>
        <w:rPr>
          <w:w w:val="105"/>
          <w:sz w:val="21"/>
        </w:rPr>
        <w:t>review of a </w:t>
      </w:r>
      <w:r>
        <w:rPr>
          <w:spacing w:val="-3"/>
          <w:w w:val="105"/>
          <w:sz w:val="21"/>
        </w:rPr>
        <w:t>windfall gain to </w:t>
      </w:r>
      <w:r>
        <w:rPr>
          <w:w w:val="105"/>
          <w:sz w:val="21"/>
        </w:rPr>
        <w:t>the </w:t>
      </w:r>
      <w:r>
        <w:rPr>
          <w:spacing w:val="-3"/>
          <w:w w:val="105"/>
          <w:sz w:val="21"/>
        </w:rPr>
        <w:t>executor that may </w:t>
      </w:r>
      <w:r>
        <w:rPr>
          <w:spacing w:val="-2"/>
          <w:w w:val="105"/>
          <w:sz w:val="21"/>
        </w:rPr>
        <w:t>not </w:t>
      </w:r>
      <w:r>
        <w:rPr>
          <w:w w:val="105"/>
          <w:sz w:val="21"/>
        </w:rPr>
        <w:t>be justified by the work</w:t>
      </w:r>
      <w:r>
        <w:rPr>
          <w:spacing w:val="46"/>
          <w:w w:val="105"/>
          <w:sz w:val="21"/>
        </w:rPr>
        <w:t> </w:t>
      </w:r>
      <w:r>
        <w:rPr>
          <w:spacing w:val="-4"/>
          <w:w w:val="105"/>
          <w:sz w:val="21"/>
        </w:rPr>
        <w:t>involved.</w:t>
      </w:r>
      <w:r>
        <w:rPr>
          <w:spacing w:val="-4"/>
          <w:w w:val="105"/>
          <w:position w:val="7"/>
          <w:sz w:val="12"/>
        </w:rPr>
        <w:t>130</w:t>
      </w:r>
    </w:p>
    <w:p>
      <w:pPr>
        <w:pStyle w:val="BodyText"/>
        <w:spacing w:before="8"/>
        <w:rPr>
          <w:sz w:val="26"/>
        </w:rPr>
      </w:pPr>
    </w:p>
    <w:p>
      <w:pPr>
        <w:pStyle w:val="Heading6"/>
      </w:pPr>
      <w:r>
        <w:rPr>
          <w:color w:val="6D6E71"/>
          <w:w w:val="115"/>
        </w:rPr>
        <w:t>The National Committee’s recommendation</w:t>
      </w:r>
    </w:p>
    <w:p>
      <w:pPr>
        <w:pStyle w:val="ListParagraph"/>
        <w:numPr>
          <w:ilvl w:val="1"/>
          <w:numId w:val="22"/>
        </w:numPr>
        <w:tabs>
          <w:tab w:pos="2380" w:val="left" w:leader="none"/>
          <w:tab w:pos="2381" w:val="left" w:leader="none"/>
        </w:tabs>
        <w:spacing w:line="242" w:lineRule="auto" w:before="151" w:after="0"/>
        <w:ind w:left="2381" w:right="1728" w:hanging="794"/>
        <w:jc w:val="left"/>
        <w:rPr>
          <w:sz w:val="21"/>
        </w:rPr>
      </w:pPr>
      <w:r>
        <w:rPr>
          <w:w w:val="105"/>
          <w:sz w:val="21"/>
        </w:rPr>
        <w:t>The </w:t>
      </w:r>
      <w:r>
        <w:rPr>
          <w:spacing w:val="-3"/>
          <w:w w:val="105"/>
          <w:sz w:val="21"/>
        </w:rPr>
        <w:t>National Committee </w:t>
      </w:r>
      <w:r>
        <w:rPr>
          <w:spacing w:val="-2"/>
          <w:w w:val="105"/>
          <w:sz w:val="21"/>
        </w:rPr>
        <w:t>had </w:t>
      </w:r>
      <w:r>
        <w:rPr>
          <w:spacing w:val="-3"/>
          <w:w w:val="105"/>
          <w:sz w:val="21"/>
        </w:rPr>
        <w:t>initially </w:t>
      </w:r>
      <w:r>
        <w:rPr>
          <w:w w:val="105"/>
          <w:sz w:val="21"/>
        </w:rPr>
        <w:t>proposed </w:t>
      </w:r>
      <w:r>
        <w:rPr>
          <w:spacing w:val="-3"/>
          <w:w w:val="105"/>
          <w:sz w:val="21"/>
        </w:rPr>
        <w:t>that </w:t>
      </w:r>
      <w:r>
        <w:rPr>
          <w:w w:val="105"/>
          <w:sz w:val="21"/>
        </w:rPr>
        <w:t>an </w:t>
      </w:r>
      <w:r>
        <w:rPr>
          <w:spacing w:val="-3"/>
          <w:w w:val="105"/>
          <w:sz w:val="21"/>
        </w:rPr>
        <w:t>executor </w:t>
      </w:r>
      <w:r>
        <w:rPr>
          <w:w w:val="105"/>
          <w:sz w:val="21"/>
        </w:rPr>
        <w:t>would be able </w:t>
      </w:r>
      <w:r>
        <w:rPr>
          <w:spacing w:val="-3"/>
          <w:w w:val="105"/>
          <w:sz w:val="21"/>
        </w:rPr>
        <w:t>to </w:t>
      </w:r>
      <w:r>
        <w:rPr>
          <w:w w:val="105"/>
          <w:sz w:val="21"/>
        </w:rPr>
        <w:t>rely on a </w:t>
      </w:r>
      <w:r>
        <w:rPr>
          <w:spacing w:val="-3"/>
          <w:w w:val="105"/>
          <w:sz w:val="21"/>
        </w:rPr>
        <w:t>commission clause </w:t>
      </w:r>
      <w:r>
        <w:rPr>
          <w:w w:val="105"/>
          <w:sz w:val="21"/>
        </w:rPr>
        <w:t>in a </w:t>
      </w:r>
      <w:r>
        <w:rPr>
          <w:spacing w:val="-3"/>
          <w:w w:val="105"/>
          <w:sz w:val="21"/>
        </w:rPr>
        <w:t>will </w:t>
      </w:r>
      <w:r>
        <w:rPr>
          <w:w w:val="105"/>
          <w:sz w:val="21"/>
        </w:rPr>
        <w:t>only if the </w:t>
      </w:r>
      <w:r>
        <w:rPr>
          <w:spacing w:val="-3"/>
          <w:w w:val="105"/>
          <w:sz w:val="21"/>
        </w:rPr>
        <w:t>will </w:t>
      </w:r>
      <w:r>
        <w:rPr>
          <w:spacing w:val="-2"/>
          <w:w w:val="105"/>
          <w:sz w:val="21"/>
        </w:rPr>
        <w:t>had </w:t>
      </w:r>
      <w:r>
        <w:rPr>
          <w:w w:val="105"/>
          <w:sz w:val="21"/>
        </w:rPr>
        <w:t>been </w:t>
      </w:r>
      <w:r>
        <w:rPr>
          <w:spacing w:val="-3"/>
          <w:w w:val="105"/>
          <w:sz w:val="21"/>
        </w:rPr>
        <w:t>approved </w:t>
      </w:r>
      <w:r>
        <w:rPr>
          <w:w w:val="105"/>
          <w:sz w:val="21"/>
        </w:rPr>
        <w:t>by the court. The </w:t>
      </w:r>
      <w:r>
        <w:rPr>
          <w:spacing w:val="-3"/>
          <w:w w:val="105"/>
          <w:sz w:val="21"/>
        </w:rPr>
        <w:t>Public </w:t>
      </w:r>
      <w:r>
        <w:rPr>
          <w:spacing w:val="-4"/>
          <w:w w:val="105"/>
          <w:sz w:val="21"/>
        </w:rPr>
        <w:t>Trustee </w:t>
      </w:r>
      <w:r>
        <w:rPr>
          <w:w w:val="105"/>
          <w:sz w:val="21"/>
        </w:rPr>
        <w:t>of New South </w:t>
      </w:r>
      <w:r>
        <w:rPr>
          <w:spacing w:val="-3"/>
          <w:w w:val="105"/>
          <w:sz w:val="21"/>
        </w:rPr>
        <w:t>Wales </w:t>
      </w:r>
      <w:r>
        <w:rPr>
          <w:w w:val="105"/>
          <w:sz w:val="21"/>
        </w:rPr>
        <w:t>and the New South </w:t>
      </w:r>
      <w:r>
        <w:rPr>
          <w:spacing w:val="-3"/>
          <w:w w:val="105"/>
          <w:sz w:val="21"/>
        </w:rPr>
        <w:t>Wales </w:t>
      </w:r>
      <w:r>
        <w:rPr>
          <w:w w:val="105"/>
          <w:sz w:val="21"/>
        </w:rPr>
        <w:t>Law Society responded </w:t>
      </w:r>
      <w:r>
        <w:rPr>
          <w:spacing w:val="-3"/>
          <w:w w:val="105"/>
          <w:sz w:val="21"/>
        </w:rPr>
        <w:t>that </w:t>
      </w:r>
      <w:r>
        <w:rPr>
          <w:w w:val="105"/>
          <w:sz w:val="21"/>
        </w:rPr>
        <w:t>it was better </w:t>
      </w:r>
      <w:r>
        <w:rPr>
          <w:spacing w:val="-3"/>
          <w:w w:val="105"/>
          <w:sz w:val="21"/>
        </w:rPr>
        <w:t>to </w:t>
      </w:r>
      <w:r>
        <w:rPr>
          <w:w w:val="105"/>
          <w:sz w:val="21"/>
        </w:rPr>
        <w:t>empower the court </w:t>
      </w:r>
      <w:r>
        <w:rPr>
          <w:spacing w:val="-3"/>
          <w:w w:val="105"/>
          <w:sz w:val="21"/>
        </w:rPr>
        <w:t>to </w:t>
      </w:r>
      <w:r>
        <w:rPr>
          <w:w w:val="105"/>
          <w:sz w:val="21"/>
        </w:rPr>
        <w:t>review </w:t>
      </w:r>
      <w:r>
        <w:rPr>
          <w:spacing w:val="-3"/>
          <w:w w:val="105"/>
          <w:sz w:val="21"/>
        </w:rPr>
        <w:t>commission </w:t>
      </w:r>
      <w:r>
        <w:rPr>
          <w:w w:val="105"/>
          <w:sz w:val="21"/>
        </w:rPr>
        <w:t>and other amounts</w:t>
      </w:r>
      <w:r>
        <w:rPr>
          <w:spacing w:val="-32"/>
          <w:w w:val="105"/>
          <w:sz w:val="21"/>
        </w:rPr>
        <w:t> </w:t>
      </w:r>
      <w:r>
        <w:rPr>
          <w:spacing w:val="-3"/>
          <w:w w:val="105"/>
          <w:sz w:val="21"/>
        </w:rPr>
        <w:t>charged,</w:t>
      </w:r>
    </w:p>
    <w:p>
      <w:pPr>
        <w:spacing w:line="242" w:lineRule="auto" w:before="4"/>
        <w:ind w:left="2380" w:right="1930" w:firstLine="0"/>
        <w:jc w:val="left"/>
        <w:rPr>
          <w:sz w:val="12"/>
        </w:rPr>
      </w:pPr>
      <w:r>
        <w:rPr>
          <w:w w:val="105"/>
          <w:sz w:val="21"/>
        </w:rPr>
        <w:t>as provided by section 86A of the </w:t>
      </w:r>
      <w:r>
        <w:rPr>
          <w:i/>
          <w:w w:val="105"/>
          <w:sz w:val="21"/>
        </w:rPr>
        <w:t>Probate and Administration Act 1898 </w:t>
      </w:r>
      <w:r>
        <w:rPr>
          <w:w w:val="105"/>
          <w:sz w:val="21"/>
        </w:rPr>
        <w:t>(NSW), than to require the court’s approval in every case.</w:t>
      </w:r>
      <w:r>
        <w:rPr>
          <w:w w:val="105"/>
          <w:position w:val="7"/>
          <w:sz w:val="12"/>
        </w:rPr>
        <w:t>131</w:t>
      </w:r>
    </w:p>
    <w:p>
      <w:pPr>
        <w:pStyle w:val="ListParagraph"/>
        <w:numPr>
          <w:ilvl w:val="1"/>
          <w:numId w:val="22"/>
        </w:numPr>
        <w:tabs>
          <w:tab w:pos="2381" w:val="left" w:leader="none"/>
          <w:tab w:pos="2382" w:val="left" w:leader="none"/>
        </w:tabs>
        <w:spacing w:line="242" w:lineRule="auto" w:before="123" w:after="0"/>
        <w:ind w:left="2381" w:right="1666" w:hanging="794"/>
        <w:jc w:val="left"/>
        <w:rPr>
          <w:sz w:val="21"/>
        </w:rPr>
      </w:pPr>
      <w:r>
        <w:rPr>
          <w:sz w:val="21"/>
        </w:rPr>
        <w:t>The </w:t>
      </w:r>
      <w:r>
        <w:rPr>
          <w:spacing w:val="-3"/>
          <w:sz w:val="21"/>
        </w:rPr>
        <w:t>National Committee </w:t>
      </w:r>
      <w:r>
        <w:rPr>
          <w:sz w:val="21"/>
        </w:rPr>
        <w:t>came </w:t>
      </w:r>
      <w:r>
        <w:rPr>
          <w:spacing w:val="-3"/>
          <w:sz w:val="21"/>
        </w:rPr>
        <w:t>around to </w:t>
      </w:r>
      <w:r>
        <w:rPr>
          <w:sz w:val="21"/>
        </w:rPr>
        <w:t>this view and decided  </w:t>
      </w:r>
      <w:r>
        <w:rPr>
          <w:spacing w:val="-3"/>
          <w:sz w:val="21"/>
        </w:rPr>
        <w:t>to  include  </w:t>
      </w:r>
      <w:r>
        <w:rPr>
          <w:sz w:val="21"/>
        </w:rPr>
        <w:t>a  </w:t>
      </w:r>
      <w:r>
        <w:rPr>
          <w:spacing w:val="-3"/>
          <w:sz w:val="21"/>
        </w:rPr>
        <w:t>similar provision</w:t>
      </w:r>
      <w:r>
        <w:rPr>
          <w:spacing w:val="25"/>
          <w:sz w:val="21"/>
        </w:rPr>
        <w:t> </w:t>
      </w:r>
      <w:r>
        <w:rPr>
          <w:sz w:val="21"/>
        </w:rPr>
        <w:t>in</w:t>
      </w:r>
      <w:r>
        <w:rPr>
          <w:spacing w:val="25"/>
          <w:sz w:val="21"/>
        </w:rPr>
        <w:t> </w:t>
      </w:r>
      <w:r>
        <w:rPr>
          <w:sz w:val="21"/>
        </w:rPr>
        <w:t>the</w:t>
      </w:r>
      <w:r>
        <w:rPr>
          <w:spacing w:val="25"/>
          <w:sz w:val="21"/>
        </w:rPr>
        <w:t> </w:t>
      </w:r>
      <w:r>
        <w:rPr>
          <w:sz w:val="21"/>
        </w:rPr>
        <w:t>model</w:t>
      </w:r>
      <w:r>
        <w:rPr>
          <w:spacing w:val="25"/>
          <w:sz w:val="21"/>
        </w:rPr>
        <w:t> </w:t>
      </w:r>
      <w:r>
        <w:rPr>
          <w:spacing w:val="-3"/>
          <w:sz w:val="21"/>
        </w:rPr>
        <w:t>uniform</w:t>
      </w:r>
      <w:r>
        <w:rPr>
          <w:spacing w:val="24"/>
          <w:sz w:val="21"/>
        </w:rPr>
        <w:t> </w:t>
      </w:r>
      <w:r>
        <w:rPr>
          <w:spacing w:val="-3"/>
          <w:sz w:val="21"/>
        </w:rPr>
        <w:t>legislation</w:t>
      </w:r>
      <w:r>
        <w:rPr>
          <w:spacing w:val="25"/>
          <w:sz w:val="21"/>
        </w:rPr>
        <w:t> </w:t>
      </w:r>
      <w:r>
        <w:rPr>
          <w:sz w:val="21"/>
        </w:rPr>
        <w:t>it</w:t>
      </w:r>
      <w:r>
        <w:rPr>
          <w:spacing w:val="25"/>
          <w:sz w:val="21"/>
        </w:rPr>
        <w:t> </w:t>
      </w:r>
      <w:r>
        <w:rPr>
          <w:sz w:val="21"/>
        </w:rPr>
        <w:t>was</w:t>
      </w:r>
      <w:r>
        <w:rPr>
          <w:spacing w:val="25"/>
          <w:sz w:val="21"/>
        </w:rPr>
        <w:t> </w:t>
      </w:r>
      <w:r>
        <w:rPr>
          <w:spacing w:val="-5"/>
          <w:sz w:val="21"/>
        </w:rPr>
        <w:t>preparing.</w:t>
      </w:r>
      <w:r>
        <w:rPr>
          <w:spacing w:val="-5"/>
          <w:position w:val="7"/>
          <w:sz w:val="12"/>
        </w:rPr>
        <w:t>132</w:t>
      </w:r>
      <w:r>
        <w:rPr>
          <w:spacing w:val="3"/>
          <w:position w:val="7"/>
          <w:sz w:val="12"/>
        </w:rPr>
        <w:t> </w:t>
      </w:r>
      <w:r>
        <w:rPr>
          <w:sz w:val="21"/>
        </w:rPr>
        <w:t>It</w:t>
      </w:r>
      <w:r>
        <w:rPr>
          <w:spacing w:val="25"/>
          <w:sz w:val="21"/>
        </w:rPr>
        <w:t> </w:t>
      </w:r>
      <w:r>
        <w:rPr>
          <w:sz w:val="21"/>
        </w:rPr>
        <w:t>recommended</w:t>
      </w:r>
      <w:r>
        <w:rPr>
          <w:spacing w:val="25"/>
          <w:sz w:val="21"/>
        </w:rPr>
        <w:t> </w:t>
      </w:r>
      <w:r>
        <w:rPr>
          <w:sz w:val="21"/>
        </w:rPr>
        <w:t>as</w:t>
      </w:r>
      <w:r>
        <w:rPr>
          <w:spacing w:val="25"/>
          <w:sz w:val="21"/>
        </w:rPr>
        <w:t> </w:t>
      </w:r>
      <w:r>
        <w:rPr>
          <w:sz w:val="21"/>
        </w:rPr>
        <w:t>follows:</w:t>
      </w:r>
    </w:p>
    <w:p>
      <w:pPr>
        <w:spacing w:line="254" w:lineRule="auto" w:before="131"/>
        <w:ind w:left="2721" w:right="1619" w:firstLine="0"/>
        <w:jc w:val="left"/>
        <w:rPr>
          <w:b/>
          <w:sz w:val="20"/>
        </w:rPr>
      </w:pPr>
      <w:r>
        <w:rPr>
          <w:b/>
          <w:w w:val="110"/>
          <w:sz w:val="20"/>
        </w:rPr>
        <w:t>The court’s power to review the remuneration of personal representatives and trustees</w:t>
      </w:r>
    </w:p>
    <w:p>
      <w:pPr>
        <w:spacing w:line="254" w:lineRule="auto" w:before="123"/>
        <w:ind w:left="2721" w:right="1532" w:firstLine="0"/>
        <w:jc w:val="left"/>
        <w:rPr>
          <w:sz w:val="20"/>
        </w:rPr>
      </w:pPr>
      <w:r>
        <w:rPr>
          <w:w w:val="105"/>
          <w:sz w:val="20"/>
        </w:rPr>
        <w:t>27-5 Subject to the following modifications, the model legislation should include a provision to the effect of section 86A of the </w:t>
      </w:r>
      <w:r>
        <w:rPr>
          <w:i/>
          <w:w w:val="105"/>
          <w:sz w:val="20"/>
        </w:rPr>
        <w:t>Probate and Administration Act 1898 </w:t>
      </w:r>
      <w:r>
        <w:rPr>
          <w:w w:val="105"/>
          <w:sz w:val="20"/>
        </w:rPr>
        <w:t>(NSW):</w:t>
      </w:r>
    </w:p>
    <w:p>
      <w:pPr>
        <w:pStyle w:val="ListParagraph"/>
        <w:numPr>
          <w:ilvl w:val="0"/>
          <w:numId w:val="121"/>
        </w:numPr>
        <w:tabs>
          <w:tab w:pos="3062" w:val="left" w:leader="none"/>
        </w:tabs>
        <w:spacing w:line="254" w:lineRule="auto" w:before="122" w:after="0"/>
        <w:ind w:left="3061" w:right="2152" w:hanging="340"/>
        <w:jc w:val="left"/>
        <w:rPr>
          <w:sz w:val="20"/>
        </w:rPr>
      </w:pPr>
      <w:r>
        <w:rPr>
          <w:w w:val="105"/>
          <w:sz w:val="20"/>
        </w:rPr>
        <w:t>for</w:t>
      </w:r>
      <w:r>
        <w:rPr>
          <w:spacing w:val="-11"/>
          <w:w w:val="105"/>
          <w:sz w:val="20"/>
        </w:rPr>
        <w:t> </w:t>
      </w:r>
      <w:r>
        <w:rPr>
          <w:w w:val="105"/>
          <w:sz w:val="20"/>
        </w:rPr>
        <w:t>consistency</w:t>
      </w:r>
      <w:r>
        <w:rPr>
          <w:spacing w:val="-10"/>
          <w:w w:val="105"/>
          <w:sz w:val="20"/>
        </w:rPr>
        <w:t> </w:t>
      </w:r>
      <w:r>
        <w:rPr>
          <w:w w:val="105"/>
          <w:sz w:val="20"/>
        </w:rPr>
        <w:t>with</w:t>
      </w:r>
      <w:r>
        <w:rPr>
          <w:spacing w:val="-10"/>
          <w:w w:val="105"/>
          <w:sz w:val="20"/>
        </w:rPr>
        <w:t> </w:t>
      </w:r>
      <w:r>
        <w:rPr>
          <w:w w:val="105"/>
          <w:sz w:val="20"/>
        </w:rPr>
        <w:t>Recommendation</w:t>
      </w:r>
      <w:r>
        <w:rPr>
          <w:spacing w:val="-10"/>
          <w:w w:val="105"/>
          <w:sz w:val="20"/>
        </w:rPr>
        <w:t> 27-1, </w:t>
      </w:r>
      <w:r>
        <w:rPr>
          <w:w w:val="105"/>
          <w:sz w:val="20"/>
        </w:rPr>
        <w:t>the</w:t>
      </w:r>
      <w:r>
        <w:rPr>
          <w:spacing w:val="-10"/>
          <w:w w:val="105"/>
          <w:sz w:val="20"/>
        </w:rPr>
        <w:t> </w:t>
      </w:r>
      <w:r>
        <w:rPr>
          <w:w w:val="105"/>
          <w:sz w:val="20"/>
        </w:rPr>
        <w:t>model</w:t>
      </w:r>
      <w:r>
        <w:rPr>
          <w:spacing w:val="-10"/>
          <w:w w:val="105"/>
          <w:sz w:val="20"/>
        </w:rPr>
        <w:t> </w:t>
      </w:r>
      <w:r>
        <w:rPr>
          <w:w w:val="105"/>
          <w:sz w:val="20"/>
        </w:rPr>
        <w:t>provision</w:t>
      </w:r>
      <w:r>
        <w:rPr>
          <w:spacing w:val="-10"/>
          <w:w w:val="105"/>
          <w:sz w:val="20"/>
        </w:rPr>
        <w:t> </w:t>
      </w:r>
      <w:r>
        <w:rPr>
          <w:w w:val="105"/>
          <w:sz w:val="20"/>
        </w:rPr>
        <w:t>should</w:t>
      </w:r>
      <w:r>
        <w:rPr>
          <w:spacing w:val="-10"/>
          <w:w w:val="105"/>
          <w:sz w:val="20"/>
        </w:rPr>
        <w:t> </w:t>
      </w:r>
      <w:r>
        <w:rPr>
          <w:spacing w:val="-3"/>
          <w:w w:val="105"/>
          <w:sz w:val="20"/>
        </w:rPr>
        <w:t>refer</w:t>
      </w:r>
      <w:r>
        <w:rPr>
          <w:spacing w:val="-11"/>
          <w:w w:val="105"/>
          <w:sz w:val="20"/>
        </w:rPr>
        <w:t> </w:t>
      </w:r>
      <w:r>
        <w:rPr>
          <w:w w:val="105"/>
          <w:sz w:val="20"/>
        </w:rPr>
        <w:t>to </w:t>
      </w:r>
      <w:r>
        <w:rPr>
          <w:spacing w:val="-3"/>
          <w:w w:val="105"/>
          <w:sz w:val="20"/>
        </w:rPr>
        <w:t>‘payment </w:t>
      </w:r>
      <w:r>
        <w:rPr>
          <w:w w:val="105"/>
          <w:sz w:val="20"/>
        </w:rPr>
        <w:t>of an </w:t>
      </w:r>
      <w:r>
        <w:rPr>
          <w:spacing w:val="-2"/>
          <w:w w:val="105"/>
          <w:sz w:val="20"/>
        </w:rPr>
        <w:t>amount </w:t>
      </w:r>
      <w:r>
        <w:rPr>
          <w:w w:val="105"/>
          <w:sz w:val="20"/>
        </w:rPr>
        <w:t>for </w:t>
      </w:r>
      <w:r>
        <w:rPr>
          <w:spacing w:val="-3"/>
          <w:w w:val="105"/>
          <w:sz w:val="20"/>
        </w:rPr>
        <w:t>services’, </w:t>
      </w:r>
      <w:r>
        <w:rPr>
          <w:w w:val="105"/>
          <w:sz w:val="20"/>
        </w:rPr>
        <w:t>rather than to </w:t>
      </w:r>
      <w:r>
        <w:rPr>
          <w:spacing w:val="-3"/>
          <w:w w:val="105"/>
          <w:sz w:val="20"/>
        </w:rPr>
        <w:t>‘commission’;</w:t>
      </w:r>
      <w:r>
        <w:rPr>
          <w:spacing w:val="25"/>
          <w:w w:val="105"/>
          <w:sz w:val="20"/>
        </w:rPr>
        <w:t> </w:t>
      </w:r>
      <w:r>
        <w:rPr>
          <w:w w:val="105"/>
          <w:sz w:val="20"/>
        </w:rPr>
        <w:t>and</w:t>
      </w:r>
    </w:p>
    <w:p>
      <w:pPr>
        <w:pStyle w:val="ListParagraph"/>
        <w:numPr>
          <w:ilvl w:val="0"/>
          <w:numId w:val="121"/>
        </w:numPr>
        <w:tabs>
          <w:tab w:pos="3062" w:val="left" w:leader="none"/>
        </w:tabs>
        <w:spacing w:line="254" w:lineRule="auto" w:before="122" w:after="0"/>
        <w:ind w:left="3061" w:right="1642" w:hanging="340"/>
        <w:jc w:val="left"/>
        <w:rPr>
          <w:sz w:val="20"/>
        </w:rPr>
      </w:pPr>
      <w:r>
        <w:rPr>
          <w:sz w:val="20"/>
        </w:rPr>
        <w:t>to </w:t>
      </w:r>
      <w:r>
        <w:rPr>
          <w:spacing w:val="-3"/>
          <w:sz w:val="20"/>
        </w:rPr>
        <w:t>ensure  </w:t>
      </w:r>
      <w:r>
        <w:rPr>
          <w:sz w:val="20"/>
        </w:rPr>
        <w:t>that the court may review and, if necessary, reduce the fees and charges of    a public trustee or trustee company that acts as the personal representative or trustee of the estate of a deceased person, the model legislation should provide that the  court’s power to review may be exercised</w:t>
      </w:r>
      <w:r>
        <w:rPr>
          <w:spacing w:val="14"/>
          <w:sz w:val="20"/>
        </w:rPr>
        <w:t> </w:t>
      </w:r>
      <w:r>
        <w:rPr>
          <w:sz w:val="20"/>
        </w:rPr>
        <w:t>despite:</w:t>
      </w:r>
    </w:p>
    <w:p>
      <w:pPr>
        <w:pStyle w:val="ListParagraph"/>
        <w:numPr>
          <w:ilvl w:val="1"/>
          <w:numId w:val="121"/>
        </w:numPr>
        <w:tabs>
          <w:tab w:pos="3328" w:val="left" w:leader="none"/>
        </w:tabs>
        <w:spacing w:line="240" w:lineRule="auto" w:before="125" w:after="0"/>
        <w:ind w:left="3327" w:right="0" w:hanging="266"/>
        <w:jc w:val="left"/>
        <w:rPr>
          <w:sz w:val="20"/>
        </w:rPr>
      </w:pPr>
      <w:r>
        <w:rPr>
          <w:spacing w:val="-2"/>
          <w:w w:val="105"/>
          <w:sz w:val="20"/>
        </w:rPr>
        <w:t>any </w:t>
      </w:r>
      <w:r>
        <w:rPr>
          <w:w w:val="105"/>
          <w:sz w:val="20"/>
        </w:rPr>
        <w:t>provision of a will authorising the </w:t>
      </w:r>
      <w:r>
        <w:rPr>
          <w:spacing w:val="-3"/>
          <w:w w:val="105"/>
          <w:sz w:val="20"/>
        </w:rPr>
        <w:t>charging </w:t>
      </w:r>
      <w:r>
        <w:rPr>
          <w:w w:val="105"/>
          <w:sz w:val="20"/>
        </w:rPr>
        <w:t>of the amount;</w:t>
      </w:r>
      <w:r>
        <w:rPr>
          <w:spacing w:val="3"/>
          <w:w w:val="105"/>
          <w:sz w:val="20"/>
        </w:rPr>
        <w:t> </w:t>
      </w:r>
      <w:r>
        <w:rPr>
          <w:w w:val="105"/>
          <w:sz w:val="20"/>
        </w:rPr>
        <w:t>or</w:t>
      </w:r>
    </w:p>
    <w:p>
      <w:pPr>
        <w:pStyle w:val="ListParagraph"/>
        <w:numPr>
          <w:ilvl w:val="1"/>
          <w:numId w:val="121"/>
        </w:numPr>
        <w:tabs>
          <w:tab w:pos="3328" w:val="left" w:leader="none"/>
        </w:tabs>
        <w:spacing w:line="240" w:lineRule="auto" w:before="136" w:after="0"/>
        <w:ind w:left="3327" w:right="0" w:hanging="266"/>
        <w:jc w:val="left"/>
        <w:rPr>
          <w:sz w:val="11"/>
        </w:rPr>
      </w:pPr>
      <w:r>
        <w:rPr>
          <w:spacing w:val="-4"/>
          <w:w w:val="105"/>
          <w:sz w:val="20"/>
        </w:rPr>
        <w:t>any statutory </w:t>
      </w:r>
      <w:r>
        <w:rPr>
          <w:spacing w:val="-5"/>
          <w:w w:val="105"/>
          <w:sz w:val="20"/>
        </w:rPr>
        <w:t>provision authorising </w:t>
      </w:r>
      <w:r>
        <w:rPr>
          <w:spacing w:val="-3"/>
          <w:w w:val="105"/>
          <w:sz w:val="20"/>
        </w:rPr>
        <w:t>the </w:t>
      </w:r>
      <w:r>
        <w:rPr>
          <w:spacing w:val="-5"/>
          <w:w w:val="105"/>
          <w:sz w:val="20"/>
        </w:rPr>
        <w:t>amount charged </w:t>
      </w:r>
      <w:r>
        <w:rPr>
          <w:w w:val="105"/>
          <w:sz w:val="20"/>
        </w:rPr>
        <w:t>or </w:t>
      </w:r>
      <w:r>
        <w:rPr>
          <w:spacing w:val="-4"/>
          <w:w w:val="105"/>
          <w:sz w:val="20"/>
        </w:rPr>
        <w:t>proposed to </w:t>
      </w:r>
      <w:r>
        <w:rPr>
          <w:w w:val="105"/>
          <w:sz w:val="20"/>
        </w:rPr>
        <w:t>be</w:t>
      </w:r>
      <w:r>
        <w:rPr>
          <w:spacing w:val="25"/>
          <w:w w:val="105"/>
          <w:sz w:val="20"/>
        </w:rPr>
        <w:t> </w:t>
      </w:r>
      <w:r>
        <w:rPr>
          <w:spacing w:val="-7"/>
          <w:w w:val="105"/>
          <w:sz w:val="20"/>
        </w:rPr>
        <w:t>charged.</w:t>
      </w:r>
      <w:r>
        <w:rPr>
          <w:spacing w:val="-7"/>
          <w:w w:val="105"/>
          <w:position w:val="7"/>
          <w:sz w:val="11"/>
        </w:rPr>
        <w:t>133</w:t>
      </w:r>
    </w:p>
    <w:p>
      <w:pPr>
        <w:pStyle w:val="BodyText"/>
        <w:spacing w:before="7"/>
      </w:pPr>
      <w:r>
        <w:rPr/>
        <w:pict>
          <v:line style="position:absolute;mso-position-horizontal-relative:page;mso-position-vertical-relative:paragraph;z-index:9560;mso-wrap-distance-left:0;mso-wrap-distance-right:0" from="79.370102pt,15.644093pt" to="515.905102pt,15.644093pt" stroked="true" strokeweight="1pt" strokecolor="#f9ceca">
            <v:stroke dashstyle="solid"/>
            <w10:wrap type="topAndBottom"/>
          </v:line>
        </w:pict>
      </w:r>
    </w:p>
    <w:p>
      <w:pPr>
        <w:pStyle w:val="BodyText"/>
        <w:spacing w:before="8"/>
        <w:rPr>
          <w:sz w:val="5"/>
        </w:rPr>
      </w:pPr>
    </w:p>
    <w:p>
      <w:pPr>
        <w:spacing w:after="0"/>
        <w:rPr>
          <w:sz w:val="5"/>
        </w:rPr>
        <w:sectPr>
          <w:pgSz w:w="11910" w:h="16840"/>
          <w:pgMar w:header="805" w:footer="0" w:top="1360" w:bottom="280" w:left="0" w:right="0"/>
        </w:sectPr>
      </w:pPr>
    </w:p>
    <w:p>
      <w:pPr>
        <w:pStyle w:val="ListParagraph"/>
        <w:numPr>
          <w:ilvl w:val="0"/>
          <w:numId w:val="119"/>
        </w:numPr>
        <w:tabs>
          <w:tab w:pos="2381" w:val="left" w:leader="none"/>
          <w:tab w:pos="2382" w:val="left" w:leader="none"/>
        </w:tabs>
        <w:spacing w:line="240" w:lineRule="auto" w:before="48" w:after="0"/>
        <w:ind w:left="2381" w:right="129" w:hanging="794"/>
        <w:jc w:val="left"/>
        <w:rPr>
          <w:sz w:val="13"/>
        </w:rPr>
      </w:pPr>
      <w:r>
        <w:rPr>
          <w:w w:val="105"/>
          <w:sz w:val="13"/>
        </w:rPr>
        <w:t>National Committee for Uniform Succession Laws, </w:t>
      </w:r>
      <w:r>
        <w:rPr>
          <w:i/>
          <w:w w:val="105"/>
          <w:sz w:val="13"/>
        </w:rPr>
        <w:t>Administration of Estates of Deceased Persons: Report of the National Committee for </w:t>
      </w:r>
      <w:r>
        <w:rPr>
          <w:i/>
          <w:w w:val="105"/>
          <w:sz w:val="13"/>
        </w:rPr>
        <w:t>Uniform Succession Laws to the Standing Committee of Attorneys General: Volume </w:t>
      </w:r>
      <w:r>
        <w:rPr>
          <w:i/>
          <w:spacing w:val="-3"/>
          <w:w w:val="105"/>
          <w:sz w:val="13"/>
        </w:rPr>
        <w:t>3</w:t>
      </w:r>
      <w:r>
        <w:rPr>
          <w:spacing w:val="-3"/>
          <w:w w:val="105"/>
          <w:sz w:val="13"/>
        </w:rPr>
        <w:t>, </w:t>
      </w:r>
      <w:r>
        <w:rPr>
          <w:w w:val="105"/>
          <w:sz w:val="13"/>
        </w:rPr>
        <w:t>Queensland Law Reform Commission </w:t>
      </w:r>
      <w:r>
        <w:rPr>
          <w:spacing w:val="2"/>
          <w:w w:val="105"/>
          <w:sz w:val="13"/>
        </w:rPr>
        <w:t>Report </w:t>
      </w:r>
      <w:r>
        <w:rPr>
          <w:w w:val="105"/>
          <w:sz w:val="13"/>
        </w:rPr>
        <w:t>No 65 </w:t>
      </w:r>
      <w:r>
        <w:rPr>
          <w:spacing w:val="2"/>
          <w:w w:val="105"/>
          <w:sz w:val="13"/>
        </w:rPr>
        <w:t>(2009) </w:t>
      </w:r>
      <w:r>
        <w:rPr>
          <w:w w:val="105"/>
          <w:sz w:val="13"/>
        </w:rPr>
        <w:t>53 (‘</w:t>
      </w:r>
      <w:r>
        <w:rPr>
          <w:i/>
          <w:w w:val="105"/>
          <w:sz w:val="13"/>
        </w:rPr>
        <w:t>Administration of Estates: Volume</w:t>
      </w:r>
      <w:r>
        <w:rPr>
          <w:i/>
          <w:spacing w:val="20"/>
          <w:w w:val="105"/>
          <w:sz w:val="13"/>
        </w:rPr>
        <w:t> </w:t>
      </w:r>
      <w:r>
        <w:rPr>
          <w:i/>
          <w:spacing w:val="4"/>
          <w:w w:val="105"/>
          <w:sz w:val="13"/>
        </w:rPr>
        <w:t>3’</w:t>
      </w:r>
      <w:r>
        <w:rPr>
          <w:spacing w:val="4"/>
          <w:w w:val="105"/>
          <w:sz w:val="13"/>
        </w:rPr>
        <w:t>).</w:t>
      </w:r>
    </w:p>
    <w:p>
      <w:pPr>
        <w:pStyle w:val="ListParagraph"/>
        <w:numPr>
          <w:ilvl w:val="0"/>
          <w:numId w:val="119"/>
        </w:numPr>
        <w:tabs>
          <w:tab w:pos="2381" w:val="left" w:leader="none"/>
          <w:tab w:pos="2382" w:val="left" w:leader="none"/>
        </w:tabs>
        <w:spacing w:line="240" w:lineRule="auto" w:before="4" w:after="0"/>
        <w:ind w:left="2381" w:right="0" w:hanging="794"/>
        <w:jc w:val="left"/>
        <w:rPr>
          <w:sz w:val="13"/>
        </w:rPr>
      </w:pPr>
      <w:r>
        <w:rPr>
          <w:w w:val="105"/>
          <w:sz w:val="13"/>
        </w:rPr>
        <w:t>The Commission’s recommendation to enable executors to elect to charge a fee rather than commission authorised by the will should make   it easier for an appropriate amount to be</w:t>
      </w:r>
      <w:r>
        <w:rPr>
          <w:spacing w:val="5"/>
          <w:w w:val="105"/>
          <w:sz w:val="13"/>
        </w:rPr>
        <w:t> </w:t>
      </w:r>
      <w:r>
        <w:rPr>
          <w:w w:val="105"/>
          <w:sz w:val="13"/>
        </w:rPr>
        <w:t>charged.</w:t>
      </w:r>
    </w:p>
    <w:p>
      <w:pPr>
        <w:pStyle w:val="ListParagraph"/>
        <w:numPr>
          <w:ilvl w:val="0"/>
          <w:numId w:val="119"/>
        </w:numPr>
        <w:tabs>
          <w:tab w:pos="2381" w:val="left" w:leader="none"/>
          <w:tab w:pos="2382" w:val="left" w:leader="none"/>
        </w:tabs>
        <w:spacing w:line="240" w:lineRule="auto" w:before="3" w:after="0"/>
        <w:ind w:left="2381" w:right="0" w:hanging="794"/>
        <w:jc w:val="left"/>
        <w:rPr>
          <w:sz w:val="13"/>
        </w:rPr>
      </w:pPr>
      <w:r>
        <w:rPr>
          <w:w w:val="105"/>
          <w:sz w:val="13"/>
        </w:rPr>
        <w:t>National</w:t>
      </w:r>
      <w:r>
        <w:rPr>
          <w:spacing w:val="5"/>
          <w:w w:val="105"/>
          <w:sz w:val="13"/>
        </w:rPr>
        <w:t> </w:t>
      </w:r>
      <w:r>
        <w:rPr>
          <w:w w:val="105"/>
          <w:sz w:val="13"/>
        </w:rPr>
        <w:t>Committee</w:t>
      </w:r>
      <w:r>
        <w:rPr>
          <w:spacing w:val="5"/>
          <w:w w:val="105"/>
          <w:sz w:val="13"/>
        </w:rPr>
        <w:t> </w:t>
      </w:r>
      <w:r>
        <w:rPr>
          <w:w w:val="105"/>
          <w:sz w:val="13"/>
        </w:rPr>
        <w:t>for</w:t>
      </w:r>
      <w:r>
        <w:rPr>
          <w:spacing w:val="5"/>
          <w:w w:val="105"/>
          <w:sz w:val="13"/>
        </w:rPr>
        <w:t> </w:t>
      </w:r>
      <w:r>
        <w:rPr>
          <w:w w:val="105"/>
          <w:sz w:val="13"/>
        </w:rPr>
        <w:t>Uniform</w:t>
      </w:r>
      <w:r>
        <w:rPr>
          <w:spacing w:val="4"/>
          <w:w w:val="105"/>
          <w:sz w:val="13"/>
        </w:rPr>
        <w:t> </w:t>
      </w:r>
      <w:r>
        <w:rPr>
          <w:w w:val="105"/>
          <w:sz w:val="13"/>
        </w:rPr>
        <w:t>Succession</w:t>
      </w:r>
      <w:r>
        <w:rPr>
          <w:spacing w:val="5"/>
          <w:w w:val="105"/>
          <w:sz w:val="13"/>
        </w:rPr>
        <w:t> </w:t>
      </w:r>
      <w:r>
        <w:rPr>
          <w:w w:val="105"/>
          <w:sz w:val="13"/>
        </w:rPr>
        <w:t>Laws,</w:t>
      </w:r>
      <w:r>
        <w:rPr>
          <w:spacing w:val="5"/>
          <w:w w:val="105"/>
          <w:sz w:val="13"/>
        </w:rPr>
        <w:t> </w:t>
      </w:r>
      <w:r>
        <w:rPr>
          <w:i/>
          <w:w w:val="105"/>
          <w:sz w:val="13"/>
        </w:rPr>
        <w:t>Administration</w:t>
      </w:r>
      <w:r>
        <w:rPr>
          <w:i/>
          <w:spacing w:val="4"/>
          <w:w w:val="105"/>
          <w:sz w:val="13"/>
        </w:rPr>
        <w:t> </w:t>
      </w:r>
      <w:r>
        <w:rPr>
          <w:i/>
          <w:w w:val="105"/>
          <w:sz w:val="13"/>
        </w:rPr>
        <w:t>of</w:t>
      </w:r>
      <w:r>
        <w:rPr>
          <w:i/>
          <w:spacing w:val="4"/>
          <w:w w:val="105"/>
          <w:sz w:val="13"/>
        </w:rPr>
        <w:t> </w:t>
      </w:r>
      <w:r>
        <w:rPr>
          <w:i/>
          <w:w w:val="105"/>
          <w:sz w:val="13"/>
        </w:rPr>
        <w:t>Estates:</w:t>
      </w:r>
      <w:r>
        <w:rPr>
          <w:i/>
          <w:spacing w:val="4"/>
          <w:w w:val="105"/>
          <w:sz w:val="13"/>
        </w:rPr>
        <w:t> </w:t>
      </w:r>
      <w:r>
        <w:rPr>
          <w:i/>
          <w:w w:val="105"/>
          <w:sz w:val="13"/>
        </w:rPr>
        <w:t>Volume</w:t>
      </w:r>
      <w:r>
        <w:rPr>
          <w:i/>
          <w:spacing w:val="4"/>
          <w:w w:val="105"/>
          <w:sz w:val="13"/>
        </w:rPr>
        <w:t> </w:t>
      </w:r>
      <w:r>
        <w:rPr>
          <w:i/>
          <w:spacing w:val="-3"/>
          <w:w w:val="105"/>
          <w:sz w:val="13"/>
        </w:rPr>
        <w:t>3</w:t>
      </w:r>
      <w:r>
        <w:rPr>
          <w:spacing w:val="-3"/>
          <w:w w:val="105"/>
          <w:sz w:val="13"/>
        </w:rPr>
        <w:t>,</w:t>
      </w:r>
      <w:r>
        <w:rPr>
          <w:spacing w:val="5"/>
          <w:w w:val="105"/>
          <w:sz w:val="13"/>
        </w:rPr>
        <w:t> </w:t>
      </w:r>
      <w:r>
        <w:rPr>
          <w:w w:val="105"/>
          <w:sz w:val="13"/>
        </w:rPr>
        <w:t>above</w:t>
      </w:r>
      <w:r>
        <w:rPr>
          <w:spacing w:val="5"/>
          <w:w w:val="105"/>
          <w:sz w:val="13"/>
        </w:rPr>
        <w:t> </w:t>
      </w:r>
      <w:r>
        <w:rPr>
          <w:w w:val="105"/>
          <w:sz w:val="13"/>
        </w:rPr>
        <w:t>n</w:t>
      </w:r>
      <w:r>
        <w:rPr>
          <w:spacing w:val="5"/>
          <w:w w:val="105"/>
          <w:sz w:val="13"/>
        </w:rPr>
        <w:t> </w:t>
      </w:r>
      <w:r>
        <w:rPr>
          <w:w w:val="105"/>
          <w:sz w:val="13"/>
        </w:rPr>
        <w:t>129,</w:t>
      </w:r>
      <w:r>
        <w:rPr>
          <w:spacing w:val="5"/>
          <w:w w:val="105"/>
          <w:sz w:val="13"/>
        </w:rPr>
        <w:t> </w:t>
      </w:r>
      <w:r>
        <w:rPr>
          <w:spacing w:val="2"/>
          <w:w w:val="105"/>
          <w:sz w:val="13"/>
        </w:rPr>
        <w:t>54.</w:t>
      </w:r>
    </w:p>
    <w:p>
      <w:pPr>
        <w:pStyle w:val="ListParagraph"/>
        <w:numPr>
          <w:ilvl w:val="0"/>
          <w:numId w:val="119"/>
        </w:numPr>
        <w:tabs>
          <w:tab w:pos="2381" w:val="left" w:leader="none"/>
          <w:tab w:pos="2382" w:val="left" w:leader="none"/>
        </w:tabs>
        <w:spacing w:line="240" w:lineRule="auto" w:before="1" w:after="0"/>
        <w:ind w:left="2381" w:right="126" w:hanging="794"/>
        <w:jc w:val="left"/>
        <w:rPr>
          <w:sz w:val="13"/>
        </w:rPr>
      </w:pPr>
      <w:r>
        <w:rPr>
          <w:w w:val="105"/>
          <w:sz w:val="13"/>
        </w:rPr>
        <w:t>National Committee for Uniform Succession Laws, </w:t>
      </w:r>
      <w:r>
        <w:rPr>
          <w:i/>
          <w:w w:val="105"/>
          <w:sz w:val="13"/>
        </w:rPr>
        <w:t>Administration of Estates of Deceased Persons: Report of the National Committee for </w:t>
      </w:r>
      <w:r>
        <w:rPr>
          <w:i/>
          <w:w w:val="105"/>
          <w:sz w:val="13"/>
        </w:rPr>
        <w:t>Uniform Succession Laws to the Standing Committee of Attorneys General: Volume 4</w:t>
      </w:r>
      <w:r>
        <w:rPr>
          <w:w w:val="105"/>
          <w:sz w:val="13"/>
        </w:rPr>
        <w:t>, Queensland Law Reform Commission </w:t>
      </w:r>
      <w:r>
        <w:rPr>
          <w:spacing w:val="2"/>
          <w:w w:val="105"/>
          <w:sz w:val="13"/>
        </w:rPr>
        <w:t>Report </w:t>
      </w:r>
      <w:r>
        <w:rPr>
          <w:w w:val="105"/>
          <w:sz w:val="13"/>
        </w:rPr>
        <w:t>No 65 </w:t>
      </w:r>
      <w:r>
        <w:rPr>
          <w:spacing w:val="2"/>
          <w:w w:val="105"/>
          <w:sz w:val="13"/>
        </w:rPr>
        <w:t>(2009)</w:t>
      </w:r>
      <w:r>
        <w:rPr>
          <w:spacing w:val="4"/>
          <w:w w:val="105"/>
          <w:sz w:val="13"/>
        </w:rPr>
        <w:t> </w:t>
      </w:r>
      <w:r>
        <w:rPr>
          <w:w w:val="105"/>
          <w:sz w:val="13"/>
        </w:rPr>
        <w:t>Draft</w:t>
      </w:r>
      <w:r>
        <w:rPr>
          <w:spacing w:val="5"/>
          <w:w w:val="105"/>
          <w:sz w:val="13"/>
        </w:rPr>
        <w:t> </w:t>
      </w:r>
      <w:r>
        <w:rPr>
          <w:w w:val="105"/>
          <w:sz w:val="13"/>
        </w:rPr>
        <w:t>Administration</w:t>
      </w:r>
      <w:r>
        <w:rPr>
          <w:spacing w:val="4"/>
          <w:w w:val="105"/>
          <w:sz w:val="13"/>
        </w:rPr>
        <w:t> </w:t>
      </w:r>
      <w:r>
        <w:rPr>
          <w:w w:val="105"/>
          <w:sz w:val="13"/>
        </w:rPr>
        <w:t>of</w:t>
      </w:r>
      <w:r>
        <w:rPr>
          <w:spacing w:val="5"/>
          <w:w w:val="105"/>
          <w:sz w:val="13"/>
        </w:rPr>
        <w:t> </w:t>
      </w:r>
      <w:r>
        <w:rPr>
          <w:w w:val="105"/>
          <w:sz w:val="13"/>
        </w:rPr>
        <w:t>Estates</w:t>
      </w:r>
      <w:r>
        <w:rPr>
          <w:spacing w:val="5"/>
          <w:w w:val="105"/>
          <w:sz w:val="13"/>
        </w:rPr>
        <w:t> </w:t>
      </w:r>
      <w:r>
        <w:rPr>
          <w:w w:val="105"/>
          <w:sz w:val="13"/>
        </w:rPr>
        <w:t>Bill</w:t>
      </w:r>
      <w:r>
        <w:rPr>
          <w:spacing w:val="4"/>
          <w:w w:val="105"/>
          <w:sz w:val="13"/>
        </w:rPr>
        <w:t> </w:t>
      </w:r>
      <w:r>
        <w:rPr>
          <w:w w:val="105"/>
          <w:sz w:val="13"/>
        </w:rPr>
        <w:t>2009</w:t>
      </w:r>
      <w:r>
        <w:rPr>
          <w:spacing w:val="5"/>
          <w:w w:val="105"/>
          <w:sz w:val="13"/>
        </w:rPr>
        <w:t> </w:t>
      </w:r>
      <w:r>
        <w:rPr>
          <w:w w:val="105"/>
          <w:sz w:val="13"/>
        </w:rPr>
        <w:t>(‘</w:t>
      </w:r>
      <w:r>
        <w:rPr>
          <w:i/>
          <w:w w:val="105"/>
          <w:sz w:val="13"/>
        </w:rPr>
        <w:t>Administration</w:t>
      </w:r>
      <w:r>
        <w:rPr>
          <w:i/>
          <w:spacing w:val="4"/>
          <w:w w:val="105"/>
          <w:sz w:val="13"/>
        </w:rPr>
        <w:t> </w:t>
      </w:r>
      <w:r>
        <w:rPr>
          <w:i/>
          <w:w w:val="105"/>
          <w:sz w:val="13"/>
        </w:rPr>
        <w:t>of</w:t>
      </w:r>
      <w:r>
        <w:rPr>
          <w:i/>
          <w:spacing w:val="3"/>
          <w:w w:val="105"/>
          <w:sz w:val="13"/>
        </w:rPr>
        <w:t> </w:t>
      </w:r>
      <w:r>
        <w:rPr>
          <w:i/>
          <w:w w:val="105"/>
          <w:sz w:val="13"/>
        </w:rPr>
        <w:t>Estates:</w:t>
      </w:r>
      <w:r>
        <w:rPr>
          <w:i/>
          <w:spacing w:val="4"/>
          <w:w w:val="105"/>
          <w:sz w:val="13"/>
        </w:rPr>
        <w:t> </w:t>
      </w:r>
      <w:r>
        <w:rPr>
          <w:i/>
          <w:w w:val="105"/>
          <w:sz w:val="13"/>
        </w:rPr>
        <w:t>Volume</w:t>
      </w:r>
      <w:r>
        <w:rPr>
          <w:i/>
          <w:spacing w:val="4"/>
          <w:w w:val="105"/>
          <w:sz w:val="13"/>
        </w:rPr>
        <w:t> 4’</w:t>
      </w:r>
      <w:r>
        <w:rPr>
          <w:spacing w:val="4"/>
          <w:w w:val="105"/>
          <w:sz w:val="13"/>
        </w:rPr>
        <w:t>).</w:t>
      </w:r>
    </w:p>
    <w:p>
      <w:pPr>
        <w:pStyle w:val="ListParagraph"/>
        <w:numPr>
          <w:ilvl w:val="0"/>
          <w:numId w:val="119"/>
        </w:numPr>
        <w:tabs>
          <w:tab w:pos="2381" w:val="left" w:leader="none"/>
          <w:tab w:pos="2382" w:val="left" w:leader="none"/>
        </w:tabs>
        <w:spacing w:line="240" w:lineRule="auto" w:before="4" w:after="0"/>
        <w:ind w:left="2381" w:right="0" w:hanging="794"/>
        <w:jc w:val="left"/>
        <w:rPr>
          <w:sz w:val="13"/>
        </w:rPr>
      </w:pPr>
      <w:r>
        <w:rPr>
          <w:w w:val="105"/>
          <w:sz w:val="13"/>
        </w:rPr>
        <w:t>National</w:t>
      </w:r>
      <w:r>
        <w:rPr>
          <w:spacing w:val="4"/>
          <w:w w:val="105"/>
          <w:sz w:val="13"/>
        </w:rPr>
        <w:t> </w:t>
      </w:r>
      <w:r>
        <w:rPr>
          <w:w w:val="105"/>
          <w:sz w:val="13"/>
        </w:rPr>
        <w:t>Committee</w:t>
      </w:r>
      <w:r>
        <w:rPr>
          <w:spacing w:val="5"/>
          <w:w w:val="105"/>
          <w:sz w:val="13"/>
        </w:rPr>
        <w:t> </w:t>
      </w:r>
      <w:r>
        <w:rPr>
          <w:w w:val="105"/>
          <w:sz w:val="13"/>
        </w:rPr>
        <w:t>for</w:t>
      </w:r>
      <w:r>
        <w:rPr>
          <w:spacing w:val="5"/>
          <w:w w:val="105"/>
          <w:sz w:val="13"/>
        </w:rPr>
        <w:t> </w:t>
      </w:r>
      <w:r>
        <w:rPr>
          <w:w w:val="105"/>
          <w:sz w:val="13"/>
        </w:rPr>
        <w:t>Uniform</w:t>
      </w:r>
      <w:r>
        <w:rPr>
          <w:spacing w:val="5"/>
          <w:w w:val="105"/>
          <w:sz w:val="13"/>
        </w:rPr>
        <w:t> </w:t>
      </w:r>
      <w:r>
        <w:rPr>
          <w:w w:val="105"/>
          <w:sz w:val="13"/>
        </w:rPr>
        <w:t>Succession</w:t>
      </w:r>
      <w:r>
        <w:rPr>
          <w:spacing w:val="5"/>
          <w:w w:val="105"/>
          <w:sz w:val="13"/>
        </w:rPr>
        <w:t> </w:t>
      </w:r>
      <w:r>
        <w:rPr>
          <w:w w:val="105"/>
          <w:sz w:val="13"/>
        </w:rPr>
        <w:t>Laws,</w:t>
      </w:r>
      <w:r>
        <w:rPr>
          <w:spacing w:val="5"/>
          <w:w w:val="105"/>
          <w:sz w:val="13"/>
        </w:rPr>
        <w:t> </w:t>
      </w:r>
      <w:r>
        <w:rPr>
          <w:i/>
          <w:w w:val="105"/>
          <w:sz w:val="13"/>
        </w:rPr>
        <w:t>Administration</w:t>
      </w:r>
      <w:r>
        <w:rPr>
          <w:i/>
          <w:spacing w:val="4"/>
          <w:w w:val="105"/>
          <w:sz w:val="13"/>
        </w:rPr>
        <w:t> </w:t>
      </w:r>
      <w:r>
        <w:rPr>
          <w:i/>
          <w:w w:val="105"/>
          <w:sz w:val="13"/>
        </w:rPr>
        <w:t>of</w:t>
      </w:r>
      <w:r>
        <w:rPr>
          <w:i/>
          <w:spacing w:val="4"/>
          <w:w w:val="105"/>
          <w:sz w:val="13"/>
        </w:rPr>
        <w:t> </w:t>
      </w:r>
      <w:r>
        <w:rPr>
          <w:i/>
          <w:w w:val="105"/>
          <w:sz w:val="13"/>
        </w:rPr>
        <w:t>Estates:</w:t>
      </w:r>
      <w:r>
        <w:rPr>
          <w:i/>
          <w:spacing w:val="4"/>
          <w:w w:val="105"/>
          <w:sz w:val="13"/>
        </w:rPr>
        <w:t> </w:t>
      </w:r>
      <w:r>
        <w:rPr>
          <w:i/>
          <w:w w:val="105"/>
          <w:sz w:val="13"/>
        </w:rPr>
        <w:t>Volume</w:t>
      </w:r>
      <w:r>
        <w:rPr>
          <w:i/>
          <w:spacing w:val="4"/>
          <w:w w:val="105"/>
          <w:sz w:val="13"/>
        </w:rPr>
        <w:t> </w:t>
      </w:r>
      <w:r>
        <w:rPr>
          <w:i/>
          <w:spacing w:val="-3"/>
          <w:w w:val="105"/>
          <w:sz w:val="13"/>
        </w:rPr>
        <w:t>3</w:t>
      </w:r>
      <w:r>
        <w:rPr>
          <w:spacing w:val="-3"/>
          <w:w w:val="105"/>
          <w:sz w:val="13"/>
        </w:rPr>
        <w:t>,</w:t>
      </w:r>
      <w:r>
        <w:rPr>
          <w:spacing w:val="5"/>
          <w:w w:val="105"/>
          <w:sz w:val="13"/>
        </w:rPr>
        <w:t> </w:t>
      </w:r>
      <w:r>
        <w:rPr>
          <w:w w:val="105"/>
          <w:sz w:val="13"/>
        </w:rPr>
        <w:t>above</w:t>
      </w:r>
      <w:r>
        <w:rPr>
          <w:spacing w:val="5"/>
          <w:w w:val="105"/>
          <w:sz w:val="13"/>
        </w:rPr>
        <w:t> </w:t>
      </w:r>
      <w:r>
        <w:rPr>
          <w:w w:val="105"/>
          <w:sz w:val="13"/>
        </w:rPr>
        <w:t>n</w:t>
      </w:r>
      <w:r>
        <w:rPr>
          <w:spacing w:val="5"/>
          <w:w w:val="105"/>
          <w:sz w:val="13"/>
        </w:rPr>
        <w:t> </w:t>
      </w:r>
      <w:r>
        <w:rPr>
          <w:w w:val="105"/>
          <w:sz w:val="13"/>
        </w:rPr>
        <w:t>129,</w:t>
      </w:r>
      <w:r>
        <w:rPr>
          <w:spacing w:val="5"/>
          <w:w w:val="105"/>
          <w:sz w:val="13"/>
        </w:rPr>
        <w:t> </w:t>
      </w:r>
      <w:r>
        <w:rPr>
          <w:w w:val="105"/>
          <w:sz w:val="13"/>
        </w:rPr>
        <w:t>69.</w:t>
      </w:r>
    </w:p>
    <w:p>
      <w:pPr>
        <w:pStyle w:val="BodyText"/>
        <w:rPr>
          <w:sz w:val="28"/>
        </w:rPr>
      </w:pPr>
      <w:r>
        <w:rPr/>
        <w:br w:type="column"/>
      </w:r>
      <w:r>
        <w:rPr>
          <w:sz w:val="28"/>
        </w:rPr>
      </w:r>
    </w:p>
    <w:p>
      <w:pPr>
        <w:pStyle w:val="BodyText"/>
        <w:rPr>
          <w:sz w:val="28"/>
        </w:rPr>
      </w:pPr>
    </w:p>
    <w:p>
      <w:pPr>
        <w:pStyle w:val="BodyText"/>
        <w:rPr>
          <w:sz w:val="28"/>
        </w:rPr>
      </w:pPr>
    </w:p>
    <w:p>
      <w:pPr>
        <w:pStyle w:val="BodyText"/>
        <w:spacing w:before="4"/>
        <w:rPr>
          <w:sz w:val="29"/>
        </w:rPr>
      </w:pPr>
    </w:p>
    <w:p>
      <w:pPr>
        <w:spacing w:before="0"/>
        <w:ind w:left="571" w:right="573" w:firstLine="0"/>
        <w:jc w:val="center"/>
        <w:rPr>
          <w:b/>
          <w:sz w:val="24"/>
        </w:rPr>
      </w:pPr>
      <w:r>
        <w:rPr>
          <w:b/>
          <w:color w:val="EC5A4F"/>
          <w:w w:val="110"/>
          <w:sz w:val="24"/>
        </w:rPr>
        <w:t>159</w:t>
      </w:r>
    </w:p>
    <w:p>
      <w:pPr>
        <w:spacing w:after="0"/>
        <w:jc w:val="center"/>
        <w:rPr>
          <w:sz w:val="24"/>
        </w:rPr>
        <w:sectPr>
          <w:type w:val="continuous"/>
          <w:pgSz w:w="11910" w:h="16840"/>
          <w:pgMar w:top="920" w:bottom="280" w:left="0" w:right="0"/>
          <w:cols w:num="2" w:equalWidth="0">
            <w:col w:w="10283" w:space="40"/>
            <w:col w:w="1587"/>
          </w:cols>
        </w:sectPr>
      </w:pPr>
    </w:p>
    <w:p>
      <w:pPr>
        <w:pStyle w:val="BodyText"/>
        <w:spacing w:before="9"/>
        <w:rPr>
          <w:b/>
          <w:sz w:val="22"/>
        </w:rPr>
      </w:pPr>
    </w:p>
    <w:p>
      <w:pPr>
        <w:pStyle w:val="ListParagraph"/>
        <w:numPr>
          <w:ilvl w:val="1"/>
          <w:numId w:val="22"/>
        </w:numPr>
        <w:tabs>
          <w:tab w:pos="2381" w:val="left" w:leader="none"/>
          <w:tab w:pos="2382" w:val="left" w:leader="none"/>
        </w:tabs>
        <w:spacing w:line="242" w:lineRule="auto" w:before="92" w:after="0"/>
        <w:ind w:left="2381" w:right="1624" w:hanging="794"/>
        <w:jc w:val="left"/>
        <w:rPr>
          <w:sz w:val="21"/>
        </w:rPr>
      </w:pPr>
      <w:r>
        <w:rPr>
          <w:w w:val="105"/>
          <w:sz w:val="21"/>
        </w:rPr>
        <w:t>The </w:t>
      </w:r>
      <w:r>
        <w:rPr>
          <w:spacing w:val="-3"/>
          <w:w w:val="105"/>
          <w:sz w:val="21"/>
        </w:rPr>
        <w:t>provision that </w:t>
      </w:r>
      <w:r>
        <w:rPr>
          <w:w w:val="105"/>
          <w:sz w:val="21"/>
        </w:rPr>
        <w:t>the </w:t>
      </w:r>
      <w:r>
        <w:rPr>
          <w:spacing w:val="-3"/>
          <w:w w:val="105"/>
          <w:sz w:val="21"/>
        </w:rPr>
        <w:t>National Committee </w:t>
      </w:r>
      <w:r>
        <w:rPr>
          <w:w w:val="105"/>
          <w:sz w:val="21"/>
        </w:rPr>
        <w:t>recommended appears as </w:t>
      </w:r>
      <w:r>
        <w:rPr>
          <w:spacing w:val="-3"/>
          <w:w w:val="105"/>
          <w:sz w:val="21"/>
        </w:rPr>
        <w:t>clause </w:t>
      </w:r>
      <w:r>
        <w:rPr>
          <w:spacing w:val="-4"/>
          <w:w w:val="105"/>
          <w:sz w:val="21"/>
        </w:rPr>
        <w:t>432 </w:t>
      </w:r>
      <w:r>
        <w:rPr>
          <w:w w:val="105"/>
          <w:sz w:val="21"/>
        </w:rPr>
        <w:t>of the model </w:t>
      </w:r>
      <w:r>
        <w:rPr>
          <w:spacing w:val="-4"/>
          <w:w w:val="105"/>
          <w:sz w:val="21"/>
        </w:rPr>
        <w:t>legislation.</w:t>
      </w:r>
      <w:r>
        <w:rPr>
          <w:spacing w:val="-4"/>
          <w:w w:val="105"/>
          <w:position w:val="7"/>
          <w:sz w:val="12"/>
        </w:rPr>
        <w:t>134 </w:t>
      </w:r>
      <w:r>
        <w:rPr>
          <w:w w:val="105"/>
          <w:sz w:val="21"/>
        </w:rPr>
        <w:t>In </w:t>
      </w:r>
      <w:r>
        <w:rPr>
          <w:spacing w:val="-3"/>
          <w:w w:val="105"/>
          <w:sz w:val="21"/>
        </w:rPr>
        <w:t>accordance </w:t>
      </w:r>
      <w:r>
        <w:rPr>
          <w:w w:val="105"/>
          <w:sz w:val="21"/>
        </w:rPr>
        <w:t>with the </w:t>
      </w:r>
      <w:r>
        <w:rPr>
          <w:spacing w:val="-3"/>
          <w:w w:val="105"/>
          <w:sz w:val="21"/>
        </w:rPr>
        <w:t>recommendation, clause </w:t>
      </w:r>
      <w:r>
        <w:rPr>
          <w:spacing w:val="-4"/>
          <w:w w:val="105"/>
          <w:sz w:val="21"/>
        </w:rPr>
        <w:t>432 </w:t>
      </w:r>
      <w:r>
        <w:rPr>
          <w:w w:val="105"/>
          <w:sz w:val="21"/>
        </w:rPr>
        <w:t>is a modification of section 86A of the NSW </w:t>
      </w:r>
      <w:r>
        <w:rPr>
          <w:spacing w:val="-3"/>
          <w:w w:val="105"/>
          <w:sz w:val="21"/>
        </w:rPr>
        <w:t>Probate </w:t>
      </w:r>
      <w:r>
        <w:rPr>
          <w:w w:val="105"/>
          <w:sz w:val="21"/>
        </w:rPr>
        <w:t>and </w:t>
      </w:r>
      <w:r>
        <w:rPr>
          <w:spacing w:val="-3"/>
          <w:w w:val="105"/>
          <w:sz w:val="21"/>
        </w:rPr>
        <w:t>Administration</w:t>
      </w:r>
      <w:r>
        <w:rPr>
          <w:spacing w:val="1"/>
          <w:w w:val="105"/>
          <w:sz w:val="21"/>
        </w:rPr>
        <w:t> </w:t>
      </w:r>
      <w:r>
        <w:rPr>
          <w:w w:val="105"/>
          <w:sz w:val="21"/>
        </w:rPr>
        <w:t>Act.</w:t>
      </w:r>
    </w:p>
    <w:p>
      <w:pPr>
        <w:pStyle w:val="ListParagraph"/>
        <w:numPr>
          <w:ilvl w:val="1"/>
          <w:numId w:val="22"/>
        </w:numPr>
        <w:tabs>
          <w:tab w:pos="2380" w:val="left" w:leader="none"/>
          <w:tab w:pos="2381" w:val="left" w:leader="none"/>
        </w:tabs>
        <w:spacing w:line="242" w:lineRule="auto" w:before="123" w:after="0"/>
        <w:ind w:left="2381" w:right="2055" w:hanging="794"/>
        <w:jc w:val="left"/>
        <w:rPr>
          <w:sz w:val="21"/>
        </w:rPr>
      </w:pPr>
      <w:r>
        <w:rPr>
          <w:w w:val="105"/>
          <w:sz w:val="21"/>
        </w:rPr>
        <w:t>The modifications import concepts and terminology </w:t>
      </w:r>
      <w:r>
        <w:rPr>
          <w:spacing w:val="-3"/>
          <w:w w:val="105"/>
          <w:sz w:val="21"/>
        </w:rPr>
        <w:t>that are </w:t>
      </w:r>
      <w:r>
        <w:rPr>
          <w:spacing w:val="-2"/>
          <w:w w:val="105"/>
          <w:sz w:val="21"/>
        </w:rPr>
        <w:t>not </w:t>
      </w:r>
      <w:r>
        <w:rPr>
          <w:spacing w:val="-3"/>
          <w:w w:val="105"/>
          <w:sz w:val="21"/>
        </w:rPr>
        <w:t>relevant to </w:t>
      </w:r>
      <w:r>
        <w:rPr>
          <w:w w:val="105"/>
          <w:sz w:val="21"/>
        </w:rPr>
        <w:t>the </w:t>
      </w:r>
      <w:r>
        <w:rPr>
          <w:spacing w:val="-4"/>
          <w:w w:val="105"/>
          <w:sz w:val="21"/>
        </w:rPr>
        <w:t>Commission’s </w:t>
      </w:r>
      <w:r>
        <w:rPr>
          <w:spacing w:val="-3"/>
          <w:w w:val="105"/>
          <w:sz w:val="21"/>
        </w:rPr>
        <w:t>current </w:t>
      </w:r>
      <w:r>
        <w:rPr>
          <w:spacing w:val="-4"/>
          <w:w w:val="105"/>
          <w:sz w:val="21"/>
        </w:rPr>
        <w:t>reference. Clause 432 </w:t>
      </w:r>
      <w:r>
        <w:rPr>
          <w:w w:val="105"/>
          <w:sz w:val="21"/>
        </w:rPr>
        <w:t>uses </w:t>
      </w:r>
      <w:r>
        <w:rPr>
          <w:spacing w:val="-3"/>
          <w:w w:val="105"/>
          <w:sz w:val="21"/>
        </w:rPr>
        <w:t>terms that are </w:t>
      </w:r>
      <w:r>
        <w:rPr>
          <w:w w:val="105"/>
          <w:sz w:val="21"/>
        </w:rPr>
        <w:t>defined in the model </w:t>
      </w:r>
      <w:r>
        <w:rPr>
          <w:spacing w:val="-3"/>
          <w:w w:val="105"/>
          <w:sz w:val="21"/>
        </w:rPr>
        <w:t>legislation </w:t>
      </w:r>
      <w:r>
        <w:rPr>
          <w:w w:val="105"/>
          <w:sz w:val="21"/>
        </w:rPr>
        <w:t>but </w:t>
      </w:r>
      <w:r>
        <w:rPr>
          <w:spacing w:val="-3"/>
          <w:w w:val="105"/>
          <w:sz w:val="21"/>
        </w:rPr>
        <w:t>are different to </w:t>
      </w:r>
      <w:r>
        <w:rPr>
          <w:w w:val="105"/>
          <w:sz w:val="21"/>
        </w:rPr>
        <w:t>those used in Victorian </w:t>
      </w:r>
      <w:r>
        <w:rPr>
          <w:spacing w:val="-5"/>
          <w:w w:val="105"/>
          <w:sz w:val="21"/>
        </w:rPr>
        <w:t>law, </w:t>
      </w:r>
      <w:r>
        <w:rPr>
          <w:w w:val="105"/>
          <w:sz w:val="21"/>
        </w:rPr>
        <w:t>and it </w:t>
      </w:r>
      <w:r>
        <w:rPr>
          <w:spacing w:val="-2"/>
          <w:w w:val="105"/>
          <w:sz w:val="21"/>
        </w:rPr>
        <w:t>has </w:t>
      </w:r>
      <w:r>
        <w:rPr>
          <w:w w:val="105"/>
          <w:sz w:val="21"/>
        </w:rPr>
        <w:t>been drafted </w:t>
      </w:r>
      <w:r>
        <w:rPr>
          <w:spacing w:val="-3"/>
          <w:w w:val="105"/>
          <w:sz w:val="21"/>
        </w:rPr>
        <w:t>to </w:t>
      </w:r>
      <w:r>
        <w:rPr>
          <w:w w:val="105"/>
          <w:sz w:val="21"/>
        </w:rPr>
        <w:t>apply </w:t>
      </w:r>
      <w:r>
        <w:rPr>
          <w:spacing w:val="-3"/>
          <w:w w:val="105"/>
          <w:sz w:val="21"/>
        </w:rPr>
        <w:t>to </w:t>
      </w:r>
      <w:r>
        <w:rPr>
          <w:w w:val="105"/>
          <w:sz w:val="21"/>
        </w:rPr>
        <w:t>trustee </w:t>
      </w:r>
      <w:r>
        <w:rPr>
          <w:spacing w:val="-3"/>
          <w:w w:val="105"/>
          <w:sz w:val="21"/>
        </w:rPr>
        <w:t>companies, </w:t>
      </w:r>
      <w:r>
        <w:rPr>
          <w:w w:val="105"/>
          <w:sz w:val="21"/>
        </w:rPr>
        <w:t>which </w:t>
      </w:r>
      <w:r>
        <w:rPr>
          <w:spacing w:val="-3"/>
          <w:w w:val="105"/>
          <w:sz w:val="21"/>
        </w:rPr>
        <w:t>are </w:t>
      </w:r>
      <w:r>
        <w:rPr>
          <w:w w:val="105"/>
          <w:sz w:val="21"/>
        </w:rPr>
        <w:t>now </w:t>
      </w:r>
      <w:r>
        <w:rPr>
          <w:spacing w:val="-3"/>
          <w:w w:val="105"/>
          <w:sz w:val="21"/>
        </w:rPr>
        <w:t>regulated </w:t>
      </w:r>
      <w:r>
        <w:rPr>
          <w:w w:val="105"/>
          <w:sz w:val="21"/>
        </w:rPr>
        <w:t>by the</w:t>
      </w:r>
      <w:r>
        <w:rPr>
          <w:spacing w:val="37"/>
          <w:w w:val="105"/>
          <w:sz w:val="21"/>
        </w:rPr>
        <w:t> </w:t>
      </w:r>
      <w:r>
        <w:rPr>
          <w:spacing w:val="-4"/>
          <w:w w:val="105"/>
          <w:sz w:val="21"/>
        </w:rPr>
        <w:t>Commonwealth.</w:t>
      </w:r>
    </w:p>
    <w:p>
      <w:pPr>
        <w:pStyle w:val="ListParagraph"/>
        <w:numPr>
          <w:ilvl w:val="1"/>
          <w:numId w:val="22"/>
        </w:numPr>
        <w:tabs>
          <w:tab w:pos="2380" w:val="left" w:leader="none"/>
          <w:tab w:pos="2381" w:val="left" w:leader="none"/>
        </w:tabs>
        <w:spacing w:line="242" w:lineRule="auto" w:before="124" w:after="0"/>
        <w:ind w:left="2380" w:right="1955" w:hanging="793"/>
        <w:jc w:val="left"/>
        <w:rPr>
          <w:sz w:val="21"/>
        </w:rPr>
      </w:pPr>
      <w:r>
        <w:rPr>
          <w:w w:val="105"/>
          <w:sz w:val="21"/>
        </w:rPr>
        <w:t>As there is no need </w:t>
      </w:r>
      <w:r>
        <w:rPr>
          <w:spacing w:val="-3"/>
          <w:w w:val="105"/>
          <w:sz w:val="21"/>
        </w:rPr>
        <w:t>for </w:t>
      </w:r>
      <w:r>
        <w:rPr>
          <w:w w:val="105"/>
          <w:sz w:val="21"/>
        </w:rPr>
        <w:t>it </w:t>
      </w:r>
      <w:r>
        <w:rPr>
          <w:spacing w:val="-3"/>
          <w:w w:val="105"/>
          <w:sz w:val="21"/>
        </w:rPr>
        <w:t>to consider </w:t>
      </w:r>
      <w:r>
        <w:rPr>
          <w:w w:val="105"/>
          <w:sz w:val="21"/>
        </w:rPr>
        <w:t>the modifications </w:t>
      </w:r>
      <w:r>
        <w:rPr>
          <w:spacing w:val="-3"/>
          <w:w w:val="105"/>
          <w:sz w:val="21"/>
        </w:rPr>
        <w:t>conveyed </w:t>
      </w:r>
      <w:r>
        <w:rPr>
          <w:w w:val="105"/>
          <w:sz w:val="21"/>
        </w:rPr>
        <w:t>in </w:t>
      </w:r>
      <w:r>
        <w:rPr>
          <w:spacing w:val="-3"/>
          <w:w w:val="105"/>
          <w:sz w:val="21"/>
        </w:rPr>
        <w:t>clause </w:t>
      </w:r>
      <w:r>
        <w:rPr>
          <w:spacing w:val="-5"/>
          <w:w w:val="105"/>
          <w:sz w:val="21"/>
        </w:rPr>
        <w:t>432, </w:t>
      </w:r>
      <w:r>
        <w:rPr>
          <w:w w:val="105"/>
          <w:sz w:val="21"/>
        </w:rPr>
        <w:t>the </w:t>
      </w:r>
      <w:r>
        <w:rPr>
          <w:spacing w:val="-3"/>
          <w:w w:val="105"/>
          <w:sz w:val="21"/>
        </w:rPr>
        <w:t>Commission </w:t>
      </w:r>
      <w:r>
        <w:rPr>
          <w:spacing w:val="-2"/>
          <w:w w:val="105"/>
          <w:sz w:val="21"/>
        </w:rPr>
        <w:t>has </w:t>
      </w:r>
      <w:r>
        <w:rPr>
          <w:spacing w:val="-3"/>
          <w:w w:val="105"/>
          <w:sz w:val="21"/>
        </w:rPr>
        <w:t>referred </w:t>
      </w:r>
      <w:r>
        <w:rPr>
          <w:w w:val="105"/>
          <w:sz w:val="21"/>
        </w:rPr>
        <w:t>back </w:t>
      </w:r>
      <w:r>
        <w:rPr>
          <w:spacing w:val="-3"/>
          <w:w w:val="105"/>
          <w:sz w:val="21"/>
        </w:rPr>
        <w:t>to </w:t>
      </w:r>
      <w:r>
        <w:rPr>
          <w:w w:val="105"/>
          <w:sz w:val="21"/>
        </w:rPr>
        <w:t>the </w:t>
      </w:r>
      <w:r>
        <w:rPr>
          <w:spacing w:val="-3"/>
          <w:w w:val="105"/>
          <w:sz w:val="21"/>
        </w:rPr>
        <w:t>original provision </w:t>
      </w:r>
      <w:r>
        <w:rPr>
          <w:w w:val="105"/>
          <w:sz w:val="21"/>
        </w:rPr>
        <w:t>at section 86A of the NSW </w:t>
      </w:r>
      <w:r>
        <w:rPr>
          <w:spacing w:val="-3"/>
          <w:w w:val="105"/>
          <w:sz w:val="21"/>
        </w:rPr>
        <w:t>Probate </w:t>
      </w:r>
      <w:r>
        <w:rPr>
          <w:w w:val="105"/>
          <w:sz w:val="21"/>
        </w:rPr>
        <w:t>and </w:t>
      </w:r>
      <w:r>
        <w:rPr>
          <w:spacing w:val="-3"/>
          <w:w w:val="105"/>
          <w:sz w:val="21"/>
        </w:rPr>
        <w:t>Administration </w:t>
      </w:r>
      <w:r>
        <w:rPr>
          <w:w w:val="105"/>
          <w:sz w:val="21"/>
        </w:rPr>
        <w:t>Act when </w:t>
      </w:r>
      <w:r>
        <w:rPr>
          <w:spacing w:val="-3"/>
          <w:w w:val="105"/>
          <w:sz w:val="21"/>
        </w:rPr>
        <w:t>considering </w:t>
      </w:r>
      <w:r>
        <w:rPr>
          <w:w w:val="105"/>
          <w:sz w:val="21"/>
        </w:rPr>
        <w:t>the </w:t>
      </w:r>
      <w:r>
        <w:rPr>
          <w:spacing w:val="-3"/>
          <w:w w:val="105"/>
          <w:sz w:val="21"/>
        </w:rPr>
        <w:t>National </w:t>
      </w:r>
      <w:r>
        <w:rPr>
          <w:spacing w:val="-4"/>
          <w:w w:val="105"/>
          <w:sz w:val="21"/>
        </w:rPr>
        <w:t>Committee’s</w:t>
      </w:r>
      <w:r>
        <w:rPr>
          <w:w w:val="105"/>
          <w:sz w:val="21"/>
        </w:rPr>
        <w:t> proposal.</w:t>
      </w:r>
    </w:p>
    <w:p>
      <w:pPr>
        <w:pStyle w:val="BodyText"/>
        <w:spacing w:before="12"/>
        <w:rPr>
          <w:sz w:val="26"/>
        </w:rPr>
      </w:pPr>
    </w:p>
    <w:p>
      <w:pPr>
        <w:pStyle w:val="Heading6"/>
      </w:pPr>
      <w:r>
        <w:rPr>
          <w:color w:val="6D6E71"/>
          <w:w w:val="115"/>
        </w:rPr>
        <w:t>Section 86A of the NSW Probate and Administration Act</w:t>
      </w:r>
    </w:p>
    <w:p>
      <w:pPr>
        <w:pStyle w:val="ListParagraph"/>
        <w:numPr>
          <w:ilvl w:val="1"/>
          <w:numId w:val="22"/>
        </w:numPr>
        <w:tabs>
          <w:tab w:pos="2381" w:val="left" w:leader="none"/>
          <w:tab w:pos="2382" w:val="left" w:leader="none"/>
        </w:tabs>
        <w:spacing w:line="240" w:lineRule="auto" w:before="151" w:after="0"/>
        <w:ind w:left="2381" w:right="0" w:hanging="794"/>
        <w:jc w:val="left"/>
        <w:rPr>
          <w:sz w:val="21"/>
        </w:rPr>
      </w:pPr>
      <w:r>
        <w:rPr>
          <w:w w:val="105"/>
          <w:sz w:val="21"/>
        </w:rPr>
        <w:t>Section 86A of the NSW </w:t>
      </w:r>
      <w:r>
        <w:rPr>
          <w:spacing w:val="-3"/>
          <w:w w:val="105"/>
          <w:sz w:val="21"/>
        </w:rPr>
        <w:t>Probate </w:t>
      </w:r>
      <w:r>
        <w:rPr>
          <w:w w:val="105"/>
          <w:sz w:val="21"/>
        </w:rPr>
        <w:t>and </w:t>
      </w:r>
      <w:r>
        <w:rPr>
          <w:spacing w:val="-3"/>
          <w:w w:val="105"/>
          <w:sz w:val="21"/>
        </w:rPr>
        <w:t>Administration </w:t>
      </w:r>
      <w:r>
        <w:rPr>
          <w:w w:val="105"/>
          <w:sz w:val="21"/>
        </w:rPr>
        <w:t>Act provides as</w:t>
      </w:r>
      <w:r>
        <w:rPr>
          <w:spacing w:val="2"/>
          <w:w w:val="105"/>
          <w:sz w:val="21"/>
        </w:rPr>
        <w:t> </w:t>
      </w:r>
      <w:r>
        <w:rPr>
          <w:w w:val="105"/>
          <w:sz w:val="21"/>
        </w:rPr>
        <w:t>follows:</w:t>
      </w:r>
    </w:p>
    <w:p>
      <w:pPr>
        <w:spacing w:before="129"/>
        <w:ind w:left="2721" w:right="0" w:firstLine="0"/>
        <w:jc w:val="left"/>
        <w:rPr>
          <w:rFonts w:ascii="Lucida Sans"/>
          <w:b/>
          <w:sz w:val="20"/>
        </w:rPr>
      </w:pPr>
      <w:r>
        <w:rPr>
          <w:rFonts w:ascii="Lucida Sans"/>
          <w:b/>
          <w:sz w:val="20"/>
        </w:rPr>
        <w:t>86A Reduction of excessive commission etc</w:t>
      </w:r>
    </w:p>
    <w:p>
      <w:pPr>
        <w:spacing w:line="254" w:lineRule="auto" w:before="148"/>
        <w:ind w:left="2721" w:right="1804" w:firstLine="0"/>
        <w:jc w:val="left"/>
        <w:rPr>
          <w:sz w:val="20"/>
        </w:rPr>
      </w:pPr>
      <w:r>
        <w:rPr>
          <w:w w:val="105"/>
          <w:sz w:val="20"/>
        </w:rPr>
        <w:t>Where the Court is of the opinion that a commission or </w:t>
      </w:r>
      <w:r>
        <w:rPr>
          <w:spacing w:val="-2"/>
          <w:w w:val="105"/>
          <w:sz w:val="20"/>
        </w:rPr>
        <w:t>amount </w:t>
      </w:r>
      <w:r>
        <w:rPr>
          <w:w w:val="105"/>
          <w:sz w:val="20"/>
        </w:rPr>
        <w:t>charged or proposed to be charged in respect of </w:t>
      </w:r>
      <w:r>
        <w:rPr>
          <w:spacing w:val="-2"/>
          <w:w w:val="105"/>
          <w:sz w:val="20"/>
        </w:rPr>
        <w:t>any </w:t>
      </w:r>
      <w:r>
        <w:rPr>
          <w:w w:val="105"/>
          <w:sz w:val="20"/>
        </w:rPr>
        <w:t>estate, or </w:t>
      </w:r>
      <w:r>
        <w:rPr>
          <w:spacing w:val="-2"/>
          <w:w w:val="105"/>
          <w:sz w:val="20"/>
        </w:rPr>
        <w:t>any </w:t>
      </w:r>
      <w:r>
        <w:rPr>
          <w:w w:val="105"/>
          <w:sz w:val="20"/>
        </w:rPr>
        <w:t>part of such commission or amount, is </w:t>
      </w:r>
      <w:r>
        <w:rPr>
          <w:spacing w:val="-3"/>
          <w:w w:val="105"/>
          <w:sz w:val="20"/>
        </w:rPr>
        <w:t>excessive, </w:t>
      </w:r>
      <w:r>
        <w:rPr>
          <w:w w:val="105"/>
          <w:sz w:val="20"/>
        </w:rPr>
        <w:t>the Court </w:t>
      </w:r>
      <w:r>
        <w:rPr>
          <w:spacing w:val="-5"/>
          <w:w w:val="105"/>
          <w:sz w:val="20"/>
        </w:rPr>
        <w:t>may, </w:t>
      </w:r>
      <w:r>
        <w:rPr>
          <w:w w:val="105"/>
          <w:sz w:val="20"/>
        </w:rPr>
        <w:t>of its own motion, or on the motion of </w:t>
      </w:r>
      <w:r>
        <w:rPr>
          <w:spacing w:val="-2"/>
          <w:w w:val="105"/>
          <w:sz w:val="20"/>
        </w:rPr>
        <w:t>any </w:t>
      </w:r>
      <w:r>
        <w:rPr>
          <w:w w:val="105"/>
          <w:sz w:val="20"/>
        </w:rPr>
        <w:t>person interested in the estate, review the commission, </w:t>
      </w:r>
      <w:r>
        <w:rPr>
          <w:spacing w:val="-2"/>
          <w:w w:val="105"/>
          <w:sz w:val="20"/>
        </w:rPr>
        <w:t>amount </w:t>
      </w:r>
      <w:r>
        <w:rPr>
          <w:w w:val="105"/>
          <w:sz w:val="20"/>
        </w:rPr>
        <w:t>or part and </w:t>
      </w:r>
      <w:r>
        <w:rPr>
          <w:spacing w:val="-5"/>
          <w:w w:val="105"/>
          <w:sz w:val="20"/>
        </w:rPr>
        <w:t>may, </w:t>
      </w:r>
      <w:r>
        <w:rPr>
          <w:w w:val="105"/>
          <w:sz w:val="20"/>
        </w:rPr>
        <w:t>on that</w:t>
      </w:r>
      <w:r>
        <w:rPr>
          <w:spacing w:val="-3"/>
          <w:w w:val="105"/>
          <w:sz w:val="20"/>
        </w:rPr>
        <w:t> review,</w:t>
      </w:r>
    </w:p>
    <w:p>
      <w:pPr>
        <w:spacing w:line="254" w:lineRule="auto" w:before="5"/>
        <w:ind w:left="2721" w:right="1556" w:firstLine="0"/>
        <w:jc w:val="left"/>
        <w:rPr>
          <w:sz w:val="20"/>
        </w:rPr>
      </w:pPr>
      <w:r>
        <w:rPr>
          <w:w w:val="105"/>
          <w:sz w:val="20"/>
        </w:rPr>
        <w:t>notwithstanding </w:t>
      </w:r>
      <w:r>
        <w:rPr>
          <w:spacing w:val="-2"/>
          <w:w w:val="105"/>
          <w:sz w:val="20"/>
        </w:rPr>
        <w:t>any </w:t>
      </w:r>
      <w:r>
        <w:rPr>
          <w:w w:val="105"/>
          <w:sz w:val="20"/>
        </w:rPr>
        <w:t>provision contained in a will authorising the </w:t>
      </w:r>
      <w:r>
        <w:rPr>
          <w:spacing w:val="-3"/>
          <w:w w:val="105"/>
          <w:sz w:val="20"/>
        </w:rPr>
        <w:t>charging </w:t>
      </w:r>
      <w:r>
        <w:rPr>
          <w:w w:val="105"/>
          <w:sz w:val="20"/>
        </w:rPr>
        <w:t>of commission, </w:t>
      </w:r>
      <w:r>
        <w:rPr>
          <w:spacing w:val="-2"/>
          <w:w w:val="105"/>
          <w:sz w:val="20"/>
        </w:rPr>
        <w:t>amount </w:t>
      </w:r>
      <w:r>
        <w:rPr>
          <w:w w:val="105"/>
          <w:sz w:val="20"/>
        </w:rPr>
        <w:t>or part, reduce that commission, </w:t>
      </w:r>
      <w:r>
        <w:rPr>
          <w:spacing w:val="-2"/>
          <w:w w:val="105"/>
          <w:sz w:val="20"/>
        </w:rPr>
        <w:t>amount </w:t>
      </w:r>
      <w:r>
        <w:rPr>
          <w:w w:val="105"/>
          <w:sz w:val="20"/>
        </w:rPr>
        <w:t>or part.</w:t>
      </w:r>
    </w:p>
    <w:p>
      <w:pPr>
        <w:pStyle w:val="ListParagraph"/>
        <w:numPr>
          <w:ilvl w:val="1"/>
          <w:numId w:val="22"/>
        </w:numPr>
        <w:tabs>
          <w:tab w:pos="2381" w:val="left" w:leader="none"/>
          <w:tab w:pos="2382" w:val="left" w:leader="none"/>
        </w:tabs>
        <w:spacing w:line="242" w:lineRule="auto" w:before="113" w:after="0"/>
        <w:ind w:left="2381" w:right="1739" w:hanging="794"/>
        <w:jc w:val="left"/>
        <w:rPr>
          <w:sz w:val="12"/>
        </w:rPr>
      </w:pPr>
      <w:r>
        <w:rPr>
          <w:sz w:val="21"/>
        </w:rPr>
        <w:t>It </w:t>
      </w:r>
      <w:r>
        <w:rPr>
          <w:spacing w:val="-2"/>
          <w:sz w:val="21"/>
        </w:rPr>
        <w:t>has </w:t>
      </w:r>
      <w:r>
        <w:rPr>
          <w:sz w:val="21"/>
        </w:rPr>
        <w:t>been in </w:t>
      </w:r>
      <w:r>
        <w:rPr>
          <w:spacing w:val="-3"/>
          <w:sz w:val="21"/>
        </w:rPr>
        <w:t>force since </w:t>
      </w:r>
      <w:r>
        <w:rPr>
          <w:spacing w:val="-7"/>
          <w:sz w:val="21"/>
        </w:rPr>
        <w:t>1981and </w:t>
      </w:r>
      <w:r>
        <w:rPr>
          <w:sz w:val="21"/>
        </w:rPr>
        <w:t>no other jurisdiction </w:t>
      </w:r>
      <w:r>
        <w:rPr>
          <w:spacing w:val="-2"/>
          <w:sz w:val="21"/>
        </w:rPr>
        <w:t>has </w:t>
      </w:r>
      <w:r>
        <w:rPr>
          <w:sz w:val="21"/>
        </w:rPr>
        <w:t>an </w:t>
      </w:r>
      <w:r>
        <w:rPr>
          <w:spacing w:val="-3"/>
          <w:sz w:val="21"/>
        </w:rPr>
        <w:t>equivalent provision. </w:t>
      </w:r>
      <w:r>
        <w:rPr>
          <w:spacing w:val="-4"/>
          <w:sz w:val="21"/>
        </w:rPr>
        <w:t>However, </w:t>
      </w:r>
      <w:r>
        <w:rPr>
          <w:spacing w:val="-3"/>
          <w:sz w:val="21"/>
        </w:rPr>
        <w:t>until </w:t>
      </w:r>
      <w:r>
        <w:rPr>
          <w:spacing w:val="-4"/>
          <w:sz w:val="21"/>
        </w:rPr>
        <w:t>recently, </w:t>
      </w:r>
      <w:r>
        <w:rPr>
          <w:sz w:val="21"/>
        </w:rPr>
        <w:t>the trustee </w:t>
      </w:r>
      <w:r>
        <w:rPr>
          <w:spacing w:val="-3"/>
          <w:sz w:val="21"/>
        </w:rPr>
        <w:t>legislation </w:t>
      </w:r>
      <w:r>
        <w:rPr>
          <w:sz w:val="21"/>
        </w:rPr>
        <w:t>in every state and territory other </w:t>
      </w:r>
      <w:r>
        <w:rPr>
          <w:spacing w:val="-3"/>
          <w:sz w:val="21"/>
        </w:rPr>
        <w:t>than </w:t>
      </w:r>
      <w:r>
        <w:rPr>
          <w:sz w:val="21"/>
        </w:rPr>
        <w:t>Western </w:t>
      </w:r>
      <w:r>
        <w:rPr>
          <w:spacing w:val="-3"/>
          <w:sz w:val="21"/>
        </w:rPr>
        <w:t>Australia </w:t>
      </w:r>
      <w:r>
        <w:rPr>
          <w:spacing w:val="-2"/>
          <w:sz w:val="21"/>
        </w:rPr>
        <w:t>empowered </w:t>
      </w:r>
      <w:r>
        <w:rPr>
          <w:sz w:val="21"/>
        </w:rPr>
        <w:t>the court </w:t>
      </w:r>
      <w:r>
        <w:rPr>
          <w:spacing w:val="-3"/>
          <w:sz w:val="21"/>
        </w:rPr>
        <w:t>to </w:t>
      </w:r>
      <w:r>
        <w:rPr>
          <w:sz w:val="21"/>
        </w:rPr>
        <w:t>review </w:t>
      </w:r>
      <w:r>
        <w:rPr>
          <w:spacing w:val="-3"/>
          <w:sz w:val="21"/>
        </w:rPr>
        <w:t>commission </w:t>
      </w:r>
      <w:r>
        <w:rPr>
          <w:sz w:val="21"/>
        </w:rPr>
        <w:t>or fees </w:t>
      </w:r>
      <w:r>
        <w:rPr>
          <w:spacing w:val="-3"/>
          <w:sz w:val="21"/>
        </w:rPr>
        <w:t>payable to </w:t>
      </w:r>
      <w:r>
        <w:rPr>
          <w:sz w:val="21"/>
        </w:rPr>
        <w:t>trustee </w:t>
      </w:r>
      <w:r>
        <w:rPr>
          <w:spacing w:val="-3"/>
          <w:sz w:val="21"/>
        </w:rPr>
        <w:t>companies</w:t>
      </w:r>
      <w:r>
        <w:rPr>
          <w:spacing w:val="10"/>
          <w:sz w:val="21"/>
        </w:rPr>
        <w:t> </w:t>
      </w:r>
      <w:r>
        <w:rPr>
          <w:sz w:val="21"/>
        </w:rPr>
        <w:t>in</w:t>
      </w:r>
      <w:r>
        <w:rPr>
          <w:spacing w:val="11"/>
          <w:sz w:val="21"/>
        </w:rPr>
        <w:t> </w:t>
      </w:r>
      <w:r>
        <w:rPr>
          <w:spacing w:val="-3"/>
          <w:sz w:val="21"/>
        </w:rPr>
        <w:t>relation</w:t>
      </w:r>
      <w:r>
        <w:rPr>
          <w:spacing w:val="10"/>
          <w:sz w:val="21"/>
        </w:rPr>
        <w:t> </w:t>
      </w:r>
      <w:r>
        <w:rPr>
          <w:spacing w:val="-3"/>
          <w:sz w:val="21"/>
        </w:rPr>
        <w:t>to</w:t>
      </w:r>
      <w:r>
        <w:rPr>
          <w:spacing w:val="11"/>
          <w:sz w:val="21"/>
        </w:rPr>
        <w:t> </w:t>
      </w:r>
      <w:r>
        <w:rPr>
          <w:sz w:val="21"/>
        </w:rPr>
        <w:t>the</w:t>
      </w:r>
      <w:r>
        <w:rPr>
          <w:spacing w:val="10"/>
          <w:sz w:val="21"/>
        </w:rPr>
        <w:t> </w:t>
      </w:r>
      <w:r>
        <w:rPr>
          <w:spacing w:val="-3"/>
          <w:sz w:val="21"/>
        </w:rPr>
        <w:t>administration</w:t>
      </w:r>
      <w:r>
        <w:rPr>
          <w:spacing w:val="11"/>
          <w:sz w:val="21"/>
        </w:rPr>
        <w:t> </w:t>
      </w:r>
      <w:r>
        <w:rPr>
          <w:sz w:val="21"/>
        </w:rPr>
        <w:t>of</w:t>
      </w:r>
      <w:r>
        <w:rPr>
          <w:spacing w:val="10"/>
          <w:sz w:val="21"/>
        </w:rPr>
        <w:t> </w:t>
      </w:r>
      <w:r>
        <w:rPr>
          <w:spacing w:val="-4"/>
          <w:sz w:val="21"/>
        </w:rPr>
        <w:t>estates.</w:t>
      </w:r>
      <w:r>
        <w:rPr>
          <w:spacing w:val="-4"/>
          <w:position w:val="7"/>
          <w:sz w:val="12"/>
        </w:rPr>
        <w:t>135</w:t>
      </w:r>
    </w:p>
    <w:p>
      <w:pPr>
        <w:pStyle w:val="BodyText"/>
        <w:rPr>
          <w:sz w:val="27"/>
        </w:rPr>
      </w:pPr>
    </w:p>
    <w:p>
      <w:pPr>
        <w:pStyle w:val="Heading6"/>
        <w:spacing w:before="1"/>
      </w:pPr>
      <w:r>
        <w:rPr>
          <w:w w:val="110"/>
        </w:rPr>
        <w:t>Other proposals</w:t>
      </w:r>
    </w:p>
    <w:p>
      <w:pPr>
        <w:pStyle w:val="ListParagraph"/>
        <w:numPr>
          <w:ilvl w:val="1"/>
          <w:numId w:val="22"/>
        </w:numPr>
        <w:tabs>
          <w:tab w:pos="2380" w:val="left" w:leader="none"/>
          <w:tab w:pos="2381" w:val="left" w:leader="none"/>
        </w:tabs>
        <w:spacing w:line="242" w:lineRule="auto" w:before="151" w:after="0"/>
        <w:ind w:left="2381" w:right="1837" w:hanging="794"/>
        <w:jc w:val="left"/>
        <w:rPr>
          <w:sz w:val="12"/>
        </w:rPr>
      </w:pPr>
      <w:r>
        <w:rPr>
          <w:spacing w:val="-2"/>
          <w:sz w:val="21"/>
        </w:rPr>
        <w:t>Within </w:t>
      </w:r>
      <w:r>
        <w:rPr>
          <w:sz w:val="21"/>
        </w:rPr>
        <w:t>Victoria, the  </w:t>
      </w:r>
      <w:r>
        <w:rPr>
          <w:spacing w:val="-3"/>
          <w:sz w:val="21"/>
        </w:rPr>
        <w:t>Supreme  Court’s  Probate  </w:t>
      </w:r>
      <w:r>
        <w:rPr>
          <w:sz w:val="21"/>
        </w:rPr>
        <w:t>Users  </w:t>
      </w:r>
      <w:r>
        <w:rPr>
          <w:spacing w:val="-3"/>
          <w:sz w:val="21"/>
        </w:rPr>
        <w:t>Committee  </w:t>
      </w:r>
      <w:r>
        <w:rPr>
          <w:sz w:val="21"/>
        </w:rPr>
        <w:t>and  the  Law  </w:t>
      </w:r>
      <w:r>
        <w:rPr>
          <w:spacing w:val="-3"/>
          <w:sz w:val="21"/>
        </w:rPr>
        <w:t>Institute </w:t>
      </w:r>
      <w:r>
        <w:rPr>
          <w:sz w:val="21"/>
        </w:rPr>
        <w:t>of Victoria </w:t>
      </w:r>
      <w:r>
        <w:rPr>
          <w:spacing w:val="-3"/>
          <w:sz w:val="21"/>
        </w:rPr>
        <w:t>have </w:t>
      </w:r>
      <w:r>
        <w:rPr>
          <w:sz w:val="21"/>
        </w:rPr>
        <w:t>developed </w:t>
      </w:r>
      <w:r>
        <w:rPr>
          <w:spacing w:val="-3"/>
          <w:sz w:val="21"/>
        </w:rPr>
        <w:t>separate </w:t>
      </w:r>
      <w:r>
        <w:rPr>
          <w:sz w:val="21"/>
        </w:rPr>
        <w:t>proposals in </w:t>
      </w:r>
      <w:r>
        <w:rPr>
          <w:spacing w:val="-3"/>
          <w:sz w:val="21"/>
        </w:rPr>
        <w:t>recent </w:t>
      </w:r>
      <w:r>
        <w:rPr>
          <w:sz w:val="21"/>
        </w:rPr>
        <w:t>years </w:t>
      </w:r>
      <w:r>
        <w:rPr>
          <w:spacing w:val="-3"/>
          <w:sz w:val="21"/>
        </w:rPr>
        <w:t>to </w:t>
      </w:r>
      <w:r>
        <w:rPr>
          <w:sz w:val="21"/>
        </w:rPr>
        <w:t>empower the </w:t>
      </w:r>
      <w:r>
        <w:rPr>
          <w:spacing w:val="-3"/>
          <w:sz w:val="21"/>
        </w:rPr>
        <w:t>Supreme Court to </w:t>
      </w:r>
      <w:r>
        <w:rPr>
          <w:sz w:val="21"/>
        </w:rPr>
        <w:t>review and </w:t>
      </w:r>
      <w:r>
        <w:rPr>
          <w:spacing w:val="-3"/>
          <w:sz w:val="21"/>
        </w:rPr>
        <w:t>reduce </w:t>
      </w:r>
      <w:r>
        <w:rPr>
          <w:sz w:val="21"/>
        </w:rPr>
        <w:t>amounts </w:t>
      </w:r>
      <w:r>
        <w:rPr>
          <w:spacing w:val="-3"/>
          <w:sz w:val="21"/>
        </w:rPr>
        <w:t>charged </w:t>
      </w:r>
      <w:r>
        <w:rPr>
          <w:sz w:val="21"/>
        </w:rPr>
        <w:t>by an </w:t>
      </w:r>
      <w:r>
        <w:rPr>
          <w:spacing w:val="-3"/>
          <w:sz w:val="21"/>
        </w:rPr>
        <w:t>executor </w:t>
      </w:r>
      <w:r>
        <w:rPr>
          <w:sz w:val="21"/>
        </w:rPr>
        <w:t>or </w:t>
      </w:r>
      <w:r>
        <w:rPr>
          <w:spacing w:val="-4"/>
          <w:sz w:val="21"/>
        </w:rPr>
        <w:t>administrator. </w:t>
      </w:r>
      <w:r>
        <w:rPr>
          <w:sz w:val="21"/>
        </w:rPr>
        <w:t>Both proposals would insert a new section </w:t>
      </w:r>
      <w:r>
        <w:rPr>
          <w:spacing w:val="-4"/>
          <w:sz w:val="21"/>
        </w:rPr>
        <w:t>65A into </w:t>
      </w:r>
      <w:r>
        <w:rPr>
          <w:sz w:val="21"/>
        </w:rPr>
        <w:t>the </w:t>
      </w:r>
      <w:r>
        <w:rPr>
          <w:spacing w:val="-3"/>
          <w:sz w:val="21"/>
        </w:rPr>
        <w:t>Administration </w:t>
      </w:r>
      <w:r>
        <w:rPr>
          <w:sz w:val="21"/>
        </w:rPr>
        <w:t>and </w:t>
      </w:r>
      <w:r>
        <w:rPr>
          <w:spacing w:val="-3"/>
          <w:sz w:val="21"/>
        </w:rPr>
        <w:t>Probate </w:t>
      </w:r>
      <w:r>
        <w:rPr>
          <w:sz w:val="21"/>
        </w:rPr>
        <w:t>Act but differ </w:t>
      </w:r>
      <w:r>
        <w:rPr>
          <w:spacing w:val="-3"/>
          <w:sz w:val="21"/>
        </w:rPr>
        <w:t>from </w:t>
      </w:r>
      <w:r>
        <w:rPr>
          <w:sz w:val="21"/>
        </w:rPr>
        <w:t>each other with </w:t>
      </w:r>
      <w:r>
        <w:rPr>
          <w:spacing w:val="-3"/>
          <w:sz w:val="21"/>
        </w:rPr>
        <w:t>regard to </w:t>
      </w:r>
      <w:r>
        <w:rPr>
          <w:sz w:val="21"/>
        </w:rPr>
        <w:t>the scope of the </w:t>
      </w:r>
      <w:r>
        <w:rPr>
          <w:spacing w:val="-3"/>
          <w:sz w:val="21"/>
        </w:rPr>
        <w:t>Court’s</w:t>
      </w:r>
      <w:r>
        <w:rPr>
          <w:spacing w:val="34"/>
          <w:sz w:val="21"/>
        </w:rPr>
        <w:t> </w:t>
      </w:r>
      <w:r>
        <w:rPr>
          <w:spacing w:val="-6"/>
          <w:sz w:val="21"/>
        </w:rPr>
        <w:t>power.</w:t>
      </w:r>
      <w:r>
        <w:rPr>
          <w:spacing w:val="-6"/>
          <w:position w:val="7"/>
          <w:sz w:val="12"/>
        </w:rPr>
        <w:t>136</w:t>
      </w:r>
    </w:p>
    <w:p>
      <w:pPr>
        <w:pStyle w:val="ListParagraph"/>
        <w:numPr>
          <w:ilvl w:val="1"/>
          <w:numId w:val="22"/>
        </w:numPr>
        <w:tabs>
          <w:tab w:pos="2381" w:val="left" w:leader="none"/>
          <w:tab w:pos="2382" w:val="left" w:leader="none"/>
        </w:tabs>
        <w:spacing w:line="242" w:lineRule="auto" w:before="125" w:after="0"/>
        <w:ind w:left="2381" w:right="1802" w:hanging="794"/>
        <w:jc w:val="left"/>
        <w:rPr>
          <w:sz w:val="21"/>
        </w:rPr>
      </w:pPr>
      <w:r>
        <w:rPr>
          <w:w w:val="105"/>
          <w:sz w:val="21"/>
        </w:rPr>
        <w:t>The</w:t>
      </w:r>
      <w:r>
        <w:rPr>
          <w:spacing w:val="-10"/>
          <w:w w:val="105"/>
          <w:sz w:val="21"/>
        </w:rPr>
        <w:t> </w:t>
      </w:r>
      <w:r>
        <w:rPr>
          <w:spacing w:val="-4"/>
          <w:w w:val="105"/>
          <w:sz w:val="21"/>
        </w:rPr>
        <w:t>Commission’s</w:t>
      </w:r>
      <w:r>
        <w:rPr>
          <w:spacing w:val="-10"/>
          <w:w w:val="105"/>
          <w:sz w:val="21"/>
        </w:rPr>
        <w:t> </w:t>
      </w:r>
      <w:r>
        <w:rPr>
          <w:spacing w:val="-3"/>
          <w:w w:val="105"/>
          <w:sz w:val="21"/>
        </w:rPr>
        <w:t>consultation</w:t>
      </w:r>
      <w:r>
        <w:rPr>
          <w:spacing w:val="-10"/>
          <w:w w:val="105"/>
          <w:sz w:val="21"/>
        </w:rPr>
        <w:t> </w:t>
      </w:r>
      <w:r>
        <w:rPr>
          <w:w w:val="105"/>
          <w:sz w:val="21"/>
        </w:rPr>
        <w:t>paper</w:t>
      </w:r>
      <w:r>
        <w:rPr>
          <w:spacing w:val="-10"/>
          <w:w w:val="105"/>
          <w:sz w:val="21"/>
        </w:rPr>
        <w:t> </w:t>
      </w:r>
      <w:r>
        <w:rPr>
          <w:w w:val="105"/>
          <w:sz w:val="21"/>
        </w:rPr>
        <w:t>on</w:t>
      </w:r>
      <w:r>
        <w:rPr>
          <w:spacing w:val="-10"/>
          <w:w w:val="105"/>
          <w:sz w:val="21"/>
        </w:rPr>
        <w:t> </w:t>
      </w:r>
      <w:r>
        <w:rPr>
          <w:w w:val="105"/>
          <w:sz w:val="21"/>
        </w:rPr>
        <w:t>executors</w:t>
      </w:r>
      <w:r>
        <w:rPr>
          <w:spacing w:val="-10"/>
          <w:w w:val="105"/>
          <w:sz w:val="21"/>
        </w:rPr>
        <w:t> </w:t>
      </w:r>
      <w:r>
        <w:rPr>
          <w:w w:val="105"/>
          <w:sz w:val="21"/>
        </w:rPr>
        <w:t>discussed</w:t>
      </w:r>
      <w:r>
        <w:rPr>
          <w:spacing w:val="-10"/>
          <w:w w:val="105"/>
          <w:sz w:val="21"/>
        </w:rPr>
        <w:t> </w:t>
      </w:r>
      <w:r>
        <w:rPr>
          <w:w w:val="105"/>
          <w:sz w:val="21"/>
        </w:rPr>
        <w:t>these</w:t>
      </w:r>
      <w:r>
        <w:rPr>
          <w:spacing w:val="-10"/>
          <w:w w:val="105"/>
          <w:sz w:val="21"/>
        </w:rPr>
        <w:t> </w:t>
      </w:r>
      <w:r>
        <w:rPr>
          <w:w w:val="105"/>
          <w:sz w:val="21"/>
        </w:rPr>
        <w:t>proposals</w:t>
      </w:r>
      <w:r>
        <w:rPr>
          <w:spacing w:val="-10"/>
          <w:w w:val="105"/>
          <w:sz w:val="21"/>
        </w:rPr>
        <w:t> </w:t>
      </w:r>
      <w:r>
        <w:rPr>
          <w:w w:val="105"/>
          <w:sz w:val="21"/>
        </w:rPr>
        <w:t>and</w:t>
      </w:r>
      <w:r>
        <w:rPr>
          <w:spacing w:val="-10"/>
          <w:w w:val="105"/>
          <w:sz w:val="21"/>
        </w:rPr>
        <w:t> </w:t>
      </w:r>
      <w:r>
        <w:rPr>
          <w:spacing w:val="-3"/>
          <w:w w:val="105"/>
          <w:sz w:val="21"/>
        </w:rPr>
        <w:t>asked </w:t>
      </w:r>
      <w:r>
        <w:rPr>
          <w:w w:val="105"/>
          <w:sz w:val="21"/>
        </w:rPr>
        <w:t>whether the </w:t>
      </w:r>
      <w:r>
        <w:rPr>
          <w:spacing w:val="-3"/>
          <w:w w:val="105"/>
          <w:sz w:val="21"/>
        </w:rPr>
        <w:t>Supreme Court </w:t>
      </w:r>
      <w:r>
        <w:rPr>
          <w:w w:val="105"/>
          <w:sz w:val="21"/>
        </w:rPr>
        <w:t>of Victoria should </w:t>
      </w:r>
      <w:r>
        <w:rPr>
          <w:spacing w:val="-3"/>
          <w:w w:val="105"/>
          <w:sz w:val="21"/>
        </w:rPr>
        <w:t>have </w:t>
      </w:r>
      <w:r>
        <w:rPr>
          <w:w w:val="105"/>
          <w:sz w:val="21"/>
        </w:rPr>
        <w:t>the power </w:t>
      </w:r>
      <w:r>
        <w:rPr>
          <w:spacing w:val="-3"/>
          <w:w w:val="105"/>
          <w:sz w:val="21"/>
        </w:rPr>
        <w:t>to </w:t>
      </w:r>
      <w:r>
        <w:rPr>
          <w:w w:val="105"/>
          <w:sz w:val="21"/>
        </w:rPr>
        <w:t>review amounts </w:t>
      </w:r>
      <w:r>
        <w:rPr>
          <w:spacing w:val="-3"/>
          <w:w w:val="105"/>
          <w:sz w:val="21"/>
        </w:rPr>
        <w:t>charged </w:t>
      </w:r>
      <w:r>
        <w:rPr>
          <w:w w:val="105"/>
          <w:sz w:val="21"/>
        </w:rPr>
        <w:t>by executors </w:t>
      </w:r>
      <w:r>
        <w:rPr>
          <w:spacing w:val="-3"/>
          <w:w w:val="105"/>
          <w:sz w:val="21"/>
        </w:rPr>
        <w:t>and, </w:t>
      </w:r>
      <w:r>
        <w:rPr>
          <w:w w:val="105"/>
          <w:sz w:val="21"/>
        </w:rPr>
        <w:t>if </w:t>
      </w:r>
      <w:r>
        <w:rPr>
          <w:spacing w:val="-3"/>
          <w:w w:val="105"/>
          <w:sz w:val="21"/>
        </w:rPr>
        <w:t>so, </w:t>
      </w:r>
      <w:r>
        <w:rPr>
          <w:w w:val="105"/>
          <w:sz w:val="21"/>
        </w:rPr>
        <w:t>what the scope and </w:t>
      </w:r>
      <w:r>
        <w:rPr>
          <w:spacing w:val="-3"/>
          <w:w w:val="105"/>
          <w:sz w:val="21"/>
        </w:rPr>
        <w:t>nature </w:t>
      </w:r>
      <w:r>
        <w:rPr>
          <w:w w:val="105"/>
          <w:sz w:val="21"/>
        </w:rPr>
        <w:t>of the power should</w:t>
      </w:r>
      <w:r>
        <w:rPr>
          <w:spacing w:val="4"/>
          <w:w w:val="105"/>
          <w:sz w:val="21"/>
        </w:rPr>
        <w:t> </w:t>
      </w:r>
      <w:r>
        <w:rPr>
          <w:spacing w:val="-3"/>
          <w:w w:val="105"/>
          <w:sz w:val="21"/>
        </w:rPr>
        <w:t>be.</w:t>
      </w:r>
    </w:p>
    <w:p>
      <w:pPr>
        <w:pStyle w:val="ListParagraph"/>
        <w:numPr>
          <w:ilvl w:val="1"/>
          <w:numId w:val="22"/>
        </w:numPr>
        <w:tabs>
          <w:tab w:pos="2381" w:val="left" w:leader="none"/>
          <w:tab w:pos="2382" w:val="left" w:leader="none"/>
        </w:tabs>
        <w:spacing w:line="242" w:lineRule="auto" w:before="124" w:after="0"/>
        <w:ind w:left="2381" w:right="1827" w:hanging="794"/>
        <w:jc w:val="left"/>
        <w:rPr>
          <w:sz w:val="12"/>
        </w:rPr>
      </w:pPr>
      <w:r>
        <w:rPr>
          <w:sz w:val="21"/>
        </w:rPr>
        <w:t>All </w:t>
      </w:r>
      <w:r>
        <w:rPr>
          <w:spacing w:val="-3"/>
          <w:sz w:val="21"/>
        </w:rPr>
        <w:t>submissions </w:t>
      </w:r>
      <w:r>
        <w:rPr>
          <w:sz w:val="21"/>
        </w:rPr>
        <w:t>received in response </w:t>
      </w:r>
      <w:r>
        <w:rPr>
          <w:spacing w:val="-3"/>
          <w:sz w:val="21"/>
        </w:rPr>
        <w:t>to </w:t>
      </w:r>
      <w:r>
        <w:rPr>
          <w:sz w:val="21"/>
        </w:rPr>
        <w:t>the paper </w:t>
      </w:r>
      <w:r>
        <w:rPr>
          <w:spacing w:val="-3"/>
          <w:sz w:val="21"/>
        </w:rPr>
        <w:t>favoured </w:t>
      </w:r>
      <w:r>
        <w:rPr>
          <w:sz w:val="21"/>
        </w:rPr>
        <w:t>the introduction of a review process, particularly as it would apply </w:t>
      </w:r>
      <w:r>
        <w:rPr>
          <w:spacing w:val="-3"/>
          <w:sz w:val="21"/>
        </w:rPr>
        <w:t>to all </w:t>
      </w:r>
      <w:r>
        <w:rPr>
          <w:sz w:val="21"/>
        </w:rPr>
        <w:t>executors, but they put forward </w:t>
      </w:r>
      <w:r>
        <w:rPr>
          <w:spacing w:val="-3"/>
          <w:sz w:val="21"/>
        </w:rPr>
        <w:t>disparate </w:t>
      </w:r>
      <w:r>
        <w:rPr>
          <w:sz w:val="21"/>
        </w:rPr>
        <w:t>views about the details. The </w:t>
      </w:r>
      <w:r>
        <w:rPr>
          <w:spacing w:val="-3"/>
          <w:sz w:val="21"/>
        </w:rPr>
        <w:t>Supreme Court’s submission favours </w:t>
      </w:r>
      <w:r>
        <w:rPr>
          <w:sz w:val="21"/>
        </w:rPr>
        <w:t>adopting the </w:t>
      </w:r>
      <w:r>
        <w:rPr>
          <w:spacing w:val="-3"/>
          <w:sz w:val="21"/>
        </w:rPr>
        <w:t>National </w:t>
      </w:r>
      <w:r>
        <w:rPr>
          <w:spacing w:val="-4"/>
          <w:sz w:val="21"/>
        </w:rPr>
        <w:t>Committee’s </w:t>
      </w:r>
      <w:r>
        <w:rPr>
          <w:sz w:val="21"/>
        </w:rPr>
        <w:t>model unless there is a </w:t>
      </w:r>
      <w:r>
        <w:rPr>
          <w:spacing w:val="-2"/>
          <w:sz w:val="21"/>
        </w:rPr>
        <w:t>demonstrated </w:t>
      </w:r>
      <w:r>
        <w:rPr>
          <w:sz w:val="21"/>
        </w:rPr>
        <w:t>policy reason </w:t>
      </w:r>
      <w:r>
        <w:rPr>
          <w:spacing w:val="-3"/>
          <w:sz w:val="21"/>
        </w:rPr>
        <w:t>to </w:t>
      </w:r>
      <w:r>
        <w:rPr>
          <w:sz w:val="21"/>
        </w:rPr>
        <w:t>depart</w:t>
      </w:r>
      <w:r>
        <w:rPr>
          <w:spacing w:val="2"/>
          <w:sz w:val="21"/>
        </w:rPr>
        <w:t> </w:t>
      </w:r>
      <w:r>
        <w:rPr>
          <w:spacing w:val="-3"/>
          <w:sz w:val="21"/>
        </w:rPr>
        <w:t>from </w:t>
      </w:r>
      <w:r>
        <w:rPr>
          <w:spacing w:val="-6"/>
          <w:sz w:val="21"/>
        </w:rPr>
        <w:t>it.</w:t>
      </w:r>
      <w:r>
        <w:rPr>
          <w:spacing w:val="-6"/>
          <w:position w:val="7"/>
          <w:sz w:val="12"/>
        </w:rPr>
        <w:t>137</w:t>
      </w:r>
    </w:p>
    <w:p>
      <w:pPr>
        <w:pStyle w:val="BodyText"/>
        <w:rPr>
          <w:sz w:val="27"/>
        </w:rPr>
      </w:pPr>
    </w:p>
    <w:p>
      <w:pPr>
        <w:pStyle w:val="Heading6"/>
      </w:pPr>
      <w:r>
        <w:rPr>
          <w:w w:val="115"/>
        </w:rPr>
        <w:t>The Commission’s approach</w:t>
      </w:r>
    </w:p>
    <w:p>
      <w:pPr>
        <w:pStyle w:val="ListParagraph"/>
        <w:numPr>
          <w:ilvl w:val="1"/>
          <w:numId w:val="22"/>
        </w:numPr>
        <w:tabs>
          <w:tab w:pos="2380" w:val="left" w:leader="none"/>
          <w:tab w:pos="2381" w:val="left" w:leader="none"/>
        </w:tabs>
        <w:spacing w:line="242" w:lineRule="auto" w:before="151" w:after="0"/>
        <w:ind w:left="2381" w:right="2237" w:hanging="794"/>
        <w:jc w:val="left"/>
        <w:rPr>
          <w:sz w:val="21"/>
        </w:rPr>
      </w:pPr>
      <w:r>
        <w:rPr>
          <w:w w:val="105"/>
          <w:sz w:val="21"/>
        </w:rPr>
        <w:t>The</w:t>
      </w:r>
      <w:r>
        <w:rPr>
          <w:spacing w:val="-8"/>
          <w:w w:val="105"/>
          <w:sz w:val="21"/>
        </w:rPr>
        <w:t> </w:t>
      </w:r>
      <w:r>
        <w:rPr>
          <w:spacing w:val="-3"/>
          <w:w w:val="105"/>
          <w:sz w:val="21"/>
        </w:rPr>
        <w:t>Commission</w:t>
      </w:r>
      <w:r>
        <w:rPr>
          <w:spacing w:val="-7"/>
          <w:w w:val="105"/>
          <w:sz w:val="21"/>
        </w:rPr>
        <w:t> </w:t>
      </w:r>
      <w:r>
        <w:rPr>
          <w:w w:val="105"/>
          <w:sz w:val="21"/>
        </w:rPr>
        <w:t>supports</w:t>
      </w:r>
      <w:r>
        <w:rPr>
          <w:spacing w:val="-7"/>
          <w:w w:val="105"/>
          <w:sz w:val="21"/>
        </w:rPr>
        <w:t> </w:t>
      </w:r>
      <w:r>
        <w:rPr>
          <w:w w:val="105"/>
          <w:sz w:val="21"/>
        </w:rPr>
        <w:t>in</w:t>
      </w:r>
      <w:r>
        <w:rPr>
          <w:spacing w:val="-7"/>
          <w:w w:val="105"/>
          <w:sz w:val="21"/>
        </w:rPr>
        <w:t> </w:t>
      </w:r>
      <w:r>
        <w:rPr>
          <w:spacing w:val="-3"/>
          <w:w w:val="105"/>
          <w:sz w:val="21"/>
        </w:rPr>
        <w:t>principle</w:t>
      </w:r>
      <w:r>
        <w:rPr>
          <w:spacing w:val="-7"/>
          <w:w w:val="105"/>
          <w:sz w:val="21"/>
        </w:rPr>
        <w:t> </w:t>
      </w:r>
      <w:r>
        <w:rPr>
          <w:spacing w:val="-3"/>
          <w:w w:val="105"/>
          <w:sz w:val="21"/>
        </w:rPr>
        <w:t>reforms</w:t>
      </w:r>
      <w:r>
        <w:rPr>
          <w:spacing w:val="-7"/>
          <w:w w:val="105"/>
          <w:sz w:val="21"/>
        </w:rPr>
        <w:t> </w:t>
      </w:r>
      <w:r>
        <w:rPr>
          <w:spacing w:val="-3"/>
          <w:w w:val="105"/>
          <w:sz w:val="21"/>
        </w:rPr>
        <w:t>that</w:t>
      </w:r>
      <w:r>
        <w:rPr>
          <w:spacing w:val="-7"/>
          <w:w w:val="105"/>
          <w:sz w:val="21"/>
        </w:rPr>
        <w:t> </w:t>
      </w:r>
      <w:r>
        <w:rPr>
          <w:spacing w:val="-3"/>
          <w:w w:val="105"/>
          <w:sz w:val="21"/>
        </w:rPr>
        <w:t>promote</w:t>
      </w:r>
      <w:r>
        <w:rPr>
          <w:spacing w:val="-8"/>
          <w:w w:val="105"/>
          <w:sz w:val="21"/>
        </w:rPr>
        <w:t> </w:t>
      </w:r>
      <w:r>
        <w:rPr>
          <w:spacing w:val="-3"/>
          <w:w w:val="105"/>
          <w:sz w:val="21"/>
        </w:rPr>
        <w:t>national</w:t>
      </w:r>
      <w:r>
        <w:rPr>
          <w:spacing w:val="-7"/>
          <w:w w:val="105"/>
          <w:sz w:val="21"/>
        </w:rPr>
        <w:t> </w:t>
      </w:r>
      <w:r>
        <w:rPr>
          <w:w w:val="105"/>
          <w:sz w:val="21"/>
        </w:rPr>
        <w:t>consistency</w:t>
      </w:r>
      <w:r>
        <w:rPr>
          <w:spacing w:val="-7"/>
          <w:w w:val="105"/>
          <w:sz w:val="21"/>
        </w:rPr>
        <w:t> </w:t>
      </w:r>
      <w:r>
        <w:rPr>
          <w:w w:val="105"/>
          <w:sz w:val="21"/>
        </w:rPr>
        <w:t>in </w:t>
      </w:r>
      <w:r>
        <w:rPr>
          <w:spacing w:val="-3"/>
          <w:w w:val="105"/>
          <w:sz w:val="21"/>
        </w:rPr>
        <w:t>succession </w:t>
      </w:r>
      <w:r>
        <w:rPr>
          <w:spacing w:val="-5"/>
          <w:w w:val="105"/>
          <w:sz w:val="21"/>
        </w:rPr>
        <w:t>law, </w:t>
      </w:r>
      <w:r>
        <w:rPr>
          <w:w w:val="105"/>
          <w:sz w:val="21"/>
        </w:rPr>
        <w:t>and </w:t>
      </w:r>
      <w:r>
        <w:rPr>
          <w:spacing w:val="-3"/>
          <w:w w:val="105"/>
          <w:sz w:val="21"/>
        </w:rPr>
        <w:t>for </w:t>
      </w:r>
      <w:r>
        <w:rPr>
          <w:w w:val="105"/>
          <w:sz w:val="21"/>
        </w:rPr>
        <w:t>this reason </w:t>
      </w:r>
      <w:r>
        <w:rPr>
          <w:spacing w:val="-2"/>
          <w:w w:val="105"/>
          <w:sz w:val="21"/>
        </w:rPr>
        <w:t>has </w:t>
      </w:r>
      <w:r>
        <w:rPr>
          <w:w w:val="105"/>
          <w:sz w:val="21"/>
        </w:rPr>
        <w:t>given </w:t>
      </w:r>
      <w:r>
        <w:rPr>
          <w:spacing w:val="-3"/>
          <w:w w:val="105"/>
          <w:sz w:val="21"/>
        </w:rPr>
        <w:t>weight to </w:t>
      </w:r>
      <w:r>
        <w:rPr>
          <w:w w:val="105"/>
          <w:sz w:val="21"/>
        </w:rPr>
        <w:t>the </w:t>
      </w:r>
      <w:r>
        <w:rPr>
          <w:spacing w:val="-3"/>
          <w:w w:val="105"/>
          <w:sz w:val="21"/>
        </w:rPr>
        <w:t>National </w:t>
      </w:r>
      <w:r>
        <w:rPr>
          <w:spacing w:val="-4"/>
          <w:w w:val="105"/>
          <w:sz w:val="21"/>
        </w:rPr>
        <w:t>Committee’s </w:t>
      </w:r>
      <w:r>
        <w:rPr>
          <w:spacing w:val="-3"/>
          <w:w w:val="105"/>
          <w:sz w:val="21"/>
        </w:rPr>
        <w:t>recommendation </w:t>
      </w:r>
      <w:r>
        <w:rPr>
          <w:w w:val="105"/>
          <w:sz w:val="21"/>
        </w:rPr>
        <w:t>when assessing </w:t>
      </w:r>
      <w:r>
        <w:rPr>
          <w:spacing w:val="-3"/>
          <w:w w:val="105"/>
          <w:sz w:val="21"/>
        </w:rPr>
        <w:t>reform </w:t>
      </w:r>
      <w:r>
        <w:rPr>
          <w:w w:val="105"/>
          <w:sz w:val="21"/>
        </w:rPr>
        <w:t>options. </w:t>
      </w:r>
      <w:r>
        <w:rPr>
          <w:spacing w:val="-4"/>
          <w:w w:val="105"/>
          <w:sz w:val="21"/>
        </w:rPr>
        <w:t>Creating </w:t>
      </w:r>
      <w:r>
        <w:rPr>
          <w:w w:val="105"/>
          <w:sz w:val="21"/>
        </w:rPr>
        <w:t>a scheme in Victoria </w:t>
      </w:r>
      <w:r>
        <w:rPr>
          <w:spacing w:val="-3"/>
          <w:w w:val="105"/>
          <w:sz w:val="21"/>
        </w:rPr>
        <w:t>that </w:t>
      </w:r>
      <w:r>
        <w:rPr>
          <w:w w:val="105"/>
          <w:sz w:val="21"/>
        </w:rPr>
        <w:t>is distinctly </w:t>
      </w:r>
      <w:r>
        <w:rPr>
          <w:spacing w:val="-3"/>
          <w:w w:val="105"/>
          <w:sz w:val="21"/>
        </w:rPr>
        <w:t>different from </w:t>
      </w:r>
      <w:r>
        <w:rPr>
          <w:w w:val="105"/>
          <w:sz w:val="21"/>
        </w:rPr>
        <w:t>the one </w:t>
      </w:r>
      <w:r>
        <w:rPr>
          <w:spacing w:val="-3"/>
          <w:w w:val="105"/>
          <w:sz w:val="21"/>
        </w:rPr>
        <w:t>operating </w:t>
      </w:r>
      <w:r>
        <w:rPr>
          <w:w w:val="105"/>
          <w:sz w:val="21"/>
        </w:rPr>
        <w:t>in New South </w:t>
      </w:r>
      <w:r>
        <w:rPr>
          <w:spacing w:val="-3"/>
          <w:w w:val="105"/>
          <w:sz w:val="21"/>
        </w:rPr>
        <w:t>Wales, against</w:t>
      </w:r>
      <w:r>
        <w:rPr>
          <w:spacing w:val="-11"/>
          <w:w w:val="105"/>
          <w:sz w:val="21"/>
        </w:rPr>
        <w:t> </w:t>
      </w:r>
      <w:r>
        <w:rPr>
          <w:w w:val="105"/>
          <w:sz w:val="21"/>
        </w:rPr>
        <w:t>the</w:t>
      </w:r>
    </w:p>
    <w:p>
      <w:pPr>
        <w:pStyle w:val="BodyText"/>
        <w:spacing w:before="4"/>
        <w:ind w:left="2380"/>
      </w:pPr>
      <w:r>
        <w:rPr>
          <w:w w:val="105"/>
        </w:rPr>
        <w:t>recommendation of the National Committee, would not promote national consistency.</w:t>
      </w:r>
    </w:p>
    <w:p>
      <w:pPr>
        <w:pStyle w:val="BodyText"/>
        <w:spacing w:before="6"/>
        <w:rPr>
          <w:sz w:val="28"/>
        </w:rPr>
      </w:pPr>
      <w:r>
        <w:rPr/>
        <w:pict>
          <v:line style="position:absolute;mso-position-horizontal-relative:page;mso-position-vertical-relative:paragraph;z-index:9584;mso-wrap-distance-left:0;mso-wrap-distance-right:0" from="79.370102pt,19.88917pt" to="515.905102pt,19.88917pt" stroked="true" strokeweight="1pt" strokecolor="#f9ceca">
            <v:stroke dashstyle="solid"/>
            <w10:wrap type="topAndBottom"/>
          </v:line>
        </w:pict>
      </w:r>
    </w:p>
    <w:p>
      <w:pPr>
        <w:pStyle w:val="BodyText"/>
        <w:spacing w:before="8"/>
        <w:rPr>
          <w:sz w:val="5"/>
        </w:rPr>
      </w:pPr>
    </w:p>
    <w:p>
      <w:pPr>
        <w:spacing w:after="0"/>
        <w:rPr>
          <w:sz w:val="5"/>
        </w:rPr>
        <w:sectPr>
          <w:pgSz w:w="11910" w:h="16840"/>
          <w:pgMar w:header="550" w:footer="0" w:top="1560" w:bottom="280" w:left="0" w:right="0"/>
        </w:sectPr>
      </w:pPr>
    </w:p>
    <w:p>
      <w:pPr>
        <w:pStyle w:val="BodyText"/>
        <w:spacing w:before="10"/>
        <w:rPr>
          <w:sz w:val="35"/>
        </w:rPr>
      </w:pPr>
    </w:p>
    <w:p>
      <w:pPr>
        <w:spacing w:before="1"/>
        <w:ind w:left="720" w:right="0" w:firstLine="0"/>
        <w:jc w:val="left"/>
        <w:rPr>
          <w:b/>
          <w:sz w:val="24"/>
        </w:rPr>
      </w:pPr>
      <w:r>
        <w:rPr>
          <w:b/>
          <w:color w:val="EC5A4F"/>
          <w:spacing w:val="-2"/>
          <w:w w:val="110"/>
          <w:sz w:val="24"/>
        </w:rPr>
        <w:t>160</w:t>
      </w:r>
    </w:p>
    <w:p>
      <w:pPr>
        <w:pStyle w:val="ListParagraph"/>
        <w:numPr>
          <w:ilvl w:val="0"/>
          <w:numId w:val="119"/>
        </w:numPr>
        <w:tabs>
          <w:tab w:pos="1225" w:val="left" w:leader="none"/>
          <w:tab w:pos="1226" w:val="left" w:leader="none"/>
        </w:tabs>
        <w:spacing w:line="240" w:lineRule="auto" w:before="48" w:after="0"/>
        <w:ind w:left="1225" w:right="0" w:hanging="794"/>
        <w:jc w:val="left"/>
        <w:rPr>
          <w:sz w:val="13"/>
        </w:rPr>
      </w:pPr>
      <w:r>
        <w:rPr>
          <w:spacing w:val="2"/>
          <w:w w:val="103"/>
          <w:sz w:val="13"/>
        </w:rPr>
        <w:br w:type="column"/>
      </w:r>
      <w:r>
        <w:rPr>
          <w:w w:val="105"/>
          <w:sz w:val="13"/>
        </w:rPr>
        <w:t>National</w:t>
      </w:r>
      <w:r>
        <w:rPr>
          <w:spacing w:val="4"/>
          <w:w w:val="105"/>
          <w:sz w:val="13"/>
        </w:rPr>
        <w:t> </w:t>
      </w:r>
      <w:r>
        <w:rPr>
          <w:w w:val="105"/>
          <w:sz w:val="13"/>
        </w:rPr>
        <w:t>Committee</w:t>
      </w:r>
      <w:r>
        <w:rPr>
          <w:spacing w:val="5"/>
          <w:w w:val="105"/>
          <w:sz w:val="13"/>
        </w:rPr>
        <w:t> </w:t>
      </w:r>
      <w:r>
        <w:rPr>
          <w:w w:val="105"/>
          <w:sz w:val="13"/>
        </w:rPr>
        <w:t>for</w:t>
      </w:r>
      <w:r>
        <w:rPr>
          <w:spacing w:val="5"/>
          <w:w w:val="105"/>
          <w:sz w:val="13"/>
        </w:rPr>
        <w:t> </w:t>
      </w:r>
      <w:r>
        <w:rPr>
          <w:w w:val="105"/>
          <w:sz w:val="13"/>
        </w:rPr>
        <w:t>Uniform</w:t>
      </w:r>
      <w:r>
        <w:rPr>
          <w:spacing w:val="5"/>
          <w:w w:val="105"/>
          <w:sz w:val="13"/>
        </w:rPr>
        <w:t> </w:t>
      </w:r>
      <w:r>
        <w:rPr>
          <w:w w:val="105"/>
          <w:sz w:val="13"/>
        </w:rPr>
        <w:t>Succession</w:t>
      </w:r>
      <w:r>
        <w:rPr>
          <w:spacing w:val="5"/>
          <w:w w:val="105"/>
          <w:sz w:val="13"/>
        </w:rPr>
        <w:t> </w:t>
      </w:r>
      <w:r>
        <w:rPr>
          <w:w w:val="105"/>
          <w:sz w:val="13"/>
        </w:rPr>
        <w:t>Laws,</w:t>
      </w:r>
      <w:r>
        <w:rPr>
          <w:spacing w:val="5"/>
          <w:w w:val="105"/>
          <w:sz w:val="13"/>
        </w:rPr>
        <w:t> </w:t>
      </w:r>
      <w:r>
        <w:rPr>
          <w:i/>
          <w:w w:val="105"/>
          <w:sz w:val="13"/>
        </w:rPr>
        <w:t>Administration</w:t>
      </w:r>
      <w:r>
        <w:rPr>
          <w:i/>
          <w:spacing w:val="4"/>
          <w:w w:val="105"/>
          <w:sz w:val="13"/>
        </w:rPr>
        <w:t> </w:t>
      </w:r>
      <w:r>
        <w:rPr>
          <w:i/>
          <w:w w:val="105"/>
          <w:sz w:val="13"/>
        </w:rPr>
        <w:t>of</w:t>
      </w:r>
      <w:r>
        <w:rPr>
          <w:i/>
          <w:spacing w:val="4"/>
          <w:w w:val="105"/>
          <w:sz w:val="13"/>
        </w:rPr>
        <w:t> </w:t>
      </w:r>
      <w:r>
        <w:rPr>
          <w:i/>
          <w:w w:val="105"/>
          <w:sz w:val="13"/>
        </w:rPr>
        <w:t>Estates:</w:t>
      </w:r>
      <w:r>
        <w:rPr>
          <w:i/>
          <w:spacing w:val="3"/>
          <w:w w:val="105"/>
          <w:sz w:val="13"/>
        </w:rPr>
        <w:t> </w:t>
      </w:r>
      <w:r>
        <w:rPr>
          <w:i/>
          <w:w w:val="105"/>
          <w:sz w:val="13"/>
        </w:rPr>
        <w:t>Volume</w:t>
      </w:r>
      <w:r>
        <w:rPr>
          <w:i/>
          <w:spacing w:val="4"/>
          <w:w w:val="105"/>
          <w:sz w:val="13"/>
        </w:rPr>
        <w:t> </w:t>
      </w:r>
      <w:r>
        <w:rPr>
          <w:i/>
          <w:w w:val="105"/>
          <w:sz w:val="13"/>
        </w:rPr>
        <w:t>4</w:t>
      </w:r>
      <w:r>
        <w:rPr>
          <w:w w:val="105"/>
          <w:sz w:val="13"/>
        </w:rPr>
        <w:t>,</w:t>
      </w:r>
      <w:r>
        <w:rPr>
          <w:spacing w:val="5"/>
          <w:w w:val="105"/>
          <w:sz w:val="13"/>
        </w:rPr>
        <w:t> </w:t>
      </w:r>
      <w:r>
        <w:rPr>
          <w:w w:val="105"/>
          <w:sz w:val="13"/>
        </w:rPr>
        <w:t>above</w:t>
      </w:r>
      <w:r>
        <w:rPr>
          <w:spacing w:val="5"/>
          <w:w w:val="105"/>
          <w:sz w:val="13"/>
        </w:rPr>
        <w:t> </w:t>
      </w:r>
      <w:r>
        <w:rPr>
          <w:w w:val="105"/>
          <w:sz w:val="13"/>
        </w:rPr>
        <w:t>n</w:t>
      </w:r>
      <w:r>
        <w:rPr>
          <w:spacing w:val="5"/>
          <w:w w:val="105"/>
          <w:sz w:val="13"/>
        </w:rPr>
        <w:t> </w:t>
      </w:r>
      <w:r>
        <w:rPr>
          <w:spacing w:val="-3"/>
          <w:w w:val="105"/>
          <w:sz w:val="13"/>
        </w:rPr>
        <w:t>132,</w:t>
      </w:r>
      <w:r>
        <w:rPr>
          <w:spacing w:val="5"/>
          <w:w w:val="105"/>
          <w:sz w:val="13"/>
        </w:rPr>
        <w:t> </w:t>
      </w:r>
      <w:r>
        <w:rPr>
          <w:w w:val="105"/>
          <w:sz w:val="13"/>
        </w:rPr>
        <w:t>82.</w:t>
      </w:r>
    </w:p>
    <w:p>
      <w:pPr>
        <w:pStyle w:val="ListParagraph"/>
        <w:numPr>
          <w:ilvl w:val="0"/>
          <w:numId w:val="119"/>
        </w:numPr>
        <w:tabs>
          <w:tab w:pos="1225" w:val="left" w:leader="none"/>
          <w:tab w:pos="1226" w:val="left" w:leader="none"/>
        </w:tabs>
        <w:spacing w:line="240" w:lineRule="auto" w:before="1" w:after="0"/>
        <w:ind w:left="431" w:right="3616" w:firstLine="0"/>
        <w:jc w:val="left"/>
        <w:rPr>
          <w:sz w:val="13"/>
        </w:rPr>
      </w:pPr>
      <w:r>
        <w:rPr>
          <w:w w:val="105"/>
          <w:sz w:val="13"/>
        </w:rPr>
        <w:t>National Committee for Uniform Succession Laws, </w:t>
      </w:r>
      <w:r>
        <w:rPr>
          <w:i/>
          <w:w w:val="105"/>
          <w:sz w:val="13"/>
        </w:rPr>
        <w:t>Administration of Estates: Volume </w:t>
      </w:r>
      <w:r>
        <w:rPr>
          <w:i/>
          <w:spacing w:val="-3"/>
          <w:w w:val="105"/>
          <w:sz w:val="13"/>
        </w:rPr>
        <w:t>3</w:t>
      </w:r>
      <w:r>
        <w:rPr>
          <w:spacing w:val="-3"/>
          <w:w w:val="105"/>
          <w:sz w:val="13"/>
        </w:rPr>
        <w:t>, </w:t>
      </w:r>
      <w:r>
        <w:rPr>
          <w:w w:val="105"/>
          <w:sz w:val="13"/>
        </w:rPr>
        <w:t>above n 129, 62. 136</w:t>
        <w:tab/>
        <w:t>The</w:t>
      </w:r>
      <w:r>
        <w:rPr>
          <w:spacing w:val="6"/>
          <w:w w:val="105"/>
          <w:sz w:val="13"/>
        </w:rPr>
        <w:t> </w:t>
      </w:r>
      <w:r>
        <w:rPr>
          <w:w w:val="105"/>
          <w:sz w:val="13"/>
        </w:rPr>
        <w:t>proposals</w:t>
      </w:r>
      <w:r>
        <w:rPr>
          <w:spacing w:val="6"/>
          <w:w w:val="105"/>
          <w:sz w:val="13"/>
        </w:rPr>
        <w:t> </w:t>
      </w:r>
      <w:r>
        <w:rPr>
          <w:w w:val="105"/>
          <w:sz w:val="13"/>
        </w:rPr>
        <w:t>are</w:t>
      </w:r>
      <w:r>
        <w:rPr>
          <w:spacing w:val="6"/>
          <w:w w:val="105"/>
          <w:sz w:val="13"/>
        </w:rPr>
        <w:t> </w:t>
      </w:r>
      <w:r>
        <w:rPr>
          <w:w w:val="105"/>
          <w:sz w:val="13"/>
        </w:rPr>
        <w:t>discussed</w:t>
      </w:r>
      <w:r>
        <w:rPr>
          <w:spacing w:val="7"/>
          <w:w w:val="105"/>
          <w:sz w:val="13"/>
        </w:rPr>
        <w:t> </w:t>
      </w:r>
      <w:r>
        <w:rPr>
          <w:w w:val="105"/>
          <w:sz w:val="13"/>
        </w:rPr>
        <w:t>in</w:t>
      </w:r>
      <w:r>
        <w:rPr>
          <w:spacing w:val="6"/>
          <w:w w:val="105"/>
          <w:sz w:val="13"/>
        </w:rPr>
        <w:t> </w:t>
      </w:r>
      <w:r>
        <w:rPr>
          <w:w w:val="105"/>
          <w:sz w:val="13"/>
        </w:rPr>
        <w:t>some</w:t>
      </w:r>
      <w:r>
        <w:rPr>
          <w:spacing w:val="6"/>
          <w:w w:val="105"/>
          <w:sz w:val="13"/>
        </w:rPr>
        <w:t> </w:t>
      </w:r>
      <w:r>
        <w:rPr>
          <w:w w:val="105"/>
          <w:sz w:val="13"/>
        </w:rPr>
        <w:t>detail</w:t>
      </w:r>
      <w:r>
        <w:rPr>
          <w:spacing w:val="7"/>
          <w:w w:val="105"/>
          <w:sz w:val="13"/>
        </w:rPr>
        <w:t> </w:t>
      </w:r>
      <w:r>
        <w:rPr>
          <w:w w:val="105"/>
          <w:sz w:val="13"/>
        </w:rPr>
        <w:t>in</w:t>
      </w:r>
      <w:r>
        <w:rPr>
          <w:spacing w:val="6"/>
          <w:w w:val="105"/>
          <w:sz w:val="13"/>
        </w:rPr>
        <w:t> </w:t>
      </w:r>
      <w:r>
        <w:rPr>
          <w:w w:val="105"/>
          <w:sz w:val="13"/>
        </w:rPr>
        <w:t>Victorian</w:t>
      </w:r>
      <w:r>
        <w:rPr>
          <w:spacing w:val="6"/>
          <w:w w:val="105"/>
          <w:sz w:val="13"/>
        </w:rPr>
        <w:t> </w:t>
      </w:r>
      <w:r>
        <w:rPr>
          <w:w w:val="105"/>
          <w:sz w:val="13"/>
        </w:rPr>
        <w:t>Law</w:t>
      </w:r>
      <w:r>
        <w:rPr>
          <w:spacing w:val="6"/>
          <w:w w:val="105"/>
          <w:sz w:val="13"/>
        </w:rPr>
        <w:t> </w:t>
      </w:r>
      <w:r>
        <w:rPr>
          <w:w w:val="105"/>
          <w:sz w:val="13"/>
        </w:rPr>
        <w:t>Reform</w:t>
      </w:r>
      <w:r>
        <w:rPr>
          <w:spacing w:val="7"/>
          <w:w w:val="105"/>
          <w:sz w:val="13"/>
        </w:rPr>
        <w:t> </w:t>
      </w:r>
      <w:r>
        <w:rPr>
          <w:w w:val="105"/>
          <w:sz w:val="13"/>
        </w:rPr>
        <w:t>Commission,</w:t>
      </w:r>
      <w:r>
        <w:rPr>
          <w:spacing w:val="6"/>
          <w:w w:val="105"/>
          <w:sz w:val="13"/>
        </w:rPr>
        <w:t> </w:t>
      </w:r>
      <w:r>
        <w:rPr>
          <w:w w:val="105"/>
          <w:sz w:val="13"/>
        </w:rPr>
        <w:t>above</w:t>
      </w:r>
      <w:r>
        <w:rPr>
          <w:spacing w:val="6"/>
          <w:w w:val="105"/>
          <w:sz w:val="13"/>
        </w:rPr>
        <w:t> </w:t>
      </w:r>
      <w:r>
        <w:rPr>
          <w:w w:val="105"/>
          <w:sz w:val="13"/>
        </w:rPr>
        <w:t>n</w:t>
      </w:r>
      <w:r>
        <w:rPr>
          <w:spacing w:val="7"/>
          <w:w w:val="105"/>
          <w:sz w:val="13"/>
        </w:rPr>
        <w:t> </w:t>
      </w:r>
      <w:r>
        <w:rPr>
          <w:w w:val="105"/>
          <w:sz w:val="13"/>
        </w:rPr>
        <w:t>33,</w:t>
      </w:r>
      <w:r>
        <w:rPr>
          <w:spacing w:val="6"/>
          <w:w w:val="105"/>
          <w:sz w:val="13"/>
        </w:rPr>
        <w:t> </w:t>
      </w:r>
      <w:r>
        <w:rPr>
          <w:w w:val="105"/>
          <w:sz w:val="13"/>
        </w:rPr>
        <w:t>28–31.</w:t>
      </w:r>
    </w:p>
    <w:p>
      <w:pPr>
        <w:tabs>
          <w:tab w:pos="1225" w:val="left" w:leader="none"/>
        </w:tabs>
        <w:spacing w:before="3"/>
        <w:ind w:left="431" w:right="0" w:firstLine="0"/>
        <w:jc w:val="left"/>
        <w:rPr>
          <w:sz w:val="13"/>
        </w:rPr>
      </w:pPr>
      <w:r>
        <w:rPr>
          <w:spacing w:val="-3"/>
          <w:w w:val="105"/>
          <w:sz w:val="13"/>
        </w:rPr>
        <w:t>137</w:t>
        <w:tab/>
      </w:r>
      <w:r>
        <w:rPr>
          <w:w w:val="105"/>
          <w:sz w:val="13"/>
        </w:rPr>
        <w:t>Submission 37 (Supreme Court of</w:t>
      </w:r>
      <w:r>
        <w:rPr>
          <w:spacing w:val="22"/>
          <w:w w:val="105"/>
          <w:sz w:val="13"/>
        </w:rPr>
        <w:t> </w:t>
      </w:r>
      <w:r>
        <w:rPr>
          <w:spacing w:val="2"/>
          <w:w w:val="105"/>
          <w:sz w:val="13"/>
        </w:rPr>
        <w:t>Victoria).</w:t>
      </w:r>
    </w:p>
    <w:p>
      <w:pPr>
        <w:spacing w:after="0"/>
        <w:jc w:val="left"/>
        <w:rPr>
          <w:sz w:val="13"/>
        </w:rPr>
        <w:sectPr>
          <w:type w:val="continuous"/>
          <w:pgSz w:w="11910" w:h="16840"/>
          <w:pgMar w:top="920" w:bottom="280" w:left="0" w:right="0"/>
          <w:cols w:num="2" w:equalWidth="0">
            <w:col w:w="1116" w:space="40"/>
            <w:col w:w="10754"/>
          </w:cols>
        </w:sectPr>
      </w:pPr>
    </w:p>
    <w:p>
      <w:pPr>
        <w:pStyle w:val="BodyText"/>
        <w:rPr>
          <w:sz w:val="20"/>
        </w:rPr>
      </w:pPr>
    </w:p>
    <w:p>
      <w:pPr>
        <w:pStyle w:val="BodyText"/>
        <w:spacing w:before="1"/>
        <w:rPr>
          <w:sz w:val="18"/>
        </w:rPr>
      </w:pPr>
    </w:p>
    <w:p>
      <w:pPr>
        <w:pStyle w:val="Heading5"/>
        <w:spacing w:before="99"/>
      </w:pPr>
      <w:r>
        <w:rPr>
          <w:w w:val="115"/>
        </w:rPr>
        <w:t>Scope and nature of the review power</w:t>
      </w:r>
    </w:p>
    <w:p>
      <w:pPr>
        <w:pStyle w:val="Heading6"/>
        <w:spacing w:before="201"/>
      </w:pPr>
      <w:r>
        <w:rPr>
          <w:w w:val="115"/>
        </w:rPr>
        <w:t>Amounts that may be reviewed</w:t>
      </w:r>
    </w:p>
    <w:p>
      <w:pPr>
        <w:pStyle w:val="ListParagraph"/>
        <w:numPr>
          <w:ilvl w:val="1"/>
          <w:numId w:val="22"/>
        </w:numPr>
        <w:tabs>
          <w:tab w:pos="2380" w:val="left" w:leader="none"/>
          <w:tab w:pos="2381" w:val="left" w:leader="none"/>
        </w:tabs>
        <w:spacing w:line="242" w:lineRule="auto" w:before="151" w:after="0"/>
        <w:ind w:left="2381" w:right="1622" w:hanging="794"/>
        <w:jc w:val="left"/>
        <w:rPr>
          <w:sz w:val="21"/>
        </w:rPr>
      </w:pPr>
      <w:r>
        <w:rPr>
          <w:w w:val="105"/>
          <w:sz w:val="21"/>
        </w:rPr>
        <w:t>Under section 86A of the NSW </w:t>
      </w:r>
      <w:r>
        <w:rPr>
          <w:spacing w:val="-3"/>
          <w:w w:val="105"/>
          <w:sz w:val="21"/>
        </w:rPr>
        <w:t>Probate </w:t>
      </w:r>
      <w:r>
        <w:rPr>
          <w:w w:val="105"/>
          <w:sz w:val="21"/>
        </w:rPr>
        <w:t>and </w:t>
      </w:r>
      <w:r>
        <w:rPr>
          <w:spacing w:val="-3"/>
          <w:w w:val="105"/>
          <w:sz w:val="21"/>
        </w:rPr>
        <w:t>Administration </w:t>
      </w:r>
      <w:r>
        <w:rPr>
          <w:w w:val="105"/>
          <w:sz w:val="21"/>
        </w:rPr>
        <w:t>Act, the </w:t>
      </w:r>
      <w:r>
        <w:rPr>
          <w:spacing w:val="-3"/>
          <w:w w:val="105"/>
          <w:sz w:val="21"/>
        </w:rPr>
        <w:t>Court </w:t>
      </w:r>
      <w:r>
        <w:rPr>
          <w:w w:val="105"/>
          <w:sz w:val="21"/>
        </w:rPr>
        <w:t>can review </w:t>
      </w:r>
      <w:r>
        <w:rPr>
          <w:spacing w:val="-3"/>
          <w:w w:val="105"/>
          <w:sz w:val="21"/>
        </w:rPr>
        <w:t>any amount charged, </w:t>
      </w:r>
      <w:r>
        <w:rPr>
          <w:w w:val="105"/>
          <w:sz w:val="21"/>
        </w:rPr>
        <w:t>or proposed </w:t>
      </w:r>
      <w:r>
        <w:rPr>
          <w:spacing w:val="-3"/>
          <w:w w:val="105"/>
          <w:sz w:val="21"/>
        </w:rPr>
        <w:t>to </w:t>
      </w:r>
      <w:r>
        <w:rPr>
          <w:w w:val="105"/>
          <w:sz w:val="21"/>
        </w:rPr>
        <w:t>be </w:t>
      </w:r>
      <w:r>
        <w:rPr>
          <w:spacing w:val="-3"/>
          <w:w w:val="105"/>
          <w:sz w:val="21"/>
        </w:rPr>
        <w:t>charged, to </w:t>
      </w:r>
      <w:r>
        <w:rPr>
          <w:w w:val="105"/>
          <w:sz w:val="21"/>
        </w:rPr>
        <w:t>an </w:t>
      </w:r>
      <w:r>
        <w:rPr>
          <w:spacing w:val="-3"/>
          <w:w w:val="105"/>
          <w:sz w:val="21"/>
        </w:rPr>
        <w:t>estate. </w:t>
      </w:r>
      <w:r>
        <w:rPr>
          <w:w w:val="105"/>
          <w:sz w:val="21"/>
        </w:rPr>
        <w:t>The </w:t>
      </w:r>
      <w:r>
        <w:rPr>
          <w:spacing w:val="-3"/>
          <w:w w:val="105"/>
          <w:sz w:val="21"/>
        </w:rPr>
        <w:t>amount </w:t>
      </w:r>
      <w:r>
        <w:rPr>
          <w:w w:val="105"/>
          <w:sz w:val="21"/>
        </w:rPr>
        <w:t>is </w:t>
      </w:r>
      <w:r>
        <w:rPr>
          <w:spacing w:val="-2"/>
          <w:w w:val="105"/>
          <w:sz w:val="21"/>
        </w:rPr>
        <w:t>not </w:t>
      </w:r>
      <w:r>
        <w:rPr>
          <w:w w:val="105"/>
          <w:sz w:val="21"/>
        </w:rPr>
        <w:t>confined </w:t>
      </w:r>
      <w:r>
        <w:rPr>
          <w:spacing w:val="-3"/>
          <w:w w:val="105"/>
          <w:sz w:val="21"/>
        </w:rPr>
        <w:t>to commission. </w:t>
      </w:r>
      <w:r>
        <w:rPr>
          <w:w w:val="105"/>
          <w:sz w:val="21"/>
        </w:rPr>
        <w:t>The Law </w:t>
      </w:r>
      <w:r>
        <w:rPr>
          <w:spacing w:val="-3"/>
          <w:w w:val="105"/>
          <w:sz w:val="21"/>
        </w:rPr>
        <w:t>Institute </w:t>
      </w:r>
      <w:r>
        <w:rPr>
          <w:w w:val="105"/>
          <w:sz w:val="21"/>
        </w:rPr>
        <w:t>of Victoria put forward a proposal under which the </w:t>
      </w:r>
      <w:r>
        <w:rPr>
          <w:spacing w:val="-3"/>
          <w:w w:val="105"/>
          <w:sz w:val="21"/>
        </w:rPr>
        <w:t>Court </w:t>
      </w:r>
      <w:r>
        <w:rPr>
          <w:w w:val="105"/>
          <w:sz w:val="21"/>
        </w:rPr>
        <w:t>would be able </w:t>
      </w:r>
      <w:r>
        <w:rPr>
          <w:spacing w:val="-3"/>
          <w:w w:val="105"/>
          <w:sz w:val="21"/>
        </w:rPr>
        <w:t>to </w:t>
      </w:r>
      <w:r>
        <w:rPr>
          <w:w w:val="105"/>
          <w:sz w:val="21"/>
        </w:rPr>
        <w:t>review </w:t>
      </w:r>
      <w:r>
        <w:rPr>
          <w:spacing w:val="-3"/>
          <w:w w:val="105"/>
          <w:sz w:val="21"/>
        </w:rPr>
        <w:t>commission</w:t>
      </w:r>
      <w:r>
        <w:rPr>
          <w:spacing w:val="31"/>
          <w:w w:val="105"/>
          <w:sz w:val="21"/>
        </w:rPr>
        <w:t> </w:t>
      </w:r>
      <w:r>
        <w:rPr>
          <w:spacing w:val="-4"/>
          <w:w w:val="105"/>
          <w:sz w:val="21"/>
        </w:rPr>
        <w:t>only.</w:t>
      </w:r>
    </w:p>
    <w:p>
      <w:pPr>
        <w:pStyle w:val="ListParagraph"/>
        <w:numPr>
          <w:ilvl w:val="1"/>
          <w:numId w:val="22"/>
        </w:numPr>
        <w:tabs>
          <w:tab w:pos="2381" w:val="left" w:leader="none"/>
        </w:tabs>
        <w:spacing w:line="242" w:lineRule="auto" w:before="125" w:after="0"/>
        <w:ind w:left="2381" w:right="1894" w:hanging="794"/>
        <w:jc w:val="both"/>
        <w:rPr>
          <w:sz w:val="12"/>
        </w:rPr>
      </w:pPr>
      <w:r>
        <w:rPr>
          <w:w w:val="105"/>
          <w:sz w:val="21"/>
        </w:rPr>
        <w:t>Almost</w:t>
      </w:r>
      <w:r>
        <w:rPr>
          <w:spacing w:val="-4"/>
          <w:w w:val="105"/>
          <w:sz w:val="21"/>
        </w:rPr>
        <w:t> </w:t>
      </w:r>
      <w:r>
        <w:rPr>
          <w:spacing w:val="-3"/>
          <w:w w:val="105"/>
          <w:sz w:val="21"/>
        </w:rPr>
        <w:t>all</w:t>
      </w:r>
      <w:r>
        <w:rPr>
          <w:spacing w:val="-4"/>
          <w:w w:val="105"/>
          <w:sz w:val="21"/>
        </w:rPr>
        <w:t> </w:t>
      </w:r>
      <w:r>
        <w:rPr>
          <w:w w:val="105"/>
          <w:sz w:val="21"/>
        </w:rPr>
        <w:t>of</w:t>
      </w:r>
      <w:r>
        <w:rPr>
          <w:spacing w:val="-3"/>
          <w:w w:val="105"/>
          <w:sz w:val="21"/>
        </w:rPr>
        <w:t> </w:t>
      </w:r>
      <w:r>
        <w:rPr>
          <w:w w:val="105"/>
          <w:sz w:val="21"/>
        </w:rPr>
        <w:t>the</w:t>
      </w:r>
      <w:r>
        <w:rPr>
          <w:spacing w:val="-4"/>
          <w:w w:val="105"/>
          <w:sz w:val="21"/>
        </w:rPr>
        <w:t> </w:t>
      </w:r>
      <w:r>
        <w:rPr>
          <w:spacing w:val="-3"/>
          <w:w w:val="105"/>
          <w:sz w:val="21"/>
        </w:rPr>
        <w:t>submissions</w:t>
      </w:r>
      <w:r>
        <w:rPr>
          <w:spacing w:val="-4"/>
          <w:w w:val="105"/>
          <w:sz w:val="21"/>
        </w:rPr>
        <w:t> </w:t>
      </w:r>
      <w:r>
        <w:rPr>
          <w:spacing w:val="-3"/>
          <w:w w:val="105"/>
          <w:sz w:val="21"/>
        </w:rPr>
        <w:t>that commented</w:t>
      </w:r>
      <w:r>
        <w:rPr>
          <w:spacing w:val="-4"/>
          <w:w w:val="105"/>
          <w:sz w:val="21"/>
        </w:rPr>
        <w:t> </w:t>
      </w:r>
      <w:r>
        <w:rPr>
          <w:w w:val="105"/>
          <w:sz w:val="21"/>
        </w:rPr>
        <w:t>on</w:t>
      </w:r>
      <w:r>
        <w:rPr>
          <w:spacing w:val="-4"/>
          <w:w w:val="105"/>
          <w:sz w:val="21"/>
        </w:rPr>
        <w:t> </w:t>
      </w:r>
      <w:r>
        <w:rPr>
          <w:w w:val="105"/>
          <w:sz w:val="21"/>
        </w:rPr>
        <w:t>this</w:t>
      </w:r>
      <w:r>
        <w:rPr>
          <w:spacing w:val="-3"/>
          <w:w w:val="105"/>
          <w:sz w:val="21"/>
        </w:rPr>
        <w:t> </w:t>
      </w:r>
      <w:r>
        <w:rPr>
          <w:w w:val="105"/>
          <w:sz w:val="21"/>
        </w:rPr>
        <w:t>issue</w:t>
      </w:r>
      <w:r>
        <w:rPr>
          <w:spacing w:val="-4"/>
          <w:w w:val="105"/>
          <w:sz w:val="21"/>
        </w:rPr>
        <w:t> </w:t>
      </w:r>
      <w:r>
        <w:rPr>
          <w:w w:val="105"/>
          <w:sz w:val="21"/>
        </w:rPr>
        <w:t>said</w:t>
      </w:r>
      <w:r>
        <w:rPr>
          <w:spacing w:val="-4"/>
          <w:w w:val="105"/>
          <w:sz w:val="21"/>
        </w:rPr>
        <w:t> </w:t>
      </w:r>
      <w:r>
        <w:rPr>
          <w:w w:val="105"/>
          <w:sz w:val="21"/>
        </w:rPr>
        <w:t>the</w:t>
      </w:r>
      <w:r>
        <w:rPr>
          <w:spacing w:val="-3"/>
          <w:w w:val="105"/>
          <w:sz w:val="21"/>
        </w:rPr>
        <w:t> Court</w:t>
      </w:r>
      <w:r>
        <w:rPr>
          <w:spacing w:val="-4"/>
          <w:w w:val="105"/>
          <w:sz w:val="21"/>
        </w:rPr>
        <w:t> </w:t>
      </w:r>
      <w:r>
        <w:rPr>
          <w:w w:val="105"/>
          <w:sz w:val="21"/>
        </w:rPr>
        <w:t>should</w:t>
      </w:r>
      <w:r>
        <w:rPr>
          <w:spacing w:val="-4"/>
          <w:w w:val="105"/>
          <w:sz w:val="21"/>
        </w:rPr>
        <w:t> </w:t>
      </w:r>
      <w:r>
        <w:rPr>
          <w:spacing w:val="-3"/>
          <w:w w:val="105"/>
          <w:sz w:val="21"/>
        </w:rPr>
        <w:t>have </w:t>
      </w:r>
      <w:r>
        <w:rPr>
          <w:w w:val="105"/>
          <w:sz w:val="21"/>
        </w:rPr>
        <w:t>a broad power </w:t>
      </w:r>
      <w:r>
        <w:rPr>
          <w:spacing w:val="-3"/>
          <w:w w:val="105"/>
          <w:sz w:val="21"/>
        </w:rPr>
        <w:t>to </w:t>
      </w:r>
      <w:r>
        <w:rPr>
          <w:w w:val="105"/>
          <w:sz w:val="21"/>
        </w:rPr>
        <w:t>review the amounts </w:t>
      </w:r>
      <w:r>
        <w:rPr>
          <w:spacing w:val="-3"/>
          <w:w w:val="105"/>
          <w:sz w:val="21"/>
        </w:rPr>
        <w:t>charged to </w:t>
      </w:r>
      <w:r>
        <w:rPr>
          <w:w w:val="105"/>
          <w:sz w:val="21"/>
        </w:rPr>
        <w:t>the </w:t>
      </w:r>
      <w:r>
        <w:rPr>
          <w:spacing w:val="-3"/>
          <w:w w:val="105"/>
          <w:sz w:val="21"/>
        </w:rPr>
        <w:t>estate, including commission, </w:t>
      </w:r>
      <w:r>
        <w:rPr>
          <w:w w:val="105"/>
          <w:sz w:val="21"/>
        </w:rPr>
        <w:t>as permitted by section 86A of the NSW </w:t>
      </w:r>
      <w:r>
        <w:rPr>
          <w:spacing w:val="-3"/>
          <w:w w:val="105"/>
          <w:sz w:val="21"/>
        </w:rPr>
        <w:t>Probate </w:t>
      </w:r>
      <w:r>
        <w:rPr>
          <w:w w:val="105"/>
          <w:sz w:val="21"/>
        </w:rPr>
        <w:t>and </w:t>
      </w:r>
      <w:r>
        <w:rPr>
          <w:spacing w:val="-3"/>
          <w:w w:val="105"/>
          <w:sz w:val="21"/>
        </w:rPr>
        <w:t>Administration</w:t>
      </w:r>
      <w:r>
        <w:rPr>
          <w:spacing w:val="41"/>
          <w:w w:val="105"/>
          <w:sz w:val="21"/>
        </w:rPr>
        <w:t> </w:t>
      </w:r>
      <w:r>
        <w:rPr>
          <w:spacing w:val="-5"/>
          <w:w w:val="105"/>
          <w:sz w:val="21"/>
        </w:rPr>
        <w:t>Act.</w:t>
      </w:r>
      <w:r>
        <w:rPr>
          <w:spacing w:val="-5"/>
          <w:w w:val="105"/>
          <w:position w:val="7"/>
          <w:sz w:val="12"/>
        </w:rPr>
        <w:t>138</w:t>
      </w:r>
    </w:p>
    <w:p>
      <w:pPr>
        <w:pStyle w:val="ListParagraph"/>
        <w:numPr>
          <w:ilvl w:val="1"/>
          <w:numId w:val="22"/>
        </w:numPr>
        <w:tabs>
          <w:tab w:pos="2380" w:val="left" w:leader="none"/>
          <w:tab w:pos="2381" w:val="left" w:leader="none"/>
        </w:tabs>
        <w:spacing w:line="242" w:lineRule="auto" w:before="123" w:after="0"/>
        <w:ind w:left="2381" w:right="1892" w:hanging="794"/>
        <w:jc w:val="left"/>
        <w:rPr>
          <w:sz w:val="21"/>
        </w:rPr>
      </w:pPr>
      <w:r>
        <w:rPr>
          <w:sz w:val="21"/>
        </w:rPr>
        <w:t>An issue </w:t>
      </w:r>
      <w:r>
        <w:rPr>
          <w:spacing w:val="-3"/>
          <w:sz w:val="21"/>
        </w:rPr>
        <w:t>that </w:t>
      </w:r>
      <w:r>
        <w:rPr>
          <w:sz w:val="21"/>
        </w:rPr>
        <w:t>arose was whether the </w:t>
      </w:r>
      <w:r>
        <w:rPr>
          <w:spacing w:val="-3"/>
          <w:sz w:val="21"/>
        </w:rPr>
        <w:t>Court </w:t>
      </w:r>
      <w:r>
        <w:rPr>
          <w:sz w:val="21"/>
        </w:rPr>
        <w:t>should be able </w:t>
      </w:r>
      <w:r>
        <w:rPr>
          <w:spacing w:val="-3"/>
          <w:sz w:val="21"/>
        </w:rPr>
        <w:t>to </w:t>
      </w:r>
      <w:r>
        <w:rPr>
          <w:sz w:val="21"/>
        </w:rPr>
        <w:t>review disbursements </w:t>
      </w:r>
      <w:r>
        <w:rPr>
          <w:spacing w:val="-3"/>
          <w:sz w:val="21"/>
        </w:rPr>
        <w:t>incurred </w:t>
      </w:r>
      <w:r>
        <w:rPr>
          <w:sz w:val="21"/>
        </w:rPr>
        <w:t>or </w:t>
      </w:r>
      <w:r>
        <w:rPr>
          <w:spacing w:val="-3"/>
          <w:sz w:val="21"/>
        </w:rPr>
        <w:t>claimed </w:t>
      </w:r>
      <w:r>
        <w:rPr>
          <w:sz w:val="21"/>
        </w:rPr>
        <w:t>by the </w:t>
      </w:r>
      <w:r>
        <w:rPr>
          <w:spacing w:val="-4"/>
          <w:sz w:val="21"/>
        </w:rPr>
        <w:t>executor. </w:t>
      </w:r>
      <w:r>
        <w:rPr>
          <w:sz w:val="21"/>
        </w:rPr>
        <w:t>The </w:t>
      </w:r>
      <w:r>
        <w:rPr>
          <w:spacing w:val="-3"/>
          <w:sz w:val="21"/>
        </w:rPr>
        <w:t>Probate </w:t>
      </w:r>
      <w:r>
        <w:rPr>
          <w:sz w:val="21"/>
        </w:rPr>
        <w:t>Users </w:t>
      </w:r>
      <w:r>
        <w:rPr>
          <w:spacing w:val="-4"/>
          <w:sz w:val="21"/>
        </w:rPr>
        <w:t>Committee’s </w:t>
      </w:r>
      <w:r>
        <w:rPr>
          <w:sz w:val="21"/>
        </w:rPr>
        <w:t>proposal expressly </w:t>
      </w:r>
      <w:r>
        <w:rPr>
          <w:spacing w:val="-3"/>
          <w:sz w:val="21"/>
        </w:rPr>
        <w:t>referred to </w:t>
      </w:r>
      <w:r>
        <w:rPr>
          <w:sz w:val="21"/>
        </w:rPr>
        <w:t>disbursements. The </w:t>
      </w:r>
      <w:r>
        <w:rPr>
          <w:spacing w:val="-3"/>
          <w:sz w:val="21"/>
        </w:rPr>
        <w:t>reference </w:t>
      </w:r>
      <w:r>
        <w:rPr>
          <w:sz w:val="21"/>
        </w:rPr>
        <w:t>in section 86A of the NSW </w:t>
      </w:r>
      <w:r>
        <w:rPr>
          <w:spacing w:val="-3"/>
          <w:sz w:val="21"/>
        </w:rPr>
        <w:t>Probate </w:t>
      </w:r>
      <w:r>
        <w:rPr>
          <w:sz w:val="21"/>
        </w:rPr>
        <w:t>and </w:t>
      </w:r>
      <w:r>
        <w:rPr>
          <w:spacing w:val="-3"/>
          <w:sz w:val="21"/>
        </w:rPr>
        <w:t>Administration </w:t>
      </w:r>
      <w:r>
        <w:rPr>
          <w:sz w:val="21"/>
        </w:rPr>
        <w:t>Act </w:t>
      </w:r>
      <w:r>
        <w:rPr>
          <w:spacing w:val="-3"/>
          <w:sz w:val="21"/>
        </w:rPr>
        <w:t>to </w:t>
      </w:r>
      <w:r>
        <w:rPr>
          <w:sz w:val="21"/>
        </w:rPr>
        <w:t>review of </w:t>
      </w:r>
      <w:r>
        <w:rPr>
          <w:spacing w:val="-7"/>
          <w:sz w:val="21"/>
        </w:rPr>
        <w:t>‘a </w:t>
      </w:r>
      <w:r>
        <w:rPr>
          <w:spacing w:val="-3"/>
          <w:sz w:val="21"/>
        </w:rPr>
        <w:t>commission </w:t>
      </w:r>
      <w:r>
        <w:rPr>
          <w:sz w:val="21"/>
        </w:rPr>
        <w:t>or </w:t>
      </w:r>
      <w:r>
        <w:rPr>
          <w:spacing w:val="-3"/>
          <w:sz w:val="21"/>
        </w:rPr>
        <w:t>amount charged </w:t>
      </w:r>
      <w:r>
        <w:rPr>
          <w:sz w:val="21"/>
        </w:rPr>
        <w:t>or proposed</w:t>
      </w:r>
      <w:r>
        <w:rPr>
          <w:spacing w:val="-7"/>
          <w:sz w:val="21"/>
        </w:rPr>
        <w:t> </w:t>
      </w:r>
      <w:r>
        <w:rPr>
          <w:spacing w:val="-3"/>
          <w:sz w:val="21"/>
        </w:rPr>
        <w:t>to</w:t>
      </w:r>
    </w:p>
    <w:p>
      <w:pPr>
        <w:pStyle w:val="BodyText"/>
        <w:spacing w:line="242" w:lineRule="auto" w:before="4"/>
        <w:ind w:left="2380" w:right="1818"/>
      </w:pPr>
      <w:r>
        <w:rPr>
          <w:w w:val="105"/>
        </w:rPr>
        <w:t>be </w:t>
      </w:r>
      <w:r>
        <w:rPr>
          <w:spacing w:val="-2"/>
          <w:w w:val="105"/>
        </w:rPr>
        <w:t>charged’ </w:t>
      </w:r>
      <w:r>
        <w:rPr>
          <w:spacing w:val="-3"/>
          <w:w w:val="105"/>
        </w:rPr>
        <w:t>arguably includes </w:t>
      </w:r>
      <w:r>
        <w:rPr>
          <w:w w:val="105"/>
        </w:rPr>
        <w:t>amounts </w:t>
      </w:r>
      <w:r>
        <w:rPr>
          <w:spacing w:val="-3"/>
          <w:w w:val="105"/>
        </w:rPr>
        <w:t>claimed against </w:t>
      </w:r>
      <w:r>
        <w:rPr>
          <w:w w:val="105"/>
        </w:rPr>
        <w:t>the estate in respect of disbursements. Four </w:t>
      </w:r>
      <w:r>
        <w:rPr>
          <w:spacing w:val="-3"/>
          <w:w w:val="105"/>
        </w:rPr>
        <w:t>submissions </w:t>
      </w:r>
      <w:r>
        <w:rPr>
          <w:w w:val="105"/>
        </w:rPr>
        <w:t>expressed </w:t>
      </w:r>
      <w:r>
        <w:rPr>
          <w:spacing w:val="-3"/>
          <w:w w:val="105"/>
        </w:rPr>
        <w:t>concern </w:t>
      </w:r>
      <w:r>
        <w:rPr>
          <w:w w:val="105"/>
        </w:rPr>
        <w:t>about the </w:t>
      </w:r>
      <w:r>
        <w:rPr>
          <w:spacing w:val="-3"/>
          <w:w w:val="105"/>
        </w:rPr>
        <w:t>Court having </w:t>
      </w:r>
      <w:r>
        <w:rPr>
          <w:w w:val="105"/>
        </w:rPr>
        <w:t>the power </w:t>
      </w:r>
      <w:r>
        <w:rPr>
          <w:spacing w:val="-3"/>
          <w:w w:val="105"/>
        </w:rPr>
        <w:t>to </w:t>
      </w:r>
      <w:r>
        <w:rPr>
          <w:w w:val="105"/>
        </w:rPr>
        <w:t>review disbursements. The points made </w:t>
      </w:r>
      <w:r>
        <w:rPr>
          <w:spacing w:val="-3"/>
          <w:w w:val="105"/>
        </w:rPr>
        <w:t>included </w:t>
      </w:r>
      <w:r>
        <w:rPr>
          <w:w w:val="105"/>
        </w:rPr>
        <w:t>the following:</w:t>
      </w:r>
    </w:p>
    <w:p>
      <w:pPr>
        <w:pStyle w:val="ListParagraph"/>
        <w:numPr>
          <w:ilvl w:val="2"/>
          <w:numId w:val="22"/>
        </w:numPr>
        <w:tabs>
          <w:tab w:pos="2722" w:val="left" w:leader="none"/>
        </w:tabs>
        <w:spacing w:line="242" w:lineRule="auto" w:before="124" w:after="0"/>
        <w:ind w:left="2721" w:right="1602" w:hanging="340"/>
        <w:jc w:val="both"/>
        <w:rPr>
          <w:sz w:val="12"/>
        </w:rPr>
      </w:pPr>
      <w:r>
        <w:rPr>
          <w:sz w:val="21"/>
        </w:rPr>
        <w:t>Disbursements </w:t>
      </w:r>
      <w:r>
        <w:rPr>
          <w:spacing w:val="-3"/>
          <w:sz w:val="21"/>
        </w:rPr>
        <w:t>are </w:t>
      </w:r>
      <w:r>
        <w:rPr>
          <w:sz w:val="21"/>
        </w:rPr>
        <w:t>often set by </w:t>
      </w:r>
      <w:r>
        <w:rPr>
          <w:spacing w:val="-3"/>
          <w:sz w:val="21"/>
        </w:rPr>
        <w:t>government </w:t>
      </w:r>
      <w:r>
        <w:rPr>
          <w:sz w:val="21"/>
        </w:rPr>
        <w:t>bodies or </w:t>
      </w:r>
      <w:r>
        <w:rPr>
          <w:spacing w:val="-3"/>
          <w:sz w:val="21"/>
        </w:rPr>
        <w:t>third  </w:t>
      </w:r>
      <w:r>
        <w:rPr>
          <w:sz w:val="21"/>
        </w:rPr>
        <w:t>parties beyond the </w:t>
      </w:r>
      <w:r>
        <w:rPr>
          <w:spacing w:val="-3"/>
          <w:sz w:val="21"/>
        </w:rPr>
        <w:t>control  </w:t>
      </w:r>
      <w:r>
        <w:rPr>
          <w:sz w:val="21"/>
        </w:rPr>
        <w:t>of an </w:t>
      </w:r>
      <w:r>
        <w:rPr>
          <w:spacing w:val="-3"/>
          <w:sz w:val="21"/>
        </w:rPr>
        <w:t>executor </w:t>
      </w:r>
      <w:r>
        <w:rPr>
          <w:sz w:val="21"/>
        </w:rPr>
        <w:t>and it would be difficult </w:t>
      </w:r>
      <w:r>
        <w:rPr>
          <w:spacing w:val="-3"/>
          <w:sz w:val="21"/>
        </w:rPr>
        <w:t>for </w:t>
      </w:r>
      <w:r>
        <w:rPr>
          <w:sz w:val="21"/>
        </w:rPr>
        <w:t>the </w:t>
      </w:r>
      <w:r>
        <w:rPr>
          <w:spacing w:val="-3"/>
          <w:sz w:val="21"/>
        </w:rPr>
        <w:t>Court to  determine  </w:t>
      </w:r>
      <w:r>
        <w:rPr>
          <w:sz w:val="21"/>
        </w:rPr>
        <w:t>the reasonableness  of </w:t>
      </w:r>
      <w:r>
        <w:rPr>
          <w:spacing w:val="-3"/>
          <w:sz w:val="21"/>
        </w:rPr>
        <w:t>such</w:t>
      </w:r>
      <w:r>
        <w:rPr>
          <w:spacing w:val="17"/>
          <w:sz w:val="21"/>
        </w:rPr>
        <w:t> </w:t>
      </w:r>
      <w:r>
        <w:rPr>
          <w:spacing w:val="-4"/>
          <w:sz w:val="21"/>
        </w:rPr>
        <w:t>expenses.</w:t>
      </w:r>
      <w:r>
        <w:rPr>
          <w:spacing w:val="-4"/>
          <w:position w:val="7"/>
          <w:sz w:val="12"/>
        </w:rPr>
        <w:t>139</w:t>
      </w:r>
    </w:p>
    <w:p>
      <w:pPr>
        <w:pStyle w:val="ListParagraph"/>
        <w:numPr>
          <w:ilvl w:val="2"/>
          <w:numId w:val="22"/>
        </w:numPr>
        <w:tabs>
          <w:tab w:pos="2721" w:val="left" w:leader="none"/>
          <w:tab w:pos="2722" w:val="left" w:leader="none"/>
        </w:tabs>
        <w:spacing w:line="242" w:lineRule="auto" w:before="123" w:after="0"/>
        <w:ind w:left="2721" w:right="1848" w:hanging="340"/>
        <w:jc w:val="left"/>
        <w:rPr>
          <w:sz w:val="12"/>
        </w:rPr>
      </w:pPr>
      <w:r>
        <w:rPr>
          <w:sz w:val="21"/>
        </w:rPr>
        <w:t>It </w:t>
      </w:r>
      <w:r>
        <w:rPr>
          <w:spacing w:val="-3"/>
          <w:sz w:val="21"/>
        </w:rPr>
        <w:t>could produce punitive outcomes </w:t>
      </w:r>
      <w:r>
        <w:rPr>
          <w:sz w:val="21"/>
        </w:rPr>
        <w:t>where disbursements </w:t>
      </w:r>
      <w:r>
        <w:rPr>
          <w:spacing w:val="-3"/>
          <w:sz w:val="21"/>
        </w:rPr>
        <w:t>incurred </w:t>
      </w:r>
      <w:r>
        <w:rPr>
          <w:sz w:val="21"/>
        </w:rPr>
        <w:t>in good </w:t>
      </w:r>
      <w:r>
        <w:rPr>
          <w:spacing w:val="-3"/>
          <w:sz w:val="21"/>
        </w:rPr>
        <w:t>faith are unable to </w:t>
      </w:r>
      <w:r>
        <w:rPr>
          <w:sz w:val="21"/>
        </w:rPr>
        <w:t>be recouped </w:t>
      </w:r>
      <w:r>
        <w:rPr>
          <w:spacing w:val="-3"/>
          <w:sz w:val="21"/>
        </w:rPr>
        <w:t>from </w:t>
      </w:r>
      <w:r>
        <w:rPr>
          <w:sz w:val="21"/>
        </w:rPr>
        <w:t>the</w:t>
      </w:r>
      <w:r>
        <w:rPr>
          <w:spacing w:val="18"/>
          <w:sz w:val="21"/>
        </w:rPr>
        <w:t> </w:t>
      </w:r>
      <w:r>
        <w:rPr>
          <w:spacing w:val="-4"/>
          <w:sz w:val="21"/>
        </w:rPr>
        <w:t>estate.</w:t>
      </w:r>
      <w:r>
        <w:rPr>
          <w:spacing w:val="-4"/>
          <w:position w:val="7"/>
          <w:sz w:val="12"/>
        </w:rPr>
        <w:t>140</w:t>
      </w:r>
    </w:p>
    <w:p>
      <w:pPr>
        <w:pStyle w:val="ListParagraph"/>
        <w:numPr>
          <w:ilvl w:val="2"/>
          <w:numId w:val="22"/>
        </w:numPr>
        <w:tabs>
          <w:tab w:pos="2721" w:val="left" w:leader="none"/>
          <w:tab w:pos="2722" w:val="left" w:leader="none"/>
        </w:tabs>
        <w:spacing w:line="242" w:lineRule="auto" w:before="122" w:after="0"/>
        <w:ind w:left="2721" w:right="1800" w:hanging="340"/>
        <w:jc w:val="left"/>
        <w:rPr>
          <w:sz w:val="12"/>
        </w:rPr>
      </w:pPr>
      <w:r>
        <w:rPr>
          <w:w w:val="105"/>
          <w:sz w:val="21"/>
        </w:rPr>
        <w:t>Executors </w:t>
      </w:r>
      <w:r>
        <w:rPr>
          <w:spacing w:val="-3"/>
          <w:w w:val="105"/>
          <w:sz w:val="21"/>
        </w:rPr>
        <w:t>are already </w:t>
      </w:r>
      <w:r>
        <w:rPr>
          <w:w w:val="105"/>
          <w:sz w:val="21"/>
        </w:rPr>
        <w:t>subject </w:t>
      </w:r>
      <w:r>
        <w:rPr>
          <w:spacing w:val="-3"/>
          <w:w w:val="105"/>
          <w:sz w:val="21"/>
        </w:rPr>
        <w:t>to </w:t>
      </w:r>
      <w:r>
        <w:rPr>
          <w:w w:val="105"/>
          <w:sz w:val="21"/>
        </w:rPr>
        <w:t>a duty </w:t>
      </w:r>
      <w:r>
        <w:rPr>
          <w:spacing w:val="-3"/>
          <w:w w:val="105"/>
          <w:sz w:val="21"/>
        </w:rPr>
        <w:t>to account </w:t>
      </w:r>
      <w:r>
        <w:rPr>
          <w:w w:val="105"/>
          <w:sz w:val="21"/>
        </w:rPr>
        <w:t>under section </w:t>
      </w:r>
      <w:r>
        <w:rPr>
          <w:spacing w:val="-3"/>
          <w:w w:val="105"/>
          <w:sz w:val="21"/>
        </w:rPr>
        <w:t>28 </w:t>
      </w:r>
      <w:r>
        <w:rPr>
          <w:w w:val="105"/>
          <w:sz w:val="21"/>
        </w:rPr>
        <w:t>of the </w:t>
      </w:r>
      <w:r>
        <w:rPr>
          <w:spacing w:val="-3"/>
          <w:w w:val="105"/>
          <w:sz w:val="21"/>
        </w:rPr>
        <w:t>Administration </w:t>
      </w:r>
      <w:r>
        <w:rPr>
          <w:w w:val="105"/>
          <w:sz w:val="21"/>
        </w:rPr>
        <w:t>and </w:t>
      </w:r>
      <w:r>
        <w:rPr>
          <w:spacing w:val="-3"/>
          <w:w w:val="105"/>
          <w:sz w:val="21"/>
        </w:rPr>
        <w:t>Probate </w:t>
      </w:r>
      <w:r>
        <w:rPr>
          <w:w w:val="105"/>
          <w:sz w:val="21"/>
        </w:rPr>
        <w:t>Act, and the Legal Services </w:t>
      </w:r>
      <w:r>
        <w:rPr>
          <w:spacing w:val="-3"/>
          <w:w w:val="105"/>
          <w:sz w:val="21"/>
        </w:rPr>
        <w:t>Commissioner </w:t>
      </w:r>
      <w:r>
        <w:rPr>
          <w:w w:val="105"/>
          <w:sz w:val="21"/>
        </w:rPr>
        <w:t>can deal with </w:t>
      </w:r>
      <w:r>
        <w:rPr>
          <w:spacing w:val="-3"/>
          <w:w w:val="105"/>
          <w:sz w:val="21"/>
        </w:rPr>
        <w:t>complaints from </w:t>
      </w:r>
      <w:r>
        <w:rPr>
          <w:w w:val="105"/>
          <w:sz w:val="21"/>
        </w:rPr>
        <w:t>beneficiaries about fees and costs </w:t>
      </w:r>
      <w:r>
        <w:rPr>
          <w:spacing w:val="-3"/>
          <w:w w:val="105"/>
          <w:sz w:val="21"/>
        </w:rPr>
        <w:t>charged to </w:t>
      </w:r>
      <w:r>
        <w:rPr>
          <w:w w:val="105"/>
          <w:sz w:val="21"/>
        </w:rPr>
        <w:t>the</w:t>
      </w:r>
      <w:r>
        <w:rPr>
          <w:spacing w:val="18"/>
          <w:w w:val="105"/>
          <w:sz w:val="21"/>
        </w:rPr>
        <w:t> </w:t>
      </w:r>
      <w:r>
        <w:rPr>
          <w:spacing w:val="-5"/>
          <w:w w:val="105"/>
          <w:sz w:val="21"/>
        </w:rPr>
        <w:t>estate.</w:t>
      </w:r>
      <w:r>
        <w:rPr>
          <w:spacing w:val="-5"/>
          <w:w w:val="105"/>
          <w:position w:val="7"/>
          <w:sz w:val="12"/>
        </w:rPr>
        <w:t>141</w:t>
      </w:r>
    </w:p>
    <w:p>
      <w:pPr>
        <w:pStyle w:val="ListParagraph"/>
        <w:numPr>
          <w:ilvl w:val="1"/>
          <w:numId w:val="22"/>
        </w:numPr>
        <w:tabs>
          <w:tab w:pos="2381" w:val="left" w:leader="none"/>
          <w:tab w:pos="2382" w:val="left" w:leader="none"/>
        </w:tabs>
        <w:spacing w:line="242" w:lineRule="auto" w:before="123" w:after="0"/>
        <w:ind w:left="2381" w:right="1586" w:hanging="794"/>
        <w:jc w:val="left"/>
        <w:rPr>
          <w:sz w:val="21"/>
        </w:rPr>
      </w:pPr>
      <w:r>
        <w:rPr>
          <w:sz w:val="21"/>
        </w:rPr>
        <w:t>In the </w:t>
      </w:r>
      <w:r>
        <w:rPr>
          <w:spacing w:val="-4"/>
          <w:sz w:val="21"/>
        </w:rPr>
        <w:t>Commission’s view, </w:t>
      </w:r>
      <w:r>
        <w:rPr>
          <w:sz w:val="21"/>
        </w:rPr>
        <w:t>the </w:t>
      </w:r>
      <w:r>
        <w:rPr>
          <w:spacing w:val="-3"/>
          <w:sz w:val="21"/>
        </w:rPr>
        <w:t>Court </w:t>
      </w:r>
      <w:r>
        <w:rPr>
          <w:sz w:val="21"/>
        </w:rPr>
        <w:t>should </w:t>
      </w:r>
      <w:r>
        <w:rPr>
          <w:spacing w:val="-3"/>
          <w:sz w:val="21"/>
        </w:rPr>
        <w:t>have </w:t>
      </w:r>
      <w:r>
        <w:rPr>
          <w:sz w:val="21"/>
        </w:rPr>
        <w:t>the ability </w:t>
      </w:r>
      <w:r>
        <w:rPr>
          <w:spacing w:val="-3"/>
          <w:sz w:val="21"/>
        </w:rPr>
        <w:t>to </w:t>
      </w:r>
      <w:r>
        <w:rPr>
          <w:sz w:val="21"/>
        </w:rPr>
        <w:t>review </w:t>
      </w:r>
      <w:r>
        <w:rPr>
          <w:spacing w:val="-3"/>
          <w:sz w:val="21"/>
        </w:rPr>
        <w:t>all charges  to  </w:t>
      </w:r>
      <w:r>
        <w:rPr>
          <w:sz w:val="21"/>
        </w:rPr>
        <w:t>the </w:t>
      </w:r>
      <w:r>
        <w:rPr>
          <w:spacing w:val="-3"/>
          <w:sz w:val="21"/>
        </w:rPr>
        <w:t>estate, including </w:t>
      </w:r>
      <w:r>
        <w:rPr>
          <w:sz w:val="21"/>
        </w:rPr>
        <w:t>disbursements, when </w:t>
      </w:r>
      <w:r>
        <w:rPr>
          <w:spacing w:val="-3"/>
          <w:sz w:val="21"/>
        </w:rPr>
        <w:t>determining </w:t>
      </w:r>
      <w:r>
        <w:rPr>
          <w:sz w:val="21"/>
        </w:rPr>
        <w:t>whether the </w:t>
      </w:r>
      <w:r>
        <w:rPr>
          <w:spacing w:val="-3"/>
          <w:sz w:val="21"/>
        </w:rPr>
        <w:t>executor </w:t>
      </w:r>
      <w:r>
        <w:rPr>
          <w:spacing w:val="-2"/>
          <w:sz w:val="21"/>
        </w:rPr>
        <w:t>has  </w:t>
      </w:r>
      <w:r>
        <w:rPr>
          <w:spacing w:val="-3"/>
          <w:sz w:val="21"/>
        </w:rPr>
        <w:t>overcharged  for executorial </w:t>
      </w:r>
      <w:r>
        <w:rPr>
          <w:sz w:val="21"/>
        </w:rPr>
        <w:t>services. It is </w:t>
      </w:r>
      <w:r>
        <w:rPr>
          <w:spacing w:val="-3"/>
          <w:sz w:val="21"/>
        </w:rPr>
        <w:t>feasible, for example, that </w:t>
      </w:r>
      <w:r>
        <w:rPr>
          <w:sz w:val="21"/>
        </w:rPr>
        <w:t>the </w:t>
      </w:r>
      <w:r>
        <w:rPr>
          <w:spacing w:val="-3"/>
          <w:sz w:val="21"/>
        </w:rPr>
        <w:t>Court </w:t>
      </w:r>
      <w:r>
        <w:rPr>
          <w:sz w:val="21"/>
        </w:rPr>
        <w:t>would find </w:t>
      </w:r>
      <w:r>
        <w:rPr>
          <w:spacing w:val="-3"/>
          <w:sz w:val="21"/>
        </w:rPr>
        <w:t>that </w:t>
      </w:r>
      <w:r>
        <w:rPr>
          <w:sz w:val="21"/>
        </w:rPr>
        <w:t>generous disbursements </w:t>
      </w:r>
      <w:r>
        <w:rPr>
          <w:spacing w:val="-3"/>
          <w:sz w:val="21"/>
        </w:rPr>
        <w:t>have </w:t>
      </w:r>
      <w:r>
        <w:rPr>
          <w:sz w:val="21"/>
        </w:rPr>
        <w:t>been paid </w:t>
      </w:r>
      <w:r>
        <w:rPr>
          <w:spacing w:val="-3"/>
          <w:sz w:val="21"/>
        </w:rPr>
        <w:t>to </w:t>
      </w:r>
      <w:r>
        <w:rPr>
          <w:sz w:val="21"/>
        </w:rPr>
        <w:t>a </w:t>
      </w:r>
      <w:r>
        <w:rPr>
          <w:spacing w:val="-3"/>
          <w:sz w:val="21"/>
        </w:rPr>
        <w:t>company </w:t>
      </w:r>
      <w:r>
        <w:rPr>
          <w:sz w:val="21"/>
        </w:rPr>
        <w:t>of which the </w:t>
      </w:r>
      <w:r>
        <w:rPr>
          <w:spacing w:val="-3"/>
          <w:sz w:val="21"/>
        </w:rPr>
        <w:t>executor </w:t>
      </w:r>
      <w:r>
        <w:rPr>
          <w:sz w:val="21"/>
        </w:rPr>
        <w:t>is a</w:t>
      </w:r>
      <w:r>
        <w:rPr>
          <w:spacing w:val="6"/>
          <w:sz w:val="21"/>
        </w:rPr>
        <w:t> </w:t>
      </w:r>
      <w:r>
        <w:rPr>
          <w:spacing w:val="-4"/>
          <w:sz w:val="21"/>
        </w:rPr>
        <w:t>director.</w:t>
      </w:r>
    </w:p>
    <w:p>
      <w:pPr>
        <w:pStyle w:val="ListParagraph"/>
        <w:numPr>
          <w:ilvl w:val="1"/>
          <w:numId w:val="22"/>
        </w:numPr>
        <w:tabs>
          <w:tab w:pos="2381" w:val="left" w:leader="none"/>
          <w:tab w:pos="2382" w:val="left" w:leader="none"/>
        </w:tabs>
        <w:spacing w:line="242" w:lineRule="auto" w:before="125" w:after="0"/>
        <w:ind w:left="2381" w:right="1844" w:hanging="794"/>
        <w:jc w:val="left"/>
        <w:rPr>
          <w:sz w:val="21"/>
        </w:rPr>
      </w:pPr>
      <w:r>
        <w:rPr>
          <w:w w:val="105"/>
          <w:sz w:val="21"/>
        </w:rPr>
        <w:t>An associate judge of the </w:t>
      </w:r>
      <w:r>
        <w:rPr>
          <w:spacing w:val="-3"/>
          <w:w w:val="105"/>
          <w:sz w:val="21"/>
        </w:rPr>
        <w:t>Supreme Court </w:t>
      </w:r>
      <w:r>
        <w:rPr>
          <w:w w:val="105"/>
          <w:sz w:val="21"/>
        </w:rPr>
        <w:t>observed </w:t>
      </w:r>
      <w:r>
        <w:rPr>
          <w:spacing w:val="-3"/>
          <w:w w:val="105"/>
          <w:sz w:val="21"/>
        </w:rPr>
        <w:t>during consultations that, </w:t>
      </w:r>
      <w:r>
        <w:rPr>
          <w:w w:val="105"/>
          <w:sz w:val="21"/>
        </w:rPr>
        <w:t>when </w:t>
      </w:r>
      <w:r>
        <w:rPr>
          <w:spacing w:val="-3"/>
          <w:w w:val="105"/>
          <w:sz w:val="21"/>
        </w:rPr>
        <w:t>considering claims for commission, </w:t>
      </w:r>
      <w:r>
        <w:rPr>
          <w:w w:val="105"/>
          <w:sz w:val="21"/>
        </w:rPr>
        <w:t>it is necessary </w:t>
      </w:r>
      <w:r>
        <w:rPr>
          <w:spacing w:val="-3"/>
          <w:w w:val="105"/>
          <w:sz w:val="21"/>
        </w:rPr>
        <w:t>to </w:t>
      </w:r>
      <w:r>
        <w:rPr>
          <w:w w:val="105"/>
          <w:sz w:val="21"/>
        </w:rPr>
        <w:t>‘lift up the lid’ on the estate and see what work </w:t>
      </w:r>
      <w:r>
        <w:rPr>
          <w:spacing w:val="-2"/>
          <w:w w:val="105"/>
          <w:sz w:val="21"/>
        </w:rPr>
        <w:t>has </w:t>
      </w:r>
      <w:r>
        <w:rPr>
          <w:w w:val="105"/>
          <w:sz w:val="21"/>
        </w:rPr>
        <w:t>actually been carried </w:t>
      </w:r>
      <w:r>
        <w:rPr>
          <w:spacing w:val="-5"/>
          <w:w w:val="105"/>
          <w:sz w:val="21"/>
        </w:rPr>
        <w:t>out.</w:t>
      </w:r>
      <w:r>
        <w:rPr>
          <w:spacing w:val="-5"/>
          <w:w w:val="105"/>
          <w:position w:val="7"/>
          <w:sz w:val="12"/>
        </w:rPr>
        <w:t>142 </w:t>
      </w:r>
      <w:r>
        <w:rPr>
          <w:w w:val="105"/>
          <w:sz w:val="21"/>
        </w:rPr>
        <w:t>The </w:t>
      </w:r>
      <w:r>
        <w:rPr>
          <w:spacing w:val="-3"/>
          <w:w w:val="105"/>
          <w:sz w:val="21"/>
        </w:rPr>
        <w:t>Commission </w:t>
      </w:r>
      <w:r>
        <w:rPr>
          <w:w w:val="105"/>
          <w:sz w:val="21"/>
        </w:rPr>
        <w:t>considers </w:t>
      </w:r>
      <w:r>
        <w:rPr>
          <w:spacing w:val="-3"/>
          <w:w w:val="105"/>
          <w:sz w:val="21"/>
        </w:rPr>
        <w:t>that </w:t>
      </w:r>
      <w:r>
        <w:rPr>
          <w:w w:val="105"/>
          <w:sz w:val="21"/>
        </w:rPr>
        <w:t>the same </w:t>
      </w:r>
      <w:r>
        <w:rPr>
          <w:spacing w:val="-3"/>
          <w:w w:val="105"/>
          <w:sz w:val="21"/>
        </w:rPr>
        <w:t>latitude </w:t>
      </w:r>
      <w:r>
        <w:rPr>
          <w:w w:val="105"/>
          <w:sz w:val="21"/>
        </w:rPr>
        <w:t>is necessary in order </w:t>
      </w:r>
      <w:r>
        <w:rPr>
          <w:spacing w:val="-3"/>
          <w:w w:val="105"/>
          <w:sz w:val="21"/>
        </w:rPr>
        <w:t>to </w:t>
      </w:r>
      <w:r>
        <w:rPr>
          <w:w w:val="105"/>
          <w:sz w:val="21"/>
        </w:rPr>
        <w:t>review whether amounts </w:t>
      </w:r>
      <w:r>
        <w:rPr>
          <w:spacing w:val="-3"/>
          <w:w w:val="105"/>
          <w:sz w:val="21"/>
        </w:rPr>
        <w:t>charged are excessive. </w:t>
      </w:r>
      <w:r>
        <w:rPr>
          <w:w w:val="105"/>
          <w:sz w:val="21"/>
        </w:rPr>
        <w:t>Restricting the scope would </w:t>
      </w:r>
      <w:r>
        <w:rPr>
          <w:spacing w:val="-3"/>
          <w:w w:val="105"/>
          <w:sz w:val="21"/>
        </w:rPr>
        <w:t>inhibit </w:t>
      </w:r>
      <w:r>
        <w:rPr>
          <w:w w:val="105"/>
          <w:sz w:val="21"/>
        </w:rPr>
        <w:t>review of fee-for-service </w:t>
      </w:r>
      <w:r>
        <w:rPr>
          <w:spacing w:val="-3"/>
          <w:w w:val="105"/>
          <w:sz w:val="21"/>
        </w:rPr>
        <w:t>charges for executorial </w:t>
      </w:r>
      <w:r>
        <w:rPr>
          <w:w w:val="105"/>
          <w:sz w:val="21"/>
        </w:rPr>
        <w:t>services,</w:t>
      </w:r>
      <w:r>
        <w:rPr>
          <w:spacing w:val="-14"/>
          <w:w w:val="105"/>
          <w:sz w:val="21"/>
        </w:rPr>
        <w:t> </w:t>
      </w:r>
      <w:r>
        <w:rPr>
          <w:spacing w:val="-3"/>
          <w:w w:val="105"/>
          <w:sz w:val="21"/>
        </w:rPr>
        <w:t>inappropriate</w:t>
      </w:r>
      <w:r>
        <w:rPr>
          <w:spacing w:val="-14"/>
          <w:w w:val="105"/>
          <w:sz w:val="21"/>
        </w:rPr>
        <w:t> </w:t>
      </w:r>
      <w:r>
        <w:rPr>
          <w:spacing w:val="-3"/>
          <w:w w:val="105"/>
          <w:sz w:val="21"/>
        </w:rPr>
        <w:t>charges</w:t>
      </w:r>
      <w:r>
        <w:rPr>
          <w:spacing w:val="-14"/>
          <w:w w:val="105"/>
          <w:sz w:val="21"/>
        </w:rPr>
        <w:t> </w:t>
      </w:r>
      <w:r>
        <w:rPr>
          <w:spacing w:val="-3"/>
          <w:w w:val="105"/>
          <w:sz w:val="21"/>
        </w:rPr>
        <w:t>for</w:t>
      </w:r>
      <w:r>
        <w:rPr>
          <w:spacing w:val="-14"/>
          <w:w w:val="105"/>
          <w:sz w:val="21"/>
        </w:rPr>
        <w:t> </w:t>
      </w:r>
      <w:r>
        <w:rPr>
          <w:w w:val="105"/>
          <w:sz w:val="21"/>
        </w:rPr>
        <w:t>legal</w:t>
      </w:r>
      <w:r>
        <w:rPr>
          <w:spacing w:val="-13"/>
          <w:w w:val="105"/>
          <w:sz w:val="21"/>
        </w:rPr>
        <w:t> </w:t>
      </w:r>
      <w:r>
        <w:rPr>
          <w:w w:val="105"/>
          <w:sz w:val="21"/>
        </w:rPr>
        <w:t>costs</w:t>
      </w:r>
      <w:r>
        <w:rPr>
          <w:spacing w:val="-14"/>
          <w:w w:val="105"/>
          <w:sz w:val="21"/>
        </w:rPr>
        <w:t> </w:t>
      </w:r>
      <w:r>
        <w:rPr>
          <w:w w:val="105"/>
          <w:sz w:val="21"/>
        </w:rPr>
        <w:t>and</w:t>
      </w:r>
      <w:r>
        <w:rPr>
          <w:spacing w:val="-14"/>
          <w:w w:val="105"/>
          <w:sz w:val="21"/>
        </w:rPr>
        <w:t> </w:t>
      </w:r>
      <w:r>
        <w:rPr>
          <w:w w:val="105"/>
          <w:sz w:val="21"/>
        </w:rPr>
        <w:t>disbursements,</w:t>
      </w:r>
      <w:r>
        <w:rPr>
          <w:spacing w:val="-14"/>
          <w:w w:val="105"/>
          <w:sz w:val="21"/>
        </w:rPr>
        <w:t> </w:t>
      </w:r>
      <w:r>
        <w:rPr>
          <w:w w:val="105"/>
          <w:sz w:val="21"/>
        </w:rPr>
        <w:t>and</w:t>
      </w:r>
      <w:r>
        <w:rPr>
          <w:spacing w:val="-13"/>
          <w:w w:val="105"/>
          <w:sz w:val="21"/>
        </w:rPr>
        <w:t> </w:t>
      </w:r>
      <w:r>
        <w:rPr>
          <w:w w:val="105"/>
          <w:sz w:val="21"/>
        </w:rPr>
        <w:t>the</w:t>
      </w:r>
      <w:r>
        <w:rPr>
          <w:spacing w:val="-14"/>
          <w:w w:val="105"/>
          <w:sz w:val="21"/>
        </w:rPr>
        <w:t> </w:t>
      </w:r>
      <w:r>
        <w:rPr>
          <w:w w:val="105"/>
          <w:sz w:val="21"/>
        </w:rPr>
        <w:t>identification of</w:t>
      </w:r>
      <w:r>
        <w:rPr>
          <w:spacing w:val="5"/>
          <w:w w:val="105"/>
          <w:sz w:val="21"/>
        </w:rPr>
        <w:t> </w:t>
      </w:r>
      <w:r>
        <w:rPr>
          <w:w w:val="105"/>
          <w:sz w:val="21"/>
        </w:rPr>
        <w:t>double-dipping.</w:t>
      </w:r>
    </w:p>
    <w:p>
      <w:pPr>
        <w:pStyle w:val="BodyText"/>
        <w:spacing w:before="3"/>
        <w:rPr>
          <w:sz w:val="27"/>
        </w:rPr>
      </w:pPr>
    </w:p>
    <w:p>
      <w:pPr>
        <w:pStyle w:val="Heading6"/>
      </w:pPr>
      <w:r>
        <w:rPr>
          <w:w w:val="115"/>
        </w:rPr>
        <w:t>Court-initiated review</w:t>
      </w:r>
    </w:p>
    <w:p>
      <w:pPr>
        <w:pStyle w:val="ListParagraph"/>
        <w:numPr>
          <w:ilvl w:val="1"/>
          <w:numId w:val="22"/>
        </w:numPr>
        <w:tabs>
          <w:tab w:pos="2380" w:val="left" w:leader="none"/>
          <w:tab w:pos="2381" w:val="left" w:leader="none"/>
        </w:tabs>
        <w:spacing w:line="242" w:lineRule="auto" w:before="151" w:after="0"/>
        <w:ind w:left="2381" w:right="1739" w:hanging="794"/>
        <w:jc w:val="left"/>
        <w:rPr>
          <w:sz w:val="21"/>
        </w:rPr>
      </w:pPr>
      <w:r>
        <w:rPr>
          <w:sz w:val="21"/>
        </w:rPr>
        <w:t>A review under section 86A of the NSW </w:t>
      </w:r>
      <w:r>
        <w:rPr>
          <w:spacing w:val="-3"/>
          <w:sz w:val="21"/>
        </w:rPr>
        <w:t>Probate  </w:t>
      </w:r>
      <w:r>
        <w:rPr>
          <w:sz w:val="21"/>
        </w:rPr>
        <w:t>and </w:t>
      </w:r>
      <w:r>
        <w:rPr>
          <w:spacing w:val="-3"/>
          <w:sz w:val="21"/>
        </w:rPr>
        <w:t>Administration</w:t>
      </w:r>
      <w:r>
        <w:rPr>
          <w:spacing w:val="41"/>
          <w:sz w:val="21"/>
        </w:rPr>
        <w:t> </w:t>
      </w:r>
      <w:r>
        <w:rPr>
          <w:sz w:val="21"/>
        </w:rPr>
        <w:t>Act can be </w:t>
      </w:r>
      <w:r>
        <w:rPr>
          <w:spacing w:val="-3"/>
          <w:sz w:val="21"/>
        </w:rPr>
        <w:t>initiated   </w:t>
      </w:r>
      <w:r>
        <w:rPr>
          <w:sz w:val="21"/>
        </w:rPr>
        <w:t>by either a person </w:t>
      </w:r>
      <w:r>
        <w:rPr>
          <w:spacing w:val="-3"/>
          <w:sz w:val="21"/>
        </w:rPr>
        <w:t>interested </w:t>
      </w:r>
      <w:r>
        <w:rPr>
          <w:sz w:val="21"/>
        </w:rPr>
        <w:t>in the estate or the </w:t>
      </w:r>
      <w:r>
        <w:rPr>
          <w:spacing w:val="-3"/>
          <w:sz w:val="21"/>
        </w:rPr>
        <w:t>Court itself. </w:t>
      </w:r>
      <w:r>
        <w:rPr>
          <w:sz w:val="21"/>
        </w:rPr>
        <w:t>The proposals by the Law </w:t>
      </w:r>
      <w:r>
        <w:rPr>
          <w:spacing w:val="-3"/>
          <w:sz w:val="21"/>
        </w:rPr>
        <w:t>Institute  </w:t>
      </w:r>
      <w:r>
        <w:rPr>
          <w:sz w:val="21"/>
        </w:rPr>
        <w:t>of Victoria and the </w:t>
      </w:r>
      <w:r>
        <w:rPr>
          <w:spacing w:val="-3"/>
          <w:sz w:val="21"/>
        </w:rPr>
        <w:t>Probate</w:t>
      </w:r>
      <w:r>
        <w:rPr>
          <w:spacing w:val="41"/>
          <w:sz w:val="21"/>
        </w:rPr>
        <w:t> </w:t>
      </w:r>
      <w:r>
        <w:rPr>
          <w:sz w:val="21"/>
        </w:rPr>
        <w:t>Users </w:t>
      </w:r>
      <w:r>
        <w:rPr>
          <w:spacing w:val="-3"/>
          <w:sz w:val="21"/>
        </w:rPr>
        <w:t>Committee  allowed  </w:t>
      </w:r>
      <w:r>
        <w:rPr>
          <w:sz w:val="21"/>
        </w:rPr>
        <w:t>a review </w:t>
      </w:r>
      <w:r>
        <w:rPr>
          <w:spacing w:val="-3"/>
          <w:sz w:val="21"/>
        </w:rPr>
        <w:t>to  </w:t>
      </w:r>
      <w:r>
        <w:rPr>
          <w:sz w:val="21"/>
        </w:rPr>
        <w:t>be </w:t>
      </w:r>
      <w:r>
        <w:rPr>
          <w:spacing w:val="-3"/>
          <w:sz w:val="21"/>
        </w:rPr>
        <w:t>initiated </w:t>
      </w:r>
      <w:r>
        <w:rPr>
          <w:sz w:val="21"/>
        </w:rPr>
        <w:t>only by an </w:t>
      </w:r>
      <w:r>
        <w:rPr>
          <w:spacing w:val="-3"/>
          <w:sz w:val="21"/>
        </w:rPr>
        <w:t>interested</w:t>
      </w:r>
      <w:r>
        <w:rPr>
          <w:spacing w:val="33"/>
          <w:sz w:val="21"/>
        </w:rPr>
        <w:t> </w:t>
      </w:r>
      <w:r>
        <w:rPr>
          <w:sz w:val="21"/>
        </w:rPr>
        <w:t>person.</w:t>
      </w:r>
    </w:p>
    <w:p>
      <w:pPr>
        <w:pStyle w:val="BodyText"/>
        <w:rPr>
          <w:sz w:val="20"/>
        </w:rPr>
      </w:pPr>
    </w:p>
    <w:p>
      <w:pPr>
        <w:pStyle w:val="BodyText"/>
        <w:rPr>
          <w:sz w:val="20"/>
        </w:rPr>
      </w:pPr>
    </w:p>
    <w:p>
      <w:pPr>
        <w:pStyle w:val="BodyText"/>
        <w:rPr>
          <w:sz w:val="20"/>
        </w:rPr>
      </w:pPr>
    </w:p>
    <w:p>
      <w:pPr>
        <w:pStyle w:val="BodyText"/>
        <w:spacing w:before="4"/>
        <w:rPr>
          <w:sz w:val="18"/>
        </w:rPr>
      </w:pPr>
      <w:r>
        <w:rPr/>
        <w:pict>
          <v:line style="position:absolute;mso-position-horizontal-relative:page;mso-position-vertical-relative:paragraph;z-index:9608;mso-wrap-distance-left:0;mso-wrap-distance-right:0" from="79.370102pt,13.638526pt" to="515.905102pt,13.638526pt" stroked="true" strokeweight="1pt" strokecolor="#f9ceca">
            <v:stroke dashstyle="solid"/>
            <w10:wrap type="topAndBottom"/>
          </v:line>
        </w:pict>
      </w:r>
    </w:p>
    <w:p>
      <w:pPr>
        <w:pStyle w:val="BodyText"/>
        <w:spacing w:before="8"/>
        <w:rPr>
          <w:sz w:val="5"/>
        </w:rPr>
      </w:pPr>
    </w:p>
    <w:p>
      <w:pPr>
        <w:spacing w:after="0"/>
        <w:rPr>
          <w:sz w:val="5"/>
        </w:rPr>
        <w:sectPr>
          <w:pgSz w:w="11910" w:h="16840"/>
          <w:pgMar w:header="805" w:footer="0" w:top="1360" w:bottom="280" w:left="0" w:right="0"/>
        </w:sectPr>
      </w:pPr>
    </w:p>
    <w:p>
      <w:pPr>
        <w:pStyle w:val="ListParagraph"/>
        <w:numPr>
          <w:ilvl w:val="0"/>
          <w:numId w:val="122"/>
        </w:numPr>
        <w:tabs>
          <w:tab w:pos="2380" w:val="left" w:leader="none"/>
          <w:tab w:pos="2382" w:val="left" w:leader="none"/>
        </w:tabs>
        <w:spacing w:line="240" w:lineRule="auto" w:before="48" w:after="0"/>
        <w:ind w:left="2381" w:right="0" w:hanging="794"/>
        <w:jc w:val="left"/>
        <w:rPr>
          <w:sz w:val="13"/>
        </w:rPr>
      </w:pPr>
      <w:r>
        <w:rPr>
          <w:w w:val="105"/>
          <w:sz w:val="13"/>
        </w:rPr>
        <w:t>Submissions 8 (Patricia Strachan); </w:t>
      </w:r>
      <w:r>
        <w:rPr>
          <w:spacing w:val="-3"/>
          <w:w w:val="105"/>
          <w:sz w:val="13"/>
        </w:rPr>
        <w:t>19 </w:t>
      </w:r>
      <w:r>
        <w:rPr>
          <w:spacing w:val="2"/>
          <w:w w:val="105"/>
          <w:sz w:val="13"/>
        </w:rPr>
        <w:t>(Association </w:t>
      </w:r>
      <w:r>
        <w:rPr>
          <w:w w:val="105"/>
          <w:sz w:val="13"/>
        </w:rPr>
        <w:t>of Independent Retirees); 22 (Paul Bravender-Cole); 25 </w:t>
      </w:r>
      <w:r>
        <w:rPr>
          <w:spacing w:val="2"/>
          <w:w w:val="105"/>
          <w:sz w:val="13"/>
        </w:rPr>
        <w:t>(Moores </w:t>
      </w:r>
      <w:r>
        <w:rPr>
          <w:w w:val="105"/>
          <w:sz w:val="13"/>
        </w:rPr>
        <w:t>Legal); 32 </w:t>
      </w:r>
      <w:r>
        <w:rPr>
          <w:spacing w:val="2"/>
          <w:w w:val="105"/>
          <w:sz w:val="13"/>
        </w:rPr>
        <w:t>(The </w:t>
      </w:r>
      <w:r>
        <w:rPr>
          <w:w w:val="105"/>
          <w:sz w:val="13"/>
        </w:rPr>
        <w:t>Institute of</w:t>
      </w:r>
      <w:r>
        <w:rPr>
          <w:spacing w:val="7"/>
          <w:w w:val="105"/>
          <w:sz w:val="13"/>
        </w:rPr>
        <w:t> </w:t>
      </w:r>
      <w:r>
        <w:rPr>
          <w:w w:val="105"/>
          <w:sz w:val="13"/>
        </w:rPr>
        <w:t>Legal</w:t>
      </w:r>
      <w:r>
        <w:rPr>
          <w:spacing w:val="8"/>
          <w:w w:val="105"/>
          <w:sz w:val="13"/>
        </w:rPr>
        <w:t> </w:t>
      </w:r>
      <w:r>
        <w:rPr>
          <w:w w:val="105"/>
          <w:sz w:val="13"/>
        </w:rPr>
        <w:t>Executives);</w:t>
      </w:r>
      <w:r>
        <w:rPr>
          <w:spacing w:val="7"/>
          <w:w w:val="105"/>
          <w:sz w:val="13"/>
        </w:rPr>
        <w:t> </w:t>
      </w:r>
      <w:r>
        <w:rPr>
          <w:w w:val="105"/>
          <w:sz w:val="13"/>
        </w:rPr>
        <w:t>36</w:t>
      </w:r>
      <w:r>
        <w:rPr>
          <w:spacing w:val="8"/>
          <w:w w:val="105"/>
          <w:sz w:val="13"/>
        </w:rPr>
        <w:t> </w:t>
      </w:r>
      <w:r>
        <w:rPr>
          <w:spacing w:val="3"/>
          <w:w w:val="105"/>
          <w:sz w:val="13"/>
        </w:rPr>
        <w:t>(Law</w:t>
      </w:r>
      <w:r>
        <w:rPr>
          <w:spacing w:val="7"/>
          <w:w w:val="105"/>
          <w:sz w:val="13"/>
        </w:rPr>
        <w:t> </w:t>
      </w:r>
      <w:r>
        <w:rPr>
          <w:w w:val="105"/>
          <w:sz w:val="13"/>
        </w:rPr>
        <w:t>Society</w:t>
      </w:r>
      <w:r>
        <w:rPr>
          <w:spacing w:val="8"/>
          <w:w w:val="105"/>
          <w:sz w:val="13"/>
        </w:rPr>
        <w:t> </w:t>
      </w:r>
      <w:r>
        <w:rPr>
          <w:w w:val="105"/>
          <w:sz w:val="13"/>
        </w:rPr>
        <w:t>of</w:t>
      </w:r>
      <w:r>
        <w:rPr>
          <w:spacing w:val="8"/>
          <w:w w:val="105"/>
          <w:sz w:val="13"/>
        </w:rPr>
        <w:t> </w:t>
      </w:r>
      <w:r>
        <w:rPr>
          <w:w w:val="105"/>
          <w:sz w:val="13"/>
        </w:rPr>
        <w:t>New</w:t>
      </w:r>
      <w:r>
        <w:rPr>
          <w:spacing w:val="7"/>
          <w:w w:val="105"/>
          <w:sz w:val="13"/>
        </w:rPr>
        <w:t> </w:t>
      </w:r>
      <w:r>
        <w:rPr>
          <w:w w:val="105"/>
          <w:sz w:val="13"/>
        </w:rPr>
        <w:t>South</w:t>
      </w:r>
      <w:r>
        <w:rPr>
          <w:spacing w:val="8"/>
          <w:w w:val="105"/>
          <w:sz w:val="13"/>
        </w:rPr>
        <w:t> </w:t>
      </w:r>
      <w:r>
        <w:rPr>
          <w:w w:val="105"/>
          <w:sz w:val="13"/>
        </w:rPr>
        <w:t>Wales);</w:t>
      </w:r>
      <w:r>
        <w:rPr>
          <w:spacing w:val="7"/>
          <w:w w:val="105"/>
          <w:sz w:val="13"/>
        </w:rPr>
        <w:t> </w:t>
      </w:r>
      <w:r>
        <w:rPr>
          <w:w w:val="105"/>
          <w:sz w:val="13"/>
        </w:rPr>
        <w:t>37</w:t>
      </w:r>
      <w:r>
        <w:rPr>
          <w:spacing w:val="8"/>
          <w:w w:val="105"/>
          <w:sz w:val="13"/>
        </w:rPr>
        <w:t> </w:t>
      </w:r>
      <w:r>
        <w:rPr>
          <w:w w:val="105"/>
          <w:sz w:val="13"/>
        </w:rPr>
        <w:t>(Supreme</w:t>
      </w:r>
      <w:r>
        <w:rPr>
          <w:spacing w:val="8"/>
          <w:w w:val="105"/>
          <w:sz w:val="13"/>
        </w:rPr>
        <w:t> </w:t>
      </w:r>
      <w:r>
        <w:rPr>
          <w:w w:val="105"/>
          <w:sz w:val="13"/>
        </w:rPr>
        <w:t>Court</w:t>
      </w:r>
      <w:r>
        <w:rPr>
          <w:spacing w:val="7"/>
          <w:w w:val="105"/>
          <w:sz w:val="13"/>
        </w:rPr>
        <w:t> </w:t>
      </w:r>
      <w:r>
        <w:rPr>
          <w:w w:val="105"/>
          <w:sz w:val="13"/>
        </w:rPr>
        <w:t>of</w:t>
      </w:r>
      <w:r>
        <w:rPr>
          <w:spacing w:val="8"/>
          <w:w w:val="105"/>
          <w:sz w:val="13"/>
        </w:rPr>
        <w:t> </w:t>
      </w:r>
      <w:r>
        <w:rPr>
          <w:spacing w:val="2"/>
          <w:w w:val="105"/>
          <w:sz w:val="13"/>
        </w:rPr>
        <w:t>Victoria);</w:t>
      </w:r>
      <w:r>
        <w:rPr>
          <w:spacing w:val="7"/>
          <w:w w:val="105"/>
          <w:sz w:val="13"/>
        </w:rPr>
        <w:t> </w:t>
      </w:r>
      <w:r>
        <w:rPr>
          <w:w w:val="105"/>
          <w:sz w:val="13"/>
        </w:rPr>
        <w:t>39</w:t>
      </w:r>
      <w:r>
        <w:rPr>
          <w:spacing w:val="8"/>
          <w:w w:val="105"/>
          <w:sz w:val="13"/>
        </w:rPr>
        <w:t> </w:t>
      </w:r>
      <w:r>
        <w:rPr>
          <w:w w:val="105"/>
          <w:sz w:val="13"/>
        </w:rPr>
        <w:t>(Carolyn</w:t>
      </w:r>
      <w:r>
        <w:rPr>
          <w:spacing w:val="8"/>
          <w:w w:val="105"/>
          <w:sz w:val="13"/>
        </w:rPr>
        <w:t> </w:t>
      </w:r>
      <w:r>
        <w:rPr>
          <w:w w:val="105"/>
          <w:sz w:val="13"/>
        </w:rPr>
        <w:t>Sparke);</w:t>
      </w:r>
      <w:r>
        <w:rPr>
          <w:spacing w:val="7"/>
          <w:w w:val="105"/>
          <w:sz w:val="13"/>
        </w:rPr>
        <w:t> </w:t>
      </w:r>
      <w:r>
        <w:rPr>
          <w:w w:val="105"/>
          <w:sz w:val="13"/>
        </w:rPr>
        <w:t>40</w:t>
      </w:r>
      <w:r>
        <w:rPr>
          <w:spacing w:val="8"/>
          <w:w w:val="105"/>
          <w:sz w:val="13"/>
        </w:rPr>
        <w:t> </w:t>
      </w:r>
      <w:r>
        <w:rPr>
          <w:w w:val="105"/>
          <w:sz w:val="13"/>
        </w:rPr>
        <w:t>(Janice</w:t>
      </w:r>
      <w:r>
        <w:rPr>
          <w:spacing w:val="7"/>
          <w:w w:val="105"/>
          <w:sz w:val="13"/>
        </w:rPr>
        <w:t> </w:t>
      </w:r>
      <w:r>
        <w:rPr>
          <w:w w:val="105"/>
          <w:sz w:val="13"/>
        </w:rPr>
        <w:t>Brownfoot).</w:t>
      </w:r>
    </w:p>
    <w:p>
      <w:pPr>
        <w:pStyle w:val="ListParagraph"/>
        <w:numPr>
          <w:ilvl w:val="0"/>
          <w:numId w:val="122"/>
        </w:numPr>
        <w:tabs>
          <w:tab w:pos="2380" w:val="left" w:leader="none"/>
          <w:tab w:pos="2382" w:val="left" w:leader="none"/>
        </w:tabs>
        <w:spacing w:line="240" w:lineRule="auto" w:before="3" w:after="0"/>
        <w:ind w:left="2381" w:right="0" w:hanging="794"/>
        <w:jc w:val="left"/>
        <w:rPr>
          <w:sz w:val="13"/>
        </w:rPr>
      </w:pPr>
      <w:r>
        <w:rPr>
          <w:w w:val="105"/>
          <w:sz w:val="13"/>
        </w:rPr>
        <w:t>Submission 26 </w:t>
      </w:r>
      <w:r>
        <w:rPr>
          <w:spacing w:val="2"/>
          <w:w w:val="105"/>
          <w:sz w:val="13"/>
        </w:rPr>
        <w:t>(Rigby </w:t>
      </w:r>
      <w:r>
        <w:rPr>
          <w:w w:val="105"/>
          <w:sz w:val="13"/>
        </w:rPr>
        <w:t>Cooke</w:t>
      </w:r>
      <w:r>
        <w:rPr>
          <w:spacing w:val="16"/>
          <w:w w:val="105"/>
          <w:sz w:val="13"/>
        </w:rPr>
        <w:t> </w:t>
      </w:r>
      <w:r>
        <w:rPr>
          <w:spacing w:val="2"/>
          <w:w w:val="105"/>
          <w:sz w:val="13"/>
        </w:rPr>
        <w:t>Lawyers).</w:t>
      </w:r>
    </w:p>
    <w:p>
      <w:pPr>
        <w:pStyle w:val="ListParagraph"/>
        <w:numPr>
          <w:ilvl w:val="0"/>
          <w:numId w:val="122"/>
        </w:numPr>
        <w:tabs>
          <w:tab w:pos="2380" w:val="left" w:leader="none"/>
          <w:tab w:pos="2382" w:val="left" w:leader="none"/>
        </w:tabs>
        <w:spacing w:line="240" w:lineRule="auto" w:before="1" w:after="0"/>
        <w:ind w:left="2381" w:right="363" w:hanging="794"/>
        <w:jc w:val="left"/>
        <w:rPr>
          <w:sz w:val="13"/>
        </w:rPr>
      </w:pPr>
      <w:r>
        <w:rPr>
          <w:w w:val="105"/>
          <w:sz w:val="13"/>
        </w:rPr>
        <w:t>Submission 33 (State Trustees Limited). Submission </w:t>
      </w:r>
      <w:r>
        <w:rPr>
          <w:spacing w:val="-3"/>
          <w:w w:val="105"/>
          <w:sz w:val="13"/>
        </w:rPr>
        <w:t>14 </w:t>
      </w:r>
      <w:r>
        <w:rPr>
          <w:w w:val="105"/>
          <w:sz w:val="13"/>
        </w:rPr>
        <w:t>(Commercial Bar </w:t>
      </w:r>
      <w:r>
        <w:rPr>
          <w:spacing w:val="2"/>
          <w:w w:val="105"/>
          <w:sz w:val="13"/>
        </w:rPr>
        <w:t>Association) </w:t>
      </w:r>
      <w:r>
        <w:rPr>
          <w:w w:val="105"/>
          <w:sz w:val="13"/>
        </w:rPr>
        <w:t>suggested that the Court’s power be limited to commission</w:t>
      </w:r>
      <w:r>
        <w:rPr>
          <w:spacing w:val="4"/>
          <w:w w:val="105"/>
          <w:sz w:val="13"/>
        </w:rPr>
        <w:t> </w:t>
      </w:r>
      <w:r>
        <w:rPr>
          <w:w w:val="105"/>
          <w:sz w:val="13"/>
        </w:rPr>
        <w:t>in</w:t>
      </w:r>
      <w:r>
        <w:rPr>
          <w:spacing w:val="5"/>
          <w:w w:val="105"/>
          <w:sz w:val="13"/>
        </w:rPr>
        <w:t> </w:t>
      </w:r>
      <w:r>
        <w:rPr>
          <w:w w:val="105"/>
          <w:sz w:val="13"/>
        </w:rPr>
        <w:t>the</w:t>
      </w:r>
      <w:r>
        <w:rPr>
          <w:spacing w:val="4"/>
          <w:w w:val="105"/>
          <w:sz w:val="13"/>
        </w:rPr>
        <w:t> </w:t>
      </w:r>
      <w:r>
        <w:rPr>
          <w:w w:val="105"/>
          <w:sz w:val="13"/>
        </w:rPr>
        <w:t>first</w:t>
      </w:r>
      <w:r>
        <w:rPr>
          <w:spacing w:val="5"/>
          <w:w w:val="105"/>
          <w:sz w:val="13"/>
        </w:rPr>
        <w:t> </w:t>
      </w:r>
      <w:r>
        <w:rPr>
          <w:w w:val="105"/>
          <w:sz w:val="13"/>
        </w:rPr>
        <w:t>instance</w:t>
      </w:r>
      <w:r>
        <w:rPr>
          <w:spacing w:val="5"/>
          <w:w w:val="105"/>
          <w:sz w:val="13"/>
        </w:rPr>
        <w:t> </w:t>
      </w:r>
      <w:r>
        <w:rPr>
          <w:w w:val="105"/>
          <w:sz w:val="13"/>
        </w:rPr>
        <w:t>unless</w:t>
      </w:r>
      <w:r>
        <w:rPr>
          <w:spacing w:val="4"/>
          <w:w w:val="105"/>
          <w:sz w:val="13"/>
        </w:rPr>
        <w:t> </w:t>
      </w:r>
      <w:r>
        <w:rPr>
          <w:w w:val="105"/>
          <w:sz w:val="13"/>
        </w:rPr>
        <w:t>the</w:t>
      </w:r>
      <w:r>
        <w:rPr>
          <w:spacing w:val="5"/>
          <w:w w:val="105"/>
          <w:sz w:val="13"/>
        </w:rPr>
        <w:t> </w:t>
      </w:r>
      <w:r>
        <w:rPr>
          <w:w w:val="105"/>
          <w:sz w:val="13"/>
        </w:rPr>
        <w:t>applicant</w:t>
      </w:r>
      <w:r>
        <w:rPr>
          <w:spacing w:val="5"/>
          <w:w w:val="105"/>
          <w:sz w:val="13"/>
        </w:rPr>
        <w:t> </w:t>
      </w:r>
      <w:r>
        <w:rPr>
          <w:w w:val="105"/>
          <w:sz w:val="13"/>
        </w:rPr>
        <w:t>for</w:t>
      </w:r>
      <w:r>
        <w:rPr>
          <w:spacing w:val="4"/>
          <w:w w:val="105"/>
          <w:sz w:val="13"/>
        </w:rPr>
        <w:t> </w:t>
      </w:r>
      <w:r>
        <w:rPr>
          <w:w w:val="105"/>
          <w:sz w:val="13"/>
        </w:rPr>
        <w:t>review</w:t>
      </w:r>
      <w:r>
        <w:rPr>
          <w:spacing w:val="5"/>
          <w:w w:val="105"/>
          <w:sz w:val="13"/>
        </w:rPr>
        <w:t> </w:t>
      </w:r>
      <w:r>
        <w:rPr>
          <w:w w:val="105"/>
          <w:sz w:val="13"/>
        </w:rPr>
        <w:t>suggests</w:t>
      </w:r>
      <w:r>
        <w:rPr>
          <w:spacing w:val="4"/>
          <w:w w:val="105"/>
          <w:sz w:val="13"/>
        </w:rPr>
        <w:t> </w:t>
      </w:r>
      <w:r>
        <w:rPr>
          <w:w w:val="105"/>
          <w:sz w:val="13"/>
        </w:rPr>
        <w:t>special</w:t>
      </w:r>
      <w:r>
        <w:rPr>
          <w:spacing w:val="5"/>
          <w:w w:val="105"/>
          <w:sz w:val="13"/>
        </w:rPr>
        <w:t> </w:t>
      </w:r>
      <w:r>
        <w:rPr>
          <w:w w:val="105"/>
          <w:sz w:val="13"/>
        </w:rPr>
        <w:t>circumstances.</w:t>
      </w:r>
    </w:p>
    <w:p>
      <w:pPr>
        <w:pStyle w:val="ListParagraph"/>
        <w:numPr>
          <w:ilvl w:val="0"/>
          <w:numId w:val="122"/>
        </w:numPr>
        <w:tabs>
          <w:tab w:pos="2380" w:val="left" w:leader="none"/>
          <w:tab w:pos="2382" w:val="left" w:leader="none"/>
        </w:tabs>
        <w:spacing w:line="240" w:lineRule="auto" w:before="3" w:after="0"/>
        <w:ind w:left="2381" w:right="0" w:hanging="794"/>
        <w:jc w:val="left"/>
        <w:rPr>
          <w:sz w:val="13"/>
        </w:rPr>
      </w:pPr>
      <w:r>
        <w:rPr>
          <w:w w:val="105"/>
          <w:sz w:val="13"/>
        </w:rPr>
        <w:t>Submissions 26 </w:t>
      </w:r>
      <w:r>
        <w:rPr>
          <w:spacing w:val="2"/>
          <w:w w:val="105"/>
          <w:sz w:val="13"/>
        </w:rPr>
        <w:t>(Rigby </w:t>
      </w:r>
      <w:r>
        <w:rPr>
          <w:w w:val="105"/>
          <w:sz w:val="13"/>
        </w:rPr>
        <w:t>Cooke </w:t>
      </w:r>
      <w:r>
        <w:rPr>
          <w:spacing w:val="2"/>
          <w:w w:val="105"/>
          <w:sz w:val="13"/>
        </w:rPr>
        <w:t>Lawyers); </w:t>
      </w:r>
      <w:r>
        <w:rPr>
          <w:w w:val="105"/>
          <w:sz w:val="13"/>
        </w:rPr>
        <w:t>30a </w:t>
      </w:r>
      <w:r>
        <w:rPr>
          <w:spacing w:val="3"/>
          <w:w w:val="105"/>
          <w:sz w:val="13"/>
        </w:rPr>
        <w:t>(Law </w:t>
      </w:r>
      <w:r>
        <w:rPr>
          <w:w w:val="105"/>
          <w:sz w:val="13"/>
        </w:rPr>
        <w:t>Institute of</w:t>
      </w:r>
      <w:r>
        <w:rPr>
          <w:spacing w:val="2"/>
          <w:w w:val="105"/>
          <w:sz w:val="13"/>
        </w:rPr>
        <w:t> Victoria).</w:t>
      </w:r>
    </w:p>
    <w:p>
      <w:pPr>
        <w:pStyle w:val="ListParagraph"/>
        <w:numPr>
          <w:ilvl w:val="0"/>
          <w:numId w:val="122"/>
        </w:numPr>
        <w:tabs>
          <w:tab w:pos="2380" w:val="left" w:leader="none"/>
          <w:tab w:pos="2382" w:val="left" w:leader="none"/>
        </w:tabs>
        <w:spacing w:line="240" w:lineRule="auto" w:before="1" w:after="0"/>
        <w:ind w:left="2381" w:right="0" w:hanging="794"/>
        <w:jc w:val="left"/>
        <w:rPr>
          <w:sz w:val="13"/>
        </w:rPr>
      </w:pPr>
      <w:r>
        <w:rPr>
          <w:w w:val="105"/>
          <w:sz w:val="13"/>
        </w:rPr>
        <w:t>Consultation 16 (Supreme Court of </w:t>
      </w:r>
      <w:r>
        <w:rPr>
          <w:spacing w:val="2"/>
          <w:w w:val="105"/>
          <w:sz w:val="13"/>
        </w:rPr>
        <w:t>Victoria—Associate</w:t>
      </w:r>
      <w:r>
        <w:rPr>
          <w:spacing w:val="29"/>
          <w:w w:val="105"/>
          <w:sz w:val="13"/>
        </w:rPr>
        <w:t> </w:t>
      </w:r>
      <w:r>
        <w:rPr>
          <w:w w:val="105"/>
          <w:sz w:val="13"/>
        </w:rPr>
        <w:t>Judges).</w:t>
      </w:r>
    </w:p>
    <w:p>
      <w:pPr>
        <w:pStyle w:val="BodyText"/>
        <w:rPr>
          <w:sz w:val="28"/>
        </w:rPr>
      </w:pPr>
      <w:r>
        <w:rPr/>
        <w:br w:type="column"/>
      </w:r>
      <w:r>
        <w:rPr>
          <w:sz w:val="28"/>
        </w:rPr>
      </w:r>
    </w:p>
    <w:p>
      <w:pPr>
        <w:pStyle w:val="BodyText"/>
        <w:rPr>
          <w:sz w:val="28"/>
        </w:rPr>
      </w:pPr>
    </w:p>
    <w:p>
      <w:pPr>
        <w:spacing w:before="220"/>
        <w:ind w:left="635" w:right="581" w:firstLine="0"/>
        <w:jc w:val="center"/>
        <w:rPr>
          <w:b/>
          <w:sz w:val="24"/>
        </w:rPr>
      </w:pPr>
      <w:r>
        <w:rPr>
          <w:b/>
          <w:color w:val="EC5A4F"/>
          <w:w w:val="110"/>
          <w:sz w:val="24"/>
        </w:rPr>
        <w:t>161</w:t>
      </w:r>
    </w:p>
    <w:p>
      <w:pPr>
        <w:spacing w:after="0"/>
        <w:jc w:val="center"/>
        <w:rPr>
          <w:sz w:val="24"/>
        </w:rPr>
        <w:sectPr>
          <w:type w:val="continuous"/>
          <w:pgSz w:w="11910" w:h="16840"/>
          <w:pgMar w:top="920" w:bottom="280" w:left="0" w:right="0"/>
          <w:cols w:num="2" w:equalWidth="0">
            <w:col w:w="10211" w:space="40"/>
            <w:col w:w="1659"/>
          </w:cols>
        </w:sectPr>
      </w:pPr>
    </w:p>
    <w:p>
      <w:pPr>
        <w:pStyle w:val="BodyText"/>
        <w:spacing w:before="9"/>
        <w:rPr>
          <w:b/>
          <w:sz w:val="22"/>
        </w:rPr>
      </w:pPr>
    </w:p>
    <w:p>
      <w:pPr>
        <w:pStyle w:val="ListParagraph"/>
        <w:numPr>
          <w:ilvl w:val="1"/>
          <w:numId w:val="22"/>
        </w:numPr>
        <w:tabs>
          <w:tab w:pos="2380" w:val="left" w:leader="none"/>
          <w:tab w:pos="2381" w:val="left" w:leader="none"/>
        </w:tabs>
        <w:spacing w:line="242" w:lineRule="auto" w:before="92" w:after="0"/>
        <w:ind w:left="2381" w:right="1726" w:hanging="794"/>
        <w:jc w:val="left"/>
        <w:rPr>
          <w:sz w:val="12"/>
        </w:rPr>
      </w:pPr>
      <w:r>
        <w:rPr>
          <w:w w:val="105"/>
          <w:sz w:val="21"/>
        </w:rPr>
        <w:t>Most </w:t>
      </w:r>
      <w:r>
        <w:rPr>
          <w:spacing w:val="-3"/>
          <w:w w:val="105"/>
          <w:sz w:val="21"/>
        </w:rPr>
        <w:t>submissions </w:t>
      </w:r>
      <w:r>
        <w:rPr>
          <w:w w:val="105"/>
          <w:sz w:val="21"/>
        </w:rPr>
        <w:t>on this issue </w:t>
      </w:r>
      <w:r>
        <w:rPr>
          <w:spacing w:val="-3"/>
          <w:w w:val="105"/>
          <w:sz w:val="21"/>
        </w:rPr>
        <w:t>favoured introducing </w:t>
      </w:r>
      <w:r>
        <w:rPr>
          <w:w w:val="105"/>
          <w:sz w:val="21"/>
        </w:rPr>
        <w:t>a </w:t>
      </w:r>
      <w:r>
        <w:rPr>
          <w:spacing w:val="-3"/>
          <w:w w:val="105"/>
          <w:sz w:val="21"/>
        </w:rPr>
        <w:t>provision that </w:t>
      </w:r>
      <w:r>
        <w:rPr>
          <w:w w:val="105"/>
          <w:sz w:val="21"/>
        </w:rPr>
        <w:t>enables the </w:t>
      </w:r>
      <w:r>
        <w:rPr>
          <w:spacing w:val="-3"/>
          <w:w w:val="105"/>
          <w:sz w:val="21"/>
        </w:rPr>
        <w:t>Court to </w:t>
      </w:r>
      <w:r>
        <w:rPr>
          <w:w w:val="105"/>
          <w:sz w:val="21"/>
        </w:rPr>
        <w:t>conduct a review on its own </w:t>
      </w:r>
      <w:r>
        <w:rPr>
          <w:spacing w:val="-5"/>
          <w:w w:val="105"/>
          <w:sz w:val="21"/>
        </w:rPr>
        <w:t>initiative.</w:t>
      </w:r>
      <w:r>
        <w:rPr>
          <w:spacing w:val="-5"/>
          <w:w w:val="105"/>
          <w:position w:val="7"/>
          <w:sz w:val="12"/>
        </w:rPr>
        <w:t>143 </w:t>
      </w:r>
      <w:r>
        <w:rPr>
          <w:w w:val="105"/>
          <w:sz w:val="21"/>
        </w:rPr>
        <w:t>The arguments advanced </w:t>
      </w:r>
      <w:r>
        <w:rPr>
          <w:spacing w:val="-3"/>
          <w:w w:val="105"/>
          <w:sz w:val="21"/>
        </w:rPr>
        <w:t>for </w:t>
      </w:r>
      <w:r>
        <w:rPr>
          <w:spacing w:val="-2"/>
          <w:w w:val="105"/>
          <w:sz w:val="21"/>
        </w:rPr>
        <w:t>opposing court- </w:t>
      </w:r>
      <w:r>
        <w:rPr>
          <w:spacing w:val="-3"/>
          <w:w w:val="105"/>
          <w:sz w:val="21"/>
        </w:rPr>
        <w:t>initiated </w:t>
      </w:r>
      <w:r>
        <w:rPr>
          <w:w w:val="105"/>
          <w:sz w:val="21"/>
        </w:rPr>
        <w:t>review </w:t>
      </w:r>
      <w:r>
        <w:rPr>
          <w:spacing w:val="-3"/>
          <w:w w:val="105"/>
          <w:sz w:val="21"/>
        </w:rPr>
        <w:t>were that </w:t>
      </w:r>
      <w:r>
        <w:rPr>
          <w:w w:val="105"/>
          <w:sz w:val="21"/>
        </w:rPr>
        <w:t>the </w:t>
      </w:r>
      <w:r>
        <w:rPr>
          <w:spacing w:val="-3"/>
          <w:w w:val="105"/>
          <w:sz w:val="21"/>
        </w:rPr>
        <w:t>Court </w:t>
      </w:r>
      <w:r>
        <w:rPr>
          <w:w w:val="105"/>
          <w:sz w:val="21"/>
        </w:rPr>
        <w:t>is reluctant </w:t>
      </w:r>
      <w:r>
        <w:rPr>
          <w:spacing w:val="-3"/>
          <w:w w:val="105"/>
          <w:sz w:val="21"/>
        </w:rPr>
        <w:t>to </w:t>
      </w:r>
      <w:r>
        <w:rPr>
          <w:w w:val="105"/>
          <w:sz w:val="21"/>
        </w:rPr>
        <w:t>spend time and expertise in passing </w:t>
      </w:r>
      <w:r>
        <w:rPr>
          <w:spacing w:val="-3"/>
          <w:w w:val="105"/>
          <w:sz w:val="21"/>
        </w:rPr>
        <w:t>accounts </w:t>
      </w:r>
      <w:r>
        <w:rPr>
          <w:w w:val="105"/>
          <w:position w:val="7"/>
          <w:sz w:val="12"/>
        </w:rPr>
        <w:t>144 </w:t>
      </w:r>
      <w:r>
        <w:rPr>
          <w:w w:val="105"/>
          <w:sz w:val="21"/>
        </w:rPr>
        <w:t>and </w:t>
      </w:r>
      <w:r>
        <w:rPr>
          <w:spacing w:val="-3"/>
          <w:w w:val="105"/>
          <w:sz w:val="21"/>
        </w:rPr>
        <w:t>that </w:t>
      </w:r>
      <w:r>
        <w:rPr>
          <w:w w:val="105"/>
          <w:sz w:val="21"/>
        </w:rPr>
        <w:t>it should </w:t>
      </w:r>
      <w:r>
        <w:rPr>
          <w:spacing w:val="-2"/>
          <w:w w:val="105"/>
          <w:sz w:val="21"/>
        </w:rPr>
        <w:t>not </w:t>
      </w:r>
      <w:r>
        <w:rPr>
          <w:spacing w:val="-3"/>
          <w:w w:val="105"/>
          <w:sz w:val="21"/>
        </w:rPr>
        <w:t>take </w:t>
      </w:r>
      <w:r>
        <w:rPr>
          <w:w w:val="105"/>
          <w:sz w:val="21"/>
        </w:rPr>
        <w:t>on the role of a</w:t>
      </w:r>
      <w:r>
        <w:rPr>
          <w:spacing w:val="36"/>
          <w:w w:val="105"/>
          <w:sz w:val="21"/>
        </w:rPr>
        <w:t> </w:t>
      </w:r>
      <w:r>
        <w:rPr>
          <w:spacing w:val="-5"/>
          <w:w w:val="105"/>
          <w:sz w:val="21"/>
        </w:rPr>
        <w:t>watchdog.</w:t>
      </w:r>
      <w:r>
        <w:rPr>
          <w:spacing w:val="-5"/>
          <w:w w:val="105"/>
          <w:position w:val="7"/>
          <w:sz w:val="12"/>
        </w:rPr>
        <w:t>145</w:t>
      </w:r>
    </w:p>
    <w:p>
      <w:pPr>
        <w:pStyle w:val="ListParagraph"/>
        <w:numPr>
          <w:ilvl w:val="1"/>
          <w:numId w:val="22"/>
        </w:numPr>
        <w:tabs>
          <w:tab w:pos="2381" w:val="left" w:leader="none"/>
          <w:tab w:pos="2382" w:val="left" w:leader="none"/>
        </w:tabs>
        <w:spacing w:line="242" w:lineRule="auto" w:before="124" w:after="0"/>
        <w:ind w:left="2381" w:right="1719" w:hanging="794"/>
        <w:jc w:val="left"/>
        <w:rPr>
          <w:sz w:val="21"/>
        </w:rPr>
      </w:pPr>
      <w:r>
        <w:rPr>
          <w:sz w:val="21"/>
        </w:rPr>
        <w:t>The </w:t>
      </w:r>
      <w:r>
        <w:rPr>
          <w:spacing w:val="-3"/>
          <w:sz w:val="21"/>
        </w:rPr>
        <w:t>Commission </w:t>
      </w:r>
      <w:r>
        <w:rPr>
          <w:sz w:val="21"/>
        </w:rPr>
        <w:t>agrees </w:t>
      </w:r>
      <w:r>
        <w:rPr>
          <w:spacing w:val="-3"/>
          <w:sz w:val="21"/>
        </w:rPr>
        <w:t>that </w:t>
      </w:r>
      <w:r>
        <w:rPr>
          <w:sz w:val="21"/>
        </w:rPr>
        <w:t>the </w:t>
      </w:r>
      <w:r>
        <w:rPr>
          <w:spacing w:val="-3"/>
          <w:sz w:val="21"/>
        </w:rPr>
        <w:t>Court </w:t>
      </w:r>
      <w:r>
        <w:rPr>
          <w:sz w:val="21"/>
        </w:rPr>
        <w:t>should </w:t>
      </w:r>
      <w:r>
        <w:rPr>
          <w:spacing w:val="-2"/>
          <w:sz w:val="21"/>
        </w:rPr>
        <w:t>not </w:t>
      </w:r>
      <w:r>
        <w:rPr>
          <w:sz w:val="21"/>
        </w:rPr>
        <w:t>be given a </w:t>
      </w:r>
      <w:r>
        <w:rPr>
          <w:spacing w:val="-3"/>
          <w:sz w:val="21"/>
        </w:rPr>
        <w:t>monitoring  role.  </w:t>
      </w:r>
      <w:r>
        <w:rPr>
          <w:sz w:val="21"/>
        </w:rPr>
        <w:t>It expects  </w:t>
      </w:r>
      <w:r>
        <w:rPr>
          <w:spacing w:val="-3"/>
          <w:sz w:val="21"/>
        </w:rPr>
        <w:t>that </w:t>
      </w:r>
      <w:r>
        <w:rPr>
          <w:sz w:val="21"/>
        </w:rPr>
        <w:t>the </w:t>
      </w:r>
      <w:r>
        <w:rPr>
          <w:spacing w:val="-3"/>
          <w:sz w:val="21"/>
        </w:rPr>
        <w:t>Court </w:t>
      </w:r>
      <w:r>
        <w:rPr>
          <w:sz w:val="21"/>
        </w:rPr>
        <w:t>would </w:t>
      </w:r>
      <w:r>
        <w:rPr>
          <w:spacing w:val="-3"/>
          <w:sz w:val="21"/>
        </w:rPr>
        <w:t>initiate </w:t>
      </w:r>
      <w:r>
        <w:rPr>
          <w:sz w:val="21"/>
        </w:rPr>
        <w:t>a review only where it becomes  </w:t>
      </w:r>
      <w:r>
        <w:rPr>
          <w:spacing w:val="-3"/>
          <w:sz w:val="21"/>
        </w:rPr>
        <w:t>aware  </w:t>
      </w:r>
      <w:r>
        <w:rPr>
          <w:sz w:val="21"/>
        </w:rPr>
        <w:t>in  the  course  of </w:t>
      </w:r>
      <w:r>
        <w:rPr>
          <w:spacing w:val="-5"/>
          <w:sz w:val="21"/>
        </w:rPr>
        <w:t>other, </w:t>
      </w:r>
      <w:r>
        <w:rPr>
          <w:spacing w:val="-3"/>
          <w:sz w:val="21"/>
        </w:rPr>
        <w:t>related, proceedings that </w:t>
      </w:r>
      <w:r>
        <w:rPr>
          <w:sz w:val="21"/>
        </w:rPr>
        <w:t>there </w:t>
      </w:r>
      <w:r>
        <w:rPr>
          <w:spacing w:val="-3"/>
          <w:sz w:val="21"/>
        </w:rPr>
        <w:t>are irregularities </w:t>
      </w:r>
      <w:r>
        <w:rPr>
          <w:sz w:val="21"/>
        </w:rPr>
        <w:t>in the </w:t>
      </w:r>
      <w:r>
        <w:rPr>
          <w:spacing w:val="-3"/>
          <w:sz w:val="21"/>
        </w:rPr>
        <w:t>charges </w:t>
      </w:r>
      <w:r>
        <w:rPr>
          <w:sz w:val="21"/>
        </w:rPr>
        <w:t>made </w:t>
      </w:r>
      <w:r>
        <w:rPr>
          <w:spacing w:val="-3"/>
          <w:sz w:val="21"/>
        </w:rPr>
        <w:t>to</w:t>
      </w:r>
      <w:r>
        <w:rPr>
          <w:sz w:val="21"/>
        </w:rPr>
        <w:t> the </w:t>
      </w:r>
      <w:r>
        <w:rPr>
          <w:spacing w:val="-3"/>
          <w:sz w:val="21"/>
        </w:rPr>
        <w:t>estate.</w:t>
      </w:r>
    </w:p>
    <w:p>
      <w:pPr>
        <w:pStyle w:val="ListParagraph"/>
        <w:numPr>
          <w:ilvl w:val="1"/>
          <w:numId w:val="22"/>
        </w:numPr>
        <w:tabs>
          <w:tab w:pos="2381" w:val="left" w:leader="none"/>
          <w:tab w:pos="2382" w:val="left" w:leader="none"/>
        </w:tabs>
        <w:spacing w:line="242" w:lineRule="auto" w:before="123" w:after="0"/>
        <w:ind w:left="2381" w:right="1746" w:hanging="794"/>
        <w:jc w:val="left"/>
        <w:rPr>
          <w:sz w:val="21"/>
        </w:rPr>
      </w:pPr>
      <w:r>
        <w:rPr>
          <w:w w:val="105"/>
          <w:sz w:val="21"/>
        </w:rPr>
        <w:t>Executors </w:t>
      </w:r>
      <w:r>
        <w:rPr>
          <w:spacing w:val="-3"/>
          <w:w w:val="105"/>
          <w:sz w:val="21"/>
        </w:rPr>
        <w:t>have </w:t>
      </w:r>
      <w:r>
        <w:rPr>
          <w:w w:val="105"/>
          <w:sz w:val="21"/>
        </w:rPr>
        <w:t>a duty </w:t>
      </w:r>
      <w:r>
        <w:rPr>
          <w:spacing w:val="-3"/>
          <w:w w:val="105"/>
          <w:sz w:val="21"/>
        </w:rPr>
        <w:t>to </w:t>
      </w:r>
      <w:r>
        <w:rPr>
          <w:w w:val="105"/>
          <w:sz w:val="21"/>
        </w:rPr>
        <w:t>present </w:t>
      </w:r>
      <w:r>
        <w:rPr>
          <w:spacing w:val="-3"/>
          <w:w w:val="105"/>
          <w:sz w:val="21"/>
        </w:rPr>
        <w:t>accounts </w:t>
      </w:r>
      <w:r>
        <w:rPr>
          <w:w w:val="105"/>
          <w:sz w:val="21"/>
        </w:rPr>
        <w:t>only when </w:t>
      </w:r>
      <w:r>
        <w:rPr>
          <w:spacing w:val="-3"/>
          <w:w w:val="105"/>
          <w:sz w:val="21"/>
        </w:rPr>
        <w:t>required </w:t>
      </w:r>
      <w:r>
        <w:rPr>
          <w:w w:val="105"/>
          <w:sz w:val="21"/>
        </w:rPr>
        <w:t>by the </w:t>
      </w:r>
      <w:r>
        <w:rPr>
          <w:spacing w:val="-5"/>
          <w:w w:val="105"/>
          <w:sz w:val="21"/>
        </w:rPr>
        <w:t>Court.</w:t>
      </w:r>
      <w:r>
        <w:rPr>
          <w:spacing w:val="-5"/>
          <w:w w:val="105"/>
          <w:position w:val="7"/>
          <w:sz w:val="12"/>
        </w:rPr>
        <w:t>146</w:t>
      </w:r>
      <w:r>
        <w:rPr>
          <w:spacing w:val="-5"/>
          <w:w w:val="105"/>
          <w:sz w:val="12"/>
        </w:rPr>
        <w:t> </w:t>
      </w:r>
      <w:r>
        <w:rPr>
          <w:spacing w:val="-3"/>
          <w:w w:val="105"/>
          <w:sz w:val="21"/>
        </w:rPr>
        <w:t>Empowering </w:t>
      </w:r>
      <w:r>
        <w:rPr>
          <w:w w:val="105"/>
          <w:sz w:val="21"/>
        </w:rPr>
        <w:t>the </w:t>
      </w:r>
      <w:r>
        <w:rPr>
          <w:spacing w:val="-3"/>
          <w:w w:val="105"/>
          <w:sz w:val="21"/>
        </w:rPr>
        <w:t>Court to initiate </w:t>
      </w:r>
      <w:r>
        <w:rPr>
          <w:w w:val="105"/>
          <w:sz w:val="21"/>
        </w:rPr>
        <w:t>a review </w:t>
      </w:r>
      <w:r>
        <w:rPr>
          <w:spacing w:val="-3"/>
          <w:w w:val="105"/>
          <w:sz w:val="21"/>
        </w:rPr>
        <w:t>strengthens </w:t>
      </w:r>
      <w:r>
        <w:rPr>
          <w:w w:val="105"/>
          <w:sz w:val="21"/>
        </w:rPr>
        <w:t>the effect of the </w:t>
      </w:r>
      <w:r>
        <w:rPr>
          <w:spacing w:val="-3"/>
          <w:w w:val="105"/>
          <w:sz w:val="21"/>
        </w:rPr>
        <w:t>provision </w:t>
      </w:r>
      <w:r>
        <w:rPr>
          <w:w w:val="105"/>
          <w:sz w:val="21"/>
        </w:rPr>
        <w:t>as a </w:t>
      </w:r>
      <w:r>
        <w:rPr>
          <w:spacing w:val="-3"/>
          <w:w w:val="105"/>
          <w:sz w:val="21"/>
        </w:rPr>
        <w:t>deterrent</w:t>
      </w:r>
      <w:r>
        <w:rPr>
          <w:spacing w:val="-8"/>
          <w:w w:val="105"/>
          <w:sz w:val="21"/>
        </w:rPr>
        <w:t> </w:t>
      </w:r>
      <w:r>
        <w:rPr>
          <w:spacing w:val="-3"/>
          <w:w w:val="105"/>
          <w:sz w:val="21"/>
        </w:rPr>
        <w:t>against</w:t>
      </w:r>
      <w:r>
        <w:rPr>
          <w:spacing w:val="-7"/>
          <w:w w:val="105"/>
          <w:sz w:val="21"/>
        </w:rPr>
        <w:t> </w:t>
      </w:r>
      <w:r>
        <w:rPr>
          <w:spacing w:val="-2"/>
          <w:w w:val="105"/>
          <w:sz w:val="21"/>
        </w:rPr>
        <w:t>excessive</w:t>
      </w:r>
      <w:r>
        <w:rPr>
          <w:spacing w:val="-8"/>
          <w:w w:val="105"/>
          <w:sz w:val="21"/>
        </w:rPr>
        <w:t> </w:t>
      </w:r>
      <w:r>
        <w:rPr>
          <w:spacing w:val="-3"/>
          <w:w w:val="105"/>
          <w:sz w:val="21"/>
        </w:rPr>
        <w:t>charging.</w:t>
      </w:r>
      <w:r>
        <w:rPr>
          <w:spacing w:val="-7"/>
          <w:w w:val="105"/>
          <w:sz w:val="21"/>
        </w:rPr>
        <w:t> </w:t>
      </w:r>
      <w:r>
        <w:rPr>
          <w:w w:val="105"/>
          <w:sz w:val="21"/>
        </w:rPr>
        <w:t>Legal</w:t>
      </w:r>
      <w:r>
        <w:rPr>
          <w:spacing w:val="-8"/>
          <w:w w:val="105"/>
          <w:sz w:val="21"/>
        </w:rPr>
        <w:t> </w:t>
      </w:r>
      <w:r>
        <w:rPr>
          <w:w w:val="105"/>
          <w:sz w:val="21"/>
        </w:rPr>
        <w:t>practitioners</w:t>
      </w:r>
      <w:r>
        <w:rPr>
          <w:spacing w:val="-7"/>
          <w:w w:val="105"/>
          <w:sz w:val="21"/>
        </w:rPr>
        <w:t> </w:t>
      </w:r>
      <w:r>
        <w:rPr>
          <w:spacing w:val="-3"/>
          <w:w w:val="105"/>
          <w:sz w:val="21"/>
        </w:rPr>
        <w:t>have</w:t>
      </w:r>
      <w:r>
        <w:rPr>
          <w:spacing w:val="-8"/>
          <w:w w:val="105"/>
          <w:sz w:val="21"/>
        </w:rPr>
        <w:t> </w:t>
      </w:r>
      <w:r>
        <w:rPr>
          <w:w w:val="105"/>
          <w:sz w:val="21"/>
        </w:rPr>
        <w:t>acknowledged</w:t>
      </w:r>
      <w:r>
        <w:rPr>
          <w:spacing w:val="-7"/>
          <w:w w:val="105"/>
          <w:sz w:val="21"/>
        </w:rPr>
        <w:t> </w:t>
      </w:r>
      <w:r>
        <w:rPr>
          <w:spacing w:val="-3"/>
          <w:w w:val="105"/>
          <w:sz w:val="21"/>
        </w:rPr>
        <w:t>that,</w:t>
      </w:r>
      <w:r>
        <w:rPr>
          <w:spacing w:val="-8"/>
          <w:w w:val="105"/>
          <w:sz w:val="21"/>
        </w:rPr>
        <w:t> </w:t>
      </w:r>
      <w:r>
        <w:rPr>
          <w:w w:val="105"/>
          <w:sz w:val="21"/>
        </w:rPr>
        <w:t>if</w:t>
      </w:r>
      <w:r>
        <w:rPr>
          <w:spacing w:val="-7"/>
          <w:w w:val="105"/>
          <w:sz w:val="21"/>
        </w:rPr>
        <w:t> </w:t>
      </w:r>
      <w:r>
        <w:rPr>
          <w:w w:val="105"/>
          <w:sz w:val="21"/>
        </w:rPr>
        <w:t>they know there is a </w:t>
      </w:r>
      <w:r>
        <w:rPr>
          <w:spacing w:val="-3"/>
          <w:w w:val="105"/>
          <w:sz w:val="21"/>
        </w:rPr>
        <w:t>chance </w:t>
      </w:r>
      <w:r>
        <w:rPr>
          <w:w w:val="105"/>
          <w:sz w:val="21"/>
        </w:rPr>
        <w:t>they can be held </w:t>
      </w:r>
      <w:r>
        <w:rPr>
          <w:spacing w:val="-3"/>
          <w:w w:val="105"/>
          <w:sz w:val="21"/>
        </w:rPr>
        <w:t>to account </w:t>
      </w:r>
      <w:r>
        <w:rPr>
          <w:w w:val="105"/>
          <w:sz w:val="21"/>
        </w:rPr>
        <w:t>by a </w:t>
      </w:r>
      <w:r>
        <w:rPr>
          <w:spacing w:val="-3"/>
          <w:w w:val="105"/>
          <w:sz w:val="21"/>
        </w:rPr>
        <w:t>Supreme Court judge, </w:t>
      </w:r>
      <w:r>
        <w:rPr>
          <w:w w:val="105"/>
          <w:sz w:val="21"/>
        </w:rPr>
        <w:t>they </w:t>
      </w:r>
      <w:r>
        <w:rPr>
          <w:spacing w:val="-3"/>
          <w:w w:val="105"/>
          <w:sz w:val="21"/>
        </w:rPr>
        <w:t>might </w:t>
      </w:r>
      <w:r>
        <w:rPr>
          <w:w w:val="105"/>
          <w:sz w:val="21"/>
        </w:rPr>
        <w:t>be more prudent in their </w:t>
      </w:r>
      <w:r>
        <w:rPr>
          <w:spacing w:val="-3"/>
          <w:w w:val="105"/>
          <w:sz w:val="21"/>
        </w:rPr>
        <w:t>charging </w:t>
      </w:r>
      <w:r>
        <w:rPr>
          <w:spacing w:val="-4"/>
          <w:w w:val="105"/>
          <w:sz w:val="21"/>
        </w:rPr>
        <w:t>practices.</w:t>
      </w:r>
      <w:r>
        <w:rPr>
          <w:spacing w:val="-4"/>
          <w:w w:val="105"/>
          <w:position w:val="7"/>
          <w:sz w:val="12"/>
        </w:rPr>
        <w:t>147 </w:t>
      </w:r>
      <w:r>
        <w:rPr>
          <w:w w:val="105"/>
          <w:sz w:val="21"/>
        </w:rPr>
        <w:t>Section 86A of the NSW </w:t>
      </w:r>
      <w:r>
        <w:rPr>
          <w:spacing w:val="-3"/>
          <w:w w:val="105"/>
          <w:sz w:val="21"/>
        </w:rPr>
        <w:t>Probate </w:t>
      </w:r>
      <w:r>
        <w:rPr>
          <w:w w:val="105"/>
          <w:sz w:val="21"/>
        </w:rPr>
        <w:t>and </w:t>
      </w:r>
      <w:r>
        <w:rPr>
          <w:spacing w:val="-3"/>
          <w:w w:val="105"/>
          <w:sz w:val="21"/>
        </w:rPr>
        <w:t>Administration </w:t>
      </w:r>
      <w:r>
        <w:rPr>
          <w:w w:val="105"/>
          <w:sz w:val="21"/>
        </w:rPr>
        <w:t>is </w:t>
      </w:r>
      <w:r>
        <w:rPr>
          <w:spacing w:val="-3"/>
          <w:w w:val="105"/>
          <w:sz w:val="21"/>
        </w:rPr>
        <w:t>considered to </w:t>
      </w:r>
      <w:r>
        <w:rPr>
          <w:w w:val="105"/>
          <w:sz w:val="21"/>
        </w:rPr>
        <w:t>be a prime reason why the </w:t>
      </w:r>
      <w:r>
        <w:rPr>
          <w:spacing w:val="-3"/>
          <w:w w:val="105"/>
          <w:sz w:val="21"/>
        </w:rPr>
        <w:t>Probate </w:t>
      </w:r>
      <w:r>
        <w:rPr>
          <w:w w:val="105"/>
          <w:sz w:val="21"/>
        </w:rPr>
        <w:t>Office of the </w:t>
      </w:r>
      <w:r>
        <w:rPr>
          <w:spacing w:val="-3"/>
          <w:w w:val="105"/>
          <w:sz w:val="21"/>
        </w:rPr>
        <w:t>Supreme Court </w:t>
      </w:r>
      <w:r>
        <w:rPr>
          <w:w w:val="105"/>
          <w:sz w:val="21"/>
        </w:rPr>
        <w:t>of New South </w:t>
      </w:r>
      <w:r>
        <w:rPr>
          <w:spacing w:val="-3"/>
          <w:w w:val="105"/>
          <w:sz w:val="21"/>
        </w:rPr>
        <w:t>Wales rarely </w:t>
      </w:r>
      <w:r>
        <w:rPr>
          <w:w w:val="105"/>
          <w:sz w:val="21"/>
        </w:rPr>
        <w:t>sees evidence of abuse of</w:t>
      </w:r>
      <w:r>
        <w:rPr>
          <w:spacing w:val="41"/>
          <w:w w:val="105"/>
          <w:sz w:val="21"/>
        </w:rPr>
        <w:t> </w:t>
      </w:r>
      <w:r>
        <w:rPr>
          <w:spacing w:val="-3"/>
          <w:w w:val="105"/>
          <w:sz w:val="21"/>
        </w:rPr>
        <w:t>charging</w:t>
      </w:r>
    </w:p>
    <w:p>
      <w:pPr>
        <w:pStyle w:val="BodyText"/>
        <w:spacing w:before="8"/>
        <w:ind w:left="2381"/>
        <w:rPr>
          <w:sz w:val="12"/>
        </w:rPr>
      </w:pPr>
      <w:r>
        <w:rPr>
          <w:w w:val="105"/>
        </w:rPr>
        <w:t>or commission clauses.</w:t>
      </w:r>
      <w:r>
        <w:rPr>
          <w:w w:val="105"/>
          <w:position w:val="7"/>
          <w:sz w:val="12"/>
        </w:rPr>
        <w:t>148</w:t>
      </w:r>
    </w:p>
    <w:p>
      <w:pPr>
        <w:pStyle w:val="ListParagraph"/>
        <w:numPr>
          <w:ilvl w:val="1"/>
          <w:numId w:val="22"/>
        </w:numPr>
        <w:tabs>
          <w:tab w:pos="2380" w:val="left" w:leader="none"/>
          <w:tab w:pos="2381" w:val="left" w:leader="none"/>
        </w:tabs>
        <w:spacing w:line="242" w:lineRule="auto" w:before="124" w:after="0"/>
        <w:ind w:left="2381" w:right="1862" w:hanging="794"/>
        <w:jc w:val="left"/>
        <w:rPr>
          <w:sz w:val="21"/>
        </w:rPr>
      </w:pPr>
      <w:r>
        <w:rPr>
          <w:w w:val="105"/>
          <w:sz w:val="21"/>
        </w:rPr>
        <w:t>The </w:t>
      </w:r>
      <w:r>
        <w:rPr>
          <w:spacing w:val="-3"/>
          <w:w w:val="105"/>
          <w:sz w:val="21"/>
        </w:rPr>
        <w:t>Commission </w:t>
      </w:r>
      <w:r>
        <w:rPr>
          <w:w w:val="105"/>
          <w:sz w:val="21"/>
        </w:rPr>
        <w:t>sees no </w:t>
      </w:r>
      <w:r>
        <w:rPr>
          <w:spacing w:val="-3"/>
          <w:w w:val="105"/>
          <w:sz w:val="21"/>
        </w:rPr>
        <w:t>harm </w:t>
      </w:r>
      <w:r>
        <w:rPr>
          <w:w w:val="105"/>
          <w:sz w:val="21"/>
        </w:rPr>
        <w:t>in the </w:t>
      </w:r>
      <w:r>
        <w:rPr>
          <w:spacing w:val="-3"/>
          <w:w w:val="105"/>
          <w:sz w:val="21"/>
        </w:rPr>
        <w:t>Court having </w:t>
      </w:r>
      <w:r>
        <w:rPr>
          <w:w w:val="105"/>
          <w:sz w:val="21"/>
        </w:rPr>
        <w:t>the power </w:t>
      </w:r>
      <w:r>
        <w:rPr>
          <w:spacing w:val="-3"/>
          <w:w w:val="105"/>
          <w:sz w:val="21"/>
        </w:rPr>
        <w:t>to initiate </w:t>
      </w:r>
      <w:r>
        <w:rPr>
          <w:w w:val="105"/>
          <w:sz w:val="21"/>
        </w:rPr>
        <w:t>a review; indeed,</w:t>
      </w:r>
      <w:r>
        <w:rPr>
          <w:spacing w:val="-9"/>
          <w:w w:val="105"/>
          <w:sz w:val="21"/>
        </w:rPr>
        <w:t> </w:t>
      </w:r>
      <w:r>
        <w:rPr>
          <w:w w:val="105"/>
          <w:sz w:val="21"/>
        </w:rPr>
        <w:t>in</w:t>
      </w:r>
      <w:r>
        <w:rPr>
          <w:spacing w:val="-8"/>
          <w:w w:val="105"/>
          <w:sz w:val="21"/>
        </w:rPr>
        <w:t> </w:t>
      </w:r>
      <w:r>
        <w:rPr>
          <w:w w:val="105"/>
          <w:sz w:val="21"/>
        </w:rPr>
        <w:t>certain</w:t>
      </w:r>
      <w:r>
        <w:rPr>
          <w:spacing w:val="-8"/>
          <w:w w:val="105"/>
          <w:sz w:val="21"/>
        </w:rPr>
        <w:t> </w:t>
      </w:r>
      <w:r>
        <w:rPr>
          <w:spacing w:val="-3"/>
          <w:w w:val="105"/>
          <w:sz w:val="21"/>
        </w:rPr>
        <w:t>circumstances</w:t>
      </w:r>
      <w:r>
        <w:rPr>
          <w:spacing w:val="-8"/>
          <w:w w:val="105"/>
          <w:sz w:val="21"/>
        </w:rPr>
        <w:t> </w:t>
      </w:r>
      <w:r>
        <w:rPr>
          <w:w w:val="105"/>
          <w:sz w:val="21"/>
        </w:rPr>
        <w:t>positive</w:t>
      </w:r>
      <w:r>
        <w:rPr>
          <w:spacing w:val="-8"/>
          <w:w w:val="105"/>
          <w:sz w:val="21"/>
        </w:rPr>
        <w:t> </w:t>
      </w:r>
      <w:r>
        <w:rPr>
          <w:w w:val="105"/>
          <w:sz w:val="21"/>
        </w:rPr>
        <w:t>benefits</w:t>
      </w:r>
      <w:r>
        <w:rPr>
          <w:spacing w:val="-8"/>
          <w:w w:val="105"/>
          <w:sz w:val="21"/>
        </w:rPr>
        <w:t> </w:t>
      </w:r>
      <w:r>
        <w:rPr>
          <w:w w:val="105"/>
          <w:sz w:val="21"/>
        </w:rPr>
        <w:t>would</w:t>
      </w:r>
      <w:r>
        <w:rPr>
          <w:spacing w:val="-8"/>
          <w:w w:val="105"/>
          <w:sz w:val="21"/>
        </w:rPr>
        <w:t> </w:t>
      </w:r>
      <w:r>
        <w:rPr>
          <w:w w:val="105"/>
          <w:sz w:val="21"/>
        </w:rPr>
        <w:t>flow</w:t>
      </w:r>
      <w:r>
        <w:rPr>
          <w:spacing w:val="-8"/>
          <w:w w:val="105"/>
          <w:sz w:val="21"/>
        </w:rPr>
        <w:t> </w:t>
      </w:r>
      <w:r>
        <w:rPr>
          <w:spacing w:val="-3"/>
          <w:w w:val="105"/>
          <w:sz w:val="21"/>
        </w:rPr>
        <w:t>from</w:t>
      </w:r>
      <w:r>
        <w:rPr>
          <w:spacing w:val="-8"/>
          <w:w w:val="105"/>
          <w:sz w:val="21"/>
        </w:rPr>
        <w:t> </w:t>
      </w:r>
      <w:r>
        <w:rPr>
          <w:w w:val="105"/>
          <w:sz w:val="21"/>
        </w:rPr>
        <w:t>the</w:t>
      </w:r>
      <w:r>
        <w:rPr>
          <w:spacing w:val="-8"/>
          <w:w w:val="105"/>
          <w:sz w:val="21"/>
        </w:rPr>
        <w:t> </w:t>
      </w:r>
      <w:r>
        <w:rPr>
          <w:spacing w:val="-3"/>
          <w:w w:val="105"/>
          <w:sz w:val="21"/>
        </w:rPr>
        <w:t>exercise</w:t>
      </w:r>
      <w:r>
        <w:rPr>
          <w:spacing w:val="-8"/>
          <w:w w:val="105"/>
          <w:sz w:val="21"/>
        </w:rPr>
        <w:t> </w:t>
      </w:r>
      <w:r>
        <w:rPr>
          <w:w w:val="105"/>
          <w:sz w:val="21"/>
        </w:rPr>
        <w:t>of</w:t>
      </w:r>
      <w:r>
        <w:rPr>
          <w:spacing w:val="-8"/>
          <w:w w:val="105"/>
          <w:sz w:val="21"/>
        </w:rPr>
        <w:t> </w:t>
      </w:r>
      <w:r>
        <w:rPr>
          <w:spacing w:val="-3"/>
          <w:w w:val="105"/>
          <w:sz w:val="21"/>
        </w:rPr>
        <w:t>such </w:t>
      </w:r>
      <w:r>
        <w:rPr>
          <w:w w:val="105"/>
          <w:sz w:val="21"/>
        </w:rPr>
        <w:t>jurisdiction. </w:t>
      </w:r>
      <w:r>
        <w:rPr>
          <w:spacing w:val="-4"/>
          <w:w w:val="105"/>
          <w:sz w:val="21"/>
        </w:rPr>
        <w:t>Accordingly, </w:t>
      </w:r>
      <w:r>
        <w:rPr>
          <w:w w:val="105"/>
          <w:sz w:val="21"/>
        </w:rPr>
        <w:t>the </w:t>
      </w:r>
      <w:r>
        <w:rPr>
          <w:spacing w:val="-3"/>
          <w:w w:val="105"/>
          <w:sz w:val="21"/>
        </w:rPr>
        <w:t>Commission </w:t>
      </w:r>
      <w:r>
        <w:rPr>
          <w:w w:val="105"/>
          <w:sz w:val="21"/>
        </w:rPr>
        <w:t>supports the </w:t>
      </w:r>
      <w:r>
        <w:rPr>
          <w:spacing w:val="-3"/>
          <w:w w:val="105"/>
          <w:sz w:val="21"/>
        </w:rPr>
        <w:t>conferral </w:t>
      </w:r>
      <w:r>
        <w:rPr>
          <w:w w:val="105"/>
          <w:sz w:val="21"/>
        </w:rPr>
        <w:t>on the </w:t>
      </w:r>
      <w:r>
        <w:rPr>
          <w:spacing w:val="-3"/>
          <w:w w:val="105"/>
          <w:sz w:val="21"/>
        </w:rPr>
        <w:t>Court </w:t>
      </w:r>
      <w:r>
        <w:rPr>
          <w:w w:val="105"/>
          <w:sz w:val="21"/>
        </w:rPr>
        <w:t>of power </w:t>
      </w:r>
      <w:r>
        <w:rPr>
          <w:spacing w:val="-3"/>
          <w:w w:val="105"/>
          <w:sz w:val="21"/>
        </w:rPr>
        <w:t>to </w:t>
      </w:r>
      <w:r>
        <w:rPr>
          <w:w w:val="105"/>
          <w:sz w:val="21"/>
        </w:rPr>
        <w:t>review on its own</w:t>
      </w:r>
      <w:r>
        <w:rPr>
          <w:spacing w:val="28"/>
          <w:w w:val="105"/>
          <w:sz w:val="21"/>
        </w:rPr>
        <w:t> </w:t>
      </w:r>
      <w:r>
        <w:rPr>
          <w:spacing w:val="-3"/>
          <w:w w:val="105"/>
          <w:sz w:val="21"/>
        </w:rPr>
        <w:t>motion.</w:t>
      </w:r>
    </w:p>
    <w:p>
      <w:pPr>
        <w:pStyle w:val="BodyText"/>
        <w:rPr>
          <w:sz w:val="27"/>
        </w:rPr>
      </w:pPr>
    </w:p>
    <w:p>
      <w:pPr>
        <w:pStyle w:val="Heading6"/>
      </w:pPr>
      <w:r>
        <w:rPr>
          <w:w w:val="115"/>
        </w:rPr>
        <w:t>Exemption</w:t>
      </w:r>
    </w:p>
    <w:p>
      <w:pPr>
        <w:pStyle w:val="ListParagraph"/>
        <w:numPr>
          <w:ilvl w:val="1"/>
          <w:numId w:val="22"/>
        </w:numPr>
        <w:tabs>
          <w:tab w:pos="2380" w:val="left" w:leader="none"/>
          <w:tab w:pos="2381" w:val="left" w:leader="none"/>
        </w:tabs>
        <w:spacing w:line="242" w:lineRule="auto" w:before="151" w:after="0"/>
        <w:ind w:left="2381" w:right="2161" w:hanging="794"/>
        <w:jc w:val="left"/>
        <w:rPr>
          <w:sz w:val="21"/>
        </w:rPr>
      </w:pPr>
      <w:r>
        <w:rPr>
          <w:w w:val="105"/>
          <w:sz w:val="21"/>
        </w:rPr>
        <w:t>The Law </w:t>
      </w:r>
      <w:r>
        <w:rPr>
          <w:spacing w:val="-3"/>
          <w:w w:val="105"/>
          <w:sz w:val="21"/>
        </w:rPr>
        <w:t>Institute </w:t>
      </w:r>
      <w:r>
        <w:rPr>
          <w:w w:val="105"/>
          <w:sz w:val="21"/>
        </w:rPr>
        <w:t>of Victoria proposed </w:t>
      </w:r>
      <w:r>
        <w:rPr>
          <w:spacing w:val="-3"/>
          <w:w w:val="105"/>
          <w:sz w:val="21"/>
        </w:rPr>
        <w:t>that </w:t>
      </w:r>
      <w:r>
        <w:rPr>
          <w:w w:val="105"/>
          <w:sz w:val="21"/>
        </w:rPr>
        <w:t>the </w:t>
      </w:r>
      <w:r>
        <w:rPr>
          <w:spacing w:val="-3"/>
          <w:w w:val="105"/>
          <w:sz w:val="21"/>
        </w:rPr>
        <w:t>Court </w:t>
      </w:r>
      <w:r>
        <w:rPr>
          <w:w w:val="105"/>
          <w:sz w:val="21"/>
        </w:rPr>
        <w:t>should be </w:t>
      </w:r>
      <w:r>
        <w:rPr>
          <w:spacing w:val="-3"/>
          <w:w w:val="105"/>
          <w:sz w:val="21"/>
        </w:rPr>
        <w:t>unable to </w:t>
      </w:r>
      <w:r>
        <w:rPr>
          <w:w w:val="105"/>
          <w:sz w:val="21"/>
        </w:rPr>
        <w:t>conduct a</w:t>
      </w:r>
      <w:r>
        <w:rPr>
          <w:spacing w:val="-13"/>
          <w:w w:val="105"/>
          <w:sz w:val="21"/>
        </w:rPr>
        <w:t> </w:t>
      </w:r>
      <w:r>
        <w:rPr>
          <w:w w:val="105"/>
          <w:sz w:val="21"/>
        </w:rPr>
        <w:t>review</w:t>
      </w:r>
      <w:r>
        <w:rPr>
          <w:spacing w:val="-12"/>
          <w:w w:val="105"/>
          <w:sz w:val="21"/>
        </w:rPr>
        <w:t> </w:t>
      </w:r>
      <w:r>
        <w:rPr>
          <w:w w:val="105"/>
          <w:sz w:val="21"/>
        </w:rPr>
        <w:t>where</w:t>
      </w:r>
      <w:r>
        <w:rPr>
          <w:spacing w:val="-12"/>
          <w:w w:val="105"/>
          <w:sz w:val="21"/>
        </w:rPr>
        <w:t> </w:t>
      </w:r>
      <w:r>
        <w:rPr>
          <w:w w:val="105"/>
          <w:sz w:val="21"/>
        </w:rPr>
        <w:t>either</w:t>
      </w:r>
      <w:r>
        <w:rPr>
          <w:spacing w:val="-12"/>
          <w:w w:val="105"/>
          <w:sz w:val="21"/>
        </w:rPr>
        <w:t> </w:t>
      </w:r>
      <w:r>
        <w:rPr>
          <w:w w:val="105"/>
          <w:sz w:val="21"/>
        </w:rPr>
        <w:t>the</w:t>
      </w:r>
      <w:r>
        <w:rPr>
          <w:spacing w:val="-12"/>
          <w:w w:val="105"/>
          <w:sz w:val="21"/>
        </w:rPr>
        <w:t> </w:t>
      </w:r>
      <w:r>
        <w:rPr>
          <w:spacing w:val="-3"/>
          <w:w w:val="105"/>
          <w:sz w:val="21"/>
        </w:rPr>
        <w:t>will-maker</w:t>
      </w:r>
      <w:r>
        <w:rPr>
          <w:spacing w:val="-12"/>
          <w:w w:val="105"/>
          <w:sz w:val="21"/>
        </w:rPr>
        <w:t> </w:t>
      </w:r>
      <w:r>
        <w:rPr>
          <w:w w:val="105"/>
          <w:sz w:val="21"/>
        </w:rPr>
        <w:t>obtained</w:t>
      </w:r>
      <w:r>
        <w:rPr>
          <w:spacing w:val="-12"/>
          <w:w w:val="105"/>
          <w:sz w:val="21"/>
        </w:rPr>
        <w:t> </w:t>
      </w:r>
      <w:r>
        <w:rPr>
          <w:w w:val="105"/>
          <w:sz w:val="21"/>
        </w:rPr>
        <w:t>independent</w:t>
      </w:r>
      <w:r>
        <w:rPr>
          <w:spacing w:val="-12"/>
          <w:w w:val="105"/>
          <w:sz w:val="21"/>
        </w:rPr>
        <w:t> </w:t>
      </w:r>
      <w:r>
        <w:rPr>
          <w:w w:val="105"/>
          <w:sz w:val="21"/>
        </w:rPr>
        <w:t>advice</w:t>
      </w:r>
      <w:r>
        <w:rPr>
          <w:spacing w:val="-12"/>
          <w:w w:val="105"/>
          <w:sz w:val="21"/>
        </w:rPr>
        <w:t> </w:t>
      </w:r>
      <w:r>
        <w:rPr>
          <w:w w:val="105"/>
          <w:sz w:val="21"/>
        </w:rPr>
        <w:t>in</w:t>
      </w:r>
      <w:r>
        <w:rPr>
          <w:spacing w:val="-12"/>
          <w:w w:val="105"/>
          <w:sz w:val="21"/>
        </w:rPr>
        <w:t> </w:t>
      </w:r>
      <w:r>
        <w:rPr>
          <w:spacing w:val="-3"/>
          <w:w w:val="105"/>
          <w:sz w:val="21"/>
        </w:rPr>
        <w:t>relation</w:t>
      </w:r>
      <w:r>
        <w:rPr>
          <w:spacing w:val="-12"/>
          <w:w w:val="105"/>
          <w:sz w:val="21"/>
        </w:rPr>
        <w:t> </w:t>
      </w:r>
      <w:r>
        <w:rPr>
          <w:spacing w:val="-3"/>
          <w:w w:val="105"/>
          <w:sz w:val="21"/>
        </w:rPr>
        <w:t>to</w:t>
      </w:r>
      <w:r>
        <w:rPr>
          <w:spacing w:val="-12"/>
          <w:w w:val="105"/>
          <w:sz w:val="21"/>
        </w:rPr>
        <w:t> </w:t>
      </w:r>
      <w:r>
        <w:rPr>
          <w:w w:val="105"/>
          <w:sz w:val="21"/>
        </w:rPr>
        <w:t>the</w:t>
      </w:r>
    </w:p>
    <w:p>
      <w:pPr>
        <w:pStyle w:val="BodyText"/>
        <w:spacing w:line="242" w:lineRule="auto" w:before="2"/>
        <w:ind w:left="2380" w:right="1619"/>
      </w:pPr>
      <w:r>
        <w:rPr/>
        <w:t>executor’s entitlement to commission under the will, or the executor is a legal practitioner who complied with rule 10 of the Professional Conduct and Practice Rules.</w:t>
      </w:r>
    </w:p>
    <w:p>
      <w:pPr>
        <w:pStyle w:val="ListParagraph"/>
        <w:numPr>
          <w:ilvl w:val="1"/>
          <w:numId w:val="22"/>
        </w:numPr>
        <w:tabs>
          <w:tab w:pos="2380" w:val="left" w:leader="none"/>
          <w:tab w:pos="2381" w:val="left" w:leader="none"/>
        </w:tabs>
        <w:spacing w:line="242" w:lineRule="auto" w:before="122" w:after="0"/>
        <w:ind w:left="2381" w:right="1882" w:hanging="794"/>
        <w:jc w:val="left"/>
        <w:rPr>
          <w:sz w:val="21"/>
        </w:rPr>
      </w:pPr>
      <w:r>
        <w:rPr>
          <w:spacing w:val="-2"/>
          <w:sz w:val="21"/>
        </w:rPr>
        <w:t>The </w:t>
      </w:r>
      <w:r>
        <w:rPr>
          <w:spacing w:val="-4"/>
          <w:sz w:val="21"/>
        </w:rPr>
        <w:t>suggested exemption aims to </w:t>
      </w:r>
      <w:r>
        <w:rPr>
          <w:spacing w:val="-5"/>
          <w:sz w:val="21"/>
        </w:rPr>
        <w:t>ensure </w:t>
      </w:r>
      <w:r>
        <w:rPr>
          <w:spacing w:val="-4"/>
          <w:sz w:val="21"/>
        </w:rPr>
        <w:t>that </w:t>
      </w:r>
      <w:r>
        <w:rPr>
          <w:spacing w:val="-3"/>
          <w:sz w:val="21"/>
        </w:rPr>
        <w:t>the </w:t>
      </w:r>
      <w:r>
        <w:rPr>
          <w:spacing w:val="-5"/>
          <w:sz w:val="21"/>
        </w:rPr>
        <w:t>informed  consent  </w:t>
      </w:r>
      <w:r>
        <w:rPr>
          <w:spacing w:val="-3"/>
          <w:sz w:val="21"/>
        </w:rPr>
        <w:t>of  the  </w:t>
      </w:r>
      <w:r>
        <w:rPr>
          <w:spacing w:val="-4"/>
          <w:sz w:val="21"/>
        </w:rPr>
        <w:t>deceased cannot </w:t>
      </w:r>
      <w:r>
        <w:rPr>
          <w:sz w:val="21"/>
        </w:rPr>
        <w:t>be </w:t>
      </w:r>
      <w:r>
        <w:rPr>
          <w:spacing w:val="-4"/>
          <w:sz w:val="21"/>
        </w:rPr>
        <w:t>overridden </w:t>
      </w:r>
      <w:r>
        <w:rPr>
          <w:spacing w:val="-3"/>
          <w:sz w:val="21"/>
        </w:rPr>
        <w:t>by </w:t>
      </w:r>
      <w:r>
        <w:rPr>
          <w:sz w:val="21"/>
        </w:rPr>
        <w:t>a </w:t>
      </w:r>
      <w:r>
        <w:rPr>
          <w:spacing w:val="-3"/>
          <w:sz w:val="21"/>
        </w:rPr>
        <w:t>court. </w:t>
      </w:r>
      <w:r>
        <w:rPr>
          <w:sz w:val="21"/>
        </w:rPr>
        <w:t>It </w:t>
      </w:r>
      <w:r>
        <w:rPr>
          <w:spacing w:val="-3"/>
          <w:sz w:val="21"/>
        </w:rPr>
        <w:t>was endorsed by </w:t>
      </w:r>
      <w:r>
        <w:rPr>
          <w:spacing w:val="-4"/>
          <w:sz w:val="21"/>
        </w:rPr>
        <w:t>practitioners </w:t>
      </w:r>
      <w:r>
        <w:rPr>
          <w:spacing w:val="-3"/>
          <w:sz w:val="21"/>
        </w:rPr>
        <w:t>who </w:t>
      </w:r>
      <w:r>
        <w:rPr>
          <w:spacing w:val="-4"/>
          <w:sz w:val="21"/>
        </w:rPr>
        <w:t>cautioned against retrospectively </w:t>
      </w:r>
      <w:r>
        <w:rPr>
          <w:spacing w:val="-5"/>
          <w:sz w:val="21"/>
        </w:rPr>
        <w:t>unravelling </w:t>
      </w:r>
      <w:r>
        <w:rPr>
          <w:spacing w:val="-4"/>
          <w:sz w:val="21"/>
        </w:rPr>
        <w:t>arrangements properly </w:t>
      </w:r>
      <w:r>
        <w:rPr>
          <w:spacing w:val="-3"/>
          <w:sz w:val="21"/>
        </w:rPr>
        <w:t>made </w:t>
      </w:r>
      <w:r>
        <w:rPr>
          <w:spacing w:val="-4"/>
          <w:sz w:val="21"/>
        </w:rPr>
        <w:t>and under which work has </w:t>
      </w:r>
      <w:r>
        <w:rPr>
          <w:spacing w:val="-3"/>
          <w:sz w:val="21"/>
        </w:rPr>
        <w:t>been </w:t>
      </w:r>
      <w:r>
        <w:rPr>
          <w:spacing w:val="-5"/>
          <w:sz w:val="21"/>
        </w:rPr>
        <w:t>performed.</w:t>
      </w:r>
      <w:r>
        <w:rPr>
          <w:spacing w:val="-5"/>
          <w:position w:val="7"/>
          <w:sz w:val="12"/>
        </w:rPr>
        <w:t>149 </w:t>
      </w:r>
      <w:r>
        <w:rPr>
          <w:spacing w:val="-4"/>
          <w:sz w:val="21"/>
        </w:rPr>
        <w:t>There</w:t>
      </w:r>
      <w:r>
        <w:rPr>
          <w:spacing w:val="16"/>
          <w:sz w:val="21"/>
        </w:rPr>
        <w:t> </w:t>
      </w:r>
      <w:r>
        <w:rPr>
          <w:spacing w:val="-3"/>
          <w:sz w:val="21"/>
        </w:rPr>
        <w:t>is</w:t>
      </w:r>
      <w:r>
        <w:rPr>
          <w:spacing w:val="17"/>
          <w:sz w:val="21"/>
        </w:rPr>
        <w:t> </w:t>
      </w:r>
      <w:r>
        <w:rPr>
          <w:spacing w:val="-4"/>
          <w:sz w:val="21"/>
        </w:rPr>
        <w:t>concern</w:t>
      </w:r>
      <w:r>
        <w:rPr>
          <w:spacing w:val="17"/>
          <w:sz w:val="21"/>
        </w:rPr>
        <w:t> </w:t>
      </w:r>
      <w:r>
        <w:rPr>
          <w:spacing w:val="-4"/>
          <w:sz w:val="21"/>
        </w:rPr>
        <w:t>that</w:t>
      </w:r>
      <w:r>
        <w:rPr>
          <w:spacing w:val="17"/>
          <w:sz w:val="21"/>
        </w:rPr>
        <w:t> </w:t>
      </w:r>
      <w:r>
        <w:rPr>
          <w:spacing w:val="-4"/>
          <w:sz w:val="21"/>
        </w:rPr>
        <w:t>legal</w:t>
      </w:r>
      <w:r>
        <w:rPr>
          <w:spacing w:val="17"/>
          <w:sz w:val="21"/>
        </w:rPr>
        <w:t> </w:t>
      </w:r>
      <w:r>
        <w:rPr>
          <w:spacing w:val="-4"/>
          <w:sz w:val="21"/>
        </w:rPr>
        <w:t>practitioners</w:t>
      </w:r>
      <w:r>
        <w:rPr>
          <w:spacing w:val="16"/>
          <w:sz w:val="21"/>
        </w:rPr>
        <w:t> </w:t>
      </w:r>
      <w:r>
        <w:rPr>
          <w:spacing w:val="-4"/>
          <w:sz w:val="21"/>
        </w:rPr>
        <w:t>will</w:t>
      </w:r>
      <w:r>
        <w:rPr>
          <w:spacing w:val="17"/>
          <w:sz w:val="21"/>
        </w:rPr>
        <w:t> </w:t>
      </w:r>
      <w:r>
        <w:rPr>
          <w:spacing w:val="-5"/>
          <w:sz w:val="21"/>
        </w:rPr>
        <w:t>withdraw</w:t>
      </w:r>
      <w:r>
        <w:rPr>
          <w:spacing w:val="17"/>
          <w:sz w:val="21"/>
        </w:rPr>
        <w:t> </w:t>
      </w:r>
      <w:r>
        <w:rPr>
          <w:spacing w:val="-4"/>
          <w:sz w:val="21"/>
        </w:rPr>
        <w:t>from</w:t>
      </w:r>
      <w:r>
        <w:rPr>
          <w:spacing w:val="17"/>
          <w:sz w:val="21"/>
        </w:rPr>
        <w:t> </w:t>
      </w:r>
      <w:r>
        <w:rPr>
          <w:spacing w:val="-5"/>
          <w:sz w:val="21"/>
        </w:rPr>
        <w:t>providing</w:t>
      </w:r>
    </w:p>
    <w:p>
      <w:pPr>
        <w:pStyle w:val="BodyText"/>
        <w:spacing w:before="5"/>
        <w:ind w:left="2381"/>
        <w:rPr>
          <w:sz w:val="12"/>
        </w:rPr>
      </w:pPr>
      <w:r>
        <w:rPr>
          <w:spacing w:val="-5"/>
          <w:w w:val="105"/>
        </w:rPr>
        <w:t>executorial</w:t>
      </w:r>
      <w:r>
        <w:rPr>
          <w:spacing w:val="-9"/>
          <w:w w:val="105"/>
        </w:rPr>
        <w:t> </w:t>
      </w:r>
      <w:r>
        <w:rPr>
          <w:spacing w:val="-3"/>
          <w:w w:val="105"/>
        </w:rPr>
        <w:t>services</w:t>
      </w:r>
      <w:r>
        <w:rPr>
          <w:spacing w:val="-8"/>
          <w:w w:val="105"/>
        </w:rPr>
        <w:t> </w:t>
      </w:r>
      <w:r>
        <w:rPr>
          <w:spacing w:val="-4"/>
          <w:w w:val="105"/>
        </w:rPr>
        <w:t>because</w:t>
      </w:r>
      <w:r>
        <w:rPr>
          <w:spacing w:val="-8"/>
          <w:w w:val="105"/>
        </w:rPr>
        <w:t> </w:t>
      </w:r>
      <w:r>
        <w:rPr>
          <w:spacing w:val="-4"/>
          <w:w w:val="105"/>
        </w:rPr>
        <w:t>they</w:t>
      </w:r>
      <w:r>
        <w:rPr>
          <w:spacing w:val="-9"/>
          <w:w w:val="105"/>
        </w:rPr>
        <w:t> </w:t>
      </w:r>
      <w:r>
        <w:rPr>
          <w:spacing w:val="-4"/>
          <w:w w:val="105"/>
        </w:rPr>
        <w:t>cannot</w:t>
      </w:r>
      <w:r>
        <w:rPr>
          <w:spacing w:val="-8"/>
          <w:w w:val="105"/>
        </w:rPr>
        <w:t> </w:t>
      </w:r>
      <w:r>
        <w:rPr>
          <w:spacing w:val="-4"/>
          <w:w w:val="105"/>
        </w:rPr>
        <w:t>rely</w:t>
      </w:r>
      <w:r>
        <w:rPr>
          <w:spacing w:val="-8"/>
          <w:w w:val="105"/>
        </w:rPr>
        <w:t> </w:t>
      </w:r>
      <w:r>
        <w:rPr>
          <w:w w:val="105"/>
        </w:rPr>
        <w:t>on</w:t>
      </w:r>
      <w:r>
        <w:rPr>
          <w:spacing w:val="-9"/>
          <w:w w:val="105"/>
        </w:rPr>
        <w:t> </w:t>
      </w:r>
      <w:r>
        <w:rPr>
          <w:spacing w:val="-3"/>
          <w:w w:val="105"/>
        </w:rPr>
        <w:t>the</w:t>
      </w:r>
      <w:r>
        <w:rPr>
          <w:spacing w:val="-8"/>
          <w:w w:val="105"/>
        </w:rPr>
        <w:t> </w:t>
      </w:r>
      <w:r>
        <w:rPr>
          <w:spacing w:val="-4"/>
          <w:w w:val="105"/>
        </w:rPr>
        <w:t>agreement</w:t>
      </w:r>
      <w:r>
        <w:rPr>
          <w:spacing w:val="-8"/>
          <w:w w:val="105"/>
        </w:rPr>
        <w:t> </w:t>
      </w:r>
      <w:r>
        <w:rPr>
          <w:spacing w:val="-3"/>
          <w:w w:val="105"/>
        </w:rPr>
        <w:t>made</w:t>
      </w:r>
      <w:r>
        <w:rPr>
          <w:spacing w:val="-8"/>
          <w:w w:val="105"/>
        </w:rPr>
        <w:t> </w:t>
      </w:r>
      <w:r>
        <w:rPr>
          <w:spacing w:val="-3"/>
          <w:w w:val="105"/>
        </w:rPr>
        <w:t>with</w:t>
      </w:r>
      <w:r>
        <w:rPr>
          <w:spacing w:val="-9"/>
          <w:w w:val="105"/>
        </w:rPr>
        <w:t> </w:t>
      </w:r>
      <w:r>
        <w:rPr>
          <w:spacing w:val="-3"/>
          <w:w w:val="105"/>
        </w:rPr>
        <w:t>the</w:t>
      </w:r>
      <w:r>
        <w:rPr>
          <w:spacing w:val="-8"/>
          <w:w w:val="105"/>
        </w:rPr>
        <w:t> </w:t>
      </w:r>
      <w:r>
        <w:rPr>
          <w:spacing w:val="-7"/>
          <w:w w:val="105"/>
        </w:rPr>
        <w:t>will-maker.</w:t>
      </w:r>
      <w:r>
        <w:rPr>
          <w:spacing w:val="-7"/>
          <w:w w:val="105"/>
          <w:position w:val="7"/>
          <w:sz w:val="12"/>
        </w:rPr>
        <w:t>150</w:t>
      </w:r>
    </w:p>
    <w:p>
      <w:pPr>
        <w:pStyle w:val="ListParagraph"/>
        <w:numPr>
          <w:ilvl w:val="1"/>
          <w:numId w:val="22"/>
        </w:numPr>
        <w:tabs>
          <w:tab w:pos="2380" w:val="left" w:leader="none"/>
          <w:tab w:pos="2381" w:val="left" w:leader="none"/>
        </w:tabs>
        <w:spacing w:line="242" w:lineRule="auto" w:before="123" w:after="0"/>
        <w:ind w:left="2380" w:right="1654" w:hanging="793"/>
        <w:jc w:val="left"/>
        <w:rPr>
          <w:sz w:val="12"/>
        </w:rPr>
      </w:pPr>
      <w:r>
        <w:rPr>
          <w:w w:val="105"/>
          <w:sz w:val="21"/>
        </w:rPr>
        <w:t>The Law </w:t>
      </w:r>
      <w:r>
        <w:rPr>
          <w:spacing w:val="-3"/>
          <w:w w:val="105"/>
          <w:sz w:val="21"/>
        </w:rPr>
        <w:t>Institute </w:t>
      </w:r>
      <w:r>
        <w:rPr>
          <w:w w:val="105"/>
          <w:sz w:val="21"/>
        </w:rPr>
        <w:t>of Victoria is also </w:t>
      </w:r>
      <w:r>
        <w:rPr>
          <w:spacing w:val="-3"/>
          <w:w w:val="105"/>
          <w:sz w:val="21"/>
        </w:rPr>
        <w:t>concerned that </w:t>
      </w:r>
      <w:r>
        <w:rPr>
          <w:w w:val="105"/>
          <w:sz w:val="21"/>
        </w:rPr>
        <w:t>the review </w:t>
      </w:r>
      <w:r>
        <w:rPr>
          <w:spacing w:val="-3"/>
          <w:w w:val="105"/>
          <w:sz w:val="21"/>
        </w:rPr>
        <w:t>provision could </w:t>
      </w:r>
      <w:r>
        <w:rPr>
          <w:w w:val="105"/>
          <w:sz w:val="21"/>
        </w:rPr>
        <w:t>be used as a </w:t>
      </w:r>
      <w:r>
        <w:rPr>
          <w:spacing w:val="-3"/>
          <w:w w:val="105"/>
          <w:sz w:val="21"/>
        </w:rPr>
        <w:t>blunt instrument </w:t>
      </w:r>
      <w:r>
        <w:rPr>
          <w:w w:val="105"/>
          <w:sz w:val="21"/>
        </w:rPr>
        <w:t>in a broad </w:t>
      </w:r>
      <w:r>
        <w:rPr>
          <w:spacing w:val="-3"/>
          <w:w w:val="105"/>
          <w:sz w:val="21"/>
        </w:rPr>
        <w:t>range </w:t>
      </w:r>
      <w:r>
        <w:rPr>
          <w:w w:val="105"/>
          <w:sz w:val="21"/>
        </w:rPr>
        <w:t>of </w:t>
      </w:r>
      <w:r>
        <w:rPr>
          <w:spacing w:val="-4"/>
          <w:w w:val="105"/>
          <w:sz w:val="21"/>
        </w:rPr>
        <w:t>circumstances.</w:t>
      </w:r>
      <w:r>
        <w:rPr>
          <w:spacing w:val="-4"/>
          <w:w w:val="105"/>
          <w:position w:val="7"/>
          <w:sz w:val="12"/>
        </w:rPr>
        <w:t>151 </w:t>
      </w:r>
      <w:r>
        <w:rPr>
          <w:w w:val="105"/>
          <w:sz w:val="21"/>
        </w:rPr>
        <w:t>Legal practitioner executors </w:t>
      </w:r>
      <w:r>
        <w:rPr>
          <w:spacing w:val="-3"/>
          <w:w w:val="105"/>
          <w:sz w:val="21"/>
        </w:rPr>
        <w:t>want to </w:t>
      </w:r>
      <w:r>
        <w:rPr>
          <w:w w:val="105"/>
          <w:sz w:val="21"/>
        </w:rPr>
        <w:t>avoid the prospect of being </w:t>
      </w:r>
      <w:r>
        <w:rPr>
          <w:spacing w:val="-3"/>
          <w:w w:val="105"/>
          <w:sz w:val="21"/>
        </w:rPr>
        <w:t>taken to Court</w:t>
      </w:r>
      <w:r>
        <w:rPr>
          <w:spacing w:val="1"/>
          <w:w w:val="105"/>
          <w:sz w:val="21"/>
        </w:rPr>
        <w:t> </w:t>
      </w:r>
      <w:r>
        <w:rPr>
          <w:spacing w:val="-4"/>
          <w:w w:val="105"/>
          <w:sz w:val="21"/>
        </w:rPr>
        <w:t>unnecessarily.</w:t>
      </w:r>
      <w:r>
        <w:rPr>
          <w:spacing w:val="-4"/>
          <w:w w:val="105"/>
          <w:position w:val="7"/>
          <w:sz w:val="12"/>
        </w:rPr>
        <w:t>152</w:t>
      </w:r>
    </w:p>
    <w:p>
      <w:pPr>
        <w:pStyle w:val="ListParagraph"/>
        <w:numPr>
          <w:ilvl w:val="1"/>
          <w:numId w:val="22"/>
        </w:numPr>
        <w:tabs>
          <w:tab w:pos="2381" w:val="left" w:leader="none"/>
          <w:tab w:pos="2382" w:val="left" w:leader="none"/>
        </w:tabs>
        <w:spacing w:line="242" w:lineRule="auto" w:before="124" w:after="0"/>
        <w:ind w:left="2381" w:right="2088" w:hanging="794"/>
        <w:jc w:val="left"/>
        <w:rPr>
          <w:sz w:val="21"/>
        </w:rPr>
      </w:pPr>
      <w:r>
        <w:rPr>
          <w:w w:val="105"/>
          <w:sz w:val="21"/>
        </w:rPr>
        <w:t>The </w:t>
      </w:r>
      <w:r>
        <w:rPr>
          <w:spacing w:val="-3"/>
          <w:w w:val="105"/>
          <w:sz w:val="21"/>
        </w:rPr>
        <w:t>Commission notes that </w:t>
      </w:r>
      <w:r>
        <w:rPr>
          <w:w w:val="105"/>
          <w:sz w:val="21"/>
        </w:rPr>
        <w:t>section 86A of the NSW </w:t>
      </w:r>
      <w:r>
        <w:rPr>
          <w:spacing w:val="-3"/>
          <w:w w:val="105"/>
          <w:sz w:val="21"/>
        </w:rPr>
        <w:t>Probate </w:t>
      </w:r>
      <w:r>
        <w:rPr>
          <w:w w:val="105"/>
          <w:sz w:val="21"/>
        </w:rPr>
        <w:t>and </w:t>
      </w:r>
      <w:r>
        <w:rPr>
          <w:spacing w:val="-3"/>
          <w:w w:val="105"/>
          <w:sz w:val="21"/>
        </w:rPr>
        <w:t>Administration </w:t>
      </w:r>
      <w:r>
        <w:rPr>
          <w:w w:val="105"/>
          <w:sz w:val="21"/>
        </w:rPr>
        <w:t>Act is </w:t>
      </w:r>
      <w:r>
        <w:rPr>
          <w:spacing w:val="-3"/>
          <w:w w:val="105"/>
          <w:sz w:val="21"/>
        </w:rPr>
        <w:t>rarely </w:t>
      </w:r>
      <w:r>
        <w:rPr>
          <w:w w:val="105"/>
          <w:sz w:val="21"/>
        </w:rPr>
        <w:t>used and expects </w:t>
      </w:r>
      <w:r>
        <w:rPr>
          <w:spacing w:val="-3"/>
          <w:w w:val="105"/>
          <w:sz w:val="21"/>
        </w:rPr>
        <w:t>that </w:t>
      </w:r>
      <w:r>
        <w:rPr>
          <w:w w:val="105"/>
          <w:sz w:val="21"/>
        </w:rPr>
        <w:t>the experience in Victoria </w:t>
      </w:r>
      <w:r>
        <w:rPr>
          <w:spacing w:val="-3"/>
          <w:w w:val="105"/>
          <w:sz w:val="21"/>
        </w:rPr>
        <w:t>will </w:t>
      </w:r>
      <w:r>
        <w:rPr>
          <w:w w:val="105"/>
          <w:sz w:val="21"/>
        </w:rPr>
        <w:t>be </w:t>
      </w:r>
      <w:r>
        <w:rPr>
          <w:spacing w:val="-6"/>
          <w:w w:val="105"/>
          <w:sz w:val="21"/>
        </w:rPr>
        <w:t>similar.</w:t>
      </w:r>
      <w:r>
        <w:rPr>
          <w:spacing w:val="-6"/>
          <w:w w:val="105"/>
          <w:position w:val="7"/>
          <w:sz w:val="12"/>
        </w:rPr>
        <w:t>153 </w:t>
      </w:r>
      <w:r>
        <w:rPr>
          <w:spacing w:val="-3"/>
          <w:w w:val="105"/>
          <w:sz w:val="21"/>
        </w:rPr>
        <w:t>Although </w:t>
      </w:r>
      <w:r>
        <w:rPr>
          <w:w w:val="105"/>
          <w:sz w:val="21"/>
        </w:rPr>
        <w:t>the</w:t>
      </w:r>
      <w:r>
        <w:rPr>
          <w:spacing w:val="-9"/>
          <w:w w:val="105"/>
          <w:sz w:val="21"/>
        </w:rPr>
        <w:t> </w:t>
      </w:r>
      <w:r>
        <w:rPr>
          <w:w w:val="105"/>
          <w:sz w:val="21"/>
        </w:rPr>
        <w:t>review</w:t>
      </w:r>
      <w:r>
        <w:rPr>
          <w:spacing w:val="-8"/>
          <w:w w:val="105"/>
          <w:sz w:val="21"/>
        </w:rPr>
        <w:t> </w:t>
      </w:r>
      <w:r>
        <w:rPr>
          <w:spacing w:val="-3"/>
          <w:w w:val="105"/>
          <w:sz w:val="21"/>
        </w:rPr>
        <w:t>provision</w:t>
      </w:r>
      <w:r>
        <w:rPr>
          <w:spacing w:val="-9"/>
          <w:w w:val="105"/>
          <w:sz w:val="21"/>
        </w:rPr>
        <w:t> </w:t>
      </w:r>
      <w:r>
        <w:rPr>
          <w:spacing w:val="-3"/>
          <w:w w:val="105"/>
          <w:sz w:val="21"/>
        </w:rPr>
        <w:t>could</w:t>
      </w:r>
      <w:r>
        <w:rPr>
          <w:spacing w:val="-8"/>
          <w:w w:val="105"/>
          <w:sz w:val="21"/>
        </w:rPr>
        <w:t> </w:t>
      </w:r>
      <w:r>
        <w:rPr>
          <w:spacing w:val="-4"/>
          <w:w w:val="105"/>
          <w:sz w:val="21"/>
        </w:rPr>
        <w:t>weaken</w:t>
      </w:r>
      <w:r>
        <w:rPr>
          <w:spacing w:val="-8"/>
          <w:w w:val="105"/>
          <w:sz w:val="21"/>
        </w:rPr>
        <w:t> </w:t>
      </w:r>
      <w:r>
        <w:rPr>
          <w:w w:val="105"/>
          <w:sz w:val="21"/>
        </w:rPr>
        <w:t>the</w:t>
      </w:r>
      <w:r>
        <w:rPr>
          <w:spacing w:val="-9"/>
          <w:w w:val="105"/>
          <w:sz w:val="21"/>
        </w:rPr>
        <w:t> </w:t>
      </w:r>
      <w:r>
        <w:rPr>
          <w:w w:val="105"/>
          <w:sz w:val="21"/>
        </w:rPr>
        <w:t>certainty</w:t>
      </w:r>
      <w:r>
        <w:rPr>
          <w:spacing w:val="-8"/>
          <w:w w:val="105"/>
          <w:sz w:val="21"/>
        </w:rPr>
        <w:t> </w:t>
      </w:r>
      <w:r>
        <w:rPr>
          <w:w w:val="105"/>
          <w:sz w:val="21"/>
        </w:rPr>
        <w:t>of</w:t>
      </w:r>
      <w:r>
        <w:rPr>
          <w:spacing w:val="-8"/>
          <w:w w:val="105"/>
          <w:sz w:val="21"/>
        </w:rPr>
        <w:t> </w:t>
      </w:r>
      <w:r>
        <w:rPr>
          <w:w w:val="105"/>
          <w:sz w:val="21"/>
        </w:rPr>
        <w:t>agreements</w:t>
      </w:r>
      <w:r>
        <w:rPr>
          <w:spacing w:val="-9"/>
          <w:w w:val="105"/>
          <w:sz w:val="21"/>
        </w:rPr>
        <w:t> </w:t>
      </w:r>
      <w:r>
        <w:rPr>
          <w:w w:val="105"/>
          <w:sz w:val="21"/>
        </w:rPr>
        <w:t>made</w:t>
      </w:r>
      <w:r>
        <w:rPr>
          <w:spacing w:val="-8"/>
          <w:w w:val="105"/>
          <w:sz w:val="21"/>
        </w:rPr>
        <w:t> </w:t>
      </w:r>
      <w:r>
        <w:rPr>
          <w:w w:val="105"/>
          <w:sz w:val="21"/>
        </w:rPr>
        <w:t>between</w:t>
      </w:r>
      <w:r>
        <w:rPr>
          <w:spacing w:val="-8"/>
          <w:w w:val="105"/>
          <w:sz w:val="21"/>
        </w:rPr>
        <w:t> </w:t>
      </w:r>
      <w:r>
        <w:rPr>
          <w:w w:val="105"/>
          <w:sz w:val="21"/>
        </w:rPr>
        <w:t>legal</w:t>
      </w:r>
    </w:p>
    <w:p>
      <w:pPr>
        <w:pStyle w:val="BodyText"/>
        <w:spacing w:line="242" w:lineRule="auto" w:before="3"/>
        <w:ind w:left="2381" w:right="1619"/>
      </w:pPr>
      <w:r>
        <w:rPr>
          <w:w w:val="105"/>
        </w:rPr>
        <w:t>practitioners</w:t>
      </w:r>
      <w:r>
        <w:rPr>
          <w:spacing w:val="-17"/>
          <w:w w:val="105"/>
        </w:rPr>
        <w:t> </w:t>
      </w:r>
      <w:r>
        <w:rPr>
          <w:w w:val="105"/>
        </w:rPr>
        <w:t>and</w:t>
      </w:r>
      <w:r>
        <w:rPr>
          <w:spacing w:val="-17"/>
          <w:w w:val="105"/>
        </w:rPr>
        <w:t> </w:t>
      </w:r>
      <w:r>
        <w:rPr>
          <w:w w:val="105"/>
        </w:rPr>
        <w:t>their</w:t>
      </w:r>
      <w:r>
        <w:rPr>
          <w:spacing w:val="-17"/>
          <w:w w:val="105"/>
        </w:rPr>
        <w:t> </w:t>
      </w:r>
      <w:r>
        <w:rPr>
          <w:w w:val="105"/>
        </w:rPr>
        <w:t>clients,</w:t>
      </w:r>
      <w:r>
        <w:rPr>
          <w:spacing w:val="-17"/>
          <w:w w:val="105"/>
        </w:rPr>
        <w:t> </w:t>
      </w:r>
      <w:r>
        <w:rPr>
          <w:w w:val="105"/>
        </w:rPr>
        <w:t>the</w:t>
      </w:r>
      <w:r>
        <w:rPr>
          <w:spacing w:val="-16"/>
          <w:w w:val="105"/>
        </w:rPr>
        <w:t> </w:t>
      </w:r>
      <w:r>
        <w:rPr>
          <w:spacing w:val="-3"/>
          <w:w w:val="105"/>
        </w:rPr>
        <w:t>remedial</w:t>
      </w:r>
      <w:r>
        <w:rPr>
          <w:spacing w:val="-17"/>
          <w:w w:val="105"/>
        </w:rPr>
        <w:t> </w:t>
      </w:r>
      <w:r>
        <w:rPr>
          <w:w w:val="105"/>
        </w:rPr>
        <w:t>purpose</w:t>
      </w:r>
      <w:r>
        <w:rPr>
          <w:spacing w:val="-17"/>
          <w:w w:val="105"/>
        </w:rPr>
        <w:t> </w:t>
      </w:r>
      <w:r>
        <w:rPr>
          <w:w w:val="105"/>
        </w:rPr>
        <w:t>of</w:t>
      </w:r>
      <w:r>
        <w:rPr>
          <w:spacing w:val="-17"/>
          <w:w w:val="105"/>
        </w:rPr>
        <w:t> </w:t>
      </w:r>
      <w:r>
        <w:rPr>
          <w:w w:val="105"/>
        </w:rPr>
        <w:t>the</w:t>
      </w:r>
      <w:r>
        <w:rPr>
          <w:spacing w:val="-16"/>
          <w:w w:val="105"/>
        </w:rPr>
        <w:t> </w:t>
      </w:r>
      <w:r>
        <w:rPr>
          <w:w w:val="105"/>
        </w:rPr>
        <w:t>proposed</w:t>
      </w:r>
      <w:r>
        <w:rPr>
          <w:spacing w:val="-17"/>
          <w:w w:val="105"/>
        </w:rPr>
        <w:t> </w:t>
      </w:r>
      <w:r>
        <w:rPr>
          <w:w w:val="105"/>
        </w:rPr>
        <w:t>reform—to</w:t>
      </w:r>
      <w:r>
        <w:rPr>
          <w:spacing w:val="-17"/>
          <w:w w:val="105"/>
        </w:rPr>
        <w:t> </w:t>
      </w:r>
      <w:r>
        <w:rPr>
          <w:w w:val="105"/>
        </w:rPr>
        <w:t>protect beneficiaries when executors </w:t>
      </w:r>
      <w:r>
        <w:rPr>
          <w:spacing w:val="-3"/>
          <w:w w:val="105"/>
        </w:rPr>
        <w:t>draw </w:t>
      </w:r>
      <w:r>
        <w:rPr>
          <w:spacing w:val="-2"/>
          <w:w w:val="105"/>
        </w:rPr>
        <w:t>excessive </w:t>
      </w:r>
      <w:r>
        <w:rPr>
          <w:w w:val="105"/>
        </w:rPr>
        <w:t>amounts </w:t>
      </w:r>
      <w:r>
        <w:rPr>
          <w:spacing w:val="-3"/>
          <w:w w:val="105"/>
        </w:rPr>
        <w:t>from </w:t>
      </w:r>
      <w:r>
        <w:rPr>
          <w:w w:val="105"/>
        </w:rPr>
        <w:t>the estate—should be </w:t>
      </w:r>
      <w:r>
        <w:rPr>
          <w:spacing w:val="-3"/>
          <w:w w:val="105"/>
        </w:rPr>
        <w:t>overriding.</w:t>
      </w:r>
    </w:p>
    <w:p>
      <w:pPr>
        <w:pStyle w:val="BodyText"/>
        <w:rPr>
          <w:sz w:val="20"/>
        </w:rPr>
      </w:pPr>
    </w:p>
    <w:p>
      <w:pPr>
        <w:pStyle w:val="BodyText"/>
        <w:rPr>
          <w:sz w:val="20"/>
        </w:rPr>
      </w:pPr>
    </w:p>
    <w:p>
      <w:pPr>
        <w:pStyle w:val="BodyText"/>
        <w:spacing w:before="8"/>
        <w:rPr>
          <w:sz w:val="16"/>
        </w:rPr>
      </w:pPr>
      <w:r>
        <w:rPr/>
        <w:pict>
          <v:line style="position:absolute;mso-position-horizontal-relative:page;mso-position-vertical-relative:paragraph;z-index:9632;mso-wrap-distance-left:0;mso-wrap-distance-right:0" from="79.370003pt,12.622715pt" to="515.905003pt,12.622715pt" stroked="true" strokeweight="1pt" strokecolor="#f9ceca">
            <v:stroke dashstyle="solid"/>
            <w10:wrap type="topAndBottom"/>
          </v:line>
        </w:pict>
      </w:r>
    </w:p>
    <w:p>
      <w:pPr>
        <w:pStyle w:val="BodyText"/>
        <w:spacing w:before="8"/>
        <w:rPr>
          <w:sz w:val="5"/>
        </w:rPr>
      </w:pPr>
    </w:p>
    <w:p>
      <w:pPr>
        <w:spacing w:after="0"/>
        <w:rPr>
          <w:sz w:val="5"/>
        </w:rPr>
        <w:sectPr>
          <w:pgSz w:w="11910" w:h="16840"/>
          <w:pgMar w:header="550" w:footer="0" w:top="1560" w:bottom="280" w:left="0" w:right="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40"/>
        </w:rPr>
      </w:pPr>
    </w:p>
    <w:p>
      <w:pPr>
        <w:spacing w:before="1"/>
        <w:ind w:left="720" w:right="0" w:firstLine="0"/>
        <w:jc w:val="left"/>
        <w:rPr>
          <w:b/>
          <w:sz w:val="24"/>
        </w:rPr>
      </w:pPr>
      <w:r>
        <w:rPr>
          <w:b/>
          <w:color w:val="EC5A4F"/>
          <w:spacing w:val="-3"/>
          <w:w w:val="110"/>
          <w:sz w:val="24"/>
        </w:rPr>
        <w:t>162</w:t>
      </w:r>
    </w:p>
    <w:p>
      <w:pPr>
        <w:pStyle w:val="ListParagraph"/>
        <w:numPr>
          <w:ilvl w:val="0"/>
          <w:numId w:val="122"/>
        </w:numPr>
        <w:tabs>
          <w:tab w:pos="1228" w:val="left" w:leader="none"/>
          <w:tab w:pos="1229" w:val="left" w:leader="none"/>
        </w:tabs>
        <w:spacing w:line="240" w:lineRule="auto" w:before="48" w:after="0"/>
        <w:ind w:left="1228" w:right="1709" w:hanging="794"/>
        <w:jc w:val="left"/>
        <w:rPr>
          <w:sz w:val="13"/>
        </w:rPr>
      </w:pPr>
      <w:r>
        <w:rPr>
          <w:w w:val="108"/>
          <w:sz w:val="13"/>
        </w:rPr>
        <w:br w:type="column"/>
      </w:r>
      <w:r>
        <w:rPr>
          <w:w w:val="105"/>
          <w:sz w:val="13"/>
        </w:rPr>
        <w:t>Submissions 8 (Patrician Strachan); </w:t>
      </w:r>
      <w:r>
        <w:rPr>
          <w:spacing w:val="-3"/>
          <w:w w:val="105"/>
          <w:sz w:val="13"/>
        </w:rPr>
        <w:t>14 </w:t>
      </w:r>
      <w:r>
        <w:rPr>
          <w:w w:val="105"/>
          <w:sz w:val="13"/>
        </w:rPr>
        <w:t>(Commercial Bar </w:t>
      </w:r>
      <w:r>
        <w:rPr>
          <w:spacing w:val="2"/>
          <w:w w:val="105"/>
          <w:sz w:val="13"/>
        </w:rPr>
        <w:t>Association); </w:t>
      </w:r>
      <w:r>
        <w:rPr>
          <w:spacing w:val="-3"/>
          <w:w w:val="105"/>
          <w:sz w:val="13"/>
        </w:rPr>
        <w:t>19 </w:t>
      </w:r>
      <w:r>
        <w:rPr>
          <w:spacing w:val="2"/>
          <w:w w:val="105"/>
          <w:sz w:val="13"/>
        </w:rPr>
        <w:t>(Association </w:t>
      </w:r>
      <w:r>
        <w:rPr>
          <w:w w:val="105"/>
          <w:sz w:val="13"/>
        </w:rPr>
        <w:t>of Independent Retirees); 22 (Paul Bravender-Coyle); 25</w:t>
      </w:r>
      <w:r>
        <w:rPr>
          <w:spacing w:val="5"/>
          <w:w w:val="105"/>
          <w:sz w:val="13"/>
        </w:rPr>
        <w:t> </w:t>
      </w:r>
      <w:r>
        <w:rPr>
          <w:spacing w:val="2"/>
          <w:w w:val="105"/>
          <w:sz w:val="13"/>
        </w:rPr>
        <w:t>(Moores</w:t>
      </w:r>
      <w:r>
        <w:rPr>
          <w:spacing w:val="5"/>
          <w:w w:val="105"/>
          <w:sz w:val="13"/>
        </w:rPr>
        <w:t> </w:t>
      </w:r>
      <w:r>
        <w:rPr>
          <w:w w:val="105"/>
          <w:sz w:val="13"/>
        </w:rPr>
        <w:t>Legal);</w:t>
      </w:r>
      <w:r>
        <w:rPr>
          <w:spacing w:val="5"/>
          <w:w w:val="105"/>
          <w:sz w:val="13"/>
        </w:rPr>
        <w:t> </w:t>
      </w:r>
      <w:r>
        <w:rPr>
          <w:w w:val="105"/>
          <w:sz w:val="13"/>
        </w:rPr>
        <w:t>32</w:t>
      </w:r>
      <w:r>
        <w:rPr>
          <w:spacing w:val="6"/>
          <w:w w:val="105"/>
          <w:sz w:val="13"/>
        </w:rPr>
        <w:t> </w:t>
      </w:r>
      <w:r>
        <w:rPr>
          <w:spacing w:val="2"/>
          <w:w w:val="105"/>
          <w:sz w:val="13"/>
        </w:rPr>
        <w:t>(The</w:t>
      </w:r>
      <w:r>
        <w:rPr>
          <w:spacing w:val="5"/>
          <w:w w:val="105"/>
          <w:sz w:val="13"/>
        </w:rPr>
        <w:t> </w:t>
      </w:r>
      <w:r>
        <w:rPr>
          <w:w w:val="105"/>
          <w:sz w:val="13"/>
        </w:rPr>
        <w:t>Institute</w:t>
      </w:r>
      <w:r>
        <w:rPr>
          <w:spacing w:val="5"/>
          <w:w w:val="105"/>
          <w:sz w:val="13"/>
        </w:rPr>
        <w:t> </w:t>
      </w:r>
      <w:r>
        <w:rPr>
          <w:w w:val="105"/>
          <w:sz w:val="13"/>
        </w:rPr>
        <w:t>of</w:t>
      </w:r>
      <w:r>
        <w:rPr>
          <w:spacing w:val="6"/>
          <w:w w:val="105"/>
          <w:sz w:val="13"/>
        </w:rPr>
        <w:t> </w:t>
      </w:r>
      <w:r>
        <w:rPr>
          <w:w w:val="105"/>
          <w:sz w:val="13"/>
        </w:rPr>
        <w:t>Legal</w:t>
      </w:r>
      <w:r>
        <w:rPr>
          <w:spacing w:val="5"/>
          <w:w w:val="105"/>
          <w:sz w:val="13"/>
        </w:rPr>
        <w:t> </w:t>
      </w:r>
      <w:r>
        <w:rPr>
          <w:w w:val="105"/>
          <w:sz w:val="13"/>
        </w:rPr>
        <w:t>Executives);</w:t>
      </w:r>
      <w:r>
        <w:rPr>
          <w:spacing w:val="5"/>
          <w:w w:val="105"/>
          <w:sz w:val="13"/>
        </w:rPr>
        <w:t> </w:t>
      </w:r>
      <w:r>
        <w:rPr>
          <w:w w:val="105"/>
          <w:sz w:val="13"/>
        </w:rPr>
        <w:t>36</w:t>
      </w:r>
      <w:r>
        <w:rPr>
          <w:spacing w:val="6"/>
          <w:w w:val="105"/>
          <w:sz w:val="13"/>
        </w:rPr>
        <w:t> </w:t>
      </w:r>
      <w:r>
        <w:rPr>
          <w:spacing w:val="3"/>
          <w:w w:val="105"/>
          <w:sz w:val="13"/>
        </w:rPr>
        <w:t>(Law</w:t>
      </w:r>
      <w:r>
        <w:rPr>
          <w:spacing w:val="5"/>
          <w:w w:val="105"/>
          <w:sz w:val="13"/>
        </w:rPr>
        <w:t> </w:t>
      </w:r>
      <w:r>
        <w:rPr>
          <w:w w:val="105"/>
          <w:sz w:val="13"/>
        </w:rPr>
        <w:t>Society</w:t>
      </w:r>
      <w:r>
        <w:rPr>
          <w:spacing w:val="5"/>
          <w:w w:val="105"/>
          <w:sz w:val="13"/>
        </w:rPr>
        <w:t> </w:t>
      </w:r>
      <w:r>
        <w:rPr>
          <w:w w:val="105"/>
          <w:sz w:val="13"/>
        </w:rPr>
        <w:t>of</w:t>
      </w:r>
      <w:r>
        <w:rPr>
          <w:spacing w:val="5"/>
          <w:w w:val="105"/>
          <w:sz w:val="13"/>
        </w:rPr>
        <w:t> </w:t>
      </w:r>
      <w:r>
        <w:rPr>
          <w:w w:val="105"/>
          <w:sz w:val="13"/>
        </w:rPr>
        <w:t>New</w:t>
      </w:r>
      <w:r>
        <w:rPr>
          <w:spacing w:val="6"/>
          <w:w w:val="105"/>
          <w:sz w:val="13"/>
        </w:rPr>
        <w:t> </w:t>
      </w:r>
      <w:r>
        <w:rPr>
          <w:w w:val="105"/>
          <w:sz w:val="13"/>
        </w:rPr>
        <w:t>South</w:t>
      </w:r>
      <w:r>
        <w:rPr>
          <w:spacing w:val="5"/>
          <w:w w:val="105"/>
          <w:sz w:val="13"/>
        </w:rPr>
        <w:t> </w:t>
      </w:r>
      <w:r>
        <w:rPr>
          <w:w w:val="105"/>
          <w:sz w:val="13"/>
        </w:rPr>
        <w:t>Wales);</w:t>
      </w:r>
      <w:r>
        <w:rPr>
          <w:spacing w:val="5"/>
          <w:w w:val="105"/>
          <w:sz w:val="13"/>
        </w:rPr>
        <w:t> </w:t>
      </w:r>
      <w:r>
        <w:rPr>
          <w:w w:val="105"/>
          <w:sz w:val="13"/>
        </w:rPr>
        <w:t>37</w:t>
      </w:r>
      <w:r>
        <w:rPr>
          <w:spacing w:val="6"/>
          <w:w w:val="105"/>
          <w:sz w:val="13"/>
        </w:rPr>
        <w:t> </w:t>
      </w:r>
      <w:r>
        <w:rPr>
          <w:w w:val="105"/>
          <w:sz w:val="13"/>
        </w:rPr>
        <w:t>(Supreme</w:t>
      </w:r>
      <w:r>
        <w:rPr>
          <w:spacing w:val="5"/>
          <w:w w:val="105"/>
          <w:sz w:val="13"/>
        </w:rPr>
        <w:t> </w:t>
      </w:r>
      <w:r>
        <w:rPr>
          <w:w w:val="105"/>
          <w:sz w:val="13"/>
        </w:rPr>
        <w:t>Court</w:t>
      </w:r>
      <w:r>
        <w:rPr>
          <w:spacing w:val="5"/>
          <w:w w:val="105"/>
          <w:sz w:val="13"/>
        </w:rPr>
        <w:t> </w:t>
      </w:r>
      <w:r>
        <w:rPr>
          <w:w w:val="105"/>
          <w:sz w:val="13"/>
        </w:rPr>
        <w:t>of</w:t>
      </w:r>
      <w:r>
        <w:rPr>
          <w:spacing w:val="6"/>
          <w:w w:val="105"/>
          <w:sz w:val="13"/>
        </w:rPr>
        <w:t> </w:t>
      </w:r>
      <w:r>
        <w:rPr>
          <w:spacing w:val="2"/>
          <w:w w:val="105"/>
          <w:sz w:val="13"/>
        </w:rPr>
        <w:t>Victoria);</w:t>
      </w:r>
    </w:p>
    <w:p>
      <w:pPr>
        <w:spacing w:before="3"/>
        <w:ind w:left="1228" w:right="0" w:firstLine="0"/>
        <w:jc w:val="left"/>
        <w:rPr>
          <w:sz w:val="13"/>
        </w:rPr>
      </w:pPr>
      <w:r>
        <w:rPr>
          <w:w w:val="105"/>
          <w:sz w:val="13"/>
        </w:rPr>
        <w:t>40 (Janice Brownfoot).</w:t>
      </w:r>
    </w:p>
    <w:p>
      <w:pPr>
        <w:pStyle w:val="ListParagraph"/>
        <w:numPr>
          <w:ilvl w:val="0"/>
          <w:numId w:val="122"/>
        </w:numPr>
        <w:tabs>
          <w:tab w:pos="1228" w:val="left" w:leader="none"/>
          <w:tab w:pos="1229" w:val="left" w:leader="none"/>
        </w:tabs>
        <w:spacing w:line="240" w:lineRule="auto" w:before="1" w:after="0"/>
        <w:ind w:left="1228" w:right="0" w:hanging="794"/>
        <w:jc w:val="left"/>
        <w:rPr>
          <w:sz w:val="13"/>
        </w:rPr>
      </w:pPr>
      <w:r>
        <w:rPr>
          <w:w w:val="105"/>
          <w:sz w:val="13"/>
        </w:rPr>
        <w:t>Submission 30a </w:t>
      </w:r>
      <w:r>
        <w:rPr>
          <w:spacing w:val="3"/>
          <w:w w:val="105"/>
          <w:sz w:val="13"/>
        </w:rPr>
        <w:t>(Law </w:t>
      </w:r>
      <w:r>
        <w:rPr>
          <w:w w:val="105"/>
          <w:sz w:val="13"/>
        </w:rPr>
        <w:t>Institute of</w:t>
      </w:r>
      <w:r>
        <w:rPr>
          <w:spacing w:val="19"/>
          <w:w w:val="105"/>
          <w:sz w:val="13"/>
        </w:rPr>
        <w:t> </w:t>
      </w:r>
      <w:r>
        <w:rPr>
          <w:spacing w:val="2"/>
          <w:w w:val="105"/>
          <w:sz w:val="13"/>
        </w:rPr>
        <w:t>Victoria).</w:t>
      </w:r>
    </w:p>
    <w:p>
      <w:pPr>
        <w:pStyle w:val="ListParagraph"/>
        <w:numPr>
          <w:ilvl w:val="0"/>
          <w:numId w:val="122"/>
        </w:numPr>
        <w:tabs>
          <w:tab w:pos="1228" w:val="left" w:leader="none"/>
          <w:tab w:pos="1229" w:val="left" w:leader="none"/>
        </w:tabs>
        <w:spacing w:line="240" w:lineRule="auto" w:before="1" w:after="0"/>
        <w:ind w:left="1228" w:right="0" w:hanging="794"/>
        <w:jc w:val="left"/>
        <w:rPr>
          <w:sz w:val="13"/>
        </w:rPr>
      </w:pPr>
      <w:r>
        <w:rPr>
          <w:w w:val="105"/>
          <w:sz w:val="13"/>
        </w:rPr>
        <w:t>Submission 26 </w:t>
      </w:r>
      <w:r>
        <w:rPr>
          <w:spacing w:val="2"/>
          <w:w w:val="105"/>
          <w:sz w:val="13"/>
        </w:rPr>
        <w:t>(Rigby </w:t>
      </w:r>
      <w:r>
        <w:rPr>
          <w:w w:val="105"/>
          <w:sz w:val="13"/>
        </w:rPr>
        <w:t>Cooke</w:t>
      </w:r>
      <w:r>
        <w:rPr>
          <w:spacing w:val="16"/>
          <w:w w:val="105"/>
          <w:sz w:val="13"/>
        </w:rPr>
        <w:t> </w:t>
      </w:r>
      <w:r>
        <w:rPr>
          <w:spacing w:val="2"/>
          <w:w w:val="105"/>
          <w:sz w:val="13"/>
        </w:rPr>
        <w:t>Lawyers).</w:t>
      </w:r>
    </w:p>
    <w:p>
      <w:pPr>
        <w:pStyle w:val="ListParagraph"/>
        <w:numPr>
          <w:ilvl w:val="0"/>
          <w:numId w:val="122"/>
        </w:numPr>
        <w:tabs>
          <w:tab w:pos="1228" w:val="left" w:leader="none"/>
          <w:tab w:pos="1229" w:val="left" w:leader="none"/>
        </w:tabs>
        <w:spacing w:line="240" w:lineRule="auto" w:before="2" w:after="0"/>
        <w:ind w:left="1228" w:right="0" w:hanging="794"/>
        <w:jc w:val="left"/>
        <w:rPr>
          <w:sz w:val="13"/>
        </w:rPr>
      </w:pPr>
      <w:r>
        <w:rPr>
          <w:w w:val="105"/>
          <w:sz w:val="13"/>
        </w:rPr>
        <w:t>Administration and Probate Act 1958 </w:t>
      </w:r>
      <w:r>
        <w:rPr>
          <w:spacing w:val="2"/>
          <w:w w:val="105"/>
          <w:sz w:val="13"/>
        </w:rPr>
        <w:t>(Vic) </w:t>
      </w:r>
      <w:r>
        <w:rPr>
          <w:w w:val="105"/>
          <w:sz w:val="13"/>
        </w:rPr>
        <w:t>s</w:t>
      </w:r>
      <w:r>
        <w:rPr>
          <w:spacing w:val="30"/>
          <w:w w:val="105"/>
          <w:sz w:val="13"/>
        </w:rPr>
        <w:t> </w:t>
      </w:r>
      <w:r>
        <w:rPr>
          <w:w w:val="105"/>
          <w:sz w:val="13"/>
        </w:rPr>
        <w:t>28(1).</w:t>
      </w:r>
    </w:p>
    <w:p>
      <w:pPr>
        <w:pStyle w:val="ListParagraph"/>
        <w:numPr>
          <w:ilvl w:val="0"/>
          <w:numId w:val="122"/>
        </w:numPr>
        <w:tabs>
          <w:tab w:pos="1228" w:val="left" w:leader="none"/>
          <w:tab w:pos="1229" w:val="left" w:leader="none"/>
        </w:tabs>
        <w:spacing w:line="240" w:lineRule="auto" w:before="1" w:after="0"/>
        <w:ind w:left="434" w:right="3610" w:firstLine="0"/>
        <w:jc w:val="left"/>
        <w:rPr>
          <w:sz w:val="13"/>
        </w:rPr>
      </w:pPr>
      <w:r>
        <w:rPr>
          <w:w w:val="105"/>
          <w:sz w:val="13"/>
        </w:rPr>
        <w:t>Consultations 3 </w:t>
      </w:r>
      <w:r>
        <w:rPr>
          <w:spacing w:val="2"/>
          <w:w w:val="105"/>
          <w:sz w:val="13"/>
        </w:rPr>
        <w:t>(Legal </w:t>
      </w:r>
      <w:r>
        <w:rPr>
          <w:w w:val="105"/>
          <w:sz w:val="13"/>
        </w:rPr>
        <w:t>practitioners in the Goulburn Valley region); 18 </w:t>
      </w:r>
      <w:r>
        <w:rPr>
          <w:spacing w:val="2"/>
          <w:w w:val="105"/>
          <w:sz w:val="13"/>
        </w:rPr>
        <w:t>(Legal </w:t>
      </w:r>
      <w:r>
        <w:rPr>
          <w:w w:val="105"/>
          <w:sz w:val="13"/>
        </w:rPr>
        <w:t>practitioners in Wodonga). 148</w:t>
        <w:tab/>
        <w:t>Consultation </w:t>
      </w:r>
      <w:r>
        <w:rPr>
          <w:spacing w:val="-6"/>
          <w:w w:val="105"/>
          <w:sz w:val="13"/>
        </w:rPr>
        <w:t>11 </w:t>
      </w:r>
      <w:r>
        <w:rPr>
          <w:w w:val="105"/>
          <w:sz w:val="13"/>
        </w:rPr>
        <w:t>(Supreme Court of New South</w:t>
      </w:r>
      <w:r>
        <w:rPr>
          <w:spacing w:val="16"/>
          <w:w w:val="105"/>
          <w:sz w:val="13"/>
        </w:rPr>
        <w:t> </w:t>
      </w:r>
      <w:r>
        <w:rPr>
          <w:w w:val="105"/>
          <w:sz w:val="13"/>
        </w:rPr>
        <w:t>Wales).</w:t>
      </w:r>
    </w:p>
    <w:p>
      <w:pPr>
        <w:pStyle w:val="ListParagraph"/>
        <w:numPr>
          <w:ilvl w:val="0"/>
          <w:numId w:val="123"/>
        </w:numPr>
        <w:tabs>
          <w:tab w:pos="1228" w:val="left" w:leader="none"/>
          <w:tab w:pos="1229" w:val="left" w:leader="none"/>
        </w:tabs>
        <w:spacing w:line="240" w:lineRule="auto" w:before="3" w:after="0"/>
        <w:ind w:left="1228" w:right="0" w:hanging="794"/>
        <w:jc w:val="left"/>
        <w:rPr>
          <w:sz w:val="13"/>
        </w:rPr>
      </w:pPr>
      <w:r>
        <w:rPr>
          <w:w w:val="105"/>
          <w:sz w:val="13"/>
        </w:rPr>
        <w:t>Consultation</w:t>
      </w:r>
      <w:r>
        <w:rPr>
          <w:spacing w:val="4"/>
          <w:w w:val="105"/>
          <w:sz w:val="13"/>
        </w:rPr>
        <w:t> </w:t>
      </w:r>
      <w:r>
        <w:rPr>
          <w:w w:val="105"/>
          <w:sz w:val="13"/>
        </w:rPr>
        <w:t>7</w:t>
      </w:r>
      <w:r>
        <w:rPr>
          <w:spacing w:val="5"/>
          <w:w w:val="105"/>
          <w:sz w:val="13"/>
        </w:rPr>
        <w:t> </w:t>
      </w:r>
      <w:r>
        <w:rPr>
          <w:spacing w:val="3"/>
          <w:w w:val="105"/>
          <w:sz w:val="13"/>
        </w:rPr>
        <w:t>(Law</w:t>
      </w:r>
      <w:r>
        <w:rPr>
          <w:spacing w:val="4"/>
          <w:w w:val="105"/>
          <w:sz w:val="13"/>
        </w:rPr>
        <w:t> </w:t>
      </w:r>
      <w:r>
        <w:rPr>
          <w:w w:val="105"/>
          <w:sz w:val="13"/>
        </w:rPr>
        <w:t>Institute</w:t>
      </w:r>
      <w:r>
        <w:rPr>
          <w:spacing w:val="5"/>
          <w:w w:val="105"/>
          <w:sz w:val="13"/>
        </w:rPr>
        <w:t> </w:t>
      </w:r>
      <w:r>
        <w:rPr>
          <w:w w:val="105"/>
          <w:sz w:val="13"/>
        </w:rPr>
        <w:t>of</w:t>
      </w:r>
      <w:r>
        <w:rPr>
          <w:spacing w:val="5"/>
          <w:w w:val="105"/>
          <w:sz w:val="13"/>
        </w:rPr>
        <w:t> </w:t>
      </w:r>
      <w:r>
        <w:rPr>
          <w:w w:val="105"/>
          <w:sz w:val="13"/>
        </w:rPr>
        <w:t>Victoria</w:t>
      </w:r>
      <w:r>
        <w:rPr>
          <w:spacing w:val="4"/>
          <w:w w:val="105"/>
          <w:sz w:val="13"/>
        </w:rPr>
        <w:t> </w:t>
      </w:r>
      <w:r>
        <w:rPr>
          <w:w w:val="105"/>
          <w:sz w:val="13"/>
        </w:rPr>
        <w:t>Wills</w:t>
      </w:r>
      <w:r>
        <w:rPr>
          <w:spacing w:val="5"/>
          <w:w w:val="105"/>
          <w:sz w:val="13"/>
        </w:rPr>
        <w:t> </w:t>
      </w:r>
      <w:r>
        <w:rPr>
          <w:w w:val="105"/>
          <w:sz w:val="13"/>
        </w:rPr>
        <w:t>&amp;</w:t>
      </w:r>
      <w:r>
        <w:rPr>
          <w:spacing w:val="5"/>
          <w:w w:val="105"/>
          <w:sz w:val="13"/>
        </w:rPr>
        <w:t> </w:t>
      </w:r>
      <w:r>
        <w:rPr>
          <w:w w:val="105"/>
          <w:sz w:val="13"/>
        </w:rPr>
        <w:t>Estates</w:t>
      </w:r>
      <w:r>
        <w:rPr>
          <w:spacing w:val="4"/>
          <w:w w:val="105"/>
          <w:sz w:val="13"/>
        </w:rPr>
        <w:t> </w:t>
      </w:r>
      <w:r>
        <w:rPr>
          <w:w w:val="105"/>
          <w:sz w:val="13"/>
        </w:rPr>
        <w:t>Discussion</w:t>
      </w:r>
      <w:r>
        <w:rPr>
          <w:spacing w:val="5"/>
          <w:w w:val="105"/>
          <w:sz w:val="13"/>
        </w:rPr>
        <w:t> </w:t>
      </w:r>
      <w:r>
        <w:rPr>
          <w:w w:val="105"/>
          <w:sz w:val="13"/>
        </w:rPr>
        <w:t>Group).</w:t>
      </w:r>
    </w:p>
    <w:p>
      <w:pPr>
        <w:pStyle w:val="ListParagraph"/>
        <w:numPr>
          <w:ilvl w:val="0"/>
          <w:numId w:val="123"/>
        </w:numPr>
        <w:tabs>
          <w:tab w:pos="1228" w:val="left" w:leader="none"/>
          <w:tab w:pos="1229" w:val="left" w:leader="none"/>
        </w:tabs>
        <w:spacing w:line="240" w:lineRule="auto" w:before="1" w:after="0"/>
        <w:ind w:left="1228" w:right="2173" w:hanging="794"/>
        <w:jc w:val="left"/>
        <w:rPr>
          <w:sz w:val="13"/>
        </w:rPr>
      </w:pPr>
      <w:r>
        <w:rPr>
          <w:w w:val="105"/>
          <w:sz w:val="13"/>
        </w:rPr>
        <w:t>Consultations 7 </w:t>
      </w:r>
      <w:r>
        <w:rPr>
          <w:spacing w:val="3"/>
          <w:w w:val="105"/>
          <w:sz w:val="13"/>
        </w:rPr>
        <w:t>(Law </w:t>
      </w:r>
      <w:r>
        <w:rPr>
          <w:w w:val="105"/>
          <w:sz w:val="13"/>
        </w:rPr>
        <w:t>Institute of Victoria Wills &amp; Estates Discussion Group); 20 </w:t>
      </w:r>
      <w:r>
        <w:rPr>
          <w:spacing w:val="2"/>
          <w:w w:val="105"/>
          <w:sz w:val="13"/>
        </w:rPr>
        <w:t>(Legal </w:t>
      </w:r>
      <w:r>
        <w:rPr>
          <w:w w:val="105"/>
          <w:sz w:val="13"/>
        </w:rPr>
        <w:t>practitioners in Colac). Advisory Committee (Meeting</w:t>
      </w:r>
      <w:r>
        <w:rPr>
          <w:spacing w:val="4"/>
          <w:w w:val="105"/>
          <w:sz w:val="13"/>
        </w:rPr>
        <w:t> </w:t>
      </w:r>
      <w:r>
        <w:rPr>
          <w:spacing w:val="3"/>
          <w:w w:val="105"/>
          <w:sz w:val="13"/>
        </w:rPr>
        <w:t>4).</w:t>
      </w:r>
    </w:p>
    <w:p>
      <w:pPr>
        <w:pStyle w:val="ListParagraph"/>
        <w:numPr>
          <w:ilvl w:val="0"/>
          <w:numId w:val="123"/>
        </w:numPr>
        <w:tabs>
          <w:tab w:pos="1228" w:val="left" w:leader="none"/>
          <w:tab w:pos="1229" w:val="left" w:leader="none"/>
        </w:tabs>
        <w:spacing w:line="240" w:lineRule="auto" w:before="3" w:after="0"/>
        <w:ind w:left="1228" w:right="0" w:hanging="793"/>
        <w:jc w:val="left"/>
        <w:rPr>
          <w:sz w:val="13"/>
        </w:rPr>
      </w:pPr>
      <w:r>
        <w:rPr>
          <w:w w:val="105"/>
          <w:sz w:val="13"/>
        </w:rPr>
        <w:t>Consultation 6 </w:t>
      </w:r>
      <w:r>
        <w:rPr>
          <w:spacing w:val="3"/>
          <w:w w:val="105"/>
          <w:sz w:val="13"/>
        </w:rPr>
        <w:t>(Law </w:t>
      </w:r>
      <w:r>
        <w:rPr>
          <w:w w:val="105"/>
          <w:sz w:val="13"/>
        </w:rPr>
        <w:t>Institute of Victoria Succession Law</w:t>
      </w:r>
      <w:r>
        <w:rPr>
          <w:spacing w:val="4"/>
          <w:w w:val="105"/>
          <w:sz w:val="13"/>
        </w:rPr>
        <w:t> </w:t>
      </w:r>
      <w:r>
        <w:rPr>
          <w:w w:val="105"/>
          <w:sz w:val="13"/>
        </w:rPr>
        <w:t>Committee).</w:t>
      </w:r>
    </w:p>
    <w:p>
      <w:pPr>
        <w:pStyle w:val="ListParagraph"/>
        <w:numPr>
          <w:ilvl w:val="0"/>
          <w:numId w:val="123"/>
        </w:numPr>
        <w:tabs>
          <w:tab w:pos="1228" w:val="left" w:leader="none"/>
          <w:tab w:pos="1229" w:val="left" w:leader="none"/>
        </w:tabs>
        <w:spacing w:line="240" w:lineRule="auto" w:before="1" w:after="0"/>
        <w:ind w:left="1228" w:right="0" w:hanging="793"/>
        <w:jc w:val="left"/>
        <w:rPr>
          <w:sz w:val="13"/>
        </w:rPr>
      </w:pPr>
      <w:r>
        <w:rPr>
          <w:w w:val="105"/>
          <w:sz w:val="13"/>
        </w:rPr>
        <w:t>Advisory Committee (Meeting</w:t>
      </w:r>
      <w:r>
        <w:rPr>
          <w:spacing w:val="13"/>
          <w:w w:val="105"/>
          <w:sz w:val="13"/>
        </w:rPr>
        <w:t> </w:t>
      </w:r>
      <w:r>
        <w:rPr>
          <w:spacing w:val="3"/>
          <w:w w:val="105"/>
          <w:sz w:val="13"/>
        </w:rPr>
        <w:t>4).</w:t>
      </w:r>
    </w:p>
    <w:p>
      <w:pPr>
        <w:pStyle w:val="ListParagraph"/>
        <w:numPr>
          <w:ilvl w:val="0"/>
          <w:numId w:val="123"/>
        </w:numPr>
        <w:tabs>
          <w:tab w:pos="1228" w:val="left" w:leader="none"/>
          <w:tab w:pos="1229" w:val="left" w:leader="none"/>
        </w:tabs>
        <w:spacing w:line="240" w:lineRule="auto" w:before="1" w:after="0"/>
        <w:ind w:left="1228" w:right="2140" w:hanging="793"/>
        <w:jc w:val="left"/>
        <w:rPr>
          <w:sz w:val="13"/>
        </w:rPr>
      </w:pPr>
      <w:r>
        <w:rPr>
          <w:w w:val="105"/>
          <w:sz w:val="13"/>
        </w:rPr>
        <w:t>The Commission also notes that the exemption was not supported by the Elder Law and Succession Committee of the Law Society   of New South Wales: submission</w:t>
      </w:r>
      <w:r>
        <w:rPr>
          <w:spacing w:val="23"/>
          <w:w w:val="105"/>
          <w:sz w:val="13"/>
        </w:rPr>
        <w:t> </w:t>
      </w:r>
      <w:r>
        <w:rPr>
          <w:w w:val="105"/>
          <w:sz w:val="13"/>
        </w:rPr>
        <w:t>36.</w:t>
      </w:r>
    </w:p>
    <w:p>
      <w:pPr>
        <w:spacing w:after="0" w:line="240" w:lineRule="auto"/>
        <w:jc w:val="left"/>
        <w:rPr>
          <w:sz w:val="13"/>
        </w:rPr>
        <w:sectPr>
          <w:type w:val="continuous"/>
          <w:pgSz w:w="11910" w:h="16840"/>
          <w:pgMar w:top="920" w:bottom="280" w:left="0" w:right="0"/>
          <w:cols w:num="2" w:equalWidth="0">
            <w:col w:w="1113" w:space="40"/>
            <w:col w:w="10757"/>
          </w:cols>
        </w:sectPr>
      </w:pPr>
    </w:p>
    <w:p>
      <w:pPr>
        <w:pStyle w:val="BodyText"/>
        <w:rPr>
          <w:sz w:val="20"/>
        </w:rPr>
      </w:pPr>
    </w:p>
    <w:p>
      <w:pPr>
        <w:pStyle w:val="BodyText"/>
        <w:rPr>
          <w:sz w:val="19"/>
        </w:rPr>
      </w:pPr>
    </w:p>
    <w:p>
      <w:pPr>
        <w:pStyle w:val="ListParagraph"/>
        <w:numPr>
          <w:ilvl w:val="1"/>
          <w:numId w:val="22"/>
        </w:numPr>
        <w:tabs>
          <w:tab w:pos="2381" w:val="left" w:leader="none"/>
          <w:tab w:pos="2382" w:val="left" w:leader="none"/>
        </w:tabs>
        <w:spacing w:line="242" w:lineRule="auto" w:before="91" w:after="0"/>
        <w:ind w:left="2381" w:right="2158" w:hanging="794"/>
        <w:jc w:val="left"/>
        <w:rPr>
          <w:sz w:val="21"/>
        </w:rPr>
      </w:pPr>
      <w:r>
        <w:rPr>
          <w:w w:val="105"/>
          <w:sz w:val="21"/>
        </w:rPr>
        <w:t>The</w:t>
      </w:r>
      <w:r>
        <w:rPr>
          <w:spacing w:val="-9"/>
          <w:w w:val="105"/>
          <w:sz w:val="21"/>
        </w:rPr>
        <w:t> </w:t>
      </w:r>
      <w:r>
        <w:rPr>
          <w:spacing w:val="-3"/>
          <w:w w:val="105"/>
          <w:sz w:val="21"/>
        </w:rPr>
        <w:t>Commission</w:t>
      </w:r>
      <w:r>
        <w:rPr>
          <w:spacing w:val="-8"/>
          <w:w w:val="105"/>
          <w:sz w:val="21"/>
        </w:rPr>
        <w:t> </w:t>
      </w:r>
      <w:r>
        <w:rPr>
          <w:w w:val="105"/>
          <w:sz w:val="21"/>
        </w:rPr>
        <w:t>considers</w:t>
      </w:r>
      <w:r>
        <w:rPr>
          <w:spacing w:val="-8"/>
          <w:w w:val="105"/>
          <w:sz w:val="21"/>
        </w:rPr>
        <w:t> </w:t>
      </w:r>
      <w:r>
        <w:rPr>
          <w:spacing w:val="-3"/>
          <w:w w:val="105"/>
          <w:sz w:val="21"/>
        </w:rPr>
        <w:t>that</w:t>
      </w:r>
      <w:r>
        <w:rPr>
          <w:spacing w:val="-8"/>
          <w:w w:val="105"/>
          <w:sz w:val="21"/>
        </w:rPr>
        <w:t> </w:t>
      </w:r>
      <w:r>
        <w:rPr>
          <w:w w:val="105"/>
          <w:sz w:val="21"/>
        </w:rPr>
        <w:t>it</w:t>
      </w:r>
      <w:r>
        <w:rPr>
          <w:spacing w:val="-8"/>
          <w:w w:val="105"/>
          <w:sz w:val="21"/>
        </w:rPr>
        <w:t> </w:t>
      </w:r>
      <w:r>
        <w:rPr>
          <w:w w:val="105"/>
          <w:sz w:val="21"/>
        </w:rPr>
        <w:t>is</w:t>
      </w:r>
      <w:r>
        <w:rPr>
          <w:spacing w:val="-8"/>
          <w:w w:val="105"/>
          <w:sz w:val="21"/>
        </w:rPr>
        <w:t> </w:t>
      </w:r>
      <w:r>
        <w:rPr>
          <w:w w:val="105"/>
          <w:sz w:val="21"/>
        </w:rPr>
        <w:t>clearly</w:t>
      </w:r>
      <w:r>
        <w:rPr>
          <w:spacing w:val="-8"/>
          <w:w w:val="105"/>
          <w:sz w:val="21"/>
        </w:rPr>
        <w:t> </w:t>
      </w:r>
      <w:r>
        <w:rPr>
          <w:w w:val="105"/>
          <w:sz w:val="21"/>
        </w:rPr>
        <w:t>in</w:t>
      </w:r>
      <w:r>
        <w:rPr>
          <w:spacing w:val="-8"/>
          <w:w w:val="105"/>
          <w:sz w:val="21"/>
        </w:rPr>
        <w:t> </w:t>
      </w:r>
      <w:r>
        <w:rPr>
          <w:w w:val="105"/>
          <w:sz w:val="21"/>
        </w:rPr>
        <w:t>the</w:t>
      </w:r>
      <w:r>
        <w:rPr>
          <w:spacing w:val="-8"/>
          <w:w w:val="105"/>
          <w:sz w:val="21"/>
        </w:rPr>
        <w:t> </w:t>
      </w:r>
      <w:r>
        <w:rPr>
          <w:spacing w:val="-3"/>
          <w:w w:val="105"/>
          <w:sz w:val="21"/>
        </w:rPr>
        <w:t>community’s</w:t>
      </w:r>
      <w:r>
        <w:rPr>
          <w:spacing w:val="-8"/>
          <w:w w:val="105"/>
          <w:sz w:val="21"/>
        </w:rPr>
        <w:t> </w:t>
      </w:r>
      <w:r>
        <w:rPr>
          <w:spacing w:val="-3"/>
          <w:w w:val="105"/>
          <w:sz w:val="21"/>
        </w:rPr>
        <w:t>interest</w:t>
      </w:r>
      <w:r>
        <w:rPr>
          <w:spacing w:val="-8"/>
          <w:w w:val="105"/>
          <w:sz w:val="21"/>
        </w:rPr>
        <w:t> </w:t>
      </w:r>
      <w:r>
        <w:rPr>
          <w:spacing w:val="-3"/>
          <w:w w:val="105"/>
          <w:sz w:val="21"/>
        </w:rPr>
        <w:t>that</w:t>
      </w:r>
      <w:r>
        <w:rPr>
          <w:spacing w:val="-8"/>
          <w:w w:val="105"/>
          <w:sz w:val="21"/>
        </w:rPr>
        <w:t> </w:t>
      </w:r>
      <w:r>
        <w:rPr>
          <w:w w:val="105"/>
          <w:sz w:val="21"/>
        </w:rPr>
        <w:t>the</w:t>
      </w:r>
      <w:r>
        <w:rPr>
          <w:spacing w:val="-8"/>
          <w:w w:val="105"/>
          <w:sz w:val="21"/>
        </w:rPr>
        <w:t> </w:t>
      </w:r>
      <w:r>
        <w:rPr>
          <w:w w:val="105"/>
          <w:sz w:val="21"/>
        </w:rPr>
        <w:t>legal </w:t>
      </w:r>
      <w:r>
        <w:rPr>
          <w:spacing w:val="-3"/>
          <w:w w:val="105"/>
          <w:sz w:val="21"/>
        </w:rPr>
        <w:t>profession</w:t>
      </w:r>
      <w:r>
        <w:rPr>
          <w:spacing w:val="-9"/>
          <w:w w:val="105"/>
          <w:sz w:val="21"/>
        </w:rPr>
        <w:t> </w:t>
      </w:r>
      <w:r>
        <w:rPr>
          <w:w w:val="105"/>
          <w:sz w:val="21"/>
        </w:rPr>
        <w:t>provides</w:t>
      </w:r>
      <w:r>
        <w:rPr>
          <w:spacing w:val="-8"/>
          <w:w w:val="105"/>
          <w:sz w:val="21"/>
        </w:rPr>
        <w:t> </w:t>
      </w:r>
      <w:r>
        <w:rPr>
          <w:w w:val="105"/>
          <w:sz w:val="21"/>
        </w:rPr>
        <w:t>legal</w:t>
      </w:r>
      <w:r>
        <w:rPr>
          <w:spacing w:val="-9"/>
          <w:w w:val="105"/>
          <w:sz w:val="21"/>
        </w:rPr>
        <w:t> </w:t>
      </w:r>
      <w:r>
        <w:rPr>
          <w:w w:val="105"/>
          <w:sz w:val="21"/>
        </w:rPr>
        <w:t>and</w:t>
      </w:r>
      <w:r>
        <w:rPr>
          <w:spacing w:val="-8"/>
          <w:w w:val="105"/>
          <w:sz w:val="21"/>
        </w:rPr>
        <w:t> </w:t>
      </w:r>
      <w:r>
        <w:rPr>
          <w:spacing w:val="-3"/>
          <w:w w:val="105"/>
          <w:sz w:val="21"/>
        </w:rPr>
        <w:t>executorial</w:t>
      </w:r>
      <w:r>
        <w:rPr>
          <w:spacing w:val="-9"/>
          <w:w w:val="105"/>
          <w:sz w:val="21"/>
        </w:rPr>
        <w:t> </w:t>
      </w:r>
      <w:r>
        <w:rPr>
          <w:w w:val="105"/>
          <w:sz w:val="21"/>
        </w:rPr>
        <w:t>services</w:t>
      </w:r>
      <w:r>
        <w:rPr>
          <w:spacing w:val="-8"/>
          <w:w w:val="105"/>
          <w:sz w:val="21"/>
        </w:rPr>
        <w:t> </w:t>
      </w:r>
      <w:r>
        <w:rPr>
          <w:spacing w:val="-3"/>
          <w:w w:val="105"/>
          <w:sz w:val="21"/>
        </w:rPr>
        <w:t>to</w:t>
      </w:r>
      <w:r>
        <w:rPr>
          <w:spacing w:val="-8"/>
          <w:w w:val="105"/>
          <w:sz w:val="21"/>
        </w:rPr>
        <w:t> </w:t>
      </w:r>
      <w:r>
        <w:rPr>
          <w:w w:val="105"/>
          <w:sz w:val="21"/>
        </w:rPr>
        <w:t>estates</w:t>
      </w:r>
      <w:r>
        <w:rPr>
          <w:spacing w:val="-9"/>
          <w:w w:val="105"/>
          <w:sz w:val="21"/>
        </w:rPr>
        <w:t> </w:t>
      </w:r>
      <w:r>
        <w:rPr>
          <w:w w:val="105"/>
          <w:sz w:val="21"/>
        </w:rPr>
        <w:t>and</w:t>
      </w:r>
      <w:r>
        <w:rPr>
          <w:spacing w:val="-8"/>
          <w:w w:val="105"/>
          <w:sz w:val="21"/>
        </w:rPr>
        <w:t> </w:t>
      </w:r>
      <w:r>
        <w:rPr>
          <w:spacing w:val="-3"/>
          <w:w w:val="105"/>
          <w:sz w:val="21"/>
        </w:rPr>
        <w:t>continues</w:t>
      </w:r>
      <w:r>
        <w:rPr>
          <w:spacing w:val="-9"/>
          <w:w w:val="105"/>
          <w:sz w:val="21"/>
        </w:rPr>
        <w:t> </w:t>
      </w:r>
      <w:r>
        <w:rPr>
          <w:spacing w:val="-3"/>
          <w:w w:val="105"/>
          <w:sz w:val="21"/>
        </w:rPr>
        <w:t>to</w:t>
      </w:r>
      <w:r>
        <w:rPr>
          <w:spacing w:val="-8"/>
          <w:w w:val="105"/>
          <w:sz w:val="21"/>
        </w:rPr>
        <w:t> </w:t>
      </w:r>
      <w:r>
        <w:rPr>
          <w:w w:val="105"/>
          <w:sz w:val="21"/>
        </w:rPr>
        <w:t>do</w:t>
      </w:r>
      <w:r>
        <w:rPr>
          <w:spacing w:val="-9"/>
          <w:w w:val="105"/>
          <w:sz w:val="21"/>
        </w:rPr>
        <w:t> </w:t>
      </w:r>
      <w:r>
        <w:rPr>
          <w:w w:val="105"/>
          <w:sz w:val="21"/>
        </w:rPr>
        <w:t>so. </w:t>
      </w:r>
      <w:r>
        <w:rPr>
          <w:spacing w:val="-4"/>
          <w:w w:val="105"/>
          <w:sz w:val="21"/>
        </w:rPr>
        <w:t>However, </w:t>
      </w:r>
      <w:r>
        <w:rPr>
          <w:w w:val="105"/>
          <w:sz w:val="21"/>
        </w:rPr>
        <w:t>it </w:t>
      </w:r>
      <w:r>
        <w:rPr>
          <w:spacing w:val="-2"/>
          <w:w w:val="105"/>
          <w:sz w:val="21"/>
        </w:rPr>
        <w:t>has </w:t>
      </w:r>
      <w:r>
        <w:rPr>
          <w:spacing w:val="-3"/>
          <w:w w:val="105"/>
          <w:sz w:val="21"/>
        </w:rPr>
        <w:t>found </w:t>
      </w:r>
      <w:r>
        <w:rPr>
          <w:w w:val="105"/>
          <w:sz w:val="21"/>
        </w:rPr>
        <w:t>no evidence of a decline in the </w:t>
      </w:r>
      <w:r>
        <w:rPr>
          <w:spacing w:val="-3"/>
          <w:w w:val="105"/>
          <w:sz w:val="21"/>
        </w:rPr>
        <w:t>provision </w:t>
      </w:r>
      <w:r>
        <w:rPr>
          <w:w w:val="105"/>
          <w:sz w:val="21"/>
        </w:rPr>
        <w:t>of </w:t>
      </w:r>
      <w:r>
        <w:rPr>
          <w:spacing w:val="-3"/>
          <w:w w:val="105"/>
          <w:sz w:val="21"/>
        </w:rPr>
        <w:t>such </w:t>
      </w:r>
      <w:r>
        <w:rPr>
          <w:w w:val="105"/>
          <w:sz w:val="21"/>
        </w:rPr>
        <w:t>services in New South </w:t>
      </w:r>
      <w:r>
        <w:rPr>
          <w:spacing w:val="-3"/>
          <w:w w:val="105"/>
          <w:sz w:val="21"/>
        </w:rPr>
        <w:t>Wales following </w:t>
      </w:r>
      <w:r>
        <w:rPr>
          <w:w w:val="105"/>
          <w:sz w:val="21"/>
        </w:rPr>
        <w:t>the introduction of section 86A in</w:t>
      </w:r>
      <w:r>
        <w:rPr>
          <w:spacing w:val="2"/>
          <w:w w:val="105"/>
          <w:sz w:val="21"/>
        </w:rPr>
        <w:t> </w:t>
      </w:r>
      <w:r>
        <w:rPr>
          <w:spacing w:val="-8"/>
          <w:w w:val="105"/>
          <w:sz w:val="21"/>
        </w:rPr>
        <w:t>1981.</w:t>
      </w:r>
    </w:p>
    <w:p>
      <w:pPr>
        <w:pStyle w:val="ListParagraph"/>
        <w:numPr>
          <w:ilvl w:val="1"/>
          <w:numId w:val="22"/>
        </w:numPr>
        <w:tabs>
          <w:tab w:pos="2380" w:val="left" w:leader="none"/>
          <w:tab w:pos="2381" w:val="left" w:leader="none"/>
        </w:tabs>
        <w:spacing w:line="242" w:lineRule="auto" w:before="125" w:after="0"/>
        <w:ind w:left="2381" w:right="1635" w:hanging="794"/>
        <w:jc w:val="left"/>
        <w:rPr>
          <w:sz w:val="21"/>
        </w:rPr>
      </w:pPr>
      <w:r>
        <w:rPr>
          <w:spacing w:val="-3"/>
          <w:sz w:val="21"/>
        </w:rPr>
        <w:t>Providing </w:t>
      </w:r>
      <w:r>
        <w:rPr>
          <w:sz w:val="21"/>
        </w:rPr>
        <w:t>an exemption where the </w:t>
      </w:r>
      <w:r>
        <w:rPr>
          <w:spacing w:val="-3"/>
          <w:sz w:val="21"/>
        </w:rPr>
        <w:t>will-maker </w:t>
      </w:r>
      <w:r>
        <w:rPr>
          <w:sz w:val="21"/>
        </w:rPr>
        <w:t>obtained independent advice or the legal practitioner </w:t>
      </w:r>
      <w:r>
        <w:rPr>
          <w:spacing w:val="-3"/>
          <w:sz w:val="21"/>
        </w:rPr>
        <w:t>complied </w:t>
      </w:r>
      <w:r>
        <w:rPr>
          <w:sz w:val="21"/>
        </w:rPr>
        <w:t>with rule </w:t>
      </w:r>
      <w:r>
        <w:rPr>
          <w:spacing w:val="-6"/>
          <w:sz w:val="21"/>
        </w:rPr>
        <w:t>10 </w:t>
      </w:r>
      <w:r>
        <w:rPr>
          <w:sz w:val="21"/>
        </w:rPr>
        <w:t>would  </w:t>
      </w:r>
      <w:r>
        <w:rPr>
          <w:spacing w:val="-4"/>
          <w:sz w:val="21"/>
        </w:rPr>
        <w:t>weaken  </w:t>
      </w:r>
      <w:r>
        <w:rPr>
          <w:sz w:val="21"/>
        </w:rPr>
        <w:t>the  review  </w:t>
      </w:r>
      <w:r>
        <w:rPr>
          <w:spacing w:val="-3"/>
          <w:sz w:val="21"/>
        </w:rPr>
        <w:t>provision.  </w:t>
      </w:r>
      <w:r>
        <w:rPr>
          <w:sz w:val="21"/>
        </w:rPr>
        <w:t>As  discussed </w:t>
      </w:r>
      <w:r>
        <w:rPr>
          <w:spacing w:val="-3"/>
          <w:sz w:val="21"/>
        </w:rPr>
        <w:t>earlier </w:t>
      </w:r>
      <w:r>
        <w:rPr>
          <w:sz w:val="21"/>
        </w:rPr>
        <w:t>in this </w:t>
      </w:r>
      <w:r>
        <w:rPr>
          <w:spacing w:val="-5"/>
          <w:sz w:val="21"/>
        </w:rPr>
        <w:t>chapter, </w:t>
      </w:r>
      <w:r>
        <w:rPr>
          <w:spacing w:val="-3"/>
          <w:sz w:val="21"/>
        </w:rPr>
        <w:t>compliance </w:t>
      </w:r>
      <w:r>
        <w:rPr>
          <w:sz w:val="21"/>
        </w:rPr>
        <w:t>with rule </w:t>
      </w:r>
      <w:r>
        <w:rPr>
          <w:spacing w:val="-9"/>
          <w:sz w:val="21"/>
        </w:rPr>
        <w:t>10.1 </w:t>
      </w:r>
      <w:r>
        <w:rPr>
          <w:sz w:val="21"/>
        </w:rPr>
        <w:t>does </w:t>
      </w:r>
      <w:r>
        <w:rPr>
          <w:spacing w:val="-2"/>
          <w:sz w:val="21"/>
        </w:rPr>
        <w:t>not </w:t>
      </w:r>
      <w:r>
        <w:rPr>
          <w:sz w:val="21"/>
        </w:rPr>
        <w:t>necessarily mean </w:t>
      </w:r>
      <w:r>
        <w:rPr>
          <w:spacing w:val="-3"/>
          <w:sz w:val="21"/>
        </w:rPr>
        <w:t>that </w:t>
      </w:r>
      <w:r>
        <w:rPr>
          <w:sz w:val="21"/>
        </w:rPr>
        <w:t>the will- </w:t>
      </w:r>
      <w:r>
        <w:rPr>
          <w:spacing w:val="-4"/>
          <w:sz w:val="21"/>
        </w:rPr>
        <w:t>maker </w:t>
      </w:r>
      <w:r>
        <w:rPr>
          <w:spacing w:val="-3"/>
          <w:sz w:val="21"/>
        </w:rPr>
        <w:t>gave informed </w:t>
      </w:r>
      <w:r>
        <w:rPr>
          <w:spacing w:val="-4"/>
          <w:sz w:val="21"/>
        </w:rPr>
        <w:t>consent.</w:t>
      </w:r>
      <w:r>
        <w:rPr>
          <w:spacing w:val="-4"/>
          <w:position w:val="7"/>
          <w:sz w:val="12"/>
        </w:rPr>
        <w:t>154 </w:t>
      </w:r>
      <w:r>
        <w:rPr>
          <w:spacing w:val="-3"/>
          <w:sz w:val="21"/>
        </w:rPr>
        <w:t>Even </w:t>
      </w:r>
      <w:r>
        <w:rPr>
          <w:sz w:val="21"/>
        </w:rPr>
        <w:t>where </w:t>
      </w:r>
      <w:r>
        <w:rPr>
          <w:spacing w:val="-3"/>
          <w:sz w:val="21"/>
        </w:rPr>
        <w:t>informed consent </w:t>
      </w:r>
      <w:r>
        <w:rPr>
          <w:sz w:val="21"/>
        </w:rPr>
        <w:t>was  </w:t>
      </w:r>
      <w:r>
        <w:rPr>
          <w:spacing w:val="-3"/>
          <w:sz w:val="21"/>
        </w:rPr>
        <w:t>given,  </w:t>
      </w:r>
      <w:r>
        <w:rPr>
          <w:sz w:val="21"/>
        </w:rPr>
        <w:t>the  </w:t>
      </w:r>
      <w:r>
        <w:rPr>
          <w:spacing w:val="-3"/>
          <w:sz w:val="21"/>
        </w:rPr>
        <w:t>will-maker may </w:t>
      </w:r>
      <w:r>
        <w:rPr>
          <w:spacing w:val="-2"/>
          <w:sz w:val="21"/>
        </w:rPr>
        <w:t>not </w:t>
      </w:r>
      <w:r>
        <w:rPr>
          <w:spacing w:val="-3"/>
          <w:sz w:val="21"/>
        </w:rPr>
        <w:t>have anticipated </w:t>
      </w:r>
      <w:r>
        <w:rPr>
          <w:sz w:val="21"/>
        </w:rPr>
        <w:t>the legal </w:t>
      </w:r>
      <w:r>
        <w:rPr>
          <w:spacing w:val="-3"/>
          <w:sz w:val="21"/>
        </w:rPr>
        <w:t>practitioner’s subsequent </w:t>
      </w:r>
      <w:r>
        <w:rPr>
          <w:sz w:val="21"/>
        </w:rPr>
        <w:t>conduct in the office or </w:t>
      </w:r>
      <w:r>
        <w:rPr>
          <w:spacing w:val="-3"/>
          <w:sz w:val="21"/>
        </w:rPr>
        <w:t>subsequent</w:t>
      </w:r>
      <w:r>
        <w:rPr>
          <w:spacing w:val="33"/>
          <w:sz w:val="21"/>
        </w:rPr>
        <w:t> </w:t>
      </w:r>
      <w:r>
        <w:rPr>
          <w:spacing w:val="-3"/>
          <w:sz w:val="21"/>
        </w:rPr>
        <w:t>changes</w:t>
      </w:r>
      <w:r>
        <w:rPr>
          <w:spacing w:val="34"/>
          <w:sz w:val="21"/>
        </w:rPr>
        <w:t> </w:t>
      </w:r>
      <w:r>
        <w:rPr>
          <w:sz w:val="21"/>
        </w:rPr>
        <w:t>in</w:t>
      </w:r>
      <w:r>
        <w:rPr>
          <w:spacing w:val="34"/>
          <w:sz w:val="21"/>
        </w:rPr>
        <w:t> </w:t>
      </w:r>
      <w:r>
        <w:rPr>
          <w:spacing w:val="-3"/>
          <w:sz w:val="21"/>
        </w:rPr>
        <w:t>circumstances</w:t>
      </w:r>
      <w:r>
        <w:rPr>
          <w:spacing w:val="33"/>
          <w:sz w:val="21"/>
        </w:rPr>
        <w:t> </w:t>
      </w:r>
      <w:r>
        <w:rPr>
          <w:spacing w:val="-3"/>
          <w:sz w:val="21"/>
        </w:rPr>
        <w:t>making</w:t>
      </w:r>
      <w:r>
        <w:rPr>
          <w:spacing w:val="34"/>
          <w:sz w:val="21"/>
        </w:rPr>
        <w:t> </w:t>
      </w:r>
      <w:r>
        <w:rPr>
          <w:sz w:val="21"/>
        </w:rPr>
        <w:t>the</w:t>
      </w:r>
      <w:r>
        <w:rPr>
          <w:spacing w:val="34"/>
          <w:sz w:val="21"/>
        </w:rPr>
        <w:t> </w:t>
      </w:r>
      <w:r>
        <w:rPr>
          <w:sz w:val="21"/>
        </w:rPr>
        <w:t>agreed</w:t>
      </w:r>
      <w:r>
        <w:rPr>
          <w:spacing w:val="33"/>
          <w:sz w:val="21"/>
        </w:rPr>
        <w:t> </w:t>
      </w:r>
      <w:r>
        <w:rPr>
          <w:spacing w:val="-3"/>
          <w:sz w:val="21"/>
        </w:rPr>
        <w:t>provision</w:t>
      </w:r>
      <w:r>
        <w:rPr>
          <w:spacing w:val="34"/>
          <w:sz w:val="21"/>
        </w:rPr>
        <w:t> </w:t>
      </w:r>
      <w:r>
        <w:rPr>
          <w:sz w:val="21"/>
        </w:rPr>
        <w:t>no</w:t>
      </w:r>
      <w:r>
        <w:rPr>
          <w:spacing w:val="34"/>
          <w:sz w:val="21"/>
        </w:rPr>
        <w:t> </w:t>
      </w:r>
      <w:r>
        <w:rPr>
          <w:sz w:val="21"/>
        </w:rPr>
        <w:t>longer</w:t>
      </w:r>
      <w:r>
        <w:rPr>
          <w:spacing w:val="34"/>
          <w:sz w:val="21"/>
        </w:rPr>
        <w:t> </w:t>
      </w:r>
      <w:r>
        <w:rPr>
          <w:spacing w:val="-3"/>
          <w:sz w:val="21"/>
        </w:rPr>
        <w:t>appropriate.</w:t>
      </w:r>
    </w:p>
    <w:p>
      <w:pPr>
        <w:pStyle w:val="ListParagraph"/>
        <w:numPr>
          <w:ilvl w:val="1"/>
          <w:numId w:val="22"/>
        </w:numPr>
        <w:tabs>
          <w:tab w:pos="2381" w:val="left" w:leader="none"/>
          <w:tab w:pos="2382" w:val="left" w:leader="none"/>
        </w:tabs>
        <w:spacing w:line="242" w:lineRule="auto" w:before="126" w:after="0"/>
        <w:ind w:left="2381" w:right="1732" w:hanging="794"/>
        <w:jc w:val="left"/>
        <w:rPr>
          <w:sz w:val="21"/>
        </w:rPr>
      </w:pPr>
      <w:r>
        <w:rPr>
          <w:w w:val="105"/>
          <w:sz w:val="21"/>
        </w:rPr>
        <w:t>Almost </w:t>
      </w:r>
      <w:r>
        <w:rPr>
          <w:spacing w:val="-3"/>
          <w:w w:val="105"/>
          <w:sz w:val="21"/>
        </w:rPr>
        <w:t>all submissions </w:t>
      </w:r>
      <w:r>
        <w:rPr>
          <w:w w:val="105"/>
          <w:sz w:val="21"/>
        </w:rPr>
        <w:t>on this topic opposed the </w:t>
      </w:r>
      <w:r>
        <w:rPr>
          <w:spacing w:val="-4"/>
          <w:w w:val="105"/>
          <w:sz w:val="21"/>
        </w:rPr>
        <w:t>exemption</w:t>
      </w:r>
      <w:r>
        <w:rPr>
          <w:spacing w:val="-4"/>
          <w:w w:val="105"/>
          <w:position w:val="7"/>
          <w:sz w:val="12"/>
        </w:rPr>
        <w:t>155 </w:t>
      </w:r>
      <w:r>
        <w:rPr>
          <w:w w:val="105"/>
          <w:sz w:val="21"/>
        </w:rPr>
        <w:t>and the </w:t>
      </w:r>
      <w:r>
        <w:rPr>
          <w:spacing w:val="-3"/>
          <w:w w:val="105"/>
          <w:sz w:val="21"/>
        </w:rPr>
        <w:t>Commission </w:t>
      </w:r>
      <w:r>
        <w:rPr>
          <w:w w:val="105"/>
          <w:sz w:val="21"/>
        </w:rPr>
        <w:t>does </w:t>
      </w:r>
      <w:r>
        <w:rPr>
          <w:spacing w:val="-2"/>
          <w:w w:val="105"/>
          <w:sz w:val="21"/>
        </w:rPr>
        <w:t>not </w:t>
      </w:r>
      <w:r>
        <w:rPr>
          <w:w w:val="105"/>
          <w:sz w:val="21"/>
        </w:rPr>
        <w:t>support</w:t>
      </w:r>
      <w:r>
        <w:rPr>
          <w:spacing w:val="12"/>
          <w:w w:val="105"/>
          <w:sz w:val="21"/>
        </w:rPr>
        <w:t> </w:t>
      </w:r>
      <w:r>
        <w:rPr>
          <w:w w:val="105"/>
          <w:sz w:val="21"/>
        </w:rPr>
        <w:t>it.</w:t>
      </w:r>
    </w:p>
    <w:p>
      <w:pPr>
        <w:pStyle w:val="BodyText"/>
        <w:spacing w:before="10"/>
        <w:rPr>
          <w:sz w:val="26"/>
        </w:rPr>
      </w:pPr>
    </w:p>
    <w:p>
      <w:pPr>
        <w:pStyle w:val="Heading6"/>
      </w:pPr>
      <w:r>
        <w:rPr>
          <w:w w:val="115"/>
        </w:rPr>
        <w:t>Time limit</w:t>
      </w:r>
    </w:p>
    <w:p>
      <w:pPr>
        <w:pStyle w:val="ListParagraph"/>
        <w:numPr>
          <w:ilvl w:val="1"/>
          <w:numId w:val="22"/>
        </w:numPr>
        <w:tabs>
          <w:tab w:pos="2381" w:val="left" w:leader="none"/>
          <w:tab w:pos="2382" w:val="left" w:leader="none"/>
        </w:tabs>
        <w:spacing w:line="242" w:lineRule="auto" w:before="152" w:after="0"/>
        <w:ind w:left="2381" w:right="1907" w:hanging="794"/>
        <w:jc w:val="left"/>
        <w:rPr>
          <w:sz w:val="21"/>
        </w:rPr>
      </w:pPr>
      <w:r>
        <w:rPr>
          <w:w w:val="105"/>
          <w:sz w:val="21"/>
        </w:rPr>
        <w:t>Section 86A of the NSW </w:t>
      </w:r>
      <w:r>
        <w:rPr>
          <w:spacing w:val="-3"/>
          <w:w w:val="105"/>
          <w:sz w:val="21"/>
        </w:rPr>
        <w:t>Probate </w:t>
      </w:r>
      <w:r>
        <w:rPr>
          <w:w w:val="105"/>
          <w:sz w:val="21"/>
        </w:rPr>
        <w:t>and </w:t>
      </w:r>
      <w:r>
        <w:rPr>
          <w:spacing w:val="-3"/>
          <w:w w:val="105"/>
          <w:sz w:val="21"/>
        </w:rPr>
        <w:t>Administration </w:t>
      </w:r>
      <w:r>
        <w:rPr>
          <w:w w:val="105"/>
          <w:sz w:val="21"/>
        </w:rPr>
        <w:t>Act does </w:t>
      </w:r>
      <w:r>
        <w:rPr>
          <w:spacing w:val="-2"/>
          <w:w w:val="105"/>
          <w:sz w:val="21"/>
        </w:rPr>
        <w:t>not </w:t>
      </w:r>
      <w:r>
        <w:rPr>
          <w:w w:val="105"/>
          <w:sz w:val="21"/>
        </w:rPr>
        <w:t>impose a time </w:t>
      </w:r>
      <w:r>
        <w:rPr>
          <w:spacing w:val="-3"/>
          <w:w w:val="105"/>
          <w:sz w:val="21"/>
        </w:rPr>
        <w:t>limit. </w:t>
      </w:r>
      <w:r>
        <w:rPr>
          <w:w w:val="105"/>
          <w:sz w:val="21"/>
        </w:rPr>
        <w:t>The Law </w:t>
      </w:r>
      <w:r>
        <w:rPr>
          <w:spacing w:val="-3"/>
          <w:w w:val="105"/>
          <w:sz w:val="21"/>
        </w:rPr>
        <w:t>Institute </w:t>
      </w:r>
      <w:r>
        <w:rPr>
          <w:w w:val="105"/>
          <w:sz w:val="21"/>
        </w:rPr>
        <w:t>of Victoria proposed </w:t>
      </w:r>
      <w:r>
        <w:rPr>
          <w:spacing w:val="-3"/>
          <w:w w:val="105"/>
          <w:sz w:val="21"/>
        </w:rPr>
        <w:t>that </w:t>
      </w:r>
      <w:r>
        <w:rPr>
          <w:w w:val="105"/>
          <w:sz w:val="21"/>
        </w:rPr>
        <w:t>an application under the review </w:t>
      </w:r>
      <w:r>
        <w:rPr>
          <w:spacing w:val="-3"/>
          <w:w w:val="105"/>
          <w:sz w:val="21"/>
        </w:rPr>
        <w:t>provision </w:t>
      </w:r>
      <w:r>
        <w:rPr>
          <w:w w:val="105"/>
          <w:sz w:val="21"/>
        </w:rPr>
        <w:t>should be made </w:t>
      </w:r>
      <w:r>
        <w:rPr>
          <w:spacing w:val="-3"/>
          <w:w w:val="105"/>
          <w:sz w:val="21"/>
        </w:rPr>
        <w:t>within </w:t>
      </w:r>
      <w:r>
        <w:rPr>
          <w:w w:val="105"/>
          <w:sz w:val="21"/>
        </w:rPr>
        <w:t>three </w:t>
      </w:r>
      <w:r>
        <w:rPr>
          <w:spacing w:val="-3"/>
          <w:w w:val="105"/>
          <w:sz w:val="21"/>
        </w:rPr>
        <w:t>months </w:t>
      </w:r>
      <w:r>
        <w:rPr>
          <w:w w:val="105"/>
          <w:sz w:val="21"/>
        </w:rPr>
        <w:t>of the </w:t>
      </w:r>
      <w:r>
        <w:rPr>
          <w:spacing w:val="-3"/>
          <w:w w:val="105"/>
          <w:sz w:val="21"/>
        </w:rPr>
        <w:t>executor </w:t>
      </w:r>
      <w:r>
        <w:rPr>
          <w:w w:val="105"/>
          <w:sz w:val="21"/>
        </w:rPr>
        <w:t>notifying the beneficiary of the </w:t>
      </w:r>
      <w:r>
        <w:rPr>
          <w:spacing w:val="-3"/>
          <w:w w:val="105"/>
          <w:sz w:val="21"/>
        </w:rPr>
        <w:t>relevant charges. </w:t>
      </w:r>
      <w:r>
        <w:rPr>
          <w:w w:val="105"/>
          <w:sz w:val="21"/>
        </w:rPr>
        <w:t>This</w:t>
      </w:r>
      <w:r>
        <w:rPr>
          <w:spacing w:val="21"/>
          <w:w w:val="105"/>
          <w:sz w:val="21"/>
        </w:rPr>
        <w:t> </w:t>
      </w:r>
      <w:r>
        <w:rPr>
          <w:w w:val="105"/>
          <w:sz w:val="21"/>
        </w:rPr>
        <w:t>would:</w:t>
      </w:r>
    </w:p>
    <w:p>
      <w:pPr>
        <w:pStyle w:val="ListParagraph"/>
        <w:numPr>
          <w:ilvl w:val="2"/>
          <w:numId w:val="22"/>
        </w:numPr>
        <w:tabs>
          <w:tab w:pos="2721" w:val="left" w:leader="none"/>
          <w:tab w:pos="2722" w:val="left" w:leader="none"/>
        </w:tabs>
        <w:spacing w:line="240" w:lineRule="auto" w:before="124" w:after="0"/>
        <w:ind w:left="2721" w:right="0" w:hanging="340"/>
        <w:jc w:val="left"/>
        <w:rPr>
          <w:sz w:val="21"/>
        </w:rPr>
      </w:pPr>
      <w:r>
        <w:rPr>
          <w:spacing w:val="-3"/>
          <w:w w:val="105"/>
          <w:sz w:val="21"/>
        </w:rPr>
        <w:t>prevent </w:t>
      </w:r>
      <w:r>
        <w:rPr>
          <w:w w:val="105"/>
          <w:sz w:val="21"/>
        </w:rPr>
        <w:t>delay in </w:t>
      </w:r>
      <w:r>
        <w:rPr>
          <w:spacing w:val="-3"/>
          <w:w w:val="105"/>
          <w:sz w:val="21"/>
        </w:rPr>
        <w:t>winding </w:t>
      </w:r>
      <w:r>
        <w:rPr>
          <w:w w:val="105"/>
          <w:sz w:val="21"/>
        </w:rPr>
        <w:t>up</w:t>
      </w:r>
      <w:r>
        <w:rPr>
          <w:spacing w:val="30"/>
          <w:w w:val="105"/>
          <w:sz w:val="21"/>
        </w:rPr>
        <w:t> </w:t>
      </w:r>
      <w:r>
        <w:rPr>
          <w:w w:val="105"/>
          <w:sz w:val="21"/>
        </w:rPr>
        <w:t>estates</w:t>
      </w:r>
    </w:p>
    <w:p>
      <w:pPr>
        <w:pStyle w:val="ListParagraph"/>
        <w:numPr>
          <w:ilvl w:val="2"/>
          <w:numId w:val="22"/>
        </w:numPr>
        <w:tabs>
          <w:tab w:pos="2721" w:val="left" w:leader="none"/>
          <w:tab w:pos="2722" w:val="left" w:leader="none"/>
        </w:tabs>
        <w:spacing w:line="242" w:lineRule="auto" w:before="124" w:after="0"/>
        <w:ind w:left="2721" w:right="1690" w:hanging="340"/>
        <w:jc w:val="left"/>
        <w:rPr>
          <w:sz w:val="12"/>
        </w:rPr>
      </w:pPr>
      <w:r>
        <w:rPr>
          <w:spacing w:val="-3"/>
          <w:sz w:val="21"/>
        </w:rPr>
        <w:t>prevent </w:t>
      </w:r>
      <w:r>
        <w:rPr>
          <w:sz w:val="21"/>
        </w:rPr>
        <w:t>a </w:t>
      </w:r>
      <w:r>
        <w:rPr>
          <w:spacing w:val="-3"/>
          <w:sz w:val="21"/>
        </w:rPr>
        <w:t>disgruntled </w:t>
      </w:r>
      <w:r>
        <w:rPr>
          <w:sz w:val="21"/>
        </w:rPr>
        <w:t>beneficiary or </w:t>
      </w:r>
      <w:r>
        <w:rPr>
          <w:spacing w:val="-3"/>
          <w:sz w:val="21"/>
        </w:rPr>
        <w:t>group </w:t>
      </w:r>
      <w:r>
        <w:rPr>
          <w:sz w:val="21"/>
        </w:rPr>
        <w:t>of beneficiaries </w:t>
      </w:r>
      <w:r>
        <w:rPr>
          <w:spacing w:val="-3"/>
          <w:sz w:val="21"/>
        </w:rPr>
        <w:t>from using </w:t>
      </w:r>
      <w:r>
        <w:rPr>
          <w:sz w:val="21"/>
        </w:rPr>
        <w:t>the review </w:t>
      </w:r>
      <w:r>
        <w:rPr>
          <w:spacing w:val="-3"/>
          <w:sz w:val="21"/>
        </w:rPr>
        <w:t>provision </w:t>
      </w:r>
      <w:r>
        <w:rPr>
          <w:sz w:val="21"/>
        </w:rPr>
        <w:t>as a </w:t>
      </w:r>
      <w:r>
        <w:rPr>
          <w:spacing w:val="-3"/>
          <w:sz w:val="21"/>
        </w:rPr>
        <w:t>means </w:t>
      </w:r>
      <w:r>
        <w:rPr>
          <w:sz w:val="21"/>
        </w:rPr>
        <w:t>of </w:t>
      </w:r>
      <w:r>
        <w:rPr>
          <w:spacing w:val="-3"/>
          <w:sz w:val="21"/>
        </w:rPr>
        <w:t>delaying </w:t>
      </w:r>
      <w:r>
        <w:rPr>
          <w:spacing w:val="-2"/>
          <w:sz w:val="21"/>
        </w:rPr>
        <w:t>distribution </w:t>
      </w:r>
      <w:r>
        <w:rPr>
          <w:sz w:val="21"/>
        </w:rPr>
        <w:t>of the estate </w:t>
      </w:r>
      <w:r>
        <w:rPr>
          <w:spacing w:val="-3"/>
          <w:sz w:val="21"/>
        </w:rPr>
        <w:t>to </w:t>
      </w:r>
      <w:r>
        <w:rPr>
          <w:sz w:val="21"/>
        </w:rPr>
        <w:t>others, </w:t>
      </w:r>
      <w:r>
        <w:rPr>
          <w:spacing w:val="-3"/>
          <w:sz w:val="21"/>
        </w:rPr>
        <w:t>thereby </w:t>
      </w:r>
      <w:r>
        <w:rPr>
          <w:sz w:val="21"/>
        </w:rPr>
        <w:t>securing </w:t>
      </w:r>
      <w:r>
        <w:rPr>
          <w:spacing w:val="-3"/>
          <w:sz w:val="21"/>
        </w:rPr>
        <w:t>concessions</w:t>
      </w:r>
      <w:r>
        <w:rPr>
          <w:spacing w:val="11"/>
          <w:sz w:val="21"/>
        </w:rPr>
        <w:t> </w:t>
      </w:r>
      <w:r>
        <w:rPr>
          <w:spacing w:val="-3"/>
          <w:sz w:val="21"/>
        </w:rPr>
        <w:t>for</w:t>
      </w:r>
      <w:r>
        <w:rPr>
          <w:spacing w:val="12"/>
          <w:sz w:val="21"/>
        </w:rPr>
        <w:t> </w:t>
      </w:r>
      <w:r>
        <w:rPr>
          <w:sz w:val="21"/>
        </w:rPr>
        <w:t>themselves</w:t>
      </w:r>
      <w:r>
        <w:rPr>
          <w:spacing w:val="12"/>
          <w:sz w:val="21"/>
        </w:rPr>
        <w:t> </w:t>
      </w:r>
      <w:r>
        <w:rPr>
          <w:sz w:val="21"/>
        </w:rPr>
        <w:t>or</w:t>
      </w:r>
      <w:r>
        <w:rPr>
          <w:spacing w:val="12"/>
          <w:sz w:val="21"/>
        </w:rPr>
        <w:t> </w:t>
      </w:r>
      <w:r>
        <w:rPr>
          <w:spacing w:val="-3"/>
          <w:sz w:val="21"/>
        </w:rPr>
        <w:t>achieving</w:t>
      </w:r>
      <w:r>
        <w:rPr>
          <w:spacing w:val="12"/>
          <w:sz w:val="21"/>
        </w:rPr>
        <w:t> </w:t>
      </w:r>
      <w:r>
        <w:rPr>
          <w:sz w:val="21"/>
        </w:rPr>
        <w:t>other</w:t>
      </w:r>
      <w:r>
        <w:rPr>
          <w:spacing w:val="12"/>
          <w:sz w:val="21"/>
        </w:rPr>
        <w:t> </w:t>
      </w:r>
      <w:r>
        <w:rPr>
          <w:spacing w:val="-3"/>
          <w:sz w:val="21"/>
        </w:rPr>
        <w:t>ulterior</w:t>
      </w:r>
      <w:r>
        <w:rPr>
          <w:spacing w:val="12"/>
          <w:sz w:val="21"/>
        </w:rPr>
        <w:t> </w:t>
      </w:r>
      <w:r>
        <w:rPr>
          <w:spacing w:val="-4"/>
          <w:sz w:val="21"/>
        </w:rPr>
        <w:t>purposes.</w:t>
      </w:r>
      <w:r>
        <w:rPr>
          <w:spacing w:val="-4"/>
          <w:position w:val="7"/>
          <w:sz w:val="12"/>
        </w:rPr>
        <w:t>156</w:t>
      </w:r>
    </w:p>
    <w:p>
      <w:pPr>
        <w:pStyle w:val="ListParagraph"/>
        <w:numPr>
          <w:ilvl w:val="1"/>
          <w:numId w:val="22"/>
        </w:numPr>
        <w:tabs>
          <w:tab w:pos="2381" w:val="left" w:leader="none"/>
          <w:tab w:pos="2382" w:val="left" w:leader="none"/>
        </w:tabs>
        <w:spacing w:line="242" w:lineRule="auto" w:before="123" w:after="0"/>
        <w:ind w:left="2381" w:right="1957" w:hanging="794"/>
        <w:jc w:val="left"/>
        <w:rPr>
          <w:sz w:val="12"/>
        </w:rPr>
      </w:pPr>
      <w:r>
        <w:rPr>
          <w:spacing w:val="-3"/>
          <w:w w:val="105"/>
          <w:sz w:val="21"/>
        </w:rPr>
        <w:t>Submissions </w:t>
      </w:r>
      <w:r>
        <w:rPr>
          <w:w w:val="105"/>
          <w:sz w:val="21"/>
        </w:rPr>
        <w:t>on this topic </w:t>
      </w:r>
      <w:r>
        <w:rPr>
          <w:spacing w:val="-3"/>
          <w:w w:val="105"/>
          <w:sz w:val="21"/>
        </w:rPr>
        <w:t>generally favoured </w:t>
      </w:r>
      <w:r>
        <w:rPr>
          <w:w w:val="105"/>
          <w:sz w:val="21"/>
        </w:rPr>
        <w:t>the idea of </w:t>
      </w:r>
      <w:r>
        <w:rPr>
          <w:spacing w:val="-3"/>
          <w:w w:val="105"/>
          <w:sz w:val="21"/>
        </w:rPr>
        <w:t>imposing </w:t>
      </w:r>
      <w:r>
        <w:rPr>
          <w:w w:val="105"/>
          <w:sz w:val="21"/>
        </w:rPr>
        <w:t>a time </w:t>
      </w:r>
      <w:r>
        <w:rPr>
          <w:spacing w:val="-3"/>
          <w:w w:val="105"/>
          <w:sz w:val="21"/>
        </w:rPr>
        <w:t>limit within </w:t>
      </w:r>
      <w:r>
        <w:rPr>
          <w:w w:val="105"/>
          <w:sz w:val="21"/>
        </w:rPr>
        <w:t>which </w:t>
      </w:r>
      <w:r>
        <w:rPr>
          <w:spacing w:val="-3"/>
          <w:w w:val="105"/>
          <w:sz w:val="21"/>
        </w:rPr>
        <w:t>applications </w:t>
      </w:r>
      <w:r>
        <w:rPr>
          <w:w w:val="105"/>
          <w:sz w:val="21"/>
        </w:rPr>
        <w:t>would need </w:t>
      </w:r>
      <w:r>
        <w:rPr>
          <w:spacing w:val="-3"/>
          <w:w w:val="105"/>
          <w:sz w:val="21"/>
        </w:rPr>
        <w:t>to </w:t>
      </w:r>
      <w:r>
        <w:rPr>
          <w:w w:val="105"/>
          <w:sz w:val="21"/>
        </w:rPr>
        <w:t>be </w:t>
      </w:r>
      <w:r>
        <w:rPr>
          <w:spacing w:val="-3"/>
          <w:w w:val="105"/>
          <w:sz w:val="21"/>
        </w:rPr>
        <w:t>made, </w:t>
      </w:r>
      <w:r>
        <w:rPr>
          <w:w w:val="105"/>
          <w:sz w:val="21"/>
        </w:rPr>
        <w:t>though they differed on what </w:t>
      </w:r>
      <w:r>
        <w:rPr>
          <w:spacing w:val="-3"/>
          <w:w w:val="105"/>
          <w:sz w:val="21"/>
        </w:rPr>
        <w:t>that </w:t>
      </w:r>
      <w:r>
        <w:rPr>
          <w:w w:val="105"/>
          <w:sz w:val="21"/>
        </w:rPr>
        <w:t>period should be and the </w:t>
      </w:r>
      <w:r>
        <w:rPr>
          <w:spacing w:val="-3"/>
          <w:w w:val="105"/>
          <w:sz w:val="21"/>
        </w:rPr>
        <w:t>circumstances </w:t>
      </w:r>
      <w:r>
        <w:rPr>
          <w:w w:val="105"/>
          <w:sz w:val="21"/>
        </w:rPr>
        <w:t>in which extensions of time should be</w:t>
      </w:r>
      <w:r>
        <w:rPr>
          <w:spacing w:val="-4"/>
          <w:w w:val="105"/>
          <w:sz w:val="21"/>
        </w:rPr>
        <w:t> </w:t>
      </w:r>
      <w:r>
        <w:rPr>
          <w:spacing w:val="-5"/>
          <w:w w:val="105"/>
          <w:sz w:val="21"/>
        </w:rPr>
        <w:t>given.</w:t>
      </w:r>
      <w:r>
        <w:rPr>
          <w:spacing w:val="-5"/>
          <w:w w:val="105"/>
          <w:position w:val="7"/>
          <w:sz w:val="12"/>
        </w:rPr>
        <w:t>157</w:t>
      </w:r>
    </w:p>
    <w:p>
      <w:pPr>
        <w:pStyle w:val="ListParagraph"/>
        <w:numPr>
          <w:ilvl w:val="1"/>
          <w:numId w:val="22"/>
        </w:numPr>
        <w:tabs>
          <w:tab w:pos="2380" w:val="left" w:leader="none"/>
          <w:tab w:pos="2381" w:val="left" w:leader="none"/>
        </w:tabs>
        <w:spacing w:line="242" w:lineRule="auto" w:before="123" w:after="0"/>
        <w:ind w:left="2381" w:right="1614" w:hanging="794"/>
        <w:jc w:val="left"/>
        <w:rPr>
          <w:sz w:val="21"/>
        </w:rPr>
      </w:pPr>
      <w:r>
        <w:rPr>
          <w:w w:val="105"/>
          <w:sz w:val="21"/>
        </w:rPr>
        <w:t>The</w:t>
      </w:r>
      <w:r>
        <w:rPr>
          <w:spacing w:val="-8"/>
          <w:w w:val="105"/>
          <w:sz w:val="21"/>
        </w:rPr>
        <w:t> </w:t>
      </w:r>
      <w:r>
        <w:rPr>
          <w:w w:val="105"/>
          <w:sz w:val="21"/>
        </w:rPr>
        <w:t>difficulty</w:t>
      </w:r>
      <w:r>
        <w:rPr>
          <w:spacing w:val="-8"/>
          <w:w w:val="105"/>
          <w:sz w:val="21"/>
        </w:rPr>
        <w:t> </w:t>
      </w:r>
      <w:r>
        <w:rPr>
          <w:w w:val="105"/>
          <w:sz w:val="21"/>
        </w:rPr>
        <w:t>in</w:t>
      </w:r>
      <w:r>
        <w:rPr>
          <w:spacing w:val="-7"/>
          <w:w w:val="105"/>
          <w:sz w:val="21"/>
        </w:rPr>
        <w:t> </w:t>
      </w:r>
      <w:r>
        <w:rPr>
          <w:spacing w:val="-3"/>
          <w:w w:val="105"/>
          <w:sz w:val="21"/>
        </w:rPr>
        <w:t>imposing</w:t>
      </w:r>
      <w:r>
        <w:rPr>
          <w:spacing w:val="-8"/>
          <w:w w:val="105"/>
          <w:sz w:val="21"/>
        </w:rPr>
        <w:t> </w:t>
      </w:r>
      <w:r>
        <w:rPr>
          <w:w w:val="105"/>
          <w:sz w:val="21"/>
        </w:rPr>
        <w:t>a</w:t>
      </w:r>
      <w:r>
        <w:rPr>
          <w:spacing w:val="-7"/>
          <w:w w:val="105"/>
          <w:sz w:val="21"/>
        </w:rPr>
        <w:t> </w:t>
      </w:r>
      <w:r>
        <w:rPr>
          <w:w w:val="105"/>
          <w:sz w:val="21"/>
        </w:rPr>
        <w:t>time</w:t>
      </w:r>
      <w:r>
        <w:rPr>
          <w:spacing w:val="-8"/>
          <w:w w:val="105"/>
          <w:sz w:val="21"/>
        </w:rPr>
        <w:t> </w:t>
      </w:r>
      <w:r>
        <w:rPr>
          <w:spacing w:val="-3"/>
          <w:w w:val="105"/>
          <w:sz w:val="21"/>
        </w:rPr>
        <w:t>limit</w:t>
      </w:r>
      <w:r>
        <w:rPr>
          <w:spacing w:val="-7"/>
          <w:w w:val="105"/>
          <w:sz w:val="21"/>
        </w:rPr>
        <w:t> </w:t>
      </w:r>
      <w:r>
        <w:rPr>
          <w:w w:val="105"/>
          <w:sz w:val="21"/>
        </w:rPr>
        <w:t>is</w:t>
      </w:r>
      <w:r>
        <w:rPr>
          <w:spacing w:val="-8"/>
          <w:w w:val="105"/>
          <w:sz w:val="21"/>
        </w:rPr>
        <w:t> </w:t>
      </w:r>
      <w:r>
        <w:rPr>
          <w:w w:val="105"/>
          <w:sz w:val="21"/>
        </w:rPr>
        <w:t>in</w:t>
      </w:r>
      <w:r>
        <w:rPr>
          <w:spacing w:val="-7"/>
          <w:w w:val="105"/>
          <w:sz w:val="21"/>
        </w:rPr>
        <w:t> </w:t>
      </w:r>
      <w:r>
        <w:rPr>
          <w:spacing w:val="-3"/>
          <w:w w:val="105"/>
          <w:sz w:val="21"/>
        </w:rPr>
        <w:t>determining</w:t>
      </w:r>
      <w:r>
        <w:rPr>
          <w:spacing w:val="-8"/>
          <w:w w:val="105"/>
          <w:sz w:val="21"/>
        </w:rPr>
        <w:t> </w:t>
      </w:r>
      <w:r>
        <w:rPr>
          <w:w w:val="105"/>
          <w:sz w:val="21"/>
        </w:rPr>
        <w:t>when</w:t>
      </w:r>
      <w:r>
        <w:rPr>
          <w:spacing w:val="-7"/>
          <w:w w:val="105"/>
          <w:sz w:val="21"/>
        </w:rPr>
        <w:t> </w:t>
      </w:r>
      <w:r>
        <w:rPr>
          <w:w w:val="105"/>
          <w:sz w:val="21"/>
        </w:rPr>
        <w:t>the</w:t>
      </w:r>
      <w:r>
        <w:rPr>
          <w:spacing w:val="-8"/>
          <w:w w:val="105"/>
          <w:sz w:val="21"/>
        </w:rPr>
        <w:t> </w:t>
      </w:r>
      <w:r>
        <w:rPr>
          <w:w w:val="105"/>
          <w:sz w:val="21"/>
        </w:rPr>
        <w:t>prescribed</w:t>
      </w:r>
      <w:r>
        <w:rPr>
          <w:spacing w:val="-7"/>
          <w:w w:val="105"/>
          <w:sz w:val="21"/>
        </w:rPr>
        <w:t> </w:t>
      </w:r>
      <w:r>
        <w:rPr>
          <w:w w:val="105"/>
          <w:sz w:val="21"/>
        </w:rPr>
        <w:t>period</w:t>
      </w:r>
      <w:r>
        <w:rPr>
          <w:spacing w:val="-8"/>
          <w:w w:val="105"/>
          <w:sz w:val="21"/>
        </w:rPr>
        <w:t> </w:t>
      </w:r>
      <w:r>
        <w:rPr>
          <w:w w:val="105"/>
          <w:sz w:val="21"/>
        </w:rPr>
        <w:t>should </w:t>
      </w:r>
      <w:r>
        <w:rPr>
          <w:spacing w:val="-2"/>
          <w:w w:val="105"/>
          <w:sz w:val="21"/>
        </w:rPr>
        <w:t>begin. </w:t>
      </w:r>
      <w:r>
        <w:rPr>
          <w:w w:val="105"/>
          <w:sz w:val="21"/>
        </w:rPr>
        <w:t>A review </w:t>
      </w:r>
      <w:r>
        <w:rPr>
          <w:spacing w:val="-3"/>
          <w:w w:val="105"/>
          <w:sz w:val="21"/>
        </w:rPr>
        <w:t>provision </w:t>
      </w:r>
      <w:r>
        <w:rPr>
          <w:w w:val="105"/>
          <w:sz w:val="21"/>
        </w:rPr>
        <w:t>based on section 86A of the NSW </w:t>
      </w:r>
      <w:r>
        <w:rPr>
          <w:spacing w:val="-3"/>
          <w:w w:val="105"/>
          <w:sz w:val="21"/>
        </w:rPr>
        <w:t>Probate </w:t>
      </w:r>
      <w:r>
        <w:rPr>
          <w:w w:val="105"/>
          <w:sz w:val="21"/>
        </w:rPr>
        <w:t>and </w:t>
      </w:r>
      <w:r>
        <w:rPr>
          <w:spacing w:val="-3"/>
          <w:w w:val="105"/>
          <w:sz w:val="21"/>
        </w:rPr>
        <w:t>Administration </w:t>
      </w:r>
      <w:r>
        <w:rPr>
          <w:w w:val="105"/>
          <w:sz w:val="21"/>
        </w:rPr>
        <w:t>Act would apply </w:t>
      </w:r>
      <w:r>
        <w:rPr>
          <w:spacing w:val="-3"/>
          <w:w w:val="105"/>
          <w:sz w:val="21"/>
        </w:rPr>
        <w:t>to </w:t>
      </w:r>
      <w:r>
        <w:rPr>
          <w:w w:val="105"/>
          <w:sz w:val="21"/>
        </w:rPr>
        <w:t>amounts </w:t>
      </w:r>
      <w:r>
        <w:rPr>
          <w:spacing w:val="-3"/>
          <w:w w:val="105"/>
          <w:sz w:val="21"/>
        </w:rPr>
        <w:t>already charged </w:t>
      </w:r>
      <w:r>
        <w:rPr>
          <w:w w:val="105"/>
          <w:sz w:val="21"/>
        </w:rPr>
        <w:t>as </w:t>
      </w:r>
      <w:r>
        <w:rPr>
          <w:spacing w:val="-3"/>
          <w:w w:val="105"/>
          <w:sz w:val="21"/>
        </w:rPr>
        <w:t>well </w:t>
      </w:r>
      <w:r>
        <w:rPr>
          <w:w w:val="105"/>
          <w:sz w:val="21"/>
        </w:rPr>
        <w:t>as those proposed </w:t>
      </w:r>
      <w:r>
        <w:rPr>
          <w:spacing w:val="-3"/>
          <w:w w:val="105"/>
          <w:sz w:val="21"/>
        </w:rPr>
        <w:t>to </w:t>
      </w:r>
      <w:r>
        <w:rPr>
          <w:w w:val="105"/>
          <w:sz w:val="21"/>
        </w:rPr>
        <w:t>be</w:t>
      </w:r>
      <w:r>
        <w:rPr>
          <w:spacing w:val="22"/>
          <w:w w:val="105"/>
          <w:sz w:val="21"/>
        </w:rPr>
        <w:t> </w:t>
      </w:r>
      <w:r>
        <w:rPr>
          <w:spacing w:val="-3"/>
          <w:w w:val="105"/>
          <w:sz w:val="21"/>
        </w:rPr>
        <w:t>charged.</w:t>
      </w:r>
    </w:p>
    <w:p>
      <w:pPr>
        <w:pStyle w:val="BodyText"/>
        <w:spacing w:line="242" w:lineRule="auto" w:before="3"/>
        <w:ind w:left="2380" w:right="2092"/>
      </w:pPr>
      <w:r>
        <w:rPr/>
        <w:t>Those amounts </w:t>
      </w:r>
      <w:r>
        <w:rPr>
          <w:spacing w:val="-3"/>
        </w:rPr>
        <w:t>may  </w:t>
      </w:r>
      <w:r>
        <w:rPr/>
        <w:t>be </w:t>
      </w:r>
      <w:r>
        <w:rPr>
          <w:spacing w:val="-3"/>
        </w:rPr>
        <w:t>commission</w:t>
      </w:r>
      <w:r>
        <w:rPr>
          <w:spacing w:val="41"/>
        </w:rPr>
        <w:t> </w:t>
      </w:r>
      <w:r>
        <w:rPr/>
        <w:t>but </w:t>
      </w:r>
      <w:r>
        <w:rPr>
          <w:spacing w:val="-3"/>
        </w:rPr>
        <w:t>could  </w:t>
      </w:r>
      <w:r>
        <w:rPr/>
        <w:t>be other </w:t>
      </w:r>
      <w:r>
        <w:rPr>
          <w:spacing w:val="-3"/>
        </w:rPr>
        <w:t>charges.  </w:t>
      </w:r>
      <w:r>
        <w:rPr/>
        <w:t>Where </w:t>
      </w:r>
      <w:r>
        <w:rPr>
          <w:spacing w:val="-3"/>
        </w:rPr>
        <w:t>commission   </w:t>
      </w:r>
      <w:r>
        <w:rPr/>
        <w:t>is</w:t>
      </w:r>
      <w:r>
        <w:rPr>
          <w:spacing w:val="15"/>
        </w:rPr>
        <w:t> </w:t>
      </w:r>
      <w:r>
        <w:rPr/>
        <w:t>authorised</w:t>
      </w:r>
      <w:r>
        <w:rPr>
          <w:spacing w:val="15"/>
        </w:rPr>
        <w:t> </w:t>
      </w:r>
      <w:r>
        <w:rPr/>
        <w:t>by</w:t>
      </w:r>
      <w:r>
        <w:rPr>
          <w:spacing w:val="15"/>
        </w:rPr>
        <w:t> </w:t>
      </w:r>
      <w:r>
        <w:rPr/>
        <w:t>the</w:t>
      </w:r>
      <w:r>
        <w:rPr>
          <w:spacing w:val="15"/>
        </w:rPr>
        <w:t> </w:t>
      </w:r>
      <w:r>
        <w:rPr>
          <w:spacing w:val="-3"/>
        </w:rPr>
        <w:t>will,</w:t>
      </w:r>
      <w:r>
        <w:rPr>
          <w:spacing w:val="15"/>
        </w:rPr>
        <w:t> </w:t>
      </w:r>
      <w:r>
        <w:rPr/>
        <w:t>the</w:t>
      </w:r>
      <w:r>
        <w:rPr>
          <w:spacing w:val="15"/>
        </w:rPr>
        <w:t> </w:t>
      </w:r>
      <w:r>
        <w:rPr>
          <w:spacing w:val="-3"/>
        </w:rPr>
        <w:t>executor</w:t>
      </w:r>
      <w:r>
        <w:rPr>
          <w:spacing w:val="15"/>
        </w:rPr>
        <w:t> </w:t>
      </w:r>
      <w:r>
        <w:rPr/>
        <w:t>need</w:t>
      </w:r>
      <w:r>
        <w:rPr>
          <w:spacing w:val="15"/>
        </w:rPr>
        <w:t> </w:t>
      </w:r>
      <w:r>
        <w:rPr>
          <w:spacing w:val="-2"/>
        </w:rPr>
        <w:t>not</w:t>
      </w:r>
      <w:r>
        <w:rPr>
          <w:spacing w:val="16"/>
        </w:rPr>
        <w:t> </w:t>
      </w:r>
      <w:r>
        <w:rPr/>
        <w:t>notify</w:t>
      </w:r>
      <w:r>
        <w:rPr>
          <w:spacing w:val="15"/>
        </w:rPr>
        <w:t> </w:t>
      </w:r>
      <w:r>
        <w:rPr/>
        <w:t>beneficiaries</w:t>
      </w:r>
      <w:r>
        <w:rPr>
          <w:spacing w:val="15"/>
        </w:rPr>
        <w:t> </w:t>
      </w:r>
      <w:r>
        <w:rPr/>
        <w:t>in</w:t>
      </w:r>
      <w:r>
        <w:rPr>
          <w:spacing w:val="15"/>
        </w:rPr>
        <w:t> </w:t>
      </w:r>
      <w:r>
        <w:rPr/>
        <w:t>advance</w:t>
      </w:r>
      <w:r>
        <w:rPr>
          <w:spacing w:val="15"/>
        </w:rPr>
        <w:t> </w:t>
      </w:r>
      <w:r>
        <w:rPr/>
        <w:t>of</w:t>
      </w:r>
      <w:r>
        <w:rPr>
          <w:spacing w:val="15"/>
        </w:rPr>
        <w:t> </w:t>
      </w:r>
      <w:r>
        <w:rPr/>
        <w:t>the</w:t>
      </w:r>
    </w:p>
    <w:p>
      <w:pPr>
        <w:pStyle w:val="BodyText"/>
        <w:spacing w:line="242" w:lineRule="auto" w:before="2"/>
        <w:ind w:left="2380" w:right="2010"/>
      </w:pPr>
      <w:r>
        <w:rPr/>
        <w:t>payment nor seek their </w:t>
      </w:r>
      <w:r>
        <w:rPr>
          <w:spacing w:val="-3"/>
        </w:rPr>
        <w:t>consent, </w:t>
      </w:r>
      <w:r>
        <w:rPr/>
        <w:t>so the </w:t>
      </w:r>
      <w:r>
        <w:rPr>
          <w:spacing w:val="-3"/>
        </w:rPr>
        <w:t>circumstances </w:t>
      </w:r>
      <w:r>
        <w:rPr/>
        <w:t>in which the beneficiary </w:t>
      </w:r>
      <w:r>
        <w:rPr>
          <w:spacing w:val="-3"/>
        </w:rPr>
        <w:t>learns </w:t>
      </w:r>
      <w:r>
        <w:rPr/>
        <w:t>of the actual or proposed </w:t>
      </w:r>
      <w:r>
        <w:rPr>
          <w:spacing w:val="-3"/>
        </w:rPr>
        <w:t>charges will vary. </w:t>
      </w:r>
      <w:r>
        <w:rPr/>
        <w:t>A beneficiary who lives overseas </w:t>
      </w:r>
      <w:r>
        <w:rPr>
          <w:spacing w:val="-3"/>
        </w:rPr>
        <w:t>might </w:t>
      </w:r>
      <w:r>
        <w:rPr>
          <w:spacing w:val="-2"/>
        </w:rPr>
        <w:t>not </w:t>
      </w:r>
      <w:r>
        <w:rPr/>
        <w:t>be able </w:t>
      </w:r>
      <w:r>
        <w:rPr>
          <w:spacing w:val="-3"/>
        </w:rPr>
        <w:t>to monitor </w:t>
      </w:r>
      <w:r>
        <w:rPr/>
        <w:t>the </w:t>
      </w:r>
      <w:r>
        <w:rPr>
          <w:spacing w:val="-3"/>
        </w:rPr>
        <w:t>administration </w:t>
      </w:r>
      <w:r>
        <w:rPr/>
        <w:t>of the estate as closely as a local </w:t>
      </w:r>
      <w:r>
        <w:rPr>
          <w:spacing w:val="-3"/>
        </w:rPr>
        <w:t>resident </w:t>
      </w:r>
      <w:r>
        <w:rPr/>
        <w:t>and </w:t>
      </w:r>
      <w:r>
        <w:rPr>
          <w:spacing w:val="-3"/>
        </w:rPr>
        <w:t>may  </w:t>
      </w:r>
      <w:r>
        <w:rPr/>
        <w:t>need time </w:t>
      </w:r>
      <w:r>
        <w:rPr>
          <w:spacing w:val="-3"/>
        </w:rPr>
        <w:t>to </w:t>
      </w:r>
      <w:r>
        <w:rPr/>
        <w:t>obtain advice and assistance </w:t>
      </w:r>
      <w:r>
        <w:rPr>
          <w:spacing w:val="-3"/>
        </w:rPr>
        <w:t>from </w:t>
      </w:r>
      <w:r>
        <w:rPr/>
        <w:t>a </w:t>
      </w:r>
      <w:r>
        <w:rPr>
          <w:spacing w:val="-3"/>
        </w:rPr>
        <w:t>third </w:t>
      </w:r>
      <w:r>
        <w:rPr>
          <w:spacing w:val="-4"/>
        </w:rPr>
        <w:t>party.</w:t>
      </w:r>
      <w:r>
        <w:rPr>
          <w:spacing w:val="-4"/>
          <w:position w:val="7"/>
          <w:sz w:val="12"/>
        </w:rPr>
        <w:t>158 </w:t>
      </w:r>
      <w:r>
        <w:rPr/>
        <w:t>The </w:t>
      </w:r>
      <w:r>
        <w:rPr>
          <w:spacing w:val="-3"/>
        </w:rPr>
        <w:t>executor may</w:t>
      </w:r>
      <w:r>
        <w:rPr>
          <w:spacing w:val="37"/>
        </w:rPr>
        <w:t> </w:t>
      </w:r>
      <w:r>
        <w:rPr/>
        <w:t>be</w:t>
      </w:r>
    </w:p>
    <w:p>
      <w:pPr>
        <w:pStyle w:val="BodyText"/>
        <w:spacing w:before="5"/>
        <w:ind w:left="2381"/>
        <w:rPr>
          <w:sz w:val="12"/>
        </w:rPr>
      </w:pPr>
      <w:r>
        <w:rPr>
          <w:w w:val="105"/>
        </w:rPr>
        <w:t>a testamentary trustee who charges as a trustee over a different period of time.</w:t>
      </w:r>
      <w:r>
        <w:rPr>
          <w:w w:val="105"/>
          <w:position w:val="7"/>
          <w:sz w:val="12"/>
        </w:rPr>
        <w:t>159</w:t>
      </w:r>
    </w:p>
    <w:p>
      <w:pPr>
        <w:pStyle w:val="ListParagraph"/>
        <w:numPr>
          <w:ilvl w:val="1"/>
          <w:numId w:val="22"/>
        </w:numPr>
        <w:tabs>
          <w:tab w:pos="2380" w:val="left" w:leader="none"/>
          <w:tab w:pos="2382" w:val="left" w:leader="none"/>
        </w:tabs>
        <w:spacing w:line="242" w:lineRule="auto" w:before="124" w:after="0"/>
        <w:ind w:left="2381" w:right="1706" w:hanging="794"/>
        <w:jc w:val="left"/>
        <w:rPr>
          <w:sz w:val="21"/>
        </w:rPr>
      </w:pPr>
      <w:r>
        <w:rPr>
          <w:sz w:val="21"/>
        </w:rPr>
        <w:t>For the </w:t>
      </w:r>
      <w:r>
        <w:rPr>
          <w:spacing w:val="-3"/>
          <w:sz w:val="21"/>
        </w:rPr>
        <w:t>reasons  </w:t>
      </w:r>
      <w:r>
        <w:rPr>
          <w:sz w:val="21"/>
        </w:rPr>
        <w:t>advanced by the Law </w:t>
      </w:r>
      <w:r>
        <w:rPr>
          <w:spacing w:val="-3"/>
          <w:sz w:val="21"/>
        </w:rPr>
        <w:t>Institute</w:t>
      </w:r>
      <w:r>
        <w:rPr>
          <w:spacing w:val="41"/>
          <w:sz w:val="21"/>
        </w:rPr>
        <w:t> </w:t>
      </w:r>
      <w:r>
        <w:rPr>
          <w:sz w:val="21"/>
        </w:rPr>
        <w:t>of Victoria, the </w:t>
      </w:r>
      <w:r>
        <w:rPr>
          <w:spacing w:val="-3"/>
          <w:sz w:val="21"/>
        </w:rPr>
        <w:t>Commission  </w:t>
      </w:r>
      <w:r>
        <w:rPr>
          <w:sz w:val="21"/>
        </w:rPr>
        <w:t>considers </w:t>
      </w:r>
      <w:r>
        <w:rPr>
          <w:spacing w:val="-3"/>
          <w:sz w:val="21"/>
        </w:rPr>
        <w:t>that  </w:t>
      </w:r>
      <w:r>
        <w:rPr>
          <w:sz w:val="21"/>
        </w:rPr>
        <w:t>it would be </w:t>
      </w:r>
      <w:r>
        <w:rPr>
          <w:spacing w:val="-3"/>
          <w:sz w:val="21"/>
        </w:rPr>
        <w:t>sensible  to  have  </w:t>
      </w:r>
      <w:r>
        <w:rPr>
          <w:sz w:val="21"/>
        </w:rPr>
        <w:t>a time </w:t>
      </w:r>
      <w:r>
        <w:rPr>
          <w:spacing w:val="-3"/>
          <w:sz w:val="21"/>
        </w:rPr>
        <w:t>limit</w:t>
      </w:r>
      <w:r>
        <w:rPr>
          <w:spacing w:val="41"/>
          <w:sz w:val="21"/>
        </w:rPr>
        <w:t> </w:t>
      </w:r>
      <w:r>
        <w:rPr>
          <w:sz w:val="21"/>
        </w:rPr>
        <w:t>and </w:t>
      </w:r>
      <w:r>
        <w:rPr>
          <w:spacing w:val="-3"/>
          <w:sz w:val="21"/>
        </w:rPr>
        <w:t>that  </w:t>
      </w:r>
      <w:r>
        <w:rPr>
          <w:sz w:val="21"/>
        </w:rPr>
        <w:t>it should be three </w:t>
      </w:r>
      <w:r>
        <w:rPr>
          <w:spacing w:val="-3"/>
          <w:sz w:val="21"/>
        </w:rPr>
        <w:t>months  from  </w:t>
      </w:r>
      <w:r>
        <w:rPr>
          <w:sz w:val="21"/>
        </w:rPr>
        <w:t>the time the </w:t>
      </w:r>
      <w:r>
        <w:rPr>
          <w:spacing w:val="-3"/>
          <w:sz w:val="21"/>
        </w:rPr>
        <w:t>applicant </w:t>
      </w:r>
      <w:r>
        <w:rPr>
          <w:sz w:val="21"/>
        </w:rPr>
        <w:t>beneficiary first </w:t>
      </w:r>
      <w:r>
        <w:rPr>
          <w:spacing w:val="-4"/>
          <w:sz w:val="21"/>
        </w:rPr>
        <w:t>knew, </w:t>
      </w:r>
      <w:r>
        <w:rPr>
          <w:sz w:val="21"/>
        </w:rPr>
        <w:t>or </w:t>
      </w:r>
      <w:r>
        <w:rPr>
          <w:spacing w:val="-3"/>
          <w:sz w:val="21"/>
        </w:rPr>
        <w:t>ought to have </w:t>
      </w:r>
      <w:r>
        <w:rPr>
          <w:sz w:val="21"/>
        </w:rPr>
        <w:t>known, of </w:t>
      </w:r>
      <w:r>
        <w:rPr>
          <w:spacing w:val="-3"/>
          <w:sz w:val="21"/>
        </w:rPr>
        <w:t>all commission </w:t>
      </w:r>
      <w:r>
        <w:rPr>
          <w:sz w:val="21"/>
        </w:rPr>
        <w:t>and </w:t>
      </w:r>
      <w:r>
        <w:rPr>
          <w:spacing w:val="-3"/>
          <w:sz w:val="21"/>
        </w:rPr>
        <w:t>charges </w:t>
      </w:r>
      <w:r>
        <w:rPr>
          <w:sz w:val="21"/>
        </w:rPr>
        <w:t>exacted or </w:t>
      </w:r>
      <w:r>
        <w:rPr>
          <w:spacing w:val="-3"/>
          <w:sz w:val="21"/>
        </w:rPr>
        <w:t>claimed </w:t>
      </w:r>
      <w:r>
        <w:rPr>
          <w:sz w:val="21"/>
        </w:rPr>
        <w:t>by the </w:t>
      </w:r>
      <w:r>
        <w:rPr>
          <w:spacing w:val="-3"/>
          <w:sz w:val="21"/>
        </w:rPr>
        <w:t>executor </w:t>
      </w:r>
      <w:r>
        <w:rPr>
          <w:sz w:val="21"/>
        </w:rPr>
        <w:t>out of the </w:t>
      </w:r>
      <w:r>
        <w:rPr>
          <w:spacing w:val="-3"/>
          <w:sz w:val="21"/>
        </w:rPr>
        <w:t>estate. </w:t>
      </w:r>
      <w:r>
        <w:rPr>
          <w:sz w:val="21"/>
        </w:rPr>
        <w:t>The time </w:t>
      </w:r>
      <w:r>
        <w:rPr>
          <w:spacing w:val="-3"/>
          <w:sz w:val="21"/>
        </w:rPr>
        <w:t>limit </w:t>
      </w:r>
      <w:r>
        <w:rPr>
          <w:sz w:val="21"/>
        </w:rPr>
        <w:t>would be subject </w:t>
      </w:r>
      <w:r>
        <w:rPr>
          <w:spacing w:val="-3"/>
          <w:sz w:val="21"/>
        </w:rPr>
        <w:t>to any </w:t>
      </w:r>
      <w:r>
        <w:rPr>
          <w:sz w:val="21"/>
        </w:rPr>
        <w:t>extension of time </w:t>
      </w:r>
      <w:r>
        <w:rPr>
          <w:spacing w:val="-3"/>
          <w:sz w:val="21"/>
        </w:rPr>
        <w:t>granted </w:t>
      </w:r>
      <w:r>
        <w:rPr>
          <w:sz w:val="21"/>
        </w:rPr>
        <w:t>by the </w:t>
      </w:r>
      <w:r>
        <w:rPr>
          <w:spacing w:val="-3"/>
          <w:sz w:val="21"/>
        </w:rPr>
        <w:t>Court. </w:t>
      </w:r>
      <w:r>
        <w:rPr>
          <w:sz w:val="21"/>
        </w:rPr>
        <w:t>Although </w:t>
      </w:r>
      <w:r>
        <w:rPr>
          <w:spacing w:val="-3"/>
          <w:sz w:val="21"/>
        </w:rPr>
        <w:t>imposing  </w:t>
      </w:r>
      <w:r>
        <w:rPr>
          <w:sz w:val="21"/>
        </w:rPr>
        <w:t>a time </w:t>
      </w:r>
      <w:r>
        <w:rPr>
          <w:spacing w:val="-3"/>
          <w:sz w:val="21"/>
        </w:rPr>
        <w:t>limit</w:t>
      </w:r>
      <w:r>
        <w:rPr>
          <w:spacing w:val="41"/>
          <w:sz w:val="21"/>
        </w:rPr>
        <w:t> </w:t>
      </w:r>
      <w:r>
        <w:rPr>
          <w:sz w:val="21"/>
        </w:rPr>
        <w:t>would</w:t>
      </w:r>
      <w:r>
        <w:rPr>
          <w:spacing w:val="20"/>
          <w:sz w:val="21"/>
        </w:rPr>
        <w:t> </w:t>
      </w:r>
      <w:r>
        <w:rPr>
          <w:sz w:val="21"/>
        </w:rPr>
        <w:t>be</w:t>
      </w:r>
      <w:r>
        <w:rPr>
          <w:spacing w:val="20"/>
          <w:sz w:val="21"/>
        </w:rPr>
        <w:t> </w:t>
      </w:r>
      <w:r>
        <w:rPr>
          <w:sz w:val="21"/>
        </w:rPr>
        <w:t>a</w:t>
      </w:r>
      <w:r>
        <w:rPr>
          <w:spacing w:val="21"/>
          <w:sz w:val="21"/>
        </w:rPr>
        <w:t> </w:t>
      </w:r>
      <w:r>
        <w:rPr>
          <w:sz w:val="21"/>
        </w:rPr>
        <w:t>departure</w:t>
      </w:r>
      <w:r>
        <w:rPr>
          <w:spacing w:val="20"/>
          <w:sz w:val="21"/>
        </w:rPr>
        <w:t> </w:t>
      </w:r>
      <w:r>
        <w:rPr>
          <w:spacing w:val="-3"/>
          <w:sz w:val="21"/>
        </w:rPr>
        <w:t>from</w:t>
      </w:r>
      <w:r>
        <w:rPr>
          <w:spacing w:val="21"/>
          <w:sz w:val="21"/>
        </w:rPr>
        <w:t> </w:t>
      </w:r>
      <w:r>
        <w:rPr>
          <w:sz w:val="21"/>
        </w:rPr>
        <w:t>section</w:t>
      </w:r>
      <w:r>
        <w:rPr>
          <w:spacing w:val="20"/>
          <w:sz w:val="21"/>
        </w:rPr>
        <w:t> </w:t>
      </w:r>
      <w:r>
        <w:rPr>
          <w:sz w:val="21"/>
        </w:rPr>
        <w:t>86A</w:t>
      </w:r>
      <w:r>
        <w:rPr>
          <w:spacing w:val="21"/>
          <w:sz w:val="21"/>
        </w:rPr>
        <w:t> </w:t>
      </w:r>
      <w:r>
        <w:rPr>
          <w:sz w:val="21"/>
        </w:rPr>
        <w:t>of</w:t>
      </w:r>
      <w:r>
        <w:rPr>
          <w:spacing w:val="20"/>
          <w:sz w:val="21"/>
        </w:rPr>
        <w:t> </w:t>
      </w:r>
      <w:r>
        <w:rPr>
          <w:sz w:val="21"/>
        </w:rPr>
        <w:t>the</w:t>
      </w:r>
      <w:r>
        <w:rPr>
          <w:spacing w:val="20"/>
          <w:sz w:val="21"/>
        </w:rPr>
        <w:t> </w:t>
      </w:r>
      <w:r>
        <w:rPr>
          <w:sz w:val="21"/>
        </w:rPr>
        <w:t>NSW</w:t>
      </w:r>
      <w:r>
        <w:rPr>
          <w:spacing w:val="21"/>
          <w:sz w:val="21"/>
        </w:rPr>
        <w:t> </w:t>
      </w:r>
      <w:r>
        <w:rPr>
          <w:spacing w:val="-3"/>
          <w:sz w:val="21"/>
        </w:rPr>
        <w:t>Probate</w:t>
      </w:r>
      <w:r>
        <w:rPr>
          <w:spacing w:val="20"/>
          <w:sz w:val="21"/>
        </w:rPr>
        <w:t> </w:t>
      </w:r>
      <w:r>
        <w:rPr>
          <w:sz w:val="21"/>
        </w:rPr>
        <w:t>and</w:t>
      </w:r>
      <w:r>
        <w:rPr>
          <w:spacing w:val="21"/>
          <w:sz w:val="21"/>
        </w:rPr>
        <w:t> </w:t>
      </w:r>
      <w:r>
        <w:rPr>
          <w:spacing w:val="-3"/>
          <w:sz w:val="21"/>
        </w:rPr>
        <w:t>Administration</w:t>
      </w:r>
      <w:r>
        <w:rPr>
          <w:spacing w:val="20"/>
          <w:sz w:val="21"/>
        </w:rPr>
        <w:t> </w:t>
      </w:r>
      <w:r>
        <w:rPr>
          <w:sz w:val="21"/>
        </w:rPr>
        <w:t>Act,</w:t>
      </w:r>
    </w:p>
    <w:p>
      <w:pPr>
        <w:pStyle w:val="BodyText"/>
        <w:spacing w:before="6"/>
        <w:ind w:left="2381"/>
      </w:pPr>
      <w:r>
        <w:rPr/>
        <w:t>it would not create an inconsistency that would be significant or problematic.</w:t>
      </w:r>
    </w:p>
    <w:p>
      <w:pPr>
        <w:pStyle w:val="BodyText"/>
        <w:rPr>
          <w:sz w:val="20"/>
        </w:rPr>
      </w:pPr>
    </w:p>
    <w:p>
      <w:pPr>
        <w:pStyle w:val="BodyText"/>
        <w:rPr>
          <w:sz w:val="20"/>
        </w:rPr>
      </w:pPr>
    </w:p>
    <w:p>
      <w:pPr>
        <w:pStyle w:val="BodyText"/>
        <w:spacing w:before="7"/>
      </w:pPr>
      <w:r>
        <w:rPr/>
        <w:pict>
          <v:line style="position:absolute;mso-position-horizontal-relative:page;mso-position-vertical-relative:paragraph;z-index:9656;mso-wrap-distance-left:0;mso-wrap-distance-right:0" from="79.370102pt,15.648194pt" to="515.905102pt,15.648194pt" stroked="true" strokeweight="1pt" strokecolor="#f9ceca">
            <v:stroke dashstyle="solid"/>
            <w10:wrap type="topAndBottom"/>
          </v:line>
        </w:pict>
      </w:r>
    </w:p>
    <w:p>
      <w:pPr>
        <w:pStyle w:val="BodyText"/>
        <w:spacing w:before="8"/>
        <w:rPr>
          <w:sz w:val="5"/>
        </w:rPr>
      </w:pPr>
    </w:p>
    <w:p>
      <w:pPr>
        <w:spacing w:after="0"/>
        <w:rPr>
          <w:sz w:val="5"/>
        </w:rPr>
        <w:sectPr>
          <w:pgSz w:w="11910" w:h="16840"/>
          <w:pgMar w:header="805" w:footer="0" w:top="1360" w:bottom="280" w:left="0" w:right="0"/>
        </w:sectPr>
      </w:pPr>
    </w:p>
    <w:p>
      <w:pPr>
        <w:tabs>
          <w:tab w:pos="2380" w:val="left" w:leader="none"/>
        </w:tabs>
        <w:spacing w:before="48"/>
        <w:ind w:left="1587" w:right="0" w:firstLine="0"/>
        <w:jc w:val="left"/>
        <w:rPr>
          <w:sz w:val="13"/>
        </w:rPr>
      </w:pPr>
      <w:r>
        <w:rPr>
          <w:w w:val="105"/>
          <w:sz w:val="13"/>
        </w:rPr>
        <w:t>154</w:t>
        <w:tab/>
        <w:t>See above [7.53]</w:t>
      </w:r>
      <w:r>
        <w:rPr>
          <w:spacing w:val="-10"/>
          <w:w w:val="105"/>
          <w:sz w:val="13"/>
        </w:rPr>
        <w:t> </w:t>
      </w:r>
      <w:r>
        <w:rPr>
          <w:spacing w:val="2"/>
          <w:w w:val="105"/>
          <w:sz w:val="13"/>
        </w:rPr>
        <w:t>–[7.60].</w:t>
      </w:r>
    </w:p>
    <w:p>
      <w:pPr>
        <w:pStyle w:val="ListParagraph"/>
        <w:numPr>
          <w:ilvl w:val="1"/>
          <w:numId w:val="123"/>
        </w:numPr>
        <w:tabs>
          <w:tab w:pos="2381" w:val="left" w:leader="none"/>
          <w:tab w:pos="2382" w:val="left" w:leader="none"/>
        </w:tabs>
        <w:spacing w:line="240" w:lineRule="auto" w:before="1" w:after="0"/>
        <w:ind w:left="2381" w:right="517" w:hanging="794"/>
        <w:jc w:val="left"/>
        <w:rPr>
          <w:sz w:val="13"/>
        </w:rPr>
      </w:pPr>
      <w:r>
        <w:rPr>
          <w:w w:val="105"/>
          <w:sz w:val="13"/>
        </w:rPr>
        <w:t>Submissions 8 (Patricia Strachan); </w:t>
      </w:r>
      <w:r>
        <w:rPr>
          <w:spacing w:val="-3"/>
          <w:w w:val="105"/>
          <w:sz w:val="13"/>
        </w:rPr>
        <w:t>19 </w:t>
      </w:r>
      <w:r>
        <w:rPr>
          <w:spacing w:val="2"/>
          <w:w w:val="105"/>
          <w:sz w:val="13"/>
        </w:rPr>
        <w:t>(Association </w:t>
      </w:r>
      <w:r>
        <w:rPr>
          <w:w w:val="105"/>
          <w:sz w:val="13"/>
        </w:rPr>
        <w:t>of Independent Retirees); 22 (Paul Bravender-Coyle); 25 </w:t>
      </w:r>
      <w:r>
        <w:rPr>
          <w:spacing w:val="2"/>
          <w:w w:val="105"/>
          <w:sz w:val="13"/>
        </w:rPr>
        <w:t>(Moores </w:t>
      </w:r>
      <w:r>
        <w:rPr>
          <w:w w:val="105"/>
          <w:sz w:val="13"/>
        </w:rPr>
        <w:t>Legal); 36</w:t>
      </w:r>
      <w:r>
        <w:rPr>
          <w:spacing w:val="7"/>
          <w:w w:val="105"/>
          <w:sz w:val="13"/>
        </w:rPr>
        <w:t> </w:t>
      </w:r>
      <w:r>
        <w:rPr>
          <w:spacing w:val="3"/>
          <w:w w:val="105"/>
          <w:sz w:val="13"/>
        </w:rPr>
        <w:t>(Law</w:t>
      </w:r>
      <w:r>
        <w:rPr>
          <w:spacing w:val="8"/>
          <w:w w:val="105"/>
          <w:sz w:val="13"/>
        </w:rPr>
        <w:t> </w:t>
      </w:r>
      <w:r>
        <w:rPr>
          <w:w w:val="105"/>
          <w:sz w:val="13"/>
        </w:rPr>
        <w:t>Society</w:t>
      </w:r>
      <w:r>
        <w:rPr>
          <w:spacing w:val="8"/>
          <w:w w:val="105"/>
          <w:sz w:val="13"/>
        </w:rPr>
        <w:t> </w:t>
      </w:r>
      <w:r>
        <w:rPr>
          <w:w w:val="105"/>
          <w:sz w:val="13"/>
        </w:rPr>
        <w:t>of</w:t>
      </w:r>
      <w:r>
        <w:rPr>
          <w:spacing w:val="7"/>
          <w:w w:val="105"/>
          <w:sz w:val="13"/>
        </w:rPr>
        <w:t> </w:t>
      </w:r>
      <w:r>
        <w:rPr>
          <w:w w:val="105"/>
          <w:sz w:val="13"/>
        </w:rPr>
        <w:t>New</w:t>
      </w:r>
      <w:r>
        <w:rPr>
          <w:spacing w:val="8"/>
          <w:w w:val="105"/>
          <w:sz w:val="13"/>
        </w:rPr>
        <w:t> </w:t>
      </w:r>
      <w:r>
        <w:rPr>
          <w:w w:val="105"/>
          <w:sz w:val="13"/>
        </w:rPr>
        <w:t>South</w:t>
      </w:r>
      <w:r>
        <w:rPr>
          <w:spacing w:val="8"/>
          <w:w w:val="105"/>
          <w:sz w:val="13"/>
        </w:rPr>
        <w:t> </w:t>
      </w:r>
      <w:r>
        <w:rPr>
          <w:w w:val="105"/>
          <w:sz w:val="13"/>
        </w:rPr>
        <w:t>Wales);</w:t>
      </w:r>
      <w:r>
        <w:rPr>
          <w:spacing w:val="7"/>
          <w:w w:val="105"/>
          <w:sz w:val="13"/>
        </w:rPr>
        <w:t> </w:t>
      </w:r>
      <w:r>
        <w:rPr>
          <w:w w:val="105"/>
          <w:sz w:val="13"/>
        </w:rPr>
        <w:t>37</w:t>
      </w:r>
      <w:r>
        <w:rPr>
          <w:spacing w:val="8"/>
          <w:w w:val="105"/>
          <w:sz w:val="13"/>
        </w:rPr>
        <w:t> </w:t>
      </w:r>
      <w:r>
        <w:rPr>
          <w:w w:val="105"/>
          <w:sz w:val="13"/>
        </w:rPr>
        <w:t>(Supreme</w:t>
      </w:r>
      <w:r>
        <w:rPr>
          <w:spacing w:val="8"/>
          <w:w w:val="105"/>
          <w:sz w:val="13"/>
        </w:rPr>
        <w:t> </w:t>
      </w:r>
      <w:r>
        <w:rPr>
          <w:w w:val="105"/>
          <w:sz w:val="13"/>
        </w:rPr>
        <w:t>Court</w:t>
      </w:r>
      <w:r>
        <w:rPr>
          <w:spacing w:val="7"/>
          <w:w w:val="105"/>
          <w:sz w:val="13"/>
        </w:rPr>
        <w:t> </w:t>
      </w:r>
      <w:r>
        <w:rPr>
          <w:w w:val="105"/>
          <w:sz w:val="13"/>
        </w:rPr>
        <w:t>of</w:t>
      </w:r>
      <w:r>
        <w:rPr>
          <w:spacing w:val="8"/>
          <w:w w:val="105"/>
          <w:sz w:val="13"/>
        </w:rPr>
        <w:t> </w:t>
      </w:r>
      <w:r>
        <w:rPr>
          <w:spacing w:val="2"/>
          <w:w w:val="105"/>
          <w:sz w:val="13"/>
        </w:rPr>
        <w:t>Victoria);</w:t>
      </w:r>
      <w:r>
        <w:rPr>
          <w:spacing w:val="8"/>
          <w:w w:val="105"/>
          <w:sz w:val="13"/>
        </w:rPr>
        <w:t> </w:t>
      </w:r>
      <w:r>
        <w:rPr>
          <w:w w:val="105"/>
          <w:sz w:val="13"/>
        </w:rPr>
        <w:t>39</w:t>
      </w:r>
      <w:r>
        <w:rPr>
          <w:spacing w:val="7"/>
          <w:w w:val="105"/>
          <w:sz w:val="13"/>
        </w:rPr>
        <w:t> </w:t>
      </w:r>
      <w:r>
        <w:rPr>
          <w:w w:val="105"/>
          <w:sz w:val="13"/>
        </w:rPr>
        <w:t>(Carolyn</w:t>
      </w:r>
      <w:r>
        <w:rPr>
          <w:spacing w:val="8"/>
          <w:w w:val="105"/>
          <w:sz w:val="13"/>
        </w:rPr>
        <w:t> </w:t>
      </w:r>
      <w:r>
        <w:rPr>
          <w:w w:val="105"/>
          <w:sz w:val="13"/>
        </w:rPr>
        <w:t>Sparke</w:t>
      </w:r>
      <w:r>
        <w:rPr>
          <w:spacing w:val="8"/>
          <w:w w:val="105"/>
          <w:sz w:val="13"/>
        </w:rPr>
        <w:t> </w:t>
      </w:r>
      <w:r>
        <w:rPr>
          <w:w w:val="105"/>
          <w:sz w:val="13"/>
        </w:rPr>
        <w:t>SC);</w:t>
      </w:r>
      <w:r>
        <w:rPr>
          <w:spacing w:val="8"/>
          <w:w w:val="105"/>
          <w:sz w:val="13"/>
        </w:rPr>
        <w:t> </w:t>
      </w:r>
      <w:r>
        <w:rPr>
          <w:w w:val="105"/>
          <w:sz w:val="13"/>
        </w:rPr>
        <w:t>40</w:t>
      </w:r>
      <w:r>
        <w:rPr>
          <w:spacing w:val="7"/>
          <w:w w:val="105"/>
          <w:sz w:val="13"/>
        </w:rPr>
        <w:t> </w:t>
      </w:r>
      <w:r>
        <w:rPr>
          <w:w w:val="105"/>
          <w:sz w:val="13"/>
        </w:rPr>
        <w:t>(Janice</w:t>
      </w:r>
      <w:r>
        <w:rPr>
          <w:spacing w:val="8"/>
          <w:w w:val="105"/>
          <w:sz w:val="13"/>
        </w:rPr>
        <w:t> </w:t>
      </w:r>
      <w:r>
        <w:rPr>
          <w:w w:val="105"/>
          <w:sz w:val="13"/>
        </w:rPr>
        <w:t>Brownfoot).</w:t>
      </w:r>
    </w:p>
    <w:p>
      <w:pPr>
        <w:pStyle w:val="ListParagraph"/>
        <w:numPr>
          <w:ilvl w:val="1"/>
          <w:numId w:val="123"/>
        </w:numPr>
        <w:tabs>
          <w:tab w:pos="2381" w:val="left" w:leader="none"/>
          <w:tab w:pos="2382" w:val="left" w:leader="none"/>
        </w:tabs>
        <w:spacing w:line="240" w:lineRule="auto" w:before="3" w:after="0"/>
        <w:ind w:left="2381" w:right="0" w:hanging="794"/>
        <w:jc w:val="left"/>
        <w:rPr>
          <w:sz w:val="13"/>
        </w:rPr>
      </w:pPr>
      <w:r>
        <w:rPr>
          <w:w w:val="105"/>
          <w:sz w:val="13"/>
        </w:rPr>
        <w:t>Submission 30a </w:t>
      </w:r>
      <w:r>
        <w:rPr>
          <w:spacing w:val="3"/>
          <w:w w:val="105"/>
          <w:sz w:val="13"/>
        </w:rPr>
        <w:t>(Law </w:t>
      </w:r>
      <w:r>
        <w:rPr>
          <w:w w:val="105"/>
          <w:sz w:val="13"/>
        </w:rPr>
        <w:t>Institute of</w:t>
      </w:r>
      <w:r>
        <w:rPr>
          <w:spacing w:val="19"/>
          <w:w w:val="105"/>
          <w:sz w:val="13"/>
        </w:rPr>
        <w:t> </w:t>
      </w:r>
      <w:r>
        <w:rPr>
          <w:spacing w:val="2"/>
          <w:w w:val="105"/>
          <w:sz w:val="13"/>
        </w:rPr>
        <w:t>Victoria).</w:t>
      </w:r>
    </w:p>
    <w:p>
      <w:pPr>
        <w:pStyle w:val="ListParagraph"/>
        <w:numPr>
          <w:ilvl w:val="1"/>
          <w:numId w:val="123"/>
        </w:numPr>
        <w:tabs>
          <w:tab w:pos="2381" w:val="left" w:leader="none"/>
          <w:tab w:pos="2382" w:val="left" w:leader="none"/>
        </w:tabs>
        <w:spacing w:line="240" w:lineRule="auto" w:before="1" w:after="0"/>
        <w:ind w:left="2381" w:right="0" w:hanging="794"/>
        <w:jc w:val="left"/>
        <w:rPr>
          <w:sz w:val="13"/>
        </w:rPr>
      </w:pPr>
      <w:r>
        <w:rPr>
          <w:w w:val="105"/>
          <w:sz w:val="13"/>
        </w:rPr>
        <w:t>Submissions</w:t>
      </w:r>
      <w:r>
        <w:rPr>
          <w:spacing w:val="5"/>
          <w:w w:val="105"/>
          <w:sz w:val="13"/>
        </w:rPr>
        <w:t> </w:t>
      </w:r>
      <w:r>
        <w:rPr>
          <w:w w:val="105"/>
          <w:sz w:val="13"/>
        </w:rPr>
        <w:t>in</w:t>
      </w:r>
      <w:r>
        <w:rPr>
          <w:spacing w:val="5"/>
          <w:w w:val="105"/>
          <w:sz w:val="13"/>
        </w:rPr>
        <w:t> </w:t>
      </w:r>
      <w:r>
        <w:rPr>
          <w:w w:val="105"/>
          <w:sz w:val="13"/>
        </w:rPr>
        <w:t>support:</w:t>
      </w:r>
      <w:r>
        <w:rPr>
          <w:spacing w:val="5"/>
          <w:w w:val="105"/>
          <w:sz w:val="13"/>
        </w:rPr>
        <w:t> </w:t>
      </w:r>
      <w:r>
        <w:rPr>
          <w:w w:val="105"/>
          <w:sz w:val="13"/>
        </w:rPr>
        <w:t>8</w:t>
      </w:r>
      <w:r>
        <w:rPr>
          <w:spacing w:val="5"/>
          <w:w w:val="105"/>
          <w:sz w:val="13"/>
        </w:rPr>
        <w:t> </w:t>
      </w:r>
      <w:r>
        <w:rPr>
          <w:w w:val="105"/>
          <w:sz w:val="13"/>
        </w:rPr>
        <w:t>(Patricia</w:t>
      </w:r>
      <w:r>
        <w:rPr>
          <w:spacing w:val="5"/>
          <w:w w:val="105"/>
          <w:sz w:val="13"/>
        </w:rPr>
        <w:t> </w:t>
      </w:r>
      <w:r>
        <w:rPr>
          <w:w w:val="105"/>
          <w:sz w:val="13"/>
        </w:rPr>
        <w:t>Strachan);</w:t>
      </w:r>
      <w:r>
        <w:rPr>
          <w:spacing w:val="6"/>
          <w:w w:val="105"/>
          <w:sz w:val="13"/>
        </w:rPr>
        <w:t> </w:t>
      </w:r>
      <w:r>
        <w:rPr>
          <w:spacing w:val="-3"/>
          <w:w w:val="105"/>
          <w:sz w:val="13"/>
        </w:rPr>
        <w:t>14</w:t>
      </w:r>
      <w:r>
        <w:rPr>
          <w:spacing w:val="5"/>
          <w:w w:val="105"/>
          <w:sz w:val="13"/>
        </w:rPr>
        <w:t> </w:t>
      </w:r>
      <w:r>
        <w:rPr>
          <w:w w:val="105"/>
          <w:sz w:val="13"/>
        </w:rPr>
        <w:t>(Commercial</w:t>
      </w:r>
      <w:r>
        <w:rPr>
          <w:spacing w:val="5"/>
          <w:w w:val="105"/>
          <w:sz w:val="13"/>
        </w:rPr>
        <w:t> </w:t>
      </w:r>
      <w:r>
        <w:rPr>
          <w:w w:val="105"/>
          <w:sz w:val="13"/>
        </w:rPr>
        <w:t>Bar</w:t>
      </w:r>
      <w:r>
        <w:rPr>
          <w:spacing w:val="5"/>
          <w:w w:val="105"/>
          <w:sz w:val="13"/>
        </w:rPr>
        <w:t> </w:t>
      </w:r>
      <w:r>
        <w:rPr>
          <w:spacing w:val="2"/>
          <w:w w:val="105"/>
          <w:sz w:val="13"/>
        </w:rPr>
        <w:t>Association);</w:t>
      </w:r>
      <w:r>
        <w:rPr>
          <w:spacing w:val="5"/>
          <w:w w:val="105"/>
          <w:sz w:val="13"/>
        </w:rPr>
        <w:t> </w:t>
      </w:r>
      <w:r>
        <w:rPr>
          <w:w w:val="105"/>
          <w:sz w:val="13"/>
        </w:rPr>
        <w:t>22</w:t>
      </w:r>
      <w:r>
        <w:rPr>
          <w:spacing w:val="5"/>
          <w:w w:val="105"/>
          <w:sz w:val="13"/>
        </w:rPr>
        <w:t> </w:t>
      </w:r>
      <w:r>
        <w:rPr>
          <w:w w:val="105"/>
          <w:sz w:val="13"/>
        </w:rPr>
        <w:t>(Paul</w:t>
      </w:r>
      <w:r>
        <w:rPr>
          <w:spacing w:val="5"/>
          <w:w w:val="105"/>
          <w:sz w:val="13"/>
        </w:rPr>
        <w:t> </w:t>
      </w:r>
      <w:r>
        <w:rPr>
          <w:w w:val="105"/>
          <w:sz w:val="13"/>
        </w:rPr>
        <w:t>Bravender-Coyle);</w:t>
      </w:r>
      <w:r>
        <w:rPr>
          <w:spacing w:val="6"/>
          <w:w w:val="105"/>
          <w:sz w:val="13"/>
        </w:rPr>
        <w:t> </w:t>
      </w:r>
      <w:r>
        <w:rPr>
          <w:w w:val="105"/>
          <w:sz w:val="13"/>
        </w:rPr>
        <w:t>25</w:t>
      </w:r>
      <w:r>
        <w:rPr>
          <w:spacing w:val="5"/>
          <w:w w:val="105"/>
          <w:sz w:val="13"/>
        </w:rPr>
        <w:t> </w:t>
      </w:r>
      <w:r>
        <w:rPr>
          <w:spacing w:val="2"/>
          <w:w w:val="105"/>
          <w:sz w:val="13"/>
        </w:rPr>
        <w:t>(Moores</w:t>
      </w:r>
      <w:r>
        <w:rPr>
          <w:spacing w:val="5"/>
          <w:w w:val="105"/>
          <w:sz w:val="13"/>
        </w:rPr>
        <w:t> </w:t>
      </w:r>
      <w:r>
        <w:rPr>
          <w:w w:val="105"/>
          <w:sz w:val="13"/>
        </w:rPr>
        <w:t>Legal);</w:t>
      </w:r>
    </w:p>
    <w:p>
      <w:pPr>
        <w:spacing w:before="2"/>
        <w:ind w:left="2381" w:right="15" w:firstLine="0"/>
        <w:jc w:val="left"/>
        <w:rPr>
          <w:sz w:val="13"/>
        </w:rPr>
      </w:pPr>
      <w:r>
        <w:rPr>
          <w:w w:val="105"/>
          <w:sz w:val="13"/>
        </w:rPr>
        <w:t>26 </w:t>
      </w:r>
      <w:r>
        <w:rPr>
          <w:spacing w:val="2"/>
          <w:w w:val="105"/>
          <w:sz w:val="13"/>
        </w:rPr>
        <w:t>(Rigby </w:t>
      </w:r>
      <w:r>
        <w:rPr>
          <w:w w:val="105"/>
          <w:sz w:val="13"/>
        </w:rPr>
        <w:t>Cooke </w:t>
      </w:r>
      <w:r>
        <w:rPr>
          <w:spacing w:val="2"/>
          <w:w w:val="105"/>
          <w:sz w:val="13"/>
        </w:rPr>
        <w:t>Lawyers); </w:t>
      </w:r>
      <w:r>
        <w:rPr>
          <w:w w:val="105"/>
          <w:sz w:val="13"/>
        </w:rPr>
        <w:t>32 </w:t>
      </w:r>
      <w:r>
        <w:rPr>
          <w:spacing w:val="2"/>
          <w:w w:val="105"/>
          <w:sz w:val="13"/>
        </w:rPr>
        <w:t>(The </w:t>
      </w:r>
      <w:r>
        <w:rPr>
          <w:w w:val="105"/>
          <w:sz w:val="13"/>
        </w:rPr>
        <w:t>Institute of Legal Executives); 33 (State Trustees Limited); 36 </w:t>
      </w:r>
      <w:r>
        <w:rPr>
          <w:spacing w:val="3"/>
          <w:w w:val="105"/>
          <w:sz w:val="13"/>
        </w:rPr>
        <w:t>(Law </w:t>
      </w:r>
      <w:r>
        <w:rPr>
          <w:w w:val="105"/>
          <w:sz w:val="13"/>
        </w:rPr>
        <w:t>Society of New South Wales); 40</w:t>
      </w:r>
      <w:r>
        <w:rPr>
          <w:spacing w:val="4"/>
          <w:w w:val="105"/>
          <w:sz w:val="13"/>
        </w:rPr>
        <w:t> </w:t>
      </w:r>
      <w:r>
        <w:rPr>
          <w:w w:val="105"/>
          <w:sz w:val="13"/>
        </w:rPr>
        <w:t>(Janice</w:t>
      </w:r>
      <w:r>
        <w:rPr>
          <w:spacing w:val="5"/>
          <w:w w:val="105"/>
          <w:sz w:val="13"/>
        </w:rPr>
        <w:t> </w:t>
      </w:r>
      <w:r>
        <w:rPr>
          <w:w w:val="105"/>
          <w:sz w:val="13"/>
        </w:rPr>
        <w:t>Brownfoot).</w:t>
      </w:r>
      <w:r>
        <w:rPr>
          <w:spacing w:val="5"/>
          <w:w w:val="105"/>
          <w:sz w:val="13"/>
        </w:rPr>
        <w:t> </w:t>
      </w:r>
      <w:r>
        <w:rPr>
          <w:w w:val="105"/>
          <w:sz w:val="13"/>
        </w:rPr>
        <w:t>Submission</w:t>
      </w:r>
      <w:r>
        <w:rPr>
          <w:spacing w:val="5"/>
          <w:w w:val="105"/>
          <w:sz w:val="13"/>
        </w:rPr>
        <w:t> </w:t>
      </w:r>
      <w:r>
        <w:rPr>
          <w:w w:val="105"/>
          <w:sz w:val="13"/>
        </w:rPr>
        <w:t>against:</w:t>
      </w:r>
      <w:r>
        <w:rPr>
          <w:spacing w:val="5"/>
          <w:w w:val="105"/>
          <w:sz w:val="13"/>
        </w:rPr>
        <w:t> </w:t>
      </w:r>
      <w:r>
        <w:rPr>
          <w:w w:val="105"/>
          <w:sz w:val="13"/>
        </w:rPr>
        <w:t>submission</w:t>
      </w:r>
      <w:r>
        <w:rPr>
          <w:spacing w:val="5"/>
          <w:w w:val="105"/>
          <w:sz w:val="13"/>
        </w:rPr>
        <w:t> </w:t>
      </w:r>
      <w:r>
        <w:rPr>
          <w:spacing w:val="-3"/>
          <w:w w:val="105"/>
          <w:sz w:val="13"/>
        </w:rPr>
        <w:t>19</w:t>
      </w:r>
      <w:r>
        <w:rPr>
          <w:spacing w:val="5"/>
          <w:w w:val="105"/>
          <w:sz w:val="13"/>
        </w:rPr>
        <w:t> </w:t>
      </w:r>
      <w:r>
        <w:rPr>
          <w:spacing w:val="2"/>
          <w:w w:val="105"/>
          <w:sz w:val="13"/>
        </w:rPr>
        <w:t>(Association</w:t>
      </w:r>
      <w:r>
        <w:rPr>
          <w:spacing w:val="5"/>
          <w:w w:val="105"/>
          <w:sz w:val="13"/>
        </w:rPr>
        <w:t> </w:t>
      </w:r>
      <w:r>
        <w:rPr>
          <w:w w:val="105"/>
          <w:sz w:val="13"/>
        </w:rPr>
        <w:t>of</w:t>
      </w:r>
      <w:r>
        <w:rPr>
          <w:spacing w:val="5"/>
          <w:w w:val="105"/>
          <w:sz w:val="13"/>
        </w:rPr>
        <w:t> </w:t>
      </w:r>
      <w:r>
        <w:rPr>
          <w:w w:val="105"/>
          <w:sz w:val="13"/>
        </w:rPr>
        <w:t>Independent</w:t>
      </w:r>
      <w:r>
        <w:rPr>
          <w:spacing w:val="5"/>
          <w:w w:val="105"/>
          <w:sz w:val="13"/>
        </w:rPr>
        <w:t> </w:t>
      </w:r>
      <w:r>
        <w:rPr>
          <w:w w:val="105"/>
          <w:sz w:val="13"/>
        </w:rPr>
        <w:t>Retirees).</w:t>
      </w:r>
    </w:p>
    <w:p>
      <w:pPr>
        <w:pStyle w:val="ListParagraph"/>
        <w:numPr>
          <w:ilvl w:val="1"/>
          <w:numId w:val="123"/>
        </w:numPr>
        <w:tabs>
          <w:tab w:pos="2381" w:val="left" w:leader="none"/>
          <w:tab w:pos="2382" w:val="left" w:leader="none"/>
        </w:tabs>
        <w:spacing w:line="240" w:lineRule="auto" w:before="2" w:after="0"/>
        <w:ind w:left="2381" w:right="0" w:hanging="794"/>
        <w:jc w:val="left"/>
        <w:rPr>
          <w:sz w:val="13"/>
        </w:rPr>
      </w:pPr>
      <w:r>
        <w:rPr>
          <w:w w:val="105"/>
          <w:sz w:val="13"/>
        </w:rPr>
        <w:t>Submission 40 (Janice</w:t>
      </w:r>
      <w:r>
        <w:rPr>
          <w:spacing w:val="14"/>
          <w:w w:val="105"/>
          <w:sz w:val="13"/>
        </w:rPr>
        <w:t> </w:t>
      </w:r>
      <w:r>
        <w:rPr>
          <w:w w:val="105"/>
          <w:sz w:val="13"/>
        </w:rPr>
        <w:t>Brownfoot).</w:t>
      </w:r>
    </w:p>
    <w:p>
      <w:pPr>
        <w:pStyle w:val="ListParagraph"/>
        <w:numPr>
          <w:ilvl w:val="1"/>
          <w:numId w:val="123"/>
        </w:numPr>
        <w:tabs>
          <w:tab w:pos="2381" w:val="left" w:leader="none"/>
          <w:tab w:pos="2382" w:val="left" w:leader="none"/>
        </w:tabs>
        <w:spacing w:line="240" w:lineRule="auto" w:before="2" w:after="0"/>
        <w:ind w:left="2381" w:right="0" w:hanging="794"/>
        <w:jc w:val="left"/>
        <w:rPr>
          <w:sz w:val="13"/>
        </w:rPr>
      </w:pPr>
      <w:r>
        <w:rPr>
          <w:w w:val="105"/>
          <w:sz w:val="13"/>
        </w:rPr>
        <w:t>Submission 22 (Paul</w:t>
      </w:r>
      <w:r>
        <w:rPr>
          <w:spacing w:val="13"/>
          <w:w w:val="105"/>
          <w:sz w:val="13"/>
        </w:rPr>
        <w:t> </w:t>
      </w:r>
      <w:r>
        <w:rPr>
          <w:w w:val="105"/>
          <w:sz w:val="13"/>
        </w:rPr>
        <w:t>Bravender-Coyle).</w:t>
      </w:r>
    </w:p>
    <w:p>
      <w:pPr>
        <w:pStyle w:val="BodyText"/>
        <w:rPr>
          <w:sz w:val="28"/>
        </w:rPr>
      </w:pPr>
      <w:r>
        <w:rPr/>
        <w:br w:type="column"/>
      </w:r>
      <w:r>
        <w:rPr>
          <w:sz w:val="28"/>
        </w:rPr>
      </w:r>
    </w:p>
    <w:p>
      <w:pPr>
        <w:pStyle w:val="BodyText"/>
        <w:rPr>
          <w:sz w:val="28"/>
        </w:rPr>
      </w:pPr>
    </w:p>
    <w:p>
      <w:pPr>
        <w:pStyle w:val="BodyText"/>
        <w:rPr>
          <w:sz w:val="28"/>
        </w:rPr>
      </w:pPr>
    </w:p>
    <w:p>
      <w:pPr>
        <w:spacing w:before="198"/>
        <w:ind w:left="1050" w:right="0" w:firstLine="0"/>
        <w:jc w:val="left"/>
        <w:rPr>
          <w:b/>
          <w:sz w:val="24"/>
        </w:rPr>
      </w:pPr>
      <w:r>
        <w:rPr>
          <w:b/>
          <w:color w:val="EC5A4F"/>
          <w:w w:val="110"/>
          <w:sz w:val="24"/>
        </w:rPr>
        <w:t>163</w:t>
      </w:r>
    </w:p>
    <w:p>
      <w:pPr>
        <w:spacing w:after="0"/>
        <w:jc w:val="left"/>
        <w:rPr>
          <w:sz w:val="24"/>
        </w:rPr>
        <w:sectPr>
          <w:type w:val="continuous"/>
          <w:pgSz w:w="11910" w:h="16840"/>
          <w:pgMar w:top="920" w:bottom="280" w:left="0" w:right="0"/>
          <w:cols w:num="2" w:equalWidth="0">
            <w:col w:w="9826" w:space="40"/>
            <w:col w:w="2044"/>
          </w:cols>
        </w:sectPr>
      </w:pPr>
    </w:p>
    <w:p>
      <w:pPr>
        <w:pStyle w:val="BodyText"/>
        <w:spacing w:before="9"/>
        <w:rPr>
          <w:b/>
          <w:sz w:val="22"/>
        </w:rPr>
      </w:pPr>
    </w:p>
    <w:p>
      <w:pPr>
        <w:pStyle w:val="Heading6"/>
        <w:spacing w:before="100"/>
      </w:pPr>
      <w:r>
        <w:rPr>
          <w:w w:val="120"/>
        </w:rPr>
        <w:t>Costs against the applicant</w:t>
      </w:r>
    </w:p>
    <w:p>
      <w:pPr>
        <w:pStyle w:val="ListParagraph"/>
        <w:numPr>
          <w:ilvl w:val="1"/>
          <w:numId w:val="22"/>
        </w:numPr>
        <w:tabs>
          <w:tab w:pos="2381" w:val="left" w:leader="none"/>
          <w:tab w:pos="2382" w:val="left" w:leader="none"/>
        </w:tabs>
        <w:spacing w:line="242" w:lineRule="auto" w:before="151" w:after="0"/>
        <w:ind w:left="2381" w:right="2050" w:hanging="794"/>
        <w:jc w:val="left"/>
        <w:rPr>
          <w:sz w:val="12"/>
        </w:rPr>
      </w:pPr>
      <w:r>
        <w:rPr>
          <w:w w:val="105"/>
          <w:sz w:val="21"/>
        </w:rPr>
        <w:t>The Law </w:t>
      </w:r>
      <w:r>
        <w:rPr>
          <w:spacing w:val="-3"/>
          <w:w w:val="105"/>
          <w:sz w:val="21"/>
        </w:rPr>
        <w:t>Institute </w:t>
      </w:r>
      <w:r>
        <w:rPr>
          <w:w w:val="105"/>
          <w:sz w:val="21"/>
        </w:rPr>
        <w:t>of Victoria proposed </w:t>
      </w:r>
      <w:r>
        <w:rPr>
          <w:spacing w:val="-3"/>
          <w:w w:val="105"/>
          <w:sz w:val="21"/>
        </w:rPr>
        <w:t>that </w:t>
      </w:r>
      <w:r>
        <w:rPr>
          <w:w w:val="105"/>
          <w:sz w:val="21"/>
        </w:rPr>
        <w:t>the </w:t>
      </w:r>
      <w:r>
        <w:rPr>
          <w:spacing w:val="-3"/>
          <w:w w:val="105"/>
          <w:sz w:val="21"/>
        </w:rPr>
        <w:t>Court </w:t>
      </w:r>
      <w:r>
        <w:rPr>
          <w:w w:val="105"/>
          <w:sz w:val="21"/>
        </w:rPr>
        <w:t>be </w:t>
      </w:r>
      <w:r>
        <w:rPr>
          <w:spacing w:val="-2"/>
          <w:w w:val="105"/>
          <w:sz w:val="21"/>
        </w:rPr>
        <w:t>empowered </w:t>
      </w:r>
      <w:r>
        <w:rPr>
          <w:spacing w:val="-3"/>
          <w:w w:val="105"/>
          <w:sz w:val="21"/>
        </w:rPr>
        <w:t>to </w:t>
      </w:r>
      <w:r>
        <w:rPr>
          <w:w w:val="105"/>
          <w:sz w:val="21"/>
        </w:rPr>
        <w:t>order costs </w:t>
      </w:r>
      <w:r>
        <w:rPr>
          <w:spacing w:val="-3"/>
          <w:w w:val="105"/>
          <w:sz w:val="21"/>
        </w:rPr>
        <w:t>against</w:t>
      </w:r>
      <w:r>
        <w:rPr>
          <w:spacing w:val="-10"/>
          <w:w w:val="105"/>
          <w:sz w:val="21"/>
        </w:rPr>
        <w:t> </w:t>
      </w:r>
      <w:r>
        <w:rPr>
          <w:w w:val="105"/>
          <w:sz w:val="21"/>
        </w:rPr>
        <w:t>the</w:t>
      </w:r>
      <w:r>
        <w:rPr>
          <w:spacing w:val="-10"/>
          <w:w w:val="105"/>
          <w:sz w:val="21"/>
        </w:rPr>
        <w:t> </w:t>
      </w:r>
      <w:r>
        <w:rPr>
          <w:spacing w:val="-3"/>
          <w:w w:val="105"/>
          <w:sz w:val="21"/>
        </w:rPr>
        <w:t>applicant</w:t>
      </w:r>
      <w:r>
        <w:rPr>
          <w:spacing w:val="-10"/>
          <w:w w:val="105"/>
          <w:sz w:val="21"/>
        </w:rPr>
        <w:t> </w:t>
      </w:r>
      <w:r>
        <w:rPr>
          <w:w w:val="105"/>
          <w:sz w:val="21"/>
        </w:rPr>
        <w:t>where</w:t>
      </w:r>
      <w:r>
        <w:rPr>
          <w:spacing w:val="-10"/>
          <w:w w:val="105"/>
          <w:sz w:val="21"/>
        </w:rPr>
        <w:t> </w:t>
      </w:r>
      <w:r>
        <w:rPr>
          <w:w w:val="105"/>
          <w:sz w:val="21"/>
        </w:rPr>
        <w:t>the</w:t>
      </w:r>
      <w:r>
        <w:rPr>
          <w:spacing w:val="-10"/>
          <w:w w:val="105"/>
          <w:sz w:val="21"/>
        </w:rPr>
        <w:t> </w:t>
      </w:r>
      <w:r>
        <w:rPr>
          <w:w w:val="105"/>
          <w:sz w:val="21"/>
        </w:rPr>
        <w:t>application</w:t>
      </w:r>
      <w:r>
        <w:rPr>
          <w:spacing w:val="-10"/>
          <w:w w:val="105"/>
          <w:sz w:val="21"/>
        </w:rPr>
        <w:t> </w:t>
      </w:r>
      <w:r>
        <w:rPr>
          <w:w w:val="105"/>
          <w:sz w:val="21"/>
        </w:rPr>
        <w:t>was</w:t>
      </w:r>
      <w:r>
        <w:rPr>
          <w:spacing w:val="-10"/>
          <w:w w:val="105"/>
          <w:sz w:val="21"/>
        </w:rPr>
        <w:t> </w:t>
      </w:r>
      <w:r>
        <w:rPr>
          <w:w w:val="105"/>
          <w:sz w:val="21"/>
        </w:rPr>
        <w:t>made</w:t>
      </w:r>
      <w:r>
        <w:rPr>
          <w:spacing w:val="-10"/>
          <w:w w:val="105"/>
          <w:sz w:val="21"/>
        </w:rPr>
        <w:t> </w:t>
      </w:r>
      <w:r>
        <w:rPr>
          <w:spacing w:val="-3"/>
          <w:w w:val="105"/>
          <w:sz w:val="21"/>
        </w:rPr>
        <w:t>frivolously,</w:t>
      </w:r>
      <w:r>
        <w:rPr>
          <w:spacing w:val="-9"/>
          <w:w w:val="105"/>
          <w:sz w:val="21"/>
        </w:rPr>
        <w:t> </w:t>
      </w:r>
      <w:r>
        <w:rPr>
          <w:w w:val="105"/>
          <w:sz w:val="21"/>
        </w:rPr>
        <w:t>vexatiously</w:t>
      </w:r>
      <w:r>
        <w:rPr>
          <w:spacing w:val="-10"/>
          <w:w w:val="105"/>
          <w:sz w:val="21"/>
        </w:rPr>
        <w:t> </w:t>
      </w:r>
      <w:r>
        <w:rPr>
          <w:w w:val="105"/>
          <w:sz w:val="21"/>
        </w:rPr>
        <w:t>or</w:t>
      </w:r>
      <w:r>
        <w:rPr>
          <w:spacing w:val="-10"/>
          <w:w w:val="105"/>
          <w:sz w:val="21"/>
        </w:rPr>
        <w:t> </w:t>
      </w:r>
      <w:r>
        <w:rPr>
          <w:w w:val="105"/>
          <w:sz w:val="21"/>
        </w:rPr>
        <w:t>with no </w:t>
      </w:r>
      <w:r>
        <w:rPr>
          <w:spacing w:val="-3"/>
          <w:w w:val="105"/>
          <w:sz w:val="21"/>
        </w:rPr>
        <w:t>reasonable </w:t>
      </w:r>
      <w:r>
        <w:rPr>
          <w:w w:val="105"/>
          <w:sz w:val="21"/>
        </w:rPr>
        <w:t>prospect of </w:t>
      </w:r>
      <w:r>
        <w:rPr>
          <w:spacing w:val="-3"/>
          <w:w w:val="105"/>
          <w:sz w:val="21"/>
        </w:rPr>
        <w:t>success, </w:t>
      </w:r>
      <w:r>
        <w:rPr>
          <w:w w:val="105"/>
          <w:sz w:val="21"/>
        </w:rPr>
        <w:t>as it </w:t>
      </w:r>
      <w:r>
        <w:rPr>
          <w:spacing w:val="-3"/>
          <w:w w:val="105"/>
          <w:sz w:val="21"/>
        </w:rPr>
        <w:t>may already </w:t>
      </w:r>
      <w:r>
        <w:rPr>
          <w:w w:val="105"/>
          <w:sz w:val="21"/>
        </w:rPr>
        <w:t>do in </w:t>
      </w:r>
      <w:r>
        <w:rPr>
          <w:spacing w:val="-3"/>
          <w:w w:val="105"/>
          <w:sz w:val="21"/>
        </w:rPr>
        <w:t>family provision </w:t>
      </w:r>
      <w:r>
        <w:rPr>
          <w:spacing w:val="-4"/>
          <w:w w:val="105"/>
          <w:sz w:val="21"/>
        </w:rPr>
        <w:t>matters.</w:t>
      </w:r>
      <w:r>
        <w:rPr>
          <w:spacing w:val="-4"/>
          <w:w w:val="105"/>
          <w:position w:val="7"/>
          <w:sz w:val="12"/>
        </w:rPr>
        <w:t>160</w:t>
      </w:r>
      <w:r>
        <w:rPr>
          <w:spacing w:val="-4"/>
          <w:w w:val="105"/>
          <w:sz w:val="12"/>
        </w:rPr>
        <w:t> </w:t>
      </w:r>
      <w:r>
        <w:rPr>
          <w:w w:val="105"/>
          <w:sz w:val="21"/>
        </w:rPr>
        <w:t>The idea was supported by a number of</w:t>
      </w:r>
      <w:r>
        <w:rPr>
          <w:spacing w:val="32"/>
          <w:w w:val="105"/>
          <w:sz w:val="21"/>
        </w:rPr>
        <w:t> </w:t>
      </w:r>
      <w:r>
        <w:rPr>
          <w:spacing w:val="-5"/>
          <w:w w:val="105"/>
          <w:sz w:val="21"/>
        </w:rPr>
        <w:t>submissions.</w:t>
      </w:r>
      <w:r>
        <w:rPr>
          <w:spacing w:val="-5"/>
          <w:w w:val="105"/>
          <w:position w:val="7"/>
          <w:sz w:val="12"/>
        </w:rPr>
        <w:t>161</w:t>
      </w:r>
    </w:p>
    <w:p>
      <w:pPr>
        <w:pStyle w:val="ListParagraph"/>
        <w:numPr>
          <w:ilvl w:val="1"/>
          <w:numId w:val="22"/>
        </w:numPr>
        <w:tabs>
          <w:tab w:pos="2380" w:val="left" w:leader="none"/>
          <w:tab w:pos="2381" w:val="left" w:leader="none"/>
        </w:tabs>
        <w:spacing w:line="242" w:lineRule="auto" w:before="124" w:after="0"/>
        <w:ind w:left="2381" w:right="1721" w:hanging="794"/>
        <w:jc w:val="left"/>
        <w:rPr>
          <w:sz w:val="21"/>
        </w:rPr>
      </w:pPr>
      <w:r>
        <w:rPr>
          <w:spacing w:val="-4"/>
          <w:w w:val="105"/>
          <w:sz w:val="21"/>
        </w:rPr>
        <w:t>However, </w:t>
      </w:r>
      <w:r>
        <w:rPr>
          <w:w w:val="105"/>
          <w:sz w:val="21"/>
        </w:rPr>
        <w:t>the </w:t>
      </w:r>
      <w:r>
        <w:rPr>
          <w:spacing w:val="-3"/>
          <w:w w:val="105"/>
          <w:sz w:val="21"/>
        </w:rPr>
        <w:t>Commission </w:t>
      </w:r>
      <w:r>
        <w:rPr>
          <w:w w:val="105"/>
          <w:sz w:val="21"/>
        </w:rPr>
        <w:t>does </w:t>
      </w:r>
      <w:r>
        <w:rPr>
          <w:spacing w:val="-2"/>
          <w:w w:val="105"/>
          <w:sz w:val="21"/>
        </w:rPr>
        <w:t>not </w:t>
      </w:r>
      <w:r>
        <w:rPr>
          <w:spacing w:val="-3"/>
          <w:w w:val="105"/>
          <w:sz w:val="21"/>
        </w:rPr>
        <w:t>recommend any interference </w:t>
      </w:r>
      <w:r>
        <w:rPr>
          <w:w w:val="105"/>
          <w:sz w:val="21"/>
        </w:rPr>
        <w:t>with the </w:t>
      </w:r>
      <w:r>
        <w:rPr>
          <w:spacing w:val="-3"/>
          <w:w w:val="105"/>
          <w:sz w:val="21"/>
        </w:rPr>
        <w:t>Court’s discretion to </w:t>
      </w:r>
      <w:r>
        <w:rPr>
          <w:w w:val="105"/>
          <w:sz w:val="21"/>
        </w:rPr>
        <w:t>order costs in these cases. </w:t>
      </w:r>
      <w:r>
        <w:rPr>
          <w:spacing w:val="-5"/>
          <w:w w:val="105"/>
          <w:sz w:val="21"/>
        </w:rPr>
        <w:t>Clearly, </w:t>
      </w:r>
      <w:r>
        <w:rPr>
          <w:w w:val="105"/>
          <w:sz w:val="21"/>
        </w:rPr>
        <w:t>where an </w:t>
      </w:r>
      <w:r>
        <w:rPr>
          <w:spacing w:val="-3"/>
          <w:w w:val="105"/>
          <w:sz w:val="21"/>
        </w:rPr>
        <w:t>unsuccessful claim </w:t>
      </w:r>
      <w:r>
        <w:rPr>
          <w:w w:val="105"/>
          <w:sz w:val="21"/>
        </w:rPr>
        <w:t>is </w:t>
      </w:r>
      <w:r>
        <w:rPr>
          <w:spacing w:val="-3"/>
          <w:w w:val="105"/>
          <w:sz w:val="21"/>
        </w:rPr>
        <w:t>brought </w:t>
      </w:r>
      <w:r>
        <w:rPr>
          <w:w w:val="105"/>
          <w:sz w:val="21"/>
        </w:rPr>
        <w:t>without</w:t>
      </w:r>
      <w:r>
        <w:rPr>
          <w:spacing w:val="-6"/>
          <w:w w:val="105"/>
          <w:sz w:val="21"/>
        </w:rPr>
        <w:t> </w:t>
      </w:r>
      <w:r>
        <w:rPr>
          <w:w w:val="105"/>
          <w:sz w:val="21"/>
        </w:rPr>
        <w:t>proper</w:t>
      </w:r>
      <w:r>
        <w:rPr>
          <w:spacing w:val="-5"/>
          <w:w w:val="105"/>
          <w:sz w:val="21"/>
        </w:rPr>
        <w:t> </w:t>
      </w:r>
      <w:r>
        <w:rPr>
          <w:spacing w:val="-3"/>
          <w:w w:val="105"/>
          <w:sz w:val="21"/>
        </w:rPr>
        <w:t>foundation,</w:t>
      </w:r>
      <w:r>
        <w:rPr>
          <w:spacing w:val="-6"/>
          <w:w w:val="105"/>
          <w:sz w:val="21"/>
        </w:rPr>
        <w:t> </w:t>
      </w:r>
      <w:r>
        <w:rPr>
          <w:w w:val="105"/>
          <w:sz w:val="21"/>
        </w:rPr>
        <w:t>costs</w:t>
      </w:r>
      <w:r>
        <w:rPr>
          <w:spacing w:val="-5"/>
          <w:w w:val="105"/>
          <w:sz w:val="21"/>
        </w:rPr>
        <w:t> </w:t>
      </w:r>
      <w:r>
        <w:rPr>
          <w:spacing w:val="-3"/>
          <w:w w:val="105"/>
          <w:sz w:val="21"/>
        </w:rPr>
        <w:t>will</w:t>
      </w:r>
      <w:r>
        <w:rPr>
          <w:spacing w:val="-5"/>
          <w:w w:val="105"/>
          <w:sz w:val="21"/>
        </w:rPr>
        <w:t> </w:t>
      </w:r>
      <w:r>
        <w:rPr>
          <w:spacing w:val="-3"/>
          <w:w w:val="105"/>
          <w:sz w:val="21"/>
        </w:rPr>
        <w:t>follow</w:t>
      </w:r>
      <w:r>
        <w:rPr>
          <w:spacing w:val="-6"/>
          <w:w w:val="105"/>
          <w:sz w:val="21"/>
        </w:rPr>
        <w:t> </w:t>
      </w:r>
      <w:r>
        <w:rPr>
          <w:w w:val="105"/>
          <w:sz w:val="21"/>
        </w:rPr>
        <w:t>the</w:t>
      </w:r>
      <w:r>
        <w:rPr>
          <w:spacing w:val="-5"/>
          <w:w w:val="105"/>
          <w:sz w:val="21"/>
        </w:rPr>
        <w:t> </w:t>
      </w:r>
      <w:r>
        <w:rPr>
          <w:w w:val="105"/>
          <w:sz w:val="21"/>
        </w:rPr>
        <w:t>event—in</w:t>
      </w:r>
      <w:r>
        <w:rPr>
          <w:spacing w:val="-6"/>
          <w:w w:val="105"/>
          <w:sz w:val="21"/>
        </w:rPr>
        <w:t> </w:t>
      </w:r>
      <w:r>
        <w:rPr>
          <w:w w:val="105"/>
          <w:sz w:val="21"/>
        </w:rPr>
        <w:t>other</w:t>
      </w:r>
      <w:r>
        <w:rPr>
          <w:spacing w:val="-5"/>
          <w:w w:val="105"/>
          <w:sz w:val="21"/>
        </w:rPr>
        <w:t> </w:t>
      </w:r>
      <w:r>
        <w:rPr>
          <w:spacing w:val="-3"/>
          <w:w w:val="105"/>
          <w:sz w:val="21"/>
        </w:rPr>
        <w:t>words,</w:t>
      </w:r>
      <w:r>
        <w:rPr>
          <w:spacing w:val="-5"/>
          <w:w w:val="105"/>
          <w:sz w:val="21"/>
        </w:rPr>
        <w:t> </w:t>
      </w:r>
      <w:r>
        <w:rPr>
          <w:w w:val="105"/>
          <w:sz w:val="21"/>
        </w:rPr>
        <w:t>the</w:t>
      </w:r>
      <w:r>
        <w:rPr>
          <w:spacing w:val="-6"/>
          <w:w w:val="105"/>
          <w:sz w:val="21"/>
        </w:rPr>
        <w:t> </w:t>
      </w:r>
      <w:r>
        <w:rPr>
          <w:spacing w:val="-3"/>
          <w:w w:val="105"/>
          <w:sz w:val="21"/>
        </w:rPr>
        <w:t>unsuccessful </w:t>
      </w:r>
      <w:r>
        <w:rPr>
          <w:w w:val="105"/>
          <w:sz w:val="21"/>
        </w:rPr>
        <w:t>party </w:t>
      </w:r>
      <w:r>
        <w:rPr>
          <w:spacing w:val="-3"/>
          <w:w w:val="105"/>
          <w:sz w:val="21"/>
        </w:rPr>
        <w:t>will </w:t>
      </w:r>
      <w:r>
        <w:rPr>
          <w:spacing w:val="-2"/>
          <w:w w:val="105"/>
          <w:sz w:val="21"/>
        </w:rPr>
        <w:t>pay </w:t>
      </w:r>
      <w:r>
        <w:rPr>
          <w:w w:val="105"/>
          <w:sz w:val="21"/>
        </w:rPr>
        <w:t>the costs of the </w:t>
      </w:r>
      <w:r>
        <w:rPr>
          <w:spacing w:val="-3"/>
          <w:w w:val="105"/>
          <w:sz w:val="21"/>
        </w:rPr>
        <w:t>successful</w:t>
      </w:r>
      <w:r>
        <w:rPr>
          <w:spacing w:val="39"/>
          <w:w w:val="105"/>
          <w:sz w:val="21"/>
        </w:rPr>
        <w:t> </w:t>
      </w:r>
      <w:r>
        <w:rPr>
          <w:spacing w:val="-4"/>
          <w:w w:val="105"/>
          <w:sz w:val="21"/>
        </w:rPr>
        <w:t>executor.</w:t>
      </w:r>
    </w:p>
    <w:p>
      <w:pPr>
        <w:pStyle w:val="BodyText"/>
        <w:spacing w:before="1"/>
        <w:rPr>
          <w:sz w:val="27"/>
        </w:rPr>
      </w:pPr>
    </w:p>
    <w:p>
      <w:pPr>
        <w:pStyle w:val="Heading6"/>
      </w:pPr>
      <w:r>
        <w:rPr>
          <w:w w:val="115"/>
        </w:rPr>
        <w:t>Costs against executor</w:t>
      </w:r>
    </w:p>
    <w:p>
      <w:pPr>
        <w:pStyle w:val="ListParagraph"/>
        <w:numPr>
          <w:ilvl w:val="1"/>
          <w:numId w:val="22"/>
        </w:numPr>
        <w:tabs>
          <w:tab w:pos="2382" w:val="left" w:leader="none"/>
        </w:tabs>
        <w:spacing w:line="242" w:lineRule="auto" w:before="151" w:after="0"/>
        <w:ind w:left="2381" w:right="1881" w:hanging="794"/>
        <w:jc w:val="both"/>
        <w:rPr>
          <w:sz w:val="21"/>
        </w:rPr>
      </w:pPr>
      <w:r>
        <w:rPr>
          <w:w w:val="105"/>
          <w:sz w:val="21"/>
        </w:rPr>
        <w:t>The</w:t>
      </w:r>
      <w:r>
        <w:rPr>
          <w:spacing w:val="-7"/>
          <w:w w:val="105"/>
          <w:sz w:val="21"/>
        </w:rPr>
        <w:t> </w:t>
      </w:r>
      <w:r>
        <w:rPr>
          <w:spacing w:val="-3"/>
          <w:w w:val="105"/>
          <w:sz w:val="21"/>
        </w:rPr>
        <w:t>Commission</w:t>
      </w:r>
      <w:r>
        <w:rPr>
          <w:spacing w:val="-7"/>
          <w:w w:val="105"/>
          <w:sz w:val="21"/>
        </w:rPr>
        <w:t> </w:t>
      </w:r>
      <w:r>
        <w:rPr>
          <w:spacing w:val="-3"/>
          <w:w w:val="105"/>
          <w:sz w:val="21"/>
        </w:rPr>
        <w:t>considered</w:t>
      </w:r>
      <w:r>
        <w:rPr>
          <w:spacing w:val="-7"/>
          <w:w w:val="105"/>
          <w:sz w:val="21"/>
        </w:rPr>
        <w:t> </w:t>
      </w:r>
      <w:r>
        <w:rPr>
          <w:w w:val="105"/>
          <w:sz w:val="21"/>
        </w:rPr>
        <w:t>whether</w:t>
      </w:r>
      <w:r>
        <w:rPr>
          <w:spacing w:val="-7"/>
          <w:w w:val="105"/>
          <w:sz w:val="21"/>
        </w:rPr>
        <w:t> </w:t>
      </w:r>
      <w:r>
        <w:rPr>
          <w:w w:val="105"/>
          <w:sz w:val="21"/>
        </w:rPr>
        <w:t>the</w:t>
      </w:r>
      <w:r>
        <w:rPr>
          <w:spacing w:val="-7"/>
          <w:w w:val="105"/>
          <w:sz w:val="21"/>
        </w:rPr>
        <w:t> </w:t>
      </w:r>
      <w:r>
        <w:rPr>
          <w:w w:val="105"/>
          <w:sz w:val="21"/>
        </w:rPr>
        <w:t>review</w:t>
      </w:r>
      <w:r>
        <w:rPr>
          <w:spacing w:val="-7"/>
          <w:w w:val="105"/>
          <w:sz w:val="21"/>
        </w:rPr>
        <w:t> </w:t>
      </w:r>
      <w:r>
        <w:rPr>
          <w:spacing w:val="-3"/>
          <w:w w:val="105"/>
          <w:sz w:val="21"/>
        </w:rPr>
        <w:t>provision</w:t>
      </w:r>
      <w:r>
        <w:rPr>
          <w:spacing w:val="-7"/>
          <w:w w:val="105"/>
          <w:sz w:val="21"/>
        </w:rPr>
        <w:t> </w:t>
      </w:r>
      <w:r>
        <w:rPr>
          <w:w w:val="105"/>
          <w:sz w:val="21"/>
        </w:rPr>
        <w:t>should</w:t>
      </w:r>
      <w:r>
        <w:rPr>
          <w:spacing w:val="-7"/>
          <w:w w:val="105"/>
          <w:sz w:val="21"/>
        </w:rPr>
        <w:t> </w:t>
      </w:r>
      <w:r>
        <w:rPr>
          <w:w w:val="105"/>
          <w:sz w:val="21"/>
        </w:rPr>
        <w:t>provide</w:t>
      </w:r>
      <w:r>
        <w:rPr>
          <w:spacing w:val="-7"/>
          <w:w w:val="105"/>
          <w:sz w:val="21"/>
        </w:rPr>
        <w:t> </w:t>
      </w:r>
      <w:r>
        <w:rPr>
          <w:spacing w:val="-3"/>
          <w:w w:val="105"/>
          <w:sz w:val="21"/>
        </w:rPr>
        <w:t>for</w:t>
      </w:r>
      <w:r>
        <w:rPr>
          <w:spacing w:val="-7"/>
          <w:w w:val="105"/>
          <w:sz w:val="21"/>
        </w:rPr>
        <w:t> </w:t>
      </w:r>
      <w:r>
        <w:rPr>
          <w:w w:val="105"/>
          <w:sz w:val="21"/>
        </w:rPr>
        <w:t>the</w:t>
      </w:r>
      <w:r>
        <w:rPr>
          <w:spacing w:val="-7"/>
          <w:w w:val="105"/>
          <w:sz w:val="21"/>
        </w:rPr>
        <w:t> </w:t>
      </w:r>
      <w:r>
        <w:rPr>
          <w:spacing w:val="-3"/>
          <w:w w:val="105"/>
          <w:sz w:val="21"/>
        </w:rPr>
        <w:t>Court to </w:t>
      </w:r>
      <w:r>
        <w:rPr>
          <w:w w:val="105"/>
          <w:sz w:val="21"/>
        </w:rPr>
        <w:t>order costs </w:t>
      </w:r>
      <w:r>
        <w:rPr>
          <w:spacing w:val="-3"/>
          <w:w w:val="105"/>
          <w:sz w:val="21"/>
        </w:rPr>
        <w:t>against </w:t>
      </w:r>
      <w:r>
        <w:rPr>
          <w:w w:val="105"/>
          <w:sz w:val="21"/>
        </w:rPr>
        <w:t>the </w:t>
      </w:r>
      <w:r>
        <w:rPr>
          <w:spacing w:val="-3"/>
          <w:w w:val="105"/>
          <w:sz w:val="21"/>
        </w:rPr>
        <w:t>executor </w:t>
      </w:r>
      <w:r>
        <w:rPr>
          <w:w w:val="105"/>
          <w:sz w:val="21"/>
        </w:rPr>
        <w:t>if the </w:t>
      </w:r>
      <w:r>
        <w:rPr>
          <w:spacing w:val="-3"/>
          <w:w w:val="105"/>
          <w:sz w:val="21"/>
        </w:rPr>
        <w:t>amount </w:t>
      </w:r>
      <w:r>
        <w:rPr>
          <w:w w:val="105"/>
          <w:sz w:val="21"/>
        </w:rPr>
        <w:t>is </w:t>
      </w:r>
      <w:r>
        <w:rPr>
          <w:spacing w:val="-3"/>
          <w:w w:val="105"/>
          <w:sz w:val="21"/>
        </w:rPr>
        <w:t>reduced </w:t>
      </w:r>
      <w:r>
        <w:rPr>
          <w:w w:val="105"/>
          <w:sz w:val="21"/>
        </w:rPr>
        <w:t>by more </w:t>
      </w:r>
      <w:r>
        <w:rPr>
          <w:spacing w:val="-3"/>
          <w:w w:val="105"/>
          <w:sz w:val="21"/>
        </w:rPr>
        <w:t>than </w:t>
      </w:r>
      <w:r>
        <w:rPr>
          <w:spacing w:val="-6"/>
          <w:w w:val="105"/>
          <w:sz w:val="21"/>
        </w:rPr>
        <w:t>10 </w:t>
      </w:r>
      <w:r>
        <w:rPr>
          <w:w w:val="105"/>
          <w:sz w:val="21"/>
        </w:rPr>
        <w:t>per </w:t>
      </w:r>
      <w:r>
        <w:rPr>
          <w:spacing w:val="-3"/>
          <w:w w:val="105"/>
          <w:sz w:val="21"/>
        </w:rPr>
        <w:t>cent. </w:t>
      </w:r>
      <w:r>
        <w:rPr>
          <w:w w:val="105"/>
          <w:sz w:val="21"/>
        </w:rPr>
        <w:t>A </w:t>
      </w:r>
      <w:r>
        <w:rPr>
          <w:spacing w:val="-3"/>
          <w:w w:val="105"/>
          <w:sz w:val="21"/>
        </w:rPr>
        <w:t>similar provision already </w:t>
      </w:r>
      <w:r>
        <w:rPr>
          <w:w w:val="105"/>
          <w:sz w:val="21"/>
        </w:rPr>
        <w:t>exists under the </w:t>
      </w:r>
      <w:r>
        <w:rPr>
          <w:spacing w:val="-3"/>
          <w:w w:val="105"/>
          <w:sz w:val="21"/>
        </w:rPr>
        <w:t>Corporations </w:t>
      </w:r>
      <w:r>
        <w:rPr>
          <w:w w:val="105"/>
          <w:sz w:val="21"/>
        </w:rPr>
        <w:t>Act when a court reviews the fees </w:t>
      </w:r>
      <w:r>
        <w:rPr>
          <w:spacing w:val="-3"/>
          <w:w w:val="105"/>
          <w:sz w:val="21"/>
        </w:rPr>
        <w:t>charged </w:t>
      </w:r>
      <w:r>
        <w:rPr>
          <w:w w:val="105"/>
          <w:sz w:val="21"/>
        </w:rPr>
        <w:t>by a </w:t>
      </w:r>
      <w:r>
        <w:rPr>
          <w:spacing w:val="-3"/>
          <w:w w:val="105"/>
          <w:sz w:val="21"/>
        </w:rPr>
        <w:t>licensed </w:t>
      </w:r>
      <w:r>
        <w:rPr>
          <w:w w:val="105"/>
          <w:sz w:val="21"/>
        </w:rPr>
        <w:t>trustee</w:t>
      </w:r>
      <w:r>
        <w:rPr>
          <w:spacing w:val="33"/>
          <w:w w:val="105"/>
          <w:sz w:val="21"/>
        </w:rPr>
        <w:t> </w:t>
      </w:r>
      <w:r>
        <w:rPr>
          <w:spacing w:val="-3"/>
          <w:w w:val="105"/>
          <w:sz w:val="21"/>
        </w:rPr>
        <w:t>company:</w:t>
      </w:r>
    </w:p>
    <w:p>
      <w:pPr>
        <w:pStyle w:val="ListParagraph"/>
        <w:numPr>
          <w:ilvl w:val="0"/>
          <w:numId w:val="124"/>
        </w:numPr>
        <w:tabs>
          <w:tab w:pos="3062" w:val="left" w:leader="none"/>
        </w:tabs>
        <w:spacing w:line="254" w:lineRule="auto" w:before="134" w:after="0"/>
        <w:ind w:left="3061" w:right="2035" w:hanging="340"/>
        <w:jc w:val="left"/>
        <w:rPr>
          <w:sz w:val="20"/>
        </w:rPr>
      </w:pPr>
      <w:r>
        <w:rPr>
          <w:sz w:val="20"/>
        </w:rPr>
        <w:t>If the fees are reduced by more than 10%, the trustee company must, unless the Court</w:t>
      </w:r>
      <w:r>
        <w:rPr>
          <w:spacing w:val="12"/>
          <w:sz w:val="20"/>
        </w:rPr>
        <w:t> </w:t>
      </w:r>
      <w:r>
        <w:rPr>
          <w:sz w:val="20"/>
        </w:rPr>
        <w:t>in</w:t>
      </w:r>
      <w:r>
        <w:rPr>
          <w:spacing w:val="13"/>
          <w:sz w:val="20"/>
        </w:rPr>
        <w:t> </w:t>
      </w:r>
      <w:r>
        <w:rPr>
          <w:sz w:val="20"/>
        </w:rPr>
        <w:t>special</w:t>
      </w:r>
      <w:r>
        <w:rPr>
          <w:spacing w:val="13"/>
          <w:sz w:val="20"/>
        </w:rPr>
        <w:t> </w:t>
      </w:r>
      <w:r>
        <w:rPr>
          <w:sz w:val="20"/>
        </w:rPr>
        <w:t>circumstances</w:t>
      </w:r>
      <w:r>
        <w:rPr>
          <w:spacing w:val="13"/>
          <w:sz w:val="20"/>
        </w:rPr>
        <w:t> </w:t>
      </w:r>
      <w:r>
        <w:rPr>
          <w:sz w:val="20"/>
        </w:rPr>
        <w:t>otherwise</w:t>
      </w:r>
      <w:r>
        <w:rPr>
          <w:spacing w:val="12"/>
          <w:sz w:val="20"/>
        </w:rPr>
        <w:t> </w:t>
      </w:r>
      <w:r>
        <w:rPr>
          <w:sz w:val="20"/>
        </w:rPr>
        <w:t>orders,</w:t>
      </w:r>
      <w:r>
        <w:rPr>
          <w:spacing w:val="13"/>
          <w:sz w:val="20"/>
        </w:rPr>
        <w:t> </w:t>
      </w:r>
      <w:r>
        <w:rPr>
          <w:sz w:val="20"/>
        </w:rPr>
        <w:t>pay</w:t>
      </w:r>
      <w:r>
        <w:rPr>
          <w:spacing w:val="13"/>
          <w:sz w:val="20"/>
        </w:rPr>
        <w:t> </w:t>
      </w:r>
      <w:r>
        <w:rPr>
          <w:sz w:val="20"/>
        </w:rPr>
        <w:t>the</w:t>
      </w:r>
      <w:r>
        <w:rPr>
          <w:spacing w:val="13"/>
          <w:sz w:val="20"/>
        </w:rPr>
        <w:t> </w:t>
      </w:r>
      <w:r>
        <w:rPr>
          <w:sz w:val="20"/>
        </w:rPr>
        <w:t>costs</w:t>
      </w:r>
      <w:r>
        <w:rPr>
          <w:spacing w:val="13"/>
          <w:sz w:val="20"/>
        </w:rPr>
        <w:t> </w:t>
      </w:r>
      <w:r>
        <w:rPr>
          <w:sz w:val="20"/>
        </w:rPr>
        <w:t>of</w:t>
      </w:r>
      <w:r>
        <w:rPr>
          <w:spacing w:val="12"/>
          <w:sz w:val="20"/>
        </w:rPr>
        <w:t> </w:t>
      </w:r>
      <w:r>
        <w:rPr>
          <w:sz w:val="20"/>
        </w:rPr>
        <w:t>the</w:t>
      </w:r>
      <w:r>
        <w:rPr>
          <w:spacing w:val="13"/>
          <w:sz w:val="20"/>
        </w:rPr>
        <w:t> </w:t>
      </w:r>
      <w:r>
        <w:rPr>
          <w:spacing w:val="-3"/>
          <w:sz w:val="20"/>
        </w:rPr>
        <w:t>review.</w:t>
      </w:r>
    </w:p>
    <w:p>
      <w:pPr>
        <w:pStyle w:val="ListParagraph"/>
        <w:numPr>
          <w:ilvl w:val="0"/>
          <w:numId w:val="124"/>
        </w:numPr>
        <w:tabs>
          <w:tab w:pos="3062" w:val="left" w:leader="none"/>
        </w:tabs>
        <w:spacing w:line="254" w:lineRule="auto" w:before="122" w:after="0"/>
        <w:ind w:left="3061" w:right="2028" w:hanging="340"/>
        <w:jc w:val="left"/>
        <w:rPr>
          <w:sz w:val="11"/>
        </w:rPr>
      </w:pPr>
      <w:r>
        <w:rPr>
          <w:sz w:val="20"/>
        </w:rPr>
        <w:t>Subject to subsection (5), all questions of costs of the review are in the discretion  of the</w:t>
      </w:r>
      <w:r>
        <w:rPr>
          <w:spacing w:val="17"/>
          <w:sz w:val="20"/>
        </w:rPr>
        <w:t> </w:t>
      </w:r>
      <w:r>
        <w:rPr>
          <w:spacing w:val="-4"/>
          <w:sz w:val="20"/>
        </w:rPr>
        <w:t>court.</w:t>
      </w:r>
      <w:r>
        <w:rPr>
          <w:spacing w:val="-4"/>
          <w:position w:val="7"/>
          <w:sz w:val="11"/>
        </w:rPr>
        <w:t>162</w:t>
      </w:r>
    </w:p>
    <w:p>
      <w:pPr>
        <w:pStyle w:val="ListParagraph"/>
        <w:numPr>
          <w:ilvl w:val="1"/>
          <w:numId w:val="22"/>
        </w:numPr>
        <w:tabs>
          <w:tab w:pos="2381" w:val="left" w:leader="none"/>
          <w:tab w:pos="2382" w:val="left" w:leader="none"/>
        </w:tabs>
        <w:spacing w:line="242" w:lineRule="auto" w:before="113" w:after="0"/>
        <w:ind w:left="2381" w:right="1828" w:hanging="794"/>
        <w:jc w:val="left"/>
        <w:rPr>
          <w:sz w:val="21"/>
        </w:rPr>
      </w:pPr>
      <w:r>
        <w:rPr>
          <w:w w:val="105"/>
          <w:sz w:val="21"/>
        </w:rPr>
        <w:t>There was some support </w:t>
      </w:r>
      <w:r>
        <w:rPr>
          <w:spacing w:val="-3"/>
          <w:w w:val="105"/>
          <w:sz w:val="21"/>
        </w:rPr>
        <w:t>for </w:t>
      </w:r>
      <w:r>
        <w:rPr>
          <w:w w:val="105"/>
          <w:sz w:val="21"/>
        </w:rPr>
        <w:t>the idea </w:t>
      </w:r>
      <w:r>
        <w:rPr>
          <w:spacing w:val="-3"/>
          <w:w w:val="105"/>
          <w:sz w:val="21"/>
        </w:rPr>
        <w:t>that </w:t>
      </w:r>
      <w:r>
        <w:rPr>
          <w:w w:val="105"/>
          <w:sz w:val="21"/>
        </w:rPr>
        <w:t>the </w:t>
      </w:r>
      <w:r>
        <w:rPr>
          <w:spacing w:val="-3"/>
          <w:w w:val="105"/>
          <w:sz w:val="21"/>
        </w:rPr>
        <w:t>Court </w:t>
      </w:r>
      <w:r>
        <w:rPr>
          <w:w w:val="105"/>
          <w:sz w:val="21"/>
        </w:rPr>
        <w:t>should </w:t>
      </w:r>
      <w:r>
        <w:rPr>
          <w:spacing w:val="-3"/>
          <w:w w:val="105"/>
          <w:sz w:val="21"/>
        </w:rPr>
        <w:t>award </w:t>
      </w:r>
      <w:r>
        <w:rPr>
          <w:w w:val="105"/>
          <w:sz w:val="21"/>
        </w:rPr>
        <w:t>costs </w:t>
      </w:r>
      <w:r>
        <w:rPr>
          <w:spacing w:val="-3"/>
          <w:w w:val="105"/>
          <w:sz w:val="21"/>
        </w:rPr>
        <w:t>against </w:t>
      </w:r>
      <w:r>
        <w:rPr>
          <w:w w:val="105"/>
          <w:sz w:val="21"/>
        </w:rPr>
        <w:t>an </w:t>
      </w:r>
      <w:r>
        <w:rPr>
          <w:spacing w:val="-3"/>
          <w:w w:val="105"/>
          <w:sz w:val="21"/>
        </w:rPr>
        <w:t>executor </w:t>
      </w:r>
      <w:r>
        <w:rPr>
          <w:w w:val="105"/>
          <w:sz w:val="21"/>
        </w:rPr>
        <w:t>who </w:t>
      </w:r>
      <w:r>
        <w:rPr>
          <w:spacing w:val="-2"/>
          <w:w w:val="105"/>
          <w:sz w:val="21"/>
        </w:rPr>
        <w:t>has </w:t>
      </w:r>
      <w:r>
        <w:rPr>
          <w:spacing w:val="-3"/>
          <w:w w:val="105"/>
          <w:sz w:val="21"/>
        </w:rPr>
        <w:t>charged </w:t>
      </w:r>
      <w:r>
        <w:rPr>
          <w:w w:val="105"/>
          <w:sz w:val="21"/>
        </w:rPr>
        <w:t>an </w:t>
      </w:r>
      <w:r>
        <w:rPr>
          <w:spacing w:val="-2"/>
          <w:w w:val="105"/>
          <w:sz w:val="21"/>
        </w:rPr>
        <w:t>excessive </w:t>
      </w:r>
      <w:r>
        <w:rPr>
          <w:spacing w:val="-4"/>
          <w:w w:val="105"/>
          <w:sz w:val="21"/>
        </w:rPr>
        <w:t>amount.</w:t>
      </w:r>
      <w:r>
        <w:rPr>
          <w:spacing w:val="-4"/>
          <w:w w:val="105"/>
          <w:position w:val="7"/>
          <w:sz w:val="12"/>
        </w:rPr>
        <w:t>163 </w:t>
      </w:r>
      <w:r>
        <w:rPr>
          <w:spacing w:val="-3"/>
          <w:w w:val="105"/>
          <w:sz w:val="21"/>
        </w:rPr>
        <w:t>Rigby </w:t>
      </w:r>
      <w:r>
        <w:rPr>
          <w:spacing w:val="-4"/>
          <w:w w:val="105"/>
          <w:sz w:val="21"/>
        </w:rPr>
        <w:t>Cooke </w:t>
      </w:r>
      <w:r>
        <w:rPr>
          <w:w w:val="105"/>
          <w:sz w:val="21"/>
        </w:rPr>
        <w:t>Lawyers observed</w:t>
      </w:r>
      <w:r>
        <w:rPr>
          <w:spacing w:val="18"/>
          <w:w w:val="105"/>
          <w:sz w:val="21"/>
        </w:rPr>
        <w:t> </w:t>
      </w:r>
      <w:r>
        <w:rPr>
          <w:w w:val="105"/>
          <w:sz w:val="21"/>
        </w:rPr>
        <w:t>that:</w:t>
      </w:r>
    </w:p>
    <w:p>
      <w:pPr>
        <w:spacing w:line="254" w:lineRule="auto" w:before="132"/>
        <w:ind w:left="2721" w:right="1826" w:firstLine="0"/>
        <w:jc w:val="left"/>
        <w:rPr>
          <w:sz w:val="11"/>
        </w:rPr>
      </w:pPr>
      <w:r>
        <w:rPr>
          <w:sz w:val="20"/>
        </w:rPr>
        <w:t>An order in the form of a penalty would serve as a reminder that executors must not breach their fiduciary duties for personal gain.</w:t>
      </w:r>
      <w:r>
        <w:rPr>
          <w:position w:val="7"/>
          <w:sz w:val="11"/>
        </w:rPr>
        <w:t>164</w:t>
      </w:r>
    </w:p>
    <w:p>
      <w:pPr>
        <w:pStyle w:val="ListParagraph"/>
        <w:numPr>
          <w:ilvl w:val="1"/>
          <w:numId w:val="22"/>
        </w:numPr>
        <w:tabs>
          <w:tab w:pos="2380" w:val="left" w:leader="none"/>
          <w:tab w:pos="2381" w:val="left" w:leader="none"/>
        </w:tabs>
        <w:spacing w:line="242" w:lineRule="auto" w:before="113" w:after="0"/>
        <w:ind w:left="2381" w:right="1853" w:hanging="794"/>
        <w:jc w:val="left"/>
        <w:rPr>
          <w:sz w:val="12"/>
        </w:rPr>
      </w:pPr>
      <w:r>
        <w:rPr>
          <w:spacing w:val="-4"/>
          <w:w w:val="105"/>
          <w:sz w:val="21"/>
        </w:rPr>
        <w:t>However, </w:t>
      </w:r>
      <w:r>
        <w:rPr>
          <w:w w:val="105"/>
          <w:sz w:val="21"/>
        </w:rPr>
        <w:t>most of the </w:t>
      </w:r>
      <w:r>
        <w:rPr>
          <w:spacing w:val="-3"/>
          <w:w w:val="105"/>
          <w:sz w:val="21"/>
        </w:rPr>
        <w:t>submissions that </w:t>
      </w:r>
      <w:r>
        <w:rPr>
          <w:w w:val="105"/>
          <w:sz w:val="21"/>
        </w:rPr>
        <w:t>expressed support did so on the basis </w:t>
      </w:r>
      <w:r>
        <w:rPr>
          <w:spacing w:val="-3"/>
          <w:w w:val="105"/>
          <w:sz w:val="21"/>
        </w:rPr>
        <w:t>that </w:t>
      </w:r>
      <w:r>
        <w:rPr>
          <w:w w:val="105"/>
          <w:sz w:val="21"/>
        </w:rPr>
        <w:t>the </w:t>
      </w:r>
      <w:r>
        <w:rPr>
          <w:spacing w:val="-3"/>
          <w:w w:val="105"/>
          <w:sz w:val="21"/>
        </w:rPr>
        <w:t>Court </w:t>
      </w:r>
      <w:r>
        <w:rPr>
          <w:w w:val="105"/>
          <w:sz w:val="21"/>
        </w:rPr>
        <w:t>would </w:t>
      </w:r>
      <w:r>
        <w:rPr>
          <w:spacing w:val="-3"/>
          <w:w w:val="105"/>
          <w:sz w:val="21"/>
        </w:rPr>
        <w:t>have </w:t>
      </w:r>
      <w:r>
        <w:rPr>
          <w:w w:val="105"/>
          <w:sz w:val="21"/>
        </w:rPr>
        <w:t>a </w:t>
      </w:r>
      <w:r>
        <w:rPr>
          <w:spacing w:val="-3"/>
          <w:w w:val="105"/>
          <w:sz w:val="21"/>
        </w:rPr>
        <w:t>discretion. </w:t>
      </w:r>
      <w:r>
        <w:rPr>
          <w:w w:val="105"/>
          <w:sz w:val="21"/>
        </w:rPr>
        <w:t>They did </w:t>
      </w:r>
      <w:r>
        <w:rPr>
          <w:spacing w:val="-2"/>
          <w:w w:val="105"/>
          <w:sz w:val="21"/>
        </w:rPr>
        <w:t>not </w:t>
      </w:r>
      <w:r>
        <w:rPr>
          <w:w w:val="105"/>
          <w:sz w:val="21"/>
        </w:rPr>
        <w:t>envisage </w:t>
      </w:r>
      <w:r>
        <w:rPr>
          <w:spacing w:val="-3"/>
          <w:w w:val="105"/>
          <w:sz w:val="21"/>
        </w:rPr>
        <w:t>that </w:t>
      </w:r>
      <w:r>
        <w:rPr>
          <w:w w:val="105"/>
          <w:sz w:val="21"/>
        </w:rPr>
        <w:t>the </w:t>
      </w:r>
      <w:r>
        <w:rPr>
          <w:spacing w:val="-3"/>
          <w:w w:val="105"/>
          <w:sz w:val="21"/>
        </w:rPr>
        <w:t>Court </w:t>
      </w:r>
      <w:r>
        <w:rPr>
          <w:w w:val="105"/>
          <w:sz w:val="21"/>
        </w:rPr>
        <w:t>would be </w:t>
      </w:r>
      <w:r>
        <w:rPr>
          <w:i/>
          <w:w w:val="105"/>
          <w:sz w:val="21"/>
        </w:rPr>
        <w:t>required </w:t>
      </w:r>
      <w:r>
        <w:rPr>
          <w:spacing w:val="-3"/>
          <w:w w:val="105"/>
          <w:sz w:val="21"/>
        </w:rPr>
        <w:t>to </w:t>
      </w:r>
      <w:r>
        <w:rPr>
          <w:spacing w:val="-4"/>
          <w:w w:val="105"/>
          <w:sz w:val="21"/>
        </w:rPr>
        <w:t>make </w:t>
      </w:r>
      <w:r>
        <w:rPr>
          <w:w w:val="105"/>
          <w:sz w:val="21"/>
        </w:rPr>
        <w:t>a costs order </w:t>
      </w:r>
      <w:r>
        <w:rPr>
          <w:spacing w:val="-3"/>
          <w:w w:val="105"/>
          <w:sz w:val="21"/>
        </w:rPr>
        <w:t>against </w:t>
      </w:r>
      <w:r>
        <w:rPr>
          <w:w w:val="105"/>
          <w:sz w:val="21"/>
        </w:rPr>
        <w:t>the </w:t>
      </w:r>
      <w:r>
        <w:rPr>
          <w:spacing w:val="-3"/>
          <w:w w:val="105"/>
          <w:sz w:val="21"/>
        </w:rPr>
        <w:t>executor </w:t>
      </w:r>
      <w:r>
        <w:rPr>
          <w:w w:val="105"/>
          <w:sz w:val="21"/>
        </w:rPr>
        <w:t>in these</w:t>
      </w:r>
      <w:r>
        <w:rPr>
          <w:spacing w:val="44"/>
          <w:w w:val="105"/>
          <w:sz w:val="21"/>
        </w:rPr>
        <w:t> </w:t>
      </w:r>
      <w:r>
        <w:rPr>
          <w:spacing w:val="-4"/>
          <w:w w:val="105"/>
          <w:sz w:val="21"/>
        </w:rPr>
        <w:t>circumstances.</w:t>
      </w:r>
      <w:r>
        <w:rPr>
          <w:spacing w:val="-4"/>
          <w:w w:val="105"/>
          <w:position w:val="7"/>
          <w:sz w:val="12"/>
        </w:rPr>
        <w:t>165</w:t>
      </w:r>
    </w:p>
    <w:p>
      <w:pPr>
        <w:pStyle w:val="ListParagraph"/>
        <w:numPr>
          <w:ilvl w:val="1"/>
          <w:numId w:val="22"/>
        </w:numPr>
        <w:tabs>
          <w:tab w:pos="2381" w:val="left" w:leader="none"/>
          <w:tab w:pos="2382" w:val="left" w:leader="none"/>
        </w:tabs>
        <w:spacing w:line="230" w:lineRule="auto" w:before="131" w:after="0"/>
        <w:ind w:left="2381" w:right="1844" w:hanging="794"/>
        <w:jc w:val="left"/>
        <w:rPr>
          <w:sz w:val="21"/>
        </w:rPr>
      </w:pPr>
      <w:r>
        <w:rPr>
          <w:w w:val="105"/>
          <w:sz w:val="21"/>
        </w:rPr>
        <w:t>The </w:t>
      </w:r>
      <w:r>
        <w:rPr>
          <w:spacing w:val="-3"/>
          <w:w w:val="105"/>
          <w:sz w:val="21"/>
        </w:rPr>
        <w:t>submissions that </w:t>
      </w:r>
      <w:r>
        <w:rPr>
          <w:w w:val="105"/>
          <w:sz w:val="21"/>
        </w:rPr>
        <w:t>opposed the idea also </w:t>
      </w:r>
      <w:r>
        <w:rPr>
          <w:spacing w:val="-3"/>
          <w:w w:val="105"/>
          <w:sz w:val="21"/>
        </w:rPr>
        <w:t>indicated that </w:t>
      </w:r>
      <w:r>
        <w:rPr>
          <w:w w:val="105"/>
          <w:sz w:val="21"/>
        </w:rPr>
        <w:t>the </w:t>
      </w:r>
      <w:r>
        <w:rPr>
          <w:spacing w:val="-3"/>
          <w:w w:val="105"/>
          <w:sz w:val="21"/>
        </w:rPr>
        <w:t>Court’s discretion </w:t>
      </w:r>
      <w:r>
        <w:rPr>
          <w:w w:val="105"/>
          <w:sz w:val="21"/>
        </w:rPr>
        <w:t>should </w:t>
      </w:r>
      <w:r>
        <w:rPr>
          <w:spacing w:val="-2"/>
          <w:w w:val="105"/>
          <w:sz w:val="21"/>
        </w:rPr>
        <w:t>not </w:t>
      </w:r>
      <w:r>
        <w:rPr>
          <w:w w:val="105"/>
          <w:sz w:val="21"/>
        </w:rPr>
        <w:t>be </w:t>
      </w:r>
      <w:r>
        <w:rPr>
          <w:spacing w:val="-4"/>
          <w:w w:val="105"/>
          <w:sz w:val="21"/>
        </w:rPr>
        <w:t>limited.</w:t>
      </w:r>
      <w:r>
        <w:rPr>
          <w:spacing w:val="-4"/>
          <w:w w:val="105"/>
          <w:position w:val="8"/>
          <w:sz w:val="14"/>
        </w:rPr>
        <w:t>166 </w:t>
      </w:r>
      <w:r>
        <w:rPr>
          <w:w w:val="105"/>
          <w:sz w:val="21"/>
        </w:rPr>
        <w:t>Moores Legal </w:t>
      </w:r>
      <w:r>
        <w:rPr>
          <w:spacing w:val="-3"/>
          <w:w w:val="105"/>
          <w:sz w:val="21"/>
        </w:rPr>
        <w:t>pointed </w:t>
      </w:r>
      <w:r>
        <w:rPr>
          <w:w w:val="105"/>
          <w:sz w:val="21"/>
        </w:rPr>
        <w:t>out</w:t>
      </w:r>
      <w:r>
        <w:rPr>
          <w:spacing w:val="29"/>
          <w:w w:val="105"/>
          <w:sz w:val="21"/>
        </w:rPr>
        <w:t> </w:t>
      </w:r>
      <w:r>
        <w:rPr>
          <w:w w:val="105"/>
          <w:sz w:val="21"/>
        </w:rPr>
        <w:t>that:</w:t>
      </w:r>
    </w:p>
    <w:p>
      <w:pPr>
        <w:spacing w:line="254" w:lineRule="auto" w:before="136"/>
        <w:ind w:left="2721" w:right="1619" w:firstLine="0"/>
        <w:jc w:val="left"/>
        <w:rPr>
          <w:sz w:val="11"/>
        </w:rPr>
      </w:pPr>
      <w:r>
        <w:rPr>
          <w:w w:val="105"/>
          <w:sz w:val="20"/>
        </w:rPr>
        <w:t>Each</w:t>
      </w:r>
      <w:r>
        <w:rPr>
          <w:spacing w:val="-7"/>
          <w:w w:val="105"/>
          <w:sz w:val="20"/>
        </w:rPr>
        <w:t> </w:t>
      </w:r>
      <w:r>
        <w:rPr>
          <w:w w:val="105"/>
          <w:sz w:val="20"/>
        </w:rPr>
        <w:t>application</w:t>
      </w:r>
      <w:r>
        <w:rPr>
          <w:spacing w:val="-7"/>
          <w:w w:val="105"/>
          <w:sz w:val="20"/>
        </w:rPr>
        <w:t> </w:t>
      </w:r>
      <w:r>
        <w:rPr>
          <w:w w:val="105"/>
          <w:sz w:val="20"/>
        </w:rPr>
        <w:t>should</w:t>
      </w:r>
      <w:r>
        <w:rPr>
          <w:spacing w:val="-7"/>
          <w:w w:val="105"/>
          <w:sz w:val="20"/>
        </w:rPr>
        <w:t> </w:t>
      </w:r>
      <w:r>
        <w:rPr>
          <w:w w:val="105"/>
          <w:sz w:val="20"/>
        </w:rPr>
        <w:t>be</w:t>
      </w:r>
      <w:r>
        <w:rPr>
          <w:spacing w:val="-7"/>
          <w:w w:val="105"/>
          <w:sz w:val="20"/>
        </w:rPr>
        <w:t> </w:t>
      </w:r>
      <w:r>
        <w:rPr>
          <w:w w:val="105"/>
          <w:sz w:val="20"/>
        </w:rPr>
        <w:t>assessed</w:t>
      </w:r>
      <w:r>
        <w:rPr>
          <w:spacing w:val="-7"/>
          <w:w w:val="105"/>
          <w:sz w:val="20"/>
        </w:rPr>
        <w:t> </w:t>
      </w:r>
      <w:r>
        <w:rPr>
          <w:w w:val="105"/>
          <w:sz w:val="20"/>
        </w:rPr>
        <w:t>on</w:t>
      </w:r>
      <w:r>
        <w:rPr>
          <w:spacing w:val="-7"/>
          <w:w w:val="105"/>
          <w:sz w:val="20"/>
        </w:rPr>
        <w:t> </w:t>
      </w:r>
      <w:r>
        <w:rPr>
          <w:w w:val="105"/>
          <w:sz w:val="20"/>
        </w:rPr>
        <w:t>its</w:t>
      </w:r>
      <w:r>
        <w:rPr>
          <w:spacing w:val="-7"/>
          <w:w w:val="105"/>
          <w:sz w:val="20"/>
        </w:rPr>
        <w:t> </w:t>
      </w:r>
      <w:r>
        <w:rPr>
          <w:w w:val="105"/>
          <w:sz w:val="20"/>
        </w:rPr>
        <w:t>own</w:t>
      </w:r>
      <w:r>
        <w:rPr>
          <w:spacing w:val="-7"/>
          <w:w w:val="105"/>
          <w:sz w:val="20"/>
        </w:rPr>
        <w:t> </w:t>
      </w:r>
      <w:r>
        <w:rPr>
          <w:w w:val="105"/>
          <w:sz w:val="20"/>
        </w:rPr>
        <w:t>merits.</w:t>
      </w:r>
      <w:r>
        <w:rPr>
          <w:spacing w:val="-7"/>
          <w:w w:val="105"/>
          <w:sz w:val="20"/>
        </w:rPr>
        <w:t> </w:t>
      </w:r>
      <w:r>
        <w:rPr>
          <w:w w:val="105"/>
          <w:sz w:val="20"/>
        </w:rPr>
        <w:t>The</w:t>
      </w:r>
      <w:r>
        <w:rPr>
          <w:spacing w:val="-7"/>
          <w:w w:val="105"/>
          <w:sz w:val="20"/>
        </w:rPr>
        <w:t> </w:t>
      </w:r>
      <w:r>
        <w:rPr>
          <w:w w:val="105"/>
          <w:sz w:val="20"/>
        </w:rPr>
        <w:t>court,</w:t>
      </w:r>
      <w:r>
        <w:rPr>
          <w:spacing w:val="-7"/>
          <w:w w:val="105"/>
          <w:sz w:val="20"/>
        </w:rPr>
        <w:t> </w:t>
      </w:r>
      <w:r>
        <w:rPr>
          <w:w w:val="105"/>
          <w:sz w:val="20"/>
        </w:rPr>
        <w:t>which</w:t>
      </w:r>
      <w:r>
        <w:rPr>
          <w:spacing w:val="-7"/>
          <w:w w:val="105"/>
          <w:sz w:val="20"/>
        </w:rPr>
        <w:t> </w:t>
      </w:r>
      <w:r>
        <w:rPr>
          <w:w w:val="105"/>
          <w:sz w:val="20"/>
        </w:rPr>
        <w:t>will</w:t>
      </w:r>
      <w:r>
        <w:rPr>
          <w:spacing w:val="-7"/>
          <w:w w:val="105"/>
          <w:sz w:val="20"/>
        </w:rPr>
        <w:t> </w:t>
      </w:r>
      <w:r>
        <w:rPr>
          <w:w w:val="105"/>
          <w:sz w:val="20"/>
        </w:rPr>
        <w:t>already</w:t>
      </w:r>
      <w:r>
        <w:rPr>
          <w:spacing w:val="-7"/>
          <w:w w:val="105"/>
          <w:sz w:val="20"/>
        </w:rPr>
        <w:t> </w:t>
      </w:r>
      <w:r>
        <w:rPr>
          <w:w w:val="105"/>
          <w:sz w:val="20"/>
        </w:rPr>
        <w:t>be reviewing the matter </w:t>
      </w:r>
      <w:r>
        <w:rPr>
          <w:spacing w:val="-3"/>
          <w:w w:val="105"/>
          <w:sz w:val="20"/>
        </w:rPr>
        <w:t>anyway, </w:t>
      </w:r>
      <w:r>
        <w:rPr>
          <w:w w:val="105"/>
          <w:sz w:val="20"/>
        </w:rPr>
        <w:t>is capable of making this specific</w:t>
      </w:r>
      <w:r>
        <w:rPr>
          <w:spacing w:val="9"/>
          <w:w w:val="105"/>
          <w:sz w:val="20"/>
        </w:rPr>
        <w:t> </w:t>
      </w:r>
      <w:r>
        <w:rPr>
          <w:spacing w:val="-3"/>
          <w:w w:val="105"/>
          <w:sz w:val="20"/>
        </w:rPr>
        <w:t>assessment.</w:t>
      </w:r>
      <w:r>
        <w:rPr>
          <w:spacing w:val="-3"/>
          <w:w w:val="105"/>
          <w:position w:val="7"/>
          <w:sz w:val="11"/>
        </w:rPr>
        <w:t>167</w:t>
      </w:r>
    </w:p>
    <w:p>
      <w:pPr>
        <w:pStyle w:val="ListParagraph"/>
        <w:numPr>
          <w:ilvl w:val="1"/>
          <w:numId w:val="22"/>
        </w:numPr>
        <w:tabs>
          <w:tab w:pos="2380" w:val="left" w:leader="none"/>
          <w:tab w:pos="2381" w:val="left" w:leader="none"/>
        </w:tabs>
        <w:spacing w:line="242" w:lineRule="auto" w:before="113" w:after="0"/>
        <w:ind w:left="2381" w:right="2070" w:hanging="794"/>
        <w:jc w:val="left"/>
        <w:rPr>
          <w:sz w:val="21"/>
        </w:rPr>
      </w:pPr>
      <w:r>
        <w:rPr>
          <w:w w:val="105"/>
          <w:sz w:val="21"/>
        </w:rPr>
        <w:t>The </w:t>
      </w:r>
      <w:r>
        <w:rPr>
          <w:spacing w:val="-4"/>
          <w:w w:val="105"/>
          <w:sz w:val="21"/>
        </w:rPr>
        <w:t>Commission </w:t>
      </w:r>
      <w:r>
        <w:rPr>
          <w:spacing w:val="-3"/>
          <w:w w:val="105"/>
          <w:sz w:val="21"/>
        </w:rPr>
        <w:t>has concluded that </w:t>
      </w:r>
      <w:r>
        <w:rPr>
          <w:w w:val="105"/>
          <w:sz w:val="21"/>
        </w:rPr>
        <w:t>the </w:t>
      </w:r>
      <w:r>
        <w:rPr>
          <w:spacing w:val="-3"/>
          <w:w w:val="105"/>
          <w:sz w:val="21"/>
        </w:rPr>
        <w:t>Court should </w:t>
      </w:r>
      <w:r>
        <w:rPr>
          <w:spacing w:val="-4"/>
          <w:w w:val="105"/>
          <w:sz w:val="21"/>
        </w:rPr>
        <w:t>retain </w:t>
      </w:r>
      <w:r>
        <w:rPr>
          <w:w w:val="105"/>
          <w:sz w:val="21"/>
        </w:rPr>
        <w:t>the </w:t>
      </w:r>
      <w:r>
        <w:rPr>
          <w:spacing w:val="-4"/>
          <w:w w:val="105"/>
          <w:sz w:val="21"/>
        </w:rPr>
        <w:t>discretion </w:t>
      </w:r>
      <w:r>
        <w:rPr>
          <w:spacing w:val="-3"/>
          <w:w w:val="105"/>
          <w:sz w:val="21"/>
        </w:rPr>
        <w:t>to </w:t>
      </w:r>
      <w:r>
        <w:rPr>
          <w:spacing w:val="-5"/>
          <w:w w:val="105"/>
          <w:sz w:val="21"/>
        </w:rPr>
        <w:t>make </w:t>
      </w:r>
      <w:r>
        <w:rPr>
          <w:w w:val="105"/>
          <w:sz w:val="21"/>
        </w:rPr>
        <w:t>a costs </w:t>
      </w:r>
      <w:r>
        <w:rPr>
          <w:spacing w:val="-3"/>
          <w:w w:val="105"/>
          <w:sz w:val="21"/>
        </w:rPr>
        <w:t>order </w:t>
      </w:r>
      <w:r>
        <w:rPr>
          <w:w w:val="105"/>
          <w:sz w:val="21"/>
        </w:rPr>
        <w:t>on the facts. </w:t>
      </w:r>
      <w:r>
        <w:rPr>
          <w:spacing w:val="-3"/>
          <w:w w:val="105"/>
          <w:sz w:val="21"/>
        </w:rPr>
        <w:t>Although </w:t>
      </w:r>
      <w:r>
        <w:rPr>
          <w:w w:val="105"/>
          <w:sz w:val="21"/>
        </w:rPr>
        <w:t>it is </w:t>
      </w:r>
      <w:r>
        <w:rPr>
          <w:spacing w:val="-3"/>
          <w:w w:val="105"/>
          <w:sz w:val="21"/>
        </w:rPr>
        <w:t>possible that </w:t>
      </w:r>
      <w:r>
        <w:rPr>
          <w:spacing w:val="-4"/>
          <w:w w:val="105"/>
          <w:sz w:val="21"/>
        </w:rPr>
        <w:t>requiring </w:t>
      </w:r>
      <w:r>
        <w:rPr>
          <w:w w:val="105"/>
          <w:sz w:val="21"/>
        </w:rPr>
        <w:t>the </w:t>
      </w:r>
      <w:r>
        <w:rPr>
          <w:spacing w:val="-3"/>
          <w:w w:val="105"/>
          <w:sz w:val="21"/>
        </w:rPr>
        <w:t>Court to </w:t>
      </w:r>
      <w:r>
        <w:rPr>
          <w:spacing w:val="-5"/>
          <w:w w:val="105"/>
          <w:sz w:val="21"/>
        </w:rPr>
        <w:t>make </w:t>
      </w:r>
      <w:r>
        <w:rPr>
          <w:w w:val="105"/>
          <w:sz w:val="21"/>
        </w:rPr>
        <w:t>an </w:t>
      </w:r>
      <w:r>
        <w:rPr>
          <w:spacing w:val="-3"/>
          <w:w w:val="105"/>
          <w:sz w:val="21"/>
        </w:rPr>
        <w:t>order</w:t>
      </w:r>
      <w:r>
        <w:rPr>
          <w:spacing w:val="-7"/>
          <w:w w:val="105"/>
          <w:sz w:val="21"/>
        </w:rPr>
        <w:t> </w:t>
      </w:r>
      <w:r>
        <w:rPr>
          <w:spacing w:val="-4"/>
          <w:w w:val="105"/>
          <w:sz w:val="21"/>
        </w:rPr>
        <w:t>against</w:t>
      </w:r>
      <w:r>
        <w:rPr>
          <w:spacing w:val="-7"/>
          <w:w w:val="105"/>
          <w:sz w:val="21"/>
        </w:rPr>
        <w:t> </w:t>
      </w:r>
      <w:r>
        <w:rPr>
          <w:w w:val="105"/>
          <w:sz w:val="21"/>
        </w:rPr>
        <w:t>the</w:t>
      </w:r>
      <w:r>
        <w:rPr>
          <w:spacing w:val="-7"/>
          <w:w w:val="105"/>
          <w:sz w:val="21"/>
        </w:rPr>
        <w:t> </w:t>
      </w:r>
      <w:r>
        <w:rPr>
          <w:spacing w:val="-4"/>
          <w:w w:val="105"/>
          <w:sz w:val="21"/>
        </w:rPr>
        <w:t>executor</w:t>
      </w:r>
      <w:r>
        <w:rPr>
          <w:spacing w:val="-6"/>
          <w:w w:val="105"/>
          <w:sz w:val="21"/>
        </w:rPr>
        <w:t> </w:t>
      </w:r>
      <w:r>
        <w:rPr>
          <w:spacing w:val="-3"/>
          <w:w w:val="105"/>
          <w:sz w:val="21"/>
        </w:rPr>
        <w:t>in</w:t>
      </w:r>
      <w:r>
        <w:rPr>
          <w:spacing w:val="-7"/>
          <w:w w:val="105"/>
          <w:sz w:val="21"/>
        </w:rPr>
        <w:t> </w:t>
      </w:r>
      <w:r>
        <w:rPr>
          <w:spacing w:val="-3"/>
          <w:w w:val="105"/>
          <w:sz w:val="21"/>
        </w:rPr>
        <w:t>certain</w:t>
      </w:r>
      <w:r>
        <w:rPr>
          <w:spacing w:val="-7"/>
          <w:w w:val="105"/>
          <w:sz w:val="21"/>
        </w:rPr>
        <w:t> </w:t>
      </w:r>
      <w:r>
        <w:rPr>
          <w:spacing w:val="-4"/>
          <w:w w:val="105"/>
          <w:sz w:val="21"/>
        </w:rPr>
        <w:t>circumstances</w:t>
      </w:r>
      <w:r>
        <w:rPr>
          <w:spacing w:val="-7"/>
          <w:w w:val="105"/>
          <w:sz w:val="21"/>
        </w:rPr>
        <w:t> </w:t>
      </w:r>
      <w:r>
        <w:rPr>
          <w:spacing w:val="-3"/>
          <w:w w:val="105"/>
          <w:sz w:val="21"/>
        </w:rPr>
        <w:t>would</w:t>
      </w:r>
      <w:r>
        <w:rPr>
          <w:spacing w:val="-6"/>
          <w:w w:val="105"/>
          <w:sz w:val="21"/>
        </w:rPr>
        <w:t> </w:t>
      </w:r>
      <w:r>
        <w:rPr>
          <w:spacing w:val="-4"/>
          <w:w w:val="105"/>
          <w:sz w:val="21"/>
        </w:rPr>
        <w:t>have</w:t>
      </w:r>
      <w:r>
        <w:rPr>
          <w:spacing w:val="-7"/>
          <w:w w:val="105"/>
          <w:sz w:val="21"/>
        </w:rPr>
        <w:t> </w:t>
      </w:r>
      <w:r>
        <w:rPr>
          <w:w w:val="105"/>
          <w:sz w:val="21"/>
        </w:rPr>
        <w:t>a</w:t>
      </w:r>
      <w:r>
        <w:rPr>
          <w:spacing w:val="-7"/>
          <w:w w:val="105"/>
          <w:sz w:val="21"/>
        </w:rPr>
        <w:t> </w:t>
      </w:r>
      <w:r>
        <w:rPr>
          <w:spacing w:val="-4"/>
          <w:w w:val="105"/>
          <w:sz w:val="21"/>
        </w:rPr>
        <w:t>deterrent</w:t>
      </w:r>
      <w:r>
        <w:rPr>
          <w:spacing w:val="-6"/>
          <w:w w:val="105"/>
          <w:sz w:val="21"/>
        </w:rPr>
        <w:t> </w:t>
      </w:r>
      <w:r>
        <w:rPr>
          <w:w w:val="105"/>
          <w:sz w:val="21"/>
        </w:rPr>
        <w:t>effect,</w:t>
      </w:r>
      <w:r>
        <w:rPr>
          <w:spacing w:val="-7"/>
          <w:w w:val="105"/>
          <w:sz w:val="21"/>
        </w:rPr>
        <w:t> </w:t>
      </w:r>
      <w:r>
        <w:rPr>
          <w:w w:val="105"/>
          <w:sz w:val="21"/>
        </w:rPr>
        <w:t>the</w:t>
      </w:r>
    </w:p>
    <w:p>
      <w:pPr>
        <w:pStyle w:val="BodyText"/>
        <w:spacing w:before="3"/>
        <w:ind w:left="2380"/>
      </w:pPr>
      <w:r>
        <w:rPr/>
        <w:t>Commission expects that the introduction of the review provision itself will have this effect.</w:t>
      </w:r>
    </w:p>
    <w:p>
      <w:pPr>
        <w:pStyle w:val="BodyText"/>
        <w:rPr>
          <w:sz w:val="27"/>
        </w:rPr>
      </w:pPr>
    </w:p>
    <w:p>
      <w:pPr>
        <w:pStyle w:val="Heading6"/>
      </w:pPr>
      <w:r>
        <w:rPr>
          <w:w w:val="110"/>
        </w:rPr>
        <w:t>Trustee companies</w:t>
      </w:r>
    </w:p>
    <w:p>
      <w:pPr>
        <w:pStyle w:val="ListParagraph"/>
        <w:numPr>
          <w:ilvl w:val="1"/>
          <w:numId w:val="22"/>
        </w:numPr>
        <w:tabs>
          <w:tab w:pos="2380" w:val="left" w:leader="none"/>
          <w:tab w:pos="2381" w:val="left" w:leader="none"/>
        </w:tabs>
        <w:spacing w:line="242" w:lineRule="auto" w:before="151" w:after="0"/>
        <w:ind w:left="2381" w:right="1865" w:hanging="794"/>
        <w:jc w:val="left"/>
        <w:rPr>
          <w:sz w:val="21"/>
        </w:rPr>
      </w:pPr>
      <w:r>
        <w:rPr>
          <w:sz w:val="21"/>
        </w:rPr>
        <w:t>The </w:t>
      </w:r>
      <w:r>
        <w:rPr>
          <w:spacing w:val="-3"/>
          <w:sz w:val="21"/>
        </w:rPr>
        <w:t>National  Committee  for  Uniform  Succession  </w:t>
      </w:r>
      <w:r>
        <w:rPr>
          <w:sz w:val="21"/>
        </w:rPr>
        <w:t>Laws  proposed  </w:t>
      </w:r>
      <w:r>
        <w:rPr>
          <w:spacing w:val="-3"/>
          <w:sz w:val="21"/>
        </w:rPr>
        <w:t>that  </w:t>
      </w:r>
      <w:r>
        <w:rPr>
          <w:sz w:val="21"/>
        </w:rPr>
        <w:t>the  court’s power </w:t>
      </w:r>
      <w:r>
        <w:rPr>
          <w:spacing w:val="-3"/>
          <w:sz w:val="21"/>
        </w:rPr>
        <w:t>to </w:t>
      </w:r>
      <w:r>
        <w:rPr>
          <w:sz w:val="21"/>
        </w:rPr>
        <w:t>review fees and </w:t>
      </w:r>
      <w:r>
        <w:rPr>
          <w:spacing w:val="-3"/>
          <w:sz w:val="21"/>
        </w:rPr>
        <w:t>charges for executorial </w:t>
      </w:r>
      <w:r>
        <w:rPr>
          <w:sz w:val="21"/>
        </w:rPr>
        <w:t>services should apply </w:t>
      </w:r>
      <w:r>
        <w:rPr>
          <w:spacing w:val="-3"/>
          <w:sz w:val="21"/>
        </w:rPr>
        <w:t>to all </w:t>
      </w:r>
      <w:r>
        <w:rPr>
          <w:sz w:val="21"/>
        </w:rPr>
        <w:t>executors, </w:t>
      </w:r>
      <w:r>
        <w:rPr>
          <w:spacing w:val="-3"/>
          <w:sz w:val="21"/>
        </w:rPr>
        <w:t>administrators </w:t>
      </w:r>
      <w:r>
        <w:rPr>
          <w:sz w:val="21"/>
        </w:rPr>
        <w:t>and </w:t>
      </w:r>
      <w:r>
        <w:rPr>
          <w:spacing w:val="-3"/>
          <w:sz w:val="21"/>
        </w:rPr>
        <w:t>trustees.</w:t>
      </w:r>
      <w:r>
        <w:rPr>
          <w:spacing w:val="-3"/>
          <w:position w:val="7"/>
          <w:sz w:val="12"/>
        </w:rPr>
        <w:t>168 </w:t>
      </w:r>
      <w:r>
        <w:rPr>
          <w:sz w:val="21"/>
        </w:rPr>
        <w:t>The </w:t>
      </w:r>
      <w:r>
        <w:rPr>
          <w:spacing w:val="-3"/>
          <w:sz w:val="21"/>
        </w:rPr>
        <w:t>provision </w:t>
      </w:r>
      <w:r>
        <w:rPr>
          <w:sz w:val="21"/>
        </w:rPr>
        <w:t>in the model </w:t>
      </w:r>
      <w:r>
        <w:rPr>
          <w:spacing w:val="-3"/>
          <w:sz w:val="21"/>
        </w:rPr>
        <w:t>legislation for </w:t>
      </w:r>
      <w:r>
        <w:rPr>
          <w:sz w:val="21"/>
        </w:rPr>
        <w:t>court review of </w:t>
      </w:r>
      <w:r>
        <w:rPr>
          <w:spacing w:val="-3"/>
          <w:sz w:val="21"/>
        </w:rPr>
        <w:t>commission </w:t>
      </w:r>
      <w:r>
        <w:rPr>
          <w:sz w:val="21"/>
        </w:rPr>
        <w:t>and other amounts was </w:t>
      </w:r>
      <w:r>
        <w:rPr>
          <w:spacing w:val="-3"/>
          <w:sz w:val="21"/>
        </w:rPr>
        <w:t>intended to </w:t>
      </w:r>
      <w:r>
        <w:rPr>
          <w:sz w:val="21"/>
        </w:rPr>
        <w:t>extend </w:t>
      </w:r>
      <w:r>
        <w:rPr>
          <w:spacing w:val="-3"/>
          <w:sz w:val="21"/>
        </w:rPr>
        <w:t>to </w:t>
      </w:r>
      <w:r>
        <w:rPr>
          <w:sz w:val="21"/>
        </w:rPr>
        <w:t>trustee </w:t>
      </w:r>
      <w:r>
        <w:rPr>
          <w:spacing w:val="-3"/>
          <w:sz w:val="21"/>
        </w:rPr>
        <w:t>companies </w:t>
      </w:r>
      <w:r>
        <w:rPr>
          <w:sz w:val="21"/>
        </w:rPr>
        <w:t>as</w:t>
      </w:r>
      <w:r>
        <w:rPr>
          <w:spacing w:val="35"/>
          <w:sz w:val="21"/>
        </w:rPr>
        <w:t> </w:t>
      </w:r>
      <w:r>
        <w:rPr>
          <w:spacing w:val="-3"/>
          <w:sz w:val="21"/>
        </w:rPr>
        <w:t>well.</w:t>
      </w:r>
    </w:p>
    <w:p>
      <w:pPr>
        <w:pStyle w:val="BodyText"/>
        <w:spacing w:before="4"/>
        <w:rPr>
          <w:sz w:val="28"/>
        </w:rPr>
      </w:pPr>
      <w:r>
        <w:rPr/>
        <w:pict>
          <v:line style="position:absolute;mso-position-horizontal-relative:page;mso-position-vertical-relative:paragraph;z-index:9680;mso-wrap-distance-left:0;mso-wrap-distance-right:0" from="79.370003pt,19.770617pt" to="515.905003pt,19.770617pt" stroked="true" strokeweight="1pt" strokecolor="#f9ceca">
            <v:stroke dashstyle="solid"/>
            <w10:wrap type="topAndBottom"/>
          </v:line>
        </w:pict>
      </w:r>
    </w:p>
    <w:p>
      <w:pPr>
        <w:pStyle w:val="BodyText"/>
        <w:spacing w:before="8"/>
        <w:rPr>
          <w:sz w:val="5"/>
        </w:rPr>
      </w:pPr>
    </w:p>
    <w:p>
      <w:pPr>
        <w:spacing w:after="0"/>
        <w:rPr>
          <w:sz w:val="5"/>
        </w:rPr>
        <w:sectPr>
          <w:pgSz w:w="11910" w:h="16840"/>
          <w:pgMar w:header="550" w:footer="0" w:top="1560" w:bottom="280" w:left="0" w:right="0"/>
        </w:sectPr>
      </w:pPr>
    </w:p>
    <w:p>
      <w:pPr>
        <w:pStyle w:val="BodyText"/>
        <w:rPr>
          <w:sz w:val="28"/>
        </w:rPr>
      </w:pPr>
    </w:p>
    <w:p>
      <w:pPr>
        <w:pStyle w:val="BodyText"/>
        <w:rPr>
          <w:sz w:val="28"/>
        </w:rPr>
      </w:pPr>
    </w:p>
    <w:p>
      <w:pPr>
        <w:pStyle w:val="BodyText"/>
        <w:rPr>
          <w:sz w:val="28"/>
        </w:rPr>
      </w:pPr>
    </w:p>
    <w:p>
      <w:pPr>
        <w:pStyle w:val="BodyText"/>
        <w:rPr>
          <w:sz w:val="28"/>
        </w:rPr>
      </w:pPr>
    </w:p>
    <w:p>
      <w:pPr>
        <w:spacing w:before="191"/>
        <w:ind w:left="720" w:right="0" w:firstLine="0"/>
        <w:jc w:val="left"/>
        <w:rPr>
          <w:b/>
          <w:sz w:val="24"/>
        </w:rPr>
      </w:pPr>
      <w:r>
        <w:rPr>
          <w:b/>
          <w:color w:val="EC5A4F"/>
          <w:w w:val="105"/>
          <w:sz w:val="24"/>
        </w:rPr>
        <w:t>164</w:t>
      </w:r>
    </w:p>
    <w:p>
      <w:pPr>
        <w:pStyle w:val="ListParagraph"/>
        <w:numPr>
          <w:ilvl w:val="1"/>
          <w:numId w:val="123"/>
        </w:numPr>
        <w:tabs>
          <w:tab w:pos="1223" w:val="left" w:leader="none"/>
          <w:tab w:pos="1224" w:val="left" w:leader="none"/>
        </w:tabs>
        <w:spacing w:line="240" w:lineRule="auto" w:before="48" w:after="0"/>
        <w:ind w:left="1223" w:right="0" w:hanging="794"/>
        <w:jc w:val="left"/>
        <w:rPr>
          <w:sz w:val="13"/>
        </w:rPr>
      </w:pPr>
      <w:r>
        <w:rPr>
          <w:i/>
          <w:spacing w:val="1"/>
          <w:w w:val="115"/>
          <w:sz w:val="13"/>
        </w:rPr>
        <w:br w:type="column"/>
      </w:r>
      <w:r>
        <w:rPr>
          <w:i/>
          <w:w w:val="105"/>
          <w:sz w:val="13"/>
        </w:rPr>
        <w:t>Administration and Probate Act 1958 </w:t>
      </w:r>
      <w:r>
        <w:rPr>
          <w:spacing w:val="2"/>
          <w:w w:val="105"/>
          <w:sz w:val="13"/>
        </w:rPr>
        <w:t>(Vic) </w:t>
      </w:r>
      <w:r>
        <w:rPr>
          <w:w w:val="105"/>
          <w:sz w:val="13"/>
        </w:rPr>
        <w:t>s</w:t>
      </w:r>
      <w:r>
        <w:rPr>
          <w:spacing w:val="25"/>
          <w:w w:val="105"/>
          <w:sz w:val="13"/>
        </w:rPr>
        <w:t> </w:t>
      </w:r>
      <w:r>
        <w:rPr>
          <w:w w:val="105"/>
          <w:sz w:val="13"/>
        </w:rPr>
        <w:t>97(7).</w:t>
      </w:r>
    </w:p>
    <w:p>
      <w:pPr>
        <w:pStyle w:val="ListParagraph"/>
        <w:numPr>
          <w:ilvl w:val="1"/>
          <w:numId w:val="123"/>
        </w:numPr>
        <w:tabs>
          <w:tab w:pos="1223" w:val="left" w:leader="none"/>
          <w:tab w:pos="1224" w:val="left" w:leader="none"/>
        </w:tabs>
        <w:spacing w:line="240" w:lineRule="auto" w:before="1" w:after="0"/>
        <w:ind w:left="1223" w:right="0" w:hanging="794"/>
        <w:jc w:val="left"/>
        <w:rPr>
          <w:sz w:val="13"/>
        </w:rPr>
      </w:pPr>
      <w:r>
        <w:rPr>
          <w:w w:val="105"/>
          <w:sz w:val="13"/>
        </w:rPr>
        <w:t>Submissions</w:t>
      </w:r>
      <w:r>
        <w:rPr>
          <w:spacing w:val="4"/>
          <w:w w:val="105"/>
          <w:sz w:val="13"/>
        </w:rPr>
        <w:t> </w:t>
      </w:r>
      <w:r>
        <w:rPr>
          <w:spacing w:val="-3"/>
          <w:w w:val="105"/>
          <w:sz w:val="13"/>
        </w:rPr>
        <w:t>19</w:t>
      </w:r>
      <w:r>
        <w:rPr>
          <w:spacing w:val="4"/>
          <w:w w:val="105"/>
          <w:sz w:val="13"/>
        </w:rPr>
        <w:t> </w:t>
      </w:r>
      <w:r>
        <w:rPr>
          <w:spacing w:val="2"/>
          <w:w w:val="105"/>
          <w:sz w:val="13"/>
        </w:rPr>
        <w:t>(Association</w:t>
      </w:r>
      <w:r>
        <w:rPr>
          <w:spacing w:val="5"/>
          <w:w w:val="105"/>
          <w:sz w:val="13"/>
        </w:rPr>
        <w:t> </w:t>
      </w:r>
      <w:r>
        <w:rPr>
          <w:w w:val="105"/>
          <w:sz w:val="13"/>
        </w:rPr>
        <w:t>of</w:t>
      </w:r>
      <w:r>
        <w:rPr>
          <w:spacing w:val="4"/>
          <w:w w:val="105"/>
          <w:sz w:val="13"/>
        </w:rPr>
        <w:t> </w:t>
      </w:r>
      <w:r>
        <w:rPr>
          <w:w w:val="105"/>
          <w:sz w:val="13"/>
        </w:rPr>
        <w:t>Independent</w:t>
      </w:r>
      <w:r>
        <w:rPr>
          <w:spacing w:val="5"/>
          <w:w w:val="105"/>
          <w:sz w:val="13"/>
        </w:rPr>
        <w:t> </w:t>
      </w:r>
      <w:r>
        <w:rPr>
          <w:w w:val="105"/>
          <w:sz w:val="13"/>
        </w:rPr>
        <w:t>Retirees);</w:t>
      </w:r>
      <w:r>
        <w:rPr>
          <w:spacing w:val="4"/>
          <w:w w:val="105"/>
          <w:sz w:val="13"/>
        </w:rPr>
        <w:t> </w:t>
      </w:r>
      <w:r>
        <w:rPr>
          <w:w w:val="105"/>
          <w:sz w:val="13"/>
        </w:rPr>
        <w:t>25</w:t>
      </w:r>
      <w:r>
        <w:rPr>
          <w:spacing w:val="5"/>
          <w:w w:val="105"/>
          <w:sz w:val="13"/>
        </w:rPr>
        <w:t> </w:t>
      </w:r>
      <w:r>
        <w:rPr>
          <w:spacing w:val="2"/>
          <w:w w:val="105"/>
          <w:sz w:val="13"/>
        </w:rPr>
        <w:t>(Moores</w:t>
      </w:r>
      <w:r>
        <w:rPr>
          <w:spacing w:val="4"/>
          <w:w w:val="105"/>
          <w:sz w:val="13"/>
        </w:rPr>
        <w:t> </w:t>
      </w:r>
      <w:r>
        <w:rPr>
          <w:w w:val="105"/>
          <w:sz w:val="13"/>
        </w:rPr>
        <w:t>Legal);</w:t>
      </w:r>
      <w:r>
        <w:rPr>
          <w:spacing w:val="4"/>
          <w:w w:val="105"/>
          <w:sz w:val="13"/>
        </w:rPr>
        <w:t> </w:t>
      </w:r>
      <w:r>
        <w:rPr>
          <w:w w:val="105"/>
          <w:sz w:val="13"/>
        </w:rPr>
        <w:t>26</w:t>
      </w:r>
      <w:r>
        <w:rPr>
          <w:spacing w:val="5"/>
          <w:w w:val="105"/>
          <w:sz w:val="13"/>
        </w:rPr>
        <w:t> </w:t>
      </w:r>
      <w:r>
        <w:rPr>
          <w:spacing w:val="2"/>
          <w:w w:val="105"/>
          <w:sz w:val="13"/>
        </w:rPr>
        <w:t>(Rigby</w:t>
      </w:r>
      <w:r>
        <w:rPr>
          <w:spacing w:val="4"/>
          <w:w w:val="105"/>
          <w:sz w:val="13"/>
        </w:rPr>
        <w:t> </w:t>
      </w:r>
      <w:r>
        <w:rPr>
          <w:w w:val="105"/>
          <w:sz w:val="13"/>
        </w:rPr>
        <w:t>Cooke</w:t>
      </w:r>
      <w:r>
        <w:rPr>
          <w:spacing w:val="5"/>
          <w:w w:val="105"/>
          <w:sz w:val="13"/>
        </w:rPr>
        <w:t> </w:t>
      </w:r>
      <w:r>
        <w:rPr>
          <w:spacing w:val="2"/>
          <w:w w:val="105"/>
          <w:sz w:val="13"/>
        </w:rPr>
        <w:t>Lawyers);</w:t>
      </w:r>
      <w:r>
        <w:rPr>
          <w:spacing w:val="4"/>
          <w:w w:val="105"/>
          <w:sz w:val="13"/>
        </w:rPr>
        <w:t> </w:t>
      </w:r>
      <w:r>
        <w:rPr>
          <w:w w:val="105"/>
          <w:sz w:val="13"/>
        </w:rPr>
        <w:t>33</w:t>
      </w:r>
      <w:r>
        <w:rPr>
          <w:spacing w:val="5"/>
          <w:w w:val="105"/>
          <w:sz w:val="13"/>
        </w:rPr>
        <w:t> </w:t>
      </w:r>
      <w:r>
        <w:rPr>
          <w:w w:val="105"/>
          <w:sz w:val="13"/>
        </w:rPr>
        <w:t>(State</w:t>
      </w:r>
      <w:r>
        <w:rPr>
          <w:spacing w:val="4"/>
          <w:w w:val="105"/>
          <w:sz w:val="13"/>
        </w:rPr>
        <w:t> </w:t>
      </w:r>
      <w:r>
        <w:rPr>
          <w:w w:val="105"/>
          <w:sz w:val="13"/>
        </w:rPr>
        <w:t>Trustees</w:t>
      </w:r>
      <w:r>
        <w:rPr>
          <w:spacing w:val="4"/>
          <w:w w:val="105"/>
          <w:sz w:val="13"/>
        </w:rPr>
        <w:t> </w:t>
      </w:r>
      <w:r>
        <w:rPr>
          <w:w w:val="105"/>
          <w:sz w:val="13"/>
        </w:rPr>
        <w:t>Limited).</w:t>
      </w:r>
    </w:p>
    <w:p>
      <w:pPr>
        <w:pStyle w:val="ListParagraph"/>
        <w:numPr>
          <w:ilvl w:val="1"/>
          <w:numId w:val="123"/>
        </w:numPr>
        <w:tabs>
          <w:tab w:pos="1223" w:val="left" w:leader="none"/>
          <w:tab w:pos="1224" w:val="left" w:leader="none"/>
        </w:tabs>
        <w:spacing w:line="240" w:lineRule="auto" w:before="2" w:after="0"/>
        <w:ind w:left="1223" w:right="0" w:hanging="794"/>
        <w:jc w:val="left"/>
        <w:rPr>
          <w:sz w:val="13"/>
        </w:rPr>
      </w:pPr>
      <w:r>
        <w:rPr>
          <w:i/>
          <w:w w:val="105"/>
          <w:sz w:val="13"/>
        </w:rPr>
        <w:t>Corporations Act 2001 </w:t>
      </w:r>
      <w:r>
        <w:rPr>
          <w:w w:val="105"/>
          <w:sz w:val="13"/>
        </w:rPr>
        <w:t>(Cth) ss</w:t>
      </w:r>
      <w:r>
        <w:rPr>
          <w:spacing w:val="21"/>
          <w:w w:val="105"/>
          <w:sz w:val="13"/>
        </w:rPr>
        <w:t> </w:t>
      </w:r>
      <w:r>
        <w:rPr>
          <w:spacing w:val="4"/>
          <w:w w:val="105"/>
          <w:sz w:val="13"/>
        </w:rPr>
        <w:t>601TEA(5)–(6).</w:t>
      </w:r>
    </w:p>
    <w:p>
      <w:pPr>
        <w:pStyle w:val="ListParagraph"/>
        <w:numPr>
          <w:ilvl w:val="1"/>
          <w:numId w:val="123"/>
        </w:numPr>
        <w:tabs>
          <w:tab w:pos="1223" w:val="left" w:leader="none"/>
          <w:tab w:pos="1224" w:val="left" w:leader="none"/>
        </w:tabs>
        <w:spacing w:line="240" w:lineRule="auto" w:before="1" w:after="0"/>
        <w:ind w:left="429" w:right="2756" w:firstLine="0"/>
        <w:jc w:val="left"/>
        <w:rPr>
          <w:sz w:val="13"/>
        </w:rPr>
      </w:pPr>
      <w:r>
        <w:rPr>
          <w:w w:val="105"/>
          <w:sz w:val="13"/>
        </w:rPr>
        <w:t>Submissions </w:t>
      </w:r>
      <w:r>
        <w:rPr>
          <w:spacing w:val="-3"/>
          <w:w w:val="105"/>
          <w:sz w:val="13"/>
        </w:rPr>
        <w:t>19 </w:t>
      </w:r>
      <w:r>
        <w:rPr>
          <w:spacing w:val="2"/>
          <w:w w:val="105"/>
          <w:sz w:val="13"/>
        </w:rPr>
        <w:t>(Association </w:t>
      </w:r>
      <w:r>
        <w:rPr>
          <w:w w:val="105"/>
          <w:sz w:val="13"/>
        </w:rPr>
        <w:t>of Independent Retirees); 26 </w:t>
      </w:r>
      <w:r>
        <w:rPr>
          <w:spacing w:val="2"/>
          <w:w w:val="105"/>
          <w:sz w:val="13"/>
        </w:rPr>
        <w:t>(Rigby </w:t>
      </w:r>
      <w:r>
        <w:rPr>
          <w:w w:val="105"/>
          <w:sz w:val="13"/>
        </w:rPr>
        <w:t>Cooke </w:t>
      </w:r>
      <w:r>
        <w:rPr>
          <w:spacing w:val="2"/>
          <w:w w:val="105"/>
          <w:sz w:val="13"/>
        </w:rPr>
        <w:t>Lawyers); </w:t>
      </w:r>
      <w:r>
        <w:rPr>
          <w:w w:val="105"/>
          <w:sz w:val="13"/>
        </w:rPr>
        <w:t>32 </w:t>
      </w:r>
      <w:r>
        <w:rPr>
          <w:spacing w:val="2"/>
          <w:w w:val="105"/>
          <w:sz w:val="13"/>
        </w:rPr>
        <w:t>(The </w:t>
      </w:r>
      <w:r>
        <w:rPr>
          <w:w w:val="105"/>
          <w:sz w:val="13"/>
        </w:rPr>
        <w:t>Institute of Legal Executives). 164</w:t>
        <w:tab/>
        <w:t>Submission 26 </w:t>
      </w:r>
      <w:r>
        <w:rPr>
          <w:spacing w:val="2"/>
          <w:w w:val="105"/>
          <w:sz w:val="13"/>
        </w:rPr>
        <w:t>(Rigby </w:t>
      </w:r>
      <w:r>
        <w:rPr>
          <w:w w:val="105"/>
          <w:sz w:val="13"/>
        </w:rPr>
        <w:t>Cooke</w:t>
      </w:r>
      <w:r>
        <w:rPr>
          <w:spacing w:val="16"/>
          <w:w w:val="105"/>
          <w:sz w:val="13"/>
        </w:rPr>
        <w:t> </w:t>
      </w:r>
      <w:r>
        <w:rPr>
          <w:spacing w:val="2"/>
          <w:w w:val="105"/>
          <w:sz w:val="13"/>
        </w:rPr>
        <w:t>Lawyers).</w:t>
      </w:r>
    </w:p>
    <w:p>
      <w:pPr>
        <w:pStyle w:val="ListParagraph"/>
        <w:numPr>
          <w:ilvl w:val="0"/>
          <w:numId w:val="125"/>
        </w:numPr>
        <w:tabs>
          <w:tab w:pos="1223" w:val="left" w:leader="none"/>
          <w:tab w:pos="1224" w:val="left" w:leader="none"/>
        </w:tabs>
        <w:spacing w:line="240" w:lineRule="auto" w:before="3" w:after="0"/>
        <w:ind w:left="1223" w:right="2123" w:hanging="793"/>
        <w:jc w:val="left"/>
        <w:rPr>
          <w:sz w:val="13"/>
        </w:rPr>
      </w:pPr>
      <w:r>
        <w:rPr>
          <w:w w:val="105"/>
          <w:sz w:val="13"/>
        </w:rPr>
        <w:t>Submissions 26 </w:t>
      </w:r>
      <w:r>
        <w:rPr>
          <w:spacing w:val="2"/>
          <w:w w:val="105"/>
          <w:sz w:val="13"/>
        </w:rPr>
        <w:t>(Rigby </w:t>
      </w:r>
      <w:r>
        <w:rPr>
          <w:w w:val="105"/>
          <w:sz w:val="13"/>
        </w:rPr>
        <w:t>Cooke </w:t>
      </w:r>
      <w:r>
        <w:rPr>
          <w:spacing w:val="2"/>
          <w:w w:val="105"/>
          <w:sz w:val="13"/>
        </w:rPr>
        <w:t>Lawyers); </w:t>
      </w:r>
      <w:r>
        <w:rPr>
          <w:w w:val="105"/>
          <w:sz w:val="13"/>
        </w:rPr>
        <w:t>32 </w:t>
      </w:r>
      <w:r>
        <w:rPr>
          <w:spacing w:val="2"/>
          <w:w w:val="105"/>
          <w:sz w:val="13"/>
        </w:rPr>
        <w:t>(The </w:t>
      </w:r>
      <w:r>
        <w:rPr>
          <w:w w:val="105"/>
          <w:sz w:val="13"/>
        </w:rPr>
        <w:t>Institute of Legal Executives). Submission </w:t>
      </w:r>
      <w:r>
        <w:rPr>
          <w:spacing w:val="-3"/>
          <w:w w:val="105"/>
          <w:sz w:val="13"/>
        </w:rPr>
        <w:t>19 </w:t>
      </w:r>
      <w:r>
        <w:rPr>
          <w:spacing w:val="2"/>
          <w:w w:val="105"/>
          <w:sz w:val="13"/>
        </w:rPr>
        <w:t>(Association </w:t>
      </w:r>
      <w:r>
        <w:rPr>
          <w:w w:val="105"/>
          <w:sz w:val="13"/>
        </w:rPr>
        <w:t>of Independent Retirees) expressed support but made no further</w:t>
      </w:r>
      <w:r>
        <w:rPr>
          <w:spacing w:val="27"/>
          <w:w w:val="105"/>
          <w:sz w:val="13"/>
        </w:rPr>
        <w:t> </w:t>
      </w:r>
      <w:r>
        <w:rPr>
          <w:w w:val="105"/>
          <w:sz w:val="13"/>
        </w:rPr>
        <w:t>comment.</w:t>
      </w:r>
    </w:p>
    <w:p>
      <w:pPr>
        <w:pStyle w:val="ListParagraph"/>
        <w:numPr>
          <w:ilvl w:val="0"/>
          <w:numId w:val="125"/>
        </w:numPr>
        <w:tabs>
          <w:tab w:pos="1223" w:val="left" w:leader="none"/>
          <w:tab w:pos="1224" w:val="left" w:leader="none"/>
        </w:tabs>
        <w:spacing w:line="240" w:lineRule="auto" w:before="2" w:after="0"/>
        <w:ind w:left="1223" w:right="2837" w:hanging="793"/>
        <w:jc w:val="left"/>
        <w:rPr>
          <w:sz w:val="13"/>
        </w:rPr>
      </w:pPr>
      <w:r>
        <w:rPr>
          <w:w w:val="105"/>
          <w:sz w:val="13"/>
        </w:rPr>
        <w:t>Submissions 8 (Patricia Strachan); </w:t>
      </w:r>
      <w:r>
        <w:rPr>
          <w:spacing w:val="-3"/>
          <w:w w:val="105"/>
          <w:sz w:val="13"/>
        </w:rPr>
        <w:t>14 </w:t>
      </w:r>
      <w:r>
        <w:rPr>
          <w:w w:val="105"/>
          <w:sz w:val="13"/>
        </w:rPr>
        <w:t>(Commercial Bar </w:t>
      </w:r>
      <w:r>
        <w:rPr>
          <w:spacing w:val="2"/>
          <w:w w:val="105"/>
          <w:sz w:val="13"/>
        </w:rPr>
        <w:t>Association); </w:t>
      </w:r>
      <w:r>
        <w:rPr>
          <w:w w:val="105"/>
          <w:sz w:val="13"/>
        </w:rPr>
        <w:t>25 </w:t>
      </w:r>
      <w:r>
        <w:rPr>
          <w:spacing w:val="2"/>
          <w:w w:val="105"/>
          <w:sz w:val="13"/>
        </w:rPr>
        <w:t>(Moores </w:t>
      </w:r>
      <w:r>
        <w:rPr>
          <w:w w:val="105"/>
          <w:sz w:val="13"/>
        </w:rPr>
        <w:t>Legal); 30a </w:t>
      </w:r>
      <w:r>
        <w:rPr>
          <w:spacing w:val="3"/>
          <w:w w:val="105"/>
          <w:sz w:val="13"/>
        </w:rPr>
        <w:t>(Law </w:t>
      </w:r>
      <w:r>
        <w:rPr>
          <w:w w:val="105"/>
          <w:sz w:val="13"/>
        </w:rPr>
        <w:t>Institute of </w:t>
      </w:r>
      <w:r>
        <w:rPr>
          <w:spacing w:val="2"/>
          <w:w w:val="105"/>
          <w:sz w:val="13"/>
        </w:rPr>
        <w:t>Victoria); </w:t>
      </w:r>
      <w:r>
        <w:rPr>
          <w:w w:val="105"/>
          <w:sz w:val="13"/>
        </w:rPr>
        <w:t>33 (State Trustees</w:t>
      </w:r>
      <w:r>
        <w:rPr>
          <w:spacing w:val="13"/>
          <w:w w:val="105"/>
          <w:sz w:val="13"/>
        </w:rPr>
        <w:t> </w:t>
      </w:r>
      <w:r>
        <w:rPr>
          <w:w w:val="105"/>
          <w:sz w:val="13"/>
        </w:rPr>
        <w:t>Limited).</w:t>
      </w:r>
    </w:p>
    <w:p>
      <w:pPr>
        <w:pStyle w:val="ListParagraph"/>
        <w:numPr>
          <w:ilvl w:val="0"/>
          <w:numId w:val="125"/>
        </w:numPr>
        <w:tabs>
          <w:tab w:pos="1223" w:val="left" w:leader="none"/>
          <w:tab w:pos="1224" w:val="left" w:leader="none"/>
        </w:tabs>
        <w:spacing w:line="240" w:lineRule="auto" w:before="3" w:after="0"/>
        <w:ind w:left="1223" w:right="0" w:hanging="793"/>
        <w:jc w:val="left"/>
        <w:rPr>
          <w:sz w:val="13"/>
        </w:rPr>
      </w:pPr>
      <w:r>
        <w:rPr>
          <w:w w:val="105"/>
          <w:sz w:val="13"/>
        </w:rPr>
        <w:t>Submission 25 </w:t>
      </w:r>
      <w:r>
        <w:rPr>
          <w:spacing w:val="2"/>
          <w:w w:val="105"/>
          <w:sz w:val="13"/>
        </w:rPr>
        <w:t>(Moores</w:t>
      </w:r>
      <w:r>
        <w:rPr>
          <w:spacing w:val="13"/>
          <w:w w:val="105"/>
          <w:sz w:val="13"/>
        </w:rPr>
        <w:t> </w:t>
      </w:r>
      <w:r>
        <w:rPr>
          <w:w w:val="105"/>
          <w:sz w:val="13"/>
        </w:rPr>
        <w:t>Legal).</w:t>
      </w:r>
    </w:p>
    <w:p>
      <w:pPr>
        <w:pStyle w:val="ListParagraph"/>
        <w:numPr>
          <w:ilvl w:val="0"/>
          <w:numId w:val="125"/>
        </w:numPr>
        <w:tabs>
          <w:tab w:pos="1223" w:val="left" w:leader="none"/>
          <w:tab w:pos="1224" w:val="left" w:leader="none"/>
        </w:tabs>
        <w:spacing w:line="240" w:lineRule="auto" w:before="1" w:after="0"/>
        <w:ind w:left="1223" w:right="0" w:hanging="793"/>
        <w:jc w:val="left"/>
        <w:rPr>
          <w:sz w:val="13"/>
        </w:rPr>
      </w:pPr>
      <w:r>
        <w:rPr>
          <w:w w:val="105"/>
          <w:sz w:val="13"/>
        </w:rPr>
        <w:t>National</w:t>
      </w:r>
      <w:r>
        <w:rPr>
          <w:spacing w:val="4"/>
          <w:w w:val="105"/>
          <w:sz w:val="13"/>
        </w:rPr>
        <w:t> </w:t>
      </w:r>
      <w:r>
        <w:rPr>
          <w:w w:val="105"/>
          <w:sz w:val="13"/>
        </w:rPr>
        <w:t>Committee</w:t>
      </w:r>
      <w:r>
        <w:rPr>
          <w:spacing w:val="5"/>
          <w:w w:val="105"/>
          <w:sz w:val="13"/>
        </w:rPr>
        <w:t> </w:t>
      </w:r>
      <w:r>
        <w:rPr>
          <w:w w:val="105"/>
          <w:sz w:val="13"/>
        </w:rPr>
        <w:t>for</w:t>
      </w:r>
      <w:r>
        <w:rPr>
          <w:spacing w:val="5"/>
          <w:w w:val="105"/>
          <w:sz w:val="13"/>
        </w:rPr>
        <w:t> </w:t>
      </w:r>
      <w:r>
        <w:rPr>
          <w:w w:val="105"/>
          <w:sz w:val="13"/>
        </w:rPr>
        <w:t>Uniform</w:t>
      </w:r>
      <w:r>
        <w:rPr>
          <w:spacing w:val="5"/>
          <w:w w:val="105"/>
          <w:sz w:val="13"/>
        </w:rPr>
        <w:t> </w:t>
      </w:r>
      <w:r>
        <w:rPr>
          <w:w w:val="105"/>
          <w:sz w:val="13"/>
        </w:rPr>
        <w:t>Succession</w:t>
      </w:r>
      <w:r>
        <w:rPr>
          <w:spacing w:val="5"/>
          <w:w w:val="105"/>
          <w:sz w:val="13"/>
        </w:rPr>
        <w:t> </w:t>
      </w:r>
      <w:r>
        <w:rPr>
          <w:w w:val="105"/>
          <w:sz w:val="13"/>
        </w:rPr>
        <w:t>Laws,</w:t>
      </w:r>
      <w:r>
        <w:rPr>
          <w:spacing w:val="5"/>
          <w:w w:val="105"/>
          <w:sz w:val="13"/>
        </w:rPr>
        <w:t> </w:t>
      </w:r>
      <w:r>
        <w:rPr>
          <w:i/>
          <w:w w:val="105"/>
          <w:sz w:val="13"/>
        </w:rPr>
        <w:t>Administration</w:t>
      </w:r>
      <w:r>
        <w:rPr>
          <w:i/>
          <w:spacing w:val="3"/>
          <w:w w:val="105"/>
          <w:sz w:val="13"/>
        </w:rPr>
        <w:t> </w:t>
      </w:r>
      <w:r>
        <w:rPr>
          <w:i/>
          <w:w w:val="105"/>
          <w:sz w:val="13"/>
        </w:rPr>
        <w:t>of</w:t>
      </w:r>
      <w:r>
        <w:rPr>
          <w:i/>
          <w:spacing w:val="4"/>
          <w:w w:val="105"/>
          <w:sz w:val="13"/>
        </w:rPr>
        <w:t> </w:t>
      </w:r>
      <w:r>
        <w:rPr>
          <w:i/>
          <w:w w:val="105"/>
          <w:sz w:val="13"/>
        </w:rPr>
        <w:t>Estates:</w:t>
      </w:r>
      <w:r>
        <w:rPr>
          <w:i/>
          <w:spacing w:val="4"/>
          <w:w w:val="105"/>
          <w:sz w:val="13"/>
        </w:rPr>
        <w:t> </w:t>
      </w:r>
      <w:r>
        <w:rPr>
          <w:i/>
          <w:w w:val="105"/>
          <w:sz w:val="13"/>
        </w:rPr>
        <w:t>Volume</w:t>
      </w:r>
      <w:r>
        <w:rPr>
          <w:i/>
          <w:spacing w:val="4"/>
          <w:w w:val="105"/>
          <w:sz w:val="13"/>
        </w:rPr>
        <w:t> </w:t>
      </w:r>
      <w:r>
        <w:rPr>
          <w:i/>
          <w:spacing w:val="-3"/>
          <w:w w:val="105"/>
          <w:sz w:val="13"/>
        </w:rPr>
        <w:t>3</w:t>
      </w:r>
      <w:r>
        <w:rPr>
          <w:spacing w:val="-3"/>
          <w:w w:val="105"/>
          <w:sz w:val="13"/>
        </w:rPr>
        <w:t>,</w:t>
      </w:r>
      <w:r>
        <w:rPr>
          <w:spacing w:val="5"/>
          <w:w w:val="105"/>
          <w:sz w:val="13"/>
        </w:rPr>
        <w:t> </w:t>
      </w:r>
      <w:r>
        <w:rPr>
          <w:w w:val="105"/>
          <w:sz w:val="13"/>
        </w:rPr>
        <w:t>above</w:t>
      </w:r>
      <w:r>
        <w:rPr>
          <w:spacing w:val="5"/>
          <w:w w:val="105"/>
          <w:sz w:val="13"/>
        </w:rPr>
        <w:t> </w:t>
      </w:r>
      <w:r>
        <w:rPr>
          <w:w w:val="105"/>
          <w:sz w:val="13"/>
        </w:rPr>
        <w:t>n</w:t>
      </w:r>
      <w:r>
        <w:rPr>
          <w:spacing w:val="5"/>
          <w:w w:val="105"/>
          <w:sz w:val="13"/>
        </w:rPr>
        <w:t> </w:t>
      </w:r>
      <w:r>
        <w:rPr>
          <w:w w:val="105"/>
          <w:sz w:val="13"/>
        </w:rPr>
        <w:t>129,</w:t>
      </w:r>
      <w:r>
        <w:rPr>
          <w:spacing w:val="4"/>
          <w:w w:val="105"/>
          <w:sz w:val="13"/>
        </w:rPr>
        <w:t> </w:t>
      </w:r>
      <w:r>
        <w:rPr>
          <w:w w:val="105"/>
          <w:sz w:val="13"/>
        </w:rPr>
        <w:t>66.</w:t>
      </w:r>
    </w:p>
    <w:p>
      <w:pPr>
        <w:spacing w:after="0" w:line="240" w:lineRule="auto"/>
        <w:jc w:val="left"/>
        <w:rPr>
          <w:sz w:val="13"/>
        </w:rPr>
        <w:sectPr>
          <w:type w:val="continuous"/>
          <w:pgSz w:w="11910" w:h="16840"/>
          <w:pgMar w:top="920" w:bottom="280" w:left="0" w:right="0"/>
          <w:cols w:num="2" w:equalWidth="0">
            <w:col w:w="1118" w:space="40"/>
            <w:col w:w="10752"/>
          </w:cols>
        </w:sectPr>
      </w:pPr>
    </w:p>
    <w:p>
      <w:pPr>
        <w:pStyle w:val="BodyText"/>
        <w:rPr>
          <w:sz w:val="20"/>
        </w:rPr>
      </w:pPr>
    </w:p>
    <w:p>
      <w:pPr>
        <w:pStyle w:val="BodyText"/>
        <w:rPr>
          <w:sz w:val="19"/>
        </w:rPr>
      </w:pPr>
    </w:p>
    <w:p>
      <w:pPr>
        <w:pStyle w:val="ListParagraph"/>
        <w:numPr>
          <w:ilvl w:val="1"/>
          <w:numId w:val="22"/>
        </w:numPr>
        <w:tabs>
          <w:tab w:pos="2382" w:val="left" w:leader="none"/>
        </w:tabs>
        <w:spacing w:line="242" w:lineRule="auto" w:before="91" w:after="0"/>
        <w:ind w:left="2381" w:right="2284" w:hanging="794"/>
        <w:jc w:val="both"/>
        <w:rPr>
          <w:sz w:val="12"/>
        </w:rPr>
      </w:pPr>
      <w:r>
        <w:rPr>
          <w:spacing w:val="-4"/>
          <w:w w:val="105"/>
          <w:sz w:val="21"/>
        </w:rPr>
        <w:t>Accordingly, </w:t>
      </w:r>
      <w:r>
        <w:rPr>
          <w:w w:val="105"/>
          <w:sz w:val="21"/>
        </w:rPr>
        <w:t>the </w:t>
      </w:r>
      <w:r>
        <w:rPr>
          <w:spacing w:val="-3"/>
          <w:w w:val="105"/>
          <w:sz w:val="21"/>
        </w:rPr>
        <w:t>Commission considered </w:t>
      </w:r>
      <w:r>
        <w:rPr>
          <w:w w:val="105"/>
          <w:sz w:val="21"/>
        </w:rPr>
        <w:t>whether a review </w:t>
      </w:r>
      <w:r>
        <w:rPr>
          <w:spacing w:val="-3"/>
          <w:w w:val="105"/>
          <w:sz w:val="21"/>
        </w:rPr>
        <w:t>provision introduced </w:t>
      </w:r>
      <w:r>
        <w:rPr>
          <w:w w:val="105"/>
          <w:sz w:val="21"/>
        </w:rPr>
        <w:t>in Victoria</w:t>
      </w:r>
      <w:r>
        <w:rPr>
          <w:spacing w:val="-7"/>
          <w:w w:val="105"/>
          <w:sz w:val="21"/>
        </w:rPr>
        <w:t> </w:t>
      </w:r>
      <w:r>
        <w:rPr>
          <w:w w:val="105"/>
          <w:sz w:val="21"/>
        </w:rPr>
        <w:t>in</w:t>
      </w:r>
      <w:r>
        <w:rPr>
          <w:spacing w:val="-7"/>
          <w:w w:val="105"/>
          <w:sz w:val="21"/>
        </w:rPr>
        <w:t> </w:t>
      </w:r>
      <w:r>
        <w:rPr>
          <w:w w:val="105"/>
          <w:sz w:val="21"/>
        </w:rPr>
        <w:t>response</w:t>
      </w:r>
      <w:r>
        <w:rPr>
          <w:spacing w:val="-7"/>
          <w:w w:val="105"/>
          <w:sz w:val="21"/>
        </w:rPr>
        <w:t> </w:t>
      </w:r>
      <w:r>
        <w:rPr>
          <w:spacing w:val="-3"/>
          <w:w w:val="105"/>
          <w:sz w:val="21"/>
        </w:rPr>
        <w:t>to</w:t>
      </w:r>
      <w:r>
        <w:rPr>
          <w:spacing w:val="-7"/>
          <w:w w:val="105"/>
          <w:sz w:val="21"/>
        </w:rPr>
        <w:t> </w:t>
      </w:r>
      <w:r>
        <w:rPr>
          <w:w w:val="105"/>
          <w:sz w:val="21"/>
        </w:rPr>
        <w:t>the</w:t>
      </w:r>
      <w:r>
        <w:rPr>
          <w:spacing w:val="-7"/>
          <w:w w:val="105"/>
          <w:sz w:val="21"/>
        </w:rPr>
        <w:t> </w:t>
      </w:r>
      <w:r>
        <w:rPr>
          <w:spacing w:val="-3"/>
          <w:w w:val="105"/>
          <w:sz w:val="21"/>
        </w:rPr>
        <w:t>National</w:t>
      </w:r>
      <w:r>
        <w:rPr>
          <w:spacing w:val="-6"/>
          <w:w w:val="105"/>
          <w:sz w:val="21"/>
        </w:rPr>
        <w:t> </w:t>
      </w:r>
      <w:r>
        <w:rPr>
          <w:spacing w:val="-4"/>
          <w:w w:val="105"/>
          <w:sz w:val="21"/>
        </w:rPr>
        <w:t>Committee’s</w:t>
      </w:r>
      <w:r>
        <w:rPr>
          <w:spacing w:val="-7"/>
          <w:w w:val="105"/>
          <w:sz w:val="21"/>
        </w:rPr>
        <w:t> </w:t>
      </w:r>
      <w:r>
        <w:rPr>
          <w:spacing w:val="-3"/>
          <w:w w:val="105"/>
          <w:sz w:val="21"/>
        </w:rPr>
        <w:t>recommendation</w:t>
      </w:r>
      <w:r>
        <w:rPr>
          <w:spacing w:val="-7"/>
          <w:w w:val="105"/>
          <w:sz w:val="21"/>
        </w:rPr>
        <w:t> </w:t>
      </w:r>
      <w:r>
        <w:rPr>
          <w:w w:val="105"/>
          <w:sz w:val="21"/>
        </w:rPr>
        <w:t>should</w:t>
      </w:r>
      <w:r>
        <w:rPr>
          <w:spacing w:val="-7"/>
          <w:w w:val="105"/>
          <w:sz w:val="21"/>
        </w:rPr>
        <w:t> </w:t>
      </w:r>
      <w:r>
        <w:rPr>
          <w:w w:val="105"/>
          <w:sz w:val="21"/>
        </w:rPr>
        <w:t>apply</w:t>
      </w:r>
      <w:r>
        <w:rPr>
          <w:spacing w:val="-7"/>
          <w:w w:val="105"/>
          <w:sz w:val="21"/>
        </w:rPr>
        <w:t> </w:t>
      </w:r>
      <w:r>
        <w:rPr>
          <w:spacing w:val="-3"/>
          <w:w w:val="105"/>
          <w:sz w:val="21"/>
        </w:rPr>
        <w:t>to </w:t>
      </w:r>
      <w:r>
        <w:rPr>
          <w:w w:val="105"/>
          <w:sz w:val="21"/>
        </w:rPr>
        <w:t>amounts </w:t>
      </w:r>
      <w:r>
        <w:rPr>
          <w:spacing w:val="-3"/>
          <w:w w:val="105"/>
          <w:sz w:val="21"/>
        </w:rPr>
        <w:t>charged </w:t>
      </w:r>
      <w:r>
        <w:rPr>
          <w:w w:val="105"/>
          <w:sz w:val="21"/>
        </w:rPr>
        <w:t>by </w:t>
      </w:r>
      <w:r>
        <w:rPr>
          <w:spacing w:val="-3"/>
          <w:w w:val="105"/>
          <w:sz w:val="21"/>
        </w:rPr>
        <w:t>State</w:t>
      </w:r>
      <w:r>
        <w:rPr>
          <w:spacing w:val="23"/>
          <w:w w:val="105"/>
          <w:sz w:val="21"/>
        </w:rPr>
        <w:t> </w:t>
      </w:r>
      <w:r>
        <w:rPr>
          <w:spacing w:val="-5"/>
          <w:w w:val="105"/>
          <w:sz w:val="21"/>
        </w:rPr>
        <w:t>Trustees.</w:t>
      </w:r>
      <w:r>
        <w:rPr>
          <w:spacing w:val="-5"/>
          <w:w w:val="105"/>
          <w:position w:val="7"/>
          <w:sz w:val="12"/>
        </w:rPr>
        <w:t>169</w:t>
      </w:r>
    </w:p>
    <w:p>
      <w:pPr>
        <w:pStyle w:val="ListParagraph"/>
        <w:numPr>
          <w:ilvl w:val="1"/>
          <w:numId w:val="22"/>
        </w:numPr>
        <w:tabs>
          <w:tab w:pos="2381" w:val="left" w:leader="none"/>
          <w:tab w:pos="2382" w:val="left" w:leader="none"/>
        </w:tabs>
        <w:spacing w:line="242" w:lineRule="auto" w:before="124" w:after="0"/>
        <w:ind w:left="2381" w:right="1649" w:hanging="794"/>
        <w:jc w:val="left"/>
        <w:rPr>
          <w:sz w:val="12"/>
        </w:rPr>
      </w:pPr>
      <w:r>
        <w:rPr>
          <w:spacing w:val="-3"/>
          <w:w w:val="105"/>
          <w:sz w:val="21"/>
        </w:rPr>
        <w:t>The </w:t>
      </w:r>
      <w:r>
        <w:rPr>
          <w:spacing w:val="-5"/>
          <w:w w:val="105"/>
          <w:sz w:val="21"/>
        </w:rPr>
        <w:t>Supreme Court already </w:t>
      </w:r>
      <w:r>
        <w:rPr>
          <w:spacing w:val="-4"/>
          <w:w w:val="105"/>
          <w:sz w:val="21"/>
        </w:rPr>
        <w:t>has </w:t>
      </w:r>
      <w:r>
        <w:rPr>
          <w:w w:val="105"/>
          <w:sz w:val="21"/>
        </w:rPr>
        <w:t>a </w:t>
      </w:r>
      <w:r>
        <w:rPr>
          <w:spacing w:val="-5"/>
          <w:w w:val="105"/>
          <w:sz w:val="21"/>
        </w:rPr>
        <w:t>power </w:t>
      </w:r>
      <w:r>
        <w:rPr>
          <w:spacing w:val="-4"/>
          <w:w w:val="105"/>
          <w:sz w:val="21"/>
        </w:rPr>
        <w:t>to </w:t>
      </w:r>
      <w:r>
        <w:rPr>
          <w:spacing w:val="-5"/>
          <w:w w:val="105"/>
          <w:sz w:val="21"/>
        </w:rPr>
        <w:t>review commission charged </w:t>
      </w:r>
      <w:r>
        <w:rPr>
          <w:spacing w:val="-4"/>
          <w:w w:val="105"/>
          <w:sz w:val="21"/>
        </w:rPr>
        <w:t>by </w:t>
      </w:r>
      <w:r>
        <w:rPr>
          <w:spacing w:val="-6"/>
          <w:w w:val="105"/>
          <w:sz w:val="21"/>
        </w:rPr>
        <w:t>State </w:t>
      </w:r>
      <w:r>
        <w:rPr>
          <w:spacing w:val="-7"/>
          <w:w w:val="105"/>
          <w:sz w:val="21"/>
        </w:rPr>
        <w:t>Trustees. </w:t>
      </w:r>
      <w:r>
        <w:rPr>
          <w:spacing w:val="-4"/>
          <w:w w:val="105"/>
          <w:sz w:val="21"/>
        </w:rPr>
        <w:t>Under section </w:t>
      </w:r>
      <w:r>
        <w:rPr>
          <w:spacing w:val="-5"/>
          <w:w w:val="105"/>
          <w:sz w:val="21"/>
        </w:rPr>
        <w:t>21(3) </w:t>
      </w:r>
      <w:r>
        <w:rPr>
          <w:spacing w:val="-4"/>
          <w:w w:val="105"/>
          <w:sz w:val="21"/>
        </w:rPr>
        <w:t>of the </w:t>
      </w:r>
      <w:r>
        <w:rPr>
          <w:i/>
          <w:spacing w:val="-6"/>
          <w:w w:val="105"/>
          <w:sz w:val="21"/>
        </w:rPr>
        <w:t>Trustee Companies </w:t>
      </w:r>
      <w:r>
        <w:rPr>
          <w:i/>
          <w:spacing w:val="-3"/>
          <w:w w:val="105"/>
          <w:sz w:val="21"/>
        </w:rPr>
        <w:t>Act </w:t>
      </w:r>
      <w:r>
        <w:rPr>
          <w:i/>
          <w:spacing w:val="-6"/>
          <w:w w:val="105"/>
          <w:sz w:val="21"/>
        </w:rPr>
        <w:t>1984 </w:t>
      </w:r>
      <w:r>
        <w:rPr>
          <w:spacing w:val="-3"/>
          <w:w w:val="105"/>
          <w:sz w:val="21"/>
        </w:rPr>
        <w:t>(Vic) </w:t>
      </w:r>
      <w:r>
        <w:rPr>
          <w:spacing w:val="-4"/>
          <w:w w:val="105"/>
          <w:sz w:val="21"/>
        </w:rPr>
        <w:t>the </w:t>
      </w:r>
      <w:r>
        <w:rPr>
          <w:spacing w:val="-5"/>
          <w:w w:val="105"/>
          <w:sz w:val="21"/>
        </w:rPr>
        <w:t>Court </w:t>
      </w:r>
      <w:r>
        <w:rPr>
          <w:spacing w:val="-4"/>
          <w:w w:val="105"/>
          <w:sz w:val="21"/>
        </w:rPr>
        <w:t>was </w:t>
      </w:r>
      <w:r>
        <w:rPr>
          <w:spacing w:val="-5"/>
          <w:w w:val="105"/>
          <w:sz w:val="21"/>
        </w:rPr>
        <w:t>once </w:t>
      </w:r>
      <w:r>
        <w:rPr>
          <w:spacing w:val="-4"/>
          <w:w w:val="105"/>
          <w:sz w:val="21"/>
        </w:rPr>
        <w:t>able to </w:t>
      </w:r>
      <w:r>
        <w:rPr>
          <w:spacing w:val="-5"/>
          <w:w w:val="105"/>
          <w:sz w:val="21"/>
        </w:rPr>
        <w:t>review </w:t>
      </w:r>
      <w:r>
        <w:rPr>
          <w:spacing w:val="-4"/>
          <w:w w:val="105"/>
          <w:sz w:val="21"/>
        </w:rPr>
        <w:t>and </w:t>
      </w:r>
      <w:r>
        <w:rPr>
          <w:spacing w:val="-5"/>
          <w:w w:val="105"/>
          <w:sz w:val="21"/>
        </w:rPr>
        <w:t>reduce commission charged </w:t>
      </w:r>
      <w:r>
        <w:rPr>
          <w:spacing w:val="-4"/>
          <w:w w:val="105"/>
          <w:sz w:val="21"/>
        </w:rPr>
        <w:t>by </w:t>
      </w:r>
      <w:r>
        <w:rPr>
          <w:spacing w:val="-5"/>
          <w:w w:val="105"/>
          <w:sz w:val="21"/>
        </w:rPr>
        <w:t>any trustee </w:t>
      </w:r>
      <w:r>
        <w:rPr>
          <w:spacing w:val="-7"/>
          <w:w w:val="105"/>
          <w:sz w:val="21"/>
        </w:rPr>
        <w:t>company. </w:t>
      </w:r>
      <w:r>
        <w:rPr>
          <w:spacing w:val="-5"/>
          <w:w w:val="105"/>
          <w:sz w:val="21"/>
        </w:rPr>
        <w:t>Although </w:t>
      </w:r>
      <w:r>
        <w:rPr>
          <w:spacing w:val="-4"/>
          <w:w w:val="105"/>
          <w:sz w:val="21"/>
        </w:rPr>
        <w:t>section </w:t>
      </w:r>
      <w:r>
        <w:rPr>
          <w:spacing w:val="-5"/>
          <w:w w:val="105"/>
          <w:sz w:val="21"/>
        </w:rPr>
        <w:t>21(3) </w:t>
      </w:r>
      <w:r>
        <w:rPr>
          <w:spacing w:val="-4"/>
          <w:w w:val="105"/>
          <w:sz w:val="21"/>
        </w:rPr>
        <w:t>and </w:t>
      </w:r>
      <w:r>
        <w:rPr>
          <w:spacing w:val="-5"/>
          <w:w w:val="105"/>
          <w:sz w:val="21"/>
        </w:rPr>
        <w:t>many other </w:t>
      </w:r>
      <w:r>
        <w:rPr>
          <w:spacing w:val="-6"/>
          <w:w w:val="105"/>
          <w:sz w:val="21"/>
        </w:rPr>
        <w:t>provisions </w:t>
      </w:r>
      <w:r>
        <w:rPr>
          <w:spacing w:val="-4"/>
          <w:w w:val="105"/>
          <w:sz w:val="21"/>
        </w:rPr>
        <w:t>of the </w:t>
      </w:r>
      <w:r>
        <w:rPr>
          <w:spacing w:val="-7"/>
          <w:w w:val="105"/>
          <w:sz w:val="21"/>
        </w:rPr>
        <w:t>Trustee </w:t>
      </w:r>
      <w:r>
        <w:rPr>
          <w:spacing w:val="-6"/>
          <w:w w:val="105"/>
          <w:sz w:val="21"/>
        </w:rPr>
        <w:t>Companies </w:t>
      </w:r>
      <w:r>
        <w:rPr>
          <w:w w:val="105"/>
          <w:sz w:val="21"/>
        </w:rPr>
        <w:t>Act </w:t>
      </w:r>
      <w:r>
        <w:rPr>
          <w:spacing w:val="-5"/>
          <w:w w:val="105"/>
          <w:sz w:val="21"/>
        </w:rPr>
        <w:t>were repealed </w:t>
      </w:r>
      <w:r>
        <w:rPr>
          <w:spacing w:val="-4"/>
          <w:w w:val="105"/>
          <w:sz w:val="21"/>
        </w:rPr>
        <w:t>when </w:t>
      </w:r>
      <w:r>
        <w:rPr>
          <w:spacing w:val="-5"/>
          <w:w w:val="105"/>
          <w:sz w:val="21"/>
        </w:rPr>
        <w:t>trustee companies </w:t>
      </w:r>
      <w:r>
        <w:rPr>
          <w:spacing w:val="-4"/>
          <w:w w:val="105"/>
          <w:sz w:val="21"/>
        </w:rPr>
        <w:t>became subject to </w:t>
      </w:r>
      <w:r>
        <w:rPr>
          <w:spacing w:val="-6"/>
          <w:w w:val="105"/>
          <w:sz w:val="21"/>
        </w:rPr>
        <w:t>Commonwealth regulation, </w:t>
      </w:r>
      <w:r>
        <w:rPr>
          <w:spacing w:val="-3"/>
          <w:w w:val="105"/>
          <w:sz w:val="21"/>
        </w:rPr>
        <w:t>it </w:t>
      </w:r>
      <w:r>
        <w:rPr>
          <w:spacing w:val="-6"/>
          <w:w w:val="105"/>
          <w:sz w:val="21"/>
        </w:rPr>
        <w:t>continues </w:t>
      </w:r>
      <w:r>
        <w:rPr>
          <w:spacing w:val="-4"/>
          <w:w w:val="105"/>
          <w:sz w:val="21"/>
        </w:rPr>
        <w:t>to apply to </w:t>
      </w:r>
      <w:r>
        <w:rPr>
          <w:spacing w:val="-6"/>
          <w:w w:val="105"/>
          <w:sz w:val="21"/>
        </w:rPr>
        <w:t>State</w:t>
      </w:r>
      <w:r>
        <w:rPr>
          <w:spacing w:val="10"/>
          <w:w w:val="105"/>
          <w:sz w:val="21"/>
        </w:rPr>
        <w:t> </w:t>
      </w:r>
      <w:r>
        <w:rPr>
          <w:spacing w:val="-8"/>
          <w:w w:val="105"/>
          <w:sz w:val="21"/>
        </w:rPr>
        <w:t>Trustees.</w:t>
      </w:r>
      <w:r>
        <w:rPr>
          <w:spacing w:val="-8"/>
          <w:w w:val="105"/>
          <w:position w:val="7"/>
          <w:sz w:val="12"/>
        </w:rPr>
        <w:t>170</w:t>
      </w:r>
    </w:p>
    <w:p>
      <w:pPr>
        <w:pStyle w:val="ListParagraph"/>
        <w:numPr>
          <w:ilvl w:val="1"/>
          <w:numId w:val="22"/>
        </w:numPr>
        <w:tabs>
          <w:tab w:pos="2380" w:val="left" w:leader="none"/>
          <w:tab w:pos="2381" w:val="left" w:leader="none"/>
        </w:tabs>
        <w:spacing w:line="242" w:lineRule="auto" w:before="125" w:after="0"/>
        <w:ind w:left="2381" w:right="1677" w:hanging="794"/>
        <w:jc w:val="left"/>
        <w:rPr>
          <w:sz w:val="21"/>
        </w:rPr>
      </w:pPr>
      <w:r>
        <w:rPr>
          <w:sz w:val="21"/>
        </w:rPr>
        <w:t>The </w:t>
      </w:r>
      <w:r>
        <w:rPr>
          <w:spacing w:val="-3"/>
          <w:sz w:val="21"/>
        </w:rPr>
        <w:t>Court’s </w:t>
      </w:r>
      <w:r>
        <w:rPr>
          <w:sz w:val="21"/>
        </w:rPr>
        <w:t>present power </w:t>
      </w:r>
      <w:r>
        <w:rPr>
          <w:spacing w:val="-3"/>
          <w:sz w:val="21"/>
        </w:rPr>
        <w:t>to </w:t>
      </w:r>
      <w:r>
        <w:rPr>
          <w:sz w:val="21"/>
        </w:rPr>
        <w:t>review amounts </w:t>
      </w:r>
      <w:r>
        <w:rPr>
          <w:spacing w:val="-3"/>
          <w:sz w:val="21"/>
        </w:rPr>
        <w:t>charged </w:t>
      </w:r>
      <w:r>
        <w:rPr>
          <w:sz w:val="21"/>
        </w:rPr>
        <w:t>by </w:t>
      </w:r>
      <w:r>
        <w:rPr>
          <w:spacing w:val="-3"/>
          <w:sz w:val="21"/>
        </w:rPr>
        <w:t>State </w:t>
      </w:r>
      <w:r>
        <w:rPr>
          <w:spacing w:val="-4"/>
          <w:sz w:val="21"/>
        </w:rPr>
        <w:t>Trustees </w:t>
      </w:r>
      <w:r>
        <w:rPr>
          <w:sz w:val="21"/>
        </w:rPr>
        <w:t>is </w:t>
      </w:r>
      <w:r>
        <w:rPr>
          <w:spacing w:val="-3"/>
          <w:sz w:val="21"/>
        </w:rPr>
        <w:t>narrower  than </w:t>
      </w:r>
      <w:r>
        <w:rPr>
          <w:sz w:val="21"/>
        </w:rPr>
        <w:t>the power it would </w:t>
      </w:r>
      <w:r>
        <w:rPr>
          <w:spacing w:val="-3"/>
          <w:sz w:val="21"/>
        </w:rPr>
        <w:t>have  </w:t>
      </w:r>
      <w:r>
        <w:rPr>
          <w:sz w:val="21"/>
        </w:rPr>
        <w:t>under a </w:t>
      </w:r>
      <w:r>
        <w:rPr>
          <w:spacing w:val="-3"/>
          <w:sz w:val="21"/>
        </w:rPr>
        <w:t>provision</w:t>
      </w:r>
      <w:r>
        <w:rPr>
          <w:spacing w:val="41"/>
          <w:sz w:val="21"/>
        </w:rPr>
        <w:t> </w:t>
      </w:r>
      <w:r>
        <w:rPr>
          <w:sz w:val="21"/>
        </w:rPr>
        <w:t>based on section 86A of the NSW </w:t>
      </w:r>
      <w:r>
        <w:rPr>
          <w:spacing w:val="-3"/>
          <w:sz w:val="21"/>
        </w:rPr>
        <w:t>Probate       </w:t>
      </w:r>
      <w:r>
        <w:rPr>
          <w:sz w:val="21"/>
        </w:rPr>
        <w:t>and </w:t>
      </w:r>
      <w:r>
        <w:rPr>
          <w:spacing w:val="-3"/>
          <w:sz w:val="21"/>
        </w:rPr>
        <w:t>Administration </w:t>
      </w:r>
      <w:r>
        <w:rPr>
          <w:sz w:val="21"/>
        </w:rPr>
        <w:t>Act. Under its present </w:t>
      </w:r>
      <w:r>
        <w:rPr>
          <w:spacing w:val="-5"/>
          <w:sz w:val="21"/>
        </w:rPr>
        <w:t>power, </w:t>
      </w:r>
      <w:r>
        <w:rPr>
          <w:sz w:val="21"/>
        </w:rPr>
        <w:t>the </w:t>
      </w:r>
      <w:r>
        <w:rPr>
          <w:spacing w:val="-3"/>
          <w:sz w:val="21"/>
        </w:rPr>
        <w:t>Court cannot initiate </w:t>
      </w:r>
      <w:r>
        <w:rPr>
          <w:sz w:val="21"/>
        </w:rPr>
        <w:t>a review of </w:t>
      </w:r>
      <w:r>
        <w:rPr>
          <w:spacing w:val="-3"/>
          <w:sz w:val="21"/>
        </w:rPr>
        <w:t>commission</w:t>
      </w:r>
      <w:r>
        <w:rPr>
          <w:spacing w:val="13"/>
          <w:sz w:val="21"/>
        </w:rPr>
        <w:t> </w:t>
      </w:r>
      <w:r>
        <w:rPr>
          <w:spacing w:val="-3"/>
          <w:sz w:val="21"/>
        </w:rPr>
        <w:t>charged</w:t>
      </w:r>
      <w:r>
        <w:rPr>
          <w:spacing w:val="13"/>
          <w:sz w:val="21"/>
        </w:rPr>
        <w:t> </w:t>
      </w:r>
      <w:r>
        <w:rPr>
          <w:sz w:val="21"/>
        </w:rPr>
        <w:t>by</w:t>
      </w:r>
      <w:r>
        <w:rPr>
          <w:spacing w:val="13"/>
          <w:sz w:val="21"/>
        </w:rPr>
        <w:t> </w:t>
      </w:r>
      <w:r>
        <w:rPr>
          <w:spacing w:val="-3"/>
          <w:sz w:val="21"/>
        </w:rPr>
        <w:t>State</w:t>
      </w:r>
      <w:r>
        <w:rPr>
          <w:spacing w:val="13"/>
          <w:sz w:val="21"/>
        </w:rPr>
        <w:t> </w:t>
      </w:r>
      <w:r>
        <w:rPr>
          <w:spacing w:val="-3"/>
          <w:sz w:val="21"/>
        </w:rPr>
        <w:t>Trustees,</w:t>
      </w:r>
      <w:r>
        <w:rPr>
          <w:spacing w:val="13"/>
          <w:sz w:val="21"/>
        </w:rPr>
        <w:t> </w:t>
      </w:r>
      <w:r>
        <w:rPr>
          <w:sz w:val="21"/>
        </w:rPr>
        <w:t>and</w:t>
      </w:r>
      <w:r>
        <w:rPr>
          <w:spacing w:val="13"/>
          <w:sz w:val="21"/>
        </w:rPr>
        <w:t> </w:t>
      </w:r>
      <w:r>
        <w:rPr>
          <w:sz w:val="21"/>
        </w:rPr>
        <w:t>it</w:t>
      </w:r>
      <w:r>
        <w:rPr>
          <w:spacing w:val="13"/>
          <w:sz w:val="21"/>
        </w:rPr>
        <w:t> </w:t>
      </w:r>
      <w:r>
        <w:rPr>
          <w:spacing w:val="-3"/>
          <w:sz w:val="21"/>
        </w:rPr>
        <w:t>cannot</w:t>
      </w:r>
      <w:r>
        <w:rPr>
          <w:spacing w:val="13"/>
          <w:sz w:val="21"/>
        </w:rPr>
        <w:t> </w:t>
      </w:r>
      <w:r>
        <w:rPr>
          <w:sz w:val="21"/>
        </w:rPr>
        <w:t>review</w:t>
      </w:r>
      <w:r>
        <w:rPr>
          <w:spacing w:val="13"/>
          <w:sz w:val="21"/>
        </w:rPr>
        <w:t> </w:t>
      </w:r>
      <w:r>
        <w:rPr>
          <w:sz w:val="21"/>
        </w:rPr>
        <w:t>other</w:t>
      </w:r>
      <w:r>
        <w:rPr>
          <w:spacing w:val="13"/>
          <w:sz w:val="21"/>
        </w:rPr>
        <w:t> </w:t>
      </w:r>
      <w:r>
        <w:rPr>
          <w:sz w:val="21"/>
        </w:rPr>
        <w:t>amounts.</w:t>
      </w:r>
    </w:p>
    <w:p>
      <w:pPr>
        <w:pStyle w:val="ListParagraph"/>
        <w:numPr>
          <w:ilvl w:val="1"/>
          <w:numId w:val="22"/>
        </w:numPr>
        <w:tabs>
          <w:tab w:pos="2380" w:val="left" w:leader="none"/>
          <w:tab w:pos="2381" w:val="left" w:leader="none"/>
        </w:tabs>
        <w:spacing w:line="242" w:lineRule="auto" w:before="124" w:after="0"/>
        <w:ind w:left="2380" w:right="2126" w:hanging="793"/>
        <w:jc w:val="left"/>
        <w:rPr>
          <w:sz w:val="12"/>
        </w:rPr>
      </w:pPr>
      <w:r>
        <w:rPr>
          <w:sz w:val="21"/>
        </w:rPr>
        <w:t>Almost every </w:t>
      </w:r>
      <w:r>
        <w:rPr>
          <w:spacing w:val="-3"/>
          <w:sz w:val="21"/>
        </w:rPr>
        <w:t>submission  </w:t>
      </w:r>
      <w:r>
        <w:rPr>
          <w:sz w:val="21"/>
        </w:rPr>
        <w:t>on this topic said </w:t>
      </w:r>
      <w:r>
        <w:rPr>
          <w:spacing w:val="-3"/>
          <w:sz w:val="21"/>
        </w:rPr>
        <w:t>that</w:t>
      </w:r>
      <w:r>
        <w:rPr>
          <w:spacing w:val="41"/>
          <w:sz w:val="21"/>
        </w:rPr>
        <w:t> </w:t>
      </w:r>
      <w:r>
        <w:rPr>
          <w:sz w:val="21"/>
        </w:rPr>
        <w:t>the new </w:t>
      </w:r>
      <w:r>
        <w:rPr>
          <w:spacing w:val="-3"/>
          <w:sz w:val="21"/>
        </w:rPr>
        <w:t>provision  for  </w:t>
      </w:r>
      <w:r>
        <w:rPr>
          <w:sz w:val="21"/>
        </w:rPr>
        <w:t>court review   of </w:t>
      </w:r>
      <w:r>
        <w:rPr>
          <w:spacing w:val="-3"/>
          <w:sz w:val="21"/>
        </w:rPr>
        <w:t>commission </w:t>
      </w:r>
      <w:r>
        <w:rPr>
          <w:sz w:val="21"/>
        </w:rPr>
        <w:t>and other amounts should also apply </w:t>
      </w:r>
      <w:r>
        <w:rPr>
          <w:spacing w:val="-3"/>
          <w:sz w:val="21"/>
        </w:rPr>
        <w:t>to </w:t>
      </w:r>
      <w:r>
        <w:rPr>
          <w:sz w:val="21"/>
        </w:rPr>
        <w:t>amounts </w:t>
      </w:r>
      <w:r>
        <w:rPr>
          <w:spacing w:val="-3"/>
          <w:sz w:val="21"/>
        </w:rPr>
        <w:t>charged </w:t>
      </w:r>
      <w:r>
        <w:rPr>
          <w:sz w:val="21"/>
        </w:rPr>
        <w:t>by </w:t>
      </w:r>
      <w:r>
        <w:rPr>
          <w:spacing w:val="-3"/>
          <w:sz w:val="21"/>
        </w:rPr>
        <w:t>State </w:t>
      </w:r>
      <w:r>
        <w:rPr>
          <w:spacing w:val="-5"/>
          <w:sz w:val="21"/>
        </w:rPr>
        <w:t>Trustees.</w:t>
      </w:r>
      <w:r>
        <w:rPr>
          <w:spacing w:val="-5"/>
          <w:position w:val="7"/>
          <w:sz w:val="12"/>
        </w:rPr>
        <w:t>171 </w:t>
      </w:r>
      <w:r>
        <w:rPr>
          <w:sz w:val="21"/>
        </w:rPr>
        <w:t>The </w:t>
      </w:r>
      <w:r>
        <w:rPr>
          <w:spacing w:val="-3"/>
          <w:sz w:val="21"/>
        </w:rPr>
        <w:t>State </w:t>
      </w:r>
      <w:r>
        <w:rPr>
          <w:spacing w:val="-4"/>
          <w:sz w:val="21"/>
        </w:rPr>
        <w:t>Trustees </w:t>
      </w:r>
      <w:r>
        <w:rPr>
          <w:spacing w:val="-3"/>
          <w:sz w:val="21"/>
        </w:rPr>
        <w:t>submission </w:t>
      </w:r>
      <w:r>
        <w:rPr>
          <w:sz w:val="21"/>
        </w:rPr>
        <w:t>argued </w:t>
      </w:r>
      <w:r>
        <w:rPr>
          <w:spacing w:val="-3"/>
          <w:sz w:val="21"/>
        </w:rPr>
        <w:t>that </w:t>
      </w:r>
      <w:r>
        <w:rPr>
          <w:sz w:val="21"/>
        </w:rPr>
        <w:t>the rules which </w:t>
      </w:r>
      <w:r>
        <w:rPr>
          <w:spacing w:val="-3"/>
          <w:sz w:val="21"/>
        </w:rPr>
        <w:t>regulate </w:t>
      </w:r>
      <w:r>
        <w:rPr>
          <w:sz w:val="21"/>
        </w:rPr>
        <w:t>the </w:t>
      </w:r>
      <w:r>
        <w:rPr>
          <w:spacing w:val="-3"/>
          <w:sz w:val="21"/>
        </w:rPr>
        <w:t>remuneration </w:t>
      </w:r>
      <w:r>
        <w:rPr>
          <w:sz w:val="21"/>
        </w:rPr>
        <w:t>it receives </w:t>
      </w:r>
      <w:r>
        <w:rPr>
          <w:spacing w:val="-3"/>
          <w:sz w:val="21"/>
        </w:rPr>
        <w:t>for executorial </w:t>
      </w:r>
      <w:r>
        <w:rPr>
          <w:sz w:val="21"/>
        </w:rPr>
        <w:t>services should be </w:t>
      </w:r>
      <w:r>
        <w:rPr>
          <w:spacing w:val="-3"/>
          <w:sz w:val="21"/>
        </w:rPr>
        <w:t>consistent </w:t>
      </w:r>
      <w:r>
        <w:rPr>
          <w:sz w:val="21"/>
        </w:rPr>
        <w:t>with those </w:t>
      </w:r>
      <w:r>
        <w:rPr>
          <w:spacing w:val="-3"/>
          <w:sz w:val="21"/>
        </w:rPr>
        <w:t>that </w:t>
      </w:r>
      <w:r>
        <w:rPr>
          <w:sz w:val="21"/>
        </w:rPr>
        <w:t>apply </w:t>
      </w:r>
      <w:r>
        <w:rPr>
          <w:spacing w:val="-3"/>
          <w:sz w:val="21"/>
        </w:rPr>
        <w:t>to private </w:t>
      </w:r>
      <w:r>
        <w:rPr>
          <w:sz w:val="21"/>
        </w:rPr>
        <w:t>trustee</w:t>
      </w:r>
      <w:r>
        <w:rPr>
          <w:spacing w:val="42"/>
          <w:sz w:val="21"/>
        </w:rPr>
        <w:t> </w:t>
      </w:r>
      <w:r>
        <w:rPr>
          <w:spacing w:val="-4"/>
          <w:sz w:val="21"/>
        </w:rPr>
        <w:t>companies.</w:t>
      </w:r>
      <w:r>
        <w:rPr>
          <w:spacing w:val="-4"/>
          <w:position w:val="7"/>
          <w:sz w:val="12"/>
        </w:rPr>
        <w:t>172</w:t>
      </w:r>
    </w:p>
    <w:p>
      <w:pPr>
        <w:pStyle w:val="ListParagraph"/>
        <w:numPr>
          <w:ilvl w:val="1"/>
          <w:numId w:val="22"/>
        </w:numPr>
        <w:tabs>
          <w:tab w:pos="2380" w:val="left" w:leader="none"/>
          <w:tab w:pos="2381" w:val="left" w:leader="none"/>
        </w:tabs>
        <w:spacing w:line="242" w:lineRule="auto" w:before="126" w:after="0"/>
        <w:ind w:left="2381" w:right="1598" w:hanging="794"/>
        <w:jc w:val="left"/>
        <w:rPr>
          <w:sz w:val="21"/>
        </w:rPr>
      </w:pPr>
      <w:r>
        <w:rPr>
          <w:spacing w:val="-5"/>
          <w:w w:val="105"/>
          <w:sz w:val="21"/>
        </w:rPr>
        <w:t>Private trustee companies </w:t>
      </w:r>
      <w:r>
        <w:rPr>
          <w:spacing w:val="-4"/>
          <w:w w:val="105"/>
          <w:sz w:val="21"/>
        </w:rPr>
        <w:t>now </w:t>
      </w:r>
      <w:r>
        <w:rPr>
          <w:spacing w:val="-5"/>
          <w:w w:val="105"/>
          <w:sz w:val="21"/>
        </w:rPr>
        <w:t>operate under </w:t>
      </w:r>
      <w:r>
        <w:rPr>
          <w:w w:val="105"/>
          <w:sz w:val="21"/>
        </w:rPr>
        <w:t>a </w:t>
      </w:r>
      <w:r>
        <w:rPr>
          <w:spacing w:val="-5"/>
          <w:w w:val="105"/>
          <w:sz w:val="21"/>
        </w:rPr>
        <w:t>far </w:t>
      </w:r>
      <w:r>
        <w:rPr>
          <w:spacing w:val="-6"/>
          <w:w w:val="105"/>
          <w:sz w:val="21"/>
        </w:rPr>
        <w:t>different </w:t>
      </w:r>
      <w:r>
        <w:rPr>
          <w:spacing w:val="-5"/>
          <w:w w:val="105"/>
          <w:sz w:val="21"/>
        </w:rPr>
        <w:t>regulatory regime </w:t>
      </w:r>
      <w:r>
        <w:rPr>
          <w:spacing w:val="-4"/>
          <w:w w:val="105"/>
          <w:sz w:val="21"/>
        </w:rPr>
        <w:t>and </w:t>
      </w:r>
      <w:r>
        <w:rPr>
          <w:spacing w:val="-5"/>
          <w:w w:val="105"/>
          <w:sz w:val="21"/>
        </w:rPr>
        <w:t>their </w:t>
      </w:r>
      <w:r>
        <w:rPr>
          <w:spacing w:val="-6"/>
          <w:w w:val="105"/>
          <w:sz w:val="21"/>
        </w:rPr>
        <w:t>charging </w:t>
      </w:r>
      <w:r>
        <w:rPr>
          <w:spacing w:val="-5"/>
          <w:w w:val="105"/>
          <w:sz w:val="21"/>
        </w:rPr>
        <w:t>practices are </w:t>
      </w:r>
      <w:r>
        <w:rPr>
          <w:spacing w:val="-6"/>
          <w:w w:val="105"/>
          <w:sz w:val="21"/>
        </w:rPr>
        <w:t>regulated </w:t>
      </w:r>
      <w:r>
        <w:rPr>
          <w:spacing w:val="-4"/>
          <w:w w:val="105"/>
          <w:sz w:val="21"/>
        </w:rPr>
        <w:t>by </w:t>
      </w:r>
      <w:r>
        <w:rPr>
          <w:spacing w:val="-3"/>
          <w:w w:val="105"/>
          <w:sz w:val="21"/>
        </w:rPr>
        <w:t>Part </w:t>
      </w:r>
      <w:r>
        <w:rPr>
          <w:spacing w:val="-6"/>
          <w:w w:val="105"/>
          <w:sz w:val="21"/>
        </w:rPr>
        <w:t>5D.3 </w:t>
      </w:r>
      <w:r>
        <w:rPr>
          <w:spacing w:val="-4"/>
          <w:w w:val="105"/>
          <w:sz w:val="21"/>
        </w:rPr>
        <w:t>of the </w:t>
      </w:r>
      <w:r>
        <w:rPr>
          <w:spacing w:val="-6"/>
          <w:w w:val="105"/>
          <w:sz w:val="21"/>
        </w:rPr>
        <w:t>Corporations </w:t>
      </w:r>
      <w:r>
        <w:rPr>
          <w:spacing w:val="-3"/>
          <w:w w:val="105"/>
          <w:sz w:val="21"/>
        </w:rPr>
        <w:t>Act. </w:t>
      </w:r>
      <w:r>
        <w:rPr>
          <w:spacing w:val="-6"/>
          <w:w w:val="105"/>
          <w:sz w:val="21"/>
        </w:rPr>
        <w:t>State Trustees </w:t>
      </w:r>
      <w:r>
        <w:rPr>
          <w:spacing w:val="-3"/>
          <w:w w:val="105"/>
          <w:sz w:val="21"/>
        </w:rPr>
        <w:t>is </w:t>
      </w:r>
      <w:r>
        <w:rPr>
          <w:spacing w:val="-5"/>
          <w:w w:val="105"/>
          <w:sz w:val="21"/>
        </w:rPr>
        <w:t>seeking </w:t>
      </w:r>
      <w:r>
        <w:rPr>
          <w:spacing w:val="-6"/>
          <w:w w:val="105"/>
          <w:sz w:val="21"/>
        </w:rPr>
        <w:t>legislative reform </w:t>
      </w:r>
      <w:r>
        <w:rPr>
          <w:spacing w:val="-5"/>
          <w:w w:val="105"/>
          <w:sz w:val="21"/>
        </w:rPr>
        <w:t>that will </w:t>
      </w:r>
      <w:r>
        <w:rPr>
          <w:spacing w:val="-4"/>
          <w:w w:val="105"/>
          <w:sz w:val="21"/>
        </w:rPr>
        <w:t>put </w:t>
      </w:r>
      <w:r>
        <w:rPr>
          <w:spacing w:val="-3"/>
          <w:w w:val="105"/>
          <w:sz w:val="21"/>
        </w:rPr>
        <w:t>it on an </w:t>
      </w:r>
      <w:r>
        <w:rPr>
          <w:spacing w:val="-5"/>
          <w:w w:val="105"/>
          <w:sz w:val="21"/>
        </w:rPr>
        <w:t>equal </w:t>
      </w:r>
      <w:r>
        <w:rPr>
          <w:spacing w:val="-6"/>
          <w:w w:val="105"/>
          <w:sz w:val="21"/>
        </w:rPr>
        <w:t>footing </w:t>
      </w:r>
      <w:r>
        <w:rPr>
          <w:spacing w:val="-4"/>
          <w:w w:val="105"/>
          <w:sz w:val="21"/>
        </w:rPr>
        <w:t>with </w:t>
      </w:r>
      <w:r>
        <w:rPr>
          <w:spacing w:val="-5"/>
          <w:w w:val="105"/>
          <w:sz w:val="21"/>
        </w:rPr>
        <w:t>licensed trustee</w:t>
      </w:r>
      <w:r>
        <w:rPr>
          <w:spacing w:val="-19"/>
          <w:w w:val="105"/>
          <w:sz w:val="21"/>
        </w:rPr>
        <w:t> </w:t>
      </w:r>
      <w:r>
        <w:rPr>
          <w:spacing w:val="-6"/>
          <w:w w:val="105"/>
          <w:sz w:val="21"/>
        </w:rPr>
        <w:t>companies.</w:t>
      </w:r>
    </w:p>
    <w:p>
      <w:pPr>
        <w:pStyle w:val="ListParagraph"/>
        <w:numPr>
          <w:ilvl w:val="1"/>
          <w:numId w:val="22"/>
        </w:numPr>
        <w:tabs>
          <w:tab w:pos="2380" w:val="left" w:leader="none"/>
          <w:tab w:pos="2381" w:val="left" w:leader="none"/>
        </w:tabs>
        <w:spacing w:line="242" w:lineRule="auto" w:before="123" w:after="0"/>
        <w:ind w:left="2380" w:right="1599" w:hanging="793"/>
        <w:jc w:val="left"/>
        <w:rPr>
          <w:sz w:val="21"/>
        </w:rPr>
      </w:pPr>
      <w:r>
        <w:rPr>
          <w:spacing w:val="-5"/>
          <w:sz w:val="21"/>
        </w:rPr>
        <w:t>Meanwhile, State </w:t>
      </w:r>
      <w:r>
        <w:rPr>
          <w:spacing w:val="-6"/>
          <w:sz w:val="21"/>
        </w:rPr>
        <w:t>Trustees’ </w:t>
      </w:r>
      <w:r>
        <w:rPr>
          <w:spacing w:val="-5"/>
          <w:sz w:val="21"/>
        </w:rPr>
        <w:t>entitlement </w:t>
      </w:r>
      <w:r>
        <w:rPr>
          <w:spacing w:val="-4"/>
          <w:sz w:val="21"/>
        </w:rPr>
        <w:t>to charge </w:t>
      </w:r>
      <w:r>
        <w:rPr>
          <w:spacing w:val="-5"/>
          <w:sz w:val="21"/>
        </w:rPr>
        <w:t>commission,  </w:t>
      </w:r>
      <w:r>
        <w:rPr>
          <w:spacing w:val="-4"/>
          <w:sz w:val="21"/>
        </w:rPr>
        <w:t>and  </w:t>
      </w:r>
      <w:r>
        <w:rPr>
          <w:spacing w:val="-3"/>
          <w:sz w:val="21"/>
        </w:rPr>
        <w:t>the  </w:t>
      </w:r>
      <w:r>
        <w:rPr>
          <w:spacing w:val="-5"/>
          <w:sz w:val="21"/>
        </w:rPr>
        <w:t>Court’s  </w:t>
      </w:r>
      <w:r>
        <w:rPr>
          <w:spacing w:val="-4"/>
          <w:sz w:val="21"/>
        </w:rPr>
        <w:t>power  to review </w:t>
      </w:r>
      <w:r>
        <w:rPr>
          <w:spacing w:val="-3"/>
          <w:sz w:val="21"/>
        </w:rPr>
        <w:t>it, is in </w:t>
      </w:r>
      <w:r>
        <w:rPr>
          <w:spacing w:val="-5"/>
          <w:sz w:val="21"/>
        </w:rPr>
        <w:t>legislation </w:t>
      </w:r>
      <w:r>
        <w:rPr>
          <w:spacing w:val="-4"/>
          <w:sz w:val="21"/>
        </w:rPr>
        <w:t>that for all other purposes </w:t>
      </w:r>
      <w:r>
        <w:rPr>
          <w:spacing w:val="-3"/>
          <w:sz w:val="21"/>
        </w:rPr>
        <w:t>is </w:t>
      </w:r>
      <w:r>
        <w:rPr>
          <w:spacing w:val="-4"/>
          <w:sz w:val="21"/>
        </w:rPr>
        <w:t>repealed. This </w:t>
      </w:r>
      <w:r>
        <w:rPr>
          <w:spacing w:val="-3"/>
          <w:sz w:val="21"/>
        </w:rPr>
        <w:t>is </w:t>
      </w:r>
      <w:r>
        <w:rPr>
          <w:spacing w:val="-5"/>
          <w:sz w:val="21"/>
        </w:rPr>
        <w:t>unsatisfactory.  </w:t>
      </w:r>
      <w:r>
        <w:rPr>
          <w:spacing w:val="-6"/>
          <w:sz w:val="21"/>
        </w:rPr>
        <w:t>Clearly,  </w:t>
      </w:r>
      <w:r>
        <w:rPr>
          <w:spacing w:val="-3"/>
          <w:sz w:val="21"/>
        </w:rPr>
        <w:t>the </w:t>
      </w:r>
      <w:r>
        <w:rPr>
          <w:spacing w:val="-5"/>
          <w:sz w:val="21"/>
        </w:rPr>
        <w:t>regulation </w:t>
      </w:r>
      <w:r>
        <w:rPr>
          <w:spacing w:val="-3"/>
          <w:sz w:val="21"/>
        </w:rPr>
        <w:t>of </w:t>
      </w:r>
      <w:r>
        <w:rPr>
          <w:spacing w:val="-5"/>
          <w:sz w:val="21"/>
        </w:rPr>
        <w:t>State Trustees </w:t>
      </w:r>
      <w:r>
        <w:rPr>
          <w:spacing w:val="-3"/>
          <w:sz w:val="21"/>
        </w:rPr>
        <w:t>needs </w:t>
      </w:r>
      <w:r>
        <w:rPr>
          <w:spacing w:val="-4"/>
          <w:sz w:val="21"/>
        </w:rPr>
        <w:t>to </w:t>
      </w:r>
      <w:r>
        <w:rPr>
          <w:sz w:val="21"/>
        </w:rPr>
        <w:t>be </w:t>
      </w:r>
      <w:r>
        <w:rPr>
          <w:spacing w:val="-5"/>
          <w:sz w:val="21"/>
        </w:rPr>
        <w:t>comprehensively </w:t>
      </w:r>
      <w:r>
        <w:rPr>
          <w:spacing w:val="-4"/>
          <w:sz w:val="21"/>
        </w:rPr>
        <w:t>reassessed. </w:t>
      </w:r>
      <w:r>
        <w:rPr>
          <w:spacing w:val="-3"/>
          <w:sz w:val="21"/>
        </w:rPr>
        <w:t>Any </w:t>
      </w:r>
      <w:r>
        <w:rPr>
          <w:spacing w:val="-4"/>
          <w:sz w:val="21"/>
        </w:rPr>
        <w:t>decision  to change </w:t>
      </w:r>
      <w:r>
        <w:rPr>
          <w:spacing w:val="-3"/>
          <w:sz w:val="21"/>
        </w:rPr>
        <w:t>the </w:t>
      </w:r>
      <w:r>
        <w:rPr>
          <w:spacing w:val="-5"/>
          <w:sz w:val="21"/>
        </w:rPr>
        <w:t>Supreme Court’s current </w:t>
      </w:r>
      <w:r>
        <w:rPr>
          <w:spacing w:val="-4"/>
          <w:sz w:val="21"/>
        </w:rPr>
        <w:t>power to review commission charged </w:t>
      </w:r>
      <w:r>
        <w:rPr>
          <w:spacing w:val="-3"/>
          <w:sz w:val="21"/>
        </w:rPr>
        <w:t>by </w:t>
      </w:r>
      <w:r>
        <w:rPr>
          <w:spacing w:val="-5"/>
          <w:sz w:val="21"/>
        </w:rPr>
        <w:t>State Trustees </w:t>
      </w:r>
      <w:r>
        <w:rPr>
          <w:spacing w:val="-4"/>
          <w:sz w:val="21"/>
        </w:rPr>
        <w:t>should </w:t>
      </w:r>
      <w:r>
        <w:rPr>
          <w:sz w:val="21"/>
        </w:rPr>
        <w:t>be </w:t>
      </w:r>
      <w:r>
        <w:rPr>
          <w:spacing w:val="-3"/>
          <w:sz w:val="21"/>
        </w:rPr>
        <w:t>made in the </w:t>
      </w:r>
      <w:r>
        <w:rPr>
          <w:spacing w:val="-4"/>
          <w:sz w:val="21"/>
        </w:rPr>
        <w:t>context </w:t>
      </w:r>
      <w:r>
        <w:rPr>
          <w:spacing w:val="-3"/>
          <w:sz w:val="21"/>
        </w:rPr>
        <w:t>of </w:t>
      </w:r>
      <w:r>
        <w:rPr>
          <w:spacing w:val="-4"/>
          <w:sz w:val="21"/>
        </w:rPr>
        <w:t>more detailed </w:t>
      </w:r>
      <w:r>
        <w:rPr>
          <w:spacing w:val="-5"/>
          <w:sz w:val="21"/>
        </w:rPr>
        <w:t>reform </w:t>
      </w:r>
      <w:r>
        <w:rPr>
          <w:spacing w:val="-3"/>
          <w:sz w:val="21"/>
        </w:rPr>
        <w:t>of the </w:t>
      </w:r>
      <w:r>
        <w:rPr>
          <w:spacing w:val="-4"/>
          <w:sz w:val="21"/>
        </w:rPr>
        <w:t>law </w:t>
      </w:r>
      <w:r>
        <w:rPr>
          <w:spacing w:val="-5"/>
          <w:sz w:val="21"/>
        </w:rPr>
        <w:t>governing State </w:t>
      </w:r>
      <w:r>
        <w:rPr>
          <w:spacing w:val="-6"/>
          <w:sz w:val="21"/>
        </w:rPr>
        <w:t>Trustees’ </w:t>
      </w:r>
      <w:r>
        <w:rPr>
          <w:spacing w:val="-4"/>
          <w:sz w:val="21"/>
        </w:rPr>
        <w:t>position </w:t>
      </w:r>
      <w:r>
        <w:rPr>
          <w:spacing w:val="-3"/>
          <w:sz w:val="21"/>
        </w:rPr>
        <w:t>in the </w:t>
      </w:r>
      <w:r>
        <w:rPr>
          <w:spacing w:val="-5"/>
          <w:sz w:val="21"/>
        </w:rPr>
        <w:t>market. </w:t>
      </w:r>
      <w:r>
        <w:rPr>
          <w:spacing w:val="-2"/>
          <w:sz w:val="21"/>
        </w:rPr>
        <w:t>For </w:t>
      </w:r>
      <w:r>
        <w:rPr>
          <w:spacing w:val="-4"/>
          <w:sz w:val="21"/>
        </w:rPr>
        <w:t>this </w:t>
      </w:r>
      <w:r>
        <w:rPr>
          <w:spacing w:val="-5"/>
          <w:sz w:val="21"/>
        </w:rPr>
        <w:t>reason, </w:t>
      </w:r>
      <w:r>
        <w:rPr>
          <w:spacing w:val="-3"/>
          <w:sz w:val="21"/>
        </w:rPr>
        <w:t>the </w:t>
      </w:r>
      <w:r>
        <w:rPr>
          <w:spacing w:val="-5"/>
          <w:sz w:val="21"/>
        </w:rPr>
        <w:t>Commission </w:t>
      </w:r>
      <w:r>
        <w:rPr>
          <w:sz w:val="21"/>
        </w:rPr>
        <w:t>does </w:t>
      </w:r>
      <w:r>
        <w:rPr>
          <w:spacing w:val="-4"/>
          <w:sz w:val="21"/>
        </w:rPr>
        <w:t>not recommend that </w:t>
      </w:r>
      <w:r>
        <w:rPr>
          <w:spacing w:val="-3"/>
          <w:sz w:val="21"/>
        </w:rPr>
        <w:t>the new </w:t>
      </w:r>
      <w:r>
        <w:rPr>
          <w:spacing w:val="-5"/>
          <w:sz w:val="21"/>
        </w:rPr>
        <w:t>provision</w:t>
      </w:r>
      <w:r>
        <w:rPr>
          <w:spacing w:val="20"/>
          <w:sz w:val="21"/>
        </w:rPr>
        <w:t> </w:t>
      </w:r>
      <w:r>
        <w:rPr>
          <w:spacing w:val="-4"/>
          <w:sz w:val="21"/>
        </w:rPr>
        <w:t>for</w:t>
      </w:r>
      <w:r>
        <w:rPr>
          <w:spacing w:val="21"/>
          <w:sz w:val="21"/>
        </w:rPr>
        <w:t> </w:t>
      </w:r>
      <w:r>
        <w:rPr>
          <w:spacing w:val="-4"/>
          <w:sz w:val="21"/>
        </w:rPr>
        <w:t>Court</w:t>
      </w:r>
      <w:r>
        <w:rPr>
          <w:spacing w:val="20"/>
          <w:sz w:val="21"/>
        </w:rPr>
        <w:t> </w:t>
      </w:r>
      <w:r>
        <w:rPr>
          <w:spacing w:val="-4"/>
          <w:sz w:val="21"/>
        </w:rPr>
        <w:t>review</w:t>
      </w:r>
      <w:r>
        <w:rPr>
          <w:spacing w:val="21"/>
          <w:sz w:val="21"/>
        </w:rPr>
        <w:t> </w:t>
      </w:r>
      <w:r>
        <w:rPr>
          <w:spacing w:val="-3"/>
          <w:sz w:val="21"/>
        </w:rPr>
        <w:t>of</w:t>
      </w:r>
      <w:r>
        <w:rPr>
          <w:spacing w:val="20"/>
          <w:sz w:val="21"/>
        </w:rPr>
        <w:t> </w:t>
      </w:r>
      <w:r>
        <w:rPr>
          <w:spacing w:val="-4"/>
          <w:sz w:val="21"/>
        </w:rPr>
        <w:t>commission</w:t>
      </w:r>
      <w:r>
        <w:rPr>
          <w:spacing w:val="21"/>
          <w:sz w:val="21"/>
        </w:rPr>
        <w:t> </w:t>
      </w:r>
      <w:r>
        <w:rPr>
          <w:spacing w:val="-4"/>
          <w:sz w:val="21"/>
        </w:rPr>
        <w:t>and</w:t>
      </w:r>
      <w:r>
        <w:rPr>
          <w:spacing w:val="20"/>
          <w:sz w:val="21"/>
        </w:rPr>
        <w:t> </w:t>
      </w:r>
      <w:r>
        <w:rPr>
          <w:spacing w:val="-4"/>
          <w:sz w:val="21"/>
        </w:rPr>
        <w:t>other</w:t>
      </w:r>
      <w:r>
        <w:rPr>
          <w:spacing w:val="21"/>
          <w:sz w:val="21"/>
        </w:rPr>
        <w:t> </w:t>
      </w:r>
      <w:r>
        <w:rPr>
          <w:spacing w:val="-4"/>
          <w:sz w:val="21"/>
        </w:rPr>
        <w:t>charges</w:t>
      </w:r>
      <w:r>
        <w:rPr>
          <w:spacing w:val="20"/>
          <w:sz w:val="21"/>
        </w:rPr>
        <w:t> </w:t>
      </w:r>
      <w:r>
        <w:rPr>
          <w:spacing w:val="-4"/>
          <w:sz w:val="21"/>
        </w:rPr>
        <w:t>should</w:t>
      </w:r>
      <w:r>
        <w:rPr>
          <w:spacing w:val="21"/>
          <w:sz w:val="21"/>
        </w:rPr>
        <w:t> </w:t>
      </w:r>
      <w:r>
        <w:rPr>
          <w:spacing w:val="-3"/>
          <w:sz w:val="21"/>
        </w:rPr>
        <w:t>apply</w:t>
      </w:r>
      <w:r>
        <w:rPr>
          <w:spacing w:val="20"/>
          <w:sz w:val="21"/>
        </w:rPr>
        <w:t> </w:t>
      </w:r>
      <w:r>
        <w:rPr>
          <w:spacing w:val="-4"/>
          <w:sz w:val="21"/>
        </w:rPr>
        <w:t>to</w:t>
      </w:r>
      <w:r>
        <w:rPr>
          <w:spacing w:val="21"/>
          <w:sz w:val="21"/>
        </w:rPr>
        <w:t> </w:t>
      </w:r>
      <w:r>
        <w:rPr>
          <w:spacing w:val="-5"/>
          <w:sz w:val="21"/>
        </w:rPr>
        <w:t>State</w:t>
      </w:r>
      <w:r>
        <w:rPr>
          <w:spacing w:val="20"/>
          <w:sz w:val="21"/>
        </w:rPr>
        <w:t> </w:t>
      </w:r>
      <w:r>
        <w:rPr>
          <w:spacing w:val="-6"/>
          <w:sz w:val="21"/>
        </w:rPr>
        <w:t>Trustees.</w:t>
      </w:r>
    </w:p>
    <w:p>
      <w:pPr>
        <w:pStyle w:val="BodyText"/>
        <w:rPr>
          <w:sz w:val="17"/>
        </w:rPr>
      </w:pPr>
      <w:r>
        <w:rPr/>
        <w:pict>
          <v:group style="position:absolute;margin-left:62.362202pt;margin-top:12.373859pt;width:479.1pt;height:257.55pt;mso-position-horizontal-relative:page;mso-position-vertical-relative:paragraph;z-index:9776;mso-wrap-distance-left:0;mso-wrap-distance-right:0" coordorigin="1247,247" coordsize="9582,5151">
            <v:rect style="position:absolute;left:1587;top:247;width:8731;height:5151" filled="true" fillcolor="#fdebea" stroked="false">
              <v:fill type="solid"/>
            </v:rect>
            <v:line style="position:absolute" from="1247,998" to="10828,998" stroked="true" strokeweight="2.5pt" strokecolor="#ffffff">
              <v:stroke dashstyle="solid"/>
            </v:line>
            <v:shape style="position:absolute;left:2381;top:1235;width:7694;height:3989" type="#_x0000_t202" filled="false" stroked="false">
              <v:textbox inset="0,0,0,0">
                <w:txbxContent>
                  <w:p>
                    <w:pPr>
                      <w:spacing w:line="242" w:lineRule="auto" w:before="0"/>
                      <w:ind w:left="0" w:right="332" w:firstLine="0"/>
                      <w:jc w:val="left"/>
                      <w:rPr>
                        <w:sz w:val="21"/>
                      </w:rPr>
                    </w:pPr>
                    <w:r>
                      <w:rPr>
                        <w:w w:val="105"/>
                        <w:sz w:val="21"/>
                      </w:rPr>
                      <w:t>The Supreme Court should </w:t>
                    </w:r>
                    <w:r>
                      <w:rPr>
                        <w:spacing w:val="-3"/>
                        <w:w w:val="105"/>
                        <w:sz w:val="21"/>
                      </w:rPr>
                      <w:t>have </w:t>
                    </w:r>
                    <w:r>
                      <w:rPr>
                        <w:w w:val="105"/>
                        <w:sz w:val="21"/>
                      </w:rPr>
                      <w:t>the power to review and vary commission, charges and disbursements claimed by executors and administrators out of estates. A new provision of the </w:t>
                    </w:r>
                    <w:r>
                      <w:rPr>
                        <w:rFonts w:ascii="Lucida Sans"/>
                        <w:i/>
                        <w:w w:val="105"/>
                        <w:sz w:val="21"/>
                      </w:rPr>
                      <w:t>Administration and Probate Act </w:t>
                    </w:r>
                    <w:r>
                      <w:rPr>
                        <w:rFonts w:ascii="Lucida Sans"/>
                        <w:i/>
                        <w:spacing w:val="-4"/>
                        <w:w w:val="105"/>
                        <w:sz w:val="21"/>
                      </w:rPr>
                      <w:t>1958 </w:t>
                    </w:r>
                    <w:r>
                      <w:rPr>
                        <w:w w:val="105"/>
                        <w:sz w:val="21"/>
                      </w:rPr>
                      <w:t>(Vic), based on section 86A of the </w:t>
                    </w:r>
                    <w:r>
                      <w:rPr>
                        <w:rFonts w:ascii="Lucida Sans"/>
                        <w:i/>
                        <w:w w:val="105"/>
                        <w:sz w:val="21"/>
                      </w:rPr>
                      <w:t>Probate and Administration Act 1898 </w:t>
                    </w:r>
                    <w:r>
                      <w:rPr>
                        <w:spacing w:val="3"/>
                        <w:w w:val="105"/>
                        <w:sz w:val="21"/>
                      </w:rPr>
                      <w:t>(NSW), </w:t>
                    </w:r>
                    <w:r>
                      <w:rPr>
                        <w:w w:val="105"/>
                        <w:sz w:val="21"/>
                      </w:rPr>
                      <w:t>should provide that:</w:t>
                    </w:r>
                  </w:p>
                  <w:p>
                    <w:pPr>
                      <w:numPr>
                        <w:ilvl w:val="0"/>
                        <w:numId w:val="126"/>
                      </w:numPr>
                      <w:tabs>
                        <w:tab w:pos="341" w:val="left" w:leader="none"/>
                      </w:tabs>
                      <w:spacing w:line="242" w:lineRule="auto" w:before="115"/>
                      <w:ind w:left="340" w:right="723" w:hanging="340"/>
                      <w:jc w:val="left"/>
                      <w:rPr>
                        <w:sz w:val="21"/>
                      </w:rPr>
                    </w:pPr>
                    <w:r>
                      <w:rPr>
                        <w:w w:val="115"/>
                        <w:sz w:val="21"/>
                      </w:rPr>
                      <w:t>the</w:t>
                    </w:r>
                    <w:r>
                      <w:rPr>
                        <w:spacing w:val="-7"/>
                        <w:w w:val="115"/>
                        <w:sz w:val="21"/>
                      </w:rPr>
                      <w:t> </w:t>
                    </w:r>
                    <w:r>
                      <w:rPr>
                        <w:w w:val="115"/>
                        <w:sz w:val="21"/>
                      </w:rPr>
                      <w:t>court</w:t>
                    </w:r>
                    <w:r>
                      <w:rPr>
                        <w:spacing w:val="-7"/>
                        <w:w w:val="115"/>
                        <w:sz w:val="21"/>
                      </w:rPr>
                      <w:t> </w:t>
                    </w:r>
                    <w:r>
                      <w:rPr>
                        <w:w w:val="115"/>
                        <w:sz w:val="21"/>
                      </w:rPr>
                      <w:t>may</w:t>
                    </w:r>
                    <w:r>
                      <w:rPr>
                        <w:spacing w:val="-6"/>
                        <w:w w:val="115"/>
                        <w:sz w:val="21"/>
                      </w:rPr>
                      <w:t> </w:t>
                    </w:r>
                    <w:r>
                      <w:rPr>
                        <w:w w:val="115"/>
                        <w:sz w:val="21"/>
                      </w:rPr>
                      <w:t>review</w:t>
                    </w:r>
                    <w:r>
                      <w:rPr>
                        <w:spacing w:val="-7"/>
                        <w:w w:val="115"/>
                        <w:sz w:val="21"/>
                      </w:rPr>
                      <w:t> </w:t>
                    </w:r>
                    <w:r>
                      <w:rPr>
                        <w:spacing w:val="-3"/>
                        <w:w w:val="115"/>
                        <w:sz w:val="21"/>
                      </w:rPr>
                      <w:t>all</w:t>
                    </w:r>
                    <w:r>
                      <w:rPr>
                        <w:spacing w:val="-6"/>
                        <w:w w:val="115"/>
                        <w:sz w:val="21"/>
                      </w:rPr>
                      <w:t> </w:t>
                    </w:r>
                    <w:r>
                      <w:rPr>
                        <w:w w:val="115"/>
                        <w:sz w:val="21"/>
                      </w:rPr>
                      <w:t>or</w:t>
                    </w:r>
                    <w:r>
                      <w:rPr>
                        <w:spacing w:val="-7"/>
                        <w:w w:val="115"/>
                        <w:sz w:val="21"/>
                      </w:rPr>
                      <w:t> </w:t>
                    </w:r>
                    <w:r>
                      <w:rPr>
                        <w:w w:val="115"/>
                        <w:sz w:val="21"/>
                      </w:rPr>
                      <w:t>part</w:t>
                    </w:r>
                    <w:r>
                      <w:rPr>
                        <w:spacing w:val="-7"/>
                        <w:w w:val="115"/>
                        <w:sz w:val="21"/>
                      </w:rPr>
                      <w:t> </w:t>
                    </w:r>
                    <w:r>
                      <w:rPr>
                        <w:w w:val="115"/>
                        <w:sz w:val="21"/>
                      </w:rPr>
                      <w:t>of</w:t>
                    </w:r>
                    <w:r>
                      <w:rPr>
                        <w:spacing w:val="-6"/>
                        <w:w w:val="115"/>
                        <w:sz w:val="21"/>
                      </w:rPr>
                      <w:t> </w:t>
                    </w:r>
                    <w:r>
                      <w:rPr>
                        <w:w w:val="115"/>
                        <w:sz w:val="21"/>
                      </w:rPr>
                      <w:t>a</w:t>
                    </w:r>
                    <w:r>
                      <w:rPr>
                        <w:spacing w:val="-7"/>
                        <w:w w:val="115"/>
                        <w:sz w:val="21"/>
                      </w:rPr>
                      <w:t> </w:t>
                    </w:r>
                    <w:r>
                      <w:rPr>
                        <w:w w:val="115"/>
                        <w:sz w:val="21"/>
                      </w:rPr>
                      <w:t>commission</w:t>
                    </w:r>
                    <w:r>
                      <w:rPr>
                        <w:spacing w:val="-6"/>
                        <w:w w:val="115"/>
                        <w:sz w:val="21"/>
                      </w:rPr>
                      <w:t> </w:t>
                    </w:r>
                    <w:r>
                      <w:rPr>
                        <w:w w:val="115"/>
                        <w:sz w:val="21"/>
                      </w:rPr>
                      <w:t>or</w:t>
                    </w:r>
                    <w:r>
                      <w:rPr>
                        <w:spacing w:val="-7"/>
                        <w:w w:val="115"/>
                        <w:sz w:val="21"/>
                      </w:rPr>
                      <w:t> </w:t>
                    </w:r>
                    <w:r>
                      <w:rPr>
                        <w:w w:val="115"/>
                        <w:sz w:val="21"/>
                      </w:rPr>
                      <w:t>amount</w:t>
                    </w:r>
                    <w:r>
                      <w:rPr>
                        <w:spacing w:val="-7"/>
                        <w:w w:val="115"/>
                        <w:sz w:val="21"/>
                      </w:rPr>
                      <w:t> </w:t>
                    </w:r>
                    <w:r>
                      <w:rPr>
                        <w:w w:val="115"/>
                        <w:sz w:val="21"/>
                      </w:rPr>
                      <w:t>charged or proposed to be charged in respect of </w:t>
                    </w:r>
                    <w:r>
                      <w:rPr>
                        <w:spacing w:val="-2"/>
                        <w:w w:val="115"/>
                        <w:sz w:val="21"/>
                      </w:rPr>
                      <w:t>any</w:t>
                    </w:r>
                    <w:r>
                      <w:rPr>
                        <w:spacing w:val="-6"/>
                        <w:w w:val="115"/>
                        <w:sz w:val="21"/>
                      </w:rPr>
                      <w:t> </w:t>
                    </w:r>
                    <w:r>
                      <w:rPr>
                        <w:w w:val="115"/>
                        <w:sz w:val="21"/>
                      </w:rPr>
                      <w:t>estate</w:t>
                    </w:r>
                  </w:p>
                  <w:p>
                    <w:pPr>
                      <w:numPr>
                        <w:ilvl w:val="0"/>
                        <w:numId w:val="126"/>
                      </w:numPr>
                      <w:tabs>
                        <w:tab w:pos="341" w:val="left" w:leader="none"/>
                      </w:tabs>
                      <w:spacing w:line="242" w:lineRule="auto" w:before="123"/>
                      <w:ind w:left="340" w:right="344" w:hanging="340"/>
                      <w:jc w:val="left"/>
                      <w:rPr>
                        <w:sz w:val="21"/>
                      </w:rPr>
                    </w:pPr>
                    <w:r>
                      <w:rPr>
                        <w:w w:val="115"/>
                        <w:sz w:val="21"/>
                      </w:rPr>
                      <w:t>if</w:t>
                    </w:r>
                    <w:r>
                      <w:rPr>
                        <w:spacing w:val="-9"/>
                        <w:w w:val="115"/>
                        <w:sz w:val="21"/>
                      </w:rPr>
                      <w:t> </w:t>
                    </w:r>
                    <w:r>
                      <w:rPr>
                        <w:w w:val="115"/>
                        <w:sz w:val="21"/>
                      </w:rPr>
                      <w:t>it</w:t>
                    </w:r>
                    <w:r>
                      <w:rPr>
                        <w:spacing w:val="-8"/>
                        <w:w w:val="115"/>
                        <w:sz w:val="21"/>
                      </w:rPr>
                      <w:t> </w:t>
                    </w:r>
                    <w:r>
                      <w:rPr>
                        <w:w w:val="115"/>
                        <w:sz w:val="21"/>
                      </w:rPr>
                      <w:t>finds</w:t>
                    </w:r>
                    <w:r>
                      <w:rPr>
                        <w:spacing w:val="-8"/>
                        <w:w w:val="115"/>
                        <w:sz w:val="21"/>
                      </w:rPr>
                      <w:t> </w:t>
                    </w:r>
                    <w:r>
                      <w:rPr>
                        <w:w w:val="115"/>
                        <w:sz w:val="21"/>
                      </w:rPr>
                      <w:t>it</w:t>
                    </w:r>
                    <w:r>
                      <w:rPr>
                        <w:spacing w:val="-8"/>
                        <w:w w:val="115"/>
                        <w:sz w:val="21"/>
                      </w:rPr>
                      <w:t> </w:t>
                    </w:r>
                    <w:r>
                      <w:rPr>
                        <w:w w:val="115"/>
                        <w:sz w:val="21"/>
                      </w:rPr>
                      <w:t>is</w:t>
                    </w:r>
                    <w:r>
                      <w:rPr>
                        <w:spacing w:val="-8"/>
                        <w:w w:val="115"/>
                        <w:sz w:val="21"/>
                      </w:rPr>
                      <w:t> </w:t>
                    </w:r>
                    <w:r>
                      <w:rPr>
                        <w:w w:val="115"/>
                        <w:sz w:val="21"/>
                      </w:rPr>
                      <w:t>excessive,</w:t>
                    </w:r>
                    <w:r>
                      <w:rPr>
                        <w:spacing w:val="-8"/>
                        <w:w w:val="115"/>
                        <w:sz w:val="21"/>
                      </w:rPr>
                      <w:t> </w:t>
                    </w:r>
                    <w:r>
                      <w:rPr>
                        <w:w w:val="115"/>
                        <w:sz w:val="21"/>
                      </w:rPr>
                      <w:t>the</w:t>
                    </w:r>
                    <w:r>
                      <w:rPr>
                        <w:spacing w:val="-8"/>
                        <w:w w:val="115"/>
                        <w:sz w:val="21"/>
                      </w:rPr>
                      <w:t> </w:t>
                    </w:r>
                    <w:r>
                      <w:rPr>
                        <w:w w:val="115"/>
                        <w:sz w:val="21"/>
                      </w:rPr>
                      <w:t>court</w:t>
                    </w:r>
                    <w:r>
                      <w:rPr>
                        <w:spacing w:val="-8"/>
                        <w:w w:val="115"/>
                        <w:sz w:val="21"/>
                      </w:rPr>
                      <w:t> </w:t>
                    </w:r>
                    <w:r>
                      <w:rPr>
                        <w:w w:val="115"/>
                        <w:sz w:val="21"/>
                      </w:rPr>
                      <w:t>may</w:t>
                    </w:r>
                    <w:r>
                      <w:rPr>
                        <w:spacing w:val="-8"/>
                        <w:w w:val="115"/>
                        <w:sz w:val="21"/>
                      </w:rPr>
                      <w:t> </w:t>
                    </w:r>
                    <w:r>
                      <w:rPr>
                        <w:w w:val="115"/>
                        <w:sz w:val="21"/>
                      </w:rPr>
                      <w:t>reduce</w:t>
                    </w:r>
                    <w:r>
                      <w:rPr>
                        <w:spacing w:val="-8"/>
                        <w:w w:val="115"/>
                        <w:sz w:val="21"/>
                      </w:rPr>
                      <w:t> </w:t>
                    </w:r>
                    <w:r>
                      <w:rPr>
                        <w:w w:val="115"/>
                        <w:sz w:val="21"/>
                      </w:rPr>
                      <w:t>it</w:t>
                    </w:r>
                    <w:r>
                      <w:rPr>
                        <w:spacing w:val="-8"/>
                        <w:w w:val="115"/>
                        <w:sz w:val="21"/>
                      </w:rPr>
                      <w:t> </w:t>
                    </w:r>
                    <w:r>
                      <w:rPr>
                        <w:w w:val="115"/>
                        <w:sz w:val="21"/>
                      </w:rPr>
                      <w:t>even</w:t>
                    </w:r>
                    <w:r>
                      <w:rPr>
                        <w:spacing w:val="-8"/>
                        <w:w w:val="115"/>
                        <w:sz w:val="21"/>
                      </w:rPr>
                      <w:t> </w:t>
                    </w:r>
                    <w:r>
                      <w:rPr>
                        <w:w w:val="115"/>
                        <w:sz w:val="21"/>
                      </w:rPr>
                      <w:t>if</w:t>
                    </w:r>
                    <w:r>
                      <w:rPr>
                        <w:spacing w:val="-8"/>
                        <w:w w:val="115"/>
                        <w:sz w:val="21"/>
                      </w:rPr>
                      <w:t> </w:t>
                    </w:r>
                    <w:r>
                      <w:rPr>
                        <w:w w:val="115"/>
                        <w:sz w:val="21"/>
                      </w:rPr>
                      <w:t>it</w:t>
                    </w:r>
                    <w:r>
                      <w:rPr>
                        <w:spacing w:val="-8"/>
                        <w:w w:val="115"/>
                        <w:sz w:val="21"/>
                      </w:rPr>
                      <w:t> </w:t>
                    </w:r>
                    <w:r>
                      <w:rPr>
                        <w:w w:val="115"/>
                        <w:sz w:val="21"/>
                      </w:rPr>
                      <w:t>was</w:t>
                    </w:r>
                    <w:r>
                      <w:rPr>
                        <w:spacing w:val="-8"/>
                        <w:w w:val="115"/>
                        <w:sz w:val="21"/>
                      </w:rPr>
                      <w:t> </w:t>
                    </w:r>
                    <w:r>
                      <w:rPr>
                        <w:w w:val="115"/>
                        <w:sz w:val="21"/>
                      </w:rPr>
                      <w:t>authorised by a provision in the</w:t>
                    </w:r>
                    <w:r>
                      <w:rPr>
                        <w:spacing w:val="3"/>
                        <w:w w:val="115"/>
                        <w:sz w:val="21"/>
                      </w:rPr>
                      <w:t> </w:t>
                    </w:r>
                    <w:r>
                      <w:rPr>
                        <w:spacing w:val="-3"/>
                        <w:w w:val="115"/>
                        <w:sz w:val="21"/>
                      </w:rPr>
                      <w:t>will</w:t>
                    </w:r>
                  </w:p>
                  <w:p>
                    <w:pPr>
                      <w:numPr>
                        <w:ilvl w:val="0"/>
                        <w:numId w:val="126"/>
                      </w:numPr>
                      <w:tabs>
                        <w:tab w:pos="341" w:val="left" w:leader="none"/>
                      </w:tabs>
                      <w:spacing w:line="242" w:lineRule="auto" w:before="122"/>
                      <w:ind w:left="340" w:right="498" w:hanging="340"/>
                      <w:jc w:val="left"/>
                      <w:rPr>
                        <w:sz w:val="21"/>
                      </w:rPr>
                    </w:pPr>
                    <w:r>
                      <w:rPr>
                        <w:w w:val="115"/>
                        <w:sz w:val="21"/>
                      </w:rPr>
                      <w:t>subject to </w:t>
                    </w:r>
                    <w:r>
                      <w:rPr>
                        <w:spacing w:val="-2"/>
                        <w:w w:val="115"/>
                        <w:sz w:val="21"/>
                      </w:rPr>
                      <w:t>any </w:t>
                    </w:r>
                    <w:r>
                      <w:rPr>
                        <w:w w:val="115"/>
                        <w:sz w:val="21"/>
                      </w:rPr>
                      <w:t>extension of time granted by the court, an application granted</w:t>
                    </w:r>
                    <w:r>
                      <w:rPr>
                        <w:spacing w:val="-6"/>
                        <w:w w:val="115"/>
                        <w:sz w:val="21"/>
                      </w:rPr>
                      <w:t> </w:t>
                    </w:r>
                    <w:r>
                      <w:rPr>
                        <w:w w:val="115"/>
                        <w:sz w:val="21"/>
                      </w:rPr>
                      <w:t>by</w:t>
                    </w:r>
                    <w:r>
                      <w:rPr>
                        <w:spacing w:val="-6"/>
                        <w:w w:val="115"/>
                        <w:sz w:val="21"/>
                      </w:rPr>
                      <w:t> </w:t>
                    </w:r>
                    <w:r>
                      <w:rPr>
                        <w:w w:val="115"/>
                        <w:sz w:val="21"/>
                      </w:rPr>
                      <w:t>this</w:t>
                    </w:r>
                    <w:r>
                      <w:rPr>
                        <w:spacing w:val="-6"/>
                        <w:w w:val="115"/>
                        <w:sz w:val="21"/>
                      </w:rPr>
                      <w:t> </w:t>
                    </w:r>
                    <w:r>
                      <w:rPr>
                        <w:w w:val="115"/>
                        <w:sz w:val="21"/>
                      </w:rPr>
                      <w:t>provision</w:t>
                    </w:r>
                    <w:r>
                      <w:rPr>
                        <w:spacing w:val="-6"/>
                        <w:w w:val="115"/>
                        <w:sz w:val="21"/>
                      </w:rPr>
                      <w:t> </w:t>
                    </w:r>
                    <w:r>
                      <w:rPr>
                        <w:w w:val="115"/>
                        <w:sz w:val="21"/>
                      </w:rPr>
                      <w:t>should</w:t>
                    </w:r>
                    <w:r>
                      <w:rPr>
                        <w:spacing w:val="-6"/>
                        <w:w w:val="115"/>
                        <w:sz w:val="21"/>
                      </w:rPr>
                      <w:t> </w:t>
                    </w:r>
                    <w:r>
                      <w:rPr>
                        <w:w w:val="115"/>
                        <w:sz w:val="21"/>
                      </w:rPr>
                      <w:t>be</w:t>
                    </w:r>
                    <w:r>
                      <w:rPr>
                        <w:spacing w:val="-5"/>
                        <w:w w:val="115"/>
                        <w:sz w:val="21"/>
                      </w:rPr>
                      <w:t> </w:t>
                    </w:r>
                    <w:r>
                      <w:rPr>
                        <w:w w:val="115"/>
                        <w:sz w:val="21"/>
                      </w:rPr>
                      <w:t>brought</w:t>
                    </w:r>
                    <w:r>
                      <w:rPr>
                        <w:spacing w:val="-6"/>
                        <w:w w:val="115"/>
                        <w:sz w:val="21"/>
                      </w:rPr>
                      <w:t> </w:t>
                    </w:r>
                    <w:r>
                      <w:rPr>
                        <w:w w:val="115"/>
                        <w:sz w:val="21"/>
                      </w:rPr>
                      <w:t>within</w:t>
                    </w:r>
                    <w:r>
                      <w:rPr>
                        <w:spacing w:val="-6"/>
                        <w:w w:val="115"/>
                        <w:sz w:val="21"/>
                      </w:rPr>
                      <w:t> </w:t>
                    </w:r>
                    <w:r>
                      <w:rPr>
                        <w:w w:val="115"/>
                        <w:sz w:val="21"/>
                      </w:rPr>
                      <w:t>three</w:t>
                    </w:r>
                    <w:r>
                      <w:rPr>
                        <w:spacing w:val="-6"/>
                        <w:w w:val="115"/>
                        <w:sz w:val="21"/>
                      </w:rPr>
                      <w:t> </w:t>
                    </w:r>
                    <w:r>
                      <w:rPr>
                        <w:w w:val="115"/>
                        <w:sz w:val="21"/>
                      </w:rPr>
                      <w:t>months</w:t>
                    </w:r>
                    <w:r>
                      <w:rPr>
                        <w:spacing w:val="-6"/>
                        <w:w w:val="115"/>
                        <w:sz w:val="21"/>
                      </w:rPr>
                      <w:t> </w:t>
                    </w:r>
                    <w:r>
                      <w:rPr>
                        <w:w w:val="115"/>
                        <w:sz w:val="21"/>
                      </w:rPr>
                      <w:t>after</w:t>
                    </w:r>
                  </w:p>
                  <w:p>
                    <w:pPr>
                      <w:spacing w:line="242" w:lineRule="auto" w:before="2"/>
                      <w:ind w:left="340" w:right="3" w:firstLine="0"/>
                      <w:jc w:val="left"/>
                      <w:rPr>
                        <w:sz w:val="21"/>
                      </w:rPr>
                    </w:pPr>
                    <w:r>
                      <w:rPr>
                        <w:w w:val="115"/>
                        <w:sz w:val="21"/>
                      </w:rPr>
                      <w:t>the time that the applicant beneficiary first knew, or ought to have known, of all commission, charges and disbursements charged or proposed to be charged out of the estate.</w:t>
                    </w:r>
                  </w:p>
                </w:txbxContent>
              </v:textbox>
              <w10:wrap type="none"/>
            </v:shape>
            <v:shape style="position:absolute;left:1814;top:1235;width:252;height:249" type="#_x0000_t202" filled="false" stroked="false">
              <v:textbox inset="0,0,0,0">
                <w:txbxContent>
                  <w:p>
                    <w:pPr>
                      <w:spacing w:line="249" w:lineRule="exact" w:before="0"/>
                      <w:ind w:left="0" w:right="0" w:firstLine="0"/>
                      <w:jc w:val="left"/>
                      <w:rPr>
                        <w:sz w:val="21"/>
                      </w:rPr>
                    </w:pPr>
                    <w:r>
                      <w:rPr>
                        <w:w w:val="110"/>
                        <w:sz w:val="21"/>
                      </w:rPr>
                      <w:t>57</w:t>
                    </w:r>
                  </w:p>
                </w:txbxContent>
              </v:textbox>
              <w10:wrap type="none"/>
            </v:shape>
            <v:shape style="position:absolute;left:1587;top:247;width:8731;height:726" type="#_x0000_t202" filled="true" fillcolor="#fdebea" stroked="false">
              <v:textbox inset="0,0,0,0">
                <w:txbxContent>
                  <w:p>
                    <w:pPr>
                      <w:spacing w:before="166"/>
                      <w:ind w:left="226" w:right="0" w:firstLine="0"/>
                      <w:jc w:val="left"/>
                      <w:rPr>
                        <w:b/>
                        <w:sz w:val="32"/>
                      </w:rPr>
                    </w:pPr>
                    <w:r>
                      <w:rPr>
                        <w:b/>
                        <w:color w:val="EC5A4F"/>
                        <w:w w:val="110"/>
                        <w:sz w:val="32"/>
                      </w:rPr>
                      <w:t>Recommendation</w:t>
                    </w:r>
                  </w:p>
                </w:txbxContent>
              </v:textbox>
              <v:fill type="solid"/>
              <w10:wrap type="none"/>
            </v:shape>
            <w10:wrap type="topAndBottom"/>
          </v:group>
        </w:pict>
      </w:r>
      <w:r>
        <w:rPr/>
        <w:pict>
          <v:line style="position:absolute;mso-position-horizontal-relative:page;mso-position-vertical-relative:paragraph;z-index:9800;mso-wrap-distance-left:0;mso-wrap-distance-right:0" from="79.370102pt,289.845459pt" to="515.905102pt,289.845459pt" stroked="true" strokeweight="1pt" strokecolor="#f9ceca">
            <v:stroke dashstyle="solid"/>
            <w10:wrap type="topAndBottom"/>
          </v:line>
        </w:pict>
      </w:r>
    </w:p>
    <w:p>
      <w:pPr>
        <w:pStyle w:val="BodyText"/>
        <w:spacing w:before="3"/>
        <w:rPr>
          <w:sz w:val="26"/>
        </w:rPr>
      </w:pPr>
    </w:p>
    <w:p>
      <w:pPr>
        <w:pStyle w:val="BodyText"/>
        <w:spacing w:before="8"/>
        <w:rPr>
          <w:sz w:val="5"/>
        </w:rPr>
      </w:pPr>
    </w:p>
    <w:p>
      <w:pPr>
        <w:spacing w:after="0"/>
        <w:rPr>
          <w:sz w:val="5"/>
        </w:rPr>
        <w:sectPr>
          <w:pgSz w:w="11910" w:h="16840"/>
          <w:pgMar w:header="805" w:footer="0" w:top="1360" w:bottom="280" w:left="0" w:right="0"/>
        </w:sectPr>
      </w:pPr>
    </w:p>
    <w:p>
      <w:pPr>
        <w:pStyle w:val="ListParagraph"/>
        <w:numPr>
          <w:ilvl w:val="0"/>
          <w:numId w:val="125"/>
        </w:numPr>
        <w:tabs>
          <w:tab w:pos="2380" w:val="left" w:leader="none"/>
          <w:tab w:pos="2382" w:val="left" w:leader="none"/>
        </w:tabs>
        <w:spacing w:line="240" w:lineRule="auto" w:before="48" w:after="0"/>
        <w:ind w:left="2381" w:right="0" w:hanging="794"/>
        <w:jc w:val="left"/>
        <w:rPr>
          <w:sz w:val="13"/>
        </w:rPr>
      </w:pPr>
      <w:r>
        <w:rPr>
          <w:w w:val="105"/>
          <w:sz w:val="13"/>
        </w:rPr>
        <w:t>Victorian Law Reform Commission, above n 33,</w:t>
      </w:r>
      <w:r>
        <w:rPr>
          <w:spacing w:val="2"/>
          <w:w w:val="105"/>
          <w:sz w:val="13"/>
        </w:rPr>
        <w:t> </w:t>
      </w:r>
      <w:r>
        <w:rPr>
          <w:w w:val="105"/>
          <w:sz w:val="13"/>
        </w:rPr>
        <w:t>32.</w:t>
      </w:r>
    </w:p>
    <w:p>
      <w:pPr>
        <w:pStyle w:val="ListParagraph"/>
        <w:numPr>
          <w:ilvl w:val="0"/>
          <w:numId w:val="125"/>
        </w:numPr>
        <w:tabs>
          <w:tab w:pos="2381" w:val="left" w:leader="none"/>
          <w:tab w:pos="2382" w:val="left" w:leader="none"/>
        </w:tabs>
        <w:spacing w:line="240" w:lineRule="auto" w:before="1" w:after="0"/>
        <w:ind w:left="2381" w:right="0" w:hanging="794"/>
        <w:jc w:val="left"/>
        <w:rPr>
          <w:sz w:val="13"/>
        </w:rPr>
      </w:pPr>
      <w:r>
        <w:rPr>
          <w:i/>
          <w:w w:val="105"/>
          <w:sz w:val="13"/>
        </w:rPr>
        <w:t>State Trustees (State Owned Company) Act 1994 </w:t>
      </w:r>
      <w:r>
        <w:rPr>
          <w:spacing w:val="2"/>
          <w:w w:val="105"/>
          <w:sz w:val="13"/>
        </w:rPr>
        <w:t>(Vic) </w:t>
      </w:r>
      <w:r>
        <w:rPr>
          <w:w w:val="105"/>
          <w:sz w:val="13"/>
        </w:rPr>
        <w:t>s</w:t>
      </w:r>
      <w:r>
        <w:rPr>
          <w:spacing w:val="2"/>
          <w:w w:val="105"/>
          <w:sz w:val="13"/>
        </w:rPr>
        <w:t> </w:t>
      </w:r>
      <w:r>
        <w:rPr>
          <w:w w:val="105"/>
          <w:sz w:val="13"/>
        </w:rPr>
        <w:t>20A.</w:t>
      </w:r>
    </w:p>
    <w:p>
      <w:pPr>
        <w:pStyle w:val="ListParagraph"/>
        <w:numPr>
          <w:ilvl w:val="0"/>
          <w:numId w:val="125"/>
        </w:numPr>
        <w:tabs>
          <w:tab w:pos="2381" w:val="left" w:leader="none"/>
          <w:tab w:pos="2382" w:val="left" w:leader="none"/>
        </w:tabs>
        <w:spacing w:line="240" w:lineRule="auto" w:before="2" w:after="0"/>
        <w:ind w:left="2381" w:right="0" w:hanging="794"/>
        <w:jc w:val="left"/>
        <w:rPr>
          <w:sz w:val="13"/>
        </w:rPr>
      </w:pPr>
      <w:r>
        <w:rPr>
          <w:w w:val="105"/>
          <w:sz w:val="13"/>
        </w:rPr>
        <w:t>Submissions 8 (Patricia Strachan); </w:t>
      </w:r>
      <w:r>
        <w:rPr>
          <w:spacing w:val="-3"/>
          <w:w w:val="105"/>
          <w:sz w:val="13"/>
        </w:rPr>
        <w:t>14 </w:t>
      </w:r>
      <w:r>
        <w:rPr>
          <w:w w:val="105"/>
          <w:sz w:val="13"/>
        </w:rPr>
        <w:t>(Commercial Bar </w:t>
      </w:r>
      <w:r>
        <w:rPr>
          <w:spacing w:val="2"/>
          <w:w w:val="105"/>
          <w:sz w:val="13"/>
        </w:rPr>
        <w:t>Association); </w:t>
      </w:r>
      <w:r>
        <w:rPr>
          <w:spacing w:val="-3"/>
          <w:w w:val="105"/>
          <w:sz w:val="13"/>
        </w:rPr>
        <w:t>19 </w:t>
      </w:r>
      <w:r>
        <w:rPr>
          <w:spacing w:val="2"/>
          <w:w w:val="105"/>
          <w:sz w:val="13"/>
        </w:rPr>
        <w:t>(Association </w:t>
      </w:r>
      <w:r>
        <w:rPr>
          <w:w w:val="105"/>
          <w:sz w:val="13"/>
        </w:rPr>
        <w:t>of Independent Retirees); 25 </w:t>
      </w:r>
      <w:r>
        <w:rPr>
          <w:spacing w:val="2"/>
          <w:w w:val="105"/>
          <w:sz w:val="13"/>
        </w:rPr>
        <w:t>(Moores </w:t>
      </w:r>
      <w:r>
        <w:rPr>
          <w:w w:val="105"/>
          <w:sz w:val="13"/>
        </w:rPr>
        <w:t>Legal); 30a</w:t>
      </w:r>
      <w:r>
        <w:rPr>
          <w:spacing w:val="5"/>
          <w:w w:val="105"/>
          <w:sz w:val="13"/>
        </w:rPr>
        <w:t> </w:t>
      </w:r>
      <w:r>
        <w:rPr>
          <w:spacing w:val="3"/>
          <w:w w:val="105"/>
          <w:sz w:val="13"/>
        </w:rPr>
        <w:t>(Law</w:t>
      </w:r>
      <w:r>
        <w:rPr>
          <w:spacing w:val="6"/>
          <w:w w:val="105"/>
          <w:sz w:val="13"/>
        </w:rPr>
        <w:t> </w:t>
      </w:r>
      <w:r>
        <w:rPr>
          <w:w w:val="105"/>
          <w:sz w:val="13"/>
        </w:rPr>
        <w:t>Institute</w:t>
      </w:r>
      <w:r>
        <w:rPr>
          <w:spacing w:val="6"/>
          <w:w w:val="105"/>
          <w:sz w:val="13"/>
        </w:rPr>
        <w:t> </w:t>
      </w:r>
      <w:r>
        <w:rPr>
          <w:w w:val="105"/>
          <w:sz w:val="13"/>
        </w:rPr>
        <w:t>of</w:t>
      </w:r>
      <w:r>
        <w:rPr>
          <w:spacing w:val="6"/>
          <w:w w:val="105"/>
          <w:sz w:val="13"/>
        </w:rPr>
        <w:t> </w:t>
      </w:r>
      <w:r>
        <w:rPr>
          <w:spacing w:val="2"/>
          <w:w w:val="105"/>
          <w:sz w:val="13"/>
        </w:rPr>
        <w:t>Victoria);</w:t>
      </w:r>
      <w:r>
        <w:rPr>
          <w:spacing w:val="5"/>
          <w:w w:val="105"/>
          <w:sz w:val="13"/>
        </w:rPr>
        <w:t> </w:t>
      </w:r>
      <w:r>
        <w:rPr>
          <w:w w:val="105"/>
          <w:sz w:val="13"/>
        </w:rPr>
        <w:t>32</w:t>
      </w:r>
      <w:r>
        <w:rPr>
          <w:spacing w:val="6"/>
          <w:w w:val="105"/>
          <w:sz w:val="13"/>
        </w:rPr>
        <w:t> </w:t>
      </w:r>
      <w:r>
        <w:rPr>
          <w:spacing w:val="2"/>
          <w:w w:val="105"/>
          <w:sz w:val="13"/>
        </w:rPr>
        <w:t>(The</w:t>
      </w:r>
      <w:r>
        <w:rPr>
          <w:spacing w:val="6"/>
          <w:w w:val="105"/>
          <w:sz w:val="13"/>
        </w:rPr>
        <w:t> </w:t>
      </w:r>
      <w:r>
        <w:rPr>
          <w:w w:val="105"/>
          <w:sz w:val="13"/>
        </w:rPr>
        <w:t>Institute</w:t>
      </w:r>
      <w:r>
        <w:rPr>
          <w:spacing w:val="6"/>
          <w:w w:val="105"/>
          <w:sz w:val="13"/>
        </w:rPr>
        <w:t> </w:t>
      </w:r>
      <w:r>
        <w:rPr>
          <w:w w:val="105"/>
          <w:sz w:val="13"/>
        </w:rPr>
        <w:t>of</w:t>
      </w:r>
      <w:r>
        <w:rPr>
          <w:spacing w:val="6"/>
          <w:w w:val="105"/>
          <w:sz w:val="13"/>
        </w:rPr>
        <w:t> </w:t>
      </w:r>
      <w:r>
        <w:rPr>
          <w:w w:val="105"/>
          <w:sz w:val="13"/>
        </w:rPr>
        <w:t>Legal</w:t>
      </w:r>
      <w:r>
        <w:rPr>
          <w:spacing w:val="5"/>
          <w:w w:val="105"/>
          <w:sz w:val="13"/>
        </w:rPr>
        <w:t> </w:t>
      </w:r>
      <w:r>
        <w:rPr>
          <w:w w:val="105"/>
          <w:sz w:val="13"/>
        </w:rPr>
        <w:t>Executives);</w:t>
      </w:r>
      <w:r>
        <w:rPr>
          <w:spacing w:val="6"/>
          <w:w w:val="105"/>
          <w:sz w:val="13"/>
        </w:rPr>
        <w:t> </w:t>
      </w:r>
      <w:r>
        <w:rPr>
          <w:w w:val="105"/>
          <w:sz w:val="13"/>
        </w:rPr>
        <w:t>36</w:t>
      </w:r>
      <w:r>
        <w:rPr>
          <w:spacing w:val="6"/>
          <w:w w:val="105"/>
          <w:sz w:val="13"/>
        </w:rPr>
        <w:t> </w:t>
      </w:r>
      <w:r>
        <w:rPr>
          <w:spacing w:val="3"/>
          <w:w w:val="105"/>
          <w:sz w:val="13"/>
        </w:rPr>
        <w:t>(Law</w:t>
      </w:r>
      <w:r>
        <w:rPr>
          <w:spacing w:val="6"/>
          <w:w w:val="105"/>
          <w:sz w:val="13"/>
        </w:rPr>
        <w:t> </w:t>
      </w:r>
      <w:r>
        <w:rPr>
          <w:w w:val="105"/>
          <w:sz w:val="13"/>
        </w:rPr>
        <w:t>Society</w:t>
      </w:r>
      <w:r>
        <w:rPr>
          <w:spacing w:val="6"/>
          <w:w w:val="105"/>
          <w:sz w:val="13"/>
        </w:rPr>
        <w:t> </w:t>
      </w:r>
      <w:r>
        <w:rPr>
          <w:w w:val="105"/>
          <w:sz w:val="13"/>
        </w:rPr>
        <w:t>of</w:t>
      </w:r>
      <w:r>
        <w:rPr>
          <w:spacing w:val="5"/>
          <w:w w:val="105"/>
          <w:sz w:val="13"/>
        </w:rPr>
        <w:t> </w:t>
      </w:r>
      <w:r>
        <w:rPr>
          <w:w w:val="105"/>
          <w:sz w:val="13"/>
        </w:rPr>
        <w:t>New</w:t>
      </w:r>
      <w:r>
        <w:rPr>
          <w:spacing w:val="6"/>
          <w:w w:val="105"/>
          <w:sz w:val="13"/>
        </w:rPr>
        <w:t> </w:t>
      </w:r>
      <w:r>
        <w:rPr>
          <w:w w:val="105"/>
          <w:sz w:val="13"/>
        </w:rPr>
        <w:t>South</w:t>
      </w:r>
      <w:r>
        <w:rPr>
          <w:spacing w:val="6"/>
          <w:w w:val="105"/>
          <w:sz w:val="13"/>
        </w:rPr>
        <w:t> </w:t>
      </w:r>
      <w:r>
        <w:rPr>
          <w:w w:val="105"/>
          <w:sz w:val="13"/>
        </w:rPr>
        <w:t>Wales);</w:t>
      </w:r>
      <w:r>
        <w:rPr>
          <w:spacing w:val="6"/>
          <w:w w:val="105"/>
          <w:sz w:val="13"/>
        </w:rPr>
        <w:t> </w:t>
      </w:r>
      <w:r>
        <w:rPr>
          <w:w w:val="105"/>
          <w:sz w:val="13"/>
        </w:rPr>
        <w:t>40</w:t>
      </w:r>
      <w:r>
        <w:rPr>
          <w:spacing w:val="6"/>
          <w:w w:val="105"/>
          <w:sz w:val="13"/>
        </w:rPr>
        <w:t> </w:t>
      </w:r>
      <w:r>
        <w:rPr>
          <w:w w:val="105"/>
          <w:sz w:val="13"/>
        </w:rPr>
        <w:t>(Janice</w:t>
      </w:r>
      <w:r>
        <w:rPr>
          <w:spacing w:val="5"/>
          <w:w w:val="105"/>
          <w:sz w:val="13"/>
        </w:rPr>
        <w:t> </w:t>
      </w:r>
      <w:r>
        <w:rPr>
          <w:w w:val="105"/>
          <w:sz w:val="13"/>
        </w:rPr>
        <w:t>Brownfoot).</w:t>
      </w:r>
    </w:p>
    <w:p>
      <w:pPr>
        <w:pStyle w:val="ListParagraph"/>
        <w:numPr>
          <w:ilvl w:val="0"/>
          <w:numId w:val="125"/>
        </w:numPr>
        <w:tabs>
          <w:tab w:pos="2381" w:val="left" w:leader="none"/>
          <w:tab w:pos="2382" w:val="left" w:leader="none"/>
        </w:tabs>
        <w:spacing w:line="240" w:lineRule="auto" w:before="2" w:after="0"/>
        <w:ind w:left="2381" w:right="0" w:hanging="794"/>
        <w:jc w:val="left"/>
        <w:rPr>
          <w:sz w:val="13"/>
        </w:rPr>
      </w:pPr>
      <w:r>
        <w:rPr>
          <w:w w:val="105"/>
          <w:sz w:val="13"/>
        </w:rPr>
        <w:t>Submission 33 (State Trustees</w:t>
      </w:r>
      <w:r>
        <w:rPr>
          <w:spacing w:val="18"/>
          <w:w w:val="105"/>
          <w:sz w:val="13"/>
        </w:rPr>
        <w:t> </w:t>
      </w:r>
      <w:r>
        <w:rPr>
          <w:w w:val="105"/>
          <w:sz w:val="13"/>
        </w:rPr>
        <w:t>Limited).</w:t>
      </w:r>
    </w:p>
    <w:p>
      <w:pPr>
        <w:pStyle w:val="BodyText"/>
        <w:rPr>
          <w:sz w:val="28"/>
        </w:rPr>
      </w:pPr>
      <w:r>
        <w:rPr/>
        <w:br w:type="column"/>
      </w:r>
      <w:r>
        <w:rPr>
          <w:sz w:val="28"/>
        </w:rPr>
      </w:r>
    </w:p>
    <w:p>
      <w:pPr>
        <w:spacing w:before="241"/>
        <w:ind w:left="1085" w:right="0" w:firstLine="0"/>
        <w:jc w:val="left"/>
        <w:rPr>
          <w:b/>
          <w:sz w:val="24"/>
        </w:rPr>
      </w:pPr>
      <w:r>
        <w:rPr>
          <w:b/>
          <w:color w:val="EC5A4F"/>
          <w:w w:val="110"/>
          <w:sz w:val="24"/>
        </w:rPr>
        <w:t>165</w:t>
      </w:r>
    </w:p>
    <w:p>
      <w:pPr>
        <w:spacing w:after="0"/>
        <w:jc w:val="left"/>
        <w:rPr>
          <w:sz w:val="24"/>
        </w:rPr>
        <w:sectPr>
          <w:type w:val="continuous"/>
          <w:pgSz w:w="11910" w:h="16840"/>
          <w:pgMar w:top="920" w:bottom="280" w:left="0" w:right="0"/>
          <w:cols w:num="2" w:equalWidth="0">
            <w:col w:w="9791" w:space="40"/>
            <w:col w:w="2079"/>
          </w:cols>
        </w:sectPr>
      </w:pPr>
    </w:p>
    <w:p>
      <w:pPr>
        <w:pStyle w:val="BodyText"/>
        <w:spacing w:before="3"/>
        <w:rPr>
          <w:b/>
        </w:rPr>
      </w:pPr>
    </w:p>
    <w:p>
      <w:pPr>
        <w:spacing w:before="99"/>
        <w:ind w:left="1587" w:right="0" w:firstLine="0"/>
        <w:jc w:val="left"/>
        <w:rPr>
          <w:b/>
          <w:sz w:val="28"/>
        </w:rPr>
      </w:pPr>
      <w:bookmarkStart w:name="Other regulatory reform" w:id="137"/>
      <w:bookmarkEnd w:id="137"/>
      <w:r>
        <w:rPr/>
      </w:r>
      <w:r>
        <w:rPr>
          <w:b/>
          <w:color w:val="EC5A4F"/>
          <w:w w:val="115"/>
          <w:sz w:val="28"/>
        </w:rPr>
        <w:t>Other regulatory</w:t>
      </w:r>
      <w:r>
        <w:rPr>
          <w:b/>
          <w:color w:val="EC5A4F"/>
          <w:spacing w:val="-60"/>
          <w:w w:val="115"/>
          <w:sz w:val="28"/>
        </w:rPr>
        <w:t> </w:t>
      </w:r>
      <w:r>
        <w:rPr>
          <w:b/>
          <w:color w:val="EC5A4F"/>
          <w:w w:val="115"/>
          <w:sz w:val="28"/>
        </w:rPr>
        <w:t>reform</w:t>
      </w:r>
    </w:p>
    <w:p>
      <w:pPr>
        <w:spacing w:before="166"/>
        <w:ind w:left="1587" w:right="0" w:firstLine="0"/>
        <w:jc w:val="left"/>
        <w:rPr>
          <w:b/>
          <w:sz w:val="24"/>
        </w:rPr>
      </w:pPr>
      <w:r>
        <w:rPr>
          <w:b/>
          <w:w w:val="115"/>
          <w:sz w:val="24"/>
        </w:rPr>
        <w:t>Legal</w:t>
      </w:r>
      <w:r>
        <w:rPr>
          <w:b/>
          <w:spacing w:val="-34"/>
          <w:w w:val="115"/>
          <w:sz w:val="24"/>
        </w:rPr>
        <w:t> </w:t>
      </w:r>
      <w:r>
        <w:rPr>
          <w:b/>
          <w:w w:val="115"/>
          <w:sz w:val="24"/>
        </w:rPr>
        <w:t>Services</w:t>
      </w:r>
      <w:r>
        <w:rPr>
          <w:b/>
          <w:spacing w:val="-34"/>
          <w:w w:val="115"/>
          <w:sz w:val="24"/>
        </w:rPr>
        <w:t> </w:t>
      </w:r>
      <w:r>
        <w:rPr>
          <w:b/>
          <w:w w:val="115"/>
          <w:sz w:val="24"/>
        </w:rPr>
        <w:t>Commissioner</w:t>
      </w:r>
    </w:p>
    <w:p>
      <w:pPr>
        <w:pStyle w:val="Heading6"/>
        <w:spacing w:before="202"/>
      </w:pPr>
      <w:r>
        <w:rPr>
          <w:w w:val="115"/>
        </w:rPr>
        <w:t>Disputes about amounts charged for executorial services</w:t>
      </w:r>
    </w:p>
    <w:p>
      <w:pPr>
        <w:pStyle w:val="ListParagraph"/>
        <w:numPr>
          <w:ilvl w:val="1"/>
          <w:numId w:val="22"/>
        </w:numPr>
        <w:tabs>
          <w:tab w:pos="2381" w:val="left" w:leader="none"/>
          <w:tab w:pos="2382" w:val="left" w:leader="none"/>
        </w:tabs>
        <w:spacing w:line="242" w:lineRule="auto" w:before="151" w:after="0"/>
        <w:ind w:left="2381" w:right="2034" w:hanging="794"/>
        <w:jc w:val="left"/>
        <w:rPr>
          <w:sz w:val="21"/>
        </w:rPr>
      </w:pPr>
      <w:r>
        <w:rPr>
          <w:w w:val="105"/>
          <w:sz w:val="21"/>
        </w:rPr>
        <w:t>While the prospect of review by the </w:t>
      </w:r>
      <w:r>
        <w:rPr>
          <w:spacing w:val="-3"/>
          <w:w w:val="105"/>
          <w:sz w:val="21"/>
        </w:rPr>
        <w:t>Supreme Court may </w:t>
      </w:r>
      <w:r>
        <w:rPr>
          <w:w w:val="105"/>
          <w:sz w:val="21"/>
        </w:rPr>
        <w:t>act as a </w:t>
      </w:r>
      <w:r>
        <w:rPr>
          <w:spacing w:val="-3"/>
          <w:w w:val="105"/>
          <w:sz w:val="21"/>
        </w:rPr>
        <w:t>deterrent for </w:t>
      </w:r>
      <w:r>
        <w:rPr>
          <w:w w:val="105"/>
          <w:sz w:val="21"/>
        </w:rPr>
        <w:t>legal practitioners</w:t>
      </w:r>
      <w:r>
        <w:rPr>
          <w:spacing w:val="-6"/>
          <w:w w:val="105"/>
          <w:sz w:val="21"/>
        </w:rPr>
        <w:t> </w:t>
      </w:r>
      <w:r>
        <w:rPr>
          <w:w w:val="105"/>
          <w:sz w:val="21"/>
        </w:rPr>
        <w:t>who</w:t>
      </w:r>
      <w:r>
        <w:rPr>
          <w:spacing w:val="-6"/>
          <w:w w:val="105"/>
          <w:sz w:val="21"/>
        </w:rPr>
        <w:t> </w:t>
      </w:r>
      <w:r>
        <w:rPr>
          <w:spacing w:val="-3"/>
          <w:w w:val="105"/>
          <w:sz w:val="21"/>
        </w:rPr>
        <w:t>might</w:t>
      </w:r>
      <w:r>
        <w:rPr>
          <w:spacing w:val="-6"/>
          <w:w w:val="105"/>
          <w:sz w:val="21"/>
        </w:rPr>
        <w:t> </w:t>
      </w:r>
      <w:r>
        <w:rPr>
          <w:w w:val="105"/>
          <w:sz w:val="21"/>
        </w:rPr>
        <w:t>be</w:t>
      </w:r>
      <w:r>
        <w:rPr>
          <w:spacing w:val="-6"/>
          <w:w w:val="105"/>
          <w:sz w:val="21"/>
        </w:rPr>
        <w:t> </w:t>
      </w:r>
      <w:r>
        <w:rPr>
          <w:spacing w:val="-3"/>
          <w:w w:val="105"/>
          <w:sz w:val="21"/>
        </w:rPr>
        <w:t>tempted</w:t>
      </w:r>
      <w:r>
        <w:rPr>
          <w:spacing w:val="-5"/>
          <w:w w:val="105"/>
          <w:sz w:val="21"/>
        </w:rPr>
        <w:t> </w:t>
      </w:r>
      <w:r>
        <w:rPr>
          <w:spacing w:val="-3"/>
          <w:w w:val="105"/>
          <w:sz w:val="21"/>
        </w:rPr>
        <w:t>to</w:t>
      </w:r>
      <w:r>
        <w:rPr>
          <w:spacing w:val="-6"/>
          <w:w w:val="105"/>
          <w:sz w:val="21"/>
        </w:rPr>
        <w:t> </w:t>
      </w:r>
      <w:r>
        <w:rPr>
          <w:spacing w:val="-3"/>
          <w:w w:val="105"/>
          <w:sz w:val="21"/>
        </w:rPr>
        <w:t>charge</w:t>
      </w:r>
      <w:r>
        <w:rPr>
          <w:spacing w:val="-6"/>
          <w:w w:val="105"/>
          <w:sz w:val="21"/>
        </w:rPr>
        <w:t> </w:t>
      </w:r>
      <w:r>
        <w:rPr>
          <w:spacing w:val="-2"/>
          <w:w w:val="105"/>
          <w:sz w:val="21"/>
        </w:rPr>
        <w:t>excessive</w:t>
      </w:r>
      <w:r>
        <w:rPr>
          <w:spacing w:val="-6"/>
          <w:w w:val="105"/>
          <w:sz w:val="21"/>
        </w:rPr>
        <w:t> </w:t>
      </w:r>
      <w:r>
        <w:rPr>
          <w:w w:val="105"/>
          <w:sz w:val="21"/>
        </w:rPr>
        <w:t>amounts</w:t>
      </w:r>
      <w:r>
        <w:rPr>
          <w:spacing w:val="-6"/>
          <w:w w:val="105"/>
          <w:sz w:val="21"/>
        </w:rPr>
        <w:t> </w:t>
      </w:r>
      <w:r>
        <w:rPr>
          <w:w w:val="105"/>
          <w:sz w:val="21"/>
        </w:rPr>
        <w:t>of</w:t>
      </w:r>
      <w:r>
        <w:rPr>
          <w:spacing w:val="-5"/>
          <w:w w:val="105"/>
          <w:sz w:val="21"/>
        </w:rPr>
        <w:t> </w:t>
      </w:r>
      <w:r>
        <w:rPr>
          <w:spacing w:val="-3"/>
          <w:w w:val="105"/>
          <w:sz w:val="21"/>
        </w:rPr>
        <w:t>commission,</w:t>
      </w:r>
      <w:r>
        <w:rPr>
          <w:spacing w:val="-6"/>
          <w:w w:val="105"/>
          <w:sz w:val="21"/>
        </w:rPr>
        <w:t> </w:t>
      </w:r>
      <w:r>
        <w:rPr>
          <w:w w:val="105"/>
          <w:sz w:val="21"/>
        </w:rPr>
        <w:t>the cost of the </w:t>
      </w:r>
      <w:r>
        <w:rPr>
          <w:spacing w:val="-3"/>
          <w:w w:val="105"/>
          <w:sz w:val="21"/>
        </w:rPr>
        <w:t>proceedings may </w:t>
      </w:r>
      <w:r>
        <w:rPr>
          <w:w w:val="105"/>
          <w:sz w:val="21"/>
        </w:rPr>
        <w:t>deter beneficiaries of </w:t>
      </w:r>
      <w:r>
        <w:rPr>
          <w:spacing w:val="-3"/>
          <w:w w:val="105"/>
          <w:sz w:val="21"/>
        </w:rPr>
        <w:t>small </w:t>
      </w:r>
      <w:r>
        <w:rPr>
          <w:w w:val="105"/>
          <w:sz w:val="21"/>
        </w:rPr>
        <w:t>estates </w:t>
      </w:r>
      <w:r>
        <w:rPr>
          <w:spacing w:val="-3"/>
          <w:w w:val="105"/>
          <w:sz w:val="21"/>
        </w:rPr>
        <w:t>from challenging </w:t>
      </w:r>
      <w:r>
        <w:rPr>
          <w:w w:val="105"/>
          <w:sz w:val="21"/>
        </w:rPr>
        <w:t>an </w:t>
      </w:r>
      <w:r>
        <w:rPr>
          <w:spacing w:val="-3"/>
          <w:w w:val="105"/>
          <w:sz w:val="21"/>
        </w:rPr>
        <w:t>unreasonable charge </w:t>
      </w:r>
      <w:r>
        <w:rPr>
          <w:w w:val="105"/>
          <w:sz w:val="21"/>
        </w:rPr>
        <w:t>or</w:t>
      </w:r>
      <w:r>
        <w:rPr>
          <w:spacing w:val="22"/>
          <w:w w:val="105"/>
          <w:sz w:val="21"/>
        </w:rPr>
        <w:t> </w:t>
      </w:r>
      <w:r>
        <w:rPr>
          <w:spacing w:val="-3"/>
          <w:w w:val="105"/>
          <w:sz w:val="21"/>
        </w:rPr>
        <w:t>payment.</w:t>
      </w:r>
    </w:p>
    <w:p>
      <w:pPr>
        <w:pStyle w:val="ListParagraph"/>
        <w:numPr>
          <w:ilvl w:val="1"/>
          <w:numId w:val="22"/>
        </w:numPr>
        <w:tabs>
          <w:tab w:pos="2381" w:val="left" w:leader="none"/>
          <w:tab w:pos="2382" w:val="left" w:leader="none"/>
        </w:tabs>
        <w:spacing w:line="242" w:lineRule="auto" w:before="124" w:after="0"/>
        <w:ind w:left="2381" w:right="1864" w:hanging="794"/>
        <w:jc w:val="left"/>
        <w:rPr>
          <w:sz w:val="21"/>
        </w:rPr>
      </w:pPr>
      <w:r>
        <w:rPr>
          <w:sz w:val="21"/>
        </w:rPr>
        <w:t>Beneficiaries presently hesitate in </w:t>
      </w:r>
      <w:r>
        <w:rPr>
          <w:spacing w:val="-3"/>
          <w:sz w:val="21"/>
        </w:rPr>
        <w:t>refusing </w:t>
      </w:r>
      <w:r>
        <w:rPr>
          <w:sz w:val="21"/>
        </w:rPr>
        <w:t>requests by executors </w:t>
      </w:r>
      <w:r>
        <w:rPr>
          <w:spacing w:val="-3"/>
          <w:sz w:val="21"/>
        </w:rPr>
        <w:t>to </w:t>
      </w:r>
      <w:r>
        <w:rPr>
          <w:sz w:val="21"/>
        </w:rPr>
        <w:t>be paid </w:t>
      </w:r>
      <w:r>
        <w:rPr>
          <w:spacing w:val="-3"/>
          <w:sz w:val="21"/>
        </w:rPr>
        <w:t>commission </w:t>
      </w:r>
      <w:r>
        <w:rPr>
          <w:sz w:val="21"/>
        </w:rPr>
        <w:t>because of the cost </w:t>
      </w:r>
      <w:r>
        <w:rPr>
          <w:spacing w:val="-3"/>
          <w:sz w:val="21"/>
        </w:rPr>
        <w:t>to </w:t>
      </w:r>
      <w:r>
        <w:rPr>
          <w:sz w:val="21"/>
        </w:rPr>
        <w:t>the estate if the </w:t>
      </w:r>
      <w:r>
        <w:rPr>
          <w:spacing w:val="-3"/>
          <w:sz w:val="21"/>
        </w:rPr>
        <w:t>executor instead </w:t>
      </w:r>
      <w:r>
        <w:rPr>
          <w:sz w:val="21"/>
        </w:rPr>
        <w:t>applied </w:t>
      </w:r>
      <w:r>
        <w:rPr>
          <w:spacing w:val="-3"/>
          <w:sz w:val="21"/>
        </w:rPr>
        <w:t>to  </w:t>
      </w:r>
      <w:r>
        <w:rPr>
          <w:sz w:val="21"/>
        </w:rPr>
        <w:t>the </w:t>
      </w:r>
      <w:r>
        <w:rPr>
          <w:spacing w:val="-3"/>
          <w:sz w:val="21"/>
        </w:rPr>
        <w:t>Court.</w:t>
      </w:r>
      <w:r>
        <w:rPr>
          <w:spacing w:val="41"/>
          <w:sz w:val="21"/>
        </w:rPr>
        <w:t> </w:t>
      </w:r>
      <w:r>
        <w:rPr>
          <w:spacing w:val="-3"/>
          <w:sz w:val="21"/>
        </w:rPr>
        <w:t>Retired </w:t>
      </w:r>
      <w:r>
        <w:rPr>
          <w:sz w:val="21"/>
        </w:rPr>
        <w:t>legal practitioner </w:t>
      </w:r>
      <w:r>
        <w:rPr>
          <w:spacing w:val="-3"/>
          <w:sz w:val="21"/>
        </w:rPr>
        <w:t>Patricia </w:t>
      </w:r>
      <w:r>
        <w:rPr>
          <w:spacing w:val="-4"/>
          <w:sz w:val="21"/>
        </w:rPr>
        <w:t>Strachan </w:t>
      </w:r>
      <w:r>
        <w:rPr>
          <w:spacing w:val="-3"/>
          <w:sz w:val="21"/>
        </w:rPr>
        <w:t>gave </w:t>
      </w:r>
      <w:r>
        <w:rPr>
          <w:sz w:val="21"/>
        </w:rPr>
        <w:t>the </w:t>
      </w:r>
      <w:r>
        <w:rPr>
          <w:spacing w:val="-3"/>
          <w:sz w:val="21"/>
        </w:rPr>
        <w:t>following </w:t>
      </w:r>
      <w:r>
        <w:rPr>
          <w:sz w:val="21"/>
        </w:rPr>
        <w:t>example in her</w:t>
      </w:r>
      <w:r>
        <w:rPr>
          <w:spacing w:val="-11"/>
          <w:sz w:val="21"/>
        </w:rPr>
        <w:t> </w:t>
      </w:r>
      <w:r>
        <w:rPr>
          <w:sz w:val="21"/>
        </w:rPr>
        <w:t>submission:</w:t>
      </w:r>
    </w:p>
    <w:p>
      <w:pPr>
        <w:spacing w:line="254" w:lineRule="auto" w:before="133"/>
        <w:ind w:left="2721" w:right="1826" w:firstLine="0"/>
        <w:jc w:val="left"/>
        <w:rPr>
          <w:sz w:val="20"/>
        </w:rPr>
      </w:pPr>
      <w:r>
        <w:rPr>
          <w:sz w:val="20"/>
        </w:rPr>
        <w:t>I was </w:t>
      </w:r>
      <w:r>
        <w:rPr>
          <w:spacing w:val="-3"/>
          <w:sz w:val="20"/>
        </w:rPr>
        <w:t>consulted  </w:t>
      </w:r>
      <w:r>
        <w:rPr>
          <w:sz w:val="20"/>
        </w:rPr>
        <w:t>by a widowed </w:t>
      </w:r>
      <w:r>
        <w:rPr>
          <w:spacing w:val="-3"/>
          <w:sz w:val="20"/>
        </w:rPr>
        <w:t>pensioner,</w:t>
      </w:r>
      <w:r>
        <w:rPr>
          <w:spacing w:val="39"/>
          <w:sz w:val="20"/>
        </w:rPr>
        <w:t> </w:t>
      </w:r>
      <w:r>
        <w:rPr>
          <w:sz w:val="20"/>
        </w:rPr>
        <w:t>one of a large number of residuary beneficiaries  in</w:t>
      </w:r>
      <w:r>
        <w:rPr>
          <w:spacing w:val="11"/>
          <w:sz w:val="20"/>
        </w:rPr>
        <w:t> </w:t>
      </w:r>
      <w:r>
        <w:rPr>
          <w:sz w:val="20"/>
        </w:rPr>
        <w:t>a</w:t>
      </w:r>
      <w:r>
        <w:rPr>
          <w:spacing w:val="11"/>
          <w:sz w:val="20"/>
        </w:rPr>
        <w:t> </w:t>
      </w:r>
      <w:r>
        <w:rPr>
          <w:sz w:val="20"/>
        </w:rPr>
        <w:t>large</w:t>
      </w:r>
      <w:r>
        <w:rPr>
          <w:spacing w:val="11"/>
          <w:sz w:val="20"/>
        </w:rPr>
        <w:t> </w:t>
      </w:r>
      <w:r>
        <w:rPr>
          <w:sz w:val="20"/>
        </w:rPr>
        <w:t>Victorian</w:t>
      </w:r>
      <w:r>
        <w:rPr>
          <w:spacing w:val="11"/>
          <w:sz w:val="20"/>
        </w:rPr>
        <w:t> </w:t>
      </w:r>
      <w:r>
        <w:rPr>
          <w:sz w:val="20"/>
        </w:rPr>
        <w:t>estate.</w:t>
      </w:r>
      <w:r>
        <w:rPr>
          <w:spacing w:val="11"/>
          <w:sz w:val="20"/>
        </w:rPr>
        <w:t> </w:t>
      </w:r>
      <w:r>
        <w:rPr>
          <w:sz w:val="20"/>
        </w:rPr>
        <w:t>The</w:t>
      </w:r>
      <w:r>
        <w:rPr>
          <w:spacing w:val="11"/>
          <w:sz w:val="20"/>
        </w:rPr>
        <w:t> </w:t>
      </w:r>
      <w:r>
        <w:rPr>
          <w:sz w:val="20"/>
        </w:rPr>
        <w:t>solicitor-executor</w:t>
      </w:r>
      <w:r>
        <w:rPr>
          <w:spacing w:val="12"/>
          <w:sz w:val="20"/>
        </w:rPr>
        <w:t> </w:t>
      </w:r>
      <w:r>
        <w:rPr>
          <w:sz w:val="20"/>
        </w:rPr>
        <w:t>had</w:t>
      </w:r>
      <w:r>
        <w:rPr>
          <w:spacing w:val="11"/>
          <w:sz w:val="20"/>
        </w:rPr>
        <w:t> </w:t>
      </w:r>
      <w:r>
        <w:rPr>
          <w:sz w:val="20"/>
        </w:rPr>
        <w:t>sent</w:t>
      </w:r>
      <w:r>
        <w:rPr>
          <w:spacing w:val="11"/>
          <w:sz w:val="20"/>
        </w:rPr>
        <w:t> </w:t>
      </w:r>
      <w:r>
        <w:rPr>
          <w:sz w:val="20"/>
        </w:rPr>
        <w:t>them</w:t>
      </w:r>
      <w:r>
        <w:rPr>
          <w:spacing w:val="11"/>
          <w:sz w:val="20"/>
        </w:rPr>
        <w:t> </w:t>
      </w:r>
      <w:r>
        <w:rPr>
          <w:sz w:val="20"/>
        </w:rPr>
        <w:t>all</w:t>
      </w:r>
      <w:r>
        <w:rPr>
          <w:spacing w:val="11"/>
          <w:sz w:val="20"/>
        </w:rPr>
        <w:t> </w:t>
      </w:r>
      <w:r>
        <w:rPr>
          <w:sz w:val="20"/>
        </w:rPr>
        <w:t>copies</w:t>
      </w:r>
      <w:r>
        <w:rPr>
          <w:spacing w:val="11"/>
          <w:sz w:val="20"/>
        </w:rPr>
        <w:t> </w:t>
      </w:r>
      <w:r>
        <w:rPr>
          <w:sz w:val="20"/>
        </w:rPr>
        <w:t>of</w:t>
      </w:r>
      <w:r>
        <w:rPr>
          <w:spacing w:val="11"/>
          <w:sz w:val="20"/>
        </w:rPr>
        <w:t> </w:t>
      </w:r>
      <w:r>
        <w:rPr>
          <w:sz w:val="20"/>
        </w:rPr>
        <w:t>his</w:t>
      </w:r>
      <w:r>
        <w:rPr>
          <w:spacing w:val="12"/>
          <w:sz w:val="20"/>
        </w:rPr>
        <w:t> </w:t>
      </w:r>
      <w:r>
        <w:rPr>
          <w:spacing w:val="-3"/>
          <w:sz w:val="20"/>
        </w:rPr>
        <w:t>firm’s</w:t>
      </w:r>
    </w:p>
    <w:p>
      <w:pPr>
        <w:spacing w:line="254" w:lineRule="auto" w:before="2"/>
        <w:ind w:left="2721" w:right="1930" w:firstLine="0"/>
        <w:jc w:val="left"/>
        <w:rPr>
          <w:sz w:val="20"/>
        </w:rPr>
      </w:pPr>
      <w:r>
        <w:rPr>
          <w:sz w:val="20"/>
        </w:rPr>
        <w:t>bill of costs and a draft statement of administration and distribution, showing himself as receiving a </w:t>
      </w:r>
      <w:r>
        <w:rPr>
          <w:spacing w:val="-3"/>
          <w:sz w:val="20"/>
        </w:rPr>
        <w:t>5%  </w:t>
      </w:r>
      <w:r>
        <w:rPr>
          <w:sz w:val="20"/>
        </w:rPr>
        <w:t>commission. In his </w:t>
      </w:r>
      <w:r>
        <w:rPr>
          <w:spacing w:val="-3"/>
          <w:sz w:val="20"/>
        </w:rPr>
        <w:t>covering</w:t>
      </w:r>
      <w:r>
        <w:rPr>
          <w:spacing w:val="39"/>
          <w:sz w:val="20"/>
        </w:rPr>
        <w:t> </w:t>
      </w:r>
      <w:r>
        <w:rPr>
          <w:spacing w:val="-3"/>
          <w:sz w:val="20"/>
        </w:rPr>
        <w:t>letter,  </w:t>
      </w:r>
      <w:r>
        <w:rPr>
          <w:sz w:val="20"/>
        </w:rPr>
        <w:t>he stated that he was entitled by law   to</w:t>
      </w:r>
      <w:r>
        <w:rPr>
          <w:spacing w:val="16"/>
          <w:sz w:val="20"/>
        </w:rPr>
        <w:t> </w:t>
      </w:r>
      <w:r>
        <w:rPr>
          <w:sz w:val="20"/>
        </w:rPr>
        <w:t>receive</w:t>
      </w:r>
      <w:r>
        <w:rPr>
          <w:spacing w:val="17"/>
          <w:sz w:val="20"/>
        </w:rPr>
        <w:t> </w:t>
      </w:r>
      <w:r>
        <w:rPr>
          <w:sz w:val="20"/>
        </w:rPr>
        <w:t>a</w:t>
      </w:r>
      <w:r>
        <w:rPr>
          <w:spacing w:val="17"/>
          <w:sz w:val="20"/>
        </w:rPr>
        <w:t> </w:t>
      </w:r>
      <w:r>
        <w:rPr>
          <w:sz w:val="20"/>
        </w:rPr>
        <w:t>commission</w:t>
      </w:r>
      <w:r>
        <w:rPr>
          <w:spacing w:val="17"/>
          <w:sz w:val="20"/>
        </w:rPr>
        <w:t> </w:t>
      </w:r>
      <w:r>
        <w:rPr>
          <w:sz w:val="20"/>
        </w:rPr>
        <w:t>of</w:t>
      </w:r>
      <w:r>
        <w:rPr>
          <w:spacing w:val="17"/>
          <w:sz w:val="20"/>
        </w:rPr>
        <w:t> </w:t>
      </w:r>
      <w:r>
        <w:rPr>
          <w:spacing w:val="-3"/>
          <w:sz w:val="20"/>
        </w:rPr>
        <w:t>5%</w:t>
      </w:r>
      <w:r>
        <w:rPr>
          <w:spacing w:val="17"/>
          <w:sz w:val="20"/>
        </w:rPr>
        <w:t> </w:t>
      </w:r>
      <w:r>
        <w:rPr>
          <w:sz w:val="20"/>
        </w:rPr>
        <w:t>and</w:t>
      </w:r>
      <w:r>
        <w:rPr>
          <w:spacing w:val="16"/>
          <w:sz w:val="20"/>
        </w:rPr>
        <w:t> </w:t>
      </w:r>
      <w:r>
        <w:rPr>
          <w:spacing w:val="-3"/>
          <w:sz w:val="20"/>
        </w:rPr>
        <w:t>asked</w:t>
      </w:r>
      <w:r>
        <w:rPr>
          <w:spacing w:val="17"/>
          <w:sz w:val="20"/>
        </w:rPr>
        <w:t> </w:t>
      </w:r>
      <w:r>
        <w:rPr>
          <w:sz w:val="20"/>
        </w:rPr>
        <w:t>each</w:t>
      </w:r>
      <w:r>
        <w:rPr>
          <w:spacing w:val="17"/>
          <w:sz w:val="20"/>
        </w:rPr>
        <w:t> </w:t>
      </w:r>
      <w:r>
        <w:rPr>
          <w:sz w:val="20"/>
        </w:rPr>
        <w:t>to</w:t>
      </w:r>
      <w:r>
        <w:rPr>
          <w:spacing w:val="17"/>
          <w:sz w:val="20"/>
        </w:rPr>
        <w:t> </w:t>
      </w:r>
      <w:r>
        <w:rPr>
          <w:sz w:val="20"/>
        </w:rPr>
        <w:t>sign</w:t>
      </w:r>
      <w:r>
        <w:rPr>
          <w:spacing w:val="17"/>
          <w:sz w:val="20"/>
        </w:rPr>
        <w:t> </w:t>
      </w:r>
      <w:r>
        <w:rPr>
          <w:sz w:val="20"/>
        </w:rPr>
        <w:t>and</w:t>
      </w:r>
      <w:r>
        <w:rPr>
          <w:spacing w:val="17"/>
          <w:sz w:val="20"/>
        </w:rPr>
        <w:t> </w:t>
      </w:r>
      <w:r>
        <w:rPr>
          <w:spacing w:val="-2"/>
          <w:sz w:val="20"/>
        </w:rPr>
        <w:t>return</w:t>
      </w:r>
      <w:r>
        <w:rPr>
          <w:spacing w:val="16"/>
          <w:sz w:val="20"/>
        </w:rPr>
        <w:t> </w:t>
      </w:r>
      <w:r>
        <w:rPr>
          <w:sz w:val="20"/>
        </w:rPr>
        <w:t>a</w:t>
      </w:r>
      <w:r>
        <w:rPr>
          <w:spacing w:val="17"/>
          <w:sz w:val="20"/>
        </w:rPr>
        <w:t> </w:t>
      </w:r>
      <w:r>
        <w:rPr>
          <w:sz w:val="20"/>
        </w:rPr>
        <w:t>form</w:t>
      </w:r>
      <w:r>
        <w:rPr>
          <w:spacing w:val="17"/>
          <w:sz w:val="20"/>
        </w:rPr>
        <w:t> </w:t>
      </w:r>
      <w:r>
        <w:rPr>
          <w:sz w:val="20"/>
        </w:rPr>
        <w:t>of</w:t>
      </w:r>
      <w:r>
        <w:rPr>
          <w:spacing w:val="17"/>
          <w:sz w:val="20"/>
        </w:rPr>
        <w:t> </w:t>
      </w:r>
      <w:r>
        <w:rPr>
          <w:sz w:val="20"/>
        </w:rPr>
        <w:t>consent.</w:t>
      </w:r>
    </w:p>
    <w:p>
      <w:pPr>
        <w:spacing w:line="254" w:lineRule="auto" w:before="4"/>
        <w:ind w:left="2721" w:right="1770" w:firstLine="0"/>
        <w:jc w:val="left"/>
        <w:rPr>
          <w:sz w:val="11"/>
        </w:rPr>
      </w:pPr>
      <w:r>
        <w:rPr>
          <w:w w:val="105"/>
          <w:sz w:val="20"/>
        </w:rPr>
        <w:t>My client’s share was less than the executor proposed to pay himself by way of commission, but she couldn’t afford to apply to the Court. I felt like crying with her but instead I phoned the Law Institute’s costs consultant, John Ahern, and we talked about costs. The upshot was that I beat the executor down to a commission of 1.5%.</w:t>
      </w:r>
      <w:r>
        <w:rPr>
          <w:w w:val="105"/>
          <w:position w:val="7"/>
          <w:sz w:val="11"/>
        </w:rPr>
        <w:t>173</w:t>
      </w:r>
    </w:p>
    <w:p>
      <w:pPr>
        <w:pStyle w:val="ListParagraph"/>
        <w:numPr>
          <w:ilvl w:val="1"/>
          <w:numId w:val="22"/>
        </w:numPr>
        <w:tabs>
          <w:tab w:pos="2381" w:val="left" w:leader="none"/>
          <w:tab w:pos="2382" w:val="left" w:leader="none"/>
        </w:tabs>
        <w:spacing w:line="242" w:lineRule="auto" w:before="115" w:after="0"/>
        <w:ind w:left="2381" w:right="1594" w:hanging="794"/>
        <w:jc w:val="left"/>
        <w:rPr>
          <w:sz w:val="21"/>
        </w:rPr>
      </w:pPr>
      <w:r>
        <w:rPr>
          <w:sz w:val="21"/>
        </w:rPr>
        <w:t>It </w:t>
      </w:r>
      <w:r>
        <w:rPr>
          <w:spacing w:val="-3"/>
          <w:sz w:val="21"/>
        </w:rPr>
        <w:t>is </w:t>
      </w:r>
      <w:r>
        <w:rPr>
          <w:spacing w:val="-4"/>
          <w:sz w:val="21"/>
        </w:rPr>
        <w:t>reasonable to </w:t>
      </w:r>
      <w:r>
        <w:rPr>
          <w:sz w:val="21"/>
        </w:rPr>
        <w:t>expect </w:t>
      </w:r>
      <w:r>
        <w:rPr>
          <w:spacing w:val="-4"/>
          <w:sz w:val="21"/>
        </w:rPr>
        <w:t>that, particularly </w:t>
      </w:r>
      <w:r>
        <w:rPr>
          <w:spacing w:val="-3"/>
          <w:sz w:val="21"/>
        </w:rPr>
        <w:t>when </w:t>
      </w:r>
      <w:r>
        <w:rPr>
          <w:spacing w:val="-5"/>
          <w:sz w:val="21"/>
        </w:rPr>
        <w:t>disputing </w:t>
      </w:r>
      <w:r>
        <w:rPr>
          <w:spacing w:val="-3"/>
          <w:sz w:val="21"/>
        </w:rPr>
        <w:t>how </w:t>
      </w:r>
      <w:r>
        <w:rPr>
          <w:spacing w:val="-4"/>
          <w:sz w:val="21"/>
        </w:rPr>
        <w:t>much has </w:t>
      </w:r>
      <w:r>
        <w:rPr>
          <w:spacing w:val="-3"/>
          <w:sz w:val="21"/>
        </w:rPr>
        <w:t>been </w:t>
      </w:r>
      <w:r>
        <w:rPr>
          <w:spacing w:val="-4"/>
          <w:sz w:val="21"/>
        </w:rPr>
        <w:t>charged to </w:t>
      </w:r>
      <w:r>
        <w:rPr>
          <w:sz w:val="21"/>
        </w:rPr>
        <w:t>a </w:t>
      </w:r>
      <w:r>
        <w:rPr>
          <w:spacing w:val="-3"/>
          <w:sz w:val="21"/>
        </w:rPr>
        <w:t>small estate, </w:t>
      </w:r>
      <w:r>
        <w:rPr>
          <w:sz w:val="21"/>
        </w:rPr>
        <w:t>the beneficiaries </w:t>
      </w:r>
      <w:r>
        <w:rPr>
          <w:spacing w:val="-3"/>
          <w:sz w:val="21"/>
        </w:rPr>
        <w:t>will </w:t>
      </w:r>
      <w:r>
        <w:rPr>
          <w:sz w:val="21"/>
        </w:rPr>
        <w:t>often </w:t>
      </w:r>
      <w:r>
        <w:rPr>
          <w:spacing w:val="-2"/>
          <w:sz w:val="21"/>
        </w:rPr>
        <w:t>not </w:t>
      </w:r>
      <w:r>
        <w:rPr>
          <w:sz w:val="21"/>
        </w:rPr>
        <w:t>be able </w:t>
      </w:r>
      <w:r>
        <w:rPr>
          <w:spacing w:val="-3"/>
          <w:sz w:val="21"/>
        </w:rPr>
        <w:t>to </w:t>
      </w:r>
      <w:r>
        <w:rPr>
          <w:sz w:val="21"/>
        </w:rPr>
        <w:t>afford </w:t>
      </w:r>
      <w:r>
        <w:rPr>
          <w:spacing w:val="-3"/>
          <w:sz w:val="21"/>
        </w:rPr>
        <w:t>Supreme Court</w:t>
      </w:r>
      <w:r>
        <w:rPr>
          <w:spacing w:val="16"/>
          <w:sz w:val="21"/>
        </w:rPr>
        <w:t> </w:t>
      </w:r>
      <w:r>
        <w:rPr>
          <w:spacing w:val="-3"/>
          <w:sz w:val="21"/>
        </w:rPr>
        <w:t>proceedings.</w:t>
      </w:r>
    </w:p>
    <w:p>
      <w:pPr>
        <w:pStyle w:val="ListParagraph"/>
        <w:numPr>
          <w:ilvl w:val="1"/>
          <w:numId w:val="22"/>
        </w:numPr>
        <w:tabs>
          <w:tab w:pos="2380" w:val="left" w:leader="none"/>
          <w:tab w:pos="2381" w:val="left" w:leader="none"/>
        </w:tabs>
        <w:spacing w:line="242" w:lineRule="auto" w:before="123" w:after="0"/>
        <w:ind w:left="2381" w:right="1590" w:hanging="794"/>
        <w:jc w:val="left"/>
        <w:rPr>
          <w:sz w:val="21"/>
        </w:rPr>
      </w:pPr>
      <w:r>
        <w:rPr>
          <w:w w:val="105"/>
          <w:sz w:val="21"/>
        </w:rPr>
        <w:t>For</w:t>
      </w:r>
      <w:r>
        <w:rPr>
          <w:spacing w:val="-8"/>
          <w:w w:val="105"/>
          <w:sz w:val="21"/>
        </w:rPr>
        <w:t> </w:t>
      </w:r>
      <w:r>
        <w:rPr>
          <w:w w:val="105"/>
          <w:sz w:val="21"/>
        </w:rPr>
        <w:t>this</w:t>
      </w:r>
      <w:r>
        <w:rPr>
          <w:spacing w:val="-7"/>
          <w:w w:val="105"/>
          <w:sz w:val="21"/>
        </w:rPr>
        <w:t> </w:t>
      </w:r>
      <w:r>
        <w:rPr>
          <w:spacing w:val="-3"/>
          <w:w w:val="105"/>
          <w:sz w:val="21"/>
        </w:rPr>
        <w:t>reason,</w:t>
      </w:r>
      <w:r>
        <w:rPr>
          <w:spacing w:val="-7"/>
          <w:w w:val="105"/>
          <w:sz w:val="21"/>
        </w:rPr>
        <w:t> </w:t>
      </w:r>
      <w:r>
        <w:rPr>
          <w:w w:val="105"/>
          <w:sz w:val="21"/>
        </w:rPr>
        <w:t>the</w:t>
      </w:r>
      <w:r>
        <w:rPr>
          <w:spacing w:val="-8"/>
          <w:w w:val="105"/>
          <w:sz w:val="21"/>
        </w:rPr>
        <w:t> </w:t>
      </w:r>
      <w:r>
        <w:rPr>
          <w:spacing w:val="-3"/>
          <w:w w:val="105"/>
          <w:sz w:val="21"/>
        </w:rPr>
        <w:t>Commission</w:t>
      </w:r>
      <w:r>
        <w:rPr>
          <w:spacing w:val="-7"/>
          <w:w w:val="105"/>
          <w:sz w:val="21"/>
        </w:rPr>
        <w:t> </w:t>
      </w:r>
      <w:r>
        <w:rPr>
          <w:w w:val="105"/>
          <w:sz w:val="21"/>
        </w:rPr>
        <w:t>considers</w:t>
      </w:r>
      <w:r>
        <w:rPr>
          <w:spacing w:val="-7"/>
          <w:w w:val="105"/>
          <w:sz w:val="21"/>
        </w:rPr>
        <w:t> </w:t>
      </w:r>
      <w:r>
        <w:rPr>
          <w:spacing w:val="-3"/>
          <w:w w:val="105"/>
          <w:sz w:val="21"/>
        </w:rPr>
        <w:t>that</w:t>
      </w:r>
      <w:r>
        <w:rPr>
          <w:spacing w:val="-8"/>
          <w:w w:val="105"/>
          <w:sz w:val="21"/>
        </w:rPr>
        <w:t> </w:t>
      </w:r>
      <w:r>
        <w:rPr>
          <w:w w:val="105"/>
          <w:sz w:val="21"/>
        </w:rPr>
        <w:t>the</w:t>
      </w:r>
      <w:r>
        <w:rPr>
          <w:spacing w:val="-7"/>
          <w:w w:val="105"/>
          <w:sz w:val="21"/>
        </w:rPr>
        <w:t> </w:t>
      </w:r>
      <w:r>
        <w:rPr>
          <w:w w:val="105"/>
          <w:sz w:val="21"/>
        </w:rPr>
        <w:t>Legal</w:t>
      </w:r>
      <w:r>
        <w:rPr>
          <w:spacing w:val="-7"/>
          <w:w w:val="105"/>
          <w:sz w:val="21"/>
        </w:rPr>
        <w:t> </w:t>
      </w:r>
      <w:r>
        <w:rPr>
          <w:w w:val="105"/>
          <w:sz w:val="21"/>
        </w:rPr>
        <w:t>Services</w:t>
      </w:r>
      <w:r>
        <w:rPr>
          <w:spacing w:val="-8"/>
          <w:w w:val="105"/>
          <w:sz w:val="21"/>
        </w:rPr>
        <w:t> </w:t>
      </w:r>
      <w:r>
        <w:rPr>
          <w:spacing w:val="-3"/>
          <w:w w:val="105"/>
          <w:sz w:val="21"/>
        </w:rPr>
        <w:t>Commissioner</w:t>
      </w:r>
      <w:r>
        <w:rPr>
          <w:spacing w:val="-7"/>
          <w:w w:val="105"/>
          <w:sz w:val="21"/>
        </w:rPr>
        <w:t> </w:t>
      </w:r>
      <w:r>
        <w:rPr>
          <w:w w:val="105"/>
          <w:sz w:val="21"/>
        </w:rPr>
        <w:t>should</w:t>
      </w:r>
      <w:r>
        <w:rPr>
          <w:spacing w:val="-7"/>
          <w:w w:val="105"/>
          <w:sz w:val="21"/>
        </w:rPr>
        <w:t> </w:t>
      </w:r>
      <w:r>
        <w:rPr>
          <w:w w:val="105"/>
          <w:sz w:val="21"/>
        </w:rPr>
        <w:t>be </w:t>
      </w:r>
      <w:r>
        <w:rPr>
          <w:spacing w:val="-2"/>
          <w:w w:val="105"/>
          <w:sz w:val="21"/>
        </w:rPr>
        <w:t>empowered </w:t>
      </w:r>
      <w:r>
        <w:rPr>
          <w:spacing w:val="-3"/>
          <w:w w:val="105"/>
          <w:sz w:val="21"/>
        </w:rPr>
        <w:t>to </w:t>
      </w:r>
      <w:r>
        <w:rPr>
          <w:w w:val="105"/>
          <w:sz w:val="21"/>
        </w:rPr>
        <w:t>resolve </w:t>
      </w:r>
      <w:r>
        <w:rPr>
          <w:spacing w:val="-3"/>
          <w:w w:val="105"/>
          <w:sz w:val="21"/>
        </w:rPr>
        <w:t>disputes </w:t>
      </w:r>
      <w:r>
        <w:rPr>
          <w:w w:val="105"/>
          <w:sz w:val="21"/>
        </w:rPr>
        <w:t>about amounts </w:t>
      </w:r>
      <w:r>
        <w:rPr>
          <w:spacing w:val="-3"/>
          <w:w w:val="105"/>
          <w:sz w:val="21"/>
        </w:rPr>
        <w:t>charged for executorial </w:t>
      </w:r>
      <w:r>
        <w:rPr>
          <w:w w:val="105"/>
          <w:sz w:val="21"/>
        </w:rPr>
        <w:t>services by legal practitioner executors, where the </w:t>
      </w:r>
      <w:r>
        <w:rPr>
          <w:spacing w:val="-3"/>
          <w:w w:val="105"/>
          <w:sz w:val="21"/>
        </w:rPr>
        <w:t>amount charged </w:t>
      </w:r>
      <w:r>
        <w:rPr>
          <w:w w:val="105"/>
          <w:sz w:val="21"/>
        </w:rPr>
        <w:t>does </w:t>
      </w:r>
      <w:r>
        <w:rPr>
          <w:spacing w:val="-2"/>
          <w:w w:val="105"/>
          <w:sz w:val="21"/>
        </w:rPr>
        <w:t>not </w:t>
      </w:r>
      <w:r>
        <w:rPr>
          <w:w w:val="105"/>
          <w:sz w:val="21"/>
        </w:rPr>
        <w:t>exceed </w:t>
      </w:r>
      <w:r>
        <w:rPr>
          <w:spacing w:val="-3"/>
          <w:w w:val="105"/>
          <w:sz w:val="21"/>
        </w:rPr>
        <w:t>$25,000, </w:t>
      </w:r>
      <w:r>
        <w:rPr>
          <w:w w:val="105"/>
          <w:sz w:val="21"/>
        </w:rPr>
        <w:t>in the same </w:t>
      </w:r>
      <w:r>
        <w:rPr>
          <w:spacing w:val="-3"/>
          <w:w w:val="105"/>
          <w:sz w:val="21"/>
        </w:rPr>
        <w:t>way that disputes </w:t>
      </w:r>
      <w:r>
        <w:rPr>
          <w:w w:val="105"/>
          <w:sz w:val="21"/>
        </w:rPr>
        <w:t>in </w:t>
      </w:r>
      <w:r>
        <w:rPr>
          <w:spacing w:val="-3"/>
          <w:w w:val="105"/>
          <w:sz w:val="21"/>
        </w:rPr>
        <w:t>relation to </w:t>
      </w:r>
      <w:r>
        <w:rPr>
          <w:w w:val="105"/>
          <w:sz w:val="21"/>
        </w:rPr>
        <w:t>legal costs </w:t>
      </w:r>
      <w:r>
        <w:rPr>
          <w:spacing w:val="-2"/>
          <w:w w:val="105"/>
          <w:sz w:val="21"/>
        </w:rPr>
        <w:t>not </w:t>
      </w:r>
      <w:r>
        <w:rPr>
          <w:spacing w:val="-3"/>
          <w:w w:val="105"/>
          <w:sz w:val="21"/>
        </w:rPr>
        <w:t>exceeding </w:t>
      </w:r>
      <w:r>
        <w:rPr>
          <w:w w:val="105"/>
          <w:sz w:val="21"/>
        </w:rPr>
        <w:t>$25,000 can be</w:t>
      </w:r>
      <w:r>
        <w:rPr>
          <w:spacing w:val="42"/>
          <w:w w:val="105"/>
          <w:sz w:val="21"/>
        </w:rPr>
        <w:t> </w:t>
      </w:r>
      <w:r>
        <w:rPr>
          <w:w w:val="105"/>
          <w:sz w:val="21"/>
        </w:rPr>
        <w:t>resolved.</w:t>
      </w:r>
    </w:p>
    <w:p>
      <w:pPr>
        <w:pStyle w:val="ListParagraph"/>
        <w:numPr>
          <w:ilvl w:val="1"/>
          <w:numId w:val="22"/>
        </w:numPr>
        <w:tabs>
          <w:tab w:pos="2380" w:val="left" w:leader="none"/>
          <w:tab w:pos="2381" w:val="left" w:leader="none"/>
        </w:tabs>
        <w:spacing w:line="242" w:lineRule="auto" w:before="124" w:after="0"/>
        <w:ind w:left="2381" w:right="1746" w:hanging="794"/>
        <w:jc w:val="left"/>
        <w:rPr>
          <w:sz w:val="21"/>
        </w:rPr>
      </w:pPr>
      <w:r>
        <w:rPr>
          <w:w w:val="105"/>
          <w:sz w:val="21"/>
        </w:rPr>
        <w:t>In view of the </w:t>
      </w:r>
      <w:r>
        <w:rPr>
          <w:spacing w:val="-3"/>
          <w:w w:val="105"/>
          <w:sz w:val="21"/>
        </w:rPr>
        <w:t>high </w:t>
      </w:r>
      <w:r>
        <w:rPr>
          <w:w w:val="105"/>
          <w:sz w:val="21"/>
        </w:rPr>
        <w:t>cost of </w:t>
      </w:r>
      <w:r>
        <w:rPr>
          <w:spacing w:val="-3"/>
          <w:w w:val="105"/>
          <w:sz w:val="21"/>
        </w:rPr>
        <w:t>housing </w:t>
      </w:r>
      <w:r>
        <w:rPr>
          <w:w w:val="105"/>
          <w:sz w:val="21"/>
        </w:rPr>
        <w:t>in Victoria, the </w:t>
      </w:r>
      <w:r>
        <w:rPr>
          <w:spacing w:val="-3"/>
          <w:w w:val="105"/>
          <w:sz w:val="21"/>
        </w:rPr>
        <w:t>value </w:t>
      </w:r>
      <w:r>
        <w:rPr>
          <w:w w:val="105"/>
          <w:sz w:val="21"/>
        </w:rPr>
        <w:t>of an estate </w:t>
      </w:r>
      <w:r>
        <w:rPr>
          <w:spacing w:val="-3"/>
          <w:w w:val="105"/>
          <w:sz w:val="21"/>
        </w:rPr>
        <w:t>comprising </w:t>
      </w:r>
      <w:r>
        <w:rPr>
          <w:w w:val="105"/>
          <w:sz w:val="21"/>
        </w:rPr>
        <w:t>a </w:t>
      </w:r>
      <w:r>
        <w:rPr>
          <w:spacing w:val="-3"/>
          <w:w w:val="105"/>
          <w:sz w:val="21"/>
        </w:rPr>
        <w:t>family </w:t>
      </w:r>
      <w:r>
        <w:rPr>
          <w:w w:val="105"/>
          <w:sz w:val="21"/>
        </w:rPr>
        <w:t>home and modest </w:t>
      </w:r>
      <w:r>
        <w:rPr>
          <w:spacing w:val="-3"/>
          <w:w w:val="105"/>
          <w:sz w:val="21"/>
        </w:rPr>
        <w:t>savings will increasingly </w:t>
      </w:r>
      <w:r>
        <w:rPr>
          <w:w w:val="105"/>
          <w:sz w:val="21"/>
        </w:rPr>
        <w:t>be </w:t>
      </w:r>
      <w:r>
        <w:rPr>
          <w:spacing w:val="-4"/>
          <w:w w:val="105"/>
          <w:sz w:val="21"/>
        </w:rPr>
        <w:t>likely </w:t>
      </w:r>
      <w:r>
        <w:rPr>
          <w:spacing w:val="-3"/>
          <w:w w:val="105"/>
          <w:sz w:val="21"/>
        </w:rPr>
        <w:t>to reach </w:t>
      </w:r>
      <w:r>
        <w:rPr>
          <w:w w:val="105"/>
          <w:sz w:val="21"/>
        </w:rPr>
        <w:t>one </w:t>
      </w:r>
      <w:r>
        <w:rPr>
          <w:spacing w:val="-3"/>
          <w:w w:val="105"/>
          <w:sz w:val="21"/>
        </w:rPr>
        <w:t>million </w:t>
      </w:r>
      <w:r>
        <w:rPr>
          <w:w w:val="105"/>
          <w:sz w:val="21"/>
        </w:rPr>
        <w:t>dollars. The </w:t>
      </w:r>
      <w:r>
        <w:rPr>
          <w:spacing w:val="-3"/>
          <w:w w:val="105"/>
          <w:sz w:val="21"/>
        </w:rPr>
        <w:t>amount </w:t>
      </w:r>
      <w:r>
        <w:rPr>
          <w:w w:val="105"/>
          <w:sz w:val="21"/>
        </w:rPr>
        <w:t>of </w:t>
      </w:r>
      <w:r>
        <w:rPr>
          <w:spacing w:val="-3"/>
          <w:w w:val="105"/>
          <w:sz w:val="21"/>
        </w:rPr>
        <w:t>$25,000, </w:t>
      </w:r>
      <w:r>
        <w:rPr>
          <w:w w:val="105"/>
          <w:sz w:val="21"/>
        </w:rPr>
        <w:t>or </w:t>
      </w:r>
      <w:r>
        <w:rPr>
          <w:spacing w:val="-5"/>
          <w:w w:val="105"/>
          <w:sz w:val="21"/>
        </w:rPr>
        <w:t>2.5 </w:t>
      </w:r>
      <w:r>
        <w:rPr>
          <w:w w:val="105"/>
          <w:sz w:val="21"/>
        </w:rPr>
        <w:t>per </w:t>
      </w:r>
      <w:r>
        <w:rPr>
          <w:spacing w:val="-3"/>
          <w:w w:val="105"/>
          <w:sz w:val="21"/>
        </w:rPr>
        <w:t>cent </w:t>
      </w:r>
      <w:r>
        <w:rPr>
          <w:w w:val="105"/>
          <w:sz w:val="21"/>
        </w:rPr>
        <w:t>of an estate of </w:t>
      </w:r>
      <w:r>
        <w:rPr>
          <w:spacing w:val="-3"/>
          <w:w w:val="105"/>
          <w:sz w:val="21"/>
        </w:rPr>
        <w:t>that </w:t>
      </w:r>
      <w:r>
        <w:rPr>
          <w:spacing w:val="-4"/>
          <w:w w:val="105"/>
          <w:sz w:val="21"/>
        </w:rPr>
        <w:t>value, </w:t>
      </w:r>
      <w:r>
        <w:rPr>
          <w:w w:val="105"/>
          <w:sz w:val="21"/>
        </w:rPr>
        <w:t>is a </w:t>
      </w:r>
      <w:r>
        <w:rPr>
          <w:spacing w:val="-3"/>
          <w:w w:val="105"/>
          <w:sz w:val="21"/>
        </w:rPr>
        <w:t>reasonable ceiling for disputes within </w:t>
      </w:r>
      <w:r>
        <w:rPr>
          <w:w w:val="105"/>
          <w:sz w:val="21"/>
        </w:rPr>
        <w:t>the Legal Services </w:t>
      </w:r>
      <w:r>
        <w:rPr>
          <w:spacing w:val="-3"/>
          <w:w w:val="105"/>
          <w:sz w:val="21"/>
        </w:rPr>
        <w:t>Commissioner’s</w:t>
      </w:r>
      <w:r>
        <w:rPr>
          <w:spacing w:val="24"/>
          <w:w w:val="105"/>
          <w:sz w:val="21"/>
        </w:rPr>
        <w:t> </w:t>
      </w:r>
      <w:r>
        <w:rPr>
          <w:w w:val="105"/>
          <w:sz w:val="21"/>
        </w:rPr>
        <w:t>jurisdiction.</w:t>
      </w:r>
    </w:p>
    <w:p>
      <w:pPr>
        <w:pStyle w:val="ListParagraph"/>
        <w:numPr>
          <w:ilvl w:val="1"/>
          <w:numId w:val="22"/>
        </w:numPr>
        <w:tabs>
          <w:tab w:pos="2380" w:val="left" w:leader="none"/>
          <w:tab w:pos="2381" w:val="left" w:leader="none"/>
        </w:tabs>
        <w:spacing w:line="242" w:lineRule="auto" w:before="124" w:after="0"/>
        <w:ind w:left="2381" w:right="1861" w:hanging="794"/>
        <w:jc w:val="left"/>
        <w:rPr>
          <w:sz w:val="21"/>
        </w:rPr>
      </w:pPr>
      <w:r>
        <w:rPr>
          <w:w w:val="105"/>
          <w:sz w:val="21"/>
        </w:rPr>
        <w:t>The </w:t>
      </w:r>
      <w:r>
        <w:rPr>
          <w:spacing w:val="-3"/>
          <w:w w:val="105"/>
          <w:sz w:val="21"/>
        </w:rPr>
        <w:t>Commission </w:t>
      </w:r>
      <w:r>
        <w:rPr>
          <w:w w:val="105"/>
          <w:sz w:val="21"/>
        </w:rPr>
        <w:t>proposes </w:t>
      </w:r>
      <w:r>
        <w:rPr>
          <w:spacing w:val="-3"/>
          <w:w w:val="105"/>
          <w:sz w:val="21"/>
        </w:rPr>
        <w:t>that </w:t>
      </w:r>
      <w:r>
        <w:rPr>
          <w:w w:val="105"/>
          <w:sz w:val="21"/>
        </w:rPr>
        <w:t>a </w:t>
      </w:r>
      <w:r>
        <w:rPr>
          <w:spacing w:val="-3"/>
          <w:w w:val="105"/>
          <w:sz w:val="21"/>
        </w:rPr>
        <w:t>dispute </w:t>
      </w:r>
      <w:r>
        <w:rPr>
          <w:w w:val="105"/>
          <w:sz w:val="21"/>
        </w:rPr>
        <w:t>about amounts </w:t>
      </w:r>
      <w:r>
        <w:rPr>
          <w:spacing w:val="-3"/>
          <w:w w:val="105"/>
          <w:sz w:val="21"/>
        </w:rPr>
        <w:t>charged for executorial </w:t>
      </w:r>
      <w:r>
        <w:rPr>
          <w:w w:val="105"/>
          <w:sz w:val="21"/>
        </w:rPr>
        <w:t>services</w:t>
      </w:r>
      <w:r>
        <w:rPr>
          <w:spacing w:val="-7"/>
          <w:w w:val="105"/>
          <w:sz w:val="21"/>
        </w:rPr>
        <w:t> </w:t>
      </w:r>
      <w:r>
        <w:rPr>
          <w:w w:val="105"/>
          <w:sz w:val="21"/>
        </w:rPr>
        <w:t>should</w:t>
      </w:r>
      <w:r>
        <w:rPr>
          <w:spacing w:val="-7"/>
          <w:w w:val="105"/>
          <w:sz w:val="21"/>
        </w:rPr>
        <w:t> </w:t>
      </w:r>
      <w:r>
        <w:rPr>
          <w:w w:val="105"/>
          <w:sz w:val="21"/>
        </w:rPr>
        <w:t>be</w:t>
      </w:r>
      <w:r>
        <w:rPr>
          <w:spacing w:val="-6"/>
          <w:w w:val="105"/>
          <w:sz w:val="21"/>
        </w:rPr>
        <w:t> </w:t>
      </w:r>
      <w:r>
        <w:rPr>
          <w:w w:val="105"/>
          <w:sz w:val="21"/>
        </w:rPr>
        <w:t>a</w:t>
      </w:r>
      <w:r>
        <w:rPr>
          <w:spacing w:val="-7"/>
          <w:w w:val="105"/>
          <w:sz w:val="21"/>
        </w:rPr>
        <w:t> </w:t>
      </w:r>
      <w:r>
        <w:rPr>
          <w:w w:val="105"/>
          <w:sz w:val="21"/>
        </w:rPr>
        <w:t>civil</w:t>
      </w:r>
      <w:r>
        <w:rPr>
          <w:spacing w:val="-6"/>
          <w:w w:val="105"/>
          <w:sz w:val="21"/>
        </w:rPr>
        <w:t> </w:t>
      </w:r>
      <w:r>
        <w:rPr>
          <w:spacing w:val="-3"/>
          <w:w w:val="105"/>
          <w:sz w:val="21"/>
        </w:rPr>
        <w:t>dispute</w:t>
      </w:r>
      <w:r>
        <w:rPr>
          <w:spacing w:val="-7"/>
          <w:w w:val="105"/>
          <w:sz w:val="21"/>
        </w:rPr>
        <w:t> </w:t>
      </w:r>
      <w:r>
        <w:rPr>
          <w:w w:val="105"/>
          <w:sz w:val="21"/>
        </w:rPr>
        <w:t>under</w:t>
      </w:r>
      <w:r>
        <w:rPr>
          <w:spacing w:val="-6"/>
          <w:w w:val="105"/>
          <w:sz w:val="21"/>
        </w:rPr>
        <w:t> </w:t>
      </w:r>
      <w:r>
        <w:rPr>
          <w:w w:val="105"/>
          <w:sz w:val="21"/>
        </w:rPr>
        <w:t>the</w:t>
      </w:r>
      <w:r>
        <w:rPr>
          <w:spacing w:val="-7"/>
          <w:w w:val="105"/>
          <w:sz w:val="21"/>
        </w:rPr>
        <w:t> </w:t>
      </w:r>
      <w:r>
        <w:rPr>
          <w:w w:val="105"/>
          <w:sz w:val="21"/>
        </w:rPr>
        <w:t>Legal</w:t>
      </w:r>
      <w:r>
        <w:rPr>
          <w:spacing w:val="-6"/>
          <w:w w:val="105"/>
          <w:sz w:val="21"/>
        </w:rPr>
        <w:t> </w:t>
      </w:r>
      <w:r>
        <w:rPr>
          <w:spacing w:val="-3"/>
          <w:w w:val="105"/>
          <w:sz w:val="21"/>
        </w:rPr>
        <w:t>Profession</w:t>
      </w:r>
      <w:r>
        <w:rPr>
          <w:spacing w:val="-7"/>
          <w:w w:val="105"/>
          <w:sz w:val="21"/>
        </w:rPr>
        <w:t> </w:t>
      </w:r>
      <w:r>
        <w:rPr>
          <w:w w:val="105"/>
          <w:sz w:val="21"/>
        </w:rPr>
        <w:t>Act.</w:t>
      </w:r>
      <w:r>
        <w:rPr>
          <w:spacing w:val="-6"/>
          <w:w w:val="105"/>
          <w:sz w:val="21"/>
        </w:rPr>
        <w:t> </w:t>
      </w:r>
      <w:r>
        <w:rPr>
          <w:w w:val="105"/>
          <w:sz w:val="21"/>
        </w:rPr>
        <w:t>A</w:t>
      </w:r>
      <w:r>
        <w:rPr>
          <w:spacing w:val="-7"/>
          <w:w w:val="105"/>
          <w:sz w:val="21"/>
        </w:rPr>
        <w:t> </w:t>
      </w:r>
      <w:r>
        <w:rPr>
          <w:w w:val="105"/>
          <w:sz w:val="21"/>
        </w:rPr>
        <w:t>civil</w:t>
      </w:r>
      <w:r>
        <w:rPr>
          <w:spacing w:val="-6"/>
          <w:w w:val="105"/>
          <w:sz w:val="21"/>
        </w:rPr>
        <w:t> </w:t>
      </w:r>
      <w:r>
        <w:rPr>
          <w:spacing w:val="-3"/>
          <w:w w:val="105"/>
          <w:sz w:val="21"/>
        </w:rPr>
        <w:t>dispute</w:t>
      </w:r>
      <w:r>
        <w:rPr>
          <w:spacing w:val="-7"/>
          <w:w w:val="105"/>
          <w:sz w:val="21"/>
        </w:rPr>
        <w:t> </w:t>
      </w:r>
      <w:r>
        <w:rPr>
          <w:spacing w:val="-3"/>
          <w:w w:val="105"/>
          <w:sz w:val="21"/>
        </w:rPr>
        <w:t>includes </w:t>
      </w:r>
      <w:r>
        <w:rPr>
          <w:w w:val="105"/>
          <w:sz w:val="21"/>
        </w:rPr>
        <w:t>a </w:t>
      </w:r>
      <w:r>
        <w:rPr>
          <w:spacing w:val="-3"/>
          <w:w w:val="105"/>
          <w:sz w:val="21"/>
        </w:rPr>
        <w:t>dispute </w:t>
      </w:r>
      <w:r>
        <w:rPr>
          <w:w w:val="105"/>
          <w:sz w:val="21"/>
        </w:rPr>
        <w:t>about legal costs </w:t>
      </w:r>
      <w:r>
        <w:rPr>
          <w:spacing w:val="-3"/>
          <w:w w:val="105"/>
          <w:sz w:val="21"/>
        </w:rPr>
        <w:t>that </w:t>
      </w:r>
      <w:r>
        <w:rPr>
          <w:w w:val="105"/>
          <w:sz w:val="21"/>
        </w:rPr>
        <w:t>do </w:t>
      </w:r>
      <w:r>
        <w:rPr>
          <w:spacing w:val="-2"/>
          <w:w w:val="105"/>
          <w:sz w:val="21"/>
        </w:rPr>
        <w:t>not </w:t>
      </w:r>
      <w:r>
        <w:rPr>
          <w:w w:val="105"/>
          <w:sz w:val="21"/>
        </w:rPr>
        <w:t>exceed </w:t>
      </w:r>
      <w:r>
        <w:rPr>
          <w:spacing w:val="-3"/>
          <w:w w:val="105"/>
          <w:sz w:val="21"/>
        </w:rPr>
        <w:t>$25,000. </w:t>
      </w:r>
      <w:r>
        <w:rPr>
          <w:w w:val="105"/>
          <w:sz w:val="21"/>
        </w:rPr>
        <w:t>The parties </w:t>
      </w:r>
      <w:r>
        <w:rPr>
          <w:spacing w:val="-3"/>
          <w:w w:val="105"/>
          <w:sz w:val="21"/>
        </w:rPr>
        <w:t>to </w:t>
      </w:r>
      <w:r>
        <w:rPr>
          <w:w w:val="105"/>
          <w:sz w:val="21"/>
        </w:rPr>
        <w:t>a costs </w:t>
      </w:r>
      <w:r>
        <w:rPr>
          <w:spacing w:val="-3"/>
          <w:w w:val="105"/>
          <w:sz w:val="21"/>
        </w:rPr>
        <w:t>dispute </w:t>
      </w:r>
      <w:r>
        <w:rPr>
          <w:w w:val="105"/>
          <w:sz w:val="21"/>
        </w:rPr>
        <w:t>can be a law practice or legal practitioner and a beneficiary under a </w:t>
      </w:r>
      <w:r>
        <w:rPr>
          <w:spacing w:val="-6"/>
          <w:w w:val="105"/>
          <w:sz w:val="21"/>
        </w:rPr>
        <w:t>will.</w:t>
      </w:r>
      <w:r>
        <w:rPr>
          <w:spacing w:val="-6"/>
          <w:w w:val="105"/>
          <w:position w:val="7"/>
          <w:sz w:val="12"/>
        </w:rPr>
        <w:t>174 </w:t>
      </w:r>
      <w:r>
        <w:rPr>
          <w:w w:val="105"/>
          <w:sz w:val="21"/>
        </w:rPr>
        <w:t>If the </w:t>
      </w:r>
      <w:r>
        <w:rPr>
          <w:spacing w:val="-3"/>
          <w:w w:val="105"/>
          <w:sz w:val="21"/>
        </w:rPr>
        <w:t>Legal </w:t>
      </w:r>
      <w:r>
        <w:rPr>
          <w:w w:val="105"/>
          <w:sz w:val="21"/>
        </w:rPr>
        <w:t>Services </w:t>
      </w:r>
      <w:r>
        <w:rPr>
          <w:spacing w:val="-3"/>
          <w:w w:val="105"/>
          <w:sz w:val="21"/>
        </w:rPr>
        <w:t>Commissioner </w:t>
      </w:r>
      <w:r>
        <w:rPr>
          <w:w w:val="105"/>
          <w:sz w:val="21"/>
        </w:rPr>
        <w:t>is </w:t>
      </w:r>
      <w:r>
        <w:rPr>
          <w:spacing w:val="-3"/>
          <w:w w:val="105"/>
          <w:sz w:val="21"/>
        </w:rPr>
        <w:t>unable to </w:t>
      </w:r>
      <w:r>
        <w:rPr>
          <w:w w:val="105"/>
          <w:sz w:val="21"/>
        </w:rPr>
        <w:t>resolve the </w:t>
      </w:r>
      <w:r>
        <w:rPr>
          <w:spacing w:val="-3"/>
          <w:w w:val="105"/>
          <w:sz w:val="21"/>
        </w:rPr>
        <w:t>dispute, </w:t>
      </w:r>
      <w:r>
        <w:rPr>
          <w:w w:val="105"/>
          <w:sz w:val="21"/>
        </w:rPr>
        <w:t>the parties can apply </w:t>
      </w:r>
      <w:r>
        <w:rPr>
          <w:spacing w:val="-3"/>
          <w:w w:val="105"/>
          <w:sz w:val="21"/>
        </w:rPr>
        <w:t>to </w:t>
      </w:r>
      <w:r>
        <w:rPr>
          <w:spacing w:val="-5"/>
          <w:w w:val="105"/>
          <w:sz w:val="21"/>
        </w:rPr>
        <w:t>VCAT </w:t>
      </w:r>
      <w:r>
        <w:rPr>
          <w:spacing w:val="-3"/>
          <w:w w:val="105"/>
          <w:sz w:val="21"/>
        </w:rPr>
        <w:t>for arbitration. </w:t>
      </w:r>
      <w:r>
        <w:rPr>
          <w:w w:val="105"/>
          <w:sz w:val="21"/>
        </w:rPr>
        <w:t>The same process would apply </w:t>
      </w:r>
      <w:r>
        <w:rPr>
          <w:spacing w:val="-3"/>
          <w:w w:val="105"/>
          <w:sz w:val="21"/>
        </w:rPr>
        <w:t>to disputes </w:t>
      </w:r>
      <w:r>
        <w:rPr>
          <w:w w:val="105"/>
          <w:sz w:val="21"/>
        </w:rPr>
        <w:t>about amounts </w:t>
      </w:r>
      <w:r>
        <w:rPr>
          <w:spacing w:val="-3"/>
          <w:w w:val="105"/>
          <w:sz w:val="21"/>
        </w:rPr>
        <w:t>charged to </w:t>
      </w:r>
      <w:r>
        <w:rPr>
          <w:w w:val="105"/>
          <w:sz w:val="21"/>
        </w:rPr>
        <w:t>an estate </w:t>
      </w:r>
      <w:r>
        <w:rPr>
          <w:spacing w:val="-3"/>
          <w:w w:val="105"/>
          <w:sz w:val="21"/>
        </w:rPr>
        <w:t>for executorial</w:t>
      </w:r>
      <w:r>
        <w:rPr>
          <w:spacing w:val="21"/>
          <w:w w:val="105"/>
          <w:sz w:val="21"/>
        </w:rPr>
        <w:t> </w:t>
      </w:r>
      <w:r>
        <w:rPr>
          <w:w w:val="105"/>
          <w:sz w:val="21"/>
        </w:rPr>
        <w:t>services.</w:t>
      </w:r>
    </w:p>
    <w:p>
      <w:pPr>
        <w:pStyle w:val="ListParagraph"/>
        <w:numPr>
          <w:ilvl w:val="1"/>
          <w:numId w:val="22"/>
        </w:numPr>
        <w:tabs>
          <w:tab w:pos="2380" w:val="left" w:leader="none"/>
          <w:tab w:pos="2382" w:val="left" w:leader="none"/>
        </w:tabs>
        <w:spacing w:line="242" w:lineRule="auto" w:before="128" w:after="0"/>
        <w:ind w:left="2381" w:right="1629" w:hanging="794"/>
        <w:jc w:val="left"/>
        <w:rPr>
          <w:sz w:val="21"/>
        </w:rPr>
      </w:pPr>
      <w:r>
        <w:rPr>
          <w:w w:val="105"/>
          <w:sz w:val="21"/>
        </w:rPr>
        <w:t>The time </w:t>
      </w:r>
      <w:r>
        <w:rPr>
          <w:spacing w:val="-3"/>
          <w:w w:val="105"/>
          <w:sz w:val="21"/>
        </w:rPr>
        <w:t>limit within </w:t>
      </w:r>
      <w:r>
        <w:rPr>
          <w:w w:val="105"/>
          <w:sz w:val="21"/>
        </w:rPr>
        <w:t>which a costs </w:t>
      </w:r>
      <w:r>
        <w:rPr>
          <w:spacing w:val="-3"/>
          <w:w w:val="105"/>
          <w:sz w:val="21"/>
        </w:rPr>
        <w:t>dispute may </w:t>
      </w:r>
      <w:r>
        <w:rPr>
          <w:w w:val="105"/>
          <w:sz w:val="21"/>
        </w:rPr>
        <w:t>be made is 60 days after the legal costs </w:t>
      </w:r>
      <w:r>
        <w:rPr>
          <w:spacing w:val="-3"/>
          <w:w w:val="105"/>
          <w:sz w:val="21"/>
        </w:rPr>
        <w:t>were </w:t>
      </w:r>
      <w:r>
        <w:rPr>
          <w:spacing w:val="-5"/>
          <w:w w:val="105"/>
          <w:sz w:val="21"/>
        </w:rPr>
        <w:t>payable.</w:t>
      </w:r>
      <w:r>
        <w:rPr>
          <w:spacing w:val="-5"/>
          <w:w w:val="105"/>
          <w:position w:val="7"/>
          <w:sz w:val="12"/>
        </w:rPr>
        <w:t>175 </w:t>
      </w:r>
      <w:r>
        <w:rPr>
          <w:w w:val="105"/>
          <w:sz w:val="21"/>
        </w:rPr>
        <w:t>As a </w:t>
      </w:r>
      <w:r>
        <w:rPr>
          <w:spacing w:val="-3"/>
          <w:w w:val="105"/>
          <w:sz w:val="21"/>
        </w:rPr>
        <w:t>dispute </w:t>
      </w:r>
      <w:r>
        <w:rPr>
          <w:w w:val="105"/>
          <w:sz w:val="21"/>
        </w:rPr>
        <w:t>about amounts </w:t>
      </w:r>
      <w:r>
        <w:rPr>
          <w:spacing w:val="-3"/>
          <w:w w:val="105"/>
          <w:sz w:val="21"/>
        </w:rPr>
        <w:t>charged for executorial </w:t>
      </w:r>
      <w:r>
        <w:rPr>
          <w:w w:val="105"/>
          <w:sz w:val="21"/>
        </w:rPr>
        <w:t>services </w:t>
      </w:r>
      <w:r>
        <w:rPr>
          <w:spacing w:val="-3"/>
          <w:w w:val="105"/>
          <w:sz w:val="21"/>
        </w:rPr>
        <w:t>may form </w:t>
      </w:r>
      <w:r>
        <w:rPr>
          <w:w w:val="105"/>
          <w:sz w:val="21"/>
        </w:rPr>
        <w:t>part of a </w:t>
      </w:r>
      <w:r>
        <w:rPr>
          <w:spacing w:val="-3"/>
          <w:w w:val="105"/>
          <w:sz w:val="21"/>
        </w:rPr>
        <w:t>dispute </w:t>
      </w:r>
      <w:r>
        <w:rPr>
          <w:w w:val="105"/>
          <w:sz w:val="21"/>
        </w:rPr>
        <w:t>about legal costs, the time </w:t>
      </w:r>
      <w:r>
        <w:rPr>
          <w:spacing w:val="-2"/>
          <w:w w:val="105"/>
          <w:sz w:val="21"/>
        </w:rPr>
        <w:t>limits </w:t>
      </w:r>
      <w:r>
        <w:rPr>
          <w:spacing w:val="-3"/>
          <w:w w:val="105"/>
          <w:sz w:val="21"/>
        </w:rPr>
        <w:t>for </w:t>
      </w:r>
      <w:r>
        <w:rPr>
          <w:w w:val="105"/>
          <w:sz w:val="21"/>
        </w:rPr>
        <w:t>both types of </w:t>
      </w:r>
      <w:r>
        <w:rPr>
          <w:spacing w:val="-3"/>
          <w:w w:val="105"/>
          <w:sz w:val="21"/>
        </w:rPr>
        <w:t>dispute </w:t>
      </w:r>
      <w:r>
        <w:rPr>
          <w:w w:val="105"/>
          <w:sz w:val="21"/>
        </w:rPr>
        <w:t>should be </w:t>
      </w:r>
      <w:r>
        <w:rPr>
          <w:spacing w:val="-5"/>
          <w:w w:val="105"/>
          <w:sz w:val="21"/>
        </w:rPr>
        <w:t>similar. </w:t>
      </w:r>
      <w:r>
        <w:rPr>
          <w:w w:val="105"/>
          <w:sz w:val="21"/>
        </w:rPr>
        <w:t>The Legal Services </w:t>
      </w:r>
      <w:r>
        <w:rPr>
          <w:spacing w:val="-3"/>
          <w:w w:val="105"/>
          <w:sz w:val="21"/>
        </w:rPr>
        <w:t>Commissioner </w:t>
      </w:r>
      <w:r>
        <w:rPr>
          <w:spacing w:val="-2"/>
          <w:w w:val="105"/>
          <w:sz w:val="21"/>
        </w:rPr>
        <w:t>has </w:t>
      </w:r>
      <w:r>
        <w:rPr>
          <w:w w:val="105"/>
          <w:sz w:val="21"/>
        </w:rPr>
        <w:t>the </w:t>
      </w:r>
      <w:r>
        <w:rPr>
          <w:spacing w:val="-3"/>
          <w:w w:val="105"/>
          <w:sz w:val="21"/>
        </w:rPr>
        <w:t>discretion to accept complaints involving </w:t>
      </w:r>
      <w:r>
        <w:rPr>
          <w:w w:val="105"/>
          <w:sz w:val="21"/>
        </w:rPr>
        <w:t>a costs </w:t>
      </w:r>
      <w:r>
        <w:rPr>
          <w:spacing w:val="-3"/>
          <w:w w:val="105"/>
          <w:sz w:val="21"/>
        </w:rPr>
        <w:t>dispute </w:t>
      </w:r>
      <w:r>
        <w:rPr>
          <w:w w:val="105"/>
          <w:sz w:val="21"/>
        </w:rPr>
        <w:t>up </w:t>
      </w:r>
      <w:r>
        <w:rPr>
          <w:spacing w:val="-3"/>
          <w:w w:val="105"/>
          <w:sz w:val="21"/>
        </w:rPr>
        <w:t>to four months </w:t>
      </w:r>
      <w:r>
        <w:rPr>
          <w:w w:val="105"/>
          <w:sz w:val="21"/>
        </w:rPr>
        <w:t>after the time </w:t>
      </w:r>
      <w:r>
        <w:rPr>
          <w:spacing w:val="-3"/>
          <w:w w:val="105"/>
          <w:sz w:val="21"/>
        </w:rPr>
        <w:t>limit </w:t>
      </w:r>
      <w:r>
        <w:rPr>
          <w:spacing w:val="-2"/>
          <w:w w:val="105"/>
          <w:sz w:val="21"/>
        </w:rPr>
        <w:t>has </w:t>
      </w:r>
      <w:r>
        <w:rPr>
          <w:spacing w:val="-5"/>
          <w:w w:val="105"/>
          <w:sz w:val="21"/>
        </w:rPr>
        <w:t>expired.</w:t>
      </w:r>
      <w:r>
        <w:rPr>
          <w:spacing w:val="-5"/>
          <w:w w:val="105"/>
          <w:position w:val="7"/>
          <w:sz w:val="12"/>
        </w:rPr>
        <w:t>176 </w:t>
      </w:r>
      <w:r>
        <w:rPr>
          <w:w w:val="105"/>
          <w:sz w:val="21"/>
        </w:rPr>
        <w:t>This </w:t>
      </w:r>
      <w:r>
        <w:rPr>
          <w:spacing w:val="-3"/>
          <w:w w:val="105"/>
          <w:sz w:val="21"/>
        </w:rPr>
        <w:t>discretion </w:t>
      </w:r>
      <w:r>
        <w:rPr>
          <w:w w:val="105"/>
          <w:sz w:val="21"/>
        </w:rPr>
        <w:t>should extend </w:t>
      </w:r>
      <w:r>
        <w:rPr>
          <w:spacing w:val="-3"/>
          <w:w w:val="105"/>
          <w:sz w:val="21"/>
        </w:rPr>
        <w:t>to complaints involving </w:t>
      </w:r>
      <w:r>
        <w:rPr>
          <w:w w:val="105"/>
          <w:sz w:val="21"/>
        </w:rPr>
        <w:t>a </w:t>
      </w:r>
      <w:r>
        <w:rPr>
          <w:spacing w:val="-3"/>
          <w:w w:val="105"/>
          <w:sz w:val="21"/>
        </w:rPr>
        <w:t>dispute </w:t>
      </w:r>
      <w:r>
        <w:rPr>
          <w:w w:val="105"/>
          <w:sz w:val="21"/>
        </w:rPr>
        <w:t>about amounts </w:t>
      </w:r>
      <w:r>
        <w:rPr>
          <w:spacing w:val="-3"/>
          <w:w w:val="105"/>
          <w:sz w:val="21"/>
        </w:rPr>
        <w:t>charged for executorial</w:t>
      </w:r>
      <w:r>
        <w:rPr>
          <w:spacing w:val="-30"/>
          <w:w w:val="105"/>
          <w:sz w:val="21"/>
        </w:rPr>
        <w:t> </w:t>
      </w:r>
      <w:r>
        <w:rPr>
          <w:w w:val="105"/>
          <w:sz w:val="21"/>
        </w:rPr>
        <w:t>services.</w:t>
      </w:r>
    </w:p>
    <w:p>
      <w:pPr>
        <w:pStyle w:val="ListParagraph"/>
        <w:numPr>
          <w:ilvl w:val="1"/>
          <w:numId w:val="22"/>
        </w:numPr>
        <w:tabs>
          <w:tab w:pos="2382" w:val="left" w:leader="none"/>
        </w:tabs>
        <w:spacing w:line="242" w:lineRule="auto" w:before="126" w:after="0"/>
        <w:ind w:left="2381" w:right="1585" w:hanging="794"/>
        <w:jc w:val="both"/>
        <w:rPr>
          <w:sz w:val="21"/>
        </w:rPr>
      </w:pPr>
      <w:r>
        <w:rPr>
          <w:spacing w:val="-7"/>
          <w:w w:val="105"/>
          <w:sz w:val="21"/>
        </w:rPr>
        <w:t>To </w:t>
      </w:r>
      <w:r>
        <w:rPr>
          <w:w w:val="105"/>
          <w:sz w:val="21"/>
        </w:rPr>
        <w:t>avoid </w:t>
      </w:r>
      <w:r>
        <w:rPr>
          <w:spacing w:val="-3"/>
          <w:w w:val="105"/>
          <w:sz w:val="21"/>
        </w:rPr>
        <w:t>forum shopping, </w:t>
      </w:r>
      <w:r>
        <w:rPr>
          <w:w w:val="105"/>
          <w:sz w:val="21"/>
        </w:rPr>
        <w:t>the option of </w:t>
      </w:r>
      <w:r>
        <w:rPr>
          <w:spacing w:val="-3"/>
          <w:w w:val="105"/>
          <w:sz w:val="21"/>
        </w:rPr>
        <w:t>making </w:t>
      </w:r>
      <w:r>
        <w:rPr>
          <w:w w:val="105"/>
          <w:sz w:val="21"/>
        </w:rPr>
        <w:t>a </w:t>
      </w:r>
      <w:r>
        <w:rPr>
          <w:spacing w:val="-3"/>
          <w:w w:val="105"/>
          <w:sz w:val="21"/>
        </w:rPr>
        <w:t>complaint </w:t>
      </w:r>
      <w:r>
        <w:rPr>
          <w:w w:val="105"/>
          <w:sz w:val="21"/>
        </w:rPr>
        <w:t>about an </w:t>
      </w:r>
      <w:r>
        <w:rPr>
          <w:spacing w:val="-3"/>
          <w:w w:val="105"/>
          <w:sz w:val="21"/>
        </w:rPr>
        <w:t>amount charged for executorial</w:t>
      </w:r>
      <w:r>
        <w:rPr>
          <w:spacing w:val="-11"/>
          <w:w w:val="105"/>
          <w:sz w:val="21"/>
        </w:rPr>
        <w:t> </w:t>
      </w:r>
      <w:r>
        <w:rPr>
          <w:w w:val="105"/>
          <w:sz w:val="21"/>
        </w:rPr>
        <w:t>services</w:t>
      </w:r>
      <w:r>
        <w:rPr>
          <w:spacing w:val="-10"/>
          <w:w w:val="105"/>
          <w:sz w:val="21"/>
        </w:rPr>
        <w:t> </w:t>
      </w:r>
      <w:r>
        <w:rPr>
          <w:spacing w:val="-3"/>
          <w:w w:val="105"/>
          <w:sz w:val="21"/>
        </w:rPr>
        <w:t>to</w:t>
      </w:r>
      <w:r>
        <w:rPr>
          <w:spacing w:val="-10"/>
          <w:w w:val="105"/>
          <w:sz w:val="21"/>
        </w:rPr>
        <w:t> </w:t>
      </w:r>
      <w:r>
        <w:rPr>
          <w:w w:val="105"/>
          <w:sz w:val="21"/>
        </w:rPr>
        <w:t>the</w:t>
      </w:r>
      <w:r>
        <w:rPr>
          <w:spacing w:val="-11"/>
          <w:w w:val="105"/>
          <w:sz w:val="21"/>
        </w:rPr>
        <w:t> </w:t>
      </w:r>
      <w:r>
        <w:rPr>
          <w:w w:val="105"/>
          <w:sz w:val="21"/>
        </w:rPr>
        <w:t>Legal</w:t>
      </w:r>
      <w:r>
        <w:rPr>
          <w:spacing w:val="-10"/>
          <w:w w:val="105"/>
          <w:sz w:val="21"/>
        </w:rPr>
        <w:t> </w:t>
      </w:r>
      <w:r>
        <w:rPr>
          <w:w w:val="105"/>
          <w:sz w:val="21"/>
        </w:rPr>
        <w:t>Services</w:t>
      </w:r>
      <w:r>
        <w:rPr>
          <w:spacing w:val="-10"/>
          <w:w w:val="105"/>
          <w:sz w:val="21"/>
        </w:rPr>
        <w:t> </w:t>
      </w:r>
      <w:r>
        <w:rPr>
          <w:spacing w:val="-3"/>
          <w:w w:val="105"/>
          <w:sz w:val="21"/>
        </w:rPr>
        <w:t>Commissioner</w:t>
      </w:r>
      <w:r>
        <w:rPr>
          <w:spacing w:val="-11"/>
          <w:w w:val="105"/>
          <w:sz w:val="21"/>
        </w:rPr>
        <w:t> </w:t>
      </w:r>
      <w:r>
        <w:rPr>
          <w:w w:val="105"/>
          <w:sz w:val="21"/>
        </w:rPr>
        <w:t>should</w:t>
      </w:r>
      <w:r>
        <w:rPr>
          <w:spacing w:val="-10"/>
          <w:w w:val="105"/>
          <w:sz w:val="21"/>
        </w:rPr>
        <w:t> </w:t>
      </w:r>
      <w:r>
        <w:rPr>
          <w:w w:val="105"/>
          <w:sz w:val="21"/>
        </w:rPr>
        <w:t>be</w:t>
      </w:r>
      <w:r>
        <w:rPr>
          <w:spacing w:val="-10"/>
          <w:w w:val="105"/>
          <w:sz w:val="21"/>
        </w:rPr>
        <w:t> </w:t>
      </w:r>
      <w:r>
        <w:rPr>
          <w:w w:val="105"/>
          <w:sz w:val="21"/>
        </w:rPr>
        <w:t>offered</w:t>
      </w:r>
      <w:r>
        <w:rPr>
          <w:spacing w:val="-11"/>
          <w:w w:val="105"/>
          <w:sz w:val="21"/>
        </w:rPr>
        <w:t> </w:t>
      </w:r>
      <w:r>
        <w:rPr>
          <w:w w:val="105"/>
          <w:sz w:val="21"/>
        </w:rPr>
        <w:t>as</w:t>
      </w:r>
      <w:r>
        <w:rPr>
          <w:spacing w:val="-10"/>
          <w:w w:val="105"/>
          <w:sz w:val="21"/>
        </w:rPr>
        <w:t> </w:t>
      </w:r>
      <w:r>
        <w:rPr>
          <w:w w:val="105"/>
          <w:sz w:val="21"/>
        </w:rPr>
        <w:t>an</w:t>
      </w:r>
      <w:r>
        <w:rPr>
          <w:spacing w:val="-10"/>
          <w:w w:val="105"/>
          <w:sz w:val="21"/>
        </w:rPr>
        <w:t> </w:t>
      </w:r>
      <w:r>
        <w:rPr>
          <w:spacing w:val="-3"/>
          <w:w w:val="105"/>
          <w:sz w:val="21"/>
        </w:rPr>
        <w:t>alternative to </w:t>
      </w:r>
      <w:r>
        <w:rPr>
          <w:w w:val="105"/>
          <w:sz w:val="21"/>
        </w:rPr>
        <w:t>seeking review by the</w:t>
      </w:r>
      <w:r>
        <w:rPr>
          <w:spacing w:val="28"/>
          <w:w w:val="105"/>
          <w:sz w:val="21"/>
        </w:rPr>
        <w:t> </w:t>
      </w:r>
      <w:r>
        <w:rPr>
          <w:spacing w:val="-3"/>
          <w:w w:val="105"/>
          <w:sz w:val="21"/>
        </w:rPr>
        <w:t>Court.</w:t>
      </w:r>
    </w:p>
    <w:p>
      <w:pPr>
        <w:pStyle w:val="BodyText"/>
        <w:spacing w:before="5"/>
        <w:rPr>
          <w:sz w:val="29"/>
        </w:rPr>
      </w:pPr>
      <w:r>
        <w:rPr/>
        <w:pict>
          <v:line style="position:absolute;mso-position-horizontal-relative:page;mso-position-vertical-relative:paragraph;z-index:9824;mso-wrap-distance-left:0;mso-wrap-distance-right:0" from="79.370003pt,20.428440pt" to="515.905003pt,20.428440pt" stroked="true" strokeweight="1pt" strokecolor="#f9ceca">
            <v:stroke dashstyle="solid"/>
            <w10:wrap type="topAndBottom"/>
          </v:line>
        </w:pict>
      </w:r>
    </w:p>
    <w:p>
      <w:pPr>
        <w:pStyle w:val="BodyText"/>
        <w:spacing w:before="8"/>
        <w:rPr>
          <w:sz w:val="5"/>
        </w:rPr>
      </w:pPr>
    </w:p>
    <w:p>
      <w:pPr>
        <w:spacing w:after="0"/>
        <w:rPr>
          <w:sz w:val="5"/>
        </w:rPr>
        <w:sectPr>
          <w:pgSz w:w="11910" w:h="16840"/>
          <w:pgMar w:header="550" w:footer="0" w:top="1560" w:bottom="280" w:left="0" w:right="0"/>
        </w:sectPr>
      </w:pPr>
    </w:p>
    <w:p>
      <w:pPr>
        <w:pStyle w:val="BodyText"/>
        <w:spacing w:before="7"/>
        <w:rPr>
          <w:sz w:val="26"/>
        </w:rPr>
      </w:pPr>
    </w:p>
    <w:p>
      <w:pPr>
        <w:spacing w:before="0"/>
        <w:ind w:left="720" w:right="0" w:firstLine="0"/>
        <w:jc w:val="left"/>
        <w:rPr>
          <w:b/>
          <w:sz w:val="24"/>
        </w:rPr>
      </w:pPr>
      <w:r>
        <w:rPr>
          <w:b/>
          <w:color w:val="EC5A4F"/>
          <w:w w:val="105"/>
          <w:sz w:val="24"/>
        </w:rPr>
        <w:t>166</w:t>
      </w:r>
    </w:p>
    <w:p>
      <w:pPr>
        <w:pStyle w:val="ListParagraph"/>
        <w:numPr>
          <w:ilvl w:val="0"/>
          <w:numId w:val="125"/>
        </w:numPr>
        <w:tabs>
          <w:tab w:pos="1226" w:val="left" w:leader="none"/>
          <w:tab w:pos="1227" w:val="left" w:leader="none"/>
        </w:tabs>
        <w:spacing w:line="240" w:lineRule="auto" w:before="48" w:after="0"/>
        <w:ind w:left="1226" w:right="0" w:hanging="794"/>
        <w:jc w:val="left"/>
        <w:rPr>
          <w:sz w:val="13"/>
        </w:rPr>
      </w:pPr>
      <w:r>
        <w:rPr>
          <w:w w:val="108"/>
          <w:sz w:val="13"/>
        </w:rPr>
        <w:br w:type="column"/>
      </w:r>
      <w:r>
        <w:rPr>
          <w:w w:val="105"/>
          <w:sz w:val="13"/>
        </w:rPr>
        <w:t>Submission 8 (Patricia</w:t>
      </w:r>
      <w:r>
        <w:rPr>
          <w:spacing w:val="13"/>
          <w:w w:val="105"/>
          <w:sz w:val="13"/>
        </w:rPr>
        <w:t> </w:t>
      </w:r>
      <w:r>
        <w:rPr>
          <w:w w:val="105"/>
          <w:sz w:val="13"/>
        </w:rPr>
        <w:t>Strachan).</w:t>
      </w:r>
    </w:p>
    <w:p>
      <w:pPr>
        <w:pStyle w:val="ListParagraph"/>
        <w:numPr>
          <w:ilvl w:val="0"/>
          <w:numId w:val="125"/>
        </w:numPr>
        <w:tabs>
          <w:tab w:pos="1226" w:val="left" w:leader="none"/>
          <w:tab w:pos="1227" w:val="left" w:leader="none"/>
        </w:tabs>
        <w:spacing w:line="240" w:lineRule="auto" w:before="1" w:after="0"/>
        <w:ind w:left="432" w:right="7012" w:firstLine="0"/>
        <w:jc w:val="left"/>
        <w:rPr>
          <w:sz w:val="13"/>
        </w:rPr>
      </w:pPr>
      <w:r>
        <w:rPr>
          <w:i/>
          <w:w w:val="105"/>
          <w:sz w:val="13"/>
        </w:rPr>
        <w:t>Legal Profession Act 2004 </w:t>
      </w:r>
      <w:r>
        <w:rPr>
          <w:spacing w:val="2"/>
          <w:w w:val="105"/>
          <w:sz w:val="13"/>
        </w:rPr>
        <w:t>(Vic) </w:t>
      </w:r>
      <w:r>
        <w:rPr>
          <w:w w:val="105"/>
          <w:sz w:val="13"/>
        </w:rPr>
        <w:t>s </w:t>
      </w:r>
      <w:r>
        <w:rPr>
          <w:spacing w:val="2"/>
          <w:w w:val="105"/>
          <w:sz w:val="13"/>
        </w:rPr>
        <w:t>4.2.2(2)(ii). </w:t>
      </w:r>
      <w:r>
        <w:rPr>
          <w:spacing w:val="-3"/>
          <w:w w:val="105"/>
          <w:sz w:val="13"/>
        </w:rPr>
        <w:t>175</w:t>
        <w:tab/>
      </w:r>
      <w:r>
        <w:rPr>
          <w:w w:val="105"/>
          <w:sz w:val="13"/>
        </w:rPr>
        <w:t>Ibid s</w:t>
      </w:r>
      <w:r>
        <w:rPr>
          <w:spacing w:val="9"/>
          <w:w w:val="105"/>
          <w:sz w:val="13"/>
        </w:rPr>
        <w:t> </w:t>
      </w:r>
      <w:r>
        <w:rPr>
          <w:w w:val="105"/>
          <w:sz w:val="13"/>
        </w:rPr>
        <w:t>4.2.7(2).</w:t>
      </w:r>
    </w:p>
    <w:p>
      <w:pPr>
        <w:tabs>
          <w:tab w:pos="1226" w:val="left" w:leader="none"/>
        </w:tabs>
        <w:spacing w:before="3"/>
        <w:ind w:left="432" w:right="0" w:firstLine="0"/>
        <w:jc w:val="left"/>
        <w:rPr>
          <w:sz w:val="13"/>
        </w:rPr>
      </w:pPr>
      <w:r>
        <w:rPr>
          <w:spacing w:val="-4"/>
          <w:w w:val="105"/>
          <w:sz w:val="13"/>
        </w:rPr>
        <w:t>176</w:t>
        <w:tab/>
      </w:r>
      <w:r>
        <w:rPr>
          <w:w w:val="105"/>
          <w:sz w:val="13"/>
        </w:rPr>
        <w:t>Ibid s</w:t>
      </w:r>
      <w:r>
        <w:rPr>
          <w:spacing w:val="9"/>
          <w:w w:val="105"/>
          <w:sz w:val="13"/>
        </w:rPr>
        <w:t> </w:t>
      </w:r>
      <w:r>
        <w:rPr>
          <w:w w:val="105"/>
          <w:sz w:val="13"/>
        </w:rPr>
        <w:t>4.2.7(4).</w:t>
      </w:r>
    </w:p>
    <w:p>
      <w:pPr>
        <w:spacing w:after="0"/>
        <w:jc w:val="left"/>
        <w:rPr>
          <w:sz w:val="13"/>
        </w:rPr>
        <w:sectPr>
          <w:type w:val="continuous"/>
          <w:pgSz w:w="11910" w:h="16840"/>
          <w:pgMar w:top="920" w:bottom="280" w:left="0" w:right="0"/>
          <w:cols w:num="2" w:equalWidth="0">
            <w:col w:w="1115" w:space="40"/>
            <w:col w:w="10755"/>
          </w:cols>
        </w:sectPr>
      </w:pPr>
    </w:p>
    <w:p>
      <w:pPr>
        <w:pStyle w:val="BodyText"/>
        <w:rPr>
          <w:sz w:val="20"/>
        </w:rPr>
      </w:pPr>
    </w:p>
    <w:p>
      <w:pPr>
        <w:pStyle w:val="BodyText"/>
        <w:spacing w:before="11" w:after="1"/>
        <w:rPr>
          <w:sz w:val="29"/>
        </w:rPr>
      </w:pPr>
    </w:p>
    <w:p>
      <w:pPr>
        <w:pStyle w:val="BodyText"/>
        <w:ind w:left="1222"/>
        <w:rPr>
          <w:sz w:val="20"/>
        </w:rPr>
      </w:pPr>
      <w:r>
        <w:rPr>
          <w:sz w:val="20"/>
        </w:rPr>
        <w:pict>
          <v:group style="width:479.1pt;height:283.55pt;mso-position-horizontal-relative:char;mso-position-vertical-relative:line" coordorigin="0,0" coordsize="9582,5671">
            <v:rect style="position:absolute;left:340;top:0;width:8731;height:5671" filled="true" fillcolor="#fdebea" stroked="false">
              <v:fill type="solid"/>
            </v:rect>
            <v:line style="position:absolute" from="0,751" to="9581,751" stroked="true" strokeweight="2.5pt" strokecolor="#ffffff">
              <v:stroke dashstyle="solid"/>
            </v:line>
            <v:shape style="position:absolute;left:1133;top:987;width:7574;height:4509" type="#_x0000_t202" filled="false" stroked="false">
              <v:textbox inset="0,0,0,0">
                <w:txbxContent>
                  <w:p>
                    <w:pPr>
                      <w:spacing w:line="242" w:lineRule="auto" w:before="0"/>
                      <w:ind w:left="0" w:right="155" w:firstLine="0"/>
                      <w:jc w:val="left"/>
                      <w:rPr>
                        <w:sz w:val="21"/>
                      </w:rPr>
                    </w:pPr>
                    <w:r>
                      <w:rPr>
                        <w:w w:val="115"/>
                        <w:sz w:val="21"/>
                      </w:rPr>
                      <w:t>The Legal Services Commissioner should be given jurisdiction to resolve a dispute between a legal practitioner and a beneficiary under a </w:t>
                    </w:r>
                    <w:r>
                      <w:rPr>
                        <w:spacing w:val="-3"/>
                        <w:w w:val="115"/>
                        <w:sz w:val="21"/>
                      </w:rPr>
                      <w:t>will </w:t>
                    </w:r>
                    <w:r>
                      <w:rPr>
                        <w:w w:val="115"/>
                        <w:sz w:val="21"/>
                      </w:rPr>
                      <w:t>about  an</w:t>
                    </w:r>
                    <w:r>
                      <w:rPr>
                        <w:spacing w:val="-11"/>
                        <w:w w:val="115"/>
                        <w:sz w:val="21"/>
                      </w:rPr>
                      <w:t> </w:t>
                    </w:r>
                    <w:r>
                      <w:rPr>
                        <w:w w:val="115"/>
                        <w:sz w:val="21"/>
                      </w:rPr>
                      <w:t>amount</w:t>
                    </w:r>
                    <w:r>
                      <w:rPr>
                        <w:spacing w:val="-11"/>
                        <w:w w:val="115"/>
                        <w:sz w:val="21"/>
                      </w:rPr>
                      <w:t> </w:t>
                    </w:r>
                    <w:r>
                      <w:rPr>
                        <w:w w:val="115"/>
                        <w:sz w:val="21"/>
                      </w:rPr>
                      <w:t>charged</w:t>
                    </w:r>
                    <w:r>
                      <w:rPr>
                        <w:spacing w:val="-10"/>
                        <w:w w:val="115"/>
                        <w:sz w:val="21"/>
                      </w:rPr>
                      <w:t> </w:t>
                    </w:r>
                    <w:r>
                      <w:rPr>
                        <w:w w:val="115"/>
                        <w:sz w:val="21"/>
                      </w:rPr>
                      <w:t>to</w:t>
                    </w:r>
                    <w:r>
                      <w:rPr>
                        <w:spacing w:val="-11"/>
                        <w:w w:val="115"/>
                        <w:sz w:val="21"/>
                      </w:rPr>
                      <w:t> </w:t>
                    </w:r>
                    <w:r>
                      <w:rPr>
                        <w:w w:val="115"/>
                        <w:sz w:val="21"/>
                      </w:rPr>
                      <w:t>an</w:t>
                    </w:r>
                    <w:r>
                      <w:rPr>
                        <w:spacing w:val="-10"/>
                        <w:w w:val="115"/>
                        <w:sz w:val="21"/>
                      </w:rPr>
                      <w:t> </w:t>
                    </w:r>
                    <w:r>
                      <w:rPr>
                        <w:w w:val="115"/>
                        <w:sz w:val="21"/>
                      </w:rPr>
                      <w:t>estate</w:t>
                    </w:r>
                    <w:r>
                      <w:rPr>
                        <w:spacing w:val="-11"/>
                        <w:w w:val="115"/>
                        <w:sz w:val="21"/>
                      </w:rPr>
                      <w:t> </w:t>
                    </w:r>
                    <w:r>
                      <w:rPr>
                        <w:w w:val="115"/>
                        <w:sz w:val="21"/>
                      </w:rPr>
                      <w:t>for</w:t>
                    </w:r>
                    <w:r>
                      <w:rPr>
                        <w:spacing w:val="-11"/>
                        <w:w w:val="115"/>
                        <w:sz w:val="21"/>
                      </w:rPr>
                      <w:t> </w:t>
                    </w:r>
                    <w:r>
                      <w:rPr>
                        <w:w w:val="115"/>
                        <w:sz w:val="21"/>
                      </w:rPr>
                      <w:t>executorial</w:t>
                    </w:r>
                    <w:r>
                      <w:rPr>
                        <w:spacing w:val="-10"/>
                        <w:w w:val="115"/>
                        <w:sz w:val="21"/>
                      </w:rPr>
                      <w:t> </w:t>
                    </w:r>
                    <w:r>
                      <w:rPr>
                        <w:w w:val="115"/>
                        <w:sz w:val="21"/>
                      </w:rPr>
                      <w:t>services,</w:t>
                    </w:r>
                    <w:r>
                      <w:rPr>
                        <w:spacing w:val="-11"/>
                        <w:w w:val="115"/>
                        <w:sz w:val="21"/>
                      </w:rPr>
                      <w:t> </w:t>
                    </w:r>
                    <w:r>
                      <w:rPr>
                        <w:w w:val="115"/>
                        <w:sz w:val="21"/>
                      </w:rPr>
                      <w:t>where</w:t>
                    </w:r>
                    <w:r>
                      <w:rPr>
                        <w:spacing w:val="-10"/>
                        <w:w w:val="115"/>
                        <w:sz w:val="21"/>
                      </w:rPr>
                      <w:t> </w:t>
                    </w:r>
                    <w:r>
                      <w:rPr>
                        <w:w w:val="115"/>
                        <w:sz w:val="21"/>
                      </w:rPr>
                      <w:t>the</w:t>
                    </w:r>
                    <w:r>
                      <w:rPr>
                        <w:spacing w:val="-11"/>
                        <w:w w:val="115"/>
                        <w:sz w:val="21"/>
                      </w:rPr>
                      <w:t> </w:t>
                    </w:r>
                    <w:r>
                      <w:rPr>
                        <w:w w:val="115"/>
                        <w:sz w:val="21"/>
                      </w:rPr>
                      <w:t>disputed</w:t>
                    </w:r>
                  </w:p>
                  <w:p>
                    <w:pPr>
                      <w:spacing w:line="242" w:lineRule="auto" w:before="0"/>
                      <w:ind w:left="0" w:right="0" w:firstLine="0"/>
                      <w:jc w:val="left"/>
                      <w:rPr>
                        <w:sz w:val="21"/>
                      </w:rPr>
                    </w:pPr>
                    <w:r>
                      <w:rPr>
                        <w:w w:val="110"/>
                        <w:sz w:val="21"/>
                      </w:rPr>
                      <w:t>amount does not exceed $25,000. The procedures for resolving such a dispute would be essentially the same as those that currently apply to </w:t>
                    </w:r>
                    <w:r>
                      <w:rPr>
                        <w:spacing w:val="-3"/>
                        <w:w w:val="110"/>
                        <w:sz w:val="21"/>
                      </w:rPr>
                      <w:t>civil </w:t>
                    </w:r>
                    <w:r>
                      <w:rPr>
                        <w:w w:val="110"/>
                        <w:sz w:val="21"/>
                      </w:rPr>
                      <w:t>disputes under</w:t>
                    </w:r>
                    <w:r>
                      <w:rPr>
                        <w:spacing w:val="-12"/>
                        <w:w w:val="110"/>
                        <w:sz w:val="21"/>
                      </w:rPr>
                      <w:t> </w:t>
                    </w:r>
                    <w:r>
                      <w:rPr>
                        <w:w w:val="110"/>
                        <w:sz w:val="21"/>
                      </w:rPr>
                      <w:t>Part</w:t>
                    </w:r>
                    <w:r>
                      <w:rPr>
                        <w:spacing w:val="-12"/>
                        <w:w w:val="110"/>
                        <w:sz w:val="21"/>
                      </w:rPr>
                      <w:t> </w:t>
                    </w:r>
                    <w:r>
                      <w:rPr>
                        <w:spacing w:val="2"/>
                        <w:w w:val="110"/>
                        <w:sz w:val="21"/>
                      </w:rPr>
                      <w:t>4.2</w:t>
                    </w:r>
                    <w:r>
                      <w:rPr>
                        <w:spacing w:val="-12"/>
                        <w:w w:val="110"/>
                        <w:sz w:val="21"/>
                      </w:rPr>
                      <w:t> </w:t>
                    </w:r>
                    <w:r>
                      <w:rPr>
                        <w:w w:val="110"/>
                        <w:sz w:val="21"/>
                      </w:rPr>
                      <w:t>of</w:t>
                    </w:r>
                    <w:r>
                      <w:rPr>
                        <w:spacing w:val="-12"/>
                        <w:w w:val="110"/>
                        <w:sz w:val="21"/>
                      </w:rPr>
                      <w:t> </w:t>
                    </w:r>
                    <w:r>
                      <w:rPr>
                        <w:w w:val="110"/>
                        <w:sz w:val="21"/>
                      </w:rPr>
                      <w:t>the</w:t>
                    </w:r>
                    <w:r>
                      <w:rPr>
                        <w:spacing w:val="-12"/>
                        <w:w w:val="110"/>
                        <w:sz w:val="21"/>
                      </w:rPr>
                      <w:t> </w:t>
                    </w:r>
                    <w:r>
                      <w:rPr>
                        <w:rFonts w:ascii="Lucida Sans"/>
                        <w:i/>
                        <w:w w:val="110"/>
                        <w:sz w:val="21"/>
                      </w:rPr>
                      <w:t>Legal</w:t>
                    </w:r>
                    <w:r>
                      <w:rPr>
                        <w:rFonts w:ascii="Lucida Sans"/>
                        <w:i/>
                        <w:spacing w:val="-33"/>
                        <w:w w:val="110"/>
                        <w:sz w:val="21"/>
                      </w:rPr>
                      <w:t> </w:t>
                    </w:r>
                    <w:r>
                      <w:rPr>
                        <w:rFonts w:ascii="Lucida Sans"/>
                        <w:i/>
                        <w:w w:val="110"/>
                        <w:sz w:val="21"/>
                      </w:rPr>
                      <w:t>Profession</w:t>
                    </w:r>
                    <w:r>
                      <w:rPr>
                        <w:rFonts w:ascii="Lucida Sans"/>
                        <w:i/>
                        <w:spacing w:val="-32"/>
                        <w:w w:val="110"/>
                        <w:sz w:val="21"/>
                      </w:rPr>
                      <w:t> </w:t>
                    </w:r>
                    <w:r>
                      <w:rPr>
                        <w:rFonts w:ascii="Lucida Sans"/>
                        <w:i/>
                        <w:w w:val="110"/>
                        <w:sz w:val="21"/>
                      </w:rPr>
                      <w:t>Act</w:t>
                    </w:r>
                    <w:r>
                      <w:rPr>
                        <w:rFonts w:ascii="Lucida Sans"/>
                        <w:i/>
                        <w:spacing w:val="-33"/>
                        <w:w w:val="110"/>
                        <w:sz w:val="21"/>
                      </w:rPr>
                      <w:t> </w:t>
                    </w:r>
                    <w:r>
                      <w:rPr>
                        <w:rFonts w:ascii="Lucida Sans"/>
                        <w:i/>
                        <w:w w:val="110"/>
                        <w:sz w:val="21"/>
                      </w:rPr>
                      <w:t>2004</w:t>
                    </w:r>
                    <w:r>
                      <w:rPr>
                        <w:rFonts w:ascii="Lucida Sans"/>
                        <w:i/>
                        <w:spacing w:val="-33"/>
                        <w:w w:val="110"/>
                        <w:sz w:val="21"/>
                      </w:rPr>
                      <w:t> </w:t>
                    </w:r>
                    <w:r>
                      <w:rPr>
                        <w:w w:val="110"/>
                        <w:sz w:val="21"/>
                      </w:rPr>
                      <w:t>(Vic)</w:t>
                    </w:r>
                    <w:r>
                      <w:rPr>
                        <w:spacing w:val="-12"/>
                        <w:w w:val="110"/>
                        <w:sz w:val="21"/>
                      </w:rPr>
                      <w:t> </w:t>
                    </w:r>
                    <w:r>
                      <w:rPr>
                        <w:w w:val="110"/>
                        <w:sz w:val="21"/>
                      </w:rPr>
                      <w:t>and</w:t>
                    </w:r>
                    <w:r>
                      <w:rPr>
                        <w:spacing w:val="-12"/>
                        <w:w w:val="110"/>
                        <w:sz w:val="21"/>
                      </w:rPr>
                      <w:t> </w:t>
                    </w:r>
                    <w:r>
                      <w:rPr>
                        <w:w w:val="110"/>
                        <w:sz w:val="21"/>
                      </w:rPr>
                      <w:t>would</w:t>
                    </w:r>
                    <w:r>
                      <w:rPr>
                        <w:spacing w:val="-11"/>
                        <w:w w:val="110"/>
                        <w:sz w:val="21"/>
                      </w:rPr>
                      <w:t> </w:t>
                    </w:r>
                    <w:r>
                      <w:rPr>
                        <w:w w:val="110"/>
                        <w:sz w:val="21"/>
                      </w:rPr>
                      <w:t>specify</w:t>
                    </w:r>
                    <w:r>
                      <w:rPr>
                        <w:spacing w:val="-12"/>
                        <w:w w:val="110"/>
                        <w:sz w:val="21"/>
                      </w:rPr>
                      <w:t> </w:t>
                    </w:r>
                    <w:r>
                      <w:rPr>
                        <w:w w:val="110"/>
                        <w:sz w:val="21"/>
                      </w:rPr>
                      <w:t>that:</w:t>
                    </w:r>
                  </w:p>
                  <w:p>
                    <w:pPr>
                      <w:numPr>
                        <w:ilvl w:val="0"/>
                        <w:numId w:val="127"/>
                      </w:numPr>
                      <w:tabs>
                        <w:tab w:pos="341" w:val="left" w:leader="none"/>
                      </w:tabs>
                      <w:spacing w:line="242" w:lineRule="auto" w:before="120"/>
                      <w:ind w:left="340" w:right="149" w:hanging="340"/>
                      <w:jc w:val="left"/>
                      <w:rPr>
                        <w:sz w:val="21"/>
                      </w:rPr>
                    </w:pPr>
                    <w:r>
                      <w:rPr>
                        <w:w w:val="115"/>
                        <w:sz w:val="21"/>
                      </w:rPr>
                      <w:t>a complaint that involves a dispute about an amount charged for executorial</w:t>
                    </w:r>
                    <w:r>
                      <w:rPr>
                        <w:spacing w:val="-10"/>
                        <w:w w:val="115"/>
                        <w:sz w:val="21"/>
                      </w:rPr>
                      <w:t> </w:t>
                    </w:r>
                    <w:r>
                      <w:rPr>
                        <w:w w:val="115"/>
                        <w:sz w:val="21"/>
                      </w:rPr>
                      <w:t>services</w:t>
                    </w:r>
                    <w:r>
                      <w:rPr>
                        <w:spacing w:val="-10"/>
                        <w:w w:val="115"/>
                        <w:sz w:val="21"/>
                      </w:rPr>
                      <w:t> </w:t>
                    </w:r>
                    <w:r>
                      <w:rPr>
                        <w:w w:val="115"/>
                        <w:sz w:val="21"/>
                      </w:rPr>
                      <w:t>must</w:t>
                    </w:r>
                    <w:r>
                      <w:rPr>
                        <w:spacing w:val="-10"/>
                        <w:w w:val="115"/>
                        <w:sz w:val="21"/>
                      </w:rPr>
                      <w:t> </w:t>
                    </w:r>
                    <w:r>
                      <w:rPr>
                        <w:w w:val="115"/>
                        <w:sz w:val="21"/>
                      </w:rPr>
                      <w:t>be</w:t>
                    </w:r>
                    <w:r>
                      <w:rPr>
                        <w:spacing w:val="-9"/>
                        <w:w w:val="115"/>
                        <w:sz w:val="21"/>
                      </w:rPr>
                      <w:t> </w:t>
                    </w:r>
                    <w:r>
                      <w:rPr>
                        <w:w w:val="115"/>
                        <w:sz w:val="21"/>
                      </w:rPr>
                      <w:t>made</w:t>
                    </w:r>
                    <w:r>
                      <w:rPr>
                        <w:spacing w:val="-10"/>
                        <w:w w:val="115"/>
                        <w:sz w:val="21"/>
                      </w:rPr>
                      <w:t> </w:t>
                    </w:r>
                    <w:r>
                      <w:rPr>
                        <w:w w:val="115"/>
                        <w:sz w:val="21"/>
                      </w:rPr>
                      <w:t>within</w:t>
                    </w:r>
                    <w:r>
                      <w:rPr>
                        <w:spacing w:val="-10"/>
                        <w:w w:val="115"/>
                        <w:sz w:val="21"/>
                      </w:rPr>
                      <w:t> </w:t>
                    </w:r>
                    <w:r>
                      <w:rPr>
                        <w:w w:val="115"/>
                        <w:sz w:val="21"/>
                      </w:rPr>
                      <w:t>60</w:t>
                    </w:r>
                    <w:r>
                      <w:rPr>
                        <w:spacing w:val="-9"/>
                        <w:w w:val="115"/>
                        <w:sz w:val="21"/>
                      </w:rPr>
                      <w:t> </w:t>
                    </w:r>
                    <w:r>
                      <w:rPr>
                        <w:w w:val="115"/>
                        <w:sz w:val="21"/>
                      </w:rPr>
                      <w:t>days</w:t>
                    </w:r>
                    <w:r>
                      <w:rPr>
                        <w:spacing w:val="-10"/>
                        <w:w w:val="115"/>
                        <w:sz w:val="21"/>
                      </w:rPr>
                      <w:t> </w:t>
                    </w:r>
                    <w:r>
                      <w:rPr>
                        <w:w w:val="115"/>
                        <w:sz w:val="21"/>
                      </w:rPr>
                      <w:t>after</w:t>
                    </w:r>
                    <w:r>
                      <w:rPr>
                        <w:spacing w:val="-10"/>
                        <w:w w:val="115"/>
                        <w:sz w:val="21"/>
                      </w:rPr>
                      <w:t> </w:t>
                    </w:r>
                    <w:r>
                      <w:rPr>
                        <w:w w:val="115"/>
                        <w:sz w:val="21"/>
                      </w:rPr>
                      <w:t>the</w:t>
                    </w:r>
                    <w:r>
                      <w:rPr>
                        <w:spacing w:val="-10"/>
                        <w:w w:val="115"/>
                        <w:sz w:val="21"/>
                      </w:rPr>
                      <w:t> </w:t>
                    </w:r>
                    <w:r>
                      <w:rPr>
                        <w:w w:val="115"/>
                        <w:sz w:val="21"/>
                      </w:rPr>
                      <w:t>time</w:t>
                    </w:r>
                    <w:r>
                      <w:rPr>
                        <w:spacing w:val="-9"/>
                        <w:w w:val="115"/>
                        <w:sz w:val="21"/>
                      </w:rPr>
                      <w:t> </w:t>
                    </w:r>
                    <w:r>
                      <w:rPr>
                        <w:w w:val="115"/>
                        <w:sz w:val="21"/>
                      </w:rPr>
                      <w:t>that</w:t>
                    </w:r>
                    <w:r>
                      <w:rPr>
                        <w:spacing w:val="-10"/>
                        <w:w w:val="115"/>
                        <w:sz w:val="21"/>
                      </w:rPr>
                      <w:t> </w:t>
                    </w:r>
                    <w:r>
                      <w:rPr>
                        <w:w w:val="115"/>
                        <w:sz w:val="21"/>
                      </w:rPr>
                      <w:t>the applicant beneficiary first knew, or ought to </w:t>
                    </w:r>
                    <w:r>
                      <w:rPr>
                        <w:spacing w:val="-3"/>
                        <w:w w:val="115"/>
                        <w:sz w:val="21"/>
                      </w:rPr>
                      <w:t>have </w:t>
                    </w:r>
                    <w:r>
                      <w:rPr>
                        <w:w w:val="115"/>
                        <w:sz w:val="21"/>
                      </w:rPr>
                      <w:t>known, of the amount charged or proposed to be</w:t>
                    </w:r>
                    <w:r>
                      <w:rPr>
                        <w:spacing w:val="2"/>
                        <w:w w:val="115"/>
                        <w:sz w:val="21"/>
                      </w:rPr>
                      <w:t> </w:t>
                    </w:r>
                    <w:r>
                      <w:rPr>
                        <w:w w:val="115"/>
                        <w:sz w:val="21"/>
                      </w:rPr>
                      <w:t>charged</w:t>
                    </w:r>
                  </w:p>
                  <w:p>
                    <w:pPr>
                      <w:numPr>
                        <w:ilvl w:val="0"/>
                        <w:numId w:val="127"/>
                      </w:numPr>
                      <w:tabs>
                        <w:tab w:pos="341" w:val="left" w:leader="none"/>
                      </w:tabs>
                      <w:spacing w:line="242" w:lineRule="auto" w:before="124"/>
                      <w:ind w:left="340" w:right="311" w:hanging="340"/>
                      <w:jc w:val="both"/>
                      <w:rPr>
                        <w:sz w:val="21"/>
                      </w:rPr>
                    </w:pPr>
                    <w:r>
                      <w:rPr>
                        <w:w w:val="110"/>
                        <w:sz w:val="21"/>
                      </w:rPr>
                      <w:t>the Legal Services Commissioner has discretion to provide more time as currently</w:t>
                    </w:r>
                    <w:r>
                      <w:rPr>
                        <w:spacing w:val="-25"/>
                        <w:w w:val="110"/>
                        <w:sz w:val="21"/>
                      </w:rPr>
                      <w:t> </w:t>
                    </w:r>
                    <w:r>
                      <w:rPr>
                        <w:w w:val="110"/>
                        <w:sz w:val="21"/>
                      </w:rPr>
                      <w:t>permitted</w:t>
                    </w:r>
                    <w:r>
                      <w:rPr>
                        <w:spacing w:val="-24"/>
                        <w:w w:val="110"/>
                        <w:sz w:val="21"/>
                      </w:rPr>
                      <w:t> </w:t>
                    </w:r>
                    <w:r>
                      <w:rPr>
                        <w:w w:val="110"/>
                        <w:sz w:val="21"/>
                      </w:rPr>
                      <w:t>by</w:t>
                    </w:r>
                    <w:r>
                      <w:rPr>
                        <w:spacing w:val="-24"/>
                        <w:w w:val="110"/>
                        <w:sz w:val="21"/>
                      </w:rPr>
                      <w:t> </w:t>
                    </w:r>
                    <w:r>
                      <w:rPr>
                        <w:w w:val="110"/>
                        <w:sz w:val="21"/>
                      </w:rPr>
                      <w:t>section</w:t>
                    </w:r>
                    <w:r>
                      <w:rPr>
                        <w:spacing w:val="-25"/>
                        <w:w w:val="110"/>
                        <w:sz w:val="21"/>
                      </w:rPr>
                      <w:t> </w:t>
                    </w:r>
                    <w:r>
                      <w:rPr>
                        <w:w w:val="110"/>
                        <w:sz w:val="21"/>
                      </w:rPr>
                      <w:t>4.2.7(4)</w:t>
                    </w:r>
                    <w:r>
                      <w:rPr>
                        <w:spacing w:val="-24"/>
                        <w:w w:val="110"/>
                        <w:sz w:val="21"/>
                      </w:rPr>
                      <w:t> </w:t>
                    </w:r>
                    <w:r>
                      <w:rPr>
                        <w:w w:val="110"/>
                        <w:sz w:val="21"/>
                      </w:rPr>
                      <w:t>of</w:t>
                    </w:r>
                    <w:r>
                      <w:rPr>
                        <w:spacing w:val="-24"/>
                        <w:w w:val="110"/>
                        <w:sz w:val="21"/>
                      </w:rPr>
                      <w:t> </w:t>
                    </w:r>
                    <w:r>
                      <w:rPr>
                        <w:w w:val="110"/>
                        <w:sz w:val="21"/>
                      </w:rPr>
                      <w:t>the</w:t>
                    </w:r>
                    <w:r>
                      <w:rPr>
                        <w:spacing w:val="-25"/>
                        <w:w w:val="110"/>
                        <w:sz w:val="21"/>
                      </w:rPr>
                      <w:t> </w:t>
                    </w:r>
                    <w:r>
                      <w:rPr>
                        <w:rFonts w:ascii="Lucida Sans"/>
                        <w:i/>
                        <w:w w:val="110"/>
                        <w:sz w:val="21"/>
                      </w:rPr>
                      <w:t>Legal</w:t>
                    </w:r>
                    <w:r>
                      <w:rPr>
                        <w:rFonts w:ascii="Lucida Sans"/>
                        <w:i/>
                        <w:spacing w:val="-45"/>
                        <w:w w:val="110"/>
                        <w:sz w:val="21"/>
                      </w:rPr>
                      <w:t> </w:t>
                    </w:r>
                    <w:r>
                      <w:rPr>
                        <w:rFonts w:ascii="Lucida Sans"/>
                        <w:i/>
                        <w:w w:val="110"/>
                        <w:sz w:val="21"/>
                      </w:rPr>
                      <w:t>Profession</w:t>
                    </w:r>
                    <w:r>
                      <w:rPr>
                        <w:rFonts w:ascii="Lucida Sans"/>
                        <w:i/>
                        <w:spacing w:val="-45"/>
                        <w:w w:val="110"/>
                        <w:sz w:val="21"/>
                      </w:rPr>
                      <w:t> </w:t>
                    </w:r>
                    <w:r>
                      <w:rPr>
                        <w:rFonts w:ascii="Lucida Sans"/>
                        <w:i/>
                        <w:w w:val="110"/>
                        <w:sz w:val="21"/>
                      </w:rPr>
                      <w:t>Act</w:t>
                    </w:r>
                    <w:r>
                      <w:rPr>
                        <w:rFonts w:ascii="Lucida Sans"/>
                        <w:i/>
                        <w:spacing w:val="-45"/>
                        <w:w w:val="110"/>
                        <w:sz w:val="21"/>
                      </w:rPr>
                      <w:t> </w:t>
                    </w:r>
                    <w:r>
                      <w:rPr>
                        <w:rFonts w:ascii="Lucida Sans"/>
                        <w:i/>
                        <w:w w:val="110"/>
                        <w:sz w:val="21"/>
                      </w:rPr>
                      <w:t>2004 </w:t>
                    </w:r>
                    <w:r>
                      <w:rPr>
                        <w:w w:val="110"/>
                        <w:sz w:val="21"/>
                      </w:rPr>
                      <w:t>(Vic)</w:t>
                    </w:r>
                    <w:r>
                      <w:rPr>
                        <w:spacing w:val="8"/>
                        <w:w w:val="110"/>
                        <w:sz w:val="21"/>
                      </w:rPr>
                      <w:t> </w:t>
                    </w:r>
                    <w:r>
                      <w:rPr>
                        <w:w w:val="110"/>
                        <w:sz w:val="21"/>
                      </w:rPr>
                      <w:t>for</w:t>
                    </w:r>
                    <w:r>
                      <w:rPr>
                        <w:spacing w:val="8"/>
                        <w:w w:val="110"/>
                        <w:sz w:val="21"/>
                      </w:rPr>
                      <w:t> </w:t>
                    </w:r>
                    <w:r>
                      <w:rPr>
                        <w:w w:val="110"/>
                        <w:sz w:val="21"/>
                      </w:rPr>
                      <w:t>complaints</w:t>
                    </w:r>
                    <w:r>
                      <w:rPr>
                        <w:spacing w:val="9"/>
                        <w:w w:val="110"/>
                        <w:sz w:val="21"/>
                      </w:rPr>
                      <w:t> </w:t>
                    </w:r>
                    <w:r>
                      <w:rPr>
                        <w:w w:val="110"/>
                        <w:sz w:val="21"/>
                      </w:rPr>
                      <w:t>that</w:t>
                    </w:r>
                    <w:r>
                      <w:rPr>
                        <w:spacing w:val="8"/>
                        <w:w w:val="110"/>
                        <w:sz w:val="21"/>
                      </w:rPr>
                      <w:t> </w:t>
                    </w:r>
                    <w:r>
                      <w:rPr>
                        <w:spacing w:val="-3"/>
                        <w:w w:val="110"/>
                        <w:sz w:val="21"/>
                      </w:rPr>
                      <w:t>involve</w:t>
                    </w:r>
                    <w:r>
                      <w:rPr>
                        <w:spacing w:val="9"/>
                        <w:w w:val="110"/>
                        <w:sz w:val="21"/>
                      </w:rPr>
                      <w:t> </w:t>
                    </w:r>
                    <w:r>
                      <w:rPr>
                        <w:w w:val="110"/>
                        <w:sz w:val="21"/>
                      </w:rPr>
                      <w:t>a</w:t>
                    </w:r>
                    <w:r>
                      <w:rPr>
                        <w:spacing w:val="8"/>
                        <w:w w:val="110"/>
                        <w:sz w:val="21"/>
                      </w:rPr>
                      <w:t> </w:t>
                    </w:r>
                    <w:r>
                      <w:rPr>
                        <w:w w:val="110"/>
                        <w:sz w:val="21"/>
                      </w:rPr>
                      <w:t>dispute</w:t>
                    </w:r>
                    <w:r>
                      <w:rPr>
                        <w:spacing w:val="8"/>
                        <w:w w:val="110"/>
                        <w:sz w:val="21"/>
                      </w:rPr>
                      <w:t> </w:t>
                    </w:r>
                    <w:r>
                      <w:rPr>
                        <w:w w:val="110"/>
                        <w:sz w:val="21"/>
                      </w:rPr>
                      <w:t>about</w:t>
                    </w:r>
                    <w:r>
                      <w:rPr>
                        <w:spacing w:val="9"/>
                        <w:w w:val="110"/>
                        <w:sz w:val="21"/>
                      </w:rPr>
                      <w:t> </w:t>
                    </w:r>
                    <w:r>
                      <w:rPr>
                        <w:w w:val="110"/>
                        <w:sz w:val="21"/>
                      </w:rPr>
                      <w:t>legal</w:t>
                    </w:r>
                    <w:r>
                      <w:rPr>
                        <w:spacing w:val="8"/>
                        <w:w w:val="110"/>
                        <w:sz w:val="21"/>
                      </w:rPr>
                      <w:t> </w:t>
                    </w:r>
                    <w:r>
                      <w:rPr>
                        <w:w w:val="110"/>
                        <w:sz w:val="21"/>
                      </w:rPr>
                      <w:t>costs</w:t>
                    </w:r>
                  </w:p>
                  <w:p>
                    <w:pPr>
                      <w:numPr>
                        <w:ilvl w:val="0"/>
                        <w:numId w:val="127"/>
                      </w:numPr>
                      <w:tabs>
                        <w:tab w:pos="341" w:val="left" w:leader="none"/>
                      </w:tabs>
                      <w:spacing w:line="242" w:lineRule="auto" w:before="120"/>
                      <w:ind w:left="340" w:right="166" w:hanging="340"/>
                      <w:jc w:val="both"/>
                      <w:rPr>
                        <w:sz w:val="21"/>
                      </w:rPr>
                    </w:pPr>
                    <w:r>
                      <w:rPr>
                        <w:w w:val="115"/>
                        <w:sz w:val="21"/>
                      </w:rPr>
                      <w:t>a</w:t>
                    </w:r>
                    <w:r>
                      <w:rPr>
                        <w:spacing w:val="-10"/>
                        <w:w w:val="115"/>
                        <w:sz w:val="21"/>
                      </w:rPr>
                      <w:t> </w:t>
                    </w:r>
                    <w:r>
                      <w:rPr>
                        <w:w w:val="115"/>
                        <w:sz w:val="21"/>
                      </w:rPr>
                      <w:t>beneficiary</w:t>
                    </w:r>
                    <w:r>
                      <w:rPr>
                        <w:spacing w:val="-10"/>
                        <w:w w:val="115"/>
                        <w:sz w:val="21"/>
                      </w:rPr>
                      <w:t> </w:t>
                    </w:r>
                    <w:r>
                      <w:rPr>
                        <w:w w:val="115"/>
                        <w:sz w:val="21"/>
                      </w:rPr>
                      <w:t>who</w:t>
                    </w:r>
                    <w:r>
                      <w:rPr>
                        <w:spacing w:val="-10"/>
                        <w:w w:val="115"/>
                        <w:sz w:val="21"/>
                      </w:rPr>
                      <w:t> </w:t>
                    </w:r>
                    <w:r>
                      <w:rPr>
                        <w:spacing w:val="-3"/>
                        <w:w w:val="115"/>
                        <w:sz w:val="21"/>
                      </w:rPr>
                      <w:t>makes</w:t>
                    </w:r>
                    <w:r>
                      <w:rPr>
                        <w:spacing w:val="-10"/>
                        <w:w w:val="115"/>
                        <w:sz w:val="21"/>
                      </w:rPr>
                      <w:t> </w:t>
                    </w:r>
                    <w:r>
                      <w:rPr>
                        <w:w w:val="115"/>
                        <w:sz w:val="21"/>
                      </w:rPr>
                      <w:t>a</w:t>
                    </w:r>
                    <w:r>
                      <w:rPr>
                        <w:spacing w:val="-10"/>
                        <w:w w:val="115"/>
                        <w:sz w:val="21"/>
                      </w:rPr>
                      <w:t> </w:t>
                    </w:r>
                    <w:r>
                      <w:rPr>
                        <w:w w:val="115"/>
                        <w:sz w:val="21"/>
                      </w:rPr>
                      <w:t>complaint</w:t>
                    </w:r>
                    <w:r>
                      <w:rPr>
                        <w:spacing w:val="-10"/>
                        <w:w w:val="115"/>
                        <w:sz w:val="21"/>
                      </w:rPr>
                      <w:t> </w:t>
                    </w:r>
                    <w:r>
                      <w:rPr>
                        <w:w w:val="115"/>
                        <w:sz w:val="21"/>
                      </w:rPr>
                      <w:t>to</w:t>
                    </w:r>
                    <w:r>
                      <w:rPr>
                        <w:spacing w:val="-10"/>
                        <w:w w:val="115"/>
                        <w:sz w:val="21"/>
                      </w:rPr>
                      <w:t> </w:t>
                    </w:r>
                    <w:r>
                      <w:rPr>
                        <w:w w:val="115"/>
                        <w:sz w:val="21"/>
                      </w:rPr>
                      <w:t>the</w:t>
                    </w:r>
                    <w:r>
                      <w:rPr>
                        <w:spacing w:val="-10"/>
                        <w:w w:val="115"/>
                        <w:sz w:val="21"/>
                      </w:rPr>
                      <w:t> </w:t>
                    </w:r>
                    <w:r>
                      <w:rPr>
                        <w:w w:val="115"/>
                        <w:sz w:val="21"/>
                      </w:rPr>
                      <w:t>Legal</w:t>
                    </w:r>
                    <w:r>
                      <w:rPr>
                        <w:spacing w:val="-10"/>
                        <w:w w:val="115"/>
                        <w:sz w:val="21"/>
                      </w:rPr>
                      <w:t> </w:t>
                    </w:r>
                    <w:r>
                      <w:rPr>
                        <w:w w:val="115"/>
                        <w:sz w:val="21"/>
                      </w:rPr>
                      <w:t>Services</w:t>
                    </w:r>
                    <w:r>
                      <w:rPr>
                        <w:spacing w:val="-10"/>
                        <w:w w:val="115"/>
                        <w:sz w:val="21"/>
                      </w:rPr>
                      <w:t> </w:t>
                    </w:r>
                    <w:r>
                      <w:rPr>
                        <w:w w:val="115"/>
                        <w:sz w:val="21"/>
                      </w:rPr>
                      <w:t>Commissioner that</w:t>
                    </w:r>
                    <w:r>
                      <w:rPr>
                        <w:spacing w:val="-11"/>
                        <w:w w:val="115"/>
                        <w:sz w:val="21"/>
                      </w:rPr>
                      <w:t> </w:t>
                    </w:r>
                    <w:r>
                      <w:rPr>
                        <w:w w:val="115"/>
                        <w:sz w:val="21"/>
                      </w:rPr>
                      <w:t>involves</w:t>
                    </w:r>
                    <w:r>
                      <w:rPr>
                        <w:spacing w:val="-11"/>
                        <w:w w:val="115"/>
                        <w:sz w:val="21"/>
                      </w:rPr>
                      <w:t> </w:t>
                    </w:r>
                    <w:r>
                      <w:rPr>
                        <w:w w:val="115"/>
                        <w:sz w:val="21"/>
                      </w:rPr>
                      <w:t>a</w:t>
                    </w:r>
                    <w:r>
                      <w:rPr>
                        <w:spacing w:val="-11"/>
                        <w:w w:val="115"/>
                        <w:sz w:val="21"/>
                      </w:rPr>
                      <w:t> </w:t>
                    </w:r>
                    <w:r>
                      <w:rPr>
                        <w:w w:val="115"/>
                        <w:sz w:val="21"/>
                      </w:rPr>
                      <w:t>dispute</w:t>
                    </w:r>
                    <w:r>
                      <w:rPr>
                        <w:spacing w:val="-11"/>
                        <w:w w:val="115"/>
                        <w:sz w:val="21"/>
                      </w:rPr>
                      <w:t> </w:t>
                    </w:r>
                    <w:r>
                      <w:rPr>
                        <w:w w:val="115"/>
                        <w:sz w:val="21"/>
                      </w:rPr>
                      <w:t>about</w:t>
                    </w:r>
                    <w:r>
                      <w:rPr>
                        <w:spacing w:val="-11"/>
                        <w:w w:val="115"/>
                        <w:sz w:val="21"/>
                      </w:rPr>
                      <w:t> </w:t>
                    </w:r>
                    <w:r>
                      <w:rPr>
                        <w:w w:val="115"/>
                        <w:sz w:val="21"/>
                      </w:rPr>
                      <w:t>an</w:t>
                    </w:r>
                    <w:r>
                      <w:rPr>
                        <w:spacing w:val="-11"/>
                        <w:w w:val="115"/>
                        <w:sz w:val="21"/>
                      </w:rPr>
                      <w:t> </w:t>
                    </w:r>
                    <w:r>
                      <w:rPr>
                        <w:w w:val="115"/>
                        <w:sz w:val="21"/>
                      </w:rPr>
                      <w:t>amount</w:t>
                    </w:r>
                    <w:r>
                      <w:rPr>
                        <w:spacing w:val="-10"/>
                        <w:w w:val="115"/>
                        <w:sz w:val="21"/>
                      </w:rPr>
                      <w:t> </w:t>
                    </w:r>
                    <w:r>
                      <w:rPr>
                        <w:w w:val="115"/>
                        <w:sz w:val="21"/>
                      </w:rPr>
                      <w:t>charged</w:t>
                    </w:r>
                    <w:r>
                      <w:rPr>
                        <w:spacing w:val="-11"/>
                        <w:w w:val="115"/>
                        <w:sz w:val="21"/>
                      </w:rPr>
                      <w:t> </w:t>
                    </w:r>
                    <w:r>
                      <w:rPr>
                        <w:w w:val="115"/>
                        <w:sz w:val="21"/>
                      </w:rPr>
                      <w:t>for</w:t>
                    </w:r>
                    <w:r>
                      <w:rPr>
                        <w:spacing w:val="-11"/>
                        <w:w w:val="115"/>
                        <w:sz w:val="21"/>
                      </w:rPr>
                      <w:t> </w:t>
                    </w:r>
                    <w:r>
                      <w:rPr>
                        <w:w w:val="115"/>
                        <w:sz w:val="21"/>
                      </w:rPr>
                      <w:t>executorial</w:t>
                    </w:r>
                    <w:r>
                      <w:rPr>
                        <w:spacing w:val="-11"/>
                        <w:w w:val="115"/>
                        <w:sz w:val="21"/>
                      </w:rPr>
                      <w:t> </w:t>
                    </w:r>
                    <w:r>
                      <w:rPr>
                        <w:w w:val="115"/>
                        <w:sz w:val="21"/>
                      </w:rPr>
                      <w:t>services may not apply for review by the</w:t>
                    </w:r>
                    <w:r>
                      <w:rPr>
                        <w:spacing w:val="1"/>
                        <w:w w:val="115"/>
                        <w:sz w:val="21"/>
                      </w:rPr>
                      <w:t> </w:t>
                    </w:r>
                    <w:r>
                      <w:rPr>
                        <w:w w:val="115"/>
                        <w:sz w:val="21"/>
                      </w:rPr>
                      <w:t>court.</w:t>
                    </w:r>
                  </w:p>
                </w:txbxContent>
              </v:textbox>
              <w10:wrap type="none"/>
            </v:shape>
            <v:shape style="position:absolute;left:566;top:987;width:255;height:249" type="#_x0000_t202" filled="false" stroked="false">
              <v:textbox inset="0,0,0,0">
                <w:txbxContent>
                  <w:p>
                    <w:pPr>
                      <w:spacing w:line="249" w:lineRule="exact" w:before="0"/>
                      <w:ind w:left="0" w:right="0" w:firstLine="0"/>
                      <w:jc w:val="left"/>
                      <w:rPr>
                        <w:sz w:val="21"/>
                      </w:rPr>
                    </w:pPr>
                    <w:r>
                      <w:rPr>
                        <w:w w:val="110"/>
                        <w:sz w:val="21"/>
                      </w:rPr>
                      <w:t>58</w:t>
                    </w:r>
                  </w:p>
                </w:txbxContent>
              </v:textbox>
              <w10:wrap type="none"/>
            </v:shape>
            <v:shape style="position:absolute;left:340;top:0;width:8731;height:726" type="#_x0000_t202" filled="true" fillcolor="#fdebea" stroked="false">
              <v:textbox inset="0,0,0,0">
                <w:txbxContent>
                  <w:p>
                    <w:pPr>
                      <w:spacing w:before="166"/>
                      <w:ind w:left="226" w:right="0" w:firstLine="0"/>
                      <w:jc w:val="left"/>
                      <w:rPr>
                        <w:b/>
                        <w:sz w:val="32"/>
                      </w:rPr>
                    </w:pPr>
                    <w:r>
                      <w:rPr>
                        <w:b/>
                        <w:color w:val="EC5A4F"/>
                        <w:w w:val="110"/>
                        <w:sz w:val="32"/>
                      </w:rPr>
                      <w:t>Recommendation</w:t>
                    </w:r>
                  </w:p>
                </w:txbxContent>
              </v:textbox>
              <v:fill type="solid"/>
              <w10:wrap type="none"/>
            </v:shape>
          </v:group>
        </w:pict>
      </w:r>
      <w:r>
        <w:rPr>
          <w:sz w:val="20"/>
        </w:rPr>
      </w:r>
    </w:p>
    <w:p>
      <w:pPr>
        <w:pStyle w:val="BodyText"/>
        <w:spacing w:before="10"/>
        <w:rPr>
          <w:sz w:val="15"/>
        </w:rPr>
      </w:pPr>
    </w:p>
    <w:p>
      <w:pPr>
        <w:pStyle w:val="Heading6"/>
        <w:spacing w:before="100"/>
      </w:pPr>
      <w:r>
        <w:rPr>
          <w:w w:val="120"/>
        </w:rPr>
        <w:t>Disputes about the conduct of legal practitioner executors</w:t>
      </w:r>
    </w:p>
    <w:p>
      <w:pPr>
        <w:pStyle w:val="ListParagraph"/>
        <w:numPr>
          <w:ilvl w:val="1"/>
          <w:numId w:val="22"/>
        </w:numPr>
        <w:tabs>
          <w:tab w:pos="2381" w:val="left" w:leader="none"/>
          <w:tab w:pos="2382" w:val="left" w:leader="none"/>
        </w:tabs>
        <w:spacing w:line="242" w:lineRule="auto" w:before="151" w:after="0"/>
        <w:ind w:left="2381" w:right="1610" w:hanging="794"/>
        <w:jc w:val="left"/>
        <w:rPr>
          <w:sz w:val="12"/>
        </w:rPr>
      </w:pPr>
      <w:r>
        <w:rPr>
          <w:spacing w:val="-5"/>
          <w:w w:val="105"/>
          <w:sz w:val="21"/>
        </w:rPr>
        <w:t>Many complaints received </w:t>
      </w:r>
      <w:r>
        <w:rPr>
          <w:spacing w:val="-3"/>
          <w:w w:val="105"/>
          <w:sz w:val="21"/>
        </w:rPr>
        <w:t>by </w:t>
      </w:r>
      <w:r>
        <w:rPr>
          <w:spacing w:val="-4"/>
          <w:w w:val="105"/>
          <w:sz w:val="21"/>
        </w:rPr>
        <w:t>the Legal Services </w:t>
      </w:r>
      <w:r>
        <w:rPr>
          <w:spacing w:val="-6"/>
          <w:w w:val="105"/>
          <w:sz w:val="21"/>
        </w:rPr>
        <w:t>Commissioner </w:t>
      </w:r>
      <w:r>
        <w:rPr>
          <w:spacing w:val="-5"/>
          <w:w w:val="105"/>
          <w:sz w:val="21"/>
        </w:rPr>
        <w:t>relate </w:t>
      </w:r>
      <w:r>
        <w:rPr>
          <w:spacing w:val="-4"/>
          <w:w w:val="105"/>
          <w:sz w:val="21"/>
        </w:rPr>
        <w:t>to the conduct </w:t>
      </w:r>
      <w:r>
        <w:rPr>
          <w:spacing w:val="-3"/>
          <w:w w:val="105"/>
          <w:sz w:val="21"/>
        </w:rPr>
        <w:t>of </w:t>
      </w:r>
      <w:r>
        <w:rPr>
          <w:w w:val="105"/>
          <w:sz w:val="21"/>
        </w:rPr>
        <w:t>a </w:t>
      </w:r>
      <w:r>
        <w:rPr>
          <w:spacing w:val="-4"/>
          <w:w w:val="105"/>
          <w:sz w:val="21"/>
        </w:rPr>
        <w:t>legal </w:t>
      </w:r>
      <w:r>
        <w:rPr>
          <w:spacing w:val="-5"/>
          <w:w w:val="105"/>
          <w:sz w:val="21"/>
        </w:rPr>
        <w:t>practitioner </w:t>
      </w:r>
      <w:r>
        <w:rPr>
          <w:spacing w:val="-3"/>
          <w:w w:val="105"/>
          <w:sz w:val="21"/>
        </w:rPr>
        <w:t>as an </w:t>
      </w:r>
      <w:r>
        <w:rPr>
          <w:spacing w:val="-7"/>
          <w:w w:val="105"/>
          <w:sz w:val="21"/>
        </w:rPr>
        <w:t>executor, </w:t>
      </w:r>
      <w:r>
        <w:rPr>
          <w:spacing w:val="-3"/>
          <w:w w:val="105"/>
          <w:sz w:val="21"/>
        </w:rPr>
        <w:t>as </w:t>
      </w:r>
      <w:r>
        <w:rPr>
          <w:spacing w:val="-4"/>
          <w:w w:val="105"/>
          <w:sz w:val="21"/>
        </w:rPr>
        <w:t>distinct </w:t>
      </w:r>
      <w:r>
        <w:rPr>
          <w:spacing w:val="-5"/>
          <w:w w:val="105"/>
          <w:sz w:val="21"/>
        </w:rPr>
        <w:t>from their </w:t>
      </w:r>
      <w:r>
        <w:rPr>
          <w:spacing w:val="-4"/>
          <w:w w:val="105"/>
          <w:sz w:val="21"/>
        </w:rPr>
        <w:t>conduct </w:t>
      </w:r>
      <w:r>
        <w:rPr>
          <w:spacing w:val="-3"/>
          <w:w w:val="105"/>
          <w:sz w:val="21"/>
        </w:rPr>
        <w:t>as </w:t>
      </w:r>
      <w:r>
        <w:rPr>
          <w:w w:val="105"/>
          <w:sz w:val="21"/>
        </w:rPr>
        <w:t>a </w:t>
      </w:r>
      <w:r>
        <w:rPr>
          <w:spacing w:val="-4"/>
          <w:w w:val="105"/>
          <w:sz w:val="21"/>
        </w:rPr>
        <w:t>legal </w:t>
      </w:r>
      <w:r>
        <w:rPr>
          <w:spacing w:val="-6"/>
          <w:w w:val="105"/>
          <w:sz w:val="21"/>
        </w:rPr>
        <w:t>practitioner, </w:t>
      </w:r>
      <w:r>
        <w:rPr>
          <w:spacing w:val="-4"/>
          <w:w w:val="105"/>
          <w:sz w:val="21"/>
        </w:rPr>
        <w:t>and are</w:t>
      </w:r>
      <w:r>
        <w:rPr>
          <w:spacing w:val="-12"/>
          <w:w w:val="105"/>
          <w:sz w:val="21"/>
        </w:rPr>
        <w:t> </w:t>
      </w:r>
      <w:r>
        <w:rPr>
          <w:spacing w:val="-4"/>
          <w:w w:val="105"/>
          <w:sz w:val="21"/>
        </w:rPr>
        <w:t>effectively</w:t>
      </w:r>
      <w:r>
        <w:rPr>
          <w:spacing w:val="-11"/>
          <w:w w:val="105"/>
          <w:sz w:val="21"/>
        </w:rPr>
        <w:t> </w:t>
      </w:r>
      <w:r>
        <w:rPr>
          <w:spacing w:val="-4"/>
          <w:w w:val="105"/>
          <w:sz w:val="21"/>
        </w:rPr>
        <w:t>outside</w:t>
      </w:r>
      <w:r>
        <w:rPr>
          <w:spacing w:val="-12"/>
          <w:w w:val="105"/>
          <w:sz w:val="21"/>
        </w:rPr>
        <w:t> </w:t>
      </w:r>
      <w:r>
        <w:rPr>
          <w:spacing w:val="-4"/>
          <w:w w:val="105"/>
          <w:sz w:val="21"/>
        </w:rPr>
        <w:t>the</w:t>
      </w:r>
      <w:r>
        <w:rPr>
          <w:spacing w:val="-11"/>
          <w:w w:val="105"/>
          <w:sz w:val="21"/>
        </w:rPr>
        <w:t> </w:t>
      </w:r>
      <w:r>
        <w:rPr>
          <w:spacing w:val="-6"/>
          <w:w w:val="105"/>
          <w:sz w:val="21"/>
        </w:rPr>
        <w:t>Commissioner’s</w:t>
      </w:r>
      <w:r>
        <w:rPr>
          <w:spacing w:val="-12"/>
          <w:w w:val="105"/>
          <w:sz w:val="21"/>
        </w:rPr>
        <w:t> </w:t>
      </w:r>
      <w:r>
        <w:rPr>
          <w:spacing w:val="-5"/>
          <w:w w:val="105"/>
          <w:sz w:val="21"/>
        </w:rPr>
        <w:t>jurisdiction.</w:t>
      </w:r>
      <w:r>
        <w:rPr>
          <w:spacing w:val="-11"/>
          <w:w w:val="105"/>
          <w:sz w:val="21"/>
        </w:rPr>
        <w:t> </w:t>
      </w:r>
      <w:r>
        <w:rPr>
          <w:spacing w:val="-3"/>
          <w:w w:val="105"/>
          <w:sz w:val="21"/>
        </w:rPr>
        <w:t>The</w:t>
      </w:r>
      <w:r>
        <w:rPr>
          <w:spacing w:val="-12"/>
          <w:w w:val="105"/>
          <w:sz w:val="21"/>
        </w:rPr>
        <w:t> </w:t>
      </w:r>
      <w:r>
        <w:rPr>
          <w:spacing w:val="-5"/>
          <w:w w:val="105"/>
          <w:sz w:val="21"/>
        </w:rPr>
        <w:t>demarcation</w:t>
      </w:r>
      <w:r>
        <w:rPr>
          <w:spacing w:val="-11"/>
          <w:w w:val="105"/>
          <w:sz w:val="21"/>
        </w:rPr>
        <w:t> </w:t>
      </w:r>
      <w:r>
        <w:rPr>
          <w:spacing w:val="-3"/>
          <w:w w:val="105"/>
          <w:sz w:val="21"/>
        </w:rPr>
        <w:t>is</w:t>
      </w:r>
      <w:r>
        <w:rPr>
          <w:spacing w:val="-12"/>
          <w:w w:val="105"/>
          <w:sz w:val="21"/>
        </w:rPr>
        <w:t> </w:t>
      </w:r>
      <w:r>
        <w:rPr>
          <w:spacing w:val="-5"/>
          <w:w w:val="105"/>
          <w:sz w:val="21"/>
        </w:rPr>
        <w:t>determined</w:t>
      </w:r>
      <w:r>
        <w:rPr>
          <w:spacing w:val="-11"/>
          <w:w w:val="105"/>
          <w:sz w:val="21"/>
        </w:rPr>
        <w:t> </w:t>
      </w:r>
      <w:r>
        <w:rPr>
          <w:spacing w:val="-3"/>
          <w:w w:val="105"/>
          <w:sz w:val="21"/>
        </w:rPr>
        <w:t>by</w:t>
      </w:r>
      <w:r>
        <w:rPr>
          <w:spacing w:val="-12"/>
          <w:w w:val="105"/>
          <w:sz w:val="21"/>
        </w:rPr>
        <w:t> </w:t>
      </w:r>
      <w:r>
        <w:rPr>
          <w:spacing w:val="-4"/>
          <w:w w:val="105"/>
          <w:sz w:val="21"/>
        </w:rPr>
        <w:t>the distinction </w:t>
      </w:r>
      <w:r>
        <w:rPr>
          <w:spacing w:val="-5"/>
          <w:w w:val="105"/>
          <w:sz w:val="21"/>
        </w:rPr>
        <w:t>that </w:t>
      </w:r>
      <w:r>
        <w:rPr>
          <w:spacing w:val="-3"/>
          <w:w w:val="105"/>
          <w:sz w:val="21"/>
        </w:rPr>
        <w:t>is </w:t>
      </w:r>
      <w:r>
        <w:rPr>
          <w:spacing w:val="-4"/>
          <w:w w:val="105"/>
          <w:sz w:val="21"/>
        </w:rPr>
        <w:t>made </w:t>
      </w:r>
      <w:r>
        <w:rPr>
          <w:spacing w:val="-3"/>
          <w:w w:val="105"/>
          <w:sz w:val="21"/>
        </w:rPr>
        <w:t>between </w:t>
      </w:r>
      <w:r>
        <w:rPr>
          <w:spacing w:val="-4"/>
          <w:w w:val="105"/>
          <w:sz w:val="21"/>
        </w:rPr>
        <w:t>the work </w:t>
      </w:r>
      <w:r>
        <w:rPr>
          <w:spacing w:val="-3"/>
          <w:w w:val="105"/>
          <w:sz w:val="21"/>
        </w:rPr>
        <w:t>of </w:t>
      </w:r>
      <w:r>
        <w:rPr>
          <w:w w:val="105"/>
          <w:sz w:val="21"/>
        </w:rPr>
        <w:t>a </w:t>
      </w:r>
      <w:r>
        <w:rPr>
          <w:spacing w:val="-4"/>
          <w:w w:val="105"/>
          <w:sz w:val="21"/>
        </w:rPr>
        <w:t>legal </w:t>
      </w:r>
      <w:r>
        <w:rPr>
          <w:spacing w:val="-5"/>
          <w:w w:val="105"/>
          <w:sz w:val="21"/>
        </w:rPr>
        <w:t>practitioner </w:t>
      </w:r>
      <w:r>
        <w:rPr>
          <w:spacing w:val="-4"/>
          <w:w w:val="105"/>
          <w:sz w:val="21"/>
        </w:rPr>
        <w:t>and </w:t>
      </w:r>
      <w:r>
        <w:rPr>
          <w:spacing w:val="-5"/>
          <w:w w:val="105"/>
          <w:sz w:val="21"/>
        </w:rPr>
        <w:t>that </w:t>
      </w:r>
      <w:r>
        <w:rPr>
          <w:spacing w:val="-3"/>
          <w:w w:val="105"/>
          <w:sz w:val="21"/>
        </w:rPr>
        <w:t>of an</w:t>
      </w:r>
      <w:r>
        <w:rPr>
          <w:spacing w:val="4"/>
          <w:w w:val="105"/>
          <w:sz w:val="21"/>
        </w:rPr>
        <w:t> </w:t>
      </w:r>
      <w:r>
        <w:rPr>
          <w:spacing w:val="-8"/>
          <w:w w:val="105"/>
          <w:sz w:val="21"/>
        </w:rPr>
        <w:t>executor.</w:t>
      </w:r>
      <w:r>
        <w:rPr>
          <w:spacing w:val="-8"/>
          <w:w w:val="105"/>
          <w:position w:val="7"/>
          <w:sz w:val="12"/>
        </w:rPr>
        <w:t>177</w:t>
      </w:r>
    </w:p>
    <w:p>
      <w:pPr>
        <w:pStyle w:val="ListParagraph"/>
        <w:numPr>
          <w:ilvl w:val="1"/>
          <w:numId w:val="22"/>
        </w:numPr>
        <w:tabs>
          <w:tab w:pos="2381" w:val="left" w:leader="none"/>
          <w:tab w:pos="2382" w:val="left" w:leader="none"/>
        </w:tabs>
        <w:spacing w:line="242" w:lineRule="auto" w:before="124" w:after="0"/>
        <w:ind w:left="2381" w:right="1795" w:hanging="794"/>
        <w:jc w:val="left"/>
        <w:rPr>
          <w:sz w:val="21"/>
        </w:rPr>
      </w:pPr>
      <w:r>
        <w:rPr>
          <w:sz w:val="21"/>
        </w:rPr>
        <w:t>A beneficiary </w:t>
      </w:r>
      <w:r>
        <w:rPr>
          <w:spacing w:val="-3"/>
          <w:sz w:val="21"/>
        </w:rPr>
        <w:t>may </w:t>
      </w:r>
      <w:r>
        <w:rPr>
          <w:spacing w:val="-4"/>
          <w:sz w:val="21"/>
        </w:rPr>
        <w:t>make  </w:t>
      </w:r>
      <w:r>
        <w:rPr>
          <w:sz w:val="21"/>
        </w:rPr>
        <w:t>a  </w:t>
      </w:r>
      <w:r>
        <w:rPr>
          <w:spacing w:val="-3"/>
          <w:sz w:val="21"/>
        </w:rPr>
        <w:t>disciplinary  complaint  </w:t>
      </w:r>
      <w:r>
        <w:rPr>
          <w:sz w:val="21"/>
        </w:rPr>
        <w:t>about  a  legal  practitioner  </w:t>
      </w:r>
      <w:r>
        <w:rPr>
          <w:spacing w:val="-3"/>
          <w:sz w:val="21"/>
        </w:rPr>
        <w:t>executor </w:t>
      </w:r>
      <w:r>
        <w:rPr>
          <w:sz w:val="21"/>
        </w:rPr>
        <w:t>who </w:t>
      </w:r>
      <w:r>
        <w:rPr>
          <w:spacing w:val="-3"/>
          <w:sz w:val="21"/>
        </w:rPr>
        <w:t>contravenes  </w:t>
      </w:r>
      <w:r>
        <w:rPr>
          <w:sz w:val="21"/>
        </w:rPr>
        <w:t>the </w:t>
      </w:r>
      <w:r>
        <w:rPr>
          <w:spacing w:val="-3"/>
          <w:sz w:val="21"/>
        </w:rPr>
        <w:t>Professional</w:t>
      </w:r>
      <w:r>
        <w:rPr>
          <w:spacing w:val="41"/>
          <w:sz w:val="21"/>
        </w:rPr>
        <w:t> </w:t>
      </w:r>
      <w:r>
        <w:rPr>
          <w:spacing w:val="-3"/>
          <w:sz w:val="21"/>
        </w:rPr>
        <w:t>Conduct  </w:t>
      </w:r>
      <w:r>
        <w:rPr>
          <w:sz w:val="21"/>
        </w:rPr>
        <w:t>and Practice Rules, or a civil </w:t>
      </w:r>
      <w:r>
        <w:rPr>
          <w:spacing w:val="-3"/>
          <w:sz w:val="21"/>
        </w:rPr>
        <w:t>complaint  </w:t>
      </w:r>
      <w:r>
        <w:rPr>
          <w:sz w:val="21"/>
        </w:rPr>
        <w:t>about  a legal costs </w:t>
      </w:r>
      <w:r>
        <w:rPr>
          <w:spacing w:val="-3"/>
          <w:sz w:val="21"/>
        </w:rPr>
        <w:t>dispute. </w:t>
      </w:r>
      <w:r>
        <w:rPr>
          <w:spacing w:val="-4"/>
          <w:sz w:val="21"/>
        </w:rPr>
        <w:t>However, </w:t>
      </w:r>
      <w:r>
        <w:rPr>
          <w:sz w:val="21"/>
        </w:rPr>
        <w:t>a beneficiary </w:t>
      </w:r>
      <w:r>
        <w:rPr>
          <w:spacing w:val="-3"/>
          <w:sz w:val="21"/>
        </w:rPr>
        <w:t>cannot </w:t>
      </w:r>
      <w:r>
        <w:rPr>
          <w:sz w:val="21"/>
        </w:rPr>
        <w:t>otherwise </w:t>
      </w:r>
      <w:r>
        <w:rPr>
          <w:spacing w:val="-4"/>
          <w:sz w:val="21"/>
        </w:rPr>
        <w:t>make  </w:t>
      </w:r>
      <w:r>
        <w:rPr>
          <w:sz w:val="21"/>
        </w:rPr>
        <w:t>a </w:t>
      </w:r>
      <w:r>
        <w:rPr>
          <w:spacing w:val="-3"/>
          <w:sz w:val="21"/>
        </w:rPr>
        <w:t>complaint  </w:t>
      </w:r>
      <w:r>
        <w:rPr>
          <w:sz w:val="21"/>
        </w:rPr>
        <w:t>about  the</w:t>
      </w:r>
      <w:r>
        <w:rPr>
          <w:spacing w:val="9"/>
          <w:sz w:val="21"/>
        </w:rPr>
        <w:t> </w:t>
      </w:r>
      <w:r>
        <w:rPr>
          <w:spacing w:val="-3"/>
          <w:sz w:val="21"/>
        </w:rPr>
        <w:t>provision</w:t>
      </w:r>
      <w:r>
        <w:rPr>
          <w:spacing w:val="10"/>
          <w:sz w:val="21"/>
        </w:rPr>
        <w:t> </w:t>
      </w:r>
      <w:r>
        <w:rPr>
          <w:sz w:val="21"/>
        </w:rPr>
        <w:t>of</w:t>
      </w:r>
      <w:r>
        <w:rPr>
          <w:spacing w:val="10"/>
          <w:sz w:val="21"/>
        </w:rPr>
        <w:t> </w:t>
      </w:r>
      <w:r>
        <w:rPr>
          <w:spacing w:val="-3"/>
          <w:sz w:val="21"/>
        </w:rPr>
        <w:t>executorial</w:t>
      </w:r>
      <w:r>
        <w:rPr>
          <w:spacing w:val="9"/>
          <w:sz w:val="21"/>
        </w:rPr>
        <w:t> </w:t>
      </w:r>
      <w:r>
        <w:rPr>
          <w:sz w:val="21"/>
        </w:rPr>
        <w:t>services</w:t>
      </w:r>
      <w:r>
        <w:rPr>
          <w:spacing w:val="10"/>
          <w:sz w:val="21"/>
        </w:rPr>
        <w:t> </w:t>
      </w:r>
      <w:r>
        <w:rPr>
          <w:sz w:val="21"/>
        </w:rPr>
        <w:t>by</w:t>
      </w:r>
      <w:r>
        <w:rPr>
          <w:spacing w:val="10"/>
          <w:sz w:val="21"/>
        </w:rPr>
        <w:t> </w:t>
      </w:r>
      <w:r>
        <w:rPr>
          <w:sz w:val="21"/>
        </w:rPr>
        <w:t>a</w:t>
      </w:r>
      <w:r>
        <w:rPr>
          <w:spacing w:val="9"/>
          <w:sz w:val="21"/>
        </w:rPr>
        <w:t> </w:t>
      </w:r>
      <w:r>
        <w:rPr>
          <w:sz w:val="21"/>
        </w:rPr>
        <w:t>legal</w:t>
      </w:r>
      <w:r>
        <w:rPr>
          <w:spacing w:val="10"/>
          <w:sz w:val="21"/>
        </w:rPr>
        <w:t> </w:t>
      </w:r>
      <w:r>
        <w:rPr>
          <w:spacing w:val="-3"/>
          <w:sz w:val="21"/>
        </w:rPr>
        <w:t>practitioner.</w:t>
      </w:r>
    </w:p>
    <w:p>
      <w:pPr>
        <w:pStyle w:val="ListParagraph"/>
        <w:numPr>
          <w:ilvl w:val="1"/>
          <w:numId w:val="22"/>
        </w:numPr>
        <w:tabs>
          <w:tab w:pos="2381" w:val="left" w:leader="none"/>
          <w:tab w:pos="2382" w:val="left" w:leader="none"/>
        </w:tabs>
        <w:spacing w:line="242" w:lineRule="auto" w:before="125" w:after="0"/>
        <w:ind w:left="2381" w:right="2274" w:hanging="794"/>
        <w:jc w:val="left"/>
        <w:rPr>
          <w:sz w:val="21"/>
        </w:rPr>
      </w:pPr>
      <w:r>
        <w:rPr>
          <w:w w:val="105"/>
          <w:sz w:val="21"/>
        </w:rPr>
        <w:t>Despite</w:t>
      </w:r>
      <w:r>
        <w:rPr>
          <w:spacing w:val="-11"/>
          <w:w w:val="105"/>
          <w:sz w:val="21"/>
        </w:rPr>
        <w:t> </w:t>
      </w:r>
      <w:r>
        <w:rPr>
          <w:w w:val="105"/>
          <w:sz w:val="21"/>
        </w:rPr>
        <w:t>this,</w:t>
      </w:r>
      <w:r>
        <w:rPr>
          <w:spacing w:val="-11"/>
          <w:w w:val="105"/>
          <w:sz w:val="21"/>
        </w:rPr>
        <w:t> </w:t>
      </w:r>
      <w:r>
        <w:rPr>
          <w:w w:val="105"/>
          <w:sz w:val="21"/>
        </w:rPr>
        <w:t>the</w:t>
      </w:r>
      <w:r>
        <w:rPr>
          <w:spacing w:val="-11"/>
          <w:w w:val="105"/>
          <w:sz w:val="21"/>
        </w:rPr>
        <w:t> </w:t>
      </w:r>
      <w:r>
        <w:rPr>
          <w:w w:val="105"/>
          <w:sz w:val="21"/>
        </w:rPr>
        <w:t>Legal</w:t>
      </w:r>
      <w:r>
        <w:rPr>
          <w:spacing w:val="-11"/>
          <w:w w:val="105"/>
          <w:sz w:val="21"/>
        </w:rPr>
        <w:t> </w:t>
      </w:r>
      <w:r>
        <w:rPr>
          <w:w w:val="105"/>
          <w:sz w:val="21"/>
        </w:rPr>
        <w:t>Services</w:t>
      </w:r>
      <w:r>
        <w:rPr>
          <w:spacing w:val="-10"/>
          <w:w w:val="105"/>
          <w:sz w:val="21"/>
        </w:rPr>
        <w:t> </w:t>
      </w:r>
      <w:r>
        <w:rPr>
          <w:spacing w:val="-3"/>
          <w:w w:val="105"/>
          <w:sz w:val="21"/>
        </w:rPr>
        <w:t>Commissioner</w:t>
      </w:r>
      <w:r>
        <w:rPr>
          <w:spacing w:val="-11"/>
          <w:w w:val="105"/>
          <w:sz w:val="21"/>
        </w:rPr>
        <w:t> </w:t>
      </w:r>
      <w:r>
        <w:rPr>
          <w:w w:val="105"/>
          <w:sz w:val="21"/>
        </w:rPr>
        <w:t>does</w:t>
      </w:r>
      <w:r>
        <w:rPr>
          <w:spacing w:val="-11"/>
          <w:w w:val="105"/>
          <w:sz w:val="21"/>
        </w:rPr>
        <w:t> </w:t>
      </w:r>
      <w:r>
        <w:rPr>
          <w:w w:val="105"/>
          <w:sz w:val="21"/>
        </w:rPr>
        <w:t>attempt</w:t>
      </w:r>
      <w:r>
        <w:rPr>
          <w:spacing w:val="-11"/>
          <w:w w:val="105"/>
          <w:sz w:val="21"/>
        </w:rPr>
        <w:t> </w:t>
      </w:r>
      <w:r>
        <w:rPr>
          <w:spacing w:val="-3"/>
          <w:w w:val="105"/>
          <w:sz w:val="21"/>
        </w:rPr>
        <w:t>to</w:t>
      </w:r>
      <w:r>
        <w:rPr>
          <w:spacing w:val="-11"/>
          <w:w w:val="105"/>
          <w:sz w:val="21"/>
        </w:rPr>
        <w:t> </w:t>
      </w:r>
      <w:r>
        <w:rPr>
          <w:w w:val="105"/>
          <w:sz w:val="21"/>
        </w:rPr>
        <w:t>resolve</w:t>
      </w:r>
      <w:r>
        <w:rPr>
          <w:spacing w:val="-10"/>
          <w:w w:val="105"/>
          <w:sz w:val="21"/>
        </w:rPr>
        <w:t> </w:t>
      </w:r>
      <w:r>
        <w:rPr>
          <w:w w:val="105"/>
          <w:sz w:val="21"/>
        </w:rPr>
        <w:t>some</w:t>
      </w:r>
      <w:r>
        <w:rPr>
          <w:spacing w:val="-11"/>
          <w:w w:val="105"/>
          <w:sz w:val="21"/>
        </w:rPr>
        <w:t> </w:t>
      </w:r>
      <w:r>
        <w:rPr>
          <w:w w:val="105"/>
          <w:sz w:val="21"/>
        </w:rPr>
        <w:t>of</w:t>
      </w:r>
      <w:r>
        <w:rPr>
          <w:spacing w:val="-11"/>
          <w:w w:val="105"/>
          <w:sz w:val="21"/>
        </w:rPr>
        <w:t> </w:t>
      </w:r>
      <w:r>
        <w:rPr>
          <w:w w:val="105"/>
          <w:sz w:val="21"/>
        </w:rPr>
        <w:t>the </w:t>
      </w:r>
      <w:r>
        <w:rPr>
          <w:spacing w:val="-3"/>
          <w:w w:val="105"/>
          <w:sz w:val="21"/>
        </w:rPr>
        <w:t>complaints that </w:t>
      </w:r>
      <w:r>
        <w:rPr>
          <w:spacing w:val="-4"/>
          <w:w w:val="105"/>
          <w:sz w:val="21"/>
        </w:rPr>
        <w:t>fall </w:t>
      </w:r>
      <w:r>
        <w:rPr>
          <w:w w:val="105"/>
          <w:sz w:val="21"/>
        </w:rPr>
        <w:t>outside the </w:t>
      </w:r>
      <w:r>
        <w:rPr>
          <w:spacing w:val="-3"/>
          <w:w w:val="105"/>
          <w:sz w:val="21"/>
        </w:rPr>
        <w:t>Commissioner’s</w:t>
      </w:r>
      <w:r>
        <w:rPr>
          <w:spacing w:val="28"/>
          <w:w w:val="105"/>
          <w:sz w:val="21"/>
        </w:rPr>
        <w:t> </w:t>
      </w:r>
      <w:r>
        <w:rPr>
          <w:w w:val="105"/>
          <w:sz w:val="21"/>
        </w:rPr>
        <w:t>jurisdiction:</w:t>
      </w:r>
    </w:p>
    <w:p>
      <w:pPr>
        <w:spacing w:line="254" w:lineRule="auto" w:before="131"/>
        <w:ind w:left="2721" w:right="1701" w:firstLine="0"/>
        <w:jc w:val="left"/>
        <w:rPr>
          <w:sz w:val="20"/>
        </w:rPr>
      </w:pPr>
      <w:r>
        <w:rPr>
          <w:w w:val="105"/>
          <w:sz w:val="20"/>
        </w:rPr>
        <w:t>An example of such a complaint would involve the timing and sale of assets. Unless the conduct is sufficiently bad to amount to misconduct outside the practice of law, such as involving dishonesty or a serious conflict of interest, the [Legal Services Commissioner] would generally not be able to investigate it but would try to resolve any issue.</w:t>
      </w:r>
    </w:p>
    <w:p>
      <w:pPr>
        <w:spacing w:line="254" w:lineRule="auto" w:before="5"/>
        <w:ind w:left="2721" w:right="2010" w:firstLine="0"/>
        <w:jc w:val="left"/>
        <w:rPr>
          <w:sz w:val="11"/>
        </w:rPr>
      </w:pPr>
      <w:r>
        <w:rPr>
          <w:sz w:val="20"/>
        </w:rPr>
        <w:t>If resolution fails the [Legal Services Commissioner] would recommend complainants seek further legal advice.</w:t>
      </w:r>
      <w:r>
        <w:rPr>
          <w:position w:val="7"/>
          <w:sz w:val="11"/>
        </w:rPr>
        <w:t>178</w:t>
      </w:r>
    </w:p>
    <w:p>
      <w:pPr>
        <w:pStyle w:val="ListParagraph"/>
        <w:numPr>
          <w:ilvl w:val="1"/>
          <w:numId w:val="22"/>
        </w:numPr>
        <w:tabs>
          <w:tab w:pos="2380" w:val="left" w:leader="none"/>
          <w:tab w:pos="2381" w:val="left" w:leader="none"/>
        </w:tabs>
        <w:spacing w:line="242" w:lineRule="auto" w:before="113" w:after="0"/>
        <w:ind w:left="2381" w:right="1852" w:hanging="794"/>
        <w:jc w:val="left"/>
        <w:rPr>
          <w:sz w:val="21"/>
        </w:rPr>
      </w:pPr>
      <w:r>
        <w:rPr>
          <w:spacing w:val="-3"/>
          <w:w w:val="105"/>
          <w:sz w:val="21"/>
        </w:rPr>
        <w:t>From</w:t>
      </w:r>
      <w:r>
        <w:rPr>
          <w:spacing w:val="-9"/>
          <w:w w:val="105"/>
          <w:sz w:val="21"/>
        </w:rPr>
        <w:t> </w:t>
      </w:r>
      <w:r>
        <w:rPr>
          <w:w w:val="105"/>
          <w:sz w:val="21"/>
        </w:rPr>
        <w:t>the</w:t>
      </w:r>
      <w:r>
        <w:rPr>
          <w:spacing w:val="-8"/>
          <w:w w:val="105"/>
          <w:sz w:val="21"/>
        </w:rPr>
        <w:t> </w:t>
      </w:r>
      <w:r>
        <w:rPr>
          <w:w w:val="105"/>
          <w:sz w:val="21"/>
        </w:rPr>
        <w:t>perspective</w:t>
      </w:r>
      <w:r>
        <w:rPr>
          <w:spacing w:val="-8"/>
          <w:w w:val="105"/>
          <w:sz w:val="21"/>
        </w:rPr>
        <w:t> </w:t>
      </w:r>
      <w:r>
        <w:rPr>
          <w:w w:val="105"/>
          <w:sz w:val="21"/>
        </w:rPr>
        <w:t>of</w:t>
      </w:r>
      <w:r>
        <w:rPr>
          <w:spacing w:val="-8"/>
          <w:w w:val="105"/>
          <w:sz w:val="21"/>
        </w:rPr>
        <w:t> </w:t>
      </w:r>
      <w:r>
        <w:rPr>
          <w:spacing w:val="-3"/>
          <w:w w:val="105"/>
          <w:sz w:val="21"/>
        </w:rPr>
        <w:t>providing</w:t>
      </w:r>
      <w:r>
        <w:rPr>
          <w:spacing w:val="-8"/>
          <w:w w:val="105"/>
          <w:sz w:val="21"/>
        </w:rPr>
        <w:t> </w:t>
      </w:r>
      <w:r>
        <w:rPr>
          <w:w w:val="105"/>
          <w:sz w:val="21"/>
        </w:rPr>
        <w:t>a</w:t>
      </w:r>
      <w:r>
        <w:rPr>
          <w:spacing w:val="-8"/>
          <w:w w:val="105"/>
          <w:sz w:val="21"/>
        </w:rPr>
        <w:t> </w:t>
      </w:r>
      <w:r>
        <w:rPr>
          <w:w w:val="105"/>
          <w:sz w:val="21"/>
        </w:rPr>
        <w:t>regulatory</w:t>
      </w:r>
      <w:r>
        <w:rPr>
          <w:spacing w:val="-8"/>
          <w:w w:val="105"/>
          <w:sz w:val="21"/>
        </w:rPr>
        <w:t> </w:t>
      </w:r>
      <w:r>
        <w:rPr>
          <w:spacing w:val="-3"/>
          <w:w w:val="105"/>
          <w:sz w:val="21"/>
        </w:rPr>
        <w:t>framework</w:t>
      </w:r>
      <w:r>
        <w:rPr>
          <w:spacing w:val="-8"/>
          <w:w w:val="105"/>
          <w:sz w:val="21"/>
        </w:rPr>
        <w:t> </w:t>
      </w:r>
      <w:r>
        <w:rPr>
          <w:spacing w:val="-3"/>
          <w:w w:val="105"/>
          <w:sz w:val="21"/>
        </w:rPr>
        <w:t>that</w:t>
      </w:r>
      <w:r>
        <w:rPr>
          <w:spacing w:val="-9"/>
          <w:w w:val="105"/>
          <w:sz w:val="21"/>
        </w:rPr>
        <w:t> </w:t>
      </w:r>
      <w:r>
        <w:rPr>
          <w:w w:val="105"/>
          <w:sz w:val="21"/>
        </w:rPr>
        <w:t>protects</w:t>
      </w:r>
      <w:r>
        <w:rPr>
          <w:spacing w:val="-8"/>
          <w:w w:val="105"/>
          <w:sz w:val="21"/>
        </w:rPr>
        <w:t> </w:t>
      </w:r>
      <w:r>
        <w:rPr>
          <w:spacing w:val="-3"/>
          <w:w w:val="105"/>
          <w:sz w:val="21"/>
        </w:rPr>
        <w:t>consumers</w:t>
      </w:r>
      <w:r>
        <w:rPr>
          <w:spacing w:val="-8"/>
          <w:w w:val="105"/>
          <w:sz w:val="21"/>
        </w:rPr>
        <w:t> </w:t>
      </w:r>
      <w:r>
        <w:rPr>
          <w:w w:val="105"/>
          <w:sz w:val="21"/>
        </w:rPr>
        <w:t>and provides redress </w:t>
      </w:r>
      <w:r>
        <w:rPr>
          <w:spacing w:val="-3"/>
          <w:w w:val="105"/>
          <w:sz w:val="21"/>
        </w:rPr>
        <w:t>against </w:t>
      </w:r>
      <w:r>
        <w:rPr>
          <w:w w:val="105"/>
          <w:sz w:val="21"/>
        </w:rPr>
        <w:t>legal practitioners who do </w:t>
      </w:r>
      <w:r>
        <w:rPr>
          <w:spacing w:val="-2"/>
          <w:w w:val="105"/>
          <w:sz w:val="21"/>
        </w:rPr>
        <w:t>not </w:t>
      </w:r>
      <w:r>
        <w:rPr>
          <w:w w:val="105"/>
          <w:sz w:val="21"/>
        </w:rPr>
        <w:t>meet </w:t>
      </w:r>
      <w:r>
        <w:rPr>
          <w:spacing w:val="-3"/>
          <w:w w:val="105"/>
          <w:sz w:val="21"/>
        </w:rPr>
        <w:t>professional </w:t>
      </w:r>
      <w:r>
        <w:rPr>
          <w:w w:val="105"/>
          <w:sz w:val="21"/>
        </w:rPr>
        <w:t>and ethical standards, the distinction is neither </w:t>
      </w:r>
      <w:r>
        <w:rPr>
          <w:spacing w:val="-3"/>
          <w:w w:val="105"/>
          <w:sz w:val="21"/>
        </w:rPr>
        <w:t>clear </w:t>
      </w:r>
      <w:r>
        <w:rPr>
          <w:w w:val="105"/>
          <w:sz w:val="21"/>
        </w:rPr>
        <w:t>nor </w:t>
      </w:r>
      <w:r>
        <w:rPr>
          <w:spacing w:val="-3"/>
          <w:w w:val="105"/>
          <w:sz w:val="21"/>
        </w:rPr>
        <w:t>helpful. </w:t>
      </w:r>
      <w:r>
        <w:rPr>
          <w:w w:val="105"/>
          <w:sz w:val="21"/>
        </w:rPr>
        <w:t>As </w:t>
      </w:r>
      <w:r>
        <w:rPr>
          <w:spacing w:val="-3"/>
          <w:w w:val="105"/>
          <w:sz w:val="21"/>
        </w:rPr>
        <w:t>noted above, </w:t>
      </w:r>
      <w:r>
        <w:rPr>
          <w:w w:val="105"/>
          <w:sz w:val="21"/>
        </w:rPr>
        <w:t>it is </w:t>
      </w:r>
      <w:r>
        <w:rPr>
          <w:spacing w:val="-2"/>
          <w:w w:val="105"/>
          <w:sz w:val="21"/>
        </w:rPr>
        <w:t>not </w:t>
      </w:r>
      <w:r>
        <w:rPr>
          <w:w w:val="105"/>
          <w:sz w:val="21"/>
        </w:rPr>
        <w:t>always </w:t>
      </w:r>
      <w:r>
        <w:rPr>
          <w:spacing w:val="-3"/>
          <w:w w:val="105"/>
          <w:sz w:val="21"/>
        </w:rPr>
        <w:t>apparent to </w:t>
      </w:r>
      <w:r>
        <w:rPr>
          <w:w w:val="105"/>
          <w:sz w:val="21"/>
        </w:rPr>
        <w:t>the legal </w:t>
      </w:r>
      <w:r>
        <w:rPr>
          <w:spacing w:val="-4"/>
          <w:w w:val="105"/>
          <w:sz w:val="21"/>
        </w:rPr>
        <w:t>practitioner.</w:t>
      </w:r>
      <w:r>
        <w:rPr>
          <w:spacing w:val="-4"/>
          <w:w w:val="105"/>
          <w:position w:val="7"/>
          <w:sz w:val="12"/>
        </w:rPr>
        <w:t>179 </w:t>
      </w:r>
      <w:r>
        <w:rPr>
          <w:spacing w:val="-3"/>
          <w:w w:val="105"/>
          <w:sz w:val="21"/>
        </w:rPr>
        <w:t>Clients </w:t>
      </w:r>
      <w:r>
        <w:rPr>
          <w:w w:val="105"/>
          <w:sz w:val="21"/>
        </w:rPr>
        <w:t>and beneficiaries do </w:t>
      </w:r>
      <w:r>
        <w:rPr>
          <w:spacing w:val="-2"/>
          <w:w w:val="105"/>
          <w:sz w:val="21"/>
        </w:rPr>
        <w:t>not </w:t>
      </w:r>
      <w:r>
        <w:rPr>
          <w:w w:val="105"/>
          <w:sz w:val="21"/>
        </w:rPr>
        <w:t>always</w:t>
      </w:r>
      <w:r>
        <w:rPr>
          <w:spacing w:val="-15"/>
          <w:w w:val="105"/>
          <w:sz w:val="21"/>
        </w:rPr>
        <w:t> </w:t>
      </w:r>
      <w:r>
        <w:rPr>
          <w:w w:val="105"/>
          <w:sz w:val="21"/>
        </w:rPr>
        <w:t>perceive</w:t>
      </w:r>
    </w:p>
    <w:p>
      <w:pPr>
        <w:pStyle w:val="BodyText"/>
        <w:spacing w:before="4"/>
        <w:ind w:left="2381"/>
        <w:rPr>
          <w:sz w:val="12"/>
        </w:rPr>
      </w:pPr>
      <w:r>
        <w:rPr>
          <w:w w:val="105"/>
        </w:rPr>
        <w:t>it either, or accept it as useful.</w:t>
      </w:r>
      <w:r>
        <w:rPr>
          <w:w w:val="105"/>
          <w:position w:val="7"/>
          <w:sz w:val="12"/>
        </w:rPr>
        <w:t>180</w:t>
      </w:r>
    </w:p>
    <w:p>
      <w:pPr>
        <w:pStyle w:val="ListParagraph"/>
        <w:numPr>
          <w:ilvl w:val="1"/>
          <w:numId w:val="22"/>
        </w:numPr>
        <w:tabs>
          <w:tab w:pos="2381" w:val="left" w:leader="none"/>
          <w:tab w:pos="2382" w:val="left" w:leader="none"/>
        </w:tabs>
        <w:spacing w:line="242" w:lineRule="auto" w:before="124" w:after="0"/>
        <w:ind w:left="2381" w:right="1796" w:hanging="794"/>
        <w:jc w:val="left"/>
        <w:rPr>
          <w:sz w:val="21"/>
        </w:rPr>
      </w:pPr>
      <w:r>
        <w:rPr>
          <w:w w:val="105"/>
          <w:sz w:val="21"/>
        </w:rPr>
        <w:t>It is difficult </w:t>
      </w:r>
      <w:r>
        <w:rPr>
          <w:spacing w:val="-3"/>
          <w:w w:val="105"/>
          <w:sz w:val="21"/>
        </w:rPr>
        <w:t>to reconcile </w:t>
      </w:r>
      <w:r>
        <w:rPr>
          <w:w w:val="105"/>
          <w:sz w:val="21"/>
        </w:rPr>
        <w:t>the fact </w:t>
      </w:r>
      <w:r>
        <w:rPr>
          <w:spacing w:val="-3"/>
          <w:w w:val="105"/>
          <w:sz w:val="21"/>
        </w:rPr>
        <w:t>that </w:t>
      </w:r>
      <w:r>
        <w:rPr>
          <w:w w:val="105"/>
          <w:sz w:val="21"/>
        </w:rPr>
        <w:t>legal practitioners </w:t>
      </w:r>
      <w:r>
        <w:rPr>
          <w:spacing w:val="-3"/>
          <w:w w:val="105"/>
          <w:sz w:val="21"/>
        </w:rPr>
        <w:t>are appointed </w:t>
      </w:r>
      <w:r>
        <w:rPr>
          <w:w w:val="105"/>
          <w:sz w:val="21"/>
        </w:rPr>
        <w:t>as executors because</w:t>
      </w:r>
      <w:r>
        <w:rPr>
          <w:spacing w:val="-8"/>
          <w:w w:val="105"/>
          <w:sz w:val="21"/>
        </w:rPr>
        <w:t> </w:t>
      </w:r>
      <w:r>
        <w:rPr>
          <w:w w:val="105"/>
          <w:sz w:val="21"/>
        </w:rPr>
        <w:t>of</w:t>
      </w:r>
      <w:r>
        <w:rPr>
          <w:spacing w:val="-7"/>
          <w:w w:val="105"/>
          <w:sz w:val="21"/>
        </w:rPr>
        <w:t> </w:t>
      </w:r>
      <w:r>
        <w:rPr>
          <w:w w:val="105"/>
          <w:sz w:val="21"/>
        </w:rPr>
        <w:t>their</w:t>
      </w:r>
      <w:r>
        <w:rPr>
          <w:spacing w:val="-8"/>
          <w:w w:val="105"/>
          <w:sz w:val="21"/>
        </w:rPr>
        <w:t> </w:t>
      </w:r>
      <w:r>
        <w:rPr>
          <w:w w:val="105"/>
          <w:sz w:val="21"/>
        </w:rPr>
        <w:t>legal</w:t>
      </w:r>
      <w:r>
        <w:rPr>
          <w:spacing w:val="-7"/>
          <w:w w:val="105"/>
          <w:sz w:val="21"/>
        </w:rPr>
        <w:t> </w:t>
      </w:r>
      <w:r>
        <w:rPr>
          <w:spacing w:val="-3"/>
          <w:w w:val="105"/>
          <w:sz w:val="21"/>
        </w:rPr>
        <w:t>skills,</w:t>
      </w:r>
      <w:r>
        <w:rPr>
          <w:spacing w:val="-8"/>
          <w:w w:val="105"/>
          <w:sz w:val="21"/>
        </w:rPr>
        <w:t> </w:t>
      </w:r>
      <w:r>
        <w:rPr>
          <w:w w:val="105"/>
          <w:sz w:val="21"/>
        </w:rPr>
        <w:t>and</w:t>
      </w:r>
      <w:r>
        <w:rPr>
          <w:spacing w:val="-7"/>
          <w:w w:val="105"/>
          <w:sz w:val="21"/>
        </w:rPr>
        <w:t> </w:t>
      </w:r>
      <w:r>
        <w:rPr>
          <w:w w:val="105"/>
          <w:sz w:val="21"/>
        </w:rPr>
        <w:t>the</w:t>
      </w:r>
      <w:r>
        <w:rPr>
          <w:spacing w:val="-7"/>
          <w:w w:val="105"/>
          <w:sz w:val="21"/>
        </w:rPr>
        <w:t> </w:t>
      </w:r>
      <w:r>
        <w:rPr>
          <w:w w:val="105"/>
          <w:sz w:val="21"/>
        </w:rPr>
        <w:t>fact</w:t>
      </w:r>
      <w:r>
        <w:rPr>
          <w:spacing w:val="-8"/>
          <w:w w:val="105"/>
          <w:sz w:val="21"/>
        </w:rPr>
        <w:t> </w:t>
      </w:r>
      <w:r>
        <w:rPr>
          <w:spacing w:val="-3"/>
          <w:w w:val="105"/>
          <w:sz w:val="21"/>
        </w:rPr>
        <w:t>that</w:t>
      </w:r>
      <w:r>
        <w:rPr>
          <w:spacing w:val="-7"/>
          <w:w w:val="105"/>
          <w:sz w:val="21"/>
        </w:rPr>
        <w:t> </w:t>
      </w:r>
      <w:r>
        <w:rPr>
          <w:w w:val="105"/>
          <w:sz w:val="21"/>
        </w:rPr>
        <w:t>a</w:t>
      </w:r>
      <w:r>
        <w:rPr>
          <w:spacing w:val="-8"/>
          <w:w w:val="105"/>
          <w:sz w:val="21"/>
        </w:rPr>
        <w:t> </w:t>
      </w:r>
      <w:r>
        <w:rPr>
          <w:spacing w:val="-3"/>
          <w:w w:val="105"/>
          <w:sz w:val="21"/>
        </w:rPr>
        <w:t>dispute</w:t>
      </w:r>
      <w:r>
        <w:rPr>
          <w:spacing w:val="-7"/>
          <w:w w:val="105"/>
          <w:sz w:val="21"/>
        </w:rPr>
        <w:t> </w:t>
      </w:r>
      <w:r>
        <w:rPr>
          <w:w w:val="105"/>
          <w:sz w:val="21"/>
        </w:rPr>
        <w:t>about</w:t>
      </w:r>
      <w:r>
        <w:rPr>
          <w:spacing w:val="-8"/>
          <w:w w:val="105"/>
          <w:sz w:val="21"/>
        </w:rPr>
        <w:t> </w:t>
      </w:r>
      <w:r>
        <w:rPr>
          <w:w w:val="105"/>
          <w:sz w:val="21"/>
        </w:rPr>
        <w:t>their</w:t>
      </w:r>
      <w:r>
        <w:rPr>
          <w:spacing w:val="-7"/>
          <w:w w:val="105"/>
          <w:sz w:val="21"/>
        </w:rPr>
        <w:t> </w:t>
      </w:r>
      <w:r>
        <w:rPr>
          <w:w w:val="105"/>
          <w:sz w:val="21"/>
        </w:rPr>
        <w:t>conduct</w:t>
      </w:r>
      <w:r>
        <w:rPr>
          <w:spacing w:val="-7"/>
          <w:w w:val="105"/>
          <w:sz w:val="21"/>
        </w:rPr>
        <w:t> </w:t>
      </w:r>
      <w:r>
        <w:rPr>
          <w:w w:val="105"/>
          <w:sz w:val="21"/>
        </w:rPr>
        <w:t>as</w:t>
      </w:r>
      <w:r>
        <w:rPr>
          <w:spacing w:val="-8"/>
          <w:w w:val="105"/>
          <w:sz w:val="21"/>
        </w:rPr>
        <w:t> </w:t>
      </w:r>
      <w:r>
        <w:rPr>
          <w:w w:val="105"/>
          <w:sz w:val="21"/>
        </w:rPr>
        <w:t>executors </w:t>
      </w:r>
      <w:r>
        <w:rPr>
          <w:spacing w:val="-3"/>
          <w:w w:val="105"/>
          <w:sz w:val="21"/>
        </w:rPr>
        <w:t>may </w:t>
      </w:r>
      <w:r>
        <w:rPr>
          <w:spacing w:val="-2"/>
          <w:w w:val="105"/>
          <w:sz w:val="21"/>
        </w:rPr>
        <w:t>not </w:t>
      </w:r>
      <w:r>
        <w:rPr>
          <w:w w:val="105"/>
          <w:sz w:val="21"/>
        </w:rPr>
        <w:t>be able </w:t>
      </w:r>
      <w:r>
        <w:rPr>
          <w:spacing w:val="-3"/>
          <w:w w:val="105"/>
          <w:sz w:val="21"/>
        </w:rPr>
        <w:t>to </w:t>
      </w:r>
      <w:r>
        <w:rPr>
          <w:w w:val="105"/>
          <w:sz w:val="21"/>
        </w:rPr>
        <w:t>be </w:t>
      </w:r>
      <w:r>
        <w:rPr>
          <w:spacing w:val="-2"/>
          <w:w w:val="105"/>
          <w:sz w:val="21"/>
        </w:rPr>
        <w:t>raised </w:t>
      </w:r>
      <w:r>
        <w:rPr>
          <w:w w:val="105"/>
          <w:sz w:val="21"/>
        </w:rPr>
        <w:t>with the Legal Services</w:t>
      </w:r>
      <w:r>
        <w:rPr>
          <w:spacing w:val="44"/>
          <w:w w:val="105"/>
          <w:sz w:val="21"/>
        </w:rPr>
        <w:t> </w:t>
      </w:r>
      <w:r>
        <w:rPr>
          <w:spacing w:val="-4"/>
          <w:w w:val="105"/>
          <w:sz w:val="21"/>
        </w:rPr>
        <w:t>Commissioner.</w:t>
      </w:r>
    </w:p>
    <w:p>
      <w:pPr>
        <w:pStyle w:val="BodyText"/>
        <w:spacing w:before="9"/>
        <w:rPr>
          <w:sz w:val="19"/>
        </w:rPr>
      </w:pPr>
      <w:r>
        <w:rPr/>
        <w:pict>
          <v:line style="position:absolute;mso-position-horizontal-relative:page;mso-position-vertical-relative:paragraph;z-index:9944;mso-wrap-distance-left:0;mso-wrap-distance-right:0" from="79.370102pt,14.540415pt" to="515.905102pt,14.540415pt" stroked="true" strokeweight="1pt" strokecolor="#f9ceca">
            <v:stroke dashstyle="solid"/>
            <w10:wrap type="topAndBottom"/>
          </v:line>
        </w:pict>
      </w:r>
    </w:p>
    <w:p>
      <w:pPr>
        <w:pStyle w:val="BodyText"/>
        <w:spacing w:before="8"/>
        <w:rPr>
          <w:sz w:val="5"/>
        </w:rPr>
      </w:pPr>
    </w:p>
    <w:p>
      <w:pPr>
        <w:spacing w:after="0"/>
        <w:rPr>
          <w:sz w:val="5"/>
        </w:rPr>
        <w:sectPr>
          <w:pgSz w:w="11910" w:h="16840"/>
          <w:pgMar w:header="805" w:footer="0" w:top="1360" w:bottom="280" w:left="0" w:right="0"/>
        </w:sectPr>
      </w:pPr>
    </w:p>
    <w:p>
      <w:pPr>
        <w:pStyle w:val="ListParagraph"/>
        <w:numPr>
          <w:ilvl w:val="1"/>
          <w:numId w:val="125"/>
        </w:numPr>
        <w:tabs>
          <w:tab w:pos="2381" w:val="left" w:leader="none"/>
          <w:tab w:pos="2382" w:val="left" w:leader="none"/>
        </w:tabs>
        <w:spacing w:line="240" w:lineRule="auto" w:before="48" w:after="0"/>
        <w:ind w:left="2381" w:right="0" w:hanging="794"/>
        <w:jc w:val="left"/>
        <w:rPr>
          <w:sz w:val="13"/>
        </w:rPr>
      </w:pPr>
      <w:r>
        <w:rPr>
          <w:w w:val="105"/>
          <w:sz w:val="13"/>
        </w:rPr>
        <w:t>Submission 1 </w:t>
      </w:r>
      <w:r>
        <w:rPr>
          <w:spacing w:val="2"/>
          <w:w w:val="105"/>
          <w:sz w:val="13"/>
        </w:rPr>
        <w:t>(Legal </w:t>
      </w:r>
      <w:r>
        <w:rPr>
          <w:w w:val="105"/>
          <w:sz w:val="13"/>
        </w:rPr>
        <w:t>Services</w:t>
      </w:r>
      <w:r>
        <w:rPr>
          <w:spacing w:val="23"/>
          <w:w w:val="105"/>
          <w:sz w:val="13"/>
        </w:rPr>
        <w:t> </w:t>
      </w:r>
      <w:r>
        <w:rPr>
          <w:w w:val="105"/>
          <w:sz w:val="13"/>
        </w:rPr>
        <w:t>Commissioner).</w:t>
      </w:r>
    </w:p>
    <w:p>
      <w:pPr>
        <w:pStyle w:val="ListParagraph"/>
        <w:numPr>
          <w:ilvl w:val="1"/>
          <w:numId w:val="125"/>
        </w:numPr>
        <w:tabs>
          <w:tab w:pos="2381" w:val="left" w:leader="none"/>
          <w:tab w:pos="2382" w:val="left" w:leader="none"/>
        </w:tabs>
        <w:spacing w:line="240" w:lineRule="auto" w:before="1" w:after="0"/>
        <w:ind w:left="2381" w:right="0" w:hanging="794"/>
        <w:jc w:val="left"/>
        <w:rPr>
          <w:sz w:val="13"/>
        </w:rPr>
      </w:pPr>
      <w:r>
        <w:rPr>
          <w:w w:val="105"/>
          <w:sz w:val="13"/>
        </w:rPr>
        <w:t>Legal Services Commissioner, above n 99,</w:t>
      </w:r>
      <w:r>
        <w:rPr>
          <w:spacing w:val="14"/>
          <w:w w:val="105"/>
          <w:sz w:val="13"/>
        </w:rPr>
        <w:t> </w:t>
      </w:r>
      <w:r>
        <w:rPr>
          <w:w w:val="105"/>
          <w:sz w:val="13"/>
        </w:rPr>
        <w:t>15.</w:t>
      </w:r>
    </w:p>
    <w:p>
      <w:pPr>
        <w:pStyle w:val="ListParagraph"/>
        <w:numPr>
          <w:ilvl w:val="1"/>
          <w:numId w:val="125"/>
        </w:numPr>
        <w:tabs>
          <w:tab w:pos="2381" w:val="left" w:leader="none"/>
          <w:tab w:pos="2382" w:val="left" w:leader="none"/>
        </w:tabs>
        <w:spacing w:line="240" w:lineRule="auto" w:before="2" w:after="0"/>
        <w:ind w:left="2381" w:right="0" w:hanging="794"/>
        <w:jc w:val="left"/>
        <w:rPr>
          <w:sz w:val="13"/>
        </w:rPr>
      </w:pPr>
      <w:r>
        <w:rPr>
          <w:w w:val="105"/>
          <w:sz w:val="13"/>
        </w:rPr>
        <w:t>See discussion above at</w:t>
      </w:r>
      <w:r>
        <w:rPr>
          <w:spacing w:val="21"/>
          <w:w w:val="105"/>
          <w:sz w:val="13"/>
        </w:rPr>
        <w:t> </w:t>
      </w:r>
      <w:r>
        <w:rPr>
          <w:w w:val="105"/>
          <w:sz w:val="13"/>
        </w:rPr>
        <w:t>[7.87]–[7.94].</w:t>
      </w:r>
    </w:p>
    <w:p>
      <w:pPr>
        <w:pStyle w:val="ListParagraph"/>
        <w:numPr>
          <w:ilvl w:val="1"/>
          <w:numId w:val="125"/>
        </w:numPr>
        <w:tabs>
          <w:tab w:pos="2381" w:val="left" w:leader="none"/>
          <w:tab w:pos="2382" w:val="left" w:leader="none"/>
        </w:tabs>
        <w:spacing w:line="240" w:lineRule="auto" w:before="1" w:after="0"/>
        <w:ind w:left="2381" w:right="0" w:hanging="794"/>
        <w:jc w:val="left"/>
        <w:rPr>
          <w:sz w:val="13"/>
        </w:rPr>
      </w:pPr>
      <w:r>
        <w:rPr>
          <w:w w:val="105"/>
          <w:sz w:val="13"/>
        </w:rPr>
        <w:t>Submission 3 (Diarmuid</w:t>
      </w:r>
      <w:r>
        <w:rPr>
          <w:spacing w:val="18"/>
          <w:w w:val="105"/>
          <w:sz w:val="13"/>
        </w:rPr>
        <w:t> </w:t>
      </w:r>
      <w:r>
        <w:rPr>
          <w:w w:val="105"/>
          <w:sz w:val="13"/>
        </w:rPr>
        <w:t>Hannigan).</w:t>
      </w:r>
    </w:p>
    <w:p>
      <w:pPr>
        <w:pStyle w:val="BodyText"/>
        <w:spacing w:before="8"/>
        <w:rPr>
          <w:sz w:val="34"/>
        </w:rPr>
      </w:pPr>
      <w:r>
        <w:rPr/>
        <w:br w:type="column"/>
      </w:r>
      <w:r>
        <w:rPr>
          <w:sz w:val="34"/>
        </w:rPr>
      </w:r>
    </w:p>
    <w:p>
      <w:pPr>
        <w:spacing w:before="0"/>
        <w:ind w:left="1587" w:right="0" w:firstLine="0"/>
        <w:jc w:val="left"/>
        <w:rPr>
          <w:b/>
          <w:sz w:val="24"/>
        </w:rPr>
      </w:pPr>
      <w:r>
        <w:rPr>
          <w:b/>
          <w:color w:val="EC5A4F"/>
          <w:w w:val="110"/>
          <w:sz w:val="24"/>
        </w:rPr>
        <w:t>167</w:t>
      </w:r>
    </w:p>
    <w:p>
      <w:pPr>
        <w:spacing w:after="0"/>
        <w:jc w:val="left"/>
        <w:rPr>
          <w:sz w:val="24"/>
        </w:rPr>
        <w:sectPr>
          <w:type w:val="continuous"/>
          <w:pgSz w:w="11910" w:h="16840"/>
          <w:pgMar w:top="920" w:bottom="280" w:left="0" w:right="0"/>
          <w:cols w:num="2" w:equalWidth="0">
            <w:col w:w="4995" w:space="4335"/>
            <w:col w:w="2580"/>
          </w:cols>
        </w:sectPr>
      </w:pPr>
    </w:p>
    <w:p>
      <w:pPr>
        <w:pStyle w:val="BodyText"/>
        <w:spacing w:before="9"/>
        <w:rPr>
          <w:b/>
          <w:sz w:val="22"/>
        </w:rPr>
      </w:pPr>
    </w:p>
    <w:p>
      <w:pPr>
        <w:pStyle w:val="ListParagraph"/>
        <w:numPr>
          <w:ilvl w:val="1"/>
          <w:numId w:val="22"/>
        </w:numPr>
        <w:tabs>
          <w:tab w:pos="2380" w:val="left" w:leader="none"/>
          <w:tab w:pos="2381" w:val="left" w:leader="none"/>
        </w:tabs>
        <w:spacing w:line="242" w:lineRule="auto" w:before="92" w:after="0"/>
        <w:ind w:left="2381" w:right="1826" w:hanging="794"/>
        <w:jc w:val="left"/>
        <w:rPr>
          <w:sz w:val="21"/>
        </w:rPr>
      </w:pPr>
      <w:r>
        <w:rPr>
          <w:sz w:val="21"/>
        </w:rPr>
        <w:t>The </w:t>
      </w:r>
      <w:r>
        <w:rPr>
          <w:spacing w:val="-3"/>
          <w:sz w:val="21"/>
        </w:rPr>
        <w:t>Commission notes that </w:t>
      </w:r>
      <w:r>
        <w:rPr>
          <w:sz w:val="21"/>
        </w:rPr>
        <w:t>beneficiaries can apply </w:t>
      </w:r>
      <w:r>
        <w:rPr>
          <w:spacing w:val="-3"/>
          <w:sz w:val="21"/>
        </w:rPr>
        <w:t>to </w:t>
      </w:r>
      <w:r>
        <w:rPr>
          <w:sz w:val="21"/>
        </w:rPr>
        <w:t>the </w:t>
      </w:r>
      <w:r>
        <w:rPr>
          <w:spacing w:val="-3"/>
          <w:sz w:val="21"/>
        </w:rPr>
        <w:t>Supreme Court to have </w:t>
      </w:r>
      <w:r>
        <w:rPr>
          <w:sz w:val="21"/>
        </w:rPr>
        <w:t>an </w:t>
      </w:r>
      <w:r>
        <w:rPr>
          <w:spacing w:val="-3"/>
          <w:sz w:val="21"/>
        </w:rPr>
        <w:t>executor </w:t>
      </w:r>
      <w:r>
        <w:rPr>
          <w:sz w:val="21"/>
        </w:rPr>
        <w:t>removed if they </w:t>
      </w:r>
      <w:r>
        <w:rPr>
          <w:spacing w:val="-3"/>
          <w:sz w:val="21"/>
        </w:rPr>
        <w:t>refuse to </w:t>
      </w:r>
      <w:r>
        <w:rPr>
          <w:sz w:val="21"/>
        </w:rPr>
        <w:t>act, </w:t>
      </w:r>
      <w:r>
        <w:rPr>
          <w:spacing w:val="-3"/>
          <w:sz w:val="21"/>
        </w:rPr>
        <w:t>are </w:t>
      </w:r>
      <w:r>
        <w:rPr>
          <w:sz w:val="21"/>
        </w:rPr>
        <w:t>unfit </w:t>
      </w:r>
      <w:r>
        <w:rPr>
          <w:spacing w:val="-3"/>
          <w:sz w:val="21"/>
        </w:rPr>
        <w:t>to </w:t>
      </w:r>
      <w:r>
        <w:rPr>
          <w:sz w:val="21"/>
        </w:rPr>
        <w:t>act, or </w:t>
      </w:r>
      <w:r>
        <w:rPr>
          <w:spacing w:val="-3"/>
          <w:sz w:val="21"/>
        </w:rPr>
        <w:t>are </w:t>
      </w:r>
      <w:r>
        <w:rPr>
          <w:sz w:val="21"/>
        </w:rPr>
        <w:t>incapable of acting in the </w:t>
      </w:r>
      <w:r>
        <w:rPr>
          <w:spacing w:val="-6"/>
          <w:sz w:val="21"/>
        </w:rPr>
        <w:t>role.</w:t>
      </w:r>
      <w:r>
        <w:rPr>
          <w:spacing w:val="-6"/>
          <w:position w:val="7"/>
          <w:sz w:val="12"/>
        </w:rPr>
        <w:t>181 </w:t>
      </w:r>
      <w:r>
        <w:rPr>
          <w:sz w:val="21"/>
        </w:rPr>
        <w:t>A legal practitioner </w:t>
      </w:r>
      <w:r>
        <w:rPr>
          <w:spacing w:val="-3"/>
          <w:sz w:val="21"/>
        </w:rPr>
        <w:t>executor </w:t>
      </w:r>
      <w:r>
        <w:rPr>
          <w:sz w:val="21"/>
        </w:rPr>
        <w:t>whose conduct would cause </w:t>
      </w:r>
      <w:r>
        <w:rPr>
          <w:spacing w:val="-3"/>
          <w:sz w:val="21"/>
        </w:rPr>
        <w:t>removal</w:t>
      </w:r>
      <w:r>
        <w:rPr>
          <w:spacing w:val="41"/>
          <w:sz w:val="21"/>
        </w:rPr>
        <w:t> </w:t>
      </w:r>
      <w:r>
        <w:rPr>
          <w:sz w:val="21"/>
        </w:rPr>
        <w:t>by the </w:t>
      </w:r>
      <w:r>
        <w:rPr>
          <w:spacing w:val="-3"/>
          <w:sz w:val="21"/>
        </w:rPr>
        <w:t>Court  may</w:t>
      </w:r>
      <w:r>
        <w:rPr>
          <w:spacing w:val="12"/>
          <w:sz w:val="21"/>
        </w:rPr>
        <w:t> </w:t>
      </w:r>
      <w:r>
        <w:rPr>
          <w:spacing w:val="-3"/>
          <w:sz w:val="21"/>
        </w:rPr>
        <w:t>have</w:t>
      </w:r>
      <w:r>
        <w:rPr>
          <w:spacing w:val="12"/>
          <w:sz w:val="21"/>
        </w:rPr>
        <w:t> </w:t>
      </w:r>
      <w:r>
        <w:rPr>
          <w:spacing w:val="-3"/>
          <w:sz w:val="21"/>
        </w:rPr>
        <w:t>contravened</w:t>
      </w:r>
      <w:r>
        <w:rPr>
          <w:spacing w:val="12"/>
          <w:sz w:val="21"/>
        </w:rPr>
        <w:t> </w:t>
      </w:r>
      <w:r>
        <w:rPr>
          <w:sz w:val="21"/>
        </w:rPr>
        <w:t>the</w:t>
      </w:r>
      <w:r>
        <w:rPr>
          <w:spacing w:val="12"/>
          <w:sz w:val="21"/>
        </w:rPr>
        <w:t> </w:t>
      </w:r>
      <w:r>
        <w:rPr>
          <w:spacing w:val="-3"/>
          <w:sz w:val="21"/>
        </w:rPr>
        <w:t>Professional</w:t>
      </w:r>
      <w:r>
        <w:rPr>
          <w:spacing w:val="12"/>
          <w:sz w:val="21"/>
        </w:rPr>
        <w:t> </w:t>
      </w:r>
      <w:r>
        <w:rPr>
          <w:spacing w:val="-3"/>
          <w:sz w:val="21"/>
        </w:rPr>
        <w:t>Conduct</w:t>
      </w:r>
      <w:r>
        <w:rPr>
          <w:spacing w:val="12"/>
          <w:sz w:val="21"/>
        </w:rPr>
        <w:t> </w:t>
      </w:r>
      <w:r>
        <w:rPr>
          <w:sz w:val="21"/>
        </w:rPr>
        <w:t>and</w:t>
      </w:r>
      <w:r>
        <w:rPr>
          <w:spacing w:val="12"/>
          <w:sz w:val="21"/>
        </w:rPr>
        <w:t> </w:t>
      </w:r>
      <w:r>
        <w:rPr>
          <w:sz w:val="21"/>
        </w:rPr>
        <w:t>Practice</w:t>
      </w:r>
      <w:r>
        <w:rPr>
          <w:spacing w:val="13"/>
          <w:sz w:val="21"/>
        </w:rPr>
        <w:t> </w:t>
      </w:r>
      <w:r>
        <w:rPr>
          <w:spacing w:val="-3"/>
          <w:sz w:val="21"/>
        </w:rPr>
        <w:t>Rules.</w:t>
      </w:r>
    </w:p>
    <w:p>
      <w:pPr>
        <w:pStyle w:val="ListParagraph"/>
        <w:numPr>
          <w:ilvl w:val="1"/>
          <w:numId w:val="22"/>
        </w:numPr>
        <w:tabs>
          <w:tab w:pos="2380" w:val="left" w:leader="none"/>
          <w:tab w:pos="2382" w:val="left" w:leader="none"/>
        </w:tabs>
        <w:spacing w:line="242" w:lineRule="auto" w:before="124" w:after="0"/>
        <w:ind w:left="2381" w:right="1604" w:hanging="794"/>
        <w:jc w:val="left"/>
        <w:rPr>
          <w:sz w:val="21"/>
        </w:rPr>
      </w:pPr>
      <w:r>
        <w:rPr>
          <w:w w:val="105"/>
          <w:sz w:val="21"/>
        </w:rPr>
        <w:t>It was observed at the Legal Services </w:t>
      </w:r>
      <w:r>
        <w:rPr>
          <w:spacing w:val="-3"/>
          <w:w w:val="105"/>
          <w:sz w:val="21"/>
        </w:rPr>
        <w:t>Commissioner’s </w:t>
      </w:r>
      <w:r>
        <w:rPr>
          <w:w w:val="105"/>
          <w:sz w:val="21"/>
        </w:rPr>
        <w:t>roundtable in </w:t>
      </w:r>
      <w:r>
        <w:rPr>
          <w:spacing w:val="-7"/>
          <w:w w:val="105"/>
          <w:sz w:val="21"/>
        </w:rPr>
        <w:t>2010 </w:t>
      </w:r>
      <w:r>
        <w:rPr>
          <w:spacing w:val="-3"/>
          <w:w w:val="105"/>
          <w:sz w:val="21"/>
        </w:rPr>
        <w:t>that </w:t>
      </w:r>
      <w:r>
        <w:rPr>
          <w:w w:val="105"/>
          <w:sz w:val="21"/>
        </w:rPr>
        <w:t>the </w:t>
      </w:r>
      <w:r>
        <w:rPr>
          <w:spacing w:val="-3"/>
          <w:w w:val="105"/>
          <w:sz w:val="21"/>
        </w:rPr>
        <w:t>emotional </w:t>
      </w:r>
      <w:r>
        <w:rPr>
          <w:w w:val="105"/>
          <w:sz w:val="21"/>
        </w:rPr>
        <w:t>distress experienced by </w:t>
      </w:r>
      <w:r>
        <w:rPr>
          <w:spacing w:val="-3"/>
          <w:w w:val="105"/>
          <w:sz w:val="21"/>
        </w:rPr>
        <w:t>bereaved relatives </w:t>
      </w:r>
      <w:r>
        <w:rPr>
          <w:w w:val="105"/>
          <w:sz w:val="21"/>
        </w:rPr>
        <w:t>can lead </w:t>
      </w:r>
      <w:r>
        <w:rPr>
          <w:spacing w:val="-3"/>
          <w:w w:val="105"/>
          <w:sz w:val="21"/>
        </w:rPr>
        <w:t>to </w:t>
      </w:r>
      <w:r>
        <w:rPr>
          <w:w w:val="105"/>
          <w:sz w:val="21"/>
        </w:rPr>
        <w:t>and inflame conflicts with the legal practitioner acting </w:t>
      </w:r>
      <w:r>
        <w:rPr>
          <w:spacing w:val="-3"/>
          <w:w w:val="105"/>
          <w:sz w:val="21"/>
        </w:rPr>
        <w:t>for </w:t>
      </w:r>
      <w:r>
        <w:rPr>
          <w:w w:val="105"/>
          <w:sz w:val="21"/>
        </w:rPr>
        <w:t>the </w:t>
      </w:r>
      <w:r>
        <w:rPr>
          <w:spacing w:val="-4"/>
          <w:w w:val="105"/>
          <w:sz w:val="21"/>
        </w:rPr>
        <w:t>estate.</w:t>
      </w:r>
      <w:r>
        <w:rPr>
          <w:spacing w:val="-4"/>
          <w:w w:val="105"/>
          <w:position w:val="7"/>
          <w:sz w:val="12"/>
        </w:rPr>
        <w:t>182 </w:t>
      </w:r>
      <w:r>
        <w:rPr>
          <w:w w:val="105"/>
          <w:sz w:val="21"/>
        </w:rPr>
        <w:t>This is reason </w:t>
      </w:r>
      <w:r>
        <w:rPr>
          <w:spacing w:val="-3"/>
          <w:w w:val="105"/>
          <w:sz w:val="21"/>
        </w:rPr>
        <w:t>to </w:t>
      </w:r>
      <w:r>
        <w:rPr>
          <w:w w:val="105"/>
          <w:sz w:val="21"/>
        </w:rPr>
        <w:t>provide an </w:t>
      </w:r>
      <w:r>
        <w:rPr>
          <w:spacing w:val="-3"/>
          <w:w w:val="105"/>
          <w:sz w:val="21"/>
        </w:rPr>
        <w:t>avenue for genuine disputes to </w:t>
      </w:r>
      <w:r>
        <w:rPr>
          <w:w w:val="105"/>
          <w:sz w:val="21"/>
        </w:rPr>
        <w:t>be mediated </w:t>
      </w:r>
      <w:r>
        <w:rPr>
          <w:spacing w:val="-3"/>
          <w:w w:val="105"/>
          <w:sz w:val="21"/>
        </w:rPr>
        <w:t>before positions </w:t>
      </w:r>
      <w:r>
        <w:rPr>
          <w:w w:val="105"/>
          <w:sz w:val="21"/>
        </w:rPr>
        <w:t>become </w:t>
      </w:r>
      <w:r>
        <w:rPr>
          <w:spacing w:val="-3"/>
          <w:w w:val="105"/>
          <w:sz w:val="21"/>
        </w:rPr>
        <w:t>entrenched </w:t>
      </w:r>
      <w:r>
        <w:rPr>
          <w:w w:val="105"/>
          <w:sz w:val="21"/>
        </w:rPr>
        <w:t>and legal action is </w:t>
      </w:r>
      <w:r>
        <w:rPr>
          <w:spacing w:val="-3"/>
          <w:w w:val="105"/>
          <w:sz w:val="21"/>
        </w:rPr>
        <w:t>initiated.</w:t>
      </w:r>
      <w:r>
        <w:rPr>
          <w:spacing w:val="-8"/>
          <w:w w:val="105"/>
          <w:sz w:val="21"/>
        </w:rPr>
        <w:t> </w:t>
      </w:r>
      <w:r>
        <w:rPr>
          <w:w w:val="105"/>
          <w:sz w:val="21"/>
        </w:rPr>
        <w:t>As</w:t>
      </w:r>
      <w:r>
        <w:rPr>
          <w:spacing w:val="-7"/>
          <w:w w:val="105"/>
          <w:sz w:val="21"/>
        </w:rPr>
        <w:t> </w:t>
      </w:r>
      <w:r>
        <w:rPr>
          <w:w w:val="105"/>
          <w:sz w:val="21"/>
        </w:rPr>
        <w:t>the</w:t>
      </w:r>
      <w:r>
        <w:rPr>
          <w:spacing w:val="-7"/>
          <w:w w:val="105"/>
          <w:sz w:val="21"/>
        </w:rPr>
        <w:t> </w:t>
      </w:r>
      <w:r>
        <w:rPr>
          <w:w w:val="105"/>
          <w:sz w:val="21"/>
        </w:rPr>
        <w:t>Legal</w:t>
      </w:r>
      <w:r>
        <w:rPr>
          <w:spacing w:val="-7"/>
          <w:w w:val="105"/>
          <w:sz w:val="21"/>
        </w:rPr>
        <w:t> </w:t>
      </w:r>
      <w:r>
        <w:rPr>
          <w:w w:val="105"/>
          <w:sz w:val="21"/>
        </w:rPr>
        <w:t>Services</w:t>
      </w:r>
      <w:r>
        <w:rPr>
          <w:spacing w:val="-7"/>
          <w:w w:val="105"/>
          <w:sz w:val="21"/>
        </w:rPr>
        <w:t> </w:t>
      </w:r>
      <w:r>
        <w:rPr>
          <w:spacing w:val="-3"/>
          <w:w w:val="105"/>
          <w:sz w:val="21"/>
        </w:rPr>
        <w:t>Commissioner</w:t>
      </w:r>
      <w:r>
        <w:rPr>
          <w:spacing w:val="-7"/>
          <w:w w:val="105"/>
          <w:sz w:val="21"/>
        </w:rPr>
        <w:t> </w:t>
      </w:r>
      <w:r>
        <w:rPr>
          <w:spacing w:val="-3"/>
          <w:w w:val="105"/>
          <w:sz w:val="21"/>
        </w:rPr>
        <w:t>already</w:t>
      </w:r>
      <w:r>
        <w:rPr>
          <w:spacing w:val="-7"/>
          <w:w w:val="105"/>
          <w:sz w:val="21"/>
        </w:rPr>
        <w:t> </w:t>
      </w:r>
      <w:r>
        <w:rPr>
          <w:w w:val="105"/>
          <w:sz w:val="21"/>
        </w:rPr>
        <w:t>attempts</w:t>
      </w:r>
      <w:r>
        <w:rPr>
          <w:spacing w:val="-7"/>
          <w:w w:val="105"/>
          <w:sz w:val="21"/>
        </w:rPr>
        <w:t> </w:t>
      </w:r>
      <w:r>
        <w:rPr>
          <w:spacing w:val="-3"/>
          <w:w w:val="105"/>
          <w:sz w:val="21"/>
        </w:rPr>
        <w:t>to</w:t>
      </w:r>
      <w:r>
        <w:rPr>
          <w:spacing w:val="-7"/>
          <w:w w:val="105"/>
          <w:sz w:val="21"/>
        </w:rPr>
        <w:t> </w:t>
      </w:r>
      <w:r>
        <w:rPr>
          <w:w w:val="105"/>
          <w:sz w:val="21"/>
        </w:rPr>
        <w:t>do</w:t>
      </w:r>
      <w:r>
        <w:rPr>
          <w:spacing w:val="-7"/>
          <w:w w:val="105"/>
          <w:sz w:val="21"/>
        </w:rPr>
        <w:t> </w:t>
      </w:r>
      <w:r>
        <w:rPr>
          <w:w w:val="105"/>
          <w:sz w:val="21"/>
        </w:rPr>
        <w:t>this,</w:t>
      </w:r>
      <w:r>
        <w:rPr>
          <w:spacing w:val="-7"/>
          <w:w w:val="105"/>
          <w:sz w:val="21"/>
        </w:rPr>
        <w:t> </w:t>
      </w:r>
      <w:r>
        <w:rPr>
          <w:w w:val="105"/>
          <w:sz w:val="21"/>
        </w:rPr>
        <w:t>the</w:t>
      </w:r>
      <w:r>
        <w:rPr>
          <w:spacing w:val="-7"/>
          <w:w w:val="105"/>
          <w:sz w:val="21"/>
        </w:rPr>
        <w:t> </w:t>
      </w:r>
      <w:r>
        <w:rPr>
          <w:w w:val="105"/>
          <w:sz w:val="21"/>
        </w:rPr>
        <w:t>extension</w:t>
      </w:r>
      <w:r>
        <w:rPr>
          <w:spacing w:val="-8"/>
          <w:w w:val="105"/>
          <w:sz w:val="21"/>
        </w:rPr>
        <w:t> </w:t>
      </w:r>
      <w:r>
        <w:rPr>
          <w:w w:val="105"/>
          <w:sz w:val="21"/>
        </w:rPr>
        <w:t>of jurisdiction would </w:t>
      </w:r>
      <w:r>
        <w:rPr>
          <w:spacing w:val="-3"/>
          <w:w w:val="105"/>
          <w:sz w:val="21"/>
        </w:rPr>
        <w:t>underpin </w:t>
      </w:r>
      <w:r>
        <w:rPr>
          <w:w w:val="105"/>
          <w:sz w:val="21"/>
        </w:rPr>
        <w:t>existing practice </w:t>
      </w:r>
      <w:r>
        <w:rPr>
          <w:spacing w:val="-3"/>
          <w:w w:val="105"/>
          <w:sz w:val="21"/>
        </w:rPr>
        <w:t>to </w:t>
      </w:r>
      <w:r>
        <w:rPr>
          <w:w w:val="105"/>
          <w:sz w:val="21"/>
        </w:rPr>
        <w:t>some</w:t>
      </w:r>
      <w:r>
        <w:rPr>
          <w:spacing w:val="24"/>
          <w:w w:val="105"/>
          <w:sz w:val="21"/>
        </w:rPr>
        <w:t> </w:t>
      </w:r>
      <w:r>
        <w:rPr>
          <w:w w:val="105"/>
          <w:sz w:val="21"/>
        </w:rPr>
        <w:t>extent.</w:t>
      </w:r>
    </w:p>
    <w:p>
      <w:pPr>
        <w:pStyle w:val="ListParagraph"/>
        <w:numPr>
          <w:ilvl w:val="1"/>
          <w:numId w:val="22"/>
        </w:numPr>
        <w:tabs>
          <w:tab w:pos="2380" w:val="left" w:leader="none"/>
          <w:tab w:pos="2381" w:val="left" w:leader="none"/>
        </w:tabs>
        <w:spacing w:line="242" w:lineRule="auto" w:before="127" w:after="0"/>
        <w:ind w:left="2381" w:right="1585" w:hanging="794"/>
        <w:jc w:val="left"/>
        <w:rPr>
          <w:sz w:val="21"/>
        </w:rPr>
      </w:pPr>
      <w:r>
        <w:rPr>
          <w:sz w:val="21"/>
        </w:rPr>
        <w:t>The </w:t>
      </w:r>
      <w:r>
        <w:rPr>
          <w:spacing w:val="-3"/>
          <w:sz w:val="21"/>
        </w:rPr>
        <w:t>Commission </w:t>
      </w:r>
      <w:r>
        <w:rPr>
          <w:sz w:val="21"/>
        </w:rPr>
        <w:t>considers </w:t>
      </w:r>
      <w:r>
        <w:rPr>
          <w:spacing w:val="-3"/>
          <w:sz w:val="21"/>
        </w:rPr>
        <w:t>that </w:t>
      </w:r>
      <w:r>
        <w:rPr>
          <w:sz w:val="21"/>
        </w:rPr>
        <w:t>beneficiaries should be  able  </w:t>
      </w:r>
      <w:r>
        <w:rPr>
          <w:spacing w:val="-3"/>
          <w:sz w:val="21"/>
        </w:rPr>
        <w:t>to  </w:t>
      </w:r>
      <w:r>
        <w:rPr>
          <w:spacing w:val="-4"/>
          <w:sz w:val="21"/>
        </w:rPr>
        <w:t>make  </w:t>
      </w:r>
      <w:r>
        <w:rPr>
          <w:sz w:val="21"/>
        </w:rPr>
        <w:t>a  civil  </w:t>
      </w:r>
      <w:r>
        <w:rPr>
          <w:spacing w:val="-3"/>
          <w:sz w:val="21"/>
        </w:rPr>
        <w:t>complaint </w:t>
      </w:r>
      <w:r>
        <w:rPr>
          <w:sz w:val="21"/>
        </w:rPr>
        <w:t>about a civil </w:t>
      </w:r>
      <w:r>
        <w:rPr>
          <w:spacing w:val="-3"/>
          <w:sz w:val="21"/>
        </w:rPr>
        <w:t>dispute concerning </w:t>
      </w:r>
      <w:r>
        <w:rPr>
          <w:sz w:val="21"/>
        </w:rPr>
        <w:t>the </w:t>
      </w:r>
      <w:r>
        <w:rPr>
          <w:spacing w:val="-3"/>
          <w:sz w:val="21"/>
        </w:rPr>
        <w:t>provision </w:t>
      </w:r>
      <w:r>
        <w:rPr>
          <w:sz w:val="21"/>
        </w:rPr>
        <w:t>of </w:t>
      </w:r>
      <w:r>
        <w:rPr>
          <w:spacing w:val="-3"/>
          <w:sz w:val="21"/>
        </w:rPr>
        <w:t>executorial </w:t>
      </w:r>
      <w:r>
        <w:rPr>
          <w:sz w:val="21"/>
        </w:rPr>
        <w:t>services by a legal </w:t>
      </w:r>
      <w:r>
        <w:rPr>
          <w:spacing w:val="-3"/>
          <w:sz w:val="21"/>
        </w:rPr>
        <w:t>practitioner. </w:t>
      </w:r>
      <w:r>
        <w:rPr>
          <w:sz w:val="21"/>
        </w:rPr>
        <w:t>The types of </w:t>
      </w:r>
      <w:r>
        <w:rPr>
          <w:spacing w:val="-3"/>
          <w:sz w:val="21"/>
        </w:rPr>
        <w:t>disputes, akin to </w:t>
      </w:r>
      <w:r>
        <w:rPr>
          <w:sz w:val="21"/>
        </w:rPr>
        <w:t>those </w:t>
      </w:r>
      <w:r>
        <w:rPr>
          <w:spacing w:val="-3"/>
          <w:sz w:val="21"/>
        </w:rPr>
        <w:t>currently  </w:t>
      </w:r>
      <w:r>
        <w:rPr>
          <w:sz w:val="21"/>
        </w:rPr>
        <w:t>defined  at  sections  4.4.2(2)(b)  and 4.4.2(2)(c), would</w:t>
      </w:r>
      <w:r>
        <w:rPr>
          <w:spacing w:val="17"/>
          <w:sz w:val="21"/>
        </w:rPr>
        <w:t> </w:t>
      </w:r>
      <w:r>
        <w:rPr>
          <w:sz w:val="21"/>
        </w:rPr>
        <w:t>include:</w:t>
      </w:r>
    </w:p>
    <w:p>
      <w:pPr>
        <w:pStyle w:val="ListParagraph"/>
        <w:numPr>
          <w:ilvl w:val="2"/>
          <w:numId w:val="22"/>
        </w:numPr>
        <w:tabs>
          <w:tab w:pos="2721" w:val="left" w:leader="none"/>
          <w:tab w:pos="2722" w:val="left" w:leader="none"/>
        </w:tabs>
        <w:spacing w:line="242" w:lineRule="auto" w:before="124" w:after="0"/>
        <w:ind w:left="2721" w:right="1584" w:hanging="341"/>
        <w:jc w:val="left"/>
        <w:rPr>
          <w:sz w:val="21"/>
        </w:rPr>
      </w:pPr>
      <w:r>
        <w:rPr>
          <w:sz w:val="21"/>
        </w:rPr>
        <w:t>a </w:t>
      </w:r>
      <w:r>
        <w:rPr>
          <w:spacing w:val="-3"/>
          <w:sz w:val="21"/>
        </w:rPr>
        <w:t>claim that </w:t>
      </w:r>
      <w:r>
        <w:rPr>
          <w:sz w:val="21"/>
        </w:rPr>
        <w:t>the beneficiary </w:t>
      </w:r>
      <w:r>
        <w:rPr>
          <w:spacing w:val="-2"/>
          <w:sz w:val="21"/>
        </w:rPr>
        <w:t>has  </w:t>
      </w:r>
      <w:r>
        <w:rPr>
          <w:sz w:val="21"/>
        </w:rPr>
        <w:t>suffered pecuniary losses as a </w:t>
      </w:r>
      <w:r>
        <w:rPr>
          <w:spacing w:val="-3"/>
          <w:sz w:val="21"/>
        </w:rPr>
        <w:t>result  </w:t>
      </w:r>
      <w:r>
        <w:rPr>
          <w:sz w:val="21"/>
        </w:rPr>
        <w:t>of an act or omission by a legal practitioner in the </w:t>
      </w:r>
      <w:r>
        <w:rPr>
          <w:spacing w:val="-3"/>
          <w:sz w:val="21"/>
        </w:rPr>
        <w:t>provision </w:t>
      </w:r>
      <w:r>
        <w:rPr>
          <w:sz w:val="21"/>
        </w:rPr>
        <w:t>of services </w:t>
      </w:r>
      <w:r>
        <w:rPr>
          <w:spacing w:val="-3"/>
          <w:sz w:val="21"/>
        </w:rPr>
        <w:t>to </w:t>
      </w:r>
      <w:r>
        <w:rPr>
          <w:sz w:val="21"/>
        </w:rPr>
        <w:t>the estate in the position  of</w:t>
      </w:r>
      <w:r>
        <w:rPr>
          <w:spacing w:val="8"/>
          <w:sz w:val="21"/>
        </w:rPr>
        <w:t> </w:t>
      </w:r>
      <w:r>
        <w:rPr>
          <w:sz w:val="21"/>
        </w:rPr>
        <w:t>executor</w:t>
      </w:r>
    </w:p>
    <w:p>
      <w:pPr>
        <w:pStyle w:val="ListParagraph"/>
        <w:numPr>
          <w:ilvl w:val="2"/>
          <w:numId w:val="22"/>
        </w:numPr>
        <w:tabs>
          <w:tab w:pos="2721" w:val="left" w:leader="none"/>
          <w:tab w:pos="2722" w:val="left" w:leader="none"/>
        </w:tabs>
        <w:spacing w:line="242" w:lineRule="auto" w:before="123" w:after="0"/>
        <w:ind w:left="2721" w:right="1799" w:hanging="341"/>
        <w:jc w:val="left"/>
        <w:rPr>
          <w:sz w:val="21"/>
        </w:rPr>
      </w:pPr>
      <w:r>
        <w:rPr>
          <w:spacing w:val="-3"/>
          <w:sz w:val="21"/>
        </w:rPr>
        <w:t>any </w:t>
      </w:r>
      <w:r>
        <w:rPr>
          <w:sz w:val="21"/>
        </w:rPr>
        <w:t>other </w:t>
      </w:r>
      <w:r>
        <w:rPr>
          <w:spacing w:val="-3"/>
          <w:sz w:val="21"/>
        </w:rPr>
        <w:t>genuine dispute </w:t>
      </w:r>
      <w:r>
        <w:rPr>
          <w:sz w:val="21"/>
        </w:rPr>
        <w:t>between a beneficiary and a legal practitioner </w:t>
      </w:r>
      <w:r>
        <w:rPr>
          <w:spacing w:val="-3"/>
          <w:sz w:val="21"/>
        </w:rPr>
        <w:t>arising  </w:t>
      </w:r>
      <w:r>
        <w:rPr>
          <w:sz w:val="21"/>
        </w:rPr>
        <w:t>out  </w:t>
      </w:r>
      <w:r>
        <w:rPr>
          <w:spacing w:val="-6"/>
          <w:sz w:val="21"/>
        </w:rPr>
        <w:t>of, </w:t>
      </w:r>
      <w:r>
        <w:rPr>
          <w:sz w:val="21"/>
        </w:rPr>
        <w:t>or in </w:t>
      </w:r>
      <w:r>
        <w:rPr>
          <w:spacing w:val="-3"/>
          <w:sz w:val="21"/>
        </w:rPr>
        <w:t>relation </w:t>
      </w:r>
      <w:r>
        <w:rPr>
          <w:spacing w:val="-4"/>
          <w:sz w:val="21"/>
        </w:rPr>
        <w:t>to, </w:t>
      </w:r>
      <w:r>
        <w:rPr>
          <w:sz w:val="21"/>
        </w:rPr>
        <w:t>the </w:t>
      </w:r>
      <w:r>
        <w:rPr>
          <w:spacing w:val="-3"/>
          <w:sz w:val="21"/>
        </w:rPr>
        <w:t>provision </w:t>
      </w:r>
      <w:r>
        <w:rPr>
          <w:sz w:val="21"/>
        </w:rPr>
        <w:t>of services </w:t>
      </w:r>
      <w:r>
        <w:rPr>
          <w:spacing w:val="-3"/>
          <w:sz w:val="21"/>
        </w:rPr>
        <w:t>to </w:t>
      </w:r>
      <w:r>
        <w:rPr>
          <w:sz w:val="21"/>
        </w:rPr>
        <w:t>the estate by the practitioner in the position of</w:t>
      </w:r>
      <w:r>
        <w:rPr>
          <w:spacing w:val="16"/>
          <w:sz w:val="21"/>
        </w:rPr>
        <w:t> </w:t>
      </w:r>
      <w:r>
        <w:rPr>
          <w:spacing w:val="-4"/>
          <w:sz w:val="21"/>
        </w:rPr>
        <w:t>executor.</w:t>
      </w:r>
    </w:p>
    <w:p>
      <w:pPr>
        <w:pStyle w:val="BodyText"/>
        <w:spacing w:before="4"/>
        <w:rPr>
          <w:sz w:val="15"/>
        </w:rPr>
      </w:pPr>
      <w:r>
        <w:rPr/>
        <w:pict>
          <v:group style="position:absolute;margin-left:62.362202pt;margin-top:11.316133pt;width:479.1pt;height:135.550pt;mso-position-horizontal-relative:page;mso-position-vertical-relative:paragraph;z-index:10040;mso-wrap-distance-left:0;mso-wrap-distance-right:0" coordorigin="1247,226" coordsize="9582,2711">
            <v:rect style="position:absolute;left:1587;top:226;width:8731;height:2711" filled="true" fillcolor="#fdebea" stroked="false">
              <v:fill type="solid"/>
            </v:rect>
            <v:line style="position:absolute" from="1247,977" to="10828,977" stroked="true" strokeweight="2.5pt" strokecolor="#ffffff">
              <v:stroke dashstyle="solid"/>
            </v:line>
            <v:shape style="position:absolute;left:2381;top:1214;width:7647;height:1549" type="#_x0000_t202" filled="false" stroked="false">
              <v:textbox inset="0,0,0,0">
                <w:txbxContent>
                  <w:p>
                    <w:pPr>
                      <w:spacing w:line="242" w:lineRule="auto" w:before="0"/>
                      <w:ind w:left="0" w:right="139" w:firstLine="0"/>
                      <w:jc w:val="left"/>
                      <w:rPr>
                        <w:sz w:val="21"/>
                      </w:rPr>
                    </w:pPr>
                    <w:r>
                      <w:rPr>
                        <w:w w:val="110"/>
                        <w:sz w:val="21"/>
                      </w:rPr>
                      <w:t>The Legal Services Commissioner should be given jurisdiction to resolve a </w:t>
                    </w:r>
                    <w:r>
                      <w:rPr>
                        <w:spacing w:val="-3"/>
                        <w:w w:val="110"/>
                        <w:sz w:val="21"/>
                      </w:rPr>
                      <w:t>civil </w:t>
                    </w:r>
                    <w:r>
                      <w:rPr>
                        <w:w w:val="110"/>
                        <w:sz w:val="21"/>
                      </w:rPr>
                      <w:t>dispute between a legal practitioner and a beneficiary under a </w:t>
                    </w:r>
                    <w:r>
                      <w:rPr>
                        <w:spacing w:val="-3"/>
                        <w:w w:val="110"/>
                        <w:sz w:val="21"/>
                      </w:rPr>
                      <w:t>will </w:t>
                    </w:r>
                    <w:r>
                      <w:rPr>
                        <w:w w:val="110"/>
                        <w:sz w:val="21"/>
                      </w:rPr>
                      <w:t>or  trust where the dispute relates to services provided by the legal practitioner to the estate in the capacity of executor or trustee. The procedures for resolving such   a dispute would be the same as those which currently apply to </w:t>
                    </w:r>
                    <w:r>
                      <w:rPr>
                        <w:spacing w:val="-3"/>
                        <w:w w:val="110"/>
                        <w:sz w:val="21"/>
                      </w:rPr>
                      <w:t>civil </w:t>
                    </w:r>
                    <w:r>
                      <w:rPr>
                        <w:w w:val="110"/>
                        <w:sz w:val="21"/>
                      </w:rPr>
                      <w:t>disputes under</w:t>
                    </w:r>
                    <w:r>
                      <w:rPr>
                        <w:spacing w:val="-3"/>
                        <w:w w:val="110"/>
                        <w:sz w:val="21"/>
                      </w:rPr>
                      <w:t> </w:t>
                    </w:r>
                    <w:r>
                      <w:rPr>
                        <w:w w:val="110"/>
                        <w:sz w:val="21"/>
                      </w:rPr>
                      <w:t>Part</w:t>
                    </w:r>
                    <w:r>
                      <w:rPr>
                        <w:spacing w:val="-3"/>
                        <w:w w:val="110"/>
                        <w:sz w:val="21"/>
                      </w:rPr>
                      <w:t> </w:t>
                    </w:r>
                    <w:r>
                      <w:rPr>
                        <w:spacing w:val="2"/>
                        <w:w w:val="110"/>
                        <w:sz w:val="21"/>
                      </w:rPr>
                      <w:t>4.2</w:t>
                    </w:r>
                    <w:r>
                      <w:rPr>
                        <w:spacing w:val="-2"/>
                        <w:w w:val="110"/>
                        <w:sz w:val="21"/>
                      </w:rPr>
                      <w:t> </w:t>
                    </w:r>
                    <w:r>
                      <w:rPr>
                        <w:w w:val="110"/>
                        <w:sz w:val="21"/>
                      </w:rPr>
                      <w:t>of</w:t>
                    </w:r>
                    <w:r>
                      <w:rPr>
                        <w:spacing w:val="-3"/>
                        <w:w w:val="110"/>
                        <w:sz w:val="21"/>
                      </w:rPr>
                      <w:t> </w:t>
                    </w:r>
                    <w:r>
                      <w:rPr>
                        <w:w w:val="110"/>
                        <w:sz w:val="21"/>
                      </w:rPr>
                      <w:t>the</w:t>
                    </w:r>
                    <w:r>
                      <w:rPr>
                        <w:spacing w:val="-2"/>
                        <w:w w:val="110"/>
                        <w:sz w:val="21"/>
                      </w:rPr>
                      <w:t> </w:t>
                    </w:r>
                    <w:r>
                      <w:rPr>
                        <w:rFonts w:ascii="Lucida Sans"/>
                        <w:i/>
                        <w:w w:val="110"/>
                        <w:sz w:val="21"/>
                      </w:rPr>
                      <w:t>Legal</w:t>
                    </w:r>
                    <w:r>
                      <w:rPr>
                        <w:rFonts w:ascii="Lucida Sans"/>
                        <w:i/>
                        <w:spacing w:val="-23"/>
                        <w:w w:val="110"/>
                        <w:sz w:val="21"/>
                      </w:rPr>
                      <w:t> </w:t>
                    </w:r>
                    <w:r>
                      <w:rPr>
                        <w:rFonts w:ascii="Lucida Sans"/>
                        <w:i/>
                        <w:w w:val="110"/>
                        <w:sz w:val="21"/>
                      </w:rPr>
                      <w:t>Profession</w:t>
                    </w:r>
                    <w:r>
                      <w:rPr>
                        <w:rFonts w:ascii="Lucida Sans"/>
                        <w:i/>
                        <w:spacing w:val="-24"/>
                        <w:w w:val="110"/>
                        <w:sz w:val="21"/>
                      </w:rPr>
                      <w:t> </w:t>
                    </w:r>
                    <w:r>
                      <w:rPr>
                        <w:rFonts w:ascii="Lucida Sans"/>
                        <w:i/>
                        <w:w w:val="110"/>
                        <w:sz w:val="21"/>
                      </w:rPr>
                      <w:t>Act</w:t>
                    </w:r>
                    <w:r>
                      <w:rPr>
                        <w:rFonts w:ascii="Lucida Sans"/>
                        <w:i/>
                        <w:spacing w:val="-23"/>
                        <w:w w:val="110"/>
                        <w:sz w:val="21"/>
                      </w:rPr>
                      <w:t> </w:t>
                    </w:r>
                    <w:r>
                      <w:rPr>
                        <w:rFonts w:ascii="Lucida Sans"/>
                        <w:i/>
                        <w:w w:val="110"/>
                        <w:sz w:val="21"/>
                      </w:rPr>
                      <w:t>2004</w:t>
                    </w:r>
                    <w:r>
                      <w:rPr>
                        <w:rFonts w:ascii="Lucida Sans"/>
                        <w:i/>
                        <w:spacing w:val="-24"/>
                        <w:w w:val="110"/>
                        <w:sz w:val="21"/>
                      </w:rPr>
                      <w:t> </w:t>
                    </w:r>
                    <w:r>
                      <w:rPr>
                        <w:w w:val="110"/>
                        <w:sz w:val="21"/>
                      </w:rPr>
                      <w:t>(Vic).</w:t>
                    </w:r>
                  </w:p>
                </w:txbxContent>
              </v:textbox>
              <w10:wrap type="none"/>
            </v:shape>
            <v:shape style="position:absolute;left:1814;top:1214;width:249;height:249" type="#_x0000_t202" filled="false" stroked="false">
              <v:textbox inset="0,0,0,0">
                <w:txbxContent>
                  <w:p>
                    <w:pPr>
                      <w:spacing w:line="249" w:lineRule="exact" w:before="0"/>
                      <w:ind w:left="0" w:right="0" w:firstLine="0"/>
                      <w:jc w:val="left"/>
                      <w:rPr>
                        <w:sz w:val="21"/>
                      </w:rPr>
                    </w:pPr>
                    <w:r>
                      <w:rPr>
                        <w:w w:val="110"/>
                        <w:sz w:val="21"/>
                      </w:rPr>
                      <w:t>59</w:t>
                    </w:r>
                  </w:p>
                </w:txbxContent>
              </v:textbox>
              <w10:wrap type="none"/>
            </v:shape>
            <v:shape style="position:absolute;left:1587;top:226;width:8731;height:726" type="#_x0000_t202" filled="true" fillcolor="#fdebea" stroked="false">
              <v:textbox inset="0,0,0,0">
                <w:txbxContent>
                  <w:p>
                    <w:pPr>
                      <w:spacing w:before="166"/>
                      <w:ind w:left="226" w:right="0" w:firstLine="0"/>
                      <w:jc w:val="left"/>
                      <w:rPr>
                        <w:b/>
                        <w:sz w:val="32"/>
                      </w:rPr>
                    </w:pPr>
                    <w:r>
                      <w:rPr>
                        <w:b/>
                        <w:color w:val="EC5A4F"/>
                        <w:w w:val="110"/>
                        <w:sz w:val="32"/>
                      </w:rPr>
                      <w:t>Recommendation</w:t>
                    </w:r>
                  </w:p>
                </w:txbxContent>
              </v:textbox>
              <v:fill type="solid"/>
              <w10:wrap type="none"/>
            </v:shape>
            <w10:wrap type="topAndBottom"/>
          </v:group>
        </w:pict>
      </w:r>
    </w:p>
    <w:p>
      <w:pPr>
        <w:pStyle w:val="Heading5"/>
        <w:spacing w:before="119"/>
      </w:pPr>
      <w:r>
        <w:rPr>
          <w:w w:val="115"/>
        </w:rPr>
        <w:t>Costs review by the Costs Court</w:t>
      </w:r>
    </w:p>
    <w:p>
      <w:pPr>
        <w:pStyle w:val="ListParagraph"/>
        <w:numPr>
          <w:ilvl w:val="1"/>
          <w:numId w:val="22"/>
        </w:numPr>
        <w:tabs>
          <w:tab w:pos="2381" w:val="left" w:leader="none"/>
          <w:tab w:pos="2382" w:val="left" w:leader="none"/>
        </w:tabs>
        <w:spacing w:line="242" w:lineRule="auto" w:before="137" w:after="0"/>
        <w:ind w:left="2381" w:right="1859" w:hanging="794"/>
        <w:jc w:val="left"/>
        <w:rPr>
          <w:sz w:val="21"/>
        </w:rPr>
      </w:pPr>
      <w:r>
        <w:rPr>
          <w:w w:val="105"/>
          <w:sz w:val="21"/>
        </w:rPr>
        <w:t>Section </w:t>
      </w:r>
      <w:r>
        <w:rPr>
          <w:spacing w:val="-3"/>
          <w:w w:val="105"/>
          <w:sz w:val="21"/>
        </w:rPr>
        <w:t>3.4.38 </w:t>
      </w:r>
      <w:r>
        <w:rPr>
          <w:w w:val="105"/>
          <w:sz w:val="21"/>
        </w:rPr>
        <w:t>of the Legal </w:t>
      </w:r>
      <w:r>
        <w:rPr>
          <w:spacing w:val="-3"/>
          <w:w w:val="105"/>
          <w:sz w:val="21"/>
        </w:rPr>
        <w:t>Profession </w:t>
      </w:r>
      <w:r>
        <w:rPr>
          <w:w w:val="105"/>
          <w:sz w:val="21"/>
        </w:rPr>
        <w:t>Act allows </w:t>
      </w:r>
      <w:r>
        <w:rPr>
          <w:spacing w:val="-3"/>
          <w:w w:val="105"/>
          <w:sz w:val="21"/>
        </w:rPr>
        <w:t>for </w:t>
      </w:r>
      <w:r>
        <w:rPr>
          <w:w w:val="105"/>
          <w:sz w:val="21"/>
        </w:rPr>
        <w:t>clients of legal services </w:t>
      </w:r>
      <w:r>
        <w:rPr>
          <w:spacing w:val="-3"/>
          <w:w w:val="105"/>
          <w:sz w:val="21"/>
        </w:rPr>
        <w:t>to </w:t>
      </w:r>
      <w:r>
        <w:rPr>
          <w:w w:val="105"/>
          <w:sz w:val="21"/>
        </w:rPr>
        <w:t>apply </w:t>
      </w:r>
      <w:r>
        <w:rPr>
          <w:spacing w:val="-3"/>
          <w:w w:val="105"/>
          <w:sz w:val="21"/>
        </w:rPr>
        <w:t>to </w:t>
      </w:r>
      <w:r>
        <w:rPr>
          <w:w w:val="105"/>
          <w:sz w:val="21"/>
        </w:rPr>
        <w:t>the Costs </w:t>
      </w:r>
      <w:r>
        <w:rPr>
          <w:spacing w:val="-3"/>
          <w:w w:val="105"/>
          <w:sz w:val="21"/>
        </w:rPr>
        <w:t>Court for </w:t>
      </w:r>
      <w:r>
        <w:rPr>
          <w:w w:val="105"/>
          <w:sz w:val="21"/>
        </w:rPr>
        <w:t>a review of legal costs. Thus, a layperson </w:t>
      </w:r>
      <w:r>
        <w:rPr>
          <w:spacing w:val="-3"/>
          <w:w w:val="105"/>
          <w:sz w:val="21"/>
        </w:rPr>
        <w:t>executor </w:t>
      </w:r>
      <w:r>
        <w:rPr>
          <w:w w:val="105"/>
          <w:sz w:val="21"/>
        </w:rPr>
        <w:t>who </w:t>
      </w:r>
      <w:r>
        <w:rPr>
          <w:spacing w:val="-3"/>
          <w:w w:val="105"/>
          <w:sz w:val="21"/>
        </w:rPr>
        <w:t>disputes </w:t>
      </w:r>
      <w:r>
        <w:rPr>
          <w:w w:val="105"/>
          <w:sz w:val="21"/>
        </w:rPr>
        <w:t>a </w:t>
      </w:r>
      <w:r>
        <w:rPr>
          <w:spacing w:val="-3"/>
          <w:w w:val="105"/>
          <w:sz w:val="21"/>
        </w:rPr>
        <w:t>practitioner’s bill for </w:t>
      </w:r>
      <w:r>
        <w:rPr>
          <w:w w:val="105"/>
          <w:sz w:val="21"/>
        </w:rPr>
        <w:t>services provided in connection with </w:t>
      </w:r>
      <w:r>
        <w:rPr>
          <w:spacing w:val="-3"/>
          <w:w w:val="105"/>
          <w:sz w:val="21"/>
        </w:rPr>
        <w:t>administering </w:t>
      </w:r>
      <w:r>
        <w:rPr>
          <w:w w:val="105"/>
          <w:sz w:val="21"/>
        </w:rPr>
        <w:t>the estate can seek </w:t>
      </w:r>
      <w:r>
        <w:rPr>
          <w:spacing w:val="-3"/>
          <w:w w:val="105"/>
          <w:sz w:val="21"/>
        </w:rPr>
        <w:t>to have </w:t>
      </w:r>
      <w:r>
        <w:rPr>
          <w:w w:val="105"/>
          <w:sz w:val="21"/>
        </w:rPr>
        <w:t>it</w:t>
      </w:r>
      <w:r>
        <w:rPr>
          <w:spacing w:val="26"/>
          <w:w w:val="105"/>
          <w:sz w:val="21"/>
        </w:rPr>
        <w:t> </w:t>
      </w:r>
      <w:r>
        <w:rPr>
          <w:spacing w:val="-3"/>
          <w:w w:val="105"/>
          <w:sz w:val="21"/>
        </w:rPr>
        <w:t>reviewed.</w:t>
      </w:r>
    </w:p>
    <w:p>
      <w:pPr>
        <w:pStyle w:val="ListParagraph"/>
        <w:numPr>
          <w:ilvl w:val="1"/>
          <w:numId w:val="22"/>
        </w:numPr>
        <w:tabs>
          <w:tab w:pos="2381" w:val="left" w:leader="none"/>
          <w:tab w:pos="2382" w:val="left" w:leader="none"/>
        </w:tabs>
        <w:spacing w:line="242" w:lineRule="auto" w:before="124" w:after="0"/>
        <w:ind w:left="2381" w:right="1610" w:hanging="794"/>
        <w:jc w:val="left"/>
        <w:rPr>
          <w:sz w:val="12"/>
        </w:rPr>
      </w:pPr>
      <w:r>
        <w:rPr>
          <w:sz w:val="21"/>
        </w:rPr>
        <w:t>When the </w:t>
      </w:r>
      <w:r>
        <w:rPr>
          <w:spacing w:val="-3"/>
          <w:sz w:val="21"/>
        </w:rPr>
        <w:t>executor </w:t>
      </w:r>
      <w:r>
        <w:rPr>
          <w:sz w:val="21"/>
        </w:rPr>
        <w:t>is a legal practitioner who draws money </w:t>
      </w:r>
      <w:r>
        <w:rPr>
          <w:spacing w:val="-3"/>
          <w:sz w:val="21"/>
        </w:rPr>
        <w:t>from </w:t>
      </w:r>
      <w:r>
        <w:rPr>
          <w:sz w:val="21"/>
        </w:rPr>
        <w:t>the estate </w:t>
      </w:r>
      <w:r>
        <w:rPr>
          <w:spacing w:val="-3"/>
          <w:sz w:val="21"/>
        </w:rPr>
        <w:t>for </w:t>
      </w:r>
      <w:r>
        <w:rPr>
          <w:sz w:val="21"/>
        </w:rPr>
        <w:t>their legal costs, the </w:t>
      </w:r>
      <w:r>
        <w:rPr>
          <w:spacing w:val="-3"/>
          <w:sz w:val="21"/>
        </w:rPr>
        <w:t>client </w:t>
      </w:r>
      <w:r>
        <w:rPr>
          <w:sz w:val="21"/>
        </w:rPr>
        <w:t>is the estate and there is no scope </w:t>
      </w:r>
      <w:r>
        <w:rPr>
          <w:spacing w:val="-3"/>
          <w:sz w:val="21"/>
        </w:rPr>
        <w:t>for </w:t>
      </w:r>
      <w:r>
        <w:rPr>
          <w:sz w:val="21"/>
        </w:rPr>
        <w:t>review under section 3.4.38. A beneficiary </w:t>
      </w:r>
      <w:r>
        <w:rPr>
          <w:spacing w:val="-3"/>
          <w:sz w:val="21"/>
        </w:rPr>
        <w:t>cannot  </w:t>
      </w:r>
      <w:r>
        <w:rPr>
          <w:sz w:val="21"/>
        </w:rPr>
        <w:t>seek a review because they do </w:t>
      </w:r>
      <w:r>
        <w:rPr>
          <w:spacing w:val="-2"/>
          <w:sz w:val="21"/>
        </w:rPr>
        <w:t>not</w:t>
      </w:r>
      <w:r>
        <w:rPr>
          <w:spacing w:val="43"/>
          <w:sz w:val="21"/>
        </w:rPr>
        <w:t> </w:t>
      </w:r>
      <w:r>
        <w:rPr>
          <w:spacing w:val="-4"/>
          <w:sz w:val="21"/>
        </w:rPr>
        <w:t>fall  </w:t>
      </w:r>
      <w:r>
        <w:rPr>
          <w:spacing w:val="-3"/>
          <w:sz w:val="21"/>
        </w:rPr>
        <w:t>within  </w:t>
      </w:r>
      <w:r>
        <w:rPr>
          <w:sz w:val="21"/>
        </w:rPr>
        <w:t>the definition of </w:t>
      </w:r>
      <w:r>
        <w:rPr>
          <w:spacing w:val="-3"/>
          <w:sz w:val="21"/>
        </w:rPr>
        <w:t>‘client’  for </w:t>
      </w:r>
      <w:r>
        <w:rPr>
          <w:sz w:val="21"/>
        </w:rPr>
        <w:t>the purposes of the</w:t>
      </w:r>
      <w:r>
        <w:rPr>
          <w:spacing w:val="46"/>
          <w:sz w:val="21"/>
        </w:rPr>
        <w:t> </w:t>
      </w:r>
      <w:r>
        <w:rPr>
          <w:spacing w:val="-3"/>
          <w:sz w:val="21"/>
        </w:rPr>
        <w:t>section.</w:t>
      </w:r>
      <w:r>
        <w:rPr>
          <w:spacing w:val="-3"/>
          <w:position w:val="7"/>
          <w:sz w:val="12"/>
        </w:rPr>
        <w:t>183</w:t>
      </w:r>
    </w:p>
    <w:p>
      <w:pPr>
        <w:pStyle w:val="ListParagraph"/>
        <w:numPr>
          <w:ilvl w:val="1"/>
          <w:numId w:val="22"/>
        </w:numPr>
        <w:tabs>
          <w:tab w:pos="2380" w:val="left" w:leader="none"/>
          <w:tab w:pos="2381" w:val="left" w:leader="none"/>
        </w:tabs>
        <w:spacing w:line="242" w:lineRule="auto" w:before="125" w:after="0"/>
        <w:ind w:left="2380" w:right="1620" w:hanging="793"/>
        <w:jc w:val="left"/>
        <w:rPr>
          <w:sz w:val="21"/>
        </w:rPr>
      </w:pPr>
      <w:r>
        <w:rPr>
          <w:w w:val="105"/>
          <w:sz w:val="21"/>
        </w:rPr>
        <w:t>This </w:t>
      </w:r>
      <w:r>
        <w:rPr>
          <w:spacing w:val="-2"/>
          <w:w w:val="105"/>
          <w:sz w:val="21"/>
        </w:rPr>
        <w:t>has not </w:t>
      </w:r>
      <w:r>
        <w:rPr>
          <w:w w:val="105"/>
          <w:sz w:val="21"/>
        </w:rPr>
        <w:t>always been the </w:t>
      </w:r>
      <w:r>
        <w:rPr>
          <w:spacing w:val="-3"/>
          <w:w w:val="105"/>
          <w:sz w:val="21"/>
        </w:rPr>
        <w:t>case. Until </w:t>
      </w:r>
      <w:r>
        <w:rPr>
          <w:spacing w:val="-7"/>
          <w:w w:val="105"/>
          <w:sz w:val="21"/>
        </w:rPr>
        <w:t>2007, </w:t>
      </w:r>
      <w:r>
        <w:rPr>
          <w:w w:val="105"/>
          <w:sz w:val="21"/>
        </w:rPr>
        <w:t>the definition of </w:t>
      </w:r>
      <w:r>
        <w:rPr>
          <w:spacing w:val="-3"/>
          <w:w w:val="105"/>
          <w:sz w:val="21"/>
        </w:rPr>
        <w:t>client </w:t>
      </w:r>
      <w:r>
        <w:rPr>
          <w:w w:val="105"/>
          <w:sz w:val="21"/>
        </w:rPr>
        <w:t>encompassed a beneficiary</w:t>
      </w:r>
      <w:r>
        <w:rPr>
          <w:spacing w:val="-5"/>
          <w:w w:val="105"/>
          <w:sz w:val="21"/>
        </w:rPr>
        <w:t> </w:t>
      </w:r>
      <w:r>
        <w:rPr>
          <w:w w:val="105"/>
          <w:sz w:val="21"/>
        </w:rPr>
        <w:t>whose</w:t>
      </w:r>
      <w:r>
        <w:rPr>
          <w:spacing w:val="-5"/>
          <w:w w:val="105"/>
          <w:sz w:val="21"/>
        </w:rPr>
        <w:t> </w:t>
      </w:r>
      <w:r>
        <w:rPr>
          <w:w w:val="105"/>
          <w:sz w:val="21"/>
        </w:rPr>
        <w:t>gift</w:t>
      </w:r>
      <w:r>
        <w:rPr>
          <w:spacing w:val="-5"/>
          <w:w w:val="105"/>
          <w:sz w:val="21"/>
        </w:rPr>
        <w:t> </w:t>
      </w:r>
      <w:r>
        <w:rPr>
          <w:w w:val="105"/>
          <w:sz w:val="21"/>
        </w:rPr>
        <w:t>under</w:t>
      </w:r>
      <w:r>
        <w:rPr>
          <w:spacing w:val="-5"/>
          <w:w w:val="105"/>
          <w:sz w:val="21"/>
        </w:rPr>
        <w:t> </w:t>
      </w:r>
      <w:r>
        <w:rPr>
          <w:w w:val="105"/>
          <w:sz w:val="21"/>
        </w:rPr>
        <w:t>a</w:t>
      </w:r>
      <w:r>
        <w:rPr>
          <w:spacing w:val="-5"/>
          <w:w w:val="105"/>
          <w:sz w:val="21"/>
        </w:rPr>
        <w:t> </w:t>
      </w:r>
      <w:r>
        <w:rPr>
          <w:spacing w:val="-3"/>
          <w:w w:val="105"/>
          <w:sz w:val="21"/>
        </w:rPr>
        <w:t>will</w:t>
      </w:r>
      <w:r>
        <w:rPr>
          <w:spacing w:val="-4"/>
          <w:w w:val="105"/>
          <w:sz w:val="21"/>
        </w:rPr>
        <w:t> </w:t>
      </w:r>
      <w:r>
        <w:rPr>
          <w:w w:val="105"/>
          <w:sz w:val="21"/>
        </w:rPr>
        <w:t>is</w:t>
      </w:r>
      <w:r>
        <w:rPr>
          <w:spacing w:val="-5"/>
          <w:w w:val="105"/>
          <w:sz w:val="21"/>
        </w:rPr>
        <w:t> </w:t>
      </w:r>
      <w:r>
        <w:rPr>
          <w:spacing w:val="-3"/>
          <w:w w:val="105"/>
          <w:sz w:val="21"/>
        </w:rPr>
        <w:t>diminished</w:t>
      </w:r>
      <w:r>
        <w:rPr>
          <w:spacing w:val="-5"/>
          <w:w w:val="105"/>
          <w:sz w:val="21"/>
        </w:rPr>
        <w:t> </w:t>
      </w:r>
      <w:r>
        <w:rPr>
          <w:w w:val="105"/>
          <w:sz w:val="21"/>
        </w:rPr>
        <w:t>by</w:t>
      </w:r>
      <w:r>
        <w:rPr>
          <w:spacing w:val="-5"/>
          <w:w w:val="105"/>
          <w:sz w:val="21"/>
        </w:rPr>
        <w:t> </w:t>
      </w:r>
      <w:r>
        <w:rPr>
          <w:w w:val="105"/>
          <w:sz w:val="21"/>
        </w:rPr>
        <w:t>legal</w:t>
      </w:r>
      <w:r>
        <w:rPr>
          <w:spacing w:val="-5"/>
          <w:w w:val="105"/>
          <w:sz w:val="21"/>
        </w:rPr>
        <w:t> </w:t>
      </w:r>
      <w:r>
        <w:rPr>
          <w:w w:val="105"/>
          <w:sz w:val="21"/>
        </w:rPr>
        <w:t>costs</w:t>
      </w:r>
      <w:r>
        <w:rPr>
          <w:spacing w:val="-4"/>
          <w:w w:val="105"/>
          <w:sz w:val="21"/>
        </w:rPr>
        <w:t> </w:t>
      </w:r>
      <w:r>
        <w:rPr>
          <w:spacing w:val="-3"/>
          <w:w w:val="105"/>
          <w:sz w:val="21"/>
        </w:rPr>
        <w:t>payable</w:t>
      </w:r>
      <w:r>
        <w:rPr>
          <w:spacing w:val="-5"/>
          <w:w w:val="105"/>
          <w:sz w:val="21"/>
        </w:rPr>
        <w:t> </w:t>
      </w:r>
      <w:r>
        <w:rPr>
          <w:w w:val="105"/>
          <w:sz w:val="21"/>
        </w:rPr>
        <w:t>by</w:t>
      </w:r>
      <w:r>
        <w:rPr>
          <w:spacing w:val="-5"/>
          <w:w w:val="105"/>
          <w:sz w:val="21"/>
        </w:rPr>
        <w:t> </w:t>
      </w:r>
      <w:r>
        <w:rPr>
          <w:w w:val="105"/>
          <w:sz w:val="21"/>
        </w:rPr>
        <w:t>an</w:t>
      </w:r>
      <w:r>
        <w:rPr>
          <w:spacing w:val="-5"/>
          <w:w w:val="105"/>
          <w:sz w:val="21"/>
        </w:rPr>
        <w:t> </w:t>
      </w:r>
      <w:r>
        <w:rPr>
          <w:spacing w:val="-3"/>
          <w:w w:val="105"/>
          <w:sz w:val="21"/>
        </w:rPr>
        <w:t>executor</w:t>
      </w:r>
      <w:r>
        <w:rPr>
          <w:spacing w:val="-5"/>
          <w:w w:val="105"/>
          <w:sz w:val="21"/>
        </w:rPr>
        <w:t> </w:t>
      </w:r>
      <w:r>
        <w:rPr>
          <w:w w:val="105"/>
          <w:sz w:val="21"/>
        </w:rPr>
        <w:t>out of the </w:t>
      </w:r>
      <w:r>
        <w:rPr>
          <w:spacing w:val="-3"/>
          <w:w w:val="105"/>
          <w:sz w:val="21"/>
        </w:rPr>
        <w:t>estate. </w:t>
      </w:r>
      <w:r>
        <w:rPr>
          <w:w w:val="105"/>
          <w:sz w:val="21"/>
        </w:rPr>
        <w:t>It</w:t>
      </w:r>
      <w:r>
        <w:rPr>
          <w:spacing w:val="23"/>
          <w:w w:val="105"/>
          <w:sz w:val="21"/>
        </w:rPr>
        <w:t> </w:t>
      </w:r>
      <w:r>
        <w:rPr>
          <w:w w:val="105"/>
          <w:sz w:val="21"/>
        </w:rPr>
        <w:t>included:</w:t>
      </w:r>
    </w:p>
    <w:p>
      <w:pPr>
        <w:spacing w:line="254" w:lineRule="auto" w:before="133"/>
        <w:ind w:left="2721" w:right="1732" w:firstLine="0"/>
        <w:jc w:val="left"/>
        <w:rPr>
          <w:sz w:val="11"/>
        </w:rPr>
      </w:pPr>
      <w:r>
        <w:rPr>
          <w:sz w:val="20"/>
        </w:rPr>
        <w:t>a person interested in </w:t>
      </w:r>
      <w:r>
        <w:rPr>
          <w:spacing w:val="-2"/>
          <w:sz w:val="20"/>
        </w:rPr>
        <w:t>any  </w:t>
      </w:r>
      <w:r>
        <w:rPr>
          <w:sz w:val="20"/>
        </w:rPr>
        <w:t>property out of which a trustee, executor or </w:t>
      </w:r>
      <w:r>
        <w:rPr>
          <w:spacing w:val="-3"/>
          <w:sz w:val="20"/>
        </w:rPr>
        <w:t>administrator  </w:t>
      </w:r>
      <w:r>
        <w:rPr>
          <w:sz w:val="20"/>
        </w:rPr>
        <w:t>who  is</w:t>
      </w:r>
      <w:r>
        <w:rPr>
          <w:spacing w:val="10"/>
          <w:sz w:val="20"/>
        </w:rPr>
        <w:t> </w:t>
      </w:r>
      <w:r>
        <w:rPr>
          <w:sz w:val="20"/>
        </w:rPr>
        <w:t>liable</w:t>
      </w:r>
      <w:r>
        <w:rPr>
          <w:spacing w:val="10"/>
          <w:sz w:val="20"/>
        </w:rPr>
        <w:t> </w:t>
      </w:r>
      <w:r>
        <w:rPr>
          <w:sz w:val="20"/>
        </w:rPr>
        <w:t>to</w:t>
      </w:r>
      <w:r>
        <w:rPr>
          <w:spacing w:val="10"/>
          <w:sz w:val="20"/>
        </w:rPr>
        <w:t> </w:t>
      </w:r>
      <w:r>
        <w:rPr>
          <w:sz w:val="20"/>
        </w:rPr>
        <w:t>pay</w:t>
      </w:r>
      <w:r>
        <w:rPr>
          <w:spacing w:val="10"/>
          <w:sz w:val="20"/>
        </w:rPr>
        <w:t> </w:t>
      </w:r>
      <w:r>
        <w:rPr>
          <w:sz w:val="20"/>
        </w:rPr>
        <w:t>legal</w:t>
      </w:r>
      <w:r>
        <w:rPr>
          <w:spacing w:val="10"/>
          <w:sz w:val="20"/>
        </w:rPr>
        <w:t> </w:t>
      </w:r>
      <w:r>
        <w:rPr>
          <w:sz w:val="20"/>
        </w:rPr>
        <w:t>costs</w:t>
      </w:r>
      <w:r>
        <w:rPr>
          <w:spacing w:val="10"/>
          <w:sz w:val="20"/>
        </w:rPr>
        <w:t> </w:t>
      </w:r>
      <w:r>
        <w:rPr>
          <w:sz w:val="20"/>
        </w:rPr>
        <w:t>has</w:t>
      </w:r>
      <w:r>
        <w:rPr>
          <w:spacing w:val="10"/>
          <w:sz w:val="20"/>
        </w:rPr>
        <w:t> </w:t>
      </w:r>
      <w:r>
        <w:rPr>
          <w:sz w:val="20"/>
        </w:rPr>
        <w:t>paid,</w:t>
      </w:r>
      <w:r>
        <w:rPr>
          <w:spacing w:val="10"/>
          <w:sz w:val="20"/>
        </w:rPr>
        <w:t> </w:t>
      </w:r>
      <w:r>
        <w:rPr>
          <w:sz w:val="20"/>
        </w:rPr>
        <w:t>or</w:t>
      </w:r>
      <w:r>
        <w:rPr>
          <w:spacing w:val="10"/>
          <w:sz w:val="20"/>
        </w:rPr>
        <w:t> </w:t>
      </w:r>
      <w:r>
        <w:rPr>
          <w:sz w:val="20"/>
        </w:rPr>
        <w:t>is</w:t>
      </w:r>
      <w:r>
        <w:rPr>
          <w:spacing w:val="10"/>
          <w:sz w:val="20"/>
        </w:rPr>
        <w:t> </w:t>
      </w:r>
      <w:r>
        <w:rPr>
          <w:sz w:val="20"/>
        </w:rPr>
        <w:t>entitled</w:t>
      </w:r>
      <w:r>
        <w:rPr>
          <w:spacing w:val="10"/>
          <w:sz w:val="20"/>
        </w:rPr>
        <w:t> </w:t>
      </w:r>
      <w:r>
        <w:rPr>
          <w:sz w:val="20"/>
        </w:rPr>
        <w:t>to</w:t>
      </w:r>
      <w:r>
        <w:rPr>
          <w:spacing w:val="10"/>
          <w:sz w:val="20"/>
        </w:rPr>
        <w:t> </w:t>
      </w:r>
      <w:r>
        <w:rPr>
          <w:spacing w:val="-4"/>
          <w:sz w:val="20"/>
        </w:rPr>
        <w:t>pay,</w:t>
      </w:r>
      <w:r>
        <w:rPr>
          <w:spacing w:val="10"/>
          <w:sz w:val="20"/>
        </w:rPr>
        <w:t> </w:t>
      </w:r>
      <w:r>
        <w:rPr>
          <w:sz w:val="20"/>
        </w:rPr>
        <w:t>those</w:t>
      </w:r>
      <w:r>
        <w:rPr>
          <w:spacing w:val="10"/>
          <w:sz w:val="20"/>
        </w:rPr>
        <w:t> </w:t>
      </w:r>
      <w:r>
        <w:rPr>
          <w:spacing w:val="-3"/>
          <w:sz w:val="20"/>
        </w:rPr>
        <w:t>costs.</w:t>
      </w:r>
      <w:r>
        <w:rPr>
          <w:spacing w:val="-3"/>
          <w:position w:val="7"/>
          <w:sz w:val="11"/>
        </w:rPr>
        <w:t>184</w:t>
      </w:r>
    </w:p>
    <w:p>
      <w:pPr>
        <w:pStyle w:val="BodyText"/>
        <w:rPr>
          <w:sz w:val="20"/>
        </w:rPr>
      </w:pPr>
    </w:p>
    <w:p>
      <w:pPr>
        <w:pStyle w:val="BodyText"/>
        <w:spacing w:before="7"/>
        <w:rPr>
          <w:sz w:val="27"/>
        </w:rPr>
      </w:pPr>
      <w:r>
        <w:rPr/>
        <w:pict>
          <v:line style="position:absolute;mso-position-horizontal-relative:page;mso-position-vertical-relative:paragraph;z-index:10064;mso-wrap-distance-left:0;mso-wrap-distance-right:0" from="79.370102pt,19.293102pt" to="515.905102pt,19.293102pt" stroked="true" strokeweight="1pt" strokecolor="#f9ceca">
            <v:stroke dashstyle="solid"/>
            <w10:wrap type="topAndBottom"/>
          </v:line>
        </w:pict>
      </w:r>
    </w:p>
    <w:p>
      <w:pPr>
        <w:pStyle w:val="BodyText"/>
        <w:spacing w:before="8"/>
        <w:rPr>
          <w:sz w:val="5"/>
        </w:rPr>
      </w:pPr>
    </w:p>
    <w:p>
      <w:pPr>
        <w:spacing w:after="0"/>
        <w:rPr>
          <w:sz w:val="5"/>
        </w:rPr>
        <w:sectPr>
          <w:pgSz w:w="11910" w:h="16840"/>
          <w:pgMar w:header="550" w:footer="0" w:top="1560" w:bottom="280" w:left="0" w:right="0"/>
        </w:sectPr>
      </w:pPr>
    </w:p>
    <w:p>
      <w:pPr>
        <w:pStyle w:val="BodyText"/>
        <w:spacing w:before="10"/>
        <w:rPr>
          <w:sz w:val="35"/>
        </w:rPr>
      </w:pPr>
    </w:p>
    <w:p>
      <w:pPr>
        <w:spacing w:before="1"/>
        <w:ind w:left="720" w:right="0" w:firstLine="0"/>
        <w:jc w:val="left"/>
        <w:rPr>
          <w:b/>
          <w:sz w:val="24"/>
        </w:rPr>
      </w:pPr>
      <w:r>
        <w:rPr>
          <w:b/>
          <w:color w:val="EC5A4F"/>
          <w:spacing w:val="-2"/>
          <w:w w:val="110"/>
          <w:sz w:val="24"/>
        </w:rPr>
        <w:t>168</w:t>
      </w:r>
    </w:p>
    <w:p>
      <w:pPr>
        <w:pStyle w:val="ListParagraph"/>
        <w:numPr>
          <w:ilvl w:val="1"/>
          <w:numId w:val="125"/>
        </w:numPr>
        <w:tabs>
          <w:tab w:pos="1225" w:val="left" w:leader="none"/>
          <w:tab w:pos="1226" w:val="left" w:leader="none"/>
        </w:tabs>
        <w:spacing w:line="240" w:lineRule="auto" w:before="48" w:after="0"/>
        <w:ind w:left="1225" w:right="0" w:hanging="793"/>
        <w:jc w:val="left"/>
        <w:rPr>
          <w:sz w:val="13"/>
        </w:rPr>
      </w:pPr>
      <w:r>
        <w:rPr>
          <w:i/>
          <w:spacing w:val="1"/>
          <w:w w:val="115"/>
          <w:sz w:val="13"/>
        </w:rPr>
        <w:br w:type="column"/>
      </w:r>
      <w:r>
        <w:rPr>
          <w:i/>
          <w:w w:val="105"/>
          <w:sz w:val="13"/>
        </w:rPr>
        <w:t>Administration and Probate Act 1958 </w:t>
      </w:r>
      <w:r>
        <w:rPr>
          <w:spacing w:val="2"/>
          <w:w w:val="105"/>
          <w:sz w:val="13"/>
        </w:rPr>
        <w:t>(Vic) </w:t>
      </w:r>
      <w:r>
        <w:rPr>
          <w:w w:val="105"/>
          <w:sz w:val="13"/>
        </w:rPr>
        <w:t>s</w:t>
      </w:r>
      <w:r>
        <w:rPr>
          <w:spacing w:val="25"/>
          <w:w w:val="105"/>
          <w:sz w:val="13"/>
        </w:rPr>
        <w:t> </w:t>
      </w:r>
      <w:r>
        <w:rPr>
          <w:spacing w:val="2"/>
          <w:w w:val="105"/>
          <w:sz w:val="13"/>
        </w:rPr>
        <w:t>34(1)(c).</w:t>
      </w:r>
    </w:p>
    <w:p>
      <w:pPr>
        <w:pStyle w:val="ListParagraph"/>
        <w:numPr>
          <w:ilvl w:val="1"/>
          <w:numId w:val="125"/>
        </w:numPr>
        <w:tabs>
          <w:tab w:pos="1225" w:val="left" w:leader="none"/>
          <w:tab w:pos="1226" w:val="left" w:leader="none"/>
        </w:tabs>
        <w:spacing w:line="240" w:lineRule="auto" w:before="1" w:after="0"/>
        <w:ind w:left="1225" w:right="0" w:hanging="793"/>
        <w:jc w:val="left"/>
        <w:rPr>
          <w:sz w:val="13"/>
        </w:rPr>
      </w:pPr>
      <w:r>
        <w:rPr>
          <w:w w:val="105"/>
          <w:sz w:val="13"/>
        </w:rPr>
        <w:t>Legal</w:t>
      </w:r>
      <w:r>
        <w:rPr>
          <w:spacing w:val="8"/>
          <w:w w:val="105"/>
          <w:sz w:val="13"/>
        </w:rPr>
        <w:t> </w:t>
      </w:r>
      <w:r>
        <w:rPr>
          <w:w w:val="105"/>
          <w:sz w:val="13"/>
        </w:rPr>
        <w:t>Services</w:t>
      </w:r>
      <w:r>
        <w:rPr>
          <w:spacing w:val="9"/>
          <w:w w:val="105"/>
          <w:sz w:val="13"/>
        </w:rPr>
        <w:t> </w:t>
      </w:r>
      <w:r>
        <w:rPr>
          <w:w w:val="105"/>
          <w:sz w:val="13"/>
        </w:rPr>
        <w:t>Commissioner,</w:t>
      </w:r>
      <w:r>
        <w:rPr>
          <w:spacing w:val="9"/>
          <w:w w:val="105"/>
          <w:sz w:val="13"/>
        </w:rPr>
        <w:t> </w:t>
      </w:r>
      <w:r>
        <w:rPr>
          <w:w w:val="105"/>
          <w:sz w:val="13"/>
        </w:rPr>
        <w:t>above</w:t>
      </w:r>
      <w:r>
        <w:rPr>
          <w:spacing w:val="9"/>
          <w:w w:val="105"/>
          <w:sz w:val="13"/>
        </w:rPr>
        <w:t> </w:t>
      </w:r>
      <w:r>
        <w:rPr>
          <w:w w:val="105"/>
          <w:sz w:val="13"/>
        </w:rPr>
        <w:t>n</w:t>
      </w:r>
      <w:r>
        <w:rPr>
          <w:spacing w:val="9"/>
          <w:w w:val="105"/>
          <w:sz w:val="13"/>
        </w:rPr>
        <w:t> </w:t>
      </w:r>
      <w:r>
        <w:rPr>
          <w:w w:val="105"/>
          <w:sz w:val="13"/>
        </w:rPr>
        <w:t>99,</w:t>
      </w:r>
      <w:r>
        <w:rPr>
          <w:spacing w:val="8"/>
          <w:w w:val="105"/>
          <w:sz w:val="13"/>
        </w:rPr>
        <w:t> </w:t>
      </w:r>
      <w:r>
        <w:rPr>
          <w:spacing w:val="-5"/>
          <w:w w:val="105"/>
          <w:sz w:val="13"/>
        </w:rPr>
        <w:t>7.</w:t>
      </w:r>
    </w:p>
    <w:p>
      <w:pPr>
        <w:pStyle w:val="ListParagraph"/>
        <w:numPr>
          <w:ilvl w:val="1"/>
          <w:numId w:val="125"/>
        </w:numPr>
        <w:tabs>
          <w:tab w:pos="1225" w:val="left" w:leader="none"/>
          <w:tab w:pos="1226" w:val="left" w:leader="none"/>
        </w:tabs>
        <w:spacing w:line="240" w:lineRule="auto" w:before="2" w:after="0"/>
        <w:ind w:left="1225" w:right="0" w:hanging="793"/>
        <w:jc w:val="left"/>
        <w:rPr>
          <w:sz w:val="13"/>
        </w:rPr>
      </w:pPr>
      <w:r>
        <w:rPr>
          <w:i/>
          <w:w w:val="105"/>
          <w:sz w:val="13"/>
        </w:rPr>
        <w:t>Legal Profession Act 2004  </w:t>
      </w:r>
      <w:r>
        <w:rPr>
          <w:spacing w:val="2"/>
          <w:w w:val="105"/>
          <w:sz w:val="13"/>
        </w:rPr>
        <w:t>(Vic) </w:t>
      </w:r>
      <w:r>
        <w:rPr>
          <w:w w:val="105"/>
          <w:sz w:val="13"/>
        </w:rPr>
        <w:t>s </w:t>
      </w:r>
      <w:r>
        <w:rPr>
          <w:spacing w:val="5"/>
          <w:w w:val="105"/>
          <w:sz w:val="13"/>
        </w:rPr>
        <w:t> </w:t>
      </w:r>
      <w:r>
        <w:rPr>
          <w:w w:val="105"/>
          <w:sz w:val="13"/>
        </w:rPr>
        <w:t>3.4.38(10).</w:t>
      </w:r>
    </w:p>
    <w:p>
      <w:pPr>
        <w:pStyle w:val="ListParagraph"/>
        <w:numPr>
          <w:ilvl w:val="1"/>
          <w:numId w:val="125"/>
        </w:numPr>
        <w:tabs>
          <w:tab w:pos="1225" w:val="left" w:leader="none"/>
          <w:tab w:pos="1226" w:val="left" w:leader="none"/>
        </w:tabs>
        <w:spacing w:line="240" w:lineRule="auto" w:before="1" w:after="0"/>
        <w:ind w:left="1225" w:right="0" w:hanging="793"/>
        <w:jc w:val="left"/>
        <w:rPr>
          <w:sz w:val="13"/>
        </w:rPr>
      </w:pPr>
      <w:r>
        <w:rPr>
          <w:i/>
          <w:w w:val="105"/>
          <w:sz w:val="13"/>
        </w:rPr>
        <w:t>Legal Profession Act 2004 </w:t>
      </w:r>
      <w:r>
        <w:rPr>
          <w:spacing w:val="2"/>
          <w:w w:val="105"/>
          <w:sz w:val="13"/>
        </w:rPr>
        <w:t>(Vic) </w:t>
      </w:r>
      <w:r>
        <w:rPr>
          <w:w w:val="105"/>
          <w:sz w:val="13"/>
        </w:rPr>
        <w:t>s </w:t>
      </w:r>
      <w:r>
        <w:rPr>
          <w:spacing w:val="3"/>
          <w:w w:val="105"/>
          <w:sz w:val="13"/>
        </w:rPr>
        <w:t>3.4.38(6)(f), </w:t>
      </w:r>
      <w:r>
        <w:rPr>
          <w:w w:val="105"/>
          <w:sz w:val="13"/>
        </w:rPr>
        <w:t>as</w:t>
      </w:r>
      <w:r>
        <w:rPr>
          <w:spacing w:val="29"/>
          <w:w w:val="105"/>
          <w:sz w:val="13"/>
        </w:rPr>
        <w:t> </w:t>
      </w:r>
      <w:r>
        <w:rPr>
          <w:w w:val="105"/>
          <w:sz w:val="13"/>
        </w:rPr>
        <w:t>passed.</w:t>
      </w:r>
    </w:p>
    <w:p>
      <w:pPr>
        <w:spacing w:after="0" w:line="240" w:lineRule="auto"/>
        <w:jc w:val="left"/>
        <w:rPr>
          <w:sz w:val="13"/>
        </w:rPr>
        <w:sectPr>
          <w:type w:val="continuous"/>
          <w:pgSz w:w="11910" w:h="16840"/>
          <w:pgMar w:top="920" w:bottom="280" w:left="0" w:right="0"/>
          <w:cols w:num="2" w:equalWidth="0">
            <w:col w:w="1116" w:space="40"/>
            <w:col w:w="10754"/>
          </w:cols>
        </w:sectPr>
      </w:pPr>
    </w:p>
    <w:p>
      <w:pPr>
        <w:pStyle w:val="BodyText"/>
        <w:rPr>
          <w:sz w:val="20"/>
        </w:rPr>
      </w:pPr>
    </w:p>
    <w:p>
      <w:pPr>
        <w:pStyle w:val="BodyText"/>
        <w:rPr>
          <w:sz w:val="19"/>
        </w:rPr>
      </w:pPr>
    </w:p>
    <w:p>
      <w:pPr>
        <w:pStyle w:val="ListParagraph"/>
        <w:numPr>
          <w:ilvl w:val="1"/>
          <w:numId w:val="22"/>
        </w:numPr>
        <w:tabs>
          <w:tab w:pos="2380" w:val="left" w:leader="none"/>
          <w:tab w:pos="2381" w:val="left" w:leader="none"/>
        </w:tabs>
        <w:spacing w:line="242" w:lineRule="auto" w:before="91" w:after="0"/>
        <w:ind w:left="2381" w:right="1723" w:hanging="794"/>
        <w:jc w:val="left"/>
        <w:rPr>
          <w:sz w:val="12"/>
        </w:rPr>
      </w:pPr>
      <w:r>
        <w:rPr>
          <w:w w:val="105"/>
          <w:sz w:val="21"/>
        </w:rPr>
        <w:t>The definition was </w:t>
      </w:r>
      <w:r>
        <w:rPr>
          <w:spacing w:val="-3"/>
          <w:w w:val="105"/>
          <w:sz w:val="21"/>
        </w:rPr>
        <w:t>changed </w:t>
      </w:r>
      <w:r>
        <w:rPr>
          <w:w w:val="105"/>
          <w:sz w:val="21"/>
        </w:rPr>
        <w:t>when the Legal </w:t>
      </w:r>
      <w:r>
        <w:rPr>
          <w:spacing w:val="-3"/>
          <w:w w:val="105"/>
          <w:sz w:val="21"/>
        </w:rPr>
        <w:t>Profession </w:t>
      </w:r>
      <w:r>
        <w:rPr>
          <w:w w:val="105"/>
          <w:sz w:val="21"/>
        </w:rPr>
        <w:t>Act was amended </w:t>
      </w:r>
      <w:r>
        <w:rPr>
          <w:spacing w:val="-3"/>
          <w:w w:val="105"/>
          <w:sz w:val="21"/>
        </w:rPr>
        <w:t>to align </w:t>
      </w:r>
      <w:r>
        <w:rPr>
          <w:w w:val="105"/>
          <w:sz w:val="21"/>
        </w:rPr>
        <w:t>with </w:t>
      </w:r>
      <w:r>
        <w:rPr>
          <w:spacing w:val="-3"/>
          <w:w w:val="105"/>
          <w:sz w:val="21"/>
        </w:rPr>
        <w:t>national </w:t>
      </w:r>
      <w:r>
        <w:rPr>
          <w:w w:val="105"/>
          <w:sz w:val="21"/>
        </w:rPr>
        <w:t>model rules </w:t>
      </w:r>
      <w:r>
        <w:rPr>
          <w:spacing w:val="-3"/>
          <w:w w:val="105"/>
          <w:sz w:val="21"/>
        </w:rPr>
        <w:t>for regulation </w:t>
      </w:r>
      <w:r>
        <w:rPr>
          <w:w w:val="105"/>
          <w:sz w:val="21"/>
        </w:rPr>
        <w:t>of the legal </w:t>
      </w:r>
      <w:r>
        <w:rPr>
          <w:spacing w:val="-3"/>
          <w:w w:val="105"/>
          <w:sz w:val="21"/>
        </w:rPr>
        <w:t>profession </w:t>
      </w:r>
      <w:r>
        <w:rPr>
          <w:w w:val="105"/>
          <w:sz w:val="21"/>
        </w:rPr>
        <w:t>and </w:t>
      </w:r>
      <w:r>
        <w:rPr>
          <w:spacing w:val="-3"/>
          <w:w w:val="105"/>
          <w:sz w:val="21"/>
        </w:rPr>
        <w:t>improve consumer </w:t>
      </w:r>
      <w:r>
        <w:rPr>
          <w:spacing w:val="-2"/>
          <w:w w:val="105"/>
          <w:sz w:val="21"/>
        </w:rPr>
        <w:t>access </w:t>
      </w:r>
      <w:r>
        <w:rPr>
          <w:spacing w:val="-3"/>
          <w:w w:val="105"/>
          <w:sz w:val="21"/>
        </w:rPr>
        <w:t>to avenues for </w:t>
      </w:r>
      <w:r>
        <w:rPr>
          <w:w w:val="105"/>
          <w:sz w:val="21"/>
        </w:rPr>
        <w:t>resolving costs </w:t>
      </w:r>
      <w:r>
        <w:rPr>
          <w:spacing w:val="-4"/>
          <w:w w:val="105"/>
          <w:sz w:val="21"/>
        </w:rPr>
        <w:t>disputes.</w:t>
      </w:r>
      <w:r>
        <w:rPr>
          <w:spacing w:val="-4"/>
          <w:w w:val="105"/>
          <w:position w:val="7"/>
          <w:sz w:val="12"/>
        </w:rPr>
        <w:t>185 </w:t>
      </w:r>
      <w:r>
        <w:rPr>
          <w:spacing w:val="-3"/>
          <w:w w:val="105"/>
          <w:sz w:val="21"/>
        </w:rPr>
        <w:t>Significantly, </w:t>
      </w:r>
      <w:r>
        <w:rPr>
          <w:w w:val="105"/>
          <w:sz w:val="21"/>
        </w:rPr>
        <w:t>the amendments opened up the review</w:t>
      </w:r>
      <w:r>
        <w:rPr>
          <w:spacing w:val="-9"/>
          <w:w w:val="105"/>
          <w:sz w:val="21"/>
        </w:rPr>
        <w:t> </w:t>
      </w:r>
      <w:r>
        <w:rPr>
          <w:w w:val="105"/>
          <w:sz w:val="21"/>
        </w:rPr>
        <w:t>process</w:t>
      </w:r>
      <w:r>
        <w:rPr>
          <w:spacing w:val="-8"/>
          <w:w w:val="105"/>
          <w:sz w:val="21"/>
        </w:rPr>
        <w:t> </w:t>
      </w:r>
      <w:r>
        <w:rPr>
          <w:spacing w:val="-3"/>
          <w:w w:val="105"/>
          <w:sz w:val="21"/>
        </w:rPr>
        <w:t>to</w:t>
      </w:r>
      <w:r>
        <w:rPr>
          <w:spacing w:val="-8"/>
          <w:w w:val="105"/>
          <w:sz w:val="21"/>
        </w:rPr>
        <w:t> </w:t>
      </w:r>
      <w:r>
        <w:rPr>
          <w:spacing w:val="-3"/>
          <w:w w:val="105"/>
          <w:sz w:val="21"/>
        </w:rPr>
        <w:t>‘third</w:t>
      </w:r>
      <w:r>
        <w:rPr>
          <w:spacing w:val="-8"/>
          <w:w w:val="105"/>
          <w:sz w:val="21"/>
        </w:rPr>
        <w:t> </w:t>
      </w:r>
      <w:r>
        <w:rPr>
          <w:w w:val="105"/>
          <w:sz w:val="21"/>
        </w:rPr>
        <w:t>party</w:t>
      </w:r>
      <w:r>
        <w:rPr>
          <w:spacing w:val="-8"/>
          <w:w w:val="105"/>
          <w:sz w:val="21"/>
        </w:rPr>
        <w:t> </w:t>
      </w:r>
      <w:r>
        <w:rPr>
          <w:w w:val="105"/>
          <w:sz w:val="21"/>
        </w:rPr>
        <w:t>payers’</w:t>
      </w:r>
      <w:r>
        <w:rPr>
          <w:spacing w:val="-8"/>
          <w:w w:val="105"/>
          <w:sz w:val="21"/>
        </w:rPr>
        <w:t> </w:t>
      </w:r>
      <w:r>
        <w:rPr>
          <w:w w:val="105"/>
          <w:sz w:val="21"/>
        </w:rPr>
        <w:t>as</w:t>
      </w:r>
      <w:r>
        <w:rPr>
          <w:spacing w:val="-8"/>
          <w:w w:val="105"/>
          <w:sz w:val="21"/>
        </w:rPr>
        <w:t> </w:t>
      </w:r>
      <w:r>
        <w:rPr>
          <w:spacing w:val="-3"/>
          <w:w w:val="105"/>
          <w:sz w:val="21"/>
        </w:rPr>
        <w:t>well</w:t>
      </w:r>
      <w:r>
        <w:rPr>
          <w:spacing w:val="-8"/>
          <w:w w:val="105"/>
          <w:sz w:val="21"/>
        </w:rPr>
        <w:t> </w:t>
      </w:r>
      <w:r>
        <w:rPr>
          <w:w w:val="105"/>
          <w:sz w:val="21"/>
        </w:rPr>
        <w:t>as</w:t>
      </w:r>
      <w:r>
        <w:rPr>
          <w:spacing w:val="-8"/>
          <w:w w:val="105"/>
          <w:sz w:val="21"/>
        </w:rPr>
        <w:t> </w:t>
      </w:r>
      <w:r>
        <w:rPr>
          <w:spacing w:val="-3"/>
          <w:w w:val="105"/>
          <w:sz w:val="21"/>
        </w:rPr>
        <w:t>to</w:t>
      </w:r>
      <w:r>
        <w:rPr>
          <w:spacing w:val="-8"/>
          <w:w w:val="105"/>
          <w:sz w:val="21"/>
        </w:rPr>
        <w:t> </w:t>
      </w:r>
      <w:r>
        <w:rPr>
          <w:w w:val="105"/>
          <w:sz w:val="21"/>
        </w:rPr>
        <w:t>clients.</w:t>
      </w:r>
      <w:r>
        <w:rPr>
          <w:spacing w:val="-8"/>
          <w:w w:val="105"/>
          <w:sz w:val="21"/>
        </w:rPr>
        <w:t> </w:t>
      </w:r>
      <w:r>
        <w:rPr>
          <w:w w:val="105"/>
          <w:sz w:val="21"/>
        </w:rPr>
        <w:t>A</w:t>
      </w:r>
      <w:r>
        <w:rPr>
          <w:spacing w:val="-9"/>
          <w:w w:val="105"/>
          <w:sz w:val="21"/>
        </w:rPr>
        <w:t> </w:t>
      </w:r>
      <w:r>
        <w:rPr>
          <w:spacing w:val="-3"/>
          <w:w w:val="105"/>
          <w:sz w:val="21"/>
        </w:rPr>
        <w:t>third</w:t>
      </w:r>
      <w:r>
        <w:rPr>
          <w:spacing w:val="-8"/>
          <w:w w:val="105"/>
          <w:sz w:val="21"/>
        </w:rPr>
        <w:t> </w:t>
      </w:r>
      <w:r>
        <w:rPr>
          <w:w w:val="105"/>
          <w:sz w:val="21"/>
        </w:rPr>
        <w:t>party</w:t>
      </w:r>
      <w:r>
        <w:rPr>
          <w:spacing w:val="-8"/>
          <w:w w:val="105"/>
          <w:sz w:val="21"/>
        </w:rPr>
        <w:t> </w:t>
      </w:r>
      <w:r>
        <w:rPr>
          <w:spacing w:val="-3"/>
          <w:w w:val="105"/>
          <w:sz w:val="21"/>
        </w:rPr>
        <w:t>payer</w:t>
      </w:r>
      <w:r>
        <w:rPr>
          <w:spacing w:val="-8"/>
          <w:w w:val="105"/>
          <w:sz w:val="21"/>
        </w:rPr>
        <w:t> </w:t>
      </w:r>
      <w:r>
        <w:rPr>
          <w:w w:val="105"/>
          <w:sz w:val="21"/>
        </w:rPr>
        <w:t>is</w:t>
      </w:r>
      <w:r>
        <w:rPr>
          <w:spacing w:val="-8"/>
          <w:w w:val="105"/>
          <w:sz w:val="21"/>
        </w:rPr>
        <w:t> </w:t>
      </w:r>
      <w:r>
        <w:rPr>
          <w:w w:val="105"/>
          <w:sz w:val="21"/>
        </w:rPr>
        <w:t>someone who is </w:t>
      </w:r>
      <w:r>
        <w:rPr>
          <w:spacing w:val="-3"/>
          <w:w w:val="105"/>
          <w:sz w:val="21"/>
        </w:rPr>
        <w:t>liable to </w:t>
      </w:r>
      <w:r>
        <w:rPr>
          <w:spacing w:val="-2"/>
          <w:w w:val="105"/>
          <w:sz w:val="21"/>
        </w:rPr>
        <w:t>pay </w:t>
      </w:r>
      <w:r>
        <w:rPr>
          <w:w w:val="105"/>
          <w:sz w:val="21"/>
        </w:rPr>
        <w:t>the legal costs but is </w:t>
      </w:r>
      <w:r>
        <w:rPr>
          <w:spacing w:val="-2"/>
          <w:w w:val="105"/>
          <w:sz w:val="21"/>
        </w:rPr>
        <w:t>not </w:t>
      </w:r>
      <w:r>
        <w:rPr>
          <w:w w:val="105"/>
          <w:sz w:val="21"/>
        </w:rPr>
        <w:t>themselves a </w:t>
      </w:r>
      <w:r>
        <w:rPr>
          <w:spacing w:val="-3"/>
          <w:w w:val="105"/>
          <w:sz w:val="21"/>
        </w:rPr>
        <w:t>client </w:t>
      </w:r>
      <w:r>
        <w:rPr>
          <w:w w:val="105"/>
          <w:sz w:val="21"/>
        </w:rPr>
        <w:t>of the law</w:t>
      </w:r>
      <w:r>
        <w:rPr>
          <w:spacing w:val="-20"/>
          <w:w w:val="105"/>
          <w:sz w:val="21"/>
        </w:rPr>
        <w:t> </w:t>
      </w:r>
      <w:r>
        <w:rPr>
          <w:spacing w:val="-4"/>
          <w:w w:val="105"/>
          <w:sz w:val="21"/>
        </w:rPr>
        <w:t>practice.</w:t>
      </w:r>
      <w:r>
        <w:rPr>
          <w:spacing w:val="-4"/>
          <w:w w:val="105"/>
          <w:position w:val="7"/>
          <w:sz w:val="12"/>
        </w:rPr>
        <w:t>186</w:t>
      </w:r>
    </w:p>
    <w:p>
      <w:pPr>
        <w:pStyle w:val="BodyText"/>
        <w:spacing w:line="242" w:lineRule="auto" w:before="6"/>
        <w:ind w:left="2380" w:right="2289"/>
      </w:pPr>
      <w:r>
        <w:rPr/>
        <w:t>A beneficiary under a </w:t>
      </w:r>
      <w:r>
        <w:rPr>
          <w:spacing w:val="-3"/>
        </w:rPr>
        <w:t>will </w:t>
      </w:r>
      <w:r>
        <w:rPr/>
        <w:t>is </w:t>
      </w:r>
      <w:r>
        <w:rPr>
          <w:spacing w:val="-2"/>
        </w:rPr>
        <w:t>not </w:t>
      </w:r>
      <w:r>
        <w:rPr/>
        <w:t>a </w:t>
      </w:r>
      <w:r>
        <w:rPr>
          <w:spacing w:val="-3"/>
        </w:rPr>
        <w:t>third </w:t>
      </w:r>
      <w:r>
        <w:rPr/>
        <w:t>party </w:t>
      </w:r>
      <w:r>
        <w:rPr>
          <w:spacing w:val="-3"/>
        </w:rPr>
        <w:t>payer </w:t>
      </w:r>
      <w:r>
        <w:rPr/>
        <w:t>because they </w:t>
      </w:r>
      <w:r>
        <w:rPr>
          <w:spacing w:val="-3"/>
        </w:rPr>
        <w:t>are </w:t>
      </w:r>
      <w:r>
        <w:rPr>
          <w:spacing w:val="-2"/>
        </w:rPr>
        <w:t>not </w:t>
      </w:r>
      <w:r>
        <w:rPr>
          <w:spacing w:val="-3"/>
        </w:rPr>
        <w:t>liable to </w:t>
      </w:r>
      <w:r>
        <w:rPr>
          <w:spacing w:val="-2"/>
        </w:rPr>
        <w:t>pay</w:t>
      </w:r>
      <w:r>
        <w:rPr>
          <w:spacing w:val="43"/>
        </w:rPr>
        <w:t> </w:t>
      </w:r>
      <w:r>
        <w:rPr/>
        <w:t>the legal costs of the</w:t>
      </w:r>
      <w:r>
        <w:rPr>
          <w:spacing w:val="42"/>
        </w:rPr>
        <w:t> </w:t>
      </w:r>
      <w:r>
        <w:rPr>
          <w:spacing w:val="-3"/>
        </w:rPr>
        <w:t>estate.</w:t>
      </w:r>
    </w:p>
    <w:p>
      <w:pPr>
        <w:pStyle w:val="ListParagraph"/>
        <w:numPr>
          <w:ilvl w:val="1"/>
          <w:numId w:val="22"/>
        </w:numPr>
        <w:tabs>
          <w:tab w:pos="2380" w:val="left" w:leader="none"/>
          <w:tab w:pos="2381" w:val="left" w:leader="none"/>
        </w:tabs>
        <w:spacing w:line="242" w:lineRule="auto" w:before="122" w:after="0"/>
        <w:ind w:left="2380" w:right="2108" w:hanging="793"/>
        <w:jc w:val="left"/>
        <w:rPr>
          <w:sz w:val="21"/>
        </w:rPr>
      </w:pPr>
      <w:r>
        <w:rPr>
          <w:spacing w:val="-4"/>
          <w:sz w:val="21"/>
        </w:rPr>
        <w:t>However, </w:t>
      </w:r>
      <w:r>
        <w:rPr>
          <w:sz w:val="21"/>
        </w:rPr>
        <w:t>the modifications </w:t>
      </w:r>
      <w:r>
        <w:rPr>
          <w:spacing w:val="-3"/>
          <w:sz w:val="21"/>
        </w:rPr>
        <w:t>to </w:t>
      </w:r>
      <w:r>
        <w:rPr>
          <w:sz w:val="21"/>
        </w:rPr>
        <w:t>the costs review </w:t>
      </w:r>
      <w:r>
        <w:rPr>
          <w:spacing w:val="-3"/>
          <w:sz w:val="21"/>
        </w:rPr>
        <w:t>provisions to allow  third  </w:t>
      </w:r>
      <w:r>
        <w:rPr>
          <w:sz w:val="21"/>
        </w:rPr>
        <w:t>party payers </w:t>
      </w:r>
      <w:r>
        <w:rPr>
          <w:spacing w:val="-3"/>
          <w:sz w:val="21"/>
        </w:rPr>
        <w:t>to </w:t>
      </w:r>
      <w:r>
        <w:rPr>
          <w:sz w:val="21"/>
        </w:rPr>
        <w:t>apply shortened the definition of </w:t>
      </w:r>
      <w:r>
        <w:rPr>
          <w:spacing w:val="-3"/>
          <w:sz w:val="21"/>
        </w:rPr>
        <w:t>client </w:t>
      </w:r>
      <w:r>
        <w:rPr>
          <w:sz w:val="21"/>
        </w:rPr>
        <w:t>with the effect </w:t>
      </w:r>
      <w:r>
        <w:rPr>
          <w:spacing w:val="-3"/>
          <w:sz w:val="21"/>
        </w:rPr>
        <w:t>that </w:t>
      </w:r>
      <w:r>
        <w:rPr>
          <w:sz w:val="21"/>
        </w:rPr>
        <w:t>it no longer </w:t>
      </w:r>
      <w:r>
        <w:rPr>
          <w:spacing w:val="-3"/>
          <w:sz w:val="21"/>
        </w:rPr>
        <w:t>includes </w:t>
      </w:r>
      <w:r>
        <w:rPr>
          <w:sz w:val="21"/>
        </w:rPr>
        <w:t>beneficiaries.</w:t>
      </w:r>
    </w:p>
    <w:p>
      <w:pPr>
        <w:pStyle w:val="ListParagraph"/>
        <w:numPr>
          <w:ilvl w:val="1"/>
          <w:numId w:val="22"/>
        </w:numPr>
        <w:tabs>
          <w:tab w:pos="2380" w:val="left" w:leader="none"/>
          <w:tab w:pos="2381" w:val="left" w:leader="none"/>
        </w:tabs>
        <w:spacing w:line="242" w:lineRule="auto" w:before="123" w:after="0"/>
        <w:ind w:left="2380" w:right="1867" w:hanging="794"/>
        <w:jc w:val="left"/>
        <w:rPr>
          <w:sz w:val="21"/>
        </w:rPr>
      </w:pPr>
      <w:r>
        <w:rPr>
          <w:sz w:val="21"/>
        </w:rPr>
        <w:t>The </w:t>
      </w:r>
      <w:r>
        <w:rPr>
          <w:spacing w:val="-3"/>
          <w:sz w:val="21"/>
        </w:rPr>
        <w:t>removal </w:t>
      </w:r>
      <w:r>
        <w:rPr>
          <w:sz w:val="21"/>
        </w:rPr>
        <w:t>of the </w:t>
      </w:r>
      <w:r>
        <w:rPr>
          <w:spacing w:val="-3"/>
          <w:sz w:val="21"/>
        </w:rPr>
        <w:t>right </w:t>
      </w:r>
      <w:r>
        <w:rPr>
          <w:sz w:val="21"/>
        </w:rPr>
        <w:t>of beneficiaries </w:t>
      </w:r>
      <w:r>
        <w:rPr>
          <w:spacing w:val="-3"/>
          <w:sz w:val="21"/>
        </w:rPr>
        <w:t>to </w:t>
      </w:r>
      <w:r>
        <w:rPr>
          <w:sz w:val="21"/>
        </w:rPr>
        <w:t>apply </w:t>
      </w:r>
      <w:r>
        <w:rPr>
          <w:spacing w:val="-3"/>
          <w:sz w:val="21"/>
        </w:rPr>
        <w:t>for </w:t>
      </w:r>
      <w:r>
        <w:rPr>
          <w:sz w:val="21"/>
        </w:rPr>
        <w:t>a review </w:t>
      </w:r>
      <w:r>
        <w:rPr>
          <w:spacing w:val="-3"/>
          <w:sz w:val="21"/>
        </w:rPr>
        <w:t>may have </w:t>
      </w:r>
      <w:r>
        <w:rPr>
          <w:sz w:val="21"/>
        </w:rPr>
        <w:t>been an </w:t>
      </w:r>
      <w:r>
        <w:rPr>
          <w:spacing w:val="-3"/>
          <w:sz w:val="21"/>
        </w:rPr>
        <w:t>unintended consequence </w:t>
      </w:r>
      <w:r>
        <w:rPr>
          <w:sz w:val="21"/>
        </w:rPr>
        <w:t>of  </w:t>
      </w:r>
      <w:r>
        <w:rPr>
          <w:spacing w:val="-3"/>
          <w:sz w:val="21"/>
        </w:rPr>
        <w:t>aligning  </w:t>
      </w:r>
      <w:r>
        <w:rPr>
          <w:sz w:val="21"/>
        </w:rPr>
        <w:t>the  Victorian  </w:t>
      </w:r>
      <w:r>
        <w:rPr>
          <w:spacing w:val="-3"/>
          <w:sz w:val="21"/>
        </w:rPr>
        <w:t>legislation  </w:t>
      </w:r>
      <w:r>
        <w:rPr>
          <w:sz w:val="21"/>
        </w:rPr>
        <w:t>with  the  </w:t>
      </w:r>
      <w:r>
        <w:rPr>
          <w:spacing w:val="-3"/>
          <w:sz w:val="21"/>
        </w:rPr>
        <w:t>national  </w:t>
      </w:r>
      <w:r>
        <w:rPr>
          <w:sz w:val="21"/>
        </w:rPr>
        <w:t>model. It was </w:t>
      </w:r>
      <w:r>
        <w:rPr>
          <w:spacing w:val="-2"/>
          <w:sz w:val="21"/>
        </w:rPr>
        <w:t>not </w:t>
      </w:r>
      <w:r>
        <w:rPr>
          <w:sz w:val="21"/>
        </w:rPr>
        <w:t>mentioned </w:t>
      </w:r>
      <w:r>
        <w:rPr>
          <w:spacing w:val="-3"/>
          <w:sz w:val="21"/>
        </w:rPr>
        <w:t>during </w:t>
      </w:r>
      <w:r>
        <w:rPr>
          <w:sz w:val="21"/>
        </w:rPr>
        <w:t>parliamentary debate on the </w:t>
      </w:r>
      <w:r>
        <w:rPr>
          <w:spacing w:val="-3"/>
          <w:sz w:val="21"/>
        </w:rPr>
        <w:t>amending  legislation  </w:t>
      </w:r>
      <w:r>
        <w:rPr>
          <w:sz w:val="21"/>
        </w:rPr>
        <w:t>nor in  the explanatory </w:t>
      </w:r>
      <w:r>
        <w:rPr>
          <w:spacing w:val="-3"/>
          <w:sz w:val="21"/>
        </w:rPr>
        <w:t>memorandum. Comments </w:t>
      </w:r>
      <w:r>
        <w:rPr>
          <w:sz w:val="21"/>
        </w:rPr>
        <w:t>on these </w:t>
      </w:r>
      <w:r>
        <w:rPr>
          <w:spacing w:val="-3"/>
          <w:sz w:val="21"/>
        </w:rPr>
        <w:t>provisions </w:t>
      </w:r>
      <w:r>
        <w:rPr>
          <w:sz w:val="21"/>
        </w:rPr>
        <w:t>focused on the </w:t>
      </w:r>
      <w:r>
        <w:rPr>
          <w:spacing w:val="-3"/>
          <w:sz w:val="21"/>
        </w:rPr>
        <w:t>changes that  </w:t>
      </w:r>
      <w:r>
        <w:rPr>
          <w:sz w:val="21"/>
        </w:rPr>
        <w:t>would extend </w:t>
      </w:r>
      <w:r>
        <w:rPr>
          <w:spacing w:val="-3"/>
          <w:sz w:val="21"/>
        </w:rPr>
        <w:t>consumer</w:t>
      </w:r>
      <w:r>
        <w:rPr>
          <w:spacing w:val="41"/>
          <w:sz w:val="21"/>
        </w:rPr>
        <w:t> </w:t>
      </w:r>
      <w:r>
        <w:rPr>
          <w:sz w:val="21"/>
        </w:rPr>
        <w:t>protection </w:t>
      </w:r>
      <w:r>
        <w:rPr>
          <w:spacing w:val="-3"/>
          <w:sz w:val="21"/>
        </w:rPr>
        <w:t>to  third  </w:t>
      </w:r>
      <w:r>
        <w:rPr>
          <w:sz w:val="21"/>
        </w:rPr>
        <w:t>party payers; there was no </w:t>
      </w:r>
      <w:r>
        <w:rPr>
          <w:spacing w:val="-3"/>
          <w:sz w:val="21"/>
        </w:rPr>
        <w:t>reference   to limiting </w:t>
      </w:r>
      <w:r>
        <w:rPr>
          <w:sz w:val="21"/>
        </w:rPr>
        <w:t>the existing definition of</w:t>
      </w:r>
      <w:r>
        <w:rPr>
          <w:spacing w:val="12"/>
          <w:sz w:val="21"/>
        </w:rPr>
        <w:t> </w:t>
      </w:r>
      <w:r>
        <w:rPr>
          <w:spacing w:val="-3"/>
          <w:sz w:val="21"/>
        </w:rPr>
        <w:t>client.</w:t>
      </w:r>
    </w:p>
    <w:p>
      <w:pPr>
        <w:pStyle w:val="ListParagraph"/>
        <w:numPr>
          <w:ilvl w:val="1"/>
          <w:numId w:val="22"/>
        </w:numPr>
        <w:tabs>
          <w:tab w:pos="2380" w:val="left" w:leader="none"/>
          <w:tab w:pos="2381" w:val="left" w:leader="none"/>
        </w:tabs>
        <w:spacing w:line="242" w:lineRule="auto" w:before="127" w:after="0"/>
        <w:ind w:left="2380" w:right="1750" w:hanging="794"/>
        <w:jc w:val="left"/>
        <w:rPr>
          <w:sz w:val="21"/>
        </w:rPr>
      </w:pPr>
      <w:r>
        <w:rPr>
          <w:spacing w:val="-4"/>
          <w:w w:val="105"/>
          <w:sz w:val="21"/>
        </w:rPr>
        <w:t>Moreover, </w:t>
      </w:r>
      <w:r>
        <w:rPr>
          <w:w w:val="105"/>
          <w:sz w:val="21"/>
        </w:rPr>
        <w:t>there </w:t>
      </w:r>
      <w:r>
        <w:rPr>
          <w:spacing w:val="-2"/>
          <w:w w:val="105"/>
          <w:sz w:val="21"/>
        </w:rPr>
        <w:t>has </w:t>
      </w:r>
      <w:r>
        <w:rPr>
          <w:w w:val="105"/>
          <w:sz w:val="21"/>
        </w:rPr>
        <w:t>been no </w:t>
      </w:r>
      <w:r>
        <w:rPr>
          <w:spacing w:val="-3"/>
          <w:w w:val="105"/>
          <w:sz w:val="21"/>
        </w:rPr>
        <w:t>change to </w:t>
      </w:r>
      <w:r>
        <w:rPr>
          <w:w w:val="105"/>
          <w:sz w:val="21"/>
        </w:rPr>
        <w:t>the </w:t>
      </w:r>
      <w:r>
        <w:rPr>
          <w:spacing w:val="-3"/>
          <w:w w:val="105"/>
          <w:sz w:val="21"/>
        </w:rPr>
        <w:t>right </w:t>
      </w:r>
      <w:r>
        <w:rPr>
          <w:w w:val="105"/>
          <w:sz w:val="21"/>
        </w:rPr>
        <w:t>of beneficiaries </w:t>
      </w:r>
      <w:r>
        <w:rPr>
          <w:spacing w:val="-3"/>
          <w:w w:val="105"/>
          <w:sz w:val="21"/>
        </w:rPr>
        <w:t>to </w:t>
      </w:r>
      <w:r>
        <w:rPr>
          <w:spacing w:val="-4"/>
          <w:w w:val="105"/>
          <w:sz w:val="21"/>
        </w:rPr>
        <w:t>make </w:t>
      </w:r>
      <w:r>
        <w:rPr>
          <w:w w:val="105"/>
          <w:sz w:val="21"/>
        </w:rPr>
        <w:t>a </w:t>
      </w:r>
      <w:r>
        <w:rPr>
          <w:spacing w:val="-3"/>
          <w:w w:val="105"/>
          <w:sz w:val="21"/>
        </w:rPr>
        <w:t>complaint  to</w:t>
      </w:r>
      <w:r>
        <w:rPr>
          <w:spacing w:val="-6"/>
          <w:w w:val="105"/>
          <w:sz w:val="21"/>
        </w:rPr>
        <w:t> </w:t>
      </w:r>
      <w:r>
        <w:rPr>
          <w:w w:val="105"/>
          <w:sz w:val="21"/>
        </w:rPr>
        <w:t>the</w:t>
      </w:r>
      <w:r>
        <w:rPr>
          <w:spacing w:val="-5"/>
          <w:w w:val="105"/>
          <w:sz w:val="21"/>
        </w:rPr>
        <w:t> </w:t>
      </w:r>
      <w:r>
        <w:rPr>
          <w:w w:val="105"/>
          <w:sz w:val="21"/>
        </w:rPr>
        <w:t>Legal</w:t>
      </w:r>
      <w:r>
        <w:rPr>
          <w:spacing w:val="-6"/>
          <w:w w:val="105"/>
          <w:sz w:val="21"/>
        </w:rPr>
        <w:t> </w:t>
      </w:r>
      <w:r>
        <w:rPr>
          <w:w w:val="105"/>
          <w:sz w:val="21"/>
        </w:rPr>
        <w:t>Services</w:t>
      </w:r>
      <w:r>
        <w:rPr>
          <w:spacing w:val="-5"/>
          <w:w w:val="105"/>
          <w:sz w:val="21"/>
        </w:rPr>
        <w:t> </w:t>
      </w:r>
      <w:r>
        <w:rPr>
          <w:spacing w:val="-3"/>
          <w:w w:val="105"/>
          <w:sz w:val="21"/>
        </w:rPr>
        <w:t>Commissioner</w:t>
      </w:r>
      <w:r>
        <w:rPr>
          <w:spacing w:val="-5"/>
          <w:w w:val="105"/>
          <w:sz w:val="21"/>
        </w:rPr>
        <w:t> </w:t>
      </w:r>
      <w:r>
        <w:rPr>
          <w:w w:val="105"/>
          <w:sz w:val="21"/>
        </w:rPr>
        <w:t>about</w:t>
      </w:r>
      <w:r>
        <w:rPr>
          <w:spacing w:val="-6"/>
          <w:w w:val="105"/>
          <w:sz w:val="21"/>
        </w:rPr>
        <w:t> </w:t>
      </w:r>
      <w:r>
        <w:rPr>
          <w:w w:val="105"/>
          <w:sz w:val="21"/>
        </w:rPr>
        <w:t>a</w:t>
      </w:r>
      <w:r>
        <w:rPr>
          <w:spacing w:val="-5"/>
          <w:w w:val="105"/>
          <w:sz w:val="21"/>
        </w:rPr>
        <w:t> </w:t>
      </w:r>
      <w:r>
        <w:rPr>
          <w:w w:val="105"/>
          <w:sz w:val="21"/>
        </w:rPr>
        <w:t>costs</w:t>
      </w:r>
      <w:r>
        <w:rPr>
          <w:spacing w:val="-6"/>
          <w:w w:val="105"/>
          <w:sz w:val="21"/>
        </w:rPr>
        <w:t> </w:t>
      </w:r>
      <w:r>
        <w:rPr>
          <w:spacing w:val="-3"/>
          <w:w w:val="105"/>
          <w:sz w:val="21"/>
        </w:rPr>
        <w:t>dispute</w:t>
      </w:r>
      <w:r>
        <w:rPr>
          <w:spacing w:val="-5"/>
          <w:w w:val="105"/>
          <w:sz w:val="21"/>
        </w:rPr>
        <w:t> </w:t>
      </w:r>
      <w:r>
        <w:rPr>
          <w:spacing w:val="-3"/>
          <w:w w:val="105"/>
          <w:sz w:val="21"/>
        </w:rPr>
        <w:t>concerning</w:t>
      </w:r>
      <w:r>
        <w:rPr>
          <w:spacing w:val="-5"/>
          <w:w w:val="105"/>
          <w:sz w:val="21"/>
        </w:rPr>
        <w:t> </w:t>
      </w:r>
      <w:r>
        <w:rPr>
          <w:w w:val="105"/>
          <w:sz w:val="21"/>
        </w:rPr>
        <w:t>legal</w:t>
      </w:r>
      <w:r>
        <w:rPr>
          <w:spacing w:val="-6"/>
          <w:w w:val="105"/>
          <w:sz w:val="21"/>
        </w:rPr>
        <w:t> </w:t>
      </w:r>
      <w:r>
        <w:rPr>
          <w:w w:val="105"/>
          <w:sz w:val="21"/>
        </w:rPr>
        <w:t>services</w:t>
      </w:r>
      <w:r>
        <w:rPr>
          <w:spacing w:val="-5"/>
          <w:w w:val="105"/>
          <w:sz w:val="21"/>
        </w:rPr>
        <w:t> </w:t>
      </w:r>
      <w:r>
        <w:rPr>
          <w:w w:val="105"/>
          <w:sz w:val="21"/>
        </w:rPr>
        <w:t>if</w:t>
      </w:r>
      <w:r>
        <w:rPr>
          <w:spacing w:val="-5"/>
          <w:w w:val="105"/>
          <w:sz w:val="21"/>
        </w:rPr>
        <w:t> </w:t>
      </w:r>
      <w:r>
        <w:rPr>
          <w:w w:val="105"/>
          <w:sz w:val="21"/>
        </w:rPr>
        <w:t>the </w:t>
      </w:r>
      <w:r>
        <w:rPr>
          <w:spacing w:val="-3"/>
          <w:w w:val="105"/>
          <w:sz w:val="21"/>
        </w:rPr>
        <w:t>disputed amount </w:t>
      </w:r>
      <w:r>
        <w:rPr>
          <w:w w:val="105"/>
          <w:sz w:val="21"/>
        </w:rPr>
        <w:t>is $25,000 or less. If </w:t>
      </w:r>
      <w:r>
        <w:rPr>
          <w:spacing w:val="-3"/>
          <w:w w:val="105"/>
          <w:sz w:val="21"/>
        </w:rPr>
        <w:t>Parliament </w:t>
      </w:r>
      <w:r>
        <w:rPr>
          <w:spacing w:val="-2"/>
          <w:w w:val="105"/>
          <w:sz w:val="21"/>
        </w:rPr>
        <w:t>had </w:t>
      </w:r>
      <w:r>
        <w:rPr>
          <w:spacing w:val="-3"/>
          <w:w w:val="105"/>
          <w:sz w:val="21"/>
        </w:rPr>
        <w:t>intended to remove </w:t>
      </w:r>
      <w:r>
        <w:rPr>
          <w:w w:val="105"/>
          <w:sz w:val="21"/>
        </w:rPr>
        <w:t>the ability of beneficiaries </w:t>
      </w:r>
      <w:r>
        <w:rPr>
          <w:spacing w:val="-3"/>
          <w:w w:val="105"/>
          <w:sz w:val="21"/>
        </w:rPr>
        <w:t>to </w:t>
      </w:r>
      <w:r>
        <w:rPr>
          <w:w w:val="105"/>
          <w:sz w:val="21"/>
        </w:rPr>
        <w:t>seek redress over </w:t>
      </w:r>
      <w:r>
        <w:rPr>
          <w:spacing w:val="-3"/>
          <w:w w:val="105"/>
          <w:sz w:val="21"/>
        </w:rPr>
        <w:t>disputed </w:t>
      </w:r>
      <w:r>
        <w:rPr>
          <w:w w:val="105"/>
          <w:sz w:val="21"/>
        </w:rPr>
        <w:t>legal costs paid </w:t>
      </w:r>
      <w:r>
        <w:rPr>
          <w:spacing w:val="-3"/>
          <w:w w:val="105"/>
          <w:sz w:val="21"/>
        </w:rPr>
        <w:t>from </w:t>
      </w:r>
      <w:r>
        <w:rPr>
          <w:w w:val="105"/>
          <w:sz w:val="21"/>
        </w:rPr>
        <w:t>the </w:t>
      </w:r>
      <w:r>
        <w:rPr>
          <w:spacing w:val="-3"/>
          <w:w w:val="105"/>
          <w:sz w:val="21"/>
        </w:rPr>
        <w:t>estate, </w:t>
      </w:r>
      <w:r>
        <w:rPr>
          <w:w w:val="105"/>
          <w:sz w:val="21"/>
        </w:rPr>
        <w:t>it is </w:t>
      </w:r>
      <w:r>
        <w:rPr>
          <w:spacing w:val="-4"/>
          <w:w w:val="105"/>
          <w:sz w:val="21"/>
        </w:rPr>
        <w:t>fair </w:t>
      </w:r>
      <w:r>
        <w:rPr>
          <w:spacing w:val="-3"/>
          <w:w w:val="105"/>
          <w:sz w:val="21"/>
        </w:rPr>
        <w:t>to </w:t>
      </w:r>
      <w:r>
        <w:rPr>
          <w:w w:val="105"/>
          <w:sz w:val="21"/>
        </w:rPr>
        <w:t>assume </w:t>
      </w:r>
      <w:r>
        <w:rPr>
          <w:spacing w:val="-3"/>
          <w:w w:val="105"/>
          <w:sz w:val="21"/>
        </w:rPr>
        <w:t>that </w:t>
      </w:r>
      <w:r>
        <w:rPr>
          <w:w w:val="105"/>
          <w:sz w:val="21"/>
        </w:rPr>
        <w:t>this </w:t>
      </w:r>
      <w:r>
        <w:rPr>
          <w:spacing w:val="-3"/>
          <w:w w:val="105"/>
          <w:sz w:val="21"/>
        </w:rPr>
        <w:t>avenue </w:t>
      </w:r>
      <w:r>
        <w:rPr>
          <w:w w:val="105"/>
          <w:sz w:val="21"/>
        </w:rPr>
        <w:t>of </w:t>
      </w:r>
      <w:r>
        <w:rPr>
          <w:spacing w:val="-3"/>
          <w:w w:val="105"/>
          <w:sz w:val="21"/>
        </w:rPr>
        <w:t>complaint </w:t>
      </w:r>
      <w:r>
        <w:rPr>
          <w:w w:val="105"/>
          <w:sz w:val="21"/>
        </w:rPr>
        <w:t>would </w:t>
      </w:r>
      <w:r>
        <w:rPr>
          <w:spacing w:val="-3"/>
          <w:w w:val="105"/>
          <w:sz w:val="21"/>
        </w:rPr>
        <w:t>have </w:t>
      </w:r>
      <w:r>
        <w:rPr>
          <w:w w:val="105"/>
          <w:sz w:val="21"/>
        </w:rPr>
        <w:t>been closed as</w:t>
      </w:r>
      <w:r>
        <w:rPr>
          <w:spacing w:val="39"/>
          <w:w w:val="105"/>
          <w:sz w:val="21"/>
        </w:rPr>
        <w:t> </w:t>
      </w:r>
      <w:r>
        <w:rPr>
          <w:spacing w:val="-3"/>
          <w:w w:val="105"/>
          <w:sz w:val="21"/>
        </w:rPr>
        <w:t>well.</w:t>
      </w:r>
    </w:p>
    <w:p>
      <w:pPr>
        <w:pStyle w:val="ListParagraph"/>
        <w:numPr>
          <w:ilvl w:val="1"/>
          <w:numId w:val="22"/>
        </w:numPr>
        <w:tabs>
          <w:tab w:pos="2380" w:val="left" w:leader="none"/>
          <w:tab w:pos="2381" w:val="left" w:leader="none"/>
        </w:tabs>
        <w:spacing w:line="242" w:lineRule="auto" w:before="125" w:after="0"/>
        <w:ind w:left="2380" w:right="1586" w:hanging="794"/>
        <w:jc w:val="left"/>
        <w:rPr>
          <w:sz w:val="12"/>
        </w:rPr>
      </w:pPr>
      <w:r>
        <w:rPr>
          <w:sz w:val="21"/>
        </w:rPr>
        <w:t>Removal of their </w:t>
      </w:r>
      <w:r>
        <w:rPr>
          <w:spacing w:val="-3"/>
          <w:sz w:val="21"/>
        </w:rPr>
        <w:t>right to  </w:t>
      </w:r>
      <w:r>
        <w:rPr>
          <w:sz w:val="21"/>
        </w:rPr>
        <w:t>seek costs review also </w:t>
      </w:r>
      <w:r>
        <w:rPr>
          <w:spacing w:val="-3"/>
          <w:sz w:val="21"/>
        </w:rPr>
        <w:t>narrowed</w:t>
      </w:r>
      <w:r>
        <w:rPr>
          <w:spacing w:val="41"/>
          <w:sz w:val="21"/>
        </w:rPr>
        <w:t> </w:t>
      </w:r>
      <w:r>
        <w:rPr>
          <w:sz w:val="21"/>
        </w:rPr>
        <w:t>the scope </w:t>
      </w:r>
      <w:r>
        <w:rPr>
          <w:spacing w:val="-3"/>
          <w:sz w:val="21"/>
        </w:rPr>
        <w:t>for  </w:t>
      </w:r>
      <w:r>
        <w:rPr>
          <w:sz w:val="21"/>
        </w:rPr>
        <w:t>beneficiaries </w:t>
      </w:r>
      <w:r>
        <w:rPr>
          <w:spacing w:val="-3"/>
          <w:sz w:val="21"/>
        </w:rPr>
        <w:t>to draw </w:t>
      </w:r>
      <w:r>
        <w:rPr>
          <w:sz w:val="21"/>
        </w:rPr>
        <w:t>the </w:t>
      </w:r>
      <w:r>
        <w:rPr>
          <w:spacing w:val="-3"/>
          <w:sz w:val="21"/>
        </w:rPr>
        <w:t>regulator’s </w:t>
      </w:r>
      <w:r>
        <w:rPr>
          <w:sz w:val="21"/>
        </w:rPr>
        <w:t>attention </w:t>
      </w:r>
      <w:r>
        <w:rPr>
          <w:spacing w:val="-3"/>
          <w:sz w:val="21"/>
        </w:rPr>
        <w:t>to unprofessional </w:t>
      </w:r>
      <w:r>
        <w:rPr>
          <w:spacing w:val="-4"/>
          <w:sz w:val="21"/>
        </w:rPr>
        <w:t>behaviour. </w:t>
      </w:r>
      <w:r>
        <w:rPr>
          <w:sz w:val="21"/>
        </w:rPr>
        <w:t>If the Costs  </w:t>
      </w:r>
      <w:r>
        <w:rPr>
          <w:spacing w:val="-3"/>
          <w:sz w:val="21"/>
        </w:rPr>
        <w:t>Court  </w:t>
      </w:r>
      <w:r>
        <w:rPr>
          <w:sz w:val="21"/>
        </w:rPr>
        <w:t>considers </w:t>
      </w:r>
      <w:r>
        <w:rPr>
          <w:spacing w:val="-3"/>
          <w:sz w:val="21"/>
        </w:rPr>
        <w:t>during </w:t>
      </w:r>
      <w:r>
        <w:rPr>
          <w:sz w:val="21"/>
        </w:rPr>
        <w:t>a costs review </w:t>
      </w:r>
      <w:r>
        <w:rPr>
          <w:spacing w:val="-3"/>
          <w:sz w:val="21"/>
        </w:rPr>
        <w:t>that </w:t>
      </w:r>
      <w:r>
        <w:rPr>
          <w:sz w:val="21"/>
        </w:rPr>
        <w:t>the legal costs </w:t>
      </w:r>
      <w:r>
        <w:rPr>
          <w:spacing w:val="-3"/>
          <w:sz w:val="21"/>
        </w:rPr>
        <w:t>charged are excessive, </w:t>
      </w:r>
      <w:r>
        <w:rPr>
          <w:sz w:val="21"/>
        </w:rPr>
        <w:t>or </w:t>
      </w:r>
      <w:r>
        <w:rPr>
          <w:spacing w:val="-3"/>
          <w:sz w:val="21"/>
        </w:rPr>
        <w:t>that </w:t>
      </w:r>
      <w:r>
        <w:rPr>
          <w:sz w:val="21"/>
        </w:rPr>
        <w:t>there </w:t>
      </w:r>
      <w:r>
        <w:rPr>
          <w:spacing w:val="-3"/>
          <w:sz w:val="21"/>
        </w:rPr>
        <w:t>are </w:t>
      </w:r>
      <w:r>
        <w:rPr>
          <w:sz w:val="21"/>
        </w:rPr>
        <w:t>other </w:t>
      </w:r>
      <w:r>
        <w:rPr>
          <w:spacing w:val="-3"/>
          <w:sz w:val="21"/>
        </w:rPr>
        <w:t>indications </w:t>
      </w:r>
      <w:r>
        <w:rPr>
          <w:sz w:val="21"/>
        </w:rPr>
        <w:t>of unsatisfactory </w:t>
      </w:r>
      <w:r>
        <w:rPr>
          <w:spacing w:val="-3"/>
          <w:sz w:val="21"/>
        </w:rPr>
        <w:t>professional </w:t>
      </w:r>
      <w:r>
        <w:rPr>
          <w:sz w:val="21"/>
        </w:rPr>
        <w:t>conduct or </w:t>
      </w:r>
      <w:r>
        <w:rPr>
          <w:spacing w:val="-3"/>
          <w:sz w:val="21"/>
        </w:rPr>
        <w:t>professional </w:t>
      </w:r>
      <w:r>
        <w:rPr>
          <w:sz w:val="21"/>
        </w:rPr>
        <w:t>misconduct, it must </w:t>
      </w:r>
      <w:r>
        <w:rPr>
          <w:spacing w:val="-3"/>
          <w:sz w:val="21"/>
        </w:rPr>
        <w:t>refer </w:t>
      </w:r>
      <w:r>
        <w:rPr>
          <w:sz w:val="21"/>
        </w:rPr>
        <w:t>the matter </w:t>
      </w:r>
      <w:r>
        <w:rPr>
          <w:spacing w:val="-3"/>
          <w:sz w:val="21"/>
        </w:rPr>
        <w:t>to </w:t>
      </w:r>
      <w:r>
        <w:rPr>
          <w:sz w:val="21"/>
        </w:rPr>
        <w:t>the Legal Services </w:t>
      </w:r>
      <w:r>
        <w:rPr>
          <w:spacing w:val="-3"/>
          <w:sz w:val="21"/>
        </w:rPr>
        <w:t>Commissioner to consider  </w:t>
      </w:r>
      <w:r>
        <w:rPr>
          <w:sz w:val="21"/>
        </w:rPr>
        <w:t>whether  </w:t>
      </w:r>
      <w:r>
        <w:rPr>
          <w:spacing w:val="-3"/>
          <w:sz w:val="21"/>
        </w:rPr>
        <w:t>disciplinary  </w:t>
      </w:r>
      <w:r>
        <w:rPr>
          <w:sz w:val="21"/>
        </w:rPr>
        <w:t>action should be</w:t>
      </w:r>
      <w:r>
        <w:rPr>
          <w:spacing w:val="17"/>
          <w:sz w:val="21"/>
        </w:rPr>
        <w:t> </w:t>
      </w:r>
      <w:r>
        <w:rPr>
          <w:spacing w:val="-5"/>
          <w:sz w:val="21"/>
        </w:rPr>
        <w:t>taken.</w:t>
      </w:r>
      <w:r>
        <w:rPr>
          <w:spacing w:val="-5"/>
          <w:position w:val="7"/>
          <w:sz w:val="12"/>
        </w:rPr>
        <w:t>187</w:t>
      </w:r>
    </w:p>
    <w:p>
      <w:pPr>
        <w:pStyle w:val="ListParagraph"/>
        <w:numPr>
          <w:ilvl w:val="1"/>
          <w:numId w:val="22"/>
        </w:numPr>
        <w:tabs>
          <w:tab w:pos="2382" w:val="left" w:leader="none"/>
        </w:tabs>
        <w:spacing w:line="242" w:lineRule="auto" w:before="127" w:after="0"/>
        <w:ind w:left="2381" w:right="1943" w:hanging="794"/>
        <w:jc w:val="both"/>
        <w:rPr>
          <w:sz w:val="12"/>
        </w:rPr>
      </w:pPr>
      <w:r>
        <w:rPr>
          <w:w w:val="105"/>
          <w:sz w:val="21"/>
        </w:rPr>
        <w:t>The</w:t>
      </w:r>
      <w:r>
        <w:rPr>
          <w:spacing w:val="-8"/>
          <w:w w:val="105"/>
          <w:sz w:val="21"/>
        </w:rPr>
        <w:t> </w:t>
      </w:r>
      <w:r>
        <w:rPr>
          <w:w w:val="105"/>
          <w:sz w:val="21"/>
        </w:rPr>
        <w:t>Legal</w:t>
      </w:r>
      <w:r>
        <w:rPr>
          <w:spacing w:val="-8"/>
          <w:w w:val="105"/>
          <w:sz w:val="21"/>
        </w:rPr>
        <w:t> </w:t>
      </w:r>
      <w:r>
        <w:rPr>
          <w:w w:val="105"/>
          <w:sz w:val="21"/>
        </w:rPr>
        <w:t>Services</w:t>
      </w:r>
      <w:r>
        <w:rPr>
          <w:spacing w:val="-7"/>
          <w:w w:val="105"/>
          <w:sz w:val="21"/>
        </w:rPr>
        <w:t> </w:t>
      </w:r>
      <w:r>
        <w:rPr>
          <w:spacing w:val="-3"/>
          <w:w w:val="105"/>
          <w:sz w:val="21"/>
        </w:rPr>
        <w:t>Commissioner</w:t>
      </w:r>
      <w:r>
        <w:rPr>
          <w:spacing w:val="-8"/>
          <w:w w:val="105"/>
          <w:sz w:val="21"/>
        </w:rPr>
        <w:t> </w:t>
      </w:r>
      <w:r>
        <w:rPr>
          <w:w w:val="105"/>
          <w:sz w:val="21"/>
        </w:rPr>
        <w:t>would</w:t>
      </w:r>
      <w:r>
        <w:rPr>
          <w:spacing w:val="-8"/>
          <w:w w:val="105"/>
          <w:sz w:val="21"/>
        </w:rPr>
        <w:t> </w:t>
      </w:r>
      <w:r>
        <w:rPr>
          <w:spacing w:val="-2"/>
          <w:w w:val="105"/>
          <w:sz w:val="21"/>
        </w:rPr>
        <w:t>not</w:t>
      </w:r>
      <w:r>
        <w:rPr>
          <w:spacing w:val="-7"/>
          <w:w w:val="105"/>
          <w:sz w:val="21"/>
        </w:rPr>
        <w:t> </w:t>
      </w:r>
      <w:r>
        <w:rPr>
          <w:w w:val="105"/>
          <w:sz w:val="21"/>
        </w:rPr>
        <w:t>object</w:t>
      </w:r>
      <w:r>
        <w:rPr>
          <w:spacing w:val="-8"/>
          <w:w w:val="105"/>
          <w:sz w:val="21"/>
        </w:rPr>
        <w:t> </w:t>
      </w:r>
      <w:r>
        <w:rPr>
          <w:spacing w:val="-3"/>
          <w:w w:val="105"/>
          <w:sz w:val="21"/>
        </w:rPr>
        <w:t>to</w:t>
      </w:r>
      <w:r>
        <w:rPr>
          <w:spacing w:val="-8"/>
          <w:w w:val="105"/>
          <w:sz w:val="21"/>
        </w:rPr>
        <w:t> </w:t>
      </w:r>
      <w:r>
        <w:rPr>
          <w:spacing w:val="-3"/>
          <w:w w:val="105"/>
          <w:sz w:val="21"/>
        </w:rPr>
        <w:t>reinstating</w:t>
      </w:r>
      <w:r>
        <w:rPr>
          <w:spacing w:val="-7"/>
          <w:w w:val="105"/>
          <w:sz w:val="21"/>
        </w:rPr>
        <w:t> </w:t>
      </w:r>
      <w:r>
        <w:rPr>
          <w:w w:val="105"/>
          <w:sz w:val="21"/>
        </w:rPr>
        <w:t>the</w:t>
      </w:r>
      <w:r>
        <w:rPr>
          <w:spacing w:val="-8"/>
          <w:w w:val="105"/>
          <w:sz w:val="21"/>
        </w:rPr>
        <w:t> </w:t>
      </w:r>
      <w:r>
        <w:rPr>
          <w:w w:val="105"/>
          <w:sz w:val="21"/>
        </w:rPr>
        <w:t>former</w:t>
      </w:r>
      <w:r>
        <w:rPr>
          <w:spacing w:val="-8"/>
          <w:w w:val="105"/>
          <w:sz w:val="21"/>
        </w:rPr>
        <w:t> </w:t>
      </w:r>
      <w:r>
        <w:rPr>
          <w:w w:val="105"/>
          <w:sz w:val="21"/>
        </w:rPr>
        <w:t>definition of</w:t>
      </w:r>
      <w:r>
        <w:rPr>
          <w:spacing w:val="-10"/>
          <w:w w:val="105"/>
          <w:sz w:val="21"/>
        </w:rPr>
        <w:t> </w:t>
      </w:r>
      <w:r>
        <w:rPr>
          <w:spacing w:val="-3"/>
          <w:w w:val="105"/>
          <w:sz w:val="21"/>
        </w:rPr>
        <w:t>client</w:t>
      </w:r>
      <w:r>
        <w:rPr>
          <w:spacing w:val="-9"/>
          <w:w w:val="105"/>
          <w:sz w:val="21"/>
        </w:rPr>
        <w:t> </w:t>
      </w:r>
      <w:r>
        <w:rPr>
          <w:spacing w:val="-3"/>
          <w:w w:val="105"/>
          <w:sz w:val="21"/>
        </w:rPr>
        <w:t>to</w:t>
      </w:r>
      <w:r>
        <w:rPr>
          <w:spacing w:val="-9"/>
          <w:w w:val="105"/>
          <w:sz w:val="21"/>
        </w:rPr>
        <w:t> </w:t>
      </w:r>
      <w:r>
        <w:rPr>
          <w:w w:val="105"/>
          <w:sz w:val="21"/>
        </w:rPr>
        <w:t>the</w:t>
      </w:r>
      <w:r>
        <w:rPr>
          <w:spacing w:val="-9"/>
          <w:w w:val="105"/>
          <w:sz w:val="21"/>
        </w:rPr>
        <w:t> </w:t>
      </w:r>
      <w:r>
        <w:rPr>
          <w:w w:val="105"/>
          <w:sz w:val="21"/>
        </w:rPr>
        <w:t>extent</w:t>
      </w:r>
      <w:r>
        <w:rPr>
          <w:spacing w:val="-9"/>
          <w:w w:val="105"/>
          <w:sz w:val="21"/>
        </w:rPr>
        <w:t> </w:t>
      </w:r>
      <w:r>
        <w:rPr>
          <w:spacing w:val="-3"/>
          <w:w w:val="105"/>
          <w:sz w:val="21"/>
        </w:rPr>
        <w:t>that</w:t>
      </w:r>
      <w:r>
        <w:rPr>
          <w:spacing w:val="-9"/>
          <w:w w:val="105"/>
          <w:sz w:val="21"/>
        </w:rPr>
        <w:t> </w:t>
      </w:r>
      <w:r>
        <w:rPr>
          <w:w w:val="105"/>
          <w:sz w:val="21"/>
        </w:rPr>
        <w:t>it</w:t>
      </w:r>
      <w:r>
        <w:rPr>
          <w:spacing w:val="-9"/>
          <w:w w:val="105"/>
          <w:sz w:val="21"/>
        </w:rPr>
        <w:t> </w:t>
      </w:r>
      <w:r>
        <w:rPr>
          <w:w w:val="105"/>
          <w:sz w:val="21"/>
        </w:rPr>
        <w:t>encompassed</w:t>
      </w:r>
      <w:r>
        <w:rPr>
          <w:spacing w:val="-9"/>
          <w:w w:val="105"/>
          <w:sz w:val="21"/>
        </w:rPr>
        <w:t> </w:t>
      </w:r>
      <w:r>
        <w:rPr>
          <w:w w:val="105"/>
          <w:sz w:val="21"/>
        </w:rPr>
        <w:t>beneficiaries,</w:t>
      </w:r>
      <w:r>
        <w:rPr>
          <w:spacing w:val="-9"/>
          <w:w w:val="105"/>
          <w:sz w:val="21"/>
        </w:rPr>
        <w:t> </w:t>
      </w:r>
      <w:r>
        <w:rPr>
          <w:spacing w:val="-3"/>
          <w:w w:val="105"/>
          <w:sz w:val="21"/>
        </w:rPr>
        <w:t>for</w:t>
      </w:r>
      <w:r>
        <w:rPr>
          <w:spacing w:val="-9"/>
          <w:w w:val="105"/>
          <w:sz w:val="21"/>
        </w:rPr>
        <w:t> </w:t>
      </w:r>
      <w:r>
        <w:rPr>
          <w:w w:val="105"/>
          <w:sz w:val="21"/>
        </w:rPr>
        <w:t>the</w:t>
      </w:r>
      <w:r>
        <w:rPr>
          <w:spacing w:val="-9"/>
          <w:w w:val="105"/>
          <w:sz w:val="21"/>
        </w:rPr>
        <w:t> </w:t>
      </w:r>
      <w:r>
        <w:rPr>
          <w:w w:val="105"/>
          <w:sz w:val="21"/>
        </w:rPr>
        <w:t>purposes</w:t>
      </w:r>
      <w:r>
        <w:rPr>
          <w:spacing w:val="-9"/>
          <w:w w:val="105"/>
          <w:sz w:val="21"/>
        </w:rPr>
        <w:t> </w:t>
      </w:r>
      <w:r>
        <w:rPr>
          <w:w w:val="105"/>
          <w:sz w:val="21"/>
        </w:rPr>
        <w:t>of</w:t>
      </w:r>
      <w:r>
        <w:rPr>
          <w:spacing w:val="-9"/>
          <w:w w:val="105"/>
          <w:sz w:val="21"/>
        </w:rPr>
        <w:t> </w:t>
      </w:r>
      <w:r>
        <w:rPr>
          <w:w w:val="105"/>
          <w:sz w:val="21"/>
        </w:rPr>
        <w:t>the</w:t>
      </w:r>
      <w:r>
        <w:rPr>
          <w:spacing w:val="-9"/>
          <w:w w:val="105"/>
          <w:sz w:val="21"/>
        </w:rPr>
        <w:t> </w:t>
      </w:r>
      <w:r>
        <w:rPr>
          <w:w w:val="105"/>
          <w:sz w:val="21"/>
        </w:rPr>
        <w:t>costs review</w:t>
      </w:r>
      <w:r>
        <w:rPr>
          <w:spacing w:val="5"/>
          <w:w w:val="105"/>
          <w:sz w:val="21"/>
        </w:rPr>
        <w:t> </w:t>
      </w:r>
      <w:r>
        <w:rPr>
          <w:spacing w:val="-4"/>
          <w:w w:val="105"/>
          <w:sz w:val="21"/>
        </w:rPr>
        <w:t>provisions.</w:t>
      </w:r>
      <w:r>
        <w:rPr>
          <w:spacing w:val="-4"/>
          <w:w w:val="105"/>
          <w:position w:val="7"/>
          <w:sz w:val="12"/>
        </w:rPr>
        <w:t>188</w:t>
      </w:r>
    </w:p>
    <w:p>
      <w:pPr>
        <w:pStyle w:val="ListParagraph"/>
        <w:numPr>
          <w:ilvl w:val="1"/>
          <w:numId w:val="22"/>
        </w:numPr>
        <w:tabs>
          <w:tab w:pos="2381" w:val="left" w:leader="none"/>
          <w:tab w:pos="2382" w:val="left" w:leader="none"/>
        </w:tabs>
        <w:spacing w:line="242" w:lineRule="auto" w:before="123" w:after="0"/>
        <w:ind w:left="2381" w:right="1641" w:hanging="794"/>
        <w:jc w:val="left"/>
        <w:rPr>
          <w:sz w:val="21"/>
        </w:rPr>
      </w:pPr>
      <w:r>
        <w:rPr>
          <w:sz w:val="21"/>
        </w:rPr>
        <w:t>It is essential </w:t>
      </w:r>
      <w:r>
        <w:rPr>
          <w:spacing w:val="-3"/>
          <w:sz w:val="21"/>
        </w:rPr>
        <w:t>that </w:t>
      </w:r>
      <w:r>
        <w:rPr>
          <w:sz w:val="21"/>
        </w:rPr>
        <w:t>beneficiaries </w:t>
      </w:r>
      <w:r>
        <w:rPr>
          <w:spacing w:val="-3"/>
          <w:sz w:val="21"/>
        </w:rPr>
        <w:t>are </w:t>
      </w:r>
      <w:r>
        <w:rPr>
          <w:sz w:val="21"/>
        </w:rPr>
        <w:t>able </w:t>
      </w:r>
      <w:r>
        <w:rPr>
          <w:spacing w:val="-3"/>
          <w:sz w:val="21"/>
        </w:rPr>
        <w:t>to </w:t>
      </w:r>
      <w:r>
        <w:rPr>
          <w:sz w:val="21"/>
        </w:rPr>
        <w:t>seek review of legal costs </w:t>
      </w:r>
      <w:r>
        <w:rPr>
          <w:spacing w:val="-3"/>
          <w:sz w:val="21"/>
        </w:rPr>
        <w:t>charged to  </w:t>
      </w:r>
      <w:r>
        <w:rPr>
          <w:sz w:val="21"/>
        </w:rPr>
        <w:t>the estate by legal practitioner executors. Legal practitioner executors should be </w:t>
      </w:r>
      <w:r>
        <w:rPr>
          <w:spacing w:val="-3"/>
          <w:sz w:val="21"/>
        </w:rPr>
        <w:t>answerable  </w:t>
      </w:r>
      <w:r>
        <w:rPr>
          <w:sz w:val="21"/>
        </w:rPr>
        <w:t>if there  is reason </w:t>
      </w:r>
      <w:r>
        <w:rPr>
          <w:spacing w:val="-3"/>
          <w:sz w:val="21"/>
        </w:rPr>
        <w:t>to </w:t>
      </w:r>
      <w:r>
        <w:rPr>
          <w:sz w:val="21"/>
        </w:rPr>
        <w:t>believe </w:t>
      </w:r>
      <w:r>
        <w:rPr>
          <w:spacing w:val="-3"/>
          <w:sz w:val="21"/>
        </w:rPr>
        <w:t>that </w:t>
      </w:r>
      <w:r>
        <w:rPr>
          <w:sz w:val="21"/>
        </w:rPr>
        <w:t>their personal interests </w:t>
      </w:r>
      <w:r>
        <w:rPr>
          <w:spacing w:val="-3"/>
          <w:sz w:val="21"/>
        </w:rPr>
        <w:t>have taken </w:t>
      </w:r>
      <w:r>
        <w:rPr>
          <w:sz w:val="21"/>
        </w:rPr>
        <w:t>precedence over their duty </w:t>
      </w:r>
      <w:r>
        <w:rPr>
          <w:spacing w:val="-3"/>
          <w:sz w:val="21"/>
        </w:rPr>
        <w:t>to </w:t>
      </w:r>
      <w:r>
        <w:rPr>
          <w:sz w:val="21"/>
        </w:rPr>
        <w:t>the</w:t>
      </w:r>
      <w:r>
        <w:rPr>
          <w:spacing w:val="8"/>
          <w:sz w:val="21"/>
        </w:rPr>
        <w:t> </w:t>
      </w:r>
      <w:r>
        <w:rPr>
          <w:sz w:val="21"/>
        </w:rPr>
        <w:t>beneficiaries.</w:t>
      </w:r>
    </w:p>
    <w:p>
      <w:pPr>
        <w:pStyle w:val="BodyText"/>
        <w:spacing w:before="2"/>
        <w:rPr>
          <w:sz w:val="16"/>
        </w:rPr>
      </w:pPr>
      <w:r>
        <w:rPr/>
        <w:pict>
          <v:group style="position:absolute;margin-left:62.362099pt;margin-top:11.863963pt;width:479.1pt;height:122.55pt;mso-position-horizontal-relative:page;mso-position-vertical-relative:paragraph;z-index:10160;mso-wrap-distance-left:0;mso-wrap-distance-right:0" coordorigin="1247,237" coordsize="9582,2451">
            <v:rect style="position:absolute;left:1587;top:237;width:8731;height:2451" filled="true" fillcolor="#fdebea" stroked="false">
              <v:fill type="solid"/>
            </v:rect>
            <v:line style="position:absolute" from="1247,988" to="10828,988" stroked="true" strokeweight="2.5pt" strokecolor="#ffffff">
              <v:stroke dashstyle="solid"/>
            </v:line>
            <v:shape style="position:absolute;left:2381;top:1225;width:7727;height:1289" type="#_x0000_t202" filled="false" stroked="false">
              <v:textbox inset="0,0,0,0">
                <w:txbxContent>
                  <w:p>
                    <w:pPr>
                      <w:spacing w:line="242" w:lineRule="auto" w:before="0"/>
                      <w:ind w:left="0" w:right="87" w:firstLine="0"/>
                      <w:jc w:val="left"/>
                      <w:rPr>
                        <w:sz w:val="21"/>
                      </w:rPr>
                    </w:pPr>
                    <w:r>
                      <w:rPr>
                        <w:w w:val="110"/>
                        <w:sz w:val="21"/>
                      </w:rPr>
                      <w:t>Review of legal costs by the Costs Court, as currently made </w:t>
                    </w:r>
                    <w:r>
                      <w:rPr>
                        <w:spacing w:val="-3"/>
                        <w:w w:val="110"/>
                        <w:sz w:val="21"/>
                      </w:rPr>
                      <w:t>available </w:t>
                    </w:r>
                    <w:r>
                      <w:rPr>
                        <w:w w:val="110"/>
                        <w:sz w:val="21"/>
                      </w:rPr>
                      <w:t>to clients</w:t>
                    </w:r>
                    <w:r>
                      <w:rPr>
                        <w:spacing w:val="52"/>
                        <w:w w:val="110"/>
                        <w:sz w:val="21"/>
                      </w:rPr>
                      <w:t> </w:t>
                    </w:r>
                    <w:r>
                      <w:rPr>
                        <w:w w:val="110"/>
                        <w:sz w:val="21"/>
                      </w:rPr>
                      <w:t>and</w:t>
                    </w:r>
                    <w:r>
                      <w:rPr>
                        <w:spacing w:val="-14"/>
                        <w:w w:val="110"/>
                        <w:sz w:val="21"/>
                      </w:rPr>
                      <w:t> </w:t>
                    </w:r>
                    <w:r>
                      <w:rPr>
                        <w:w w:val="110"/>
                        <w:sz w:val="21"/>
                      </w:rPr>
                      <w:t>third</w:t>
                    </w:r>
                    <w:r>
                      <w:rPr>
                        <w:spacing w:val="-13"/>
                        <w:w w:val="110"/>
                        <w:sz w:val="21"/>
                      </w:rPr>
                      <w:t> </w:t>
                    </w:r>
                    <w:r>
                      <w:rPr>
                        <w:w w:val="110"/>
                        <w:sz w:val="21"/>
                      </w:rPr>
                      <w:t>party</w:t>
                    </w:r>
                    <w:r>
                      <w:rPr>
                        <w:spacing w:val="-13"/>
                        <w:w w:val="110"/>
                        <w:sz w:val="21"/>
                      </w:rPr>
                      <w:t> </w:t>
                    </w:r>
                    <w:r>
                      <w:rPr>
                        <w:w w:val="110"/>
                        <w:sz w:val="21"/>
                      </w:rPr>
                      <w:t>payers</w:t>
                    </w:r>
                    <w:r>
                      <w:rPr>
                        <w:spacing w:val="-13"/>
                        <w:w w:val="110"/>
                        <w:sz w:val="21"/>
                      </w:rPr>
                      <w:t> </w:t>
                    </w:r>
                    <w:r>
                      <w:rPr>
                        <w:w w:val="110"/>
                        <w:sz w:val="21"/>
                      </w:rPr>
                      <w:t>by</w:t>
                    </w:r>
                    <w:r>
                      <w:rPr>
                        <w:spacing w:val="-13"/>
                        <w:w w:val="110"/>
                        <w:sz w:val="21"/>
                      </w:rPr>
                      <w:t> </w:t>
                    </w:r>
                    <w:r>
                      <w:rPr>
                        <w:w w:val="110"/>
                        <w:sz w:val="21"/>
                      </w:rPr>
                      <w:t>section</w:t>
                    </w:r>
                    <w:r>
                      <w:rPr>
                        <w:spacing w:val="-13"/>
                        <w:w w:val="110"/>
                        <w:sz w:val="21"/>
                      </w:rPr>
                      <w:t> </w:t>
                    </w:r>
                    <w:r>
                      <w:rPr>
                        <w:w w:val="110"/>
                        <w:sz w:val="21"/>
                      </w:rPr>
                      <w:t>3.4.38</w:t>
                    </w:r>
                    <w:r>
                      <w:rPr>
                        <w:spacing w:val="-13"/>
                        <w:w w:val="110"/>
                        <w:sz w:val="21"/>
                      </w:rPr>
                      <w:t> </w:t>
                    </w:r>
                    <w:r>
                      <w:rPr>
                        <w:w w:val="110"/>
                        <w:sz w:val="21"/>
                      </w:rPr>
                      <w:t>of</w:t>
                    </w:r>
                    <w:r>
                      <w:rPr>
                        <w:spacing w:val="-14"/>
                        <w:w w:val="110"/>
                        <w:sz w:val="21"/>
                      </w:rPr>
                      <w:t> </w:t>
                    </w:r>
                    <w:r>
                      <w:rPr>
                        <w:w w:val="110"/>
                        <w:sz w:val="21"/>
                      </w:rPr>
                      <w:t>the</w:t>
                    </w:r>
                    <w:r>
                      <w:rPr>
                        <w:spacing w:val="-13"/>
                        <w:w w:val="110"/>
                        <w:sz w:val="21"/>
                      </w:rPr>
                      <w:t> </w:t>
                    </w:r>
                    <w:r>
                      <w:rPr>
                        <w:rFonts w:ascii="Lucida Sans"/>
                        <w:i/>
                        <w:w w:val="110"/>
                        <w:sz w:val="21"/>
                      </w:rPr>
                      <w:t>Legal</w:t>
                    </w:r>
                    <w:r>
                      <w:rPr>
                        <w:rFonts w:ascii="Lucida Sans"/>
                        <w:i/>
                        <w:spacing w:val="-34"/>
                        <w:w w:val="110"/>
                        <w:sz w:val="21"/>
                      </w:rPr>
                      <w:t> </w:t>
                    </w:r>
                    <w:r>
                      <w:rPr>
                        <w:rFonts w:ascii="Lucida Sans"/>
                        <w:i/>
                        <w:w w:val="110"/>
                        <w:sz w:val="21"/>
                      </w:rPr>
                      <w:t>Profession</w:t>
                    </w:r>
                    <w:r>
                      <w:rPr>
                        <w:rFonts w:ascii="Lucida Sans"/>
                        <w:i/>
                        <w:spacing w:val="-34"/>
                        <w:w w:val="110"/>
                        <w:sz w:val="21"/>
                      </w:rPr>
                      <w:t> </w:t>
                    </w:r>
                    <w:r>
                      <w:rPr>
                        <w:rFonts w:ascii="Lucida Sans"/>
                        <w:i/>
                        <w:w w:val="110"/>
                        <w:sz w:val="21"/>
                      </w:rPr>
                      <w:t>Act</w:t>
                    </w:r>
                    <w:r>
                      <w:rPr>
                        <w:rFonts w:ascii="Lucida Sans"/>
                        <w:i/>
                        <w:spacing w:val="-34"/>
                        <w:w w:val="110"/>
                        <w:sz w:val="21"/>
                      </w:rPr>
                      <w:t> </w:t>
                    </w:r>
                    <w:r>
                      <w:rPr>
                        <w:rFonts w:ascii="Lucida Sans"/>
                        <w:i/>
                        <w:w w:val="110"/>
                        <w:sz w:val="21"/>
                      </w:rPr>
                      <w:t>2004</w:t>
                    </w:r>
                    <w:r>
                      <w:rPr>
                        <w:rFonts w:ascii="Lucida Sans"/>
                        <w:i/>
                        <w:spacing w:val="-34"/>
                        <w:w w:val="110"/>
                        <w:sz w:val="21"/>
                      </w:rPr>
                      <w:t> </w:t>
                    </w:r>
                    <w:r>
                      <w:rPr>
                        <w:w w:val="110"/>
                        <w:sz w:val="21"/>
                      </w:rPr>
                      <w:t>(Vic), should once again be made </w:t>
                    </w:r>
                    <w:r>
                      <w:rPr>
                        <w:spacing w:val="-3"/>
                        <w:w w:val="110"/>
                        <w:sz w:val="21"/>
                      </w:rPr>
                      <w:t>available </w:t>
                    </w:r>
                    <w:r>
                      <w:rPr>
                        <w:w w:val="110"/>
                        <w:sz w:val="21"/>
                      </w:rPr>
                      <w:t>to  a  person  interested  in  </w:t>
                    </w:r>
                    <w:r>
                      <w:rPr>
                        <w:spacing w:val="-2"/>
                        <w:w w:val="110"/>
                        <w:sz w:val="21"/>
                      </w:rPr>
                      <w:t>any  </w:t>
                    </w:r>
                    <w:r>
                      <w:rPr>
                        <w:w w:val="110"/>
                        <w:sz w:val="21"/>
                      </w:rPr>
                      <w:t>property out of which a legal practitioner </w:t>
                    </w:r>
                    <w:r>
                      <w:rPr>
                        <w:spacing w:val="-3"/>
                        <w:w w:val="110"/>
                        <w:sz w:val="21"/>
                      </w:rPr>
                      <w:t>executor, </w:t>
                    </w:r>
                    <w:r>
                      <w:rPr>
                        <w:w w:val="110"/>
                        <w:sz w:val="21"/>
                      </w:rPr>
                      <w:t>administrator or trustee may recover legal</w:t>
                    </w:r>
                    <w:r>
                      <w:rPr>
                        <w:spacing w:val="3"/>
                        <w:w w:val="110"/>
                        <w:sz w:val="21"/>
                      </w:rPr>
                      <w:t> </w:t>
                    </w:r>
                    <w:r>
                      <w:rPr>
                        <w:w w:val="110"/>
                        <w:sz w:val="21"/>
                      </w:rPr>
                      <w:t>costs.</w:t>
                    </w:r>
                  </w:p>
                </w:txbxContent>
              </v:textbox>
              <w10:wrap type="none"/>
            </v:shape>
            <v:shape style="position:absolute;left:1814;top:1225;width:256;height:249" type="#_x0000_t202" filled="false" stroked="false">
              <v:textbox inset="0,0,0,0">
                <w:txbxContent>
                  <w:p>
                    <w:pPr>
                      <w:spacing w:line="249" w:lineRule="exact" w:before="0"/>
                      <w:ind w:left="0" w:right="0" w:firstLine="0"/>
                      <w:jc w:val="left"/>
                      <w:rPr>
                        <w:sz w:val="21"/>
                      </w:rPr>
                    </w:pPr>
                    <w:r>
                      <w:rPr>
                        <w:w w:val="110"/>
                        <w:sz w:val="21"/>
                      </w:rPr>
                      <w:t>60</w:t>
                    </w:r>
                  </w:p>
                </w:txbxContent>
              </v:textbox>
              <w10:wrap type="none"/>
            </v:shape>
            <v:shape style="position:absolute;left:1587;top:237;width:8731;height:726" type="#_x0000_t202" filled="true" fillcolor="#fdebea" stroked="false">
              <v:textbox inset="0,0,0,0">
                <w:txbxContent>
                  <w:p>
                    <w:pPr>
                      <w:spacing w:before="166"/>
                      <w:ind w:left="226" w:right="0" w:firstLine="0"/>
                      <w:jc w:val="left"/>
                      <w:rPr>
                        <w:b/>
                        <w:sz w:val="32"/>
                      </w:rPr>
                    </w:pPr>
                    <w:r>
                      <w:rPr>
                        <w:b/>
                        <w:color w:val="EC5A4F"/>
                        <w:w w:val="110"/>
                        <w:sz w:val="32"/>
                      </w:rPr>
                      <w:t>Recommendation</w:t>
                    </w:r>
                  </w:p>
                </w:txbxContent>
              </v:textbox>
              <v:fill type="solid"/>
              <w10:wrap type="none"/>
            </v:shape>
            <w10:wrap type="topAndBottom"/>
          </v:group>
        </w:pict>
      </w:r>
    </w:p>
    <w:p>
      <w:pPr>
        <w:pStyle w:val="BodyText"/>
        <w:rPr>
          <w:sz w:val="20"/>
        </w:rPr>
      </w:pPr>
    </w:p>
    <w:p>
      <w:pPr>
        <w:pStyle w:val="BodyText"/>
        <w:rPr>
          <w:sz w:val="20"/>
        </w:rPr>
      </w:pPr>
    </w:p>
    <w:p>
      <w:pPr>
        <w:pStyle w:val="BodyText"/>
        <w:spacing w:before="10"/>
        <w:rPr>
          <w:sz w:val="22"/>
        </w:rPr>
      </w:pPr>
      <w:r>
        <w:rPr/>
        <w:pict>
          <v:line style="position:absolute;mso-position-horizontal-relative:page;mso-position-vertical-relative:paragraph;z-index:10184;mso-wrap-distance-left:0;mso-wrap-distance-right:0" from="79.370003pt,16.402538pt" to="515.905003pt,16.402538pt" stroked="true" strokeweight="1pt" strokecolor="#f9ceca">
            <v:stroke dashstyle="solid"/>
            <w10:wrap type="topAndBottom"/>
          </v:line>
        </w:pict>
      </w:r>
    </w:p>
    <w:p>
      <w:pPr>
        <w:pStyle w:val="BodyText"/>
        <w:spacing w:before="8"/>
        <w:rPr>
          <w:sz w:val="5"/>
        </w:rPr>
      </w:pPr>
    </w:p>
    <w:p>
      <w:pPr>
        <w:spacing w:after="0"/>
        <w:rPr>
          <w:sz w:val="5"/>
        </w:rPr>
        <w:sectPr>
          <w:pgSz w:w="11910" w:h="16840"/>
          <w:pgMar w:header="805" w:footer="0" w:top="1360" w:bottom="280" w:left="0" w:right="0"/>
        </w:sectPr>
      </w:pPr>
    </w:p>
    <w:p>
      <w:pPr>
        <w:pStyle w:val="ListParagraph"/>
        <w:numPr>
          <w:ilvl w:val="1"/>
          <w:numId w:val="125"/>
        </w:numPr>
        <w:tabs>
          <w:tab w:pos="2380" w:val="left" w:leader="none"/>
          <w:tab w:pos="2382" w:val="left" w:leader="none"/>
        </w:tabs>
        <w:spacing w:line="240" w:lineRule="auto" w:before="48" w:after="0"/>
        <w:ind w:left="2381" w:right="0" w:hanging="794"/>
        <w:jc w:val="left"/>
        <w:rPr>
          <w:sz w:val="13"/>
        </w:rPr>
      </w:pPr>
      <w:r>
        <w:rPr>
          <w:i/>
          <w:w w:val="105"/>
          <w:sz w:val="13"/>
        </w:rPr>
        <w:t>Legal Profession Amendment Act 2007</w:t>
      </w:r>
      <w:r>
        <w:rPr>
          <w:i/>
          <w:spacing w:val="18"/>
          <w:w w:val="105"/>
          <w:sz w:val="13"/>
        </w:rPr>
        <w:t> </w:t>
      </w:r>
      <w:r>
        <w:rPr>
          <w:spacing w:val="2"/>
          <w:w w:val="105"/>
          <w:sz w:val="13"/>
        </w:rPr>
        <w:t>(Vic).</w:t>
      </w:r>
    </w:p>
    <w:p>
      <w:pPr>
        <w:pStyle w:val="ListParagraph"/>
        <w:numPr>
          <w:ilvl w:val="1"/>
          <w:numId w:val="125"/>
        </w:numPr>
        <w:tabs>
          <w:tab w:pos="2381" w:val="left" w:leader="none"/>
          <w:tab w:pos="2382" w:val="left" w:leader="none"/>
        </w:tabs>
        <w:spacing w:line="240" w:lineRule="auto" w:before="1" w:after="0"/>
        <w:ind w:left="2381" w:right="0" w:hanging="794"/>
        <w:jc w:val="left"/>
        <w:rPr>
          <w:sz w:val="13"/>
        </w:rPr>
      </w:pPr>
      <w:r>
        <w:rPr>
          <w:i/>
          <w:w w:val="105"/>
          <w:sz w:val="13"/>
        </w:rPr>
        <w:t>Legal Profession Act 2004 </w:t>
      </w:r>
      <w:r>
        <w:rPr>
          <w:spacing w:val="2"/>
          <w:w w:val="105"/>
          <w:sz w:val="13"/>
        </w:rPr>
        <w:t>(Vic) </w:t>
      </w:r>
      <w:r>
        <w:rPr>
          <w:w w:val="105"/>
          <w:sz w:val="13"/>
        </w:rPr>
        <w:t>s 3.4.38(10). The examples given by the Attorney-General when introducing the amending legislation  </w:t>
      </w:r>
      <w:r>
        <w:rPr>
          <w:spacing w:val="30"/>
          <w:w w:val="105"/>
          <w:sz w:val="13"/>
        </w:rPr>
        <w:t> </w:t>
      </w:r>
      <w:r>
        <w:rPr>
          <w:w w:val="105"/>
          <w:sz w:val="13"/>
        </w:rPr>
        <w:t>to Parliament included borrowers who are required to pay the legal costs of the lender in the preparation of mortgage documents,    and parents who pay the legal fees in a matter for which their child is the client of the law practice: Victoria, </w:t>
      </w:r>
      <w:r>
        <w:rPr>
          <w:i/>
          <w:w w:val="105"/>
          <w:sz w:val="13"/>
        </w:rPr>
        <w:t>Parliamentary Debates</w:t>
      </w:r>
      <w:r>
        <w:rPr>
          <w:w w:val="105"/>
          <w:sz w:val="13"/>
        </w:rPr>
        <w:t>, Legislative Assembly, 28 February 2007, 561 </w:t>
      </w:r>
      <w:r>
        <w:rPr>
          <w:spacing w:val="2"/>
          <w:w w:val="105"/>
          <w:sz w:val="13"/>
        </w:rPr>
        <w:t>(Rob</w:t>
      </w:r>
      <w:r>
        <w:rPr>
          <w:spacing w:val="32"/>
          <w:w w:val="105"/>
          <w:sz w:val="13"/>
        </w:rPr>
        <w:t> </w:t>
      </w:r>
      <w:r>
        <w:rPr>
          <w:w w:val="105"/>
          <w:sz w:val="13"/>
        </w:rPr>
        <w:t>Hulls).</w:t>
      </w:r>
    </w:p>
    <w:p>
      <w:pPr>
        <w:pStyle w:val="ListParagraph"/>
        <w:numPr>
          <w:ilvl w:val="1"/>
          <w:numId w:val="125"/>
        </w:numPr>
        <w:tabs>
          <w:tab w:pos="2381" w:val="left" w:leader="none"/>
          <w:tab w:pos="2382" w:val="left" w:leader="none"/>
        </w:tabs>
        <w:spacing w:line="240" w:lineRule="auto" w:before="6" w:after="0"/>
        <w:ind w:left="2381" w:right="0" w:hanging="794"/>
        <w:jc w:val="left"/>
        <w:rPr>
          <w:sz w:val="13"/>
        </w:rPr>
      </w:pPr>
      <w:r>
        <w:rPr>
          <w:i/>
          <w:w w:val="105"/>
          <w:sz w:val="13"/>
        </w:rPr>
        <w:t>Legal Profession Act 2004 </w:t>
      </w:r>
      <w:r>
        <w:rPr>
          <w:spacing w:val="2"/>
          <w:w w:val="105"/>
          <w:sz w:val="13"/>
        </w:rPr>
        <w:t>(Vic) </w:t>
      </w:r>
      <w:r>
        <w:rPr>
          <w:w w:val="105"/>
          <w:sz w:val="13"/>
        </w:rPr>
        <w:t>s</w:t>
      </w:r>
      <w:r>
        <w:rPr>
          <w:spacing w:val="23"/>
          <w:w w:val="105"/>
          <w:sz w:val="13"/>
        </w:rPr>
        <w:t> </w:t>
      </w:r>
      <w:r>
        <w:rPr>
          <w:w w:val="105"/>
          <w:sz w:val="13"/>
        </w:rPr>
        <w:t>3.4.46</w:t>
      </w:r>
    </w:p>
    <w:p>
      <w:pPr>
        <w:pStyle w:val="ListParagraph"/>
        <w:numPr>
          <w:ilvl w:val="1"/>
          <w:numId w:val="125"/>
        </w:numPr>
        <w:tabs>
          <w:tab w:pos="2381" w:val="left" w:leader="none"/>
          <w:tab w:pos="2382" w:val="left" w:leader="none"/>
        </w:tabs>
        <w:spacing w:line="240" w:lineRule="auto" w:before="1" w:after="0"/>
        <w:ind w:left="2381" w:right="0" w:hanging="794"/>
        <w:jc w:val="left"/>
        <w:rPr>
          <w:sz w:val="13"/>
        </w:rPr>
      </w:pPr>
      <w:r>
        <w:rPr>
          <w:w w:val="105"/>
          <w:sz w:val="13"/>
        </w:rPr>
        <w:t>Consultation 21 </w:t>
      </w:r>
      <w:r>
        <w:rPr>
          <w:spacing w:val="2"/>
          <w:w w:val="105"/>
          <w:sz w:val="13"/>
        </w:rPr>
        <w:t>(Legal </w:t>
      </w:r>
      <w:r>
        <w:rPr>
          <w:w w:val="105"/>
          <w:sz w:val="13"/>
        </w:rPr>
        <w:t>Services</w:t>
      </w:r>
      <w:r>
        <w:rPr>
          <w:spacing w:val="16"/>
          <w:w w:val="105"/>
          <w:sz w:val="13"/>
        </w:rPr>
        <w:t> </w:t>
      </w:r>
      <w:r>
        <w:rPr>
          <w:w w:val="105"/>
          <w:sz w:val="13"/>
        </w:rPr>
        <w:t>Commissioner).</w:t>
      </w:r>
    </w:p>
    <w:p>
      <w:pPr>
        <w:pStyle w:val="BodyText"/>
        <w:rPr>
          <w:sz w:val="28"/>
        </w:rPr>
      </w:pPr>
      <w:r>
        <w:rPr/>
        <w:br w:type="column"/>
      </w:r>
      <w:r>
        <w:rPr>
          <w:sz w:val="28"/>
        </w:rPr>
      </w:r>
    </w:p>
    <w:p>
      <w:pPr>
        <w:pStyle w:val="BodyText"/>
        <w:rPr>
          <w:sz w:val="28"/>
        </w:rPr>
      </w:pPr>
    </w:p>
    <w:p>
      <w:pPr>
        <w:spacing w:before="220"/>
        <w:ind w:left="941" w:right="0" w:firstLine="0"/>
        <w:jc w:val="left"/>
        <w:rPr>
          <w:b/>
          <w:sz w:val="24"/>
        </w:rPr>
      </w:pPr>
      <w:r>
        <w:rPr>
          <w:b/>
          <w:color w:val="EC5A4F"/>
          <w:w w:val="110"/>
          <w:sz w:val="24"/>
        </w:rPr>
        <w:t>169</w:t>
      </w:r>
    </w:p>
    <w:p>
      <w:pPr>
        <w:spacing w:after="0"/>
        <w:jc w:val="left"/>
        <w:rPr>
          <w:sz w:val="24"/>
        </w:rPr>
        <w:sectPr>
          <w:type w:val="continuous"/>
          <w:pgSz w:w="11910" w:h="16840"/>
          <w:pgMar w:top="920" w:bottom="280" w:left="0" w:right="0"/>
          <w:cols w:num="2" w:equalWidth="0">
            <w:col w:w="9935" w:space="40"/>
            <w:col w:w="1935"/>
          </w:cols>
        </w:sectPr>
      </w:pPr>
    </w:p>
    <w:p>
      <w:pPr>
        <w:pStyle w:val="BodyText"/>
        <w:spacing w:before="11"/>
        <w:rPr>
          <w:b/>
        </w:rPr>
      </w:pPr>
    </w:p>
    <w:p>
      <w:pPr>
        <w:spacing w:before="99"/>
        <w:ind w:left="1587" w:right="0" w:firstLine="0"/>
        <w:jc w:val="left"/>
        <w:rPr>
          <w:b/>
          <w:sz w:val="24"/>
        </w:rPr>
      </w:pPr>
      <w:r>
        <w:rPr>
          <w:b/>
          <w:w w:val="115"/>
          <w:sz w:val="24"/>
        </w:rPr>
        <w:t>Professional rules and guidelines</w:t>
      </w:r>
    </w:p>
    <w:p>
      <w:pPr>
        <w:pStyle w:val="ListParagraph"/>
        <w:numPr>
          <w:ilvl w:val="1"/>
          <w:numId w:val="22"/>
        </w:numPr>
        <w:tabs>
          <w:tab w:pos="2380" w:val="left" w:leader="none"/>
          <w:tab w:pos="2381" w:val="left" w:leader="none"/>
        </w:tabs>
        <w:spacing w:line="242" w:lineRule="auto" w:before="137" w:after="0"/>
        <w:ind w:left="2381" w:right="1585" w:hanging="794"/>
        <w:jc w:val="left"/>
        <w:rPr>
          <w:sz w:val="21"/>
        </w:rPr>
      </w:pPr>
      <w:r>
        <w:rPr>
          <w:sz w:val="21"/>
        </w:rPr>
        <w:t>As </w:t>
      </w:r>
      <w:r>
        <w:rPr>
          <w:spacing w:val="-4"/>
          <w:sz w:val="21"/>
        </w:rPr>
        <w:t>noted above, </w:t>
      </w:r>
      <w:r>
        <w:rPr>
          <w:spacing w:val="-3"/>
          <w:sz w:val="21"/>
        </w:rPr>
        <w:t>the </w:t>
      </w:r>
      <w:r>
        <w:rPr>
          <w:sz w:val="21"/>
        </w:rPr>
        <w:t>Law </w:t>
      </w:r>
      <w:r>
        <w:rPr>
          <w:spacing w:val="-4"/>
          <w:sz w:val="21"/>
        </w:rPr>
        <w:t>Institute </w:t>
      </w:r>
      <w:r>
        <w:rPr>
          <w:spacing w:val="-3"/>
          <w:sz w:val="21"/>
        </w:rPr>
        <w:t>of </w:t>
      </w:r>
      <w:r>
        <w:rPr>
          <w:spacing w:val="-4"/>
          <w:sz w:val="21"/>
        </w:rPr>
        <w:t>Victoria’s  submission  emphasises  </w:t>
      </w:r>
      <w:r>
        <w:rPr>
          <w:spacing w:val="-3"/>
          <w:sz w:val="21"/>
        </w:rPr>
        <w:t>why  </w:t>
      </w:r>
      <w:r>
        <w:rPr>
          <w:sz w:val="21"/>
        </w:rPr>
        <w:t>it  </w:t>
      </w:r>
      <w:r>
        <w:rPr>
          <w:spacing w:val="-3"/>
          <w:sz w:val="21"/>
        </w:rPr>
        <w:t>is  </w:t>
      </w:r>
      <w:r>
        <w:rPr>
          <w:sz w:val="21"/>
        </w:rPr>
        <w:t>necessary </w:t>
      </w:r>
      <w:r>
        <w:rPr>
          <w:spacing w:val="-3"/>
          <w:sz w:val="21"/>
        </w:rPr>
        <w:t>and </w:t>
      </w:r>
      <w:r>
        <w:rPr>
          <w:spacing w:val="-4"/>
          <w:sz w:val="21"/>
        </w:rPr>
        <w:t>desirable  that  </w:t>
      </w:r>
      <w:r>
        <w:rPr>
          <w:spacing w:val="-3"/>
          <w:sz w:val="21"/>
        </w:rPr>
        <w:t>legal  practitioners  are  </w:t>
      </w:r>
      <w:r>
        <w:rPr>
          <w:spacing w:val="-4"/>
          <w:sz w:val="21"/>
        </w:rPr>
        <w:t>appointed  </w:t>
      </w:r>
      <w:r>
        <w:rPr>
          <w:sz w:val="21"/>
        </w:rPr>
        <w:t>as  </w:t>
      </w:r>
      <w:r>
        <w:rPr>
          <w:spacing w:val="-5"/>
          <w:sz w:val="21"/>
        </w:rPr>
        <w:t>executors.</w:t>
      </w:r>
      <w:r>
        <w:rPr>
          <w:spacing w:val="-5"/>
          <w:position w:val="7"/>
          <w:sz w:val="12"/>
        </w:rPr>
        <w:t>189  </w:t>
      </w:r>
      <w:r>
        <w:rPr>
          <w:sz w:val="21"/>
        </w:rPr>
        <w:t>The  </w:t>
      </w:r>
      <w:r>
        <w:rPr>
          <w:spacing w:val="-3"/>
          <w:sz w:val="21"/>
        </w:rPr>
        <w:t>knowledge  and </w:t>
      </w:r>
      <w:r>
        <w:rPr>
          <w:spacing w:val="-4"/>
          <w:sz w:val="21"/>
        </w:rPr>
        <w:t>skills </w:t>
      </w:r>
      <w:r>
        <w:rPr>
          <w:spacing w:val="-3"/>
          <w:sz w:val="21"/>
        </w:rPr>
        <w:t>of </w:t>
      </w:r>
      <w:r>
        <w:rPr>
          <w:sz w:val="21"/>
        </w:rPr>
        <w:t>a </w:t>
      </w:r>
      <w:r>
        <w:rPr>
          <w:spacing w:val="-3"/>
          <w:sz w:val="21"/>
        </w:rPr>
        <w:t>legal </w:t>
      </w:r>
      <w:r>
        <w:rPr>
          <w:spacing w:val="-4"/>
          <w:sz w:val="21"/>
        </w:rPr>
        <w:t>practitioner equip </w:t>
      </w:r>
      <w:r>
        <w:rPr>
          <w:spacing w:val="-3"/>
          <w:sz w:val="21"/>
        </w:rPr>
        <w:t>them </w:t>
      </w:r>
      <w:r>
        <w:rPr>
          <w:spacing w:val="-4"/>
          <w:sz w:val="21"/>
        </w:rPr>
        <w:t>well for executorial  responsibilities.  </w:t>
      </w:r>
      <w:r>
        <w:rPr>
          <w:sz w:val="21"/>
        </w:rPr>
        <w:t>They </w:t>
      </w:r>
      <w:r>
        <w:rPr>
          <w:spacing w:val="-3"/>
          <w:sz w:val="21"/>
        </w:rPr>
        <w:t>are selected </w:t>
      </w:r>
      <w:r>
        <w:rPr>
          <w:spacing w:val="-4"/>
          <w:sz w:val="21"/>
        </w:rPr>
        <w:t>for </w:t>
      </w:r>
      <w:r>
        <w:rPr>
          <w:spacing w:val="-3"/>
          <w:sz w:val="21"/>
        </w:rPr>
        <w:t>the position because of these </w:t>
      </w:r>
      <w:r>
        <w:rPr>
          <w:spacing w:val="-4"/>
          <w:sz w:val="21"/>
        </w:rPr>
        <w:t>professional capabilities. </w:t>
      </w:r>
      <w:r>
        <w:rPr>
          <w:sz w:val="21"/>
        </w:rPr>
        <w:t>It </w:t>
      </w:r>
      <w:r>
        <w:rPr>
          <w:spacing w:val="-3"/>
          <w:sz w:val="21"/>
        </w:rPr>
        <w:t>is </w:t>
      </w:r>
      <w:r>
        <w:rPr>
          <w:spacing w:val="-4"/>
          <w:sz w:val="21"/>
        </w:rPr>
        <w:t>therefore incongruous that executorial </w:t>
      </w:r>
      <w:r>
        <w:rPr>
          <w:spacing w:val="-3"/>
          <w:sz w:val="21"/>
        </w:rPr>
        <w:t>work is </w:t>
      </w:r>
      <w:r>
        <w:rPr>
          <w:spacing w:val="-4"/>
          <w:sz w:val="21"/>
        </w:rPr>
        <w:t>sidelined </w:t>
      </w:r>
      <w:r>
        <w:rPr>
          <w:spacing w:val="-3"/>
          <w:sz w:val="21"/>
        </w:rPr>
        <w:t>in the </w:t>
      </w:r>
      <w:r>
        <w:rPr>
          <w:spacing w:val="-4"/>
          <w:sz w:val="21"/>
        </w:rPr>
        <w:t>regulatory framework </w:t>
      </w:r>
      <w:r>
        <w:rPr>
          <w:spacing w:val="-3"/>
          <w:sz w:val="21"/>
        </w:rPr>
        <w:t>of the legal</w:t>
      </w:r>
      <w:r>
        <w:rPr>
          <w:spacing w:val="-2"/>
          <w:sz w:val="21"/>
        </w:rPr>
        <w:t> </w:t>
      </w:r>
      <w:r>
        <w:rPr>
          <w:spacing w:val="-4"/>
          <w:sz w:val="21"/>
        </w:rPr>
        <w:t>profession.</w:t>
      </w:r>
    </w:p>
    <w:p>
      <w:pPr>
        <w:pStyle w:val="ListParagraph"/>
        <w:numPr>
          <w:ilvl w:val="1"/>
          <w:numId w:val="22"/>
        </w:numPr>
        <w:tabs>
          <w:tab w:pos="2380" w:val="left" w:leader="none"/>
          <w:tab w:pos="2382" w:val="left" w:leader="none"/>
        </w:tabs>
        <w:spacing w:line="242" w:lineRule="auto" w:before="126" w:after="0"/>
        <w:ind w:left="2381" w:right="1785" w:hanging="794"/>
        <w:jc w:val="left"/>
        <w:rPr>
          <w:sz w:val="21"/>
        </w:rPr>
      </w:pPr>
      <w:r>
        <w:rPr>
          <w:w w:val="105"/>
          <w:sz w:val="21"/>
        </w:rPr>
        <w:t>The </w:t>
      </w:r>
      <w:r>
        <w:rPr>
          <w:spacing w:val="-4"/>
          <w:w w:val="105"/>
          <w:sz w:val="21"/>
        </w:rPr>
        <w:t>Commission’s </w:t>
      </w:r>
      <w:r>
        <w:rPr>
          <w:spacing w:val="-3"/>
          <w:w w:val="105"/>
          <w:sz w:val="21"/>
        </w:rPr>
        <w:t>recommendations to </w:t>
      </w:r>
      <w:r>
        <w:rPr>
          <w:w w:val="105"/>
          <w:sz w:val="21"/>
        </w:rPr>
        <w:t>expand the Legal Services </w:t>
      </w:r>
      <w:r>
        <w:rPr>
          <w:spacing w:val="-3"/>
          <w:w w:val="105"/>
          <w:sz w:val="21"/>
        </w:rPr>
        <w:t>Commissioner’s </w:t>
      </w:r>
      <w:r>
        <w:rPr>
          <w:w w:val="105"/>
          <w:sz w:val="21"/>
        </w:rPr>
        <w:t>jurisdiction </w:t>
      </w:r>
      <w:r>
        <w:rPr>
          <w:spacing w:val="-3"/>
          <w:w w:val="105"/>
          <w:sz w:val="21"/>
        </w:rPr>
        <w:t>aim to recognise </w:t>
      </w:r>
      <w:r>
        <w:rPr>
          <w:w w:val="105"/>
          <w:sz w:val="21"/>
        </w:rPr>
        <w:t>the importance </w:t>
      </w:r>
      <w:r>
        <w:rPr>
          <w:spacing w:val="-3"/>
          <w:w w:val="105"/>
          <w:sz w:val="21"/>
        </w:rPr>
        <w:t>to </w:t>
      </w:r>
      <w:r>
        <w:rPr>
          <w:w w:val="105"/>
          <w:sz w:val="21"/>
        </w:rPr>
        <w:t>the community of the work undertaken by</w:t>
      </w:r>
      <w:r>
        <w:rPr>
          <w:spacing w:val="-13"/>
          <w:w w:val="105"/>
          <w:sz w:val="21"/>
        </w:rPr>
        <w:t> </w:t>
      </w:r>
      <w:r>
        <w:rPr>
          <w:w w:val="105"/>
          <w:sz w:val="21"/>
        </w:rPr>
        <w:t>legal</w:t>
      </w:r>
      <w:r>
        <w:rPr>
          <w:spacing w:val="-13"/>
          <w:w w:val="105"/>
          <w:sz w:val="21"/>
        </w:rPr>
        <w:t> </w:t>
      </w:r>
      <w:r>
        <w:rPr>
          <w:w w:val="105"/>
          <w:sz w:val="21"/>
        </w:rPr>
        <w:t>practitioner</w:t>
      </w:r>
      <w:r>
        <w:rPr>
          <w:spacing w:val="-13"/>
          <w:w w:val="105"/>
          <w:sz w:val="21"/>
        </w:rPr>
        <w:t> </w:t>
      </w:r>
      <w:r>
        <w:rPr>
          <w:w w:val="105"/>
          <w:sz w:val="21"/>
        </w:rPr>
        <w:t>executors.</w:t>
      </w:r>
      <w:r>
        <w:rPr>
          <w:spacing w:val="-13"/>
          <w:w w:val="105"/>
          <w:sz w:val="21"/>
        </w:rPr>
        <w:t> </w:t>
      </w:r>
      <w:r>
        <w:rPr>
          <w:w w:val="105"/>
          <w:sz w:val="21"/>
        </w:rPr>
        <w:t>This</w:t>
      </w:r>
      <w:r>
        <w:rPr>
          <w:spacing w:val="-13"/>
          <w:w w:val="105"/>
          <w:sz w:val="21"/>
        </w:rPr>
        <w:t> </w:t>
      </w:r>
      <w:r>
        <w:rPr>
          <w:w w:val="105"/>
          <w:sz w:val="21"/>
        </w:rPr>
        <w:t>work</w:t>
      </w:r>
      <w:r>
        <w:rPr>
          <w:spacing w:val="-13"/>
          <w:w w:val="105"/>
          <w:sz w:val="21"/>
        </w:rPr>
        <w:t> </w:t>
      </w:r>
      <w:r>
        <w:rPr>
          <w:w w:val="105"/>
          <w:sz w:val="21"/>
        </w:rPr>
        <w:t>should</w:t>
      </w:r>
      <w:r>
        <w:rPr>
          <w:spacing w:val="-12"/>
          <w:w w:val="105"/>
          <w:sz w:val="21"/>
        </w:rPr>
        <w:t> </w:t>
      </w:r>
      <w:r>
        <w:rPr>
          <w:w w:val="105"/>
          <w:sz w:val="21"/>
        </w:rPr>
        <w:t>also</w:t>
      </w:r>
      <w:r>
        <w:rPr>
          <w:spacing w:val="-13"/>
          <w:w w:val="105"/>
          <w:sz w:val="21"/>
        </w:rPr>
        <w:t> </w:t>
      </w:r>
      <w:r>
        <w:rPr>
          <w:w w:val="105"/>
          <w:sz w:val="21"/>
        </w:rPr>
        <w:t>be</w:t>
      </w:r>
      <w:r>
        <w:rPr>
          <w:spacing w:val="-13"/>
          <w:w w:val="105"/>
          <w:sz w:val="21"/>
        </w:rPr>
        <w:t> </w:t>
      </w:r>
      <w:r>
        <w:rPr>
          <w:w w:val="105"/>
          <w:sz w:val="21"/>
        </w:rPr>
        <w:t>recognised</w:t>
      </w:r>
      <w:r>
        <w:rPr>
          <w:spacing w:val="-13"/>
          <w:w w:val="105"/>
          <w:sz w:val="21"/>
        </w:rPr>
        <w:t> </w:t>
      </w:r>
      <w:r>
        <w:rPr>
          <w:w w:val="105"/>
          <w:sz w:val="21"/>
        </w:rPr>
        <w:t>in</w:t>
      </w:r>
      <w:r>
        <w:rPr>
          <w:spacing w:val="-13"/>
          <w:w w:val="105"/>
          <w:sz w:val="21"/>
        </w:rPr>
        <w:t> </w:t>
      </w:r>
      <w:r>
        <w:rPr>
          <w:w w:val="105"/>
          <w:sz w:val="21"/>
        </w:rPr>
        <w:t>the</w:t>
      </w:r>
      <w:r>
        <w:rPr>
          <w:spacing w:val="-13"/>
          <w:w w:val="105"/>
          <w:sz w:val="21"/>
        </w:rPr>
        <w:t> </w:t>
      </w:r>
      <w:r>
        <w:rPr>
          <w:w w:val="105"/>
          <w:sz w:val="21"/>
        </w:rPr>
        <w:t>conduct</w:t>
      </w:r>
      <w:r>
        <w:rPr>
          <w:spacing w:val="-13"/>
          <w:w w:val="105"/>
          <w:sz w:val="21"/>
        </w:rPr>
        <w:t> </w:t>
      </w:r>
      <w:r>
        <w:rPr>
          <w:w w:val="105"/>
          <w:sz w:val="21"/>
        </w:rPr>
        <w:t>rules and </w:t>
      </w:r>
      <w:r>
        <w:rPr>
          <w:spacing w:val="-3"/>
          <w:w w:val="105"/>
          <w:sz w:val="21"/>
        </w:rPr>
        <w:t>guidelines </w:t>
      </w:r>
      <w:r>
        <w:rPr>
          <w:w w:val="105"/>
          <w:sz w:val="21"/>
        </w:rPr>
        <w:t>made by the legal</w:t>
      </w:r>
      <w:r>
        <w:rPr>
          <w:spacing w:val="31"/>
          <w:w w:val="105"/>
          <w:sz w:val="21"/>
        </w:rPr>
        <w:t> </w:t>
      </w:r>
      <w:r>
        <w:rPr>
          <w:spacing w:val="-3"/>
          <w:w w:val="105"/>
          <w:sz w:val="21"/>
        </w:rPr>
        <w:t>profession.</w:t>
      </w:r>
    </w:p>
    <w:p>
      <w:pPr>
        <w:pStyle w:val="ListParagraph"/>
        <w:numPr>
          <w:ilvl w:val="1"/>
          <w:numId w:val="22"/>
        </w:numPr>
        <w:tabs>
          <w:tab w:pos="2380" w:val="left" w:leader="none"/>
          <w:tab w:pos="2382" w:val="left" w:leader="none"/>
        </w:tabs>
        <w:spacing w:line="242" w:lineRule="auto" w:before="124" w:after="0"/>
        <w:ind w:left="2381" w:right="1623" w:hanging="794"/>
        <w:jc w:val="left"/>
        <w:rPr>
          <w:sz w:val="21"/>
        </w:rPr>
      </w:pPr>
      <w:r>
        <w:rPr>
          <w:w w:val="105"/>
          <w:sz w:val="21"/>
        </w:rPr>
        <w:t>The </w:t>
      </w:r>
      <w:r>
        <w:rPr>
          <w:spacing w:val="-3"/>
          <w:w w:val="105"/>
          <w:sz w:val="21"/>
        </w:rPr>
        <w:t>Commission </w:t>
      </w:r>
      <w:r>
        <w:rPr>
          <w:spacing w:val="-2"/>
          <w:w w:val="105"/>
          <w:sz w:val="21"/>
        </w:rPr>
        <w:t>has </w:t>
      </w:r>
      <w:r>
        <w:rPr>
          <w:w w:val="105"/>
          <w:sz w:val="21"/>
        </w:rPr>
        <w:t>recommended above </w:t>
      </w:r>
      <w:r>
        <w:rPr>
          <w:spacing w:val="-3"/>
          <w:w w:val="105"/>
          <w:sz w:val="21"/>
        </w:rPr>
        <w:t>that </w:t>
      </w:r>
      <w:r>
        <w:rPr>
          <w:w w:val="105"/>
          <w:sz w:val="21"/>
        </w:rPr>
        <w:t>rule </w:t>
      </w:r>
      <w:r>
        <w:rPr>
          <w:spacing w:val="-6"/>
          <w:w w:val="105"/>
          <w:sz w:val="21"/>
        </w:rPr>
        <w:t>10 </w:t>
      </w:r>
      <w:r>
        <w:rPr>
          <w:w w:val="105"/>
          <w:sz w:val="21"/>
        </w:rPr>
        <w:t>of the </w:t>
      </w:r>
      <w:r>
        <w:rPr>
          <w:spacing w:val="-3"/>
          <w:w w:val="105"/>
          <w:sz w:val="21"/>
        </w:rPr>
        <w:t>current Professional Conduct</w:t>
      </w:r>
      <w:r>
        <w:rPr>
          <w:spacing w:val="-12"/>
          <w:w w:val="105"/>
          <w:sz w:val="21"/>
        </w:rPr>
        <w:t> </w:t>
      </w:r>
      <w:r>
        <w:rPr>
          <w:w w:val="105"/>
          <w:sz w:val="21"/>
        </w:rPr>
        <w:t>and</w:t>
      </w:r>
      <w:r>
        <w:rPr>
          <w:spacing w:val="-11"/>
          <w:w w:val="105"/>
          <w:sz w:val="21"/>
        </w:rPr>
        <w:t> </w:t>
      </w:r>
      <w:r>
        <w:rPr>
          <w:w w:val="105"/>
          <w:sz w:val="21"/>
        </w:rPr>
        <w:t>Practice</w:t>
      </w:r>
      <w:r>
        <w:rPr>
          <w:spacing w:val="-12"/>
          <w:w w:val="105"/>
          <w:sz w:val="21"/>
        </w:rPr>
        <w:t> </w:t>
      </w:r>
      <w:r>
        <w:rPr>
          <w:w w:val="105"/>
          <w:sz w:val="21"/>
        </w:rPr>
        <w:t>rules</w:t>
      </w:r>
      <w:r>
        <w:rPr>
          <w:spacing w:val="-11"/>
          <w:w w:val="105"/>
          <w:sz w:val="21"/>
        </w:rPr>
        <w:t> </w:t>
      </w:r>
      <w:r>
        <w:rPr>
          <w:w w:val="105"/>
          <w:sz w:val="21"/>
        </w:rPr>
        <w:t>should</w:t>
      </w:r>
      <w:r>
        <w:rPr>
          <w:spacing w:val="-11"/>
          <w:w w:val="105"/>
          <w:sz w:val="21"/>
        </w:rPr>
        <w:t> </w:t>
      </w:r>
      <w:r>
        <w:rPr>
          <w:w w:val="105"/>
          <w:sz w:val="21"/>
        </w:rPr>
        <w:t>be</w:t>
      </w:r>
      <w:r>
        <w:rPr>
          <w:spacing w:val="-12"/>
          <w:w w:val="105"/>
          <w:sz w:val="21"/>
        </w:rPr>
        <w:t> </w:t>
      </w:r>
      <w:r>
        <w:rPr>
          <w:w w:val="105"/>
          <w:sz w:val="21"/>
        </w:rPr>
        <w:t>revised</w:t>
      </w:r>
      <w:r>
        <w:rPr>
          <w:spacing w:val="-11"/>
          <w:w w:val="105"/>
          <w:sz w:val="21"/>
        </w:rPr>
        <w:t> </w:t>
      </w:r>
      <w:r>
        <w:rPr>
          <w:spacing w:val="-3"/>
          <w:w w:val="105"/>
          <w:sz w:val="21"/>
        </w:rPr>
        <w:t>to</w:t>
      </w:r>
      <w:r>
        <w:rPr>
          <w:spacing w:val="-11"/>
          <w:w w:val="105"/>
          <w:sz w:val="21"/>
        </w:rPr>
        <w:t> </w:t>
      </w:r>
      <w:r>
        <w:rPr>
          <w:w w:val="105"/>
          <w:sz w:val="21"/>
        </w:rPr>
        <w:t>expressly</w:t>
      </w:r>
      <w:r>
        <w:rPr>
          <w:spacing w:val="-12"/>
          <w:w w:val="105"/>
          <w:sz w:val="21"/>
        </w:rPr>
        <w:t> </w:t>
      </w:r>
      <w:r>
        <w:rPr>
          <w:spacing w:val="-3"/>
          <w:w w:val="105"/>
          <w:sz w:val="21"/>
        </w:rPr>
        <w:t>require</w:t>
      </w:r>
      <w:r>
        <w:rPr>
          <w:spacing w:val="-11"/>
          <w:w w:val="105"/>
          <w:sz w:val="21"/>
        </w:rPr>
        <w:t> </w:t>
      </w:r>
      <w:r>
        <w:rPr>
          <w:w w:val="105"/>
          <w:sz w:val="21"/>
        </w:rPr>
        <w:t>the</w:t>
      </w:r>
      <w:r>
        <w:rPr>
          <w:spacing w:val="-11"/>
          <w:w w:val="105"/>
          <w:sz w:val="21"/>
        </w:rPr>
        <w:t> </w:t>
      </w:r>
      <w:r>
        <w:rPr>
          <w:w w:val="105"/>
          <w:sz w:val="21"/>
        </w:rPr>
        <w:t>legal</w:t>
      </w:r>
      <w:r>
        <w:rPr>
          <w:spacing w:val="-12"/>
          <w:w w:val="105"/>
          <w:sz w:val="21"/>
        </w:rPr>
        <w:t> </w:t>
      </w:r>
      <w:r>
        <w:rPr>
          <w:w w:val="105"/>
          <w:sz w:val="21"/>
        </w:rPr>
        <w:t>practitioner</w:t>
      </w:r>
      <w:r>
        <w:rPr>
          <w:spacing w:val="-11"/>
          <w:w w:val="105"/>
          <w:sz w:val="21"/>
        </w:rPr>
        <w:t> </w:t>
      </w:r>
      <w:r>
        <w:rPr>
          <w:spacing w:val="-3"/>
          <w:w w:val="105"/>
          <w:sz w:val="21"/>
        </w:rPr>
        <w:t>to </w:t>
      </w:r>
      <w:r>
        <w:rPr>
          <w:w w:val="105"/>
          <w:sz w:val="21"/>
        </w:rPr>
        <w:t>obtain the </w:t>
      </w:r>
      <w:r>
        <w:rPr>
          <w:spacing w:val="-3"/>
          <w:w w:val="105"/>
          <w:sz w:val="21"/>
        </w:rPr>
        <w:t>will-maker’s informed </w:t>
      </w:r>
      <w:r>
        <w:rPr>
          <w:spacing w:val="-4"/>
          <w:w w:val="105"/>
          <w:sz w:val="21"/>
        </w:rPr>
        <w:t>consent.</w:t>
      </w:r>
      <w:r>
        <w:rPr>
          <w:spacing w:val="-4"/>
          <w:w w:val="105"/>
          <w:position w:val="7"/>
          <w:sz w:val="12"/>
        </w:rPr>
        <w:t>190 </w:t>
      </w:r>
      <w:r>
        <w:rPr>
          <w:w w:val="105"/>
          <w:sz w:val="21"/>
        </w:rPr>
        <w:t>A number of other suggestions </w:t>
      </w:r>
      <w:r>
        <w:rPr>
          <w:spacing w:val="-3"/>
          <w:w w:val="105"/>
          <w:sz w:val="21"/>
        </w:rPr>
        <w:t>for amending </w:t>
      </w:r>
      <w:r>
        <w:rPr>
          <w:w w:val="105"/>
          <w:sz w:val="21"/>
        </w:rPr>
        <w:t>the </w:t>
      </w:r>
      <w:r>
        <w:rPr>
          <w:spacing w:val="-3"/>
          <w:w w:val="105"/>
          <w:sz w:val="21"/>
        </w:rPr>
        <w:t>Professional Conduct </w:t>
      </w:r>
      <w:r>
        <w:rPr>
          <w:w w:val="105"/>
          <w:sz w:val="21"/>
        </w:rPr>
        <w:t>and Practice Rules </w:t>
      </w:r>
      <w:r>
        <w:rPr>
          <w:spacing w:val="-3"/>
          <w:w w:val="105"/>
          <w:sz w:val="21"/>
        </w:rPr>
        <w:t>were </w:t>
      </w:r>
      <w:r>
        <w:rPr>
          <w:w w:val="105"/>
          <w:sz w:val="21"/>
        </w:rPr>
        <w:t>made in </w:t>
      </w:r>
      <w:r>
        <w:rPr>
          <w:spacing w:val="-3"/>
          <w:w w:val="105"/>
          <w:sz w:val="21"/>
        </w:rPr>
        <w:t>submissions, including for </w:t>
      </w:r>
      <w:r>
        <w:rPr>
          <w:w w:val="105"/>
          <w:sz w:val="21"/>
        </w:rPr>
        <w:t>example:</w:t>
      </w:r>
    </w:p>
    <w:p>
      <w:pPr>
        <w:pStyle w:val="ListParagraph"/>
        <w:numPr>
          <w:ilvl w:val="2"/>
          <w:numId w:val="22"/>
        </w:numPr>
        <w:tabs>
          <w:tab w:pos="2721" w:val="left" w:leader="none"/>
          <w:tab w:pos="2722" w:val="left" w:leader="none"/>
        </w:tabs>
        <w:spacing w:line="242" w:lineRule="auto" w:before="125" w:after="0"/>
        <w:ind w:left="2721" w:right="2007" w:hanging="340"/>
        <w:jc w:val="left"/>
        <w:rPr>
          <w:sz w:val="12"/>
        </w:rPr>
      </w:pPr>
      <w:r>
        <w:rPr>
          <w:spacing w:val="-3"/>
          <w:w w:val="105"/>
          <w:sz w:val="21"/>
        </w:rPr>
        <w:t>additional, </w:t>
      </w:r>
      <w:r>
        <w:rPr>
          <w:w w:val="105"/>
          <w:sz w:val="21"/>
        </w:rPr>
        <w:t>more detailed rules </w:t>
      </w:r>
      <w:r>
        <w:rPr>
          <w:spacing w:val="-3"/>
          <w:w w:val="105"/>
          <w:sz w:val="21"/>
        </w:rPr>
        <w:t>for </w:t>
      </w:r>
      <w:r>
        <w:rPr>
          <w:w w:val="105"/>
          <w:sz w:val="21"/>
        </w:rPr>
        <w:t>when a </w:t>
      </w:r>
      <w:r>
        <w:rPr>
          <w:spacing w:val="-3"/>
          <w:w w:val="105"/>
          <w:sz w:val="21"/>
        </w:rPr>
        <w:t>will-maker </w:t>
      </w:r>
      <w:r>
        <w:rPr>
          <w:w w:val="105"/>
          <w:sz w:val="21"/>
        </w:rPr>
        <w:t>is being </w:t>
      </w:r>
      <w:r>
        <w:rPr>
          <w:spacing w:val="-3"/>
          <w:w w:val="105"/>
          <w:sz w:val="21"/>
        </w:rPr>
        <w:t>asked to consent to </w:t>
      </w:r>
      <w:r>
        <w:rPr>
          <w:w w:val="105"/>
          <w:sz w:val="21"/>
        </w:rPr>
        <w:t>the payment of </w:t>
      </w:r>
      <w:r>
        <w:rPr>
          <w:spacing w:val="-3"/>
          <w:w w:val="105"/>
          <w:sz w:val="21"/>
        </w:rPr>
        <w:t>commission</w:t>
      </w:r>
      <w:r>
        <w:rPr>
          <w:spacing w:val="-13"/>
          <w:w w:val="105"/>
          <w:sz w:val="21"/>
        </w:rPr>
        <w:t> </w:t>
      </w:r>
      <w:r>
        <w:rPr>
          <w:spacing w:val="-3"/>
          <w:w w:val="105"/>
          <w:position w:val="7"/>
          <w:sz w:val="12"/>
        </w:rPr>
        <w:t>191</w:t>
      </w:r>
    </w:p>
    <w:p>
      <w:pPr>
        <w:pStyle w:val="ListParagraph"/>
        <w:numPr>
          <w:ilvl w:val="2"/>
          <w:numId w:val="22"/>
        </w:numPr>
        <w:tabs>
          <w:tab w:pos="2721" w:val="left" w:leader="none"/>
          <w:tab w:pos="2722" w:val="left" w:leader="none"/>
        </w:tabs>
        <w:spacing w:line="242" w:lineRule="auto" w:before="122" w:after="0"/>
        <w:ind w:left="2721" w:right="1935" w:hanging="340"/>
        <w:jc w:val="left"/>
        <w:rPr>
          <w:sz w:val="12"/>
        </w:rPr>
      </w:pPr>
      <w:r>
        <w:rPr>
          <w:w w:val="105"/>
          <w:sz w:val="21"/>
        </w:rPr>
        <w:t>a</w:t>
      </w:r>
      <w:r>
        <w:rPr>
          <w:spacing w:val="-8"/>
          <w:w w:val="105"/>
          <w:sz w:val="21"/>
        </w:rPr>
        <w:t> </w:t>
      </w:r>
      <w:r>
        <w:rPr>
          <w:w w:val="105"/>
          <w:sz w:val="21"/>
        </w:rPr>
        <w:t>rule</w:t>
      </w:r>
      <w:r>
        <w:rPr>
          <w:spacing w:val="-7"/>
          <w:w w:val="105"/>
          <w:sz w:val="21"/>
        </w:rPr>
        <w:t> </w:t>
      </w:r>
      <w:r>
        <w:rPr>
          <w:spacing w:val="-3"/>
          <w:w w:val="105"/>
          <w:sz w:val="21"/>
        </w:rPr>
        <w:t>that,</w:t>
      </w:r>
      <w:r>
        <w:rPr>
          <w:spacing w:val="-8"/>
          <w:w w:val="105"/>
          <w:sz w:val="21"/>
        </w:rPr>
        <w:t> </w:t>
      </w:r>
      <w:r>
        <w:rPr>
          <w:w w:val="105"/>
          <w:sz w:val="21"/>
        </w:rPr>
        <w:t>unless</w:t>
      </w:r>
      <w:r>
        <w:rPr>
          <w:spacing w:val="-7"/>
          <w:w w:val="105"/>
          <w:sz w:val="21"/>
        </w:rPr>
        <w:t> </w:t>
      </w:r>
      <w:r>
        <w:rPr>
          <w:w w:val="105"/>
          <w:sz w:val="21"/>
        </w:rPr>
        <w:t>expressly</w:t>
      </w:r>
      <w:r>
        <w:rPr>
          <w:spacing w:val="-7"/>
          <w:w w:val="105"/>
          <w:sz w:val="21"/>
        </w:rPr>
        <w:t> </w:t>
      </w:r>
      <w:r>
        <w:rPr>
          <w:w w:val="105"/>
          <w:sz w:val="21"/>
        </w:rPr>
        <w:t>authorised</w:t>
      </w:r>
      <w:r>
        <w:rPr>
          <w:spacing w:val="-8"/>
          <w:w w:val="105"/>
          <w:sz w:val="21"/>
        </w:rPr>
        <w:t> </w:t>
      </w:r>
      <w:r>
        <w:rPr>
          <w:spacing w:val="-3"/>
          <w:w w:val="105"/>
          <w:sz w:val="21"/>
        </w:rPr>
        <w:t>to</w:t>
      </w:r>
      <w:r>
        <w:rPr>
          <w:spacing w:val="-7"/>
          <w:w w:val="105"/>
          <w:sz w:val="21"/>
        </w:rPr>
        <w:t> </w:t>
      </w:r>
      <w:r>
        <w:rPr>
          <w:w w:val="105"/>
          <w:sz w:val="21"/>
        </w:rPr>
        <w:t>do</w:t>
      </w:r>
      <w:r>
        <w:rPr>
          <w:spacing w:val="-7"/>
          <w:w w:val="105"/>
          <w:sz w:val="21"/>
        </w:rPr>
        <w:t> </w:t>
      </w:r>
      <w:r>
        <w:rPr>
          <w:spacing w:val="-3"/>
          <w:w w:val="105"/>
          <w:sz w:val="21"/>
        </w:rPr>
        <w:t>so,</w:t>
      </w:r>
      <w:r>
        <w:rPr>
          <w:spacing w:val="-8"/>
          <w:w w:val="105"/>
          <w:sz w:val="21"/>
        </w:rPr>
        <w:t> </w:t>
      </w:r>
      <w:r>
        <w:rPr>
          <w:w w:val="105"/>
          <w:sz w:val="21"/>
        </w:rPr>
        <w:t>a</w:t>
      </w:r>
      <w:r>
        <w:rPr>
          <w:spacing w:val="-7"/>
          <w:w w:val="105"/>
          <w:sz w:val="21"/>
        </w:rPr>
        <w:t> </w:t>
      </w:r>
      <w:r>
        <w:rPr>
          <w:spacing w:val="-3"/>
          <w:w w:val="105"/>
          <w:sz w:val="21"/>
        </w:rPr>
        <w:t>solicitor-executor</w:t>
      </w:r>
      <w:r>
        <w:rPr>
          <w:spacing w:val="-7"/>
          <w:w w:val="105"/>
          <w:sz w:val="21"/>
        </w:rPr>
        <w:t> </w:t>
      </w:r>
      <w:r>
        <w:rPr>
          <w:spacing w:val="-3"/>
          <w:w w:val="105"/>
          <w:sz w:val="21"/>
        </w:rPr>
        <w:t>cannot</w:t>
      </w:r>
      <w:r>
        <w:rPr>
          <w:spacing w:val="-8"/>
          <w:w w:val="105"/>
          <w:sz w:val="21"/>
        </w:rPr>
        <w:t> </w:t>
      </w:r>
      <w:r>
        <w:rPr>
          <w:spacing w:val="-3"/>
          <w:w w:val="105"/>
          <w:sz w:val="21"/>
        </w:rPr>
        <w:t>charge </w:t>
      </w:r>
      <w:r>
        <w:rPr>
          <w:w w:val="105"/>
          <w:sz w:val="21"/>
        </w:rPr>
        <w:t>both legal costs and </w:t>
      </w:r>
      <w:r>
        <w:rPr>
          <w:spacing w:val="-3"/>
          <w:w w:val="105"/>
          <w:sz w:val="21"/>
        </w:rPr>
        <w:t>commission for </w:t>
      </w:r>
      <w:r>
        <w:rPr>
          <w:w w:val="105"/>
          <w:sz w:val="21"/>
        </w:rPr>
        <w:t>the same</w:t>
      </w:r>
      <w:r>
        <w:rPr>
          <w:spacing w:val="42"/>
          <w:w w:val="105"/>
          <w:sz w:val="21"/>
        </w:rPr>
        <w:t> </w:t>
      </w:r>
      <w:r>
        <w:rPr>
          <w:spacing w:val="-5"/>
          <w:w w:val="105"/>
          <w:sz w:val="21"/>
        </w:rPr>
        <w:t>work.</w:t>
      </w:r>
      <w:r>
        <w:rPr>
          <w:spacing w:val="-5"/>
          <w:w w:val="105"/>
          <w:position w:val="7"/>
          <w:sz w:val="12"/>
        </w:rPr>
        <w:t>192</w:t>
      </w:r>
    </w:p>
    <w:p>
      <w:pPr>
        <w:pStyle w:val="ListParagraph"/>
        <w:numPr>
          <w:ilvl w:val="1"/>
          <w:numId w:val="22"/>
        </w:numPr>
        <w:tabs>
          <w:tab w:pos="2380" w:val="left" w:leader="none"/>
          <w:tab w:pos="2382" w:val="left" w:leader="none"/>
        </w:tabs>
        <w:spacing w:line="242" w:lineRule="auto" w:before="123" w:after="0"/>
        <w:ind w:left="2381" w:right="1798" w:hanging="794"/>
        <w:jc w:val="left"/>
        <w:rPr>
          <w:sz w:val="21"/>
        </w:rPr>
      </w:pPr>
      <w:r>
        <w:rPr>
          <w:w w:val="105"/>
          <w:sz w:val="21"/>
        </w:rPr>
        <w:t>Rather </w:t>
      </w:r>
      <w:r>
        <w:rPr>
          <w:spacing w:val="-3"/>
          <w:w w:val="105"/>
          <w:sz w:val="21"/>
        </w:rPr>
        <w:t>than responding to such </w:t>
      </w:r>
      <w:r>
        <w:rPr>
          <w:w w:val="105"/>
          <w:sz w:val="21"/>
        </w:rPr>
        <w:t>ideas in a piecemeal </w:t>
      </w:r>
      <w:r>
        <w:rPr>
          <w:spacing w:val="-5"/>
          <w:w w:val="105"/>
          <w:sz w:val="21"/>
        </w:rPr>
        <w:t>way, </w:t>
      </w:r>
      <w:r>
        <w:rPr>
          <w:w w:val="105"/>
          <w:sz w:val="21"/>
        </w:rPr>
        <w:t>the legal </w:t>
      </w:r>
      <w:r>
        <w:rPr>
          <w:spacing w:val="-4"/>
          <w:w w:val="105"/>
          <w:sz w:val="21"/>
        </w:rPr>
        <w:t>profession’s </w:t>
      </w:r>
      <w:r>
        <w:rPr>
          <w:w w:val="105"/>
          <w:sz w:val="21"/>
        </w:rPr>
        <w:t>conduct rules</w:t>
      </w:r>
      <w:r>
        <w:rPr>
          <w:spacing w:val="-13"/>
          <w:w w:val="105"/>
          <w:sz w:val="21"/>
        </w:rPr>
        <w:t> </w:t>
      </w:r>
      <w:r>
        <w:rPr>
          <w:w w:val="105"/>
          <w:sz w:val="21"/>
        </w:rPr>
        <w:t>should</w:t>
      </w:r>
      <w:r>
        <w:rPr>
          <w:spacing w:val="-12"/>
          <w:w w:val="105"/>
          <w:sz w:val="21"/>
        </w:rPr>
        <w:t> </w:t>
      </w:r>
      <w:r>
        <w:rPr>
          <w:spacing w:val="-3"/>
          <w:w w:val="105"/>
          <w:sz w:val="21"/>
        </w:rPr>
        <w:t>squarely</w:t>
      </w:r>
      <w:r>
        <w:rPr>
          <w:spacing w:val="-12"/>
          <w:w w:val="105"/>
          <w:sz w:val="21"/>
        </w:rPr>
        <w:t> </w:t>
      </w:r>
      <w:r>
        <w:rPr>
          <w:w w:val="105"/>
          <w:sz w:val="21"/>
        </w:rPr>
        <w:t>address</w:t>
      </w:r>
      <w:r>
        <w:rPr>
          <w:spacing w:val="-12"/>
          <w:w w:val="105"/>
          <w:sz w:val="21"/>
        </w:rPr>
        <w:t> </w:t>
      </w:r>
      <w:r>
        <w:rPr>
          <w:w w:val="105"/>
          <w:sz w:val="21"/>
        </w:rPr>
        <w:t>the</w:t>
      </w:r>
      <w:r>
        <w:rPr>
          <w:spacing w:val="-12"/>
          <w:w w:val="105"/>
          <w:sz w:val="21"/>
        </w:rPr>
        <w:t> </w:t>
      </w:r>
      <w:r>
        <w:rPr>
          <w:w w:val="105"/>
          <w:sz w:val="21"/>
        </w:rPr>
        <w:t>conduct</w:t>
      </w:r>
      <w:r>
        <w:rPr>
          <w:spacing w:val="-12"/>
          <w:w w:val="105"/>
          <w:sz w:val="21"/>
        </w:rPr>
        <w:t> </w:t>
      </w:r>
      <w:r>
        <w:rPr>
          <w:w w:val="105"/>
          <w:sz w:val="21"/>
        </w:rPr>
        <w:t>expected</w:t>
      </w:r>
      <w:r>
        <w:rPr>
          <w:spacing w:val="-12"/>
          <w:w w:val="105"/>
          <w:sz w:val="21"/>
        </w:rPr>
        <w:t> </w:t>
      </w:r>
      <w:r>
        <w:rPr>
          <w:w w:val="105"/>
          <w:sz w:val="21"/>
        </w:rPr>
        <w:t>of</w:t>
      </w:r>
      <w:r>
        <w:rPr>
          <w:spacing w:val="-12"/>
          <w:w w:val="105"/>
          <w:sz w:val="21"/>
        </w:rPr>
        <w:t> </w:t>
      </w:r>
      <w:r>
        <w:rPr>
          <w:w w:val="105"/>
          <w:sz w:val="21"/>
        </w:rPr>
        <w:t>legal</w:t>
      </w:r>
      <w:r>
        <w:rPr>
          <w:spacing w:val="-12"/>
          <w:w w:val="105"/>
          <w:sz w:val="21"/>
        </w:rPr>
        <w:t> </w:t>
      </w:r>
      <w:r>
        <w:rPr>
          <w:w w:val="105"/>
          <w:sz w:val="21"/>
        </w:rPr>
        <w:t>practitioner</w:t>
      </w:r>
      <w:r>
        <w:rPr>
          <w:spacing w:val="-12"/>
          <w:w w:val="105"/>
          <w:sz w:val="21"/>
        </w:rPr>
        <w:t> </w:t>
      </w:r>
      <w:r>
        <w:rPr>
          <w:w w:val="105"/>
          <w:sz w:val="21"/>
        </w:rPr>
        <w:t>executors</w:t>
      </w:r>
      <w:r>
        <w:rPr>
          <w:spacing w:val="-12"/>
          <w:w w:val="105"/>
          <w:sz w:val="21"/>
        </w:rPr>
        <w:t> </w:t>
      </w:r>
      <w:r>
        <w:rPr>
          <w:w w:val="105"/>
          <w:sz w:val="21"/>
        </w:rPr>
        <w:t>and provide </w:t>
      </w:r>
      <w:r>
        <w:rPr>
          <w:spacing w:val="-3"/>
          <w:w w:val="105"/>
          <w:sz w:val="21"/>
        </w:rPr>
        <w:t>guidance </w:t>
      </w:r>
      <w:r>
        <w:rPr>
          <w:w w:val="105"/>
          <w:sz w:val="21"/>
        </w:rPr>
        <w:t>on how </w:t>
      </w:r>
      <w:r>
        <w:rPr>
          <w:spacing w:val="-3"/>
          <w:w w:val="105"/>
          <w:sz w:val="21"/>
        </w:rPr>
        <w:t>to </w:t>
      </w:r>
      <w:r>
        <w:rPr>
          <w:w w:val="105"/>
          <w:sz w:val="21"/>
        </w:rPr>
        <w:t>comply with their duties. These rules should be supported by </w:t>
      </w:r>
      <w:r>
        <w:rPr>
          <w:spacing w:val="-3"/>
          <w:w w:val="105"/>
          <w:sz w:val="21"/>
        </w:rPr>
        <w:t>guidelines that </w:t>
      </w:r>
      <w:r>
        <w:rPr>
          <w:w w:val="105"/>
          <w:sz w:val="21"/>
        </w:rPr>
        <w:t>assist them in </w:t>
      </w:r>
      <w:r>
        <w:rPr>
          <w:spacing w:val="-3"/>
          <w:w w:val="105"/>
          <w:sz w:val="21"/>
        </w:rPr>
        <w:t>dealing </w:t>
      </w:r>
      <w:r>
        <w:rPr>
          <w:w w:val="105"/>
          <w:sz w:val="21"/>
        </w:rPr>
        <w:t>with the </w:t>
      </w:r>
      <w:r>
        <w:rPr>
          <w:spacing w:val="-3"/>
          <w:w w:val="105"/>
          <w:sz w:val="21"/>
        </w:rPr>
        <w:t>challenges </w:t>
      </w:r>
      <w:r>
        <w:rPr>
          <w:w w:val="105"/>
          <w:sz w:val="21"/>
        </w:rPr>
        <w:t>of the</w:t>
      </w:r>
      <w:r>
        <w:rPr>
          <w:spacing w:val="42"/>
          <w:w w:val="105"/>
          <w:sz w:val="21"/>
        </w:rPr>
        <w:t> </w:t>
      </w:r>
      <w:r>
        <w:rPr>
          <w:spacing w:val="-3"/>
          <w:w w:val="105"/>
          <w:sz w:val="21"/>
        </w:rPr>
        <w:t>position.</w:t>
      </w:r>
    </w:p>
    <w:p>
      <w:pPr>
        <w:pStyle w:val="BodyText"/>
        <w:spacing w:before="8"/>
        <w:rPr>
          <w:sz w:val="14"/>
        </w:rPr>
      </w:pPr>
      <w:r>
        <w:rPr/>
        <w:pict>
          <v:group style="position:absolute;margin-left:62.362202pt;margin-top:10.912933pt;width:479.1pt;height:147.550pt;mso-position-horizontal-relative:page;mso-position-vertical-relative:paragraph;z-index:10280;mso-wrap-distance-left:0;mso-wrap-distance-right:0" coordorigin="1247,218" coordsize="9582,2951">
            <v:rect style="position:absolute;left:1587;top:218;width:8731;height:2951" filled="true" fillcolor="#fdebea" stroked="false">
              <v:fill type="solid"/>
            </v:rect>
            <v:line style="position:absolute" from="1247,969" to="10828,969" stroked="true" strokeweight="2.5pt" strokecolor="#ffffff">
              <v:stroke dashstyle="solid"/>
            </v:line>
            <v:shape style="position:absolute;left:2381;top:1206;width:6960;height:1789" type="#_x0000_t202" filled="false" stroked="false">
              <v:textbox inset="0,0,0,0">
                <w:txbxContent>
                  <w:p>
                    <w:pPr>
                      <w:spacing w:line="253" w:lineRule="exact" w:before="0"/>
                      <w:ind w:left="0" w:right="0" w:firstLine="0"/>
                      <w:jc w:val="left"/>
                      <w:rPr>
                        <w:sz w:val="21"/>
                      </w:rPr>
                    </w:pPr>
                    <w:r>
                      <w:rPr>
                        <w:w w:val="115"/>
                        <w:sz w:val="21"/>
                      </w:rPr>
                      <w:t>The Law Institute of Victoria or other relevant body should make:</w:t>
                    </w:r>
                  </w:p>
                  <w:p>
                    <w:pPr>
                      <w:numPr>
                        <w:ilvl w:val="0"/>
                        <w:numId w:val="128"/>
                      </w:numPr>
                      <w:tabs>
                        <w:tab w:pos="341" w:val="left" w:leader="none"/>
                      </w:tabs>
                      <w:spacing w:line="242" w:lineRule="auto" w:before="123"/>
                      <w:ind w:left="340" w:right="18" w:hanging="340"/>
                      <w:jc w:val="left"/>
                      <w:rPr>
                        <w:sz w:val="21"/>
                      </w:rPr>
                    </w:pPr>
                    <w:r>
                      <w:rPr>
                        <w:w w:val="115"/>
                        <w:sz w:val="21"/>
                      </w:rPr>
                      <w:t>uniform rules under the new uniform law that clarify the duties of legal</w:t>
                    </w:r>
                    <w:r>
                      <w:rPr>
                        <w:spacing w:val="-8"/>
                        <w:w w:val="115"/>
                        <w:sz w:val="21"/>
                      </w:rPr>
                      <w:t> </w:t>
                    </w:r>
                    <w:r>
                      <w:rPr>
                        <w:w w:val="115"/>
                        <w:sz w:val="21"/>
                      </w:rPr>
                      <w:t>practitioners</w:t>
                    </w:r>
                    <w:r>
                      <w:rPr>
                        <w:spacing w:val="-7"/>
                        <w:w w:val="115"/>
                        <w:sz w:val="21"/>
                      </w:rPr>
                      <w:t> </w:t>
                    </w:r>
                    <w:r>
                      <w:rPr>
                        <w:w w:val="115"/>
                        <w:sz w:val="21"/>
                      </w:rPr>
                      <w:t>in</w:t>
                    </w:r>
                    <w:r>
                      <w:rPr>
                        <w:spacing w:val="-7"/>
                        <w:w w:val="115"/>
                        <w:sz w:val="21"/>
                      </w:rPr>
                      <w:t> </w:t>
                    </w:r>
                    <w:r>
                      <w:rPr>
                        <w:w w:val="115"/>
                        <w:sz w:val="21"/>
                      </w:rPr>
                      <w:t>providing</w:t>
                    </w:r>
                    <w:r>
                      <w:rPr>
                        <w:spacing w:val="-8"/>
                        <w:w w:val="115"/>
                        <w:sz w:val="21"/>
                      </w:rPr>
                      <w:t> </w:t>
                    </w:r>
                    <w:r>
                      <w:rPr>
                        <w:w w:val="115"/>
                        <w:sz w:val="21"/>
                      </w:rPr>
                      <w:t>executorial</w:t>
                    </w:r>
                    <w:r>
                      <w:rPr>
                        <w:spacing w:val="-7"/>
                        <w:w w:val="115"/>
                        <w:sz w:val="21"/>
                      </w:rPr>
                      <w:t> </w:t>
                    </w:r>
                    <w:r>
                      <w:rPr>
                        <w:w w:val="115"/>
                        <w:sz w:val="21"/>
                      </w:rPr>
                      <w:t>services</w:t>
                    </w:r>
                    <w:r>
                      <w:rPr>
                        <w:spacing w:val="-7"/>
                        <w:w w:val="115"/>
                        <w:sz w:val="21"/>
                      </w:rPr>
                      <w:t> </w:t>
                    </w:r>
                    <w:r>
                      <w:rPr>
                        <w:w w:val="115"/>
                        <w:sz w:val="21"/>
                      </w:rPr>
                      <w:t>and</w:t>
                    </w:r>
                    <w:r>
                      <w:rPr>
                        <w:spacing w:val="-7"/>
                        <w:w w:val="115"/>
                        <w:sz w:val="21"/>
                      </w:rPr>
                      <w:t> </w:t>
                    </w:r>
                    <w:r>
                      <w:rPr>
                        <w:w w:val="115"/>
                        <w:sz w:val="21"/>
                      </w:rPr>
                      <w:t>charging</w:t>
                    </w:r>
                    <w:r>
                      <w:rPr>
                        <w:spacing w:val="-8"/>
                        <w:w w:val="115"/>
                        <w:sz w:val="21"/>
                      </w:rPr>
                      <w:t> </w:t>
                    </w:r>
                    <w:r>
                      <w:rPr>
                        <w:w w:val="115"/>
                        <w:sz w:val="21"/>
                      </w:rPr>
                      <w:t>for those services</w:t>
                    </w:r>
                  </w:p>
                  <w:p>
                    <w:pPr>
                      <w:numPr>
                        <w:ilvl w:val="0"/>
                        <w:numId w:val="128"/>
                      </w:numPr>
                      <w:tabs>
                        <w:tab w:pos="341" w:val="left" w:leader="none"/>
                      </w:tabs>
                      <w:spacing w:line="242" w:lineRule="auto" w:before="124"/>
                      <w:ind w:left="340" w:right="68" w:hanging="340"/>
                      <w:jc w:val="left"/>
                      <w:rPr>
                        <w:sz w:val="21"/>
                      </w:rPr>
                    </w:pPr>
                    <w:r>
                      <w:rPr>
                        <w:w w:val="115"/>
                        <w:sz w:val="21"/>
                      </w:rPr>
                      <w:t>in</w:t>
                    </w:r>
                    <w:r>
                      <w:rPr>
                        <w:spacing w:val="-8"/>
                        <w:w w:val="115"/>
                        <w:sz w:val="21"/>
                      </w:rPr>
                      <w:t> </w:t>
                    </w:r>
                    <w:r>
                      <w:rPr>
                        <w:w w:val="115"/>
                        <w:sz w:val="21"/>
                      </w:rPr>
                      <w:t>support</w:t>
                    </w:r>
                    <w:r>
                      <w:rPr>
                        <w:spacing w:val="-8"/>
                        <w:w w:val="115"/>
                        <w:sz w:val="21"/>
                      </w:rPr>
                      <w:t> </w:t>
                    </w:r>
                    <w:r>
                      <w:rPr>
                        <w:w w:val="115"/>
                        <w:sz w:val="21"/>
                      </w:rPr>
                      <w:t>of</w:t>
                    </w:r>
                    <w:r>
                      <w:rPr>
                        <w:spacing w:val="-7"/>
                        <w:w w:val="115"/>
                        <w:sz w:val="21"/>
                      </w:rPr>
                      <w:t> </w:t>
                    </w:r>
                    <w:r>
                      <w:rPr>
                        <w:w w:val="115"/>
                        <w:sz w:val="21"/>
                      </w:rPr>
                      <w:t>these</w:t>
                    </w:r>
                    <w:r>
                      <w:rPr>
                        <w:spacing w:val="-8"/>
                        <w:w w:val="115"/>
                        <w:sz w:val="21"/>
                      </w:rPr>
                      <w:t> </w:t>
                    </w:r>
                    <w:r>
                      <w:rPr>
                        <w:w w:val="115"/>
                        <w:sz w:val="21"/>
                      </w:rPr>
                      <w:t>rules,</w:t>
                    </w:r>
                    <w:r>
                      <w:rPr>
                        <w:spacing w:val="-8"/>
                        <w:w w:val="115"/>
                        <w:sz w:val="21"/>
                      </w:rPr>
                      <w:t> </w:t>
                    </w:r>
                    <w:r>
                      <w:rPr>
                        <w:w w:val="115"/>
                        <w:sz w:val="21"/>
                      </w:rPr>
                      <w:t>guidelines</w:t>
                    </w:r>
                    <w:r>
                      <w:rPr>
                        <w:spacing w:val="-7"/>
                        <w:w w:val="115"/>
                        <w:sz w:val="21"/>
                      </w:rPr>
                      <w:t> </w:t>
                    </w:r>
                    <w:r>
                      <w:rPr>
                        <w:w w:val="115"/>
                        <w:sz w:val="21"/>
                      </w:rPr>
                      <w:t>for</w:t>
                    </w:r>
                    <w:r>
                      <w:rPr>
                        <w:spacing w:val="-8"/>
                        <w:w w:val="115"/>
                        <w:sz w:val="21"/>
                      </w:rPr>
                      <w:t> </w:t>
                    </w:r>
                    <w:r>
                      <w:rPr>
                        <w:w w:val="115"/>
                        <w:sz w:val="21"/>
                      </w:rPr>
                      <w:t>legal</w:t>
                    </w:r>
                    <w:r>
                      <w:rPr>
                        <w:spacing w:val="-8"/>
                        <w:w w:val="115"/>
                        <w:sz w:val="21"/>
                      </w:rPr>
                      <w:t> </w:t>
                    </w:r>
                    <w:r>
                      <w:rPr>
                        <w:w w:val="115"/>
                        <w:sz w:val="21"/>
                      </w:rPr>
                      <w:t>practitioner</w:t>
                    </w:r>
                    <w:r>
                      <w:rPr>
                        <w:spacing w:val="-7"/>
                        <w:w w:val="115"/>
                        <w:sz w:val="21"/>
                      </w:rPr>
                      <w:t> </w:t>
                    </w:r>
                    <w:r>
                      <w:rPr>
                        <w:w w:val="115"/>
                        <w:sz w:val="21"/>
                      </w:rPr>
                      <w:t>executors on meeting their fiduciary</w:t>
                    </w:r>
                    <w:r>
                      <w:rPr>
                        <w:spacing w:val="-2"/>
                        <w:w w:val="115"/>
                        <w:sz w:val="21"/>
                      </w:rPr>
                      <w:t> </w:t>
                    </w:r>
                    <w:r>
                      <w:rPr>
                        <w:w w:val="115"/>
                        <w:sz w:val="21"/>
                      </w:rPr>
                      <w:t>responsibilities.</w:t>
                    </w:r>
                  </w:p>
                </w:txbxContent>
              </v:textbox>
              <w10:wrap type="none"/>
            </v:shape>
            <v:shape style="position:absolute;left:1814;top:1206;width:242;height:249" type="#_x0000_t202" filled="false" stroked="false">
              <v:textbox inset="0,0,0,0">
                <w:txbxContent>
                  <w:p>
                    <w:pPr>
                      <w:spacing w:line="249" w:lineRule="exact" w:before="0"/>
                      <w:ind w:left="0" w:right="0" w:firstLine="0"/>
                      <w:jc w:val="left"/>
                      <w:rPr>
                        <w:sz w:val="21"/>
                      </w:rPr>
                    </w:pPr>
                    <w:r>
                      <w:rPr>
                        <w:w w:val="110"/>
                        <w:sz w:val="21"/>
                      </w:rPr>
                      <w:t>61</w:t>
                    </w:r>
                  </w:p>
                </w:txbxContent>
              </v:textbox>
              <w10:wrap type="none"/>
            </v:shape>
            <v:shape style="position:absolute;left:1587;top:218;width:8731;height:726" type="#_x0000_t202" filled="true" fillcolor="#fdebea" stroked="false">
              <v:textbox inset="0,0,0,0">
                <w:txbxContent>
                  <w:p>
                    <w:pPr>
                      <w:spacing w:before="166"/>
                      <w:ind w:left="226" w:right="0" w:firstLine="0"/>
                      <w:jc w:val="left"/>
                      <w:rPr>
                        <w:b/>
                        <w:sz w:val="32"/>
                      </w:rPr>
                    </w:pPr>
                    <w:r>
                      <w:rPr>
                        <w:b/>
                        <w:color w:val="EC5A4F"/>
                        <w:w w:val="110"/>
                        <w:sz w:val="32"/>
                      </w:rPr>
                      <w:t>Recommendation</w:t>
                    </w:r>
                  </w:p>
                </w:txbxContent>
              </v:textbox>
              <v:fill type="solid"/>
              <w10:wrap type="none"/>
            </v:shap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3"/>
        </w:rPr>
      </w:pPr>
      <w:r>
        <w:rPr/>
        <w:pict>
          <v:line style="position:absolute;mso-position-horizontal-relative:page;mso-position-vertical-relative:paragraph;z-index:10304;mso-wrap-distance-left:0;mso-wrap-distance-right:0" from="79.370102pt,10.504163pt" to="515.905102pt,10.504163pt" stroked="true" strokeweight="1pt" strokecolor="#f9ceca">
            <v:stroke dashstyle="solid"/>
            <w10:wrap type="topAndBottom"/>
          </v:line>
        </w:pict>
      </w:r>
    </w:p>
    <w:p>
      <w:pPr>
        <w:pStyle w:val="BodyText"/>
        <w:spacing w:before="8"/>
        <w:rPr>
          <w:sz w:val="5"/>
        </w:rPr>
      </w:pPr>
    </w:p>
    <w:p>
      <w:pPr>
        <w:spacing w:after="0"/>
        <w:rPr>
          <w:sz w:val="5"/>
        </w:rPr>
        <w:sectPr>
          <w:pgSz w:w="11910" w:h="16840"/>
          <w:pgMar w:header="550" w:footer="0" w:top="1560" w:bottom="280" w:left="0" w:right="0"/>
        </w:sectPr>
      </w:pPr>
    </w:p>
    <w:p>
      <w:pPr>
        <w:pStyle w:val="BodyText"/>
        <w:spacing w:before="10"/>
        <w:rPr>
          <w:sz w:val="35"/>
        </w:rPr>
      </w:pPr>
    </w:p>
    <w:p>
      <w:pPr>
        <w:spacing w:before="1"/>
        <w:ind w:left="720" w:right="0" w:firstLine="0"/>
        <w:jc w:val="left"/>
        <w:rPr>
          <w:b/>
          <w:sz w:val="24"/>
        </w:rPr>
      </w:pPr>
      <w:r>
        <w:rPr>
          <w:b/>
          <w:color w:val="EC5A4F"/>
          <w:spacing w:val="-6"/>
          <w:w w:val="110"/>
          <w:sz w:val="24"/>
        </w:rPr>
        <w:t>170</w:t>
      </w:r>
    </w:p>
    <w:p>
      <w:pPr>
        <w:pStyle w:val="ListParagraph"/>
        <w:numPr>
          <w:ilvl w:val="1"/>
          <w:numId w:val="125"/>
        </w:numPr>
        <w:tabs>
          <w:tab w:pos="1237" w:val="left" w:leader="none"/>
          <w:tab w:pos="1239" w:val="left" w:leader="none"/>
        </w:tabs>
        <w:spacing w:line="240" w:lineRule="auto" w:before="48" w:after="0"/>
        <w:ind w:left="444" w:right="6001" w:firstLine="0"/>
        <w:jc w:val="left"/>
        <w:rPr>
          <w:sz w:val="13"/>
        </w:rPr>
      </w:pPr>
      <w:r>
        <w:rPr>
          <w:w w:val="108"/>
          <w:sz w:val="13"/>
        </w:rPr>
        <w:br w:type="column"/>
      </w:r>
      <w:r>
        <w:rPr>
          <w:w w:val="105"/>
          <w:sz w:val="13"/>
        </w:rPr>
        <w:t>Submission 30a </w:t>
      </w:r>
      <w:r>
        <w:rPr>
          <w:spacing w:val="3"/>
          <w:w w:val="105"/>
          <w:sz w:val="13"/>
        </w:rPr>
        <w:t>(Law </w:t>
      </w:r>
      <w:r>
        <w:rPr>
          <w:w w:val="105"/>
          <w:sz w:val="13"/>
        </w:rPr>
        <w:t>Institute of </w:t>
      </w:r>
      <w:r>
        <w:rPr>
          <w:spacing w:val="2"/>
          <w:w w:val="105"/>
          <w:sz w:val="13"/>
        </w:rPr>
        <w:t>Victoria), </w:t>
      </w:r>
      <w:r>
        <w:rPr>
          <w:w w:val="105"/>
          <w:sz w:val="13"/>
        </w:rPr>
        <w:t>discussed at [7.85]. 190</w:t>
        <w:tab/>
        <w:t>Recommendation </w:t>
      </w:r>
      <w:r>
        <w:rPr>
          <w:spacing w:val="-5"/>
          <w:w w:val="105"/>
          <w:sz w:val="13"/>
        </w:rPr>
        <w:t>51, </w:t>
      </w:r>
      <w:r>
        <w:rPr>
          <w:w w:val="105"/>
          <w:sz w:val="13"/>
        </w:rPr>
        <w:t>at</w:t>
      </w:r>
      <w:r>
        <w:rPr>
          <w:spacing w:val="-7"/>
          <w:w w:val="105"/>
          <w:sz w:val="13"/>
        </w:rPr>
        <w:t> </w:t>
      </w:r>
      <w:r>
        <w:rPr>
          <w:w w:val="105"/>
          <w:sz w:val="13"/>
        </w:rPr>
        <w:t>[7.60].</w:t>
      </w:r>
    </w:p>
    <w:p>
      <w:pPr>
        <w:tabs>
          <w:tab w:pos="1238" w:val="left" w:leader="none"/>
        </w:tabs>
        <w:spacing w:before="3"/>
        <w:ind w:left="444" w:right="0" w:firstLine="0"/>
        <w:jc w:val="left"/>
        <w:rPr>
          <w:sz w:val="13"/>
        </w:rPr>
      </w:pPr>
      <w:r>
        <w:rPr>
          <w:spacing w:val="-3"/>
          <w:w w:val="105"/>
          <w:sz w:val="13"/>
        </w:rPr>
        <w:t>191</w:t>
        <w:tab/>
      </w:r>
      <w:r>
        <w:rPr>
          <w:w w:val="105"/>
          <w:sz w:val="13"/>
        </w:rPr>
        <w:t>Submissions</w:t>
      </w:r>
      <w:r>
        <w:rPr>
          <w:spacing w:val="4"/>
          <w:w w:val="105"/>
          <w:sz w:val="13"/>
        </w:rPr>
        <w:t> </w:t>
      </w:r>
      <w:r>
        <w:rPr>
          <w:w w:val="105"/>
          <w:sz w:val="13"/>
        </w:rPr>
        <w:t>25</w:t>
      </w:r>
      <w:r>
        <w:rPr>
          <w:spacing w:val="5"/>
          <w:w w:val="105"/>
          <w:sz w:val="13"/>
        </w:rPr>
        <w:t> </w:t>
      </w:r>
      <w:r>
        <w:rPr>
          <w:spacing w:val="2"/>
          <w:w w:val="105"/>
          <w:sz w:val="13"/>
        </w:rPr>
        <w:t>(Moores</w:t>
      </w:r>
      <w:r>
        <w:rPr>
          <w:spacing w:val="5"/>
          <w:w w:val="105"/>
          <w:sz w:val="13"/>
        </w:rPr>
        <w:t> </w:t>
      </w:r>
      <w:r>
        <w:rPr>
          <w:w w:val="105"/>
          <w:sz w:val="13"/>
        </w:rPr>
        <w:t>Legal);</w:t>
      </w:r>
      <w:r>
        <w:rPr>
          <w:spacing w:val="5"/>
          <w:w w:val="105"/>
          <w:sz w:val="13"/>
        </w:rPr>
        <w:t> </w:t>
      </w:r>
      <w:r>
        <w:rPr>
          <w:w w:val="105"/>
          <w:sz w:val="13"/>
        </w:rPr>
        <w:t>39</w:t>
      </w:r>
      <w:r>
        <w:rPr>
          <w:spacing w:val="5"/>
          <w:w w:val="105"/>
          <w:sz w:val="13"/>
        </w:rPr>
        <w:t> </w:t>
      </w:r>
      <w:r>
        <w:rPr>
          <w:w w:val="105"/>
          <w:sz w:val="13"/>
        </w:rPr>
        <w:t>(Carolyn</w:t>
      </w:r>
      <w:r>
        <w:rPr>
          <w:spacing w:val="5"/>
          <w:w w:val="105"/>
          <w:sz w:val="13"/>
        </w:rPr>
        <w:t> </w:t>
      </w:r>
      <w:r>
        <w:rPr>
          <w:w w:val="105"/>
          <w:sz w:val="13"/>
        </w:rPr>
        <w:t>Sparke</w:t>
      </w:r>
      <w:r>
        <w:rPr>
          <w:spacing w:val="5"/>
          <w:w w:val="105"/>
          <w:sz w:val="13"/>
        </w:rPr>
        <w:t> </w:t>
      </w:r>
      <w:r>
        <w:rPr>
          <w:w w:val="105"/>
          <w:sz w:val="13"/>
        </w:rPr>
        <w:t>SC);</w:t>
      </w:r>
      <w:r>
        <w:rPr>
          <w:spacing w:val="5"/>
          <w:w w:val="105"/>
          <w:sz w:val="13"/>
        </w:rPr>
        <w:t> </w:t>
      </w:r>
      <w:r>
        <w:rPr>
          <w:w w:val="105"/>
          <w:sz w:val="13"/>
        </w:rPr>
        <w:t>40</w:t>
      </w:r>
      <w:r>
        <w:rPr>
          <w:spacing w:val="5"/>
          <w:w w:val="105"/>
          <w:sz w:val="13"/>
        </w:rPr>
        <w:t> </w:t>
      </w:r>
      <w:r>
        <w:rPr>
          <w:w w:val="105"/>
          <w:sz w:val="13"/>
        </w:rPr>
        <w:t>(Janice</w:t>
      </w:r>
      <w:r>
        <w:rPr>
          <w:spacing w:val="5"/>
          <w:w w:val="105"/>
          <w:sz w:val="13"/>
        </w:rPr>
        <w:t> </w:t>
      </w:r>
      <w:r>
        <w:rPr>
          <w:w w:val="105"/>
          <w:sz w:val="13"/>
        </w:rPr>
        <w:t>Brownfoot).</w:t>
      </w:r>
    </w:p>
    <w:p>
      <w:pPr>
        <w:tabs>
          <w:tab w:pos="1238" w:val="left" w:leader="none"/>
        </w:tabs>
        <w:spacing w:before="1"/>
        <w:ind w:left="444" w:right="0" w:firstLine="0"/>
        <w:jc w:val="left"/>
        <w:rPr>
          <w:sz w:val="13"/>
        </w:rPr>
      </w:pPr>
      <w:r>
        <w:rPr>
          <w:w w:val="105"/>
          <w:sz w:val="13"/>
        </w:rPr>
        <w:t>192</w:t>
        <w:tab/>
        <w:t>Submission 39 (Carolyn Sparke</w:t>
      </w:r>
      <w:r>
        <w:rPr>
          <w:spacing w:val="18"/>
          <w:w w:val="105"/>
          <w:sz w:val="13"/>
        </w:rPr>
        <w:t> </w:t>
      </w:r>
      <w:r>
        <w:rPr>
          <w:w w:val="105"/>
          <w:sz w:val="13"/>
        </w:rPr>
        <w:t>SC).</w:t>
      </w:r>
    </w:p>
    <w:p>
      <w:pPr>
        <w:spacing w:after="0"/>
        <w:jc w:val="left"/>
        <w:rPr>
          <w:sz w:val="13"/>
        </w:rPr>
        <w:sectPr>
          <w:type w:val="continuous"/>
          <w:pgSz w:w="11910" w:h="16840"/>
          <w:pgMar w:top="920" w:bottom="280" w:left="0" w:right="0"/>
          <w:cols w:num="2" w:equalWidth="0">
            <w:col w:w="1104" w:space="40"/>
            <w:col w:w="10766"/>
          </w:cols>
        </w:sectPr>
      </w:pPr>
    </w:p>
    <w:p>
      <w:pPr>
        <w:pStyle w:val="BodyText"/>
        <w:rPr>
          <w:sz w:val="20"/>
        </w:rPr>
      </w:pPr>
    </w:p>
    <w:p>
      <w:pPr>
        <w:pStyle w:val="BodyText"/>
        <w:spacing w:before="1"/>
        <w:rPr>
          <w:sz w:val="18"/>
        </w:rPr>
      </w:pPr>
    </w:p>
    <w:p>
      <w:pPr>
        <w:pStyle w:val="Heading5"/>
        <w:spacing w:before="99"/>
      </w:pPr>
      <w:r>
        <w:rPr>
          <w:w w:val="115"/>
        </w:rPr>
        <w:t>Community education</w:t>
      </w:r>
    </w:p>
    <w:p>
      <w:pPr>
        <w:pStyle w:val="ListParagraph"/>
        <w:numPr>
          <w:ilvl w:val="1"/>
          <w:numId w:val="22"/>
        </w:numPr>
        <w:tabs>
          <w:tab w:pos="2381" w:val="left" w:leader="none"/>
          <w:tab w:pos="2382" w:val="left" w:leader="none"/>
        </w:tabs>
        <w:spacing w:line="242" w:lineRule="auto" w:before="137" w:after="0"/>
        <w:ind w:left="2381" w:right="1778" w:hanging="794"/>
        <w:jc w:val="left"/>
        <w:rPr>
          <w:sz w:val="12"/>
        </w:rPr>
      </w:pPr>
      <w:r>
        <w:rPr>
          <w:w w:val="105"/>
          <w:sz w:val="21"/>
        </w:rPr>
        <w:t>The </w:t>
      </w:r>
      <w:r>
        <w:rPr>
          <w:spacing w:val="-3"/>
          <w:w w:val="105"/>
          <w:sz w:val="21"/>
        </w:rPr>
        <w:t>National Committee for Uniform Succession </w:t>
      </w:r>
      <w:r>
        <w:rPr>
          <w:w w:val="105"/>
          <w:sz w:val="21"/>
        </w:rPr>
        <w:t>Laws </w:t>
      </w:r>
      <w:r>
        <w:rPr>
          <w:spacing w:val="-3"/>
          <w:w w:val="105"/>
          <w:sz w:val="21"/>
        </w:rPr>
        <w:t>considered that </w:t>
      </w:r>
      <w:r>
        <w:rPr>
          <w:w w:val="105"/>
          <w:sz w:val="21"/>
        </w:rPr>
        <w:t>the duties of executors,</w:t>
      </w:r>
      <w:r>
        <w:rPr>
          <w:spacing w:val="-12"/>
          <w:w w:val="105"/>
          <w:sz w:val="21"/>
        </w:rPr>
        <w:t> </w:t>
      </w:r>
      <w:r>
        <w:rPr>
          <w:w w:val="105"/>
          <w:sz w:val="21"/>
        </w:rPr>
        <w:t>and</w:t>
      </w:r>
      <w:r>
        <w:rPr>
          <w:spacing w:val="-11"/>
          <w:w w:val="105"/>
          <w:sz w:val="21"/>
        </w:rPr>
        <w:t> </w:t>
      </w:r>
      <w:r>
        <w:rPr>
          <w:w w:val="105"/>
          <w:sz w:val="21"/>
        </w:rPr>
        <w:t>the</w:t>
      </w:r>
      <w:r>
        <w:rPr>
          <w:spacing w:val="-12"/>
          <w:w w:val="105"/>
          <w:sz w:val="21"/>
        </w:rPr>
        <w:t> </w:t>
      </w:r>
      <w:r>
        <w:rPr>
          <w:w w:val="105"/>
          <w:sz w:val="21"/>
        </w:rPr>
        <w:t>rights</w:t>
      </w:r>
      <w:r>
        <w:rPr>
          <w:spacing w:val="-11"/>
          <w:w w:val="105"/>
          <w:sz w:val="21"/>
        </w:rPr>
        <w:t> </w:t>
      </w:r>
      <w:r>
        <w:rPr>
          <w:w w:val="105"/>
          <w:sz w:val="21"/>
        </w:rPr>
        <w:t>of</w:t>
      </w:r>
      <w:r>
        <w:rPr>
          <w:spacing w:val="-12"/>
          <w:w w:val="105"/>
          <w:sz w:val="21"/>
        </w:rPr>
        <w:t> </w:t>
      </w:r>
      <w:r>
        <w:rPr>
          <w:w w:val="105"/>
          <w:sz w:val="21"/>
        </w:rPr>
        <w:t>beneficiaries</w:t>
      </w:r>
      <w:r>
        <w:rPr>
          <w:spacing w:val="-11"/>
          <w:w w:val="105"/>
          <w:sz w:val="21"/>
        </w:rPr>
        <w:t> </w:t>
      </w:r>
      <w:r>
        <w:rPr>
          <w:spacing w:val="-3"/>
          <w:w w:val="105"/>
          <w:sz w:val="21"/>
        </w:rPr>
        <w:t>to</w:t>
      </w:r>
      <w:r>
        <w:rPr>
          <w:spacing w:val="-11"/>
          <w:w w:val="105"/>
          <w:sz w:val="21"/>
        </w:rPr>
        <w:t> </w:t>
      </w:r>
      <w:r>
        <w:rPr>
          <w:w w:val="105"/>
          <w:sz w:val="21"/>
        </w:rPr>
        <w:t>obtain</w:t>
      </w:r>
      <w:r>
        <w:rPr>
          <w:spacing w:val="-12"/>
          <w:w w:val="105"/>
          <w:sz w:val="21"/>
        </w:rPr>
        <w:t> </w:t>
      </w:r>
      <w:r>
        <w:rPr>
          <w:spacing w:val="-3"/>
          <w:w w:val="105"/>
          <w:sz w:val="21"/>
        </w:rPr>
        <w:t>information</w:t>
      </w:r>
      <w:r>
        <w:rPr>
          <w:spacing w:val="-11"/>
          <w:w w:val="105"/>
          <w:sz w:val="21"/>
        </w:rPr>
        <w:t> </w:t>
      </w:r>
      <w:r>
        <w:rPr>
          <w:w w:val="105"/>
          <w:sz w:val="21"/>
        </w:rPr>
        <w:t>about</w:t>
      </w:r>
      <w:r>
        <w:rPr>
          <w:spacing w:val="-12"/>
          <w:w w:val="105"/>
          <w:sz w:val="21"/>
        </w:rPr>
        <w:t> </w:t>
      </w:r>
      <w:r>
        <w:rPr>
          <w:w w:val="105"/>
          <w:sz w:val="21"/>
        </w:rPr>
        <w:t>the</w:t>
      </w:r>
      <w:r>
        <w:rPr>
          <w:spacing w:val="-11"/>
          <w:w w:val="105"/>
          <w:sz w:val="21"/>
        </w:rPr>
        <w:t> </w:t>
      </w:r>
      <w:r>
        <w:rPr>
          <w:spacing w:val="-3"/>
          <w:w w:val="105"/>
          <w:sz w:val="21"/>
        </w:rPr>
        <w:t>administration </w:t>
      </w:r>
      <w:r>
        <w:rPr>
          <w:w w:val="105"/>
          <w:sz w:val="21"/>
        </w:rPr>
        <w:t>of the </w:t>
      </w:r>
      <w:r>
        <w:rPr>
          <w:spacing w:val="-3"/>
          <w:w w:val="105"/>
          <w:sz w:val="21"/>
        </w:rPr>
        <w:t>estate, </w:t>
      </w:r>
      <w:r>
        <w:rPr>
          <w:w w:val="105"/>
          <w:sz w:val="21"/>
        </w:rPr>
        <w:t>should be set out in </w:t>
      </w:r>
      <w:r>
        <w:rPr>
          <w:spacing w:val="-4"/>
          <w:w w:val="105"/>
          <w:sz w:val="21"/>
        </w:rPr>
        <w:t>legislation.</w:t>
      </w:r>
      <w:r>
        <w:rPr>
          <w:spacing w:val="-4"/>
          <w:w w:val="105"/>
          <w:position w:val="7"/>
          <w:sz w:val="12"/>
        </w:rPr>
        <w:t>193 </w:t>
      </w:r>
      <w:r>
        <w:rPr>
          <w:w w:val="105"/>
          <w:sz w:val="21"/>
        </w:rPr>
        <w:t>The </w:t>
      </w:r>
      <w:r>
        <w:rPr>
          <w:spacing w:val="-3"/>
          <w:w w:val="105"/>
          <w:sz w:val="21"/>
        </w:rPr>
        <w:t>Committee noted that </w:t>
      </w:r>
      <w:r>
        <w:rPr>
          <w:w w:val="105"/>
          <w:sz w:val="21"/>
        </w:rPr>
        <w:t>expressly setting out and clarifying the law would assist the </w:t>
      </w:r>
      <w:r>
        <w:rPr>
          <w:spacing w:val="-3"/>
          <w:w w:val="105"/>
          <w:sz w:val="21"/>
        </w:rPr>
        <w:t>many </w:t>
      </w:r>
      <w:r>
        <w:rPr>
          <w:w w:val="105"/>
          <w:sz w:val="21"/>
        </w:rPr>
        <w:t>executors who </w:t>
      </w:r>
      <w:r>
        <w:rPr>
          <w:spacing w:val="-3"/>
          <w:w w:val="105"/>
          <w:sz w:val="21"/>
        </w:rPr>
        <w:t>are lay </w:t>
      </w:r>
      <w:r>
        <w:rPr>
          <w:w w:val="105"/>
          <w:sz w:val="21"/>
        </w:rPr>
        <w:t>persons </w:t>
      </w:r>
      <w:r>
        <w:rPr>
          <w:spacing w:val="-3"/>
          <w:w w:val="105"/>
          <w:sz w:val="21"/>
        </w:rPr>
        <w:t>to </w:t>
      </w:r>
      <w:r>
        <w:rPr>
          <w:w w:val="105"/>
          <w:sz w:val="21"/>
        </w:rPr>
        <w:t>comply with their</w:t>
      </w:r>
      <w:r>
        <w:rPr>
          <w:spacing w:val="23"/>
          <w:w w:val="105"/>
          <w:sz w:val="21"/>
        </w:rPr>
        <w:t> </w:t>
      </w:r>
      <w:r>
        <w:rPr>
          <w:spacing w:val="-4"/>
          <w:w w:val="105"/>
          <w:sz w:val="21"/>
        </w:rPr>
        <w:t>obligations.</w:t>
      </w:r>
      <w:r>
        <w:rPr>
          <w:spacing w:val="-4"/>
          <w:w w:val="105"/>
          <w:position w:val="7"/>
          <w:sz w:val="12"/>
        </w:rPr>
        <w:t>194</w:t>
      </w:r>
    </w:p>
    <w:p>
      <w:pPr>
        <w:pStyle w:val="ListParagraph"/>
        <w:numPr>
          <w:ilvl w:val="1"/>
          <w:numId w:val="22"/>
        </w:numPr>
        <w:tabs>
          <w:tab w:pos="2380" w:val="left" w:leader="none"/>
          <w:tab w:pos="2382" w:val="left" w:leader="none"/>
        </w:tabs>
        <w:spacing w:line="242" w:lineRule="auto" w:before="126" w:after="0"/>
        <w:ind w:left="2381" w:right="1838" w:hanging="794"/>
        <w:jc w:val="left"/>
        <w:rPr>
          <w:sz w:val="21"/>
        </w:rPr>
      </w:pPr>
      <w:r>
        <w:rPr>
          <w:w w:val="105"/>
          <w:sz w:val="21"/>
        </w:rPr>
        <w:t>Although the </w:t>
      </w:r>
      <w:r>
        <w:rPr>
          <w:spacing w:val="-4"/>
          <w:w w:val="105"/>
          <w:sz w:val="21"/>
        </w:rPr>
        <w:t>Commission’s </w:t>
      </w:r>
      <w:r>
        <w:rPr>
          <w:spacing w:val="-3"/>
          <w:w w:val="105"/>
          <w:sz w:val="21"/>
        </w:rPr>
        <w:t>terms </w:t>
      </w:r>
      <w:r>
        <w:rPr>
          <w:w w:val="105"/>
          <w:sz w:val="21"/>
        </w:rPr>
        <w:t>of </w:t>
      </w:r>
      <w:r>
        <w:rPr>
          <w:spacing w:val="-3"/>
          <w:w w:val="105"/>
          <w:sz w:val="21"/>
        </w:rPr>
        <w:t>reference </w:t>
      </w:r>
      <w:r>
        <w:rPr>
          <w:w w:val="105"/>
          <w:sz w:val="21"/>
        </w:rPr>
        <w:t>do </w:t>
      </w:r>
      <w:r>
        <w:rPr>
          <w:spacing w:val="-2"/>
          <w:w w:val="105"/>
          <w:sz w:val="21"/>
        </w:rPr>
        <w:t>not </w:t>
      </w:r>
      <w:r>
        <w:rPr>
          <w:w w:val="105"/>
          <w:sz w:val="21"/>
        </w:rPr>
        <w:t>extend </w:t>
      </w:r>
      <w:r>
        <w:rPr>
          <w:spacing w:val="-3"/>
          <w:w w:val="105"/>
          <w:sz w:val="21"/>
        </w:rPr>
        <w:t>to examining </w:t>
      </w:r>
      <w:r>
        <w:rPr>
          <w:w w:val="105"/>
          <w:sz w:val="21"/>
        </w:rPr>
        <w:t>whether </w:t>
      </w:r>
      <w:r>
        <w:rPr>
          <w:spacing w:val="-3"/>
          <w:w w:val="105"/>
          <w:sz w:val="21"/>
        </w:rPr>
        <w:t>to incorporate </w:t>
      </w:r>
      <w:r>
        <w:rPr>
          <w:w w:val="105"/>
          <w:sz w:val="21"/>
        </w:rPr>
        <w:t>the </w:t>
      </w:r>
      <w:r>
        <w:rPr>
          <w:spacing w:val="-3"/>
          <w:w w:val="105"/>
          <w:sz w:val="21"/>
        </w:rPr>
        <w:t>National </w:t>
      </w:r>
      <w:r>
        <w:rPr>
          <w:spacing w:val="-4"/>
          <w:w w:val="105"/>
          <w:sz w:val="21"/>
        </w:rPr>
        <w:t>Committee’s </w:t>
      </w:r>
      <w:r>
        <w:rPr>
          <w:spacing w:val="-3"/>
          <w:w w:val="105"/>
          <w:sz w:val="21"/>
        </w:rPr>
        <w:t>recommendations </w:t>
      </w:r>
      <w:r>
        <w:rPr>
          <w:w w:val="105"/>
          <w:sz w:val="21"/>
        </w:rPr>
        <w:t>in this </w:t>
      </w:r>
      <w:r>
        <w:rPr>
          <w:spacing w:val="-3"/>
          <w:w w:val="105"/>
          <w:sz w:val="21"/>
        </w:rPr>
        <w:t>regard, </w:t>
      </w:r>
      <w:r>
        <w:rPr>
          <w:w w:val="105"/>
          <w:sz w:val="21"/>
        </w:rPr>
        <w:t>the </w:t>
      </w:r>
      <w:r>
        <w:rPr>
          <w:spacing w:val="-3"/>
          <w:w w:val="105"/>
          <w:sz w:val="21"/>
        </w:rPr>
        <w:t>Commission </w:t>
      </w:r>
      <w:r>
        <w:rPr>
          <w:w w:val="105"/>
          <w:sz w:val="21"/>
        </w:rPr>
        <w:t>acknowledges </w:t>
      </w:r>
      <w:r>
        <w:rPr>
          <w:spacing w:val="-3"/>
          <w:w w:val="105"/>
          <w:sz w:val="21"/>
        </w:rPr>
        <w:t>that </w:t>
      </w:r>
      <w:r>
        <w:rPr>
          <w:w w:val="105"/>
          <w:sz w:val="21"/>
        </w:rPr>
        <w:t>the law needs </w:t>
      </w:r>
      <w:r>
        <w:rPr>
          <w:spacing w:val="-3"/>
          <w:w w:val="105"/>
          <w:sz w:val="21"/>
        </w:rPr>
        <w:t>to </w:t>
      </w:r>
      <w:r>
        <w:rPr>
          <w:w w:val="105"/>
          <w:sz w:val="21"/>
        </w:rPr>
        <w:t>be </w:t>
      </w:r>
      <w:r>
        <w:rPr>
          <w:spacing w:val="-3"/>
          <w:w w:val="105"/>
          <w:sz w:val="21"/>
        </w:rPr>
        <w:t>clearer </w:t>
      </w:r>
      <w:r>
        <w:rPr>
          <w:spacing w:val="-2"/>
          <w:w w:val="105"/>
          <w:sz w:val="21"/>
        </w:rPr>
        <w:t>not </w:t>
      </w:r>
      <w:r>
        <w:rPr>
          <w:w w:val="105"/>
          <w:sz w:val="21"/>
        </w:rPr>
        <w:t>only </w:t>
      </w:r>
      <w:r>
        <w:rPr>
          <w:spacing w:val="-3"/>
          <w:w w:val="105"/>
          <w:sz w:val="21"/>
        </w:rPr>
        <w:t>to </w:t>
      </w:r>
      <w:r>
        <w:rPr>
          <w:w w:val="105"/>
          <w:sz w:val="21"/>
        </w:rPr>
        <w:t>legal practitioners who </w:t>
      </w:r>
      <w:r>
        <w:rPr>
          <w:spacing w:val="-3"/>
          <w:w w:val="105"/>
          <w:sz w:val="21"/>
        </w:rPr>
        <w:t>are </w:t>
      </w:r>
      <w:r>
        <w:rPr>
          <w:w w:val="105"/>
          <w:sz w:val="21"/>
        </w:rPr>
        <w:t>inexperienced in </w:t>
      </w:r>
      <w:r>
        <w:rPr>
          <w:spacing w:val="-3"/>
          <w:w w:val="105"/>
          <w:sz w:val="21"/>
        </w:rPr>
        <w:t>succession </w:t>
      </w:r>
      <w:r>
        <w:rPr>
          <w:w w:val="105"/>
          <w:sz w:val="21"/>
        </w:rPr>
        <w:t>law matters but also </w:t>
      </w:r>
      <w:r>
        <w:rPr>
          <w:spacing w:val="-3"/>
          <w:w w:val="105"/>
          <w:sz w:val="21"/>
        </w:rPr>
        <w:t>to </w:t>
      </w:r>
      <w:r>
        <w:rPr>
          <w:w w:val="105"/>
          <w:sz w:val="21"/>
        </w:rPr>
        <w:t>members of the</w:t>
      </w:r>
      <w:r>
        <w:rPr>
          <w:spacing w:val="4"/>
          <w:w w:val="105"/>
          <w:sz w:val="21"/>
        </w:rPr>
        <w:t> </w:t>
      </w:r>
      <w:r>
        <w:rPr>
          <w:spacing w:val="-3"/>
          <w:w w:val="105"/>
          <w:sz w:val="21"/>
        </w:rPr>
        <w:t>public.</w:t>
      </w:r>
    </w:p>
    <w:p>
      <w:pPr>
        <w:pStyle w:val="ListParagraph"/>
        <w:numPr>
          <w:ilvl w:val="1"/>
          <w:numId w:val="22"/>
        </w:numPr>
        <w:tabs>
          <w:tab w:pos="2380" w:val="left" w:leader="none"/>
          <w:tab w:pos="2382" w:val="left" w:leader="none"/>
        </w:tabs>
        <w:spacing w:line="242" w:lineRule="auto" w:before="124" w:after="0"/>
        <w:ind w:left="2381" w:right="1879" w:hanging="794"/>
        <w:jc w:val="left"/>
        <w:rPr>
          <w:sz w:val="21"/>
        </w:rPr>
      </w:pPr>
      <w:r>
        <w:rPr>
          <w:spacing w:val="-3"/>
          <w:w w:val="105"/>
          <w:sz w:val="21"/>
        </w:rPr>
        <w:t>Various materials </w:t>
      </w:r>
      <w:r>
        <w:rPr>
          <w:w w:val="105"/>
          <w:sz w:val="21"/>
        </w:rPr>
        <w:t>on </w:t>
      </w:r>
      <w:r>
        <w:rPr>
          <w:spacing w:val="-3"/>
          <w:w w:val="105"/>
          <w:sz w:val="21"/>
        </w:rPr>
        <w:t>making wills </w:t>
      </w:r>
      <w:r>
        <w:rPr>
          <w:w w:val="105"/>
          <w:sz w:val="21"/>
        </w:rPr>
        <w:t>and applying </w:t>
      </w:r>
      <w:r>
        <w:rPr>
          <w:spacing w:val="-3"/>
          <w:w w:val="105"/>
          <w:sz w:val="21"/>
        </w:rPr>
        <w:t>for probate are </w:t>
      </w:r>
      <w:r>
        <w:rPr>
          <w:w w:val="105"/>
          <w:sz w:val="21"/>
        </w:rPr>
        <w:t>freely </w:t>
      </w:r>
      <w:r>
        <w:rPr>
          <w:spacing w:val="-3"/>
          <w:w w:val="105"/>
          <w:sz w:val="21"/>
        </w:rPr>
        <w:t>available to </w:t>
      </w:r>
      <w:r>
        <w:rPr>
          <w:w w:val="105"/>
          <w:sz w:val="21"/>
        </w:rPr>
        <w:t>the </w:t>
      </w:r>
      <w:r>
        <w:rPr>
          <w:spacing w:val="-3"/>
          <w:w w:val="105"/>
          <w:sz w:val="21"/>
        </w:rPr>
        <w:t>public. </w:t>
      </w:r>
      <w:r>
        <w:rPr>
          <w:w w:val="105"/>
          <w:sz w:val="21"/>
        </w:rPr>
        <w:t>Their </w:t>
      </w:r>
      <w:r>
        <w:rPr>
          <w:spacing w:val="-3"/>
          <w:w w:val="105"/>
          <w:sz w:val="21"/>
        </w:rPr>
        <w:t>focus </w:t>
      </w:r>
      <w:r>
        <w:rPr>
          <w:w w:val="105"/>
          <w:sz w:val="21"/>
        </w:rPr>
        <w:t>and </w:t>
      </w:r>
      <w:r>
        <w:rPr>
          <w:spacing w:val="-3"/>
          <w:w w:val="105"/>
          <w:sz w:val="21"/>
        </w:rPr>
        <w:t>content </w:t>
      </w:r>
      <w:r>
        <w:rPr>
          <w:w w:val="105"/>
          <w:sz w:val="21"/>
        </w:rPr>
        <w:t>depend on their </w:t>
      </w:r>
      <w:r>
        <w:rPr>
          <w:spacing w:val="-3"/>
          <w:w w:val="105"/>
          <w:sz w:val="21"/>
        </w:rPr>
        <w:t>intended audiences. Community </w:t>
      </w:r>
      <w:r>
        <w:rPr>
          <w:w w:val="105"/>
          <w:sz w:val="21"/>
        </w:rPr>
        <w:t>legal </w:t>
      </w:r>
      <w:r>
        <w:rPr>
          <w:spacing w:val="-3"/>
          <w:w w:val="105"/>
          <w:sz w:val="21"/>
        </w:rPr>
        <w:t>centres have </w:t>
      </w:r>
      <w:r>
        <w:rPr>
          <w:w w:val="105"/>
          <w:sz w:val="21"/>
        </w:rPr>
        <w:t>been at the </w:t>
      </w:r>
      <w:r>
        <w:rPr>
          <w:spacing w:val="-3"/>
          <w:w w:val="105"/>
          <w:sz w:val="21"/>
        </w:rPr>
        <w:t>forefront </w:t>
      </w:r>
      <w:r>
        <w:rPr>
          <w:w w:val="105"/>
          <w:sz w:val="21"/>
        </w:rPr>
        <w:t>in </w:t>
      </w:r>
      <w:r>
        <w:rPr>
          <w:spacing w:val="-3"/>
          <w:w w:val="105"/>
          <w:sz w:val="21"/>
        </w:rPr>
        <w:t>producing </w:t>
      </w:r>
      <w:r>
        <w:rPr>
          <w:w w:val="105"/>
          <w:sz w:val="21"/>
        </w:rPr>
        <w:t>and </w:t>
      </w:r>
      <w:r>
        <w:rPr>
          <w:spacing w:val="-3"/>
          <w:w w:val="105"/>
          <w:sz w:val="21"/>
        </w:rPr>
        <w:t>delivering information </w:t>
      </w:r>
      <w:r>
        <w:rPr>
          <w:w w:val="105"/>
          <w:sz w:val="21"/>
        </w:rPr>
        <w:t>on </w:t>
      </w:r>
      <w:r>
        <w:rPr>
          <w:spacing w:val="-3"/>
          <w:w w:val="105"/>
          <w:sz w:val="21"/>
        </w:rPr>
        <w:t>wills  </w:t>
      </w:r>
      <w:r>
        <w:rPr>
          <w:w w:val="105"/>
          <w:sz w:val="21"/>
        </w:rPr>
        <w:t>and estates </w:t>
      </w:r>
      <w:r>
        <w:rPr>
          <w:spacing w:val="-3"/>
          <w:w w:val="105"/>
          <w:sz w:val="21"/>
        </w:rPr>
        <w:t>to </w:t>
      </w:r>
      <w:r>
        <w:rPr>
          <w:w w:val="105"/>
          <w:sz w:val="21"/>
        </w:rPr>
        <w:t>the </w:t>
      </w:r>
      <w:r>
        <w:rPr>
          <w:spacing w:val="-3"/>
          <w:w w:val="105"/>
          <w:sz w:val="21"/>
        </w:rPr>
        <w:t>public through publications, </w:t>
      </w:r>
      <w:r>
        <w:rPr>
          <w:w w:val="105"/>
          <w:sz w:val="21"/>
        </w:rPr>
        <w:t>seminars and their legal services. The Legal</w:t>
      </w:r>
      <w:r>
        <w:rPr>
          <w:spacing w:val="-7"/>
          <w:w w:val="105"/>
          <w:sz w:val="21"/>
        </w:rPr>
        <w:t> </w:t>
      </w:r>
      <w:r>
        <w:rPr>
          <w:w w:val="105"/>
          <w:sz w:val="21"/>
        </w:rPr>
        <w:t>Services</w:t>
      </w:r>
      <w:r>
        <w:rPr>
          <w:spacing w:val="-7"/>
          <w:w w:val="105"/>
          <w:sz w:val="21"/>
        </w:rPr>
        <w:t> </w:t>
      </w:r>
      <w:r>
        <w:rPr>
          <w:spacing w:val="-3"/>
          <w:w w:val="105"/>
          <w:sz w:val="21"/>
        </w:rPr>
        <w:t>Commissioner</w:t>
      </w:r>
      <w:r>
        <w:rPr>
          <w:spacing w:val="-6"/>
          <w:w w:val="105"/>
          <w:sz w:val="21"/>
        </w:rPr>
        <w:t> </w:t>
      </w:r>
      <w:r>
        <w:rPr>
          <w:spacing w:val="-2"/>
          <w:w w:val="105"/>
          <w:sz w:val="21"/>
        </w:rPr>
        <w:t>has</w:t>
      </w:r>
      <w:r>
        <w:rPr>
          <w:spacing w:val="-7"/>
          <w:w w:val="105"/>
          <w:sz w:val="21"/>
        </w:rPr>
        <w:t> </w:t>
      </w:r>
      <w:r>
        <w:rPr>
          <w:w w:val="105"/>
          <w:sz w:val="21"/>
        </w:rPr>
        <w:t>a</w:t>
      </w:r>
      <w:r>
        <w:rPr>
          <w:spacing w:val="-7"/>
          <w:w w:val="105"/>
          <w:sz w:val="21"/>
        </w:rPr>
        <w:t> </w:t>
      </w:r>
      <w:r>
        <w:rPr>
          <w:w w:val="105"/>
          <w:sz w:val="21"/>
        </w:rPr>
        <w:t>pivotal</w:t>
      </w:r>
      <w:r>
        <w:rPr>
          <w:spacing w:val="-6"/>
          <w:w w:val="105"/>
          <w:sz w:val="21"/>
        </w:rPr>
        <w:t> </w:t>
      </w:r>
      <w:r>
        <w:rPr>
          <w:w w:val="105"/>
          <w:sz w:val="21"/>
        </w:rPr>
        <w:t>role</w:t>
      </w:r>
      <w:r>
        <w:rPr>
          <w:spacing w:val="-7"/>
          <w:w w:val="105"/>
          <w:sz w:val="21"/>
        </w:rPr>
        <w:t> </w:t>
      </w:r>
      <w:r>
        <w:rPr>
          <w:w w:val="105"/>
          <w:sz w:val="21"/>
        </w:rPr>
        <w:t>in</w:t>
      </w:r>
      <w:r>
        <w:rPr>
          <w:spacing w:val="-6"/>
          <w:w w:val="105"/>
          <w:sz w:val="21"/>
        </w:rPr>
        <w:t> </w:t>
      </w:r>
      <w:r>
        <w:rPr>
          <w:spacing w:val="-3"/>
          <w:w w:val="105"/>
          <w:sz w:val="21"/>
        </w:rPr>
        <w:t>educating</w:t>
      </w:r>
      <w:r>
        <w:rPr>
          <w:spacing w:val="-7"/>
          <w:w w:val="105"/>
          <w:sz w:val="21"/>
        </w:rPr>
        <w:t> </w:t>
      </w:r>
      <w:r>
        <w:rPr>
          <w:w w:val="105"/>
          <w:sz w:val="21"/>
        </w:rPr>
        <w:t>the</w:t>
      </w:r>
      <w:r>
        <w:rPr>
          <w:spacing w:val="-7"/>
          <w:w w:val="105"/>
          <w:sz w:val="21"/>
        </w:rPr>
        <w:t> </w:t>
      </w:r>
      <w:r>
        <w:rPr>
          <w:w w:val="105"/>
          <w:sz w:val="21"/>
        </w:rPr>
        <w:t>community</w:t>
      </w:r>
      <w:r>
        <w:rPr>
          <w:spacing w:val="-6"/>
          <w:w w:val="105"/>
          <w:sz w:val="21"/>
        </w:rPr>
        <w:t> </w:t>
      </w:r>
      <w:r>
        <w:rPr>
          <w:w w:val="105"/>
          <w:sz w:val="21"/>
        </w:rPr>
        <w:t>about</w:t>
      </w:r>
      <w:r>
        <w:rPr>
          <w:spacing w:val="-7"/>
          <w:w w:val="105"/>
          <w:sz w:val="21"/>
        </w:rPr>
        <w:t> </w:t>
      </w:r>
      <w:r>
        <w:rPr>
          <w:w w:val="105"/>
          <w:sz w:val="21"/>
        </w:rPr>
        <w:t>legal issues</w:t>
      </w:r>
      <w:r>
        <w:rPr>
          <w:spacing w:val="-10"/>
          <w:w w:val="105"/>
          <w:sz w:val="21"/>
        </w:rPr>
        <w:t> </w:t>
      </w:r>
      <w:r>
        <w:rPr>
          <w:w w:val="105"/>
          <w:sz w:val="21"/>
        </w:rPr>
        <w:t>and</w:t>
      </w:r>
      <w:r>
        <w:rPr>
          <w:spacing w:val="-9"/>
          <w:w w:val="105"/>
          <w:sz w:val="21"/>
        </w:rPr>
        <w:t> </w:t>
      </w:r>
      <w:r>
        <w:rPr>
          <w:spacing w:val="-2"/>
          <w:w w:val="105"/>
          <w:sz w:val="21"/>
        </w:rPr>
        <w:t>has</w:t>
      </w:r>
      <w:r>
        <w:rPr>
          <w:spacing w:val="-9"/>
          <w:w w:val="105"/>
          <w:sz w:val="21"/>
        </w:rPr>
        <w:t> </w:t>
      </w:r>
      <w:r>
        <w:rPr>
          <w:w w:val="105"/>
          <w:sz w:val="21"/>
        </w:rPr>
        <w:t>participated</w:t>
      </w:r>
      <w:r>
        <w:rPr>
          <w:spacing w:val="-10"/>
          <w:w w:val="105"/>
          <w:sz w:val="21"/>
        </w:rPr>
        <w:t> </w:t>
      </w:r>
      <w:r>
        <w:rPr>
          <w:w w:val="105"/>
          <w:sz w:val="21"/>
        </w:rPr>
        <w:t>in</w:t>
      </w:r>
      <w:r>
        <w:rPr>
          <w:spacing w:val="-9"/>
          <w:w w:val="105"/>
          <w:sz w:val="21"/>
        </w:rPr>
        <w:t> </w:t>
      </w:r>
      <w:r>
        <w:rPr>
          <w:w w:val="105"/>
          <w:sz w:val="21"/>
        </w:rPr>
        <w:t>a</w:t>
      </w:r>
      <w:r>
        <w:rPr>
          <w:spacing w:val="-9"/>
          <w:w w:val="105"/>
          <w:sz w:val="21"/>
        </w:rPr>
        <w:t> </w:t>
      </w:r>
      <w:r>
        <w:rPr>
          <w:w w:val="105"/>
          <w:sz w:val="21"/>
        </w:rPr>
        <w:t>number</w:t>
      </w:r>
      <w:r>
        <w:rPr>
          <w:spacing w:val="-10"/>
          <w:w w:val="105"/>
          <w:sz w:val="21"/>
        </w:rPr>
        <w:t> </w:t>
      </w:r>
      <w:r>
        <w:rPr>
          <w:w w:val="105"/>
          <w:sz w:val="21"/>
        </w:rPr>
        <w:t>of</w:t>
      </w:r>
      <w:r>
        <w:rPr>
          <w:spacing w:val="-9"/>
          <w:w w:val="105"/>
          <w:sz w:val="21"/>
        </w:rPr>
        <w:t> </w:t>
      </w:r>
      <w:r>
        <w:rPr>
          <w:w w:val="105"/>
          <w:sz w:val="21"/>
        </w:rPr>
        <w:t>activities</w:t>
      </w:r>
      <w:r>
        <w:rPr>
          <w:spacing w:val="-9"/>
          <w:w w:val="105"/>
          <w:sz w:val="21"/>
        </w:rPr>
        <w:t> </w:t>
      </w:r>
      <w:r>
        <w:rPr>
          <w:w w:val="105"/>
          <w:sz w:val="21"/>
        </w:rPr>
        <w:t>in</w:t>
      </w:r>
      <w:r>
        <w:rPr>
          <w:spacing w:val="-10"/>
          <w:w w:val="105"/>
          <w:sz w:val="21"/>
        </w:rPr>
        <w:t> </w:t>
      </w:r>
      <w:r>
        <w:rPr>
          <w:w w:val="105"/>
          <w:sz w:val="21"/>
        </w:rPr>
        <w:t>this</w:t>
      </w:r>
      <w:r>
        <w:rPr>
          <w:spacing w:val="-9"/>
          <w:w w:val="105"/>
          <w:sz w:val="21"/>
        </w:rPr>
        <w:t> </w:t>
      </w:r>
      <w:r>
        <w:rPr>
          <w:spacing w:val="-3"/>
          <w:w w:val="105"/>
          <w:sz w:val="21"/>
        </w:rPr>
        <w:t>area,</w:t>
      </w:r>
      <w:r>
        <w:rPr>
          <w:spacing w:val="-9"/>
          <w:w w:val="105"/>
          <w:sz w:val="21"/>
        </w:rPr>
        <w:t> </w:t>
      </w:r>
      <w:r>
        <w:rPr>
          <w:w w:val="105"/>
          <w:sz w:val="21"/>
        </w:rPr>
        <w:t>both</w:t>
      </w:r>
      <w:r>
        <w:rPr>
          <w:spacing w:val="-10"/>
          <w:w w:val="105"/>
          <w:sz w:val="21"/>
        </w:rPr>
        <w:t> </w:t>
      </w:r>
      <w:r>
        <w:rPr>
          <w:spacing w:val="-3"/>
          <w:w w:val="105"/>
          <w:sz w:val="21"/>
        </w:rPr>
        <w:t>separately</w:t>
      </w:r>
      <w:r>
        <w:rPr>
          <w:spacing w:val="-9"/>
          <w:w w:val="105"/>
          <w:sz w:val="21"/>
        </w:rPr>
        <w:t> </w:t>
      </w:r>
      <w:r>
        <w:rPr>
          <w:w w:val="105"/>
          <w:sz w:val="21"/>
        </w:rPr>
        <w:t>and</w:t>
      </w:r>
      <w:r>
        <w:rPr>
          <w:spacing w:val="-9"/>
          <w:w w:val="105"/>
          <w:sz w:val="21"/>
        </w:rPr>
        <w:t> </w:t>
      </w:r>
      <w:r>
        <w:rPr>
          <w:w w:val="105"/>
          <w:sz w:val="21"/>
        </w:rPr>
        <w:t>in </w:t>
      </w:r>
      <w:r>
        <w:rPr>
          <w:spacing w:val="-3"/>
          <w:w w:val="105"/>
          <w:sz w:val="21"/>
        </w:rPr>
        <w:t>collaboration </w:t>
      </w:r>
      <w:r>
        <w:rPr>
          <w:w w:val="105"/>
          <w:sz w:val="21"/>
        </w:rPr>
        <w:t>with other</w:t>
      </w:r>
      <w:r>
        <w:rPr>
          <w:spacing w:val="18"/>
          <w:w w:val="105"/>
          <w:sz w:val="21"/>
        </w:rPr>
        <w:t> </w:t>
      </w:r>
      <w:r>
        <w:rPr>
          <w:spacing w:val="-3"/>
          <w:w w:val="105"/>
          <w:sz w:val="21"/>
        </w:rPr>
        <w:t>organisations.</w:t>
      </w:r>
    </w:p>
    <w:p>
      <w:pPr>
        <w:pStyle w:val="ListParagraph"/>
        <w:numPr>
          <w:ilvl w:val="1"/>
          <w:numId w:val="22"/>
        </w:numPr>
        <w:tabs>
          <w:tab w:pos="2380" w:val="left" w:leader="none"/>
          <w:tab w:pos="2382" w:val="left" w:leader="none"/>
        </w:tabs>
        <w:spacing w:line="242" w:lineRule="auto" w:before="128" w:after="0"/>
        <w:ind w:left="2381" w:right="1754" w:hanging="794"/>
        <w:jc w:val="left"/>
        <w:rPr>
          <w:sz w:val="21"/>
        </w:rPr>
      </w:pPr>
      <w:r>
        <w:rPr>
          <w:w w:val="105"/>
          <w:sz w:val="21"/>
        </w:rPr>
        <w:t>Other </w:t>
      </w:r>
      <w:r>
        <w:rPr>
          <w:spacing w:val="-3"/>
          <w:w w:val="105"/>
          <w:sz w:val="21"/>
        </w:rPr>
        <w:t>materials are </w:t>
      </w:r>
      <w:r>
        <w:rPr>
          <w:w w:val="105"/>
          <w:sz w:val="21"/>
        </w:rPr>
        <w:t>directed </w:t>
      </w:r>
      <w:r>
        <w:rPr>
          <w:spacing w:val="-3"/>
          <w:w w:val="105"/>
          <w:sz w:val="21"/>
        </w:rPr>
        <w:t>to </w:t>
      </w:r>
      <w:r>
        <w:rPr>
          <w:w w:val="105"/>
          <w:sz w:val="21"/>
        </w:rPr>
        <w:t>clients, customers or members of the </w:t>
      </w:r>
      <w:r>
        <w:rPr>
          <w:spacing w:val="-3"/>
          <w:w w:val="105"/>
          <w:sz w:val="21"/>
        </w:rPr>
        <w:t>organisation that </w:t>
      </w:r>
      <w:r>
        <w:rPr>
          <w:spacing w:val="-2"/>
          <w:w w:val="105"/>
          <w:sz w:val="21"/>
        </w:rPr>
        <w:t>has </w:t>
      </w:r>
      <w:r>
        <w:rPr>
          <w:spacing w:val="-3"/>
          <w:w w:val="105"/>
          <w:sz w:val="21"/>
        </w:rPr>
        <w:t>prepared </w:t>
      </w:r>
      <w:r>
        <w:rPr>
          <w:w w:val="105"/>
          <w:sz w:val="21"/>
        </w:rPr>
        <w:t>them. For </w:t>
      </w:r>
      <w:r>
        <w:rPr>
          <w:spacing w:val="-3"/>
          <w:w w:val="105"/>
          <w:sz w:val="21"/>
        </w:rPr>
        <w:t>example, State </w:t>
      </w:r>
      <w:r>
        <w:rPr>
          <w:spacing w:val="-4"/>
          <w:w w:val="105"/>
          <w:sz w:val="21"/>
        </w:rPr>
        <w:t>Trustees </w:t>
      </w:r>
      <w:r>
        <w:rPr>
          <w:w w:val="105"/>
          <w:sz w:val="21"/>
        </w:rPr>
        <w:t>and law practices </w:t>
      </w:r>
      <w:r>
        <w:rPr>
          <w:spacing w:val="-3"/>
          <w:w w:val="105"/>
          <w:sz w:val="21"/>
        </w:rPr>
        <w:t>publish information </w:t>
      </w:r>
      <w:r>
        <w:rPr>
          <w:w w:val="105"/>
          <w:sz w:val="21"/>
        </w:rPr>
        <w:t>on</w:t>
      </w:r>
      <w:r>
        <w:rPr>
          <w:spacing w:val="-9"/>
          <w:w w:val="105"/>
          <w:sz w:val="21"/>
        </w:rPr>
        <w:t> </w:t>
      </w:r>
      <w:r>
        <w:rPr>
          <w:w w:val="105"/>
          <w:sz w:val="21"/>
        </w:rPr>
        <w:t>their</w:t>
      </w:r>
      <w:r>
        <w:rPr>
          <w:spacing w:val="-8"/>
          <w:w w:val="105"/>
          <w:sz w:val="21"/>
        </w:rPr>
        <w:t> </w:t>
      </w:r>
      <w:r>
        <w:rPr>
          <w:spacing w:val="-3"/>
          <w:w w:val="105"/>
          <w:sz w:val="21"/>
        </w:rPr>
        <w:t>websites</w:t>
      </w:r>
      <w:r>
        <w:rPr>
          <w:spacing w:val="-8"/>
          <w:w w:val="105"/>
          <w:sz w:val="21"/>
        </w:rPr>
        <w:t> </w:t>
      </w:r>
      <w:r>
        <w:rPr>
          <w:w w:val="105"/>
          <w:sz w:val="21"/>
        </w:rPr>
        <w:t>about</w:t>
      </w:r>
      <w:r>
        <w:rPr>
          <w:spacing w:val="-9"/>
          <w:w w:val="105"/>
          <w:sz w:val="21"/>
        </w:rPr>
        <w:t> </w:t>
      </w:r>
      <w:r>
        <w:rPr>
          <w:w w:val="105"/>
          <w:sz w:val="21"/>
        </w:rPr>
        <w:t>their</w:t>
      </w:r>
      <w:r>
        <w:rPr>
          <w:spacing w:val="-8"/>
          <w:w w:val="105"/>
          <w:sz w:val="21"/>
        </w:rPr>
        <w:t> </w:t>
      </w:r>
      <w:r>
        <w:rPr>
          <w:spacing w:val="-3"/>
          <w:w w:val="105"/>
          <w:sz w:val="21"/>
        </w:rPr>
        <w:t>commercial</w:t>
      </w:r>
      <w:r>
        <w:rPr>
          <w:spacing w:val="-9"/>
          <w:w w:val="105"/>
          <w:sz w:val="21"/>
        </w:rPr>
        <w:t> </w:t>
      </w:r>
      <w:r>
        <w:rPr>
          <w:w w:val="105"/>
          <w:sz w:val="21"/>
        </w:rPr>
        <w:t>and</w:t>
      </w:r>
      <w:r>
        <w:rPr>
          <w:spacing w:val="-8"/>
          <w:w w:val="105"/>
          <w:sz w:val="21"/>
        </w:rPr>
        <w:t> </w:t>
      </w:r>
      <w:r>
        <w:rPr>
          <w:spacing w:val="-3"/>
          <w:w w:val="105"/>
          <w:sz w:val="21"/>
        </w:rPr>
        <w:t>executorial</w:t>
      </w:r>
      <w:r>
        <w:rPr>
          <w:spacing w:val="-8"/>
          <w:w w:val="105"/>
          <w:sz w:val="21"/>
        </w:rPr>
        <w:t> </w:t>
      </w:r>
      <w:r>
        <w:rPr>
          <w:w w:val="105"/>
          <w:sz w:val="21"/>
        </w:rPr>
        <w:t>services.</w:t>
      </w:r>
      <w:r>
        <w:rPr>
          <w:spacing w:val="-9"/>
          <w:w w:val="105"/>
          <w:sz w:val="21"/>
        </w:rPr>
        <w:t> </w:t>
      </w:r>
      <w:r>
        <w:rPr>
          <w:w w:val="105"/>
          <w:sz w:val="21"/>
        </w:rPr>
        <w:t>The</w:t>
      </w:r>
      <w:r>
        <w:rPr>
          <w:spacing w:val="-8"/>
          <w:w w:val="105"/>
          <w:sz w:val="21"/>
        </w:rPr>
        <w:t> </w:t>
      </w:r>
      <w:r>
        <w:rPr>
          <w:spacing w:val="-3"/>
          <w:w w:val="105"/>
          <w:sz w:val="21"/>
        </w:rPr>
        <w:t>Probate</w:t>
      </w:r>
      <w:r>
        <w:rPr>
          <w:spacing w:val="-8"/>
          <w:w w:val="105"/>
          <w:sz w:val="21"/>
        </w:rPr>
        <w:t> </w:t>
      </w:r>
      <w:r>
        <w:rPr>
          <w:w w:val="105"/>
          <w:sz w:val="21"/>
        </w:rPr>
        <w:t>Office</w:t>
      </w:r>
      <w:r>
        <w:rPr>
          <w:spacing w:val="-9"/>
          <w:w w:val="105"/>
          <w:sz w:val="21"/>
        </w:rPr>
        <w:t> </w:t>
      </w:r>
      <w:r>
        <w:rPr>
          <w:w w:val="105"/>
          <w:sz w:val="21"/>
        </w:rPr>
        <w:t>of the</w:t>
      </w:r>
      <w:r>
        <w:rPr>
          <w:spacing w:val="-8"/>
          <w:w w:val="105"/>
          <w:sz w:val="21"/>
        </w:rPr>
        <w:t> </w:t>
      </w:r>
      <w:r>
        <w:rPr>
          <w:spacing w:val="-3"/>
          <w:w w:val="105"/>
          <w:sz w:val="21"/>
        </w:rPr>
        <w:t>Supreme</w:t>
      </w:r>
      <w:r>
        <w:rPr>
          <w:spacing w:val="-7"/>
          <w:w w:val="105"/>
          <w:sz w:val="21"/>
        </w:rPr>
        <w:t> </w:t>
      </w:r>
      <w:r>
        <w:rPr>
          <w:spacing w:val="-3"/>
          <w:w w:val="105"/>
          <w:sz w:val="21"/>
        </w:rPr>
        <w:t>Court</w:t>
      </w:r>
      <w:r>
        <w:rPr>
          <w:spacing w:val="-8"/>
          <w:w w:val="105"/>
          <w:sz w:val="21"/>
        </w:rPr>
        <w:t> </w:t>
      </w:r>
      <w:r>
        <w:rPr>
          <w:w w:val="105"/>
          <w:sz w:val="21"/>
        </w:rPr>
        <w:t>provides</w:t>
      </w:r>
      <w:r>
        <w:rPr>
          <w:spacing w:val="-7"/>
          <w:w w:val="105"/>
          <w:sz w:val="21"/>
        </w:rPr>
        <w:t> </w:t>
      </w:r>
      <w:r>
        <w:rPr>
          <w:spacing w:val="-3"/>
          <w:w w:val="105"/>
          <w:sz w:val="21"/>
        </w:rPr>
        <w:t>information</w:t>
      </w:r>
      <w:r>
        <w:rPr>
          <w:spacing w:val="-7"/>
          <w:w w:val="105"/>
          <w:sz w:val="21"/>
        </w:rPr>
        <w:t> </w:t>
      </w:r>
      <w:r>
        <w:rPr>
          <w:w w:val="105"/>
          <w:sz w:val="21"/>
        </w:rPr>
        <w:t>and</w:t>
      </w:r>
      <w:r>
        <w:rPr>
          <w:spacing w:val="-8"/>
          <w:w w:val="105"/>
          <w:sz w:val="21"/>
        </w:rPr>
        <w:t> </w:t>
      </w:r>
      <w:r>
        <w:rPr>
          <w:w w:val="105"/>
          <w:sz w:val="21"/>
        </w:rPr>
        <w:t>over</w:t>
      </w:r>
      <w:r>
        <w:rPr>
          <w:spacing w:val="-7"/>
          <w:w w:val="105"/>
          <w:sz w:val="21"/>
        </w:rPr>
        <w:t> </w:t>
      </w:r>
      <w:r>
        <w:rPr>
          <w:w w:val="105"/>
          <w:sz w:val="21"/>
        </w:rPr>
        <w:t>the</w:t>
      </w:r>
      <w:r>
        <w:rPr>
          <w:spacing w:val="-8"/>
          <w:w w:val="105"/>
          <w:sz w:val="21"/>
        </w:rPr>
        <w:t> </w:t>
      </w:r>
      <w:r>
        <w:rPr>
          <w:spacing w:val="-3"/>
          <w:w w:val="105"/>
          <w:sz w:val="21"/>
        </w:rPr>
        <w:t>counter</w:t>
      </w:r>
      <w:r>
        <w:rPr>
          <w:spacing w:val="-7"/>
          <w:w w:val="105"/>
          <w:sz w:val="21"/>
        </w:rPr>
        <w:t> </w:t>
      </w:r>
      <w:r>
        <w:rPr>
          <w:w w:val="105"/>
          <w:sz w:val="21"/>
        </w:rPr>
        <w:t>advice</w:t>
      </w:r>
      <w:r>
        <w:rPr>
          <w:spacing w:val="-7"/>
          <w:w w:val="105"/>
          <w:sz w:val="21"/>
        </w:rPr>
        <w:t> </w:t>
      </w:r>
      <w:r>
        <w:rPr>
          <w:w w:val="105"/>
          <w:sz w:val="21"/>
        </w:rPr>
        <w:t>in</w:t>
      </w:r>
      <w:r>
        <w:rPr>
          <w:spacing w:val="-8"/>
          <w:w w:val="105"/>
          <w:sz w:val="21"/>
        </w:rPr>
        <w:t> </w:t>
      </w:r>
      <w:r>
        <w:rPr>
          <w:w w:val="105"/>
          <w:sz w:val="21"/>
        </w:rPr>
        <w:t>connection</w:t>
      </w:r>
      <w:r>
        <w:rPr>
          <w:spacing w:val="-7"/>
          <w:w w:val="105"/>
          <w:sz w:val="21"/>
        </w:rPr>
        <w:t> </w:t>
      </w:r>
      <w:r>
        <w:rPr>
          <w:w w:val="105"/>
          <w:sz w:val="21"/>
        </w:rPr>
        <w:t>with its functions </w:t>
      </w:r>
      <w:r>
        <w:rPr>
          <w:spacing w:val="-3"/>
          <w:w w:val="105"/>
          <w:sz w:val="21"/>
        </w:rPr>
        <w:t>and, </w:t>
      </w:r>
      <w:r>
        <w:rPr>
          <w:w w:val="105"/>
          <w:sz w:val="21"/>
        </w:rPr>
        <w:t>as discussed in </w:t>
      </w:r>
      <w:r>
        <w:rPr>
          <w:spacing w:val="-4"/>
          <w:w w:val="105"/>
          <w:sz w:val="21"/>
        </w:rPr>
        <w:t>Chapter 9, </w:t>
      </w:r>
      <w:r>
        <w:rPr>
          <w:w w:val="105"/>
          <w:sz w:val="21"/>
        </w:rPr>
        <w:t>provides assistance in </w:t>
      </w:r>
      <w:r>
        <w:rPr>
          <w:spacing w:val="-3"/>
          <w:w w:val="105"/>
          <w:sz w:val="21"/>
        </w:rPr>
        <w:t>relation to probate applications for small</w:t>
      </w:r>
      <w:r>
        <w:rPr>
          <w:spacing w:val="21"/>
          <w:w w:val="105"/>
          <w:sz w:val="21"/>
        </w:rPr>
        <w:t> </w:t>
      </w:r>
      <w:r>
        <w:rPr>
          <w:w w:val="105"/>
          <w:sz w:val="21"/>
        </w:rPr>
        <w:t>estates.</w:t>
      </w:r>
    </w:p>
    <w:p>
      <w:pPr>
        <w:pStyle w:val="ListParagraph"/>
        <w:numPr>
          <w:ilvl w:val="1"/>
          <w:numId w:val="22"/>
        </w:numPr>
        <w:tabs>
          <w:tab w:pos="2380" w:val="left" w:leader="none"/>
          <w:tab w:pos="2381" w:val="left" w:leader="none"/>
        </w:tabs>
        <w:spacing w:line="242" w:lineRule="auto" w:before="127" w:after="0"/>
        <w:ind w:left="2380" w:right="1590" w:hanging="793"/>
        <w:jc w:val="left"/>
        <w:rPr>
          <w:sz w:val="21"/>
        </w:rPr>
      </w:pPr>
      <w:r>
        <w:rPr>
          <w:w w:val="105"/>
          <w:sz w:val="21"/>
        </w:rPr>
        <w:t>While </w:t>
      </w:r>
      <w:r>
        <w:rPr>
          <w:spacing w:val="-3"/>
          <w:w w:val="105"/>
          <w:sz w:val="21"/>
        </w:rPr>
        <w:t>acknowledging </w:t>
      </w:r>
      <w:r>
        <w:rPr>
          <w:w w:val="105"/>
          <w:sz w:val="21"/>
        </w:rPr>
        <w:t>the </w:t>
      </w:r>
      <w:r>
        <w:rPr>
          <w:spacing w:val="-3"/>
          <w:w w:val="105"/>
          <w:sz w:val="21"/>
        </w:rPr>
        <w:t>value </w:t>
      </w:r>
      <w:r>
        <w:rPr>
          <w:w w:val="105"/>
          <w:sz w:val="21"/>
        </w:rPr>
        <w:t>of the </w:t>
      </w:r>
      <w:r>
        <w:rPr>
          <w:spacing w:val="-3"/>
          <w:w w:val="105"/>
          <w:sz w:val="21"/>
        </w:rPr>
        <w:t>information that currently </w:t>
      </w:r>
      <w:r>
        <w:rPr>
          <w:w w:val="105"/>
          <w:sz w:val="21"/>
        </w:rPr>
        <w:t>exists the </w:t>
      </w:r>
      <w:r>
        <w:rPr>
          <w:spacing w:val="-3"/>
          <w:w w:val="105"/>
          <w:sz w:val="21"/>
        </w:rPr>
        <w:t>Commission </w:t>
      </w:r>
      <w:r>
        <w:rPr>
          <w:spacing w:val="-2"/>
          <w:w w:val="105"/>
          <w:sz w:val="21"/>
        </w:rPr>
        <w:t>has</w:t>
      </w:r>
      <w:r>
        <w:rPr>
          <w:spacing w:val="-6"/>
          <w:w w:val="105"/>
          <w:sz w:val="21"/>
        </w:rPr>
        <w:t> </w:t>
      </w:r>
      <w:r>
        <w:rPr>
          <w:spacing w:val="-3"/>
          <w:w w:val="105"/>
          <w:sz w:val="21"/>
        </w:rPr>
        <w:t>noticed</w:t>
      </w:r>
      <w:r>
        <w:rPr>
          <w:spacing w:val="-6"/>
          <w:w w:val="105"/>
          <w:sz w:val="21"/>
        </w:rPr>
        <w:t> </w:t>
      </w:r>
      <w:r>
        <w:rPr>
          <w:w w:val="105"/>
          <w:sz w:val="21"/>
        </w:rPr>
        <w:t>gaps</w:t>
      </w:r>
      <w:r>
        <w:rPr>
          <w:spacing w:val="-6"/>
          <w:w w:val="105"/>
          <w:sz w:val="21"/>
        </w:rPr>
        <w:t> </w:t>
      </w:r>
      <w:r>
        <w:rPr>
          <w:w w:val="105"/>
          <w:sz w:val="21"/>
        </w:rPr>
        <w:t>in</w:t>
      </w:r>
      <w:r>
        <w:rPr>
          <w:spacing w:val="-6"/>
          <w:w w:val="105"/>
          <w:sz w:val="21"/>
        </w:rPr>
        <w:t> </w:t>
      </w:r>
      <w:r>
        <w:rPr>
          <w:w w:val="105"/>
          <w:sz w:val="21"/>
        </w:rPr>
        <w:t>the</w:t>
      </w:r>
      <w:r>
        <w:rPr>
          <w:spacing w:val="-5"/>
          <w:w w:val="105"/>
          <w:sz w:val="21"/>
        </w:rPr>
        <w:t> </w:t>
      </w:r>
      <w:r>
        <w:rPr>
          <w:spacing w:val="-3"/>
          <w:w w:val="105"/>
          <w:sz w:val="21"/>
        </w:rPr>
        <w:t>material</w:t>
      </w:r>
      <w:r>
        <w:rPr>
          <w:spacing w:val="-6"/>
          <w:w w:val="105"/>
          <w:sz w:val="21"/>
        </w:rPr>
        <w:t> </w:t>
      </w:r>
      <w:r>
        <w:rPr>
          <w:spacing w:val="-3"/>
          <w:w w:val="105"/>
          <w:sz w:val="21"/>
        </w:rPr>
        <w:t>information</w:t>
      </w:r>
      <w:r>
        <w:rPr>
          <w:spacing w:val="-6"/>
          <w:w w:val="105"/>
          <w:sz w:val="21"/>
        </w:rPr>
        <w:t> </w:t>
      </w:r>
      <w:r>
        <w:rPr>
          <w:w w:val="105"/>
          <w:sz w:val="21"/>
        </w:rPr>
        <w:t>being</w:t>
      </w:r>
      <w:r>
        <w:rPr>
          <w:spacing w:val="-6"/>
          <w:w w:val="105"/>
          <w:sz w:val="21"/>
        </w:rPr>
        <w:t> </w:t>
      </w:r>
      <w:r>
        <w:rPr>
          <w:spacing w:val="-3"/>
          <w:w w:val="105"/>
          <w:sz w:val="21"/>
        </w:rPr>
        <w:t>generated.</w:t>
      </w:r>
      <w:r>
        <w:rPr>
          <w:spacing w:val="-5"/>
          <w:w w:val="105"/>
          <w:sz w:val="21"/>
        </w:rPr>
        <w:t> </w:t>
      </w:r>
      <w:r>
        <w:rPr>
          <w:w w:val="105"/>
          <w:sz w:val="21"/>
        </w:rPr>
        <w:t>For</w:t>
      </w:r>
      <w:r>
        <w:rPr>
          <w:spacing w:val="-6"/>
          <w:w w:val="105"/>
          <w:sz w:val="21"/>
        </w:rPr>
        <w:t> </w:t>
      </w:r>
      <w:r>
        <w:rPr>
          <w:spacing w:val="-3"/>
          <w:w w:val="105"/>
          <w:sz w:val="21"/>
        </w:rPr>
        <w:t>example,</w:t>
      </w:r>
      <w:r>
        <w:rPr>
          <w:spacing w:val="-6"/>
          <w:w w:val="105"/>
          <w:sz w:val="21"/>
        </w:rPr>
        <w:t> </w:t>
      </w:r>
      <w:r>
        <w:rPr>
          <w:w w:val="105"/>
          <w:sz w:val="21"/>
        </w:rPr>
        <w:t>little</w:t>
      </w:r>
      <w:r>
        <w:rPr>
          <w:spacing w:val="-6"/>
          <w:w w:val="105"/>
          <w:sz w:val="21"/>
        </w:rPr>
        <w:t> </w:t>
      </w:r>
      <w:r>
        <w:rPr>
          <w:w w:val="105"/>
          <w:sz w:val="21"/>
        </w:rPr>
        <w:t>is</w:t>
      </w:r>
      <w:r>
        <w:rPr>
          <w:spacing w:val="-5"/>
          <w:w w:val="105"/>
          <w:sz w:val="21"/>
        </w:rPr>
        <w:t> </w:t>
      </w:r>
      <w:r>
        <w:rPr>
          <w:w w:val="105"/>
          <w:sz w:val="21"/>
        </w:rPr>
        <w:t>written </w:t>
      </w:r>
      <w:r>
        <w:rPr>
          <w:spacing w:val="-3"/>
          <w:w w:val="105"/>
          <w:sz w:val="21"/>
        </w:rPr>
        <w:t>for</w:t>
      </w:r>
      <w:r>
        <w:rPr>
          <w:spacing w:val="-13"/>
          <w:w w:val="105"/>
          <w:sz w:val="21"/>
        </w:rPr>
        <w:t> </w:t>
      </w:r>
      <w:r>
        <w:rPr>
          <w:w w:val="105"/>
          <w:sz w:val="21"/>
        </w:rPr>
        <w:t>non-professional</w:t>
      </w:r>
      <w:r>
        <w:rPr>
          <w:spacing w:val="-12"/>
          <w:w w:val="105"/>
          <w:sz w:val="21"/>
        </w:rPr>
        <w:t> </w:t>
      </w:r>
      <w:r>
        <w:rPr>
          <w:w w:val="105"/>
          <w:sz w:val="21"/>
        </w:rPr>
        <w:t>executors</w:t>
      </w:r>
      <w:r>
        <w:rPr>
          <w:spacing w:val="-13"/>
          <w:w w:val="105"/>
          <w:sz w:val="21"/>
        </w:rPr>
        <w:t> </w:t>
      </w:r>
      <w:r>
        <w:rPr>
          <w:w w:val="105"/>
          <w:sz w:val="21"/>
        </w:rPr>
        <w:t>or</w:t>
      </w:r>
      <w:r>
        <w:rPr>
          <w:spacing w:val="-12"/>
          <w:w w:val="105"/>
          <w:sz w:val="21"/>
        </w:rPr>
        <w:t> </w:t>
      </w:r>
      <w:r>
        <w:rPr>
          <w:w w:val="105"/>
          <w:sz w:val="21"/>
        </w:rPr>
        <w:t>beneficiaries.</w:t>
      </w:r>
      <w:r>
        <w:rPr>
          <w:spacing w:val="-13"/>
          <w:w w:val="105"/>
          <w:sz w:val="21"/>
        </w:rPr>
        <w:t> </w:t>
      </w:r>
      <w:r>
        <w:rPr>
          <w:w w:val="105"/>
          <w:sz w:val="21"/>
        </w:rPr>
        <w:t>This</w:t>
      </w:r>
      <w:r>
        <w:rPr>
          <w:spacing w:val="-12"/>
          <w:w w:val="105"/>
          <w:sz w:val="21"/>
        </w:rPr>
        <w:t> </w:t>
      </w:r>
      <w:r>
        <w:rPr>
          <w:spacing w:val="-3"/>
          <w:w w:val="105"/>
          <w:sz w:val="21"/>
        </w:rPr>
        <w:t>could</w:t>
      </w:r>
      <w:r>
        <w:rPr>
          <w:spacing w:val="-12"/>
          <w:w w:val="105"/>
          <w:sz w:val="21"/>
        </w:rPr>
        <w:t> </w:t>
      </w:r>
      <w:r>
        <w:rPr>
          <w:spacing w:val="-3"/>
          <w:w w:val="105"/>
          <w:sz w:val="21"/>
        </w:rPr>
        <w:t>contribute</w:t>
      </w:r>
      <w:r>
        <w:rPr>
          <w:spacing w:val="-13"/>
          <w:w w:val="105"/>
          <w:sz w:val="21"/>
        </w:rPr>
        <w:t> </w:t>
      </w:r>
      <w:r>
        <w:rPr>
          <w:spacing w:val="-3"/>
          <w:w w:val="105"/>
          <w:sz w:val="21"/>
        </w:rPr>
        <w:t>to</w:t>
      </w:r>
      <w:r>
        <w:rPr>
          <w:spacing w:val="-12"/>
          <w:w w:val="105"/>
          <w:sz w:val="21"/>
        </w:rPr>
        <w:t> </w:t>
      </w:r>
      <w:r>
        <w:rPr>
          <w:w w:val="105"/>
          <w:sz w:val="21"/>
        </w:rPr>
        <w:t>the</w:t>
      </w:r>
      <w:r>
        <w:rPr>
          <w:spacing w:val="-13"/>
          <w:w w:val="105"/>
          <w:sz w:val="21"/>
        </w:rPr>
        <w:t> </w:t>
      </w:r>
      <w:r>
        <w:rPr>
          <w:spacing w:val="-3"/>
          <w:w w:val="105"/>
          <w:sz w:val="21"/>
        </w:rPr>
        <w:t>generally</w:t>
      </w:r>
      <w:r>
        <w:rPr>
          <w:spacing w:val="-12"/>
          <w:w w:val="105"/>
          <w:sz w:val="21"/>
        </w:rPr>
        <w:t> </w:t>
      </w:r>
      <w:r>
        <w:rPr>
          <w:w w:val="105"/>
          <w:sz w:val="21"/>
        </w:rPr>
        <w:t>poor understanding in the community about </w:t>
      </w:r>
      <w:r>
        <w:rPr>
          <w:spacing w:val="-3"/>
          <w:w w:val="105"/>
          <w:sz w:val="21"/>
        </w:rPr>
        <w:t>wills </w:t>
      </w:r>
      <w:r>
        <w:rPr>
          <w:w w:val="105"/>
          <w:sz w:val="21"/>
        </w:rPr>
        <w:t>and</w:t>
      </w:r>
      <w:r>
        <w:rPr>
          <w:spacing w:val="26"/>
          <w:w w:val="105"/>
          <w:sz w:val="21"/>
        </w:rPr>
        <w:t> </w:t>
      </w:r>
      <w:r>
        <w:rPr>
          <w:w w:val="105"/>
          <w:sz w:val="21"/>
        </w:rPr>
        <w:t>estates.</w:t>
      </w:r>
    </w:p>
    <w:p>
      <w:pPr>
        <w:pStyle w:val="ListParagraph"/>
        <w:numPr>
          <w:ilvl w:val="1"/>
          <w:numId w:val="22"/>
        </w:numPr>
        <w:tabs>
          <w:tab w:pos="2380" w:val="left" w:leader="none"/>
          <w:tab w:pos="2381" w:val="left" w:leader="none"/>
        </w:tabs>
        <w:spacing w:line="242" w:lineRule="auto" w:before="124" w:after="0"/>
        <w:ind w:left="2380" w:right="1626" w:hanging="793"/>
        <w:jc w:val="left"/>
        <w:rPr>
          <w:sz w:val="12"/>
        </w:rPr>
      </w:pPr>
      <w:r>
        <w:rPr>
          <w:sz w:val="21"/>
        </w:rPr>
        <w:t>The Association of Independent Retirees </w:t>
      </w:r>
      <w:r>
        <w:rPr>
          <w:spacing w:val="-3"/>
          <w:sz w:val="21"/>
        </w:rPr>
        <w:t>found that </w:t>
      </w:r>
      <w:r>
        <w:rPr>
          <w:spacing w:val="-4"/>
          <w:sz w:val="21"/>
        </w:rPr>
        <w:t>‘public </w:t>
      </w:r>
      <w:r>
        <w:rPr>
          <w:sz w:val="21"/>
        </w:rPr>
        <w:t>knowledge of </w:t>
      </w:r>
      <w:r>
        <w:rPr>
          <w:spacing w:val="-3"/>
          <w:sz w:val="21"/>
        </w:rPr>
        <w:t>succession </w:t>
      </w:r>
      <w:r>
        <w:rPr>
          <w:sz w:val="21"/>
        </w:rPr>
        <w:t>laws  was extremely </w:t>
      </w:r>
      <w:r>
        <w:rPr>
          <w:spacing w:val="-3"/>
          <w:sz w:val="21"/>
        </w:rPr>
        <w:t>limited </w:t>
      </w:r>
      <w:r>
        <w:rPr>
          <w:sz w:val="21"/>
        </w:rPr>
        <w:t>or just did </w:t>
      </w:r>
      <w:r>
        <w:rPr>
          <w:spacing w:val="-2"/>
          <w:sz w:val="21"/>
        </w:rPr>
        <w:t>not </w:t>
      </w:r>
      <w:r>
        <w:rPr>
          <w:spacing w:val="-5"/>
          <w:sz w:val="21"/>
        </w:rPr>
        <w:t>exist’.</w:t>
      </w:r>
      <w:r>
        <w:rPr>
          <w:spacing w:val="-5"/>
          <w:position w:val="7"/>
          <w:sz w:val="12"/>
        </w:rPr>
        <w:t>195 </w:t>
      </w:r>
      <w:r>
        <w:rPr>
          <w:sz w:val="21"/>
        </w:rPr>
        <w:t>A member of the </w:t>
      </w:r>
      <w:r>
        <w:rPr>
          <w:spacing w:val="-3"/>
          <w:sz w:val="21"/>
        </w:rPr>
        <w:t>public </w:t>
      </w:r>
      <w:r>
        <w:rPr>
          <w:sz w:val="21"/>
        </w:rPr>
        <w:t>questioned how executors who </w:t>
      </w:r>
      <w:r>
        <w:rPr>
          <w:spacing w:val="-3"/>
          <w:sz w:val="21"/>
        </w:rPr>
        <w:t>are appointed </w:t>
      </w:r>
      <w:r>
        <w:rPr>
          <w:sz w:val="21"/>
        </w:rPr>
        <w:t>simply because they </w:t>
      </w:r>
      <w:r>
        <w:rPr>
          <w:spacing w:val="-3"/>
          <w:sz w:val="21"/>
        </w:rPr>
        <w:t>are family </w:t>
      </w:r>
      <w:r>
        <w:rPr>
          <w:sz w:val="21"/>
        </w:rPr>
        <w:t>members can find out what their </w:t>
      </w:r>
      <w:r>
        <w:rPr>
          <w:spacing w:val="-3"/>
          <w:sz w:val="21"/>
        </w:rPr>
        <w:t>responsibilities </w:t>
      </w:r>
      <w:r>
        <w:rPr>
          <w:sz w:val="21"/>
        </w:rPr>
        <w:t>and commitments </w:t>
      </w:r>
      <w:r>
        <w:rPr>
          <w:spacing w:val="-4"/>
          <w:sz w:val="21"/>
        </w:rPr>
        <w:t>are, </w:t>
      </w:r>
      <w:r>
        <w:rPr>
          <w:sz w:val="21"/>
        </w:rPr>
        <w:t>and </w:t>
      </w:r>
      <w:r>
        <w:rPr>
          <w:spacing w:val="-3"/>
          <w:sz w:val="21"/>
        </w:rPr>
        <w:t>pointed </w:t>
      </w:r>
      <w:r>
        <w:rPr>
          <w:sz w:val="21"/>
        </w:rPr>
        <w:t>out the particular difficulties </w:t>
      </w:r>
      <w:r>
        <w:rPr>
          <w:spacing w:val="-3"/>
          <w:sz w:val="21"/>
        </w:rPr>
        <w:t>for </w:t>
      </w:r>
      <w:r>
        <w:rPr>
          <w:sz w:val="21"/>
        </w:rPr>
        <w:t>those who live </w:t>
      </w:r>
      <w:r>
        <w:rPr>
          <w:spacing w:val="-4"/>
          <w:sz w:val="21"/>
        </w:rPr>
        <w:t>overseas.</w:t>
      </w:r>
      <w:r>
        <w:rPr>
          <w:spacing w:val="-4"/>
          <w:position w:val="7"/>
          <w:sz w:val="12"/>
        </w:rPr>
        <w:t>196   </w:t>
      </w:r>
      <w:r>
        <w:rPr>
          <w:sz w:val="21"/>
        </w:rPr>
        <w:t>A legal practitioner said </w:t>
      </w:r>
      <w:r>
        <w:rPr>
          <w:spacing w:val="-3"/>
          <w:sz w:val="21"/>
        </w:rPr>
        <w:t>during  </w:t>
      </w:r>
      <w:r>
        <w:rPr>
          <w:sz w:val="21"/>
        </w:rPr>
        <w:t>the </w:t>
      </w:r>
      <w:r>
        <w:rPr>
          <w:spacing w:val="-4"/>
          <w:sz w:val="21"/>
        </w:rPr>
        <w:t>Commission’s  </w:t>
      </w:r>
      <w:r>
        <w:rPr>
          <w:spacing w:val="-3"/>
          <w:sz w:val="21"/>
        </w:rPr>
        <w:t>consultations   </w:t>
      </w:r>
      <w:r>
        <w:rPr>
          <w:sz w:val="21"/>
        </w:rPr>
        <w:t>in Shepparton </w:t>
      </w:r>
      <w:r>
        <w:rPr>
          <w:spacing w:val="-3"/>
          <w:sz w:val="21"/>
        </w:rPr>
        <w:t>that </w:t>
      </w:r>
      <w:r>
        <w:rPr>
          <w:sz w:val="21"/>
        </w:rPr>
        <w:t>there </w:t>
      </w:r>
      <w:r>
        <w:rPr>
          <w:spacing w:val="-3"/>
          <w:sz w:val="21"/>
        </w:rPr>
        <w:t>are  </w:t>
      </w:r>
      <w:r>
        <w:rPr>
          <w:sz w:val="21"/>
        </w:rPr>
        <w:t>large numbers of people in the </w:t>
      </w:r>
      <w:r>
        <w:rPr>
          <w:spacing w:val="-3"/>
          <w:sz w:val="21"/>
        </w:rPr>
        <w:t>Goulburn</w:t>
      </w:r>
      <w:r>
        <w:rPr>
          <w:spacing w:val="41"/>
          <w:sz w:val="21"/>
        </w:rPr>
        <w:t> </w:t>
      </w:r>
      <w:r>
        <w:rPr>
          <w:spacing w:val="-4"/>
          <w:sz w:val="21"/>
        </w:rPr>
        <w:t>Valley  </w:t>
      </w:r>
      <w:r>
        <w:rPr>
          <w:sz w:val="21"/>
        </w:rPr>
        <w:t>region who  do </w:t>
      </w:r>
      <w:r>
        <w:rPr>
          <w:spacing w:val="-2"/>
          <w:sz w:val="21"/>
        </w:rPr>
        <w:t>not </w:t>
      </w:r>
      <w:r>
        <w:rPr>
          <w:spacing w:val="-4"/>
          <w:sz w:val="21"/>
        </w:rPr>
        <w:t>make </w:t>
      </w:r>
      <w:r>
        <w:rPr>
          <w:spacing w:val="-3"/>
          <w:sz w:val="21"/>
        </w:rPr>
        <w:t>wills </w:t>
      </w:r>
      <w:r>
        <w:rPr>
          <w:sz w:val="21"/>
        </w:rPr>
        <w:t>because they do </w:t>
      </w:r>
      <w:r>
        <w:rPr>
          <w:spacing w:val="-2"/>
          <w:sz w:val="21"/>
        </w:rPr>
        <w:t>not </w:t>
      </w:r>
      <w:r>
        <w:rPr>
          <w:spacing w:val="-3"/>
          <w:sz w:val="21"/>
        </w:rPr>
        <w:t>fully</w:t>
      </w:r>
      <w:r>
        <w:rPr>
          <w:spacing w:val="-23"/>
          <w:sz w:val="21"/>
        </w:rPr>
        <w:t> </w:t>
      </w:r>
      <w:r>
        <w:rPr>
          <w:sz w:val="21"/>
        </w:rPr>
        <w:t>understand their </w:t>
      </w:r>
      <w:r>
        <w:rPr>
          <w:spacing w:val="-4"/>
          <w:sz w:val="21"/>
        </w:rPr>
        <w:t>importance.</w:t>
      </w:r>
      <w:r>
        <w:rPr>
          <w:spacing w:val="-4"/>
          <w:position w:val="7"/>
          <w:sz w:val="12"/>
        </w:rPr>
        <w:t>197</w:t>
      </w:r>
    </w:p>
    <w:p>
      <w:pPr>
        <w:pStyle w:val="ListParagraph"/>
        <w:numPr>
          <w:ilvl w:val="1"/>
          <w:numId w:val="22"/>
        </w:numPr>
        <w:tabs>
          <w:tab w:pos="2380" w:val="left" w:leader="none"/>
          <w:tab w:pos="2381" w:val="left" w:leader="none"/>
        </w:tabs>
        <w:spacing w:line="242" w:lineRule="auto" w:before="127" w:after="0"/>
        <w:ind w:left="2381" w:right="1618" w:hanging="794"/>
        <w:jc w:val="left"/>
        <w:rPr>
          <w:sz w:val="21"/>
        </w:rPr>
      </w:pPr>
      <w:r>
        <w:rPr>
          <w:w w:val="105"/>
          <w:sz w:val="21"/>
        </w:rPr>
        <w:t>The </w:t>
      </w:r>
      <w:r>
        <w:rPr>
          <w:spacing w:val="-3"/>
          <w:w w:val="105"/>
          <w:sz w:val="21"/>
        </w:rPr>
        <w:t>Ethnic Communities’ </w:t>
      </w:r>
      <w:r>
        <w:rPr>
          <w:spacing w:val="-4"/>
          <w:w w:val="105"/>
          <w:sz w:val="21"/>
        </w:rPr>
        <w:t>Council </w:t>
      </w:r>
      <w:r>
        <w:rPr>
          <w:w w:val="105"/>
          <w:sz w:val="21"/>
        </w:rPr>
        <w:t>of Victoria </w:t>
      </w:r>
      <w:r>
        <w:rPr>
          <w:spacing w:val="-3"/>
          <w:w w:val="105"/>
          <w:sz w:val="21"/>
        </w:rPr>
        <w:t>drew </w:t>
      </w:r>
      <w:r>
        <w:rPr>
          <w:w w:val="105"/>
          <w:sz w:val="21"/>
        </w:rPr>
        <w:t>the </w:t>
      </w:r>
      <w:r>
        <w:rPr>
          <w:spacing w:val="-4"/>
          <w:w w:val="105"/>
          <w:sz w:val="21"/>
        </w:rPr>
        <w:t>Commission’s </w:t>
      </w:r>
      <w:r>
        <w:rPr>
          <w:w w:val="105"/>
          <w:sz w:val="21"/>
        </w:rPr>
        <w:t>attention </w:t>
      </w:r>
      <w:r>
        <w:rPr>
          <w:spacing w:val="-3"/>
          <w:w w:val="105"/>
          <w:sz w:val="21"/>
        </w:rPr>
        <w:t>to </w:t>
      </w:r>
      <w:r>
        <w:rPr>
          <w:w w:val="105"/>
          <w:sz w:val="21"/>
        </w:rPr>
        <w:t>the large number of Victorian seniors who </w:t>
      </w:r>
      <w:r>
        <w:rPr>
          <w:spacing w:val="-3"/>
          <w:w w:val="105"/>
          <w:sz w:val="21"/>
        </w:rPr>
        <w:t>are from </w:t>
      </w:r>
      <w:r>
        <w:rPr>
          <w:w w:val="105"/>
          <w:sz w:val="21"/>
        </w:rPr>
        <w:t>non-English </w:t>
      </w:r>
      <w:r>
        <w:rPr>
          <w:spacing w:val="-3"/>
          <w:w w:val="105"/>
          <w:sz w:val="21"/>
        </w:rPr>
        <w:t>speaking </w:t>
      </w:r>
      <w:r>
        <w:rPr>
          <w:spacing w:val="-4"/>
          <w:w w:val="105"/>
          <w:sz w:val="21"/>
        </w:rPr>
        <w:t>backgrounds </w:t>
      </w:r>
      <w:r>
        <w:rPr>
          <w:w w:val="105"/>
          <w:sz w:val="21"/>
        </w:rPr>
        <w:t>and </w:t>
      </w:r>
      <w:r>
        <w:rPr>
          <w:spacing w:val="-3"/>
          <w:w w:val="105"/>
          <w:sz w:val="21"/>
        </w:rPr>
        <w:t>have limited </w:t>
      </w:r>
      <w:r>
        <w:rPr>
          <w:w w:val="105"/>
          <w:sz w:val="21"/>
        </w:rPr>
        <w:t>or no </w:t>
      </w:r>
      <w:r>
        <w:rPr>
          <w:spacing w:val="-2"/>
          <w:w w:val="105"/>
          <w:sz w:val="21"/>
        </w:rPr>
        <w:t>access </w:t>
      </w:r>
      <w:r>
        <w:rPr>
          <w:spacing w:val="-3"/>
          <w:w w:val="105"/>
          <w:sz w:val="21"/>
        </w:rPr>
        <w:t>to culturally appropriate information </w:t>
      </w:r>
      <w:r>
        <w:rPr>
          <w:w w:val="105"/>
          <w:sz w:val="21"/>
        </w:rPr>
        <w:t>in </w:t>
      </w:r>
      <w:r>
        <w:rPr>
          <w:spacing w:val="-3"/>
          <w:w w:val="105"/>
          <w:sz w:val="21"/>
        </w:rPr>
        <w:t>languages </w:t>
      </w:r>
      <w:r>
        <w:rPr>
          <w:w w:val="105"/>
          <w:sz w:val="21"/>
        </w:rPr>
        <w:t>other </w:t>
      </w:r>
      <w:r>
        <w:rPr>
          <w:spacing w:val="-3"/>
          <w:w w:val="105"/>
          <w:sz w:val="21"/>
        </w:rPr>
        <w:t>than English </w:t>
      </w:r>
      <w:r>
        <w:rPr>
          <w:w w:val="105"/>
          <w:sz w:val="21"/>
        </w:rPr>
        <w:t>or in </w:t>
      </w:r>
      <w:r>
        <w:rPr>
          <w:spacing w:val="-3"/>
          <w:w w:val="105"/>
          <w:sz w:val="21"/>
        </w:rPr>
        <w:t>plain </w:t>
      </w:r>
      <w:r>
        <w:rPr>
          <w:spacing w:val="-5"/>
          <w:w w:val="105"/>
          <w:sz w:val="21"/>
        </w:rPr>
        <w:t>English.</w:t>
      </w:r>
      <w:r>
        <w:rPr>
          <w:spacing w:val="-5"/>
          <w:w w:val="105"/>
          <w:position w:val="7"/>
          <w:sz w:val="12"/>
        </w:rPr>
        <w:t>198 </w:t>
      </w:r>
      <w:r>
        <w:rPr>
          <w:w w:val="105"/>
          <w:sz w:val="21"/>
        </w:rPr>
        <w:t>A </w:t>
      </w:r>
      <w:r>
        <w:rPr>
          <w:spacing w:val="-3"/>
          <w:w w:val="105"/>
          <w:sz w:val="21"/>
        </w:rPr>
        <w:t>confidential submission </w:t>
      </w:r>
      <w:r>
        <w:rPr>
          <w:w w:val="105"/>
          <w:sz w:val="21"/>
        </w:rPr>
        <w:t>described how people </w:t>
      </w:r>
      <w:r>
        <w:rPr>
          <w:spacing w:val="-3"/>
          <w:w w:val="105"/>
          <w:sz w:val="21"/>
        </w:rPr>
        <w:t>from</w:t>
      </w:r>
      <w:r>
        <w:rPr>
          <w:spacing w:val="33"/>
          <w:w w:val="105"/>
          <w:sz w:val="21"/>
        </w:rPr>
        <w:t> </w:t>
      </w:r>
      <w:r>
        <w:rPr>
          <w:spacing w:val="-3"/>
          <w:w w:val="105"/>
          <w:sz w:val="21"/>
        </w:rPr>
        <w:t>culturally</w:t>
      </w:r>
    </w:p>
    <w:p>
      <w:pPr>
        <w:pStyle w:val="BodyText"/>
        <w:spacing w:line="242" w:lineRule="auto" w:before="5"/>
        <w:ind w:left="2381" w:right="1619"/>
      </w:pPr>
      <w:r>
        <w:rPr>
          <w:w w:val="105"/>
        </w:rPr>
        <w:t>and </w:t>
      </w:r>
      <w:r>
        <w:rPr>
          <w:spacing w:val="-3"/>
          <w:w w:val="105"/>
        </w:rPr>
        <w:t>linguistically </w:t>
      </w:r>
      <w:r>
        <w:rPr>
          <w:w w:val="105"/>
        </w:rPr>
        <w:t>diverse </w:t>
      </w:r>
      <w:r>
        <w:rPr>
          <w:spacing w:val="-4"/>
          <w:w w:val="105"/>
        </w:rPr>
        <w:t>backgrounds </w:t>
      </w:r>
      <w:r>
        <w:rPr>
          <w:spacing w:val="-3"/>
          <w:w w:val="105"/>
        </w:rPr>
        <w:t>are vulnerable to </w:t>
      </w:r>
      <w:r>
        <w:rPr>
          <w:w w:val="105"/>
        </w:rPr>
        <w:t>being misled and exploited when </w:t>
      </w:r>
      <w:r>
        <w:rPr>
          <w:spacing w:val="-3"/>
          <w:w w:val="105"/>
        </w:rPr>
        <w:t>making </w:t>
      </w:r>
      <w:r>
        <w:rPr>
          <w:w w:val="105"/>
        </w:rPr>
        <w:t>a </w:t>
      </w:r>
      <w:r>
        <w:rPr>
          <w:spacing w:val="-3"/>
          <w:w w:val="105"/>
        </w:rPr>
        <w:t>will. </w:t>
      </w:r>
      <w:r>
        <w:rPr>
          <w:w w:val="105"/>
        </w:rPr>
        <w:t>The </w:t>
      </w:r>
      <w:r>
        <w:rPr>
          <w:spacing w:val="-3"/>
          <w:w w:val="105"/>
        </w:rPr>
        <w:t>meaning </w:t>
      </w:r>
      <w:r>
        <w:rPr>
          <w:w w:val="105"/>
        </w:rPr>
        <w:t>of </w:t>
      </w:r>
      <w:r>
        <w:rPr>
          <w:spacing w:val="-3"/>
          <w:w w:val="105"/>
        </w:rPr>
        <w:t>terms such </w:t>
      </w:r>
      <w:r>
        <w:rPr>
          <w:w w:val="105"/>
        </w:rPr>
        <w:t>as ‘testator’ and </w:t>
      </w:r>
      <w:r>
        <w:rPr>
          <w:spacing w:val="-3"/>
          <w:w w:val="105"/>
        </w:rPr>
        <w:t>‘executor’ are confusing </w:t>
      </w:r>
      <w:r>
        <w:rPr>
          <w:w w:val="105"/>
        </w:rPr>
        <w:t>in </w:t>
      </w:r>
      <w:r>
        <w:rPr>
          <w:spacing w:val="-3"/>
          <w:w w:val="105"/>
        </w:rPr>
        <w:t>English </w:t>
      </w:r>
      <w:r>
        <w:rPr>
          <w:w w:val="105"/>
        </w:rPr>
        <w:t>and </w:t>
      </w:r>
      <w:r>
        <w:rPr>
          <w:spacing w:val="-3"/>
          <w:w w:val="105"/>
        </w:rPr>
        <w:t>easily </w:t>
      </w:r>
      <w:r>
        <w:rPr>
          <w:w w:val="105"/>
        </w:rPr>
        <w:t>misunderstood by those without proficiency in </w:t>
      </w:r>
      <w:r>
        <w:rPr>
          <w:spacing w:val="-3"/>
          <w:w w:val="105"/>
        </w:rPr>
        <w:t>that language.</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9"/>
        </w:rPr>
      </w:pPr>
      <w:r>
        <w:rPr/>
        <w:pict>
          <v:line style="position:absolute;mso-position-horizontal-relative:page;mso-position-vertical-relative:paragraph;z-index:10328;mso-wrap-distance-left:0;mso-wrap-distance-right:0" from="79.370003pt,20.437012pt" to="515.905003pt,20.437012pt" stroked="true" strokeweight="1pt" strokecolor="#f9ceca">
            <v:stroke dashstyle="solid"/>
            <w10:wrap type="topAndBottom"/>
          </v:line>
        </w:pict>
      </w:r>
    </w:p>
    <w:p>
      <w:pPr>
        <w:pStyle w:val="BodyText"/>
        <w:spacing w:before="8"/>
        <w:rPr>
          <w:sz w:val="5"/>
        </w:rPr>
      </w:pPr>
    </w:p>
    <w:p>
      <w:pPr>
        <w:spacing w:after="0"/>
        <w:rPr>
          <w:sz w:val="5"/>
        </w:rPr>
        <w:sectPr>
          <w:pgSz w:w="11910" w:h="16840"/>
          <w:pgMar w:header="805" w:footer="0" w:top="1360" w:bottom="280" w:left="0" w:right="0"/>
        </w:sectPr>
      </w:pPr>
    </w:p>
    <w:p>
      <w:pPr>
        <w:pStyle w:val="ListParagraph"/>
        <w:numPr>
          <w:ilvl w:val="0"/>
          <w:numId w:val="129"/>
        </w:numPr>
        <w:tabs>
          <w:tab w:pos="2381" w:val="left" w:leader="none"/>
          <w:tab w:pos="2382" w:val="left" w:leader="none"/>
        </w:tabs>
        <w:spacing w:line="240" w:lineRule="auto" w:before="48" w:after="0"/>
        <w:ind w:left="2381" w:right="0" w:hanging="794"/>
        <w:jc w:val="left"/>
        <w:rPr>
          <w:sz w:val="13"/>
        </w:rPr>
      </w:pPr>
      <w:r>
        <w:rPr>
          <w:w w:val="105"/>
          <w:sz w:val="13"/>
        </w:rPr>
        <w:t>National Committee for Uniform Succession Laws, </w:t>
      </w:r>
      <w:r>
        <w:rPr>
          <w:i/>
          <w:w w:val="105"/>
          <w:sz w:val="13"/>
        </w:rPr>
        <w:t>Administration of Estates of Deceased Persons: Report of the National Committee for </w:t>
      </w:r>
      <w:r>
        <w:rPr>
          <w:i/>
          <w:w w:val="105"/>
          <w:sz w:val="13"/>
        </w:rPr>
        <w:t>Uniform Succession Laws to the Standing Committee of Attorneys General: Volume </w:t>
      </w:r>
      <w:r>
        <w:rPr>
          <w:i/>
          <w:spacing w:val="-6"/>
          <w:w w:val="105"/>
          <w:sz w:val="13"/>
        </w:rPr>
        <w:t>1</w:t>
      </w:r>
      <w:r>
        <w:rPr>
          <w:spacing w:val="-6"/>
          <w:w w:val="105"/>
          <w:sz w:val="13"/>
        </w:rPr>
        <w:t>, </w:t>
      </w:r>
      <w:r>
        <w:rPr>
          <w:w w:val="105"/>
          <w:sz w:val="13"/>
        </w:rPr>
        <w:t>Queensland Law Reform Commission </w:t>
      </w:r>
      <w:r>
        <w:rPr>
          <w:spacing w:val="2"/>
          <w:w w:val="105"/>
          <w:sz w:val="13"/>
        </w:rPr>
        <w:t>Report </w:t>
      </w:r>
      <w:r>
        <w:rPr>
          <w:w w:val="105"/>
          <w:sz w:val="13"/>
        </w:rPr>
        <w:t>No 65 </w:t>
      </w:r>
      <w:r>
        <w:rPr>
          <w:spacing w:val="2"/>
          <w:w w:val="105"/>
          <w:sz w:val="13"/>
        </w:rPr>
        <w:t>(2009), </w:t>
      </w:r>
      <w:r>
        <w:rPr>
          <w:w w:val="105"/>
          <w:sz w:val="13"/>
        </w:rPr>
        <w:t>ch </w:t>
      </w:r>
      <w:r>
        <w:rPr>
          <w:spacing w:val="-6"/>
          <w:w w:val="105"/>
          <w:sz w:val="13"/>
        </w:rPr>
        <w:t>11 </w:t>
      </w:r>
      <w:r>
        <w:rPr>
          <w:w w:val="105"/>
          <w:sz w:val="13"/>
        </w:rPr>
        <w:t>(‘</w:t>
      </w:r>
      <w:r>
        <w:rPr>
          <w:i/>
          <w:w w:val="105"/>
          <w:sz w:val="13"/>
        </w:rPr>
        <w:t>Administration of Estates: Volume</w:t>
      </w:r>
      <w:r>
        <w:rPr>
          <w:i/>
          <w:spacing w:val="7"/>
          <w:w w:val="105"/>
          <w:sz w:val="13"/>
        </w:rPr>
        <w:t> </w:t>
      </w:r>
      <w:r>
        <w:rPr>
          <w:i/>
          <w:w w:val="105"/>
          <w:sz w:val="13"/>
        </w:rPr>
        <w:t>1’</w:t>
      </w:r>
      <w:r>
        <w:rPr>
          <w:w w:val="105"/>
          <w:sz w:val="13"/>
        </w:rPr>
        <w:t>).</w:t>
      </w:r>
    </w:p>
    <w:p>
      <w:pPr>
        <w:pStyle w:val="ListParagraph"/>
        <w:numPr>
          <w:ilvl w:val="0"/>
          <w:numId w:val="129"/>
        </w:numPr>
        <w:tabs>
          <w:tab w:pos="2381" w:val="left" w:leader="none"/>
          <w:tab w:pos="2382" w:val="left" w:leader="none"/>
        </w:tabs>
        <w:spacing w:line="240" w:lineRule="auto" w:before="4" w:after="0"/>
        <w:ind w:left="2381" w:right="0" w:hanging="794"/>
        <w:jc w:val="left"/>
        <w:rPr>
          <w:sz w:val="13"/>
        </w:rPr>
      </w:pPr>
      <w:r>
        <w:rPr>
          <w:w w:val="105"/>
          <w:sz w:val="13"/>
        </w:rPr>
        <w:t>Ibid</w:t>
      </w:r>
      <w:r>
        <w:rPr>
          <w:spacing w:val="4"/>
          <w:w w:val="105"/>
          <w:sz w:val="13"/>
        </w:rPr>
        <w:t> </w:t>
      </w:r>
      <w:r>
        <w:rPr>
          <w:w w:val="105"/>
          <w:sz w:val="13"/>
        </w:rPr>
        <w:t>369.</w:t>
      </w:r>
    </w:p>
    <w:p>
      <w:pPr>
        <w:pStyle w:val="ListParagraph"/>
        <w:numPr>
          <w:ilvl w:val="0"/>
          <w:numId w:val="129"/>
        </w:numPr>
        <w:tabs>
          <w:tab w:pos="2381" w:val="left" w:leader="none"/>
          <w:tab w:pos="2382" w:val="left" w:leader="none"/>
        </w:tabs>
        <w:spacing w:line="240" w:lineRule="auto" w:before="1" w:after="0"/>
        <w:ind w:left="1587" w:right="4744" w:firstLine="0"/>
        <w:jc w:val="left"/>
        <w:rPr>
          <w:sz w:val="13"/>
        </w:rPr>
      </w:pPr>
      <w:r>
        <w:rPr>
          <w:w w:val="105"/>
          <w:sz w:val="13"/>
        </w:rPr>
        <w:t>Submission </w:t>
      </w:r>
      <w:r>
        <w:rPr>
          <w:spacing w:val="-3"/>
          <w:w w:val="105"/>
          <w:sz w:val="13"/>
        </w:rPr>
        <w:t>19 </w:t>
      </w:r>
      <w:r>
        <w:rPr>
          <w:spacing w:val="2"/>
          <w:w w:val="105"/>
          <w:sz w:val="13"/>
        </w:rPr>
        <w:t>(Association </w:t>
      </w:r>
      <w:r>
        <w:rPr>
          <w:w w:val="105"/>
          <w:sz w:val="13"/>
        </w:rPr>
        <w:t>of Independent Retirees). 196</w:t>
        <w:tab/>
        <w:t>Submission 40 (Janice</w:t>
      </w:r>
      <w:r>
        <w:rPr>
          <w:spacing w:val="15"/>
          <w:w w:val="105"/>
          <w:sz w:val="13"/>
        </w:rPr>
        <w:t> </w:t>
      </w:r>
      <w:r>
        <w:rPr>
          <w:w w:val="105"/>
          <w:sz w:val="13"/>
        </w:rPr>
        <w:t>Brownfoot).</w:t>
      </w:r>
    </w:p>
    <w:p>
      <w:pPr>
        <w:tabs>
          <w:tab w:pos="2381" w:val="left" w:leader="none"/>
        </w:tabs>
        <w:spacing w:before="3"/>
        <w:ind w:left="1587" w:right="1401" w:firstLine="0"/>
        <w:jc w:val="left"/>
        <w:rPr>
          <w:sz w:val="13"/>
        </w:rPr>
      </w:pPr>
      <w:r>
        <w:rPr>
          <w:w w:val="105"/>
          <w:sz w:val="13"/>
        </w:rPr>
        <w:t>197</w:t>
        <w:tab/>
        <w:t>Consultation 4 </w:t>
      </w:r>
      <w:r>
        <w:rPr>
          <w:spacing w:val="2"/>
          <w:w w:val="105"/>
          <w:sz w:val="13"/>
        </w:rPr>
        <w:t>(Legal </w:t>
      </w:r>
      <w:r>
        <w:rPr>
          <w:w w:val="105"/>
          <w:sz w:val="13"/>
        </w:rPr>
        <w:t>practitioners from the Goulburn Valley and Loddon Campaspe Community Legal Centres). 198</w:t>
        <w:tab/>
        <w:t>Submission 18 (Ethnic Communities’ Council of</w:t>
      </w:r>
      <w:r>
        <w:rPr>
          <w:spacing w:val="28"/>
          <w:w w:val="105"/>
          <w:sz w:val="13"/>
        </w:rPr>
        <w:t> </w:t>
      </w:r>
      <w:r>
        <w:rPr>
          <w:spacing w:val="2"/>
          <w:w w:val="105"/>
          <w:sz w:val="13"/>
        </w:rPr>
        <w:t>Victoria).</w:t>
      </w:r>
    </w:p>
    <w:p>
      <w:pPr>
        <w:pStyle w:val="BodyText"/>
        <w:rPr>
          <w:sz w:val="28"/>
        </w:rPr>
      </w:pPr>
      <w:r>
        <w:rPr/>
        <w:br w:type="column"/>
      </w:r>
      <w:r>
        <w:rPr>
          <w:sz w:val="28"/>
        </w:rPr>
      </w:r>
    </w:p>
    <w:p>
      <w:pPr>
        <w:pStyle w:val="BodyText"/>
        <w:rPr>
          <w:sz w:val="28"/>
        </w:rPr>
      </w:pPr>
    </w:p>
    <w:p>
      <w:pPr>
        <w:pStyle w:val="BodyText"/>
        <w:spacing w:before="1"/>
        <w:rPr>
          <w:sz w:val="31"/>
        </w:rPr>
      </w:pPr>
    </w:p>
    <w:p>
      <w:pPr>
        <w:spacing w:before="0"/>
        <w:ind w:left="708" w:right="575" w:firstLine="0"/>
        <w:jc w:val="center"/>
        <w:rPr>
          <w:b/>
          <w:sz w:val="24"/>
        </w:rPr>
      </w:pPr>
      <w:r>
        <w:rPr>
          <w:b/>
          <w:color w:val="EC5A4F"/>
          <w:w w:val="110"/>
          <w:sz w:val="24"/>
        </w:rPr>
        <w:t>171</w:t>
      </w:r>
    </w:p>
    <w:p>
      <w:pPr>
        <w:spacing w:after="0"/>
        <w:jc w:val="center"/>
        <w:rPr>
          <w:sz w:val="24"/>
        </w:rPr>
        <w:sectPr>
          <w:type w:val="continuous"/>
          <w:pgSz w:w="11910" w:h="16840"/>
          <w:pgMar w:top="920" w:bottom="280" w:left="0" w:right="0"/>
          <w:cols w:num="2" w:equalWidth="0">
            <w:col w:w="10145" w:space="40"/>
            <w:col w:w="1725"/>
          </w:cols>
        </w:sectPr>
      </w:pPr>
    </w:p>
    <w:p>
      <w:pPr>
        <w:pStyle w:val="BodyText"/>
        <w:spacing w:before="9"/>
        <w:rPr>
          <w:b/>
          <w:sz w:val="22"/>
        </w:rPr>
      </w:pPr>
    </w:p>
    <w:p>
      <w:pPr>
        <w:pStyle w:val="ListParagraph"/>
        <w:numPr>
          <w:ilvl w:val="1"/>
          <w:numId w:val="22"/>
        </w:numPr>
        <w:tabs>
          <w:tab w:pos="2381" w:val="left" w:leader="none"/>
          <w:tab w:pos="2382" w:val="left" w:leader="none"/>
        </w:tabs>
        <w:spacing w:line="242" w:lineRule="auto" w:before="92" w:after="0"/>
        <w:ind w:left="2381" w:right="1643" w:hanging="794"/>
        <w:jc w:val="left"/>
        <w:rPr>
          <w:sz w:val="12"/>
        </w:rPr>
      </w:pPr>
      <w:r>
        <w:rPr>
          <w:w w:val="105"/>
          <w:sz w:val="21"/>
        </w:rPr>
        <w:t>A lack of </w:t>
      </w:r>
      <w:r>
        <w:rPr>
          <w:spacing w:val="-3"/>
          <w:w w:val="105"/>
          <w:sz w:val="21"/>
        </w:rPr>
        <w:t>readily available information </w:t>
      </w:r>
      <w:r>
        <w:rPr>
          <w:w w:val="105"/>
          <w:sz w:val="21"/>
        </w:rPr>
        <w:t>can </w:t>
      </w:r>
      <w:r>
        <w:rPr>
          <w:spacing w:val="-3"/>
          <w:w w:val="105"/>
          <w:sz w:val="21"/>
        </w:rPr>
        <w:t>have </w:t>
      </w:r>
      <w:r>
        <w:rPr>
          <w:w w:val="105"/>
          <w:sz w:val="21"/>
        </w:rPr>
        <w:t>an impact on the work of </w:t>
      </w:r>
      <w:r>
        <w:rPr>
          <w:spacing w:val="-3"/>
          <w:w w:val="105"/>
          <w:sz w:val="21"/>
        </w:rPr>
        <w:t>professional </w:t>
      </w:r>
      <w:r>
        <w:rPr>
          <w:w w:val="105"/>
          <w:sz w:val="21"/>
        </w:rPr>
        <w:t>executors. </w:t>
      </w:r>
      <w:r>
        <w:rPr>
          <w:spacing w:val="-3"/>
          <w:w w:val="105"/>
          <w:sz w:val="21"/>
        </w:rPr>
        <w:t>State </w:t>
      </w:r>
      <w:r>
        <w:rPr>
          <w:spacing w:val="-4"/>
          <w:w w:val="105"/>
          <w:sz w:val="21"/>
        </w:rPr>
        <w:t>Trustees </w:t>
      </w:r>
      <w:r>
        <w:rPr>
          <w:w w:val="105"/>
          <w:sz w:val="21"/>
        </w:rPr>
        <w:t>is being </w:t>
      </w:r>
      <w:r>
        <w:rPr>
          <w:spacing w:val="-3"/>
          <w:w w:val="105"/>
          <w:sz w:val="21"/>
        </w:rPr>
        <w:t>asked </w:t>
      </w:r>
      <w:r>
        <w:rPr>
          <w:w w:val="105"/>
          <w:sz w:val="21"/>
        </w:rPr>
        <w:t>by non-professional executors </w:t>
      </w:r>
      <w:r>
        <w:rPr>
          <w:spacing w:val="-3"/>
          <w:w w:val="105"/>
          <w:sz w:val="21"/>
        </w:rPr>
        <w:t>for </w:t>
      </w:r>
      <w:r>
        <w:rPr>
          <w:w w:val="105"/>
          <w:sz w:val="21"/>
        </w:rPr>
        <w:t>ad hoc assistance in performing the functions of the </w:t>
      </w:r>
      <w:r>
        <w:rPr>
          <w:spacing w:val="-4"/>
          <w:w w:val="105"/>
          <w:sz w:val="21"/>
        </w:rPr>
        <w:t>position.</w:t>
      </w:r>
      <w:r>
        <w:rPr>
          <w:spacing w:val="-4"/>
          <w:w w:val="105"/>
          <w:position w:val="7"/>
          <w:sz w:val="12"/>
        </w:rPr>
        <w:t>199 </w:t>
      </w:r>
      <w:r>
        <w:rPr>
          <w:w w:val="105"/>
          <w:sz w:val="21"/>
        </w:rPr>
        <w:t>The large number of </w:t>
      </w:r>
      <w:r>
        <w:rPr>
          <w:spacing w:val="-3"/>
          <w:w w:val="105"/>
          <w:sz w:val="21"/>
        </w:rPr>
        <w:t>complaints to </w:t>
      </w:r>
      <w:r>
        <w:rPr>
          <w:w w:val="105"/>
          <w:sz w:val="21"/>
        </w:rPr>
        <w:t>the Legal Services </w:t>
      </w:r>
      <w:r>
        <w:rPr>
          <w:spacing w:val="-3"/>
          <w:w w:val="105"/>
          <w:sz w:val="21"/>
        </w:rPr>
        <w:t>Commissioner </w:t>
      </w:r>
      <w:r>
        <w:rPr>
          <w:w w:val="105"/>
          <w:sz w:val="21"/>
        </w:rPr>
        <w:t>about </w:t>
      </w:r>
      <w:r>
        <w:rPr>
          <w:spacing w:val="-3"/>
          <w:w w:val="105"/>
          <w:sz w:val="21"/>
        </w:rPr>
        <w:t>probate </w:t>
      </w:r>
      <w:r>
        <w:rPr>
          <w:w w:val="105"/>
          <w:sz w:val="21"/>
        </w:rPr>
        <w:t>issues </w:t>
      </w:r>
      <w:r>
        <w:rPr>
          <w:spacing w:val="-3"/>
          <w:w w:val="105"/>
          <w:sz w:val="21"/>
        </w:rPr>
        <w:t>could </w:t>
      </w:r>
      <w:r>
        <w:rPr>
          <w:w w:val="105"/>
          <w:sz w:val="21"/>
        </w:rPr>
        <w:t>be </w:t>
      </w:r>
      <w:r>
        <w:rPr>
          <w:spacing w:val="-3"/>
          <w:w w:val="105"/>
          <w:sz w:val="21"/>
        </w:rPr>
        <w:t>due, </w:t>
      </w:r>
      <w:r>
        <w:rPr>
          <w:w w:val="105"/>
          <w:sz w:val="21"/>
        </w:rPr>
        <w:t>at least in part, </w:t>
      </w:r>
      <w:r>
        <w:rPr>
          <w:spacing w:val="-3"/>
          <w:w w:val="105"/>
          <w:sz w:val="21"/>
        </w:rPr>
        <w:t>to </w:t>
      </w:r>
      <w:r>
        <w:rPr>
          <w:w w:val="105"/>
          <w:sz w:val="21"/>
        </w:rPr>
        <w:t>poor </w:t>
      </w:r>
      <w:r>
        <w:rPr>
          <w:spacing w:val="-3"/>
          <w:w w:val="105"/>
          <w:sz w:val="21"/>
        </w:rPr>
        <w:t>public </w:t>
      </w:r>
      <w:r>
        <w:rPr>
          <w:w w:val="105"/>
          <w:sz w:val="21"/>
        </w:rPr>
        <w:t>understanding of the complexity of the process. Legal practitioners told the </w:t>
      </w:r>
      <w:r>
        <w:rPr>
          <w:spacing w:val="-3"/>
          <w:w w:val="105"/>
          <w:sz w:val="21"/>
        </w:rPr>
        <w:t>Commission that </w:t>
      </w:r>
      <w:r>
        <w:rPr>
          <w:w w:val="105"/>
          <w:sz w:val="21"/>
        </w:rPr>
        <w:t>beneficiaries of estates they </w:t>
      </w:r>
      <w:r>
        <w:rPr>
          <w:spacing w:val="-3"/>
          <w:w w:val="105"/>
          <w:sz w:val="21"/>
        </w:rPr>
        <w:t>are administering </w:t>
      </w:r>
      <w:r>
        <w:rPr>
          <w:w w:val="105"/>
          <w:sz w:val="21"/>
        </w:rPr>
        <w:t>often </w:t>
      </w:r>
      <w:r>
        <w:rPr>
          <w:spacing w:val="-3"/>
          <w:w w:val="105"/>
          <w:sz w:val="21"/>
        </w:rPr>
        <w:t>place unreasonable pressure</w:t>
      </w:r>
      <w:r>
        <w:rPr>
          <w:spacing w:val="-8"/>
          <w:w w:val="105"/>
          <w:sz w:val="21"/>
        </w:rPr>
        <w:t> </w:t>
      </w:r>
      <w:r>
        <w:rPr>
          <w:w w:val="105"/>
          <w:sz w:val="21"/>
        </w:rPr>
        <w:t>on</w:t>
      </w:r>
      <w:r>
        <w:rPr>
          <w:spacing w:val="-7"/>
          <w:w w:val="105"/>
          <w:sz w:val="21"/>
        </w:rPr>
        <w:t> </w:t>
      </w:r>
      <w:r>
        <w:rPr>
          <w:w w:val="105"/>
          <w:sz w:val="21"/>
        </w:rPr>
        <w:t>them</w:t>
      </w:r>
      <w:r>
        <w:rPr>
          <w:spacing w:val="-8"/>
          <w:w w:val="105"/>
          <w:sz w:val="21"/>
        </w:rPr>
        <w:t> </w:t>
      </w:r>
      <w:r>
        <w:rPr>
          <w:spacing w:val="-3"/>
          <w:w w:val="105"/>
          <w:sz w:val="21"/>
        </w:rPr>
        <w:t>to</w:t>
      </w:r>
      <w:r>
        <w:rPr>
          <w:spacing w:val="-7"/>
          <w:w w:val="105"/>
          <w:sz w:val="21"/>
        </w:rPr>
        <w:t> </w:t>
      </w:r>
      <w:r>
        <w:rPr>
          <w:w w:val="105"/>
          <w:sz w:val="21"/>
        </w:rPr>
        <w:t>release</w:t>
      </w:r>
      <w:r>
        <w:rPr>
          <w:spacing w:val="-7"/>
          <w:w w:val="105"/>
          <w:sz w:val="21"/>
        </w:rPr>
        <w:t> </w:t>
      </w:r>
      <w:r>
        <w:rPr>
          <w:w w:val="105"/>
          <w:sz w:val="21"/>
        </w:rPr>
        <w:t>assets</w:t>
      </w:r>
      <w:r>
        <w:rPr>
          <w:spacing w:val="-8"/>
          <w:w w:val="105"/>
          <w:sz w:val="21"/>
        </w:rPr>
        <w:t> </w:t>
      </w:r>
      <w:r>
        <w:rPr>
          <w:w w:val="105"/>
          <w:sz w:val="21"/>
        </w:rPr>
        <w:t>and</w:t>
      </w:r>
      <w:r>
        <w:rPr>
          <w:spacing w:val="-7"/>
          <w:w w:val="105"/>
          <w:sz w:val="21"/>
        </w:rPr>
        <w:t> </w:t>
      </w:r>
      <w:r>
        <w:rPr>
          <w:spacing w:val="-3"/>
          <w:w w:val="105"/>
          <w:sz w:val="21"/>
        </w:rPr>
        <w:t>to</w:t>
      </w:r>
      <w:r>
        <w:rPr>
          <w:spacing w:val="-8"/>
          <w:w w:val="105"/>
          <w:sz w:val="21"/>
        </w:rPr>
        <w:t> </w:t>
      </w:r>
      <w:r>
        <w:rPr>
          <w:spacing w:val="-3"/>
          <w:w w:val="105"/>
          <w:sz w:val="21"/>
        </w:rPr>
        <w:t>keep</w:t>
      </w:r>
      <w:r>
        <w:rPr>
          <w:spacing w:val="-7"/>
          <w:w w:val="105"/>
          <w:sz w:val="21"/>
        </w:rPr>
        <w:t> </w:t>
      </w:r>
      <w:r>
        <w:rPr>
          <w:spacing w:val="-3"/>
          <w:w w:val="105"/>
          <w:sz w:val="21"/>
        </w:rPr>
        <w:t>providing</w:t>
      </w:r>
      <w:r>
        <w:rPr>
          <w:spacing w:val="-7"/>
          <w:w w:val="105"/>
          <w:sz w:val="21"/>
        </w:rPr>
        <w:t> </w:t>
      </w:r>
      <w:r>
        <w:rPr>
          <w:w w:val="105"/>
          <w:sz w:val="21"/>
        </w:rPr>
        <w:t>progress</w:t>
      </w:r>
      <w:r>
        <w:rPr>
          <w:spacing w:val="-8"/>
          <w:w w:val="105"/>
          <w:sz w:val="21"/>
        </w:rPr>
        <w:t> </w:t>
      </w:r>
      <w:r>
        <w:rPr>
          <w:w w:val="105"/>
          <w:sz w:val="21"/>
        </w:rPr>
        <w:t>reports,</w:t>
      </w:r>
      <w:r>
        <w:rPr>
          <w:spacing w:val="-7"/>
          <w:w w:val="105"/>
          <w:sz w:val="21"/>
        </w:rPr>
        <w:t> </w:t>
      </w:r>
      <w:r>
        <w:rPr>
          <w:w w:val="105"/>
          <w:sz w:val="21"/>
        </w:rPr>
        <w:t>as</w:t>
      </w:r>
      <w:r>
        <w:rPr>
          <w:spacing w:val="-8"/>
          <w:w w:val="105"/>
          <w:sz w:val="21"/>
        </w:rPr>
        <w:t> </w:t>
      </w:r>
      <w:r>
        <w:rPr>
          <w:w w:val="105"/>
          <w:sz w:val="21"/>
        </w:rPr>
        <w:t>they</w:t>
      </w:r>
      <w:r>
        <w:rPr>
          <w:spacing w:val="-7"/>
          <w:w w:val="105"/>
          <w:sz w:val="21"/>
        </w:rPr>
        <w:t> </w:t>
      </w:r>
      <w:r>
        <w:rPr>
          <w:w w:val="105"/>
          <w:sz w:val="21"/>
        </w:rPr>
        <w:t>do</w:t>
      </w:r>
      <w:r>
        <w:rPr>
          <w:spacing w:val="-7"/>
          <w:w w:val="105"/>
          <w:sz w:val="21"/>
        </w:rPr>
        <w:t> </w:t>
      </w:r>
      <w:r>
        <w:rPr>
          <w:spacing w:val="-2"/>
          <w:w w:val="105"/>
          <w:sz w:val="21"/>
        </w:rPr>
        <w:t>not </w:t>
      </w:r>
      <w:r>
        <w:rPr>
          <w:w w:val="105"/>
          <w:sz w:val="21"/>
        </w:rPr>
        <w:t>understand the </w:t>
      </w:r>
      <w:r>
        <w:rPr>
          <w:spacing w:val="-3"/>
          <w:w w:val="105"/>
          <w:sz w:val="21"/>
        </w:rPr>
        <w:t>responsibilities </w:t>
      </w:r>
      <w:r>
        <w:rPr>
          <w:w w:val="105"/>
          <w:sz w:val="21"/>
        </w:rPr>
        <w:t>of an </w:t>
      </w:r>
      <w:r>
        <w:rPr>
          <w:spacing w:val="-3"/>
          <w:w w:val="105"/>
          <w:sz w:val="21"/>
        </w:rPr>
        <w:t>executor </w:t>
      </w:r>
      <w:r>
        <w:rPr>
          <w:w w:val="105"/>
          <w:sz w:val="21"/>
        </w:rPr>
        <w:t>and the costs </w:t>
      </w:r>
      <w:r>
        <w:rPr>
          <w:spacing w:val="-3"/>
          <w:w w:val="105"/>
          <w:sz w:val="21"/>
        </w:rPr>
        <w:t>to </w:t>
      </w:r>
      <w:r>
        <w:rPr>
          <w:w w:val="105"/>
          <w:sz w:val="21"/>
        </w:rPr>
        <w:t>the estate of </w:t>
      </w:r>
      <w:r>
        <w:rPr>
          <w:spacing w:val="-3"/>
          <w:w w:val="105"/>
          <w:sz w:val="21"/>
        </w:rPr>
        <w:t>attending to </w:t>
      </w:r>
      <w:r>
        <w:rPr>
          <w:w w:val="105"/>
          <w:sz w:val="21"/>
        </w:rPr>
        <w:t>their</w:t>
      </w:r>
      <w:r>
        <w:rPr>
          <w:spacing w:val="5"/>
          <w:w w:val="105"/>
          <w:sz w:val="21"/>
        </w:rPr>
        <w:t> </w:t>
      </w:r>
      <w:r>
        <w:rPr>
          <w:w w:val="105"/>
          <w:sz w:val="21"/>
        </w:rPr>
        <w:t>requests.</w:t>
      </w:r>
      <w:r>
        <w:rPr>
          <w:w w:val="105"/>
          <w:position w:val="7"/>
          <w:sz w:val="12"/>
        </w:rPr>
        <w:t>200</w:t>
      </w:r>
    </w:p>
    <w:p>
      <w:pPr>
        <w:pStyle w:val="ListParagraph"/>
        <w:numPr>
          <w:ilvl w:val="1"/>
          <w:numId w:val="22"/>
        </w:numPr>
        <w:tabs>
          <w:tab w:pos="2381" w:val="left" w:leader="none"/>
          <w:tab w:pos="2382" w:val="left" w:leader="none"/>
        </w:tabs>
        <w:spacing w:line="242" w:lineRule="auto" w:before="130" w:after="0"/>
        <w:ind w:left="2381" w:right="2072" w:hanging="794"/>
        <w:jc w:val="left"/>
        <w:rPr>
          <w:sz w:val="21"/>
        </w:rPr>
      </w:pPr>
      <w:r>
        <w:rPr>
          <w:w w:val="105"/>
          <w:sz w:val="21"/>
        </w:rPr>
        <w:t>These</w:t>
      </w:r>
      <w:r>
        <w:rPr>
          <w:spacing w:val="-7"/>
          <w:w w:val="105"/>
          <w:sz w:val="21"/>
        </w:rPr>
        <w:t> </w:t>
      </w:r>
      <w:r>
        <w:rPr>
          <w:w w:val="105"/>
          <w:sz w:val="21"/>
        </w:rPr>
        <w:t>and</w:t>
      </w:r>
      <w:r>
        <w:rPr>
          <w:spacing w:val="-7"/>
          <w:w w:val="105"/>
          <w:sz w:val="21"/>
        </w:rPr>
        <w:t> </w:t>
      </w:r>
      <w:r>
        <w:rPr>
          <w:w w:val="105"/>
          <w:sz w:val="21"/>
        </w:rPr>
        <w:t>other</w:t>
      </w:r>
      <w:r>
        <w:rPr>
          <w:spacing w:val="-6"/>
          <w:w w:val="105"/>
          <w:sz w:val="21"/>
        </w:rPr>
        <w:t> </w:t>
      </w:r>
      <w:r>
        <w:rPr>
          <w:w w:val="105"/>
          <w:sz w:val="21"/>
        </w:rPr>
        <w:t>gaps</w:t>
      </w:r>
      <w:r>
        <w:rPr>
          <w:spacing w:val="-7"/>
          <w:w w:val="105"/>
          <w:sz w:val="21"/>
        </w:rPr>
        <w:t> </w:t>
      </w:r>
      <w:r>
        <w:rPr>
          <w:w w:val="105"/>
          <w:sz w:val="21"/>
        </w:rPr>
        <w:t>in</w:t>
      </w:r>
      <w:r>
        <w:rPr>
          <w:spacing w:val="-6"/>
          <w:w w:val="105"/>
          <w:sz w:val="21"/>
        </w:rPr>
        <w:t> </w:t>
      </w:r>
      <w:r>
        <w:rPr>
          <w:spacing w:val="-3"/>
          <w:w w:val="105"/>
          <w:sz w:val="21"/>
        </w:rPr>
        <w:t>publicly</w:t>
      </w:r>
      <w:r>
        <w:rPr>
          <w:spacing w:val="-7"/>
          <w:w w:val="105"/>
          <w:sz w:val="21"/>
        </w:rPr>
        <w:t> </w:t>
      </w:r>
      <w:r>
        <w:rPr>
          <w:spacing w:val="-3"/>
          <w:w w:val="105"/>
          <w:sz w:val="21"/>
        </w:rPr>
        <w:t>available</w:t>
      </w:r>
      <w:r>
        <w:rPr>
          <w:spacing w:val="-7"/>
          <w:w w:val="105"/>
          <w:sz w:val="21"/>
        </w:rPr>
        <w:t> </w:t>
      </w:r>
      <w:r>
        <w:rPr>
          <w:spacing w:val="-3"/>
          <w:w w:val="105"/>
          <w:sz w:val="21"/>
        </w:rPr>
        <w:t>materials</w:t>
      </w:r>
      <w:r>
        <w:rPr>
          <w:spacing w:val="-6"/>
          <w:w w:val="105"/>
          <w:sz w:val="21"/>
        </w:rPr>
        <w:t> </w:t>
      </w:r>
      <w:r>
        <w:rPr>
          <w:w w:val="105"/>
          <w:sz w:val="21"/>
        </w:rPr>
        <w:t>should</w:t>
      </w:r>
      <w:r>
        <w:rPr>
          <w:spacing w:val="-7"/>
          <w:w w:val="105"/>
          <w:sz w:val="21"/>
        </w:rPr>
        <w:t> </w:t>
      </w:r>
      <w:r>
        <w:rPr>
          <w:w w:val="105"/>
          <w:sz w:val="21"/>
        </w:rPr>
        <w:t>be</w:t>
      </w:r>
      <w:r>
        <w:rPr>
          <w:spacing w:val="-6"/>
          <w:w w:val="105"/>
          <w:sz w:val="21"/>
        </w:rPr>
        <w:t> </w:t>
      </w:r>
      <w:r>
        <w:rPr>
          <w:w w:val="105"/>
          <w:sz w:val="21"/>
        </w:rPr>
        <w:t>filled.</w:t>
      </w:r>
      <w:r>
        <w:rPr>
          <w:spacing w:val="-7"/>
          <w:w w:val="105"/>
          <w:sz w:val="21"/>
        </w:rPr>
        <w:t> </w:t>
      </w:r>
      <w:r>
        <w:rPr>
          <w:w w:val="105"/>
          <w:sz w:val="21"/>
        </w:rPr>
        <w:t>The</w:t>
      </w:r>
      <w:r>
        <w:rPr>
          <w:spacing w:val="-7"/>
          <w:w w:val="105"/>
          <w:sz w:val="21"/>
        </w:rPr>
        <w:t> </w:t>
      </w:r>
      <w:r>
        <w:rPr>
          <w:spacing w:val="-3"/>
          <w:w w:val="105"/>
          <w:sz w:val="21"/>
        </w:rPr>
        <w:t>Commission </w:t>
      </w:r>
      <w:r>
        <w:rPr>
          <w:w w:val="105"/>
          <w:sz w:val="21"/>
        </w:rPr>
        <w:t>considers </w:t>
      </w:r>
      <w:r>
        <w:rPr>
          <w:spacing w:val="-3"/>
          <w:w w:val="105"/>
          <w:sz w:val="21"/>
        </w:rPr>
        <w:t>that </w:t>
      </w:r>
      <w:r>
        <w:rPr>
          <w:w w:val="105"/>
          <w:sz w:val="21"/>
        </w:rPr>
        <w:t>the Victoria Law Foundation is best </w:t>
      </w:r>
      <w:r>
        <w:rPr>
          <w:spacing w:val="-2"/>
          <w:w w:val="105"/>
          <w:sz w:val="21"/>
        </w:rPr>
        <w:t>placed </w:t>
      </w:r>
      <w:r>
        <w:rPr>
          <w:spacing w:val="-3"/>
          <w:w w:val="105"/>
          <w:sz w:val="21"/>
        </w:rPr>
        <w:t>to produce information that</w:t>
      </w:r>
      <w:r>
        <w:rPr>
          <w:spacing w:val="-7"/>
          <w:w w:val="105"/>
          <w:sz w:val="21"/>
        </w:rPr>
        <w:t> </w:t>
      </w:r>
      <w:r>
        <w:rPr>
          <w:w w:val="105"/>
          <w:sz w:val="21"/>
        </w:rPr>
        <w:t>is</w:t>
      </w:r>
      <w:r>
        <w:rPr>
          <w:spacing w:val="-7"/>
          <w:w w:val="105"/>
          <w:sz w:val="21"/>
        </w:rPr>
        <w:t> </w:t>
      </w:r>
      <w:r>
        <w:rPr>
          <w:w w:val="105"/>
          <w:sz w:val="21"/>
        </w:rPr>
        <w:t>practical,</w:t>
      </w:r>
      <w:r>
        <w:rPr>
          <w:spacing w:val="-7"/>
          <w:w w:val="105"/>
          <w:sz w:val="21"/>
        </w:rPr>
        <w:t> </w:t>
      </w:r>
      <w:r>
        <w:rPr>
          <w:spacing w:val="-3"/>
          <w:w w:val="105"/>
          <w:sz w:val="21"/>
        </w:rPr>
        <w:t>accessible</w:t>
      </w:r>
      <w:r>
        <w:rPr>
          <w:spacing w:val="-7"/>
          <w:w w:val="105"/>
          <w:sz w:val="21"/>
        </w:rPr>
        <w:t> </w:t>
      </w:r>
      <w:r>
        <w:rPr>
          <w:w w:val="105"/>
          <w:sz w:val="21"/>
        </w:rPr>
        <w:t>and</w:t>
      </w:r>
      <w:r>
        <w:rPr>
          <w:spacing w:val="-7"/>
          <w:w w:val="105"/>
          <w:sz w:val="21"/>
        </w:rPr>
        <w:t> </w:t>
      </w:r>
      <w:r>
        <w:rPr>
          <w:w w:val="105"/>
          <w:sz w:val="21"/>
        </w:rPr>
        <w:t>targeted</w:t>
      </w:r>
      <w:r>
        <w:rPr>
          <w:spacing w:val="-7"/>
          <w:w w:val="105"/>
          <w:sz w:val="21"/>
        </w:rPr>
        <w:t> </w:t>
      </w:r>
      <w:r>
        <w:rPr>
          <w:spacing w:val="-3"/>
          <w:w w:val="105"/>
          <w:sz w:val="21"/>
        </w:rPr>
        <w:t>to</w:t>
      </w:r>
      <w:r>
        <w:rPr>
          <w:spacing w:val="-7"/>
          <w:w w:val="105"/>
          <w:sz w:val="21"/>
        </w:rPr>
        <w:t> </w:t>
      </w:r>
      <w:r>
        <w:rPr>
          <w:w w:val="105"/>
          <w:sz w:val="21"/>
        </w:rPr>
        <w:t>those</w:t>
      </w:r>
      <w:r>
        <w:rPr>
          <w:spacing w:val="-7"/>
          <w:w w:val="105"/>
          <w:sz w:val="21"/>
        </w:rPr>
        <w:t> </w:t>
      </w:r>
      <w:r>
        <w:rPr>
          <w:w w:val="105"/>
          <w:sz w:val="21"/>
        </w:rPr>
        <w:t>who</w:t>
      </w:r>
      <w:r>
        <w:rPr>
          <w:spacing w:val="-7"/>
          <w:w w:val="105"/>
          <w:sz w:val="21"/>
        </w:rPr>
        <w:t> </w:t>
      </w:r>
      <w:r>
        <w:rPr>
          <w:w w:val="105"/>
          <w:sz w:val="21"/>
        </w:rPr>
        <w:t>need</w:t>
      </w:r>
      <w:r>
        <w:rPr>
          <w:spacing w:val="-7"/>
          <w:w w:val="105"/>
          <w:sz w:val="21"/>
        </w:rPr>
        <w:t> </w:t>
      </w:r>
      <w:r>
        <w:rPr>
          <w:w w:val="105"/>
          <w:sz w:val="21"/>
        </w:rPr>
        <w:t>it.</w:t>
      </w:r>
      <w:r>
        <w:rPr>
          <w:spacing w:val="-7"/>
          <w:w w:val="105"/>
          <w:sz w:val="21"/>
        </w:rPr>
        <w:t> </w:t>
      </w:r>
      <w:r>
        <w:rPr>
          <w:w w:val="105"/>
          <w:sz w:val="21"/>
        </w:rPr>
        <w:t>It</w:t>
      </w:r>
      <w:r>
        <w:rPr>
          <w:spacing w:val="-7"/>
          <w:w w:val="105"/>
          <w:sz w:val="21"/>
        </w:rPr>
        <w:t> </w:t>
      </w:r>
      <w:r>
        <w:rPr>
          <w:spacing w:val="-2"/>
          <w:w w:val="105"/>
          <w:sz w:val="21"/>
        </w:rPr>
        <w:t>has</w:t>
      </w:r>
      <w:r>
        <w:rPr>
          <w:spacing w:val="-7"/>
          <w:w w:val="105"/>
          <w:sz w:val="21"/>
        </w:rPr>
        <w:t> </w:t>
      </w:r>
      <w:r>
        <w:rPr>
          <w:w w:val="105"/>
          <w:sz w:val="21"/>
        </w:rPr>
        <w:t>the</w:t>
      </w:r>
      <w:r>
        <w:rPr>
          <w:spacing w:val="-7"/>
          <w:w w:val="105"/>
          <w:sz w:val="21"/>
        </w:rPr>
        <w:t> </w:t>
      </w:r>
      <w:r>
        <w:rPr>
          <w:w w:val="105"/>
          <w:sz w:val="21"/>
        </w:rPr>
        <w:t>expertise</w:t>
      </w:r>
      <w:r>
        <w:rPr>
          <w:spacing w:val="-7"/>
          <w:w w:val="105"/>
          <w:sz w:val="21"/>
        </w:rPr>
        <w:t> </w:t>
      </w:r>
      <w:r>
        <w:rPr>
          <w:w w:val="105"/>
          <w:sz w:val="21"/>
        </w:rPr>
        <w:t>in </w:t>
      </w:r>
      <w:r>
        <w:rPr>
          <w:spacing w:val="-3"/>
          <w:w w:val="105"/>
          <w:sz w:val="21"/>
        </w:rPr>
        <w:t>communicating information </w:t>
      </w:r>
      <w:r>
        <w:rPr>
          <w:w w:val="105"/>
          <w:sz w:val="21"/>
        </w:rPr>
        <w:t>about the law and legal system simply and</w:t>
      </w:r>
      <w:r>
        <w:rPr>
          <w:spacing w:val="-35"/>
          <w:w w:val="105"/>
          <w:sz w:val="21"/>
        </w:rPr>
        <w:t> </w:t>
      </w:r>
      <w:r>
        <w:rPr>
          <w:spacing w:val="-2"/>
          <w:w w:val="105"/>
          <w:sz w:val="21"/>
        </w:rPr>
        <w:t>effectively.</w:t>
      </w:r>
    </w:p>
    <w:p>
      <w:pPr>
        <w:pStyle w:val="BodyText"/>
        <w:spacing w:line="242" w:lineRule="auto" w:before="4"/>
        <w:ind w:left="2381" w:right="1957"/>
      </w:pPr>
      <w:r>
        <w:rPr>
          <w:w w:val="105"/>
        </w:rPr>
        <w:t>In </w:t>
      </w:r>
      <w:r>
        <w:rPr>
          <w:spacing w:val="-3"/>
          <w:w w:val="105"/>
        </w:rPr>
        <w:t>addition, </w:t>
      </w:r>
      <w:r>
        <w:rPr>
          <w:w w:val="105"/>
        </w:rPr>
        <w:t>the Victoria Law Foundation works with other </w:t>
      </w:r>
      <w:r>
        <w:rPr>
          <w:spacing w:val="-3"/>
          <w:w w:val="105"/>
        </w:rPr>
        <w:t>organisations </w:t>
      </w:r>
      <w:r>
        <w:rPr>
          <w:w w:val="105"/>
        </w:rPr>
        <w:t>in </w:t>
      </w:r>
      <w:r>
        <w:rPr>
          <w:spacing w:val="-3"/>
          <w:w w:val="105"/>
        </w:rPr>
        <w:t>reaching </w:t>
      </w:r>
      <w:r>
        <w:rPr>
          <w:w w:val="105"/>
        </w:rPr>
        <w:t>the community and </w:t>
      </w:r>
      <w:r>
        <w:rPr>
          <w:spacing w:val="-3"/>
          <w:w w:val="105"/>
        </w:rPr>
        <w:t>could </w:t>
      </w:r>
      <w:r>
        <w:rPr>
          <w:w w:val="105"/>
        </w:rPr>
        <w:t>develop </w:t>
      </w:r>
      <w:r>
        <w:rPr>
          <w:spacing w:val="-3"/>
          <w:w w:val="105"/>
        </w:rPr>
        <w:t>materials </w:t>
      </w:r>
      <w:r>
        <w:rPr>
          <w:w w:val="105"/>
        </w:rPr>
        <w:t>on </w:t>
      </w:r>
      <w:r>
        <w:rPr>
          <w:spacing w:val="-3"/>
          <w:w w:val="105"/>
        </w:rPr>
        <w:t>wills </w:t>
      </w:r>
      <w:r>
        <w:rPr>
          <w:w w:val="105"/>
        </w:rPr>
        <w:t>and estates in </w:t>
      </w:r>
      <w:r>
        <w:rPr>
          <w:spacing w:val="-3"/>
          <w:w w:val="105"/>
        </w:rPr>
        <w:t>collaboration </w:t>
      </w:r>
      <w:r>
        <w:rPr>
          <w:w w:val="105"/>
        </w:rPr>
        <w:t>with community legal </w:t>
      </w:r>
      <w:r>
        <w:rPr>
          <w:spacing w:val="-3"/>
          <w:w w:val="105"/>
        </w:rPr>
        <w:t>centres, </w:t>
      </w:r>
      <w:r>
        <w:rPr>
          <w:w w:val="105"/>
        </w:rPr>
        <w:t>the </w:t>
      </w:r>
      <w:r>
        <w:rPr>
          <w:spacing w:val="-3"/>
          <w:w w:val="105"/>
        </w:rPr>
        <w:t>judiciary, </w:t>
      </w:r>
      <w:r>
        <w:rPr>
          <w:w w:val="105"/>
        </w:rPr>
        <w:t>the legal </w:t>
      </w:r>
      <w:r>
        <w:rPr>
          <w:spacing w:val="-3"/>
          <w:w w:val="105"/>
        </w:rPr>
        <w:t>profession </w:t>
      </w:r>
      <w:r>
        <w:rPr>
          <w:w w:val="105"/>
        </w:rPr>
        <w:t>and representatives of </w:t>
      </w:r>
      <w:r>
        <w:rPr>
          <w:spacing w:val="-3"/>
          <w:w w:val="105"/>
        </w:rPr>
        <w:t>culturally </w:t>
      </w:r>
      <w:r>
        <w:rPr>
          <w:w w:val="105"/>
        </w:rPr>
        <w:t>and </w:t>
      </w:r>
      <w:r>
        <w:rPr>
          <w:spacing w:val="-3"/>
          <w:w w:val="105"/>
        </w:rPr>
        <w:t>linguistically </w:t>
      </w:r>
      <w:r>
        <w:rPr>
          <w:w w:val="105"/>
        </w:rPr>
        <w:t>diverse </w:t>
      </w:r>
      <w:r>
        <w:rPr>
          <w:spacing w:val="-3"/>
          <w:w w:val="105"/>
        </w:rPr>
        <w:t>communities.</w:t>
      </w:r>
    </w:p>
    <w:p>
      <w:pPr>
        <w:pStyle w:val="BodyText"/>
        <w:spacing w:before="2"/>
        <w:rPr>
          <w:sz w:val="16"/>
        </w:rPr>
      </w:pPr>
      <w:r>
        <w:rPr/>
        <w:pict>
          <v:group style="position:absolute;margin-left:62.362202pt;margin-top:11.823803pt;width:479.1pt;height:257.55pt;mso-position-horizontal-relative:page;mso-position-vertical-relative:paragraph;z-index:10424;mso-wrap-distance-left:0;mso-wrap-distance-right:0" coordorigin="1247,236" coordsize="9582,5151">
            <v:rect style="position:absolute;left:1587;top:236;width:8731;height:5151" filled="true" fillcolor="#fdebea" stroked="false">
              <v:fill type="solid"/>
            </v:rect>
            <v:line style="position:absolute" from="1247,987" to="10828,987" stroked="true" strokeweight="2.5pt" strokecolor="#ffffff">
              <v:stroke dashstyle="solid"/>
            </v:line>
            <v:shape style="position:absolute;left:2381;top:1224;width:7660;height:3989" type="#_x0000_t202" filled="false" stroked="false">
              <v:textbox inset="0,0,0,0">
                <w:txbxContent>
                  <w:p>
                    <w:pPr>
                      <w:spacing w:line="242" w:lineRule="auto" w:before="0"/>
                      <w:ind w:left="0" w:right="60" w:firstLine="0"/>
                      <w:jc w:val="left"/>
                      <w:rPr>
                        <w:sz w:val="21"/>
                      </w:rPr>
                    </w:pPr>
                    <w:r>
                      <w:rPr>
                        <w:w w:val="115"/>
                        <w:sz w:val="21"/>
                      </w:rPr>
                      <w:t>The Victoria Law Foundation should publish a guide, or series of guides, on making wills and the role of the executor. The information should encompass the following topics and be made available in community languages:</w:t>
                    </w:r>
                  </w:p>
                  <w:p>
                    <w:pPr>
                      <w:numPr>
                        <w:ilvl w:val="0"/>
                        <w:numId w:val="130"/>
                      </w:numPr>
                      <w:tabs>
                        <w:tab w:pos="341" w:val="left" w:leader="none"/>
                      </w:tabs>
                      <w:spacing w:line="242" w:lineRule="auto" w:before="119"/>
                      <w:ind w:left="340" w:right="212" w:hanging="340"/>
                      <w:jc w:val="left"/>
                      <w:rPr>
                        <w:sz w:val="21"/>
                      </w:rPr>
                    </w:pPr>
                    <w:r>
                      <w:rPr>
                        <w:w w:val="115"/>
                        <w:sz w:val="21"/>
                      </w:rPr>
                      <w:t>questions</w:t>
                    </w:r>
                    <w:r>
                      <w:rPr>
                        <w:spacing w:val="-6"/>
                        <w:w w:val="115"/>
                        <w:sz w:val="21"/>
                      </w:rPr>
                      <w:t> </w:t>
                    </w:r>
                    <w:r>
                      <w:rPr>
                        <w:w w:val="115"/>
                        <w:sz w:val="21"/>
                      </w:rPr>
                      <w:t>and</w:t>
                    </w:r>
                    <w:r>
                      <w:rPr>
                        <w:spacing w:val="-5"/>
                        <w:w w:val="115"/>
                        <w:sz w:val="21"/>
                      </w:rPr>
                      <w:t> </w:t>
                    </w:r>
                    <w:r>
                      <w:rPr>
                        <w:w w:val="115"/>
                        <w:sz w:val="21"/>
                      </w:rPr>
                      <w:t>issues</w:t>
                    </w:r>
                    <w:r>
                      <w:rPr>
                        <w:spacing w:val="-5"/>
                        <w:w w:val="115"/>
                        <w:sz w:val="21"/>
                      </w:rPr>
                      <w:t> </w:t>
                    </w:r>
                    <w:r>
                      <w:rPr>
                        <w:w w:val="115"/>
                        <w:sz w:val="21"/>
                      </w:rPr>
                      <w:t>to</w:t>
                    </w:r>
                    <w:r>
                      <w:rPr>
                        <w:spacing w:val="-5"/>
                        <w:w w:val="115"/>
                        <w:sz w:val="21"/>
                      </w:rPr>
                      <w:t> </w:t>
                    </w:r>
                    <w:r>
                      <w:rPr>
                        <w:w w:val="115"/>
                        <w:sz w:val="21"/>
                      </w:rPr>
                      <w:t>consider</w:t>
                    </w:r>
                    <w:r>
                      <w:rPr>
                        <w:spacing w:val="-6"/>
                        <w:w w:val="115"/>
                        <w:sz w:val="21"/>
                      </w:rPr>
                      <w:t> </w:t>
                    </w:r>
                    <w:r>
                      <w:rPr>
                        <w:w w:val="115"/>
                        <w:sz w:val="21"/>
                      </w:rPr>
                      <w:t>when</w:t>
                    </w:r>
                    <w:r>
                      <w:rPr>
                        <w:spacing w:val="-5"/>
                        <w:w w:val="115"/>
                        <w:sz w:val="21"/>
                      </w:rPr>
                      <w:t> </w:t>
                    </w:r>
                    <w:r>
                      <w:rPr>
                        <w:w w:val="115"/>
                        <w:sz w:val="21"/>
                      </w:rPr>
                      <w:t>making</w:t>
                    </w:r>
                    <w:r>
                      <w:rPr>
                        <w:spacing w:val="-5"/>
                        <w:w w:val="115"/>
                        <w:sz w:val="21"/>
                      </w:rPr>
                      <w:t> </w:t>
                    </w:r>
                    <w:r>
                      <w:rPr>
                        <w:w w:val="115"/>
                        <w:sz w:val="21"/>
                      </w:rPr>
                      <w:t>a</w:t>
                    </w:r>
                    <w:r>
                      <w:rPr>
                        <w:spacing w:val="-6"/>
                        <w:w w:val="115"/>
                        <w:sz w:val="21"/>
                      </w:rPr>
                      <w:t> </w:t>
                    </w:r>
                    <w:r>
                      <w:rPr>
                        <w:w w:val="115"/>
                        <w:sz w:val="21"/>
                      </w:rPr>
                      <w:t>will,</w:t>
                    </w:r>
                    <w:r>
                      <w:rPr>
                        <w:spacing w:val="-5"/>
                        <w:w w:val="115"/>
                        <w:sz w:val="21"/>
                      </w:rPr>
                      <w:t> </w:t>
                    </w:r>
                    <w:r>
                      <w:rPr>
                        <w:w w:val="115"/>
                        <w:sz w:val="21"/>
                      </w:rPr>
                      <w:t>focusing</w:t>
                    </w:r>
                    <w:r>
                      <w:rPr>
                        <w:spacing w:val="-5"/>
                        <w:w w:val="115"/>
                        <w:sz w:val="21"/>
                      </w:rPr>
                      <w:t> </w:t>
                    </w:r>
                    <w:r>
                      <w:rPr>
                        <w:w w:val="115"/>
                        <w:sz w:val="21"/>
                      </w:rPr>
                      <w:t>on</w:t>
                    </w:r>
                    <w:r>
                      <w:rPr>
                        <w:spacing w:val="-5"/>
                        <w:w w:val="115"/>
                        <w:sz w:val="21"/>
                      </w:rPr>
                      <w:t> </w:t>
                    </w:r>
                    <w:r>
                      <w:rPr>
                        <w:w w:val="115"/>
                        <w:sz w:val="21"/>
                      </w:rPr>
                      <w:t>helping will-makers </w:t>
                    </w:r>
                    <w:r>
                      <w:rPr>
                        <w:spacing w:val="-3"/>
                        <w:w w:val="115"/>
                        <w:sz w:val="21"/>
                      </w:rPr>
                      <w:t>avoid </w:t>
                    </w:r>
                    <w:r>
                      <w:rPr>
                        <w:w w:val="115"/>
                        <w:sz w:val="21"/>
                      </w:rPr>
                      <w:t>problems commonly identified in wills made without legal advice and providing guidance about selecting an</w:t>
                    </w:r>
                    <w:r>
                      <w:rPr>
                        <w:spacing w:val="-7"/>
                        <w:w w:val="115"/>
                        <w:sz w:val="21"/>
                      </w:rPr>
                      <w:t> </w:t>
                    </w:r>
                    <w:r>
                      <w:rPr>
                        <w:w w:val="115"/>
                        <w:sz w:val="21"/>
                      </w:rPr>
                      <w:t>executor</w:t>
                    </w:r>
                  </w:p>
                  <w:p>
                    <w:pPr>
                      <w:numPr>
                        <w:ilvl w:val="0"/>
                        <w:numId w:val="130"/>
                      </w:numPr>
                      <w:tabs>
                        <w:tab w:pos="341" w:val="left" w:leader="none"/>
                      </w:tabs>
                      <w:spacing w:line="242" w:lineRule="auto" w:before="124"/>
                      <w:ind w:left="340" w:right="18" w:hanging="340"/>
                      <w:jc w:val="left"/>
                      <w:rPr>
                        <w:sz w:val="21"/>
                      </w:rPr>
                    </w:pPr>
                    <w:r>
                      <w:rPr>
                        <w:w w:val="115"/>
                        <w:sz w:val="21"/>
                      </w:rPr>
                      <w:t>practical</w:t>
                    </w:r>
                    <w:r>
                      <w:rPr>
                        <w:spacing w:val="-10"/>
                        <w:w w:val="115"/>
                        <w:sz w:val="21"/>
                      </w:rPr>
                      <w:t> </w:t>
                    </w:r>
                    <w:r>
                      <w:rPr>
                        <w:w w:val="115"/>
                        <w:sz w:val="21"/>
                      </w:rPr>
                      <w:t>information</w:t>
                    </w:r>
                    <w:r>
                      <w:rPr>
                        <w:spacing w:val="-10"/>
                        <w:w w:val="115"/>
                        <w:sz w:val="21"/>
                      </w:rPr>
                      <w:t> </w:t>
                    </w:r>
                    <w:r>
                      <w:rPr>
                        <w:w w:val="115"/>
                        <w:sz w:val="21"/>
                      </w:rPr>
                      <w:t>for</w:t>
                    </w:r>
                    <w:r>
                      <w:rPr>
                        <w:spacing w:val="-10"/>
                        <w:w w:val="115"/>
                        <w:sz w:val="21"/>
                      </w:rPr>
                      <w:t> </w:t>
                    </w:r>
                    <w:r>
                      <w:rPr>
                        <w:w w:val="115"/>
                        <w:sz w:val="21"/>
                      </w:rPr>
                      <w:t>non-professional</w:t>
                    </w:r>
                    <w:r>
                      <w:rPr>
                        <w:spacing w:val="-10"/>
                        <w:w w:val="115"/>
                        <w:sz w:val="21"/>
                      </w:rPr>
                      <w:t> </w:t>
                    </w:r>
                    <w:r>
                      <w:rPr>
                        <w:w w:val="115"/>
                        <w:sz w:val="21"/>
                      </w:rPr>
                      <w:t>executors</w:t>
                    </w:r>
                    <w:r>
                      <w:rPr>
                        <w:spacing w:val="-10"/>
                        <w:w w:val="115"/>
                        <w:sz w:val="21"/>
                      </w:rPr>
                      <w:t> </w:t>
                    </w:r>
                    <w:r>
                      <w:rPr>
                        <w:w w:val="115"/>
                        <w:sz w:val="21"/>
                      </w:rPr>
                      <w:t>about</w:t>
                    </w:r>
                    <w:r>
                      <w:rPr>
                        <w:spacing w:val="-10"/>
                        <w:w w:val="115"/>
                        <w:sz w:val="21"/>
                      </w:rPr>
                      <w:t> </w:t>
                    </w:r>
                    <w:r>
                      <w:rPr>
                        <w:w w:val="115"/>
                        <w:sz w:val="21"/>
                      </w:rPr>
                      <w:t>what</w:t>
                    </w:r>
                    <w:r>
                      <w:rPr>
                        <w:spacing w:val="-9"/>
                        <w:w w:val="115"/>
                        <w:sz w:val="21"/>
                      </w:rPr>
                      <w:t> </w:t>
                    </w:r>
                    <w:r>
                      <w:rPr>
                        <w:w w:val="115"/>
                        <w:sz w:val="21"/>
                      </w:rPr>
                      <w:t>they</w:t>
                    </w:r>
                    <w:r>
                      <w:rPr>
                        <w:spacing w:val="-10"/>
                        <w:w w:val="115"/>
                        <w:sz w:val="21"/>
                      </w:rPr>
                      <w:t> </w:t>
                    </w:r>
                    <w:r>
                      <w:rPr>
                        <w:w w:val="115"/>
                        <w:sz w:val="21"/>
                      </w:rPr>
                      <w:t>need to</w:t>
                    </w:r>
                    <w:r>
                      <w:rPr>
                        <w:spacing w:val="-6"/>
                        <w:w w:val="115"/>
                        <w:sz w:val="21"/>
                      </w:rPr>
                      <w:t> </w:t>
                    </w:r>
                    <w:r>
                      <w:rPr>
                        <w:w w:val="115"/>
                        <w:sz w:val="21"/>
                      </w:rPr>
                      <w:t>do</w:t>
                    </w:r>
                    <w:r>
                      <w:rPr>
                        <w:spacing w:val="-5"/>
                        <w:w w:val="115"/>
                        <w:sz w:val="21"/>
                      </w:rPr>
                      <w:t> </w:t>
                    </w:r>
                    <w:r>
                      <w:rPr>
                        <w:w w:val="115"/>
                        <w:sz w:val="21"/>
                      </w:rPr>
                      <w:t>in</w:t>
                    </w:r>
                    <w:r>
                      <w:rPr>
                        <w:spacing w:val="-5"/>
                        <w:w w:val="115"/>
                        <w:sz w:val="21"/>
                      </w:rPr>
                      <w:t> </w:t>
                    </w:r>
                    <w:r>
                      <w:rPr>
                        <w:w w:val="115"/>
                        <w:sz w:val="21"/>
                      </w:rPr>
                      <w:t>that</w:t>
                    </w:r>
                    <w:r>
                      <w:rPr>
                        <w:spacing w:val="-6"/>
                        <w:w w:val="115"/>
                        <w:sz w:val="21"/>
                      </w:rPr>
                      <w:t> </w:t>
                    </w:r>
                    <w:r>
                      <w:rPr>
                        <w:w w:val="115"/>
                        <w:sz w:val="21"/>
                      </w:rPr>
                      <w:t>position,</w:t>
                    </w:r>
                    <w:r>
                      <w:rPr>
                        <w:spacing w:val="-5"/>
                        <w:w w:val="115"/>
                        <w:sz w:val="21"/>
                      </w:rPr>
                      <w:t> </w:t>
                    </w:r>
                    <w:r>
                      <w:rPr>
                        <w:w w:val="115"/>
                        <w:sz w:val="21"/>
                      </w:rPr>
                      <w:t>focusing</w:t>
                    </w:r>
                    <w:r>
                      <w:rPr>
                        <w:spacing w:val="-5"/>
                        <w:w w:val="115"/>
                        <w:sz w:val="21"/>
                      </w:rPr>
                      <w:t> </w:t>
                    </w:r>
                    <w:r>
                      <w:rPr>
                        <w:w w:val="115"/>
                        <w:sz w:val="21"/>
                      </w:rPr>
                      <w:t>on</w:t>
                    </w:r>
                    <w:r>
                      <w:rPr>
                        <w:spacing w:val="-6"/>
                        <w:w w:val="115"/>
                        <w:sz w:val="21"/>
                      </w:rPr>
                      <w:t> </w:t>
                    </w:r>
                    <w:r>
                      <w:rPr>
                        <w:w w:val="115"/>
                        <w:sz w:val="21"/>
                      </w:rPr>
                      <w:t>resources</w:t>
                    </w:r>
                    <w:r>
                      <w:rPr>
                        <w:spacing w:val="-5"/>
                        <w:w w:val="115"/>
                        <w:sz w:val="21"/>
                      </w:rPr>
                      <w:t> </w:t>
                    </w:r>
                    <w:r>
                      <w:rPr>
                        <w:w w:val="115"/>
                        <w:sz w:val="21"/>
                      </w:rPr>
                      <w:t>that</w:t>
                    </w:r>
                    <w:r>
                      <w:rPr>
                        <w:spacing w:val="-5"/>
                        <w:w w:val="115"/>
                        <w:sz w:val="21"/>
                      </w:rPr>
                      <w:t> </w:t>
                    </w:r>
                    <w:r>
                      <w:rPr>
                        <w:w w:val="115"/>
                        <w:sz w:val="21"/>
                      </w:rPr>
                      <w:t>can</w:t>
                    </w:r>
                    <w:r>
                      <w:rPr>
                        <w:spacing w:val="-6"/>
                        <w:w w:val="115"/>
                        <w:sz w:val="21"/>
                      </w:rPr>
                      <w:t> </w:t>
                    </w:r>
                    <w:r>
                      <w:rPr>
                        <w:w w:val="115"/>
                        <w:sz w:val="21"/>
                      </w:rPr>
                      <w:t>help</w:t>
                    </w:r>
                    <w:r>
                      <w:rPr>
                        <w:spacing w:val="-5"/>
                        <w:w w:val="115"/>
                        <w:sz w:val="21"/>
                      </w:rPr>
                      <w:t> </w:t>
                    </w:r>
                    <w:r>
                      <w:rPr>
                        <w:w w:val="115"/>
                        <w:sz w:val="21"/>
                      </w:rPr>
                      <w:t>them</w:t>
                    </w:r>
                    <w:r>
                      <w:rPr>
                        <w:spacing w:val="-5"/>
                        <w:w w:val="115"/>
                        <w:sz w:val="21"/>
                      </w:rPr>
                      <w:t> </w:t>
                    </w:r>
                    <w:r>
                      <w:rPr>
                        <w:w w:val="115"/>
                        <w:sz w:val="21"/>
                      </w:rPr>
                      <w:t>in</w:t>
                    </w:r>
                    <w:r>
                      <w:rPr>
                        <w:spacing w:val="-6"/>
                        <w:w w:val="115"/>
                        <w:sz w:val="21"/>
                      </w:rPr>
                      <w:t> </w:t>
                    </w:r>
                    <w:r>
                      <w:rPr>
                        <w:w w:val="115"/>
                        <w:sz w:val="21"/>
                      </w:rPr>
                      <w:t>meeting their responsibilities and identifying where they may obtain professional assistance</w:t>
                    </w:r>
                  </w:p>
                  <w:p>
                    <w:pPr>
                      <w:numPr>
                        <w:ilvl w:val="0"/>
                        <w:numId w:val="130"/>
                      </w:numPr>
                      <w:tabs>
                        <w:tab w:pos="341" w:val="left" w:leader="none"/>
                      </w:tabs>
                      <w:spacing w:line="242" w:lineRule="auto" w:before="124"/>
                      <w:ind w:left="340" w:right="77" w:hanging="340"/>
                      <w:jc w:val="left"/>
                      <w:rPr>
                        <w:sz w:val="21"/>
                      </w:rPr>
                    </w:pPr>
                    <w:r>
                      <w:rPr>
                        <w:w w:val="115"/>
                        <w:sz w:val="21"/>
                      </w:rPr>
                      <w:t>practical</w:t>
                    </w:r>
                    <w:r>
                      <w:rPr>
                        <w:spacing w:val="-6"/>
                        <w:w w:val="115"/>
                        <w:sz w:val="21"/>
                      </w:rPr>
                      <w:t> </w:t>
                    </w:r>
                    <w:r>
                      <w:rPr>
                        <w:w w:val="115"/>
                        <w:sz w:val="21"/>
                      </w:rPr>
                      <w:t>information</w:t>
                    </w:r>
                    <w:r>
                      <w:rPr>
                        <w:spacing w:val="-5"/>
                        <w:w w:val="115"/>
                        <w:sz w:val="21"/>
                      </w:rPr>
                      <w:t> </w:t>
                    </w:r>
                    <w:r>
                      <w:rPr>
                        <w:w w:val="115"/>
                        <w:sz w:val="21"/>
                      </w:rPr>
                      <w:t>for</w:t>
                    </w:r>
                    <w:r>
                      <w:rPr>
                        <w:spacing w:val="-5"/>
                        <w:w w:val="115"/>
                        <w:sz w:val="21"/>
                      </w:rPr>
                      <w:t> </w:t>
                    </w:r>
                    <w:r>
                      <w:rPr>
                        <w:w w:val="115"/>
                        <w:sz w:val="21"/>
                      </w:rPr>
                      <w:t>bereaved</w:t>
                    </w:r>
                    <w:r>
                      <w:rPr>
                        <w:spacing w:val="-5"/>
                        <w:w w:val="115"/>
                        <w:sz w:val="21"/>
                      </w:rPr>
                      <w:t> </w:t>
                    </w:r>
                    <w:r>
                      <w:rPr>
                        <w:spacing w:val="-3"/>
                        <w:w w:val="115"/>
                        <w:sz w:val="21"/>
                      </w:rPr>
                      <w:t>family</w:t>
                    </w:r>
                    <w:r>
                      <w:rPr>
                        <w:spacing w:val="-5"/>
                        <w:w w:val="115"/>
                        <w:sz w:val="21"/>
                      </w:rPr>
                      <w:t> </w:t>
                    </w:r>
                    <w:r>
                      <w:rPr>
                        <w:w w:val="115"/>
                        <w:sz w:val="21"/>
                      </w:rPr>
                      <w:t>and</w:t>
                    </w:r>
                    <w:r>
                      <w:rPr>
                        <w:spacing w:val="-6"/>
                        <w:w w:val="115"/>
                        <w:sz w:val="21"/>
                      </w:rPr>
                      <w:t> </w:t>
                    </w:r>
                    <w:r>
                      <w:rPr>
                        <w:w w:val="115"/>
                        <w:sz w:val="21"/>
                      </w:rPr>
                      <w:t>friends</w:t>
                    </w:r>
                    <w:r>
                      <w:rPr>
                        <w:spacing w:val="-5"/>
                        <w:w w:val="115"/>
                        <w:sz w:val="21"/>
                      </w:rPr>
                      <w:t> </w:t>
                    </w:r>
                    <w:r>
                      <w:rPr>
                        <w:w w:val="115"/>
                        <w:sz w:val="21"/>
                      </w:rPr>
                      <w:t>about</w:t>
                    </w:r>
                    <w:r>
                      <w:rPr>
                        <w:spacing w:val="-5"/>
                        <w:w w:val="115"/>
                        <w:sz w:val="21"/>
                      </w:rPr>
                      <w:t> </w:t>
                    </w:r>
                    <w:r>
                      <w:rPr>
                        <w:w w:val="115"/>
                        <w:sz w:val="21"/>
                      </w:rPr>
                      <w:t>what</w:t>
                    </w:r>
                    <w:r>
                      <w:rPr>
                        <w:spacing w:val="-5"/>
                        <w:w w:val="115"/>
                        <w:sz w:val="21"/>
                      </w:rPr>
                      <w:t> </w:t>
                    </w:r>
                    <w:r>
                      <w:rPr>
                        <w:w w:val="115"/>
                        <w:sz w:val="21"/>
                      </w:rPr>
                      <w:t>happens to the assets of a person after they die, focusing on what the executor needs to do before the estate can be distributed and the basis on which the estate might be charged for their</w:t>
                    </w:r>
                    <w:r>
                      <w:rPr>
                        <w:spacing w:val="-3"/>
                        <w:w w:val="115"/>
                        <w:sz w:val="21"/>
                      </w:rPr>
                      <w:t> </w:t>
                    </w:r>
                    <w:r>
                      <w:rPr>
                        <w:w w:val="115"/>
                        <w:sz w:val="21"/>
                      </w:rPr>
                      <w:t>services.</w:t>
                    </w:r>
                  </w:p>
                </w:txbxContent>
              </v:textbox>
              <w10:wrap type="none"/>
            </v:shape>
            <v:shape style="position:absolute;left:1814;top:1224;width:254;height:249" type="#_x0000_t202" filled="false" stroked="false">
              <v:textbox inset="0,0,0,0">
                <w:txbxContent>
                  <w:p>
                    <w:pPr>
                      <w:spacing w:line="249" w:lineRule="exact" w:before="0"/>
                      <w:ind w:left="0" w:right="0" w:firstLine="0"/>
                      <w:jc w:val="left"/>
                      <w:rPr>
                        <w:sz w:val="21"/>
                      </w:rPr>
                    </w:pPr>
                    <w:r>
                      <w:rPr>
                        <w:w w:val="110"/>
                        <w:sz w:val="21"/>
                      </w:rPr>
                      <w:t>62</w:t>
                    </w:r>
                  </w:p>
                </w:txbxContent>
              </v:textbox>
              <w10:wrap type="none"/>
            </v:shape>
            <v:shape style="position:absolute;left:1587;top:236;width:8731;height:726" type="#_x0000_t202" filled="true" fillcolor="#fdebea" stroked="false">
              <v:textbox inset="0,0,0,0">
                <w:txbxContent>
                  <w:p>
                    <w:pPr>
                      <w:spacing w:before="166"/>
                      <w:ind w:left="226" w:right="0" w:firstLine="0"/>
                      <w:jc w:val="left"/>
                      <w:rPr>
                        <w:b/>
                        <w:sz w:val="32"/>
                      </w:rPr>
                    </w:pPr>
                    <w:r>
                      <w:rPr>
                        <w:b/>
                        <w:color w:val="EC5A4F"/>
                        <w:w w:val="110"/>
                        <w:sz w:val="32"/>
                      </w:rPr>
                      <w:t>Recommendation</w:t>
                    </w:r>
                  </w:p>
                </w:txbxContent>
              </v:textbox>
              <v:fill type="solid"/>
              <w10:wrap type="none"/>
            </v:shap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8"/>
        </w:rPr>
      </w:pPr>
      <w:r>
        <w:rPr/>
        <w:pict>
          <v:line style="position:absolute;mso-position-horizontal-relative:page;mso-position-vertical-relative:paragraph;z-index:10448;mso-wrap-distance-left:0;mso-wrap-distance-right:0" from="79.370003pt,13.752131pt" to="515.905003pt,13.752131pt" stroked="true" strokeweight="1pt" strokecolor="#f9ceca">
            <v:stroke dashstyle="solid"/>
            <w10:wrap type="topAndBottom"/>
          </v:line>
        </w:pict>
      </w:r>
    </w:p>
    <w:p>
      <w:pPr>
        <w:pStyle w:val="BodyText"/>
        <w:spacing w:before="8"/>
        <w:rPr>
          <w:sz w:val="5"/>
        </w:rPr>
      </w:pPr>
    </w:p>
    <w:p>
      <w:pPr>
        <w:spacing w:after="0"/>
        <w:rPr>
          <w:sz w:val="5"/>
        </w:rPr>
        <w:sectPr>
          <w:pgSz w:w="11910" w:h="16840"/>
          <w:pgMar w:header="550" w:footer="0" w:top="1560" w:bottom="280" w:left="0" w:right="0"/>
        </w:sectPr>
      </w:pPr>
    </w:p>
    <w:p>
      <w:pPr>
        <w:spacing w:before="118"/>
        <w:ind w:left="720" w:right="0" w:firstLine="0"/>
        <w:jc w:val="left"/>
        <w:rPr>
          <w:b/>
          <w:sz w:val="24"/>
        </w:rPr>
      </w:pPr>
      <w:r>
        <w:rPr>
          <w:b/>
          <w:color w:val="EC5A4F"/>
          <w:spacing w:val="-6"/>
          <w:w w:val="110"/>
          <w:sz w:val="24"/>
        </w:rPr>
        <w:t>172</w:t>
      </w:r>
    </w:p>
    <w:p>
      <w:pPr>
        <w:tabs>
          <w:tab w:pos="1236" w:val="left" w:leader="none"/>
        </w:tabs>
        <w:spacing w:before="48"/>
        <w:ind w:left="442" w:right="0" w:firstLine="0"/>
        <w:jc w:val="left"/>
        <w:rPr>
          <w:sz w:val="13"/>
        </w:rPr>
      </w:pPr>
      <w:r>
        <w:rPr/>
        <w:br w:type="column"/>
      </w:r>
      <w:r>
        <w:rPr>
          <w:w w:val="105"/>
          <w:sz w:val="13"/>
        </w:rPr>
        <w:t>199</w:t>
        <w:tab/>
        <w:t>Submission 33 (State Trustees</w:t>
      </w:r>
      <w:r>
        <w:rPr>
          <w:spacing w:val="18"/>
          <w:w w:val="105"/>
          <w:sz w:val="13"/>
        </w:rPr>
        <w:t> </w:t>
      </w:r>
      <w:r>
        <w:rPr>
          <w:w w:val="105"/>
          <w:sz w:val="13"/>
        </w:rPr>
        <w:t>Limited).</w:t>
      </w:r>
    </w:p>
    <w:p>
      <w:pPr>
        <w:tabs>
          <w:tab w:pos="1236" w:val="left" w:leader="none"/>
        </w:tabs>
        <w:spacing w:before="1"/>
        <w:ind w:left="442" w:right="0" w:firstLine="0"/>
        <w:jc w:val="left"/>
        <w:rPr>
          <w:sz w:val="13"/>
        </w:rPr>
      </w:pPr>
      <w:r>
        <w:rPr>
          <w:w w:val="105"/>
          <w:sz w:val="13"/>
        </w:rPr>
        <w:t>200</w:t>
        <w:tab/>
        <w:t>Consultation 20 </w:t>
      </w:r>
      <w:r>
        <w:rPr>
          <w:spacing w:val="2"/>
          <w:w w:val="105"/>
          <w:sz w:val="13"/>
        </w:rPr>
        <w:t>(Legal </w:t>
      </w:r>
      <w:r>
        <w:rPr>
          <w:w w:val="105"/>
          <w:sz w:val="13"/>
        </w:rPr>
        <w:t>practitioners in</w:t>
      </w:r>
      <w:r>
        <w:rPr>
          <w:spacing w:val="21"/>
          <w:w w:val="105"/>
          <w:sz w:val="13"/>
        </w:rPr>
        <w:t> </w:t>
      </w:r>
      <w:r>
        <w:rPr>
          <w:w w:val="105"/>
          <w:sz w:val="13"/>
        </w:rPr>
        <w:t>Colac).</w:t>
      </w:r>
    </w:p>
    <w:p>
      <w:pPr>
        <w:spacing w:after="0"/>
        <w:jc w:val="left"/>
        <w:rPr>
          <w:sz w:val="13"/>
        </w:rPr>
        <w:sectPr>
          <w:type w:val="continuous"/>
          <w:pgSz w:w="11910" w:h="16840"/>
          <w:pgMar w:top="920" w:bottom="280" w:left="0" w:right="0"/>
          <w:cols w:num="2" w:equalWidth="0">
            <w:col w:w="1105" w:space="40"/>
            <w:col w:w="10765"/>
          </w:cols>
        </w:sectPr>
      </w:pPr>
    </w:p>
    <w:p>
      <w:pPr>
        <w:pStyle w:val="Heading1"/>
        <w:tabs>
          <w:tab w:pos="1417" w:val="left" w:leader="none"/>
        </w:tabs>
        <w:jc w:val="right"/>
      </w:pPr>
      <w:r>
        <w:rPr/>
        <w:pict>
          <v:shape style="position:absolute;margin-left:538.582581pt;margin-top:4.373536pt;width:13.35pt;height:28.45pt;mso-position-horizontal-relative:page;mso-position-vertical-relative:paragraph;z-index:-295936" type="#_x0000_t202" filled="false" stroked="false">
            <v:textbox inset="0,0,0,0">
              <w:txbxContent>
                <w:p>
                  <w:pPr>
                    <w:spacing w:line="569" w:lineRule="exact" w:before="0"/>
                    <w:ind w:left="0" w:right="0" w:firstLine="0"/>
                    <w:jc w:val="left"/>
                    <w:rPr>
                      <w:b/>
                      <w:sz w:val="48"/>
                    </w:rPr>
                  </w:pPr>
                  <w:r>
                    <w:rPr>
                      <w:b/>
                      <w:color w:val="FFFFFF"/>
                      <w:w w:val="109"/>
                      <w:sz w:val="48"/>
                    </w:rPr>
                    <w:t>1</w:t>
                  </w:r>
                </w:p>
              </w:txbxContent>
            </v:textbox>
            <w10:wrap type="none"/>
          </v:shape>
        </w:pict>
      </w:r>
      <w:r>
        <w:rPr/>
        <w:pict>
          <v:rect style="position:absolute;margin-left:0pt;margin-top:0pt;width:595.276001pt;height:841.890015pt;mso-position-horizontal-relative:page;mso-position-vertical-relative:page;z-index:-295912" filled="true" fillcolor="#fdefed" stroked="false">
            <v:fill type="solid"/>
            <w10:wrap type="none"/>
          </v:rect>
        </w:pict>
      </w:r>
      <w:r>
        <w:rPr>
          <w:color w:val="FFFFFF"/>
          <w:w w:val="122"/>
          <w:shd w:fill="EC5A4F" w:color="auto" w:val="clear"/>
        </w:rPr>
        <w:t> </w:t>
      </w:r>
      <w:r>
        <w:rPr>
          <w:color w:val="FFFFFF"/>
          <w:spacing w:val="41"/>
          <w:shd w:fill="EC5A4F" w:color="auto" w:val="clear"/>
        </w:rPr>
        <w:t> </w:t>
      </w:r>
      <w:r>
        <w:rPr>
          <w:color w:val="FFFFFF"/>
          <w:w w:val="105"/>
          <w:shd w:fill="EC5A4F" w:color="auto" w:val="clear"/>
        </w:rPr>
        <w:t>8</w:t>
      </w:r>
      <w:r>
        <w:rPr>
          <w:color w:val="FFFFFF"/>
          <w:shd w:fill="EC5A4F" w:color="auto" w:val="clear"/>
        </w:rPr>
        <w:tab/>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1"/>
        <w:rPr>
          <w:b/>
          <w:sz w:val="19"/>
        </w:rPr>
      </w:pPr>
    </w:p>
    <w:p>
      <w:pPr>
        <w:tabs>
          <w:tab w:pos="1417" w:val="left" w:leader="none"/>
          <w:tab w:pos="9486" w:val="left" w:leader="none"/>
        </w:tabs>
        <w:spacing w:before="95"/>
        <w:ind w:left="0" w:right="0" w:firstLine="0"/>
        <w:jc w:val="left"/>
        <w:rPr>
          <w:b/>
          <w:sz w:val="96"/>
        </w:rPr>
      </w:pPr>
      <w:r>
        <w:rPr>
          <w:b/>
          <w:color w:val="EC5A4F"/>
          <w:w w:val="122"/>
          <w:sz w:val="96"/>
          <w:shd w:fill="FFFFFF" w:color="auto" w:val="clear"/>
        </w:rPr>
        <w:t> </w:t>
      </w:r>
      <w:r>
        <w:rPr>
          <w:b/>
          <w:color w:val="EC5A4F"/>
          <w:sz w:val="96"/>
          <w:shd w:fill="FFFFFF" w:color="auto" w:val="clear"/>
        </w:rPr>
        <w:tab/>
      </w:r>
      <w:r>
        <w:rPr>
          <w:b/>
          <w:color w:val="EC5A4F"/>
          <w:spacing w:val="-17"/>
          <w:w w:val="115"/>
          <w:sz w:val="96"/>
          <w:shd w:fill="FFFFFF" w:color="auto" w:val="clear"/>
        </w:rPr>
        <w:t>Payment </w:t>
      </w:r>
      <w:r>
        <w:rPr>
          <w:b/>
          <w:color w:val="EC5A4F"/>
          <w:spacing w:val="-10"/>
          <w:w w:val="115"/>
          <w:sz w:val="96"/>
          <w:shd w:fill="FFFFFF" w:color="auto" w:val="clear"/>
        </w:rPr>
        <w:t>of</w:t>
      </w:r>
      <w:r>
        <w:rPr>
          <w:b/>
          <w:color w:val="EC5A4F"/>
          <w:spacing w:val="-121"/>
          <w:w w:val="115"/>
          <w:sz w:val="96"/>
          <w:shd w:fill="FFFFFF" w:color="auto" w:val="clear"/>
        </w:rPr>
        <w:t> </w:t>
      </w:r>
      <w:r>
        <w:rPr>
          <w:b/>
          <w:color w:val="EC5A4F"/>
          <w:spacing w:val="-7"/>
          <w:w w:val="115"/>
          <w:sz w:val="96"/>
          <w:shd w:fill="FFFFFF" w:color="auto" w:val="clear"/>
        </w:rPr>
        <w:t>debts</w:t>
      </w:r>
      <w:r>
        <w:rPr>
          <w:b/>
          <w:color w:val="EC5A4F"/>
          <w:spacing w:val="-7"/>
          <w:sz w:val="96"/>
          <w:shd w:fill="FFFFFF" w:color="auto" w:val="clear"/>
        </w:rPr>
        <w:tab/>
      </w:r>
    </w:p>
    <w:p>
      <w:pPr>
        <w:pStyle w:val="BodyText"/>
        <w:rPr>
          <w:b/>
          <w:sz w:val="20"/>
        </w:rPr>
      </w:pPr>
    </w:p>
    <w:p>
      <w:pPr>
        <w:pStyle w:val="BodyText"/>
        <w:rPr>
          <w:b/>
          <w:sz w:val="20"/>
        </w:rPr>
      </w:pPr>
    </w:p>
    <w:p>
      <w:pPr>
        <w:pStyle w:val="BodyText"/>
        <w:rPr>
          <w:b/>
          <w:sz w:val="20"/>
        </w:rPr>
      </w:pPr>
    </w:p>
    <w:p>
      <w:pPr>
        <w:pStyle w:val="BodyText"/>
        <w:spacing w:before="4"/>
        <w:rPr>
          <w:b/>
          <w:sz w:val="12"/>
        </w:rPr>
      </w:pPr>
    </w:p>
    <w:tbl>
      <w:tblPr>
        <w:tblW w:w="0" w:type="auto"/>
        <w:jc w:val="left"/>
        <w:tblInd w:w="14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0"/>
        <w:gridCol w:w="1986"/>
      </w:tblGrid>
      <w:tr>
        <w:trPr>
          <w:trHeight w:val="338" w:hRule="atLeast"/>
        </w:trPr>
        <w:tc>
          <w:tcPr>
            <w:tcW w:w="510" w:type="dxa"/>
            <w:tcBorders>
              <w:bottom w:val="single" w:sz="18" w:space="0" w:color="FFFFFF"/>
            </w:tcBorders>
            <w:shd w:val="clear" w:color="auto" w:fill="FDEFED"/>
          </w:tcPr>
          <w:p>
            <w:pPr>
              <w:pStyle w:val="TableParagraph"/>
              <w:spacing w:line="292" w:lineRule="exact"/>
              <w:rPr>
                <w:b/>
                <w:sz w:val="24"/>
              </w:rPr>
            </w:pPr>
            <w:r>
              <w:rPr>
                <w:b/>
                <w:w w:val="110"/>
                <w:sz w:val="24"/>
              </w:rPr>
              <w:t>174</w:t>
            </w:r>
          </w:p>
        </w:tc>
        <w:tc>
          <w:tcPr>
            <w:tcW w:w="1986" w:type="dxa"/>
            <w:shd w:val="clear" w:color="auto" w:fill="FDEFED"/>
          </w:tcPr>
          <w:p>
            <w:pPr>
              <w:pStyle w:val="TableParagraph"/>
              <w:spacing w:line="292" w:lineRule="exact"/>
              <w:ind w:left="56"/>
              <w:rPr>
                <w:b/>
                <w:sz w:val="24"/>
              </w:rPr>
            </w:pPr>
            <w:r>
              <w:rPr>
                <w:b/>
                <w:w w:val="110"/>
                <w:sz w:val="24"/>
              </w:rPr>
              <w:t>Introduction</w:t>
            </w:r>
          </w:p>
        </w:tc>
      </w:tr>
      <w:tr>
        <w:trPr>
          <w:trHeight w:val="428" w:hRule="atLeast"/>
        </w:trPr>
        <w:tc>
          <w:tcPr>
            <w:tcW w:w="510" w:type="dxa"/>
            <w:tcBorders>
              <w:top w:val="single" w:sz="18" w:space="0" w:color="FFFFFF"/>
              <w:bottom w:val="single" w:sz="18" w:space="0" w:color="FFFFFF"/>
            </w:tcBorders>
            <w:shd w:val="clear" w:color="auto" w:fill="FDEFED"/>
          </w:tcPr>
          <w:p>
            <w:pPr>
              <w:pStyle w:val="TableParagraph"/>
              <w:spacing w:line="240" w:lineRule="auto" w:before="89"/>
              <w:rPr>
                <w:b/>
                <w:sz w:val="24"/>
              </w:rPr>
            </w:pPr>
            <w:r>
              <w:rPr>
                <w:b/>
                <w:w w:val="110"/>
                <w:sz w:val="24"/>
              </w:rPr>
              <w:t>175</w:t>
            </w:r>
          </w:p>
        </w:tc>
        <w:tc>
          <w:tcPr>
            <w:tcW w:w="1986" w:type="dxa"/>
            <w:shd w:val="clear" w:color="auto" w:fill="FDEFED"/>
          </w:tcPr>
          <w:p>
            <w:pPr>
              <w:pStyle w:val="TableParagraph"/>
              <w:spacing w:line="240" w:lineRule="auto" w:before="89"/>
              <w:ind w:left="56"/>
              <w:rPr>
                <w:b/>
                <w:sz w:val="24"/>
              </w:rPr>
            </w:pPr>
            <w:r>
              <w:rPr>
                <w:b/>
                <w:w w:val="115"/>
                <w:sz w:val="24"/>
              </w:rPr>
              <w:t>Solvent estates</w:t>
            </w:r>
          </w:p>
        </w:tc>
      </w:tr>
      <w:tr>
        <w:trPr>
          <w:trHeight w:val="428" w:hRule="atLeast"/>
        </w:trPr>
        <w:tc>
          <w:tcPr>
            <w:tcW w:w="510" w:type="dxa"/>
            <w:tcBorders>
              <w:top w:val="single" w:sz="18" w:space="0" w:color="FFFFFF"/>
              <w:bottom w:val="single" w:sz="18" w:space="0" w:color="FFFFFF"/>
            </w:tcBorders>
            <w:shd w:val="clear" w:color="auto" w:fill="FDEFED"/>
          </w:tcPr>
          <w:p>
            <w:pPr>
              <w:pStyle w:val="TableParagraph"/>
              <w:spacing w:line="240" w:lineRule="auto" w:before="88"/>
              <w:rPr>
                <w:b/>
                <w:sz w:val="24"/>
              </w:rPr>
            </w:pPr>
            <w:r>
              <w:rPr>
                <w:b/>
                <w:w w:val="110"/>
                <w:sz w:val="24"/>
              </w:rPr>
              <w:t>183</w:t>
            </w:r>
          </w:p>
        </w:tc>
        <w:tc>
          <w:tcPr>
            <w:tcW w:w="1986" w:type="dxa"/>
            <w:shd w:val="clear" w:color="auto" w:fill="FDEFED"/>
          </w:tcPr>
          <w:p>
            <w:pPr>
              <w:pStyle w:val="TableParagraph"/>
              <w:spacing w:line="240" w:lineRule="auto" w:before="88"/>
              <w:ind w:left="56"/>
              <w:rPr>
                <w:b/>
                <w:sz w:val="24"/>
              </w:rPr>
            </w:pPr>
            <w:r>
              <w:rPr>
                <w:b/>
                <w:w w:val="110"/>
                <w:sz w:val="24"/>
              </w:rPr>
              <w:t>Insolvent estates</w:t>
            </w:r>
          </w:p>
        </w:tc>
      </w:tr>
    </w:tbl>
    <w:p>
      <w:pPr>
        <w:spacing w:after="0" w:line="240" w:lineRule="auto"/>
        <w:rPr>
          <w:sz w:val="24"/>
        </w:rPr>
        <w:sectPr>
          <w:headerReference w:type="default" r:id="rId102"/>
          <w:headerReference w:type="even" r:id="rId103"/>
          <w:pgSz w:w="11910" w:h="16840"/>
          <w:pgMar w:header="0" w:footer="0" w:top="700" w:bottom="280" w:left="0" w:right="0"/>
        </w:sectPr>
      </w:pPr>
    </w:p>
    <w:p>
      <w:pPr>
        <w:pStyle w:val="BodyText"/>
        <w:spacing w:before="10"/>
        <w:rPr>
          <w:b/>
          <w:sz w:val="18"/>
        </w:rPr>
      </w:pPr>
    </w:p>
    <w:p>
      <w:pPr>
        <w:pStyle w:val="Heading2"/>
        <w:numPr>
          <w:ilvl w:val="0"/>
          <w:numId w:val="22"/>
        </w:numPr>
        <w:tabs>
          <w:tab w:pos="1062" w:val="left" w:leader="none"/>
        </w:tabs>
        <w:spacing w:line="240" w:lineRule="auto" w:before="98" w:after="0"/>
        <w:ind w:left="1061" w:right="0" w:hanging="495"/>
        <w:jc w:val="left"/>
      </w:pPr>
      <w:bookmarkStart w:name="8. Payment of debts" w:id="138"/>
      <w:bookmarkEnd w:id="138"/>
      <w:r>
        <w:rPr>
          <w:b w:val="0"/>
        </w:rPr>
      </w:r>
      <w:bookmarkStart w:name="Introduction" w:id="139"/>
      <w:bookmarkEnd w:id="139"/>
      <w:r>
        <w:rPr>
          <w:b w:val="0"/>
        </w:rPr>
      </w:r>
      <w:bookmarkStart w:name="Introduction" w:id="140"/>
      <w:bookmarkEnd w:id="140"/>
      <w:r>
        <w:rPr>
          <w:color w:val="EC5A4F"/>
          <w:spacing w:val="-5"/>
          <w:w w:val="115"/>
        </w:rPr>
        <w:t>P</w:t>
      </w:r>
      <w:r>
        <w:rPr>
          <w:color w:val="EC5A4F"/>
          <w:spacing w:val="-5"/>
          <w:w w:val="115"/>
        </w:rPr>
        <w:t>ayment </w:t>
      </w:r>
      <w:r>
        <w:rPr>
          <w:color w:val="EC5A4F"/>
          <w:spacing w:val="-3"/>
          <w:w w:val="115"/>
        </w:rPr>
        <w:t>of</w:t>
      </w:r>
      <w:r>
        <w:rPr>
          <w:color w:val="EC5A4F"/>
          <w:spacing w:val="16"/>
          <w:w w:val="115"/>
        </w:rPr>
        <w:t> </w:t>
      </w:r>
      <w:r>
        <w:rPr>
          <w:color w:val="EC5A4F"/>
          <w:w w:val="115"/>
        </w:rPr>
        <w:t>debts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27"/>
        </w:rPr>
      </w:pPr>
    </w:p>
    <w:p>
      <w:pPr>
        <w:pStyle w:val="Heading4"/>
        <w:spacing w:before="99"/>
      </w:pPr>
      <w:r>
        <w:rPr>
          <w:color w:val="EC5A4F"/>
          <w:w w:val="110"/>
        </w:rPr>
        <w:t>Introduction</w:t>
      </w:r>
    </w:p>
    <w:p>
      <w:pPr>
        <w:pStyle w:val="ListParagraph"/>
        <w:numPr>
          <w:ilvl w:val="1"/>
          <w:numId w:val="22"/>
        </w:numPr>
        <w:tabs>
          <w:tab w:pos="2380" w:val="left" w:leader="none"/>
          <w:tab w:pos="2381" w:val="left" w:leader="none"/>
        </w:tabs>
        <w:spacing w:line="242" w:lineRule="auto" w:before="155" w:after="0"/>
        <w:ind w:left="2381" w:right="1979" w:hanging="794"/>
        <w:jc w:val="left"/>
        <w:rPr>
          <w:sz w:val="21"/>
        </w:rPr>
      </w:pPr>
      <w:r>
        <w:rPr>
          <w:w w:val="105"/>
          <w:sz w:val="21"/>
        </w:rPr>
        <w:t>The </w:t>
      </w:r>
      <w:r>
        <w:rPr>
          <w:spacing w:val="-3"/>
          <w:w w:val="105"/>
          <w:sz w:val="21"/>
        </w:rPr>
        <w:t>terms </w:t>
      </w:r>
      <w:r>
        <w:rPr>
          <w:w w:val="105"/>
          <w:sz w:val="21"/>
        </w:rPr>
        <w:t>of </w:t>
      </w:r>
      <w:r>
        <w:rPr>
          <w:spacing w:val="-3"/>
          <w:w w:val="105"/>
          <w:sz w:val="21"/>
        </w:rPr>
        <w:t>reference </w:t>
      </w:r>
      <w:r>
        <w:rPr>
          <w:w w:val="105"/>
          <w:sz w:val="21"/>
        </w:rPr>
        <w:t>direct the </w:t>
      </w:r>
      <w:r>
        <w:rPr>
          <w:spacing w:val="-3"/>
          <w:w w:val="105"/>
          <w:sz w:val="21"/>
        </w:rPr>
        <w:t>Commission to </w:t>
      </w:r>
      <w:r>
        <w:rPr>
          <w:w w:val="105"/>
          <w:sz w:val="21"/>
        </w:rPr>
        <w:t>review and report on </w:t>
      </w:r>
      <w:r>
        <w:rPr>
          <w:spacing w:val="-3"/>
          <w:w w:val="105"/>
          <w:sz w:val="21"/>
        </w:rPr>
        <w:t>‘how </w:t>
      </w:r>
      <w:r>
        <w:rPr>
          <w:w w:val="105"/>
          <w:sz w:val="21"/>
        </w:rPr>
        <w:t>assets </w:t>
      </w:r>
      <w:r>
        <w:rPr>
          <w:spacing w:val="-3"/>
          <w:w w:val="105"/>
          <w:sz w:val="21"/>
        </w:rPr>
        <w:t>are</w:t>
      </w:r>
      <w:r>
        <w:rPr>
          <w:spacing w:val="-5"/>
          <w:w w:val="105"/>
          <w:sz w:val="21"/>
        </w:rPr>
        <w:t> </w:t>
      </w:r>
      <w:r>
        <w:rPr>
          <w:spacing w:val="-3"/>
          <w:w w:val="105"/>
          <w:sz w:val="21"/>
        </w:rPr>
        <w:t>designated</w:t>
      </w:r>
      <w:r>
        <w:rPr>
          <w:spacing w:val="-4"/>
          <w:w w:val="105"/>
          <w:sz w:val="21"/>
        </w:rPr>
        <w:t> </w:t>
      </w:r>
      <w:r>
        <w:rPr>
          <w:spacing w:val="-3"/>
          <w:w w:val="105"/>
          <w:sz w:val="21"/>
        </w:rPr>
        <w:t>to</w:t>
      </w:r>
      <w:r>
        <w:rPr>
          <w:spacing w:val="-4"/>
          <w:w w:val="105"/>
          <w:sz w:val="21"/>
        </w:rPr>
        <w:t> </w:t>
      </w:r>
      <w:r>
        <w:rPr>
          <w:spacing w:val="-2"/>
          <w:w w:val="105"/>
          <w:sz w:val="21"/>
        </w:rPr>
        <w:t>pay</w:t>
      </w:r>
      <w:r>
        <w:rPr>
          <w:spacing w:val="-5"/>
          <w:w w:val="105"/>
          <w:sz w:val="21"/>
        </w:rPr>
        <w:t> </w:t>
      </w:r>
      <w:r>
        <w:rPr>
          <w:w w:val="105"/>
          <w:sz w:val="21"/>
        </w:rPr>
        <w:t>the</w:t>
      </w:r>
      <w:r>
        <w:rPr>
          <w:spacing w:val="-4"/>
          <w:w w:val="105"/>
          <w:sz w:val="21"/>
        </w:rPr>
        <w:t> </w:t>
      </w:r>
      <w:r>
        <w:rPr>
          <w:w w:val="105"/>
          <w:sz w:val="21"/>
        </w:rPr>
        <w:t>debts</w:t>
      </w:r>
      <w:r>
        <w:rPr>
          <w:spacing w:val="-4"/>
          <w:w w:val="105"/>
          <w:sz w:val="21"/>
        </w:rPr>
        <w:t> </w:t>
      </w:r>
      <w:r>
        <w:rPr>
          <w:w w:val="105"/>
          <w:sz w:val="21"/>
        </w:rPr>
        <w:t>of</w:t>
      </w:r>
      <w:r>
        <w:rPr>
          <w:spacing w:val="-5"/>
          <w:w w:val="105"/>
          <w:sz w:val="21"/>
        </w:rPr>
        <w:t> </w:t>
      </w:r>
      <w:r>
        <w:rPr>
          <w:w w:val="105"/>
          <w:sz w:val="21"/>
        </w:rPr>
        <w:t>an</w:t>
      </w:r>
      <w:r>
        <w:rPr>
          <w:spacing w:val="-4"/>
          <w:w w:val="105"/>
          <w:sz w:val="21"/>
        </w:rPr>
        <w:t> </w:t>
      </w:r>
      <w:r>
        <w:rPr>
          <w:w w:val="105"/>
          <w:sz w:val="21"/>
        </w:rPr>
        <w:t>estate</w:t>
      </w:r>
      <w:r>
        <w:rPr>
          <w:spacing w:val="-4"/>
          <w:w w:val="105"/>
          <w:sz w:val="21"/>
        </w:rPr>
        <w:t> </w:t>
      </w:r>
      <w:r>
        <w:rPr>
          <w:w w:val="105"/>
          <w:sz w:val="21"/>
        </w:rPr>
        <w:t>and</w:t>
      </w:r>
      <w:r>
        <w:rPr>
          <w:spacing w:val="-4"/>
          <w:w w:val="105"/>
          <w:sz w:val="21"/>
        </w:rPr>
        <w:t> </w:t>
      </w:r>
      <w:r>
        <w:rPr>
          <w:w w:val="105"/>
          <w:sz w:val="21"/>
        </w:rPr>
        <w:t>the</w:t>
      </w:r>
      <w:r>
        <w:rPr>
          <w:spacing w:val="-5"/>
          <w:w w:val="105"/>
          <w:sz w:val="21"/>
        </w:rPr>
        <w:t> </w:t>
      </w:r>
      <w:r>
        <w:rPr>
          <w:w w:val="105"/>
          <w:sz w:val="21"/>
        </w:rPr>
        <w:t>effect</w:t>
      </w:r>
      <w:r>
        <w:rPr>
          <w:spacing w:val="-4"/>
          <w:w w:val="105"/>
          <w:sz w:val="21"/>
        </w:rPr>
        <w:t> </w:t>
      </w:r>
      <w:r>
        <w:rPr>
          <w:spacing w:val="-3"/>
          <w:w w:val="105"/>
          <w:sz w:val="21"/>
        </w:rPr>
        <w:t>that</w:t>
      </w:r>
      <w:r>
        <w:rPr>
          <w:spacing w:val="-4"/>
          <w:w w:val="105"/>
          <w:sz w:val="21"/>
        </w:rPr>
        <w:t> </w:t>
      </w:r>
      <w:r>
        <w:rPr>
          <w:w w:val="105"/>
          <w:sz w:val="21"/>
        </w:rPr>
        <w:t>this</w:t>
      </w:r>
      <w:r>
        <w:rPr>
          <w:spacing w:val="-5"/>
          <w:w w:val="105"/>
          <w:sz w:val="21"/>
        </w:rPr>
        <w:t> </w:t>
      </w:r>
      <w:r>
        <w:rPr>
          <w:spacing w:val="-2"/>
          <w:w w:val="105"/>
          <w:sz w:val="21"/>
        </w:rPr>
        <w:t>has</w:t>
      </w:r>
      <w:r>
        <w:rPr>
          <w:spacing w:val="-4"/>
          <w:w w:val="105"/>
          <w:sz w:val="21"/>
        </w:rPr>
        <w:t> </w:t>
      </w:r>
      <w:r>
        <w:rPr>
          <w:w w:val="105"/>
          <w:sz w:val="21"/>
        </w:rPr>
        <w:t>on</w:t>
      </w:r>
      <w:r>
        <w:rPr>
          <w:spacing w:val="-4"/>
          <w:w w:val="105"/>
          <w:sz w:val="21"/>
        </w:rPr>
        <w:t> </w:t>
      </w:r>
      <w:r>
        <w:rPr>
          <w:w w:val="105"/>
          <w:sz w:val="21"/>
        </w:rPr>
        <w:t>the</w:t>
      </w:r>
      <w:r>
        <w:rPr>
          <w:spacing w:val="-4"/>
          <w:w w:val="105"/>
          <w:sz w:val="21"/>
        </w:rPr>
        <w:t> </w:t>
      </w:r>
      <w:r>
        <w:rPr>
          <w:w w:val="105"/>
          <w:sz w:val="21"/>
        </w:rPr>
        <w:t>estate</w:t>
      </w:r>
    </w:p>
    <w:p>
      <w:pPr>
        <w:pStyle w:val="BodyText"/>
        <w:spacing w:before="2"/>
        <w:ind w:left="2380"/>
      </w:pPr>
      <w:r>
        <w:rPr/>
        <w:t>available for distribution to beneficiaries or to meet a successful family provision claim’.</w:t>
      </w:r>
    </w:p>
    <w:p>
      <w:pPr>
        <w:pStyle w:val="ListParagraph"/>
        <w:numPr>
          <w:ilvl w:val="1"/>
          <w:numId w:val="22"/>
        </w:numPr>
        <w:tabs>
          <w:tab w:pos="2380" w:val="left" w:leader="none"/>
          <w:tab w:pos="2381" w:val="left" w:leader="none"/>
        </w:tabs>
        <w:spacing w:line="242" w:lineRule="auto" w:before="124" w:after="0"/>
        <w:ind w:left="2381" w:right="2043" w:hanging="794"/>
        <w:jc w:val="left"/>
        <w:rPr>
          <w:sz w:val="21"/>
        </w:rPr>
      </w:pPr>
      <w:r>
        <w:rPr>
          <w:spacing w:val="-3"/>
          <w:w w:val="105"/>
          <w:sz w:val="21"/>
        </w:rPr>
        <w:t>Victoria’s</w:t>
      </w:r>
      <w:r>
        <w:rPr>
          <w:spacing w:val="-9"/>
          <w:w w:val="105"/>
          <w:sz w:val="21"/>
        </w:rPr>
        <w:t> </w:t>
      </w:r>
      <w:r>
        <w:rPr>
          <w:spacing w:val="-3"/>
          <w:w w:val="105"/>
          <w:sz w:val="21"/>
        </w:rPr>
        <w:t>current</w:t>
      </w:r>
      <w:r>
        <w:rPr>
          <w:spacing w:val="-9"/>
          <w:w w:val="105"/>
          <w:sz w:val="21"/>
        </w:rPr>
        <w:t> </w:t>
      </w:r>
      <w:r>
        <w:rPr>
          <w:w w:val="105"/>
          <w:sz w:val="21"/>
        </w:rPr>
        <w:t>law</w:t>
      </w:r>
      <w:r>
        <w:rPr>
          <w:spacing w:val="-9"/>
          <w:w w:val="105"/>
          <w:sz w:val="21"/>
        </w:rPr>
        <w:t> </w:t>
      </w:r>
      <w:r>
        <w:rPr>
          <w:w w:val="105"/>
          <w:sz w:val="21"/>
        </w:rPr>
        <w:t>in</w:t>
      </w:r>
      <w:r>
        <w:rPr>
          <w:spacing w:val="-9"/>
          <w:w w:val="105"/>
          <w:sz w:val="21"/>
        </w:rPr>
        <w:t> </w:t>
      </w:r>
      <w:r>
        <w:rPr>
          <w:spacing w:val="-3"/>
          <w:w w:val="105"/>
          <w:sz w:val="21"/>
        </w:rPr>
        <w:t>relation</w:t>
      </w:r>
      <w:r>
        <w:rPr>
          <w:spacing w:val="-9"/>
          <w:w w:val="105"/>
          <w:sz w:val="21"/>
        </w:rPr>
        <w:t> </w:t>
      </w:r>
      <w:r>
        <w:rPr>
          <w:spacing w:val="-3"/>
          <w:w w:val="105"/>
          <w:sz w:val="21"/>
        </w:rPr>
        <w:t>to</w:t>
      </w:r>
      <w:r>
        <w:rPr>
          <w:spacing w:val="-8"/>
          <w:w w:val="105"/>
          <w:sz w:val="21"/>
        </w:rPr>
        <w:t> </w:t>
      </w:r>
      <w:r>
        <w:rPr>
          <w:w w:val="105"/>
          <w:sz w:val="21"/>
        </w:rPr>
        <w:t>the</w:t>
      </w:r>
      <w:r>
        <w:rPr>
          <w:spacing w:val="-9"/>
          <w:w w:val="105"/>
          <w:sz w:val="21"/>
        </w:rPr>
        <w:t> </w:t>
      </w:r>
      <w:r>
        <w:rPr>
          <w:w w:val="105"/>
          <w:sz w:val="21"/>
        </w:rPr>
        <w:t>application</w:t>
      </w:r>
      <w:r>
        <w:rPr>
          <w:spacing w:val="-9"/>
          <w:w w:val="105"/>
          <w:sz w:val="21"/>
        </w:rPr>
        <w:t> </w:t>
      </w:r>
      <w:r>
        <w:rPr>
          <w:w w:val="105"/>
          <w:sz w:val="21"/>
        </w:rPr>
        <w:t>of</w:t>
      </w:r>
      <w:r>
        <w:rPr>
          <w:spacing w:val="-9"/>
          <w:w w:val="105"/>
          <w:sz w:val="21"/>
        </w:rPr>
        <w:t> </w:t>
      </w:r>
      <w:r>
        <w:rPr>
          <w:w w:val="105"/>
          <w:sz w:val="21"/>
        </w:rPr>
        <w:t>assets</w:t>
      </w:r>
      <w:r>
        <w:rPr>
          <w:spacing w:val="-9"/>
          <w:w w:val="105"/>
          <w:sz w:val="21"/>
        </w:rPr>
        <w:t> </w:t>
      </w:r>
      <w:r>
        <w:rPr>
          <w:spacing w:val="-3"/>
          <w:w w:val="105"/>
          <w:sz w:val="21"/>
        </w:rPr>
        <w:t>to</w:t>
      </w:r>
      <w:r>
        <w:rPr>
          <w:spacing w:val="-8"/>
          <w:w w:val="105"/>
          <w:sz w:val="21"/>
        </w:rPr>
        <w:t> </w:t>
      </w:r>
      <w:r>
        <w:rPr>
          <w:w w:val="105"/>
          <w:sz w:val="21"/>
        </w:rPr>
        <w:t>estate</w:t>
      </w:r>
      <w:r>
        <w:rPr>
          <w:spacing w:val="-9"/>
          <w:w w:val="105"/>
          <w:sz w:val="21"/>
        </w:rPr>
        <w:t> </w:t>
      </w:r>
      <w:r>
        <w:rPr>
          <w:w w:val="105"/>
          <w:sz w:val="21"/>
        </w:rPr>
        <w:t>debts</w:t>
      </w:r>
      <w:r>
        <w:rPr>
          <w:spacing w:val="-9"/>
          <w:w w:val="105"/>
          <w:sz w:val="21"/>
        </w:rPr>
        <w:t> </w:t>
      </w:r>
      <w:r>
        <w:rPr>
          <w:w w:val="105"/>
          <w:sz w:val="21"/>
        </w:rPr>
        <w:t>is</w:t>
      </w:r>
      <w:r>
        <w:rPr>
          <w:spacing w:val="-9"/>
          <w:w w:val="105"/>
          <w:sz w:val="21"/>
        </w:rPr>
        <w:t> </w:t>
      </w:r>
      <w:r>
        <w:rPr>
          <w:w w:val="105"/>
          <w:sz w:val="21"/>
        </w:rPr>
        <w:t>difficult both </w:t>
      </w:r>
      <w:r>
        <w:rPr>
          <w:spacing w:val="-3"/>
          <w:w w:val="105"/>
          <w:sz w:val="21"/>
        </w:rPr>
        <w:t>to </w:t>
      </w:r>
      <w:r>
        <w:rPr>
          <w:w w:val="105"/>
          <w:sz w:val="21"/>
        </w:rPr>
        <w:t>locate and </w:t>
      </w:r>
      <w:r>
        <w:rPr>
          <w:spacing w:val="-3"/>
          <w:w w:val="105"/>
          <w:sz w:val="21"/>
        </w:rPr>
        <w:t>to</w:t>
      </w:r>
      <w:r>
        <w:rPr>
          <w:spacing w:val="26"/>
          <w:w w:val="105"/>
          <w:sz w:val="21"/>
        </w:rPr>
        <w:t> </w:t>
      </w:r>
      <w:r>
        <w:rPr>
          <w:w w:val="105"/>
          <w:sz w:val="21"/>
        </w:rPr>
        <w:t>understand.</w:t>
      </w:r>
    </w:p>
    <w:p>
      <w:pPr>
        <w:pStyle w:val="ListParagraph"/>
        <w:numPr>
          <w:ilvl w:val="1"/>
          <w:numId w:val="22"/>
        </w:numPr>
        <w:tabs>
          <w:tab w:pos="2380" w:val="left" w:leader="none"/>
          <w:tab w:pos="2381" w:val="left" w:leader="none"/>
        </w:tabs>
        <w:spacing w:line="242" w:lineRule="auto" w:before="122" w:after="0"/>
        <w:ind w:left="2381" w:right="1628" w:hanging="794"/>
        <w:jc w:val="left"/>
        <w:rPr>
          <w:sz w:val="21"/>
        </w:rPr>
      </w:pPr>
      <w:r>
        <w:rPr>
          <w:w w:val="105"/>
          <w:sz w:val="21"/>
        </w:rPr>
        <w:t>It is </w:t>
      </w:r>
      <w:r>
        <w:rPr>
          <w:spacing w:val="-3"/>
          <w:w w:val="105"/>
          <w:sz w:val="21"/>
        </w:rPr>
        <w:t>difficult to locate </w:t>
      </w:r>
      <w:r>
        <w:rPr>
          <w:w w:val="105"/>
          <w:sz w:val="21"/>
        </w:rPr>
        <w:t>as the </w:t>
      </w:r>
      <w:r>
        <w:rPr>
          <w:spacing w:val="-3"/>
          <w:w w:val="105"/>
          <w:sz w:val="21"/>
        </w:rPr>
        <w:t>substantive </w:t>
      </w:r>
      <w:r>
        <w:rPr>
          <w:spacing w:val="-4"/>
          <w:w w:val="105"/>
          <w:sz w:val="21"/>
        </w:rPr>
        <w:t>provisions </w:t>
      </w:r>
      <w:r>
        <w:rPr>
          <w:spacing w:val="-3"/>
          <w:w w:val="105"/>
          <w:sz w:val="21"/>
        </w:rPr>
        <w:t>are </w:t>
      </w:r>
      <w:r>
        <w:rPr>
          <w:spacing w:val="-4"/>
          <w:w w:val="105"/>
          <w:sz w:val="21"/>
        </w:rPr>
        <w:t>contained </w:t>
      </w:r>
      <w:r>
        <w:rPr>
          <w:spacing w:val="-3"/>
          <w:w w:val="105"/>
          <w:sz w:val="21"/>
        </w:rPr>
        <w:t>in </w:t>
      </w:r>
      <w:r>
        <w:rPr>
          <w:w w:val="105"/>
          <w:sz w:val="21"/>
        </w:rPr>
        <w:t>a </w:t>
      </w:r>
      <w:r>
        <w:rPr>
          <w:spacing w:val="-3"/>
          <w:w w:val="105"/>
          <w:sz w:val="21"/>
        </w:rPr>
        <w:t>schedule to </w:t>
      </w:r>
      <w:r>
        <w:rPr>
          <w:w w:val="105"/>
          <w:sz w:val="21"/>
        </w:rPr>
        <w:t>the </w:t>
      </w:r>
      <w:r>
        <w:rPr>
          <w:i/>
          <w:spacing w:val="-4"/>
          <w:w w:val="105"/>
          <w:sz w:val="21"/>
        </w:rPr>
        <w:t>Administration </w:t>
      </w:r>
      <w:r>
        <w:rPr>
          <w:i/>
          <w:spacing w:val="-3"/>
          <w:w w:val="105"/>
          <w:sz w:val="21"/>
        </w:rPr>
        <w:t>and Probate </w:t>
      </w:r>
      <w:r>
        <w:rPr>
          <w:i/>
          <w:w w:val="105"/>
          <w:sz w:val="21"/>
        </w:rPr>
        <w:t>Act </w:t>
      </w:r>
      <w:r>
        <w:rPr>
          <w:i/>
          <w:spacing w:val="-7"/>
          <w:w w:val="105"/>
          <w:sz w:val="21"/>
        </w:rPr>
        <w:t>1958 </w:t>
      </w:r>
      <w:r>
        <w:rPr>
          <w:w w:val="105"/>
          <w:sz w:val="21"/>
        </w:rPr>
        <w:t>(Vic) </w:t>
      </w:r>
      <w:r>
        <w:rPr>
          <w:spacing w:val="-4"/>
          <w:w w:val="105"/>
          <w:sz w:val="21"/>
        </w:rPr>
        <w:t>and, </w:t>
      </w:r>
      <w:r>
        <w:rPr>
          <w:spacing w:val="-3"/>
          <w:w w:val="105"/>
          <w:sz w:val="21"/>
        </w:rPr>
        <w:t>by </w:t>
      </w:r>
      <w:r>
        <w:rPr>
          <w:spacing w:val="-4"/>
          <w:w w:val="105"/>
          <w:sz w:val="21"/>
        </w:rPr>
        <w:t>incorporation, </w:t>
      </w:r>
      <w:r>
        <w:rPr>
          <w:spacing w:val="-3"/>
          <w:w w:val="105"/>
          <w:sz w:val="21"/>
        </w:rPr>
        <w:t>in </w:t>
      </w:r>
      <w:r>
        <w:rPr>
          <w:w w:val="105"/>
          <w:sz w:val="21"/>
        </w:rPr>
        <w:t>the </w:t>
      </w:r>
      <w:r>
        <w:rPr>
          <w:i/>
          <w:spacing w:val="-3"/>
          <w:w w:val="105"/>
          <w:sz w:val="21"/>
        </w:rPr>
        <w:t>Bankruptcy </w:t>
      </w:r>
      <w:r>
        <w:rPr>
          <w:i/>
          <w:w w:val="105"/>
          <w:sz w:val="21"/>
        </w:rPr>
        <w:t>Act </w:t>
      </w:r>
      <w:r>
        <w:rPr>
          <w:i/>
          <w:spacing w:val="-6"/>
          <w:w w:val="105"/>
          <w:sz w:val="21"/>
        </w:rPr>
        <w:t>1966 </w:t>
      </w:r>
      <w:r>
        <w:rPr>
          <w:spacing w:val="-4"/>
          <w:w w:val="105"/>
          <w:sz w:val="21"/>
        </w:rPr>
        <w:t>(Cth). </w:t>
      </w:r>
      <w:r>
        <w:rPr>
          <w:w w:val="105"/>
          <w:sz w:val="21"/>
        </w:rPr>
        <w:t>It </w:t>
      </w:r>
      <w:r>
        <w:rPr>
          <w:spacing w:val="-3"/>
          <w:w w:val="105"/>
          <w:sz w:val="21"/>
        </w:rPr>
        <w:t>is difficult </w:t>
      </w:r>
      <w:r>
        <w:rPr>
          <w:spacing w:val="-4"/>
          <w:w w:val="105"/>
          <w:sz w:val="21"/>
        </w:rPr>
        <w:t>to understand largely because </w:t>
      </w:r>
      <w:r>
        <w:rPr>
          <w:spacing w:val="-3"/>
          <w:w w:val="105"/>
          <w:sz w:val="21"/>
        </w:rPr>
        <w:t>of </w:t>
      </w:r>
      <w:r>
        <w:rPr>
          <w:spacing w:val="-5"/>
          <w:w w:val="105"/>
          <w:sz w:val="21"/>
        </w:rPr>
        <w:t>inaccessible </w:t>
      </w:r>
      <w:r>
        <w:rPr>
          <w:spacing w:val="-4"/>
          <w:w w:val="105"/>
          <w:sz w:val="21"/>
        </w:rPr>
        <w:t>and complex</w:t>
      </w:r>
      <w:r>
        <w:rPr>
          <w:spacing w:val="25"/>
          <w:w w:val="105"/>
          <w:sz w:val="21"/>
        </w:rPr>
        <w:t> </w:t>
      </w:r>
      <w:r>
        <w:rPr>
          <w:spacing w:val="-5"/>
          <w:w w:val="105"/>
          <w:sz w:val="21"/>
        </w:rPr>
        <w:t>drafting.</w:t>
      </w:r>
    </w:p>
    <w:p>
      <w:pPr>
        <w:pStyle w:val="BodyText"/>
        <w:spacing w:before="11"/>
        <w:rPr>
          <w:sz w:val="24"/>
        </w:rPr>
      </w:pPr>
    </w:p>
    <w:p>
      <w:pPr>
        <w:pStyle w:val="Heading5"/>
        <w:spacing w:before="1"/>
      </w:pPr>
      <w:r>
        <w:rPr>
          <w:w w:val="115"/>
        </w:rPr>
        <w:t>National Committee for Uniform Succession Laws</w:t>
      </w:r>
    </w:p>
    <w:p>
      <w:pPr>
        <w:pStyle w:val="ListParagraph"/>
        <w:numPr>
          <w:ilvl w:val="1"/>
          <w:numId w:val="22"/>
        </w:numPr>
        <w:tabs>
          <w:tab w:pos="2380" w:val="left" w:leader="none"/>
          <w:tab w:pos="2381" w:val="left" w:leader="none"/>
        </w:tabs>
        <w:spacing w:line="242" w:lineRule="auto" w:before="137" w:after="0"/>
        <w:ind w:left="2381" w:right="1693" w:hanging="794"/>
        <w:jc w:val="left"/>
        <w:rPr>
          <w:sz w:val="21"/>
        </w:rPr>
      </w:pPr>
      <w:r>
        <w:rPr>
          <w:w w:val="105"/>
          <w:sz w:val="21"/>
        </w:rPr>
        <w:t>The </w:t>
      </w:r>
      <w:r>
        <w:rPr>
          <w:spacing w:val="-3"/>
          <w:w w:val="105"/>
          <w:sz w:val="21"/>
        </w:rPr>
        <w:t>National Committee for Uniform Succession </w:t>
      </w:r>
      <w:r>
        <w:rPr>
          <w:w w:val="105"/>
          <w:sz w:val="21"/>
        </w:rPr>
        <w:t>Laws recognised the difficulties, </w:t>
      </w:r>
      <w:r>
        <w:rPr>
          <w:spacing w:val="-2"/>
          <w:w w:val="105"/>
          <w:sz w:val="21"/>
        </w:rPr>
        <w:t>common </w:t>
      </w:r>
      <w:r>
        <w:rPr>
          <w:spacing w:val="-3"/>
          <w:w w:val="105"/>
          <w:sz w:val="21"/>
        </w:rPr>
        <w:t>to </w:t>
      </w:r>
      <w:r>
        <w:rPr>
          <w:w w:val="105"/>
          <w:sz w:val="21"/>
        </w:rPr>
        <w:t>most jurisdictions, in its </w:t>
      </w:r>
      <w:r>
        <w:rPr>
          <w:spacing w:val="-3"/>
          <w:w w:val="105"/>
          <w:sz w:val="21"/>
        </w:rPr>
        <w:t>four-volume </w:t>
      </w:r>
      <w:r>
        <w:rPr>
          <w:w w:val="105"/>
          <w:sz w:val="21"/>
        </w:rPr>
        <w:t>report on the </w:t>
      </w:r>
      <w:r>
        <w:rPr>
          <w:spacing w:val="-3"/>
          <w:w w:val="105"/>
          <w:sz w:val="21"/>
        </w:rPr>
        <w:t>administration </w:t>
      </w:r>
      <w:r>
        <w:rPr>
          <w:w w:val="105"/>
          <w:sz w:val="21"/>
        </w:rPr>
        <w:t>of estates of</w:t>
      </w:r>
      <w:r>
        <w:rPr>
          <w:spacing w:val="-9"/>
          <w:w w:val="105"/>
          <w:sz w:val="21"/>
        </w:rPr>
        <w:t> </w:t>
      </w:r>
      <w:r>
        <w:rPr>
          <w:w w:val="105"/>
          <w:sz w:val="21"/>
        </w:rPr>
        <w:t>deceased</w:t>
      </w:r>
      <w:r>
        <w:rPr>
          <w:spacing w:val="-8"/>
          <w:w w:val="105"/>
          <w:sz w:val="21"/>
        </w:rPr>
        <w:t> </w:t>
      </w:r>
      <w:r>
        <w:rPr>
          <w:w w:val="105"/>
          <w:sz w:val="21"/>
        </w:rPr>
        <w:t>persons.</w:t>
      </w:r>
      <w:r>
        <w:rPr>
          <w:spacing w:val="-9"/>
          <w:w w:val="105"/>
          <w:sz w:val="21"/>
        </w:rPr>
        <w:t> </w:t>
      </w:r>
      <w:r>
        <w:rPr>
          <w:w w:val="105"/>
          <w:sz w:val="21"/>
        </w:rPr>
        <w:t>It</w:t>
      </w:r>
      <w:r>
        <w:rPr>
          <w:spacing w:val="-8"/>
          <w:w w:val="105"/>
          <w:sz w:val="21"/>
        </w:rPr>
        <w:t> </w:t>
      </w:r>
      <w:r>
        <w:rPr>
          <w:w w:val="105"/>
          <w:sz w:val="21"/>
        </w:rPr>
        <w:t>made</w:t>
      </w:r>
      <w:r>
        <w:rPr>
          <w:spacing w:val="-9"/>
          <w:w w:val="105"/>
          <w:sz w:val="21"/>
        </w:rPr>
        <w:t> </w:t>
      </w:r>
      <w:r>
        <w:rPr>
          <w:spacing w:val="-3"/>
          <w:w w:val="105"/>
          <w:sz w:val="21"/>
        </w:rPr>
        <w:t>recommendations</w:t>
      </w:r>
      <w:r>
        <w:rPr>
          <w:spacing w:val="-8"/>
          <w:w w:val="105"/>
          <w:sz w:val="21"/>
        </w:rPr>
        <w:t> </w:t>
      </w:r>
      <w:r>
        <w:rPr>
          <w:spacing w:val="-3"/>
          <w:w w:val="105"/>
          <w:sz w:val="21"/>
        </w:rPr>
        <w:t>to</w:t>
      </w:r>
      <w:r>
        <w:rPr>
          <w:spacing w:val="-9"/>
          <w:w w:val="105"/>
          <w:sz w:val="21"/>
        </w:rPr>
        <w:t> </w:t>
      </w:r>
      <w:r>
        <w:rPr>
          <w:spacing w:val="-3"/>
          <w:w w:val="105"/>
          <w:sz w:val="21"/>
        </w:rPr>
        <w:t>overcome</w:t>
      </w:r>
      <w:r>
        <w:rPr>
          <w:spacing w:val="-8"/>
          <w:w w:val="105"/>
          <w:sz w:val="21"/>
        </w:rPr>
        <w:t> </w:t>
      </w:r>
      <w:r>
        <w:rPr>
          <w:w w:val="105"/>
          <w:sz w:val="21"/>
        </w:rPr>
        <w:t>them</w:t>
      </w:r>
      <w:r>
        <w:rPr>
          <w:spacing w:val="-9"/>
          <w:w w:val="105"/>
          <w:sz w:val="21"/>
        </w:rPr>
        <w:t> </w:t>
      </w:r>
      <w:r>
        <w:rPr>
          <w:w w:val="105"/>
          <w:sz w:val="21"/>
        </w:rPr>
        <w:t>and</w:t>
      </w:r>
      <w:r>
        <w:rPr>
          <w:spacing w:val="-8"/>
          <w:w w:val="105"/>
          <w:sz w:val="21"/>
        </w:rPr>
        <w:t> </w:t>
      </w:r>
      <w:r>
        <w:rPr>
          <w:w w:val="105"/>
          <w:sz w:val="21"/>
        </w:rPr>
        <w:t>proposed</w:t>
      </w:r>
      <w:r>
        <w:rPr>
          <w:spacing w:val="-9"/>
          <w:w w:val="105"/>
          <w:sz w:val="21"/>
        </w:rPr>
        <w:t> </w:t>
      </w:r>
      <w:r>
        <w:rPr>
          <w:w w:val="105"/>
          <w:sz w:val="21"/>
        </w:rPr>
        <w:t>model </w:t>
      </w:r>
      <w:r>
        <w:rPr>
          <w:spacing w:val="-4"/>
          <w:w w:val="105"/>
          <w:sz w:val="21"/>
        </w:rPr>
        <w:t>legislation.</w:t>
      </w:r>
      <w:r>
        <w:rPr>
          <w:spacing w:val="-4"/>
          <w:w w:val="105"/>
          <w:position w:val="7"/>
          <w:sz w:val="12"/>
        </w:rPr>
        <w:t>1 </w:t>
      </w:r>
      <w:r>
        <w:rPr>
          <w:w w:val="105"/>
          <w:sz w:val="21"/>
        </w:rPr>
        <w:t>A number of the </w:t>
      </w:r>
      <w:r>
        <w:rPr>
          <w:spacing w:val="-3"/>
          <w:w w:val="105"/>
          <w:sz w:val="21"/>
        </w:rPr>
        <w:t>National </w:t>
      </w:r>
      <w:r>
        <w:rPr>
          <w:spacing w:val="-4"/>
          <w:w w:val="105"/>
          <w:sz w:val="21"/>
        </w:rPr>
        <w:t>Committee’s </w:t>
      </w:r>
      <w:r>
        <w:rPr>
          <w:spacing w:val="-3"/>
          <w:w w:val="105"/>
          <w:sz w:val="21"/>
        </w:rPr>
        <w:t>recommendations </w:t>
      </w:r>
      <w:r>
        <w:rPr>
          <w:w w:val="105"/>
          <w:sz w:val="21"/>
        </w:rPr>
        <w:t>would simplify and </w:t>
      </w:r>
      <w:r>
        <w:rPr>
          <w:spacing w:val="-3"/>
          <w:w w:val="105"/>
          <w:sz w:val="21"/>
        </w:rPr>
        <w:t>update </w:t>
      </w:r>
      <w:r>
        <w:rPr>
          <w:w w:val="105"/>
          <w:sz w:val="21"/>
        </w:rPr>
        <w:t>the law in</w:t>
      </w:r>
      <w:r>
        <w:rPr>
          <w:spacing w:val="23"/>
          <w:w w:val="105"/>
          <w:sz w:val="21"/>
        </w:rPr>
        <w:t> </w:t>
      </w:r>
      <w:r>
        <w:rPr>
          <w:w w:val="105"/>
          <w:sz w:val="21"/>
        </w:rPr>
        <w:t>Victoria.</w:t>
      </w:r>
    </w:p>
    <w:p>
      <w:pPr>
        <w:pStyle w:val="ListParagraph"/>
        <w:numPr>
          <w:ilvl w:val="1"/>
          <w:numId w:val="22"/>
        </w:numPr>
        <w:tabs>
          <w:tab w:pos="2381" w:val="left" w:leader="none"/>
          <w:tab w:pos="2382" w:val="left" w:leader="none"/>
        </w:tabs>
        <w:spacing w:line="242" w:lineRule="auto" w:before="125" w:after="0"/>
        <w:ind w:left="2381" w:right="1925" w:hanging="794"/>
        <w:jc w:val="left"/>
        <w:rPr>
          <w:sz w:val="21"/>
        </w:rPr>
      </w:pPr>
      <w:r>
        <w:rPr>
          <w:w w:val="105"/>
          <w:sz w:val="21"/>
        </w:rPr>
        <w:t>In the </w:t>
      </w:r>
      <w:r>
        <w:rPr>
          <w:spacing w:val="-3"/>
          <w:w w:val="105"/>
          <w:sz w:val="21"/>
        </w:rPr>
        <w:t>consultation </w:t>
      </w:r>
      <w:r>
        <w:rPr>
          <w:w w:val="105"/>
          <w:sz w:val="21"/>
        </w:rPr>
        <w:t>paper on debts, the </w:t>
      </w:r>
      <w:r>
        <w:rPr>
          <w:spacing w:val="-3"/>
          <w:w w:val="105"/>
          <w:sz w:val="21"/>
        </w:rPr>
        <w:t>Commission </w:t>
      </w:r>
      <w:r>
        <w:rPr>
          <w:w w:val="105"/>
          <w:sz w:val="21"/>
        </w:rPr>
        <w:t>identified the major </w:t>
      </w:r>
      <w:r>
        <w:rPr>
          <w:spacing w:val="-3"/>
          <w:w w:val="105"/>
          <w:sz w:val="21"/>
        </w:rPr>
        <w:t>differences </w:t>
      </w:r>
      <w:r>
        <w:rPr>
          <w:w w:val="105"/>
          <w:sz w:val="21"/>
        </w:rPr>
        <w:t>between Victorian law and the </w:t>
      </w:r>
      <w:r>
        <w:rPr>
          <w:spacing w:val="-3"/>
          <w:w w:val="105"/>
          <w:sz w:val="21"/>
        </w:rPr>
        <w:t>reforms </w:t>
      </w:r>
      <w:r>
        <w:rPr>
          <w:w w:val="105"/>
          <w:sz w:val="21"/>
        </w:rPr>
        <w:t>proposed by the </w:t>
      </w:r>
      <w:r>
        <w:rPr>
          <w:spacing w:val="-3"/>
          <w:w w:val="105"/>
          <w:sz w:val="21"/>
        </w:rPr>
        <w:t>National Committee.</w:t>
      </w:r>
      <w:r>
        <w:rPr>
          <w:spacing w:val="-3"/>
          <w:w w:val="105"/>
          <w:position w:val="7"/>
          <w:sz w:val="12"/>
        </w:rPr>
        <w:t>2 </w:t>
      </w:r>
      <w:r>
        <w:rPr>
          <w:w w:val="105"/>
          <w:sz w:val="21"/>
        </w:rPr>
        <w:t>Most of</w:t>
      </w:r>
      <w:r>
        <w:rPr>
          <w:spacing w:val="-13"/>
          <w:w w:val="105"/>
          <w:sz w:val="21"/>
        </w:rPr>
        <w:t> </w:t>
      </w:r>
      <w:r>
        <w:rPr>
          <w:w w:val="105"/>
          <w:sz w:val="21"/>
        </w:rPr>
        <w:t>the</w:t>
      </w:r>
      <w:r>
        <w:rPr>
          <w:spacing w:val="-13"/>
          <w:w w:val="105"/>
          <w:sz w:val="21"/>
        </w:rPr>
        <w:t> </w:t>
      </w:r>
      <w:r>
        <w:rPr>
          <w:spacing w:val="-3"/>
          <w:w w:val="105"/>
          <w:sz w:val="21"/>
        </w:rPr>
        <w:t>submissions</w:t>
      </w:r>
      <w:r>
        <w:rPr>
          <w:spacing w:val="-12"/>
          <w:w w:val="105"/>
          <w:sz w:val="21"/>
        </w:rPr>
        <w:t> </w:t>
      </w:r>
      <w:r>
        <w:rPr>
          <w:w w:val="105"/>
          <w:sz w:val="21"/>
        </w:rPr>
        <w:t>received</w:t>
      </w:r>
      <w:r>
        <w:rPr>
          <w:spacing w:val="-13"/>
          <w:w w:val="105"/>
          <w:sz w:val="21"/>
        </w:rPr>
        <w:t> </w:t>
      </w:r>
      <w:r>
        <w:rPr>
          <w:w w:val="105"/>
          <w:sz w:val="21"/>
        </w:rPr>
        <w:t>in</w:t>
      </w:r>
      <w:r>
        <w:rPr>
          <w:spacing w:val="-13"/>
          <w:w w:val="105"/>
          <w:sz w:val="21"/>
        </w:rPr>
        <w:t> </w:t>
      </w:r>
      <w:r>
        <w:rPr>
          <w:w w:val="105"/>
          <w:sz w:val="21"/>
        </w:rPr>
        <w:t>response</w:t>
      </w:r>
      <w:r>
        <w:rPr>
          <w:spacing w:val="-12"/>
          <w:w w:val="105"/>
          <w:sz w:val="21"/>
        </w:rPr>
        <w:t> </w:t>
      </w:r>
      <w:r>
        <w:rPr>
          <w:spacing w:val="-3"/>
          <w:w w:val="105"/>
          <w:sz w:val="21"/>
        </w:rPr>
        <w:t>to</w:t>
      </w:r>
      <w:r>
        <w:rPr>
          <w:spacing w:val="-13"/>
          <w:w w:val="105"/>
          <w:sz w:val="21"/>
        </w:rPr>
        <w:t> </w:t>
      </w:r>
      <w:r>
        <w:rPr>
          <w:w w:val="105"/>
          <w:sz w:val="21"/>
        </w:rPr>
        <w:t>the</w:t>
      </w:r>
      <w:r>
        <w:rPr>
          <w:spacing w:val="-13"/>
          <w:w w:val="105"/>
          <w:sz w:val="21"/>
        </w:rPr>
        <w:t> </w:t>
      </w:r>
      <w:r>
        <w:rPr>
          <w:w w:val="105"/>
          <w:sz w:val="21"/>
        </w:rPr>
        <w:t>questions</w:t>
      </w:r>
      <w:r>
        <w:rPr>
          <w:spacing w:val="-12"/>
          <w:w w:val="105"/>
          <w:sz w:val="21"/>
        </w:rPr>
        <w:t> </w:t>
      </w:r>
      <w:r>
        <w:rPr>
          <w:spacing w:val="-2"/>
          <w:w w:val="105"/>
          <w:sz w:val="21"/>
        </w:rPr>
        <w:t>raised</w:t>
      </w:r>
      <w:r>
        <w:rPr>
          <w:spacing w:val="-13"/>
          <w:w w:val="105"/>
          <w:sz w:val="21"/>
        </w:rPr>
        <w:t> </w:t>
      </w:r>
      <w:r>
        <w:rPr>
          <w:w w:val="105"/>
          <w:sz w:val="21"/>
        </w:rPr>
        <w:t>in</w:t>
      </w:r>
      <w:r>
        <w:rPr>
          <w:spacing w:val="-12"/>
          <w:w w:val="105"/>
          <w:sz w:val="21"/>
        </w:rPr>
        <w:t> </w:t>
      </w:r>
      <w:r>
        <w:rPr>
          <w:w w:val="105"/>
          <w:sz w:val="21"/>
        </w:rPr>
        <w:t>the</w:t>
      </w:r>
      <w:r>
        <w:rPr>
          <w:spacing w:val="-13"/>
          <w:w w:val="105"/>
          <w:sz w:val="21"/>
        </w:rPr>
        <w:t> </w:t>
      </w:r>
      <w:r>
        <w:rPr>
          <w:w w:val="105"/>
          <w:sz w:val="21"/>
        </w:rPr>
        <w:t>paper</w:t>
      </w:r>
      <w:r>
        <w:rPr>
          <w:spacing w:val="-13"/>
          <w:w w:val="105"/>
          <w:sz w:val="21"/>
        </w:rPr>
        <w:t> </w:t>
      </w:r>
      <w:r>
        <w:rPr>
          <w:w w:val="105"/>
          <w:sz w:val="21"/>
        </w:rPr>
        <w:t>supported the adoption of the </w:t>
      </w:r>
      <w:r>
        <w:rPr>
          <w:spacing w:val="-3"/>
          <w:w w:val="105"/>
          <w:sz w:val="21"/>
        </w:rPr>
        <w:t>National </w:t>
      </w:r>
      <w:r>
        <w:rPr>
          <w:spacing w:val="-4"/>
          <w:w w:val="105"/>
          <w:sz w:val="21"/>
        </w:rPr>
        <w:t>Committee’s </w:t>
      </w:r>
      <w:r>
        <w:rPr>
          <w:spacing w:val="-3"/>
          <w:w w:val="105"/>
          <w:sz w:val="21"/>
        </w:rPr>
        <w:t>recommendations </w:t>
      </w:r>
      <w:r>
        <w:rPr>
          <w:w w:val="105"/>
          <w:sz w:val="21"/>
        </w:rPr>
        <w:t>in</w:t>
      </w:r>
      <w:r>
        <w:rPr>
          <w:spacing w:val="31"/>
          <w:w w:val="105"/>
          <w:sz w:val="21"/>
        </w:rPr>
        <w:t> </w:t>
      </w:r>
      <w:r>
        <w:rPr>
          <w:w w:val="105"/>
          <w:sz w:val="21"/>
        </w:rPr>
        <w:t>Victoria.</w:t>
      </w:r>
    </w:p>
    <w:p>
      <w:pPr>
        <w:pStyle w:val="BodyText"/>
        <w:spacing w:before="1"/>
        <w:rPr>
          <w:sz w:val="25"/>
        </w:rPr>
      </w:pPr>
    </w:p>
    <w:p>
      <w:pPr>
        <w:pStyle w:val="Heading5"/>
      </w:pPr>
      <w:r>
        <w:rPr>
          <w:w w:val="115"/>
        </w:rPr>
        <w:t>Areas in which the Commission recommends reform</w:t>
      </w:r>
    </w:p>
    <w:p>
      <w:pPr>
        <w:pStyle w:val="ListParagraph"/>
        <w:numPr>
          <w:ilvl w:val="1"/>
          <w:numId w:val="22"/>
        </w:numPr>
        <w:tabs>
          <w:tab w:pos="2381" w:val="left" w:leader="none"/>
          <w:tab w:pos="2382" w:val="left" w:leader="none"/>
        </w:tabs>
        <w:spacing w:line="242" w:lineRule="auto" w:before="137" w:after="0"/>
        <w:ind w:left="2381" w:right="2493" w:hanging="794"/>
        <w:jc w:val="left"/>
        <w:rPr>
          <w:sz w:val="21"/>
        </w:rPr>
      </w:pPr>
      <w:r>
        <w:rPr>
          <w:w w:val="105"/>
          <w:sz w:val="21"/>
        </w:rPr>
        <w:t>This</w:t>
      </w:r>
      <w:r>
        <w:rPr>
          <w:spacing w:val="-10"/>
          <w:w w:val="105"/>
          <w:sz w:val="21"/>
        </w:rPr>
        <w:t> </w:t>
      </w:r>
      <w:r>
        <w:rPr>
          <w:spacing w:val="-3"/>
          <w:w w:val="105"/>
          <w:sz w:val="21"/>
        </w:rPr>
        <w:t>chapter</w:t>
      </w:r>
      <w:r>
        <w:rPr>
          <w:spacing w:val="-9"/>
          <w:w w:val="105"/>
          <w:sz w:val="21"/>
        </w:rPr>
        <w:t> </w:t>
      </w:r>
      <w:r>
        <w:rPr>
          <w:w w:val="105"/>
          <w:sz w:val="21"/>
        </w:rPr>
        <w:t>sets</w:t>
      </w:r>
      <w:r>
        <w:rPr>
          <w:spacing w:val="-9"/>
          <w:w w:val="105"/>
          <w:sz w:val="21"/>
        </w:rPr>
        <w:t> </w:t>
      </w:r>
      <w:r>
        <w:rPr>
          <w:w w:val="105"/>
          <w:sz w:val="21"/>
        </w:rPr>
        <w:t>out</w:t>
      </w:r>
      <w:r>
        <w:rPr>
          <w:spacing w:val="-9"/>
          <w:w w:val="105"/>
          <w:sz w:val="21"/>
        </w:rPr>
        <w:t> </w:t>
      </w:r>
      <w:r>
        <w:rPr>
          <w:w w:val="105"/>
          <w:sz w:val="21"/>
        </w:rPr>
        <w:t>the</w:t>
      </w:r>
      <w:r>
        <w:rPr>
          <w:spacing w:val="-10"/>
          <w:w w:val="105"/>
          <w:sz w:val="21"/>
        </w:rPr>
        <w:t> </w:t>
      </w:r>
      <w:r>
        <w:rPr>
          <w:w w:val="105"/>
          <w:sz w:val="21"/>
        </w:rPr>
        <w:t>aspects</w:t>
      </w:r>
      <w:r>
        <w:rPr>
          <w:spacing w:val="-9"/>
          <w:w w:val="105"/>
          <w:sz w:val="21"/>
        </w:rPr>
        <w:t> </w:t>
      </w:r>
      <w:r>
        <w:rPr>
          <w:w w:val="105"/>
          <w:sz w:val="21"/>
        </w:rPr>
        <w:t>of</w:t>
      </w:r>
      <w:r>
        <w:rPr>
          <w:spacing w:val="-9"/>
          <w:w w:val="105"/>
          <w:sz w:val="21"/>
        </w:rPr>
        <w:t> </w:t>
      </w:r>
      <w:r>
        <w:rPr>
          <w:spacing w:val="-3"/>
          <w:w w:val="105"/>
          <w:sz w:val="21"/>
        </w:rPr>
        <w:t>Victoria’s</w:t>
      </w:r>
      <w:r>
        <w:rPr>
          <w:spacing w:val="-9"/>
          <w:w w:val="105"/>
          <w:sz w:val="21"/>
        </w:rPr>
        <w:t> </w:t>
      </w:r>
      <w:r>
        <w:rPr>
          <w:w w:val="105"/>
          <w:sz w:val="21"/>
        </w:rPr>
        <w:t>estate</w:t>
      </w:r>
      <w:r>
        <w:rPr>
          <w:spacing w:val="-10"/>
          <w:w w:val="105"/>
          <w:sz w:val="21"/>
        </w:rPr>
        <w:t> </w:t>
      </w:r>
      <w:r>
        <w:rPr>
          <w:w w:val="105"/>
          <w:sz w:val="21"/>
        </w:rPr>
        <w:t>debt</w:t>
      </w:r>
      <w:r>
        <w:rPr>
          <w:spacing w:val="-9"/>
          <w:w w:val="105"/>
          <w:sz w:val="21"/>
        </w:rPr>
        <w:t> </w:t>
      </w:r>
      <w:r>
        <w:rPr>
          <w:w w:val="105"/>
          <w:sz w:val="21"/>
        </w:rPr>
        <w:t>payment</w:t>
      </w:r>
      <w:r>
        <w:rPr>
          <w:spacing w:val="-9"/>
          <w:w w:val="105"/>
          <w:sz w:val="21"/>
        </w:rPr>
        <w:t> </w:t>
      </w:r>
      <w:r>
        <w:rPr>
          <w:w w:val="105"/>
          <w:sz w:val="21"/>
        </w:rPr>
        <w:t>scheme</w:t>
      </w:r>
      <w:r>
        <w:rPr>
          <w:spacing w:val="-9"/>
          <w:w w:val="105"/>
          <w:sz w:val="21"/>
        </w:rPr>
        <w:t> </w:t>
      </w:r>
      <w:r>
        <w:rPr>
          <w:spacing w:val="-3"/>
          <w:w w:val="105"/>
          <w:sz w:val="21"/>
        </w:rPr>
        <w:t>that, </w:t>
      </w:r>
      <w:r>
        <w:rPr>
          <w:w w:val="105"/>
          <w:sz w:val="21"/>
        </w:rPr>
        <w:t>in the </w:t>
      </w:r>
      <w:r>
        <w:rPr>
          <w:spacing w:val="-4"/>
          <w:w w:val="105"/>
          <w:sz w:val="21"/>
        </w:rPr>
        <w:t>Commission’s view, </w:t>
      </w:r>
      <w:r>
        <w:rPr>
          <w:w w:val="105"/>
          <w:sz w:val="21"/>
        </w:rPr>
        <w:t>should be</w:t>
      </w:r>
      <w:r>
        <w:rPr>
          <w:spacing w:val="36"/>
          <w:w w:val="105"/>
          <w:sz w:val="21"/>
        </w:rPr>
        <w:t> </w:t>
      </w:r>
      <w:r>
        <w:rPr>
          <w:spacing w:val="-3"/>
          <w:w w:val="105"/>
          <w:sz w:val="21"/>
        </w:rPr>
        <w:t>reformed.</w:t>
      </w:r>
    </w:p>
    <w:p>
      <w:pPr>
        <w:pStyle w:val="ListParagraph"/>
        <w:numPr>
          <w:ilvl w:val="1"/>
          <w:numId w:val="22"/>
        </w:numPr>
        <w:tabs>
          <w:tab w:pos="2381" w:val="left" w:leader="none"/>
          <w:tab w:pos="2382" w:val="left" w:leader="none"/>
        </w:tabs>
        <w:spacing w:line="240" w:lineRule="auto" w:before="123" w:after="0"/>
        <w:ind w:left="2381" w:right="0" w:hanging="794"/>
        <w:jc w:val="left"/>
        <w:rPr>
          <w:sz w:val="21"/>
        </w:rPr>
      </w:pPr>
      <w:r>
        <w:rPr>
          <w:w w:val="105"/>
          <w:sz w:val="21"/>
        </w:rPr>
        <w:t>The </w:t>
      </w:r>
      <w:r>
        <w:rPr>
          <w:spacing w:val="-4"/>
          <w:w w:val="105"/>
          <w:sz w:val="21"/>
        </w:rPr>
        <w:t>Commission’s </w:t>
      </w:r>
      <w:r>
        <w:rPr>
          <w:spacing w:val="-3"/>
          <w:w w:val="105"/>
          <w:sz w:val="21"/>
        </w:rPr>
        <w:t>recommendations are intended</w:t>
      </w:r>
      <w:r>
        <w:rPr>
          <w:spacing w:val="35"/>
          <w:w w:val="105"/>
          <w:sz w:val="21"/>
        </w:rPr>
        <w:t> </w:t>
      </w:r>
      <w:r>
        <w:rPr>
          <w:w w:val="105"/>
          <w:sz w:val="21"/>
        </w:rPr>
        <w:t>to:</w:t>
      </w:r>
    </w:p>
    <w:p>
      <w:pPr>
        <w:pStyle w:val="ListParagraph"/>
        <w:numPr>
          <w:ilvl w:val="2"/>
          <w:numId w:val="22"/>
        </w:numPr>
        <w:tabs>
          <w:tab w:pos="2721" w:val="left" w:leader="none"/>
          <w:tab w:pos="2722" w:val="left" w:leader="none"/>
        </w:tabs>
        <w:spacing w:line="242" w:lineRule="auto" w:before="123" w:after="0"/>
        <w:ind w:left="2721" w:right="1912" w:hanging="340"/>
        <w:jc w:val="left"/>
        <w:rPr>
          <w:sz w:val="21"/>
        </w:rPr>
      </w:pPr>
      <w:r>
        <w:rPr>
          <w:w w:val="105"/>
          <w:sz w:val="21"/>
        </w:rPr>
        <w:t>modernise</w:t>
      </w:r>
      <w:r>
        <w:rPr>
          <w:spacing w:val="-5"/>
          <w:w w:val="105"/>
          <w:sz w:val="21"/>
        </w:rPr>
        <w:t> </w:t>
      </w:r>
      <w:r>
        <w:rPr>
          <w:spacing w:val="-3"/>
          <w:w w:val="105"/>
          <w:sz w:val="21"/>
        </w:rPr>
        <w:t>Victoria’s</w:t>
      </w:r>
      <w:r>
        <w:rPr>
          <w:spacing w:val="-4"/>
          <w:w w:val="105"/>
          <w:sz w:val="21"/>
        </w:rPr>
        <w:t> </w:t>
      </w:r>
      <w:r>
        <w:rPr>
          <w:w w:val="105"/>
          <w:sz w:val="21"/>
        </w:rPr>
        <w:t>laws</w:t>
      </w:r>
      <w:r>
        <w:rPr>
          <w:spacing w:val="-5"/>
          <w:w w:val="105"/>
          <w:sz w:val="21"/>
        </w:rPr>
        <w:t> </w:t>
      </w:r>
      <w:r>
        <w:rPr>
          <w:w w:val="105"/>
          <w:sz w:val="21"/>
        </w:rPr>
        <w:t>in</w:t>
      </w:r>
      <w:r>
        <w:rPr>
          <w:spacing w:val="-4"/>
          <w:w w:val="105"/>
          <w:sz w:val="21"/>
        </w:rPr>
        <w:t> </w:t>
      </w:r>
      <w:r>
        <w:rPr>
          <w:spacing w:val="-3"/>
          <w:w w:val="105"/>
          <w:sz w:val="21"/>
        </w:rPr>
        <w:t>relation</w:t>
      </w:r>
      <w:r>
        <w:rPr>
          <w:spacing w:val="-5"/>
          <w:w w:val="105"/>
          <w:sz w:val="21"/>
        </w:rPr>
        <w:t> </w:t>
      </w:r>
      <w:r>
        <w:rPr>
          <w:spacing w:val="-3"/>
          <w:w w:val="105"/>
          <w:sz w:val="21"/>
        </w:rPr>
        <w:t>to</w:t>
      </w:r>
      <w:r>
        <w:rPr>
          <w:spacing w:val="-4"/>
          <w:w w:val="105"/>
          <w:sz w:val="21"/>
        </w:rPr>
        <w:t> </w:t>
      </w:r>
      <w:r>
        <w:rPr>
          <w:w w:val="105"/>
          <w:sz w:val="21"/>
        </w:rPr>
        <w:t>debt</w:t>
      </w:r>
      <w:r>
        <w:rPr>
          <w:spacing w:val="-5"/>
          <w:w w:val="105"/>
          <w:sz w:val="21"/>
        </w:rPr>
        <w:t> </w:t>
      </w:r>
      <w:r>
        <w:rPr>
          <w:w w:val="105"/>
          <w:sz w:val="21"/>
        </w:rPr>
        <w:t>payment</w:t>
      </w:r>
      <w:r>
        <w:rPr>
          <w:spacing w:val="-4"/>
          <w:w w:val="105"/>
          <w:sz w:val="21"/>
        </w:rPr>
        <w:t> </w:t>
      </w:r>
      <w:r>
        <w:rPr>
          <w:w w:val="105"/>
          <w:sz w:val="21"/>
        </w:rPr>
        <w:t>and</w:t>
      </w:r>
      <w:r>
        <w:rPr>
          <w:spacing w:val="-5"/>
          <w:w w:val="105"/>
          <w:sz w:val="21"/>
        </w:rPr>
        <w:t> </w:t>
      </w:r>
      <w:r>
        <w:rPr>
          <w:spacing w:val="-3"/>
          <w:w w:val="105"/>
          <w:sz w:val="21"/>
        </w:rPr>
        <w:t>bring</w:t>
      </w:r>
      <w:r>
        <w:rPr>
          <w:spacing w:val="-4"/>
          <w:w w:val="105"/>
          <w:sz w:val="21"/>
        </w:rPr>
        <w:t> </w:t>
      </w:r>
      <w:r>
        <w:rPr>
          <w:w w:val="105"/>
          <w:sz w:val="21"/>
        </w:rPr>
        <w:t>the</w:t>
      </w:r>
      <w:r>
        <w:rPr>
          <w:spacing w:val="-5"/>
          <w:w w:val="105"/>
          <w:sz w:val="21"/>
        </w:rPr>
        <w:t> </w:t>
      </w:r>
      <w:r>
        <w:rPr>
          <w:w w:val="105"/>
          <w:sz w:val="21"/>
        </w:rPr>
        <w:t>law</w:t>
      </w:r>
      <w:r>
        <w:rPr>
          <w:spacing w:val="-4"/>
          <w:w w:val="105"/>
          <w:sz w:val="21"/>
        </w:rPr>
        <w:t> </w:t>
      </w:r>
      <w:r>
        <w:rPr>
          <w:w w:val="105"/>
          <w:sz w:val="21"/>
        </w:rPr>
        <w:t>up</w:t>
      </w:r>
      <w:r>
        <w:rPr>
          <w:spacing w:val="-4"/>
          <w:w w:val="105"/>
          <w:sz w:val="21"/>
        </w:rPr>
        <w:t> </w:t>
      </w:r>
      <w:r>
        <w:rPr>
          <w:spacing w:val="-3"/>
          <w:w w:val="105"/>
          <w:sz w:val="21"/>
        </w:rPr>
        <w:t>to</w:t>
      </w:r>
      <w:r>
        <w:rPr>
          <w:spacing w:val="-5"/>
          <w:w w:val="105"/>
          <w:sz w:val="21"/>
        </w:rPr>
        <w:t> </w:t>
      </w:r>
      <w:r>
        <w:rPr>
          <w:spacing w:val="-3"/>
          <w:w w:val="105"/>
          <w:sz w:val="21"/>
        </w:rPr>
        <w:t>date </w:t>
      </w:r>
      <w:r>
        <w:rPr>
          <w:w w:val="105"/>
          <w:sz w:val="21"/>
        </w:rPr>
        <w:t>with other</w:t>
      </w:r>
      <w:r>
        <w:rPr>
          <w:spacing w:val="9"/>
          <w:w w:val="105"/>
          <w:sz w:val="21"/>
        </w:rPr>
        <w:t> </w:t>
      </w:r>
      <w:r>
        <w:rPr>
          <w:w w:val="105"/>
          <w:sz w:val="21"/>
        </w:rPr>
        <w:t>jurisdictions</w:t>
      </w:r>
    </w:p>
    <w:p>
      <w:pPr>
        <w:pStyle w:val="ListParagraph"/>
        <w:numPr>
          <w:ilvl w:val="2"/>
          <w:numId w:val="22"/>
        </w:numPr>
        <w:tabs>
          <w:tab w:pos="2721" w:val="left" w:leader="none"/>
          <w:tab w:pos="2722" w:val="left" w:leader="none"/>
        </w:tabs>
        <w:spacing w:line="242" w:lineRule="auto" w:before="123" w:after="0"/>
        <w:ind w:left="2721" w:right="2132" w:hanging="340"/>
        <w:jc w:val="left"/>
        <w:rPr>
          <w:sz w:val="21"/>
        </w:rPr>
      </w:pPr>
      <w:r>
        <w:rPr>
          <w:sz w:val="21"/>
        </w:rPr>
        <w:t>clarify </w:t>
      </w:r>
      <w:r>
        <w:rPr>
          <w:spacing w:val="-3"/>
          <w:sz w:val="21"/>
        </w:rPr>
        <w:t>Victoria’s </w:t>
      </w:r>
      <w:r>
        <w:rPr>
          <w:sz w:val="21"/>
        </w:rPr>
        <w:t>debt payment laws and provide certainty </w:t>
      </w:r>
      <w:r>
        <w:rPr>
          <w:spacing w:val="-3"/>
          <w:sz w:val="21"/>
        </w:rPr>
        <w:t>to </w:t>
      </w:r>
      <w:r>
        <w:rPr>
          <w:sz w:val="21"/>
        </w:rPr>
        <w:t>those </w:t>
      </w:r>
      <w:r>
        <w:rPr>
          <w:spacing w:val="-3"/>
          <w:sz w:val="21"/>
        </w:rPr>
        <w:t>administering </w:t>
      </w:r>
      <w:r>
        <w:rPr>
          <w:sz w:val="21"/>
        </w:rPr>
        <w:t>solvent and </w:t>
      </w:r>
      <w:r>
        <w:rPr>
          <w:spacing w:val="-3"/>
          <w:sz w:val="21"/>
        </w:rPr>
        <w:t>insolvent </w:t>
      </w:r>
      <w:r>
        <w:rPr>
          <w:sz w:val="21"/>
        </w:rPr>
        <w:t>estates,</w:t>
      </w:r>
      <w:r>
        <w:rPr>
          <w:spacing w:val="37"/>
          <w:sz w:val="21"/>
        </w:rPr>
        <w:t> </w:t>
      </w:r>
      <w:r>
        <w:rPr>
          <w:sz w:val="21"/>
        </w:rPr>
        <w:t>and</w:t>
      </w:r>
    </w:p>
    <w:p>
      <w:pPr>
        <w:pStyle w:val="ListParagraph"/>
        <w:numPr>
          <w:ilvl w:val="2"/>
          <w:numId w:val="22"/>
        </w:numPr>
        <w:tabs>
          <w:tab w:pos="2721" w:val="left" w:leader="none"/>
          <w:tab w:pos="2722" w:val="left" w:leader="none"/>
        </w:tabs>
        <w:spacing w:line="242" w:lineRule="auto" w:before="122" w:after="0"/>
        <w:ind w:left="2721" w:right="2161" w:hanging="340"/>
        <w:jc w:val="left"/>
        <w:rPr>
          <w:sz w:val="21"/>
        </w:rPr>
      </w:pPr>
      <w:r>
        <w:rPr>
          <w:sz w:val="21"/>
        </w:rPr>
        <w:t>simplify the </w:t>
      </w:r>
      <w:r>
        <w:rPr>
          <w:spacing w:val="-3"/>
          <w:sz w:val="21"/>
        </w:rPr>
        <w:t>administration </w:t>
      </w:r>
      <w:r>
        <w:rPr>
          <w:sz w:val="21"/>
        </w:rPr>
        <w:t>of estates </w:t>
      </w:r>
      <w:r>
        <w:rPr>
          <w:spacing w:val="-3"/>
          <w:sz w:val="21"/>
        </w:rPr>
        <w:t>thereby increasing </w:t>
      </w:r>
      <w:r>
        <w:rPr>
          <w:sz w:val="21"/>
        </w:rPr>
        <w:t>the ability of laypersons  </w:t>
      </w:r>
      <w:r>
        <w:rPr>
          <w:spacing w:val="-3"/>
          <w:sz w:val="21"/>
        </w:rPr>
        <w:t>to</w:t>
      </w:r>
      <w:r>
        <w:rPr>
          <w:spacing w:val="8"/>
          <w:sz w:val="21"/>
        </w:rPr>
        <w:t> </w:t>
      </w:r>
      <w:r>
        <w:rPr>
          <w:spacing w:val="-4"/>
          <w:sz w:val="21"/>
        </w:rPr>
        <w:t>administer.</w:t>
      </w:r>
    </w:p>
    <w:p>
      <w:pPr>
        <w:pStyle w:val="BodyText"/>
        <w:spacing w:before="5"/>
        <w:rPr>
          <w:sz w:val="27"/>
        </w:rPr>
      </w:pPr>
      <w:r>
        <w:rPr/>
        <w:pict>
          <v:line style="position:absolute;mso-position-horizontal-relative:page;mso-position-vertical-relative:paragraph;z-index:10520;mso-wrap-distance-left:0;mso-wrap-distance-right:0" from="79.370102pt,19.186398pt" to="515.905102pt,19.186398pt" stroked="true" strokeweight="1pt" strokecolor="#f9ceca">
            <v:stroke dashstyle="solid"/>
            <w10:wrap type="topAndBottom"/>
          </v:line>
        </w:pict>
      </w:r>
    </w:p>
    <w:p>
      <w:pPr>
        <w:tabs>
          <w:tab w:pos="2380" w:val="left" w:leader="none"/>
        </w:tabs>
        <w:spacing w:before="117"/>
        <w:ind w:left="2381" w:right="1930" w:hanging="794"/>
        <w:jc w:val="left"/>
        <w:rPr>
          <w:sz w:val="7"/>
        </w:rPr>
      </w:pPr>
      <w:r>
        <w:rPr>
          <w:w w:val="105"/>
          <w:sz w:val="13"/>
        </w:rPr>
        <w:t>1</w:t>
        <w:tab/>
        <w:t>National Committee for Uniform Succession Laws, </w:t>
      </w:r>
      <w:r>
        <w:rPr>
          <w:i/>
          <w:w w:val="105"/>
          <w:sz w:val="13"/>
        </w:rPr>
        <w:t>Administration of Estates of Deceased Persons: Report of the National Committee for </w:t>
      </w:r>
      <w:r>
        <w:rPr>
          <w:i/>
          <w:w w:val="105"/>
          <w:sz w:val="13"/>
        </w:rPr>
        <w:t>Uniform Succession Laws to the Standing Committee of Attorneys General: Volumes 1–4</w:t>
      </w:r>
      <w:r>
        <w:rPr>
          <w:w w:val="105"/>
          <w:sz w:val="13"/>
        </w:rPr>
        <w:t>, Queensland Law Reform Commission </w:t>
      </w:r>
      <w:r>
        <w:rPr>
          <w:spacing w:val="2"/>
          <w:w w:val="105"/>
          <w:sz w:val="13"/>
        </w:rPr>
        <w:t>Report   </w:t>
      </w:r>
      <w:r>
        <w:rPr>
          <w:w w:val="105"/>
          <w:sz w:val="13"/>
        </w:rPr>
        <w:t>No 65</w:t>
      </w:r>
      <w:r>
        <w:rPr>
          <w:spacing w:val="9"/>
          <w:w w:val="105"/>
          <w:sz w:val="13"/>
        </w:rPr>
        <w:t> </w:t>
      </w:r>
      <w:r>
        <w:rPr>
          <w:spacing w:val="2"/>
          <w:w w:val="105"/>
          <w:sz w:val="13"/>
        </w:rPr>
        <w:t>(2009)</w:t>
      </w:r>
      <w:r>
        <w:rPr>
          <w:spacing w:val="2"/>
          <w:w w:val="105"/>
          <w:position w:val="4"/>
          <w:sz w:val="7"/>
        </w:rPr>
        <w:t>.</w:t>
      </w:r>
    </w:p>
    <w:p>
      <w:pPr>
        <w:tabs>
          <w:tab w:pos="1587" w:val="left" w:leader="none"/>
          <w:tab w:pos="2380" w:val="left" w:leader="none"/>
        </w:tabs>
        <w:spacing w:line="212" w:lineRule="exact" w:before="0"/>
        <w:ind w:left="720" w:right="0" w:firstLine="0"/>
        <w:jc w:val="left"/>
        <w:rPr>
          <w:sz w:val="13"/>
        </w:rPr>
      </w:pPr>
      <w:r>
        <w:rPr>
          <w:b/>
          <w:color w:val="EC5A4F"/>
          <w:spacing w:val="-9"/>
          <w:w w:val="105"/>
          <w:position w:val="-1"/>
          <w:sz w:val="24"/>
        </w:rPr>
        <w:t>174</w:t>
        <w:tab/>
      </w:r>
      <w:r>
        <w:rPr>
          <w:w w:val="105"/>
          <w:sz w:val="13"/>
        </w:rPr>
        <w:t>2</w:t>
        <w:tab/>
        <w:t>Victorian</w:t>
      </w:r>
      <w:r>
        <w:rPr>
          <w:spacing w:val="5"/>
          <w:w w:val="105"/>
          <w:sz w:val="13"/>
        </w:rPr>
        <w:t> </w:t>
      </w:r>
      <w:r>
        <w:rPr>
          <w:w w:val="105"/>
          <w:sz w:val="13"/>
        </w:rPr>
        <w:t>Law</w:t>
      </w:r>
      <w:r>
        <w:rPr>
          <w:spacing w:val="5"/>
          <w:w w:val="105"/>
          <w:sz w:val="13"/>
        </w:rPr>
        <w:t> </w:t>
      </w:r>
      <w:r>
        <w:rPr>
          <w:w w:val="105"/>
          <w:sz w:val="13"/>
        </w:rPr>
        <w:t>Reform</w:t>
      </w:r>
      <w:r>
        <w:rPr>
          <w:spacing w:val="5"/>
          <w:w w:val="105"/>
          <w:sz w:val="13"/>
        </w:rPr>
        <w:t> </w:t>
      </w:r>
      <w:r>
        <w:rPr>
          <w:w w:val="105"/>
          <w:sz w:val="13"/>
        </w:rPr>
        <w:t>Commission,</w:t>
      </w:r>
      <w:r>
        <w:rPr>
          <w:spacing w:val="5"/>
          <w:w w:val="105"/>
          <w:sz w:val="13"/>
        </w:rPr>
        <w:t> </w:t>
      </w:r>
      <w:r>
        <w:rPr>
          <w:i/>
          <w:w w:val="105"/>
          <w:sz w:val="13"/>
        </w:rPr>
        <w:t>Succession</w:t>
      </w:r>
      <w:r>
        <w:rPr>
          <w:i/>
          <w:spacing w:val="4"/>
          <w:w w:val="105"/>
          <w:sz w:val="13"/>
        </w:rPr>
        <w:t> </w:t>
      </w:r>
      <w:r>
        <w:rPr>
          <w:i/>
          <w:w w:val="105"/>
          <w:sz w:val="13"/>
        </w:rPr>
        <w:t>Laws:</w:t>
      </w:r>
      <w:r>
        <w:rPr>
          <w:i/>
          <w:spacing w:val="4"/>
          <w:w w:val="105"/>
          <w:sz w:val="13"/>
        </w:rPr>
        <w:t> </w:t>
      </w:r>
      <w:r>
        <w:rPr>
          <w:i/>
          <w:w w:val="105"/>
          <w:sz w:val="13"/>
        </w:rPr>
        <w:t>Debts</w:t>
      </w:r>
      <w:r>
        <w:rPr>
          <w:w w:val="105"/>
          <w:sz w:val="13"/>
        </w:rPr>
        <w:t>,</w:t>
      </w:r>
      <w:r>
        <w:rPr>
          <w:spacing w:val="5"/>
          <w:w w:val="105"/>
          <w:sz w:val="13"/>
        </w:rPr>
        <w:t> </w:t>
      </w:r>
      <w:r>
        <w:rPr>
          <w:w w:val="105"/>
          <w:sz w:val="13"/>
        </w:rPr>
        <w:t>Consultation</w:t>
      </w:r>
      <w:r>
        <w:rPr>
          <w:spacing w:val="5"/>
          <w:w w:val="105"/>
          <w:sz w:val="13"/>
        </w:rPr>
        <w:t> </w:t>
      </w:r>
      <w:r>
        <w:rPr>
          <w:w w:val="105"/>
          <w:sz w:val="13"/>
        </w:rPr>
        <w:t>Paper</w:t>
      </w:r>
      <w:r>
        <w:rPr>
          <w:spacing w:val="5"/>
          <w:w w:val="105"/>
          <w:sz w:val="13"/>
        </w:rPr>
        <w:t> </w:t>
      </w:r>
      <w:r>
        <w:rPr>
          <w:w w:val="105"/>
          <w:sz w:val="13"/>
        </w:rPr>
        <w:t>No</w:t>
      </w:r>
      <w:r>
        <w:rPr>
          <w:spacing w:val="5"/>
          <w:w w:val="105"/>
          <w:sz w:val="13"/>
        </w:rPr>
        <w:t> </w:t>
      </w:r>
      <w:r>
        <w:rPr>
          <w:spacing w:val="-3"/>
          <w:w w:val="105"/>
          <w:sz w:val="13"/>
        </w:rPr>
        <w:t>15</w:t>
      </w:r>
      <w:r>
        <w:rPr>
          <w:spacing w:val="5"/>
          <w:w w:val="105"/>
          <w:sz w:val="13"/>
        </w:rPr>
        <w:t> </w:t>
      </w:r>
      <w:r>
        <w:rPr>
          <w:w w:val="105"/>
          <w:sz w:val="13"/>
        </w:rPr>
        <w:t>(2012)</w:t>
      </w:r>
      <w:r>
        <w:rPr>
          <w:spacing w:val="5"/>
          <w:w w:val="105"/>
          <w:sz w:val="13"/>
        </w:rPr>
        <w:t> </w:t>
      </w:r>
      <w:r>
        <w:rPr>
          <w:w w:val="105"/>
          <w:sz w:val="13"/>
        </w:rPr>
        <w:t>23.</w:t>
      </w:r>
    </w:p>
    <w:p>
      <w:pPr>
        <w:spacing w:after="0" w:line="212" w:lineRule="exact"/>
        <w:jc w:val="left"/>
        <w:rPr>
          <w:sz w:val="13"/>
        </w:rPr>
        <w:sectPr>
          <w:pgSz w:w="11910" w:h="16840"/>
          <w:pgMar w:header="550" w:footer="0" w:top="1560" w:bottom="280" w:left="0" w:right="0"/>
        </w:sectPr>
      </w:pPr>
    </w:p>
    <w:p>
      <w:pPr>
        <w:pStyle w:val="BodyText"/>
        <w:rPr>
          <w:sz w:val="20"/>
        </w:rPr>
      </w:pPr>
    </w:p>
    <w:p>
      <w:pPr>
        <w:pStyle w:val="BodyText"/>
        <w:rPr>
          <w:sz w:val="19"/>
        </w:rPr>
      </w:pPr>
    </w:p>
    <w:p>
      <w:pPr>
        <w:pStyle w:val="ListParagraph"/>
        <w:numPr>
          <w:ilvl w:val="1"/>
          <w:numId w:val="22"/>
        </w:numPr>
        <w:tabs>
          <w:tab w:pos="2381" w:val="left" w:leader="none"/>
          <w:tab w:pos="2382" w:val="left" w:leader="none"/>
        </w:tabs>
        <w:spacing w:line="242" w:lineRule="auto" w:before="91" w:after="0"/>
        <w:ind w:left="2381" w:right="2071" w:hanging="794"/>
        <w:jc w:val="both"/>
        <w:rPr>
          <w:sz w:val="21"/>
        </w:rPr>
      </w:pPr>
      <w:bookmarkStart w:name="Solvent estates" w:id="141"/>
      <w:bookmarkEnd w:id="141"/>
      <w:r>
        <w:rPr/>
      </w:r>
      <w:bookmarkStart w:name="Solvent estates" w:id="142"/>
      <w:bookmarkEnd w:id="142"/>
      <w:r>
        <w:rPr>
          <w:w w:val="105"/>
          <w:sz w:val="21"/>
        </w:rPr>
        <w:t>T</w:t>
      </w:r>
      <w:r>
        <w:rPr>
          <w:w w:val="105"/>
          <w:sz w:val="21"/>
        </w:rPr>
        <w:t>he </w:t>
      </w:r>
      <w:r>
        <w:rPr>
          <w:spacing w:val="-3"/>
          <w:w w:val="105"/>
          <w:sz w:val="21"/>
        </w:rPr>
        <w:t>Commission </w:t>
      </w:r>
      <w:r>
        <w:rPr>
          <w:w w:val="105"/>
          <w:sz w:val="21"/>
        </w:rPr>
        <w:t>is </w:t>
      </w:r>
      <w:r>
        <w:rPr>
          <w:spacing w:val="-2"/>
          <w:w w:val="105"/>
          <w:sz w:val="21"/>
        </w:rPr>
        <w:t>not </w:t>
      </w:r>
      <w:r>
        <w:rPr>
          <w:spacing w:val="-3"/>
          <w:w w:val="105"/>
          <w:sz w:val="21"/>
        </w:rPr>
        <w:t>recommending significant changes to </w:t>
      </w:r>
      <w:r>
        <w:rPr>
          <w:w w:val="105"/>
          <w:sz w:val="21"/>
        </w:rPr>
        <w:t>the law and the basic </w:t>
      </w:r>
      <w:r>
        <w:rPr>
          <w:spacing w:val="-3"/>
          <w:w w:val="105"/>
          <w:sz w:val="21"/>
        </w:rPr>
        <w:t>principles </w:t>
      </w:r>
      <w:r>
        <w:rPr>
          <w:w w:val="105"/>
          <w:sz w:val="21"/>
        </w:rPr>
        <w:t>of the scheme would be </w:t>
      </w:r>
      <w:r>
        <w:rPr>
          <w:spacing w:val="-3"/>
          <w:w w:val="105"/>
          <w:sz w:val="21"/>
        </w:rPr>
        <w:t>unchanged. </w:t>
      </w:r>
      <w:r>
        <w:rPr>
          <w:w w:val="105"/>
          <w:sz w:val="21"/>
        </w:rPr>
        <w:t>In order </w:t>
      </w:r>
      <w:r>
        <w:rPr>
          <w:spacing w:val="-3"/>
          <w:w w:val="105"/>
          <w:sz w:val="21"/>
        </w:rPr>
        <w:t>to achieve </w:t>
      </w:r>
      <w:r>
        <w:rPr>
          <w:w w:val="105"/>
          <w:sz w:val="21"/>
        </w:rPr>
        <w:t>a </w:t>
      </w:r>
      <w:r>
        <w:rPr>
          <w:spacing w:val="-5"/>
          <w:w w:val="105"/>
          <w:sz w:val="21"/>
        </w:rPr>
        <w:t>clearer, </w:t>
      </w:r>
      <w:r>
        <w:rPr>
          <w:spacing w:val="-3"/>
          <w:w w:val="105"/>
          <w:sz w:val="21"/>
        </w:rPr>
        <w:t>simpler scheme, </w:t>
      </w:r>
      <w:r>
        <w:rPr>
          <w:w w:val="105"/>
          <w:sz w:val="21"/>
        </w:rPr>
        <w:t>the </w:t>
      </w:r>
      <w:r>
        <w:rPr>
          <w:spacing w:val="-3"/>
          <w:w w:val="105"/>
          <w:sz w:val="21"/>
        </w:rPr>
        <w:t>Commission </w:t>
      </w:r>
      <w:r>
        <w:rPr>
          <w:w w:val="105"/>
          <w:sz w:val="21"/>
        </w:rPr>
        <w:t>considers </w:t>
      </w:r>
      <w:r>
        <w:rPr>
          <w:spacing w:val="-3"/>
          <w:w w:val="105"/>
          <w:sz w:val="21"/>
        </w:rPr>
        <w:t>that relevant </w:t>
      </w:r>
      <w:r>
        <w:rPr>
          <w:w w:val="105"/>
          <w:sz w:val="21"/>
        </w:rPr>
        <w:t>sections of the </w:t>
      </w:r>
      <w:r>
        <w:rPr>
          <w:spacing w:val="-3"/>
          <w:w w:val="105"/>
          <w:sz w:val="21"/>
        </w:rPr>
        <w:t>Administration </w:t>
      </w:r>
      <w:r>
        <w:rPr>
          <w:w w:val="105"/>
          <w:sz w:val="21"/>
        </w:rPr>
        <w:t>and </w:t>
      </w:r>
      <w:r>
        <w:rPr>
          <w:spacing w:val="-3"/>
          <w:w w:val="105"/>
          <w:sz w:val="21"/>
        </w:rPr>
        <w:t>Probate </w:t>
      </w:r>
      <w:r>
        <w:rPr>
          <w:w w:val="105"/>
          <w:sz w:val="21"/>
        </w:rPr>
        <w:t>Act should be </w:t>
      </w:r>
      <w:r>
        <w:rPr>
          <w:spacing w:val="-2"/>
          <w:w w:val="105"/>
          <w:sz w:val="21"/>
        </w:rPr>
        <w:t>redrafted </w:t>
      </w:r>
      <w:r>
        <w:rPr>
          <w:w w:val="105"/>
          <w:sz w:val="21"/>
        </w:rPr>
        <w:t>and </w:t>
      </w:r>
      <w:r>
        <w:rPr>
          <w:spacing w:val="-3"/>
          <w:w w:val="105"/>
          <w:sz w:val="21"/>
        </w:rPr>
        <w:t>that </w:t>
      </w:r>
      <w:r>
        <w:rPr>
          <w:w w:val="105"/>
          <w:sz w:val="21"/>
        </w:rPr>
        <w:t>the </w:t>
      </w:r>
      <w:r>
        <w:rPr>
          <w:spacing w:val="-3"/>
          <w:w w:val="105"/>
          <w:sz w:val="21"/>
        </w:rPr>
        <w:t>provisions relating to </w:t>
      </w:r>
      <w:r>
        <w:rPr>
          <w:w w:val="105"/>
          <w:sz w:val="21"/>
        </w:rPr>
        <w:t>debt payment in the</w:t>
      </w:r>
      <w:r>
        <w:rPr>
          <w:spacing w:val="-5"/>
          <w:w w:val="105"/>
          <w:sz w:val="21"/>
        </w:rPr>
        <w:t> </w:t>
      </w:r>
      <w:r>
        <w:rPr>
          <w:w w:val="105"/>
          <w:sz w:val="21"/>
        </w:rPr>
        <w:t>schedule</w:t>
      </w:r>
      <w:r>
        <w:rPr>
          <w:spacing w:val="-4"/>
          <w:w w:val="105"/>
          <w:sz w:val="21"/>
        </w:rPr>
        <w:t> </w:t>
      </w:r>
      <w:r>
        <w:rPr>
          <w:spacing w:val="-3"/>
          <w:w w:val="105"/>
          <w:sz w:val="21"/>
        </w:rPr>
        <w:t>to</w:t>
      </w:r>
      <w:r>
        <w:rPr>
          <w:spacing w:val="-5"/>
          <w:w w:val="105"/>
          <w:sz w:val="21"/>
        </w:rPr>
        <w:t> </w:t>
      </w:r>
      <w:r>
        <w:rPr>
          <w:w w:val="105"/>
          <w:sz w:val="21"/>
        </w:rPr>
        <w:t>the</w:t>
      </w:r>
      <w:r>
        <w:rPr>
          <w:spacing w:val="-4"/>
          <w:w w:val="105"/>
          <w:sz w:val="21"/>
        </w:rPr>
        <w:t> </w:t>
      </w:r>
      <w:r>
        <w:rPr>
          <w:w w:val="105"/>
          <w:sz w:val="21"/>
        </w:rPr>
        <w:t>Act</w:t>
      </w:r>
      <w:r>
        <w:rPr>
          <w:spacing w:val="-5"/>
          <w:w w:val="105"/>
          <w:sz w:val="21"/>
        </w:rPr>
        <w:t> </w:t>
      </w:r>
      <w:r>
        <w:rPr>
          <w:w w:val="105"/>
          <w:sz w:val="21"/>
        </w:rPr>
        <w:t>should</w:t>
      </w:r>
      <w:r>
        <w:rPr>
          <w:spacing w:val="-4"/>
          <w:w w:val="105"/>
          <w:sz w:val="21"/>
        </w:rPr>
        <w:t> </w:t>
      </w:r>
      <w:r>
        <w:rPr>
          <w:w w:val="105"/>
          <w:sz w:val="21"/>
        </w:rPr>
        <w:t>be</w:t>
      </w:r>
      <w:r>
        <w:rPr>
          <w:spacing w:val="-4"/>
          <w:w w:val="105"/>
          <w:sz w:val="21"/>
        </w:rPr>
        <w:t> </w:t>
      </w:r>
      <w:r>
        <w:rPr>
          <w:w w:val="105"/>
          <w:sz w:val="21"/>
        </w:rPr>
        <w:t>revised</w:t>
      </w:r>
      <w:r>
        <w:rPr>
          <w:spacing w:val="-5"/>
          <w:w w:val="105"/>
          <w:sz w:val="21"/>
        </w:rPr>
        <w:t> </w:t>
      </w:r>
      <w:r>
        <w:rPr>
          <w:w w:val="105"/>
          <w:sz w:val="21"/>
        </w:rPr>
        <w:t>and</w:t>
      </w:r>
      <w:r>
        <w:rPr>
          <w:spacing w:val="-4"/>
          <w:w w:val="105"/>
          <w:sz w:val="21"/>
        </w:rPr>
        <w:t> </w:t>
      </w:r>
      <w:r>
        <w:rPr>
          <w:spacing w:val="-3"/>
          <w:w w:val="105"/>
          <w:sz w:val="21"/>
        </w:rPr>
        <w:t>incorporated</w:t>
      </w:r>
      <w:r>
        <w:rPr>
          <w:spacing w:val="-5"/>
          <w:w w:val="105"/>
          <w:sz w:val="21"/>
        </w:rPr>
        <w:t> </w:t>
      </w:r>
      <w:r>
        <w:rPr>
          <w:spacing w:val="-4"/>
          <w:w w:val="105"/>
          <w:sz w:val="21"/>
        </w:rPr>
        <w:t>into </w:t>
      </w:r>
      <w:r>
        <w:rPr>
          <w:w w:val="105"/>
          <w:sz w:val="21"/>
        </w:rPr>
        <w:t>the</w:t>
      </w:r>
      <w:r>
        <w:rPr>
          <w:spacing w:val="-5"/>
          <w:w w:val="105"/>
          <w:sz w:val="21"/>
        </w:rPr>
        <w:t> </w:t>
      </w:r>
      <w:r>
        <w:rPr>
          <w:w w:val="105"/>
          <w:sz w:val="21"/>
        </w:rPr>
        <w:t>body</w:t>
      </w:r>
      <w:r>
        <w:rPr>
          <w:spacing w:val="-4"/>
          <w:w w:val="105"/>
          <w:sz w:val="21"/>
        </w:rPr>
        <w:t> </w:t>
      </w:r>
      <w:r>
        <w:rPr>
          <w:w w:val="105"/>
          <w:sz w:val="21"/>
        </w:rPr>
        <w:t>of</w:t>
      </w:r>
      <w:r>
        <w:rPr>
          <w:spacing w:val="-4"/>
          <w:w w:val="105"/>
          <w:sz w:val="21"/>
        </w:rPr>
        <w:t> </w:t>
      </w:r>
      <w:r>
        <w:rPr>
          <w:w w:val="105"/>
          <w:sz w:val="21"/>
        </w:rPr>
        <w:t>the</w:t>
      </w:r>
      <w:r>
        <w:rPr>
          <w:spacing w:val="-5"/>
          <w:w w:val="105"/>
          <w:sz w:val="21"/>
        </w:rPr>
        <w:t> </w:t>
      </w:r>
      <w:r>
        <w:rPr>
          <w:w w:val="105"/>
          <w:sz w:val="21"/>
        </w:rPr>
        <w:t>Act.</w:t>
      </w:r>
    </w:p>
    <w:p>
      <w:pPr>
        <w:pStyle w:val="BodyText"/>
        <w:spacing w:before="2"/>
        <w:rPr>
          <w:sz w:val="25"/>
        </w:rPr>
      </w:pPr>
    </w:p>
    <w:p>
      <w:pPr>
        <w:pStyle w:val="Heading5"/>
        <w:spacing w:line="244" w:lineRule="auto"/>
        <w:ind w:right="1619"/>
      </w:pPr>
      <w:r>
        <w:rPr>
          <w:w w:val="115"/>
        </w:rPr>
        <w:t>Overview</w:t>
      </w:r>
      <w:r>
        <w:rPr>
          <w:spacing w:val="-11"/>
          <w:w w:val="115"/>
        </w:rPr>
        <w:t> </w:t>
      </w:r>
      <w:r>
        <w:rPr>
          <w:w w:val="115"/>
        </w:rPr>
        <w:t>of</w:t>
      </w:r>
      <w:r>
        <w:rPr>
          <w:spacing w:val="-11"/>
          <w:w w:val="115"/>
        </w:rPr>
        <w:t> </w:t>
      </w:r>
      <w:r>
        <w:rPr>
          <w:w w:val="115"/>
        </w:rPr>
        <w:t>the</w:t>
      </w:r>
      <w:r>
        <w:rPr>
          <w:spacing w:val="-10"/>
          <w:w w:val="115"/>
        </w:rPr>
        <w:t> </w:t>
      </w:r>
      <w:r>
        <w:rPr>
          <w:w w:val="115"/>
        </w:rPr>
        <w:t>application</w:t>
      </w:r>
      <w:r>
        <w:rPr>
          <w:spacing w:val="-11"/>
          <w:w w:val="115"/>
        </w:rPr>
        <w:t> </w:t>
      </w:r>
      <w:r>
        <w:rPr>
          <w:w w:val="115"/>
        </w:rPr>
        <w:t>of</w:t>
      </w:r>
      <w:r>
        <w:rPr>
          <w:spacing w:val="-10"/>
          <w:w w:val="115"/>
        </w:rPr>
        <w:t> </w:t>
      </w:r>
      <w:r>
        <w:rPr>
          <w:w w:val="115"/>
        </w:rPr>
        <w:t>assets</w:t>
      </w:r>
      <w:r>
        <w:rPr>
          <w:spacing w:val="-11"/>
          <w:w w:val="115"/>
        </w:rPr>
        <w:t> </w:t>
      </w:r>
      <w:r>
        <w:rPr>
          <w:w w:val="115"/>
        </w:rPr>
        <w:t>for</w:t>
      </w:r>
      <w:r>
        <w:rPr>
          <w:spacing w:val="-10"/>
          <w:w w:val="115"/>
        </w:rPr>
        <w:t> </w:t>
      </w:r>
      <w:r>
        <w:rPr>
          <w:w w:val="115"/>
        </w:rPr>
        <w:t>payment</w:t>
      </w:r>
      <w:r>
        <w:rPr>
          <w:spacing w:val="-11"/>
          <w:w w:val="115"/>
        </w:rPr>
        <w:t> </w:t>
      </w:r>
      <w:r>
        <w:rPr>
          <w:w w:val="115"/>
        </w:rPr>
        <w:t>of</w:t>
      </w:r>
      <w:r>
        <w:rPr>
          <w:spacing w:val="-10"/>
          <w:w w:val="115"/>
        </w:rPr>
        <w:t> </w:t>
      </w:r>
      <w:r>
        <w:rPr>
          <w:w w:val="115"/>
        </w:rPr>
        <w:t>debts</w:t>
      </w:r>
      <w:r>
        <w:rPr>
          <w:spacing w:val="-11"/>
          <w:w w:val="115"/>
        </w:rPr>
        <w:t> </w:t>
      </w:r>
      <w:r>
        <w:rPr>
          <w:w w:val="115"/>
        </w:rPr>
        <w:t>of</w:t>
      </w:r>
      <w:r>
        <w:rPr>
          <w:spacing w:val="-10"/>
          <w:w w:val="115"/>
        </w:rPr>
        <w:t> </w:t>
      </w:r>
      <w:r>
        <w:rPr>
          <w:w w:val="115"/>
        </w:rPr>
        <w:t>deceased estates in</w:t>
      </w:r>
      <w:r>
        <w:rPr>
          <w:spacing w:val="6"/>
          <w:w w:val="115"/>
        </w:rPr>
        <w:t> </w:t>
      </w:r>
      <w:r>
        <w:rPr>
          <w:w w:val="115"/>
        </w:rPr>
        <w:t>Victoria</w:t>
      </w:r>
    </w:p>
    <w:p>
      <w:pPr>
        <w:pStyle w:val="ListParagraph"/>
        <w:numPr>
          <w:ilvl w:val="1"/>
          <w:numId w:val="22"/>
        </w:numPr>
        <w:tabs>
          <w:tab w:pos="2381" w:val="left" w:leader="none"/>
          <w:tab w:pos="2382" w:val="left" w:leader="none"/>
        </w:tabs>
        <w:spacing w:line="242" w:lineRule="auto" w:before="133" w:after="0"/>
        <w:ind w:left="2381" w:right="1636" w:hanging="794"/>
        <w:jc w:val="left"/>
        <w:rPr>
          <w:sz w:val="21"/>
        </w:rPr>
      </w:pPr>
      <w:r>
        <w:rPr>
          <w:sz w:val="21"/>
        </w:rPr>
        <w:t>It is a </w:t>
      </w:r>
      <w:r>
        <w:rPr>
          <w:spacing w:val="-3"/>
          <w:sz w:val="21"/>
        </w:rPr>
        <w:t>fundamental </w:t>
      </w:r>
      <w:r>
        <w:rPr>
          <w:sz w:val="21"/>
        </w:rPr>
        <w:t>duty of the personal representative </w:t>
      </w:r>
      <w:r>
        <w:rPr>
          <w:spacing w:val="-3"/>
          <w:sz w:val="21"/>
        </w:rPr>
        <w:t>to </w:t>
      </w:r>
      <w:r>
        <w:rPr>
          <w:spacing w:val="-2"/>
          <w:sz w:val="21"/>
        </w:rPr>
        <w:t>pay </w:t>
      </w:r>
      <w:r>
        <w:rPr>
          <w:sz w:val="21"/>
        </w:rPr>
        <w:t>out of the estate the  deceased </w:t>
      </w:r>
      <w:r>
        <w:rPr>
          <w:spacing w:val="-3"/>
          <w:sz w:val="21"/>
        </w:rPr>
        <w:t>person’s </w:t>
      </w:r>
      <w:r>
        <w:rPr>
          <w:sz w:val="21"/>
        </w:rPr>
        <w:t>debts and </w:t>
      </w:r>
      <w:r>
        <w:rPr>
          <w:spacing w:val="-3"/>
          <w:sz w:val="21"/>
        </w:rPr>
        <w:t>liabilities, including funeral, </w:t>
      </w:r>
      <w:r>
        <w:rPr>
          <w:sz w:val="21"/>
        </w:rPr>
        <w:t>testamentary and </w:t>
      </w:r>
      <w:r>
        <w:rPr>
          <w:spacing w:val="-3"/>
          <w:sz w:val="21"/>
        </w:rPr>
        <w:t>administration </w:t>
      </w:r>
      <w:r>
        <w:rPr>
          <w:sz w:val="21"/>
        </w:rPr>
        <w:t>expenses.</w:t>
      </w:r>
      <w:r>
        <w:rPr>
          <w:position w:val="7"/>
          <w:sz w:val="12"/>
        </w:rPr>
        <w:t>3 </w:t>
      </w:r>
      <w:r>
        <w:rPr>
          <w:sz w:val="21"/>
        </w:rPr>
        <w:t>The personal representative </w:t>
      </w:r>
      <w:r>
        <w:rPr>
          <w:spacing w:val="-2"/>
          <w:sz w:val="21"/>
        </w:rPr>
        <w:t>has </w:t>
      </w:r>
      <w:r>
        <w:rPr>
          <w:sz w:val="21"/>
        </w:rPr>
        <w:t>the power </w:t>
      </w:r>
      <w:r>
        <w:rPr>
          <w:spacing w:val="-3"/>
          <w:sz w:val="21"/>
        </w:rPr>
        <w:t>to </w:t>
      </w:r>
      <w:r>
        <w:rPr>
          <w:sz w:val="21"/>
        </w:rPr>
        <w:t>sell the </w:t>
      </w:r>
      <w:r>
        <w:rPr>
          <w:spacing w:val="-3"/>
          <w:sz w:val="21"/>
        </w:rPr>
        <w:t>estate’s </w:t>
      </w:r>
      <w:r>
        <w:rPr>
          <w:sz w:val="21"/>
        </w:rPr>
        <w:t>assets </w:t>
      </w:r>
      <w:r>
        <w:rPr>
          <w:spacing w:val="-3"/>
          <w:sz w:val="21"/>
        </w:rPr>
        <w:t>for </w:t>
      </w:r>
      <w:r>
        <w:rPr>
          <w:sz w:val="21"/>
        </w:rPr>
        <w:t>this </w:t>
      </w:r>
      <w:r>
        <w:rPr>
          <w:spacing w:val="-3"/>
          <w:sz w:val="21"/>
        </w:rPr>
        <w:t>purpose.</w:t>
      </w:r>
      <w:r>
        <w:rPr>
          <w:spacing w:val="-3"/>
          <w:position w:val="7"/>
          <w:sz w:val="12"/>
        </w:rPr>
        <w:t>4 </w:t>
      </w:r>
      <w:r>
        <w:rPr>
          <w:sz w:val="21"/>
        </w:rPr>
        <w:t>Assets should </w:t>
      </w:r>
      <w:r>
        <w:rPr>
          <w:spacing w:val="-2"/>
          <w:sz w:val="21"/>
        </w:rPr>
        <w:t>not </w:t>
      </w:r>
      <w:r>
        <w:rPr>
          <w:sz w:val="21"/>
        </w:rPr>
        <w:t>be </w:t>
      </w:r>
      <w:r>
        <w:rPr>
          <w:spacing w:val="-3"/>
          <w:sz w:val="21"/>
        </w:rPr>
        <w:t>distributed to </w:t>
      </w:r>
      <w:r>
        <w:rPr>
          <w:sz w:val="21"/>
        </w:rPr>
        <w:t>the beneficiaries under a  </w:t>
      </w:r>
      <w:r>
        <w:rPr>
          <w:spacing w:val="-3"/>
          <w:sz w:val="21"/>
        </w:rPr>
        <w:t>will  </w:t>
      </w:r>
      <w:r>
        <w:rPr>
          <w:sz w:val="21"/>
        </w:rPr>
        <w:t>or  upon intestacy </w:t>
      </w:r>
      <w:r>
        <w:rPr>
          <w:spacing w:val="-3"/>
          <w:sz w:val="21"/>
        </w:rPr>
        <w:t>until all </w:t>
      </w:r>
      <w:r>
        <w:rPr>
          <w:sz w:val="21"/>
        </w:rPr>
        <w:t>outstanding debts </w:t>
      </w:r>
      <w:r>
        <w:rPr>
          <w:spacing w:val="-3"/>
          <w:sz w:val="21"/>
        </w:rPr>
        <w:t>are</w:t>
      </w:r>
      <w:r>
        <w:rPr>
          <w:spacing w:val="14"/>
          <w:sz w:val="21"/>
        </w:rPr>
        <w:t> </w:t>
      </w:r>
      <w:r>
        <w:rPr>
          <w:sz w:val="21"/>
        </w:rPr>
        <w:t>settled.</w:t>
      </w:r>
    </w:p>
    <w:p>
      <w:pPr>
        <w:pStyle w:val="ListParagraph"/>
        <w:numPr>
          <w:ilvl w:val="1"/>
          <w:numId w:val="22"/>
        </w:numPr>
        <w:tabs>
          <w:tab w:pos="2380" w:val="left" w:leader="none"/>
          <w:tab w:pos="2382" w:val="left" w:leader="none"/>
        </w:tabs>
        <w:spacing w:line="240" w:lineRule="auto" w:before="125" w:after="0"/>
        <w:ind w:left="2381" w:right="0" w:hanging="794"/>
        <w:jc w:val="left"/>
        <w:rPr>
          <w:sz w:val="21"/>
        </w:rPr>
      </w:pPr>
      <w:r>
        <w:rPr>
          <w:w w:val="105"/>
          <w:sz w:val="21"/>
        </w:rPr>
        <w:t>In Victoria, the payment of debts out of an estate is governed by the</w:t>
      </w:r>
      <w:r>
        <w:rPr>
          <w:spacing w:val="28"/>
          <w:w w:val="105"/>
          <w:sz w:val="21"/>
        </w:rPr>
        <w:t> </w:t>
      </w:r>
      <w:r>
        <w:rPr>
          <w:spacing w:val="-3"/>
          <w:w w:val="105"/>
          <w:sz w:val="21"/>
        </w:rPr>
        <w:t>Administration</w:t>
      </w:r>
    </w:p>
    <w:p>
      <w:pPr>
        <w:pStyle w:val="BodyText"/>
        <w:spacing w:line="242" w:lineRule="auto" w:before="4"/>
        <w:ind w:left="2381" w:right="1711"/>
      </w:pPr>
      <w:r>
        <w:rPr/>
        <w:t>and </w:t>
      </w:r>
      <w:r>
        <w:rPr>
          <w:spacing w:val="-3"/>
        </w:rPr>
        <w:t>Probate  </w:t>
      </w:r>
      <w:r>
        <w:rPr/>
        <w:t>Act. Part I, Division 5 of the Act sets out the personal </w:t>
      </w:r>
      <w:r>
        <w:rPr>
          <w:spacing w:val="-3"/>
        </w:rPr>
        <w:t>representative’s</w:t>
      </w:r>
      <w:r>
        <w:rPr>
          <w:spacing w:val="41"/>
        </w:rPr>
        <w:t> </w:t>
      </w:r>
      <w:r>
        <w:rPr/>
        <w:t>powers  </w:t>
      </w:r>
      <w:r>
        <w:rPr>
          <w:spacing w:val="-3"/>
        </w:rPr>
        <w:t>to </w:t>
      </w:r>
      <w:r>
        <w:rPr/>
        <w:t>deal with the </w:t>
      </w:r>
      <w:r>
        <w:rPr>
          <w:spacing w:val="-3"/>
        </w:rPr>
        <w:t>estate’s </w:t>
      </w:r>
      <w:r>
        <w:rPr/>
        <w:t>assets and specifies which assets </w:t>
      </w:r>
      <w:r>
        <w:rPr>
          <w:spacing w:val="-3"/>
        </w:rPr>
        <w:t>are available to </w:t>
      </w:r>
      <w:r>
        <w:rPr>
          <w:spacing w:val="-2"/>
        </w:rPr>
        <w:t>pay</w:t>
      </w:r>
      <w:r>
        <w:rPr>
          <w:spacing w:val="-27"/>
        </w:rPr>
        <w:t> </w:t>
      </w:r>
      <w:r>
        <w:rPr/>
        <w:t>debts.</w:t>
      </w:r>
    </w:p>
    <w:p>
      <w:pPr>
        <w:pStyle w:val="ListParagraph"/>
        <w:numPr>
          <w:ilvl w:val="1"/>
          <w:numId w:val="22"/>
        </w:numPr>
        <w:tabs>
          <w:tab w:pos="2380" w:val="left" w:leader="none"/>
          <w:tab w:pos="2382" w:val="left" w:leader="none"/>
        </w:tabs>
        <w:spacing w:line="242" w:lineRule="auto" w:before="122" w:after="0"/>
        <w:ind w:left="2381" w:right="1884" w:hanging="794"/>
        <w:jc w:val="left"/>
        <w:rPr>
          <w:sz w:val="21"/>
        </w:rPr>
      </w:pPr>
      <w:r>
        <w:rPr>
          <w:w w:val="105"/>
          <w:sz w:val="21"/>
        </w:rPr>
        <w:t>The</w:t>
      </w:r>
      <w:r>
        <w:rPr>
          <w:spacing w:val="-8"/>
          <w:w w:val="105"/>
          <w:sz w:val="21"/>
        </w:rPr>
        <w:t> </w:t>
      </w:r>
      <w:r>
        <w:rPr>
          <w:w w:val="105"/>
          <w:sz w:val="21"/>
        </w:rPr>
        <w:t>Second</w:t>
      </w:r>
      <w:r>
        <w:rPr>
          <w:spacing w:val="-7"/>
          <w:w w:val="105"/>
          <w:sz w:val="21"/>
        </w:rPr>
        <w:t> </w:t>
      </w:r>
      <w:r>
        <w:rPr>
          <w:w w:val="105"/>
          <w:sz w:val="21"/>
        </w:rPr>
        <w:t>Schedule</w:t>
      </w:r>
      <w:r>
        <w:rPr>
          <w:spacing w:val="-7"/>
          <w:w w:val="105"/>
          <w:sz w:val="21"/>
        </w:rPr>
        <w:t> </w:t>
      </w:r>
      <w:r>
        <w:rPr>
          <w:spacing w:val="-3"/>
          <w:w w:val="105"/>
          <w:sz w:val="21"/>
        </w:rPr>
        <w:t>to</w:t>
      </w:r>
      <w:r>
        <w:rPr>
          <w:spacing w:val="-7"/>
          <w:w w:val="105"/>
          <w:sz w:val="21"/>
        </w:rPr>
        <w:t> </w:t>
      </w:r>
      <w:r>
        <w:rPr>
          <w:w w:val="105"/>
          <w:sz w:val="21"/>
        </w:rPr>
        <w:t>the</w:t>
      </w:r>
      <w:r>
        <w:rPr>
          <w:spacing w:val="-7"/>
          <w:w w:val="105"/>
          <w:sz w:val="21"/>
        </w:rPr>
        <w:t> </w:t>
      </w:r>
      <w:r>
        <w:rPr>
          <w:w w:val="105"/>
          <w:sz w:val="21"/>
        </w:rPr>
        <w:t>Act</w:t>
      </w:r>
      <w:r>
        <w:rPr>
          <w:spacing w:val="-7"/>
          <w:w w:val="105"/>
          <w:sz w:val="21"/>
        </w:rPr>
        <w:t> </w:t>
      </w:r>
      <w:r>
        <w:rPr>
          <w:w w:val="105"/>
          <w:sz w:val="21"/>
        </w:rPr>
        <w:t>deals</w:t>
      </w:r>
      <w:r>
        <w:rPr>
          <w:spacing w:val="-7"/>
          <w:w w:val="105"/>
          <w:sz w:val="21"/>
        </w:rPr>
        <w:t> </w:t>
      </w:r>
      <w:r>
        <w:rPr>
          <w:w w:val="105"/>
          <w:sz w:val="21"/>
        </w:rPr>
        <w:t>with</w:t>
      </w:r>
      <w:r>
        <w:rPr>
          <w:spacing w:val="-7"/>
          <w:w w:val="105"/>
          <w:sz w:val="21"/>
        </w:rPr>
        <w:t> </w:t>
      </w:r>
      <w:r>
        <w:rPr>
          <w:w w:val="105"/>
          <w:sz w:val="21"/>
        </w:rPr>
        <w:t>the</w:t>
      </w:r>
      <w:r>
        <w:rPr>
          <w:spacing w:val="-8"/>
          <w:w w:val="105"/>
          <w:sz w:val="21"/>
        </w:rPr>
        <w:t> </w:t>
      </w:r>
      <w:r>
        <w:rPr>
          <w:w w:val="105"/>
          <w:sz w:val="21"/>
        </w:rPr>
        <w:t>payment</w:t>
      </w:r>
      <w:r>
        <w:rPr>
          <w:spacing w:val="-7"/>
          <w:w w:val="105"/>
          <w:sz w:val="21"/>
        </w:rPr>
        <w:t> </w:t>
      </w:r>
      <w:r>
        <w:rPr>
          <w:w w:val="105"/>
          <w:sz w:val="21"/>
        </w:rPr>
        <w:t>of</w:t>
      </w:r>
      <w:r>
        <w:rPr>
          <w:spacing w:val="-7"/>
          <w:w w:val="105"/>
          <w:sz w:val="21"/>
        </w:rPr>
        <w:t> </w:t>
      </w:r>
      <w:r>
        <w:rPr>
          <w:w w:val="105"/>
          <w:sz w:val="21"/>
        </w:rPr>
        <w:t>estate</w:t>
      </w:r>
      <w:r>
        <w:rPr>
          <w:spacing w:val="-7"/>
          <w:w w:val="105"/>
          <w:sz w:val="21"/>
        </w:rPr>
        <w:t> </w:t>
      </w:r>
      <w:r>
        <w:rPr>
          <w:w w:val="105"/>
          <w:sz w:val="21"/>
        </w:rPr>
        <w:t>debts,</w:t>
      </w:r>
      <w:r>
        <w:rPr>
          <w:spacing w:val="-7"/>
          <w:w w:val="105"/>
          <w:sz w:val="21"/>
        </w:rPr>
        <w:t> </w:t>
      </w:r>
      <w:r>
        <w:rPr>
          <w:w w:val="105"/>
          <w:sz w:val="21"/>
        </w:rPr>
        <w:t>and</w:t>
      </w:r>
      <w:r>
        <w:rPr>
          <w:spacing w:val="-7"/>
          <w:w w:val="105"/>
          <w:sz w:val="21"/>
        </w:rPr>
        <w:t> </w:t>
      </w:r>
      <w:r>
        <w:rPr>
          <w:w w:val="105"/>
          <w:sz w:val="21"/>
        </w:rPr>
        <w:t>is</w:t>
      </w:r>
      <w:r>
        <w:rPr>
          <w:spacing w:val="-7"/>
          <w:w w:val="105"/>
          <w:sz w:val="21"/>
        </w:rPr>
        <w:t> </w:t>
      </w:r>
      <w:r>
        <w:rPr>
          <w:w w:val="105"/>
          <w:sz w:val="21"/>
        </w:rPr>
        <w:t>divided </w:t>
      </w:r>
      <w:r>
        <w:rPr>
          <w:spacing w:val="-3"/>
          <w:w w:val="105"/>
          <w:sz w:val="21"/>
        </w:rPr>
        <w:t>into </w:t>
      </w:r>
      <w:r>
        <w:rPr>
          <w:w w:val="105"/>
          <w:sz w:val="21"/>
        </w:rPr>
        <w:t>two</w:t>
      </w:r>
      <w:r>
        <w:rPr>
          <w:spacing w:val="13"/>
          <w:w w:val="105"/>
          <w:sz w:val="21"/>
        </w:rPr>
        <w:t> </w:t>
      </w:r>
      <w:r>
        <w:rPr>
          <w:w w:val="105"/>
          <w:sz w:val="21"/>
        </w:rPr>
        <w:t>parts:</w:t>
      </w:r>
    </w:p>
    <w:p>
      <w:pPr>
        <w:pStyle w:val="ListParagraph"/>
        <w:numPr>
          <w:ilvl w:val="2"/>
          <w:numId w:val="22"/>
        </w:numPr>
        <w:tabs>
          <w:tab w:pos="2721" w:val="left" w:leader="none"/>
          <w:tab w:pos="2722" w:val="left" w:leader="none"/>
        </w:tabs>
        <w:spacing w:line="240" w:lineRule="auto" w:before="122" w:after="0"/>
        <w:ind w:left="2721" w:right="0" w:hanging="340"/>
        <w:jc w:val="left"/>
        <w:rPr>
          <w:sz w:val="21"/>
        </w:rPr>
      </w:pPr>
      <w:r>
        <w:rPr>
          <w:sz w:val="21"/>
        </w:rPr>
        <w:t>Part</w:t>
      </w:r>
      <w:r>
        <w:rPr>
          <w:spacing w:val="8"/>
          <w:sz w:val="21"/>
        </w:rPr>
        <w:t> </w:t>
      </w:r>
      <w:r>
        <w:rPr>
          <w:sz w:val="21"/>
        </w:rPr>
        <w:t>I</w:t>
      </w:r>
      <w:r>
        <w:rPr>
          <w:spacing w:val="9"/>
          <w:sz w:val="21"/>
        </w:rPr>
        <w:t> </w:t>
      </w:r>
      <w:r>
        <w:rPr>
          <w:sz w:val="21"/>
        </w:rPr>
        <w:t>applies</w:t>
      </w:r>
      <w:r>
        <w:rPr>
          <w:spacing w:val="9"/>
          <w:sz w:val="21"/>
        </w:rPr>
        <w:t> </w:t>
      </w:r>
      <w:r>
        <w:rPr>
          <w:spacing w:val="-3"/>
          <w:sz w:val="21"/>
        </w:rPr>
        <w:t>to</w:t>
      </w:r>
      <w:r>
        <w:rPr>
          <w:spacing w:val="9"/>
          <w:sz w:val="21"/>
        </w:rPr>
        <w:t> </w:t>
      </w:r>
      <w:r>
        <w:rPr>
          <w:spacing w:val="-3"/>
          <w:sz w:val="21"/>
        </w:rPr>
        <w:t>insolvent</w:t>
      </w:r>
      <w:r>
        <w:rPr>
          <w:spacing w:val="9"/>
          <w:sz w:val="21"/>
        </w:rPr>
        <w:t> </w:t>
      </w:r>
      <w:r>
        <w:rPr>
          <w:sz w:val="21"/>
        </w:rPr>
        <w:t>estates.</w:t>
      </w:r>
      <w:r>
        <w:rPr>
          <w:spacing w:val="9"/>
          <w:sz w:val="21"/>
        </w:rPr>
        <w:t> </w:t>
      </w:r>
      <w:r>
        <w:rPr>
          <w:sz w:val="21"/>
        </w:rPr>
        <w:t>It</w:t>
      </w:r>
      <w:r>
        <w:rPr>
          <w:spacing w:val="9"/>
          <w:sz w:val="21"/>
        </w:rPr>
        <w:t> </w:t>
      </w:r>
      <w:r>
        <w:rPr>
          <w:sz w:val="21"/>
        </w:rPr>
        <w:t>deals</w:t>
      </w:r>
      <w:r>
        <w:rPr>
          <w:spacing w:val="9"/>
          <w:sz w:val="21"/>
        </w:rPr>
        <w:t> </w:t>
      </w:r>
      <w:r>
        <w:rPr>
          <w:sz w:val="21"/>
        </w:rPr>
        <w:t>with</w:t>
      </w:r>
      <w:r>
        <w:rPr>
          <w:spacing w:val="9"/>
          <w:sz w:val="21"/>
        </w:rPr>
        <w:t> </w:t>
      </w:r>
      <w:r>
        <w:rPr>
          <w:sz w:val="21"/>
        </w:rPr>
        <w:t>the</w:t>
      </w:r>
      <w:r>
        <w:rPr>
          <w:spacing w:val="9"/>
          <w:sz w:val="21"/>
        </w:rPr>
        <w:t> </w:t>
      </w:r>
      <w:r>
        <w:rPr>
          <w:sz w:val="21"/>
        </w:rPr>
        <w:t>priority</w:t>
      </w:r>
      <w:r>
        <w:rPr>
          <w:spacing w:val="9"/>
          <w:sz w:val="21"/>
        </w:rPr>
        <w:t> </w:t>
      </w:r>
      <w:r>
        <w:rPr>
          <w:sz w:val="21"/>
        </w:rPr>
        <w:t>of</w:t>
      </w:r>
      <w:r>
        <w:rPr>
          <w:spacing w:val="9"/>
          <w:sz w:val="21"/>
        </w:rPr>
        <w:t> </w:t>
      </w:r>
      <w:r>
        <w:rPr>
          <w:sz w:val="21"/>
        </w:rPr>
        <w:t>debts—the</w:t>
      </w:r>
      <w:r>
        <w:rPr>
          <w:spacing w:val="9"/>
          <w:sz w:val="21"/>
        </w:rPr>
        <w:t> </w:t>
      </w:r>
      <w:r>
        <w:rPr>
          <w:sz w:val="21"/>
        </w:rPr>
        <w:t>order</w:t>
      </w:r>
    </w:p>
    <w:p>
      <w:pPr>
        <w:pStyle w:val="BodyText"/>
        <w:spacing w:line="242" w:lineRule="auto" w:before="4"/>
        <w:ind w:left="2721" w:right="1543"/>
      </w:pPr>
      <w:r>
        <w:rPr>
          <w:w w:val="105"/>
        </w:rPr>
        <w:t>in which debts will be paid—and imports the rules of the Commonwealth Bankruptcy Act.</w:t>
      </w:r>
    </w:p>
    <w:p>
      <w:pPr>
        <w:pStyle w:val="ListParagraph"/>
        <w:numPr>
          <w:ilvl w:val="2"/>
          <w:numId w:val="22"/>
        </w:numPr>
        <w:tabs>
          <w:tab w:pos="2721" w:val="left" w:leader="none"/>
          <w:tab w:pos="2722" w:val="left" w:leader="none"/>
        </w:tabs>
        <w:spacing w:line="242" w:lineRule="auto" w:before="122" w:after="0"/>
        <w:ind w:left="2721" w:right="1733" w:hanging="340"/>
        <w:jc w:val="left"/>
        <w:rPr>
          <w:sz w:val="21"/>
        </w:rPr>
      </w:pPr>
      <w:r>
        <w:rPr>
          <w:w w:val="105"/>
          <w:sz w:val="21"/>
        </w:rPr>
        <w:t>Part</w:t>
      </w:r>
      <w:r>
        <w:rPr>
          <w:spacing w:val="-10"/>
          <w:w w:val="105"/>
          <w:sz w:val="21"/>
        </w:rPr>
        <w:t> </w:t>
      </w:r>
      <w:r>
        <w:rPr>
          <w:w w:val="105"/>
          <w:sz w:val="21"/>
        </w:rPr>
        <w:t>II</w:t>
      </w:r>
      <w:r>
        <w:rPr>
          <w:spacing w:val="-10"/>
          <w:w w:val="105"/>
          <w:sz w:val="21"/>
        </w:rPr>
        <w:t> </w:t>
      </w:r>
      <w:r>
        <w:rPr>
          <w:w w:val="105"/>
          <w:sz w:val="21"/>
        </w:rPr>
        <w:t>applies</w:t>
      </w:r>
      <w:r>
        <w:rPr>
          <w:spacing w:val="-10"/>
          <w:w w:val="105"/>
          <w:sz w:val="21"/>
        </w:rPr>
        <w:t> </w:t>
      </w:r>
      <w:r>
        <w:rPr>
          <w:spacing w:val="-3"/>
          <w:w w:val="105"/>
          <w:sz w:val="21"/>
        </w:rPr>
        <w:t>to</w:t>
      </w:r>
      <w:r>
        <w:rPr>
          <w:spacing w:val="-10"/>
          <w:w w:val="105"/>
          <w:sz w:val="21"/>
        </w:rPr>
        <w:t> </w:t>
      </w:r>
      <w:r>
        <w:rPr>
          <w:w w:val="105"/>
          <w:sz w:val="21"/>
        </w:rPr>
        <w:t>solvent</w:t>
      </w:r>
      <w:r>
        <w:rPr>
          <w:spacing w:val="-9"/>
          <w:w w:val="105"/>
          <w:sz w:val="21"/>
        </w:rPr>
        <w:t> </w:t>
      </w:r>
      <w:r>
        <w:rPr>
          <w:w w:val="105"/>
          <w:sz w:val="21"/>
        </w:rPr>
        <w:t>estates.</w:t>
      </w:r>
      <w:r>
        <w:rPr>
          <w:spacing w:val="-10"/>
          <w:w w:val="105"/>
          <w:sz w:val="21"/>
        </w:rPr>
        <w:t> </w:t>
      </w:r>
      <w:r>
        <w:rPr>
          <w:w w:val="105"/>
          <w:sz w:val="21"/>
        </w:rPr>
        <w:t>It</w:t>
      </w:r>
      <w:r>
        <w:rPr>
          <w:spacing w:val="-10"/>
          <w:w w:val="105"/>
          <w:sz w:val="21"/>
        </w:rPr>
        <w:t> </w:t>
      </w:r>
      <w:r>
        <w:rPr>
          <w:w w:val="105"/>
          <w:sz w:val="21"/>
        </w:rPr>
        <w:t>deals</w:t>
      </w:r>
      <w:r>
        <w:rPr>
          <w:spacing w:val="-10"/>
          <w:w w:val="105"/>
          <w:sz w:val="21"/>
        </w:rPr>
        <w:t> </w:t>
      </w:r>
      <w:r>
        <w:rPr>
          <w:w w:val="105"/>
          <w:sz w:val="21"/>
        </w:rPr>
        <w:t>with</w:t>
      </w:r>
      <w:r>
        <w:rPr>
          <w:spacing w:val="-9"/>
          <w:w w:val="105"/>
          <w:sz w:val="21"/>
        </w:rPr>
        <w:t> </w:t>
      </w:r>
      <w:r>
        <w:rPr>
          <w:w w:val="105"/>
          <w:sz w:val="21"/>
        </w:rPr>
        <w:t>the</w:t>
      </w:r>
      <w:r>
        <w:rPr>
          <w:spacing w:val="-10"/>
          <w:w w:val="105"/>
          <w:sz w:val="21"/>
        </w:rPr>
        <w:t> </w:t>
      </w:r>
      <w:r>
        <w:rPr>
          <w:i/>
          <w:w w:val="105"/>
          <w:sz w:val="21"/>
        </w:rPr>
        <w:t>order</w:t>
      </w:r>
      <w:r>
        <w:rPr>
          <w:i/>
          <w:spacing w:val="-10"/>
          <w:w w:val="105"/>
          <w:sz w:val="21"/>
        </w:rPr>
        <w:t> </w:t>
      </w:r>
      <w:r>
        <w:rPr>
          <w:i/>
          <w:spacing w:val="-3"/>
          <w:w w:val="105"/>
          <w:sz w:val="21"/>
        </w:rPr>
        <w:t>of</w:t>
      </w:r>
      <w:r>
        <w:rPr>
          <w:i/>
          <w:spacing w:val="-10"/>
          <w:w w:val="105"/>
          <w:sz w:val="21"/>
        </w:rPr>
        <w:t> </w:t>
      </w:r>
      <w:r>
        <w:rPr>
          <w:i/>
          <w:spacing w:val="-3"/>
          <w:w w:val="105"/>
          <w:sz w:val="21"/>
        </w:rPr>
        <w:t>application</w:t>
      </w:r>
      <w:r>
        <w:rPr>
          <w:i/>
          <w:spacing w:val="-9"/>
          <w:w w:val="105"/>
          <w:sz w:val="21"/>
        </w:rPr>
        <w:t> </w:t>
      </w:r>
      <w:r>
        <w:rPr>
          <w:w w:val="105"/>
          <w:sz w:val="21"/>
        </w:rPr>
        <w:t>of</w:t>
      </w:r>
      <w:r>
        <w:rPr>
          <w:spacing w:val="-10"/>
          <w:w w:val="105"/>
          <w:sz w:val="21"/>
        </w:rPr>
        <w:t> </w:t>
      </w:r>
      <w:r>
        <w:rPr>
          <w:w w:val="105"/>
          <w:sz w:val="21"/>
        </w:rPr>
        <w:t>the</w:t>
      </w:r>
      <w:r>
        <w:rPr>
          <w:spacing w:val="-10"/>
          <w:w w:val="105"/>
          <w:sz w:val="21"/>
        </w:rPr>
        <w:t> </w:t>
      </w:r>
      <w:r>
        <w:rPr>
          <w:spacing w:val="-3"/>
          <w:w w:val="105"/>
          <w:sz w:val="21"/>
        </w:rPr>
        <w:t>available </w:t>
      </w:r>
      <w:r>
        <w:rPr>
          <w:w w:val="105"/>
          <w:sz w:val="21"/>
        </w:rPr>
        <w:t>assets—to</w:t>
      </w:r>
      <w:r>
        <w:rPr>
          <w:spacing w:val="-5"/>
          <w:w w:val="105"/>
          <w:sz w:val="21"/>
        </w:rPr>
        <w:t> </w:t>
      </w:r>
      <w:r>
        <w:rPr>
          <w:w w:val="105"/>
          <w:sz w:val="21"/>
        </w:rPr>
        <w:t>what</w:t>
      </w:r>
      <w:r>
        <w:rPr>
          <w:spacing w:val="-5"/>
          <w:w w:val="105"/>
          <w:sz w:val="21"/>
        </w:rPr>
        <w:t> </w:t>
      </w:r>
      <w:r>
        <w:rPr>
          <w:w w:val="105"/>
          <w:sz w:val="21"/>
        </w:rPr>
        <w:t>extent</w:t>
      </w:r>
      <w:r>
        <w:rPr>
          <w:spacing w:val="-5"/>
          <w:w w:val="105"/>
          <w:sz w:val="21"/>
        </w:rPr>
        <w:t> </w:t>
      </w:r>
      <w:r>
        <w:rPr>
          <w:w w:val="105"/>
          <w:sz w:val="21"/>
        </w:rPr>
        <w:t>particular</w:t>
      </w:r>
      <w:r>
        <w:rPr>
          <w:spacing w:val="-5"/>
          <w:w w:val="105"/>
          <w:sz w:val="21"/>
        </w:rPr>
        <w:t> </w:t>
      </w:r>
      <w:r>
        <w:rPr>
          <w:w w:val="105"/>
          <w:sz w:val="21"/>
        </w:rPr>
        <w:t>assets</w:t>
      </w:r>
      <w:r>
        <w:rPr>
          <w:spacing w:val="-4"/>
          <w:w w:val="105"/>
          <w:sz w:val="21"/>
        </w:rPr>
        <w:t> </w:t>
      </w:r>
      <w:r>
        <w:rPr>
          <w:spacing w:val="-3"/>
          <w:w w:val="105"/>
          <w:sz w:val="21"/>
        </w:rPr>
        <w:t>will</w:t>
      </w:r>
      <w:r>
        <w:rPr>
          <w:spacing w:val="-5"/>
          <w:w w:val="105"/>
          <w:sz w:val="21"/>
        </w:rPr>
        <w:t> </w:t>
      </w:r>
      <w:r>
        <w:rPr>
          <w:w w:val="105"/>
          <w:sz w:val="21"/>
        </w:rPr>
        <w:t>actually</w:t>
      </w:r>
      <w:r>
        <w:rPr>
          <w:spacing w:val="-5"/>
          <w:w w:val="105"/>
          <w:sz w:val="21"/>
        </w:rPr>
        <w:t> </w:t>
      </w:r>
      <w:r>
        <w:rPr>
          <w:w w:val="105"/>
          <w:sz w:val="21"/>
        </w:rPr>
        <w:t>bear</w:t>
      </w:r>
      <w:r>
        <w:rPr>
          <w:spacing w:val="-5"/>
          <w:w w:val="105"/>
          <w:sz w:val="21"/>
        </w:rPr>
        <w:t> </w:t>
      </w:r>
      <w:r>
        <w:rPr>
          <w:w w:val="105"/>
          <w:sz w:val="21"/>
        </w:rPr>
        <w:t>the</w:t>
      </w:r>
      <w:r>
        <w:rPr>
          <w:spacing w:val="-4"/>
          <w:w w:val="105"/>
          <w:sz w:val="21"/>
        </w:rPr>
        <w:t> </w:t>
      </w:r>
      <w:r>
        <w:rPr>
          <w:w w:val="105"/>
          <w:sz w:val="21"/>
        </w:rPr>
        <w:t>burden</w:t>
      </w:r>
      <w:r>
        <w:rPr>
          <w:spacing w:val="-5"/>
          <w:w w:val="105"/>
          <w:sz w:val="21"/>
        </w:rPr>
        <w:t> </w:t>
      </w:r>
      <w:r>
        <w:rPr>
          <w:w w:val="105"/>
          <w:sz w:val="21"/>
        </w:rPr>
        <w:t>of</w:t>
      </w:r>
      <w:r>
        <w:rPr>
          <w:spacing w:val="-5"/>
          <w:w w:val="105"/>
          <w:sz w:val="21"/>
        </w:rPr>
        <w:t> </w:t>
      </w:r>
      <w:r>
        <w:rPr>
          <w:w w:val="105"/>
          <w:sz w:val="21"/>
        </w:rPr>
        <w:t>a</w:t>
      </w:r>
      <w:r>
        <w:rPr>
          <w:spacing w:val="-5"/>
          <w:w w:val="105"/>
          <w:sz w:val="21"/>
        </w:rPr>
        <w:t> </w:t>
      </w:r>
      <w:r>
        <w:rPr>
          <w:w w:val="105"/>
          <w:sz w:val="21"/>
        </w:rPr>
        <w:t>debt.</w:t>
      </w:r>
    </w:p>
    <w:p>
      <w:pPr>
        <w:pStyle w:val="ListParagraph"/>
        <w:numPr>
          <w:ilvl w:val="1"/>
          <w:numId w:val="22"/>
        </w:numPr>
        <w:tabs>
          <w:tab w:pos="2381" w:val="left" w:leader="none"/>
          <w:tab w:pos="2382" w:val="left" w:leader="none"/>
        </w:tabs>
        <w:spacing w:line="242" w:lineRule="auto" w:before="122" w:after="0"/>
        <w:ind w:left="2381" w:right="2155" w:hanging="794"/>
        <w:jc w:val="left"/>
        <w:rPr>
          <w:sz w:val="21"/>
        </w:rPr>
      </w:pPr>
      <w:r>
        <w:rPr>
          <w:sz w:val="21"/>
        </w:rPr>
        <w:t>The existing scheme </w:t>
      </w:r>
      <w:r>
        <w:rPr>
          <w:spacing w:val="-3"/>
          <w:sz w:val="21"/>
        </w:rPr>
        <w:t>for </w:t>
      </w:r>
      <w:r>
        <w:rPr>
          <w:sz w:val="21"/>
        </w:rPr>
        <w:t>solvent estates is discussed first </w:t>
      </w:r>
      <w:r>
        <w:rPr>
          <w:spacing w:val="-3"/>
          <w:sz w:val="21"/>
        </w:rPr>
        <w:t>below. </w:t>
      </w:r>
      <w:r>
        <w:rPr>
          <w:sz w:val="21"/>
        </w:rPr>
        <w:t>Insolvent estates </w:t>
      </w:r>
      <w:r>
        <w:rPr>
          <w:spacing w:val="-3"/>
          <w:sz w:val="21"/>
        </w:rPr>
        <w:t>are </w:t>
      </w:r>
      <w:r>
        <w:rPr>
          <w:sz w:val="21"/>
        </w:rPr>
        <w:t>discussed at</w:t>
      </w:r>
      <w:r>
        <w:rPr>
          <w:spacing w:val="17"/>
          <w:sz w:val="21"/>
        </w:rPr>
        <w:t> </w:t>
      </w:r>
      <w:r>
        <w:rPr>
          <w:spacing w:val="2"/>
          <w:sz w:val="21"/>
        </w:rPr>
        <w:t>[8.65]–[8.85].</w:t>
      </w:r>
    </w:p>
    <w:p>
      <w:pPr>
        <w:pStyle w:val="BodyText"/>
        <w:spacing w:before="9"/>
      </w:pPr>
    </w:p>
    <w:p>
      <w:pPr>
        <w:pStyle w:val="Heading4"/>
      </w:pPr>
      <w:r>
        <w:rPr>
          <w:color w:val="EC5A4F"/>
          <w:w w:val="115"/>
        </w:rPr>
        <w:t>Solvent estates</w:t>
      </w:r>
    </w:p>
    <w:p>
      <w:pPr>
        <w:pStyle w:val="Heading5"/>
        <w:spacing w:before="167"/>
      </w:pPr>
      <w:r>
        <w:rPr>
          <w:w w:val="115"/>
        </w:rPr>
        <w:t>Order of application of assets</w:t>
      </w:r>
    </w:p>
    <w:p>
      <w:pPr>
        <w:pStyle w:val="Heading6"/>
        <w:spacing w:before="201"/>
      </w:pPr>
      <w:r>
        <w:rPr>
          <w:w w:val="115"/>
        </w:rPr>
        <w:t>Current law</w:t>
      </w:r>
    </w:p>
    <w:p>
      <w:pPr>
        <w:pStyle w:val="ListParagraph"/>
        <w:numPr>
          <w:ilvl w:val="1"/>
          <w:numId w:val="22"/>
        </w:numPr>
        <w:tabs>
          <w:tab w:pos="2381" w:val="left" w:leader="none"/>
          <w:tab w:pos="2382" w:val="left" w:leader="none"/>
        </w:tabs>
        <w:spacing w:line="242" w:lineRule="auto" w:before="151" w:after="0"/>
        <w:ind w:left="2381" w:right="1625" w:hanging="794"/>
        <w:jc w:val="left"/>
        <w:rPr>
          <w:sz w:val="12"/>
        </w:rPr>
      </w:pPr>
      <w:r>
        <w:rPr>
          <w:sz w:val="21"/>
        </w:rPr>
        <w:t>A solvent estate </w:t>
      </w:r>
      <w:r>
        <w:rPr>
          <w:spacing w:val="-2"/>
          <w:sz w:val="21"/>
        </w:rPr>
        <w:t>has </w:t>
      </w:r>
      <w:r>
        <w:rPr>
          <w:sz w:val="21"/>
        </w:rPr>
        <w:t>sufficient assets </w:t>
      </w:r>
      <w:r>
        <w:rPr>
          <w:spacing w:val="-3"/>
          <w:sz w:val="21"/>
        </w:rPr>
        <w:t>to </w:t>
      </w:r>
      <w:r>
        <w:rPr>
          <w:spacing w:val="-2"/>
          <w:sz w:val="21"/>
        </w:rPr>
        <w:t>pay </w:t>
      </w:r>
      <w:r>
        <w:rPr>
          <w:spacing w:val="-3"/>
          <w:sz w:val="21"/>
        </w:rPr>
        <w:t>all </w:t>
      </w:r>
      <w:r>
        <w:rPr>
          <w:sz w:val="21"/>
        </w:rPr>
        <w:t>debts and </w:t>
      </w:r>
      <w:r>
        <w:rPr>
          <w:spacing w:val="-3"/>
          <w:sz w:val="21"/>
        </w:rPr>
        <w:t>administrative </w:t>
      </w:r>
      <w:r>
        <w:rPr>
          <w:sz w:val="21"/>
        </w:rPr>
        <w:t>expenses in </w:t>
      </w:r>
      <w:r>
        <w:rPr>
          <w:spacing w:val="-4"/>
          <w:sz w:val="21"/>
        </w:rPr>
        <w:t>full.</w:t>
      </w:r>
      <w:r>
        <w:rPr>
          <w:spacing w:val="-4"/>
          <w:position w:val="7"/>
          <w:sz w:val="12"/>
        </w:rPr>
        <w:t>5</w:t>
      </w:r>
      <w:r>
        <w:rPr>
          <w:spacing w:val="-4"/>
          <w:sz w:val="12"/>
        </w:rPr>
        <w:t> </w:t>
      </w:r>
      <w:r>
        <w:rPr>
          <w:sz w:val="21"/>
        </w:rPr>
        <w:t>After debts </w:t>
      </w:r>
      <w:r>
        <w:rPr>
          <w:spacing w:val="-3"/>
          <w:sz w:val="21"/>
        </w:rPr>
        <w:t>are paid, </w:t>
      </w:r>
      <w:r>
        <w:rPr>
          <w:sz w:val="21"/>
        </w:rPr>
        <w:t>the </w:t>
      </w:r>
      <w:r>
        <w:rPr>
          <w:spacing w:val="-3"/>
          <w:sz w:val="21"/>
        </w:rPr>
        <w:t>balance </w:t>
      </w:r>
      <w:r>
        <w:rPr>
          <w:sz w:val="21"/>
        </w:rPr>
        <w:t>of the estate is </w:t>
      </w:r>
      <w:r>
        <w:rPr>
          <w:spacing w:val="-3"/>
          <w:sz w:val="21"/>
        </w:rPr>
        <w:t>distributed  to  </w:t>
      </w:r>
      <w:r>
        <w:rPr>
          <w:sz w:val="21"/>
        </w:rPr>
        <w:t>beneficiaries under the </w:t>
      </w:r>
      <w:r>
        <w:rPr>
          <w:spacing w:val="-3"/>
          <w:sz w:val="21"/>
        </w:rPr>
        <w:t>will</w:t>
      </w:r>
      <w:r>
        <w:rPr>
          <w:spacing w:val="41"/>
          <w:sz w:val="21"/>
        </w:rPr>
        <w:t> </w:t>
      </w:r>
      <w:r>
        <w:rPr>
          <w:sz w:val="21"/>
        </w:rPr>
        <w:t>or in </w:t>
      </w:r>
      <w:r>
        <w:rPr>
          <w:spacing w:val="-3"/>
          <w:sz w:val="21"/>
        </w:rPr>
        <w:t>accordance </w:t>
      </w:r>
      <w:r>
        <w:rPr>
          <w:sz w:val="21"/>
        </w:rPr>
        <w:t>with the rules of </w:t>
      </w:r>
      <w:r>
        <w:rPr>
          <w:spacing w:val="-3"/>
          <w:sz w:val="21"/>
        </w:rPr>
        <w:t>intestacy, </w:t>
      </w:r>
      <w:r>
        <w:rPr>
          <w:sz w:val="21"/>
        </w:rPr>
        <w:t>subject, in each </w:t>
      </w:r>
      <w:r>
        <w:rPr>
          <w:spacing w:val="-3"/>
          <w:sz w:val="21"/>
        </w:rPr>
        <w:t>case, to </w:t>
      </w:r>
      <w:r>
        <w:rPr>
          <w:sz w:val="21"/>
        </w:rPr>
        <w:t>modification by </w:t>
      </w:r>
      <w:r>
        <w:rPr>
          <w:spacing w:val="-3"/>
          <w:sz w:val="21"/>
        </w:rPr>
        <w:t>any </w:t>
      </w:r>
      <w:r>
        <w:rPr>
          <w:sz w:val="21"/>
        </w:rPr>
        <w:t>applicable </w:t>
      </w:r>
      <w:r>
        <w:rPr>
          <w:spacing w:val="-3"/>
          <w:sz w:val="21"/>
        </w:rPr>
        <w:t>family provision</w:t>
      </w:r>
      <w:r>
        <w:rPr>
          <w:spacing w:val="29"/>
          <w:sz w:val="21"/>
        </w:rPr>
        <w:t> </w:t>
      </w:r>
      <w:r>
        <w:rPr>
          <w:spacing w:val="-4"/>
          <w:sz w:val="21"/>
        </w:rPr>
        <w:t>order.</w:t>
      </w:r>
      <w:r>
        <w:rPr>
          <w:spacing w:val="-4"/>
          <w:position w:val="7"/>
          <w:sz w:val="12"/>
        </w:rPr>
        <w:t>6</w:t>
      </w:r>
    </w:p>
    <w:p>
      <w:pPr>
        <w:pStyle w:val="ListParagraph"/>
        <w:numPr>
          <w:ilvl w:val="1"/>
          <w:numId w:val="22"/>
        </w:numPr>
        <w:tabs>
          <w:tab w:pos="2382" w:val="left" w:leader="none"/>
        </w:tabs>
        <w:spacing w:line="242" w:lineRule="auto" w:before="124" w:after="0"/>
        <w:ind w:left="2381" w:right="1624" w:hanging="794"/>
        <w:jc w:val="both"/>
        <w:rPr>
          <w:sz w:val="21"/>
        </w:rPr>
      </w:pPr>
      <w:r>
        <w:rPr>
          <w:sz w:val="21"/>
        </w:rPr>
        <w:t>When </w:t>
      </w:r>
      <w:r>
        <w:rPr>
          <w:spacing w:val="-3"/>
          <w:sz w:val="21"/>
        </w:rPr>
        <w:t>paying </w:t>
      </w:r>
      <w:r>
        <w:rPr>
          <w:sz w:val="21"/>
        </w:rPr>
        <w:t>debts, the personal representative </w:t>
      </w:r>
      <w:r>
        <w:rPr>
          <w:spacing w:val="-3"/>
          <w:sz w:val="21"/>
        </w:rPr>
        <w:t>may </w:t>
      </w:r>
      <w:r>
        <w:rPr>
          <w:sz w:val="21"/>
        </w:rPr>
        <w:t>use </w:t>
      </w:r>
      <w:r>
        <w:rPr>
          <w:spacing w:val="-3"/>
          <w:sz w:val="21"/>
        </w:rPr>
        <w:t>any </w:t>
      </w:r>
      <w:r>
        <w:rPr>
          <w:sz w:val="21"/>
        </w:rPr>
        <w:t>of the </w:t>
      </w:r>
      <w:r>
        <w:rPr>
          <w:spacing w:val="-3"/>
          <w:sz w:val="21"/>
        </w:rPr>
        <w:t>available </w:t>
      </w:r>
      <w:r>
        <w:rPr>
          <w:sz w:val="21"/>
        </w:rPr>
        <w:t>assets in the </w:t>
      </w:r>
      <w:r>
        <w:rPr>
          <w:spacing w:val="-4"/>
          <w:sz w:val="21"/>
        </w:rPr>
        <w:t>estate.</w:t>
      </w:r>
      <w:r>
        <w:rPr>
          <w:spacing w:val="-4"/>
          <w:position w:val="7"/>
          <w:sz w:val="12"/>
        </w:rPr>
        <w:t>7 </w:t>
      </w:r>
      <w:r>
        <w:rPr>
          <w:spacing w:val="-7"/>
          <w:sz w:val="21"/>
        </w:rPr>
        <w:t>To </w:t>
      </w:r>
      <w:r>
        <w:rPr>
          <w:spacing w:val="-3"/>
          <w:sz w:val="21"/>
        </w:rPr>
        <w:t>ensure that creditors are </w:t>
      </w:r>
      <w:r>
        <w:rPr>
          <w:sz w:val="21"/>
        </w:rPr>
        <w:t>paid </w:t>
      </w:r>
      <w:r>
        <w:rPr>
          <w:spacing w:val="-3"/>
          <w:sz w:val="21"/>
        </w:rPr>
        <w:t>expeditiously, </w:t>
      </w:r>
      <w:r>
        <w:rPr>
          <w:sz w:val="21"/>
        </w:rPr>
        <w:t>the most </w:t>
      </w:r>
      <w:r>
        <w:rPr>
          <w:spacing w:val="-3"/>
          <w:sz w:val="21"/>
        </w:rPr>
        <w:t>easily </w:t>
      </w:r>
      <w:r>
        <w:rPr>
          <w:sz w:val="21"/>
        </w:rPr>
        <w:t>sold assets </w:t>
      </w:r>
      <w:r>
        <w:rPr>
          <w:spacing w:val="-3"/>
          <w:sz w:val="21"/>
        </w:rPr>
        <w:t>may </w:t>
      </w:r>
      <w:r>
        <w:rPr>
          <w:sz w:val="21"/>
        </w:rPr>
        <w:t>be used</w:t>
      </w:r>
      <w:r>
        <w:rPr>
          <w:spacing w:val="8"/>
          <w:sz w:val="21"/>
        </w:rPr>
        <w:t> </w:t>
      </w:r>
      <w:r>
        <w:rPr>
          <w:sz w:val="21"/>
        </w:rPr>
        <w:t>first.</w:t>
      </w:r>
    </w:p>
    <w:p>
      <w:pPr>
        <w:pStyle w:val="ListParagraph"/>
        <w:numPr>
          <w:ilvl w:val="1"/>
          <w:numId w:val="22"/>
        </w:numPr>
        <w:tabs>
          <w:tab w:pos="2380" w:val="left" w:leader="none"/>
          <w:tab w:pos="2381" w:val="left" w:leader="none"/>
        </w:tabs>
        <w:spacing w:line="242" w:lineRule="auto" w:before="124" w:after="0"/>
        <w:ind w:left="2380" w:right="1628" w:hanging="793"/>
        <w:jc w:val="left"/>
        <w:rPr>
          <w:sz w:val="12"/>
        </w:rPr>
      </w:pPr>
      <w:r>
        <w:rPr>
          <w:sz w:val="21"/>
        </w:rPr>
        <w:t>This </w:t>
      </w:r>
      <w:r>
        <w:rPr>
          <w:spacing w:val="-3"/>
          <w:sz w:val="21"/>
        </w:rPr>
        <w:t>may result </w:t>
      </w:r>
      <w:r>
        <w:rPr>
          <w:sz w:val="21"/>
        </w:rPr>
        <w:t>in some beneficiaries’ entitlements being disproportionately </w:t>
      </w:r>
      <w:r>
        <w:rPr>
          <w:spacing w:val="-2"/>
          <w:sz w:val="21"/>
        </w:rPr>
        <w:t>depleted, </w:t>
      </w:r>
      <w:r>
        <w:rPr>
          <w:spacing w:val="-3"/>
          <w:sz w:val="21"/>
        </w:rPr>
        <w:t>compared to </w:t>
      </w:r>
      <w:r>
        <w:rPr>
          <w:sz w:val="21"/>
        </w:rPr>
        <w:t>the entitlements of other beneficiaries, simply because the  assets  left  </w:t>
      </w:r>
      <w:r>
        <w:rPr>
          <w:spacing w:val="-3"/>
          <w:sz w:val="21"/>
        </w:rPr>
        <w:t>to </w:t>
      </w:r>
      <w:r>
        <w:rPr>
          <w:sz w:val="21"/>
        </w:rPr>
        <w:t>them </w:t>
      </w:r>
      <w:r>
        <w:rPr>
          <w:spacing w:val="-3"/>
          <w:sz w:val="21"/>
        </w:rPr>
        <w:t>were </w:t>
      </w:r>
      <w:r>
        <w:rPr>
          <w:spacing w:val="-2"/>
          <w:sz w:val="21"/>
        </w:rPr>
        <w:t>easier </w:t>
      </w:r>
      <w:r>
        <w:rPr>
          <w:spacing w:val="-3"/>
          <w:sz w:val="21"/>
        </w:rPr>
        <w:t>to sell. </w:t>
      </w:r>
      <w:r>
        <w:rPr>
          <w:spacing w:val="-7"/>
          <w:sz w:val="21"/>
        </w:rPr>
        <w:t>To </w:t>
      </w:r>
      <w:r>
        <w:rPr>
          <w:sz w:val="21"/>
        </w:rPr>
        <w:t>arrive at a </w:t>
      </w:r>
      <w:r>
        <w:rPr>
          <w:spacing w:val="-4"/>
          <w:sz w:val="21"/>
        </w:rPr>
        <w:t>fairer </w:t>
      </w:r>
      <w:r>
        <w:rPr>
          <w:spacing w:val="-3"/>
          <w:sz w:val="21"/>
        </w:rPr>
        <w:t>outcome for all, </w:t>
      </w:r>
      <w:r>
        <w:rPr>
          <w:sz w:val="21"/>
        </w:rPr>
        <w:t>the </w:t>
      </w:r>
      <w:r>
        <w:rPr>
          <w:spacing w:val="-3"/>
          <w:sz w:val="21"/>
        </w:rPr>
        <w:t>value </w:t>
      </w:r>
      <w:r>
        <w:rPr>
          <w:sz w:val="21"/>
        </w:rPr>
        <w:t>of assets </w:t>
      </w:r>
      <w:r>
        <w:rPr>
          <w:spacing w:val="-3"/>
          <w:sz w:val="21"/>
        </w:rPr>
        <w:t>remaining </w:t>
      </w:r>
      <w:r>
        <w:rPr>
          <w:sz w:val="21"/>
        </w:rPr>
        <w:t>after the debts </w:t>
      </w:r>
      <w:r>
        <w:rPr>
          <w:spacing w:val="-3"/>
          <w:sz w:val="21"/>
        </w:rPr>
        <w:t>are </w:t>
      </w:r>
      <w:r>
        <w:rPr>
          <w:sz w:val="21"/>
        </w:rPr>
        <w:t>paid is adjusted </w:t>
      </w:r>
      <w:r>
        <w:rPr>
          <w:spacing w:val="-3"/>
          <w:sz w:val="21"/>
        </w:rPr>
        <w:t>before </w:t>
      </w:r>
      <w:r>
        <w:rPr>
          <w:sz w:val="21"/>
        </w:rPr>
        <w:t>they </w:t>
      </w:r>
      <w:r>
        <w:rPr>
          <w:spacing w:val="-3"/>
          <w:sz w:val="21"/>
        </w:rPr>
        <w:t>are distributed to</w:t>
      </w:r>
      <w:r>
        <w:rPr>
          <w:spacing w:val="-13"/>
          <w:sz w:val="21"/>
        </w:rPr>
        <w:t> </w:t>
      </w:r>
      <w:r>
        <w:rPr>
          <w:sz w:val="21"/>
        </w:rPr>
        <w:t>the beneficiaries.</w:t>
      </w:r>
      <w:r>
        <w:rPr>
          <w:position w:val="7"/>
          <w:sz w:val="12"/>
        </w:rPr>
        <w:t>8</w:t>
      </w:r>
    </w:p>
    <w:p>
      <w:pPr>
        <w:pStyle w:val="BodyText"/>
        <w:spacing w:before="11"/>
        <w:rPr>
          <w:sz w:val="22"/>
        </w:rPr>
      </w:pPr>
      <w:r>
        <w:rPr/>
        <w:pict>
          <v:line style="position:absolute;mso-position-horizontal-relative:page;mso-position-vertical-relative:paragraph;z-index:10544;mso-wrap-distance-left:0;mso-wrap-distance-right:0" from="79.370102pt,16.474854pt" to="515.905102pt,16.474854pt" stroked="true" strokeweight="1pt" strokecolor="#f9ceca">
            <v:stroke dashstyle="solid"/>
            <w10:wrap type="topAndBottom"/>
          </v:line>
        </w:pict>
      </w:r>
    </w:p>
    <w:p>
      <w:pPr>
        <w:pStyle w:val="BodyText"/>
        <w:spacing w:before="8"/>
        <w:rPr>
          <w:sz w:val="5"/>
        </w:rPr>
      </w:pPr>
    </w:p>
    <w:p>
      <w:pPr>
        <w:spacing w:after="0"/>
        <w:rPr>
          <w:sz w:val="5"/>
        </w:rPr>
        <w:sectPr>
          <w:headerReference w:type="default" r:id="rId104"/>
          <w:headerReference w:type="even" r:id="rId105"/>
          <w:pgSz w:w="11910" w:h="16840"/>
          <w:pgMar w:header="805" w:footer="0" w:top="1360" w:bottom="280" w:left="0" w:right="0"/>
        </w:sectPr>
      </w:pPr>
    </w:p>
    <w:p>
      <w:pPr>
        <w:pStyle w:val="ListParagraph"/>
        <w:numPr>
          <w:ilvl w:val="0"/>
          <w:numId w:val="131"/>
        </w:numPr>
        <w:tabs>
          <w:tab w:pos="2380" w:val="left" w:leader="none"/>
          <w:tab w:pos="2382" w:val="left" w:leader="none"/>
        </w:tabs>
        <w:spacing w:line="240" w:lineRule="auto" w:before="48" w:after="0"/>
        <w:ind w:left="2381" w:right="0" w:hanging="794"/>
        <w:jc w:val="left"/>
        <w:rPr>
          <w:i/>
          <w:sz w:val="13"/>
        </w:rPr>
      </w:pPr>
      <w:r>
        <w:rPr>
          <w:sz w:val="13"/>
        </w:rPr>
        <w:t>Funeral,</w:t>
      </w:r>
      <w:r>
        <w:rPr>
          <w:spacing w:val="16"/>
          <w:sz w:val="13"/>
        </w:rPr>
        <w:t> </w:t>
      </w:r>
      <w:r>
        <w:rPr>
          <w:sz w:val="13"/>
        </w:rPr>
        <w:t>testamentary</w:t>
      </w:r>
      <w:r>
        <w:rPr>
          <w:spacing w:val="16"/>
          <w:sz w:val="13"/>
        </w:rPr>
        <w:t> </w:t>
      </w:r>
      <w:r>
        <w:rPr>
          <w:sz w:val="13"/>
        </w:rPr>
        <w:t>and</w:t>
      </w:r>
      <w:r>
        <w:rPr>
          <w:spacing w:val="16"/>
          <w:sz w:val="13"/>
        </w:rPr>
        <w:t> </w:t>
      </w:r>
      <w:r>
        <w:rPr>
          <w:sz w:val="13"/>
        </w:rPr>
        <w:t>administration</w:t>
      </w:r>
      <w:r>
        <w:rPr>
          <w:spacing w:val="16"/>
          <w:sz w:val="13"/>
        </w:rPr>
        <w:t> </w:t>
      </w:r>
      <w:r>
        <w:rPr>
          <w:sz w:val="13"/>
        </w:rPr>
        <w:t>expenses</w:t>
      </w:r>
      <w:r>
        <w:rPr>
          <w:spacing w:val="16"/>
          <w:sz w:val="13"/>
        </w:rPr>
        <w:t> </w:t>
      </w:r>
      <w:r>
        <w:rPr>
          <w:sz w:val="13"/>
        </w:rPr>
        <w:t>take</w:t>
      </w:r>
      <w:r>
        <w:rPr>
          <w:spacing w:val="16"/>
          <w:sz w:val="13"/>
        </w:rPr>
        <w:t> </w:t>
      </w:r>
      <w:r>
        <w:rPr>
          <w:sz w:val="13"/>
        </w:rPr>
        <w:t>priority,</w:t>
      </w:r>
      <w:r>
        <w:rPr>
          <w:spacing w:val="16"/>
          <w:sz w:val="13"/>
        </w:rPr>
        <w:t> </w:t>
      </w:r>
      <w:r>
        <w:rPr>
          <w:sz w:val="13"/>
        </w:rPr>
        <w:t>in</w:t>
      </w:r>
      <w:r>
        <w:rPr>
          <w:spacing w:val="16"/>
          <w:sz w:val="13"/>
        </w:rPr>
        <w:t> </w:t>
      </w:r>
      <w:r>
        <w:rPr>
          <w:sz w:val="13"/>
        </w:rPr>
        <w:t>most</w:t>
      </w:r>
      <w:r>
        <w:rPr>
          <w:spacing w:val="16"/>
          <w:sz w:val="13"/>
        </w:rPr>
        <w:t> </w:t>
      </w:r>
      <w:r>
        <w:rPr>
          <w:sz w:val="13"/>
        </w:rPr>
        <w:t>cases,</w:t>
      </w:r>
      <w:r>
        <w:rPr>
          <w:spacing w:val="16"/>
          <w:sz w:val="13"/>
        </w:rPr>
        <w:t> </w:t>
      </w:r>
      <w:r>
        <w:rPr>
          <w:sz w:val="13"/>
        </w:rPr>
        <w:t>over</w:t>
      </w:r>
      <w:r>
        <w:rPr>
          <w:spacing w:val="16"/>
          <w:sz w:val="13"/>
        </w:rPr>
        <w:t> </w:t>
      </w:r>
      <w:r>
        <w:rPr>
          <w:sz w:val="13"/>
        </w:rPr>
        <w:t>the</w:t>
      </w:r>
      <w:r>
        <w:rPr>
          <w:spacing w:val="16"/>
          <w:sz w:val="13"/>
        </w:rPr>
        <w:t> </w:t>
      </w:r>
      <w:r>
        <w:rPr>
          <w:sz w:val="13"/>
        </w:rPr>
        <w:t>payment</w:t>
      </w:r>
      <w:r>
        <w:rPr>
          <w:spacing w:val="16"/>
          <w:sz w:val="13"/>
        </w:rPr>
        <w:t> </w:t>
      </w:r>
      <w:r>
        <w:rPr>
          <w:sz w:val="13"/>
        </w:rPr>
        <w:t>of</w:t>
      </w:r>
      <w:r>
        <w:rPr>
          <w:spacing w:val="16"/>
          <w:sz w:val="13"/>
        </w:rPr>
        <w:t> </w:t>
      </w:r>
      <w:r>
        <w:rPr>
          <w:sz w:val="13"/>
        </w:rPr>
        <w:t>other</w:t>
      </w:r>
      <w:r>
        <w:rPr>
          <w:spacing w:val="16"/>
          <w:sz w:val="13"/>
        </w:rPr>
        <w:t> </w:t>
      </w:r>
      <w:r>
        <w:rPr>
          <w:sz w:val="13"/>
        </w:rPr>
        <w:t>debts</w:t>
      </w:r>
      <w:r>
        <w:rPr>
          <w:spacing w:val="16"/>
          <w:sz w:val="13"/>
        </w:rPr>
        <w:t> </w:t>
      </w:r>
      <w:r>
        <w:rPr>
          <w:sz w:val="13"/>
        </w:rPr>
        <w:t>of</w:t>
      </w:r>
      <w:r>
        <w:rPr>
          <w:spacing w:val="16"/>
          <w:sz w:val="13"/>
        </w:rPr>
        <w:t> </w:t>
      </w:r>
      <w:r>
        <w:rPr>
          <w:sz w:val="13"/>
        </w:rPr>
        <w:t>the</w:t>
      </w:r>
      <w:r>
        <w:rPr>
          <w:spacing w:val="16"/>
          <w:sz w:val="13"/>
        </w:rPr>
        <w:t> </w:t>
      </w:r>
      <w:r>
        <w:rPr>
          <w:sz w:val="13"/>
        </w:rPr>
        <w:t>estate:</w:t>
      </w:r>
      <w:r>
        <w:rPr>
          <w:spacing w:val="16"/>
          <w:sz w:val="13"/>
        </w:rPr>
        <w:t> </w:t>
      </w:r>
      <w:r>
        <w:rPr>
          <w:i/>
          <w:sz w:val="13"/>
        </w:rPr>
        <w:t>In</w:t>
      </w:r>
      <w:r>
        <w:rPr>
          <w:i/>
          <w:spacing w:val="15"/>
          <w:sz w:val="13"/>
        </w:rPr>
        <w:t> </w:t>
      </w:r>
      <w:r>
        <w:rPr>
          <w:i/>
          <w:sz w:val="13"/>
        </w:rPr>
        <w:t>Estate</w:t>
      </w:r>
    </w:p>
    <w:p>
      <w:pPr>
        <w:spacing w:before="1"/>
        <w:ind w:left="2381" w:right="0" w:firstLine="0"/>
        <w:jc w:val="left"/>
        <w:rPr>
          <w:sz w:val="13"/>
        </w:rPr>
      </w:pPr>
      <w:r>
        <w:rPr>
          <w:i/>
          <w:w w:val="105"/>
          <w:sz w:val="13"/>
        </w:rPr>
        <w:t>of Dean </w:t>
      </w:r>
      <w:r>
        <w:rPr>
          <w:w w:val="105"/>
          <w:sz w:val="13"/>
        </w:rPr>
        <w:t>(1885) 11 VLR 761, 764 (Molesworth ACJ); </w:t>
      </w:r>
      <w:r>
        <w:rPr>
          <w:i/>
          <w:w w:val="105"/>
          <w:sz w:val="13"/>
        </w:rPr>
        <w:t>Administration and Probate Act 1958 </w:t>
      </w:r>
      <w:r>
        <w:rPr>
          <w:w w:val="105"/>
          <w:sz w:val="13"/>
        </w:rPr>
        <w:t>(Vic) sch 2 pt I cl 1, in relation to insolvent estates.</w:t>
      </w:r>
    </w:p>
    <w:p>
      <w:pPr>
        <w:pStyle w:val="ListParagraph"/>
        <w:numPr>
          <w:ilvl w:val="0"/>
          <w:numId w:val="131"/>
        </w:numPr>
        <w:tabs>
          <w:tab w:pos="2380" w:val="left" w:leader="none"/>
          <w:tab w:pos="2382" w:val="left" w:leader="none"/>
        </w:tabs>
        <w:spacing w:line="240" w:lineRule="auto" w:before="2" w:after="0"/>
        <w:ind w:left="1587" w:right="4807" w:firstLine="0"/>
        <w:jc w:val="left"/>
        <w:rPr>
          <w:sz w:val="13"/>
        </w:rPr>
      </w:pPr>
      <w:r>
        <w:rPr>
          <w:i/>
          <w:w w:val="105"/>
          <w:sz w:val="13"/>
        </w:rPr>
        <w:t>Administration and Probate Act 1958 </w:t>
      </w:r>
      <w:r>
        <w:rPr>
          <w:spacing w:val="2"/>
          <w:w w:val="105"/>
          <w:sz w:val="13"/>
        </w:rPr>
        <w:t>(Vic) </w:t>
      </w:r>
      <w:r>
        <w:rPr>
          <w:w w:val="105"/>
          <w:sz w:val="13"/>
        </w:rPr>
        <w:t>ss </w:t>
      </w:r>
      <w:r>
        <w:rPr>
          <w:spacing w:val="-4"/>
          <w:w w:val="105"/>
          <w:sz w:val="13"/>
        </w:rPr>
        <w:t>37, </w:t>
      </w:r>
      <w:r>
        <w:rPr>
          <w:spacing w:val="3"/>
          <w:w w:val="105"/>
          <w:sz w:val="13"/>
        </w:rPr>
        <w:t>44–5. </w:t>
      </w:r>
      <w:r>
        <w:rPr>
          <w:w w:val="105"/>
          <w:sz w:val="13"/>
        </w:rPr>
        <w:t>5</w:t>
        <w:tab/>
      </w:r>
      <w:r>
        <w:rPr>
          <w:i/>
          <w:w w:val="105"/>
          <w:sz w:val="13"/>
        </w:rPr>
        <w:t>Re Leng </w:t>
      </w:r>
      <w:r>
        <w:rPr>
          <w:w w:val="105"/>
          <w:sz w:val="13"/>
        </w:rPr>
        <w:t>[1895] 1 Ch 652, 658.</w:t>
      </w:r>
    </w:p>
    <w:p>
      <w:pPr>
        <w:pStyle w:val="ListParagraph"/>
        <w:numPr>
          <w:ilvl w:val="0"/>
          <w:numId w:val="132"/>
        </w:numPr>
        <w:tabs>
          <w:tab w:pos="2380" w:val="left" w:leader="none"/>
          <w:tab w:pos="2382" w:val="left" w:leader="none"/>
        </w:tabs>
        <w:spacing w:line="240" w:lineRule="auto" w:before="2" w:after="0"/>
        <w:ind w:left="2381" w:right="0" w:hanging="794"/>
        <w:jc w:val="left"/>
        <w:rPr>
          <w:sz w:val="13"/>
        </w:rPr>
      </w:pPr>
      <w:r>
        <w:rPr>
          <w:sz w:val="13"/>
        </w:rPr>
        <w:t>See</w:t>
      </w:r>
      <w:r>
        <w:rPr>
          <w:spacing w:val="8"/>
          <w:sz w:val="13"/>
        </w:rPr>
        <w:t> </w:t>
      </w:r>
      <w:r>
        <w:rPr>
          <w:sz w:val="13"/>
        </w:rPr>
        <w:t>further</w:t>
      </w:r>
      <w:r>
        <w:rPr>
          <w:spacing w:val="8"/>
          <w:sz w:val="13"/>
        </w:rPr>
        <w:t> </w:t>
      </w:r>
      <w:r>
        <w:rPr>
          <w:sz w:val="13"/>
        </w:rPr>
        <w:t>discussion</w:t>
      </w:r>
      <w:r>
        <w:rPr>
          <w:spacing w:val="8"/>
          <w:sz w:val="13"/>
        </w:rPr>
        <w:t> </w:t>
      </w:r>
      <w:r>
        <w:rPr>
          <w:sz w:val="13"/>
        </w:rPr>
        <w:t>of</w:t>
      </w:r>
      <w:r>
        <w:rPr>
          <w:spacing w:val="8"/>
          <w:sz w:val="13"/>
        </w:rPr>
        <w:t> </w:t>
      </w:r>
      <w:r>
        <w:rPr>
          <w:sz w:val="13"/>
        </w:rPr>
        <w:t>this</w:t>
      </w:r>
      <w:r>
        <w:rPr>
          <w:spacing w:val="9"/>
          <w:sz w:val="13"/>
        </w:rPr>
        <w:t> </w:t>
      </w:r>
      <w:r>
        <w:rPr>
          <w:sz w:val="13"/>
        </w:rPr>
        <w:t>at</w:t>
      </w:r>
      <w:r>
        <w:rPr>
          <w:spacing w:val="8"/>
          <w:sz w:val="13"/>
        </w:rPr>
        <w:t> </w:t>
      </w:r>
      <w:r>
        <w:rPr>
          <w:spacing w:val="2"/>
          <w:sz w:val="13"/>
        </w:rPr>
        <w:t>[8.62].</w:t>
      </w:r>
      <w:r>
        <w:rPr>
          <w:spacing w:val="8"/>
          <w:sz w:val="13"/>
        </w:rPr>
        <w:t> </w:t>
      </w:r>
      <w:r>
        <w:rPr>
          <w:sz w:val="13"/>
        </w:rPr>
        <w:t>Family</w:t>
      </w:r>
      <w:r>
        <w:rPr>
          <w:spacing w:val="8"/>
          <w:sz w:val="13"/>
        </w:rPr>
        <w:t> </w:t>
      </w:r>
      <w:r>
        <w:rPr>
          <w:sz w:val="13"/>
        </w:rPr>
        <w:t>provision</w:t>
      </w:r>
      <w:r>
        <w:rPr>
          <w:spacing w:val="8"/>
          <w:sz w:val="13"/>
        </w:rPr>
        <w:t> </w:t>
      </w:r>
      <w:r>
        <w:rPr>
          <w:sz w:val="13"/>
        </w:rPr>
        <w:t>is</w:t>
      </w:r>
      <w:r>
        <w:rPr>
          <w:spacing w:val="9"/>
          <w:sz w:val="13"/>
        </w:rPr>
        <w:t> </w:t>
      </w:r>
      <w:r>
        <w:rPr>
          <w:sz w:val="13"/>
        </w:rPr>
        <w:t>discussed</w:t>
      </w:r>
      <w:r>
        <w:rPr>
          <w:spacing w:val="8"/>
          <w:sz w:val="13"/>
        </w:rPr>
        <w:t> </w:t>
      </w:r>
      <w:r>
        <w:rPr>
          <w:sz w:val="13"/>
        </w:rPr>
        <w:t>in</w:t>
      </w:r>
      <w:r>
        <w:rPr>
          <w:spacing w:val="8"/>
          <w:sz w:val="13"/>
        </w:rPr>
        <w:t> </w:t>
      </w:r>
      <w:r>
        <w:rPr>
          <w:sz w:val="13"/>
        </w:rPr>
        <w:t>detail</w:t>
      </w:r>
      <w:r>
        <w:rPr>
          <w:spacing w:val="8"/>
          <w:sz w:val="13"/>
        </w:rPr>
        <w:t> </w:t>
      </w:r>
      <w:r>
        <w:rPr>
          <w:sz w:val="13"/>
        </w:rPr>
        <w:t>in</w:t>
      </w:r>
      <w:r>
        <w:rPr>
          <w:spacing w:val="8"/>
          <w:sz w:val="13"/>
        </w:rPr>
        <w:t> </w:t>
      </w:r>
      <w:r>
        <w:rPr>
          <w:sz w:val="13"/>
        </w:rPr>
        <w:t>Chapter</w:t>
      </w:r>
      <w:r>
        <w:rPr>
          <w:spacing w:val="9"/>
          <w:sz w:val="13"/>
        </w:rPr>
        <w:t> </w:t>
      </w:r>
      <w:r>
        <w:rPr>
          <w:sz w:val="13"/>
        </w:rPr>
        <w:t>6.</w:t>
      </w:r>
    </w:p>
    <w:p>
      <w:pPr>
        <w:pStyle w:val="ListParagraph"/>
        <w:numPr>
          <w:ilvl w:val="0"/>
          <w:numId w:val="132"/>
        </w:numPr>
        <w:tabs>
          <w:tab w:pos="2380" w:val="left" w:leader="none"/>
          <w:tab w:pos="2382" w:val="left" w:leader="none"/>
        </w:tabs>
        <w:spacing w:line="240" w:lineRule="auto" w:before="2" w:after="0"/>
        <w:ind w:left="2381" w:right="1" w:hanging="794"/>
        <w:jc w:val="left"/>
        <w:rPr>
          <w:sz w:val="13"/>
        </w:rPr>
      </w:pPr>
      <w:r>
        <w:rPr>
          <w:w w:val="105"/>
          <w:sz w:val="13"/>
        </w:rPr>
        <w:t>See </w:t>
      </w:r>
      <w:r>
        <w:rPr>
          <w:i/>
          <w:w w:val="105"/>
          <w:sz w:val="13"/>
        </w:rPr>
        <w:t>Administration and Probate Act 1958 </w:t>
      </w:r>
      <w:r>
        <w:rPr>
          <w:spacing w:val="2"/>
          <w:w w:val="105"/>
          <w:sz w:val="13"/>
        </w:rPr>
        <w:t>(Vic) </w:t>
      </w:r>
      <w:r>
        <w:rPr>
          <w:w w:val="105"/>
          <w:sz w:val="13"/>
        </w:rPr>
        <w:t>s </w:t>
      </w:r>
      <w:r>
        <w:rPr>
          <w:spacing w:val="-4"/>
          <w:w w:val="105"/>
          <w:sz w:val="13"/>
        </w:rPr>
        <w:t>37. </w:t>
      </w:r>
      <w:r>
        <w:rPr>
          <w:w w:val="105"/>
          <w:sz w:val="13"/>
        </w:rPr>
        <w:t>See also </w:t>
      </w:r>
      <w:r>
        <w:rPr>
          <w:i/>
          <w:w w:val="105"/>
          <w:sz w:val="13"/>
        </w:rPr>
        <w:t>Re Tong; Hilton v Bradbury </w:t>
      </w:r>
      <w:r>
        <w:rPr>
          <w:spacing w:val="-3"/>
          <w:w w:val="105"/>
          <w:sz w:val="13"/>
        </w:rPr>
        <w:t>[1931] </w:t>
      </w:r>
      <w:r>
        <w:rPr>
          <w:w w:val="105"/>
          <w:sz w:val="13"/>
        </w:rPr>
        <w:t>1 Ch 202, </w:t>
      </w:r>
      <w:r>
        <w:rPr>
          <w:spacing w:val="-4"/>
          <w:w w:val="105"/>
          <w:sz w:val="13"/>
        </w:rPr>
        <w:t>212 </w:t>
      </w:r>
      <w:r>
        <w:rPr>
          <w:w w:val="105"/>
          <w:sz w:val="13"/>
        </w:rPr>
        <w:t>in </w:t>
      </w:r>
      <w:r>
        <w:rPr>
          <w:i/>
          <w:w w:val="105"/>
          <w:sz w:val="13"/>
        </w:rPr>
        <w:t>Joyce v Cam </w:t>
      </w:r>
      <w:r>
        <w:rPr>
          <w:spacing w:val="2"/>
          <w:w w:val="105"/>
          <w:sz w:val="13"/>
        </w:rPr>
        <w:t>[2004] </w:t>
      </w:r>
      <w:r>
        <w:rPr>
          <w:w w:val="105"/>
          <w:sz w:val="13"/>
        </w:rPr>
        <w:t>NSWSC</w:t>
      </w:r>
      <w:r>
        <w:rPr>
          <w:spacing w:val="30"/>
          <w:w w:val="105"/>
          <w:sz w:val="13"/>
        </w:rPr>
        <w:t> </w:t>
      </w:r>
      <w:r>
        <w:rPr>
          <w:w w:val="105"/>
          <w:sz w:val="13"/>
        </w:rPr>
        <w:t>621 (28 July </w:t>
      </w:r>
      <w:r>
        <w:rPr>
          <w:spacing w:val="2"/>
          <w:w w:val="105"/>
          <w:sz w:val="13"/>
        </w:rPr>
        <w:t>2004)</w:t>
      </w:r>
      <w:r>
        <w:rPr>
          <w:spacing w:val="18"/>
          <w:w w:val="105"/>
          <w:sz w:val="13"/>
        </w:rPr>
        <w:t> </w:t>
      </w:r>
      <w:r>
        <w:rPr>
          <w:spacing w:val="4"/>
          <w:w w:val="105"/>
          <w:sz w:val="13"/>
        </w:rPr>
        <w:t>[48].</w:t>
      </w:r>
    </w:p>
    <w:p>
      <w:pPr>
        <w:pStyle w:val="ListParagraph"/>
        <w:numPr>
          <w:ilvl w:val="0"/>
          <w:numId w:val="132"/>
        </w:numPr>
        <w:tabs>
          <w:tab w:pos="2381" w:val="left" w:leader="none"/>
          <w:tab w:pos="2382" w:val="left" w:leader="none"/>
        </w:tabs>
        <w:spacing w:line="240" w:lineRule="auto" w:before="2" w:after="0"/>
        <w:ind w:left="2381" w:right="82" w:hanging="794"/>
        <w:jc w:val="left"/>
        <w:rPr>
          <w:sz w:val="13"/>
        </w:rPr>
      </w:pPr>
      <w:r>
        <w:rPr>
          <w:sz w:val="13"/>
        </w:rPr>
        <w:t>This process is known as marshalling. Marshalling is an equitable doctrine applied in the context of the administration of deceased estates              by</w:t>
      </w:r>
      <w:r>
        <w:rPr>
          <w:spacing w:val="13"/>
          <w:sz w:val="13"/>
        </w:rPr>
        <w:t> </w:t>
      </w:r>
      <w:r>
        <w:rPr>
          <w:sz w:val="13"/>
        </w:rPr>
        <w:t>which</w:t>
      </w:r>
      <w:r>
        <w:rPr>
          <w:spacing w:val="13"/>
          <w:sz w:val="13"/>
        </w:rPr>
        <w:t> </w:t>
      </w:r>
      <w:r>
        <w:rPr>
          <w:sz w:val="13"/>
        </w:rPr>
        <w:t>assets</w:t>
      </w:r>
      <w:r>
        <w:rPr>
          <w:spacing w:val="14"/>
          <w:sz w:val="13"/>
        </w:rPr>
        <w:t> </w:t>
      </w:r>
      <w:r>
        <w:rPr>
          <w:sz w:val="13"/>
        </w:rPr>
        <w:t>that</w:t>
      </w:r>
      <w:r>
        <w:rPr>
          <w:spacing w:val="13"/>
          <w:sz w:val="13"/>
        </w:rPr>
        <w:t> </w:t>
      </w:r>
      <w:r>
        <w:rPr>
          <w:sz w:val="13"/>
        </w:rPr>
        <w:t>remain</w:t>
      </w:r>
      <w:r>
        <w:rPr>
          <w:spacing w:val="13"/>
          <w:sz w:val="13"/>
        </w:rPr>
        <w:t> </w:t>
      </w:r>
      <w:r>
        <w:rPr>
          <w:sz w:val="13"/>
        </w:rPr>
        <w:t>after</w:t>
      </w:r>
      <w:r>
        <w:rPr>
          <w:spacing w:val="14"/>
          <w:sz w:val="13"/>
        </w:rPr>
        <w:t> </w:t>
      </w:r>
      <w:r>
        <w:rPr>
          <w:sz w:val="13"/>
        </w:rPr>
        <w:t>the</w:t>
      </w:r>
      <w:r>
        <w:rPr>
          <w:spacing w:val="13"/>
          <w:sz w:val="13"/>
        </w:rPr>
        <w:t> </w:t>
      </w:r>
      <w:r>
        <w:rPr>
          <w:sz w:val="13"/>
        </w:rPr>
        <w:t>estate’s</w:t>
      </w:r>
      <w:r>
        <w:rPr>
          <w:spacing w:val="13"/>
          <w:sz w:val="13"/>
        </w:rPr>
        <w:t> </w:t>
      </w:r>
      <w:r>
        <w:rPr>
          <w:sz w:val="13"/>
        </w:rPr>
        <w:t>debts</w:t>
      </w:r>
      <w:r>
        <w:rPr>
          <w:spacing w:val="14"/>
          <w:sz w:val="13"/>
        </w:rPr>
        <w:t> </w:t>
      </w:r>
      <w:r>
        <w:rPr>
          <w:sz w:val="13"/>
        </w:rPr>
        <w:t>are</w:t>
      </w:r>
      <w:r>
        <w:rPr>
          <w:spacing w:val="13"/>
          <w:sz w:val="13"/>
        </w:rPr>
        <w:t> </w:t>
      </w:r>
      <w:r>
        <w:rPr>
          <w:sz w:val="13"/>
        </w:rPr>
        <w:t>paid</w:t>
      </w:r>
      <w:r>
        <w:rPr>
          <w:spacing w:val="14"/>
          <w:sz w:val="13"/>
        </w:rPr>
        <w:t> </w:t>
      </w:r>
      <w:r>
        <w:rPr>
          <w:sz w:val="13"/>
        </w:rPr>
        <w:t>are</w:t>
      </w:r>
      <w:r>
        <w:rPr>
          <w:spacing w:val="13"/>
          <w:sz w:val="13"/>
        </w:rPr>
        <w:t> </w:t>
      </w:r>
      <w:r>
        <w:rPr>
          <w:sz w:val="13"/>
        </w:rPr>
        <w:t>adjusted</w:t>
      </w:r>
      <w:r>
        <w:rPr>
          <w:spacing w:val="13"/>
          <w:sz w:val="13"/>
        </w:rPr>
        <w:t> </w:t>
      </w:r>
      <w:r>
        <w:rPr>
          <w:sz w:val="13"/>
        </w:rPr>
        <w:t>prior</w:t>
      </w:r>
      <w:r>
        <w:rPr>
          <w:spacing w:val="14"/>
          <w:sz w:val="13"/>
        </w:rPr>
        <w:t> </w:t>
      </w:r>
      <w:r>
        <w:rPr>
          <w:sz w:val="13"/>
        </w:rPr>
        <w:t>to</w:t>
      </w:r>
      <w:r>
        <w:rPr>
          <w:spacing w:val="13"/>
          <w:sz w:val="13"/>
        </w:rPr>
        <w:t> </w:t>
      </w:r>
      <w:r>
        <w:rPr>
          <w:sz w:val="13"/>
        </w:rPr>
        <w:t>distribution</w:t>
      </w:r>
      <w:r>
        <w:rPr>
          <w:spacing w:val="13"/>
          <w:sz w:val="13"/>
        </w:rPr>
        <w:t> </w:t>
      </w:r>
      <w:r>
        <w:rPr>
          <w:sz w:val="13"/>
        </w:rPr>
        <w:t>to</w:t>
      </w:r>
      <w:r>
        <w:rPr>
          <w:spacing w:val="14"/>
          <w:sz w:val="13"/>
        </w:rPr>
        <w:t> </w:t>
      </w:r>
      <w:r>
        <w:rPr>
          <w:sz w:val="13"/>
        </w:rPr>
        <w:t>ensure</w:t>
      </w:r>
      <w:r>
        <w:rPr>
          <w:spacing w:val="13"/>
          <w:sz w:val="13"/>
        </w:rPr>
        <w:t> </w:t>
      </w:r>
      <w:r>
        <w:rPr>
          <w:sz w:val="13"/>
        </w:rPr>
        <w:t>that</w:t>
      </w:r>
      <w:r>
        <w:rPr>
          <w:spacing w:val="14"/>
          <w:sz w:val="13"/>
        </w:rPr>
        <w:t> </w:t>
      </w:r>
      <w:r>
        <w:rPr>
          <w:sz w:val="13"/>
        </w:rPr>
        <w:t>distribution</w:t>
      </w:r>
      <w:r>
        <w:rPr>
          <w:spacing w:val="13"/>
          <w:sz w:val="13"/>
        </w:rPr>
        <w:t> </w:t>
      </w:r>
      <w:r>
        <w:rPr>
          <w:sz w:val="13"/>
        </w:rPr>
        <w:t>among</w:t>
      </w:r>
    </w:p>
    <w:p>
      <w:pPr>
        <w:spacing w:before="3"/>
        <w:ind w:left="2381" w:right="0" w:firstLine="0"/>
        <w:jc w:val="left"/>
        <w:rPr>
          <w:sz w:val="13"/>
        </w:rPr>
      </w:pPr>
      <w:r>
        <w:rPr>
          <w:sz w:val="13"/>
        </w:rPr>
        <w:t>the beneficiaries entitled accords with the order established under the will, statute or at law: Peter Butt and Peter Nygh (eds),</w:t>
      </w:r>
    </w:p>
    <w:p>
      <w:pPr>
        <w:spacing w:before="1"/>
        <w:ind w:left="2381" w:right="0" w:firstLine="0"/>
        <w:jc w:val="left"/>
        <w:rPr>
          <w:sz w:val="13"/>
        </w:rPr>
      </w:pPr>
      <w:r>
        <w:rPr>
          <w:i/>
          <w:w w:val="105"/>
          <w:sz w:val="13"/>
        </w:rPr>
        <w:t>Butterworths Australian Legal Dictionary </w:t>
      </w:r>
      <w:r>
        <w:rPr>
          <w:w w:val="105"/>
          <w:sz w:val="13"/>
        </w:rPr>
        <w:t>(LexisNexis Butterworths, 2nd ed, 1997).</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spacing w:before="176"/>
        <w:ind w:left="570" w:right="573" w:firstLine="0"/>
        <w:jc w:val="center"/>
        <w:rPr>
          <w:b/>
          <w:sz w:val="24"/>
        </w:rPr>
      </w:pPr>
      <w:r>
        <w:rPr>
          <w:b/>
          <w:color w:val="EC5A4F"/>
          <w:w w:val="110"/>
          <w:sz w:val="24"/>
        </w:rPr>
        <w:t>175</w:t>
      </w:r>
    </w:p>
    <w:p>
      <w:pPr>
        <w:spacing w:after="0"/>
        <w:jc w:val="center"/>
        <w:rPr>
          <w:sz w:val="24"/>
        </w:rPr>
        <w:sectPr>
          <w:type w:val="continuous"/>
          <w:pgSz w:w="11910" w:h="16840"/>
          <w:pgMar w:top="920" w:bottom="280" w:left="0" w:right="0"/>
          <w:cols w:num="2" w:equalWidth="0">
            <w:col w:w="10284" w:space="40"/>
            <w:col w:w="1586"/>
          </w:cols>
        </w:sectPr>
      </w:pPr>
    </w:p>
    <w:p>
      <w:pPr>
        <w:pStyle w:val="BodyText"/>
        <w:spacing w:before="9"/>
        <w:rPr>
          <w:b/>
          <w:sz w:val="22"/>
        </w:rPr>
      </w:pPr>
    </w:p>
    <w:p>
      <w:pPr>
        <w:pStyle w:val="ListParagraph"/>
        <w:numPr>
          <w:ilvl w:val="1"/>
          <w:numId w:val="22"/>
        </w:numPr>
        <w:tabs>
          <w:tab w:pos="2380" w:val="left" w:leader="none"/>
          <w:tab w:pos="2381" w:val="left" w:leader="none"/>
        </w:tabs>
        <w:spacing w:line="242" w:lineRule="auto" w:before="92" w:after="0"/>
        <w:ind w:left="2381" w:right="2207" w:hanging="794"/>
        <w:jc w:val="left"/>
        <w:rPr>
          <w:sz w:val="21"/>
        </w:rPr>
      </w:pPr>
      <w:r>
        <w:rPr>
          <w:sz w:val="21"/>
        </w:rPr>
        <w:t>The extent </w:t>
      </w:r>
      <w:r>
        <w:rPr>
          <w:spacing w:val="-3"/>
          <w:sz w:val="21"/>
        </w:rPr>
        <w:t>to </w:t>
      </w:r>
      <w:r>
        <w:rPr>
          <w:sz w:val="21"/>
        </w:rPr>
        <w:t>which each beneficiary’s </w:t>
      </w:r>
      <w:r>
        <w:rPr>
          <w:spacing w:val="-3"/>
          <w:sz w:val="21"/>
        </w:rPr>
        <w:t>share  </w:t>
      </w:r>
      <w:r>
        <w:rPr>
          <w:sz w:val="21"/>
        </w:rPr>
        <w:t>is adjusted after the payment of debts  is </w:t>
      </w:r>
      <w:r>
        <w:rPr>
          <w:spacing w:val="-3"/>
          <w:sz w:val="21"/>
        </w:rPr>
        <w:t>determined</w:t>
      </w:r>
      <w:r>
        <w:rPr>
          <w:spacing w:val="16"/>
          <w:sz w:val="21"/>
        </w:rPr>
        <w:t> </w:t>
      </w:r>
      <w:r>
        <w:rPr>
          <w:sz w:val="21"/>
        </w:rPr>
        <w:t>by:</w:t>
      </w:r>
    </w:p>
    <w:p>
      <w:pPr>
        <w:pStyle w:val="ListParagraph"/>
        <w:numPr>
          <w:ilvl w:val="2"/>
          <w:numId w:val="22"/>
        </w:numPr>
        <w:tabs>
          <w:tab w:pos="2721" w:val="left" w:leader="none"/>
          <w:tab w:pos="2722" w:val="left" w:leader="none"/>
        </w:tabs>
        <w:spacing w:line="240" w:lineRule="auto" w:before="122" w:after="0"/>
        <w:ind w:left="2721" w:right="0" w:hanging="340"/>
        <w:jc w:val="left"/>
        <w:rPr>
          <w:sz w:val="21"/>
        </w:rPr>
      </w:pPr>
      <w:r>
        <w:rPr>
          <w:sz w:val="21"/>
        </w:rPr>
        <w:t>the</w:t>
      </w:r>
      <w:r>
        <w:rPr>
          <w:spacing w:val="9"/>
          <w:sz w:val="21"/>
        </w:rPr>
        <w:t> </w:t>
      </w:r>
      <w:r>
        <w:rPr>
          <w:sz w:val="21"/>
        </w:rPr>
        <w:t>order</w:t>
      </w:r>
      <w:r>
        <w:rPr>
          <w:spacing w:val="9"/>
          <w:sz w:val="21"/>
        </w:rPr>
        <w:t> </w:t>
      </w:r>
      <w:r>
        <w:rPr>
          <w:sz w:val="21"/>
        </w:rPr>
        <w:t>of</w:t>
      </w:r>
      <w:r>
        <w:rPr>
          <w:spacing w:val="10"/>
          <w:sz w:val="21"/>
        </w:rPr>
        <w:t> </w:t>
      </w:r>
      <w:r>
        <w:rPr>
          <w:sz w:val="21"/>
        </w:rPr>
        <w:t>application</w:t>
      </w:r>
      <w:r>
        <w:rPr>
          <w:spacing w:val="9"/>
          <w:sz w:val="21"/>
        </w:rPr>
        <w:t> </w:t>
      </w:r>
      <w:r>
        <w:rPr>
          <w:sz w:val="21"/>
        </w:rPr>
        <w:t>set</w:t>
      </w:r>
      <w:r>
        <w:rPr>
          <w:spacing w:val="10"/>
          <w:sz w:val="21"/>
        </w:rPr>
        <w:t> </w:t>
      </w:r>
      <w:r>
        <w:rPr>
          <w:sz w:val="21"/>
        </w:rPr>
        <w:t>out</w:t>
      </w:r>
      <w:r>
        <w:rPr>
          <w:spacing w:val="9"/>
          <w:sz w:val="21"/>
        </w:rPr>
        <w:t> </w:t>
      </w:r>
      <w:r>
        <w:rPr>
          <w:sz w:val="21"/>
        </w:rPr>
        <w:t>in</w:t>
      </w:r>
      <w:r>
        <w:rPr>
          <w:spacing w:val="10"/>
          <w:sz w:val="21"/>
        </w:rPr>
        <w:t> </w:t>
      </w:r>
      <w:r>
        <w:rPr>
          <w:sz w:val="21"/>
        </w:rPr>
        <w:t>Part</w:t>
      </w:r>
      <w:r>
        <w:rPr>
          <w:spacing w:val="9"/>
          <w:sz w:val="21"/>
        </w:rPr>
        <w:t> </w:t>
      </w:r>
      <w:r>
        <w:rPr>
          <w:sz w:val="21"/>
        </w:rPr>
        <w:t>II</w:t>
      </w:r>
      <w:r>
        <w:rPr>
          <w:spacing w:val="9"/>
          <w:sz w:val="21"/>
        </w:rPr>
        <w:t> </w:t>
      </w:r>
      <w:r>
        <w:rPr>
          <w:sz w:val="21"/>
        </w:rPr>
        <w:t>of</w:t>
      </w:r>
      <w:r>
        <w:rPr>
          <w:spacing w:val="10"/>
          <w:sz w:val="21"/>
        </w:rPr>
        <w:t> </w:t>
      </w:r>
      <w:r>
        <w:rPr>
          <w:sz w:val="21"/>
        </w:rPr>
        <w:t>the</w:t>
      </w:r>
      <w:r>
        <w:rPr>
          <w:spacing w:val="9"/>
          <w:sz w:val="21"/>
        </w:rPr>
        <w:t> </w:t>
      </w:r>
      <w:r>
        <w:rPr>
          <w:sz w:val="21"/>
        </w:rPr>
        <w:t>Second</w:t>
      </w:r>
      <w:r>
        <w:rPr>
          <w:spacing w:val="10"/>
          <w:sz w:val="21"/>
        </w:rPr>
        <w:t> </w:t>
      </w:r>
      <w:r>
        <w:rPr>
          <w:sz w:val="21"/>
        </w:rPr>
        <w:t>Schedule</w:t>
      </w:r>
      <w:r>
        <w:rPr>
          <w:spacing w:val="9"/>
          <w:sz w:val="21"/>
        </w:rPr>
        <w:t> </w:t>
      </w:r>
      <w:r>
        <w:rPr>
          <w:spacing w:val="-3"/>
          <w:sz w:val="21"/>
        </w:rPr>
        <w:t>to</w:t>
      </w:r>
      <w:r>
        <w:rPr>
          <w:spacing w:val="10"/>
          <w:sz w:val="21"/>
        </w:rPr>
        <w:t> </w:t>
      </w:r>
      <w:r>
        <w:rPr>
          <w:sz w:val="21"/>
        </w:rPr>
        <w:t>the</w:t>
      </w:r>
      <w:r>
        <w:rPr>
          <w:spacing w:val="9"/>
          <w:sz w:val="21"/>
        </w:rPr>
        <w:t> </w:t>
      </w:r>
      <w:r>
        <w:rPr>
          <w:sz w:val="21"/>
        </w:rPr>
        <w:t>Act</w:t>
      </w:r>
    </w:p>
    <w:p>
      <w:pPr>
        <w:pStyle w:val="ListParagraph"/>
        <w:numPr>
          <w:ilvl w:val="2"/>
          <w:numId w:val="22"/>
        </w:numPr>
        <w:tabs>
          <w:tab w:pos="2721" w:val="left" w:leader="none"/>
          <w:tab w:pos="2722" w:val="left" w:leader="none"/>
        </w:tabs>
        <w:spacing w:line="242" w:lineRule="auto" w:before="124" w:after="0"/>
        <w:ind w:left="2721" w:right="1819" w:hanging="340"/>
        <w:jc w:val="left"/>
        <w:rPr>
          <w:sz w:val="12"/>
        </w:rPr>
      </w:pPr>
      <w:r>
        <w:rPr>
          <w:spacing w:val="-3"/>
          <w:w w:val="105"/>
          <w:sz w:val="21"/>
        </w:rPr>
        <w:t>any provision </w:t>
      </w:r>
      <w:r>
        <w:rPr>
          <w:w w:val="105"/>
          <w:sz w:val="21"/>
        </w:rPr>
        <w:t>of the </w:t>
      </w:r>
      <w:r>
        <w:rPr>
          <w:spacing w:val="-3"/>
          <w:w w:val="105"/>
          <w:sz w:val="21"/>
        </w:rPr>
        <w:t>will showing </w:t>
      </w:r>
      <w:r>
        <w:rPr>
          <w:w w:val="105"/>
          <w:sz w:val="21"/>
        </w:rPr>
        <w:t>a </w:t>
      </w:r>
      <w:r>
        <w:rPr>
          <w:spacing w:val="-3"/>
          <w:w w:val="105"/>
          <w:sz w:val="21"/>
        </w:rPr>
        <w:t>‘contrary </w:t>
      </w:r>
      <w:r>
        <w:rPr>
          <w:spacing w:val="-5"/>
          <w:w w:val="105"/>
          <w:sz w:val="21"/>
        </w:rPr>
        <w:t>intention’, </w:t>
      </w:r>
      <w:r>
        <w:rPr>
          <w:spacing w:val="-3"/>
          <w:w w:val="105"/>
          <w:sz w:val="21"/>
        </w:rPr>
        <w:t>meaning </w:t>
      </w:r>
      <w:r>
        <w:rPr>
          <w:w w:val="105"/>
          <w:sz w:val="21"/>
        </w:rPr>
        <w:t>an </w:t>
      </w:r>
      <w:r>
        <w:rPr>
          <w:spacing w:val="-3"/>
          <w:w w:val="105"/>
          <w:sz w:val="21"/>
        </w:rPr>
        <w:t>intention </w:t>
      </w:r>
      <w:r>
        <w:rPr>
          <w:w w:val="105"/>
          <w:sz w:val="21"/>
        </w:rPr>
        <w:t>by the </w:t>
      </w:r>
      <w:r>
        <w:rPr>
          <w:spacing w:val="-3"/>
          <w:w w:val="105"/>
          <w:sz w:val="21"/>
        </w:rPr>
        <w:t>will-maker that </w:t>
      </w:r>
      <w:r>
        <w:rPr>
          <w:w w:val="105"/>
          <w:sz w:val="21"/>
        </w:rPr>
        <w:t>the assets of the estate should be applied </w:t>
      </w:r>
      <w:r>
        <w:rPr>
          <w:spacing w:val="-3"/>
          <w:w w:val="105"/>
          <w:sz w:val="21"/>
        </w:rPr>
        <w:t>to </w:t>
      </w:r>
      <w:r>
        <w:rPr>
          <w:w w:val="105"/>
          <w:sz w:val="21"/>
        </w:rPr>
        <w:t>the payment of estate debts in </w:t>
      </w:r>
      <w:r>
        <w:rPr>
          <w:spacing w:val="-3"/>
          <w:w w:val="105"/>
          <w:sz w:val="21"/>
        </w:rPr>
        <w:t>another</w:t>
      </w:r>
      <w:r>
        <w:rPr>
          <w:spacing w:val="16"/>
          <w:w w:val="105"/>
          <w:sz w:val="21"/>
        </w:rPr>
        <w:t> </w:t>
      </w:r>
      <w:r>
        <w:rPr>
          <w:spacing w:val="-6"/>
          <w:w w:val="105"/>
          <w:sz w:val="21"/>
        </w:rPr>
        <w:t>way.</w:t>
      </w:r>
      <w:r>
        <w:rPr>
          <w:spacing w:val="-6"/>
          <w:w w:val="105"/>
          <w:position w:val="7"/>
          <w:sz w:val="12"/>
        </w:rPr>
        <w:t>9</w:t>
      </w:r>
    </w:p>
    <w:p>
      <w:pPr>
        <w:pStyle w:val="ListParagraph"/>
        <w:numPr>
          <w:ilvl w:val="1"/>
          <w:numId w:val="22"/>
        </w:numPr>
        <w:tabs>
          <w:tab w:pos="2382" w:val="left" w:leader="none"/>
        </w:tabs>
        <w:spacing w:line="242" w:lineRule="auto" w:before="123" w:after="0"/>
        <w:ind w:left="2381" w:right="1767" w:hanging="794"/>
        <w:jc w:val="both"/>
        <w:rPr>
          <w:sz w:val="21"/>
        </w:rPr>
      </w:pPr>
      <w:r>
        <w:rPr>
          <w:sz w:val="21"/>
        </w:rPr>
        <w:t>The order of application sets out categories of asset in the order upon which they </w:t>
      </w:r>
      <w:r>
        <w:rPr>
          <w:spacing w:val="-3"/>
          <w:sz w:val="21"/>
        </w:rPr>
        <w:t>are to  </w:t>
      </w:r>
      <w:r>
        <w:rPr>
          <w:sz w:val="21"/>
        </w:rPr>
        <w:t>be </w:t>
      </w:r>
      <w:r>
        <w:rPr>
          <w:spacing w:val="-3"/>
          <w:sz w:val="21"/>
        </w:rPr>
        <w:t>drawn. </w:t>
      </w:r>
      <w:r>
        <w:rPr>
          <w:sz w:val="21"/>
        </w:rPr>
        <w:t>The personal representative applies the assets in the first category </w:t>
      </w:r>
      <w:r>
        <w:rPr>
          <w:spacing w:val="-3"/>
          <w:sz w:val="21"/>
        </w:rPr>
        <w:t>to </w:t>
      </w:r>
      <w:r>
        <w:rPr>
          <w:spacing w:val="-2"/>
          <w:sz w:val="21"/>
        </w:rPr>
        <w:t>pay </w:t>
      </w:r>
      <w:r>
        <w:rPr>
          <w:sz w:val="21"/>
        </w:rPr>
        <w:t>the debts, and </w:t>
      </w:r>
      <w:r>
        <w:rPr>
          <w:spacing w:val="-3"/>
          <w:sz w:val="21"/>
        </w:rPr>
        <w:t>will  </w:t>
      </w:r>
      <w:r>
        <w:rPr>
          <w:sz w:val="21"/>
        </w:rPr>
        <w:t>move </w:t>
      </w:r>
      <w:r>
        <w:rPr>
          <w:spacing w:val="-3"/>
          <w:sz w:val="21"/>
        </w:rPr>
        <w:t>to</w:t>
      </w:r>
      <w:r>
        <w:rPr>
          <w:spacing w:val="41"/>
          <w:sz w:val="21"/>
        </w:rPr>
        <w:t> </w:t>
      </w:r>
      <w:r>
        <w:rPr>
          <w:sz w:val="21"/>
        </w:rPr>
        <w:t>the second and </w:t>
      </w:r>
      <w:r>
        <w:rPr>
          <w:spacing w:val="-3"/>
          <w:sz w:val="21"/>
        </w:rPr>
        <w:t>subsequent  </w:t>
      </w:r>
      <w:r>
        <w:rPr>
          <w:sz w:val="21"/>
        </w:rPr>
        <w:t>categories only if the prior category  is</w:t>
      </w:r>
      <w:r>
        <w:rPr>
          <w:spacing w:val="8"/>
          <w:sz w:val="21"/>
        </w:rPr>
        <w:t> </w:t>
      </w:r>
      <w:r>
        <w:rPr>
          <w:spacing w:val="-3"/>
          <w:sz w:val="21"/>
        </w:rPr>
        <w:t>exhausted.</w:t>
      </w:r>
    </w:p>
    <w:p>
      <w:pPr>
        <w:pStyle w:val="ListParagraph"/>
        <w:numPr>
          <w:ilvl w:val="1"/>
          <w:numId w:val="22"/>
        </w:numPr>
        <w:tabs>
          <w:tab w:pos="2380" w:val="left" w:leader="none"/>
          <w:tab w:pos="2381" w:val="left" w:leader="none"/>
        </w:tabs>
        <w:spacing w:line="242" w:lineRule="auto" w:before="124" w:after="0"/>
        <w:ind w:left="2381" w:right="2051" w:hanging="794"/>
        <w:jc w:val="left"/>
        <w:rPr>
          <w:sz w:val="21"/>
        </w:rPr>
      </w:pPr>
      <w:r>
        <w:rPr>
          <w:w w:val="105"/>
          <w:sz w:val="21"/>
        </w:rPr>
        <w:t>Under this system, a gift </w:t>
      </w:r>
      <w:r>
        <w:rPr>
          <w:spacing w:val="-3"/>
          <w:w w:val="105"/>
          <w:sz w:val="21"/>
        </w:rPr>
        <w:t>to </w:t>
      </w:r>
      <w:r>
        <w:rPr>
          <w:w w:val="105"/>
          <w:sz w:val="21"/>
        </w:rPr>
        <w:t>a beneficiary </w:t>
      </w:r>
      <w:r>
        <w:rPr>
          <w:spacing w:val="-3"/>
          <w:w w:val="105"/>
          <w:sz w:val="21"/>
        </w:rPr>
        <w:t>that </w:t>
      </w:r>
      <w:r>
        <w:rPr>
          <w:w w:val="105"/>
          <w:sz w:val="21"/>
        </w:rPr>
        <w:t>was </w:t>
      </w:r>
      <w:r>
        <w:rPr>
          <w:spacing w:val="-3"/>
          <w:w w:val="105"/>
          <w:sz w:val="21"/>
        </w:rPr>
        <w:t>initially </w:t>
      </w:r>
      <w:r>
        <w:rPr>
          <w:w w:val="105"/>
          <w:sz w:val="21"/>
        </w:rPr>
        <w:t>used </w:t>
      </w:r>
      <w:r>
        <w:rPr>
          <w:spacing w:val="-3"/>
          <w:w w:val="105"/>
          <w:sz w:val="21"/>
        </w:rPr>
        <w:t>to </w:t>
      </w:r>
      <w:r>
        <w:rPr>
          <w:spacing w:val="-2"/>
          <w:w w:val="105"/>
          <w:sz w:val="21"/>
        </w:rPr>
        <w:t>pay </w:t>
      </w:r>
      <w:r>
        <w:rPr>
          <w:w w:val="105"/>
          <w:sz w:val="21"/>
        </w:rPr>
        <w:t>debts can be </w:t>
      </w:r>
      <w:r>
        <w:rPr>
          <w:spacing w:val="-3"/>
          <w:w w:val="105"/>
          <w:sz w:val="21"/>
        </w:rPr>
        <w:t>reinstated</w:t>
      </w:r>
      <w:r>
        <w:rPr>
          <w:spacing w:val="-6"/>
          <w:w w:val="105"/>
          <w:sz w:val="21"/>
        </w:rPr>
        <w:t> </w:t>
      </w:r>
      <w:r>
        <w:rPr>
          <w:w w:val="105"/>
          <w:sz w:val="21"/>
        </w:rPr>
        <w:t>in</w:t>
      </w:r>
      <w:r>
        <w:rPr>
          <w:spacing w:val="-6"/>
          <w:w w:val="105"/>
          <w:sz w:val="21"/>
        </w:rPr>
        <w:t> </w:t>
      </w:r>
      <w:r>
        <w:rPr>
          <w:spacing w:val="-3"/>
          <w:w w:val="105"/>
          <w:sz w:val="21"/>
        </w:rPr>
        <w:t>full</w:t>
      </w:r>
      <w:r>
        <w:rPr>
          <w:spacing w:val="-6"/>
          <w:w w:val="105"/>
          <w:sz w:val="21"/>
        </w:rPr>
        <w:t> </w:t>
      </w:r>
      <w:r>
        <w:rPr>
          <w:w w:val="105"/>
          <w:sz w:val="21"/>
        </w:rPr>
        <w:t>or</w:t>
      </w:r>
      <w:r>
        <w:rPr>
          <w:spacing w:val="-6"/>
          <w:w w:val="105"/>
          <w:sz w:val="21"/>
        </w:rPr>
        <w:t> </w:t>
      </w:r>
      <w:r>
        <w:rPr>
          <w:w w:val="105"/>
          <w:sz w:val="21"/>
        </w:rPr>
        <w:t>in</w:t>
      </w:r>
      <w:r>
        <w:rPr>
          <w:spacing w:val="-5"/>
          <w:w w:val="105"/>
          <w:sz w:val="21"/>
        </w:rPr>
        <w:t> </w:t>
      </w:r>
      <w:r>
        <w:rPr>
          <w:w w:val="105"/>
          <w:sz w:val="21"/>
        </w:rPr>
        <w:t>part,</w:t>
      </w:r>
      <w:r>
        <w:rPr>
          <w:spacing w:val="-6"/>
          <w:w w:val="105"/>
          <w:sz w:val="21"/>
        </w:rPr>
        <w:t> </w:t>
      </w:r>
      <w:r>
        <w:rPr>
          <w:w w:val="105"/>
          <w:sz w:val="21"/>
        </w:rPr>
        <w:t>and</w:t>
      </w:r>
      <w:r>
        <w:rPr>
          <w:spacing w:val="-6"/>
          <w:w w:val="105"/>
          <w:sz w:val="21"/>
        </w:rPr>
        <w:t> </w:t>
      </w:r>
      <w:r>
        <w:rPr>
          <w:w w:val="105"/>
          <w:sz w:val="21"/>
        </w:rPr>
        <w:t>other</w:t>
      </w:r>
      <w:r>
        <w:rPr>
          <w:spacing w:val="-6"/>
          <w:w w:val="105"/>
          <w:sz w:val="21"/>
        </w:rPr>
        <w:t> </w:t>
      </w:r>
      <w:r>
        <w:rPr>
          <w:w w:val="105"/>
          <w:sz w:val="21"/>
        </w:rPr>
        <w:t>beneficiaries’</w:t>
      </w:r>
      <w:r>
        <w:rPr>
          <w:spacing w:val="-6"/>
          <w:w w:val="105"/>
          <w:sz w:val="21"/>
        </w:rPr>
        <w:t> </w:t>
      </w:r>
      <w:r>
        <w:rPr>
          <w:w w:val="105"/>
          <w:sz w:val="21"/>
        </w:rPr>
        <w:t>gifts</w:t>
      </w:r>
      <w:r>
        <w:rPr>
          <w:spacing w:val="-5"/>
          <w:w w:val="105"/>
          <w:sz w:val="21"/>
        </w:rPr>
        <w:t> </w:t>
      </w:r>
      <w:r>
        <w:rPr>
          <w:spacing w:val="-3"/>
          <w:w w:val="105"/>
          <w:sz w:val="21"/>
        </w:rPr>
        <w:t>may</w:t>
      </w:r>
      <w:r>
        <w:rPr>
          <w:spacing w:val="-6"/>
          <w:w w:val="105"/>
          <w:sz w:val="21"/>
        </w:rPr>
        <w:t> </w:t>
      </w:r>
      <w:r>
        <w:rPr>
          <w:w w:val="105"/>
          <w:sz w:val="21"/>
        </w:rPr>
        <w:t>be</w:t>
      </w:r>
      <w:r>
        <w:rPr>
          <w:spacing w:val="-6"/>
          <w:w w:val="105"/>
          <w:sz w:val="21"/>
        </w:rPr>
        <w:t> </w:t>
      </w:r>
      <w:r>
        <w:rPr>
          <w:spacing w:val="-3"/>
          <w:w w:val="105"/>
          <w:sz w:val="21"/>
        </w:rPr>
        <w:t>reduced</w:t>
      </w:r>
      <w:r>
        <w:rPr>
          <w:spacing w:val="-6"/>
          <w:w w:val="105"/>
          <w:sz w:val="21"/>
        </w:rPr>
        <w:t> </w:t>
      </w:r>
      <w:r>
        <w:rPr>
          <w:spacing w:val="-4"/>
          <w:w w:val="105"/>
          <w:sz w:val="21"/>
        </w:rPr>
        <w:t>accordingly.</w:t>
      </w:r>
    </w:p>
    <w:p>
      <w:pPr>
        <w:pStyle w:val="ListParagraph"/>
        <w:numPr>
          <w:ilvl w:val="1"/>
          <w:numId w:val="22"/>
        </w:numPr>
        <w:tabs>
          <w:tab w:pos="2380" w:val="left" w:leader="none"/>
          <w:tab w:pos="2381" w:val="left" w:leader="none"/>
        </w:tabs>
        <w:spacing w:line="242" w:lineRule="auto" w:before="122" w:after="0"/>
        <w:ind w:left="2380" w:right="1656" w:hanging="793"/>
        <w:jc w:val="left"/>
        <w:rPr>
          <w:sz w:val="21"/>
        </w:rPr>
      </w:pPr>
      <w:r>
        <w:rPr>
          <w:sz w:val="21"/>
        </w:rPr>
        <w:t>If </w:t>
      </w:r>
      <w:r>
        <w:rPr>
          <w:spacing w:val="-3"/>
          <w:sz w:val="21"/>
        </w:rPr>
        <w:t>all </w:t>
      </w:r>
      <w:r>
        <w:rPr>
          <w:sz w:val="21"/>
        </w:rPr>
        <w:t>categories of asset </w:t>
      </w:r>
      <w:r>
        <w:rPr>
          <w:spacing w:val="-3"/>
          <w:sz w:val="21"/>
        </w:rPr>
        <w:t>are </w:t>
      </w:r>
      <w:r>
        <w:rPr>
          <w:sz w:val="21"/>
        </w:rPr>
        <w:t>exhausted </w:t>
      </w:r>
      <w:r>
        <w:rPr>
          <w:spacing w:val="-3"/>
          <w:sz w:val="21"/>
        </w:rPr>
        <w:t>before </w:t>
      </w:r>
      <w:r>
        <w:rPr>
          <w:sz w:val="21"/>
        </w:rPr>
        <w:t>the </w:t>
      </w:r>
      <w:r>
        <w:rPr>
          <w:spacing w:val="-3"/>
          <w:sz w:val="21"/>
        </w:rPr>
        <w:t>estate’s  </w:t>
      </w:r>
      <w:r>
        <w:rPr>
          <w:sz w:val="21"/>
        </w:rPr>
        <w:t>debts </w:t>
      </w:r>
      <w:r>
        <w:rPr>
          <w:spacing w:val="-3"/>
          <w:sz w:val="21"/>
        </w:rPr>
        <w:t>are</w:t>
      </w:r>
      <w:r>
        <w:rPr>
          <w:spacing w:val="41"/>
          <w:sz w:val="21"/>
        </w:rPr>
        <w:t> </w:t>
      </w:r>
      <w:r>
        <w:rPr>
          <w:sz w:val="21"/>
        </w:rPr>
        <w:t>paid in </w:t>
      </w:r>
      <w:r>
        <w:rPr>
          <w:spacing w:val="-4"/>
          <w:sz w:val="21"/>
        </w:rPr>
        <w:t>full,  </w:t>
      </w:r>
      <w:r>
        <w:rPr>
          <w:sz w:val="21"/>
        </w:rPr>
        <w:t>the estate is </w:t>
      </w:r>
      <w:r>
        <w:rPr>
          <w:spacing w:val="-3"/>
          <w:sz w:val="21"/>
        </w:rPr>
        <w:t>insolvent, </w:t>
      </w:r>
      <w:r>
        <w:rPr>
          <w:sz w:val="21"/>
        </w:rPr>
        <w:t>and the beneficiaries </w:t>
      </w:r>
      <w:r>
        <w:rPr>
          <w:spacing w:val="-3"/>
          <w:sz w:val="21"/>
        </w:rPr>
        <w:t>will </w:t>
      </w:r>
      <w:r>
        <w:rPr>
          <w:spacing w:val="-2"/>
          <w:sz w:val="21"/>
        </w:rPr>
        <w:t>not </w:t>
      </w:r>
      <w:r>
        <w:rPr>
          <w:sz w:val="21"/>
        </w:rPr>
        <w:t>receive </w:t>
      </w:r>
      <w:r>
        <w:rPr>
          <w:spacing w:val="-3"/>
          <w:sz w:val="21"/>
        </w:rPr>
        <w:t>any </w:t>
      </w:r>
      <w:r>
        <w:rPr>
          <w:sz w:val="21"/>
        </w:rPr>
        <w:t>benefits under the</w:t>
      </w:r>
      <w:r>
        <w:rPr>
          <w:spacing w:val="7"/>
          <w:sz w:val="21"/>
        </w:rPr>
        <w:t> </w:t>
      </w:r>
      <w:r>
        <w:rPr>
          <w:spacing w:val="-3"/>
          <w:sz w:val="21"/>
        </w:rPr>
        <w:t>will.</w:t>
      </w:r>
    </w:p>
    <w:p>
      <w:pPr>
        <w:pStyle w:val="ListParagraph"/>
        <w:numPr>
          <w:ilvl w:val="1"/>
          <w:numId w:val="22"/>
        </w:numPr>
        <w:tabs>
          <w:tab w:pos="2380" w:val="left" w:leader="none"/>
          <w:tab w:pos="2381" w:val="left" w:leader="none"/>
        </w:tabs>
        <w:spacing w:line="240" w:lineRule="auto" w:before="123" w:after="0"/>
        <w:ind w:left="2380" w:right="0" w:hanging="794"/>
        <w:jc w:val="left"/>
        <w:rPr>
          <w:sz w:val="21"/>
        </w:rPr>
      </w:pPr>
      <w:r>
        <w:rPr>
          <w:w w:val="105"/>
          <w:sz w:val="21"/>
        </w:rPr>
        <w:t>The Victorian order of application</w:t>
      </w:r>
      <w:r>
        <w:rPr>
          <w:w w:val="105"/>
          <w:position w:val="7"/>
          <w:sz w:val="12"/>
        </w:rPr>
        <w:t>10 </w:t>
      </w:r>
      <w:r>
        <w:rPr>
          <w:spacing w:val="-3"/>
          <w:w w:val="105"/>
          <w:sz w:val="21"/>
        </w:rPr>
        <w:t>contains </w:t>
      </w:r>
      <w:r>
        <w:rPr>
          <w:w w:val="105"/>
          <w:sz w:val="21"/>
        </w:rPr>
        <w:t>a </w:t>
      </w:r>
      <w:r>
        <w:rPr>
          <w:spacing w:val="-3"/>
          <w:w w:val="105"/>
          <w:sz w:val="21"/>
        </w:rPr>
        <w:t>hierarchy </w:t>
      </w:r>
      <w:r>
        <w:rPr>
          <w:w w:val="105"/>
          <w:sz w:val="21"/>
        </w:rPr>
        <w:t>of seven categories of</w:t>
      </w:r>
      <w:r>
        <w:rPr>
          <w:spacing w:val="11"/>
          <w:w w:val="105"/>
          <w:sz w:val="21"/>
        </w:rPr>
        <w:t> </w:t>
      </w:r>
      <w:r>
        <w:rPr>
          <w:w w:val="105"/>
          <w:sz w:val="21"/>
        </w:rPr>
        <w:t>property:</w:t>
      </w:r>
    </w:p>
    <w:p>
      <w:pPr>
        <w:pStyle w:val="ListParagraph"/>
        <w:numPr>
          <w:ilvl w:val="0"/>
          <w:numId w:val="133"/>
        </w:numPr>
        <w:tabs>
          <w:tab w:pos="3062" w:val="left" w:leader="none"/>
        </w:tabs>
        <w:spacing w:line="254" w:lineRule="auto" w:before="133" w:after="0"/>
        <w:ind w:left="3061" w:right="1816" w:hanging="340"/>
        <w:jc w:val="left"/>
        <w:rPr>
          <w:sz w:val="20"/>
        </w:rPr>
      </w:pPr>
      <w:r>
        <w:rPr>
          <w:w w:val="105"/>
          <w:sz w:val="20"/>
        </w:rPr>
        <w:t>Property</w:t>
      </w:r>
      <w:r>
        <w:rPr>
          <w:spacing w:val="-11"/>
          <w:w w:val="105"/>
          <w:sz w:val="20"/>
        </w:rPr>
        <w:t> </w:t>
      </w:r>
      <w:r>
        <w:rPr>
          <w:w w:val="105"/>
          <w:sz w:val="20"/>
        </w:rPr>
        <w:t>of</w:t>
      </w:r>
      <w:r>
        <w:rPr>
          <w:spacing w:val="-10"/>
          <w:w w:val="105"/>
          <w:sz w:val="20"/>
        </w:rPr>
        <w:t> </w:t>
      </w:r>
      <w:r>
        <w:rPr>
          <w:w w:val="105"/>
          <w:sz w:val="20"/>
        </w:rPr>
        <w:t>the</w:t>
      </w:r>
      <w:r>
        <w:rPr>
          <w:spacing w:val="-10"/>
          <w:w w:val="105"/>
          <w:sz w:val="20"/>
        </w:rPr>
        <w:t> </w:t>
      </w:r>
      <w:r>
        <w:rPr>
          <w:w w:val="105"/>
          <w:sz w:val="20"/>
        </w:rPr>
        <w:t>deceased</w:t>
      </w:r>
      <w:r>
        <w:rPr>
          <w:spacing w:val="-10"/>
          <w:w w:val="105"/>
          <w:sz w:val="20"/>
        </w:rPr>
        <w:t> </w:t>
      </w:r>
      <w:r>
        <w:rPr>
          <w:w w:val="105"/>
          <w:sz w:val="20"/>
        </w:rPr>
        <w:t>undisposed</w:t>
      </w:r>
      <w:r>
        <w:rPr>
          <w:spacing w:val="-10"/>
          <w:w w:val="105"/>
          <w:sz w:val="20"/>
        </w:rPr>
        <w:t> </w:t>
      </w:r>
      <w:r>
        <w:rPr>
          <w:w w:val="105"/>
          <w:sz w:val="20"/>
        </w:rPr>
        <w:t>of</w:t>
      </w:r>
      <w:r>
        <w:rPr>
          <w:spacing w:val="-10"/>
          <w:w w:val="105"/>
          <w:sz w:val="20"/>
        </w:rPr>
        <w:t> </w:t>
      </w:r>
      <w:r>
        <w:rPr>
          <w:w w:val="105"/>
          <w:sz w:val="20"/>
        </w:rPr>
        <w:t>by</w:t>
      </w:r>
      <w:r>
        <w:rPr>
          <w:spacing w:val="-10"/>
          <w:w w:val="105"/>
          <w:sz w:val="20"/>
        </w:rPr>
        <w:t> </w:t>
      </w:r>
      <w:r>
        <w:rPr>
          <w:spacing w:val="-3"/>
          <w:w w:val="105"/>
          <w:sz w:val="20"/>
        </w:rPr>
        <w:t>will,</w:t>
      </w:r>
      <w:r>
        <w:rPr>
          <w:spacing w:val="-10"/>
          <w:w w:val="105"/>
          <w:sz w:val="20"/>
        </w:rPr>
        <w:t> </w:t>
      </w:r>
      <w:r>
        <w:rPr>
          <w:w w:val="105"/>
          <w:sz w:val="20"/>
        </w:rPr>
        <w:t>subject</w:t>
      </w:r>
      <w:r>
        <w:rPr>
          <w:spacing w:val="-10"/>
          <w:w w:val="105"/>
          <w:sz w:val="20"/>
        </w:rPr>
        <w:t> </w:t>
      </w:r>
      <w:r>
        <w:rPr>
          <w:w w:val="105"/>
          <w:sz w:val="20"/>
        </w:rPr>
        <w:t>to</w:t>
      </w:r>
      <w:r>
        <w:rPr>
          <w:spacing w:val="-10"/>
          <w:w w:val="105"/>
          <w:sz w:val="20"/>
        </w:rPr>
        <w:t> </w:t>
      </w:r>
      <w:r>
        <w:rPr>
          <w:w w:val="105"/>
          <w:sz w:val="20"/>
        </w:rPr>
        <w:t>the</w:t>
      </w:r>
      <w:r>
        <w:rPr>
          <w:spacing w:val="-10"/>
          <w:w w:val="105"/>
          <w:sz w:val="20"/>
        </w:rPr>
        <w:t> </w:t>
      </w:r>
      <w:r>
        <w:rPr>
          <w:w w:val="105"/>
          <w:sz w:val="20"/>
        </w:rPr>
        <w:t>retention</w:t>
      </w:r>
      <w:r>
        <w:rPr>
          <w:spacing w:val="-10"/>
          <w:w w:val="105"/>
          <w:sz w:val="20"/>
        </w:rPr>
        <w:t> </w:t>
      </w:r>
      <w:r>
        <w:rPr>
          <w:w w:val="105"/>
          <w:sz w:val="20"/>
        </w:rPr>
        <w:t>thereout</w:t>
      </w:r>
      <w:r>
        <w:rPr>
          <w:spacing w:val="-10"/>
          <w:w w:val="105"/>
          <w:sz w:val="20"/>
        </w:rPr>
        <w:t> </w:t>
      </w:r>
      <w:r>
        <w:rPr>
          <w:w w:val="105"/>
          <w:sz w:val="20"/>
        </w:rPr>
        <w:t>of a fund sufficient to meet </w:t>
      </w:r>
      <w:r>
        <w:rPr>
          <w:spacing w:val="-2"/>
          <w:w w:val="105"/>
          <w:sz w:val="20"/>
        </w:rPr>
        <w:t>any </w:t>
      </w:r>
      <w:r>
        <w:rPr>
          <w:w w:val="105"/>
          <w:sz w:val="20"/>
        </w:rPr>
        <w:t>pecuniary</w:t>
      </w:r>
      <w:r>
        <w:rPr>
          <w:spacing w:val="30"/>
          <w:w w:val="105"/>
          <w:sz w:val="20"/>
        </w:rPr>
        <w:t> </w:t>
      </w:r>
      <w:r>
        <w:rPr>
          <w:w w:val="105"/>
          <w:sz w:val="20"/>
        </w:rPr>
        <w:t>legacies.</w:t>
      </w:r>
    </w:p>
    <w:p>
      <w:pPr>
        <w:pStyle w:val="ListParagraph"/>
        <w:numPr>
          <w:ilvl w:val="0"/>
          <w:numId w:val="133"/>
        </w:numPr>
        <w:tabs>
          <w:tab w:pos="3062" w:val="left" w:leader="none"/>
        </w:tabs>
        <w:spacing w:line="254" w:lineRule="auto" w:before="122" w:after="0"/>
        <w:ind w:left="3061" w:right="2183" w:hanging="340"/>
        <w:jc w:val="both"/>
        <w:rPr>
          <w:sz w:val="20"/>
        </w:rPr>
      </w:pPr>
      <w:r>
        <w:rPr>
          <w:sz w:val="20"/>
        </w:rPr>
        <w:t>Property of the deceased specifically appropriated or devised or bequeathed or directed to be sold (either by a specific or general description), for the payment of</w:t>
      </w:r>
      <w:r>
        <w:rPr>
          <w:spacing w:val="8"/>
          <w:sz w:val="20"/>
        </w:rPr>
        <w:t> </w:t>
      </w:r>
      <w:r>
        <w:rPr>
          <w:sz w:val="20"/>
        </w:rPr>
        <w:t>debts.</w:t>
      </w:r>
    </w:p>
    <w:p>
      <w:pPr>
        <w:pStyle w:val="ListParagraph"/>
        <w:numPr>
          <w:ilvl w:val="0"/>
          <w:numId w:val="133"/>
        </w:numPr>
        <w:tabs>
          <w:tab w:pos="3062" w:val="left" w:leader="none"/>
        </w:tabs>
        <w:spacing w:line="254" w:lineRule="auto" w:before="124" w:after="0"/>
        <w:ind w:left="3061" w:right="1633" w:hanging="340"/>
        <w:jc w:val="left"/>
        <w:rPr>
          <w:sz w:val="20"/>
        </w:rPr>
      </w:pPr>
      <w:r>
        <w:rPr>
          <w:w w:val="105"/>
          <w:sz w:val="20"/>
        </w:rPr>
        <w:t>Property</w:t>
      </w:r>
      <w:r>
        <w:rPr>
          <w:spacing w:val="-11"/>
          <w:w w:val="105"/>
          <w:sz w:val="20"/>
        </w:rPr>
        <w:t> </w:t>
      </w:r>
      <w:r>
        <w:rPr>
          <w:w w:val="105"/>
          <w:sz w:val="20"/>
        </w:rPr>
        <w:t>of</w:t>
      </w:r>
      <w:r>
        <w:rPr>
          <w:spacing w:val="-10"/>
          <w:w w:val="105"/>
          <w:sz w:val="20"/>
        </w:rPr>
        <w:t> </w:t>
      </w:r>
      <w:r>
        <w:rPr>
          <w:w w:val="105"/>
          <w:sz w:val="20"/>
        </w:rPr>
        <w:t>the</w:t>
      </w:r>
      <w:r>
        <w:rPr>
          <w:spacing w:val="-11"/>
          <w:w w:val="105"/>
          <w:sz w:val="20"/>
        </w:rPr>
        <w:t> </w:t>
      </w:r>
      <w:r>
        <w:rPr>
          <w:w w:val="105"/>
          <w:sz w:val="20"/>
        </w:rPr>
        <w:t>deceased</w:t>
      </w:r>
      <w:r>
        <w:rPr>
          <w:spacing w:val="-10"/>
          <w:w w:val="105"/>
          <w:sz w:val="20"/>
        </w:rPr>
        <w:t> </w:t>
      </w:r>
      <w:r>
        <w:rPr>
          <w:w w:val="105"/>
          <w:sz w:val="20"/>
        </w:rPr>
        <w:t>charged</w:t>
      </w:r>
      <w:r>
        <w:rPr>
          <w:spacing w:val="-10"/>
          <w:w w:val="105"/>
          <w:sz w:val="20"/>
        </w:rPr>
        <w:t> </w:t>
      </w:r>
      <w:r>
        <w:rPr>
          <w:w w:val="105"/>
          <w:sz w:val="20"/>
        </w:rPr>
        <w:t>with,</w:t>
      </w:r>
      <w:r>
        <w:rPr>
          <w:spacing w:val="-11"/>
          <w:w w:val="105"/>
          <w:sz w:val="20"/>
        </w:rPr>
        <w:t> </w:t>
      </w:r>
      <w:r>
        <w:rPr>
          <w:w w:val="105"/>
          <w:sz w:val="20"/>
        </w:rPr>
        <w:t>or</w:t>
      </w:r>
      <w:r>
        <w:rPr>
          <w:spacing w:val="-10"/>
          <w:w w:val="105"/>
          <w:sz w:val="20"/>
        </w:rPr>
        <w:t> </w:t>
      </w:r>
      <w:r>
        <w:rPr>
          <w:w w:val="105"/>
          <w:sz w:val="20"/>
        </w:rPr>
        <w:t>devised</w:t>
      </w:r>
      <w:r>
        <w:rPr>
          <w:spacing w:val="-10"/>
          <w:w w:val="105"/>
          <w:sz w:val="20"/>
        </w:rPr>
        <w:t> </w:t>
      </w:r>
      <w:r>
        <w:rPr>
          <w:w w:val="105"/>
          <w:sz w:val="20"/>
        </w:rPr>
        <w:t>or</w:t>
      </w:r>
      <w:r>
        <w:rPr>
          <w:spacing w:val="-11"/>
          <w:w w:val="105"/>
          <w:sz w:val="20"/>
        </w:rPr>
        <w:t> </w:t>
      </w:r>
      <w:r>
        <w:rPr>
          <w:w w:val="105"/>
          <w:sz w:val="20"/>
        </w:rPr>
        <w:t>bequeathed</w:t>
      </w:r>
      <w:r>
        <w:rPr>
          <w:spacing w:val="-10"/>
          <w:w w:val="105"/>
          <w:sz w:val="20"/>
        </w:rPr>
        <w:t> </w:t>
      </w:r>
      <w:r>
        <w:rPr>
          <w:w w:val="105"/>
          <w:sz w:val="20"/>
        </w:rPr>
        <w:t>(either</w:t>
      </w:r>
      <w:r>
        <w:rPr>
          <w:spacing w:val="-10"/>
          <w:w w:val="105"/>
          <w:sz w:val="20"/>
        </w:rPr>
        <w:t> </w:t>
      </w:r>
      <w:r>
        <w:rPr>
          <w:w w:val="105"/>
          <w:sz w:val="20"/>
        </w:rPr>
        <w:t>by</w:t>
      </w:r>
      <w:r>
        <w:rPr>
          <w:spacing w:val="-11"/>
          <w:w w:val="105"/>
          <w:sz w:val="20"/>
        </w:rPr>
        <w:t> </w:t>
      </w:r>
      <w:r>
        <w:rPr>
          <w:w w:val="105"/>
          <w:sz w:val="20"/>
        </w:rPr>
        <w:t>a</w:t>
      </w:r>
      <w:r>
        <w:rPr>
          <w:spacing w:val="-10"/>
          <w:w w:val="105"/>
          <w:sz w:val="20"/>
        </w:rPr>
        <w:t> </w:t>
      </w:r>
      <w:r>
        <w:rPr>
          <w:w w:val="105"/>
          <w:sz w:val="20"/>
        </w:rPr>
        <w:t>specific or general description) subject to a charge for the payment of</w:t>
      </w:r>
      <w:r>
        <w:rPr>
          <w:spacing w:val="16"/>
          <w:w w:val="105"/>
          <w:sz w:val="20"/>
        </w:rPr>
        <w:t> </w:t>
      </w:r>
      <w:r>
        <w:rPr>
          <w:w w:val="105"/>
          <w:sz w:val="20"/>
        </w:rPr>
        <w:t>debts.</w:t>
      </w:r>
    </w:p>
    <w:p>
      <w:pPr>
        <w:pStyle w:val="ListParagraph"/>
        <w:numPr>
          <w:ilvl w:val="0"/>
          <w:numId w:val="133"/>
        </w:numPr>
        <w:tabs>
          <w:tab w:pos="3062" w:val="left" w:leader="none"/>
        </w:tabs>
        <w:spacing w:line="254" w:lineRule="auto" w:before="122" w:after="0"/>
        <w:ind w:left="3061" w:right="1764" w:hanging="340"/>
        <w:jc w:val="left"/>
        <w:rPr>
          <w:sz w:val="20"/>
        </w:rPr>
      </w:pPr>
      <w:r>
        <w:rPr>
          <w:w w:val="105"/>
          <w:sz w:val="20"/>
        </w:rPr>
        <w:t>Property</w:t>
      </w:r>
      <w:r>
        <w:rPr>
          <w:spacing w:val="-15"/>
          <w:w w:val="105"/>
          <w:sz w:val="20"/>
        </w:rPr>
        <w:t> </w:t>
      </w:r>
      <w:r>
        <w:rPr>
          <w:w w:val="105"/>
          <w:sz w:val="20"/>
        </w:rPr>
        <w:t>of</w:t>
      </w:r>
      <w:r>
        <w:rPr>
          <w:spacing w:val="-15"/>
          <w:w w:val="105"/>
          <w:sz w:val="20"/>
        </w:rPr>
        <w:t> </w:t>
      </w:r>
      <w:r>
        <w:rPr>
          <w:w w:val="105"/>
          <w:sz w:val="20"/>
        </w:rPr>
        <w:t>the</w:t>
      </w:r>
      <w:r>
        <w:rPr>
          <w:spacing w:val="-15"/>
          <w:w w:val="105"/>
          <w:sz w:val="20"/>
        </w:rPr>
        <w:t> </w:t>
      </w:r>
      <w:r>
        <w:rPr>
          <w:w w:val="105"/>
          <w:sz w:val="20"/>
        </w:rPr>
        <w:t>deceased</w:t>
      </w:r>
      <w:r>
        <w:rPr>
          <w:spacing w:val="-15"/>
          <w:w w:val="105"/>
          <w:sz w:val="20"/>
        </w:rPr>
        <w:t> </w:t>
      </w:r>
      <w:r>
        <w:rPr>
          <w:w w:val="105"/>
          <w:sz w:val="20"/>
        </w:rPr>
        <w:t>not</w:t>
      </w:r>
      <w:r>
        <w:rPr>
          <w:spacing w:val="-15"/>
          <w:w w:val="105"/>
          <w:sz w:val="20"/>
        </w:rPr>
        <w:t> </w:t>
      </w:r>
      <w:r>
        <w:rPr>
          <w:w w:val="105"/>
          <w:sz w:val="20"/>
        </w:rPr>
        <w:t>specifically</w:t>
      </w:r>
      <w:r>
        <w:rPr>
          <w:spacing w:val="-15"/>
          <w:w w:val="105"/>
          <w:sz w:val="20"/>
        </w:rPr>
        <w:t> </w:t>
      </w:r>
      <w:r>
        <w:rPr>
          <w:w w:val="105"/>
          <w:sz w:val="20"/>
        </w:rPr>
        <w:t>devised</w:t>
      </w:r>
      <w:r>
        <w:rPr>
          <w:spacing w:val="-15"/>
          <w:w w:val="105"/>
          <w:sz w:val="20"/>
        </w:rPr>
        <w:t> </w:t>
      </w:r>
      <w:r>
        <w:rPr>
          <w:w w:val="105"/>
          <w:sz w:val="20"/>
        </w:rPr>
        <w:t>or</w:t>
      </w:r>
      <w:r>
        <w:rPr>
          <w:spacing w:val="-15"/>
          <w:w w:val="105"/>
          <w:sz w:val="20"/>
        </w:rPr>
        <w:t> </w:t>
      </w:r>
      <w:r>
        <w:rPr>
          <w:w w:val="105"/>
          <w:sz w:val="20"/>
        </w:rPr>
        <w:t>bequeathed</w:t>
      </w:r>
      <w:r>
        <w:rPr>
          <w:spacing w:val="-15"/>
          <w:w w:val="105"/>
          <w:sz w:val="20"/>
        </w:rPr>
        <w:t> </w:t>
      </w:r>
      <w:r>
        <w:rPr>
          <w:w w:val="105"/>
          <w:sz w:val="20"/>
        </w:rPr>
        <w:t>but</w:t>
      </w:r>
      <w:r>
        <w:rPr>
          <w:spacing w:val="-15"/>
          <w:w w:val="105"/>
          <w:sz w:val="20"/>
        </w:rPr>
        <w:t> </w:t>
      </w:r>
      <w:r>
        <w:rPr>
          <w:w w:val="105"/>
          <w:sz w:val="20"/>
        </w:rPr>
        <w:t>included</w:t>
      </w:r>
      <w:r>
        <w:rPr>
          <w:spacing w:val="-15"/>
          <w:w w:val="105"/>
          <w:sz w:val="20"/>
        </w:rPr>
        <w:t> </w:t>
      </w:r>
      <w:r>
        <w:rPr>
          <w:w w:val="105"/>
          <w:sz w:val="20"/>
        </w:rPr>
        <w:t>(either by a specific or general description) in a residuary gift, subject to the retention out of such property of a fund sufficient to meet </w:t>
      </w:r>
      <w:r>
        <w:rPr>
          <w:spacing w:val="-2"/>
          <w:w w:val="105"/>
          <w:sz w:val="20"/>
        </w:rPr>
        <w:t>any </w:t>
      </w:r>
      <w:r>
        <w:rPr>
          <w:w w:val="105"/>
          <w:sz w:val="20"/>
        </w:rPr>
        <w:t>pecuniary legacies, so </w:t>
      </w:r>
      <w:r>
        <w:rPr>
          <w:spacing w:val="-3"/>
          <w:w w:val="105"/>
          <w:sz w:val="20"/>
        </w:rPr>
        <w:t>far </w:t>
      </w:r>
      <w:r>
        <w:rPr>
          <w:w w:val="105"/>
          <w:sz w:val="20"/>
        </w:rPr>
        <w:t>as not provided for as</w:t>
      </w:r>
      <w:r>
        <w:rPr>
          <w:spacing w:val="14"/>
          <w:w w:val="105"/>
          <w:sz w:val="20"/>
        </w:rPr>
        <w:t> </w:t>
      </w:r>
      <w:r>
        <w:rPr>
          <w:w w:val="105"/>
          <w:sz w:val="20"/>
        </w:rPr>
        <w:t>aforesaid.</w:t>
      </w:r>
    </w:p>
    <w:p>
      <w:pPr>
        <w:pStyle w:val="ListParagraph"/>
        <w:numPr>
          <w:ilvl w:val="0"/>
          <w:numId w:val="133"/>
        </w:numPr>
        <w:tabs>
          <w:tab w:pos="3062" w:val="left" w:leader="none"/>
        </w:tabs>
        <w:spacing w:line="240" w:lineRule="auto" w:before="125" w:after="0"/>
        <w:ind w:left="3061" w:right="0" w:hanging="340"/>
        <w:jc w:val="left"/>
        <w:rPr>
          <w:sz w:val="20"/>
        </w:rPr>
      </w:pPr>
      <w:r>
        <w:rPr>
          <w:w w:val="105"/>
          <w:sz w:val="20"/>
        </w:rPr>
        <w:t>The </w:t>
      </w:r>
      <w:r>
        <w:rPr>
          <w:spacing w:val="-3"/>
          <w:w w:val="105"/>
          <w:sz w:val="20"/>
        </w:rPr>
        <w:t>fund, </w:t>
      </w:r>
      <w:r>
        <w:rPr>
          <w:w w:val="105"/>
          <w:sz w:val="20"/>
        </w:rPr>
        <w:t>if </w:t>
      </w:r>
      <w:r>
        <w:rPr>
          <w:spacing w:val="-5"/>
          <w:w w:val="105"/>
          <w:sz w:val="20"/>
        </w:rPr>
        <w:t>any, </w:t>
      </w:r>
      <w:r>
        <w:rPr>
          <w:w w:val="105"/>
          <w:sz w:val="20"/>
        </w:rPr>
        <w:t>retained to meet pecuniary</w:t>
      </w:r>
      <w:r>
        <w:rPr>
          <w:spacing w:val="44"/>
          <w:w w:val="105"/>
          <w:sz w:val="20"/>
        </w:rPr>
        <w:t> </w:t>
      </w:r>
      <w:r>
        <w:rPr>
          <w:w w:val="105"/>
          <w:sz w:val="20"/>
        </w:rPr>
        <w:t>legacies.</w:t>
      </w:r>
    </w:p>
    <w:p>
      <w:pPr>
        <w:pStyle w:val="ListParagraph"/>
        <w:numPr>
          <w:ilvl w:val="0"/>
          <w:numId w:val="133"/>
        </w:numPr>
        <w:tabs>
          <w:tab w:pos="3062" w:val="left" w:leader="none"/>
        </w:tabs>
        <w:spacing w:line="240" w:lineRule="auto" w:before="136" w:after="0"/>
        <w:ind w:left="3061" w:right="0" w:hanging="340"/>
        <w:jc w:val="left"/>
        <w:rPr>
          <w:sz w:val="11"/>
        </w:rPr>
      </w:pPr>
      <w:r>
        <w:rPr>
          <w:sz w:val="20"/>
        </w:rPr>
        <w:t>Property specifically devised or bequeathed, rateably </w:t>
      </w:r>
      <w:r>
        <w:rPr>
          <w:spacing w:val="-3"/>
          <w:sz w:val="20"/>
        </w:rPr>
        <w:t>accordingly </w:t>
      </w:r>
      <w:r>
        <w:rPr>
          <w:sz w:val="20"/>
        </w:rPr>
        <w:t>to</w:t>
      </w:r>
      <w:r>
        <w:rPr>
          <w:spacing w:val="40"/>
          <w:sz w:val="20"/>
        </w:rPr>
        <w:t> </w:t>
      </w:r>
      <w:r>
        <w:rPr>
          <w:spacing w:val="-7"/>
          <w:sz w:val="20"/>
        </w:rPr>
        <w:t>value.</w:t>
      </w:r>
      <w:r>
        <w:rPr>
          <w:spacing w:val="-7"/>
          <w:position w:val="7"/>
          <w:sz w:val="11"/>
        </w:rPr>
        <w:t>11</w:t>
      </w:r>
    </w:p>
    <w:p>
      <w:pPr>
        <w:pStyle w:val="ListParagraph"/>
        <w:numPr>
          <w:ilvl w:val="0"/>
          <w:numId w:val="133"/>
        </w:numPr>
        <w:tabs>
          <w:tab w:pos="3062" w:val="left" w:leader="none"/>
        </w:tabs>
        <w:spacing w:line="254" w:lineRule="auto" w:before="136" w:after="0"/>
        <w:ind w:left="3061" w:right="2066" w:hanging="340"/>
        <w:jc w:val="left"/>
        <w:rPr>
          <w:sz w:val="20"/>
        </w:rPr>
      </w:pPr>
      <w:r>
        <w:rPr>
          <w:w w:val="105"/>
          <w:sz w:val="20"/>
        </w:rPr>
        <w:t>Property</w:t>
      </w:r>
      <w:r>
        <w:rPr>
          <w:spacing w:val="-8"/>
          <w:w w:val="105"/>
          <w:sz w:val="20"/>
        </w:rPr>
        <w:t> </w:t>
      </w:r>
      <w:r>
        <w:rPr>
          <w:w w:val="105"/>
          <w:sz w:val="20"/>
        </w:rPr>
        <w:t>appointed</w:t>
      </w:r>
      <w:r>
        <w:rPr>
          <w:spacing w:val="-7"/>
          <w:w w:val="105"/>
          <w:sz w:val="20"/>
        </w:rPr>
        <w:t> </w:t>
      </w:r>
      <w:r>
        <w:rPr>
          <w:w w:val="105"/>
          <w:sz w:val="20"/>
        </w:rPr>
        <w:t>by</w:t>
      </w:r>
      <w:r>
        <w:rPr>
          <w:spacing w:val="-8"/>
          <w:w w:val="105"/>
          <w:sz w:val="20"/>
        </w:rPr>
        <w:t> </w:t>
      </w:r>
      <w:r>
        <w:rPr>
          <w:w w:val="105"/>
          <w:sz w:val="20"/>
        </w:rPr>
        <w:t>will</w:t>
      </w:r>
      <w:r>
        <w:rPr>
          <w:spacing w:val="-7"/>
          <w:w w:val="105"/>
          <w:sz w:val="20"/>
        </w:rPr>
        <w:t> </w:t>
      </w:r>
      <w:r>
        <w:rPr>
          <w:w w:val="105"/>
          <w:sz w:val="20"/>
        </w:rPr>
        <w:t>under</w:t>
      </w:r>
      <w:r>
        <w:rPr>
          <w:spacing w:val="-8"/>
          <w:w w:val="105"/>
          <w:sz w:val="20"/>
        </w:rPr>
        <w:t> </w:t>
      </w:r>
      <w:r>
        <w:rPr>
          <w:w w:val="105"/>
          <w:sz w:val="20"/>
        </w:rPr>
        <w:t>a</w:t>
      </w:r>
      <w:r>
        <w:rPr>
          <w:spacing w:val="-7"/>
          <w:w w:val="105"/>
          <w:sz w:val="20"/>
        </w:rPr>
        <w:t> </w:t>
      </w:r>
      <w:r>
        <w:rPr>
          <w:w w:val="105"/>
          <w:sz w:val="20"/>
        </w:rPr>
        <w:t>general</w:t>
      </w:r>
      <w:r>
        <w:rPr>
          <w:spacing w:val="-7"/>
          <w:w w:val="105"/>
          <w:sz w:val="20"/>
        </w:rPr>
        <w:t> </w:t>
      </w:r>
      <w:r>
        <w:rPr>
          <w:spacing w:val="-4"/>
          <w:w w:val="105"/>
          <w:sz w:val="20"/>
        </w:rPr>
        <w:t>power,</w:t>
      </w:r>
      <w:r>
        <w:rPr>
          <w:spacing w:val="-8"/>
          <w:w w:val="105"/>
          <w:sz w:val="20"/>
        </w:rPr>
        <w:t> </w:t>
      </w:r>
      <w:r>
        <w:rPr>
          <w:spacing w:val="-3"/>
          <w:w w:val="105"/>
          <w:sz w:val="20"/>
        </w:rPr>
        <w:t>including</w:t>
      </w:r>
      <w:r>
        <w:rPr>
          <w:spacing w:val="-7"/>
          <w:w w:val="105"/>
          <w:sz w:val="20"/>
        </w:rPr>
        <w:t> </w:t>
      </w:r>
      <w:r>
        <w:rPr>
          <w:w w:val="105"/>
          <w:sz w:val="20"/>
        </w:rPr>
        <w:t>the</w:t>
      </w:r>
      <w:r>
        <w:rPr>
          <w:spacing w:val="-8"/>
          <w:w w:val="105"/>
          <w:sz w:val="20"/>
        </w:rPr>
        <w:t> </w:t>
      </w:r>
      <w:r>
        <w:rPr>
          <w:w w:val="105"/>
          <w:sz w:val="20"/>
        </w:rPr>
        <w:t>statutory</w:t>
      </w:r>
      <w:r>
        <w:rPr>
          <w:spacing w:val="-7"/>
          <w:w w:val="105"/>
          <w:sz w:val="20"/>
        </w:rPr>
        <w:t> </w:t>
      </w:r>
      <w:r>
        <w:rPr>
          <w:w w:val="105"/>
          <w:sz w:val="20"/>
        </w:rPr>
        <w:t>power to dispose of entailed interests, rateably </w:t>
      </w:r>
      <w:r>
        <w:rPr>
          <w:spacing w:val="-3"/>
          <w:w w:val="105"/>
          <w:sz w:val="20"/>
        </w:rPr>
        <w:t>according </w:t>
      </w:r>
      <w:r>
        <w:rPr>
          <w:w w:val="105"/>
          <w:sz w:val="20"/>
        </w:rPr>
        <w:t>to</w:t>
      </w:r>
      <w:r>
        <w:rPr>
          <w:spacing w:val="19"/>
          <w:w w:val="105"/>
          <w:sz w:val="20"/>
        </w:rPr>
        <w:t> </w:t>
      </w:r>
      <w:r>
        <w:rPr>
          <w:spacing w:val="-3"/>
          <w:w w:val="105"/>
          <w:sz w:val="20"/>
        </w:rPr>
        <w:t>value.</w:t>
      </w:r>
    </w:p>
    <w:p>
      <w:pPr>
        <w:pStyle w:val="BodyText"/>
        <w:spacing w:before="1"/>
        <w:rPr>
          <w:sz w:val="26"/>
        </w:rPr>
      </w:pPr>
    </w:p>
    <w:p>
      <w:pPr>
        <w:pStyle w:val="Heading6"/>
      </w:pPr>
      <w:r>
        <w:rPr>
          <w:w w:val="120"/>
        </w:rPr>
        <w:t>Contrary intention of the</w:t>
      </w:r>
      <w:r>
        <w:rPr>
          <w:spacing w:val="-55"/>
          <w:w w:val="120"/>
        </w:rPr>
        <w:t> </w:t>
      </w:r>
      <w:r>
        <w:rPr>
          <w:w w:val="120"/>
        </w:rPr>
        <w:t>will-maker</w:t>
      </w:r>
    </w:p>
    <w:p>
      <w:pPr>
        <w:pStyle w:val="ListParagraph"/>
        <w:numPr>
          <w:ilvl w:val="1"/>
          <w:numId w:val="22"/>
        </w:numPr>
        <w:tabs>
          <w:tab w:pos="2380" w:val="left" w:leader="none"/>
          <w:tab w:pos="2381" w:val="left" w:leader="none"/>
        </w:tabs>
        <w:spacing w:line="242" w:lineRule="auto" w:before="151" w:after="0"/>
        <w:ind w:left="2381" w:right="2033" w:hanging="794"/>
        <w:jc w:val="left"/>
        <w:rPr>
          <w:sz w:val="21"/>
        </w:rPr>
      </w:pPr>
      <w:r>
        <w:rPr>
          <w:sz w:val="21"/>
        </w:rPr>
        <w:t>The order of application applies subject </w:t>
      </w:r>
      <w:r>
        <w:rPr>
          <w:spacing w:val="-3"/>
          <w:sz w:val="21"/>
        </w:rPr>
        <w:t>to </w:t>
      </w:r>
      <w:r>
        <w:rPr>
          <w:sz w:val="21"/>
        </w:rPr>
        <w:t>the </w:t>
      </w:r>
      <w:r>
        <w:rPr>
          <w:spacing w:val="-3"/>
          <w:sz w:val="21"/>
        </w:rPr>
        <w:t>terms </w:t>
      </w:r>
      <w:r>
        <w:rPr>
          <w:sz w:val="21"/>
        </w:rPr>
        <w:t>of the </w:t>
      </w:r>
      <w:r>
        <w:rPr>
          <w:spacing w:val="-3"/>
          <w:sz w:val="21"/>
        </w:rPr>
        <w:t>will,  </w:t>
      </w:r>
      <w:r>
        <w:rPr>
          <w:sz w:val="21"/>
        </w:rPr>
        <w:t>and can be </w:t>
      </w:r>
      <w:r>
        <w:rPr>
          <w:spacing w:val="-3"/>
          <w:sz w:val="21"/>
        </w:rPr>
        <w:t>displaced  </w:t>
      </w:r>
      <w:r>
        <w:rPr>
          <w:sz w:val="21"/>
        </w:rPr>
        <w:t>by contrary </w:t>
      </w:r>
      <w:r>
        <w:rPr>
          <w:spacing w:val="-3"/>
          <w:sz w:val="21"/>
        </w:rPr>
        <w:t>intention </w:t>
      </w:r>
      <w:r>
        <w:rPr>
          <w:sz w:val="21"/>
        </w:rPr>
        <w:t>shown by the </w:t>
      </w:r>
      <w:r>
        <w:rPr>
          <w:spacing w:val="-4"/>
          <w:sz w:val="21"/>
        </w:rPr>
        <w:t>will-maker.  </w:t>
      </w:r>
      <w:r>
        <w:rPr>
          <w:sz w:val="21"/>
        </w:rPr>
        <w:t>Part II of the Second Schedule </w:t>
      </w:r>
      <w:r>
        <w:rPr>
          <w:spacing w:val="-3"/>
          <w:sz w:val="21"/>
        </w:rPr>
        <w:t>to  </w:t>
      </w:r>
      <w:r>
        <w:rPr>
          <w:sz w:val="21"/>
        </w:rPr>
        <w:t>the  Act provides</w:t>
      </w:r>
      <w:r>
        <w:rPr>
          <w:spacing w:val="16"/>
          <w:sz w:val="21"/>
        </w:rPr>
        <w:t> </w:t>
      </w:r>
      <w:r>
        <w:rPr>
          <w:sz w:val="21"/>
        </w:rPr>
        <w:t>that:</w:t>
      </w:r>
    </w:p>
    <w:p>
      <w:pPr>
        <w:spacing w:before="133"/>
        <w:ind w:left="2721" w:right="0" w:firstLine="0"/>
        <w:jc w:val="left"/>
        <w:rPr>
          <w:sz w:val="11"/>
        </w:rPr>
      </w:pPr>
      <w:r>
        <w:rPr>
          <w:w w:val="105"/>
          <w:sz w:val="20"/>
        </w:rPr>
        <w:t>The order of application may be varied by the will of the deceased.</w:t>
      </w:r>
      <w:r>
        <w:rPr>
          <w:w w:val="105"/>
          <w:position w:val="7"/>
          <w:sz w:val="11"/>
        </w:rPr>
        <w:t>12</w:t>
      </w:r>
    </w:p>
    <w:p>
      <w:pPr>
        <w:pStyle w:val="ListParagraph"/>
        <w:numPr>
          <w:ilvl w:val="1"/>
          <w:numId w:val="22"/>
        </w:numPr>
        <w:tabs>
          <w:tab w:pos="2380" w:val="left" w:leader="none"/>
          <w:tab w:pos="2381" w:val="left" w:leader="none"/>
        </w:tabs>
        <w:spacing w:line="242" w:lineRule="auto" w:before="126" w:after="0"/>
        <w:ind w:left="2381" w:right="1846" w:hanging="794"/>
        <w:jc w:val="left"/>
        <w:rPr>
          <w:sz w:val="12"/>
        </w:rPr>
      </w:pPr>
      <w:r>
        <w:rPr>
          <w:spacing w:val="-3"/>
          <w:w w:val="105"/>
          <w:sz w:val="21"/>
        </w:rPr>
        <w:t>Contrary</w:t>
      </w:r>
      <w:r>
        <w:rPr>
          <w:spacing w:val="-7"/>
          <w:w w:val="105"/>
          <w:sz w:val="21"/>
        </w:rPr>
        <w:t> </w:t>
      </w:r>
      <w:r>
        <w:rPr>
          <w:spacing w:val="-3"/>
          <w:w w:val="105"/>
          <w:sz w:val="21"/>
        </w:rPr>
        <w:t>intention</w:t>
      </w:r>
      <w:r>
        <w:rPr>
          <w:spacing w:val="-7"/>
          <w:w w:val="105"/>
          <w:sz w:val="21"/>
        </w:rPr>
        <w:t> </w:t>
      </w:r>
      <w:r>
        <w:rPr>
          <w:w w:val="105"/>
          <w:sz w:val="21"/>
        </w:rPr>
        <w:t>is</w:t>
      </w:r>
      <w:r>
        <w:rPr>
          <w:spacing w:val="-7"/>
          <w:w w:val="105"/>
          <w:sz w:val="21"/>
        </w:rPr>
        <w:t> </w:t>
      </w:r>
      <w:r>
        <w:rPr>
          <w:spacing w:val="-3"/>
          <w:w w:val="105"/>
          <w:sz w:val="21"/>
        </w:rPr>
        <w:t>determined</w:t>
      </w:r>
      <w:r>
        <w:rPr>
          <w:spacing w:val="-7"/>
          <w:w w:val="105"/>
          <w:sz w:val="21"/>
        </w:rPr>
        <w:t> </w:t>
      </w:r>
      <w:r>
        <w:rPr>
          <w:w w:val="105"/>
          <w:sz w:val="21"/>
        </w:rPr>
        <w:t>by</w:t>
      </w:r>
      <w:r>
        <w:rPr>
          <w:spacing w:val="-7"/>
          <w:w w:val="105"/>
          <w:sz w:val="21"/>
        </w:rPr>
        <w:t> </w:t>
      </w:r>
      <w:r>
        <w:rPr>
          <w:spacing w:val="-3"/>
          <w:w w:val="105"/>
          <w:sz w:val="21"/>
        </w:rPr>
        <w:t>reference</w:t>
      </w:r>
      <w:r>
        <w:rPr>
          <w:spacing w:val="-7"/>
          <w:w w:val="105"/>
          <w:sz w:val="21"/>
        </w:rPr>
        <w:t> </w:t>
      </w:r>
      <w:r>
        <w:rPr>
          <w:spacing w:val="-3"/>
          <w:w w:val="105"/>
          <w:sz w:val="21"/>
        </w:rPr>
        <w:t>to</w:t>
      </w:r>
      <w:r>
        <w:rPr>
          <w:spacing w:val="-7"/>
          <w:w w:val="105"/>
          <w:sz w:val="21"/>
        </w:rPr>
        <w:t> </w:t>
      </w:r>
      <w:r>
        <w:rPr>
          <w:w w:val="105"/>
          <w:sz w:val="21"/>
        </w:rPr>
        <w:t>the</w:t>
      </w:r>
      <w:r>
        <w:rPr>
          <w:spacing w:val="-7"/>
          <w:w w:val="105"/>
          <w:sz w:val="21"/>
        </w:rPr>
        <w:t> </w:t>
      </w:r>
      <w:r>
        <w:rPr>
          <w:spacing w:val="-3"/>
          <w:w w:val="105"/>
          <w:sz w:val="21"/>
        </w:rPr>
        <w:t>wording</w:t>
      </w:r>
      <w:r>
        <w:rPr>
          <w:spacing w:val="-7"/>
          <w:w w:val="105"/>
          <w:sz w:val="21"/>
        </w:rPr>
        <w:t> </w:t>
      </w:r>
      <w:r>
        <w:rPr>
          <w:w w:val="105"/>
          <w:sz w:val="21"/>
        </w:rPr>
        <w:t>of</w:t>
      </w:r>
      <w:r>
        <w:rPr>
          <w:spacing w:val="-6"/>
          <w:w w:val="105"/>
          <w:sz w:val="21"/>
        </w:rPr>
        <w:t> </w:t>
      </w:r>
      <w:r>
        <w:rPr>
          <w:w w:val="105"/>
          <w:sz w:val="21"/>
        </w:rPr>
        <w:t>the</w:t>
      </w:r>
      <w:r>
        <w:rPr>
          <w:spacing w:val="-7"/>
          <w:w w:val="105"/>
          <w:sz w:val="21"/>
        </w:rPr>
        <w:t> </w:t>
      </w:r>
      <w:r>
        <w:rPr>
          <w:w w:val="105"/>
          <w:sz w:val="21"/>
        </w:rPr>
        <w:t>purported</w:t>
      </w:r>
      <w:r>
        <w:rPr>
          <w:spacing w:val="-7"/>
          <w:w w:val="105"/>
          <w:sz w:val="21"/>
        </w:rPr>
        <w:t> </w:t>
      </w:r>
      <w:r>
        <w:rPr>
          <w:w w:val="105"/>
          <w:sz w:val="21"/>
        </w:rPr>
        <w:t>contrary </w:t>
      </w:r>
      <w:r>
        <w:rPr>
          <w:spacing w:val="-3"/>
          <w:w w:val="105"/>
          <w:sz w:val="21"/>
        </w:rPr>
        <w:t>intention </w:t>
      </w:r>
      <w:r>
        <w:rPr>
          <w:w w:val="105"/>
          <w:sz w:val="21"/>
        </w:rPr>
        <w:t>and the </w:t>
      </w:r>
      <w:r>
        <w:rPr>
          <w:spacing w:val="-3"/>
          <w:w w:val="105"/>
          <w:sz w:val="21"/>
        </w:rPr>
        <w:t>circumstances </w:t>
      </w:r>
      <w:r>
        <w:rPr>
          <w:w w:val="105"/>
          <w:sz w:val="21"/>
        </w:rPr>
        <w:t>of each</w:t>
      </w:r>
      <w:r>
        <w:rPr>
          <w:spacing w:val="34"/>
          <w:w w:val="105"/>
          <w:sz w:val="21"/>
        </w:rPr>
        <w:t> </w:t>
      </w:r>
      <w:r>
        <w:rPr>
          <w:spacing w:val="-7"/>
          <w:w w:val="105"/>
          <w:sz w:val="21"/>
        </w:rPr>
        <w:t>case.</w:t>
      </w:r>
      <w:r>
        <w:rPr>
          <w:spacing w:val="-7"/>
          <w:w w:val="105"/>
          <w:position w:val="7"/>
          <w:sz w:val="12"/>
        </w:rPr>
        <w:t>13</w:t>
      </w:r>
    </w:p>
    <w:p>
      <w:pPr>
        <w:pStyle w:val="BodyText"/>
        <w:rPr>
          <w:sz w:val="20"/>
        </w:rPr>
      </w:pPr>
    </w:p>
    <w:p>
      <w:pPr>
        <w:pStyle w:val="BodyText"/>
        <w:rPr>
          <w:sz w:val="20"/>
        </w:rPr>
      </w:pPr>
    </w:p>
    <w:p>
      <w:pPr>
        <w:pStyle w:val="BodyText"/>
        <w:rPr>
          <w:sz w:val="20"/>
        </w:rPr>
      </w:pPr>
    </w:p>
    <w:p>
      <w:pPr>
        <w:pStyle w:val="BodyText"/>
        <w:spacing w:before="1"/>
      </w:pPr>
      <w:r>
        <w:rPr/>
        <w:pict>
          <v:line style="position:absolute;mso-position-horizontal-relative:page;mso-position-vertical-relative:paragraph;z-index:10568;mso-wrap-distance-left:0;mso-wrap-distance-right:0" from="79.370102pt,15.366514pt" to="515.905102pt,15.366514pt" stroked="true" strokeweight="1pt" strokecolor="#f9ceca">
            <v:stroke dashstyle="solid"/>
            <w10:wrap type="topAndBottom"/>
          </v:line>
        </w:pict>
      </w:r>
    </w:p>
    <w:p>
      <w:pPr>
        <w:pStyle w:val="BodyText"/>
        <w:spacing w:before="8"/>
        <w:rPr>
          <w:sz w:val="5"/>
        </w:rPr>
      </w:pPr>
    </w:p>
    <w:p>
      <w:pPr>
        <w:spacing w:after="0"/>
        <w:rPr>
          <w:sz w:val="5"/>
        </w:rPr>
        <w:sectPr>
          <w:pgSz w:w="11910" w:h="16840"/>
          <w:pgMar w:header="550" w:footer="0" w:top="1560" w:bottom="280" w:left="0" w:right="0"/>
        </w:sectPr>
      </w:pPr>
    </w:p>
    <w:p>
      <w:pPr>
        <w:pStyle w:val="BodyText"/>
        <w:rPr>
          <w:sz w:val="28"/>
        </w:rPr>
      </w:pPr>
    </w:p>
    <w:p>
      <w:pPr>
        <w:pStyle w:val="BodyText"/>
        <w:rPr>
          <w:sz w:val="28"/>
        </w:rPr>
      </w:pPr>
    </w:p>
    <w:p>
      <w:pPr>
        <w:pStyle w:val="BodyText"/>
        <w:spacing w:before="3"/>
        <w:rPr>
          <w:sz w:val="32"/>
        </w:rPr>
      </w:pPr>
    </w:p>
    <w:p>
      <w:pPr>
        <w:spacing w:before="1"/>
        <w:ind w:left="720" w:right="0" w:firstLine="0"/>
        <w:jc w:val="left"/>
        <w:rPr>
          <w:b/>
          <w:sz w:val="24"/>
        </w:rPr>
      </w:pPr>
      <w:r>
        <w:rPr>
          <w:b/>
          <w:color w:val="EC5A4F"/>
          <w:spacing w:val="-7"/>
          <w:w w:val="110"/>
          <w:sz w:val="24"/>
        </w:rPr>
        <w:t>176</w:t>
      </w:r>
    </w:p>
    <w:p>
      <w:pPr>
        <w:pStyle w:val="ListParagraph"/>
        <w:numPr>
          <w:ilvl w:val="0"/>
          <w:numId w:val="132"/>
        </w:numPr>
        <w:tabs>
          <w:tab w:pos="1240" w:val="left" w:leader="none"/>
          <w:tab w:pos="1241" w:val="left" w:leader="none"/>
        </w:tabs>
        <w:spacing w:line="240" w:lineRule="auto" w:before="48" w:after="0"/>
        <w:ind w:left="1240" w:right="0" w:hanging="794"/>
        <w:jc w:val="left"/>
        <w:rPr>
          <w:sz w:val="13"/>
        </w:rPr>
      </w:pPr>
      <w:r>
        <w:rPr>
          <w:i/>
          <w:spacing w:val="1"/>
          <w:w w:val="115"/>
          <w:sz w:val="13"/>
        </w:rPr>
        <w:br w:type="column"/>
      </w:r>
      <w:r>
        <w:rPr>
          <w:i/>
          <w:w w:val="105"/>
          <w:sz w:val="13"/>
        </w:rPr>
        <w:t>Administration</w:t>
      </w:r>
      <w:r>
        <w:rPr>
          <w:i/>
          <w:spacing w:val="3"/>
          <w:w w:val="105"/>
          <w:sz w:val="13"/>
        </w:rPr>
        <w:t> </w:t>
      </w:r>
      <w:r>
        <w:rPr>
          <w:i/>
          <w:w w:val="105"/>
          <w:sz w:val="13"/>
        </w:rPr>
        <w:t>and</w:t>
      </w:r>
      <w:r>
        <w:rPr>
          <w:i/>
          <w:spacing w:val="3"/>
          <w:w w:val="105"/>
          <w:sz w:val="13"/>
        </w:rPr>
        <w:t> </w:t>
      </w:r>
      <w:r>
        <w:rPr>
          <w:i/>
          <w:w w:val="105"/>
          <w:sz w:val="13"/>
        </w:rPr>
        <w:t>Probate</w:t>
      </w:r>
      <w:r>
        <w:rPr>
          <w:i/>
          <w:spacing w:val="4"/>
          <w:w w:val="105"/>
          <w:sz w:val="13"/>
        </w:rPr>
        <w:t> </w:t>
      </w:r>
      <w:r>
        <w:rPr>
          <w:i/>
          <w:w w:val="105"/>
          <w:sz w:val="13"/>
        </w:rPr>
        <w:t>Act</w:t>
      </w:r>
      <w:r>
        <w:rPr>
          <w:i/>
          <w:spacing w:val="3"/>
          <w:w w:val="105"/>
          <w:sz w:val="13"/>
        </w:rPr>
        <w:t> </w:t>
      </w:r>
      <w:r>
        <w:rPr>
          <w:i/>
          <w:w w:val="105"/>
          <w:sz w:val="13"/>
        </w:rPr>
        <w:t>1958</w:t>
      </w:r>
      <w:r>
        <w:rPr>
          <w:i/>
          <w:spacing w:val="5"/>
          <w:w w:val="105"/>
          <w:sz w:val="13"/>
        </w:rPr>
        <w:t> </w:t>
      </w:r>
      <w:r>
        <w:rPr>
          <w:spacing w:val="2"/>
          <w:w w:val="105"/>
          <w:sz w:val="13"/>
        </w:rPr>
        <w:t>(Vic)</w:t>
      </w:r>
      <w:r>
        <w:rPr>
          <w:spacing w:val="4"/>
          <w:w w:val="105"/>
          <w:sz w:val="13"/>
        </w:rPr>
        <w:t> </w:t>
      </w:r>
      <w:r>
        <w:rPr>
          <w:w w:val="105"/>
          <w:sz w:val="13"/>
        </w:rPr>
        <w:t>s</w:t>
      </w:r>
      <w:r>
        <w:rPr>
          <w:spacing w:val="5"/>
          <w:w w:val="105"/>
          <w:sz w:val="13"/>
        </w:rPr>
        <w:t> </w:t>
      </w:r>
      <w:r>
        <w:rPr>
          <w:spacing w:val="3"/>
          <w:w w:val="105"/>
          <w:sz w:val="13"/>
        </w:rPr>
        <w:t>39(2),</w:t>
      </w:r>
      <w:r>
        <w:rPr>
          <w:spacing w:val="4"/>
          <w:w w:val="105"/>
          <w:sz w:val="13"/>
        </w:rPr>
        <w:t> </w:t>
      </w:r>
      <w:r>
        <w:rPr>
          <w:w w:val="105"/>
          <w:sz w:val="13"/>
        </w:rPr>
        <w:t>sch</w:t>
      </w:r>
      <w:r>
        <w:rPr>
          <w:spacing w:val="4"/>
          <w:w w:val="105"/>
          <w:sz w:val="13"/>
        </w:rPr>
        <w:t> </w:t>
      </w:r>
      <w:r>
        <w:rPr>
          <w:w w:val="105"/>
          <w:sz w:val="13"/>
        </w:rPr>
        <w:t>2</w:t>
      </w:r>
      <w:r>
        <w:rPr>
          <w:spacing w:val="5"/>
          <w:w w:val="105"/>
          <w:sz w:val="13"/>
        </w:rPr>
        <w:t> </w:t>
      </w:r>
      <w:r>
        <w:rPr>
          <w:w w:val="105"/>
          <w:sz w:val="13"/>
        </w:rPr>
        <w:t>pt</w:t>
      </w:r>
      <w:r>
        <w:rPr>
          <w:spacing w:val="4"/>
          <w:w w:val="105"/>
          <w:sz w:val="13"/>
        </w:rPr>
        <w:t> </w:t>
      </w:r>
      <w:r>
        <w:rPr>
          <w:w w:val="105"/>
          <w:sz w:val="13"/>
        </w:rPr>
        <w:t>II</w:t>
      </w:r>
      <w:r>
        <w:rPr>
          <w:spacing w:val="5"/>
          <w:w w:val="105"/>
          <w:sz w:val="13"/>
        </w:rPr>
        <w:t> </w:t>
      </w:r>
      <w:r>
        <w:rPr>
          <w:w w:val="105"/>
          <w:sz w:val="13"/>
        </w:rPr>
        <w:t>cl</w:t>
      </w:r>
      <w:r>
        <w:rPr>
          <w:spacing w:val="4"/>
          <w:w w:val="105"/>
          <w:sz w:val="13"/>
        </w:rPr>
        <w:t> 8(a).</w:t>
      </w:r>
    </w:p>
    <w:p>
      <w:pPr>
        <w:pStyle w:val="ListParagraph"/>
        <w:numPr>
          <w:ilvl w:val="0"/>
          <w:numId w:val="132"/>
        </w:numPr>
        <w:tabs>
          <w:tab w:pos="1240" w:val="left" w:leader="none"/>
          <w:tab w:pos="1241" w:val="left" w:leader="none"/>
        </w:tabs>
        <w:spacing w:line="240" w:lineRule="auto" w:before="1" w:after="0"/>
        <w:ind w:left="1240" w:right="1760" w:hanging="794"/>
        <w:jc w:val="left"/>
        <w:rPr>
          <w:sz w:val="13"/>
        </w:rPr>
      </w:pPr>
      <w:r>
        <w:rPr>
          <w:w w:val="105"/>
          <w:sz w:val="13"/>
        </w:rPr>
        <w:t>Derived from the </w:t>
      </w:r>
      <w:r>
        <w:rPr>
          <w:i/>
          <w:w w:val="105"/>
          <w:sz w:val="13"/>
        </w:rPr>
        <w:t>Administration of Estates Act </w:t>
      </w:r>
      <w:r>
        <w:rPr>
          <w:i/>
          <w:spacing w:val="-3"/>
          <w:w w:val="105"/>
          <w:sz w:val="13"/>
        </w:rPr>
        <w:t>1925 </w:t>
      </w:r>
      <w:r>
        <w:rPr>
          <w:spacing w:val="3"/>
          <w:w w:val="105"/>
          <w:sz w:val="13"/>
        </w:rPr>
        <w:t>(UK) </w:t>
      </w:r>
      <w:r>
        <w:rPr>
          <w:w w:val="105"/>
          <w:sz w:val="13"/>
        </w:rPr>
        <w:t>c 23, sch I pt </w:t>
      </w:r>
      <w:r>
        <w:rPr>
          <w:spacing w:val="2"/>
          <w:w w:val="105"/>
          <w:sz w:val="13"/>
        </w:rPr>
        <w:t>II. </w:t>
      </w:r>
      <w:r>
        <w:rPr>
          <w:w w:val="105"/>
          <w:sz w:val="13"/>
        </w:rPr>
        <w:t>See discussion in Rosalind Croucher and Prue Vines, </w:t>
      </w:r>
      <w:r>
        <w:rPr>
          <w:i/>
          <w:w w:val="105"/>
          <w:sz w:val="13"/>
        </w:rPr>
        <w:t>Succession: </w:t>
      </w:r>
      <w:r>
        <w:rPr>
          <w:i/>
          <w:w w:val="105"/>
          <w:sz w:val="13"/>
        </w:rPr>
        <w:t>Families,</w:t>
      </w:r>
      <w:r>
        <w:rPr>
          <w:i/>
          <w:spacing w:val="3"/>
          <w:w w:val="105"/>
          <w:sz w:val="13"/>
        </w:rPr>
        <w:t> </w:t>
      </w:r>
      <w:r>
        <w:rPr>
          <w:i/>
          <w:w w:val="105"/>
          <w:sz w:val="13"/>
        </w:rPr>
        <w:t>Property</w:t>
      </w:r>
      <w:r>
        <w:rPr>
          <w:i/>
          <w:spacing w:val="3"/>
          <w:w w:val="105"/>
          <w:sz w:val="13"/>
        </w:rPr>
        <w:t> </w:t>
      </w:r>
      <w:r>
        <w:rPr>
          <w:i/>
          <w:w w:val="105"/>
          <w:sz w:val="13"/>
        </w:rPr>
        <w:t>and</w:t>
      </w:r>
      <w:r>
        <w:rPr>
          <w:i/>
          <w:spacing w:val="4"/>
          <w:w w:val="105"/>
          <w:sz w:val="13"/>
        </w:rPr>
        <w:t> </w:t>
      </w:r>
      <w:r>
        <w:rPr>
          <w:i/>
          <w:w w:val="105"/>
          <w:sz w:val="13"/>
        </w:rPr>
        <w:t>Death:</w:t>
      </w:r>
      <w:r>
        <w:rPr>
          <w:i/>
          <w:spacing w:val="3"/>
          <w:w w:val="105"/>
          <w:sz w:val="13"/>
        </w:rPr>
        <w:t> </w:t>
      </w:r>
      <w:r>
        <w:rPr>
          <w:i/>
          <w:w w:val="105"/>
          <w:sz w:val="13"/>
        </w:rPr>
        <w:t>Text</w:t>
      </w:r>
      <w:r>
        <w:rPr>
          <w:i/>
          <w:spacing w:val="4"/>
          <w:w w:val="105"/>
          <w:sz w:val="13"/>
        </w:rPr>
        <w:t> </w:t>
      </w:r>
      <w:r>
        <w:rPr>
          <w:i/>
          <w:w w:val="105"/>
          <w:sz w:val="13"/>
        </w:rPr>
        <w:t>and</w:t>
      </w:r>
      <w:r>
        <w:rPr>
          <w:i/>
          <w:spacing w:val="3"/>
          <w:w w:val="105"/>
          <w:sz w:val="13"/>
        </w:rPr>
        <w:t> </w:t>
      </w:r>
      <w:r>
        <w:rPr>
          <w:i/>
          <w:w w:val="105"/>
          <w:sz w:val="13"/>
        </w:rPr>
        <w:t>Cases</w:t>
      </w:r>
      <w:r>
        <w:rPr>
          <w:i/>
          <w:spacing w:val="5"/>
          <w:w w:val="105"/>
          <w:sz w:val="13"/>
        </w:rPr>
        <w:t> </w:t>
      </w:r>
      <w:r>
        <w:rPr>
          <w:spacing w:val="2"/>
          <w:w w:val="105"/>
          <w:sz w:val="13"/>
        </w:rPr>
        <w:t>(LexisNexis</w:t>
      </w:r>
      <w:r>
        <w:rPr>
          <w:spacing w:val="4"/>
          <w:w w:val="105"/>
          <w:sz w:val="13"/>
        </w:rPr>
        <w:t> </w:t>
      </w:r>
      <w:r>
        <w:rPr>
          <w:w w:val="105"/>
          <w:sz w:val="13"/>
        </w:rPr>
        <w:t>Butterworths,</w:t>
      </w:r>
      <w:r>
        <w:rPr>
          <w:spacing w:val="5"/>
          <w:w w:val="105"/>
          <w:sz w:val="13"/>
        </w:rPr>
        <w:t> </w:t>
      </w:r>
      <w:r>
        <w:rPr>
          <w:w w:val="105"/>
          <w:sz w:val="13"/>
        </w:rPr>
        <w:t>3rd</w:t>
      </w:r>
      <w:r>
        <w:rPr>
          <w:spacing w:val="4"/>
          <w:w w:val="105"/>
          <w:sz w:val="13"/>
        </w:rPr>
        <w:t> </w:t>
      </w:r>
      <w:r>
        <w:rPr>
          <w:w w:val="105"/>
          <w:sz w:val="13"/>
        </w:rPr>
        <w:t>ed,</w:t>
      </w:r>
      <w:r>
        <w:rPr>
          <w:spacing w:val="5"/>
          <w:w w:val="105"/>
          <w:sz w:val="13"/>
        </w:rPr>
        <w:t> </w:t>
      </w:r>
      <w:r>
        <w:rPr>
          <w:spacing w:val="2"/>
          <w:w w:val="105"/>
          <w:sz w:val="13"/>
        </w:rPr>
        <w:t>2009)</w:t>
      </w:r>
      <w:r>
        <w:rPr>
          <w:spacing w:val="4"/>
          <w:w w:val="105"/>
          <w:sz w:val="13"/>
        </w:rPr>
        <w:t> </w:t>
      </w:r>
      <w:r>
        <w:rPr>
          <w:w w:val="105"/>
          <w:sz w:val="13"/>
        </w:rPr>
        <w:t>758.</w:t>
      </w:r>
    </w:p>
    <w:p>
      <w:pPr>
        <w:pStyle w:val="ListParagraph"/>
        <w:numPr>
          <w:ilvl w:val="0"/>
          <w:numId w:val="132"/>
        </w:numPr>
        <w:tabs>
          <w:tab w:pos="1240" w:val="left" w:leader="none"/>
          <w:tab w:pos="1241" w:val="left" w:leader="none"/>
        </w:tabs>
        <w:spacing w:line="240" w:lineRule="auto" w:before="3" w:after="0"/>
        <w:ind w:left="1240" w:right="1715" w:hanging="794"/>
        <w:jc w:val="left"/>
        <w:rPr>
          <w:sz w:val="13"/>
        </w:rPr>
      </w:pPr>
      <w:r>
        <w:rPr>
          <w:w w:val="105"/>
          <w:sz w:val="13"/>
        </w:rPr>
        <w:t>The value of these assets is to be determined after accounting for the value of any charges over them. See </w:t>
      </w:r>
      <w:r>
        <w:rPr>
          <w:i/>
          <w:w w:val="105"/>
          <w:sz w:val="13"/>
        </w:rPr>
        <w:t>Administration and Probate Act </w:t>
      </w:r>
      <w:r>
        <w:rPr>
          <w:i/>
          <w:w w:val="105"/>
          <w:sz w:val="13"/>
        </w:rPr>
        <w:t>1958</w:t>
      </w:r>
      <w:r>
        <w:rPr>
          <w:i/>
          <w:spacing w:val="4"/>
          <w:w w:val="105"/>
          <w:sz w:val="13"/>
        </w:rPr>
        <w:t> </w:t>
      </w:r>
      <w:r>
        <w:rPr>
          <w:spacing w:val="2"/>
          <w:w w:val="105"/>
          <w:sz w:val="13"/>
        </w:rPr>
        <w:t>(Vic)</w:t>
      </w:r>
      <w:r>
        <w:rPr>
          <w:spacing w:val="5"/>
          <w:w w:val="105"/>
          <w:sz w:val="13"/>
        </w:rPr>
        <w:t> </w:t>
      </w:r>
      <w:r>
        <w:rPr>
          <w:w w:val="105"/>
          <w:sz w:val="13"/>
        </w:rPr>
        <w:t>s</w:t>
      </w:r>
      <w:r>
        <w:rPr>
          <w:spacing w:val="5"/>
          <w:w w:val="105"/>
          <w:sz w:val="13"/>
        </w:rPr>
        <w:t> </w:t>
      </w:r>
      <w:r>
        <w:rPr>
          <w:w w:val="105"/>
          <w:sz w:val="13"/>
        </w:rPr>
        <w:t>40.</w:t>
      </w:r>
      <w:r>
        <w:rPr>
          <w:spacing w:val="5"/>
          <w:w w:val="105"/>
          <w:sz w:val="13"/>
        </w:rPr>
        <w:t> </w:t>
      </w:r>
      <w:r>
        <w:rPr>
          <w:w w:val="105"/>
          <w:sz w:val="13"/>
        </w:rPr>
        <w:t>See</w:t>
      </w:r>
      <w:r>
        <w:rPr>
          <w:spacing w:val="5"/>
          <w:w w:val="105"/>
          <w:sz w:val="13"/>
        </w:rPr>
        <w:t> </w:t>
      </w:r>
      <w:r>
        <w:rPr>
          <w:i/>
          <w:w w:val="105"/>
          <w:sz w:val="13"/>
        </w:rPr>
        <w:t>Re</w:t>
      </w:r>
      <w:r>
        <w:rPr>
          <w:i/>
          <w:spacing w:val="4"/>
          <w:w w:val="105"/>
          <w:sz w:val="13"/>
        </w:rPr>
        <w:t> </w:t>
      </w:r>
      <w:r>
        <w:rPr>
          <w:i/>
          <w:w w:val="105"/>
          <w:sz w:val="13"/>
        </w:rPr>
        <w:t>John;</w:t>
      </w:r>
      <w:r>
        <w:rPr>
          <w:i/>
          <w:spacing w:val="4"/>
          <w:w w:val="105"/>
          <w:sz w:val="13"/>
        </w:rPr>
        <w:t> </w:t>
      </w:r>
      <w:r>
        <w:rPr>
          <w:i/>
          <w:w w:val="105"/>
          <w:sz w:val="13"/>
        </w:rPr>
        <w:t>Jones</w:t>
      </w:r>
      <w:r>
        <w:rPr>
          <w:i/>
          <w:spacing w:val="4"/>
          <w:w w:val="105"/>
          <w:sz w:val="13"/>
        </w:rPr>
        <w:t> </w:t>
      </w:r>
      <w:r>
        <w:rPr>
          <w:i/>
          <w:w w:val="105"/>
          <w:sz w:val="13"/>
        </w:rPr>
        <w:t>v</w:t>
      </w:r>
      <w:r>
        <w:rPr>
          <w:i/>
          <w:spacing w:val="3"/>
          <w:w w:val="105"/>
          <w:sz w:val="13"/>
        </w:rPr>
        <w:t> </w:t>
      </w:r>
      <w:r>
        <w:rPr>
          <w:i/>
          <w:w w:val="105"/>
          <w:sz w:val="13"/>
        </w:rPr>
        <w:t>John</w:t>
      </w:r>
      <w:r>
        <w:rPr>
          <w:i/>
          <w:spacing w:val="5"/>
          <w:w w:val="105"/>
          <w:sz w:val="13"/>
        </w:rPr>
        <w:t> </w:t>
      </w:r>
      <w:r>
        <w:rPr>
          <w:w w:val="105"/>
          <w:sz w:val="13"/>
        </w:rPr>
        <w:t>[1933]</w:t>
      </w:r>
      <w:r>
        <w:rPr>
          <w:spacing w:val="5"/>
          <w:w w:val="105"/>
          <w:sz w:val="13"/>
        </w:rPr>
        <w:t> </w:t>
      </w:r>
      <w:r>
        <w:rPr>
          <w:w w:val="105"/>
          <w:sz w:val="13"/>
        </w:rPr>
        <w:t>Ch</w:t>
      </w:r>
      <w:r>
        <w:rPr>
          <w:spacing w:val="5"/>
          <w:w w:val="105"/>
          <w:sz w:val="13"/>
        </w:rPr>
        <w:t> </w:t>
      </w:r>
      <w:r>
        <w:rPr>
          <w:w w:val="105"/>
          <w:sz w:val="13"/>
        </w:rPr>
        <w:t>370,</w:t>
      </w:r>
      <w:r>
        <w:rPr>
          <w:spacing w:val="5"/>
          <w:w w:val="105"/>
          <w:sz w:val="13"/>
        </w:rPr>
        <w:t> </w:t>
      </w:r>
      <w:r>
        <w:rPr>
          <w:w w:val="105"/>
          <w:sz w:val="13"/>
        </w:rPr>
        <w:t>372</w:t>
      </w:r>
      <w:r>
        <w:rPr>
          <w:spacing w:val="5"/>
          <w:w w:val="105"/>
          <w:sz w:val="13"/>
        </w:rPr>
        <w:t> </w:t>
      </w:r>
      <w:r>
        <w:rPr>
          <w:w w:val="105"/>
          <w:sz w:val="13"/>
        </w:rPr>
        <w:t>(Farwell</w:t>
      </w:r>
      <w:r>
        <w:rPr>
          <w:spacing w:val="5"/>
          <w:w w:val="105"/>
          <w:sz w:val="13"/>
        </w:rPr>
        <w:t> </w:t>
      </w:r>
      <w:r>
        <w:rPr>
          <w:spacing w:val="3"/>
          <w:w w:val="105"/>
          <w:sz w:val="13"/>
        </w:rPr>
        <w:t>J).</w:t>
      </w:r>
    </w:p>
    <w:p>
      <w:pPr>
        <w:pStyle w:val="ListParagraph"/>
        <w:numPr>
          <w:ilvl w:val="0"/>
          <w:numId w:val="132"/>
        </w:numPr>
        <w:tabs>
          <w:tab w:pos="1240" w:val="left" w:leader="none"/>
          <w:tab w:pos="1241" w:val="left" w:leader="none"/>
        </w:tabs>
        <w:spacing w:line="240" w:lineRule="auto" w:before="3" w:after="0"/>
        <w:ind w:left="1240" w:right="1694" w:hanging="794"/>
        <w:jc w:val="left"/>
        <w:rPr>
          <w:sz w:val="13"/>
        </w:rPr>
      </w:pPr>
      <w:r>
        <w:rPr>
          <w:i/>
          <w:w w:val="105"/>
          <w:sz w:val="13"/>
        </w:rPr>
        <w:t>Administration and Probate Act 1958 </w:t>
      </w:r>
      <w:r>
        <w:rPr>
          <w:spacing w:val="2"/>
          <w:w w:val="105"/>
          <w:sz w:val="13"/>
        </w:rPr>
        <w:t>(Vic) </w:t>
      </w:r>
      <w:r>
        <w:rPr>
          <w:w w:val="105"/>
          <w:sz w:val="13"/>
        </w:rPr>
        <w:t>s </w:t>
      </w:r>
      <w:r>
        <w:rPr>
          <w:spacing w:val="3"/>
          <w:w w:val="105"/>
          <w:sz w:val="13"/>
        </w:rPr>
        <w:t>39(2), </w:t>
      </w:r>
      <w:r>
        <w:rPr>
          <w:w w:val="105"/>
          <w:sz w:val="13"/>
        </w:rPr>
        <w:t>sch II pt II cl </w:t>
      </w:r>
      <w:r>
        <w:rPr>
          <w:spacing w:val="4"/>
          <w:w w:val="105"/>
          <w:sz w:val="13"/>
        </w:rPr>
        <w:t>8(a). </w:t>
      </w:r>
      <w:r>
        <w:rPr>
          <w:w w:val="105"/>
          <w:sz w:val="13"/>
        </w:rPr>
        <w:t>Contrary intention is discussed in more detail in Victorian Law Reform Commission,</w:t>
      </w:r>
      <w:r>
        <w:rPr>
          <w:spacing w:val="5"/>
          <w:w w:val="105"/>
          <w:sz w:val="13"/>
        </w:rPr>
        <w:t> </w:t>
      </w:r>
      <w:r>
        <w:rPr>
          <w:w w:val="105"/>
          <w:sz w:val="13"/>
        </w:rPr>
        <w:t>above</w:t>
      </w:r>
      <w:r>
        <w:rPr>
          <w:spacing w:val="5"/>
          <w:w w:val="105"/>
          <w:sz w:val="13"/>
        </w:rPr>
        <w:t> </w:t>
      </w:r>
      <w:r>
        <w:rPr>
          <w:w w:val="105"/>
          <w:sz w:val="13"/>
        </w:rPr>
        <w:t>n</w:t>
      </w:r>
      <w:r>
        <w:rPr>
          <w:spacing w:val="5"/>
          <w:w w:val="105"/>
          <w:sz w:val="13"/>
        </w:rPr>
        <w:t> </w:t>
      </w:r>
      <w:r>
        <w:rPr>
          <w:w w:val="105"/>
          <w:sz w:val="13"/>
        </w:rPr>
        <w:t>2,</w:t>
      </w:r>
      <w:r>
        <w:rPr>
          <w:spacing w:val="5"/>
          <w:w w:val="105"/>
          <w:sz w:val="13"/>
        </w:rPr>
        <w:t> </w:t>
      </w:r>
      <w:r>
        <w:rPr>
          <w:i/>
          <w:w w:val="105"/>
          <w:sz w:val="13"/>
        </w:rPr>
        <w:t>Succession</w:t>
      </w:r>
      <w:r>
        <w:rPr>
          <w:i/>
          <w:spacing w:val="4"/>
          <w:w w:val="105"/>
          <w:sz w:val="13"/>
        </w:rPr>
        <w:t> </w:t>
      </w:r>
      <w:r>
        <w:rPr>
          <w:i/>
          <w:w w:val="105"/>
          <w:sz w:val="13"/>
        </w:rPr>
        <w:t>Laws:</w:t>
      </w:r>
      <w:r>
        <w:rPr>
          <w:i/>
          <w:spacing w:val="4"/>
          <w:w w:val="105"/>
          <w:sz w:val="13"/>
        </w:rPr>
        <w:t> </w:t>
      </w:r>
      <w:r>
        <w:rPr>
          <w:i/>
          <w:w w:val="105"/>
          <w:sz w:val="13"/>
        </w:rPr>
        <w:t>Debts</w:t>
      </w:r>
      <w:r>
        <w:rPr>
          <w:w w:val="105"/>
          <w:sz w:val="13"/>
        </w:rPr>
        <w:t>,</w:t>
      </w:r>
      <w:r>
        <w:rPr>
          <w:spacing w:val="5"/>
          <w:w w:val="105"/>
          <w:sz w:val="13"/>
        </w:rPr>
        <w:t> </w:t>
      </w:r>
      <w:r>
        <w:rPr>
          <w:w w:val="105"/>
          <w:sz w:val="13"/>
        </w:rPr>
        <w:t>Consultation</w:t>
      </w:r>
      <w:r>
        <w:rPr>
          <w:spacing w:val="5"/>
          <w:w w:val="105"/>
          <w:sz w:val="13"/>
        </w:rPr>
        <w:t> </w:t>
      </w:r>
      <w:r>
        <w:rPr>
          <w:w w:val="105"/>
          <w:sz w:val="13"/>
        </w:rPr>
        <w:t>Paper</w:t>
      </w:r>
      <w:r>
        <w:rPr>
          <w:spacing w:val="5"/>
          <w:w w:val="105"/>
          <w:sz w:val="13"/>
        </w:rPr>
        <w:t> </w:t>
      </w:r>
      <w:r>
        <w:rPr>
          <w:w w:val="105"/>
          <w:sz w:val="13"/>
        </w:rPr>
        <w:t>No</w:t>
      </w:r>
      <w:r>
        <w:rPr>
          <w:spacing w:val="5"/>
          <w:w w:val="105"/>
          <w:sz w:val="13"/>
        </w:rPr>
        <w:t> </w:t>
      </w:r>
      <w:r>
        <w:rPr>
          <w:spacing w:val="-3"/>
          <w:w w:val="105"/>
          <w:sz w:val="13"/>
        </w:rPr>
        <w:t>15</w:t>
      </w:r>
      <w:r>
        <w:rPr>
          <w:spacing w:val="5"/>
          <w:w w:val="105"/>
          <w:sz w:val="13"/>
        </w:rPr>
        <w:t> </w:t>
      </w:r>
      <w:r>
        <w:rPr>
          <w:w w:val="105"/>
          <w:sz w:val="13"/>
        </w:rPr>
        <w:t>(2012)</w:t>
      </w:r>
      <w:r>
        <w:rPr>
          <w:spacing w:val="5"/>
          <w:w w:val="105"/>
          <w:sz w:val="13"/>
        </w:rPr>
        <w:t> </w:t>
      </w:r>
      <w:r>
        <w:rPr>
          <w:w w:val="105"/>
          <w:sz w:val="13"/>
        </w:rPr>
        <w:t>23.</w:t>
      </w:r>
    </w:p>
    <w:p>
      <w:pPr>
        <w:pStyle w:val="ListParagraph"/>
        <w:numPr>
          <w:ilvl w:val="0"/>
          <w:numId w:val="132"/>
        </w:numPr>
        <w:tabs>
          <w:tab w:pos="1240" w:val="left" w:leader="none"/>
          <w:tab w:pos="1241" w:val="left" w:leader="none"/>
        </w:tabs>
        <w:spacing w:line="240" w:lineRule="auto" w:before="2" w:after="0"/>
        <w:ind w:left="1240" w:right="0" w:hanging="794"/>
        <w:jc w:val="left"/>
        <w:rPr>
          <w:sz w:val="13"/>
        </w:rPr>
      </w:pPr>
      <w:r>
        <w:rPr>
          <w:w w:val="105"/>
          <w:sz w:val="13"/>
        </w:rPr>
        <w:t>See,</w:t>
      </w:r>
      <w:r>
        <w:rPr>
          <w:spacing w:val="5"/>
          <w:w w:val="105"/>
          <w:sz w:val="13"/>
        </w:rPr>
        <w:t> </w:t>
      </w:r>
      <w:r>
        <w:rPr>
          <w:w w:val="105"/>
          <w:sz w:val="13"/>
        </w:rPr>
        <w:t>eg,</w:t>
      </w:r>
      <w:r>
        <w:rPr>
          <w:spacing w:val="6"/>
          <w:w w:val="105"/>
          <w:sz w:val="13"/>
        </w:rPr>
        <w:t> </w:t>
      </w:r>
      <w:r>
        <w:rPr>
          <w:i/>
          <w:w w:val="105"/>
          <w:sz w:val="13"/>
        </w:rPr>
        <w:t>Re</w:t>
      </w:r>
      <w:r>
        <w:rPr>
          <w:i/>
          <w:spacing w:val="5"/>
          <w:w w:val="105"/>
          <w:sz w:val="13"/>
        </w:rPr>
        <w:t> </w:t>
      </w:r>
      <w:r>
        <w:rPr>
          <w:i/>
          <w:w w:val="105"/>
          <w:sz w:val="13"/>
        </w:rPr>
        <w:t>Rodgers</w:t>
      </w:r>
      <w:r>
        <w:rPr>
          <w:i/>
          <w:spacing w:val="5"/>
          <w:w w:val="105"/>
          <w:sz w:val="13"/>
        </w:rPr>
        <w:t> </w:t>
      </w:r>
      <w:r>
        <w:rPr>
          <w:i/>
          <w:w w:val="105"/>
          <w:sz w:val="13"/>
        </w:rPr>
        <w:t>(dec’d)</w:t>
      </w:r>
      <w:r>
        <w:rPr>
          <w:i/>
          <w:spacing w:val="5"/>
          <w:w w:val="105"/>
          <w:sz w:val="13"/>
        </w:rPr>
        <w:t> </w:t>
      </w:r>
      <w:r>
        <w:rPr>
          <w:w w:val="105"/>
          <w:sz w:val="13"/>
        </w:rPr>
        <w:t>[2001]</w:t>
      </w:r>
      <w:r>
        <w:rPr>
          <w:spacing w:val="5"/>
          <w:w w:val="105"/>
          <w:sz w:val="13"/>
        </w:rPr>
        <w:t> </w:t>
      </w:r>
      <w:r>
        <w:rPr>
          <w:w w:val="105"/>
          <w:sz w:val="13"/>
        </w:rPr>
        <w:t>1</w:t>
      </w:r>
      <w:r>
        <w:rPr>
          <w:spacing w:val="6"/>
          <w:w w:val="105"/>
          <w:sz w:val="13"/>
        </w:rPr>
        <w:t> </w:t>
      </w:r>
      <w:r>
        <w:rPr>
          <w:w w:val="105"/>
          <w:sz w:val="13"/>
        </w:rPr>
        <w:t>Qd</w:t>
      </w:r>
      <w:r>
        <w:rPr>
          <w:spacing w:val="6"/>
          <w:w w:val="105"/>
          <w:sz w:val="13"/>
        </w:rPr>
        <w:t> </w:t>
      </w:r>
      <w:r>
        <w:rPr>
          <w:w w:val="105"/>
          <w:sz w:val="13"/>
        </w:rPr>
        <w:t>R</w:t>
      </w:r>
      <w:r>
        <w:rPr>
          <w:spacing w:val="6"/>
          <w:w w:val="105"/>
          <w:sz w:val="13"/>
        </w:rPr>
        <w:t> </w:t>
      </w:r>
      <w:r>
        <w:rPr>
          <w:w w:val="105"/>
          <w:sz w:val="13"/>
        </w:rPr>
        <w:t>542.</w:t>
      </w:r>
      <w:r>
        <w:rPr>
          <w:spacing w:val="6"/>
          <w:w w:val="105"/>
          <w:sz w:val="13"/>
        </w:rPr>
        <w:t> </w:t>
      </w:r>
      <w:r>
        <w:rPr>
          <w:w w:val="105"/>
          <w:sz w:val="13"/>
        </w:rPr>
        <w:t>Compare</w:t>
      </w:r>
      <w:r>
        <w:rPr>
          <w:spacing w:val="6"/>
          <w:w w:val="105"/>
          <w:sz w:val="13"/>
        </w:rPr>
        <w:t> </w:t>
      </w:r>
      <w:r>
        <w:rPr>
          <w:i/>
          <w:w w:val="105"/>
          <w:sz w:val="13"/>
        </w:rPr>
        <w:t>Roman</w:t>
      </w:r>
      <w:r>
        <w:rPr>
          <w:i/>
          <w:spacing w:val="4"/>
          <w:w w:val="105"/>
          <w:sz w:val="13"/>
        </w:rPr>
        <w:t> </w:t>
      </w:r>
      <w:r>
        <w:rPr>
          <w:i/>
          <w:w w:val="105"/>
          <w:sz w:val="13"/>
        </w:rPr>
        <w:t>Catholic</w:t>
      </w:r>
      <w:r>
        <w:rPr>
          <w:i/>
          <w:spacing w:val="5"/>
          <w:w w:val="105"/>
          <w:sz w:val="13"/>
        </w:rPr>
        <w:t> </w:t>
      </w:r>
      <w:r>
        <w:rPr>
          <w:i/>
          <w:w w:val="105"/>
          <w:sz w:val="13"/>
        </w:rPr>
        <w:t>Archbishop</w:t>
      </w:r>
      <w:r>
        <w:rPr>
          <w:i/>
          <w:spacing w:val="5"/>
          <w:w w:val="105"/>
          <w:sz w:val="13"/>
        </w:rPr>
        <w:t> </w:t>
      </w:r>
      <w:r>
        <w:rPr>
          <w:i/>
          <w:w w:val="105"/>
          <w:sz w:val="13"/>
        </w:rPr>
        <w:t>of</w:t>
      </w:r>
      <w:r>
        <w:rPr>
          <w:i/>
          <w:spacing w:val="5"/>
          <w:w w:val="105"/>
          <w:sz w:val="13"/>
        </w:rPr>
        <w:t> </w:t>
      </w:r>
      <w:r>
        <w:rPr>
          <w:i/>
          <w:w w:val="105"/>
          <w:sz w:val="13"/>
        </w:rPr>
        <w:t>Melbourne</w:t>
      </w:r>
      <w:r>
        <w:rPr>
          <w:i/>
          <w:spacing w:val="5"/>
          <w:w w:val="105"/>
          <w:sz w:val="13"/>
        </w:rPr>
        <w:t> </w:t>
      </w:r>
      <w:r>
        <w:rPr>
          <w:i/>
          <w:w w:val="105"/>
          <w:sz w:val="13"/>
        </w:rPr>
        <w:t>v</w:t>
      </w:r>
      <w:r>
        <w:rPr>
          <w:i/>
          <w:spacing w:val="5"/>
          <w:w w:val="105"/>
          <w:sz w:val="13"/>
        </w:rPr>
        <w:t> </w:t>
      </w:r>
      <w:r>
        <w:rPr>
          <w:i/>
          <w:w w:val="105"/>
          <w:sz w:val="13"/>
        </w:rPr>
        <w:t>Lawlor</w:t>
      </w:r>
      <w:r>
        <w:rPr>
          <w:i/>
          <w:spacing w:val="5"/>
          <w:w w:val="105"/>
          <w:sz w:val="13"/>
        </w:rPr>
        <w:t> </w:t>
      </w:r>
      <w:r>
        <w:rPr>
          <w:w w:val="105"/>
          <w:sz w:val="13"/>
        </w:rPr>
        <w:t>(1934)</w:t>
      </w:r>
      <w:r>
        <w:rPr>
          <w:spacing w:val="6"/>
          <w:w w:val="105"/>
          <w:sz w:val="13"/>
        </w:rPr>
        <w:t> </w:t>
      </w:r>
      <w:r>
        <w:rPr>
          <w:spacing w:val="-4"/>
          <w:w w:val="105"/>
          <w:sz w:val="13"/>
        </w:rPr>
        <w:t>51</w:t>
      </w:r>
      <w:r>
        <w:rPr>
          <w:spacing w:val="6"/>
          <w:w w:val="105"/>
          <w:sz w:val="13"/>
        </w:rPr>
        <w:t> </w:t>
      </w:r>
      <w:r>
        <w:rPr>
          <w:w w:val="105"/>
          <w:sz w:val="13"/>
        </w:rPr>
        <w:t>CLR</w:t>
      </w:r>
      <w:r>
        <w:rPr>
          <w:spacing w:val="6"/>
          <w:w w:val="105"/>
          <w:sz w:val="13"/>
        </w:rPr>
        <w:t> </w:t>
      </w:r>
      <w:r>
        <w:rPr>
          <w:spacing w:val="-3"/>
          <w:w w:val="105"/>
          <w:sz w:val="13"/>
        </w:rPr>
        <w:t>1,</w:t>
      </w:r>
      <w:r>
        <w:rPr>
          <w:spacing w:val="6"/>
          <w:w w:val="105"/>
          <w:sz w:val="13"/>
        </w:rPr>
        <w:t> </w:t>
      </w:r>
      <w:r>
        <w:rPr>
          <w:spacing w:val="2"/>
          <w:w w:val="105"/>
          <w:sz w:val="13"/>
        </w:rPr>
        <w:t>44.</w:t>
      </w:r>
    </w:p>
    <w:p>
      <w:pPr>
        <w:spacing w:after="0" w:line="240" w:lineRule="auto"/>
        <w:jc w:val="left"/>
        <w:rPr>
          <w:sz w:val="13"/>
        </w:rPr>
        <w:sectPr>
          <w:type w:val="continuous"/>
          <w:pgSz w:w="11910" w:h="16840"/>
          <w:pgMar w:top="920" w:bottom="280" w:left="0" w:right="0"/>
          <w:cols w:num="2" w:equalWidth="0">
            <w:col w:w="1101" w:space="40"/>
            <w:col w:w="10769"/>
          </w:cols>
        </w:sectPr>
      </w:pPr>
    </w:p>
    <w:p>
      <w:pPr>
        <w:pStyle w:val="BodyText"/>
        <w:rPr>
          <w:sz w:val="20"/>
        </w:rPr>
      </w:pPr>
    </w:p>
    <w:p>
      <w:pPr>
        <w:pStyle w:val="BodyText"/>
        <w:rPr>
          <w:sz w:val="19"/>
        </w:rPr>
      </w:pPr>
    </w:p>
    <w:p>
      <w:pPr>
        <w:pStyle w:val="ListParagraph"/>
        <w:numPr>
          <w:ilvl w:val="1"/>
          <w:numId w:val="22"/>
        </w:numPr>
        <w:tabs>
          <w:tab w:pos="2380" w:val="left" w:leader="none"/>
          <w:tab w:pos="2381" w:val="left" w:leader="none"/>
        </w:tabs>
        <w:spacing w:line="242" w:lineRule="auto" w:before="91" w:after="0"/>
        <w:ind w:left="2381" w:right="1642" w:hanging="794"/>
        <w:jc w:val="left"/>
        <w:rPr>
          <w:sz w:val="21"/>
        </w:rPr>
      </w:pPr>
      <w:r>
        <w:rPr>
          <w:spacing w:val="-4"/>
          <w:w w:val="105"/>
          <w:sz w:val="21"/>
        </w:rPr>
        <w:t>However, </w:t>
      </w:r>
      <w:r>
        <w:rPr>
          <w:w w:val="105"/>
          <w:sz w:val="21"/>
        </w:rPr>
        <w:t>a </w:t>
      </w:r>
      <w:r>
        <w:rPr>
          <w:spacing w:val="-3"/>
          <w:w w:val="105"/>
          <w:sz w:val="21"/>
        </w:rPr>
        <w:t>will-maker may </w:t>
      </w:r>
      <w:r>
        <w:rPr>
          <w:spacing w:val="-2"/>
          <w:w w:val="105"/>
          <w:sz w:val="21"/>
        </w:rPr>
        <w:t>not </w:t>
      </w:r>
      <w:r>
        <w:rPr>
          <w:w w:val="105"/>
          <w:sz w:val="21"/>
        </w:rPr>
        <w:t>necessarily </w:t>
      </w:r>
      <w:r>
        <w:rPr>
          <w:spacing w:val="-3"/>
          <w:w w:val="105"/>
          <w:sz w:val="21"/>
        </w:rPr>
        <w:t>displace </w:t>
      </w:r>
      <w:r>
        <w:rPr>
          <w:w w:val="105"/>
          <w:sz w:val="21"/>
        </w:rPr>
        <w:t>the order by simply setting aside certain</w:t>
      </w:r>
      <w:r>
        <w:rPr>
          <w:spacing w:val="-7"/>
          <w:w w:val="105"/>
          <w:sz w:val="21"/>
        </w:rPr>
        <w:t> </w:t>
      </w:r>
      <w:r>
        <w:rPr>
          <w:w w:val="105"/>
          <w:sz w:val="21"/>
        </w:rPr>
        <w:t>property</w:t>
      </w:r>
      <w:r>
        <w:rPr>
          <w:spacing w:val="-6"/>
          <w:w w:val="105"/>
          <w:sz w:val="21"/>
        </w:rPr>
        <w:t> </w:t>
      </w:r>
      <w:r>
        <w:rPr>
          <w:spacing w:val="-3"/>
          <w:w w:val="105"/>
          <w:sz w:val="21"/>
        </w:rPr>
        <w:t>to</w:t>
      </w:r>
      <w:r>
        <w:rPr>
          <w:spacing w:val="-7"/>
          <w:w w:val="105"/>
          <w:sz w:val="21"/>
        </w:rPr>
        <w:t> </w:t>
      </w:r>
      <w:r>
        <w:rPr>
          <w:spacing w:val="-2"/>
          <w:w w:val="105"/>
          <w:sz w:val="21"/>
        </w:rPr>
        <w:t>pay</w:t>
      </w:r>
      <w:r>
        <w:rPr>
          <w:spacing w:val="-6"/>
          <w:w w:val="105"/>
          <w:sz w:val="21"/>
        </w:rPr>
        <w:t> </w:t>
      </w:r>
      <w:r>
        <w:rPr>
          <w:w w:val="105"/>
          <w:sz w:val="21"/>
        </w:rPr>
        <w:t>debts.</w:t>
      </w:r>
      <w:r>
        <w:rPr>
          <w:spacing w:val="-6"/>
          <w:w w:val="105"/>
          <w:sz w:val="21"/>
        </w:rPr>
        <w:t> </w:t>
      </w:r>
      <w:r>
        <w:rPr>
          <w:w w:val="105"/>
          <w:sz w:val="21"/>
        </w:rPr>
        <w:t>As</w:t>
      </w:r>
      <w:r>
        <w:rPr>
          <w:spacing w:val="-7"/>
          <w:w w:val="105"/>
          <w:sz w:val="21"/>
        </w:rPr>
        <w:t> </w:t>
      </w:r>
      <w:r>
        <w:rPr>
          <w:spacing w:val="-3"/>
          <w:w w:val="105"/>
          <w:sz w:val="21"/>
        </w:rPr>
        <w:t>noted</w:t>
      </w:r>
      <w:r>
        <w:rPr>
          <w:spacing w:val="-6"/>
          <w:w w:val="105"/>
          <w:sz w:val="21"/>
        </w:rPr>
        <w:t> </w:t>
      </w:r>
      <w:r>
        <w:rPr>
          <w:spacing w:val="-3"/>
          <w:w w:val="105"/>
          <w:sz w:val="21"/>
        </w:rPr>
        <w:t>above,</w:t>
      </w:r>
      <w:r>
        <w:rPr>
          <w:spacing w:val="-6"/>
          <w:w w:val="105"/>
          <w:sz w:val="21"/>
        </w:rPr>
        <w:t> </w:t>
      </w:r>
      <w:r>
        <w:rPr>
          <w:w w:val="105"/>
          <w:sz w:val="21"/>
        </w:rPr>
        <w:t>the</w:t>
      </w:r>
      <w:r>
        <w:rPr>
          <w:spacing w:val="-7"/>
          <w:w w:val="105"/>
          <w:sz w:val="21"/>
        </w:rPr>
        <w:t> </w:t>
      </w:r>
      <w:r>
        <w:rPr>
          <w:w w:val="105"/>
          <w:sz w:val="21"/>
        </w:rPr>
        <w:t>order</w:t>
      </w:r>
      <w:r>
        <w:rPr>
          <w:spacing w:val="-6"/>
          <w:w w:val="105"/>
          <w:sz w:val="21"/>
        </w:rPr>
        <w:t> </w:t>
      </w:r>
      <w:r>
        <w:rPr>
          <w:w w:val="105"/>
          <w:sz w:val="21"/>
        </w:rPr>
        <w:t>of</w:t>
      </w:r>
      <w:r>
        <w:rPr>
          <w:spacing w:val="-6"/>
          <w:w w:val="105"/>
          <w:sz w:val="21"/>
        </w:rPr>
        <w:t> </w:t>
      </w:r>
      <w:r>
        <w:rPr>
          <w:w w:val="105"/>
          <w:sz w:val="21"/>
        </w:rPr>
        <w:t>application</w:t>
      </w:r>
      <w:r>
        <w:rPr>
          <w:spacing w:val="-7"/>
          <w:w w:val="105"/>
          <w:sz w:val="21"/>
        </w:rPr>
        <w:t> </w:t>
      </w:r>
      <w:r>
        <w:rPr>
          <w:spacing w:val="-3"/>
          <w:w w:val="105"/>
          <w:sz w:val="21"/>
        </w:rPr>
        <w:t>includes</w:t>
      </w:r>
      <w:r>
        <w:rPr>
          <w:spacing w:val="-6"/>
          <w:w w:val="105"/>
          <w:sz w:val="21"/>
        </w:rPr>
        <w:t> </w:t>
      </w:r>
      <w:r>
        <w:rPr>
          <w:w w:val="105"/>
          <w:sz w:val="21"/>
        </w:rPr>
        <w:t>a</w:t>
      </w:r>
      <w:r>
        <w:rPr>
          <w:spacing w:val="-6"/>
          <w:w w:val="105"/>
          <w:sz w:val="21"/>
        </w:rPr>
        <w:t> </w:t>
      </w:r>
      <w:r>
        <w:rPr>
          <w:w w:val="105"/>
          <w:sz w:val="21"/>
        </w:rPr>
        <w:t>specific category of ‘property set aside by the </w:t>
      </w:r>
      <w:r>
        <w:rPr>
          <w:spacing w:val="-3"/>
          <w:w w:val="105"/>
          <w:sz w:val="21"/>
        </w:rPr>
        <w:t>will-maker for </w:t>
      </w:r>
      <w:r>
        <w:rPr>
          <w:w w:val="105"/>
          <w:sz w:val="21"/>
        </w:rPr>
        <w:t>the purpose of </w:t>
      </w:r>
      <w:r>
        <w:rPr>
          <w:spacing w:val="-3"/>
          <w:w w:val="105"/>
          <w:sz w:val="21"/>
        </w:rPr>
        <w:t>paying </w:t>
      </w:r>
      <w:r>
        <w:rPr>
          <w:spacing w:val="-4"/>
          <w:w w:val="105"/>
          <w:sz w:val="21"/>
        </w:rPr>
        <w:t>debts’. </w:t>
      </w:r>
      <w:r>
        <w:rPr>
          <w:w w:val="105"/>
          <w:sz w:val="21"/>
        </w:rPr>
        <w:t>This category is </w:t>
      </w:r>
      <w:r>
        <w:rPr>
          <w:spacing w:val="-2"/>
          <w:w w:val="105"/>
          <w:sz w:val="21"/>
        </w:rPr>
        <w:t>listed </w:t>
      </w:r>
      <w:r>
        <w:rPr>
          <w:w w:val="105"/>
          <w:sz w:val="21"/>
        </w:rPr>
        <w:t>second, after property undisposed of by </w:t>
      </w:r>
      <w:r>
        <w:rPr>
          <w:spacing w:val="-3"/>
          <w:w w:val="105"/>
          <w:sz w:val="21"/>
        </w:rPr>
        <w:t>will. </w:t>
      </w:r>
      <w:r>
        <w:rPr>
          <w:w w:val="105"/>
          <w:sz w:val="21"/>
        </w:rPr>
        <w:t>Third order of priority is given </w:t>
      </w:r>
      <w:r>
        <w:rPr>
          <w:spacing w:val="-3"/>
          <w:w w:val="105"/>
          <w:sz w:val="21"/>
        </w:rPr>
        <w:t>to </w:t>
      </w:r>
      <w:r>
        <w:rPr>
          <w:w w:val="105"/>
          <w:sz w:val="21"/>
        </w:rPr>
        <w:t>property </w:t>
      </w:r>
      <w:r>
        <w:rPr>
          <w:spacing w:val="-3"/>
          <w:w w:val="105"/>
          <w:sz w:val="21"/>
        </w:rPr>
        <w:t>that </w:t>
      </w:r>
      <w:r>
        <w:rPr>
          <w:w w:val="105"/>
          <w:sz w:val="21"/>
        </w:rPr>
        <w:t>is subject </w:t>
      </w:r>
      <w:r>
        <w:rPr>
          <w:spacing w:val="-3"/>
          <w:w w:val="105"/>
          <w:sz w:val="21"/>
        </w:rPr>
        <w:t>to </w:t>
      </w:r>
      <w:r>
        <w:rPr>
          <w:w w:val="105"/>
          <w:sz w:val="21"/>
        </w:rPr>
        <w:t>a </w:t>
      </w:r>
      <w:r>
        <w:rPr>
          <w:spacing w:val="-3"/>
          <w:w w:val="105"/>
          <w:sz w:val="21"/>
        </w:rPr>
        <w:t>charge for </w:t>
      </w:r>
      <w:r>
        <w:rPr>
          <w:w w:val="105"/>
          <w:sz w:val="21"/>
        </w:rPr>
        <w:t>the payment of</w:t>
      </w:r>
      <w:r>
        <w:rPr>
          <w:spacing w:val="47"/>
          <w:w w:val="105"/>
          <w:sz w:val="21"/>
        </w:rPr>
        <w:t> </w:t>
      </w:r>
      <w:r>
        <w:rPr>
          <w:w w:val="105"/>
          <w:sz w:val="21"/>
        </w:rPr>
        <w:t>debts.</w:t>
      </w:r>
    </w:p>
    <w:p>
      <w:pPr>
        <w:pStyle w:val="ListParagraph"/>
        <w:numPr>
          <w:ilvl w:val="1"/>
          <w:numId w:val="22"/>
        </w:numPr>
        <w:tabs>
          <w:tab w:pos="2380" w:val="left" w:leader="none"/>
          <w:tab w:pos="2381" w:val="left" w:leader="none"/>
        </w:tabs>
        <w:spacing w:line="242" w:lineRule="auto" w:before="126" w:after="0"/>
        <w:ind w:left="2381" w:right="1891" w:hanging="794"/>
        <w:jc w:val="left"/>
        <w:rPr>
          <w:sz w:val="12"/>
        </w:rPr>
      </w:pPr>
      <w:r>
        <w:rPr>
          <w:w w:val="105"/>
          <w:sz w:val="21"/>
        </w:rPr>
        <w:t>A</w:t>
      </w:r>
      <w:r>
        <w:rPr>
          <w:spacing w:val="-9"/>
          <w:w w:val="105"/>
          <w:sz w:val="21"/>
        </w:rPr>
        <w:t> </w:t>
      </w:r>
      <w:r>
        <w:rPr>
          <w:spacing w:val="-3"/>
          <w:w w:val="105"/>
          <w:sz w:val="21"/>
        </w:rPr>
        <w:t>tension</w:t>
      </w:r>
      <w:r>
        <w:rPr>
          <w:spacing w:val="-8"/>
          <w:w w:val="105"/>
          <w:sz w:val="21"/>
        </w:rPr>
        <w:t> </w:t>
      </w:r>
      <w:r>
        <w:rPr>
          <w:spacing w:val="-3"/>
          <w:w w:val="105"/>
          <w:sz w:val="21"/>
        </w:rPr>
        <w:t>therefore</w:t>
      </w:r>
      <w:r>
        <w:rPr>
          <w:spacing w:val="-9"/>
          <w:w w:val="105"/>
          <w:sz w:val="21"/>
        </w:rPr>
        <w:t> </w:t>
      </w:r>
      <w:r>
        <w:rPr>
          <w:w w:val="105"/>
          <w:sz w:val="21"/>
        </w:rPr>
        <w:t>arises</w:t>
      </w:r>
      <w:r>
        <w:rPr>
          <w:spacing w:val="-8"/>
          <w:w w:val="105"/>
          <w:sz w:val="21"/>
        </w:rPr>
        <w:t> </w:t>
      </w:r>
      <w:r>
        <w:rPr>
          <w:w w:val="105"/>
          <w:sz w:val="21"/>
        </w:rPr>
        <w:t>between</w:t>
      </w:r>
      <w:r>
        <w:rPr>
          <w:spacing w:val="-9"/>
          <w:w w:val="105"/>
          <w:sz w:val="21"/>
        </w:rPr>
        <w:t> </w:t>
      </w:r>
      <w:r>
        <w:rPr>
          <w:spacing w:val="-3"/>
          <w:w w:val="105"/>
          <w:sz w:val="21"/>
        </w:rPr>
        <w:t>interpreting</w:t>
      </w:r>
      <w:r>
        <w:rPr>
          <w:spacing w:val="-8"/>
          <w:w w:val="105"/>
          <w:sz w:val="21"/>
        </w:rPr>
        <w:t> </w:t>
      </w:r>
      <w:r>
        <w:rPr>
          <w:w w:val="105"/>
          <w:sz w:val="21"/>
        </w:rPr>
        <w:t>the</w:t>
      </w:r>
      <w:r>
        <w:rPr>
          <w:spacing w:val="-9"/>
          <w:w w:val="105"/>
          <w:sz w:val="21"/>
        </w:rPr>
        <w:t> </w:t>
      </w:r>
      <w:r>
        <w:rPr>
          <w:w w:val="105"/>
          <w:sz w:val="21"/>
        </w:rPr>
        <w:t>setting</w:t>
      </w:r>
      <w:r>
        <w:rPr>
          <w:spacing w:val="-8"/>
          <w:w w:val="105"/>
          <w:sz w:val="21"/>
        </w:rPr>
        <w:t> </w:t>
      </w:r>
      <w:r>
        <w:rPr>
          <w:w w:val="105"/>
          <w:sz w:val="21"/>
        </w:rPr>
        <w:t>aside</w:t>
      </w:r>
      <w:r>
        <w:rPr>
          <w:spacing w:val="-8"/>
          <w:w w:val="105"/>
          <w:sz w:val="21"/>
        </w:rPr>
        <w:t> </w:t>
      </w:r>
      <w:r>
        <w:rPr>
          <w:w w:val="105"/>
          <w:sz w:val="21"/>
        </w:rPr>
        <w:t>of</w:t>
      </w:r>
      <w:r>
        <w:rPr>
          <w:spacing w:val="-9"/>
          <w:w w:val="105"/>
          <w:sz w:val="21"/>
        </w:rPr>
        <w:t> </w:t>
      </w:r>
      <w:r>
        <w:rPr>
          <w:w w:val="105"/>
          <w:sz w:val="21"/>
        </w:rPr>
        <w:t>assets</w:t>
      </w:r>
      <w:r>
        <w:rPr>
          <w:spacing w:val="-8"/>
          <w:w w:val="105"/>
          <w:sz w:val="21"/>
        </w:rPr>
        <w:t> </w:t>
      </w:r>
      <w:r>
        <w:rPr>
          <w:spacing w:val="-3"/>
          <w:w w:val="105"/>
          <w:sz w:val="21"/>
        </w:rPr>
        <w:t>to</w:t>
      </w:r>
      <w:r>
        <w:rPr>
          <w:spacing w:val="-9"/>
          <w:w w:val="105"/>
          <w:sz w:val="21"/>
        </w:rPr>
        <w:t> </w:t>
      </w:r>
      <w:r>
        <w:rPr>
          <w:spacing w:val="-2"/>
          <w:w w:val="105"/>
          <w:sz w:val="21"/>
        </w:rPr>
        <w:t>pay</w:t>
      </w:r>
      <w:r>
        <w:rPr>
          <w:spacing w:val="-8"/>
          <w:w w:val="105"/>
          <w:sz w:val="21"/>
        </w:rPr>
        <w:t> </w:t>
      </w:r>
      <w:r>
        <w:rPr>
          <w:w w:val="105"/>
          <w:sz w:val="21"/>
        </w:rPr>
        <w:t>debts as</w:t>
      </w:r>
      <w:r>
        <w:rPr>
          <w:spacing w:val="-7"/>
          <w:w w:val="105"/>
          <w:sz w:val="21"/>
        </w:rPr>
        <w:t> </w:t>
      </w:r>
      <w:r>
        <w:rPr>
          <w:w w:val="105"/>
          <w:sz w:val="21"/>
        </w:rPr>
        <w:t>a</w:t>
      </w:r>
      <w:r>
        <w:rPr>
          <w:spacing w:val="-6"/>
          <w:w w:val="105"/>
          <w:sz w:val="21"/>
        </w:rPr>
        <w:t> </w:t>
      </w:r>
      <w:r>
        <w:rPr>
          <w:spacing w:val="-2"/>
          <w:w w:val="105"/>
          <w:sz w:val="21"/>
        </w:rPr>
        <w:t>manifestation</w:t>
      </w:r>
      <w:r>
        <w:rPr>
          <w:spacing w:val="-6"/>
          <w:w w:val="105"/>
          <w:sz w:val="21"/>
        </w:rPr>
        <w:t> </w:t>
      </w:r>
      <w:r>
        <w:rPr>
          <w:w w:val="105"/>
          <w:sz w:val="21"/>
        </w:rPr>
        <w:t>of</w:t>
      </w:r>
      <w:r>
        <w:rPr>
          <w:spacing w:val="-6"/>
          <w:w w:val="105"/>
          <w:sz w:val="21"/>
        </w:rPr>
        <w:t> </w:t>
      </w:r>
      <w:r>
        <w:rPr>
          <w:w w:val="105"/>
          <w:sz w:val="21"/>
        </w:rPr>
        <w:t>the</w:t>
      </w:r>
      <w:r>
        <w:rPr>
          <w:spacing w:val="-6"/>
          <w:w w:val="105"/>
          <w:sz w:val="21"/>
        </w:rPr>
        <w:t> </w:t>
      </w:r>
      <w:r>
        <w:rPr>
          <w:spacing w:val="-3"/>
          <w:w w:val="105"/>
          <w:sz w:val="21"/>
        </w:rPr>
        <w:t>will-maker’s</w:t>
      </w:r>
      <w:r>
        <w:rPr>
          <w:spacing w:val="-6"/>
          <w:w w:val="105"/>
          <w:sz w:val="21"/>
        </w:rPr>
        <w:t> </w:t>
      </w:r>
      <w:r>
        <w:rPr>
          <w:spacing w:val="-3"/>
          <w:w w:val="105"/>
          <w:sz w:val="21"/>
        </w:rPr>
        <w:t>intention</w:t>
      </w:r>
      <w:r>
        <w:rPr>
          <w:spacing w:val="-6"/>
          <w:w w:val="105"/>
          <w:sz w:val="21"/>
        </w:rPr>
        <w:t> </w:t>
      </w:r>
      <w:r>
        <w:rPr>
          <w:spacing w:val="-3"/>
          <w:w w:val="105"/>
          <w:sz w:val="21"/>
        </w:rPr>
        <w:t>to</w:t>
      </w:r>
      <w:r>
        <w:rPr>
          <w:spacing w:val="-7"/>
          <w:w w:val="105"/>
          <w:sz w:val="21"/>
        </w:rPr>
        <w:t> </w:t>
      </w:r>
      <w:r>
        <w:rPr>
          <w:w w:val="105"/>
          <w:sz w:val="21"/>
        </w:rPr>
        <w:t>oust</w:t>
      </w:r>
      <w:r>
        <w:rPr>
          <w:spacing w:val="-6"/>
          <w:w w:val="105"/>
          <w:sz w:val="21"/>
        </w:rPr>
        <w:t> </w:t>
      </w:r>
      <w:r>
        <w:rPr>
          <w:w w:val="105"/>
          <w:sz w:val="21"/>
        </w:rPr>
        <w:t>the</w:t>
      </w:r>
      <w:r>
        <w:rPr>
          <w:spacing w:val="-6"/>
          <w:w w:val="105"/>
          <w:sz w:val="21"/>
        </w:rPr>
        <w:t> </w:t>
      </w:r>
      <w:r>
        <w:rPr>
          <w:w w:val="105"/>
          <w:sz w:val="21"/>
        </w:rPr>
        <w:t>statutory</w:t>
      </w:r>
      <w:r>
        <w:rPr>
          <w:spacing w:val="-6"/>
          <w:w w:val="105"/>
          <w:sz w:val="21"/>
        </w:rPr>
        <w:t> </w:t>
      </w:r>
      <w:r>
        <w:rPr>
          <w:spacing w:val="-4"/>
          <w:w w:val="105"/>
          <w:sz w:val="21"/>
        </w:rPr>
        <w:t>order,</w:t>
      </w:r>
      <w:r>
        <w:rPr>
          <w:spacing w:val="-6"/>
          <w:w w:val="105"/>
          <w:sz w:val="21"/>
        </w:rPr>
        <w:t> </w:t>
      </w:r>
      <w:r>
        <w:rPr>
          <w:w w:val="105"/>
          <w:sz w:val="21"/>
        </w:rPr>
        <w:t>or</w:t>
      </w:r>
      <w:r>
        <w:rPr>
          <w:spacing w:val="-6"/>
          <w:w w:val="105"/>
          <w:sz w:val="21"/>
        </w:rPr>
        <w:t> </w:t>
      </w:r>
      <w:r>
        <w:rPr>
          <w:w w:val="105"/>
          <w:sz w:val="21"/>
        </w:rPr>
        <w:t>seeing</w:t>
      </w:r>
      <w:r>
        <w:rPr>
          <w:spacing w:val="-6"/>
          <w:w w:val="105"/>
          <w:sz w:val="21"/>
        </w:rPr>
        <w:t> </w:t>
      </w:r>
      <w:r>
        <w:rPr>
          <w:w w:val="105"/>
          <w:sz w:val="21"/>
        </w:rPr>
        <w:t>it simply as the </w:t>
      </w:r>
      <w:r>
        <w:rPr>
          <w:spacing w:val="-3"/>
          <w:w w:val="105"/>
          <w:sz w:val="21"/>
        </w:rPr>
        <w:t>creation </w:t>
      </w:r>
      <w:r>
        <w:rPr>
          <w:w w:val="105"/>
          <w:sz w:val="21"/>
        </w:rPr>
        <w:t>of a category of property </w:t>
      </w:r>
      <w:r>
        <w:rPr>
          <w:spacing w:val="-3"/>
          <w:w w:val="105"/>
          <w:sz w:val="21"/>
        </w:rPr>
        <w:t>that </w:t>
      </w:r>
      <w:r>
        <w:rPr>
          <w:spacing w:val="-4"/>
          <w:w w:val="105"/>
          <w:sz w:val="21"/>
        </w:rPr>
        <w:t>falls </w:t>
      </w:r>
      <w:r>
        <w:rPr>
          <w:spacing w:val="-3"/>
          <w:w w:val="105"/>
          <w:sz w:val="21"/>
        </w:rPr>
        <w:t>within </w:t>
      </w:r>
      <w:r>
        <w:rPr>
          <w:w w:val="105"/>
          <w:sz w:val="21"/>
        </w:rPr>
        <w:t>the Victorian order at category 2 or</w:t>
      </w:r>
      <w:r>
        <w:rPr>
          <w:spacing w:val="16"/>
          <w:w w:val="105"/>
          <w:sz w:val="21"/>
        </w:rPr>
        <w:t> </w:t>
      </w:r>
      <w:r>
        <w:rPr>
          <w:spacing w:val="-9"/>
          <w:w w:val="105"/>
          <w:sz w:val="21"/>
        </w:rPr>
        <w:t>3.</w:t>
      </w:r>
      <w:r>
        <w:rPr>
          <w:spacing w:val="-9"/>
          <w:w w:val="105"/>
          <w:position w:val="7"/>
          <w:sz w:val="12"/>
        </w:rPr>
        <w:t>14</w:t>
      </w:r>
    </w:p>
    <w:p>
      <w:pPr>
        <w:pStyle w:val="BodyText"/>
        <w:rPr>
          <w:sz w:val="27"/>
        </w:rPr>
      </w:pPr>
    </w:p>
    <w:p>
      <w:pPr>
        <w:pStyle w:val="Heading6"/>
      </w:pPr>
      <w:r>
        <w:rPr>
          <w:w w:val="120"/>
        </w:rPr>
        <w:t>Reducing the number of categories of asset</w:t>
      </w:r>
    </w:p>
    <w:p>
      <w:pPr>
        <w:pStyle w:val="ListParagraph"/>
        <w:numPr>
          <w:ilvl w:val="1"/>
          <w:numId w:val="22"/>
        </w:numPr>
        <w:tabs>
          <w:tab w:pos="2381" w:val="left" w:leader="none"/>
          <w:tab w:pos="2382" w:val="left" w:leader="none"/>
        </w:tabs>
        <w:spacing w:line="240" w:lineRule="auto" w:before="151" w:after="0"/>
        <w:ind w:left="2381" w:right="1877" w:hanging="794"/>
        <w:jc w:val="left"/>
        <w:rPr>
          <w:sz w:val="14"/>
        </w:rPr>
      </w:pPr>
      <w:r>
        <w:rPr>
          <w:w w:val="105"/>
          <w:sz w:val="21"/>
        </w:rPr>
        <w:t>The </w:t>
      </w:r>
      <w:r>
        <w:rPr>
          <w:spacing w:val="-3"/>
          <w:w w:val="105"/>
          <w:sz w:val="21"/>
        </w:rPr>
        <w:t>National </w:t>
      </w:r>
      <w:r>
        <w:rPr>
          <w:spacing w:val="-4"/>
          <w:w w:val="105"/>
          <w:sz w:val="21"/>
        </w:rPr>
        <w:t>Committee’s </w:t>
      </w:r>
      <w:r>
        <w:rPr>
          <w:spacing w:val="-3"/>
          <w:w w:val="105"/>
          <w:sz w:val="21"/>
        </w:rPr>
        <w:t>recommendations, </w:t>
      </w:r>
      <w:r>
        <w:rPr>
          <w:w w:val="105"/>
          <w:sz w:val="21"/>
        </w:rPr>
        <w:t>if adopted in Victoria, would </w:t>
      </w:r>
      <w:r>
        <w:rPr>
          <w:spacing w:val="-3"/>
          <w:w w:val="105"/>
          <w:sz w:val="21"/>
        </w:rPr>
        <w:t>change </w:t>
      </w:r>
      <w:r>
        <w:rPr>
          <w:w w:val="105"/>
          <w:sz w:val="21"/>
        </w:rPr>
        <w:t>the order of </w:t>
      </w:r>
      <w:r>
        <w:rPr>
          <w:spacing w:val="-3"/>
          <w:w w:val="105"/>
          <w:sz w:val="21"/>
        </w:rPr>
        <w:t>application. </w:t>
      </w:r>
      <w:r>
        <w:rPr>
          <w:w w:val="105"/>
          <w:sz w:val="21"/>
        </w:rPr>
        <w:t>Model </w:t>
      </w:r>
      <w:r>
        <w:rPr>
          <w:spacing w:val="-3"/>
          <w:w w:val="105"/>
          <w:sz w:val="21"/>
        </w:rPr>
        <w:t>legislation </w:t>
      </w:r>
      <w:r>
        <w:rPr>
          <w:w w:val="105"/>
          <w:sz w:val="21"/>
        </w:rPr>
        <w:t>proposed by the </w:t>
      </w:r>
      <w:r>
        <w:rPr>
          <w:spacing w:val="-3"/>
          <w:w w:val="105"/>
          <w:sz w:val="21"/>
        </w:rPr>
        <w:t>National Committee </w:t>
      </w:r>
      <w:r>
        <w:rPr>
          <w:w w:val="105"/>
          <w:sz w:val="21"/>
        </w:rPr>
        <w:t>and based on </w:t>
      </w:r>
      <w:r>
        <w:rPr>
          <w:spacing w:val="-3"/>
          <w:w w:val="105"/>
          <w:sz w:val="21"/>
        </w:rPr>
        <w:t>Queensland legislation contains </w:t>
      </w:r>
      <w:r>
        <w:rPr>
          <w:w w:val="105"/>
          <w:sz w:val="21"/>
        </w:rPr>
        <w:t>only three categories of asset, </w:t>
      </w:r>
      <w:r>
        <w:rPr>
          <w:spacing w:val="-3"/>
          <w:w w:val="105"/>
          <w:sz w:val="21"/>
        </w:rPr>
        <w:t>four fewer than </w:t>
      </w:r>
      <w:r>
        <w:rPr>
          <w:w w:val="105"/>
          <w:sz w:val="21"/>
        </w:rPr>
        <w:t>in Victorian</w:t>
      </w:r>
      <w:r>
        <w:rPr>
          <w:spacing w:val="5"/>
          <w:w w:val="105"/>
          <w:sz w:val="21"/>
        </w:rPr>
        <w:t> </w:t>
      </w:r>
      <w:r>
        <w:rPr>
          <w:spacing w:val="-4"/>
          <w:w w:val="105"/>
          <w:sz w:val="21"/>
        </w:rPr>
        <w:t>law:</w:t>
      </w:r>
      <w:r>
        <w:rPr>
          <w:spacing w:val="-4"/>
          <w:w w:val="105"/>
          <w:position w:val="8"/>
          <w:sz w:val="14"/>
        </w:rPr>
        <w:t>15</w:t>
      </w:r>
    </w:p>
    <w:p>
      <w:pPr>
        <w:pStyle w:val="ListParagraph"/>
        <w:numPr>
          <w:ilvl w:val="0"/>
          <w:numId w:val="134"/>
        </w:numPr>
        <w:tabs>
          <w:tab w:pos="3062" w:val="left" w:leader="none"/>
        </w:tabs>
        <w:spacing w:line="254" w:lineRule="auto" w:before="131" w:after="0"/>
        <w:ind w:left="3061" w:right="1953" w:hanging="340"/>
        <w:jc w:val="left"/>
        <w:rPr>
          <w:sz w:val="20"/>
        </w:rPr>
      </w:pPr>
      <w:r>
        <w:rPr>
          <w:sz w:val="20"/>
        </w:rPr>
        <w:t>Property specifically appropriated or given by will (either by a specific or general description)</w:t>
      </w:r>
      <w:r>
        <w:rPr>
          <w:spacing w:val="16"/>
          <w:sz w:val="20"/>
        </w:rPr>
        <w:t> </w:t>
      </w:r>
      <w:r>
        <w:rPr>
          <w:sz w:val="20"/>
        </w:rPr>
        <w:t>for</w:t>
      </w:r>
      <w:r>
        <w:rPr>
          <w:spacing w:val="17"/>
          <w:sz w:val="20"/>
        </w:rPr>
        <w:t> </w:t>
      </w:r>
      <w:r>
        <w:rPr>
          <w:sz w:val="20"/>
        </w:rPr>
        <w:t>the</w:t>
      </w:r>
      <w:r>
        <w:rPr>
          <w:spacing w:val="17"/>
          <w:sz w:val="20"/>
        </w:rPr>
        <w:t> </w:t>
      </w:r>
      <w:r>
        <w:rPr>
          <w:sz w:val="20"/>
        </w:rPr>
        <w:t>payment</w:t>
      </w:r>
      <w:r>
        <w:rPr>
          <w:spacing w:val="17"/>
          <w:sz w:val="20"/>
        </w:rPr>
        <w:t> </w:t>
      </w:r>
      <w:r>
        <w:rPr>
          <w:sz w:val="20"/>
        </w:rPr>
        <w:t>of</w:t>
      </w:r>
      <w:r>
        <w:rPr>
          <w:spacing w:val="17"/>
          <w:sz w:val="20"/>
        </w:rPr>
        <w:t> </w:t>
      </w:r>
      <w:r>
        <w:rPr>
          <w:sz w:val="20"/>
        </w:rPr>
        <w:t>debts;</w:t>
      </w:r>
      <w:r>
        <w:rPr>
          <w:spacing w:val="17"/>
          <w:sz w:val="20"/>
        </w:rPr>
        <w:t> </w:t>
      </w:r>
      <w:r>
        <w:rPr>
          <w:sz w:val="20"/>
        </w:rPr>
        <w:t>and</w:t>
      </w:r>
      <w:r>
        <w:rPr>
          <w:spacing w:val="16"/>
          <w:sz w:val="20"/>
        </w:rPr>
        <w:t> </w:t>
      </w:r>
      <w:r>
        <w:rPr>
          <w:sz w:val="20"/>
        </w:rPr>
        <w:t>property</w:t>
      </w:r>
      <w:r>
        <w:rPr>
          <w:spacing w:val="17"/>
          <w:sz w:val="20"/>
        </w:rPr>
        <w:t> </w:t>
      </w:r>
      <w:r>
        <w:rPr>
          <w:sz w:val="20"/>
        </w:rPr>
        <w:t>charged</w:t>
      </w:r>
      <w:r>
        <w:rPr>
          <w:spacing w:val="17"/>
          <w:sz w:val="20"/>
        </w:rPr>
        <w:t> </w:t>
      </w:r>
      <w:r>
        <w:rPr>
          <w:sz w:val="20"/>
        </w:rPr>
        <w:t>by</w:t>
      </w:r>
      <w:r>
        <w:rPr>
          <w:spacing w:val="17"/>
          <w:sz w:val="20"/>
        </w:rPr>
        <w:t> </w:t>
      </w:r>
      <w:r>
        <w:rPr>
          <w:sz w:val="20"/>
        </w:rPr>
        <w:t>will</w:t>
      </w:r>
      <w:r>
        <w:rPr>
          <w:spacing w:val="17"/>
          <w:sz w:val="20"/>
        </w:rPr>
        <w:t> </w:t>
      </w:r>
      <w:r>
        <w:rPr>
          <w:sz w:val="20"/>
        </w:rPr>
        <w:t>with,</w:t>
      </w:r>
      <w:r>
        <w:rPr>
          <w:spacing w:val="17"/>
          <w:sz w:val="20"/>
        </w:rPr>
        <w:t> </w:t>
      </w:r>
      <w:r>
        <w:rPr>
          <w:sz w:val="20"/>
        </w:rPr>
        <w:t>or</w:t>
      </w:r>
      <w:r>
        <w:rPr>
          <w:spacing w:val="17"/>
          <w:sz w:val="20"/>
        </w:rPr>
        <w:t> </w:t>
      </w:r>
      <w:r>
        <w:rPr>
          <w:sz w:val="20"/>
        </w:rPr>
        <w:t>given</w:t>
      </w:r>
    </w:p>
    <w:p>
      <w:pPr>
        <w:spacing w:line="254" w:lineRule="auto" w:before="2"/>
        <w:ind w:left="3061" w:right="1711" w:firstLine="0"/>
        <w:jc w:val="left"/>
        <w:rPr>
          <w:sz w:val="20"/>
        </w:rPr>
      </w:pPr>
      <w:r>
        <w:rPr>
          <w:sz w:val="20"/>
        </w:rPr>
        <w:t>by will (either by a specific or general description) subject to a charge </w:t>
      </w:r>
      <w:r>
        <w:rPr>
          <w:spacing w:val="-5"/>
          <w:sz w:val="20"/>
        </w:rPr>
        <w:t>for, </w:t>
      </w:r>
      <w:r>
        <w:rPr>
          <w:sz w:val="20"/>
        </w:rPr>
        <w:t>the payment  of</w:t>
      </w:r>
      <w:r>
        <w:rPr>
          <w:spacing w:val="8"/>
          <w:sz w:val="20"/>
        </w:rPr>
        <w:t> </w:t>
      </w:r>
      <w:r>
        <w:rPr>
          <w:sz w:val="20"/>
        </w:rPr>
        <w:t>debts.</w:t>
      </w:r>
    </w:p>
    <w:p>
      <w:pPr>
        <w:pStyle w:val="ListParagraph"/>
        <w:numPr>
          <w:ilvl w:val="0"/>
          <w:numId w:val="134"/>
        </w:numPr>
        <w:tabs>
          <w:tab w:pos="3062" w:val="left" w:leader="none"/>
        </w:tabs>
        <w:spacing w:line="254" w:lineRule="auto" w:before="123" w:after="0"/>
        <w:ind w:left="3061" w:right="1925" w:hanging="340"/>
        <w:jc w:val="left"/>
        <w:rPr>
          <w:sz w:val="20"/>
        </w:rPr>
      </w:pPr>
      <w:r>
        <w:rPr>
          <w:w w:val="105"/>
          <w:sz w:val="20"/>
        </w:rPr>
        <w:t>Property</w:t>
      </w:r>
      <w:r>
        <w:rPr>
          <w:spacing w:val="-9"/>
          <w:w w:val="105"/>
          <w:sz w:val="20"/>
        </w:rPr>
        <w:t> </w:t>
      </w:r>
      <w:r>
        <w:rPr>
          <w:spacing w:val="-3"/>
          <w:w w:val="105"/>
          <w:sz w:val="20"/>
        </w:rPr>
        <w:t>comprising</w:t>
      </w:r>
      <w:r>
        <w:rPr>
          <w:spacing w:val="-10"/>
          <w:w w:val="105"/>
          <w:sz w:val="20"/>
        </w:rPr>
        <w:t> </w:t>
      </w:r>
      <w:r>
        <w:rPr>
          <w:w w:val="105"/>
          <w:sz w:val="20"/>
        </w:rPr>
        <w:t>the</w:t>
      </w:r>
      <w:r>
        <w:rPr>
          <w:spacing w:val="-9"/>
          <w:w w:val="105"/>
          <w:sz w:val="20"/>
        </w:rPr>
        <w:t> </w:t>
      </w:r>
      <w:r>
        <w:rPr>
          <w:w w:val="105"/>
          <w:sz w:val="20"/>
        </w:rPr>
        <w:t>residuary</w:t>
      </w:r>
      <w:r>
        <w:rPr>
          <w:spacing w:val="-9"/>
          <w:w w:val="105"/>
          <w:sz w:val="20"/>
        </w:rPr>
        <w:t> </w:t>
      </w:r>
      <w:r>
        <w:rPr>
          <w:w w:val="105"/>
          <w:sz w:val="20"/>
        </w:rPr>
        <w:t>estate</w:t>
      </w:r>
      <w:r>
        <w:rPr>
          <w:w w:val="105"/>
          <w:position w:val="7"/>
          <w:sz w:val="11"/>
        </w:rPr>
        <w:t>16</w:t>
      </w:r>
      <w:r>
        <w:rPr>
          <w:spacing w:val="13"/>
          <w:w w:val="105"/>
          <w:position w:val="7"/>
          <w:sz w:val="11"/>
        </w:rPr>
        <w:t> </w:t>
      </w:r>
      <w:r>
        <w:rPr>
          <w:w w:val="105"/>
          <w:sz w:val="20"/>
        </w:rPr>
        <w:t>of</w:t>
      </w:r>
      <w:r>
        <w:rPr>
          <w:spacing w:val="-9"/>
          <w:w w:val="105"/>
          <w:sz w:val="20"/>
        </w:rPr>
        <w:t> </w:t>
      </w:r>
      <w:r>
        <w:rPr>
          <w:w w:val="105"/>
          <w:sz w:val="20"/>
        </w:rPr>
        <w:t>the</w:t>
      </w:r>
      <w:r>
        <w:rPr>
          <w:spacing w:val="-9"/>
          <w:w w:val="105"/>
          <w:sz w:val="20"/>
        </w:rPr>
        <w:t> </w:t>
      </w:r>
      <w:r>
        <w:rPr>
          <w:w w:val="105"/>
          <w:sz w:val="20"/>
        </w:rPr>
        <w:t>deceased</w:t>
      </w:r>
      <w:r>
        <w:rPr>
          <w:spacing w:val="-9"/>
          <w:w w:val="105"/>
          <w:sz w:val="20"/>
        </w:rPr>
        <w:t> </w:t>
      </w:r>
      <w:r>
        <w:rPr>
          <w:w w:val="105"/>
          <w:sz w:val="20"/>
        </w:rPr>
        <w:t>person</w:t>
      </w:r>
      <w:r>
        <w:rPr>
          <w:spacing w:val="-9"/>
          <w:w w:val="105"/>
          <w:sz w:val="20"/>
        </w:rPr>
        <w:t> </w:t>
      </w:r>
      <w:r>
        <w:rPr>
          <w:w w:val="105"/>
          <w:sz w:val="20"/>
        </w:rPr>
        <w:t>and</w:t>
      </w:r>
      <w:r>
        <w:rPr>
          <w:spacing w:val="-9"/>
          <w:w w:val="105"/>
          <w:sz w:val="20"/>
        </w:rPr>
        <w:t> </w:t>
      </w:r>
      <w:r>
        <w:rPr>
          <w:w w:val="105"/>
          <w:sz w:val="20"/>
        </w:rPr>
        <w:t>property</w:t>
      </w:r>
      <w:r>
        <w:rPr>
          <w:spacing w:val="-9"/>
          <w:w w:val="105"/>
          <w:sz w:val="20"/>
        </w:rPr>
        <w:t> </w:t>
      </w:r>
      <w:r>
        <w:rPr>
          <w:w w:val="105"/>
          <w:sz w:val="20"/>
        </w:rPr>
        <w:t>in relation</w:t>
      </w:r>
      <w:r>
        <w:rPr>
          <w:spacing w:val="-9"/>
          <w:w w:val="105"/>
          <w:sz w:val="20"/>
        </w:rPr>
        <w:t> </w:t>
      </w:r>
      <w:r>
        <w:rPr>
          <w:w w:val="105"/>
          <w:sz w:val="20"/>
        </w:rPr>
        <w:t>to</w:t>
      </w:r>
      <w:r>
        <w:rPr>
          <w:spacing w:val="-9"/>
          <w:w w:val="105"/>
          <w:sz w:val="20"/>
        </w:rPr>
        <w:t> </w:t>
      </w:r>
      <w:r>
        <w:rPr>
          <w:w w:val="105"/>
          <w:sz w:val="20"/>
        </w:rPr>
        <w:t>which</w:t>
      </w:r>
      <w:r>
        <w:rPr>
          <w:spacing w:val="-9"/>
          <w:w w:val="105"/>
          <w:sz w:val="20"/>
        </w:rPr>
        <w:t> </w:t>
      </w:r>
      <w:r>
        <w:rPr>
          <w:w w:val="105"/>
          <w:sz w:val="20"/>
        </w:rPr>
        <w:t>a</w:t>
      </w:r>
      <w:r>
        <w:rPr>
          <w:spacing w:val="-9"/>
          <w:w w:val="105"/>
          <w:sz w:val="20"/>
        </w:rPr>
        <w:t> </w:t>
      </w:r>
      <w:r>
        <w:rPr>
          <w:w w:val="105"/>
          <w:sz w:val="20"/>
        </w:rPr>
        <w:t>disposition</w:t>
      </w:r>
      <w:r>
        <w:rPr>
          <w:spacing w:val="-9"/>
          <w:w w:val="105"/>
          <w:sz w:val="20"/>
        </w:rPr>
        <w:t> </w:t>
      </w:r>
      <w:r>
        <w:rPr>
          <w:w w:val="105"/>
          <w:sz w:val="20"/>
        </w:rPr>
        <w:t>in</w:t>
      </w:r>
      <w:r>
        <w:rPr>
          <w:spacing w:val="-9"/>
          <w:w w:val="105"/>
          <w:sz w:val="20"/>
        </w:rPr>
        <w:t> </w:t>
      </w:r>
      <w:r>
        <w:rPr>
          <w:w w:val="105"/>
          <w:sz w:val="20"/>
        </w:rPr>
        <w:t>the</w:t>
      </w:r>
      <w:r>
        <w:rPr>
          <w:spacing w:val="-9"/>
          <w:w w:val="105"/>
          <w:sz w:val="20"/>
        </w:rPr>
        <w:t> </w:t>
      </w:r>
      <w:r>
        <w:rPr>
          <w:w w:val="105"/>
          <w:sz w:val="20"/>
        </w:rPr>
        <w:t>deceased’s</w:t>
      </w:r>
      <w:r>
        <w:rPr>
          <w:spacing w:val="-8"/>
          <w:w w:val="105"/>
          <w:sz w:val="20"/>
        </w:rPr>
        <w:t> </w:t>
      </w:r>
      <w:r>
        <w:rPr>
          <w:w w:val="105"/>
          <w:sz w:val="20"/>
        </w:rPr>
        <w:t>will</w:t>
      </w:r>
      <w:r>
        <w:rPr>
          <w:spacing w:val="-9"/>
          <w:w w:val="105"/>
          <w:sz w:val="20"/>
        </w:rPr>
        <w:t> </w:t>
      </w:r>
      <w:r>
        <w:rPr>
          <w:w w:val="105"/>
          <w:sz w:val="20"/>
        </w:rPr>
        <w:t>operates</w:t>
      </w:r>
      <w:r>
        <w:rPr>
          <w:spacing w:val="-9"/>
          <w:w w:val="105"/>
          <w:sz w:val="20"/>
        </w:rPr>
        <w:t> </w:t>
      </w:r>
      <w:r>
        <w:rPr>
          <w:w w:val="105"/>
          <w:sz w:val="20"/>
        </w:rPr>
        <w:t>as</w:t>
      </w:r>
      <w:r>
        <w:rPr>
          <w:spacing w:val="-9"/>
          <w:w w:val="105"/>
          <w:sz w:val="20"/>
        </w:rPr>
        <w:t> </w:t>
      </w:r>
      <w:r>
        <w:rPr>
          <w:w w:val="105"/>
          <w:sz w:val="20"/>
        </w:rPr>
        <w:t>the</w:t>
      </w:r>
      <w:r>
        <w:rPr>
          <w:spacing w:val="-9"/>
          <w:w w:val="105"/>
          <w:sz w:val="20"/>
        </w:rPr>
        <w:t> </w:t>
      </w:r>
      <w:r>
        <w:rPr>
          <w:w w:val="105"/>
          <w:sz w:val="20"/>
        </w:rPr>
        <w:t>exercise</w:t>
      </w:r>
      <w:r>
        <w:rPr>
          <w:spacing w:val="-9"/>
          <w:w w:val="105"/>
          <w:sz w:val="20"/>
        </w:rPr>
        <w:t> </w:t>
      </w:r>
      <w:r>
        <w:rPr>
          <w:w w:val="105"/>
          <w:sz w:val="20"/>
        </w:rPr>
        <w:t>of</w:t>
      </w:r>
      <w:r>
        <w:rPr>
          <w:spacing w:val="-9"/>
          <w:w w:val="105"/>
          <w:sz w:val="20"/>
        </w:rPr>
        <w:t> </w:t>
      </w:r>
      <w:r>
        <w:rPr>
          <w:w w:val="105"/>
          <w:sz w:val="20"/>
        </w:rPr>
        <w:t>a general power of</w:t>
      </w:r>
      <w:r>
        <w:rPr>
          <w:spacing w:val="15"/>
          <w:w w:val="105"/>
          <w:sz w:val="20"/>
        </w:rPr>
        <w:t> </w:t>
      </w:r>
      <w:r>
        <w:rPr>
          <w:w w:val="105"/>
          <w:sz w:val="20"/>
        </w:rPr>
        <w:t>appointment.</w:t>
      </w:r>
    </w:p>
    <w:p>
      <w:pPr>
        <w:pStyle w:val="ListParagraph"/>
        <w:numPr>
          <w:ilvl w:val="0"/>
          <w:numId w:val="134"/>
        </w:numPr>
        <w:tabs>
          <w:tab w:pos="3062" w:val="left" w:leader="none"/>
        </w:tabs>
        <w:spacing w:line="254" w:lineRule="auto" w:before="123" w:after="0"/>
        <w:ind w:left="3061" w:right="2037" w:hanging="340"/>
        <w:jc w:val="left"/>
        <w:rPr>
          <w:sz w:val="11"/>
        </w:rPr>
      </w:pPr>
      <w:r>
        <w:rPr>
          <w:w w:val="105"/>
          <w:sz w:val="20"/>
        </w:rPr>
        <w:t>Property</w:t>
      </w:r>
      <w:r>
        <w:rPr>
          <w:spacing w:val="-14"/>
          <w:w w:val="105"/>
          <w:sz w:val="20"/>
        </w:rPr>
        <w:t> </w:t>
      </w:r>
      <w:r>
        <w:rPr>
          <w:w w:val="105"/>
          <w:sz w:val="20"/>
        </w:rPr>
        <w:t>specifically</w:t>
      </w:r>
      <w:r>
        <w:rPr>
          <w:spacing w:val="-13"/>
          <w:w w:val="105"/>
          <w:sz w:val="20"/>
        </w:rPr>
        <w:t> </w:t>
      </w:r>
      <w:r>
        <w:rPr>
          <w:w w:val="105"/>
          <w:sz w:val="20"/>
        </w:rPr>
        <w:t>given</w:t>
      </w:r>
      <w:r>
        <w:rPr>
          <w:spacing w:val="-13"/>
          <w:w w:val="105"/>
          <w:sz w:val="20"/>
        </w:rPr>
        <w:t> </w:t>
      </w:r>
      <w:r>
        <w:rPr>
          <w:w w:val="105"/>
          <w:sz w:val="20"/>
        </w:rPr>
        <w:t>by</w:t>
      </w:r>
      <w:r>
        <w:rPr>
          <w:spacing w:val="-13"/>
          <w:w w:val="105"/>
          <w:sz w:val="20"/>
        </w:rPr>
        <w:t> </w:t>
      </w:r>
      <w:r>
        <w:rPr>
          <w:spacing w:val="-3"/>
          <w:w w:val="105"/>
          <w:sz w:val="20"/>
        </w:rPr>
        <w:t>will,</w:t>
      </w:r>
      <w:r>
        <w:rPr>
          <w:spacing w:val="-13"/>
          <w:w w:val="105"/>
          <w:sz w:val="20"/>
        </w:rPr>
        <w:t> </w:t>
      </w:r>
      <w:r>
        <w:rPr>
          <w:spacing w:val="-3"/>
          <w:w w:val="105"/>
          <w:sz w:val="20"/>
        </w:rPr>
        <w:t>including</w:t>
      </w:r>
      <w:r>
        <w:rPr>
          <w:spacing w:val="-13"/>
          <w:w w:val="105"/>
          <w:sz w:val="20"/>
        </w:rPr>
        <w:t> </w:t>
      </w:r>
      <w:r>
        <w:rPr>
          <w:w w:val="105"/>
          <w:sz w:val="20"/>
        </w:rPr>
        <w:t>property</w:t>
      </w:r>
      <w:r>
        <w:rPr>
          <w:spacing w:val="-13"/>
          <w:w w:val="105"/>
          <w:sz w:val="20"/>
        </w:rPr>
        <w:t> </w:t>
      </w:r>
      <w:r>
        <w:rPr>
          <w:w w:val="105"/>
          <w:sz w:val="20"/>
        </w:rPr>
        <w:t>specifically</w:t>
      </w:r>
      <w:r>
        <w:rPr>
          <w:spacing w:val="-13"/>
          <w:w w:val="105"/>
          <w:sz w:val="20"/>
        </w:rPr>
        <w:t> </w:t>
      </w:r>
      <w:r>
        <w:rPr>
          <w:w w:val="105"/>
          <w:sz w:val="20"/>
        </w:rPr>
        <w:t>appointed</w:t>
      </w:r>
      <w:r>
        <w:rPr>
          <w:spacing w:val="-13"/>
          <w:w w:val="105"/>
          <w:sz w:val="20"/>
        </w:rPr>
        <w:t> </w:t>
      </w:r>
      <w:r>
        <w:rPr>
          <w:w w:val="105"/>
          <w:sz w:val="20"/>
        </w:rPr>
        <w:t>under a general power of appointment, and </w:t>
      </w:r>
      <w:r>
        <w:rPr>
          <w:spacing w:val="-2"/>
          <w:w w:val="105"/>
          <w:sz w:val="20"/>
        </w:rPr>
        <w:t>any </w:t>
      </w:r>
      <w:r>
        <w:rPr>
          <w:w w:val="105"/>
          <w:sz w:val="20"/>
        </w:rPr>
        <w:t>legacy charged on property given or </w:t>
      </w:r>
      <w:r>
        <w:rPr>
          <w:spacing w:val="-5"/>
          <w:w w:val="105"/>
          <w:sz w:val="20"/>
        </w:rPr>
        <w:t>appointed.</w:t>
      </w:r>
      <w:r>
        <w:rPr>
          <w:spacing w:val="-5"/>
          <w:w w:val="105"/>
          <w:position w:val="7"/>
          <w:sz w:val="11"/>
        </w:rPr>
        <w:t>17</w:t>
      </w:r>
    </w:p>
    <w:p>
      <w:pPr>
        <w:pStyle w:val="ListParagraph"/>
        <w:numPr>
          <w:ilvl w:val="1"/>
          <w:numId w:val="22"/>
        </w:numPr>
        <w:tabs>
          <w:tab w:pos="2380" w:val="left" w:leader="none"/>
          <w:tab w:pos="2381" w:val="left" w:leader="none"/>
        </w:tabs>
        <w:spacing w:line="242" w:lineRule="auto" w:before="114" w:after="0"/>
        <w:ind w:left="2381" w:right="1798" w:hanging="794"/>
        <w:jc w:val="left"/>
        <w:rPr>
          <w:sz w:val="12"/>
        </w:rPr>
      </w:pPr>
      <w:r>
        <w:rPr>
          <w:w w:val="105"/>
          <w:sz w:val="21"/>
        </w:rPr>
        <w:t>The </w:t>
      </w:r>
      <w:r>
        <w:rPr>
          <w:spacing w:val="-3"/>
          <w:w w:val="105"/>
          <w:sz w:val="21"/>
        </w:rPr>
        <w:t>National Committee noted that </w:t>
      </w:r>
      <w:r>
        <w:rPr>
          <w:w w:val="105"/>
          <w:sz w:val="21"/>
        </w:rPr>
        <w:t>a </w:t>
      </w:r>
      <w:r>
        <w:rPr>
          <w:spacing w:val="-4"/>
          <w:w w:val="105"/>
          <w:sz w:val="21"/>
        </w:rPr>
        <w:t>shorter, </w:t>
      </w:r>
      <w:r>
        <w:rPr>
          <w:spacing w:val="-3"/>
          <w:w w:val="105"/>
          <w:sz w:val="21"/>
        </w:rPr>
        <w:t>simpler </w:t>
      </w:r>
      <w:r>
        <w:rPr>
          <w:w w:val="105"/>
          <w:sz w:val="21"/>
        </w:rPr>
        <w:t>list of categories of asset would </w:t>
      </w:r>
      <w:r>
        <w:rPr>
          <w:spacing w:val="-4"/>
          <w:w w:val="105"/>
          <w:sz w:val="21"/>
        </w:rPr>
        <w:t>make</w:t>
      </w:r>
      <w:r>
        <w:rPr>
          <w:spacing w:val="-6"/>
          <w:w w:val="105"/>
          <w:sz w:val="21"/>
        </w:rPr>
        <w:t> </w:t>
      </w:r>
      <w:r>
        <w:rPr>
          <w:w w:val="105"/>
          <w:sz w:val="21"/>
        </w:rPr>
        <w:t>it</w:t>
      </w:r>
      <w:r>
        <w:rPr>
          <w:spacing w:val="-5"/>
          <w:w w:val="105"/>
          <w:sz w:val="21"/>
        </w:rPr>
        <w:t> </w:t>
      </w:r>
      <w:r>
        <w:rPr>
          <w:spacing w:val="-2"/>
          <w:w w:val="105"/>
          <w:sz w:val="21"/>
        </w:rPr>
        <w:t>easier</w:t>
      </w:r>
      <w:r>
        <w:rPr>
          <w:spacing w:val="-5"/>
          <w:w w:val="105"/>
          <w:sz w:val="21"/>
        </w:rPr>
        <w:t> </w:t>
      </w:r>
      <w:r>
        <w:rPr>
          <w:spacing w:val="-3"/>
          <w:w w:val="105"/>
          <w:sz w:val="21"/>
        </w:rPr>
        <w:t>to</w:t>
      </w:r>
      <w:r>
        <w:rPr>
          <w:spacing w:val="-6"/>
          <w:w w:val="105"/>
          <w:sz w:val="21"/>
        </w:rPr>
        <w:t> </w:t>
      </w:r>
      <w:r>
        <w:rPr>
          <w:w w:val="105"/>
          <w:sz w:val="21"/>
        </w:rPr>
        <w:t>understand</w:t>
      </w:r>
      <w:r>
        <w:rPr>
          <w:spacing w:val="-5"/>
          <w:w w:val="105"/>
          <w:sz w:val="21"/>
        </w:rPr>
        <w:t> </w:t>
      </w:r>
      <w:r>
        <w:rPr>
          <w:w w:val="105"/>
          <w:sz w:val="21"/>
        </w:rPr>
        <w:t>the</w:t>
      </w:r>
      <w:r>
        <w:rPr>
          <w:spacing w:val="-5"/>
          <w:w w:val="105"/>
          <w:sz w:val="21"/>
        </w:rPr>
        <w:t> </w:t>
      </w:r>
      <w:r>
        <w:rPr>
          <w:w w:val="105"/>
          <w:sz w:val="21"/>
        </w:rPr>
        <w:t>effect</w:t>
      </w:r>
      <w:r>
        <w:rPr>
          <w:spacing w:val="-6"/>
          <w:w w:val="105"/>
          <w:sz w:val="21"/>
        </w:rPr>
        <w:t> </w:t>
      </w:r>
      <w:r>
        <w:rPr>
          <w:w w:val="105"/>
          <w:sz w:val="21"/>
        </w:rPr>
        <w:t>of</w:t>
      </w:r>
      <w:r>
        <w:rPr>
          <w:spacing w:val="-5"/>
          <w:w w:val="105"/>
          <w:sz w:val="21"/>
        </w:rPr>
        <w:t> </w:t>
      </w:r>
      <w:r>
        <w:rPr>
          <w:spacing w:val="-3"/>
          <w:w w:val="105"/>
          <w:sz w:val="21"/>
        </w:rPr>
        <w:t>any</w:t>
      </w:r>
      <w:r>
        <w:rPr>
          <w:spacing w:val="-5"/>
          <w:w w:val="105"/>
          <w:sz w:val="21"/>
        </w:rPr>
        <w:t> </w:t>
      </w:r>
      <w:r>
        <w:rPr>
          <w:w w:val="105"/>
          <w:sz w:val="21"/>
        </w:rPr>
        <w:t>direction</w:t>
      </w:r>
      <w:r>
        <w:rPr>
          <w:spacing w:val="-6"/>
          <w:w w:val="105"/>
          <w:sz w:val="21"/>
        </w:rPr>
        <w:t> </w:t>
      </w:r>
      <w:r>
        <w:rPr>
          <w:w w:val="105"/>
          <w:sz w:val="21"/>
        </w:rPr>
        <w:t>in</w:t>
      </w:r>
      <w:r>
        <w:rPr>
          <w:spacing w:val="-5"/>
          <w:w w:val="105"/>
          <w:sz w:val="21"/>
        </w:rPr>
        <w:t> </w:t>
      </w:r>
      <w:r>
        <w:rPr>
          <w:w w:val="105"/>
          <w:sz w:val="21"/>
        </w:rPr>
        <w:t>the</w:t>
      </w:r>
      <w:r>
        <w:rPr>
          <w:spacing w:val="-5"/>
          <w:w w:val="105"/>
          <w:sz w:val="21"/>
        </w:rPr>
        <w:t> </w:t>
      </w:r>
      <w:r>
        <w:rPr>
          <w:spacing w:val="-3"/>
          <w:w w:val="105"/>
          <w:sz w:val="21"/>
        </w:rPr>
        <w:t>will</w:t>
      </w:r>
      <w:r>
        <w:rPr>
          <w:spacing w:val="-5"/>
          <w:w w:val="105"/>
          <w:sz w:val="21"/>
        </w:rPr>
        <w:t> </w:t>
      </w:r>
      <w:r>
        <w:rPr>
          <w:w w:val="105"/>
          <w:sz w:val="21"/>
        </w:rPr>
        <w:t>and</w:t>
      </w:r>
      <w:r>
        <w:rPr>
          <w:spacing w:val="-6"/>
          <w:w w:val="105"/>
          <w:sz w:val="21"/>
        </w:rPr>
        <w:t> </w:t>
      </w:r>
      <w:r>
        <w:rPr>
          <w:spacing w:val="-3"/>
          <w:w w:val="105"/>
          <w:sz w:val="21"/>
        </w:rPr>
        <w:t>that</w:t>
      </w:r>
      <w:r>
        <w:rPr>
          <w:spacing w:val="-5"/>
          <w:w w:val="105"/>
          <w:sz w:val="21"/>
        </w:rPr>
        <w:t> </w:t>
      </w:r>
      <w:r>
        <w:rPr>
          <w:w w:val="105"/>
          <w:sz w:val="21"/>
        </w:rPr>
        <w:t>the</w:t>
      </w:r>
      <w:r>
        <w:rPr>
          <w:spacing w:val="-5"/>
          <w:w w:val="105"/>
          <w:sz w:val="21"/>
        </w:rPr>
        <w:t> </w:t>
      </w:r>
      <w:r>
        <w:rPr>
          <w:spacing w:val="-3"/>
          <w:w w:val="105"/>
          <w:sz w:val="21"/>
        </w:rPr>
        <w:t>resulting improvement </w:t>
      </w:r>
      <w:r>
        <w:rPr>
          <w:w w:val="105"/>
          <w:sz w:val="21"/>
        </w:rPr>
        <w:t>in certainty </w:t>
      </w:r>
      <w:r>
        <w:rPr>
          <w:spacing w:val="-3"/>
          <w:w w:val="105"/>
          <w:sz w:val="21"/>
        </w:rPr>
        <w:t>may </w:t>
      </w:r>
      <w:r>
        <w:rPr>
          <w:spacing w:val="-4"/>
          <w:w w:val="105"/>
          <w:sz w:val="21"/>
        </w:rPr>
        <w:t>‘reduce </w:t>
      </w:r>
      <w:r>
        <w:rPr>
          <w:w w:val="105"/>
          <w:sz w:val="21"/>
        </w:rPr>
        <w:t>opportunities </w:t>
      </w:r>
      <w:r>
        <w:rPr>
          <w:spacing w:val="-3"/>
          <w:w w:val="105"/>
          <w:sz w:val="21"/>
        </w:rPr>
        <w:t>for</w:t>
      </w:r>
      <w:r>
        <w:rPr>
          <w:spacing w:val="27"/>
          <w:w w:val="105"/>
          <w:sz w:val="21"/>
        </w:rPr>
        <w:t> </w:t>
      </w:r>
      <w:r>
        <w:rPr>
          <w:spacing w:val="-6"/>
          <w:w w:val="105"/>
          <w:sz w:val="21"/>
        </w:rPr>
        <w:t>litigation’.</w:t>
      </w:r>
      <w:r>
        <w:rPr>
          <w:spacing w:val="-6"/>
          <w:w w:val="105"/>
          <w:position w:val="7"/>
          <w:sz w:val="12"/>
        </w:rPr>
        <w:t>18</w:t>
      </w:r>
    </w:p>
    <w:p>
      <w:pPr>
        <w:pStyle w:val="ListParagraph"/>
        <w:numPr>
          <w:ilvl w:val="1"/>
          <w:numId w:val="22"/>
        </w:numPr>
        <w:tabs>
          <w:tab w:pos="2381" w:val="left" w:leader="none"/>
          <w:tab w:pos="2382" w:val="left" w:leader="none"/>
        </w:tabs>
        <w:spacing w:line="242" w:lineRule="auto" w:before="124" w:after="0"/>
        <w:ind w:left="2381" w:right="1705" w:hanging="794"/>
        <w:jc w:val="left"/>
        <w:rPr>
          <w:sz w:val="12"/>
        </w:rPr>
      </w:pPr>
      <w:r>
        <w:rPr>
          <w:w w:val="105"/>
          <w:sz w:val="21"/>
        </w:rPr>
        <w:t>A</w:t>
      </w:r>
      <w:r>
        <w:rPr>
          <w:spacing w:val="-14"/>
          <w:w w:val="105"/>
          <w:sz w:val="21"/>
        </w:rPr>
        <w:t> </w:t>
      </w:r>
      <w:r>
        <w:rPr>
          <w:w w:val="105"/>
          <w:sz w:val="21"/>
        </w:rPr>
        <w:t>reduction</w:t>
      </w:r>
      <w:r>
        <w:rPr>
          <w:spacing w:val="-14"/>
          <w:w w:val="105"/>
          <w:sz w:val="21"/>
        </w:rPr>
        <w:t> </w:t>
      </w:r>
      <w:r>
        <w:rPr>
          <w:w w:val="105"/>
          <w:sz w:val="21"/>
        </w:rPr>
        <w:t>in</w:t>
      </w:r>
      <w:r>
        <w:rPr>
          <w:spacing w:val="-14"/>
          <w:w w:val="105"/>
          <w:sz w:val="21"/>
        </w:rPr>
        <w:t> </w:t>
      </w:r>
      <w:r>
        <w:rPr>
          <w:w w:val="105"/>
          <w:sz w:val="21"/>
        </w:rPr>
        <w:t>the</w:t>
      </w:r>
      <w:r>
        <w:rPr>
          <w:spacing w:val="-14"/>
          <w:w w:val="105"/>
          <w:sz w:val="21"/>
        </w:rPr>
        <w:t> </w:t>
      </w:r>
      <w:r>
        <w:rPr>
          <w:w w:val="105"/>
          <w:sz w:val="21"/>
        </w:rPr>
        <w:t>number</w:t>
      </w:r>
      <w:r>
        <w:rPr>
          <w:spacing w:val="-14"/>
          <w:w w:val="105"/>
          <w:sz w:val="21"/>
        </w:rPr>
        <w:t> </w:t>
      </w:r>
      <w:r>
        <w:rPr>
          <w:w w:val="105"/>
          <w:sz w:val="21"/>
        </w:rPr>
        <w:t>of</w:t>
      </w:r>
      <w:r>
        <w:rPr>
          <w:spacing w:val="-14"/>
          <w:w w:val="105"/>
          <w:sz w:val="21"/>
        </w:rPr>
        <w:t> </w:t>
      </w:r>
      <w:r>
        <w:rPr>
          <w:w w:val="105"/>
          <w:sz w:val="21"/>
        </w:rPr>
        <w:t>categories</w:t>
      </w:r>
      <w:r>
        <w:rPr>
          <w:spacing w:val="-14"/>
          <w:w w:val="105"/>
          <w:sz w:val="21"/>
        </w:rPr>
        <w:t> </w:t>
      </w:r>
      <w:r>
        <w:rPr>
          <w:w w:val="105"/>
          <w:sz w:val="21"/>
        </w:rPr>
        <w:t>in</w:t>
      </w:r>
      <w:r>
        <w:rPr>
          <w:spacing w:val="-14"/>
          <w:w w:val="105"/>
          <w:sz w:val="21"/>
        </w:rPr>
        <w:t> </w:t>
      </w:r>
      <w:r>
        <w:rPr>
          <w:w w:val="105"/>
          <w:sz w:val="21"/>
        </w:rPr>
        <w:t>the</w:t>
      </w:r>
      <w:r>
        <w:rPr>
          <w:spacing w:val="-14"/>
          <w:w w:val="105"/>
          <w:sz w:val="21"/>
        </w:rPr>
        <w:t> </w:t>
      </w:r>
      <w:r>
        <w:rPr>
          <w:w w:val="105"/>
          <w:sz w:val="21"/>
        </w:rPr>
        <w:t>Victorian</w:t>
      </w:r>
      <w:r>
        <w:rPr>
          <w:spacing w:val="-14"/>
          <w:w w:val="105"/>
          <w:sz w:val="21"/>
        </w:rPr>
        <w:t> </w:t>
      </w:r>
      <w:r>
        <w:rPr>
          <w:w w:val="105"/>
          <w:sz w:val="21"/>
        </w:rPr>
        <w:t>order</w:t>
      </w:r>
      <w:r>
        <w:rPr>
          <w:spacing w:val="-14"/>
          <w:w w:val="105"/>
          <w:sz w:val="21"/>
        </w:rPr>
        <w:t> </w:t>
      </w:r>
      <w:r>
        <w:rPr>
          <w:w w:val="105"/>
          <w:sz w:val="21"/>
        </w:rPr>
        <w:t>received</w:t>
      </w:r>
      <w:r>
        <w:rPr>
          <w:spacing w:val="-14"/>
          <w:w w:val="105"/>
          <w:sz w:val="21"/>
        </w:rPr>
        <w:t> </w:t>
      </w:r>
      <w:r>
        <w:rPr>
          <w:w w:val="105"/>
          <w:sz w:val="21"/>
        </w:rPr>
        <w:t>universal</w:t>
      </w:r>
      <w:r>
        <w:rPr>
          <w:spacing w:val="-14"/>
          <w:w w:val="105"/>
          <w:sz w:val="21"/>
        </w:rPr>
        <w:t> </w:t>
      </w:r>
      <w:r>
        <w:rPr>
          <w:w w:val="105"/>
          <w:sz w:val="21"/>
        </w:rPr>
        <w:t>support in </w:t>
      </w:r>
      <w:r>
        <w:rPr>
          <w:spacing w:val="-3"/>
          <w:w w:val="105"/>
          <w:sz w:val="21"/>
        </w:rPr>
        <w:t>submissions to </w:t>
      </w:r>
      <w:r>
        <w:rPr>
          <w:w w:val="105"/>
          <w:sz w:val="21"/>
        </w:rPr>
        <w:t>the </w:t>
      </w:r>
      <w:r>
        <w:rPr>
          <w:spacing w:val="-3"/>
          <w:w w:val="105"/>
          <w:sz w:val="21"/>
        </w:rPr>
        <w:t>Commission </w:t>
      </w:r>
      <w:r>
        <w:rPr>
          <w:w w:val="105"/>
          <w:sz w:val="21"/>
        </w:rPr>
        <w:t>and </w:t>
      </w:r>
      <w:r>
        <w:rPr>
          <w:spacing w:val="-3"/>
          <w:w w:val="105"/>
          <w:sz w:val="21"/>
        </w:rPr>
        <w:t>during consultations. </w:t>
      </w:r>
      <w:r>
        <w:rPr>
          <w:w w:val="105"/>
          <w:sz w:val="21"/>
        </w:rPr>
        <w:t>Legal practitioners with expertise in </w:t>
      </w:r>
      <w:r>
        <w:rPr>
          <w:spacing w:val="-3"/>
          <w:w w:val="105"/>
          <w:sz w:val="21"/>
        </w:rPr>
        <w:t>administering </w:t>
      </w:r>
      <w:r>
        <w:rPr>
          <w:w w:val="105"/>
          <w:sz w:val="21"/>
        </w:rPr>
        <w:t>deceased estates said </w:t>
      </w:r>
      <w:r>
        <w:rPr>
          <w:spacing w:val="-3"/>
          <w:w w:val="105"/>
          <w:sz w:val="21"/>
        </w:rPr>
        <w:t>that </w:t>
      </w:r>
      <w:r>
        <w:rPr>
          <w:w w:val="105"/>
          <w:sz w:val="21"/>
        </w:rPr>
        <w:t>the </w:t>
      </w:r>
      <w:r>
        <w:rPr>
          <w:spacing w:val="-3"/>
          <w:w w:val="105"/>
          <w:sz w:val="21"/>
        </w:rPr>
        <w:t>change </w:t>
      </w:r>
      <w:r>
        <w:rPr>
          <w:w w:val="105"/>
          <w:sz w:val="21"/>
        </w:rPr>
        <w:t>would </w:t>
      </w:r>
      <w:r>
        <w:rPr>
          <w:spacing w:val="-4"/>
          <w:w w:val="105"/>
          <w:sz w:val="21"/>
        </w:rPr>
        <w:t>make </w:t>
      </w:r>
      <w:r>
        <w:rPr>
          <w:w w:val="105"/>
          <w:sz w:val="21"/>
        </w:rPr>
        <w:t>the law </w:t>
      </w:r>
      <w:r>
        <w:rPr>
          <w:spacing w:val="-3"/>
          <w:w w:val="105"/>
          <w:sz w:val="21"/>
        </w:rPr>
        <w:t>clearer </w:t>
      </w:r>
      <w:r>
        <w:rPr>
          <w:w w:val="105"/>
          <w:sz w:val="21"/>
        </w:rPr>
        <w:t>and </w:t>
      </w:r>
      <w:r>
        <w:rPr>
          <w:spacing w:val="-2"/>
          <w:w w:val="105"/>
          <w:sz w:val="21"/>
        </w:rPr>
        <w:t>easier </w:t>
      </w:r>
      <w:r>
        <w:rPr>
          <w:spacing w:val="-3"/>
          <w:w w:val="105"/>
          <w:sz w:val="21"/>
        </w:rPr>
        <w:t>for </w:t>
      </w:r>
      <w:r>
        <w:rPr>
          <w:w w:val="105"/>
          <w:sz w:val="21"/>
        </w:rPr>
        <w:t>personal representatives </w:t>
      </w:r>
      <w:r>
        <w:rPr>
          <w:spacing w:val="-3"/>
          <w:w w:val="105"/>
          <w:sz w:val="21"/>
        </w:rPr>
        <w:t>to</w:t>
      </w:r>
      <w:r>
        <w:rPr>
          <w:spacing w:val="27"/>
          <w:w w:val="105"/>
          <w:sz w:val="21"/>
        </w:rPr>
        <w:t> </w:t>
      </w:r>
      <w:r>
        <w:rPr>
          <w:spacing w:val="-6"/>
          <w:w w:val="105"/>
          <w:sz w:val="21"/>
        </w:rPr>
        <w:t>apply.</w:t>
      </w:r>
      <w:r>
        <w:rPr>
          <w:spacing w:val="-6"/>
          <w:w w:val="105"/>
          <w:position w:val="7"/>
          <w:sz w:val="12"/>
        </w:rPr>
        <w:t>19</w:t>
      </w:r>
    </w:p>
    <w:p>
      <w:pPr>
        <w:pStyle w:val="ListParagraph"/>
        <w:numPr>
          <w:ilvl w:val="1"/>
          <w:numId w:val="22"/>
        </w:numPr>
        <w:tabs>
          <w:tab w:pos="2381" w:val="left" w:leader="none"/>
          <w:tab w:pos="2382" w:val="left" w:leader="none"/>
        </w:tabs>
        <w:spacing w:line="242" w:lineRule="auto" w:before="124" w:after="0"/>
        <w:ind w:left="2381" w:right="1904" w:hanging="794"/>
        <w:jc w:val="left"/>
        <w:rPr>
          <w:sz w:val="12"/>
        </w:rPr>
      </w:pPr>
      <w:r>
        <w:rPr>
          <w:spacing w:val="-3"/>
          <w:sz w:val="21"/>
        </w:rPr>
        <w:t>Reform </w:t>
      </w:r>
      <w:r>
        <w:rPr>
          <w:sz w:val="21"/>
        </w:rPr>
        <w:t>would be particularly </w:t>
      </w:r>
      <w:r>
        <w:rPr>
          <w:spacing w:val="-3"/>
          <w:sz w:val="21"/>
        </w:rPr>
        <w:t>helpful for </w:t>
      </w:r>
      <w:r>
        <w:rPr>
          <w:sz w:val="21"/>
        </w:rPr>
        <w:t>personal representatives who </w:t>
      </w:r>
      <w:r>
        <w:rPr>
          <w:spacing w:val="-3"/>
          <w:sz w:val="21"/>
        </w:rPr>
        <w:t>administer small </w:t>
      </w:r>
      <w:r>
        <w:rPr>
          <w:sz w:val="21"/>
        </w:rPr>
        <w:t>estates. A </w:t>
      </w:r>
      <w:r>
        <w:rPr>
          <w:spacing w:val="-3"/>
          <w:sz w:val="21"/>
        </w:rPr>
        <w:t>small </w:t>
      </w:r>
      <w:r>
        <w:rPr>
          <w:sz w:val="21"/>
        </w:rPr>
        <w:t>estate is more </w:t>
      </w:r>
      <w:r>
        <w:rPr>
          <w:spacing w:val="-4"/>
          <w:sz w:val="21"/>
        </w:rPr>
        <w:t>likely </w:t>
      </w:r>
      <w:r>
        <w:rPr>
          <w:spacing w:val="-3"/>
          <w:sz w:val="21"/>
        </w:rPr>
        <w:t>than </w:t>
      </w:r>
      <w:r>
        <w:rPr>
          <w:sz w:val="21"/>
        </w:rPr>
        <w:t>a large estate </w:t>
      </w:r>
      <w:r>
        <w:rPr>
          <w:spacing w:val="-3"/>
          <w:sz w:val="21"/>
        </w:rPr>
        <w:t>to </w:t>
      </w:r>
      <w:r>
        <w:rPr>
          <w:sz w:val="21"/>
        </w:rPr>
        <w:t>be </w:t>
      </w:r>
      <w:r>
        <w:rPr>
          <w:spacing w:val="-3"/>
          <w:sz w:val="21"/>
        </w:rPr>
        <w:t>administered </w:t>
      </w:r>
      <w:r>
        <w:rPr>
          <w:sz w:val="21"/>
        </w:rPr>
        <w:t>by a non- </w:t>
      </w:r>
      <w:r>
        <w:rPr>
          <w:spacing w:val="-3"/>
          <w:sz w:val="21"/>
        </w:rPr>
        <w:t>professional executor </w:t>
      </w:r>
      <w:r>
        <w:rPr>
          <w:sz w:val="21"/>
        </w:rPr>
        <w:t>and </w:t>
      </w:r>
      <w:r>
        <w:rPr>
          <w:spacing w:val="-3"/>
          <w:sz w:val="21"/>
        </w:rPr>
        <w:t>to </w:t>
      </w:r>
      <w:r>
        <w:rPr>
          <w:sz w:val="21"/>
        </w:rPr>
        <w:t>present difficulty with the payment of</w:t>
      </w:r>
      <w:r>
        <w:rPr>
          <w:spacing w:val="4"/>
          <w:sz w:val="21"/>
        </w:rPr>
        <w:t> </w:t>
      </w:r>
      <w:r>
        <w:rPr>
          <w:sz w:val="21"/>
        </w:rPr>
        <w:t>debts.</w:t>
      </w:r>
      <w:r>
        <w:rPr>
          <w:position w:val="7"/>
          <w:sz w:val="12"/>
        </w:rPr>
        <w:t>20</w:t>
      </w:r>
    </w:p>
    <w:p>
      <w:pPr>
        <w:pStyle w:val="BodyText"/>
        <w:spacing w:before="11"/>
        <w:rPr>
          <w:sz w:val="26"/>
        </w:rPr>
      </w:pPr>
    </w:p>
    <w:p>
      <w:pPr>
        <w:pStyle w:val="Heading6"/>
        <w:spacing w:before="1"/>
      </w:pPr>
      <w:r>
        <w:rPr>
          <w:w w:val="115"/>
        </w:rPr>
        <w:t>Reordering the categories of asset</w:t>
      </w:r>
    </w:p>
    <w:p>
      <w:pPr>
        <w:pStyle w:val="ListParagraph"/>
        <w:numPr>
          <w:ilvl w:val="1"/>
          <w:numId w:val="22"/>
        </w:numPr>
        <w:tabs>
          <w:tab w:pos="2380" w:val="left" w:leader="none"/>
          <w:tab w:pos="2381" w:val="left" w:leader="none"/>
        </w:tabs>
        <w:spacing w:line="242" w:lineRule="auto" w:before="151" w:after="0"/>
        <w:ind w:left="2381" w:right="1728" w:hanging="794"/>
        <w:jc w:val="left"/>
        <w:rPr>
          <w:sz w:val="21"/>
        </w:rPr>
      </w:pPr>
      <w:r>
        <w:rPr>
          <w:spacing w:val="-3"/>
          <w:sz w:val="21"/>
        </w:rPr>
        <w:t>Adopting </w:t>
      </w:r>
      <w:r>
        <w:rPr>
          <w:sz w:val="21"/>
        </w:rPr>
        <w:t>the model </w:t>
      </w:r>
      <w:r>
        <w:rPr>
          <w:spacing w:val="-3"/>
          <w:sz w:val="21"/>
        </w:rPr>
        <w:t>provision </w:t>
      </w:r>
      <w:r>
        <w:rPr>
          <w:sz w:val="21"/>
        </w:rPr>
        <w:t>would </w:t>
      </w:r>
      <w:r>
        <w:rPr>
          <w:spacing w:val="-2"/>
          <w:sz w:val="21"/>
        </w:rPr>
        <w:t>not </w:t>
      </w:r>
      <w:r>
        <w:rPr>
          <w:sz w:val="21"/>
        </w:rPr>
        <w:t>only </w:t>
      </w:r>
      <w:r>
        <w:rPr>
          <w:spacing w:val="-3"/>
          <w:sz w:val="21"/>
        </w:rPr>
        <w:t>reduce </w:t>
      </w:r>
      <w:r>
        <w:rPr>
          <w:sz w:val="21"/>
        </w:rPr>
        <w:t>the number of Victorian categories </w:t>
      </w:r>
      <w:r>
        <w:rPr>
          <w:spacing w:val="-3"/>
          <w:sz w:val="21"/>
        </w:rPr>
        <w:t>from </w:t>
      </w:r>
      <w:r>
        <w:rPr>
          <w:sz w:val="21"/>
        </w:rPr>
        <w:t>seven </w:t>
      </w:r>
      <w:r>
        <w:rPr>
          <w:spacing w:val="-3"/>
          <w:sz w:val="21"/>
        </w:rPr>
        <w:t>to three,  </w:t>
      </w:r>
      <w:r>
        <w:rPr>
          <w:sz w:val="21"/>
        </w:rPr>
        <w:t>it would reorder them </w:t>
      </w:r>
      <w:r>
        <w:rPr>
          <w:spacing w:val="-3"/>
          <w:sz w:val="21"/>
        </w:rPr>
        <w:t>to</w:t>
      </w:r>
      <w:r>
        <w:rPr>
          <w:spacing w:val="41"/>
          <w:sz w:val="21"/>
        </w:rPr>
        <w:t> </w:t>
      </w:r>
      <w:r>
        <w:rPr>
          <w:sz w:val="21"/>
        </w:rPr>
        <w:t>give the highest priority </w:t>
      </w:r>
      <w:r>
        <w:rPr>
          <w:spacing w:val="-3"/>
          <w:sz w:val="21"/>
        </w:rPr>
        <w:t>to  </w:t>
      </w:r>
      <w:r>
        <w:rPr>
          <w:sz w:val="21"/>
        </w:rPr>
        <w:t>property </w:t>
      </w:r>
      <w:r>
        <w:rPr>
          <w:spacing w:val="-3"/>
          <w:sz w:val="21"/>
        </w:rPr>
        <w:t>that </w:t>
      </w:r>
      <w:r>
        <w:rPr>
          <w:sz w:val="21"/>
        </w:rPr>
        <w:t>the </w:t>
      </w:r>
      <w:r>
        <w:rPr>
          <w:spacing w:val="-3"/>
          <w:sz w:val="21"/>
        </w:rPr>
        <w:t>will-maker </w:t>
      </w:r>
      <w:r>
        <w:rPr>
          <w:sz w:val="21"/>
        </w:rPr>
        <w:t>specifically set aside </w:t>
      </w:r>
      <w:r>
        <w:rPr>
          <w:spacing w:val="-3"/>
          <w:sz w:val="21"/>
        </w:rPr>
        <w:t>to </w:t>
      </w:r>
      <w:r>
        <w:rPr>
          <w:spacing w:val="-2"/>
          <w:sz w:val="21"/>
        </w:rPr>
        <w:t>pay </w:t>
      </w:r>
      <w:r>
        <w:rPr>
          <w:sz w:val="21"/>
        </w:rPr>
        <w:t>debts. Property </w:t>
      </w:r>
      <w:r>
        <w:rPr>
          <w:spacing w:val="-3"/>
          <w:sz w:val="21"/>
        </w:rPr>
        <w:t>that </w:t>
      </w:r>
      <w:r>
        <w:rPr>
          <w:sz w:val="21"/>
        </w:rPr>
        <w:t>is specifically set aside </w:t>
      </w:r>
      <w:r>
        <w:rPr>
          <w:spacing w:val="-3"/>
          <w:sz w:val="21"/>
        </w:rPr>
        <w:t>to </w:t>
      </w:r>
      <w:r>
        <w:rPr>
          <w:spacing w:val="-2"/>
          <w:sz w:val="21"/>
        </w:rPr>
        <w:t>pay </w:t>
      </w:r>
      <w:r>
        <w:rPr>
          <w:sz w:val="21"/>
        </w:rPr>
        <w:t>debts (currently categories 2 and 3) would be applied </w:t>
      </w:r>
      <w:r>
        <w:rPr>
          <w:spacing w:val="-3"/>
          <w:sz w:val="21"/>
        </w:rPr>
        <w:t>to </w:t>
      </w:r>
      <w:r>
        <w:rPr>
          <w:sz w:val="21"/>
        </w:rPr>
        <w:t>debts </w:t>
      </w:r>
      <w:r>
        <w:rPr>
          <w:spacing w:val="-3"/>
          <w:sz w:val="21"/>
        </w:rPr>
        <w:t>before, rather  than  </w:t>
      </w:r>
      <w:r>
        <w:rPr>
          <w:spacing w:val="-4"/>
          <w:sz w:val="21"/>
        </w:rPr>
        <w:t>after, </w:t>
      </w:r>
      <w:r>
        <w:rPr>
          <w:sz w:val="21"/>
        </w:rPr>
        <w:t>property </w:t>
      </w:r>
      <w:r>
        <w:rPr>
          <w:spacing w:val="-3"/>
          <w:sz w:val="21"/>
        </w:rPr>
        <w:t>that </w:t>
      </w:r>
      <w:r>
        <w:rPr>
          <w:spacing w:val="-2"/>
          <w:sz w:val="21"/>
        </w:rPr>
        <w:t>has not </w:t>
      </w:r>
      <w:r>
        <w:rPr>
          <w:sz w:val="21"/>
        </w:rPr>
        <w:t>effectively been disposed of by </w:t>
      </w:r>
      <w:r>
        <w:rPr>
          <w:spacing w:val="-3"/>
          <w:sz w:val="21"/>
        </w:rPr>
        <w:t>will </w:t>
      </w:r>
      <w:r>
        <w:rPr>
          <w:sz w:val="21"/>
        </w:rPr>
        <w:t>(currently category</w:t>
      </w:r>
      <w:r>
        <w:rPr>
          <w:spacing w:val="11"/>
          <w:sz w:val="21"/>
        </w:rPr>
        <w:t> </w:t>
      </w:r>
      <w:r>
        <w:rPr>
          <w:sz w:val="21"/>
        </w:rPr>
        <w:t>1).</w:t>
      </w:r>
    </w:p>
    <w:p>
      <w:pPr>
        <w:pStyle w:val="BodyText"/>
        <w:rPr>
          <w:sz w:val="20"/>
        </w:rPr>
      </w:pPr>
    </w:p>
    <w:p>
      <w:pPr>
        <w:pStyle w:val="BodyText"/>
        <w:spacing w:before="4"/>
        <w:rPr>
          <w:sz w:val="24"/>
        </w:rPr>
      </w:pPr>
      <w:r>
        <w:rPr/>
        <w:pict>
          <v:line style="position:absolute;mso-position-horizontal-relative:page;mso-position-vertical-relative:paragraph;z-index:10592;mso-wrap-distance-left:0;mso-wrap-distance-right:0" from="79.370102pt,17.332228pt" to="515.905102pt,17.332228pt" stroked="true" strokeweight="1pt" strokecolor="#f9ceca">
            <v:stroke dashstyle="solid"/>
            <w10:wrap type="topAndBottom"/>
          </v:line>
        </w:pict>
      </w:r>
    </w:p>
    <w:p>
      <w:pPr>
        <w:pStyle w:val="BodyText"/>
        <w:spacing w:before="8"/>
        <w:rPr>
          <w:sz w:val="5"/>
        </w:rPr>
      </w:pPr>
    </w:p>
    <w:p>
      <w:pPr>
        <w:spacing w:after="0"/>
        <w:rPr>
          <w:sz w:val="5"/>
        </w:rPr>
        <w:sectPr>
          <w:pgSz w:w="11910" w:h="16840"/>
          <w:pgMar w:header="805" w:footer="0" w:top="1360" w:bottom="280" w:left="0" w:right="0"/>
        </w:sectPr>
      </w:pPr>
    </w:p>
    <w:p>
      <w:pPr>
        <w:pStyle w:val="ListParagraph"/>
        <w:numPr>
          <w:ilvl w:val="0"/>
          <w:numId w:val="132"/>
        </w:numPr>
        <w:tabs>
          <w:tab w:pos="2380" w:val="left" w:leader="none"/>
          <w:tab w:pos="2382" w:val="left" w:leader="none"/>
        </w:tabs>
        <w:spacing w:line="240" w:lineRule="auto" w:before="48" w:after="0"/>
        <w:ind w:left="2381" w:right="0" w:hanging="794"/>
        <w:jc w:val="left"/>
        <w:rPr>
          <w:sz w:val="13"/>
        </w:rPr>
      </w:pPr>
      <w:r>
        <w:rPr>
          <w:w w:val="105"/>
          <w:sz w:val="13"/>
        </w:rPr>
        <w:t>National Committee for Uniform Succession Laws, </w:t>
      </w:r>
      <w:r>
        <w:rPr>
          <w:i/>
          <w:w w:val="105"/>
          <w:sz w:val="13"/>
        </w:rPr>
        <w:t>Administration of Estates of Deceased Persons: Report of the National Committee for </w:t>
      </w:r>
      <w:r>
        <w:rPr>
          <w:i/>
          <w:w w:val="105"/>
          <w:sz w:val="13"/>
        </w:rPr>
        <w:t>Uniform Succession Laws to the Standing Committee of Attorneys General: Volume 2</w:t>
      </w:r>
      <w:r>
        <w:rPr>
          <w:w w:val="105"/>
          <w:sz w:val="13"/>
        </w:rPr>
        <w:t>, Queensland Law Reform Commission </w:t>
      </w:r>
      <w:r>
        <w:rPr>
          <w:spacing w:val="2"/>
          <w:w w:val="105"/>
          <w:sz w:val="13"/>
        </w:rPr>
        <w:t>Report </w:t>
      </w:r>
      <w:r>
        <w:rPr>
          <w:w w:val="105"/>
          <w:sz w:val="13"/>
        </w:rPr>
        <w:t>No 65 </w:t>
      </w:r>
      <w:r>
        <w:rPr>
          <w:spacing w:val="2"/>
          <w:w w:val="105"/>
          <w:sz w:val="13"/>
        </w:rPr>
        <w:t>(2009) </w:t>
      </w:r>
      <w:r>
        <w:rPr>
          <w:w w:val="105"/>
          <w:sz w:val="13"/>
        </w:rPr>
        <w:t>106 (‘</w:t>
      </w:r>
      <w:r>
        <w:rPr>
          <w:i/>
          <w:w w:val="105"/>
          <w:sz w:val="13"/>
        </w:rPr>
        <w:t>Administration of Estates: Volume</w:t>
      </w:r>
      <w:r>
        <w:rPr>
          <w:i/>
          <w:spacing w:val="21"/>
          <w:w w:val="105"/>
          <w:sz w:val="13"/>
        </w:rPr>
        <w:t> </w:t>
      </w:r>
      <w:r>
        <w:rPr>
          <w:i/>
          <w:spacing w:val="4"/>
          <w:w w:val="105"/>
          <w:sz w:val="13"/>
        </w:rPr>
        <w:t>2</w:t>
      </w:r>
      <w:r>
        <w:rPr>
          <w:spacing w:val="4"/>
          <w:w w:val="105"/>
          <w:sz w:val="13"/>
        </w:rPr>
        <w:t>’).</w:t>
      </w:r>
    </w:p>
    <w:p>
      <w:pPr>
        <w:pStyle w:val="ListParagraph"/>
        <w:numPr>
          <w:ilvl w:val="0"/>
          <w:numId w:val="132"/>
        </w:numPr>
        <w:tabs>
          <w:tab w:pos="2381" w:val="left" w:leader="none"/>
          <w:tab w:pos="2382" w:val="left" w:leader="none"/>
        </w:tabs>
        <w:spacing w:line="240" w:lineRule="auto" w:before="4" w:after="0"/>
        <w:ind w:left="2381" w:right="0" w:hanging="794"/>
        <w:jc w:val="left"/>
        <w:rPr>
          <w:sz w:val="13"/>
        </w:rPr>
      </w:pPr>
      <w:r>
        <w:rPr>
          <w:i/>
          <w:w w:val="105"/>
          <w:sz w:val="13"/>
        </w:rPr>
        <w:t>Succession Act </w:t>
      </w:r>
      <w:r>
        <w:rPr>
          <w:i/>
          <w:spacing w:val="-3"/>
          <w:w w:val="105"/>
          <w:sz w:val="13"/>
        </w:rPr>
        <w:t>1981 </w:t>
      </w:r>
      <w:r>
        <w:rPr>
          <w:spacing w:val="2"/>
          <w:w w:val="105"/>
          <w:sz w:val="13"/>
        </w:rPr>
        <w:t>(Qld) </w:t>
      </w:r>
      <w:r>
        <w:rPr>
          <w:w w:val="105"/>
          <w:sz w:val="13"/>
        </w:rPr>
        <w:t>s</w:t>
      </w:r>
      <w:r>
        <w:rPr>
          <w:spacing w:val="21"/>
          <w:w w:val="105"/>
          <w:sz w:val="13"/>
        </w:rPr>
        <w:t> </w:t>
      </w:r>
      <w:r>
        <w:rPr>
          <w:w w:val="105"/>
          <w:sz w:val="13"/>
        </w:rPr>
        <w:t>59(1).</w:t>
      </w:r>
    </w:p>
    <w:p>
      <w:pPr>
        <w:pStyle w:val="ListParagraph"/>
        <w:numPr>
          <w:ilvl w:val="0"/>
          <w:numId w:val="132"/>
        </w:numPr>
        <w:tabs>
          <w:tab w:pos="2381" w:val="left" w:leader="none"/>
          <w:tab w:pos="2382" w:val="left" w:leader="none"/>
        </w:tabs>
        <w:spacing w:line="240" w:lineRule="auto" w:before="1" w:after="0"/>
        <w:ind w:left="2381" w:right="0" w:hanging="794"/>
        <w:jc w:val="left"/>
        <w:rPr>
          <w:sz w:val="13"/>
        </w:rPr>
      </w:pPr>
      <w:r>
        <w:rPr>
          <w:w w:val="105"/>
          <w:sz w:val="13"/>
        </w:rPr>
        <w:t>Defined</w:t>
      </w:r>
      <w:r>
        <w:rPr>
          <w:spacing w:val="4"/>
          <w:w w:val="105"/>
          <w:sz w:val="13"/>
        </w:rPr>
        <w:t> </w:t>
      </w:r>
      <w:r>
        <w:rPr>
          <w:w w:val="105"/>
          <w:sz w:val="13"/>
        </w:rPr>
        <w:t>to</w:t>
      </w:r>
      <w:r>
        <w:rPr>
          <w:spacing w:val="5"/>
          <w:w w:val="105"/>
          <w:sz w:val="13"/>
        </w:rPr>
        <w:t> </w:t>
      </w:r>
      <w:r>
        <w:rPr>
          <w:w w:val="105"/>
          <w:sz w:val="13"/>
        </w:rPr>
        <w:t>include</w:t>
      </w:r>
      <w:r>
        <w:rPr>
          <w:spacing w:val="4"/>
          <w:w w:val="105"/>
          <w:sz w:val="13"/>
        </w:rPr>
        <w:t> </w:t>
      </w:r>
      <w:r>
        <w:rPr>
          <w:w w:val="105"/>
          <w:sz w:val="13"/>
        </w:rPr>
        <w:t>undisposed</w:t>
      </w:r>
      <w:r>
        <w:rPr>
          <w:spacing w:val="5"/>
          <w:w w:val="105"/>
          <w:sz w:val="13"/>
        </w:rPr>
        <w:t> </w:t>
      </w:r>
      <w:r>
        <w:rPr>
          <w:w w:val="105"/>
          <w:sz w:val="13"/>
        </w:rPr>
        <w:t>of</w:t>
      </w:r>
      <w:r>
        <w:rPr>
          <w:spacing w:val="5"/>
          <w:w w:val="105"/>
          <w:sz w:val="13"/>
        </w:rPr>
        <w:t> </w:t>
      </w:r>
      <w:r>
        <w:rPr>
          <w:spacing w:val="2"/>
          <w:w w:val="105"/>
          <w:sz w:val="13"/>
        </w:rPr>
        <w:t>property:</w:t>
      </w:r>
      <w:r>
        <w:rPr>
          <w:spacing w:val="4"/>
          <w:w w:val="105"/>
          <w:sz w:val="13"/>
        </w:rPr>
        <w:t> </w:t>
      </w:r>
      <w:r>
        <w:rPr>
          <w:w w:val="105"/>
          <w:sz w:val="13"/>
        </w:rPr>
        <w:t>see</w:t>
      </w:r>
      <w:r>
        <w:rPr>
          <w:spacing w:val="5"/>
          <w:w w:val="105"/>
          <w:sz w:val="13"/>
        </w:rPr>
        <w:t> </w:t>
      </w:r>
      <w:r>
        <w:rPr>
          <w:w w:val="105"/>
          <w:sz w:val="13"/>
        </w:rPr>
        <w:t>discussion</w:t>
      </w:r>
      <w:r>
        <w:rPr>
          <w:spacing w:val="5"/>
          <w:w w:val="105"/>
          <w:sz w:val="13"/>
        </w:rPr>
        <w:t> </w:t>
      </w:r>
      <w:r>
        <w:rPr>
          <w:w w:val="105"/>
          <w:sz w:val="13"/>
        </w:rPr>
        <w:t>below</w:t>
      </w:r>
      <w:r>
        <w:rPr>
          <w:spacing w:val="4"/>
          <w:w w:val="105"/>
          <w:sz w:val="13"/>
        </w:rPr>
        <w:t> </w:t>
      </w:r>
      <w:r>
        <w:rPr>
          <w:w w:val="105"/>
          <w:sz w:val="13"/>
        </w:rPr>
        <w:t>at</w:t>
      </w:r>
      <w:r>
        <w:rPr>
          <w:spacing w:val="5"/>
          <w:w w:val="105"/>
          <w:sz w:val="13"/>
        </w:rPr>
        <w:t> </w:t>
      </w:r>
      <w:r>
        <w:rPr>
          <w:w w:val="105"/>
          <w:sz w:val="13"/>
        </w:rPr>
        <w:t>[8.31].</w:t>
      </w:r>
    </w:p>
    <w:p>
      <w:pPr>
        <w:pStyle w:val="ListParagraph"/>
        <w:numPr>
          <w:ilvl w:val="0"/>
          <w:numId w:val="132"/>
        </w:numPr>
        <w:tabs>
          <w:tab w:pos="2381" w:val="left" w:leader="none"/>
          <w:tab w:pos="2382" w:val="left" w:leader="none"/>
        </w:tabs>
        <w:spacing w:line="240" w:lineRule="auto" w:before="2" w:after="0"/>
        <w:ind w:left="2381" w:right="0" w:hanging="794"/>
        <w:jc w:val="left"/>
        <w:rPr>
          <w:sz w:val="13"/>
        </w:rPr>
      </w:pPr>
      <w:r>
        <w:rPr>
          <w:w w:val="105"/>
          <w:sz w:val="13"/>
        </w:rPr>
        <w:t>National</w:t>
      </w:r>
      <w:r>
        <w:rPr>
          <w:spacing w:val="5"/>
          <w:w w:val="105"/>
          <w:sz w:val="13"/>
        </w:rPr>
        <w:t> </w:t>
      </w:r>
      <w:r>
        <w:rPr>
          <w:w w:val="105"/>
          <w:sz w:val="13"/>
        </w:rPr>
        <w:t>Committee</w:t>
      </w:r>
      <w:r>
        <w:rPr>
          <w:spacing w:val="5"/>
          <w:w w:val="105"/>
          <w:sz w:val="13"/>
        </w:rPr>
        <w:t> </w:t>
      </w:r>
      <w:r>
        <w:rPr>
          <w:w w:val="105"/>
          <w:sz w:val="13"/>
        </w:rPr>
        <w:t>for</w:t>
      </w:r>
      <w:r>
        <w:rPr>
          <w:spacing w:val="5"/>
          <w:w w:val="105"/>
          <w:sz w:val="13"/>
        </w:rPr>
        <w:t> </w:t>
      </w:r>
      <w:r>
        <w:rPr>
          <w:w w:val="105"/>
          <w:sz w:val="13"/>
        </w:rPr>
        <w:t>Uniform</w:t>
      </w:r>
      <w:r>
        <w:rPr>
          <w:spacing w:val="5"/>
          <w:w w:val="105"/>
          <w:sz w:val="13"/>
        </w:rPr>
        <w:t> </w:t>
      </w:r>
      <w:r>
        <w:rPr>
          <w:w w:val="105"/>
          <w:sz w:val="13"/>
        </w:rPr>
        <w:t>Succession</w:t>
      </w:r>
      <w:r>
        <w:rPr>
          <w:spacing w:val="5"/>
          <w:w w:val="105"/>
          <w:sz w:val="13"/>
        </w:rPr>
        <w:t> </w:t>
      </w:r>
      <w:r>
        <w:rPr>
          <w:w w:val="105"/>
          <w:sz w:val="13"/>
        </w:rPr>
        <w:t>Laws,</w:t>
      </w:r>
      <w:r>
        <w:rPr>
          <w:spacing w:val="5"/>
          <w:w w:val="105"/>
          <w:sz w:val="13"/>
        </w:rPr>
        <w:t> </w:t>
      </w:r>
      <w:r>
        <w:rPr>
          <w:i/>
          <w:w w:val="105"/>
          <w:sz w:val="13"/>
        </w:rPr>
        <w:t>Administration</w:t>
      </w:r>
      <w:r>
        <w:rPr>
          <w:i/>
          <w:spacing w:val="4"/>
          <w:w w:val="105"/>
          <w:sz w:val="13"/>
        </w:rPr>
        <w:t> </w:t>
      </w:r>
      <w:r>
        <w:rPr>
          <w:i/>
          <w:w w:val="105"/>
          <w:sz w:val="13"/>
        </w:rPr>
        <w:t>of</w:t>
      </w:r>
      <w:r>
        <w:rPr>
          <w:i/>
          <w:spacing w:val="4"/>
          <w:w w:val="105"/>
          <w:sz w:val="13"/>
        </w:rPr>
        <w:t> </w:t>
      </w:r>
      <w:r>
        <w:rPr>
          <w:i/>
          <w:w w:val="105"/>
          <w:sz w:val="13"/>
        </w:rPr>
        <w:t>Estates:</w:t>
      </w:r>
      <w:r>
        <w:rPr>
          <w:i/>
          <w:spacing w:val="4"/>
          <w:w w:val="105"/>
          <w:sz w:val="13"/>
        </w:rPr>
        <w:t> </w:t>
      </w:r>
      <w:r>
        <w:rPr>
          <w:i/>
          <w:w w:val="105"/>
          <w:sz w:val="13"/>
        </w:rPr>
        <w:t>Volume</w:t>
      </w:r>
      <w:r>
        <w:rPr>
          <w:i/>
          <w:spacing w:val="5"/>
          <w:w w:val="105"/>
          <w:sz w:val="13"/>
        </w:rPr>
        <w:t> </w:t>
      </w:r>
      <w:r>
        <w:rPr>
          <w:i/>
          <w:spacing w:val="-3"/>
          <w:w w:val="105"/>
          <w:sz w:val="13"/>
        </w:rPr>
        <w:t>2</w:t>
      </w:r>
      <w:r>
        <w:rPr>
          <w:spacing w:val="-3"/>
          <w:w w:val="105"/>
          <w:sz w:val="13"/>
        </w:rPr>
        <w:t>,</w:t>
      </w:r>
      <w:r>
        <w:rPr>
          <w:spacing w:val="5"/>
          <w:w w:val="105"/>
          <w:sz w:val="13"/>
        </w:rPr>
        <w:t> </w:t>
      </w:r>
      <w:r>
        <w:rPr>
          <w:w w:val="105"/>
          <w:sz w:val="13"/>
        </w:rPr>
        <w:t>above</w:t>
      </w:r>
      <w:r>
        <w:rPr>
          <w:spacing w:val="5"/>
          <w:w w:val="105"/>
          <w:sz w:val="13"/>
        </w:rPr>
        <w:t> </w:t>
      </w:r>
      <w:r>
        <w:rPr>
          <w:w w:val="105"/>
          <w:sz w:val="13"/>
        </w:rPr>
        <w:t>n</w:t>
      </w:r>
      <w:r>
        <w:rPr>
          <w:spacing w:val="5"/>
          <w:w w:val="105"/>
          <w:sz w:val="13"/>
        </w:rPr>
        <w:t> </w:t>
      </w:r>
      <w:r>
        <w:rPr>
          <w:spacing w:val="-3"/>
          <w:w w:val="105"/>
          <w:sz w:val="13"/>
        </w:rPr>
        <w:t>14</w:t>
      </w:r>
      <w:r>
        <w:rPr>
          <w:spacing w:val="5"/>
          <w:w w:val="105"/>
          <w:sz w:val="13"/>
        </w:rPr>
        <w:t> </w:t>
      </w:r>
      <w:r>
        <w:rPr>
          <w:spacing w:val="-7"/>
          <w:w w:val="105"/>
          <w:sz w:val="13"/>
        </w:rPr>
        <w:t>117.</w:t>
      </w:r>
    </w:p>
    <w:p>
      <w:pPr>
        <w:pStyle w:val="ListParagraph"/>
        <w:numPr>
          <w:ilvl w:val="0"/>
          <w:numId w:val="132"/>
        </w:numPr>
        <w:tabs>
          <w:tab w:pos="2381" w:val="left" w:leader="none"/>
          <w:tab w:pos="2382" w:val="left" w:leader="none"/>
        </w:tabs>
        <w:spacing w:line="240" w:lineRule="auto" w:before="1" w:after="0"/>
        <w:ind w:left="2381" w:right="0" w:hanging="794"/>
        <w:jc w:val="left"/>
        <w:rPr>
          <w:sz w:val="13"/>
        </w:rPr>
      </w:pPr>
      <w:r>
        <w:rPr>
          <w:w w:val="105"/>
          <w:sz w:val="13"/>
        </w:rPr>
        <w:t>Ibid</w:t>
      </w:r>
      <w:r>
        <w:rPr>
          <w:spacing w:val="4"/>
          <w:w w:val="105"/>
          <w:sz w:val="13"/>
        </w:rPr>
        <w:t> </w:t>
      </w:r>
      <w:r>
        <w:rPr>
          <w:w w:val="105"/>
          <w:sz w:val="13"/>
        </w:rPr>
        <w:t>100.</w:t>
      </w:r>
    </w:p>
    <w:p>
      <w:pPr>
        <w:pStyle w:val="ListParagraph"/>
        <w:numPr>
          <w:ilvl w:val="0"/>
          <w:numId w:val="132"/>
        </w:numPr>
        <w:tabs>
          <w:tab w:pos="2381" w:val="left" w:leader="none"/>
          <w:tab w:pos="2382" w:val="left" w:leader="none"/>
        </w:tabs>
        <w:spacing w:line="240" w:lineRule="auto" w:before="1" w:after="0"/>
        <w:ind w:left="2381" w:right="0" w:hanging="794"/>
        <w:jc w:val="left"/>
        <w:rPr>
          <w:sz w:val="13"/>
        </w:rPr>
      </w:pPr>
      <w:r>
        <w:rPr>
          <w:w w:val="105"/>
          <w:sz w:val="13"/>
        </w:rPr>
        <w:t>Advisory Committee (Meeting</w:t>
      </w:r>
      <w:r>
        <w:rPr>
          <w:spacing w:val="14"/>
          <w:w w:val="105"/>
          <w:sz w:val="13"/>
        </w:rPr>
        <w:t> </w:t>
      </w:r>
      <w:r>
        <w:rPr>
          <w:w w:val="105"/>
          <w:sz w:val="13"/>
        </w:rPr>
        <w:t>1).</w:t>
      </w:r>
    </w:p>
    <w:p>
      <w:pPr>
        <w:pStyle w:val="ListParagraph"/>
        <w:numPr>
          <w:ilvl w:val="0"/>
          <w:numId w:val="132"/>
        </w:numPr>
        <w:tabs>
          <w:tab w:pos="2381" w:val="left" w:leader="none"/>
          <w:tab w:pos="2382" w:val="left" w:leader="none"/>
        </w:tabs>
        <w:spacing w:line="240" w:lineRule="auto" w:before="2" w:after="0"/>
        <w:ind w:left="2381" w:right="0" w:hanging="794"/>
        <w:jc w:val="left"/>
        <w:rPr>
          <w:sz w:val="13"/>
        </w:rPr>
      </w:pPr>
      <w:r>
        <w:rPr>
          <w:w w:val="105"/>
          <w:sz w:val="13"/>
        </w:rPr>
        <w:t>Meeting</w:t>
      </w:r>
      <w:r>
        <w:rPr>
          <w:spacing w:val="4"/>
          <w:w w:val="105"/>
          <w:sz w:val="13"/>
        </w:rPr>
        <w:t> </w:t>
      </w:r>
      <w:r>
        <w:rPr>
          <w:w w:val="105"/>
          <w:sz w:val="13"/>
        </w:rPr>
        <w:t>with</w:t>
      </w:r>
      <w:r>
        <w:rPr>
          <w:spacing w:val="5"/>
          <w:w w:val="105"/>
          <w:sz w:val="13"/>
        </w:rPr>
        <w:t> </w:t>
      </w:r>
      <w:r>
        <w:rPr>
          <w:w w:val="105"/>
          <w:sz w:val="13"/>
        </w:rPr>
        <w:t>representatives</w:t>
      </w:r>
      <w:r>
        <w:rPr>
          <w:spacing w:val="5"/>
          <w:w w:val="105"/>
          <w:sz w:val="13"/>
        </w:rPr>
        <w:t> </w:t>
      </w:r>
      <w:r>
        <w:rPr>
          <w:w w:val="105"/>
          <w:sz w:val="13"/>
        </w:rPr>
        <w:t>of</w:t>
      </w:r>
      <w:r>
        <w:rPr>
          <w:spacing w:val="4"/>
          <w:w w:val="105"/>
          <w:sz w:val="13"/>
        </w:rPr>
        <w:t> </w:t>
      </w:r>
      <w:r>
        <w:rPr>
          <w:w w:val="105"/>
          <w:sz w:val="13"/>
        </w:rPr>
        <w:t>the</w:t>
      </w:r>
      <w:r>
        <w:rPr>
          <w:spacing w:val="5"/>
          <w:w w:val="105"/>
          <w:sz w:val="13"/>
        </w:rPr>
        <w:t> </w:t>
      </w:r>
      <w:r>
        <w:rPr>
          <w:w w:val="105"/>
          <w:sz w:val="13"/>
        </w:rPr>
        <w:t>Financial</w:t>
      </w:r>
      <w:r>
        <w:rPr>
          <w:spacing w:val="5"/>
          <w:w w:val="105"/>
          <w:sz w:val="13"/>
        </w:rPr>
        <w:t> </w:t>
      </w:r>
      <w:r>
        <w:rPr>
          <w:w w:val="105"/>
          <w:sz w:val="13"/>
        </w:rPr>
        <w:t>Services</w:t>
      </w:r>
      <w:r>
        <w:rPr>
          <w:spacing w:val="5"/>
          <w:w w:val="105"/>
          <w:sz w:val="13"/>
        </w:rPr>
        <w:t> </w:t>
      </w:r>
      <w:r>
        <w:rPr>
          <w:w w:val="105"/>
          <w:sz w:val="13"/>
        </w:rPr>
        <w:t>Council,</w:t>
      </w:r>
      <w:r>
        <w:rPr>
          <w:spacing w:val="4"/>
          <w:w w:val="105"/>
          <w:sz w:val="13"/>
        </w:rPr>
        <w:t> </w:t>
      </w:r>
      <w:r>
        <w:rPr>
          <w:w w:val="105"/>
          <w:sz w:val="13"/>
        </w:rPr>
        <w:t>21</w:t>
      </w:r>
      <w:r>
        <w:rPr>
          <w:spacing w:val="5"/>
          <w:w w:val="105"/>
          <w:sz w:val="13"/>
        </w:rPr>
        <w:t> </w:t>
      </w:r>
      <w:r>
        <w:rPr>
          <w:w w:val="105"/>
          <w:sz w:val="13"/>
        </w:rPr>
        <w:t>September</w:t>
      </w:r>
      <w:r>
        <w:rPr>
          <w:spacing w:val="5"/>
          <w:w w:val="105"/>
          <w:sz w:val="13"/>
        </w:rPr>
        <w:t> </w:t>
      </w:r>
      <w:r>
        <w:rPr>
          <w:spacing w:val="-3"/>
          <w:w w:val="105"/>
          <w:sz w:val="13"/>
        </w:rPr>
        <w:t>2012.</w:t>
      </w:r>
    </w:p>
    <w:p>
      <w:pPr>
        <w:pStyle w:val="BodyText"/>
        <w:rPr>
          <w:sz w:val="28"/>
        </w:rPr>
      </w:pPr>
      <w:r>
        <w:rPr/>
        <w:br w:type="column"/>
      </w:r>
      <w:r>
        <w:rPr>
          <w:sz w:val="28"/>
        </w:rPr>
      </w:r>
    </w:p>
    <w:p>
      <w:pPr>
        <w:pStyle w:val="BodyText"/>
        <w:rPr>
          <w:sz w:val="28"/>
        </w:rPr>
      </w:pPr>
    </w:p>
    <w:p>
      <w:pPr>
        <w:pStyle w:val="BodyText"/>
        <w:rPr>
          <w:sz w:val="28"/>
        </w:rPr>
      </w:pPr>
    </w:p>
    <w:p>
      <w:pPr>
        <w:spacing w:before="198"/>
        <w:ind w:left="700" w:right="575" w:firstLine="0"/>
        <w:jc w:val="center"/>
        <w:rPr>
          <w:b/>
          <w:sz w:val="24"/>
        </w:rPr>
      </w:pPr>
      <w:r>
        <w:rPr>
          <w:b/>
          <w:color w:val="EC5A4F"/>
          <w:w w:val="110"/>
          <w:sz w:val="24"/>
        </w:rPr>
        <w:t>177</w:t>
      </w:r>
    </w:p>
    <w:p>
      <w:pPr>
        <w:spacing w:after="0"/>
        <w:jc w:val="center"/>
        <w:rPr>
          <w:sz w:val="24"/>
        </w:rPr>
        <w:sectPr>
          <w:type w:val="continuous"/>
          <w:pgSz w:w="11910" w:h="16840"/>
          <w:pgMar w:top="920" w:bottom="280" w:left="0" w:right="0"/>
          <w:cols w:num="2" w:equalWidth="0">
            <w:col w:w="10153" w:space="40"/>
            <w:col w:w="1717"/>
          </w:cols>
        </w:sectPr>
      </w:pPr>
    </w:p>
    <w:p>
      <w:pPr>
        <w:pStyle w:val="BodyText"/>
        <w:spacing w:before="9"/>
        <w:rPr>
          <w:b/>
          <w:sz w:val="22"/>
        </w:rPr>
      </w:pPr>
    </w:p>
    <w:p>
      <w:pPr>
        <w:pStyle w:val="ListParagraph"/>
        <w:numPr>
          <w:ilvl w:val="1"/>
          <w:numId w:val="22"/>
        </w:numPr>
        <w:tabs>
          <w:tab w:pos="2380" w:val="left" w:leader="none"/>
          <w:tab w:pos="2381" w:val="left" w:leader="none"/>
        </w:tabs>
        <w:spacing w:line="242" w:lineRule="auto" w:before="92" w:after="0"/>
        <w:ind w:left="2381" w:right="1797" w:hanging="794"/>
        <w:jc w:val="left"/>
        <w:rPr>
          <w:sz w:val="12"/>
        </w:rPr>
      </w:pPr>
      <w:r>
        <w:rPr>
          <w:w w:val="105"/>
          <w:sz w:val="21"/>
        </w:rPr>
        <w:t>Category 1 property under the model is specifically </w:t>
      </w:r>
      <w:r>
        <w:rPr>
          <w:spacing w:val="-3"/>
          <w:w w:val="105"/>
          <w:sz w:val="21"/>
        </w:rPr>
        <w:t>created </w:t>
      </w:r>
      <w:r>
        <w:rPr>
          <w:w w:val="105"/>
          <w:sz w:val="21"/>
        </w:rPr>
        <w:t>by the </w:t>
      </w:r>
      <w:r>
        <w:rPr>
          <w:spacing w:val="-3"/>
          <w:w w:val="105"/>
          <w:sz w:val="21"/>
        </w:rPr>
        <w:t>will </w:t>
      </w:r>
      <w:r>
        <w:rPr>
          <w:w w:val="105"/>
          <w:sz w:val="21"/>
        </w:rPr>
        <w:t>when the will- </w:t>
      </w:r>
      <w:r>
        <w:rPr>
          <w:spacing w:val="-4"/>
          <w:w w:val="105"/>
          <w:sz w:val="21"/>
        </w:rPr>
        <w:t>maker </w:t>
      </w:r>
      <w:r>
        <w:rPr>
          <w:w w:val="105"/>
          <w:sz w:val="21"/>
        </w:rPr>
        <w:t>sets aside assets </w:t>
      </w:r>
      <w:r>
        <w:rPr>
          <w:spacing w:val="-3"/>
          <w:w w:val="105"/>
          <w:sz w:val="21"/>
        </w:rPr>
        <w:t>for </w:t>
      </w:r>
      <w:r>
        <w:rPr>
          <w:w w:val="105"/>
          <w:sz w:val="21"/>
        </w:rPr>
        <w:t>the payment of debts. It encompasses property </w:t>
      </w:r>
      <w:r>
        <w:rPr>
          <w:spacing w:val="-3"/>
          <w:w w:val="105"/>
          <w:sz w:val="21"/>
        </w:rPr>
        <w:t>that </w:t>
      </w:r>
      <w:r>
        <w:rPr>
          <w:w w:val="105"/>
          <w:sz w:val="21"/>
        </w:rPr>
        <w:t>is </w:t>
      </w:r>
      <w:r>
        <w:rPr>
          <w:spacing w:val="-3"/>
          <w:w w:val="105"/>
          <w:sz w:val="21"/>
        </w:rPr>
        <w:t>currently </w:t>
      </w:r>
      <w:r>
        <w:rPr>
          <w:w w:val="105"/>
          <w:sz w:val="21"/>
        </w:rPr>
        <w:t>allocated in Victoria </w:t>
      </w:r>
      <w:r>
        <w:rPr>
          <w:spacing w:val="-3"/>
          <w:w w:val="105"/>
          <w:sz w:val="21"/>
        </w:rPr>
        <w:t>to </w:t>
      </w:r>
      <w:r>
        <w:rPr>
          <w:w w:val="105"/>
          <w:sz w:val="21"/>
        </w:rPr>
        <w:t>categories 2 and </w:t>
      </w:r>
      <w:r>
        <w:rPr>
          <w:spacing w:val="-3"/>
          <w:w w:val="105"/>
          <w:sz w:val="21"/>
        </w:rPr>
        <w:t>3. </w:t>
      </w:r>
      <w:r>
        <w:rPr>
          <w:w w:val="105"/>
          <w:sz w:val="21"/>
        </w:rPr>
        <w:t>As </w:t>
      </w:r>
      <w:r>
        <w:rPr>
          <w:spacing w:val="-3"/>
          <w:w w:val="105"/>
          <w:sz w:val="21"/>
        </w:rPr>
        <w:t>noted above, </w:t>
      </w:r>
      <w:r>
        <w:rPr>
          <w:w w:val="105"/>
          <w:sz w:val="21"/>
        </w:rPr>
        <w:t>these categories </w:t>
      </w:r>
      <w:r>
        <w:rPr>
          <w:spacing w:val="-3"/>
          <w:w w:val="105"/>
          <w:sz w:val="21"/>
        </w:rPr>
        <w:t>include</w:t>
      </w:r>
      <w:r>
        <w:rPr>
          <w:spacing w:val="-14"/>
          <w:w w:val="105"/>
          <w:sz w:val="21"/>
        </w:rPr>
        <w:t> </w:t>
      </w:r>
      <w:r>
        <w:rPr>
          <w:w w:val="105"/>
          <w:sz w:val="21"/>
        </w:rPr>
        <w:t>property</w:t>
      </w:r>
      <w:r>
        <w:rPr>
          <w:spacing w:val="-14"/>
          <w:w w:val="105"/>
          <w:sz w:val="21"/>
        </w:rPr>
        <w:t> </w:t>
      </w:r>
      <w:r>
        <w:rPr>
          <w:w w:val="105"/>
          <w:sz w:val="21"/>
        </w:rPr>
        <w:t>specifically</w:t>
      </w:r>
      <w:r>
        <w:rPr>
          <w:spacing w:val="-13"/>
          <w:w w:val="105"/>
          <w:sz w:val="21"/>
        </w:rPr>
        <w:t> </w:t>
      </w:r>
      <w:r>
        <w:rPr>
          <w:spacing w:val="-3"/>
          <w:w w:val="105"/>
          <w:sz w:val="21"/>
        </w:rPr>
        <w:t>appropriated,</w:t>
      </w:r>
      <w:r>
        <w:rPr>
          <w:spacing w:val="-14"/>
          <w:w w:val="105"/>
          <w:sz w:val="21"/>
        </w:rPr>
        <w:t> </w:t>
      </w:r>
      <w:r>
        <w:rPr>
          <w:w w:val="105"/>
          <w:sz w:val="21"/>
        </w:rPr>
        <w:t>devised</w:t>
      </w:r>
      <w:r>
        <w:rPr>
          <w:spacing w:val="-14"/>
          <w:w w:val="105"/>
          <w:sz w:val="21"/>
        </w:rPr>
        <w:t> </w:t>
      </w:r>
      <w:r>
        <w:rPr>
          <w:w w:val="105"/>
          <w:sz w:val="21"/>
        </w:rPr>
        <w:t>or</w:t>
      </w:r>
      <w:r>
        <w:rPr>
          <w:spacing w:val="-13"/>
          <w:w w:val="105"/>
          <w:sz w:val="21"/>
        </w:rPr>
        <w:t> </w:t>
      </w:r>
      <w:r>
        <w:rPr>
          <w:w w:val="105"/>
          <w:sz w:val="21"/>
        </w:rPr>
        <w:t>bequeathed</w:t>
      </w:r>
      <w:r>
        <w:rPr>
          <w:spacing w:val="-14"/>
          <w:w w:val="105"/>
          <w:sz w:val="21"/>
        </w:rPr>
        <w:t> </w:t>
      </w:r>
      <w:r>
        <w:rPr>
          <w:spacing w:val="-3"/>
          <w:w w:val="105"/>
          <w:sz w:val="21"/>
        </w:rPr>
        <w:t>for</w:t>
      </w:r>
      <w:r>
        <w:rPr>
          <w:spacing w:val="-13"/>
          <w:w w:val="105"/>
          <w:sz w:val="21"/>
        </w:rPr>
        <w:t> </w:t>
      </w:r>
      <w:r>
        <w:rPr>
          <w:w w:val="105"/>
          <w:sz w:val="21"/>
        </w:rPr>
        <w:t>payment</w:t>
      </w:r>
      <w:r>
        <w:rPr>
          <w:spacing w:val="-14"/>
          <w:w w:val="105"/>
          <w:sz w:val="21"/>
        </w:rPr>
        <w:t> </w:t>
      </w:r>
      <w:r>
        <w:rPr>
          <w:w w:val="105"/>
          <w:sz w:val="21"/>
        </w:rPr>
        <w:t>of</w:t>
      </w:r>
      <w:r>
        <w:rPr>
          <w:spacing w:val="-14"/>
          <w:w w:val="105"/>
          <w:sz w:val="21"/>
        </w:rPr>
        <w:t> </w:t>
      </w:r>
      <w:r>
        <w:rPr>
          <w:w w:val="105"/>
          <w:sz w:val="21"/>
        </w:rPr>
        <w:t>debts, and property </w:t>
      </w:r>
      <w:r>
        <w:rPr>
          <w:spacing w:val="-3"/>
          <w:w w:val="105"/>
          <w:sz w:val="21"/>
        </w:rPr>
        <w:t>charged </w:t>
      </w:r>
      <w:r>
        <w:rPr>
          <w:w w:val="105"/>
          <w:sz w:val="21"/>
        </w:rPr>
        <w:t>with payment of debts. The </w:t>
      </w:r>
      <w:r>
        <w:rPr>
          <w:spacing w:val="-3"/>
          <w:w w:val="105"/>
          <w:sz w:val="21"/>
        </w:rPr>
        <w:t>National Committee </w:t>
      </w:r>
      <w:r>
        <w:rPr>
          <w:w w:val="105"/>
          <w:sz w:val="21"/>
        </w:rPr>
        <w:t>saw </w:t>
      </w:r>
      <w:r>
        <w:rPr>
          <w:spacing w:val="-4"/>
          <w:w w:val="105"/>
          <w:sz w:val="21"/>
        </w:rPr>
        <w:t>‘no </w:t>
      </w:r>
      <w:r>
        <w:rPr>
          <w:spacing w:val="-2"/>
          <w:w w:val="105"/>
          <w:sz w:val="21"/>
        </w:rPr>
        <w:t>cogent </w:t>
      </w:r>
      <w:r>
        <w:rPr>
          <w:spacing w:val="-3"/>
          <w:w w:val="105"/>
          <w:sz w:val="21"/>
        </w:rPr>
        <w:t>reason’ to </w:t>
      </w:r>
      <w:r>
        <w:rPr>
          <w:w w:val="105"/>
          <w:sz w:val="21"/>
        </w:rPr>
        <w:t>assume </w:t>
      </w:r>
      <w:r>
        <w:rPr>
          <w:spacing w:val="-3"/>
          <w:w w:val="105"/>
          <w:sz w:val="21"/>
        </w:rPr>
        <w:t>that </w:t>
      </w:r>
      <w:r>
        <w:rPr>
          <w:w w:val="105"/>
          <w:sz w:val="21"/>
        </w:rPr>
        <w:t>the </w:t>
      </w:r>
      <w:r>
        <w:rPr>
          <w:spacing w:val="-3"/>
          <w:w w:val="105"/>
          <w:sz w:val="21"/>
        </w:rPr>
        <w:t>will-maker intended </w:t>
      </w:r>
      <w:r>
        <w:rPr>
          <w:w w:val="105"/>
          <w:sz w:val="21"/>
        </w:rPr>
        <w:t>either of these two categories </w:t>
      </w:r>
      <w:r>
        <w:rPr>
          <w:spacing w:val="-3"/>
          <w:w w:val="105"/>
          <w:sz w:val="21"/>
        </w:rPr>
        <w:t>to have </w:t>
      </w:r>
      <w:r>
        <w:rPr>
          <w:w w:val="105"/>
          <w:sz w:val="21"/>
        </w:rPr>
        <w:t>priority over the</w:t>
      </w:r>
      <w:r>
        <w:rPr>
          <w:spacing w:val="14"/>
          <w:w w:val="105"/>
          <w:sz w:val="21"/>
        </w:rPr>
        <w:t> </w:t>
      </w:r>
      <w:r>
        <w:rPr>
          <w:spacing w:val="-5"/>
          <w:w w:val="105"/>
          <w:sz w:val="21"/>
        </w:rPr>
        <w:t>other.</w:t>
      </w:r>
      <w:r>
        <w:rPr>
          <w:spacing w:val="-5"/>
          <w:w w:val="105"/>
          <w:position w:val="7"/>
          <w:sz w:val="12"/>
        </w:rPr>
        <w:t>21</w:t>
      </w:r>
    </w:p>
    <w:p>
      <w:pPr>
        <w:pStyle w:val="ListParagraph"/>
        <w:numPr>
          <w:ilvl w:val="1"/>
          <w:numId w:val="22"/>
        </w:numPr>
        <w:tabs>
          <w:tab w:pos="2381" w:val="left" w:leader="none"/>
          <w:tab w:pos="2382" w:val="left" w:leader="none"/>
        </w:tabs>
        <w:spacing w:line="242" w:lineRule="auto" w:before="127" w:after="0"/>
        <w:ind w:left="2381" w:right="1584" w:hanging="794"/>
        <w:jc w:val="left"/>
        <w:rPr>
          <w:sz w:val="21"/>
        </w:rPr>
      </w:pPr>
      <w:r>
        <w:rPr>
          <w:w w:val="105"/>
          <w:sz w:val="21"/>
        </w:rPr>
        <w:t>Category 2 of the model </w:t>
      </w:r>
      <w:r>
        <w:rPr>
          <w:spacing w:val="-3"/>
          <w:w w:val="105"/>
          <w:sz w:val="21"/>
        </w:rPr>
        <w:t>aligns </w:t>
      </w:r>
      <w:r>
        <w:rPr>
          <w:w w:val="105"/>
          <w:sz w:val="21"/>
        </w:rPr>
        <w:t>with categories 1 and 4 of the Victorian </w:t>
      </w:r>
      <w:r>
        <w:rPr>
          <w:spacing w:val="-4"/>
          <w:w w:val="105"/>
          <w:sz w:val="21"/>
        </w:rPr>
        <w:t>order. </w:t>
      </w:r>
      <w:r>
        <w:rPr>
          <w:w w:val="105"/>
          <w:sz w:val="21"/>
        </w:rPr>
        <w:t>It </w:t>
      </w:r>
      <w:r>
        <w:rPr>
          <w:spacing w:val="-3"/>
          <w:w w:val="105"/>
          <w:sz w:val="21"/>
        </w:rPr>
        <w:t>combines </w:t>
      </w:r>
      <w:r>
        <w:rPr>
          <w:w w:val="105"/>
          <w:sz w:val="21"/>
        </w:rPr>
        <w:t>property which is the subject of a residuary </w:t>
      </w:r>
      <w:r>
        <w:rPr>
          <w:spacing w:val="-3"/>
          <w:w w:val="105"/>
          <w:sz w:val="21"/>
        </w:rPr>
        <w:t>disposition, </w:t>
      </w:r>
      <w:r>
        <w:rPr>
          <w:w w:val="105"/>
          <w:sz w:val="21"/>
        </w:rPr>
        <w:t>and property undisposed of (or </w:t>
      </w:r>
      <w:r>
        <w:rPr>
          <w:spacing w:val="-2"/>
          <w:w w:val="105"/>
          <w:sz w:val="21"/>
        </w:rPr>
        <w:t>not </w:t>
      </w:r>
      <w:r>
        <w:rPr>
          <w:w w:val="105"/>
          <w:sz w:val="21"/>
        </w:rPr>
        <w:t>effectively disposed of) by </w:t>
      </w:r>
      <w:r>
        <w:rPr>
          <w:spacing w:val="-3"/>
          <w:w w:val="105"/>
          <w:sz w:val="21"/>
        </w:rPr>
        <w:t>will. </w:t>
      </w:r>
      <w:r>
        <w:rPr>
          <w:w w:val="105"/>
          <w:sz w:val="21"/>
        </w:rPr>
        <w:t>The </w:t>
      </w:r>
      <w:r>
        <w:rPr>
          <w:spacing w:val="-3"/>
          <w:w w:val="105"/>
          <w:sz w:val="21"/>
        </w:rPr>
        <w:t>amalgamation </w:t>
      </w:r>
      <w:r>
        <w:rPr>
          <w:w w:val="105"/>
          <w:sz w:val="21"/>
        </w:rPr>
        <w:t>is </w:t>
      </w:r>
      <w:r>
        <w:rPr>
          <w:spacing w:val="-3"/>
          <w:w w:val="105"/>
          <w:sz w:val="21"/>
        </w:rPr>
        <w:t>achieved </w:t>
      </w:r>
      <w:r>
        <w:rPr>
          <w:w w:val="105"/>
          <w:sz w:val="21"/>
        </w:rPr>
        <w:t>by </w:t>
      </w:r>
      <w:r>
        <w:rPr>
          <w:spacing w:val="-3"/>
          <w:w w:val="105"/>
          <w:sz w:val="21"/>
        </w:rPr>
        <w:t>broadening </w:t>
      </w:r>
      <w:r>
        <w:rPr>
          <w:w w:val="105"/>
          <w:sz w:val="21"/>
        </w:rPr>
        <w:t>the definition</w:t>
      </w:r>
      <w:r>
        <w:rPr>
          <w:spacing w:val="-9"/>
          <w:w w:val="105"/>
          <w:sz w:val="21"/>
        </w:rPr>
        <w:t> </w:t>
      </w:r>
      <w:r>
        <w:rPr>
          <w:w w:val="105"/>
          <w:sz w:val="21"/>
        </w:rPr>
        <w:t>of</w:t>
      </w:r>
      <w:r>
        <w:rPr>
          <w:spacing w:val="-8"/>
          <w:w w:val="105"/>
          <w:sz w:val="21"/>
        </w:rPr>
        <w:t> </w:t>
      </w:r>
      <w:r>
        <w:rPr>
          <w:spacing w:val="-3"/>
          <w:w w:val="105"/>
          <w:sz w:val="21"/>
        </w:rPr>
        <w:t>‘residuary</w:t>
      </w:r>
      <w:r>
        <w:rPr>
          <w:spacing w:val="-8"/>
          <w:w w:val="105"/>
          <w:sz w:val="21"/>
        </w:rPr>
        <w:t> </w:t>
      </w:r>
      <w:r>
        <w:rPr>
          <w:w w:val="105"/>
          <w:sz w:val="21"/>
        </w:rPr>
        <w:t>estate’</w:t>
      </w:r>
      <w:r>
        <w:rPr>
          <w:spacing w:val="-9"/>
          <w:w w:val="105"/>
          <w:sz w:val="21"/>
        </w:rPr>
        <w:t> </w:t>
      </w:r>
      <w:r>
        <w:rPr>
          <w:spacing w:val="-3"/>
          <w:w w:val="105"/>
          <w:sz w:val="21"/>
        </w:rPr>
        <w:t>that</w:t>
      </w:r>
      <w:r>
        <w:rPr>
          <w:spacing w:val="-8"/>
          <w:w w:val="105"/>
          <w:sz w:val="21"/>
        </w:rPr>
        <w:t> </w:t>
      </w:r>
      <w:r>
        <w:rPr>
          <w:w w:val="105"/>
          <w:sz w:val="21"/>
        </w:rPr>
        <w:t>applies</w:t>
      </w:r>
      <w:r>
        <w:rPr>
          <w:spacing w:val="-8"/>
          <w:w w:val="105"/>
          <w:sz w:val="21"/>
        </w:rPr>
        <w:t> </w:t>
      </w:r>
      <w:r>
        <w:rPr>
          <w:spacing w:val="-3"/>
          <w:w w:val="105"/>
          <w:sz w:val="21"/>
        </w:rPr>
        <w:t>to</w:t>
      </w:r>
      <w:r>
        <w:rPr>
          <w:spacing w:val="-9"/>
          <w:w w:val="105"/>
          <w:sz w:val="21"/>
        </w:rPr>
        <w:t> </w:t>
      </w:r>
      <w:r>
        <w:rPr>
          <w:w w:val="105"/>
          <w:sz w:val="21"/>
        </w:rPr>
        <w:t>the</w:t>
      </w:r>
      <w:r>
        <w:rPr>
          <w:spacing w:val="-8"/>
          <w:w w:val="105"/>
          <w:sz w:val="21"/>
        </w:rPr>
        <w:t> </w:t>
      </w:r>
      <w:r>
        <w:rPr>
          <w:w w:val="105"/>
          <w:sz w:val="21"/>
        </w:rPr>
        <w:t>model</w:t>
      </w:r>
      <w:r>
        <w:rPr>
          <w:spacing w:val="-8"/>
          <w:w w:val="105"/>
          <w:sz w:val="21"/>
        </w:rPr>
        <w:t> </w:t>
      </w:r>
      <w:r>
        <w:rPr>
          <w:spacing w:val="-3"/>
          <w:w w:val="105"/>
          <w:sz w:val="21"/>
        </w:rPr>
        <w:t>to</w:t>
      </w:r>
      <w:r>
        <w:rPr>
          <w:spacing w:val="-9"/>
          <w:w w:val="105"/>
          <w:sz w:val="21"/>
        </w:rPr>
        <w:t> </w:t>
      </w:r>
      <w:r>
        <w:rPr>
          <w:spacing w:val="-3"/>
          <w:w w:val="105"/>
          <w:sz w:val="21"/>
        </w:rPr>
        <w:t>include</w:t>
      </w:r>
      <w:r>
        <w:rPr>
          <w:spacing w:val="-8"/>
          <w:w w:val="105"/>
          <w:sz w:val="21"/>
        </w:rPr>
        <w:t> </w:t>
      </w:r>
      <w:r>
        <w:rPr>
          <w:w w:val="105"/>
          <w:sz w:val="21"/>
        </w:rPr>
        <w:t>both</w:t>
      </w:r>
      <w:r>
        <w:rPr>
          <w:spacing w:val="-8"/>
          <w:w w:val="105"/>
          <w:sz w:val="21"/>
        </w:rPr>
        <w:t> </w:t>
      </w:r>
      <w:r>
        <w:rPr>
          <w:w w:val="105"/>
          <w:sz w:val="21"/>
        </w:rPr>
        <w:t>types</w:t>
      </w:r>
      <w:r>
        <w:rPr>
          <w:spacing w:val="-9"/>
          <w:w w:val="105"/>
          <w:sz w:val="21"/>
        </w:rPr>
        <w:t> </w:t>
      </w:r>
      <w:r>
        <w:rPr>
          <w:w w:val="105"/>
          <w:sz w:val="21"/>
        </w:rPr>
        <w:t>of</w:t>
      </w:r>
      <w:r>
        <w:rPr>
          <w:spacing w:val="-8"/>
          <w:w w:val="105"/>
          <w:sz w:val="21"/>
        </w:rPr>
        <w:t> </w:t>
      </w:r>
      <w:r>
        <w:rPr>
          <w:w w:val="105"/>
          <w:sz w:val="21"/>
        </w:rPr>
        <w:t>property:</w:t>
      </w:r>
    </w:p>
    <w:p>
      <w:pPr>
        <w:pStyle w:val="Heading6"/>
        <w:spacing w:before="115"/>
        <w:ind w:left="2775"/>
        <w:rPr>
          <w:rFonts w:ascii="Calibri" w:hAnsi="Calibri"/>
        </w:rPr>
      </w:pPr>
      <w:r>
        <w:rPr>
          <w:rFonts w:ascii="Calibri" w:hAnsi="Calibri"/>
          <w:w w:val="105"/>
        </w:rPr>
        <w:t>residuary estate, of a deceased person, means—</w:t>
      </w:r>
    </w:p>
    <w:p>
      <w:pPr>
        <w:pStyle w:val="ListParagraph"/>
        <w:numPr>
          <w:ilvl w:val="0"/>
          <w:numId w:val="135"/>
        </w:numPr>
        <w:tabs>
          <w:tab w:pos="3028" w:val="left" w:leader="none"/>
        </w:tabs>
        <w:spacing w:line="240" w:lineRule="auto" w:before="131" w:after="0"/>
        <w:ind w:left="3027" w:right="0" w:hanging="306"/>
        <w:jc w:val="left"/>
        <w:rPr>
          <w:sz w:val="20"/>
        </w:rPr>
      </w:pPr>
      <w:r>
        <w:rPr>
          <w:w w:val="105"/>
          <w:sz w:val="20"/>
        </w:rPr>
        <w:t>if the deceased left a </w:t>
      </w:r>
      <w:r>
        <w:rPr>
          <w:spacing w:val="-3"/>
          <w:w w:val="105"/>
          <w:sz w:val="20"/>
        </w:rPr>
        <w:t>will, </w:t>
      </w:r>
      <w:r>
        <w:rPr>
          <w:w w:val="105"/>
          <w:sz w:val="20"/>
        </w:rPr>
        <w:t>either or both of the</w:t>
      </w:r>
      <w:r>
        <w:rPr>
          <w:spacing w:val="6"/>
          <w:w w:val="105"/>
          <w:sz w:val="20"/>
        </w:rPr>
        <w:t> </w:t>
      </w:r>
      <w:r>
        <w:rPr>
          <w:w w:val="105"/>
          <w:sz w:val="20"/>
        </w:rPr>
        <w:t>following—</w:t>
      </w:r>
    </w:p>
    <w:p>
      <w:pPr>
        <w:pStyle w:val="ListParagraph"/>
        <w:numPr>
          <w:ilvl w:val="1"/>
          <w:numId w:val="135"/>
        </w:numPr>
        <w:tabs>
          <w:tab w:pos="3330" w:val="left" w:leader="none"/>
        </w:tabs>
        <w:spacing w:line="254" w:lineRule="auto" w:before="135" w:after="0"/>
        <w:ind w:left="3329" w:right="2378" w:hanging="268"/>
        <w:jc w:val="left"/>
        <w:rPr>
          <w:sz w:val="20"/>
        </w:rPr>
      </w:pPr>
      <w:r>
        <w:rPr>
          <w:sz w:val="20"/>
        </w:rPr>
        <w:t>property in the deceased’s estate that is not effectively disposed of by the deceased’s</w:t>
      </w:r>
      <w:r>
        <w:rPr>
          <w:spacing w:val="8"/>
          <w:sz w:val="20"/>
        </w:rPr>
        <w:t> </w:t>
      </w:r>
      <w:r>
        <w:rPr>
          <w:sz w:val="20"/>
        </w:rPr>
        <w:t>will;</w:t>
      </w:r>
    </w:p>
    <w:p>
      <w:pPr>
        <w:pStyle w:val="ListParagraph"/>
        <w:numPr>
          <w:ilvl w:val="1"/>
          <w:numId w:val="135"/>
        </w:numPr>
        <w:tabs>
          <w:tab w:pos="3317" w:val="left" w:leader="none"/>
        </w:tabs>
        <w:spacing w:line="254" w:lineRule="auto" w:before="123" w:after="0"/>
        <w:ind w:left="3316" w:right="1904" w:hanging="255"/>
        <w:jc w:val="left"/>
        <w:rPr>
          <w:sz w:val="20"/>
        </w:rPr>
      </w:pPr>
      <w:r>
        <w:rPr>
          <w:sz w:val="20"/>
        </w:rPr>
        <w:t>property in the deceased’s estate that is not specifically given by the deceased’s will but is included in a residuary disposition, by either a specific or general description;</w:t>
      </w:r>
      <w:r>
        <w:rPr>
          <w:spacing w:val="8"/>
          <w:sz w:val="20"/>
        </w:rPr>
        <w:t> </w:t>
      </w:r>
      <w:r>
        <w:rPr>
          <w:sz w:val="20"/>
        </w:rPr>
        <w:t>or</w:t>
      </w:r>
    </w:p>
    <w:p>
      <w:pPr>
        <w:pStyle w:val="ListParagraph"/>
        <w:numPr>
          <w:ilvl w:val="0"/>
          <w:numId w:val="135"/>
        </w:numPr>
        <w:tabs>
          <w:tab w:pos="3028" w:val="left" w:leader="none"/>
        </w:tabs>
        <w:spacing w:line="240" w:lineRule="auto" w:before="124" w:after="0"/>
        <w:ind w:left="3027" w:right="0" w:hanging="306"/>
        <w:jc w:val="left"/>
        <w:rPr>
          <w:sz w:val="11"/>
        </w:rPr>
      </w:pPr>
      <w:r>
        <w:rPr>
          <w:w w:val="105"/>
          <w:sz w:val="20"/>
        </w:rPr>
        <w:t>if the deceased did not leave a </w:t>
      </w:r>
      <w:r>
        <w:rPr>
          <w:spacing w:val="-3"/>
          <w:w w:val="105"/>
          <w:sz w:val="20"/>
        </w:rPr>
        <w:t>will, </w:t>
      </w:r>
      <w:r>
        <w:rPr>
          <w:w w:val="105"/>
          <w:sz w:val="20"/>
        </w:rPr>
        <w:t>the whole of the deceased’s</w:t>
      </w:r>
      <w:r>
        <w:rPr>
          <w:spacing w:val="46"/>
          <w:w w:val="105"/>
          <w:sz w:val="20"/>
        </w:rPr>
        <w:t> </w:t>
      </w:r>
      <w:r>
        <w:rPr>
          <w:w w:val="105"/>
          <w:sz w:val="20"/>
        </w:rPr>
        <w:t>estate.</w:t>
      </w:r>
      <w:r>
        <w:rPr>
          <w:w w:val="105"/>
          <w:position w:val="7"/>
          <w:sz w:val="11"/>
        </w:rPr>
        <w:t>22</w:t>
      </w:r>
    </w:p>
    <w:p>
      <w:pPr>
        <w:pStyle w:val="ListParagraph"/>
        <w:numPr>
          <w:ilvl w:val="1"/>
          <w:numId w:val="22"/>
        </w:numPr>
        <w:tabs>
          <w:tab w:pos="2381" w:val="left" w:leader="none"/>
        </w:tabs>
        <w:spacing w:line="242" w:lineRule="auto" w:before="126" w:after="0"/>
        <w:ind w:left="2381" w:right="2046" w:hanging="794"/>
        <w:jc w:val="both"/>
        <w:rPr>
          <w:sz w:val="21"/>
        </w:rPr>
      </w:pPr>
      <w:r>
        <w:rPr>
          <w:sz w:val="21"/>
        </w:rPr>
        <w:t>Category 3 of the model </w:t>
      </w:r>
      <w:r>
        <w:rPr>
          <w:spacing w:val="-3"/>
          <w:sz w:val="21"/>
        </w:rPr>
        <w:t>retains  </w:t>
      </w:r>
      <w:r>
        <w:rPr>
          <w:sz w:val="21"/>
        </w:rPr>
        <w:t>the protected position of property specifically </w:t>
      </w:r>
      <w:r>
        <w:rPr>
          <w:spacing w:val="-3"/>
          <w:sz w:val="21"/>
        </w:rPr>
        <w:t>given.  </w:t>
      </w:r>
      <w:r>
        <w:rPr>
          <w:sz w:val="21"/>
        </w:rPr>
        <w:t>As </w:t>
      </w:r>
      <w:r>
        <w:rPr>
          <w:spacing w:val="-3"/>
          <w:sz w:val="21"/>
        </w:rPr>
        <w:t>currently </w:t>
      </w:r>
      <w:r>
        <w:rPr>
          <w:sz w:val="21"/>
        </w:rPr>
        <w:t>applies in Victoria, gifts made under the </w:t>
      </w:r>
      <w:r>
        <w:rPr>
          <w:spacing w:val="-3"/>
          <w:sz w:val="21"/>
        </w:rPr>
        <w:t>will remain </w:t>
      </w:r>
      <w:r>
        <w:rPr>
          <w:sz w:val="21"/>
        </w:rPr>
        <w:t>the last </w:t>
      </w:r>
      <w:r>
        <w:rPr>
          <w:spacing w:val="-3"/>
          <w:sz w:val="21"/>
        </w:rPr>
        <w:t>to </w:t>
      </w:r>
      <w:r>
        <w:rPr>
          <w:sz w:val="21"/>
        </w:rPr>
        <w:t>be drawn upon </w:t>
      </w:r>
      <w:r>
        <w:rPr>
          <w:spacing w:val="-3"/>
          <w:sz w:val="21"/>
        </w:rPr>
        <w:t>for </w:t>
      </w:r>
      <w:r>
        <w:rPr>
          <w:sz w:val="21"/>
        </w:rPr>
        <w:t>the payment of</w:t>
      </w:r>
      <w:r>
        <w:rPr>
          <w:spacing w:val="46"/>
          <w:sz w:val="21"/>
        </w:rPr>
        <w:t> </w:t>
      </w:r>
      <w:r>
        <w:rPr>
          <w:sz w:val="21"/>
        </w:rPr>
        <w:t>debts.</w:t>
      </w:r>
    </w:p>
    <w:p>
      <w:pPr>
        <w:pStyle w:val="ListParagraph"/>
        <w:numPr>
          <w:ilvl w:val="1"/>
          <w:numId w:val="22"/>
        </w:numPr>
        <w:tabs>
          <w:tab w:pos="2380" w:val="left" w:leader="none"/>
          <w:tab w:pos="2381" w:val="left" w:leader="none"/>
        </w:tabs>
        <w:spacing w:line="242" w:lineRule="auto" w:before="123" w:after="0"/>
        <w:ind w:left="2380" w:right="1677" w:hanging="793"/>
        <w:jc w:val="left"/>
        <w:rPr>
          <w:sz w:val="12"/>
        </w:rPr>
      </w:pPr>
      <w:r>
        <w:rPr>
          <w:w w:val="105"/>
          <w:sz w:val="21"/>
        </w:rPr>
        <w:t>There </w:t>
      </w:r>
      <w:r>
        <w:rPr>
          <w:spacing w:val="-3"/>
          <w:w w:val="105"/>
          <w:sz w:val="21"/>
        </w:rPr>
        <w:t>are </w:t>
      </w:r>
      <w:r>
        <w:rPr>
          <w:w w:val="105"/>
          <w:sz w:val="21"/>
        </w:rPr>
        <w:t>a number of advantages in </w:t>
      </w:r>
      <w:r>
        <w:rPr>
          <w:spacing w:val="-3"/>
          <w:w w:val="105"/>
          <w:sz w:val="21"/>
        </w:rPr>
        <w:t>reordering </w:t>
      </w:r>
      <w:r>
        <w:rPr>
          <w:w w:val="105"/>
          <w:sz w:val="21"/>
        </w:rPr>
        <w:t>the categories of asset in the </w:t>
      </w:r>
      <w:r>
        <w:rPr>
          <w:spacing w:val="-3"/>
          <w:w w:val="105"/>
          <w:sz w:val="21"/>
        </w:rPr>
        <w:t>manner </w:t>
      </w:r>
      <w:r>
        <w:rPr>
          <w:w w:val="105"/>
          <w:sz w:val="21"/>
        </w:rPr>
        <w:t>recommended by the </w:t>
      </w:r>
      <w:r>
        <w:rPr>
          <w:spacing w:val="-3"/>
          <w:w w:val="105"/>
          <w:sz w:val="21"/>
        </w:rPr>
        <w:t>National Committee. Placing </w:t>
      </w:r>
      <w:r>
        <w:rPr>
          <w:w w:val="105"/>
          <w:sz w:val="21"/>
        </w:rPr>
        <w:t>the primary burden </w:t>
      </w:r>
      <w:r>
        <w:rPr>
          <w:spacing w:val="-3"/>
          <w:w w:val="105"/>
          <w:sz w:val="21"/>
        </w:rPr>
        <w:t>for </w:t>
      </w:r>
      <w:r>
        <w:rPr>
          <w:w w:val="105"/>
          <w:sz w:val="21"/>
        </w:rPr>
        <w:t>payment of debts upon assets </w:t>
      </w:r>
      <w:r>
        <w:rPr>
          <w:spacing w:val="-3"/>
          <w:w w:val="105"/>
          <w:sz w:val="21"/>
        </w:rPr>
        <w:t>that have </w:t>
      </w:r>
      <w:r>
        <w:rPr>
          <w:w w:val="105"/>
          <w:sz w:val="21"/>
        </w:rPr>
        <w:t>been set aside </w:t>
      </w:r>
      <w:r>
        <w:rPr>
          <w:spacing w:val="-3"/>
          <w:w w:val="105"/>
          <w:sz w:val="21"/>
        </w:rPr>
        <w:t>for </w:t>
      </w:r>
      <w:r>
        <w:rPr>
          <w:w w:val="105"/>
          <w:sz w:val="21"/>
        </w:rPr>
        <w:t>this purpose better recognises the will- </w:t>
      </w:r>
      <w:r>
        <w:rPr>
          <w:spacing w:val="-4"/>
          <w:w w:val="105"/>
          <w:sz w:val="21"/>
        </w:rPr>
        <w:t>maker’s </w:t>
      </w:r>
      <w:r>
        <w:rPr>
          <w:spacing w:val="-3"/>
          <w:w w:val="105"/>
          <w:sz w:val="21"/>
        </w:rPr>
        <w:t>overriding intention to </w:t>
      </w:r>
      <w:r>
        <w:rPr>
          <w:spacing w:val="-2"/>
          <w:w w:val="105"/>
          <w:sz w:val="21"/>
        </w:rPr>
        <w:t>pay </w:t>
      </w:r>
      <w:r>
        <w:rPr>
          <w:w w:val="105"/>
          <w:sz w:val="21"/>
        </w:rPr>
        <w:t>debts </w:t>
      </w:r>
      <w:r>
        <w:rPr>
          <w:spacing w:val="-3"/>
          <w:w w:val="105"/>
          <w:sz w:val="21"/>
        </w:rPr>
        <w:t>from </w:t>
      </w:r>
      <w:r>
        <w:rPr>
          <w:w w:val="105"/>
          <w:sz w:val="21"/>
        </w:rPr>
        <w:t>those assets. The </w:t>
      </w:r>
      <w:r>
        <w:rPr>
          <w:spacing w:val="-3"/>
          <w:w w:val="105"/>
          <w:sz w:val="21"/>
        </w:rPr>
        <w:t>National Committee </w:t>
      </w:r>
      <w:r>
        <w:rPr>
          <w:w w:val="105"/>
          <w:sz w:val="21"/>
        </w:rPr>
        <w:t>supported its </w:t>
      </w:r>
      <w:r>
        <w:rPr>
          <w:spacing w:val="-3"/>
          <w:w w:val="105"/>
          <w:sz w:val="21"/>
        </w:rPr>
        <w:t>recommendation for change </w:t>
      </w:r>
      <w:r>
        <w:rPr>
          <w:w w:val="105"/>
          <w:sz w:val="21"/>
        </w:rPr>
        <w:t>by </w:t>
      </w:r>
      <w:r>
        <w:rPr>
          <w:spacing w:val="-3"/>
          <w:w w:val="105"/>
          <w:sz w:val="21"/>
        </w:rPr>
        <w:t>citing </w:t>
      </w:r>
      <w:r>
        <w:rPr>
          <w:w w:val="105"/>
          <w:sz w:val="21"/>
        </w:rPr>
        <w:t>a body of case law where it was held </w:t>
      </w:r>
      <w:r>
        <w:rPr>
          <w:spacing w:val="-3"/>
          <w:w w:val="105"/>
          <w:sz w:val="21"/>
        </w:rPr>
        <w:t>that</w:t>
      </w:r>
      <w:r>
        <w:rPr>
          <w:spacing w:val="-10"/>
          <w:w w:val="105"/>
          <w:sz w:val="21"/>
        </w:rPr>
        <w:t> </w:t>
      </w:r>
      <w:r>
        <w:rPr>
          <w:spacing w:val="-3"/>
          <w:w w:val="105"/>
          <w:sz w:val="21"/>
        </w:rPr>
        <w:t>funds</w:t>
      </w:r>
      <w:r>
        <w:rPr>
          <w:spacing w:val="-9"/>
          <w:w w:val="105"/>
          <w:sz w:val="21"/>
        </w:rPr>
        <w:t> </w:t>
      </w:r>
      <w:r>
        <w:rPr>
          <w:w w:val="105"/>
          <w:sz w:val="21"/>
        </w:rPr>
        <w:t>specifically</w:t>
      </w:r>
      <w:r>
        <w:rPr>
          <w:spacing w:val="-9"/>
          <w:w w:val="105"/>
          <w:sz w:val="21"/>
        </w:rPr>
        <w:t> </w:t>
      </w:r>
      <w:r>
        <w:rPr>
          <w:w w:val="105"/>
          <w:sz w:val="21"/>
        </w:rPr>
        <w:t>set</w:t>
      </w:r>
      <w:r>
        <w:rPr>
          <w:spacing w:val="-9"/>
          <w:w w:val="105"/>
          <w:sz w:val="21"/>
        </w:rPr>
        <w:t> </w:t>
      </w:r>
      <w:r>
        <w:rPr>
          <w:w w:val="105"/>
          <w:sz w:val="21"/>
        </w:rPr>
        <w:t>aside</w:t>
      </w:r>
      <w:r>
        <w:rPr>
          <w:spacing w:val="-9"/>
          <w:w w:val="105"/>
          <w:sz w:val="21"/>
        </w:rPr>
        <w:t> </w:t>
      </w:r>
      <w:r>
        <w:rPr>
          <w:w w:val="105"/>
          <w:sz w:val="21"/>
        </w:rPr>
        <w:t>by</w:t>
      </w:r>
      <w:r>
        <w:rPr>
          <w:spacing w:val="-9"/>
          <w:w w:val="105"/>
          <w:sz w:val="21"/>
        </w:rPr>
        <w:t> </w:t>
      </w:r>
      <w:r>
        <w:rPr>
          <w:w w:val="105"/>
          <w:sz w:val="21"/>
        </w:rPr>
        <w:t>the</w:t>
      </w:r>
      <w:r>
        <w:rPr>
          <w:spacing w:val="-9"/>
          <w:w w:val="105"/>
          <w:sz w:val="21"/>
        </w:rPr>
        <w:t> </w:t>
      </w:r>
      <w:r>
        <w:rPr>
          <w:spacing w:val="-3"/>
          <w:w w:val="105"/>
          <w:sz w:val="21"/>
        </w:rPr>
        <w:t>will-maker’s</w:t>
      </w:r>
      <w:r>
        <w:rPr>
          <w:spacing w:val="-9"/>
          <w:w w:val="105"/>
          <w:sz w:val="21"/>
        </w:rPr>
        <w:t> </w:t>
      </w:r>
      <w:r>
        <w:rPr>
          <w:w w:val="105"/>
          <w:sz w:val="21"/>
        </w:rPr>
        <w:t>directions</w:t>
      </w:r>
      <w:r>
        <w:rPr>
          <w:spacing w:val="-9"/>
          <w:w w:val="105"/>
          <w:sz w:val="21"/>
        </w:rPr>
        <w:t> </w:t>
      </w:r>
      <w:r>
        <w:rPr>
          <w:w w:val="105"/>
          <w:sz w:val="21"/>
        </w:rPr>
        <w:t>should</w:t>
      </w:r>
      <w:r>
        <w:rPr>
          <w:spacing w:val="-9"/>
          <w:w w:val="105"/>
          <w:sz w:val="21"/>
        </w:rPr>
        <w:t> </w:t>
      </w:r>
      <w:r>
        <w:rPr>
          <w:w w:val="105"/>
          <w:sz w:val="21"/>
        </w:rPr>
        <w:t>be</w:t>
      </w:r>
      <w:r>
        <w:rPr>
          <w:spacing w:val="-9"/>
          <w:w w:val="105"/>
          <w:sz w:val="21"/>
        </w:rPr>
        <w:t> </w:t>
      </w:r>
      <w:r>
        <w:rPr>
          <w:w w:val="105"/>
          <w:sz w:val="21"/>
        </w:rPr>
        <w:t>the</w:t>
      </w:r>
      <w:r>
        <w:rPr>
          <w:spacing w:val="-9"/>
          <w:w w:val="105"/>
          <w:sz w:val="21"/>
        </w:rPr>
        <w:t> </w:t>
      </w:r>
      <w:r>
        <w:rPr>
          <w:w w:val="105"/>
          <w:sz w:val="21"/>
        </w:rPr>
        <w:t>primary</w:t>
      </w:r>
      <w:r>
        <w:rPr>
          <w:spacing w:val="-9"/>
          <w:w w:val="105"/>
          <w:sz w:val="21"/>
        </w:rPr>
        <w:t> </w:t>
      </w:r>
      <w:r>
        <w:rPr>
          <w:spacing w:val="-3"/>
          <w:w w:val="105"/>
          <w:sz w:val="21"/>
        </w:rPr>
        <w:t>fund for </w:t>
      </w:r>
      <w:r>
        <w:rPr>
          <w:w w:val="105"/>
          <w:sz w:val="21"/>
        </w:rPr>
        <w:t>debt</w:t>
      </w:r>
      <w:r>
        <w:rPr>
          <w:spacing w:val="13"/>
          <w:w w:val="105"/>
          <w:sz w:val="21"/>
        </w:rPr>
        <w:t> </w:t>
      </w:r>
      <w:r>
        <w:rPr>
          <w:w w:val="105"/>
          <w:sz w:val="21"/>
        </w:rPr>
        <w:t>payment.</w:t>
      </w:r>
      <w:r>
        <w:rPr>
          <w:w w:val="105"/>
          <w:position w:val="7"/>
          <w:sz w:val="12"/>
        </w:rPr>
        <w:t>23</w:t>
      </w:r>
    </w:p>
    <w:p>
      <w:pPr>
        <w:pStyle w:val="ListParagraph"/>
        <w:numPr>
          <w:ilvl w:val="1"/>
          <w:numId w:val="22"/>
        </w:numPr>
        <w:tabs>
          <w:tab w:pos="2380" w:val="left" w:leader="none"/>
          <w:tab w:pos="2381" w:val="left" w:leader="none"/>
        </w:tabs>
        <w:spacing w:line="242" w:lineRule="auto" w:before="128" w:after="0"/>
        <w:ind w:left="2381" w:right="1661" w:hanging="794"/>
        <w:jc w:val="left"/>
        <w:rPr>
          <w:sz w:val="12"/>
        </w:rPr>
      </w:pPr>
      <w:r>
        <w:rPr>
          <w:spacing w:val="-3"/>
          <w:w w:val="105"/>
          <w:sz w:val="21"/>
        </w:rPr>
        <w:t>Adopting</w:t>
      </w:r>
      <w:r>
        <w:rPr>
          <w:spacing w:val="-6"/>
          <w:w w:val="105"/>
          <w:sz w:val="21"/>
        </w:rPr>
        <w:t> </w:t>
      </w:r>
      <w:r>
        <w:rPr>
          <w:w w:val="105"/>
          <w:sz w:val="21"/>
        </w:rPr>
        <w:t>this</w:t>
      </w:r>
      <w:r>
        <w:rPr>
          <w:spacing w:val="-6"/>
          <w:w w:val="105"/>
          <w:sz w:val="21"/>
        </w:rPr>
        <w:t> </w:t>
      </w:r>
      <w:r>
        <w:rPr>
          <w:spacing w:val="-3"/>
          <w:w w:val="105"/>
          <w:sz w:val="21"/>
        </w:rPr>
        <w:t>change</w:t>
      </w:r>
      <w:r>
        <w:rPr>
          <w:spacing w:val="-6"/>
          <w:w w:val="105"/>
          <w:sz w:val="21"/>
        </w:rPr>
        <w:t> </w:t>
      </w:r>
      <w:r>
        <w:rPr>
          <w:w w:val="105"/>
          <w:sz w:val="21"/>
        </w:rPr>
        <w:t>would</w:t>
      </w:r>
      <w:r>
        <w:rPr>
          <w:spacing w:val="-6"/>
          <w:w w:val="105"/>
          <w:sz w:val="21"/>
        </w:rPr>
        <w:t> </w:t>
      </w:r>
      <w:r>
        <w:rPr>
          <w:w w:val="105"/>
          <w:sz w:val="21"/>
        </w:rPr>
        <w:t>also</w:t>
      </w:r>
      <w:r>
        <w:rPr>
          <w:spacing w:val="-6"/>
          <w:w w:val="105"/>
          <w:sz w:val="21"/>
        </w:rPr>
        <w:t> </w:t>
      </w:r>
      <w:r>
        <w:rPr>
          <w:w w:val="105"/>
          <w:sz w:val="21"/>
        </w:rPr>
        <w:t>resolve</w:t>
      </w:r>
      <w:r>
        <w:rPr>
          <w:spacing w:val="-6"/>
          <w:w w:val="105"/>
          <w:sz w:val="21"/>
        </w:rPr>
        <w:t> </w:t>
      </w:r>
      <w:r>
        <w:rPr>
          <w:w w:val="105"/>
          <w:sz w:val="21"/>
        </w:rPr>
        <w:t>the</w:t>
      </w:r>
      <w:r>
        <w:rPr>
          <w:spacing w:val="-6"/>
          <w:w w:val="105"/>
          <w:sz w:val="21"/>
        </w:rPr>
        <w:t> </w:t>
      </w:r>
      <w:r>
        <w:rPr>
          <w:w w:val="105"/>
          <w:sz w:val="21"/>
        </w:rPr>
        <w:t>difficulty</w:t>
      </w:r>
      <w:r>
        <w:rPr>
          <w:spacing w:val="-6"/>
          <w:w w:val="105"/>
          <w:sz w:val="21"/>
        </w:rPr>
        <w:t> </w:t>
      </w:r>
      <w:r>
        <w:rPr>
          <w:w w:val="105"/>
          <w:sz w:val="21"/>
        </w:rPr>
        <w:t>in</w:t>
      </w:r>
      <w:r>
        <w:rPr>
          <w:spacing w:val="-6"/>
          <w:w w:val="105"/>
          <w:sz w:val="21"/>
        </w:rPr>
        <w:t> </w:t>
      </w:r>
      <w:r>
        <w:rPr>
          <w:spacing w:val="-3"/>
          <w:w w:val="105"/>
          <w:sz w:val="21"/>
        </w:rPr>
        <w:t>determining</w:t>
      </w:r>
      <w:r>
        <w:rPr>
          <w:spacing w:val="-6"/>
          <w:w w:val="105"/>
          <w:sz w:val="21"/>
        </w:rPr>
        <w:t> </w:t>
      </w:r>
      <w:r>
        <w:rPr>
          <w:w w:val="105"/>
          <w:sz w:val="21"/>
        </w:rPr>
        <w:t>whether</w:t>
      </w:r>
      <w:r>
        <w:rPr>
          <w:spacing w:val="-6"/>
          <w:w w:val="105"/>
          <w:sz w:val="21"/>
        </w:rPr>
        <w:t> </w:t>
      </w:r>
      <w:r>
        <w:rPr>
          <w:w w:val="105"/>
          <w:sz w:val="21"/>
        </w:rPr>
        <w:t>the</w:t>
      </w:r>
      <w:r>
        <w:rPr>
          <w:spacing w:val="-6"/>
          <w:w w:val="105"/>
          <w:sz w:val="21"/>
        </w:rPr>
        <w:t> </w:t>
      </w:r>
      <w:r>
        <w:rPr>
          <w:w w:val="105"/>
          <w:sz w:val="21"/>
        </w:rPr>
        <w:t>setting aside of assets </w:t>
      </w:r>
      <w:r>
        <w:rPr>
          <w:spacing w:val="-3"/>
          <w:w w:val="105"/>
          <w:sz w:val="21"/>
        </w:rPr>
        <w:t>for </w:t>
      </w:r>
      <w:r>
        <w:rPr>
          <w:w w:val="105"/>
          <w:sz w:val="21"/>
        </w:rPr>
        <w:t>the payment of debts should be </w:t>
      </w:r>
      <w:r>
        <w:rPr>
          <w:spacing w:val="-3"/>
          <w:w w:val="105"/>
          <w:sz w:val="21"/>
        </w:rPr>
        <w:t>taken </w:t>
      </w:r>
      <w:r>
        <w:rPr>
          <w:w w:val="105"/>
          <w:sz w:val="21"/>
        </w:rPr>
        <w:t>as </w:t>
      </w:r>
      <w:r>
        <w:rPr>
          <w:spacing w:val="-3"/>
          <w:w w:val="105"/>
          <w:sz w:val="21"/>
        </w:rPr>
        <w:t>manifesting </w:t>
      </w:r>
      <w:r>
        <w:rPr>
          <w:w w:val="105"/>
          <w:sz w:val="21"/>
        </w:rPr>
        <w:t>an </w:t>
      </w:r>
      <w:r>
        <w:rPr>
          <w:spacing w:val="-3"/>
          <w:w w:val="105"/>
          <w:sz w:val="21"/>
        </w:rPr>
        <w:t>intention to </w:t>
      </w:r>
      <w:r>
        <w:rPr>
          <w:w w:val="105"/>
          <w:sz w:val="21"/>
        </w:rPr>
        <w:t>oust</w:t>
      </w:r>
      <w:r>
        <w:rPr>
          <w:spacing w:val="-9"/>
          <w:w w:val="105"/>
          <w:sz w:val="21"/>
        </w:rPr>
        <w:t> </w:t>
      </w:r>
      <w:r>
        <w:rPr>
          <w:w w:val="105"/>
          <w:sz w:val="21"/>
        </w:rPr>
        <w:t>the</w:t>
      </w:r>
      <w:r>
        <w:rPr>
          <w:spacing w:val="-8"/>
          <w:w w:val="105"/>
          <w:sz w:val="21"/>
        </w:rPr>
        <w:t> </w:t>
      </w:r>
      <w:r>
        <w:rPr>
          <w:w w:val="105"/>
          <w:sz w:val="21"/>
        </w:rPr>
        <w:t>statutory</w:t>
      </w:r>
      <w:r>
        <w:rPr>
          <w:spacing w:val="-8"/>
          <w:w w:val="105"/>
          <w:sz w:val="21"/>
        </w:rPr>
        <w:t> </w:t>
      </w:r>
      <w:r>
        <w:rPr>
          <w:spacing w:val="-4"/>
          <w:w w:val="105"/>
          <w:sz w:val="21"/>
        </w:rPr>
        <w:t>order,</w:t>
      </w:r>
      <w:r>
        <w:rPr>
          <w:spacing w:val="-8"/>
          <w:w w:val="105"/>
          <w:sz w:val="21"/>
        </w:rPr>
        <w:t> </w:t>
      </w:r>
      <w:r>
        <w:rPr>
          <w:w w:val="105"/>
          <w:sz w:val="21"/>
        </w:rPr>
        <w:t>or</w:t>
      </w:r>
      <w:r>
        <w:rPr>
          <w:spacing w:val="-8"/>
          <w:w w:val="105"/>
          <w:sz w:val="21"/>
        </w:rPr>
        <w:t> </w:t>
      </w:r>
      <w:r>
        <w:rPr>
          <w:w w:val="105"/>
          <w:sz w:val="21"/>
        </w:rPr>
        <w:t>as</w:t>
      </w:r>
      <w:r>
        <w:rPr>
          <w:spacing w:val="-8"/>
          <w:w w:val="105"/>
          <w:sz w:val="21"/>
        </w:rPr>
        <w:t> </w:t>
      </w:r>
      <w:r>
        <w:rPr>
          <w:w w:val="105"/>
          <w:sz w:val="21"/>
        </w:rPr>
        <w:t>property</w:t>
      </w:r>
      <w:r>
        <w:rPr>
          <w:spacing w:val="-8"/>
          <w:w w:val="105"/>
          <w:sz w:val="21"/>
        </w:rPr>
        <w:t> </w:t>
      </w:r>
      <w:r>
        <w:rPr>
          <w:w w:val="105"/>
          <w:sz w:val="21"/>
        </w:rPr>
        <w:t>which</w:t>
      </w:r>
      <w:r>
        <w:rPr>
          <w:spacing w:val="-8"/>
          <w:w w:val="105"/>
          <w:sz w:val="21"/>
        </w:rPr>
        <w:t> </w:t>
      </w:r>
      <w:r>
        <w:rPr>
          <w:spacing w:val="-4"/>
          <w:w w:val="105"/>
          <w:sz w:val="21"/>
        </w:rPr>
        <w:t>falls</w:t>
      </w:r>
      <w:r>
        <w:rPr>
          <w:spacing w:val="-8"/>
          <w:w w:val="105"/>
          <w:sz w:val="21"/>
        </w:rPr>
        <w:t> </w:t>
      </w:r>
      <w:r>
        <w:rPr>
          <w:spacing w:val="-3"/>
          <w:w w:val="105"/>
          <w:sz w:val="21"/>
        </w:rPr>
        <w:t>within</w:t>
      </w:r>
      <w:r>
        <w:rPr>
          <w:spacing w:val="-8"/>
          <w:w w:val="105"/>
          <w:sz w:val="21"/>
        </w:rPr>
        <w:t> </w:t>
      </w:r>
      <w:r>
        <w:rPr>
          <w:w w:val="105"/>
          <w:sz w:val="21"/>
        </w:rPr>
        <w:t>the</w:t>
      </w:r>
      <w:r>
        <w:rPr>
          <w:spacing w:val="-9"/>
          <w:w w:val="105"/>
          <w:sz w:val="21"/>
        </w:rPr>
        <w:t> </w:t>
      </w:r>
      <w:r>
        <w:rPr>
          <w:w w:val="105"/>
          <w:sz w:val="21"/>
        </w:rPr>
        <w:t>Victorian</w:t>
      </w:r>
      <w:r>
        <w:rPr>
          <w:spacing w:val="-8"/>
          <w:w w:val="105"/>
          <w:sz w:val="21"/>
        </w:rPr>
        <w:t> </w:t>
      </w:r>
      <w:r>
        <w:rPr>
          <w:w w:val="105"/>
          <w:sz w:val="21"/>
        </w:rPr>
        <w:t>order</w:t>
      </w:r>
      <w:r>
        <w:rPr>
          <w:spacing w:val="-8"/>
          <w:w w:val="105"/>
          <w:sz w:val="21"/>
        </w:rPr>
        <w:t> </w:t>
      </w:r>
      <w:r>
        <w:rPr>
          <w:w w:val="105"/>
          <w:sz w:val="21"/>
        </w:rPr>
        <w:t>at</w:t>
      </w:r>
      <w:r>
        <w:rPr>
          <w:spacing w:val="-8"/>
          <w:w w:val="105"/>
          <w:sz w:val="21"/>
        </w:rPr>
        <w:t> </w:t>
      </w:r>
      <w:r>
        <w:rPr>
          <w:w w:val="105"/>
          <w:sz w:val="21"/>
        </w:rPr>
        <w:t>category 2 or</w:t>
      </w:r>
      <w:r>
        <w:rPr>
          <w:spacing w:val="11"/>
          <w:w w:val="105"/>
          <w:sz w:val="21"/>
        </w:rPr>
        <w:t> </w:t>
      </w:r>
      <w:r>
        <w:rPr>
          <w:spacing w:val="-3"/>
          <w:w w:val="105"/>
          <w:sz w:val="21"/>
        </w:rPr>
        <w:t>3.</w:t>
      </w:r>
      <w:r>
        <w:rPr>
          <w:spacing w:val="-3"/>
          <w:w w:val="105"/>
          <w:position w:val="7"/>
          <w:sz w:val="12"/>
        </w:rPr>
        <w:t>24</w:t>
      </w:r>
    </w:p>
    <w:p>
      <w:pPr>
        <w:pStyle w:val="ListParagraph"/>
        <w:numPr>
          <w:ilvl w:val="1"/>
          <w:numId w:val="22"/>
        </w:numPr>
        <w:tabs>
          <w:tab w:pos="2381" w:val="left" w:leader="none"/>
          <w:tab w:pos="2382" w:val="left" w:leader="none"/>
        </w:tabs>
        <w:spacing w:line="242" w:lineRule="auto" w:before="124" w:after="0"/>
        <w:ind w:left="2381" w:right="1670" w:hanging="794"/>
        <w:jc w:val="left"/>
        <w:rPr>
          <w:sz w:val="21"/>
        </w:rPr>
      </w:pPr>
      <w:r>
        <w:rPr>
          <w:w w:val="105"/>
          <w:sz w:val="21"/>
        </w:rPr>
        <w:t>In </w:t>
      </w:r>
      <w:r>
        <w:rPr>
          <w:i/>
          <w:w w:val="105"/>
          <w:sz w:val="21"/>
        </w:rPr>
        <w:t>Re </w:t>
      </w:r>
      <w:r>
        <w:rPr>
          <w:i/>
          <w:spacing w:val="-3"/>
          <w:w w:val="105"/>
          <w:sz w:val="21"/>
        </w:rPr>
        <w:t>Williams</w:t>
      </w:r>
      <w:r>
        <w:rPr>
          <w:spacing w:val="-3"/>
          <w:w w:val="105"/>
          <w:sz w:val="21"/>
        </w:rPr>
        <w:t>,</w:t>
      </w:r>
      <w:r>
        <w:rPr>
          <w:spacing w:val="-3"/>
          <w:w w:val="105"/>
          <w:position w:val="7"/>
          <w:sz w:val="12"/>
        </w:rPr>
        <w:t>25 </w:t>
      </w:r>
      <w:r>
        <w:rPr>
          <w:w w:val="105"/>
          <w:sz w:val="21"/>
        </w:rPr>
        <w:t>the </w:t>
      </w:r>
      <w:r>
        <w:rPr>
          <w:spacing w:val="-3"/>
          <w:w w:val="105"/>
          <w:sz w:val="21"/>
        </w:rPr>
        <w:t>Supreme Court </w:t>
      </w:r>
      <w:r>
        <w:rPr>
          <w:w w:val="105"/>
          <w:sz w:val="21"/>
        </w:rPr>
        <w:t>of Victoria explained </w:t>
      </w:r>
      <w:r>
        <w:rPr>
          <w:spacing w:val="-3"/>
          <w:w w:val="105"/>
          <w:sz w:val="21"/>
        </w:rPr>
        <w:t>that, </w:t>
      </w:r>
      <w:r>
        <w:rPr>
          <w:w w:val="105"/>
          <w:sz w:val="21"/>
        </w:rPr>
        <w:t>as the schedule is subject </w:t>
      </w:r>
      <w:r>
        <w:rPr>
          <w:spacing w:val="-3"/>
          <w:w w:val="105"/>
          <w:sz w:val="21"/>
        </w:rPr>
        <w:t>to </w:t>
      </w:r>
      <w:r>
        <w:rPr>
          <w:w w:val="105"/>
          <w:sz w:val="21"/>
        </w:rPr>
        <w:t>the </w:t>
      </w:r>
      <w:r>
        <w:rPr>
          <w:spacing w:val="-3"/>
          <w:w w:val="105"/>
          <w:sz w:val="21"/>
        </w:rPr>
        <w:t>provisions </w:t>
      </w:r>
      <w:r>
        <w:rPr>
          <w:w w:val="105"/>
          <w:sz w:val="21"/>
        </w:rPr>
        <w:t>of the </w:t>
      </w:r>
      <w:r>
        <w:rPr>
          <w:spacing w:val="-3"/>
          <w:w w:val="105"/>
          <w:sz w:val="21"/>
        </w:rPr>
        <w:t>will,</w:t>
      </w:r>
      <w:r>
        <w:rPr>
          <w:spacing w:val="-3"/>
          <w:w w:val="105"/>
          <w:position w:val="7"/>
          <w:sz w:val="12"/>
        </w:rPr>
        <w:t>26 </w:t>
      </w:r>
      <w:r>
        <w:rPr>
          <w:w w:val="105"/>
          <w:sz w:val="21"/>
        </w:rPr>
        <w:t>there is no need </w:t>
      </w:r>
      <w:r>
        <w:rPr>
          <w:spacing w:val="-3"/>
          <w:w w:val="105"/>
          <w:sz w:val="21"/>
        </w:rPr>
        <w:t>to </w:t>
      </w:r>
      <w:r>
        <w:rPr>
          <w:w w:val="105"/>
          <w:sz w:val="21"/>
        </w:rPr>
        <w:t>resort </w:t>
      </w:r>
      <w:r>
        <w:rPr>
          <w:spacing w:val="-3"/>
          <w:w w:val="105"/>
          <w:sz w:val="21"/>
        </w:rPr>
        <w:t>to </w:t>
      </w:r>
      <w:r>
        <w:rPr>
          <w:w w:val="105"/>
          <w:sz w:val="21"/>
        </w:rPr>
        <w:t>it at </w:t>
      </w:r>
      <w:r>
        <w:rPr>
          <w:spacing w:val="-3"/>
          <w:w w:val="105"/>
          <w:sz w:val="21"/>
        </w:rPr>
        <w:t>all </w:t>
      </w:r>
      <w:r>
        <w:rPr>
          <w:w w:val="105"/>
          <w:sz w:val="21"/>
        </w:rPr>
        <w:t>where a </w:t>
      </w:r>
      <w:r>
        <w:rPr>
          <w:spacing w:val="-3"/>
          <w:w w:val="105"/>
          <w:sz w:val="21"/>
        </w:rPr>
        <w:t>will-maker </w:t>
      </w:r>
      <w:r>
        <w:rPr>
          <w:spacing w:val="-2"/>
          <w:w w:val="105"/>
          <w:sz w:val="21"/>
        </w:rPr>
        <w:t>has </w:t>
      </w:r>
      <w:r>
        <w:rPr>
          <w:w w:val="105"/>
          <w:sz w:val="21"/>
        </w:rPr>
        <w:t>turned their </w:t>
      </w:r>
      <w:r>
        <w:rPr>
          <w:spacing w:val="-3"/>
          <w:w w:val="105"/>
          <w:sz w:val="21"/>
        </w:rPr>
        <w:t>mind to </w:t>
      </w:r>
      <w:r>
        <w:rPr>
          <w:w w:val="105"/>
          <w:sz w:val="21"/>
        </w:rPr>
        <w:t>the payment of debts. Justice Dean observed</w:t>
      </w:r>
      <w:r>
        <w:rPr>
          <w:spacing w:val="14"/>
          <w:w w:val="105"/>
          <w:sz w:val="21"/>
        </w:rPr>
        <w:t> </w:t>
      </w:r>
      <w:r>
        <w:rPr>
          <w:w w:val="105"/>
          <w:sz w:val="21"/>
        </w:rPr>
        <w:t>that:</w:t>
      </w:r>
    </w:p>
    <w:p>
      <w:pPr>
        <w:spacing w:line="254" w:lineRule="auto" w:before="133"/>
        <w:ind w:left="2721" w:right="2289" w:firstLine="0"/>
        <w:jc w:val="left"/>
        <w:rPr>
          <w:sz w:val="11"/>
        </w:rPr>
      </w:pPr>
      <w:r>
        <w:rPr>
          <w:sz w:val="20"/>
        </w:rPr>
        <w:t>it is not necessary to attempt to solve the conundrum which has hitherto remained unsolved of what words can answer the description of our present para (2) and (3)</w:t>
      </w:r>
      <w:r>
        <w:rPr>
          <w:position w:val="7"/>
          <w:sz w:val="11"/>
        </w:rPr>
        <w:t>27 </w:t>
      </w:r>
      <w:r>
        <w:rPr>
          <w:sz w:val="20"/>
        </w:rPr>
        <w:t>and not override or vary the Schedule order.</w:t>
      </w:r>
      <w:r>
        <w:rPr>
          <w:position w:val="7"/>
          <w:sz w:val="11"/>
        </w:rPr>
        <w:t>28</w:t>
      </w:r>
    </w:p>
    <w:p>
      <w:pPr>
        <w:pStyle w:val="BodyText"/>
        <w:rPr>
          <w:sz w:val="20"/>
        </w:rPr>
      </w:pPr>
    </w:p>
    <w:p>
      <w:pPr>
        <w:pStyle w:val="BodyText"/>
        <w:rPr>
          <w:sz w:val="20"/>
        </w:rPr>
      </w:pPr>
    </w:p>
    <w:p>
      <w:pPr>
        <w:pStyle w:val="BodyText"/>
        <w:spacing w:before="4"/>
        <w:rPr>
          <w:sz w:val="10"/>
        </w:rPr>
      </w:pPr>
      <w:r>
        <w:rPr/>
        <w:pict>
          <v:line style="position:absolute;mso-position-horizontal-relative:page;mso-position-vertical-relative:paragraph;z-index:10616;mso-wrap-distance-left:0;mso-wrap-distance-right:0" from="79.370102pt,8.754795pt" to="515.905102pt,8.754795pt" stroked="true" strokeweight="1pt" strokecolor="#f9ceca">
            <v:stroke dashstyle="solid"/>
            <w10:wrap type="topAndBottom"/>
          </v:line>
        </w:pict>
      </w:r>
    </w:p>
    <w:p>
      <w:pPr>
        <w:pStyle w:val="BodyText"/>
        <w:spacing w:before="8"/>
        <w:rPr>
          <w:sz w:val="5"/>
        </w:rPr>
      </w:pPr>
    </w:p>
    <w:p>
      <w:pPr>
        <w:spacing w:after="0"/>
        <w:rPr>
          <w:sz w:val="5"/>
        </w:rPr>
        <w:sectPr>
          <w:pgSz w:w="11910" w:h="16840"/>
          <w:pgMar w:header="550" w:footer="0" w:top="1560" w:bottom="280" w:left="0" w:right="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0"/>
        <w:rPr>
          <w:sz w:val="41"/>
        </w:rPr>
      </w:pPr>
    </w:p>
    <w:p>
      <w:pPr>
        <w:spacing w:before="0"/>
        <w:ind w:left="720" w:right="0" w:firstLine="0"/>
        <w:jc w:val="left"/>
        <w:rPr>
          <w:b/>
          <w:sz w:val="24"/>
        </w:rPr>
      </w:pPr>
      <w:r>
        <w:rPr>
          <w:b/>
          <w:color w:val="EC5A4F"/>
          <w:w w:val="105"/>
          <w:sz w:val="24"/>
        </w:rPr>
        <w:t>178</w:t>
      </w:r>
    </w:p>
    <w:p>
      <w:pPr>
        <w:pStyle w:val="ListParagraph"/>
        <w:numPr>
          <w:ilvl w:val="0"/>
          <w:numId w:val="132"/>
        </w:numPr>
        <w:tabs>
          <w:tab w:pos="1235" w:val="left" w:leader="none"/>
          <w:tab w:pos="1236" w:val="left" w:leader="none"/>
        </w:tabs>
        <w:spacing w:line="240" w:lineRule="auto" w:before="48" w:after="0"/>
        <w:ind w:left="1235" w:right="0" w:hanging="794"/>
        <w:jc w:val="left"/>
        <w:rPr>
          <w:sz w:val="13"/>
        </w:rPr>
      </w:pPr>
      <w:r>
        <w:rPr>
          <w:spacing w:val="2"/>
          <w:w w:val="103"/>
          <w:sz w:val="13"/>
        </w:rPr>
        <w:br w:type="column"/>
      </w:r>
      <w:r>
        <w:rPr>
          <w:w w:val="105"/>
          <w:sz w:val="13"/>
        </w:rPr>
        <w:t>National</w:t>
      </w:r>
      <w:r>
        <w:rPr>
          <w:spacing w:val="4"/>
          <w:w w:val="105"/>
          <w:sz w:val="13"/>
        </w:rPr>
        <w:t> </w:t>
      </w:r>
      <w:r>
        <w:rPr>
          <w:w w:val="105"/>
          <w:sz w:val="13"/>
        </w:rPr>
        <w:t>Committee</w:t>
      </w:r>
      <w:r>
        <w:rPr>
          <w:spacing w:val="5"/>
          <w:w w:val="105"/>
          <w:sz w:val="13"/>
        </w:rPr>
        <w:t> </w:t>
      </w:r>
      <w:r>
        <w:rPr>
          <w:w w:val="105"/>
          <w:sz w:val="13"/>
        </w:rPr>
        <w:t>for</w:t>
      </w:r>
      <w:r>
        <w:rPr>
          <w:spacing w:val="5"/>
          <w:w w:val="105"/>
          <w:sz w:val="13"/>
        </w:rPr>
        <w:t> </w:t>
      </w:r>
      <w:r>
        <w:rPr>
          <w:w w:val="105"/>
          <w:sz w:val="13"/>
        </w:rPr>
        <w:t>Uniform</w:t>
      </w:r>
      <w:r>
        <w:rPr>
          <w:spacing w:val="5"/>
          <w:w w:val="105"/>
          <w:sz w:val="13"/>
        </w:rPr>
        <w:t> </w:t>
      </w:r>
      <w:r>
        <w:rPr>
          <w:w w:val="105"/>
          <w:sz w:val="13"/>
        </w:rPr>
        <w:t>Succession</w:t>
      </w:r>
      <w:r>
        <w:rPr>
          <w:spacing w:val="5"/>
          <w:w w:val="105"/>
          <w:sz w:val="13"/>
        </w:rPr>
        <w:t> </w:t>
      </w:r>
      <w:r>
        <w:rPr>
          <w:w w:val="105"/>
          <w:sz w:val="13"/>
        </w:rPr>
        <w:t>Laws,</w:t>
      </w:r>
      <w:r>
        <w:rPr>
          <w:spacing w:val="5"/>
          <w:w w:val="105"/>
          <w:sz w:val="13"/>
        </w:rPr>
        <w:t> </w:t>
      </w:r>
      <w:r>
        <w:rPr>
          <w:i/>
          <w:w w:val="105"/>
          <w:sz w:val="13"/>
        </w:rPr>
        <w:t>Administration</w:t>
      </w:r>
      <w:r>
        <w:rPr>
          <w:i/>
          <w:spacing w:val="4"/>
          <w:w w:val="105"/>
          <w:sz w:val="13"/>
        </w:rPr>
        <w:t> </w:t>
      </w:r>
      <w:r>
        <w:rPr>
          <w:i/>
          <w:w w:val="105"/>
          <w:sz w:val="13"/>
        </w:rPr>
        <w:t>of</w:t>
      </w:r>
      <w:r>
        <w:rPr>
          <w:i/>
          <w:spacing w:val="3"/>
          <w:w w:val="105"/>
          <w:sz w:val="13"/>
        </w:rPr>
        <w:t> </w:t>
      </w:r>
      <w:r>
        <w:rPr>
          <w:i/>
          <w:w w:val="105"/>
          <w:sz w:val="13"/>
        </w:rPr>
        <w:t>Estates:</w:t>
      </w:r>
      <w:r>
        <w:rPr>
          <w:i/>
          <w:spacing w:val="4"/>
          <w:w w:val="105"/>
          <w:sz w:val="13"/>
        </w:rPr>
        <w:t> </w:t>
      </w:r>
      <w:r>
        <w:rPr>
          <w:i/>
          <w:w w:val="105"/>
          <w:sz w:val="13"/>
        </w:rPr>
        <w:t>Volume</w:t>
      </w:r>
      <w:r>
        <w:rPr>
          <w:i/>
          <w:spacing w:val="4"/>
          <w:w w:val="105"/>
          <w:sz w:val="13"/>
        </w:rPr>
        <w:t> </w:t>
      </w:r>
      <w:r>
        <w:rPr>
          <w:i/>
          <w:w w:val="105"/>
          <w:sz w:val="13"/>
        </w:rPr>
        <w:t>2,</w:t>
      </w:r>
      <w:r>
        <w:rPr>
          <w:i/>
          <w:spacing w:val="4"/>
          <w:w w:val="105"/>
          <w:sz w:val="13"/>
        </w:rPr>
        <w:t> </w:t>
      </w:r>
      <w:r>
        <w:rPr>
          <w:w w:val="105"/>
          <w:sz w:val="13"/>
        </w:rPr>
        <w:t>above</w:t>
      </w:r>
      <w:r>
        <w:rPr>
          <w:spacing w:val="5"/>
          <w:w w:val="105"/>
          <w:sz w:val="13"/>
        </w:rPr>
        <w:t> </w:t>
      </w:r>
      <w:r>
        <w:rPr>
          <w:w w:val="105"/>
          <w:sz w:val="13"/>
        </w:rPr>
        <w:t>n</w:t>
      </w:r>
      <w:r>
        <w:rPr>
          <w:spacing w:val="5"/>
          <w:w w:val="105"/>
          <w:sz w:val="13"/>
        </w:rPr>
        <w:t> </w:t>
      </w:r>
      <w:r>
        <w:rPr>
          <w:w w:val="105"/>
          <w:sz w:val="13"/>
        </w:rPr>
        <w:t>14,</w:t>
      </w:r>
      <w:r>
        <w:rPr>
          <w:spacing w:val="4"/>
          <w:w w:val="105"/>
          <w:sz w:val="13"/>
        </w:rPr>
        <w:t> </w:t>
      </w:r>
      <w:r>
        <w:rPr>
          <w:w w:val="105"/>
          <w:sz w:val="13"/>
        </w:rPr>
        <w:t>108.</w:t>
      </w:r>
    </w:p>
    <w:p>
      <w:pPr>
        <w:pStyle w:val="ListParagraph"/>
        <w:numPr>
          <w:ilvl w:val="0"/>
          <w:numId w:val="132"/>
        </w:numPr>
        <w:tabs>
          <w:tab w:pos="1235" w:val="left" w:leader="none"/>
          <w:tab w:pos="1236" w:val="left" w:leader="none"/>
        </w:tabs>
        <w:spacing w:line="240" w:lineRule="auto" w:before="1" w:after="0"/>
        <w:ind w:left="1235" w:right="1749" w:hanging="794"/>
        <w:jc w:val="left"/>
        <w:rPr>
          <w:sz w:val="13"/>
        </w:rPr>
      </w:pPr>
      <w:r>
        <w:rPr>
          <w:w w:val="105"/>
          <w:sz w:val="13"/>
        </w:rPr>
        <w:t>National Committee for Uniform Succession Laws, </w:t>
      </w:r>
      <w:r>
        <w:rPr>
          <w:i/>
          <w:w w:val="105"/>
          <w:sz w:val="13"/>
        </w:rPr>
        <w:t>Administration of Estates of Deceased Persons: Report of the National Committee for </w:t>
      </w:r>
      <w:r>
        <w:rPr>
          <w:i/>
          <w:w w:val="105"/>
          <w:sz w:val="13"/>
        </w:rPr>
        <w:t>Uniform Succession Laws to the Standing Committee of Attorneys General: Volume 4</w:t>
      </w:r>
      <w:r>
        <w:rPr>
          <w:w w:val="105"/>
          <w:sz w:val="13"/>
        </w:rPr>
        <w:t>, Queensland Law Reform Commission </w:t>
      </w:r>
      <w:r>
        <w:rPr>
          <w:spacing w:val="2"/>
          <w:w w:val="105"/>
          <w:sz w:val="13"/>
        </w:rPr>
        <w:t>Report </w:t>
      </w:r>
      <w:r>
        <w:rPr>
          <w:w w:val="105"/>
          <w:sz w:val="13"/>
        </w:rPr>
        <w:t>No 65 </w:t>
      </w:r>
      <w:r>
        <w:rPr>
          <w:spacing w:val="2"/>
          <w:w w:val="105"/>
          <w:sz w:val="13"/>
        </w:rPr>
        <w:t>(2009)</w:t>
      </w:r>
      <w:r>
        <w:rPr>
          <w:spacing w:val="5"/>
          <w:w w:val="105"/>
          <w:sz w:val="13"/>
        </w:rPr>
        <w:t> </w:t>
      </w:r>
      <w:r>
        <w:rPr>
          <w:w w:val="105"/>
          <w:sz w:val="13"/>
        </w:rPr>
        <w:t>124,</w:t>
      </w:r>
      <w:r>
        <w:rPr>
          <w:spacing w:val="5"/>
          <w:w w:val="105"/>
          <w:sz w:val="13"/>
        </w:rPr>
        <w:t> </w:t>
      </w:r>
      <w:r>
        <w:rPr>
          <w:w w:val="105"/>
          <w:sz w:val="13"/>
        </w:rPr>
        <w:t>Draft</w:t>
      </w:r>
      <w:r>
        <w:rPr>
          <w:spacing w:val="5"/>
          <w:w w:val="105"/>
          <w:sz w:val="13"/>
        </w:rPr>
        <w:t> </w:t>
      </w:r>
      <w:r>
        <w:rPr>
          <w:w w:val="105"/>
          <w:sz w:val="13"/>
        </w:rPr>
        <w:t>Administration</w:t>
      </w:r>
      <w:r>
        <w:rPr>
          <w:spacing w:val="5"/>
          <w:w w:val="105"/>
          <w:sz w:val="13"/>
        </w:rPr>
        <w:t> </w:t>
      </w:r>
      <w:r>
        <w:rPr>
          <w:w w:val="105"/>
          <w:sz w:val="13"/>
        </w:rPr>
        <w:t>of</w:t>
      </w:r>
      <w:r>
        <w:rPr>
          <w:spacing w:val="5"/>
          <w:w w:val="105"/>
          <w:sz w:val="13"/>
        </w:rPr>
        <w:t> </w:t>
      </w:r>
      <w:r>
        <w:rPr>
          <w:w w:val="105"/>
          <w:sz w:val="13"/>
        </w:rPr>
        <w:t>Estates</w:t>
      </w:r>
      <w:r>
        <w:rPr>
          <w:spacing w:val="5"/>
          <w:w w:val="105"/>
          <w:sz w:val="13"/>
        </w:rPr>
        <w:t> </w:t>
      </w:r>
      <w:r>
        <w:rPr>
          <w:w w:val="105"/>
          <w:sz w:val="13"/>
        </w:rPr>
        <w:t>Bill</w:t>
      </w:r>
      <w:r>
        <w:rPr>
          <w:spacing w:val="5"/>
          <w:w w:val="105"/>
          <w:sz w:val="13"/>
        </w:rPr>
        <w:t> </w:t>
      </w:r>
      <w:r>
        <w:rPr>
          <w:w w:val="105"/>
          <w:sz w:val="13"/>
        </w:rPr>
        <w:t>2009</w:t>
      </w:r>
      <w:r>
        <w:rPr>
          <w:spacing w:val="5"/>
          <w:w w:val="105"/>
          <w:sz w:val="13"/>
        </w:rPr>
        <w:t> </w:t>
      </w:r>
      <w:r>
        <w:rPr>
          <w:w w:val="105"/>
          <w:sz w:val="13"/>
        </w:rPr>
        <w:t>sch</w:t>
      </w:r>
      <w:r>
        <w:rPr>
          <w:spacing w:val="5"/>
          <w:w w:val="105"/>
          <w:sz w:val="13"/>
        </w:rPr>
        <w:t> </w:t>
      </w:r>
      <w:r>
        <w:rPr>
          <w:w w:val="105"/>
          <w:sz w:val="13"/>
        </w:rPr>
        <w:t>3</w:t>
      </w:r>
      <w:r>
        <w:rPr>
          <w:spacing w:val="5"/>
          <w:w w:val="105"/>
          <w:sz w:val="13"/>
        </w:rPr>
        <w:t> </w:t>
      </w:r>
      <w:r>
        <w:rPr>
          <w:w w:val="105"/>
          <w:sz w:val="13"/>
        </w:rPr>
        <w:t>(definition</w:t>
      </w:r>
      <w:r>
        <w:rPr>
          <w:spacing w:val="5"/>
          <w:w w:val="105"/>
          <w:sz w:val="13"/>
        </w:rPr>
        <w:t> </w:t>
      </w:r>
      <w:r>
        <w:rPr>
          <w:w w:val="105"/>
          <w:sz w:val="13"/>
        </w:rPr>
        <w:t>of</w:t>
      </w:r>
      <w:r>
        <w:rPr>
          <w:spacing w:val="5"/>
          <w:w w:val="105"/>
          <w:sz w:val="13"/>
        </w:rPr>
        <w:t> </w:t>
      </w:r>
      <w:r>
        <w:rPr>
          <w:w w:val="105"/>
          <w:sz w:val="13"/>
        </w:rPr>
        <w:t>‘residuary</w:t>
      </w:r>
      <w:r>
        <w:rPr>
          <w:spacing w:val="5"/>
          <w:w w:val="105"/>
          <w:sz w:val="13"/>
        </w:rPr>
        <w:t> </w:t>
      </w:r>
      <w:r>
        <w:rPr>
          <w:w w:val="105"/>
          <w:sz w:val="13"/>
        </w:rPr>
        <w:t>estate’)</w:t>
      </w:r>
      <w:r>
        <w:rPr>
          <w:spacing w:val="5"/>
          <w:w w:val="105"/>
          <w:sz w:val="13"/>
        </w:rPr>
        <w:t> </w:t>
      </w:r>
      <w:r>
        <w:rPr>
          <w:w w:val="105"/>
          <w:sz w:val="13"/>
        </w:rPr>
        <w:t>(‘</w:t>
      </w:r>
      <w:r>
        <w:rPr>
          <w:i/>
          <w:w w:val="105"/>
          <w:sz w:val="13"/>
        </w:rPr>
        <w:t>Administration</w:t>
      </w:r>
      <w:r>
        <w:rPr>
          <w:i/>
          <w:spacing w:val="4"/>
          <w:w w:val="105"/>
          <w:sz w:val="13"/>
        </w:rPr>
        <w:t> </w:t>
      </w:r>
      <w:r>
        <w:rPr>
          <w:i/>
          <w:w w:val="105"/>
          <w:sz w:val="13"/>
        </w:rPr>
        <w:t>of</w:t>
      </w:r>
      <w:r>
        <w:rPr>
          <w:i/>
          <w:spacing w:val="3"/>
          <w:w w:val="105"/>
          <w:sz w:val="13"/>
        </w:rPr>
        <w:t> </w:t>
      </w:r>
      <w:r>
        <w:rPr>
          <w:i/>
          <w:w w:val="105"/>
          <w:sz w:val="13"/>
        </w:rPr>
        <w:t>Estates:</w:t>
      </w:r>
      <w:r>
        <w:rPr>
          <w:i/>
          <w:spacing w:val="4"/>
          <w:w w:val="105"/>
          <w:sz w:val="13"/>
        </w:rPr>
        <w:t> </w:t>
      </w:r>
      <w:r>
        <w:rPr>
          <w:i/>
          <w:w w:val="105"/>
          <w:sz w:val="13"/>
        </w:rPr>
        <w:t>Volume</w:t>
      </w:r>
      <w:r>
        <w:rPr>
          <w:i/>
          <w:spacing w:val="4"/>
          <w:w w:val="105"/>
          <w:sz w:val="13"/>
        </w:rPr>
        <w:t> 4</w:t>
      </w:r>
      <w:r>
        <w:rPr>
          <w:spacing w:val="4"/>
          <w:w w:val="105"/>
          <w:sz w:val="13"/>
        </w:rPr>
        <w:t>’).</w:t>
      </w:r>
    </w:p>
    <w:p>
      <w:pPr>
        <w:pStyle w:val="ListParagraph"/>
        <w:numPr>
          <w:ilvl w:val="0"/>
          <w:numId w:val="132"/>
        </w:numPr>
        <w:tabs>
          <w:tab w:pos="1235" w:val="left" w:leader="none"/>
          <w:tab w:pos="1236" w:val="left" w:leader="none"/>
        </w:tabs>
        <w:spacing w:line="240" w:lineRule="auto" w:before="4" w:after="0"/>
        <w:ind w:left="1235" w:right="1658" w:hanging="794"/>
        <w:jc w:val="left"/>
        <w:rPr>
          <w:sz w:val="13"/>
        </w:rPr>
      </w:pPr>
      <w:r>
        <w:rPr>
          <w:w w:val="105"/>
          <w:sz w:val="13"/>
        </w:rPr>
        <w:t>See generally National Committee for Uniform Succession Laws, </w:t>
      </w:r>
      <w:r>
        <w:rPr>
          <w:i/>
          <w:w w:val="105"/>
          <w:sz w:val="13"/>
        </w:rPr>
        <w:t>Administration of Estates: Volume </w:t>
      </w:r>
      <w:r>
        <w:rPr>
          <w:i/>
          <w:spacing w:val="-3"/>
          <w:w w:val="105"/>
          <w:sz w:val="13"/>
        </w:rPr>
        <w:t>2</w:t>
      </w:r>
      <w:r>
        <w:rPr>
          <w:spacing w:val="-3"/>
          <w:w w:val="105"/>
          <w:sz w:val="13"/>
        </w:rPr>
        <w:t>,  </w:t>
      </w:r>
      <w:r>
        <w:rPr>
          <w:w w:val="105"/>
          <w:sz w:val="13"/>
        </w:rPr>
        <w:t>above n 14, 106, including discussion   of </w:t>
      </w:r>
      <w:r>
        <w:rPr>
          <w:i/>
          <w:w w:val="105"/>
          <w:sz w:val="13"/>
        </w:rPr>
        <w:t>Re Littlewood </w:t>
      </w:r>
      <w:r>
        <w:rPr>
          <w:spacing w:val="-3"/>
          <w:w w:val="105"/>
          <w:sz w:val="13"/>
        </w:rPr>
        <w:t>[1931] </w:t>
      </w:r>
      <w:r>
        <w:rPr>
          <w:w w:val="105"/>
          <w:sz w:val="13"/>
        </w:rPr>
        <w:t>1 Ch 443, </w:t>
      </w:r>
      <w:r>
        <w:rPr>
          <w:i/>
          <w:w w:val="105"/>
          <w:sz w:val="13"/>
        </w:rPr>
        <w:t>Re James </w:t>
      </w:r>
      <w:r>
        <w:rPr>
          <w:w w:val="105"/>
          <w:sz w:val="13"/>
        </w:rPr>
        <w:t>[1947] Ch 256, </w:t>
      </w:r>
      <w:r>
        <w:rPr>
          <w:i/>
          <w:w w:val="105"/>
          <w:sz w:val="13"/>
        </w:rPr>
        <w:t>Re Williams </w:t>
      </w:r>
      <w:r>
        <w:rPr>
          <w:w w:val="105"/>
          <w:sz w:val="13"/>
        </w:rPr>
        <w:t>[1950] </w:t>
      </w:r>
      <w:r>
        <w:rPr>
          <w:spacing w:val="2"/>
          <w:w w:val="105"/>
          <w:sz w:val="13"/>
        </w:rPr>
        <w:t>ALR </w:t>
      </w:r>
      <w:r>
        <w:rPr>
          <w:spacing w:val="-4"/>
          <w:w w:val="105"/>
          <w:sz w:val="13"/>
        </w:rPr>
        <w:t>751, </w:t>
      </w:r>
      <w:r>
        <w:rPr>
          <w:w w:val="105"/>
          <w:sz w:val="13"/>
        </w:rPr>
        <w:t>757 </w:t>
      </w:r>
      <w:r>
        <w:rPr>
          <w:spacing w:val="2"/>
          <w:w w:val="105"/>
          <w:sz w:val="13"/>
        </w:rPr>
        <w:t>(Dean </w:t>
      </w:r>
      <w:r>
        <w:rPr>
          <w:spacing w:val="3"/>
          <w:w w:val="105"/>
          <w:sz w:val="13"/>
        </w:rPr>
        <w:t>J), </w:t>
      </w:r>
      <w:r>
        <w:rPr>
          <w:i/>
          <w:w w:val="105"/>
          <w:sz w:val="13"/>
        </w:rPr>
        <w:t>Permanent Trustee Co of NSW Ltd v </w:t>
      </w:r>
      <w:r>
        <w:rPr>
          <w:i/>
          <w:w w:val="105"/>
          <w:sz w:val="13"/>
        </w:rPr>
        <w:t>Temple </w:t>
      </w:r>
      <w:r>
        <w:rPr>
          <w:w w:val="105"/>
          <w:sz w:val="13"/>
        </w:rPr>
        <w:t>(1956) 57 SR </w:t>
      </w:r>
      <w:r>
        <w:rPr>
          <w:spacing w:val="3"/>
          <w:w w:val="105"/>
          <w:sz w:val="13"/>
        </w:rPr>
        <w:t>(NSW) </w:t>
      </w:r>
      <w:r>
        <w:rPr>
          <w:w w:val="105"/>
          <w:sz w:val="13"/>
        </w:rPr>
        <w:t>301, 305 (Hardie</w:t>
      </w:r>
      <w:r>
        <w:rPr>
          <w:spacing w:val="3"/>
          <w:w w:val="105"/>
          <w:sz w:val="13"/>
        </w:rPr>
        <w:t> J).</w:t>
      </w:r>
    </w:p>
    <w:p>
      <w:pPr>
        <w:pStyle w:val="ListParagraph"/>
        <w:numPr>
          <w:ilvl w:val="0"/>
          <w:numId w:val="132"/>
        </w:numPr>
        <w:tabs>
          <w:tab w:pos="1235" w:val="left" w:leader="none"/>
          <w:tab w:pos="1236" w:val="left" w:leader="none"/>
        </w:tabs>
        <w:spacing w:line="240" w:lineRule="auto" w:before="4" w:after="0"/>
        <w:ind w:left="441" w:right="3607" w:firstLine="0"/>
        <w:jc w:val="left"/>
        <w:rPr>
          <w:sz w:val="13"/>
        </w:rPr>
      </w:pPr>
      <w:r>
        <w:rPr>
          <w:w w:val="105"/>
          <w:sz w:val="13"/>
        </w:rPr>
        <w:t>National Committee for Uniform Succession Laws, </w:t>
      </w:r>
      <w:r>
        <w:rPr>
          <w:i/>
          <w:w w:val="105"/>
          <w:sz w:val="13"/>
        </w:rPr>
        <w:t>Administration of Estates: Volume 2</w:t>
      </w:r>
      <w:r>
        <w:rPr>
          <w:w w:val="105"/>
          <w:sz w:val="13"/>
        </w:rPr>
        <w:t>, above n 14, 106. 25</w:t>
        <w:tab/>
        <w:t>[1950] </w:t>
      </w:r>
      <w:r>
        <w:rPr>
          <w:spacing w:val="2"/>
          <w:w w:val="105"/>
          <w:sz w:val="13"/>
        </w:rPr>
        <w:t>ALR </w:t>
      </w:r>
      <w:r>
        <w:rPr>
          <w:spacing w:val="-4"/>
          <w:w w:val="105"/>
          <w:sz w:val="13"/>
        </w:rPr>
        <w:t>751,</w:t>
      </w:r>
      <w:r>
        <w:rPr>
          <w:spacing w:val="12"/>
          <w:w w:val="105"/>
          <w:sz w:val="13"/>
        </w:rPr>
        <w:t> </w:t>
      </w:r>
      <w:r>
        <w:rPr>
          <w:spacing w:val="-3"/>
          <w:w w:val="105"/>
          <w:sz w:val="13"/>
        </w:rPr>
        <w:t>757.</w:t>
      </w:r>
    </w:p>
    <w:p>
      <w:pPr>
        <w:pStyle w:val="ListParagraph"/>
        <w:numPr>
          <w:ilvl w:val="0"/>
          <w:numId w:val="136"/>
        </w:numPr>
        <w:tabs>
          <w:tab w:pos="1235" w:val="left" w:leader="none"/>
          <w:tab w:pos="1236" w:val="left" w:leader="none"/>
        </w:tabs>
        <w:spacing w:line="240" w:lineRule="auto" w:before="3" w:after="0"/>
        <w:ind w:left="1235" w:right="0" w:hanging="794"/>
        <w:jc w:val="left"/>
        <w:rPr>
          <w:sz w:val="13"/>
        </w:rPr>
      </w:pPr>
      <w:r>
        <w:rPr>
          <w:i/>
          <w:w w:val="105"/>
          <w:sz w:val="13"/>
        </w:rPr>
        <w:t>Administration and Probate Act 1958 </w:t>
      </w:r>
      <w:r>
        <w:rPr>
          <w:spacing w:val="2"/>
          <w:w w:val="105"/>
          <w:sz w:val="13"/>
        </w:rPr>
        <w:t>(Vic) </w:t>
      </w:r>
      <w:r>
        <w:rPr>
          <w:w w:val="105"/>
          <w:sz w:val="13"/>
        </w:rPr>
        <w:t>s</w:t>
      </w:r>
      <w:r>
        <w:rPr>
          <w:spacing w:val="25"/>
          <w:w w:val="105"/>
          <w:sz w:val="13"/>
        </w:rPr>
        <w:t> </w:t>
      </w:r>
      <w:r>
        <w:rPr>
          <w:spacing w:val="3"/>
          <w:w w:val="105"/>
          <w:sz w:val="13"/>
        </w:rPr>
        <w:t>39(2).</w:t>
      </w:r>
    </w:p>
    <w:p>
      <w:pPr>
        <w:pStyle w:val="ListParagraph"/>
        <w:numPr>
          <w:ilvl w:val="0"/>
          <w:numId w:val="136"/>
        </w:numPr>
        <w:tabs>
          <w:tab w:pos="1235" w:val="left" w:leader="none"/>
          <w:tab w:pos="1236" w:val="left" w:leader="none"/>
        </w:tabs>
        <w:spacing w:line="240" w:lineRule="auto" w:before="1" w:after="0"/>
        <w:ind w:left="1235" w:right="1951" w:hanging="794"/>
        <w:jc w:val="left"/>
        <w:rPr>
          <w:sz w:val="13"/>
        </w:rPr>
      </w:pPr>
      <w:r>
        <w:rPr>
          <w:w w:val="105"/>
          <w:sz w:val="13"/>
        </w:rPr>
        <w:t>Under the current Act, these paragraphs represent </w:t>
      </w:r>
      <w:r>
        <w:rPr>
          <w:spacing w:val="2"/>
          <w:w w:val="105"/>
          <w:sz w:val="13"/>
        </w:rPr>
        <w:t>property </w:t>
      </w:r>
      <w:r>
        <w:rPr>
          <w:w w:val="105"/>
          <w:sz w:val="13"/>
        </w:rPr>
        <w:t>specifically appropriated to be sold for the payment of debts, or </w:t>
      </w:r>
      <w:r>
        <w:rPr>
          <w:spacing w:val="2"/>
          <w:w w:val="105"/>
          <w:sz w:val="13"/>
        </w:rPr>
        <w:t>property </w:t>
      </w:r>
      <w:r>
        <w:rPr>
          <w:w w:val="105"/>
          <w:sz w:val="13"/>
        </w:rPr>
        <w:t>subject</w:t>
      </w:r>
      <w:r>
        <w:rPr>
          <w:spacing w:val="4"/>
          <w:w w:val="105"/>
          <w:sz w:val="13"/>
        </w:rPr>
        <w:t> </w:t>
      </w:r>
      <w:r>
        <w:rPr>
          <w:w w:val="105"/>
          <w:sz w:val="13"/>
        </w:rPr>
        <w:t>to</w:t>
      </w:r>
      <w:r>
        <w:rPr>
          <w:spacing w:val="4"/>
          <w:w w:val="105"/>
          <w:sz w:val="13"/>
        </w:rPr>
        <w:t> </w:t>
      </w:r>
      <w:r>
        <w:rPr>
          <w:w w:val="105"/>
          <w:sz w:val="13"/>
        </w:rPr>
        <w:t>a</w:t>
      </w:r>
      <w:r>
        <w:rPr>
          <w:spacing w:val="5"/>
          <w:w w:val="105"/>
          <w:sz w:val="13"/>
        </w:rPr>
        <w:t> </w:t>
      </w:r>
      <w:r>
        <w:rPr>
          <w:w w:val="105"/>
          <w:sz w:val="13"/>
        </w:rPr>
        <w:t>charge</w:t>
      </w:r>
      <w:r>
        <w:rPr>
          <w:spacing w:val="4"/>
          <w:w w:val="105"/>
          <w:sz w:val="13"/>
        </w:rPr>
        <w:t> </w:t>
      </w:r>
      <w:r>
        <w:rPr>
          <w:w w:val="105"/>
          <w:sz w:val="13"/>
        </w:rPr>
        <w:t>for</w:t>
      </w:r>
      <w:r>
        <w:rPr>
          <w:spacing w:val="4"/>
          <w:w w:val="105"/>
          <w:sz w:val="13"/>
        </w:rPr>
        <w:t> </w:t>
      </w:r>
      <w:r>
        <w:rPr>
          <w:w w:val="105"/>
          <w:sz w:val="13"/>
        </w:rPr>
        <w:t>such</w:t>
      </w:r>
      <w:r>
        <w:rPr>
          <w:spacing w:val="5"/>
          <w:w w:val="105"/>
          <w:sz w:val="13"/>
        </w:rPr>
        <w:t> </w:t>
      </w:r>
      <w:r>
        <w:rPr>
          <w:w w:val="105"/>
          <w:sz w:val="13"/>
        </w:rPr>
        <w:t>payment:</w:t>
      </w:r>
      <w:r>
        <w:rPr>
          <w:spacing w:val="4"/>
          <w:w w:val="105"/>
          <w:sz w:val="13"/>
        </w:rPr>
        <w:t> </w:t>
      </w:r>
      <w:r>
        <w:rPr>
          <w:i/>
          <w:w w:val="105"/>
          <w:sz w:val="13"/>
        </w:rPr>
        <w:t>Administration</w:t>
      </w:r>
      <w:r>
        <w:rPr>
          <w:i/>
          <w:spacing w:val="3"/>
          <w:w w:val="105"/>
          <w:sz w:val="13"/>
        </w:rPr>
        <w:t> </w:t>
      </w:r>
      <w:r>
        <w:rPr>
          <w:i/>
          <w:w w:val="105"/>
          <w:sz w:val="13"/>
        </w:rPr>
        <w:t>and</w:t>
      </w:r>
      <w:r>
        <w:rPr>
          <w:i/>
          <w:spacing w:val="4"/>
          <w:w w:val="105"/>
          <w:sz w:val="13"/>
        </w:rPr>
        <w:t> </w:t>
      </w:r>
      <w:r>
        <w:rPr>
          <w:i/>
          <w:w w:val="105"/>
          <w:sz w:val="13"/>
        </w:rPr>
        <w:t>Probate</w:t>
      </w:r>
      <w:r>
        <w:rPr>
          <w:i/>
          <w:spacing w:val="3"/>
          <w:w w:val="105"/>
          <w:sz w:val="13"/>
        </w:rPr>
        <w:t> </w:t>
      </w:r>
      <w:r>
        <w:rPr>
          <w:i/>
          <w:w w:val="105"/>
          <w:sz w:val="13"/>
        </w:rPr>
        <w:t>Act</w:t>
      </w:r>
      <w:r>
        <w:rPr>
          <w:i/>
          <w:spacing w:val="3"/>
          <w:w w:val="105"/>
          <w:sz w:val="13"/>
        </w:rPr>
        <w:t> </w:t>
      </w:r>
      <w:r>
        <w:rPr>
          <w:i/>
          <w:w w:val="105"/>
          <w:sz w:val="13"/>
        </w:rPr>
        <w:t>1958</w:t>
      </w:r>
      <w:r>
        <w:rPr>
          <w:i/>
          <w:spacing w:val="5"/>
          <w:w w:val="105"/>
          <w:sz w:val="13"/>
        </w:rPr>
        <w:t> </w:t>
      </w:r>
      <w:r>
        <w:rPr>
          <w:spacing w:val="2"/>
          <w:w w:val="105"/>
          <w:sz w:val="13"/>
        </w:rPr>
        <w:t>(Vic)</w:t>
      </w:r>
      <w:r>
        <w:rPr>
          <w:spacing w:val="4"/>
          <w:w w:val="105"/>
          <w:sz w:val="13"/>
        </w:rPr>
        <w:t> </w:t>
      </w:r>
      <w:r>
        <w:rPr>
          <w:w w:val="105"/>
          <w:sz w:val="13"/>
        </w:rPr>
        <w:t>sch</w:t>
      </w:r>
      <w:r>
        <w:rPr>
          <w:spacing w:val="4"/>
          <w:w w:val="105"/>
          <w:sz w:val="13"/>
        </w:rPr>
        <w:t> </w:t>
      </w:r>
      <w:r>
        <w:rPr>
          <w:w w:val="105"/>
          <w:sz w:val="13"/>
        </w:rPr>
        <w:t>II</w:t>
      </w:r>
      <w:r>
        <w:rPr>
          <w:spacing w:val="5"/>
          <w:w w:val="105"/>
          <w:sz w:val="13"/>
        </w:rPr>
        <w:t> </w:t>
      </w:r>
      <w:r>
        <w:rPr>
          <w:w w:val="105"/>
          <w:sz w:val="13"/>
        </w:rPr>
        <w:t>pt</w:t>
      </w:r>
      <w:r>
        <w:rPr>
          <w:spacing w:val="4"/>
          <w:w w:val="105"/>
          <w:sz w:val="13"/>
        </w:rPr>
        <w:t> </w:t>
      </w:r>
      <w:r>
        <w:rPr>
          <w:w w:val="105"/>
          <w:sz w:val="13"/>
        </w:rPr>
        <w:t>II</w:t>
      </w:r>
      <w:r>
        <w:rPr>
          <w:spacing w:val="4"/>
          <w:w w:val="105"/>
          <w:sz w:val="13"/>
        </w:rPr>
        <w:t> </w:t>
      </w:r>
      <w:r>
        <w:rPr>
          <w:w w:val="105"/>
          <w:sz w:val="13"/>
        </w:rPr>
        <w:t>cls</w:t>
      </w:r>
      <w:r>
        <w:rPr>
          <w:spacing w:val="5"/>
          <w:w w:val="105"/>
          <w:sz w:val="13"/>
        </w:rPr>
        <w:t> </w:t>
      </w:r>
      <w:r>
        <w:rPr>
          <w:w w:val="105"/>
          <w:sz w:val="13"/>
        </w:rPr>
        <w:t>2–3.</w:t>
      </w:r>
    </w:p>
    <w:p>
      <w:pPr>
        <w:pStyle w:val="ListParagraph"/>
        <w:numPr>
          <w:ilvl w:val="0"/>
          <w:numId w:val="136"/>
        </w:numPr>
        <w:tabs>
          <w:tab w:pos="1235" w:val="left" w:leader="none"/>
          <w:tab w:pos="1236" w:val="left" w:leader="none"/>
        </w:tabs>
        <w:spacing w:line="240" w:lineRule="auto" w:before="3" w:after="0"/>
        <w:ind w:left="1235" w:right="0" w:hanging="794"/>
        <w:jc w:val="left"/>
        <w:rPr>
          <w:sz w:val="13"/>
        </w:rPr>
      </w:pPr>
      <w:r>
        <w:rPr>
          <w:i/>
          <w:w w:val="105"/>
          <w:sz w:val="13"/>
        </w:rPr>
        <w:t>Re Williams </w:t>
      </w:r>
      <w:r>
        <w:rPr>
          <w:w w:val="105"/>
          <w:sz w:val="13"/>
        </w:rPr>
        <w:t>[1950] ALR </w:t>
      </w:r>
      <w:r>
        <w:rPr>
          <w:spacing w:val="-4"/>
          <w:w w:val="105"/>
          <w:sz w:val="13"/>
        </w:rPr>
        <w:t>751, </w:t>
      </w:r>
      <w:r>
        <w:rPr>
          <w:w w:val="105"/>
          <w:sz w:val="13"/>
        </w:rPr>
        <w:t>757 </w:t>
      </w:r>
      <w:r>
        <w:rPr>
          <w:spacing w:val="2"/>
          <w:w w:val="105"/>
          <w:sz w:val="13"/>
        </w:rPr>
        <w:t>(Dean</w:t>
      </w:r>
      <w:r>
        <w:rPr>
          <w:spacing w:val="7"/>
          <w:w w:val="105"/>
          <w:sz w:val="13"/>
        </w:rPr>
        <w:t> </w:t>
      </w:r>
      <w:r>
        <w:rPr>
          <w:spacing w:val="3"/>
          <w:w w:val="105"/>
          <w:sz w:val="13"/>
        </w:rPr>
        <w:t>J).</w:t>
      </w:r>
    </w:p>
    <w:p>
      <w:pPr>
        <w:spacing w:after="0" w:line="240" w:lineRule="auto"/>
        <w:jc w:val="left"/>
        <w:rPr>
          <w:sz w:val="13"/>
        </w:rPr>
        <w:sectPr>
          <w:type w:val="continuous"/>
          <w:pgSz w:w="11910" w:h="16840"/>
          <w:pgMar w:top="920" w:bottom="280" w:left="0" w:right="0"/>
          <w:cols w:num="2" w:equalWidth="0">
            <w:col w:w="1106" w:space="40"/>
            <w:col w:w="10764"/>
          </w:cols>
        </w:sectPr>
      </w:pPr>
    </w:p>
    <w:p>
      <w:pPr>
        <w:pStyle w:val="BodyText"/>
        <w:rPr>
          <w:sz w:val="20"/>
        </w:rPr>
      </w:pPr>
    </w:p>
    <w:p>
      <w:pPr>
        <w:pStyle w:val="BodyText"/>
        <w:rPr>
          <w:sz w:val="19"/>
        </w:rPr>
      </w:pPr>
    </w:p>
    <w:p>
      <w:pPr>
        <w:pStyle w:val="ListParagraph"/>
        <w:numPr>
          <w:ilvl w:val="1"/>
          <w:numId w:val="22"/>
        </w:numPr>
        <w:tabs>
          <w:tab w:pos="2381" w:val="left" w:leader="none"/>
          <w:tab w:pos="2382" w:val="left" w:leader="none"/>
        </w:tabs>
        <w:spacing w:line="240" w:lineRule="auto" w:before="91" w:after="0"/>
        <w:ind w:left="2381" w:right="0" w:hanging="794"/>
        <w:jc w:val="left"/>
        <w:rPr>
          <w:sz w:val="21"/>
        </w:rPr>
      </w:pPr>
      <w:r>
        <w:rPr>
          <w:w w:val="105"/>
          <w:sz w:val="21"/>
        </w:rPr>
        <w:t>The proposed </w:t>
      </w:r>
      <w:r>
        <w:rPr>
          <w:spacing w:val="-3"/>
          <w:w w:val="105"/>
          <w:sz w:val="21"/>
        </w:rPr>
        <w:t>reordering </w:t>
      </w:r>
      <w:r>
        <w:rPr>
          <w:w w:val="105"/>
          <w:sz w:val="21"/>
        </w:rPr>
        <w:t>of the categories of asset </w:t>
      </w:r>
      <w:r>
        <w:rPr>
          <w:spacing w:val="-3"/>
          <w:w w:val="105"/>
          <w:sz w:val="21"/>
        </w:rPr>
        <w:t>enshrines </w:t>
      </w:r>
      <w:r>
        <w:rPr>
          <w:w w:val="105"/>
          <w:sz w:val="21"/>
        </w:rPr>
        <w:t>the view expressed</w:t>
      </w:r>
      <w:r>
        <w:rPr>
          <w:spacing w:val="26"/>
          <w:w w:val="105"/>
          <w:sz w:val="21"/>
        </w:rPr>
        <w:t> </w:t>
      </w:r>
      <w:r>
        <w:rPr>
          <w:w w:val="105"/>
          <w:sz w:val="21"/>
        </w:rPr>
        <w:t>in</w:t>
      </w:r>
    </w:p>
    <w:p>
      <w:pPr>
        <w:pStyle w:val="BodyText"/>
        <w:spacing w:line="242" w:lineRule="auto" w:before="4"/>
        <w:ind w:left="2381" w:right="2010"/>
      </w:pPr>
      <w:r>
        <w:rPr>
          <w:i/>
        </w:rPr>
        <w:t>Re </w:t>
      </w:r>
      <w:r>
        <w:rPr>
          <w:i/>
          <w:spacing w:val="-3"/>
        </w:rPr>
        <w:t>Williams  </w:t>
      </w:r>
      <w:r>
        <w:rPr/>
        <w:t>in </w:t>
      </w:r>
      <w:r>
        <w:rPr>
          <w:spacing w:val="-3"/>
        </w:rPr>
        <w:t>legislation,</w:t>
      </w:r>
      <w:r>
        <w:rPr>
          <w:spacing w:val="41"/>
        </w:rPr>
        <w:t> </w:t>
      </w:r>
      <w:r>
        <w:rPr/>
        <w:t>and gives primacy </w:t>
      </w:r>
      <w:r>
        <w:rPr>
          <w:spacing w:val="-3"/>
        </w:rPr>
        <w:t>to  </w:t>
      </w:r>
      <w:r>
        <w:rPr/>
        <w:t>the </w:t>
      </w:r>
      <w:r>
        <w:rPr>
          <w:spacing w:val="-3"/>
        </w:rPr>
        <w:t>will-maker’s  intent:  </w:t>
      </w:r>
      <w:r>
        <w:rPr/>
        <w:t>where there is  no property set aside </w:t>
      </w:r>
      <w:r>
        <w:rPr>
          <w:spacing w:val="-3"/>
        </w:rPr>
        <w:t>for </w:t>
      </w:r>
      <w:r>
        <w:rPr/>
        <w:t>payment of debts, property </w:t>
      </w:r>
      <w:r>
        <w:rPr>
          <w:spacing w:val="-2"/>
        </w:rPr>
        <w:t>not </w:t>
      </w:r>
      <w:r>
        <w:rPr/>
        <w:t>specifically given is exhausted first. This </w:t>
      </w:r>
      <w:r>
        <w:rPr>
          <w:spacing w:val="-3"/>
        </w:rPr>
        <w:t>revision </w:t>
      </w:r>
      <w:r>
        <w:rPr/>
        <w:t>would resolve difficulties of </w:t>
      </w:r>
      <w:r>
        <w:rPr>
          <w:spacing w:val="-3"/>
        </w:rPr>
        <w:t>judicial interpretation  </w:t>
      </w:r>
      <w:r>
        <w:rPr/>
        <w:t>affecting the Victorian</w:t>
      </w:r>
      <w:r>
        <w:rPr>
          <w:spacing w:val="8"/>
        </w:rPr>
        <w:t> </w:t>
      </w:r>
      <w:r>
        <w:rPr>
          <w:spacing w:val="-3"/>
        </w:rPr>
        <w:t>provisions.</w:t>
      </w:r>
    </w:p>
    <w:p>
      <w:pPr>
        <w:pStyle w:val="ListParagraph"/>
        <w:numPr>
          <w:ilvl w:val="1"/>
          <w:numId w:val="22"/>
        </w:numPr>
        <w:tabs>
          <w:tab w:pos="2380" w:val="left" w:leader="none"/>
          <w:tab w:pos="2381" w:val="left" w:leader="none"/>
        </w:tabs>
        <w:spacing w:line="242" w:lineRule="auto" w:before="124" w:after="0"/>
        <w:ind w:left="2381" w:right="1745" w:hanging="794"/>
        <w:jc w:val="left"/>
        <w:rPr>
          <w:sz w:val="21"/>
        </w:rPr>
      </w:pPr>
      <w:r>
        <w:rPr>
          <w:w w:val="105"/>
          <w:sz w:val="21"/>
        </w:rPr>
        <w:t>Almost</w:t>
      </w:r>
      <w:r>
        <w:rPr>
          <w:spacing w:val="-11"/>
          <w:w w:val="105"/>
          <w:sz w:val="21"/>
        </w:rPr>
        <w:t> </w:t>
      </w:r>
      <w:r>
        <w:rPr>
          <w:spacing w:val="-3"/>
          <w:w w:val="105"/>
          <w:sz w:val="21"/>
        </w:rPr>
        <w:t>all</w:t>
      </w:r>
      <w:r>
        <w:rPr>
          <w:spacing w:val="-11"/>
          <w:w w:val="105"/>
          <w:sz w:val="21"/>
        </w:rPr>
        <w:t> </w:t>
      </w:r>
      <w:r>
        <w:rPr>
          <w:spacing w:val="-3"/>
          <w:w w:val="105"/>
          <w:sz w:val="21"/>
        </w:rPr>
        <w:t>submissions</w:t>
      </w:r>
      <w:r>
        <w:rPr>
          <w:spacing w:val="-10"/>
          <w:w w:val="105"/>
          <w:sz w:val="21"/>
        </w:rPr>
        <w:t> </w:t>
      </w:r>
      <w:r>
        <w:rPr>
          <w:w w:val="105"/>
          <w:sz w:val="21"/>
        </w:rPr>
        <w:t>strongly</w:t>
      </w:r>
      <w:r>
        <w:rPr>
          <w:spacing w:val="-11"/>
          <w:w w:val="105"/>
          <w:sz w:val="21"/>
        </w:rPr>
        <w:t> </w:t>
      </w:r>
      <w:r>
        <w:rPr>
          <w:w w:val="105"/>
          <w:sz w:val="21"/>
        </w:rPr>
        <w:t>supported</w:t>
      </w:r>
      <w:r>
        <w:rPr>
          <w:spacing w:val="-10"/>
          <w:w w:val="105"/>
          <w:sz w:val="21"/>
        </w:rPr>
        <w:t> </w:t>
      </w:r>
      <w:r>
        <w:rPr>
          <w:spacing w:val="-3"/>
          <w:w w:val="105"/>
          <w:sz w:val="21"/>
        </w:rPr>
        <w:t>revising</w:t>
      </w:r>
      <w:r>
        <w:rPr>
          <w:spacing w:val="-11"/>
          <w:w w:val="105"/>
          <w:sz w:val="21"/>
        </w:rPr>
        <w:t> </w:t>
      </w:r>
      <w:r>
        <w:rPr>
          <w:w w:val="105"/>
          <w:sz w:val="21"/>
        </w:rPr>
        <w:t>the</w:t>
      </w:r>
      <w:r>
        <w:rPr>
          <w:spacing w:val="-11"/>
          <w:w w:val="105"/>
          <w:sz w:val="21"/>
        </w:rPr>
        <w:t> </w:t>
      </w:r>
      <w:r>
        <w:rPr>
          <w:w w:val="105"/>
          <w:sz w:val="21"/>
        </w:rPr>
        <w:t>Victorian</w:t>
      </w:r>
      <w:r>
        <w:rPr>
          <w:spacing w:val="-10"/>
          <w:w w:val="105"/>
          <w:sz w:val="21"/>
        </w:rPr>
        <w:t> </w:t>
      </w:r>
      <w:r>
        <w:rPr>
          <w:spacing w:val="-3"/>
          <w:w w:val="105"/>
          <w:sz w:val="21"/>
        </w:rPr>
        <w:t>provisions</w:t>
      </w:r>
      <w:r>
        <w:rPr>
          <w:spacing w:val="-11"/>
          <w:w w:val="105"/>
          <w:sz w:val="21"/>
        </w:rPr>
        <w:t> </w:t>
      </w:r>
      <w:r>
        <w:rPr>
          <w:w w:val="105"/>
          <w:sz w:val="21"/>
        </w:rPr>
        <w:t>in</w:t>
      </w:r>
      <w:r>
        <w:rPr>
          <w:spacing w:val="-10"/>
          <w:w w:val="105"/>
          <w:sz w:val="21"/>
        </w:rPr>
        <w:t> </w:t>
      </w:r>
      <w:r>
        <w:rPr>
          <w:spacing w:val="-3"/>
          <w:w w:val="105"/>
          <w:sz w:val="21"/>
        </w:rPr>
        <w:t>accordance </w:t>
      </w:r>
      <w:r>
        <w:rPr>
          <w:w w:val="105"/>
          <w:sz w:val="21"/>
        </w:rPr>
        <w:t>with the </w:t>
      </w:r>
      <w:r>
        <w:rPr>
          <w:spacing w:val="-3"/>
          <w:w w:val="105"/>
          <w:sz w:val="21"/>
        </w:rPr>
        <w:t>National </w:t>
      </w:r>
      <w:r>
        <w:rPr>
          <w:spacing w:val="-4"/>
          <w:w w:val="105"/>
          <w:sz w:val="21"/>
        </w:rPr>
        <w:t>Committee’s </w:t>
      </w:r>
      <w:r>
        <w:rPr>
          <w:w w:val="105"/>
          <w:sz w:val="21"/>
        </w:rPr>
        <w:t>model order of application.</w:t>
      </w:r>
      <w:r>
        <w:rPr>
          <w:w w:val="105"/>
          <w:position w:val="7"/>
          <w:sz w:val="12"/>
        </w:rPr>
        <w:t>29 </w:t>
      </w:r>
      <w:r>
        <w:rPr>
          <w:w w:val="105"/>
          <w:sz w:val="21"/>
        </w:rPr>
        <w:t>The </w:t>
      </w:r>
      <w:r>
        <w:rPr>
          <w:spacing w:val="-3"/>
          <w:w w:val="105"/>
          <w:sz w:val="21"/>
        </w:rPr>
        <w:t>Commission </w:t>
      </w:r>
      <w:r>
        <w:rPr>
          <w:w w:val="105"/>
          <w:sz w:val="21"/>
        </w:rPr>
        <w:t>was </w:t>
      </w:r>
      <w:r>
        <w:rPr>
          <w:spacing w:val="-2"/>
          <w:w w:val="105"/>
          <w:sz w:val="21"/>
        </w:rPr>
        <w:t>not </w:t>
      </w:r>
      <w:r>
        <w:rPr>
          <w:spacing w:val="-3"/>
          <w:w w:val="105"/>
          <w:sz w:val="21"/>
        </w:rPr>
        <w:t>presented </w:t>
      </w:r>
      <w:r>
        <w:rPr>
          <w:w w:val="105"/>
          <w:sz w:val="21"/>
        </w:rPr>
        <w:t>with a persuasive reason why it would be </w:t>
      </w:r>
      <w:r>
        <w:rPr>
          <w:spacing w:val="-3"/>
          <w:w w:val="105"/>
          <w:sz w:val="21"/>
        </w:rPr>
        <w:t>preferable to retain </w:t>
      </w:r>
      <w:r>
        <w:rPr>
          <w:w w:val="105"/>
          <w:sz w:val="21"/>
        </w:rPr>
        <w:t>the </w:t>
      </w:r>
      <w:r>
        <w:rPr>
          <w:spacing w:val="-3"/>
          <w:w w:val="105"/>
          <w:sz w:val="21"/>
        </w:rPr>
        <w:t>current </w:t>
      </w:r>
      <w:r>
        <w:rPr>
          <w:w w:val="105"/>
          <w:sz w:val="21"/>
        </w:rPr>
        <w:t>law </w:t>
      </w:r>
      <w:r>
        <w:rPr>
          <w:spacing w:val="-3"/>
          <w:w w:val="105"/>
          <w:sz w:val="21"/>
        </w:rPr>
        <w:t>rather than </w:t>
      </w:r>
      <w:r>
        <w:rPr>
          <w:w w:val="105"/>
          <w:sz w:val="21"/>
        </w:rPr>
        <w:t>adopt the </w:t>
      </w:r>
      <w:r>
        <w:rPr>
          <w:spacing w:val="-3"/>
          <w:w w:val="105"/>
          <w:sz w:val="21"/>
        </w:rPr>
        <w:t>National </w:t>
      </w:r>
      <w:r>
        <w:rPr>
          <w:spacing w:val="-4"/>
          <w:w w:val="105"/>
          <w:sz w:val="21"/>
        </w:rPr>
        <w:t>Committee’s </w:t>
      </w:r>
      <w:r>
        <w:rPr>
          <w:w w:val="105"/>
          <w:sz w:val="21"/>
        </w:rPr>
        <w:t>model</w:t>
      </w:r>
      <w:r>
        <w:rPr>
          <w:spacing w:val="44"/>
          <w:w w:val="105"/>
          <w:sz w:val="21"/>
        </w:rPr>
        <w:t> </w:t>
      </w:r>
      <w:r>
        <w:rPr>
          <w:spacing w:val="-4"/>
          <w:w w:val="105"/>
          <w:sz w:val="21"/>
        </w:rPr>
        <w:t>order.</w:t>
      </w:r>
    </w:p>
    <w:p>
      <w:pPr>
        <w:pStyle w:val="ListParagraph"/>
        <w:numPr>
          <w:ilvl w:val="1"/>
          <w:numId w:val="22"/>
        </w:numPr>
        <w:tabs>
          <w:tab w:pos="2380" w:val="left" w:leader="none"/>
          <w:tab w:pos="2382" w:val="left" w:leader="none"/>
        </w:tabs>
        <w:spacing w:line="240" w:lineRule="auto" w:before="125" w:after="0"/>
        <w:ind w:left="2381" w:right="1888" w:hanging="794"/>
        <w:jc w:val="left"/>
        <w:rPr>
          <w:sz w:val="14"/>
        </w:rPr>
      </w:pPr>
      <w:r>
        <w:rPr>
          <w:w w:val="105"/>
          <w:sz w:val="21"/>
        </w:rPr>
        <w:t>The</w:t>
      </w:r>
      <w:r>
        <w:rPr>
          <w:spacing w:val="-4"/>
          <w:w w:val="105"/>
          <w:sz w:val="21"/>
        </w:rPr>
        <w:t> </w:t>
      </w:r>
      <w:r>
        <w:rPr>
          <w:spacing w:val="-3"/>
          <w:w w:val="105"/>
          <w:sz w:val="21"/>
        </w:rPr>
        <w:t>Commission</w:t>
      </w:r>
      <w:r>
        <w:rPr>
          <w:spacing w:val="-4"/>
          <w:w w:val="105"/>
          <w:sz w:val="21"/>
        </w:rPr>
        <w:t> </w:t>
      </w:r>
      <w:r>
        <w:rPr>
          <w:w w:val="105"/>
          <w:sz w:val="21"/>
        </w:rPr>
        <w:t>accepts</w:t>
      </w:r>
      <w:r>
        <w:rPr>
          <w:spacing w:val="-4"/>
          <w:w w:val="105"/>
          <w:sz w:val="21"/>
        </w:rPr>
        <w:t> </w:t>
      </w:r>
      <w:r>
        <w:rPr>
          <w:spacing w:val="-3"/>
          <w:w w:val="105"/>
          <w:sz w:val="21"/>
        </w:rPr>
        <w:t>that</w:t>
      </w:r>
      <w:r>
        <w:rPr>
          <w:spacing w:val="-4"/>
          <w:w w:val="105"/>
          <w:sz w:val="21"/>
        </w:rPr>
        <w:t> </w:t>
      </w:r>
      <w:r>
        <w:rPr>
          <w:w w:val="105"/>
          <w:sz w:val="21"/>
        </w:rPr>
        <w:t>the</w:t>
      </w:r>
      <w:r>
        <w:rPr>
          <w:spacing w:val="-4"/>
          <w:w w:val="105"/>
          <w:sz w:val="21"/>
        </w:rPr>
        <w:t> </w:t>
      </w:r>
      <w:r>
        <w:rPr>
          <w:w w:val="105"/>
          <w:sz w:val="21"/>
        </w:rPr>
        <w:t>arguments</w:t>
      </w:r>
      <w:r>
        <w:rPr>
          <w:spacing w:val="-4"/>
          <w:w w:val="105"/>
          <w:sz w:val="21"/>
        </w:rPr>
        <w:t> </w:t>
      </w:r>
      <w:r>
        <w:rPr>
          <w:w w:val="105"/>
          <w:sz w:val="21"/>
        </w:rPr>
        <w:t>in</w:t>
      </w:r>
      <w:r>
        <w:rPr>
          <w:spacing w:val="-4"/>
          <w:w w:val="105"/>
          <w:sz w:val="21"/>
        </w:rPr>
        <w:t> </w:t>
      </w:r>
      <w:r>
        <w:rPr>
          <w:w w:val="105"/>
          <w:sz w:val="21"/>
        </w:rPr>
        <w:t>support</w:t>
      </w:r>
      <w:r>
        <w:rPr>
          <w:spacing w:val="-4"/>
          <w:w w:val="105"/>
          <w:sz w:val="21"/>
        </w:rPr>
        <w:t> </w:t>
      </w:r>
      <w:r>
        <w:rPr>
          <w:w w:val="105"/>
          <w:sz w:val="21"/>
        </w:rPr>
        <w:t>of</w:t>
      </w:r>
      <w:r>
        <w:rPr>
          <w:spacing w:val="-4"/>
          <w:w w:val="105"/>
          <w:sz w:val="21"/>
        </w:rPr>
        <w:t> </w:t>
      </w:r>
      <w:r>
        <w:rPr>
          <w:w w:val="105"/>
          <w:sz w:val="21"/>
        </w:rPr>
        <w:t>the</w:t>
      </w:r>
      <w:r>
        <w:rPr>
          <w:spacing w:val="-4"/>
          <w:w w:val="105"/>
          <w:sz w:val="21"/>
        </w:rPr>
        <w:t> </w:t>
      </w:r>
      <w:r>
        <w:rPr>
          <w:w w:val="105"/>
          <w:sz w:val="21"/>
        </w:rPr>
        <w:t>proposed</w:t>
      </w:r>
      <w:r>
        <w:rPr>
          <w:spacing w:val="-4"/>
          <w:w w:val="105"/>
          <w:sz w:val="21"/>
        </w:rPr>
        <w:t> </w:t>
      </w:r>
      <w:r>
        <w:rPr>
          <w:spacing w:val="-3"/>
          <w:w w:val="105"/>
          <w:sz w:val="21"/>
        </w:rPr>
        <w:t>change</w:t>
      </w:r>
      <w:r>
        <w:rPr>
          <w:spacing w:val="-4"/>
          <w:w w:val="105"/>
          <w:sz w:val="21"/>
        </w:rPr>
        <w:t> </w:t>
      </w:r>
      <w:r>
        <w:rPr>
          <w:spacing w:val="-3"/>
          <w:w w:val="105"/>
          <w:sz w:val="21"/>
        </w:rPr>
        <w:t>to</w:t>
      </w:r>
      <w:r>
        <w:rPr>
          <w:spacing w:val="-4"/>
          <w:w w:val="105"/>
          <w:sz w:val="21"/>
        </w:rPr>
        <w:t> </w:t>
      </w:r>
      <w:r>
        <w:rPr>
          <w:w w:val="105"/>
          <w:sz w:val="21"/>
        </w:rPr>
        <w:t>the order</w:t>
      </w:r>
      <w:r>
        <w:rPr>
          <w:spacing w:val="-10"/>
          <w:w w:val="105"/>
          <w:sz w:val="21"/>
        </w:rPr>
        <w:t> </w:t>
      </w:r>
      <w:r>
        <w:rPr>
          <w:w w:val="105"/>
          <w:sz w:val="21"/>
        </w:rPr>
        <w:t>of</w:t>
      </w:r>
      <w:r>
        <w:rPr>
          <w:spacing w:val="-9"/>
          <w:w w:val="105"/>
          <w:sz w:val="21"/>
        </w:rPr>
        <w:t> </w:t>
      </w:r>
      <w:r>
        <w:rPr>
          <w:w w:val="105"/>
          <w:sz w:val="21"/>
        </w:rPr>
        <w:t>application</w:t>
      </w:r>
      <w:r>
        <w:rPr>
          <w:spacing w:val="-9"/>
          <w:w w:val="105"/>
          <w:sz w:val="21"/>
        </w:rPr>
        <w:t> </w:t>
      </w:r>
      <w:r>
        <w:rPr>
          <w:w w:val="105"/>
          <w:sz w:val="21"/>
        </w:rPr>
        <w:t>of</w:t>
      </w:r>
      <w:r>
        <w:rPr>
          <w:spacing w:val="-9"/>
          <w:w w:val="105"/>
          <w:sz w:val="21"/>
        </w:rPr>
        <w:t> </w:t>
      </w:r>
      <w:r>
        <w:rPr>
          <w:w w:val="105"/>
          <w:sz w:val="21"/>
        </w:rPr>
        <w:t>assets</w:t>
      </w:r>
      <w:r>
        <w:rPr>
          <w:spacing w:val="-9"/>
          <w:w w:val="105"/>
          <w:sz w:val="21"/>
        </w:rPr>
        <w:t> </w:t>
      </w:r>
      <w:r>
        <w:rPr>
          <w:spacing w:val="-3"/>
          <w:w w:val="105"/>
          <w:sz w:val="21"/>
        </w:rPr>
        <w:t>for</w:t>
      </w:r>
      <w:r>
        <w:rPr>
          <w:spacing w:val="-9"/>
          <w:w w:val="105"/>
          <w:sz w:val="21"/>
        </w:rPr>
        <w:t> </w:t>
      </w:r>
      <w:r>
        <w:rPr>
          <w:w w:val="105"/>
          <w:sz w:val="21"/>
        </w:rPr>
        <w:t>payment</w:t>
      </w:r>
      <w:r>
        <w:rPr>
          <w:spacing w:val="-9"/>
          <w:w w:val="105"/>
          <w:sz w:val="21"/>
        </w:rPr>
        <w:t> </w:t>
      </w:r>
      <w:r>
        <w:rPr>
          <w:w w:val="105"/>
          <w:sz w:val="21"/>
        </w:rPr>
        <w:t>of</w:t>
      </w:r>
      <w:r>
        <w:rPr>
          <w:spacing w:val="-9"/>
          <w:w w:val="105"/>
          <w:sz w:val="21"/>
        </w:rPr>
        <w:t> </w:t>
      </w:r>
      <w:r>
        <w:rPr>
          <w:w w:val="105"/>
          <w:sz w:val="21"/>
        </w:rPr>
        <w:t>debts</w:t>
      </w:r>
      <w:r>
        <w:rPr>
          <w:spacing w:val="-10"/>
          <w:w w:val="105"/>
          <w:sz w:val="21"/>
        </w:rPr>
        <w:t> </w:t>
      </w:r>
      <w:r>
        <w:rPr>
          <w:w w:val="105"/>
          <w:sz w:val="21"/>
        </w:rPr>
        <w:t>in</w:t>
      </w:r>
      <w:r>
        <w:rPr>
          <w:spacing w:val="-9"/>
          <w:w w:val="105"/>
          <w:sz w:val="21"/>
        </w:rPr>
        <w:t> </w:t>
      </w:r>
      <w:r>
        <w:rPr>
          <w:w w:val="105"/>
          <w:sz w:val="21"/>
        </w:rPr>
        <w:t>solvent</w:t>
      </w:r>
      <w:r>
        <w:rPr>
          <w:spacing w:val="-9"/>
          <w:w w:val="105"/>
          <w:sz w:val="21"/>
        </w:rPr>
        <w:t> </w:t>
      </w:r>
      <w:r>
        <w:rPr>
          <w:w w:val="105"/>
          <w:sz w:val="21"/>
        </w:rPr>
        <w:t>estates</w:t>
      </w:r>
      <w:r>
        <w:rPr>
          <w:spacing w:val="-9"/>
          <w:w w:val="105"/>
          <w:sz w:val="21"/>
        </w:rPr>
        <w:t> </w:t>
      </w:r>
      <w:r>
        <w:rPr>
          <w:spacing w:val="-3"/>
          <w:w w:val="105"/>
          <w:sz w:val="21"/>
        </w:rPr>
        <w:t>are</w:t>
      </w:r>
      <w:r>
        <w:rPr>
          <w:spacing w:val="-9"/>
          <w:w w:val="105"/>
          <w:sz w:val="21"/>
        </w:rPr>
        <w:t> </w:t>
      </w:r>
      <w:r>
        <w:rPr>
          <w:spacing w:val="-3"/>
          <w:w w:val="105"/>
          <w:sz w:val="21"/>
        </w:rPr>
        <w:t>well-founded </w:t>
      </w:r>
      <w:r>
        <w:rPr>
          <w:w w:val="105"/>
          <w:sz w:val="21"/>
        </w:rPr>
        <w:t>and </w:t>
      </w:r>
      <w:r>
        <w:rPr>
          <w:spacing w:val="-3"/>
          <w:w w:val="105"/>
          <w:sz w:val="21"/>
        </w:rPr>
        <w:t>that </w:t>
      </w:r>
      <w:r>
        <w:rPr>
          <w:w w:val="105"/>
          <w:sz w:val="21"/>
        </w:rPr>
        <w:t>the Victorian order should be amended </w:t>
      </w:r>
      <w:r>
        <w:rPr>
          <w:spacing w:val="-3"/>
          <w:w w:val="105"/>
          <w:sz w:val="21"/>
        </w:rPr>
        <w:t>to </w:t>
      </w:r>
      <w:r>
        <w:rPr>
          <w:w w:val="105"/>
          <w:sz w:val="21"/>
        </w:rPr>
        <w:t>reflect the </w:t>
      </w:r>
      <w:r>
        <w:rPr>
          <w:spacing w:val="-3"/>
          <w:w w:val="105"/>
          <w:sz w:val="21"/>
        </w:rPr>
        <w:t>National </w:t>
      </w:r>
      <w:r>
        <w:rPr>
          <w:spacing w:val="-4"/>
          <w:w w:val="105"/>
          <w:sz w:val="21"/>
        </w:rPr>
        <w:t>Committee’s </w:t>
      </w:r>
      <w:r>
        <w:rPr>
          <w:w w:val="105"/>
          <w:sz w:val="21"/>
        </w:rPr>
        <w:t>model.</w:t>
      </w:r>
      <w:r>
        <w:rPr>
          <w:w w:val="105"/>
          <w:position w:val="8"/>
          <w:sz w:val="14"/>
        </w:rPr>
        <w:t>30</w:t>
      </w:r>
    </w:p>
    <w:p>
      <w:pPr>
        <w:pStyle w:val="BodyText"/>
        <w:spacing w:before="1"/>
        <w:rPr>
          <w:sz w:val="24"/>
        </w:rPr>
      </w:pPr>
    </w:p>
    <w:p>
      <w:pPr>
        <w:spacing w:before="98"/>
        <w:ind w:left="1814" w:right="0" w:firstLine="0"/>
        <w:jc w:val="left"/>
        <w:rPr>
          <w:b/>
          <w:sz w:val="32"/>
        </w:rPr>
      </w:pPr>
      <w:r>
        <w:rPr/>
        <w:pict>
          <v:group style="position:absolute;margin-left:62.362202pt;margin-top:-3.396015pt;width:479.1pt;height:314.55pt;mso-position-horizontal-relative:page;mso-position-vertical-relative:paragraph;z-index:-295744" coordorigin="1247,-68" coordsize="9582,6291">
            <v:rect style="position:absolute;left:1587;top:-68;width:8731;height:6291" filled="true" fillcolor="#fdebea" stroked="false">
              <v:fill type="solid"/>
            </v:rect>
            <v:line style="position:absolute" from="1247,683" to="10828,683" stroked="true" strokeweight="2.5pt" strokecolor="#ffffff">
              <v:stroke dashstyle="solid"/>
            </v:line>
            <w10:wrap type="none"/>
          </v:group>
        </w:pict>
      </w:r>
      <w:r>
        <w:rPr>
          <w:b/>
          <w:color w:val="EC5A4F"/>
          <w:w w:val="110"/>
          <w:sz w:val="32"/>
        </w:rPr>
        <w:t>Recommendation</w:t>
      </w:r>
    </w:p>
    <w:p>
      <w:pPr>
        <w:pStyle w:val="BodyText"/>
        <w:spacing w:before="9"/>
        <w:rPr>
          <w:b/>
          <w:sz w:val="34"/>
        </w:rPr>
      </w:pPr>
    </w:p>
    <w:p>
      <w:pPr>
        <w:tabs>
          <w:tab w:pos="2380" w:val="left" w:leader="none"/>
        </w:tabs>
        <w:spacing w:before="1"/>
        <w:ind w:left="1814" w:right="0" w:firstLine="0"/>
        <w:jc w:val="left"/>
        <w:rPr>
          <w:sz w:val="21"/>
        </w:rPr>
      </w:pPr>
      <w:r>
        <w:rPr>
          <w:w w:val="105"/>
          <w:sz w:val="21"/>
        </w:rPr>
        <w:t>63</w:t>
        <w:tab/>
        <w:t>The</w:t>
      </w:r>
      <w:r>
        <w:rPr>
          <w:spacing w:val="3"/>
          <w:w w:val="105"/>
          <w:sz w:val="21"/>
        </w:rPr>
        <w:t> </w:t>
      </w:r>
      <w:r>
        <w:rPr>
          <w:rFonts w:ascii="Lucida Sans"/>
          <w:i/>
          <w:w w:val="105"/>
          <w:sz w:val="21"/>
        </w:rPr>
        <w:t>Administration</w:t>
      </w:r>
      <w:r>
        <w:rPr>
          <w:rFonts w:ascii="Lucida Sans"/>
          <w:i/>
          <w:spacing w:val="-17"/>
          <w:w w:val="105"/>
          <w:sz w:val="21"/>
        </w:rPr>
        <w:t> </w:t>
      </w:r>
      <w:r>
        <w:rPr>
          <w:rFonts w:ascii="Lucida Sans"/>
          <w:i/>
          <w:w w:val="105"/>
          <w:sz w:val="21"/>
        </w:rPr>
        <w:t>and</w:t>
      </w:r>
      <w:r>
        <w:rPr>
          <w:rFonts w:ascii="Lucida Sans"/>
          <w:i/>
          <w:spacing w:val="-17"/>
          <w:w w:val="105"/>
          <w:sz w:val="21"/>
        </w:rPr>
        <w:t> </w:t>
      </w:r>
      <w:r>
        <w:rPr>
          <w:rFonts w:ascii="Lucida Sans"/>
          <w:i/>
          <w:w w:val="105"/>
          <w:sz w:val="21"/>
        </w:rPr>
        <w:t>Probate</w:t>
      </w:r>
      <w:r>
        <w:rPr>
          <w:rFonts w:ascii="Lucida Sans"/>
          <w:i/>
          <w:spacing w:val="-16"/>
          <w:w w:val="105"/>
          <w:sz w:val="21"/>
        </w:rPr>
        <w:t> </w:t>
      </w:r>
      <w:r>
        <w:rPr>
          <w:rFonts w:ascii="Lucida Sans"/>
          <w:i/>
          <w:w w:val="105"/>
          <w:sz w:val="21"/>
        </w:rPr>
        <w:t>Act</w:t>
      </w:r>
      <w:r>
        <w:rPr>
          <w:rFonts w:ascii="Lucida Sans"/>
          <w:i/>
          <w:spacing w:val="-17"/>
          <w:w w:val="105"/>
          <w:sz w:val="21"/>
        </w:rPr>
        <w:t> </w:t>
      </w:r>
      <w:r>
        <w:rPr>
          <w:rFonts w:ascii="Lucida Sans"/>
          <w:i/>
          <w:spacing w:val="-4"/>
          <w:w w:val="105"/>
          <w:sz w:val="21"/>
        </w:rPr>
        <w:t>1958</w:t>
      </w:r>
      <w:r>
        <w:rPr>
          <w:rFonts w:ascii="Lucida Sans"/>
          <w:i/>
          <w:spacing w:val="-16"/>
          <w:w w:val="105"/>
          <w:sz w:val="21"/>
        </w:rPr>
        <w:t> </w:t>
      </w:r>
      <w:r>
        <w:rPr>
          <w:w w:val="105"/>
          <w:sz w:val="21"/>
        </w:rPr>
        <w:t>(Vic)</w:t>
      </w:r>
      <w:r>
        <w:rPr>
          <w:spacing w:val="3"/>
          <w:w w:val="105"/>
          <w:sz w:val="21"/>
        </w:rPr>
        <w:t> </w:t>
      </w:r>
      <w:r>
        <w:rPr>
          <w:w w:val="105"/>
          <w:sz w:val="21"/>
        </w:rPr>
        <w:t>should</w:t>
      </w:r>
      <w:r>
        <w:rPr>
          <w:spacing w:val="3"/>
          <w:w w:val="105"/>
          <w:sz w:val="21"/>
        </w:rPr>
        <w:t> </w:t>
      </w:r>
      <w:r>
        <w:rPr>
          <w:w w:val="105"/>
          <w:sz w:val="21"/>
        </w:rPr>
        <w:t>be</w:t>
      </w:r>
      <w:r>
        <w:rPr>
          <w:spacing w:val="3"/>
          <w:w w:val="105"/>
          <w:sz w:val="21"/>
        </w:rPr>
        <w:t> </w:t>
      </w:r>
      <w:r>
        <w:rPr>
          <w:w w:val="105"/>
          <w:sz w:val="21"/>
        </w:rPr>
        <w:t>amended</w:t>
      </w:r>
      <w:r>
        <w:rPr>
          <w:spacing w:val="4"/>
          <w:w w:val="105"/>
          <w:sz w:val="21"/>
        </w:rPr>
        <w:t> </w:t>
      </w:r>
      <w:r>
        <w:rPr>
          <w:w w:val="105"/>
          <w:sz w:val="21"/>
        </w:rPr>
        <w:t>to:</w:t>
      </w:r>
    </w:p>
    <w:p>
      <w:pPr>
        <w:pStyle w:val="ListParagraph"/>
        <w:numPr>
          <w:ilvl w:val="1"/>
          <w:numId w:val="136"/>
        </w:numPr>
        <w:tabs>
          <w:tab w:pos="2722" w:val="left" w:leader="none"/>
        </w:tabs>
        <w:spacing w:line="242" w:lineRule="auto" w:before="123" w:after="0"/>
        <w:ind w:left="2721" w:right="1982" w:hanging="340"/>
        <w:jc w:val="left"/>
        <w:rPr>
          <w:sz w:val="21"/>
        </w:rPr>
      </w:pPr>
      <w:r>
        <w:rPr>
          <w:w w:val="115"/>
          <w:sz w:val="21"/>
        </w:rPr>
        <w:t>repeal</w:t>
      </w:r>
      <w:r>
        <w:rPr>
          <w:spacing w:val="-9"/>
          <w:w w:val="115"/>
          <w:sz w:val="21"/>
        </w:rPr>
        <w:t> </w:t>
      </w:r>
      <w:r>
        <w:rPr>
          <w:w w:val="115"/>
          <w:sz w:val="21"/>
        </w:rPr>
        <w:t>Part</w:t>
      </w:r>
      <w:r>
        <w:rPr>
          <w:spacing w:val="-8"/>
          <w:w w:val="115"/>
          <w:sz w:val="21"/>
        </w:rPr>
        <w:t> </w:t>
      </w:r>
      <w:r>
        <w:rPr>
          <w:w w:val="115"/>
          <w:sz w:val="21"/>
        </w:rPr>
        <w:t>II</w:t>
      </w:r>
      <w:r>
        <w:rPr>
          <w:spacing w:val="-8"/>
          <w:w w:val="115"/>
          <w:sz w:val="21"/>
        </w:rPr>
        <w:t> </w:t>
      </w:r>
      <w:r>
        <w:rPr>
          <w:w w:val="115"/>
          <w:sz w:val="21"/>
        </w:rPr>
        <w:t>of</w:t>
      </w:r>
      <w:r>
        <w:rPr>
          <w:spacing w:val="-9"/>
          <w:w w:val="115"/>
          <w:sz w:val="21"/>
        </w:rPr>
        <w:t> </w:t>
      </w:r>
      <w:r>
        <w:rPr>
          <w:w w:val="115"/>
          <w:sz w:val="21"/>
        </w:rPr>
        <w:t>the</w:t>
      </w:r>
      <w:r>
        <w:rPr>
          <w:spacing w:val="-8"/>
          <w:w w:val="115"/>
          <w:sz w:val="21"/>
        </w:rPr>
        <w:t> </w:t>
      </w:r>
      <w:r>
        <w:rPr>
          <w:w w:val="115"/>
          <w:sz w:val="21"/>
        </w:rPr>
        <w:t>Second</w:t>
      </w:r>
      <w:r>
        <w:rPr>
          <w:spacing w:val="-8"/>
          <w:w w:val="115"/>
          <w:sz w:val="21"/>
        </w:rPr>
        <w:t> </w:t>
      </w:r>
      <w:r>
        <w:rPr>
          <w:w w:val="115"/>
          <w:sz w:val="21"/>
        </w:rPr>
        <w:t>Schedule</w:t>
      </w:r>
      <w:r>
        <w:rPr>
          <w:spacing w:val="-9"/>
          <w:w w:val="115"/>
          <w:sz w:val="21"/>
        </w:rPr>
        <w:t> </w:t>
      </w:r>
      <w:r>
        <w:rPr>
          <w:w w:val="115"/>
          <w:sz w:val="21"/>
        </w:rPr>
        <w:t>(order</w:t>
      </w:r>
      <w:r>
        <w:rPr>
          <w:spacing w:val="-8"/>
          <w:w w:val="115"/>
          <w:sz w:val="21"/>
        </w:rPr>
        <w:t> </w:t>
      </w:r>
      <w:r>
        <w:rPr>
          <w:w w:val="115"/>
          <w:sz w:val="21"/>
        </w:rPr>
        <w:t>of</w:t>
      </w:r>
      <w:r>
        <w:rPr>
          <w:spacing w:val="-8"/>
          <w:w w:val="115"/>
          <w:sz w:val="21"/>
        </w:rPr>
        <w:t> </w:t>
      </w:r>
      <w:r>
        <w:rPr>
          <w:w w:val="115"/>
          <w:sz w:val="21"/>
        </w:rPr>
        <w:t>application</w:t>
      </w:r>
      <w:r>
        <w:rPr>
          <w:spacing w:val="-9"/>
          <w:w w:val="115"/>
          <w:sz w:val="21"/>
        </w:rPr>
        <w:t> </w:t>
      </w:r>
      <w:r>
        <w:rPr>
          <w:w w:val="115"/>
          <w:sz w:val="21"/>
        </w:rPr>
        <w:t>of</w:t>
      </w:r>
      <w:r>
        <w:rPr>
          <w:spacing w:val="-8"/>
          <w:w w:val="115"/>
          <w:sz w:val="21"/>
        </w:rPr>
        <w:t> </w:t>
      </w:r>
      <w:r>
        <w:rPr>
          <w:w w:val="115"/>
          <w:sz w:val="21"/>
        </w:rPr>
        <w:t>assets</w:t>
      </w:r>
      <w:r>
        <w:rPr>
          <w:spacing w:val="-8"/>
          <w:w w:val="115"/>
          <w:sz w:val="21"/>
        </w:rPr>
        <w:t> </w:t>
      </w:r>
      <w:r>
        <w:rPr>
          <w:w w:val="115"/>
          <w:sz w:val="21"/>
        </w:rPr>
        <w:t>where the estate is solvent)</w:t>
      </w:r>
    </w:p>
    <w:p>
      <w:pPr>
        <w:pStyle w:val="ListParagraph"/>
        <w:numPr>
          <w:ilvl w:val="1"/>
          <w:numId w:val="136"/>
        </w:numPr>
        <w:tabs>
          <w:tab w:pos="2722" w:val="left" w:leader="none"/>
        </w:tabs>
        <w:spacing w:line="242" w:lineRule="auto" w:before="123" w:after="0"/>
        <w:ind w:left="2721" w:right="2182" w:hanging="340"/>
        <w:jc w:val="left"/>
        <w:rPr>
          <w:sz w:val="21"/>
        </w:rPr>
      </w:pPr>
      <w:r>
        <w:rPr>
          <w:w w:val="115"/>
          <w:sz w:val="21"/>
        </w:rPr>
        <w:t>provide in section </w:t>
      </w:r>
      <w:r>
        <w:rPr>
          <w:spacing w:val="2"/>
          <w:w w:val="115"/>
          <w:sz w:val="21"/>
        </w:rPr>
        <w:t>39(2) </w:t>
      </w:r>
      <w:r>
        <w:rPr>
          <w:w w:val="115"/>
          <w:sz w:val="21"/>
        </w:rPr>
        <w:t>of the Act the </w:t>
      </w:r>
      <w:r>
        <w:rPr>
          <w:spacing w:val="-2"/>
          <w:w w:val="115"/>
          <w:sz w:val="21"/>
        </w:rPr>
        <w:t>following </w:t>
      </w:r>
      <w:r>
        <w:rPr>
          <w:w w:val="115"/>
          <w:sz w:val="21"/>
        </w:rPr>
        <w:t>order of application, as recommended</w:t>
      </w:r>
      <w:r>
        <w:rPr>
          <w:spacing w:val="-15"/>
          <w:w w:val="115"/>
          <w:sz w:val="21"/>
        </w:rPr>
        <w:t> </w:t>
      </w:r>
      <w:r>
        <w:rPr>
          <w:w w:val="115"/>
          <w:sz w:val="21"/>
        </w:rPr>
        <w:t>by</w:t>
      </w:r>
      <w:r>
        <w:rPr>
          <w:spacing w:val="-15"/>
          <w:w w:val="115"/>
          <w:sz w:val="21"/>
        </w:rPr>
        <w:t> </w:t>
      </w:r>
      <w:r>
        <w:rPr>
          <w:w w:val="115"/>
          <w:sz w:val="21"/>
        </w:rPr>
        <w:t>the</w:t>
      </w:r>
      <w:r>
        <w:rPr>
          <w:spacing w:val="-15"/>
          <w:w w:val="115"/>
          <w:sz w:val="21"/>
        </w:rPr>
        <w:t> </w:t>
      </w:r>
      <w:r>
        <w:rPr>
          <w:w w:val="115"/>
          <w:sz w:val="21"/>
        </w:rPr>
        <w:t>National</w:t>
      </w:r>
      <w:r>
        <w:rPr>
          <w:spacing w:val="-15"/>
          <w:w w:val="115"/>
          <w:sz w:val="21"/>
        </w:rPr>
        <w:t> </w:t>
      </w:r>
      <w:r>
        <w:rPr>
          <w:w w:val="115"/>
          <w:sz w:val="21"/>
        </w:rPr>
        <w:t>Committee</w:t>
      </w:r>
      <w:r>
        <w:rPr>
          <w:spacing w:val="-15"/>
          <w:w w:val="115"/>
          <w:sz w:val="21"/>
        </w:rPr>
        <w:t> </w:t>
      </w:r>
      <w:r>
        <w:rPr>
          <w:w w:val="115"/>
          <w:sz w:val="21"/>
        </w:rPr>
        <w:t>for</w:t>
      </w:r>
      <w:r>
        <w:rPr>
          <w:spacing w:val="-15"/>
          <w:w w:val="115"/>
          <w:sz w:val="21"/>
        </w:rPr>
        <w:t> </w:t>
      </w:r>
      <w:r>
        <w:rPr>
          <w:w w:val="115"/>
          <w:sz w:val="21"/>
        </w:rPr>
        <w:t>Uniform</w:t>
      </w:r>
      <w:r>
        <w:rPr>
          <w:spacing w:val="-15"/>
          <w:w w:val="115"/>
          <w:sz w:val="21"/>
        </w:rPr>
        <w:t> </w:t>
      </w:r>
      <w:r>
        <w:rPr>
          <w:w w:val="115"/>
          <w:sz w:val="21"/>
        </w:rPr>
        <w:t>Succession</w:t>
      </w:r>
      <w:r>
        <w:rPr>
          <w:spacing w:val="-14"/>
          <w:w w:val="115"/>
          <w:sz w:val="21"/>
        </w:rPr>
        <w:t> </w:t>
      </w:r>
      <w:r>
        <w:rPr>
          <w:w w:val="115"/>
          <w:sz w:val="21"/>
        </w:rPr>
        <w:t>Laws:</w:t>
      </w:r>
    </w:p>
    <w:p>
      <w:pPr>
        <w:pStyle w:val="ListParagraph"/>
        <w:numPr>
          <w:ilvl w:val="2"/>
          <w:numId w:val="136"/>
        </w:numPr>
        <w:tabs>
          <w:tab w:pos="2944" w:val="left" w:leader="none"/>
        </w:tabs>
        <w:spacing w:line="242" w:lineRule="auto" w:before="122" w:after="0"/>
        <w:ind w:left="2943" w:right="1988" w:hanging="222"/>
        <w:jc w:val="left"/>
        <w:rPr>
          <w:sz w:val="21"/>
        </w:rPr>
      </w:pPr>
      <w:r>
        <w:rPr>
          <w:w w:val="115"/>
          <w:sz w:val="21"/>
        </w:rPr>
        <w:t>Property specifically appropriated or given by </w:t>
      </w:r>
      <w:r>
        <w:rPr>
          <w:spacing w:val="-3"/>
          <w:w w:val="115"/>
          <w:sz w:val="21"/>
        </w:rPr>
        <w:t>will </w:t>
      </w:r>
      <w:r>
        <w:rPr>
          <w:w w:val="115"/>
          <w:sz w:val="21"/>
        </w:rPr>
        <w:t>(either by a specific or</w:t>
      </w:r>
      <w:r>
        <w:rPr>
          <w:spacing w:val="-5"/>
          <w:w w:val="115"/>
          <w:sz w:val="21"/>
        </w:rPr>
        <w:t> </w:t>
      </w:r>
      <w:r>
        <w:rPr>
          <w:w w:val="115"/>
          <w:sz w:val="21"/>
        </w:rPr>
        <w:t>general</w:t>
      </w:r>
      <w:r>
        <w:rPr>
          <w:spacing w:val="-5"/>
          <w:w w:val="115"/>
          <w:sz w:val="21"/>
        </w:rPr>
        <w:t> </w:t>
      </w:r>
      <w:r>
        <w:rPr>
          <w:w w:val="115"/>
          <w:sz w:val="21"/>
        </w:rPr>
        <w:t>description)</w:t>
      </w:r>
      <w:r>
        <w:rPr>
          <w:spacing w:val="-5"/>
          <w:w w:val="115"/>
          <w:sz w:val="21"/>
        </w:rPr>
        <w:t> </w:t>
      </w:r>
      <w:r>
        <w:rPr>
          <w:w w:val="115"/>
          <w:sz w:val="21"/>
        </w:rPr>
        <w:t>for</w:t>
      </w:r>
      <w:r>
        <w:rPr>
          <w:spacing w:val="-4"/>
          <w:w w:val="115"/>
          <w:sz w:val="21"/>
        </w:rPr>
        <w:t> </w:t>
      </w:r>
      <w:r>
        <w:rPr>
          <w:w w:val="115"/>
          <w:sz w:val="21"/>
        </w:rPr>
        <w:t>the</w:t>
      </w:r>
      <w:r>
        <w:rPr>
          <w:spacing w:val="-5"/>
          <w:w w:val="115"/>
          <w:sz w:val="21"/>
        </w:rPr>
        <w:t> </w:t>
      </w:r>
      <w:r>
        <w:rPr>
          <w:w w:val="115"/>
          <w:sz w:val="21"/>
        </w:rPr>
        <w:t>payment</w:t>
      </w:r>
      <w:r>
        <w:rPr>
          <w:spacing w:val="-5"/>
          <w:w w:val="115"/>
          <w:sz w:val="21"/>
        </w:rPr>
        <w:t> </w:t>
      </w:r>
      <w:r>
        <w:rPr>
          <w:w w:val="115"/>
          <w:sz w:val="21"/>
        </w:rPr>
        <w:t>of</w:t>
      </w:r>
      <w:r>
        <w:rPr>
          <w:spacing w:val="-4"/>
          <w:w w:val="115"/>
          <w:sz w:val="21"/>
        </w:rPr>
        <w:t> </w:t>
      </w:r>
      <w:r>
        <w:rPr>
          <w:w w:val="115"/>
          <w:sz w:val="21"/>
        </w:rPr>
        <w:t>debts;</w:t>
      </w:r>
      <w:r>
        <w:rPr>
          <w:spacing w:val="-5"/>
          <w:w w:val="115"/>
          <w:sz w:val="21"/>
        </w:rPr>
        <w:t> </w:t>
      </w:r>
      <w:r>
        <w:rPr>
          <w:w w:val="115"/>
          <w:sz w:val="21"/>
        </w:rPr>
        <w:t>and</w:t>
      </w:r>
      <w:r>
        <w:rPr>
          <w:spacing w:val="-5"/>
          <w:w w:val="115"/>
          <w:sz w:val="21"/>
        </w:rPr>
        <w:t> </w:t>
      </w:r>
      <w:r>
        <w:rPr>
          <w:w w:val="115"/>
          <w:sz w:val="21"/>
        </w:rPr>
        <w:t>property</w:t>
      </w:r>
      <w:r>
        <w:rPr>
          <w:spacing w:val="-4"/>
          <w:w w:val="115"/>
          <w:sz w:val="21"/>
        </w:rPr>
        <w:t> </w:t>
      </w:r>
      <w:r>
        <w:rPr>
          <w:w w:val="115"/>
          <w:sz w:val="21"/>
        </w:rPr>
        <w:t>charged by </w:t>
      </w:r>
      <w:r>
        <w:rPr>
          <w:spacing w:val="-3"/>
          <w:w w:val="115"/>
          <w:sz w:val="21"/>
        </w:rPr>
        <w:t>will </w:t>
      </w:r>
      <w:r>
        <w:rPr>
          <w:w w:val="115"/>
          <w:sz w:val="21"/>
        </w:rPr>
        <w:t>with, or given by </w:t>
      </w:r>
      <w:r>
        <w:rPr>
          <w:spacing w:val="-3"/>
          <w:w w:val="115"/>
          <w:sz w:val="21"/>
        </w:rPr>
        <w:t>will </w:t>
      </w:r>
      <w:r>
        <w:rPr>
          <w:w w:val="115"/>
          <w:sz w:val="21"/>
        </w:rPr>
        <w:t>(either by a specific or general description) subject to a charge </w:t>
      </w:r>
      <w:r>
        <w:rPr>
          <w:spacing w:val="-4"/>
          <w:w w:val="115"/>
          <w:sz w:val="21"/>
        </w:rPr>
        <w:t>for, </w:t>
      </w:r>
      <w:r>
        <w:rPr>
          <w:w w:val="115"/>
          <w:sz w:val="21"/>
        </w:rPr>
        <w:t>the payment of</w:t>
      </w:r>
      <w:r>
        <w:rPr>
          <w:spacing w:val="3"/>
          <w:w w:val="115"/>
          <w:sz w:val="21"/>
        </w:rPr>
        <w:t> </w:t>
      </w:r>
      <w:r>
        <w:rPr>
          <w:w w:val="115"/>
          <w:sz w:val="21"/>
        </w:rPr>
        <w:t>debts.</w:t>
      </w:r>
    </w:p>
    <w:p>
      <w:pPr>
        <w:pStyle w:val="ListParagraph"/>
        <w:numPr>
          <w:ilvl w:val="2"/>
          <w:numId w:val="136"/>
        </w:numPr>
        <w:tabs>
          <w:tab w:pos="2954" w:val="left" w:leader="none"/>
        </w:tabs>
        <w:spacing w:line="242" w:lineRule="auto" w:before="124" w:after="0"/>
        <w:ind w:left="2953" w:right="2019" w:hanging="232"/>
        <w:jc w:val="left"/>
        <w:rPr>
          <w:sz w:val="21"/>
        </w:rPr>
      </w:pPr>
      <w:r>
        <w:rPr>
          <w:w w:val="115"/>
          <w:sz w:val="21"/>
        </w:rPr>
        <w:t>Property comprising the residuary estate of the deceased person and property</w:t>
      </w:r>
      <w:r>
        <w:rPr>
          <w:spacing w:val="-8"/>
          <w:w w:val="115"/>
          <w:sz w:val="21"/>
        </w:rPr>
        <w:t> </w:t>
      </w:r>
      <w:r>
        <w:rPr>
          <w:w w:val="115"/>
          <w:sz w:val="21"/>
        </w:rPr>
        <w:t>in</w:t>
      </w:r>
      <w:r>
        <w:rPr>
          <w:spacing w:val="-8"/>
          <w:w w:val="115"/>
          <w:sz w:val="21"/>
        </w:rPr>
        <w:t> </w:t>
      </w:r>
      <w:r>
        <w:rPr>
          <w:w w:val="115"/>
          <w:sz w:val="21"/>
        </w:rPr>
        <w:t>relation</w:t>
      </w:r>
      <w:r>
        <w:rPr>
          <w:spacing w:val="-7"/>
          <w:w w:val="115"/>
          <w:sz w:val="21"/>
        </w:rPr>
        <w:t> </w:t>
      </w:r>
      <w:r>
        <w:rPr>
          <w:w w:val="115"/>
          <w:sz w:val="21"/>
        </w:rPr>
        <w:t>to</w:t>
      </w:r>
      <w:r>
        <w:rPr>
          <w:spacing w:val="-8"/>
          <w:w w:val="115"/>
          <w:sz w:val="21"/>
        </w:rPr>
        <w:t> </w:t>
      </w:r>
      <w:r>
        <w:rPr>
          <w:w w:val="115"/>
          <w:sz w:val="21"/>
        </w:rPr>
        <w:t>which</w:t>
      </w:r>
      <w:r>
        <w:rPr>
          <w:spacing w:val="-7"/>
          <w:w w:val="115"/>
          <w:sz w:val="21"/>
        </w:rPr>
        <w:t> </w:t>
      </w:r>
      <w:r>
        <w:rPr>
          <w:w w:val="115"/>
          <w:sz w:val="21"/>
        </w:rPr>
        <w:t>a</w:t>
      </w:r>
      <w:r>
        <w:rPr>
          <w:spacing w:val="-8"/>
          <w:w w:val="115"/>
          <w:sz w:val="21"/>
        </w:rPr>
        <w:t> </w:t>
      </w:r>
      <w:r>
        <w:rPr>
          <w:w w:val="115"/>
          <w:sz w:val="21"/>
        </w:rPr>
        <w:t>disposition</w:t>
      </w:r>
      <w:r>
        <w:rPr>
          <w:spacing w:val="-7"/>
          <w:w w:val="115"/>
          <w:sz w:val="21"/>
        </w:rPr>
        <w:t> </w:t>
      </w:r>
      <w:r>
        <w:rPr>
          <w:w w:val="115"/>
          <w:sz w:val="21"/>
        </w:rPr>
        <w:t>in</w:t>
      </w:r>
      <w:r>
        <w:rPr>
          <w:spacing w:val="-8"/>
          <w:w w:val="115"/>
          <w:sz w:val="21"/>
        </w:rPr>
        <w:t> </w:t>
      </w:r>
      <w:r>
        <w:rPr>
          <w:w w:val="115"/>
          <w:sz w:val="21"/>
        </w:rPr>
        <w:t>the</w:t>
      </w:r>
      <w:r>
        <w:rPr>
          <w:spacing w:val="-8"/>
          <w:w w:val="115"/>
          <w:sz w:val="21"/>
        </w:rPr>
        <w:t> </w:t>
      </w:r>
      <w:r>
        <w:rPr>
          <w:w w:val="115"/>
          <w:sz w:val="21"/>
        </w:rPr>
        <w:t>deceased</w:t>
      </w:r>
      <w:r>
        <w:rPr>
          <w:spacing w:val="-7"/>
          <w:w w:val="115"/>
          <w:sz w:val="21"/>
        </w:rPr>
        <w:t> </w:t>
      </w:r>
      <w:r>
        <w:rPr>
          <w:w w:val="115"/>
          <w:sz w:val="21"/>
        </w:rPr>
        <w:t>person’s</w:t>
      </w:r>
      <w:r>
        <w:rPr>
          <w:spacing w:val="-8"/>
          <w:w w:val="115"/>
          <w:sz w:val="21"/>
        </w:rPr>
        <w:t> </w:t>
      </w:r>
      <w:r>
        <w:rPr>
          <w:spacing w:val="-3"/>
          <w:w w:val="115"/>
          <w:sz w:val="21"/>
        </w:rPr>
        <w:t>will </w:t>
      </w:r>
      <w:r>
        <w:rPr>
          <w:w w:val="115"/>
          <w:sz w:val="21"/>
        </w:rPr>
        <w:t>operates as the exercise of a general power of</w:t>
      </w:r>
      <w:r>
        <w:rPr>
          <w:spacing w:val="-21"/>
          <w:w w:val="115"/>
          <w:sz w:val="21"/>
        </w:rPr>
        <w:t> </w:t>
      </w:r>
      <w:r>
        <w:rPr>
          <w:w w:val="115"/>
          <w:sz w:val="21"/>
        </w:rPr>
        <w:t>appointment.</w:t>
      </w:r>
    </w:p>
    <w:p>
      <w:pPr>
        <w:pStyle w:val="ListParagraph"/>
        <w:numPr>
          <w:ilvl w:val="2"/>
          <w:numId w:val="136"/>
        </w:numPr>
        <w:tabs>
          <w:tab w:pos="2953" w:val="left" w:leader="none"/>
        </w:tabs>
        <w:spacing w:line="242" w:lineRule="auto" w:before="124" w:after="0"/>
        <w:ind w:left="2952" w:right="2483" w:hanging="231"/>
        <w:jc w:val="left"/>
        <w:rPr>
          <w:sz w:val="21"/>
        </w:rPr>
      </w:pPr>
      <w:r>
        <w:rPr>
          <w:w w:val="115"/>
          <w:sz w:val="21"/>
        </w:rPr>
        <w:t>Property specifically given by will, including property specifically appointed under a general power of appointment, and </w:t>
      </w:r>
      <w:r>
        <w:rPr>
          <w:spacing w:val="-2"/>
          <w:w w:val="115"/>
          <w:sz w:val="21"/>
        </w:rPr>
        <w:t>any </w:t>
      </w:r>
      <w:r>
        <w:rPr>
          <w:w w:val="115"/>
          <w:sz w:val="21"/>
        </w:rPr>
        <w:t>legacy charged on property given or</w:t>
      </w:r>
      <w:r>
        <w:rPr>
          <w:spacing w:val="3"/>
          <w:w w:val="115"/>
          <w:sz w:val="21"/>
        </w:rPr>
        <w:t> </w:t>
      </w:r>
      <w:r>
        <w:rPr>
          <w:w w:val="115"/>
          <w:sz w:val="21"/>
        </w:rPr>
        <w:t>appointed.</w:t>
      </w:r>
    </w:p>
    <w:p>
      <w:pPr>
        <w:pStyle w:val="ListParagraph"/>
        <w:numPr>
          <w:ilvl w:val="1"/>
          <w:numId w:val="136"/>
        </w:numPr>
        <w:tabs>
          <w:tab w:pos="2722" w:val="left" w:leader="none"/>
        </w:tabs>
        <w:spacing w:line="242" w:lineRule="auto" w:before="123" w:after="0"/>
        <w:ind w:left="2721" w:right="2191" w:hanging="340"/>
        <w:jc w:val="left"/>
        <w:rPr>
          <w:sz w:val="21"/>
        </w:rPr>
      </w:pPr>
      <w:r>
        <w:rPr>
          <w:w w:val="115"/>
          <w:sz w:val="21"/>
        </w:rPr>
        <w:t>provide</w:t>
      </w:r>
      <w:r>
        <w:rPr>
          <w:spacing w:val="-9"/>
          <w:w w:val="115"/>
          <w:sz w:val="21"/>
        </w:rPr>
        <w:t> </w:t>
      </w:r>
      <w:r>
        <w:rPr>
          <w:w w:val="115"/>
          <w:sz w:val="21"/>
        </w:rPr>
        <w:t>that</w:t>
      </w:r>
      <w:r>
        <w:rPr>
          <w:spacing w:val="-9"/>
          <w:w w:val="115"/>
          <w:sz w:val="21"/>
        </w:rPr>
        <w:t> </w:t>
      </w:r>
      <w:r>
        <w:rPr>
          <w:w w:val="115"/>
          <w:sz w:val="21"/>
        </w:rPr>
        <w:t>the</w:t>
      </w:r>
      <w:r>
        <w:rPr>
          <w:spacing w:val="-9"/>
          <w:w w:val="115"/>
          <w:sz w:val="21"/>
        </w:rPr>
        <w:t> </w:t>
      </w:r>
      <w:r>
        <w:rPr>
          <w:w w:val="115"/>
          <w:sz w:val="21"/>
        </w:rPr>
        <w:t>provisions</w:t>
      </w:r>
      <w:r>
        <w:rPr>
          <w:spacing w:val="-9"/>
          <w:w w:val="115"/>
          <w:sz w:val="21"/>
        </w:rPr>
        <w:t> </w:t>
      </w:r>
      <w:r>
        <w:rPr>
          <w:w w:val="115"/>
          <w:sz w:val="21"/>
        </w:rPr>
        <w:t>in</w:t>
      </w:r>
      <w:r>
        <w:rPr>
          <w:spacing w:val="-10"/>
          <w:w w:val="115"/>
          <w:sz w:val="21"/>
        </w:rPr>
        <w:t> </w:t>
      </w:r>
      <w:r>
        <w:rPr>
          <w:spacing w:val="2"/>
          <w:w w:val="115"/>
          <w:sz w:val="21"/>
        </w:rPr>
        <w:t>(b)</w:t>
      </w:r>
      <w:r>
        <w:rPr>
          <w:spacing w:val="-9"/>
          <w:w w:val="115"/>
          <w:sz w:val="21"/>
        </w:rPr>
        <w:t> </w:t>
      </w:r>
      <w:r>
        <w:rPr>
          <w:w w:val="115"/>
          <w:sz w:val="21"/>
        </w:rPr>
        <w:t>should</w:t>
      </w:r>
      <w:r>
        <w:rPr>
          <w:spacing w:val="-9"/>
          <w:w w:val="115"/>
          <w:sz w:val="21"/>
        </w:rPr>
        <w:t> </w:t>
      </w:r>
      <w:r>
        <w:rPr>
          <w:w w:val="115"/>
          <w:sz w:val="21"/>
        </w:rPr>
        <w:t>be</w:t>
      </w:r>
      <w:r>
        <w:rPr>
          <w:spacing w:val="-9"/>
          <w:w w:val="115"/>
          <w:sz w:val="21"/>
        </w:rPr>
        <w:t> </w:t>
      </w:r>
      <w:r>
        <w:rPr>
          <w:w w:val="115"/>
          <w:sz w:val="21"/>
        </w:rPr>
        <w:t>subject</w:t>
      </w:r>
      <w:r>
        <w:rPr>
          <w:spacing w:val="-9"/>
          <w:w w:val="115"/>
          <w:sz w:val="21"/>
        </w:rPr>
        <w:t> </w:t>
      </w:r>
      <w:r>
        <w:rPr>
          <w:w w:val="115"/>
          <w:sz w:val="21"/>
        </w:rPr>
        <w:t>to</w:t>
      </w:r>
      <w:r>
        <w:rPr>
          <w:spacing w:val="-9"/>
          <w:w w:val="115"/>
          <w:sz w:val="21"/>
        </w:rPr>
        <w:t> </w:t>
      </w:r>
      <w:r>
        <w:rPr>
          <w:w w:val="115"/>
          <w:sz w:val="21"/>
        </w:rPr>
        <w:t>the</w:t>
      </w:r>
      <w:r>
        <w:rPr>
          <w:spacing w:val="-9"/>
          <w:w w:val="115"/>
          <w:sz w:val="21"/>
        </w:rPr>
        <w:t> </w:t>
      </w:r>
      <w:r>
        <w:rPr>
          <w:w w:val="115"/>
          <w:sz w:val="21"/>
        </w:rPr>
        <w:t>manifestation of </w:t>
      </w:r>
      <w:r>
        <w:rPr>
          <w:spacing w:val="-2"/>
          <w:w w:val="115"/>
          <w:sz w:val="21"/>
        </w:rPr>
        <w:t>any </w:t>
      </w:r>
      <w:r>
        <w:rPr>
          <w:w w:val="115"/>
          <w:sz w:val="21"/>
        </w:rPr>
        <w:t>contrary intention contained in the</w:t>
      </w:r>
      <w:r>
        <w:rPr>
          <w:spacing w:val="4"/>
          <w:w w:val="115"/>
          <w:sz w:val="21"/>
        </w:rPr>
        <w:t> </w:t>
      </w:r>
      <w:r>
        <w:rPr>
          <w:spacing w:val="-3"/>
          <w:w w:val="115"/>
          <w:sz w:val="21"/>
        </w:rPr>
        <w:t>will.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1"/>
        </w:rPr>
      </w:pPr>
      <w:r>
        <w:rPr/>
        <w:pict>
          <v:line style="position:absolute;mso-position-horizontal-relative:page;mso-position-vertical-relative:paragraph;z-index:10640;mso-wrap-distance-left:0;mso-wrap-distance-right:0" from="79.370102pt,9.176466pt" to="515.905102pt,9.176466pt" stroked="true" strokeweight="1pt" strokecolor="#f9ceca">
            <v:stroke dashstyle="solid"/>
            <w10:wrap type="topAndBottom"/>
          </v:line>
        </w:pict>
      </w:r>
    </w:p>
    <w:p>
      <w:pPr>
        <w:pStyle w:val="BodyText"/>
        <w:spacing w:before="8"/>
        <w:rPr>
          <w:sz w:val="5"/>
        </w:rPr>
      </w:pPr>
    </w:p>
    <w:p>
      <w:pPr>
        <w:spacing w:after="0"/>
        <w:rPr>
          <w:sz w:val="5"/>
        </w:rPr>
        <w:sectPr>
          <w:pgSz w:w="11910" w:h="16840"/>
          <w:pgMar w:header="805" w:footer="0" w:top="1360" w:bottom="280" w:left="0" w:right="0"/>
        </w:sectPr>
      </w:pPr>
    </w:p>
    <w:p>
      <w:pPr>
        <w:pStyle w:val="ListParagraph"/>
        <w:numPr>
          <w:ilvl w:val="0"/>
          <w:numId w:val="136"/>
        </w:numPr>
        <w:tabs>
          <w:tab w:pos="2380" w:val="left" w:leader="none"/>
          <w:tab w:pos="2382" w:val="left" w:leader="none"/>
        </w:tabs>
        <w:spacing w:line="240" w:lineRule="auto" w:before="48" w:after="0"/>
        <w:ind w:left="2381" w:right="0" w:hanging="794"/>
        <w:jc w:val="left"/>
        <w:rPr>
          <w:sz w:val="13"/>
        </w:rPr>
      </w:pPr>
      <w:r>
        <w:rPr>
          <w:sz w:val="13"/>
        </w:rPr>
        <w:t>Submissions  </w:t>
      </w:r>
      <w:r>
        <w:rPr>
          <w:spacing w:val="-3"/>
          <w:sz w:val="13"/>
        </w:rPr>
        <w:t>14  </w:t>
      </w:r>
      <w:r>
        <w:rPr>
          <w:sz w:val="13"/>
        </w:rPr>
        <w:t>(Commercial  Bar  </w:t>
      </w:r>
      <w:r>
        <w:rPr>
          <w:spacing w:val="2"/>
          <w:sz w:val="13"/>
        </w:rPr>
        <w:t>Association); </w:t>
      </w:r>
      <w:r>
        <w:rPr>
          <w:spacing w:val="-3"/>
          <w:sz w:val="13"/>
        </w:rPr>
        <w:t>19  </w:t>
      </w:r>
      <w:r>
        <w:rPr>
          <w:spacing w:val="2"/>
          <w:sz w:val="13"/>
        </w:rPr>
        <w:t>(Association </w:t>
      </w:r>
      <w:r>
        <w:rPr>
          <w:sz w:val="13"/>
        </w:rPr>
        <w:t>of  Independent  Retirees);  </w:t>
      </w:r>
      <w:r>
        <w:rPr>
          <w:spacing w:val="2"/>
          <w:sz w:val="13"/>
        </w:rPr>
        <w:t>30b </w:t>
      </w:r>
      <w:r>
        <w:rPr>
          <w:spacing w:val="3"/>
          <w:sz w:val="13"/>
        </w:rPr>
        <w:t>(Law </w:t>
      </w:r>
      <w:r>
        <w:rPr>
          <w:sz w:val="13"/>
        </w:rPr>
        <w:t>Institute  of  </w:t>
      </w:r>
      <w:r>
        <w:rPr>
          <w:spacing w:val="2"/>
          <w:sz w:val="13"/>
        </w:rPr>
        <w:t>Victoria); </w:t>
      </w:r>
      <w:r>
        <w:rPr>
          <w:sz w:val="13"/>
        </w:rPr>
        <w:t>32  </w:t>
      </w:r>
      <w:r>
        <w:rPr>
          <w:spacing w:val="2"/>
          <w:sz w:val="13"/>
        </w:rPr>
        <w:t>(The </w:t>
      </w:r>
      <w:r>
        <w:rPr>
          <w:sz w:val="13"/>
        </w:rPr>
        <w:t>Institute  of Legal Executives); 33 (State Trustees Limited). It was suggested in one submission that the order be left as it is: submission 8 (Patricia  Strachan).</w:t>
      </w:r>
    </w:p>
    <w:p>
      <w:pPr>
        <w:pStyle w:val="ListParagraph"/>
        <w:numPr>
          <w:ilvl w:val="0"/>
          <w:numId w:val="136"/>
        </w:numPr>
        <w:tabs>
          <w:tab w:pos="2380" w:val="left" w:leader="none"/>
          <w:tab w:pos="2382" w:val="left" w:leader="none"/>
        </w:tabs>
        <w:spacing w:line="240" w:lineRule="auto" w:before="4" w:after="0"/>
        <w:ind w:left="2381" w:right="0" w:hanging="794"/>
        <w:jc w:val="left"/>
        <w:rPr>
          <w:sz w:val="13"/>
        </w:rPr>
      </w:pPr>
      <w:r>
        <w:rPr>
          <w:w w:val="105"/>
          <w:sz w:val="13"/>
        </w:rPr>
        <w:t>National</w:t>
      </w:r>
      <w:r>
        <w:rPr>
          <w:spacing w:val="5"/>
          <w:w w:val="105"/>
          <w:sz w:val="13"/>
        </w:rPr>
        <w:t> </w:t>
      </w:r>
      <w:r>
        <w:rPr>
          <w:w w:val="105"/>
          <w:sz w:val="13"/>
        </w:rPr>
        <w:t>Committee</w:t>
      </w:r>
      <w:r>
        <w:rPr>
          <w:spacing w:val="5"/>
          <w:w w:val="105"/>
          <w:sz w:val="13"/>
        </w:rPr>
        <w:t> </w:t>
      </w:r>
      <w:r>
        <w:rPr>
          <w:w w:val="105"/>
          <w:sz w:val="13"/>
        </w:rPr>
        <w:t>for</w:t>
      </w:r>
      <w:r>
        <w:rPr>
          <w:spacing w:val="5"/>
          <w:w w:val="105"/>
          <w:sz w:val="13"/>
        </w:rPr>
        <w:t> </w:t>
      </w:r>
      <w:r>
        <w:rPr>
          <w:w w:val="105"/>
          <w:sz w:val="13"/>
        </w:rPr>
        <w:t>Uniform</w:t>
      </w:r>
      <w:r>
        <w:rPr>
          <w:spacing w:val="5"/>
          <w:w w:val="105"/>
          <w:sz w:val="13"/>
        </w:rPr>
        <w:t> </w:t>
      </w:r>
      <w:r>
        <w:rPr>
          <w:w w:val="105"/>
          <w:sz w:val="13"/>
        </w:rPr>
        <w:t>Succession</w:t>
      </w:r>
      <w:r>
        <w:rPr>
          <w:spacing w:val="5"/>
          <w:w w:val="105"/>
          <w:sz w:val="13"/>
        </w:rPr>
        <w:t> </w:t>
      </w:r>
      <w:r>
        <w:rPr>
          <w:w w:val="105"/>
          <w:sz w:val="13"/>
        </w:rPr>
        <w:t>Laws,</w:t>
      </w:r>
      <w:r>
        <w:rPr>
          <w:spacing w:val="5"/>
          <w:w w:val="105"/>
          <w:sz w:val="13"/>
        </w:rPr>
        <w:t> </w:t>
      </w:r>
      <w:r>
        <w:rPr>
          <w:i/>
          <w:w w:val="105"/>
          <w:sz w:val="13"/>
        </w:rPr>
        <w:t>Administration</w:t>
      </w:r>
      <w:r>
        <w:rPr>
          <w:i/>
          <w:spacing w:val="4"/>
          <w:w w:val="105"/>
          <w:sz w:val="13"/>
        </w:rPr>
        <w:t> </w:t>
      </w:r>
      <w:r>
        <w:rPr>
          <w:i/>
          <w:w w:val="105"/>
          <w:sz w:val="13"/>
        </w:rPr>
        <w:t>of</w:t>
      </w:r>
      <w:r>
        <w:rPr>
          <w:i/>
          <w:spacing w:val="4"/>
          <w:w w:val="105"/>
          <w:sz w:val="13"/>
        </w:rPr>
        <w:t> </w:t>
      </w:r>
      <w:r>
        <w:rPr>
          <w:i/>
          <w:w w:val="105"/>
          <w:sz w:val="13"/>
        </w:rPr>
        <w:t>Estates:</w:t>
      </w:r>
      <w:r>
        <w:rPr>
          <w:i/>
          <w:spacing w:val="4"/>
          <w:w w:val="105"/>
          <w:sz w:val="13"/>
        </w:rPr>
        <w:t> </w:t>
      </w:r>
      <w:r>
        <w:rPr>
          <w:i/>
          <w:w w:val="105"/>
          <w:sz w:val="13"/>
        </w:rPr>
        <w:t>Volume</w:t>
      </w:r>
      <w:r>
        <w:rPr>
          <w:i/>
          <w:spacing w:val="4"/>
          <w:w w:val="105"/>
          <w:sz w:val="13"/>
        </w:rPr>
        <w:t> </w:t>
      </w:r>
      <w:r>
        <w:rPr>
          <w:i/>
          <w:w w:val="105"/>
          <w:sz w:val="13"/>
        </w:rPr>
        <w:t>4</w:t>
      </w:r>
      <w:r>
        <w:rPr>
          <w:w w:val="105"/>
          <w:sz w:val="13"/>
        </w:rPr>
        <w:t>,</w:t>
      </w:r>
      <w:r>
        <w:rPr>
          <w:spacing w:val="5"/>
          <w:w w:val="105"/>
          <w:sz w:val="13"/>
        </w:rPr>
        <w:t> </w:t>
      </w:r>
      <w:r>
        <w:rPr>
          <w:w w:val="105"/>
          <w:sz w:val="13"/>
        </w:rPr>
        <w:t>above</w:t>
      </w:r>
      <w:r>
        <w:rPr>
          <w:spacing w:val="5"/>
          <w:w w:val="105"/>
          <w:sz w:val="13"/>
        </w:rPr>
        <w:t> </w:t>
      </w:r>
      <w:r>
        <w:rPr>
          <w:w w:val="105"/>
          <w:sz w:val="13"/>
        </w:rPr>
        <w:t>n</w:t>
      </w:r>
      <w:r>
        <w:rPr>
          <w:spacing w:val="5"/>
          <w:w w:val="105"/>
          <w:sz w:val="13"/>
        </w:rPr>
        <w:t> </w:t>
      </w:r>
      <w:r>
        <w:rPr>
          <w:w w:val="105"/>
          <w:sz w:val="13"/>
        </w:rPr>
        <w:t>22,</w:t>
      </w:r>
      <w:r>
        <w:rPr>
          <w:spacing w:val="5"/>
          <w:w w:val="105"/>
          <w:sz w:val="13"/>
        </w:rPr>
        <w:t> </w:t>
      </w:r>
      <w:r>
        <w:rPr>
          <w:w w:val="105"/>
          <w:sz w:val="13"/>
        </w:rPr>
        <w:t>85.</w:t>
      </w:r>
    </w:p>
    <w:p>
      <w:pPr>
        <w:pStyle w:val="BodyText"/>
        <w:spacing w:before="8"/>
        <w:rPr>
          <w:sz w:val="34"/>
        </w:rPr>
      </w:pPr>
      <w:r>
        <w:rPr/>
        <w:br w:type="column"/>
      </w:r>
      <w:r>
        <w:rPr>
          <w:sz w:val="34"/>
        </w:rPr>
      </w:r>
    </w:p>
    <w:p>
      <w:pPr>
        <w:spacing w:before="0"/>
        <w:ind w:left="742" w:right="575" w:firstLine="0"/>
        <w:jc w:val="center"/>
        <w:rPr>
          <w:b/>
          <w:sz w:val="24"/>
        </w:rPr>
      </w:pPr>
      <w:r>
        <w:rPr>
          <w:b/>
          <w:color w:val="EC5A4F"/>
          <w:w w:val="110"/>
          <w:sz w:val="24"/>
        </w:rPr>
        <w:t>179</w:t>
      </w:r>
    </w:p>
    <w:p>
      <w:pPr>
        <w:spacing w:after="0"/>
        <w:jc w:val="center"/>
        <w:rPr>
          <w:sz w:val="24"/>
        </w:rPr>
        <w:sectPr>
          <w:type w:val="continuous"/>
          <w:pgSz w:w="11910" w:h="16840"/>
          <w:pgMar w:top="920" w:bottom="280" w:left="0" w:right="0"/>
          <w:cols w:num="2" w:equalWidth="0">
            <w:col w:w="10111" w:space="40"/>
            <w:col w:w="1759"/>
          </w:cols>
        </w:sectPr>
      </w:pPr>
    </w:p>
    <w:p>
      <w:pPr>
        <w:pStyle w:val="BodyText"/>
        <w:spacing w:before="11"/>
        <w:rPr>
          <w:b/>
        </w:rPr>
      </w:pPr>
    </w:p>
    <w:p>
      <w:pPr>
        <w:spacing w:before="99"/>
        <w:ind w:left="1587" w:right="0" w:firstLine="0"/>
        <w:jc w:val="left"/>
        <w:rPr>
          <w:b/>
          <w:sz w:val="24"/>
        </w:rPr>
      </w:pPr>
      <w:r>
        <w:rPr>
          <w:b/>
          <w:w w:val="115"/>
          <w:sz w:val="24"/>
        </w:rPr>
        <w:t>Payment of pecuniary legacies</w:t>
      </w:r>
    </w:p>
    <w:p>
      <w:pPr>
        <w:pStyle w:val="ListParagraph"/>
        <w:numPr>
          <w:ilvl w:val="1"/>
          <w:numId w:val="22"/>
        </w:numPr>
        <w:tabs>
          <w:tab w:pos="2380" w:val="left" w:leader="none"/>
          <w:tab w:pos="2381" w:val="left" w:leader="none"/>
        </w:tabs>
        <w:spacing w:line="242" w:lineRule="auto" w:before="137" w:after="0"/>
        <w:ind w:left="2381" w:right="1596" w:hanging="794"/>
        <w:jc w:val="left"/>
        <w:rPr>
          <w:sz w:val="21"/>
        </w:rPr>
      </w:pPr>
      <w:r>
        <w:rPr>
          <w:sz w:val="21"/>
        </w:rPr>
        <w:t>Part II of the Second Schedule </w:t>
      </w:r>
      <w:r>
        <w:rPr>
          <w:spacing w:val="-3"/>
          <w:sz w:val="21"/>
        </w:rPr>
        <w:t>to </w:t>
      </w:r>
      <w:r>
        <w:rPr>
          <w:sz w:val="21"/>
        </w:rPr>
        <w:t>the </w:t>
      </w:r>
      <w:r>
        <w:rPr>
          <w:spacing w:val="-3"/>
          <w:sz w:val="21"/>
        </w:rPr>
        <w:t>Administration </w:t>
      </w:r>
      <w:r>
        <w:rPr>
          <w:sz w:val="21"/>
        </w:rPr>
        <w:t>and </w:t>
      </w:r>
      <w:r>
        <w:rPr>
          <w:spacing w:val="-3"/>
          <w:sz w:val="21"/>
        </w:rPr>
        <w:t>Probate </w:t>
      </w:r>
      <w:r>
        <w:rPr>
          <w:sz w:val="21"/>
        </w:rPr>
        <w:t>Act directs </w:t>
      </w:r>
      <w:r>
        <w:rPr>
          <w:spacing w:val="-3"/>
          <w:sz w:val="21"/>
        </w:rPr>
        <w:t>that funds </w:t>
      </w:r>
      <w:r>
        <w:rPr>
          <w:sz w:val="21"/>
        </w:rPr>
        <w:t>be </w:t>
      </w:r>
      <w:r>
        <w:rPr>
          <w:spacing w:val="-3"/>
          <w:sz w:val="21"/>
        </w:rPr>
        <w:t>retained for </w:t>
      </w:r>
      <w:r>
        <w:rPr>
          <w:sz w:val="21"/>
        </w:rPr>
        <w:t>the payment of pecuniary legacies </w:t>
      </w:r>
      <w:r>
        <w:rPr>
          <w:spacing w:val="-3"/>
          <w:sz w:val="21"/>
        </w:rPr>
        <w:t>from  </w:t>
      </w:r>
      <w:r>
        <w:rPr>
          <w:sz w:val="21"/>
        </w:rPr>
        <w:t>categories 1 (property undisposed of  by will) and 4 (property </w:t>
      </w:r>
      <w:r>
        <w:rPr>
          <w:spacing w:val="-2"/>
          <w:sz w:val="21"/>
        </w:rPr>
        <w:t>not </w:t>
      </w:r>
      <w:r>
        <w:rPr>
          <w:sz w:val="21"/>
        </w:rPr>
        <w:t>specifically </w:t>
      </w:r>
      <w:r>
        <w:rPr>
          <w:spacing w:val="-3"/>
          <w:sz w:val="21"/>
        </w:rPr>
        <w:t>given, </w:t>
      </w:r>
      <w:r>
        <w:rPr>
          <w:sz w:val="21"/>
        </w:rPr>
        <w:t>but </w:t>
      </w:r>
      <w:r>
        <w:rPr>
          <w:spacing w:val="-3"/>
          <w:sz w:val="21"/>
        </w:rPr>
        <w:t>included </w:t>
      </w:r>
      <w:r>
        <w:rPr>
          <w:sz w:val="21"/>
        </w:rPr>
        <w:t>as a residuary gift). The </w:t>
      </w:r>
      <w:r>
        <w:rPr>
          <w:spacing w:val="-3"/>
          <w:sz w:val="21"/>
        </w:rPr>
        <w:t>fund retained </w:t>
      </w:r>
      <w:r>
        <w:rPr>
          <w:sz w:val="21"/>
        </w:rPr>
        <w:t>becomes category 5 of the </w:t>
      </w:r>
      <w:r>
        <w:rPr>
          <w:spacing w:val="-3"/>
          <w:sz w:val="21"/>
        </w:rPr>
        <w:t>current </w:t>
      </w:r>
      <w:r>
        <w:rPr>
          <w:sz w:val="21"/>
        </w:rPr>
        <w:t>order of </w:t>
      </w:r>
      <w:r>
        <w:rPr>
          <w:spacing w:val="-3"/>
          <w:sz w:val="21"/>
        </w:rPr>
        <w:t>application, to </w:t>
      </w:r>
      <w:r>
        <w:rPr>
          <w:sz w:val="21"/>
        </w:rPr>
        <w:t>be drawn upon fifth, </w:t>
      </w:r>
      <w:r>
        <w:rPr>
          <w:spacing w:val="-3"/>
          <w:sz w:val="21"/>
        </w:rPr>
        <w:t>before </w:t>
      </w:r>
      <w:r>
        <w:rPr>
          <w:sz w:val="21"/>
        </w:rPr>
        <w:t>property specifically</w:t>
      </w:r>
      <w:r>
        <w:rPr>
          <w:spacing w:val="29"/>
          <w:sz w:val="21"/>
        </w:rPr>
        <w:t> </w:t>
      </w:r>
      <w:r>
        <w:rPr>
          <w:spacing w:val="-3"/>
          <w:sz w:val="21"/>
        </w:rPr>
        <w:t>given.</w:t>
      </w:r>
    </w:p>
    <w:p>
      <w:pPr>
        <w:pStyle w:val="ListParagraph"/>
        <w:numPr>
          <w:ilvl w:val="1"/>
          <w:numId w:val="22"/>
        </w:numPr>
        <w:tabs>
          <w:tab w:pos="2380" w:val="left" w:leader="none"/>
          <w:tab w:pos="2381" w:val="left" w:leader="none"/>
        </w:tabs>
        <w:spacing w:line="242" w:lineRule="auto" w:before="125" w:after="0"/>
        <w:ind w:left="2380" w:right="1707" w:hanging="793"/>
        <w:jc w:val="left"/>
        <w:rPr>
          <w:sz w:val="21"/>
        </w:rPr>
      </w:pPr>
      <w:r>
        <w:rPr>
          <w:sz w:val="21"/>
        </w:rPr>
        <w:t>The model order proposed by the </w:t>
      </w:r>
      <w:r>
        <w:rPr>
          <w:spacing w:val="-3"/>
          <w:sz w:val="21"/>
        </w:rPr>
        <w:t>National Committee </w:t>
      </w:r>
      <w:r>
        <w:rPr>
          <w:sz w:val="21"/>
        </w:rPr>
        <w:t>does </w:t>
      </w:r>
      <w:r>
        <w:rPr>
          <w:spacing w:val="-2"/>
          <w:sz w:val="21"/>
        </w:rPr>
        <w:t>not  </w:t>
      </w:r>
      <w:r>
        <w:rPr>
          <w:sz w:val="21"/>
        </w:rPr>
        <w:t>provide </w:t>
      </w:r>
      <w:r>
        <w:rPr>
          <w:spacing w:val="-3"/>
          <w:sz w:val="21"/>
        </w:rPr>
        <w:t>for  </w:t>
      </w:r>
      <w:r>
        <w:rPr>
          <w:sz w:val="21"/>
        </w:rPr>
        <w:t>the payment  of pecuniary legacies. </w:t>
      </w:r>
      <w:r>
        <w:rPr>
          <w:spacing w:val="-4"/>
          <w:sz w:val="21"/>
        </w:rPr>
        <w:t>Rather, </w:t>
      </w:r>
      <w:r>
        <w:rPr>
          <w:sz w:val="21"/>
        </w:rPr>
        <w:t>it is provided </w:t>
      </w:r>
      <w:r>
        <w:rPr>
          <w:spacing w:val="-3"/>
          <w:sz w:val="21"/>
        </w:rPr>
        <w:t>for </w:t>
      </w:r>
      <w:r>
        <w:rPr>
          <w:sz w:val="21"/>
        </w:rPr>
        <w:t>in a </w:t>
      </w:r>
      <w:r>
        <w:rPr>
          <w:spacing w:val="-3"/>
          <w:sz w:val="21"/>
        </w:rPr>
        <w:t>separate provision </w:t>
      </w:r>
      <w:r>
        <w:rPr>
          <w:sz w:val="21"/>
        </w:rPr>
        <w:t>of the model legislation:</w:t>
      </w:r>
    </w:p>
    <w:p>
      <w:pPr>
        <w:spacing w:before="129"/>
        <w:ind w:left="2721" w:right="0" w:firstLine="0"/>
        <w:jc w:val="left"/>
        <w:rPr>
          <w:rFonts w:ascii="Lucida Sans"/>
          <w:b/>
          <w:sz w:val="20"/>
        </w:rPr>
      </w:pPr>
      <w:r>
        <w:rPr>
          <w:rFonts w:ascii="Lucida Sans"/>
          <w:b/>
          <w:sz w:val="20"/>
        </w:rPr>
        <w:t>504 Payment</w:t>
      </w:r>
    </w:p>
    <w:p>
      <w:pPr>
        <w:pStyle w:val="ListParagraph"/>
        <w:numPr>
          <w:ilvl w:val="0"/>
          <w:numId w:val="137"/>
        </w:numPr>
        <w:tabs>
          <w:tab w:pos="3062" w:val="left" w:leader="none"/>
        </w:tabs>
        <w:spacing w:line="240" w:lineRule="auto" w:before="149" w:after="0"/>
        <w:ind w:left="3061" w:right="0" w:hanging="340"/>
        <w:jc w:val="left"/>
        <w:rPr>
          <w:sz w:val="20"/>
        </w:rPr>
      </w:pPr>
      <w:r>
        <w:rPr>
          <w:sz w:val="20"/>
        </w:rPr>
        <w:t>Pecuniary</w:t>
      </w:r>
      <w:r>
        <w:rPr>
          <w:spacing w:val="8"/>
          <w:sz w:val="20"/>
        </w:rPr>
        <w:t> </w:t>
      </w:r>
      <w:r>
        <w:rPr>
          <w:sz w:val="20"/>
        </w:rPr>
        <w:t>legacies</w:t>
      </w:r>
      <w:r>
        <w:rPr>
          <w:spacing w:val="9"/>
          <w:sz w:val="20"/>
        </w:rPr>
        <w:t> </w:t>
      </w:r>
      <w:r>
        <w:rPr>
          <w:sz w:val="20"/>
        </w:rPr>
        <w:t>must</w:t>
      </w:r>
      <w:r>
        <w:rPr>
          <w:spacing w:val="9"/>
          <w:sz w:val="20"/>
        </w:rPr>
        <w:t> </w:t>
      </w:r>
      <w:r>
        <w:rPr>
          <w:sz w:val="20"/>
        </w:rPr>
        <w:t>be</w:t>
      </w:r>
      <w:r>
        <w:rPr>
          <w:spacing w:val="9"/>
          <w:sz w:val="20"/>
        </w:rPr>
        <w:t> </w:t>
      </w:r>
      <w:r>
        <w:rPr>
          <w:sz w:val="20"/>
        </w:rPr>
        <w:t>paid</w:t>
      </w:r>
      <w:r>
        <w:rPr>
          <w:spacing w:val="8"/>
          <w:sz w:val="20"/>
        </w:rPr>
        <w:t> </w:t>
      </w:r>
      <w:r>
        <w:rPr>
          <w:sz w:val="20"/>
        </w:rPr>
        <w:t>out</w:t>
      </w:r>
      <w:r>
        <w:rPr>
          <w:spacing w:val="9"/>
          <w:sz w:val="20"/>
        </w:rPr>
        <w:t> </w:t>
      </w:r>
      <w:r>
        <w:rPr>
          <w:sz w:val="20"/>
        </w:rPr>
        <w:t>of</w:t>
      </w:r>
      <w:r>
        <w:rPr>
          <w:spacing w:val="9"/>
          <w:sz w:val="20"/>
        </w:rPr>
        <w:t> </w:t>
      </w:r>
      <w:r>
        <w:rPr>
          <w:sz w:val="20"/>
        </w:rPr>
        <w:t>available</w:t>
      </w:r>
      <w:r>
        <w:rPr>
          <w:spacing w:val="9"/>
          <w:sz w:val="20"/>
        </w:rPr>
        <w:t> </w:t>
      </w:r>
      <w:r>
        <w:rPr>
          <w:sz w:val="20"/>
        </w:rPr>
        <w:t>class</w:t>
      </w:r>
      <w:r>
        <w:rPr>
          <w:spacing w:val="9"/>
          <w:sz w:val="20"/>
        </w:rPr>
        <w:t> </w:t>
      </w:r>
      <w:r>
        <w:rPr>
          <w:sz w:val="20"/>
        </w:rPr>
        <w:t>2</w:t>
      </w:r>
      <w:r>
        <w:rPr>
          <w:spacing w:val="8"/>
          <w:sz w:val="20"/>
        </w:rPr>
        <w:t> </w:t>
      </w:r>
      <w:r>
        <w:rPr>
          <w:sz w:val="20"/>
        </w:rPr>
        <w:t>property.</w:t>
      </w:r>
    </w:p>
    <w:p>
      <w:pPr>
        <w:pStyle w:val="ListParagraph"/>
        <w:numPr>
          <w:ilvl w:val="0"/>
          <w:numId w:val="137"/>
        </w:numPr>
        <w:tabs>
          <w:tab w:pos="3062" w:val="left" w:leader="none"/>
        </w:tabs>
        <w:spacing w:line="254" w:lineRule="auto" w:before="136" w:after="0"/>
        <w:ind w:left="3061" w:right="2312" w:hanging="340"/>
        <w:jc w:val="left"/>
        <w:rPr>
          <w:sz w:val="20"/>
        </w:rPr>
      </w:pPr>
      <w:r>
        <w:rPr>
          <w:spacing w:val="-4"/>
          <w:sz w:val="20"/>
        </w:rPr>
        <w:t>However, </w:t>
      </w:r>
      <w:r>
        <w:rPr>
          <w:sz w:val="20"/>
        </w:rPr>
        <w:t>to the extent that available class 2 property is insufficient to pay the pecuniary legacies, the legacies must abate</w:t>
      </w:r>
      <w:r>
        <w:rPr>
          <w:spacing w:val="13"/>
          <w:sz w:val="20"/>
        </w:rPr>
        <w:t> </w:t>
      </w:r>
      <w:r>
        <w:rPr>
          <w:sz w:val="20"/>
        </w:rPr>
        <w:t>proportionately.</w:t>
      </w:r>
    </w:p>
    <w:p>
      <w:pPr>
        <w:spacing w:line="254" w:lineRule="auto" w:before="122"/>
        <w:ind w:left="3061" w:right="1619" w:hanging="341"/>
        <w:jc w:val="left"/>
        <w:rPr>
          <w:sz w:val="20"/>
        </w:rPr>
      </w:pPr>
      <w:r>
        <w:rPr>
          <w:sz w:val="20"/>
        </w:rPr>
        <w:t>(3 Subsections (1) and (2) are subject to a contrary intention appearing in the deceased person’s will.</w:t>
      </w:r>
    </w:p>
    <w:p>
      <w:pPr>
        <w:spacing w:before="122"/>
        <w:ind w:left="2721" w:right="0" w:firstLine="0"/>
        <w:jc w:val="left"/>
        <w:rPr>
          <w:sz w:val="20"/>
        </w:rPr>
      </w:pPr>
      <w:r>
        <w:rPr>
          <w:sz w:val="20"/>
        </w:rPr>
        <w:t>(4) In this section—</w:t>
      </w:r>
    </w:p>
    <w:p>
      <w:pPr>
        <w:spacing w:line="254" w:lineRule="auto" w:before="136"/>
        <w:ind w:left="2721" w:right="1826" w:firstLine="0"/>
        <w:jc w:val="left"/>
        <w:rPr>
          <w:sz w:val="11"/>
        </w:rPr>
      </w:pPr>
      <w:r>
        <w:rPr>
          <w:w w:val="105"/>
          <w:sz w:val="20"/>
        </w:rPr>
        <w:t>available</w:t>
      </w:r>
      <w:r>
        <w:rPr>
          <w:spacing w:val="-9"/>
          <w:w w:val="105"/>
          <w:sz w:val="20"/>
        </w:rPr>
        <w:t> </w:t>
      </w:r>
      <w:r>
        <w:rPr>
          <w:w w:val="105"/>
          <w:sz w:val="20"/>
        </w:rPr>
        <w:t>class</w:t>
      </w:r>
      <w:r>
        <w:rPr>
          <w:spacing w:val="-8"/>
          <w:w w:val="105"/>
          <w:sz w:val="20"/>
        </w:rPr>
        <w:t> </w:t>
      </w:r>
      <w:r>
        <w:rPr>
          <w:w w:val="105"/>
          <w:sz w:val="20"/>
        </w:rPr>
        <w:t>2</w:t>
      </w:r>
      <w:r>
        <w:rPr>
          <w:spacing w:val="-8"/>
          <w:w w:val="105"/>
          <w:sz w:val="20"/>
        </w:rPr>
        <w:t> </w:t>
      </w:r>
      <w:r>
        <w:rPr>
          <w:w w:val="105"/>
          <w:sz w:val="20"/>
        </w:rPr>
        <w:t>property</w:t>
      </w:r>
      <w:r>
        <w:rPr>
          <w:spacing w:val="-8"/>
          <w:w w:val="105"/>
          <w:sz w:val="20"/>
        </w:rPr>
        <w:t> </w:t>
      </w:r>
      <w:r>
        <w:rPr>
          <w:w w:val="105"/>
          <w:sz w:val="20"/>
        </w:rPr>
        <w:t>means</w:t>
      </w:r>
      <w:r>
        <w:rPr>
          <w:spacing w:val="-8"/>
          <w:w w:val="105"/>
          <w:sz w:val="20"/>
        </w:rPr>
        <w:t> </w:t>
      </w:r>
      <w:r>
        <w:rPr>
          <w:w w:val="105"/>
          <w:sz w:val="20"/>
        </w:rPr>
        <w:t>class</w:t>
      </w:r>
      <w:r>
        <w:rPr>
          <w:spacing w:val="-8"/>
          <w:w w:val="105"/>
          <w:sz w:val="20"/>
        </w:rPr>
        <w:t> </w:t>
      </w:r>
      <w:r>
        <w:rPr>
          <w:w w:val="105"/>
          <w:sz w:val="20"/>
        </w:rPr>
        <w:t>2</w:t>
      </w:r>
      <w:r>
        <w:rPr>
          <w:spacing w:val="-9"/>
          <w:w w:val="105"/>
          <w:sz w:val="20"/>
        </w:rPr>
        <w:t> </w:t>
      </w:r>
      <w:r>
        <w:rPr>
          <w:w w:val="105"/>
          <w:sz w:val="20"/>
        </w:rPr>
        <w:t>property</w:t>
      </w:r>
      <w:r>
        <w:rPr>
          <w:spacing w:val="-8"/>
          <w:w w:val="105"/>
          <w:sz w:val="20"/>
        </w:rPr>
        <w:t> </w:t>
      </w:r>
      <w:r>
        <w:rPr>
          <w:spacing w:val="-6"/>
          <w:w w:val="105"/>
          <w:sz w:val="20"/>
        </w:rPr>
        <w:t>or,</w:t>
      </w:r>
      <w:r>
        <w:rPr>
          <w:spacing w:val="-8"/>
          <w:w w:val="105"/>
          <w:sz w:val="20"/>
        </w:rPr>
        <w:t> </w:t>
      </w:r>
      <w:r>
        <w:rPr>
          <w:w w:val="105"/>
          <w:sz w:val="20"/>
        </w:rPr>
        <w:t>if</w:t>
      </w:r>
      <w:r>
        <w:rPr>
          <w:spacing w:val="-8"/>
          <w:w w:val="105"/>
          <w:sz w:val="20"/>
        </w:rPr>
        <w:t> </w:t>
      </w:r>
      <w:r>
        <w:rPr>
          <w:w w:val="105"/>
          <w:sz w:val="20"/>
        </w:rPr>
        <w:t>debts</w:t>
      </w:r>
      <w:r>
        <w:rPr>
          <w:spacing w:val="-8"/>
          <w:w w:val="105"/>
          <w:sz w:val="20"/>
        </w:rPr>
        <w:t> </w:t>
      </w:r>
      <w:r>
        <w:rPr>
          <w:w w:val="105"/>
          <w:sz w:val="20"/>
        </w:rPr>
        <w:t>are</w:t>
      </w:r>
      <w:r>
        <w:rPr>
          <w:spacing w:val="-8"/>
          <w:w w:val="105"/>
          <w:sz w:val="20"/>
        </w:rPr>
        <w:t> </w:t>
      </w:r>
      <w:r>
        <w:rPr>
          <w:w w:val="105"/>
          <w:sz w:val="20"/>
        </w:rPr>
        <w:t>to</w:t>
      </w:r>
      <w:r>
        <w:rPr>
          <w:spacing w:val="-8"/>
          <w:w w:val="105"/>
          <w:sz w:val="20"/>
        </w:rPr>
        <w:t> </w:t>
      </w:r>
      <w:r>
        <w:rPr>
          <w:w w:val="105"/>
          <w:sz w:val="20"/>
        </w:rPr>
        <w:t>be</w:t>
      </w:r>
      <w:r>
        <w:rPr>
          <w:spacing w:val="-9"/>
          <w:w w:val="105"/>
          <w:sz w:val="20"/>
        </w:rPr>
        <w:t> </w:t>
      </w:r>
      <w:r>
        <w:rPr>
          <w:w w:val="105"/>
          <w:sz w:val="20"/>
        </w:rPr>
        <w:t>discharged</w:t>
      </w:r>
      <w:r>
        <w:rPr>
          <w:spacing w:val="-8"/>
          <w:w w:val="105"/>
          <w:sz w:val="20"/>
        </w:rPr>
        <w:t> </w:t>
      </w:r>
      <w:r>
        <w:rPr>
          <w:w w:val="105"/>
          <w:sz w:val="20"/>
        </w:rPr>
        <w:t>from the property, class 2 property after the discharge of the</w:t>
      </w:r>
      <w:r>
        <w:rPr>
          <w:spacing w:val="24"/>
          <w:w w:val="105"/>
          <w:sz w:val="20"/>
        </w:rPr>
        <w:t> </w:t>
      </w:r>
      <w:r>
        <w:rPr>
          <w:w w:val="105"/>
          <w:sz w:val="20"/>
        </w:rPr>
        <w:t>debts.</w:t>
      </w:r>
      <w:r>
        <w:rPr>
          <w:w w:val="105"/>
          <w:position w:val="7"/>
          <w:sz w:val="11"/>
        </w:rPr>
        <w:t>31</w:t>
      </w:r>
    </w:p>
    <w:p>
      <w:pPr>
        <w:pStyle w:val="ListParagraph"/>
        <w:numPr>
          <w:ilvl w:val="1"/>
          <w:numId w:val="22"/>
        </w:numPr>
        <w:tabs>
          <w:tab w:pos="2380" w:val="left" w:leader="none"/>
          <w:tab w:pos="2381" w:val="left" w:leader="none"/>
        </w:tabs>
        <w:spacing w:line="242" w:lineRule="auto" w:before="113" w:after="0"/>
        <w:ind w:left="2381" w:right="1634" w:hanging="794"/>
        <w:jc w:val="left"/>
        <w:rPr>
          <w:sz w:val="21"/>
        </w:rPr>
      </w:pPr>
      <w:r>
        <w:rPr>
          <w:w w:val="105"/>
          <w:sz w:val="21"/>
        </w:rPr>
        <w:t>This model </w:t>
      </w:r>
      <w:r>
        <w:rPr>
          <w:spacing w:val="-3"/>
          <w:w w:val="105"/>
          <w:sz w:val="21"/>
        </w:rPr>
        <w:t>provision stipulates that </w:t>
      </w:r>
      <w:r>
        <w:rPr>
          <w:w w:val="105"/>
          <w:sz w:val="21"/>
        </w:rPr>
        <w:t>pecuniary legacies </w:t>
      </w:r>
      <w:r>
        <w:rPr>
          <w:spacing w:val="-3"/>
          <w:w w:val="105"/>
          <w:sz w:val="21"/>
        </w:rPr>
        <w:t>are to </w:t>
      </w:r>
      <w:r>
        <w:rPr>
          <w:w w:val="105"/>
          <w:sz w:val="21"/>
        </w:rPr>
        <w:t>be paid </w:t>
      </w:r>
      <w:r>
        <w:rPr>
          <w:spacing w:val="-3"/>
          <w:w w:val="105"/>
          <w:sz w:val="21"/>
        </w:rPr>
        <w:t>from </w:t>
      </w:r>
      <w:r>
        <w:rPr>
          <w:w w:val="105"/>
          <w:sz w:val="21"/>
        </w:rPr>
        <w:t>class 2 of the model</w:t>
      </w:r>
      <w:r>
        <w:rPr>
          <w:spacing w:val="-4"/>
          <w:w w:val="105"/>
          <w:sz w:val="21"/>
        </w:rPr>
        <w:t> order.</w:t>
      </w:r>
      <w:r>
        <w:rPr>
          <w:spacing w:val="-3"/>
          <w:w w:val="105"/>
          <w:sz w:val="21"/>
        </w:rPr>
        <w:t> </w:t>
      </w:r>
      <w:r>
        <w:rPr>
          <w:w w:val="105"/>
          <w:sz w:val="21"/>
        </w:rPr>
        <w:t>As</w:t>
      </w:r>
      <w:r>
        <w:rPr>
          <w:spacing w:val="-3"/>
          <w:w w:val="105"/>
          <w:sz w:val="21"/>
        </w:rPr>
        <w:t> </w:t>
      </w:r>
      <w:r>
        <w:rPr>
          <w:w w:val="105"/>
          <w:sz w:val="21"/>
        </w:rPr>
        <w:t>class</w:t>
      </w:r>
      <w:r>
        <w:rPr>
          <w:spacing w:val="-3"/>
          <w:w w:val="105"/>
          <w:sz w:val="21"/>
        </w:rPr>
        <w:t> </w:t>
      </w:r>
      <w:r>
        <w:rPr>
          <w:w w:val="105"/>
          <w:sz w:val="21"/>
        </w:rPr>
        <w:t>2</w:t>
      </w:r>
      <w:r>
        <w:rPr>
          <w:spacing w:val="-4"/>
          <w:w w:val="105"/>
          <w:sz w:val="21"/>
        </w:rPr>
        <w:t> </w:t>
      </w:r>
      <w:r>
        <w:rPr>
          <w:w w:val="105"/>
          <w:sz w:val="21"/>
        </w:rPr>
        <w:t>of</w:t>
      </w:r>
      <w:r>
        <w:rPr>
          <w:spacing w:val="-3"/>
          <w:w w:val="105"/>
          <w:sz w:val="21"/>
        </w:rPr>
        <w:t> </w:t>
      </w:r>
      <w:r>
        <w:rPr>
          <w:w w:val="105"/>
          <w:sz w:val="21"/>
        </w:rPr>
        <w:t>the</w:t>
      </w:r>
      <w:r>
        <w:rPr>
          <w:spacing w:val="-3"/>
          <w:w w:val="105"/>
          <w:sz w:val="21"/>
        </w:rPr>
        <w:t> </w:t>
      </w:r>
      <w:r>
        <w:rPr>
          <w:w w:val="105"/>
          <w:sz w:val="21"/>
        </w:rPr>
        <w:t>model</w:t>
      </w:r>
      <w:r>
        <w:rPr>
          <w:spacing w:val="-3"/>
          <w:w w:val="105"/>
          <w:sz w:val="21"/>
        </w:rPr>
        <w:t> </w:t>
      </w:r>
      <w:r>
        <w:rPr>
          <w:w w:val="105"/>
          <w:sz w:val="21"/>
        </w:rPr>
        <w:t>order</w:t>
      </w:r>
      <w:r>
        <w:rPr>
          <w:spacing w:val="-3"/>
          <w:w w:val="105"/>
          <w:sz w:val="21"/>
        </w:rPr>
        <w:t> aligns</w:t>
      </w:r>
      <w:r>
        <w:rPr>
          <w:spacing w:val="-4"/>
          <w:w w:val="105"/>
          <w:sz w:val="21"/>
        </w:rPr>
        <w:t> </w:t>
      </w:r>
      <w:r>
        <w:rPr>
          <w:w w:val="105"/>
          <w:sz w:val="21"/>
        </w:rPr>
        <w:t>with</w:t>
      </w:r>
      <w:r>
        <w:rPr>
          <w:spacing w:val="-3"/>
          <w:w w:val="105"/>
          <w:sz w:val="21"/>
        </w:rPr>
        <w:t> </w:t>
      </w:r>
      <w:r>
        <w:rPr>
          <w:w w:val="105"/>
          <w:sz w:val="21"/>
        </w:rPr>
        <w:t>categories</w:t>
      </w:r>
      <w:r>
        <w:rPr>
          <w:spacing w:val="-3"/>
          <w:w w:val="105"/>
          <w:sz w:val="21"/>
        </w:rPr>
        <w:t> </w:t>
      </w:r>
      <w:r>
        <w:rPr>
          <w:w w:val="105"/>
          <w:sz w:val="21"/>
        </w:rPr>
        <w:t>1</w:t>
      </w:r>
      <w:r>
        <w:rPr>
          <w:spacing w:val="-3"/>
          <w:w w:val="105"/>
          <w:sz w:val="21"/>
        </w:rPr>
        <w:t> </w:t>
      </w:r>
      <w:r>
        <w:rPr>
          <w:w w:val="105"/>
          <w:sz w:val="21"/>
        </w:rPr>
        <w:t>and</w:t>
      </w:r>
      <w:r>
        <w:rPr>
          <w:spacing w:val="-3"/>
          <w:w w:val="105"/>
          <w:sz w:val="21"/>
        </w:rPr>
        <w:t> </w:t>
      </w:r>
      <w:r>
        <w:rPr>
          <w:w w:val="105"/>
          <w:sz w:val="21"/>
        </w:rPr>
        <w:t>4</w:t>
      </w:r>
      <w:r>
        <w:rPr>
          <w:spacing w:val="-4"/>
          <w:w w:val="105"/>
          <w:sz w:val="21"/>
        </w:rPr>
        <w:t> </w:t>
      </w:r>
      <w:r>
        <w:rPr>
          <w:w w:val="105"/>
          <w:sz w:val="21"/>
        </w:rPr>
        <w:t>of</w:t>
      </w:r>
      <w:r>
        <w:rPr>
          <w:spacing w:val="-3"/>
          <w:w w:val="105"/>
          <w:sz w:val="21"/>
        </w:rPr>
        <w:t> </w:t>
      </w:r>
      <w:r>
        <w:rPr>
          <w:w w:val="105"/>
          <w:sz w:val="21"/>
        </w:rPr>
        <w:t>the</w:t>
      </w:r>
      <w:r>
        <w:rPr>
          <w:spacing w:val="-3"/>
          <w:w w:val="105"/>
          <w:sz w:val="21"/>
        </w:rPr>
        <w:t> </w:t>
      </w:r>
      <w:r>
        <w:rPr>
          <w:w w:val="105"/>
          <w:sz w:val="21"/>
        </w:rPr>
        <w:t>Victorian </w:t>
      </w:r>
      <w:r>
        <w:rPr>
          <w:spacing w:val="-4"/>
          <w:w w:val="105"/>
          <w:sz w:val="21"/>
        </w:rPr>
        <w:t>order, </w:t>
      </w:r>
      <w:r>
        <w:rPr>
          <w:w w:val="105"/>
          <w:sz w:val="21"/>
        </w:rPr>
        <w:t>the effect of adopting this model </w:t>
      </w:r>
      <w:r>
        <w:rPr>
          <w:spacing w:val="-3"/>
          <w:w w:val="105"/>
          <w:sz w:val="21"/>
        </w:rPr>
        <w:t>provision </w:t>
      </w:r>
      <w:r>
        <w:rPr>
          <w:w w:val="105"/>
          <w:sz w:val="21"/>
        </w:rPr>
        <w:t>would be </w:t>
      </w:r>
      <w:r>
        <w:rPr>
          <w:spacing w:val="-3"/>
          <w:w w:val="105"/>
          <w:sz w:val="21"/>
        </w:rPr>
        <w:t>to retain </w:t>
      </w:r>
      <w:r>
        <w:rPr>
          <w:w w:val="105"/>
          <w:sz w:val="21"/>
        </w:rPr>
        <w:t>the Victorian status quo in </w:t>
      </w:r>
      <w:r>
        <w:rPr>
          <w:spacing w:val="-3"/>
          <w:w w:val="105"/>
          <w:sz w:val="21"/>
        </w:rPr>
        <w:t>relation to </w:t>
      </w:r>
      <w:r>
        <w:rPr>
          <w:w w:val="105"/>
          <w:sz w:val="21"/>
        </w:rPr>
        <w:t>the payment of pecuniary</w:t>
      </w:r>
      <w:r>
        <w:rPr>
          <w:spacing w:val="38"/>
          <w:w w:val="105"/>
          <w:sz w:val="21"/>
        </w:rPr>
        <w:t> </w:t>
      </w:r>
      <w:r>
        <w:rPr>
          <w:spacing w:val="-2"/>
          <w:w w:val="105"/>
          <w:sz w:val="21"/>
        </w:rPr>
        <w:t>legacies.</w:t>
      </w:r>
    </w:p>
    <w:p>
      <w:pPr>
        <w:pStyle w:val="ListParagraph"/>
        <w:numPr>
          <w:ilvl w:val="1"/>
          <w:numId w:val="22"/>
        </w:numPr>
        <w:tabs>
          <w:tab w:pos="2380" w:val="left" w:leader="none"/>
          <w:tab w:pos="2381" w:val="left" w:leader="none"/>
        </w:tabs>
        <w:spacing w:line="242" w:lineRule="auto" w:before="125" w:after="0"/>
        <w:ind w:left="2381" w:right="1688" w:hanging="794"/>
        <w:jc w:val="left"/>
        <w:rPr>
          <w:sz w:val="12"/>
        </w:rPr>
      </w:pPr>
      <w:r>
        <w:rPr>
          <w:w w:val="105"/>
          <w:sz w:val="21"/>
        </w:rPr>
        <w:t>It</w:t>
      </w:r>
      <w:r>
        <w:rPr>
          <w:spacing w:val="-7"/>
          <w:w w:val="105"/>
          <w:sz w:val="21"/>
        </w:rPr>
        <w:t> </w:t>
      </w:r>
      <w:r>
        <w:rPr>
          <w:w w:val="105"/>
          <w:sz w:val="21"/>
        </w:rPr>
        <w:t>should</w:t>
      </w:r>
      <w:r>
        <w:rPr>
          <w:spacing w:val="-6"/>
          <w:w w:val="105"/>
          <w:sz w:val="21"/>
        </w:rPr>
        <w:t> </w:t>
      </w:r>
      <w:r>
        <w:rPr>
          <w:w w:val="105"/>
          <w:sz w:val="21"/>
        </w:rPr>
        <w:t>also</w:t>
      </w:r>
      <w:r>
        <w:rPr>
          <w:spacing w:val="-6"/>
          <w:w w:val="105"/>
          <w:sz w:val="21"/>
        </w:rPr>
        <w:t> </w:t>
      </w:r>
      <w:r>
        <w:rPr>
          <w:w w:val="105"/>
          <w:sz w:val="21"/>
        </w:rPr>
        <w:t>be</w:t>
      </w:r>
      <w:r>
        <w:rPr>
          <w:spacing w:val="-6"/>
          <w:w w:val="105"/>
          <w:sz w:val="21"/>
        </w:rPr>
        <w:t> </w:t>
      </w:r>
      <w:r>
        <w:rPr>
          <w:spacing w:val="-3"/>
          <w:w w:val="105"/>
          <w:sz w:val="21"/>
        </w:rPr>
        <w:t>noted</w:t>
      </w:r>
      <w:r>
        <w:rPr>
          <w:spacing w:val="-6"/>
          <w:w w:val="105"/>
          <w:sz w:val="21"/>
        </w:rPr>
        <w:t> </w:t>
      </w:r>
      <w:r>
        <w:rPr>
          <w:spacing w:val="-3"/>
          <w:w w:val="105"/>
          <w:sz w:val="21"/>
        </w:rPr>
        <w:t>that</w:t>
      </w:r>
      <w:r>
        <w:rPr>
          <w:spacing w:val="-6"/>
          <w:w w:val="105"/>
          <w:sz w:val="21"/>
        </w:rPr>
        <w:t> </w:t>
      </w:r>
      <w:r>
        <w:rPr>
          <w:w w:val="105"/>
          <w:sz w:val="21"/>
        </w:rPr>
        <w:t>the</w:t>
      </w:r>
      <w:r>
        <w:rPr>
          <w:spacing w:val="-6"/>
          <w:w w:val="105"/>
          <w:sz w:val="21"/>
        </w:rPr>
        <w:t> </w:t>
      </w:r>
      <w:r>
        <w:rPr>
          <w:w w:val="105"/>
          <w:sz w:val="21"/>
        </w:rPr>
        <w:t>definition</w:t>
      </w:r>
      <w:r>
        <w:rPr>
          <w:spacing w:val="-7"/>
          <w:w w:val="105"/>
          <w:sz w:val="21"/>
        </w:rPr>
        <w:t> </w:t>
      </w:r>
      <w:r>
        <w:rPr>
          <w:w w:val="105"/>
          <w:sz w:val="21"/>
        </w:rPr>
        <w:t>of</w:t>
      </w:r>
      <w:r>
        <w:rPr>
          <w:spacing w:val="-6"/>
          <w:w w:val="105"/>
          <w:sz w:val="21"/>
        </w:rPr>
        <w:t> </w:t>
      </w:r>
      <w:r>
        <w:rPr>
          <w:w w:val="105"/>
          <w:sz w:val="21"/>
        </w:rPr>
        <w:t>‘pecuniary</w:t>
      </w:r>
      <w:r>
        <w:rPr>
          <w:spacing w:val="-6"/>
          <w:w w:val="105"/>
          <w:sz w:val="21"/>
        </w:rPr>
        <w:t> </w:t>
      </w:r>
      <w:r>
        <w:rPr>
          <w:w w:val="105"/>
          <w:sz w:val="21"/>
        </w:rPr>
        <w:t>legacy’</w:t>
      </w:r>
      <w:r>
        <w:rPr>
          <w:spacing w:val="-6"/>
          <w:w w:val="105"/>
          <w:sz w:val="21"/>
        </w:rPr>
        <w:t> </w:t>
      </w:r>
      <w:r>
        <w:rPr>
          <w:w w:val="105"/>
          <w:sz w:val="21"/>
        </w:rPr>
        <w:t>in</w:t>
      </w:r>
      <w:r>
        <w:rPr>
          <w:spacing w:val="-6"/>
          <w:w w:val="105"/>
          <w:sz w:val="21"/>
        </w:rPr>
        <w:t> </w:t>
      </w:r>
      <w:r>
        <w:rPr>
          <w:w w:val="105"/>
          <w:sz w:val="21"/>
        </w:rPr>
        <w:t>the</w:t>
      </w:r>
      <w:r>
        <w:rPr>
          <w:spacing w:val="-6"/>
          <w:w w:val="105"/>
          <w:sz w:val="21"/>
        </w:rPr>
        <w:t> </w:t>
      </w:r>
      <w:r>
        <w:rPr>
          <w:spacing w:val="-3"/>
          <w:w w:val="105"/>
          <w:sz w:val="21"/>
        </w:rPr>
        <w:t>Administration</w:t>
      </w:r>
      <w:r>
        <w:rPr>
          <w:spacing w:val="-6"/>
          <w:w w:val="105"/>
          <w:sz w:val="21"/>
        </w:rPr>
        <w:t> </w:t>
      </w:r>
      <w:r>
        <w:rPr>
          <w:w w:val="105"/>
          <w:sz w:val="21"/>
        </w:rPr>
        <w:t>and </w:t>
      </w:r>
      <w:r>
        <w:rPr>
          <w:spacing w:val="-3"/>
          <w:w w:val="105"/>
          <w:sz w:val="21"/>
        </w:rPr>
        <w:t>Probate </w:t>
      </w:r>
      <w:r>
        <w:rPr>
          <w:spacing w:val="2"/>
          <w:w w:val="105"/>
          <w:sz w:val="21"/>
        </w:rPr>
        <w:t>Act</w:t>
      </w:r>
      <w:r>
        <w:rPr>
          <w:spacing w:val="2"/>
          <w:w w:val="105"/>
          <w:position w:val="7"/>
          <w:sz w:val="12"/>
        </w:rPr>
        <w:t>32 </w:t>
      </w:r>
      <w:r>
        <w:rPr>
          <w:spacing w:val="-3"/>
          <w:w w:val="105"/>
          <w:sz w:val="21"/>
        </w:rPr>
        <w:t>aligns </w:t>
      </w:r>
      <w:r>
        <w:rPr>
          <w:w w:val="105"/>
          <w:sz w:val="21"/>
        </w:rPr>
        <w:t>with the </w:t>
      </w:r>
      <w:r>
        <w:rPr>
          <w:spacing w:val="-3"/>
          <w:w w:val="105"/>
          <w:sz w:val="21"/>
        </w:rPr>
        <w:t>National </w:t>
      </w:r>
      <w:r>
        <w:rPr>
          <w:spacing w:val="-4"/>
          <w:w w:val="105"/>
          <w:sz w:val="21"/>
        </w:rPr>
        <w:t>Committee’s </w:t>
      </w:r>
      <w:r>
        <w:rPr>
          <w:w w:val="105"/>
          <w:sz w:val="21"/>
        </w:rPr>
        <w:t>recommended</w:t>
      </w:r>
      <w:r>
        <w:rPr>
          <w:spacing w:val="20"/>
          <w:w w:val="105"/>
          <w:sz w:val="21"/>
        </w:rPr>
        <w:t> </w:t>
      </w:r>
      <w:r>
        <w:rPr>
          <w:w w:val="105"/>
          <w:sz w:val="21"/>
        </w:rPr>
        <w:t>definition.</w:t>
      </w:r>
      <w:r>
        <w:rPr>
          <w:w w:val="105"/>
          <w:position w:val="7"/>
          <w:sz w:val="12"/>
        </w:rPr>
        <w:t>33</w:t>
      </w:r>
    </w:p>
    <w:p>
      <w:pPr>
        <w:pStyle w:val="BodyText"/>
        <w:spacing w:before="6"/>
        <w:rPr>
          <w:sz w:val="15"/>
        </w:rPr>
      </w:pPr>
      <w:r>
        <w:rPr/>
        <w:pict>
          <v:group style="position:absolute;margin-left:62.362202pt;margin-top:11.448261pt;width:479.1pt;height:96.55pt;mso-position-horizontal-relative:page;mso-position-vertical-relative:paragraph;z-index:10760;mso-wrap-distance-left:0;mso-wrap-distance-right:0" coordorigin="1247,229" coordsize="9582,1931">
            <v:rect style="position:absolute;left:1587;top:228;width:8731;height:1931" filled="true" fillcolor="#fdebea" stroked="false">
              <v:fill type="solid"/>
            </v:rect>
            <v:line style="position:absolute" from="1247,980" to="10828,980" stroked="true" strokeweight="2.5pt" strokecolor="#ffffff">
              <v:stroke dashstyle="solid"/>
            </v:line>
            <v:shape style="position:absolute;left:2381;top:1216;width:7651;height:769" type="#_x0000_t202" filled="false" stroked="false">
              <v:textbox inset="0,0,0,0">
                <w:txbxContent>
                  <w:p>
                    <w:pPr>
                      <w:spacing w:line="242" w:lineRule="auto" w:before="0"/>
                      <w:ind w:left="0" w:right="108" w:firstLine="0"/>
                      <w:jc w:val="left"/>
                      <w:rPr>
                        <w:sz w:val="21"/>
                      </w:rPr>
                    </w:pPr>
                    <w:r>
                      <w:rPr>
                        <w:w w:val="105"/>
                        <w:sz w:val="21"/>
                      </w:rPr>
                      <w:t>A provision should be inserted into the </w:t>
                    </w:r>
                    <w:r>
                      <w:rPr>
                        <w:rFonts w:ascii="Lucida Sans"/>
                        <w:i/>
                        <w:w w:val="105"/>
                        <w:sz w:val="21"/>
                      </w:rPr>
                      <w:t>Administration and Probate Act </w:t>
                    </w:r>
                    <w:r>
                      <w:rPr>
                        <w:rFonts w:ascii="Lucida Sans"/>
                        <w:i/>
                        <w:spacing w:val="-4"/>
                        <w:w w:val="105"/>
                        <w:sz w:val="21"/>
                      </w:rPr>
                      <w:t>1958 </w:t>
                    </w:r>
                    <w:r>
                      <w:rPr>
                        <w:w w:val="105"/>
                        <w:sz w:val="21"/>
                      </w:rPr>
                      <w:t>(Vic) that stipulates that the payment of pecuniary legacies is to be made from       the residuary</w:t>
                    </w:r>
                    <w:r>
                      <w:rPr>
                        <w:spacing w:val="13"/>
                        <w:w w:val="105"/>
                        <w:sz w:val="21"/>
                      </w:rPr>
                      <w:t> </w:t>
                    </w:r>
                    <w:r>
                      <w:rPr>
                        <w:w w:val="105"/>
                        <w:sz w:val="21"/>
                      </w:rPr>
                      <w:t>estate.</w:t>
                    </w:r>
                  </w:p>
                </w:txbxContent>
              </v:textbox>
              <w10:wrap type="none"/>
            </v:shape>
            <v:shape style="position:absolute;left:1814;top:1216;width:258;height:249" type="#_x0000_t202" filled="false" stroked="false">
              <v:textbox inset="0,0,0,0">
                <w:txbxContent>
                  <w:p>
                    <w:pPr>
                      <w:spacing w:line="249" w:lineRule="exact" w:before="0"/>
                      <w:ind w:left="0" w:right="0" w:firstLine="0"/>
                      <w:jc w:val="left"/>
                      <w:rPr>
                        <w:sz w:val="21"/>
                      </w:rPr>
                    </w:pPr>
                    <w:r>
                      <w:rPr>
                        <w:w w:val="110"/>
                        <w:sz w:val="21"/>
                      </w:rPr>
                      <w:t>64</w:t>
                    </w:r>
                  </w:p>
                </w:txbxContent>
              </v:textbox>
              <w10:wrap type="none"/>
            </v:shape>
            <v:shape style="position:absolute;left:1587;top:228;width:8731;height:726" type="#_x0000_t202" filled="true" fillcolor="#fdebea" stroked="false">
              <v:textbox inset="0,0,0,0">
                <w:txbxContent>
                  <w:p>
                    <w:pPr>
                      <w:spacing w:before="166"/>
                      <w:ind w:left="226" w:right="0" w:firstLine="0"/>
                      <w:jc w:val="left"/>
                      <w:rPr>
                        <w:b/>
                        <w:sz w:val="32"/>
                      </w:rPr>
                    </w:pPr>
                    <w:r>
                      <w:rPr>
                        <w:b/>
                        <w:color w:val="EC5A4F"/>
                        <w:w w:val="110"/>
                        <w:sz w:val="32"/>
                      </w:rPr>
                      <w:t>Recommendation</w:t>
                    </w:r>
                  </w:p>
                </w:txbxContent>
              </v:textbox>
              <v:fill type="solid"/>
              <w10:wrap type="none"/>
            </v:shape>
            <w10:wrap type="topAndBottom"/>
          </v:group>
        </w:pict>
      </w:r>
    </w:p>
    <w:p>
      <w:pPr>
        <w:pStyle w:val="BodyText"/>
        <w:rPr>
          <w:sz w:val="16"/>
        </w:rPr>
      </w:pPr>
    </w:p>
    <w:p>
      <w:pPr>
        <w:pStyle w:val="Heading5"/>
        <w:spacing w:before="99"/>
      </w:pPr>
      <w:r>
        <w:rPr>
          <w:w w:val="115"/>
        </w:rPr>
        <w:t>Exception to the statutory order for charged or mortgaged property</w:t>
      </w:r>
    </w:p>
    <w:p>
      <w:pPr>
        <w:pStyle w:val="Heading6"/>
        <w:spacing w:before="201"/>
      </w:pPr>
      <w:r>
        <w:rPr>
          <w:w w:val="115"/>
        </w:rPr>
        <w:t>Current law</w:t>
      </w:r>
    </w:p>
    <w:p>
      <w:pPr>
        <w:pStyle w:val="ListParagraph"/>
        <w:numPr>
          <w:ilvl w:val="1"/>
          <w:numId w:val="22"/>
        </w:numPr>
        <w:tabs>
          <w:tab w:pos="2381" w:val="left" w:leader="none"/>
        </w:tabs>
        <w:spacing w:line="242" w:lineRule="auto" w:before="151" w:after="0"/>
        <w:ind w:left="2381" w:right="1718" w:hanging="794"/>
        <w:jc w:val="both"/>
        <w:rPr>
          <w:sz w:val="21"/>
        </w:rPr>
      </w:pPr>
      <w:r>
        <w:rPr>
          <w:w w:val="105"/>
          <w:sz w:val="21"/>
        </w:rPr>
        <w:t>Although</w:t>
      </w:r>
      <w:r>
        <w:rPr>
          <w:spacing w:val="-7"/>
          <w:w w:val="105"/>
          <w:sz w:val="21"/>
        </w:rPr>
        <w:t> </w:t>
      </w:r>
      <w:r>
        <w:rPr>
          <w:w w:val="105"/>
          <w:sz w:val="21"/>
        </w:rPr>
        <w:t>most</w:t>
      </w:r>
      <w:r>
        <w:rPr>
          <w:spacing w:val="-6"/>
          <w:w w:val="105"/>
          <w:sz w:val="21"/>
        </w:rPr>
        <w:t> </w:t>
      </w:r>
      <w:r>
        <w:rPr>
          <w:w w:val="105"/>
          <w:sz w:val="21"/>
        </w:rPr>
        <w:t>debts</w:t>
      </w:r>
      <w:r>
        <w:rPr>
          <w:spacing w:val="-7"/>
          <w:w w:val="105"/>
          <w:sz w:val="21"/>
        </w:rPr>
        <w:t> </w:t>
      </w:r>
      <w:r>
        <w:rPr>
          <w:w w:val="105"/>
          <w:sz w:val="21"/>
        </w:rPr>
        <w:t>of</w:t>
      </w:r>
      <w:r>
        <w:rPr>
          <w:spacing w:val="-6"/>
          <w:w w:val="105"/>
          <w:sz w:val="21"/>
        </w:rPr>
        <w:t> </w:t>
      </w:r>
      <w:r>
        <w:rPr>
          <w:w w:val="105"/>
          <w:sz w:val="21"/>
        </w:rPr>
        <w:t>solvent</w:t>
      </w:r>
      <w:r>
        <w:rPr>
          <w:spacing w:val="-7"/>
          <w:w w:val="105"/>
          <w:sz w:val="21"/>
        </w:rPr>
        <w:t> </w:t>
      </w:r>
      <w:r>
        <w:rPr>
          <w:w w:val="105"/>
          <w:sz w:val="21"/>
        </w:rPr>
        <w:t>estates</w:t>
      </w:r>
      <w:r>
        <w:rPr>
          <w:spacing w:val="-6"/>
          <w:w w:val="105"/>
          <w:sz w:val="21"/>
        </w:rPr>
        <w:t> </w:t>
      </w:r>
      <w:r>
        <w:rPr>
          <w:spacing w:val="-3"/>
          <w:w w:val="105"/>
          <w:sz w:val="21"/>
        </w:rPr>
        <w:t>will</w:t>
      </w:r>
      <w:r>
        <w:rPr>
          <w:spacing w:val="-7"/>
          <w:w w:val="105"/>
          <w:sz w:val="21"/>
        </w:rPr>
        <w:t> </w:t>
      </w:r>
      <w:r>
        <w:rPr>
          <w:w w:val="105"/>
          <w:sz w:val="21"/>
        </w:rPr>
        <w:t>be</w:t>
      </w:r>
      <w:r>
        <w:rPr>
          <w:spacing w:val="-6"/>
          <w:w w:val="105"/>
          <w:sz w:val="21"/>
        </w:rPr>
        <w:t> </w:t>
      </w:r>
      <w:r>
        <w:rPr>
          <w:w w:val="105"/>
          <w:sz w:val="21"/>
        </w:rPr>
        <w:t>paid</w:t>
      </w:r>
      <w:r>
        <w:rPr>
          <w:spacing w:val="-6"/>
          <w:w w:val="105"/>
          <w:sz w:val="21"/>
        </w:rPr>
        <w:t> </w:t>
      </w:r>
      <w:r>
        <w:rPr>
          <w:spacing w:val="-3"/>
          <w:w w:val="105"/>
          <w:sz w:val="21"/>
        </w:rPr>
        <w:t>according</w:t>
      </w:r>
      <w:r>
        <w:rPr>
          <w:spacing w:val="-7"/>
          <w:w w:val="105"/>
          <w:sz w:val="21"/>
        </w:rPr>
        <w:t> </w:t>
      </w:r>
      <w:r>
        <w:rPr>
          <w:spacing w:val="-3"/>
          <w:w w:val="105"/>
          <w:sz w:val="21"/>
        </w:rPr>
        <w:t>to</w:t>
      </w:r>
      <w:r>
        <w:rPr>
          <w:spacing w:val="-6"/>
          <w:w w:val="105"/>
          <w:sz w:val="21"/>
        </w:rPr>
        <w:t> </w:t>
      </w:r>
      <w:r>
        <w:rPr>
          <w:w w:val="105"/>
          <w:sz w:val="21"/>
        </w:rPr>
        <w:t>the</w:t>
      </w:r>
      <w:r>
        <w:rPr>
          <w:spacing w:val="-7"/>
          <w:w w:val="105"/>
          <w:sz w:val="21"/>
        </w:rPr>
        <w:t> </w:t>
      </w:r>
      <w:r>
        <w:rPr>
          <w:w w:val="105"/>
          <w:sz w:val="21"/>
        </w:rPr>
        <w:t>order</w:t>
      </w:r>
      <w:r>
        <w:rPr>
          <w:spacing w:val="-6"/>
          <w:w w:val="105"/>
          <w:sz w:val="21"/>
        </w:rPr>
        <w:t> </w:t>
      </w:r>
      <w:r>
        <w:rPr>
          <w:w w:val="105"/>
          <w:sz w:val="21"/>
        </w:rPr>
        <w:t>of</w:t>
      </w:r>
      <w:r>
        <w:rPr>
          <w:spacing w:val="-7"/>
          <w:w w:val="105"/>
          <w:sz w:val="21"/>
        </w:rPr>
        <w:t> </w:t>
      </w:r>
      <w:r>
        <w:rPr>
          <w:w w:val="105"/>
          <w:sz w:val="21"/>
        </w:rPr>
        <w:t>application discussed </w:t>
      </w:r>
      <w:r>
        <w:rPr>
          <w:spacing w:val="-3"/>
          <w:w w:val="105"/>
          <w:sz w:val="21"/>
        </w:rPr>
        <w:t>above, </w:t>
      </w:r>
      <w:r>
        <w:rPr>
          <w:w w:val="105"/>
          <w:sz w:val="21"/>
        </w:rPr>
        <w:t>section 40 of the </w:t>
      </w:r>
      <w:r>
        <w:rPr>
          <w:spacing w:val="-3"/>
          <w:w w:val="105"/>
          <w:sz w:val="21"/>
        </w:rPr>
        <w:t>Administration </w:t>
      </w:r>
      <w:r>
        <w:rPr>
          <w:w w:val="105"/>
          <w:sz w:val="21"/>
        </w:rPr>
        <w:t>and </w:t>
      </w:r>
      <w:r>
        <w:rPr>
          <w:spacing w:val="-3"/>
          <w:w w:val="105"/>
          <w:sz w:val="21"/>
        </w:rPr>
        <w:t>Probate </w:t>
      </w:r>
      <w:r>
        <w:rPr>
          <w:w w:val="105"/>
          <w:sz w:val="21"/>
        </w:rPr>
        <w:t>Act sets out an </w:t>
      </w:r>
      <w:r>
        <w:rPr>
          <w:spacing w:val="-3"/>
          <w:w w:val="105"/>
          <w:sz w:val="21"/>
        </w:rPr>
        <w:t>exception </w:t>
      </w:r>
      <w:r>
        <w:rPr>
          <w:w w:val="105"/>
          <w:sz w:val="21"/>
        </w:rPr>
        <w:t>in </w:t>
      </w:r>
      <w:r>
        <w:rPr>
          <w:spacing w:val="-3"/>
          <w:w w:val="105"/>
          <w:sz w:val="21"/>
        </w:rPr>
        <w:t>relation to </w:t>
      </w:r>
      <w:r>
        <w:rPr>
          <w:w w:val="105"/>
          <w:sz w:val="21"/>
        </w:rPr>
        <w:t>assets </w:t>
      </w:r>
      <w:r>
        <w:rPr>
          <w:spacing w:val="-3"/>
          <w:w w:val="105"/>
          <w:sz w:val="21"/>
        </w:rPr>
        <w:t>charged </w:t>
      </w:r>
      <w:r>
        <w:rPr>
          <w:w w:val="105"/>
          <w:sz w:val="21"/>
        </w:rPr>
        <w:t>with the payment of a</w:t>
      </w:r>
      <w:r>
        <w:rPr>
          <w:spacing w:val="47"/>
          <w:w w:val="105"/>
          <w:sz w:val="21"/>
        </w:rPr>
        <w:t> </w:t>
      </w:r>
      <w:r>
        <w:rPr>
          <w:w w:val="105"/>
          <w:sz w:val="21"/>
        </w:rPr>
        <w:t>debt.</w:t>
      </w:r>
    </w:p>
    <w:p>
      <w:pPr>
        <w:pStyle w:val="ListParagraph"/>
        <w:numPr>
          <w:ilvl w:val="1"/>
          <w:numId w:val="22"/>
        </w:numPr>
        <w:tabs>
          <w:tab w:pos="2380" w:val="left" w:leader="none"/>
          <w:tab w:pos="2381" w:val="left" w:leader="none"/>
        </w:tabs>
        <w:spacing w:line="240" w:lineRule="auto" w:before="124" w:after="0"/>
        <w:ind w:left="2380" w:right="0" w:hanging="793"/>
        <w:jc w:val="left"/>
        <w:rPr>
          <w:sz w:val="21"/>
        </w:rPr>
      </w:pPr>
      <w:r>
        <w:rPr>
          <w:sz w:val="21"/>
        </w:rPr>
        <w:t>An asset </w:t>
      </w:r>
      <w:r>
        <w:rPr>
          <w:spacing w:val="-3"/>
          <w:sz w:val="21"/>
        </w:rPr>
        <w:t>that </w:t>
      </w:r>
      <w:r>
        <w:rPr>
          <w:sz w:val="21"/>
        </w:rPr>
        <w:t>is </w:t>
      </w:r>
      <w:r>
        <w:rPr>
          <w:spacing w:val="-3"/>
          <w:sz w:val="21"/>
        </w:rPr>
        <w:t>charged </w:t>
      </w:r>
      <w:r>
        <w:rPr>
          <w:sz w:val="21"/>
        </w:rPr>
        <w:t>with the payment of a debt—typically </w:t>
      </w:r>
      <w:r>
        <w:rPr>
          <w:spacing w:val="-3"/>
          <w:sz w:val="21"/>
        </w:rPr>
        <w:t>real </w:t>
      </w:r>
      <w:r>
        <w:rPr>
          <w:sz w:val="21"/>
        </w:rPr>
        <w:t>estate subject</w:t>
      </w:r>
      <w:r>
        <w:rPr>
          <w:spacing w:val="24"/>
          <w:sz w:val="21"/>
        </w:rPr>
        <w:t> </w:t>
      </w:r>
      <w:r>
        <w:rPr>
          <w:spacing w:val="-3"/>
          <w:sz w:val="21"/>
        </w:rPr>
        <w:t>to</w:t>
      </w:r>
    </w:p>
    <w:p>
      <w:pPr>
        <w:pStyle w:val="BodyText"/>
        <w:spacing w:line="242" w:lineRule="auto" w:before="3"/>
        <w:ind w:left="2380" w:right="1619"/>
      </w:pPr>
      <w:r>
        <w:rPr/>
        <w:t>a mortgage, or to a lien for unpaid purchase money—will bear that debt, and entitled beneficiaries will take the asset subject to the debt. If more than one beneficiary</w:t>
      </w:r>
    </w:p>
    <w:p>
      <w:pPr>
        <w:pStyle w:val="BodyText"/>
        <w:spacing w:before="2"/>
        <w:ind w:left="2380"/>
        <w:rPr>
          <w:sz w:val="12"/>
        </w:rPr>
      </w:pPr>
      <w:r>
        <w:rPr/>
        <w:t>is entitled to the asset, they will bear the debt in proportion to their share.</w:t>
      </w:r>
      <w:r>
        <w:rPr>
          <w:position w:val="7"/>
          <w:sz w:val="12"/>
        </w:rPr>
        <w:t>34</w:t>
      </w:r>
    </w:p>
    <w:p>
      <w:pPr>
        <w:pStyle w:val="BodyText"/>
        <w:rPr>
          <w:sz w:val="20"/>
        </w:rPr>
      </w:pPr>
    </w:p>
    <w:p>
      <w:pPr>
        <w:pStyle w:val="BodyText"/>
        <w:spacing w:before="6"/>
        <w:rPr>
          <w:sz w:val="25"/>
        </w:rPr>
      </w:pPr>
      <w:r>
        <w:rPr/>
        <w:pict>
          <v:line style="position:absolute;mso-position-horizontal-relative:page;mso-position-vertical-relative:paragraph;z-index:10784;mso-wrap-distance-left:0;mso-wrap-distance-right:0" from="79.370102pt,18.013609pt" to="515.905102pt,18.013609pt" stroked="true" strokeweight="1pt" strokecolor="#f9ceca">
            <v:stroke dashstyle="solid"/>
            <w10:wrap type="topAndBottom"/>
          </v:line>
        </w:pict>
      </w:r>
    </w:p>
    <w:p>
      <w:pPr>
        <w:pStyle w:val="BodyText"/>
        <w:spacing w:before="8"/>
        <w:rPr>
          <w:sz w:val="5"/>
        </w:rPr>
      </w:pPr>
    </w:p>
    <w:p>
      <w:pPr>
        <w:spacing w:after="0"/>
        <w:rPr>
          <w:sz w:val="5"/>
        </w:rPr>
        <w:sectPr>
          <w:pgSz w:w="11910" w:h="16840"/>
          <w:pgMar w:header="550" w:footer="0" w:top="1560" w:bottom="280" w:left="0" w:right="0"/>
        </w:sectPr>
      </w:pPr>
    </w:p>
    <w:p>
      <w:pPr>
        <w:pStyle w:val="BodyText"/>
        <w:rPr>
          <w:sz w:val="28"/>
        </w:rPr>
      </w:pPr>
    </w:p>
    <w:p>
      <w:pPr>
        <w:pStyle w:val="BodyText"/>
        <w:spacing w:before="12"/>
        <w:rPr>
          <w:sz w:val="20"/>
        </w:rPr>
      </w:pPr>
    </w:p>
    <w:p>
      <w:pPr>
        <w:spacing w:before="0"/>
        <w:ind w:left="720" w:right="0" w:firstLine="0"/>
        <w:jc w:val="left"/>
        <w:rPr>
          <w:b/>
          <w:sz w:val="24"/>
        </w:rPr>
      </w:pPr>
      <w:r>
        <w:rPr>
          <w:b/>
          <w:color w:val="EC5A4F"/>
          <w:w w:val="105"/>
          <w:sz w:val="24"/>
        </w:rPr>
        <w:t>180</w:t>
      </w:r>
    </w:p>
    <w:p>
      <w:pPr>
        <w:pStyle w:val="ListParagraph"/>
        <w:numPr>
          <w:ilvl w:val="0"/>
          <w:numId w:val="136"/>
        </w:numPr>
        <w:tabs>
          <w:tab w:pos="1222" w:val="left" w:leader="none"/>
          <w:tab w:pos="1224" w:val="left" w:leader="none"/>
        </w:tabs>
        <w:spacing w:line="240" w:lineRule="auto" w:before="48" w:after="0"/>
        <w:ind w:left="1223" w:right="0" w:hanging="794"/>
        <w:jc w:val="left"/>
        <w:rPr>
          <w:sz w:val="13"/>
        </w:rPr>
      </w:pPr>
      <w:r>
        <w:rPr>
          <w:spacing w:val="3"/>
          <w:w w:val="88"/>
          <w:sz w:val="13"/>
        </w:rPr>
        <w:br w:type="column"/>
      </w:r>
      <w:r>
        <w:rPr>
          <w:w w:val="105"/>
          <w:sz w:val="13"/>
        </w:rPr>
        <w:t>Ibid</w:t>
      </w:r>
      <w:r>
        <w:rPr>
          <w:spacing w:val="4"/>
          <w:w w:val="105"/>
          <w:sz w:val="13"/>
        </w:rPr>
        <w:t> </w:t>
      </w:r>
      <w:r>
        <w:rPr>
          <w:spacing w:val="2"/>
          <w:w w:val="105"/>
          <w:sz w:val="13"/>
        </w:rPr>
        <w:t>88,</w:t>
      </w:r>
      <w:r>
        <w:rPr>
          <w:spacing w:val="5"/>
          <w:w w:val="105"/>
          <w:sz w:val="13"/>
        </w:rPr>
        <w:t> </w:t>
      </w:r>
      <w:r>
        <w:rPr>
          <w:w w:val="105"/>
          <w:sz w:val="13"/>
        </w:rPr>
        <w:t>Draft</w:t>
      </w:r>
      <w:r>
        <w:rPr>
          <w:spacing w:val="5"/>
          <w:w w:val="105"/>
          <w:sz w:val="13"/>
        </w:rPr>
        <w:t> </w:t>
      </w:r>
      <w:r>
        <w:rPr>
          <w:w w:val="105"/>
          <w:sz w:val="13"/>
        </w:rPr>
        <w:t>Administration</w:t>
      </w:r>
      <w:r>
        <w:rPr>
          <w:spacing w:val="5"/>
          <w:w w:val="105"/>
          <w:sz w:val="13"/>
        </w:rPr>
        <w:t> </w:t>
      </w:r>
      <w:r>
        <w:rPr>
          <w:w w:val="105"/>
          <w:sz w:val="13"/>
        </w:rPr>
        <w:t>of</w:t>
      </w:r>
      <w:r>
        <w:rPr>
          <w:spacing w:val="4"/>
          <w:w w:val="105"/>
          <w:sz w:val="13"/>
        </w:rPr>
        <w:t> </w:t>
      </w:r>
      <w:r>
        <w:rPr>
          <w:w w:val="105"/>
          <w:sz w:val="13"/>
        </w:rPr>
        <w:t>Estates</w:t>
      </w:r>
      <w:r>
        <w:rPr>
          <w:spacing w:val="5"/>
          <w:w w:val="105"/>
          <w:sz w:val="13"/>
        </w:rPr>
        <w:t> </w:t>
      </w:r>
      <w:r>
        <w:rPr>
          <w:w w:val="105"/>
          <w:sz w:val="13"/>
        </w:rPr>
        <w:t>Bill</w:t>
      </w:r>
      <w:r>
        <w:rPr>
          <w:spacing w:val="5"/>
          <w:w w:val="105"/>
          <w:sz w:val="13"/>
        </w:rPr>
        <w:t> </w:t>
      </w:r>
      <w:r>
        <w:rPr>
          <w:w w:val="105"/>
          <w:sz w:val="13"/>
        </w:rPr>
        <w:t>2009</w:t>
      </w:r>
      <w:r>
        <w:rPr>
          <w:spacing w:val="5"/>
          <w:w w:val="105"/>
          <w:sz w:val="13"/>
        </w:rPr>
        <w:t> </w:t>
      </w:r>
      <w:r>
        <w:rPr>
          <w:w w:val="105"/>
          <w:sz w:val="13"/>
        </w:rPr>
        <w:t>cl</w:t>
      </w:r>
      <w:r>
        <w:rPr>
          <w:spacing w:val="5"/>
          <w:w w:val="105"/>
          <w:sz w:val="13"/>
        </w:rPr>
        <w:t> </w:t>
      </w:r>
      <w:r>
        <w:rPr>
          <w:w w:val="105"/>
          <w:sz w:val="13"/>
        </w:rPr>
        <w:t>504.</w:t>
      </w:r>
    </w:p>
    <w:p>
      <w:pPr>
        <w:pStyle w:val="ListParagraph"/>
        <w:numPr>
          <w:ilvl w:val="0"/>
          <w:numId w:val="136"/>
        </w:numPr>
        <w:tabs>
          <w:tab w:pos="1222" w:val="left" w:leader="none"/>
          <w:tab w:pos="1224" w:val="left" w:leader="none"/>
        </w:tabs>
        <w:spacing w:line="240" w:lineRule="auto" w:before="1" w:after="0"/>
        <w:ind w:left="1223" w:right="0" w:hanging="794"/>
        <w:jc w:val="left"/>
        <w:rPr>
          <w:sz w:val="13"/>
        </w:rPr>
      </w:pPr>
      <w:r>
        <w:rPr>
          <w:i/>
          <w:w w:val="105"/>
          <w:sz w:val="13"/>
        </w:rPr>
        <w:t>Administration</w:t>
      </w:r>
      <w:r>
        <w:rPr>
          <w:i/>
          <w:spacing w:val="3"/>
          <w:w w:val="105"/>
          <w:sz w:val="13"/>
        </w:rPr>
        <w:t> </w:t>
      </w:r>
      <w:r>
        <w:rPr>
          <w:i/>
          <w:w w:val="105"/>
          <w:sz w:val="13"/>
        </w:rPr>
        <w:t>and</w:t>
      </w:r>
      <w:r>
        <w:rPr>
          <w:i/>
          <w:spacing w:val="4"/>
          <w:w w:val="105"/>
          <w:sz w:val="13"/>
        </w:rPr>
        <w:t> </w:t>
      </w:r>
      <w:r>
        <w:rPr>
          <w:i/>
          <w:w w:val="105"/>
          <w:sz w:val="13"/>
        </w:rPr>
        <w:t>Probate</w:t>
      </w:r>
      <w:r>
        <w:rPr>
          <w:i/>
          <w:spacing w:val="3"/>
          <w:w w:val="105"/>
          <w:sz w:val="13"/>
        </w:rPr>
        <w:t> </w:t>
      </w:r>
      <w:r>
        <w:rPr>
          <w:i/>
          <w:w w:val="105"/>
          <w:sz w:val="13"/>
        </w:rPr>
        <w:t>Act</w:t>
      </w:r>
      <w:r>
        <w:rPr>
          <w:i/>
          <w:spacing w:val="4"/>
          <w:w w:val="105"/>
          <w:sz w:val="13"/>
        </w:rPr>
        <w:t> </w:t>
      </w:r>
      <w:r>
        <w:rPr>
          <w:i/>
          <w:w w:val="105"/>
          <w:sz w:val="13"/>
        </w:rPr>
        <w:t>1958</w:t>
      </w:r>
      <w:r>
        <w:rPr>
          <w:i/>
          <w:spacing w:val="4"/>
          <w:w w:val="105"/>
          <w:sz w:val="13"/>
        </w:rPr>
        <w:t> </w:t>
      </w:r>
      <w:r>
        <w:rPr>
          <w:spacing w:val="2"/>
          <w:w w:val="105"/>
          <w:sz w:val="13"/>
        </w:rPr>
        <w:t>(Vic)</w:t>
      </w:r>
      <w:r>
        <w:rPr>
          <w:spacing w:val="5"/>
          <w:w w:val="105"/>
          <w:sz w:val="13"/>
        </w:rPr>
        <w:t> </w:t>
      </w:r>
      <w:r>
        <w:rPr>
          <w:w w:val="105"/>
          <w:sz w:val="13"/>
        </w:rPr>
        <w:t>s</w:t>
      </w:r>
      <w:r>
        <w:rPr>
          <w:spacing w:val="4"/>
          <w:w w:val="105"/>
          <w:sz w:val="13"/>
        </w:rPr>
        <w:t> </w:t>
      </w:r>
      <w:r>
        <w:rPr>
          <w:w w:val="105"/>
          <w:sz w:val="13"/>
        </w:rPr>
        <w:t>5</w:t>
      </w:r>
      <w:r>
        <w:rPr>
          <w:spacing w:val="5"/>
          <w:w w:val="105"/>
          <w:sz w:val="13"/>
        </w:rPr>
        <w:t> </w:t>
      </w:r>
      <w:r>
        <w:rPr>
          <w:w w:val="105"/>
          <w:sz w:val="13"/>
        </w:rPr>
        <w:t>(definition</w:t>
      </w:r>
      <w:r>
        <w:rPr>
          <w:spacing w:val="4"/>
          <w:w w:val="105"/>
          <w:sz w:val="13"/>
        </w:rPr>
        <w:t> </w:t>
      </w:r>
      <w:r>
        <w:rPr>
          <w:w w:val="105"/>
          <w:sz w:val="13"/>
        </w:rPr>
        <w:t>of</w:t>
      </w:r>
      <w:r>
        <w:rPr>
          <w:spacing w:val="5"/>
          <w:w w:val="105"/>
          <w:sz w:val="13"/>
        </w:rPr>
        <w:t> </w:t>
      </w:r>
      <w:r>
        <w:rPr>
          <w:w w:val="105"/>
          <w:sz w:val="13"/>
        </w:rPr>
        <w:t>‘pecuniary</w:t>
      </w:r>
      <w:r>
        <w:rPr>
          <w:spacing w:val="5"/>
          <w:w w:val="105"/>
          <w:sz w:val="13"/>
        </w:rPr>
        <w:t> </w:t>
      </w:r>
      <w:r>
        <w:rPr>
          <w:spacing w:val="2"/>
          <w:w w:val="105"/>
          <w:sz w:val="13"/>
        </w:rPr>
        <w:t>legacy’).</w:t>
      </w:r>
    </w:p>
    <w:p>
      <w:pPr>
        <w:pStyle w:val="ListParagraph"/>
        <w:numPr>
          <w:ilvl w:val="0"/>
          <w:numId w:val="136"/>
        </w:numPr>
        <w:tabs>
          <w:tab w:pos="1222" w:val="left" w:leader="none"/>
          <w:tab w:pos="1224" w:val="left" w:leader="none"/>
        </w:tabs>
        <w:spacing w:line="240" w:lineRule="auto" w:before="2" w:after="0"/>
        <w:ind w:left="1223" w:right="0" w:hanging="794"/>
        <w:jc w:val="left"/>
        <w:rPr>
          <w:sz w:val="13"/>
        </w:rPr>
      </w:pPr>
      <w:r>
        <w:rPr>
          <w:w w:val="105"/>
          <w:sz w:val="13"/>
        </w:rPr>
        <w:t>Class</w:t>
      </w:r>
      <w:r>
        <w:rPr>
          <w:spacing w:val="5"/>
          <w:w w:val="105"/>
          <w:sz w:val="13"/>
        </w:rPr>
        <w:t> </w:t>
      </w:r>
      <w:r>
        <w:rPr>
          <w:w w:val="105"/>
          <w:sz w:val="13"/>
        </w:rPr>
        <w:t>2</w:t>
      </w:r>
      <w:r>
        <w:rPr>
          <w:spacing w:val="5"/>
          <w:w w:val="105"/>
          <w:sz w:val="13"/>
        </w:rPr>
        <w:t> </w:t>
      </w:r>
      <w:r>
        <w:rPr>
          <w:w w:val="105"/>
          <w:sz w:val="13"/>
        </w:rPr>
        <w:t>of</w:t>
      </w:r>
      <w:r>
        <w:rPr>
          <w:spacing w:val="5"/>
          <w:w w:val="105"/>
          <w:sz w:val="13"/>
        </w:rPr>
        <w:t> </w:t>
      </w:r>
      <w:r>
        <w:rPr>
          <w:w w:val="105"/>
          <w:sz w:val="13"/>
        </w:rPr>
        <w:t>the</w:t>
      </w:r>
      <w:r>
        <w:rPr>
          <w:spacing w:val="5"/>
          <w:w w:val="105"/>
          <w:sz w:val="13"/>
        </w:rPr>
        <w:t> </w:t>
      </w:r>
      <w:r>
        <w:rPr>
          <w:w w:val="105"/>
          <w:sz w:val="13"/>
        </w:rPr>
        <w:t>model</w:t>
      </w:r>
      <w:r>
        <w:rPr>
          <w:spacing w:val="5"/>
          <w:w w:val="105"/>
          <w:sz w:val="13"/>
        </w:rPr>
        <w:t> </w:t>
      </w:r>
      <w:r>
        <w:rPr>
          <w:w w:val="105"/>
          <w:sz w:val="13"/>
        </w:rPr>
        <w:t>order</w:t>
      </w:r>
      <w:r>
        <w:rPr>
          <w:spacing w:val="5"/>
          <w:w w:val="105"/>
          <w:sz w:val="13"/>
        </w:rPr>
        <w:t> </w:t>
      </w:r>
      <w:r>
        <w:rPr>
          <w:w w:val="105"/>
          <w:sz w:val="13"/>
        </w:rPr>
        <w:t>proposed</w:t>
      </w:r>
      <w:r>
        <w:rPr>
          <w:spacing w:val="5"/>
          <w:w w:val="105"/>
          <w:sz w:val="13"/>
        </w:rPr>
        <w:t> </w:t>
      </w:r>
      <w:r>
        <w:rPr>
          <w:w w:val="105"/>
          <w:sz w:val="13"/>
        </w:rPr>
        <w:t>by</w:t>
      </w:r>
      <w:r>
        <w:rPr>
          <w:spacing w:val="5"/>
          <w:w w:val="105"/>
          <w:sz w:val="13"/>
        </w:rPr>
        <w:t> </w:t>
      </w:r>
      <w:r>
        <w:rPr>
          <w:w w:val="105"/>
          <w:sz w:val="13"/>
        </w:rPr>
        <w:t>the</w:t>
      </w:r>
      <w:r>
        <w:rPr>
          <w:spacing w:val="5"/>
          <w:w w:val="105"/>
          <w:sz w:val="13"/>
        </w:rPr>
        <w:t> </w:t>
      </w:r>
      <w:r>
        <w:rPr>
          <w:w w:val="105"/>
          <w:sz w:val="13"/>
        </w:rPr>
        <w:t>National</w:t>
      </w:r>
      <w:r>
        <w:rPr>
          <w:spacing w:val="5"/>
          <w:w w:val="105"/>
          <w:sz w:val="13"/>
        </w:rPr>
        <w:t> </w:t>
      </w:r>
      <w:r>
        <w:rPr>
          <w:w w:val="105"/>
          <w:sz w:val="13"/>
        </w:rPr>
        <w:t>Committee:</w:t>
      </w:r>
      <w:r>
        <w:rPr>
          <w:spacing w:val="5"/>
          <w:w w:val="105"/>
          <w:sz w:val="13"/>
        </w:rPr>
        <w:t> </w:t>
      </w:r>
      <w:r>
        <w:rPr>
          <w:w w:val="105"/>
          <w:sz w:val="13"/>
        </w:rPr>
        <w:t>National</w:t>
      </w:r>
      <w:r>
        <w:rPr>
          <w:spacing w:val="5"/>
          <w:w w:val="105"/>
          <w:sz w:val="13"/>
        </w:rPr>
        <w:t> </w:t>
      </w:r>
      <w:r>
        <w:rPr>
          <w:w w:val="105"/>
          <w:sz w:val="13"/>
        </w:rPr>
        <w:t>Committee</w:t>
      </w:r>
      <w:r>
        <w:rPr>
          <w:spacing w:val="5"/>
          <w:w w:val="105"/>
          <w:sz w:val="13"/>
        </w:rPr>
        <w:t> </w:t>
      </w:r>
      <w:r>
        <w:rPr>
          <w:w w:val="105"/>
          <w:sz w:val="13"/>
        </w:rPr>
        <w:t>for</w:t>
      </w:r>
      <w:r>
        <w:rPr>
          <w:spacing w:val="5"/>
          <w:w w:val="105"/>
          <w:sz w:val="13"/>
        </w:rPr>
        <w:t> </w:t>
      </w:r>
      <w:r>
        <w:rPr>
          <w:w w:val="105"/>
          <w:sz w:val="13"/>
        </w:rPr>
        <w:t>Uniform</w:t>
      </w:r>
      <w:r>
        <w:rPr>
          <w:spacing w:val="5"/>
          <w:w w:val="105"/>
          <w:sz w:val="13"/>
        </w:rPr>
        <w:t> </w:t>
      </w:r>
      <w:r>
        <w:rPr>
          <w:w w:val="105"/>
          <w:sz w:val="13"/>
        </w:rPr>
        <w:t>Succession</w:t>
      </w:r>
      <w:r>
        <w:rPr>
          <w:spacing w:val="5"/>
          <w:w w:val="105"/>
          <w:sz w:val="13"/>
        </w:rPr>
        <w:t> </w:t>
      </w:r>
      <w:r>
        <w:rPr>
          <w:w w:val="105"/>
          <w:sz w:val="13"/>
        </w:rPr>
        <w:t>Laws,</w:t>
      </w:r>
    </w:p>
    <w:p>
      <w:pPr>
        <w:spacing w:before="1"/>
        <w:ind w:left="1223" w:right="0" w:firstLine="0"/>
        <w:jc w:val="left"/>
        <w:rPr>
          <w:sz w:val="13"/>
        </w:rPr>
      </w:pPr>
      <w:r>
        <w:rPr>
          <w:i/>
          <w:w w:val="105"/>
          <w:sz w:val="13"/>
        </w:rPr>
        <w:t>Administration of Estates: Volume 4</w:t>
      </w:r>
      <w:r>
        <w:rPr>
          <w:w w:val="105"/>
          <w:sz w:val="13"/>
        </w:rPr>
        <w:t>, above n 22, Draft Administration of Estates Bill 2009 sch 3 (definition of ‘pecuniary legacy’).</w:t>
      </w:r>
    </w:p>
    <w:p>
      <w:pPr>
        <w:pStyle w:val="ListParagraph"/>
        <w:numPr>
          <w:ilvl w:val="0"/>
          <w:numId w:val="136"/>
        </w:numPr>
        <w:tabs>
          <w:tab w:pos="1223" w:val="left" w:leader="none"/>
          <w:tab w:pos="1224" w:val="left" w:leader="none"/>
        </w:tabs>
        <w:spacing w:line="240" w:lineRule="auto" w:before="1" w:after="0"/>
        <w:ind w:left="1223" w:right="0" w:hanging="794"/>
        <w:jc w:val="left"/>
        <w:rPr>
          <w:sz w:val="13"/>
        </w:rPr>
      </w:pPr>
      <w:r>
        <w:rPr>
          <w:i/>
          <w:w w:val="105"/>
          <w:sz w:val="13"/>
        </w:rPr>
        <w:t>Administration and Probate Act 1958 </w:t>
      </w:r>
      <w:r>
        <w:rPr>
          <w:spacing w:val="2"/>
          <w:w w:val="105"/>
          <w:sz w:val="13"/>
        </w:rPr>
        <w:t>(Vic) </w:t>
      </w:r>
      <w:r>
        <w:rPr>
          <w:w w:val="105"/>
          <w:sz w:val="13"/>
        </w:rPr>
        <w:t>s</w:t>
      </w:r>
      <w:r>
        <w:rPr>
          <w:spacing w:val="25"/>
          <w:w w:val="105"/>
          <w:sz w:val="13"/>
        </w:rPr>
        <w:t> </w:t>
      </w:r>
      <w:r>
        <w:rPr>
          <w:spacing w:val="2"/>
          <w:w w:val="105"/>
          <w:sz w:val="13"/>
        </w:rPr>
        <w:t>40(1).</w:t>
      </w:r>
    </w:p>
    <w:p>
      <w:pPr>
        <w:spacing w:after="0" w:line="240" w:lineRule="auto"/>
        <w:jc w:val="left"/>
        <w:rPr>
          <w:sz w:val="13"/>
        </w:rPr>
        <w:sectPr>
          <w:type w:val="continuous"/>
          <w:pgSz w:w="11910" w:h="16840"/>
          <w:pgMar w:top="920" w:bottom="280" w:left="0" w:right="0"/>
          <w:cols w:num="2" w:equalWidth="0">
            <w:col w:w="1119" w:space="40"/>
            <w:col w:w="10751"/>
          </w:cols>
        </w:sectPr>
      </w:pPr>
    </w:p>
    <w:p>
      <w:pPr>
        <w:pStyle w:val="BodyText"/>
        <w:rPr>
          <w:sz w:val="20"/>
        </w:rPr>
      </w:pPr>
    </w:p>
    <w:p>
      <w:pPr>
        <w:pStyle w:val="BodyText"/>
        <w:rPr>
          <w:sz w:val="19"/>
        </w:rPr>
      </w:pPr>
    </w:p>
    <w:p>
      <w:pPr>
        <w:pStyle w:val="ListParagraph"/>
        <w:numPr>
          <w:ilvl w:val="1"/>
          <w:numId w:val="22"/>
        </w:numPr>
        <w:tabs>
          <w:tab w:pos="2381" w:val="left" w:leader="none"/>
          <w:tab w:pos="2382" w:val="left" w:leader="none"/>
        </w:tabs>
        <w:spacing w:line="242" w:lineRule="auto" w:before="91" w:after="0"/>
        <w:ind w:left="2381" w:right="1718" w:hanging="794"/>
        <w:jc w:val="left"/>
        <w:rPr>
          <w:sz w:val="21"/>
        </w:rPr>
      </w:pPr>
      <w:r>
        <w:rPr>
          <w:sz w:val="21"/>
        </w:rPr>
        <w:t>When the asset is given by </w:t>
      </w:r>
      <w:r>
        <w:rPr>
          <w:spacing w:val="-3"/>
          <w:sz w:val="21"/>
        </w:rPr>
        <w:t>will, </w:t>
      </w:r>
      <w:r>
        <w:rPr>
          <w:sz w:val="21"/>
        </w:rPr>
        <w:t>the debt </w:t>
      </w:r>
      <w:r>
        <w:rPr>
          <w:spacing w:val="-3"/>
          <w:sz w:val="21"/>
        </w:rPr>
        <w:t>remains  </w:t>
      </w:r>
      <w:r>
        <w:rPr>
          <w:sz w:val="21"/>
        </w:rPr>
        <w:t>attached </w:t>
      </w:r>
      <w:r>
        <w:rPr>
          <w:spacing w:val="-3"/>
          <w:sz w:val="21"/>
        </w:rPr>
        <w:t>to</w:t>
      </w:r>
      <w:r>
        <w:rPr>
          <w:spacing w:val="41"/>
          <w:sz w:val="21"/>
        </w:rPr>
        <w:t> </w:t>
      </w:r>
      <w:r>
        <w:rPr>
          <w:sz w:val="21"/>
        </w:rPr>
        <w:t>the asset, </w:t>
      </w:r>
      <w:r>
        <w:rPr>
          <w:spacing w:val="-3"/>
          <w:sz w:val="21"/>
        </w:rPr>
        <w:t>providing  clear  </w:t>
      </w:r>
      <w:r>
        <w:rPr>
          <w:sz w:val="21"/>
        </w:rPr>
        <w:t>and </w:t>
      </w:r>
      <w:r>
        <w:rPr>
          <w:spacing w:val="-3"/>
          <w:sz w:val="21"/>
        </w:rPr>
        <w:t>simple </w:t>
      </w:r>
      <w:r>
        <w:rPr>
          <w:sz w:val="21"/>
        </w:rPr>
        <w:t>recourse </w:t>
      </w:r>
      <w:r>
        <w:rPr>
          <w:spacing w:val="-3"/>
          <w:sz w:val="21"/>
        </w:rPr>
        <w:t>for </w:t>
      </w:r>
      <w:r>
        <w:rPr>
          <w:sz w:val="21"/>
        </w:rPr>
        <w:t>secured </w:t>
      </w:r>
      <w:r>
        <w:rPr>
          <w:spacing w:val="-3"/>
          <w:sz w:val="21"/>
        </w:rPr>
        <w:t>creditors. </w:t>
      </w:r>
      <w:r>
        <w:rPr>
          <w:sz w:val="21"/>
        </w:rPr>
        <w:t>The practical effect </w:t>
      </w:r>
      <w:r>
        <w:rPr>
          <w:spacing w:val="-3"/>
          <w:sz w:val="21"/>
        </w:rPr>
        <w:t>for </w:t>
      </w:r>
      <w:r>
        <w:rPr>
          <w:sz w:val="21"/>
        </w:rPr>
        <w:t>beneficiaries is </w:t>
      </w:r>
      <w:r>
        <w:rPr>
          <w:spacing w:val="-3"/>
          <w:sz w:val="21"/>
        </w:rPr>
        <w:t>that </w:t>
      </w:r>
      <w:r>
        <w:rPr>
          <w:sz w:val="21"/>
        </w:rPr>
        <w:t>the secured debt </w:t>
      </w:r>
      <w:r>
        <w:rPr>
          <w:spacing w:val="-3"/>
          <w:sz w:val="21"/>
        </w:rPr>
        <w:t>will  </w:t>
      </w:r>
      <w:r>
        <w:rPr>
          <w:spacing w:val="-2"/>
          <w:sz w:val="21"/>
        </w:rPr>
        <w:t>not  </w:t>
      </w:r>
      <w:r>
        <w:rPr>
          <w:sz w:val="21"/>
        </w:rPr>
        <w:t>be pooled with other debts and paid out of assets in </w:t>
      </w:r>
      <w:r>
        <w:rPr>
          <w:spacing w:val="-3"/>
          <w:sz w:val="21"/>
        </w:rPr>
        <w:t>accordance  </w:t>
      </w:r>
      <w:r>
        <w:rPr>
          <w:sz w:val="21"/>
        </w:rPr>
        <w:t>with</w:t>
      </w:r>
      <w:r>
        <w:rPr>
          <w:spacing w:val="9"/>
          <w:sz w:val="21"/>
        </w:rPr>
        <w:t> </w:t>
      </w:r>
      <w:r>
        <w:rPr>
          <w:sz w:val="21"/>
        </w:rPr>
        <w:t>the</w:t>
      </w:r>
      <w:r>
        <w:rPr>
          <w:spacing w:val="10"/>
          <w:sz w:val="21"/>
        </w:rPr>
        <w:t> </w:t>
      </w:r>
      <w:r>
        <w:rPr>
          <w:sz w:val="21"/>
        </w:rPr>
        <w:t>order</w:t>
      </w:r>
      <w:r>
        <w:rPr>
          <w:spacing w:val="10"/>
          <w:sz w:val="21"/>
        </w:rPr>
        <w:t> </w:t>
      </w:r>
      <w:r>
        <w:rPr>
          <w:sz w:val="21"/>
        </w:rPr>
        <w:t>of</w:t>
      </w:r>
      <w:r>
        <w:rPr>
          <w:spacing w:val="10"/>
          <w:sz w:val="21"/>
        </w:rPr>
        <w:t> </w:t>
      </w:r>
      <w:r>
        <w:rPr>
          <w:sz w:val="21"/>
        </w:rPr>
        <w:t>application</w:t>
      </w:r>
      <w:r>
        <w:rPr>
          <w:spacing w:val="9"/>
          <w:sz w:val="21"/>
        </w:rPr>
        <w:t> </w:t>
      </w:r>
      <w:r>
        <w:rPr>
          <w:sz w:val="21"/>
        </w:rPr>
        <w:t>in</w:t>
      </w:r>
      <w:r>
        <w:rPr>
          <w:spacing w:val="10"/>
          <w:sz w:val="21"/>
        </w:rPr>
        <w:t> </w:t>
      </w:r>
      <w:r>
        <w:rPr>
          <w:sz w:val="21"/>
        </w:rPr>
        <w:t>the</w:t>
      </w:r>
      <w:r>
        <w:rPr>
          <w:spacing w:val="10"/>
          <w:sz w:val="21"/>
        </w:rPr>
        <w:t> </w:t>
      </w:r>
      <w:r>
        <w:rPr>
          <w:sz w:val="21"/>
        </w:rPr>
        <w:t>second</w:t>
      </w:r>
      <w:r>
        <w:rPr>
          <w:spacing w:val="10"/>
          <w:sz w:val="21"/>
        </w:rPr>
        <w:t> </w:t>
      </w:r>
      <w:r>
        <w:rPr>
          <w:sz w:val="21"/>
        </w:rPr>
        <w:t>schedule</w:t>
      </w:r>
      <w:r>
        <w:rPr>
          <w:spacing w:val="10"/>
          <w:sz w:val="21"/>
        </w:rPr>
        <w:t> </w:t>
      </w:r>
      <w:r>
        <w:rPr>
          <w:sz w:val="21"/>
        </w:rPr>
        <w:t>of</w:t>
      </w:r>
      <w:r>
        <w:rPr>
          <w:spacing w:val="9"/>
          <w:sz w:val="21"/>
        </w:rPr>
        <w:t> </w:t>
      </w:r>
      <w:r>
        <w:rPr>
          <w:sz w:val="21"/>
        </w:rPr>
        <w:t>the</w:t>
      </w:r>
      <w:r>
        <w:rPr>
          <w:spacing w:val="10"/>
          <w:sz w:val="21"/>
        </w:rPr>
        <w:t> </w:t>
      </w:r>
      <w:r>
        <w:rPr>
          <w:sz w:val="21"/>
        </w:rPr>
        <w:t>Act.</w:t>
      </w:r>
    </w:p>
    <w:p>
      <w:pPr>
        <w:pStyle w:val="ListParagraph"/>
        <w:numPr>
          <w:ilvl w:val="1"/>
          <w:numId w:val="22"/>
        </w:numPr>
        <w:tabs>
          <w:tab w:pos="2381" w:val="left" w:leader="none"/>
          <w:tab w:pos="2382" w:val="left" w:leader="none"/>
        </w:tabs>
        <w:spacing w:line="242" w:lineRule="auto" w:before="125" w:after="0"/>
        <w:ind w:left="2381" w:right="1874" w:hanging="794"/>
        <w:jc w:val="left"/>
        <w:rPr>
          <w:sz w:val="12"/>
        </w:rPr>
      </w:pPr>
      <w:r>
        <w:rPr>
          <w:w w:val="105"/>
          <w:sz w:val="21"/>
        </w:rPr>
        <w:t>The</w:t>
      </w:r>
      <w:r>
        <w:rPr>
          <w:spacing w:val="-11"/>
          <w:w w:val="105"/>
          <w:sz w:val="21"/>
        </w:rPr>
        <w:t> </w:t>
      </w:r>
      <w:r>
        <w:rPr>
          <w:spacing w:val="-3"/>
          <w:w w:val="105"/>
          <w:sz w:val="21"/>
        </w:rPr>
        <w:t>will-maker</w:t>
      </w:r>
      <w:r>
        <w:rPr>
          <w:spacing w:val="-11"/>
          <w:w w:val="105"/>
          <w:sz w:val="21"/>
        </w:rPr>
        <w:t> </w:t>
      </w:r>
      <w:r>
        <w:rPr>
          <w:w w:val="105"/>
          <w:sz w:val="21"/>
        </w:rPr>
        <w:t>can</w:t>
      </w:r>
      <w:r>
        <w:rPr>
          <w:spacing w:val="-10"/>
          <w:w w:val="105"/>
          <w:sz w:val="21"/>
        </w:rPr>
        <w:t> </w:t>
      </w:r>
      <w:r>
        <w:rPr>
          <w:spacing w:val="-3"/>
          <w:w w:val="105"/>
          <w:sz w:val="21"/>
        </w:rPr>
        <w:t>prevent</w:t>
      </w:r>
      <w:r>
        <w:rPr>
          <w:spacing w:val="-11"/>
          <w:w w:val="105"/>
          <w:sz w:val="21"/>
        </w:rPr>
        <w:t> </w:t>
      </w:r>
      <w:r>
        <w:rPr>
          <w:w w:val="105"/>
          <w:sz w:val="21"/>
        </w:rPr>
        <w:t>the</w:t>
      </w:r>
      <w:r>
        <w:rPr>
          <w:spacing w:val="-10"/>
          <w:w w:val="105"/>
          <w:sz w:val="21"/>
        </w:rPr>
        <w:t> </w:t>
      </w:r>
      <w:r>
        <w:rPr>
          <w:w w:val="105"/>
          <w:sz w:val="21"/>
        </w:rPr>
        <w:t>operation</w:t>
      </w:r>
      <w:r>
        <w:rPr>
          <w:spacing w:val="-11"/>
          <w:w w:val="105"/>
          <w:sz w:val="21"/>
        </w:rPr>
        <w:t> </w:t>
      </w:r>
      <w:r>
        <w:rPr>
          <w:w w:val="105"/>
          <w:sz w:val="21"/>
        </w:rPr>
        <w:t>of</w:t>
      </w:r>
      <w:r>
        <w:rPr>
          <w:spacing w:val="-11"/>
          <w:w w:val="105"/>
          <w:sz w:val="21"/>
        </w:rPr>
        <w:t> </w:t>
      </w:r>
      <w:r>
        <w:rPr>
          <w:w w:val="105"/>
          <w:sz w:val="21"/>
        </w:rPr>
        <w:t>this</w:t>
      </w:r>
      <w:r>
        <w:rPr>
          <w:spacing w:val="-10"/>
          <w:w w:val="105"/>
          <w:sz w:val="21"/>
        </w:rPr>
        <w:t> </w:t>
      </w:r>
      <w:r>
        <w:rPr>
          <w:w w:val="105"/>
          <w:sz w:val="21"/>
        </w:rPr>
        <w:t>rule</w:t>
      </w:r>
      <w:r>
        <w:rPr>
          <w:spacing w:val="-11"/>
          <w:w w:val="105"/>
          <w:sz w:val="21"/>
        </w:rPr>
        <w:t> </w:t>
      </w:r>
      <w:r>
        <w:rPr>
          <w:w w:val="105"/>
          <w:sz w:val="21"/>
        </w:rPr>
        <w:t>by</w:t>
      </w:r>
      <w:r>
        <w:rPr>
          <w:spacing w:val="-10"/>
          <w:w w:val="105"/>
          <w:sz w:val="21"/>
        </w:rPr>
        <w:t> </w:t>
      </w:r>
      <w:r>
        <w:rPr>
          <w:w w:val="105"/>
          <w:sz w:val="21"/>
        </w:rPr>
        <w:t>expressing</w:t>
      </w:r>
      <w:r>
        <w:rPr>
          <w:spacing w:val="-11"/>
          <w:w w:val="105"/>
          <w:sz w:val="21"/>
        </w:rPr>
        <w:t> </w:t>
      </w:r>
      <w:r>
        <w:rPr>
          <w:w w:val="105"/>
          <w:sz w:val="21"/>
        </w:rPr>
        <w:t>a</w:t>
      </w:r>
      <w:r>
        <w:rPr>
          <w:spacing w:val="-10"/>
          <w:w w:val="105"/>
          <w:sz w:val="21"/>
        </w:rPr>
        <w:t> </w:t>
      </w:r>
      <w:r>
        <w:rPr>
          <w:w w:val="105"/>
          <w:sz w:val="21"/>
        </w:rPr>
        <w:t>contrary</w:t>
      </w:r>
      <w:r>
        <w:rPr>
          <w:spacing w:val="-11"/>
          <w:w w:val="105"/>
          <w:sz w:val="21"/>
        </w:rPr>
        <w:t> </w:t>
      </w:r>
      <w:r>
        <w:rPr>
          <w:spacing w:val="-3"/>
          <w:w w:val="105"/>
          <w:sz w:val="21"/>
        </w:rPr>
        <w:t>intention </w:t>
      </w:r>
      <w:r>
        <w:rPr>
          <w:w w:val="105"/>
          <w:sz w:val="21"/>
        </w:rPr>
        <w:t>and </w:t>
      </w:r>
      <w:r>
        <w:rPr>
          <w:spacing w:val="-3"/>
          <w:w w:val="105"/>
          <w:sz w:val="21"/>
        </w:rPr>
        <w:t>explaining that </w:t>
      </w:r>
      <w:r>
        <w:rPr>
          <w:w w:val="105"/>
          <w:sz w:val="21"/>
        </w:rPr>
        <w:t>they </w:t>
      </w:r>
      <w:r>
        <w:rPr>
          <w:spacing w:val="-3"/>
          <w:w w:val="105"/>
          <w:sz w:val="21"/>
        </w:rPr>
        <w:t>intend that </w:t>
      </w:r>
      <w:r>
        <w:rPr>
          <w:w w:val="105"/>
          <w:sz w:val="21"/>
        </w:rPr>
        <w:t>debts be paid out of other</w:t>
      </w:r>
      <w:r>
        <w:rPr>
          <w:spacing w:val="29"/>
          <w:w w:val="105"/>
          <w:sz w:val="21"/>
        </w:rPr>
        <w:t> </w:t>
      </w:r>
      <w:r>
        <w:rPr>
          <w:w w:val="105"/>
          <w:sz w:val="21"/>
        </w:rPr>
        <w:t>property.</w:t>
      </w:r>
      <w:r>
        <w:rPr>
          <w:w w:val="105"/>
          <w:position w:val="7"/>
          <w:sz w:val="12"/>
        </w:rPr>
        <w:t>35</w:t>
      </w:r>
    </w:p>
    <w:p>
      <w:pPr>
        <w:pStyle w:val="ListParagraph"/>
        <w:numPr>
          <w:ilvl w:val="1"/>
          <w:numId w:val="22"/>
        </w:numPr>
        <w:tabs>
          <w:tab w:pos="2380" w:val="left" w:leader="none"/>
          <w:tab w:pos="2382" w:val="left" w:leader="none"/>
        </w:tabs>
        <w:spacing w:line="242" w:lineRule="auto" w:before="122" w:after="0"/>
        <w:ind w:left="2381" w:right="1866" w:hanging="794"/>
        <w:jc w:val="left"/>
        <w:rPr>
          <w:sz w:val="12"/>
        </w:rPr>
      </w:pPr>
      <w:r>
        <w:rPr>
          <w:sz w:val="21"/>
        </w:rPr>
        <w:t>In Victoria, a contrary </w:t>
      </w:r>
      <w:r>
        <w:rPr>
          <w:spacing w:val="-3"/>
          <w:sz w:val="21"/>
        </w:rPr>
        <w:t>intention  may  </w:t>
      </w:r>
      <w:r>
        <w:rPr>
          <w:sz w:val="21"/>
        </w:rPr>
        <w:t>be shown by </w:t>
      </w:r>
      <w:r>
        <w:rPr>
          <w:spacing w:val="-3"/>
          <w:sz w:val="21"/>
        </w:rPr>
        <w:t>‘will,</w:t>
      </w:r>
      <w:r>
        <w:rPr>
          <w:spacing w:val="41"/>
          <w:sz w:val="21"/>
        </w:rPr>
        <w:t> </w:t>
      </w:r>
      <w:r>
        <w:rPr>
          <w:sz w:val="21"/>
        </w:rPr>
        <w:t>deed or other </w:t>
      </w:r>
      <w:r>
        <w:rPr>
          <w:spacing w:val="-3"/>
          <w:sz w:val="21"/>
        </w:rPr>
        <w:t>document’.</w:t>
      </w:r>
      <w:r>
        <w:rPr>
          <w:spacing w:val="-3"/>
          <w:position w:val="7"/>
          <w:sz w:val="12"/>
        </w:rPr>
        <w:t>36  </w:t>
      </w:r>
      <w:r>
        <w:rPr>
          <w:sz w:val="21"/>
        </w:rPr>
        <w:t>This  is the case in other </w:t>
      </w:r>
      <w:r>
        <w:rPr>
          <w:spacing w:val="-3"/>
          <w:sz w:val="21"/>
        </w:rPr>
        <w:t>Australian </w:t>
      </w:r>
      <w:r>
        <w:rPr>
          <w:sz w:val="21"/>
        </w:rPr>
        <w:t>jurisdictions, </w:t>
      </w:r>
      <w:r>
        <w:rPr>
          <w:spacing w:val="-3"/>
          <w:sz w:val="21"/>
        </w:rPr>
        <w:t>except </w:t>
      </w:r>
      <w:r>
        <w:rPr>
          <w:sz w:val="21"/>
        </w:rPr>
        <w:t>the </w:t>
      </w:r>
      <w:r>
        <w:rPr>
          <w:spacing w:val="-3"/>
          <w:sz w:val="21"/>
        </w:rPr>
        <w:t>Australian Capital Territory </w:t>
      </w:r>
      <w:r>
        <w:rPr>
          <w:sz w:val="21"/>
        </w:rPr>
        <w:t>and </w:t>
      </w:r>
      <w:r>
        <w:rPr>
          <w:spacing w:val="-3"/>
          <w:sz w:val="21"/>
        </w:rPr>
        <w:t>Queensland, </w:t>
      </w:r>
      <w:r>
        <w:rPr>
          <w:sz w:val="21"/>
        </w:rPr>
        <w:t>where the </w:t>
      </w:r>
      <w:r>
        <w:rPr>
          <w:spacing w:val="-3"/>
          <w:sz w:val="21"/>
        </w:rPr>
        <w:t>legislation </w:t>
      </w:r>
      <w:r>
        <w:rPr>
          <w:sz w:val="21"/>
        </w:rPr>
        <w:t>specifies </w:t>
      </w:r>
      <w:r>
        <w:rPr>
          <w:spacing w:val="-3"/>
          <w:sz w:val="21"/>
        </w:rPr>
        <w:t>that </w:t>
      </w:r>
      <w:r>
        <w:rPr>
          <w:sz w:val="21"/>
        </w:rPr>
        <w:t>contrary  </w:t>
      </w:r>
      <w:r>
        <w:rPr>
          <w:spacing w:val="-3"/>
          <w:sz w:val="21"/>
        </w:rPr>
        <w:t>intention  may  </w:t>
      </w:r>
      <w:r>
        <w:rPr>
          <w:sz w:val="21"/>
        </w:rPr>
        <w:t>be  shown  by </w:t>
      </w:r>
      <w:r>
        <w:rPr>
          <w:spacing w:val="-3"/>
          <w:sz w:val="21"/>
        </w:rPr>
        <w:t>will</w:t>
      </w:r>
      <w:r>
        <w:rPr>
          <w:spacing w:val="8"/>
          <w:sz w:val="21"/>
        </w:rPr>
        <w:t> </w:t>
      </w:r>
      <w:r>
        <w:rPr>
          <w:spacing w:val="-4"/>
          <w:sz w:val="21"/>
        </w:rPr>
        <w:t>only.</w:t>
      </w:r>
      <w:r>
        <w:rPr>
          <w:spacing w:val="-4"/>
          <w:position w:val="7"/>
          <w:sz w:val="12"/>
        </w:rPr>
        <w:t>37</w:t>
      </w:r>
    </w:p>
    <w:p>
      <w:pPr>
        <w:pStyle w:val="BodyText"/>
        <w:rPr>
          <w:sz w:val="27"/>
        </w:rPr>
      </w:pPr>
    </w:p>
    <w:p>
      <w:pPr>
        <w:pStyle w:val="Heading6"/>
      </w:pPr>
      <w:r>
        <w:rPr>
          <w:w w:val="115"/>
        </w:rPr>
        <w:t>Retaining the exception to the statutory order</w:t>
      </w:r>
    </w:p>
    <w:p>
      <w:pPr>
        <w:pStyle w:val="ListParagraph"/>
        <w:numPr>
          <w:ilvl w:val="1"/>
          <w:numId w:val="22"/>
        </w:numPr>
        <w:tabs>
          <w:tab w:pos="2380" w:val="left" w:leader="none"/>
          <w:tab w:pos="2381" w:val="left" w:leader="none"/>
        </w:tabs>
        <w:spacing w:line="242" w:lineRule="auto" w:before="151" w:after="0"/>
        <w:ind w:left="2381" w:right="1742" w:hanging="794"/>
        <w:jc w:val="left"/>
        <w:rPr>
          <w:sz w:val="21"/>
        </w:rPr>
      </w:pPr>
      <w:r>
        <w:rPr>
          <w:w w:val="105"/>
          <w:sz w:val="21"/>
        </w:rPr>
        <w:t>The </w:t>
      </w:r>
      <w:r>
        <w:rPr>
          <w:spacing w:val="-4"/>
          <w:w w:val="105"/>
          <w:sz w:val="21"/>
        </w:rPr>
        <w:t>Commission’s </w:t>
      </w:r>
      <w:r>
        <w:rPr>
          <w:spacing w:val="-3"/>
          <w:w w:val="105"/>
          <w:sz w:val="21"/>
        </w:rPr>
        <w:t>consultation </w:t>
      </w:r>
      <w:r>
        <w:rPr>
          <w:w w:val="105"/>
          <w:sz w:val="21"/>
        </w:rPr>
        <w:t>paper on debts </w:t>
      </w:r>
      <w:r>
        <w:rPr>
          <w:spacing w:val="-3"/>
          <w:w w:val="105"/>
          <w:sz w:val="21"/>
        </w:rPr>
        <w:t>asked </w:t>
      </w:r>
      <w:r>
        <w:rPr>
          <w:w w:val="105"/>
          <w:sz w:val="21"/>
        </w:rPr>
        <w:t>whether there </w:t>
      </w:r>
      <w:r>
        <w:rPr>
          <w:spacing w:val="-3"/>
          <w:w w:val="105"/>
          <w:sz w:val="21"/>
        </w:rPr>
        <w:t>were any significant </w:t>
      </w:r>
      <w:r>
        <w:rPr>
          <w:w w:val="105"/>
          <w:sz w:val="21"/>
        </w:rPr>
        <w:t>difficulties with the operation of section 40 of the </w:t>
      </w:r>
      <w:r>
        <w:rPr>
          <w:spacing w:val="-3"/>
          <w:w w:val="105"/>
          <w:sz w:val="21"/>
        </w:rPr>
        <w:t>Administration </w:t>
      </w:r>
      <w:r>
        <w:rPr>
          <w:w w:val="105"/>
          <w:sz w:val="21"/>
        </w:rPr>
        <w:t>and </w:t>
      </w:r>
      <w:r>
        <w:rPr>
          <w:spacing w:val="-3"/>
          <w:w w:val="105"/>
          <w:sz w:val="21"/>
        </w:rPr>
        <w:t>Probate </w:t>
      </w:r>
      <w:r>
        <w:rPr>
          <w:w w:val="105"/>
          <w:sz w:val="21"/>
        </w:rPr>
        <w:t>Act </w:t>
      </w:r>
      <w:r>
        <w:rPr>
          <w:spacing w:val="-3"/>
          <w:w w:val="105"/>
          <w:sz w:val="21"/>
        </w:rPr>
        <w:t>and, </w:t>
      </w:r>
      <w:r>
        <w:rPr>
          <w:w w:val="105"/>
          <w:sz w:val="21"/>
        </w:rPr>
        <w:t>if </w:t>
      </w:r>
      <w:r>
        <w:rPr>
          <w:spacing w:val="-3"/>
          <w:w w:val="105"/>
          <w:sz w:val="21"/>
        </w:rPr>
        <w:t>so, </w:t>
      </w:r>
      <w:r>
        <w:rPr>
          <w:w w:val="105"/>
          <w:sz w:val="21"/>
        </w:rPr>
        <w:t>whether it should be </w:t>
      </w:r>
      <w:r>
        <w:rPr>
          <w:spacing w:val="-2"/>
          <w:w w:val="105"/>
          <w:sz w:val="21"/>
        </w:rPr>
        <w:t>repealed, </w:t>
      </w:r>
      <w:r>
        <w:rPr>
          <w:w w:val="105"/>
          <w:sz w:val="21"/>
        </w:rPr>
        <w:t>as it </w:t>
      </w:r>
      <w:r>
        <w:rPr>
          <w:spacing w:val="-2"/>
          <w:w w:val="105"/>
          <w:sz w:val="21"/>
        </w:rPr>
        <w:t>has </w:t>
      </w:r>
      <w:r>
        <w:rPr>
          <w:w w:val="105"/>
          <w:sz w:val="21"/>
        </w:rPr>
        <w:t>been in the Northern</w:t>
      </w:r>
      <w:r>
        <w:rPr>
          <w:spacing w:val="6"/>
          <w:w w:val="105"/>
          <w:sz w:val="21"/>
        </w:rPr>
        <w:t> </w:t>
      </w:r>
      <w:r>
        <w:rPr>
          <w:spacing w:val="-4"/>
          <w:w w:val="105"/>
          <w:sz w:val="21"/>
        </w:rPr>
        <w:t>Territory.</w:t>
      </w:r>
    </w:p>
    <w:p>
      <w:pPr>
        <w:pStyle w:val="ListParagraph"/>
        <w:numPr>
          <w:ilvl w:val="1"/>
          <w:numId w:val="22"/>
        </w:numPr>
        <w:tabs>
          <w:tab w:pos="2380" w:val="left" w:leader="none"/>
          <w:tab w:pos="2381" w:val="left" w:leader="none"/>
        </w:tabs>
        <w:spacing w:line="240" w:lineRule="auto" w:before="123" w:after="0"/>
        <w:ind w:left="2381" w:right="0" w:hanging="794"/>
        <w:jc w:val="left"/>
        <w:rPr>
          <w:sz w:val="21"/>
        </w:rPr>
      </w:pPr>
      <w:r>
        <w:rPr>
          <w:w w:val="105"/>
          <w:sz w:val="21"/>
        </w:rPr>
        <w:t>Most </w:t>
      </w:r>
      <w:r>
        <w:rPr>
          <w:spacing w:val="-3"/>
          <w:w w:val="105"/>
          <w:sz w:val="21"/>
        </w:rPr>
        <w:t>submissions, </w:t>
      </w:r>
      <w:r>
        <w:rPr>
          <w:w w:val="105"/>
          <w:sz w:val="21"/>
        </w:rPr>
        <w:t>and comments made </w:t>
      </w:r>
      <w:r>
        <w:rPr>
          <w:spacing w:val="-3"/>
          <w:w w:val="105"/>
          <w:sz w:val="21"/>
        </w:rPr>
        <w:t>during consultations, </w:t>
      </w:r>
      <w:r>
        <w:rPr>
          <w:w w:val="105"/>
          <w:sz w:val="21"/>
        </w:rPr>
        <w:t>supported the</w:t>
      </w:r>
      <w:r>
        <w:rPr>
          <w:spacing w:val="32"/>
          <w:w w:val="105"/>
          <w:sz w:val="21"/>
        </w:rPr>
        <w:t> </w:t>
      </w:r>
      <w:r>
        <w:rPr>
          <w:spacing w:val="-3"/>
          <w:w w:val="105"/>
          <w:sz w:val="21"/>
        </w:rPr>
        <w:t>retention</w:t>
      </w:r>
    </w:p>
    <w:p>
      <w:pPr>
        <w:pStyle w:val="BodyText"/>
        <w:spacing w:line="242" w:lineRule="auto" w:before="4"/>
        <w:ind w:left="2380" w:right="1580"/>
        <w:rPr>
          <w:sz w:val="12"/>
        </w:rPr>
      </w:pPr>
      <w:r>
        <w:rPr>
          <w:w w:val="105"/>
        </w:rPr>
        <w:t>of section 40. One </w:t>
      </w:r>
      <w:r>
        <w:rPr>
          <w:spacing w:val="-3"/>
          <w:w w:val="105"/>
        </w:rPr>
        <w:t>submission </w:t>
      </w:r>
      <w:r>
        <w:rPr>
          <w:w w:val="105"/>
        </w:rPr>
        <w:t>advocated the abolition of the section, but did </w:t>
      </w:r>
      <w:r>
        <w:rPr>
          <w:spacing w:val="-2"/>
          <w:w w:val="105"/>
        </w:rPr>
        <w:t>not </w:t>
      </w:r>
      <w:r>
        <w:rPr>
          <w:w w:val="105"/>
        </w:rPr>
        <w:t>provide </w:t>
      </w:r>
      <w:r>
        <w:rPr>
          <w:spacing w:val="-3"/>
          <w:w w:val="105"/>
        </w:rPr>
        <w:t>reasons for </w:t>
      </w:r>
      <w:r>
        <w:rPr>
          <w:w w:val="105"/>
        </w:rPr>
        <w:t>this </w:t>
      </w:r>
      <w:r>
        <w:rPr>
          <w:spacing w:val="-3"/>
          <w:w w:val="105"/>
        </w:rPr>
        <w:t>view.</w:t>
      </w:r>
      <w:r>
        <w:rPr>
          <w:spacing w:val="-3"/>
          <w:w w:val="105"/>
          <w:position w:val="7"/>
          <w:sz w:val="12"/>
        </w:rPr>
        <w:t>38</w:t>
      </w:r>
    </w:p>
    <w:p>
      <w:pPr>
        <w:pStyle w:val="ListParagraph"/>
        <w:numPr>
          <w:ilvl w:val="1"/>
          <w:numId w:val="22"/>
        </w:numPr>
        <w:tabs>
          <w:tab w:pos="2382" w:val="left" w:leader="none"/>
        </w:tabs>
        <w:spacing w:line="242" w:lineRule="auto" w:before="122" w:after="0"/>
        <w:ind w:left="2381" w:right="1921" w:hanging="794"/>
        <w:jc w:val="both"/>
        <w:rPr>
          <w:sz w:val="21"/>
        </w:rPr>
      </w:pPr>
      <w:r>
        <w:rPr>
          <w:sz w:val="21"/>
        </w:rPr>
        <w:t>All jurisdictions </w:t>
      </w:r>
      <w:r>
        <w:rPr>
          <w:spacing w:val="-3"/>
          <w:sz w:val="21"/>
        </w:rPr>
        <w:t>except </w:t>
      </w:r>
      <w:r>
        <w:rPr>
          <w:sz w:val="21"/>
        </w:rPr>
        <w:t>the Northern </w:t>
      </w:r>
      <w:r>
        <w:rPr>
          <w:spacing w:val="-3"/>
          <w:sz w:val="21"/>
        </w:rPr>
        <w:t>Territory retain </w:t>
      </w:r>
      <w:r>
        <w:rPr>
          <w:sz w:val="21"/>
        </w:rPr>
        <w:t>a rule </w:t>
      </w:r>
      <w:r>
        <w:rPr>
          <w:spacing w:val="-3"/>
          <w:sz w:val="21"/>
        </w:rPr>
        <w:t>to </w:t>
      </w:r>
      <w:r>
        <w:rPr>
          <w:sz w:val="21"/>
        </w:rPr>
        <w:t>the effect of section 40.</w:t>
      </w:r>
      <w:r>
        <w:rPr>
          <w:position w:val="7"/>
          <w:sz w:val="12"/>
        </w:rPr>
        <w:t>39</w:t>
      </w:r>
      <w:r>
        <w:rPr>
          <w:sz w:val="12"/>
        </w:rPr>
        <w:t> </w:t>
      </w:r>
      <w:r>
        <w:rPr>
          <w:sz w:val="21"/>
        </w:rPr>
        <w:t>Given the multi-jurisdictional </w:t>
      </w:r>
      <w:r>
        <w:rPr>
          <w:spacing w:val="-3"/>
          <w:sz w:val="21"/>
        </w:rPr>
        <w:t>nature </w:t>
      </w:r>
      <w:r>
        <w:rPr>
          <w:sz w:val="21"/>
        </w:rPr>
        <w:t>of estate assets, </w:t>
      </w:r>
      <w:r>
        <w:rPr>
          <w:spacing w:val="-3"/>
          <w:sz w:val="21"/>
        </w:rPr>
        <w:t>including real </w:t>
      </w:r>
      <w:r>
        <w:rPr>
          <w:sz w:val="21"/>
        </w:rPr>
        <w:t>property subject </w:t>
      </w:r>
      <w:r>
        <w:rPr>
          <w:spacing w:val="-3"/>
          <w:sz w:val="21"/>
        </w:rPr>
        <w:t>to </w:t>
      </w:r>
      <w:r>
        <w:rPr>
          <w:sz w:val="21"/>
        </w:rPr>
        <w:t>mortgages and other </w:t>
      </w:r>
      <w:r>
        <w:rPr>
          <w:spacing w:val="-3"/>
          <w:sz w:val="21"/>
        </w:rPr>
        <w:t>charges, national </w:t>
      </w:r>
      <w:r>
        <w:rPr>
          <w:sz w:val="21"/>
        </w:rPr>
        <w:t>consistency in this </w:t>
      </w:r>
      <w:r>
        <w:rPr>
          <w:spacing w:val="-3"/>
          <w:sz w:val="21"/>
        </w:rPr>
        <w:t>area </w:t>
      </w:r>
      <w:r>
        <w:rPr>
          <w:sz w:val="21"/>
        </w:rPr>
        <w:t>is</w:t>
      </w:r>
      <w:r>
        <w:rPr>
          <w:spacing w:val="4"/>
          <w:sz w:val="21"/>
        </w:rPr>
        <w:t> </w:t>
      </w:r>
      <w:r>
        <w:rPr>
          <w:spacing w:val="-3"/>
          <w:sz w:val="21"/>
        </w:rPr>
        <w:t>desirable.</w:t>
      </w:r>
    </w:p>
    <w:p>
      <w:pPr>
        <w:pStyle w:val="ListParagraph"/>
        <w:numPr>
          <w:ilvl w:val="1"/>
          <w:numId w:val="22"/>
        </w:numPr>
        <w:tabs>
          <w:tab w:pos="2382" w:val="left" w:leader="none"/>
        </w:tabs>
        <w:spacing w:line="242" w:lineRule="auto" w:before="124" w:after="0"/>
        <w:ind w:left="2381" w:right="1646" w:hanging="794"/>
        <w:jc w:val="both"/>
        <w:rPr>
          <w:sz w:val="12"/>
        </w:rPr>
      </w:pPr>
      <w:r>
        <w:rPr>
          <w:w w:val="105"/>
          <w:sz w:val="21"/>
        </w:rPr>
        <w:t>The </w:t>
      </w:r>
      <w:r>
        <w:rPr>
          <w:spacing w:val="-3"/>
          <w:w w:val="105"/>
          <w:sz w:val="21"/>
        </w:rPr>
        <w:t>Commission </w:t>
      </w:r>
      <w:r>
        <w:rPr>
          <w:w w:val="105"/>
          <w:sz w:val="21"/>
        </w:rPr>
        <w:t>considers </w:t>
      </w:r>
      <w:r>
        <w:rPr>
          <w:spacing w:val="-3"/>
          <w:w w:val="105"/>
          <w:sz w:val="21"/>
        </w:rPr>
        <w:t>that </w:t>
      </w:r>
      <w:r>
        <w:rPr>
          <w:w w:val="105"/>
          <w:sz w:val="21"/>
        </w:rPr>
        <w:t>section 40 should be </w:t>
      </w:r>
      <w:r>
        <w:rPr>
          <w:spacing w:val="-3"/>
          <w:w w:val="105"/>
          <w:sz w:val="21"/>
        </w:rPr>
        <w:t>retained, agreeing </w:t>
      </w:r>
      <w:r>
        <w:rPr>
          <w:w w:val="105"/>
          <w:sz w:val="21"/>
        </w:rPr>
        <w:t>with the </w:t>
      </w:r>
      <w:r>
        <w:rPr>
          <w:spacing w:val="-3"/>
          <w:w w:val="105"/>
          <w:sz w:val="21"/>
        </w:rPr>
        <w:t>National </w:t>
      </w:r>
      <w:r>
        <w:rPr>
          <w:spacing w:val="-4"/>
          <w:w w:val="105"/>
          <w:sz w:val="21"/>
        </w:rPr>
        <w:t>Committee’s </w:t>
      </w:r>
      <w:r>
        <w:rPr>
          <w:w w:val="105"/>
          <w:sz w:val="21"/>
        </w:rPr>
        <w:t>view </w:t>
      </w:r>
      <w:r>
        <w:rPr>
          <w:spacing w:val="-3"/>
          <w:w w:val="105"/>
          <w:sz w:val="21"/>
        </w:rPr>
        <w:t>that </w:t>
      </w:r>
      <w:r>
        <w:rPr>
          <w:w w:val="105"/>
          <w:sz w:val="21"/>
        </w:rPr>
        <w:t>it provides a settled rule </w:t>
      </w:r>
      <w:r>
        <w:rPr>
          <w:spacing w:val="-3"/>
          <w:w w:val="105"/>
          <w:sz w:val="21"/>
        </w:rPr>
        <w:t>for </w:t>
      </w:r>
      <w:r>
        <w:rPr>
          <w:w w:val="105"/>
          <w:sz w:val="21"/>
        </w:rPr>
        <w:t>payment of debts </w:t>
      </w:r>
      <w:r>
        <w:rPr>
          <w:spacing w:val="-3"/>
          <w:w w:val="105"/>
          <w:sz w:val="21"/>
        </w:rPr>
        <w:t>charged </w:t>
      </w:r>
      <w:r>
        <w:rPr>
          <w:w w:val="105"/>
          <w:sz w:val="21"/>
        </w:rPr>
        <w:t>on specific property.</w:t>
      </w:r>
      <w:r>
        <w:rPr>
          <w:w w:val="105"/>
          <w:position w:val="7"/>
          <w:sz w:val="12"/>
        </w:rPr>
        <w:t>40</w:t>
      </w:r>
    </w:p>
    <w:p>
      <w:pPr>
        <w:pStyle w:val="BodyText"/>
        <w:spacing w:before="11"/>
        <w:rPr>
          <w:sz w:val="26"/>
        </w:rPr>
      </w:pPr>
    </w:p>
    <w:p>
      <w:pPr>
        <w:pStyle w:val="Heading6"/>
      </w:pPr>
      <w:r>
        <w:rPr>
          <w:w w:val="115"/>
        </w:rPr>
        <w:t>Connection between the debt and the charged property</w:t>
      </w:r>
    </w:p>
    <w:p>
      <w:pPr>
        <w:pStyle w:val="ListParagraph"/>
        <w:numPr>
          <w:ilvl w:val="1"/>
          <w:numId w:val="22"/>
        </w:numPr>
        <w:tabs>
          <w:tab w:pos="2381" w:val="left" w:leader="none"/>
          <w:tab w:pos="2382" w:val="left" w:leader="none"/>
        </w:tabs>
        <w:spacing w:line="242" w:lineRule="auto" w:before="151" w:after="0"/>
        <w:ind w:left="2381" w:right="1797" w:hanging="794"/>
        <w:jc w:val="left"/>
        <w:rPr>
          <w:sz w:val="21"/>
        </w:rPr>
      </w:pPr>
      <w:r>
        <w:rPr>
          <w:w w:val="105"/>
          <w:sz w:val="21"/>
        </w:rPr>
        <w:t>The </w:t>
      </w:r>
      <w:r>
        <w:rPr>
          <w:spacing w:val="-3"/>
          <w:w w:val="105"/>
          <w:sz w:val="21"/>
        </w:rPr>
        <w:t>consultation </w:t>
      </w:r>
      <w:r>
        <w:rPr>
          <w:w w:val="105"/>
          <w:sz w:val="21"/>
        </w:rPr>
        <w:t>paper also </w:t>
      </w:r>
      <w:r>
        <w:rPr>
          <w:spacing w:val="-3"/>
          <w:w w:val="105"/>
          <w:sz w:val="21"/>
        </w:rPr>
        <w:t>asked </w:t>
      </w:r>
      <w:r>
        <w:rPr>
          <w:w w:val="105"/>
          <w:sz w:val="21"/>
        </w:rPr>
        <w:t>whether section 40 of the </w:t>
      </w:r>
      <w:r>
        <w:rPr>
          <w:spacing w:val="-3"/>
          <w:w w:val="105"/>
          <w:sz w:val="21"/>
        </w:rPr>
        <w:t>Administration </w:t>
      </w:r>
      <w:r>
        <w:rPr>
          <w:w w:val="105"/>
          <w:sz w:val="21"/>
        </w:rPr>
        <w:t>and </w:t>
      </w:r>
      <w:r>
        <w:rPr>
          <w:spacing w:val="-3"/>
          <w:w w:val="105"/>
          <w:sz w:val="21"/>
        </w:rPr>
        <w:t>Probate</w:t>
      </w:r>
      <w:r>
        <w:rPr>
          <w:spacing w:val="-9"/>
          <w:w w:val="105"/>
          <w:sz w:val="21"/>
        </w:rPr>
        <w:t> </w:t>
      </w:r>
      <w:r>
        <w:rPr>
          <w:w w:val="105"/>
          <w:sz w:val="21"/>
        </w:rPr>
        <w:t>Act</w:t>
      </w:r>
      <w:r>
        <w:rPr>
          <w:spacing w:val="-8"/>
          <w:w w:val="105"/>
          <w:sz w:val="21"/>
        </w:rPr>
        <w:t> </w:t>
      </w:r>
      <w:r>
        <w:rPr>
          <w:w w:val="105"/>
          <w:sz w:val="21"/>
        </w:rPr>
        <w:t>should</w:t>
      </w:r>
      <w:r>
        <w:rPr>
          <w:spacing w:val="-8"/>
          <w:w w:val="105"/>
          <w:sz w:val="21"/>
        </w:rPr>
        <w:t> </w:t>
      </w:r>
      <w:r>
        <w:rPr>
          <w:w w:val="105"/>
          <w:sz w:val="21"/>
        </w:rPr>
        <w:t>be</w:t>
      </w:r>
      <w:r>
        <w:rPr>
          <w:spacing w:val="-8"/>
          <w:w w:val="105"/>
          <w:sz w:val="21"/>
        </w:rPr>
        <w:t> </w:t>
      </w:r>
      <w:r>
        <w:rPr>
          <w:w w:val="105"/>
          <w:sz w:val="21"/>
        </w:rPr>
        <w:t>modified</w:t>
      </w:r>
      <w:r>
        <w:rPr>
          <w:spacing w:val="-9"/>
          <w:w w:val="105"/>
          <w:sz w:val="21"/>
        </w:rPr>
        <w:t> </w:t>
      </w:r>
      <w:r>
        <w:rPr>
          <w:spacing w:val="-3"/>
          <w:w w:val="105"/>
          <w:sz w:val="21"/>
        </w:rPr>
        <w:t>to</w:t>
      </w:r>
      <w:r>
        <w:rPr>
          <w:spacing w:val="-8"/>
          <w:w w:val="105"/>
          <w:sz w:val="21"/>
        </w:rPr>
        <w:t> </w:t>
      </w:r>
      <w:r>
        <w:rPr>
          <w:spacing w:val="-3"/>
          <w:w w:val="105"/>
          <w:sz w:val="21"/>
        </w:rPr>
        <w:t>require</w:t>
      </w:r>
      <w:r>
        <w:rPr>
          <w:spacing w:val="-8"/>
          <w:w w:val="105"/>
          <w:sz w:val="21"/>
        </w:rPr>
        <w:t> </w:t>
      </w:r>
      <w:r>
        <w:rPr>
          <w:w w:val="105"/>
          <w:sz w:val="21"/>
        </w:rPr>
        <w:t>a</w:t>
      </w:r>
      <w:r>
        <w:rPr>
          <w:spacing w:val="-8"/>
          <w:w w:val="105"/>
          <w:sz w:val="21"/>
        </w:rPr>
        <w:t> </w:t>
      </w:r>
      <w:r>
        <w:rPr>
          <w:w w:val="105"/>
          <w:sz w:val="21"/>
        </w:rPr>
        <w:t>sufficient</w:t>
      </w:r>
      <w:r>
        <w:rPr>
          <w:spacing w:val="-8"/>
          <w:w w:val="105"/>
          <w:sz w:val="21"/>
        </w:rPr>
        <w:t> </w:t>
      </w:r>
      <w:r>
        <w:rPr>
          <w:w w:val="105"/>
          <w:sz w:val="21"/>
        </w:rPr>
        <w:t>connection</w:t>
      </w:r>
      <w:r>
        <w:rPr>
          <w:spacing w:val="-9"/>
          <w:w w:val="105"/>
          <w:sz w:val="21"/>
        </w:rPr>
        <w:t> </w:t>
      </w:r>
      <w:r>
        <w:rPr>
          <w:w w:val="105"/>
          <w:sz w:val="21"/>
        </w:rPr>
        <w:t>between</w:t>
      </w:r>
      <w:r>
        <w:rPr>
          <w:spacing w:val="-8"/>
          <w:w w:val="105"/>
          <w:sz w:val="21"/>
        </w:rPr>
        <w:t> </w:t>
      </w:r>
      <w:r>
        <w:rPr>
          <w:w w:val="105"/>
          <w:sz w:val="21"/>
        </w:rPr>
        <w:t>the</w:t>
      </w:r>
      <w:r>
        <w:rPr>
          <w:spacing w:val="-8"/>
          <w:w w:val="105"/>
          <w:sz w:val="21"/>
        </w:rPr>
        <w:t> </w:t>
      </w:r>
      <w:r>
        <w:rPr>
          <w:w w:val="105"/>
          <w:sz w:val="21"/>
        </w:rPr>
        <w:t>purpose of the debt and the property over which it is </w:t>
      </w:r>
      <w:r>
        <w:rPr>
          <w:spacing w:val="-3"/>
          <w:w w:val="105"/>
          <w:sz w:val="21"/>
        </w:rPr>
        <w:t>charged, before </w:t>
      </w:r>
      <w:r>
        <w:rPr>
          <w:w w:val="105"/>
          <w:sz w:val="21"/>
        </w:rPr>
        <w:t>the </w:t>
      </w:r>
      <w:r>
        <w:rPr>
          <w:spacing w:val="-3"/>
          <w:w w:val="105"/>
          <w:sz w:val="21"/>
        </w:rPr>
        <w:t>exception</w:t>
      </w:r>
      <w:r>
        <w:rPr>
          <w:spacing w:val="-10"/>
          <w:w w:val="105"/>
          <w:sz w:val="21"/>
        </w:rPr>
        <w:t> </w:t>
      </w:r>
      <w:r>
        <w:rPr>
          <w:w w:val="105"/>
          <w:sz w:val="21"/>
        </w:rPr>
        <w:t>comes</w:t>
      </w:r>
    </w:p>
    <w:p>
      <w:pPr>
        <w:pStyle w:val="BodyText"/>
        <w:spacing w:line="242" w:lineRule="auto" w:before="3"/>
        <w:ind w:left="2381" w:right="1719"/>
      </w:pPr>
      <w:r>
        <w:rPr>
          <w:spacing w:val="-3"/>
          <w:w w:val="105"/>
        </w:rPr>
        <w:t>into operation.</w:t>
      </w:r>
      <w:r>
        <w:rPr>
          <w:spacing w:val="-3"/>
          <w:w w:val="105"/>
          <w:position w:val="7"/>
          <w:sz w:val="12"/>
        </w:rPr>
        <w:t>41 </w:t>
      </w:r>
      <w:r>
        <w:rPr>
          <w:spacing w:val="-3"/>
          <w:w w:val="105"/>
        </w:rPr>
        <w:t>Requiring </w:t>
      </w:r>
      <w:r>
        <w:rPr>
          <w:w w:val="105"/>
        </w:rPr>
        <w:t>the asset </w:t>
      </w:r>
      <w:r>
        <w:rPr>
          <w:spacing w:val="-3"/>
          <w:w w:val="105"/>
        </w:rPr>
        <w:t>to </w:t>
      </w:r>
      <w:r>
        <w:rPr>
          <w:w w:val="105"/>
        </w:rPr>
        <w:t>bear the debt in </w:t>
      </w:r>
      <w:r>
        <w:rPr>
          <w:spacing w:val="-3"/>
          <w:w w:val="105"/>
        </w:rPr>
        <w:t>all </w:t>
      </w:r>
      <w:r>
        <w:rPr>
          <w:w w:val="105"/>
        </w:rPr>
        <w:t>cases can lead </w:t>
      </w:r>
      <w:r>
        <w:rPr>
          <w:spacing w:val="-3"/>
          <w:w w:val="105"/>
        </w:rPr>
        <w:t>to </w:t>
      </w:r>
      <w:r>
        <w:rPr>
          <w:w w:val="105"/>
        </w:rPr>
        <w:t>an </w:t>
      </w:r>
      <w:r>
        <w:rPr>
          <w:spacing w:val="-4"/>
          <w:w w:val="105"/>
        </w:rPr>
        <w:t>unfair </w:t>
      </w:r>
      <w:r>
        <w:rPr>
          <w:spacing w:val="-3"/>
          <w:w w:val="105"/>
        </w:rPr>
        <w:t>outcome, for </w:t>
      </w:r>
      <w:r>
        <w:rPr>
          <w:w w:val="105"/>
        </w:rPr>
        <w:t>example when a </w:t>
      </w:r>
      <w:r>
        <w:rPr>
          <w:spacing w:val="-3"/>
          <w:w w:val="105"/>
        </w:rPr>
        <w:t>family </w:t>
      </w:r>
      <w:r>
        <w:rPr>
          <w:w w:val="105"/>
        </w:rPr>
        <w:t>home is mortgaged </w:t>
      </w:r>
      <w:r>
        <w:rPr>
          <w:spacing w:val="-3"/>
          <w:w w:val="105"/>
        </w:rPr>
        <w:t>to finance </w:t>
      </w:r>
      <w:r>
        <w:rPr>
          <w:w w:val="105"/>
        </w:rPr>
        <w:t>a business. Under the </w:t>
      </w:r>
      <w:r>
        <w:rPr>
          <w:spacing w:val="-3"/>
          <w:w w:val="105"/>
        </w:rPr>
        <w:t>current </w:t>
      </w:r>
      <w:r>
        <w:rPr>
          <w:w w:val="105"/>
        </w:rPr>
        <w:t>operation of the </w:t>
      </w:r>
      <w:r>
        <w:rPr>
          <w:spacing w:val="-3"/>
          <w:w w:val="105"/>
        </w:rPr>
        <w:t>rule, </w:t>
      </w:r>
      <w:r>
        <w:rPr>
          <w:w w:val="105"/>
        </w:rPr>
        <w:t>the beneficiary who is given the </w:t>
      </w:r>
      <w:r>
        <w:rPr>
          <w:spacing w:val="-3"/>
          <w:w w:val="105"/>
        </w:rPr>
        <w:t>family </w:t>
      </w:r>
      <w:r>
        <w:rPr>
          <w:w w:val="105"/>
        </w:rPr>
        <w:t>home </w:t>
      </w:r>
      <w:r>
        <w:rPr>
          <w:spacing w:val="-3"/>
          <w:w w:val="105"/>
        </w:rPr>
        <w:t>will </w:t>
      </w:r>
      <w:r>
        <w:rPr>
          <w:w w:val="105"/>
        </w:rPr>
        <w:t>bear the mortgage debt, and the beneficiary given the business </w:t>
      </w:r>
      <w:r>
        <w:rPr>
          <w:spacing w:val="-3"/>
          <w:w w:val="105"/>
        </w:rPr>
        <w:t>will not.</w:t>
      </w:r>
    </w:p>
    <w:p>
      <w:pPr>
        <w:pStyle w:val="ListParagraph"/>
        <w:numPr>
          <w:ilvl w:val="1"/>
          <w:numId w:val="22"/>
        </w:numPr>
        <w:tabs>
          <w:tab w:pos="2380" w:val="left" w:leader="none"/>
          <w:tab w:pos="2381" w:val="left" w:leader="none"/>
        </w:tabs>
        <w:spacing w:line="242" w:lineRule="auto" w:before="125" w:after="0"/>
        <w:ind w:left="2381" w:right="1613" w:hanging="794"/>
        <w:jc w:val="left"/>
        <w:rPr>
          <w:sz w:val="12"/>
        </w:rPr>
      </w:pPr>
      <w:r>
        <w:rPr>
          <w:sz w:val="21"/>
        </w:rPr>
        <w:t>Three </w:t>
      </w:r>
      <w:r>
        <w:rPr>
          <w:spacing w:val="-3"/>
          <w:sz w:val="21"/>
        </w:rPr>
        <w:t>submissions </w:t>
      </w:r>
      <w:r>
        <w:rPr>
          <w:sz w:val="21"/>
        </w:rPr>
        <w:t>discussed the idea of </w:t>
      </w:r>
      <w:r>
        <w:rPr>
          <w:spacing w:val="-3"/>
          <w:sz w:val="21"/>
        </w:rPr>
        <w:t>requiring </w:t>
      </w:r>
      <w:r>
        <w:rPr>
          <w:sz w:val="21"/>
        </w:rPr>
        <w:t>a connection between the purpose </w:t>
      </w:r>
      <w:r>
        <w:rPr>
          <w:spacing w:val="-3"/>
          <w:sz w:val="21"/>
        </w:rPr>
        <w:t>for </w:t>
      </w:r>
      <w:r>
        <w:rPr>
          <w:sz w:val="21"/>
        </w:rPr>
        <w:t>which the debt was </w:t>
      </w:r>
      <w:r>
        <w:rPr>
          <w:spacing w:val="-2"/>
          <w:sz w:val="21"/>
        </w:rPr>
        <w:t>raised </w:t>
      </w:r>
      <w:r>
        <w:rPr>
          <w:sz w:val="21"/>
        </w:rPr>
        <w:t>and the property </w:t>
      </w:r>
      <w:r>
        <w:rPr>
          <w:spacing w:val="-3"/>
          <w:sz w:val="21"/>
        </w:rPr>
        <w:t>to </w:t>
      </w:r>
      <w:r>
        <w:rPr>
          <w:sz w:val="21"/>
        </w:rPr>
        <w:t>bear the debt.</w:t>
      </w:r>
      <w:r>
        <w:rPr>
          <w:position w:val="7"/>
          <w:sz w:val="12"/>
        </w:rPr>
        <w:t>42 </w:t>
      </w:r>
      <w:r>
        <w:rPr>
          <w:sz w:val="21"/>
        </w:rPr>
        <w:t>Although the </w:t>
      </w:r>
      <w:r>
        <w:rPr>
          <w:spacing w:val="-3"/>
          <w:sz w:val="21"/>
        </w:rPr>
        <w:t>potential for </w:t>
      </w:r>
      <w:r>
        <w:rPr>
          <w:sz w:val="21"/>
        </w:rPr>
        <w:t>section 40 </w:t>
      </w:r>
      <w:r>
        <w:rPr>
          <w:spacing w:val="-3"/>
          <w:sz w:val="21"/>
        </w:rPr>
        <w:t>to </w:t>
      </w:r>
      <w:r>
        <w:rPr>
          <w:sz w:val="21"/>
        </w:rPr>
        <w:t>operate </w:t>
      </w:r>
      <w:r>
        <w:rPr>
          <w:spacing w:val="-3"/>
          <w:sz w:val="21"/>
        </w:rPr>
        <w:t>unfairly </w:t>
      </w:r>
      <w:r>
        <w:rPr>
          <w:sz w:val="21"/>
        </w:rPr>
        <w:t>was </w:t>
      </w:r>
      <w:r>
        <w:rPr>
          <w:spacing w:val="-3"/>
          <w:sz w:val="21"/>
        </w:rPr>
        <w:t>raised, State </w:t>
      </w:r>
      <w:r>
        <w:rPr>
          <w:spacing w:val="-4"/>
          <w:sz w:val="21"/>
        </w:rPr>
        <w:t>Trustees </w:t>
      </w:r>
      <w:r>
        <w:rPr>
          <w:spacing w:val="-3"/>
          <w:sz w:val="21"/>
        </w:rPr>
        <w:t>noted that </w:t>
      </w:r>
      <w:r>
        <w:rPr>
          <w:sz w:val="21"/>
        </w:rPr>
        <w:t>a </w:t>
      </w:r>
      <w:r>
        <w:rPr>
          <w:spacing w:val="-3"/>
          <w:sz w:val="21"/>
        </w:rPr>
        <w:t>requirement for </w:t>
      </w:r>
      <w:r>
        <w:rPr>
          <w:sz w:val="21"/>
        </w:rPr>
        <w:t>a connection between the debt and the property </w:t>
      </w:r>
      <w:r>
        <w:rPr>
          <w:spacing w:val="-3"/>
          <w:sz w:val="21"/>
        </w:rPr>
        <w:t>could  produce  equally  </w:t>
      </w:r>
      <w:r>
        <w:rPr>
          <w:sz w:val="21"/>
        </w:rPr>
        <w:t>arbitrary results.</w:t>
      </w:r>
      <w:r>
        <w:rPr>
          <w:position w:val="7"/>
          <w:sz w:val="12"/>
        </w:rPr>
        <w:t>43  </w:t>
      </w:r>
      <w:r>
        <w:rPr>
          <w:sz w:val="12"/>
        </w:rPr>
        <w:t>     </w:t>
      </w:r>
      <w:r>
        <w:rPr>
          <w:sz w:val="21"/>
        </w:rPr>
        <w:t>It</w:t>
      </w:r>
      <w:r>
        <w:rPr>
          <w:spacing w:val="12"/>
          <w:sz w:val="21"/>
        </w:rPr>
        <w:t> </w:t>
      </w:r>
      <w:r>
        <w:rPr>
          <w:sz w:val="21"/>
        </w:rPr>
        <w:t>was</w:t>
      </w:r>
      <w:r>
        <w:rPr>
          <w:spacing w:val="13"/>
          <w:sz w:val="21"/>
        </w:rPr>
        <w:t> </w:t>
      </w:r>
      <w:r>
        <w:rPr>
          <w:sz w:val="21"/>
        </w:rPr>
        <w:t>also</w:t>
      </w:r>
      <w:r>
        <w:rPr>
          <w:spacing w:val="13"/>
          <w:sz w:val="21"/>
        </w:rPr>
        <w:t> </w:t>
      </w:r>
      <w:r>
        <w:rPr>
          <w:spacing w:val="-3"/>
          <w:sz w:val="21"/>
        </w:rPr>
        <w:t>noted</w:t>
      </w:r>
      <w:r>
        <w:rPr>
          <w:spacing w:val="12"/>
          <w:sz w:val="21"/>
        </w:rPr>
        <w:t> </w:t>
      </w:r>
      <w:r>
        <w:rPr>
          <w:spacing w:val="-3"/>
          <w:sz w:val="21"/>
        </w:rPr>
        <w:t>that</w:t>
      </w:r>
      <w:r>
        <w:rPr>
          <w:spacing w:val="13"/>
          <w:sz w:val="21"/>
        </w:rPr>
        <w:t> </w:t>
      </w:r>
      <w:r>
        <w:rPr>
          <w:spacing w:val="-2"/>
          <w:sz w:val="21"/>
        </w:rPr>
        <w:t>problems</w:t>
      </w:r>
      <w:r>
        <w:rPr>
          <w:spacing w:val="13"/>
          <w:sz w:val="21"/>
        </w:rPr>
        <w:t> </w:t>
      </w:r>
      <w:r>
        <w:rPr>
          <w:sz w:val="21"/>
        </w:rPr>
        <w:t>here</w:t>
      </w:r>
      <w:r>
        <w:rPr>
          <w:spacing w:val="12"/>
          <w:sz w:val="21"/>
        </w:rPr>
        <w:t> </w:t>
      </w:r>
      <w:r>
        <w:rPr>
          <w:spacing w:val="-3"/>
          <w:sz w:val="21"/>
        </w:rPr>
        <w:t>may</w:t>
      </w:r>
      <w:r>
        <w:rPr>
          <w:spacing w:val="13"/>
          <w:sz w:val="21"/>
        </w:rPr>
        <w:t> </w:t>
      </w:r>
      <w:r>
        <w:rPr>
          <w:sz w:val="21"/>
        </w:rPr>
        <w:t>be</w:t>
      </w:r>
      <w:r>
        <w:rPr>
          <w:spacing w:val="13"/>
          <w:sz w:val="21"/>
        </w:rPr>
        <w:t> </w:t>
      </w:r>
      <w:r>
        <w:rPr>
          <w:sz w:val="21"/>
        </w:rPr>
        <w:t>resolved</w:t>
      </w:r>
      <w:r>
        <w:rPr>
          <w:spacing w:val="12"/>
          <w:sz w:val="21"/>
        </w:rPr>
        <w:t> </w:t>
      </w:r>
      <w:r>
        <w:rPr>
          <w:sz w:val="21"/>
        </w:rPr>
        <w:t>by</w:t>
      </w:r>
      <w:r>
        <w:rPr>
          <w:spacing w:val="13"/>
          <w:sz w:val="21"/>
        </w:rPr>
        <w:t> </w:t>
      </w:r>
      <w:r>
        <w:rPr>
          <w:spacing w:val="-3"/>
          <w:sz w:val="21"/>
        </w:rPr>
        <w:t>careful</w:t>
      </w:r>
      <w:r>
        <w:rPr>
          <w:spacing w:val="13"/>
          <w:sz w:val="21"/>
        </w:rPr>
        <w:t> </w:t>
      </w:r>
      <w:r>
        <w:rPr>
          <w:spacing w:val="-3"/>
          <w:sz w:val="21"/>
        </w:rPr>
        <w:t>will</w:t>
      </w:r>
      <w:r>
        <w:rPr>
          <w:spacing w:val="13"/>
          <w:sz w:val="21"/>
        </w:rPr>
        <w:t> </w:t>
      </w:r>
      <w:r>
        <w:rPr>
          <w:sz w:val="21"/>
        </w:rPr>
        <w:t>drafting.</w:t>
      </w:r>
      <w:r>
        <w:rPr>
          <w:position w:val="7"/>
          <w:sz w:val="12"/>
        </w:rPr>
        <w:t>44</w:t>
      </w:r>
    </w:p>
    <w:p>
      <w:pPr>
        <w:pStyle w:val="ListParagraph"/>
        <w:numPr>
          <w:ilvl w:val="1"/>
          <w:numId w:val="22"/>
        </w:numPr>
        <w:tabs>
          <w:tab w:pos="2381" w:val="left" w:leader="none"/>
          <w:tab w:pos="2382" w:val="left" w:leader="none"/>
        </w:tabs>
        <w:spacing w:line="242" w:lineRule="auto" w:before="125" w:after="0"/>
        <w:ind w:left="2381" w:right="1854" w:hanging="794"/>
        <w:jc w:val="left"/>
        <w:rPr>
          <w:sz w:val="21"/>
        </w:rPr>
      </w:pPr>
      <w:r>
        <w:rPr>
          <w:w w:val="105"/>
          <w:sz w:val="21"/>
        </w:rPr>
        <w:t>The </w:t>
      </w:r>
      <w:r>
        <w:rPr>
          <w:spacing w:val="-3"/>
          <w:w w:val="105"/>
          <w:sz w:val="21"/>
        </w:rPr>
        <w:t>Commission </w:t>
      </w:r>
      <w:r>
        <w:rPr>
          <w:w w:val="105"/>
          <w:sz w:val="21"/>
        </w:rPr>
        <w:t>does </w:t>
      </w:r>
      <w:r>
        <w:rPr>
          <w:spacing w:val="-2"/>
          <w:w w:val="105"/>
          <w:sz w:val="21"/>
        </w:rPr>
        <w:t>not </w:t>
      </w:r>
      <w:r>
        <w:rPr>
          <w:w w:val="105"/>
          <w:sz w:val="21"/>
        </w:rPr>
        <w:t>believe </w:t>
      </w:r>
      <w:r>
        <w:rPr>
          <w:spacing w:val="-3"/>
          <w:w w:val="105"/>
          <w:sz w:val="21"/>
        </w:rPr>
        <w:t>that </w:t>
      </w:r>
      <w:r>
        <w:rPr>
          <w:w w:val="105"/>
          <w:sz w:val="21"/>
        </w:rPr>
        <w:t>there is good reason </w:t>
      </w:r>
      <w:r>
        <w:rPr>
          <w:spacing w:val="-3"/>
          <w:w w:val="105"/>
          <w:sz w:val="21"/>
        </w:rPr>
        <w:t>to require </w:t>
      </w:r>
      <w:r>
        <w:rPr>
          <w:w w:val="105"/>
          <w:sz w:val="21"/>
        </w:rPr>
        <w:t>a connection between</w:t>
      </w:r>
      <w:r>
        <w:rPr>
          <w:spacing w:val="-7"/>
          <w:w w:val="105"/>
          <w:sz w:val="21"/>
        </w:rPr>
        <w:t> </w:t>
      </w:r>
      <w:r>
        <w:rPr>
          <w:w w:val="105"/>
          <w:sz w:val="21"/>
        </w:rPr>
        <w:t>the</w:t>
      </w:r>
      <w:r>
        <w:rPr>
          <w:spacing w:val="-7"/>
          <w:w w:val="105"/>
          <w:sz w:val="21"/>
        </w:rPr>
        <w:t> </w:t>
      </w:r>
      <w:r>
        <w:rPr>
          <w:w w:val="105"/>
          <w:sz w:val="21"/>
        </w:rPr>
        <w:t>purpose</w:t>
      </w:r>
      <w:r>
        <w:rPr>
          <w:spacing w:val="-7"/>
          <w:w w:val="105"/>
          <w:sz w:val="21"/>
        </w:rPr>
        <w:t> </w:t>
      </w:r>
      <w:r>
        <w:rPr>
          <w:spacing w:val="-3"/>
          <w:w w:val="105"/>
          <w:sz w:val="21"/>
        </w:rPr>
        <w:t>for</w:t>
      </w:r>
      <w:r>
        <w:rPr>
          <w:spacing w:val="-6"/>
          <w:w w:val="105"/>
          <w:sz w:val="21"/>
        </w:rPr>
        <w:t> </w:t>
      </w:r>
      <w:r>
        <w:rPr>
          <w:w w:val="105"/>
          <w:sz w:val="21"/>
        </w:rPr>
        <w:t>which</w:t>
      </w:r>
      <w:r>
        <w:rPr>
          <w:spacing w:val="-7"/>
          <w:w w:val="105"/>
          <w:sz w:val="21"/>
        </w:rPr>
        <w:t> </w:t>
      </w:r>
      <w:r>
        <w:rPr>
          <w:w w:val="105"/>
          <w:sz w:val="21"/>
        </w:rPr>
        <w:t>the</w:t>
      </w:r>
      <w:r>
        <w:rPr>
          <w:spacing w:val="-7"/>
          <w:w w:val="105"/>
          <w:sz w:val="21"/>
        </w:rPr>
        <w:t> </w:t>
      </w:r>
      <w:r>
        <w:rPr>
          <w:w w:val="105"/>
          <w:sz w:val="21"/>
        </w:rPr>
        <w:t>debt</w:t>
      </w:r>
      <w:r>
        <w:rPr>
          <w:spacing w:val="-7"/>
          <w:w w:val="105"/>
          <w:sz w:val="21"/>
        </w:rPr>
        <w:t> </w:t>
      </w:r>
      <w:r>
        <w:rPr>
          <w:w w:val="105"/>
          <w:sz w:val="21"/>
        </w:rPr>
        <w:t>was</w:t>
      </w:r>
      <w:r>
        <w:rPr>
          <w:spacing w:val="-6"/>
          <w:w w:val="105"/>
          <w:sz w:val="21"/>
        </w:rPr>
        <w:t> </w:t>
      </w:r>
      <w:r>
        <w:rPr>
          <w:spacing w:val="-2"/>
          <w:w w:val="105"/>
          <w:sz w:val="21"/>
        </w:rPr>
        <w:t>raised</w:t>
      </w:r>
      <w:r>
        <w:rPr>
          <w:spacing w:val="-7"/>
          <w:w w:val="105"/>
          <w:sz w:val="21"/>
        </w:rPr>
        <w:t> </w:t>
      </w:r>
      <w:r>
        <w:rPr>
          <w:w w:val="105"/>
          <w:sz w:val="21"/>
        </w:rPr>
        <w:t>and</w:t>
      </w:r>
      <w:r>
        <w:rPr>
          <w:spacing w:val="-7"/>
          <w:w w:val="105"/>
          <w:sz w:val="21"/>
        </w:rPr>
        <w:t> </w:t>
      </w:r>
      <w:r>
        <w:rPr>
          <w:w w:val="105"/>
          <w:sz w:val="21"/>
        </w:rPr>
        <w:t>the</w:t>
      </w:r>
      <w:r>
        <w:rPr>
          <w:spacing w:val="-7"/>
          <w:w w:val="105"/>
          <w:sz w:val="21"/>
        </w:rPr>
        <w:t> </w:t>
      </w:r>
      <w:r>
        <w:rPr>
          <w:w w:val="105"/>
          <w:sz w:val="21"/>
        </w:rPr>
        <w:t>property</w:t>
      </w:r>
      <w:r>
        <w:rPr>
          <w:spacing w:val="-6"/>
          <w:w w:val="105"/>
          <w:sz w:val="21"/>
        </w:rPr>
        <w:t> </w:t>
      </w:r>
      <w:r>
        <w:rPr>
          <w:spacing w:val="-3"/>
          <w:w w:val="105"/>
          <w:sz w:val="21"/>
        </w:rPr>
        <w:t>to</w:t>
      </w:r>
      <w:r>
        <w:rPr>
          <w:spacing w:val="-7"/>
          <w:w w:val="105"/>
          <w:sz w:val="21"/>
        </w:rPr>
        <w:t> </w:t>
      </w:r>
      <w:r>
        <w:rPr>
          <w:w w:val="105"/>
          <w:sz w:val="21"/>
        </w:rPr>
        <w:t>bear</w:t>
      </w:r>
      <w:r>
        <w:rPr>
          <w:spacing w:val="-7"/>
          <w:w w:val="105"/>
          <w:sz w:val="21"/>
        </w:rPr>
        <w:t> </w:t>
      </w:r>
      <w:r>
        <w:rPr>
          <w:w w:val="105"/>
          <w:sz w:val="21"/>
        </w:rPr>
        <w:t>the</w:t>
      </w:r>
      <w:r>
        <w:rPr>
          <w:spacing w:val="-7"/>
          <w:w w:val="105"/>
          <w:sz w:val="21"/>
        </w:rPr>
        <w:t> </w:t>
      </w:r>
      <w:r>
        <w:rPr>
          <w:w w:val="105"/>
          <w:sz w:val="21"/>
        </w:rPr>
        <w:t>debt.</w:t>
      </w:r>
    </w:p>
    <w:p>
      <w:pPr>
        <w:pStyle w:val="BodyText"/>
        <w:rPr>
          <w:sz w:val="20"/>
        </w:rPr>
      </w:pPr>
    </w:p>
    <w:p>
      <w:pPr>
        <w:pStyle w:val="BodyText"/>
        <w:rPr>
          <w:sz w:val="20"/>
        </w:rPr>
      </w:pPr>
    </w:p>
    <w:p>
      <w:pPr>
        <w:pStyle w:val="BodyText"/>
        <w:spacing w:before="6"/>
        <w:rPr>
          <w:sz w:val="20"/>
        </w:rPr>
      </w:pPr>
      <w:r>
        <w:rPr/>
        <w:pict>
          <v:line style="position:absolute;mso-position-horizontal-relative:page;mso-position-vertical-relative:paragraph;z-index:10808;mso-wrap-distance-left:0;mso-wrap-distance-right:0" from="79.370003pt,14.988234pt" to="515.905003pt,14.988234pt" stroked="true" strokeweight="1pt" strokecolor="#f9ceca">
            <v:stroke dashstyle="solid"/>
            <w10:wrap type="topAndBottom"/>
          </v:line>
        </w:pict>
      </w:r>
    </w:p>
    <w:p>
      <w:pPr>
        <w:pStyle w:val="BodyText"/>
        <w:spacing w:before="8"/>
        <w:rPr>
          <w:sz w:val="5"/>
        </w:rPr>
      </w:pPr>
    </w:p>
    <w:p>
      <w:pPr>
        <w:spacing w:after="0"/>
        <w:rPr>
          <w:sz w:val="5"/>
        </w:rPr>
        <w:sectPr>
          <w:pgSz w:w="11910" w:h="16840"/>
          <w:pgMar w:header="805" w:footer="0" w:top="1360" w:bottom="280" w:left="0" w:right="0"/>
        </w:sectPr>
      </w:pPr>
    </w:p>
    <w:p>
      <w:pPr>
        <w:pStyle w:val="ListParagraph"/>
        <w:numPr>
          <w:ilvl w:val="0"/>
          <w:numId w:val="136"/>
        </w:numPr>
        <w:tabs>
          <w:tab w:pos="2380" w:val="left" w:leader="none"/>
          <w:tab w:pos="2382" w:val="left" w:leader="none"/>
        </w:tabs>
        <w:spacing w:line="240" w:lineRule="auto" w:before="48" w:after="0"/>
        <w:ind w:left="2381" w:right="0" w:hanging="794"/>
        <w:jc w:val="left"/>
        <w:rPr>
          <w:sz w:val="13"/>
        </w:rPr>
      </w:pPr>
      <w:r>
        <w:rPr>
          <w:w w:val="105"/>
          <w:sz w:val="13"/>
        </w:rPr>
        <w:t>Ibid.</w:t>
      </w:r>
      <w:r>
        <w:rPr>
          <w:spacing w:val="5"/>
          <w:w w:val="105"/>
          <w:sz w:val="13"/>
        </w:rPr>
        <w:t> </w:t>
      </w:r>
      <w:r>
        <w:rPr>
          <w:w w:val="105"/>
          <w:sz w:val="13"/>
        </w:rPr>
        <w:t>See</w:t>
      </w:r>
      <w:r>
        <w:rPr>
          <w:spacing w:val="5"/>
          <w:w w:val="105"/>
          <w:sz w:val="13"/>
        </w:rPr>
        <w:t> </w:t>
      </w:r>
      <w:r>
        <w:rPr>
          <w:w w:val="105"/>
          <w:sz w:val="13"/>
        </w:rPr>
        <w:t>discussion</w:t>
      </w:r>
      <w:r>
        <w:rPr>
          <w:spacing w:val="5"/>
          <w:w w:val="105"/>
          <w:sz w:val="13"/>
        </w:rPr>
        <w:t> </w:t>
      </w:r>
      <w:r>
        <w:rPr>
          <w:w w:val="105"/>
          <w:sz w:val="13"/>
        </w:rPr>
        <w:t>of</w:t>
      </w:r>
      <w:r>
        <w:rPr>
          <w:spacing w:val="5"/>
          <w:w w:val="105"/>
          <w:sz w:val="13"/>
        </w:rPr>
        <w:t> </w:t>
      </w:r>
      <w:r>
        <w:rPr>
          <w:w w:val="105"/>
          <w:sz w:val="13"/>
        </w:rPr>
        <w:t>contrary</w:t>
      </w:r>
      <w:r>
        <w:rPr>
          <w:spacing w:val="5"/>
          <w:w w:val="105"/>
          <w:sz w:val="13"/>
        </w:rPr>
        <w:t> </w:t>
      </w:r>
      <w:r>
        <w:rPr>
          <w:w w:val="105"/>
          <w:sz w:val="13"/>
        </w:rPr>
        <w:t>intention</w:t>
      </w:r>
      <w:r>
        <w:rPr>
          <w:spacing w:val="5"/>
          <w:w w:val="105"/>
          <w:sz w:val="13"/>
        </w:rPr>
        <w:t> </w:t>
      </w:r>
      <w:r>
        <w:rPr>
          <w:w w:val="105"/>
          <w:sz w:val="13"/>
        </w:rPr>
        <w:t>in</w:t>
      </w:r>
      <w:r>
        <w:rPr>
          <w:spacing w:val="5"/>
          <w:w w:val="105"/>
          <w:sz w:val="13"/>
        </w:rPr>
        <w:t> </w:t>
      </w:r>
      <w:r>
        <w:rPr>
          <w:w w:val="105"/>
          <w:sz w:val="13"/>
        </w:rPr>
        <w:t>Victorian</w:t>
      </w:r>
      <w:r>
        <w:rPr>
          <w:spacing w:val="5"/>
          <w:w w:val="105"/>
          <w:sz w:val="13"/>
        </w:rPr>
        <w:t> </w:t>
      </w:r>
      <w:r>
        <w:rPr>
          <w:w w:val="105"/>
          <w:sz w:val="13"/>
        </w:rPr>
        <w:t>Law</w:t>
      </w:r>
      <w:r>
        <w:rPr>
          <w:spacing w:val="5"/>
          <w:w w:val="105"/>
          <w:sz w:val="13"/>
        </w:rPr>
        <w:t> </w:t>
      </w:r>
      <w:r>
        <w:rPr>
          <w:w w:val="105"/>
          <w:sz w:val="13"/>
        </w:rPr>
        <w:t>Reform</w:t>
      </w:r>
      <w:r>
        <w:rPr>
          <w:spacing w:val="6"/>
          <w:w w:val="105"/>
          <w:sz w:val="13"/>
        </w:rPr>
        <w:t> </w:t>
      </w:r>
      <w:r>
        <w:rPr>
          <w:w w:val="105"/>
          <w:sz w:val="13"/>
        </w:rPr>
        <w:t>Commission,</w:t>
      </w:r>
      <w:r>
        <w:rPr>
          <w:spacing w:val="5"/>
          <w:w w:val="105"/>
          <w:sz w:val="13"/>
        </w:rPr>
        <w:t> </w:t>
      </w:r>
      <w:r>
        <w:rPr>
          <w:w w:val="105"/>
          <w:sz w:val="13"/>
        </w:rPr>
        <w:t>above</w:t>
      </w:r>
      <w:r>
        <w:rPr>
          <w:spacing w:val="5"/>
          <w:w w:val="105"/>
          <w:sz w:val="13"/>
        </w:rPr>
        <w:t> </w:t>
      </w:r>
      <w:r>
        <w:rPr>
          <w:w w:val="105"/>
          <w:sz w:val="13"/>
        </w:rPr>
        <w:t>n</w:t>
      </w:r>
      <w:r>
        <w:rPr>
          <w:spacing w:val="5"/>
          <w:w w:val="105"/>
          <w:sz w:val="13"/>
        </w:rPr>
        <w:t> </w:t>
      </w:r>
      <w:r>
        <w:rPr>
          <w:w w:val="105"/>
          <w:sz w:val="13"/>
        </w:rPr>
        <w:t>2,</w:t>
      </w:r>
      <w:r>
        <w:rPr>
          <w:spacing w:val="5"/>
          <w:w w:val="105"/>
          <w:sz w:val="13"/>
        </w:rPr>
        <w:t> </w:t>
      </w:r>
      <w:r>
        <w:rPr>
          <w:w w:val="105"/>
          <w:sz w:val="13"/>
        </w:rPr>
        <w:t>30.</w:t>
      </w:r>
    </w:p>
    <w:p>
      <w:pPr>
        <w:pStyle w:val="ListParagraph"/>
        <w:numPr>
          <w:ilvl w:val="0"/>
          <w:numId w:val="136"/>
        </w:numPr>
        <w:tabs>
          <w:tab w:pos="2380" w:val="left" w:leader="none"/>
          <w:tab w:pos="2382" w:val="left" w:leader="none"/>
        </w:tabs>
        <w:spacing w:line="240" w:lineRule="auto" w:before="1" w:after="0"/>
        <w:ind w:left="2381" w:right="0" w:hanging="794"/>
        <w:jc w:val="left"/>
        <w:rPr>
          <w:sz w:val="13"/>
        </w:rPr>
      </w:pPr>
      <w:r>
        <w:rPr>
          <w:i/>
          <w:w w:val="105"/>
          <w:sz w:val="13"/>
        </w:rPr>
        <w:t>Administration and Probate Act 1958 </w:t>
      </w:r>
      <w:r>
        <w:rPr>
          <w:spacing w:val="2"/>
          <w:w w:val="105"/>
          <w:sz w:val="13"/>
        </w:rPr>
        <w:t>(Vic) </w:t>
      </w:r>
      <w:r>
        <w:rPr>
          <w:w w:val="105"/>
          <w:sz w:val="13"/>
        </w:rPr>
        <w:t>s</w:t>
      </w:r>
      <w:r>
        <w:rPr>
          <w:spacing w:val="25"/>
          <w:w w:val="105"/>
          <w:sz w:val="13"/>
        </w:rPr>
        <w:t> </w:t>
      </w:r>
      <w:r>
        <w:rPr>
          <w:spacing w:val="2"/>
          <w:w w:val="105"/>
          <w:sz w:val="13"/>
        </w:rPr>
        <w:t>40(1).</w:t>
      </w:r>
    </w:p>
    <w:p>
      <w:pPr>
        <w:pStyle w:val="ListParagraph"/>
        <w:numPr>
          <w:ilvl w:val="0"/>
          <w:numId w:val="136"/>
        </w:numPr>
        <w:tabs>
          <w:tab w:pos="2380" w:val="left" w:leader="none"/>
          <w:tab w:pos="2382" w:val="left" w:leader="none"/>
        </w:tabs>
        <w:spacing w:line="240" w:lineRule="auto" w:before="2" w:after="0"/>
        <w:ind w:left="2381" w:right="0" w:hanging="794"/>
        <w:jc w:val="left"/>
        <w:rPr>
          <w:sz w:val="13"/>
        </w:rPr>
      </w:pPr>
      <w:r>
        <w:rPr>
          <w:i/>
          <w:w w:val="105"/>
          <w:sz w:val="13"/>
        </w:rPr>
        <w:t>Civil</w:t>
      </w:r>
      <w:r>
        <w:rPr>
          <w:i/>
          <w:spacing w:val="4"/>
          <w:w w:val="105"/>
          <w:sz w:val="13"/>
        </w:rPr>
        <w:t> </w:t>
      </w:r>
      <w:r>
        <w:rPr>
          <w:i/>
          <w:w w:val="105"/>
          <w:sz w:val="13"/>
        </w:rPr>
        <w:t>Law</w:t>
      </w:r>
      <w:r>
        <w:rPr>
          <w:i/>
          <w:spacing w:val="4"/>
          <w:w w:val="105"/>
          <w:sz w:val="13"/>
        </w:rPr>
        <w:t> </w:t>
      </w:r>
      <w:r>
        <w:rPr>
          <w:i/>
          <w:spacing w:val="2"/>
          <w:w w:val="105"/>
          <w:sz w:val="13"/>
        </w:rPr>
        <w:t>(Property)</w:t>
      </w:r>
      <w:r>
        <w:rPr>
          <w:i/>
          <w:spacing w:val="4"/>
          <w:w w:val="105"/>
          <w:sz w:val="13"/>
        </w:rPr>
        <w:t> </w:t>
      </w:r>
      <w:r>
        <w:rPr>
          <w:i/>
          <w:w w:val="105"/>
          <w:sz w:val="13"/>
        </w:rPr>
        <w:t>Act</w:t>
      </w:r>
      <w:r>
        <w:rPr>
          <w:i/>
          <w:spacing w:val="4"/>
          <w:w w:val="105"/>
          <w:sz w:val="13"/>
        </w:rPr>
        <w:t> </w:t>
      </w:r>
      <w:r>
        <w:rPr>
          <w:i/>
          <w:w w:val="105"/>
          <w:sz w:val="13"/>
        </w:rPr>
        <w:t>2006</w:t>
      </w:r>
      <w:r>
        <w:rPr>
          <w:i/>
          <w:spacing w:val="5"/>
          <w:w w:val="105"/>
          <w:sz w:val="13"/>
        </w:rPr>
        <w:t> </w:t>
      </w:r>
      <w:r>
        <w:rPr>
          <w:w w:val="105"/>
          <w:sz w:val="13"/>
        </w:rPr>
        <w:t>(ACT)</w:t>
      </w:r>
      <w:r>
        <w:rPr>
          <w:spacing w:val="5"/>
          <w:w w:val="105"/>
          <w:sz w:val="13"/>
        </w:rPr>
        <w:t> </w:t>
      </w:r>
      <w:r>
        <w:rPr>
          <w:w w:val="105"/>
          <w:sz w:val="13"/>
        </w:rPr>
        <w:t>s</w:t>
      </w:r>
      <w:r>
        <w:rPr>
          <w:spacing w:val="5"/>
          <w:w w:val="105"/>
          <w:sz w:val="13"/>
        </w:rPr>
        <w:t> </w:t>
      </w:r>
      <w:r>
        <w:rPr>
          <w:spacing w:val="3"/>
          <w:w w:val="105"/>
          <w:sz w:val="13"/>
        </w:rPr>
        <w:t>500(2);</w:t>
      </w:r>
      <w:r>
        <w:rPr>
          <w:spacing w:val="5"/>
          <w:w w:val="105"/>
          <w:sz w:val="13"/>
        </w:rPr>
        <w:t> </w:t>
      </w:r>
      <w:r>
        <w:rPr>
          <w:i/>
          <w:w w:val="105"/>
          <w:sz w:val="13"/>
        </w:rPr>
        <w:t>Succession</w:t>
      </w:r>
      <w:r>
        <w:rPr>
          <w:i/>
          <w:spacing w:val="4"/>
          <w:w w:val="105"/>
          <w:sz w:val="13"/>
        </w:rPr>
        <w:t> </w:t>
      </w:r>
      <w:r>
        <w:rPr>
          <w:i/>
          <w:w w:val="105"/>
          <w:sz w:val="13"/>
        </w:rPr>
        <w:t>Act</w:t>
      </w:r>
      <w:r>
        <w:rPr>
          <w:i/>
          <w:spacing w:val="4"/>
          <w:w w:val="105"/>
          <w:sz w:val="13"/>
        </w:rPr>
        <w:t> </w:t>
      </w:r>
      <w:r>
        <w:rPr>
          <w:i/>
          <w:spacing w:val="-3"/>
          <w:w w:val="105"/>
          <w:sz w:val="13"/>
        </w:rPr>
        <w:t>1981</w:t>
      </w:r>
      <w:r>
        <w:rPr>
          <w:i/>
          <w:spacing w:val="6"/>
          <w:w w:val="105"/>
          <w:sz w:val="13"/>
        </w:rPr>
        <w:t> </w:t>
      </w:r>
      <w:r>
        <w:rPr>
          <w:spacing w:val="2"/>
          <w:w w:val="105"/>
          <w:sz w:val="13"/>
        </w:rPr>
        <w:t>(Qld)</w:t>
      </w:r>
      <w:r>
        <w:rPr>
          <w:spacing w:val="5"/>
          <w:w w:val="105"/>
          <w:sz w:val="13"/>
        </w:rPr>
        <w:t> </w:t>
      </w:r>
      <w:r>
        <w:rPr>
          <w:w w:val="105"/>
          <w:sz w:val="13"/>
        </w:rPr>
        <w:t>s</w:t>
      </w:r>
      <w:r>
        <w:rPr>
          <w:spacing w:val="5"/>
          <w:w w:val="105"/>
          <w:sz w:val="13"/>
        </w:rPr>
        <w:t> </w:t>
      </w:r>
      <w:r>
        <w:rPr>
          <w:w w:val="105"/>
          <w:sz w:val="13"/>
        </w:rPr>
        <w:t>61(1).</w:t>
      </w:r>
    </w:p>
    <w:p>
      <w:pPr>
        <w:pStyle w:val="ListParagraph"/>
        <w:numPr>
          <w:ilvl w:val="0"/>
          <w:numId w:val="136"/>
        </w:numPr>
        <w:tabs>
          <w:tab w:pos="2380" w:val="left" w:leader="none"/>
          <w:tab w:pos="2382" w:val="left" w:leader="none"/>
        </w:tabs>
        <w:spacing w:line="240" w:lineRule="auto" w:before="1" w:after="0"/>
        <w:ind w:left="2381" w:right="0" w:hanging="794"/>
        <w:jc w:val="left"/>
        <w:rPr>
          <w:sz w:val="13"/>
        </w:rPr>
      </w:pPr>
      <w:r>
        <w:rPr>
          <w:sz w:val="13"/>
        </w:rPr>
        <w:t>Submission 32 </w:t>
      </w:r>
      <w:r>
        <w:rPr>
          <w:spacing w:val="2"/>
          <w:sz w:val="13"/>
        </w:rPr>
        <w:t>(The </w:t>
      </w:r>
      <w:r>
        <w:rPr>
          <w:sz w:val="13"/>
        </w:rPr>
        <w:t>Institute of Legal</w:t>
      </w:r>
      <w:r>
        <w:rPr>
          <w:spacing w:val="10"/>
          <w:sz w:val="13"/>
        </w:rPr>
        <w:t> </w:t>
      </w:r>
      <w:r>
        <w:rPr>
          <w:sz w:val="13"/>
        </w:rPr>
        <w:t>Executives).</w:t>
      </w:r>
    </w:p>
    <w:p>
      <w:pPr>
        <w:pStyle w:val="ListParagraph"/>
        <w:numPr>
          <w:ilvl w:val="0"/>
          <w:numId w:val="136"/>
        </w:numPr>
        <w:tabs>
          <w:tab w:pos="2381" w:val="left" w:leader="none"/>
          <w:tab w:pos="2382" w:val="left" w:leader="none"/>
        </w:tabs>
        <w:spacing w:line="240" w:lineRule="auto" w:before="1" w:after="0"/>
        <w:ind w:left="2381" w:right="0" w:hanging="794"/>
        <w:jc w:val="left"/>
        <w:rPr>
          <w:i/>
          <w:sz w:val="13"/>
        </w:rPr>
      </w:pPr>
      <w:r>
        <w:rPr>
          <w:w w:val="105"/>
          <w:sz w:val="13"/>
        </w:rPr>
        <w:t>The </w:t>
      </w:r>
      <w:r>
        <w:rPr>
          <w:spacing w:val="2"/>
          <w:w w:val="105"/>
          <w:sz w:val="13"/>
        </w:rPr>
        <w:t>Northern </w:t>
      </w:r>
      <w:r>
        <w:rPr>
          <w:w w:val="105"/>
          <w:sz w:val="13"/>
        </w:rPr>
        <w:t>Territory equivalent rule was abolished when the </w:t>
      </w:r>
      <w:r>
        <w:rPr>
          <w:i/>
          <w:w w:val="105"/>
          <w:sz w:val="13"/>
        </w:rPr>
        <w:t>Administration and Probate Act </w:t>
      </w:r>
      <w:r>
        <w:rPr>
          <w:i/>
          <w:spacing w:val="-3"/>
          <w:w w:val="105"/>
          <w:sz w:val="13"/>
        </w:rPr>
        <w:t>1891 </w:t>
      </w:r>
      <w:r>
        <w:rPr>
          <w:spacing w:val="2"/>
          <w:w w:val="105"/>
          <w:sz w:val="13"/>
        </w:rPr>
        <w:t>(SA) </w:t>
      </w:r>
      <w:r>
        <w:rPr>
          <w:w w:val="105"/>
          <w:sz w:val="13"/>
        </w:rPr>
        <w:t>(previously in operation in</w:t>
      </w:r>
      <w:r>
        <w:rPr>
          <w:spacing w:val="3"/>
          <w:w w:val="105"/>
          <w:sz w:val="13"/>
        </w:rPr>
        <w:t> </w:t>
      </w:r>
      <w:r>
        <w:rPr>
          <w:w w:val="105"/>
          <w:sz w:val="13"/>
        </w:rPr>
        <w:t>the</w:t>
      </w:r>
      <w:r>
        <w:rPr>
          <w:spacing w:val="4"/>
          <w:w w:val="105"/>
          <w:sz w:val="13"/>
        </w:rPr>
        <w:t> </w:t>
      </w:r>
      <w:r>
        <w:rPr>
          <w:spacing w:val="2"/>
          <w:w w:val="105"/>
          <w:sz w:val="13"/>
        </w:rPr>
        <w:t>Northern</w:t>
      </w:r>
      <w:r>
        <w:rPr>
          <w:spacing w:val="4"/>
          <w:w w:val="105"/>
          <w:sz w:val="13"/>
        </w:rPr>
        <w:t> </w:t>
      </w:r>
      <w:r>
        <w:rPr>
          <w:w w:val="105"/>
          <w:sz w:val="13"/>
        </w:rPr>
        <w:t>Territory)</w:t>
      </w:r>
      <w:r>
        <w:rPr>
          <w:spacing w:val="3"/>
          <w:w w:val="105"/>
          <w:sz w:val="13"/>
        </w:rPr>
        <w:t> </w:t>
      </w:r>
      <w:r>
        <w:rPr>
          <w:w w:val="105"/>
          <w:sz w:val="13"/>
        </w:rPr>
        <w:t>was</w:t>
      </w:r>
      <w:r>
        <w:rPr>
          <w:spacing w:val="4"/>
          <w:w w:val="105"/>
          <w:sz w:val="13"/>
        </w:rPr>
        <w:t> </w:t>
      </w:r>
      <w:r>
        <w:rPr>
          <w:w w:val="105"/>
          <w:sz w:val="13"/>
        </w:rPr>
        <w:t>repealed</w:t>
      </w:r>
      <w:r>
        <w:rPr>
          <w:spacing w:val="4"/>
          <w:w w:val="105"/>
          <w:sz w:val="13"/>
        </w:rPr>
        <w:t> </w:t>
      </w:r>
      <w:r>
        <w:rPr>
          <w:w w:val="105"/>
          <w:sz w:val="13"/>
        </w:rPr>
        <w:t>by</w:t>
      </w:r>
      <w:r>
        <w:rPr>
          <w:spacing w:val="4"/>
          <w:w w:val="105"/>
          <w:sz w:val="13"/>
        </w:rPr>
        <w:t> </w:t>
      </w:r>
      <w:r>
        <w:rPr>
          <w:w w:val="105"/>
          <w:sz w:val="13"/>
        </w:rPr>
        <w:t>the</w:t>
      </w:r>
      <w:r>
        <w:rPr>
          <w:spacing w:val="3"/>
          <w:w w:val="105"/>
          <w:sz w:val="13"/>
        </w:rPr>
        <w:t> </w:t>
      </w:r>
      <w:r>
        <w:rPr>
          <w:i/>
          <w:w w:val="105"/>
          <w:sz w:val="13"/>
        </w:rPr>
        <w:t>Administration</w:t>
      </w:r>
      <w:r>
        <w:rPr>
          <w:i/>
          <w:spacing w:val="3"/>
          <w:w w:val="105"/>
          <w:sz w:val="13"/>
        </w:rPr>
        <w:t> </w:t>
      </w:r>
      <w:r>
        <w:rPr>
          <w:i/>
          <w:w w:val="105"/>
          <w:sz w:val="13"/>
        </w:rPr>
        <w:t>and</w:t>
      </w:r>
      <w:r>
        <w:rPr>
          <w:i/>
          <w:spacing w:val="3"/>
          <w:w w:val="105"/>
          <w:sz w:val="13"/>
        </w:rPr>
        <w:t> </w:t>
      </w:r>
      <w:r>
        <w:rPr>
          <w:i/>
          <w:w w:val="105"/>
          <w:sz w:val="13"/>
        </w:rPr>
        <w:t>Probate</w:t>
      </w:r>
      <w:r>
        <w:rPr>
          <w:i/>
          <w:spacing w:val="3"/>
          <w:w w:val="105"/>
          <w:sz w:val="13"/>
        </w:rPr>
        <w:t> </w:t>
      </w:r>
      <w:r>
        <w:rPr>
          <w:i/>
          <w:w w:val="105"/>
          <w:sz w:val="13"/>
        </w:rPr>
        <w:t>Ordinance</w:t>
      </w:r>
      <w:r>
        <w:rPr>
          <w:i/>
          <w:spacing w:val="3"/>
          <w:w w:val="105"/>
          <w:sz w:val="13"/>
        </w:rPr>
        <w:t> </w:t>
      </w:r>
      <w:r>
        <w:rPr>
          <w:i/>
          <w:w w:val="105"/>
          <w:sz w:val="13"/>
        </w:rPr>
        <w:t>1969</w:t>
      </w:r>
      <w:r>
        <w:rPr>
          <w:i/>
          <w:spacing w:val="2"/>
          <w:w w:val="105"/>
          <w:sz w:val="13"/>
        </w:rPr>
        <w:t> </w:t>
      </w:r>
      <w:r>
        <w:rPr>
          <w:spacing w:val="4"/>
          <w:w w:val="105"/>
          <w:sz w:val="13"/>
        </w:rPr>
        <w:t>(NT)</w:t>
      </w:r>
      <w:r>
        <w:rPr>
          <w:i/>
          <w:spacing w:val="4"/>
          <w:w w:val="105"/>
          <w:sz w:val="13"/>
        </w:rPr>
        <w:t>.</w:t>
      </w:r>
    </w:p>
    <w:p>
      <w:pPr>
        <w:pStyle w:val="ListParagraph"/>
        <w:numPr>
          <w:ilvl w:val="0"/>
          <w:numId w:val="136"/>
        </w:numPr>
        <w:tabs>
          <w:tab w:pos="2381" w:val="left" w:leader="none"/>
          <w:tab w:pos="2382" w:val="left" w:leader="none"/>
        </w:tabs>
        <w:spacing w:line="240" w:lineRule="auto" w:before="3" w:after="0"/>
        <w:ind w:left="2381" w:right="0" w:hanging="794"/>
        <w:jc w:val="left"/>
        <w:rPr>
          <w:sz w:val="13"/>
        </w:rPr>
      </w:pPr>
      <w:r>
        <w:rPr>
          <w:w w:val="105"/>
          <w:sz w:val="13"/>
        </w:rPr>
        <w:t>National</w:t>
      </w:r>
      <w:r>
        <w:rPr>
          <w:spacing w:val="5"/>
          <w:w w:val="105"/>
          <w:sz w:val="13"/>
        </w:rPr>
        <w:t> </w:t>
      </w:r>
      <w:r>
        <w:rPr>
          <w:w w:val="105"/>
          <w:sz w:val="13"/>
        </w:rPr>
        <w:t>Committee</w:t>
      </w:r>
      <w:r>
        <w:rPr>
          <w:spacing w:val="5"/>
          <w:w w:val="105"/>
          <w:sz w:val="13"/>
        </w:rPr>
        <w:t> </w:t>
      </w:r>
      <w:r>
        <w:rPr>
          <w:w w:val="105"/>
          <w:sz w:val="13"/>
        </w:rPr>
        <w:t>for</w:t>
      </w:r>
      <w:r>
        <w:rPr>
          <w:spacing w:val="5"/>
          <w:w w:val="105"/>
          <w:sz w:val="13"/>
        </w:rPr>
        <w:t> </w:t>
      </w:r>
      <w:r>
        <w:rPr>
          <w:w w:val="105"/>
          <w:sz w:val="13"/>
        </w:rPr>
        <w:t>Uniform</w:t>
      </w:r>
      <w:r>
        <w:rPr>
          <w:spacing w:val="6"/>
          <w:w w:val="105"/>
          <w:sz w:val="13"/>
        </w:rPr>
        <w:t> </w:t>
      </w:r>
      <w:r>
        <w:rPr>
          <w:w w:val="105"/>
          <w:sz w:val="13"/>
        </w:rPr>
        <w:t>Succession</w:t>
      </w:r>
      <w:r>
        <w:rPr>
          <w:spacing w:val="5"/>
          <w:w w:val="105"/>
          <w:sz w:val="13"/>
        </w:rPr>
        <w:t> </w:t>
      </w:r>
      <w:r>
        <w:rPr>
          <w:w w:val="105"/>
          <w:sz w:val="13"/>
        </w:rPr>
        <w:t>Laws,</w:t>
      </w:r>
      <w:r>
        <w:rPr>
          <w:spacing w:val="5"/>
          <w:w w:val="105"/>
          <w:sz w:val="13"/>
        </w:rPr>
        <w:t> </w:t>
      </w:r>
      <w:r>
        <w:rPr>
          <w:i/>
          <w:w w:val="105"/>
          <w:sz w:val="13"/>
        </w:rPr>
        <w:t>Administration</w:t>
      </w:r>
      <w:r>
        <w:rPr>
          <w:i/>
          <w:spacing w:val="4"/>
          <w:w w:val="105"/>
          <w:sz w:val="13"/>
        </w:rPr>
        <w:t> </w:t>
      </w:r>
      <w:r>
        <w:rPr>
          <w:i/>
          <w:w w:val="105"/>
          <w:sz w:val="13"/>
        </w:rPr>
        <w:t>of</w:t>
      </w:r>
      <w:r>
        <w:rPr>
          <w:i/>
          <w:spacing w:val="5"/>
          <w:w w:val="105"/>
          <w:sz w:val="13"/>
        </w:rPr>
        <w:t> </w:t>
      </w:r>
      <w:r>
        <w:rPr>
          <w:i/>
          <w:w w:val="105"/>
          <w:sz w:val="13"/>
        </w:rPr>
        <w:t>Estates:</w:t>
      </w:r>
      <w:r>
        <w:rPr>
          <w:i/>
          <w:spacing w:val="4"/>
          <w:w w:val="105"/>
          <w:sz w:val="13"/>
        </w:rPr>
        <w:t> </w:t>
      </w:r>
      <w:r>
        <w:rPr>
          <w:i/>
          <w:w w:val="105"/>
          <w:sz w:val="13"/>
        </w:rPr>
        <w:t>Volume</w:t>
      </w:r>
      <w:r>
        <w:rPr>
          <w:i/>
          <w:spacing w:val="4"/>
          <w:w w:val="105"/>
          <w:sz w:val="13"/>
        </w:rPr>
        <w:t> </w:t>
      </w:r>
      <w:r>
        <w:rPr>
          <w:i/>
          <w:spacing w:val="-3"/>
          <w:w w:val="105"/>
          <w:sz w:val="13"/>
        </w:rPr>
        <w:t>2</w:t>
      </w:r>
      <w:r>
        <w:rPr>
          <w:spacing w:val="-3"/>
          <w:w w:val="105"/>
          <w:sz w:val="13"/>
        </w:rPr>
        <w:t>,</w:t>
      </w:r>
      <w:r>
        <w:rPr>
          <w:spacing w:val="6"/>
          <w:w w:val="105"/>
          <w:sz w:val="13"/>
        </w:rPr>
        <w:t> </w:t>
      </w:r>
      <w:r>
        <w:rPr>
          <w:w w:val="105"/>
          <w:sz w:val="13"/>
        </w:rPr>
        <w:t>above</w:t>
      </w:r>
      <w:r>
        <w:rPr>
          <w:spacing w:val="5"/>
          <w:w w:val="105"/>
          <w:sz w:val="13"/>
        </w:rPr>
        <w:t> </w:t>
      </w:r>
      <w:r>
        <w:rPr>
          <w:w w:val="105"/>
          <w:sz w:val="13"/>
        </w:rPr>
        <w:t>n</w:t>
      </w:r>
      <w:r>
        <w:rPr>
          <w:spacing w:val="5"/>
          <w:w w:val="105"/>
          <w:sz w:val="13"/>
        </w:rPr>
        <w:t> </w:t>
      </w:r>
      <w:r>
        <w:rPr>
          <w:w w:val="105"/>
          <w:sz w:val="13"/>
        </w:rPr>
        <w:t>14,</w:t>
      </w:r>
      <w:r>
        <w:rPr>
          <w:spacing w:val="5"/>
          <w:w w:val="105"/>
          <w:sz w:val="13"/>
        </w:rPr>
        <w:t> </w:t>
      </w:r>
      <w:r>
        <w:rPr>
          <w:spacing w:val="-3"/>
          <w:w w:val="105"/>
          <w:sz w:val="13"/>
        </w:rPr>
        <w:t>132.</w:t>
      </w:r>
    </w:p>
    <w:p>
      <w:pPr>
        <w:pStyle w:val="ListParagraph"/>
        <w:numPr>
          <w:ilvl w:val="0"/>
          <w:numId w:val="136"/>
        </w:numPr>
        <w:tabs>
          <w:tab w:pos="2381" w:val="left" w:leader="none"/>
          <w:tab w:pos="2382" w:val="left" w:leader="none"/>
        </w:tabs>
        <w:spacing w:line="240" w:lineRule="auto" w:before="1" w:after="0"/>
        <w:ind w:left="2381" w:right="0" w:hanging="794"/>
        <w:jc w:val="left"/>
        <w:rPr>
          <w:sz w:val="13"/>
        </w:rPr>
      </w:pPr>
      <w:r>
        <w:rPr>
          <w:w w:val="105"/>
          <w:sz w:val="13"/>
        </w:rPr>
        <w:t>See</w:t>
      </w:r>
      <w:r>
        <w:rPr>
          <w:spacing w:val="4"/>
          <w:w w:val="105"/>
          <w:sz w:val="13"/>
        </w:rPr>
        <w:t> </w:t>
      </w:r>
      <w:r>
        <w:rPr>
          <w:w w:val="105"/>
          <w:sz w:val="13"/>
        </w:rPr>
        <w:t>discussion</w:t>
      </w:r>
      <w:r>
        <w:rPr>
          <w:spacing w:val="5"/>
          <w:w w:val="105"/>
          <w:sz w:val="13"/>
        </w:rPr>
        <w:t> </w:t>
      </w:r>
      <w:r>
        <w:rPr>
          <w:w w:val="105"/>
          <w:sz w:val="13"/>
        </w:rPr>
        <w:t>in</w:t>
      </w:r>
      <w:r>
        <w:rPr>
          <w:spacing w:val="5"/>
          <w:w w:val="105"/>
          <w:sz w:val="13"/>
        </w:rPr>
        <w:t> </w:t>
      </w:r>
      <w:r>
        <w:rPr>
          <w:w w:val="105"/>
          <w:sz w:val="13"/>
        </w:rPr>
        <w:t>Victorian</w:t>
      </w:r>
      <w:r>
        <w:rPr>
          <w:spacing w:val="5"/>
          <w:w w:val="105"/>
          <w:sz w:val="13"/>
        </w:rPr>
        <w:t> </w:t>
      </w:r>
      <w:r>
        <w:rPr>
          <w:w w:val="105"/>
          <w:sz w:val="13"/>
        </w:rPr>
        <w:t>Law</w:t>
      </w:r>
      <w:r>
        <w:rPr>
          <w:spacing w:val="5"/>
          <w:w w:val="105"/>
          <w:sz w:val="13"/>
        </w:rPr>
        <w:t> </w:t>
      </w:r>
      <w:r>
        <w:rPr>
          <w:w w:val="105"/>
          <w:sz w:val="13"/>
        </w:rPr>
        <w:t>Reform</w:t>
      </w:r>
      <w:r>
        <w:rPr>
          <w:spacing w:val="5"/>
          <w:w w:val="105"/>
          <w:sz w:val="13"/>
        </w:rPr>
        <w:t> </w:t>
      </w:r>
      <w:r>
        <w:rPr>
          <w:w w:val="105"/>
          <w:sz w:val="13"/>
        </w:rPr>
        <w:t>Commission,</w:t>
      </w:r>
      <w:r>
        <w:rPr>
          <w:spacing w:val="5"/>
          <w:w w:val="105"/>
          <w:sz w:val="13"/>
        </w:rPr>
        <w:t> </w:t>
      </w:r>
      <w:r>
        <w:rPr>
          <w:w w:val="105"/>
          <w:sz w:val="13"/>
        </w:rPr>
        <w:t>above</w:t>
      </w:r>
      <w:r>
        <w:rPr>
          <w:spacing w:val="5"/>
          <w:w w:val="105"/>
          <w:sz w:val="13"/>
        </w:rPr>
        <w:t> </w:t>
      </w:r>
      <w:r>
        <w:rPr>
          <w:w w:val="105"/>
          <w:sz w:val="13"/>
        </w:rPr>
        <w:t>n</w:t>
      </w:r>
      <w:r>
        <w:rPr>
          <w:spacing w:val="5"/>
          <w:w w:val="105"/>
          <w:sz w:val="13"/>
        </w:rPr>
        <w:t> </w:t>
      </w:r>
      <w:r>
        <w:rPr>
          <w:w w:val="105"/>
          <w:sz w:val="13"/>
        </w:rPr>
        <w:t>2,</w:t>
      </w:r>
      <w:r>
        <w:rPr>
          <w:spacing w:val="5"/>
          <w:w w:val="105"/>
          <w:sz w:val="13"/>
        </w:rPr>
        <w:t> </w:t>
      </w:r>
      <w:r>
        <w:rPr>
          <w:w w:val="105"/>
          <w:sz w:val="13"/>
        </w:rPr>
        <w:t>30.</w:t>
      </w:r>
    </w:p>
    <w:p>
      <w:pPr>
        <w:pStyle w:val="ListParagraph"/>
        <w:numPr>
          <w:ilvl w:val="0"/>
          <w:numId w:val="136"/>
        </w:numPr>
        <w:tabs>
          <w:tab w:pos="2381" w:val="left" w:leader="none"/>
          <w:tab w:pos="2382" w:val="left" w:leader="none"/>
        </w:tabs>
        <w:spacing w:line="240" w:lineRule="auto" w:before="2" w:after="0"/>
        <w:ind w:left="2381" w:right="0" w:hanging="794"/>
        <w:jc w:val="left"/>
        <w:rPr>
          <w:sz w:val="13"/>
        </w:rPr>
      </w:pPr>
      <w:r>
        <w:rPr>
          <w:w w:val="105"/>
          <w:sz w:val="13"/>
        </w:rPr>
        <w:t>Submissions</w:t>
      </w:r>
      <w:r>
        <w:rPr>
          <w:spacing w:val="4"/>
          <w:w w:val="105"/>
          <w:sz w:val="13"/>
        </w:rPr>
        <w:t> </w:t>
      </w:r>
      <w:r>
        <w:rPr>
          <w:spacing w:val="-3"/>
          <w:w w:val="105"/>
          <w:sz w:val="13"/>
        </w:rPr>
        <w:t>19</w:t>
      </w:r>
      <w:r>
        <w:rPr>
          <w:spacing w:val="5"/>
          <w:w w:val="105"/>
          <w:sz w:val="13"/>
        </w:rPr>
        <w:t> </w:t>
      </w:r>
      <w:r>
        <w:rPr>
          <w:spacing w:val="2"/>
          <w:w w:val="105"/>
          <w:sz w:val="13"/>
        </w:rPr>
        <w:t>(Association</w:t>
      </w:r>
      <w:r>
        <w:rPr>
          <w:spacing w:val="5"/>
          <w:w w:val="105"/>
          <w:sz w:val="13"/>
        </w:rPr>
        <w:t> </w:t>
      </w:r>
      <w:r>
        <w:rPr>
          <w:w w:val="105"/>
          <w:sz w:val="13"/>
        </w:rPr>
        <w:t>of</w:t>
      </w:r>
      <w:r>
        <w:rPr>
          <w:spacing w:val="5"/>
          <w:w w:val="105"/>
          <w:sz w:val="13"/>
        </w:rPr>
        <w:t> </w:t>
      </w:r>
      <w:r>
        <w:rPr>
          <w:w w:val="105"/>
          <w:sz w:val="13"/>
        </w:rPr>
        <w:t>Independent</w:t>
      </w:r>
      <w:r>
        <w:rPr>
          <w:spacing w:val="5"/>
          <w:w w:val="105"/>
          <w:sz w:val="13"/>
        </w:rPr>
        <w:t> </w:t>
      </w:r>
      <w:r>
        <w:rPr>
          <w:w w:val="105"/>
          <w:sz w:val="13"/>
        </w:rPr>
        <w:t>Retirees);</w:t>
      </w:r>
      <w:r>
        <w:rPr>
          <w:spacing w:val="4"/>
          <w:w w:val="105"/>
          <w:sz w:val="13"/>
        </w:rPr>
        <w:t> </w:t>
      </w:r>
      <w:r>
        <w:rPr>
          <w:w w:val="105"/>
          <w:sz w:val="13"/>
        </w:rPr>
        <w:t>33</w:t>
      </w:r>
      <w:r>
        <w:rPr>
          <w:spacing w:val="5"/>
          <w:w w:val="105"/>
          <w:sz w:val="13"/>
        </w:rPr>
        <w:t> </w:t>
      </w:r>
      <w:r>
        <w:rPr>
          <w:w w:val="105"/>
          <w:sz w:val="13"/>
        </w:rPr>
        <w:t>(State</w:t>
      </w:r>
      <w:r>
        <w:rPr>
          <w:spacing w:val="5"/>
          <w:w w:val="105"/>
          <w:sz w:val="13"/>
        </w:rPr>
        <w:t> </w:t>
      </w:r>
      <w:r>
        <w:rPr>
          <w:w w:val="105"/>
          <w:sz w:val="13"/>
        </w:rPr>
        <w:t>Trustees</w:t>
      </w:r>
      <w:r>
        <w:rPr>
          <w:spacing w:val="5"/>
          <w:w w:val="105"/>
          <w:sz w:val="13"/>
        </w:rPr>
        <w:t> </w:t>
      </w:r>
      <w:r>
        <w:rPr>
          <w:w w:val="105"/>
          <w:sz w:val="13"/>
        </w:rPr>
        <w:t>Limited),</w:t>
      </w:r>
      <w:r>
        <w:rPr>
          <w:spacing w:val="5"/>
          <w:w w:val="105"/>
          <w:sz w:val="13"/>
        </w:rPr>
        <w:t> </w:t>
      </w:r>
      <w:r>
        <w:rPr>
          <w:w w:val="105"/>
          <w:sz w:val="13"/>
        </w:rPr>
        <w:t>36</w:t>
      </w:r>
      <w:r>
        <w:rPr>
          <w:spacing w:val="4"/>
          <w:w w:val="105"/>
          <w:sz w:val="13"/>
        </w:rPr>
        <w:t> </w:t>
      </w:r>
      <w:r>
        <w:rPr>
          <w:spacing w:val="3"/>
          <w:w w:val="105"/>
          <w:sz w:val="13"/>
        </w:rPr>
        <w:t>(Law</w:t>
      </w:r>
      <w:r>
        <w:rPr>
          <w:spacing w:val="5"/>
          <w:w w:val="105"/>
          <w:sz w:val="13"/>
        </w:rPr>
        <w:t> </w:t>
      </w:r>
      <w:r>
        <w:rPr>
          <w:w w:val="105"/>
          <w:sz w:val="13"/>
        </w:rPr>
        <w:t>Society</w:t>
      </w:r>
      <w:r>
        <w:rPr>
          <w:spacing w:val="5"/>
          <w:w w:val="105"/>
          <w:sz w:val="13"/>
        </w:rPr>
        <w:t> </w:t>
      </w:r>
      <w:r>
        <w:rPr>
          <w:w w:val="105"/>
          <w:sz w:val="13"/>
        </w:rPr>
        <w:t>of</w:t>
      </w:r>
      <w:r>
        <w:rPr>
          <w:spacing w:val="5"/>
          <w:w w:val="105"/>
          <w:sz w:val="13"/>
        </w:rPr>
        <w:t> </w:t>
      </w:r>
      <w:r>
        <w:rPr>
          <w:w w:val="105"/>
          <w:sz w:val="13"/>
        </w:rPr>
        <w:t>New</w:t>
      </w:r>
      <w:r>
        <w:rPr>
          <w:spacing w:val="5"/>
          <w:w w:val="105"/>
          <w:sz w:val="13"/>
        </w:rPr>
        <w:t> </w:t>
      </w:r>
      <w:r>
        <w:rPr>
          <w:w w:val="105"/>
          <w:sz w:val="13"/>
        </w:rPr>
        <w:t>South</w:t>
      </w:r>
      <w:r>
        <w:rPr>
          <w:spacing w:val="4"/>
          <w:w w:val="105"/>
          <w:sz w:val="13"/>
        </w:rPr>
        <w:t> </w:t>
      </w:r>
      <w:r>
        <w:rPr>
          <w:w w:val="105"/>
          <w:sz w:val="13"/>
        </w:rPr>
        <w:t>Wales).</w:t>
      </w:r>
    </w:p>
    <w:p>
      <w:pPr>
        <w:pStyle w:val="ListParagraph"/>
        <w:numPr>
          <w:ilvl w:val="0"/>
          <w:numId w:val="136"/>
        </w:numPr>
        <w:tabs>
          <w:tab w:pos="2381" w:val="left" w:leader="none"/>
          <w:tab w:pos="2382" w:val="left" w:leader="none"/>
        </w:tabs>
        <w:spacing w:line="240" w:lineRule="auto" w:before="1" w:after="0"/>
        <w:ind w:left="2381" w:right="0" w:hanging="794"/>
        <w:jc w:val="left"/>
        <w:rPr>
          <w:sz w:val="13"/>
        </w:rPr>
      </w:pPr>
      <w:r>
        <w:rPr>
          <w:w w:val="105"/>
          <w:sz w:val="13"/>
        </w:rPr>
        <w:t>Submission 33 (State Trustees</w:t>
      </w:r>
      <w:r>
        <w:rPr>
          <w:spacing w:val="18"/>
          <w:w w:val="105"/>
          <w:sz w:val="13"/>
        </w:rPr>
        <w:t> </w:t>
      </w:r>
      <w:r>
        <w:rPr>
          <w:w w:val="105"/>
          <w:sz w:val="13"/>
        </w:rPr>
        <w:t>Limited).</w:t>
      </w:r>
    </w:p>
    <w:p>
      <w:pPr>
        <w:pStyle w:val="ListParagraph"/>
        <w:numPr>
          <w:ilvl w:val="0"/>
          <w:numId w:val="136"/>
        </w:numPr>
        <w:tabs>
          <w:tab w:pos="2381" w:val="left" w:leader="none"/>
          <w:tab w:pos="2382" w:val="left" w:leader="none"/>
        </w:tabs>
        <w:spacing w:line="240" w:lineRule="auto" w:before="1" w:after="0"/>
        <w:ind w:left="2381" w:right="0" w:hanging="794"/>
        <w:jc w:val="left"/>
        <w:rPr>
          <w:sz w:val="13"/>
        </w:rPr>
      </w:pPr>
      <w:r>
        <w:rPr>
          <w:w w:val="105"/>
          <w:sz w:val="13"/>
        </w:rPr>
        <w:t>Submission 36 </w:t>
      </w:r>
      <w:r>
        <w:rPr>
          <w:spacing w:val="3"/>
          <w:w w:val="105"/>
          <w:sz w:val="13"/>
        </w:rPr>
        <w:t>(Law </w:t>
      </w:r>
      <w:r>
        <w:rPr>
          <w:w w:val="105"/>
          <w:sz w:val="13"/>
        </w:rPr>
        <w:t>Society of New South</w:t>
      </w:r>
      <w:r>
        <w:rPr>
          <w:spacing w:val="30"/>
          <w:w w:val="105"/>
          <w:sz w:val="13"/>
        </w:rPr>
        <w:t> </w:t>
      </w:r>
      <w:r>
        <w:rPr>
          <w:w w:val="105"/>
          <w:sz w:val="13"/>
        </w:rPr>
        <w:t>Wales).</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spacing w:before="176"/>
        <w:ind w:left="1184" w:right="0" w:firstLine="0"/>
        <w:jc w:val="left"/>
        <w:rPr>
          <w:b/>
          <w:sz w:val="24"/>
        </w:rPr>
      </w:pPr>
      <w:r>
        <w:rPr>
          <w:b/>
          <w:color w:val="EC5A4F"/>
          <w:w w:val="110"/>
          <w:sz w:val="24"/>
        </w:rPr>
        <w:t>181</w:t>
      </w:r>
    </w:p>
    <w:p>
      <w:pPr>
        <w:spacing w:after="0"/>
        <w:jc w:val="left"/>
        <w:rPr>
          <w:sz w:val="24"/>
        </w:rPr>
        <w:sectPr>
          <w:type w:val="continuous"/>
          <w:pgSz w:w="11910" w:h="16840"/>
          <w:pgMar w:top="920" w:bottom="280" w:left="0" w:right="0"/>
          <w:cols w:num="2" w:equalWidth="0">
            <w:col w:w="9693" w:space="40"/>
            <w:col w:w="2177"/>
          </w:cols>
        </w:sectPr>
      </w:pPr>
    </w:p>
    <w:p>
      <w:pPr>
        <w:pStyle w:val="BodyText"/>
        <w:spacing w:before="9"/>
        <w:rPr>
          <w:b/>
          <w:sz w:val="22"/>
        </w:rPr>
      </w:pPr>
    </w:p>
    <w:p>
      <w:pPr>
        <w:pStyle w:val="Heading6"/>
        <w:spacing w:before="100"/>
      </w:pPr>
      <w:r>
        <w:rPr>
          <w:w w:val="120"/>
        </w:rPr>
        <w:t>Proposed change to location of contrary intention</w:t>
      </w:r>
    </w:p>
    <w:p>
      <w:pPr>
        <w:pStyle w:val="ListParagraph"/>
        <w:numPr>
          <w:ilvl w:val="1"/>
          <w:numId w:val="22"/>
        </w:numPr>
        <w:tabs>
          <w:tab w:pos="2381" w:val="left" w:leader="none"/>
          <w:tab w:pos="2382" w:val="left" w:leader="none"/>
        </w:tabs>
        <w:spacing w:line="242" w:lineRule="auto" w:before="151" w:after="0"/>
        <w:ind w:left="2381" w:right="1955" w:hanging="794"/>
        <w:jc w:val="left"/>
        <w:rPr>
          <w:sz w:val="12"/>
        </w:rPr>
      </w:pPr>
      <w:r>
        <w:rPr>
          <w:w w:val="105"/>
          <w:sz w:val="21"/>
        </w:rPr>
        <w:t>The </w:t>
      </w:r>
      <w:r>
        <w:rPr>
          <w:spacing w:val="-3"/>
          <w:w w:val="105"/>
          <w:sz w:val="21"/>
        </w:rPr>
        <w:t>Commission </w:t>
      </w:r>
      <w:r>
        <w:rPr>
          <w:w w:val="105"/>
          <w:sz w:val="21"/>
        </w:rPr>
        <w:t>is of the view </w:t>
      </w:r>
      <w:r>
        <w:rPr>
          <w:spacing w:val="-3"/>
          <w:w w:val="105"/>
          <w:sz w:val="21"/>
        </w:rPr>
        <w:t>that </w:t>
      </w:r>
      <w:r>
        <w:rPr>
          <w:w w:val="105"/>
          <w:sz w:val="21"/>
        </w:rPr>
        <w:t>contrary </w:t>
      </w:r>
      <w:r>
        <w:rPr>
          <w:spacing w:val="-3"/>
          <w:w w:val="105"/>
          <w:sz w:val="21"/>
        </w:rPr>
        <w:t>intention </w:t>
      </w:r>
      <w:r>
        <w:rPr>
          <w:w w:val="105"/>
          <w:sz w:val="21"/>
        </w:rPr>
        <w:t>in this context should only be </w:t>
      </w:r>
      <w:r>
        <w:rPr>
          <w:spacing w:val="-3"/>
          <w:w w:val="105"/>
          <w:sz w:val="21"/>
        </w:rPr>
        <w:t>manifested </w:t>
      </w:r>
      <w:r>
        <w:rPr>
          <w:w w:val="105"/>
          <w:sz w:val="21"/>
        </w:rPr>
        <w:t>by </w:t>
      </w:r>
      <w:r>
        <w:rPr>
          <w:spacing w:val="-3"/>
          <w:w w:val="105"/>
          <w:sz w:val="21"/>
        </w:rPr>
        <w:t>will. </w:t>
      </w:r>
      <w:r>
        <w:rPr>
          <w:w w:val="105"/>
          <w:sz w:val="21"/>
        </w:rPr>
        <w:t>This </w:t>
      </w:r>
      <w:r>
        <w:rPr>
          <w:spacing w:val="-3"/>
          <w:w w:val="105"/>
          <w:sz w:val="21"/>
        </w:rPr>
        <w:t>aligns </w:t>
      </w:r>
      <w:r>
        <w:rPr>
          <w:w w:val="105"/>
          <w:sz w:val="21"/>
        </w:rPr>
        <w:t>with the </w:t>
      </w:r>
      <w:r>
        <w:rPr>
          <w:spacing w:val="-3"/>
          <w:w w:val="105"/>
          <w:sz w:val="21"/>
        </w:rPr>
        <w:t>National </w:t>
      </w:r>
      <w:r>
        <w:rPr>
          <w:spacing w:val="-4"/>
          <w:w w:val="105"/>
          <w:sz w:val="21"/>
        </w:rPr>
        <w:t>Committee’s </w:t>
      </w:r>
      <w:r>
        <w:rPr>
          <w:spacing w:val="-3"/>
          <w:w w:val="105"/>
          <w:sz w:val="21"/>
        </w:rPr>
        <w:t>recommendation </w:t>
      </w:r>
      <w:r>
        <w:rPr>
          <w:w w:val="105"/>
          <w:sz w:val="21"/>
        </w:rPr>
        <w:t>on this </w:t>
      </w:r>
      <w:r>
        <w:rPr>
          <w:spacing w:val="-3"/>
          <w:w w:val="105"/>
          <w:sz w:val="21"/>
        </w:rPr>
        <w:t>topic.</w:t>
      </w:r>
      <w:r>
        <w:rPr>
          <w:spacing w:val="-3"/>
          <w:w w:val="105"/>
          <w:position w:val="7"/>
          <w:sz w:val="12"/>
        </w:rPr>
        <w:t>45</w:t>
      </w:r>
    </w:p>
    <w:p>
      <w:pPr>
        <w:pStyle w:val="ListParagraph"/>
        <w:numPr>
          <w:ilvl w:val="1"/>
          <w:numId w:val="22"/>
        </w:numPr>
        <w:tabs>
          <w:tab w:pos="2380" w:val="left" w:leader="none"/>
          <w:tab w:pos="2382" w:val="left" w:leader="none"/>
        </w:tabs>
        <w:spacing w:line="242" w:lineRule="auto" w:before="123" w:after="0"/>
        <w:ind w:left="2381" w:right="1845" w:hanging="794"/>
        <w:jc w:val="left"/>
        <w:rPr>
          <w:sz w:val="21"/>
        </w:rPr>
      </w:pPr>
      <w:r>
        <w:rPr>
          <w:spacing w:val="-3"/>
          <w:w w:val="105"/>
          <w:sz w:val="21"/>
        </w:rPr>
        <w:t>Allowing </w:t>
      </w:r>
      <w:r>
        <w:rPr>
          <w:w w:val="105"/>
          <w:sz w:val="21"/>
        </w:rPr>
        <w:t>contrary </w:t>
      </w:r>
      <w:r>
        <w:rPr>
          <w:spacing w:val="-3"/>
          <w:w w:val="105"/>
          <w:sz w:val="21"/>
        </w:rPr>
        <w:t>intention to </w:t>
      </w:r>
      <w:r>
        <w:rPr>
          <w:w w:val="105"/>
          <w:sz w:val="21"/>
        </w:rPr>
        <w:t>be </w:t>
      </w:r>
      <w:r>
        <w:rPr>
          <w:spacing w:val="-3"/>
          <w:w w:val="105"/>
          <w:sz w:val="21"/>
        </w:rPr>
        <w:t>found </w:t>
      </w:r>
      <w:r>
        <w:rPr>
          <w:w w:val="105"/>
          <w:sz w:val="21"/>
        </w:rPr>
        <w:t>outside a </w:t>
      </w:r>
      <w:r>
        <w:rPr>
          <w:spacing w:val="-3"/>
          <w:w w:val="105"/>
          <w:sz w:val="21"/>
        </w:rPr>
        <w:t>will may </w:t>
      </w:r>
      <w:r>
        <w:rPr>
          <w:w w:val="105"/>
          <w:sz w:val="21"/>
        </w:rPr>
        <w:t>present </w:t>
      </w:r>
      <w:r>
        <w:rPr>
          <w:spacing w:val="-2"/>
          <w:w w:val="105"/>
          <w:sz w:val="21"/>
        </w:rPr>
        <w:t>problems </w:t>
      </w:r>
      <w:r>
        <w:rPr>
          <w:w w:val="105"/>
          <w:sz w:val="21"/>
        </w:rPr>
        <w:t>of </w:t>
      </w:r>
      <w:r>
        <w:rPr>
          <w:spacing w:val="-4"/>
          <w:w w:val="105"/>
          <w:sz w:val="21"/>
        </w:rPr>
        <w:t>proof, </w:t>
      </w:r>
      <w:r>
        <w:rPr>
          <w:w w:val="105"/>
          <w:sz w:val="21"/>
        </w:rPr>
        <w:t>and </w:t>
      </w:r>
      <w:r>
        <w:rPr>
          <w:spacing w:val="-3"/>
          <w:w w:val="105"/>
          <w:sz w:val="21"/>
        </w:rPr>
        <w:t>potentially </w:t>
      </w:r>
      <w:r>
        <w:rPr>
          <w:w w:val="105"/>
          <w:sz w:val="21"/>
        </w:rPr>
        <w:t>of </w:t>
      </w:r>
      <w:r>
        <w:rPr>
          <w:spacing w:val="-3"/>
          <w:w w:val="105"/>
          <w:sz w:val="21"/>
        </w:rPr>
        <w:t>fraud. </w:t>
      </w:r>
      <w:r>
        <w:rPr>
          <w:w w:val="105"/>
          <w:sz w:val="21"/>
        </w:rPr>
        <w:t>The </w:t>
      </w:r>
      <w:r>
        <w:rPr>
          <w:spacing w:val="-3"/>
          <w:w w:val="105"/>
          <w:sz w:val="21"/>
        </w:rPr>
        <w:t>National Committee </w:t>
      </w:r>
      <w:r>
        <w:rPr>
          <w:w w:val="105"/>
          <w:sz w:val="21"/>
        </w:rPr>
        <w:t>report </w:t>
      </w:r>
      <w:r>
        <w:rPr>
          <w:spacing w:val="-3"/>
          <w:w w:val="105"/>
          <w:sz w:val="21"/>
        </w:rPr>
        <w:t>cited </w:t>
      </w:r>
      <w:r>
        <w:rPr>
          <w:w w:val="105"/>
          <w:sz w:val="21"/>
        </w:rPr>
        <w:t>the </w:t>
      </w:r>
      <w:r>
        <w:rPr>
          <w:spacing w:val="-3"/>
          <w:w w:val="105"/>
          <w:sz w:val="21"/>
        </w:rPr>
        <w:t>reasoning </w:t>
      </w:r>
      <w:r>
        <w:rPr>
          <w:w w:val="105"/>
          <w:sz w:val="21"/>
        </w:rPr>
        <w:t>of the Law </w:t>
      </w:r>
      <w:r>
        <w:rPr>
          <w:spacing w:val="-3"/>
          <w:w w:val="105"/>
          <w:sz w:val="21"/>
        </w:rPr>
        <w:t>Reform Commission </w:t>
      </w:r>
      <w:r>
        <w:rPr>
          <w:w w:val="105"/>
          <w:sz w:val="21"/>
        </w:rPr>
        <w:t>of Western</w:t>
      </w:r>
      <w:r>
        <w:rPr>
          <w:spacing w:val="24"/>
          <w:w w:val="105"/>
          <w:sz w:val="21"/>
        </w:rPr>
        <w:t> </w:t>
      </w:r>
      <w:r>
        <w:rPr>
          <w:w w:val="105"/>
          <w:sz w:val="21"/>
        </w:rPr>
        <w:t>Australia:</w:t>
      </w:r>
    </w:p>
    <w:p>
      <w:pPr>
        <w:spacing w:line="254" w:lineRule="auto" w:before="133"/>
        <w:ind w:left="2721" w:right="1826" w:firstLine="0"/>
        <w:jc w:val="left"/>
        <w:rPr>
          <w:sz w:val="11"/>
        </w:rPr>
      </w:pPr>
      <w:r>
        <w:rPr>
          <w:sz w:val="20"/>
        </w:rPr>
        <w:t>There seems to be no good reason why such an expression of what is essentially a testamentary intention should remain outside the normal rules relating to the form in which testamentary wishes must be expressed.</w:t>
      </w:r>
      <w:r>
        <w:rPr>
          <w:position w:val="7"/>
          <w:sz w:val="11"/>
        </w:rPr>
        <w:t>46</w:t>
      </w:r>
    </w:p>
    <w:p>
      <w:pPr>
        <w:pStyle w:val="ListParagraph"/>
        <w:numPr>
          <w:ilvl w:val="1"/>
          <w:numId w:val="22"/>
        </w:numPr>
        <w:tabs>
          <w:tab w:pos="2381" w:val="left" w:leader="none"/>
          <w:tab w:pos="2382" w:val="left" w:leader="none"/>
        </w:tabs>
        <w:spacing w:line="242" w:lineRule="auto" w:before="114" w:after="0"/>
        <w:ind w:left="2381" w:right="1588" w:hanging="794"/>
        <w:jc w:val="left"/>
        <w:rPr>
          <w:sz w:val="21"/>
        </w:rPr>
      </w:pPr>
      <w:r>
        <w:rPr>
          <w:w w:val="105"/>
          <w:sz w:val="21"/>
        </w:rPr>
        <w:t>This</w:t>
      </w:r>
      <w:r>
        <w:rPr>
          <w:spacing w:val="-14"/>
          <w:w w:val="105"/>
          <w:sz w:val="21"/>
        </w:rPr>
        <w:t> </w:t>
      </w:r>
      <w:r>
        <w:rPr>
          <w:spacing w:val="-3"/>
          <w:w w:val="105"/>
          <w:sz w:val="21"/>
        </w:rPr>
        <w:t>recommendation,</w:t>
      </w:r>
      <w:r>
        <w:rPr>
          <w:spacing w:val="-13"/>
          <w:w w:val="105"/>
          <w:sz w:val="21"/>
        </w:rPr>
        <w:t> </w:t>
      </w:r>
      <w:r>
        <w:rPr>
          <w:w w:val="105"/>
          <w:sz w:val="21"/>
        </w:rPr>
        <w:t>theoretically</w:t>
      </w:r>
      <w:r>
        <w:rPr>
          <w:spacing w:val="-13"/>
          <w:w w:val="105"/>
          <w:sz w:val="21"/>
        </w:rPr>
        <w:t> </w:t>
      </w:r>
      <w:r>
        <w:rPr>
          <w:spacing w:val="-3"/>
          <w:w w:val="105"/>
          <w:sz w:val="21"/>
        </w:rPr>
        <w:t>limiting</w:t>
      </w:r>
      <w:r>
        <w:rPr>
          <w:spacing w:val="-13"/>
          <w:w w:val="105"/>
          <w:sz w:val="21"/>
        </w:rPr>
        <w:t> </w:t>
      </w:r>
      <w:r>
        <w:rPr>
          <w:spacing w:val="-3"/>
          <w:w w:val="105"/>
          <w:sz w:val="21"/>
        </w:rPr>
        <w:t>sources</w:t>
      </w:r>
      <w:r>
        <w:rPr>
          <w:spacing w:val="-14"/>
          <w:w w:val="105"/>
          <w:sz w:val="21"/>
        </w:rPr>
        <w:t> </w:t>
      </w:r>
      <w:r>
        <w:rPr>
          <w:w w:val="105"/>
          <w:sz w:val="21"/>
        </w:rPr>
        <w:t>of</w:t>
      </w:r>
      <w:r>
        <w:rPr>
          <w:spacing w:val="-13"/>
          <w:w w:val="105"/>
          <w:sz w:val="21"/>
        </w:rPr>
        <w:t> </w:t>
      </w:r>
      <w:r>
        <w:rPr>
          <w:w w:val="105"/>
          <w:sz w:val="21"/>
        </w:rPr>
        <w:t>evidence</w:t>
      </w:r>
      <w:r>
        <w:rPr>
          <w:spacing w:val="-13"/>
          <w:w w:val="105"/>
          <w:sz w:val="21"/>
        </w:rPr>
        <w:t> </w:t>
      </w:r>
      <w:r>
        <w:rPr>
          <w:spacing w:val="-3"/>
          <w:w w:val="105"/>
          <w:sz w:val="21"/>
        </w:rPr>
        <w:t>for</w:t>
      </w:r>
      <w:r>
        <w:rPr>
          <w:spacing w:val="-13"/>
          <w:w w:val="105"/>
          <w:sz w:val="21"/>
        </w:rPr>
        <w:t> </w:t>
      </w:r>
      <w:r>
        <w:rPr>
          <w:w w:val="105"/>
          <w:sz w:val="21"/>
        </w:rPr>
        <w:t>contrary</w:t>
      </w:r>
      <w:r>
        <w:rPr>
          <w:spacing w:val="-13"/>
          <w:w w:val="105"/>
          <w:sz w:val="21"/>
        </w:rPr>
        <w:t> </w:t>
      </w:r>
      <w:r>
        <w:rPr>
          <w:spacing w:val="-3"/>
          <w:w w:val="105"/>
          <w:sz w:val="21"/>
        </w:rPr>
        <w:t>intention,</w:t>
      </w:r>
      <w:r>
        <w:rPr>
          <w:spacing w:val="-14"/>
          <w:w w:val="105"/>
          <w:sz w:val="21"/>
        </w:rPr>
        <w:t> </w:t>
      </w:r>
      <w:r>
        <w:rPr>
          <w:spacing w:val="-3"/>
          <w:w w:val="105"/>
          <w:sz w:val="21"/>
        </w:rPr>
        <w:t>was </w:t>
      </w:r>
      <w:r>
        <w:rPr>
          <w:w w:val="105"/>
          <w:sz w:val="21"/>
        </w:rPr>
        <w:t>made </w:t>
      </w:r>
      <w:r>
        <w:rPr>
          <w:spacing w:val="-3"/>
          <w:w w:val="105"/>
          <w:sz w:val="21"/>
        </w:rPr>
        <w:t>having regard to </w:t>
      </w:r>
      <w:r>
        <w:rPr>
          <w:w w:val="105"/>
          <w:sz w:val="21"/>
        </w:rPr>
        <w:t>the </w:t>
      </w:r>
      <w:r>
        <w:rPr>
          <w:spacing w:val="-3"/>
          <w:w w:val="105"/>
          <w:sz w:val="21"/>
        </w:rPr>
        <w:t>earlier recommendation </w:t>
      </w:r>
      <w:r>
        <w:rPr>
          <w:w w:val="105"/>
          <w:sz w:val="21"/>
        </w:rPr>
        <w:t>of the </w:t>
      </w:r>
      <w:r>
        <w:rPr>
          <w:spacing w:val="-3"/>
          <w:w w:val="105"/>
          <w:sz w:val="21"/>
        </w:rPr>
        <w:t>National Committee for</w:t>
      </w:r>
    </w:p>
    <w:p>
      <w:pPr>
        <w:pStyle w:val="BodyText"/>
        <w:spacing w:before="2"/>
        <w:ind w:left="2381"/>
        <w:rPr>
          <w:sz w:val="12"/>
        </w:rPr>
      </w:pPr>
      <w:r>
        <w:rPr>
          <w:w w:val="105"/>
        </w:rPr>
        <w:t>a general dispensing power and a broader interpretation provision for wills.</w:t>
      </w:r>
      <w:r>
        <w:rPr>
          <w:w w:val="105"/>
          <w:position w:val="7"/>
          <w:sz w:val="12"/>
        </w:rPr>
        <w:t>47</w:t>
      </w:r>
    </w:p>
    <w:p>
      <w:pPr>
        <w:pStyle w:val="ListParagraph"/>
        <w:numPr>
          <w:ilvl w:val="1"/>
          <w:numId w:val="22"/>
        </w:numPr>
        <w:tabs>
          <w:tab w:pos="2381" w:val="left" w:leader="none"/>
          <w:tab w:pos="2382" w:val="left" w:leader="none"/>
        </w:tabs>
        <w:spacing w:line="242" w:lineRule="auto" w:before="124" w:after="0"/>
        <w:ind w:left="2381" w:right="1618" w:hanging="794"/>
        <w:jc w:val="left"/>
        <w:rPr>
          <w:sz w:val="12"/>
        </w:rPr>
      </w:pPr>
      <w:r>
        <w:rPr>
          <w:sz w:val="21"/>
        </w:rPr>
        <w:t>Adoption of this proposal would </w:t>
      </w:r>
      <w:r>
        <w:rPr>
          <w:spacing w:val="-3"/>
          <w:sz w:val="21"/>
        </w:rPr>
        <w:t>bring </w:t>
      </w:r>
      <w:r>
        <w:rPr>
          <w:sz w:val="21"/>
        </w:rPr>
        <w:t>Victoria </w:t>
      </w:r>
      <w:r>
        <w:rPr>
          <w:spacing w:val="-4"/>
          <w:sz w:val="21"/>
        </w:rPr>
        <w:t>into </w:t>
      </w:r>
      <w:r>
        <w:rPr>
          <w:spacing w:val="-3"/>
          <w:sz w:val="21"/>
        </w:rPr>
        <w:t>line </w:t>
      </w:r>
      <w:r>
        <w:rPr>
          <w:sz w:val="21"/>
        </w:rPr>
        <w:t>with the position in the </w:t>
      </w:r>
      <w:r>
        <w:rPr>
          <w:spacing w:val="-3"/>
          <w:sz w:val="21"/>
        </w:rPr>
        <w:t>Australian Capital Territory </w:t>
      </w:r>
      <w:r>
        <w:rPr>
          <w:sz w:val="21"/>
        </w:rPr>
        <w:t>and </w:t>
      </w:r>
      <w:r>
        <w:rPr>
          <w:spacing w:val="-3"/>
          <w:sz w:val="21"/>
        </w:rPr>
        <w:t>Queensland, </w:t>
      </w:r>
      <w:r>
        <w:rPr>
          <w:sz w:val="21"/>
        </w:rPr>
        <w:t>the two jurisdictions </w:t>
      </w:r>
      <w:r>
        <w:rPr>
          <w:spacing w:val="-3"/>
          <w:sz w:val="21"/>
        </w:rPr>
        <w:t>to  have  </w:t>
      </w:r>
      <w:r>
        <w:rPr>
          <w:sz w:val="21"/>
        </w:rPr>
        <w:t>most  </w:t>
      </w:r>
      <w:r>
        <w:rPr>
          <w:spacing w:val="-3"/>
          <w:sz w:val="21"/>
        </w:rPr>
        <w:t>recently  </w:t>
      </w:r>
      <w:r>
        <w:rPr>
          <w:sz w:val="21"/>
        </w:rPr>
        <w:t>amended their </w:t>
      </w:r>
      <w:r>
        <w:rPr>
          <w:spacing w:val="-3"/>
          <w:sz w:val="21"/>
        </w:rPr>
        <w:t>legislation </w:t>
      </w:r>
      <w:r>
        <w:rPr>
          <w:sz w:val="21"/>
        </w:rPr>
        <w:t>in this</w:t>
      </w:r>
      <w:r>
        <w:rPr>
          <w:spacing w:val="36"/>
          <w:sz w:val="21"/>
        </w:rPr>
        <w:t> </w:t>
      </w:r>
      <w:r>
        <w:rPr>
          <w:sz w:val="21"/>
        </w:rPr>
        <w:t>area.</w:t>
      </w:r>
      <w:r>
        <w:rPr>
          <w:position w:val="7"/>
          <w:sz w:val="12"/>
        </w:rPr>
        <w:t>48</w:t>
      </w:r>
    </w:p>
    <w:p>
      <w:pPr>
        <w:pStyle w:val="ListParagraph"/>
        <w:numPr>
          <w:ilvl w:val="1"/>
          <w:numId w:val="22"/>
        </w:numPr>
        <w:tabs>
          <w:tab w:pos="2380" w:val="left" w:leader="none"/>
          <w:tab w:pos="2381" w:val="left" w:leader="none"/>
        </w:tabs>
        <w:spacing w:line="242" w:lineRule="auto" w:before="123" w:after="0"/>
        <w:ind w:left="2381" w:right="1909" w:hanging="794"/>
        <w:jc w:val="left"/>
        <w:rPr>
          <w:sz w:val="12"/>
        </w:rPr>
      </w:pPr>
      <w:r>
        <w:rPr>
          <w:spacing w:val="-4"/>
          <w:w w:val="105"/>
          <w:sz w:val="21"/>
        </w:rPr>
        <w:t>Similarly, </w:t>
      </w:r>
      <w:r>
        <w:rPr>
          <w:w w:val="105"/>
          <w:sz w:val="21"/>
        </w:rPr>
        <w:t>the majority of </w:t>
      </w:r>
      <w:r>
        <w:rPr>
          <w:spacing w:val="-3"/>
          <w:w w:val="105"/>
          <w:sz w:val="21"/>
        </w:rPr>
        <w:t>submissions </w:t>
      </w:r>
      <w:r>
        <w:rPr>
          <w:w w:val="105"/>
          <w:sz w:val="21"/>
        </w:rPr>
        <w:t>and </w:t>
      </w:r>
      <w:r>
        <w:rPr>
          <w:spacing w:val="-3"/>
          <w:w w:val="105"/>
          <w:sz w:val="21"/>
        </w:rPr>
        <w:t>consultations </w:t>
      </w:r>
      <w:r>
        <w:rPr>
          <w:w w:val="105"/>
          <w:sz w:val="21"/>
        </w:rPr>
        <w:t>on this point agreed </w:t>
      </w:r>
      <w:r>
        <w:rPr>
          <w:spacing w:val="-3"/>
          <w:w w:val="105"/>
          <w:sz w:val="21"/>
        </w:rPr>
        <w:t>that any </w:t>
      </w:r>
      <w:r>
        <w:rPr>
          <w:w w:val="105"/>
          <w:sz w:val="21"/>
        </w:rPr>
        <w:t>expression of contrary </w:t>
      </w:r>
      <w:r>
        <w:rPr>
          <w:spacing w:val="-3"/>
          <w:w w:val="105"/>
          <w:sz w:val="21"/>
        </w:rPr>
        <w:t>intention </w:t>
      </w:r>
      <w:r>
        <w:rPr>
          <w:w w:val="105"/>
          <w:sz w:val="21"/>
        </w:rPr>
        <w:t>should be by </w:t>
      </w:r>
      <w:r>
        <w:rPr>
          <w:spacing w:val="-3"/>
          <w:w w:val="105"/>
          <w:sz w:val="21"/>
        </w:rPr>
        <w:t>will only.</w:t>
      </w:r>
      <w:r>
        <w:rPr>
          <w:spacing w:val="-3"/>
          <w:w w:val="105"/>
          <w:position w:val="7"/>
          <w:sz w:val="12"/>
        </w:rPr>
        <w:t>49 </w:t>
      </w:r>
      <w:r>
        <w:rPr>
          <w:spacing w:val="-3"/>
          <w:w w:val="105"/>
          <w:sz w:val="21"/>
        </w:rPr>
        <w:t>State </w:t>
      </w:r>
      <w:r>
        <w:rPr>
          <w:spacing w:val="-4"/>
          <w:w w:val="105"/>
          <w:sz w:val="21"/>
        </w:rPr>
        <w:t>Trustees </w:t>
      </w:r>
      <w:r>
        <w:rPr>
          <w:spacing w:val="-3"/>
          <w:w w:val="105"/>
          <w:sz w:val="21"/>
        </w:rPr>
        <w:t>pointed </w:t>
      </w:r>
      <w:r>
        <w:rPr>
          <w:w w:val="105"/>
          <w:sz w:val="21"/>
        </w:rPr>
        <w:t>out </w:t>
      </w:r>
      <w:r>
        <w:rPr>
          <w:spacing w:val="-3"/>
          <w:w w:val="105"/>
          <w:sz w:val="21"/>
        </w:rPr>
        <w:t>that </w:t>
      </w:r>
      <w:r>
        <w:rPr>
          <w:w w:val="105"/>
          <w:sz w:val="21"/>
        </w:rPr>
        <w:t>a representative seeking </w:t>
      </w:r>
      <w:r>
        <w:rPr>
          <w:spacing w:val="-3"/>
          <w:w w:val="105"/>
          <w:sz w:val="21"/>
        </w:rPr>
        <w:t>to administer </w:t>
      </w:r>
      <w:r>
        <w:rPr>
          <w:w w:val="105"/>
          <w:sz w:val="21"/>
        </w:rPr>
        <w:t>an estate </w:t>
      </w:r>
      <w:r>
        <w:rPr>
          <w:spacing w:val="-2"/>
          <w:w w:val="105"/>
          <w:sz w:val="21"/>
        </w:rPr>
        <w:t>has </w:t>
      </w:r>
      <w:r>
        <w:rPr>
          <w:w w:val="105"/>
          <w:sz w:val="21"/>
        </w:rPr>
        <w:t>no </w:t>
      </w:r>
      <w:r>
        <w:rPr>
          <w:spacing w:val="-3"/>
          <w:w w:val="105"/>
          <w:sz w:val="21"/>
        </w:rPr>
        <w:t>way </w:t>
      </w:r>
      <w:r>
        <w:rPr>
          <w:w w:val="105"/>
          <w:sz w:val="21"/>
        </w:rPr>
        <w:t>of </w:t>
      </w:r>
      <w:r>
        <w:rPr>
          <w:spacing w:val="-3"/>
          <w:w w:val="105"/>
          <w:sz w:val="21"/>
        </w:rPr>
        <w:t>knowing </w:t>
      </w:r>
      <w:r>
        <w:rPr>
          <w:w w:val="105"/>
          <w:sz w:val="21"/>
        </w:rPr>
        <w:t>whether other</w:t>
      </w:r>
      <w:r>
        <w:rPr>
          <w:spacing w:val="-10"/>
          <w:w w:val="105"/>
          <w:sz w:val="21"/>
        </w:rPr>
        <w:t> </w:t>
      </w:r>
      <w:r>
        <w:rPr>
          <w:w w:val="105"/>
          <w:sz w:val="21"/>
        </w:rPr>
        <w:t>documents</w:t>
      </w:r>
      <w:r>
        <w:rPr>
          <w:spacing w:val="-10"/>
          <w:w w:val="105"/>
          <w:sz w:val="21"/>
        </w:rPr>
        <w:t> </w:t>
      </w:r>
      <w:r>
        <w:rPr>
          <w:spacing w:val="-3"/>
          <w:w w:val="105"/>
          <w:sz w:val="21"/>
        </w:rPr>
        <w:t>containing</w:t>
      </w:r>
      <w:r>
        <w:rPr>
          <w:spacing w:val="-10"/>
          <w:w w:val="105"/>
          <w:sz w:val="21"/>
        </w:rPr>
        <w:t> </w:t>
      </w:r>
      <w:r>
        <w:rPr>
          <w:w w:val="105"/>
          <w:sz w:val="21"/>
        </w:rPr>
        <w:t>contrary</w:t>
      </w:r>
      <w:r>
        <w:rPr>
          <w:spacing w:val="-9"/>
          <w:w w:val="105"/>
          <w:sz w:val="21"/>
        </w:rPr>
        <w:t> </w:t>
      </w:r>
      <w:r>
        <w:rPr>
          <w:spacing w:val="-3"/>
          <w:w w:val="105"/>
          <w:sz w:val="21"/>
        </w:rPr>
        <w:t>intention</w:t>
      </w:r>
      <w:r>
        <w:rPr>
          <w:spacing w:val="-10"/>
          <w:w w:val="105"/>
          <w:sz w:val="21"/>
        </w:rPr>
        <w:t> </w:t>
      </w:r>
      <w:r>
        <w:rPr>
          <w:w w:val="105"/>
          <w:sz w:val="21"/>
        </w:rPr>
        <w:t>exist,</w:t>
      </w:r>
      <w:r>
        <w:rPr>
          <w:spacing w:val="-10"/>
          <w:w w:val="105"/>
          <w:sz w:val="21"/>
        </w:rPr>
        <w:t> </w:t>
      </w:r>
      <w:r>
        <w:rPr>
          <w:spacing w:val="-3"/>
          <w:w w:val="105"/>
          <w:sz w:val="21"/>
        </w:rPr>
        <w:t>potentially</w:t>
      </w:r>
      <w:r>
        <w:rPr>
          <w:spacing w:val="-9"/>
          <w:w w:val="105"/>
          <w:sz w:val="21"/>
        </w:rPr>
        <w:t> </w:t>
      </w:r>
      <w:r>
        <w:rPr>
          <w:spacing w:val="-3"/>
          <w:w w:val="105"/>
          <w:sz w:val="21"/>
        </w:rPr>
        <w:t>delaying</w:t>
      </w:r>
      <w:r>
        <w:rPr>
          <w:spacing w:val="-10"/>
          <w:w w:val="105"/>
          <w:sz w:val="21"/>
        </w:rPr>
        <w:t> </w:t>
      </w:r>
      <w:r>
        <w:rPr>
          <w:spacing w:val="-3"/>
          <w:w w:val="105"/>
          <w:sz w:val="21"/>
        </w:rPr>
        <w:t>finalisation</w:t>
      </w:r>
      <w:r>
        <w:rPr>
          <w:spacing w:val="-10"/>
          <w:w w:val="105"/>
          <w:sz w:val="21"/>
        </w:rPr>
        <w:t> </w:t>
      </w:r>
      <w:r>
        <w:rPr>
          <w:w w:val="105"/>
          <w:sz w:val="21"/>
        </w:rPr>
        <w:t>of </w:t>
      </w:r>
      <w:r>
        <w:rPr>
          <w:spacing w:val="-3"/>
          <w:w w:val="105"/>
          <w:sz w:val="21"/>
        </w:rPr>
        <w:t>administration</w:t>
      </w:r>
      <w:r>
        <w:rPr>
          <w:spacing w:val="5"/>
          <w:w w:val="105"/>
          <w:sz w:val="21"/>
        </w:rPr>
        <w:t> </w:t>
      </w:r>
      <w:r>
        <w:rPr>
          <w:spacing w:val="-3"/>
          <w:w w:val="105"/>
          <w:sz w:val="21"/>
        </w:rPr>
        <w:t>indefinitely.</w:t>
      </w:r>
      <w:r>
        <w:rPr>
          <w:spacing w:val="-3"/>
          <w:w w:val="105"/>
          <w:position w:val="7"/>
          <w:sz w:val="12"/>
        </w:rPr>
        <w:t>50</w:t>
      </w:r>
    </w:p>
    <w:p>
      <w:pPr>
        <w:pStyle w:val="ListParagraph"/>
        <w:numPr>
          <w:ilvl w:val="1"/>
          <w:numId w:val="22"/>
        </w:numPr>
        <w:tabs>
          <w:tab w:pos="2380" w:val="left" w:leader="none"/>
          <w:tab w:pos="2381" w:val="left" w:leader="none"/>
        </w:tabs>
        <w:spacing w:line="242" w:lineRule="auto" w:before="126" w:after="0"/>
        <w:ind w:left="2381" w:right="1782" w:hanging="794"/>
        <w:jc w:val="left"/>
        <w:rPr>
          <w:sz w:val="12"/>
        </w:rPr>
      </w:pPr>
      <w:r>
        <w:rPr>
          <w:spacing w:val="-6"/>
          <w:sz w:val="21"/>
        </w:rPr>
        <w:t>Two </w:t>
      </w:r>
      <w:r>
        <w:rPr>
          <w:spacing w:val="-3"/>
          <w:sz w:val="21"/>
        </w:rPr>
        <w:t>submissions </w:t>
      </w:r>
      <w:r>
        <w:rPr>
          <w:sz w:val="21"/>
        </w:rPr>
        <w:t>expressed the opinion </w:t>
      </w:r>
      <w:r>
        <w:rPr>
          <w:spacing w:val="-3"/>
          <w:sz w:val="21"/>
        </w:rPr>
        <w:t>that </w:t>
      </w:r>
      <w:r>
        <w:rPr>
          <w:sz w:val="21"/>
        </w:rPr>
        <w:t>the </w:t>
      </w:r>
      <w:r>
        <w:rPr>
          <w:spacing w:val="-3"/>
          <w:sz w:val="21"/>
        </w:rPr>
        <w:t>current </w:t>
      </w:r>
      <w:r>
        <w:rPr>
          <w:sz w:val="21"/>
        </w:rPr>
        <w:t>position—manifestation of contrary </w:t>
      </w:r>
      <w:r>
        <w:rPr>
          <w:spacing w:val="-3"/>
          <w:sz w:val="21"/>
        </w:rPr>
        <w:t>intention </w:t>
      </w:r>
      <w:r>
        <w:rPr>
          <w:sz w:val="21"/>
        </w:rPr>
        <w:t>by </w:t>
      </w:r>
      <w:r>
        <w:rPr>
          <w:spacing w:val="-3"/>
          <w:sz w:val="21"/>
        </w:rPr>
        <w:t>will, </w:t>
      </w:r>
      <w:r>
        <w:rPr>
          <w:sz w:val="21"/>
        </w:rPr>
        <w:t>deed or other document—should be </w:t>
      </w:r>
      <w:r>
        <w:rPr>
          <w:spacing w:val="-3"/>
          <w:sz w:val="21"/>
        </w:rPr>
        <w:t>retained.  </w:t>
      </w:r>
      <w:r>
        <w:rPr>
          <w:sz w:val="21"/>
        </w:rPr>
        <w:t>The  </w:t>
      </w:r>
      <w:r>
        <w:rPr>
          <w:spacing w:val="-3"/>
          <w:sz w:val="21"/>
        </w:rPr>
        <w:t>reasons </w:t>
      </w:r>
      <w:r>
        <w:rPr>
          <w:sz w:val="21"/>
        </w:rPr>
        <w:t>given </w:t>
      </w:r>
      <w:r>
        <w:rPr>
          <w:spacing w:val="-3"/>
          <w:sz w:val="21"/>
        </w:rPr>
        <w:t>were that wills are </w:t>
      </w:r>
      <w:r>
        <w:rPr>
          <w:sz w:val="21"/>
        </w:rPr>
        <w:t>often poorly </w:t>
      </w:r>
      <w:r>
        <w:rPr>
          <w:spacing w:val="-4"/>
          <w:sz w:val="21"/>
        </w:rPr>
        <w:t>drafted,</w:t>
      </w:r>
      <w:r>
        <w:rPr>
          <w:spacing w:val="-4"/>
          <w:position w:val="7"/>
          <w:sz w:val="12"/>
        </w:rPr>
        <w:t>51</w:t>
      </w:r>
      <w:r>
        <w:rPr>
          <w:spacing w:val="-4"/>
          <w:sz w:val="21"/>
        </w:rPr>
        <w:t>and </w:t>
      </w:r>
      <w:r>
        <w:rPr>
          <w:spacing w:val="-3"/>
          <w:sz w:val="21"/>
        </w:rPr>
        <w:t>that </w:t>
      </w:r>
      <w:r>
        <w:rPr>
          <w:sz w:val="21"/>
        </w:rPr>
        <w:t>the </w:t>
      </w:r>
      <w:r>
        <w:rPr>
          <w:spacing w:val="-3"/>
          <w:sz w:val="21"/>
        </w:rPr>
        <w:t>will </w:t>
      </w:r>
      <w:r>
        <w:rPr>
          <w:sz w:val="21"/>
        </w:rPr>
        <w:t>reflects the </w:t>
      </w:r>
      <w:r>
        <w:rPr>
          <w:spacing w:val="-3"/>
          <w:sz w:val="21"/>
        </w:rPr>
        <w:t>will-maker’s intent </w:t>
      </w:r>
      <w:r>
        <w:rPr>
          <w:sz w:val="21"/>
        </w:rPr>
        <w:t>only at a fixed point in</w:t>
      </w:r>
      <w:r>
        <w:rPr>
          <w:spacing w:val="16"/>
          <w:sz w:val="21"/>
        </w:rPr>
        <w:t> </w:t>
      </w:r>
      <w:r>
        <w:rPr>
          <w:spacing w:val="-3"/>
          <w:sz w:val="21"/>
        </w:rPr>
        <w:t>time.</w:t>
      </w:r>
      <w:r>
        <w:rPr>
          <w:spacing w:val="-3"/>
          <w:position w:val="7"/>
          <w:sz w:val="12"/>
        </w:rPr>
        <w:t>52</w:t>
      </w:r>
    </w:p>
    <w:p>
      <w:pPr>
        <w:pStyle w:val="ListParagraph"/>
        <w:numPr>
          <w:ilvl w:val="1"/>
          <w:numId w:val="22"/>
        </w:numPr>
        <w:tabs>
          <w:tab w:pos="2380" w:val="left" w:leader="none"/>
          <w:tab w:pos="2381" w:val="left" w:leader="none"/>
        </w:tabs>
        <w:spacing w:line="242" w:lineRule="auto" w:before="124" w:after="0"/>
        <w:ind w:left="2381" w:right="1688" w:hanging="794"/>
        <w:jc w:val="left"/>
        <w:rPr>
          <w:sz w:val="21"/>
        </w:rPr>
      </w:pPr>
      <w:r>
        <w:rPr>
          <w:sz w:val="21"/>
        </w:rPr>
        <w:t>The </w:t>
      </w:r>
      <w:r>
        <w:rPr>
          <w:spacing w:val="-3"/>
          <w:sz w:val="21"/>
        </w:rPr>
        <w:t>Commission </w:t>
      </w:r>
      <w:r>
        <w:rPr>
          <w:sz w:val="21"/>
        </w:rPr>
        <w:t>does </w:t>
      </w:r>
      <w:r>
        <w:rPr>
          <w:spacing w:val="-2"/>
          <w:sz w:val="21"/>
        </w:rPr>
        <w:t>not  </w:t>
      </w:r>
      <w:r>
        <w:rPr>
          <w:sz w:val="21"/>
        </w:rPr>
        <w:t>find either of these </w:t>
      </w:r>
      <w:r>
        <w:rPr>
          <w:spacing w:val="-3"/>
          <w:sz w:val="21"/>
        </w:rPr>
        <w:t>reasons  persuasive,  </w:t>
      </w:r>
      <w:r>
        <w:rPr>
          <w:sz w:val="21"/>
        </w:rPr>
        <w:t>as </w:t>
      </w:r>
      <w:r>
        <w:rPr>
          <w:spacing w:val="-3"/>
          <w:sz w:val="21"/>
        </w:rPr>
        <w:t>any  </w:t>
      </w:r>
      <w:r>
        <w:rPr>
          <w:sz w:val="21"/>
        </w:rPr>
        <w:t>document </w:t>
      </w:r>
      <w:r>
        <w:rPr>
          <w:spacing w:val="-3"/>
          <w:sz w:val="21"/>
        </w:rPr>
        <w:t>may  </w:t>
      </w:r>
      <w:r>
        <w:rPr>
          <w:sz w:val="21"/>
        </w:rPr>
        <w:t>be poorly drafted; </w:t>
      </w:r>
      <w:r>
        <w:rPr>
          <w:spacing w:val="-3"/>
          <w:sz w:val="21"/>
        </w:rPr>
        <w:t>any </w:t>
      </w:r>
      <w:r>
        <w:rPr>
          <w:sz w:val="21"/>
        </w:rPr>
        <w:t>expression of </w:t>
      </w:r>
      <w:r>
        <w:rPr>
          <w:spacing w:val="-3"/>
          <w:sz w:val="21"/>
        </w:rPr>
        <w:t>intention will  </w:t>
      </w:r>
      <w:r>
        <w:rPr>
          <w:sz w:val="21"/>
        </w:rPr>
        <w:t>reflect </w:t>
      </w:r>
      <w:r>
        <w:rPr>
          <w:spacing w:val="-3"/>
          <w:sz w:val="21"/>
        </w:rPr>
        <w:t>intent</w:t>
      </w:r>
      <w:r>
        <w:rPr>
          <w:spacing w:val="41"/>
          <w:sz w:val="21"/>
        </w:rPr>
        <w:t> </w:t>
      </w:r>
      <w:r>
        <w:rPr>
          <w:sz w:val="21"/>
        </w:rPr>
        <w:t>at a particular point in </w:t>
      </w:r>
      <w:r>
        <w:rPr>
          <w:spacing w:val="-3"/>
          <w:sz w:val="21"/>
        </w:rPr>
        <w:t>time. </w:t>
      </w:r>
      <w:r>
        <w:rPr>
          <w:sz w:val="21"/>
        </w:rPr>
        <w:t>The practical </w:t>
      </w:r>
      <w:r>
        <w:rPr>
          <w:spacing w:val="-3"/>
          <w:sz w:val="21"/>
        </w:rPr>
        <w:t>concerns relating to </w:t>
      </w:r>
      <w:r>
        <w:rPr>
          <w:sz w:val="21"/>
        </w:rPr>
        <w:t>effective </w:t>
      </w:r>
      <w:r>
        <w:rPr>
          <w:spacing w:val="-3"/>
          <w:sz w:val="21"/>
        </w:rPr>
        <w:t>administration </w:t>
      </w:r>
      <w:r>
        <w:rPr>
          <w:sz w:val="21"/>
        </w:rPr>
        <w:t>made above by </w:t>
      </w:r>
      <w:r>
        <w:rPr>
          <w:spacing w:val="-3"/>
          <w:sz w:val="21"/>
        </w:rPr>
        <w:t>State </w:t>
      </w:r>
      <w:r>
        <w:rPr>
          <w:spacing w:val="-4"/>
          <w:sz w:val="21"/>
        </w:rPr>
        <w:t>Trustees </w:t>
      </w:r>
      <w:r>
        <w:rPr>
          <w:sz w:val="21"/>
        </w:rPr>
        <w:t>and the Law </w:t>
      </w:r>
      <w:r>
        <w:rPr>
          <w:spacing w:val="-3"/>
          <w:sz w:val="21"/>
        </w:rPr>
        <w:t>Reform Commission </w:t>
      </w:r>
      <w:r>
        <w:rPr>
          <w:sz w:val="21"/>
        </w:rPr>
        <w:t>of Western </w:t>
      </w:r>
      <w:r>
        <w:rPr>
          <w:spacing w:val="-3"/>
          <w:sz w:val="21"/>
        </w:rPr>
        <w:t>Australia are compelling. </w:t>
      </w:r>
      <w:r>
        <w:rPr>
          <w:sz w:val="21"/>
        </w:rPr>
        <w:t>For these </w:t>
      </w:r>
      <w:r>
        <w:rPr>
          <w:spacing w:val="-3"/>
          <w:sz w:val="21"/>
        </w:rPr>
        <w:t>reasons, </w:t>
      </w:r>
      <w:r>
        <w:rPr>
          <w:sz w:val="21"/>
        </w:rPr>
        <w:t>the </w:t>
      </w:r>
      <w:r>
        <w:rPr>
          <w:spacing w:val="-3"/>
          <w:sz w:val="21"/>
        </w:rPr>
        <w:t>Commission recommends that  </w:t>
      </w:r>
      <w:r>
        <w:rPr>
          <w:sz w:val="21"/>
        </w:rPr>
        <w:t>an expression of contrary </w:t>
      </w:r>
      <w:r>
        <w:rPr>
          <w:spacing w:val="-3"/>
          <w:sz w:val="21"/>
        </w:rPr>
        <w:t>intention</w:t>
      </w:r>
      <w:r>
        <w:rPr>
          <w:spacing w:val="41"/>
          <w:sz w:val="21"/>
        </w:rPr>
        <w:t> </w:t>
      </w:r>
      <w:r>
        <w:rPr>
          <w:sz w:val="21"/>
        </w:rPr>
        <w:t>should be  by </w:t>
      </w:r>
      <w:r>
        <w:rPr>
          <w:spacing w:val="-3"/>
          <w:sz w:val="21"/>
        </w:rPr>
        <w:t>will</w:t>
      </w:r>
      <w:r>
        <w:rPr>
          <w:spacing w:val="16"/>
          <w:sz w:val="21"/>
        </w:rPr>
        <w:t> </w:t>
      </w:r>
      <w:r>
        <w:rPr>
          <w:spacing w:val="-4"/>
          <w:sz w:val="21"/>
        </w:rPr>
        <w:t>only.</w:t>
      </w:r>
    </w:p>
    <w:p>
      <w:pPr>
        <w:pStyle w:val="BodyText"/>
        <w:spacing w:before="11"/>
        <w:rPr>
          <w:sz w:val="15"/>
        </w:rPr>
      </w:pPr>
      <w:r>
        <w:rPr/>
        <w:pict>
          <v:group style="position:absolute;margin-left:62.362202pt;margin-top:11.695704pt;width:479.1pt;height:96.55pt;mso-position-horizontal-relative:page;mso-position-vertical-relative:paragraph;z-index:10904;mso-wrap-distance-left:0;mso-wrap-distance-right:0" coordorigin="1247,234" coordsize="9582,1931">
            <v:rect style="position:absolute;left:1587;top:233;width:8731;height:1931" filled="true" fillcolor="#fdebea" stroked="false">
              <v:fill type="solid"/>
            </v:rect>
            <v:line style="position:absolute" from="1247,985" to="10828,985" stroked="true" strokeweight="2.5pt" strokecolor="#ffffff">
              <v:stroke dashstyle="solid"/>
            </v:line>
            <v:shape style="position:absolute;left:2381;top:1221;width:7167;height:769" type="#_x0000_t202" filled="false" stroked="false">
              <v:textbox inset="0,0,0,0">
                <w:txbxContent>
                  <w:p>
                    <w:pPr>
                      <w:spacing w:line="253" w:lineRule="exact" w:before="0"/>
                      <w:ind w:left="0" w:right="0" w:firstLine="0"/>
                      <w:jc w:val="left"/>
                      <w:rPr>
                        <w:sz w:val="21"/>
                      </w:rPr>
                    </w:pPr>
                    <w:r>
                      <w:rPr>
                        <w:w w:val="105"/>
                        <w:sz w:val="21"/>
                      </w:rPr>
                      <w:t>Section 40(1) of the </w:t>
                    </w:r>
                    <w:r>
                      <w:rPr>
                        <w:rFonts w:ascii="Lucida Sans"/>
                        <w:i/>
                        <w:w w:val="105"/>
                        <w:sz w:val="21"/>
                      </w:rPr>
                      <w:t>Administration and Probate Act 1958 </w:t>
                    </w:r>
                    <w:r>
                      <w:rPr>
                        <w:w w:val="105"/>
                        <w:sz w:val="21"/>
                      </w:rPr>
                      <w:t>(Vic) should</w:t>
                    </w:r>
                  </w:p>
                  <w:p>
                    <w:pPr>
                      <w:spacing w:line="242" w:lineRule="auto" w:before="3"/>
                      <w:ind w:left="0" w:right="0" w:firstLine="0"/>
                      <w:jc w:val="left"/>
                      <w:rPr>
                        <w:sz w:val="21"/>
                      </w:rPr>
                    </w:pPr>
                    <w:r>
                      <w:rPr>
                        <w:w w:val="115"/>
                        <w:sz w:val="21"/>
                      </w:rPr>
                      <w:t>be</w:t>
                    </w:r>
                    <w:r>
                      <w:rPr>
                        <w:spacing w:val="-8"/>
                        <w:w w:val="115"/>
                        <w:sz w:val="21"/>
                      </w:rPr>
                      <w:t> </w:t>
                    </w:r>
                    <w:r>
                      <w:rPr>
                        <w:w w:val="115"/>
                        <w:sz w:val="21"/>
                      </w:rPr>
                      <w:t>amended</w:t>
                    </w:r>
                    <w:r>
                      <w:rPr>
                        <w:spacing w:val="-8"/>
                        <w:w w:val="115"/>
                        <w:sz w:val="21"/>
                      </w:rPr>
                      <w:t> </w:t>
                    </w:r>
                    <w:r>
                      <w:rPr>
                        <w:w w:val="115"/>
                        <w:sz w:val="21"/>
                      </w:rPr>
                      <w:t>to</w:t>
                    </w:r>
                    <w:r>
                      <w:rPr>
                        <w:spacing w:val="-8"/>
                        <w:w w:val="115"/>
                        <w:sz w:val="21"/>
                      </w:rPr>
                      <w:t> </w:t>
                    </w:r>
                    <w:r>
                      <w:rPr>
                        <w:w w:val="115"/>
                        <w:sz w:val="21"/>
                      </w:rPr>
                      <w:t>provide</w:t>
                    </w:r>
                    <w:r>
                      <w:rPr>
                        <w:spacing w:val="-8"/>
                        <w:w w:val="115"/>
                        <w:sz w:val="21"/>
                      </w:rPr>
                      <w:t> </w:t>
                    </w:r>
                    <w:r>
                      <w:rPr>
                        <w:w w:val="115"/>
                        <w:sz w:val="21"/>
                      </w:rPr>
                      <w:t>that</w:t>
                    </w:r>
                    <w:r>
                      <w:rPr>
                        <w:spacing w:val="-8"/>
                        <w:w w:val="115"/>
                        <w:sz w:val="21"/>
                      </w:rPr>
                      <w:t> </w:t>
                    </w:r>
                    <w:r>
                      <w:rPr>
                        <w:w w:val="115"/>
                        <w:sz w:val="21"/>
                      </w:rPr>
                      <w:t>an</w:t>
                    </w:r>
                    <w:r>
                      <w:rPr>
                        <w:spacing w:val="-8"/>
                        <w:w w:val="115"/>
                        <w:sz w:val="21"/>
                      </w:rPr>
                      <w:t> </w:t>
                    </w:r>
                    <w:r>
                      <w:rPr>
                        <w:w w:val="115"/>
                        <w:sz w:val="21"/>
                      </w:rPr>
                      <w:t>expression</w:t>
                    </w:r>
                    <w:r>
                      <w:rPr>
                        <w:spacing w:val="-8"/>
                        <w:w w:val="115"/>
                        <w:sz w:val="21"/>
                      </w:rPr>
                      <w:t> </w:t>
                    </w:r>
                    <w:r>
                      <w:rPr>
                        <w:w w:val="115"/>
                        <w:sz w:val="21"/>
                      </w:rPr>
                      <w:t>of</w:t>
                    </w:r>
                    <w:r>
                      <w:rPr>
                        <w:spacing w:val="-8"/>
                        <w:w w:val="115"/>
                        <w:sz w:val="21"/>
                      </w:rPr>
                      <w:t> </w:t>
                    </w:r>
                    <w:r>
                      <w:rPr>
                        <w:w w:val="115"/>
                        <w:sz w:val="21"/>
                      </w:rPr>
                      <w:t>contrary</w:t>
                    </w:r>
                    <w:r>
                      <w:rPr>
                        <w:spacing w:val="-8"/>
                        <w:w w:val="115"/>
                        <w:sz w:val="21"/>
                      </w:rPr>
                      <w:t> </w:t>
                    </w:r>
                    <w:r>
                      <w:rPr>
                        <w:w w:val="115"/>
                        <w:sz w:val="21"/>
                      </w:rPr>
                      <w:t>intention</w:t>
                    </w:r>
                    <w:r>
                      <w:rPr>
                        <w:spacing w:val="-8"/>
                        <w:w w:val="115"/>
                        <w:sz w:val="21"/>
                      </w:rPr>
                      <w:t> </w:t>
                    </w:r>
                    <w:r>
                      <w:rPr>
                        <w:w w:val="115"/>
                        <w:sz w:val="21"/>
                      </w:rPr>
                      <w:t>may</w:t>
                    </w:r>
                    <w:r>
                      <w:rPr>
                        <w:spacing w:val="-8"/>
                        <w:w w:val="115"/>
                        <w:sz w:val="21"/>
                      </w:rPr>
                      <w:t> </w:t>
                    </w:r>
                    <w:r>
                      <w:rPr>
                        <w:w w:val="115"/>
                        <w:sz w:val="21"/>
                      </w:rPr>
                      <w:t>only be shown by</w:t>
                    </w:r>
                    <w:r>
                      <w:rPr>
                        <w:spacing w:val="2"/>
                        <w:w w:val="115"/>
                        <w:sz w:val="21"/>
                      </w:rPr>
                      <w:t> </w:t>
                    </w:r>
                    <w:r>
                      <w:rPr>
                        <w:spacing w:val="-3"/>
                        <w:w w:val="115"/>
                        <w:sz w:val="21"/>
                      </w:rPr>
                      <w:t>will.</w:t>
                    </w:r>
                  </w:p>
                </w:txbxContent>
              </v:textbox>
              <w10:wrap type="none"/>
            </v:shape>
            <v:shape style="position:absolute;left:1814;top:1221;width:251;height:249" type="#_x0000_t202" filled="false" stroked="false">
              <v:textbox inset="0,0,0,0">
                <w:txbxContent>
                  <w:p>
                    <w:pPr>
                      <w:spacing w:line="249" w:lineRule="exact" w:before="0"/>
                      <w:ind w:left="0" w:right="0" w:firstLine="0"/>
                      <w:jc w:val="left"/>
                      <w:rPr>
                        <w:sz w:val="21"/>
                      </w:rPr>
                    </w:pPr>
                    <w:r>
                      <w:rPr>
                        <w:w w:val="110"/>
                        <w:sz w:val="21"/>
                      </w:rPr>
                      <w:t>65</w:t>
                    </w:r>
                  </w:p>
                </w:txbxContent>
              </v:textbox>
              <w10:wrap type="none"/>
            </v:shape>
            <v:shape style="position:absolute;left:1587;top:233;width:8731;height:726" type="#_x0000_t202" filled="true" fillcolor="#fdebea" stroked="false">
              <v:textbox inset="0,0,0,0">
                <w:txbxContent>
                  <w:p>
                    <w:pPr>
                      <w:spacing w:before="166"/>
                      <w:ind w:left="226" w:right="0" w:firstLine="0"/>
                      <w:jc w:val="left"/>
                      <w:rPr>
                        <w:b/>
                        <w:sz w:val="32"/>
                      </w:rPr>
                    </w:pPr>
                    <w:r>
                      <w:rPr>
                        <w:b/>
                        <w:color w:val="EC5A4F"/>
                        <w:w w:val="110"/>
                        <w:sz w:val="32"/>
                      </w:rPr>
                      <w:t>Recommendation</w:t>
                    </w:r>
                  </w:p>
                </w:txbxContent>
              </v:textbox>
              <v:fill type="solid"/>
              <w10:wrap type="none"/>
            </v:shap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4"/>
        </w:rPr>
      </w:pPr>
      <w:r>
        <w:rPr/>
        <w:pict>
          <v:line style="position:absolute;mso-position-horizontal-relative:page;mso-position-vertical-relative:paragraph;z-index:10928;mso-wrap-distance-left:0;mso-wrap-distance-right:0" from="79.370102pt,11.555475pt" to="515.905102pt,11.555475pt" stroked="true" strokeweight="1pt" strokecolor="#f9ceca">
            <v:stroke dashstyle="solid"/>
            <w10:wrap type="topAndBottom"/>
          </v:line>
        </w:pict>
      </w:r>
    </w:p>
    <w:p>
      <w:pPr>
        <w:pStyle w:val="BodyText"/>
        <w:spacing w:before="8"/>
        <w:rPr>
          <w:sz w:val="5"/>
        </w:rPr>
      </w:pPr>
    </w:p>
    <w:p>
      <w:pPr>
        <w:spacing w:after="0"/>
        <w:rPr>
          <w:sz w:val="5"/>
        </w:rPr>
        <w:sectPr>
          <w:pgSz w:w="11910" w:h="16840"/>
          <w:pgMar w:header="550" w:footer="0" w:top="1560" w:bottom="280" w:left="0" w:right="0"/>
        </w:sectPr>
      </w:pPr>
    </w:p>
    <w:p>
      <w:pPr>
        <w:pStyle w:val="BodyText"/>
        <w:rPr>
          <w:sz w:val="28"/>
        </w:rPr>
      </w:pPr>
    </w:p>
    <w:p>
      <w:pPr>
        <w:pStyle w:val="BodyText"/>
        <w:rPr>
          <w:sz w:val="28"/>
        </w:rPr>
      </w:pPr>
    </w:p>
    <w:p>
      <w:pPr>
        <w:pStyle w:val="BodyText"/>
        <w:rPr>
          <w:sz w:val="28"/>
        </w:rPr>
      </w:pPr>
    </w:p>
    <w:p>
      <w:pPr>
        <w:pStyle w:val="BodyText"/>
        <w:rPr>
          <w:sz w:val="28"/>
        </w:rPr>
      </w:pPr>
    </w:p>
    <w:p>
      <w:pPr>
        <w:spacing w:before="191"/>
        <w:ind w:left="720" w:right="0" w:firstLine="0"/>
        <w:jc w:val="left"/>
        <w:rPr>
          <w:b/>
          <w:sz w:val="24"/>
        </w:rPr>
      </w:pPr>
      <w:r>
        <w:rPr>
          <w:b/>
          <w:color w:val="EC5A4F"/>
          <w:spacing w:val="-2"/>
          <w:w w:val="110"/>
          <w:sz w:val="24"/>
        </w:rPr>
        <w:t>182</w:t>
      </w:r>
    </w:p>
    <w:p>
      <w:pPr>
        <w:pStyle w:val="ListParagraph"/>
        <w:numPr>
          <w:ilvl w:val="0"/>
          <w:numId w:val="136"/>
        </w:numPr>
        <w:tabs>
          <w:tab w:pos="1225" w:val="left" w:leader="none"/>
          <w:tab w:pos="1226" w:val="left" w:leader="none"/>
        </w:tabs>
        <w:spacing w:line="240" w:lineRule="auto" w:before="48" w:after="0"/>
        <w:ind w:left="1225" w:right="0" w:hanging="793"/>
        <w:jc w:val="left"/>
        <w:rPr>
          <w:sz w:val="13"/>
        </w:rPr>
      </w:pPr>
      <w:r>
        <w:rPr>
          <w:spacing w:val="2"/>
          <w:w w:val="103"/>
          <w:sz w:val="13"/>
        </w:rPr>
        <w:br w:type="column"/>
      </w:r>
      <w:r>
        <w:rPr>
          <w:w w:val="105"/>
          <w:sz w:val="13"/>
        </w:rPr>
        <w:t>National</w:t>
      </w:r>
      <w:r>
        <w:rPr>
          <w:spacing w:val="4"/>
          <w:w w:val="105"/>
          <w:sz w:val="13"/>
        </w:rPr>
        <w:t> </w:t>
      </w:r>
      <w:r>
        <w:rPr>
          <w:w w:val="105"/>
          <w:sz w:val="13"/>
        </w:rPr>
        <w:t>Committee</w:t>
      </w:r>
      <w:r>
        <w:rPr>
          <w:spacing w:val="5"/>
          <w:w w:val="105"/>
          <w:sz w:val="13"/>
        </w:rPr>
        <w:t> </w:t>
      </w:r>
      <w:r>
        <w:rPr>
          <w:w w:val="105"/>
          <w:sz w:val="13"/>
        </w:rPr>
        <w:t>for</w:t>
      </w:r>
      <w:r>
        <w:rPr>
          <w:spacing w:val="5"/>
          <w:w w:val="105"/>
          <w:sz w:val="13"/>
        </w:rPr>
        <w:t> </w:t>
      </w:r>
      <w:r>
        <w:rPr>
          <w:w w:val="105"/>
          <w:sz w:val="13"/>
        </w:rPr>
        <w:t>Uniform</w:t>
      </w:r>
      <w:r>
        <w:rPr>
          <w:spacing w:val="5"/>
          <w:w w:val="105"/>
          <w:sz w:val="13"/>
        </w:rPr>
        <w:t> </w:t>
      </w:r>
      <w:r>
        <w:rPr>
          <w:w w:val="105"/>
          <w:sz w:val="13"/>
        </w:rPr>
        <w:t>Succession</w:t>
      </w:r>
      <w:r>
        <w:rPr>
          <w:spacing w:val="5"/>
          <w:w w:val="105"/>
          <w:sz w:val="13"/>
        </w:rPr>
        <w:t> </w:t>
      </w:r>
      <w:r>
        <w:rPr>
          <w:w w:val="105"/>
          <w:sz w:val="13"/>
        </w:rPr>
        <w:t>Laws,</w:t>
      </w:r>
      <w:r>
        <w:rPr>
          <w:spacing w:val="5"/>
          <w:w w:val="105"/>
          <w:sz w:val="13"/>
        </w:rPr>
        <w:t> </w:t>
      </w:r>
      <w:r>
        <w:rPr>
          <w:i/>
          <w:w w:val="105"/>
          <w:sz w:val="13"/>
        </w:rPr>
        <w:t>Administration</w:t>
      </w:r>
      <w:r>
        <w:rPr>
          <w:i/>
          <w:spacing w:val="3"/>
          <w:w w:val="105"/>
          <w:sz w:val="13"/>
        </w:rPr>
        <w:t> </w:t>
      </w:r>
      <w:r>
        <w:rPr>
          <w:i/>
          <w:w w:val="105"/>
          <w:sz w:val="13"/>
        </w:rPr>
        <w:t>of</w:t>
      </w:r>
      <w:r>
        <w:rPr>
          <w:i/>
          <w:spacing w:val="4"/>
          <w:w w:val="105"/>
          <w:sz w:val="13"/>
        </w:rPr>
        <w:t> </w:t>
      </w:r>
      <w:r>
        <w:rPr>
          <w:i/>
          <w:w w:val="105"/>
          <w:sz w:val="13"/>
        </w:rPr>
        <w:t>Estates:</w:t>
      </w:r>
      <w:r>
        <w:rPr>
          <w:i/>
          <w:spacing w:val="4"/>
          <w:w w:val="105"/>
          <w:sz w:val="13"/>
        </w:rPr>
        <w:t> </w:t>
      </w:r>
      <w:r>
        <w:rPr>
          <w:i/>
          <w:w w:val="105"/>
          <w:sz w:val="13"/>
        </w:rPr>
        <w:t>Volume</w:t>
      </w:r>
      <w:r>
        <w:rPr>
          <w:i/>
          <w:spacing w:val="4"/>
          <w:w w:val="105"/>
          <w:sz w:val="13"/>
        </w:rPr>
        <w:t> </w:t>
      </w:r>
      <w:r>
        <w:rPr>
          <w:i/>
          <w:spacing w:val="-3"/>
          <w:w w:val="105"/>
          <w:sz w:val="13"/>
        </w:rPr>
        <w:t>2</w:t>
      </w:r>
      <w:r>
        <w:rPr>
          <w:spacing w:val="-3"/>
          <w:w w:val="105"/>
          <w:sz w:val="13"/>
        </w:rPr>
        <w:t>,</w:t>
      </w:r>
      <w:r>
        <w:rPr>
          <w:spacing w:val="5"/>
          <w:w w:val="105"/>
          <w:sz w:val="13"/>
        </w:rPr>
        <w:t> </w:t>
      </w:r>
      <w:r>
        <w:rPr>
          <w:w w:val="105"/>
          <w:sz w:val="13"/>
        </w:rPr>
        <w:t>above</w:t>
      </w:r>
      <w:r>
        <w:rPr>
          <w:spacing w:val="5"/>
          <w:w w:val="105"/>
          <w:sz w:val="13"/>
        </w:rPr>
        <w:t> </w:t>
      </w:r>
      <w:r>
        <w:rPr>
          <w:w w:val="105"/>
          <w:sz w:val="13"/>
        </w:rPr>
        <w:t>n</w:t>
      </w:r>
      <w:r>
        <w:rPr>
          <w:spacing w:val="5"/>
          <w:w w:val="105"/>
          <w:sz w:val="13"/>
        </w:rPr>
        <w:t> </w:t>
      </w:r>
      <w:r>
        <w:rPr>
          <w:w w:val="105"/>
          <w:sz w:val="13"/>
        </w:rPr>
        <w:t>14,</w:t>
      </w:r>
      <w:r>
        <w:rPr>
          <w:spacing w:val="4"/>
          <w:w w:val="105"/>
          <w:sz w:val="13"/>
        </w:rPr>
        <w:t> </w:t>
      </w:r>
      <w:r>
        <w:rPr>
          <w:spacing w:val="-4"/>
          <w:w w:val="105"/>
          <w:sz w:val="13"/>
        </w:rPr>
        <w:t>141.</w:t>
      </w:r>
    </w:p>
    <w:p>
      <w:pPr>
        <w:pStyle w:val="ListParagraph"/>
        <w:numPr>
          <w:ilvl w:val="0"/>
          <w:numId w:val="136"/>
        </w:numPr>
        <w:tabs>
          <w:tab w:pos="1225" w:val="left" w:leader="none"/>
          <w:tab w:pos="1226" w:val="left" w:leader="none"/>
        </w:tabs>
        <w:spacing w:line="240" w:lineRule="auto" w:before="1" w:after="0"/>
        <w:ind w:left="1225" w:right="0" w:hanging="793"/>
        <w:jc w:val="left"/>
        <w:rPr>
          <w:i/>
          <w:sz w:val="13"/>
        </w:rPr>
      </w:pPr>
      <w:r>
        <w:rPr>
          <w:w w:val="105"/>
          <w:sz w:val="13"/>
        </w:rPr>
        <w:t>Law</w:t>
      </w:r>
      <w:r>
        <w:rPr>
          <w:spacing w:val="4"/>
          <w:w w:val="105"/>
          <w:sz w:val="13"/>
        </w:rPr>
        <w:t> </w:t>
      </w:r>
      <w:r>
        <w:rPr>
          <w:w w:val="105"/>
          <w:sz w:val="13"/>
        </w:rPr>
        <w:t>Reform</w:t>
      </w:r>
      <w:r>
        <w:rPr>
          <w:spacing w:val="5"/>
          <w:w w:val="105"/>
          <w:sz w:val="13"/>
        </w:rPr>
        <w:t> </w:t>
      </w:r>
      <w:r>
        <w:rPr>
          <w:w w:val="105"/>
          <w:sz w:val="13"/>
        </w:rPr>
        <w:t>Commission</w:t>
      </w:r>
      <w:r>
        <w:rPr>
          <w:spacing w:val="5"/>
          <w:w w:val="105"/>
          <w:sz w:val="13"/>
        </w:rPr>
        <w:t> </w:t>
      </w:r>
      <w:r>
        <w:rPr>
          <w:w w:val="105"/>
          <w:sz w:val="13"/>
        </w:rPr>
        <w:t>of</w:t>
      </w:r>
      <w:r>
        <w:rPr>
          <w:spacing w:val="5"/>
          <w:w w:val="105"/>
          <w:sz w:val="13"/>
        </w:rPr>
        <w:t> </w:t>
      </w:r>
      <w:r>
        <w:rPr>
          <w:w w:val="105"/>
          <w:sz w:val="13"/>
        </w:rPr>
        <w:t>Western</w:t>
      </w:r>
      <w:r>
        <w:rPr>
          <w:spacing w:val="4"/>
          <w:w w:val="105"/>
          <w:sz w:val="13"/>
        </w:rPr>
        <w:t> </w:t>
      </w:r>
      <w:r>
        <w:rPr>
          <w:w w:val="105"/>
          <w:sz w:val="13"/>
        </w:rPr>
        <w:t>Australia,</w:t>
      </w:r>
      <w:r>
        <w:rPr>
          <w:spacing w:val="5"/>
          <w:w w:val="105"/>
          <w:sz w:val="13"/>
        </w:rPr>
        <w:t> </w:t>
      </w:r>
      <w:r>
        <w:rPr>
          <w:i/>
          <w:w w:val="105"/>
          <w:sz w:val="13"/>
        </w:rPr>
        <w:t>The</w:t>
      </w:r>
      <w:r>
        <w:rPr>
          <w:i/>
          <w:spacing w:val="4"/>
          <w:w w:val="105"/>
          <w:sz w:val="13"/>
        </w:rPr>
        <w:t> </w:t>
      </w:r>
      <w:r>
        <w:rPr>
          <w:i/>
          <w:w w:val="105"/>
          <w:sz w:val="13"/>
        </w:rPr>
        <w:t>Administration</w:t>
      </w:r>
      <w:r>
        <w:rPr>
          <w:i/>
          <w:spacing w:val="4"/>
          <w:w w:val="105"/>
          <w:sz w:val="13"/>
        </w:rPr>
        <w:t> </w:t>
      </w:r>
      <w:r>
        <w:rPr>
          <w:i/>
          <w:w w:val="105"/>
          <w:sz w:val="13"/>
        </w:rPr>
        <w:t>of</w:t>
      </w:r>
      <w:r>
        <w:rPr>
          <w:i/>
          <w:spacing w:val="4"/>
          <w:w w:val="105"/>
          <w:sz w:val="13"/>
        </w:rPr>
        <w:t> </w:t>
      </w:r>
      <w:r>
        <w:rPr>
          <w:i/>
          <w:w w:val="105"/>
          <w:sz w:val="13"/>
        </w:rPr>
        <w:t>Assets</w:t>
      </w:r>
      <w:r>
        <w:rPr>
          <w:i/>
          <w:spacing w:val="3"/>
          <w:w w:val="105"/>
          <w:sz w:val="13"/>
        </w:rPr>
        <w:t> </w:t>
      </w:r>
      <w:r>
        <w:rPr>
          <w:i/>
          <w:w w:val="105"/>
          <w:sz w:val="13"/>
        </w:rPr>
        <w:t>of</w:t>
      </w:r>
      <w:r>
        <w:rPr>
          <w:i/>
          <w:spacing w:val="4"/>
          <w:w w:val="105"/>
          <w:sz w:val="13"/>
        </w:rPr>
        <w:t> </w:t>
      </w:r>
      <w:r>
        <w:rPr>
          <w:i/>
          <w:w w:val="105"/>
          <w:sz w:val="13"/>
        </w:rPr>
        <w:t>the</w:t>
      </w:r>
      <w:r>
        <w:rPr>
          <w:i/>
          <w:spacing w:val="4"/>
          <w:w w:val="105"/>
          <w:sz w:val="13"/>
        </w:rPr>
        <w:t> </w:t>
      </w:r>
      <w:r>
        <w:rPr>
          <w:i/>
          <w:w w:val="105"/>
          <w:sz w:val="13"/>
        </w:rPr>
        <w:t>Solvent</w:t>
      </w:r>
      <w:r>
        <w:rPr>
          <w:i/>
          <w:spacing w:val="4"/>
          <w:w w:val="105"/>
          <w:sz w:val="13"/>
        </w:rPr>
        <w:t> </w:t>
      </w:r>
      <w:r>
        <w:rPr>
          <w:i/>
          <w:w w:val="105"/>
          <w:sz w:val="13"/>
        </w:rPr>
        <w:t>Estates</w:t>
      </w:r>
      <w:r>
        <w:rPr>
          <w:i/>
          <w:spacing w:val="4"/>
          <w:w w:val="105"/>
          <w:sz w:val="13"/>
        </w:rPr>
        <w:t> </w:t>
      </w:r>
      <w:r>
        <w:rPr>
          <w:i/>
          <w:w w:val="105"/>
          <w:sz w:val="13"/>
        </w:rPr>
        <w:t>of</w:t>
      </w:r>
      <w:r>
        <w:rPr>
          <w:i/>
          <w:spacing w:val="3"/>
          <w:w w:val="105"/>
          <w:sz w:val="13"/>
        </w:rPr>
        <w:t> </w:t>
      </w:r>
      <w:r>
        <w:rPr>
          <w:i/>
          <w:w w:val="105"/>
          <w:sz w:val="13"/>
        </w:rPr>
        <w:t>Deceased</w:t>
      </w:r>
      <w:r>
        <w:rPr>
          <w:i/>
          <w:spacing w:val="4"/>
          <w:w w:val="105"/>
          <w:sz w:val="13"/>
        </w:rPr>
        <w:t> </w:t>
      </w:r>
      <w:r>
        <w:rPr>
          <w:i/>
          <w:w w:val="105"/>
          <w:sz w:val="13"/>
        </w:rPr>
        <w:t>Persons</w:t>
      </w:r>
      <w:r>
        <w:rPr>
          <w:i/>
          <w:spacing w:val="4"/>
          <w:w w:val="105"/>
          <w:sz w:val="13"/>
        </w:rPr>
        <w:t> </w:t>
      </w:r>
      <w:r>
        <w:rPr>
          <w:i/>
          <w:w w:val="105"/>
          <w:sz w:val="13"/>
        </w:rPr>
        <w:t>in</w:t>
      </w:r>
      <w:r>
        <w:rPr>
          <w:i/>
          <w:spacing w:val="4"/>
          <w:w w:val="105"/>
          <w:sz w:val="13"/>
        </w:rPr>
        <w:t> </w:t>
      </w:r>
      <w:r>
        <w:rPr>
          <w:i/>
          <w:w w:val="105"/>
          <w:sz w:val="13"/>
        </w:rPr>
        <w:t>the</w:t>
      </w:r>
      <w:r>
        <w:rPr>
          <w:i/>
          <w:spacing w:val="4"/>
          <w:w w:val="105"/>
          <w:sz w:val="13"/>
        </w:rPr>
        <w:t> </w:t>
      </w:r>
      <w:r>
        <w:rPr>
          <w:i/>
          <w:w w:val="105"/>
          <w:sz w:val="13"/>
        </w:rPr>
        <w:t>Payment</w:t>
      </w:r>
    </w:p>
    <w:p>
      <w:pPr>
        <w:spacing w:before="2"/>
        <w:ind w:left="1225" w:right="1531" w:firstLine="0"/>
        <w:jc w:val="left"/>
        <w:rPr>
          <w:sz w:val="13"/>
        </w:rPr>
      </w:pPr>
      <w:r>
        <w:rPr>
          <w:i/>
          <w:w w:val="105"/>
          <w:sz w:val="13"/>
        </w:rPr>
        <w:t>of Debts and Legacies: Report</w:t>
      </w:r>
      <w:r>
        <w:rPr>
          <w:w w:val="105"/>
          <w:sz w:val="13"/>
        </w:rPr>
        <w:t>, Project No 34 Part VII (1988); National Committee for Uniform Succession Laws, </w:t>
      </w:r>
      <w:r>
        <w:rPr>
          <w:i/>
          <w:w w:val="105"/>
          <w:sz w:val="13"/>
        </w:rPr>
        <w:t>Administration of Estates: </w:t>
      </w:r>
      <w:r>
        <w:rPr>
          <w:i/>
          <w:w w:val="105"/>
          <w:sz w:val="13"/>
        </w:rPr>
        <w:t>Volume 2</w:t>
      </w:r>
      <w:r>
        <w:rPr>
          <w:w w:val="105"/>
          <w:sz w:val="13"/>
        </w:rPr>
        <w:t>, above n 14, 145.</w:t>
      </w:r>
    </w:p>
    <w:p>
      <w:pPr>
        <w:pStyle w:val="ListParagraph"/>
        <w:numPr>
          <w:ilvl w:val="0"/>
          <w:numId w:val="136"/>
        </w:numPr>
        <w:tabs>
          <w:tab w:pos="1225" w:val="left" w:leader="none"/>
          <w:tab w:pos="1226" w:val="left" w:leader="none"/>
        </w:tabs>
        <w:spacing w:line="240" w:lineRule="auto" w:before="2" w:after="0"/>
        <w:ind w:left="1225" w:right="0" w:hanging="793"/>
        <w:jc w:val="left"/>
        <w:rPr>
          <w:sz w:val="13"/>
        </w:rPr>
      </w:pPr>
      <w:r>
        <w:rPr>
          <w:w w:val="105"/>
          <w:sz w:val="13"/>
        </w:rPr>
        <w:t>Queensland</w:t>
      </w:r>
      <w:r>
        <w:rPr>
          <w:spacing w:val="4"/>
          <w:w w:val="105"/>
          <w:sz w:val="13"/>
        </w:rPr>
        <w:t> </w:t>
      </w:r>
      <w:r>
        <w:rPr>
          <w:w w:val="105"/>
          <w:sz w:val="13"/>
        </w:rPr>
        <w:t>Law</w:t>
      </w:r>
      <w:r>
        <w:rPr>
          <w:spacing w:val="5"/>
          <w:w w:val="105"/>
          <w:sz w:val="13"/>
        </w:rPr>
        <w:t> </w:t>
      </w:r>
      <w:r>
        <w:rPr>
          <w:w w:val="105"/>
          <w:sz w:val="13"/>
        </w:rPr>
        <w:t>Reform</w:t>
      </w:r>
      <w:r>
        <w:rPr>
          <w:spacing w:val="5"/>
          <w:w w:val="105"/>
          <w:sz w:val="13"/>
        </w:rPr>
        <w:t> </w:t>
      </w:r>
      <w:r>
        <w:rPr>
          <w:w w:val="105"/>
          <w:sz w:val="13"/>
        </w:rPr>
        <w:t>Commission,</w:t>
      </w:r>
      <w:r>
        <w:rPr>
          <w:spacing w:val="4"/>
          <w:w w:val="105"/>
          <w:sz w:val="13"/>
        </w:rPr>
        <w:t> </w:t>
      </w:r>
      <w:r>
        <w:rPr>
          <w:i/>
          <w:w w:val="105"/>
          <w:sz w:val="13"/>
        </w:rPr>
        <w:t>The</w:t>
      </w:r>
      <w:r>
        <w:rPr>
          <w:i/>
          <w:spacing w:val="4"/>
          <w:w w:val="105"/>
          <w:sz w:val="13"/>
        </w:rPr>
        <w:t> </w:t>
      </w:r>
      <w:r>
        <w:rPr>
          <w:i/>
          <w:w w:val="105"/>
          <w:sz w:val="13"/>
        </w:rPr>
        <w:t>Law</w:t>
      </w:r>
      <w:r>
        <w:rPr>
          <w:i/>
          <w:spacing w:val="4"/>
          <w:w w:val="105"/>
          <w:sz w:val="13"/>
        </w:rPr>
        <w:t> </w:t>
      </w:r>
      <w:r>
        <w:rPr>
          <w:i/>
          <w:w w:val="105"/>
          <w:sz w:val="13"/>
        </w:rPr>
        <w:t>of</w:t>
      </w:r>
      <w:r>
        <w:rPr>
          <w:i/>
          <w:spacing w:val="3"/>
          <w:w w:val="105"/>
          <w:sz w:val="13"/>
        </w:rPr>
        <w:t> </w:t>
      </w:r>
      <w:r>
        <w:rPr>
          <w:i/>
          <w:w w:val="105"/>
          <w:sz w:val="13"/>
        </w:rPr>
        <w:t>Wills</w:t>
      </w:r>
      <w:r>
        <w:rPr>
          <w:w w:val="105"/>
          <w:sz w:val="13"/>
        </w:rPr>
        <w:t>,</w:t>
      </w:r>
      <w:r>
        <w:rPr>
          <w:spacing w:val="5"/>
          <w:w w:val="105"/>
          <w:sz w:val="13"/>
        </w:rPr>
        <w:t> </w:t>
      </w:r>
      <w:r>
        <w:rPr>
          <w:spacing w:val="2"/>
          <w:w w:val="105"/>
          <w:sz w:val="13"/>
        </w:rPr>
        <w:t>Report</w:t>
      </w:r>
      <w:r>
        <w:rPr>
          <w:spacing w:val="5"/>
          <w:w w:val="105"/>
          <w:sz w:val="13"/>
        </w:rPr>
        <w:t> </w:t>
      </w:r>
      <w:r>
        <w:rPr>
          <w:w w:val="105"/>
          <w:sz w:val="13"/>
        </w:rPr>
        <w:t>No</w:t>
      </w:r>
      <w:r>
        <w:rPr>
          <w:spacing w:val="5"/>
          <w:w w:val="105"/>
          <w:sz w:val="13"/>
        </w:rPr>
        <w:t> </w:t>
      </w:r>
      <w:r>
        <w:rPr>
          <w:w w:val="105"/>
          <w:sz w:val="13"/>
        </w:rPr>
        <w:t>52</w:t>
      </w:r>
      <w:r>
        <w:rPr>
          <w:spacing w:val="4"/>
          <w:w w:val="105"/>
          <w:sz w:val="13"/>
        </w:rPr>
        <w:t> </w:t>
      </w:r>
      <w:r>
        <w:rPr>
          <w:w w:val="105"/>
          <w:sz w:val="13"/>
        </w:rPr>
        <w:t>(1997)</w:t>
      </w:r>
      <w:r>
        <w:rPr>
          <w:spacing w:val="5"/>
          <w:w w:val="105"/>
          <w:sz w:val="13"/>
        </w:rPr>
        <w:t> </w:t>
      </w:r>
      <w:r>
        <w:rPr>
          <w:w w:val="105"/>
          <w:sz w:val="13"/>
        </w:rPr>
        <w:t>15.</w:t>
      </w:r>
    </w:p>
    <w:p>
      <w:pPr>
        <w:pStyle w:val="ListParagraph"/>
        <w:numPr>
          <w:ilvl w:val="0"/>
          <w:numId w:val="136"/>
        </w:numPr>
        <w:tabs>
          <w:tab w:pos="1225" w:val="left" w:leader="none"/>
          <w:tab w:pos="1226" w:val="left" w:leader="none"/>
        </w:tabs>
        <w:spacing w:line="240" w:lineRule="auto" w:before="2" w:after="0"/>
        <w:ind w:left="1225" w:right="0" w:hanging="793"/>
        <w:jc w:val="left"/>
        <w:rPr>
          <w:sz w:val="13"/>
        </w:rPr>
      </w:pPr>
      <w:r>
        <w:rPr>
          <w:i/>
          <w:w w:val="105"/>
          <w:sz w:val="13"/>
        </w:rPr>
        <w:t>Civil</w:t>
      </w:r>
      <w:r>
        <w:rPr>
          <w:i/>
          <w:spacing w:val="3"/>
          <w:w w:val="105"/>
          <w:sz w:val="13"/>
        </w:rPr>
        <w:t> </w:t>
      </w:r>
      <w:r>
        <w:rPr>
          <w:i/>
          <w:w w:val="105"/>
          <w:sz w:val="13"/>
        </w:rPr>
        <w:t>Law</w:t>
      </w:r>
      <w:r>
        <w:rPr>
          <w:i/>
          <w:spacing w:val="4"/>
          <w:w w:val="105"/>
          <w:sz w:val="13"/>
        </w:rPr>
        <w:t> </w:t>
      </w:r>
      <w:r>
        <w:rPr>
          <w:i/>
          <w:spacing w:val="2"/>
          <w:w w:val="105"/>
          <w:sz w:val="13"/>
        </w:rPr>
        <w:t>(Property)</w:t>
      </w:r>
      <w:r>
        <w:rPr>
          <w:i/>
          <w:spacing w:val="4"/>
          <w:w w:val="105"/>
          <w:sz w:val="13"/>
        </w:rPr>
        <w:t> </w:t>
      </w:r>
      <w:r>
        <w:rPr>
          <w:i/>
          <w:w w:val="105"/>
          <w:sz w:val="13"/>
        </w:rPr>
        <w:t>Act</w:t>
      </w:r>
      <w:r>
        <w:rPr>
          <w:i/>
          <w:spacing w:val="4"/>
          <w:w w:val="105"/>
          <w:sz w:val="13"/>
        </w:rPr>
        <w:t> </w:t>
      </w:r>
      <w:r>
        <w:rPr>
          <w:i/>
          <w:w w:val="105"/>
          <w:sz w:val="13"/>
        </w:rPr>
        <w:t>2006</w:t>
      </w:r>
      <w:r>
        <w:rPr>
          <w:i/>
          <w:spacing w:val="4"/>
          <w:w w:val="105"/>
          <w:sz w:val="13"/>
        </w:rPr>
        <w:t> </w:t>
      </w:r>
      <w:r>
        <w:rPr>
          <w:spacing w:val="2"/>
          <w:w w:val="105"/>
          <w:sz w:val="13"/>
        </w:rPr>
        <w:t>(ACT)</w:t>
      </w:r>
      <w:r>
        <w:rPr>
          <w:spacing w:val="4"/>
          <w:w w:val="105"/>
          <w:sz w:val="13"/>
        </w:rPr>
        <w:t> </w:t>
      </w:r>
      <w:r>
        <w:rPr>
          <w:w w:val="105"/>
          <w:sz w:val="13"/>
        </w:rPr>
        <w:t>s</w:t>
      </w:r>
      <w:r>
        <w:rPr>
          <w:spacing w:val="5"/>
          <w:w w:val="105"/>
          <w:sz w:val="13"/>
        </w:rPr>
        <w:t> </w:t>
      </w:r>
      <w:r>
        <w:rPr>
          <w:spacing w:val="3"/>
          <w:w w:val="105"/>
          <w:sz w:val="13"/>
        </w:rPr>
        <w:t>500(2);</w:t>
      </w:r>
      <w:r>
        <w:rPr>
          <w:spacing w:val="5"/>
          <w:w w:val="105"/>
          <w:sz w:val="13"/>
        </w:rPr>
        <w:t> </w:t>
      </w:r>
      <w:r>
        <w:rPr>
          <w:i/>
          <w:w w:val="105"/>
          <w:sz w:val="13"/>
        </w:rPr>
        <w:t>Succession</w:t>
      </w:r>
      <w:r>
        <w:rPr>
          <w:i/>
          <w:spacing w:val="4"/>
          <w:w w:val="105"/>
          <w:sz w:val="13"/>
        </w:rPr>
        <w:t> </w:t>
      </w:r>
      <w:r>
        <w:rPr>
          <w:i/>
          <w:w w:val="105"/>
          <w:sz w:val="13"/>
        </w:rPr>
        <w:t>Act</w:t>
      </w:r>
      <w:r>
        <w:rPr>
          <w:i/>
          <w:spacing w:val="4"/>
          <w:w w:val="105"/>
          <w:sz w:val="13"/>
        </w:rPr>
        <w:t> </w:t>
      </w:r>
      <w:r>
        <w:rPr>
          <w:i/>
          <w:spacing w:val="-3"/>
          <w:w w:val="105"/>
          <w:sz w:val="13"/>
        </w:rPr>
        <w:t>1981</w:t>
      </w:r>
      <w:r>
        <w:rPr>
          <w:i/>
          <w:spacing w:val="3"/>
          <w:w w:val="105"/>
          <w:sz w:val="13"/>
        </w:rPr>
        <w:t> </w:t>
      </w:r>
      <w:r>
        <w:rPr>
          <w:spacing w:val="2"/>
          <w:w w:val="105"/>
          <w:sz w:val="13"/>
        </w:rPr>
        <w:t>(Qld)</w:t>
      </w:r>
      <w:r>
        <w:rPr>
          <w:spacing w:val="5"/>
          <w:w w:val="105"/>
          <w:sz w:val="13"/>
        </w:rPr>
        <w:t> </w:t>
      </w:r>
      <w:r>
        <w:rPr>
          <w:w w:val="105"/>
          <w:sz w:val="13"/>
        </w:rPr>
        <w:t>s</w:t>
      </w:r>
      <w:r>
        <w:rPr>
          <w:spacing w:val="5"/>
          <w:w w:val="105"/>
          <w:sz w:val="13"/>
        </w:rPr>
        <w:t> </w:t>
      </w:r>
      <w:r>
        <w:rPr>
          <w:w w:val="105"/>
          <w:sz w:val="13"/>
        </w:rPr>
        <w:t>61(1).</w:t>
      </w:r>
    </w:p>
    <w:p>
      <w:pPr>
        <w:pStyle w:val="ListParagraph"/>
        <w:numPr>
          <w:ilvl w:val="0"/>
          <w:numId w:val="136"/>
        </w:numPr>
        <w:tabs>
          <w:tab w:pos="1225" w:val="left" w:leader="none"/>
          <w:tab w:pos="1226" w:val="left" w:leader="none"/>
        </w:tabs>
        <w:spacing w:line="240" w:lineRule="auto" w:before="1" w:after="0"/>
        <w:ind w:left="1225" w:right="2725" w:hanging="793"/>
        <w:jc w:val="left"/>
        <w:rPr>
          <w:sz w:val="13"/>
        </w:rPr>
      </w:pPr>
      <w:r>
        <w:rPr>
          <w:w w:val="105"/>
          <w:sz w:val="13"/>
        </w:rPr>
        <w:t>Submissions </w:t>
      </w:r>
      <w:r>
        <w:rPr>
          <w:spacing w:val="-3"/>
          <w:w w:val="105"/>
          <w:sz w:val="13"/>
        </w:rPr>
        <w:t>19 </w:t>
      </w:r>
      <w:r>
        <w:rPr>
          <w:spacing w:val="2"/>
          <w:w w:val="105"/>
          <w:sz w:val="13"/>
        </w:rPr>
        <w:t>(Association </w:t>
      </w:r>
      <w:r>
        <w:rPr>
          <w:w w:val="105"/>
          <w:sz w:val="13"/>
        </w:rPr>
        <w:t>of Independent Retirees); 32 </w:t>
      </w:r>
      <w:r>
        <w:rPr>
          <w:spacing w:val="2"/>
          <w:w w:val="105"/>
          <w:sz w:val="13"/>
        </w:rPr>
        <w:t>(The </w:t>
      </w:r>
      <w:r>
        <w:rPr>
          <w:w w:val="105"/>
          <w:sz w:val="13"/>
        </w:rPr>
        <w:t>Institute of Legal Executives); 33 (State Trustees Limited); 36</w:t>
      </w:r>
      <w:r>
        <w:rPr>
          <w:spacing w:val="5"/>
          <w:w w:val="105"/>
          <w:sz w:val="13"/>
        </w:rPr>
        <w:t> </w:t>
      </w:r>
      <w:r>
        <w:rPr>
          <w:spacing w:val="3"/>
          <w:w w:val="105"/>
          <w:sz w:val="13"/>
        </w:rPr>
        <w:t>(Law</w:t>
      </w:r>
      <w:r>
        <w:rPr>
          <w:spacing w:val="5"/>
          <w:w w:val="105"/>
          <w:sz w:val="13"/>
        </w:rPr>
        <w:t> </w:t>
      </w:r>
      <w:r>
        <w:rPr>
          <w:w w:val="105"/>
          <w:sz w:val="13"/>
        </w:rPr>
        <w:t>Society</w:t>
      </w:r>
      <w:r>
        <w:rPr>
          <w:spacing w:val="5"/>
          <w:w w:val="105"/>
          <w:sz w:val="13"/>
        </w:rPr>
        <w:t> </w:t>
      </w:r>
      <w:r>
        <w:rPr>
          <w:w w:val="105"/>
          <w:sz w:val="13"/>
        </w:rPr>
        <w:t>of</w:t>
      </w:r>
      <w:r>
        <w:rPr>
          <w:spacing w:val="5"/>
          <w:w w:val="105"/>
          <w:sz w:val="13"/>
        </w:rPr>
        <w:t> </w:t>
      </w:r>
      <w:r>
        <w:rPr>
          <w:w w:val="105"/>
          <w:sz w:val="13"/>
        </w:rPr>
        <w:t>New</w:t>
      </w:r>
      <w:r>
        <w:rPr>
          <w:spacing w:val="5"/>
          <w:w w:val="105"/>
          <w:sz w:val="13"/>
        </w:rPr>
        <w:t> </w:t>
      </w:r>
      <w:r>
        <w:rPr>
          <w:w w:val="105"/>
          <w:sz w:val="13"/>
        </w:rPr>
        <w:t>South</w:t>
      </w:r>
      <w:r>
        <w:rPr>
          <w:spacing w:val="5"/>
          <w:w w:val="105"/>
          <w:sz w:val="13"/>
        </w:rPr>
        <w:t> </w:t>
      </w:r>
      <w:r>
        <w:rPr>
          <w:w w:val="105"/>
          <w:sz w:val="13"/>
        </w:rPr>
        <w:t>Wales);</w:t>
      </w:r>
      <w:r>
        <w:rPr>
          <w:spacing w:val="5"/>
          <w:w w:val="105"/>
          <w:sz w:val="13"/>
        </w:rPr>
        <w:t> </w:t>
      </w:r>
      <w:r>
        <w:rPr>
          <w:w w:val="105"/>
          <w:sz w:val="13"/>
        </w:rPr>
        <w:t>Advisory</w:t>
      </w:r>
      <w:r>
        <w:rPr>
          <w:spacing w:val="5"/>
          <w:w w:val="105"/>
          <w:sz w:val="13"/>
        </w:rPr>
        <w:t> </w:t>
      </w:r>
      <w:r>
        <w:rPr>
          <w:w w:val="105"/>
          <w:sz w:val="13"/>
        </w:rPr>
        <w:t>Committee</w:t>
      </w:r>
      <w:r>
        <w:rPr>
          <w:spacing w:val="5"/>
          <w:w w:val="105"/>
          <w:sz w:val="13"/>
        </w:rPr>
        <w:t> </w:t>
      </w:r>
      <w:r>
        <w:rPr>
          <w:w w:val="105"/>
          <w:sz w:val="13"/>
        </w:rPr>
        <w:t>(Meeting</w:t>
      </w:r>
      <w:r>
        <w:rPr>
          <w:spacing w:val="5"/>
          <w:w w:val="105"/>
          <w:sz w:val="13"/>
        </w:rPr>
        <w:t> </w:t>
      </w:r>
      <w:r>
        <w:rPr>
          <w:w w:val="105"/>
          <w:sz w:val="13"/>
        </w:rPr>
        <w:t>1).</w:t>
      </w:r>
    </w:p>
    <w:p>
      <w:pPr>
        <w:pStyle w:val="ListParagraph"/>
        <w:numPr>
          <w:ilvl w:val="0"/>
          <w:numId w:val="136"/>
        </w:numPr>
        <w:tabs>
          <w:tab w:pos="1225" w:val="left" w:leader="none"/>
          <w:tab w:pos="1226" w:val="left" w:leader="none"/>
        </w:tabs>
        <w:spacing w:line="240" w:lineRule="auto" w:before="3" w:after="0"/>
        <w:ind w:left="1225" w:right="0" w:hanging="793"/>
        <w:jc w:val="left"/>
        <w:rPr>
          <w:sz w:val="13"/>
        </w:rPr>
      </w:pPr>
      <w:r>
        <w:rPr>
          <w:w w:val="105"/>
          <w:sz w:val="13"/>
        </w:rPr>
        <w:t>Submission 33 (State Trustees</w:t>
      </w:r>
      <w:r>
        <w:rPr>
          <w:spacing w:val="18"/>
          <w:w w:val="105"/>
          <w:sz w:val="13"/>
        </w:rPr>
        <w:t> </w:t>
      </w:r>
      <w:r>
        <w:rPr>
          <w:w w:val="105"/>
          <w:sz w:val="13"/>
        </w:rPr>
        <w:t>Limited).</w:t>
      </w:r>
    </w:p>
    <w:p>
      <w:pPr>
        <w:pStyle w:val="ListParagraph"/>
        <w:numPr>
          <w:ilvl w:val="0"/>
          <w:numId w:val="136"/>
        </w:numPr>
        <w:tabs>
          <w:tab w:pos="1225" w:val="left" w:leader="none"/>
          <w:tab w:pos="1227" w:val="left" w:leader="none"/>
        </w:tabs>
        <w:spacing w:line="240" w:lineRule="auto" w:before="1" w:after="0"/>
        <w:ind w:left="1226" w:right="0" w:hanging="794"/>
        <w:jc w:val="left"/>
        <w:rPr>
          <w:sz w:val="13"/>
        </w:rPr>
      </w:pPr>
      <w:r>
        <w:rPr>
          <w:w w:val="105"/>
          <w:sz w:val="13"/>
        </w:rPr>
        <w:t>Submission 8 (Patricia</w:t>
      </w:r>
      <w:r>
        <w:rPr>
          <w:spacing w:val="13"/>
          <w:w w:val="105"/>
          <w:sz w:val="13"/>
        </w:rPr>
        <w:t> </w:t>
      </w:r>
      <w:r>
        <w:rPr>
          <w:w w:val="105"/>
          <w:sz w:val="13"/>
        </w:rPr>
        <w:t>Strachan).</w:t>
      </w:r>
    </w:p>
    <w:p>
      <w:pPr>
        <w:pStyle w:val="ListParagraph"/>
        <w:numPr>
          <w:ilvl w:val="0"/>
          <w:numId w:val="136"/>
        </w:numPr>
        <w:tabs>
          <w:tab w:pos="1225" w:val="left" w:leader="none"/>
          <w:tab w:pos="1227" w:val="left" w:leader="none"/>
        </w:tabs>
        <w:spacing w:line="240" w:lineRule="auto" w:before="1" w:after="0"/>
        <w:ind w:left="1226" w:right="0" w:hanging="794"/>
        <w:jc w:val="left"/>
        <w:rPr>
          <w:sz w:val="13"/>
        </w:rPr>
      </w:pPr>
      <w:r>
        <w:rPr>
          <w:w w:val="105"/>
          <w:sz w:val="13"/>
        </w:rPr>
        <w:t>Submission </w:t>
      </w:r>
      <w:r>
        <w:rPr>
          <w:spacing w:val="-3"/>
          <w:w w:val="105"/>
          <w:sz w:val="13"/>
        </w:rPr>
        <w:t>14 </w:t>
      </w:r>
      <w:r>
        <w:rPr>
          <w:w w:val="105"/>
          <w:sz w:val="13"/>
        </w:rPr>
        <w:t>(Commercial Bar</w:t>
      </w:r>
      <w:r>
        <w:rPr>
          <w:spacing w:val="21"/>
          <w:w w:val="105"/>
          <w:sz w:val="13"/>
        </w:rPr>
        <w:t> </w:t>
      </w:r>
      <w:r>
        <w:rPr>
          <w:spacing w:val="2"/>
          <w:w w:val="105"/>
          <w:sz w:val="13"/>
        </w:rPr>
        <w:t>Association).</w:t>
      </w:r>
    </w:p>
    <w:p>
      <w:pPr>
        <w:spacing w:after="0" w:line="240" w:lineRule="auto"/>
        <w:jc w:val="left"/>
        <w:rPr>
          <w:sz w:val="13"/>
        </w:rPr>
        <w:sectPr>
          <w:type w:val="continuous"/>
          <w:pgSz w:w="11910" w:h="16840"/>
          <w:pgMar w:top="920" w:bottom="280" w:left="0" w:right="0"/>
          <w:cols w:num="2" w:equalWidth="0">
            <w:col w:w="1116" w:space="40"/>
            <w:col w:w="10754"/>
          </w:cols>
        </w:sectPr>
      </w:pPr>
    </w:p>
    <w:p>
      <w:pPr>
        <w:pStyle w:val="BodyText"/>
        <w:rPr>
          <w:sz w:val="20"/>
        </w:rPr>
      </w:pPr>
    </w:p>
    <w:p>
      <w:pPr>
        <w:pStyle w:val="BodyText"/>
        <w:spacing w:before="1"/>
        <w:rPr>
          <w:sz w:val="18"/>
        </w:rPr>
      </w:pPr>
    </w:p>
    <w:p>
      <w:pPr>
        <w:pStyle w:val="Heading5"/>
        <w:spacing w:before="99"/>
      </w:pPr>
      <w:bookmarkStart w:name="Insolvent estates" w:id="143"/>
      <w:bookmarkEnd w:id="143"/>
      <w:r>
        <w:rPr>
          <w:b w:val="0"/>
        </w:rPr>
      </w:r>
      <w:r>
        <w:rPr>
          <w:w w:val="115"/>
        </w:rPr>
        <w:t>Effect on successful family provision claims</w:t>
      </w:r>
    </w:p>
    <w:p>
      <w:pPr>
        <w:pStyle w:val="ListParagraph"/>
        <w:numPr>
          <w:ilvl w:val="1"/>
          <w:numId w:val="22"/>
        </w:numPr>
        <w:tabs>
          <w:tab w:pos="2380" w:val="left" w:leader="none"/>
          <w:tab w:pos="2381" w:val="left" w:leader="none"/>
        </w:tabs>
        <w:spacing w:line="242" w:lineRule="auto" w:before="137" w:after="0"/>
        <w:ind w:left="2381" w:right="1960" w:hanging="794"/>
        <w:jc w:val="left"/>
        <w:rPr>
          <w:sz w:val="21"/>
        </w:rPr>
      </w:pPr>
      <w:r>
        <w:rPr>
          <w:sz w:val="21"/>
        </w:rPr>
        <w:t>The </w:t>
      </w:r>
      <w:r>
        <w:rPr>
          <w:spacing w:val="-3"/>
          <w:sz w:val="21"/>
        </w:rPr>
        <w:t>terms </w:t>
      </w:r>
      <w:r>
        <w:rPr>
          <w:sz w:val="21"/>
        </w:rPr>
        <w:t>of </w:t>
      </w:r>
      <w:r>
        <w:rPr>
          <w:spacing w:val="-3"/>
          <w:sz w:val="21"/>
        </w:rPr>
        <w:t>reference </w:t>
      </w:r>
      <w:r>
        <w:rPr>
          <w:sz w:val="21"/>
        </w:rPr>
        <w:t>direct the </w:t>
      </w:r>
      <w:r>
        <w:rPr>
          <w:spacing w:val="-3"/>
          <w:sz w:val="21"/>
        </w:rPr>
        <w:t>Commission to  consider  </w:t>
      </w:r>
      <w:r>
        <w:rPr>
          <w:sz w:val="21"/>
        </w:rPr>
        <w:t>the effect of the application  of assets </w:t>
      </w:r>
      <w:r>
        <w:rPr>
          <w:spacing w:val="-3"/>
          <w:sz w:val="21"/>
        </w:rPr>
        <w:t>to </w:t>
      </w:r>
      <w:r>
        <w:rPr>
          <w:sz w:val="21"/>
        </w:rPr>
        <w:t>the payment of debts on the estate </w:t>
      </w:r>
      <w:r>
        <w:rPr>
          <w:spacing w:val="-3"/>
          <w:sz w:val="21"/>
        </w:rPr>
        <w:t>that </w:t>
      </w:r>
      <w:r>
        <w:rPr>
          <w:sz w:val="21"/>
        </w:rPr>
        <w:t>is </w:t>
      </w:r>
      <w:r>
        <w:rPr>
          <w:spacing w:val="-3"/>
          <w:sz w:val="21"/>
        </w:rPr>
        <w:t>available for </w:t>
      </w:r>
      <w:r>
        <w:rPr>
          <w:spacing w:val="-2"/>
          <w:sz w:val="21"/>
        </w:rPr>
        <w:t>distribution </w:t>
      </w:r>
      <w:r>
        <w:rPr>
          <w:spacing w:val="-3"/>
          <w:sz w:val="21"/>
        </w:rPr>
        <w:t>to </w:t>
      </w:r>
      <w:r>
        <w:rPr>
          <w:sz w:val="21"/>
        </w:rPr>
        <w:t>beneficiaries</w:t>
      </w:r>
      <w:r>
        <w:rPr>
          <w:spacing w:val="10"/>
          <w:sz w:val="21"/>
        </w:rPr>
        <w:t> </w:t>
      </w:r>
      <w:r>
        <w:rPr>
          <w:sz w:val="21"/>
        </w:rPr>
        <w:t>or</w:t>
      </w:r>
      <w:r>
        <w:rPr>
          <w:spacing w:val="10"/>
          <w:sz w:val="21"/>
        </w:rPr>
        <w:t> </w:t>
      </w:r>
      <w:r>
        <w:rPr>
          <w:spacing w:val="-3"/>
          <w:sz w:val="21"/>
        </w:rPr>
        <w:t>to</w:t>
      </w:r>
      <w:r>
        <w:rPr>
          <w:spacing w:val="9"/>
          <w:sz w:val="21"/>
        </w:rPr>
        <w:t> </w:t>
      </w:r>
      <w:r>
        <w:rPr>
          <w:sz w:val="21"/>
        </w:rPr>
        <w:t>meet</w:t>
      </w:r>
      <w:r>
        <w:rPr>
          <w:spacing w:val="10"/>
          <w:sz w:val="21"/>
        </w:rPr>
        <w:t> </w:t>
      </w:r>
      <w:r>
        <w:rPr>
          <w:sz w:val="21"/>
        </w:rPr>
        <w:t>a</w:t>
      </w:r>
      <w:r>
        <w:rPr>
          <w:spacing w:val="10"/>
          <w:sz w:val="21"/>
        </w:rPr>
        <w:t> </w:t>
      </w:r>
      <w:r>
        <w:rPr>
          <w:spacing w:val="-3"/>
          <w:sz w:val="21"/>
        </w:rPr>
        <w:t>successful</w:t>
      </w:r>
      <w:r>
        <w:rPr>
          <w:spacing w:val="10"/>
          <w:sz w:val="21"/>
        </w:rPr>
        <w:t> </w:t>
      </w:r>
      <w:r>
        <w:rPr>
          <w:spacing w:val="-3"/>
          <w:sz w:val="21"/>
        </w:rPr>
        <w:t>family</w:t>
      </w:r>
      <w:r>
        <w:rPr>
          <w:spacing w:val="10"/>
          <w:sz w:val="21"/>
        </w:rPr>
        <w:t> </w:t>
      </w:r>
      <w:r>
        <w:rPr>
          <w:spacing w:val="-3"/>
          <w:sz w:val="21"/>
        </w:rPr>
        <w:t>provision</w:t>
      </w:r>
      <w:r>
        <w:rPr>
          <w:spacing w:val="10"/>
          <w:sz w:val="21"/>
        </w:rPr>
        <w:t> </w:t>
      </w:r>
      <w:r>
        <w:rPr>
          <w:spacing w:val="-3"/>
          <w:sz w:val="21"/>
        </w:rPr>
        <w:t>claim.</w:t>
      </w:r>
    </w:p>
    <w:p>
      <w:pPr>
        <w:pStyle w:val="ListParagraph"/>
        <w:numPr>
          <w:ilvl w:val="1"/>
          <w:numId w:val="22"/>
        </w:numPr>
        <w:tabs>
          <w:tab w:pos="2380" w:val="left" w:leader="none"/>
          <w:tab w:pos="2381" w:val="left" w:leader="none"/>
        </w:tabs>
        <w:spacing w:line="242" w:lineRule="auto" w:before="124" w:after="0"/>
        <w:ind w:left="2381" w:right="1585" w:hanging="794"/>
        <w:jc w:val="left"/>
        <w:rPr>
          <w:sz w:val="12"/>
        </w:rPr>
      </w:pPr>
      <w:r>
        <w:rPr>
          <w:spacing w:val="-3"/>
          <w:sz w:val="21"/>
        </w:rPr>
        <w:t>Paying </w:t>
      </w:r>
      <w:r>
        <w:rPr>
          <w:sz w:val="21"/>
        </w:rPr>
        <w:t>the debts of an </w:t>
      </w:r>
      <w:r>
        <w:rPr>
          <w:spacing w:val="-3"/>
          <w:sz w:val="21"/>
        </w:rPr>
        <w:t>estate, </w:t>
      </w:r>
      <w:r>
        <w:rPr>
          <w:sz w:val="21"/>
        </w:rPr>
        <w:t>and </w:t>
      </w:r>
      <w:r>
        <w:rPr>
          <w:spacing w:val="-3"/>
          <w:sz w:val="21"/>
        </w:rPr>
        <w:t>thereby determining </w:t>
      </w:r>
      <w:r>
        <w:rPr>
          <w:sz w:val="21"/>
        </w:rPr>
        <w:t>its net </w:t>
      </w:r>
      <w:r>
        <w:rPr>
          <w:spacing w:val="-4"/>
          <w:sz w:val="21"/>
        </w:rPr>
        <w:t>value, </w:t>
      </w:r>
      <w:r>
        <w:rPr>
          <w:spacing w:val="-3"/>
          <w:sz w:val="21"/>
        </w:rPr>
        <w:t>will naturally  reduce </w:t>
      </w:r>
      <w:r>
        <w:rPr>
          <w:sz w:val="21"/>
        </w:rPr>
        <w:t>what is left in the estate </w:t>
      </w:r>
      <w:r>
        <w:rPr>
          <w:spacing w:val="-3"/>
          <w:sz w:val="21"/>
        </w:rPr>
        <w:t>for </w:t>
      </w:r>
      <w:r>
        <w:rPr>
          <w:sz w:val="21"/>
        </w:rPr>
        <w:t>beneficiaries </w:t>
      </w:r>
      <w:r>
        <w:rPr>
          <w:spacing w:val="-3"/>
          <w:sz w:val="21"/>
        </w:rPr>
        <w:t>and, </w:t>
      </w:r>
      <w:r>
        <w:rPr>
          <w:sz w:val="21"/>
        </w:rPr>
        <w:t>it </w:t>
      </w:r>
      <w:r>
        <w:rPr>
          <w:spacing w:val="-3"/>
          <w:sz w:val="21"/>
        </w:rPr>
        <w:t>follows, for family provision claimants. </w:t>
      </w:r>
      <w:r>
        <w:rPr>
          <w:sz w:val="21"/>
        </w:rPr>
        <w:t>Applicants </w:t>
      </w:r>
      <w:r>
        <w:rPr>
          <w:spacing w:val="-3"/>
          <w:sz w:val="21"/>
        </w:rPr>
        <w:t>for family provision </w:t>
      </w:r>
      <w:r>
        <w:rPr>
          <w:sz w:val="21"/>
        </w:rPr>
        <w:t>seek </w:t>
      </w:r>
      <w:r>
        <w:rPr>
          <w:spacing w:val="-3"/>
          <w:sz w:val="21"/>
        </w:rPr>
        <w:t>provision </w:t>
      </w:r>
      <w:r>
        <w:rPr>
          <w:sz w:val="21"/>
        </w:rPr>
        <w:t>out of the net </w:t>
      </w:r>
      <w:r>
        <w:rPr>
          <w:spacing w:val="-3"/>
          <w:sz w:val="21"/>
        </w:rPr>
        <w:t>estate,  </w:t>
      </w:r>
      <w:r>
        <w:rPr>
          <w:sz w:val="21"/>
        </w:rPr>
        <w:t>as a </w:t>
      </w:r>
      <w:r>
        <w:rPr>
          <w:spacing w:val="-3"/>
          <w:sz w:val="21"/>
        </w:rPr>
        <w:t>family</w:t>
      </w:r>
      <w:r>
        <w:rPr>
          <w:spacing w:val="41"/>
          <w:sz w:val="21"/>
        </w:rPr>
        <w:t> </w:t>
      </w:r>
      <w:r>
        <w:rPr>
          <w:spacing w:val="-3"/>
          <w:sz w:val="21"/>
        </w:rPr>
        <w:t>provision </w:t>
      </w:r>
      <w:r>
        <w:rPr>
          <w:sz w:val="21"/>
        </w:rPr>
        <w:t>order </w:t>
      </w:r>
      <w:r>
        <w:rPr>
          <w:spacing w:val="-3"/>
          <w:sz w:val="21"/>
        </w:rPr>
        <w:t>will </w:t>
      </w:r>
      <w:r>
        <w:rPr>
          <w:sz w:val="21"/>
        </w:rPr>
        <w:t>operate as either a </w:t>
      </w:r>
      <w:r>
        <w:rPr>
          <w:spacing w:val="-3"/>
          <w:sz w:val="21"/>
        </w:rPr>
        <w:t>codicil to </w:t>
      </w:r>
      <w:r>
        <w:rPr>
          <w:sz w:val="21"/>
        </w:rPr>
        <w:t>the </w:t>
      </w:r>
      <w:r>
        <w:rPr>
          <w:spacing w:val="-3"/>
          <w:sz w:val="21"/>
        </w:rPr>
        <w:t>will,</w:t>
      </w:r>
      <w:r>
        <w:rPr>
          <w:spacing w:val="-3"/>
          <w:position w:val="7"/>
          <w:sz w:val="12"/>
        </w:rPr>
        <w:t>53  </w:t>
      </w:r>
      <w:r>
        <w:rPr>
          <w:sz w:val="21"/>
        </w:rPr>
        <w:t>or a </w:t>
      </w:r>
      <w:r>
        <w:rPr>
          <w:spacing w:val="-3"/>
          <w:sz w:val="21"/>
        </w:rPr>
        <w:t>variation  </w:t>
      </w:r>
      <w:r>
        <w:rPr>
          <w:sz w:val="21"/>
        </w:rPr>
        <w:t>of the statutory distribution on</w:t>
      </w:r>
      <w:r>
        <w:rPr>
          <w:spacing w:val="8"/>
          <w:sz w:val="21"/>
        </w:rPr>
        <w:t> </w:t>
      </w:r>
      <w:r>
        <w:rPr>
          <w:spacing w:val="-3"/>
          <w:sz w:val="21"/>
        </w:rPr>
        <w:t>intestacy.</w:t>
      </w:r>
      <w:r>
        <w:rPr>
          <w:spacing w:val="-3"/>
          <w:position w:val="7"/>
          <w:sz w:val="12"/>
        </w:rPr>
        <w:t>54</w:t>
      </w:r>
    </w:p>
    <w:p>
      <w:pPr>
        <w:pStyle w:val="ListParagraph"/>
        <w:numPr>
          <w:ilvl w:val="1"/>
          <w:numId w:val="22"/>
        </w:numPr>
        <w:tabs>
          <w:tab w:pos="2381" w:val="left" w:leader="none"/>
          <w:tab w:pos="2382" w:val="left" w:leader="none"/>
        </w:tabs>
        <w:spacing w:line="242" w:lineRule="auto" w:before="125" w:after="0"/>
        <w:ind w:left="2381" w:right="1646" w:hanging="794"/>
        <w:jc w:val="left"/>
        <w:rPr>
          <w:sz w:val="21"/>
        </w:rPr>
      </w:pPr>
      <w:r>
        <w:rPr>
          <w:sz w:val="21"/>
        </w:rPr>
        <w:t>The order of application of assets </w:t>
      </w:r>
      <w:r>
        <w:rPr>
          <w:spacing w:val="-3"/>
          <w:sz w:val="21"/>
        </w:rPr>
        <w:t>to </w:t>
      </w:r>
      <w:r>
        <w:rPr>
          <w:spacing w:val="-2"/>
          <w:sz w:val="21"/>
        </w:rPr>
        <w:t>pay </w:t>
      </w:r>
      <w:r>
        <w:rPr>
          <w:sz w:val="21"/>
        </w:rPr>
        <w:t>the debts of an estate is designed </w:t>
      </w:r>
      <w:r>
        <w:rPr>
          <w:spacing w:val="-3"/>
          <w:sz w:val="21"/>
        </w:rPr>
        <w:t>to </w:t>
      </w:r>
      <w:r>
        <w:rPr>
          <w:sz w:val="21"/>
        </w:rPr>
        <w:t>adjust the burden of debts between the beneficiaries of </w:t>
      </w:r>
      <w:r>
        <w:rPr>
          <w:spacing w:val="-3"/>
          <w:sz w:val="21"/>
        </w:rPr>
        <w:t>that estate.  </w:t>
      </w:r>
      <w:r>
        <w:rPr>
          <w:sz w:val="21"/>
        </w:rPr>
        <w:t>As the </w:t>
      </w:r>
      <w:r>
        <w:rPr>
          <w:spacing w:val="-3"/>
          <w:sz w:val="21"/>
        </w:rPr>
        <w:t>size</w:t>
      </w:r>
      <w:r>
        <w:rPr>
          <w:spacing w:val="41"/>
          <w:sz w:val="21"/>
        </w:rPr>
        <w:t> </w:t>
      </w:r>
      <w:r>
        <w:rPr>
          <w:sz w:val="21"/>
        </w:rPr>
        <w:t>of the net estate is  </w:t>
      </w:r>
      <w:r>
        <w:rPr>
          <w:spacing w:val="-2"/>
          <w:sz w:val="21"/>
        </w:rPr>
        <w:t>not </w:t>
      </w:r>
      <w:r>
        <w:rPr>
          <w:sz w:val="21"/>
        </w:rPr>
        <w:t>affected by this </w:t>
      </w:r>
      <w:r>
        <w:rPr>
          <w:spacing w:val="-3"/>
          <w:sz w:val="21"/>
        </w:rPr>
        <w:t>exercise, </w:t>
      </w:r>
      <w:r>
        <w:rPr>
          <w:sz w:val="21"/>
        </w:rPr>
        <w:t>the </w:t>
      </w:r>
      <w:r>
        <w:rPr>
          <w:spacing w:val="-3"/>
          <w:sz w:val="21"/>
        </w:rPr>
        <w:t>manner </w:t>
      </w:r>
      <w:r>
        <w:rPr>
          <w:sz w:val="21"/>
        </w:rPr>
        <w:t>in which assets </w:t>
      </w:r>
      <w:r>
        <w:rPr>
          <w:spacing w:val="-3"/>
          <w:sz w:val="21"/>
        </w:rPr>
        <w:t>are </w:t>
      </w:r>
      <w:r>
        <w:rPr>
          <w:sz w:val="21"/>
        </w:rPr>
        <w:t>applied </w:t>
      </w:r>
      <w:r>
        <w:rPr>
          <w:spacing w:val="-3"/>
          <w:sz w:val="21"/>
        </w:rPr>
        <w:t>to </w:t>
      </w:r>
      <w:r>
        <w:rPr>
          <w:sz w:val="21"/>
        </w:rPr>
        <w:t>debt payment </w:t>
      </w:r>
      <w:r>
        <w:rPr>
          <w:spacing w:val="-3"/>
          <w:sz w:val="21"/>
        </w:rPr>
        <w:t>will have </w:t>
      </w:r>
      <w:r>
        <w:rPr>
          <w:sz w:val="21"/>
        </w:rPr>
        <w:t>no impact on the estate </w:t>
      </w:r>
      <w:r>
        <w:rPr>
          <w:spacing w:val="-3"/>
          <w:sz w:val="21"/>
        </w:rPr>
        <w:t>available to </w:t>
      </w:r>
      <w:r>
        <w:rPr>
          <w:sz w:val="21"/>
        </w:rPr>
        <w:t>meet a </w:t>
      </w:r>
      <w:r>
        <w:rPr>
          <w:spacing w:val="-3"/>
          <w:sz w:val="21"/>
        </w:rPr>
        <w:t>successful family provision</w:t>
      </w:r>
      <w:r>
        <w:rPr>
          <w:spacing w:val="-21"/>
          <w:sz w:val="21"/>
        </w:rPr>
        <w:t> </w:t>
      </w:r>
      <w:r>
        <w:rPr>
          <w:spacing w:val="-3"/>
          <w:sz w:val="21"/>
        </w:rPr>
        <w:t>claim.</w:t>
      </w:r>
    </w:p>
    <w:p>
      <w:pPr>
        <w:pStyle w:val="BodyText"/>
        <w:spacing w:before="11"/>
      </w:pPr>
    </w:p>
    <w:p>
      <w:pPr>
        <w:spacing w:before="1"/>
        <w:ind w:left="1587" w:right="0" w:firstLine="0"/>
        <w:jc w:val="left"/>
        <w:rPr>
          <w:b/>
          <w:sz w:val="28"/>
        </w:rPr>
      </w:pPr>
      <w:r>
        <w:rPr>
          <w:b/>
          <w:color w:val="EC5A4F"/>
          <w:w w:val="110"/>
          <w:sz w:val="28"/>
        </w:rPr>
        <w:t>Insolvent estates</w:t>
      </w:r>
    </w:p>
    <w:p>
      <w:pPr>
        <w:pStyle w:val="Heading5"/>
        <w:spacing w:before="166"/>
      </w:pPr>
      <w:r>
        <w:rPr>
          <w:w w:val="115"/>
        </w:rPr>
        <w:t>Application of the Bankruptcy Act to payment of debts</w:t>
      </w:r>
    </w:p>
    <w:p>
      <w:pPr>
        <w:pStyle w:val="ListParagraph"/>
        <w:numPr>
          <w:ilvl w:val="1"/>
          <w:numId w:val="22"/>
        </w:numPr>
        <w:tabs>
          <w:tab w:pos="2381" w:val="left" w:leader="none"/>
          <w:tab w:pos="2382" w:val="left" w:leader="none"/>
        </w:tabs>
        <w:spacing w:line="242" w:lineRule="auto" w:before="137" w:after="0"/>
        <w:ind w:left="2381" w:right="1699" w:hanging="794"/>
        <w:jc w:val="left"/>
        <w:rPr>
          <w:sz w:val="12"/>
        </w:rPr>
      </w:pPr>
      <w:r>
        <w:rPr>
          <w:w w:val="105"/>
          <w:sz w:val="21"/>
        </w:rPr>
        <w:t>Insolvent estates </w:t>
      </w:r>
      <w:r>
        <w:rPr>
          <w:spacing w:val="-3"/>
          <w:w w:val="105"/>
          <w:sz w:val="21"/>
        </w:rPr>
        <w:t>are administered </w:t>
      </w:r>
      <w:r>
        <w:rPr>
          <w:w w:val="105"/>
          <w:sz w:val="21"/>
        </w:rPr>
        <w:t>either under the </w:t>
      </w:r>
      <w:r>
        <w:rPr>
          <w:spacing w:val="-3"/>
          <w:w w:val="105"/>
          <w:sz w:val="21"/>
        </w:rPr>
        <w:t>Administration </w:t>
      </w:r>
      <w:r>
        <w:rPr>
          <w:w w:val="105"/>
          <w:sz w:val="21"/>
        </w:rPr>
        <w:t>and </w:t>
      </w:r>
      <w:r>
        <w:rPr>
          <w:spacing w:val="-3"/>
          <w:w w:val="105"/>
          <w:sz w:val="21"/>
        </w:rPr>
        <w:t>Probate </w:t>
      </w:r>
      <w:r>
        <w:rPr>
          <w:w w:val="105"/>
          <w:sz w:val="21"/>
        </w:rPr>
        <w:t>Act, importing</w:t>
      </w:r>
      <w:r>
        <w:rPr>
          <w:spacing w:val="-11"/>
          <w:w w:val="105"/>
          <w:sz w:val="21"/>
        </w:rPr>
        <w:t> </w:t>
      </w:r>
      <w:r>
        <w:rPr>
          <w:w w:val="105"/>
          <w:sz w:val="21"/>
        </w:rPr>
        <w:t>specified</w:t>
      </w:r>
      <w:r>
        <w:rPr>
          <w:spacing w:val="-10"/>
          <w:w w:val="105"/>
          <w:sz w:val="21"/>
        </w:rPr>
        <w:t> </w:t>
      </w:r>
      <w:r>
        <w:rPr>
          <w:w w:val="105"/>
          <w:sz w:val="21"/>
        </w:rPr>
        <w:t>rules</w:t>
      </w:r>
      <w:r>
        <w:rPr>
          <w:spacing w:val="-10"/>
          <w:w w:val="105"/>
          <w:sz w:val="21"/>
        </w:rPr>
        <w:t> </w:t>
      </w:r>
      <w:r>
        <w:rPr>
          <w:w w:val="105"/>
          <w:sz w:val="21"/>
        </w:rPr>
        <w:t>and</w:t>
      </w:r>
      <w:r>
        <w:rPr>
          <w:spacing w:val="-11"/>
          <w:w w:val="105"/>
          <w:sz w:val="21"/>
        </w:rPr>
        <w:t> </w:t>
      </w:r>
      <w:r>
        <w:rPr>
          <w:w w:val="105"/>
          <w:sz w:val="21"/>
        </w:rPr>
        <w:t>priorities</w:t>
      </w:r>
      <w:r>
        <w:rPr>
          <w:spacing w:val="-10"/>
          <w:w w:val="105"/>
          <w:sz w:val="21"/>
        </w:rPr>
        <w:t> </w:t>
      </w:r>
      <w:r>
        <w:rPr>
          <w:w w:val="105"/>
          <w:sz w:val="21"/>
        </w:rPr>
        <w:t>of</w:t>
      </w:r>
      <w:r>
        <w:rPr>
          <w:spacing w:val="-10"/>
          <w:w w:val="105"/>
          <w:sz w:val="21"/>
        </w:rPr>
        <w:t> </w:t>
      </w:r>
      <w:r>
        <w:rPr>
          <w:w w:val="105"/>
          <w:sz w:val="21"/>
        </w:rPr>
        <w:t>the</w:t>
      </w:r>
      <w:r>
        <w:rPr>
          <w:spacing w:val="-11"/>
          <w:w w:val="105"/>
          <w:sz w:val="21"/>
        </w:rPr>
        <w:t> </w:t>
      </w:r>
      <w:r>
        <w:rPr>
          <w:spacing w:val="-4"/>
          <w:w w:val="105"/>
          <w:sz w:val="21"/>
        </w:rPr>
        <w:t>Commonwealth</w:t>
      </w:r>
      <w:r>
        <w:rPr>
          <w:spacing w:val="-10"/>
          <w:w w:val="105"/>
          <w:sz w:val="21"/>
        </w:rPr>
        <w:t> </w:t>
      </w:r>
      <w:r>
        <w:rPr>
          <w:w w:val="105"/>
          <w:sz w:val="21"/>
        </w:rPr>
        <w:t>Bankruptcy</w:t>
      </w:r>
      <w:r>
        <w:rPr>
          <w:spacing w:val="-10"/>
          <w:w w:val="105"/>
          <w:sz w:val="21"/>
        </w:rPr>
        <w:t> </w:t>
      </w:r>
      <w:r>
        <w:rPr>
          <w:w w:val="105"/>
          <w:sz w:val="21"/>
        </w:rPr>
        <w:t>Act,</w:t>
      </w:r>
      <w:r>
        <w:rPr>
          <w:spacing w:val="-11"/>
          <w:w w:val="105"/>
          <w:sz w:val="21"/>
        </w:rPr>
        <w:t> </w:t>
      </w:r>
      <w:r>
        <w:rPr>
          <w:w w:val="105"/>
          <w:sz w:val="21"/>
        </w:rPr>
        <w:t>or</w:t>
      </w:r>
      <w:r>
        <w:rPr>
          <w:spacing w:val="-10"/>
          <w:w w:val="105"/>
          <w:sz w:val="21"/>
        </w:rPr>
        <w:t> </w:t>
      </w:r>
      <w:r>
        <w:rPr>
          <w:w w:val="105"/>
          <w:sz w:val="21"/>
        </w:rPr>
        <w:t>directly under</w:t>
      </w:r>
      <w:r>
        <w:rPr>
          <w:spacing w:val="-14"/>
          <w:w w:val="105"/>
          <w:sz w:val="21"/>
        </w:rPr>
        <w:t> </w:t>
      </w:r>
      <w:r>
        <w:rPr>
          <w:w w:val="105"/>
          <w:sz w:val="21"/>
        </w:rPr>
        <w:t>the</w:t>
      </w:r>
      <w:r>
        <w:rPr>
          <w:spacing w:val="-14"/>
          <w:w w:val="105"/>
          <w:sz w:val="21"/>
        </w:rPr>
        <w:t> </w:t>
      </w:r>
      <w:r>
        <w:rPr>
          <w:w w:val="105"/>
          <w:sz w:val="21"/>
        </w:rPr>
        <w:t>Bankruptcy</w:t>
      </w:r>
      <w:r>
        <w:rPr>
          <w:spacing w:val="-13"/>
          <w:w w:val="105"/>
          <w:sz w:val="21"/>
        </w:rPr>
        <w:t> </w:t>
      </w:r>
      <w:r>
        <w:rPr>
          <w:w w:val="105"/>
          <w:sz w:val="21"/>
        </w:rPr>
        <w:t>Act.</w:t>
      </w:r>
      <w:r>
        <w:rPr>
          <w:spacing w:val="-14"/>
          <w:w w:val="105"/>
          <w:sz w:val="21"/>
        </w:rPr>
        <w:t> </w:t>
      </w:r>
      <w:r>
        <w:rPr>
          <w:w w:val="105"/>
          <w:sz w:val="21"/>
        </w:rPr>
        <w:t>All</w:t>
      </w:r>
      <w:r>
        <w:rPr>
          <w:spacing w:val="-14"/>
          <w:w w:val="105"/>
          <w:sz w:val="21"/>
        </w:rPr>
        <w:t> </w:t>
      </w:r>
      <w:r>
        <w:rPr>
          <w:spacing w:val="-3"/>
          <w:w w:val="105"/>
          <w:sz w:val="21"/>
        </w:rPr>
        <w:t>Australian</w:t>
      </w:r>
      <w:r>
        <w:rPr>
          <w:spacing w:val="-13"/>
          <w:w w:val="105"/>
          <w:sz w:val="21"/>
        </w:rPr>
        <w:t> </w:t>
      </w:r>
      <w:r>
        <w:rPr>
          <w:w w:val="105"/>
          <w:sz w:val="21"/>
        </w:rPr>
        <w:t>jurisdictions</w:t>
      </w:r>
      <w:r>
        <w:rPr>
          <w:spacing w:val="-14"/>
          <w:w w:val="105"/>
          <w:sz w:val="21"/>
        </w:rPr>
        <w:t> </w:t>
      </w:r>
      <w:r>
        <w:rPr>
          <w:spacing w:val="-3"/>
          <w:w w:val="105"/>
          <w:sz w:val="21"/>
        </w:rPr>
        <w:t>have</w:t>
      </w:r>
      <w:r>
        <w:rPr>
          <w:spacing w:val="-14"/>
          <w:w w:val="105"/>
          <w:sz w:val="21"/>
        </w:rPr>
        <w:t> </w:t>
      </w:r>
      <w:r>
        <w:rPr>
          <w:spacing w:val="-3"/>
          <w:w w:val="105"/>
          <w:sz w:val="21"/>
        </w:rPr>
        <w:t>equivalent</w:t>
      </w:r>
      <w:r>
        <w:rPr>
          <w:spacing w:val="-13"/>
          <w:w w:val="105"/>
          <w:sz w:val="21"/>
        </w:rPr>
        <w:t> </w:t>
      </w:r>
      <w:r>
        <w:rPr>
          <w:w w:val="105"/>
          <w:sz w:val="21"/>
        </w:rPr>
        <w:t>statutory</w:t>
      </w:r>
      <w:r>
        <w:rPr>
          <w:spacing w:val="-14"/>
          <w:w w:val="105"/>
          <w:sz w:val="21"/>
        </w:rPr>
        <w:t> </w:t>
      </w:r>
      <w:r>
        <w:rPr>
          <w:spacing w:val="-3"/>
          <w:w w:val="105"/>
          <w:sz w:val="21"/>
        </w:rPr>
        <w:t>provisions that </w:t>
      </w:r>
      <w:r>
        <w:rPr>
          <w:w w:val="105"/>
          <w:sz w:val="21"/>
        </w:rPr>
        <w:t>apply the rules of bankruptcy </w:t>
      </w:r>
      <w:r>
        <w:rPr>
          <w:spacing w:val="-3"/>
          <w:w w:val="105"/>
          <w:sz w:val="21"/>
        </w:rPr>
        <w:t>to </w:t>
      </w:r>
      <w:r>
        <w:rPr>
          <w:w w:val="105"/>
          <w:sz w:val="21"/>
        </w:rPr>
        <w:t>the </w:t>
      </w:r>
      <w:r>
        <w:rPr>
          <w:spacing w:val="-3"/>
          <w:w w:val="105"/>
          <w:sz w:val="21"/>
        </w:rPr>
        <w:t>administration </w:t>
      </w:r>
      <w:r>
        <w:rPr>
          <w:w w:val="105"/>
          <w:sz w:val="21"/>
        </w:rPr>
        <w:t>of </w:t>
      </w:r>
      <w:r>
        <w:rPr>
          <w:spacing w:val="-3"/>
          <w:w w:val="105"/>
          <w:sz w:val="21"/>
        </w:rPr>
        <w:t>insolvent</w:t>
      </w:r>
      <w:r>
        <w:rPr>
          <w:spacing w:val="5"/>
          <w:w w:val="105"/>
          <w:sz w:val="21"/>
        </w:rPr>
        <w:t> </w:t>
      </w:r>
      <w:r>
        <w:rPr>
          <w:w w:val="105"/>
          <w:sz w:val="21"/>
        </w:rPr>
        <w:t>estates.</w:t>
      </w:r>
      <w:r>
        <w:rPr>
          <w:w w:val="105"/>
          <w:position w:val="7"/>
          <w:sz w:val="12"/>
        </w:rPr>
        <w:t>55</w:t>
      </w:r>
    </w:p>
    <w:p>
      <w:pPr>
        <w:pStyle w:val="BodyText"/>
        <w:spacing w:before="1"/>
        <w:rPr>
          <w:sz w:val="27"/>
        </w:rPr>
      </w:pPr>
    </w:p>
    <w:p>
      <w:pPr>
        <w:pStyle w:val="Heading6"/>
      </w:pPr>
      <w:r>
        <w:rPr>
          <w:w w:val="115"/>
        </w:rPr>
        <w:t>Indirect application under the Administration and Probate Act</w:t>
      </w:r>
    </w:p>
    <w:p>
      <w:pPr>
        <w:pStyle w:val="ListParagraph"/>
        <w:numPr>
          <w:ilvl w:val="1"/>
          <w:numId w:val="22"/>
        </w:numPr>
        <w:tabs>
          <w:tab w:pos="2380" w:val="left" w:leader="none"/>
          <w:tab w:pos="2381" w:val="left" w:leader="none"/>
        </w:tabs>
        <w:spacing w:line="242" w:lineRule="auto" w:before="151" w:after="0"/>
        <w:ind w:left="2381" w:right="1846" w:hanging="794"/>
        <w:jc w:val="left"/>
        <w:rPr>
          <w:sz w:val="21"/>
        </w:rPr>
      </w:pPr>
      <w:r>
        <w:rPr>
          <w:sz w:val="21"/>
        </w:rPr>
        <w:t>Section 39 of the </w:t>
      </w:r>
      <w:r>
        <w:rPr>
          <w:spacing w:val="-3"/>
          <w:sz w:val="21"/>
        </w:rPr>
        <w:t>Administration </w:t>
      </w:r>
      <w:r>
        <w:rPr>
          <w:sz w:val="21"/>
        </w:rPr>
        <w:t>and </w:t>
      </w:r>
      <w:r>
        <w:rPr>
          <w:spacing w:val="-3"/>
          <w:sz w:val="21"/>
        </w:rPr>
        <w:t>Probate </w:t>
      </w:r>
      <w:r>
        <w:rPr>
          <w:sz w:val="21"/>
        </w:rPr>
        <w:t>Act directs </w:t>
      </w:r>
      <w:r>
        <w:rPr>
          <w:spacing w:val="-3"/>
          <w:sz w:val="21"/>
        </w:rPr>
        <w:t>that insolvent </w:t>
      </w:r>
      <w:r>
        <w:rPr>
          <w:sz w:val="21"/>
        </w:rPr>
        <w:t>estates must be </w:t>
      </w:r>
      <w:r>
        <w:rPr>
          <w:spacing w:val="-3"/>
          <w:sz w:val="21"/>
        </w:rPr>
        <w:t>administered</w:t>
      </w:r>
      <w:r>
        <w:rPr>
          <w:spacing w:val="16"/>
          <w:sz w:val="21"/>
        </w:rPr>
        <w:t> </w:t>
      </w:r>
      <w:r>
        <w:rPr>
          <w:spacing w:val="-3"/>
          <w:sz w:val="21"/>
        </w:rPr>
        <w:t>according</w:t>
      </w:r>
      <w:r>
        <w:rPr>
          <w:spacing w:val="17"/>
          <w:sz w:val="21"/>
        </w:rPr>
        <w:t> </w:t>
      </w:r>
      <w:r>
        <w:rPr>
          <w:spacing w:val="-3"/>
          <w:sz w:val="21"/>
        </w:rPr>
        <w:t>to</w:t>
      </w:r>
      <w:r>
        <w:rPr>
          <w:spacing w:val="17"/>
          <w:sz w:val="21"/>
        </w:rPr>
        <w:t> </w:t>
      </w:r>
      <w:r>
        <w:rPr>
          <w:sz w:val="21"/>
        </w:rPr>
        <w:t>the</w:t>
      </w:r>
      <w:r>
        <w:rPr>
          <w:spacing w:val="17"/>
          <w:sz w:val="21"/>
        </w:rPr>
        <w:t> </w:t>
      </w:r>
      <w:r>
        <w:rPr>
          <w:sz w:val="21"/>
        </w:rPr>
        <w:t>rules</w:t>
      </w:r>
      <w:r>
        <w:rPr>
          <w:spacing w:val="16"/>
          <w:sz w:val="21"/>
        </w:rPr>
        <w:t> </w:t>
      </w:r>
      <w:r>
        <w:rPr>
          <w:sz w:val="21"/>
        </w:rPr>
        <w:t>set</w:t>
      </w:r>
      <w:r>
        <w:rPr>
          <w:spacing w:val="17"/>
          <w:sz w:val="21"/>
        </w:rPr>
        <w:t> </w:t>
      </w:r>
      <w:r>
        <w:rPr>
          <w:sz w:val="21"/>
        </w:rPr>
        <w:t>out</w:t>
      </w:r>
      <w:r>
        <w:rPr>
          <w:spacing w:val="17"/>
          <w:sz w:val="21"/>
        </w:rPr>
        <w:t> </w:t>
      </w:r>
      <w:r>
        <w:rPr>
          <w:sz w:val="21"/>
        </w:rPr>
        <w:t>in</w:t>
      </w:r>
      <w:r>
        <w:rPr>
          <w:spacing w:val="17"/>
          <w:sz w:val="21"/>
        </w:rPr>
        <w:t> </w:t>
      </w:r>
      <w:r>
        <w:rPr>
          <w:sz w:val="21"/>
        </w:rPr>
        <w:t>Part</w:t>
      </w:r>
      <w:r>
        <w:rPr>
          <w:spacing w:val="17"/>
          <w:sz w:val="21"/>
        </w:rPr>
        <w:t> </w:t>
      </w:r>
      <w:r>
        <w:rPr>
          <w:sz w:val="21"/>
        </w:rPr>
        <w:t>I</w:t>
      </w:r>
      <w:r>
        <w:rPr>
          <w:spacing w:val="16"/>
          <w:sz w:val="21"/>
        </w:rPr>
        <w:t> </w:t>
      </w:r>
      <w:r>
        <w:rPr>
          <w:sz w:val="21"/>
        </w:rPr>
        <w:t>of</w:t>
      </w:r>
      <w:r>
        <w:rPr>
          <w:spacing w:val="17"/>
          <w:sz w:val="21"/>
        </w:rPr>
        <w:t> </w:t>
      </w:r>
      <w:r>
        <w:rPr>
          <w:sz w:val="21"/>
        </w:rPr>
        <w:t>the</w:t>
      </w:r>
      <w:r>
        <w:rPr>
          <w:spacing w:val="17"/>
          <w:sz w:val="21"/>
        </w:rPr>
        <w:t> </w:t>
      </w:r>
      <w:r>
        <w:rPr>
          <w:sz w:val="21"/>
        </w:rPr>
        <w:t>Second</w:t>
      </w:r>
      <w:r>
        <w:rPr>
          <w:spacing w:val="17"/>
          <w:sz w:val="21"/>
        </w:rPr>
        <w:t> </w:t>
      </w:r>
      <w:r>
        <w:rPr>
          <w:sz w:val="21"/>
        </w:rPr>
        <w:t>Schedule</w:t>
      </w:r>
      <w:r>
        <w:rPr>
          <w:spacing w:val="16"/>
          <w:sz w:val="21"/>
        </w:rPr>
        <w:t> </w:t>
      </w:r>
      <w:r>
        <w:rPr>
          <w:spacing w:val="-3"/>
          <w:sz w:val="21"/>
        </w:rPr>
        <w:t>to</w:t>
      </w:r>
      <w:r>
        <w:rPr>
          <w:spacing w:val="17"/>
          <w:sz w:val="21"/>
        </w:rPr>
        <w:t> </w:t>
      </w:r>
      <w:r>
        <w:rPr>
          <w:sz w:val="21"/>
        </w:rPr>
        <w:t>the</w:t>
      </w:r>
      <w:r>
        <w:rPr>
          <w:spacing w:val="17"/>
          <w:sz w:val="21"/>
        </w:rPr>
        <w:t> </w:t>
      </w:r>
      <w:r>
        <w:rPr>
          <w:sz w:val="21"/>
        </w:rPr>
        <w:t>Act.</w:t>
      </w:r>
    </w:p>
    <w:p>
      <w:pPr>
        <w:pStyle w:val="ListParagraph"/>
        <w:numPr>
          <w:ilvl w:val="1"/>
          <w:numId w:val="22"/>
        </w:numPr>
        <w:tabs>
          <w:tab w:pos="2380" w:val="left" w:leader="none"/>
          <w:tab w:pos="2381" w:val="left" w:leader="none"/>
        </w:tabs>
        <w:spacing w:line="242" w:lineRule="auto" w:before="122" w:after="0"/>
        <w:ind w:left="2381" w:right="1838" w:hanging="794"/>
        <w:jc w:val="left"/>
        <w:rPr>
          <w:sz w:val="21"/>
        </w:rPr>
      </w:pPr>
      <w:r>
        <w:rPr>
          <w:sz w:val="21"/>
        </w:rPr>
        <w:t>Part I of the schedule provides </w:t>
      </w:r>
      <w:r>
        <w:rPr>
          <w:spacing w:val="-3"/>
          <w:sz w:val="21"/>
        </w:rPr>
        <w:t>that, </w:t>
      </w:r>
      <w:r>
        <w:rPr>
          <w:sz w:val="21"/>
        </w:rPr>
        <w:t>subject </w:t>
      </w:r>
      <w:r>
        <w:rPr>
          <w:spacing w:val="-3"/>
          <w:sz w:val="21"/>
        </w:rPr>
        <w:t>to funeral, </w:t>
      </w:r>
      <w:r>
        <w:rPr>
          <w:sz w:val="21"/>
        </w:rPr>
        <w:t>testamentary and </w:t>
      </w:r>
      <w:r>
        <w:rPr>
          <w:spacing w:val="-3"/>
          <w:sz w:val="21"/>
        </w:rPr>
        <w:t>administration </w:t>
      </w:r>
      <w:r>
        <w:rPr>
          <w:sz w:val="21"/>
        </w:rPr>
        <w:t>expenses </w:t>
      </w:r>
      <w:r>
        <w:rPr>
          <w:spacing w:val="-3"/>
          <w:sz w:val="21"/>
        </w:rPr>
        <w:t>having priority, </w:t>
      </w:r>
      <w:r>
        <w:rPr>
          <w:sz w:val="21"/>
        </w:rPr>
        <w:t>the rules of </w:t>
      </w:r>
      <w:r>
        <w:rPr>
          <w:spacing w:val="-4"/>
          <w:sz w:val="21"/>
        </w:rPr>
        <w:t>Commonwealth </w:t>
      </w:r>
      <w:r>
        <w:rPr>
          <w:sz w:val="21"/>
        </w:rPr>
        <w:t>bankruptcy law </w:t>
      </w:r>
      <w:r>
        <w:rPr>
          <w:spacing w:val="-3"/>
          <w:sz w:val="21"/>
        </w:rPr>
        <w:t>will</w:t>
      </w:r>
      <w:r>
        <w:rPr>
          <w:spacing w:val="3"/>
          <w:sz w:val="21"/>
        </w:rPr>
        <w:t> </w:t>
      </w:r>
      <w:r>
        <w:rPr>
          <w:sz w:val="21"/>
        </w:rPr>
        <w:t>apply:</w:t>
      </w:r>
    </w:p>
    <w:p>
      <w:pPr>
        <w:spacing w:line="254" w:lineRule="auto" w:before="132"/>
        <w:ind w:left="2721" w:right="1826" w:firstLine="0"/>
        <w:jc w:val="left"/>
        <w:rPr>
          <w:sz w:val="20"/>
        </w:rPr>
      </w:pPr>
      <w:r>
        <w:rPr>
          <w:w w:val="105"/>
          <w:sz w:val="20"/>
        </w:rPr>
        <w:t>Subject as aforesaid, the same rules shall </w:t>
      </w:r>
      <w:r>
        <w:rPr>
          <w:spacing w:val="-3"/>
          <w:w w:val="105"/>
          <w:sz w:val="20"/>
        </w:rPr>
        <w:t>prevail </w:t>
      </w:r>
      <w:r>
        <w:rPr>
          <w:w w:val="105"/>
          <w:sz w:val="20"/>
        </w:rPr>
        <w:t>and be observed as to the respective rights</w:t>
      </w:r>
      <w:r>
        <w:rPr>
          <w:spacing w:val="-12"/>
          <w:w w:val="105"/>
          <w:sz w:val="20"/>
        </w:rPr>
        <w:t> </w:t>
      </w:r>
      <w:r>
        <w:rPr>
          <w:w w:val="105"/>
          <w:sz w:val="20"/>
        </w:rPr>
        <w:t>of</w:t>
      </w:r>
      <w:r>
        <w:rPr>
          <w:spacing w:val="-11"/>
          <w:w w:val="105"/>
          <w:sz w:val="20"/>
        </w:rPr>
        <w:t> </w:t>
      </w:r>
      <w:r>
        <w:rPr>
          <w:w w:val="105"/>
          <w:sz w:val="20"/>
        </w:rPr>
        <w:t>secured</w:t>
      </w:r>
      <w:r>
        <w:rPr>
          <w:spacing w:val="-11"/>
          <w:w w:val="105"/>
          <w:sz w:val="20"/>
        </w:rPr>
        <w:t> </w:t>
      </w:r>
      <w:r>
        <w:rPr>
          <w:w w:val="105"/>
          <w:sz w:val="20"/>
        </w:rPr>
        <w:t>and</w:t>
      </w:r>
      <w:r>
        <w:rPr>
          <w:spacing w:val="-11"/>
          <w:w w:val="105"/>
          <w:sz w:val="20"/>
        </w:rPr>
        <w:t> </w:t>
      </w:r>
      <w:r>
        <w:rPr>
          <w:w w:val="105"/>
          <w:sz w:val="20"/>
        </w:rPr>
        <w:t>unsecured</w:t>
      </w:r>
      <w:r>
        <w:rPr>
          <w:spacing w:val="-11"/>
          <w:w w:val="105"/>
          <w:sz w:val="20"/>
        </w:rPr>
        <w:t> </w:t>
      </w:r>
      <w:r>
        <w:rPr>
          <w:w w:val="105"/>
          <w:sz w:val="20"/>
        </w:rPr>
        <w:t>creditors</w:t>
      </w:r>
      <w:r>
        <w:rPr>
          <w:spacing w:val="-11"/>
          <w:w w:val="105"/>
          <w:sz w:val="20"/>
        </w:rPr>
        <w:t> </w:t>
      </w:r>
      <w:r>
        <w:rPr>
          <w:w w:val="105"/>
          <w:sz w:val="20"/>
        </w:rPr>
        <w:t>and</w:t>
      </w:r>
      <w:r>
        <w:rPr>
          <w:spacing w:val="-11"/>
          <w:w w:val="105"/>
          <w:sz w:val="20"/>
        </w:rPr>
        <w:t> </w:t>
      </w:r>
      <w:r>
        <w:rPr>
          <w:w w:val="105"/>
          <w:sz w:val="20"/>
        </w:rPr>
        <w:t>as</w:t>
      </w:r>
      <w:r>
        <w:rPr>
          <w:spacing w:val="-11"/>
          <w:w w:val="105"/>
          <w:sz w:val="20"/>
        </w:rPr>
        <w:t> </w:t>
      </w:r>
      <w:r>
        <w:rPr>
          <w:w w:val="105"/>
          <w:sz w:val="20"/>
        </w:rPr>
        <w:t>to</w:t>
      </w:r>
      <w:r>
        <w:rPr>
          <w:spacing w:val="-11"/>
          <w:w w:val="105"/>
          <w:sz w:val="20"/>
        </w:rPr>
        <w:t> </w:t>
      </w:r>
      <w:r>
        <w:rPr>
          <w:w w:val="105"/>
          <w:sz w:val="20"/>
        </w:rPr>
        <w:t>debts</w:t>
      </w:r>
      <w:r>
        <w:rPr>
          <w:spacing w:val="-11"/>
          <w:w w:val="105"/>
          <w:sz w:val="20"/>
        </w:rPr>
        <w:t> </w:t>
      </w:r>
      <w:r>
        <w:rPr>
          <w:w w:val="105"/>
          <w:sz w:val="20"/>
        </w:rPr>
        <w:t>and</w:t>
      </w:r>
      <w:r>
        <w:rPr>
          <w:spacing w:val="-11"/>
          <w:w w:val="105"/>
          <w:sz w:val="20"/>
        </w:rPr>
        <w:t> </w:t>
      </w:r>
      <w:r>
        <w:rPr>
          <w:w w:val="105"/>
          <w:sz w:val="20"/>
        </w:rPr>
        <w:t>liabilities</w:t>
      </w:r>
      <w:r>
        <w:rPr>
          <w:spacing w:val="-12"/>
          <w:w w:val="105"/>
          <w:sz w:val="20"/>
        </w:rPr>
        <w:t> </w:t>
      </w:r>
      <w:r>
        <w:rPr>
          <w:w w:val="105"/>
          <w:sz w:val="20"/>
        </w:rPr>
        <w:t>provable</w:t>
      </w:r>
      <w:r>
        <w:rPr>
          <w:spacing w:val="-11"/>
          <w:w w:val="105"/>
          <w:sz w:val="20"/>
        </w:rPr>
        <w:t> </w:t>
      </w:r>
      <w:r>
        <w:rPr>
          <w:w w:val="105"/>
          <w:sz w:val="20"/>
        </w:rPr>
        <w:t>and</w:t>
      </w:r>
      <w:r>
        <w:rPr>
          <w:spacing w:val="-11"/>
          <w:w w:val="105"/>
          <w:sz w:val="20"/>
        </w:rPr>
        <w:t> </w:t>
      </w:r>
      <w:r>
        <w:rPr>
          <w:w w:val="105"/>
          <w:sz w:val="20"/>
        </w:rPr>
        <w:t>as to</w:t>
      </w:r>
      <w:r>
        <w:rPr>
          <w:spacing w:val="-9"/>
          <w:w w:val="105"/>
          <w:sz w:val="20"/>
        </w:rPr>
        <w:t> </w:t>
      </w:r>
      <w:r>
        <w:rPr>
          <w:w w:val="105"/>
          <w:sz w:val="20"/>
        </w:rPr>
        <w:t>the</w:t>
      </w:r>
      <w:r>
        <w:rPr>
          <w:spacing w:val="-9"/>
          <w:w w:val="105"/>
          <w:sz w:val="20"/>
        </w:rPr>
        <w:t> </w:t>
      </w:r>
      <w:r>
        <w:rPr>
          <w:spacing w:val="-2"/>
          <w:w w:val="105"/>
          <w:sz w:val="20"/>
        </w:rPr>
        <w:t>valuation</w:t>
      </w:r>
      <w:r>
        <w:rPr>
          <w:spacing w:val="-9"/>
          <w:w w:val="105"/>
          <w:sz w:val="20"/>
        </w:rPr>
        <w:t> </w:t>
      </w:r>
      <w:r>
        <w:rPr>
          <w:w w:val="105"/>
          <w:sz w:val="20"/>
        </w:rPr>
        <w:t>of</w:t>
      </w:r>
      <w:r>
        <w:rPr>
          <w:spacing w:val="-8"/>
          <w:w w:val="105"/>
          <w:sz w:val="20"/>
        </w:rPr>
        <w:t> </w:t>
      </w:r>
      <w:r>
        <w:rPr>
          <w:w w:val="105"/>
          <w:sz w:val="20"/>
        </w:rPr>
        <w:t>annuities</w:t>
      </w:r>
      <w:r>
        <w:rPr>
          <w:spacing w:val="-9"/>
          <w:w w:val="105"/>
          <w:sz w:val="20"/>
        </w:rPr>
        <w:t> </w:t>
      </w:r>
      <w:r>
        <w:rPr>
          <w:w w:val="105"/>
          <w:sz w:val="20"/>
        </w:rPr>
        <w:t>and</w:t>
      </w:r>
      <w:r>
        <w:rPr>
          <w:spacing w:val="-9"/>
          <w:w w:val="105"/>
          <w:sz w:val="20"/>
        </w:rPr>
        <w:t> </w:t>
      </w:r>
      <w:r>
        <w:rPr>
          <w:spacing w:val="-3"/>
          <w:w w:val="105"/>
          <w:sz w:val="20"/>
        </w:rPr>
        <w:t>future</w:t>
      </w:r>
      <w:r>
        <w:rPr>
          <w:spacing w:val="-9"/>
          <w:w w:val="105"/>
          <w:sz w:val="20"/>
        </w:rPr>
        <w:t> </w:t>
      </w:r>
      <w:r>
        <w:rPr>
          <w:w w:val="105"/>
          <w:sz w:val="20"/>
        </w:rPr>
        <w:t>and</w:t>
      </w:r>
      <w:r>
        <w:rPr>
          <w:spacing w:val="-8"/>
          <w:w w:val="105"/>
          <w:sz w:val="20"/>
        </w:rPr>
        <w:t> </w:t>
      </w:r>
      <w:r>
        <w:rPr>
          <w:spacing w:val="-3"/>
          <w:w w:val="105"/>
          <w:sz w:val="20"/>
        </w:rPr>
        <w:t>contingent</w:t>
      </w:r>
      <w:r>
        <w:rPr>
          <w:spacing w:val="-9"/>
          <w:w w:val="105"/>
          <w:sz w:val="20"/>
        </w:rPr>
        <w:t> </w:t>
      </w:r>
      <w:r>
        <w:rPr>
          <w:w w:val="105"/>
          <w:sz w:val="20"/>
        </w:rPr>
        <w:t>liabilities</w:t>
      </w:r>
      <w:r>
        <w:rPr>
          <w:spacing w:val="-9"/>
          <w:w w:val="105"/>
          <w:sz w:val="20"/>
        </w:rPr>
        <w:t> </w:t>
      </w:r>
      <w:r>
        <w:rPr>
          <w:w w:val="105"/>
          <w:sz w:val="20"/>
        </w:rPr>
        <w:t>respectively,</w:t>
      </w:r>
      <w:r>
        <w:rPr>
          <w:spacing w:val="-8"/>
          <w:w w:val="105"/>
          <w:sz w:val="20"/>
        </w:rPr>
        <w:t> </w:t>
      </w:r>
      <w:r>
        <w:rPr>
          <w:w w:val="105"/>
          <w:sz w:val="20"/>
        </w:rPr>
        <w:t>and</w:t>
      </w:r>
      <w:r>
        <w:rPr>
          <w:spacing w:val="-9"/>
          <w:w w:val="105"/>
          <w:sz w:val="20"/>
        </w:rPr>
        <w:t> </w:t>
      </w:r>
      <w:r>
        <w:rPr>
          <w:w w:val="105"/>
          <w:sz w:val="20"/>
        </w:rPr>
        <w:t>as</w:t>
      </w:r>
      <w:r>
        <w:rPr>
          <w:spacing w:val="-9"/>
          <w:w w:val="105"/>
          <w:sz w:val="20"/>
        </w:rPr>
        <w:t> </w:t>
      </w:r>
      <w:r>
        <w:rPr>
          <w:w w:val="105"/>
          <w:sz w:val="20"/>
        </w:rPr>
        <w:t>to the</w:t>
      </w:r>
      <w:r>
        <w:rPr>
          <w:spacing w:val="-8"/>
          <w:w w:val="105"/>
          <w:sz w:val="20"/>
        </w:rPr>
        <w:t> </w:t>
      </w:r>
      <w:r>
        <w:rPr>
          <w:w w:val="105"/>
          <w:sz w:val="20"/>
        </w:rPr>
        <w:t>priorities</w:t>
      </w:r>
      <w:r>
        <w:rPr>
          <w:spacing w:val="-7"/>
          <w:w w:val="105"/>
          <w:sz w:val="20"/>
        </w:rPr>
        <w:t> </w:t>
      </w:r>
      <w:r>
        <w:rPr>
          <w:w w:val="105"/>
          <w:sz w:val="20"/>
        </w:rPr>
        <w:t>of</w:t>
      </w:r>
      <w:r>
        <w:rPr>
          <w:spacing w:val="-8"/>
          <w:w w:val="105"/>
          <w:sz w:val="20"/>
        </w:rPr>
        <w:t> </w:t>
      </w:r>
      <w:r>
        <w:rPr>
          <w:w w:val="105"/>
          <w:sz w:val="20"/>
        </w:rPr>
        <w:t>debts</w:t>
      </w:r>
      <w:r>
        <w:rPr>
          <w:spacing w:val="-7"/>
          <w:w w:val="105"/>
          <w:sz w:val="20"/>
        </w:rPr>
        <w:t> </w:t>
      </w:r>
      <w:r>
        <w:rPr>
          <w:w w:val="105"/>
          <w:sz w:val="20"/>
        </w:rPr>
        <w:t>and</w:t>
      </w:r>
      <w:r>
        <w:rPr>
          <w:spacing w:val="-7"/>
          <w:w w:val="105"/>
          <w:sz w:val="20"/>
        </w:rPr>
        <w:t> </w:t>
      </w:r>
      <w:r>
        <w:rPr>
          <w:w w:val="105"/>
          <w:sz w:val="20"/>
        </w:rPr>
        <w:t>liabilities</w:t>
      </w:r>
      <w:r>
        <w:rPr>
          <w:spacing w:val="-8"/>
          <w:w w:val="105"/>
          <w:sz w:val="20"/>
        </w:rPr>
        <w:t> </w:t>
      </w:r>
      <w:r>
        <w:rPr>
          <w:w w:val="105"/>
          <w:sz w:val="20"/>
        </w:rPr>
        <w:t>as</w:t>
      </w:r>
      <w:r>
        <w:rPr>
          <w:spacing w:val="-7"/>
          <w:w w:val="105"/>
          <w:sz w:val="20"/>
        </w:rPr>
        <w:t> </w:t>
      </w:r>
      <w:r>
        <w:rPr>
          <w:w w:val="105"/>
          <w:sz w:val="20"/>
        </w:rPr>
        <w:t>may</w:t>
      </w:r>
      <w:r>
        <w:rPr>
          <w:spacing w:val="-7"/>
          <w:w w:val="105"/>
          <w:sz w:val="20"/>
        </w:rPr>
        <w:t> </w:t>
      </w:r>
      <w:r>
        <w:rPr>
          <w:w w:val="105"/>
          <w:sz w:val="20"/>
        </w:rPr>
        <w:t>be</w:t>
      </w:r>
      <w:r>
        <w:rPr>
          <w:spacing w:val="-8"/>
          <w:w w:val="105"/>
          <w:sz w:val="20"/>
        </w:rPr>
        <w:t> </w:t>
      </w:r>
      <w:r>
        <w:rPr>
          <w:w w:val="105"/>
          <w:sz w:val="20"/>
        </w:rPr>
        <w:t>in</w:t>
      </w:r>
      <w:r>
        <w:rPr>
          <w:spacing w:val="-7"/>
          <w:w w:val="105"/>
          <w:sz w:val="20"/>
        </w:rPr>
        <w:t> </w:t>
      </w:r>
      <w:r>
        <w:rPr>
          <w:spacing w:val="-3"/>
          <w:w w:val="105"/>
          <w:sz w:val="20"/>
        </w:rPr>
        <w:t>force</w:t>
      </w:r>
      <w:r>
        <w:rPr>
          <w:spacing w:val="-7"/>
          <w:w w:val="105"/>
          <w:sz w:val="20"/>
        </w:rPr>
        <w:t> </w:t>
      </w:r>
      <w:r>
        <w:rPr>
          <w:w w:val="105"/>
          <w:sz w:val="20"/>
        </w:rPr>
        <w:t>for</w:t>
      </w:r>
      <w:r>
        <w:rPr>
          <w:spacing w:val="-8"/>
          <w:w w:val="105"/>
          <w:sz w:val="20"/>
        </w:rPr>
        <w:t> </w:t>
      </w:r>
      <w:r>
        <w:rPr>
          <w:w w:val="105"/>
          <w:sz w:val="20"/>
        </w:rPr>
        <w:t>the</w:t>
      </w:r>
      <w:r>
        <w:rPr>
          <w:spacing w:val="-7"/>
          <w:w w:val="105"/>
          <w:sz w:val="20"/>
        </w:rPr>
        <w:t> </w:t>
      </w:r>
      <w:r>
        <w:rPr>
          <w:w w:val="105"/>
          <w:sz w:val="20"/>
        </w:rPr>
        <w:t>time</w:t>
      </w:r>
      <w:r>
        <w:rPr>
          <w:spacing w:val="-7"/>
          <w:w w:val="105"/>
          <w:sz w:val="20"/>
        </w:rPr>
        <w:t> </w:t>
      </w:r>
      <w:r>
        <w:rPr>
          <w:w w:val="105"/>
          <w:sz w:val="20"/>
        </w:rPr>
        <w:t>being</w:t>
      </w:r>
      <w:r>
        <w:rPr>
          <w:spacing w:val="-8"/>
          <w:w w:val="105"/>
          <w:sz w:val="20"/>
        </w:rPr>
        <w:t> </w:t>
      </w:r>
      <w:r>
        <w:rPr>
          <w:w w:val="105"/>
          <w:sz w:val="20"/>
        </w:rPr>
        <w:t>under</w:t>
      </w:r>
      <w:r>
        <w:rPr>
          <w:spacing w:val="-7"/>
          <w:w w:val="105"/>
          <w:sz w:val="20"/>
        </w:rPr>
        <w:t> </w:t>
      </w:r>
      <w:r>
        <w:rPr>
          <w:spacing w:val="-2"/>
          <w:w w:val="105"/>
          <w:sz w:val="20"/>
        </w:rPr>
        <w:t>any</w:t>
      </w:r>
      <w:r>
        <w:rPr>
          <w:spacing w:val="-7"/>
          <w:w w:val="105"/>
          <w:sz w:val="20"/>
        </w:rPr>
        <w:t> </w:t>
      </w:r>
      <w:r>
        <w:rPr>
          <w:w w:val="105"/>
          <w:sz w:val="20"/>
        </w:rPr>
        <w:t>law of the </w:t>
      </w:r>
      <w:r>
        <w:rPr>
          <w:spacing w:val="-3"/>
          <w:w w:val="105"/>
          <w:sz w:val="20"/>
        </w:rPr>
        <w:t>Commonwealth relating </w:t>
      </w:r>
      <w:r>
        <w:rPr>
          <w:w w:val="105"/>
          <w:sz w:val="20"/>
        </w:rPr>
        <w:t>to bankruptcy with respect to the</w:t>
      </w:r>
      <w:r>
        <w:rPr>
          <w:spacing w:val="36"/>
          <w:w w:val="105"/>
          <w:sz w:val="20"/>
        </w:rPr>
        <w:t> </w:t>
      </w:r>
      <w:r>
        <w:rPr>
          <w:w w:val="105"/>
          <w:sz w:val="20"/>
        </w:rPr>
        <w:t>assets</w:t>
      </w:r>
    </w:p>
    <w:p>
      <w:pPr>
        <w:spacing w:before="6"/>
        <w:ind w:left="2721" w:right="0" w:firstLine="0"/>
        <w:jc w:val="left"/>
        <w:rPr>
          <w:sz w:val="11"/>
        </w:rPr>
      </w:pPr>
      <w:r>
        <w:rPr>
          <w:w w:val="105"/>
          <w:sz w:val="20"/>
        </w:rPr>
        <w:t>of persons adjudged bankrupt.</w:t>
      </w:r>
      <w:r>
        <w:rPr>
          <w:w w:val="105"/>
          <w:position w:val="7"/>
          <w:sz w:val="11"/>
        </w:rPr>
        <w:t>56</w:t>
      </w:r>
    </w:p>
    <w:p>
      <w:pPr>
        <w:pStyle w:val="ListParagraph"/>
        <w:numPr>
          <w:ilvl w:val="1"/>
          <w:numId w:val="22"/>
        </w:numPr>
        <w:tabs>
          <w:tab w:pos="2381" w:val="left" w:leader="none"/>
          <w:tab w:pos="2382" w:val="left" w:leader="none"/>
        </w:tabs>
        <w:spacing w:line="242" w:lineRule="auto" w:before="126" w:after="0"/>
        <w:ind w:left="2381" w:right="1870" w:hanging="794"/>
        <w:jc w:val="left"/>
        <w:rPr>
          <w:sz w:val="21"/>
        </w:rPr>
      </w:pPr>
      <w:r>
        <w:rPr>
          <w:sz w:val="21"/>
        </w:rPr>
        <w:t>While </w:t>
      </w:r>
      <w:r>
        <w:rPr>
          <w:spacing w:val="-3"/>
          <w:sz w:val="21"/>
        </w:rPr>
        <w:t>insolvent </w:t>
      </w:r>
      <w:r>
        <w:rPr>
          <w:sz w:val="21"/>
        </w:rPr>
        <w:t>deceased estates </w:t>
      </w:r>
      <w:r>
        <w:rPr>
          <w:spacing w:val="-3"/>
          <w:sz w:val="21"/>
        </w:rPr>
        <w:t>are </w:t>
      </w:r>
      <w:r>
        <w:rPr>
          <w:spacing w:val="-2"/>
          <w:sz w:val="21"/>
        </w:rPr>
        <w:t>not </w:t>
      </w:r>
      <w:r>
        <w:rPr>
          <w:spacing w:val="-3"/>
          <w:sz w:val="21"/>
        </w:rPr>
        <w:t>automatically bankrupt, </w:t>
      </w:r>
      <w:r>
        <w:rPr>
          <w:sz w:val="21"/>
        </w:rPr>
        <w:t>the practical effect of the above section is </w:t>
      </w:r>
      <w:r>
        <w:rPr>
          <w:spacing w:val="-3"/>
          <w:sz w:val="21"/>
        </w:rPr>
        <w:t>to </w:t>
      </w:r>
      <w:r>
        <w:rPr>
          <w:sz w:val="21"/>
        </w:rPr>
        <w:t>apply the scheme designed </w:t>
      </w:r>
      <w:r>
        <w:rPr>
          <w:spacing w:val="-3"/>
          <w:sz w:val="21"/>
        </w:rPr>
        <w:t>for </w:t>
      </w:r>
      <w:r>
        <w:rPr>
          <w:sz w:val="21"/>
        </w:rPr>
        <w:t>bankruptcy in cases of </w:t>
      </w:r>
      <w:r>
        <w:rPr>
          <w:spacing w:val="-3"/>
          <w:sz w:val="21"/>
        </w:rPr>
        <w:t>insolvent </w:t>
      </w:r>
      <w:r>
        <w:rPr>
          <w:sz w:val="21"/>
        </w:rPr>
        <w:t>deceased estates. These estates </w:t>
      </w:r>
      <w:r>
        <w:rPr>
          <w:spacing w:val="-3"/>
          <w:sz w:val="21"/>
        </w:rPr>
        <w:t>are </w:t>
      </w:r>
      <w:r>
        <w:rPr>
          <w:sz w:val="21"/>
        </w:rPr>
        <w:t>effectively </w:t>
      </w:r>
      <w:r>
        <w:rPr>
          <w:spacing w:val="-3"/>
          <w:sz w:val="21"/>
        </w:rPr>
        <w:t>administered </w:t>
      </w:r>
      <w:r>
        <w:rPr>
          <w:sz w:val="21"/>
        </w:rPr>
        <w:t>under the </w:t>
      </w:r>
      <w:r>
        <w:rPr>
          <w:spacing w:val="-3"/>
          <w:sz w:val="21"/>
        </w:rPr>
        <w:t>Administration  </w:t>
      </w:r>
      <w:r>
        <w:rPr>
          <w:sz w:val="21"/>
        </w:rPr>
        <w:t>and </w:t>
      </w:r>
      <w:r>
        <w:rPr>
          <w:spacing w:val="-3"/>
          <w:sz w:val="21"/>
        </w:rPr>
        <w:t>Probate </w:t>
      </w:r>
      <w:r>
        <w:rPr>
          <w:sz w:val="21"/>
        </w:rPr>
        <w:t>Act, by </w:t>
      </w:r>
      <w:r>
        <w:rPr>
          <w:spacing w:val="-3"/>
          <w:sz w:val="21"/>
        </w:rPr>
        <w:t>reference to </w:t>
      </w:r>
      <w:r>
        <w:rPr>
          <w:sz w:val="21"/>
        </w:rPr>
        <w:t>the rules </w:t>
      </w:r>
      <w:r>
        <w:rPr>
          <w:spacing w:val="-3"/>
          <w:sz w:val="21"/>
        </w:rPr>
        <w:t>contained </w:t>
      </w:r>
      <w:r>
        <w:rPr>
          <w:sz w:val="21"/>
        </w:rPr>
        <w:t>in the Bankruptcy</w:t>
      </w:r>
      <w:r>
        <w:rPr>
          <w:spacing w:val="-11"/>
          <w:sz w:val="21"/>
        </w:rPr>
        <w:t> </w:t>
      </w:r>
      <w:r>
        <w:rPr>
          <w:sz w:val="21"/>
        </w:rPr>
        <w:t>Act.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0"/>
        </w:rPr>
      </w:pPr>
      <w:r>
        <w:rPr/>
        <w:pict>
          <v:line style="position:absolute;mso-position-horizontal-relative:page;mso-position-vertical-relative:paragraph;z-index:10952;mso-wrap-distance-left:0;mso-wrap-distance-right:0" from="79.370102pt,14.784962pt" to="515.905102pt,14.784962pt" stroked="true" strokeweight="1pt" strokecolor="#f9ceca">
            <v:stroke dashstyle="solid"/>
            <w10:wrap type="topAndBottom"/>
          </v:line>
        </w:pict>
      </w:r>
    </w:p>
    <w:p>
      <w:pPr>
        <w:pStyle w:val="BodyText"/>
        <w:spacing w:before="8"/>
        <w:rPr>
          <w:sz w:val="5"/>
        </w:rPr>
      </w:pPr>
    </w:p>
    <w:p>
      <w:pPr>
        <w:spacing w:after="0"/>
        <w:rPr>
          <w:sz w:val="5"/>
        </w:rPr>
        <w:sectPr>
          <w:pgSz w:w="11910" w:h="16840"/>
          <w:pgMar w:header="805" w:footer="0" w:top="1360" w:bottom="280" w:left="0" w:right="0"/>
        </w:sectPr>
      </w:pPr>
    </w:p>
    <w:p>
      <w:pPr>
        <w:pStyle w:val="ListParagraph"/>
        <w:numPr>
          <w:ilvl w:val="0"/>
          <w:numId w:val="136"/>
        </w:numPr>
        <w:tabs>
          <w:tab w:pos="2380" w:val="left" w:leader="none"/>
          <w:tab w:pos="2382" w:val="left" w:leader="none"/>
        </w:tabs>
        <w:spacing w:line="240" w:lineRule="auto" w:before="48" w:after="0"/>
        <w:ind w:left="2381" w:right="0" w:hanging="794"/>
        <w:jc w:val="left"/>
        <w:rPr>
          <w:sz w:val="13"/>
        </w:rPr>
      </w:pPr>
      <w:r>
        <w:rPr>
          <w:i/>
          <w:w w:val="105"/>
          <w:sz w:val="13"/>
        </w:rPr>
        <w:t>Administration and Probate Act 1958 </w:t>
      </w:r>
      <w:r>
        <w:rPr>
          <w:spacing w:val="2"/>
          <w:w w:val="105"/>
          <w:sz w:val="13"/>
        </w:rPr>
        <w:t>(Vic) </w:t>
      </w:r>
      <w:r>
        <w:rPr>
          <w:w w:val="105"/>
          <w:sz w:val="13"/>
        </w:rPr>
        <w:t>s</w:t>
      </w:r>
      <w:r>
        <w:rPr>
          <w:spacing w:val="23"/>
          <w:w w:val="105"/>
          <w:sz w:val="13"/>
        </w:rPr>
        <w:t> </w:t>
      </w:r>
      <w:r>
        <w:rPr>
          <w:spacing w:val="3"/>
          <w:w w:val="105"/>
          <w:sz w:val="13"/>
        </w:rPr>
        <w:t>97(4)(a).</w:t>
      </w:r>
    </w:p>
    <w:p>
      <w:pPr>
        <w:pStyle w:val="ListParagraph"/>
        <w:numPr>
          <w:ilvl w:val="0"/>
          <w:numId w:val="136"/>
        </w:numPr>
        <w:tabs>
          <w:tab w:pos="2381" w:val="left" w:leader="none"/>
          <w:tab w:pos="2382" w:val="left" w:leader="none"/>
        </w:tabs>
        <w:spacing w:line="240" w:lineRule="auto" w:before="1" w:after="0"/>
        <w:ind w:left="2381" w:right="0" w:hanging="794"/>
        <w:jc w:val="left"/>
        <w:rPr>
          <w:sz w:val="13"/>
        </w:rPr>
      </w:pPr>
      <w:r>
        <w:rPr>
          <w:sz w:val="13"/>
        </w:rPr>
        <w:t>Ibid</w:t>
      </w:r>
      <w:r>
        <w:rPr>
          <w:spacing w:val="8"/>
          <w:sz w:val="13"/>
        </w:rPr>
        <w:t> </w:t>
      </w:r>
      <w:r>
        <w:rPr>
          <w:sz w:val="13"/>
        </w:rPr>
        <w:t>s</w:t>
      </w:r>
      <w:r>
        <w:rPr>
          <w:spacing w:val="9"/>
          <w:sz w:val="13"/>
        </w:rPr>
        <w:t> </w:t>
      </w:r>
      <w:r>
        <w:rPr>
          <w:spacing w:val="3"/>
          <w:sz w:val="13"/>
        </w:rPr>
        <w:t>97(4)(b).</w:t>
      </w:r>
      <w:r>
        <w:rPr>
          <w:spacing w:val="8"/>
          <w:sz w:val="13"/>
        </w:rPr>
        <w:t> </w:t>
      </w:r>
      <w:r>
        <w:rPr>
          <w:sz w:val="13"/>
        </w:rPr>
        <w:t>Intestacy</w:t>
      </w:r>
      <w:r>
        <w:rPr>
          <w:spacing w:val="9"/>
          <w:sz w:val="13"/>
        </w:rPr>
        <w:t> </w:t>
      </w:r>
      <w:r>
        <w:rPr>
          <w:sz w:val="13"/>
        </w:rPr>
        <w:t>is</w:t>
      </w:r>
      <w:r>
        <w:rPr>
          <w:spacing w:val="9"/>
          <w:sz w:val="13"/>
        </w:rPr>
        <w:t> </w:t>
      </w:r>
      <w:r>
        <w:rPr>
          <w:sz w:val="13"/>
        </w:rPr>
        <w:t>discussed</w:t>
      </w:r>
      <w:r>
        <w:rPr>
          <w:spacing w:val="8"/>
          <w:sz w:val="13"/>
        </w:rPr>
        <w:t> </w:t>
      </w:r>
      <w:r>
        <w:rPr>
          <w:sz w:val="13"/>
        </w:rPr>
        <w:t>in</w:t>
      </w:r>
      <w:r>
        <w:rPr>
          <w:spacing w:val="9"/>
          <w:sz w:val="13"/>
        </w:rPr>
        <w:t> </w:t>
      </w:r>
      <w:r>
        <w:rPr>
          <w:sz w:val="13"/>
        </w:rPr>
        <w:t>Chapter</w:t>
      </w:r>
      <w:r>
        <w:rPr>
          <w:spacing w:val="9"/>
          <w:sz w:val="13"/>
        </w:rPr>
        <w:t> </w:t>
      </w:r>
      <w:r>
        <w:rPr>
          <w:sz w:val="13"/>
        </w:rPr>
        <w:t>5</w:t>
      </w:r>
      <w:r>
        <w:rPr>
          <w:spacing w:val="8"/>
          <w:sz w:val="13"/>
        </w:rPr>
        <w:t> </w:t>
      </w:r>
      <w:r>
        <w:rPr>
          <w:sz w:val="13"/>
        </w:rPr>
        <w:t>and</w:t>
      </w:r>
      <w:r>
        <w:rPr>
          <w:spacing w:val="9"/>
          <w:sz w:val="13"/>
        </w:rPr>
        <w:t> </w:t>
      </w:r>
      <w:r>
        <w:rPr>
          <w:sz w:val="13"/>
        </w:rPr>
        <w:t>family</w:t>
      </w:r>
      <w:r>
        <w:rPr>
          <w:spacing w:val="8"/>
          <w:sz w:val="13"/>
        </w:rPr>
        <w:t> </w:t>
      </w:r>
      <w:r>
        <w:rPr>
          <w:sz w:val="13"/>
        </w:rPr>
        <w:t>provision</w:t>
      </w:r>
      <w:r>
        <w:rPr>
          <w:spacing w:val="9"/>
          <w:sz w:val="13"/>
        </w:rPr>
        <w:t> </w:t>
      </w:r>
      <w:r>
        <w:rPr>
          <w:sz w:val="13"/>
        </w:rPr>
        <w:t>is</w:t>
      </w:r>
      <w:r>
        <w:rPr>
          <w:spacing w:val="9"/>
          <w:sz w:val="13"/>
        </w:rPr>
        <w:t> </w:t>
      </w:r>
      <w:r>
        <w:rPr>
          <w:sz w:val="13"/>
        </w:rPr>
        <w:t>discussed</w:t>
      </w:r>
      <w:r>
        <w:rPr>
          <w:spacing w:val="8"/>
          <w:sz w:val="13"/>
        </w:rPr>
        <w:t> </w:t>
      </w:r>
      <w:r>
        <w:rPr>
          <w:sz w:val="13"/>
        </w:rPr>
        <w:t>in</w:t>
      </w:r>
      <w:r>
        <w:rPr>
          <w:spacing w:val="9"/>
          <w:sz w:val="13"/>
        </w:rPr>
        <w:t> </w:t>
      </w:r>
      <w:r>
        <w:rPr>
          <w:sz w:val="13"/>
        </w:rPr>
        <w:t>Chapter</w:t>
      </w:r>
      <w:r>
        <w:rPr>
          <w:spacing w:val="9"/>
          <w:sz w:val="13"/>
        </w:rPr>
        <w:t> </w:t>
      </w:r>
      <w:r>
        <w:rPr>
          <w:sz w:val="13"/>
        </w:rPr>
        <w:t>6.</w:t>
      </w:r>
    </w:p>
    <w:p>
      <w:pPr>
        <w:pStyle w:val="ListParagraph"/>
        <w:numPr>
          <w:ilvl w:val="0"/>
          <w:numId w:val="136"/>
        </w:numPr>
        <w:tabs>
          <w:tab w:pos="2381" w:val="left" w:leader="none"/>
          <w:tab w:pos="2382" w:val="left" w:leader="none"/>
        </w:tabs>
        <w:spacing w:line="240" w:lineRule="auto" w:before="2" w:after="0"/>
        <w:ind w:left="2381" w:right="0" w:hanging="794"/>
        <w:jc w:val="left"/>
        <w:rPr>
          <w:sz w:val="13"/>
        </w:rPr>
      </w:pPr>
      <w:r>
        <w:rPr>
          <w:i/>
          <w:w w:val="105"/>
          <w:sz w:val="13"/>
        </w:rPr>
        <w:t>Administration and Probate Act </w:t>
      </w:r>
      <w:r>
        <w:rPr>
          <w:i/>
          <w:spacing w:val="-3"/>
          <w:w w:val="105"/>
          <w:sz w:val="13"/>
        </w:rPr>
        <w:t>1929 </w:t>
      </w:r>
      <w:r>
        <w:rPr>
          <w:spacing w:val="2"/>
          <w:w w:val="105"/>
          <w:sz w:val="13"/>
        </w:rPr>
        <w:t>(ACT) </w:t>
      </w:r>
      <w:r>
        <w:rPr>
          <w:w w:val="105"/>
          <w:sz w:val="13"/>
        </w:rPr>
        <w:t>s 41C(2), sch 4 pt 4.2; </w:t>
      </w:r>
      <w:r>
        <w:rPr>
          <w:i/>
          <w:w w:val="105"/>
          <w:sz w:val="13"/>
        </w:rPr>
        <w:t>Administration and Probate Act 1969 </w:t>
      </w:r>
      <w:r>
        <w:rPr>
          <w:spacing w:val="4"/>
          <w:w w:val="105"/>
          <w:sz w:val="13"/>
        </w:rPr>
        <w:t>(NT) </w:t>
      </w:r>
      <w:r>
        <w:rPr>
          <w:w w:val="105"/>
          <w:sz w:val="13"/>
        </w:rPr>
        <w:t>s 57(2), sch 4 pt </w:t>
      </w:r>
      <w:r>
        <w:rPr>
          <w:spacing w:val="3"/>
          <w:w w:val="105"/>
          <w:sz w:val="13"/>
        </w:rPr>
        <w:t>II; </w:t>
      </w:r>
      <w:r>
        <w:rPr>
          <w:i/>
          <w:w w:val="105"/>
          <w:sz w:val="13"/>
        </w:rPr>
        <w:t>Probate and </w:t>
      </w:r>
      <w:r>
        <w:rPr>
          <w:i/>
          <w:w w:val="105"/>
          <w:sz w:val="13"/>
        </w:rPr>
        <w:t>Administration Act 1898 </w:t>
      </w:r>
      <w:r>
        <w:rPr>
          <w:spacing w:val="3"/>
          <w:w w:val="105"/>
          <w:sz w:val="13"/>
        </w:rPr>
        <w:t>(NSW) </w:t>
      </w:r>
      <w:r>
        <w:rPr>
          <w:w w:val="105"/>
          <w:sz w:val="13"/>
        </w:rPr>
        <w:t>s 46C(1), sch 3 pt </w:t>
      </w:r>
      <w:r>
        <w:rPr>
          <w:spacing w:val="3"/>
          <w:w w:val="105"/>
          <w:sz w:val="13"/>
        </w:rPr>
        <w:t>I; </w:t>
      </w:r>
      <w:r>
        <w:rPr>
          <w:i/>
          <w:w w:val="105"/>
          <w:sz w:val="13"/>
        </w:rPr>
        <w:t>Succession Act </w:t>
      </w:r>
      <w:r>
        <w:rPr>
          <w:i/>
          <w:spacing w:val="-3"/>
          <w:w w:val="105"/>
          <w:sz w:val="13"/>
        </w:rPr>
        <w:t>1981 </w:t>
      </w:r>
      <w:r>
        <w:rPr>
          <w:spacing w:val="2"/>
          <w:w w:val="105"/>
          <w:sz w:val="13"/>
        </w:rPr>
        <w:t>(Qld) </w:t>
      </w:r>
      <w:r>
        <w:rPr>
          <w:w w:val="105"/>
          <w:sz w:val="13"/>
        </w:rPr>
        <w:t>s 57; </w:t>
      </w:r>
      <w:r>
        <w:rPr>
          <w:i/>
          <w:w w:val="105"/>
          <w:sz w:val="13"/>
        </w:rPr>
        <w:t>Administration and Probate Act </w:t>
      </w:r>
      <w:r>
        <w:rPr>
          <w:i/>
          <w:spacing w:val="-5"/>
          <w:w w:val="105"/>
          <w:sz w:val="13"/>
        </w:rPr>
        <w:t>1919 </w:t>
      </w:r>
      <w:r>
        <w:rPr>
          <w:spacing w:val="2"/>
          <w:w w:val="105"/>
          <w:sz w:val="13"/>
        </w:rPr>
        <w:t>(SA) </w:t>
      </w:r>
      <w:r>
        <w:rPr>
          <w:w w:val="105"/>
          <w:sz w:val="13"/>
        </w:rPr>
        <w:t>ss </w:t>
      </w:r>
      <w:r>
        <w:rPr>
          <w:spacing w:val="3"/>
          <w:w w:val="105"/>
          <w:sz w:val="13"/>
        </w:rPr>
        <w:t>60–62; </w:t>
      </w:r>
      <w:r>
        <w:rPr>
          <w:i/>
          <w:w w:val="105"/>
          <w:sz w:val="13"/>
        </w:rPr>
        <w:t>Administration</w:t>
      </w:r>
      <w:r>
        <w:rPr>
          <w:i/>
          <w:spacing w:val="3"/>
          <w:w w:val="105"/>
          <w:sz w:val="13"/>
        </w:rPr>
        <w:t> </w:t>
      </w:r>
      <w:r>
        <w:rPr>
          <w:i/>
          <w:w w:val="105"/>
          <w:sz w:val="13"/>
        </w:rPr>
        <w:t>and</w:t>
      </w:r>
      <w:r>
        <w:rPr>
          <w:i/>
          <w:spacing w:val="4"/>
          <w:w w:val="105"/>
          <w:sz w:val="13"/>
        </w:rPr>
        <w:t> </w:t>
      </w:r>
      <w:r>
        <w:rPr>
          <w:i/>
          <w:w w:val="105"/>
          <w:sz w:val="13"/>
        </w:rPr>
        <w:t>Probate</w:t>
      </w:r>
      <w:r>
        <w:rPr>
          <w:i/>
          <w:spacing w:val="4"/>
          <w:w w:val="105"/>
          <w:sz w:val="13"/>
        </w:rPr>
        <w:t> </w:t>
      </w:r>
      <w:r>
        <w:rPr>
          <w:i/>
          <w:w w:val="105"/>
          <w:sz w:val="13"/>
        </w:rPr>
        <w:t>Act</w:t>
      </w:r>
      <w:r>
        <w:rPr>
          <w:i/>
          <w:spacing w:val="4"/>
          <w:w w:val="105"/>
          <w:sz w:val="13"/>
        </w:rPr>
        <w:t> </w:t>
      </w:r>
      <w:r>
        <w:rPr>
          <w:i/>
          <w:spacing w:val="-3"/>
          <w:w w:val="105"/>
          <w:sz w:val="13"/>
        </w:rPr>
        <w:t>1935</w:t>
      </w:r>
      <w:r>
        <w:rPr>
          <w:i/>
          <w:spacing w:val="5"/>
          <w:w w:val="105"/>
          <w:sz w:val="13"/>
        </w:rPr>
        <w:t> </w:t>
      </w:r>
      <w:r>
        <w:rPr>
          <w:w w:val="105"/>
          <w:sz w:val="13"/>
        </w:rPr>
        <w:t>(Tas)</w:t>
      </w:r>
      <w:r>
        <w:rPr>
          <w:spacing w:val="5"/>
          <w:w w:val="105"/>
          <w:sz w:val="13"/>
        </w:rPr>
        <w:t> </w:t>
      </w:r>
      <w:r>
        <w:rPr>
          <w:w w:val="105"/>
          <w:sz w:val="13"/>
        </w:rPr>
        <w:t>s</w:t>
      </w:r>
      <w:r>
        <w:rPr>
          <w:spacing w:val="5"/>
          <w:w w:val="105"/>
          <w:sz w:val="13"/>
        </w:rPr>
        <w:t> </w:t>
      </w:r>
      <w:r>
        <w:rPr>
          <w:w w:val="105"/>
          <w:sz w:val="13"/>
        </w:rPr>
        <w:t>34,</w:t>
      </w:r>
      <w:r>
        <w:rPr>
          <w:spacing w:val="5"/>
          <w:w w:val="105"/>
          <w:sz w:val="13"/>
        </w:rPr>
        <w:t> </w:t>
      </w:r>
      <w:r>
        <w:rPr>
          <w:w w:val="105"/>
          <w:sz w:val="13"/>
        </w:rPr>
        <w:t>sch</w:t>
      </w:r>
      <w:r>
        <w:rPr>
          <w:spacing w:val="5"/>
          <w:w w:val="105"/>
          <w:sz w:val="13"/>
        </w:rPr>
        <w:t> </w:t>
      </w:r>
      <w:r>
        <w:rPr>
          <w:w w:val="105"/>
          <w:sz w:val="13"/>
        </w:rPr>
        <w:t>II</w:t>
      </w:r>
      <w:r>
        <w:rPr>
          <w:spacing w:val="5"/>
          <w:w w:val="105"/>
          <w:sz w:val="13"/>
        </w:rPr>
        <w:t> </w:t>
      </w:r>
      <w:r>
        <w:rPr>
          <w:w w:val="105"/>
          <w:sz w:val="13"/>
        </w:rPr>
        <w:t>pt</w:t>
      </w:r>
      <w:r>
        <w:rPr>
          <w:spacing w:val="5"/>
          <w:w w:val="105"/>
          <w:sz w:val="13"/>
        </w:rPr>
        <w:t> </w:t>
      </w:r>
      <w:r>
        <w:rPr>
          <w:spacing w:val="3"/>
          <w:w w:val="105"/>
          <w:sz w:val="13"/>
        </w:rPr>
        <w:t>I;</w:t>
      </w:r>
      <w:r>
        <w:rPr>
          <w:spacing w:val="5"/>
          <w:w w:val="105"/>
          <w:sz w:val="13"/>
        </w:rPr>
        <w:t> </w:t>
      </w:r>
      <w:r>
        <w:rPr>
          <w:i/>
          <w:w w:val="105"/>
          <w:sz w:val="13"/>
        </w:rPr>
        <w:t>Administration</w:t>
      </w:r>
      <w:r>
        <w:rPr>
          <w:i/>
          <w:spacing w:val="4"/>
          <w:w w:val="105"/>
          <w:sz w:val="13"/>
        </w:rPr>
        <w:t> </w:t>
      </w:r>
      <w:r>
        <w:rPr>
          <w:i/>
          <w:w w:val="105"/>
          <w:sz w:val="13"/>
        </w:rPr>
        <w:t>Act</w:t>
      </w:r>
      <w:r>
        <w:rPr>
          <w:i/>
          <w:spacing w:val="4"/>
          <w:w w:val="105"/>
          <w:sz w:val="13"/>
        </w:rPr>
        <w:t> </w:t>
      </w:r>
      <w:r>
        <w:rPr>
          <w:i/>
          <w:spacing w:val="-6"/>
          <w:w w:val="105"/>
          <w:sz w:val="13"/>
        </w:rPr>
        <w:t>1913</w:t>
      </w:r>
      <w:r>
        <w:rPr>
          <w:i/>
          <w:spacing w:val="4"/>
          <w:w w:val="105"/>
          <w:sz w:val="13"/>
        </w:rPr>
        <w:t> </w:t>
      </w:r>
      <w:r>
        <w:rPr>
          <w:w w:val="105"/>
          <w:sz w:val="13"/>
        </w:rPr>
        <w:t>(WA)</w:t>
      </w:r>
      <w:r>
        <w:rPr>
          <w:spacing w:val="5"/>
          <w:w w:val="105"/>
          <w:sz w:val="13"/>
        </w:rPr>
        <w:t> </w:t>
      </w:r>
      <w:r>
        <w:rPr>
          <w:w w:val="105"/>
          <w:sz w:val="13"/>
        </w:rPr>
        <w:t>s10A,</w:t>
      </w:r>
      <w:r>
        <w:rPr>
          <w:spacing w:val="5"/>
          <w:w w:val="105"/>
          <w:sz w:val="13"/>
        </w:rPr>
        <w:t> </w:t>
      </w:r>
      <w:r>
        <w:rPr>
          <w:w w:val="105"/>
          <w:sz w:val="13"/>
        </w:rPr>
        <w:t>sch</w:t>
      </w:r>
      <w:r>
        <w:rPr>
          <w:spacing w:val="5"/>
          <w:w w:val="105"/>
          <w:sz w:val="13"/>
        </w:rPr>
        <w:t> </w:t>
      </w:r>
      <w:r>
        <w:rPr>
          <w:w w:val="105"/>
          <w:sz w:val="13"/>
        </w:rPr>
        <w:t>5.</w:t>
      </w:r>
    </w:p>
    <w:p>
      <w:pPr>
        <w:pStyle w:val="ListParagraph"/>
        <w:numPr>
          <w:ilvl w:val="0"/>
          <w:numId w:val="136"/>
        </w:numPr>
        <w:tabs>
          <w:tab w:pos="2381" w:val="left" w:leader="none"/>
          <w:tab w:pos="2382" w:val="left" w:leader="none"/>
        </w:tabs>
        <w:spacing w:line="240" w:lineRule="auto" w:before="4" w:after="0"/>
        <w:ind w:left="2381" w:right="0" w:hanging="794"/>
        <w:jc w:val="left"/>
        <w:rPr>
          <w:sz w:val="13"/>
        </w:rPr>
      </w:pPr>
      <w:r>
        <w:rPr>
          <w:i/>
          <w:w w:val="105"/>
          <w:sz w:val="13"/>
        </w:rPr>
        <w:t>Administration and Probate Act 1958 </w:t>
      </w:r>
      <w:r>
        <w:rPr>
          <w:spacing w:val="2"/>
          <w:w w:val="105"/>
          <w:sz w:val="13"/>
        </w:rPr>
        <w:t>(Vic) </w:t>
      </w:r>
      <w:r>
        <w:rPr>
          <w:w w:val="105"/>
          <w:sz w:val="13"/>
        </w:rPr>
        <w:t>sch 2 pt</w:t>
      </w:r>
      <w:r>
        <w:rPr>
          <w:spacing w:val="3"/>
          <w:w w:val="105"/>
          <w:sz w:val="13"/>
        </w:rPr>
        <w:t> </w:t>
      </w:r>
      <w:r>
        <w:rPr>
          <w:w w:val="105"/>
          <w:sz w:val="13"/>
        </w:rPr>
        <w:t>I.</w:t>
      </w:r>
    </w:p>
    <w:p>
      <w:pPr>
        <w:pStyle w:val="BodyText"/>
        <w:rPr>
          <w:sz w:val="28"/>
        </w:rPr>
      </w:pPr>
      <w:r>
        <w:rPr/>
        <w:br w:type="column"/>
      </w:r>
      <w:r>
        <w:rPr>
          <w:sz w:val="28"/>
        </w:rPr>
      </w:r>
    </w:p>
    <w:p>
      <w:pPr>
        <w:pStyle w:val="BodyText"/>
        <w:spacing w:before="11"/>
        <w:rPr>
          <w:sz w:val="32"/>
        </w:rPr>
      </w:pPr>
    </w:p>
    <w:p>
      <w:pPr>
        <w:spacing w:before="0"/>
        <w:ind w:left="555" w:right="573" w:firstLine="0"/>
        <w:jc w:val="center"/>
        <w:rPr>
          <w:b/>
          <w:sz w:val="24"/>
        </w:rPr>
      </w:pPr>
      <w:r>
        <w:rPr>
          <w:b/>
          <w:color w:val="EC5A4F"/>
          <w:w w:val="110"/>
          <w:sz w:val="24"/>
        </w:rPr>
        <w:t>183</w:t>
      </w:r>
    </w:p>
    <w:p>
      <w:pPr>
        <w:spacing w:after="0"/>
        <w:jc w:val="center"/>
        <w:rPr>
          <w:sz w:val="24"/>
        </w:rPr>
        <w:sectPr>
          <w:type w:val="continuous"/>
          <w:pgSz w:w="11910" w:h="16840"/>
          <w:pgMar w:top="920" w:bottom="280" w:left="0" w:right="0"/>
          <w:cols w:num="2" w:equalWidth="0">
            <w:col w:w="10299" w:space="40"/>
            <w:col w:w="1571"/>
          </w:cols>
        </w:sectPr>
      </w:pPr>
    </w:p>
    <w:p>
      <w:pPr>
        <w:pStyle w:val="BodyText"/>
        <w:spacing w:before="9"/>
        <w:rPr>
          <w:b/>
          <w:sz w:val="22"/>
        </w:rPr>
      </w:pPr>
    </w:p>
    <w:p>
      <w:pPr>
        <w:pStyle w:val="Heading6"/>
        <w:spacing w:before="100"/>
      </w:pPr>
      <w:r>
        <w:rPr>
          <w:w w:val="120"/>
        </w:rPr>
        <w:t>Direct application</w:t>
      </w:r>
    </w:p>
    <w:p>
      <w:pPr>
        <w:pStyle w:val="ListParagraph"/>
        <w:numPr>
          <w:ilvl w:val="1"/>
          <w:numId w:val="22"/>
        </w:numPr>
        <w:tabs>
          <w:tab w:pos="2381" w:val="left" w:leader="none"/>
          <w:tab w:pos="2382" w:val="left" w:leader="none"/>
        </w:tabs>
        <w:spacing w:line="242" w:lineRule="auto" w:before="151" w:after="0"/>
        <w:ind w:left="2381" w:right="1887" w:hanging="794"/>
        <w:jc w:val="left"/>
        <w:rPr>
          <w:sz w:val="21"/>
        </w:rPr>
      </w:pPr>
      <w:r>
        <w:rPr>
          <w:sz w:val="21"/>
        </w:rPr>
        <w:t>A </w:t>
      </w:r>
      <w:r>
        <w:rPr>
          <w:spacing w:val="-3"/>
          <w:sz w:val="21"/>
        </w:rPr>
        <w:t>parallel </w:t>
      </w:r>
      <w:r>
        <w:rPr>
          <w:sz w:val="21"/>
        </w:rPr>
        <w:t>option </w:t>
      </w:r>
      <w:r>
        <w:rPr>
          <w:spacing w:val="-3"/>
          <w:sz w:val="21"/>
        </w:rPr>
        <w:t>for  </w:t>
      </w:r>
      <w:r>
        <w:rPr>
          <w:sz w:val="21"/>
        </w:rPr>
        <w:t>the </w:t>
      </w:r>
      <w:r>
        <w:rPr>
          <w:spacing w:val="-3"/>
          <w:sz w:val="21"/>
        </w:rPr>
        <w:t>administration</w:t>
      </w:r>
      <w:r>
        <w:rPr>
          <w:spacing w:val="41"/>
          <w:sz w:val="21"/>
        </w:rPr>
        <w:t> </w:t>
      </w:r>
      <w:r>
        <w:rPr>
          <w:sz w:val="21"/>
        </w:rPr>
        <w:t>of </w:t>
      </w:r>
      <w:r>
        <w:rPr>
          <w:spacing w:val="-3"/>
          <w:sz w:val="21"/>
        </w:rPr>
        <w:t>insolvent  </w:t>
      </w:r>
      <w:r>
        <w:rPr>
          <w:sz w:val="21"/>
        </w:rPr>
        <w:t>estates is </w:t>
      </w:r>
      <w:r>
        <w:rPr>
          <w:spacing w:val="-3"/>
          <w:sz w:val="21"/>
        </w:rPr>
        <w:t>available  </w:t>
      </w:r>
      <w:r>
        <w:rPr>
          <w:sz w:val="21"/>
        </w:rPr>
        <w:t>when the estate is</w:t>
      </w:r>
      <w:r>
        <w:rPr>
          <w:spacing w:val="16"/>
          <w:sz w:val="21"/>
        </w:rPr>
        <w:t> </w:t>
      </w:r>
      <w:r>
        <w:rPr>
          <w:spacing w:val="-3"/>
          <w:sz w:val="21"/>
        </w:rPr>
        <w:t>bankrupt.</w:t>
      </w:r>
      <w:r>
        <w:rPr>
          <w:spacing w:val="-3"/>
          <w:position w:val="7"/>
          <w:sz w:val="12"/>
        </w:rPr>
        <w:t>57</w:t>
      </w:r>
      <w:r>
        <w:rPr>
          <w:spacing w:val="13"/>
          <w:position w:val="7"/>
          <w:sz w:val="12"/>
        </w:rPr>
        <w:t> </w:t>
      </w:r>
      <w:r>
        <w:rPr>
          <w:sz w:val="21"/>
        </w:rPr>
        <w:t>In</w:t>
      </w:r>
      <w:r>
        <w:rPr>
          <w:spacing w:val="17"/>
          <w:sz w:val="21"/>
        </w:rPr>
        <w:t> </w:t>
      </w:r>
      <w:r>
        <w:rPr>
          <w:sz w:val="21"/>
        </w:rPr>
        <w:t>these</w:t>
      </w:r>
      <w:r>
        <w:rPr>
          <w:spacing w:val="16"/>
          <w:sz w:val="21"/>
        </w:rPr>
        <w:t> </w:t>
      </w:r>
      <w:r>
        <w:rPr>
          <w:sz w:val="21"/>
        </w:rPr>
        <w:t>cases,</w:t>
      </w:r>
      <w:r>
        <w:rPr>
          <w:spacing w:val="16"/>
          <w:sz w:val="21"/>
        </w:rPr>
        <w:t> </w:t>
      </w:r>
      <w:r>
        <w:rPr>
          <w:sz w:val="21"/>
        </w:rPr>
        <w:t>a</w:t>
      </w:r>
      <w:r>
        <w:rPr>
          <w:spacing w:val="17"/>
          <w:sz w:val="21"/>
        </w:rPr>
        <w:t> </w:t>
      </w:r>
      <w:r>
        <w:rPr>
          <w:sz w:val="21"/>
        </w:rPr>
        <w:t>petition</w:t>
      </w:r>
      <w:r>
        <w:rPr>
          <w:spacing w:val="16"/>
          <w:sz w:val="21"/>
        </w:rPr>
        <w:t> </w:t>
      </w:r>
      <w:r>
        <w:rPr>
          <w:spacing w:val="-3"/>
          <w:sz w:val="21"/>
        </w:rPr>
        <w:t>for</w:t>
      </w:r>
      <w:r>
        <w:rPr>
          <w:spacing w:val="16"/>
          <w:sz w:val="21"/>
        </w:rPr>
        <w:t> </w:t>
      </w:r>
      <w:r>
        <w:rPr>
          <w:sz w:val="21"/>
        </w:rPr>
        <w:t>bankruptcy</w:t>
      </w:r>
      <w:r>
        <w:rPr>
          <w:spacing w:val="17"/>
          <w:sz w:val="21"/>
        </w:rPr>
        <w:t> </w:t>
      </w:r>
      <w:r>
        <w:rPr>
          <w:spacing w:val="-3"/>
          <w:sz w:val="21"/>
        </w:rPr>
        <w:t>may</w:t>
      </w:r>
      <w:r>
        <w:rPr>
          <w:spacing w:val="16"/>
          <w:sz w:val="21"/>
        </w:rPr>
        <w:t> </w:t>
      </w:r>
      <w:r>
        <w:rPr>
          <w:sz w:val="21"/>
        </w:rPr>
        <w:t>be</w:t>
      </w:r>
      <w:r>
        <w:rPr>
          <w:spacing w:val="16"/>
          <w:sz w:val="21"/>
        </w:rPr>
        <w:t> </w:t>
      </w:r>
      <w:r>
        <w:rPr>
          <w:sz w:val="21"/>
        </w:rPr>
        <w:t>filed</w:t>
      </w:r>
      <w:r>
        <w:rPr>
          <w:spacing w:val="17"/>
          <w:sz w:val="21"/>
        </w:rPr>
        <w:t> </w:t>
      </w:r>
      <w:r>
        <w:rPr>
          <w:sz w:val="21"/>
        </w:rPr>
        <w:t>by</w:t>
      </w:r>
      <w:r>
        <w:rPr>
          <w:spacing w:val="16"/>
          <w:sz w:val="21"/>
        </w:rPr>
        <w:t> </w:t>
      </w:r>
      <w:r>
        <w:rPr>
          <w:sz w:val="21"/>
        </w:rPr>
        <w:t>a</w:t>
      </w:r>
      <w:r>
        <w:rPr>
          <w:spacing w:val="16"/>
          <w:sz w:val="21"/>
        </w:rPr>
        <w:t> </w:t>
      </w:r>
      <w:r>
        <w:rPr>
          <w:spacing w:val="-3"/>
          <w:sz w:val="21"/>
        </w:rPr>
        <w:t>creditor</w:t>
      </w:r>
      <w:r>
        <w:rPr>
          <w:spacing w:val="17"/>
          <w:sz w:val="21"/>
        </w:rPr>
        <w:t> </w:t>
      </w:r>
      <w:r>
        <w:rPr>
          <w:sz w:val="21"/>
        </w:rPr>
        <w:t>or</w:t>
      </w:r>
      <w:r>
        <w:rPr>
          <w:spacing w:val="16"/>
          <w:sz w:val="21"/>
        </w:rPr>
        <w:t> </w:t>
      </w:r>
      <w:r>
        <w:rPr>
          <w:sz w:val="21"/>
        </w:rPr>
        <w:t>the</w:t>
      </w:r>
    </w:p>
    <w:p>
      <w:pPr>
        <w:pStyle w:val="BodyText"/>
        <w:spacing w:line="242" w:lineRule="auto" w:before="2"/>
        <w:ind w:left="2381" w:right="1619"/>
      </w:pPr>
      <w:r>
        <w:rPr>
          <w:w w:val="105"/>
        </w:rPr>
        <w:t>personal</w:t>
      </w:r>
      <w:r>
        <w:rPr>
          <w:spacing w:val="-15"/>
          <w:w w:val="105"/>
        </w:rPr>
        <w:t> </w:t>
      </w:r>
      <w:r>
        <w:rPr>
          <w:w w:val="105"/>
        </w:rPr>
        <w:t>representative</w:t>
      </w:r>
      <w:r>
        <w:rPr>
          <w:spacing w:val="-15"/>
          <w:w w:val="105"/>
        </w:rPr>
        <w:t> </w:t>
      </w:r>
      <w:r>
        <w:rPr>
          <w:w w:val="105"/>
        </w:rPr>
        <w:t>of</w:t>
      </w:r>
      <w:r>
        <w:rPr>
          <w:spacing w:val="-15"/>
          <w:w w:val="105"/>
        </w:rPr>
        <w:t> </w:t>
      </w:r>
      <w:r>
        <w:rPr>
          <w:w w:val="105"/>
        </w:rPr>
        <w:t>the</w:t>
      </w:r>
      <w:r>
        <w:rPr>
          <w:spacing w:val="-15"/>
          <w:w w:val="105"/>
        </w:rPr>
        <w:t> </w:t>
      </w:r>
      <w:r>
        <w:rPr>
          <w:w w:val="105"/>
        </w:rPr>
        <w:t>estate.</w:t>
      </w:r>
      <w:r>
        <w:rPr>
          <w:w w:val="105"/>
          <w:position w:val="7"/>
          <w:sz w:val="12"/>
        </w:rPr>
        <w:t>58</w:t>
      </w:r>
      <w:r>
        <w:rPr>
          <w:spacing w:val="7"/>
          <w:w w:val="105"/>
          <w:position w:val="7"/>
          <w:sz w:val="12"/>
        </w:rPr>
        <w:t> </w:t>
      </w:r>
      <w:r>
        <w:rPr>
          <w:w w:val="105"/>
        </w:rPr>
        <w:t>Where</w:t>
      </w:r>
      <w:r>
        <w:rPr>
          <w:spacing w:val="-15"/>
          <w:w w:val="105"/>
        </w:rPr>
        <w:t> </w:t>
      </w:r>
      <w:r>
        <w:rPr>
          <w:w w:val="105"/>
        </w:rPr>
        <w:t>a</w:t>
      </w:r>
      <w:r>
        <w:rPr>
          <w:spacing w:val="-14"/>
          <w:w w:val="105"/>
        </w:rPr>
        <w:t> </w:t>
      </w:r>
      <w:r>
        <w:rPr>
          <w:w w:val="105"/>
        </w:rPr>
        <w:t>bankruptcy</w:t>
      </w:r>
      <w:r>
        <w:rPr>
          <w:spacing w:val="-15"/>
          <w:w w:val="105"/>
        </w:rPr>
        <w:t> </w:t>
      </w:r>
      <w:r>
        <w:rPr>
          <w:w w:val="105"/>
        </w:rPr>
        <w:t>order</w:t>
      </w:r>
      <w:r>
        <w:rPr>
          <w:spacing w:val="-15"/>
          <w:w w:val="105"/>
        </w:rPr>
        <w:t> </w:t>
      </w:r>
      <w:r>
        <w:rPr>
          <w:spacing w:val="-2"/>
          <w:w w:val="105"/>
        </w:rPr>
        <w:t>has</w:t>
      </w:r>
      <w:r>
        <w:rPr>
          <w:spacing w:val="-15"/>
          <w:w w:val="105"/>
        </w:rPr>
        <w:t> </w:t>
      </w:r>
      <w:r>
        <w:rPr>
          <w:w w:val="105"/>
        </w:rPr>
        <w:t>been</w:t>
      </w:r>
      <w:r>
        <w:rPr>
          <w:spacing w:val="-15"/>
          <w:w w:val="105"/>
        </w:rPr>
        <w:t> </w:t>
      </w:r>
      <w:r>
        <w:rPr>
          <w:spacing w:val="-2"/>
          <w:w w:val="105"/>
        </w:rPr>
        <w:t>obtained,</w:t>
      </w:r>
      <w:r>
        <w:rPr>
          <w:spacing w:val="-15"/>
          <w:w w:val="105"/>
        </w:rPr>
        <w:t> </w:t>
      </w:r>
      <w:r>
        <w:rPr>
          <w:w w:val="105"/>
        </w:rPr>
        <w:t>the estate </w:t>
      </w:r>
      <w:r>
        <w:rPr>
          <w:spacing w:val="-3"/>
          <w:w w:val="105"/>
        </w:rPr>
        <w:t>will </w:t>
      </w:r>
      <w:r>
        <w:rPr>
          <w:w w:val="105"/>
        </w:rPr>
        <w:t>be </w:t>
      </w:r>
      <w:r>
        <w:rPr>
          <w:spacing w:val="-3"/>
          <w:w w:val="105"/>
        </w:rPr>
        <w:t>administered </w:t>
      </w:r>
      <w:r>
        <w:rPr>
          <w:w w:val="105"/>
        </w:rPr>
        <w:t>in bankruptcy—that is, </w:t>
      </w:r>
      <w:r>
        <w:rPr>
          <w:spacing w:val="-3"/>
          <w:w w:val="105"/>
        </w:rPr>
        <w:t>administered </w:t>
      </w:r>
      <w:r>
        <w:rPr>
          <w:w w:val="105"/>
        </w:rPr>
        <w:t>under the </w:t>
      </w:r>
      <w:r>
        <w:rPr>
          <w:spacing w:val="-3"/>
          <w:w w:val="105"/>
        </w:rPr>
        <w:t>provisions </w:t>
      </w:r>
      <w:r>
        <w:rPr>
          <w:w w:val="105"/>
        </w:rPr>
        <w:t>of the Bankruptcy</w:t>
      </w:r>
      <w:r>
        <w:rPr>
          <w:spacing w:val="10"/>
          <w:w w:val="105"/>
        </w:rPr>
        <w:t> </w:t>
      </w:r>
      <w:r>
        <w:rPr>
          <w:w w:val="105"/>
        </w:rPr>
        <w:t>Act.</w:t>
      </w:r>
    </w:p>
    <w:p>
      <w:pPr>
        <w:pStyle w:val="BodyText"/>
        <w:rPr>
          <w:sz w:val="25"/>
        </w:rPr>
      </w:pPr>
    </w:p>
    <w:p>
      <w:pPr>
        <w:pStyle w:val="Heading5"/>
      </w:pPr>
      <w:r>
        <w:rPr>
          <w:w w:val="115"/>
        </w:rPr>
        <w:t>Clarification of the interaction between the two systems</w:t>
      </w:r>
    </w:p>
    <w:p>
      <w:pPr>
        <w:pStyle w:val="ListParagraph"/>
        <w:numPr>
          <w:ilvl w:val="1"/>
          <w:numId w:val="22"/>
        </w:numPr>
        <w:tabs>
          <w:tab w:pos="2381" w:val="left" w:leader="none"/>
          <w:tab w:pos="2382" w:val="left" w:leader="none"/>
        </w:tabs>
        <w:spacing w:line="242" w:lineRule="auto" w:before="137" w:after="0"/>
        <w:ind w:left="2381" w:right="1705" w:hanging="794"/>
        <w:jc w:val="left"/>
        <w:rPr>
          <w:sz w:val="21"/>
        </w:rPr>
      </w:pPr>
      <w:r>
        <w:rPr>
          <w:spacing w:val="-3"/>
          <w:sz w:val="21"/>
        </w:rPr>
        <w:t>Retaining </w:t>
      </w:r>
      <w:r>
        <w:rPr>
          <w:sz w:val="21"/>
        </w:rPr>
        <w:t>two systems, under which bankruptcy rules </w:t>
      </w:r>
      <w:r>
        <w:rPr>
          <w:spacing w:val="-3"/>
          <w:sz w:val="21"/>
        </w:rPr>
        <w:t>may </w:t>
      </w:r>
      <w:r>
        <w:rPr>
          <w:sz w:val="21"/>
        </w:rPr>
        <w:t>apply indirectly </w:t>
      </w:r>
      <w:r>
        <w:rPr>
          <w:spacing w:val="-3"/>
          <w:sz w:val="21"/>
        </w:rPr>
        <w:t>through </w:t>
      </w:r>
      <w:r>
        <w:rPr>
          <w:sz w:val="21"/>
        </w:rPr>
        <w:t>the </w:t>
      </w:r>
      <w:r>
        <w:rPr>
          <w:spacing w:val="-3"/>
          <w:sz w:val="21"/>
        </w:rPr>
        <w:t>Administration </w:t>
      </w:r>
      <w:r>
        <w:rPr>
          <w:sz w:val="21"/>
        </w:rPr>
        <w:t>and </w:t>
      </w:r>
      <w:r>
        <w:rPr>
          <w:spacing w:val="-3"/>
          <w:sz w:val="21"/>
        </w:rPr>
        <w:t>Probate </w:t>
      </w:r>
      <w:r>
        <w:rPr>
          <w:sz w:val="21"/>
        </w:rPr>
        <w:t>Act or directly where an estate is </w:t>
      </w:r>
      <w:r>
        <w:rPr>
          <w:spacing w:val="-3"/>
          <w:sz w:val="21"/>
        </w:rPr>
        <w:t>bankrupt, </w:t>
      </w:r>
      <w:r>
        <w:rPr>
          <w:sz w:val="21"/>
        </w:rPr>
        <w:t>would </w:t>
      </w:r>
      <w:r>
        <w:rPr>
          <w:spacing w:val="-3"/>
          <w:sz w:val="21"/>
        </w:rPr>
        <w:t>maintain national </w:t>
      </w:r>
      <w:r>
        <w:rPr>
          <w:sz w:val="21"/>
        </w:rPr>
        <w:t>consistency and the </w:t>
      </w:r>
      <w:r>
        <w:rPr>
          <w:spacing w:val="-3"/>
          <w:sz w:val="21"/>
        </w:rPr>
        <w:t>Commission </w:t>
      </w:r>
      <w:r>
        <w:rPr>
          <w:sz w:val="21"/>
        </w:rPr>
        <w:t>does </w:t>
      </w:r>
      <w:r>
        <w:rPr>
          <w:spacing w:val="-2"/>
          <w:sz w:val="21"/>
        </w:rPr>
        <w:t>not </w:t>
      </w:r>
      <w:r>
        <w:rPr>
          <w:spacing w:val="-3"/>
          <w:sz w:val="21"/>
        </w:rPr>
        <w:t>consider  that  </w:t>
      </w:r>
      <w:r>
        <w:rPr>
          <w:sz w:val="21"/>
        </w:rPr>
        <w:t>the </w:t>
      </w:r>
      <w:r>
        <w:rPr>
          <w:spacing w:val="-3"/>
          <w:sz w:val="21"/>
        </w:rPr>
        <w:t>dual</w:t>
      </w:r>
      <w:r>
        <w:rPr>
          <w:spacing w:val="41"/>
          <w:sz w:val="21"/>
        </w:rPr>
        <w:t> </w:t>
      </w:r>
      <w:r>
        <w:rPr>
          <w:sz w:val="21"/>
        </w:rPr>
        <w:t>systems should be </w:t>
      </w:r>
      <w:r>
        <w:rPr>
          <w:spacing w:val="-3"/>
          <w:sz w:val="21"/>
        </w:rPr>
        <w:t>replaced. </w:t>
      </w:r>
      <w:r>
        <w:rPr>
          <w:spacing w:val="-4"/>
          <w:sz w:val="21"/>
        </w:rPr>
        <w:t>However, </w:t>
      </w:r>
      <w:r>
        <w:rPr>
          <w:sz w:val="21"/>
        </w:rPr>
        <w:t>some difficulties arise under the </w:t>
      </w:r>
      <w:r>
        <w:rPr>
          <w:spacing w:val="-3"/>
          <w:sz w:val="21"/>
        </w:rPr>
        <w:t>dual</w:t>
      </w:r>
      <w:r>
        <w:rPr>
          <w:spacing w:val="12"/>
          <w:sz w:val="21"/>
        </w:rPr>
        <w:t> </w:t>
      </w:r>
      <w:r>
        <w:rPr>
          <w:sz w:val="21"/>
        </w:rPr>
        <w:t>systems.</w:t>
      </w:r>
    </w:p>
    <w:p>
      <w:pPr>
        <w:pStyle w:val="ListParagraph"/>
        <w:numPr>
          <w:ilvl w:val="1"/>
          <w:numId w:val="22"/>
        </w:numPr>
        <w:tabs>
          <w:tab w:pos="2381" w:val="left" w:leader="none"/>
          <w:tab w:pos="2382" w:val="left" w:leader="none"/>
        </w:tabs>
        <w:spacing w:line="242" w:lineRule="auto" w:before="125" w:after="0"/>
        <w:ind w:left="2381" w:right="2073" w:hanging="794"/>
        <w:jc w:val="left"/>
        <w:rPr>
          <w:sz w:val="12"/>
        </w:rPr>
      </w:pPr>
      <w:r>
        <w:rPr>
          <w:sz w:val="21"/>
        </w:rPr>
        <w:t>The </w:t>
      </w:r>
      <w:r>
        <w:rPr>
          <w:spacing w:val="-3"/>
          <w:sz w:val="21"/>
        </w:rPr>
        <w:t>Commission asked </w:t>
      </w:r>
      <w:r>
        <w:rPr>
          <w:sz w:val="21"/>
        </w:rPr>
        <w:t>in the </w:t>
      </w:r>
      <w:r>
        <w:rPr>
          <w:spacing w:val="-3"/>
          <w:sz w:val="21"/>
        </w:rPr>
        <w:t>consultation </w:t>
      </w:r>
      <w:r>
        <w:rPr>
          <w:sz w:val="21"/>
        </w:rPr>
        <w:t>paper on debts how the two systems can operate more efficiently and effectively </w:t>
      </w:r>
      <w:r>
        <w:rPr>
          <w:spacing w:val="-4"/>
          <w:sz w:val="21"/>
        </w:rPr>
        <w:t>together.</w:t>
      </w:r>
      <w:r>
        <w:rPr>
          <w:spacing w:val="-4"/>
          <w:position w:val="7"/>
          <w:sz w:val="12"/>
        </w:rPr>
        <w:t>59 </w:t>
      </w:r>
      <w:r>
        <w:rPr>
          <w:sz w:val="21"/>
        </w:rPr>
        <w:t>In its report on </w:t>
      </w:r>
      <w:r>
        <w:rPr>
          <w:spacing w:val="-3"/>
          <w:sz w:val="21"/>
        </w:rPr>
        <w:t>administration </w:t>
      </w:r>
      <w:r>
        <w:rPr>
          <w:sz w:val="21"/>
        </w:rPr>
        <w:t>of estates, the </w:t>
      </w:r>
      <w:r>
        <w:rPr>
          <w:spacing w:val="-3"/>
          <w:sz w:val="21"/>
        </w:rPr>
        <w:t>National Committee for  Uniform  Succession  </w:t>
      </w:r>
      <w:r>
        <w:rPr>
          <w:sz w:val="21"/>
        </w:rPr>
        <w:t>Laws put forward a number  of proposals </w:t>
      </w:r>
      <w:r>
        <w:rPr>
          <w:spacing w:val="-3"/>
          <w:sz w:val="21"/>
        </w:rPr>
        <w:t>for minor reform,</w:t>
      </w:r>
      <w:r>
        <w:rPr>
          <w:spacing w:val="21"/>
          <w:sz w:val="21"/>
        </w:rPr>
        <w:t> </w:t>
      </w:r>
      <w:r>
        <w:rPr>
          <w:sz w:val="21"/>
        </w:rPr>
        <w:t>discussed </w:t>
      </w:r>
      <w:r>
        <w:rPr>
          <w:spacing w:val="-3"/>
          <w:sz w:val="21"/>
        </w:rPr>
        <w:t>below.</w:t>
      </w:r>
      <w:r>
        <w:rPr>
          <w:spacing w:val="-3"/>
          <w:position w:val="7"/>
          <w:sz w:val="12"/>
        </w:rPr>
        <w:t>60</w:t>
      </w:r>
    </w:p>
    <w:p>
      <w:pPr>
        <w:pStyle w:val="ListParagraph"/>
        <w:numPr>
          <w:ilvl w:val="1"/>
          <w:numId w:val="22"/>
        </w:numPr>
        <w:tabs>
          <w:tab w:pos="2380" w:val="left" w:leader="none"/>
          <w:tab w:pos="2381" w:val="left" w:leader="none"/>
        </w:tabs>
        <w:spacing w:line="242" w:lineRule="auto" w:before="124" w:after="0"/>
        <w:ind w:left="2381" w:right="1725" w:hanging="794"/>
        <w:jc w:val="left"/>
        <w:rPr>
          <w:sz w:val="21"/>
        </w:rPr>
      </w:pPr>
      <w:r>
        <w:rPr>
          <w:w w:val="105"/>
          <w:sz w:val="21"/>
        </w:rPr>
        <w:t>Although </w:t>
      </w:r>
      <w:r>
        <w:rPr>
          <w:spacing w:val="-3"/>
          <w:w w:val="105"/>
          <w:sz w:val="21"/>
        </w:rPr>
        <w:t>consultation </w:t>
      </w:r>
      <w:r>
        <w:rPr>
          <w:w w:val="105"/>
          <w:sz w:val="21"/>
        </w:rPr>
        <w:t>on these topics was </w:t>
      </w:r>
      <w:r>
        <w:rPr>
          <w:spacing w:val="-3"/>
          <w:w w:val="105"/>
          <w:sz w:val="21"/>
        </w:rPr>
        <w:t>limited, submissions </w:t>
      </w:r>
      <w:r>
        <w:rPr>
          <w:w w:val="105"/>
          <w:sz w:val="21"/>
        </w:rPr>
        <w:t>broadly supported the </w:t>
      </w:r>
      <w:r>
        <w:rPr>
          <w:spacing w:val="-3"/>
          <w:w w:val="105"/>
          <w:sz w:val="21"/>
        </w:rPr>
        <w:t>changes </w:t>
      </w:r>
      <w:r>
        <w:rPr>
          <w:w w:val="105"/>
          <w:sz w:val="21"/>
        </w:rPr>
        <w:t>proposed by the </w:t>
      </w:r>
      <w:r>
        <w:rPr>
          <w:spacing w:val="-3"/>
          <w:w w:val="105"/>
          <w:sz w:val="21"/>
        </w:rPr>
        <w:t>National Committee. </w:t>
      </w:r>
      <w:r>
        <w:rPr>
          <w:w w:val="105"/>
          <w:sz w:val="21"/>
        </w:rPr>
        <w:t>No </w:t>
      </w:r>
      <w:r>
        <w:rPr>
          <w:spacing w:val="-3"/>
          <w:w w:val="105"/>
          <w:sz w:val="21"/>
        </w:rPr>
        <w:t>submissions </w:t>
      </w:r>
      <w:r>
        <w:rPr>
          <w:w w:val="105"/>
          <w:sz w:val="21"/>
        </w:rPr>
        <w:t>identified </w:t>
      </w:r>
      <w:r>
        <w:rPr>
          <w:spacing w:val="-3"/>
          <w:w w:val="105"/>
          <w:sz w:val="21"/>
        </w:rPr>
        <w:t>any </w:t>
      </w:r>
      <w:r>
        <w:rPr>
          <w:w w:val="105"/>
          <w:sz w:val="21"/>
        </w:rPr>
        <w:t>major difficulties</w:t>
      </w:r>
      <w:r>
        <w:rPr>
          <w:spacing w:val="-7"/>
          <w:w w:val="105"/>
          <w:sz w:val="21"/>
        </w:rPr>
        <w:t> </w:t>
      </w:r>
      <w:r>
        <w:rPr>
          <w:w w:val="105"/>
          <w:sz w:val="21"/>
        </w:rPr>
        <w:t>with</w:t>
      </w:r>
      <w:r>
        <w:rPr>
          <w:spacing w:val="-6"/>
          <w:w w:val="105"/>
          <w:sz w:val="21"/>
        </w:rPr>
        <w:t> </w:t>
      </w:r>
      <w:r>
        <w:rPr>
          <w:w w:val="105"/>
          <w:sz w:val="21"/>
        </w:rPr>
        <w:t>the</w:t>
      </w:r>
      <w:r>
        <w:rPr>
          <w:spacing w:val="-7"/>
          <w:w w:val="105"/>
          <w:sz w:val="21"/>
        </w:rPr>
        <w:t> </w:t>
      </w:r>
      <w:r>
        <w:rPr>
          <w:w w:val="105"/>
          <w:sz w:val="21"/>
        </w:rPr>
        <w:t>operation</w:t>
      </w:r>
      <w:r>
        <w:rPr>
          <w:spacing w:val="-6"/>
          <w:w w:val="105"/>
          <w:sz w:val="21"/>
        </w:rPr>
        <w:t> </w:t>
      </w:r>
      <w:r>
        <w:rPr>
          <w:w w:val="105"/>
          <w:sz w:val="21"/>
        </w:rPr>
        <w:t>of</w:t>
      </w:r>
      <w:r>
        <w:rPr>
          <w:spacing w:val="-7"/>
          <w:w w:val="105"/>
          <w:sz w:val="21"/>
        </w:rPr>
        <w:t> </w:t>
      </w:r>
      <w:r>
        <w:rPr>
          <w:w w:val="105"/>
          <w:sz w:val="21"/>
        </w:rPr>
        <w:t>the</w:t>
      </w:r>
      <w:r>
        <w:rPr>
          <w:spacing w:val="-6"/>
          <w:w w:val="105"/>
          <w:sz w:val="21"/>
        </w:rPr>
        <w:t> </w:t>
      </w:r>
      <w:r>
        <w:rPr>
          <w:spacing w:val="-3"/>
          <w:w w:val="105"/>
          <w:sz w:val="21"/>
        </w:rPr>
        <w:t>dual</w:t>
      </w:r>
      <w:r>
        <w:rPr>
          <w:spacing w:val="-7"/>
          <w:w w:val="105"/>
          <w:sz w:val="21"/>
        </w:rPr>
        <w:t> </w:t>
      </w:r>
      <w:r>
        <w:rPr>
          <w:w w:val="105"/>
          <w:sz w:val="21"/>
        </w:rPr>
        <w:t>systems</w:t>
      </w:r>
      <w:r>
        <w:rPr>
          <w:spacing w:val="-6"/>
          <w:w w:val="105"/>
          <w:sz w:val="21"/>
        </w:rPr>
        <w:t> </w:t>
      </w:r>
      <w:r>
        <w:rPr>
          <w:w w:val="105"/>
          <w:sz w:val="21"/>
        </w:rPr>
        <w:t>as</w:t>
      </w:r>
      <w:r>
        <w:rPr>
          <w:spacing w:val="-6"/>
          <w:w w:val="105"/>
          <w:sz w:val="21"/>
        </w:rPr>
        <w:t> </w:t>
      </w:r>
      <w:r>
        <w:rPr>
          <w:w w:val="105"/>
          <w:sz w:val="21"/>
        </w:rPr>
        <w:t>a</w:t>
      </w:r>
      <w:r>
        <w:rPr>
          <w:spacing w:val="-7"/>
          <w:w w:val="105"/>
          <w:sz w:val="21"/>
        </w:rPr>
        <w:t> </w:t>
      </w:r>
      <w:r>
        <w:rPr>
          <w:spacing w:val="-3"/>
          <w:w w:val="105"/>
          <w:sz w:val="21"/>
        </w:rPr>
        <w:t>whole,</w:t>
      </w:r>
      <w:r>
        <w:rPr>
          <w:spacing w:val="-3"/>
          <w:w w:val="105"/>
          <w:position w:val="7"/>
          <w:sz w:val="12"/>
        </w:rPr>
        <w:t>61</w:t>
      </w:r>
      <w:r>
        <w:rPr>
          <w:spacing w:val="16"/>
          <w:w w:val="105"/>
          <w:position w:val="7"/>
          <w:sz w:val="12"/>
        </w:rPr>
        <w:t> </w:t>
      </w:r>
      <w:r>
        <w:rPr>
          <w:spacing w:val="-3"/>
          <w:w w:val="105"/>
          <w:sz w:val="21"/>
        </w:rPr>
        <w:t>however</w:t>
      </w:r>
      <w:r>
        <w:rPr>
          <w:spacing w:val="-7"/>
          <w:w w:val="105"/>
          <w:sz w:val="21"/>
        </w:rPr>
        <w:t> </w:t>
      </w:r>
      <w:r>
        <w:rPr>
          <w:w w:val="105"/>
          <w:sz w:val="21"/>
        </w:rPr>
        <w:t>those</w:t>
      </w:r>
      <w:r>
        <w:rPr>
          <w:spacing w:val="-6"/>
          <w:w w:val="105"/>
          <w:sz w:val="21"/>
        </w:rPr>
        <w:t> </w:t>
      </w:r>
      <w:r>
        <w:rPr>
          <w:spacing w:val="-3"/>
          <w:w w:val="105"/>
          <w:sz w:val="21"/>
        </w:rPr>
        <w:t>that</w:t>
      </w:r>
      <w:r>
        <w:rPr>
          <w:spacing w:val="-7"/>
          <w:w w:val="105"/>
          <w:sz w:val="21"/>
        </w:rPr>
        <w:t> </w:t>
      </w:r>
      <w:r>
        <w:rPr>
          <w:spacing w:val="-3"/>
          <w:w w:val="105"/>
          <w:sz w:val="21"/>
        </w:rPr>
        <w:t>dealt </w:t>
      </w:r>
      <w:r>
        <w:rPr>
          <w:w w:val="105"/>
          <w:sz w:val="21"/>
        </w:rPr>
        <w:t>with this topic made some suggestions </w:t>
      </w:r>
      <w:r>
        <w:rPr>
          <w:spacing w:val="-3"/>
          <w:w w:val="105"/>
          <w:sz w:val="21"/>
        </w:rPr>
        <w:t>for </w:t>
      </w:r>
      <w:r>
        <w:rPr>
          <w:w w:val="105"/>
          <w:sz w:val="21"/>
        </w:rPr>
        <w:t>general</w:t>
      </w:r>
      <w:r>
        <w:rPr>
          <w:spacing w:val="28"/>
          <w:w w:val="105"/>
          <w:sz w:val="21"/>
        </w:rPr>
        <w:t> </w:t>
      </w:r>
      <w:r>
        <w:rPr>
          <w:w w:val="105"/>
          <w:sz w:val="21"/>
        </w:rPr>
        <w:t>reform:</w:t>
      </w:r>
    </w:p>
    <w:p>
      <w:pPr>
        <w:pStyle w:val="ListParagraph"/>
        <w:numPr>
          <w:ilvl w:val="2"/>
          <w:numId w:val="22"/>
        </w:numPr>
        <w:tabs>
          <w:tab w:pos="2721" w:val="left" w:leader="none"/>
          <w:tab w:pos="2722" w:val="left" w:leader="none"/>
        </w:tabs>
        <w:spacing w:line="242" w:lineRule="auto" w:before="124" w:after="0"/>
        <w:ind w:left="2721" w:right="2341" w:hanging="340"/>
        <w:jc w:val="left"/>
        <w:rPr>
          <w:i/>
          <w:sz w:val="12"/>
        </w:rPr>
      </w:pPr>
      <w:r>
        <w:rPr>
          <w:w w:val="105"/>
          <w:sz w:val="21"/>
        </w:rPr>
        <w:t>The</w:t>
      </w:r>
      <w:r>
        <w:rPr>
          <w:spacing w:val="-6"/>
          <w:w w:val="105"/>
          <w:sz w:val="21"/>
        </w:rPr>
        <w:t> </w:t>
      </w:r>
      <w:r>
        <w:rPr>
          <w:spacing w:val="-3"/>
          <w:w w:val="105"/>
          <w:sz w:val="21"/>
        </w:rPr>
        <w:t>Administration</w:t>
      </w:r>
      <w:r>
        <w:rPr>
          <w:spacing w:val="-5"/>
          <w:w w:val="105"/>
          <w:sz w:val="21"/>
        </w:rPr>
        <w:t> </w:t>
      </w:r>
      <w:r>
        <w:rPr>
          <w:w w:val="105"/>
          <w:sz w:val="21"/>
        </w:rPr>
        <w:t>and</w:t>
      </w:r>
      <w:r>
        <w:rPr>
          <w:spacing w:val="-5"/>
          <w:w w:val="105"/>
          <w:sz w:val="21"/>
        </w:rPr>
        <w:t> </w:t>
      </w:r>
      <w:r>
        <w:rPr>
          <w:spacing w:val="-3"/>
          <w:w w:val="105"/>
          <w:sz w:val="21"/>
        </w:rPr>
        <w:t>Probate</w:t>
      </w:r>
      <w:r>
        <w:rPr>
          <w:spacing w:val="-5"/>
          <w:w w:val="105"/>
          <w:sz w:val="21"/>
        </w:rPr>
        <w:t> </w:t>
      </w:r>
      <w:r>
        <w:rPr>
          <w:w w:val="105"/>
          <w:sz w:val="21"/>
        </w:rPr>
        <w:t>Act</w:t>
      </w:r>
      <w:r>
        <w:rPr>
          <w:spacing w:val="-5"/>
          <w:w w:val="105"/>
          <w:sz w:val="21"/>
        </w:rPr>
        <w:t> </w:t>
      </w:r>
      <w:r>
        <w:rPr>
          <w:w w:val="105"/>
          <w:sz w:val="21"/>
        </w:rPr>
        <w:t>should</w:t>
      </w:r>
      <w:r>
        <w:rPr>
          <w:spacing w:val="-6"/>
          <w:w w:val="105"/>
          <w:sz w:val="21"/>
        </w:rPr>
        <w:t> </w:t>
      </w:r>
      <w:r>
        <w:rPr>
          <w:w w:val="105"/>
          <w:sz w:val="21"/>
        </w:rPr>
        <w:t>be</w:t>
      </w:r>
      <w:r>
        <w:rPr>
          <w:spacing w:val="-5"/>
          <w:w w:val="105"/>
          <w:sz w:val="21"/>
        </w:rPr>
        <w:t> </w:t>
      </w:r>
      <w:r>
        <w:rPr>
          <w:w w:val="105"/>
          <w:sz w:val="21"/>
        </w:rPr>
        <w:t>amended</w:t>
      </w:r>
      <w:r>
        <w:rPr>
          <w:spacing w:val="-5"/>
          <w:w w:val="105"/>
          <w:sz w:val="21"/>
        </w:rPr>
        <w:t> </w:t>
      </w:r>
      <w:r>
        <w:rPr>
          <w:spacing w:val="-3"/>
          <w:w w:val="105"/>
          <w:sz w:val="21"/>
        </w:rPr>
        <w:t>to</w:t>
      </w:r>
      <w:r>
        <w:rPr>
          <w:spacing w:val="-5"/>
          <w:w w:val="105"/>
          <w:sz w:val="21"/>
        </w:rPr>
        <w:t> </w:t>
      </w:r>
      <w:r>
        <w:rPr>
          <w:w w:val="105"/>
          <w:sz w:val="21"/>
        </w:rPr>
        <w:t>better</w:t>
      </w:r>
      <w:r>
        <w:rPr>
          <w:spacing w:val="-5"/>
          <w:w w:val="105"/>
          <w:sz w:val="21"/>
        </w:rPr>
        <w:t> </w:t>
      </w:r>
      <w:r>
        <w:rPr>
          <w:spacing w:val="-3"/>
          <w:w w:val="105"/>
          <w:sz w:val="21"/>
        </w:rPr>
        <w:t>refer</w:t>
      </w:r>
      <w:r>
        <w:rPr>
          <w:spacing w:val="-5"/>
          <w:w w:val="105"/>
          <w:sz w:val="21"/>
        </w:rPr>
        <w:t> </w:t>
      </w:r>
      <w:r>
        <w:rPr>
          <w:spacing w:val="-3"/>
          <w:w w:val="105"/>
          <w:sz w:val="21"/>
        </w:rPr>
        <w:t>to</w:t>
      </w:r>
      <w:r>
        <w:rPr>
          <w:spacing w:val="-6"/>
          <w:w w:val="105"/>
          <w:sz w:val="21"/>
        </w:rPr>
        <w:t> </w:t>
      </w:r>
      <w:r>
        <w:rPr>
          <w:w w:val="105"/>
          <w:sz w:val="21"/>
        </w:rPr>
        <w:t>the applicable sections of the Bankruptcy</w:t>
      </w:r>
      <w:r>
        <w:rPr>
          <w:spacing w:val="20"/>
          <w:w w:val="105"/>
          <w:sz w:val="21"/>
        </w:rPr>
        <w:t> </w:t>
      </w:r>
      <w:r>
        <w:rPr>
          <w:w w:val="105"/>
          <w:sz w:val="21"/>
        </w:rPr>
        <w:t>Act</w:t>
      </w:r>
      <w:r>
        <w:rPr>
          <w:i/>
          <w:w w:val="105"/>
          <w:sz w:val="21"/>
        </w:rPr>
        <w:t>.</w:t>
      </w:r>
      <w:r>
        <w:rPr>
          <w:i/>
          <w:w w:val="105"/>
          <w:position w:val="7"/>
          <w:sz w:val="12"/>
        </w:rPr>
        <w:t>62</w:t>
      </w:r>
    </w:p>
    <w:p>
      <w:pPr>
        <w:pStyle w:val="ListParagraph"/>
        <w:numPr>
          <w:ilvl w:val="2"/>
          <w:numId w:val="22"/>
        </w:numPr>
        <w:tabs>
          <w:tab w:pos="2721" w:val="left" w:leader="none"/>
          <w:tab w:pos="2722" w:val="left" w:leader="none"/>
        </w:tabs>
        <w:spacing w:line="240" w:lineRule="auto" w:before="122" w:after="0"/>
        <w:ind w:left="2721" w:right="0" w:hanging="340"/>
        <w:jc w:val="left"/>
        <w:rPr>
          <w:sz w:val="12"/>
        </w:rPr>
      </w:pPr>
      <w:r>
        <w:rPr>
          <w:w w:val="105"/>
          <w:sz w:val="21"/>
        </w:rPr>
        <w:t>The two systems </w:t>
      </w:r>
      <w:r>
        <w:rPr>
          <w:spacing w:val="-3"/>
          <w:w w:val="105"/>
          <w:sz w:val="21"/>
        </w:rPr>
        <w:t>should, </w:t>
      </w:r>
      <w:r>
        <w:rPr>
          <w:w w:val="105"/>
          <w:sz w:val="21"/>
        </w:rPr>
        <w:t>as </w:t>
      </w:r>
      <w:r>
        <w:rPr>
          <w:spacing w:val="-3"/>
          <w:w w:val="105"/>
          <w:sz w:val="21"/>
        </w:rPr>
        <w:t>far </w:t>
      </w:r>
      <w:r>
        <w:rPr>
          <w:w w:val="105"/>
          <w:sz w:val="21"/>
        </w:rPr>
        <w:t>as </w:t>
      </w:r>
      <w:r>
        <w:rPr>
          <w:spacing w:val="-3"/>
          <w:w w:val="105"/>
          <w:sz w:val="21"/>
        </w:rPr>
        <w:t>possible, </w:t>
      </w:r>
      <w:r>
        <w:rPr>
          <w:spacing w:val="-4"/>
          <w:w w:val="105"/>
          <w:sz w:val="21"/>
        </w:rPr>
        <w:t>‘mirror </w:t>
      </w:r>
      <w:r>
        <w:rPr>
          <w:w w:val="105"/>
          <w:sz w:val="21"/>
        </w:rPr>
        <w:t>each</w:t>
      </w:r>
      <w:r>
        <w:rPr>
          <w:spacing w:val="6"/>
          <w:w w:val="105"/>
          <w:sz w:val="21"/>
        </w:rPr>
        <w:t> </w:t>
      </w:r>
      <w:r>
        <w:rPr>
          <w:spacing w:val="-4"/>
          <w:w w:val="105"/>
          <w:sz w:val="21"/>
        </w:rPr>
        <w:t>other’.</w:t>
      </w:r>
      <w:r>
        <w:rPr>
          <w:spacing w:val="-4"/>
          <w:w w:val="105"/>
          <w:position w:val="7"/>
          <w:sz w:val="12"/>
        </w:rPr>
        <w:t>63</w:t>
      </w:r>
    </w:p>
    <w:p>
      <w:pPr>
        <w:pStyle w:val="ListParagraph"/>
        <w:numPr>
          <w:ilvl w:val="2"/>
          <w:numId w:val="22"/>
        </w:numPr>
        <w:tabs>
          <w:tab w:pos="2721" w:val="left" w:leader="none"/>
          <w:tab w:pos="2722" w:val="left" w:leader="none"/>
        </w:tabs>
        <w:spacing w:line="240" w:lineRule="auto" w:before="124" w:after="0"/>
        <w:ind w:left="2721" w:right="0" w:hanging="340"/>
        <w:jc w:val="left"/>
        <w:rPr>
          <w:sz w:val="12"/>
        </w:rPr>
      </w:pPr>
      <w:r>
        <w:rPr>
          <w:spacing w:val="-3"/>
          <w:w w:val="105"/>
          <w:sz w:val="21"/>
        </w:rPr>
        <w:t>Terminology </w:t>
      </w:r>
      <w:r>
        <w:rPr>
          <w:w w:val="105"/>
          <w:sz w:val="21"/>
        </w:rPr>
        <w:t>used in the Bankruptcy Act should be applicable </w:t>
      </w:r>
      <w:r>
        <w:rPr>
          <w:spacing w:val="-3"/>
          <w:w w:val="105"/>
          <w:sz w:val="21"/>
        </w:rPr>
        <w:t>to </w:t>
      </w:r>
      <w:r>
        <w:rPr>
          <w:w w:val="105"/>
          <w:sz w:val="21"/>
        </w:rPr>
        <w:t>deceased</w:t>
      </w:r>
      <w:r>
        <w:rPr>
          <w:spacing w:val="23"/>
          <w:w w:val="105"/>
          <w:sz w:val="21"/>
        </w:rPr>
        <w:t> </w:t>
      </w:r>
      <w:r>
        <w:rPr>
          <w:w w:val="105"/>
          <w:sz w:val="21"/>
        </w:rPr>
        <w:t>estates.</w:t>
      </w:r>
      <w:r>
        <w:rPr>
          <w:w w:val="105"/>
          <w:position w:val="7"/>
          <w:sz w:val="12"/>
        </w:rPr>
        <w:t>64</w:t>
      </w:r>
    </w:p>
    <w:p>
      <w:pPr>
        <w:pStyle w:val="ListParagraph"/>
        <w:numPr>
          <w:ilvl w:val="2"/>
          <w:numId w:val="22"/>
        </w:numPr>
        <w:tabs>
          <w:tab w:pos="2721" w:val="left" w:leader="none"/>
          <w:tab w:pos="2722" w:val="left" w:leader="none"/>
        </w:tabs>
        <w:spacing w:line="240" w:lineRule="auto" w:before="124" w:after="0"/>
        <w:ind w:left="2721" w:right="0" w:hanging="340"/>
        <w:jc w:val="left"/>
        <w:rPr>
          <w:sz w:val="12"/>
        </w:rPr>
      </w:pPr>
      <w:r>
        <w:rPr>
          <w:w w:val="105"/>
          <w:sz w:val="21"/>
        </w:rPr>
        <w:t>The applicable bankruptcy law should be </w:t>
      </w:r>
      <w:r>
        <w:rPr>
          <w:spacing w:val="-3"/>
          <w:w w:val="105"/>
          <w:sz w:val="21"/>
        </w:rPr>
        <w:t>that </w:t>
      </w:r>
      <w:r>
        <w:rPr>
          <w:w w:val="105"/>
          <w:sz w:val="21"/>
        </w:rPr>
        <w:t>in </w:t>
      </w:r>
      <w:r>
        <w:rPr>
          <w:spacing w:val="-3"/>
          <w:w w:val="105"/>
          <w:sz w:val="21"/>
        </w:rPr>
        <w:t>force </w:t>
      </w:r>
      <w:r>
        <w:rPr>
          <w:w w:val="105"/>
          <w:sz w:val="21"/>
        </w:rPr>
        <w:t>at the time of</w:t>
      </w:r>
      <w:r>
        <w:rPr>
          <w:spacing w:val="45"/>
          <w:w w:val="105"/>
          <w:sz w:val="21"/>
        </w:rPr>
        <w:t> </w:t>
      </w:r>
      <w:r>
        <w:rPr>
          <w:spacing w:val="-3"/>
          <w:w w:val="105"/>
          <w:sz w:val="21"/>
        </w:rPr>
        <w:t>death.</w:t>
      </w:r>
      <w:r>
        <w:rPr>
          <w:spacing w:val="-3"/>
          <w:w w:val="105"/>
          <w:position w:val="7"/>
          <w:sz w:val="12"/>
        </w:rPr>
        <w:t>65</w:t>
      </w:r>
    </w:p>
    <w:p>
      <w:pPr>
        <w:pStyle w:val="ListParagraph"/>
        <w:numPr>
          <w:ilvl w:val="1"/>
          <w:numId w:val="22"/>
        </w:numPr>
        <w:tabs>
          <w:tab w:pos="2380" w:val="left" w:leader="none"/>
          <w:tab w:pos="2381" w:val="left" w:leader="none"/>
        </w:tabs>
        <w:spacing w:line="242" w:lineRule="auto" w:before="123" w:after="0"/>
        <w:ind w:left="2381" w:right="1638" w:hanging="794"/>
        <w:jc w:val="left"/>
        <w:rPr>
          <w:sz w:val="12"/>
        </w:rPr>
      </w:pPr>
      <w:r>
        <w:rPr>
          <w:spacing w:val="-3"/>
          <w:w w:val="105"/>
          <w:sz w:val="21"/>
        </w:rPr>
        <w:t>State </w:t>
      </w:r>
      <w:r>
        <w:rPr>
          <w:spacing w:val="-4"/>
          <w:w w:val="105"/>
          <w:sz w:val="21"/>
        </w:rPr>
        <w:t>Trustees </w:t>
      </w:r>
      <w:r>
        <w:rPr>
          <w:w w:val="105"/>
          <w:sz w:val="21"/>
        </w:rPr>
        <w:t>supported a general </w:t>
      </w:r>
      <w:r>
        <w:rPr>
          <w:spacing w:val="-3"/>
          <w:w w:val="105"/>
          <w:sz w:val="21"/>
        </w:rPr>
        <w:t>uptake </w:t>
      </w:r>
      <w:r>
        <w:rPr>
          <w:w w:val="105"/>
          <w:sz w:val="21"/>
        </w:rPr>
        <w:t>of the </w:t>
      </w:r>
      <w:r>
        <w:rPr>
          <w:spacing w:val="-3"/>
          <w:w w:val="105"/>
          <w:sz w:val="21"/>
        </w:rPr>
        <w:t>National </w:t>
      </w:r>
      <w:r>
        <w:rPr>
          <w:spacing w:val="-4"/>
          <w:w w:val="105"/>
          <w:sz w:val="21"/>
        </w:rPr>
        <w:t>Committee’s </w:t>
      </w:r>
      <w:r>
        <w:rPr>
          <w:spacing w:val="-3"/>
          <w:w w:val="105"/>
          <w:sz w:val="21"/>
        </w:rPr>
        <w:t>recommendations </w:t>
      </w:r>
      <w:r>
        <w:rPr>
          <w:w w:val="105"/>
          <w:sz w:val="21"/>
        </w:rPr>
        <w:t>in this</w:t>
      </w:r>
      <w:r>
        <w:rPr>
          <w:spacing w:val="10"/>
          <w:w w:val="105"/>
          <w:sz w:val="21"/>
        </w:rPr>
        <w:t> </w:t>
      </w:r>
      <w:r>
        <w:rPr>
          <w:w w:val="105"/>
          <w:sz w:val="21"/>
        </w:rPr>
        <w:t>area.</w:t>
      </w:r>
      <w:r>
        <w:rPr>
          <w:w w:val="105"/>
          <w:position w:val="7"/>
          <w:sz w:val="12"/>
        </w:rPr>
        <w:t>66</w:t>
      </w:r>
    </w:p>
    <w:p>
      <w:pPr>
        <w:pStyle w:val="ListParagraph"/>
        <w:numPr>
          <w:ilvl w:val="1"/>
          <w:numId w:val="22"/>
        </w:numPr>
        <w:tabs>
          <w:tab w:pos="2381" w:val="left" w:leader="none"/>
          <w:tab w:pos="2382" w:val="left" w:leader="none"/>
        </w:tabs>
        <w:spacing w:line="242" w:lineRule="auto" w:before="123" w:after="0"/>
        <w:ind w:left="2381" w:right="2223" w:hanging="794"/>
        <w:jc w:val="left"/>
        <w:rPr>
          <w:sz w:val="21"/>
        </w:rPr>
      </w:pPr>
      <w:r>
        <w:rPr>
          <w:w w:val="105"/>
          <w:sz w:val="21"/>
        </w:rPr>
        <w:t>While</w:t>
      </w:r>
      <w:r>
        <w:rPr>
          <w:spacing w:val="-9"/>
          <w:w w:val="105"/>
          <w:sz w:val="21"/>
        </w:rPr>
        <w:t> </w:t>
      </w:r>
      <w:r>
        <w:rPr>
          <w:w w:val="105"/>
          <w:sz w:val="21"/>
        </w:rPr>
        <w:t>none</w:t>
      </w:r>
      <w:r>
        <w:rPr>
          <w:spacing w:val="-9"/>
          <w:w w:val="105"/>
          <w:sz w:val="21"/>
        </w:rPr>
        <w:t> </w:t>
      </w:r>
      <w:r>
        <w:rPr>
          <w:w w:val="105"/>
          <w:sz w:val="21"/>
        </w:rPr>
        <w:t>of</w:t>
      </w:r>
      <w:r>
        <w:rPr>
          <w:spacing w:val="-9"/>
          <w:w w:val="105"/>
          <w:sz w:val="21"/>
        </w:rPr>
        <w:t> </w:t>
      </w:r>
      <w:r>
        <w:rPr>
          <w:w w:val="105"/>
          <w:sz w:val="21"/>
        </w:rPr>
        <w:t>the</w:t>
      </w:r>
      <w:r>
        <w:rPr>
          <w:spacing w:val="-9"/>
          <w:w w:val="105"/>
          <w:sz w:val="21"/>
        </w:rPr>
        <w:t> </w:t>
      </w:r>
      <w:r>
        <w:rPr>
          <w:w w:val="105"/>
          <w:sz w:val="21"/>
        </w:rPr>
        <w:t>recommended</w:t>
      </w:r>
      <w:r>
        <w:rPr>
          <w:spacing w:val="-9"/>
          <w:w w:val="105"/>
          <w:sz w:val="21"/>
        </w:rPr>
        <w:t> </w:t>
      </w:r>
      <w:r>
        <w:rPr>
          <w:spacing w:val="-3"/>
          <w:w w:val="105"/>
          <w:sz w:val="21"/>
        </w:rPr>
        <w:t>reforms</w:t>
      </w:r>
      <w:r>
        <w:rPr>
          <w:spacing w:val="-9"/>
          <w:w w:val="105"/>
          <w:sz w:val="21"/>
        </w:rPr>
        <w:t> </w:t>
      </w:r>
      <w:r>
        <w:rPr>
          <w:w w:val="105"/>
          <w:sz w:val="21"/>
        </w:rPr>
        <w:t>below</w:t>
      </w:r>
      <w:r>
        <w:rPr>
          <w:spacing w:val="-9"/>
          <w:w w:val="105"/>
          <w:sz w:val="21"/>
        </w:rPr>
        <w:t> </w:t>
      </w:r>
      <w:r>
        <w:rPr>
          <w:w w:val="105"/>
          <w:sz w:val="21"/>
        </w:rPr>
        <w:t>represents</w:t>
      </w:r>
      <w:r>
        <w:rPr>
          <w:spacing w:val="-9"/>
          <w:w w:val="105"/>
          <w:sz w:val="21"/>
        </w:rPr>
        <w:t> </w:t>
      </w:r>
      <w:r>
        <w:rPr>
          <w:w w:val="105"/>
          <w:sz w:val="21"/>
        </w:rPr>
        <w:t>a</w:t>
      </w:r>
      <w:r>
        <w:rPr>
          <w:spacing w:val="-9"/>
          <w:w w:val="105"/>
          <w:sz w:val="21"/>
        </w:rPr>
        <w:t> </w:t>
      </w:r>
      <w:r>
        <w:rPr>
          <w:spacing w:val="-3"/>
          <w:w w:val="105"/>
          <w:sz w:val="21"/>
        </w:rPr>
        <w:t>substantial</w:t>
      </w:r>
      <w:r>
        <w:rPr>
          <w:spacing w:val="-9"/>
          <w:w w:val="105"/>
          <w:sz w:val="21"/>
        </w:rPr>
        <w:t> </w:t>
      </w:r>
      <w:r>
        <w:rPr>
          <w:spacing w:val="-3"/>
          <w:w w:val="105"/>
          <w:sz w:val="21"/>
        </w:rPr>
        <w:t>change</w:t>
      </w:r>
      <w:r>
        <w:rPr>
          <w:spacing w:val="-9"/>
          <w:w w:val="105"/>
          <w:sz w:val="21"/>
        </w:rPr>
        <w:t> </w:t>
      </w:r>
      <w:r>
        <w:rPr>
          <w:w w:val="105"/>
          <w:sz w:val="21"/>
        </w:rPr>
        <w:t>in the </w:t>
      </w:r>
      <w:r>
        <w:rPr>
          <w:spacing w:val="-5"/>
          <w:w w:val="105"/>
          <w:sz w:val="21"/>
        </w:rPr>
        <w:t>law, </w:t>
      </w:r>
      <w:r>
        <w:rPr>
          <w:w w:val="105"/>
          <w:sz w:val="21"/>
        </w:rPr>
        <w:t>the </w:t>
      </w:r>
      <w:r>
        <w:rPr>
          <w:spacing w:val="-3"/>
          <w:w w:val="105"/>
          <w:sz w:val="21"/>
        </w:rPr>
        <w:t>Commission </w:t>
      </w:r>
      <w:r>
        <w:rPr>
          <w:w w:val="105"/>
          <w:sz w:val="21"/>
        </w:rPr>
        <w:t>considers </w:t>
      </w:r>
      <w:r>
        <w:rPr>
          <w:spacing w:val="-3"/>
          <w:w w:val="105"/>
          <w:sz w:val="21"/>
        </w:rPr>
        <w:t>that </w:t>
      </w:r>
      <w:r>
        <w:rPr>
          <w:w w:val="105"/>
          <w:sz w:val="21"/>
        </w:rPr>
        <w:t>the </w:t>
      </w:r>
      <w:r>
        <w:rPr>
          <w:spacing w:val="-3"/>
          <w:w w:val="105"/>
          <w:sz w:val="21"/>
        </w:rPr>
        <w:t>interaction </w:t>
      </w:r>
      <w:r>
        <w:rPr>
          <w:w w:val="105"/>
          <w:sz w:val="21"/>
        </w:rPr>
        <w:t>between the two systems of </w:t>
      </w:r>
      <w:r>
        <w:rPr>
          <w:spacing w:val="-3"/>
          <w:w w:val="105"/>
          <w:sz w:val="21"/>
        </w:rPr>
        <w:t>administration could </w:t>
      </w:r>
      <w:r>
        <w:rPr>
          <w:w w:val="105"/>
          <w:sz w:val="21"/>
        </w:rPr>
        <w:t>be </w:t>
      </w:r>
      <w:r>
        <w:rPr>
          <w:spacing w:val="-2"/>
          <w:w w:val="105"/>
          <w:sz w:val="21"/>
        </w:rPr>
        <w:t>significantly </w:t>
      </w:r>
      <w:r>
        <w:rPr>
          <w:spacing w:val="-3"/>
          <w:w w:val="105"/>
          <w:sz w:val="21"/>
        </w:rPr>
        <w:t>improved </w:t>
      </w:r>
      <w:r>
        <w:rPr>
          <w:w w:val="105"/>
          <w:sz w:val="21"/>
        </w:rPr>
        <w:t>by </w:t>
      </w:r>
      <w:r>
        <w:rPr>
          <w:spacing w:val="-3"/>
          <w:w w:val="105"/>
          <w:sz w:val="21"/>
        </w:rPr>
        <w:t>simpler drafting </w:t>
      </w:r>
      <w:r>
        <w:rPr>
          <w:w w:val="105"/>
          <w:sz w:val="21"/>
        </w:rPr>
        <w:t>and </w:t>
      </w:r>
      <w:r>
        <w:rPr>
          <w:spacing w:val="-3"/>
          <w:w w:val="105"/>
          <w:sz w:val="21"/>
        </w:rPr>
        <w:t>clearer </w:t>
      </w:r>
      <w:r>
        <w:rPr>
          <w:w w:val="105"/>
          <w:sz w:val="21"/>
        </w:rPr>
        <w:t>acknowledgment of the application of the </w:t>
      </w:r>
      <w:r>
        <w:rPr>
          <w:spacing w:val="-3"/>
          <w:w w:val="105"/>
          <w:sz w:val="21"/>
        </w:rPr>
        <w:t>provisions </w:t>
      </w:r>
      <w:r>
        <w:rPr>
          <w:w w:val="105"/>
          <w:sz w:val="21"/>
        </w:rPr>
        <w:t>of the Bankruptcy Act. </w:t>
      </w:r>
      <w:r>
        <w:rPr>
          <w:spacing w:val="-4"/>
          <w:w w:val="105"/>
          <w:sz w:val="21"/>
        </w:rPr>
        <w:t>Clear </w:t>
      </w:r>
      <w:r>
        <w:rPr>
          <w:spacing w:val="-3"/>
          <w:w w:val="105"/>
          <w:sz w:val="21"/>
        </w:rPr>
        <w:t>reference to </w:t>
      </w:r>
      <w:r>
        <w:rPr>
          <w:w w:val="105"/>
          <w:sz w:val="21"/>
        </w:rPr>
        <w:t>the applicability of specific </w:t>
      </w:r>
      <w:r>
        <w:rPr>
          <w:spacing w:val="-3"/>
          <w:w w:val="105"/>
          <w:sz w:val="21"/>
        </w:rPr>
        <w:t>legislation, to relevant provisions </w:t>
      </w:r>
      <w:r>
        <w:rPr>
          <w:w w:val="105"/>
          <w:sz w:val="21"/>
        </w:rPr>
        <w:t>and </w:t>
      </w:r>
      <w:r>
        <w:rPr>
          <w:spacing w:val="-3"/>
          <w:w w:val="105"/>
          <w:sz w:val="21"/>
        </w:rPr>
        <w:t>to </w:t>
      </w:r>
      <w:r>
        <w:rPr>
          <w:w w:val="105"/>
          <w:sz w:val="21"/>
        </w:rPr>
        <w:t>identifiable </w:t>
      </w:r>
      <w:r>
        <w:rPr>
          <w:spacing w:val="-3"/>
          <w:w w:val="105"/>
          <w:sz w:val="21"/>
        </w:rPr>
        <w:t>dates promotes </w:t>
      </w:r>
      <w:r>
        <w:rPr>
          <w:w w:val="105"/>
          <w:sz w:val="21"/>
        </w:rPr>
        <w:t>clarity and </w:t>
      </w:r>
      <w:r>
        <w:rPr>
          <w:spacing w:val="-3"/>
          <w:w w:val="105"/>
          <w:sz w:val="21"/>
        </w:rPr>
        <w:t>comprehension </w:t>
      </w:r>
      <w:r>
        <w:rPr>
          <w:w w:val="105"/>
          <w:sz w:val="21"/>
        </w:rPr>
        <w:t>of the</w:t>
      </w:r>
      <w:r>
        <w:rPr>
          <w:spacing w:val="25"/>
          <w:w w:val="105"/>
          <w:sz w:val="21"/>
        </w:rPr>
        <w:t> </w:t>
      </w:r>
      <w:r>
        <w:rPr>
          <w:spacing w:val="-5"/>
          <w:w w:val="105"/>
          <w:sz w:val="21"/>
        </w:rPr>
        <w:t>law.</w:t>
      </w:r>
    </w:p>
    <w:p>
      <w:pPr>
        <w:pStyle w:val="ListParagraph"/>
        <w:numPr>
          <w:ilvl w:val="1"/>
          <w:numId w:val="22"/>
        </w:numPr>
        <w:tabs>
          <w:tab w:pos="2381" w:val="left" w:leader="none"/>
          <w:tab w:pos="2382" w:val="left" w:leader="none"/>
        </w:tabs>
        <w:spacing w:line="242" w:lineRule="auto" w:before="126" w:after="0"/>
        <w:ind w:left="2381" w:right="1660" w:hanging="794"/>
        <w:jc w:val="left"/>
        <w:rPr>
          <w:sz w:val="21"/>
        </w:rPr>
      </w:pPr>
      <w:r>
        <w:rPr>
          <w:w w:val="105"/>
          <w:sz w:val="21"/>
        </w:rPr>
        <w:t>The </w:t>
      </w:r>
      <w:r>
        <w:rPr>
          <w:spacing w:val="-3"/>
          <w:w w:val="105"/>
          <w:sz w:val="21"/>
        </w:rPr>
        <w:t>Commission </w:t>
      </w:r>
      <w:r>
        <w:rPr>
          <w:w w:val="105"/>
          <w:sz w:val="21"/>
        </w:rPr>
        <w:t>is of the view </w:t>
      </w:r>
      <w:r>
        <w:rPr>
          <w:spacing w:val="-3"/>
          <w:w w:val="105"/>
          <w:sz w:val="21"/>
        </w:rPr>
        <w:t>that </w:t>
      </w:r>
      <w:r>
        <w:rPr>
          <w:w w:val="105"/>
          <w:sz w:val="21"/>
        </w:rPr>
        <w:t>the structure and </w:t>
      </w:r>
      <w:r>
        <w:rPr>
          <w:spacing w:val="-3"/>
          <w:w w:val="105"/>
          <w:sz w:val="21"/>
        </w:rPr>
        <w:t>format </w:t>
      </w:r>
      <w:r>
        <w:rPr>
          <w:w w:val="105"/>
          <w:sz w:val="21"/>
        </w:rPr>
        <w:t>of the </w:t>
      </w:r>
      <w:r>
        <w:rPr>
          <w:spacing w:val="-3"/>
          <w:w w:val="105"/>
          <w:sz w:val="21"/>
        </w:rPr>
        <w:t>National </w:t>
      </w:r>
      <w:r>
        <w:rPr>
          <w:spacing w:val="-4"/>
          <w:w w:val="105"/>
          <w:sz w:val="21"/>
        </w:rPr>
        <w:t>Committee’s </w:t>
      </w:r>
      <w:r>
        <w:rPr>
          <w:w w:val="105"/>
          <w:sz w:val="21"/>
        </w:rPr>
        <w:t>model </w:t>
      </w:r>
      <w:r>
        <w:rPr>
          <w:spacing w:val="-3"/>
          <w:w w:val="105"/>
          <w:sz w:val="21"/>
        </w:rPr>
        <w:t>legislation </w:t>
      </w:r>
      <w:r>
        <w:rPr>
          <w:w w:val="105"/>
          <w:sz w:val="21"/>
        </w:rPr>
        <w:t>should be </w:t>
      </w:r>
      <w:r>
        <w:rPr>
          <w:spacing w:val="-3"/>
          <w:w w:val="105"/>
          <w:sz w:val="21"/>
        </w:rPr>
        <w:t>taken </w:t>
      </w:r>
      <w:r>
        <w:rPr>
          <w:spacing w:val="-4"/>
          <w:w w:val="105"/>
          <w:sz w:val="21"/>
        </w:rPr>
        <w:t>into </w:t>
      </w:r>
      <w:r>
        <w:rPr>
          <w:spacing w:val="-3"/>
          <w:w w:val="105"/>
          <w:sz w:val="21"/>
        </w:rPr>
        <w:t>account </w:t>
      </w:r>
      <w:r>
        <w:rPr>
          <w:w w:val="105"/>
          <w:sz w:val="21"/>
        </w:rPr>
        <w:t>if the </w:t>
      </w:r>
      <w:r>
        <w:rPr>
          <w:spacing w:val="-3"/>
          <w:w w:val="105"/>
          <w:sz w:val="21"/>
        </w:rPr>
        <w:t>changes </w:t>
      </w:r>
      <w:r>
        <w:rPr>
          <w:w w:val="105"/>
          <w:sz w:val="21"/>
        </w:rPr>
        <w:t>set out below in </w:t>
      </w:r>
      <w:r>
        <w:rPr>
          <w:spacing w:val="-3"/>
          <w:w w:val="105"/>
          <w:sz w:val="21"/>
        </w:rPr>
        <w:t>recommendation </w:t>
      </w:r>
      <w:r>
        <w:rPr>
          <w:w w:val="105"/>
          <w:sz w:val="21"/>
        </w:rPr>
        <w:t>66 </w:t>
      </w:r>
      <w:r>
        <w:rPr>
          <w:spacing w:val="-3"/>
          <w:w w:val="105"/>
          <w:sz w:val="21"/>
        </w:rPr>
        <w:t>are implemented. </w:t>
      </w:r>
      <w:r>
        <w:rPr>
          <w:w w:val="105"/>
          <w:sz w:val="21"/>
        </w:rPr>
        <w:t>Ancillary and </w:t>
      </w:r>
      <w:r>
        <w:rPr>
          <w:spacing w:val="-3"/>
          <w:w w:val="105"/>
          <w:sz w:val="21"/>
        </w:rPr>
        <w:t>procedural </w:t>
      </w:r>
      <w:r>
        <w:rPr>
          <w:w w:val="105"/>
          <w:sz w:val="21"/>
        </w:rPr>
        <w:t>aspects of this model </w:t>
      </w:r>
      <w:r>
        <w:rPr>
          <w:spacing w:val="-3"/>
          <w:w w:val="105"/>
          <w:sz w:val="21"/>
        </w:rPr>
        <w:t>legislation </w:t>
      </w:r>
      <w:r>
        <w:rPr>
          <w:w w:val="105"/>
          <w:sz w:val="21"/>
        </w:rPr>
        <w:t>should also be</w:t>
      </w:r>
      <w:r>
        <w:rPr>
          <w:spacing w:val="22"/>
          <w:w w:val="105"/>
          <w:sz w:val="21"/>
        </w:rPr>
        <w:t> </w:t>
      </w:r>
      <w:r>
        <w:rPr>
          <w:spacing w:val="-3"/>
          <w:w w:val="105"/>
          <w:sz w:val="21"/>
        </w:rPr>
        <w:t>considered.</w:t>
      </w:r>
    </w:p>
    <w:p>
      <w:pPr>
        <w:pStyle w:val="BodyText"/>
        <w:rPr>
          <w:sz w:val="20"/>
        </w:rPr>
      </w:pPr>
    </w:p>
    <w:p>
      <w:pPr>
        <w:pStyle w:val="BodyText"/>
        <w:rPr>
          <w:sz w:val="20"/>
        </w:rPr>
      </w:pPr>
    </w:p>
    <w:p>
      <w:pPr>
        <w:pStyle w:val="BodyText"/>
        <w:rPr>
          <w:sz w:val="20"/>
        </w:rPr>
      </w:pPr>
    </w:p>
    <w:p>
      <w:pPr>
        <w:pStyle w:val="BodyText"/>
        <w:spacing w:before="3"/>
        <w:rPr>
          <w:sz w:val="10"/>
        </w:rPr>
      </w:pPr>
      <w:r>
        <w:rPr/>
        <w:pict>
          <v:line style="position:absolute;mso-position-horizontal-relative:page;mso-position-vertical-relative:paragraph;z-index:10976;mso-wrap-distance-left:0;mso-wrap-distance-right:0" from="79.370102pt,8.752793pt" to="515.905102pt,8.752793pt" stroked="true" strokeweight="1pt" strokecolor="#f9ceca">
            <v:stroke dashstyle="solid"/>
            <w10:wrap type="topAndBottom"/>
          </v:line>
        </w:pict>
      </w:r>
    </w:p>
    <w:p>
      <w:pPr>
        <w:pStyle w:val="BodyText"/>
        <w:spacing w:before="8"/>
        <w:rPr>
          <w:sz w:val="5"/>
        </w:rPr>
      </w:pPr>
    </w:p>
    <w:p>
      <w:pPr>
        <w:spacing w:after="0"/>
        <w:rPr>
          <w:sz w:val="5"/>
        </w:rPr>
        <w:sectPr>
          <w:pgSz w:w="11910" w:h="16840"/>
          <w:pgMar w:header="550" w:footer="0" w:top="1560" w:bottom="280" w:left="0" w:right="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1"/>
        <w:rPr>
          <w:sz w:val="26"/>
        </w:rPr>
      </w:pPr>
    </w:p>
    <w:p>
      <w:pPr>
        <w:spacing w:before="0"/>
        <w:ind w:left="720" w:right="0" w:firstLine="0"/>
        <w:jc w:val="left"/>
        <w:rPr>
          <w:b/>
          <w:sz w:val="24"/>
        </w:rPr>
      </w:pPr>
      <w:r>
        <w:rPr>
          <w:b/>
          <w:color w:val="EC5A4F"/>
          <w:spacing w:val="-1"/>
          <w:w w:val="110"/>
          <w:sz w:val="24"/>
        </w:rPr>
        <w:t>184</w:t>
      </w:r>
    </w:p>
    <w:p>
      <w:pPr>
        <w:pStyle w:val="ListParagraph"/>
        <w:numPr>
          <w:ilvl w:val="0"/>
          <w:numId w:val="136"/>
        </w:numPr>
        <w:tabs>
          <w:tab w:pos="1221" w:val="left" w:leader="none"/>
          <w:tab w:pos="1223" w:val="left" w:leader="none"/>
        </w:tabs>
        <w:spacing w:line="240" w:lineRule="auto" w:before="48" w:after="0"/>
        <w:ind w:left="1222" w:right="1612" w:hanging="794"/>
        <w:jc w:val="left"/>
        <w:rPr>
          <w:sz w:val="13"/>
        </w:rPr>
      </w:pPr>
      <w:r>
        <w:rPr>
          <w:i/>
          <w:spacing w:val="1"/>
          <w:w w:val="102"/>
          <w:sz w:val="13"/>
        </w:rPr>
        <w:br w:type="column"/>
      </w:r>
      <w:r>
        <w:rPr>
          <w:i/>
          <w:w w:val="105"/>
          <w:sz w:val="13"/>
        </w:rPr>
        <w:t>Bankruptcy Act 1966 </w:t>
      </w:r>
      <w:r>
        <w:rPr>
          <w:w w:val="105"/>
          <w:sz w:val="13"/>
        </w:rPr>
        <w:t>(Cth): including where the deceased was bankrupt prior to death (s </w:t>
      </w:r>
      <w:r>
        <w:rPr>
          <w:spacing w:val="2"/>
          <w:w w:val="105"/>
          <w:sz w:val="13"/>
        </w:rPr>
        <w:t>250), </w:t>
      </w:r>
      <w:r>
        <w:rPr>
          <w:w w:val="105"/>
          <w:sz w:val="13"/>
        </w:rPr>
        <w:t>or was served with a creditor’s petition prior   to their death (s</w:t>
      </w:r>
      <w:r>
        <w:rPr>
          <w:spacing w:val="18"/>
          <w:w w:val="105"/>
          <w:sz w:val="13"/>
        </w:rPr>
        <w:t> </w:t>
      </w:r>
      <w:r>
        <w:rPr>
          <w:w w:val="105"/>
          <w:sz w:val="13"/>
        </w:rPr>
        <w:t>245).</w:t>
      </w:r>
    </w:p>
    <w:p>
      <w:pPr>
        <w:pStyle w:val="ListParagraph"/>
        <w:numPr>
          <w:ilvl w:val="0"/>
          <w:numId w:val="136"/>
        </w:numPr>
        <w:tabs>
          <w:tab w:pos="1221" w:val="left" w:leader="none"/>
          <w:tab w:pos="1223" w:val="left" w:leader="none"/>
        </w:tabs>
        <w:spacing w:line="240" w:lineRule="auto" w:before="3" w:after="0"/>
        <w:ind w:left="1222" w:right="1617" w:hanging="794"/>
        <w:jc w:val="left"/>
        <w:rPr>
          <w:sz w:val="13"/>
        </w:rPr>
      </w:pPr>
      <w:r>
        <w:rPr>
          <w:i/>
          <w:sz w:val="13"/>
        </w:rPr>
        <w:t>Bankruptcy Act 1966 </w:t>
      </w:r>
      <w:r>
        <w:rPr>
          <w:sz w:val="13"/>
        </w:rPr>
        <w:t>(Cth) ss 244(1), 247(1).  A  creditor  must  be  owed  a  debt  of  not  less  than  </w:t>
      </w:r>
      <w:r>
        <w:rPr>
          <w:spacing w:val="3"/>
          <w:sz w:val="13"/>
        </w:rPr>
        <w:t>$5000  </w:t>
      </w:r>
      <w:r>
        <w:rPr>
          <w:sz w:val="13"/>
        </w:rPr>
        <w:t>in  order  to  file  a  creditor’s  petition. The term ‘personal representative’ in this context has been held to apply not only to the legal personal representative but to anyone who is,               in</w:t>
      </w:r>
      <w:r>
        <w:rPr>
          <w:spacing w:val="7"/>
          <w:sz w:val="13"/>
        </w:rPr>
        <w:t> </w:t>
      </w:r>
      <w:r>
        <w:rPr>
          <w:sz w:val="13"/>
        </w:rPr>
        <w:t>fact,</w:t>
      </w:r>
      <w:r>
        <w:rPr>
          <w:spacing w:val="8"/>
          <w:sz w:val="13"/>
        </w:rPr>
        <w:t> </w:t>
      </w:r>
      <w:r>
        <w:rPr>
          <w:sz w:val="13"/>
        </w:rPr>
        <w:t>administering</w:t>
      </w:r>
      <w:r>
        <w:rPr>
          <w:spacing w:val="7"/>
          <w:sz w:val="13"/>
        </w:rPr>
        <w:t> </w:t>
      </w:r>
      <w:r>
        <w:rPr>
          <w:sz w:val="13"/>
        </w:rPr>
        <w:t>the</w:t>
      </w:r>
      <w:r>
        <w:rPr>
          <w:spacing w:val="8"/>
          <w:sz w:val="13"/>
        </w:rPr>
        <w:t> </w:t>
      </w:r>
      <w:r>
        <w:rPr>
          <w:sz w:val="13"/>
        </w:rPr>
        <w:t>estate:</w:t>
      </w:r>
      <w:r>
        <w:rPr>
          <w:spacing w:val="8"/>
          <w:sz w:val="13"/>
        </w:rPr>
        <w:t> </w:t>
      </w:r>
      <w:r>
        <w:rPr>
          <w:i/>
          <w:sz w:val="13"/>
        </w:rPr>
        <w:t>Re</w:t>
      </w:r>
      <w:r>
        <w:rPr>
          <w:i/>
          <w:spacing w:val="6"/>
          <w:sz w:val="13"/>
        </w:rPr>
        <w:t> </w:t>
      </w:r>
      <w:r>
        <w:rPr>
          <w:i/>
          <w:sz w:val="13"/>
        </w:rPr>
        <w:t>Estate</w:t>
      </w:r>
      <w:r>
        <w:rPr>
          <w:i/>
          <w:spacing w:val="7"/>
          <w:sz w:val="13"/>
        </w:rPr>
        <w:t> </w:t>
      </w:r>
      <w:r>
        <w:rPr>
          <w:i/>
          <w:sz w:val="13"/>
        </w:rPr>
        <w:t>of</w:t>
      </w:r>
      <w:r>
        <w:rPr>
          <w:i/>
          <w:spacing w:val="6"/>
          <w:sz w:val="13"/>
        </w:rPr>
        <w:t> </w:t>
      </w:r>
      <w:r>
        <w:rPr>
          <w:i/>
          <w:sz w:val="13"/>
        </w:rPr>
        <w:t>Madden</w:t>
      </w:r>
      <w:r>
        <w:rPr>
          <w:i/>
          <w:spacing w:val="8"/>
          <w:sz w:val="13"/>
        </w:rPr>
        <w:t> </w:t>
      </w:r>
      <w:r>
        <w:rPr>
          <w:sz w:val="13"/>
        </w:rPr>
        <w:t>(1969)</w:t>
      </w:r>
      <w:r>
        <w:rPr>
          <w:spacing w:val="8"/>
          <w:sz w:val="13"/>
        </w:rPr>
        <w:t> </w:t>
      </w:r>
      <w:r>
        <w:rPr>
          <w:spacing w:val="-4"/>
          <w:sz w:val="13"/>
        </w:rPr>
        <w:t>13</w:t>
      </w:r>
      <w:r>
        <w:rPr>
          <w:spacing w:val="7"/>
          <w:sz w:val="13"/>
        </w:rPr>
        <w:t> </w:t>
      </w:r>
      <w:r>
        <w:rPr>
          <w:sz w:val="13"/>
        </w:rPr>
        <w:t>FLR</w:t>
      </w:r>
      <w:r>
        <w:rPr>
          <w:spacing w:val="8"/>
          <w:sz w:val="13"/>
        </w:rPr>
        <w:t> </w:t>
      </w:r>
      <w:r>
        <w:rPr>
          <w:spacing w:val="-3"/>
          <w:sz w:val="13"/>
        </w:rPr>
        <w:t>1,</w:t>
      </w:r>
      <w:r>
        <w:rPr>
          <w:spacing w:val="8"/>
          <w:sz w:val="13"/>
        </w:rPr>
        <w:t> </w:t>
      </w:r>
      <w:r>
        <w:rPr>
          <w:sz w:val="13"/>
        </w:rPr>
        <w:t>2.</w:t>
      </w:r>
    </w:p>
    <w:p>
      <w:pPr>
        <w:pStyle w:val="ListParagraph"/>
        <w:numPr>
          <w:ilvl w:val="0"/>
          <w:numId w:val="136"/>
        </w:numPr>
        <w:tabs>
          <w:tab w:pos="1222" w:val="left" w:leader="none"/>
          <w:tab w:pos="1223" w:val="left" w:leader="none"/>
        </w:tabs>
        <w:spacing w:line="240" w:lineRule="auto" w:before="4" w:after="0"/>
        <w:ind w:left="1222" w:right="0" w:hanging="794"/>
        <w:jc w:val="left"/>
        <w:rPr>
          <w:sz w:val="13"/>
        </w:rPr>
      </w:pPr>
      <w:r>
        <w:rPr>
          <w:w w:val="105"/>
          <w:sz w:val="13"/>
        </w:rPr>
        <w:t>Victorian Law Reform Commission, above n 2,</w:t>
      </w:r>
      <w:r>
        <w:rPr>
          <w:spacing w:val="2"/>
          <w:w w:val="105"/>
          <w:sz w:val="13"/>
        </w:rPr>
        <w:t> </w:t>
      </w:r>
      <w:r>
        <w:rPr>
          <w:w w:val="105"/>
          <w:sz w:val="13"/>
        </w:rPr>
        <w:t>34.</w:t>
      </w:r>
    </w:p>
    <w:p>
      <w:pPr>
        <w:pStyle w:val="ListParagraph"/>
        <w:numPr>
          <w:ilvl w:val="0"/>
          <w:numId w:val="136"/>
        </w:numPr>
        <w:tabs>
          <w:tab w:pos="1222" w:val="left" w:leader="none"/>
          <w:tab w:pos="1223" w:val="left" w:leader="none"/>
        </w:tabs>
        <w:spacing w:line="240" w:lineRule="auto" w:before="1" w:after="0"/>
        <w:ind w:left="1222" w:right="0" w:hanging="794"/>
        <w:jc w:val="left"/>
        <w:rPr>
          <w:sz w:val="13"/>
        </w:rPr>
      </w:pPr>
      <w:r>
        <w:rPr>
          <w:w w:val="105"/>
          <w:sz w:val="13"/>
        </w:rPr>
        <w:t>National</w:t>
      </w:r>
      <w:r>
        <w:rPr>
          <w:spacing w:val="4"/>
          <w:w w:val="105"/>
          <w:sz w:val="13"/>
        </w:rPr>
        <w:t> </w:t>
      </w:r>
      <w:r>
        <w:rPr>
          <w:w w:val="105"/>
          <w:sz w:val="13"/>
        </w:rPr>
        <w:t>Committee</w:t>
      </w:r>
      <w:r>
        <w:rPr>
          <w:spacing w:val="5"/>
          <w:w w:val="105"/>
          <w:sz w:val="13"/>
        </w:rPr>
        <w:t> </w:t>
      </w:r>
      <w:r>
        <w:rPr>
          <w:w w:val="105"/>
          <w:sz w:val="13"/>
        </w:rPr>
        <w:t>for</w:t>
      </w:r>
      <w:r>
        <w:rPr>
          <w:spacing w:val="5"/>
          <w:w w:val="105"/>
          <w:sz w:val="13"/>
        </w:rPr>
        <w:t> </w:t>
      </w:r>
      <w:r>
        <w:rPr>
          <w:w w:val="105"/>
          <w:sz w:val="13"/>
        </w:rPr>
        <w:t>Uniform</w:t>
      </w:r>
      <w:r>
        <w:rPr>
          <w:spacing w:val="5"/>
          <w:w w:val="105"/>
          <w:sz w:val="13"/>
        </w:rPr>
        <w:t> </w:t>
      </w:r>
      <w:r>
        <w:rPr>
          <w:w w:val="105"/>
          <w:sz w:val="13"/>
        </w:rPr>
        <w:t>Succession</w:t>
      </w:r>
      <w:r>
        <w:rPr>
          <w:spacing w:val="5"/>
          <w:w w:val="105"/>
          <w:sz w:val="13"/>
        </w:rPr>
        <w:t> </w:t>
      </w:r>
      <w:r>
        <w:rPr>
          <w:w w:val="105"/>
          <w:sz w:val="13"/>
        </w:rPr>
        <w:t>Laws,</w:t>
      </w:r>
      <w:r>
        <w:rPr>
          <w:spacing w:val="5"/>
          <w:w w:val="105"/>
          <w:sz w:val="13"/>
        </w:rPr>
        <w:t> </w:t>
      </w:r>
      <w:r>
        <w:rPr>
          <w:i/>
          <w:w w:val="105"/>
          <w:sz w:val="13"/>
        </w:rPr>
        <w:t>Administration</w:t>
      </w:r>
      <w:r>
        <w:rPr>
          <w:i/>
          <w:spacing w:val="4"/>
          <w:w w:val="105"/>
          <w:sz w:val="13"/>
        </w:rPr>
        <w:t> </w:t>
      </w:r>
      <w:r>
        <w:rPr>
          <w:i/>
          <w:w w:val="105"/>
          <w:sz w:val="13"/>
        </w:rPr>
        <w:t>of</w:t>
      </w:r>
      <w:r>
        <w:rPr>
          <w:i/>
          <w:spacing w:val="4"/>
          <w:w w:val="105"/>
          <w:sz w:val="13"/>
        </w:rPr>
        <w:t> </w:t>
      </w:r>
      <w:r>
        <w:rPr>
          <w:i/>
          <w:w w:val="105"/>
          <w:sz w:val="13"/>
        </w:rPr>
        <w:t>Estates:</w:t>
      </w:r>
      <w:r>
        <w:rPr>
          <w:i/>
          <w:spacing w:val="4"/>
          <w:w w:val="105"/>
          <w:sz w:val="13"/>
        </w:rPr>
        <w:t> </w:t>
      </w:r>
      <w:r>
        <w:rPr>
          <w:i/>
          <w:w w:val="105"/>
          <w:sz w:val="13"/>
        </w:rPr>
        <w:t>Volume</w:t>
      </w:r>
      <w:r>
        <w:rPr>
          <w:i/>
          <w:spacing w:val="3"/>
          <w:w w:val="105"/>
          <w:sz w:val="13"/>
        </w:rPr>
        <w:t> </w:t>
      </w:r>
      <w:r>
        <w:rPr>
          <w:i/>
          <w:spacing w:val="-3"/>
          <w:w w:val="105"/>
          <w:sz w:val="13"/>
        </w:rPr>
        <w:t>2</w:t>
      </w:r>
      <w:r>
        <w:rPr>
          <w:spacing w:val="-3"/>
          <w:w w:val="105"/>
          <w:sz w:val="13"/>
        </w:rPr>
        <w:t>,</w:t>
      </w:r>
      <w:r>
        <w:rPr>
          <w:spacing w:val="5"/>
          <w:w w:val="105"/>
          <w:sz w:val="13"/>
        </w:rPr>
        <w:t> </w:t>
      </w:r>
      <w:r>
        <w:rPr>
          <w:w w:val="105"/>
          <w:sz w:val="13"/>
        </w:rPr>
        <w:t>above</w:t>
      </w:r>
      <w:r>
        <w:rPr>
          <w:spacing w:val="5"/>
          <w:w w:val="105"/>
          <w:sz w:val="13"/>
        </w:rPr>
        <w:t> </w:t>
      </w:r>
      <w:r>
        <w:rPr>
          <w:w w:val="105"/>
          <w:sz w:val="13"/>
        </w:rPr>
        <w:t>n</w:t>
      </w:r>
      <w:r>
        <w:rPr>
          <w:spacing w:val="5"/>
          <w:w w:val="105"/>
          <w:sz w:val="13"/>
        </w:rPr>
        <w:t> </w:t>
      </w:r>
      <w:r>
        <w:rPr>
          <w:w w:val="105"/>
          <w:sz w:val="13"/>
        </w:rPr>
        <w:t>14,</w:t>
      </w:r>
      <w:r>
        <w:rPr>
          <w:spacing w:val="5"/>
          <w:w w:val="105"/>
          <w:sz w:val="13"/>
        </w:rPr>
        <w:t> </w:t>
      </w:r>
      <w:r>
        <w:rPr>
          <w:spacing w:val="3"/>
          <w:w w:val="105"/>
          <w:sz w:val="13"/>
        </w:rPr>
        <w:t>53–84.</w:t>
      </w:r>
    </w:p>
    <w:p>
      <w:pPr>
        <w:pStyle w:val="ListParagraph"/>
        <w:numPr>
          <w:ilvl w:val="0"/>
          <w:numId w:val="136"/>
        </w:numPr>
        <w:tabs>
          <w:tab w:pos="1222" w:val="left" w:leader="none"/>
          <w:tab w:pos="1223" w:val="left" w:leader="none"/>
        </w:tabs>
        <w:spacing w:line="240" w:lineRule="auto" w:before="1" w:after="0"/>
        <w:ind w:left="1222" w:right="0" w:hanging="794"/>
        <w:jc w:val="left"/>
        <w:rPr>
          <w:sz w:val="13"/>
        </w:rPr>
      </w:pPr>
      <w:r>
        <w:rPr>
          <w:w w:val="105"/>
          <w:sz w:val="13"/>
        </w:rPr>
        <w:t>Submissions</w:t>
      </w:r>
      <w:r>
        <w:rPr>
          <w:spacing w:val="4"/>
          <w:w w:val="105"/>
          <w:sz w:val="13"/>
        </w:rPr>
        <w:t> </w:t>
      </w:r>
      <w:r>
        <w:rPr>
          <w:w w:val="105"/>
          <w:sz w:val="13"/>
        </w:rPr>
        <w:t>8</w:t>
      </w:r>
      <w:r>
        <w:rPr>
          <w:spacing w:val="5"/>
          <w:w w:val="105"/>
          <w:sz w:val="13"/>
        </w:rPr>
        <w:t> </w:t>
      </w:r>
      <w:r>
        <w:rPr>
          <w:w w:val="105"/>
          <w:sz w:val="13"/>
        </w:rPr>
        <w:t>(Patricia</w:t>
      </w:r>
      <w:r>
        <w:rPr>
          <w:spacing w:val="4"/>
          <w:w w:val="105"/>
          <w:sz w:val="13"/>
        </w:rPr>
        <w:t> </w:t>
      </w:r>
      <w:r>
        <w:rPr>
          <w:w w:val="105"/>
          <w:sz w:val="13"/>
        </w:rPr>
        <w:t>Strachan);</w:t>
      </w:r>
      <w:r>
        <w:rPr>
          <w:spacing w:val="5"/>
          <w:w w:val="105"/>
          <w:sz w:val="13"/>
        </w:rPr>
        <w:t> </w:t>
      </w:r>
      <w:r>
        <w:rPr>
          <w:w w:val="105"/>
          <w:sz w:val="13"/>
        </w:rPr>
        <w:t>33</w:t>
      </w:r>
      <w:r>
        <w:rPr>
          <w:spacing w:val="5"/>
          <w:w w:val="105"/>
          <w:sz w:val="13"/>
        </w:rPr>
        <w:t> </w:t>
      </w:r>
      <w:r>
        <w:rPr>
          <w:w w:val="105"/>
          <w:sz w:val="13"/>
        </w:rPr>
        <w:t>(State</w:t>
      </w:r>
      <w:r>
        <w:rPr>
          <w:spacing w:val="4"/>
          <w:w w:val="105"/>
          <w:sz w:val="13"/>
        </w:rPr>
        <w:t> </w:t>
      </w:r>
      <w:r>
        <w:rPr>
          <w:w w:val="105"/>
          <w:sz w:val="13"/>
        </w:rPr>
        <w:t>Trustees</w:t>
      </w:r>
      <w:r>
        <w:rPr>
          <w:spacing w:val="5"/>
          <w:w w:val="105"/>
          <w:sz w:val="13"/>
        </w:rPr>
        <w:t> </w:t>
      </w:r>
      <w:r>
        <w:rPr>
          <w:w w:val="105"/>
          <w:sz w:val="13"/>
        </w:rPr>
        <w:t>Limited);</w:t>
      </w:r>
      <w:r>
        <w:rPr>
          <w:spacing w:val="5"/>
          <w:w w:val="105"/>
          <w:sz w:val="13"/>
        </w:rPr>
        <w:t> </w:t>
      </w:r>
      <w:r>
        <w:rPr>
          <w:w w:val="105"/>
          <w:sz w:val="13"/>
        </w:rPr>
        <w:t>36</w:t>
      </w:r>
      <w:r>
        <w:rPr>
          <w:spacing w:val="4"/>
          <w:w w:val="105"/>
          <w:sz w:val="13"/>
        </w:rPr>
        <w:t> </w:t>
      </w:r>
      <w:r>
        <w:rPr>
          <w:spacing w:val="3"/>
          <w:w w:val="105"/>
          <w:sz w:val="13"/>
        </w:rPr>
        <w:t>(Law</w:t>
      </w:r>
      <w:r>
        <w:rPr>
          <w:spacing w:val="5"/>
          <w:w w:val="105"/>
          <w:sz w:val="13"/>
        </w:rPr>
        <w:t> </w:t>
      </w:r>
      <w:r>
        <w:rPr>
          <w:w w:val="105"/>
          <w:sz w:val="13"/>
        </w:rPr>
        <w:t>Society</w:t>
      </w:r>
      <w:r>
        <w:rPr>
          <w:spacing w:val="5"/>
          <w:w w:val="105"/>
          <w:sz w:val="13"/>
        </w:rPr>
        <w:t> </w:t>
      </w:r>
      <w:r>
        <w:rPr>
          <w:w w:val="105"/>
          <w:sz w:val="13"/>
        </w:rPr>
        <w:t>of</w:t>
      </w:r>
      <w:r>
        <w:rPr>
          <w:spacing w:val="4"/>
          <w:w w:val="105"/>
          <w:sz w:val="13"/>
        </w:rPr>
        <w:t> </w:t>
      </w:r>
      <w:r>
        <w:rPr>
          <w:w w:val="105"/>
          <w:sz w:val="13"/>
        </w:rPr>
        <w:t>New</w:t>
      </w:r>
      <w:r>
        <w:rPr>
          <w:spacing w:val="5"/>
          <w:w w:val="105"/>
          <w:sz w:val="13"/>
        </w:rPr>
        <w:t> </w:t>
      </w:r>
      <w:r>
        <w:rPr>
          <w:w w:val="105"/>
          <w:sz w:val="13"/>
        </w:rPr>
        <w:t>South</w:t>
      </w:r>
      <w:r>
        <w:rPr>
          <w:spacing w:val="5"/>
          <w:w w:val="105"/>
          <w:sz w:val="13"/>
        </w:rPr>
        <w:t> </w:t>
      </w:r>
      <w:r>
        <w:rPr>
          <w:w w:val="105"/>
          <w:sz w:val="13"/>
        </w:rPr>
        <w:t>Wales).</w:t>
      </w:r>
    </w:p>
    <w:p>
      <w:pPr>
        <w:pStyle w:val="ListParagraph"/>
        <w:numPr>
          <w:ilvl w:val="0"/>
          <w:numId w:val="136"/>
        </w:numPr>
        <w:tabs>
          <w:tab w:pos="1222" w:val="left" w:leader="none"/>
          <w:tab w:pos="1223" w:val="left" w:leader="none"/>
        </w:tabs>
        <w:spacing w:line="240" w:lineRule="auto" w:before="2" w:after="0"/>
        <w:ind w:left="1222" w:right="0" w:hanging="794"/>
        <w:jc w:val="left"/>
        <w:rPr>
          <w:sz w:val="13"/>
        </w:rPr>
      </w:pPr>
      <w:r>
        <w:rPr>
          <w:w w:val="105"/>
          <w:sz w:val="13"/>
        </w:rPr>
        <w:t>Submissions </w:t>
      </w:r>
      <w:r>
        <w:rPr>
          <w:spacing w:val="-3"/>
          <w:w w:val="105"/>
          <w:sz w:val="13"/>
        </w:rPr>
        <w:t>14 </w:t>
      </w:r>
      <w:r>
        <w:rPr>
          <w:w w:val="105"/>
          <w:sz w:val="13"/>
        </w:rPr>
        <w:t>(Commercial Bar </w:t>
      </w:r>
      <w:r>
        <w:rPr>
          <w:spacing w:val="2"/>
          <w:w w:val="105"/>
          <w:sz w:val="13"/>
        </w:rPr>
        <w:t>Association); 30b </w:t>
      </w:r>
      <w:r>
        <w:rPr>
          <w:spacing w:val="3"/>
          <w:w w:val="105"/>
          <w:sz w:val="13"/>
        </w:rPr>
        <w:t>(Law </w:t>
      </w:r>
      <w:r>
        <w:rPr>
          <w:w w:val="105"/>
          <w:sz w:val="13"/>
        </w:rPr>
        <w:t>Institute of</w:t>
      </w:r>
      <w:r>
        <w:rPr>
          <w:spacing w:val="5"/>
          <w:w w:val="105"/>
          <w:sz w:val="13"/>
        </w:rPr>
        <w:t> </w:t>
      </w:r>
      <w:r>
        <w:rPr>
          <w:spacing w:val="2"/>
          <w:w w:val="105"/>
          <w:sz w:val="13"/>
        </w:rPr>
        <w:t>Victoria).</w:t>
      </w:r>
    </w:p>
    <w:p>
      <w:pPr>
        <w:pStyle w:val="ListParagraph"/>
        <w:numPr>
          <w:ilvl w:val="0"/>
          <w:numId w:val="136"/>
        </w:numPr>
        <w:tabs>
          <w:tab w:pos="1222" w:val="left" w:leader="none"/>
          <w:tab w:pos="1223" w:val="left" w:leader="none"/>
        </w:tabs>
        <w:spacing w:line="240" w:lineRule="auto" w:before="1" w:after="0"/>
        <w:ind w:left="1222" w:right="0" w:hanging="794"/>
        <w:jc w:val="left"/>
        <w:rPr>
          <w:sz w:val="13"/>
        </w:rPr>
      </w:pPr>
      <w:r>
        <w:rPr>
          <w:w w:val="105"/>
          <w:sz w:val="13"/>
        </w:rPr>
        <w:t>Submission </w:t>
      </w:r>
      <w:r>
        <w:rPr>
          <w:spacing w:val="-3"/>
          <w:w w:val="105"/>
          <w:sz w:val="13"/>
        </w:rPr>
        <w:t>19 </w:t>
      </w:r>
      <w:r>
        <w:rPr>
          <w:spacing w:val="2"/>
          <w:w w:val="105"/>
          <w:sz w:val="13"/>
        </w:rPr>
        <w:t>(Association </w:t>
      </w:r>
      <w:r>
        <w:rPr>
          <w:w w:val="105"/>
          <w:sz w:val="13"/>
        </w:rPr>
        <w:t>of Independent</w:t>
      </w:r>
      <w:r>
        <w:rPr>
          <w:spacing w:val="23"/>
          <w:w w:val="105"/>
          <w:sz w:val="13"/>
        </w:rPr>
        <w:t> </w:t>
      </w:r>
      <w:r>
        <w:rPr>
          <w:w w:val="105"/>
          <w:sz w:val="13"/>
        </w:rPr>
        <w:t>Retirees).</w:t>
      </w:r>
    </w:p>
    <w:p>
      <w:pPr>
        <w:pStyle w:val="ListParagraph"/>
        <w:numPr>
          <w:ilvl w:val="0"/>
          <w:numId w:val="136"/>
        </w:numPr>
        <w:tabs>
          <w:tab w:pos="1222" w:val="left" w:leader="none"/>
          <w:tab w:pos="1223" w:val="left" w:leader="none"/>
        </w:tabs>
        <w:spacing w:line="240" w:lineRule="auto" w:before="1" w:after="0"/>
        <w:ind w:left="1222" w:right="0" w:hanging="794"/>
        <w:jc w:val="left"/>
        <w:rPr>
          <w:sz w:val="13"/>
        </w:rPr>
      </w:pPr>
      <w:r>
        <w:rPr>
          <w:w w:val="105"/>
          <w:sz w:val="13"/>
        </w:rPr>
        <w:t>Submission </w:t>
      </w:r>
      <w:r>
        <w:rPr>
          <w:spacing w:val="-3"/>
          <w:w w:val="105"/>
          <w:sz w:val="13"/>
        </w:rPr>
        <w:t>14 </w:t>
      </w:r>
      <w:r>
        <w:rPr>
          <w:w w:val="105"/>
          <w:sz w:val="13"/>
        </w:rPr>
        <w:t>(Commercial Bar</w:t>
      </w:r>
      <w:r>
        <w:rPr>
          <w:spacing w:val="21"/>
          <w:w w:val="105"/>
          <w:sz w:val="13"/>
        </w:rPr>
        <w:t> </w:t>
      </w:r>
      <w:r>
        <w:rPr>
          <w:spacing w:val="2"/>
          <w:w w:val="105"/>
          <w:sz w:val="13"/>
        </w:rPr>
        <w:t>Association).</w:t>
      </w:r>
    </w:p>
    <w:p>
      <w:pPr>
        <w:pStyle w:val="ListParagraph"/>
        <w:numPr>
          <w:ilvl w:val="0"/>
          <w:numId w:val="136"/>
        </w:numPr>
        <w:tabs>
          <w:tab w:pos="1222" w:val="left" w:leader="none"/>
          <w:tab w:pos="1223" w:val="left" w:leader="none"/>
        </w:tabs>
        <w:spacing w:line="240" w:lineRule="auto" w:before="2" w:after="0"/>
        <w:ind w:left="1222" w:right="1715" w:hanging="794"/>
        <w:jc w:val="left"/>
        <w:rPr>
          <w:sz w:val="13"/>
        </w:rPr>
      </w:pPr>
      <w:r>
        <w:rPr>
          <w:w w:val="105"/>
          <w:sz w:val="13"/>
        </w:rPr>
        <w:t>Submissions </w:t>
      </w:r>
      <w:r>
        <w:rPr>
          <w:spacing w:val="-3"/>
          <w:w w:val="105"/>
          <w:sz w:val="13"/>
        </w:rPr>
        <w:t>14 </w:t>
      </w:r>
      <w:r>
        <w:rPr>
          <w:w w:val="105"/>
          <w:sz w:val="13"/>
        </w:rPr>
        <w:t>(Commercial Bar </w:t>
      </w:r>
      <w:r>
        <w:rPr>
          <w:spacing w:val="2"/>
          <w:w w:val="105"/>
          <w:sz w:val="13"/>
        </w:rPr>
        <w:t>Association); </w:t>
      </w:r>
      <w:r>
        <w:rPr>
          <w:spacing w:val="-3"/>
          <w:w w:val="105"/>
          <w:sz w:val="13"/>
        </w:rPr>
        <w:t>19 </w:t>
      </w:r>
      <w:r>
        <w:rPr>
          <w:spacing w:val="2"/>
          <w:w w:val="105"/>
          <w:sz w:val="13"/>
        </w:rPr>
        <w:t>(Association </w:t>
      </w:r>
      <w:r>
        <w:rPr>
          <w:w w:val="105"/>
          <w:sz w:val="13"/>
        </w:rPr>
        <w:t>of Independent Retirees); </w:t>
      </w:r>
      <w:r>
        <w:rPr>
          <w:spacing w:val="2"/>
          <w:w w:val="105"/>
          <w:sz w:val="13"/>
        </w:rPr>
        <w:t>30b </w:t>
      </w:r>
      <w:r>
        <w:rPr>
          <w:spacing w:val="3"/>
          <w:w w:val="105"/>
          <w:sz w:val="13"/>
        </w:rPr>
        <w:t>(Law </w:t>
      </w:r>
      <w:r>
        <w:rPr>
          <w:w w:val="105"/>
          <w:sz w:val="13"/>
        </w:rPr>
        <w:t>Institute of </w:t>
      </w:r>
      <w:r>
        <w:rPr>
          <w:spacing w:val="2"/>
          <w:w w:val="105"/>
          <w:sz w:val="13"/>
        </w:rPr>
        <w:t>Victoria); </w:t>
      </w:r>
      <w:r>
        <w:rPr>
          <w:w w:val="105"/>
          <w:sz w:val="13"/>
        </w:rPr>
        <w:t>33 (State Trustees Limited).</w:t>
      </w:r>
    </w:p>
    <w:p>
      <w:pPr>
        <w:pStyle w:val="ListParagraph"/>
        <w:numPr>
          <w:ilvl w:val="0"/>
          <w:numId w:val="136"/>
        </w:numPr>
        <w:tabs>
          <w:tab w:pos="1222" w:val="left" w:leader="none"/>
          <w:tab w:pos="1223" w:val="left" w:leader="none"/>
        </w:tabs>
        <w:spacing w:line="240" w:lineRule="auto" w:before="2" w:after="0"/>
        <w:ind w:left="1222" w:right="0" w:hanging="794"/>
        <w:jc w:val="left"/>
        <w:rPr>
          <w:sz w:val="13"/>
        </w:rPr>
      </w:pPr>
      <w:r>
        <w:rPr>
          <w:w w:val="105"/>
          <w:sz w:val="13"/>
        </w:rPr>
        <w:t>Submission 33 (State Trustees</w:t>
      </w:r>
      <w:r>
        <w:rPr>
          <w:spacing w:val="18"/>
          <w:w w:val="105"/>
          <w:sz w:val="13"/>
        </w:rPr>
        <w:t> </w:t>
      </w:r>
      <w:r>
        <w:rPr>
          <w:w w:val="105"/>
          <w:sz w:val="13"/>
        </w:rPr>
        <w:t>Limited).</w:t>
      </w:r>
    </w:p>
    <w:p>
      <w:pPr>
        <w:spacing w:after="0" w:line="240" w:lineRule="auto"/>
        <w:jc w:val="left"/>
        <w:rPr>
          <w:sz w:val="13"/>
        </w:rPr>
        <w:sectPr>
          <w:type w:val="continuous"/>
          <w:pgSz w:w="11910" w:h="16840"/>
          <w:pgMar w:top="920" w:bottom="280" w:left="0" w:right="0"/>
          <w:cols w:num="2" w:equalWidth="0">
            <w:col w:w="1120" w:space="40"/>
            <w:col w:w="10750"/>
          </w:cols>
        </w:sectPr>
      </w:pPr>
    </w:p>
    <w:p>
      <w:pPr>
        <w:pStyle w:val="BodyText"/>
        <w:rPr>
          <w:sz w:val="20"/>
        </w:rPr>
      </w:pPr>
    </w:p>
    <w:p>
      <w:pPr>
        <w:pStyle w:val="BodyText"/>
        <w:rPr>
          <w:sz w:val="19"/>
        </w:rPr>
      </w:pPr>
    </w:p>
    <w:p>
      <w:pPr>
        <w:pStyle w:val="ListParagraph"/>
        <w:numPr>
          <w:ilvl w:val="1"/>
          <w:numId w:val="22"/>
        </w:numPr>
        <w:tabs>
          <w:tab w:pos="2381" w:val="left" w:leader="none"/>
          <w:tab w:pos="2382" w:val="left" w:leader="none"/>
        </w:tabs>
        <w:spacing w:line="242" w:lineRule="auto" w:before="91" w:after="0"/>
        <w:ind w:left="2381" w:right="1859" w:hanging="794"/>
        <w:jc w:val="left"/>
        <w:rPr>
          <w:sz w:val="21"/>
        </w:rPr>
      </w:pPr>
      <w:r>
        <w:rPr>
          <w:sz w:val="21"/>
        </w:rPr>
        <w:t>In </w:t>
      </w:r>
      <w:r>
        <w:rPr>
          <w:spacing w:val="-3"/>
          <w:sz w:val="21"/>
        </w:rPr>
        <w:t>accordance </w:t>
      </w:r>
      <w:r>
        <w:rPr>
          <w:sz w:val="21"/>
        </w:rPr>
        <w:t>with its general </w:t>
      </w:r>
      <w:r>
        <w:rPr>
          <w:spacing w:val="-3"/>
          <w:sz w:val="21"/>
        </w:rPr>
        <w:t>focus </w:t>
      </w:r>
      <w:r>
        <w:rPr>
          <w:sz w:val="21"/>
        </w:rPr>
        <w:t>on clarity and </w:t>
      </w:r>
      <w:r>
        <w:rPr>
          <w:spacing w:val="-3"/>
          <w:sz w:val="21"/>
        </w:rPr>
        <w:t>accessibility, </w:t>
      </w:r>
      <w:r>
        <w:rPr>
          <w:sz w:val="21"/>
        </w:rPr>
        <w:t>the </w:t>
      </w:r>
      <w:r>
        <w:rPr>
          <w:spacing w:val="-3"/>
          <w:sz w:val="21"/>
        </w:rPr>
        <w:t>Commission recommends that </w:t>
      </w:r>
      <w:r>
        <w:rPr>
          <w:sz w:val="21"/>
        </w:rPr>
        <w:t>the </w:t>
      </w:r>
      <w:r>
        <w:rPr>
          <w:spacing w:val="-3"/>
          <w:sz w:val="21"/>
        </w:rPr>
        <w:t>provisions governing </w:t>
      </w:r>
      <w:r>
        <w:rPr>
          <w:sz w:val="21"/>
        </w:rPr>
        <w:t>debt payment </w:t>
      </w:r>
      <w:r>
        <w:rPr>
          <w:spacing w:val="-3"/>
          <w:sz w:val="21"/>
        </w:rPr>
        <w:t>contained </w:t>
      </w:r>
      <w:r>
        <w:rPr>
          <w:sz w:val="21"/>
        </w:rPr>
        <w:t>in the second schedule of the Act should be moved </w:t>
      </w:r>
      <w:r>
        <w:rPr>
          <w:spacing w:val="-4"/>
          <w:sz w:val="21"/>
        </w:rPr>
        <w:t>into  </w:t>
      </w:r>
      <w:r>
        <w:rPr>
          <w:sz w:val="21"/>
        </w:rPr>
        <w:t>the body of the Act. This applies </w:t>
      </w:r>
      <w:r>
        <w:rPr>
          <w:spacing w:val="-3"/>
          <w:sz w:val="21"/>
        </w:rPr>
        <w:t>to  </w:t>
      </w:r>
      <w:r>
        <w:rPr>
          <w:sz w:val="21"/>
        </w:rPr>
        <w:t>payment  of debts in both solvent and </w:t>
      </w:r>
      <w:r>
        <w:rPr>
          <w:spacing w:val="-3"/>
          <w:sz w:val="21"/>
        </w:rPr>
        <w:t>insolvent</w:t>
      </w:r>
      <w:r>
        <w:rPr>
          <w:spacing w:val="16"/>
          <w:sz w:val="21"/>
        </w:rPr>
        <w:t> </w:t>
      </w:r>
      <w:r>
        <w:rPr>
          <w:sz w:val="21"/>
        </w:rPr>
        <w:t>estates.</w:t>
      </w:r>
    </w:p>
    <w:p>
      <w:pPr>
        <w:pStyle w:val="BodyText"/>
        <w:rPr>
          <w:sz w:val="27"/>
        </w:rPr>
      </w:pPr>
    </w:p>
    <w:p>
      <w:pPr>
        <w:pStyle w:val="Heading6"/>
        <w:spacing w:before="1"/>
      </w:pPr>
      <w:r>
        <w:rPr>
          <w:w w:val="115"/>
        </w:rPr>
        <w:t>Clarifying when the Administration and Probate Act rules</w:t>
      </w:r>
      <w:r>
        <w:rPr>
          <w:w w:val="115"/>
          <w:position w:val="7"/>
          <w:sz w:val="13"/>
        </w:rPr>
        <w:t>67 </w:t>
      </w:r>
      <w:r>
        <w:rPr>
          <w:w w:val="115"/>
        </w:rPr>
        <w:t>apply</w:t>
      </w:r>
    </w:p>
    <w:p>
      <w:pPr>
        <w:pStyle w:val="ListParagraph"/>
        <w:numPr>
          <w:ilvl w:val="1"/>
          <w:numId w:val="22"/>
        </w:numPr>
        <w:tabs>
          <w:tab w:pos="2380" w:val="left" w:leader="none"/>
          <w:tab w:pos="2381" w:val="left" w:leader="none"/>
        </w:tabs>
        <w:spacing w:line="242" w:lineRule="auto" w:before="151" w:after="0"/>
        <w:ind w:left="2381" w:right="1666" w:hanging="794"/>
        <w:jc w:val="left"/>
        <w:rPr>
          <w:sz w:val="12"/>
        </w:rPr>
      </w:pPr>
      <w:r>
        <w:rPr>
          <w:w w:val="105"/>
          <w:sz w:val="21"/>
        </w:rPr>
        <w:t>Where</w:t>
      </w:r>
      <w:r>
        <w:rPr>
          <w:spacing w:val="-10"/>
          <w:w w:val="105"/>
          <w:sz w:val="21"/>
        </w:rPr>
        <w:t> </w:t>
      </w:r>
      <w:r>
        <w:rPr>
          <w:w w:val="105"/>
          <w:sz w:val="21"/>
        </w:rPr>
        <w:t>an</w:t>
      </w:r>
      <w:r>
        <w:rPr>
          <w:spacing w:val="-10"/>
          <w:w w:val="105"/>
          <w:sz w:val="21"/>
        </w:rPr>
        <w:t> </w:t>
      </w:r>
      <w:r>
        <w:rPr>
          <w:spacing w:val="-3"/>
          <w:w w:val="105"/>
          <w:sz w:val="21"/>
        </w:rPr>
        <w:t>insolvent</w:t>
      </w:r>
      <w:r>
        <w:rPr>
          <w:spacing w:val="-10"/>
          <w:w w:val="105"/>
          <w:sz w:val="21"/>
        </w:rPr>
        <w:t> </w:t>
      </w:r>
      <w:r>
        <w:rPr>
          <w:w w:val="105"/>
          <w:sz w:val="21"/>
        </w:rPr>
        <w:t>estate</w:t>
      </w:r>
      <w:r>
        <w:rPr>
          <w:spacing w:val="-10"/>
          <w:w w:val="105"/>
          <w:sz w:val="21"/>
        </w:rPr>
        <w:t> </w:t>
      </w:r>
      <w:r>
        <w:rPr>
          <w:w w:val="105"/>
          <w:sz w:val="21"/>
        </w:rPr>
        <w:t>is</w:t>
      </w:r>
      <w:r>
        <w:rPr>
          <w:spacing w:val="-9"/>
          <w:w w:val="105"/>
          <w:sz w:val="21"/>
        </w:rPr>
        <w:t> </w:t>
      </w:r>
      <w:r>
        <w:rPr>
          <w:w w:val="105"/>
          <w:sz w:val="21"/>
        </w:rPr>
        <w:t>being</w:t>
      </w:r>
      <w:r>
        <w:rPr>
          <w:spacing w:val="-10"/>
          <w:w w:val="105"/>
          <w:sz w:val="21"/>
        </w:rPr>
        <w:t> </w:t>
      </w:r>
      <w:r>
        <w:rPr>
          <w:spacing w:val="-3"/>
          <w:w w:val="105"/>
          <w:sz w:val="21"/>
        </w:rPr>
        <w:t>administered</w:t>
      </w:r>
      <w:r>
        <w:rPr>
          <w:spacing w:val="-10"/>
          <w:w w:val="105"/>
          <w:sz w:val="21"/>
        </w:rPr>
        <w:t> </w:t>
      </w:r>
      <w:r>
        <w:rPr>
          <w:w w:val="105"/>
          <w:sz w:val="21"/>
        </w:rPr>
        <w:t>under</w:t>
      </w:r>
      <w:r>
        <w:rPr>
          <w:spacing w:val="-10"/>
          <w:w w:val="105"/>
          <w:sz w:val="21"/>
        </w:rPr>
        <w:t> </w:t>
      </w:r>
      <w:r>
        <w:rPr>
          <w:w w:val="105"/>
          <w:sz w:val="21"/>
        </w:rPr>
        <w:t>the</w:t>
      </w:r>
      <w:r>
        <w:rPr>
          <w:spacing w:val="-9"/>
          <w:w w:val="105"/>
          <w:sz w:val="21"/>
        </w:rPr>
        <w:t> </w:t>
      </w:r>
      <w:r>
        <w:rPr>
          <w:w w:val="105"/>
          <w:sz w:val="21"/>
        </w:rPr>
        <w:t>Bankruptcy</w:t>
      </w:r>
      <w:r>
        <w:rPr>
          <w:spacing w:val="-10"/>
          <w:w w:val="105"/>
          <w:sz w:val="21"/>
        </w:rPr>
        <w:t> </w:t>
      </w:r>
      <w:r>
        <w:rPr>
          <w:w w:val="105"/>
          <w:sz w:val="21"/>
        </w:rPr>
        <w:t>Act,</w:t>
      </w:r>
      <w:r>
        <w:rPr>
          <w:spacing w:val="-10"/>
          <w:w w:val="105"/>
          <w:sz w:val="21"/>
        </w:rPr>
        <w:t> </w:t>
      </w:r>
      <w:r>
        <w:rPr>
          <w:w w:val="105"/>
          <w:sz w:val="21"/>
        </w:rPr>
        <w:t>the</w:t>
      </w:r>
      <w:r>
        <w:rPr>
          <w:spacing w:val="-10"/>
          <w:w w:val="105"/>
          <w:sz w:val="21"/>
        </w:rPr>
        <w:t> </w:t>
      </w:r>
      <w:r>
        <w:rPr>
          <w:spacing w:val="-3"/>
          <w:w w:val="105"/>
          <w:sz w:val="21"/>
        </w:rPr>
        <w:t>provisions </w:t>
      </w:r>
      <w:r>
        <w:rPr>
          <w:w w:val="105"/>
          <w:sz w:val="21"/>
        </w:rPr>
        <w:t>of the </w:t>
      </w:r>
      <w:r>
        <w:rPr>
          <w:spacing w:val="-3"/>
          <w:w w:val="105"/>
          <w:sz w:val="21"/>
        </w:rPr>
        <w:t>Administration </w:t>
      </w:r>
      <w:r>
        <w:rPr>
          <w:w w:val="105"/>
          <w:sz w:val="21"/>
        </w:rPr>
        <w:t>and </w:t>
      </w:r>
      <w:r>
        <w:rPr>
          <w:spacing w:val="-3"/>
          <w:w w:val="105"/>
          <w:sz w:val="21"/>
        </w:rPr>
        <w:t>Probate </w:t>
      </w:r>
      <w:r>
        <w:rPr>
          <w:w w:val="105"/>
          <w:sz w:val="21"/>
        </w:rPr>
        <w:t>Act, </w:t>
      </w:r>
      <w:r>
        <w:rPr>
          <w:spacing w:val="-3"/>
          <w:w w:val="105"/>
          <w:sz w:val="21"/>
        </w:rPr>
        <w:t>to </w:t>
      </w:r>
      <w:r>
        <w:rPr>
          <w:w w:val="105"/>
          <w:sz w:val="21"/>
        </w:rPr>
        <w:t>the extent </w:t>
      </w:r>
      <w:r>
        <w:rPr>
          <w:spacing w:val="-3"/>
          <w:w w:val="105"/>
          <w:sz w:val="21"/>
        </w:rPr>
        <w:t>that </w:t>
      </w:r>
      <w:r>
        <w:rPr>
          <w:w w:val="105"/>
          <w:sz w:val="21"/>
        </w:rPr>
        <w:t>they </w:t>
      </w:r>
      <w:r>
        <w:rPr>
          <w:spacing w:val="-3"/>
          <w:w w:val="105"/>
          <w:sz w:val="21"/>
        </w:rPr>
        <w:t>are inconsistent, </w:t>
      </w:r>
      <w:r>
        <w:rPr>
          <w:w w:val="105"/>
          <w:sz w:val="21"/>
        </w:rPr>
        <w:t>do </w:t>
      </w:r>
      <w:r>
        <w:rPr>
          <w:spacing w:val="-2"/>
          <w:w w:val="105"/>
          <w:sz w:val="21"/>
        </w:rPr>
        <w:t>not </w:t>
      </w:r>
      <w:r>
        <w:rPr>
          <w:spacing w:val="-3"/>
          <w:w w:val="105"/>
          <w:sz w:val="21"/>
        </w:rPr>
        <w:t>apply.</w:t>
      </w:r>
      <w:r>
        <w:rPr>
          <w:spacing w:val="-3"/>
          <w:w w:val="105"/>
          <w:position w:val="7"/>
          <w:sz w:val="12"/>
        </w:rPr>
        <w:t>68</w:t>
      </w:r>
    </w:p>
    <w:p>
      <w:pPr>
        <w:pStyle w:val="ListParagraph"/>
        <w:numPr>
          <w:ilvl w:val="1"/>
          <w:numId w:val="22"/>
        </w:numPr>
        <w:tabs>
          <w:tab w:pos="2381" w:val="left" w:leader="none"/>
          <w:tab w:pos="2382" w:val="left" w:leader="none"/>
        </w:tabs>
        <w:spacing w:line="242" w:lineRule="auto" w:before="123" w:after="0"/>
        <w:ind w:left="2381" w:right="1719" w:hanging="794"/>
        <w:jc w:val="left"/>
        <w:rPr>
          <w:sz w:val="21"/>
        </w:rPr>
      </w:pPr>
      <w:r>
        <w:rPr>
          <w:spacing w:val="-4"/>
          <w:sz w:val="21"/>
        </w:rPr>
        <w:t>However, </w:t>
      </w:r>
      <w:r>
        <w:rPr>
          <w:sz w:val="21"/>
        </w:rPr>
        <w:t>Part I of the Second Schedule of the </w:t>
      </w:r>
      <w:r>
        <w:rPr>
          <w:spacing w:val="-3"/>
          <w:sz w:val="21"/>
        </w:rPr>
        <w:t>Administration </w:t>
      </w:r>
      <w:r>
        <w:rPr>
          <w:sz w:val="21"/>
        </w:rPr>
        <w:t>and </w:t>
      </w:r>
      <w:r>
        <w:rPr>
          <w:spacing w:val="-3"/>
          <w:sz w:val="21"/>
        </w:rPr>
        <w:t>Probate </w:t>
      </w:r>
      <w:r>
        <w:rPr>
          <w:sz w:val="21"/>
        </w:rPr>
        <w:t>Act does </w:t>
      </w:r>
      <w:r>
        <w:rPr>
          <w:spacing w:val="-2"/>
          <w:sz w:val="21"/>
        </w:rPr>
        <w:t>not </w:t>
      </w:r>
      <w:r>
        <w:rPr>
          <w:spacing w:val="-4"/>
          <w:sz w:val="21"/>
        </w:rPr>
        <w:t>make </w:t>
      </w:r>
      <w:r>
        <w:rPr>
          <w:spacing w:val="-3"/>
          <w:sz w:val="21"/>
        </w:rPr>
        <w:t>clear that </w:t>
      </w:r>
      <w:r>
        <w:rPr>
          <w:sz w:val="21"/>
        </w:rPr>
        <w:t>an </w:t>
      </w:r>
      <w:r>
        <w:rPr>
          <w:spacing w:val="-3"/>
          <w:sz w:val="21"/>
        </w:rPr>
        <w:t>alternative </w:t>
      </w:r>
      <w:r>
        <w:rPr>
          <w:sz w:val="21"/>
        </w:rPr>
        <w:t>method of </w:t>
      </w:r>
      <w:r>
        <w:rPr>
          <w:spacing w:val="-3"/>
          <w:sz w:val="21"/>
        </w:rPr>
        <w:t>administration </w:t>
      </w:r>
      <w:r>
        <w:rPr>
          <w:sz w:val="21"/>
        </w:rPr>
        <w:t>is </w:t>
      </w:r>
      <w:r>
        <w:rPr>
          <w:spacing w:val="-3"/>
          <w:sz w:val="21"/>
        </w:rPr>
        <w:t>available. </w:t>
      </w:r>
      <w:r>
        <w:rPr>
          <w:spacing w:val="-4"/>
          <w:sz w:val="21"/>
        </w:rPr>
        <w:t>Further, </w:t>
      </w:r>
      <w:r>
        <w:rPr>
          <w:sz w:val="21"/>
        </w:rPr>
        <w:t>Part I of the Second Schedule </w:t>
      </w:r>
      <w:r>
        <w:rPr>
          <w:spacing w:val="-3"/>
          <w:sz w:val="21"/>
        </w:rPr>
        <w:t>to </w:t>
      </w:r>
      <w:r>
        <w:rPr>
          <w:sz w:val="21"/>
        </w:rPr>
        <w:t>the Act refers </w:t>
      </w:r>
      <w:r>
        <w:rPr>
          <w:spacing w:val="-3"/>
          <w:sz w:val="21"/>
        </w:rPr>
        <w:t>to </w:t>
      </w:r>
      <w:r>
        <w:rPr>
          <w:sz w:val="21"/>
        </w:rPr>
        <w:t>the applicable rules as those </w:t>
      </w:r>
      <w:r>
        <w:rPr>
          <w:spacing w:val="-4"/>
          <w:sz w:val="21"/>
        </w:rPr>
        <w:t>‘in </w:t>
      </w:r>
      <w:r>
        <w:rPr>
          <w:spacing w:val="-3"/>
          <w:sz w:val="21"/>
        </w:rPr>
        <w:t>force for </w:t>
      </w:r>
      <w:r>
        <w:rPr>
          <w:sz w:val="21"/>
        </w:rPr>
        <w:t>the time being under </w:t>
      </w:r>
      <w:r>
        <w:rPr>
          <w:spacing w:val="-3"/>
          <w:sz w:val="21"/>
        </w:rPr>
        <w:t>any </w:t>
      </w:r>
      <w:r>
        <w:rPr>
          <w:sz w:val="21"/>
        </w:rPr>
        <w:t>law of the </w:t>
      </w:r>
      <w:r>
        <w:rPr>
          <w:spacing w:val="-4"/>
          <w:sz w:val="21"/>
        </w:rPr>
        <w:t>Commonwealth </w:t>
      </w:r>
      <w:r>
        <w:rPr>
          <w:spacing w:val="-3"/>
          <w:sz w:val="21"/>
        </w:rPr>
        <w:t>relating to </w:t>
      </w:r>
      <w:r>
        <w:rPr>
          <w:spacing w:val="-5"/>
          <w:sz w:val="21"/>
        </w:rPr>
        <w:t>bankruptcy…’.</w:t>
      </w:r>
      <w:r>
        <w:rPr>
          <w:spacing w:val="-5"/>
          <w:position w:val="7"/>
          <w:sz w:val="12"/>
        </w:rPr>
        <w:t>69 </w:t>
      </w:r>
      <w:r>
        <w:rPr>
          <w:sz w:val="21"/>
        </w:rPr>
        <w:t>It does </w:t>
      </w:r>
      <w:r>
        <w:rPr>
          <w:spacing w:val="-2"/>
          <w:sz w:val="21"/>
        </w:rPr>
        <w:t>not </w:t>
      </w:r>
      <w:r>
        <w:rPr>
          <w:spacing w:val="-4"/>
          <w:sz w:val="21"/>
        </w:rPr>
        <w:t>make </w:t>
      </w:r>
      <w:r>
        <w:rPr>
          <w:sz w:val="21"/>
        </w:rPr>
        <w:t>express </w:t>
      </w:r>
      <w:r>
        <w:rPr>
          <w:spacing w:val="-3"/>
          <w:sz w:val="21"/>
        </w:rPr>
        <w:t>reference to </w:t>
      </w:r>
      <w:r>
        <w:rPr>
          <w:sz w:val="21"/>
        </w:rPr>
        <w:t>the Bankruptcy</w:t>
      </w:r>
      <w:r>
        <w:rPr>
          <w:spacing w:val="2"/>
          <w:sz w:val="21"/>
        </w:rPr>
        <w:t> </w:t>
      </w:r>
      <w:r>
        <w:rPr>
          <w:sz w:val="21"/>
        </w:rPr>
        <w:t>Act.</w:t>
      </w:r>
    </w:p>
    <w:p>
      <w:pPr>
        <w:pStyle w:val="ListParagraph"/>
        <w:numPr>
          <w:ilvl w:val="1"/>
          <w:numId w:val="22"/>
        </w:numPr>
        <w:tabs>
          <w:tab w:pos="2380" w:val="left" w:leader="none"/>
          <w:tab w:pos="2381" w:val="left" w:leader="none"/>
        </w:tabs>
        <w:spacing w:line="242" w:lineRule="auto" w:before="125" w:after="0"/>
        <w:ind w:left="2380" w:right="1687" w:hanging="793"/>
        <w:jc w:val="left"/>
        <w:rPr>
          <w:sz w:val="21"/>
        </w:rPr>
      </w:pPr>
      <w:r>
        <w:rPr>
          <w:sz w:val="21"/>
        </w:rPr>
        <w:t>The </w:t>
      </w:r>
      <w:r>
        <w:rPr>
          <w:spacing w:val="-3"/>
          <w:sz w:val="21"/>
        </w:rPr>
        <w:t>National Committee </w:t>
      </w:r>
      <w:r>
        <w:rPr>
          <w:sz w:val="21"/>
        </w:rPr>
        <w:t>recommended </w:t>
      </w:r>
      <w:r>
        <w:rPr>
          <w:spacing w:val="-3"/>
          <w:sz w:val="21"/>
        </w:rPr>
        <w:t>that </w:t>
      </w:r>
      <w:r>
        <w:rPr>
          <w:sz w:val="21"/>
        </w:rPr>
        <w:t>the model </w:t>
      </w:r>
      <w:r>
        <w:rPr>
          <w:spacing w:val="-3"/>
          <w:sz w:val="21"/>
        </w:rPr>
        <w:t>provision </w:t>
      </w:r>
      <w:r>
        <w:rPr>
          <w:spacing w:val="-4"/>
          <w:sz w:val="21"/>
        </w:rPr>
        <w:t>make </w:t>
      </w:r>
      <w:r>
        <w:rPr>
          <w:sz w:val="21"/>
        </w:rPr>
        <w:t>a </w:t>
      </w:r>
      <w:r>
        <w:rPr>
          <w:spacing w:val="-3"/>
          <w:sz w:val="21"/>
        </w:rPr>
        <w:t>clear </w:t>
      </w:r>
      <w:r>
        <w:rPr>
          <w:sz w:val="21"/>
        </w:rPr>
        <w:t>distinction between the two methods of </w:t>
      </w:r>
      <w:r>
        <w:rPr>
          <w:spacing w:val="-3"/>
          <w:sz w:val="21"/>
        </w:rPr>
        <w:t>administration </w:t>
      </w:r>
      <w:r>
        <w:rPr>
          <w:sz w:val="21"/>
        </w:rPr>
        <w:t>of </w:t>
      </w:r>
      <w:r>
        <w:rPr>
          <w:spacing w:val="-3"/>
          <w:sz w:val="21"/>
        </w:rPr>
        <w:t>insolvent </w:t>
      </w:r>
      <w:r>
        <w:rPr>
          <w:sz w:val="21"/>
        </w:rPr>
        <w:t>estates. The model </w:t>
      </w:r>
      <w:r>
        <w:rPr>
          <w:spacing w:val="-3"/>
          <w:sz w:val="21"/>
        </w:rPr>
        <w:t>provision achieves </w:t>
      </w:r>
      <w:r>
        <w:rPr>
          <w:sz w:val="21"/>
        </w:rPr>
        <w:t>this by </w:t>
      </w:r>
      <w:r>
        <w:rPr>
          <w:spacing w:val="-3"/>
          <w:sz w:val="21"/>
        </w:rPr>
        <w:t>providing  that  </w:t>
      </w:r>
      <w:r>
        <w:rPr>
          <w:sz w:val="21"/>
        </w:rPr>
        <w:t>the part </w:t>
      </w:r>
      <w:r>
        <w:rPr>
          <w:spacing w:val="-3"/>
          <w:sz w:val="21"/>
        </w:rPr>
        <w:t>relating</w:t>
      </w:r>
      <w:r>
        <w:rPr>
          <w:spacing w:val="41"/>
          <w:sz w:val="21"/>
        </w:rPr>
        <w:t> </w:t>
      </w:r>
      <w:r>
        <w:rPr>
          <w:spacing w:val="-3"/>
          <w:sz w:val="21"/>
        </w:rPr>
        <w:t>to  insolvent  </w:t>
      </w:r>
      <w:r>
        <w:rPr>
          <w:sz w:val="21"/>
        </w:rPr>
        <w:t>estates </w:t>
      </w:r>
      <w:r>
        <w:rPr>
          <w:spacing w:val="-3"/>
          <w:sz w:val="21"/>
        </w:rPr>
        <w:t>will  </w:t>
      </w:r>
      <w:r>
        <w:rPr>
          <w:sz w:val="21"/>
        </w:rPr>
        <w:t>only apply where a deceased </w:t>
      </w:r>
      <w:r>
        <w:rPr>
          <w:spacing w:val="-3"/>
          <w:sz w:val="21"/>
        </w:rPr>
        <w:t>person’s </w:t>
      </w:r>
      <w:r>
        <w:rPr>
          <w:sz w:val="21"/>
        </w:rPr>
        <w:t>estate is </w:t>
      </w:r>
      <w:r>
        <w:rPr>
          <w:spacing w:val="-2"/>
          <w:sz w:val="21"/>
        </w:rPr>
        <w:t>not </w:t>
      </w:r>
      <w:r>
        <w:rPr>
          <w:sz w:val="21"/>
        </w:rPr>
        <w:t>being </w:t>
      </w:r>
      <w:r>
        <w:rPr>
          <w:spacing w:val="-3"/>
          <w:sz w:val="21"/>
        </w:rPr>
        <w:t>administered </w:t>
      </w:r>
      <w:r>
        <w:rPr>
          <w:sz w:val="21"/>
        </w:rPr>
        <w:t>under the Bankruptcy</w:t>
      </w:r>
      <w:r>
        <w:rPr>
          <w:spacing w:val="22"/>
          <w:sz w:val="21"/>
        </w:rPr>
        <w:t> </w:t>
      </w:r>
      <w:r>
        <w:rPr>
          <w:sz w:val="21"/>
        </w:rPr>
        <w:t>Act.</w:t>
      </w:r>
    </w:p>
    <w:p>
      <w:pPr>
        <w:pStyle w:val="BodyText"/>
        <w:rPr>
          <w:sz w:val="27"/>
        </w:rPr>
      </w:pPr>
    </w:p>
    <w:p>
      <w:pPr>
        <w:pStyle w:val="Heading6"/>
        <w:spacing w:line="283" w:lineRule="auto" w:before="1"/>
        <w:ind w:right="1930"/>
      </w:pPr>
      <w:r>
        <w:rPr>
          <w:w w:val="115"/>
        </w:rPr>
        <w:t>Specifying that the applicable provisions of the Bankruptcy Act are those in force at the time of the deceased person’s death</w:t>
      </w:r>
    </w:p>
    <w:p>
      <w:pPr>
        <w:pStyle w:val="ListParagraph"/>
        <w:numPr>
          <w:ilvl w:val="1"/>
          <w:numId w:val="22"/>
        </w:numPr>
        <w:tabs>
          <w:tab w:pos="2381" w:val="left" w:leader="none"/>
          <w:tab w:pos="2382" w:val="left" w:leader="none"/>
        </w:tabs>
        <w:spacing w:line="242" w:lineRule="auto" w:before="104" w:after="0"/>
        <w:ind w:left="2381" w:right="1729" w:hanging="794"/>
        <w:jc w:val="left"/>
        <w:rPr>
          <w:sz w:val="12"/>
        </w:rPr>
      </w:pPr>
      <w:r>
        <w:rPr>
          <w:w w:val="105"/>
          <w:sz w:val="21"/>
        </w:rPr>
        <w:t>The</w:t>
      </w:r>
      <w:r>
        <w:rPr>
          <w:spacing w:val="-8"/>
          <w:w w:val="105"/>
          <w:sz w:val="21"/>
        </w:rPr>
        <w:t> </w:t>
      </w:r>
      <w:r>
        <w:rPr>
          <w:spacing w:val="-3"/>
          <w:w w:val="105"/>
          <w:sz w:val="21"/>
        </w:rPr>
        <w:t>Administration</w:t>
      </w:r>
      <w:r>
        <w:rPr>
          <w:spacing w:val="-8"/>
          <w:w w:val="105"/>
          <w:sz w:val="21"/>
        </w:rPr>
        <w:t> </w:t>
      </w:r>
      <w:r>
        <w:rPr>
          <w:w w:val="105"/>
          <w:sz w:val="21"/>
        </w:rPr>
        <w:t>and</w:t>
      </w:r>
      <w:r>
        <w:rPr>
          <w:spacing w:val="-8"/>
          <w:w w:val="105"/>
          <w:sz w:val="21"/>
        </w:rPr>
        <w:t> </w:t>
      </w:r>
      <w:r>
        <w:rPr>
          <w:spacing w:val="-3"/>
          <w:w w:val="105"/>
          <w:sz w:val="21"/>
        </w:rPr>
        <w:t>Probate</w:t>
      </w:r>
      <w:r>
        <w:rPr>
          <w:spacing w:val="-8"/>
          <w:w w:val="105"/>
          <w:sz w:val="21"/>
        </w:rPr>
        <w:t> </w:t>
      </w:r>
      <w:r>
        <w:rPr>
          <w:w w:val="105"/>
          <w:sz w:val="21"/>
        </w:rPr>
        <w:t>Act</w:t>
      </w:r>
      <w:r>
        <w:rPr>
          <w:spacing w:val="-8"/>
          <w:w w:val="105"/>
          <w:sz w:val="21"/>
        </w:rPr>
        <w:t> </w:t>
      </w:r>
      <w:r>
        <w:rPr>
          <w:w w:val="105"/>
          <w:sz w:val="21"/>
        </w:rPr>
        <w:t>refers</w:t>
      </w:r>
      <w:r>
        <w:rPr>
          <w:spacing w:val="-7"/>
          <w:w w:val="105"/>
          <w:sz w:val="21"/>
        </w:rPr>
        <w:t> </w:t>
      </w:r>
      <w:r>
        <w:rPr>
          <w:spacing w:val="-3"/>
          <w:w w:val="105"/>
          <w:sz w:val="21"/>
        </w:rPr>
        <w:t>to</w:t>
      </w:r>
      <w:r>
        <w:rPr>
          <w:spacing w:val="-8"/>
          <w:w w:val="105"/>
          <w:sz w:val="21"/>
        </w:rPr>
        <w:t> </w:t>
      </w:r>
      <w:r>
        <w:rPr>
          <w:w w:val="105"/>
          <w:sz w:val="21"/>
        </w:rPr>
        <w:t>the</w:t>
      </w:r>
      <w:r>
        <w:rPr>
          <w:spacing w:val="-8"/>
          <w:w w:val="105"/>
          <w:sz w:val="21"/>
        </w:rPr>
        <w:t> </w:t>
      </w:r>
      <w:r>
        <w:rPr>
          <w:spacing w:val="-3"/>
          <w:w w:val="105"/>
          <w:sz w:val="21"/>
        </w:rPr>
        <w:t>relevant</w:t>
      </w:r>
      <w:r>
        <w:rPr>
          <w:spacing w:val="-8"/>
          <w:w w:val="105"/>
          <w:sz w:val="21"/>
        </w:rPr>
        <w:t> </w:t>
      </w:r>
      <w:r>
        <w:rPr>
          <w:w w:val="105"/>
          <w:sz w:val="21"/>
        </w:rPr>
        <w:t>rules</w:t>
      </w:r>
      <w:r>
        <w:rPr>
          <w:spacing w:val="-8"/>
          <w:w w:val="105"/>
          <w:sz w:val="21"/>
        </w:rPr>
        <w:t> </w:t>
      </w:r>
      <w:r>
        <w:rPr>
          <w:w w:val="105"/>
          <w:sz w:val="21"/>
        </w:rPr>
        <w:t>of</w:t>
      </w:r>
      <w:r>
        <w:rPr>
          <w:spacing w:val="-8"/>
          <w:w w:val="105"/>
          <w:sz w:val="21"/>
        </w:rPr>
        <w:t> </w:t>
      </w:r>
      <w:r>
        <w:rPr>
          <w:w w:val="105"/>
          <w:sz w:val="21"/>
        </w:rPr>
        <w:t>bankruptcy</w:t>
      </w:r>
      <w:r>
        <w:rPr>
          <w:spacing w:val="-7"/>
          <w:w w:val="105"/>
          <w:sz w:val="21"/>
        </w:rPr>
        <w:t> </w:t>
      </w:r>
      <w:r>
        <w:rPr>
          <w:w w:val="105"/>
          <w:sz w:val="21"/>
        </w:rPr>
        <w:t>as</w:t>
      </w:r>
      <w:r>
        <w:rPr>
          <w:spacing w:val="-8"/>
          <w:w w:val="105"/>
          <w:sz w:val="21"/>
        </w:rPr>
        <w:t> </w:t>
      </w:r>
      <w:r>
        <w:rPr>
          <w:w w:val="105"/>
          <w:sz w:val="21"/>
        </w:rPr>
        <w:t>those</w:t>
      </w:r>
      <w:r>
        <w:rPr>
          <w:spacing w:val="-8"/>
          <w:w w:val="105"/>
          <w:sz w:val="21"/>
        </w:rPr>
        <w:t> </w:t>
      </w:r>
      <w:r>
        <w:rPr>
          <w:w w:val="105"/>
          <w:sz w:val="21"/>
        </w:rPr>
        <w:t>in </w:t>
      </w:r>
      <w:r>
        <w:rPr>
          <w:spacing w:val="-3"/>
          <w:w w:val="105"/>
          <w:sz w:val="21"/>
        </w:rPr>
        <w:t>force </w:t>
      </w:r>
      <w:r>
        <w:rPr>
          <w:w w:val="105"/>
          <w:sz w:val="21"/>
        </w:rPr>
        <w:t>‘for the time</w:t>
      </w:r>
      <w:r>
        <w:rPr>
          <w:spacing w:val="24"/>
          <w:w w:val="105"/>
          <w:sz w:val="21"/>
        </w:rPr>
        <w:t> </w:t>
      </w:r>
      <w:r>
        <w:rPr>
          <w:spacing w:val="-6"/>
          <w:w w:val="105"/>
          <w:sz w:val="21"/>
        </w:rPr>
        <w:t>being’.</w:t>
      </w:r>
      <w:r>
        <w:rPr>
          <w:spacing w:val="-6"/>
          <w:w w:val="105"/>
          <w:position w:val="7"/>
          <w:sz w:val="12"/>
        </w:rPr>
        <w:t>70</w:t>
      </w:r>
    </w:p>
    <w:p>
      <w:pPr>
        <w:pStyle w:val="ListParagraph"/>
        <w:numPr>
          <w:ilvl w:val="1"/>
          <w:numId w:val="22"/>
        </w:numPr>
        <w:tabs>
          <w:tab w:pos="2381" w:val="left" w:leader="none"/>
          <w:tab w:pos="2382" w:val="left" w:leader="none"/>
        </w:tabs>
        <w:spacing w:line="242" w:lineRule="auto" w:before="122" w:after="0"/>
        <w:ind w:left="2381" w:right="1737" w:hanging="794"/>
        <w:jc w:val="left"/>
        <w:rPr>
          <w:sz w:val="12"/>
        </w:rPr>
      </w:pPr>
      <w:r>
        <w:rPr>
          <w:w w:val="105"/>
          <w:sz w:val="21"/>
        </w:rPr>
        <w:t>The</w:t>
      </w:r>
      <w:r>
        <w:rPr>
          <w:spacing w:val="-6"/>
          <w:w w:val="105"/>
          <w:sz w:val="21"/>
        </w:rPr>
        <w:t> </w:t>
      </w:r>
      <w:r>
        <w:rPr>
          <w:spacing w:val="-3"/>
          <w:w w:val="105"/>
          <w:sz w:val="21"/>
        </w:rPr>
        <w:t>National</w:t>
      </w:r>
      <w:r>
        <w:rPr>
          <w:spacing w:val="-5"/>
          <w:w w:val="105"/>
          <w:sz w:val="21"/>
        </w:rPr>
        <w:t> </w:t>
      </w:r>
      <w:r>
        <w:rPr>
          <w:spacing w:val="-3"/>
          <w:w w:val="105"/>
          <w:sz w:val="21"/>
        </w:rPr>
        <w:t>Committee</w:t>
      </w:r>
      <w:r>
        <w:rPr>
          <w:spacing w:val="-5"/>
          <w:w w:val="105"/>
          <w:sz w:val="21"/>
        </w:rPr>
        <w:t> </w:t>
      </w:r>
      <w:r>
        <w:rPr>
          <w:w w:val="105"/>
          <w:sz w:val="21"/>
        </w:rPr>
        <w:t>recommended</w:t>
      </w:r>
      <w:r>
        <w:rPr>
          <w:spacing w:val="-5"/>
          <w:w w:val="105"/>
          <w:sz w:val="21"/>
        </w:rPr>
        <w:t> </w:t>
      </w:r>
      <w:r>
        <w:rPr>
          <w:spacing w:val="-3"/>
          <w:w w:val="105"/>
          <w:sz w:val="21"/>
        </w:rPr>
        <w:t>that</w:t>
      </w:r>
      <w:r>
        <w:rPr>
          <w:spacing w:val="-5"/>
          <w:w w:val="105"/>
          <w:sz w:val="21"/>
        </w:rPr>
        <w:t> </w:t>
      </w:r>
      <w:r>
        <w:rPr>
          <w:w w:val="105"/>
          <w:sz w:val="21"/>
        </w:rPr>
        <w:t>the</w:t>
      </w:r>
      <w:r>
        <w:rPr>
          <w:spacing w:val="-6"/>
          <w:w w:val="105"/>
          <w:sz w:val="21"/>
        </w:rPr>
        <w:t> </w:t>
      </w:r>
      <w:r>
        <w:rPr>
          <w:w w:val="105"/>
          <w:sz w:val="21"/>
        </w:rPr>
        <w:t>model</w:t>
      </w:r>
      <w:r>
        <w:rPr>
          <w:spacing w:val="-5"/>
          <w:w w:val="105"/>
          <w:sz w:val="21"/>
        </w:rPr>
        <w:t> </w:t>
      </w:r>
      <w:r>
        <w:rPr>
          <w:spacing w:val="-3"/>
          <w:w w:val="105"/>
          <w:sz w:val="21"/>
        </w:rPr>
        <w:t>legislation</w:t>
      </w:r>
      <w:r>
        <w:rPr>
          <w:spacing w:val="-5"/>
          <w:w w:val="105"/>
          <w:sz w:val="21"/>
        </w:rPr>
        <w:t> </w:t>
      </w:r>
      <w:r>
        <w:rPr>
          <w:spacing w:val="-3"/>
          <w:w w:val="105"/>
          <w:sz w:val="21"/>
        </w:rPr>
        <w:t>refer</w:t>
      </w:r>
      <w:r>
        <w:rPr>
          <w:spacing w:val="-5"/>
          <w:w w:val="105"/>
          <w:sz w:val="21"/>
        </w:rPr>
        <w:t> </w:t>
      </w:r>
      <w:r>
        <w:rPr>
          <w:spacing w:val="-3"/>
          <w:w w:val="105"/>
          <w:sz w:val="21"/>
        </w:rPr>
        <w:t>to</w:t>
      </w:r>
      <w:r>
        <w:rPr>
          <w:spacing w:val="-5"/>
          <w:w w:val="105"/>
          <w:sz w:val="21"/>
        </w:rPr>
        <w:t> </w:t>
      </w:r>
      <w:r>
        <w:rPr>
          <w:w w:val="105"/>
          <w:sz w:val="21"/>
        </w:rPr>
        <w:t>the</w:t>
      </w:r>
      <w:r>
        <w:rPr>
          <w:spacing w:val="-5"/>
          <w:w w:val="105"/>
          <w:sz w:val="21"/>
        </w:rPr>
        <w:t> </w:t>
      </w:r>
      <w:r>
        <w:rPr>
          <w:spacing w:val="-3"/>
          <w:w w:val="105"/>
          <w:sz w:val="21"/>
        </w:rPr>
        <w:t>applicable </w:t>
      </w:r>
      <w:r>
        <w:rPr>
          <w:w w:val="105"/>
          <w:sz w:val="21"/>
        </w:rPr>
        <w:t>rules as those in </w:t>
      </w:r>
      <w:r>
        <w:rPr>
          <w:spacing w:val="-3"/>
          <w:w w:val="105"/>
          <w:sz w:val="21"/>
        </w:rPr>
        <w:t>force </w:t>
      </w:r>
      <w:r>
        <w:rPr>
          <w:w w:val="105"/>
          <w:sz w:val="21"/>
        </w:rPr>
        <w:t>at the time of death of the deceased</w:t>
      </w:r>
      <w:r>
        <w:rPr>
          <w:spacing w:val="27"/>
          <w:w w:val="105"/>
          <w:sz w:val="21"/>
        </w:rPr>
        <w:t> </w:t>
      </w:r>
      <w:r>
        <w:rPr>
          <w:spacing w:val="-3"/>
          <w:w w:val="105"/>
          <w:sz w:val="21"/>
        </w:rPr>
        <w:t>person.</w:t>
      </w:r>
      <w:r>
        <w:rPr>
          <w:spacing w:val="-3"/>
          <w:w w:val="105"/>
          <w:position w:val="7"/>
          <w:sz w:val="12"/>
        </w:rPr>
        <w:t>71</w:t>
      </w:r>
    </w:p>
    <w:p>
      <w:pPr>
        <w:pStyle w:val="ListParagraph"/>
        <w:numPr>
          <w:ilvl w:val="1"/>
          <w:numId w:val="22"/>
        </w:numPr>
        <w:tabs>
          <w:tab w:pos="2381" w:val="left" w:leader="none"/>
          <w:tab w:pos="2382" w:val="left" w:leader="none"/>
        </w:tabs>
        <w:spacing w:line="242" w:lineRule="auto" w:before="122" w:after="0"/>
        <w:ind w:left="2381" w:right="1636" w:hanging="794"/>
        <w:jc w:val="left"/>
        <w:rPr>
          <w:sz w:val="12"/>
        </w:rPr>
      </w:pPr>
      <w:r>
        <w:rPr>
          <w:spacing w:val="-3"/>
          <w:w w:val="105"/>
          <w:sz w:val="21"/>
        </w:rPr>
        <w:t>Submissions </w:t>
      </w:r>
      <w:r>
        <w:rPr>
          <w:w w:val="105"/>
          <w:sz w:val="21"/>
        </w:rPr>
        <w:t>on this question </w:t>
      </w:r>
      <w:r>
        <w:rPr>
          <w:spacing w:val="-3"/>
          <w:w w:val="105"/>
          <w:sz w:val="21"/>
        </w:rPr>
        <w:t>were </w:t>
      </w:r>
      <w:r>
        <w:rPr>
          <w:w w:val="105"/>
          <w:sz w:val="21"/>
        </w:rPr>
        <w:t>largely supportive of this </w:t>
      </w:r>
      <w:r>
        <w:rPr>
          <w:spacing w:val="-3"/>
          <w:w w:val="105"/>
          <w:sz w:val="21"/>
        </w:rPr>
        <w:t>change, </w:t>
      </w:r>
      <w:r>
        <w:rPr>
          <w:w w:val="105"/>
          <w:sz w:val="21"/>
        </w:rPr>
        <w:t>with one </w:t>
      </w:r>
      <w:r>
        <w:rPr>
          <w:spacing w:val="-3"/>
          <w:w w:val="105"/>
          <w:sz w:val="21"/>
        </w:rPr>
        <w:t>group noting that </w:t>
      </w:r>
      <w:r>
        <w:rPr>
          <w:w w:val="105"/>
          <w:sz w:val="21"/>
        </w:rPr>
        <w:t>this would be a practical </w:t>
      </w:r>
      <w:r>
        <w:rPr>
          <w:spacing w:val="-3"/>
          <w:w w:val="105"/>
          <w:sz w:val="21"/>
        </w:rPr>
        <w:t>way to ensure that </w:t>
      </w:r>
      <w:r>
        <w:rPr>
          <w:w w:val="105"/>
          <w:sz w:val="21"/>
        </w:rPr>
        <w:t>the rules </w:t>
      </w:r>
      <w:r>
        <w:rPr>
          <w:spacing w:val="-3"/>
          <w:w w:val="105"/>
          <w:sz w:val="21"/>
        </w:rPr>
        <w:t>to </w:t>
      </w:r>
      <w:r>
        <w:rPr>
          <w:w w:val="105"/>
          <w:sz w:val="21"/>
        </w:rPr>
        <w:t>be applied </w:t>
      </w:r>
      <w:r>
        <w:rPr>
          <w:spacing w:val="-3"/>
          <w:w w:val="105"/>
          <w:sz w:val="21"/>
        </w:rPr>
        <w:t>are </w:t>
      </w:r>
      <w:r>
        <w:rPr>
          <w:spacing w:val="-5"/>
          <w:w w:val="105"/>
          <w:sz w:val="21"/>
        </w:rPr>
        <w:t>clear.</w:t>
      </w:r>
      <w:r>
        <w:rPr>
          <w:spacing w:val="-5"/>
          <w:w w:val="105"/>
          <w:position w:val="7"/>
          <w:sz w:val="12"/>
        </w:rPr>
        <w:t>72</w:t>
      </w:r>
      <w:r>
        <w:rPr>
          <w:spacing w:val="-5"/>
          <w:w w:val="105"/>
          <w:sz w:val="12"/>
        </w:rPr>
        <w:t> </w:t>
      </w:r>
      <w:r>
        <w:rPr>
          <w:w w:val="105"/>
          <w:sz w:val="21"/>
        </w:rPr>
        <w:t>The </w:t>
      </w:r>
      <w:r>
        <w:rPr>
          <w:spacing w:val="-4"/>
          <w:w w:val="105"/>
          <w:sz w:val="21"/>
        </w:rPr>
        <w:t>Commercial </w:t>
      </w:r>
      <w:r>
        <w:rPr>
          <w:w w:val="105"/>
          <w:sz w:val="21"/>
        </w:rPr>
        <w:t>Bar Association agreed </w:t>
      </w:r>
      <w:r>
        <w:rPr>
          <w:spacing w:val="-3"/>
          <w:w w:val="105"/>
          <w:sz w:val="21"/>
        </w:rPr>
        <w:t>that </w:t>
      </w:r>
      <w:r>
        <w:rPr>
          <w:w w:val="105"/>
          <w:sz w:val="21"/>
        </w:rPr>
        <w:t>substantive laws should be those </w:t>
      </w:r>
      <w:r>
        <w:rPr>
          <w:spacing w:val="-3"/>
          <w:w w:val="105"/>
          <w:sz w:val="21"/>
        </w:rPr>
        <w:t>applicable </w:t>
      </w:r>
      <w:r>
        <w:rPr>
          <w:w w:val="105"/>
          <w:sz w:val="21"/>
        </w:rPr>
        <w:t>at the time of </w:t>
      </w:r>
      <w:r>
        <w:rPr>
          <w:spacing w:val="-3"/>
          <w:w w:val="105"/>
          <w:sz w:val="21"/>
        </w:rPr>
        <w:t>death, </w:t>
      </w:r>
      <w:r>
        <w:rPr>
          <w:w w:val="105"/>
          <w:sz w:val="21"/>
        </w:rPr>
        <w:t>but </w:t>
      </w:r>
      <w:r>
        <w:rPr>
          <w:spacing w:val="-3"/>
          <w:w w:val="105"/>
          <w:sz w:val="21"/>
        </w:rPr>
        <w:t>that </w:t>
      </w:r>
      <w:r>
        <w:rPr>
          <w:spacing w:val="-4"/>
          <w:w w:val="105"/>
          <w:sz w:val="21"/>
        </w:rPr>
        <w:t>‘procedural </w:t>
      </w:r>
      <w:r>
        <w:rPr>
          <w:w w:val="105"/>
          <w:sz w:val="21"/>
        </w:rPr>
        <w:t>rules should </w:t>
      </w:r>
      <w:r>
        <w:rPr>
          <w:spacing w:val="-2"/>
          <w:w w:val="105"/>
          <w:sz w:val="21"/>
        </w:rPr>
        <w:t>not </w:t>
      </w:r>
      <w:r>
        <w:rPr>
          <w:w w:val="105"/>
          <w:sz w:val="21"/>
        </w:rPr>
        <w:t>be </w:t>
      </w:r>
      <w:r>
        <w:rPr>
          <w:spacing w:val="-3"/>
          <w:w w:val="105"/>
          <w:sz w:val="21"/>
        </w:rPr>
        <w:t>limited </w:t>
      </w:r>
      <w:r>
        <w:rPr>
          <w:w w:val="105"/>
          <w:sz w:val="21"/>
        </w:rPr>
        <w:t>in this</w:t>
      </w:r>
      <w:r>
        <w:rPr>
          <w:spacing w:val="23"/>
          <w:w w:val="105"/>
          <w:sz w:val="21"/>
        </w:rPr>
        <w:t> </w:t>
      </w:r>
      <w:r>
        <w:rPr>
          <w:spacing w:val="-6"/>
          <w:w w:val="105"/>
          <w:sz w:val="21"/>
        </w:rPr>
        <w:t>way’.</w:t>
      </w:r>
      <w:r>
        <w:rPr>
          <w:spacing w:val="-6"/>
          <w:w w:val="105"/>
          <w:position w:val="7"/>
          <w:sz w:val="12"/>
        </w:rPr>
        <w:t>73</w:t>
      </w:r>
    </w:p>
    <w:p>
      <w:pPr>
        <w:pStyle w:val="BodyText"/>
        <w:rPr>
          <w:sz w:val="27"/>
        </w:rPr>
      </w:pPr>
    </w:p>
    <w:p>
      <w:pPr>
        <w:pStyle w:val="Heading6"/>
        <w:spacing w:line="283" w:lineRule="auto" w:before="1"/>
        <w:ind w:right="1803"/>
      </w:pPr>
      <w:r>
        <w:rPr>
          <w:w w:val="115"/>
        </w:rPr>
        <w:t>Clearly listing the matters which the Administration and Probate Act imports from the Bankruptcy Act</w:t>
      </w:r>
    </w:p>
    <w:p>
      <w:pPr>
        <w:pStyle w:val="ListParagraph"/>
        <w:numPr>
          <w:ilvl w:val="1"/>
          <w:numId w:val="22"/>
        </w:numPr>
        <w:tabs>
          <w:tab w:pos="2381" w:val="left" w:leader="none"/>
          <w:tab w:pos="2382" w:val="left" w:leader="none"/>
        </w:tabs>
        <w:spacing w:line="242" w:lineRule="auto" w:before="104" w:after="0"/>
        <w:ind w:left="2381" w:right="1675" w:hanging="794"/>
        <w:jc w:val="left"/>
        <w:rPr>
          <w:sz w:val="21"/>
        </w:rPr>
      </w:pPr>
      <w:r>
        <w:rPr>
          <w:spacing w:val="-4"/>
          <w:w w:val="105"/>
          <w:sz w:val="21"/>
        </w:rPr>
        <w:t>Clause </w:t>
      </w:r>
      <w:r>
        <w:rPr>
          <w:w w:val="105"/>
          <w:sz w:val="21"/>
        </w:rPr>
        <w:t>2 of Part I of the Second Schedule </w:t>
      </w:r>
      <w:r>
        <w:rPr>
          <w:spacing w:val="-3"/>
          <w:w w:val="105"/>
          <w:sz w:val="21"/>
        </w:rPr>
        <w:t>to </w:t>
      </w:r>
      <w:r>
        <w:rPr>
          <w:w w:val="105"/>
          <w:sz w:val="21"/>
        </w:rPr>
        <w:t>the </w:t>
      </w:r>
      <w:r>
        <w:rPr>
          <w:spacing w:val="-3"/>
          <w:w w:val="105"/>
          <w:sz w:val="21"/>
        </w:rPr>
        <w:t>Administration </w:t>
      </w:r>
      <w:r>
        <w:rPr>
          <w:w w:val="105"/>
          <w:sz w:val="21"/>
        </w:rPr>
        <w:t>and </w:t>
      </w:r>
      <w:r>
        <w:rPr>
          <w:spacing w:val="-3"/>
          <w:w w:val="105"/>
          <w:sz w:val="21"/>
        </w:rPr>
        <w:t>Probate </w:t>
      </w:r>
      <w:r>
        <w:rPr>
          <w:w w:val="105"/>
          <w:sz w:val="21"/>
        </w:rPr>
        <w:t>Act specifies the general application of </w:t>
      </w:r>
      <w:r>
        <w:rPr>
          <w:spacing w:val="-4"/>
          <w:w w:val="105"/>
          <w:sz w:val="21"/>
        </w:rPr>
        <w:t>Commonwealth </w:t>
      </w:r>
      <w:r>
        <w:rPr>
          <w:w w:val="105"/>
          <w:sz w:val="21"/>
        </w:rPr>
        <w:t>bankruptcy law when an </w:t>
      </w:r>
      <w:r>
        <w:rPr>
          <w:spacing w:val="-3"/>
          <w:w w:val="105"/>
          <w:sz w:val="21"/>
        </w:rPr>
        <w:t>insolvent</w:t>
      </w:r>
      <w:r>
        <w:rPr>
          <w:spacing w:val="-9"/>
          <w:w w:val="105"/>
          <w:sz w:val="21"/>
        </w:rPr>
        <w:t> </w:t>
      </w:r>
      <w:r>
        <w:rPr>
          <w:w w:val="105"/>
          <w:sz w:val="21"/>
        </w:rPr>
        <w:t>estate</w:t>
      </w:r>
    </w:p>
    <w:p>
      <w:pPr>
        <w:pStyle w:val="BodyText"/>
        <w:spacing w:before="2"/>
        <w:ind w:left="2381"/>
      </w:pPr>
      <w:r>
        <w:rPr/>
        <w:t>is administered under the Administration and Probate Act.</w:t>
      </w:r>
    </w:p>
    <w:p>
      <w:pPr>
        <w:pStyle w:val="ListParagraph"/>
        <w:numPr>
          <w:ilvl w:val="1"/>
          <w:numId w:val="22"/>
        </w:numPr>
        <w:tabs>
          <w:tab w:pos="2381" w:val="left" w:leader="none"/>
          <w:tab w:pos="2382" w:val="left" w:leader="none"/>
        </w:tabs>
        <w:spacing w:line="242" w:lineRule="auto" w:before="124" w:after="0"/>
        <w:ind w:left="2381" w:right="2308" w:hanging="794"/>
        <w:jc w:val="left"/>
        <w:rPr>
          <w:sz w:val="21"/>
        </w:rPr>
      </w:pPr>
      <w:r>
        <w:rPr>
          <w:sz w:val="21"/>
        </w:rPr>
        <w:t>The </w:t>
      </w:r>
      <w:r>
        <w:rPr>
          <w:spacing w:val="-3"/>
          <w:sz w:val="21"/>
        </w:rPr>
        <w:t>Commission </w:t>
      </w:r>
      <w:r>
        <w:rPr>
          <w:sz w:val="21"/>
        </w:rPr>
        <w:t>is of the view </w:t>
      </w:r>
      <w:r>
        <w:rPr>
          <w:spacing w:val="-3"/>
          <w:sz w:val="21"/>
        </w:rPr>
        <w:t>that </w:t>
      </w:r>
      <w:r>
        <w:rPr>
          <w:sz w:val="21"/>
        </w:rPr>
        <w:t>the </w:t>
      </w:r>
      <w:r>
        <w:rPr>
          <w:spacing w:val="-3"/>
          <w:sz w:val="21"/>
        </w:rPr>
        <w:t>provision </w:t>
      </w:r>
      <w:r>
        <w:rPr>
          <w:sz w:val="21"/>
        </w:rPr>
        <w:t>should be </w:t>
      </w:r>
      <w:r>
        <w:rPr>
          <w:spacing w:val="-2"/>
          <w:sz w:val="21"/>
        </w:rPr>
        <w:t>redrafted </w:t>
      </w:r>
      <w:r>
        <w:rPr>
          <w:spacing w:val="-3"/>
          <w:sz w:val="21"/>
        </w:rPr>
        <w:t>to </w:t>
      </w:r>
      <w:r>
        <w:rPr>
          <w:sz w:val="21"/>
        </w:rPr>
        <w:t>clearly list the</w:t>
      </w:r>
      <w:r>
        <w:rPr>
          <w:spacing w:val="10"/>
          <w:sz w:val="21"/>
        </w:rPr>
        <w:t> </w:t>
      </w:r>
      <w:r>
        <w:rPr>
          <w:spacing w:val="-3"/>
          <w:sz w:val="21"/>
        </w:rPr>
        <w:t>relevant</w:t>
      </w:r>
      <w:r>
        <w:rPr>
          <w:spacing w:val="10"/>
          <w:sz w:val="21"/>
        </w:rPr>
        <w:t> </w:t>
      </w:r>
      <w:r>
        <w:rPr>
          <w:spacing w:val="-3"/>
          <w:sz w:val="21"/>
        </w:rPr>
        <w:t>areas</w:t>
      </w:r>
      <w:r>
        <w:rPr>
          <w:spacing w:val="10"/>
          <w:sz w:val="21"/>
        </w:rPr>
        <w:t> </w:t>
      </w:r>
      <w:r>
        <w:rPr>
          <w:spacing w:val="-3"/>
          <w:sz w:val="21"/>
        </w:rPr>
        <w:t>covered</w:t>
      </w:r>
      <w:r>
        <w:rPr>
          <w:spacing w:val="10"/>
          <w:sz w:val="21"/>
        </w:rPr>
        <w:t> </w:t>
      </w:r>
      <w:r>
        <w:rPr>
          <w:sz w:val="21"/>
        </w:rPr>
        <w:t>by</w:t>
      </w:r>
      <w:r>
        <w:rPr>
          <w:spacing w:val="10"/>
          <w:sz w:val="21"/>
        </w:rPr>
        <w:t> </w:t>
      </w:r>
      <w:r>
        <w:rPr>
          <w:sz w:val="21"/>
        </w:rPr>
        <w:t>the</w:t>
      </w:r>
      <w:r>
        <w:rPr>
          <w:spacing w:val="10"/>
          <w:sz w:val="21"/>
        </w:rPr>
        <w:t> </w:t>
      </w:r>
      <w:r>
        <w:rPr>
          <w:sz w:val="21"/>
        </w:rPr>
        <w:t>bankruptcy</w:t>
      </w:r>
      <w:r>
        <w:rPr>
          <w:spacing w:val="10"/>
          <w:sz w:val="21"/>
        </w:rPr>
        <w:t> </w:t>
      </w:r>
      <w:r>
        <w:rPr>
          <w:spacing w:val="-3"/>
          <w:sz w:val="21"/>
        </w:rPr>
        <w:t>legislation.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2"/>
        </w:rPr>
      </w:pPr>
      <w:r>
        <w:rPr/>
        <w:pict>
          <v:line style="position:absolute;mso-position-horizontal-relative:page;mso-position-vertical-relative:paragraph;z-index:11000;mso-wrap-distance-left:0;mso-wrap-distance-right:0" from="79.370102pt,10.121485pt" to="515.905102pt,10.121485pt" stroked="true" strokeweight="1pt" strokecolor="#f9ceca">
            <v:stroke dashstyle="solid"/>
            <w10:wrap type="topAndBottom"/>
          </v:line>
        </w:pict>
      </w:r>
    </w:p>
    <w:p>
      <w:pPr>
        <w:pStyle w:val="BodyText"/>
        <w:spacing w:before="8"/>
        <w:rPr>
          <w:sz w:val="5"/>
        </w:rPr>
      </w:pPr>
    </w:p>
    <w:p>
      <w:pPr>
        <w:spacing w:after="0"/>
        <w:rPr>
          <w:sz w:val="5"/>
        </w:rPr>
        <w:sectPr>
          <w:pgSz w:w="11910" w:h="16840"/>
          <w:pgMar w:header="805" w:footer="0" w:top="1360" w:bottom="280" w:left="0" w:right="0"/>
        </w:sectPr>
      </w:pPr>
    </w:p>
    <w:p>
      <w:pPr>
        <w:pStyle w:val="ListParagraph"/>
        <w:numPr>
          <w:ilvl w:val="0"/>
          <w:numId w:val="136"/>
        </w:numPr>
        <w:tabs>
          <w:tab w:pos="2381" w:val="left" w:leader="none"/>
          <w:tab w:pos="2382" w:val="left" w:leader="none"/>
        </w:tabs>
        <w:spacing w:line="240" w:lineRule="auto" w:before="48" w:after="0"/>
        <w:ind w:left="2381" w:right="0" w:hanging="794"/>
        <w:jc w:val="left"/>
        <w:rPr>
          <w:sz w:val="13"/>
        </w:rPr>
      </w:pPr>
      <w:r>
        <w:rPr>
          <w:sz w:val="13"/>
        </w:rPr>
        <w:t>For</w:t>
      </w:r>
      <w:r>
        <w:rPr>
          <w:spacing w:val="17"/>
          <w:sz w:val="13"/>
        </w:rPr>
        <w:t> </w:t>
      </w:r>
      <w:r>
        <w:rPr>
          <w:sz w:val="13"/>
        </w:rPr>
        <w:t>current</w:t>
      </w:r>
      <w:r>
        <w:rPr>
          <w:spacing w:val="17"/>
          <w:sz w:val="13"/>
        </w:rPr>
        <w:t> </w:t>
      </w:r>
      <w:r>
        <w:rPr>
          <w:sz w:val="13"/>
        </w:rPr>
        <w:t>purposes,</w:t>
      </w:r>
      <w:r>
        <w:rPr>
          <w:spacing w:val="18"/>
          <w:sz w:val="13"/>
        </w:rPr>
        <w:t> </w:t>
      </w:r>
      <w:r>
        <w:rPr>
          <w:sz w:val="13"/>
        </w:rPr>
        <w:t>this</w:t>
      </w:r>
      <w:r>
        <w:rPr>
          <w:spacing w:val="17"/>
          <w:sz w:val="13"/>
        </w:rPr>
        <w:t> </w:t>
      </w:r>
      <w:r>
        <w:rPr>
          <w:sz w:val="13"/>
        </w:rPr>
        <w:t>refers</w:t>
      </w:r>
      <w:r>
        <w:rPr>
          <w:spacing w:val="18"/>
          <w:sz w:val="13"/>
        </w:rPr>
        <w:t> </w:t>
      </w:r>
      <w:r>
        <w:rPr>
          <w:sz w:val="13"/>
        </w:rPr>
        <w:t>to</w:t>
      </w:r>
      <w:r>
        <w:rPr>
          <w:spacing w:val="17"/>
          <w:sz w:val="13"/>
        </w:rPr>
        <w:t> </w:t>
      </w:r>
      <w:r>
        <w:rPr>
          <w:sz w:val="13"/>
        </w:rPr>
        <w:t>part</w:t>
      </w:r>
      <w:r>
        <w:rPr>
          <w:spacing w:val="18"/>
          <w:sz w:val="13"/>
        </w:rPr>
        <w:t> </w:t>
      </w:r>
      <w:r>
        <w:rPr>
          <w:sz w:val="13"/>
        </w:rPr>
        <w:t>I</w:t>
      </w:r>
      <w:r>
        <w:rPr>
          <w:spacing w:val="17"/>
          <w:sz w:val="13"/>
        </w:rPr>
        <w:t> </w:t>
      </w:r>
      <w:r>
        <w:rPr>
          <w:sz w:val="13"/>
        </w:rPr>
        <w:t>of</w:t>
      </w:r>
      <w:r>
        <w:rPr>
          <w:spacing w:val="18"/>
          <w:sz w:val="13"/>
        </w:rPr>
        <w:t> </w:t>
      </w:r>
      <w:r>
        <w:rPr>
          <w:sz w:val="13"/>
        </w:rPr>
        <w:t>the</w:t>
      </w:r>
      <w:r>
        <w:rPr>
          <w:spacing w:val="17"/>
          <w:sz w:val="13"/>
        </w:rPr>
        <w:t> </w:t>
      </w:r>
      <w:r>
        <w:rPr>
          <w:sz w:val="13"/>
        </w:rPr>
        <w:t>second</w:t>
      </w:r>
      <w:r>
        <w:rPr>
          <w:spacing w:val="18"/>
          <w:sz w:val="13"/>
        </w:rPr>
        <w:t> </w:t>
      </w:r>
      <w:r>
        <w:rPr>
          <w:sz w:val="13"/>
        </w:rPr>
        <w:t>schedule</w:t>
      </w:r>
      <w:r>
        <w:rPr>
          <w:spacing w:val="17"/>
          <w:sz w:val="13"/>
        </w:rPr>
        <w:t> </w:t>
      </w:r>
      <w:r>
        <w:rPr>
          <w:sz w:val="13"/>
        </w:rPr>
        <w:t>to</w:t>
      </w:r>
      <w:r>
        <w:rPr>
          <w:spacing w:val="18"/>
          <w:sz w:val="13"/>
        </w:rPr>
        <w:t> </w:t>
      </w:r>
      <w:r>
        <w:rPr>
          <w:sz w:val="13"/>
        </w:rPr>
        <w:t>the</w:t>
      </w:r>
      <w:r>
        <w:rPr>
          <w:spacing w:val="17"/>
          <w:sz w:val="13"/>
        </w:rPr>
        <w:t> </w:t>
      </w:r>
      <w:r>
        <w:rPr>
          <w:i/>
          <w:sz w:val="13"/>
        </w:rPr>
        <w:t>Administration</w:t>
      </w:r>
      <w:r>
        <w:rPr>
          <w:i/>
          <w:spacing w:val="17"/>
          <w:sz w:val="13"/>
        </w:rPr>
        <w:t> </w:t>
      </w:r>
      <w:r>
        <w:rPr>
          <w:i/>
          <w:sz w:val="13"/>
        </w:rPr>
        <w:t>and</w:t>
      </w:r>
      <w:r>
        <w:rPr>
          <w:i/>
          <w:spacing w:val="16"/>
          <w:sz w:val="13"/>
        </w:rPr>
        <w:t> </w:t>
      </w:r>
      <w:r>
        <w:rPr>
          <w:i/>
          <w:sz w:val="13"/>
        </w:rPr>
        <w:t>Probate</w:t>
      </w:r>
      <w:r>
        <w:rPr>
          <w:i/>
          <w:spacing w:val="16"/>
          <w:sz w:val="13"/>
        </w:rPr>
        <w:t> </w:t>
      </w:r>
      <w:r>
        <w:rPr>
          <w:i/>
          <w:sz w:val="13"/>
        </w:rPr>
        <w:t>Act</w:t>
      </w:r>
      <w:r>
        <w:rPr>
          <w:i/>
          <w:spacing w:val="16"/>
          <w:sz w:val="13"/>
        </w:rPr>
        <w:t> </w:t>
      </w:r>
      <w:r>
        <w:rPr>
          <w:i/>
          <w:sz w:val="13"/>
        </w:rPr>
        <w:t>1958</w:t>
      </w:r>
      <w:r>
        <w:rPr>
          <w:i/>
          <w:spacing w:val="18"/>
          <w:sz w:val="13"/>
        </w:rPr>
        <w:t> </w:t>
      </w:r>
      <w:r>
        <w:rPr>
          <w:spacing w:val="2"/>
          <w:sz w:val="13"/>
        </w:rPr>
        <w:t>(Vic).</w:t>
      </w:r>
    </w:p>
    <w:p>
      <w:pPr>
        <w:pStyle w:val="ListParagraph"/>
        <w:numPr>
          <w:ilvl w:val="0"/>
          <w:numId w:val="136"/>
        </w:numPr>
        <w:tabs>
          <w:tab w:pos="2381" w:val="left" w:leader="none"/>
          <w:tab w:pos="2382" w:val="left" w:leader="none"/>
        </w:tabs>
        <w:spacing w:line="240" w:lineRule="auto" w:before="1" w:after="0"/>
        <w:ind w:left="2381" w:right="0" w:hanging="794"/>
        <w:jc w:val="left"/>
        <w:rPr>
          <w:sz w:val="13"/>
        </w:rPr>
      </w:pPr>
      <w:r>
        <w:rPr>
          <w:i/>
          <w:w w:val="105"/>
          <w:sz w:val="13"/>
        </w:rPr>
        <w:t>Australian Constitution </w:t>
      </w:r>
      <w:r>
        <w:rPr>
          <w:w w:val="105"/>
          <w:sz w:val="13"/>
        </w:rPr>
        <w:t>s</w:t>
      </w:r>
      <w:r>
        <w:rPr>
          <w:spacing w:val="11"/>
          <w:w w:val="105"/>
          <w:sz w:val="13"/>
        </w:rPr>
        <w:t> </w:t>
      </w:r>
      <w:r>
        <w:rPr>
          <w:w w:val="105"/>
          <w:sz w:val="13"/>
        </w:rPr>
        <w:t>109.</w:t>
      </w:r>
    </w:p>
    <w:p>
      <w:pPr>
        <w:pStyle w:val="ListParagraph"/>
        <w:numPr>
          <w:ilvl w:val="0"/>
          <w:numId w:val="136"/>
        </w:numPr>
        <w:tabs>
          <w:tab w:pos="2381" w:val="left" w:leader="none"/>
          <w:tab w:pos="2382" w:val="left" w:leader="none"/>
        </w:tabs>
        <w:spacing w:line="240" w:lineRule="auto" w:before="2" w:after="0"/>
        <w:ind w:left="2381" w:right="0" w:hanging="794"/>
        <w:jc w:val="left"/>
        <w:rPr>
          <w:sz w:val="13"/>
        </w:rPr>
      </w:pPr>
      <w:r>
        <w:rPr>
          <w:i/>
          <w:w w:val="105"/>
          <w:sz w:val="13"/>
        </w:rPr>
        <w:t>Administration and Probate Act 1958 </w:t>
      </w:r>
      <w:r>
        <w:rPr>
          <w:spacing w:val="2"/>
          <w:w w:val="105"/>
          <w:sz w:val="13"/>
        </w:rPr>
        <w:t>(Vic) </w:t>
      </w:r>
      <w:r>
        <w:rPr>
          <w:w w:val="105"/>
          <w:sz w:val="13"/>
        </w:rPr>
        <w:t>sch 2 pt</w:t>
      </w:r>
      <w:r>
        <w:rPr>
          <w:spacing w:val="3"/>
          <w:w w:val="105"/>
          <w:sz w:val="13"/>
        </w:rPr>
        <w:t> </w:t>
      </w:r>
      <w:r>
        <w:rPr>
          <w:w w:val="105"/>
          <w:sz w:val="13"/>
        </w:rPr>
        <w:t>I.</w:t>
      </w:r>
    </w:p>
    <w:p>
      <w:pPr>
        <w:pStyle w:val="ListParagraph"/>
        <w:numPr>
          <w:ilvl w:val="0"/>
          <w:numId w:val="136"/>
        </w:numPr>
        <w:tabs>
          <w:tab w:pos="2381" w:val="left" w:leader="none"/>
          <w:tab w:pos="2382" w:val="left" w:leader="none"/>
        </w:tabs>
        <w:spacing w:line="240" w:lineRule="auto" w:before="1" w:after="0"/>
        <w:ind w:left="2381" w:right="0" w:hanging="794"/>
        <w:jc w:val="left"/>
        <w:rPr>
          <w:sz w:val="13"/>
        </w:rPr>
      </w:pPr>
      <w:r>
        <w:rPr>
          <w:sz w:val="13"/>
        </w:rPr>
        <w:t>Ibid sch 2 pt I cl</w:t>
      </w:r>
      <w:r>
        <w:rPr>
          <w:spacing w:val="8"/>
          <w:sz w:val="13"/>
        </w:rPr>
        <w:t> </w:t>
      </w:r>
      <w:r>
        <w:rPr>
          <w:sz w:val="13"/>
        </w:rPr>
        <w:t>2.</w:t>
      </w:r>
    </w:p>
    <w:p>
      <w:pPr>
        <w:pStyle w:val="ListParagraph"/>
        <w:numPr>
          <w:ilvl w:val="0"/>
          <w:numId w:val="136"/>
        </w:numPr>
        <w:tabs>
          <w:tab w:pos="2381" w:val="left" w:leader="none"/>
          <w:tab w:pos="2382" w:val="left" w:leader="none"/>
        </w:tabs>
        <w:spacing w:line="240" w:lineRule="auto" w:before="1" w:after="0"/>
        <w:ind w:left="2381" w:right="0" w:hanging="794"/>
        <w:jc w:val="left"/>
        <w:rPr>
          <w:sz w:val="13"/>
        </w:rPr>
      </w:pPr>
      <w:r>
        <w:rPr>
          <w:w w:val="105"/>
          <w:sz w:val="13"/>
        </w:rPr>
        <w:t>National</w:t>
      </w:r>
      <w:r>
        <w:rPr>
          <w:spacing w:val="5"/>
          <w:w w:val="105"/>
          <w:sz w:val="13"/>
        </w:rPr>
        <w:t> </w:t>
      </w:r>
      <w:r>
        <w:rPr>
          <w:w w:val="105"/>
          <w:sz w:val="13"/>
        </w:rPr>
        <w:t>Committee</w:t>
      </w:r>
      <w:r>
        <w:rPr>
          <w:spacing w:val="6"/>
          <w:w w:val="105"/>
          <w:sz w:val="13"/>
        </w:rPr>
        <w:t> </w:t>
      </w:r>
      <w:r>
        <w:rPr>
          <w:w w:val="105"/>
          <w:sz w:val="13"/>
        </w:rPr>
        <w:t>for</w:t>
      </w:r>
      <w:r>
        <w:rPr>
          <w:spacing w:val="5"/>
          <w:w w:val="105"/>
          <w:sz w:val="13"/>
        </w:rPr>
        <w:t> </w:t>
      </w:r>
      <w:r>
        <w:rPr>
          <w:w w:val="105"/>
          <w:sz w:val="13"/>
        </w:rPr>
        <w:t>Uniform</w:t>
      </w:r>
      <w:r>
        <w:rPr>
          <w:spacing w:val="6"/>
          <w:w w:val="105"/>
          <w:sz w:val="13"/>
        </w:rPr>
        <w:t> </w:t>
      </w:r>
      <w:r>
        <w:rPr>
          <w:w w:val="105"/>
          <w:sz w:val="13"/>
        </w:rPr>
        <w:t>Succession</w:t>
      </w:r>
      <w:r>
        <w:rPr>
          <w:spacing w:val="5"/>
          <w:w w:val="105"/>
          <w:sz w:val="13"/>
        </w:rPr>
        <w:t> </w:t>
      </w:r>
      <w:r>
        <w:rPr>
          <w:w w:val="105"/>
          <w:sz w:val="13"/>
        </w:rPr>
        <w:t>Laws,</w:t>
      </w:r>
      <w:r>
        <w:rPr>
          <w:spacing w:val="6"/>
          <w:w w:val="105"/>
          <w:sz w:val="13"/>
        </w:rPr>
        <w:t> </w:t>
      </w:r>
      <w:r>
        <w:rPr>
          <w:i/>
          <w:w w:val="105"/>
          <w:sz w:val="13"/>
        </w:rPr>
        <w:t>Administration</w:t>
      </w:r>
      <w:r>
        <w:rPr>
          <w:i/>
          <w:spacing w:val="4"/>
          <w:w w:val="105"/>
          <w:sz w:val="13"/>
        </w:rPr>
        <w:t> </w:t>
      </w:r>
      <w:r>
        <w:rPr>
          <w:i/>
          <w:w w:val="105"/>
          <w:sz w:val="13"/>
        </w:rPr>
        <w:t>of</w:t>
      </w:r>
      <w:r>
        <w:rPr>
          <w:i/>
          <w:spacing w:val="5"/>
          <w:w w:val="105"/>
          <w:sz w:val="13"/>
        </w:rPr>
        <w:t> </w:t>
      </w:r>
      <w:r>
        <w:rPr>
          <w:i/>
          <w:w w:val="105"/>
          <w:sz w:val="13"/>
        </w:rPr>
        <w:t>Estates:</w:t>
      </w:r>
      <w:r>
        <w:rPr>
          <w:i/>
          <w:spacing w:val="4"/>
          <w:w w:val="105"/>
          <w:sz w:val="13"/>
        </w:rPr>
        <w:t> </w:t>
      </w:r>
      <w:r>
        <w:rPr>
          <w:i/>
          <w:w w:val="105"/>
          <w:sz w:val="13"/>
        </w:rPr>
        <w:t>Volume</w:t>
      </w:r>
      <w:r>
        <w:rPr>
          <w:i/>
          <w:spacing w:val="5"/>
          <w:w w:val="105"/>
          <w:sz w:val="13"/>
        </w:rPr>
        <w:t> </w:t>
      </w:r>
      <w:r>
        <w:rPr>
          <w:i/>
          <w:spacing w:val="-3"/>
          <w:w w:val="105"/>
          <w:sz w:val="13"/>
        </w:rPr>
        <w:t>2</w:t>
      </w:r>
      <w:r>
        <w:rPr>
          <w:spacing w:val="-3"/>
          <w:w w:val="105"/>
          <w:sz w:val="13"/>
        </w:rPr>
        <w:t>,</w:t>
      </w:r>
      <w:r>
        <w:rPr>
          <w:spacing w:val="5"/>
          <w:w w:val="105"/>
          <w:sz w:val="13"/>
        </w:rPr>
        <w:t> </w:t>
      </w:r>
      <w:r>
        <w:rPr>
          <w:w w:val="105"/>
          <w:sz w:val="13"/>
        </w:rPr>
        <w:t>above</w:t>
      </w:r>
      <w:r>
        <w:rPr>
          <w:spacing w:val="6"/>
          <w:w w:val="105"/>
          <w:sz w:val="13"/>
        </w:rPr>
        <w:t> </w:t>
      </w:r>
      <w:r>
        <w:rPr>
          <w:w w:val="105"/>
          <w:sz w:val="13"/>
        </w:rPr>
        <w:t>n</w:t>
      </w:r>
      <w:r>
        <w:rPr>
          <w:spacing w:val="5"/>
          <w:w w:val="105"/>
          <w:sz w:val="13"/>
        </w:rPr>
        <w:t> </w:t>
      </w:r>
      <w:r>
        <w:rPr>
          <w:w w:val="105"/>
          <w:sz w:val="13"/>
        </w:rPr>
        <w:t>14,</w:t>
      </w:r>
      <w:r>
        <w:rPr>
          <w:spacing w:val="6"/>
          <w:w w:val="105"/>
          <w:sz w:val="13"/>
        </w:rPr>
        <w:t> </w:t>
      </w:r>
      <w:r>
        <w:rPr>
          <w:w w:val="105"/>
          <w:sz w:val="13"/>
        </w:rPr>
        <w:t>59.</w:t>
      </w:r>
    </w:p>
    <w:p>
      <w:pPr>
        <w:pStyle w:val="ListParagraph"/>
        <w:numPr>
          <w:ilvl w:val="0"/>
          <w:numId w:val="136"/>
        </w:numPr>
        <w:tabs>
          <w:tab w:pos="2381" w:val="left" w:leader="none"/>
          <w:tab w:pos="2382" w:val="left" w:leader="none"/>
        </w:tabs>
        <w:spacing w:line="240" w:lineRule="auto" w:before="2" w:after="0"/>
        <w:ind w:left="2381" w:right="0" w:hanging="794"/>
        <w:jc w:val="left"/>
        <w:rPr>
          <w:sz w:val="13"/>
        </w:rPr>
      </w:pPr>
      <w:r>
        <w:rPr>
          <w:w w:val="105"/>
          <w:sz w:val="13"/>
        </w:rPr>
        <w:t>Submissions </w:t>
      </w:r>
      <w:r>
        <w:rPr>
          <w:spacing w:val="-3"/>
          <w:w w:val="105"/>
          <w:sz w:val="13"/>
        </w:rPr>
        <w:t>19 </w:t>
      </w:r>
      <w:r>
        <w:rPr>
          <w:spacing w:val="2"/>
          <w:w w:val="105"/>
          <w:sz w:val="13"/>
        </w:rPr>
        <w:t>(Association </w:t>
      </w:r>
      <w:r>
        <w:rPr>
          <w:w w:val="105"/>
          <w:sz w:val="13"/>
        </w:rPr>
        <w:t>of Independent Retirees), </w:t>
      </w:r>
      <w:r>
        <w:rPr>
          <w:spacing w:val="2"/>
          <w:w w:val="105"/>
          <w:sz w:val="13"/>
        </w:rPr>
        <w:t>30b </w:t>
      </w:r>
      <w:r>
        <w:rPr>
          <w:spacing w:val="3"/>
          <w:w w:val="105"/>
          <w:sz w:val="13"/>
        </w:rPr>
        <w:t>(Law </w:t>
      </w:r>
      <w:r>
        <w:rPr>
          <w:w w:val="105"/>
          <w:sz w:val="13"/>
        </w:rPr>
        <w:t>Institute of </w:t>
      </w:r>
      <w:r>
        <w:rPr>
          <w:spacing w:val="2"/>
          <w:w w:val="105"/>
          <w:sz w:val="13"/>
        </w:rPr>
        <w:t>Victoria); </w:t>
      </w:r>
      <w:r>
        <w:rPr>
          <w:w w:val="105"/>
          <w:sz w:val="13"/>
        </w:rPr>
        <w:t>33 (State Trustees</w:t>
      </w:r>
      <w:r>
        <w:rPr>
          <w:spacing w:val="2"/>
          <w:w w:val="105"/>
          <w:sz w:val="13"/>
        </w:rPr>
        <w:t> </w:t>
      </w:r>
      <w:r>
        <w:rPr>
          <w:w w:val="105"/>
          <w:sz w:val="13"/>
        </w:rPr>
        <w:t>Limited).</w:t>
      </w:r>
    </w:p>
    <w:p>
      <w:pPr>
        <w:pStyle w:val="ListParagraph"/>
        <w:numPr>
          <w:ilvl w:val="0"/>
          <w:numId w:val="136"/>
        </w:numPr>
        <w:tabs>
          <w:tab w:pos="2381" w:val="left" w:leader="none"/>
          <w:tab w:pos="2382" w:val="left" w:leader="none"/>
        </w:tabs>
        <w:spacing w:line="240" w:lineRule="auto" w:before="1" w:after="0"/>
        <w:ind w:left="2381" w:right="0" w:hanging="794"/>
        <w:jc w:val="left"/>
        <w:rPr>
          <w:sz w:val="13"/>
        </w:rPr>
      </w:pPr>
      <w:r>
        <w:rPr>
          <w:w w:val="105"/>
          <w:sz w:val="13"/>
        </w:rPr>
        <w:t>Submission </w:t>
      </w:r>
      <w:r>
        <w:rPr>
          <w:spacing w:val="-3"/>
          <w:w w:val="105"/>
          <w:sz w:val="13"/>
        </w:rPr>
        <w:t>14 </w:t>
      </w:r>
      <w:r>
        <w:rPr>
          <w:w w:val="105"/>
          <w:sz w:val="13"/>
        </w:rPr>
        <w:t>(Commercial Bar</w:t>
      </w:r>
      <w:r>
        <w:rPr>
          <w:spacing w:val="21"/>
          <w:w w:val="105"/>
          <w:sz w:val="13"/>
        </w:rPr>
        <w:t> </w:t>
      </w:r>
      <w:r>
        <w:rPr>
          <w:spacing w:val="2"/>
          <w:w w:val="105"/>
          <w:sz w:val="13"/>
        </w:rPr>
        <w:t>Association).</w:t>
      </w:r>
    </w:p>
    <w:p>
      <w:pPr>
        <w:pStyle w:val="BodyText"/>
        <w:rPr>
          <w:sz w:val="28"/>
        </w:rPr>
      </w:pPr>
      <w:r>
        <w:rPr/>
        <w:br w:type="column"/>
      </w:r>
      <w:r>
        <w:rPr>
          <w:sz w:val="28"/>
        </w:rPr>
      </w:r>
    </w:p>
    <w:p>
      <w:pPr>
        <w:pStyle w:val="BodyText"/>
        <w:rPr>
          <w:sz w:val="28"/>
        </w:rPr>
      </w:pPr>
    </w:p>
    <w:p>
      <w:pPr>
        <w:spacing w:before="220"/>
        <w:ind w:left="1587" w:right="0" w:firstLine="0"/>
        <w:jc w:val="left"/>
        <w:rPr>
          <w:b/>
          <w:sz w:val="24"/>
        </w:rPr>
      </w:pPr>
      <w:r>
        <w:rPr>
          <w:b/>
          <w:color w:val="EC5A4F"/>
          <w:w w:val="110"/>
          <w:sz w:val="24"/>
        </w:rPr>
        <w:t>185</w:t>
      </w:r>
    </w:p>
    <w:p>
      <w:pPr>
        <w:spacing w:after="0"/>
        <w:jc w:val="left"/>
        <w:rPr>
          <w:sz w:val="24"/>
        </w:rPr>
        <w:sectPr>
          <w:type w:val="continuous"/>
          <w:pgSz w:w="11910" w:h="16840"/>
          <w:pgMar w:top="920" w:bottom="280" w:left="0" w:right="0"/>
          <w:cols w:num="2" w:equalWidth="0">
            <w:col w:w="8876" w:space="451"/>
            <w:col w:w="2583"/>
          </w:cols>
        </w:sectPr>
      </w:pPr>
    </w:p>
    <w:p>
      <w:pPr>
        <w:pStyle w:val="BodyText"/>
        <w:spacing w:before="9"/>
        <w:rPr>
          <w:b/>
          <w:sz w:val="22"/>
        </w:rPr>
      </w:pPr>
    </w:p>
    <w:p>
      <w:pPr>
        <w:pStyle w:val="ListParagraph"/>
        <w:numPr>
          <w:ilvl w:val="1"/>
          <w:numId w:val="22"/>
        </w:numPr>
        <w:tabs>
          <w:tab w:pos="2380" w:val="left" w:leader="none"/>
          <w:tab w:pos="2381" w:val="left" w:leader="none"/>
        </w:tabs>
        <w:spacing w:line="240" w:lineRule="auto" w:before="92" w:after="0"/>
        <w:ind w:left="2381" w:right="0" w:hanging="794"/>
        <w:jc w:val="left"/>
        <w:rPr>
          <w:sz w:val="12"/>
        </w:rPr>
      </w:pPr>
      <w:r>
        <w:rPr>
          <w:w w:val="105"/>
          <w:sz w:val="21"/>
        </w:rPr>
        <w:t>The </w:t>
      </w:r>
      <w:r>
        <w:rPr>
          <w:spacing w:val="-3"/>
          <w:w w:val="105"/>
          <w:sz w:val="21"/>
        </w:rPr>
        <w:t>National Committee proffered </w:t>
      </w:r>
      <w:r>
        <w:rPr>
          <w:w w:val="105"/>
          <w:sz w:val="21"/>
        </w:rPr>
        <w:t>the </w:t>
      </w:r>
      <w:r>
        <w:rPr>
          <w:spacing w:val="-3"/>
          <w:w w:val="105"/>
          <w:sz w:val="21"/>
        </w:rPr>
        <w:t>following</w:t>
      </w:r>
      <w:r>
        <w:rPr>
          <w:spacing w:val="12"/>
          <w:w w:val="105"/>
          <w:sz w:val="21"/>
        </w:rPr>
        <w:t> </w:t>
      </w:r>
      <w:r>
        <w:rPr>
          <w:w w:val="105"/>
          <w:sz w:val="21"/>
        </w:rPr>
        <w:t>list: </w:t>
      </w:r>
      <w:r>
        <w:rPr>
          <w:spacing w:val="-6"/>
          <w:w w:val="105"/>
          <w:position w:val="7"/>
          <w:sz w:val="12"/>
        </w:rPr>
        <w:t>74</w:t>
      </w:r>
    </w:p>
    <w:p>
      <w:pPr>
        <w:spacing w:before="133"/>
        <w:ind w:left="2721" w:right="0" w:firstLine="0"/>
        <w:jc w:val="left"/>
        <w:rPr>
          <w:sz w:val="20"/>
        </w:rPr>
      </w:pPr>
      <w:r>
        <w:rPr>
          <w:w w:val="105"/>
          <w:sz w:val="20"/>
        </w:rPr>
        <w:t>Application of bankruptcy rules</w:t>
      </w:r>
    </w:p>
    <w:p>
      <w:pPr>
        <w:pStyle w:val="ListParagraph"/>
        <w:numPr>
          <w:ilvl w:val="0"/>
          <w:numId w:val="138"/>
        </w:numPr>
        <w:tabs>
          <w:tab w:pos="3028" w:val="left" w:leader="none"/>
        </w:tabs>
        <w:spacing w:line="254" w:lineRule="auto" w:before="136" w:after="0"/>
        <w:ind w:left="3027" w:right="2041" w:hanging="306"/>
        <w:jc w:val="left"/>
        <w:rPr>
          <w:sz w:val="20"/>
        </w:rPr>
      </w:pPr>
      <w:r>
        <w:rPr>
          <w:w w:val="105"/>
          <w:sz w:val="20"/>
        </w:rPr>
        <w:t>The</w:t>
      </w:r>
      <w:r>
        <w:rPr>
          <w:spacing w:val="-7"/>
          <w:w w:val="105"/>
          <w:sz w:val="20"/>
        </w:rPr>
        <w:t> </w:t>
      </w:r>
      <w:r>
        <w:rPr>
          <w:w w:val="105"/>
          <w:sz w:val="20"/>
        </w:rPr>
        <w:t>bankruptcy</w:t>
      </w:r>
      <w:r>
        <w:rPr>
          <w:spacing w:val="-6"/>
          <w:w w:val="105"/>
          <w:sz w:val="20"/>
        </w:rPr>
        <w:t> </w:t>
      </w:r>
      <w:r>
        <w:rPr>
          <w:w w:val="105"/>
          <w:sz w:val="20"/>
        </w:rPr>
        <w:t>rules</w:t>
      </w:r>
      <w:r>
        <w:rPr>
          <w:spacing w:val="-7"/>
          <w:w w:val="105"/>
          <w:sz w:val="20"/>
        </w:rPr>
        <w:t> </w:t>
      </w:r>
      <w:r>
        <w:rPr>
          <w:w w:val="105"/>
          <w:sz w:val="20"/>
        </w:rPr>
        <w:t>as</w:t>
      </w:r>
      <w:r>
        <w:rPr>
          <w:spacing w:val="-6"/>
          <w:w w:val="105"/>
          <w:sz w:val="20"/>
        </w:rPr>
        <w:t> </w:t>
      </w:r>
      <w:r>
        <w:rPr>
          <w:w w:val="105"/>
          <w:sz w:val="20"/>
        </w:rPr>
        <w:t>in</w:t>
      </w:r>
      <w:r>
        <w:rPr>
          <w:spacing w:val="-6"/>
          <w:w w:val="105"/>
          <w:sz w:val="20"/>
        </w:rPr>
        <w:t> </w:t>
      </w:r>
      <w:r>
        <w:rPr>
          <w:spacing w:val="-3"/>
          <w:w w:val="105"/>
          <w:sz w:val="20"/>
        </w:rPr>
        <w:t>force</w:t>
      </w:r>
      <w:r>
        <w:rPr>
          <w:spacing w:val="-7"/>
          <w:w w:val="105"/>
          <w:sz w:val="20"/>
        </w:rPr>
        <w:t> </w:t>
      </w:r>
      <w:r>
        <w:rPr>
          <w:w w:val="105"/>
          <w:sz w:val="20"/>
        </w:rPr>
        <w:t>at</w:t>
      </w:r>
      <w:r>
        <w:rPr>
          <w:spacing w:val="-6"/>
          <w:w w:val="105"/>
          <w:sz w:val="20"/>
        </w:rPr>
        <w:t> </w:t>
      </w:r>
      <w:r>
        <w:rPr>
          <w:w w:val="105"/>
          <w:sz w:val="20"/>
        </w:rPr>
        <w:t>the</w:t>
      </w:r>
      <w:r>
        <w:rPr>
          <w:spacing w:val="-6"/>
          <w:w w:val="105"/>
          <w:sz w:val="20"/>
        </w:rPr>
        <w:t> </w:t>
      </w:r>
      <w:r>
        <w:rPr>
          <w:w w:val="105"/>
          <w:sz w:val="20"/>
        </w:rPr>
        <w:t>date</w:t>
      </w:r>
      <w:r>
        <w:rPr>
          <w:spacing w:val="-7"/>
          <w:w w:val="105"/>
          <w:sz w:val="20"/>
        </w:rPr>
        <w:t> </w:t>
      </w:r>
      <w:r>
        <w:rPr>
          <w:w w:val="105"/>
          <w:sz w:val="20"/>
        </w:rPr>
        <w:t>of</w:t>
      </w:r>
      <w:r>
        <w:rPr>
          <w:spacing w:val="-6"/>
          <w:w w:val="105"/>
          <w:sz w:val="20"/>
        </w:rPr>
        <w:t> </w:t>
      </w:r>
      <w:r>
        <w:rPr>
          <w:w w:val="105"/>
          <w:sz w:val="20"/>
        </w:rPr>
        <w:t>the</w:t>
      </w:r>
      <w:r>
        <w:rPr>
          <w:spacing w:val="-6"/>
          <w:w w:val="105"/>
          <w:sz w:val="20"/>
        </w:rPr>
        <w:t> </w:t>
      </w:r>
      <w:r>
        <w:rPr>
          <w:w w:val="105"/>
          <w:sz w:val="20"/>
        </w:rPr>
        <w:t>deceased</w:t>
      </w:r>
      <w:r>
        <w:rPr>
          <w:spacing w:val="-7"/>
          <w:w w:val="105"/>
          <w:sz w:val="20"/>
        </w:rPr>
        <w:t> </w:t>
      </w:r>
      <w:r>
        <w:rPr>
          <w:spacing w:val="-3"/>
          <w:w w:val="105"/>
          <w:sz w:val="20"/>
        </w:rPr>
        <w:t>person’s</w:t>
      </w:r>
      <w:r>
        <w:rPr>
          <w:spacing w:val="-6"/>
          <w:w w:val="105"/>
          <w:sz w:val="20"/>
        </w:rPr>
        <w:t> </w:t>
      </w:r>
      <w:r>
        <w:rPr>
          <w:w w:val="105"/>
          <w:sz w:val="20"/>
        </w:rPr>
        <w:t>death</w:t>
      </w:r>
      <w:r>
        <w:rPr>
          <w:spacing w:val="-6"/>
          <w:w w:val="105"/>
          <w:sz w:val="20"/>
        </w:rPr>
        <w:t> </w:t>
      </w:r>
      <w:r>
        <w:rPr>
          <w:w w:val="105"/>
          <w:sz w:val="20"/>
        </w:rPr>
        <w:t>apply to the</w:t>
      </w:r>
      <w:r>
        <w:rPr>
          <w:spacing w:val="11"/>
          <w:w w:val="105"/>
          <w:sz w:val="20"/>
        </w:rPr>
        <w:t> </w:t>
      </w:r>
      <w:r>
        <w:rPr>
          <w:w w:val="105"/>
          <w:sz w:val="20"/>
        </w:rPr>
        <w:t>following—</w:t>
      </w:r>
    </w:p>
    <w:p>
      <w:pPr>
        <w:pStyle w:val="ListParagraph"/>
        <w:numPr>
          <w:ilvl w:val="1"/>
          <w:numId w:val="138"/>
        </w:numPr>
        <w:tabs>
          <w:tab w:pos="3330" w:val="left" w:leader="none"/>
        </w:tabs>
        <w:spacing w:line="240" w:lineRule="auto" w:before="122" w:after="0"/>
        <w:ind w:left="3329" w:right="0" w:hanging="268"/>
        <w:jc w:val="left"/>
        <w:rPr>
          <w:sz w:val="20"/>
        </w:rPr>
      </w:pPr>
      <w:r>
        <w:rPr>
          <w:w w:val="105"/>
          <w:sz w:val="20"/>
        </w:rPr>
        <w:t>the rights of secured and unsecured creditors against the deceased’s</w:t>
      </w:r>
      <w:r>
        <w:rPr>
          <w:spacing w:val="16"/>
          <w:w w:val="105"/>
          <w:sz w:val="20"/>
        </w:rPr>
        <w:t> </w:t>
      </w:r>
      <w:r>
        <w:rPr>
          <w:w w:val="105"/>
          <w:sz w:val="20"/>
        </w:rPr>
        <w:t>estate;</w:t>
      </w:r>
    </w:p>
    <w:p>
      <w:pPr>
        <w:pStyle w:val="ListParagraph"/>
        <w:numPr>
          <w:ilvl w:val="1"/>
          <w:numId w:val="138"/>
        </w:numPr>
        <w:tabs>
          <w:tab w:pos="3343" w:val="left" w:leader="none"/>
        </w:tabs>
        <w:spacing w:line="240" w:lineRule="auto" w:before="136" w:after="0"/>
        <w:ind w:left="3342" w:right="0" w:hanging="281"/>
        <w:jc w:val="left"/>
        <w:rPr>
          <w:sz w:val="20"/>
        </w:rPr>
      </w:pPr>
      <w:r>
        <w:rPr>
          <w:sz w:val="20"/>
        </w:rPr>
        <w:t>the</w:t>
      </w:r>
      <w:r>
        <w:rPr>
          <w:spacing w:val="8"/>
          <w:sz w:val="20"/>
        </w:rPr>
        <w:t> </w:t>
      </w:r>
      <w:r>
        <w:rPr>
          <w:sz w:val="20"/>
        </w:rPr>
        <w:t>debts</w:t>
      </w:r>
      <w:r>
        <w:rPr>
          <w:spacing w:val="9"/>
          <w:sz w:val="20"/>
        </w:rPr>
        <w:t> </w:t>
      </w:r>
      <w:r>
        <w:rPr>
          <w:sz w:val="20"/>
        </w:rPr>
        <w:t>and</w:t>
      </w:r>
      <w:r>
        <w:rPr>
          <w:spacing w:val="8"/>
          <w:sz w:val="20"/>
        </w:rPr>
        <w:t> </w:t>
      </w:r>
      <w:r>
        <w:rPr>
          <w:sz w:val="20"/>
        </w:rPr>
        <w:t>liabilities</w:t>
      </w:r>
      <w:r>
        <w:rPr>
          <w:spacing w:val="9"/>
          <w:sz w:val="20"/>
        </w:rPr>
        <w:t> </w:t>
      </w:r>
      <w:r>
        <w:rPr>
          <w:sz w:val="20"/>
        </w:rPr>
        <w:t>provable</w:t>
      </w:r>
      <w:r>
        <w:rPr>
          <w:spacing w:val="8"/>
          <w:sz w:val="20"/>
        </w:rPr>
        <w:t> </w:t>
      </w:r>
      <w:r>
        <w:rPr>
          <w:sz w:val="20"/>
        </w:rPr>
        <w:t>against</w:t>
      </w:r>
      <w:r>
        <w:rPr>
          <w:spacing w:val="9"/>
          <w:sz w:val="20"/>
        </w:rPr>
        <w:t> </w:t>
      </w:r>
      <w:r>
        <w:rPr>
          <w:sz w:val="20"/>
        </w:rPr>
        <w:t>the</w:t>
      </w:r>
      <w:r>
        <w:rPr>
          <w:spacing w:val="8"/>
          <w:sz w:val="20"/>
        </w:rPr>
        <w:t> </w:t>
      </w:r>
      <w:r>
        <w:rPr>
          <w:sz w:val="20"/>
        </w:rPr>
        <w:t>deceased’s</w:t>
      </w:r>
      <w:r>
        <w:rPr>
          <w:spacing w:val="9"/>
          <w:sz w:val="20"/>
        </w:rPr>
        <w:t> </w:t>
      </w:r>
      <w:r>
        <w:rPr>
          <w:sz w:val="20"/>
        </w:rPr>
        <w:t>estate;</w:t>
      </w:r>
    </w:p>
    <w:p>
      <w:pPr>
        <w:pStyle w:val="ListParagraph"/>
        <w:numPr>
          <w:ilvl w:val="1"/>
          <w:numId w:val="138"/>
        </w:numPr>
        <w:tabs>
          <w:tab w:pos="3316" w:val="left" w:leader="none"/>
        </w:tabs>
        <w:spacing w:line="254" w:lineRule="auto" w:before="136" w:after="0"/>
        <w:ind w:left="3315" w:right="1911" w:hanging="254"/>
        <w:jc w:val="left"/>
        <w:rPr>
          <w:sz w:val="20"/>
        </w:rPr>
      </w:pPr>
      <w:r>
        <w:rPr>
          <w:w w:val="105"/>
          <w:sz w:val="20"/>
        </w:rPr>
        <w:t>the</w:t>
      </w:r>
      <w:r>
        <w:rPr>
          <w:spacing w:val="-9"/>
          <w:w w:val="105"/>
          <w:sz w:val="20"/>
        </w:rPr>
        <w:t> </w:t>
      </w:r>
      <w:r>
        <w:rPr>
          <w:spacing w:val="-2"/>
          <w:w w:val="105"/>
          <w:sz w:val="20"/>
        </w:rPr>
        <w:t>valuation</w:t>
      </w:r>
      <w:r>
        <w:rPr>
          <w:spacing w:val="-9"/>
          <w:w w:val="105"/>
          <w:sz w:val="20"/>
        </w:rPr>
        <w:t> </w:t>
      </w:r>
      <w:r>
        <w:rPr>
          <w:w w:val="105"/>
          <w:sz w:val="20"/>
        </w:rPr>
        <w:t>of</w:t>
      </w:r>
      <w:r>
        <w:rPr>
          <w:spacing w:val="-8"/>
          <w:w w:val="105"/>
          <w:sz w:val="20"/>
        </w:rPr>
        <w:t> </w:t>
      </w:r>
      <w:r>
        <w:rPr>
          <w:w w:val="105"/>
          <w:sz w:val="20"/>
        </w:rPr>
        <w:t>annuities</w:t>
      </w:r>
      <w:r>
        <w:rPr>
          <w:spacing w:val="-9"/>
          <w:w w:val="105"/>
          <w:sz w:val="20"/>
        </w:rPr>
        <w:t> </w:t>
      </w:r>
      <w:r>
        <w:rPr>
          <w:w w:val="105"/>
          <w:sz w:val="20"/>
        </w:rPr>
        <w:t>and</w:t>
      </w:r>
      <w:r>
        <w:rPr>
          <w:spacing w:val="-9"/>
          <w:w w:val="105"/>
          <w:sz w:val="20"/>
        </w:rPr>
        <w:t> </w:t>
      </w:r>
      <w:r>
        <w:rPr>
          <w:spacing w:val="-3"/>
          <w:w w:val="105"/>
          <w:sz w:val="20"/>
        </w:rPr>
        <w:t>future</w:t>
      </w:r>
      <w:r>
        <w:rPr>
          <w:spacing w:val="-8"/>
          <w:w w:val="105"/>
          <w:sz w:val="20"/>
        </w:rPr>
        <w:t> </w:t>
      </w:r>
      <w:r>
        <w:rPr>
          <w:w w:val="105"/>
          <w:sz w:val="20"/>
        </w:rPr>
        <w:t>and</w:t>
      </w:r>
      <w:r>
        <w:rPr>
          <w:spacing w:val="-9"/>
          <w:w w:val="105"/>
          <w:sz w:val="20"/>
        </w:rPr>
        <w:t> </w:t>
      </w:r>
      <w:r>
        <w:rPr>
          <w:spacing w:val="-3"/>
          <w:w w:val="105"/>
          <w:sz w:val="20"/>
        </w:rPr>
        <w:t>contingent</w:t>
      </w:r>
      <w:r>
        <w:rPr>
          <w:spacing w:val="-9"/>
          <w:w w:val="105"/>
          <w:sz w:val="20"/>
        </w:rPr>
        <w:t> </w:t>
      </w:r>
      <w:r>
        <w:rPr>
          <w:w w:val="105"/>
          <w:sz w:val="20"/>
        </w:rPr>
        <w:t>liabilities</w:t>
      </w:r>
      <w:r>
        <w:rPr>
          <w:spacing w:val="-8"/>
          <w:w w:val="105"/>
          <w:sz w:val="20"/>
        </w:rPr>
        <w:t> </w:t>
      </w:r>
      <w:r>
        <w:rPr>
          <w:w w:val="105"/>
          <w:sz w:val="20"/>
        </w:rPr>
        <w:t>of</w:t>
      </w:r>
      <w:r>
        <w:rPr>
          <w:spacing w:val="-9"/>
          <w:w w:val="105"/>
          <w:sz w:val="20"/>
        </w:rPr>
        <w:t> </w:t>
      </w:r>
      <w:r>
        <w:rPr>
          <w:w w:val="105"/>
          <w:sz w:val="20"/>
        </w:rPr>
        <w:t>the</w:t>
      </w:r>
      <w:r>
        <w:rPr>
          <w:spacing w:val="-9"/>
          <w:w w:val="105"/>
          <w:sz w:val="20"/>
        </w:rPr>
        <w:t> </w:t>
      </w:r>
      <w:r>
        <w:rPr>
          <w:w w:val="105"/>
          <w:sz w:val="20"/>
        </w:rPr>
        <w:t>deceased’s estate;</w:t>
      </w:r>
    </w:p>
    <w:p>
      <w:pPr>
        <w:pStyle w:val="ListParagraph"/>
        <w:numPr>
          <w:ilvl w:val="1"/>
          <w:numId w:val="138"/>
        </w:numPr>
        <w:tabs>
          <w:tab w:pos="3343" w:val="left" w:leader="none"/>
        </w:tabs>
        <w:spacing w:line="240" w:lineRule="auto" w:before="122" w:after="0"/>
        <w:ind w:left="3342" w:right="0" w:hanging="281"/>
        <w:jc w:val="left"/>
        <w:rPr>
          <w:sz w:val="20"/>
        </w:rPr>
      </w:pPr>
      <w:r>
        <w:rPr>
          <w:w w:val="105"/>
          <w:sz w:val="20"/>
        </w:rPr>
        <w:t>the priorities of debts and liabilities of the deceased’s</w:t>
      </w:r>
      <w:r>
        <w:rPr>
          <w:spacing w:val="26"/>
          <w:w w:val="105"/>
          <w:sz w:val="20"/>
        </w:rPr>
        <w:t> </w:t>
      </w:r>
      <w:r>
        <w:rPr>
          <w:w w:val="105"/>
          <w:sz w:val="20"/>
        </w:rPr>
        <w:t>estate.</w:t>
      </w:r>
    </w:p>
    <w:p>
      <w:pPr>
        <w:pStyle w:val="BodyText"/>
        <w:spacing w:before="5"/>
        <w:rPr>
          <w:sz w:val="18"/>
        </w:rPr>
      </w:pPr>
      <w:r>
        <w:rPr/>
        <w:pict>
          <v:group style="position:absolute;margin-left:62.362202pt;margin-top:13.202946pt;width:479.1pt;height:224.55pt;mso-position-horizontal-relative:page;mso-position-vertical-relative:paragraph;z-index:11096;mso-wrap-distance-left:0;mso-wrap-distance-right:0" coordorigin="1247,264" coordsize="9582,4491">
            <v:rect style="position:absolute;left:1587;top:264;width:8731;height:4491" filled="true" fillcolor="#fdebea" stroked="false">
              <v:fill type="solid"/>
            </v:rect>
            <v:line style="position:absolute" from="1247,1015" to="10828,1015" stroked="true" strokeweight="2.5pt" strokecolor="#ffffff">
              <v:stroke dashstyle="solid"/>
            </v:line>
            <v:shape style="position:absolute;left:2381;top:1251;width:7546;height:3330" type="#_x0000_t202" filled="false" stroked="false">
              <v:textbox inset="0,0,0,0">
                <w:txbxContent>
                  <w:p>
                    <w:pPr>
                      <w:spacing w:line="253" w:lineRule="exact" w:before="0"/>
                      <w:ind w:left="0" w:right="0" w:firstLine="0"/>
                      <w:jc w:val="left"/>
                      <w:rPr>
                        <w:sz w:val="21"/>
                      </w:rPr>
                    </w:pPr>
                    <w:r>
                      <w:rPr>
                        <w:w w:val="105"/>
                        <w:sz w:val="21"/>
                      </w:rPr>
                      <w:t>The </w:t>
                    </w:r>
                    <w:r>
                      <w:rPr>
                        <w:rFonts w:ascii="Lucida Sans"/>
                        <w:i/>
                        <w:w w:val="105"/>
                        <w:sz w:val="21"/>
                      </w:rPr>
                      <w:t>Administration and Probate Act 1958 </w:t>
                    </w:r>
                    <w:r>
                      <w:rPr>
                        <w:w w:val="105"/>
                        <w:sz w:val="21"/>
                      </w:rPr>
                      <w:t>(Vic) should be amended to:</w:t>
                    </w:r>
                  </w:p>
                  <w:p>
                    <w:pPr>
                      <w:numPr>
                        <w:ilvl w:val="0"/>
                        <w:numId w:val="139"/>
                      </w:numPr>
                      <w:tabs>
                        <w:tab w:pos="341" w:val="left" w:leader="none"/>
                      </w:tabs>
                      <w:spacing w:line="242" w:lineRule="auto" w:before="123"/>
                      <w:ind w:left="340" w:right="130" w:hanging="340"/>
                      <w:jc w:val="left"/>
                      <w:rPr>
                        <w:sz w:val="21"/>
                      </w:rPr>
                    </w:pPr>
                    <w:r>
                      <w:rPr>
                        <w:w w:val="115"/>
                        <w:sz w:val="21"/>
                      </w:rPr>
                      <w:t>repeal</w:t>
                    </w:r>
                    <w:r>
                      <w:rPr>
                        <w:spacing w:val="-9"/>
                        <w:w w:val="115"/>
                        <w:sz w:val="21"/>
                      </w:rPr>
                      <w:t> </w:t>
                    </w:r>
                    <w:r>
                      <w:rPr>
                        <w:w w:val="115"/>
                        <w:sz w:val="21"/>
                      </w:rPr>
                      <w:t>Part</w:t>
                    </w:r>
                    <w:r>
                      <w:rPr>
                        <w:spacing w:val="-8"/>
                        <w:w w:val="115"/>
                        <w:sz w:val="21"/>
                      </w:rPr>
                      <w:t> </w:t>
                    </w:r>
                    <w:r>
                      <w:rPr>
                        <w:w w:val="115"/>
                        <w:sz w:val="21"/>
                      </w:rPr>
                      <w:t>I</w:t>
                    </w:r>
                    <w:r>
                      <w:rPr>
                        <w:spacing w:val="-9"/>
                        <w:w w:val="115"/>
                        <w:sz w:val="21"/>
                      </w:rPr>
                      <w:t> </w:t>
                    </w:r>
                    <w:r>
                      <w:rPr>
                        <w:w w:val="115"/>
                        <w:sz w:val="21"/>
                      </w:rPr>
                      <w:t>of</w:t>
                    </w:r>
                    <w:r>
                      <w:rPr>
                        <w:spacing w:val="-8"/>
                        <w:w w:val="115"/>
                        <w:sz w:val="21"/>
                      </w:rPr>
                      <w:t> </w:t>
                    </w:r>
                    <w:r>
                      <w:rPr>
                        <w:w w:val="115"/>
                        <w:sz w:val="21"/>
                      </w:rPr>
                      <w:t>the</w:t>
                    </w:r>
                    <w:r>
                      <w:rPr>
                        <w:spacing w:val="-9"/>
                        <w:w w:val="115"/>
                        <w:sz w:val="21"/>
                      </w:rPr>
                      <w:t> </w:t>
                    </w:r>
                    <w:r>
                      <w:rPr>
                        <w:w w:val="115"/>
                        <w:sz w:val="21"/>
                      </w:rPr>
                      <w:t>Second</w:t>
                    </w:r>
                    <w:r>
                      <w:rPr>
                        <w:spacing w:val="-8"/>
                        <w:w w:val="115"/>
                        <w:sz w:val="21"/>
                      </w:rPr>
                      <w:t> </w:t>
                    </w:r>
                    <w:r>
                      <w:rPr>
                        <w:w w:val="115"/>
                        <w:sz w:val="21"/>
                      </w:rPr>
                      <w:t>Schedule</w:t>
                    </w:r>
                    <w:r>
                      <w:rPr>
                        <w:spacing w:val="-8"/>
                        <w:w w:val="115"/>
                        <w:sz w:val="21"/>
                      </w:rPr>
                      <w:t> </w:t>
                    </w:r>
                    <w:r>
                      <w:rPr>
                        <w:w w:val="115"/>
                        <w:sz w:val="21"/>
                      </w:rPr>
                      <w:t>(rules</w:t>
                    </w:r>
                    <w:r>
                      <w:rPr>
                        <w:spacing w:val="-9"/>
                        <w:w w:val="115"/>
                        <w:sz w:val="21"/>
                      </w:rPr>
                      <w:t> </w:t>
                    </w:r>
                    <w:r>
                      <w:rPr>
                        <w:w w:val="115"/>
                        <w:sz w:val="21"/>
                      </w:rPr>
                      <w:t>as</w:t>
                    </w:r>
                    <w:r>
                      <w:rPr>
                        <w:spacing w:val="-8"/>
                        <w:w w:val="115"/>
                        <w:sz w:val="21"/>
                      </w:rPr>
                      <w:t> </w:t>
                    </w:r>
                    <w:r>
                      <w:rPr>
                        <w:w w:val="115"/>
                        <w:sz w:val="21"/>
                      </w:rPr>
                      <w:t>to</w:t>
                    </w:r>
                    <w:r>
                      <w:rPr>
                        <w:spacing w:val="-9"/>
                        <w:w w:val="115"/>
                        <w:sz w:val="21"/>
                      </w:rPr>
                      <w:t> </w:t>
                    </w:r>
                    <w:r>
                      <w:rPr>
                        <w:w w:val="115"/>
                        <w:sz w:val="21"/>
                      </w:rPr>
                      <w:t>payment</w:t>
                    </w:r>
                    <w:r>
                      <w:rPr>
                        <w:spacing w:val="-8"/>
                        <w:w w:val="115"/>
                        <w:sz w:val="21"/>
                      </w:rPr>
                      <w:t> </w:t>
                    </w:r>
                    <w:r>
                      <w:rPr>
                        <w:w w:val="115"/>
                        <w:sz w:val="21"/>
                      </w:rPr>
                      <w:t>of</w:t>
                    </w:r>
                    <w:r>
                      <w:rPr>
                        <w:spacing w:val="-9"/>
                        <w:w w:val="115"/>
                        <w:sz w:val="21"/>
                      </w:rPr>
                      <w:t> </w:t>
                    </w:r>
                    <w:r>
                      <w:rPr>
                        <w:w w:val="115"/>
                        <w:sz w:val="21"/>
                      </w:rPr>
                      <w:t>debts</w:t>
                    </w:r>
                    <w:r>
                      <w:rPr>
                        <w:spacing w:val="-8"/>
                        <w:w w:val="115"/>
                        <w:sz w:val="21"/>
                      </w:rPr>
                      <w:t> </w:t>
                    </w:r>
                    <w:r>
                      <w:rPr>
                        <w:w w:val="115"/>
                        <w:sz w:val="21"/>
                      </w:rPr>
                      <w:t>where the estate is not solvent)</w:t>
                    </w:r>
                  </w:p>
                  <w:p>
                    <w:pPr>
                      <w:numPr>
                        <w:ilvl w:val="0"/>
                        <w:numId w:val="139"/>
                      </w:numPr>
                      <w:tabs>
                        <w:tab w:pos="341" w:val="left" w:leader="none"/>
                      </w:tabs>
                      <w:spacing w:before="120"/>
                      <w:ind w:left="340" w:right="18" w:hanging="340"/>
                      <w:jc w:val="left"/>
                      <w:rPr>
                        <w:sz w:val="21"/>
                      </w:rPr>
                    </w:pPr>
                    <w:r>
                      <w:rPr>
                        <w:w w:val="105"/>
                        <w:sz w:val="21"/>
                      </w:rPr>
                      <w:t>provide in section 39(1) that the provisions of the </w:t>
                    </w:r>
                    <w:r>
                      <w:rPr>
                        <w:i/>
                        <w:w w:val="105"/>
                        <w:sz w:val="21"/>
                      </w:rPr>
                      <w:t>A</w:t>
                    </w:r>
                    <w:r>
                      <w:rPr>
                        <w:rFonts w:ascii="Lucida Sans"/>
                        <w:i/>
                        <w:w w:val="105"/>
                        <w:sz w:val="21"/>
                      </w:rPr>
                      <w:t>dministration and </w:t>
                    </w:r>
                    <w:r>
                      <w:rPr>
                        <w:rFonts w:ascii="Lucida Sans"/>
                        <w:i/>
                        <w:w w:val="105"/>
                        <w:sz w:val="21"/>
                      </w:rPr>
                      <w:t>Probate Act </w:t>
                    </w:r>
                    <w:r>
                      <w:rPr>
                        <w:rFonts w:ascii="Lucida Sans"/>
                        <w:i/>
                        <w:spacing w:val="-4"/>
                        <w:w w:val="105"/>
                        <w:sz w:val="21"/>
                      </w:rPr>
                      <w:t>1958 </w:t>
                    </w:r>
                    <w:r>
                      <w:rPr>
                        <w:w w:val="105"/>
                        <w:sz w:val="21"/>
                      </w:rPr>
                      <w:t>(Vic) </w:t>
                    </w:r>
                    <w:r>
                      <w:rPr>
                        <w:spacing w:val="-3"/>
                        <w:w w:val="105"/>
                        <w:sz w:val="21"/>
                      </w:rPr>
                      <w:t>will </w:t>
                    </w:r>
                    <w:r>
                      <w:rPr>
                        <w:w w:val="105"/>
                        <w:sz w:val="21"/>
                      </w:rPr>
                      <w:t>only apply where an insolvent estate  is  not being administered under the provisions of the </w:t>
                    </w:r>
                    <w:r>
                      <w:rPr>
                        <w:rFonts w:ascii="Lucida Sans"/>
                        <w:i/>
                        <w:w w:val="105"/>
                        <w:sz w:val="21"/>
                      </w:rPr>
                      <w:t>Bankruptcy Act</w:t>
                    </w:r>
                    <w:r>
                      <w:rPr>
                        <w:rFonts w:ascii="Lucida Sans"/>
                        <w:i/>
                        <w:spacing w:val="46"/>
                        <w:w w:val="105"/>
                        <w:sz w:val="21"/>
                      </w:rPr>
                      <w:t> </w:t>
                    </w:r>
                    <w:r>
                      <w:rPr>
                        <w:rFonts w:ascii="Lucida Sans"/>
                        <w:i/>
                        <w:spacing w:val="-3"/>
                        <w:w w:val="105"/>
                        <w:sz w:val="21"/>
                      </w:rPr>
                      <w:t>1966 </w:t>
                    </w:r>
                    <w:r>
                      <w:rPr>
                        <w:w w:val="105"/>
                        <w:sz w:val="21"/>
                      </w:rPr>
                      <w:t>(Cth)</w:t>
                    </w:r>
                  </w:p>
                  <w:p>
                    <w:pPr>
                      <w:numPr>
                        <w:ilvl w:val="0"/>
                        <w:numId w:val="139"/>
                      </w:numPr>
                      <w:tabs>
                        <w:tab w:pos="341" w:val="left" w:leader="none"/>
                      </w:tabs>
                      <w:spacing w:line="242" w:lineRule="auto" w:before="124"/>
                      <w:ind w:left="340" w:right="330" w:hanging="340"/>
                      <w:jc w:val="left"/>
                      <w:rPr>
                        <w:sz w:val="21"/>
                      </w:rPr>
                    </w:pPr>
                    <w:r>
                      <w:rPr>
                        <w:w w:val="115"/>
                        <w:sz w:val="21"/>
                      </w:rPr>
                      <w:t>provide</w:t>
                    </w:r>
                    <w:r>
                      <w:rPr>
                        <w:spacing w:val="-9"/>
                        <w:w w:val="115"/>
                        <w:sz w:val="21"/>
                      </w:rPr>
                      <w:t> </w:t>
                    </w:r>
                    <w:r>
                      <w:rPr>
                        <w:w w:val="115"/>
                        <w:sz w:val="21"/>
                      </w:rPr>
                      <w:t>in</w:t>
                    </w:r>
                    <w:r>
                      <w:rPr>
                        <w:spacing w:val="-9"/>
                        <w:w w:val="115"/>
                        <w:sz w:val="21"/>
                      </w:rPr>
                      <w:t> </w:t>
                    </w:r>
                    <w:r>
                      <w:rPr>
                        <w:w w:val="115"/>
                        <w:sz w:val="21"/>
                      </w:rPr>
                      <w:t>section</w:t>
                    </w:r>
                    <w:r>
                      <w:rPr>
                        <w:spacing w:val="-8"/>
                        <w:w w:val="115"/>
                        <w:sz w:val="21"/>
                      </w:rPr>
                      <w:t> </w:t>
                    </w:r>
                    <w:r>
                      <w:rPr>
                        <w:w w:val="115"/>
                        <w:sz w:val="21"/>
                      </w:rPr>
                      <w:t>39(1)</w:t>
                    </w:r>
                    <w:r>
                      <w:rPr>
                        <w:spacing w:val="-9"/>
                        <w:w w:val="115"/>
                        <w:sz w:val="21"/>
                      </w:rPr>
                      <w:t> </w:t>
                    </w:r>
                    <w:r>
                      <w:rPr>
                        <w:w w:val="115"/>
                        <w:sz w:val="21"/>
                      </w:rPr>
                      <w:t>that</w:t>
                    </w:r>
                    <w:r>
                      <w:rPr>
                        <w:spacing w:val="-8"/>
                        <w:w w:val="115"/>
                        <w:sz w:val="21"/>
                      </w:rPr>
                      <w:t> </w:t>
                    </w:r>
                    <w:r>
                      <w:rPr>
                        <w:w w:val="115"/>
                        <w:sz w:val="21"/>
                      </w:rPr>
                      <w:t>the</w:t>
                    </w:r>
                    <w:r>
                      <w:rPr>
                        <w:spacing w:val="-9"/>
                        <w:w w:val="115"/>
                        <w:sz w:val="21"/>
                      </w:rPr>
                      <w:t> </w:t>
                    </w:r>
                    <w:r>
                      <w:rPr>
                        <w:spacing w:val="-3"/>
                        <w:w w:val="115"/>
                        <w:sz w:val="21"/>
                      </w:rPr>
                      <w:t>relevant</w:t>
                    </w:r>
                    <w:r>
                      <w:rPr>
                        <w:spacing w:val="-8"/>
                        <w:w w:val="115"/>
                        <w:sz w:val="21"/>
                      </w:rPr>
                      <w:t> </w:t>
                    </w:r>
                    <w:r>
                      <w:rPr>
                        <w:w w:val="115"/>
                        <w:sz w:val="21"/>
                      </w:rPr>
                      <w:t>rules</w:t>
                    </w:r>
                    <w:r>
                      <w:rPr>
                        <w:spacing w:val="-9"/>
                        <w:w w:val="115"/>
                        <w:sz w:val="21"/>
                      </w:rPr>
                      <w:t> </w:t>
                    </w:r>
                    <w:r>
                      <w:rPr>
                        <w:w w:val="115"/>
                        <w:sz w:val="21"/>
                      </w:rPr>
                      <w:t>of</w:t>
                    </w:r>
                    <w:r>
                      <w:rPr>
                        <w:spacing w:val="-8"/>
                        <w:w w:val="115"/>
                        <w:sz w:val="21"/>
                      </w:rPr>
                      <w:t> </w:t>
                    </w:r>
                    <w:r>
                      <w:rPr>
                        <w:w w:val="115"/>
                        <w:sz w:val="21"/>
                      </w:rPr>
                      <w:t>bankruptcy</w:t>
                    </w:r>
                    <w:r>
                      <w:rPr>
                        <w:spacing w:val="-9"/>
                        <w:w w:val="115"/>
                        <w:sz w:val="21"/>
                      </w:rPr>
                      <w:t> </w:t>
                    </w:r>
                    <w:r>
                      <w:rPr>
                        <w:w w:val="115"/>
                        <w:sz w:val="21"/>
                      </w:rPr>
                      <w:t>are</w:t>
                    </w:r>
                    <w:r>
                      <w:rPr>
                        <w:spacing w:val="-9"/>
                        <w:w w:val="115"/>
                        <w:sz w:val="21"/>
                      </w:rPr>
                      <w:t> </w:t>
                    </w:r>
                    <w:r>
                      <w:rPr>
                        <w:w w:val="115"/>
                        <w:sz w:val="21"/>
                      </w:rPr>
                      <w:t>those in force at the time of</w:t>
                    </w:r>
                    <w:r>
                      <w:rPr>
                        <w:spacing w:val="3"/>
                        <w:w w:val="115"/>
                        <w:sz w:val="21"/>
                      </w:rPr>
                      <w:t> </w:t>
                    </w:r>
                    <w:r>
                      <w:rPr>
                        <w:w w:val="115"/>
                        <w:sz w:val="21"/>
                      </w:rPr>
                      <w:t>death</w:t>
                    </w:r>
                  </w:p>
                  <w:p>
                    <w:pPr>
                      <w:numPr>
                        <w:ilvl w:val="0"/>
                        <w:numId w:val="139"/>
                      </w:numPr>
                      <w:tabs>
                        <w:tab w:pos="341" w:val="left" w:leader="none"/>
                      </w:tabs>
                      <w:spacing w:before="120"/>
                      <w:ind w:left="340" w:right="0" w:hanging="340"/>
                      <w:jc w:val="left"/>
                      <w:rPr>
                        <w:rFonts w:ascii="Lucida Sans"/>
                        <w:i/>
                        <w:sz w:val="21"/>
                      </w:rPr>
                    </w:pPr>
                    <w:r>
                      <w:rPr>
                        <w:w w:val="105"/>
                        <w:sz w:val="21"/>
                      </w:rPr>
                      <w:t>provide in section 39(1) a list of the provisions of the </w:t>
                    </w:r>
                    <w:r>
                      <w:rPr>
                        <w:rFonts w:ascii="Lucida Sans"/>
                        <w:i/>
                        <w:w w:val="105"/>
                        <w:sz w:val="21"/>
                      </w:rPr>
                      <w:t>Bankruptcy Act</w:t>
                    </w:r>
                    <w:r>
                      <w:rPr>
                        <w:rFonts w:ascii="Lucida Sans"/>
                        <w:i/>
                        <w:spacing w:val="32"/>
                        <w:w w:val="105"/>
                        <w:sz w:val="21"/>
                      </w:rPr>
                      <w:t> </w:t>
                    </w:r>
                    <w:r>
                      <w:rPr>
                        <w:rFonts w:ascii="Lucida Sans"/>
                        <w:i/>
                        <w:spacing w:val="-3"/>
                        <w:w w:val="105"/>
                        <w:sz w:val="21"/>
                      </w:rPr>
                      <w:t>1966</w:t>
                    </w:r>
                  </w:p>
                  <w:p>
                    <w:pPr>
                      <w:spacing w:before="3"/>
                      <w:ind w:left="340" w:right="1012" w:firstLine="0"/>
                      <w:jc w:val="left"/>
                      <w:rPr>
                        <w:sz w:val="21"/>
                      </w:rPr>
                    </w:pPr>
                    <w:r>
                      <w:rPr>
                        <w:w w:val="105"/>
                        <w:sz w:val="21"/>
                      </w:rPr>
                      <w:t>(Cth) that </w:t>
                    </w:r>
                    <w:r>
                      <w:rPr>
                        <w:spacing w:val="-3"/>
                        <w:w w:val="105"/>
                        <w:sz w:val="21"/>
                      </w:rPr>
                      <w:t>will </w:t>
                    </w:r>
                    <w:r>
                      <w:rPr>
                        <w:w w:val="105"/>
                        <w:sz w:val="21"/>
                      </w:rPr>
                      <w:t>apply when estates  are  being  administered  under the</w:t>
                    </w:r>
                    <w:r>
                      <w:rPr>
                        <w:spacing w:val="-3"/>
                        <w:w w:val="105"/>
                        <w:sz w:val="21"/>
                      </w:rPr>
                      <w:t> </w:t>
                    </w:r>
                    <w:r>
                      <w:rPr>
                        <w:rFonts w:ascii="Lucida Sans"/>
                        <w:i/>
                        <w:w w:val="105"/>
                        <w:sz w:val="21"/>
                      </w:rPr>
                      <w:t>Administration</w:t>
                    </w:r>
                    <w:r>
                      <w:rPr>
                        <w:rFonts w:ascii="Lucida Sans"/>
                        <w:i/>
                        <w:spacing w:val="-22"/>
                        <w:w w:val="105"/>
                        <w:sz w:val="21"/>
                      </w:rPr>
                      <w:t> </w:t>
                    </w:r>
                    <w:r>
                      <w:rPr>
                        <w:rFonts w:ascii="Lucida Sans"/>
                        <w:i/>
                        <w:w w:val="105"/>
                        <w:sz w:val="21"/>
                      </w:rPr>
                      <w:t>and</w:t>
                    </w:r>
                    <w:r>
                      <w:rPr>
                        <w:rFonts w:ascii="Lucida Sans"/>
                        <w:i/>
                        <w:spacing w:val="-22"/>
                        <w:w w:val="105"/>
                        <w:sz w:val="21"/>
                      </w:rPr>
                      <w:t> </w:t>
                    </w:r>
                    <w:r>
                      <w:rPr>
                        <w:rFonts w:ascii="Lucida Sans"/>
                        <w:i/>
                        <w:w w:val="105"/>
                        <w:sz w:val="21"/>
                      </w:rPr>
                      <w:t>Probate</w:t>
                    </w:r>
                    <w:r>
                      <w:rPr>
                        <w:rFonts w:ascii="Lucida Sans"/>
                        <w:i/>
                        <w:spacing w:val="-22"/>
                        <w:w w:val="105"/>
                        <w:sz w:val="21"/>
                      </w:rPr>
                      <w:t> </w:t>
                    </w:r>
                    <w:r>
                      <w:rPr>
                        <w:rFonts w:ascii="Lucida Sans"/>
                        <w:i/>
                        <w:w w:val="105"/>
                        <w:sz w:val="21"/>
                      </w:rPr>
                      <w:t>Act</w:t>
                    </w:r>
                    <w:r>
                      <w:rPr>
                        <w:rFonts w:ascii="Lucida Sans"/>
                        <w:i/>
                        <w:spacing w:val="-23"/>
                        <w:w w:val="105"/>
                        <w:sz w:val="21"/>
                      </w:rPr>
                      <w:t> </w:t>
                    </w:r>
                    <w:r>
                      <w:rPr>
                        <w:rFonts w:ascii="Lucida Sans"/>
                        <w:i/>
                        <w:spacing w:val="-4"/>
                        <w:w w:val="105"/>
                        <w:sz w:val="21"/>
                      </w:rPr>
                      <w:t>1958</w:t>
                    </w:r>
                    <w:r>
                      <w:rPr>
                        <w:rFonts w:ascii="Lucida Sans"/>
                        <w:i/>
                        <w:spacing w:val="-22"/>
                        <w:w w:val="105"/>
                        <w:sz w:val="21"/>
                      </w:rPr>
                      <w:t> </w:t>
                    </w:r>
                    <w:r>
                      <w:rPr>
                        <w:w w:val="105"/>
                        <w:sz w:val="21"/>
                      </w:rPr>
                      <w:t>(Vic).</w:t>
                    </w:r>
                  </w:p>
                </w:txbxContent>
              </v:textbox>
              <w10:wrap type="none"/>
            </v:shape>
            <v:shape style="position:absolute;left:1814;top:1251;width:255;height:249" type="#_x0000_t202" filled="false" stroked="false">
              <v:textbox inset="0,0,0,0">
                <w:txbxContent>
                  <w:p>
                    <w:pPr>
                      <w:spacing w:line="249" w:lineRule="exact" w:before="0"/>
                      <w:ind w:left="0" w:right="0" w:firstLine="0"/>
                      <w:jc w:val="left"/>
                      <w:rPr>
                        <w:sz w:val="21"/>
                      </w:rPr>
                    </w:pPr>
                    <w:r>
                      <w:rPr>
                        <w:w w:val="110"/>
                        <w:sz w:val="21"/>
                      </w:rPr>
                      <w:t>66</w:t>
                    </w:r>
                  </w:p>
                </w:txbxContent>
              </v:textbox>
              <w10:wrap type="none"/>
            </v:shape>
            <v:shape style="position:absolute;left:1587;top:264;width:8731;height:726" type="#_x0000_t202" filled="true" fillcolor="#fdebea" stroked="false">
              <v:textbox inset="0,0,0,0">
                <w:txbxContent>
                  <w:p>
                    <w:pPr>
                      <w:spacing w:before="166"/>
                      <w:ind w:left="226" w:right="0" w:firstLine="0"/>
                      <w:jc w:val="left"/>
                      <w:rPr>
                        <w:b/>
                        <w:sz w:val="32"/>
                      </w:rPr>
                    </w:pPr>
                    <w:r>
                      <w:rPr>
                        <w:b/>
                        <w:color w:val="EC5A4F"/>
                        <w:w w:val="110"/>
                        <w:sz w:val="32"/>
                      </w:rPr>
                      <w:t>Recommendation</w:t>
                    </w:r>
                  </w:p>
                </w:txbxContent>
              </v:textbox>
              <v:fill type="solid"/>
              <w10:wrap type="none"/>
            </v:shap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4"/>
        </w:rPr>
      </w:pPr>
      <w:r>
        <w:rPr/>
        <w:pict>
          <v:line style="position:absolute;mso-position-horizontal-relative:page;mso-position-vertical-relative:paragraph;z-index:11120;mso-wrap-distance-left:0;mso-wrap-distance-right:0" from="79.370102pt,17.630850pt" to="515.905102pt,17.630850pt" stroked="true" strokeweight="1pt" strokecolor="#f9ceca">
            <v:stroke dashstyle="solid"/>
            <w10:wrap type="topAndBottom"/>
          </v:line>
        </w:pict>
      </w:r>
    </w:p>
    <w:p>
      <w:pPr>
        <w:tabs>
          <w:tab w:pos="1587" w:val="left" w:leader="none"/>
          <w:tab w:pos="2380" w:val="left" w:leader="none"/>
        </w:tabs>
        <w:spacing w:before="27"/>
        <w:ind w:left="720" w:right="0" w:firstLine="0"/>
        <w:jc w:val="left"/>
        <w:rPr>
          <w:sz w:val="13"/>
        </w:rPr>
      </w:pPr>
      <w:r>
        <w:rPr>
          <w:b/>
          <w:color w:val="EC5A4F"/>
          <w:w w:val="105"/>
          <w:sz w:val="24"/>
        </w:rPr>
        <w:t>186</w:t>
        <w:tab/>
      </w:r>
      <w:r>
        <w:rPr>
          <w:spacing w:val="-3"/>
          <w:w w:val="105"/>
          <w:position w:val="1"/>
          <w:sz w:val="13"/>
        </w:rPr>
        <w:t>74</w:t>
        <w:tab/>
      </w:r>
      <w:r>
        <w:rPr>
          <w:w w:val="105"/>
          <w:position w:val="1"/>
          <w:sz w:val="13"/>
        </w:rPr>
        <w:t>National</w:t>
      </w:r>
      <w:r>
        <w:rPr>
          <w:spacing w:val="4"/>
          <w:w w:val="105"/>
          <w:position w:val="1"/>
          <w:sz w:val="13"/>
        </w:rPr>
        <w:t> </w:t>
      </w:r>
      <w:r>
        <w:rPr>
          <w:w w:val="105"/>
          <w:position w:val="1"/>
          <w:sz w:val="13"/>
        </w:rPr>
        <w:t>Committee</w:t>
      </w:r>
      <w:r>
        <w:rPr>
          <w:spacing w:val="5"/>
          <w:w w:val="105"/>
          <w:position w:val="1"/>
          <w:sz w:val="13"/>
        </w:rPr>
        <w:t> </w:t>
      </w:r>
      <w:r>
        <w:rPr>
          <w:w w:val="105"/>
          <w:position w:val="1"/>
          <w:sz w:val="13"/>
        </w:rPr>
        <w:t>for</w:t>
      </w:r>
      <w:r>
        <w:rPr>
          <w:spacing w:val="5"/>
          <w:w w:val="105"/>
          <w:position w:val="1"/>
          <w:sz w:val="13"/>
        </w:rPr>
        <w:t> </w:t>
      </w:r>
      <w:r>
        <w:rPr>
          <w:w w:val="105"/>
          <w:position w:val="1"/>
          <w:sz w:val="13"/>
        </w:rPr>
        <w:t>Uniform</w:t>
      </w:r>
      <w:r>
        <w:rPr>
          <w:spacing w:val="5"/>
          <w:w w:val="105"/>
          <w:position w:val="1"/>
          <w:sz w:val="13"/>
        </w:rPr>
        <w:t> </w:t>
      </w:r>
      <w:r>
        <w:rPr>
          <w:w w:val="105"/>
          <w:position w:val="1"/>
          <w:sz w:val="13"/>
        </w:rPr>
        <w:t>Succession</w:t>
      </w:r>
      <w:r>
        <w:rPr>
          <w:spacing w:val="5"/>
          <w:w w:val="105"/>
          <w:position w:val="1"/>
          <w:sz w:val="13"/>
        </w:rPr>
        <w:t> </w:t>
      </w:r>
      <w:r>
        <w:rPr>
          <w:w w:val="105"/>
          <w:position w:val="1"/>
          <w:sz w:val="13"/>
        </w:rPr>
        <w:t>Laws,</w:t>
      </w:r>
      <w:r>
        <w:rPr>
          <w:spacing w:val="5"/>
          <w:w w:val="105"/>
          <w:position w:val="1"/>
          <w:sz w:val="13"/>
        </w:rPr>
        <w:t> </w:t>
      </w:r>
      <w:r>
        <w:rPr>
          <w:i/>
          <w:w w:val="105"/>
          <w:position w:val="1"/>
          <w:sz w:val="13"/>
        </w:rPr>
        <w:t>Administration</w:t>
      </w:r>
      <w:r>
        <w:rPr>
          <w:i/>
          <w:spacing w:val="3"/>
          <w:w w:val="105"/>
          <w:position w:val="1"/>
          <w:sz w:val="13"/>
        </w:rPr>
        <w:t> </w:t>
      </w:r>
      <w:r>
        <w:rPr>
          <w:i/>
          <w:w w:val="105"/>
          <w:position w:val="1"/>
          <w:sz w:val="13"/>
        </w:rPr>
        <w:t>of</w:t>
      </w:r>
      <w:r>
        <w:rPr>
          <w:i/>
          <w:spacing w:val="4"/>
          <w:w w:val="105"/>
          <w:position w:val="1"/>
          <w:sz w:val="13"/>
        </w:rPr>
        <w:t> </w:t>
      </w:r>
      <w:r>
        <w:rPr>
          <w:i/>
          <w:w w:val="105"/>
          <w:position w:val="1"/>
          <w:sz w:val="13"/>
        </w:rPr>
        <w:t>Estates:</w:t>
      </w:r>
      <w:r>
        <w:rPr>
          <w:i/>
          <w:spacing w:val="4"/>
          <w:w w:val="105"/>
          <w:position w:val="1"/>
          <w:sz w:val="13"/>
        </w:rPr>
        <w:t> </w:t>
      </w:r>
      <w:r>
        <w:rPr>
          <w:i/>
          <w:w w:val="105"/>
          <w:position w:val="1"/>
          <w:sz w:val="13"/>
        </w:rPr>
        <w:t>Volume</w:t>
      </w:r>
      <w:r>
        <w:rPr>
          <w:i/>
          <w:spacing w:val="4"/>
          <w:w w:val="105"/>
          <w:position w:val="1"/>
          <w:sz w:val="13"/>
        </w:rPr>
        <w:t> </w:t>
      </w:r>
      <w:r>
        <w:rPr>
          <w:i/>
          <w:w w:val="105"/>
          <w:position w:val="1"/>
          <w:sz w:val="13"/>
        </w:rPr>
        <w:t>4</w:t>
      </w:r>
      <w:r>
        <w:rPr>
          <w:w w:val="105"/>
          <w:position w:val="1"/>
          <w:sz w:val="13"/>
        </w:rPr>
        <w:t>,</w:t>
      </w:r>
      <w:r>
        <w:rPr>
          <w:spacing w:val="5"/>
          <w:w w:val="105"/>
          <w:position w:val="1"/>
          <w:sz w:val="13"/>
        </w:rPr>
        <w:t> </w:t>
      </w:r>
      <w:r>
        <w:rPr>
          <w:w w:val="105"/>
          <w:position w:val="1"/>
          <w:sz w:val="13"/>
        </w:rPr>
        <w:t>above</w:t>
      </w:r>
      <w:r>
        <w:rPr>
          <w:spacing w:val="5"/>
          <w:w w:val="105"/>
          <w:position w:val="1"/>
          <w:sz w:val="13"/>
        </w:rPr>
        <w:t> </w:t>
      </w:r>
      <w:r>
        <w:rPr>
          <w:w w:val="105"/>
          <w:position w:val="1"/>
          <w:sz w:val="13"/>
        </w:rPr>
        <w:t>n</w:t>
      </w:r>
      <w:r>
        <w:rPr>
          <w:spacing w:val="4"/>
          <w:w w:val="105"/>
          <w:position w:val="1"/>
          <w:sz w:val="13"/>
        </w:rPr>
        <w:t> </w:t>
      </w:r>
      <w:r>
        <w:rPr>
          <w:w w:val="105"/>
          <w:position w:val="1"/>
          <w:sz w:val="13"/>
        </w:rPr>
        <w:t>22,</w:t>
      </w:r>
      <w:r>
        <w:rPr>
          <w:spacing w:val="5"/>
          <w:w w:val="105"/>
          <w:position w:val="1"/>
          <w:sz w:val="13"/>
        </w:rPr>
        <w:t> </w:t>
      </w:r>
      <w:r>
        <w:rPr>
          <w:w w:val="105"/>
          <w:position w:val="1"/>
          <w:sz w:val="13"/>
        </w:rPr>
        <w:t>95.</w:t>
      </w:r>
    </w:p>
    <w:p>
      <w:pPr>
        <w:spacing w:after="0"/>
        <w:jc w:val="left"/>
        <w:rPr>
          <w:sz w:val="13"/>
        </w:rPr>
        <w:sectPr>
          <w:pgSz w:w="11910" w:h="16840"/>
          <w:pgMar w:header="550" w:footer="0" w:top="1560" w:bottom="280" w:left="0" w:right="0"/>
        </w:sectPr>
      </w:pPr>
    </w:p>
    <w:p>
      <w:pPr>
        <w:pStyle w:val="Heading1"/>
        <w:tabs>
          <w:tab w:pos="1417" w:val="left" w:leader="none"/>
        </w:tabs>
        <w:jc w:val="right"/>
      </w:pPr>
      <w:r>
        <w:rPr/>
        <w:pict>
          <v:shape style="position:absolute;margin-left:538.582581pt;margin-top:4.373536pt;width:13.35pt;height:28.45pt;mso-position-horizontal-relative:page;mso-position-vertical-relative:paragraph;z-index:-295264" type="#_x0000_t202" filled="false" stroked="false">
            <v:textbox inset="0,0,0,0">
              <w:txbxContent>
                <w:p>
                  <w:pPr>
                    <w:spacing w:line="569" w:lineRule="exact" w:before="0"/>
                    <w:ind w:left="0" w:right="0" w:firstLine="0"/>
                    <w:jc w:val="left"/>
                    <w:rPr>
                      <w:b/>
                      <w:sz w:val="48"/>
                    </w:rPr>
                  </w:pPr>
                  <w:r>
                    <w:rPr>
                      <w:b/>
                      <w:color w:val="FFFFFF"/>
                      <w:w w:val="109"/>
                      <w:sz w:val="48"/>
                    </w:rPr>
                    <w:t>1</w:t>
                  </w:r>
                </w:p>
              </w:txbxContent>
            </v:textbox>
            <w10:wrap type="none"/>
          </v:shape>
        </w:pict>
      </w:r>
      <w:r>
        <w:rPr/>
        <w:pict>
          <v:rect style="position:absolute;margin-left:0pt;margin-top:0pt;width:595.276001pt;height:841.890015pt;mso-position-horizontal-relative:page;mso-position-vertical-relative:page;z-index:-295240" filled="true" fillcolor="#fdefed" stroked="false">
            <v:fill type="solid"/>
            <w10:wrap type="none"/>
          </v:rect>
        </w:pict>
      </w:r>
      <w:r>
        <w:rPr>
          <w:color w:val="FFFFFF"/>
          <w:w w:val="122"/>
          <w:shd w:fill="EC5A4F" w:color="auto" w:val="clear"/>
        </w:rPr>
        <w:t> </w:t>
      </w:r>
      <w:r>
        <w:rPr>
          <w:color w:val="FFFFFF"/>
          <w:spacing w:val="41"/>
          <w:shd w:fill="EC5A4F" w:color="auto" w:val="clear"/>
        </w:rPr>
        <w:t> </w:t>
      </w:r>
      <w:r>
        <w:rPr>
          <w:color w:val="FFFFFF"/>
          <w:w w:val="105"/>
          <w:shd w:fill="EC5A4F" w:color="auto" w:val="clear"/>
        </w:rPr>
        <w:t>9</w:t>
      </w:r>
      <w:r>
        <w:rPr>
          <w:color w:val="FFFFFF"/>
          <w:shd w:fill="EC5A4F" w:color="auto" w:val="clear"/>
        </w:rPr>
        <w:tab/>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1"/>
        <w:rPr>
          <w:b/>
          <w:sz w:val="19"/>
        </w:rPr>
      </w:pPr>
    </w:p>
    <w:p>
      <w:pPr>
        <w:tabs>
          <w:tab w:pos="1417" w:val="left" w:leader="none"/>
          <w:tab w:pos="7496" w:val="left" w:leader="none"/>
        </w:tabs>
        <w:spacing w:before="95"/>
        <w:ind w:left="0" w:right="0" w:firstLine="0"/>
        <w:jc w:val="left"/>
        <w:rPr>
          <w:b/>
          <w:sz w:val="96"/>
        </w:rPr>
      </w:pPr>
      <w:r>
        <w:rPr>
          <w:b/>
          <w:color w:val="EC5A4F"/>
          <w:w w:val="122"/>
          <w:sz w:val="96"/>
          <w:shd w:fill="FFFFFF" w:color="auto" w:val="clear"/>
        </w:rPr>
        <w:t> </w:t>
      </w:r>
      <w:r>
        <w:rPr>
          <w:b/>
          <w:color w:val="EC5A4F"/>
          <w:sz w:val="96"/>
          <w:shd w:fill="FFFFFF" w:color="auto" w:val="clear"/>
        </w:rPr>
        <w:tab/>
      </w:r>
      <w:r>
        <w:rPr>
          <w:b/>
          <w:color w:val="EC5A4F"/>
          <w:spacing w:val="-13"/>
          <w:w w:val="110"/>
          <w:sz w:val="96"/>
          <w:shd w:fill="FFFFFF" w:color="auto" w:val="clear"/>
        </w:rPr>
        <w:t>Small</w:t>
      </w:r>
      <w:r>
        <w:rPr>
          <w:b/>
          <w:color w:val="EC5A4F"/>
          <w:spacing w:val="129"/>
          <w:w w:val="110"/>
          <w:sz w:val="96"/>
          <w:shd w:fill="FFFFFF" w:color="auto" w:val="clear"/>
        </w:rPr>
        <w:t> </w:t>
      </w:r>
      <w:r>
        <w:rPr>
          <w:b/>
          <w:color w:val="EC5A4F"/>
          <w:spacing w:val="-10"/>
          <w:w w:val="110"/>
          <w:sz w:val="96"/>
          <w:shd w:fill="FFFFFF" w:color="auto" w:val="clear"/>
        </w:rPr>
        <w:t>estates</w:t>
      </w:r>
      <w:r>
        <w:rPr>
          <w:b/>
          <w:color w:val="EC5A4F"/>
          <w:spacing w:val="-10"/>
          <w:sz w:val="96"/>
          <w:shd w:fill="FFFFFF" w:color="auto" w:val="clear"/>
        </w:rPr>
        <w:tab/>
      </w:r>
    </w:p>
    <w:p>
      <w:pPr>
        <w:pStyle w:val="BodyText"/>
        <w:rPr>
          <w:b/>
          <w:sz w:val="20"/>
        </w:rPr>
      </w:pPr>
    </w:p>
    <w:p>
      <w:pPr>
        <w:pStyle w:val="BodyText"/>
        <w:rPr>
          <w:b/>
          <w:sz w:val="20"/>
        </w:rPr>
      </w:pPr>
    </w:p>
    <w:p>
      <w:pPr>
        <w:pStyle w:val="BodyText"/>
        <w:rPr>
          <w:b/>
          <w:sz w:val="20"/>
        </w:rPr>
      </w:pPr>
    </w:p>
    <w:p>
      <w:pPr>
        <w:pStyle w:val="BodyText"/>
        <w:spacing w:before="4"/>
        <w:rPr>
          <w:b/>
          <w:sz w:val="12"/>
        </w:rPr>
      </w:pPr>
    </w:p>
    <w:tbl>
      <w:tblPr>
        <w:tblW w:w="0" w:type="auto"/>
        <w:jc w:val="left"/>
        <w:tblInd w:w="14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0"/>
        <w:gridCol w:w="7667"/>
      </w:tblGrid>
      <w:tr>
        <w:trPr>
          <w:trHeight w:val="338" w:hRule="atLeast"/>
        </w:trPr>
        <w:tc>
          <w:tcPr>
            <w:tcW w:w="510" w:type="dxa"/>
            <w:tcBorders>
              <w:bottom w:val="single" w:sz="18" w:space="0" w:color="FFFFFF"/>
            </w:tcBorders>
            <w:shd w:val="clear" w:color="auto" w:fill="FDEFED"/>
          </w:tcPr>
          <w:p>
            <w:pPr>
              <w:pStyle w:val="TableParagraph"/>
              <w:spacing w:line="292" w:lineRule="exact"/>
              <w:rPr>
                <w:b/>
                <w:sz w:val="24"/>
              </w:rPr>
            </w:pPr>
            <w:r>
              <w:rPr>
                <w:b/>
                <w:w w:val="110"/>
                <w:sz w:val="24"/>
              </w:rPr>
              <w:t>188</w:t>
            </w:r>
          </w:p>
        </w:tc>
        <w:tc>
          <w:tcPr>
            <w:tcW w:w="7667" w:type="dxa"/>
            <w:shd w:val="clear" w:color="auto" w:fill="FDEFED"/>
          </w:tcPr>
          <w:p>
            <w:pPr>
              <w:pStyle w:val="TableParagraph"/>
              <w:spacing w:line="292" w:lineRule="exact"/>
              <w:ind w:left="56"/>
              <w:rPr>
                <w:b/>
                <w:sz w:val="24"/>
              </w:rPr>
            </w:pPr>
            <w:r>
              <w:rPr>
                <w:b/>
                <w:w w:val="110"/>
                <w:sz w:val="24"/>
              </w:rPr>
              <w:t>Introduction</w:t>
            </w:r>
          </w:p>
        </w:tc>
      </w:tr>
      <w:tr>
        <w:trPr>
          <w:trHeight w:val="428" w:hRule="atLeast"/>
        </w:trPr>
        <w:tc>
          <w:tcPr>
            <w:tcW w:w="510" w:type="dxa"/>
            <w:tcBorders>
              <w:top w:val="single" w:sz="18" w:space="0" w:color="FFFFFF"/>
              <w:bottom w:val="single" w:sz="18" w:space="0" w:color="FFFFFF"/>
            </w:tcBorders>
            <w:shd w:val="clear" w:color="auto" w:fill="FDEFED"/>
          </w:tcPr>
          <w:p>
            <w:pPr>
              <w:pStyle w:val="TableParagraph"/>
              <w:spacing w:line="240" w:lineRule="auto" w:before="89"/>
              <w:rPr>
                <w:b/>
                <w:sz w:val="24"/>
              </w:rPr>
            </w:pPr>
            <w:r>
              <w:rPr>
                <w:b/>
                <w:w w:val="110"/>
                <w:sz w:val="24"/>
              </w:rPr>
              <w:t>190</w:t>
            </w:r>
          </w:p>
        </w:tc>
        <w:tc>
          <w:tcPr>
            <w:tcW w:w="7667" w:type="dxa"/>
            <w:shd w:val="clear" w:color="auto" w:fill="FDEFED"/>
          </w:tcPr>
          <w:p>
            <w:pPr>
              <w:pStyle w:val="TableParagraph"/>
              <w:spacing w:line="240" w:lineRule="auto" w:before="89"/>
              <w:ind w:left="56"/>
              <w:rPr>
                <w:b/>
                <w:sz w:val="24"/>
              </w:rPr>
            </w:pPr>
            <w:r>
              <w:rPr>
                <w:b/>
                <w:w w:val="115"/>
                <w:sz w:val="24"/>
              </w:rPr>
              <w:t>Assistance in seeking a grant of representation</w:t>
            </w:r>
          </w:p>
        </w:tc>
      </w:tr>
      <w:tr>
        <w:trPr>
          <w:trHeight w:val="428" w:hRule="atLeast"/>
        </w:trPr>
        <w:tc>
          <w:tcPr>
            <w:tcW w:w="510" w:type="dxa"/>
            <w:tcBorders>
              <w:top w:val="single" w:sz="18" w:space="0" w:color="FFFFFF"/>
              <w:bottom w:val="single" w:sz="18" w:space="0" w:color="FFFFFF"/>
            </w:tcBorders>
            <w:shd w:val="clear" w:color="auto" w:fill="FDEFED"/>
          </w:tcPr>
          <w:p>
            <w:pPr>
              <w:pStyle w:val="TableParagraph"/>
              <w:spacing w:line="240" w:lineRule="auto" w:before="88"/>
              <w:rPr>
                <w:b/>
                <w:sz w:val="24"/>
              </w:rPr>
            </w:pPr>
            <w:r>
              <w:rPr>
                <w:b/>
                <w:w w:val="110"/>
                <w:sz w:val="24"/>
              </w:rPr>
              <w:t>195</w:t>
            </w:r>
          </w:p>
        </w:tc>
        <w:tc>
          <w:tcPr>
            <w:tcW w:w="7667" w:type="dxa"/>
            <w:shd w:val="clear" w:color="auto" w:fill="FDEFED"/>
          </w:tcPr>
          <w:p>
            <w:pPr>
              <w:pStyle w:val="TableParagraph"/>
              <w:spacing w:line="240" w:lineRule="auto" w:before="88"/>
              <w:ind w:left="56"/>
              <w:rPr>
                <w:b/>
                <w:sz w:val="24"/>
              </w:rPr>
            </w:pPr>
            <w:r>
              <w:rPr>
                <w:b/>
                <w:w w:val="110"/>
                <w:sz w:val="24"/>
              </w:rPr>
              <w:t>Informal administration</w:t>
            </w:r>
          </w:p>
        </w:tc>
      </w:tr>
      <w:tr>
        <w:trPr>
          <w:trHeight w:val="428" w:hRule="atLeast"/>
        </w:trPr>
        <w:tc>
          <w:tcPr>
            <w:tcW w:w="510" w:type="dxa"/>
            <w:tcBorders>
              <w:top w:val="single" w:sz="18" w:space="0" w:color="FFFFFF"/>
              <w:bottom w:val="single" w:sz="18" w:space="0" w:color="FFFFFF"/>
            </w:tcBorders>
            <w:shd w:val="clear" w:color="auto" w:fill="FDEFED"/>
          </w:tcPr>
          <w:p>
            <w:pPr>
              <w:pStyle w:val="TableParagraph"/>
              <w:spacing w:line="240" w:lineRule="auto" w:before="88"/>
              <w:rPr>
                <w:b/>
                <w:sz w:val="24"/>
              </w:rPr>
            </w:pPr>
            <w:r>
              <w:rPr>
                <w:b/>
                <w:w w:val="110"/>
                <w:sz w:val="24"/>
              </w:rPr>
              <w:t>201</w:t>
            </w:r>
          </w:p>
        </w:tc>
        <w:tc>
          <w:tcPr>
            <w:tcW w:w="7667" w:type="dxa"/>
            <w:shd w:val="clear" w:color="auto" w:fill="FDEFED"/>
          </w:tcPr>
          <w:p>
            <w:pPr>
              <w:pStyle w:val="TableParagraph"/>
              <w:spacing w:line="240" w:lineRule="auto" w:before="88"/>
              <w:ind w:left="56"/>
              <w:rPr>
                <w:b/>
                <w:sz w:val="24"/>
              </w:rPr>
            </w:pPr>
            <w:r>
              <w:rPr>
                <w:b/>
                <w:w w:val="115"/>
                <w:sz w:val="24"/>
              </w:rPr>
              <w:t>Removing costs barriers to formal administration</w:t>
            </w:r>
          </w:p>
        </w:tc>
      </w:tr>
      <w:tr>
        <w:trPr>
          <w:trHeight w:val="428" w:hRule="atLeast"/>
        </w:trPr>
        <w:tc>
          <w:tcPr>
            <w:tcW w:w="510" w:type="dxa"/>
            <w:tcBorders>
              <w:top w:val="single" w:sz="18" w:space="0" w:color="FFFFFF"/>
              <w:bottom w:val="single" w:sz="18" w:space="0" w:color="FFFFFF"/>
            </w:tcBorders>
            <w:shd w:val="clear" w:color="auto" w:fill="FDEFED"/>
          </w:tcPr>
          <w:p>
            <w:pPr>
              <w:pStyle w:val="TableParagraph"/>
              <w:spacing w:line="240" w:lineRule="auto" w:before="88"/>
              <w:rPr>
                <w:b/>
                <w:sz w:val="24"/>
              </w:rPr>
            </w:pPr>
            <w:r>
              <w:rPr>
                <w:b/>
                <w:w w:val="110"/>
                <w:sz w:val="24"/>
              </w:rPr>
              <w:t>203</w:t>
            </w:r>
          </w:p>
        </w:tc>
        <w:tc>
          <w:tcPr>
            <w:tcW w:w="7667" w:type="dxa"/>
            <w:shd w:val="clear" w:color="auto" w:fill="FDEFED"/>
          </w:tcPr>
          <w:p>
            <w:pPr>
              <w:pStyle w:val="TableParagraph"/>
              <w:spacing w:line="240" w:lineRule="auto" w:before="88"/>
              <w:ind w:left="56"/>
              <w:rPr>
                <w:b/>
                <w:sz w:val="24"/>
              </w:rPr>
            </w:pPr>
            <w:r>
              <w:rPr>
                <w:b/>
                <w:w w:val="115"/>
                <w:sz w:val="24"/>
              </w:rPr>
              <w:t>Expedited grants</w:t>
            </w:r>
          </w:p>
        </w:tc>
      </w:tr>
      <w:tr>
        <w:trPr>
          <w:trHeight w:val="428" w:hRule="atLeast"/>
        </w:trPr>
        <w:tc>
          <w:tcPr>
            <w:tcW w:w="510" w:type="dxa"/>
            <w:tcBorders>
              <w:top w:val="single" w:sz="18" w:space="0" w:color="FFFFFF"/>
              <w:bottom w:val="single" w:sz="18" w:space="0" w:color="FFFFFF"/>
            </w:tcBorders>
            <w:shd w:val="clear" w:color="auto" w:fill="FDEFED"/>
          </w:tcPr>
          <w:p>
            <w:pPr>
              <w:pStyle w:val="TableParagraph"/>
              <w:spacing w:line="240" w:lineRule="auto" w:before="88"/>
              <w:rPr>
                <w:b/>
                <w:sz w:val="24"/>
              </w:rPr>
            </w:pPr>
            <w:r>
              <w:rPr>
                <w:b/>
                <w:w w:val="110"/>
                <w:sz w:val="24"/>
              </w:rPr>
              <w:t>210</w:t>
            </w:r>
          </w:p>
        </w:tc>
        <w:tc>
          <w:tcPr>
            <w:tcW w:w="7667" w:type="dxa"/>
            <w:shd w:val="clear" w:color="auto" w:fill="FDEFED"/>
          </w:tcPr>
          <w:p>
            <w:pPr>
              <w:pStyle w:val="TableParagraph"/>
              <w:spacing w:line="240" w:lineRule="auto" w:before="88"/>
              <w:ind w:left="56"/>
              <w:rPr>
                <w:b/>
                <w:sz w:val="24"/>
              </w:rPr>
            </w:pPr>
            <w:r>
              <w:rPr>
                <w:b/>
                <w:w w:val="110"/>
                <w:sz w:val="24"/>
              </w:rPr>
              <w:t>Other amendments to Part II of the Administration and Probate Act</w:t>
            </w:r>
          </w:p>
        </w:tc>
      </w:tr>
    </w:tbl>
    <w:p>
      <w:pPr>
        <w:spacing w:after="0" w:line="240" w:lineRule="auto"/>
        <w:rPr>
          <w:sz w:val="24"/>
        </w:rPr>
        <w:sectPr>
          <w:headerReference w:type="default" r:id="rId106"/>
          <w:headerReference w:type="even" r:id="rId107"/>
          <w:pgSz w:w="11910" w:h="16840"/>
          <w:pgMar w:header="0" w:footer="0" w:top="700" w:bottom="280" w:left="0" w:right="0"/>
        </w:sectPr>
      </w:pPr>
    </w:p>
    <w:p>
      <w:pPr>
        <w:pStyle w:val="BodyText"/>
        <w:spacing w:before="10"/>
        <w:rPr>
          <w:b/>
          <w:sz w:val="18"/>
        </w:rPr>
      </w:pPr>
    </w:p>
    <w:p>
      <w:pPr>
        <w:pStyle w:val="Heading2"/>
        <w:numPr>
          <w:ilvl w:val="0"/>
          <w:numId w:val="22"/>
        </w:numPr>
        <w:tabs>
          <w:tab w:pos="1048" w:val="left" w:leader="none"/>
        </w:tabs>
        <w:spacing w:line="240" w:lineRule="auto" w:before="98" w:after="0"/>
        <w:ind w:left="1047" w:right="0" w:hanging="481"/>
        <w:jc w:val="left"/>
      </w:pPr>
      <w:bookmarkStart w:name="9. Small estates" w:id="144"/>
      <w:bookmarkEnd w:id="144"/>
      <w:r>
        <w:rPr>
          <w:b w:val="0"/>
        </w:rPr>
      </w:r>
      <w:bookmarkStart w:name="Introduction" w:id="145"/>
      <w:bookmarkEnd w:id="145"/>
      <w:r>
        <w:rPr>
          <w:b w:val="0"/>
        </w:rPr>
      </w:r>
      <w:bookmarkStart w:name="Introduction" w:id="146"/>
      <w:bookmarkEnd w:id="146"/>
      <w:r>
        <w:rPr>
          <w:color w:val="EC5A4F"/>
          <w:spacing w:val="-4"/>
          <w:w w:val="110"/>
        </w:rPr>
        <w:t>S</w:t>
      </w:r>
      <w:r>
        <w:rPr>
          <w:color w:val="EC5A4F"/>
          <w:spacing w:val="-4"/>
          <w:w w:val="110"/>
        </w:rPr>
        <w:t>mall</w:t>
      </w:r>
      <w:r>
        <w:rPr>
          <w:color w:val="EC5A4F"/>
          <w:spacing w:val="12"/>
          <w:w w:val="110"/>
        </w:rPr>
        <w:t> </w:t>
      </w:r>
      <w:r>
        <w:rPr>
          <w:color w:val="EC5A4F"/>
          <w:w w:val="110"/>
        </w:rPr>
        <w:t>estates</w:t>
      </w:r>
    </w:p>
    <w:p>
      <w:pPr>
        <w:pStyle w:val="BodyText"/>
        <w:rPr>
          <w:b/>
          <w:sz w:val="52"/>
        </w:rPr>
      </w:pPr>
    </w:p>
    <w:p>
      <w:pPr>
        <w:pStyle w:val="BodyText"/>
        <w:rPr>
          <w:b/>
          <w:sz w:val="52"/>
        </w:rPr>
      </w:pPr>
    </w:p>
    <w:p>
      <w:pPr>
        <w:pStyle w:val="BodyText"/>
        <w:rPr>
          <w:b/>
          <w:sz w:val="52"/>
        </w:rPr>
      </w:pPr>
    </w:p>
    <w:p>
      <w:pPr>
        <w:pStyle w:val="BodyText"/>
        <w:rPr>
          <w:b/>
          <w:sz w:val="52"/>
        </w:rPr>
      </w:pPr>
    </w:p>
    <w:p>
      <w:pPr>
        <w:pStyle w:val="BodyText"/>
        <w:spacing w:before="9"/>
        <w:rPr>
          <w:b/>
          <w:sz w:val="47"/>
        </w:rPr>
      </w:pPr>
    </w:p>
    <w:p>
      <w:pPr>
        <w:pStyle w:val="Heading4"/>
      </w:pPr>
      <w:r>
        <w:rPr>
          <w:color w:val="EC5A4F"/>
          <w:w w:val="110"/>
        </w:rPr>
        <w:t>Introduction</w:t>
      </w:r>
    </w:p>
    <w:p>
      <w:pPr>
        <w:pStyle w:val="Heading5"/>
        <w:spacing w:before="167"/>
      </w:pPr>
      <w:r>
        <w:rPr>
          <w:w w:val="115"/>
        </w:rPr>
        <w:t>Assistance for small estates</w:t>
      </w:r>
    </w:p>
    <w:p>
      <w:pPr>
        <w:pStyle w:val="ListParagraph"/>
        <w:numPr>
          <w:ilvl w:val="1"/>
          <w:numId w:val="22"/>
        </w:numPr>
        <w:tabs>
          <w:tab w:pos="2381" w:val="left" w:leader="none"/>
          <w:tab w:pos="2382" w:val="left" w:leader="none"/>
        </w:tabs>
        <w:spacing w:line="242" w:lineRule="auto" w:before="137" w:after="0"/>
        <w:ind w:left="2381" w:right="2346" w:hanging="794"/>
        <w:jc w:val="left"/>
        <w:rPr>
          <w:sz w:val="21"/>
        </w:rPr>
      </w:pPr>
      <w:r>
        <w:rPr>
          <w:w w:val="105"/>
          <w:sz w:val="21"/>
        </w:rPr>
        <w:t>The</w:t>
      </w:r>
      <w:r>
        <w:rPr>
          <w:spacing w:val="-7"/>
          <w:w w:val="105"/>
          <w:sz w:val="21"/>
        </w:rPr>
        <w:t> </w:t>
      </w:r>
      <w:r>
        <w:rPr>
          <w:spacing w:val="-3"/>
          <w:w w:val="105"/>
          <w:sz w:val="21"/>
        </w:rPr>
        <w:t>Commission</w:t>
      </w:r>
      <w:r>
        <w:rPr>
          <w:spacing w:val="-7"/>
          <w:w w:val="105"/>
          <w:sz w:val="21"/>
        </w:rPr>
        <w:t> </w:t>
      </w:r>
      <w:r>
        <w:rPr>
          <w:spacing w:val="-2"/>
          <w:w w:val="105"/>
          <w:sz w:val="21"/>
        </w:rPr>
        <w:t>has</w:t>
      </w:r>
      <w:r>
        <w:rPr>
          <w:spacing w:val="-6"/>
          <w:w w:val="105"/>
          <w:sz w:val="21"/>
        </w:rPr>
        <w:t> </w:t>
      </w:r>
      <w:r>
        <w:rPr>
          <w:w w:val="105"/>
          <w:sz w:val="21"/>
        </w:rPr>
        <w:t>been</w:t>
      </w:r>
      <w:r>
        <w:rPr>
          <w:spacing w:val="-7"/>
          <w:w w:val="105"/>
          <w:sz w:val="21"/>
        </w:rPr>
        <w:t> </w:t>
      </w:r>
      <w:r>
        <w:rPr>
          <w:spacing w:val="-3"/>
          <w:w w:val="105"/>
          <w:sz w:val="21"/>
        </w:rPr>
        <w:t>asked</w:t>
      </w:r>
      <w:r>
        <w:rPr>
          <w:spacing w:val="-6"/>
          <w:w w:val="105"/>
          <w:sz w:val="21"/>
        </w:rPr>
        <w:t> </w:t>
      </w:r>
      <w:r>
        <w:rPr>
          <w:spacing w:val="-3"/>
          <w:w w:val="105"/>
          <w:sz w:val="21"/>
        </w:rPr>
        <w:t>to</w:t>
      </w:r>
      <w:r>
        <w:rPr>
          <w:spacing w:val="-7"/>
          <w:w w:val="105"/>
          <w:sz w:val="21"/>
        </w:rPr>
        <w:t> </w:t>
      </w:r>
      <w:r>
        <w:rPr>
          <w:w w:val="105"/>
          <w:sz w:val="21"/>
        </w:rPr>
        <w:t>review</w:t>
      </w:r>
      <w:r>
        <w:rPr>
          <w:spacing w:val="-6"/>
          <w:w w:val="105"/>
          <w:sz w:val="21"/>
        </w:rPr>
        <w:t> </w:t>
      </w:r>
      <w:r>
        <w:rPr>
          <w:w w:val="105"/>
          <w:sz w:val="21"/>
        </w:rPr>
        <w:t>and</w:t>
      </w:r>
      <w:r>
        <w:rPr>
          <w:spacing w:val="-7"/>
          <w:w w:val="105"/>
          <w:sz w:val="21"/>
        </w:rPr>
        <w:t> </w:t>
      </w:r>
      <w:r>
        <w:rPr>
          <w:w w:val="105"/>
          <w:sz w:val="21"/>
        </w:rPr>
        <w:t>report</w:t>
      </w:r>
      <w:r>
        <w:rPr>
          <w:spacing w:val="-6"/>
          <w:w w:val="105"/>
          <w:sz w:val="21"/>
        </w:rPr>
        <w:t> </w:t>
      </w:r>
      <w:r>
        <w:rPr>
          <w:w w:val="105"/>
          <w:sz w:val="21"/>
        </w:rPr>
        <w:t>on</w:t>
      </w:r>
      <w:r>
        <w:rPr>
          <w:spacing w:val="-7"/>
          <w:w w:val="105"/>
          <w:sz w:val="21"/>
        </w:rPr>
        <w:t> </w:t>
      </w:r>
      <w:r>
        <w:rPr>
          <w:w w:val="105"/>
          <w:sz w:val="21"/>
        </w:rPr>
        <w:t>whether</w:t>
      </w:r>
      <w:r>
        <w:rPr>
          <w:spacing w:val="-7"/>
          <w:w w:val="105"/>
          <w:sz w:val="21"/>
        </w:rPr>
        <w:t> </w:t>
      </w:r>
      <w:r>
        <w:rPr>
          <w:w w:val="105"/>
          <w:sz w:val="21"/>
        </w:rPr>
        <w:t>there</w:t>
      </w:r>
      <w:r>
        <w:rPr>
          <w:spacing w:val="-6"/>
          <w:w w:val="105"/>
          <w:sz w:val="21"/>
        </w:rPr>
        <w:t> </w:t>
      </w:r>
      <w:r>
        <w:rPr>
          <w:spacing w:val="-3"/>
          <w:w w:val="105"/>
          <w:sz w:val="21"/>
        </w:rPr>
        <w:t>are</w:t>
      </w:r>
      <w:r>
        <w:rPr>
          <w:spacing w:val="-7"/>
          <w:w w:val="105"/>
          <w:sz w:val="21"/>
        </w:rPr>
        <w:t> </w:t>
      </w:r>
      <w:r>
        <w:rPr>
          <w:w w:val="105"/>
          <w:sz w:val="21"/>
        </w:rPr>
        <w:t>more efficient ways of </w:t>
      </w:r>
      <w:r>
        <w:rPr>
          <w:spacing w:val="-3"/>
          <w:w w:val="105"/>
          <w:sz w:val="21"/>
        </w:rPr>
        <w:t>dealing </w:t>
      </w:r>
      <w:r>
        <w:rPr>
          <w:w w:val="105"/>
          <w:sz w:val="21"/>
        </w:rPr>
        <w:t>with </w:t>
      </w:r>
      <w:r>
        <w:rPr>
          <w:spacing w:val="-3"/>
          <w:w w:val="105"/>
          <w:sz w:val="21"/>
        </w:rPr>
        <w:t>small</w:t>
      </w:r>
      <w:r>
        <w:rPr>
          <w:spacing w:val="28"/>
          <w:w w:val="105"/>
          <w:sz w:val="21"/>
        </w:rPr>
        <w:t> </w:t>
      </w:r>
      <w:r>
        <w:rPr>
          <w:w w:val="105"/>
          <w:sz w:val="21"/>
        </w:rPr>
        <w:t>estates.</w:t>
      </w:r>
    </w:p>
    <w:p>
      <w:pPr>
        <w:pStyle w:val="ListParagraph"/>
        <w:numPr>
          <w:ilvl w:val="1"/>
          <w:numId w:val="22"/>
        </w:numPr>
        <w:tabs>
          <w:tab w:pos="2380" w:val="left" w:leader="none"/>
          <w:tab w:pos="2381" w:val="left" w:leader="none"/>
        </w:tabs>
        <w:spacing w:line="242" w:lineRule="auto" w:before="122" w:after="0"/>
        <w:ind w:left="2381" w:right="1723" w:hanging="794"/>
        <w:jc w:val="left"/>
        <w:rPr>
          <w:sz w:val="21"/>
        </w:rPr>
      </w:pPr>
      <w:r>
        <w:rPr>
          <w:spacing w:val="-3"/>
          <w:w w:val="105"/>
          <w:sz w:val="21"/>
        </w:rPr>
        <w:t>Small </w:t>
      </w:r>
      <w:r>
        <w:rPr>
          <w:w w:val="105"/>
          <w:sz w:val="21"/>
        </w:rPr>
        <w:t>estates </w:t>
      </w:r>
      <w:r>
        <w:rPr>
          <w:spacing w:val="-3"/>
          <w:w w:val="105"/>
          <w:sz w:val="21"/>
        </w:rPr>
        <w:t>for </w:t>
      </w:r>
      <w:r>
        <w:rPr>
          <w:w w:val="105"/>
          <w:sz w:val="21"/>
        </w:rPr>
        <w:t>which a </w:t>
      </w:r>
      <w:r>
        <w:rPr>
          <w:spacing w:val="-3"/>
          <w:w w:val="105"/>
          <w:sz w:val="21"/>
        </w:rPr>
        <w:t>grant </w:t>
      </w:r>
      <w:r>
        <w:rPr>
          <w:w w:val="105"/>
          <w:sz w:val="21"/>
        </w:rPr>
        <w:t>of </w:t>
      </w:r>
      <w:r>
        <w:rPr>
          <w:spacing w:val="-2"/>
          <w:w w:val="105"/>
          <w:sz w:val="21"/>
        </w:rPr>
        <w:t>representation </w:t>
      </w:r>
      <w:r>
        <w:rPr>
          <w:w w:val="105"/>
          <w:sz w:val="21"/>
        </w:rPr>
        <w:t>is </w:t>
      </w:r>
      <w:r>
        <w:rPr>
          <w:spacing w:val="-3"/>
          <w:w w:val="105"/>
          <w:sz w:val="21"/>
        </w:rPr>
        <w:t>sought have fewer </w:t>
      </w:r>
      <w:r>
        <w:rPr>
          <w:w w:val="105"/>
          <w:sz w:val="21"/>
        </w:rPr>
        <w:t>assets </w:t>
      </w:r>
      <w:r>
        <w:rPr>
          <w:spacing w:val="-3"/>
          <w:w w:val="105"/>
          <w:sz w:val="21"/>
        </w:rPr>
        <w:t>from </w:t>
      </w:r>
      <w:r>
        <w:rPr>
          <w:w w:val="105"/>
          <w:sz w:val="21"/>
        </w:rPr>
        <w:t>which </w:t>
      </w:r>
      <w:r>
        <w:rPr>
          <w:spacing w:val="-3"/>
          <w:w w:val="105"/>
          <w:sz w:val="21"/>
        </w:rPr>
        <w:t>to </w:t>
      </w:r>
      <w:r>
        <w:rPr>
          <w:w w:val="105"/>
          <w:sz w:val="21"/>
        </w:rPr>
        <w:t>meet the costs of </w:t>
      </w:r>
      <w:r>
        <w:rPr>
          <w:spacing w:val="-3"/>
          <w:w w:val="105"/>
          <w:sz w:val="21"/>
        </w:rPr>
        <w:t>obtaining </w:t>
      </w:r>
      <w:r>
        <w:rPr>
          <w:w w:val="105"/>
          <w:sz w:val="21"/>
        </w:rPr>
        <w:t>the </w:t>
      </w:r>
      <w:r>
        <w:rPr>
          <w:spacing w:val="-3"/>
          <w:w w:val="105"/>
          <w:sz w:val="21"/>
        </w:rPr>
        <w:t>grant </w:t>
      </w:r>
      <w:r>
        <w:rPr>
          <w:w w:val="105"/>
          <w:sz w:val="21"/>
        </w:rPr>
        <w:t>and </w:t>
      </w:r>
      <w:r>
        <w:rPr>
          <w:spacing w:val="-3"/>
          <w:w w:val="105"/>
          <w:sz w:val="21"/>
        </w:rPr>
        <w:t>administering </w:t>
      </w:r>
      <w:r>
        <w:rPr>
          <w:w w:val="105"/>
          <w:sz w:val="21"/>
        </w:rPr>
        <w:t>the </w:t>
      </w:r>
      <w:r>
        <w:rPr>
          <w:spacing w:val="-3"/>
          <w:w w:val="105"/>
          <w:sz w:val="21"/>
        </w:rPr>
        <w:t>estate.</w:t>
      </w:r>
      <w:r>
        <w:rPr>
          <w:spacing w:val="27"/>
          <w:w w:val="105"/>
          <w:sz w:val="21"/>
        </w:rPr>
        <w:t> </w:t>
      </w:r>
      <w:r>
        <w:rPr>
          <w:spacing w:val="-4"/>
          <w:w w:val="105"/>
          <w:sz w:val="21"/>
        </w:rPr>
        <w:t>Consequently,</w:t>
      </w:r>
    </w:p>
    <w:p>
      <w:pPr>
        <w:pStyle w:val="BodyText"/>
        <w:spacing w:line="242" w:lineRule="auto" w:before="2"/>
        <w:ind w:left="2380" w:right="1619"/>
      </w:pPr>
      <w:r>
        <w:rPr/>
        <w:t>the cost of professional representation or assistance may be a barrier to the proper administration of these estates.</w:t>
      </w:r>
    </w:p>
    <w:p>
      <w:pPr>
        <w:pStyle w:val="ListParagraph"/>
        <w:numPr>
          <w:ilvl w:val="1"/>
          <w:numId w:val="22"/>
        </w:numPr>
        <w:tabs>
          <w:tab w:pos="2380" w:val="left" w:leader="none"/>
          <w:tab w:pos="2381" w:val="left" w:leader="none"/>
        </w:tabs>
        <w:spacing w:line="242" w:lineRule="auto" w:before="122" w:after="0"/>
        <w:ind w:left="2381" w:right="1654" w:hanging="794"/>
        <w:jc w:val="left"/>
        <w:rPr>
          <w:sz w:val="21"/>
        </w:rPr>
      </w:pPr>
      <w:r>
        <w:rPr>
          <w:spacing w:val="-4"/>
          <w:w w:val="105"/>
          <w:sz w:val="21"/>
        </w:rPr>
        <w:t>However,</w:t>
      </w:r>
      <w:r>
        <w:rPr>
          <w:spacing w:val="-7"/>
          <w:w w:val="105"/>
          <w:sz w:val="21"/>
        </w:rPr>
        <w:t> </w:t>
      </w:r>
      <w:r>
        <w:rPr>
          <w:spacing w:val="-3"/>
          <w:w w:val="105"/>
          <w:sz w:val="21"/>
        </w:rPr>
        <w:t>although</w:t>
      </w:r>
      <w:r>
        <w:rPr>
          <w:spacing w:val="-7"/>
          <w:w w:val="105"/>
          <w:sz w:val="21"/>
        </w:rPr>
        <w:t> </w:t>
      </w:r>
      <w:r>
        <w:rPr>
          <w:spacing w:val="-3"/>
          <w:w w:val="105"/>
          <w:sz w:val="21"/>
        </w:rPr>
        <w:t>small</w:t>
      </w:r>
      <w:r>
        <w:rPr>
          <w:spacing w:val="-7"/>
          <w:w w:val="105"/>
          <w:sz w:val="21"/>
        </w:rPr>
        <w:t> </w:t>
      </w:r>
      <w:r>
        <w:rPr>
          <w:w w:val="105"/>
          <w:sz w:val="21"/>
        </w:rPr>
        <w:t>estates</w:t>
      </w:r>
      <w:r>
        <w:rPr>
          <w:spacing w:val="-7"/>
          <w:w w:val="105"/>
          <w:sz w:val="21"/>
        </w:rPr>
        <w:t> </w:t>
      </w:r>
      <w:r>
        <w:rPr>
          <w:spacing w:val="-3"/>
          <w:w w:val="105"/>
          <w:sz w:val="21"/>
        </w:rPr>
        <w:t>are</w:t>
      </w:r>
      <w:r>
        <w:rPr>
          <w:spacing w:val="-7"/>
          <w:w w:val="105"/>
          <w:sz w:val="21"/>
        </w:rPr>
        <w:t> </w:t>
      </w:r>
      <w:r>
        <w:rPr>
          <w:spacing w:val="-2"/>
          <w:w w:val="105"/>
          <w:sz w:val="21"/>
        </w:rPr>
        <w:t>not</w:t>
      </w:r>
      <w:r>
        <w:rPr>
          <w:spacing w:val="-7"/>
          <w:w w:val="105"/>
          <w:sz w:val="21"/>
        </w:rPr>
        <w:t> </w:t>
      </w:r>
      <w:r>
        <w:rPr>
          <w:w w:val="105"/>
          <w:sz w:val="21"/>
        </w:rPr>
        <w:t>always</w:t>
      </w:r>
      <w:r>
        <w:rPr>
          <w:spacing w:val="-7"/>
          <w:w w:val="105"/>
          <w:sz w:val="21"/>
        </w:rPr>
        <w:t> </w:t>
      </w:r>
      <w:r>
        <w:rPr>
          <w:w w:val="105"/>
          <w:sz w:val="21"/>
        </w:rPr>
        <w:t>easy</w:t>
      </w:r>
      <w:r>
        <w:rPr>
          <w:spacing w:val="-7"/>
          <w:w w:val="105"/>
          <w:sz w:val="21"/>
        </w:rPr>
        <w:t> </w:t>
      </w:r>
      <w:r>
        <w:rPr>
          <w:spacing w:val="-3"/>
          <w:w w:val="105"/>
          <w:sz w:val="21"/>
        </w:rPr>
        <w:t>to</w:t>
      </w:r>
      <w:r>
        <w:rPr>
          <w:spacing w:val="-7"/>
          <w:w w:val="105"/>
          <w:sz w:val="21"/>
        </w:rPr>
        <w:t> </w:t>
      </w:r>
      <w:r>
        <w:rPr>
          <w:spacing w:val="-4"/>
          <w:w w:val="105"/>
          <w:sz w:val="21"/>
        </w:rPr>
        <w:t>administer,</w:t>
      </w:r>
      <w:r>
        <w:rPr>
          <w:spacing w:val="-6"/>
          <w:w w:val="105"/>
          <w:sz w:val="21"/>
        </w:rPr>
        <w:t> </w:t>
      </w:r>
      <w:r>
        <w:rPr>
          <w:w w:val="105"/>
          <w:sz w:val="21"/>
        </w:rPr>
        <w:t>they</w:t>
      </w:r>
      <w:r>
        <w:rPr>
          <w:spacing w:val="-7"/>
          <w:w w:val="105"/>
          <w:sz w:val="21"/>
        </w:rPr>
        <w:t> </w:t>
      </w:r>
      <w:r>
        <w:rPr>
          <w:spacing w:val="-3"/>
          <w:w w:val="105"/>
          <w:sz w:val="21"/>
        </w:rPr>
        <w:t>are</w:t>
      </w:r>
      <w:r>
        <w:rPr>
          <w:spacing w:val="-7"/>
          <w:w w:val="105"/>
          <w:sz w:val="21"/>
        </w:rPr>
        <w:t> </w:t>
      </w:r>
      <w:r>
        <w:rPr>
          <w:w w:val="105"/>
          <w:sz w:val="21"/>
        </w:rPr>
        <w:t>more</w:t>
      </w:r>
      <w:r>
        <w:rPr>
          <w:spacing w:val="-7"/>
          <w:w w:val="105"/>
          <w:sz w:val="21"/>
        </w:rPr>
        <w:t> </w:t>
      </w:r>
      <w:r>
        <w:rPr>
          <w:spacing w:val="-4"/>
          <w:w w:val="105"/>
          <w:sz w:val="21"/>
        </w:rPr>
        <w:t>likely</w:t>
      </w:r>
      <w:r>
        <w:rPr>
          <w:spacing w:val="-7"/>
          <w:w w:val="105"/>
          <w:sz w:val="21"/>
        </w:rPr>
        <w:t> </w:t>
      </w:r>
      <w:r>
        <w:rPr>
          <w:spacing w:val="-3"/>
          <w:w w:val="105"/>
          <w:sz w:val="21"/>
        </w:rPr>
        <w:t>to </w:t>
      </w:r>
      <w:r>
        <w:rPr>
          <w:w w:val="105"/>
          <w:sz w:val="21"/>
        </w:rPr>
        <w:t>comprise</w:t>
      </w:r>
      <w:r>
        <w:rPr>
          <w:spacing w:val="-10"/>
          <w:w w:val="105"/>
          <w:sz w:val="21"/>
        </w:rPr>
        <w:t> </w:t>
      </w:r>
      <w:r>
        <w:rPr>
          <w:spacing w:val="-3"/>
          <w:w w:val="105"/>
          <w:sz w:val="21"/>
        </w:rPr>
        <w:t>simple</w:t>
      </w:r>
      <w:r>
        <w:rPr>
          <w:spacing w:val="-10"/>
          <w:w w:val="105"/>
          <w:sz w:val="21"/>
        </w:rPr>
        <w:t> </w:t>
      </w:r>
      <w:r>
        <w:rPr>
          <w:w w:val="105"/>
          <w:sz w:val="21"/>
        </w:rPr>
        <w:t>assets</w:t>
      </w:r>
      <w:r>
        <w:rPr>
          <w:spacing w:val="-9"/>
          <w:w w:val="105"/>
          <w:sz w:val="21"/>
        </w:rPr>
        <w:t> </w:t>
      </w:r>
      <w:r>
        <w:rPr>
          <w:spacing w:val="-3"/>
          <w:w w:val="105"/>
          <w:sz w:val="21"/>
        </w:rPr>
        <w:t>that</w:t>
      </w:r>
      <w:r>
        <w:rPr>
          <w:spacing w:val="-10"/>
          <w:w w:val="105"/>
          <w:sz w:val="21"/>
        </w:rPr>
        <w:t> </w:t>
      </w:r>
      <w:r>
        <w:rPr>
          <w:spacing w:val="-3"/>
          <w:w w:val="105"/>
          <w:sz w:val="21"/>
        </w:rPr>
        <w:t>may</w:t>
      </w:r>
      <w:r>
        <w:rPr>
          <w:spacing w:val="-9"/>
          <w:w w:val="105"/>
          <w:sz w:val="21"/>
        </w:rPr>
        <w:t> </w:t>
      </w:r>
      <w:r>
        <w:rPr>
          <w:w w:val="105"/>
          <w:sz w:val="21"/>
        </w:rPr>
        <w:t>be</w:t>
      </w:r>
      <w:r>
        <w:rPr>
          <w:spacing w:val="-10"/>
          <w:w w:val="105"/>
          <w:sz w:val="21"/>
        </w:rPr>
        <w:t> </w:t>
      </w:r>
      <w:r>
        <w:rPr>
          <w:spacing w:val="-3"/>
          <w:w w:val="105"/>
          <w:sz w:val="21"/>
        </w:rPr>
        <w:t>easily</w:t>
      </w:r>
      <w:r>
        <w:rPr>
          <w:spacing w:val="-9"/>
          <w:w w:val="105"/>
          <w:sz w:val="21"/>
        </w:rPr>
        <w:t> </w:t>
      </w:r>
      <w:r>
        <w:rPr>
          <w:spacing w:val="-3"/>
          <w:w w:val="105"/>
          <w:sz w:val="21"/>
        </w:rPr>
        <w:t>transferred</w:t>
      </w:r>
      <w:r>
        <w:rPr>
          <w:spacing w:val="-10"/>
          <w:w w:val="105"/>
          <w:sz w:val="21"/>
        </w:rPr>
        <w:t> </w:t>
      </w:r>
      <w:r>
        <w:rPr>
          <w:w w:val="105"/>
          <w:sz w:val="21"/>
        </w:rPr>
        <w:t>and</w:t>
      </w:r>
      <w:r>
        <w:rPr>
          <w:spacing w:val="-10"/>
          <w:w w:val="105"/>
          <w:sz w:val="21"/>
        </w:rPr>
        <w:t> </w:t>
      </w:r>
      <w:r>
        <w:rPr>
          <w:spacing w:val="-3"/>
          <w:w w:val="105"/>
          <w:sz w:val="21"/>
        </w:rPr>
        <w:t>distributed.</w:t>
      </w:r>
      <w:r>
        <w:rPr>
          <w:spacing w:val="-9"/>
          <w:w w:val="105"/>
          <w:sz w:val="21"/>
        </w:rPr>
        <w:t> </w:t>
      </w:r>
      <w:r>
        <w:rPr>
          <w:w w:val="105"/>
          <w:sz w:val="21"/>
        </w:rPr>
        <w:t>A</w:t>
      </w:r>
      <w:r>
        <w:rPr>
          <w:spacing w:val="-10"/>
          <w:w w:val="105"/>
          <w:sz w:val="21"/>
        </w:rPr>
        <w:t> </w:t>
      </w:r>
      <w:r>
        <w:rPr>
          <w:w w:val="105"/>
          <w:sz w:val="21"/>
        </w:rPr>
        <w:t>non-professional personal representative </w:t>
      </w:r>
      <w:r>
        <w:rPr>
          <w:spacing w:val="-3"/>
          <w:w w:val="105"/>
          <w:sz w:val="21"/>
        </w:rPr>
        <w:t>may </w:t>
      </w:r>
      <w:r>
        <w:rPr>
          <w:w w:val="105"/>
          <w:sz w:val="21"/>
        </w:rPr>
        <w:t>be able </w:t>
      </w:r>
      <w:r>
        <w:rPr>
          <w:spacing w:val="-3"/>
          <w:w w:val="105"/>
          <w:sz w:val="21"/>
        </w:rPr>
        <w:t>to </w:t>
      </w:r>
      <w:r>
        <w:rPr>
          <w:w w:val="105"/>
          <w:sz w:val="21"/>
        </w:rPr>
        <w:t>apply </w:t>
      </w:r>
      <w:r>
        <w:rPr>
          <w:spacing w:val="-3"/>
          <w:w w:val="105"/>
          <w:sz w:val="21"/>
        </w:rPr>
        <w:t>for </w:t>
      </w:r>
      <w:r>
        <w:rPr>
          <w:w w:val="105"/>
          <w:sz w:val="21"/>
        </w:rPr>
        <w:t>a </w:t>
      </w:r>
      <w:r>
        <w:rPr>
          <w:spacing w:val="-3"/>
          <w:w w:val="105"/>
          <w:sz w:val="21"/>
        </w:rPr>
        <w:t>grant </w:t>
      </w:r>
      <w:r>
        <w:rPr>
          <w:w w:val="105"/>
          <w:sz w:val="21"/>
        </w:rPr>
        <w:t>of </w:t>
      </w:r>
      <w:r>
        <w:rPr>
          <w:spacing w:val="-3"/>
          <w:w w:val="105"/>
          <w:sz w:val="21"/>
        </w:rPr>
        <w:t>representation, </w:t>
      </w:r>
      <w:r>
        <w:rPr>
          <w:w w:val="105"/>
          <w:sz w:val="21"/>
        </w:rPr>
        <w:t>or </w:t>
      </w:r>
      <w:r>
        <w:rPr>
          <w:spacing w:val="-3"/>
          <w:w w:val="105"/>
          <w:sz w:val="21"/>
        </w:rPr>
        <w:t>administer </w:t>
      </w:r>
      <w:r>
        <w:rPr>
          <w:w w:val="105"/>
          <w:sz w:val="21"/>
        </w:rPr>
        <w:t>the estate without needing </w:t>
      </w:r>
      <w:r>
        <w:rPr>
          <w:spacing w:val="-3"/>
          <w:w w:val="105"/>
          <w:sz w:val="21"/>
        </w:rPr>
        <w:t>to </w:t>
      </w:r>
      <w:r>
        <w:rPr>
          <w:w w:val="105"/>
          <w:sz w:val="21"/>
        </w:rPr>
        <w:t>apply </w:t>
      </w:r>
      <w:r>
        <w:rPr>
          <w:spacing w:val="-3"/>
          <w:w w:val="105"/>
          <w:sz w:val="21"/>
        </w:rPr>
        <w:t>for </w:t>
      </w:r>
      <w:r>
        <w:rPr>
          <w:w w:val="105"/>
          <w:sz w:val="21"/>
        </w:rPr>
        <w:t>a</w:t>
      </w:r>
      <w:r>
        <w:rPr>
          <w:spacing w:val="42"/>
          <w:w w:val="105"/>
          <w:sz w:val="21"/>
        </w:rPr>
        <w:t> </w:t>
      </w:r>
      <w:r>
        <w:rPr>
          <w:spacing w:val="-3"/>
          <w:w w:val="105"/>
          <w:sz w:val="21"/>
        </w:rPr>
        <w:t>grant.</w:t>
      </w:r>
    </w:p>
    <w:p>
      <w:pPr>
        <w:pStyle w:val="ListParagraph"/>
        <w:numPr>
          <w:ilvl w:val="1"/>
          <w:numId w:val="22"/>
        </w:numPr>
        <w:tabs>
          <w:tab w:pos="2380" w:val="left" w:leader="none"/>
          <w:tab w:pos="2381" w:val="left" w:leader="none"/>
        </w:tabs>
        <w:spacing w:line="242" w:lineRule="auto" w:before="125" w:after="0"/>
        <w:ind w:left="2381" w:right="1853" w:hanging="794"/>
        <w:jc w:val="left"/>
        <w:rPr>
          <w:sz w:val="21"/>
        </w:rPr>
      </w:pPr>
      <w:r>
        <w:rPr>
          <w:sz w:val="21"/>
        </w:rPr>
        <w:t>There is no </w:t>
      </w:r>
      <w:r>
        <w:rPr>
          <w:spacing w:val="-3"/>
          <w:sz w:val="21"/>
        </w:rPr>
        <w:t>comprehensive suite </w:t>
      </w:r>
      <w:r>
        <w:rPr>
          <w:sz w:val="21"/>
        </w:rPr>
        <w:t>of </w:t>
      </w:r>
      <w:r>
        <w:rPr>
          <w:spacing w:val="-3"/>
          <w:sz w:val="21"/>
        </w:rPr>
        <w:t>measures to </w:t>
      </w:r>
      <w:r>
        <w:rPr>
          <w:sz w:val="21"/>
        </w:rPr>
        <w:t>assist in the </w:t>
      </w:r>
      <w:r>
        <w:rPr>
          <w:spacing w:val="-3"/>
          <w:sz w:val="21"/>
        </w:rPr>
        <w:t>administration </w:t>
      </w:r>
      <w:r>
        <w:rPr>
          <w:sz w:val="21"/>
        </w:rPr>
        <w:t>of </w:t>
      </w:r>
      <w:r>
        <w:rPr>
          <w:spacing w:val="-3"/>
          <w:sz w:val="21"/>
        </w:rPr>
        <w:t>small </w:t>
      </w:r>
      <w:r>
        <w:rPr>
          <w:sz w:val="21"/>
        </w:rPr>
        <w:t>estates, but Victorian law and practice provide a number of </w:t>
      </w:r>
      <w:r>
        <w:rPr>
          <w:spacing w:val="-3"/>
          <w:sz w:val="21"/>
        </w:rPr>
        <w:t>measures to </w:t>
      </w:r>
      <w:r>
        <w:rPr>
          <w:sz w:val="21"/>
        </w:rPr>
        <w:t>assist personal representatives in either </w:t>
      </w:r>
      <w:r>
        <w:rPr>
          <w:spacing w:val="-3"/>
          <w:sz w:val="21"/>
        </w:rPr>
        <w:t>obtaining </w:t>
      </w:r>
      <w:r>
        <w:rPr>
          <w:sz w:val="21"/>
        </w:rPr>
        <w:t>grants of </w:t>
      </w:r>
      <w:r>
        <w:rPr>
          <w:spacing w:val="-2"/>
          <w:sz w:val="21"/>
        </w:rPr>
        <w:t>representation </w:t>
      </w:r>
      <w:r>
        <w:rPr>
          <w:sz w:val="21"/>
        </w:rPr>
        <w:t>at less cost or </w:t>
      </w:r>
      <w:r>
        <w:rPr>
          <w:spacing w:val="-3"/>
          <w:sz w:val="21"/>
        </w:rPr>
        <w:t>administering </w:t>
      </w:r>
      <w:r>
        <w:rPr>
          <w:sz w:val="21"/>
        </w:rPr>
        <w:t>the estate</w:t>
      </w:r>
      <w:r>
        <w:rPr>
          <w:spacing w:val="16"/>
          <w:sz w:val="21"/>
        </w:rPr>
        <w:t> </w:t>
      </w:r>
      <w:r>
        <w:rPr>
          <w:spacing w:val="-4"/>
          <w:sz w:val="21"/>
        </w:rPr>
        <w:t>informally.</w:t>
      </w:r>
    </w:p>
    <w:p>
      <w:pPr>
        <w:pStyle w:val="ListParagraph"/>
        <w:numPr>
          <w:ilvl w:val="1"/>
          <w:numId w:val="22"/>
        </w:numPr>
        <w:tabs>
          <w:tab w:pos="2380" w:val="left" w:leader="none"/>
          <w:tab w:pos="2381" w:val="left" w:leader="none"/>
        </w:tabs>
        <w:spacing w:line="242" w:lineRule="auto" w:before="124" w:after="0"/>
        <w:ind w:left="2380" w:right="2271" w:hanging="793"/>
        <w:jc w:val="left"/>
        <w:rPr>
          <w:sz w:val="21"/>
        </w:rPr>
      </w:pPr>
      <w:r>
        <w:rPr>
          <w:w w:val="105"/>
          <w:sz w:val="21"/>
        </w:rPr>
        <w:t>Some</w:t>
      </w:r>
      <w:r>
        <w:rPr>
          <w:spacing w:val="-25"/>
          <w:w w:val="105"/>
          <w:sz w:val="21"/>
        </w:rPr>
        <w:t> </w:t>
      </w:r>
      <w:r>
        <w:rPr>
          <w:spacing w:val="-3"/>
          <w:w w:val="105"/>
          <w:sz w:val="21"/>
        </w:rPr>
        <w:t>measures</w:t>
      </w:r>
      <w:r>
        <w:rPr>
          <w:spacing w:val="-24"/>
          <w:w w:val="105"/>
          <w:sz w:val="21"/>
        </w:rPr>
        <w:t> </w:t>
      </w:r>
      <w:r>
        <w:rPr>
          <w:w w:val="105"/>
          <w:sz w:val="21"/>
        </w:rPr>
        <w:t>support</w:t>
      </w:r>
      <w:r>
        <w:rPr>
          <w:spacing w:val="-24"/>
          <w:w w:val="105"/>
          <w:sz w:val="21"/>
        </w:rPr>
        <w:t> </w:t>
      </w:r>
      <w:r>
        <w:rPr>
          <w:w w:val="105"/>
          <w:sz w:val="21"/>
        </w:rPr>
        <w:t>non-professional</w:t>
      </w:r>
      <w:r>
        <w:rPr>
          <w:spacing w:val="-24"/>
          <w:w w:val="105"/>
          <w:sz w:val="21"/>
        </w:rPr>
        <w:t> </w:t>
      </w:r>
      <w:r>
        <w:rPr>
          <w:w w:val="105"/>
          <w:sz w:val="21"/>
        </w:rPr>
        <w:t>personal</w:t>
      </w:r>
      <w:r>
        <w:rPr>
          <w:spacing w:val="-24"/>
          <w:w w:val="105"/>
          <w:sz w:val="21"/>
        </w:rPr>
        <w:t> </w:t>
      </w:r>
      <w:r>
        <w:rPr>
          <w:w w:val="105"/>
          <w:sz w:val="21"/>
        </w:rPr>
        <w:t>representatives</w:t>
      </w:r>
      <w:r>
        <w:rPr>
          <w:spacing w:val="-24"/>
          <w:w w:val="105"/>
          <w:sz w:val="21"/>
        </w:rPr>
        <w:t> </w:t>
      </w:r>
      <w:r>
        <w:rPr>
          <w:w w:val="105"/>
          <w:sz w:val="21"/>
        </w:rPr>
        <w:t>who</w:t>
      </w:r>
      <w:r>
        <w:rPr>
          <w:spacing w:val="-25"/>
          <w:w w:val="105"/>
          <w:sz w:val="21"/>
        </w:rPr>
        <w:t> </w:t>
      </w:r>
      <w:r>
        <w:rPr>
          <w:spacing w:val="-3"/>
          <w:w w:val="105"/>
          <w:sz w:val="21"/>
        </w:rPr>
        <w:t>administer </w:t>
      </w:r>
      <w:r>
        <w:rPr>
          <w:w w:val="105"/>
          <w:sz w:val="21"/>
        </w:rPr>
        <w:t>the estate themselves,</w:t>
      </w:r>
      <w:r>
        <w:rPr>
          <w:spacing w:val="13"/>
          <w:w w:val="105"/>
          <w:sz w:val="21"/>
        </w:rPr>
        <w:t> </w:t>
      </w:r>
      <w:r>
        <w:rPr>
          <w:spacing w:val="-3"/>
          <w:w w:val="105"/>
          <w:sz w:val="21"/>
        </w:rPr>
        <w:t>including:</w:t>
      </w:r>
    </w:p>
    <w:p>
      <w:pPr>
        <w:pStyle w:val="ListParagraph"/>
        <w:numPr>
          <w:ilvl w:val="2"/>
          <w:numId w:val="22"/>
        </w:numPr>
        <w:tabs>
          <w:tab w:pos="2721" w:val="left" w:leader="none"/>
        </w:tabs>
        <w:spacing w:line="242" w:lineRule="auto" w:before="123" w:after="0"/>
        <w:ind w:left="2720" w:right="2375" w:hanging="340"/>
        <w:jc w:val="both"/>
        <w:rPr>
          <w:sz w:val="12"/>
        </w:rPr>
      </w:pPr>
      <w:r>
        <w:rPr>
          <w:sz w:val="21"/>
        </w:rPr>
        <w:t>a </w:t>
      </w:r>
      <w:r>
        <w:rPr>
          <w:spacing w:val="-3"/>
          <w:sz w:val="21"/>
        </w:rPr>
        <w:t>small </w:t>
      </w:r>
      <w:r>
        <w:rPr>
          <w:sz w:val="21"/>
        </w:rPr>
        <w:t>estates service, provided by the </w:t>
      </w:r>
      <w:r>
        <w:rPr>
          <w:spacing w:val="-3"/>
          <w:sz w:val="21"/>
        </w:rPr>
        <w:t>Probate </w:t>
      </w:r>
      <w:r>
        <w:rPr>
          <w:sz w:val="21"/>
        </w:rPr>
        <w:t>Office of the </w:t>
      </w:r>
      <w:r>
        <w:rPr>
          <w:spacing w:val="-3"/>
          <w:sz w:val="21"/>
        </w:rPr>
        <w:t>Supreme Court, that </w:t>
      </w:r>
      <w:r>
        <w:rPr>
          <w:sz w:val="21"/>
        </w:rPr>
        <w:t>assists </w:t>
      </w:r>
      <w:r>
        <w:rPr>
          <w:spacing w:val="-3"/>
          <w:sz w:val="21"/>
        </w:rPr>
        <w:t>individuals to </w:t>
      </w:r>
      <w:r>
        <w:rPr>
          <w:sz w:val="21"/>
        </w:rPr>
        <w:t>apply </w:t>
      </w:r>
      <w:r>
        <w:rPr>
          <w:spacing w:val="-3"/>
          <w:sz w:val="21"/>
        </w:rPr>
        <w:t>for </w:t>
      </w:r>
      <w:r>
        <w:rPr>
          <w:sz w:val="21"/>
        </w:rPr>
        <w:t>a </w:t>
      </w:r>
      <w:r>
        <w:rPr>
          <w:spacing w:val="-3"/>
          <w:sz w:val="21"/>
        </w:rPr>
        <w:t>grant </w:t>
      </w:r>
      <w:r>
        <w:rPr>
          <w:sz w:val="21"/>
        </w:rPr>
        <w:t>of </w:t>
      </w:r>
      <w:r>
        <w:rPr>
          <w:spacing w:val="-2"/>
          <w:sz w:val="21"/>
        </w:rPr>
        <w:t>representation </w:t>
      </w:r>
      <w:r>
        <w:rPr>
          <w:spacing w:val="-3"/>
          <w:sz w:val="21"/>
        </w:rPr>
        <w:t>for </w:t>
      </w:r>
      <w:r>
        <w:rPr>
          <w:sz w:val="21"/>
        </w:rPr>
        <w:t>a </w:t>
      </w:r>
      <w:r>
        <w:rPr>
          <w:spacing w:val="-3"/>
          <w:sz w:val="21"/>
        </w:rPr>
        <w:t>small </w:t>
      </w:r>
      <w:r>
        <w:rPr>
          <w:sz w:val="21"/>
        </w:rPr>
        <w:t>estate </w:t>
      </w:r>
      <w:r>
        <w:rPr>
          <w:spacing w:val="-3"/>
          <w:sz w:val="21"/>
        </w:rPr>
        <w:t>that </w:t>
      </w:r>
      <w:r>
        <w:rPr>
          <w:sz w:val="21"/>
        </w:rPr>
        <w:t>is </w:t>
      </w:r>
      <w:r>
        <w:rPr>
          <w:spacing w:val="-3"/>
          <w:sz w:val="21"/>
        </w:rPr>
        <w:t>valued </w:t>
      </w:r>
      <w:r>
        <w:rPr>
          <w:sz w:val="21"/>
        </w:rPr>
        <w:t>at $50,000 or</w:t>
      </w:r>
      <w:r>
        <w:rPr>
          <w:spacing w:val="35"/>
          <w:sz w:val="21"/>
        </w:rPr>
        <w:t> </w:t>
      </w:r>
      <w:r>
        <w:rPr>
          <w:sz w:val="21"/>
        </w:rPr>
        <w:t>less </w:t>
      </w:r>
      <w:r>
        <w:rPr>
          <w:position w:val="7"/>
          <w:sz w:val="12"/>
        </w:rPr>
        <w:t>1</w:t>
      </w:r>
    </w:p>
    <w:p>
      <w:pPr>
        <w:pStyle w:val="ListParagraph"/>
        <w:numPr>
          <w:ilvl w:val="2"/>
          <w:numId w:val="22"/>
        </w:numPr>
        <w:tabs>
          <w:tab w:pos="2722" w:val="left" w:leader="none"/>
        </w:tabs>
        <w:spacing w:line="242" w:lineRule="auto" w:before="123" w:after="0"/>
        <w:ind w:left="2721" w:right="2282" w:hanging="340"/>
        <w:jc w:val="both"/>
        <w:rPr>
          <w:sz w:val="12"/>
        </w:rPr>
      </w:pPr>
      <w:r>
        <w:rPr>
          <w:w w:val="105"/>
          <w:sz w:val="21"/>
        </w:rPr>
        <w:t>legal</w:t>
      </w:r>
      <w:r>
        <w:rPr>
          <w:spacing w:val="-14"/>
          <w:w w:val="105"/>
          <w:sz w:val="21"/>
        </w:rPr>
        <w:t> </w:t>
      </w:r>
      <w:r>
        <w:rPr>
          <w:w w:val="105"/>
          <w:sz w:val="21"/>
        </w:rPr>
        <w:t>protection</w:t>
      </w:r>
      <w:r>
        <w:rPr>
          <w:spacing w:val="-14"/>
          <w:w w:val="105"/>
          <w:sz w:val="21"/>
        </w:rPr>
        <w:t> </w:t>
      </w:r>
      <w:r>
        <w:rPr>
          <w:spacing w:val="-3"/>
          <w:w w:val="105"/>
          <w:sz w:val="21"/>
        </w:rPr>
        <w:t>for</w:t>
      </w:r>
      <w:r>
        <w:rPr>
          <w:spacing w:val="-14"/>
          <w:w w:val="105"/>
          <w:sz w:val="21"/>
        </w:rPr>
        <w:t> </w:t>
      </w:r>
      <w:r>
        <w:rPr>
          <w:w w:val="105"/>
          <w:sz w:val="21"/>
        </w:rPr>
        <w:t>personal</w:t>
      </w:r>
      <w:r>
        <w:rPr>
          <w:spacing w:val="-14"/>
          <w:w w:val="105"/>
          <w:sz w:val="21"/>
        </w:rPr>
        <w:t> </w:t>
      </w:r>
      <w:r>
        <w:rPr>
          <w:w w:val="105"/>
          <w:sz w:val="21"/>
        </w:rPr>
        <w:t>representatives</w:t>
      </w:r>
      <w:r>
        <w:rPr>
          <w:spacing w:val="-14"/>
          <w:w w:val="105"/>
          <w:sz w:val="21"/>
        </w:rPr>
        <w:t> </w:t>
      </w:r>
      <w:r>
        <w:rPr>
          <w:w w:val="105"/>
          <w:sz w:val="21"/>
        </w:rPr>
        <w:t>of</w:t>
      </w:r>
      <w:r>
        <w:rPr>
          <w:spacing w:val="-14"/>
          <w:w w:val="105"/>
          <w:sz w:val="21"/>
        </w:rPr>
        <w:t> </w:t>
      </w:r>
      <w:r>
        <w:rPr>
          <w:spacing w:val="-3"/>
          <w:w w:val="105"/>
          <w:sz w:val="21"/>
        </w:rPr>
        <w:t>small</w:t>
      </w:r>
      <w:r>
        <w:rPr>
          <w:spacing w:val="-14"/>
          <w:w w:val="105"/>
          <w:sz w:val="21"/>
        </w:rPr>
        <w:t> </w:t>
      </w:r>
      <w:r>
        <w:rPr>
          <w:w w:val="105"/>
          <w:sz w:val="21"/>
        </w:rPr>
        <w:t>estates</w:t>
      </w:r>
      <w:r>
        <w:rPr>
          <w:spacing w:val="-14"/>
          <w:w w:val="105"/>
          <w:sz w:val="21"/>
        </w:rPr>
        <w:t> </w:t>
      </w:r>
      <w:r>
        <w:rPr>
          <w:w w:val="105"/>
          <w:sz w:val="21"/>
        </w:rPr>
        <w:t>who</w:t>
      </w:r>
      <w:r>
        <w:rPr>
          <w:spacing w:val="-14"/>
          <w:w w:val="105"/>
          <w:sz w:val="21"/>
        </w:rPr>
        <w:t> </w:t>
      </w:r>
      <w:r>
        <w:rPr>
          <w:w w:val="105"/>
          <w:sz w:val="21"/>
        </w:rPr>
        <w:t>do</w:t>
      </w:r>
      <w:r>
        <w:rPr>
          <w:spacing w:val="-14"/>
          <w:w w:val="105"/>
          <w:sz w:val="21"/>
        </w:rPr>
        <w:t> </w:t>
      </w:r>
      <w:r>
        <w:rPr>
          <w:spacing w:val="-2"/>
          <w:w w:val="105"/>
          <w:sz w:val="21"/>
        </w:rPr>
        <w:t>not</w:t>
      </w:r>
      <w:r>
        <w:rPr>
          <w:spacing w:val="-13"/>
          <w:w w:val="105"/>
          <w:sz w:val="21"/>
        </w:rPr>
        <w:t> </w:t>
      </w:r>
      <w:r>
        <w:rPr>
          <w:w w:val="105"/>
          <w:sz w:val="21"/>
        </w:rPr>
        <w:t>apply </w:t>
      </w:r>
      <w:r>
        <w:rPr>
          <w:spacing w:val="-3"/>
          <w:w w:val="105"/>
          <w:sz w:val="21"/>
        </w:rPr>
        <w:t>for </w:t>
      </w:r>
      <w:r>
        <w:rPr>
          <w:w w:val="105"/>
          <w:sz w:val="21"/>
        </w:rPr>
        <w:t>a </w:t>
      </w:r>
      <w:r>
        <w:rPr>
          <w:spacing w:val="-3"/>
          <w:w w:val="105"/>
          <w:sz w:val="21"/>
        </w:rPr>
        <w:t>grant </w:t>
      </w:r>
      <w:r>
        <w:rPr>
          <w:w w:val="105"/>
          <w:sz w:val="21"/>
        </w:rPr>
        <w:t>of </w:t>
      </w:r>
      <w:r>
        <w:rPr>
          <w:spacing w:val="-2"/>
          <w:w w:val="105"/>
          <w:sz w:val="21"/>
        </w:rPr>
        <w:t>representation </w:t>
      </w:r>
      <w:r>
        <w:rPr>
          <w:w w:val="105"/>
          <w:sz w:val="21"/>
        </w:rPr>
        <w:t>but </w:t>
      </w:r>
      <w:r>
        <w:rPr>
          <w:spacing w:val="-3"/>
          <w:w w:val="105"/>
          <w:sz w:val="21"/>
        </w:rPr>
        <w:t>instead administer</w:t>
      </w:r>
      <w:r>
        <w:rPr>
          <w:spacing w:val="33"/>
          <w:w w:val="105"/>
          <w:sz w:val="21"/>
        </w:rPr>
        <w:t> </w:t>
      </w:r>
      <w:r>
        <w:rPr>
          <w:spacing w:val="-4"/>
          <w:w w:val="105"/>
          <w:sz w:val="21"/>
        </w:rPr>
        <w:t>informally.</w:t>
      </w:r>
      <w:r>
        <w:rPr>
          <w:spacing w:val="-4"/>
          <w:w w:val="105"/>
          <w:position w:val="7"/>
          <w:sz w:val="12"/>
        </w:rPr>
        <w:t>2</w:t>
      </w:r>
    </w:p>
    <w:p>
      <w:pPr>
        <w:pStyle w:val="ListParagraph"/>
        <w:numPr>
          <w:ilvl w:val="1"/>
          <w:numId w:val="22"/>
        </w:numPr>
        <w:tabs>
          <w:tab w:pos="2380" w:val="left" w:leader="none"/>
          <w:tab w:pos="2381" w:val="left" w:leader="none"/>
        </w:tabs>
        <w:spacing w:line="242" w:lineRule="auto" w:before="122" w:after="0"/>
        <w:ind w:left="2381" w:right="2209" w:hanging="794"/>
        <w:jc w:val="left"/>
        <w:rPr>
          <w:sz w:val="21"/>
        </w:rPr>
      </w:pPr>
      <w:r>
        <w:rPr>
          <w:sz w:val="21"/>
        </w:rPr>
        <w:t>There </w:t>
      </w:r>
      <w:r>
        <w:rPr>
          <w:spacing w:val="-3"/>
          <w:sz w:val="21"/>
        </w:rPr>
        <w:t>are </w:t>
      </w:r>
      <w:r>
        <w:rPr>
          <w:sz w:val="21"/>
        </w:rPr>
        <w:t>also </w:t>
      </w:r>
      <w:r>
        <w:rPr>
          <w:spacing w:val="-3"/>
          <w:sz w:val="21"/>
        </w:rPr>
        <w:t>measures </w:t>
      </w:r>
      <w:r>
        <w:rPr>
          <w:sz w:val="21"/>
        </w:rPr>
        <w:t>designed </w:t>
      </w:r>
      <w:r>
        <w:rPr>
          <w:spacing w:val="-3"/>
          <w:sz w:val="21"/>
        </w:rPr>
        <w:t>to encourage  </w:t>
      </w:r>
      <w:r>
        <w:rPr>
          <w:sz w:val="21"/>
        </w:rPr>
        <w:t>trustee </w:t>
      </w:r>
      <w:r>
        <w:rPr>
          <w:spacing w:val="-3"/>
          <w:sz w:val="21"/>
        </w:rPr>
        <w:t>companies</w:t>
      </w:r>
      <w:r>
        <w:rPr>
          <w:spacing w:val="41"/>
          <w:sz w:val="21"/>
        </w:rPr>
        <w:t> </w:t>
      </w:r>
      <w:r>
        <w:rPr>
          <w:spacing w:val="-3"/>
          <w:sz w:val="21"/>
        </w:rPr>
        <w:t>to  </w:t>
      </w:r>
      <w:r>
        <w:rPr>
          <w:sz w:val="21"/>
        </w:rPr>
        <w:t>obtain grants of </w:t>
      </w:r>
      <w:r>
        <w:rPr>
          <w:spacing w:val="-2"/>
          <w:sz w:val="21"/>
        </w:rPr>
        <w:t>representation </w:t>
      </w:r>
      <w:r>
        <w:rPr>
          <w:spacing w:val="-3"/>
          <w:sz w:val="21"/>
        </w:rPr>
        <w:t>for small </w:t>
      </w:r>
      <w:r>
        <w:rPr>
          <w:sz w:val="21"/>
        </w:rPr>
        <w:t>estates. These</w:t>
      </w:r>
      <w:r>
        <w:rPr>
          <w:spacing w:val="13"/>
          <w:sz w:val="21"/>
        </w:rPr>
        <w:t> </w:t>
      </w:r>
      <w:r>
        <w:rPr>
          <w:sz w:val="21"/>
        </w:rPr>
        <w:t>are:</w:t>
      </w:r>
    </w:p>
    <w:p>
      <w:pPr>
        <w:pStyle w:val="ListParagraph"/>
        <w:numPr>
          <w:ilvl w:val="2"/>
          <w:numId w:val="22"/>
        </w:numPr>
        <w:tabs>
          <w:tab w:pos="2721" w:val="left" w:leader="none"/>
          <w:tab w:pos="2722" w:val="left" w:leader="none"/>
        </w:tabs>
        <w:spacing w:line="242" w:lineRule="auto" w:before="122" w:after="0"/>
        <w:ind w:left="2721" w:right="1827" w:hanging="340"/>
        <w:jc w:val="left"/>
        <w:rPr>
          <w:sz w:val="21"/>
        </w:rPr>
      </w:pPr>
      <w:r>
        <w:rPr>
          <w:sz w:val="21"/>
        </w:rPr>
        <w:t>expedited processes </w:t>
      </w:r>
      <w:r>
        <w:rPr>
          <w:spacing w:val="-3"/>
          <w:sz w:val="21"/>
        </w:rPr>
        <w:t>for </w:t>
      </w:r>
      <w:r>
        <w:rPr>
          <w:sz w:val="21"/>
        </w:rPr>
        <w:t>trustee </w:t>
      </w:r>
      <w:r>
        <w:rPr>
          <w:spacing w:val="-3"/>
          <w:sz w:val="21"/>
        </w:rPr>
        <w:t>companies </w:t>
      </w:r>
      <w:r>
        <w:rPr>
          <w:sz w:val="21"/>
        </w:rPr>
        <w:t>when </w:t>
      </w:r>
      <w:r>
        <w:rPr>
          <w:spacing w:val="-3"/>
          <w:sz w:val="21"/>
        </w:rPr>
        <w:t>obtaining </w:t>
      </w:r>
      <w:r>
        <w:rPr>
          <w:sz w:val="21"/>
        </w:rPr>
        <w:t>grants of </w:t>
      </w:r>
      <w:r>
        <w:rPr>
          <w:spacing w:val="-2"/>
          <w:sz w:val="21"/>
        </w:rPr>
        <w:t>representation</w:t>
      </w:r>
      <w:r>
        <w:rPr>
          <w:spacing w:val="43"/>
          <w:sz w:val="21"/>
        </w:rPr>
        <w:t> </w:t>
      </w:r>
      <w:r>
        <w:rPr>
          <w:spacing w:val="-3"/>
          <w:sz w:val="21"/>
        </w:rPr>
        <w:t>for</w:t>
      </w:r>
      <w:r>
        <w:rPr>
          <w:spacing w:val="9"/>
          <w:sz w:val="21"/>
        </w:rPr>
        <w:t> </w:t>
      </w:r>
      <w:r>
        <w:rPr>
          <w:spacing w:val="-3"/>
          <w:sz w:val="21"/>
        </w:rPr>
        <w:t>small</w:t>
      </w:r>
      <w:r>
        <w:rPr>
          <w:spacing w:val="10"/>
          <w:sz w:val="21"/>
        </w:rPr>
        <w:t> </w:t>
      </w:r>
      <w:r>
        <w:rPr>
          <w:sz w:val="21"/>
        </w:rPr>
        <w:t>estates</w:t>
      </w:r>
      <w:r>
        <w:rPr>
          <w:spacing w:val="10"/>
          <w:sz w:val="21"/>
        </w:rPr>
        <w:t> </w:t>
      </w:r>
      <w:r>
        <w:rPr>
          <w:spacing w:val="-3"/>
          <w:sz w:val="21"/>
        </w:rPr>
        <w:t>that</w:t>
      </w:r>
      <w:r>
        <w:rPr>
          <w:spacing w:val="10"/>
          <w:sz w:val="21"/>
        </w:rPr>
        <w:t> </w:t>
      </w:r>
      <w:r>
        <w:rPr>
          <w:spacing w:val="-3"/>
          <w:sz w:val="21"/>
        </w:rPr>
        <w:t>are</w:t>
      </w:r>
      <w:r>
        <w:rPr>
          <w:spacing w:val="10"/>
          <w:sz w:val="21"/>
        </w:rPr>
        <w:t> </w:t>
      </w:r>
      <w:r>
        <w:rPr>
          <w:spacing w:val="-3"/>
          <w:sz w:val="21"/>
        </w:rPr>
        <w:t>valued</w:t>
      </w:r>
      <w:r>
        <w:rPr>
          <w:spacing w:val="9"/>
          <w:sz w:val="21"/>
        </w:rPr>
        <w:t> </w:t>
      </w:r>
      <w:r>
        <w:rPr>
          <w:sz w:val="21"/>
        </w:rPr>
        <w:t>at</w:t>
      </w:r>
      <w:r>
        <w:rPr>
          <w:spacing w:val="10"/>
          <w:sz w:val="21"/>
        </w:rPr>
        <w:t> </w:t>
      </w:r>
      <w:r>
        <w:rPr>
          <w:sz w:val="21"/>
        </w:rPr>
        <w:t>$50,000</w:t>
      </w:r>
      <w:r>
        <w:rPr>
          <w:spacing w:val="10"/>
          <w:sz w:val="21"/>
        </w:rPr>
        <w:t> </w:t>
      </w:r>
      <w:r>
        <w:rPr>
          <w:sz w:val="21"/>
        </w:rPr>
        <w:t>or</w:t>
      </w:r>
      <w:r>
        <w:rPr>
          <w:spacing w:val="10"/>
          <w:sz w:val="21"/>
        </w:rPr>
        <w:t> </w:t>
      </w:r>
      <w:r>
        <w:rPr>
          <w:sz w:val="21"/>
        </w:rPr>
        <w:t>less</w:t>
      </w:r>
    </w:p>
    <w:p>
      <w:pPr>
        <w:pStyle w:val="ListParagraph"/>
        <w:numPr>
          <w:ilvl w:val="2"/>
          <w:numId w:val="22"/>
        </w:numPr>
        <w:tabs>
          <w:tab w:pos="2721" w:val="left" w:leader="none"/>
          <w:tab w:pos="2722" w:val="left" w:leader="none"/>
        </w:tabs>
        <w:spacing w:line="240" w:lineRule="auto" w:before="122" w:after="0"/>
        <w:ind w:left="2721" w:right="0" w:hanging="340"/>
        <w:jc w:val="left"/>
        <w:rPr>
          <w:sz w:val="21"/>
        </w:rPr>
      </w:pPr>
      <w:r>
        <w:rPr>
          <w:sz w:val="21"/>
        </w:rPr>
        <w:t>a</w:t>
      </w:r>
      <w:r>
        <w:rPr>
          <w:spacing w:val="10"/>
          <w:sz w:val="21"/>
        </w:rPr>
        <w:t> </w:t>
      </w:r>
      <w:r>
        <w:rPr>
          <w:spacing w:val="-3"/>
          <w:sz w:val="21"/>
        </w:rPr>
        <w:t>government</w:t>
      </w:r>
      <w:r>
        <w:rPr>
          <w:spacing w:val="10"/>
          <w:sz w:val="21"/>
        </w:rPr>
        <w:t> </w:t>
      </w:r>
      <w:r>
        <w:rPr>
          <w:sz w:val="21"/>
        </w:rPr>
        <w:t>subsidy</w:t>
      </w:r>
      <w:r>
        <w:rPr>
          <w:spacing w:val="10"/>
          <w:sz w:val="21"/>
        </w:rPr>
        <w:t> </w:t>
      </w:r>
      <w:r>
        <w:rPr>
          <w:sz w:val="21"/>
        </w:rPr>
        <w:t>provided</w:t>
      </w:r>
      <w:r>
        <w:rPr>
          <w:spacing w:val="11"/>
          <w:sz w:val="21"/>
        </w:rPr>
        <w:t> </w:t>
      </w:r>
      <w:r>
        <w:rPr>
          <w:spacing w:val="-3"/>
          <w:sz w:val="21"/>
        </w:rPr>
        <w:t>to</w:t>
      </w:r>
      <w:r>
        <w:rPr>
          <w:spacing w:val="10"/>
          <w:sz w:val="21"/>
        </w:rPr>
        <w:t> </w:t>
      </w:r>
      <w:r>
        <w:rPr>
          <w:spacing w:val="-3"/>
          <w:sz w:val="21"/>
        </w:rPr>
        <w:t>State</w:t>
      </w:r>
      <w:r>
        <w:rPr>
          <w:spacing w:val="10"/>
          <w:sz w:val="21"/>
        </w:rPr>
        <w:t> </w:t>
      </w:r>
      <w:r>
        <w:rPr>
          <w:spacing w:val="-4"/>
          <w:sz w:val="21"/>
        </w:rPr>
        <w:t>Trustees</w:t>
      </w:r>
      <w:r>
        <w:rPr>
          <w:spacing w:val="10"/>
          <w:sz w:val="21"/>
        </w:rPr>
        <w:t> </w:t>
      </w:r>
      <w:r>
        <w:rPr>
          <w:spacing w:val="-3"/>
          <w:sz w:val="21"/>
        </w:rPr>
        <w:t>to</w:t>
      </w:r>
      <w:r>
        <w:rPr>
          <w:spacing w:val="11"/>
          <w:sz w:val="21"/>
        </w:rPr>
        <w:t> </w:t>
      </w:r>
      <w:r>
        <w:rPr>
          <w:spacing w:val="-3"/>
          <w:sz w:val="21"/>
        </w:rPr>
        <w:t>administer</w:t>
      </w:r>
      <w:r>
        <w:rPr>
          <w:spacing w:val="10"/>
          <w:sz w:val="21"/>
        </w:rPr>
        <w:t> </w:t>
      </w:r>
      <w:r>
        <w:rPr>
          <w:spacing w:val="-3"/>
          <w:sz w:val="21"/>
        </w:rPr>
        <w:t>small</w:t>
      </w:r>
      <w:r>
        <w:rPr>
          <w:spacing w:val="10"/>
          <w:sz w:val="21"/>
        </w:rPr>
        <w:t> </w:t>
      </w:r>
      <w:r>
        <w:rPr>
          <w:sz w:val="21"/>
        </w:rPr>
        <w:t>estates.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5"/>
        </w:rPr>
      </w:pPr>
      <w:r>
        <w:rPr/>
        <w:pict>
          <v:line style="position:absolute;mso-position-horizontal-relative:page;mso-position-vertical-relative:paragraph;z-index:11192;mso-wrap-distance-left:0;mso-wrap-distance-right:0" from="79.370102pt,18.025349pt" to="515.905102pt,18.025349pt" stroked="true" strokeweight="1pt" strokecolor="#f9ceca">
            <v:stroke dashstyle="solid"/>
            <w10:wrap type="topAndBottom"/>
          </v:line>
        </w:pict>
      </w:r>
    </w:p>
    <w:p>
      <w:pPr>
        <w:pStyle w:val="BodyText"/>
        <w:spacing w:before="8"/>
        <w:rPr>
          <w:sz w:val="5"/>
        </w:rPr>
      </w:pPr>
    </w:p>
    <w:p>
      <w:pPr>
        <w:spacing w:after="0"/>
        <w:rPr>
          <w:sz w:val="5"/>
        </w:rPr>
        <w:sectPr>
          <w:pgSz w:w="11910" w:h="16840"/>
          <w:pgMar w:header="550" w:footer="0" w:top="1560" w:bottom="280" w:left="0" w:right="0"/>
        </w:sectPr>
      </w:pPr>
    </w:p>
    <w:p>
      <w:pPr>
        <w:pStyle w:val="BodyText"/>
        <w:spacing w:before="9"/>
        <w:rPr>
          <w:sz w:val="22"/>
        </w:rPr>
      </w:pPr>
    </w:p>
    <w:p>
      <w:pPr>
        <w:spacing w:before="0"/>
        <w:ind w:left="720" w:right="0" w:firstLine="0"/>
        <w:jc w:val="left"/>
        <w:rPr>
          <w:b/>
          <w:sz w:val="24"/>
        </w:rPr>
      </w:pPr>
      <w:r>
        <w:rPr>
          <w:b/>
          <w:color w:val="EC5A4F"/>
          <w:w w:val="105"/>
          <w:sz w:val="24"/>
        </w:rPr>
        <w:t>188</w:t>
      </w:r>
    </w:p>
    <w:p>
      <w:pPr>
        <w:pStyle w:val="ListParagraph"/>
        <w:numPr>
          <w:ilvl w:val="0"/>
          <w:numId w:val="140"/>
        </w:numPr>
        <w:tabs>
          <w:tab w:pos="1222" w:val="left" w:leader="none"/>
          <w:tab w:pos="1224" w:val="left" w:leader="none"/>
        </w:tabs>
        <w:spacing w:line="240" w:lineRule="auto" w:before="48" w:after="0"/>
        <w:ind w:left="1223" w:right="1819" w:hanging="794"/>
        <w:jc w:val="left"/>
        <w:rPr>
          <w:sz w:val="13"/>
        </w:rPr>
      </w:pPr>
      <w:r>
        <w:rPr>
          <w:spacing w:val="3"/>
          <w:w w:val="109"/>
          <w:sz w:val="13"/>
        </w:rPr>
        <w:br w:type="column"/>
      </w:r>
      <w:r>
        <w:rPr>
          <w:w w:val="105"/>
          <w:sz w:val="13"/>
        </w:rPr>
        <w:t>Or $25,000 where the beneficiaries are not the ‘child(ren), partner </w:t>
      </w:r>
      <w:r>
        <w:rPr>
          <w:spacing w:val="2"/>
          <w:w w:val="105"/>
          <w:sz w:val="13"/>
        </w:rPr>
        <w:t>and/or </w:t>
      </w:r>
      <w:r>
        <w:rPr>
          <w:w w:val="105"/>
          <w:sz w:val="13"/>
        </w:rPr>
        <w:t>sole surviving parent of the deceased person’: </w:t>
      </w:r>
      <w:r>
        <w:rPr>
          <w:i/>
          <w:w w:val="105"/>
          <w:sz w:val="13"/>
        </w:rPr>
        <w:t>Administration </w:t>
      </w:r>
      <w:r>
        <w:rPr>
          <w:i/>
          <w:w w:val="105"/>
          <w:sz w:val="13"/>
        </w:rPr>
        <w:t>and</w:t>
      </w:r>
      <w:r>
        <w:rPr>
          <w:i/>
          <w:spacing w:val="3"/>
          <w:w w:val="105"/>
          <w:sz w:val="13"/>
        </w:rPr>
        <w:t> </w:t>
      </w:r>
      <w:r>
        <w:rPr>
          <w:i/>
          <w:w w:val="105"/>
          <w:sz w:val="13"/>
        </w:rPr>
        <w:t>Probate</w:t>
      </w:r>
      <w:r>
        <w:rPr>
          <w:i/>
          <w:spacing w:val="3"/>
          <w:w w:val="105"/>
          <w:sz w:val="13"/>
        </w:rPr>
        <w:t> </w:t>
      </w:r>
      <w:r>
        <w:rPr>
          <w:i/>
          <w:w w:val="105"/>
          <w:sz w:val="13"/>
        </w:rPr>
        <w:t>Act</w:t>
      </w:r>
      <w:r>
        <w:rPr>
          <w:i/>
          <w:spacing w:val="4"/>
          <w:w w:val="105"/>
          <w:sz w:val="13"/>
        </w:rPr>
        <w:t> </w:t>
      </w:r>
      <w:r>
        <w:rPr>
          <w:i/>
          <w:w w:val="105"/>
          <w:sz w:val="13"/>
        </w:rPr>
        <w:t>1958</w:t>
      </w:r>
      <w:r>
        <w:rPr>
          <w:i/>
          <w:spacing w:val="4"/>
          <w:w w:val="105"/>
          <w:sz w:val="13"/>
        </w:rPr>
        <w:t> </w:t>
      </w:r>
      <w:r>
        <w:rPr>
          <w:spacing w:val="2"/>
          <w:w w:val="105"/>
          <w:sz w:val="13"/>
        </w:rPr>
        <w:t>(Vic)</w:t>
      </w:r>
      <w:r>
        <w:rPr>
          <w:spacing w:val="5"/>
          <w:w w:val="105"/>
          <w:sz w:val="13"/>
        </w:rPr>
        <w:t> </w:t>
      </w:r>
      <w:r>
        <w:rPr>
          <w:w w:val="105"/>
          <w:sz w:val="13"/>
        </w:rPr>
        <w:t>ss</w:t>
      </w:r>
      <w:r>
        <w:rPr>
          <w:spacing w:val="4"/>
          <w:w w:val="105"/>
          <w:sz w:val="13"/>
        </w:rPr>
        <w:t> </w:t>
      </w:r>
      <w:r>
        <w:rPr>
          <w:w w:val="105"/>
          <w:sz w:val="13"/>
        </w:rPr>
        <w:t>3</w:t>
      </w:r>
      <w:r>
        <w:rPr>
          <w:spacing w:val="4"/>
          <w:w w:val="105"/>
          <w:sz w:val="13"/>
        </w:rPr>
        <w:t> </w:t>
      </w:r>
      <w:r>
        <w:rPr>
          <w:w w:val="105"/>
          <w:sz w:val="13"/>
        </w:rPr>
        <w:t>(definition</w:t>
      </w:r>
      <w:r>
        <w:rPr>
          <w:spacing w:val="5"/>
          <w:w w:val="105"/>
          <w:sz w:val="13"/>
        </w:rPr>
        <w:t> </w:t>
      </w:r>
      <w:r>
        <w:rPr>
          <w:w w:val="105"/>
          <w:sz w:val="13"/>
        </w:rPr>
        <w:t>of</w:t>
      </w:r>
      <w:r>
        <w:rPr>
          <w:spacing w:val="4"/>
          <w:w w:val="105"/>
          <w:sz w:val="13"/>
        </w:rPr>
        <w:t> </w:t>
      </w:r>
      <w:r>
        <w:rPr>
          <w:w w:val="105"/>
          <w:sz w:val="13"/>
        </w:rPr>
        <w:t>‘small</w:t>
      </w:r>
      <w:r>
        <w:rPr>
          <w:spacing w:val="5"/>
          <w:w w:val="105"/>
          <w:sz w:val="13"/>
        </w:rPr>
        <w:t> </w:t>
      </w:r>
      <w:r>
        <w:rPr>
          <w:spacing w:val="2"/>
          <w:w w:val="105"/>
          <w:sz w:val="13"/>
        </w:rPr>
        <w:t>estate’),</w:t>
      </w:r>
      <w:r>
        <w:rPr>
          <w:spacing w:val="4"/>
          <w:w w:val="105"/>
          <w:sz w:val="13"/>
        </w:rPr>
        <w:t> </w:t>
      </w:r>
      <w:r>
        <w:rPr>
          <w:w w:val="105"/>
          <w:sz w:val="13"/>
        </w:rPr>
        <w:t>71(1).</w:t>
      </w:r>
    </w:p>
    <w:p>
      <w:pPr>
        <w:pStyle w:val="ListParagraph"/>
        <w:numPr>
          <w:ilvl w:val="0"/>
          <w:numId w:val="140"/>
        </w:numPr>
        <w:tabs>
          <w:tab w:pos="1222" w:val="left" w:leader="none"/>
          <w:tab w:pos="1224" w:val="left" w:leader="none"/>
        </w:tabs>
        <w:spacing w:line="240" w:lineRule="auto" w:before="3" w:after="0"/>
        <w:ind w:left="1223" w:right="0" w:hanging="794"/>
        <w:jc w:val="left"/>
        <w:rPr>
          <w:sz w:val="13"/>
        </w:rPr>
      </w:pPr>
      <w:r>
        <w:rPr>
          <w:w w:val="105"/>
          <w:sz w:val="13"/>
        </w:rPr>
        <w:t>See, eg, </w:t>
      </w:r>
      <w:r>
        <w:rPr>
          <w:i/>
          <w:w w:val="105"/>
          <w:sz w:val="13"/>
        </w:rPr>
        <w:t>Administration and Probate Act 1958 </w:t>
      </w:r>
      <w:r>
        <w:rPr>
          <w:spacing w:val="2"/>
          <w:w w:val="105"/>
          <w:sz w:val="13"/>
        </w:rPr>
        <w:t>(Vic) </w:t>
      </w:r>
      <w:r>
        <w:rPr>
          <w:w w:val="105"/>
          <w:sz w:val="13"/>
        </w:rPr>
        <w:t>s</w:t>
      </w:r>
      <w:r>
        <w:rPr>
          <w:spacing w:val="4"/>
          <w:w w:val="105"/>
          <w:sz w:val="13"/>
        </w:rPr>
        <w:t> </w:t>
      </w:r>
      <w:r>
        <w:rPr>
          <w:w w:val="105"/>
          <w:sz w:val="13"/>
        </w:rPr>
        <w:t>33.</w:t>
      </w:r>
    </w:p>
    <w:p>
      <w:pPr>
        <w:spacing w:after="0" w:line="240" w:lineRule="auto"/>
        <w:jc w:val="left"/>
        <w:rPr>
          <w:sz w:val="13"/>
        </w:rPr>
        <w:sectPr>
          <w:type w:val="continuous"/>
          <w:pgSz w:w="11910" w:h="16840"/>
          <w:pgMar w:top="920" w:bottom="280" w:left="0" w:right="0"/>
          <w:cols w:num="2" w:equalWidth="0">
            <w:col w:w="1119" w:space="40"/>
            <w:col w:w="10751"/>
          </w:cols>
        </w:sectPr>
      </w:pPr>
    </w:p>
    <w:p>
      <w:pPr>
        <w:pStyle w:val="BodyText"/>
        <w:rPr>
          <w:sz w:val="20"/>
        </w:rPr>
      </w:pPr>
    </w:p>
    <w:p>
      <w:pPr>
        <w:pStyle w:val="BodyText"/>
        <w:rPr>
          <w:sz w:val="19"/>
        </w:rPr>
      </w:pPr>
    </w:p>
    <w:p>
      <w:pPr>
        <w:pStyle w:val="ListParagraph"/>
        <w:numPr>
          <w:ilvl w:val="1"/>
          <w:numId w:val="22"/>
        </w:numPr>
        <w:tabs>
          <w:tab w:pos="2380" w:val="left" w:leader="none"/>
          <w:tab w:pos="2381" w:val="left" w:leader="none"/>
        </w:tabs>
        <w:spacing w:line="242" w:lineRule="auto" w:before="91" w:after="0"/>
        <w:ind w:left="2381" w:right="2057" w:hanging="794"/>
        <w:jc w:val="both"/>
        <w:rPr>
          <w:sz w:val="21"/>
        </w:rPr>
      </w:pPr>
      <w:r>
        <w:rPr>
          <w:sz w:val="21"/>
        </w:rPr>
        <w:t>The </w:t>
      </w:r>
      <w:r>
        <w:rPr>
          <w:spacing w:val="-3"/>
          <w:sz w:val="21"/>
        </w:rPr>
        <w:t>Commission </w:t>
      </w:r>
      <w:r>
        <w:rPr>
          <w:spacing w:val="-2"/>
          <w:sz w:val="21"/>
        </w:rPr>
        <w:t>has </w:t>
      </w:r>
      <w:r>
        <w:rPr>
          <w:spacing w:val="-3"/>
          <w:sz w:val="21"/>
        </w:rPr>
        <w:t>found that </w:t>
      </w:r>
      <w:r>
        <w:rPr>
          <w:sz w:val="21"/>
        </w:rPr>
        <w:t>these </w:t>
      </w:r>
      <w:r>
        <w:rPr>
          <w:spacing w:val="-3"/>
          <w:sz w:val="21"/>
        </w:rPr>
        <w:t>measures </w:t>
      </w:r>
      <w:r>
        <w:rPr>
          <w:sz w:val="21"/>
        </w:rPr>
        <w:t>operate without </w:t>
      </w:r>
      <w:r>
        <w:rPr>
          <w:spacing w:val="-3"/>
          <w:sz w:val="21"/>
        </w:rPr>
        <w:t>significant  </w:t>
      </w:r>
      <w:r>
        <w:rPr>
          <w:sz w:val="21"/>
        </w:rPr>
        <w:t>difficulty but </w:t>
      </w:r>
      <w:r>
        <w:rPr>
          <w:spacing w:val="-3"/>
          <w:sz w:val="21"/>
        </w:rPr>
        <w:t>are </w:t>
      </w:r>
      <w:r>
        <w:rPr>
          <w:spacing w:val="-2"/>
          <w:sz w:val="21"/>
        </w:rPr>
        <w:t>not </w:t>
      </w:r>
      <w:r>
        <w:rPr>
          <w:spacing w:val="-3"/>
          <w:sz w:val="21"/>
        </w:rPr>
        <w:t>well targeted, </w:t>
      </w:r>
      <w:r>
        <w:rPr>
          <w:sz w:val="21"/>
        </w:rPr>
        <w:t>particularly those </w:t>
      </w:r>
      <w:r>
        <w:rPr>
          <w:spacing w:val="-3"/>
          <w:sz w:val="21"/>
        </w:rPr>
        <w:t>that </w:t>
      </w:r>
      <w:r>
        <w:rPr>
          <w:sz w:val="21"/>
        </w:rPr>
        <w:t>apply only </w:t>
      </w:r>
      <w:r>
        <w:rPr>
          <w:spacing w:val="-3"/>
          <w:sz w:val="21"/>
        </w:rPr>
        <w:t>to  </w:t>
      </w:r>
      <w:r>
        <w:rPr>
          <w:sz w:val="21"/>
        </w:rPr>
        <w:t>estates </w:t>
      </w:r>
      <w:r>
        <w:rPr>
          <w:spacing w:val="-3"/>
          <w:sz w:val="21"/>
        </w:rPr>
        <w:t>that</w:t>
      </w:r>
      <w:r>
        <w:rPr>
          <w:spacing w:val="41"/>
          <w:sz w:val="21"/>
        </w:rPr>
        <w:t> </w:t>
      </w:r>
      <w:r>
        <w:rPr>
          <w:spacing w:val="-3"/>
          <w:sz w:val="21"/>
        </w:rPr>
        <w:t>are  valued </w:t>
      </w:r>
      <w:r>
        <w:rPr>
          <w:sz w:val="21"/>
        </w:rPr>
        <w:t>at $50,000 or</w:t>
      </w:r>
      <w:r>
        <w:rPr>
          <w:spacing w:val="25"/>
          <w:sz w:val="21"/>
        </w:rPr>
        <w:t> </w:t>
      </w:r>
      <w:r>
        <w:rPr>
          <w:sz w:val="21"/>
        </w:rPr>
        <w:t>less.</w:t>
      </w:r>
    </w:p>
    <w:p>
      <w:pPr>
        <w:pStyle w:val="BodyText"/>
        <w:spacing w:before="4"/>
        <w:rPr>
          <w:sz w:val="23"/>
        </w:rPr>
      </w:pPr>
    </w:p>
    <w:p>
      <w:pPr>
        <w:pStyle w:val="Heading5"/>
      </w:pPr>
      <w:r>
        <w:rPr>
          <w:w w:val="110"/>
        </w:rPr>
        <w:t>The Commission’s approach</w:t>
      </w:r>
    </w:p>
    <w:p>
      <w:pPr>
        <w:pStyle w:val="ListParagraph"/>
        <w:numPr>
          <w:ilvl w:val="1"/>
          <w:numId w:val="22"/>
        </w:numPr>
        <w:tabs>
          <w:tab w:pos="2381" w:val="left" w:leader="none"/>
          <w:tab w:pos="2382" w:val="left" w:leader="none"/>
        </w:tabs>
        <w:spacing w:line="242" w:lineRule="auto" w:before="137" w:after="0"/>
        <w:ind w:left="2381" w:right="2143" w:hanging="794"/>
        <w:jc w:val="both"/>
        <w:rPr>
          <w:sz w:val="21"/>
        </w:rPr>
      </w:pPr>
      <w:r>
        <w:rPr>
          <w:sz w:val="21"/>
        </w:rPr>
        <w:t>In this </w:t>
      </w:r>
      <w:r>
        <w:rPr>
          <w:spacing w:val="-5"/>
          <w:sz w:val="21"/>
        </w:rPr>
        <w:t>chapter, </w:t>
      </w:r>
      <w:r>
        <w:rPr>
          <w:sz w:val="21"/>
        </w:rPr>
        <w:t>the </w:t>
      </w:r>
      <w:r>
        <w:rPr>
          <w:spacing w:val="-3"/>
          <w:sz w:val="21"/>
        </w:rPr>
        <w:t>Commission makes recommendations to </w:t>
      </w:r>
      <w:r>
        <w:rPr>
          <w:sz w:val="21"/>
        </w:rPr>
        <w:t>redirect and strengthen  the </w:t>
      </w:r>
      <w:r>
        <w:rPr>
          <w:spacing w:val="-3"/>
          <w:sz w:val="21"/>
        </w:rPr>
        <w:t>measures to facilitate </w:t>
      </w:r>
      <w:r>
        <w:rPr>
          <w:sz w:val="21"/>
        </w:rPr>
        <w:t>the </w:t>
      </w:r>
      <w:r>
        <w:rPr>
          <w:spacing w:val="-3"/>
          <w:sz w:val="21"/>
        </w:rPr>
        <w:t>administration </w:t>
      </w:r>
      <w:r>
        <w:rPr>
          <w:sz w:val="21"/>
        </w:rPr>
        <w:t>of </w:t>
      </w:r>
      <w:r>
        <w:rPr>
          <w:spacing w:val="-3"/>
          <w:sz w:val="21"/>
        </w:rPr>
        <w:t>small  </w:t>
      </w:r>
      <w:r>
        <w:rPr>
          <w:sz w:val="21"/>
        </w:rPr>
        <w:t>estates. The </w:t>
      </w:r>
      <w:r>
        <w:rPr>
          <w:spacing w:val="-3"/>
          <w:sz w:val="21"/>
        </w:rPr>
        <w:t>recommendations are intended</w:t>
      </w:r>
      <w:r>
        <w:rPr>
          <w:spacing w:val="19"/>
          <w:sz w:val="21"/>
        </w:rPr>
        <w:t> </w:t>
      </w:r>
      <w:r>
        <w:rPr>
          <w:sz w:val="21"/>
        </w:rPr>
        <w:t>to:</w:t>
      </w:r>
    </w:p>
    <w:p>
      <w:pPr>
        <w:pStyle w:val="ListParagraph"/>
        <w:numPr>
          <w:ilvl w:val="2"/>
          <w:numId w:val="22"/>
        </w:numPr>
        <w:tabs>
          <w:tab w:pos="2721" w:val="left" w:leader="none"/>
          <w:tab w:pos="2722" w:val="left" w:leader="none"/>
        </w:tabs>
        <w:spacing w:line="240" w:lineRule="auto" w:before="124" w:after="0"/>
        <w:ind w:left="2721" w:right="0" w:hanging="340"/>
        <w:jc w:val="left"/>
        <w:rPr>
          <w:sz w:val="21"/>
        </w:rPr>
      </w:pPr>
      <w:r>
        <w:rPr>
          <w:spacing w:val="-3"/>
          <w:w w:val="105"/>
          <w:sz w:val="21"/>
        </w:rPr>
        <w:t>promote </w:t>
      </w:r>
      <w:r>
        <w:rPr>
          <w:w w:val="105"/>
          <w:sz w:val="21"/>
        </w:rPr>
        <w:t>cheaper methods of</w:t>
      </w:r>
      <w:r>
        <w:rPr>
          <w:spacing w:val="22"/>
          <w:w w:val="105"/>
          <w:sz w:val="21"/>
        </w:rPr>
        <w:t> </w:t>
      </w:r>
      <w:r>
        <w:rPr>
          <w:spacing w:val="-3"/>
          <w:w w:val="105"/>
          <w:sz w:val="21"/>
        </w:rPr>
        <w:t>administration</w:t>
      </w:r>
    </w:p>
    <w:p>
      <w:pPr>
        <w:pStyle w:val="ListParagraph"/>
        <w:numPr>
          <w:ilvl w:val="2"/>
          <w:numId w:val="22"/>
        </w:numPr>
        <w:tabs>
          <w:tab w:pos="2721" w:val="left" w:leader="none"/>
          <w:tab w:pos="2722" w:val="left" w:leader="none"/>
        </w:tabs>
        <w:spacing w:line="240" w:lineRule="auto" w:before="117" w:after="0"/>
        <w:ind w:left="2721" w:right="0" w:hanging="340"/>
        <w:jc w:val="left"/>
        <w:rPr>
          <w:sz w:val="21"/>
        </w:rPr>
      </w:pPr>
      <w:r>
        <w:rPr>
          <w:spacing w:val="-3"/>
          <w:w w:val="105"/>
          <w:sz w:val="21"/>
        </w:rPr>
        <w:t>promote simpler </w:t>
      </w:r>
      <w:r>
        <w:rPr>
          <w:w w:val="105"/>
          <w:sz w:val="21"/>
        </w:rPr>
        <w:t>methods of</w:t>
      </w:r>
      <w:r>
        <w:rPr>
          <w:spacing w:val="25"/>
          <w:w w:val="105"/>
          <w:sz w:val="21"/>
        </w:rPr>
        <w:t> </w:t>
      </w:r>
      <w:r>
        <w:rPr>
          <w:spacing w:val="-3"/>
          <w:w w:val="105"/>
          <w:sz w:val="21"/>
        </w:rPr>
        <w:t>administration</w:t>
      </w:r>
    </w:p>
    <w:p>
      <w:pPr>
        <w:pStyle w:val="ListParagraph"/>
        <w:numPr>
          <w:ilvl w:val="2"/>
          <w:numId w:val="22"/>
        </w:numPr>
        <w:tabs>
          <w:tab w:pos="2721" w:val="left" w:leader="none"/>
          <w:tab w:pos="2722" w:val="left" w:leader="none"/>
        </w:tabs>
        <w:spacing w:line="242" w:lineRule="auto" w:before="117" w:after="0"/>
        <w:ind w:left="2721" w:right="3073" w:hanging="340"/>
        <w:jc w:val="left"/>
        <w:rPr>
          <w:sz w:val="21"/>
        </w:rPr>
      </w:pPr>
      <w:r>
        <w:rPr>
          <w:spacing w:val="-3"/>
          <w:w w:val="105"/>
          <w:sz w:val="21"/>
        </w:rPr>
        <w:t>increase </w:t>
      </w:r>
      <w:r>
        <w:rPr>
          <w:spacing w:val="-2"/>
          <w:w w:val="105"/>
          <w:sz w:val="21"/>
        </w:rPr>
        <w:t>access </w:t>
      </w:r>
      <w:r>
        <w:rPr>
          <w:spacing w:val="-3"/>
          <w:w w:val="105"/>
          <w:sz w:val="21"/>
        </w:rPr>
        <w:t>to </w:t>
      </w:r>
      <w:r>
        <w:rPr>
          <w:w w:val="105"/>
          <w:sz w:val="21"/>
        </w:rPr>
        <w:t>good </w:t>
      </w:r>
      <w:r>
        <w:rPr>
          <w:spacing w:val="-3"/>
          <w:w w:val="105"/>
          <w:sz w:val="21"/>
        </w:rPr>
        <w:t>information to complement </w:t>
      </w:r>
      <w:r>
        <w:rPr>
          <w:w w:val="105"/>
          <w:sz w:val="21"/>
        </w:rPr>
        <w:t>existing methods of</w:t>
      </w:r>
      <w:r>
        <w:rPr>
          <w:spacing w:val="5"/>
          <w:w w:val="105"/>
          <w:sz w:val="21"/>
        </w:rPr>
        <w:t> </w:t>
      </w:r>
      <w:r>
        <w:rPr>
          <w:spacing w:val="-3"/>
          <w:w w:val="105"/>
          <w:sz w:val="21"/>
        </w:rPr>
        <w:t>administration</w:t>
      </w:r>
    </w:p>
    <w:p>
      <w:pPr>
        <w:pStyle w:val="ListParagraph"/>
        <w:numPr>
          <w:ilvl w:val="2"/>
          <w:numId w:val="22"/>
        </w:numPr>
        <w:tabs>
          <w:tab w:pos="2721" w:val="left" w:leader="none"/>
          <w:tab w:pos="2722" w:val="left" w:leader="none"/>
        </w:tabs>
        <w:spacing w:line="240" w:lineRule="auto" w:before="115" w:after="0"/>
        <w:ind w:left="2721" w:right="0" w:hanging="340"/>
        <w:jc w:val="left"/>
        <w:rPr>
          <w:sz w:val="21"/>
        </w:rPr>
      </w:pPr>
      <w:r>
        <w:rPr>
          <w:sz w:val="21"/>
        </w:rPr>
        <w:t>maximise </w:t>
      </w:r>
      <w:r>
        <w:rPr>
          <w:spacing w:val="-3"/>
          <w:sz w:val="21"/>
        </w:rPr>
        <w:t>accountability </w:t>
      </w:r>
      <w:r>
        <w:rPr>
          <w:sz w:val="21"/>
        </w:rPr>
        <w:t>by </w:t>
      </w:r>
      <w:r>
        <w:rPr>
          <w:spacing w:val="-3"/>
          <w:sz w:val="21"/>
        </w:rPr>
        <w:t>encouraging searchable</w:t>
      </w:r>
      <w:r>
        <w:rPr>
          <w:spacing w:val="11"/>
          <w:sz w:val="21"/>
        </w:rPr>
        <w:t> </w:t>
      </w:r>
      <w:r>
        <w:rPr>
          <w:spacing w:val="-3"/>
          <w:sz w:val="21"/>
        </w:rPr>
        <w:t>records</w:t>
      </w:r>
    </w:p>
    <w:p>
      <w:pPr>
        <w:pStyle w:val="ListParagraph"/>
        <w:numPr>
          <w:ilvl w:val="2"/>
          <w:numId w:val="22"/>
        </w:numPr>
        <w:tabs>
          <w:tab w:pos="2721" w:val="left" w:leader="none"/>
          <w:tab w:pos="2722" w:val="left" w:leader="none"/>
        </w:tabs>
        <w:spacing w:line="240" w:lineRule="auto" w:before="117" w:after="0"/>
        <w:ind w:left="2721" w:right="0" w:hanging="340"/>
        <w:jc w:val="left"/>
        <w:rPr>
          <w:sz w:val="21"/>
        </w:rPr>
      </w:pPr>
      <w:r>
        <w:rPr>
          <w:spacing w:val="-3"/>
          <w:sz w:val="21"/>
        </w:rPr>
        <w:t>facilitate</w:t>
      </w:r>
      <w:r>
        <w:rPr>
          <w:spacing w:val="11"/>
          <w:sz w:val="21"/>
        </w:rPr>
        <w:t> </w:t>
      </w:r>
      <w:r>
        <w:rPr>
          <w:spacing w:val="-3"/>
          <w:sz w:val="21"/>
        </w:rPr>
        <w:t>simple</w:t>
      </w:r>
      <w:r>
        <w:rPr>
          <w:spacing w:val="11"/>
          <w:sz w:val="21"/>
        </w:rPr>
        <w:t> </w:t>
      </w:r>
      <w:r>
        <w:rPr>
          <w:sz w:val="21"/>
        </w:rPr>
        <w:t>transactions</w:t>
      </w:r>
      <w:r>
        <w:rPr>
          <w:spacing w:val="11"/>
          <w:sz w:val="21"/>
        </w:rPr>
        <w:t> </w:t>
      </w:r>
      <w:r>
        <w:rPr>
          <w:spacing w:val="-3"/>
          <w:sz w:val="21"/>
        </w:rPr>
        <w:t>that</w:t>
      </w:r>
      <w:r>
        <w:rPr>
          <w:spacing w:val="11"/>
          <w:sz w:val="21"/>
        </w:rPr>
        <w:t> </w:t>
      </w:r>
      <w:r>
        <w:rPr>
          <w:spacing w:val="-3"/>
          <w:sz w:val="21"/>
        </w:rPr>
        <w:t>might</w:t>
      </w:r>
      <w:r>
        <w:rPr>
          <w:spacing w:val="12"/>
          <w:sz w:val="21"/>
        </w:rPr>
        <w:t> </w:t>
      </w:r>
      <w:r>
        <w:rPr>
          <w:spacing w:val="-3"/>
          <w:sz w:val="21"/>
        </w:rPr>
        <w:t>appropriately</w:t>
      </w:r>
      <w:r>
        <w:rPr>
          <w:spacing w:val="11"/>
          <w:sz w:val="21"/>
        </w:rPr>
        <w:t> </w:t>
      </w:r>
      <w:r>
        <w:rPr>
          <w:sz w:val="21"/>
        </w:rPr>
        <w:t>be</w:t>
      </w:r>
      <w:r>
        <w:rPr>
          <w:spacing w:val="11"/>
          <w:sz w:val="21"/>
        </w:rPr>
        <w:t> </w:t>
      </w:r>
      <w:r>
        <w:rPr>
          <w:sz w:val="21"/>
        </w:rPr>
        <w:t>conducted</w:t>
      </w:r>
      <w:r>
        <w:rPr>
          <w:spacing w:val="11"/>
          <w:sz w:val="21"/>
        </w:rPr>
        <w:t> </w:t>
      </w:r>
      <w:r>
        <w:rPr>
          <w:spacing w:val="-3"/>
          <w:sz w:val="21"/>
        </w:rPr>
        <w:t>informally</w:t>
      </w:r>
    </w:p>
    <w:p>
      <w:pPr>
        <w:pStyle w:val="ListParagraph"/>
        <w:numPr>
          <w:ilvl w:val="2"/>
          <w:numId w:val="22"/>
        </w:numPr>
        <w:tabs>
          <w:tab w:pos="2721" w:val="left" w:leader="none"/>
          <w:tab w:pos="2722" w:val="left" w:leader="none"/>
        </w:tabs>
        <w:spacing w:line="240" w:lineRule="auto" w:before="117" w:after="0"/>
        <w:ind w:left="2721" w:right="0" w:hanging="340"/>
        <w:jc w:val="left"/>
        <w:rPr>
          <w:sz w:val="21"/>
        </w:rPr>
      </w:pPr>
      <w:r>
        <w:rPr>
          <w:sz w:val="21"/>
        </w:rPr>
        <w:t>clarify and simplify the role of </w:t>
      </w:r>
      <w:r>
        <w:rPr>
          <w:spacing w:val="-3"/>
          <w:sz w:val="21"/>
        </w:rPr>
        <w:t>informal</w:t>
      </w:r>
      <w:r>
        <w:rPr>
          <w:spacing w:val="17"/>
          <w:sz w:val="21"/>
        </w:rPr>
        <w:t> </w:t>
      </w:r>
      <w:r>
        <w:rPr>
          <w:spacing w:val="-3"/>
          <w:sz w:val="21"/>
        </w:rPr>
        <w:t>administrators</w:t>
      </w:r>
    </w:p>
    <w:p>
      <w:pPr>
        <w:pStyle w:val="ListParagraph"/>
        <w:numPr>
          <w:ilvl w:val="2"/>
          <w:numId w:val="22"/>
        </w:numPr>
        <w:tabs>
          <w:tab w:pos="2721" w:val="left" w:leader="none"/>
          <w:tab w:pos="2722" w:val="left" w:leader="none"/>
        </w:tabs>
        <w:spacing w:line="240" w:lineRule="auto" w:before="118" w:after="0"/>
        <w:ind w:left="2721" w:right="0" w:hanging="340"/>
        <w:jc w:val="left"/>
        <w:rPr>
          <w:sz w:val="21"/>
        </w:rPr>
      </w:pPr>
      <w:r>
        <w:rPr>
          <w:spacing w:val="-3"/>
          <w:w w:val="105"/>
          <w:sz w:val="21"/>
        </w:rPr>
        <w:t>promote </w:t>
      </w:r>
      <w:r>
        <w:rPr>
          <w:w w:val="105"/>
          <w:sz w:val="21"/>
        </w:rPr>
        <w:t>consistency of process between </w:t>
      </w:r>
      <w:r>
        <w:rPr>
          <w:spacing w:val="-3"/>
          <w:w w:val="105"/>
          <w:sz w:val="21"/>
        </w:rPr>
        <w:t>various</w:t>
      </w:r>
      <w:r>
        <w:rPr>
          <w:spacing w:val="26"/>
          <w:w w:val="105"/>
          <w:sz w:val="21"/>
        </w:rPr>
        <w:t> </w:t>
      </w:r>
      <w:r>
        <w:rPr>
          <w:spacing w:val="-3"/>
          <w:w w:val="105"/>
          <w:sz w:val="21"/>
        </w:rPr>
        <w:t>mechanisms</w:t>
      </w:r>
    </w:p>
    <w:p>
      <w:pPr>
        <w:pStyle w:val="ListParagraph"/>
        <w:numPr>
          <w:ilvl w:val="2"/>
          <w:numId w:val="22"/>
        </w:numPr>
        <w:tabs>
          <w:tab w:pos="2721" w:val="left" w:leader="none"/>
          <w:tab w:pos="2722" w:val="left" w:leader="none"/>
        </w:tabs>
        <w:spacing w:line="240" w:lineRule="auto" w:before="117" w:after="0"/>
        <w:ind w:left="2721" w:right="0" w:hanging="340"/>
        <w:jc w:val="left"/>
        <w:rPr>
          <w:sz w:val="21"/>
        </w:rPr>
      </w:pPr>
      <w:r>
        <w:rPr>
          <w:spacing w:val="-3"/>
          <w:w w:val="105"/>
          <w:sz w:val="21"/>
        </w:rPr>
        <w:t>promote </w:t>
      </w:r>
      <w:r>
        <w:rPr>
          <w:w w:val="105"/>
          <w:sz w:val="21"/>
        </w:rPr>
        <w:t>the </w:t>
      </w:r>
      <w:r>
        <w:rPr>
          <w:spacing w:val="-3"/>
          <w:w w:val="105"/>
          <w:sz w:val="21"/>
        </w:rPr>
        <w:t>regular update </w:t>
      </w:r>
      <w:r>
        <w:rPr>
          <w:w w:val="105"/>
          <w:sz w:val="21"/>
        </w:rPr>
        <w:t>of </w:t>
      </w:r>
      <w:r>
        <w:rPr>
          <w:spacing w:val="-3"/>
          <w:w w:val="105"/>
          <w:sz w:val="21"/>
        </w:rPr>
        <w:t>determinative</w:t>
      </w:r>
      <w:r>
        <w:rPr>
          <w:spacing w:val="38"/>
          <w:w w:val="105"/>
          <w:sz w:val="21"/>
        </w:rPr>
        <w:t> </w:t>
      </w:r>
      <w:r>
        <w:rPr>
          <w:spacing w:val="-3"/>
          <w:w w:val="105"/>
          <w:sz w:val="21"/>
        </w:rPr>
        <w:t>figures.</w:t>
      </w:r>
    </w:p>
    <w:p>
      <w:pPr>
        <w:pStyle w:val="ListParagraph"/>
        <w:numPr>
          <w:ilvl w:val="1"/>
          <w:numId w:val="22"/>
        </w:numPr>
        <w:tabs>
          <w:tab w:pos="2381" w:val="left" w:leader="none"/>
          <w:tab w:pos="2382" w:val="left" w:leader="none"/>
        </w:tabs>
        <w:spacing w:line="242" w:lineRule="auto" w:before="117" w:after="0"/>
        <w:ind w:left="2381" w:right="1744" w:hanging="794"/>
        <w:jc w:val="left"/>
        <w:rPr>
          <w:sz w:val="21"/>
        </w:rPr>
      </w:pPr>
      <w:r>
        <w:rPr>
          <w:spacing w:val="-3"/>
          <w:sz w:val="21"/>
        </w:rPr>
        <w:t>Generally speaking, </w:t>
      </w:r>
      <w:r>
        <w:rPr>
          <w:sz w:val="21"/>
        </w:rPr>
        <w:t>the </w:t>
      </w:r>
      <w:r>
        <w:rPr>
          <w:spacing w:val="-3"/>
          <w:sz w:val="21"/>
        </w:rPr>
        <w:t>Commission </w:t>
      </w:r>
      <w:r>
        <w:rPr>
          <w:sz w:val="21"/>
        </w:rPr>
        <w:t>wishes </w:t>
      </w:r>
      <w:r>
        <w:rPr>
          <w:spacing w:val="-3"/>
          <w:sz w:val="21"/>
        </w:rPr>
        <w:t>to encourage applications for </w:t>
      </w:r>
      <w:r>
        <w:rPr>
          <w:sz w:val="21"/>
        </w:rPr>
        <w:t>grants of </w:t>
      </w:r>
      <w:r>
        <w:rPr>
          <w:spacing w:val="-2"/>
          <w:sz w:val="21"/>
        </w:rPr>
        <w:t>representation </w:t>
      </w:r>
      <w:r>
        <w:rPr>
          <w:sz w:val="21"/>
        </w:rPr>
        <w:t>in respect of </w:t>
      </w:r>
      <w:r>
        <w:rPr>
          <w:spacing w:val="-3"/>
          <w:sz w:val="21"/>
        </w:rPr>
        <w:t>small </w:t>
      </w:r>
      <w:r>
        <w:rPr>
          <w:sz w:val="21"/>
        </w:rPr>
        <w:t>estates. Grants of </w:t>
      </w:r>
      <w:r>
        <w:rPr>
          <w:spacing w:val="-2"/>
          <w:sz w:val="21"/>
        </w:rPr>
        <w:t>representation </w:t>
      </w:r>
      <w:r>
        <w:rPr>
          <w:sz w:val="21"/>
        </w:rPr>
        <w:t>lessen risk, clarify the role of the personal </w:t>
      </w:r>
      <w:r>
        <w:rPr>
          <w:spacing w:val="-3"/>
          <w:sz w:val="21"/>
        </w:rPr>
        <w:t>representative, </w:t>
      </w:r>
      <w:r>
        <w:rPr>
          <w:sz w:val="21"/>
        </w:rPr>
        <w:t>and protect the interests of </w:t>
      </w:r>
      <w:r>
        <w:rPr>
          <w:spacing w:val="-3"/>
          <w:sz w:val="21"/>
        </w:rPr>
        <w:t>third </w:t>
      </w:r>
      <w:r>
        <w:rPr>
          <w:sz w:val="21"/>
        </w:rPr>
        <w:t>parties by </w:t>
      </w:r>
      <w:r>
        <w:rPr>
          <w:spacing w:val="-3"/>
          <w:sz w:val="21"/>
        </w:rPr>
        <w:t>creating records within </w:t>
      </w:r>
      <w:r>
        <w:rPr>
          <w:sz w:val="21"/>
        </w:rPr>
        <w:t>the </w:t>
      </w:r>
      <w:r>
        <w:rPr>
          <w:spacing w:val="-3"/>
          <w:sz w:val="21"/>
        </w:rPr>
        <w:t>Probate </w:t>
      </w:r>
      <w:r>
        <w:rPr>
          <w:sz w:val="21"/>
        </w:rPr>
        <w:t>Office.</w:t>
      </w:r>
    </w:p>
    <w:p>
      <w:pPr>
        <w:pStyle w:val="ListParagraph"/>
        <w:numPr>
          <w:ilvl w:val="1"/>
          <w:numId w:val="22"/>
        </w:numPr>
        <w:tabs>
          <w:tab w:pos="2381" w:val="left" w:leader="none"/>
        </w:tabs>
        <w:spacing w:line="242" w:lineRule="auto" w:before="124" w:after="0"/>
        <w:ind w:left="2381" w:right="1964" w:hanging="794"/>
        <w:jc w:val="both"/>
        <w:rPr>
          <w:sz w:val="21"/>
        </w:rPr>
      </w:pPr>
      <w:r>
        <w:rPr>
          <w:spacing w:val="-4"/>
          <w:w w:val="105"/>
          <w:sz w:val="21"/>
        </w:rPr>
        <w:t>However,</w:t>
      </w:r>
      <w:r>
        <w:rPr>
          <w:spacing w:val="-12"/>
          <w:w w:val="105"/>
          <w:sz w:val="21"/>
        </w:rPr>
        <w:t> </w:t>
      </w:r>
      <w:r>
        <w:rPr>
          <w:w w:val="105"/>
          <w:sz w:val="21"/>
        </w:rPr>
        <w:t>the</w:t>
      </w:r>
      <w:r>
        <w:rPr>
          <w:spacing w:val="-11"/>
          <w:w w:val="105"/>
          <w:sz w:val="21"/>
        </w:rPr>
        <w:t> </w:t>
      </w:r>
      <w:r>
        <w:rPr>
          <w:spacing w:val="-3"/>
          <w:w w:val="105"/>
          <w:sz w:val="21"/>
        </w:rPr>
        <w:t>administration</w:t>
      </w:r>
      <w:r>
        <w:rPr>
          <w:spacing w:val="-11"/>
          <w:w w:val="105"/>
          <w:sz w:val="21"/>
        </w:rPr>
        <w:t> </w:t>
      </w:r>
      <w:r>
        <w:rPr>
          <w:w w:val="105"/>
          <w:sz w:val="21"/>
        </w:rPr>
        <w:t>of</w:t>
      </w:r>
      <w:r>
        <w:rPr>
          <w:spacing w:val="-12"/>
          <w:w w:val="105"/>
          <w:sz w:val="21"/>
        </w:rPr>
        <w:t> </w:t>
      </w:r>
      <w:r>
        <w:rPr>
          <w:spacing w:val="-3"/>
          <w:w w:val="105"/>
          <w:sz w:val="21"/>
        </w:rPr>
        <w:t>small</w:t>
      </w:r>
      <w:r>
        <w:rPr>
          <w:spacing w:val="-11"/>
          <w:w w:val="105"/>
          <w:sz w:val="21"/>
        </w:rPr>
        <w:t> </w:t>
      </w:r>
      <w:r>
        <w:rPr>
          <w:w w:val="105"/>
          <w:sz w:val="21"/>
        </w:rPr>
        <w:t>estates</w:t>
      </w:r>
      <w:r>
        <w:rPr>
          <w:spacing w:val="-11"/>
          <w:w w:val="105"/>
          <w:sz w:val="21"/>
        </w:rPr>
        <w:t> </w:t>
      </w:r>
      <w:r>
        <w:rPr>
          <w:w w:val="105"/>
          <w:sz w:val="21"/>
        </w:rPr>
        <w:t>should</w:t>
      </w:r>
      <w:r>
        <w:rPr>
          <w:spacing w:val="-11"/>
          <w:w w:val="105"/>
          <w:sz w:val="21"/>
        </w:rPr>
        <w:t> </w:t>
      </w:r>
      <w:r>
        <w:rPr>
          <w:spacing w:val="-2"/>
          <w:w w:val="105"/>
          <w:sz w:val="21"/>
        </w:rPr>
        <w:t>not</w:t>
      </w:r>
      <w:r>
        <w:rPr>
          <w:spacing w:val="-12"/>
          <w:w w:val="105"/>
          <w:sz w:val="21"/>
        </w:rPr>
        <w:t> </w:t>
      </w:r>
      <w:r>
        <w:rPr>
          <w:w w:val="105"/>
          <w:sz w:val="21"/>
        </w:rPr>
        <w:t>be</w:t>
      </w:r>
      <w:r>
        <w:rPr>
          <w:spacing w:val="-11"/>
          <w:w w:val="105"/>
          <w:sz w:val="21"/>
        </w:rPr>
        <w:t> </w:t>
      </w:r>
      <w:r>
        <w:rPr>
          <w:w w:val="105"/>
          <w:sz w:val="21"/>
        </w:rPr>
        <w:t>unnecessarily</w:t>
      </w:r>
      <w:r>
        <w:rPr>
          <w:spacing w:val="-11"/>
          <w:w w:val="105"/>
          <w:sz w:val="21"/>
        </w:rPr>
        <w:t> </w:t>
      </w:r>
      <w:r>
        <w:rPr>
          <w:spacing w:val="-3"/>
          <w:w w:val="105"/>
          <w:sz w:val="21"/>
        </w:rPr>
        <w:t>complicated. Where, </w:t>
      </w:r>
      <w:r>
        <w:rPr>
          <w:w w:val="105"/>
          <w:sz w:val="21"/>
        </w:rPr>
        <w:t>in defined </w:t>
      </w:r>
      <w:r>
        <w:rPr>
          <w:spacing w:val="-3"/>
          <w:w w:val="105"/>
          <w:sz w:val="21"/>
        </w:rPr>
        <w:t>circumstances, </w:t>
      </w:r>
      <w:r>
        <w:rPr>
          <w:w w:val="105"/>
          <w:sz w:val="21"/>
        </w:rPr>
        <w:t>less </w:t>
      </w:r>
      <w:r>
        <w:rPr>
          <w:spacing w:val="-3"/>
          <w:w w:val="105"/>
          <w:sz w:val="21"/>
        </w:rPr>
        <w:t>formal routes </w:t>
      </w:r>
      <w:r>
        <w:rPr>
          <w:w w:val="105"/>
          <w:sz w:val="21"/>
        </w:rPr>
        <w:t>of </w:t>
      </w:r>
      <w:r>
        <w:rPr>
          <w:spacing w:val="-3"/>
          <w:w w:val="105"/>
          <w:sz w:val="21"/>
        </w:rPr>
        <w:t>administration are appropriate, </w:t>
      </w:r>
      <w:r>
        <w:rPr>
          <w:w w:val="105"/>
          <w:sz w:val="21"/>
        </w:rPr>
        <w:t>they should be acknowledged and</w:t>
      </w:r>
      <w:r>
        <w:rPr>
          <w:spacing w:val="21"/>
          <w:w w:val="105"/>
          <w:sz w:val="21"/>
        </w:rPr>
        <w:t> </w:t>
      </w:r>
      <w:r>
        <w:rPr>
          <w:w w:val="105"/>
          <w:sz w:val="21"/>
        </w:rPr>
        <w:t>supported.</w:t>
      </w:r>
    </w:p>
    <w:p>
      <w:pPr>
        <w:pStyle w:val="BodyText"/>
        <w:spacing w:before="9"/>
        <w:rPr>
          <w:sz w:val="22"/>
        </w:rPr>
      </w:pPr>
    </w:p>
    <w:p>
      <w:pPr>
        <w:pStyle w:val="Heading5"/>
        <w:spacing w:before="1"/>
      </w:pPr>
      <w:r>
        <w:rPr>
          <w:w w:val="115"/>
        </w:rPr>
        <w:t>National Committee for Uniform Succession Laws</w:t>
      </w:r>
    </w:p>
    <w:p>
      <w:pPr>
        <w:pStyle w:val="ListParagraph"/>
        <w:numPr>
          <w:ilvl w:val="1"/>
          <w:numId w:val="22"/>
        </w:numPr>
        <w:tabs>
          <w:tab w:pos="2380" w:val="left" w:leader="none"/>
          <w:tab w:pos="2381" w:val="left" w:leader="none"/>
        </w:tabs>
        <w:spacing w:line="242" w:lineRule="auto" w:before="137" w:after="0"/>
        <w:ind w:left="2381" w:right="1738" w:hanging="794"/>
        <w:jc w:val="left"/>
        <w:rPr>
          <w:sz w:val="21"/>
        </w:rPr>
      </w:pPr>
      <w:r>
        <w:rPr>
          <w:sz w:val="21"/>
        </w:rPr>
        <w:t>Although statutory </w:t>
      </w:r>
      <w:r>
        <w:rPr>
          <w:spacing w:val="-3"/>
          <w:sz w:val="21"/>
        </w:rPr>
        <w:t>provisions for small </w:t>
      </w:r>
      <w:r>
        <w:rPr>
          <w:sz w:val="21"/>
        </w:rPr>
        <w:t>estates </w:t>
      </w:r>
      <w:r>
        <w:rPr>
          <w:spacing w:val="-3"/>
          <w:sz w:val="21"/>
        </w:rPr>
        <w:t>are relatively similar </w:t>
      </w:r>
      <w:r>
        <w:rPr>
          <w:sz w:val="21"/>
        </w:rPr>
        <w:t>across jurisdictions, there is </w:t>
      </w:r>
      <w:r>
        <w:rPr>
          <w:spacing w:val="-3"/>
          <w:sz w:val="21"/>
        </w:rPr>
        <w:t>considerable </w:t>
      </w:r>
      <w:r>
        <w:rPr>
          <w:sz w:val="21"/>
        </w:rPr>
        <w:t>disparity in the degree </w:t>
      </w:r>
      <w:r>
        <w:rPr>
          <w:spacing w:val="-3"/>
          <w:sz w:val="21"/>
        </w:rPr>
        <w:t>to </w:t>
      </w:r>
      <w:r>
        <w:rPr>
          <w:sz w:val="21"/>
        </w:rPr>
        <w:t>which the </w:t>
      </w:r>
      <w:r>
        <w:rPr>
          <w:spacing w:val="-3"/>
          <w:sz w:val="21"/>
        </w:rPr>
        <w:t>available mechanisms are</w:t>
      </w:r>
      <w:r>
        <w:rPr>
          <w:spacing w:val="21"/>
          <w:sz w:val="21"/>
        </w:rPr>
        <w:t> </w:t>
      </w:r>
      <w:r>
        <w:rPr>
          <w:sz w:val="21"/>
        </w:rPr>
        <w:t>used.</w:t>
      </w:r>
    </w:p>
    <w:p>
      <w:pPr>
        <w:pStyle w:val="ListParagraph"/>
        <w:numPr>
          <w:ilvl w:val="1"/>
          <w:numId w:val="22"/>
        </w:numPr>
        <w:tabs>
          <w:tab w:pos="2380" w:val="left" w:leader="none"/>
          <w:tab w:pos="2381" w:val="left" w:leader="none"/>
        </w:tabs>
        <w:spacing w:line="242" w:lineRule="auto" w:before="122" w:after="0"/>
        <w:ind w:left="2381" w:right="1703" w:hanging="794"/>
        <w:jc w:val="left"/>
        <w:rPr>
          <w:sz w:val="21"/>
        </w:rPr>
      </w:pPr>
      <w:r>
        <w:rPr>
          <w:w w:val="105"/>
          <w:sz w:val="21"/>
        </w:rPr>
        <w:t>This was recognised by the </w:t>
      </w:r>
      <w:r>
        <w:rPr>
          <w:spacing w:val="-3"/>
          <w:w w:val="105"/>
          <w:sz w:val="21"/>
        </w:rPr>
        <w:t>National Committee for Uniform Succession </w:t>
      </w:r>
      <w:r>
        <w:rPr>
          <w:w w:val="105"/>
          <w:sz w:val="21"/>
        </w:rPr>
        <w:t>Laws, which was </w:t>
      </w:r>
      <w:r>
        <w:rPr>
          <w:spacing w:val="-3"/>
          <w:w w:val="105"/>
          <w:sz w:val="21"/>
        </w:rPr>
        <w:t>concerned to recommend change primarily to </w:t>
      </w:r>
      <w:r>
        <w:rPr>
          <w:w w:val="105"/>
          <w:sz w:val="21"/>
        </w:rPr>
        <w:t>the statutory </w:t>
      </w:r>
      <w:r>
        <w:rPr>
          <w:spacing w:val="-3"/>
          <w:w w:val="105"/>
          <w:sz w:val="21"/>
        </w:rPr>
        <w:t>framework rather than to administrative </w:t>
      </w:r>
      <w:r>
        <w:rPr>
          <w:w w:val="105"/>
          <w:sz w:val="21"/>
        </w:rPr>
        <w:t>and </w:t>
      </w:r>
      <w:r>
        <w:rPr>
          <w:spacing w:val="-3"/>
          <w:w w:val="105"/>
          <w:sz w:val="21"/>
        </w:rPr>
        <w:t>procedural</w:t>
      </w:r>
      <w:r>
        <w:rPr>
          <w:spacing w:val="17"/>
          <w:w w:val="105"/>
          <w:sz w:val="21"/>
        </w:rPr>
        <w:t> </w:t>
      </w:r>
      <w:r>
        <w:rPr>
          <w:spacing w:val="-3"/>
          <w:w w:val="105"/>
          <w:sz w:val="21"/>
        </w:rPr>
        <w:t>mechanisms.</w:t>
      </w:r>
    </w:p>
    <w:p>
      <w:pPr>
        <w:pStyle w:val="ListParagraph"/>
        <w:numPr>
          <w:ilvl w:val="1"/>
          <w:numId w:val="22"/>
        </w:numPr>
        <w:tabs>
          <w:tab w:pos="2380" w:val="left" w:leader="none"/>
          <w:tab w:pos="2381" w:val="left" w:leader="none"/>
        </w:tabs>
        <w:spacing w:line="242" w:lineRule="auto" w:before="123" w:after="0"/>
        <w:ind w:left="2381" w:right="1836" w:hanging="794"/>
        <w:jc w:val="left"/>
        <w:rPr>
          <w:sz w:val="21"/>
        </w:rPr>
      </w:pPr>
      <w:r>
        <w:rPr>
          <w:w w:val="105"/>
          <w:sz w:val="21"/>
        </w:rPr>
        <w:t>The </w:t>
      </w:r>
      <w:r>
        <w:rPr>
          <w:spacing w:val="-3"/>
          <w:w w:val="105"/>
          <w:sz w:val="21"/>
        </w:rPr>
        <w:t>National Committee </w:t>
      </w:r>
      <w:r>
        <w:rPr>
          <w:w w:val="105"/>
          <w:sz w:val="21"/>
        </w:rPr>
        <w:t>identified </w:t>
      </w:r>
      <w:r>
        <w:rPr>
          <w:spacing w:val="-3"/>
          <w:w w:val="105"/>
          <w:sz w:val="21"/>
        </w:rPr>
        <w:t>four guiding principles </w:t>
      </w:r>
      <w:r>
        <w:rPr>
          <w:w w:val="105"/>
          <w:sz w:val="21"/>
        </w:rPr>
        <w:t>in </w:t>
      </w:r>
      <w:r>
        <w:rPr>
          <w:spacing w:val="-3"/>
          <w:w w:val="105"/>
          <w:sz w:val="21"/>
        </w:rPr>
        <w:t>developing </w:t>
      </w:r>
      <w:r>
        <w:rPr>
          <w:w w:val="105"/>
          <w:sz w:val="21"/>
        </w:rPr>
        <w:t>its </w:t>
      </w:r>
      <w:r>
        <w:rPr>
          <w:spacing w:val="-3"/>
          <w:w w:val="105"/>
          <w:sz w:val="21"/>
        </w:rPr>
        <w:t>recommendations concerning </w:t>
      </w:r>
      <w:r>
        <w:rPr>
          <w:w w:val="105"/>
          <w:sz w:val="21"/>
        </w:rPr>
        <w:t>the </w:t>
      </w:r>
      <w:r>
        <w:rPr>
          <w:spacing w:val="-3"/>
          <w:w w:val="105"/>
          <w:sz w:val="21"/>
        </w:rPr>
        <w:t>administration </w:t>
      </w:r>
      <w:r>
        <w:rPr>
          <w:w w:val="105"/>
          <w:sz w:val="21"/>
        </w:rPr>
        <w:t>of deceased estates.</w:t>
      </w:r>
      <w:r>
        <w:rPr>
          <w:w w:val="105"/>
          <w:position w:val="7"/>
          <w:sz w:val="12"/>
        </w:rPr>
        <w:t>3 </w:t>
      </w:r>
      <w:r>
        <w:rPr>
          <w:spacing w:val="-6"/>
          <w:w w:val="105"/>
          <w:sz w:val="21"/>
        </w:rPr>
        <w:t>Two </w:t>
      </w:r>
      <w:r>
        <w:rPr>
          <w:w w:val="105"/>
          <w:sz w:val="21"/>
        </w:rPr>
        <w:t>of these </w:t>
      </w:r>
      <w:r>
        <w:rPr>
          <w:spacing w:val="-3"/>
          <w:w w:val="105"/>
          <w:sz w:val="21"/>
        </w:rPr>
        <w:t>are</w:t>
      </w:r>
      <w:r>
        <w:rPr>
          <w:spacing w:val="-10"/>
          <w:w w:val="105"/>
          <w:sz w:val="21"/>
        </w:rPr>
        <w:t> </w:t>
      </w:r>
      <w:r>
        <w:rPr>
          <w:w w:val="105"/>
          <w:sz w:val="21"/>
        </w:rPr>
        <w:t>of</w:t>
      </w:r>
      <w:r>
        <w:rPr>
          <w:spacing w:val="-9"/>
          <w:w w:val="105"/>
          <w:sz w:val="21"/>
        </w:rPr>
        <w:t> </w:t>
      </w:r>
      <w:r>
        <w:rPr>
          <w:w w:val="105"/>
          <w:sz w:val="21"/>
        </w:rPr>
        <w:t>particular</w:t>
      </w:r>
      <w:r>
        <w:rPr>
          <w:spacing w:val="-10"/>
          <w:w w:val="105"/>
          <w:sz w:val="21"/>
        </w:rPr>
        <w:t> </w:t>
      </w:r>
      <w:r>
        <w:rPr>
          <w:spacing w:val="-3"/>
          <w:w w:val="105"/>
          <w:sz w:val="21"/>
        </w:rPr>
        <w:t>relevance</w:t>
      </w:r>
      <w:r>
        <w:rPr>
          <w:spacing w:val="-9"/>
          <w:w w:val="105"/>
          <w:sz w:val="21"/>
        </w:rPr>
        <w:t> </w:t>
      </w:r>
      <w:r>
        <w:rPr>
          <w:spacing w:val="-3"/>
          <w:w w:val="105"/>
          <w:sz w:val="21"/>
        </w:rPr>
        <w:t>to</w:t>
      </w:r>
      <w:r>
        <w:rPr>
          <w:spacing w:val="-10"/>
          <w:w w:val="105"/>
          <w:sz w:val="21"/>
        </w:rPr>
        <w:t> </w:t>
      </w:r>
      <w:r>
        <w:rPr>
          <w:spacing w:val="-3"/>
          <w:w w:val="105"/>
          <w:sz w:val="21"/>
        </w:rPr>
        <w:t>smaller</w:t>
      </w:r>
      <w:r>
        <w:rPr>
          <w:spacing w:val="-9"/>
          <w:w w:val="105"/>
          <w:sz w:val="21"/>
        </w:rPr>
        <w:t> </w:t>
      </w:r>
      <w:r>
        <w:rPr>
          <w:w w:val="105"/>
          <w:sz w:val="21"/>
        </w:rPr>
        <w:t>estates:</w:t>
      </w:r>
      <w:r>
        <w:rPr>
          <w:spacing w:val="-10"/>
          <w:w w:val="105"/>
          <w:sz w:val="21"/>
        </w:rPr>
        <w:t> </w:t>
      </w:r>
      <w:r>
        <w:rPr>
          <w:w w:val="105"/>
          <w:sz w:val="21"/>
        </w:rPr>
        <w:t>a</w:t>
      </w:r>
      <w:r>
        <w:rPr>
          <w:spacing w:val="-9"/>
          <w:w w:val="105"/>
          <w:sz w:val="21"/>
        </w:rPr>
        <w:t> </w:t>
      </w:r>
      <w:r>
        <w:rPr>
          <w:spacing w:val="-3"/>
          <w:w w:val="105"/>
          <w:sz w:val="21"/>
        </w:rPr>
        <w:t>focus</w:t>
      </w:r>
      <w:r>
        <w:rPr>
          <w:spacing w:val="-10"/>
          <w:w w:val="105"/>
          <w:sz w:val="21"/>
        </w:rPr>
        <w:t> </w:t>
      </w:r>
      <w:r>
        <w:rPr>
          <w:w w:val="105"/>
          <w:sz w:val="21"/>
        </w:rPr>
        <w:t>on</w:t>
      </w:r>
      <w:r>
        <w:rPr>
          <w:spacing w:val="-9"/>
          <w:w w:val="105"/>
          <w:sz w:val="21"/>
        </w:rPr>
        <w:t> </w:t>
      </w:r>
      <w:r>
        <w:rPr>
          <w:spacing w:val="-2"/>
          <w:w w:val="105"/>
          <w:sz w:val="21"/>
        </w:rPr>
        <w:t>simplification</w:t>
      </w:r>
      <w:r>
        <w:rPr>
          <w:spacing w:val="-9"/>
          <w:w w:val="105"/>
          <w:sz w:val="21"/>
        </w:rPr>
        <w:t> </w:t>
      </w:r>
      <w:r>
        <w:rPr>
          <w:w w:val="105"/>
          <w:sz w:val="21"/>
        </w:rPr>
        <w:t>of</w:t>
      </w:r>
      <w:r>
        <w:rPr>
          <w:spacing w:val="-10"/>
          <w:w w:val="105"/>
          <w:sz w:val="21"/>
        </w:rPr>
        <w:t> </w:t>
      </w:r>
      <w:r>
        <w:rPr>
          <w:w w:val="105"/>
          <w:sz w:val="21"/>
        </w:rPr>
        <w:t>processes,</w:t>
      </w:r>
      <w:r>
        <w:rPr>
          <w:spacing w:val="-9"/>
          <w:w w:val="105"/>
          <w:sz w:val="21"/>
        </w:rPr>
        <w:t> </w:t>
      </w:r>
      <w:r>
        <w:rPr>
          <w:w w:val="105"/>
          <w:sz w:val="21"/>
        </w:rPr>
        <w:t>and</w:t>
      </w:r>
    </w:p>
    <w:p>
      <w:pPr>
        <w:pStyle w:val="BodyText"/>
        <w:spacing w:line="242" w:lineRule="auto" w:before="4"/>
        <w:ind w:left="2381" w:right="1826"/>
      </w:pPr>
      <w:r>
        <w:rPr>
          <w:spacing w:val="-3"/>
        </w:rPr>
        <w:t>recognition </w:t>
      </w:r>
      <w:r>
        <w:rPr/>
        <w:t>of the extent of </w:t>
      </w:r>
      <w:r>
        <w:rPr>
          <w:spacing w:val="-3"/>
        </w:rPr>
        <w:t>informal administration. </w:t>
      </w:r>
      <w:r>
        <w:rPr/>
        <w:t>Although the </w:t>
      </w:r>
      <w:r>
        <w:rPr>
          <w:spacing w:val="-3"/>
        </w:rPr>
        <w:t>National </w:t>
      </w:r>
      <w:r>
        <w:rPr>
          <w:spacing w:val="-4"/>
        </w:rPr>
        <w:t>Committee’s </w:t>
      </w:r>
      <w:r>
        <w:rPr/>
        <w:t>specific </w:t>
      </w:r>
      <w:r>
        <w:rPr>
          <w:spacing w:val="-3"/>
        </w:rPr>
        <w:t>recommendations </w:t>
      </w:r>
      <w:r>
        <w:rPr/>
        <w:t>on </w:t>
      </w:r>
      <w:r>
        <w:rPr>
          <w:spacing w:val="-3"/>
        </w:rPr>
        <w:t>small </w:t>
      </w:r>
      <w:r>
        <w:rPr/>
        <w:t>estates </w:t>
      </w:r>
      <w:r>
        <w:rPr>
          <w:spacing w:val="-3"/>
        </w:rPr>
        <w:t>have </w:t>
      </w:r>
      <w:r>
        <w:rPr/>
        <w:t>been closely  </w:t>
      </w:r>
      <w:r>
        <w:rPr>
          <w:spacing w:val="-3"/>
        </w:rPr>
        <w:t>considered,  </w:t>
      </w:r>
      <w:r>
        <w:rPr/>
        <w:t>it  is  these broader </w:t>
      </w:r>
      <w:r>
        <w:rPr>
          <w:spacing w:val="-3"/>
        </w:rPr>
        <w:t>principles that have informed </w:t>
      </w:r>
      <w:r>
        <w:rPr/>
        <w:t>the </w:t>
      </w:r>
      <w:r>
        <w:rPr>
          <w:spacing w:val="-4"/>
        </w:rPr>
        <w:t>Commission’s </w:t>
      </w:r>
      <w:r>
        <w:rPr>
          <w:spacing w:val="-3"/>
        </w:rPr>
        <w:t>recommendations </w:t>
      </w:r>
      <w:r>
        <w:rPr/>
        <w:t>in this</w:t>
      </w:r>
      <w:r>
        <w:rPr>
          <w:spacing w:val="9"/>
        </w:rPr>
        <w:t> </w:t>
      </w:r>
      <w:r>
        <w:rPr>
          <w:spacing w:val="-5"/>
        </w:rPr>
        <w:t>chapter.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
        <w:rPr>
          <w:sz w:val="12"/>
        </w:rPr>
      </w:pPr>
      <w:r>
        <w:rPr/>
        <w:pict>
          <v:line style="position:absolute;mso-position-horizontal-relative:page;mso-position-vertical-relative:paragraph;z-index:11216;mso-wrap-distance-left:0;mso-wrap-distance-right:0" from="79.370102pt,10.37796pt" to="515.905102pt,10.37796pt" stroked="true" strokeweight="1pt" strokecolor="#f9ceca">
            <v:stroke dashstyle="solid"/>
            <w10:wrap type="topAndBottom"/>
          </v:line>
        </w:pict>
      </w:r>
    </w:p>
    <w:p>
      <w:pPr>
        <w:pStyle w:val="BodyText"/>
        <w:spacing w:before="8"/>
        <w:rPr>
          <w:sz w:val="5"/>
        </w:rPr>
      </w:pPr>
    </w:p>
    <w:p>
      <w:pPr>
        <w:spacing w:after="0"/>
        <w:rPr>
          <w:sz w:val="5"/>
        </w:rPr>
        <w:sectPr>
          <w:headerReference w:type="default" r:id="rId108"/>
          <w:headerReference w:type="even" r:id="rId109"/>
          <w:pgSz w:w="11910" w:h="16840"/>
          <w:pgMar w:header="805" w:footer="0" w:top="1360" w:bottom="280" w:left="0" w:right="0"/>
        </w:sectPr>
      </w:pPr>
    </w:p>
    <w:p>
      <w:pPr>
        <w:pStyle w:val="ListParagraph"/>
        <w:numPr>
          <w:ilvl w:val="0"/>
          <w:numId w:val="140"/>
        </w:numPr>
        <w:tabs>
          <w:tab w:pos="2380" w:val="left" w:leader="none"/>
          <w:tab w:pos="2382" w:val="left" w:leader="none"/>
        </w:tabs>
        <w:spacing w:line="240" w:lineRule="auto" w:before="48" w:after="0"/>
        <w:ind w:left="2381" w:right="0" w:hanging="794"/>
        <w:jc w:val="left"/>
        <w:rPr>
          <w:sz w:val="13"/>
        </w:rPr>
      </w:pPr>
      <w:r>
        <w:rPr>
          <w:w w:val="105"/>
          <w:sz w:val="13"/>
        </w:rPr>
        <w:t>National Committee for Uniform Succession Laws, </w:t>
      </w:r>
      <w:r>
        <w:rPr>
          <w:i/>
          <w:w w:val="105"/>
          <w:sz w:val="13"/>
        </w:rPr>
        <w:t>Administration of Estates of Deceased Persons: Report of the National Committee for </w:t>
      </w:r>
      <w:r>
        <w:rPr>
          <w:i/>
          <w:w w:val="105"/>
          <w:sz w:val="13"/>
        </w:rPr>
        <w:t>Uniform Succession Laws to the Standing Committee of Attorneys General: Volume </w:t>
      </w:r>
      <w:r>
        <w:rPr>
          <w:i/>
          <w:spacing w:val="-6"/>
          <w:w w:val="105"/>
          <w:sz w:val="13"/>
        </w:rPr>
        <w:t>1</w:t>
      </w:r>
      <w:r>
        <w:rPr>
          <w:spacing w:val="-6"/>
          <w:w w:val="105"/>
          <w:sz w:val="13"/>
        </w:rPr>
        <w:t>, </w:t>
      </w:r>
      <w:r>
        <w:rPr>
          <w:w w:val="105"/>
          <w:sz w:val="13"/>
        </w:rPr>
        <w:t>Queensland Law Reform Commission </w:t>
      </w:r>
      <w:r>
        <w:rPr>
          <w:spacing w:val="2"/>
          <w:w w:val="105"/>
          <w:sz w:val="13"/>
        </w:rPr>
        <w:t>Report </w:t>
      </w:r>
      <w:r>
        <w:rPr>
          <w:w w:val="105"/>
          <w:sz w:val="13"/>
        </w:rPr>
        <w:t>No 65 </w:t>
      </w:r>
      <w:r>
        <w:rPr>
          <w:spacing w:val="2"/>
          <w:w w:val="105"/>
          <w:sz w:val="13"/>
        </w:rPr>
        <w:t>(2009)</w:t>
      </w:r>
      <w:r>
        <w:rPr>
          <w:spacing w:val="4"/>
          <w:w w:val="105"/>
          <w:sz w:val="13"/>
        </w:rPr>
        <w:t> </w:t>
      </w:r>
      <w:r>
        <w:rPr>
          <w:spacing w:val="-10"/>
          <w:w w:val="105"/>
          <w:sz w:val="13"/>
        </w:rPr>
        <w:t>7.</w:t>
      </w:r>
    </w:p>
    <w:p>
      <w:pPr>
        <w:spacing w:before="206"/>
        <w:ind w:left="708" w:right="575" w:firstLine="0"/>
        <w:jc w:val="center"/>
        <w:rPr>
          <w:b/>
          <w:sz w:val="24"/>
        </w:rPr>
      </w:pPr>
      <w:r>
        <w:rPr/>
        <w:br w:type="column"/>
      </w:r>
      <w:r>
        <w:rPr>
          <w:b/>
          <w:color w:val="EC5A4F"/>
          <w:w w:val="110"/>
          <w:sz w:val="24"/>
        </w:rPr>
        <w:t>189</w:t>
      </w:r>
    </w:p>
    <w:p>
      <w:pPr>
        <w:spacing w:after="0"/>
        <w:jc w:val="center"/>
        <w:rPr>
          <w:sz w:val="24"/>
        </w:rPr>
        <w:sectPr>
          <w:type w:val="continuous"/>
          <w:pgSz w:w="11910" w:h="16840"/>
          <w:pgMar w:top="920" w:bottom="280" w:left="0" w:right="0"/>
          <w:cols w:num="2" w:equalWidth="0">
            <w:col w:w="10145" w:space="40"/>
            <w:col w:w="1725"/>
          </w:cols>
        </w:sectPr>
      </w:pPr>
    </w:p>
    <w:p>
      <w:pPr>
        <w:pStyle w:val="BodyText"/>
        <w:spacing w:before="3"/>
        <w:rPr>
          <w:b/>
        </w:rPr>
      </w:pPr>
    </w:p>
    <w:p>
      <w:pPr>
        <w:pStyle w:val="Heading4"/>
        <w:spacing w:before="99"/>
      </w:pPr>
      <w:bookmarkStart w:name="Assistance in seeking a grant of represe" w:id="147"/>
      <w:bookmarkEnd w:id="147"/>
      <w:r>
        <w:rPr>
          <w:b w:val="0"/>
        </w:rPr>
      </w:r>
      <w:r>
        <w:rPr>
          <w:color w:val="EC5A4F"/>
          <w:w w:val="115"/>
        </w:rPr>
        <w:t>Assistance in seeking a grant of representation</w:t>
      </w:r>
    </w:p>
    <w:p>
      <w:pPr>
        <w:pStyle w:val="Heading5"/>
        <w:spacing w:before="166"/>
      </w:pPr>
      <w:r>
        <w:rPr>
          <w:w w:val="110"/>
        </w:rPr>
        <w:t>Small estates service—Victorian Supreme Court Probate Office</w:t>
      </w:r>
    </w:p>
    <w:p>
      <w:pPr>
        <w:pStyle w:val="ListParagraph"/>
        <w:numPr>
          <w:ilvl w:val="1"/>
          <w:numId w:val="22"/>
        </w:numPr>
        <w:tabs>
          <w:tab w:pos="2381" w:val="left" w:leader="none"/>
        </w:tabs>
        <w:spacing w:line="242" w:lineRule="auto" w:before="138" w:after="0"/>
        <w:ind w:left="2381" w:right="1664" w:hanging="794"/>
        <w:jc w:val="both"/>
        <w:rPr>
          <w:sz w:val="21"/>
        </w:rPr>
      </w:pPr>
      <w:r>
        <w:rPr>
          <w:w w:val="105"/>
          <w:sz w:val="21"/>
        </w:rPr>
        <w:t>Instead of </w:t>
      </w:r>
      <w:r>
        <w:rPr>
          <w:spacing w:val="-3"/>
          <w:w w:val="105"/>
          <w:sz w:val="21"/>
        </w:rPr>
        <w:t>engaging </w:t>
      </w:r>
      <w:r>
        <w:rPr>
          <w:w w:val="105"/>
          <w:sz w:val="21"/>
        </w:rPr>
        <w:t>a lawyer or a trustee </w:t>
      </w:r>
      <w:r>
        <w:rPr>
          <w:spacing w:val="-3"/>
          <w:w w:val="105"/>
          <w:sz w:val="21"/>
        </w:rPr>
        <w:t>company to </w:t>
      </w:r>
      <w:r>
        <w:rPr>
          <w:w w:val="105"/>
          <w:sz w:val="21"/>
        </w:rPr>
        <w:t>apply </w:t>
      </w:r>
      <w:r>
        <w:rPr>
          <w:spacing w:val="-3"/>
          <w:w w:val="105"/>
          <w:sz w:val="21"/>
        </w:rPr>
        <w:t>for </w:t>
      </w:r>
      <w:r>
        <w:rPr>
          <w:w w:val="105"/>
          <w:sz w:val="21"/>
        </w:rPr>
        <w:t>a </w:t>
      </w:r>
      <w:r>
        <w:rPr>
          <w:spacing w:val="-3"/>
          <w:w w:val="105"/>
          <w:sz w:val="21"/>
        </w:rPr>
        <w:t>grant </w:t>
      </w:r>
      <w:r>
        <w:rPr>
          <w:w w:val="105"/>
          <w:sz w:val="21"/>
        </w:rPr>
        <w:t>of </w:t>
      </w:r>
      <w:r>
        <w:rPr>
          <w:spacing w:val="-3"/>
          <w:w w:val="105"/>
          <w:sz w:val="21"/>
        </w:rPr>
        <w:t>representation, </w:t>
      </w:r>
      <w:r>
        <w:rPr>
          <w:w w:val="105"/>
          <w:sz w:val="21"/>
        </w:rPr>
        <w:t>the</w:t>
      </w:r>
      <w:r>
        <w:rPr>
          <w:spacing w:val="-7"/>
          <w:w w:val="105"/>
          <w:sz w:val="21"/>
        </w:rPr>
        <w:t> </w:t>
      </w:r>
      <w:r>
        <w:rPr>
          <w:w w:val="105"/>
          <w:sz w:val="21"/>
        </w:rPr>
        <w:t>person</w:t>
      </w:r>
      <w:r>
        <w:rPr>
          <w:spacing w:val="-6"/>
          <w:w w:val="105"/>
          <w:sz w:val="21"/>
        </w:rPr>
        <w:t> </w:t>
      </w:r>
      <w:r>
        <w:rPr>
          <w:w w:val="105"/>
          <w:sz w:val="21"/>
        </w:rPr>
        <w:t>entitled</w:t>
      </w:r>
      <w:r>
        <w:rPr>
          <w:spacing w:val="-7"/>
          <w:w w:val="105"/>
          <w:sz w:val="21"/>
        </w:rPr>
        <w:t> </w:t>
      </w:r>
      <w:r>
        <w:rPr>
          <w:spacing w:val="-3"/>
          <w:w w:val="105"/>
          <w:sz w:val="21"/>
        </w:rPr>
        <w:t>to</w:t>
      </w:r>
      <w:r>
        <w:rPr>
          <w:spacing w:val="-6"/>
          <w:w w:val="105"/>
          <w:sz w:val="21"/>
        </w:rPr>
        <w:t> </w:t>
      </w:r>
      <w:r>
        <w:rPr>
          <w:w w:val="105"/>
          <w:sz w:val="21"/>
        </w:rPr>
        <w:t>a</w:t>
      </w:r>
      <w:r>
        <w:rPr>
          <w:spacing w:val="-6"/>
          <w:w w:val="105"/>
          <w:sz w:val="21"/>
        </w:rPr>
        <w:t> </w:t>
      </w:r>
      <w:r>
        <w:rPr>
          <w:spacing w:val="-3"/>
          <w:w w:val="105"/>
          <w:sz w:val="21"/>
        </w:rPr>
        <w:t>grant</w:t>
      </w:r>
      <w:r>
        <w:rPr>
          <w:spacing w:val="-7"/>
          <w:w w:val="105"/>
          <w:sz w:val="21"/>
        </w:rPr>
        <w:t> </w:t>
      </w:r>
      <w:r>
        <w:rPr>
          <w:spacing w:val="-3"/>
          <w:w w:val="105"/>
          <w:sz w:val="21"/>
        </w:rPr>
        <w:t>for</w:t>
      </w:r>
      <w:r>
        <w:rPr>
          <w:spacing w:val="-6"/>
          <w:w w:val="105"/>
          <w:sz w:val="21"/>
        </w:rPr>
        <w:t> </w:t>
      </w:r>
      <w:r>
        <w:rPr>
          <w:w w:val="105"/>
          <w:sz w:val="21"/>
        </w:rPr>
        <w:t>a</w:t>
      </w:r>
      <w:r>
        <w:rPr>
          <w:spacing w:val="-6"/>
          <w:w w:val="105"/>
          <w:sz w:val="21"/>
        </w:rPr>
        <w:t> </w:t>
      </w:r>
      <w:r>
        <w:rPr>
          <w:spacing w:val="-3"/>
          <w:w w:val="105"/>
          <w:sz w:val="21"/>
        </w:rPr>
        <w:t>small</w:t>
      </w:r>
      <w:r>
        <w:rPr>
          <w:spacing w:val="-7"/>
          <w:w w:val="105"/>
          <w:sz w:val="21"/>
        </w:rPr>
        <w:t> </w:t>
      </w:r>
      <w:r>
        <w:rPr>
          <w:w w:val="105"/>
          <w:sz w:val="21"/>
        </w:rPr>
        <w:t>estate</w:t>
      </w:r>
      <w:r>
        <w:rPr>
          <w:spacing w:val="-6"/>
          <w:w w:val="105"/>
          <w:sz w:val="21"/>
        </w:rPr>
        <w:t> </w:t>
      </w:r>
      <w:r>
        <w:rPr>
          <w:spacing w:val="-2"/>
          <w:w w:val="105"/>
          <w:sz w:val="21"/>
        </w:rPr>
        <w:t>has</w:t>
      </w:r>
      <w:r>
        <w:rPr>
          <w:spacing w:val="-6"/>
          <w:w w:val="105"/>
          <w:sz w:val="21"/>
        </w:rPr>
        <w:t> </w:t>
      </w:r>
      <w:r>
        <w:rPr>
          <w:w w:val="105"/>
          <w:sz w:val="21"/>
        </w:rPr>
        <w:t>the</w:t>
      </w:r>
      <w:r>
        <w:rPr>
          <w:spacing w:val="-7"/>
          <w:w w:val="105"/>
          <w:sz w:val="21"/>
        </w:rPr>
        <w:t> </w:t>
      </w:r>
      <w:r>
        <w:rPr>
          <w:w w:val="105"/>
          <w:sz w:val="21"/>
        </w:rPr>
        <w:t>option</w:t>
      </w:r>
      <w:r>
        <w:rPr>
          <w:spacing w:val="-6"/>
          <w:w w:val="105"/>
          <w:sz w:val="21"/>
        </w:rPr>
        <w:t> </w:t>
      </w:r>
      <w:r>
        <w:rPr>
          <w:w w:val="105"/>
          <w:sz w:val="21"/>
        </w:rPr>
        <w:t>of</w:t>
      </w:r>
      <w:r>
        <w:rPr>
          <w:spacing w:val="-7"/>
          <w:w w:val="105"/>
          <w:sz w:val="21"/>
        </w:rPr>
        <w:t> </w:t>
      </w:r>
      <w:r>
        <w:rPr>
          <w:w w:val="105"/>
          <w:sz w:val="21"/>
        </w:rPr>
        <w:t>seeking</w:t>
      </w:r>
      <w:r>
        <w:rPr>
          <w:spacing w:val="-6"/>
          <w:w w:val="105"/>
          <w:sz w:val="21"/>
        </w:rPr>
        <w:t> </w:t>
      </w:r>
      <w:r>
        <w:rPr>
          <w:w w:val="105"/>
          <w:sz w:val="21"/>
        </w:rPr>
        <w:t>assistance</w:t>
      </w:r>
      <w:r>
        <w:rPr>
          <w:spacing w:val="-6"/>
          <w:w w:val="105"/>
          <w:sz w:val="21"/>
        </w:rPr>
        <w:t> </w:t>
      </w:r>
      <w:r>
        <w:rPr>
          <w:spacing w:val="-3"/>
          <w:w w:val="105"/>
          <w:sz w:val="21"/>
        </w:rPr>
        <w:t>from </w:t>
      </w:r>
      <w:r>
        <w:rPr>
          <w:w w:val="105"/>
          <w:sz w:val="21"/>
        </w:rPr>
        <w:t>the </w:t>
      </w:r>
      <w:r>
        <w:rPr>
          <w:spacing w:val="-3"/>
          <w:w w:val="105"/>
          <w:sz w:val="21"/>
        </w:rPr>
        <w:t>small </w:t>
      </w:r>
      <w:r>
        <w:rPr>
          <w:w w:val="105"/>
          <w:sz w:val="21"/>
        </w:rPr>
        <w:t>estates officer of the </w:t>
      </w:r>
      <w:r>
        <w:rPr>
          <w:spacing w:val="-3"/>
          <w:w w:val="105"/>
          <w:sz w:val="21"/>
        </w:rPr>
        <w:t>Supreme Court Probate</w:t>
      </w:r>
      <w:r>
        <w:rPr>
          <w:spacing w:val="42"/>
          <w:w w:val="105"/>
          <w:sz w:val="21"/>
        </w:rPr>
        <w:t> </w:t>
      </w:r>
      <w:r>
        <w:rPr>
          <w:w w:val="105"/>
          <w:sz w:val="21"/>
        </w:rPr>
        <w:t>Office.</w:t>
      </w:r>
    </w:p>
    <w:p>
      <w:pPr>
        <w:pStyle w:val="ListParagraph"/>
        <w:numPr>
          <w:ilvl w:val="1"/>
          <w:numId w:val="22"/>
        </w:numPr>
        <w:tabs>
          <w:tab w:pos="2380" w:val="left" w:leader="none"/>
          <w:tab w:pos="2381" w:val="left" w:leader="none"/>
        </w:tabs>
        <w:spacing w:line="242" w:lineRule="auto" w:before="123" w:after="0"/>
        <w:ind w:left="2380" w:right="1586" w:hanging="793"/>
        <w:jc w:val="left"/>
        <w:rPr>
          <w:sz w:val="12"/>
        </w:rPr>
      </w:pPr>
      <w:r>
        <w:rPr>
          <w:w w:val="105"/>
          <w:sz w:val="21"/>
        </w:rPr>
        <w:t>Applicants </w:t>
      </w:r>
      <w:r>
        <w:rPr>
          <w:spacing w:val="-3"/>
          <w:w w:val="105"/>
          <w:sz w:val="21"/>
        </w:rPr>
        <w:t>living </w:t>
      </w:r>
      <w:r>
        <w:rPr>
          <w:w w:val="105"/>
          <w:sz w:val="21"/>
        </w:rPr>
        <w:t>outside the Melbourne metropolitan </w:t>
      </w:r>
      <w:r>
        <w:rPr>
          <w:spacing w:val="-3"/>
          <w:w w:val="105"/>
          <w:sz w:val="21"/>
        </w:rPr>
        <w:t>area may </w:t>
      </w:r>
      <w:r>
        <w:rPr>
          <w:spacing w:val="-4"/>
          <w:w w:val="105"/>
          <w:sz w:val="21"/>
        </w:rPr>
        <w:t>make </w:t>
      </w:r>
      <w:r>
        <w:rPr>
          <w:w w:val="105"/>
          <w:sz w:val="21"/>
        </w:rPr>
        <w:t>an application </w:t>
      </w:r>
      <w:r>
        <w:rPr>
          <w:spacing w:val="-3"/>
          <w:w w:val="105"/>
          <w:sz w:val="21"/>
        </w:rPr>
        <w:t>through</w:t>
      </w:r>
      <w:r>
        <w:rPr>
          <w:spacing w:val="-8"/>
          <w:w w:val="105"/>
          <w:sz w:val="21"/>
        </w:rPr>
        <w:t> </w:t>
      </w:r>
      <w:r>
        <w:rPr>
          <w:w w:val="105"/>
          <w:sz w:val="21"/>
        </w:rPr>
        <w:t>the</w:t>
      </w:r>
      <w:r>
        <w:rPr>
          <w:spacing w:val="-8"/>
          <w:w w:val="105"/>
          <w:sz w:val="21"/>
        </w:rPr>
        <w:t> </w:t>
      </w:r>
      <w:r>
        <w:rPr>
          <w:w w:val="105"/>
          <w:sz w:val="21"/>
        </w:rPr>
        <w:t>Registrar</w:t>
      </w:r>
      <w:r>
        <w:rPr>
          <w:spacing w:val="-7"/>
          <w:w w:val="105"/>
          <w:sz w:val="21"/>
        </w:rPr>
        <w:t> </w:t>
      </w:r>
      <w:r>
        <w:rPr>
          <w:w w:val="105"/>
          <w:sz w:val="21"/>
        </w:rPr>
        <w:t>of</w:t>
      </w:r>
      <w:r>
        <w:rPr>
          <w:spacing w:val="-8"/>
          <w:w w:val="105"/>
          <w:sz w:val="21"/>
        </w:rPr>
        <w:t> </w:t>
      </w:r>
      <w:r>
        <w:rPr>
          <w:w w:val="105"/>
          <w:sz w:val="21"/>
        </w:rPr>
        <w:t>their</w:t>
      </w:r>
      <w:r>
        <w:rPr>
          <w:spacing w:val="-8"/>
          <w:w w:val="105"/>
          <w:sz w:val="21"/>
        </w:rPr>
        <w:t> </w:t>
      </w:r>
      <w:r>
        <w:rPr>
          <w:w w:val="105"/>
          <w:sz w:val="21"/>
        </w:rPr>
        <w:t>nearest</w:t>
      </w:r>
      <w:r>
        <w:rPr>
          <w:spacing w:val="-7"/>
          <w:w w:val="105"/>
          <w:sz w:val="21"/>
        </w:rPr>
        <w:t> </w:t>
      </w:r>
      <w:r>
        <w:rPr>
          <w:spacing w:val="-3"/>
          <w:w w:val="105"/>
          <w:sz w:val="21"/>
        </w:rPr>
        <w:t>Magistrates’</w:t>
      </w:r>
      <w:r>
        <w:rPr>
          <w:spacing w:val="-8"/>
          <w:w w:val="105"/>
          <w:sz w:val="21"/>
        </w:rPr>
        <w:t> </w:t>
      </w:r>
      <w:r>
        <w:rPr>
          <w:spacing w:val="-3"/>
          <w:w w:val="105"/>
          <w:sz w:val="21"/>
        </w:rPr>
        <w:t>Court.</w:t>
      </w:r>
      <w:r>
        <w:rPr>
          <w:spacing w:val="-8"/>
          <w:w w:val="105"/>
          <w:sz w:val="21"/>
        </w:rPr>
        <w:t> </w:t>
      </w:r>
      <w:r>
        <w:rPr>
          <w:w w:val="105"/>
          <w:sz w:val="21"/>
        </w:rPr>
        <w:t>Registrars</w:t>
      </w:r>
      <w:r>
        <w:rPr>
          <w:spacing w:val="-7"/>
          <w:w w:val="105"/>
          <w:sz w:val="21"/>
        </w:rPr>
        <w:t> </w:t>
      </w:r>
      <w:r>
        <w:rPr>
          <w:w w:val="105"/>
          <w:sz w:val="21"/>
        </w:rPr>
        <w:t>of</w:t>
      </w:r>
      <w:r>
        <w:rPr>
          <w:spacing w:val="-8"/>
          <w:w w:val="105"/>
          <w:sz w:val="21"/>
        </w:rPr>
        <w:t> </w:t>
      </w:r>
      <w:r>
        <w:rPr>
          <w:spacing w:val="-3"/>
          <w:w w:val="105"/>
          <w:sz w:val="21"/>
        </w:rPr>
        <w:t>Magistrates’</w:t>
      </w:r>
      <w:r>
        <w:rPr>
          <w:spacing w:val="-8"/>
          <w:w w:val="105"/>
          <w:sz w:val="21"/>
        </w:rPr>
        <w:t> </w:t>
      </w:r>
      <w:r>
        <w:rPr>
          <w:w w:val="105"/>
          <w:sz w:val="21"/>
        </w:rPr>
        <w:t>Courts </w:t>
      </w:r>
      <w:r>
        <w:rPr>
          <w:spacing w:val="-3"/>
          <w:w w:val="105"/>
          <w:sz w:val="21"/>
        </w:rPr>
        <w:t>will facilitate </w:t>
      </w:r>
      <w:r>
        <w:rPr>
          <w:w w:val="105"/>
          <w:sz w:val="21"/>
        </w:rPr>
        <w:t>the </w:t>
      </w:r>
      <w:r>
        <w:rPr>
          <w:spacing w:val="-3"/>
          <w:w w:val="105"/>
          <w:sz w:val="21"/>
        </w:rPr>
        <w:t>transfer </w:t>
      </w:r>
      <w:r>
        <w:rPr>
          <w:w w:val="105"/>
          <w:sz w:val="21"/>
        </w:rPr>
        <w:t>of documents and fees </w:t>
      </w:r>
      <w:r>
        <w:rPr>
          <w:spacing w:val="-3"/>
          <w:w w:val="105"/>
          <w:sz w:val="21"/>
        </w:rPr>
        <w:t>to </w:t>
      </w:r>
      <w:r>
        <w:rPr>
          <w:w w:val="105"/>
          <w:sz w:val="21"/>
        </w:rPr>
        <w:t>the </w:t>
      </w:r>
      <w:r>
        <w:rPr>
          <w:spacing w:val="-3"/>
          <w:w w:val="105"/>
          <w:sz w:val="21"/>
        </w:rPr>
        <w:t>Supreme Court Probate</w:t>
      </w:r>
      <w:r>
        <w:rPr>
          <w:spacing w:val="3"/>
          <w:w w:val="105"/>
          <w:sz w:val="21"/>
        </w:rPr>
        <w:t> </w:t>
      </w:r>
      <w:r>
        <w:rPr>
          <w:w w:val="105"/>
          <w:sz w:val="21"/>
        </w:rPr>
        <w:t>Office.</w:t>
      </w:r>
      <w:r>
        <w:rPr>
          <w:w w:val="105"/>
          <w:position w:val="7"/>
          <w:sz w:val="12"/>
        </w:rPr>
        <w:t>4</w:t>
      </w:r>
    </w:p>
    <w:p>
      <w:pPr>
        <w:pStyle w:val="ListParagraph"/>
        <w:numPr>
          <w:ilvl w:val="1"/>
          <w:numId w:val="22"/>
        </w:numPr>
        <w:tabs>
          <w:tab w:pos="2381" w:val="left" w:leader="none"/>
          <w:tab w:pos="2382" w:val="left" w:leader="none"/>
        </w:tabs>
        <w:spacing w:line="242" w:lineRule="auto" w:before="123" w:after="0"/>
        <w:ind w:left="2381" w:right="1623" w:hanging="794"/>
        <w:jc w:val="left"/>
        <w:rPr>
          <w:sz w:val="12"/>
        </w:rPr>
      </w:pPr>
      <w:r>
        <w:rPr>
          <w:w w:val="105"/>
          <w:sz w:val="21"/>
        </w:rPr>
        <w:t>Distinct</w:t>
      </w:r>
      <w:r>
        <w:rPr>
          <w:spacing w:val="-5"/>
          <w:w w:val="105"/>
          <w:sz w:val="21"/>
        </w:rPr>
        <w:t> </w:t>
      </w:r>
      <w:r>
        <w:rPr>
          <w:spacing w:val="-3"/>
          <w:w w:val="105"/>
          <w:sz w:val="21"/>
        </w:rPr>
        <w:t>from</w:t>
      </w:r>
      <w:r>
        <w:rPr>
          <w:spacing w:val="-4"/>
          <w:w w:val="105"/>
          <w:sz w:val="21"/>
        </w:rPr>
        <w:t> </w:t>
      </w:r>
      <w:r>
        <w:rPr>
          <w:w w:val="105"/>
          <w:sz w:val="21"/>
        </w:rPr>
        <w:t>general</w:t>
      </w:r>
      <w:r>
        <w:rPr>
          <w:spacing w:val="-4"/>
          <w:w w:val="105"/>
          <w:sz w:val="21"/>
        </w:rPr>
        <w:t> </w:t>
      </w:r>
      <w:r>
        <w:rPr>
          <w:spacing w:val="-3"/>
          <w:w w:val="105"/>
          <w:sz w:val="21"/>
        </w:rPr>
        <w:t>guidance</w:t>
      </w:r>
      <w:r>
        <w:rPr>
          <w:spacing w:val="-4"/>
          <w:w w:val="105"/>
          <w:sz w:val="21"/>
        </w:rPr>
        <w:t> </w:t>
      </w:r>
      <w:r>
        <w:rPr>
          <w:spacing w:val="-3"/>
          <w:w w:val="105"/>
          <w:sz w:val="21"/>
        </w:rPr>
        <w:t>that</w:t>
      </w:r>
      <w:r>
        <w:rPr>
          <w:spacing w:val="-4"/>
          <w:w w:val="105"/>
          <w:sz w:val="21"/>
        </w:rPr>
        <w:t> </w:t>
      </w:r>
      <w:r>
        <w:rPr>
          <w:spacing w:val="-3"/>
          <w:w w:val="105"/>
          <w:sz w:val="21"/>
        </w:rPr>
        <w:t>might</w:t>
      </w:r>
      <w:r>
        <w:rPr>
          <w:spacing w:val="-4"/>
          <w:w w:val="105"/>
          <w:sz w:val="21"/>
        </w:rPr>
        <w:t> </w:t>
      </w:r>
      <w:r>
        <w:rPr>
          <w:w w:val="105"/>
          <w:sz w:val="21"/>
        </w:rPr>
        <w:t>otherwise</w:t>
      </w:r>
      <w:r>
        <w:rPr>
          <w:spacing w:val="-4"/>
          <w:w w:val="105"/>
          <w:sz w:val="21"/>
        </w:rPr>
        <w:t> </w:t>
      </w:r>
      <w:r>
        <w:rPr>
          <w:w w:val="105"/>
          <w:sz w:val="21"/>
        </w:rPr>
        <w:t>be</w:t>
      </w:r>
      <w:r>
        <w:rPr>
          <w:spacing w:val="-4"/>
          <w:w w:val="105"/>
          <w:sz w:val="21"/>
        </w:rPr>
        <w:t> </w:t>
      </w:r>
      <w:r>
        <w:rPr>
          <w:w w:val="105"/>
          <w:sz w:val="21"/>
        </w:rPr>
        <w:t>given</w:t>
      </w:r>
      <w:r>
        <w:rPr>
          <w:spacing w:val="-4"/>
          <w:w w:val="105"/>
          <w:sz w:val="21"/>
        </w:rPr>
        <w:t> </w:t>
      </w:r>
      <w:r>
        <w:rPr>
          <w:spacing w:val="-3"/>
          <w:w w:val="105"/>
          <w:sz w:val="21"/>
        </w:rPr>
        <w:t>to</w:t>
      </w:r>
      <w:r>
        <w:rPr>
          <w:spacing w:val="-4"/>
          <w:w w:val="105"/>
          <w:sz w:val="21"/>
        </w:rPr>
        <w:t> </w:t>
      </w:r>
      <w:r>
        <w:rPr>
          <w:w w:val="105"/>
          <w:sz w:val="21"/>
        </w:rPr>
        <w:t>applicants</w:t>
      </w:r>
      <w:r>
        <w:rPr>
          <w:spacing w:val="-4"/>
          <w:w w:val="105"/>
          <w:sz w:val="21"/>
        </w:rPr>
        <w:t> </w:t>
      </w:r>
      <w:r>
        <w:rPr>
          <w:w w:val="105"/>
          <w:sz w:val="21"/>
        </w:rPr>
        <w:t>by</w:t>
      </w:r>
      <w:r>
        <w:rPr>
          <w:spacing w:val="-4"/>
          <w:w w:val="105"/>
          <w:sz w:val="21"/>
        </w:rPr>
        <w:t> </w:t>
      </w:r>
      <w:r>
        <w:rPr>
          <w:w w:val="105"/>
          <w:sz w:val="21"/>
        </w:rPr>
        <w:t>staff</w:t>
      </w:r>
      <w:r>
        <w:rPr>
          <w:spacing w:val="-5"/>
          <w:w w:val="105"/>
          <w:sz w:val="21"/>
        </w:rPr>
        <w:t> </w:t>
      </w:r>
      <w:r>
        <w:rPr>
          <w:w w:val="105"/>
          <w:sz w:val="21"/>
        </w:rPr>
        <w:t>of</w:t>
      </w:r>
      <w:r>
        <w:rPr>
          <w:spacing w:val="-4"/>
          <w:w w:val="105"/>
          <w:sz w:val="21"/>
        </w:rPr>
        <w:t> </w:t>
      </w:r>
      <w:r>
        <w:rPr>
          <w:w w:val="105"/>
          <w:sz w:val="21"/>
        </w:rPr>
        <w:t>the </w:t>
      </w:r>
      <w:r>
        <w:rPr>
          <w:spacing w:val="-3"/>
          <w:w w:val="105"/>
          <w:sz w:val="21"/>
        </w:rPr>
        <w:t>Probate </w:t>
      </w:r>
      <w:r>
        <w:rPr>
          <w:w w:val="105"/>
          <w:sz w:val="21"/>
        </w:rPr>
        <w:t>Office, this is effectively a legal aid service. The </w:t>
      </w:r>
      <w:r>
        <w:rPr>
          <w:spacing w:val="-3"/>
          <w:w w:val="105"/>
          <w:sz w:val="21"/>
        </w:rPr>
        <w:t>small </w:t>
      </w:r>
      <w:r>
        <w:rPr>
          <w:w w:val="105"/>
          <w:sz w:val="21"/>
        </w:rPr>
        <w:t>estates officer </w:t>
      </w:r>
      <w:r>
        <w:rPr>
          <w:spacing w:val="-3"/>
          <w:w w:val="105"/>
          <w:sz w:val="21"/>
        </w:rPr>
        <w:t>will </w:t>
      </w:r>
      <w:r>
        <w:rPr>
          <w:w w:val="105"/>
          <w:sz w:val="21"/>
        </w:rPr>
        <w:t>actively </w:t>
      </w:r>
      <w:r>
        <w:rPr>
          <w:spacing w:val="-3"/>
          <w:w w:val="105"/>
          <w:sz w:val="21"/>
        </w:rPr>
        <w:t>prepare </w:t>
      </w:r>
      <w:r>
        <w:rPr>
          <w:w w:val="105"/>
          <w:sz w:val="21"/>
        </w:rPr>
        <w:t>and file documents on behalf of the</w:t>
      </w:r>
      <w:r>
        <w:rPr>
          <w:spacing w:val="36"/>
          <w:w w:val="105"/>
          <w:sz w:val="21"/>
        </w:rPr>
        <w:t> </w:t>
      </w:r>
      <w:r>
        <w:rPr>
          <w:spacing w:val="-3"/>
          <w:w w:val="105"/>
          <w:sz w:val="21"/>
        </w:rPr>
        <w:t>applicant.</w:t>
      </w:r>
      <w:r>
        <w:rPr>
          <w:spacing w:val="-3"/>
          <w:w w:val="105"/>
          <w:position w:val="7"/>
          <w:sz w:val="12"/>
        </w:rPr>
        <w:t>5</w:t>
      </w:r>
    </w:p>
    <w:p>
      <w:pPr>
        <w:pStyle w:val="ListParagraph"/>
        <w:numPr>
          <w:ilvl w:val="1"/>
          <w:numId w:val="22"/>
        </w:numPr>
        <w:tabs>
          <w:tab w:pos="2380" w:val="left" w:leader="none"/>
          <w:tab w:pos="2381" w:val="left" w:leader="none"/>
        </w:tabs>
        <w:spacing w:line="242" w:lineRule="auto" w:before="124" w:after="0"/>
        <w:ind w:left="2381" w:right="1611" w:hanging="794"/>
        <w:jc w:val="left"/>
        <w:rPr>
          <w:sz w:val="12"/>
        </w:rPr>
      </w:pPr>
      <w:r>
        <w:rPr>
          <w:sz w:val="21"/>
        </w:rPr>
        <w:t>The Registrar is </w:t>
      </w:r>
      <w:r>
        <w:rPr>
          <w:spacing w:val="-2"/>
          <w:sz w:val="21"/>
        </w:rPr>
        <w:t>not </w:t>
      </w:r>
      <w:r>
        <w:rPr>
          <w:spacing w:val="-3"/>
          <w:sz w:val="21"/>
        </w:rPr>
        <w:t>required to </w:t>
      </w:r>
      <w:r>
        <w:rPr>
          <w:sz w:val="21"/>
        </w:rPr>
        <w:t>provide this assistance </w:t>
      </w:r>
      <w:r>
        <w:rPr>
          <w:spacing w:val="-3"/>
          <w:sz w:val="21"/>
        </w:rPr>
        <w:t>to all eligible </w:t>
      </w:r>
      <w:r>
        <w:rPr>
          <w:sz w:val="21"/>
        </w:rPr>
        <w:t>estates. Applicants </w:t>
      </w:r>
      <w:r>
        <w:rPr>
          <w:spacing w:val="-3"/>
          <w:sz w:val="21"/>
        </w:rPr>
        <w:t>are encouraged to </w:t>
      </w:r>
      <w:r>
        <w:rPr>
          <w:sz w:val="21"/>
        </w:rPr>
        <w:t>seek independent legal advice where necessary, and </w:t>
      </w:r>
      <w:r>
        <w:rPr>
          <w:spacing w:val="-3"/>
          <w:sz w:val="21"/>
        </w:rPr>
        <w:t>will  </w:t>
      </w:r>
      <w:r>
        <w:rPr>
          <w:sz w:val="21"/>
        </w:rPr>
        <w:t>be </w:t>
      </w:r>
      <w:r>
        <w:rPr>
          <w:spacing w:val="-3"/>
          <w:sz w:val="21"/>
        </w:rPr>
        <w:t>unable</w:t>
      </w:r>
      <w:r>
        <w:rPr>
          <w:spacing w:val="41"/>
          <w:sz w:val="21"/>
        </w:rPr>
        <w:t> </w:t>
      </w:r>
      <w:r>
        <w:rPr>
          <w:spacing w:val="-3"/>
          <w:sz w:val="21"/>
        </w:rPr>
        <w:t>to  </w:t>
      </w:r>
      <w:r>
        <w:rPr>
          <w:sz w:val="21"/>
        </w:rPr>
        <w:t>use the</w:t>
      </w:r>
      <w:r>
        <w:rPr>
          <w:spacing w:val="9"/>
          <w:sz w:val="21"/>
        </w:rPr>
        <w:t> </w:t>
      </w:r>
      <w:r>
        <w:rPr>
          <w:sz w:val="21"/>
        </w:rPr>
        <w:t>service</w:t>
      </w:r>
      <w:r>
        <w:rPr>
          <w:spacing w:val="9"/>
          <w:sz w:val="21"/>
        </w:rPr>
        <w:t> </w:t>
      </w:r>
      <w:r>
        <w:rPr>
          <w:sz w:val="21"/>
        </w:rPr>
        <w:t>where</w:t>
      </w:r>
      <w:r>
        <w:rPr>
          <w:spacing w:val="9"/>
          <w:sz w:val="21"/>
        </w:rPr>
        <w:t> </w:t>
      </w:r>
      <w:r>
        <w:rPr>
          <w:sz w:val="21"/>
        </w:rPr>
        <w:t>the</w:t>
      </w:r>
      <w:r>
        <w:rPr>
          <w:spacing w:val="9"/>
          <w:sz w:val="21"/>
        </w:rPr>
        <w:t> </w:t>
      </w:r>
      <w:r>
        <w:rPr>
          <w:sz w:val="21"/>
        </w:rPr>
        <w:t>estate</w:t>
      </w:r>
      <w:r>
        <w:rPr>
          <w:spacing w:val="9"/>
          <w:sz w:val="21"/>
        </w:rPr>
        <w:t> </w:t>
      </w:r>
      <w:r>
        <w:rPr>
          <w:sz w:val="21"/>
        </w:rPr>
        <w:t>is</w:t>
      </w:r>
      <w:r>
        <w:rPr>
          <w:spacing w:val="9"/>
          <w:sz w:val="21"/>
        </w:rPr>
        <w:t> </w:t>
      </w:r>
      <w:r>
        <w:rPr>
          <w:spacing w:val="-2"/>
          <w:sz w:val="21"/>
        </w:rPr>
        <w:t>legally</w:t>
      </w:r>
      <w:r>
        <w:rPr>
          <w:spacing w:val="9"/>
          <w:sz w:val="21"/>
        </w:rPr>
        <w:t> </w:t>
      </w:r>
      <w:r>
        <w:rPr>
          <w:sz w:val="21"/>
        </w:rPr>
        <w:t>complex</w:t>
      </w:r>
      <w:r>
        <w:rPr>
          <w:spacing w:val="9"/>
          <w:sz w:val="21"/>
        </w:rPr>
        <w:t> </w:t>
      </w:r>
      <w:r>
        <w:rPr>
          <w:sz w:val="21"/>
        </w:rPr>
        <w:t>or</w:t>
      </w:r>
      <w:r>
        <w:rPr>
          <w:spacing w:val="9"/>
          <w:sz w:val="21"/>
        </w:rPr>
        <w:t> </w:t>
      </w:r>
      <w:r>
        <w:rPr>
          <w:sz w:val="21"/>
        </w:rPr>
        <w:t>too</w:t>
      </w:r>
      <w:r>
        <w:rPr>
          <w:spacing w:val="10"/>
          <w:sz w:val="21"/>
        </w:rPr>
        <w:t> </w:t>
      </w:r>
      <w:r>
        <w:rPr>
          <w:spacing w:val="-3"/>
          <w:sz w:val="21"/>
        </w:rPr>
        <w:t>large.</w:t>
      </w:r>
      <w:r>
        <w:rPr>
          <w:spacing w:val="-3"/>
          <w:position w:val="7"/>
          <w:sz w:val="12"/>
        </w:rPr>
        <w:t>6</w:t>
      </w:r>
    </w:p>
    <w:p>
      <w:pPr>
        <w:pStyle w:val="ListParagraph"/>
        <w:numPr>
          <w:ilvl w:val="1"/>
          <w:numId w:val="22"/>
        </w:numPr>
        <w:tabs>
          <w:tab w:pos="2381" w:val="left" w:leader="none"/>
          <w:tab w:pos="2382" w:val="left" w:leader="none"/>
        </w:tabs>
        <w:spacing w:line="242" w:lineRule="auto" w:before="123" w:after="0"/>
        <w:ind w:left="2381" w:right="2303" w:hanging="794"/>
        <w:jc w:val="left"/>
        <w:rPr>
          <w:sz w:val="21"/>
        </w:rPr>
      </w:pPr>
      <w:r>
        <w:rPr>
          <w:sz w:val="21"/>
        </w:rPr>
        <w:t>The </w:t>
      </w:r>
      <w:r>
        <w:rPr>
          <w:spacing w:val="-3"/>
          <w:sz w:val="21"/>
        </w:rPr>
        <w:t>Administration </w:t>
      </w:r>
      <w:r>
        <w:rPr>
          <w:sz w:val="21"/>
        </w:rPr>
        <w:t>and </w:t>
      </w:r>
      <w:r>
        <w:rPr>
          <w:spacing w:val="-3"/>
          <w:sz w:val="21"/>
        </w:rPr>
        <w:t>Probate </w:t>
      </w:r>
      <w:r>
        <w:rPr>
          <w:sz w:val="21"/>
        </w:rPr>
        <w:t>Act provides </w:t>
      </w:r>
      <w:r>
        <w:rPr>
          <w:spacing w:val="-3"/>
          <w:sz w:val="21"/>
        </w:rPr>
        <w:t>that </w:t>
      </w:r>
      <w:r>
        <w:rPr>
          <w:sz w:val="21"/>
        </w:rPr>
        <w:t>a </w:t>
      </w:r>
      <w:r>
        <w:rPr>
          <w:spacing w:val="-4"/>
          <w:sz w:val="21"/>
        </w:rPr>
        <w:t>‘small  </w:t>
      </w:r>
      <w:r>
        <w:rPr>
          <w:sz w:val="21"/>
        </w:rPr>
        <w:t>estate’ </w:t>
      </w:r>
      <w:r>
        <w:rPr>
          <w:spacing w:val="-3"/>
          <w:sz w:val="21"/>
        </w:rPr>
        <w:t>for  </w:t>
      </w:r>
      <w:r>
        <w:rPr>
          <w:sz w:val="21"/>
        </w:rPr>
        <w:t>the purposes  of </w:t>
      </w:r>
      <w:r>
        <w:rPr>
          <w:spacing w:val="-2"/>
          <w:sz w:val="21"/>
        </w:rPr>
        <w:t>access </w:t>
      </w:r>
      <w:r>
        <w:rPr>
          <w:spacing w:val="-3"/>
          <w:sz w:val="21"/>
        </w:rPr>
        <w:t>to </w:t>
      </w:r>
      <w:r>
        <w:rPr>
          <w:sz w:val="21"/>
        </w:rPr>
        <w:t>this service is one in which a deceased person</w:t>
      </w:r>
      <w:r>
        <w:rPr>
          <w:spacing w:val="20"/>
          <w:sz w:val="21"/>
        </w:rPr>
        <w:t> </w:t>
      </w:r>
      <w:r>
        <w:rPr>
          <w:spacing w:val="-3"/>
          <w:sz w:val="21"/>
        </w:rPr>
        <w:t>leaves </w:t>
      </w:r>
      <w:r>
        <w:rPr>
          <w:sz w:val="21"/>
        </w:rPr>
        <w:t>property:</w:t>
      </w:r>
    </w:p>
    <w:p>
      <w:pPr>
        <w:pStyle w:val="ListParagraph"/>
        <w:numPr>
          <w:ilvl w:val="2"/>
          <w:numId w:val="22"/>
        </w:numPr>
        <w:tabs>
          <w:tab w:pos="2721" w:val="left" w:leader="none"/>
          <w:tab w:pos="2722" w:val="left" w:leader="none"/>
        </w:tabs>
        <w:spacing w:line="240" w:lineRule="auto" w:before="122" w:after="0"/>
        <w:ind w:left="2721" w:right="0" w:hanging="340"/>
        <w:jc w:val="left"/>
        <w:rPr>
          <w:sz w:val="21"/>
        </w:rPr>
      </w:pPr>
      <w:r>
        <w:rPr>
          <w:spacing w:val="-2"/>
          <w:w w:val="105"/>
          <w:sz w:val="21"/>
        </w:rPr>
        <w:t>not </w:t>
      </w:r>
      <w:r>
        <w:rPr>
          <w:spacing w:val="-3"/>
          <w:w w:val="105"/>
          <w:sz w:val="21"/>
        </w:rPr>
        <w:t>exceeding $25,000,</w:t>
      </w:r>
      <w:r>
        <w:rPr>
          <w:spacing w:val="22"/>
          <w:w w:val="105"/>
          <w:sz w:val="21"/>
        </w:rPr>
        <w:t> </w:t>
      </w:r>
      <w:r>
        <w:rPr>
          <w:w w:val="105"/>
          <w:sz w:val="21"/>
        </w:rPr>
        <w:t>or</w:t>
      </w:r>
    </w:p>
    <w:p>
      <w:pPr>
        <w:pStyle w:val="ListParagraph"/>
        <w:numPr>
          <w:ilvl w:val="2"/>
          <w:numId w:val="22"/>
        </w:numPr>
        <w:tabs>
          <w:tab w:pos="2721" w:val="left" w:leader="none"/>
          <w:tab w:pos="2722" w:val="left" w:leader="none"/>
        </w:tabs>
        <w:spacing w:line="242" w:lineRule="auto" w:before="117" w:after="0"/>
        <w:ind w:left="2721" w:right="1607" w:hanging="340"/>
        <w:jc w:val="left"/>
        <w:rPr>
          <w:sz w:val="12"/>
        </w:rPr>
      </w:pPr>
      <w:r>
        <w:rPr>
          <w:spacing w:val="-4"/>
          <w:sz w:val="21"/>
        </w:rPr>
        <w:t>not </w:t>
      </w:r>
      <w:r>
        <w:rPr>
          <w:spacing w:val="-6"/>
          <w:sz w:val="21"/>
        </w:rPr>
        <w:t>exceeding </w:t>
      </w:r>
      <w:r>
        <w:rPr>
          <w:spacing w:val="-4"/>
          <w:sz w:val="21"/>
        </w:rPr>
        <w:t>$50,000, </w:t>
      </w:r>
      <w:r>
        <w:rPr>
          <w:spacing w:val="-3"/>
          <w:sz w:val="21"/>
        </w:rPr>
        <w:t>if </w:t>
      </w:r>
      <w:r>
        <w:rPr>
          <w:spacing w:val="-4"/>
          <w:sz w:val="21"/>
        </w:rPr>
        <w:t>the </w:t>
      </w:r>
      <w:r>
        <w:rPr>
          <w:spacing w:val="-5"/>
          <w:sz w:val="21"/>
        </w:rPr>
        <w:t>only </w:t>
      </w:r>
      <w:r>
        <w:rPr>
          <w:spacing w:val="-4"/>
          <w:sz w:val="21"/>
        </w:rPr>
        <w:t>people </w:t>
      </w:r>
      <w:r>
        <w:rPr>
          <w:spacing w:val="-5"/>
          <w:sz w:val="21"/>
        </w:rPr>
        <w:t>entitled </w:t>
      </w:r>
      <w:r>
        <w:rPr>
          <w:spacing w:val="-4"/>
          <w:sz w:val="21"/>
        </w:rPr>
        <w:t>to </w:t>
      </w:r>
      <w:r>
        <w:rPr>
          <w:spacing w:val="-6"/>
          <w:sz w:val="21"/>
        </w:rPr>
        <w:t>share  </w:t>
      </w:r>
      <w:r>
        <w:rPr>
          <w:spacing w:val="-4"/>
          <w:sz w:val="21"/>
        </w:rPr>
        <w:t>in the </w:t>
      </w:r>
      <w:r>
        <w:rPr>
          <w:spacing w:val="-5"/>
          <w:sz w:val="21"/>
        </w:rPr>
        <w:t>distribution  </w:t>
      </w:r>
      <w:r>
        <w:rPr>
          <w:spacing w:val="-4"/>
          <w:sz w:val="21"/>
        </w:rPr>
        <w:t>of property  </w:t>
      </w:r>
      <w:r>
        <w:rPr>
          <w:spacing w:val="-5"/>
          <w:sz w:val="21"/>
        </w:rPr>
        <w:t>are </w:t>
      </w:r>
      <w:r>
        <w:rPr>
          <w:spacing w:val="-4"/>
          <w:sz w:val="21"/>
        </w:rPr>
        <w:t>the child(ren), partner </w:t>
      </w:r>
      <w:r>
        <w:rPr>
          <w:sz w:val="21"/>
        </w:rPr>
        <w:t>and/or </w:t>
      </w:r>
      <w:r>
        <w:rPr>
          <w:spacing w:val="-4"/>
          <w:sz w:val="21"/>
        </w:rPr>
        <w:t>sole </w:t>
      </w:r>
      <w:r>
        <w:rPr>
          <w:spacing w:val="-5"/>
          <w:sz w:val="21"/>
        </w:rPr>
        <w:t>surviving </w:t>
      </w:r>
      <w:r>
        <w:rPr>
          <w:spacing w:val="-6"/>
          <w:sz w:val="21"/>
        </w:rPr>
        <w:t>parent </w:t>
      </w:r>
      <w:r>
        <w:rPr>
          <w:spacing w:val="-4"/>
          <w:sz w:val="21"/>
        </w:rPr>
        <w:t>of the </w:t>
      </w:r>
      <w:r>
        <w:rPr>
          <w:spacing w:val="-5"/>
          <w:sz w:val="21"/>
        </w:rPr>
        <w:t>deceased</w:t>
      </w:r>
      <w:r>
        <w:rPr>
          <w:spacing w:val="3"/>
          <w:sz w:val="21"/>
        </w:rPr>
        <w:t> </w:t>
      </w:r>
      <w:r>
        <w:rPr>
          <w:spacing w:val="-6"/>
          <w:sz w:val="21"/>
        </w:rPr>
        <w:t>person.</w:t>
      </w:r>
      <w:r>
        <w:rPr>
          <w:spacing w:val="-6"/>
          <w:position w:val="7"/>
          <w:sz w:val="12"/>
        </w:rPr>
        <w:t>7</w:t>
      </w:r>
    </w:p>
    <w:p>
      <w:pPr>
        <w:pStyle w:val="BodyText"/>
        <w:spacing w:before="116"/>
        <w:ind w:left="2381"/>
        <w:rPr>
          <w:sz w:val="12"/>
        </w:rPr>
      </w:pPr>
      <w:r>
        <w:rPr>
          <w:w w:val="105"/>
        </w:rPr>
        <w:t>The most recent amendment to these ‘dual threshold’ figures was in 1995.</w:t>
      </w:r>
      <w:r>
        <w:rPr>
          <w:w w:val="105"/>
          <w:position w:val="7"/>
          <w:sz w:val="12"/>
        </w:rPr>
        <w:t>8</w:t>
      </w:r>
    </w:p>
    <w:p>
      <w:pPr>
        <w:pStyle w:val="ListParagraph"/>
        <w:numPr>
          <w:ilvl w:val="1"/>
          <w:numId w:val="22"/>
        </w:numPr>
        <w:tabs>
          <w:tab w:pos="2381" w:val="left" w:leader="none"/>
          <w:tab w:pos="2382" w:val="left" w:leader="none"/>
        </w:tabs>
        <w:spacing w:line="242" w:lineRule="auto" w:before="123" w:after="0"/>
        <w:ind w:left="2381" w:right="1709" w:hanging="794"/>
        <w:jc w:val="left"/>
        <w:rPr>
          <w:sz w:val="12"/>
        </w:rPr>
      </w:pPr>
      <w:r>
        <w:rPr>
          <w:w w:val="105"/>
          <w:sz w:val="21"/>
        </w:rPr>
        <w:t>An </w:t>
      </w:r>
      <w:r>
        <w:rPr>
          <w:spacing w:val="-3"/>
          <w:w w:val="105"/>
          <w:sz w:val="21"/>
        </w:rPr>
        <w:t>administration </w:t>
      </w:r>
      <w:r>
        <w:rPr>
          <w:w w:val="105"/>
          <w:sz w:val="21"/>
        </w:rPr>
        <w:t>fee of </w:t>
      </w:r>
      <w:r>
        <w:rPr>
          <w:spacing w:val="-8"/>
          <w:w w:val="105"/>
          <w:sz w:val="21"/>
        </w:rPr>
        <w:t>$102.70 </w:t>
      </w:r>
      <w:r>
        <w:rPr>
          <w:w w:val="105"/>
          <w:sz w:val="21"/>
        </w:rPr>
        <w:t>is </w:t>
      </w:r>
      <w:r>
        <w:rPr>
          <w:spacing w:val="-3"/>
          <w:w w:val="105"/>
          <w:sz w:val="21"/>
        </w:rPr>
        <w:t>charged for </w:t>
      </w:r>
      <w:r>
        <w:rPr>
          <w:w w:val="105"/>
          <w:sz w:val="21"/>
        </w:rPr>
        <w:t>this service, as </w:t>
      </w:r>
      <w:r>
        <w:rPr>
          <w:spacing w:val="-3"/>
          <w:w w:val="105"/>
          <w:sz w:val="21"/>
        </w:rPr>
        <w:t>well </w:t>
      </w:r>
      <w:r>
        <w:rPr>
          <w:w w:val="105"/>
          <w:sz w:val="21"/>
        </w:rPr>
        <w:t>as the standard </w:t>
      </w:r>
      <w:r>
        <w:rPr>
          <w:spacing w:val="-3"/>
          <w:w w:val="105"/>
          <w:sz w:val="21"/>
        </w:rPr>
        <w:t>grant </w:t>
      </w:r>
      <w:r>
        <w:rPr>
          <w:w w:val="105"/>
          <w:sz w:val="21"/>
        </w:rPr>
        <w:t>application fee of</w:t>
      </w:r>
      <w:r>
        <w:rPr>
          <w:spacing w:val="16"/>
          <w:w w:val="105"/>
          <w:sz w:val="21"/>
        </w:rPr>
        <w:t> </w:t>
      </w:r>
      <w:r>
        <w:rPr>
          <w:spacing w:val="-6"/>
          <w:w w:val="105"/>
          <w:sz w:val="21"/>
        </w:rPr>
        <w:t>$281.90.</w:t>
      </w:r>
      <w:r>
        <w:rPr>
          <w:spacing w:val="-6"/>
          <w:w w:val="105"/>
          <w:position w:val="7"/>
          <w:sz w:val="12"/>
        </w:rPr>
        <w:t>9</w:t>
      </w:r>
    </w:p>
    <w:p>
      <w:pPr>
        <w:pStyle w:val="ListParagraph"/>
        <w:numPr>
          <w:ilvl w:val="1"/>
          <w:numId w:val="22"/>
        </w:numPr>
        <w:tabs>
          <w:tab w:pos="2380" w:val="left" w:leader="none"/>
          <w:tab w:pos="2381" w:val="left" w:leader="none"/>
        </w:tabs>
        <w:spacing w:line="242" w:lineRule="auto" w:before="122" w:after="0"/>
        <w:ind w:left="2381" w:right="1878" w:hanging="794"/>
        <w:jc w:val="left"/>
        <w:rPr>
          <w:sz w:val="12"/>
        </w:rPr>
      </w:pPr>
      <w:r>
        <w:rPr>
          <w:w w:val="105"/>
          <w:sz w:val="21"/>
        </w:rPr>
        <w:t>The</w:t>
      </w:r>
      <w:r>
        <w:rPr>
          <w:spacing w:val="-14"/>
          <w:w w:val="105"/>
          <w:sz w:val="21"/>
        </w:rPr>
        <w:t> </w:t>
      </w:r>
      <w:r>
        <w:rPr>
          <w:w w:val="105"/>
          <w:sz w:val="21"/>
        </w:rPr>
        <w:t>number</w:t>
      </w:r>
      <w:r>
        <w:rPr>
          <w:spacing w:val="-14"/>
          <w:w w:val="105"/>
          <w:sz w:val="21"/>
        </w:rPr>
        <w:t> </w:t>
      </w:r>
      <w:r>
        <w:rPr>
          <w:w w:val="105"/>
          <w:sz w:val="21"/>
        </w:rPr>
        <w:t>of</w:t>
      </w:r>
      <w:r>
        <w:rPr>
          <w:spacing w:val="-13"/>
          <w:w w:val="105"/>
          <w:sz w:val="21"/>
        </w:rPr>
        <w:t> </w:t>
      </w:r>
      <w:r>
        <w:rPr>
          <w:w w:val="105"/>
          <w:sz w:val="21"/>
        </w:rPr>
        <w:t>grants</w:t>
      </w:r>
      <w:r>
        <w:rPr>
          <w:spacing w:val="-14"/>
          <w:w w:val="105"/>
          <w:sz w:val="21"/>
        </w:rPr>
        <w:t> </w:t>
      </w:r>
      <w:r>
        <w:rPr>
          <w:w w:val="105"/>
          <w:sz w:val="21"/>
        </w:rPr>
        <w:t>made</w:t>
      </w:r>
      <w:r>
        <w:rPr>
          <w:spacing w:val="-13"/>
          <w:w w:val="105"/>
          <w:sz w:val="21"/>
        </w:rPr>
        <w:t> </w:t>
      </w:r>
      <w:r>
        <w:rPr>
          <w:w w:val="105"/>
          <w:sz w:val="21"/>
        </w:rPr>
        <w:t>under</w:t>
      </w:r>
      <w:r>
        <w:rPr>
          <w:spacing w:val="-14"/>
          <w:w w:val="105"/>
          <w:sz w:val="21"/>
        </w:rPr>
        <w:t> </w:t>
      </w:r>
      <w:r>
        <w:rPr>
          <w:w w:val="105"/>
          <w:sz w:val="21"/>
        </w:rPr>
        <w:t>this</w:t>
      </w:r>
      <w:r>
        <w:rPr>
          <w:spacing w:val="-13"/>
          <w:w w:val="105"/>
          <w:sz w:val="21"/>
        </w:rPr>
        <w:t> </w:t>
      </w:r>
      <w:r>
        <w:rPr>
          <w:w w:val="105"/>
          <w:sz w:val="21"/>
        </w:rPr>
        <w:t>assisted</w:t>
      </w:r>
      <w:r>
        <w:rPr>
          <w:spacing w:val="-14"/>
          <w:w w:val="105"/>
          <w:sz w:val="21"/>
        </w:rPr>
        <w:t> </w:t>
      </w:r>
      <w:r>
        <w:rPr>
          <w:w w:val="105"/>
          <w:sz w:val="21"/>
        </w:rPr>
        <w:t>process</w:t>
      </w:r>
      <w:r>
        <w:rPr>
          <w:spacing w:val="-13"/>
          <w:w w:val="105"/>
          <w:sz w:val="21"/>
        </w:rPr>
        <w:t> </w:t>
      </w:r>
      <w:r>
        <w:rPr>
          <w:spacing w:val="-2"/>
          <w:w w:val="105"/>
          <w:sz w:val="21"/>
        </w:rPr>
        <w:t>has</w:t>
      </w:r>
      <w:r>
        <w:rPr>
          <w:spacing w:val="-14"/>
          <w:w w:val="105"/>
          <w:sz w:val="21"/>
        </w:rPr>
        <w:t> </w:t>
      </w:r>
      <w:r>
        <w:rPr>
          <w:spacing w:val="-3"/>
          <w:w w:val="105"/>
          <w:sz w:val="21"/>
        </w:rPr>
        <w:t>steadily</w:t>
      </w:r>
      <w:r>
        <w:rPr>
          <w:spacing w:val="-13"/>
          <w:w w:val="105"/>
          <w:sz w:val="21"/>
        </w:rPr>
        <w:t> </w:t>
      </w:r>
      <w:r>
        <w:rPr>
          <w:w w:val="105"/>
          <w:sz w:val="21"/>
        </w:rPr>
        <w:t>decreased</w:t>
      </w:r>
      <w:r>
        <w:rPr>
          <w:spacing w:val="-14"/>
          <w:w w:val="105"/>
          <w:sz w:val="21"/>
        </w:rPr>
        <w:t> </w:t>
      </w:r>
      <w:r>
        <w:rPr>
          <w:w w:val="105"/>
          <w:sz w:val="21"/>
        </w:rPr>
        <w:t>over</w:t>
      </w:r>
      <w:r>
        <w:rPr>
          <w:spacing w:val="-14"/>
          <w:w w:val="105"/>
          <w:sz w:val="21"/>
        </w:rPr>
        <w:t> </w:t>
      </w:r>
      <w:r>
        <w:rPr>
          <w:w w:val="105"/>
          <w:sz w:val="21"/>
        </w:rPr>
        <w:t>the last </w:t>
      </w:r>
      <w:r>
        <w:rPr>
          <w:spacing w:val="-2"/>
          <w:w w:val="105"/>
          <w:sz w:val="21"/>
        </w:rPr>
        <w:t>ten </w:t>
      </w:r>
      <w:r>
        <w:rPr>
          <w:w w:val="105"/>
          <w:sz w:val="21"/>
        </w:rPr>
        <w:t>years, with </w:t>
      </w:r>
      <w:r>
        <w:rPr>
          <w:spacing w:val="-3"/>
          <w:w w:val="105"/>
          <w:sz w:val="21"/>
        </w:rPr>
        <w:t>108 </w:t>
      </w:r>
      <w:r>
        <w:rPr>
          <w:w w:val="105"/>
          <w:sz w:val="21"/>
        </w:rPr>
        <w:t>grants made in the 2001–02 </w:t>
      </w:r>
      <w:r>
        <w:rPr>
          <w:spacing w:val="-3"/>
          <w:w w:val="105"/>
          <w:sz w:val="21"/>
        </w:rPr>
        <w:t>financial </w:t>
      </w:r>
      <w:r>
        <w:rPr>
          <w:spacing w:val="-5"/>
          <w:w w:val="105"/>
          <w:sz w:val="21"/>
        </w:rPr>
        <w:t>year, </w:t>
      </w:r>
      <w:r>
        <w:rPr>
          <w:spacing w:val="-3"/>
          <w:w w:val="105"/>
          <w:sz w:val="21"/>
        </w:rPr>
        <w:t>compared </w:t>
      </w:r>
      <w:r>
        <w:rPr>
          <w:w w:val="105"/>
          <w:sz w:val="21"/>
        </w:rPr>
        <w:t>with 48 in the </w:t>
      </w:r>
      <w:r>
        <w:rPr>
          <w:spacing w:val="-11"/>
          <w:w w:val="105"/>
          <w:sz w:val="21"/>
        </w:rPr>
        <w:t>2011–12 </w:t>
      </w:r>
      <w:r>
        <w:rPr>
          <w:spacing w:val="-3"/>
          <w:w w:val="105"/>
          <w:sz w:val="21"/>
        </w:rPr>
        <w:t>financial</w:t>
      </w:r>
      <w:r>
        <w:rPr>
          <w:spacing w:val="-6"/>
          <w:w w:val="105"/>
          <w:sz w:val="21"/>
        </w:rPr>
        <w:t> </w:t>
      </w:r>
      <w:r>
        <w:rPr>
          <w:spacing w:val="-8"/>
          <w:w w:val="105"/>
          <w:sz w:val="21"/>
        </w:rPr>
        <w:t>year.</w:t>
      </w:r>
      <w:r>
        <w:rPr>
          <w:spacing w:val="-8"/>
          <w:w w:val="105"/>
          <w:position w:val="7"/>
          <w:sz w:val="12"/>
        </w:rPr>
        <w:t>10</w:t>
      </w:r>
    </w:p>
    <w:p>
      <w:pPr>
        <w:pStyle w:val="BodyText"/>
        <w:rPr>
          <w:sz w:val="27"/>
        </w:rPr>
      </w:pPr>
    </w:p>
    <w:p>
      <w:pPr>
        <w:pStyle w:val="Heading6"/>
      </w:pPr>
      <w:r>
        <w:rPr>
          <w:w w:val="120"/>
        </w:rPr>
        <w:t>Retention of the service</w:t>
      </w:r>
    </w:p>
    <w:p>
      <w:pPr>
        <w:pStyle w:val="ListParagraph"/>
        <w:numPr>
          <w:ilvl w:val="1"/>
          <w:numId w:val="22"/>
        </w:numPr>
        <w:tabs>
          <w:tab w:pos="2381" w:val="left" w:leader="none"/>
          <w:tab w:pos="2382" w:val="left" w:leader="none"/>
        </w:tabs>
        <w:spacing w:line="242" w:lineRule="auto" w:before="151" w:after="0"/>
        <w:ind w:left="2381" w:right="1807" w:hanging="794"/>
        <w:jc w:val="left"/>
        <w:rPr>
          <w:sz w:val="12"/>
        </w:rPr>
      </w:pPr>
      <w:r>
        <w:rPr>
          <w:sz w:val="21"/>
        </w:rPr>
        <w:t>The Registrar of Probates </w:t>
      </w:r>
      <w:r>
        <w:rPr>
          <w:spacing w:val="-2"/>
          <w:sz w:val="21"/>
        </w:rPr>
        <w:t>has </w:t>
      </w:r>
      <w:r>
        <w:rPr>
          <w:sz w:val="21"/>
        </w:rPr>
        <w:t>expressed </w:t>
      </w:r>
      <w:r>
        <w:rPr>
          <w:spacing w:val="-3"/>
          <w:sz w:val="21"/>
        </w:rPr>
        <w:t>concern </w:t>
      </w:r>
      <w:r>
        <w:rPr>
          <w:sz w:val="21"/>
        </w:rPr>
        <w:t>about the </w:t>
      </w:r>
      <w:r>
        <w:rPr>
          <w:spacing w:val="-2"/>
          <w:sz w:val="21"/>
        </w:rPr>
        <w:t>appropriateness </w:t>
      </w:r>
      <w:r>
        <w:rPr>
          <w:sz w:val="21"/>
        </w:rPr>
        <w:t>of the </w:t>
      </w:r>
      <w:r>
        <w:rPr>
          <w:spacing w:val="-3"/>
          <w:sz w:val="21"/>
        </w:rPr>
        <w:t>Supreme Court Probate </w:t>
      </w:r>
      <w:r>
        <w:rPr>
          <w:sz w:val="21"/>
        </w:rPr>
        <w:t>Office </w:t>
      </w:r>
      <w:r>
        <w:rPr>
          <w:spacing w:val="-3"/>
          <w:sz w:val="21"/>
        </w:rPr>
        <w:t>continuing to </w:t>
      </w:r>
      <w:r>
        <w:rPr>
          <w:sz w:val="21"/>
        </w:rPr>
        <w:t>provide this service at </w:t>
      </w:r>
      <w:r>
        <w:rPr>
          <w:spacing w:val="-3"/>
          <w:sz w:val="21"/>
        </w:rPr>
        <w:t>all, </w:t>
      </w:r>
      <w:r>
        <w:rPr>
          <w:sz w:val="21"/>
        </w:rPr>
        <w:t>particularly given </w:t>
      </w:r>
      <w:r>
        <w:rPr>
          <w:spacing w:val="-3"/>
          <w:sz w:val="21"/>
        </w:rPr>
        <w:t>potential </w:t>
      </w:r>
      <w:r>
        <w:rPr>
          <w:sz w:val="21"/>
        </w:rPr>
        <w:t>conflict </w:t>
      </w:r>
      <w:r>
        <w:rPr>
          <w:spacing w:val="-3"/>
          <w:sz w:val="21"/>
        </w:rPr>
        <w:t>arising  from  </w:t>
      </w:r>
      <w:r>
        <w:rPr>
          <w:sz w:val="21"/>
        </w:rPr>
        <w:t>the </w:t>
      </w:r>
      <w:r>
        <w:rPr>
          <w:spacing w:val="-3"/>
          <w:sz w:val="21"/>
        </w:rPr>
        <w:t>Probate</w:t>
      </w:r>
      <w:r>
        <w:rPr>
          <w:spacing w:val="41"/>
          <w:sz w:val="21"/>
        </w:rPr>
        <w:t> </w:t>
      </w:r>
      <w:r>
        <w:rPr>
          <w:sz w:val="21"/>
        </w:rPr>
        <w:t>Office effectively </w:t>
      </w:r>
      <w:r>
        <w:rPr>
          <w:spacing w:val="-3"/>
          <w:sz w:val="21"/>
        </w:rPr>
        <w:t>adjudicating  </w:t>
      </w:r>
      <w:r>
        <w:rPr>
          <w:sz w:val="21"/>
        </w:rPr>
        <w:t>on </w:t>
      </w:r>
      <w:r>
        <w:rPr>
          <w:spacing w:val="-3"/>
          <w:sz w:val="21"/>
        </w:rPr>
        <w:t>applications  </w:t>
      </w:r>
      <w:r>
        <w:rPr>
          <w:sz w:val="21"/>
        </w:rPr>
        <w:t>it </w:t>
      </w:r>
      <w:r>
        <w:rPr>
          <w:spacing w:val="-2"/>
          <w:sz w:val="21"/>
        </w:rPr>
        <w:t>has </w:t>
      </w:r>
      <w:r>
        <w:rPr>
          <w:sz w:val="21"/>
        </w:rPr>
        <w:t>itself</w:t>
      </w:r>
      <w:r>
        <w:rPr>
          <w:spacing w:val="27"/>
          <w:sz w:val="21"/>
        </w:rPr>
        <w:t> </w:t>
      </w:r>
      <w:r>
        <w:rPr>
          <w:spacing w:val="-6"/>
          <w:sz w:val="21"/>
        </w:rPr>
        <w:t>prepared.</w:t>
      </w:r>
      <w:r>
        <w:rPr>
          <w:spacing w:val="-6"/>
          <w:position w:val="7"/>
          <w:sz w:val="12"/>
        </w:rPr>
        <w:t>11</w:t>
      </w:r>
    </w:p>
    <w:p>
      <w:pPr>
        <w:pStyle w:val="ListParagraph"/>
        <w:numPr>
          <w:ilvl w:val="1"/>
          <w:numId w:val="22"/>
        </w:numPr>
        <w:tabs>
          <w:tab w:pos="2380" w:val="left" w:leader="none"/>
          <w:tab w:pos="2381" w:val="left" w:leader="none"/>
        </w:tabs>
        <w:spacing w:line="242" w:lineRule="auto" w:before="124" w:after="0"/>
        <w:ind w:left="2380" w:right="1698" w:hanging="793"/>
        <w:jc w:val="left"/>
        <w:rPr>
          <w:sz w:val="21"/>
        </w:rPr>
      </w:pPr>
      <w:r>
        <w:rPr>
          <w:spacing w:val="-4"/>
          <w:sz w:val="21"/>
        </w:rPr>
        <w:t>However, </w:t>
      </w:r>
      <w:r>
        <w:rPr>
          <w:sz w:val="21"/>
        </w:rPr>
        <w:t>the </w:t>
      </w:r>
      <w:r>
        <w:rPr>
          <w:spacing w:val="-3"/>
          <w:sz w:val="21"/>
        </w:rPr>
        <w:t>Commission </w:t>
      </w:r>
      <w:r>
        <w:rPr>
          <w:sz w:val="21"/>
        </w:rPr>
        <w:t>believes </w:t>
      </w:r>
      <w:r>
        <w:rPr>
          <w:spacing w:val="-3"/>
          <w:sz w:val="21"/>
        </w:rPr>
        <w:t>that </w:t>
      </w:r>
      <w:r>
        <w:rPr>
          <w:sz w:val="21"/>
        </w:rPr>
        <w:t>the role of the  </w:t>
      </w:r>
      <w:r>
        <w:rPr>
          <w:spacing w:val="-3"/>
          <w:sz w:val="21"/>
        </w:rPr>
        <w:t>Probate  </w:t>
      </w:r>
      <w:r>
        <w:rPr>
          <w:sz w:val="21"/>
        </w:rPr>
        <w:t>Office  in  </w:t>
      </w:r>
      <w:r>
        <w:rPr>
          <w:spacing w:val="-3"/>
          <w:sz w:val="21"/>
        </w:rPr>
        <w:t>providing  </w:t>
      </w:r>
      <w:r>
        <w:rPr>
          <w:sz w:val="21"/>
        </w:rPr>
        <w:t>a </w:t>
      </w:r>
      <w:r>
        <w:rPr>
          <w:spacing w:val="-3"/>
          <w:sz w:val="21"/>
        </w:rPr>
        <w:t>formal small </w:t>
      </w:r>
      <w:r>
        <w:rPr>
          <w:sz w:val="21"/>
        </w:rPr>
        <w:t>estates service is an extremely important </w:t>
      </w:r>
      <w:r>
        <w:rPr>
          <w:spacing w:val="-3"/>
          <w:sz w:val="21"/>
        </w:rPr>
        <w:t>one. </w:t>
      </w:r>
      <w:r>
        <w:rPr>
          <w:sz w:val="21"/>
        </w:rPr>
        <w:t>The service provides an essential </w:t>
      </w:r>
      <w:r>
        <w:rPr>
          <w:spacing w:val="-3"/>
          <w:sz w:val="21"/>
        </w:rPr>
        <w:t>alternative route for </w:t>
      </w:r>
      <w:r>
        <w:rPr>
          <w:sz w:val="21"/>
        </w:rPr>
        <w:t>those </w:t>
      </w:r>
      <w:r>
        <w:rPr>
          <w:spacing w:val="-2"/>
          <w:sz w:val="21"/>
        </w:rPr>
        <w:t>not </w:t>
      </w:r>
      <w:r>
        <w:rPr>
          <w:spacing w:val="-3"/>
          <w:sz w:val="21"/>
        </w:rPr>
        <w:t>wishing  to  </w:t>
      </w:r>
      <w:r>
        <w:rPr>
          <w:sz w:val="21"/>
        </w:rPr>
        <w:t>engage a </w:t>
      </w:r>
      <w:r>
        <w:rPr>
          <w:spacing w:val="-3"/>
          <w:sz w:val="21"/>
        </w:rPr>
        <w:t>solicitor</w:t>
      </w:r>
      <w:r>
        <w:rPr>
          <w:spacing w:val="41"/>
          <w:sz w:val="21"/>
        </w:rPr>
        <w:t> </w:t>
      </w:r>
      <w:r>
        <w:rPr>
          <w:sz w:val="21"/>
        </w:rPr>
        <w:t>or trustee </w:t>
      </w:r>
      <w:r>
        <w:rPr>
          <w:spacing w:val="-4"/>
          <w:sz w:val="21"/>
        </w:rPr>
        <w:t>company, </w:t>
      </w:r>
      <w:r>
        <w:rPr>
          <w:sz w:val="21"/>
        </w:rPr>
        <w:t>or those </w:t>
      </w:r>
      <w:r>
        <w:rPr>
          <w:spacing w:val="-3"/>
          <w:sz w:val="21"/>
        </w:rPr>
        <w:t>unable to navigate </w:t>
      </w:r>
      <w:r>
        <w:rPr>
          <w:sz w:val="21"/>
        </w:rPr>
        <w:t>the grants process without</w:t>
      </w:r>
      <w:r>
        <w:rPr>
          <w:spacing w:val="-26"/>
          <w:sz w:val="21"/>
        </w:rPr>
        <w:t> </w:t>
      </w:r>
      <w:r>
        <w:rPr>
          <w:spacing w:val="-3"/>
          <w:sz w:val="21"/>
        </w:rPr>
        <w:t>assistance.</w:t>
      </w:r>
    </w:p>
    <w:p>
      <w:pPr>
        <w:pStyle w:val="ListParagraph"/>
        <w:numPr>
          <w:ilvl w:val="1"/>
          <w:numId w:val="22"/>
        </w:numPr>
        <w:tabs>
          <w:tab w:pos="2380" w:val="left" w:leader="none"/>
          <w:tab w:pos="2381" w:val="left" w:leader="none"/>
        </w:tabs>
        <w:spacing w:line="242" w:lineRule="auto" w:before="125" w:after="0"/>
        <w:ind w:left="2380" w:right="2011" w:hanging="793"/>
        <w:jc w:val="left"/>
        <w:rPr>
          <w:sz w:val="12"/>
        </w:rPr>
      </w:pPr>
      <w:r>
        <w:rPr/>
        <w:pict>
          <v:line style="position:absolute;mso-position-horizontal-relative:page;mso-position-vertical-relative:paragraph;z-index:11240;mso-wrap-distance-left:0;mso-wrap-distance-right:0" from="79.370102pt,77.383659pt" to="515.905102pt,77.383659pt" stroked="true" strokeweight="1pt" strokecolor="#f9ceca">
            <v:stroke dashstyle="solid"/>
            <w10:wrap type="topAndBottom"/>
          </v:line>
        </w:pict>
      </w:r>
      <w:r>
        <w:rPr>
          <w:sz w:val="21"/>
        </w:rPr>
        <w:t>The service saves the </w:t>
      </w:r>
      <w:r>
        <w:rPr>
          <w:spacing w:val="-3"/>
          <w:sz w:val="21"/>
        </w:rPr>
        <w:t>applicant  </w:t>
      </w:r>
      <w:r>
        <w:rPr>
          <w:sz w:val="21"/>
        </w:rPr>
        <w:t>the time they would otherwise </w:t>
      </w:r>
      <w:r>
        <w:rPr>
          <w:spacing w:val="-3"/>
          <w:sz w:val="21"/>
        </w:rPr>
        <w:t>have</w:t>
      </w:r>
      <w:r>
        <w:rPr>
          <w:spacing w:val="41"/>
          <w:sz w:val="21"/>
        </w:rPr>
        <w:t> </w:t>
      </w:r>
      <w:r>
        <w:rPr>
          <w:sz w:val="21"/>
        </w:rPr>
        <w:t>spent </w:t>
      </w:r>
      <w:r>
        <w:rPr>
          <w:spacing w:val="-3"/>
          <w:sz w:val="21"/>
        </w:rPr>
        <w:t>preparing      </w:t>
      </w:r>
      <w:r>
        <w:rPr>
          <w:sz w:val="21"/>
        </w:rPr>
        <w:t>a </w:t>
      </w:r>
      <w:r>
        <w:rPr>
          <w:spacing w:val="-3"/>
          <w:sz w:val="21"/>
        </w:rPr>
        <w:t>grant application. </w:t>
      </w:r>
      <w:r>
        <w:rPr>
          <w:sz w:val="21"/>
        </w:rPr>
        <w:t>It also saves them the money they </w:t>
      </w:r>
      <w:r>
        <w:rPr>
          <w:spacing w:val="-3"/>
          <w:sz w:val="21"/>
        </w:rPr>
        <w:t>might </w:t>
      </w:r>
      <w:r>
        <w:rPr>
          <w:sz w:val="21"/>
        </w:rPr>
        <w:t>otherwise </w:t>
      </w:r>
      <w:r>
        <w:rPr>
          <w:spacing w:val="-3"/>
          <w:sz w:val="21"/>
        </w:rPr>
        <w:t>have </w:t>
      </w:r>
      <w:r>
        <w:rPr>
          <w:sz w:val="21"/>
        </w:rPr>
        <w:t>spent </w:t>
      </w:r>
      <w:r>
        <w:rPr>
          <w:spacing w:val="-3"/>
          <w:sz w:val="21"/>
        </w:rPr>
        <w:t>engaging </w:t>
      </w:r>
      <w:r>
        <w:rPr>
          <w:sz w:val="21"/>
        </w:rPr>
        <w:t>a </w:t>
      </w:r>
      <w:r>
        <w:rPr>
          <w:spacing w:val="-3"/>
          <w:sz w:val="21"/>
        </w:rPr>
        <w:t>solicitor to prepare </w:t>
      </w:r>
      <w:r>
        <w:rPr>
          <w:sz w:val="21"/>
        </w:rPr>
        <w:t>the </w:t>
      </w:r>
      <w:r>
        <w:rPr>
          <w:spacing w:val="-3"/>
          <w:sz w:val="21"/>
        </w:rPr>
        <w:t>application. </w:t>
      </w:r>
      <w:r>
        <w:rPr>
          <w:sz w:val="21"/>
        </w:rPr>
        <w:t>It </w:t>
      </w:r>
      <w:r>
        <w:rPr>
          <w:spacing w:val="-3"/>
          <w:sz w:val="21"/>
        </w:rPr>
        <w:t>encourages </w:t>
      </w:r>
      <w:r>
        <w:rPr>
          <w:sz w:val="21"/>
        </w:rPr>
        <w:t>those in </w:t>
      </w:r>
      <w:r>
        <w:rPr>
          <w:spacing w:val="-3"/>
          <w:sz w:val="21"/>
        </w:rPr>
        <w:t>control </w:t>
      </w:r>
      <w:r>
        <w:rPr>
          <w:sz w:val="21"/>
        </w:rPr>
        <w:t>of </w:t>
      </w:r>
      <w:r>
        <w:rPr>
          <w:spacing w:val="-3"/>
          <w:sz w:val="21"/>
        </w:rPr>
        <w:t>small </w:t>
      </w:r>
      <w:r>
        <w:rPr>
          <w:sz w:val="21"/>
        </w:rPr>
        <w:t>estates </w:t>
      </w:r>
      <w:r>
        <w:rPr>
          <w:spacing w:val="-3"/>
          <w:sz w:val="21"/>
        </w:rPr>
        <w:t>to </w:t>
      </w:r>
      <w:r>
        <w:rPr>
          <w:sz w:val="21"/>
        </w:rPr>
        <w:t>obtain a </w:t>
      </w:r>
      <w:r>
        <w:rPr>
          <w:spacing w:val="-3"/>
          <w:sz w:val="21"/>
        </w:rPr>
        <w:t>full grant rather than choosing informal administration, potentially avoiding </w:t>
      </w:r>
      <w:r>
        <w:rPr>
          <w:sz w:val="21"/>
        </w:rPr>
        <w:t>some of the risks of </w:t>
      </w:r>
      <w:r>
        <w:rPr>
          <w:spacing w:val="-3"/>
          <w:sz w:val="21"/>
        </w:rPr>
        <w:t>liability that may </w:t>
      </w:r>
      <w:r>
        <w:rPr>
          <w:sz w:val="21"/>
        </w:rPr>
        <w:t>arise with the </w:t>
      </w:r>
      <w:r>
        <w:rPr>
          <w:spacing w:val="-3"/>
          <w:sz w:val="21"/>
        </w:rPr>
        <w:t>informal</w:t>
      </w:r>
      <w:r>
        <w:rPr>
          <w:spacing w:val="25"/>
          <w:sz w:val="21"/>
        </w:rPr>
        <w:t> </w:t>
      </w:r>
      <w:r>
        <w:rPr>
          <w:spacing w:val="-5"/>
          <w:sz w:val="21"/>
        </w:rPr>
        <w:t>process.</w:t>
      </w:r>
      <w:r>
        <w:rPr>
          <w:spacing w:val="-5"/>
          <w:position w:val="7"/>
          <w:sz w:val="12"/>
        </w:rPr>
        <w:t>12</w:t>
      </w:r>
    </w:p>
    <w:p>
      <w:pPr>
        <w:pStyle w:val="BodyText"/>
        <w:spacing w:before="8"/>
        <w:rPr>
          <w:sz w:val="5"/>
        </w:rPr>
      </w:pPr>
    </w:p>
    <w:p>
      <w:pPr>
        <w:spacing w:after="0"/>
        <w:rPr>
          <w:sz w:val="5"/>
        </w:rPr>
        <w:sectPr>
          <w:pgSz w:w="11910" w:h="16840"/>
          <w:pgMar w:header="550" w:footer="0" w:top="1560" w:bottom="280" w:left="0" w:right="0"/>
        </w:sectPr>
      </w:pPr>
    </w:p>
    <w:p>
      <w:pPr>
        <w:pStyle w:val="BodyText"/>
        <w:rPr>
          <w:sz w:val="28"/>
        </w:rPr>
      </w:pPr>
    </w:p>
    <w:p>
      <w:pPr>
        <w:pStyle w:val="BodyText"/>
        <w:rPr>
          <w:sz w:val="28"/>
        </w:rPr>
      </w:pPr>
    </w:p>
    <w:p>
      <w:pPr>
        <w:pStyle w:val="BodyText"/>
        <w:rPr>
          <w:sz w:val="28"/>
        </w:rPr>
      </w:pPr>
    </w:p>
    <w:p>
      <w:pPr>
        <w:pStyle w:val="BodyText"/>
        <w:rPr>
          <w:sz w:val="28"/>
        </w:rPr>
      </w:pPr>
    </w:p>
    <w:p>
      <w:pPr>
        <w:spacing w:before="191"/>
        <w:ind w:left="720" w:right="0" w:firstLine="0"/>
        <w:jc w:val="left"/>
        <w:rPr>
          <w:b/>
          <w:sz w:val="24"/>
        </w:rPr>
      </w:pPr>
      <w:r>
        <w:rPr>
          <w:b/>
          <w:color w:val="EC5A4F"/>
          <w:spacing w:val="-2"/>
          <w:w w:val="110"/>
          <w:sz w:val="24"/>
        </w:rPr>
        <w:t>190</w:t>
      </w:r>
    </w:p>
    <w:p>
      <w:pPr>
        <w:pStyle w:val="ListParagraph"/>
        <w:numPr>
          <w:ilvl w:val="0"/>
          <w:numId w:val="140"/>
        </w:numPr>
        <w:tabs>
          <w:tab w:pos="1224" w:val="left" w:leader="none"/>
          <w:tab w:pos="1225" w:val="left" w:leader="none"/>
        </w:tabs>
        <w:spacing w:line="240" w:lineRule="auto" w:before="48" w:after="0"/>
        <w:ind w:left="1224" w:right="1927" w:hanging="793"/>
        <w:jc w:val="left"/>
        <w:rPr>
          <w:sz w:val="13"/>
        </w:rPr>
      </w:pPr>
      <w:r>
        <w:rPr>
          <w:i/>
          <w:spacing w:val="1"/>
          <w:w w:val="115"/>
          <w:sz w:val="13"/>
        </w:rPr>
        <w:br w:type="column"/>
      </w:r>
      <w:r>
        <w:rPr>
          <w:i/>
          <w:w w:val="105"/>
          <w:sz w:val="13"/>
        </w:rPr>
        <w:t>Administration and Probate Act 1958 </w:t>
      </w:r>
      <w:r>
        <w:rPr>
          <w:spacing w:val="2"/>
          <w:w w:val="105"/>
          <w:sz w:val="13"/>
        </w:rPr>
        <w:t>(Vic) </w:t>
      </w:r>
      <w:r>
        <w:rPr>
          <w:w w:val="105"/>
          <w:sz w:val="13"/>
        </w:rPr>
        <w:t>ss </w:t>
      </w:r>
      <w:r>
        <w:rPr>
          <w:spacing w:val="-4"/>
          <w:w w:val="105"/>
          <w:sz w:val="13"/>
        </w:rPr>
        <w:t>71,  </w:t>
      </w:r>
      <w:r>
        <w:rPr>
          <w:w w:val="105"/>
          <w:sz w:val="13"/>
        </w:rPr>
        <w:t>71(3) (inclusion of deputy registrars), 76 (defines 32km limit for those who may apply</w:t>
      </w:r>
      <w:r>
        <w:rPr>
          <w:spacing w:val="30"/>
          <w:w w:val="105"/>
          <w:sz w:val="13"/>
        </w:rPr>
        <w:t> </w:t>
      </w:r>
      <w:r>
        <w:rPr>
          <w:w w:val="105"/>
          <w:sz w:val="13"/>
        </w:rPr>
        <w:t>at the Supreme</w:t>
      </w:r>
      <w:r>
        <w:rPr>
          <w:spacing w:val="13"/>
          <w:w w:val="105"/>
          <w:sz w:val="13"/>
        </w:rPr>
        <w:t> </w:t>
      </w:r>
      <w:r>
        <w:rPr>
          <w:w w:val="105"/>
          <w:sz w:val="13"/>
        </w:rPr>
        <w:t>Court).</w:t>
      </w:r>
    </w:p>
    <w:p>
      <w:pPr>
        <w:pStyle w:val="ListParagraph"/>
        <w:numPr>
          <w:ilvl w:val="0"/>
          <w:numId w:val="140"/>
        </w:numPr>
        <w:tabs>
          <w:tab w:pos="1224" w:val="left" w:leader="none"/>
          <w:tab w:pos="1225" w:val="left" w:leader="none"/>
        </w:tabs>
        <w:spacing w:line="240" w:lineRule="auto" w:before="3" w:after="0"/>
        <w:ind w:left="1224" w:right="0" w:hanging="793"/>
        <w:jc w:val="left"/>
        <w:rPr>
          <w:sz w:val="13"/>
        </w:rPr>
      </w:pPr>
      <w:r>
        <w:rPr>
          <w:i/>
          <w:w w:val="105"/>
          <w:sz w:val="13"/>
        </w:rPr>
        <w:t>Administration and Probate Act 1958 </w:t>
      </w:r>
      <w:r>
        <w:rPr>
          <w:spacing w:val="2"/>
          <w:w w:val="105"/>
          <w:sz w:val="13"/>
        </w:rPr>
        <w:t>(Vic) </w:t>
      </w:r>
      <w:r>
        <w:rPr>
          <w:w w:val="105"/>
          <w:sz w:val="13"/>
        </w:rPr>
        <w:t>s</w:t>
      </w:r>
      <w:r>
        <w:rPr>
          <w:spacing w:val="25"/>
          <w:w w:val="105"/>
          <w:sz w:val="13"/>
        </w:rPr>
        <w:t> </w:t>
      </w:r>
      <w:r>
        <w:rPr>
          <w:spacing w:val="2"/>
          <w:w w:val="105"/>
          <w:sz w:val="13"/>
        </w:rPr>
        <w:t>71(2)(a).</w:t>
      </w:r>
    </w:p>
    <w:p>
      <w:pPr>
        <w:pStyle w:val="ListParagraph"/>
        <w:numPr>
          <w:ilvl w:val="0"/>
          <w:numId w:val="140"/>
        </w:numPr>
        <w:tabs>
          <w:tab w:pos="1224" w:val="left" w:leader="none"/>
          <w:tab w:pos="1225" w:val="left" w:leader="none"/>
        </w:tabs>
        <w:spacing w:line="240" w:lineRule="auto" w:before="1" w:after="0"/>
        <w:ind w:left="1224" w:right="0" w:hanging="793"/>
        <w:jc w:val="left"/>
        <w:rPr>
          <w:sz w:val="13"/>
        </w:rPr>
      </w:pPr>
      <w:r>
        <w:rPr>
          <w:w w:val="105"/>
          <w:sz w:val="13"/>
        </w:rPr>
        <w:t>See</w:t>
      </w:r>
      <w:r>
        <w:rPr>
          <w:spacing w:val="4"/>
          <w:w w:val="105"/>
          <w:sz w:val="13"/>
        </w:rPr>
        <w:t> </w:t>
      </w:r>
      <w:r>
        <w:rPr>
          <w:w w:val="105"/>
          <w:sz w:val="13"/>
        </w:rPr>
        <w:t>discussion</w:t>
      </w:r>
      <w:r>
        <w:rPr>
          <w:spacing w:val="5"/>
          <w:w w:val="105"/>
          <w:sz w:val="13"/>
        </w:rPr>
        <w:t> </w:t>
      </w:r>
      <w:r>
        <w:rPr>
          <w:w w:val="105"/>
          <w:sz w:val="13"/>
        </w:rPr>
        <w:t>in</w:t>
      </w:r>
      <w:r>
        <w:rPr>
          <w:spacing w:val="5"/>
          <w:w w:val="105"/>
          <w:sz w:val="13"/>
        </w:rPr>
        <w:t> </w:t>
      </w:r>
      <w:r>
        <w:rPr>
          <w:w w:val="105"/>
          <w:sz w:val="13"/>
        </w:rPr>
        <w:t>Victorian</w:t>
      </w:r>
      <w:r>
        <w:rPr>
          <w:spacing w:val="5"/>
          <w:w w:val="105"/>
          <w:sz w:val="13"/>
        </w:rPr>
        <w:t> </w:t>
      </w:r>
      <w:r>
        <w:rPr>
          <w:w w:val="105"/>
          <w:sz w:val="13"/>
        </w:rPr>
        <w:t>Law</w:t>
      </w:r>
      <w:r>
        <w:rPr>
          <w:spacing w:val="5"/>
          <w:w w:val="105"/>
          <w:sz w:val="13"/>
        </w:rPr>
        <w:t> </w:t>
      </w:r>
      <w:r>
        <w:rPr>
          <w:w w:val="105"/>
          <w:sz w:val="13"/>
        </w:rPr>
        <w:t>Reform</w:t>
      </w:r>
      <w:r>
        <w:rPr>
          <w:spacing w:val="5"/>
          <w:w w:val="105"/>
          <w:sz w:val="13"/>
        </w:rPr>
        <w:t> </w:t>
      </w:r>
      <w:r>
        <w:rPr>
          <w:w w:val="105"/>
          <w:sz w:val="13"/>
        </w:rPr>
        <w:t>Commission,</w:t>
      </w:r>
      <w:r>
        <w:rPr>
          <w:spacing w:val="5"/>
          <w:w w:val="105"/>
          <w:sz w:val="13"/>
        </w:rPr>
        <w:t> </w:t>
      </w:r>
      <w:r>
        <w:rPr>
          <w:i/>
          <w:w w:val="105"/>
          <w:sz w:val="13"/>
        </w:rPr>
        <w:t>Succession</w:t>
      </w:r>
      <w:r>
        <w:rPr>
          <w:i/>
          <w:spacing w:val="4"/>
          <w:w w:val="105"/>
          <w:sz w:val="13"/>
        </w:rPr>
        <w:t> </w:t>
      </w:r>
      <w:r>
        <w:rPr>
          <w:i/>
          <w:w w:val="105"/>
          <w:sz w:val="13"/>
        </w:rPr>
        <w:t>Laws:</w:t>
      </w:r>
      <w:r>
        <w:rPr>
          <w:i/>
          <w:spacing w:val="3"/>
          <w:w w:val="105"/>
          <w:sz w:val="13"/>
        </w:rPr>
        <w:t> </w:t>
      </w:r>
      <w:r>
        <w:rPr>
          <w:i/>
          <w:w w:val="105"/>
          <w:sz w:val="13"/>
        </w:rPr>
        <w:t>Small</w:t>
      </w:r>
      <w:r>
        <w:rPr>
          <w:i/>
          <w:spacing w:val="4"/>
          <w:w w:val="105"/>
          <w:sz w:val="13"/>
        </w:rPr>
        <w:t> </w:t>
      </w:r>
      <w:r>
        <w:rPr>
          <w:i/>
          <w:w w:val="105"/>
          <w:sz w:val="13"/>
        </w:rPr>
        <w:t>Estates</w:t>
      </w:r>
      <w:r>
        <w:rPr>
          <w:w w:val="105"/>
          <w:sz w:val="13"/>
        </w:rPr>
        <w:t>,</w:t>
      </w:r>
      <w:r>
        <w:rPr>
          <w:spacing w:val="5"/>
          <w:w w:val="105"/>
          <w:sz w:val="13"/>
        </w:rPr>
        <w:t> </w:t>
      </w:r>
      <w:r>
        <w:rPr>
          <w:w w:val="105"/>
          <w:sz w:val="13"/>
        </w:rPr>
        <w:t>Consultation</w:t>
      </w:r>
      <w:r>
        <w:rPr>
          <w:spacing w:val="5"/>
          <w:w w:val="105"/>
          <w:sz w:val="13"/>
        </w:rPr>
        <w:t> </w:t>
      </w:r>
      <w:r>
        <w:rPr>
          <w:w w:val="105"/>
          <w:sz w:val="13"/>
        </w:rPr>
        <w:t>Paper</w:t>
      </w:r>
      <w:r>
        <w:rPr>
          <w:spacing w:val="5"/>
          <w:w w:val="105"/>
          <w:sz w:val="13"/>
        </w:rPr>
        <w:t> </w:t>
      </w:r>
      <w:r>
        <w:rPr>
          <w:w w:val="105"/>
          <w:sz w:val="13"/>
        </w:rPr>
        <w:t>No</w:t>
      </w:r>
      <w:r>
        <w:rPr>
          <w:spacing w:val="5"/>
          <w:w w:val="105"/>
          <w:sz w:val="13"/>
        </w:rPr>
        <w:t> </w:t>
      </w:r>
      <w:r>
        <w:rPr>
          <w:w w:val="105"/>
          <w:sz w:val="13"/>
        </w:rPr>
        <w:t>16</w:t>
      </w:r>
      <w:r>
        <w:rPr>
          <w:spacing w:val="5"/>
          <w:w w:val="105"/>
          <w:sz w:val="13"/>
        </w:rPr>
        <w:t> </w:t>
      </w:r>
      <w:r>
        <w:rPr>
          <w:w w:val="105"/>
          <w:sz w:val="13"/>
        </w:rPr>
        <w:t>(2012)</w:t>
      </w:r>
      <w:r>
        <w:rPr>
          <w:spacing w:val="5"/>
          <w:w w:val="105"/>
          <w:sz w:val="13"/>
        </w:rPr>
        <w:t> </w:t>
      </w:r>
      <w:r>
        <w:rPr>
          <w:spacing w:val="-3"/>
          <w:w w:val="105"/>
          <w:sz w:val="13"/>
        </w:rPr>
        <w:t>21.</w:t>
      </w:r>
    </w:p>
    <w:p>
      <w:pPr>
        <w:pStyle w:val="ListParagraph"/>
        <w:numPr>
          <w:ilvl w:val="0"/>
          <w:numId w:val="140"/>
        </w:numPr>
        <w:tabs>
          <w:tab w:pos="1224" w:val="left" w:leader="none"/>
          <w:tab w:pos="1225" w:val="left" w:leader="none"/>
        </w:tabs>
        <w:spacing w:line="240" w:lineRule="auto" w:before="1" w:after="0"/>
        <w:ind w:left="1224" w:right="0" w:hanging="793"/>
        <w:jc w:val="left"/>
        <w:rPr>
          <w:sz w:val="13"/>
        </w:rPr>
      </w:pPr>
      <w:r>
        <w:rPr>
          <w:i/>
          <w:w w:val="105"/>
          <w:sz w:val="13"/>
        </w:rPr>
        <w:t>Administration</w:t>
      </w:r>
      <w:r>
        <w:rPr>
          <w:i/>
          <w:spacing w:val="3"/>
          <w:w w:val="105"/>
          <w:sz w:val="13"/>
        </w:rPr>
        <w:t> </w:t>
      </w:r>
      <w:r>
        <w:rPr>
          <w:i/>
          <w:w w:val="105"/>
          <w:sz w:val="13"/>
        </w:rPr>
        <w:t>and</w:t>
      </w:r>
      <w:r>
        <w:rPr>
          <w:i/>
          <w:spacing w:val="3"/>
          <w:w w:val="105"/>
          <w:sz w:val="13"/>
        </w:rPr>
        <w:t> </w:t>
      </w:r>
      <w:r>
        <w:rPr>
          <w:i/>
          <w:w w:val="105"/>
          <w:sz w:val="13"/>
        </w:rPr>
        <w:t>Probate</w:t>
      </w:r>
      <w:r>
        <w:rPr>
          <w:i/>
          <w:spacing w:val="4"/>
          <w:w w:val="105"/>
          <w:sz w:val="13"/>
        </w:rPr>
        <w:t> </w:t>
      </w:r>
      <w:r>
        <w:rPr>
          <w:i/>
          <w:w w:val="105"/>
          <w:sz w:val="13"/>
        </w:rPr>
        <w:t>Act</w:t>
      </w:r>
      <w:r>
        <w:rPr>
          <w:i/>
          <w:spacing w:val="3"/>
          <w:w w:val="105"/>
          <w:sz w:val="13"/>
        </w:rPr>
        <w:t> </w:t>
      </w:r>
      <w:r>
        <w:rPr>
          <w:i/>
          <w:w w:val="105"/>
          <w:sz w:val="13"/>
        </w:rPr>
        <w:t>1958</w:t>
      </w:r>
      <w:r>
        <w:rPr>
          <w:i/>
          <w:spacing w:val="5"/>
          <w:w w:val="105"/>
          <w:sz w:val="13"/>
        </w:rPr>
        <w:t> </w:t>
      </w:r>
      <w:r>
        <w:rPr>
          <w:spacing w:val="2"/>
          <w:w w:val="105"/>
          <w:sz w:val="13"/>
        </w:rPr>
        <w:t>(Vic)</w:t>
      </w:r>
      <w:r>
        <w:rPr>
          <w:spacing w:val="4"/>
          <w:w w:val="105"/>
          <w:sz w:val="13"/>
        </w:rPr>
        <w:t> </w:t>
      </w:r>
      <w:r>
        <w:rPr>
          <w:w w:val="105"/>
          <w:sz w:val="13"/>
        </w:rPr>
        <w:t>ss</w:t>
      </w:r>
      <w:r>
        <w:rPr>
          <w:spacing w:val="4"/>
          <w:w w:val="105"/>
          <w:sz w:val="13"/>
        </w:rPr>
        <w:t> </w:t>
      </w:r>
      <w:r>
        <w:rPr>
          <w:w w:val="105"/>
          <w:sz w:val="13"/>
        </w:rPr>
        <w:t>3</w:t>
      </w:r>
      <w:r>
        <w:rPr>
          <w:spacing w:val="5"/>
          <w:w w:val="105"/>
          <w:sz w:val="13"/>
        </w:rPr>
        <w:t> </w:t>
      </w:r>
      <w:r>
        <w:rPr>
          <w:w w:val="105"/>
          <w:sz w:val="13"/>
        </w:rPr>
        <w:t>(definition</w:t>
      </w:r>
      <w:r>
        <w:rPr>
          <w:spacing w:val="4"/>
          <w:w w:val="105"/>
          <w:sz w:val="13"/>
        </w:rPr>
        <w:t> </w:t>
      </w:r>
      <w:r>
        <w:rPr>
          <w:w w:val="105"/>
          <w:sz w:val="13"/>
        </w:rPr>
        <w:t>of</w:t>
      </w:r>
      <w:r>
        <w:rPr>
          <w:spacing w:val="5"/>
          <w:w w:val="105"/>
          <w:sz w:val="13"/>
        </w:rPr>
        <w:t> </w:t>
      </w:r>
      <w:r>
        <w:rPr>
          <w:w w:val="105"/>
          <w:sz w:val="13"/>
        </w:rPr>
        <w:t>‘small</w:t>
      </w:r>
      <w:r>
        <w:rPr>
          <w:spacing w:val="4"/>
          <w:w w:val="105"/>
          <w:sz w:val="13"/>
        </w:rPr>
        <w:t> </w:t>
      </w:r>
      <w:r>
        <w:rPr>
          <w:spacing w:val="2"/>
          <w:w w:val="105"/>
          <w:sz w:val="13"/>
        </w:rPr>
        <w:t>estate’),</w:t>
      </w:r>
      <w:r>
        <w:rPr>
          <w:spacing w:val="4"/>
          <w:w w:val="105"/>
          <w:sz w:val="13"/>
        </w:rPr>
        <w:t> </w:t>
      </w:r>
      <w:r>
        <w:rPr>
          <w:w w:val="105"/>
          <w:sz w:val="13"/>
        </w:rPr>
        <w:t>71(1).</w:t>
      </w:r>
    </w:p>
    <w:p>
      <w:pPr>
        <w:pStyle w:val="ListParagraph"/>
        <w:numPr>
          <w:ilvl w:val="0"/>
          <w:numId w:val="140"/>
        </w:numPr>
        <w:tabs>
          <w:tab w:pos="1224" w:val="left" w:leader="none"/>
          <w:tab w:pos="1225" w:val="left" w:leader="none"/>
        </w:tabs>
        <w:spacing w:line="240" w:lineRule="auto" w:before="2" w:after="0"/>
        <w:ind w:left="1224" w:right="0" w:hanging="793"/>
        <w:jc w:val="left"/>
        <w:rPr>
          <w:sz w:val="13"/>
        </w:rPr>
      </w:pPr>
      <w:r>
        <w:rPr>
          <w:w w:val="105"/>
          <w:sz w:val="13"/>
        </w:rPr>
        <w:t>Administration and Probate (Amendment) Act 1994 </w:t>
      </w:r>
      <w:r>
        <w:rPr>
          <w:spacing w:val="2"/>
          <w:w w:val="105"/>
          <w:sz w:val="13"/>
        </w:rPr>
        <w:t>(Vic) </w:t>
      </w:r>
      <w:r>
        <w:rPr>
          <w:w w:val="105"/>
          <w:sz w:val="13"/>
        </w:rPr>
        <w:t>s</w:t>
      </w:r>
      <w:r>
        <w:rPr>
          <w:spacing w:val="4"/>
          <w:w w:val="105"/>
          <w:sz w:val="13"/>
        </w:rPr>
        <w:t> </w:t>
      </w:r>
      <w:r>
        <w:rPr>
          <w:spacing w:val="-3"/>
          <w:w w:val="105"/>
          <w:sz w:val="13"/>
        </w:rPr>
        <w:t>12.</w:t>
      </w:r>
    </w:p>
    <w:p>
      <w:pPr>
        <w:pStyle w:val="ListParagraph"/>
        <w:numPr>
          <w:ilvl w:val="0"/>
          <w:numId w:val="140"/>
        </w:numPr>
        <w:tabs>
          <w:tab w:pos="1224" w:val="left" w:leader="none"/>
          <w:tab w:pos="1225" w:val="left" w:leader="none"/>
        </w:tabs>
        <w:spacing w:line="240" w:lineRule="auto" w:before="1" w:after="0"/>
        <w:ind w:left="1224" w:right="1767" w:hanging="793"/>
        <w:jc w:val="left"/>
        <w:rPr>
          <w:sz w:val="13"/>
        </w:rPr>
      </w:pPr>
      <w:r>
        <w:rPr>
          <w:w w:val="105"/>
          <w:sz w:val="13"/>
        </w:rPr>
        <w:t>Probate Office, </w:t>
      </w:r>
      <w:r>
        <w:rPr>
          <w:i/>
          <w:w w:val="105"/>
          <w:sz w:val="13"/>
        </w:rPr>
        <w:t>Supreme Court—Probate Office Fees </w:t>
      </w:r>
      <w:r>
        <w:rPr>
          <w:spacing w:val="-2"/>
          <w:w w:val="105"/>
          <w:sz w:val="13"/>
        </w:rPr>
        <w:t>(16 </w:t>
      </w:r>
      <w:r>
        <w:rPr>
          <w:w w:val="105"/>
          <w:sz w:val="13"/>
        </w:rPr>
        <w:t>December 2012) Supreme Court of Victoria &lt;</w:t>
      </w:r>
      <w:hyperlink r:id="rId110">
        <w:r>
          <w:rPr>
            <w:w w:val="105"/>
            <w:sz w:val="13"/>
          </w:rPr>
          <w:t>http://www.supremecourt.vic.gov.</w:t>
        </w:r>
      </w:hyperlink>
      <w:r>
        <w:rPr>
          <w:w w:val="105"/>
          <w:sz w:val="13"/>
        </w:rPr>
        <w:t> </w:t>
      </w:r>
      <w:r>
        <w:rPr>
          <w:spacing w:val="2"/>
          <w:w w:val="105"/>
          <w:sz w:val="13"/>
        </w:rPr>
        <w:t>au/home/practice+and+procedure/probate+office/probate+office+fees&gt;.</w:t>
      </w:r>
    </w:p>
    <w:p>
      <w:pPr>
        <w:pStyle w:val="ListParagraph"/>
        <w:numPr>
          <w:ilvl w:val="0"/>
          <w:numId w:val="140"/>
        </w:numPr>
        <w:tabs>
          <w:tab w:pos="1224" w:val="left" w:leader="none"/>
          <w:tab w:pos="1225" w:val="left" w:leader="none"/>
        </w:tabs>
        <w:spacing w:line="240" w:lineRule="auto" w:before="3" w:after="0"/>
        <w:ind w:left="1224" w:right="0" w:hanging="793"/>
        <w:jc w:val="left"/>
        <w:rPr>
          <w:sz w:val="13"/>
        </w:rPr>
      </w:pPr>
      <w:r>
        <w:rPr>
          <w:w w:val="105"/>
          <w:sz w:val="13"/>
        </w:rPr>
        <w:t>Supreme Court of Victoria, </w:t>
      </w:r>
      <w:r>
        <w:rPr>
          <w:i/>
          <w:spacing w:val="-5"/>
          <w:w w:val="105"/>
          <w:sz w:val="13"/>
        </w:rPr>
        <w:t>2011–12 </w:t>
      </w:r>
      <w:r>
        <w:rPr>
          <w:i/>
          <w:w w:val="105"/>
          <w:sz w:val="13"/>
        </w:rPr>
        <w:t>Annual Report </w:t>
      </w:r>
      <w:r>
        <w:rPr>
          <w:w w:val="105"/>
          <w:sz w:val="13"/>
        </w:rPr>
        <w:t>(2012)</w:t>
      </w:r>
      <w:r>
        <w:rPr>
          <w:spacing w:val="15"/>
          <w:w w:val="105"/>
          <w:sz w:val="13"/>
        </w:rPr>
        <w:t> </w:t>
      </w:r>
      <w:r>
        <w:rPr>
          <w:w w:val="105"/>
          <w:sz w:val="13"/>
        </w:rPr>
        <w:t>60.</w:t>
      </w:r>
    </w:p>
    <w:p>
      <w:pPr>
        <w:pStyle w:val="ListParagraph"/>
        <w:numPr>
          <w:ilvl w:val="0"/>
          <w:numId w:val="140"/>
        </w:numPr>
        <w:tabs>
          <w:tab w:pos="1224" w:val="left" w:leader="none"/>
          <w:tab w:pos="1225" w:val="left" w:leader="none"/>
        </w:tabs>
        <w:spacing w:line="240" w:lineRule="auto" w:before="1" w:after="0"/>
        <w:ind w:left="1224" w:right="0" w:hanging="793"/>
        <w:jc w:val="left"/>
        <w:rPr>
          <w:sz w:val="13"/>
        </w:rPr>
      </w:pPr>
      <w:r>
        <w:rPr>
          <w:w w:val="105"/>
          <w:sz w:val="13"/>
        </w:rPr>
        <w:t>Advisory Committee (Meeting</w:t>
      </w:r>
      <w:r>
        <w:rPr>
          <w:spacing w:val="13"/>
          <w:w w:val="105"/>
          <w:sz w:val="13"/>
        </w:rPr>
        <w:t> </w:t>
      </w:r>
      <w:r>
        <w:rPr>
          <w:w w:val="105"/>
          <w:sz w:val="13"/>
        </w:rPr>
        <w:t>1).</w:t>
      </w:r>
    </w:p>
    <w:p>
      <w:pPr>
        <w:pStyle w:val="ListParagraph"/>
        <w:numPr>
          <w:ilvl w:val="0"/>
          <w:numId w:val="140"/>
        </w:numPr>
        <w:tabs>
          <w:tab w:pos="1224" w:val="left" w:leader="none"/>
          <w:tab w:pos="1225" w:val="left" w:leader="none"/>
        </w:tabs>
        <w:spacing w:line="240" w:lineRule="auto" w:before="1" w:after="0"/>
        <w:ind w:left="1224" w:right="0" w:hanging="793"/>
        <w:jc w:val="left"/>
        <w:rPr>
          <w:sz w:val="13"/>
        </w:rPr>
      </w:pPr>
      <w:r>
        <w:rPr>
          <w:w w:val="105"/>
          <w:sz w:val="13"/>
        </w:rPr>
        <w:t>See further discussion below at</w:t>
      </w:r>
      <w:r>
        <w:rPr>
          <w:spacing w:val="22"/>
          <w:w w:val="105"/>
          <w:sz w:val="13"/>
        </w:rPr>
        <w:t> </w:t>
      </w:r>
      <w:r>
        <w:rPr>
          <w:spacing w:val="2"/>
          <w:w w:val="105"/>
          <w:sz w:val="13"/>
        </w:rPr>
        <w:t>[9.69].</w:t>
      </w:r>
    </w:p>
    <w:p>
      <w:pPr>
        <w:spacing w:after="0" w:line="240" w:lineRule="auto"/>
        <w:jc w:val="left"/>
        <w:rPr>
          <w:sz w:val="13"/>
        </w:rPr>
        <w:sectPr>
          <w:type w:val="continuous"/>
          <w:pgSz w:w="11910" w:h="16840"/>
          <w:pgMar w:top="920" w:bottom="280" w:left="0" w:right="0"/>
          <w:cols w:num="2" w:equalWidth="0">
            <w:col w:w="1117" w:space="40"/>
            <w:col w:w="10753"/>
          </w:cols>
        </w:sectPr>
      </w:pPr>
    </w:p>
    <w:p>
      <w:pPr>
        <w:pStyle w:val="BodyText"/>
        <w:rPr>
          <w:sz w:val="20"/>
        </w:rPr>
      </w:pPr>
    </w:p>
    <w:p>
      <w:pPr>
        <w:pStyle w:val="BodyText"/>
        <w:rPr>
          <w:sz w:val="19"/>
        </w:rPr>
      </w:pPr>
    </w:p>
    <w:p>
      <w:pPr>
        <w:pStyle w:val="ListParagraph"/>
        <w:numPr>
          <w:ilvl w:val="1"/>
          <w:numId w:val="22"/>
        </w:numPr>
        <w:tabs>
          <w:tab w:pos="2380" w:val="left" w:leader="none"/>
          <w:tab w:pos="2381" w:val="left" w:leader="none"/>
        </w:tabs>
        <w:spacing w:line="242" w:lineRule="auto" w:before="91" w:after="0"/>
        <w:ind w:left="2381" w:right="1908" w:hanging="794"/>
        <w:jc w:val="left"/>
        <w:rPr>
          <w:sz w:val="12"/>
        </w:rPr>
      </w:pPr>
      <w:r>
        <w:rPr>
          <w:w w:val="105"/>
          <w:sz w:val="21"/>
        </w:rPr>
        <w:t>The</w:t>
      </w:r>
      <w:r>
        <w:rPr>
          <w:spacing w:val="-11"/>
          <w:w w:val="105"/>
          <w:sz w:val="21"/>
        </w:rPr>
        <w:t> </w:t>
      </w:r>
      <w:r>
        <w:rPr>
          <w:w w:val="105"/>
          <w:sz w:val="21"/>
        </w:rPr>
        <w:t>vast</w:t>
      </w:r>
      <w:r>
        <w:rPr>
          <w:spacing w:val="-10"/>
          <w:w w:val="105"/>
          <w:sz w:val="21"/>
        </w:rPr>
        <w:t> </w:t>
      </w:r>
      <w:r>
        <w:rPr>
          <w:w w:val="105"/>
          <w:sz w:val="21"/>
        </w:rPr>
        <w:t>majority</w:t>
      </w:r>
      <w:r>
        <w:rPr>
          <w:spacing w:val="-10"/>
          <w:w w:val="105"/>
          <w:sz w:val="21"/>
        </w:rPr>
        <w:t> </w:t>
      </w:r>
      <w:r>
        <w:rPr>
          <w:w w:val="105"/>
          <w:sz w:val="21"/>
        </w:rPr>
        <w:t>of</w:t>
      </w:r>
      <w:r>
        <w:rPr>
          <w:spacing w:val="-10"/>
          <w:w w:val="105"/>
          <w:sz w:val="21"/>
        </w:rPr>
        <w:t> </w:t>
      </w:r>
      <w:r>
        <w:rPr>
          <w:w w:val="105"/>
          <w:sz w:val="21"/>
        </w:rPr>
        <w:t>stakeholders</w:t>
      </w:r>
      <w:r>
        <w:rPr>
          <w:spacing w:val="-10"/>
          <w:w w:val="105"/>
          <w:sz w:val="21"/>
        </w:rPr>
        <w:t> </w:t>
      </w:r>
      <w:r>
        <w:rPr>
          <w:spacing w:val="-3"/>
          <w:w w:val="105"/>
          <w:sz w:val="21"/>
        </w:rPr>
        <w:t>consulted</w:t>
      </w:r>
      <w:r>
        <w:rPr>
          <w:spacing w:val="-10"/>
          <w:w w:val="105"/>
          <w:sz w:val="21"/>
        </w:rPr>
        <w:t> </w:t>
      </w:r>
      <w:r>
        <w:rPr>
          <w:spacing w:val="-3"/>
          <w:w w:val="105"/>
          <w:sz w:val="21"/>
        </w:rPr>
        <w:t>throughout</w:t>
      </w:r>
      <w:r>
        <w:rPr>
          <w:spacing w:val="-10"/>
          <w:w w:val="105"/>
          <w:sz w:val="21"/>
        </w:rPr>
        <w:t> </w:t>
      </w:r>
      <w:r>
        <w:rPr>
          <w:w w:val="105"/>
          <w:sz w:val="21"/>
        </w:rPr>
        <w:t>the</w:t>
      </w:r>
      <w:r>
        <w:rPr>
          <w:spacing w:val="-11"/>
          <w:w w:val="105"/>
          <w:sz w:val="21"/>
        </w:rPr>
        <w:t> </w:t>
      </w:r>
      <w:r>
        <w:rPr>
          <w:spacing w:val="-3"/>
          <w:w w:val="105"/>
          <w:sz w:val="21"/>
        </w:rPr>
        <w:t>reference</w:t>
      </w:r>
      <w:r>
        <w:rPr>
          <w:spacing w:val="-10"/>
          <w:w w:val="105"/>
          <w:sz w:val="21"/>
        </w:rPr>
        <w:t> </w:t>
      </w:r>
      <w:r>
        <w:rPr>
          <w:w w:val="105"/>
          <w:sz w:val="21"/>
        </w:rPr>
        <w:t>expressed</w:t>
      </w:r>
      <w:r>
        <w:rPr>
          <w:spacing w:val="-10"/>
          <w:w w:val="105"/>
          <w:sz w:val="21"/>
        </w:rPr>
        <w:t> </w:t>
      </w:r>
      <w:r>
        <w:rPr>
          <w:w w:val="105"/>
          <w:sz w:val="21"/>
        </w:rPr>
        <w:t>a</w:t>
      </w:r>
      <w:r>
        <w:rPr>
          <w:spacing w:val="-10"/>
          <w:w w:val="105"/>
          <w:sz w:val="21"/>
        </w:rPr>
        <w:t> </w:t>
      </w:r>
      <w:r>
        <w:rPr>
          <w:spacing w:val="-3"/>
          <w:w w:val="105"/>
          <w:sz w:val="21"/>
        </w:rPr>
        <w:t>high </w:t>
      </w:r>
      <w:r>
        <w:rPr>
          <w:w w:val="105"/>
          <w:sz w:val="21"/>
        </w:rPr>
        <w:t>degree of trust </w:t>
      </w:r>
      <w:r>
        <w:rPr>
          <w:spacing w:val="-3"/>
          <w:w w:val="105"/>
          <w:sz w:val="21"/>
        </w:rPr>
        <w:t>in, </w:t>
      </w:r>
      <w:r>
        <w:rPr>
          <w:w w:val="105"/>
          <w:sz w:val="21"/>
        </w:rPr>
        <w:t>and satisfaction </w:t>
      </w:r>
      <w:r>
        <w:rPr>
          <w:spacing w:val="-3"/>
          <w:w w:val="105"/>
          <w:sz w:val="21"/>
        </w:rPr>
        <w:t>with, </w:t>
      </w:r>
      <w:r>
        <w:rPr>
          <w:w w:val="105"/>
          <w:sz w:val="21"/>
        </w:rPr>
        <w:t>the assistance</w:t>
      </w:r>
      <w:r>
        <w:rPr>
          <w:spacing w:val="26"/>
          <w:w w:val="105"/>
          <w:sz w:val="21"/>
        </w:rPr>
        <w:t> </w:t>
      </w:r>
      <w:r>
        <w:rPr>
          <w:spacing w:val="-5"/>
          <w:w w:val="105"/>
          <w:sz w:val="21"/>
        </w:rPr>
        <w:t>provided.</w:t>
      </w:r>
      <w:r>
        <w:rPr>
          <w:spacing w:val="-5"/>
          <w:w w:val="105"/>
          <w:position w:val="7"/>
          <w:sz w:val="12"/>
        </w:rPr>
        <w:t>13</w:t>
      </w:r>
    </w:p>
    <w:p>
      <w:pPr>
        <w:pStyle w:val="ListParagraph"/>
        <w:numPr>
          <w:ilvl w:val="1"/>
          <w:numId w:val="22"/>
        </w:numPr>
        <w:tabs>
          <w:tab w:pos="2381" w:val="left" w:leader="none"/>
          <w:tab w:pos="2382" w:val="left" w:leader="none"/>
        </w:tabs>
        <w:spacing w:line="242" w:lineRule="auto" w:before="122" w:after="0"/>
        <w:ind w:left="2381" w:right="1682" w:hanging="794"/>
        <w:jc w:val="left"/>
        <w:rPr>
          <w:sz w:val="12"/>
        </w:rPr>
      </w:pPr>
      <w:r>
        <w:rPr>
          <w:sz w:val="21"/>
        </w:rPr>
        <w:t>Although the number of estates </w:t>
      </w:r>
      <w:r>
        <w:rPr>
          <w:spacing w:val="-3"/>
          <w:sz w:val="21"/>
        </w:rPr>
        <w:t>obtaining  </w:t>
      </w:r>
      <w:r>
        <w:rPr>
          <w:sz w:val="21"/>
        </w:rPr>
        <w:t>a </w:t>
      </w:r>
      <w:r>
        <w:rPr>
          <w:spacing w:val="-3"/>
          <w:sz w:val="21"/>
        </w:rPr>
        <w:t>grant</w:t>
      </w:r>
      <w:r>
        <w:rPr>
          <w:spacing w:val="41"/>
          <w:sz w:val="21"/>
        </w:rPr>
        <w:t> </w:t>
      </w:r>
      <w:r>
        <w:rPr>
          <w:spacing w:val="-3"/>
          <w:sz w:val="21"/>
        </w:rPr>
        <w:t>through  </w:t>
      </w:r>
      <w:r>
        <w:rPr>
          <w:sz w:val="21"/>
        </w:rPr>
        <w:t>this service is </w:t>
      </w:r>
      <w:r>
        <w:rPr>
          <w:spacing w:val="-5"/>
          <w:sz w:val="21"/>
        </w:rPr>
        <w:t>low,  </w:t>
      </w:r>
      <w:r>
        <w:rPr>
          <w:sz w:val="21"/>
        </w:rPr>
        <w:t>this </w:t>
      </w:r>
      <w:r>
        <w:rPr>
          <w:spacing w:val="-3"/>
          <w:sz w:val="21"/>
        </w:rPr>
        <w:t>may      </w:t>
      </w:r>
      <w:r>
        <w:rPr>
          <w:sz w:val="21"/>
        </w:rPr>
        <w:t>be attributable </w:t>
      </w:r>
      <w:r>
        <w:rPr>
          <w:spacing w:val="-3"/>
          <w:sz w:val="21"/>
        </w:rPr>
        <w:t>to </w:t>
      </w:r>
      <w:r>
        <w:rPr>
          <w:sz w:val="21"/>
        </w:rPr>
        <w:t>the fact </w:t>
      </w:r>
      <w:r>
        <w:rPr>
          <w:spacing w:val="-3"/>
          <w:sz w:val="21"/>
        </w:rPr>
        <w:t>that </w:t>
      </w:r>
      <w:r>
        <w:rPr>
          <w:sz w:val="21"/>
        </w:rPr>
        <w:t>the </w:t>
      </w:r>
      <w:r>
        <w:rPr>
          <w:spacing w:val="-2"/>
          <w:sz w:val="21"/>
        </w:rPr>
        <w:t>dollar </w:t>
      </w:r>
      <w:r>
        <w:rPr>
          <w:spacing w:val="-3"/>
          <w:sz w:val="21"/>
        </w:rPr>
        <w:t>value limit </w:t>
      </w:r>
      <w:r>
        <w:rPr>
          <w:sz w:val="21"/>
        </w:rPr>
        <w:t>on </w:t>
      </w:r>
      <w:r>
        <w:rPr>
          <w:spacing w:val="-3"/>
          <w:sz w:val="21"/>
        </w:rPr>
        <w:t>small </w:t>
      </w:r>
      <w:r>
        <w:rPr>
          <w:sz w:val="21"/>
        </w:rPr>
        <w:t>estates is </w:t>
      </w:r>
      <w:r>
        <w:rPr>
          <w:spacing w:val="-3"/>
          <w:sz w:val="21"/>
        </w:rPr>
        <w:t>currently </w:t>
      </w:r>
      <w:r>
        <w:rPr>
          <w:sz w:val="21"/>
        </w:rPr>
        <w:t>very </w:t>
      </w:r>
      <w:r>
        <w:rPr>
          <w:spacing w:val="-4"/>
          <w:sz w:val="21"/>
        </w:rPr>
        <w:t>low. </w:t>
      </w:r>
      <w:r>
        <w:rPr>
          <w:spacing w:val="-3"/>
          <w:sz w:val="21"/>
        </w:rPr>
        <w:t>Submissions noted that </w:t>
      </w:r>
      <w:r>
        <w:rPr>
          <w:sz w:val="21"/>
        </w:rPr>
        <w:t>the low number of </w:t>
      </w:r>
      <w:r>
        <w:rPr>
          <w:spacing w:val="-3"/>
          <w:sz w:val="21"/>
        </w:rPr>
        <w:t>applications  may  </w:t>
      </w:r>
      <w:r>
        <w:rPr>
          <w:sz w:val="21"/>
        </w:rPr>
        <w:t>also be attributable </w:t>
      </w:r>
      <w:r>
        <w:rPr>
          <w:spacing w:val="-3"/>
          <w:sz w:val="21"/>
        </w:rPr>
        <w:t>to</w:t>
      </w:r>
      <w:r>
        <w:rPr>
          <w:spacing w:val="41"/>
          <w:sz w:val="21"/>
        </w:rPr>
        <w:t> </w:t>
      </w:r>
      <w:r>
        <w:rPr>
          <w:sz w:val="21"/>
        </w:rPr>
        <w:t>a lack  of</w:t>
      </w:r>
      <w:r>
        <w:rPr>
          <w:spacing w:val="10"/>
          <w:sz w:val="21"/>
        </w:rPr>
        <w:t> </w:t>
      </w:r>
      <w:r>
        <w:rPr>
          <w:sz w:val="21"/>
        </w:rPr>
        <w:t>knowledge</w:t>
      </w:r>
      <w:r>
        <w:rPr>
          <w:spacing w:val="11"/>
          <w:sz w:val="21"/>
        </w:rPr>
        <w:t> </w:t>
      </w:r>
      <w:r>
        <w:rPr>
          <w:sz w:val="21"/>
        </w:rPr>
        <w:t>of</w:t>
      </w:r>
      <w:r>
        <w:rPr>
          <w:spacing w:val="11"/>
          <w:sz w:val="21"/>
        </w:rPr>
        <w:t> </w:t>
      </w:r>
      <w:r>
        <w:rPr>
          <w:sz w:val="21"/>
        </w:rPr>
        <w:t>the</w:t>
      </w:r>
      <w:r>
        <w:rPr>
          <w:spacing w:val="11"/>
          <w:sz w:val="21"/>
        </w:rPr>
        <w:t> </w:t>
      </w:r>
      <w:r>
        <w:rPr>
          <w:sz w:val="21"/>
        </w:rPr>
        <w:t>service</w:t>
      </w:r>
      <w:r>
        <w:rPr>
          <w:spacing w:val="11"/>
          <w:sz w:val="21"/>
        </w:rPr>
        <w:t> </w:t>
      </w:r>
      <w:r>
        <w:rPr>
          <w:sz w:val="21"/>
        </w:rPr>
        <w:t>among</w:t>
      </w:r>
      <w:r>
        <w:rPr>
          <w:spacing w:val="11"/>
          <w:sz w:val="21"/>
        </w:rPr>
        <w:t> </w:t>
      </w:r>
      <w:r>
        <w:rPr>
          <w:sz w:val="21"/>
        </w:rPr>
        <w:t>members</w:t>
      </w:r>
      <w:r>
        <w:rPr>
          <w:spacing w:val="11"/>
          <w:sz w:val="21"/>
        </w:rPr>
        <w:t> </w:t>
      </w:r>
      <w:r>
        <w:rPr>
          <w:sz w:val="21"/>
        </w:rPr>
        <w:t>of</w:t>
      </w:r>
      <w:r>
        <w:rPr>
          <w:spacing w:val="11"/>
          <w:sz w:val="21"/>
        </w:rPr>
        <w:t> </w:t>
      </w:r>
      <w:r>
        <w:rPr>
          <w:sz w:val="21"/>
        </w:rPr>
        <w:t>the</w:t>
      </w:r>
      <w:r>
        <w:rPr>
          <w:spacing w:val="10"/>
          <w:sz w:val="21"/>
        </w:rPr>
        <w:t> </w:t>
      </w:r>
      <w:r>
        <w:rPr>
          <w:spacing w:val="-6"/>
          <w:sz w:val="21"/>
        </w:rPr>
        <w:t>public.</w:t>
      </w:r>
      <w:r>
        <w:rPr>
          <w:spacing w:val="-6"/>
          <w:position w:val="7"/>
          <w:sz w:val="12"/>
        </w:rPr>
        <w:t>14</w:t>
      </w:r>
    </w:p>
    <w:p>
      <w:pPr>
        <w:pStyle w:val="ListParagraph"/>
        <w:numPr>
          <w:ilvl w:val="1"/>
          <w:numId w:val="22"/>
        </w:numPr>
        <w:tabs>
          <w:tab w:pos="2380" w:val="left" w:leader="none"/>
          <w:tab w:pos="2381" w:val="left" w:leader="none"/>
        </w:tabs>
        <w:spacing w:line="242" w:lineRule="auto" w:before="125" w:after="0"/>
        <w:ind w:left="2381" w:right="1678" w:hanging="794"/>
        <w:jc w:val="left"/>
        <w:rPr>
          <w:sz w:val="21"/>
        </w:rPr>
      </w:pPr>
      <w:r>
        <w:rPr>
          <w:sz w:val="21"/>
        </w:rPr>
        <w:t>Given the </w:t>
      </w:r>
      <w:r>
        <w:rPr>
          <w:spacing w:val="-3"/>
          <w:sz w:val="21"/>
        </w:rPr>
        <w:t>high </w:t>
      </w:r>
      <w:r>
        <w:rPr>
          <w:sz w:val="21"/>
        </w:rPr>
        <w:t>level of community support </w:t>
      </w:r>
      <w:r>
        <w:rPr>
          <w:spacing w:val="-3"/>
          <w:sz w:val="21"/>
        </w:rPr>
        <w:t>for </w:t>
      </w:r>
      <w:r>
        <w:rPr>
          <w:sz w:val="21"/>
        </w:rPr>
        <w:t>the service, and the lack of an </w:t>
      </w:r>
      <w:r>
        <w:rPr>
          <w:spacing w:val="-3"/>
          <w:sz w:val="21"/>
        </w:rPr>
        <w:t>appropriate alternative  for  </w:t>
      </w:r>
      <w:r>
        <w:rPr>
          <w:sz w:val="21"/>
        </w:rPr>
        <w:t>the specific </w:t>
      </w:r>
      <w:r>
        <w:rPr>
          <w:spacing w:val="-3"/>
          <w:sz w:val="21"/>
        </w:rPr>
        <w:t>clientele</w:t>
      </w:r>
      <w:r>
        <w:rPr>
          <w:spacing w:val="41"/>
          <w:sz w:val="21"/>
        </w:rPr>
        <w:t> </w:t>
      </w:r>
      <w:r>
        <w:rPr>
          <w:sz w:val="21"/>
        </w:rPr>
        <w:t>of the service, the </w:t>
      </w:r>
      <w:r>
        <w:rPr>
          <w:spacing w:val="-3"/>
          <w:sz w:val="21"/>
        </w:rPr>
        <w:t>small  </w:t>
      </w:r>
      <w:r>
        <w:rPr>
          <w:sz w:val="21"/>
        </w:rPr>
        <w:t>estates service provided by the </w:t>
      </w:r>
      <w:r>
        <w:rPr>
          <w:spacing w:val="-3"/>
          <w:sz w:val="21"/>
        </w:rPr>
        <w:t>Probate </w:t>
      </w:r>
      <w:r>
        <w:rPr>
          <w:sz w:val="21"/>
        </w:rPr>
        <w:t>Office should be </w:t>
      </w:r>
      <w:r>
        <w:rPr>
          <w:spacing w:val="-3"/>
          <w:sz w:val="21"/>
        </w:rPr>
        <w:t>retained.</w:t>
      </w:r>
    </w:p>
    <w:p>
      <w:pPr>
        <w:pStyle w:val="BodyText"/>
        <w:spacing w:before="11"/>
        <w:rPr>
          <w:sz w:val="26"/>
        </w:rPr>
      </w:pPr>
    </w:p>
    <w:p>
      <w:pPr>
        <w:pStyle w:val="Heading6"/>
      </w:pPr>
      <w:r>
        <w:rPr>
          <w:w w:val="115"/>
        </w:rPr>
        <w:t>Raising the limit to $100,000</w:t>
      </w:r>
    </w:p>
    <w:p>
      <w:pPr>
        <w:pStyle w:val="ListParagraph"/>
        <w:numPr>
          <w:ilvl w:val="1"/>
          <w:numId w:val="22"/>
        </w:numPr>
        <w:tabs>
          <w:tab w:pos="2380" w:val="left" w:leader="none"/>
          <w:tab w:pos="2381" w:val="left" w:leader="none"/>
        </w:tabs>
        <w:spacing w:line="242" w:lineRule="auto" w:before="151" w:after="0"/>
        <w:ind w:left="2381" w:right="2013" w:hanging="794"/>
        <w:jc w:val="left"/>
        <w:rPr>
          <w:sz w:val="21"/>
        </w:rPr>
      </w:pPr>
      <w:r>
        <w:rPr>
          <w:sz w:val="21"/>
        </w:rPr>
        <w:t>As </w:t>
      </w:r>
      <w:r>
        <w:rPr>
          <w:spacing w:val="-3"/>
          <w:sz w:val="21"/>
        </w:rPr>
        <w:t>well </w:t>
      </w:r>
      <w:r>
        <w:rPr>
          <w:sz w:val="21"/>
        </w:rPr>
        <w:t>as </w:t>
      </w:r>
      <w:r>
        <w:rPr>
          <w:spacing w:val="-3"/>
          <w:sz w:val="21"/>
        </w:rPr>
        <w:t>recognising </w:t>
      </w:r>
      <w:r>
        <w:rPr>
          <w:sz w:val="21"/>
        </w:rPr>
        <w:t>the importance of the </w:t>
      </w:r>
      <w:r>
        <w:rPr>
          <w:spacing w:val="-3"/>
          <w:sz w:val="21"/>
        </w:rPr>
        <w:t>small </w:t>
      </w:r>
      <w:r>
        <w:rPr>
          <w:sz w:val="21"/>
        </w:rPr>
        <w:t>estates service, the </w:t>
      </w:r>
      <w:r>
        <w:rPr>
          <w:spacing w:val="-3"/>
          <w:sz w:val="21"/>
        </w:rPr>
        <w:t>Commission </w:t>
      </w:r>
      <w:r>
        <w:rPr>
          <w:sz w:val="21"/>
        </w:rPr>
        <w:t>believes </w:t>
      </w:r>
      <w:r>
        <w:rPr>
          <w:spacing w:val="-3"/>
          <w:sz w:val="21"/>
        </w:rPr>
        <w:t>that </w:t>
      </w:r>
      <w:r>
        <w:rPr>
          <w:sz w:val="21"/>
        </w:rPr>
        <w:t>the utility of the service </w:t>
      </w:r>
      <w:r>
        <w:rPr>
          <w:spacing w:val="-3"/>
          <w:sz w:val="21"/>
        </w:rPr>
        <w:t>could </w:t>
      </w:r>
      <w:r>
        <w:rPr>
          <w:sz w:val="21"/>
        </w:rPr>
        <w:t>be </w:t>
      </w:r>
      <w:r>
        <w:rPr>
          <w:spacing w:val="-2"/>
          <w:sz w:val="21"/>
        </w:rPr>
        <w:t>significantly </w:t>
      </w:r>
      <w:r>
        <w:rPr>
          <w:spacing w:val="-3"/>
          <w:sz w:val="21"/>
        </w:rPr>
        <w:t>improved </w:t>
      </w:r>
      <w:r>
        <w:rPr>
          <w:sz w:val="21"/>
        </w:rPr>
        <w:t>by its</w:t>
      </w:r>
      <w:r>
        <w:rPr>
          <w:spacing w:val="11"/>
          <w:sz w:val="21"/>
        </w:rPr>
        <w:t> </w:t>
      </w:r>
      <w:r>
        <w:rPr>
          <w:spacing w:val="-3"/>
          <w:sz w:val="21"/>
        </w:rPr>
        <w:t>expansion.</w:t>
      </w:r>
    </w:p>
    <w:p>
      <w:pPr>
        <w:pStyle w:val="ListParagraph"/>
        <w:numPr>
          <w:ilvl w:val="1"/>
          <w:numId w:val="22"/>
        </w:numPr>
        <w:tabs>
          <w:tab w:pos="2380" w:val="left" w:leader="none"/>
          <w:tab w:pos="2381" w:val="left" w:leader="none"/>
        </w:tabs>
        <w:spacing w:line="242" w:lineRule="auto" w:before="123" w:after="0"/>
        <w:ind w:left="2380" w:right="1953" w:hanging="793"/>
        <w:jc w:val="left"/>
        <w:rPr>
          <w:sz w:val="12"/>
        </w:rPr>
      </w:pPr>
      <w:r>
        <w:rPr>
          <w:w w:val="105"/>
          <w:sz w:val="21"/>
        </w:rPr>
        <w:t>In</w:t>
      </w:r>
      <w:r>
        <w:rPr>
          <w:spacing w:val="-7"/>
          <w:w w:val="105"/>
          <w:sz w:val="21"/>
        </w:rPr>
        <w:t> </w:t>
      </w:r>
      <w:r>
        <w:rPr>
          <w:w w:val="105"/>
          <w:sz w:val="21"/>
        </w:rPr>
        <w:t>the</w:t>
      </w:r>
      <w:r>
        <w:rPr>
          <w:spacing w:val="-7"/>
          <w:w w:val="105"/>
          <w:sz w:val="21"/>
        </w:rPr>
        <w:t> </w:t>
      </w:r>
      <w:r>
        <w:rPr>
          <w:spacing w:val="-3"/>
          <w:w w:val="105"/>
          <w:sz w:val="21"/>
        </w:rPr>
        <w:t>consultation</w:t>
      </w:r>
      <w:r>
        <w:rPr>
          <w:spacing w:val="-6"/>
          <w:w w:val="105"/>
          <w:sz w:val="21"/>
        </w:rPr>
        <w:t> </w:t>
      </w:r>
      <w:r>
        <w:rPr>
          <w:w w:val="105"/>
          <w:sz w:val="21"/>
        </w:rPr>
        <w:t>paper</w:t>
      </w:r>
      <w:r>
        <w:rPr>
          <w:spacing w:val="-7"/>
          <w:w w:val="105"/>
          <w:sz w:val="21"/>
        </w:rPr>
        <w:t> </w:t>
      </w:r>
      <w:r>
        <w:rPr>
          <w:w w:val="105"/>
          <w:sz w:val="21"/>
        </w:rPr>
        <w:t>on</w:t>
      </w:r>
      <w:r>
        <w:rPr>
          <w:spacing w:val="-7"/>
          <w:w w:val="105"/>
          <w:sz w:val="21"/>
        </w:rPr>
        <w:t> </w:t>
      </w:r>
      <w:r>
        <w:rPr>
          <w:spacing w:val="-3"/>
          <w:w w:val="105"/>
          <w:sz w:val="21"/>
        </w:rPr>
        <w:t>small</w:t>
      </w:r>
      <w:r>
        <w:rPr>
          <w:spacing w:val="-6"/>
          <w:w w:val="105"/>
          <w:sz w:val="21"/>
        </w:rPr>
        <w:t> </w:t>
      </w:r>
      <w:r>
        <w:rPr>
          <w:w w:val="105"/>
          <w:sz w:val="21"/>
        </w:rPr>
        <w:t>estates,</w:t>
      </w:r>
      <w:r>
        <w:rPr>
          <w:spacing w:val="-7"/>
          <w:w w:val="105"/>
          <w:sz w:val="21"/>
        </w:rPr>
        <w:t> </w:t>
      </w:r>
      <w:r>
        <w:rPr>
          <w:w w:val="105"/>
          <w:sz w:val="21"/>
        </w:rPr>
        <w:t>the</w:t>
      </w:r>
      <w:r>
        <w:rPr>
          <w:spacing w:val="-7"/>
          <w:w w:val="105"/>
          <w:sz w:val="21"/>
        </w:rPr>
        <w:t> </w:t>
      </w:r>
      <w:r>
        <w:rPr>
          <w:spacing w:val="-3"/>
          <w:w w:val="105"/>
          <w:sz w:val="21"/>
        </w:rPr>
        <w:t>Commission</w:t>
      </w:r>
      <w:r>
        <w:rPr>
          <w:spacing w:val="-6"/>
          <w:w w:val="105"/>
          <w:sz w:val="21"/>
        </w:rPr>
        <w:t> </w:t>
      </w:r>
      <w:r>
        <w:rPr>
          <w:spacing w:val="-3"/>
          <w:w w:val="105"/>
          <w:sz w:val="21"/>
        </w:rPr>
        <w:t>asked</w:t>
      </w:r>
      <w:r>
        <w:rPr>
          <w:spacing w:val="-7"/>
          <w:w w:val="105"/>
          <w:sz w:val="21"/>
        </w:rPr>
        <w:t> </w:t>
      </w:r>
      <w:r>
        <w:rPr>
          <w:w w:val="105"/>
          <w:sz w:val="21"/>
        </w:rPr>
        <w:t>whether</w:t>
      </w:r>
      <w:r>
        <w:rPr>
          <w:spacing w:val="-7"/>
          <w:w w:val="105"/>
          <w:sz w:val="21"/>
        </w:rPr>
        <w:t> </w:t>
      </w:r>
      <w:r>
        <w:rPr>
          <w:w w:val="105"/>
          <w:sz w:val="21"/>
        </w:rPr>
        <w:t>the</w:t>
      </w:r>
      <w:r>
        <w:rPr>
          <w:spacing w:val="-6"/>
          <w:w w:val="105"/>
          <w:sz w:val="21"/>
        </w:rPr>
        <w:t> </w:t>
      </w:r>
      <w:r>
        <w:rPr>
          <w:spacing w:val="-3"/>
          <w:w w:val="105"/>
          <w:sz w:val="21"/>
        </w:rPr>
        <w:t>current </w:t>
      </w:r>
      <w:r>
        <w:rPr>
          <w:spacing w:val="-2"/>
          <w:w w:val="105"/>
          <w:sz w:val="21"/>
        </w:rPr>
        <w:t>figure </w:t>
      </w:r>
      <w:r>
        <w:rPr>
          <w:spacing w:val="-3"/>
          <w:w w:val="105"/>
          <w:sz w:val="21"/>
        </w:rPr>
        <w:t>determining </w:t>
      </w:r>
      <w:r>
        <w:rPr>
          <w:w w:val="105"/>
          <w:sz w:val="21"/>
        </w:rPr>
        <w:t>the </w:t>
      </w:r>
      <w:r>
        <w:rPr>
          <w:spacing w:val="-3"/>
          <w:w w:val="105"/>
          <w:sz w:val="21"/>
        </w:rPr>
        <w:t>size </w:t>
      </w:r>
      <w:r>
        <w:rPr>
          <w:w w:val="105"/>
          <w:sz w:val="21"/>
        </w:rPr>
        <w:t>of a </w:t>
      </w:r>
      <w:r>
        <w:rPr>
          <w:spacing w:val="-3"/>
          <w:w w:val="105"/>
          <w:sz w:val="21"/>
        </w:rPr>
        <w:t>small </w:t>
      </w:r>
      <w:r>
        <w:rPr>
          <w:w w:val="105"/>
          <w:sz w:val="21"/>
        </w:rPr>
        <w:t>estate</w:t>
      </w:r>
      <w:r>
        <w:rPr>
          <w:w w:val="105"/>
          <w:position w:val="7"/>
          <w:sz w:val="12"/>
        </w:rPr>
        <w:t>15 </w:t>
      </w:r>
      <w:r>
        <w:rPr>
          <w:w w:val="105"/>
          <w:sz w:val="21"/>
        </w:rPr>
        <w:t>should be</w:t>
      </w:r>
      <w:r>
        <w:rPr>
          <w:spacing w:val="41"/>
          <w:w w:val="105"/>
          <w:sz w:val="21"/>
        </w:rPr>
        <w:t> </w:t>
      </w:r>
      <w:r>
        <w:rPr>
          <w:spacing w:val="-5"/>
          <w:w w:val="105"/>
          <w:sz w:val="21"/>
        </w:rPr>
        <w:t>raised.</w:t>
      </w:r>
      <w:r>
        <w:rPr>
          <w:spacing w:val="-5"/>
          <w:w w:val="105"/>
          <w:position w:val="7"/>
          <w:sz w:val="12"/>
        </w:rPr>
        <w:t>16</w:t>
      </w:r>
    </w:p>
    <w:p>
      <w:pPr>
        <w:pStyle w:val="ListParagraph"/>
        <w:numPr>
          <w:ilvl w:val="1"/>
          <w:numId w:val="22"/>
        </w:numPr>
        <w:tabs>
          <w:tab w:pos="2381" w:val="left" w:leader="none"/>
          <w:tab w:pos="2382" w:val="left" w:leader="none"/>
        </w:tabs>
        <w:spacing w:line="242" w:lineRule="auto" w:before="122" w:after="0"/>
        <w:ind w:left="2381" w:right="1684" w:hanging="794"/>
        <w:jc w:val="left"/>
        <w:rPr>
          <w:sz w:val="21"/>
        </w:rPr>
      </w:pPr>
      <w:r>
        <w:rPr>
          <w:w w:val="105"/>
          <w:sz w:val="21"/>
        </w:rPr>
        <w:t>The </w:t>
      </w:r>
      <w:r>
        <w:rPr>
          <w:spacing w:val="-3"/>
          <w:w w:val="105"/>
          <w:sz w:val="21"/>
        </w:rPr>
        <w:t>current </w:t>
      </w:r>
      <w:r>
        <w:rPr>
          <w:w w:val="105"/>
          <w:sz w:val="21"/>
        </w:rPr>
        <w:t>$25,000/$50,000 </w:t>
      </w:r>
      <w:r>
        <w:rPr>
          <w:spacing w:val="-2"/>
          <w:w w:val="105"/>
          <w:sz w:val="21"/>
        </w:rPr>
        <w:t>figure </w:t>
      </w:r>
      <w:r>
        <w:rPr>
          <w:w w:val="105"/>
          <w:sz w:val="21"/>
        </w:rPr>
        <w:t>was </w:t>
      </w:r>
      <w:r>
        <w:rPr>
          <w:spacing w:val="-3"/>
          <w:w w:val="105"/>
          <w:sz w:val="21"/>
        </w:rPr>
        <w:t>considered </w:t>
      </w:r>
      <w:r>
        <w:rPr>
          <w:w w:val="105"/>
          <w:sz w:val="21"/>
        </w:rPr>
        <w:t>in almost </w:t>
      </w:r>
      <w:r>
        <w:rPr>
          <w:spacing w:val="-3"/>
          <w:w w:val="105"/>
          <w:sz w:val="21"/>
        </w:rPr>
        <w:t>all submissions to </w:t>
      </w:r>
      <w:r>
        <w:rPr>
          <w:w w:val="105"/>
          <w:sz w:val="21"/>
        </w:rPr>
        <w:t>be too </w:t>
      </w:r>
      <w:r>
        <w:rPr>
          <w:spacing w:val="-8"/>
          <w:w w:val="105"/>
          <w:sz w:val="21"/>
        </w:rPr>
        <w:t>low,</w:t>
      </w:r>
      <w:r>
        <w:rPr>
          <w:spacing w:val="-8"/>
          <w:w w:val="105"/>
          <w:position w:val="7"/>
          <w:sz w:val="12"/>
        </w:rPr>
        <w:t>17 </w:t>
      </w:r>
      <w:r>
        <w:rPr>
          <w:w w:val="105"/>
          <w:sz w:val="21"/>
        </w:rPr>
        <w:t>with Moores Legal describing it as an </w:t>
      </w:r>
      <w:r>
        <w:rPr>
          <w:spacing w:val="-3"/>
          <w:w w:val="105"/>
          <w:sz w:val="21"/>
        </w:rPr>
        <w:t>‘impractically </w:t>
      </w:r>
      <w:r>
        <w:rPr>
          <w:w w:val="105"/>
          <w:sz w:val="21"/>
        </w:rPr>
        <w:t>low’ </w:t>
      </w:r>
      <w:r>
        <w:rPr>
          <w:spacing w:val="-3"/>
          <w:w w:val="105"/>
          <w:sz w:val="21"/>
        </w:rPr>
        <w:t>limit that </w:t>
      </w:r>
      <w:r>
        <w:rPr>
          <w:w w:val="105"/>
          <w:sz w:val="21"/>
        </w:rPr>
        <w:t>in fact </w:t>
      </w:r>
      <w:r>
        <w:rPr>
          <w:spacing w:val="-3"/>
          <w:w w:val="105"/>
          <w:sz w:val="21"/>
        </w:rPr>
        <w:t>delineates </w:t>
      </w:r>
      <w:r>
        <w:rPr>
          <w:w w:val="105"/>
          <w:sz w:val="21"/>
        </w:rPr>
        <w:t>‘very </w:t>
      </w:r>
      <w:r>
        <w:rPr>
          <w:spacing w:val="-3"/>
          <w:w w:val="105"/>
          <w:sz w:val="21"/>
        </w:rPr>
        <w:t>small </w:t>
      </w:r>
      <w:r>
        <w:rPr>
          <w:spacing w:val="-6"/>
          <w:w w:val="105"/>
          <w:sz w:val="21"/>
        </w:rPr>
        <w:t>estates’.</w:t>
      </w:r>
      <w:r>
        <w:rPr>
          <w:spacing w:val="-6"/>
          <w:w w:val="105"/>
          <w:position w:val="7"/>
          <w:sz w:val="12"/>
        </w:rPr>
        <w:t>18 </w:t>
      </w:r>
      <w:r>
        <w:rPr>
          <w:w w:val="105"/>
          <w:sz w:val="21"/>
        </w:rPr>
        <w:t>As </w:t>
      </w:r>
      <w:r>
        <w:rPr>
          <w:spacing w:val="-3"/>
          <w:w w:val="105"/>
          <w:sz w:val="21"/>
        </w:rPr>
        <w:t>noted above, </w:t>
      </w:r>
      <w:r>
        <w:rPr>
          <w:w w:val="105"/>
          <w:sz w:val="21"/>
        </w:rPr>
        <w:t>the </w:t>
      </w:r>
      <w:r>
        <w:rPr>
          <w:spacing w:val="-3"/>
          <w:w w:val="105"/>
          <w:sz w:val="21"/>
        </w:rPr>
        <w:t>limit </w:t>
      </w:r>
      <w:r>
        <w:rPr>
          <w:spacing w:val="-2"/>
          <w:w w:val="105"/>
          <w:sz w:val="21"/>
        </w:rPr>
        <w:t>has not </w:t>
      </w:r>
      <w:r>
        <w:rPr>
          <w:w w:val="105"/>
          <w:sz w:val="21"/>
        </w:rPr>
        <w:t>been </w:t>
      </w:r>
      <w:r>
        <w:rPr>
          <w:spacing w:val="-3"/>
          <w:w w:val="105"/>
          <w:sz w:val="21"/>
        </w:rPr>
        <w:t>increased since</w:t>
      </w:r>
      <w:r>
        <w:rPr>
          <w:spacing w:val="33"/>
          <w:w w:val="105"/>
          <w:sz w:val="21"/>
        </w:rPr>
        <w:t> </w:t>
      </w:r>
      <w:r>
        <w:rPr>
          <w:spacing w:val="-5"/>
          <w:w w:val="105"/>
          <w:sz w:val="21"/>
        </w:rPr>
        <w:t>1995.</w:t>
      </w:r>
    </w:p>
    <w:p>
      <w:pPr>
        <w:pStyle w:val="ListParagraph"/>
        <w:numPr>
          <w:ilvl w:val="1"/>
          <w:numId w:val="22"/>
        </w:numPr>
        <w:tabs>
          <w:tab w:pos="2381" w:val="left" w:leader="none"/>
          <w:tab w:pos="2382" w:val="left" w:leader="none"/>
        </w:tabs>
        <w:spacing w:line="242" w:lineRule="auto" w:before="123" w:after="0"/>
        <w:ind w:left="2381" w:right="1719" w:hanging="794"/>
        <w:jc w:val="left"/>
        <w:rPr>
          <w:sz w:val="12"/>
        </w:rPr>
      </w:pPr>
      <w:r>
        <w:rPr>
          <w:spacing w:val="-3"/>
          <w:sz w:val="21"/>
        </w:rPr>
        <w:t>According to State </w:t>
      </w:r>
      <w:r>
        <w:rPr>
          <w:spacing w:val="-4"/>
          <w:sz w:val="21"/>
        </w:rPr>
        <w:t>Trustees </w:t>
      </w:r>
      <w:r>
        <w:rPr>
          <w:sz w:val="21"/>
        </w:rPr>
        <w:t>(the body </w:t>
      </w:r>
      <w:r>
        <w:rPr>
          <w:spacing w:val="-3"/>
          <w:sz w:val="21"/>
        </w:rPr>
        <w:t>dealing </w:t>
      </w:r>
      <w:r>
        <w:rPr>
          <w:sz w:val="21"/>
        </w:rPr>
        <w:t>most </w:t>
      </w:r>
      <w:r>
        <w:rPr>
          <w:spacing w:val="-3"/>
          <w:sz w:val="21"/>
        </w:rPr>
        <w:t>frequently </w:t>
      </w:r>
      <w:r>
        <w:rPr>
          <w:sz w:val="21"/>
        </w:rPr>
        <w:t>with </w:t>
      </w:r>
      <w:r>
        <w:rPr>
          <w:spacing w:val="-3"/>
          <w:sz w:val="21"/>
        </w:rPr>
        <w:t>smaller-value </w:t>
      </w:r>
      <w:r>
        <w:rPr>
          <w:sz w:val="21"/>
        </w:rPr>
        <w:t>estates) estates </w:t>
      </w:r>
      <w:r>
        <w:rPr>
          <w:spacing w:val="-3"/>
          <w:sz w:val="21"/>
        </w:rPr>
        <w:t>valued </w:t>
      </w:r>
      <w:r>
        <w:rPr>
          <w:sz w:val="21"/>
        </w:rPr>
        <w:t>at up </w:t>
      </w:r>
      <w:r>
        <w:rPr>
          <w:spacing w:val="-3"/>
          <w:sz w:val="21"/>
        </w:rPr>
        <w:t>to $100,000 are </w:t>
      </w:r>
      <w:r>
        <w:rPr>
          <w:spacing w:val="-4"/>
          <w:sz w:val="21"/>
        </w:rPr>
        <w:t>unlikely </w:t>
      </w:r>
      <w:r>
        <w:rPr>
          <w:spacing w:val="-3"/>
          <w:sz w:val="21"/>
        </w:rPr>
        <w:t>to include real </w:t>
      </w:r>
      <w:r>
        <w:rPr>
          <w:sz w:val="21"/>
        </w:rPr>
        <w:t>estate  or  be  subject  </w:t>
      </w:r>
      <w:r>
        <w:rPr>
          <w:spacing w:val="-3"/>
          <w:sz w:val="21"/>
        </w:rPr>
        <w:t>to  </w:t>
      </w:r>
      <w:r>
        <w:rPr>
          <w:sz w:val="21"/>
        </w:rPr>
        <w:t>a </w:t>
      </w:r>
      <w:r>
        <w:rPr>
          <w:spacing w:val="-3"/>
          <w:sz w:val="21"/>
        </w:rPr>
        <w:t>family</w:t>
      </w:r>
      <w:r>
        <w:rPr>
          <w:spacing w:val="15"/>
          <w:sz w:val="21"/>
        </w:rPr>
        <w:t> </w:t>
      </w:r>
      <w:r>
        <w:rPr>
          <w:spacing w:val="-3"/>
          <w:sz w:val="21"/>
        </w:rPr>
        <w:t>provision</w:t>
      </w:r>
      <w:r>
        <w:rPr>
          <w:spacing w:val="16"/>
          <w:sz w:val="21"/>
        </w:rPr>
        <w:t> </w:t>
      </w:r>
      <w:r>
        <w:rPr>
          <w:spacing w:val="-3"/>
          <w:sz w:val="21"/>
        </w:rPr>
        <w:t>claim,</w:t>
      </w:r>
      <w:r>
        <w:rPr>
          <w:spacing w:val="15"/>
          <w:sz w:val="21"/>
        </w:rPr>
        <w:t> </w:t>
      </w:r>
      <w:r>
        <w:rPr>
          <w:sz w:val="21"/>
        </w:rPr>
        <w:t>and</w:t>
      </w:r>
      <w:r>
        <w:rPr>
          <w:spacing w:val="16"/>
          <w:sz w:val="21"/>
        </w:rPr>
        <w:t> </w:t>
      </w:r>
      <w:r>
        <w:rPr>
          <w:spacing w:val="-3"/>
          <w:sz w:val="21"/>
        </w:rPr>
        <w:t>therefore</w:t>
      </w:r>
      <w:r>
        <w:rPr>
          <w:spacing w:val="15"/>
          <w:sz w:val="21"/>
        </w:rPr>
        <w:t> </w:t>
      </w:r>
      <w:r>
        <w:rPr>
          <w:spacing w:val="-4"/>
          <w:sz w:val="21"/>
        </w:rPr>
        <w:t>‘rarely</w:t>
      </w:r>
      <w:r>
        <w:rPr>
          <w:spacing w:val="16"/>
          <w:sz w:val="21"/>
        </w:rPr>
        <w:t> </w:t>
      </w:r>
      <w:r>
        <w:rPr>
          <w:spacing w:val="-3"/>
          <w:sz w:val="21"/>
        </w:rPr>
        <w:t>involve</w:t>
      </w:r>
      <w:r>
        <w:rPr>
          <w:spacing w:val="15"/>
          <w:sz w:val="21"/>
        </w:rPr>
        <w:t> </w:t>
      </w:r>
      <w:r>
        <w:rPr>
          <w:spacing w:val="-3"/>
          <w:sz w:val="21"/>
        </w:rPr>
        <w:t>administrative</w:t>
      </w:r>
      <w:r>
        <w:rPr>
          <w:spacing w:val="15"/>
          <w:sz w:val="21"/>
        </w:rPr>
        <w:t> </w:t>
      </w:r>
      <w:r>
        <w:rPr>
          <w:spacing w:val="-5"/>
          <w:sz w:val="21"/>
        </w:rPr>
        <w:t>complexity’.</w:t>
      </w:r>
      <w:r>
        <w:rPr>
          <w:spacing w:val="-5"/>
          <w:position w:val="7"/>
          <w:sz w:val="12"/>
        </w:rPr>
        <w:t>19</w:t>
      </w:r>
    </w:p>
    <w:p>
      <w:pPr>
        <w:pStyle w:val="ListParagraph"/>
        <w:numPr>
          <w:ilvl w:val="1"/>
          <w:numId w:val="22"/>
        </w:numPr>
        <w:tabs>
          <w:tab w:pos="2380" w:val="left" w:leader="none"/>
          <w:tab w:pos="2382" w:val="left" w:leader="none"/>
        </w:tabs>
        <w:spacing w:line="240" w:lineRule="auto" w:before="123" w:after="0"/>
        <w:ind w:left="2381" w:right="0" w:hanging="794"/>
        <w:jc w:val="left"/>
        <w:rPr>
          <w:sz w:val="21"/>
        </w:rPr>
      </w:pPr>
      <w:r>
        <w:rPr>
          <w:w w:val="105"/>
          <w:sz w:val="21"/>
        </w:rPr>
        <w:t>Suggestions in </w:t>
      </w:r>
      <w:r>
        <w:rPr>
          <w:spacing w:val="-3"/>
          <w:w w:val="105"/>
          <w:sz w:val="21"/>
        </w:rPr>
        <w:t>submissions for </w:t>
      </w:r>
      <w:r>
        <w:rPr>
          <w:w w:val="105"/>
          <w:sz w:val="21"/>
        </w:rPr>
        <w:t>an </w:t>
      </w:r>
      <w:r>
        <w:rPr>
          <w:spacing w:val="-3"/>
          <w:w w:val="105"/>
          <w:sz w:val="21"/>
        </w:rPr>
        <w:t>appropriate alternative </w:t>
      </w:r>
      <w:r>
        <w:rPr>
          <w:spacing w:val="-2"/>
          <w:w w:val="105"/>
          <w:sz w:val="21"/>
        </w:rPr>
        <w:t>figure </w:t>
      </w:r>
      <w:r>
        <w:rPr>
          <w:spacing w:val="-3"/>
          <w:w w:val="105"/>
          <w:sz w:val="21"/>
        </w:rPr>
        <w:t>generally </w:t>
      </w:r>
      <w:r>
        <w:rPr>
          <w:spacing w:val="-2"/>
          <w:w w:val="105"/>
          <w:sz w:val="21"/>
        </w:rPr>
        <w:t>ranged</w:t>
      </w:r>
      <w:r>
        <w:rPr>
          <w:spacing w:val="4"/>
          <w:w w:val="105"/>
          <w:sz w:val="21"/>
        </w:rPr>
        <w:t> </w:t>
      </w:r>
      <w:r>
        <w:rPr>
          <w:spacing w:val="-3"/>
          <w:w w:val="105"/>
          <w:sz w:val="21"/>
        </w:rPr>
        <w:t>from</w:t>
      </w:r>
    </w:p>
    <w:p>
      <w:pPr>
        <w:pStyle w:val="BodyText"/>
        <w:spacing w:before="4"/>
        <w:ind w:left="2381"/>
      </w:pPr>
      <w:r>
        <w:rPr>
          <w:w w:val="105"/>
        </w:rPr>
        <w:t>$80,000</w:t>
      </w:r>
      <w:r>
        <w:rPr>
          <w:w w:val="105"/>
          <w:position w:val="7"/>
          <w:sz w:val="12"/>
        </w:rPr>
        <w:t>20 </w:t>
      </w:r>
      <w:r>
        <w:rPr>
          <w:w w:val="105"/>
        </w:rPr>
        <w:t>to $150,000.</w:t>
      </w:r>
      <w:r>
        <w:rPr>
          <w:w w:val="105"/>
          <w:position w:val="7"/>
          <w:sz w:val="12"/>
        </w:rPr>
        <w:t>21 </w:t>
      </w:r>
      <w:r>
        <w:rPr>
          <w:w w:val="105"/>
        </w:rPr>
        <w:t>The Law Institute of Victoria preferred retaining a figure of</w:t>
      </w:r>
    </w:p>
    <w:p>
      <w:pPr>
        <w:pStyle w:val="BodyText"/>
        <w:spacing w:before="3"/>
        <w:ind w:left="2381"/>
        <w:rPr>
          <w:sz w:val="12"/>
        </w:rPr>
      </w:pPr>
      <w:r>
        <w:rPr>
          <w:w w:val="110"/>
        </w:rPr>
        <w:t>$50,000.</w:t>
      </w:r>
      <w:r>
        <w:rPr>
          <w:w w:val="110"/>
          <w:position w:val="7"/>
          <w:sz w:val="12"/>
        </w:rPr>
        <w:t>22</w:t>
      </w:r>
    </w:p>
    <w:p>
      <w:pPr>
        <w:pStyle w:val="BodyText"/>
        <w:rPr>
          <w:sz w:val="27"/>
        </w:rPr>
      </w:pPr>
    </w:p>
    <w:p>
      <w:pPr>
        <w:pStyle w:val="Heading6"/>
      </w:pPr>
      <w:r>
        <w:rPr>
          <w:w w:val="125"/>
        </w:rPr>
        <w:t>Indexation of figure</w:t>
      </w:r>
    </w:p>
    <w:p>
      <w:pPr>
        <w:pStyle w:val="ListParagraph"/>
        <w:numPr>
          <w:ilvl w:val="1"/>
          <w:numId w:val="22"/>
        </w:numPr>
        <w:tabs>
          <w:tab w:pos="2381" w:val="left" w:leader="none"/>
          <w:tab w:pos="2382" w:val="left" w:leader="none"/>
        </w:tabs>
        <w:spacing w:line="242" w:lineRule="auto" w:before="151" w:after="0"/>
        <w:ind w:left="2381" w:right="1725" w:hanging="794"/>
        <w:jc w:val="left"/>
        <w:rPr>
          <w:sz w:val="21"/>
        </w:rPr>
      </w:pPr>
      <w:r>
        <w:rPr>
          <w:sz w:val="21"/>
        </w:rPr>
        <w:t>It is </w:t>
      </w:r>
      <w:r>
        <w:rPr>
          <w:spacing w:val="-3"/>
          <w:sz w:val="21"/>
        </w:rPr>
        <w:t>reasonable to </w:t>
      </w:r>
      <w:r>
        <w:rPr>
          <w:sz w:val="21"/>
        </w:rPr>
        <w:t>assume </w:t>
      </w:r>
      <w:r>
        <w:rPr>
          <w:spacing w:val="-3"/>
          <w:sz w:val="21"/>
        </w:rPr>
        <w:t>that,  </w:t>
      </w:r>
      <w:r>
        <w:rPr>
          <w:sz w:val="21"/>
        </w:rPr>
        <w:t>in setting this </w:t>
      </w:r>
      <w:r>
        <w:rPr>
          <w:spacing w:val="-3"/>
          <w:sz w:val="21"/>
        </w:rPr>
        <w:t>limit,</w:t>
      </w:r>
      <w:r>
        <w:rPr>
          <w:spacing w:val="41"/>
          <w:sz w:val="21"/>
        </w:rPr>
        <w:t> </w:t>
      </w:r>
      <w:r>
        <w:rPr>
          <w:sz w:val="21"/>
        </w:rPr>
        <w:t>the </w:t>
      </w:r>
      <w:r>
        <w:rPr>
          <w:spacing w:val="-3"/>
          <w:sz w:val="21"/>
        </w:rPr>
        <w:t>legislature  </w:t>
      </w:r>
      <w:r>
        <w:rPr>
          <w:sz w:val="21"/>
        </w:rPr>
        <w:t>judged estates under the $25,000/$50,000 </w:t>
      </w:r>
      <w:r>
        <w:rPr>
          <w:spacing w:val="-3"/>
          <w:sz w:val="21"/>
        </w:rPr>
        <w:t>limit to </w:t>
      </w:r>
      <w:r>
        <w:rPr>
          <w:sz w:val="21"/>
        </w:rPr>
        <w:t>be those in which </w:t>
      </w:r>
      <w:r>
        <w:rPr>
          <w:spacing w:val="-2"/>
          <w:sz w:val="21"/>
        </w:rPr>
        <w:t>distribution </w:t>
      </w:r>
      <w:r>
        <w:rPr>
          <w:sz w:val="21"/>
        </w:rPr>
        <w:t>of assets would be </w:t>
      </w:r>
      <w:r>
        <w:rPr>
          <w:spacing w:val="-3"/>
          <w:sz w:val="21"/>
        </w:rPr>
        <w:t>relatively simple, </w:t>
      </w:r>
      <w:r>
        <w:rPr>
          <w:sz w:val="21"/>
        </w:rPr>
        <w:t>and legal fees disproportionately </w:t>
      </w:r>
      <w:r>
        <w:rPr>
          <w:spacing w:val="-3"/>
          <w:sz w:val="21"/>
        </w:rPr>
        <w:t>onerous.</w:t>
      </w:r>
    </w:p>
    <w:p>
      <w:pPr>
        <w:pStyle w:val="ListParagraph"/>
        <w:numPr>
          <w:ilvl w:val="1"/>
          <w:numId w:val="22"/>
        </w:numPr>
        <w:tabs>
          <w:tab w:pos="2381" w:val="left" w:leader="none"/>
          <w:tab w:pos="2382" w:val="left" w:leader="none"/>
        </w:tabs>
        <w:spacing w:line="242" w:lineRule="auto" w:before="124" w:after="0"/>
        <w:ind w:left="2381" w:right="2063" w:hanging="794"/>
        <w:jc w:val="left"/>
        <w:rPr>
          <w:sz w:val="21"/>
        </w:rPr>
      </w:pPr>
      <w:r>
        <w:rPr>
          <w:sz w:val="21"/>
        </w:rPr>
        <w:t>Estates </w:t>
      </w:r>
      <w:r>
        <w:rPr>
          <w:spacing w:val="-3"/>
          <w:sz w:val="21"/>
        </w:rPr>
        <w:t>are  </w:t>
      </w:r>
      <w:r>
        <w:rPr>
          <w:sz w:val="21"/>
        </w:rPr>
        <w:t>certainly getting </w:t>
      </w:r>
      <w:r>
        <w:rPr>
          <w:spacing w:val="-4"/>
          <w:sz w:val="21"/>
        </w:rPr>
        <w:t>larger,  </w:t>
      </w:r>
      <w:r>
        <w:rPr>
          <w:sz w:val="21"/>
        </w:rPr>
        <w:t>while the defining </w:t>
      </w:r>
      <w:r>
        <w:rPr>
          <w:spacing w:val="-2"/>
          <w:sz w:val="21"/>
        </w:rPr>
        <w:t>figure  </w:t>
      </w:r>
      <w:r>
        <w:rPr>
          <w:spacing w:val="-3"/>
          <w:sz w:val="21"/>
        </w:rPr>
        <w:t>remains  </w:t>
      </w:r>
      <w:r>
        <w:rPr>
          <w:sz w:val="21"/>
        </w:rPr>
        <w:t>static. $50,000  in </w:t>
      </w:r>
      <w:r>
        <w:rPr>
          <w:spacing w:val="-5"/>
          <w:sz w:val="21"/>
        </w:rPr>
        <w:t>1995 </w:t>
      </w:r>
      <w:r>
        <w:rPr>
          <w:spacing w:val="-3"/>
          <w:sz w:val="21"/>
        </w:rPr>
        <w:t>terms </w:t>
      </w:r>
      <w:r>
        <w:rPr>
          <w:sz w:val="21"/>
        </w:rPr>
        <w:t>is equal </w:t>
      </w:r>
      <w:r>
        <w:rPr>
          <w:spacing w:val="-3"/>
          <w:sz w:val="21"/>
        </w:rPr>
        <w:t>to approximately </w:t>
      </w:r>
      <w:r>
        <w:rPr>
          <w:spacing w:val="-10"/>
          <w:sz w:val="21"/>
        </w:rPr>
        <w:t>$77,711.54 </w:t>
      </w:r>
      <w:r>
        <w:rPr>
          <w:sz w:val="21"/>
        </w:rPr>
        <w:t>in </w:t>
      </w:r>
      <w:r>
        <w:rPr>
          <w:spacing w:val="-9"/>
          <w:sz w:val="21"/>
        </w:rPr>
        <w:t>2012 </w:t>
      </w:r>
      <w:r>
        <w:rPr>
          <w:sz w:val="21"/>
        </w:rPr>
        <w:t>terms.</w:t>
      </w:r>
      <w:r>
        <w:rPr>
          <w:position w:val="7"/>
          <w:sz w:val="12"/>
        </w:rPr>
        <w:t>23 </w:t>
      </w:r>
      <w:r>
        <w:rPr>
          <w:sz w:val="21"/>
        </w:rPr>
        <w:t>Estates</w:t>
      </w:r>
      <w:r>
        <w:rPr>
          <w:spacing w:val="12"/>
          <w:sz w:val="21"/>
        </w:rPr>
        <w:t> </w:t>
      </w:r>
      <w:r>
        <w:rPr>
          <w:spacing w:val="-3"/>
          <w:sz w:val="21"/>
        </w:rPr>
        <w:t>valued </w:t>
      </w:r>
      <w:r>
        <w:rPr>
          <w:sz w:val="21"/>
        </w:rPr>
        <w:t>at</w:t>
      </w:r>
    </w:p>
    <w:p>
      <w:pPr>
        <w:pStyle w:val="BodyText"/>
        <w:spacing w:line="242" w:lineRule="auto" w:before="2"/>
        <w:ind w:left="2381" w:right="1959"/>
      </w:pPr>
      <w:r>
        <w:rPr>
          <w:w w:val="105"/>
        </w:rPr>
        <w:t>$50,000 in 2012 represent those that were valued at $32,170 in 1995. The disparity between the $50,000 limit in the Act and the real size of ‘small’ estates will continue to grow, and the service will be available to a diminishing number of estates.</w:t>
      </w:r>
    </w:p>
    <w:p>
      <w:pPr>
        <w:pStyle w:val="ListParagraph"/>
        <w:numPr>
          <w:ilvl w:val="1"/>
          <w:numId w:val="22"/>
        </w:numPr>
        <w:tabs>
          <w:tab w:pos="2381" w:val="left" w:leader="none"/>
          <w:tab w:pos="2382" w:val="left" w:leader="none"/>
        </w:tabs>
        <w:spacing w:line="242" w:lineRule="auto" w:before="123" w:after="0"/>
        <w:ind w:left="2381" w:right="1759" w:hanging="794"/>
        <w:jc w:val="left"/>
        <w:rPr>
          <w:sz w:val="21"/>
        </w:rPr>
      </w:pPr>
      <w:r>
        <w:rPr>
          <w:sz w:val="21"/>
        </w:rPr>
        <w:t>In order </w:t>
      </w:r>
      <w:r>
        <w:rPr>
          <w:spacing w:val="-3"/>
          <w:sz w:val="21"/>
        </w:rPr>
        <w:t>to maintain </w:t>
      </w:r>
      <w:r>
        <w:rPr>
          <w:sz w:val="21"/>
        </w:rPr>
        <w:t>an </w:t>
      </w:r>
      <w:r>
        <w:rPr>
          <w:spacing w:val="-3"/>
          <w:sz w:val="21"/>
        </w:rPr>
        <w:t>appropriate </w:t>
      </w:r>
      <w:r>
        <w:rPr>
          <w:spacing w:val="-2"/>
          <w:sz w:val="21"/>
        </w:rPr>
        <w:t>figure </w:t>
      </w:r>
      <w:r>
        <w:rPr>
          <w:sz w:val="21"/>
        </w:rPr>
        <w:t>over </w:t>
      </w:r>
      <w:r>
        <w:rPr>
          <w:spacing w:val="-3"/>
          <w:sz w:val="21"/>
        </w:rPr>
        <w:t>time, </w:t>
      </w:r>
      <w:r>
        <w:rPr>
          <w:sz w:val="21"/>
        </w:rPr>
        <w:t>it was suggested </w:t>
      </w:r>
      <w:r>
        <w:rPr>
          <w:spacing w:val="-3"/>
          <w:sz w:val="21"/>
        </w:rPr>
        <w:t>that any </w:t>
      </w:r>
      <w:r>
        <w:rPr>
          <w:sz w:val="21"/>
        </w:rPr>
        <w:t>revised </w:t>
      </w:r>
      <w:r>
        <w:rPr>
          <w:spacing w:val="-2"/>
          <w:sz w:val="21"/>
        </w:rPr>
        <w:t>figure </w:t>
      </w:r>
      <w:r>
        <w:rPr>
          <w:sz w:val="21"/>
        </w:rPr>
        <w:t>be indexed </w:t>
      </w:r>
      <w:r>
        <w:rPr>
          <w:spacing w:val="-3"/>
          <w:sz w:val="21"/>
        </w:rPr>
        <w:t>to </w:t>
      </w:r>
      <w:r>
        <w:rPr>
          <w:sz w:val="21"/>
        </w:rPr>
        <w:t>reflect </w:t>
      </w:r>
      <w:r>
        <w:rPr>
          <w:spacing w:val="-3"/>
          <w:sz w:val="21"/>
        </w:rPr>
        <w:t>changes </w:t>
      </w:r>
      <w:r>
        <w:rPr>
          <w:sz w:val="21"/>
        </w:rPr>
        <w:t>in the </w:t>
      </w:r>
      <w:r>
        <w:rPr>
          <w:spacing w:val="-4"/>
          <w:sz w:val="21"/>
        </w:rPr>
        <w:t>Consumer </w:t>
      </w:r>
      <w:r>
        <w:rPr>
          <w:sz w:val="21"/>
        </w:rPr>
        <w:t>Price Index (CPI), </w:t>
      </w:r>
      <w:r>
        <w:rPr>
          <w:spacing w:val="-3"/>
          <w:sz w:val="21"/>
        </w:rPr>
        <w:t>to ensure that </w:t>
      </w:r>
      <w:r>
        <w:rPr>
          <w:sz w:val="21"/>
        </w:rPr>
        <w:t>its utility</w:t>
      </w:r>
      <w:r>
        <w:rPr>
          <w:spacing w:val="12"/>
          <w:sz w:val="21"/>
        </w:rPr>
        <w:t> </w:t>
      </w:r>
      <w:r>
        <w:rPr>
          <w:sz w:val="21"/>
        </w:rPr>
        <w:t>is</w:t>
      </w:r>
      <w:r>
        <w:rPr>
          <w:spacing w:val="13"/>
          <w:sz w:val="21"/>
        </w:rPr>
        <w:t> </w:t>
      </w:r>
      <w:r>
        <w:rPr>
          <w:spacing w:val="-2"/>
          <w:sz w:val="21"/>
        </w:rPr>
        <w:t>not</w:t>
      </w:r>
      <w:r>
        <w:rPr>
          <w:spacing w:val="13"/>
          <w:sz w:val="21"/>
        </w:rPr>
        <w:t> </w:t>
      </w:r>
      <w:r>
        <w:rPr>
          <w:sz w:val="21"/>
        </w:rPr>
        <w:t>lost</w:t>
      </w:r>
      <w:r>
        <w:rPr>
          <w:spacing w:val="13"/>
          <w:sz w:val="21"/>
        </w:rPr>
        <w:t> </w:t>
      </w:r>
      <w:r>
        <w:rPr>
          <w:sz w:val="21"/>
        </w:rPr>
        <w:t>over</w:t>
      </w:r>
      <w:r>
        <w:rPr>
          <w:spacing w:val="12"/>
          <w:sz w:val="21"/>
        </w:rPr>
        <w:t> </w:t>
      </w:r>
      <w:r>
        <w:rPr>
          <w:spacing w:val="-3"/>
          <w:sz w:val="21"/>
        </w:rPr>
        <w:t>time,</w:t>
      </w:r>
      <w:r>
        <w:rPr>
          <w:spacing w:val="13"/>
          <w:sz w:val="21"/>
        </w:rPr>
        <w:t> </w:t>
      </w:r>
      <w:r>
        <w:rPr>
          <w:sz w:val="21"/>
        </w:rPr>
        <w:t>and</w:t>
      </w:r>
      <w:r>
        <w:rPr>
          <w:spacing w:val="13"/>
          <w:sz w:val="21"/>
        </w:rPr>
        <w:t> </w:t>
      </w:r>
      <w:r>
        <w:rPr>
          <w:spacing w:val="-3"/>
          <w:sz w:val="21"/>
        </w:rPr>
        <w:t>that</w:t>
      </w:r>
      <w:r>
        <w:rPr>
          <w:spacing w:val="13"/>
          <w:sz w:val="21"/>
        </w:rPr>
        <w:t> </w:t>
      </w:r>
      <w:r>
        <w:rPr>
          <w:sz w:val="21"/>
        </w:rPr>
        <w:t>an</w:t>
      </w:r>
      <w:r>
        <w:rPr>
          <w:spacing w:val="12"/>
          <w:sz w:val="21"/>
        </w:rPr>
        <w:t> </w:t>
      </w:r>
      <w:r>
        <w:rPr>
          <w:spacing w:val="-3"/>
          <w:sz w:val="21"/>
        </w:rPr>
        <w:t>appropriate</w:t>
      </w:r>
      <w:r>
        <w:rPr>
          <w:spacing w:val="13"/>
          <w:sz w:val="21"/>
        </w:rPr>
        <w:t> </w:t>
      </w:r>
      <w:r>
        <w:rPr>
          <w:spacing w:val="-3"/>
          <w:sz w:val="21"/>
        </w:rPr>
        <w:t>range</w:t>
      </w:r>
      <w:r>
        <w:rPr>
          <w:spacing w:val="13"/>
          <w:sz w:val="21"/>
        </w:rPr>
        <w:t> </w:t>
      </w:r>
      <w:r>
        <w:rPr>
          <w:sz w:val="21"/>
        </w:rPr>
        <w:t>of</w:t>
      </w:r>
      <w:r>
        <w:rPr>
          <w:spacing w:val="13"/>
          <w:sz w:val="21"/>
        </w:rPr>
        <w:t> </w:t>
      </w:r>
      <w:r>
        <w:rPr>
          <w:sz w:val="21"/>
        </w:rPr>
        <w:t>estates</w:t>
      </w:r>
      <w:r>
        <w:rPr>
          <w:spacing w:val="12"/>
          <w:sz w:val="21"/>
        </w:rPr>
        <w:t> </w:t>
      </w:r>
      <w:r>
        <w:rPr>
          <w:spacing w:val="-2"/>
          <w:sz w:val="21"/>
        </w:rPr>
        <w:t>has</w:t>
      </w:r>
      <w:r>
        <w:rPr>
          <w:spacing w:val="13"/>
          <w:sz w:val="21"/>
        </w:rPr>
        <w:t> </w:t>
      </w:r>
      <w:r>
        <w:rPr>
          <w:spacing w:val="-2"/>
          <w:sz w:val="21"/>
        </w:rPr>
        <w:t>access</w:t>
      </w:r>
      <w:r>
        <w:rPr>
          <w:spacing w:val="13"/>
          <w:sz w:val="21"/>
        </w:rPr>
        <w:t> </w:t>
      </w:r>
      <w:r>
        <w:rPr>
          <w:spacing w:val="-3"/>
          <w:sz w:val="21"/>
        </w:rPr>
        <w:t>to</w:t>
      </w:r>
    </w:p>
    <w:p>
      <w:pPr>
        <w:pStyle w:val="BodyText"/>
        <w:spacing w:before="3"/>
        <w:ind w:left="2381"/>
        <w:rPr>
          <w:sz w:val="12"/>
        </w:rPr>
      </w:pPr>
      <w:r>
        <w:rPr>
          <w:w w:val="105"/>
        </w:rPr>
        <w:t>the service.</w:t>
      </w:r>
      <w:r>
        <w:rPr>
          <w:w w:val="105"/>
          <w:position w:val="7"/>
          <w:sz w:val="12"/>
        </w:rPr>
        <w:t>24</w:t>
      </w:r>
    </w:p>
    <w:p>
      <w:pPr>
        <w:pStyle w:val="BodyText"/>
        <w:rPr>
          <w:sz w:val="20"/>
        </w:rPr>
      </w:pPr>
    </w:p>
    <w:p>
      <w:pPr>
        <w:pStyle w:val="BodyText"/>
      </w:pPr>
      <w:r>
        <w:rPr/>
        <w:pict>
          <v:line style="position:absolute;mso-position-horizontal-relative:page;mso-position-vertical-relative:paragraph;z-index:11264;mso-wrap-distance-left:0;mso-wrap-distance-right:0" from="79.370102pt,15.270899pt" to="515.905102pt,15.270899pt" stroked="true" strokeweight="1pt" strokecolor="#f9ceca">
            <v:stroke dashstyle="solid"/>
            <w10:wrap type="topAndBottom"/>
          </v:line>
        </w:pict>
      </w:r>
    </w:p>
    <w:p>
      <w:pPr>
        <w:pStyle w:val="BodyText"/>
        <w:spacing w:before="8"/>
        <w:rPr>
          <w:sz w:val="5"/>
        </w:rPr>
      </w:pPr>
    </w:p>
    <w:p>
      <w:pPr>
        <w:spacing w:after="0"/>
        <w:rPr>
          <w:sz w:val="5"/>
        </w:rPr>
        <w:sectPr>
          <w:pgSz w:w="11910" w:h="16840"/>
          <w:pgMar w:header="805" w:footer="0" w:top="1360" w:bottom="280" w:left="0" w:right="0"/>
        </w:sectPr>
      </w:pPr>
    </w:p>
    <w:p>
      <w:pPr>
        <w:pStyle w:val="ListParagraph"/>
        <w:numPr>
          <w:ilvl w:val="0"/>
          <w:numId w:val="140"/>
        </w:numPr>
        <w:tabs>
          <w:tab w:pos="2381" w:val="left" w:leader="none"/>
          <w:tab w:pos="2382" w:val="left" w:leader="none"/>
        </w:tabs>
        <w:spacing w:line="240" w:lineRule="auto" w:before="48" w:after="0"/>
        <w:ind w:left="2381" w:right="0" w:hanging="794"/>
        <w:jc w:val="left"/>
        <w:rPr>
          <w:sz w:val="13"/>
        </w:rPr>
      </w:pPr>
      <w:r>
        <w:rPr>
          <w:sz w:val="13"/>
        </w:rPr>
        <w:t>Submissions</w:t>
      </w:r>
      <w:r>
        <w:rPr>
          <w:spacing w:val="9"/>
          <w:sz w:val="13"/>
        </w:rPr>
        <w:t> </w:t>
      </w:r>
      <w:r>
        <w:rPr>
          <w:sz w:val="13"/>
        </w:rPr>
        <w:t>8</w:t>
      </w:r>
      <w:r>
        <w:rPr>
          <w:spacing w:val="10"/>
          <w:sz w:val="13"/>
        </w:rPr>
        <w:t> </w:t>
      </w:r>
      <w:r>
        <w:rPr>
          <w:sz w:val="13"/>
        </w:rPr>
        <w:t>(Patricia</w:t>
      </w:r>
      <w:r>
        <w:rPr>
          <w:spacing w:val="9"/>
          <w:sz w:val="13"/>
        </w:rPr>
        <w:t> </w:t>
      </w:r>
      <w:r>
        <w:rPr>
          <w:sz w:val="13"/>
        </w:rPr>
        <w:t>Strachan);</w:t>
      </w:r>
      <w:r>
        <w:rPr>
          <w:spacing w:val="10"/>
          <w:sz w:val="13"/>
        </w:rPr>
        <w:t> </w:t>
      </w:r>
      <w:r>
        <w:rPr>
          <w:sz w:val="13"/>
        </w:rPr>
        <w:t>32</w:t>
      </w:r>
      <w:r>
        <w:rPr>
          <w:spacing w:val="9"/>
          <w:sz w:val="13"/>
        </w:rPr>
        <w:t> </w:t>
      </w:r>
      <w:r>
        <w:rPr>
          <w:spacing w:val="2"/>
          <w:sz w:val="13"/>
        </w:rPr>
        <w:t>(The</w:t>
      </w:r>
      <w:r>
        <w:rPr>
          <w:spacing w:val="10"/>
          <w:sz w:val="13"/>
        </w:rPr>
        <w:t> </w:t>
      </w:r>
      <w:r>
        <w:rPr>
          <w:sz w:val="13"/>
        </w:rPr>
        <w:t>Institute</w:t>
      </w:r>
      <w:r>
        <w:rPr>
          <w:spacing w:val="10"/>
          <w:sz w:val="13"/>
        </w:rPr>
        <w:t> </w:t>
      </w:r>
      <w:r>
        <w:rPr>
          <w:sz w:val="13"/>
        </w:rPr>
        <w:t>of</w:t>
      </w:r>
      <w:r>
        <w:rPr>
          <w:spacing w:val="9"/>
          <w:sz w:val="13"/>
        </w:rPr>
        <w:t> </w:t>
      </w:r>
      <w:r>
        <w:rPr>
          <w:sz w:val="13"/>
        </w:rPr>
        <w:t>Legal</w:t>
      </w:r>
      <w:r>
        <w:rPr>
          <w:spacing w:val="10"/>
          <w:sz w:val="13"/>
        </w:rPr>
        <w:t> </w:t>
      </w:r>
      <w:r>
        <w:rPr>
          <w:sz w:val="13"/>
        </w:rPr>
        <w:t>Executives);</w:t>
      </w:r>
      <w:r>
        <w:rPr>
          <w:spacing w:val="9"/>
          <w:sz w:val="13"/>
        </w:rPr>
        <w:t> </w:t>
      </w:r>
      <w:r>
        <w:rPr>
          <w:spacing w:val="2"/>
          <w:sz w:val="13"/>
        </w:rPr>
        <w:t>30b</w:t>
      </w:r>
      <w:r>
        <w:rPr>
          <w:spacing w:val="10"/>
          <w:sz w:val="13"/>
        </w:rPr>
        <w:t> </w:t>
      </w:r>
      <w:r>
        <w:rPr>
          <w:spacing w:val="3"/>
          <w:sz w:val="13"/>
        </w:rPr>
        <w:t>(Law</w:t>
      </w:r>
      <w:r>
        <w:rPr>
          <w:spacing w:val="9"/>
          <w:sz w:val="13"/>
        </w:rPr>
        <w:t> </w:t>
      </w:r>
      <w:r>
        <w:rPr>
          <w:sz w:val="13"/>
        </w:rPr>
        <w:t>Institute</w:t>
      </w:r>
      <w:r>
        <w:rPr>
          <w:spacing w:val="10"/>
          <w:sz w:val="13"/>
        </w:rPr>
        <w:t> </w:t>
      </w:r>
      <w:r>
        <w:rPr>
          <w:sz w:val="13"/>
        </w:rPr>
        <w:t>of</w:t>
      </w:r>
      <w:r>
        <w:rPr>
          <w:spacing w:val="10"/>
          <w:sz w:val="13"/>
        </w:rPr>
        <w:t> </w:t>
      </w:r>
      <w:r>
        <w:rPr>
          <w:spacing w:val="2"/>
          <w:sz w:val="13"/>
        </w:rPr>
        <w:t>Victoria).</w:t>
      </w:r>
    </w:p>
    <w:p>
      <w:pPr>
        <w:pStyle w:val="ListParagraph"/>
        <w:numPr>
          <w:ilvl w:val="0"/>
          <w:numId w:val="140"/>
        </w:numPr>
        <w:tabs>
          <w:tab w:pos="2381" w:val="left" w:leader="none"/>
          <w:tab w:pos="2382" w:val="left" w:leader="none"/>
        </w:tabs>
        <w:spacing w:line="240" w:lineRule="auto" w:before="1" w:after="0"/>
        <w:ind w:left="2381" w:right="0" w:hanging="794"/>
        <w:jc w:val="left"/>
        <w:rPr>
          <w:sz w:val="13"/>
        </w:rPr>
      </w:pPr>
      <w:r>
        <w:rPr>
          <w:w w:val="105"/>
          <w:sz w:val="13"/>
        </w:rPr>
        <w:t>Submission 33 (State Trustees</w:t>
      </w:r>
      <w:r>
        <w:rPr>
          <w:spacing w:val="18"/>
          <w:w w:val="105"/>
          <w:sz w:val="13"/>
        </w:rPr>
        <w:t> </w:t>
      </w:r>
      <w:r>
        <w:rPr>
          <w:w w:val="105"/>
          <w:sz w:val="13"/>
        </w:rPr>
        <w:t>Limited).</w:t>
      </w:r>
    </w:p>
    <w:p>
      <w:pPr>
        <w:pStyle w:val="ListParagraph"/>
        <w:numPr>
          <w:ilvl w:val="0"/>
          <w:numId w:val="140"/>
        </w:numPr>
        <w:tabs>
          <w:tab w:pos="2381" w:val="left" w:leader="none"/>
          <w:tab w:pos="2382" w:val="left" w:leader="none"/>
        </w:tabs>
        <w:spacing w:line="240" w:lineRule="auto" w:before="2" w:after="0"/>
        <w:ind w:left="2381" w:right="0" w:hanging="794"/>
        <w:jc w:val="left"/>
        <w:rPr>
          <w:sz w:val="13"/>
        </w:rPr>
      </w:pPr>
      <w:r>
        <w:rPr>
          <w:w w:val="105"/>
          <w:sz w:val="13"/>
        </w:rPr>
        <w:t>In</w:t>
      </w:r>
      <w:r>
        <w:rPr>
          <w:spacing w:val="3"/>
          <w:w w:val="105"/>
          <w:sz w:val="13"/>
        </w:rPr>
        <w:t> </w:t>
      </w:r>
      <w:r>
        <w:rPr>
          <w:w w:val="105"/>
          <w:sz w:val="13"/>
        </w:rPr>
        <w:t>this</w:t>
      </w:r>
      <w:r>
        <w:rPr>
          <w:spacing w:val="3"/>
          <w:w w:val="105"/>
          <w:sz w:val="13"/>
        </w:rPr>
        <w:t> </w:t>
      </w:r>
      <w:r>
        <w:rPr>
          <w:w w:val="105"/>
          <w:sz w:val="13"/>
        </w:rPr>
        <w:t>context,</w:t>
      </w:r>
      <w:r>
        <w:rPr>
          <w:spacing w:val="4"/>
          <w:w w:val="105"/>
          <w:sz w:val="13"/>
        </w:rPr>
        <w:t> </w:t>
      </w:r>
      <w:r>
        <w:rPr>
          <w:w w:val="105"/>
          <w:sz w:val="13"/>
        </w:rPr>
        <w:t>for</w:t>
      </w:r>
      <w:r>
        <w:rPr>
          <w:spacing w:val="3"/>
          <w:w w:val="105"/>
          <w:sz w:val="13"/>
        </w:rPr>
        <w:t> </w:t>
      </w:r>
      <w:r>
        <w:rPr>
          <w:w w:val="105"/>
          <w:sz w:val="13"/>
        </w:rPr>
        <w:t>the</w:t>
      </w:r>
      <w:r>
        <w:rPr>
          <w:spacing w:val="3"/>
          <w:w w:val="105"/>
          <w:sz w:val="13"/>
        </w:rPr>
        <w:t> </w:t>
      </w:r>
      <w:r>
        <w:rPr>
          <w:w w:val="105"/>
          <w:sz w:val="13"/>
        </w:rPr>
        <w:t>purposes</w:t>
      </w:r>
      <w:r>
        <w:rPr>
          <w:spacing w:val="4"/>
          <w:w w:val="105"/>
          <w:sz w:val="13"/>
        </w:rPr>
        <w:t> </w:t>
      </w:r>
      <w:r>
        <w:rPr>
          <w:w w:val="105"/>
          <w:sz w:val="13"/>
        </w:rPr>
        <w:t>of</w:t>
      </w:r>
      <w:r>
        <w:rPr>
          <w:spacing w:val="3"/>
          <w:w w:val="105"/>
          <w:sz w:val="13"/>
        </w:rPr>
        <w:t> </w:t>
      </w:r>
      <w:r>
        <w:rPr>
          <w:w w:val="105"/>
          <w:sz w:val="13"/>
        </w:rPr>
        <w:t>assistance</w:t>
      </w:r>
      <w:r>
        <w:rPr>
          <w:spacing w:val="3"/>
          <w:w w:val="105"/>
          <w:sz w:val="13"/>
        </w:rPr>
        <w:t> </w:t>
      </w:r>
      <w:r>
        <w:rPr>
          <w:w w:val="105"/>
          <w:sz w:val="13"/>
        </w:rPr>
        <w:t>from</w:t>
      </w:r>
      <w:r>
        <w:rPr>
          <w:spacing w:val="4"/>
          <w:w w:val="105"/>
          <w:sz w:val="13"/>
        </w:rPr>
        <w:t> </w:t>
      </w:r>
      <w:r>
        <w:rPr>
          <w:w w:val="105"/>
          <w:sz w:val="13"/>
        </w:rPr>
        <w:t>the</w:t>
      </w:r>
      <w:r>
        <w:rPr>
          <w:spacing w:val="3"/>
          <w:w w:val="105"/>
          <w:sz w:val="13"/>
        </w:rPr>
        <w:t> </w:t>
      </w:r>
      <w:r>
        <w:rPr>
          <w:w w:val="105"/>
          <w:sz w:val="13"/>
        </w:rPr>
        <w:t>small</w:t>
      </w:r>
      <w:r>
        <w:rPr>
          <w:spacing w:val="4"/>
          <w:w w:val="105"/>
          <w:sz w:val="13"/>
        </w:rPr>
        <w:t> </w:t>
      </w:r>
      <w:r>
        <w:rPr>
          <w:w w:val="105"/>
          <w:sz w:val="13"/>
        </w:rPr>
        <w:t>estates</w:t>
      </w:r>
      <w:r>
        <w:rPr>
          <w:spacing w:val="3"/>
          <w:w w:val="105"/>
          <w:sz w:val="13"/>
        </w:rPr>
        <w:t> </w:t>
      </w:r>
      <w:r>
        <w:rPr>
          <w:spacing w:val="2"/>
          <w:w w:val="105"/>
          <w:sz w:val="13"/>
        </w:rPr>
        <w:t>service:</w:t>
      </w:r>
      <w:r>
        <w:rPr>
          <w:spacing w:val="3"/>
          <w:w w:val="105"/>
          <w:sz w:val="13"/>
        </w:rPr>
        <w:t> </w:t>
      </w:r>
      <w:r>
        <w:rPr>
          <w:i/>
          <w:w w:val="105"/>
          <w:sz w:val="13"/>
        </w:rPr>
        <w:t>Administration</w:t>
      </w:r>
      <w:r>
        <w:rPr>
          <w:i/>
          <w:spacing w:val="3"/>
          <w:w w:val="105"/>
          <w:sz w:val="13"/>
        </w:rPr>
        <w:t> </w:t>
      </w:r>
      <w:r>
        <w:rPr>
          <w:i/>
          <w:w w:val="105"/>
          <w:sz w:val="13"/>
        </w:rPr>
        <w:t>and</w:t>
      </w:r>
      <w:r>
        <w:rPr>
          <w:i/>
          <w:spacing w:val="2"/>
          <w:w w:val="105"/>
          <w:sz w:val="13"/>
        </w:rPr>
        <w:t> </w:t>
      </w:r>
      <w:r>
        <w:rPr>
          <w:i/>
          <w:w w:val="105"/>
          <w:sz w:val="13"/>
        </w:rPr>
        <w:t>Probate</w:t>
      </w:r>
      <w:r>
        <w:rPr>
          <w:i/>
          <w:spacing w:val="2"/>
          <w:w w:val="105"/>
          <w:sz w:val="13"/>
        </w:rPr>
        <w:t> </w:t>
      </w:r>
      <w:r>
        <w:rPr>
          <w:i/>
          <w:w w:val="105"/>
          <w:sz w:val="13"/>
        </w:rPr>
        <w:t>Act</w:t>
      </w:r>
      <w:r>
        <w:rPr>
          <w:i/>
          <w:spacing w:val="3"/>
          <w:w w:val="105"/>
          <w:sz w:val="13"/>
        </w:rPr>
        <w:t> </w:t>
      </w:r>
      <w:r>
        <w:rPr>
          <w:i/>
          <w:w w:val="105"/>
          <w:sz w:val="13"/>
        </w:rPr>
        <w:t>1958</w:t>
      </w:r>
      <w:r>
        <w:rPr>
          <w:i/>
          <w:spacing w:val="3"/>
          <w:w w:val="105"/>
          <w:sz w:val="13"/>
        </w:rPr>
        <w:t> </w:t>
      </w:r>
      <w:r>
        <w:rPr>
          <w:spacing w:val="2"/>
          <w:w w:val="105"/>
          <w:sz w:val="13"/>
        </w:rPr>
        <w:t>(Vic)</w:t>
      </w:r>
      <w:r>
        <w:rPr>
          <w:spacing w:val="4"/>
          <w:w w:val="105"/>
          <w:sz w:val="13"/>
        </w:rPr>
        <w:t> </w:t>
      </w:r>
      <w:r>
        <w:rPr>
          <w:w w:val="105"/>
          <w:sz w:val="13"/>
        </w:rPr>
        <w:t>s</w:t>
      </w:r>
      <w:r>
        <w:rPr>
          <w:spacing w:val="3"/>
          <w:w w:val="105"/>
          <w:sz w:val="13"/>
        </w:rPr>
        <w:t> </w:t>
      </w:r>
      <w:r>
        <w:rPr>
          <w:w w:val="105"/>
          <w:sz w:val="13"/>
        </w:rPr>
        <w:t>71(1).</w:t>
      </w:r>
    </w:p>
    <w:p>
      <w:pPr>
        <w:pStyle w:val="ListParagraph"/>
        <w:numPr>
          <w:ilvl w:val="0"/>
          <w:numId w:val="140"/>
        </w:numPr>
        <w:tabs>
          <w:tab w:pos="2381" w:val="left" w:leader="none"/>
          <w:tab w:pos="2382" w:val="left" w:leader="none"/>
        </w:tabs>
        <w:spacing w:line="240" w:lineRule="auto" w:before="1" w:after="0"/>
        <w:ind w:left="2381" w:right="0" w:hanging="794"/>
        <w:jc w:val="left"/>
        <w:rPr>
          <w:sz w:val="13"/>
        </w:rPr>
      </w:pPr>
      <w:r>
        <w:rPr>
          <w:w w:val="105"/>
          <w:sz w:val="13"/>
        </w:rPr>
        <w:t>Victorian Law Reform Commission, above n 6,</w:t>
      </w:r>
      <w:r>
        <w:rPr>
          <w:spacing w:val="2"/>
          <w:w w:val="105"/>
          <w:sz w:val="13"/>
        </w:rPr>
        <w:t> </w:t>
      </w:r>
      <w:r>
        <w:rPr>
          <w:w w:val="105"/>
          <w:sz w:val="13"/>
        </w:rPr>
        <w:t>20.</w:t>
      </w:r>
    </w:p>
    <w:p>
      <w:pPr>
        <w:pStyle w:val="ListParagraph"/>
        <w:numPr>
          <w:ilvl w:val="0"/>
          <w:numId w:val="140"/>
        </w:numPr>
        <w:tabs>
          <w:tab w:pos="2381" w:val="left" w:leader="none"/>
          <w:tab w:pos="2382" w:val="left" w:leader="none"/>
        </w:tabs>
        <w:spacing w:line="240" w:lineRule="auto" w:before="1" w:after="0"/>
        <w:ind w:left="2381" w:right="299" w:hanging="794"/>
        <w:jc w:val="left"/>
        <w:rPr>
          <w:sz w:val="13"/>
        </w:rPr>
      </w:pPr>
      <w:r>
        <w:rPr>
          <w:w w:val="105"/>
          <w:sz w:val="13"/>
        </w:rPr>
        <w:t>Submissions 8 (Patricia Strachan); </w:t>
      </w:r>
      <w:r>
        <w:rPr>
          <w:spacing w:val="-3"/>
          <w:w w:val="105"/>
          <w:sz w:val="13"/>
        </w:rPr>
        <w:t>14 </w:t>
      </w:r>
      <w:r>
        <w:rPr>
          <w:w w:val="105"/>
          <w:sz w:val="13"/>
        </w:rPr>
        <w:t>(Commercial Bar </w:t>
      </w:r>
      <w:r>
        <w:rPr>
          <w:spacing w:val="2"/>
          <w:w w:val="105"/>
          <w:sz w:val="13"/>
        </w:rPr>
        <w:t>Association); </w:t>
      </w:r>
      <w:r>
        <w:rPr>
          <w:spacing w:val="-3"/>
          <w:w w:val="105"/>
          <w:sz w:val="13"/>
        </w:rPr>
        <w:t>19 </w:t>
      </w:r>
      <w:r>
        <w:rPr>
          <w:spacing w:val="2"/>
          <w:w w:val="105"/>
          <w:sz w:val="13"/>
        </w:rPr>
        <w:t>(Association </w:t>
      </w:r>
      <w:r>
        <w:rPr>
          <w:w w:val="105"/>
          <w:sz w:val="13"/>
        </w:rPr>
        <w:t>of Independent Retirees); 25 </w:t>
      </w:r>
      <w:r>
        <w:rPr>
          <w:spacing w:val="2"/>
          <w:w w:val="105"/>
          <w:sz w:val="13"/>
        </w:rPr>
        <w:t>(Moores </w:t>
      </w:r>
      <w:r>
        <w:rPr>
          <w:w w:val="105"/>
          <w:sz w:val="13"/>
        </w:rPr>
        <w:t>Legal); 33 (State Trustees</w:t>
      </w:r>
      <w:r>
        <w:rPr>
          <w:spacing w:val="13"/>
          <w:w w:val="105"/>
          <w:sz w:val="13"/>
        </w:rPr>
        <w:t> </w:t>
      </w:r>
      <w:r>
        <w:rPr>
          <w:w w:val="105"/>
          <w:sz w:val="13"/>
        </w:rPr>
        <w:t>Limited).</w:t>
      </w:r>
    </w:p>
    <w:p>
      <w:pPr>
        <w:pStyle w:val="ListParagraph"/>
        <w:numPr>
          <w:ilvl w:val="0"/>
          <w:numId w:val="140"/>
        </w:numPr>
        <w:tabs>
          <w:tab w:pos="2381" w:val="left" w:leader="none"/>
          <w:tab w:pos="2382" w:val="left" w:leader="none"/>
        </w:tabs>
        <w:spacing w:line="240" w:lineRule="auto" w:before="3" w:after="0"/>
        <w:ind w:left="2381" w:right="0" w:hanging="794"/>
        <w:jc w:val="left"/>
        <w:rPr>
          <w:sz w:val="13"/>
        </w:rPr>
      </w:pPr>
      <w:r>
        <w:rPr>
          <w:w w:val="105"/>
          <w:sz w:val="13"/>
        </w:rPr>
        <w:t>Submission 25 </w:t>
      </w:r>
      <w:r>
        <w:rPr>
          <w:spacing w:val="2"/>
          <w:w w:val="105"/>
          <w:sz w:val="13"/>
        </w:rPr>
        <w:t>(Moores</w:t>
      </w:r>
      <w:r>
        <w:rPr>
          <w:spacing w:val="13"/>
          <w:w w:val="105"/>
          <w:sz w:val="13"/>
        </w:rPr>
        <w:t> </w:t>
      </w:r>
      <w:r>
        <w:rPr>
          <w:w w:val="105"/>
          <w:sz w:val="13"/>
        </w:rPr>
        <w:t>Legal).</w:t>
      </w:r>
    </w:p>
    <w:p>
      <w:pPr>
        <w:pStyle w:val="ListParagraph"/>
        <w:numPr>
          <w:ilvl w:val="0"/>
          <w:numId w:val="140"/>
        </w:numPr>
        <w:tabs>
          <w:tab w:pos="2381" w:val="left" w:leader="none"/>
          <w:tab w:pos="2382" w:val="left" w:leader="none"/>
        </w:tabs>
        <w:spacing w:line="240" w:lineRule="auto" w:before="1" w:after="0"/>
        <w:ind w:left="2381" w:right="0" w:hanging="794"/>
        <w:jc w:val="left"/>
        <w:rPr>
          <w:sz w:val="13"/>
        </w:rPr>
      </w:pPr>
      <w:r>
        <w:rPr>
          <w:w w:val="105"/>
          <w:sz w:val="13"/>
        </w:rPr>
        <w:t>Submission 33 (State Trustees</w:t>
      </w:r>
      <w:r>
        <w:rPr>
          <w:spacing w:val="18"/>
          <w:w w:val="105"/>
          <w:sz w:val="13"/>
        </w:rPr>
        <w:t> </w:t>
      </w:r>
      <w:r>
        <w:rPr>
          <w:w w:val="105"/>
          <w:sz w:val="13"/>
        </w:rPr>
        <w:t>Limited).</w:t>
      </w:r>
    </w:p>
    <w:p>
      <w:pPr>
        <w:pStyle w:val="ListParagraph"/>
        <w:numPr>
          <w:ilvl w:val="0"/>
          <w:numId w:val="140"/>
        </w:numPr>
        <w:tabs>
          <w:tab w:pos="2381" w:val="left" w:leader="none"/>
          <w:tab w:pos="2382" w:val="left" w:leader="none"/>
        </w:tabs>
        <w:spacing w:line="240" w:lineRule="auto" w:before="2" w:after="0"/>
        <w:ind w:left="2381" w:right="0" w:hanging="794"/>
        <w:jc w:val="left"/>
        <w:rPr>
          <w:sz w:val="13"/>
        </w:rPr>
      </w:pPr>
      <w:r>
        <w:rPr>
          <w:w w:val="105"/>
          <w:sz w:val="13"/>
        </w:rPr>
        <w:t>Submission 8 (Patricia</w:t>
      </w:r>
      <w:r>
        <w:rPr>
          <w:spacing w:val="13"/>
          <w:w w:val="105"/>
          <w:sz w:val="13"/>
        </w:rPr>
        <w:t> </w:t>
      </w:r>
      <w:r>
        <w:rPr>
          <w:w w:val="105"/>
          <w:sz w:val="13"/>
        </w:rPr>
        <w:t>Strachan).</w:t>
      </w:r>
    </w:p>
    <w:p>
      <w:pPr>
        <w:pStyle w:val="ListParagraph"/>
        <w:numPr>
          <w:ilvl w:val="0"/>
          <w:numId w:val="140"/>
        </w:numPr>
        <w:tabs>
          <w:tab w:pos="2381" w:val="left" w:leader="none"/>
          <w:tab w:pos="2382" w:val="left" w:leader="none"/>
        </w:tabs>
        <w:spacing w:line="240" w:lineRule="auto" w:before="1" w:after="0"/>
        <w:ind w:left="2381" w:right="0" w:hanging="794"/>
        <w:jc w:val="left"/>
        <w:rPr>
          <w:sz w:val="13"/>
        </w:rPr>
      </w:pPr>
      <w:r>
        <w:rPr>
          <w:w w:val="105"/>
          <w:sz w:val="13"/>
        </w:rPr>
        <w:t>Submission </w:t>
      </w:r>
      <w:r>
        <w:rPr>
          <w:spacing w:val="-3"/>
          <w:w w:val="105"/>
          <w:sz w:val="13"/>
        </w:rPr>
        <w:t>14 </w:t>
      </w:r>
      <w:r>
        <w:rPr>
          <w:w w:val="105"/>
          <w:sz w:val="13"/>
        </w:rPr>
        <w:t>(Commercial Bar</w:t>
      </w:r>
      <w:r>
        <w:rPr>
          <w:spacing w:val="21"/>
          <w:w w:val="105"/>
          <w:sz w:val="13"/>
        </w:rPr>
        <w:t> </w:t>
      </w:r>
      <w:r>
        <w:rPr>
          <w:spacing w:val="2"/>
          <w:w w:val="105"/>
          <w:sz w:val="13"/>
        </w:rPr>
        <w:t>Association).</w:t>
      </w:r>
    </w:p>
    <w:p>
      <w:pPr>
        <w:pStyle w:val="ListParagraph"/>
        <w:numPr>
          <w:ilvl w:val="0"/>
          <w:numId w:val="140"/>
        </w:numPr>
        <w:tabs>
          <w:tab w:pos="2381" w:val="left" w:leader="none"/>
          <w:tab w:pos="2382" w:val="left" w:leader="none"/>
        </w:tabs>
        <w:spacing w:line="240" w:lineRule="auto" w:before="1" w:after="0"/>
        <w:ind w:left="2381" w:right="0" w:hanging="794"/>
        <w:jc w:val="left"/>
        <w:rPr>
          <w:sz w:val="13"/>
        </w:rPr>
      </w:pPr>
      <w:r>
        <w:rPr>
          <w:w w:val="105"/>
          <w:sz w:val="13"/>
        </w:rPr>
        <w:t>Submission </w:t>
      </w:r>
      <w:r>
        <w:rPr>
          <w:spacing w:val="2"/>
          <w:w w:val="105"/>
          <w:sz w:val="13"/>
        </w:rPr>
        <w:t>30b </w:t>
      </w:r>
      <w:r>
        <w:rPr>
          <w:spacing w:val="3"/>
          <w:w w:val="105"/>
          <w:sz w:val="13"/>
        </w:rPr>
        <w:t>(Law </w:t>
      </w:r>
      <w:r>
        <w:rPr>
          <w:w w:val="105"/>
          <w:sz w:val="13"/>
        </w:rPr>
        <w:t>Institute of</w:t>
      </w:r>
      <w:r>
        <w:rPr>
          <w:spacing w:val="17"/>
          <w:w w:val="105"/>
          <w:sz w:val="13"/>
        </w:rPr>
        <w:t> </w:t>
      </w:r>
      <w:r>
        <w:rPr>
          <w:spacing w:val="2"/>
          <w:w w:val="105"/>
          <w:sz w:val="13"/>
        </w:rPr>
        <w:t>Victoria).</w:t>
      </w:r>
    </w:p>
    <w:p>
      <w:pPr>
        <w:pStyle w:val="ListParagraph"/>
        <w:numPr>
          <w:ilvl w:val="0"/>
          <w:numId w:val="140"/>
        </w:numPr>
        <w:tabs>
          <w:tab w:pos="2381" w:val="left" w:leader="none"/>
          <w:tab w:pos="2382" w:val="left" w:leader="none"/>
        </w:tabs>
        <w:spacing w:line="240" w:lineRule="auto" w:before="2" w:after="0"/>
        <w:ind w:left="2381" w:right="0" w:hanging="794"/>
        <w:jc w:val="left"/>
        <w:rPr>
          <w:sz w:val="13"/>
        </w:rPr>
      </w:pPr>
      <w:r>
        <w:rPr>
          <w:w w:val="105"/>
          <w:sz w:val="13"/>
        </w:rPr>
        <w:t>Calculated to </w:t>
      </w:r>
      <w:r>
        <w:rPr>
          <w:spacing w:val="-3"/>
          <w:w w:val="105"/>
          <w:sz w:val="13"/>
        </w:rPr>
        <w:t>2012, </w:t>
      </w:r>
      <w:r>
        <w:rPr>
          <w:w w:val="105"/>
          <w:sz w:val="13"/>
        </w:rPr>
        <w:t>as </w:t>
      </w:r>
      <w:r>
        <w:rPr>
          <w:spacing w:val="-3"/>
          <w:w w:val="105"/>
          <w:sz w:val="13"/>
        </w:rPr>
        <w:t>2013 </w:t>
      </w:r>
      <w:r>
        <w:rPr>
          <w:w w:val="105"/>
          <w:sz w:val="13"/>
        </w:rPr>
        <w:t>figures were not yet available through the Reserve Bank of Australia inflation calculator at time of writing. The inflation calculator is intended as a guide, and does not reflect official Reserve Bank calculations. Reserve Bank of Australia,   </w:t>
      </w:r>
      <w:r>
        <w:rPr>
          <w:i/>
          <w:w w:val="105"/>
          <w:sz w:val="13"/>
        </w:rPr>
        <w:t>Inflation Calculator,</w:t>
      </w:r>
      <w:r>
        <w:rPr>
          <w:i/>
          <w:spacing w:val="7"/>
          <w:w w:val="105"/>
          <w:sz w:val="13"/>
        </w:rPr>
        <w:t> </w:t>
      </w:r>
      <w:r>
        <w:rPr>
          <w:w w:val="105"/>
          <w:sz w:val="13"/>
        </w:rPr>
        <w:t>&lt;</w:t>
      </w:r>
      <w:hyperlink r:id="rId111">
        <w:r>
          <w:rPr>
            <w:w w:val="105"/>
            <w:sz w:val="13"/>
          </w:rPr>
          <w:t>http://www.rba.gov.au/calculator/annualDecimal.html</w:t>
        </w:r>
      </w:hyperlink>
      <w:r>
        <w:rPr>
          <w:w w:val="105"/>
          <w:sz w:val="13"/>
        </w:rPr>
        <w:t>&gt;.</w:t>
      </w:r>
    </w:p>
    <w:p>
      <w:pPr>
        <w:pStyle w:val="ListParagraph"/>
        <w:numPr>
          <w:ilvl w:val="0"/>
          <w:numId w:val="140"/>
        </w:numPr>
        <w:tabs>
          <w:tab w:pos="2381" w:val="left" w:leader="none"/>
          <w:tab w:pos="2382" w:val="left" w:leader="none"/>
        </w:tabs>
        <w:spacing w:line="240" w:lineRule="auto" w:before="4" w:after="0"/>
        <w:ind w:left="2381" w:right="0" w:hanging="794"/>
        <w:jc w:val="left"/>
        <w:rPr>
          <w:sz w:val="13"/>
        </w:rPr>
      </w:pPr>
      <w:r>
        <w:rPr>
          <w:w w:val="105"/>
          <w:sz w:val="13"/>
        </w:rPr>
        <w:t>Submission 25 </w:t>
      </w:r>
      <w:r>
        <w:rPr>
          <w:spacing w:val="2"/>
          <w:w w:val="105"/>
          <w:sz w:val="13"/>
        </w:rPr>
        <w:t>(Moores</w:t>
      </w:r>
      <w:r>
        <w:rPr>
          <w:spacing w:val="13"/>
          <w:w w:val="105"/>
          <w:sz w:val="13"/>
        </w:rPr>
        <w:t> </w:t>
      </w:r>
      <w:r>
        <w:rPr>
          <w:w w:val="105"/>
          <w:sz w:val="13"/>
        </w:rPr>
        <w:t>Legal).</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0"/>
        <w:rPr>
          <w:sz w:val="38"/>
        </w:rPr>
      </w:pPr>
    </w:p>
    <w:p>
      <w:pPr>
        <w:spacing w:before="0"/>
        <w:ind w:left="895" w:right="0" w:firstLine="0"/>
        <w:jc w:val="left"/>
        <w:rPr>
          <w:b/>
          <w:sz w:val="24"/>
        </w:rPr>
      </w:pPr>
      <w:r>
        <w:rPr>
          <w:b/>
          <w:color w:val="EC5A4F"/>
          <w:w w:val="110"/>
          <w:sz w:val="24"/>
        </w:rPr>
        <w:t>191</w:t>
      </w:r>
    </w:p>
    <w:p>
      <w:pPr>
        <w:spacing w:after="0"/>
        <w:jc w:val="left"/>
        <w:rPr>
          <w:sz w:val="24"/>
        </w:rPr>
        <w:sectPr>
          <w:type w:val="continuous"/>
          <w:pgSz w:w="11910" w:h="16840"/>
          <w:pgMar w:top="920" w:bottom="280" w:left="0" w:right="0"/>
          <w:cols w:num="2" w:equalWidth="0">
            <w:col w:w="9983" w:space="40"/>
            <w:col w:w="1887"/>
          </w:cols>
        </w:sectPr>
      </w:pPr>
    </w:p>
    <w:p>
      <w:pPr>
        <w:pStyle w:val="BodyText"/>
        <w:spacing w:before="9"/>
        <w:rPr>
          <w:b/>
          <w:sz w:val="22"/>
        </w:rPr>
      </w:pPr>
    </w:p>
    <w:p>
      <w:pPr>
        <w:pStyle w:val="ListParagraph"/>
        <w:numPr>
          <w:ilvl w:val="1"/>
          <w:numId w:val="22"/>
        </w:numPr>
        <w:tabs>
          <w:tab w:pos="2380" w:val="left" w:leader="none"/>
          <w:tab w:pos="2381" w:val="left" w:leader="none"/>
        </w:tabs>
        <w:spacing w:line="242" w:lineRule="auto" w:before="92" w:after="0"/>
        <w:ind w:left="2381" w:right="1724" w:hanging="794"/>
        <w:jc w:val="left"/>
        <w:rPr>
          <w:sz w:val="21"/>
        </w:rPr>
      </w:pPr>
      <w:r>
        <w:rPr>
          <w:sz w:val="21"/>
        </w:rPr>
        <w:t>As recommended in </w:t>
      </w:r>
      <w:r>
        <w:rPr>
          <w:spacing w:val="-3"/>
          <w:sz w:val="21"/>
        </w:rPr>
        <w:t>relation to </w:t>
      </w:r>
      <w:r>
        <w:rPr>
          <w:sz w:val="21"/>
        </w:rPr>
        <w:t>the indexation of a deceased </w:t>
      </w:r>
      <w:r>
        <w:rPr>
          <w:spacing w:val="-3"/>
          <w:sz w:val="21"/>
        </w:rPr>
        <w:t>person’s </w:t>
      </w:r>
      <w:r>
        <w:rPr>
          <w:sz w:val="21"/>
        </w:rPr>
        <w:t>partner’s statutory legacy on </w:t>
      </w:r>
      <w:r>
        <w:rPr>
          <w:spacing w:val="-3"/>
          <w:sz w:val="21"/>
        </w:rPr>
        <w:t>intestacy,</w:t>
      </w:r>
      <w:r>
        <w:rPr>
          <w:spacing w:val="-3"/>
          <w:position w:val="7"/>
          <w:sz w:val="12"/>
        </w:rPr>
        <w:t>25 </w:t>
      </w:r>
      <w:r>
        <w:rPr>
          <w:sz w:val="21"/>
        </w:rPr>
        <w:t>the </w:t>
      </w:r>
      <w:r>
        <w:rPr>
          <w:spacing w:val="-3"/>
          <w:sz w:val="21"/>
        </w:rPr>
        <w:t>CPI </w:t>
      </w:r>
      <w:r>
        <w:rPr>
          <w:sz w:val="21"/>
        </w:rPr>
        <w:t>number used should  be  the  All  </w:t>
      </w:r>
      <w:r>
        <w:rPr>
          <w:spacing w:val="-3"/>
          <w:sz w:val="21"/>
        </w:rPr>
        <w:t>Groups  </w:t>
      </w:r>
      <w:r>
        <w:rPr>
          <w:spacing w:val="-4"/>
          <w:sz w:val="21"/>
        </w:rPr>
        <w:t>Consumer  </w:t>
      </w:r>
      <w:r>
        <w:rPr>
          <w:sz w:val="21"/>
        </w:rPr>
        <w:t>Price Index </w:t>
      </w:r>
      <w:r>
        <w:rPr>
          <w:spacing w:val="-4"/>
          <w:sz w:val="21"/>
        </w:rPr>
        <w:t>number.</w:t>
      </w:r>
      <w:r>
        <w:rPr>
          <w:spacing w:val="-4"/>
          <w:position w:val="7"/>
          <w:sz w:val="12"/>
        </w:rPr>
        <w:t>26 </w:t>
      </w:r>
      <w:r>
        <w:rPr>
          <w:sz w:val="21"/>
        </w:rPr>
        <w:t>This number is indexed </w:t>
      </w:r>
      <w:r>
        <w:rPr>
          <w:spacing w:val="-3"/>
          <w:sz w:val="21"/>
        </w:rPr>
        <w:t>quarterly.  </w:t>
      </w:r>
      <w:r>
        <w:rPr>
          <w:sz w:val="21"/>
        </w:rPr>
        <w:t>The  </w:t>
      </w:r>
      <w:r>
        <w:rPr>
          <w:spacing w:val="-3"/>
          <w:sz w:val="21"/>
        </w:rPr>
        <w:t>Commission  </w:t>
      </w:r>
      <w:r>
        <w:rPr>
          <w:sz w:val="21"/>
        </w:rPr>
        <w:t>considers  </w:t>
      </w:r>
      <w:r>
        <w:rPr>
          <w:spacing w:val="-3"/>
          <w:sz w:val="21"/>
        </w:rPr>
        <w:t>that  </w:t>
      </w:r>
      <w:r>
        <w:rPr>
          <w:sz w:val="21"/>
        </w:rPr>
        <w:t>it would be of assistance </w:t>
      </w:r>
      <w:r>
        <w:rPr>
          <w:spacing w:val="-3"/>
          <w:sz w:val="21"/>
        </w:rPr>
        <w:t>to </w:t>
      </w:r>
      <w:r>
        <w:rPr>
          <w:sz w:val="21"/>
        </w:rPr>
        <w:t>personal representatives if the quarterly CPI-adjusted </w:t>
      </w:r>
      <w:r>
        <w:rPr>
          <w:spacing w:val="-3"/>
          <w:sz w:val="21"/>
        </w:rPr>
        <w:t>eligibility threshold for </w:t>
      </w:r>
      <w:r>
        <w:rPr>
          <w:sz w:val="21"/>
        </w:rPr>
        <w:t>estates able </w:t>
      </w:r>
      <w:r>
        <w:rPr>
          <w:spacing w:val="-3"/>
          <w:sz w:val="21"/>
        </w:rPr>
        <w:t>to </w:t>
      </w:r>
      <w:r>
        <w:rPr>
          <w:spacing w:val="-2"/>
          <w:sz w:val="21"/>
        </w:rPr>
        <w:t>access </w:t>
      </w:r>
      <w:r>
        <w:rPr>
          <w:sz w:val="21"/>
        </w:rPr>
        <w:t>the </w:t>
      </w:r>
      <w:r>
        <w:rPr>
          <w:spacing w:val="-3"/>
          <w:sz w:val="21"/>
        </w:rPr>
        <w:t>small </w:t>
      </w:r>
      <w:r>
        <w:rPr>
          <w:sz w:val="21"/>
        </w:rPr>
        <w:t>estates service </w:t>
      </w:r>
      <w:r>
        <w:rPr>
          <w:spacing w:val="-3"/>
          <w:sz w:val="21"/>
        </w:rPr>
        <w:t>were published  </w:t>
      </w:r>
      <w:r>
        <w:rPr>
          <w:sz w:val="21"/>
        </w:rPr>
        <w:t>on the </w:t>
      </w:r>
      <w:r>
        <w:rPr>
          <w:spacing w:val="-3"/>
          <w:sz w:val="21"/>
        </w:rPr>
        <w:t>Supreme Court </w:t>
      </w:r>
      <w:r>
        <w:rPr>
          <w:sz w:val="21"/>
        </w:rPr>
        <w:t>of </w:t>
      </w:r>
      <w:r>
        <w:rPr>
          <w:spacing w:val="-3"/>
          <w:sz w:val="21"/>
        </w:rPr>
        <w:t>Victoria’s</w:t>
      </w:r>
      <w:r>
        <w:rPr>
          <w:spacing w:val="-1"/>
          <w:sz w:val="21"/>
        </w:rPr>
        <w:t> </w:t>
      </w:r>
      <w:r>
        <w:rPr>
          <w:spacing w:val="-3"/>
          <w:sz w:val="21"/>
        </w:rPr>
        <w:t>website.</w:t>
      </w:r>
    </w:p>
    <w:p>
      <w:pPr>
        <w:pStyle w:val="BodyText"/>
        <w:spacing w:before="2"/>
        <w:rPr>
          <w:sz w:val="27"/>
        </w:rPr>
      </w:pPr>
    </w:p>
    <w:p>
      <w:pPr>
        <w:pStyle w:val="Heading6"/>
      </w:pPr>
      <w:r>
        <w:rPr>
          <w:w w:val="120"/>
        </w:rPr>
        <w:t>Abolishing the dual threshold</w:t>
      </w:r>
    </w:p>
    <w:p>
      <w:pPr>
        <w:pStyle w:val="ListParagraph"/>
        <w:numPr>
          <w:ilvl w:val="1"/>
          <w:numId w:val="22"/>
        </w:numPr>
        <w:tabs>
          <w:tab w:pos="2381" w:val="left" w:leader="none"/>
          <w:tab w:pos="2382" w:val="left" w:leader="none"/>
        </w:tabs>
        <w:spacing w:line="242" w:lineRule="auto" w:before="151" w:after="0"/>
        <w:ind w:left="2381" w:right="2145" w:hanging="794"/>
        <w:jc w:val="left"/>
        <w:rPr>
          <w:sz w:val="12"/>
        </w:rPr>
      </w:pPr>
      <w:r>
        <w:rPr>
          <w:w w:val="105"/>
          <w:sz w:val="21"/>
        </w:rPr>
        <w:t>The </w:t>
      </w:r>
      <w:r>
        <w:rPr>
          <w:spacing w:val="-3"/>
          <w:w w:val="105"/>
          <w:sz w:val="21"/>
        </w:rPr>
        <w:t>consultation </w:t>
      </w:r>
      <w:r>
        <w:rPr>
          <w:w w:val="105"/>
          <w:sz w:val="21"/>
        </w:rPr>
        <w:t>paper on </w:t>
      </w:r>
      <w:r>
        <w:rPr>
          <w:spacing w:val="-3"/>
          <w:w w:val="105"/>
          <w:sz w:val="21"/>
        </w:rPr>
        <w:t>small </w:t>
      </w:r>
      <w:r>
        <w:rPr>
          <w:w w:val="105"/>
          <w:sz w:val="21"/>
        </w:rPr>
        <w:t>estates also </w:t>
      </w:r>
      <w:r>
        <w:rPr>
          <w:spacing w:val="-3"/>
          <w:w w:val="105"/>
          <w:sz w:val="21"/>
        </w:rPr>
        <w:t>asked </w:t>
      </w:r>
      <w:r>
        <w:rPr>
          <w:w w:val="105"/>
          <w:sz w:val="21"/>
        </w:rPr>
        <w:t>whether the </w:t>
      </w:r>
      <w:r>
        <w:rPr>
          <w:spacing w:val="-3"/>
          <w:w w:val="105"/>
          <w:sz w:val="21"/>
        </w:rPr>
        <w:t>dual threshold </w:t>
      </w:r>
      <w:r>
        <w:rPr>
          <w:w w:val="105"/>
          <w:sz w:val="21"/>
        </w:rPr>
        <w:t>of figures—up </w:t>
      </w:r>
      <w:r>
        <w:rPr>
          <w:spacing w:val="-3"/>
          <w:w w:val="105"/>
          <w:sz w:val="21"/>
        </w:rPr>
        <w:t>to </w:t>
      </w:r>
      <w:r>
        <w:rPr>
          <w:w w:val="105"/>
          <w:sz w:val="21"/>
        </w:rPr>
        <w:t>$25,000 </w:t>
      </w:r>
      <w:r>
        <w:rPr>
          <w:spacing w:val="-3"/>
          <w:w w:val="105"/>
          <w:sz w:val="21"/>
        </w:rPr>
        <w:t>generally </w:t>
      </w:r>
      <w:r>
        <w:rPr>
          <w:w w:val="105"/>
          <w:sz w:val="21"/>
        </w:rPr>
        <w:t>or up </w:t>
      </w:r>
      <w:r>
        <w:rPr>
          <w:spacing w:val="-3"/>
          <w:w w:val="105"/>
          <w:sz w:val="21"/>
        </w:rPr>
        <w:t>to </w:t>
      </w:r>
      <w:r>
        <w:rPr>
          <w:w w:val="105"/>
          <w:sz w:val="21"/>
        </w:rPr>
        <w:t>$50,000 where the only beneficiaries </w:t>
      </w:r>
      <w:r>
        <w:rPr>
          <w:spacing w:val="-3"/>
          <w:w w:val="105"/>
          <w:sz w:val="21"/>
        </w:rPr>
        <w:t>are </w:t>
      </w:r>
      <w:r>
        <w:rPr>
          <w:w w:val="105"/>
          <w:sz w:val="21"/>
        </w:rPr>
        <w:t>the</w:t>
      </w:r>
      <w:r>
        <w:rPr>
          <w:spacing w:val="-15"/>
          <w:w w:val="105"/>
          <w:sz w:val="21"/>
        </w:rPr>
        <w:t> </w:t>
      </w:r>
      <w:r>
        <w:rPr>
          <w:w w:val="105"/>
          <w:sz w:val="21"/>
        </w:rPr>
        <w:t>child(ren),</w:t>
      </w:r>
      <w:r>
        <w:rPr>
          <w:spacing w:val="-14"/>
          <w:w w:val="105"/>
          <w:sz w:val="21"/>
        </w:rPr>
        <w:t> </w:t>
      </w:r>
      <w:r>
        <w:rPr>
          <w:w w:val="105"/>
          <w:sz w:val="21"/>
        </w:rPr>
        <w:t>partner</w:t>
      </w:r>
      <w:r>
        <w:rPr>
          <w:spacing w:val="-14"/>
          <w:w w:val="105"/>
          <w:sz w:val="21"/>
        </w:rPr>
        <w:t> </w:t>
      </w:r>
      <w:r>
        <w:rPr>
          <w:w w:val="105"/>
          <w:sz w:val="21"/>
        </w:rPr>
        <w:t>and/or</w:t>
      </w:r>
      <w:r>
        <w:rPr>
          <w:spacing w:val="-14"/>
          <w:w w:val="105"/>
          <w:sz w:val="21"/>
        </w:rPr>
        <w:t> </w:t>
      </w:r>
      <w:r>
        <w:rPr>
          <w:w w:val="105"/>
          <w:sz w:val="21"/>
        </w:rPr>
        <w:t>sole</w:t>
      </w:r>
      <w:r>
        <w:rPr>
          <w:spacing w:val="-14"/>
          <w:w w:val="105"/>
          <w:sz w:val="21"/>
        </w:rPr>
        <w:t> </w:t>
      </w:r>
      <w:r>
        <w:rPr>
          <w:w w:val="105"/>
          <w:sz w:val="21"/>
        </w:rPr>
        <w:t>surviving</w:t>
      </w:r>
      <w:r>
        <w:rPr>
          <w:spacing w:val="-15"/>
          <w:w w:val="105"/>
          <w:sz w:val="21"/>
        </w:rPr>
        <w:t> </w:t>
      </w:r>
      <w:r>
        <w:rPr>
          <w:spacing w:val="-3"/>
          <w:w w:val="105"/>
          <w:sz w:val="21"/>
        </w:rPr>
        <w:t>parent</w:t>
      </w:r>
      <w:r>
        <w:rPr>
          <w:spacing w:val="-14"/>
          <w:w w:val="105"/>
          <w:sz w:val="21"/>
        </w:rPr>
        <w:t> </w:t>
      </w:r>
      <w:r>
        <w:rPr>
          <w:w w:val="105"/>
          <w:sz w:val="21"/>
        </w:rPr>
        <w:t>of</w:t>
      </w:r>
      <w:r>
        <w:rPr>
          <w:spacing w:val="-14"/>
          <w:w w:val="105"/>
          <w:sz w:val="21"/>
        </w:rPr>
        <w:t> </w:t>
      </w:r>
      <w:r>
        <w:rPr>
          <w:w w:val="105"/>
          <w:sz w:val="21"/>
        </w:rPr>
        <w:t>the</w:t>
      </w:r>
      <w:r>
        <w:rPr>
          <w:spacing w:val="-14"/>
          <w:w w:val="105"/>
          <w:sz w:val="21"/>
        </w:rPr>
        <w:t> </w:t>
      </w:r>
      <w:r>
        <w:rPr>
          <w:w w:val="105"/>
          <w:sz w:val="21"/>
        </w:rPr>
        <w:t>deceased</w:t>
      </w:r>
      <w:r>
        <w:rPr>
          <w:spacing w:val="-14"/>
          <w:w w:val="105"/>
          <w:sz w:val="21"/>
        </w:rPr>
        <w:t> </w:t>
      </w:r>
      <w:r>
        <w:rPr>
          <w:w w:val="105"/>
          <w:sz w:val="21"/>
        </w:rPr>
        <w:t>person—should be</w:t>
      </w:r>
      <w:r>
        <w:rPr>
          <w:spacing w:val="5"/>
          <w:w w:val="105"/>
          <w:sz w:val="21"/>
        </w:rPr>
        <w:t> </w:t>
      </w:r>
      <w:r>
        <w:rPr>
          <w:spacing w:val="-3"/>
          <w:w w:val="105"/>
          <w:sz w:val="21"/>
        </w:rPr>
        <w:t>retained.</w:t>
      </w:r>
      <w:r>
        <w:rPr>
          <w:spacing w:val="-3"/>
          <w:w w:val="105"/>
          <w:position w:val="7"/>
          <w:sz w:val="12"/>
        </w:rPr>
        <w:t>27</w:t>
      </w:r>
    </w:p>
    <w:p>
      <w:pPr>
        <w:pStyle w:val="ListParagraph"/>
        <w:numPr>
          <w:ilvl w:val="1"/>
          <w:numId w:val="22"/>
        </w:numPr>
        <w:tabs>
          <w:tab w:pos="2381" w:val="left" w:leader="none"/>
          <w:tab w:pos="2382" w:val="left" w:leader="none"/>
        </w:tabs>
        <w:spacing w:line="242" w:lineRule="auto" w:before="125" w:after="0"/>
        <w:ind w:left="2381" w:right="1799" w:hanging="794"/>
        <w:jc w:val="left"/>
        <w:rPr>
          <w:sz w:val="21"/>
        </w:rPr>
      </w:pPr>
      <w:r>
        <w:rPr>
          <w:w w:val="105"/>
          <w:sz w:val="21"/>
        </w:rPr>
        <w:t>Although there was support in some </w:t>
      </w:r>
      <w:r>
        <w:rPr>
          <w:spacing w:val="-3"/>
          <w:w w:val="105"/>
          <w:sz w:val="21"/>
        </w:rPr>
        <w:t>submissions for </w:t>
      </w:r>
      <w:r>
        <w:rPr>
          <w:w w:val="105"/>
          <w:sz w:val="21"/>
        </w:rPr>
        <w:t>the </w:t>
      </w:r>
      <w:r>
        <w:rPr>
          <w:spacing w:val="-3"/>
          <w:w w:val="105"/>
          <w:sz w:val="21"/>
        </w:rPr>
        <w:t>concept </w:t>
      </w:r>
      <w:r>
        <w:rPr>
          <w:w w:val="105"/>
          <w:sz w:val="21"/>
        </w:rPr>
        <w:t>of </w:t>
      </w:r>
      <w:r>
        <w:rPr>
          <w:spacing w:val="-3"/>
          <w:w w:val="105"/>
          <w:sz w:val="21"/>
        </w:rPr>
        <w:t>differentiating </w:t>
      </w:r>
      <w:r>
        <w:rPr>
          <w:w w:val="105"/>
          <w:sz w:val="21"/>
        </w:rPr>
        <w:t>between</w:t>
      </w:r>
      <w:r>
        <w:rPr>
          <w:spacing w:val="-16"/>
          <w:w w:val="105"/>
          <w:sz w:val="21"/>
        </w:rPr>
        <w:t> </w:t>
      </w:r>
      <w:r>
        <w:rPr>
          <w:spacing w:val="-3"/>
          <w:w w:val="105"/>
          <w:sz w:val="21"/>
        </w:rPr>
        <w:t>family</w:t>
      </w:r>
      <w:r>
        <w:rPr>
          <w:spacing w:val="-16"/>
          <w:w w:val="105"/>
          <w:sz w:val="21"/>
        </w:rPr>
        <w:t> </w:t>
      </w:r>
      <w:r>
        <w:rPr>
          <w:w w:val="105"/>
          <w:sz w:val="21"/>
        </w:rPr>
        <w:t>member</w:t>
      </w:r>
      <w:r>
        <w:rPr>
          <w:spacing w:val="-15"/>
          <w:w w:val="105"/>
          <w:sz w:val="21"/>
        </w:rPr>
        <w:t> </w:t>
      </w:r>
      <w:r>
        <w:rPr>
          <w:w w:val="105"/>
          <w:sz w:val="21"/>
        </w:rPr>
        <w:t>beneficiaries</w:t>
      </w:r>
      <w:r>
        <w:rPr>
          <w:spacing w:val="-16"/>
          <w:w w:val="105"/>
          <w:sz w:val="21"/>
        </w:rPr>
        <w:t> </w:t>
      </w:r>
      <w:r>
        <w:rPr>
          <w:w w:val="105"/>
          <w:sz w:val="21"/>
        </w:rPr>
        <w:t>and</w:t>
      </w:r>
      <w:r>
        <w:rPr>
          <w:spacing w:val="-15"/>
          <w:w w:val="105"/>
          <w:sz w:val="21"/>
        </w:rPr>
        <w:t> </w:t>
      </w:r>
      <w:r>
        <w:rPr>
          <w:spacing w:val="-5"/>
          <w:w w:val="105"/>
          <w:sz w:val="21"/>
        </w:rPr>
        <w:t>other,</w:t>
      </w:r>
      <w:r>
        <w:rPr>
          <w:spacing w:val="-16"/>
          <w:w w:val="105"/>
          <w:sz w:val="21"/>
        </w:rPr>
        <w:t> </w:t>
      </w:r>
      <w:r>
        <w:rPr>
          <w:w w:val="105"/>
          <w:sz w:val="21"/>
        </w:rPr>
        <w:t>more</w:t>
      </w:r>
      <w:r>
        <w:rPr>
          <w:spacing w:val="-15"/>
          <w:w w:val="105"/>
          <w:sz w:val="21"/>
        </w:rPr>
        <w:t> </w:t>
      </w:r>
      <w:r>
        <w:rPr>
          <w:spacing w:val="-3"/>
          <w:w w:val="105"/>
          <w:sz w:val="21"/>
        </w:rPr>
        <w:t>remote</w:t>
      </w:r>
      <w:r>
        <w:rPr>
          <w:spacing w:val="-16"/>
          <w:w w:val="105"/>
          <w:sz w:val="21"/>
        </w:rPr>
        <w:t> </w:t>
      </w:r>
      <w:r>
        <w:rPr>
          <w:w w:val="105"/>
          <w:sz w:val="21"/>
        </w:rPr>
        <w:t>beneficiaries,</w:t>
      </w:r>
      <w:r>
        <w:rPr>
          <w:w w:val="105"/>
          <w:position w:val="7"/>
          <w:sz w:val="12"/>
        </w:rPr>
        <w:t>28</w:t>
      </w:r>
      <w:r>
        <w:rPr>
          <w:spacing w:val="6"/>
          <w:w w:val="105"/>
          <w:position w:val="7"/>
          <w:sz w:val="12"/>
        </w:rPr>
        <w:t> </w:t>
      </w:r>
      <w:r>
        <w:rPr>
          <w:w w:val="105"/>
          <w:sz w:val="21"/>
        </w:rPr>
        <w:t>there</w:t>
      </w:r>
      <w:r>
        <w:rPr>
          <w:spacing w:val="-15"/>
          <w:w w:val="105"/>
          <w:sz w:val="21"/>
        </w:rPr>
        <w:t> </w:t>
      </w:r>
      <w:r>
        <w:rPr>
          <w:spacing w:val="-3"/>
          <w:w w:val="105"/>
          <w:sz w:val="21"/>
        </w:rPr>
        <w:t>was </w:t>
      </w:r>
      <w:r>
        <w:rPr>
          <w:w w:val="105"/>
          <w:sz w:val="21"/>
        </w:rPr>
        <w:t>broader support </w:t>
      </w:r>
      <w:r>
        <w:rPr>
          <w:spacing w:val="-3"/>
          <w:w w:val="105"/>
          <w:sz w:val="21"/>
        </w:rPr>
        <w:t>for discarding </w:t>
      </w:r>
      <w:r>
        <w:rPr>
          <w:w w:val="105"/>
          <w:sz w:val="21"/>
        </w:rPr>
        <w:t>the </w:t>
      </w:r>
      <w:r>
        <w:rPr>
          <w:spacing w:val="-3"/>
          <w:w w:val="105"/>
          <w:sz w:val="21"/>
        </w:rPr>
        <w:t>dual threshold, including from </w:t>
      </w:r>
      <w:r>
        <w:rPr>
          <w:w w:val="105"/>
          <w:sz w:val="21"/>
        </w:rPr>
        <w:t>the</w:t>
      </w:r>
      <w:r>
        <w:rPr>
          <w:spacing w:val="37"/>
          <w:w w:val="105"/>
          <w:sz w:val="21"/>
        </w:rPr>
        <w:t> </w:t>
      </w:r>
      <w:r>
        <w:rPr>
          <w:spacing w:val="-3"/>
          <w:w w:val="105"/>
          <w:sz w:val="21"/>
        </w:rPr>
        <w:t>Registrar</w:t>
      </w:r>
    </w:p>
    <w:p>
      <w:pPr>
        <w:pStyle w:val="BodyText"/>
        <w:spacing w:before="3"/>
        <w:ind w:left="2381"/>
        <w:rPr>
          <w:sz w:val="12"/>
        </w:rPr>
      </w:pPr>
      <w:r>
        <w:rPr>
          <w:w w:val="105"/>
        </w:rPr>
        <w:t>of Probates.</w:t>
      </w:r>
      <w:r>
        <w:rPr>
          <w:w w:val="105"/>
          <w:position w:val="7"/>
          <w:sz w:val="12"/>
        </w:rPr>
        <w:t>29</w:t>
      </w:r>
    </w:p>
    <w:p>
      <w:pPr>
        <w:pStyle w:val="ListParagraph"/>
        <w:numPr>
          <w:ilvl w:val="1"/>
          <w:numId w:val="22"/>
        </w:numPr>
        <w:tabs>
          <w:tab w:pos="2381" w:val="left" w:leader="none"/>
          <w:tab w:pos="2382" w:val="left" w:leader="none"/>
        </w:tabs>
        <w:spacing w:line="242" w:lineRule="auto" w:before="124" w:after="0"/>
        <w:ind w:left="2381" w:right="1700" w:hanging="794"/>
        <w:jc w:val="left"/>
        <w:rPr>
          <w:sz w:val="21"/>
        </w:rPr>
      </w:pPr>
      <w:r>
        <w:rPr>
          <w:sz w:val="21"/>
        </w:rPr>
        <w:t>Victoria is the only jurisdiction with a </w:t>
      </w:r>
      <w:r>
        <w:rPr>
          <w:spacing w:val="-3"/>
          <w:sz w:val="21"/>
        </w:rPr>
        <w:t>dual threshold </w:t>
      </w:r>
      <w:r>
        <w:rPr>
          <w:sz w:val="21"/>
        </w:rPr>
        <w:t>of this type. In the interests of clarity and </w:t>
      </w:r>
      <w:r>
        <w:rPr>
          <w:spacing w:val="-3"/>
          <w:sz w:val="21"/>
        </w:rPr>
        <w:t>national consistency, </w:t>
      </w:r>
      <w:r>
        <w:rPr>
          <w:sz w:val="21"/>
        </w:rPr>
        <w:t>the </w:t>
      </w:r>
      <w:r>
        <w:rPr>
          <w:spacing w:val="-3"/>
          <w:sz w:val="21"/>
        </w:rPr>
        <w:t>Commission </w:t>
      </w:r>
      <w:r>
        <w:rPr>
          <w:sz w:val="21"/>
        </w:rPr>
        <w:t>believes </w:t>
      </w:r>
      <w:r>
        <w:rPr>
          <w:spacing w:val="-3"/>
          <w:sz w:val="21"/>
        </w:rPr>
        <w:t>that </w:t>
      </w:r>
      <w:r>
        <w:rPr>
          <w:sz w:val="21"/>
        </w:rPr>
        <w:t>the </w:t>
      </w:r>
      <w:r>
        <w:rPr>
          <w:spacing w:val="-3"/>
          <w:sz w:val="21"/>
        </w:rPr>
        <w:t>relevant amount  delineating small </w:t>
      </w:r>
      <w:r>
        <w:rPr>
          <w:sz w:val="21"/>
        </w:rPr>
        <w:t>estates should be a </w:t>
      </w:r>
      <w:r>
        <w:rPr>
          <w:spacing w:val="-3"/>
          <w:sz w:val="21"/>
        </w:rPr>
        <w:t>single</w:t>
      </w:r>
      <w:r>
        <w:rPr>
          <w:spacing w:val="12"/>
          <w:sz w:val="21"/>
        </w:rPr>
        <w:t> </w:t>
      </w:r>
      <w:r>
        <w:rPr>
          <w:spacing w:val="-3"/>
          <w:sz w:val="21"/>
        </w:rPr>
        <w:t>figure.</w:t>
      </w:r>
    </w:p>
    <w:p>
      <w:pPr>
        <w:pStyle w:val="BodyText"/>
        <w:spacing w:before="11"/>
        <w:rPr>
          <w:sz w:val="26"/>
        </w:rPr>
      </w:pPr>
    </w:p>
    <w:p>
      <w:pPr>
        <w:pStyle w:val="Heading6"/>
      </w:pPr>
      <w:r>
        <w:rPr>
          <w:w w:val="115"/>
        </w:rPr>
        <w:t>Impact on the Probate Office</w:t>
      </w:r>
    </w:p>
    <w:p>
      <w:pPr>
        <w:pStyle w:val="ListParagraph"/>
        <w:numPr>
          <w:ilvl w:val="1"/>
          <w:numId w:val="22"/>
        </w:numPr>
        <w:tabs>
          <w:tab w:pos="2380" w:val="left" w:leader="none"/>
          <w:tab w:pos="2381" w:val="left" w:leader="none"/>
        </w:tabs>
        <w:spacing w:line="242" w:lineRule="auto" w:before="151" w:after="0"/>
        <w:ind w:left="2381" w:right="1729" w:hanging="794"/>
        <w:jc w:val="left"/>
        <w:rPr>
          <w:sz w:val="21"/>
        </w:rPr>
      </w:pPr>
      <w:r>
        <w:rPr>
          <w:sz w:val="21"/>
        </w:rPr>
        <w:t>If the </w:t>
      </w:r>
      <w:r>
        <w:rPr>
          <w:spacing w:val="-3"/>
          <w:sz w:val="21"/>
        </w:rPr>
        <w:t>availability </w:t>
      </w:r>
      <w:r>
        <w:rPr>
          <w:sz w:val="21"/>
        </w:rPr>
        <w:t>of the service </w:t>
      </w:r>
      <w:r>
        <w:rPr>
          <w:spacing w:val="-3"/>
          <w:sz w:val="21"/>
        </w:rPr>
        <w:t>were to </w:t>
      </w:r>
      <w:r>
        <w:rPr>
          <w:sz w:val="21"/>
        </w:rPr>
        <w:t>be expanded, it is </w:t>
      </w:r>
      <w:r>
        <w:rPr>
          <w:spacing w:val="-4"/>
          <w:sz w:val="21"/>
        </w:rPr>
        <w:t>likely </w:t>
      </w:r>
      <w:r>
        <w:rPr>
          <w:spacing w:val="-3"/>
          <w:sz w:val="21"/>
        </w:rPr>
        <w:t>that </w:t>
      </w:r>
      <w:r>
        <w:rPr>
          <w:sz w:val="21"/>
        </w:rPr>
        <w:t>the </w:t>
      </w:r>
      <w:r>
        <w:rPr>
          <w:spacing w:val="-3"/>
          <w:sz w:val="21"/>
        </w:rPr>
        <w:t>Probate </w:t>
      </w:r>
      <w:r>
        <w:rPr>
          <w:sz w:val="21"/>
        </w:rPr>
        <w:t>Office would experience an </w:t>
      </w:r>
      <w:r>
        <w:rPr>
          <w:spacing w:val="-3"/>
          <w:sz w:val="21"/>
        </w:rPr>
        <w:t>increase </w:t>
      </w:r>
      <w:r>
        <w:rPr>
          <w:sz w:val="21"/>
        </w:rPr>
        <w:t>in </w:t>
      </w:r>
      <w:r>
        <w:rPr>
          <w:spacing w:val="-3"/>
          <w:sz w:val="21"/>
        </w:rPr>
        <w:t>applications. </w:t>
      </w:r>
      <w:r>
        <w:rPr>
          <w:sz w:val="21"/>
        </w:rPr>
        <w:t>This would </w:t>
      </w:r>
      <w:r>
        <w:rPr>
          <w:spacing w:val="-3"/>
          <w:sz w:val="21"/>
        </w:rPr>
        <w:t>potentially require </w:t>
      </w:r>
      <w:r>
        <w:rPr>
          <w:sz w:val="21"/>
        </w:rPr>
        <w:t>the </w:t>
      </w:r>
      <w:r>
        <w:rPr>
          <w:spacing w:val="-3"/>
          <w:sz w:val="21"/>
        </w:rPr>
        <w:t>Supreme Court to channel </w:t>
      </w:r>
      <w:r>
        <w:rPr>
          <w:sz w:val="21"/>
        </w:rPr>
        <w:t>more </w:t>
      </w:r>
      <w:r>
        <w:rPr>
          <w:spacing w:val="-3"/>
          <w:sz w:val="21"/>
        </w:rPr>
        <w:t>funding </w:t>
      </w:r>
      <w:r>
        <w:rPr>
          <w:spacing w:val="-4"/>
          <w:sz w:val="21"/>
        </w:rPr>
        <w:t>into </w:t>
      </w:r>
      <w:r>
        <w:rPr>
          <w:sz w:val="21"/>
        </w:rPr>
        <w:t>the service in order </w:t>
      </w:r>
      <w:r>
        <w:rPr>
          <w:spacing w:val="-3"/>
          <w:sz w:val="21"/>
        </w:rPr>
        <w:t>to manage increased</w:t>
      </w:r>
      <w:r>
        <w:rPr>
          <w:spacing w:val="9"/>
          <w:sz w:val="21"/>
        </w:rPr>
        <w:t> </w:t>
      </w:r>
      <w:r>
        <w:rPr>
          <w:spacing w:val="-3"/>
          <w:sz w:val="21"/>
        </w:rPr>
        <w:t>demand.</w:t>
      </w:r>
    </w:p>
    <w:p>
      <w:pPr>
        <w:pStyle w:val="ListParagraph"/>
        <w:numPr>
          <w:ilvl w:val="1"/>
          <w:numId w:val="22"/>
        </w:numPr>
        <w:tabs>
          <w:tab w:pos="2380" w:val="left" w:leader="none"/>
          <w:tab w:pos="2381" w:val="left" w:leader="none"/>
        </w:tabs>
        <w:spacing w:line="242" w:lineRule="auto" w:before="123" w:after="0"/>
        <w:ind w:left="2381" w:right="1669" w:hanging="794"/>
        <w:jc w:val="left"/>
        <w:rPr>
          <w:sz w:val="21"/>
        </w:rPr>
      </w:pPr>
      <w:r>
        <w:rPr>
          <w:w w:val="105"/>
          <w:sz w:val="21"/>
        </w:rPr>
        <w:t>Given</w:t>
      </w:r>
      <w:r>
        <w:rPr>
          <w:spacing w:val="-8"/>
          <w:w w:val="105"/>
          <w:sz w:val="21"/>
        </w:rPr>
        <w:t> </w:t>
      </w:r>
      <w:r>
        <w:rPr>
          <w:w w:val="105"/>
          <w:sz w:val="21"/>
        </w:rPr>
        <w:t>the</w:t>
      </w:r>
      <w:r>
        <w:rPr>
          <w:spacing w:val="-7"/>
          <w:w w:val="105"/>
          <w:sz w:val="21"/>
        </w:rPr>
        <w:t> </w:t>
      </w:r>
      <w:r>
        <w:rPr>
          <w:w w:val="105"/>
          <w:sz w:val="21"/>
        </w:rPr>
        <w:t>importance</w:t>
      </w:r>
      <w:r>
        <w:rPr>
          <w:spacing w:val="-7"/>
          <w:w w:val="105"/>
          <w:sz w:val="21"/>
        </w:rPr>
        <w:t> </w:t>
      </w:r>
      <w:r>
        <w:rPr>
          <w:w w:val="105"/>
          <w:sz w:val="21"/>
        </w:rPr>
        <w:t>of</w:t>
      </w:r>
      <w:r>
        <w:rPr>
          <w:spacing w:val="-7"/>
          <w:w w:val="105"/>
          <w:sz w:val="21"/>
        </w:rPr>
        <w:t> </w:t>
      </w:r>
      <w:r>
        <w:rPr>
          <w:w w:val="105"/>
          <w:sz w:val="21"/>
        </w:rPr>
        <w:t>the</w:t>
      </w:r>
      <w:r>
        <w:rPr>
          <w:spacing w:val="-8"/>
          <w:w w:val="105"/>
          <w:sz w:val="21"/>
        </w:rPr>
        <w:t> </w:t>
      </w:r>
      <w:r>
        <w:rPr>
          <w:w w:val="105"/>
          <w:sz w:val="21"/>
        </w:rPr>
        <w:t>service,</w:t>
      </w:r>
      <w:r>
        <w:rPr>
          <w:spacing w:val="-7"/>
          <w:w w:val="105"/>
          <w:sz w:val="21"/>
        </w:rPr>
        <w:t> </w:t>
      </w:r>
      <w:r>
        <w:rPr>
          <w:w w:val="105"/>
          <w:sz w:val="21"/>
        </w:rPr>
        <w:t>the</w:t>
      </w:r>
      <w:r>
        <w:rPr>
          <w:spacing w:val="-7"/>
          <w:w w:val="105"/>
          <w:sz w:val="21"/>
        </w:rPr>
        <w:t> </w:t>
      </w:r>
      <w:r>
        <w:rPr>
          <w:spacing w:val="-3"/>
          <w:w w:val="105"/>
          <w:sz w:val="21"/>
        </w:rPr>
        <w:t>Commission</w:t>
      </w:r>
      <w:r>
        <w:rPr>
          <w:spacing w:val="-7"/>
          <w:w w:val="105"/>
          <w:sz w:val="21"/>
        </w:rPr>
        <w:t> </w:t>
      </w:r>
      <w:r>
        <w:rPr>
          <w:w w:val="105"/>
          <w:sz w:val="21"/>
        </w:rPr>
        <w:t>believes</w:t>
      </w:r>
      <w:r>
        <w:rPr>
          <w:spacing w:val="-8"/>
          <w:w w:val="105"/>
          <w:sz w:val="21"/>
        </w:rPr>
        <w:t> </w:t>
      </w:r>
      <w:r>
        <w:rPr>
          <w:spacing w:val="-3"/>
          <w:w w:val="105"/>
          <w:sz w:val="21"/>
        </w:rPr>
        <w:t>that</w:t>
      </w:r>
      <w:r>
        <w:rPr>
          <w:spacing w:val="-7"/>
          <w:w w:val="105"/>
          <w:sz w:val="21"/>
        </w:rPr>
        <w:t> </w:t>
      </w:r>
      <w:r>
        <w:rPr>
          <w:w w:val="105"/>
          <w:sz w:val="21"/>
        </w:rPr>
        <w:t>a</w:t>
      </w:r>
      <w:r>
        <w:rPr>
          <w:spacing w:val="-7"/>
          <w:w w:val="105"/>
          <w:sz w:val="21"/>
        </w:rPr>
        <w:t> </w:t>
      </w:r>
      <w:r>
        <w:rPr>
          <w:spacing w:val="-3"/>
          <w:w w:val="105"/>
          <w:sz w:val="21"/>
        </w:rPr>
        <w:t>reallocation</w:t>
      </w:r>
      <w:r>
        <w:rPr>
          <w:spacing w:val="-7"/>
          <w:w w:val="105"/>
          <w:sz w:val="21"/>
        </w:rPr>
        <w:t> </w:t>
      </w:r>
      <w:r>
        <w:rPr>
          <w:w w:val="105"/>
          <w:sz w:val="21"/>
        </w:rPr>
        <w:t>of</w:t>
      </w:r>
      <w:r>
        <w:rPr>
          <w:spacing w:val="-8"/>
          <w:w w:val="105"/>
          <w:sz w:val="21"/>
        </w:rPr>
        <w:t> </w:t>
      </w:r>
      <w:r>
        <w:rPr>
          <w:spacing w:val="-3"/>
          <w:w w:val="105"/>
          <w:sz w:val="21"/>
        </w:rPr>
        <w:t>funds to ensure </w:t>
      </w:r>
      <w:r>
        <w:rPr>
          <w:w w:val="105"/>
          <w:sz w:val="21"/>
        </w:rPr>
        <w:t>its </w:t>
      </w:r>
      <w:r>
        <w:rPr>
          <w:spacing w:val="-3"/>
          <w:w w:val="105"/>
          <w:sz w:val="21"/>
        </w:rPr>
        <w:t>continuance </w:t>
      </w:r>
      <w:r>
        <w:rPr>
          <w:w w:val="105"/>
          <w:sz w:val="21"/>
        </w:rPr>
        <w:t>would be wholly</w:t>
      </w:r>
      <w:r>
        <w:rPr>
          <w:spacing w:val="38"/>
          <w:w w:val="105"/>
          <w:sz w:val="21"/>
        </w:rPr>
        <w:t> </w:t>
      </w:r>
      <w:r>
        <w:rPr>
          <w:spacing w:val="-3"/>
          <w:w w:val="105"/>
          <w:sz w:val="21"/>
        </w:rPr>
        <w:t>appropriate.</w:t>
      </w:r>
    </w:p>
    <w:p>
      <w:pPr>
        <w:pStyle w:val="ListParagraph"/>
        <w:numPr>
          <w:ilvl w:val="1"/>
          <w:numId w:val="22"/>
        </w:numPr>
        <w:tabs>
          <w:tab w:pos="2380" w:val="left" w:leader="none"/>
          <w:tab w:pos="2381" w:val="left" w:leader="none"/>
        </w:tabs>
        <w:spacing w:line="242" w:lineRule="auto" w:before="123" w:after="0"/>
        <w:ind w:left="2381" w:right="1690" w:hanging="794"/>
        <w:jc w:val="left"/>
        <w:rPr>
          <w:sz w:val="12"/>
        </w:rPr>
      </w:pPr>
      <w:r>
        <w:rPr>
          <w:sz w:val="21"/>
        </w:rPr>
        <w:t>Although </w:t>
      </w:r>
      <w:r>
        <w:rPr>
          <w:spacing w:val="-3"/>
          <w:sz w:val="21"/>
        </w:rPr>
        <w:t>catering for </w:t>
      </w:r>
      <w:r>
        <w:rPr>
          <w:sz w:val="21"/>
        </w:rPr>
        <w:t>estates with </w:t>
      </w:r>
      <w:r>
        <w:rPr>
          <w:spacing w:val="-3"/>
          <w:sz w:val="21"/>
        </w:rPr>
        <w:t>higher values could </w:t>
      </w:r>
      <w:r>
        <w:rPr>
          <w:sz w:val="21"/>
        </w:rPr>
        <w:t>mean </w:t>
      </w:r>
      <w:r>
        <w:rPr>
          <w:spacing w:val="-3"/>
          <w:sz w:val="21"/>
        </w:rPr>
        <w:t>that </w:t>
      </w:r>
      <w:r>
        <w:rPr>
          <w:sz w:val="21"/>
        </w:rPr>
        <w:t>more complex estates would be </w:t>
      </w:r>
      <w:r>
        <w:rPr>
          <w:spacing w:val="-3"/>
          <w:sz w:val="21"/>
        </w:rPr>
        <w:t>eligible to </w:t>
      </w:r>
      <w:r>
        <w:rPr>
          <w:sz w:val="21"/>
        </w:rPr>
        <w:t>use the service, the Registrar </w:t>
      </w:r>
      <w:r>
        <w:rPr>
          <w:spacing w:val="-3"/>
          <w:sz w:val="21"/>
        </w:rPr>
        <w:t>may well  refer  </w:t>
      </w:r>
      <w:r>
        <w:rPr>
          <w:sz w:val="21"/>
        </w:rPr>
        <w:t>those estates </w:t>
      </w:r>
      <w:r>
        <w:rPr>
          <w:spacing w:val="-4"/>
          <w:sz w:val="21"/>
        </w:rPr>
        <w:t>into  </w:t>
      </w:r>
      <w:r>
        <w:rPr>
          <w:spacing w:val="-3"/>
          <w:sz w:val="21"/>
        </w:rPr>
        <w:t>Court, </w:t>
      </w:r>
      <w:r>
        <w:rPr>
          <w:sz w:val="21"/>
        </w:rPr>
        <w:t>or</w:t>
      </w:r>
      <w:r>
        <w:rPr>
          <w:spacing w:val="9"/>
          <w:sz w:val="21"/>
        </w:rPr>
        <w:t> </w:t>
      </w:r>
      <w:r>
        <w:rPr>
          <w:spacing w:val="-3"/>
          <w:sz w:val="21"/>
        </w:rPr>
        <w:t>to</w:t>
      </w:r>
      <w:r>
        <w:rPr>
          <w:spacing w:val="9"/>
          <w:sz w:val="21"/>
        </w:rPr>
        <w:t> </w:t>
      </w:r>
      <w:r>
        <w:rPr>
          <w:sz w:val="21"/>
        </w:rPr>
        <w:t>a</w:t>
      </w:r>
      <w:r>
        <w:rPr>
          <w:spacing w:val="9"/>
          <w:sz w:val="21"/>
        </w:rPr>
        <w:t> </w:t>
      </w:r>
      <w:r>
        <w:rPr>
          <w:sz w:val="21"/>
        </w:rPr>
        <w:t>legal</w:t>
      </w:r>
      <w:r>
        <w:rPr>
          <w:spacing w:val="9"/>
          <w:sz w:val="21"/>
        </w:rPr>
        <w:t> </w:t>
      </w:r>
      <w:r>
        <w:rPr>
          <w:spacing w:val="-3"/>
          <w:sz w:val="21"/>
        </w:rPr>
        <w:t>practitioner,</w:t>
      </w:r>
      <w:r>
        <w:rPr>
          <w:spacing w:val="9"/>
          <w:sz w:val="21"/>
        </w:rPr>
        <w:t> </w:t>
      </w:r>
      <w:r>
        <w:rPr>
          <w:sz w:val="21"/>
        </w:rPr>
        <w:t>as</w:t>
      </w:r>
      <w:r>
        <w:rPr>
          <w:spacing w:val="10"/>
          <w:sz w:val="21"/>
        </w:rPr>
        <w:t> </w:t>
      </w:r>
      <w:r>
        <w:rPr>
          <w:sz w:val="21"/>
        </w:rPr>
        <w:t>is</w:t>
      </w:r>
      <w:r>
        <w:rPr>
          <w:spacing w:val="9"/>
          <w:sz w:val="21"/>
        </w:rPr>
        <w:t> </w:t>
      </w:r>
      <w:r>
        <w:rPr>
          <w:spacing w:val="-3"/>
          <w:sz w:val="21"/>
        </w:rPr>
        <w:t>currently</w:t>
      </w:r>
      <w:r>
        <w:rPr>
          <w:spacing w:val="9"/>
          <w:sz w:val="21"/>
        </w:rPr>
        <w:t> </w:t>
      </w:r>
      <w:r>
        <w:rPr>
          <w:sz w:val="21"/>
        </w:rPr>
        <w:t>the</w:t>
      </w:r>
      <w:r>
        <w:rPr>
          <w:spacing w:val="9"/>
          <w:sz w:val="21"/>
        </w:rPr>
        <w:t> </w:t>
      </w:r>
      <w:r>
        <w:rPr>
          <w:sz w:val="21"/>
        </w:rPr>
        <w:t>practice.</w:t>
      </w:r>
      <w:r>
        <w:rPr>
          <w:position w:val="7"/>
          <w:sz w:val="12"/>
        </w:rPr>
        <w:t>30</w:t>
      </w:r>
    </w:p>
    <w:p>
      <w:pPr>
        <w:pStyle w:val="ListParagraph"/>
        <w:numPr>
          <w:ilvl w:val="1"/>
          <w:numId w:val="22"/>
        </w:numPr>
        <w:tabs>
          <w:tab w:pos="2380" w:val="left" w:leader="none"/>
          <w:tab w:pos="2381" w:val="left" w:leader="none"/>
        </w:tabs>
        <w:spacing w:line="242" w:lineRule="auto" w:before="123" w:after="0"/>
        <w:ind w:left="2381" w:right="1795" w:hanging="794"/>
        <w:jc w:val="left"/>
        <w:rPr>
          <w:sz w:val="21"/>
        </w:rPr>
      </w:pPr>
      <w:r>
        <w:rPr>
          <w:w w:val="105"/>
          <w:sz w:val="21"/>
        </w:rPr>
        <w:t>The </w:t>
      </w:r>
      <w:r>
        <w:rPr>
          <w:spacing w:val="-3"/>
          <w:w w:val="105"/>
          <w:sz w:val="21"/>
        </w:rPr>
        <w:t>National Committee for Uniform Succession </w:t>
      </w:r>
      <w:r>
        <w:rPr>
          <w:w w:val="105"/>
          <w:sz w:val="21"/>
        </w:rPr>
        <w:t>Laws did </w:t>
      </w:r>
      <w:r>
        <w:rPr>
          <w:spacing w:val="-2"/>
          <w:w w:val="105"/>
          <w:sz w:val="21"/>
        </w:rPr>
        <w:t>not </w:t>
      </w:r>
      <w:r>
        <w:rPr>
          <w:spacing w:val="-4"/>
          <w:w w:val="105"/>
          <w:sz w:val="21"/>
        </w:rPr>
        <w:t>make </w:t>
      </w:r>
      <w:r>
        <w:rPr>
          <w:spacing w:val="-3"/>
          <w:w w:val="105"/>
          <w:sz w:val="21"/>
        </w:rPr>
        <w:t>recommendations </w:t>
      </w:r>
      <w:r>
        <w:rPr>
          <w:w w:val="105"/>
          <w:sz w:val="21"/>
        </w:rPr>
        <w:t>in</w:t>
      </w:r>
      <w:r>
        <w:rPr>
          <w:spacing w:val="-6"/>
          <w:w w:val="105"/>
          <w:sz w:val="21"/>
        </w:rPr>
        <w:t> </w:t>
      </w:r>
      <w:r>
        <w:rPr>
          <w:w w:val="105"/>
          <w:sz w:val="21"/>
        </w:rPr>
        <w:t>this</w:t>
      </w:r>
      <w:r>
        <w:rPr>
          <w:spacing w:val="-5"/>
          <w:w w:val="105"/>
          <w:sz w:val="21"/>
        </w:rPr>
        <w:t> </w:t>
      </w:r>
      <w:r>
        <w:rPr>
          <w:spacing w:val="-3"/>
          <w:w w:val="105"/>
          <w:sz w:val="21"/>
        </w:rPr>
        <w:t>area.</w:t>
      </w:r>
      <w:r>
        <w:rPr>
          <w:spacing w:val="-5"/>
          <w:w w:val="105"/>
          <w:sz w:val="21"/>
        </w:rPr>
        <w:t> </w:t>
      </w:r>
      <w:r>
        <w:rPr>
          <w:w w:val="105"/>
          <w:sz w:val="21"/>
        </w:rPr>
        <w:t>The</w:t>
      </w:r>
      <w:r>
        <w:rPr>
          <w:spacing w:val="-6"/>
          <w:w w:val="105"/>
          <w:sz w:val="21"/>
        </w:rPr>
        <w:t> </w:t>
      </w:r>
      <w:r>
        <w:rPr>
          <w:spacing w:val="-3"/>
          <w:w w:val="105"/>
          <w:sz w:val="21"/>
        </w:rPr>
        <w:t>Committee</w:t>
      </w:r>
      <w:r>
        <w:rPr>
          <w:spacing w:val="-5"/>
          <w:w w:val="105"/>
          <w:sz w:val="21"/>
        </w:rPr>
        <w:t> </w:t>
      </w:r>
      <w:r>
        <w:rPr>
          <w:w w:val="105"/>
          <w:sz w:val="21"/>
        </w:rPr>
        <w:t>was</w:t>
      </w:r>
      <w:r>
        <w:rPr>
          <w:spacing w:val="-5"/>
          <w:w w:val="105"/>
          <w:sz w:val="21"/>
        </w:rPr>
        <w:t> </w:t>
      </w:r>
      <w:r>
        <w:rPr>
          <w:w w:val="105"/>
          <w:sz w:val="21"/>
        </w:rPr>
        <w:t>of</w:t>
      </w:r>
      <w:r>
        <w:rPr>
          <w:spacing w:val="-5"/>
          <w:w w:val="105"/>
          <w:sz w:val="21"/>
        </w:rPr>
        <w:t> </w:t>
      </w:r>
      <w:r>
        <w:rPr>
          <w:w w:val="105"/>
          <w:sz w:val="21"/>
        </w:rPr>
        <w:t>the</w:t>
      </w:r>
      <w:r>
        <w:rPr>
          <w:spacing w:val="-6"/>
          <w:w w:val="105"/>
          <w:sz w:val="21"/>
        </w:rPr>
        <w:t> </w:t>
      </w:r>
      <w:r>
        <w:rPr>
          <w:w w:val="105"/>
          <w:sz w:val="21"/>
        </w:rPr>
        <w:t>opinion</w:t>
      </w:r>
      <w:r>
        <w:rPr>
          <w:spacing w:val="-5"/>
          <w:w w:val="105"/>
          <w:sz w:val="21"/>
        </w:rPr>
        <w:t> </w:t>
      </w:r>
      <w:r>
        <w:rPr>
          <w:spacing w:val="-3"/>
          <w:w w:val="105"/>
          <w:sz w:val="21"/>
        </w:rPr>
        <w:t>that</w:t>
      </w:r>
      <w:r>
        <w:rPr>
          <w:spacing w:val="-5"/>
          <w:w w:val="105"/>
          <w:sz w:val="21"/>
        </w:rPr>
        <w:t> </w:t>
      </w:r>
      <w:r>
        <w:rPr>
          <w:w w:val="105"/>
          <w:sz w:val="21"/>
        </w:rPr>
        <w:t>each</w:t>
      </w:r>
      <w:r>
        <w:rPr>
          <w:spacing w:val="-5"/>
          <w:w w:val="105"/>
          <w:sz w:val="21"/>
        </w:rPr>
        <w:t> </w:t>
      </w:r>
      <w:r>
        <w:rPr>
          <w:spacing w:val="-3"/>
          <w:w w:val="105"/>
          <w:sz w:val="21"/>
        </w:rPr>
        <w:t>jurisdiction’s</w:t>
      </w:r>
      <w:r>
        <w:rPr>
          <w:spacing w:val="-6"/>
          <w:w w:val="105"/>
          <w:sz w:val="21"/>
        </w:rPr>
        <w:t> </w:t>
      </w:r>
      <w:r>
        <w:rPr>
          <w:spacing w:val="-2"/>
          <w:w w:val="105"/>
          <w:sz w:val="21"/>
        </w:rPr>
        <w:t>choice</w:t>
      </w:r>
      <w:r>
        <w:rPr>
          <w:spacing w:val="-5"/>
          <w:w w:val="105"/>
          <w:sz w:val="21"/>
        </w:rPr>
        <w:t> </w:t>
      </w:r>
      <w:r>
        <w:rPr>
          <w:spacing w:val="-3"/>
          <w:w w:val="105"/>
          <w:sz w:val="21"/>
        </w:rPr>
        <w:t>to</w:t>
      </w:r>
      <w:r>
        <w:rPr>
          <w:spacing w:val="-5"/>
          <w:w w:val="105"/>
          <w:sz w:val="21"/>
        </w:rPr>
        <w:t> </w:t>
      </w:r>
      <w:r>
        <w:rPr>
          <w:w w:val="105"/>
          <w:sz w:val="21"/>
        </w:rPr>
        <w:t>provide</w:t>
      </w:r>
    </w:p>
    <w:p>
      <w:pPr>
        <w:pStyle w:val="BodyText"/>
        <w:spacing w:before="2"/>
        <w:ind w:left="2380"/>
        <w:rPr>
          <w:sz w:val="12"/>
        </w:rPr>
      </w:pPr>
      <w:r>
        <w:rPr>
          <w:w w:val="105"/>
        </w:rPr>
        <w:t>such services would depend on resourcing and was not a matter for uniform legislation.</w:t>
      </w:r>
      <w:r>
        <w:rPr>
          <w:w w:val="105"/>
          <w:position w:val="7"/>
          <w:sz w:val="12"/>
        </w:rPr>
        <w:t>31</w:t>
      </w:r>
    </w:p>
    <w:p>
      <w:pPr>
        <w:pStyle w:val="ListParagraph"/>
        <w:numPr>
          <w:ilvl w:val="1"/>
          <w:numId w:val="22"/>
        </w:numPr>
        <w:tabs>
          <w:tab w:pos="2381" w:val="left" w:leader="none"/>
          <w:tab w:pos="2382" w:val="left" w:leader="none"/>
        </w:tabs>
        <w:spacing w:line="242" w:lineRule="auto" w:before="124" w:after="0"/>
        <w:ind w:left="2381" w:right="1815" w:hanging="794"/>
        <w:jc w:val="left"/>
        <w:rPr>
          <w:sz w:val="21"/>
        </w:rPr>
      </w:pPr>
      <w:r>
        <w:rPr>
          <w:w w:val="105"/>
          <w:sz w:val="21"/>
        </w:rPr>
        <w:t>The</w:t>
      </w:r>
      <w:r>
        <w:rPr>
          <w:spacing w:val="-5"/>
          <w:w w:val="105"/>
          <w:sz w:val="21"/>
        </w:rPr>
        <w:t> </w:t>
      </w:r>
      <w:r>
        <w:rPr>
          <w:spacing w:val="-3"/>
          <w:w w:val="105"/>
          <w:sz w:val="21"/>
        </w:rPr>
        <w:t>Commission</w:t>
      </w:r>
      <w:r>
        <w:rPr>
          <w:spacing w:val="-4"/>
          <w:w w:val="105"/>
          <w:sz w:val="21"/>
        </w:rPr>
        <w:t> </w:t>
      </w:r>
      <w:r>
        <w:rPr>
          <w:w w:val="105"/>
          <w:sz w:val="21"/>
        </w:rPr>
        <w:t>is</w:t>
      </w:r>
      <w:r>
        <w:rPr>
          <w:spacing w:val="-4"/>
          <w:w w:val="105"/>
          <w:sz w:val="21"/>
        </w:rPr>
        <w:t> </w:t>
      </w:r>
      <w:r>
        <w:rPr>
          <w:w w:val="105"/>
          <w:sz w:val="21"/>
        </w:rPr>
        <w:t>of</w:t>
      </w:r>
      <w:r>
        <w:rPr>
          <w:spacing w:val="-4"/>
          <w:w w:val="105"/>
          <w:sz w:val="21"/>
        </w:rPr>
        <w:t> </w:t>
      </w:r>
      <w:r>
        <w:rPr>
          <w:w w:val="105"/>
          <w:sz w:val="21"/>
        </w:rPr>
        <w:t>the</w:t>
      </w:r>
      <w:r>
        <w:rPr>
          <w:spacing w:val="-4"/>
          <w:w w:val="105"/>
          <w:sz w:val="21"/>
        </w:rPr>
        <w:t> </w:t>
      </w:r>
      <w:r>
        <w:rPr>
          <w:w w:val="105"/>
          <w:sz w:val="21"/>
        </w:rPr>
        <w:t>view</w:t>
      </w:r>
      <w:r>
        <w:rPr>
          <w:spacing w:val="-4"/>
          <w:w w:val="105"/>
          <w:sz w:val="21"/>
        </w:rPr>
        <w:t> </w:t>
      </w:r>
      <w:r>
        <w:rPr>
          <w:spacing w:val="-3"/>
          <w:w w:val="105"/>
          <w:sz w:val="21"/>
        </w:rPr>
        <w:t>that</w:t>
      </w:r>
      <w:r>
        <w:rPr>
          <w:spacing w:val="-4"/>
          <w:w w:val="105"/>
          <w:sz w:val="21"/>
        </w:rPr>
        <w:t> </w:t>
      </w:r>
      <w:r>
        <w:rPr>
          <w:w w:val="105"/>
          <w:sz w:val="21"/>
        </w:rPr>
        <w:t>the</w:t>
      </w:r>
      <w:r>
        <w:rPr>
          <w:spacing w:val="-4"/>
          <w:w w:val="105"/>
          <w:sz w:val="21"/>
        </w:rPr>
        <w:t> </w:t>
      </w:r>
      <w:r>
        <w:rPr>
          <w:spacing w:val="-2"/>
          <w:w w:val="105"/>
          <w:sz w:val="21"/>
        </w:rPr>
        <w:t>figure</w:t>
      </w:r>
      <w:r>
        <w:rPr>
          <w:spacing w:val="-4"/>
          <w:w w:val="105"/>
          <w:sz w:val="21"/>
        </w:rPr>
        <w:t> </w:t>
      </w:r>
      <w:r>
        <w:rPr>
          <w:spacing w:val="-3"/>
          <w:w w:val="105"/>
          <w:sz w:val="21"/>
        </w:rPr>
        <w:t>that</w:t>
      </w:r>
      <w:r>
        <w:rPr>
          <w:spacing w:val="-4"/>
          <w:w w:val="105"/>
          <w:sz w:val="21"/>
        </w:rPr>
        <w:t> </w:t>
      </w:r>
      <w:r>
        <w:rPr>
          <w:spacing w:val="-3"/>
          <w:w w:val="105"/>
          <w:sz w:val="21"/>
        </w:rPr>
        <w:t>determines</w:t>
      </w:r>
      <w:r>
        <w:rPr>
          <w:spacing w:val="-4"/>
          <w:w w:val="105"/>
          <w:sz w:val="21"/>
        </w:rPr>
        <w:t> </w:t>
      </w:r>
      <w:r>
        <w:rPr>
          <w:w w:val="105"/>
          <w:sz w:val="21"/>
        </w:rPr>
        <w:t>which</w:t>
      </w:r>
      <w:r>
        <w:rPr>
          <w:spacing w:val="-4"/>
          <w:w w:val="105"/>
          <w:sz w:val="21"/>
        </w:rPr>
        <w:t> </w:t>
      </w:r>
      <w:r>
        <w:rPr>
          <w:w w:val="105"/>
          <w:sz w:val="21"/>
        </w:rPr>
        <w:t>estates</w:t>
      </w:r>
      <w:r>
        <w:rPr>
          <w:spacing w:val="-5"/>
          <w:w w:val="105"/>
          <w:sz w:val="21"/>
        </w:rPr>
        <w:t> </w:t>
      </w:r>
      <w:r>
        <w:rPr>
          <w:spacing w:val="-3"/>
          <w:w w:val="105"/>
          <w:sz w:val="21"/>
        </w:rPr>
        <w:t>are</w:t>
      </w:r>
      <w:r>
        <w:rPr>
          <w:spacing w:val="-4"/>
          <w:w w:val="105"/>
          <w:sz w:val="21"/>
        </w:rPr>
        <w:t> </w:t>
      </w:r>
      <w:r>
        <w:rPr>
          <w:spacing w:val="-3"/>
          <w:w w:val="105"/>
          <w:sz w:val="21"/>
        </w:rPr>
        <w:t>eligible to </w:t>
      </w:r>
      <w:r>
        <w:rPr>
          <w:spacing w:val="-2"/>
          <w:w w:val="105"/>
          <w:sz w:val="21"/>
        </w:rPr>
        <w:t>access </w:t>
      </w:r>
      <w:r>
        <w:rPr>
          <w:w w:val="105"/>
          <w:sz w:val="21"/>
        </w:rPr>
        <w:t>the assistance of the </w:t>
      </w:r>
      <w:r>
        <w:rPr>
          <w:spacing w:val="-3"/>
          <w:w w:val="105"/>
          <w:sz w:val="21"/>
        </w:rPr>
        <w:t>Supreme Court Probate </w:t>
      </w:r>
      <w:r>
        <w:rPr>
          <w:w w:val="105"/>
          <w:sz w:val="21"/>
        </w:rPr>
        <w:t>Office’s </w:t>
      </w:r>
      <w:r>
        <w:rPr>
          <w:spacing w:val="-3"/>
          <w:w w:val="105"/>
          <w:sz w:val="21"/>
        </w:rPr>
        <w:t>small </w:t>
      </w:r>
      <w:r>
        <w:rPr>
          <w:w w:val="105"/>
          <w:sz w:val="21"/>
        </w:rPr>
        <w:t>estates service should be </w:t>
      </w:r>
      <w:r>
        <w:rPr>
          <w:spacing w:val="-2"/>
          <w:w w:val="105"/>
          <w:sz w:val="21"/>
        </w:rPr>
        <w:t>significantly </w:t>
      </w:r>
      <w:r>
        <w:rPr>
          <w:spacing w:val="-3"/>
          <w:w w:val="105"/>
          <w:sz w:val="21"/>
        </w:rPr>
        <w:t>raised. </w:t>
      </w:r>
      <w:r>
        <w:rPr>
          <w:w w:val="105"/>
          <w:sz w:val="21"/>
        </w:rPr>
        <w:t>The </w:t>
      </w:r>
      <w:r>
        <w:rPr>
          <w:spacing w:val="-2"/>
          <w:w w:val="105"/>
          <w:sz w:val="21"/>
        </w:rPr>
        <w:t>figure </w:t>
      </w:r>
      <w:r>
        <w:rPr>
          <w:w w:val="105"/>
          <w:sz w:val="21"/>
        </w:rPr>
        <w:t>should be a </w:t>
      </w:r>
      <w:r>
        <w:rPr>
          <w:spacing w:val="-3"/>
          <w:w w:val="105"/>
          <w:sz w:val="21"/>
        </w:rPr>
        <w:t>single </w:t>
      </w:r>
      <w:r>
        <w:rPr>
          <w:spacing w:val="-4"/>
          <w:w w:val="105"/>
          <w:sz w:val="21"/>
        </w:rPr>
        <w:t>value, </w:t>
      </w:r>
      <w:r>
        <w:rPr>
          <w:spacing w:val="-2"/>
          <w:w w:val="105"/>
          <w:sz w:val="21"/>
        </w:rPr>
        <w:t>not </w:t>
      </w:r>
      <w:r>
        <w:rPr>
          <w:w w:val="105"/>
          <w:sz w:val="21"/>
        </w:rPr>
        <w:t>based on the identities</w:t>
      </w:r>
      <w:r>
        <w:rPr>
          <w:spacing w:val="-8"/>
          <w:w w:val="105"/>
          <w:sz w:val="21"/>
        </w:rPr>
        <w:t> </w:t>
      </w:r>
      <w:r>
        <w:rPr>
          <w:w w:val="105"/>
          <w:sz w:val="21"/>
        </w:rPr>
        <w:t>of</w:t>
      </w:r>
      <w:r>
        <w:rPr>
          <w:spacing w:val="-7"/>
          <w:w w:val="105"/>
          <w:sz w:val="21"/>
        </w:rPr>
        <w:t> </w:t>
      </w:r>
      <w:r>
        <w:rPr>
          <w:w w:val="105"/>
          <w:sz w:val="21"/>
        </w:rPr>
        <w:t>beneficiaries,</w:t>
      </w:r>
      <w:r>
        <w:rPr>
          <w:spacing w:val="-8"/>
          <w:w w:val="105"/>
          <w:sz w:val="21"/>
        </w:rPr>
        <w:t> </w:t>
      </w:r>
      <w:r>
        <w:rPr>
          <w:w w:val="105"/>
          <w:sz w:val="21"/>
        </w:rPr>
        <w:t>and</w:t>
      </w:r>
      <w:r>
        <w:rPr>
          <w:spacing w:val="-7"/>
          <w:w w:val="105"/>
          <w:sz w:val="21"/>
        </w:rPr>
        <w:t> </w:t>
      </w:r>
      <w:r>
        <w:rPr>
          <w:w w:val="105"/>
          <w:sz w:val="21"/>
        </w:rPr>
        <w:t>should</w:t>
      </w:r>
      <w:r>
        <w:rPr>
          <w:spacing w:val="-8"/>
          <w:w w:val="105"/>
          <w:sz w:val="21"/>
        </w:rPr>
        <w:t> </w:t>
      </w:r>
      <w:r>
        <w:rPr>
          <w:w w:val="105"/>
          <w:sz w:val="21"/>
        </w:rPr>
        <w:t>be</w:t>
      </w:r>
      <w:r>
        <w:rPr>
          <w:spacing w:val="-7"/>
          <w:w w:val="105"/>
          <w:sz w:val="21"/>
        </w:rPr>
        <w:t> </w:t>
      </w:r>
      <w:r>
        <w:rPr>
          <w:w w:val="105"/>
          <w:sz w:val="21"/>
        </w:rPr>
        <w:t>adjusted</w:t>
      </w:r>
      <w:r>
        <w:rPr>
          <w:spacing w:val="-8"/>
          <w:w w:val="105"/>
          <w:sz w:val="21"/>
        </w:rPr>
        <w:t> </w:t>
      </w:r>
      <w:r>
        <w:rPr>
          <w:w w:val="105"/>
          <w:sz w:val="21"/>
        </w:rPr>
        <w:t>quarterly</w:t>
      </w:r>
      <w:r>
        <w:rPr>
          <w:spacing w:val="-7"/>
          <w:w w:val="105"/>
          <w:sz w:val="21"/>
        </w:rPr>
        <w:t> </w:t>
      </w:r>
      <w:r>
        <w:rPr>
          <w:spacing w:val="-3"/>
          <w:w w:val="105"/>
          <w:sz w:val="21"/>
        </w:rPr>
        <w:t>to</w:t>
      </w:r>
      <w:r>
        <w:rPr>
          <w:spacing w:val="-8"/>
          <w:w w:val="105"/>
          <w:sz w:val="21"/>
        </w:rPr>
        <w:t> </w:t>
      </w:r>
      <w:r>
        <w:rPr>
          <w:w w:val="105"/>
          <w:sz w:val="21"/>
        </w:rPr>
        <w:t>reflect</w:t>
      </w:r>
      <w:r>
        <w:rPr>
          <w:spacing w:val="-7"/>
          <w:w w:val="105"/>
          <w:sz w:val="21"/>
        </w:rPr>
        <w:t> </w:t>
      </w:r>
      <w:r>
        <w:rPr>
          <w:spacing w:val="-3"/>
          <w:w w:val="105"/>
          <w:sz w:val="21"/>
        </w:rPr>
        <w:t>changes</w:t>
      </w:r>
      <w:r>
        <w:rPr>
          <w:spacing w:val="-8"/>
          <w:w w:val="105"/>
          <w:sz w:val="21"/>
        </w:rPr>
        <w:t> </w:t>
      </w:r>
      <w:r>
        <w:rPr>
          <w:w w:val="105"/>
          <w:sz w:val="21"/>
        </w:rPr>
        <w:t>in</w:t>
      </w:r>
      <w:r>
        <w:rPr>
          <w:spacing w:val="-7"/>
          <w:w w:val="105"/>
          <w:sz w:val="21"/>
        </w:rPr>
        <w:t> </w:t>
      </w:r>
      <w:r>
        <w:rPr>
          <w:w w:val="105"/>
          <w:sz w:val="21"/>
        </w:rPr>
        <w:t>the</w:t>
      </w:r>
    </w:p>
    <w:p>
      <w:pPr>
        <w:pStyle w:val="BodyText"/>
        <w:spacing w:before="4"/>
        <w:ind w:left="2381"/>
      </w:pPr>
      <w:r>
        <w:rPr>
          <w:w w:val="105"/>
        </w:rPr>
        <w:t>All </w:t>
      </w:r>
      <w:r>
        <w:rPr>
          <w:spacing w:val="-3"/>
          <w:w w:val="105"/>
        </w:rPr>
        <w:t>Groups </w:t>
      </w:r>
      <w:r>
        <w:rPr>
          <w:spacing w:val="-4"/>
          <w:w w:val="105"/>
        </w:rPr>
        <w:t>Consumer </w:t>
      </w:r>
      <w:r>
        <w:rPr>
          <w:w w:val="105"/>
        </w:rPr>
        <w:t>Price</w:t>
      </w:r>
      <w:r>
        <w:rPr>
          <w:spacing w:val="-3"/>
          <w:w w:val="105"/>
        </w:rPr>
        <w:t> </w:t>
      </w:r>
      <w:r>
        <w:rPr>
          <w:w w:val="105"/>
        </w:rPr>
        <w:t>Index.</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4"/>
        </w:rPr>
      </w:pPr>
      <w:r>
        <w:rPr/>
        <w:pict>
          <v:line style="position:absolute;mso-position-horizontal-relative:page;mso-position-vertical-relative:paragraph;z-index:11288;mso-wrap-distance-left:0;mso-wrap-distance-right:0" from="79.370003pt,11.229503pt" to="515.905003pt,11.229503pt" stroked="true" strokeweight="1pt" strokecolor="#f9ceca">
            <v:stroke dashstyle="solid"/>
            <w10:wrap type="topAndBottom"/>
          </v:line>
        </w:pict>
      </w:r>
    </w:p>
    <w:p>
      <w:pPr>
        <w:pStyle w:val="BodyText"/>
        <w:spacing w:before="8"/>
        <w:rPr>
          <w:sz w:val="5"/>
        </w:rPr>
      </w:pPr>
    </w:p>
    <w:p>
      <w:pPr>
        <w:spacing w:after="0"/>
        <w:rPr>
          <w:sz w:val="5"/>
        </w:rPr>
        <w:sectPr>
          <w:pgSz w:w="11910" w:h="16840"/>
          <w:pgMar w:header="550" w:footer="0" w:top="1560" w:bottom="280" w:left="0" w:right="0"/>
        </w:sectPr>
      </w:pPr>
    </w:p>
    <w:p>
      <w:pPr>
        <w:pStyle w:val="BodyText"/>
        <w:rPr>
          <w:sz w:val="28"/>
        </w:rPr>
      </w:pPr>
    </w:p>
    <w:p>
      <w:pPr>
        <w:pStyle w:val="BodyText"/>
        <w:rPr>
          <w:sz w:val="28"/>
        </w:rPr>
      </w:pPr>
    </w:p>
    <w:p>
      <w:pPr>
        <w:pStyle w:val="BodyText"/>
        <w:rPr>
          <w:sz w:val="28"/>
        </w:rPr>
      </w:pPr>
    </w:p>
    <w:p>
      <w:pPr>
        <w:pStyle w:val="BodyText"/>
        <w:rPr>
          <w:sz w:val="28"/>
        </w:rPr>
      </w:pPr>
    </w:p>
    <w:p>
      <w:pPr>
        <w:spacing w:before="191"/>
        <w:ind w:left="720" w:right="0" w:firstLine="0"/>
        <w:jc w:val="left"/>
        <w:rPr>
          <w:b/>
          <w:sz w:val="24"/>
        </w:rPr>
      </w:pPr>
      <w:r>
        <w:rPr>
          <w:b/>
          <w:color w:val="EC5A4F"/>
          <w:spacing w:val="-4"/>
          <w:w w:val="110"/>
          <w:sz w:val="24"/>
        </w:rPr>
        <w:t>192</w:t>
      </w:r>
    </w:p>
    <w:p>
      <w:pPr>
        <w:pStyle w:val="ListParagraph"/>
        <w:numPr>
          <w:ilvl w:val="0"/>
          <w:numId w:val="140"/>
        </w:numPr>
        <w:tabs>
          <w:tab w:pos="1231" w:val="left" w:leader="none"/>
          <w:tab w:pos="1232" w:val="left" w:leader="none"/>
        </w:tabs>
        <w:spacing w:line="240" w:lineRule="auto" w:before="48" w:after="0"/>
        <w:ind w:left="1231" w:right="0" w:hanging="793"/>
        <w:jc w:val="left"/>
        <w:rPr>
          <w:sz w:val="13"/>
        </w:rPr>
      </w:pPr>
      <w:r>
        <w:rPr>
          <w:spacing w:val="2"/>
          <w:w w:val="108"/>
          <w:sz w:val="13"/>
        </w:rPr>
        <w:br w:type="column"/>
      </w:r>
      <w:r>
        <w:rPr>
          <w:w w:val="105"/>
          <w:sz w:val="13"/>
        </w:rPr>
        <w:t>See discussion at</w:t>
      </w:r>
      <w:r>
        <w:rPr>
          <w:spacing w:val="13"/>
          <w:w w:val="105"/>
          <w:sz w:val="13"/>
        </w:rPr>
        <w:t> </w:t>
      </w:r>
      <w:r>
        <w:rPr>
          <w:w w:val="105"/>
          <w:sz w:val="13"/>
        </w:rPr>
        <w:t>[5.61].</w:t>
      </w:r>
    </w:p>
    <w:p>
      <w:pPr>
        <w:pStyle w:val="ListParagraph"/>
        <w:numPr>
          <w:ilvl w:val="0"/>
          <w:numId w:val="140"/>
        </w:numPr>
        <w:tabs>
          <w:tab w:pos="1231" w:val="left" w:leader="none"/>
          <w:tab w:pos="1233" w:val="left" w:leader="none"/>
        </w:tabs>
        <w:spacing w:line="240" w:lineRule="auto" w:before="1" w:after="0"/>
        <w:ind w:left="1232" w:right="2220" w:hanging="794"/>
        <w:jc w:val="left"/>
        <w:rPr>
          <w:i/>
          <w:sz w:val="13"/>
        </w:rPr>
      </w:pPr>
      <w:r>
        <w:rPr>
          <w:w w:val="105"/>
          <w:sz w:val="13"/>
        </w:rPr>
        <w:t>Being the weighted average of the eight capital cities, published by the Australian Bureau of Statistics three to four weeks before the</w:t>
      </w:r>
      <w:r>
        <w:rPr>
          <w:spacing w:val="4"/>
          <w:w w:val="105"/>
          <w:sz w:val="13"/>
        </w:rPr>
        <w:t> </w:t>
      </w:r>
      <w:r>
        <w:rPr>
          <w:w w:val="105"/>
          <w:sz w:val="13"/>
        </w:rPr>
        <w:t>end</w:t>
      </w:r>
      <w:r>
        <w:rPr>
          <w:spacing w:val="4"/>
          <w:w w:val="105"/>
          <w:sz w:val="13"/>
        </w:rPr>
        <w:t> </w:t>
      </w:r>
      <w:r>
        <w:rPr>
          <w:w w:val="105"/>
          <w:sz w:val="13"/>
        </w:rPr>
        <w:t>of</w:t>
      </w:r>
      <w:r>
        <w:rPr>
          <w:spacing w:val="5"/>
          <w:w w:val="105"/>
          <w:sz w:val="13"/>
        </w:rPr>
        <w:t> </w:t>
      </w:r>
      <w:r>
        <w:rPr>
          <w:w w:val="105"/>
          <w:sz w:val="13"/>
        </w:rPr>
        <w:t>each</w:t>
      </w:r>
      <w:r>
        <w:rPr>
          <w:spacing w:val="4"/>
          <w:w w:val="105"/>
          <w:sz w:val="13"/>
        </w:rPr>
        <w:t> </w:t>
      </w:r>
      <w:r>
        <w:rPr>
          <w:w w:val="105"/>
          <w:sz w:val="13"/>
        </w:rPr>
        <w:t>quarter:</w:t>
      </w:r>
      <w:r>
        <w:rPr>
          <w:spacing w:val="5"/>
          <w:w w:val="105"/>
          <w:sz w:val="13"/>
        </w:rPr>
        <w:t> </w:t>
      </w:r>
      <w:r>
        <w:rPr>
          <w:w w:val="105"/>
          <w:sz w:val="13"/>
        </w:rPr>
        <w:t>Australian</w:t>
      </w:r>
      <w:r>
        <w:rPr>
          <w:spacing w:val="4"/>
          <w:w w:val="105"/>
          <w:sz w:val="13"/>
        </w:rPr>
        <w:t> </w:t>
      </w:r>
      <w:r>
        <w:rPr>
          <w:w w:val="105"/>
          <w:sz w:val="13"/>
        </w:rPr>
        <w:t>Taxation</w:t>
      </w:r>
      <w:r>
        <w:rPr>
          <w:spacing w:val="5"/>
          <w:w w:val="105"/>
          <w:sz w:val="13"/>
        </w:rPr>
        <w:t> </w:t>
      </w:r>
      <w:r>
        <w:rPr>
          <w:w w:val="105"/>
          <w:sz w:val="13"/>
        </w:rPr>
        <w:t>Office,</w:t>
      </w:r>
      <w:r>
        <w:rPr>
          <w:spacing w:val="4"/>
          <w:w w:val="105"/>
          <w:sz w:val="13"/>
        </w:rPr>
        <w:t> </w:t>
      </w:r>
      <w:r>
        <w:rPr>
          <w:i/>
          <w:w w:val="105"/>
          <w:sz w:val="13"/>
        </w:rPr>
        <w:t>Consumer</w:t>
      </w:r>
      <w:r>
        <w:rPr>
          <w:i/>
          <w:spacing w:val="4"/>
          <w:w w:val="105"/>
          <w:sz w:val="13"/>
        </w:rPr>
        <w:t> </w:t>
      </w:r>
      <w:r>
        <w:rPr>
          <w:i/>
          <w:w w:val="105"/>
          <w:sz w:val="13"/>
        </w:rPr>
        <w:t>Price</w:t>
      </w:r>
      <w:r>
        <w:rPr>
          <w:i/>
          <w:spacing w:val="3"/>
          <w:w w:val="105"/>
          <w:sz w:val="13"/>
        </w:rPr>
        <w:t> </w:t>
      </w:r>
      <w:r>
        <w:rPr>
          <w:i/>
          <w:w w:val="105"/>
          <w:sz w:val="13"/>
        </w:rPr>
        <w:t>Index</w:t>
      </w:r>
      <w:r>
        <w:rPr>
          <w:i/>
          <w:spacing w:val="4"/>
          <w:w w:val="105"/>
          <w:sz w:val="13"/>
        </w:rPr>
        <w:t> </w:t>
      </w:r>
      <w:r>
        <w:rPr>
          <w:i/>
          <w:spacing w:val="2"/>
          <w:w w:val="105"/>
          <w:sz w:val="13"/>
        </w:rPr>
        <w:t>(CPI)</w:t>
      </w:r>
      <w:r>
        <w:rPr>
          <w:i/>
          <w:spacing w:val="4"/>
          <w:w w:val="105"/>
          <w:sz w:val="13"/>
        </w:rPr>
        <w:t> </w:t>
      </w:r>
      <w:r>
        <w:rPr>
          <w:i/>
          <w:w w:val="105"/>
          <w:sz w:val="13"/>
        </w:rPr>
        <w:t>Rates</w:t>
      </w:r>
    </w:p>
    <w:p>
      <w:pPr>
        <w:spacing w:before="3"/>
        <w:ind w:left="1232" w:right="0" w:firstLine="0"/>
        <w:jc w:val="left"/>
        <w:rPr>
          <w:sz w:val="13"/>
        </w:rPr>
      </w:pPr>
      <w:r>
        <w:rPr>
          <w:w w:val="110"/>
          <w:sz w:val="13"/>
        </w:rPr>
        <w:t>&lt; http://www.ato.gov.au/taxprofessionals/content.aspx?doc=/content/1566.htm&gt;.</w:t>
      </w:r>
    </w:p>
    <w:p>
      <w:pPr>
        <w:pStyle w:val="ListParagraph"/>
        <w:numPr>
          <w:ilvl w:val="0"/>
          <w:numId w:val="140"/>
        </w:numPr>
        <w:tabs>
          <w:tab w:pos="1232" w:val="left" w:leader="none"/>
          <w:tab w:pos="1233" w:val="left" w:leader="none"/>
        </w:tabs>
        <w:spacing w:line="240" w:lineRule="auto" w:before="1" w:after="0"/>
        <w:ind w:left="1232" w:right="0" w:hanging="794"/>
        <w:jc w:val="left"/>
        <w:rPr>
          <w:sz w:val="13"/>
        </w:rPr>
      </w:pPr>
      <w:r>
        <w:rPr>
          <w:w w:val="105"/>
          <w:sz w:val="13"/>
        </w:rPr>
        <w:t>Victorian Law Reform Commission, above n 6,</w:t>
      </w:r>
      <w:r>
        <w:rPr>
          <w:spacing w:val="2"/>
          <w:w w:val="105"/>
          <w:sz w:val="13"/>
        </w:rPr>
        <w:t> </w:t>
      </w:r>
      <w:r>
        <w:rPr>
          <w:w w:val="105"/>
          <w:sz w:val="13"/>
        </w:rPr>
        <w:t>20.</w:t>
      </w:r>
    </w:p>
    <w:p>
      <w:pPr>
        <w:pStyle w:val="ListParagraph"/>
        <w:numPr>
          <w:ilvl w:val="0"/>
          <w:numId w:val="140"/>
        </w:numPr>
        <w:tabs>
          <w:tab w:pos="1232" w:val="left" w:leader="none"/>
          <w:tab w:pos="1233" w:val="left" w:leader="none"/>
        </w:tabs>
        <w:spacing w:line="240" w:lineRule="auto" w:before="2" w:after="0"/>
        <w:ind w:left="1232" w:right="0" w:hanging="794"/>
        <w:jc w:val="left"/>
        <w:rPr>
          <w:sz w:val="13"/>
        </w:rPr>
      </w:pPr>
      <w:r>
        <w:rPr>
          <w:w w:val="105"/>
          <w:sz w:val="13"/>
        </w:rPr>
        <w:t>Submission 25 </w:t>
      </w:r>
      <w:r>
        <w:rPr>
          <w:spacing w:val="2"/>
          <w:w w:val="105"/>
          <w:sz w:val="13"/>
        </w:rPr>
        <w:t>(Moores</w:t>
      </w:r>
      <w:r>
        <w:rPr>
          <w:spacing w:val="13"/>
          <w:w w:val="105"/>
          <w:sz w:val="13"/>
        </w:rPr>
        <w:t> </w:t>
      </w:r>
      <w:r>
        <w:rPr>
          <w:w w:val="105"/>
          <w:sz w:val="13"/>
        </w:rPr>
        <w:t>Legal).</w:t>
      </w:r>
    </w:p>
    <w:p>
      <w:pPr>
        <w:pStyle w:val="ListParagraph"/>
        <w:numPr>
          <w:ilvl w:val="0"/>
          <w:numId w:val="140"/>
        </w:numPr>
        <w:tabs>
          <w:tab w:pos="1232" w:val="left" w:leader="none"/>
          <w:tab w:pos="1233" w:val="left" w:leader="none"/>
        </w:tabs>
        <w:spacing w:line="240" w:lineRule="auto" w:before="1" w:after="0"/>
        <w:ind w:left="1232" w:right="0" w:hanging="794"/>
        <w:jc w:val="left"/>
        <w:rPr>
          <w:sz w:val="13"/>
        </w:rPr>
      </w:pPr>
      <w:r>
        <w:rPr>
          <w:w w:val="105"/>
          <w:sz w:val="13"/>
        </w:rPr>
        <w:t>Advisory</w:t>
      </w:r>
      <w:r>
        <w:rPr>
          <w:spacing w:val="4"/>
          <w:w w:val="105"/>
          <w:sz w:val="13"/>
        </w:rPr>
        <w:t> </w:t>
      </w:r>
      <w:r>
        <w:rPr>
          <w:w w:val="105"/>
          <w:sz w:val="13"/>
        </w:rPr>
        <w:t>Committee</w:t>
      </w:r>
      <w:r>
        <w:rPr>
          <w:spacing w:val="5"/>
          <w:w w:val="105"/>
          <w:sz w:val="13"/>
        </w:rPr>
        <w:t> </w:t>
      </w:r>
      <w:r>
        <w:rPr>
          <w:w w:val="105"/>
          <w:sz w:val="13"/>
        </w:rPr>
        <w:t>(Meeting</w:t>
      </w:r>
      <w:r>
        <w:rPr>
          <w:spacing w:val="4"/>
          <w:w w:val="105"/>
          <w:sz w:val="13"/>
        </w:rPr>
        <w:t> </w:t>
      </w:r>
      <w:r>
        <w:rPr>
          <w:w w:val="105"/>
          <w:sz w:val="13"/>
        </w:rPr>
        <w:t>1);</w:t>
      </w:r>
      <w:r>
        <w:rPr>
          <w:spacing w:val="5"/>
          <w:w w:val="105"/>
          <w:sz w:val="13"/>
        </w:rPr>
        <w:t> </w:t>
      </w:r>
      <w:r>
        <w:rPr>
          <w:w w:val="105"/>
          <w:sz w:val="13"/>
        </w:rPr>
        <w:t>submissions</w:t>
      </w:r>
      <w:r>
        <w:rPr>
          <w:spacing w:val="5"/>
          <w:w w:val="105"/>
          <w:sz w:val="13"/>
        </w:rPr>
        <w:t> </w:t>
      </w:r>
      <w:r>
        <w:rPr>
          <w:spacing w:val="-3"/>
          <w:w w:val="105"/>
          <w:sz w:val="13"/>
        </w:rPr>
        <w:t>14</w:t>
      </w:r>
      <w:r>
        <w:rPr>
          <w:spacing w:val="4"/>
          <w:w w:val="105"/>
          <w:sz w:val="13"/>
        </w:rPr>
        <w:t> </w:t>
      </w:r>
      <w:r>
        <w:rPr>
          <w:w w:val="105"/>
          <w:sz w:val="13"/>
        </w:rPr>
        <w:t>(Commercial</w:t>
      </w:r>
      <w:r>
        <w:rPr>
          <w:spacing w:val="5"/>
          <w:w w:val="105"/>
          <w:sz w:val="13"/>
        </w:rPr>
        <w:t> </w:t>
      </w:r>
      <w:r>
        <w:rPr>
          <w:w w:val="105"/>
          <w:sz w:val="13"/>
        </w:rPr>
        <w:t>Bar</w:t>
      </w:r>
      <w:r>
        <w:rPr>
          <w:spacing w:val="5"/>
          <w:w w:val="105"/>
          <w:sz w:val="13"/>
        </w:rPr>
        <w:t> </w:t>
      </w:r>
      <w:r>
        <w:rPr>
          <w:spacing w:val="2"/>
          <w:w w:val="105"/>
          <w:sz w:val="13"/>
        </w:rPr>
        <w:t>Association);</w:t>
      </w:r>
      <w:r>
        <w:rPr>
          <w:spacing w:val="4"/>
          <w:w w:val="105"/>
          <w:sz w:val="13"/>
        </w:rPr>
        <w:t> </w:t>
      </w:r>
      <w:r>
        <w:rPr>
          <w:spacing w:val="2"/>
          <w:w w:val="105"/>
          <w:sz w:val="13"/>
        </w:rPr>
        <w:t>30b</w:t>
      </w:r>
      <w:r>
        <w:rPr>
          <w:spacing w:val="5"/>
          <w:w w:val="105"/>
          <w:sz w:val="13"/>
        </w:rPr>
        <w:t> </w:t>
      </w:r>
      <w:r>
        <w:rPr>
          <w:spacing w:val="3"/>
          <w:w w:val="105"/>
          <w:sz w:val="13"/>
        </w:rPr>
        <w:t>(Law</w:t>
      </w:r>
      <w:r>
        <w:rPr>
          <w:spacing w:val="5"/>
          <w:w w:val="105"/>
          <w:sz w:val="13"/>
        </w:rPr>
        <w:t> </w:t>
      </w:r>
      <w:r>
        <w:rPr>
          <w:w w:val="105"/>
          <w:sz w:val="13"/>
        </w:rPr>
        <w:t>Institute</w:t>
      </w:r>
      <w:r>
        <w:rPr>
          <w:spacing w:val="4"/>
          <w:w w:val="105"/>
          <w:sz w:val="13"/>
        </w:rPr>
        <w:t> </w:t>
      </w:r>
      <w:r>
        <w:rPr>
          <w:w w:val="105"/>
          <w:sz w:val="13"/>
        </w:rPr>
        <w:t>of</w:t>
      </w:r>
      <w:r>
        <w:rPr>
          <w:spacing w:val="5"/>
          <w:w w:val="105"/>
          <w:sz w:val="13"/>
        </w:rPr>
        <w:t> </w:t>
      </w:r>
      <w:r>
        <w:rPr>
          <w:spacing w:val="2"/>
          <w:w w:val="105"/>
          <w:sz w:val="13"/>
        </w:rPr>
        <w:t>Victoria).</w:t>
      </w:r>
    </w:p>
    <w:p>
      <w:pPr>
        <w:pStyle w:val="ListParagraph"/>
        <w:numPr>
          <w:ilvl w:val="0"/>
          <w:numId w:val="140"/>
        </w:numPr>
        <w:tabs>
          <w:tab w:pos="1232" w:val="left" w:leader="none"/>
          <w:tab w:pos="1233" w:val="left" w:leader="none"/>
        </w:tabs>
        <w:spacing w:line="240" w:lineRule="auto" w:before="1" w:after="0"/>
        <w:ind w:left="1232" w:right="0" w:hanging="794"/>
        <w:jc w:val="left"/>
        <w:rPr>
          <w:sz w:val="13"/>
        </w:rPr>
      </w:pPr>
      <w:r>
        <w:rPr>
          <w:i/>
          <w:w w:val="105"/>
          <w:sz w:val="13"/>
        </w:rPr>
        <w:t>Administration and Probate Act 1958 </w:t>
      </w:r>
      <w:r>
        <w:rPr>
          <w:spacing w:val="2"/>
          <w:w w:val="105"/>
          <w:sz w:val="13"/>
        </w:rPr>
        <w:t>(Vic) </w:t>
      </w:r>
      <w:r>
        <w:rPr>
          <w:w w:val="105"/>
          <w:sz w:val="13"/>
        </w:rPr>
        <w:t>s</w:t>
      </w:r>
      <w:r>
        <w:rPr>
          <w:spacing w:val="25"/>
          <w:w w:val="105"/>
          <w:sz w:val="13"/>
        </w:rPr>
        <w:t> </w:t>
      </w:r>
      <w:r>
        <w:rPr>
          <w:w w:val="105"/>
          <w:sz w:val="13"/>
        </w:rPr>
        <w:t>78.</w:t>
      </w:r>
    </w:p>
    <w:p>
      <w:pPr>
        <w:pStyle w:val="ListParagraph"/>
        <w:numPr>
          <w:ilvl w:val="0"/>
          <w:numId w:val="140"/>
        </w:numPr>
        <w:tabs>
          <w:tab w:pos="1232" w:val="left" w:leader="none"/>
          <w:tab w:pos="1233" w:val="left" w:leader="none"/>
        </w:tabs>
        <w:spacing w:line="240" w:lineRule="auto" w:before="2" w:after="0"/>
        <w:ind w:left="1232" w:right="1751" w:hanging="794"/>
        <w:jc w:val="left"/>
        <w:rPr>
          <w:sz w:val="13"/>
        </w:rPr>
      </w:pPr>
      <w:r>
        <w:rPr>
          <w:w w:val="105"/>
          <w:sz w:val="13"/>
        </w:rPr>
        <w:t>National Committee for Uniform Succession Laws, </w:t>
      </w:r>
      <w:r>
        <w:rPr>
          <w:i/>
          <w:w w:val="105"/>
          <w:sz w:val="13"/>
        </w:rPr>
        <w:t>Administration of Estates of Deceased Persons: Report of the National Committee for </w:t>
      </w:r>
      <w:r>
        <w:rPr>
          <w:i/>
          <w:w w:val="105"/>
          <w:sz w:val="13"/>
        </w:rPr>
        <w:t>Uniform Succession Laws to the Standing Committee of Attorneys General: Volume </w:t>
      </w:r>
      <w:r>
        <w:rPr>
          <w:i/>
          <w:spacing w:val="-3"/>
          <w:w w:val="105"/>
          <w:sz w:val="13"/>
        </w:rPr>
        <w:t>3</w:t>
      </w:r>
      <w:r>
        <w:rPr>
          <w:spacing w:val="-3"/>
          <w:w w:val="105"/>
          <w:sz w:val="13"/>
        </w:rPr>
        <w:t>, </w:t>
      </w:r>
      <w:r>
        <w:rPr>
          <w:w w:val="105"/>
          <w:sz w:val="13"/>
        </w:rPr>
        <w:t>Queensland Law Reform Commission </w:t>
      </w:r>
      <w:r>
        <w:rPr>
          <w:spacing w:val="2"/>
          <w:w w:val="105"/>
          <w:sz w:val="13"/>
        </w:rPr>
        <w:t>Report </w:t>
      </w:r>
      <w:r>
        <w:rPr>
          <w:w w:val="105"/>
          <w:sz w:val="13"/>
        </w:rPr>
        <w:t>No 65 </w:t>
      </w:r>
      <w:r>
        <w:rPr>
          <w:spacing w:val="2"/>
          <w:w w:val="105"/>
          <w:sz w:val="13"/>
        </w:rPr>
        <w:t>(2009) </w:t>
      </w:r>
      <w:r>
        <w:rPr>
          <w:spacing w:val="-4"/>
          <w:w w:val="105"/>
          <w:sz w:val="13"/>
        </w:rPr>
        <w:t>121 </w:t>
      </w:r>
      <w:r>
        <w:rPr>
          <w:w w:val="105"/>
          <w:sz w:val="13"/>
        </w:rPr>
        <w:t>(‘</w:t>
      </w:r>
      <w:r>
        <w:rPr>
          <w:i/>
          <w:w w:val="105"/>
          <w:sz w:val="13"/>
        </w:rPr>
        <w:t>Administration of Estates: Volume</w:t>
      </w:r>
      <w:r>
        <w:rPr>
          <w:i/>
          <w:spacing w:val="-2"/>
          <w:w w:val="105"/>
          <w:sz w:val="13"/>
        </w:rPr>
        <w:t> </w:t>
      </w:r>
      <w:r>
        <w:rPr>
          <w:i/>
          <w:spacing w:val="4"/>
          <w:w w:val="105"/>
          <w:sz w:val="13"/>
        </w:rPr>
        <w:t>3</w:t>
      </w:r>
      <w:r>
        <w:rPr>
          <w:spacing w:val="4"/>
          <w:w w:val="105"/>
          <w:sz w:val="13"/>
        </w:rPr>
        <w:t>’).</w:t>
      </w:r>
    </w:p>
    <w:p>
      <w:pPr>
        <w:spacing w:after="0" w:line="240" w:lineRule="auto"/>
        <w:jc w:val="left"/>
        <w:rPr>
          <w:sz w:val="13"/>
        </w:rPr>
        <w:sectPr>
          <w:type w:val="continuous"/>
          <w:pgSz w:w="11910" w:h="16840"/>
          <w:pgMar w:top="920" w:bottom="280" w:left="0" w:right="0"/>
          <w:cols w:num="2" w:equalWidth="0">
            <w:col w:w="1110" w:space="40"/>
            <w:col w:w="10760"/>
          </w:cols>
        </w:sectPr>
      </w:pPr>
    </w:p>
    <w:p>
      <w:pPr>
        <w:pStyle w:val="BodyText"/>
        <w:rPr>
          <w:sz w:val="20"/>
        </w:rPr>
      </w:pPr>
    </w:p>
    <w:p>
      <w:pPr>
        <w:pStyle w:val="BodyText"/>
        <w:spacing w:before="11" w:after="1"/>
        <w:rPr>
          <w:sz w:val="29"/>
        </w:rPr>
      </w:pPr>
    </w:p>
    <w:p>
      <w:pPr>
        <w:pStyle w:val="BodyText"/>
        <w:ind w:left="1222"/>
        <w:rPr>
          <w:sz w:val="20"/>
        </w:rPr>
      </w:pPr>
      <w:r>
        <w:rPr>
          <w:sz w:val="20"/>
        </w:rPr>
        <w:pict>
          <v:group style="width:479.1pt;height:244.55pt;mso-position-horizontal-relative:char;mso-position-vertical-relative:line" coordorigin="0,0" coordsize="9582,4891">
            <v:rect style="position:absolute;left:340;top:0;width:8731;height:4891" filled="true" fillcolor="#fdebea" stroked="false">
              <v:fill type="solid"/>
            </v:rect>
            <v:line style="position:absolute" from="0,751" to="9581,751" stroked="true" strokeweight="2.5pt" strokecolor="#ffffff">
              <v:stroke dashstyle="solid"/>
            </v:line>
            <v:shape style="position:absolute;left:1133;top:987;width:7637;height:3729" type="#_x0000_t202" filled="false" stroked="false">
              <v:textbox inset="0,0,0,0">
                <w:txbxContent>
                  <w:p>
                    <w:pPr>
                      <w:spacing w:line="242" w:lineRule="auto" w:before="0"/>
                      <w:ind w:left="0" w:right="714" w:firstLine="0"/>
                      <w:jc w:val="left"/>
                      <w:rPr>
                        <w:sz w:val="21"/>
                      </w:rPr>
                    </w:pPr>
                    <w:r>
                      <w:rPr>
                        <w:w w:val="105"/>
                        <w:sz w:val="21"/>
                      </w:rPr>
                      <w:t>Section</w:t>
                    </w:r>
                    <w:r>
                      <w:rPr>
                        <w:spacing w:val="-10"/>
                        <w:w w:val="105"/>
                        <w:sz w:val="21"/>
                      </w:rPr>
                      <w:t> </w:t>
                    </w:r>
                    <w:r>
                      <w:rPr>
                        <w:spacing w:val="-4"/>
                        <w:w w:val="105"/>
                        <w:sz w:val="21"/>
                      </w:rPr>
                      <w:t>71(1)</w:t>
                    </w:r>
                    <w:r>
                      <w:rPr>
                        <w:spacing w:val="-9"/>
                        <w:w w:val="105"/>
                        <w:sz w:val="21"/>
                      </w:rPr>
                      <w:t> </w:t>
                    </w:r>
                    <w:r>
                      <w:rPr>
                        <w:w w:val="105"/>
                        <w:sz w:val="21"/>
                      </w:rPr>
                      <w:t>of</w:t>
                    </w:r>
                    <w:r>
                      <w:rPr>
                        <w:spacing w:val="-10"/>
                        <w:w w:val="105"/>
                        <w:sz w:val="21"/>
                      </w:rPr>
                      <w:t> </w:t>
                    </w:r>
                    <w:r>
                      <w:rPr>
                        <w:w w:val="105"/>
                        <w:sz w:val="21"/>
                      </w:rPr>
                      <w:t>the</w:t>
                    </w:r>
                    <w:r>
                      <w:rPr>
                        <w:spacing w:val="-9"/>
                        <w:w w:val="105"/>
                        <w:sz w:val="21"/>
                      </w:rPr>
                      <w:t> </w:t>
                    </w:r>
                    <w:r>
                      <w:rPr>
                        <w:rFonts w:ascii="Lucida Sans"/>
                        <w:i/>
                        <w:w w:val="105"/>
                        <w:sz w:val="21"/>
                      </w:rPr>
                      <w:t>Administration</w:t>
                    </w:r>
                    <w:r>
                      <w:rPr>
                        <w:rFonts w:ascii="Lucida Sans"/>
                        <w:i/>
                        <w:spacing w:val="-30"/>
                        <w:w w:val="105"/>
                        <w:sz w:val="21"/>
                      </w:rPr>
                      <w:t> </w:t>
                    </w:r>
                    <w:r>
                      <w:rPr>
                        <w:rFonts w:ascii="Lucida Sans"/>
                        <w:i/>
                        <w:w w:val="105"/>
                        <w:sz w:val="21"/>
                      </w:rPr>
                      <w:t>and</w:t>
                    </w:r>
                    <w:r>
                      <w:rPr>
                        <w:rFonts w:ascii="Lucida Sans"/>
                        <w:i/>
                        <w:spacing w:val="-29"/>
                        <w:w w:val="105"/>
                        <w:sz w:val="21"/>
                      </w:rPr>
                      <w:t> </w:t>
                    </w:r>
                    <w:r>
                      <w:rPr>
                        <w:rFonts w:ascii="Lucida Sans"/>
                        <w:i/>
                        <w:w w:val="105"/>
                        <w:sz w:val="21"/>
                      </w:rPr>
                      <w:t>Probate</w:t>
                    </w:r>
                    <w:r>
                      <w:rPr>
                        <w:rFonts w:ascii="Lucida Sans"/>
                        <w:i/>
                        <w:spacing w:val="-29"/>
                        <w:w w:val="105"/>
                        <w:sz w:val="21"/>
                      </w:rPr>
                      <w:t> </w:t>
                    </w:r>
                    <w:r>
                      <w:rPr>
                        <w:rFonts w:ascii="Lucida Sans"/>
                        <w:i/>
                        <w:w w:val="105"/>
                        <w:sz w:val="21"/>
                      </w:rPr>
                      <w:t>Act</w:t>
                    </w:r>
                    <w:r>
                      <w:rPr>
                        <w:rFonts w:ascii="Lucida Sans"/>
                        <w:i/>
                        <w:spacing w:val="-30"/>
                        <w:w w:val="105"/>
                        <w:sz w:val="21"/>
                      </w:rPr>
                      <w:t> </w:t>
                    </w:r>
                    <w:r>
                      <w:rPr>
                        <w:rFonts w:ascii="Lucida Sans"/>
                        <w:i/>
                        <w:spacing w:val="-4"/>
                        <w:w w:val="105"/>
                        <w:sz w:val="21"/>
                      </w:rPr>
                      <w:t>1958</w:t>
                    </w:r>
                    <w:r>
                      <w:rPr>
                        <w:rFonts w:ascii="Lucida Sans"/>
                        <w:i/>
                        <w:spacing w:val="-29"/>
                        <w:w w:val="105"/>
                        <w:sz w:val="21"/>
                      </w:rPr>
                      <w:t> </w:t>
                    </w:r>
                    <w:r>
                      <w:rPr>
                        <w:w w:val="105"/>
                        <w:sz w:val="21"/>
                      </w:rPr>
                      <w:t>(Vic)</w:t>
                    </w:r>
                    <w:r>
                      <w:rPr>
                        <w:spacing w:val="-10"/>
                        <w:w w:val="105"/>
                        <w:sz w:val="21"/>
                      </w:rPr>
                      <w:t> </w:t>
                    </w:r>
                    <w:r>
                      <w:rPr>
                        <w:w w:val="105"/>
                        <w:sz w:val="21"/>
                      </w:rPr>
                      <w:t>should be replaced with a provision</w:t>
                    </w:r>
                    <w:r>
                      <w:rPr>
                        <w:spacing w:val="44"/>
                        <w:w w:val="105"/>
                        <w:sz w:val="21"/>
                      </w:rPr>
                      <w:t> </w:t>
                    </w:r>
                    <w:r>
                      <w:rPr>
                        <w:w w:val="105"/>
                        <w:sz w:val="21"/>
                      </w:rPr>
                      <w:t>that:</w:t>
                    </w:r>
                  </w:p>
                  <w:p>
                    <w:pPr>
                      <w:numPr>
                        <w:ilvl w:val="0"/>
                        <w:numId w:val="141"/>
                      </w:numPr>
                      <w:tabs>
                        <w:tab w:pos="341" w:val="left" w:leader="none"/>
                      </w:tabs>
                      <w:spacing w:line="242" w:lineRule="auto" w:before="115"/>
                      <w:ind w:left="340" w:right="18" w:hanging="340"/>
                      <w:jc w:val="left"/>
                      <w:rPr>
                        <w:sz w:val="21"/>
                      </w:rPr>
                    </w:pPr>
                    <w:r>
                      <w:rPr>
                        <w:w w:val="115"/>
                        <w:sz w:val="21"/>
                      </w:rPr>
                      <w:t>permits</w:t>
                    </w:r>
                    <w:r>
                      <w:rPr>
                        <w:spacing w:val="-6"/>
                        <w:w w:val="115"/>
                        <w:sz w:val="21"/>
                      </w:rPr>
                      <w:t> </w:t>
                    </w:r>
                    <w:r>
                      <w:rPr>
                        <w:w w:val="115"/>
                        <w:sz w:val="21"/>
                      </w:rPr>
                      <w:t>a</w:t>
                    </w:r>
                    <w:r>
                      <w:rPr>
                        <w:spacing w:val="-5"/>
                        <w:w w:val="115"/>
                        <w:sz w:val="21"/>
                      </w:rPr>
                      <w:t> </w:t>
                    </w:r>
                    <w:r>
                      <w:rPr>
                        <w:w w:val="115"/>
                        <w:sz w:val="21"/>
                      </w:rPr>
                      <w:t>person</w:t>
                    </w:r>
                    <w:r>
                      <w:rPr>
                        <w:spacing w:val="-6"/>
                        <w:w w:val="115"/>
                        <w:sz w:val="21"/>
                      </w:rPr>
                      <w:t> </w:t>
                    </w:r>
                    <w:r>
                      <w:rPr>
                        <w:w w:val="115"/>
                        <w:sz w:val="21"/>
                      </w:rPr>
                      <w:t>entitled</w:t>
                    </w:r>
                    <w:r>
                      <w:rPr>
                        <w:spacing w:val="-5"/>
                        <w:w w:val="115"/>
                        <w:sz w:val="21"/>
                      </w:rPr>
                      <w:t> </w:t>
                    </w:r>
                    <w:r>
                      <w:rPr>
                        <w:w w:val="115"/>
                        <w:sz w:val="21"/>
                      </w:rPr>
                      <w:t>to</w:t>
                    </w:r>
                    <w:r>
                      <w:rPr>
                        <w:spacing w:val="-6"/>
                        <w:w w:val="115"/>
                        <w:sz w:val="21"/>
                      </w:rPr>
                      <w:t> </w:t>
                    </w:r>
                    <w:r>
                      <w:rPr>
                        <w:w w:val="115"/>
                        <w:sz w:val="21"/>
                      </w:rPr>
                      <w:t>probate</w:t>
                    </w:r>
                    <w:r>
                      <w:rPr>
                        <w:spacing w:val="-5"/>
                        <w:w w:val="115"/>
                        <w:sz w:val="21"/>
                      </w:rPr>
                      <w:t> </w:t>
                    </w:r>
                    <w:r>
                      <w:rPr>
                        <w:w w:val="115"/>
                        <w:sz w:val="21"/>
                      </w:rPr>
                      <w:t>of</w:t>
                    </w:r>
                    <w:r>
                      <w:rPr>
                        <w:spacing w:val="-6"/>
                        <w:w w:val="115"/>
                        <w:sz w:val="21"/>
                      </w:rPr>
                      <w:t> </w:t>
                    </w:r>
                    <w:r>
                      <w:rPr>
                        <w:w w:val="115"/>
                        <w:sz w:val="21"/>
                      </w:rPr>
                      <w:t>the</w:t>
                    </w:r>
                    <w:r>
                      <w:rPr>
                        <w:spacing w:val="-5"/>
                        <w:w w:val="115"/>
                        <w:sz w:val="21"/>
                      </w:rPr>
                      <w:t> </w:t>
                    </w:r>
                    <w:r>
                      <w:rPr>
                        <w:spacing w:val="-3"/>
                        <w:w w:val="115"/>
                        <w:sz w:val="21"/>
                      </w:rPr>
                      <w:t>will</w:t>
                    </w:r>
                    <w:r>
                      <w:rPr>
                        <w:spacing w:val="-6"/>
                        <w:w w:val="115"/>
                        <w:sz w:val="21"/>
                      </w:rPr>
                      <w:t> </w:t>
                    </w:r>
                    <w:r>
                      <w:rPr>
                        <w:w w:val="115"/>
                        <w:sz w:val="21"/>
                      </w:rPr>
                      <w:t>or</w:t>
                    </w:r>
                    <w:r>
                      <w:rPr>
                        <w:spacing w:val="-5"/>
                        <w:w w:val="115"/>
                        <w:sz w:val="21"/>
                      </w:rPr>
                      <w:t> </w:t>
                    </w:r>
                    <w:r>
                      <w:rPr>
                        <w:w w:val="115"/>
                        <w:sz w:val="21"/>
                      </w:rPr>
                      <w:t>letters</w:t>
                    </w:r>
                    <w:r>
                      <w:rPr>
                        <w:spacing w:val="-6"/>
                        <w:w w:val="115"/>
                        <w:sz w:val="21"/>
                      </w:rPr>
                      <w:t> </w:t>
                    </w:r>
                    <w:r>
                      <w:rPr>
                        <w:w w:val="115"/>
                        <w:sz w:val="21"/>
                      </w:rPr>
                      <w:t>of</w:t>
                    </w:r>
                    <w:r>
                      <w:rPr>
                        <w:spacing w:val="-5"/>
                        <w:w w:val="115"/>
                        <w:sz w:val="21"/>
                      </w:rPr>
                      <w:t> </w:t>
                    </w:r>
                    <w:r>
                      <w:rPr>
                        <w:w w:val="115"/>
                        <w:sz w:val="21"/>
                      </w:rPr>
                      <w:t>administration in respect of an estate not exceeding $100,000 in value to apply to the registrar</w:t>
                    </w:r>
                    <w:r>
                      <w:rPr>
                        <w:spacing w:val="-9"/>
                        <w:w w:val="115"/>
                        <w:sz w:val="21"/>
                      </w:rPr>
                      <w:t> </w:t>
                    </w:r>
                    <w:r>
                      <w:rPr>
                        <w:w w:val="115"/>
                        <w:sz w:val="21"/>
                      </w:rPr>
                      <w:t>of</w:t>
                    </w:r>
                    <w:r>
                      <w:rPr>
                        <w:spacing w:val="-8"/>
                        <w:w w:val="115"/>
                        <w:sz w:val="21"/>
                      </w:rPr>
                      <w:t> </w:t>
                    </w:r>
                    <w:r>
                      <w:rPr>
                        <w:w w:val="115"/>
                        <w:sz w:val="21"/>
                      </w:rPr>
                      <w:t>probates</w:t>
                    </w:r>
                    <w:r>
                      <w:rPr>
                        <w:spacing w:val="-8"/>
                        <w:w w:val="115"/>
                        <w:sz w:val="21"/>
                      </w:rPr>
                      <w:t> </w:t>
                    </w:r>
                    <w:r>
                      <w:rPr>
                        <w:spacing w:val="-5"/>
                        <w:w w:val="115"/>
                        <w:sz w:val="21"/>
                      </w:rPr>
                      <w:t>or,</w:t>
                    </w:r>
                    <w:r>
                      <w:rPr>
                        <w:spacing w:val="-8"/>
                        <w:w w:val="115"/>
                        <w:sz w:val="21"/>
                      </w:rPr>
                      <w:t> </w:t>
                    </w:r>
                    <w:r>
                      <w:rPr>
                        <w:w w:val="115"/>
                        <w:sz w:val="21"/>
                      </w:rPr>
                      <w:t>where</w:t>
                    </w:r>
                    <w:r>
                      <w:rPr>
                        <w:spacing w:val="-8"/>
                        <w:w w:val="115"/>
                        <w:sz w:val="21"/>
                      </w:rPr>
                      <w:t> </w:t>
                    </w:r>
                    <w:r>
                      <w:rPr>
                        <w:w w:val="115"/>
                        <w:sz w:val="21"/>
                      </w:rPr>
                      <w:t>appropriate,</w:t>
                    </w:r>
                    <w:r>
                      <w:rPr>
                        <w:spacing w:val="-8"/>
                        <w:w w:val="115"/>
                        <w:sz w:val="21"/>
                      </w:rPr>
                      <w:t> </w:t>
                    </w:r>
                    <w:r>
                      <w:rPr>
                        <w:w w:val="115"/>
                        <w:sz w:val="21"/>
                      </w:rPr>
                      <w:t>a</w:t>
                    </w:r>
                    <w:r>
                      <w:rPr>
                        <w:spacing w:val="-8"/>
                        <w:w w:val="115"/>
                        <w:sz w:val="21"/>
                      </w:rPr>
                      <w:t> </w:t>
                    </w:r>
                    <w:r>
                      <w:rPr>
                        <w:w w:val="115"/>
                        <w:sz w:val="21"/>
                      </w:rPr>
                      <w:t>registrar</w:t>
                    </w:r>
                    <w:r>
                      <w:rPr>
                        <w:spacing w:val="-8"/>
                        <w:w w:val="115"/>
                        <w:sz w:val="21"/>
                      </w:rPr>
                      <w:t> </w:t>
                    </w:r>
                    <w:r>
                      <w:rPr>
                        <w:w w:val="115"/>
                        <w:sz w:val="21"/>
                      </w:rPr>
                      <w:t>of</w:t>
                    </w:r>
                    <w:r>
                      <w:rPr>
                        <w:spacing w:val="-8"/>
                        <w:w w:val="115"/>
                        <w:sz w:val="21"/>
                      </w:rPr>
                      <w:t> </w:t>
                    </w:r>
                    <w:r>
                      <w:rPr>
                        <w:w w:val="115"/>
                        <w:sz w:val="21"/>
                      </w:rPr>
                      <w:t>the</w:t>
                    </w:r>
                    <w:r>
                      <w:rPr>
                        <w:spacing w:val="-8"/>
                        <w:w w:val="115"/>
                        <w:sz w:val="21"/>
                      </w:rPr>
                      <w:t> </w:t>
                    </w:r>
                    <w:r>
                      <w:rPr>
                        <w:w w:val="115"/>
                        <w:sz w:val="21"/>
                      </w:rPr>
                      <w:t>Magistrates’</w:t>
                    </w:r>
                  </w:p>
                  <w:p>
                    <w:pPr>
                      <w:spacing w:before="3"/>
                      <w:ind w:left="340" w:right="0" w:firstLine="0"/>
                      <w:jc w:val="left"/>
                      <w:rPr>
                        <w:sz w:val="21"/>
                      </w:rPr>
                    </w:pPr>
                    <w:r>
                      <w:rPr>
                        <w:w w:val="115"/>
                        <w:sz w:val="21"/>
                      </w:rPr>
                      <w:t>Court, for aid in obtaining a grant of representation</w:t>
                    </w:r>
                  </w:p>
                  <w:p>
                    <w:pPr>
                      <w:numPr>
                        <w:ilvl w:val="0"/>
                        <w:numId w:val="141"/>
                      </w:numPr>
                      <w:tabs>
                        <w:tab w:pos="341" w:val="left" w:leader="none"/>
                      </w:tabs>
                      <w:spacing w:line="242" w:lineRule="auto" w:before="124"/>
                      <w:ind w:left="340" w:right="469" w:hanging="340"/>
                      <w:jc w:val="left"/>
                      <w:rPr>
                        <w:sz w:val="21"/>
                      </w:rPr>
                    </w:pPr>
                    <w:r>
                      <w:rPr>
                        <w:w w:val="115"/>
                        <w:sz w:val="21"/>
                      </w:rPr>
                      <w:t>provides for the maximum value of the estate in respect of which the aid</w:t>
                    </w:r>
                    <w:r>
                      <w:rPr>
                        <w:spacing w:val="-6"/>
                        <w:w w:val="115"/>
                        <w:sz w:val="21"/>
                      </w:rPr>
                      <w:t> </w:t>
                    </w:r>
                    <w:r>
                      <w:rPr>
                        <w:w w:val="115"/>
                        <w:sz w:val="21"/>
                      </w:rPr>
                      <w:t>may</w:t>
                    </w:r>
                    <w:r>
                      <w:rPr>
                        <w:spacing w:val="-5"/>
                        <w:w w:val="115"/>
                        <w:sz w:val="21"/>
                      </w:rPr>
                      <w:t> </w:t>
                    </w:r>
                    <w:r>
                      <w:rPr>
                        <w:w w:val="115"/>
                        <w:sz w:val="21"/>
                      </w:rPr>
                      <w:t>be</w:t>
                    </w:r>
                    <w:r>
                      <w:rPr>
                        <w:spacing w:val="-5"/>
                        <w:w w:val="115"/>
                        <w:sz w:val="21"/>
                      </w:rPr>
                      <w:t> </w:t>
                    </w:r>
                    <w:r>
                      <w:rPr>
                        <w:w w:val="115"/>
                        <w:sz w:val="21"/>
                      </w:rPr>
                      <w:t>provided</w:t>
                    </w:r>
                    <w:r>
                      <w:rPr>
                        <w:spacing w:val="-6"/>
                        <w:w w:val="115"/>
                        <w:sz w:val="21"/>
                      </w:rPr>
                      <w:t> </w:t>
                    </w:r>
                    <w:r>
                      <w:rPr>
                        <w:w w:val="115"/>
                        <w:sz w:val="21"/>
                      </w:rPr>
                      <w:t>to</w:t>
                    </w:r>
                    <w:r>
                      <w:rPr>
                        <w:spacing w:val="-5"/>
                        <w:w w:val="115"/>
                        <w:sz w:val="21"/>
                      </w:rPr>
                      <w:t> </w:t>
                    </w:r>
                    <w:r>
                      <w:rPr>
                        <w:w w:val="115"/>
                        <w:sz w:val="21"/>
                      </w:rPr>
                      <w:t>be</w:t>
                    </w:r>
                    <w:r>
                      <w:rPr>
                        <w:spacing w:val="-5"/>
                        <w:w w:val="115"/>
                        <w:sz w:val="21"/>
                      </w:rPr>
                      <w:t> </w:t>
                    </w:r>
                    <w:r>
                      <w:rPr>
                        <w:w w:val="115"/>
                        <w:sz w:val="21"/>
                      </w:rPr>
                      <w:t>adjusted</w:t>
                    </w:r>
                    <w:r>
                      <w:rPr>
                        <w:spacing w:val="-6"/>
                        <w:w w:val="115"/>
                        <w:sz w:val="21"/>
                      </w:rPr>
                      <w:t> </w:t>
                    </w:r>
                    <w:r>
                      <w:rPr>
                        <w:w w:val="115"/>
                        <w:sz w:val="21"/>
                      </w:rPr>
                      <w:t>quarterly</w:t>
                    </w:r>
                    <w:r>
                      <w:rPr>
                        <w:spacing w:val="-5"/>
                        <w:w w:val="115"/>
                        <w:sz w:val="21"/>
                      </w:rPr>
                      <w:t> </w:t>
                    </w:r>
                    <w:r>
                      <w:rPr>
                        <w:w w:val="115"/>
                        <w:sz w:val="21"/>
                      </w:rPr>
                      <w:t>to</w:t>
                    </w:r>
                    <w:r>
                      <w:rPr>
                        <w:spacing w:val="-5"/>
                        <w:w w:val="115"/>
                        <w:sz w:val="21"/>
                      </w:rPr>
                      <w:t> </w:t>
                    </w:r>
                    <w:r>
                      <w:rPr>
                        <w:w w:val="115"/>
                        <w:sz w:val="21"/>
                      </w:rPr>
                      <w:t>reflect</w:t>
                    </w:r>
                    <w:r>
                      <w:rPr>
                        <w:spacing w:val="-6"/>
                        <w:w w:val="115"/>
                        <w:sz w:val="21"/>
                      </w:rPr>
                      <w:t> </w:t>
                    </w:r>
                    <w:r>
                      <w:rPr>
                        <w:w w:val="115"/>
                        <w:sz w:val="21"/>
                      </w:rPr>
                      <w:t>changes</w:t>
                    </w:r>
                    <w:r>
                      <w:rPr>
                        <w:spacing w:val="-5"/>
                        <w:w w:val="115"/>
                        <w:sz w:val="21"/>
                      </w:rPr>
                      <w:t> </w:t>
                    </w:r>
                    <w:r>
                      <w:rPr>
                        <w:w w:val="115"/>
                        <w:sz w:val="21"/>
                      </w:rPr>
                      <w:t>in</w:t>
                    </w:r>
                    <w:r>
                      <w:rPr>
                        <w:spacing w:val="-5"/>
                        <w:w w:val="115"/>
                        <w:sz w:val="21"/>
                      </w:rPr>
                      <w:t> </w:t>
                    </w:r>
                    <w:r>
                      <w:rPr>
                        <w:w w:val="115"/>
                        <w:sz w:val="21"/>
                      </w:rPr>
                      <w:t>the All Groups Consumer Price</w:t>
                    </w:r>
                    <w:r>
                      <w:rPr>
                        <w:spacing w:val="-1"/>
                        <w:w w:val="115"/>
                        <w:sz w:val="21"/>
                      </w:rPr>
                      <w:t> </w:t>
                    </w:r>
                    <w:r>
                      <w:rPr>
                        <w:w w:val="115"/>
                        <w:sz w:val="21"/>
                      </w:rPr>
                      <w:t>Index.</w:t>
                    </w:r>
                  </w:p>
                  <w:p>
                    <w:pPr>
                      <w:spacing w:line="242" w:lineRule="auto" w:before="124"/>
                      <w:ind w:left="0" w:right="0" w:firstLine="0"/>
                      <w:jc w:val="left"/>
                      <w:rPr>
                        <w:sz w:val="21"/>
                      </w:rPr>
                    </w:pPr>
                    <w:r>
                      <w:rPr>
                        <w:w w:val="115"/>
                        <w:sz w:val="21"/>
                      </w:rPr>
                      <w:t>The Supreme Court of Victoria should publish on its website the quarterly Consumer</w:t>
                    </w:r>
                    <w:r>
                      <w:rPr>
                        <w:spacing w:val="-14"/>
                        <w:w w:val="115"/>
                        <w:sz w:val="21"/>
                      </w:rPr>
                      <w:t> </w:t>
                    </w:r>
                    <w:r>
                      <w:rPr>
                        <w:w w:val="115"/>
                        <w:sz w:val="21"/>
                      </w:rPr>
                      <w:t>Price</w:t>
                    </w:r>
                    <w:r>
                      <w:rPr>
                        <w:spacing w:val="-14"/>
                        <w:w w:val="115"/>
                        <w:sz w:val="21"/>
                      </w:rPr>
                      <w:t> </w:t>
                    </w:r>
                    <w:r>
                      <w:rPr>
                        <w:w w:val="115"/>
                        <w:sz w:val="21"/>
                      </w:rPr>
                      <w:t>Index</w:t>
                    </w:r>
                    <w:r>
                      <w:rPr>
                        <w:spacing w:val="-14"/>
                        <w:w w:val="115"/>
                        <w:sz w:val="21"/>
                      </w:rPr>
                      <w:t> </w:t>
                    </w:r>
                    <w:r>
                      <w:rPr>
                        <w:w w:val="115"/>
                        <w:sz w:val="21"/>
                      </w:rPr>
                      <w:t>adjusted</w:t>
                    </w:r>
                    <w:r>
                      <w:rPr>
                        <w:spacing w:val="-13"/>
                        <w:w w:val="115"/>
                        <w:sz w:val="21"/>
                      </w:rPr>
                      <w:t> </w:t>
                    </w:r>
                    <w:r>
                      <w:rPr>
                        <w:w w:val="115"/>
                        <w:sz w:val="21"/>
                      </w:rPr>
                      <w:t>maximum</w:t>
                    </w:r>
                    <w:r>
                      <w:rPr>
                        <w:spacing w:val="-14"/>
                        <w:w w:val="115"/>
                        <w:sz w:val="21"/>
                      </w:rPr>
                      <w:t> </w:t>
                    </w:r>
                    <w:r>
                      <w:rPr>
                        <w:w w:val="115"/>
                        <w:sz w:val="21"/>
                      </w:rPr>
                      <w:t>values</w:t>
                    </w:r>
                    <w:r>
                      <w:rPr>
                        <w:spacing w:val="-14"/>
                        <w:w w:val="115"/>
                        <w:sz w:val="21"/>
                      </w:rPr>
                      <w:t> </w:t>
                    </w:r>
                    <w:r>
                      <w:rPr>
                        <w:w w:val="115"/>
                        <w:sz w:val="21"/>
                      </w:rPr>
                      <w:t>of</w:t>
                    </w:r>
                    <w:r>
                      <w:rPr>
                        <w:spacing w:val="-13"/>
                        <w:w w:val="115"/>
                        <w:sz w:val="21"/>
                      </w:rPr>
                      <w:t> </w:t>
                    </w:r>
                    <w:r>
                      <w:rPr>
                        <w:w w:val="115"/>
                        <w:sz w:val="21"/>
                      </w:rPr>
                      <w:t>estates</w:t>
                    </w:r>
                    <w:r>
                      <w:rPr>
                        <w:spacing w:val="-14"/>
                        <w:w w:val="115"/>
                        <w:sz w:val="21"/>
                      </w:rPr>
                      <w:t> </w:t>
                    </w:r>
                    <w:r>
                      <w:rPr>
                        <w:w w:val="115"/>
                        <w:sz w:val="21"/>
                      </w:rPr>
                      <w:t>in</w:t>
                    </w:r>
                    <w:r>
                      <w:rPr>
                        <w:spacing w:val="-14"/>
                        <w:w w:val="115"/>
                        <w:sz w:val="21"/>
                      </w:rPr>
                      <w:t> </w:t>
                    </w:r>
                    <w:r>
                      <w:rPr>
                        <w:w w:val="115"/>
                        <w:sz w:val="21"/>
                      </w:rPr>
                      <w:t>respect</w:t>
                    </w:r>
                    <w:r>
                      <w:rPr>
                        <w:spacing w:val="-14"/>
                        <w:w w:val="115"/>
                        <w:sz w:val="21"/>
                      </w:rPr>
                      <w:t> </w:t>
                    </w:r>
                    <w:r>
                      <w:rPr>
                        <w:w w:val="115"/>
                        <w:sz w:val="21"/>
                      </w:rPr>
                      <w:t>of</w:t>
                    </w:r>
                    <w:r>
                      <w:rPr>
                        <w:spacing w:val="-13"/>
                        <w:w w:val="115"/>
                        <w:sz w:val="21"/>
                      </w:rPr>
                      <w:t> </w:t>
                    </w:r>
                    <w:r>
                      <w:rPr>
                        <w:w w:val="115"/>
                        <w:sz w:val="21"/>
                      </w:rPr>
                      <w:t>which the Probate Office may provide assistance in applying for a</w:t>
                    </w:r>
                    <w:r>
                      <w:rPr>
                        <w:spacing w:val="-10"/>
                        <w:w w:val="115"/>
                        <w:sz w:val="21"/>
                      </w:rPr>
                      <w:t> </w:t>
                    </w:r>
                    <w:r>
                      <w:rPr>
                        <w:w w:val="115"/>
                        <w:sz w:val="21"/>
                      </w:rPr>
                      <w:t>grant</w:t>
                    </w:r>
                  </w:p>
                  <w:p>
                    <w:pPr>
                      <w:spacing w:line="252" w:lineRule="exact" w:before="3"/>
                      <w:ind w:left="0" w:right="0" w:firstLine="0"/>
                      <w:jc w:val="left"/>
                      <w:rPr>
                        <w:sz w:val="21"/>
                      </w:rPr>
                    </w:pPr>
                    <w:r>
                      <w:rPr>
                        <w:w w:val="115"/>
                        <w:sz w:val="21"/>
                      </w:rPr>
                      <w:t>of representation.</w:t>
                    </w:r>
                  </w:p>
                </w:txbxContent>
              </v:textbox>
              <w10:wrap type="none"/>
            </v:shape>
            <v:shape style="position:absolute;left:566;top:987;width:257;height:2950" type="#_x0000_t202" filled="false" stroked="false">
              <v:textbox inset="0,0,0,0">
                <w:txbxContent>
                  <w:p>
                    <w:pPr>
                      <w:spacing w:line="253" w:lineRule="exact" w:before="0"/>
                      <w:ind w:left="0" w:right="0" w:firstLine="0"/>
                      <w:jc w:val="left"/>
                      <w:rPr>
                        <w:sz w:val="21"/>
                      </w:rPr>
                    </w:pPr>
                    <w:r>
                      <w:rPr>
                        <w:w w:val="110"/>
                        <w:sz w:val="21"/>
                      </w:rPr>
                      <w:t>67</w:t>
                    </w: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2"/>
                      <w:rPr>
                        <w:sz w:val="32"/>
                      </w:rPr>
                    </w:pPr>
                  </w:p>
                  <w:p>
                    <w:pPr>
                      <w:spacing w:line="252" w:lineRule="exact" w:before="0"/>
                      <w:ind w:left="0" w:right="0" w:firstLine="0"/>
                      <w:jc w:val="left"/>
                      <w:rPr>
                        <w:sz w:val="21"/>
                      </w:rPr>
                    </w:pPr>
                    <w:r>
                      <w:rPr>
                        <w:w w:val="110"/>
                        <w:sz w:val="21"/>
                      </w:rPr>
                      <w:t>68</w:t>
                    </w:r>
                  </w:p>
                </w:txbxContent>
              </v:textbox>
              <w10:wrap type="none"/>
            </v:shape>
            <v:shape style="position:absolute;left:340;top:0;width:8731;height:726" type="#_x0000_t202" filled="true" fillcolor="#fdebea" stroked="false">
              <v:textbox inset="0,0,0,0">
                <w:txbxContent>
                  <w:p>
                    <w:pPr>
                      <w:spacing w:before="166"/>
                      <w:ind w:left="226" w:right="0" w:firstLine="0"/>
                      <w:jc w:val="left"/>
                      <w:rPr>
                        <w:b/>
                        <w:sz w:val="32"/>
                      </w:rPr>
                    </w:pPr>
                    <w:r>
                      <w:rPr>
                        <w:b/>
                        <w:color w:val="EC5A4F"/>
                        <w:w w:val="110"/>
                        <w:sz w:val="32"/>
                      </w:rPr>
                      <w:t>Recommendations</w:t>
                    </w:r>
                  </w:p>
                </w:txbxContent>
              </v:textbox>
              <v:fill type="solid"/>
              <w10:wrap type="none"/>
            </v:shape>
          </v:group>
        </w:pict>
      </w:r>
      <w:r>
        <w:rPr>
          <w:sz w:val="20"/>
        </w:rPr>
      </w:r>
    </w:p>
    <w:p>
      <w:pPr>
        <w:pStyle w:val="BodyText"/>
        <w:spacing w:before="3"/>
        <w:rPr>
          <w:sz w:val="7"/>
        </w:rPr>
      </w:pPr>
    </w:p>
    <w:p>
      <w:pPr>
        <w:pStyle w:val="Heading5"/>
        <w:spacing w:before="99"/>
      </w:pPr>
      <w:r>
        <w:rPr>
          <w:w w:val="115"/>
        </w:rPr>
        <w:t>Providing better information</w:t>
      </w:r>
    </w:p>
    <w:p>
      <w:pPr>
        <w:pStyle w:val="ListParagraph"/>
        <w:numPr>
          <w:ilvl w:val="1"/>
          <w:numId w:val="22"/>
        </w:numPr>
        <w:tabs>
          <w:tab w:pos="2381" w:val="left" w:leader="none"/>
          <w:tab w:pos="2382" w:val="left" w:leader="none"/>
        </w:tabs>
        <w:spacing w:line="242" w:lineRule="auto" w:before="137" w:after="0"/>
        <w:ind w:left="2381" w:right="1975" w:hanging="794"/>
        <w:jc w:val="left"/>
        <w:rPr>
          <w:sz w:val="21"/>
        </w:rPr>
      </w:pPr>
      <w:r>
        <w:rPr>
          <w:w w:val="105"/>
          <w:sz w:val="21"/>
        </w:rPr>
        <w:t>It </w:t>
      </w:r>
      <w:r>
        <w:rPr>
          <w:spacing w:val="-2"/>
          <w:w w:val="105"/>
          <w:sz w:val="21"/>
        </w:rPr>
        <w:t>has </w:t>
      </w:r>
      <w:r>
        <w:rPr>
          <w:w w:val="105"/>
          <w:sz w:val="21"/>
        </w:rPr>
        <w:t>become </w:t>
      </w:r>
      <w:r>
        <w:rPr>
          <w:spacing w:val="-3"/>
          <w:w w:val="105"/>
          <w:sz w:val="21"/>
        </w:rPr>
        <w:t>clear to </w:t>
      </w:r>
      <w:r>
        <w:rPr>
          <w:w w:val="105"/>
          <w:sz w:val="21"/>
        </w:rPr>
        <w:t>the </w:t>
      </w:r>
      <w:r>
        <w:rPr>
          <w:spacing w:val="-3"/>
          <w:w w:val="105"/>
          <w:sz w:val="21"/>
        </w:rPr>
        <w:t>Commission throughout </w:t>
      </w:r>
      <w:r>
        <w:rPr>
          <w:w w:val="105"/>
          <w:sz w:val="21"/>
        </w:rPr>
        <w:t>the course of the </w:t>
      </w:r>
      <w:r>
        <w:rPr>
          <w:spacing w:val="-3"/>
          <w:w w:val="105"/>
          <w:sz w:val="21"/>
        </w:rPr>
        <w:t>reference that </w:t>
      </w:r>
      <w:r>
        <w:rPr>
          <w:w w:val="105"/>
          <w:sz w:val="21"/>
        </w:rPr>
        <w:t>there</w:t>
      </w:r>
      <w:r>
        <w:rPr>
          <w:spacing w:val="-6"/>
          <w:w w:val="105"/>
          <w:sz w:val="21"/>
        </w:rPr>
        <w:t> </w:t>
      </w:r>
      <w:r>
        <w:rPr>
          <w:w w:val="105"/>
          <w:sz w:val="21"/>
        </w:rPr>
        <w:t>is</w:t>
      </w:r>
      <w:r>
        <w:rPr>
          <w:spacing w:val="-5"/>
          <w:w w:val="105"/>
          <w:sz w:val="21"/>
        </w:rPr>
        <w:t> </w:t>
      </w:r>
      <w:r>
        <w:rPr>
          <w:w w:val="105"/>
          <w:sz w:val="21"/>
        </w:rPr>
        <w:t>a</w:t>
      </w:r>
      <w:r>
        <w:rPr>
          <w:spacing w:val="-5"/>
          <w:w w:val="105"/>
          <w:sz w:val="21"/>
        </w:rPr>
        <w:t> </w:t>
      </w:r>
      <w:r>
        <w:rPr>
          <w:w w:val="105"/>
          <w:sz w:val="21"/>
        </w:rPr>
        <w:t>lack</w:t>
      </w:r>
      <w:r>
        <w:rPr>
          <w:spacing w:val="-6"/>
          <w:w w:val="105"/>
          <w:sz w:val="21"/>
        </w:rPr>
        <w:t> </w:t>
      </w:r>
      <w:r>
        <w:rPr>
          <w:w w:val="105"/>
          <w:sz w:val="21"/>
        </w:rPr>
        <w:t>of</w:t>
      </w:r>
      <w:r>
        <w:rPr>
          <w:spacing w:val="-5"/>
          <w:w w:val="105"/>
          <w:sz w:val="21"/>
        </w:rPr>
        <w:t> </w:t>
      </w:r>
      <w:r>
        <w:rPr>
          <w:w w:val="105"/>
          <w:sz w:val="21"/>
        </w:rPr>
        <w:t>clearly</w:t>
      </w:r>
      <w:r>
        <w:rPr>
          <w:spacing w:val="-5"/>
          <w:w w:val="105"/>
          <w:sz w:val="21"/>
        </w:rPr>
        <w:t> </w:t>
      </w:r>
      <w:r>
        <w:rPr>
          <w:spacing w:val="-3"/>
          <w:w w:val="105"/>
          <w:sz w:val="21"/>
        </w:rPr>
        <w:t>presented</w:t>
      </w:r>
      <w:r>
        <w:rPr>
          <w:spacing w:val="-5"/>
          <w:w w:val="105"/>
          <w:sz w:val="21"/>
        </w:rPr>
        <w:t> </w:t>
      </w:r>
      <w:r>
        <w:rPr>
          <w:w w:val="105"/>
          <w:sz w:val="21"/>
        </w:rPr>
        <w:t>good</w:t>
      </w:r>
      <w:r>
        <w:rPr>
          <w:spacing w:val="-6"/>
          <w:w w:val="105"/>
          <w:sz w:val="21"/>
        </w:rPr>
        <w:t> </w:t>
      </w:r>
      <w:r>
        <w:rPr>
          <w:spacing w:val="-3"/>
          <w:w w:val="105"/>
          <w:sz w:val="21"/>
        </w:rPr>
        <w:t>information</w:t>
      </w:r>
      <w:r>
        <w:rPr>
          <w:spacing w:val="-5"/>
          <w:w w:val="105"/>
          <w:sz w:val="21"/>
        </w:rPr>
        <w:t> </w:t>
      </w:r>
      <w:r>
        <w:rPr>
          <w:spacing w:val="-3"/>
          <w:w w:val="105"/>
          <w:sz w:val="21"/>
        </w:rPr>
        <w:t>available</w:t>
      </w:r>
      <w:r>
        <w:rPr>
          <w:spacing w:val="-5"/>
          <w:w w:val="105"/>
          <w:sz w:val="21"/>
        </w:rPr>
        <w:t> </w:t>
      </w:r>
      <w:r>
        <w:rPr>
          <w:spacing w:val="-3"/>
          <w:w w:val="105"/>
          <w:sz w:val="21"/>
        </w:rPr>
        <w:t>to</w:t>
      </w:r>
      <w:r>
        <w:rPr>
          <w:spacing w:val="-6"/>
          <w:w w:val="105"/>
          <w:sz w:val="21"/>
        </w:rPr>
        <w:t> </w:t>
      </w:r>
      <w:r>
        <w:rPr>
          <w:w w:val="105"/>
          <w:sz w:val="21"/>
        </w:rPr>
        <w:t>the</w:t>
      </w:r>
      <w:r>
        <w:rPr>
          <w:spacing w:val="-5"/>
          <w:w w:val="105"/>
          <w:sz w:val="21"/>
        </w:rPr>
        <w:t> </w:t>
      </w:r>
      <w:r>
        <w:rPr>
          <w:spacing w:val="-3"/>
          <w:w w:val="105"/>
          <w:sz w:val="21"/>
        </w:rPr>
        <w:t>public</w:t>
      </w:r>
      <w:r>
        <w:rPr>
          <w:spacing w:val="-5"/>
          <w:w w:val="105"/>
          <w:sz w:val="21"/>
        </w:rPr>
        <w:t> </w:t>
      </w:r>
      <w:r>
        <w:rPr>
          <w:w w:val="105"/>
          <w:sz w:val="21"/>
        </w:rPr>
        <w:t>in</w:t>
      </w:r>
      <w:r>
        <w:rPr>
          <w:spacing w:val="-5"/>
          <w:w w:val="105"/>
          <w:sz w:val="21"/>
        </w:rPr>
        <w:t> </w:t>
      </w:r>
      <w:r>
        <w:rPr>
          <w:w w:val="105"/>
          <w:sz w:val="21"/>
        </w:rPr>
        <w:t>the</w:t>
      </w:r>
      <w:r>
        <w:rPr>
          <w:spacing w:val="-6"/>
          <w:w w:val="105"/>
          <w:sz w:val="21"/>
        </w:rPr>
        <w:t> </w:t>
      </w:r>
      <w:r>
        <w:rPr>
          <w:spacing w:val="-3"/>
          <w:w w:val="105"/>
          <w:sz w:val="21"/>
        </w:rPr>
        <w:t>area </w:t>
      </w:r>
      <w:r>
        <w:rPr>
          <w:w w:val="105"/>
          <w:sz w:val="21"/>
        </w:rPr>
        <w:t>of </w:t>
      </w:r>
      <w:r>
        <w:rPr>
          <w:spacing w:val="-3"/>
          <w:w w:val="105"/>
          <w:sz w:val="21"/>
        </w:rPr>
        <w:t>succession</w:t>
      </w:r>
      <w:r>
        <w:rPr>
          <w:spacing w:val="10"/>
          <w:w w:val="105"/>
          <w:sz w:val="21"/>
        </w:rPr>
        <w:t> </w:t>
      </w:r>
      <w:r>
        <w:rPr>
          <w:w w:val="105"/>
          <w:sz w:val="21"/>
        </w:rPr>
        <w:t>laws.</w:t>
      </w:r>
    </w:p>
    <w:p>
      <w:pPr>
        <w:pStyle w:val="ListParagraph"/>
        <w:numPr>
          <w:ilvl w:val="1"/>
          <w:numId w:val="22"/>
        </w:numPr>
        <w:tabs>
          <w:tab w:pos="2380" w:val="left" w:leader="none"/>
          <w:tab w:pos="2381" w:val="left" w:leader="none"/>
        </w:tabs>
        <w:spacing w:line="242" w:lineRule="auto" w:before="123" w:after="0"/>
        <w:ind w:left="2381" w:right="2037" w:hanging="794"/>
        <w:jc w:val="left"/>
        <w:rPr>
          <w:sz w:val="21"/>
        </w:rPr>
      </w:pPr>
      <w:r>
        <w:rPr>
          <w:sz w:val="21"/>
        </w:rPr>
        <w:t>In </w:t>
      </w:r>
      <w:r>
        <w:rPr>
          <w:spacing w:val="-4"/>
          <w:sz w:val="21"/>
        </w:rPr>
        <w:t>Chapter </w:t>
      </w:r>
      <w:r>
        <w:rPr>
          <w:spacing w:val="-12"/>
          <w:sz w:val="21"/>
        </w:rPr>
        <w:t>7, </w:t>
      </w:r>
      <w:r>
        <w:rPr>
          <w:sz w:val="21"/>
        </w:rPr>
        <w:t>the </w:t>
      </w:r>
      <w:r>
        <w:rPr>
          <w:spacing w:val="-3"/>
          <w:sz w:val="21"/>
        </w:rPr>
        <w:t>Commission recommends that </w:t>
      </w:r>
      <w:r>
        <w:rPr>
          <w:sz w:val="21"/>
        </w:rPr>
        <w:t>the Victoria Law Foundation </w:t>
      </w:r>
      <w:r>
        <w:rPr>
          <w:spacing w:val="-3"/>
          <w:sz w:val="21"/>
        </w:rPr>
        <w:t>prepare </w:t>
      </w:r>
      <w:r>
        <w:rPr>
          <w:sz w:val="21"/>
        </w:rPr>
        <w:t>practical </w:t>
      </w:r>
      <w:r>
        <w:rPr>
          <w:spacing w:val="-3"/>
          <w:sz w:val="21"/>
        </w:rPr>
        <w:t>information to </w:t>
      </w:r>
      <w:r>
        <w:rPr>
          <w:sz w:val="21"/>
        </w:rPr>
        <w:t>assist the community </w:t>
      </w:r>
      <w:r>
        <w:rPr>
          <w:spacing w:val="-4"/>
          <w:sz w:val="21"/>
        </w:rPr>
        <w:t>generally, </w:t>
      </w:r>
      <w:r>
        <w:rPr>
          <w:sz w:val="21"/>
        </w:rPr>
        <w:t>and </w:t>
      </w:r>
      <w:r>
        <w:rPr>
          <w:spacing w:val="-3"/>
          <w:sz w:val="21"/>
        </w:rPr>
        <w:t>lay </w:t>
      </w:r>
      <w:r>
        <w:rPr>
          <w:sz w:val="21"/>
        </w:rPr>
        <w:t>executors and beneficiaries in </w:t>
      </w:r>
      <w:r>
        <w:rPr>
          <w:spacing w:val="-3"/>
          <w:sz w:val="21"/>
        </w:rPr>
        <w:t>particular, to </w:t>
      </w:r>
      <w:r>
        <w:rPr>
          <w:sz w:val="21"/>
        </w:rPr>
        <w:t>understand the role of executors and the operation of </w:t>
      </w:r>
      <w:r>
        <w:rPr>
          <w:spacing w:val="-3"/>
          <w:sz w:val="21"/>
        </w:rPr>
        <w:t>succession</w:t>
      </w:r>
      <w:r>
        <w:rPr>
          <w:spacing w:val="8"/>
          <w:sz w:val="21"/>
        </w:rPr>
        <w:t> </w:t>
      </w:r>
      <w:r>
        <w:rPr>
          <w:sz w:val="21"/>
        </w:rPr>
        <w:t>laws.</w:t>
      </w:r>
    </w:p>
    <w:p>
      <w:pPr>
        <w:pStyle w:val="ListParagraph"/>
        <w:numPr>
          <w:ilvl w:val="1"/>
          <w:numId w:val="22"/>
        </w:numPr>
        <w:tabs>
          <w:tab w:pos="2380" w:val="left" w:leader="none"/>
          <w:tab w:pos="2381" w:val="left" w:leader="none"/>
        </w:tabs>
        <w:spacing w:line="242" w:lineRule="auto" w:before="125" w:after="0"/>
        <w:ind w:left="2380" w:right="1887" w:hanging="793"/>
        <w:jc w:val="left"/>
        <w:rPr>
          <w:sz w:val="21"/>
        </w:rPr>
      </w:pPr>
      <w:r>
        <w:rPr>
          <w:spacing w:val="-7"/>
          <w:sz w:val="21"/>
        </w:rPr>
        <w:t>To </w:t>
      </w:r>
      <w:r>
        <w:rPr>
          <w:sz w:val="21"/>
        </w:rPr>
        <w:t>assist </w:t>
      </w:r>
      <w:r>
        <w:rPr>
          <w:spacing w:val="-3"/>
          <w:sz w:val="21"/>
        </w:rPr>
        <w:t>lay </w:t>
      </w:r>
      <w:r>
        <w:rPr>
          <w:sz w:val="21"/>
        </w:rPr>
        <w:t>persons </w:t>
      </w:r>
      <w:r>
        <w:rPr>
          <w:spacing w:val="-3"/>
          <w:sz w:val="21"/>
        </w:rPr>
        <w:t>to </w:t>
      </w:r>
      <w:r>
        <w:rPr>
          <w:sz w:val="21"/>
        </w:rPr>
        <w:t>apply </w:t>
      </w:r>
      <w:r>
        <w:rPr>
          <w:spacing w:val="-3"/>
          <w:sz w:val="21"/>
        </w:rPr>
        <w:t>for </w:t>
      </w:r>
      <w:r>
        <w:rPr>
          <w:sz w:val="21"/>
        </w:rPr>
        <w:t>a </w:t>
      </w:r>
      <w:r>
        <w:rPr>
          <w:spacing w:val="-3"/>
          <w:sz w:val="21"/>
        </w:rPr>
        <w:t>grant </w:t>
      </w:r>
      <w:r>
        <w:rPr>
          <w:sz w:val="21"/>
        </w:rPr>
        <w:t>of </w:t>
      </w:r>
      <w:r>
        <w:rPr>
          <w:spacing w:val="-3"/>
          <w:sz w:val="21"/>
        </w:rPr>
        <w:t>representation, </w:t>
      </w:r>
      <w:r>
        <w:rPr>
          <w:sz w:val="21"/>
        </w:rPr>
        <w:t>the </w:t>
      </w:r>
      <w:r>
        <w:rPr>
          <w:spacing w:val="-3"/>
          <w:sz w:val="21"/>
        </w:rPr>
        <w:t>Commission </w:t>
      </w:r>
      <w:r>
        <w:rPr>
          <w:spacing w:val="-2"/>
          <w:sz w:val="21"/>
        </w:rPr>
        <w:t>has </w:t>
      </w:r>
      <w:r>
        <w:rPr>
          <w:sz w:val="21"/>
        </w:rPr>
        <w:t>also identified the need </w:t>
      </w:r>
      <w:r>
        <w:rPr>
          <w:spacing w:val="-3"/>
          <w:sz w:val="21"/>
        </w:rPr>
        <w:t>for </w:t>
      </w:r>
      <w:r>
        <w:rPr>
          <w:sz w:val="21"/>
        </w:rPr>
        <w:t>the </w:t>
      </w:r>
      <w:r>
        <w:rPr>
          <w:spacing w:val="-3"/>
          <w:sz w:val="21"/>
        </w:rPr>
        <w:t>information that </w:t>
      </w:r>
      <w:r>
        <w:rPr>
          <w:sz w:val="21"/>
        </w:rPr>
        <w:t>is </w:t>
      </w:r>
      <w:r>
        <w:rPr>
          <w:spacing w:val="-3"/>
          <w:sz w:val="21"/>
        </w:rPr>
        <w:t>currently available to </w:t>
      </w:r>
      <w:r>
        <w:rPr>
          <w:sz w:val="21"/>
        </w:rPr>
        <w:t>them </w:t>
      </w:r>
      <w:r>
        <w:rPr>
          <w:spacing w:val="-3"/>
          <w:sz w:val="21"/>
        </w:rPr>
        <w:t>to </w:t>
      </w:r>
      <w:r>
        <w:rPr>
          <w:sz w:val="21"/>
        </w:rPr>
        <w:t>be </w:t>
      </w:r>
      <w:r>
        <w:rPr>
          <w:spacing w:val="-3"/>
          <w:sz w:val="21"/>
        </w:rPr>
        <w:t>collated </w:t>
      </w:r>
      <w:r>
        <w:rPr>
          <w:spacing w:val="-4"/>
          <w:sz w:val="21"/>
        </w:rPr>
        <w:t>into </w:t>
      </w:r>
      <w:r>
        <w:rPr>
          <w:sz w:val="21"/>
        </w:rPr>
        <w:t>a </w:t>
      </w:r>
      <w:r>
        <w:rPr>
          <w:spacing w:val="-3"/>
          <w:sz w:val="21"/>
        </w:rPr>
        <w:t>comprehensive</w:t>
      </w:r>
      <w:r>
        <w:rPr>
          <w:spacing w:val="-12"/>
          <w:sz w:val="21"/>
        </w:rPr>
        <w:t> </w:t>
      </w:r>
      <w:r>
        <w:rPr>
          <w:spacing w:val="-3"/>
          <w:sz w:val="21"/>
        </w:rPr>
        <w:t>package.</w:t>
      </w:r>
    </w:p>
    <w:p>
      <w:pPr>
        <w:pStyle w:val="ListParagraph"/>
        <w:numPr>
          <w:ilvl w:val="1"/>
          <w:numId w:val="22"/>
        </w:numPr>
        <w:tabs>
          <w:tab w:pos="2380" w:val="left" w:leader="none"/>
          <w:tab w:pos="2381" w:val="left" w:leader="none"/>
        </w:tabs>
        <w:spacing w:line="242" w:lineRule="auto" w:before="123" w:after="0"/>
        <w:ind w:left="2380" w:right="1676" w:hanging="794"/>
        <w:jc w:val="left"/>
        <w:rPr>
          <w:sz w:val="21"/>
        </w:rPr>
      </w:pPr>
      <w:r>
        <w:rPr>
          <w:w w:val="105"/>
          <w:sz w:val="21"/>
        </w:rPr>
        <w:t>People should be supported, where </w:t>
      </w:r>
      <w:r>
        <w:rPr>
          <w:spacing w:val="-3"/>
          <w:w w:val="105"/>
          <w:sz w:val="21"/>
        </w:rPr>
        <w:t>possible, </w:t>
      </w:r>
      <w:r>
        <w:rPr>
          <w:w w:val="105"/>
          <w:sz w:val="21"/>
        </w:rPr>
        <w:t>in </w:t>
      </w:r>
      <w:r>
        <w:rPr>
          <w:spacing w:val="-3"/>
          <w:w w:val="105"/>
          <w:sz w:val="21"/>
        </w:rPr>
        <w:t>making </w:t>
      </w:r>
      <w:r>
        <w:rPr>
          <w:w w:val="105"/>
          <w:sz w:val="21"/>
        </w:rPr>
        <w:t>their own </w:t>
      </w:r>
      <w:r>
        <w:rPr>
          <w:spacing w:val="-3"/>
          <w:w w:val="105"/>
          <w:sz w:val="21"/>
        </w:rPr>
        <w:t>applications for grants. </w:t>
      </w:r>
      <w:r>
        <w:rPr>
          <w:spacing w:val="-4"/>
          <w:w w:val="105"/>
          <w:sz w:val="21"/>
        </w:rPr>
        <w:t>Certainly, </w:t>
      </w:r>
      <w:r>
        <w:rPr>
          <w:w w:val="105"/>
          <w:sz w:val="21"/>
        </w:rPr>
        <w:t>where estates </w:t>
      </w:r>
      <w:r>
        <w:rPr>
          <w:spacing w:val="-3"/>
          <w:w w:val="105"/>
          <w:sz w:val="21"/>
        </w:rPr>
        <w:t>are </w:t>
      </w:r>
      <w:r>
        <w:rPr>
          <w:spacing w:val="-2"/>
          <w:w w:val="105"/>
          <w:sz w:val="21"/>
        </w:rPr>
        <w:t>legally </w:t>
      </w:r>
      <w:r>
        <w:rPr>
          <w:w w:val="105"/>
          <w:sz w:val="21"/>
        </w:rPr>
        <w:t>complex, good legal advice is </w:t>
      </w:r>
      <w:r>
        <w:rPr>
          <w:spacing w:val="-3"/>
          <w:w w:val="105"/>
          <w:sz w:val="21"/>
        </w:rPr>
        <w:t>crucial. </w:t>
      </w:r>
      <w:r>
        <w:rPr>
          <w:spacing w:val="-4"/>
          <w:w w:val="105"/>
          <w:sz w:val="21"/>
        </w:rPr>
        <w:t>However, </w:t>
      </w:r>
      <w:r>
        <w:rPr>
          <w:w w:val="105"/>
          <w:sz w:val="21"/>
        </w:rPr>
        <w:t>the application </w:t>
      </w:r>
      <w:r>
        <w:rPr>
          <w:spacing w:val="-3"/>
          <w:w w:val="105"/>
          <w:sz w:val="21"/>
        </w:rPr>
        <w:t>for </w:t>
      </w:r>
      <w:r>
        <w:rPr>
          <w:w w:val="105"/>
          <w:sz w:val="21"/>
        </w:rPr>
        <w:t>a </w:t>
      </w:r>
      <w:r>
        <w:rPr>
          <w:spacing w:val="-3"/>
          <w:w w:val="105"/>
          <w:sz w:val="21"/>
        </w:rPr>
        <w:t>grant </w:t>
      </w:r>
      <w:r>
        <w:rPr>
          <w:w w:val="105"/>
          <w:sz w:val="21"/>
        </w:rPr>
        <w:t>of representation—an important but essentially </w:t>
      </w:r>
      <w:r>
        <w:rPr>
          <w:spacing w:val="-3"/>
          <w:w w:val="105"/>
          <w:sz w:val="21"/>
        </w:rPr>
        <w:t>administrative </w:t>
      </w:r>
      <w:r>
        <w:rPr>
          <w:w w:val="105"/>
          <w:sz w:val="21"/>
        </w:rPr>
        <w:t>process—should be cost-effective and time-efficient, and </w:t>
      </w:r>
      <w:r>
        <w:rPr>
          <w:spacing w:val="-2"/>
          <w:w w:val="105"/>
          <w:sz w:val="21"/>
        </w:rPr>
        <w:t>ideally </w:t>
      </w:r>
      <w:r>
        <w:rPr>
          <w:w w:val="105"/>
          <w:sz w:val="21"/>
        </w:rPr>
        <w:t>be </w:t>
      </w:r>
      <w:r>
        <w:rPr>
          <w:spacing w:val="-3"/>
          <w:w w:val="105"/>
          <w:sz w:val="21"/>
        </w:rPr>
        <w:t>navigable </w:t>
      </w:r>
      <w:r>
        <w:rPr>
          <w:w w:val="105"/>
          <w:sz w:val="21"/>
        </w:rPr>
        <w:t>without </w:t>
      </w:r>
      <w:r>
        <w:rPr>
          <w:spacing w:val="-3"/>
          <w:w w:val="105"/>
          <w:sz w:val="21"/>
        </w:rPr>
        <w:t>formal </w:t>
      </w:r>
      <w:r>
        <w:rPr>
          <w:w w:val="105"/>
          <w:sz w:val="21"/>
        </w:rPr>
        <w:t>legal</w:t>
      </w:r>
      <w:r>
        <w:rPr>
          <w:spacing w:val="13"/>
          <w:w w:val="105"/>
          <w:sz w:val="21"/>
        </w:rPr>
        <w:t> </w:t>
      </w:r>
      <w:r>
        <w:rPr>
          <w:spacing w:val="-3"/>
          <w:w w:val="105"/>
          <w:sz w:val="21"/>
        </w:rPr>
        <w:t>assistance.</w:t>
      </w:r>
    </w:p>
    <w:p>
      <w:pPr>
        <w:pStyle w:val="ListParagraph"/>
        <w:numPr>
          <w:ilvl w:val="1"/>
          <w:numId w:val="22"/>
        </w:numPr>
        <w:tabs>
          <w:tab w:pos="2380" w:val="left" w:leader="none"/>
          <w:tab w:pos="2381" w:val="left" w:leader="none"/>
        </w:tabs>
        <w:spacing w:line="242" w:lineRule="auto" w:before="126" w:after="0"/>
        <w:ind w:left="2380" w:right="1709" w:hanging="794"/>
        <w:jc w:val="left"/>
        <w:rPr>
          <w:sz w:val="21"/>
        </w:rPr>
      </w:pPr>
      <w:r>
        <w:rPr>
          <w:w w:val="105"/>
          <w:sz w:val="21"/>
        </w:rPr>
        <w:t>The </w:t>
      </w:r>
      <w:r>
        <w:rPr>
          <w:spacing w:val="-3"/>
          <w:w w:val="105"/>
          <w:sz w:val="21"/>
        </w:rPr>
        <w:t>Commission </w:t>
      </w:r>
      <w:r>
        <w:rPr>
          <w:w w:val="105"/>
          <w:sz w:val="21"/>
        </w:rPr>
        <w:t>is of the view </w:t>
      </w:r>
      <w:r>
        <w:rPr>
          <w:spacing w:val="-3"/>
          <w:w w:val="105"/>
          <w:sz w:val="21"/>
        </w:rPr>
        <w:t>that improved public information </w:t>
      </w:r>
      <w:r>
        <w:rPr>
          <w:w w:val="105"/>
          <w:sz w:val="21"/>
        </w:rPr>
        <w:t>on the </w:t>
      </w:r>
      <w:r>
        <w:rPr>
          <w:spacing w:val="-3"/>
          <w:w w:val="105"/>
          <w:sz w:val="21"/>
        </w:rPr>
        <w:t>administration  </w:t>
      </w:r>
      <w:r>
        <w:rPr>
          <w:w w:val="105"/>
          <w:sz w:val="21"/>
        </w:rPr>
        <w:t>of</w:t>
      </w:r>
      <w:r>
        <w:rPr>
          <w:spacing w:val="-6"/>
          <w:w w:val="105"/>
          <w:sz w:val="21"/>
        </w:rPr>
        <w:t> </w:t>
      </w:r>
      <w:r>
        <w:rPr>
          <w:w w:val="105"/>
          <w:sz w:val="21"/>
        </w:rPr>
        <w:t>estates</w:t>
      </w:r>
      <w:r>
        <w:rPr>
          <w:spacing w:val="-6"/>
          <w:w w:val="105"/>
          <w:sz w:val="21"/>
        </w:rPr>
        <w:t> </w:t>
      </w:r>
      <w:r>
        <w:rPr>
          <w:w w:val="105"/>
          <w:sz w:val="21"/>
        </w:rPr>
        <w:t>would</w:t>
      </w:r>
      <w:r>
        <w:rPr>
          <w:spacing w:val="-6"/>
          <w:w w:val="105"/>
          <w:sz w:val="21"/>
        </w:rPr>
        <w:t> </w:t>
      </w:r>
      <w:r>
        <w:rPr>
          <w:spacing w:val="-3"/>
          <w:w w:val="105"/>
          <w:sz w:val="21"/>
        </w:rPr>
        <w:t>have</w:t>
      </w:r>
      <w:r>
        <w:rPr>
          <w:spacing w:val="-5"/>
          <w:w w:val="105"/>
          <w:sz w:val="21"/>
        </w:rPr>
        <w:t> </w:t>
      </w:r>
      <w:r>
        <w:rPr>
          <w:w w:val="105"/>
          <w:sz w:val="21"/>
        </w:rPr>
        <w:t>a</w:t>
      </w:r>
      <w:r>
        <w:rPr>
          <w:spacing w:val="-6"/>
          <w:w w:val="105"/>
          <w:sz w:val="21"/>
        </w:rPr>
        <w:t> </w:t>
      </w:r>
      <w:r>
        <w:rPr>
          <w:spacing w:val="-3"/>
          <w:w w:val="105"/>
          <w:sz w:val="21"/>
        </w:rPr>
        <w:t>significant</w:t>
      </w:r>
      <w:r>
        <w:rPr>
          <w:spacing w:val="-6"/>
          <w:w w:val="105"/>
          <w:sz w:val="21"/>
        </w:rPr>
        <w:t> </w:t>
      </w:r>
      <w:r>
        <w:rPr>
          <w:w w:val="105"/>
          <w:sz w:val="21"/>
        </w:rPr>
        <w:t>positive</w:t>
      </w:r>
      <w:r>
        <w:rPr>
          <w:spacing w:val="-5"/>
          <w:w w:val="105"/>
          <w:sz w:val="21"/>
        </w:rPr>
        <w:t> </w:t>
      </w:r>
      <w:r>
        <w:rPr>
          <w:w w:val="105"/>
          <w:sz w:val="21"/>
        </w:rPr>
        <w:t>effect</w:t>
      </w:r>
      <w:r>
        <w:rPr>
          <w:spacing w:val="-6"/>
          <w:w w:val="105"/>
          <w:sz w:val="21"/>
        </w:rPr>
        <w:t> </w:t>
      </w:r>
      <w:r>
        <w:rPr>
          <w:w w:val="105"/>
          <w:sz w:val="21"/>
        </w:rPr>
        <w:t>on</w:t>
      </w:r>
      <w:r>
        <w:rPr>
          <w:spacing w:val="-6"/>
          <w:w w:val="105"/>
          <w:sz w:val="21"/>
        </w:rPr>
        <w:t> </w:t>
      </w:r>
      <w:r>
        <w:rPr>
          <w:w w:val="105"/>
          <w:sz w:val="21"/>
        </w:rPr>
        <w:t>the</w:t>
      </w:r>
      <w:r>
        <w:rPr>
          <w:spacing w:val="-5"/>
          <w:w w:val="105"/>
          <w:sz w:val="21"/>
        </w:rPr>
        <w:t> </w:t>
      </w:r>
      <w:r>
        <w:rPr>
          <w:w w:val="105"/>
          <w:sz w:val="21"/>
        </w:rPr>
        <w:t>ability</w:t>
      </w:r>
      <w:r>
        <w:rPr>
          <w:spacing w:val="-6"/>
          <w:w w:val="105"/>
          <w:sz w:val="21"/>
        </w:rPr>
        <w:t> </w:t>
      </w:r>
      <w:r>
        <w:rPr>
          <w:w w:val="105"/>
          <w:sz w:val="21"/>
        </w:rPr>
        <w:t>of</w:t>
      </w:r>
      <w:r>
        <w:rPr>
          <w:spacing w:val="-6"/>
          <w:w w:val="105"/>
          <w:sz w:val="21"/>
        </w:rPr>
        <w:t> </w:t>
      </w:r>
      <w:r>
        <w:rPr>
          <w:w w:val="105"/>
          <w:sz w:val="21"/>
        </w:rPr>
        <w:t>people</w:t>
      </w:r>
      <w:r>
        <w:rPr>
          <w:spacing w:val="-5"/>
          <w:w w:val="105"/>
          <w:sz w:val="21"/>
        </w:rPr>
        <w:t> </w:t>
      </w:r>
      <w:r>
        <w:rPr>
          <w:spacing w:val="-3"/>
          <w:w w:val="105"/>
          <w:sz w:val="21"/>
        </w:rPr>
        <w:t>to</w:t>
      </w:r>
      <w:r>
        <w:rPr>
          <w:spacing w:val="-6"/>
          <w:w w:val="105"/>
          <w:sz w:val="21"/>
        </w:rPr>
        <w:t> </w:t>
      </w:r>
      <w:r>
        <w:rPr>
          <w:spacing w:val="-3"/>
          <w:w w:val="105"/>
          <w:sz w:val="21"/>
        </w:rPr>
        <w:t>navigate</w:t>
      </w:r>
      <w:r>
        <w:rPr>
          <w:spacing w:val="-6"/>
          <w:w w:val="105"/>
          <w:sz w:val="21"/>
        </w:rPr>
        <w:t> </w:t>
      </w:r>
      <w:r>
        <w:rPr>
          <w:w w:val="105"/>
          <w:sz w:val="21"/>
        </w:rPr>
        <w:t>the </w:t>
      </w:r>
      <w:r>
        <w:rPr>
          <w:spacing w:val="-3"/>
          <w:w w:val="105"/>
          <w:sz w:val="21"/>
        </w:rPr>
        <w:t>grant-application</w:t>
      </w:r>
      <w:r>
        <w:rPr>
          <w:spacing w:val="-6"/>
          <w:w w:val="105"/>
          <w:sz w:val="21"/>
        </w:rPr>
        <w:t> </w:t>
      </w:r>
      <w:r>
        <w:rPr>
          <w:w w:val="105"/>
          <w:sz w:val="21"/>
        </w:rPr>
        <w:t>process.</w:t>
      </w:r>
      <w:r>
        <w:rPr>
          <w:spacing w:val="-5"/>
          <w:w w:val="105"/>
          <w:sz w:val="21"/>
        </w:rPr>
        <w:t> </w:t>
      </w:r>
      <w:r>
        <w:rPr>
          <w:w w:val="105"/>
          <w:sz w:val="21"/>
        </w:rPr>
        <w:t>This</w:t>
      </w:r>
      <w:r>
        <w:rPr>
          <w:spacing w:val="-5"/>
          <w:w w:val="105"/>
          <w:sz w:val="21"/>
        </w:rPr>
        <w:t> </w:t>
      </w:r>
      <w:r>
        <w:rPr>
          <w:w w:val="105"/>
          <w:sz w:val="21"/>
        </w:rPr>
        <w:t>would</w:t>
      </w:r>
      <w:r>
        <w:rPr>
          <w:spacing w:val="-5"/>
          <w:w w:val="105"/>
          <w:sz w:val="21"/>
        </w:rPr>
        <w:t> </w:t>
      </w:r>
      <w:r>
        <w:rPr>
          <w:w w:val="105"/>
          <w:sz w:val="21"/>
        </w:rPr>
        <w:t>be</w:t>
      </w:r>
      <w:r>
        <w:rPr>
          <w:spacing w:val="-6"/>
          <w:w w:val="105"/>
          <w:sz w:val="21"/>
        </w:rPr>
        <w:t> </w:t>
      </w:r>
      <w:r>
        <w:rPr>
          <w:w w:val="105"/>
          <w:sz w:val="21"/>
        </w:rPr>
        <w:t>a</w:t>
      </w:r>
      <w:r>
        <w:rPr>
          <w:spacing w:val="-5"/>
          <w:w w:val="105"/>
          <w:sz w:val="21"/>
        </w:rPr>
        <w:t> </w:t>
      </w:r>
      <w:r>
        <w:rPr>
          <w:spacing w:val="-3"/>
          <w:w w:val="105"/>
          <w:sz w:val="21"/>
        </w:rPr>
        <w:t>valuable</w:t>
      </w:r>
      <w:r>
        <w:rPr>
          <w:spacing w:val="-5"/>
          <w:w w:val="105"/>
          <w:sz w:val="21"/>
        </w:rPr>
        <w:t> </w:t>
      </w:r>
      <w:r>
        <w:rPr>
          <w:spacing w:val="-3"/>
          <w:w w:val="105"/>
          <w:sz w:val="21"/>
        </w:rPr>
        <w:t>supplement</w:t>
      </w:r>
      <w:r>
        <w:rPr>
          <w:spacing w:val="-5"/>
          <w:w w:val="105"/>
          <w:sz w:val="21"/>
        </w:rPr>
        <w:t> </w:t>
      </w:r>
      <w:r>
        <w:rPr>
          <w:spacing w:val="-3"/>
          <w:w w:val="105"/>
          <w:sz w:val="21"/>
        </w:rPr>
        <w:t>to</w:t>
      </w:r>
      <w:r>
        <w:rPr>
          <w:spacing w:val="-6"/>
          <w:w w:val="105"/>
          <w:sz w:val="21"/>
        </w:rPr>
        <w:t> </w:t>
      </w:r>
      <w:r>
        <w:rPr>
          <w:w w:val="105"/>
          <w:sz w:val="21"/>
        </w:rPr>
        <w:t>the</w:t>
      </w:r>
      <w:r>
        <w:rPr>
          <w:spacing w:val="-5"/>
          <w:w w:val="105"/>
          <w:sz w:val="21"/>
        </w:rPr>
        <w:t> </w:t>
      </w:r>
      <w:r>
        <w:rPr>
          <w:spacing w:val="-3"/>
          <w:w w:val="105"/>
          <w:sz w:val="21"/>
        </w:rPr>
        <w:t>formal</w:t>
      </w:r>
      <w:r>
        <w:rPr>
          <w:spacing w:val="-5"/>
          <w:w w:val="105"/>
          <w:sz w:val="21"/>
        </w:rPr>
        <w:t> </w:t>
      </w:r>
      <w:r>
        <w:rPr>
          <w:w w:val="105"/>
          <w:sz w:val="21"/>
        </w:rPr>
        <w:t>assistance</w:t>
      </w:r>
    </w:p>
    <w:p>
      <w:pPr>
        <w:pStyle w:val="BodyText"/>
        <w:spacing w:before="3"/>
        <w:ind w:left="2380"/>
      </w:pPr>
      <w:r>
        <w:rPr/>
        <w:t>provided by the Probate Office, and may well reduce reliance on the small estates service.</w:t>
      </w:r>
    </w:p>
    <w:p>
      <w:pPr>
        <w:pStyle w:val="BodyText"/>
        <w:spacing w:before="9"/>
        <w:rPr>
          <w:sz w:val="18"/>
        </w:rPr>
      </w:pPr>
    </w:p>
    <w:p>
      <w:pPr>
        <w:spacing w:after="0"/>
        <w:rPr>
          <w:sz w:val="18"/>
        </w:rPr>
        <w:sectPr>
          <w:pgSz w:w="11910" w:h="16840"/>
          <w:pgMar w:header="805" w:footer="0" w:top="1360" w:bottom="280" w:left="0" w:right="0"/>
        </w:sectPr>
      </w:pPr>
    </w:p>
    <w:p>
      <w:pPr>
        <w:pStyle w:val="Heading6"/>
        <w:spacing w:before="100"/>
      </w:pPr>
      <w:r>
        <w:rPr>
          <w:w w:val="115"/>
        </w:rPr>
        <w:t>Current sources of information</w:t>
      </w:r>
    </w:p>
    <w:p>
      <w:pPr>
        <w:pStyle w:val="ListParagraph"/>
        <w:numPr>
          <w:ilvl w:val="1"/>
          <w:numId w:val="22"/>
        </w:numPr>
        <w:tabs>
          <w:tab w:pos="2381" w:val="left" w:leader="none"/>
          <w:tab w:pos="2382" w:val="left" w:leader="none"/>
        </w:tabs>
        <w:spacing w:line="242" w:lineRule="auto" w:before="151" w:after="0"/>
        <w:ind w:left="2381" w:right="0" w:hanging="794"/>
        <w:jc w:val="left"/>
        <w:rPr>
          <w:sz w:val="21"/>
        </w:rPr>
      </w:pPr>
      <w:r>
        <w:rPr>
          <w:sz w:val="21"/>
        </w:rPr>
        <w:t>A number of stakeholders </w:t>
      </w:r>
      <w:r>
        <w:rPr>
          <w:spacing w:val="-3"/>
          <w:sz w:val="21"/>
        </w:rPr>
        <w:t>have  </w:t>
      </w:r>
      <w:r>
        <w:rPr>
          <w:sz w:val="21"/>
        </w:rPr>
        <w:t>identified the difficulties </w:t>
      </w:r>
      <w:r>
        <w:rPr>
          <w:spacing w:val="-3"/>
          <w:sz w:val="21"/>
        </w:rPr>
        <w:t>faced</w:t>
      </w:r>
      <w:r>
        <w:rPr>
          <w:spacing w:val="41"/>
          <w:sz w:val="21"/>
        </w:rPr>
        <w:t> </w:t>
      </w:r>
      <w:r>
        <w:rPr>
          <w:sz w:val="21"/>
        </w:rPr>
        <w:t>by those who wish </w:t>
      </w:r>
      <w:r>
        <w:rPr>
          <w:spacing w:val="-3"/>
          <w:sz w:val="21"/>
        </w:rPr>
        <w:t>to  </w:t>
      </w:r>
      <w:r>
        <w:rPr>
          <w:sz w:val="21"/>
        </w:rPr>
        <w:t>seek  a </w:t>
      </w:r>
      <w:r>
        <w:rPr>
          <w:spacing w:val="-3"/>
          <w:sz w:val="21"/>
        </w:rPr>
        <w:t>grant </w:t>
      </w:r>
      <w:r>
        <w:rPr>
          <w:sz w:val="21"/>
        </w:rPr>
        <w:t>of </w:t>
      </w:r>
      <w:r>
        <w:rPr>
          <w:spacing w:val="-3"/>
          <w:sz w:val="21"/>
        </w:rPr>
        <w:t>administration </w:t>
      </w:r>
      <w:r>
        <w:rPr>
          <w:sz w:val="21"/>
        </w:rPr>
        <w:t>without the assistance of a legal </w:t>
      </w:r>
      <w:r>
        <w:rPr>
          <w:spacing w:val="-3"/>
          <w:sz w:val="21"/>
        </w:rPr>
        <w:t>practitioner, </w:t>
      </w:r>
      <w:r>
        <w:rPr>
          <w:sz w:val="21"/>
        </w:rPr>
        <w:t>the </w:t>
      </w:r>
      <w:r>
        <w:rPr>
          <w:spacing w:val="-3"/>
          <w:sz w:val="21"/>
        </w:rPr>
        <w:t>small </w:t>
      </w:r>
      <w:r>
        <w:rPr>
          <w:sz w:val="21"/>
        </w:rPr>
        <w:t>estates officer of the </w:t>
      </w:r>
      <w:r>
        <w:rPr>
          <w:spacing w:val="-3"/>
          <w:sz w:val="21"/>
        </w:rPr>
        <w:t>Probate </w:t>
      </w:r>
      <w:r>
        <w:rPr>
          <w:sz w:val="21"/>
        </w:rPr>
        <w:t>Office or a trustee </w:t>
      </w:r>
      <w:r>
        <w:rPr>
          <w:spacing w:val="-4"/>
          <w:sz w:val="21"/>
        </w:rPr>
        <w:t>company. </w:t>
      </w:r>
      <w:r>
        <w:rPr>
          <w:sz w:val="21"/>
        </w:rPr>
        <w:t>The </w:t>
      </w:r>
      <w:r>
        <w:rPr>
          <w:spacing w:val="-4"/>
          <w:sz w:val="21"/>
        </w:rPr>
        <w:t>likely </w:t>
      </w:r>
      <w:r>
        <w:rPr>
          <w:sz w:val="21"/>
        </w:rPr>
        <w:t>starting points </w:t>
      </w:r>
      <w:r>
        <w:rPr>
          <w:spacing w:val="-3"/>
          <w:sz w:val="21"/>
        </w:rPr>
        <w:t>for </w:t>
      </w:r>
      <w:r>
        <w:rPr>
          <w:sz w:val="21"/>
        </w:rPr>
        <w:t>seeking </w:t>
      </w:r>
      <w:r>
        <w:rPr>
          <w:spacing w:val="-3"/>
          <w:sz w:val="21"/>
        </w:rPr>
        <w:t>information for such </w:t>
      </w:r>
      <w:r>
        <w:rPr>
          <w:sz w:val="21"/>
        </w:rPr>
        <w:t>people </w:t>
      </w:r>
      <w:r>
        <w:rPr>
          <w:spacing w:val="-3"/>
          <w:sz w:val="21"/>
        </w:rPr>
        <w:t>include </w:t>
      </w:r>
      <w:r>
        <w:rPr>
          <w:sz w:val="21"/>
        </w:rPr>
        <w:t>the Law </w:t>
      </w:r>
      <w:r>
        <w:rPr>
          <w:spacing w:val="-3"/>
          <w:sz w:val="21"/>
        </w:rPr>
        <w:t>Institute </w:t>
      </w:r>
      <w:r>
        <w:rPr>
          <w:sz w:val="21"/>
        </w:rPr>
        <w:t>of Victoria, Victoria Legal Aid, the </w:t>
      </w:r>
      <w:r>
        <w:rPr>
          <w:spacing w:val="-3"/>
          <w:sz w:val="21"/>
        </w:rPr>
        <w:t>Supreme Court Probate </w:t>
      </w:r>
      <w:r>
        <w:rPr>
          <w:sz w:val="21"/>
        </w:rPr>
        <w:t>Office and </w:t>
      </w:r>
      <w:r>
        <w:rPr>
          <w:spacing w:val="-3"/>
          <w:sz w:val="21"/>
        </w:rPr>
        <w:t>website,</w:t>
      </w:r>
      <w:r>
        <w:rPr>
          <w:sz w:val="21"/>
        </w:rPr>
        <w:t> and community legal </w:t>
      </w:r>
      <w:r>
        <w:rPr>
          <w:spacing w:val="-3"/>
          <w:sz w:val="21"/>
        </w:rPr>
        <w:t>centres.</w:t>
      </w:r>
    </w:p>
    <w:p>
      <w:pPr>
        <w:pStyle w:val="ListParagraph"/>
        <w:numPr>
          <w:ilvl w:val="1"/>
          <w:numId w:val="22"/>
        </w:numPr>
        <w:tabs>
          <w:tab w:pos="2380" w:val="left" w:leader="none"/>
          <w:tab w:pos="2381" w:val="left" w:leader="none"/>
        </w:tabs>
        <w:spacing w:line="242" w:lineRule="auto" w:before="126" w:after="0"/>
        <w:ind w:left="2381" w:right="289" w:hanging="794"/>
        <w:jc w:val="left"/>
        <w:rPr>
          <w:sz w:val="12"/>
        </w:rPr>
      </w:pPr>
      <w:r>
        <w:rPr/>
        <w:pict>
          <v:line style="position:absolute;mso-position-horizontal-relative:page;mso-position-vertical-relative:paragraph;z-index:13456" from="79.370102pt,51.146862pt" to="515.905102pt,51.146862pt" stroked="true" strokeweight="1pt" strokecolor="#f9ceca">
            <v:stroke dashstyle="solid"/>
            <w10:wrap type="none"/>
          </v:line>
        </w:pict>
      </w:r>
      <w:r>
        <w:rPr>
          <w:sz w:val="21"/>
        </w:rPr>
        <w:t>The Law </w:t>
      </w:r>
      <w:r>
        <w:rPr>
          <w:spacing w:val="-3"/>
          <w:sz w:val="21"/>
        </w:rPr>
        <w:t>Institute </w:t>
      </w:r>
      <w:r>
        <w:rPr>
          <w:sz w:val="21"/>
        </w:rPr>
        <w:t>of Victoria provides a </w:t>
      </w:r>
      <w:r>
        <w:rPr>
          <w:spacing w:val="-3"/>
          <w:sz w:val="21"/>
        </w:rPr>
        <w:t>referral </w:t>
      </w:r>
      <w:r>
        <w:rPr>
          <w:sz w:val="21"/>
        </w:rPr>
        <w:t>service </w:t>
      </w:r>
      <w:r>
        <w:rPr>
          <w:spacing w:val="-3"/>
          <w:sz w:val="21"/>
        </w:rPr>
        <w:t>that </w:t>
      </w:r>
      <w:r>
        <w:rPr>
          <w:sz w:val="21"/>
        </w:rPr>
        <w:t>links people with suitably qualified </w:t>
      </w:r>
      <w:r>
        <w:rPr>
          <w:spacing w:val="-3"/>
          <w:sz w:val="21"/>
        </w:rPr>
        <w:t>private </w:t>
      </w:r>
      <w:r>
        <w:rPr>
          <w:sz w:val="21"/>
        </w:rPr>
        <w:t>legal practitioners </w:t>
      </w:r>
      <w:r>
        <w:rPr>
          <w:spacing w:val="-2"/>
          <w:sz w:val="21"/>
        </w:rPr>
        <w:t>listed </w:t>
      </w:r>
      <w:r>
        <w:rPr>
          <w:sz w:val="21"/>
        </w:rPr>
        <w:t>with the Law </w:t>
      </w:r>
      <w:r>
        <w:rPr>
          <w:spacing w:val="-3"/>
          <w:sz w:val="21"/>
        </w:rPr>
        <w:t>Institute </w:t>
      </w:r>
      <w:r>
        <w:rPr>
          <w:sz w:val="21"/>
        </w:rPr>
        <w:t>of Victoria. This service </w:t>
      </w:r>
      <w:r>
        <w:rPr>
          <w:spacing w:val="-3"/>
          <w:sz w:val="21"/>
        </w:rPr>
        <w:t>includes</w:t>
      </w:r>
      <w:r>
        <w:rPr>
          <w:spacing w:val="10"/>
          <w:sz w:val="21"/>
        </w:rPr>
        <w:t> </w:t>
      </w:r>
      <w:r>
        <w:rPr>
          <w:sz w:val="21"/>
        </w:rPr>
        <w:t>a</w:t>
      </w:r>
      <w:r>
        <w:rPr>
          <w:spacing w:val="10"/>
          <w:sz w:val="21"/>
        </w:rPr>
        <w:t> </w:t>
      </w:r>
      <w:r>
        <w:rPr>
          <w:sz w:val="21"/>
        </w:rPr>
        <w:t>thirty-minute</w:t>
      </w:r>
      <w:r>
        <w:rPr>
          <w:spacing w:val="10"/>
          <w:sz w:val="21"/>
        </w:rPr>
        <w:t> </w:t>
      </w:r>
      <w:r>
        <w:rPr>
          <w:sz w:val="21"/>
        </w:rPr>
        <w:t>inquiry</w:t>
      </w:r>
      <w:r>
        <w:rPr>
          <w:spacing w:val="10"/>
          <w:sz w:val="21"/>
        </w:rPr>
        <w:t> </w:t>
      </w:r>
      <w:r>
        <w:rPr>
          <w:sz w:val="21"/>
        </w:rPr>
        <w:t>interview</w:t>
      </w:r>
      <w:r>
        <w:rPr>
          <w:spacing w:val="10"/>
          <w:sz w:val="21"/>
        </w:rPr>
        <w:t> </w:t>
      </w:r>
      <w:r>
        <w:rPr>
          <w:spacing w:val="-3"/>
          <w:sz w:val="21"/>
        </w:rPr>
        <w:t>that</w:t>
      </w:r>
      <w:r>
        <w:rPr>
          <w:spacing w:val="11"/>
          <w:sz w:val="21"/>
        </w:rPr>
        <w:t> </w:t>
      </w:r>
      <w:r>
        <w:rPr>
          <w:sz w:val="21"/>
        </w:rPr>
        <w:t>is</w:t>
      </w:r>
      <w:r>
        <w:rPr>
          <w:spacing w:val="10"/>
          <w:sz w:val="21"/>
        </w:rPr>
        <w:t> </w:t>
      </w:r>
      <w:r>
        <w:rPr>
          <w:sz w:val="21"/>
        </w:rPr>
        <w:t>free</w:t>
      </w:r>
      <w:r>
        <w:rPr>
          <w:spacing w:val="10"/>
          <w:sz w:val="21"/>
        </w:rPr>
        <w:t> </w:t>
      </w:r>
      <w:r>
        <w:rPr>
          <w:sz w:val="21"/>
        </w:rPr>
        <w:t>of</w:t>
      </w:r>
      <w:r>
        <w:rPr>
          <w:spacing w:val="10"/>
          <w:sz w:val="21"/>
        </w:rPr>
        <w:t> </w:t>
      </w:r>
      <w:r>
        <w:rPr>
          <w:spacing w:val="-3"/>
          <w:sz w:val="21"/>
        </w:rPr>
        <w:t>charge.</w:t>
      </w:r>
      <w:r>
        <w:rPr>
          <w:spacing w:val="-3"/>
          <w:position w:val="7"/>
          <w:sz w:val="12"/>
        </w:rPr>
        <w:t>32</w:t>
      </w:r>
    </w:p>
    <w:p>
      <w:pPr>
        <w:pStyle w:val="BodyText"/>
        <w:spacing w:before="7"/>
        <w:rPr>
          <w:sz w:val="22"/>
        </w:rPr>
      </w:pPr>
    </w:p>
    <w:p>
      <w:pPr>
        <w:pStyle w:val="ListParagraph"/>
        <w:numPr>
          <w:ilvl w:val="0"/>
          <w:numId w:val="140"/>
        </w:numPr>
        <w:tabs>
          <w:tab w:pos="2380" w:val="left" w:leader="none"/>
          <w:tab w:pos="2382" w:val="left" w:leader="none"/>
        </w:tabs>
        <w:spacing w:line="240" w:lineRule="auto" w:before="1" w:after="0"/>
        <w:ind w:left="2381" w:right="0" w:hanging="794"/>
        <w:jc w:val="left"/>
        <w:rPr>
          <w:sz w:val="13"/>
        </w:rPr>
      </w:pPr>
      <w:r>
        <w:rPr>
          <w:w w:val="105"/>
          <w:sz w:val="13"/>
        </w:rPr>
        <w:t>Law Institute of Victoria, </w:t>
      </w:r>
      <w:r>
        <w:rPr>
          <w:i/>
          <w:w w:val="105"/>
          <w:sz w:val="13"/>
        </w:rPr>
        <w:t>Legal Referral Service</w:t>
      </w:r>
      <w:r>
        <w:rPr>
          <w:i/>
          <w:spacing w:val="26"/>
          <w:w w:val="105"/>
          <w:sz w:val="13"/>
        </w:rPr>
        <w:t> </w:t>
      </w:r>
      <w:r>
        <w:rPr>
          <w:spacing w:val="2"/>
          <w:w w:val="105"/>
          <w:sz w:val="13"/>
        </w:rPr>
        <w:t>&lt;</w:t>
      </w:r>
      <w:hyperlink r:id="rId112">
        <w:r>
          <w:rPr>
            <w:spacing w:val="2"/>
            <w:w w:val="105"/>
            <w:sz w:val="13"/>
          </w:rPr>
          <w:t>http://www.liv.asn.au/Referral</w:t>
        </w:r>
      </w:hyperlink>
      <w:r>
        <w:rPr>
          <w:spacing w:val="2"/>
          <w:w w:val="105"/>
          <w:sz w:val="13"/>
        </w:rPr>
        <w:t>&gt;.</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6"/>
        <w:rPr>
          <w:sz w:val="39"/>
        </w:rPr>
      </w:pPr>
    </w:p>
    <w:p>
      <w:pPr>
        <w:spacing w:before="0"/>
        <w:ind w:left="592" w:right="575" w:firstLine="0"/>
        <w:jc w:val="center"/>
        <w:rPr>
          <w:b/>
          <w:sz w:val="24"/>
        </w:rPr>
      </w:pPr>
      <w:r>
        <w:rPr>
          <w:b/>
          <w:color w:val="EC5A4F"/>
          <w:w w:val="110"/>
          <w:sz w:val="24"/>
        </w:rPr>
        <w:t>193</w:t>
      </w:r>
    </w:p>
    <w:p>
      <w:pPr>
        <w:spacing w:after="0"/>
        <w:jc w:val="center"/>
        <w:rPr>
          <w:sz w:val="24"/>
        </w:rPr>
        <w:sectPr>
          <w:type w:val="continuous"/>
          <w:pgSz w:w="11910" w:h="16840"/>
          <w:pgMar w:top="920" w:bottom="280" w:left="0" w:right="0"/>
          <w:cols w:num="2" w:equalWidth="0">
            <w:col w:w="10261" w:space="40"/>
            <w:col w:w="1609"/>
          </w:cols>
        </w:sectPr>
      </w:pPr>
    </w:p>
    <w:p>
      <w:pPr>
        <w:pStyle w:val="BodyText"/>
        <w:spacing w:before="9"/>
        <w:rPr>
          <w:b/>
          <w:sz w:val="22"/>
        </w:rPr>
      </w:pPr>
    </w:p>
    <w:p>
      <w:pPr>
        <w:pStyle w:val="ListParagraph"/>
        <w:numPr>
          <w:ilvl w:val="1"/>
          <w:numId w:val="22"/>
        </w:numPr>
        <w:tabs>
          <w:tab w:pos="2380" w:val="left" w:leader="none"/>
          <w:tab w:pos="2381" w:val="left" w:leader="none"/>
        </w:tabs>
        <w:spacing w:line="242" w:lineRule="auto" w:before="92" w:after="0"/>
        <w:ind w:left="2381" w:right="1717" w:hanging="794"/>
        <w:jc w:val="left"/>
        <w:rPr>
          <w:sz w:val="12"/>
        </w:rPr>
      </w:pPr>
      <w:r>
        <w:rPr>
          <w:w w:val="105"/>
          <w:sz w:val="21"/>
        </w:rPr>
        <w:t>Victoria</w:t>
      </w:r>
      <w:r>
        <w:rPr>
          <w:spacing w:val="-13"/>
          <w:w w:val="105"/>
          <w:sz w:val="21"/>
        </w:rPr>
        <w:t> </w:t>
      </w:r>
      <w:r>
        <w:rPr>
          <w:w w:val="105"/>
          <w:sz w:val="21"/>
        </w:rPr>
        <w:t>Legal</w:t>
      </w:r>
      <w:r>
        <w:rPr>
          <w:spacing w:val="-12"/>
          <w:w w:val="105"/>
          <w:sz w:val="21"/>
        </w:rPr>
        <w:t> </w:t>
      </w:r>
      <w:r>
        <w:rPr>
          <w:w w:val="105"/>
          <w:sz w:val="21"/>
        </w:rPr>
        <w:t>Aid</w:t>
      </w:r>
      <w:r>
        <w:rPr>
          <w:spacing w:val="-13"/>
          <w:w w:val="105"/>
          <w:sz w:val="21"/>
        </w:rPr>
        <w:t> </w:t>
      </w:r>
      <w:r>
        <w:rPr>
          <w:w w:val="105"/>
          <w:sz w:val="21"/>
        </w:rPr>
        <w:t>operates</w:t>
      </w:r>
      <w:r>
        <w:rPr>
          <w:spacing w:val="-12"/>
          <w:w w:val="105"/>
          <w:sz w:val="21"/>
        </w:rPr>
        <w:t> </w:t>
      </w:r>
      <w:r>
        <w:rPr>
          <w:w w:val="105"/>
          <w:sz w:val="21"/>
        </w:rPr>
        <w:t>a</w:t>
      </w:r>
      <w:r>
        <w:rPr>
          <w:spacing w:val="-13"/>
          <w:w w:val="105"/>
          <w:sz w:val="21"/>
        </w:rPr>
        <w:t> </w:t>
      </w:r>
      <w:r>
        <w:rPr>
          <w:w w:val="105"/>
          <w:sz w:val="21"/>
        </w:rPr>
        <w:t>free</w:t>
      </w:r>
      <w:r>
        <w:rPr>
          <w:spacing w:val="-12"/>
          <w:w w:val="105"/>
          <w:sz w:val="21"/>
        </w:rPr>
        <w:t> </w:t>
      </w:r>
      <w:r>
        <w:rPr>
          <w:w w:val="105"/>
          <w:sz w:val="21"/>
        </w:rPr>
        <w:t>legal</w:t>
      </w:r>
      <w:r>
        <w:rPr>
          <w:spacing w:val="-13"/>
          <w:w w:val="105"/>
          <w:sz w:val="21"/>
        </w:rPr>
        <w:t> </w:t>
      </w:r>
      <w:r>
        <w:rPr>
          <w:w w:val="105"/>
          <w:sz w:val="21"/>
        </w:rPr>
        <w:t>advice</w:t>
      </w:r>
      <w:r>
        <w:rPr>
          <w:spacing w:val="-12"/>
          <w:w w:val="105"/>
          <w:sz w:val="21"/>
        </w:rPr>
        <w:t> </w:t>
      </w:r>
      <w:r>
        <w:rPr>
          <w:w w:val="105"/>
          <w:sz w:val="21"/>
        </w:rPr>
        <w:t>phone</w:t>
      </w:r>
      <w:r>
        <w:rPr>
          <w:spacing w:val="-12"/>
          <w:w w:val="105"/>
          <w:sz w:val="21"/>
        </w:rPr>
        <w:t> </w:t>
      </w:r>
      <w:r>
        <w:rPr>
          <w:w w:val="105"/>
          <w:sz w:val="21"/>
        </w:rPr>
        <w:t>service,</w:t>
      </w:r>
      <w:r>
        <w:rPr>
          <w:spacing w:val="-13"/>
          <w:w w:val="105"/>
          <w:sz w:val="21"/>
        </w:rPr>
        <w:t> </w:t>
      </w:r>
      <w:r>
        <w:rPr>
          <w:w w:val="105"/>
          <w:sz w:val="21"/>
        </w:rPr>
        <w:t>but</w:t>
      </w:r>
      <w:r>
        <w:rPr>
          <w:spacing w:val="-12"/>
          <w:w w:val="105"/>
          <w:sz w:val="21"/>
        </w:rPr>
        <w:t> </w:t>
      </w:r>
      <w:r>
        <w:rPr>
          <w:w w:val="105"/>
          <w:sz w:val="21"/>
        </w:rPr>
        <w:t>provides</w:t>
      </w:r>
      <w:r>
        <w:rPr>
          <w:spacing w:val="-13"/>
          <w:w w:val="105"/>
          <w:sz w:val="21"/>
        </w:rPr>
        <w:t> </w:t>
      </w:r>
      <w:r>
        <w:rPr>
          <w:w w:val="105"/>
          <w:sz w:val="21"/>
        </w:rPr>
        <w:t>only</w:t>
      </w:r>
      <w:r>
        <w:rPr>
          <w:spacing w:val="-12"/>
          <w:w w:val="105"/>
          <w:sz w:val="21"/>
        </w:rPr>
        <w:t> </w:t>
      </w:r>
      <w:r>
        <w:rPr>
          <w:w w:val="105"/>
          <w:sz w:val="21"/>
        </w:rPr>
        <w:t>very</w:t>
      </w:r>
      <w:r>
        <w:rPr>
          <w:spacing w:val="-13"/>
          <w:w w:val="105"/>
          <w:sz w:val="21"/>
        </w:rPr>
        <w:t> </w:t>
      </w:r>
      <w:r>
        <w:rPr>
          <w:w w:val="105"/>
          <w:sz w:val="21"/>
        </w:rPr>
        <w:t>basic </w:t>
      </w:r>
      <w:r>
        <w:rPr>
          <w:spacing w:val="-3"/>
          <w:w w:val="105"/>
          <w:sz w:val="21"/>
        </w:rPr>
        <w:t>information </w:t>
      </w:r>
      <w:r>
        <w:rPr>
          <w:w w:val="105"/>
          <w:sz w:val="21"/>
        </w:rPr>
        <w:t>on </w:t>
      </w:r>
      <w:r>
        <w:rPr>
          <w:spacing w:val="-3"/>
          <w:w w:val="105"/>
          <w:sz w:val="21"/>
        </w:rPr>
        <w:t>wills </w:t>
      </w:r>
      <w:r>
        <w:rPr>
          <w:w w:val="105"/>
          <w:sz w:val="21"/>
        </w:rPr>
        <w:t>and </w:t>
      </w:r>
      <w:r>
        <w:rPr>
          <w:spacing w:val="-3"/>
          <w:w w:val="105"/>
          <w:sz w:val="21"/>
        </w:rPr>
        <w:t>probate. </w:t>
      </w:r>
      <w:r>
        <w:rPr>
          <w:w w:val="105"/>
          <w:sz w:val="21"/>
        </w:rPr>
        <w:t>Victoria Legal Aid refers </w:t>
      </w:r>
      <w:r>
        <w:rPr>
          <w:spacing w:val="-3"/>
          <w:w w:val="105"/>
          <w:sz w:val="21"/>
        </w:rPr>
        <w:t>inquiries </w:t>
      </w:r>
      <w:r>
        <w:rPr>
          <w:w w:val="105"/>
          <w:sz w:val="21"/>
        </w:rPr>
        <w:t>in this </w:t>
      </w:r>
      <w:r>
        <w:rPr>
          <w:spacing w:val="-3"/>
          <w:w w:val="105"/>
          <w:sz w:val="21"/>
        </w:rPr>
        <w:t>area </w:t>
      </w:r>
      <w:r>
        <w:rPr>
          <w:w w:val="105"/>
          <w:sz w:val="21"/>
        </w:rPr>
        <w:t>either </w:t>
      </w:r>
      <w:r>
        <w:rPr>
          <w:spacing w:val="-3"/>
          <w:w w:val="105"/>
          <w:sz w:val="21"/>
        </w:rPr>
        <w:t>to </w:t>
      </w:r>
      <w:r>
        <w:rPr>
          <w:w w:val="105"/>
          <w:sz w:val="21"/>
        </w:rPr>
        <w:t>the Law </w:t>
      </w:r>
      <w:r>
        <w:rPr>
          <w:spacing w:val="-3"/>
          <w:w w:val="105"/>
          <w:sz w:val="21"/>
        </w:rPr>
        <w:t>Institute </w:t>
      </w:r>
      <w:r>
        <w:rPr>
          <w:w w:val="105"/>
          <w:sz w:val="21"/>
        </w:rPr>
        <w:t>of Victoria or </w:t>
      </w:r>
      <w:r>
        <w:rPr>
          <w:spacing w:val="-3"/>
          <w:w w:val="105"/>
          <w:sz w:val="21"/>
        </w:rPr>
        <w:t>to </w:t>
      </w:r>
      <w:r>
        <w:rPr>
          <w:w w:val="105"/>
          <w:sz w:val="21"/>
        </w:rPr>
        <w:t>the </w:t>
      </w:r>
      <w:r>
        <w:rPr>
          <w:spacing w:val="-3"/>
          <w:w w:val="105"/>
          <w:sz w:val="21"/>
        </w:rPr>
        <w:t>Probate</w:t>
      </w:r>
      <w:r>
        <w:rPr>
          <w:spacing w:val="42"/>
          <w:w w:val="105"/>
          <w:sz w:val="21"/>
        </w:rPr>
        <w:t> </w:t>
      </w:r>
      <w:r>
        <w:rPr>
          <w:w w:val="105"/>
          <w:sz w:val="21"/>
        </w:rPr>
        <w:t>Office.</w:t>
      </w:r>
      <w:r>
        <w:rPr>
          <w:w w:val="105"/>
          <w:position w:val="7"/>
          <w:sz w:val="12"/>
        </w:rPr>
        <w:t>33</w:t>
      </w:r>
    </w:p>
    <w:p>
      <w:pPr>
        <w:pStyle w:val="ListParagraph"/>
        <w:numPr>
          <w:ilvl w:val="1"/>
          <w:numId w:val="22"/>
        </w:numPr>
        <w:tabs>
          <w:tab w:pos="2380" w:val="left" w:leader="none"/>
          <w:tab w:pos="2381" w:val="left" w:leader="none"/>
        </w:tabs>
        <w:spacing w:line="242" w:lineRule="auto" w:before="123" w:after="0"/>
        <w:ind w:left="2381" w:right="1703" w:hanging="794"/>
        <w:jc w:val="left"/>
        <w:rPr>
          <w:sz w:val="21"/>
        </w:rPr>
      </w:pPr>
      <w:r>
        <w:rPr>
          <w:w w:val="105"/>
          <w:sz w:val="21"/>
        </w:rPr>
        <w:t>The Federation of </w:t>
      </w:r>
      <w:r>
        <w:rPr>
          <w:spacing w:val="-3"/>
          <w:w w:val="105"/>
          <w:sz w:val="21"/>
        </w:rPr>
        <w:t>Community </w:t>
      </w:r>
      <w:r>
        <w:rPr>
          <w:w w:val="105"/>
          <w:sz w:val="21"/>
        </w:rPr>
        <w:t>Legal </w:t>
      </w:r>
      <w:r>
        <w:rPr>
          <w:spacing w:val="-4"/>
          <w:w w:val="105"/>
          <w:sz w:val="21"/>
        </w:rPr>
        <w:t>Centres </w:t>
      </w:r>
      <w:r>
        <w:rPr>
          <w:spacing w:val="-2"/>
          <w:w w:val="105"/>
          <w:sz w:val="21"/>
        </w:rPr>
        <w:t>has </w:t>
      </w:r>
      <w:r>
        <w:rPr>
          <w:spacing w:val="-3"/>
          <w:w w:val="105"/>
          <w:sz w:val="21"/>
        </w:rPr>
        <w:t>informed </w:t>
      </w:r>
      <w:r>
        <w:rPr>
          <w:w w:val="105"/>
          <w:sz w:val="21"/>
        </w:rPr>
        <w:t>the </w:t>
      </w:r>
      <w:r>
        <w:rPr>
          <w:spacing w:val="-3"/>
          <w:w w:val="105"/>
          <w:sz w:val="21"/>
        </w:rPr>
        <w:t>Commission that </w:t>
      </w:r>
      <w:r>
        <w:rPr>
          <w:w w:val="105"/>
          <w:sz w:val="21"/>
        </w:rPr>
        <w:t>Victorian community legal </w:t>
      </w:r>
      <w:r>
        <w:rPr>
          <w:spacing w:val="-3"/>
          <w:w w:val="105"/>
          <w:sz w:val="21"/>
        </w:rPr>
        <w:t>centres rarely </w:t>
      </w:r>
      <w:r>
        <w:rPr>
          <w:w w:val="105"/>
          <w:sz w:val="21"/>
        </w:rPr>
        <w:t>assist clients </w:t>
      </w:r>
      <w:r>
        <w:rPr>
          <w:spacing w:val="-3"/>
          <w:w w:val="105"/>
          <w:sz w:val="21"/>
        </w:rPr>
        <w:t>to </w:t>
      </w:r>
      <w:r>
        <w:rPr>
          <w:w w:val="105"/>
          <w:sz w:val="21"/>
        </w:rPr>
        <w:t>obtain grants of </w:t>
      </w:r>
      <w:r>
        <w:rPr>
          <w:spacing w:val="-3"/>
          <w:w w:val="105"/>
          <w:sz w:val="21"/>
        </w:rPr>
        <w:t>probate. </w:t>
      </w:r>
      <w:r>
        <w:rPr>
          <w:w w:val="105"/>
          <w:sz w:val="21"/>
        </w:rPr>
        <w:t>Their </w:t>
      </w:r>
      <w:r>
        <w:rPr>
          <w:spacing w:val="-3"/>
          <w:w w:val="105"/>
          <w:sz w:val="21"/>
        </w:rPr>
        <w:t>resources tend to </w:t>
      </w:r>
      <w:r>
        <w:rPr>
          <w:w w:val="105"/>
          <w:sz w:val="21"/>
        </w:rPr>
        <w:t>be directed </w:t>
      </w:r>
      <w:r>
        <w:rPr>
          <w:spacing w:val="-3"/>
          <w:w w:val="105"/>
          <w:sz w:val="21"/>
        </w:rPr>
        <w:t>to </w:t>
      </w:r>
      <w:r>
        <w:rPr>
          <w:w w:val="105"/>
          <w:sz w:val="21"/>
        </w:rPr>
        <w:t>assisting clients with </w:t>
      </w:r>
      <w:r>
        <w:rPr>
          <w:spacing w:val="-3"/>
          <w:w w:val="105"/>
          <w:sz w:val="21"/>
        </w:rPr>
        <w:t>pressing criminal </w:t>
      </w:r>
      <w:r>
        <w:rPr>
          <w:w w:val="105"/>
          <w:sz w:val="21"/>
        </w:rPr>
        <w:t>and civil</w:t>
      </w:r>
      <w:r>
        <w:rPr>
          <w:spacing w:val="1"/>
          <w:w w:val="105"/>
          <w:sz w:val="21"/>
        </w:rPr>
        <w:t> </w:t>
      </w:r>
      <w:r>
        <w:rPr>
          <w:w w:val="105"/>
          <w:sz w:val="21"/>
        </w:rPr>
        <w:t>matters.</w:t>
      </w:r>
    </w:p>
    <w:p>
      <w:pPr>
        <w:pStyle w:val="BodyText"/>
        <w:spacing w:before="5"/>
        <w:rPr>
          <w:sz w:val="31"/>
        </w:rPr>
      </w:pPr>
    </w:p>
    <w:p>
      <w:pPr>
        <w:pStyle w:val="ListParagraph"/>
        <w:numPr>
          <w:ilvl w:val="1"/>
          <w:numId w:val="22"/>
        </w:numPr>
        <w:tabs>
          <w:tab w:pos="2380" w:val="left" w:leader="none"/>
          <w:tab w:pos="2381" w:val="left" w:leader="none"/>
        </w:tabs>
        <w:spacing w:line="242" w:lineRule="auto" w:before="0" w:after="0"/>
        <w:ind w:left="2380" w:right="1916" w:hanging="793"/>
        <w:jc w:val="left"/>
        <w:rPr>
          <w:sz w:val="21"/>
        </w:rPr>
      </w:pPr>
      <w:r>
        <w:rPr>
          <w:w w:val="105"/>
          <w:sz w:val="21"/>
        </w:rPr>
        <w:t>That said, community legal </w:t>
      </w:r>
      <w:r>
        <w:rPr>
          <w:spacing w:val="-3"/>
          <w:w w:val="105"/>
          <w:sz w:val="21"/>
        </w:rPr>
        <w:t>centres have </w:t>
      </w:r>
      <w:r>
        <w:rPr>
          <w:w w:val="105"/>
          <w:sz w:val="21"/>
        </w:rPr>
        <w:t>reported </w:t>
      </w:r>
      <w:r>
        <w:rPr>
          <w:spacing w:val="-3"/>
          <w:w w:val="105"/>
          <w:sz w:val="21"/>
        </w:rPr>
        <w:t>that </w:t>
      </w:r>
      <w:r>
        <w:rPr>
          <w:w w:val="105"/>
          <w:sz w:val="21"/>
        </w:rPr>
        <w:t>they field a large number of </w:t>
      </w:r>
      <w:r>
        <w:rPr>
          <w:spacing w:val="-3"/>
          <w:w w:val="105"/>
          <w:sz w:val="21"/>
        </w:rPr>
        <w:t>inquiries, </w:t>
      </w:r>
      <w:r>
        <w:rPr>
          <w:w w:val="105"/>
          <w:sz w:val="21"/>
        </w:rPr>
        <w:t>both in person and over the </w:t>
      </w:r>
      <w:r>
        <w:rPr>
          <w:spacing w:val="-3"/>
          <w:w w:val="105"/>
          <w:sz w:val="21"/>
        </w:rPr>
        <w:t>phone, for </w:t>
      </w:r>
      <w:r>
        <w:rPr>
          <w:w w:val="105"/>
          <w:sz w:val="21"/>
        </w:rPr>
        <w:t>this type of </w:t>
      </w:r>
      <w:r>
        <w:rPr>
          <w:spacing w:val="-3"/>
          <w:w w:val="105"/>
          <w:sz w:val="21"/>
        </w:rPr>
        <w:t>assistance. </w:t>
      </w:r>
      <w:r>
        <w:rPr>
          <w:w w:val="105"/>
          <w:sz w:val="21"/>
        </w:rPr>
        <w:t>Some clients seek</w:t>
      </w:r>
      <w:r>
        <w:rPr>
          <w:spacing w:val="-8"/>
          <w:w w:val="105"/>
          <w:sz w:val="21"/>
        </w:rPr>
        <w:t> </w:t>
      </w:r>
      <w:r>
        <w:rPr>
          <w:w w:val="105"/>
          <w:sz w:val="21"/>
        </w:rPr>
        <w:t>a</w:t>
      </w:r>
      <w:r>
        <w:rPr>
          <w:spacing w:val="-8"/>
          <w:w w:val="105"/>
          <w:sz w:val="21"/>
        </w:rPr>
        <w:t> </w:t>
      </w:r>
      <w:r>
        <w:rPr>
          <w:w w:val="105"/>
          <w:sz w:val="21"/>
        </w:rPr>
        <w:t>community</w:t>
      </w:r>
      <w:r>
        <w:rPr>
          <w:spacing w:val="-9"/>
          <w:w w:val="105"/>
          <w:sz w:val="21"/>
        </w:rPr>
        <w:t> </w:t>
      </w:r>
      <w:r>
        <w:rPr>
          <w:w w:val="105"/>
          <w:sz w:val="21"/>
        </w:rPr>
        <w:t>legal</w:t>
      </w:r>
      <w:r>
        <w:rPr>
          <w:spacing w:val="-8"/>
          <w:w w:val="105"/>
          <w:sz w:val="21"/>
        </w:rPr>
        <w:t> </w:t>
      </w:r>
      <w:r>
        <w:rPr>
          <w:spacing w:val="-3"/>
          <w:w w:val="105"/>
          <w:sz w:val="21"/>
        </w:rPr>
        <w:t>centre</w:t>
      </w:r>
      <w:r>
        <w:rPr>
          <w:spacing w:val="-8"/>
          <w:w w:val="105"/>
          <w:sz w:val="21"/>
        </w:rPr>
        <w:t> </w:t>
      </w:r>
      <w:r>
        <w:rPr>
          <w:spacing w:val="-3"/>
          <w:w w:val="105"/>
          <w:sz w:val="21"/>
        </w:rPr>
        <w:t>solicitor</w:t>
      </w:r>
      <w:r>
        <w:rPr>
          <w:spacing w:val="-8"/>
          <w:w w:val="105"/>
          <w:sz w:val="21"/>
        </w:rPr>
        <w:t> </w:t>
      </w:r>
      <w:r>
        <w:rPr>
          <w:spacing w:val="-3"/>
          <w:w w:val="105"/>
          <w:sz w:val="21"/>
        </w:rPr>
        <w:t>to</w:t>
      </w:r>
      <w:r>
        <w:rPr>
          <w:spacing w:val="-8"/>
          <w:w w:val="105"/>
          <w:sz w:val="21"/>
        </w:rPr>
        <w:t> </w:t>
      </w:r>
      <w:r>
        <w:rPr>
          <w:spacing w:val="-3"/>
          <w:w w:val="105"/>
          <w:sz w:val="21"/>
        </w:rPr>
        <w:t>take</w:t>
      </w:r>
      <w:r>
        <w:rPr>
          <w:spacing w:val="-8"/>
          <w:w w:val="105"/>
          <w:sz w:val="21"/>
        </w:rPr>
        <w:t> </w:t>
      </w:r>
      <w:r>
        <w:rPr>
          <w:w w:val="105"/>
          <w:sz w:val="21"/>
        </w:rPr>
        <w:t>them</w:t>
      </w:r>
      <w:r>
        <w:rPr>
          <w:spacing w:val="-8"/>
          <w:w w:val="105"/>
          <w:sz w:val="21"/>
        </w:rPr>
        <w:t> </w:t>
      </w:r>
      <w:r>
        <w:rPr>
          <w:spacing w:val="-3"/>
          <w:w w:val="105"/>
          <w:sz w:val="21"/>
        </w:rPr>
        <w:t>through</w:t>
      </w:r>
      <w:r>
        <w:rPr>
          <w:spacing w:val="-8"/>
          <w:w w:val="105"/>
          <w:sz w:val="21"/>
        </w:rPr>
        <w:t> </w:t>
      </w:r>
      <w:r>
        <w:rPr>
          <w:w w:val="105"/>
          <w:sz w:val="21"/>
        </w:rPr>
        <w:t>the</w:t>
      </w:r>
      <w:r>
        <w:rPr>
          <w:spacing w:val="-8"/>
          <w:w w:val="105"/>
          <w:sz w:val="21"/>
        </w:rPr>
        <w:t> </w:t>
      </w:r>
      <w:r>
        <w:rPr>
          <w:w w:val="105"/>
          <w:sz w:val="21"/>
        </w:rPr>
        <w:t>process,</w:t>
      </w:r>
      <w:r>
        <w:rPr>
          <w:spacing w:val="-8"/>
          <w:w w:val="105"/>
          <w:sz w:val="21"/>
        </w:rPr>
        <w:t> </w:t>
      </w:r>
      <w:r>
        <w:rPr>
          <w:w w:val="105"/>
          <w:sz w:val="21"/>
        </w:rPr>
        <w:t>while</w:t>
      </w:r>
      <w:r>
        <w:rPr>
          <w:spacing w:val="-8"/>
          <w:w w:val="105"/>
          <w:sz w:val="21"/>
        </w:rPr>
        <w:t> </w:t>
      </w:r>
      <w:r>
        <w:rPr>
          <w:w w:val="105"/>
          <w:sz w:val="21"/>
        </w:rPr>
        <w:t>others </w:t>
      </w:r>
      <w:r>
        <w:rPr>
          <w:spacing w:val="-3"/>
          <w:w w:val="105"/>
          <w:sz w:val="21"/>
        </w:rPr>
        <w:t>are </w:t>
      </w:r>
      <w:r>
        <w:rPr>
          <w:w w:val="105"/>
          <w:sz w:val="21"/>
        </w:rPr>
        <w:t>looking </w:t>
      </w:r>
      <w:r>
        <w:rPr>
          <w:spacing w:val="-3"/>
          <w:w w:val="105"/>
          <w:sz w:val="21"/>
        </w:rPr>
        <w:t>for resources </w:t>
      </w:r>
      <w:r>
        <w:rPr>
          <w:w w:val="105"/>
          <w:sz w:val="21"/>
        </w:rPr>
        <w:t>and </w:t>
      </w:r>
      <w:r>
        <w:rPr>
          <w:spacing w:val="-3"/>
          <w:w w:val="105"/>
          <w:sz w:val="21"/>
        </w:rPr>
        <w:t>information to complete </w:t>
      </w:r>
      <w:r>
        <w:rPr>
          <w:w w:val="105"/>
          <w:sz w:val="21"/>
        </w:rPr>
        <w:t>the process</w:t>
      </w:r>
      <w:r>
        <w:rPr>
          <w:spacing w:val="4"/>
          <w:w w:val="105"/>
          <w:sz w:val="21"/>
        </w:rPr>
        <w:t> </w:t>
      </w:r>
      <w:r>
        <w:rPr>
          <w:w w:val="105"/>
          <w:sz w:val="21"/>
        </w:rPr>
        <w:t>themselves.</w:t>
      </w:r>
    </w:p>
    <w:p>
      <w:pPr>
        <w:pStyle w:val="ListParagraph"/>
        <w:numPr>
          <w:ilvl w:val="1"/>
          <w:numId w:val="22"/>
        </w:numPr>
        <w:tabs>
          <w:tab w:pos="2380" w:val="left" w:leader="none"/>
          <w:tab w:pos="2381" w:val="left" w:leader="none"/>
        </w:tabs>
        <w:spacing w:line="242" w:lineRule="auto" w:before="124" w:after="0"/>
        <w:ind w:left="2380" w:right="1594" w:hanging="794"/>
        <w:jc w:val="left"/>
        <w:rPr>
          <w:sz w:val="21"/>
        </w:rPr>
      </w:pPr>
      <w:r>
        <w:rPr>
          <w:sz w:val="21"/>
        </w:rPr>
        <w:t>A number of community legal </w:t>
      </w:r>
      <w:r>
        <w:rPr>
          <w:spacing w:val="-3"/>
          <w:sz w:val="21"/>
        </w:rPr>
        <w:t>centres refer  inquiries  to  </w:t>
      </w:r>
      <w:r>
        <w:rPr>
          <w:sz w:val="21"/>
        </w:rPr>
        <w:t>a  </w:t>
      </w:r>
      <w:r>
        <w:rPr>
          <w:spacing w:val="-3"/>
          <w:sz w:val="21"/>
        </w:rPr>
        <w:t>commercially-available  probate </w:t>
      </w:r>
      <w:r>
        <w:rPr>
          <w:sz w:val="21"/>
        </w:rPr>
        <w:t>kit, which can be accessed </w:t>
      </w:r>
      <w:r>
        <w:rPr>
          <w:spacing w:val="-4"/>
          <w:sz w:val="21"/>
        </w:rPr>
        <w:t>online. </w:t>
      </w:r>
      <w:r>
        <w:rPr>
          <w:sz w:val="21"/>
        </w:rPr>
        <w:t>This kit is sold at one community legal </w:t>
      </w:r>
      <w:r>
        <w:rPr>
          <w:spacing w:val="-4"/>
          <w:sz w:val="21"/>
        </w:rPr>
        <w:t>centre. </w:t>
      </w:r>
      <w:r>
        <w:rPr>
          <w:sz w:val="21"/>
        </w:rPr>
        <w:t>Although </w:t>
      </w:r>
      <w:r>
        <w:rPr>
          <w:spacing w:val="-3"/>
          <w:sz w:val="21"/>
        </w:rPr>
        <w:t>such </w:t>
      </w:r>
      <w:r>
        <w:rPr>
          <w:sz w:val="21"/>
        </w:rPr>
        <w:t>kits </w:t>
      </w:r>
      <w:r>
        <w:rPr>
          <w:spacing w:val="-3"/>
          <w:sz w:val="21"/>
        </w:rPr>
        <w:t>are  intended  to  </w:t>
      </w:r>
      <w:r>
        <w:rPr>
          <w:sz w:val="21"/>
        </w:rPr>
        <w:t>help people </w:t>
      </w:r>
      <w:r>
        <w:rPr>
          <w:spacing w:val="-3"/>
          <w:sz w:val="21"/>
        </w:rPr>
        <w:t>navigate</w:t>
      </w:r>
      <w:r>
        <w:rPr>
          <w:spacing w:val="41"/>
          <w:sz w:val="21"/>
        </w:rPr>
        <w:t> </w:t>
      </w:r>
      <w:r>
        <w:rPr>
          <w:sz w:val="21"/>
        </w:rPr>
        <w:t>the grants process without </w:t>
      </w:r>
      <w:r>
        <w:rPr>
          <w:spacing w:val="-3"/>
          <w:sz w:val="21"/>
        </w:rPr>
        <w:t>formal  advice, </w:t>
      </w:r>
      <w:r>
        <w:rPr>
          <w:sz w:val="21"/>
        </w:rPr>
        <w:t>the </w:t>
      </w:r>
      <w:r>
        <w:rPr>
          <w:spacing w:val="-3"/>
          <w:sz w:val="21"/>
        </w:rPr>
        <w:t>information </w:t>
      </w:r>
      <w:r>
        <w:rPr>
          <w:sz w:val="21"/>
        </w:rPr>
        <w:t>provided is static, and </w:t>
      </w:r>
      <w:r>
        <w:rPr>
          <w:spacing w:val="-3"/>
          <w:sz w:val="21"/>
        </w:rPr>
        <w:t>cannot take </w:t>
      </w:r>
      <w:r>
        <w:rPr>
          <w:sz w:val="21"/>
        </w:rPr>
        <w:t>particular details of each</w:t>
      </w:r>
      <w:r>
        <w:rPr>
          <w:spacing w:val="21"/>
          <w:sz w:val="21"/>
        </w:rPr>
        <w:t> </w:t>
      </w:r>
      <w:r>
        <w:rPr>
          <w:sz w:val="21"/>
        </w:rPr>
        <w:t>estate</w:t>
      </w:r>
    </w:p>
    <w:p>
      <w:pPr>
        <w:pStyle w:val="BodyText"/>
        <w:spacing w:before="4"/>
        <w:ind w:left="2380"/>
      </w:pPr>
      <w:r>
        <w:rPr>
          <w:w w:val="105"/>
        </w:rPr>
        <w:t>into account.</w:t>
      </w:r>
    </w:p>
    <w:p>
      <w:pPr>
        <w:pStyle w:val="ListParagraph"/>
        <w:numPr>
          <w:ilvl w:val="1"/>
          <w:numId w:val="22"/>
        </w:numPr>
        <w:tabs>
          <w:tab w:pos="2380" w:val="left" w:leader="none"/>
          <w:tab w:pos="2381" w:val="left" w:leader="none"/>
        </w:tabs>
        <w:spacing w:line="242" w:lineRule="auto" w:before="124" w:after="0"/>
        <w:ind w:left="2380" w:right="1585" w:hanging="794"/>
        <w:jc w:val="left"/>
        <w:rPr>
          <w:sz w:val="12"/>
        </w:rPr>
      </w:pPr>
      <w:r>
        <w:rPr>
          <w:sz w:val="21"/>
        </w:rPr>
        <w:t>The </w:t>
      </w:r>
      <w:r>
        <w:rPr>
          <w:spacing w:val="-3"/>
          <w:sz w:val="21"/>
        </w:rPr>
        <w:t>Probate </w:t>
      </w:r>
      <w:r>
        <w:rPr>
          <w:sz w:val="21"/>
        </w:rPr>
        <w:t>Office itself is </w:t>
      </w:r>
      <w:r>
        <w:rPr>
          <w:spacing w:val="-3"/>
          <w:sz w:val="21"/>
        </w:rPr>
        <w:t>unsurprisingly </w:t>
      </w:r>
      <w:r>
        <w:rPr>
          <w:sz w:val="21"/>
        </w:rPr>
        <w:t>the first port of call </w:t>
      </w:r>
      <w:r>
        <w:rPr>
          <w:spacing w:val="-3"/>
          <w:sz w:val="21"/>
        </w:rPr>
        <w:t>for </w:t>
      </w:r>
      <w:r>
        <w:rPr>
          <w:sz w:val="21"/>
        </w:rPr>
        <w:t>the majority of </w:t>
      </w:r>
      <w:r>
        <w:rPr>
          <w:spacing w:val="-3"/>
          <w:sz w:val="21"/>
        </w:rPr>
        <w:t>inquiries relating to obtaining </w:t>
      </w:r>
      <w:r>
        <w:rPr>
          <w:sz w:val="21"/>
        </w:rPr>
        <w:t>a </w:t>
      </w:r>
      <w:r>
        <w:rPr>
          <w:spacing w:val="-3"/>
          <w:sz w:val="21"/>
        </w:rPr>
        <w:t>grant </w:t>
      </w:r>
      <w:r>
        <w:rPr>
          <w:sz w:val="21"/>
        </w:rPr>
        <w:t>of </w:t>
      </w:r>
      <w:r>
        <w:rPr>
          <w:spacing w:val="-3"/>
          <w:sz w:val="21"/>
        </w:rPr>
        <w:t>representation.  </w:t>
      </w:r>
      <w:r>
        <w:rPr>
          <w:sz w:val="21"/>
        </w:rPr>
        <w:t>The Registrar </w:t>
      </w:r>
      <w:r>
        <w:rPr>
          <w:spacing w:val="-2"/>
          <w:sz w:val="21"/>
        </w:rPr>
        <w:t>has</w:t>
      </w:r>
      <w:r>
        <w:rPr>
          <w:spacing w:val="43"/>
          <w:sz w:val="21"/>
        </w:rPr>
        <w:t> </w:t>
      </w:r>
      <w:r>
        <w:rPr>
          <w:sz w:val="21"/>
        </w:rPr>
        <w:t>told the </w:t>
      </w:r>
      <w:r>
        <w:rPr>
          <w:spacing w:val="-3"/>
          <w:sz w:val="21"/>
        </w:rPr>
        <w:t>Commission  that  </w:t>
      </w:r>
      <w:r>
        <w:rPr>
          <w:sz w:val="21"/>
        </w:rPr>
        <w:t>by </w:t>
      </w:r>
      <w:r>
        <w:rPr>
          <w:spacing w:val="-3"/>
          <w:sz w:val="21"/>
        </w:rPr>
        <w:t>far </w:t>
      </w:r>
      <w:r>
        <w:rPr>
          <w:sz w:val="21"/>
        </w:rPr>
        <w:t>the most </w:t>
      </w:r>
      <w:r>
        <w:rPr>
          <w:spacing w:val="-2"/>
          <w:sz w:val="21"/>
        </w:rPr>
        <w:t>common </w:t>
      </w:r>
      <w:r>
        <w:rPr>
          <w:sz w:val="21"/>
        </w:rPr>
        <w:t>inquiry </w:t>
      </w:r>
      <w:r>
        <w:rPr>
          <w:spacing w:val="-3"/>
          <w:sz w:val="21"/>
        </w:rPr>
        <w:t>to </w:t>
      </w:r>
      <w:r>
        <w:rPr>
          <w:sz w:val="21"/>
        </w:rPr>
        <w:t>the </w:t>
      </w:r>
      <w:r>
        <w:rPr>
          <w:spacing w:val="-3"/>
          <w:sz w:val="21"/>
        </w:rPr>
        <w:t>Probate </w:t>
      </w:r>
      <w:r>
        <w:rPr>
          <w:sz w:val="21"/>
        </w:rPr>
        <w:t>Office </w:t>
      </w:r>
      <w:r>
        <w:rPr>
          <w:spacing w:val="-3"/>
          <w:sz w:val="21"/>
        </w:rPr>
        <w:t>involves  </w:t>
      </w:r>
      <w:r>
        <w:rPr>
          <w:sz w:val="21"/>
        </w:rPr>
        <w:t>a named </w:t>
      </w:r>
      <w:r>
        <w:rPr>
          <w:spacing w:val="-3"/>
          <w:sz w:val="21"/>
        </w:rPr>
        <w:t>executor</w:t>
      </w:r>
      <w:r>
        <w:rPr>
          <w:spacing w:val="41"/>
          <w:sz w:val="21"/>
        </w:rPr>
        <w:t> </w:t>
      </w:r>
      <w:r>
        <w:rPr>
          <w:spacing w:val="-3"/>
          <w:sz w:val="21"/>
        </w:rPr>
        <w:t>asking ‘what to</w:t>
      </w:r>
      <w:r>
        <w:rPr>
          <w:spacing w:val="20"/>
          <w:sz w:val="21"/>
        </w:rPr>
        <w:t> </w:t>
      </w:r>
      <w:r>
        <w:rPr>
          <w:spacing w:val="-4"/>
          <w:sz w:val="21"/>
        </w:rPr>
        <w:t>do’.</w:t>
      </w:r>
      <w:r>
        <w:rPr>
          <w:spacing w:val="-4"/>
          <w:position w:val="7"/>
          <w:sz w:val="12"/>
        </w:rPr>
        <w:t>34</w:t>
      </w:r>
    </w:p>
    <w:p>
      <w:pPr>
        <w:pStyle w:val="ListParagraph"/>
        <w:numPr>
          <w:ilvl w:val="1"/>
          <w:numId w:val="22"/>
        </w:numPr>
        <w:tabs>
          <w:tab w:pos="2381" w:val="left" w:leader="none"/>
          <w:tab w:pos="2382" w:val="left" w:leader="none"/>
        </w:tabs>
        <w:spacing w:line="242" w:lineRule="auto" w:before="125" w:after="0"/>
        <w:ind w:left="2381" w:right="1735" w:hanging="794"/>
        <w:jc w:val="left"/>
        <w:rPr>
          <w:sz w:val="21"/>
        </w:rPr>
      </w:pPr>
      <w:r>
        <w:rPr>
          <w:w w:val="105"/>
          <w:sz w:val="21"/>
        </w:rPr>
        <w:t>The </w:t>
      </w:r>
      <w:r>
        <w:rPr>
          <w:spacing w:val="-3"/>
          <w:w w:val="105"/>
          <w:sz w:val="21"/>
        </w:rPr>
        <w:t>Probate </w:t>
      </w:r>
      <w:r>
        <w:rPr>
          <w:w w:val="105"/>
          <w:sz w:val="21"/>
        </w:rPr>
        <w:t>Office staff and </w:t>
      </w:r>
      <w:r>
        <w:rPr>
          <w:spacing w:val="-3"/>
          <w:w w:val="105"/>
          <w:sz w:val="21"/>
        </w:rPr>
        <w:t>website </w:t>
      </w:r>
      <w:r>
        <w:rPr>
          <w:w w:val="105"/>
          <w:sz w:val="21"/>
        </w:rPr>
        <w:t>provide the </w:t>
      </w:r>
      <w:r>
        <w:rPr>
          <w:spacing w:val="-3"/>
          <w:w w:val="105"/>
          <w:sz w:val="21"/>
        </w:rPr>
        <w:t>information </w:t>
      </w:r>
      <w:r>
        <w:rPr>
          <w:w w:val="105"/>
          <w:sz w:val="21"/>
        </w:rPr>
        <w:t>necessary </w:t>
      </w:r>
      <w:r>
        <w:rPr>
          <w:spacing w:val="-3"/>
          <w:w w:val="105"/>
          <w:sz w:val="21"/>
        </w:rPr>
        <w:t>to </w:t>
      </w:r>
      <w:r>
        <w:rPr>
          <w:w w:val="105"/>
          <w:sz w:val="21"/>
        </w:rPr>
        <w:t>apply </w:t>
      </w:r>
      <w:r>
        <w:rPr>
          <w:spacing w:val="-3"/>
          <w:w w:val="105"/>
          <w:sz w:val="21"/>
        </w:rPr>
        <w:t>for </w:t>
      </w:r>
      <w:r>
        <w:rPr>
          <w:w w:val="105"/>
          <w:sz w:val="21"/>
        </w:rPr>
        <w:t>a </w:t>
      </w:r>
      <w:r>
        <w:rPr>
          <w:spacing w:val="-3"/>
          <w:w w:val="105"/>
          <w:sz w:val="21"/>
        </w:rPr>
        <w:t>grant, including relevant forms </w:t>
      </w:r>
      <w:r>
        <w:rPr>
          <w:w w:val="105"/>
          <w:sz w:val="21"/>
        </w:rPr>
        <w:t>and </w:t>
      </w:r>
      <w:r>
        <w:rPr>
          <w:spacing w:val="-3"/>
          <w:w w:val="105"/>
          <w:sz w:val="21"/>
        </w:rPr>
        <w:t>legislation. </w:t>
      </w:r>
      <w:r>
        <w:rPr>
          <w:w w:val="105"/>
          <w:sz w:val="21"/>
        </w:rPr>
        <w:t>Although the </w:t>
      </w:r>
      <w:r>
        <w:rPr>
          <w:spacing w:val="-3"/>
          <w:w w:val="105"/>
          <w:sz w:val="21"/>
        </w:rPr>
        <w:t>information </w:t>
      </w:r>
      <w:r>
        <w:rPr>
          <w:w w:val="105"/>
          <w:sz w:val="21"/>
        </w:rPr>
        <w:t>on the </w:t>
      </w:r>
      <w:r>
        <w:rPr>
          <w:spacing w:val="-3"/>
          <w:w w:val="105"/>
          <w:sz w:val="21"/>
        </w:rPr>
        <w:t>Probate </w:t>
      </w:r>
      <w:r>
        <w:rPr>
          <w:w w:val="105"/>
          <w:sz w:val="21"/>
        </w:rPr>
        <w:t>Office </w:t>
      </w:r>
      <w:r>
        <w:rPr>
          <w:spacing w:val="-3"/>
          <w:w w:val="105"/>
          <w:sz w:val="21"/>
        </w:rPr>
        <w:t>website </w:t>
      </w:r>
      <w:r>
        <w:rPr>
          <w:w w:val="105"/>
          <w:sz w:val="21"/>
        </w:rPr>
        <w:t>is </w:t>
      </w:r>
      <w:r>
        <w:rPr>
          <w:spacing w:val="-3"/>
          <w:w w:val="105"/>
          <w:sz w:val="21"/>
        </w:rPr>
        <w:t>complete, </w:t>
      </w:r>
      <w:r>
        <w:rPr>
          <w:w w:val="105"/>
          <w:sz w:val="21"/>
        </w:rPr>
        <w:t>it is </w:t>
      </w:r>
      <w:r>
        <w:rPr>
          <w:spacing w:val="-3"/>
          <w:w w:val="105"/>
          <w:sz w:val="21"/>
        </w:rPr>
        <w:t>presented </w:t>
      </w:r>
      <w:r>
        <w:rPr>
          <w:w w:val="105"/>
          <w:sz w:val="21"/>
        </w:rPr>
        <w:t>in a </w:t>
      </w:r>
      <w:r>
        <w:rPr>
          <w:spacing w:val="-3"/>
          <w:w w:val="105"/>
          <w:sz w:val="21"/>
        </w:rPr>
        <w:t>way that </w:t>
      </w:r>
      <w:r>
        <w:rPr>
          <w:w w:val="105"/>
          <w:sz w:val="21"/>
        </w:rPr>
        <w:t>is difficult </w:t>
      </w:r>
      <w:r>
        <w:rPr>
          <w:spacing w:val="-3"/>
          <w:w w:val="105"/>
          <w:sz w:val="21"/>
        </w:rPr>
        <w:t>to </w:t>
      </w:r>
      <w:r>
        <w:rPr>
          <w:spacing w:val="-4"/>
          <w:w w:val="105"/>
          <w:sz w:val="21"/>
        </w:rPr>
        <w:t>navigate, </w:t>
      </w:r>
      <w:r>
        <w:rPr>
          <w:w w:val="105"/>
          <w:sz w:val="21"/>
        </w:rPr>
        <w:t>with large amounts of </w:t>
      </w:r>
      <w:r>
        <w:rPr>
          <w:spacing w:val="-3"/>
          <w:w w:val="105"/>
          <w:sz w:val="21"/>
        </w:rPr>
        <w:t>information contained </w:t>
      </w:r>
      <w:r>
        <w:rPr>
          <w:w w:val="105"/>
          <w:sz w:val="21"/>
        </w:rPr>
        <w:t>in a variety of</w:t>
      </w:r>
      <w:r>
        <w:rPr>
          <w:spacing w:val="38"/>
          <w:w w:val="105"/>
          <w:sz w:val="21"/>
        </w:rPr>
        <w:t> </w:t>
      </w:r>
      <w:r>
        <w:rPr>
          <w:spacing w:val="-3"/>
          <w:w w:val="105"/>
          <w:sz w:val="21"/>
        </w:rPr>
        <w:t>areas.</w:t>
      </w:r>
    </w:p>
    <w:p>
      <w:pPr>
        <w:pStyle w:val="ListParagraph"/>
        <w:numPr>
          <w:ilvl w:val="1"/>
          <w:numId w:val="22"/>
        </w:numPr>
        <w:tabs>
          <w:tab w:pos="2381" w:val="left" w:leader="none"/>
          <w:tab w:pos="2382" w:val="left" w:leader="none"/>
        </w:tabs>
        <w:spacing w:line="242" w:lineRule="auto" w:before="124" w:after="0"/>
        <w:ind w:left="2381" w:right="2065" w:hanging="794"/>
        <w:jc w:val="left"/>
        <w:rPr>
          <w:sz w:val="21"/>
        </w:rPr>
      </w:pPr>
      <w:r>
        <w:rPr>
          <w:spacing w:val="-3"/>
          <w:w w:val="105"/>
          <w:sz w:val="21"/>
        </w:rPr>
        <w:t>Information </w:t>
      </w:r>
      <w:r>
        <w:rPr>
          <w:w w:val="105"/>
          <w:sz w:val="21"/>
        </w:rPr>
        <w:t>and </w:t>
      </w:r>
      <w:r>
        <w:rPr>
          <w:spacing w:val="-3"/>
          <w:w w:val="105"/>
          <w:sz w:val="21"/>
        </w:rPr>
        <w:t>legislation are cross-referenced, </w:t>
      </w:r>
      <w:r>
        <w:rPr>
          <w:w w:val="105"/>
          <w:sz w:val="21"/>
        </w:rPr>
        <w:t>without a </w:t>
      </w:r>
      <w:r>
        <w:rPr>
          <w:spacing w:val="-3"/>
          <w:w w:val="105"/>
          <w:sz w:val="21"/>
        </w:rPr>
        <w:t>clear guiding procedure </w:t>
      </w:r>
      <w:r>
        <w:rPr>
          <w:w w:val="105"/>
          <w:sz w:val="21"/>
        </w:rPr>
        <w:t>set out </w:t>
      </w:r>
      <w:r>
        <w:rPr>
          <w:spacing w:val="-3"/>
          <w:w w:val="105"/>
          <w:sz w:val="21"/>
        </w:rPr>
        <w:t>for </w:t>
      </w:r>
      <w:r>
        <w:rPr>
          <w:w w:val="105"/>
          <w:sz w:val="21"/>
        </w:rPr>
        <w:t>those seeking </w:t>
      </w:r>
      <w:r>
        <w:rPr>
          <w:spacing w:val="-3"/>
          <w:w w:val="105"/>
          <w:sz w:val="21"/>
        </w:rPr>
        <w:t>to </w:t>
      </w:r>
      <w:r>
        <w:rPr>
          <w:w w:val="105"/>
          <w:sz w:val="21"/>
        </w:rPr>
        <w:t>apply </w:t>
      </w:r>
      <w:r>
        <w:rPr>
          <w:spacing w:val="-3"/>
          <w:w w:val="105"/>
          <w:sz w:val="21"/>
        </w:rPr>
        <w:t>for </w:t>
      </w:r>
      <w:r>
        <w:rPr>
          <w:w w:val="105"/>
          <w:sz w:val="21"/>
        </w:rPr>
        <w:t>a </w:t>
      </w:r>
      <w:r>
        <w:rPr>
          <w:spacing w:val="-3"/>
          <w:w w:val="105"/>
          <w:sz w:val="21"/>
        </w:rPr>
        <w:t>grant. </w:t>
      </w:r>
      <w:r>
        <w:rPr>
          <w:w w:val="105"/>
          <w:sz w:val="21"/>
        </w:rPr>
        <w:t>A </w:t>
      </w:r>
      <w:r>
        <w:rPr>
          <w:spacing w:val="-3"/>
          <w:w w:val="105"/>
          <w:sz w:val="21"/>
        </w:rPr>
        <w:t>potential applicant could easily </w:t>
      </w:r>
      <w:r>
        <w:rPr>
          <w:w w:val="105"/>
          <w:sz w:val="21"/>
        </w:rPr>
        <w:t>be </w:t>
      </w:r>
      <w:r>
        <w:rPr>
          <w:spacing w:val="-3"/>
          <w:w w:val="105"/>
          <w:sz w:val="21"/>
        </w:rPr>
        <w:t>unsure</w:t>
      </w:r>
      <w:r>
        <w:rPr>
          <w:spacing w:val="-11"/>
          <w:w w:val="105"/>
          <w:sz w:val="21"/>
        </w:rPr>
        <w:t> </w:t>
      </w:r>
      <w:r>
        <w:rPr>
          <w:w w:val="105"/>
          <w:sz w:val="21"/>
        </w:rPr>
        <w:t>whether</w:t>
      </w:r>
      <w:r>
        <w:rPr>
          <w:spacing w:val="-12"/>
          <w:w w:val="105"/>
          <w:sz w:val="21"/>
        </w:rPr>
        <w:t> </w:t>
      </w:r>
      <w:r>
        <w:rPr>
          <w:w w:val="105"/>
          <w:sz w:val="21"/>
        </w:rPr>
        <w:t>they</w:t>
      </w:r>
      <w:r>
        <w:rPr>
          <w:spacing w:val="-11"/>
          <w:w w:val="105"/>
          <w:sz w:val="21"/>
        </w:rPr>
        <w:t> </w:t>
      </w:r>
      <w:r>
        <w:rPr>
          <w:spacing w:val="-2"/>
          <w:w w:val="105"/>
          <w:sz w:val="21"/>
        </w:rPr>
        <w:t>had</w:t>
      </w:r>
      <w:r>
        <w:rPr>
          <w:spacing w:val="-11"/>
          <w:w w:val="105"/>
          <w:sz w:val="21"/>
        </w:rPr>
        <w:t> </w:t>
      </w:r>
      <w:r>
        <w:rPr>
          <w:spacing w:val="-3"/>
          <w:w w:val="105"/>
          <w:sz w:val="21"/>
        </w:rPr>
        <w:t>completed</w:t>
      </w:r>
      <w:r>
        <w:rPr>
          <w:spacing w:val="-11"/>
          <w:w w:val="105"/>
          <w:sz w:val="21"/>
        </w:rPr>
        <w:t> </w:t>
      </w:r>
      <w:r>
        <w:rPr>
          <w:spacing w:val="-3"/>
          <w:w w:val="105"/>
          <w:sz w:val="21"/>
        </w:rPr>
        <w:t>all</w:t>
      </w:r>
      <w:r>
        <w:rPr>
          <w:spacing w:val="-11"/>
          <w:w w:val="105"/>
          <w:sz w:val="21"/>
        </w:rPr>
        <w:t> </w:t>
      </w:r>
      <w:r>
        <w:rPr>
          <w:w w:val="105"/>
          <w:sz w:val="21"/>
        </w:rPr>
        <w:t>steps</w:t>
      </w:r>
      <w:r>
        <w:rPr>
          <w:spacing w:val="-11"/>
          <w:w w:val="105"/>
          <w:sz w:val="21"/>
        </w:rPr>
        <w:t> </w:t>
      </w:r>
      <w:r>
        <w:rPr>
          <w:w w:val="105"/>
          <w:sz w:val="21"/>
        </w:rPr>
        <w:t>and</w:t>
      </w:r>
      <w:r>
        <w:rPr>
          <w:spacing w:val="-11"/>
          <w:w w:val="105"/>
          <w:sz w:val="21"/>
        </w:rPr>
        <w:t> </w:t>
      </w:r>
      <w:r>
        <w:rPr>
          <w:w w:val="105"/>
          <w:sz w:val="21"/>
        </w:rPr>
        <w:t>collected</w:t>
      </w:r>
      <w:r>
        <w:rPr>
          <w:spacing w:val="-11"/>
          <w:w w:val="105"/>
          <w:sz w:val="21"/>
        </w:rPr>
        <w:t> </w:t>
      </w:r>
      <w:r>
        <w:rPr>
          <w:spacing w:val="-3"/>
          <w:w w:val="105"/>
          <w:sz w:val="21"/>
        </w:rPr>
        <w:t>all</w:t>
      </w:r>
      <w:r>
        <w:rPr>
          <w:spacing w:val="-11"/>
          <w:w w:val="105"/>
          <w:sz w:val="21"/>
        </w:rPr>
        <w:t> </w:t>
      </w:r>
      <w:r>
        <w:rPr>
          <w:w w:val="105"/>
          <w:sz w:val="21"/>
        </w:rPr>
        <w:t>necessary</w:t>
      </w:r>
      <w:r>
        <w:rPr>
          <w:spacing w:val="-11"/>
          <w:w w:val="105"/>
          <w:sz w:val="21"/>
        </w:rPr>
        <w:t> </w:t>
      </w:r>
      <w:r>
        <w:rPr>
          <w:w w:val="105"/>
          <w:sz w:val="21"/>
        </w:rPr>
        <w:t>documents. Nevertheless,</w:t>
      </w:r>
      <w:r>
        <w:rPr>
          <w:spacing w:val="-10"/>
          <w:w w:val="105"/>
          <w:sz w:val="21"/>
        </w:rPr>
        <w:t> </w:t>
      </w:r>
      <w:r>
        <w:rPr>
          <w:w w:val="105"/>
          <w:sz w:val="21"/>
        </w:rPr>
        <w:t>the</w:t>
      </w:r>
      <w:r>
        <w:rPr>
          <w:spacing w:val="-9"/>
          <w:w w:val="105"/>
          <w:sz w:val="21"/>
        </w:rPr>
        <w:t> </w:t>
      </w:r>
      <w:r>
        <w:rPr>
          <w:spacing w:val="-3"/>
          <w:w w:val="105"/>
          <w:sz w:val="21"/>
        </w:rPr>
        <w:t>Probate</w:t>
      </w:r>
      <w:r>
        <w:rPr>
          <w:spacing w:val="-10"/>
          <w:w w:val="105"/>
          <w:sz w:val="21"/>
        </w:rPr>
        <w:t> </w:t>
      </w:r>
      <w:r>
        <w:rPr>
          <w:w w:val="105"/>
          <w:sz w:val="21"/>
        </w:rPr>
        <w:t>Office</w:t>
      </w:r>
      <w:r>
        <w:rPr>
          <w:spacing w:val="-9"/>
          <w:w w:val="105"/>
          <w:sz w:val="21"/>
        </w:rPr>
        <w:t> </w:t>
      </w:r>
      <w:r>
        <w:rPr>
          <w:w w:val="105"/>
          <w:sz w:val="21"/>
        </w:rPr>
        <w:t>plays</w:t>
      </w:r>
      <w:r>
        <w:rPr>
          <w:spacing w:val="-9"/>
          <w:w w:val="105"/>
          <w:sz w:val="21"/>
        </w:rPr>
        <w:t> </w:t>
      </w:r>
      <w:r>
        <w:rPr>
          <w:w w:val="105"/>
          <w:sz w:val="21"/>
        </w:rPr>
        <w:t>a</w:t>
      </w:r>
      <w:r>
        <w:rPr>
          <w:spacing w:val="-10"/>
          <w:w w:val="105"/>
          <w:sz w:val="21"/>
        </w:rPr>
        <w:t> </w:t>
      </w:r>
      <w:r>
        <w:rPr>
          <w:spacing w:val="-3"/>
          <w:w w:val="105"/>
          <w:sz w:val="21"/>
        </w:rPr>
        <w:t>central</w:t>
      </w:r>
      <w:r>
        <w:rPr>
          <w:spacing w:val="-9"/>
          <w:w w:val="105"/>
          <w:sz w:val="21"/>
        </w:rPr>
        <w:t> </w:t>
      </w:r>
      <w:r>
        <w:rPr>
          <w:w w:val="105"/>
          <w:sz w:val="21"/>
        </w:rPr>
        <w:t>role</w:t>
      </w:r>
      <w:r>
        <w:rPr>
          <w:spacing w:val="-9"/>
          <w:w w:val="105"/>
          <w:sz w:val="21"/>
        </w:rPr>
        <w:t> </w:t>
      </w:r>
      <w:r>
        <w:rPr>
          <w:w w:val="105"/>
          <w:sz w:val="21"/>
        </w:rPr>
        <w:t>in</w:t>
      </w:r>
      <w:r>
        <w:rPr>
          <w:spacing w:val="-10"/>
          <w:w w:val="105"/>
          <w:sz w:val="21"/>
        </w:rPr>
        <w:t> </w:t>
      </w:r>
      <w:r>
        <w:rPr>
          <w:spacing w:val="-3"/>
          <w:w w:val="105"/>
          <w:sz w:val="21"/>
        </w:rPr>
        <w:t>helping</w:t>
      </w:r>
      <w:r>
        <w:rPr>
          <w:spacing w:val="-9"/>
          <w:w w:val="105"/>
          <w:sz w:val="21"/>
        </w:rPr>
        <w:t> </w:t>
      </w:r>
      <w:r>
        <w:rPr>
          <w:w w:val="105"/>
          <w:sz w:val="21"/>
        </w:rPr>
        <w:t>applicants</w:t>
      </w:r>
      <w:r>
        <w:rPr>
          <w:spacing w:val="-9"/>
          <w:w w:val="105"/>
          <w:sz w:val="21"/>
        </w:rPr>
        <w:t> </w:t>
      </w:r>
      <w:r>
        <w:rPr>
          <w:spacing w:val="-3"/>
          <w:w w:val="105"/>
          <w:sz w:val="21"/>
        </w:rPr>
        <w:t>to</w:t>
      </w:r>
      <w:r>
        <w:rPr>
          <w:spacing w:val="-10"/>
          <w:w w:val="105"/>
          <w:sz w:val="21"/>
        </w:rPr>
        <w:t> </w:t>
      </w:r>
      <w:r>
        <w:rPr>
          <w:w w:val="105"/>
          <w:sz w:val="21"/>
        </w:rPr>
        <w:t>fill</w:t>
      </w:r>
      <w:r>
        <w:rPr>
          <w:spacing w:val="-9"/>
          <w:w w:val="105"/>
          <w:sz w:val="21"/>
        </w:rPr>
        <w:t> </w:t>
      </w:r>
      <w:r>
        <w:rPr>
          <w:w w:val="105"/>
          <w:sz w:val="21"/>
        </w:rPr>
        <w:t>in</w:t>
      </w:r>
      <w:r>
        <w:rPr>
          <w:spacing w:val="-9"/>
          <w:w w:val="105"/>
          <w:sz w:val="21"/>
        </w:rPr>
        <w:t> </w:t>
      </w:r>
      <w:r>
        <w:rPr>
          <w:w w:val="105"/>
          <w:sz w:val="21"/>
        </w:rPr>
        <w:t>the gaps, </w:t>
      </w:r>
      <w:r>
        <w:rPr>
          <w:spacing w:val="-3"/>
          <w:w w:val="105"/>
          <w:sz w:val="21"/>
        </w:rPr>
        <w:t>providing guidance </w:t>
      </w:r>
      <w:r>
        <w:rPr>
          <w:w w:val="105"/>
          <w:sz w:val="21"/>
        </w:rPr>
        <w:t>where</w:t>
      </w:r>
      <w:r>
        <w:rPr>
          <w:spacing w:val="25"/>
          <w:w w:val="105"/>
          <w:sz w:val="21"/>
        </w:rPr>
        <w:t> </w:t>
      </w:r>
      <w:r>
        <w:rPr>
          <w:w w:val="105"/>
          <w:sz w:val="21"/>
        </w:rPr>
        <w:t>necessary.</w:t>
      </w:r>
    </w:p>
    <w:p>
      <w:pPr>
        <w:pStyle w:val="ListParagraph"/>
        <w:numPr>
          <w:ilvl w:val="1"/>
          <w:numId w:val="22"/>
        </w:numPr>
        <w:tabs>
          <w:tab w:pos="2381" w:val="left" w:leader="none"/>
          <w:tab w:pos="2382" w:val="left" w:leader="none"/>
        </w:tabs>
        <w:spacing w:line="242" w:lineRule="auto" w:before="125" w:after="0"/>
        <w:ind w:left="2381" w:right="1791" w:hanging="794"/>
        <w:jc w:val="left"/>
        <w:rPr>
          <w:sz w:val="21"/>
        </w:rPr>
      </w:pPr>
      <w:r>
        <w:rPr>
          <w:w w:val="105"/>
          <w:sz w:val="21"/>
        </w:rPr>
        <w:t>There </w:t>
      </w:r>
      <w:r>
        <w:rPr>
          <w:spacing w:val="-3"/>
          <w:w w:val="105"/>
          <w:sz w:val="21"/>
        </w:rPr>
        <w:t>are </w:t>
      </w:r>
      <w:r>
        <w:rPr>
          <w:w w:val="105"/>
          <w:sz w:val="21"/>
        </w:rPr>
        <w:t>a number of options </w:t>
      </w:r>
      <w:r>
        <w:rPr>
          <w:spacing w:val="-3"/>
          <w:w w:val="105"/>
          <w:sz w:val="21"/>
        </w:rPr>
        <w:t>available for </w:t>
      </w:r>
      <w:r>
        <w:rPr>
          <w:w w:val="105"/>
          <w:sz w:val="21"/>
        </w:rPr>
        <w:t>those who wish </w:t>
      </w:r>
      <w:r>
        <w:rPr>
          <w:spacing w:val="-3"/>
          <w:w w:val="105"/>
          <w:sz w:val="21"/>
        </w:rPr>
        <w:t>to </w:t>
      </w:r>
      <w:r>
        <w:rPr>
          <w:w w:val="105"/>
          <w:sz w:val="21"/>
        </w:rPr>
        <w:t>engage legal assistance in </w:t>
      </w:r>
      <w:r>
        <w:rPr>
          <w:spacing w:val="-3"/>
          <w:w w:val="105"/>
          <w:sz w:val="21"/>
        </w:rPr>
        <w:t>obtaining </w:t>
      </w:r>
      <w:r>
        <w:rPr>
          <w:w w:val="105"/>
          <w:sz w:val="21"/>
        </w:rPr>
        <w:t>a </w:t>
      </w:r>
      <w:r>
        <w:rPr>
          <w:spacing w:val="-3"/>
          <w:w w:val="105"/>
          <w:sz w:val="21"/>
        </w:rPr>
        <w:t>grant </w:t>
      </w:r>
      <w:r>
        <w:rPr>
          <w:w w:val="105"/>
          <w:sz w:val="21"/>
        </w:rPr>
        <w:t>of </w:t>
      </w:r>
      <w:r>
        <w:rPr>
          <w:spacing w:val="-3"/>
          <w:w w:val="105"/>
          <w:sz w:val="21"/>
        </w:rPr>
        <w:t>representation. </w:t>
      </w:r>
      <w:r>
        <w:rPr>
          <w:spacing w:val="-4"/>
          <w:w w:val="105"/>
          <w:sz w:val="21"/>
        </w:rPr>
        <w:t>However, </w:t>
      </w:r>
      <w:r>
        <w:rPr>
          <w:spacing w:val="-3"/>
          <w:w w:val="105"/>
          <w:sz w:val="21"/>
        </w:rPr>
        <w:t>for </w:t>
      </w:r>
      <w:r>
        <w:rPr>
          <w:w w:val="105"/>
          <w:sz w:val="21"/>
        </w:rPr>
        <w:t>those who wish </w:t>
      </w:r>
      <w:r>
        <w:rPr>
          <w:spacing w:val="-3"/>
          <w:w w:val="105"/>
          <w:sz w:val="21"/>
        </w:rPr>
        <w:t>to complete </w:t>
      </w:r>
      <w:r>
        <w:rPr>
          <w:w w:val="105"/>
          <w:sz w:val="21"/>
        </w:rPr>
        <w:t>the process</w:t>
      </w:r>
      <w:r>
        <w:rPr>
          <w:spacing w:val="-9"/>
          <w:w w:val="105"/>
          <w:sz w:val="21"/>
        </w:rPr>
        <w:t> </w:t>
      </w:r>
      <w:r>
        <w:rPr>
          <w:w w:val="105"/>
          <w:sz w:val="21"/>
        </w:rPr>
        <w:t>themselves,</w:t>
      </w:r>
      <w:r>
        <w:rPr>
          <w:spacing w:val="-8"/>
          <w:w w:val="105"/>
          <w:sz w:val="21"/>
        </w:rPr>
        <w:t> </w:t>
      </w:r>
      <w:r>
        <w:rPr>
          <w:w w:val="105"/>
          <w:sz w:val="21"/>
        </w:rPr>
        <w:t>there</w:t>
      </w:r>
      <w:r>
        <w:rPr>
          <w:spacing w:val="-9"/>
          <w:w w:val="105"/>
          <w:sz w:val="21"/>
        </w:rPr>
        <w:t> </w:t>
      </w:r>
      <w:r>
        <w:rPr>
          <w:w w:val="105"/>
          <w:sz w:val="21"/>
        </w:rPr>
        <w:t>is</w:t>
      </w:r>
      <w:r>
        <w:rPr>
          <w:spacing w:val="-8"/>
          <w:w w:val="105"/>
          <w:sz w:val="21"/>
        </w:rPr>
        <w:t> </w:t>
      </w:r>
      <w:r>
        <w:rPr>
          <w:w w:val="105"/>
          <w:sz w:val="21"/>
        </w:rPr>
        <w:t>a</w:t>
      </w:r>
      <w:r>
        <w:rPr>
          <w:spacing w:val="-9"/>
          <w:w w:val="105"/>
          <w:sz w:val="21"/>
        </w:rPr>
        <w:t> </w:t>
      </w:r>
      <w:r>
        <w:rPr>
          <w:w w:val="105"/>
          <w:sz w:val="21"/>
        </w:rPr>
        <w:t>need</w:t>
      </w:r>
      <w:r>
        <w:rPr>
          <w:spacing w:val="-8"/>
          <w:w w:val="105"/>
          <w:sz w:val="21"/>
        </w:rPr>
        <w:t> </w:t>
      </w:r>
      <w:r>
        <w:rPr>
          <w:spacing w:val="-3"/>
          <w:w w:val="105"/>
          <w:sz w:val="21"/>
        </w:rPr>
        <w:t>for</w:t>
      </w:r>
      <w:r>
        <w:rPr>
          <w:spacing w:val="-9"/>
          <w:w w:val="105"/>
          <w:sz w:val="21"/>
        </w:rPr>
        <w:t> </w:t>
      </w:r>
      <w:r>
        <w:rPr>
          <w:w w:val="105"/>
          <w:sz w:val="21"/>
        </w:rPr>
        <w:t>an</w:t>
      </w:r>
      <w:r>
        <w:rPr>
          <w:spacing w:val="-8"/>
          <w:w w:val="105"/>
          <w:sz w:val="21"/>
        </w:rPr>
        <w:t> </w:t>
      </w:r>
      <w:r>
        <w:rPr>
          <w:spacing w:val="-3"/>
          <w:w w:val="105"/>
          <w:sz w:val="21"/>
        </w:rPr>
        <w:t>accurate</w:t>
      </w:r>
      <w:r>
        <w:rPr>
          <w:spacing w:val="-9"/>
          <w:w w:val="105"/>
          <w:sz w:val="21"/>
        </w:rPr>
        <w:t> </w:t>
      </w:r>
      <w:r>
        <w:rPr>
          <w:w w:val="105"/>
          <w:sz w:val="21"/>
        </w:rPr>
        <w:t>and</w:t>
      </w:r>
      <w:r>
        <w:rPr>
          <w:spacing w:val="-8"/>
          <w:w w:val="105"/>
          <w:sz w:val="21"/>
        </w:rPr>
        <w:t> </w:t>
      </w:r>
      <w:r>
        <w:rPr>
          <w:spacing w:val="-3"/>
          <w:w w:val="105"/>
          <w:sz w:val="21"/>
        </w:rPr>
        <w:t>complete</w:t>
      </w:r>
      <w:r>
        <w:rPr>
          <w:spacing w:val="-9"/>
          <w:w w:val="105"/>
          <w:sz w:val="21"/>
        </w:rPr>
        <w:t> </w:t>
      </w:r>
      <w:r>
        <w:rPr>
          <w:spacing w:val="-3"/>
          <w:w w:val="105"/>
          <w:sz w:val="21"/>
        </w:rPr>
        <w:t>source</w:t>
      </w:r>
      <w:r>
        <w:rPr>
          <w:spacing w:val="-8"/>
          <w:w w:val="105"/>
          <w:sz w:val="21"/>
        </w:rPr>
        <w:t> </w:t>
      </w:r>
      <w:r>
        <w:rPr>
          <w:w w:val="105"/>
          <w:sz w:val="21"/>
        </w:rPr>
        <w:t>of</w:t>
      </w:r>
      <w:r>
        <w:rPr>
          <w:spacing w:val="-9"/>
          <w:w w:val="105"/>
          <w:sz w:val="21"/>
        </w:rPr>
        <w:t> </w:t>
      </w:r>
      <w:r>
        <w:rPr>
          <w:spacing w:val="-3"/>
          <w:w w:val="105"/>
          <w:sz w:val="21"/>
        </w:rPr>
        <w:t>information.</w:t>
      </w:r>
    </w:p>
    <w:p>
      <w:pPr>
        <w:pStyle w:val="BodyText"/>
        <w:spacing w:before="5"/>
        <w:rPr>
          <w:sz w:val="26"/>
        </w:rPr>
      </w:pPr>
    </w:p>
    <w:p>
      <w:pPr>
        <w:pStyle w:val="Heading6"/>
      </w:pPr>
      <w:r>
        <w:rPr>
          <w:w w:val="120"/>
        </w:rPr>
        <w:t>Probate pack collated by Probate Office</w:t>
      </w:r>
    </w:p>
    <w:p>
      <w:pPr>
        <w:pStyle w:val="ListParagraph"/>
        <w:numPr>
          <w:ilvl w:val="1"/>
          <w:numId w:val="22"/>
        </w:numPr>
        <w:tabs>
          <w:tab w:pos="2381" w:val="left" w:leader="none"/>
          <w:tab w:pos="2382" w:val="left" w:leader="none"/>
        </w:tabs>
        <w:spacing w:line="242" w:lineRule="auto" w:before="151" w:after="0"/>
        <w:ind w:left="2381" w:right="1965" w:hanging="794"/>
        <w:jc w:val="left"/>
        <w:rPr>
          <w:sz w:val="12"/>
        </w:rPr>
      </w:pPr>
      <w:r>
        <w:rPr>
          <w:w w:val="105"/>
          <w:sz w:val="21"/>
        </w:rPr>
        <w:t>The</w:t>
      </w:r>
      <w:r>
        <w:rPr>
          <w:spacing w:val="-12"/>
          <w:w w:val="105"/>
          <w:sz w:val="21"/>
        </w:rPr>
        <w:t> </w:t>
      </w:r>
      <w:r>
        <w:rPr>
          <w:spacing w:val="-3"/>
          <w:w w:val="105"/>
          <w:sz w:val="21"/>
        </w:rPr>
        <w:t>consultation</w:t>
      </w:r>
      <w:r>
        <w:rPr>
          <w:spacing w:val="-12"/>
          <w:w w:val="105"/>
          <w:sz w:val="21"/>
        </w:rPr>
        <w:t> </w:t>
      </w:r>
      <w:r>
        <w:rPr>
          <w:w w:val="105"/>
          <w:sz w:val="21"/>
        </w:rPr>
        <w:t>paper</w:t>
      </w:r>
      <w:r>
        <w:rPr>
          <w:spacing w:val="-12"/>
          <w:w w:val="105"/>
          <w:sz w:val="21"/>
        </w:rPr>
        <w:t> </w:t>
      </w:r>
      <w:r>
        <w:rPr>
          <w:w w:val="105"/>
          <w:sz w:val="21"/>
        </w:rPr>
        <w:t>on</w:t>
      </w:r>
      <w:r>
        <w:rPr>
          <w:spacing w:val="-12"/>
          <w:w w:val="105"/>
          <w:sz w:val="21"/>
        </w:rPr>
        <w:t> </w:t>
      </w:r>
      <w:r>
        <w:rPr>
          <w:spacing w:val="-3"/>
          <w:w w:val="105"/>
          <w:sz w:val="21"/>
        </w:rPr>
        <w:t>small</w:t>
      </w:r>
      <w:r>
        <w:rPr>
          <w:spacing w:val="-12"/>
          <w:w w:val="105"/>
          <w:sz w:val="21"/>
        </w:rPr>
        <w:t> </w:t>
      </w:r>
      <w:r>
        <w:rPr>
          <w:w w:val="105"/>
          <w:sz w:val="21"/>
        </w:rPr>
        <w:t>estates</w:t>
      </w:r>
      <w:r>
        <w:rPr>
          <w:spacing w:val="-12"/>
          <w:w w:val="105"/>
          <w:sz w:val="21"/>
        </w:rPr>
        <w:t> </w:t>
      </w:r>
      <w:r>
        <w:rPr>
          <w:spacing w:val="-3"/>
          <w:w w:val="105"/>
          <w:sz w:val="21"/>
        </w:rPr>
        <w:t>asked</w:t>
      </w:r>
      <w:r>
        <w:rPr>
          <w:spacing w:val="-12"/>
          <w:w w:val="105"/>
          <w:sz w:val="21"/>
        </w:rPr>
        <w:t> </w:t>
      </w:r>
      <w:r>
        <w:rPr>
          <w:w w:val="105"/>
          <w:sz w:val="21"/>
        </w:rPr>
        <w:t>whether</w:t>
      </w:r>
      <w:r>
        <w:rPr>
          <w:spacing w:val="-12"/>
          <w:w w:val="105"/>
          <w:sz w:val="21"/>
        </w:rPr>
        <w:t> </w:t>
      </w:r>
      <w:r>
        <w:rPr>
          <w:w w:val="105"/>
          <w:sz w:val="21"/>
        </w:rPr>
        <w:t>the</w:t>
      </w:r>
      <w:r>
        <w:rPr>
          <w:spacing w:val="-12"/>
          <w:w w:val="105"/>
          <w:sz w:val="21"/>
        </w:rPr>
        <w:t> </w:t>
      </w:r>
      <w:r>
        <w:rPr>
          <w:spacing w:val="-3"/>
          <w:w w:val="105"/>
          <w:sz w:val="21"/>
        </w:rPr>
        <w:t>formal</w:t>
      </w:r>
      <w:r>
        <w:rPr>
          <w:spacing w:val="-12"/>
          <w:w w:val="105"/>
          <w:sz w:val="21"/>
        </w:rPr>
        <w:t> </w:t>
      </w:r>
      <w:r>
        <w:rPr>
          <w:w w:val="105"/>
          <w:sz w:val="21"/>
        </w:rPr>
        <w:t>assistance</w:t>
      </w:r>
      <w:r>
        <w:rPr>
          <w:spacing w:val="-11"/>
          <w:w w:val="105"/>
          <w:sz w:val="21"/>
        </w:rPr>
        <w:t> </w:t>
      </w:r>
      <w:r>
        <w:rPr>
          <w:w w:val="105"/>
          <w:sz w:val="21"/>
        </w:rPr>
        <w:t>provided by the </w:t>
      </w:r>
      <w:r>
        <w:rPr>
          <w:spacing w:val="-3"/>
          <w:w w:val="105"/>
          <w:sz w:val="21"/>
        </w:rPr>
        <w:t>small </w:t>
      </w:r>
      <w:r>
        <w:rPr>
          <w:w w:val="105"/>
          <w:sz w:val="21"/>
        </w:rPr>
        <w:t>estates officer of the </w:t>
      </w:r>
      <w:r>
        <w:rPr>
          <w:spacing w:val="-3"/>
          <w:w w:val="105"/>
          <w:sz w:val="21"/>
        </w:rPr>
        <w:t>Probate </w:t>
      </w:r>
      <w:r>
        <w:rPr>
          <w:w w:val="105"/>
          <w:sz w:val="21"/>
        </w:rPr>
        <w:t>Office </w:t>
      </w:r>
      <w:r>
        <w:rPr>
          <w:spacing w:val="-3"/>
          <w:w w:val="105"/>
          <w:sz w:val="21"/>
        </w:rPr>
        <w:t>could </w:t>
      </w:r>
      <w:r>
        <w:rPr>
          <w:w w:val="105"/>
          <w:sz w:val="21"/>
        </w:rPr>
        <w:t>be </w:t>
      </w:r>
      <w:r>
        <w:rPr>
          <w:spacing w:val="-3"/>
          <w:w w:val="105"/>
          <w:sz w:val="21"/>
        </w:rPr>
        <w:t>replaced </w:t>
      </w:r>
      <w:r>
        <w:rPr>
          <w:w w:val="105"/>
          <w:sz w:val="21"/>
        </w:rPr>
        <w:t>by </w:t>
      </w:r>
      <w:r>
        <w:rPr>
          <w:spacing w:val="-5"/>
          <w:w w:val="105"/>
          <w:sz w:val="21"/>
        </w:rPr>
        <w:t>clearer, </w:t>
      </w:r>
      <w:r>
        <w:rPr>
          <w:w w:val="105"/>
          <w:sz w:val="21"/>
        </w:rPr>
        <w:t>more </w:t>
      </w:r>
      <w:r>
        <w:rPr>
          <w:spacing w:val="-3"/>
          <w:w w:val="105"/>
          <w:sz w:val="21"/>
        </w:rPr>
        <w:t>comprehensive Court-generated</w:t>
      </w:r>
      <w:r>
        <w:rPr>
          <w:spacing w:val="13"/>
          <w:w w:val="105"/>
          <w:sz w:val="21"/>
        </w:rPr>
        <w:t> </w:t>
      </w:r>
      <w:r>
        <w:rPr>
          <w:spacing w:val="-3"/>
          <w:w w:val="105"/>
          <w:sz w:val="21"/>
        </w:rPr>
        <w:t>information.</w:t>
      </w:r>
      <w:r>
        <w:rPr>
          <w:spacing w:val="-3"/>
          <w:w w:val="105"/>
          <w:position w:val="7"/>
          <w:sz w:val="12"/>
        </w:rPr>
        <w:t>35</w:t>
      </w:r>
    </w:p>
    <w:p>
      <w:pPr>
        <w:pStyle w:val="ListParagraph"/>
        <w:numPr>
          <w:ilvl w:val="1"/>
          <w:numId w:val="22"/>
        </w:numPr>
        <w:tabs>
          <w:tab w:pos="2381" w:val="left" w:leader="none"/>
          <w:tab w:pos="2382" w:val="left" w:leader="none"/>
        </w:tabs>
        <w:spacing w:line="242" w:lineRule="auto" w:before="124" w:after="0"/>
        <w:ind w:left="2381" w:right="1592" w:hanging="794"/>
        <w:jc w:val="left"/>
        <w:rPr>
          <w:sz w:val="12"/>
        </w:rPr>
      </w:pPr>
      <w:r>
        <w:rPr>
          <w:spacing w:val="-3"/>
          <w:w w:val="105"/>
          <w:sz w:val="21"/>
        </w:rPr>
        <w:t>Submissions </w:t>
      </w:r>
      <w:r>
        <w:rPr>
          <w:w w:val="105"/>
          <w:sz w:val="21"/>
        </w:rPr>
        <w:t>on this topic </w:t>
      </w:r>
      <w:r>
        <w:rPr>
          <w:spacing w:val="-3"/>
          <w:w w:val="105"/>
          <w:sz w:val="21"/>
        </w:rPr>
        <w:t>were </w:t>
      </w:r>
      <w:r>
        <w:rPr>
          <w:w w:val="105"/>
          <w:sz w:val="21"/>
        </w:rPr>
        <w:t>in </w:t>
      </w:r>
      <w:r>
        <w:rPr>
          <w:spacing w:val="-3"/>
          <w:w w:val="105"/>
          <w:sz w:val="21"/>
        </w:rPr>
        <w:t>favour </w:t>
      </w:r>
      <w:r>
        <w:rPr>
          <w:w w:val="105"/>
          <w:sz w:val="21"/>
        </w:rPr>
        <w:t>of the </w:t>
      </w:r>
      <w:r>
        <w:rPr>
          <w:spacing w:val="-3"/>
          <w:w w:val="105"/>
          <w:sz w:val="21"/>
        </w:rPr>
        <w:t>provision </w:t>
      </w:r>
      <w:r>
        <w:rPr>
          <w:w w:val="105"/>
          <w:sz w:val="21"/>
        </w:rPr>
        <w:t>of better </w:t>
      </w:r>
      <w:r>
        <w:rPr>
          <w:spacing w:val="-3"/>
          <w:w w:val="105"/>
          <w:sz w:val="21"/>
        </w:rPr>
        <w:t>information </w:t>
      </w:r>
      <w:r>
        <w:rPr>
          <w:w w:val="105"/>
          <w:sz w:val="21"/>
        </w:rPr>
        <w:t>by the </w:t>
      </w:r>
      <w:r>
        <w:rPr>
          <w:spacing w:val="-3"/>
          <w:w w:val="105"/>
          <w:sz w:val="21"/>
        </w:rPr>
        <w:t>Court,</w:t>
      </w:r>
      <w:r>
        <w:rPr>
          <w:spacing w:val="-6"/>
          <w:w w:val="105"/>
          <w:sz w:val="21"/>
        </w:rPr>
        <w:t> </w:t>
      </w:r>
      <w:r>
        <w:rPr>
          <w:w w:val="105"/>
          <w:sz w:val="21"/>
        </w:rPr>
        <w:t>and</w:t>
      </w:r>
      <w:r>
        <w:rPr>
          <w:spacing w:val="-5"/>
          <w:w w:val="105"/>
          <w:sz w:val="21"/>
        </w:rPr>
        <w:t> </w:t>
      </w:r>
      <w:r>
        <w:rPr>
          <w:spacing w:val="-3"/>
          <w:w w:val="105"/>
          <w:sz w:val="21"/>
        </w:rPr>
        <w:t>noted</w:t>
      </w:r>
      <w:r>
        <w:rPr>
          <w:spacing w:val="-5"/>
          <w:w w:val="105"/>
          <w:sz w:val="21"/>
        </w:rPr>
        <w:t> </w:t>
      </w:r>
      <w:r>
        <w:rPr>
          <w:spacing w:val="-3"/>
          <w:w w:val="105"/>
          <w:sz w:val="21"/>
        </w:rPr>
        <w:t>that</w:t>
      </w:r>
      <w:r>
        <w:rPr>
          <w:spacing w:val="-5"/>
          <w:w w:val="105"/>
          <w:sz w:val="21"/>
        </w:rPr>
        <w:t> </w:t>
      </w:r>
      <w:r>
        <w:rPr>
          <w:w w:val="105"/>
          <w:sz w:val="21"/>
        </w:rPr>
        <w:t>this</w:t>
      </w:r>
      <w:r>
        <w:rPr>
          <w:spacing w:val="-5"/>
          <w:w w:val="105"/>
          <w:sz w:val="21"/>
        </w:rPr>
        <w:t> </w:t>
      </w:r>
      <w:r>
        <w:rPr>
          <w:w w:val="105"/>
          <w:sz w:val="21"/>
        </w:rPr>
        <w:t>should</w:t>
      </w:r>
      <w:r>
        <w:rPr>
          <w:spacing w:val="-5"/>
          <w:w w:val="105"/>
          <w:sz w:val="21"/>
        </w:rPr>
        <w:t> </w:t>
      </w:r>
      <w:r>
        <w:rPr>
          <w:spacing w:val="-3"/>
          <w:w w:val="105"/>
          <w:sz w:val="21"/>
        </w:rPr>
        <w:t>supplement</w:t>
      </w:r>
      <w:r>
        <w:rPr>
          <w:spacing w:val="-5"/>
          <w:w w:val="105"/>
          <w:sz w:val="21"/>
        </w:rPr>
        <w:t> </w:t>
      </w:r>
      <w:r>
        <w:rPr>
          <w:w w:val="105"/>
          <w:sz w:val="21"/>
        </w:rPr>
        <w:t>the</w:t>
      </w:r>
      <w:r>
        <w:rPr>
          <w:spacing w:val="-5"/>
          <w:w w:val="105"/>
          <w:sz w:val="21"/>
        </w:rPr>
        <w:t> </w:t>
      </w:r>
      <w:r>
        <w:rPr>
          <w:spacing w:val="-3"/>
          <w:w w:val="105"/>
          <w:sz w:val="21"/>
        </w:rPr>
        <w:t>current</w:t>
      </w:r>
      <w:r>
        <w:rPr>
          <w:spacing w:val="-6"/>
          <w:w w:val="105"/>
          <w:sz w:val="21"/>
        </w:rPr>
        <w:t> </w:t>
      </w:r>
      <w:r>
        <w:rPr>
          <w:spacing w:val="-3"/>
          <w:w w:val="105"/>
          <w:sz w:val="21"/>
        </w:rPr>
        <w:t>formal</w:t>
      </w:r>
      <w:r>
        <w:rPr>
          <w:spacing w:val="-5"/>
          <w:w w:val="105"/>
          <w:sz w:val="21"/>
        </w:rPr>
        <w:t> </w:t>
      </w:r>
      <w:r>
        <w:rPr>
          <w:w w:val="105"/>
          <w:sz w:val="21"/>
        </w:rPr>
        <w:t>assistance</w:t>
      </w:r>
      <w:r>
        <w:rPr>
          <w:spacing w:val="-5"/>
          <w:w w:val="105"/>
          <w:sz w:val="21"/>
        </w:rPr>
        <w:t> </w:t>
      </w:r>
      <w:r>
        <w:rPr>
          <w:w w:val="105"/>
          <w:sz w:val="21"/>
        </w:rPr>
        <w:t>of</w:t>
      </w:r>
      <w:r>
        <w:rPr>
          <w:spacing w:val="-5"/>
          <w:w w:val="105"/>
          <w:sz w:val="21"/>
        </w:rPr>
        <w:t> </w:t>
      </w:r>
      <w:r>
        <w:rPr>
          <w:w w:val="105"/>
          <w:sz w:val="21"/>
        </w:rPr>
        <w:t>the</w:t>
      </w:r>
      <w:r>
        <w:rPr>
          <w:spacing w:val="-5"/>
          <w:w w:val="105"/>
          <w:sz w:val="21"/>
        </w:rPr>
        <w:t> </w:t>
      </w:r>
      <w:r>
        <w:rPr>
          <w:spacing w:val="-3"/>
          <w:w w:val="105"/>
          <w:sz w:val="21"/>
        </w:rPr>
        <w:t>Probate </w:t>
      </w:r>
      <w:r>
        <w:rPr>
          <w:w w:val="105"/>
          <w:sz w:val="21"/>
        </w:rPr>
        <w:t>Office, </w:t>
      </w:r>
      <w:r>
        <w:rPr>
          <w:spacing w:val="-3"/>
          <w:w w:val="105"/>
          <w:sz w:val="21"/>
        </w:rPr>
        <w:t>rather than replace</w:t>
      </w:r>
      <w:r>
        <w:rPr>
          <w:spacing w:val="26"/>
          <w:w w:val="105"/>
          <w:sz w:val="21"/>
        </w:rPr>
        <w:t> </w:t>
      </w:r>
      <w:r>
        <w:rPr>
          <w:w w:val="105"/>
          <w:sz w:val="21"/>
        </w:rPr>
        <w:t>it.</w:t>
      </w:r>
      <w:r>
        <w:rPr>
          <w:w w:val="105"/>
          <w:position w:val="7"/>
          <w:sz w:val="12"/>
        </w:rPr>
        <w:t>36</w:t>
      </w:r>
    </w:p>
    <w:p>
      <w:pPr>
        <w:pStyle w:val="ListParagraph"/>
        <w:numPr>
          <w:ilvl w:val="1"/>
          <w:numId w:val="22"/>
        </w:numPr>
        <w:tabs>
          <w:tab w:pos="2381" w:val="left" w:leader="none"/>
          <w:tab w:pos="2382" w:val="left" w:leader="none"/>
        </w:tabs>
        <w:spacing w:line="242" w:lineRule="auto" w:before="123" w:after="0"/>
        <w:ind w:left="2381" w:right="1708" w:hanging="794"/>
        <w:jc w:val="left"/>
        <w:rPr>
          <w:sz w:val="21"/>
        </w:rPr>
      </w:pPr>
      <w:r>
        <w:rPr>
          <w:w w:val="105"/>
          <w:sz w:val="21"/>
        </w:rPr>
        <w:t>A clearly </w:t>
      </w:r>
      <w:r>
        <w:rPr>
          <w:spacing w:val="-3"/>
          <w:w w:val="105"/>
          <w:sz w:val="21"/>
        </w:rPr>
        <w:t>presented </w:t>
      </w:r>
      <w:r>
        <w:rPr>
          <w:w w:val="105"/>
          <w:sz w:val="21"/>
        </w:rPr>
        <w:t>package of information—a </w:t>
      </w:r>
      <w:r>
        <w:rPr>
          <w:spacing w:val="-4"/>
          <w:w w:val="105"/>
          <w:sz w:val="21"/>
        </w:rPr>
        <w:t>‘probate </w:t>
      </w:r>
      <w:r>
        <w:rPr>
          <w:w w:val="105"/>
          <w:sz w:val="21"/>
        </w:rPr>
        <w:t>pack’—is necessary. It should be a </w:t>
      </w:r>
      <w:r>
        <w:rPr>
          <w:spacing w:val="-3"/>
          <w:w w:val="105"/>
          <w:sz w:val="21"/>
        </w:rPr>
        <w:t>complete </w:t>
      </w:r>
      <w:r>
        <w:rPr>
          <w:w w:val="105"/>
          <w:sz w:val="21"/>
        </w:rPr>
        <w:t>collection of </w:t>
      </w:r>
      <w:r>
        <w:rPr>
          <w:spacing w:val="-3"/>
          <w:w w:val="105"/>
          <w:sz w:val="21"/>
        </w:rPr>
        <w:t>information, </w:t>
      </w:r>
      <w:r>
        <w:rPr>
          <w:spacing w:val="-4"/>
          <w:w w:val="105"/>
          <w:sz w:val="21"/>
        </w:rPr>
        <w:t>insofar </w:t>
      </w:r>
      <w:r>
        <w:rPr>
          <w:w w:val="105"/>
          <w:sz w:val="21"/>
        </w:rPr>
        <w:t>as this is possible when each estate </w:t>
      </w:r>
      <w:r>
        <w:rPr>
          <w:spacing w:val="-3"/>
          <w:w w:val="105"/>
          <w:sz w:val="21"/>
        </w:rPr>
        <w:t>will have</w:t>
      </w:r>
      <w:r>
        <w:rPr>
          <w:spacing w:val="-14"/>
          <w:w w:val="105"/>
          <w:sz w:val="21"/>
        </w:rPr>
        <w:t> </w:t>
      </w:r>
      <w:r>
        <w:rPr>
          <w:spacing w:val="-3"/>
          <w:w w:val="105"/>
          <w:sz w:val="21"/>
        </w:rPr>
        <w:t>individual</w:t>
      </w:r>
      <w:r>
        <w:rPr>
          <w:spacing w:val="-13"/>
          <w:w w:val="105"/>
          <w:sz w:val="21"/>
        </w:rPr>
        <w:t> </w:t>
      </w:r>
      <w:r>
        <w:rPr>
          <w:w w:val="105"/>
          <w:sz w:val="21"/>
        </w:rPr>
        <w:t>characteristics,</w:t>
      </w:r>
      <w:r>
        <w:rPr>
          <w:spacing w:val="-13"/>
          <w:w w:val="105"/>
          <w:sz w:val="21"/>
        </w:rPr>
        <w:t> </w:t>
      </w:r>
      <w:r>
        <w:rPr>
          <w:spacing w:val="-3"/>
          <w:w w:val="105"/>
          <w:sz w:val="21"/>
        </w:rPr>
        <w:t>to</w:t>
      </w:r>
      <w:r>
        <w:rPr>
          <w:spacing w:val="-14"/>
          <w:w w:val="105"/>
          <w:sz w:val="21"/>
        </w:rPr>
        <w:t> </w:t>
      </w:r>
      <w:r>
        <w:rPr>
          <w:spacing w:val="-3"/>
          <w:w w:val="105"/>
          <w:sz w:val="21"/>
        </w:rPr>
        <w:t>reassure</w:t>
      </w:r>
      <w:r>
        <w:rPr>
          <w:spacing w:val="-13"/>
          <w:w w:val="105"/>
          <w:sz w:val="21"/>
        </w:rPr>
        <w:t> </w:t>
      </w:r>
      <w:r>
        <w:rPr>
          <w:spacing w:val="-3"/>
          <w:w w:val="105"/>
          <w:sz w:val="21"/>
        </w:rPr>
        <w:t>potential</w:t>
      </w:r>
      <w:r>
        <w:rPr>
          <w:spacing w:val="-13"/>
          <w:w w:val="105"/>
          <w:sz w:val="21"/>
        </w:rPr>
        <w:t> </w:t>
      </w:r>
      <w:r>
        <w:rPr>
          <w:w w:val="105"/>
          <w:sz w:val="21"/>
        </w:rPr>
        <w:t>applicants</w:t>
      </w:r>
      <w:r>
        <w:rPr>
          <w:spacing w:val="-13"/>
          <w:w w:val="105"/>
          <w:sz w:val="21"/>
        </w:rPr>
        <w:t> </w:t>
      </w:r>
      <w:r>
        <w:rPr>
          <w:spacing w:val="-3"/>
          <w:w w:val="105"/>
          <w:sz w:val="21"/>
        </w:rPr>
        <w:t>that</w:t>
      </w:r>
      <w:r>
        <w:rPr>
          <w:spacing w:val="-14"/>
          <w:w w:val="105"/>
          <w:sz w:val="21"/>
        </w:rPr>
        <w:t> </w:t>
      </w:r>
      <w:r>
        <w:rPr>
          <w:w w:val="105"/>
          <w:sz w:val="21"/>
        </w:rPr>
        <w:t>they</w:t>
      </w:r>
      <w:r>
        <w:rPr>
          <w:spacing w:val="-13"/>
          <w:w w:val="105"/>
          <w:sz w:val="21"/>
        </w:rPr>
        <w:t> </w:t>
      </w:r>
      <w:r>
        <w:rPr>
          <w:spacing w:val="-3"/>
          <w:w w:val="105"/>
          <w:sz w:val="21"/>
        </w:rPr>
        <w:t>have</w:t>
      </w:r>
      <w:r>
        <w:rPr>
          <w:spacing w:val="-13"/>
          <w:w w:val="105"/>
          <w:sz w:val="21"/>
        </w:rPr>
        <w:t> </w:t>
      </w:r>
      <w:r>
        <w:rPr>
          <w:spacing w:val="-3"/>
          <w:w w:val="105"/>
          <w:sz w:val="21"/>
        </w:rPr>
        <w:t>all</w:t>
      </w:r>
      <w:r>
        <w:rPr>
          <w:spacing w:val="-13"/>
          <w:w w:val="105"/>
          <w:sz w:val="21"/>
        </w:rPr>
        <w:t> </w:t>
      </w:r>
      <w:r>
        <w:rPr>
          <w:w w:val="105"/>
          <w:sz w:val="21"/>
        </w:rPr>
        <w:t>the</w:t>
      </w:r>
      <w:r>
        <w:rPr>
          <w:spacing w:val="-14"/>
          <w:w w:val="105"/>
          <w:sz w:val="21"/>
        </w:rPr>
        <w:t> </w:t>
      </w:r>
      <w:r>
        <w:rPr>
          <w:w w:val="105"/>
          <w:sz w:val="21"/>
        </w:rPr>
        <w:t>tools </w:t>
      </w:r>
      <w:r>
        <w:rPr>
          <w:spacing w:val="-3"/>
          <w:w w:val="105"/>
          <w:sz w:val="21"/>
        </w:rPr>
        <w:t>available to </w:t>
      </w:r>
      <w:r>
        <w:rPr>
          <w:w w:val="105"/>
          <w:sz w:val="21"/>
        </w:rPr>
        <w:t>them </w:t>
      </w:r>
      <w:r>
        <w:rPr>
          <w:spacing w:val="-3"/>
          <w:w w:val="105"/>
          <w:sz w:val="21"/>
        </w:rPr>
        <w:t>to procure </w:t>
      </w:r>
      <w:r>
        <w:rPr>
          <w:w w:val="105"/>
          <w:sz w:val="21"/>
        </w:rPr>
        <w:t>a </w:t>
      </w:r>
      <w:r>
        <w:rPr>
          <w:spacing w:val="-3"/>
          <w:w w:val="105"/>
          <w:sz w:val="21"/>
        </w:rPr>
        <w:t>grant. </w:t>
      </w:r>
      <w:r>
        <w:rPr>
          <w:w w:val="105"/>
          <w:sz w:val="21"/>
        </w:rPr>
        <w:t>This </w:t>
      </w:r>
      <w:r>
        <w:rPr>
          <w:spacing w:val="-3"/>
          <w:w w:val="105"/>
          <w:sz w:val="21"/>
        </w:rPr>
        <w:t>includes information that indicates </w:t>
      </w:r>
      <w:r>
        <w:rPr>
          <w:w w:val="105"/>
          <w:sz w:val="21"/>
        </w:rPr>
        <w:t>when legal advice should be </w:t>
      </w:r>
      <w:r>
        <w:rPr>
          <w:spacing w:val="-3"/>
          <w:w w:val="105"/>
          <w:sz w:val="21"/>
        </w:rPr>
        <w:t>sought, such </w:t>
      </w:r>
      <w:r>
        <w:rPr>
          <w:w w:val="105"/>
          <w:sz w:val="21"/>
        </w:rPr>
        <w:t>as when the </w:t>
      </w:r>
      <w:r>
        <w:rPr>
          <w:spacing w:val="-3"/>
          <w:w w:val="105"/>
          <w:sz w:val="21"/>
        </w:rPr>
        <w:t>will </w:t>
      </w:r>
      <w:r>
        <w:rPr>
          <w:w w:val="105"/>
          <w:sz w:val="21"/>
        </w:rPr>
        <w:t>is </w:t>
      </w:r>
      <w:r>
        <w:rPr>
          <w:spacing w:val="-2"/>
          <w:w w:val="105"/>
          <w:sz w:val="21"/>
        </w:rPr>
        <w:t>not </w:t>
      </w:r>
      <w:r>
        <w:rPr>
          <w:spacing w:val="-3"/>
          <w:w w:val="105"/>
          <w:sz w:val="21"/>
        </w:rPr>
        <w:t>clear </w:t>
      </w:r>
      <w:r>
        <w:rPr>
          <w:w w:val="105"/>
          <w:sz w:val="21"/>
        </w:rPr>
        <w:t>or the estate is too complex </w:t>
      </w:r>
      <w:r>
        <w:rPr>
          <w:spacing w:val="-3"/>
          <w:w w:val="105"/>
          <w:sz w:val="21"/>
        </w:rPr>
        <w:t>for </w:t>
      </w:r>
      <w:r>
        <w:rPr>
          <w:w w:val="105"/>
          <w:sz w:val="21"/>
        </w:rPr>
        <w:t>a non-professional representative </w:t>
      </w:r>
      <w:r>
        <w:rPr>
          <w:spacing w:val="-3"/>
          <w:w w:val="105"/>
          <w:sz w:val="21"/>
        </w:rPr>
        <w:t>to administer </w:t>
      </w:r>
      <w:r>
        <w:rPr>
          <w:w w:val="105"/>
          <w:sz w:val="21"/>
        </w:rPr>
        <w:t>without</w:t>
      </w:r>
      <w:r>
        <w:rPr>
          <w:spacing w:val="12"/>
          <w:w w:val="105"/>
          <w:sz w:val="21"/>
        </w:rPr>
        <w:t> </w:t>
      </w:r>
      <w:r>
        <w:rPr>
          <w:spacing w:val="-3"/>
          <w:w w:val="105"/>
          <w:sz w:val="21"/>
        </w:rPr>
        <w:t>assistance.</w:t>
      </w:r>
    </w:p>
    <w:p>
      <w:pPr>
        <w:pStyle w:val="BodyText"/>
        <w:spacing w:before="7"/>
        <w:rPr>
          <w:sz w:val="14"/>
        </w:rPr>
      </w:pPr>
      <w:r>
        <w:rPr/>
        <w:pict>
          <v:line style="position:absolute;mso-position-horizontal-relative:page;mso-position-vertical-relative:paragraph;z-index:11432;mso-wrap-distance-left:0;mso-wrap-distance-right:0" from="79.370102pt,11.359317pt" to="515.905102pt,11.359317pt" stroked="true" strokeweight="1pt" strokecolor="#f9ceca">
            <v:stroke dashstyle="solid"/>
            <w10:wrap type="topAndBottom"/>
          </v:line>
        </w:pict>
      </w:r>
    </w:p>
    <w:p>
      <w:pPr>
        <w:pStyle w:val="BodyText"/>
        <w:spacing w:before="8"/>
        <w:rPr>
          <w:sz w:val="5"/>
        </w:rPr>
      </w:pPr>
    </w:p>
    <w:p>
      <w:pPr>
        <w:spacing w:after="0"/>
        <w:rPr>
          <w:sz w:val="5"/>
        </w:rPr>
        <w:sectPr>
          <w:pgSz w:w="11910" w:h="16840"/>
          <w:pgMar w:header="550" w:footer="0" w:top="1560" w:bottom="280" w:left="0" w:right="0"/>
        </w:sectPr>
      </w:pPr>
    </w:p>
    <w:p>
      <w:pPr>
        <w:pStyle w:val="BodyText"/>
        <w:rPr>
          <w:sz w:val="28"/>
        </w:rPr>
      </w:pPr>
    </w:p>
    <w:p>
      <w:pPr>
        <w:spacing w:before="199"/>
        <w:ind w:left="720" w:right="0" w:firstLine="0"/>
        <w:jc w:val="left"/>
        <w:rPr>
          <w:b/>
          <w:sz w:val="24"/>
        </w:rPr>
      </w:pPr>
      <w:r>
        <w:rPr>
          <w:b/>
          <w:color w:val="EC5A4F"/>
          <w:spacing w:val="-2"/>
          <w:w w:val="110"/>
          <w:sz w:val="24"/>
        </w:rPr>
        <w:t>194</w:t>
      </w:r>
    </w:p>
    <w:p>
      <w:pPr>
        <w:pStyle w:val="ListParagraph"/>
        <w:numPr>
          <w:ilvl w:val="0"/>
          <w:numId w:val="140"/>
        </w:numPr>
        <w:tabs>
          <w:tab w:pos="1225" w:val="left" w:leader="none"/>
          <w:tab w:pos="1226" w:val="left" w:leader="none"/>
        </w:tabs>
        <w:spacing w:line="240" w:lineRule="auto" w:before="48" w:after="0"/>
        <w:ind w:left="1225" w:right="0" w:hanging="794"/>
        <w:jc w:val="left"/>
        <w:rPr>
          <w:sz w:val="13"/>
        </w:rPr>
      </w:pPr>
      <w:r>
        <w:rPr>
          <w:spacing w:val="3"/>
          <w:w w:val="107"/>
          <w:sz w:val="13"/>
        </w:rPr>
        <w:br w:type="column"/>
      </w:r>
      <w:r>
        <w:rPr>
          <w:w w:val="105"/>
          <w:sz w:val="13"/>
        </w:rPr>
        <w:t>Victoria</w:t>
      </w:r>
      <w:r>
        <w:rPr>
          <w:spacing w:val="4"/>
          <w:w w:val="105"/>
          <w:sz w:val="13"/>
        </w:rPr>
        <w:t> </w:t>
      </w:r>
      <w:r>
        <w:rPr>
          <w:w w:val="105"/>
          <w:sz w:val="13"/>
        </w:rPr>
        <w:t>Legal</w:t>
      </w:r>
      <w:r>
        <w:rPr>
          <w:spacing w:val="5"/>
          <w:w w:val="105"/>
          <w:sz w:val="13"/>
        </w:rPr>
        <w:t> </w:t>
      </w:r>
      <w:r>
        <w:rPr>
          <w:w w:val="105"/>
          <w:sz w:val="13"/>
        </w:rPr>
        <w:t>Aid,</w:t>
      </w:r>
      <w:r>
        <w:rPr>
          <w:spacing w:val="4"/>
          <w:w w:val="105"/>
          <w:sz w:val="13"/>
        </w:rPr>
        <w:t> </w:t>
      </w:r>
      <w:r>
        <w:rPr>
          <w:i/>
          <w:w w:val="105"/>
          <w:sz w:val="13"/>
        </w:rPr>
        <w:t>Get</w:t>
      </w:r>
      <w:r>
        <w:rPr>
          <w:i/>
          <w:spacing w:val="4"/>
          <w:w w:val="105"/>
          <w:sz w:val="13"/>
        </w:rPr>
        <w:t> </w:t>
      </w:r>
      <w:r>
        <w:rPr>
          <w:i/>
          <w:w w:val="105"/>
          <w:sz w:val="13"/>
        </w:rPr>
        <w:t>Help</w:t>
      </w:r>
      <w:r>
        <w:rPr>
          <w:i/>
          <w:spacing w:val="4"/>
          <w:w w:val="105"/>
          <w:sz w:val="13"/>
        </w:rPr>
        <w:t> </w:t>
      </w:r>
      <w:r>
        <w:rPr>
          <w:i/>
          <w:w w:val="105"/>
          <w:sz w:val="13"/>
        </w:rPr>
        <w:t>with</w:t>
      </w:r>
      <w:r>
        <w:rPr>
          <w:i/>
          <w:spacing w:val="3"/>
          <w:w w:val="105"/>
          <w:sz w:val="13"/>
        </w:rPr>
        <w:t> </w:t>
      </w:r>
      <w:r>
        <w:rPr>
          <w:i/>
          <w:w w:val="105"/>
          <w:sz w:val="13"/>
        </w:rPr>
        <w:t>Wills</w:t>
      </w:r>
      <w:r>
        <w:rPr>
          <w:i/>
          <w:spacing w:val="4"/>
          <w:w w:val="105"/>
          <w:sz w:val="13"/>
        </w:rPr>
        <w:t> </w:t>
      </w:r>
      <w:r>
        <w:rPr>
          <w:i/>
          <w:w w:val="105"/>
          <w:sz w:val="13"/>
        </w:rPr>
        <w:t>and</w:t>
      </w:r>
      <w:r>
        <w:rPr>
          <w:i/>
          <w:spacing w:val="4"/>
          <w:w w:val="105"/>
          <w:sz w:val="13"/>
        </w:rPr>
        <w:t> </w:t>
      </w:r>
      <w:r>
        <w:rPr>
          <w:i/>
          <w:w w:val="105"/>
          <w:sz w:val="13"/>
        </w:rPr>
        <w:t>Estates</w:t>
      </w:r>
      <w:r>
        <w:rPr>
          <w:i/>
          <w:spacing w:val="3"/>
          <w:w w:val="105"/>
          <w:sz w:val="13"/>
        </w:rPr>
        <w:t> </w:t>
      </w:r>
      <w:r>
        <w:rPr>
          <w:spacing w:val="-3"/>
          <w:w w:val="105"/>
          <w:sz w:val="13"/>
        </w:rPr>
        <w:t>(17</w:t>
      </w:r>
      <w:r>
        <w:rPr>
          <w:spacing w:val="5"/>
          <w:w w:val="105"/>
          <w:sz w:val="13"/>
        </w:rPr>
        <w:t> </w:t>
      </w:r>
      <w:r>
        <w:rPr>
          <w:w w:val="105"/>
          <w:sz w:val="13"/>
        </w:rPr>
        <w:t>June</w:t>
      </w:r>
      <w:r>
        <w:rPr>
          <w:spacing w:val="5"/>
          <w:w w:val="105"/>
          <w:sz w:val="13"/>
        </w:rPr>
        <w:t> </w:t>
      </w:r>
      <w:r>
        <w:rPr>
          <w:w w:val="105"/>
          <w:sz w:val="13"/>
        </w:rPr>
        <w:t>2013)</w:t>
      </w:r>
    </w:p>
    <w:p>
      <w:pPr>
        <w:spacing w:before="1"/>
        <w:ind w:left="1225" w:right="0" w:firstLine="0"/>
        <w:jc w:val="left"/>
        <w:rPr>
          <w:sz w:val="13"/>
        </w:rPr>
      </w:pPr>
      <w:r>
        <w:rPr>
          <w:sz w:val="13"/>
        </w:rPr>
        <w:t>&lt;</w:t>
      </w:r>
      <w:hyperlink r:id="rId113">
        <w:r>
          <w:rPr>
            <w:sz w:val="13"/>
          </w:rPr>
          <w:t>http://www.legalaid.vic.gov.au/find-legal-answers/wills-and-estates/get-help</w:t>
        </w:r>
      </w:hyperlink>
      <w:r>
        <w:rPr>
          <w:sz w:val="13"/>
        </w:rPr>
        <w:t>&gt;.</w:t>
      </w:r>
    </w:p>
    <w:p>
      <w:pPr>
        <w:pStyle w:val="ListParagraph"/>
        <w:numPr>
          <w:ilvl w:val="0"/>
          <w:numId w:val="140"/>
        </w:numPr>
        <w:tabs>
          <w:tab w:pos="1225" w:val="left" w:leader="none"/>
          <w:tab w:pos="1226" w:val="left" w:leader="none"/>
        </w:tabs>
        <w:spacing w:line="240" w:lineRule="auto" w:before="2" w:after="0"/>
        <w:ind w:left="1225" w:right="0" w:hanging="794"/>
        <w:jc w:val="left"/>
        <w:rPr>
          <w:sz w:val="13"/>
        </w:rPr>
      </w:pPr>
      <w:r>
        <w:rPr>
          <w:w w:val="105"/>
          <w:sz w:val="13"/>
        </w:rPr>
        <w:t>Consultation 23 (Supreme Court of </w:t>
      </w:r>
      <w:r>
        <w:rPr>
          <w:spacing w:val="2"/>
          <w:w w:val="105"/>
          <w:sz w:val="13"/>
        </w:rPr>
        <w:t>Victoria—Registrar </w:t>
      </w:r>
      <w:r>
        <w:rPr>
          <w:w w:val="105"/>
          <w:sz w:val="13"/>
        </w:rPr>
        <w:t>of</w:t>
      </w:r>
      <w:r>
        <w:rPr>
          <w:spacing w:val="30"/>
          <w:w w:val="105"/>
          <w:sz w:val="13"/>
        </w:rPr>
        <w:t> </w:t>
      </w:r>
      <w:r>
        <w:rPr>
          <w:w w:val="105"/>
          <w:sz w:val="13"/>
        </w:rPr>
        <w:t>Probates).</w:t>
      </w:r>
    </w:p>
    <w:p>
      <w:pPr>
        <w:pStyle w:val="ListParagraph"/>
        <w:numPr>
          <w:ilvl w:val="0"/>
          <w:numId w:val="140"/>
        </w:numPr>
        <w:tabs>
          <w:tab w:pos="1225" w:val="left" w:leader="none"/>
          <w:tab w:pos="1226" w:val="left" w:leader="none"/>
        </w:tabs>
        <w:spacing w:line="240" w:lineRule="auto" w:before="1" w:after="0"/>
        <w:ind w:left="1225" w:right="0" w:hanging="793"/>
        <w:jc w:val="left"/>
        <w:rPr>
          <w:sz w:val="13"/>
        </w:rPr>
      </w:pPr>
      <w:r>
        <w:rPr>
          <w:w w:val="105"/>
          <w:sz w:val="13"/>
        </w:rPr>
        <w:t>Victorian Law Reform Commission, above n 6,</w:t>
      </w:r>
      <w:r>
        <w:rPr>
          <w:spacing w:val="2"/>
          <w:w w:val="105"/>
          <w:sz w:val="13"/>
        </w:rPr>
        <w:t> </w:t>
      </w:r>
      <w:r>
        <w:rPr>
          <w:w w:val="105"/>
          <w:sz w:val="13"/>
        </w:rPr>
        <w:t>24.</w:t>
      </w:r>
    </w:p>
    <w:p>
      <w:pPr>
        <w:pStyle w:val="ListParagraph"/>
        <w:numPr>
          <w:ilvl w:val="0"/>
          <w:numId w:val="140"/>
        </w:numPr>
        <w:tabs>
          <w:tab w:pos="1225" w:val="left" w:leader="none"/>
          <w:tab w:pos="1226" w:val="left" w:leader="none"/>
        </w:tabs>
        <w:spacing w:line="240" w:lineRule="auto" w:before="1" w:after="0"/>
        <w:ind w:left="1225" w:right="0" w:hanging="793"/>
        <w:jc w:val="left"/>
        <w:rPr>
          <w:sz w:val="13"/>
        </w:rPr>
      </w:pPr>
      <w:r>
        <w:rPr>
          <w:w w:val="105"/>
          <w:sz w:val="13"/>
        </w:rPr>
        <w:t>Submission </w:t>
      </w:r>
      <w:r>
        <w:rPr>
          <w:spacing w:val="-3"/>
          <w:w w:val="105"/>
          <w:sz w:val="13"/>
        </w:rPr>
        <w:t>14 </w:t>
      </w:r>
      <w:r>
        <w:rPr>
          <w:w w:val="105"/>
          <w:sz w:val="13"/>
        </w:rPr>
        <w:t>(Commercial Bar</w:t>
      </w:r>
      <w:r>
        <w:rPr>
          <w:spacing w:val="21"/>
          <w:w w:val="105"/>
          <w:sz w:val="13"/>
        </w:rPr>
        <w:t> </w:t>
      </w:r>
      <w:r>
        <w:rPr>
          <w:spacing w:val="2"/>
          <w:w w:val="105"/>
          <w:sz w:val="13"/>
        </w:rPr>
        <w:t>Association).</w:t>
      </w:r>
    </w:p>
    <w:p>
      <w:pPr>
        <w:spacing w:after="0" w:line="240" w:lineRule="auto"/>
        <w:jc w:val="left"/>
        <w:rPr>
          <w:sz w:val="13"/>
        </w:rPr>
        <w:sectPr>
          <w:type w:val="continuous"/>
          <w:pgSz w:w="11910" w:h="16840"/>
          <w:pgMar w:top="920" w:bottom="280" w:left="0" w:right="0"/>
          <w:cols w:num="2" w:equalWidth="0">
            <w:col w:w="1116" w:space="40"/>
            <w:col w:w="10754"/>
          </w:cols>
        </w:sectPr>
      </w:pPr>
    </w:p>
    <w:p>
      <w:pPr>
        <w:pStyle w:val="BodyText"/>
        <w:rPr>
          <w:sz w:val="20"/>
        </w:rPr>
      </w:pPr>
    </w:p>
    <w:p>
      <w:pPr>
        <w:pStyle w:val="BodyText"/>
        <w:rPr>
          <w:sz w:val="19"/>
        </w:rPr>
      </w:pPr>
    </w:p>
    <w:p>
      <w:pPr>
        <w:pStyle w:val="ListParagraph"/>
        <w:numPr>
          <w:ilvl w:val="1"/>
          <w:numId w:val="22"/>
        </w:numPr>
        <w:tabs>
          <w:tab w:pos="2381" w:val="left" w:leader="none"/>
          <w:tab w:pos="2382" w:val="left" w:leader="none"/>
        </w:tabs>
        <w:spacing w:line="242" w:lineRule="auto" w:before="91" w:after="0"/>
        <w:ind w:left="2381" w:right="1892" w:hanging="794"/>
        <w:jc w:val="left"/>
        <w:rPr>
          <w:sz w:val="21"/>
        </w:rPr>
      </w:pPr>
      <w:bookmarkStart w:name="Informal administration" w:id="148"/>
      <w:bookmarkEnd w:id="148"/>
      <w:r>
        <w:rPr/>
      </w:r>
      <w:bookmarkStart w:name="Informal administration" w:id="149"/>
      <w:bookmarkEnd w:id="149"/>
      <w:r>
        <w:rPr>
          <w:w w:val="105"/>
          <w:sz w:val="21"/>
        </w:rPr>
        <w:t>T</w:t>
      </w:r>
      <w:r>
        <w:rPr>
          <w:w w:val="105"/>
          <w:sz w:val="21"/>
        </w:rPr>
        <w:t>he pack should be downloadable </w:t>
      </w:r>
      <w:r>
        <w:rPr>
          <w:spacing w:val="-3"/>
          <w:w w:val="105"/>
          <w:sz w:val="21"/>
        </w:rPr>
        <w:t>from </w:t>
      </w:r>
      <w:r>
        <w:rPr>
          <w:w w:val="105"/>
          <w:sz w:val="21"/>
        </w:rPr>
        <w:t>the </w:t>
      </w:r>
      <w:r>
        <w:rPr>
          <w:spacing w:val="-3"/>
          <w:w w:val="105"/>
          <w:sz w:val="21"/>
        </w:rPr>
        <w:t>Supreme Court website </w:t>
      </w:r>
      <w:r>
        <w:rPr>
          <w:w w:val="105"/>
          <w:sz w:val="21"/>
        </w:rPr>
        <w:t>in a </w:t>
      </w:r>
      <w:r>
        <w:rPr>
          <w:spacing w:val="-3"/>
          <w:w w:val="105"/>
          <w:sz w:val="21"/>
        </w:rPr>
        <w:t>simple format that includes </w:t>
      </w:r>
      <w:r>
        <w:rPr>
          <w:w w:val="105"/>
          <w:sz w:val="21"/>
        </w:rPr>
        <w:t>factsheets, checklists, </w:t>
      </w:r>
      <w:r>
        <w:rPr>
          <w:spacing w:val="-3"/>
          <w:w w:val="105"/>
          <w:sz w:val="21"/>
        </w:rPr>
        <w:t>forms </w:t>
      </w:r>
      <w:r>
        <w:rPr>
          <w:w w:val="105"/>
          <w:sz w:val="21"/>
        </w:rPr>
        <w:t>and extracts of </w:t>
      </w:r>
      <w:r>
        <w:rPr>
          <w:spacing w:val="-3"/>
          <w:w w:val="105"/>
          <w:sz w:val="21"/>
        </w:rPr>
        <w:t>legislation. </w:t>
      </w:r>
      <w:r>
        <w:rPr>
          <w:w w:val="105"/>
          <w:sz w:val="21"/>
        </w:rPr>
        <w:t>It should also be </w:t>
      </w:r>
      <w:r>
        <w:rPr>
          <w:spacing w:val="-4"/>
          <w:w w:val="105"/>
          <w:sz w:val="21"/>
        </w:rPr>
        <w:t>linked </w:t>
      </w:r>
      <w:r>
        <w:rPr>
          <w:spacing w:val="-3"/>
          <w:w w:val="105"/>
          <w:sz w:val="21"/>
        </w:rPr>
        <w:t>to </w:t>
      </w:r>
      <w:r>
        <w:rPr>
          <w:w w:val="105"/>
          <w:sz w:val="21"/>
        </w:rPr>
        <w:t>the </w:t>
      </w:r>
      <w:r>
        <w:rPr>
          <w:spacing w:val="-3"/>
          <w:w w:val="105"/>
          <w:sz w:val="21"/>
        </w:rPr>
        <w:t>websites </w:t>
      </w:r>
      <w:r>
        <w:rPr>
          <w:w w:val="105"/>
          <w:sz w:val="21"/>
        </w:rPr>
        <w:t>of </w:t>
      </w:r>
      <w:r>
        <w:rPr>
          <w:spacing w:val="-3"/>
          <w:w w:val="105"/>
          <w:sz w:val="21"/>
        </w:rPr>
        <w:t>relevant </w:t>
      </w:r>
      <w:r>
        <w:rPr>
          <w:w w:val="105"/>
          <w:sz w:val="21"/>
        </w:rPr>
        <w:t>legal and social assistance</w:t>
      </w:r>
      <w:r>
        <w:rPr>
          <w:spacing w:val="23"/>
          <w:w w:val="105"/>
          <w:sz w:val="21"/>
        </w:rPr>
        <w:t> </w:t>
      </w:r>
      <w:r>
        <w:rPr>
          <w:spacing w:val="-3"/>
          <w:w w:val="105"/>
          <w:sz w:val="21"/>
        </w:rPr>
        <w:t>organisations.</w:t>
      </w:r>
    </w:p>
    <w:p>
      <w:pPr>
        <w:pStyle w:val="ListParagraph"/>
        <w:numPr>
          <w:ilvl w:val="1"/>
          <w:numId w:val="22"/>
        </w:numPr>
        <w:tabs>
          <w:tab w:pos="2381" w:val="left" w:leader="none"/>
        </w:tabs>
        <w:spacing w:line="242" w:lineRule="auto" w:before="123" w:after="0"/>
        <w:ind w:left="2381" w:right="1693" w:hanging="794"/>
        <w:jc w:val="both"/>
        <w:rPr>
          <w:sz w:val="21"/>
        </w:rPr>
      </w:pPr>
      <w:r>
        <w:rPr>
          <w:sz w:val="21"/>
        </w:rPr>
        <w:t>It is important </w:t>
      </w:r>
      <w:r>
        <w:rPr>
          <w:spacing w:val="-3"/>
          <w:sz w:val="21"/>
        </w:rPr>
        <w:t>that </w:t>
      </w:r>
      <w:r>
        <w:rPr>
          <w:sz w:val="21"/>
        </w:rPr>
        <w:t>the pack be </w:t>
      </w:r>
      <w:r>
        <w:rPr>
          <w:spacing w:val="-3"/>
          <w:sz w:val="21"/>
        </w:rPr>
        <w:t>created </w:t>
      </w:r>
      <w:r>
        <w:rPr>
          <w:sz w:val="21"/>
        </w:rPr>
        <w:t>with the </w:t>
      </w:r>
      <w:r>
        <w:rPr>
          <w:spacing w:val="-3"/>
          <w:sz w:val="21"/>
        </w:rPr>
        <w:t>oversight </w:t>
      </w:r>
      <w:r>
        <w:rPr>
          <w:sz w:val="21"/>
        </w:rPr>
        <w:t>of (if </w:t>
      </w:r>
      <w:r>
        <w:rPr>
          <w:spacing w:val="-2"/>
          <w:sz w:val="21"/>
        </w:rPr>
        <w:t>not </w:t>
      </w:r>
      <w:r>
        <w:rPr>
          <w:sz w:val="21"/>
        </w:rPr>
        <w:t>actively managed by) the </w:t>
      </w:r>
      <w:r>
        <w:rPr>
          <w:spacing w:val="-3"/>
          <w:sz w:val="21"/>
        </w:rPr>
        <w:t>Supreme Court. </w:t>
      </w:r>
      <w:r>
        <w:rPr>
          <w:sz w:val="21"/>
        </w:rPr>
        <w:t>The </w:t>
      </w:r>
      <w:r>
        <w:rPr>
          <w:spacing w:val="-3"/>
          <w:sz w:val="21"/>
        </w:rPr>
        <w:t>reasons for </w:t>
      </w:r>
      <w:r>
        <w:rPr>
          <w:sz w:val="21"/>
        </w:rPr>
        <w:t>this </w:t>
      </w:r>
      <w:r>
        <w:rPr>
          <w:spacing w:val="-3"/>
          <w:sz w:val="21"/>
        </w:rPr>
        <w:t>are to ensure </w:t>
      </w:r>
      <w:r>
        <w:rPr>
          <w:sz w:val="21"/>
        </w:rPr>
        <w:t>accuracy of </w:t>
      </w:r>
      <w:r>
        <w:rPr>
          <w:spacing w:val="-3"/>
          <w:sz w:val="21"/>
        </w:rPr>
        <w:t>information, </w:t>
      </w:r>
      <w:r>
        <w:rPr>
          <w:sz w:val="21"/>
        </w:rPr>
        <w:t>and avoid </w:t>
      </w:r>
      <w:r>
        <w:rPr>
          <w:spacing w:val="-3"/>
          <w:sz w:val="21"/>
        </w:rPr>
        <w:t>over-simplification </w:t>
      </w:r>
      <w:r>
        <w:rPr>
          <w:sz w:val="21"/>
        </w:rPr>
        <w:t>of the </w:t>
      </w:r>
      <w:r>
        <w:rPr>
          <w:spacing w:val="-3"/>
          <w:sz w:val="21"/>
        </w:rPr>
        <w:t>required</w:t>
      </w:r>
      <w:r>
        <w:rPr>
          <w:spacing w:val="39"/>
          <w:sz w:val="21"/>
        </w:rPr>
        <w:t> </w:t>
      </w:r>
      <w:r>
        <w:rPr>
          <w:sz w:val="21"/>
        </w:rPr>
        <w:t>process.</w:t>
      </w:r>
    </w:p>
    <w:p>
      <w:pPr>
        <w:pStyle w:val="ListParagraph"/>
        <w:numPr>
          <w:ilvl w:val="1"/>
          <w:numId w:val="22"/>
        </w:numPr>
        <w:tabs>
          <w:tab w:pos="2380" w:val="left" w:leader="none"/>
          <w:tab w:pos="2381" w:val="left" w:leader="none"/>
        </w:tabs>
        <w:spacing w:line="242" w:lineRule="auto" w:before="124" w:after="0"/>
        <w:ind w:left="2380" w:right="1655" w:hanging="793"/>
        <w:jc w:val="left"/>
        <w:rPr>
          <w:sz w:val="21"/>
        </w:rPr>
      </w:pPr>
      <w:r>
        <w:rPr>
          <w:w w:val="105"/>
          <w:sz w:val="21"/>
        </w:rPr>
        <w:t>The Registrar and </w:t>
      </w:r>
      <w:r>
        <w:rPr>
          <w:spacing w:val="-3"/>
          <w:w w:val="105"/>
          <w:sz w:val="21"/>
        </w:rPr>
        <w:t>Probate </w:t>
      </w:r>
      <w:r>
        <w:rPr>
          <w:w w:val="105"/>
          <w:sz w:val="21"/>
        </w:rPr>
        <w:t>Office staff </w:t>
      </w:r>
      <w:r>
        <w:rPr>
          <w:spacing w:val="-3"/>
          <w:w w:val="105"/>
          <w:sz w:val="21"/>
        </w:rPr>
        <w:t>are highly </w:t>
      </w:r>
      <w:r>
        <w:rPr>
          <w:w w:val="105"/>
          <w:sz w:val="21"/>
        </w:rPr>
        <w:t>experienced in this field. </w:t>
      </w:r>
      <w:r>
        <w:rPr>
          <w:spacing w:val="-3"/>
          <w:w w:val="105"/>
          <w:sz w:val="21"/>
        </w:rPr>
        <w:t>Court control </w:t>
      </w:r>
      <w:r>
        <w:rPr>
          <w:w w:val="105"/>
          <w:sz w:val="21"/>
        </w:rPr>
        <w:t>over a </w:t>
      </w:r>
      <w:r>
        <w:rPr>
          <w:spacing w:val="-3"/>
          <w:w w:val="105"/>
          <w:sz w:val="21"/>
        </w:rPr>
        <w:t>probate </w:t>
      </w:r>
      <w:r>
        <w:rPr>
          <w:w w:val="105"/>
          <w:sz w:val="21"/>
        </w:rPr>
        <w:t>pack would </w:t>
      </w:r>
      <w:r>
        <w:rPr>
          <w:spacing w:val="-3"/>
          <w:w w:val="105"/>
          <w:sz w:val="21"/>
        </w:rPr>
        <w:t>ensure that changes to </w:t>
      </w:r>
      <w:r>
        <w:rPr>
          <w:w w:val="105"/>
          <w:sz w:val="21"/>
        </w:rPr>
        <w:t>the law and practice </w:t>
      </w:r>
      <w:r>
        <w:rPr>
          <w:spacing w:val="-3"/>
          <w:w w:val="105"/>
          <w:sz w:val="21"/>
        </w:rPr>
        <w:t>are regularly updated </w:t>
      </w:r>
      <w:r>
        <w:rPr>
          <w:w w:val="105"/>
          <w:sz w:val="21"/>
        </w:rPr>
        <w:t>in the pack, and </w:t>
      </w:r>
      <w:r>
        <w:rPr>
          <w:spacing w:val="-2"/>
          <w:w w:val="105"/>
          <w:sz w:val="21"/>
        </w:rPr>
        <w:t>common </w:t>
      </w:r>
      <w:r>
        <w:rPr>
          <w:spacing w:val="-3"/>
          <w:w w:val="105"/>
          <w:sz w:val="21"/>
        </w:rPr>
        <w:t>mistakes, misunderstandings </w:t>
      </w:r>
      <w:r>
        <w:rPr>
          <w:w w:val="105"/>
          <w:sz w:val="21"/>
        </w:rPr>
        <w:t>and questions </w:t>
      </w:r>
      <w:r>
        <w:rPr>
          <w:spacing w:val="-3"/>
          <w:w w:val="105"/>
          <w:sz w:val="21"/>
        </w:rPr>
        <w:t>frequently asked </w:t>
      </w:r>
      <w:r>
        <w:rPr>
          <w:w w:val="105"/>
          <w:sz w:val="21"/>
        </w:rPr>
        <w:t>of the </w:t>
      </w:r>
      <w:r>
        <w:rPr>
          <w:spacing w:val="-3"/>
          <w:w w:val="105"/>
          <w:sz w:val="21"/>
        </w:rPr>
        <w:t>Probate </w:t>
      </w:r>
      <w:r>
        <w:rPr>
          <w:w w:val="105"/>
          <w:sz w:val="21"/>
        </w:rPr>
        <w:t>Office </w:t>
      </w:r>
      <w:r>
        <w:rPr>
          <w:spacing w:val="-3"/>
          <w:w w:val="105"/>
          <w:sz w:val="21"/>
        </w:rPr>
        <w:t>could </w:t>
      </w:r>
      <w:r>
        <w:rPr>
          <w:w w:val="105"/>
          <w:sz w:val="21"/>
        </w:rPr>
        <w:t>be</w:t>
      </w:r>
      <w:r>
        <w:rPr>
          <w:spacing w:val="45"/>
          <w:w w:val="105"/>
          <w:sz w:val="21"/>
        </w:rPr>
        <w:t> </w:t>
      </w:r>
      <w:r>
        <w:rPr>
          <w:spacing w:val="-3"/>
          <w:w w:val="105"/>
          <w:sz w:val="21"/>
        </w:rPr>
        <w:t>included.</w:t>
      </w:r>
    </w:p>
    <w:p>
      <w:pPr>
        <w:pStyle w:val="ListParagraph"/>
        <w:numPr>
          <w:ilvl w:val="1"/>
          <w:numId w:val="22"/>
        </w:numPr>
        <w:tabs>
          <w:tab w:pos="2380" w:val="left" w:leader="none"/>
          <w:tab w:pos="2381" w:val="left" w:leader="none"/>
        </w:tabs>
        <w:spacing w:line="242" w:lineRule="auto" w:before="124" w:after="0"/>
        <w:ind w:left="2380" w:right="1586" w:hanging="794"/>
        <w:jc w:val="left"/>
        <w:rPr>
          <w:sz w:val="12"/>
        </w:rPr>
      </w:pPr>
      <w:r>
        <w:rPr>
          <w:spacing w:val="-3"/>
          <w:w w:val="105"/>
          <w:sz w:val="21"/>
        </w:rPr>
        <w:t>Court </w:t>
      </w:r>
      <w:r>
        <w:rPr>
          <w:spacing w:val="-4"/>
          <w:w w:val="105"/>
          <w:sz w:val="21"/>
        </w:rPr>
        <w:t>control </w:t>
      </w:r>
      <w:r>
        <w:rPr>
          <w:spacing w:val="-3"/>
          <w:w w:val="105"/>
          <w:sz w:val="21"/>
        </w:rPr>
        <w:t>over this </w:t>
      </w:r>
      <w:r>
        <w:rPr>
          <w:spacing w:val="-4"/>
          <w:w w:val="105"/>
          <w:sz w:val="21"/>
        </w:rPr>
        <w:t>information </w:t>
      </w:r>
      <w:r>
        <w:rPr>
          <w:spacing w:val="-3"/>
          <w:w w:val="105"/>
          <w:sz w:val="21"/>
        </w:rPr>
        <w:t>would </w:t>
      </w:r>
      <w:r>
        <w:rPr>
          <w:spacing w:val="-4"/>
          <w:w w:val="105"/>
          <w:sz w:val="21"/>
        </w:rPr>
        <w:t>reduce </w:t>
      </w:r>
      <w:r>
        <w:rPr>
          <w:w w:val="105"/>
          <w:sz w:val="21"/>
        </w:rPr>
        <w:t>the </w:t>
      </w:r>
      <w:r>
        <w:rPr>
          <w:spacing w:val="-4"/>
          <w:w w:val="105"/>
          <w:sz w:val="21"/>
        </w:rPr>
        <w:t>likelihood </w:t>
      </w:r>
      <w:r>
        <w:rPr>
          <w:spacing w:val="-3"/>
          <w:w w:val="105"/>
          <w:sz w:val="21"/>
        </w:rPr>
        <w:t>of </w:t>
      </w:r>
      <w:r>
        <w:rPr>
          <w:spacing w:val="-4"/>
          <w:w w:val="105"/>
          <w:sz w:val="21"/>
        </w:rPr>
        <w:t>mistakes </w:t>
      </w:r>
      <w:r>
        <w:rPr>
          <w:spacing w:val="-3"/>
          <w:w w:val="105"/>
          <w:sz w:val="21"/>
        </w:rPr>
        <w:t>in </w:t>
      </w:r>
      <w:r>
        <w:rPr>
          <w:spacing w:val="-4"/>
          <w:w w:val="105"/>
          <w:sz w:val="21"/>
        </w:rPr>
        <w:t>applications </w:t>
      </w:r>
      <w:r>
        <w:rPr>
          <w:spacing w:val="-3"/>
          <w:w w:val="105"/>
          <w:sz w:val="21"/>
        </w:rPr>
        <w:t>and </w:t>
      </w:r>
      <w:r>
        <w:rPr>
          <w:w w:val="105"/>
          <w:sz w:val="21"/>
        </w:rPr>
        <w:t>the need </w:t>
      </w:r>
      <w:r>
        <w:rPr>
          <w:spacing w:val="-3"/>
          <w:w w:val="105"/>
          <w:sz w:val="21"/>
        </w:rPr>
        <w:t>for further advice and </w:t>
      </w:r>
      <w:r>
        <w:rPr>
          <w:spacing w:val="-4"/>
          <w:w w:val="105"/>
          <w:sz w:val="21"/>
        </w:rPr>
        <w:t>involvement </w:t>
      </w:r>
      <w:r>
        <w:rPr>
          <w:spacing w:val="-3"/>
          <w:w w:val="105"/>
          <w:sz w:val="21"/>
        </w:rPr>
        <w:t>by Probate </w:t>
      </w:r>
      <w:r>
        <w:rPr>
          <w:w w:val="105"/>
          <w:sz w:val="21"/>
        </w:rPr>
        <w:t>Office </w:t>
      </w:r>
      <w:r>
        <w:rPr>
          <w:spacing w:val="-3"/>
          <w:w w:val="105"/>
          <w:sz w:val="21"/>
        </w:rPr>
        <w:t>staff. </w:t>
      </w:r>
      <w:r>
        <w:rPr>
          <w:w w:val="105"/>
          <w:sz w:val="21"/>
        </w:rPr>
        <w:t>The </w:t>
      </w:r>
      <w:r>
        <w:rPr>
          <w:spacing w:val="-4"/>
          <w:w w:val="105"/>
          <w:sz w:val="21"/>
        </w:rPr>
        <w:t>provision </w:t>
      </w:r>
      <w:r>
        <w:rPr>
          <w:spacing w:val="-3"/>
          <w:w w:val="105"/>
          <w:sz w:val="21"/>
        </w:rPr>
        <w:t>of fixed,</w:t>
      </w:r>
      <w:r>
        <w:rPr>
          <w:spacing w:val="-8"/>
          <w:w w:val="105"/>
          <w:sz w:val="21"/>
        </w:rPr>
        <w:t> </w:t>
      </w:r>
      <w:r>
        <w:rPr>
          <w:spacing w:val="-4"/>
          <w:w w:val="105"/>
          <w:sz w:val="21"/>
        </w:rPr>
        <w:t>collated</w:t>
      </w:r>
      <w:r>
        <w:rPr>
          <w:spacing w:val="-7"/>
          <w:w w:val="105"/>
          <w:sz w:val="21"/>
        </w:rPr>
        <w:t> </w:t>
      </w:r>
      <w:r>
        <w:rPr>
          <w:spacing w:val="-4"/>
          <w:w w:val="105"/>
          <w:sz w:val="21"/>
        </w:rPr>
        <w:t>information</w:t>
      </w:r>
      <w:r>
        <w:rPr>
          <w:spacing w:val="-8"/>
          <w:w w:val="105"/>
          <w:sz w:val="21"/>
        </w:rPr>
        <w:t> </w:t>
      </w:r>
      <w:r>
        <w:rPr>
          <w:spacing w:val="-3"/>
          <w:w w:val="105"/>
          <w:sz w:val="21"/>
        </w:rPr>
        <w:t>may</w:t>
      </w:r>
      <w:r>
        <w:rPr>
          <w:spacing w:val="-7"/>
          <w:w w:val="105"/>
          <w:sz w:val="21"/>
        </w:rPr>
        <w:t> </w:t>
      </w:r>
      <w:r>
        <w:rPr>
          <w:spacing w:val="-3"/>
          <w:w w:val="105"/>
          <w:sz w:val="21"/>
        </w:rPr>
        <w:t>also</w:t>
      </w:r>
      <w:r>
        <w:rPr>
          <w:spacing w:val="-8"/>
          <w:w w:val="105"/>
          <w:sz w:val="21"/>
        </w:rPr>
        <w:t> </w:t>
      </w:r>
      <w:r>
        <w:rPr>
          <w:spacing w:val="-4"/>
          <w:w w:val="105"/>
          <w:sz w:val="21"/>
        </w:rPr>
        <w:t>relieve</w:t>
      </w:r>
      <w:r>
        <w:rPr>
          <w:spacing w:val="-7"/>
          <w:w w:val="105"/>
          <w:sz w:val="21"/>
        </w:rPr>
        <w:t> </w:t>
      </w:r>
      <w:r>
        <w:rPr>
          <w:spacing w:val="-3"/>
          <w:w w:val="105"/>
          <w:sz w:val="21"/>
        </w:rPr>
        <w:t>Probate</w:t>
      </w:r>
      <w:r>
        <w:rPr>
          <w:spacing w:val="-8"/>
          <w:w w:val="105"/>
          <w:sz w:val="21"/>
        </w:rPr>
        <w:t> </w:t>
      </w:r>
      <w:r>
        <w:rPr>
          <w:w w:val="105"/>
          <w:sz w:val="21"/>
        </w:rPr>
        <w:t>Office</w:t>
      </w:r>
      <w:r>
        <w:rPr>
          <w:spacing w:val="-7"/>
          <w:w w:val="105"/>
          <w:sz w:val="21"/>
        </w:rPr>
        <w:t> </w:t>
      </w:r>
      <w:r>
        <w:rPr>
          <w:w w:val="105"/>
          <w:sz w:val="21"/>
        </w:rPr>
        <w:t>staff</w:t>
      </w:r>
      <w:r>
        <w:rPr>
          <w:spacing w:val="-8"/>
          <w:w w:val="105"/>
          <w:sz w:val="21"/>
        </w:rPr>
        <w:t> </w:t>
      </w:r>
      <w:r>
        <w:rPr>
          <w:spacing w:val="-3"/>
          <w:w w:val="105"/>
          <w:sz w:val="21"/>
        </w:rPr>
        <w:t>of</w:t>
      </w:r>
      <w:r>
        <w:rPr>
          <w:spacing w:val="-7"/>
          <w:w w:val="105"/>
          <w:sz w:val="21"/>
        </w:rPr>
        <w:t> </w:t>
      </w:r>
      <w:r>
        <w:rPr>
          <w:w w:val="105"/>
          <w:sz w:val="21"/>
        </w:rPr>
        <w:t>the</w:t>
      </w:r>
      <w:r>
        <w:rPr>
          <w:spacing w:val="-8"/>
          <w:w w:val="105"/>
          <w:sz w:val="21"/>
        </w:rPr>
        <w:t> </w:t>
      </w:r>
      <w:r>
        <w:rPr>
          <w:spacing w:val="-4"/>
          <w:w w:val="105"/>
          <w:sz w:val="21"/>
        </w:rPr>
        <w:t>potentially</w:t>
      </w:r>
      <w:r>
        <w:rPr>
          <w:spacing w:val="-7"/>
          <w:w w:val="105"/>
          <w:sz w:val="21"/>
        </w:rPr>
        <w:t> </w:t>
      </w:r>
      <w:r>
        <w:rPr>
          <w:spacing w:val="-3"/>
          <w:w w:val="105"/>
          <w:sz w:val="21"/>
        </w:rPr>
        <w:t>conflicting role </w:t>
      </w:r>
      <w:r>
        <w:rPr>
          <w:spacing w:val="-4"/>
          <w:w w:val="105"/>
          <w:sz w:val="21"/>
        </w:rPr>
        <w:t>arising </w:t>
      </w:r>
      <w:r>
        <w:rPr>
          <w:spacing w:val="-3"/>
          <w:w w:val="105"/>
          <w:sz w:val="21"/>
        </w:rPr>
        <w:t>from </w:t>
      </w:r>
      <w:r>
        <w:rPr>
          <w:spacing w:val="-4"/>
          <w:w w:val="105"/>
          <w:sz w:val="21"/>
        </w:rPr>
        <w:t>adjudicating </w:t>
      </w:r>
      <w:r>
        <w:rPr>
          <w:w w:val="105"/>
          <w:sz w:val="21"/>
        </w:rPr>
        <w:t>on </w:t>
      </w:r>
      <w:r>
        <w:rPr>
          <w:spacing w:val="-4"/>
          <w:w w:val="105"/>
          <w:sz w:val="21"/>
        </w:rPr>
        <w:t>applications </w:t>
      </w:r>
      <w:r>
        <w:rPr>
          <w:spacing w:val="-3"/>
          <w:w w:val="105"/>
          <w:sz w:val="21"/>
        </w:rPr>
        <w:t>made by </w:t>
      </w:r>
      <w:r>
        <w:rPr>
          <w:w w:val="105"/>
          <w:sz w:val="21"/>
        </w:rPr>
        <w:t>the </w:t>
      </w:r>
      <w:r>
        <w:rPr>
          <w:spacing w:val="-4"/>
          <w:w w:val="105"/>
          <w:sz w:val="21"/>
        </w:rPr>
        <w:t>small </w:t>
      </w:r>
      <w:r>
        <w:rPr>
          <w:spacing w:val="-3"/>
          <w:w w:val="105"/>
          <w:sz w:val="21"/>
        </w:rPr>
        <w:t>estates</w:t>
      </w:r>
      <w:r>
        <w:rPr>
          <w:spacing w:val="40"/>
          <w:w w:val="105"/>
          <w:sz w:val="21"/>
        </w:rPr>
        <w:t> </w:t>
      </w:r>
      <w:r>
        <w:rPr>
          <w:spacing w:val="-4"/>
          <w:w w:val="105"/>
          <w:sz w:val="21"/>
        </w:rPr>
        <w:t>officer.</w:t>
      </w:r>
      <w:r>
        <w:rPr>
          <w:spacing w:val="-4"/>
          <w:w w:val="105"/>
          <w:position w:val="7"/>
          <w:sz w:val="12"/>
        </w:rPr>
        <w:t>37</w:t>
      </w:r>
    </w:p>
    <w:p>
      <w:pPr>
        <w:pStyle w:val="ListParagraph"/>
        <w:numPr>
          <w:ilvl w:val="1"/>
          <w:numId w:val="22"/>
        </w:numPr>
        <w:tabs>
          <w:tab w:pos="2381" w:val="left" w:leader="none"/>
          <w:tab w:pos="2382" w:val="left" w:leader="none"/>
        </w:tabs>
        <w:spacing w:line="242" w:lineRule="auto" w:before="124" w:after="0"/>
        <w:ind w:left="2381" w:right="1652" w:hanging="794"/>
        <w:jc w:val="left"/>
        <w:rPr>
          <w:sz w:val="21"/>
        </w:rPr>
      </w:pPr>
      <w:r>
        <w:rPr>
          <w:w w:val="105"/>
          <w:sz w:val="21"/>
        </w:rPr>
        <w:t>The</w:t>
      </w:r>
      <w:r>
        <w:rPr>
          <w:spacing w:val="-8"/>
          <w:w w:val="105"/>
          <w:sz w:val="21"/>
        </w:rPr>
        <w:t> </w:t>
      </w:r>
      <w:r>
        <w:rPr>
          <w:spacing w:val="-3"/>
          <w:w w:val="105"/>
          <w:sz w:val="21"/>
        </w:rPr>
        <w:t>Commission</w:t>
      </w:r>
      <w:r>
        <w:rPr>
          <w:spacing w:val="-7"/>
          <w:w w:val="105"/>
          <w:sz w:val="21"/>
        </w:rPr>
        <w:t> </w:t>
      </w:r>
      <w:r>
        <w:rPr>
          <w:w w:val="105"/>
          <w:sz w:val="21"/>
        </w:rPr>
        <w:t>considers</w:t>
      </w:r>
      <w:r>
        <w:rPr>
          <w:spacing w:val="-7"/>
          <w:w w:val="105"/>
          <w:sz w:val="21"/>
        </w:rPr>
        <w:t> </w:t>
      </w:r>
      <w:r>
        <w:rPr>
          <w:spacing w:val="-3"/>
          <w:w w:val="105"/>
          <w:sz w:val="21"/>
        </w:rPr>
        <w:t>that</w:t>
      </w:r>
      <w:r>
        <w:rPr>
          <w:spacing w:val="-7"/>
          <w:w w:val="105"/>
          <w:sz w:val="21"/>
        </w:rPr>
        <w:t> </w:t>
      </w:r>
      <w:r>
        <w:rPr>
          <w:w w:val="105"/>
          <w:sz w:val="21"/>
        </w:rPr>
        <w:t>the</w:t>
      </w:r>
      <w:r>
        <w:rPr>
          <w:spacing w:val="-7"/>
          <w:w w:val="105"/>
          <w:sz w:val="21"/>
        </w:rPr>
        <w:t> </w:t>
      </w:r>
      <w:r>
        <w:rPr>
          <w:w w:val="105"/>
          <w:sz w:val="21"/>
        </w:rPr>
        <w:t>pack</w:t>
      </w:r>
      <w:r>
        <w:rPr>
          <w:spacing w:val="-7"/>
          <w:w w:val="105"/>
          <w:sz w:val="21"/>
        </w:rPr>
        <w:t> </w:t>
      </w:r>
      <w:r>
        <w:rPr>
          <w:w w:val="105"/>
          <w:sz w:val="21"/>
        </w:rPr>
        <w:t>should</w:t>
      </w:r>
      <w:r>
        <w:rPr>
          <w:spacing w:val="-7"/>
          <w:w w:val="105"/>
          <w:sz w:val="21"/>
        </w:rPr>
        <w:t> </w:t>
      </w:r>
      <w:r>
        <w:rPr>
          <w:w w:val="105"/>
          <w:sz w:val="21"/>
        </w:rPr>
        <w:t>be</w:t>
      </w:r>
      <w:r>
        <w:rPr>
          <w:spacing w:val="-7"/>
          <w:w w:val="105"/>
          <w:sz w:val="21"/>
        </w:rPr>
        <w:t> </w:t>
      </w:r>
      <w:r>
        <w:rPr>
          <w:w w:val="105"/>
          <w:sz w:val="21"/>
        </w:rPr>
        <w:t>written</w:t>
      </w:r>
      <w:r>
        <w:rPr>
          <w:spacing w:val="-7"/>
          <w:w w:val="105"/>
          <w:sz w:val="21"/>
        </w:rPr>
        <w:t> </w:t>
      </w:r>
      <w:r>
        <w:rPr>
          <w:w w:val="105"/>
          <w:sz w:val="21"/>
        </w:rPr>
        <w:t>and</w:t>
      </w:r>
      <w:r>
        <w:rPr>
          <w:spacing w:val="-7"/>
          <w:w w:val="105"/>
          <w:sz w:val="21"/>
        </w:rPr>
        <w:t> </w:t>
      </w:r>
      <w:r>
        <w:rPr>
          <w:w w:val="105"/>
          <w:sz w:val="21"/>
        </w:rPr>
        <w:t>developed</w:t>
      </w:r>
      <w:r>
        <w:rPr>
          <w:spacing w:val="-7"/>
          <w:w w:val="105"/>
          <w:sz w:val="21"/>
        </w:rPr>
        <w:t> </w:t>
      </w:r>
      <w:r>
        <w:rPr>
          <w:w w:val="105"/>
          <w:sz w:val="21"/>
        </w:rPr>
        <w:t>in</w:t>
      </w:r>
      <w:r>
        <w:rPr>
          <w:spacing w:val="-7"/>
          <w:w w:val="105"/>
          <w:sz w:val="21"/>
        </w:rPr>
        <w:t> </w:t>
      </w:r>
      <w:r>
        <w:rPr>
          <w:spacing w:val="-3"/>
          <w:w w:val="105"/>
          <w:sz w:val="21"/>
        </w:rPr>
        <w:t>consultation </w:t>
      </w:r>
      <w:r>
        <w:rPr>
          <w:w w:val="105"/>
          <w:sz w:val="21"/>
        </w:rPr>
        <w:t>with Victoria Legal Aid, the Law </w:t>
      </w:r>
      <w:r>
        <w:rPr>
          <w:spacing w:val="-3"/>
          <w:w w:val="105"/>
          <w:sz w:val="21"/>
        </w:rPr>
        <w:t>Institute </w:t>
      </w:r>
      <w:r>
        <w:rPr>
          <w:w w:val="105"/>
          <w:sz w:val="21"/>
        </w:rPr>
        <w:t>of Victoria, the Federation of </w:t>
      </w:r>
      <w:r>
        <w:rPr>
          <w:spacing w:val="-3"/>
          <w:w w:val="105"/>
          <w:sz w:val="21"/>
        </w:rPr>
        <w:t>Community </w:t>
      </w:r>
      <w:r>
        <w:rPr>
          <w:w w:val="105"/>
          <w:sz w:val="21"/>
        </w:rPr>
        <w:t>Legal </w:t>
      </w:r>
      <w:r>
        <w:rPr>
          <w:spacing w:val="-3"/>
          <w:w w:val="105"/>
          <w:sz w:val="21"/>
        </w:rPr>
        <w:t>Centres, </w:t>
      </w:r>
      <w:r>
        <w:rPr>
          <w:w w:val="105"/>
          <w:sz w:val="21"/>
        </w:rPr>
        <w:t>and other bodies with expertise in the </w:t>
      </w:r>
      <w:r>
        <w:rPr>
          <w:spacing w:val="-3"/>
          <w:w w:val="105"/>
          <w:sz w:val="21"/>
        </w:rPr>
        <w:t>area </w:t>
      </w:r>
      <w:r>
        <w:rPr>
          <w:w w:val="105"/>
          <w:sz w:val="21"/>
        </w:rPr>
        <w:t>or in contact with members of the </w:t>
      </w:r>
      <w:r>
        <w:rPr>
          <w:spacing w:val="-3"/>
          <w:w w:val="105"/>
          <w:sz w:val="21"/>
        </w:rPr>
        <w:t>public to </w:t>
      </w:r>
      <w:r>
        <w:rPr>
          <w:w w:val="105"/>
          <w:sz w:val="21"/>
        </w:rPr>
        <w:t>whom the </w:t>
      </w:r>
      <w:r>
        <w:rPr>
          <w:spacing w:val="-3"/>
          <w:w w:val="105"/>
          <w:sz w:val="21"/>
        </w:rPr>
        <w:t>information </w:t>
      </w:r>
      <w:r>
        <w:rPr>
          <w:w w:val="105"/>
          <w:sz w:val="21"/>
        </w:rPr>
        <w:t>needs </w:t>
      </w:r>
      <w:r>
        <w:rPr>
          <w:spacing w:val="-3"/>
          <w:w w:val="105"/>
          <w:sz w:val="21"/>
        </w:rPr>
        <w:t>to </w:t>
      </w:r>
      <w:r>
        <w:rPr>
          <w:w w:val="105"/>
          <w:sz w:val="21"/>
        </w:rPr>
        <w:t>be</w:t>
      </w:r>
      <w:r>
        <w:rPr>
          <w:spacing w:val="46"/>
          <w:w w:val="105"/>
          <w:sz w:val="21"/>
        </w:rPr>
        <w:t> </w:t>
      </w:r>
      <w:r>
        <w:rPr>
          <w:w w:val="105"/>
          <w:sz w:val="21"/>
        </w:rPr>
        <w:t>directed.</w:t>
      </w:r>
    </w:p>
    <w:p>
      <w:pPr>
        <w:pStyle w:val="ListParagraph"/>
        <w:numPr>
          <w:ilvl w:val="1"/>
          <w:numId w:val="22"/>
        </w:numPr>
        <w:tabs>
          <w:tab w:pos="2381" w:val="left" w:leader="none"/>
          <w:tab w:pos="2382" w:val="left" w:leader="none"/>
        </w:tabs>
        <w:spacing w:line="242" w:lineRule="auto" w:before="125" w:after="0"/>
        <w:ind w:left="2381" w:right="1912" w:hanging="794"/>
        <w:jc w:val="left"/>
        <w:rPr>
          <w:sz w:val="12"/>
        </w:rPr>
      </w:pPr>
      <w:r>
        <w:rPr>
          <w:w w:val="105"/>
          <w:sz w:val="21"/>
        </w:rPr>
        <w:t>Design</w:t>
      </w:r>
      <w:r>
        <w:rPr>
          <w:spacing w:val="-7"/>
          <w:w w:val="105"/>
          <w:sz w:val="21"/>
        </w:rPr>
        <w:t> </w:t>
      </w:r>
      <w:r>
        <w:rPr>
          <w:w w:val="105"/>
          <w:sz w:val="21"/>
        </w:rPr>
        <w:t>and</w:t>
      </w:r>
      <w:r>
        <w:rPr>
          <w:spacing w:val="-7"/>
          <w:w w:val="105"/>
          <w:sz w:val="21"/>
        </w:rPr>
        <w:t> </w:t>
      </w:r>
      <w:r>
        <w:rPr>
          <w:w w:val="105"/>
          <w:sz w:val="21"/>
        </w:rPr>
        <w:t>production</w:t>
      </w:r>
      <w:r>
        <w:rPr>
          <w:spacing w:val="-7"/>
          <w:w w:val="105"/>
          <w:sz w:val="21"/>
        </w:rPr>
        <w:t> </w:t>
      </w:r>
      <w:r>
        <w:rPr>
          <w:w w:val="105"/>
          <w:sz w:val="21"/>
        </w:rPr>
        <w:t>by</w:t>
      </w:r>
      <w:r>
        <w:rPr>
          <w:spacing w:val="-6"/>
          <w:w w:val="105"/>
          <w:sz w:val="21"/>
        </w:rPr>
        <w:t> </w:t>
      </w:r>
      <w:r>
        <w:rPr>
          <w:w w:val="105"/>
          <w:sz w:val="21"/>
        </w:rPr>
        <w:t>an</w:t>
      </w:r>
      <w:r>
        <w:rPr>
          <w:spacing w:val="-7"/>
          <w:w w:val="105"/>
          <w:sz w:val="21"/>
        </w:rPr>
        <w:t> </w:t>
      </w:r>
      <w:r>
        <w:rPr>
          <w:spacing w:val="-3"/>
          <w:w w:val="105"/>
          <w:sz w:val="21"/>
        </w:rPr>
        <w:t>organisation</w:t>
      </w:r>
      <w:r>
        <w:rPr>
          <w:spacing w:val="-7"/>
          <w:w w:val="105"/>
          <w:sz w:val="21"/>
        </w:rPr>
        <w:t> </w:t>
      </w:r>
      <w:r>
        <w:rPr>
          <w:w w:val="105"/>
          <w:sz w:val="21"/>
        </w:rPr>
        <w:t>with</w:t>
      </w:r>
      <w:r>
        <w:rPr>
          <w:spacing w:val="-6"/>
          <w:w w:val="105"/>
          <w:sz w:val="21"/>
        </w:rPr>
        <w:t> </w:t>
      </w:r>
      <w:r>
        <w:rPr>
          <w:w w:val="105"/>
          <w:sz w:val="21"/>
        </w:rPr>
        <w:t>experience</w:t>
      </w:r>
      <w:r>
        <w:rPr>
          <w:spacing w:val="-7"/>
          <w:w w:val="105"/>
          <w:sz w:val="21"/>
        </w:rPr>
        <w:t> </w:t>
      </w:r>
      <w:r>
        <w:rPr>
          <w:w w:val="105"/>
          <w:sz w:val="21"/>
        </w:rPr>
        <w:t>in</w:t>
      </w:r>
      <w:r>
        <w:rPr>
          <w:spacing w:val="-7"/>
          <w:w w:val="105"/>
          <w:sz w:val="21"/>
        </w:rPr>
        <w:t> </w:t>
      </w:r>
      <w:r>
        <w:rPr>
          <w:spacing w:val="-3"/>
          <w:w w:val="105"/>
          <w:sz w:val="21"/>
        </w:rPr>
        <w:t>presenting</w:t>
      </w:r>
      <w:r>
        <w:rPr>
          <w:spacing w:val="-6"/>
          <w:w w:val="105"/>
          <w:sz w:val="21"/>
        </w:rPr>
        <w:t> </w:t>
      </w:r>
      <w:r>
        <w:rPr>
          <w:w w:val="105"/>
          <w:sz w:val="21"/>
        </w:rPr>
        <w:t>complex</w:t>
      </w:r>
      <w:r>
        <w:rPr>
          <w:spacing w:val="-7"/>
          <w:w w:val="105"/>
          <w:sz w:val="21"/>
        </w:rPr>
        <w:t> </w:t>
      </w:r>
      <w:r>
        <w:rPr>
          <w:w w:val="105"/>
          <w:sz w:val="21"/>
        </w:rPr>
        <w:t>legal </w:t>
      </w:r>
      <w:r>
        <w:rPr>
          <w:spacing w:val="-3"/>
          <w:w w:val="105"/>
          <w:sz w:val="21"/>
        </w:rPr>
        <w:t>information </w:t>
      </w:r>
      <w:r>
        <w:rPr>
          <w:spacing w:val="-4"/>
          <w:w w:val="105"/>
          <w:sz w:val="21"/>
        </w:rPr>
        <w:t>clearly, </w:t>
      </w:r>
      <w:r>
        <w:rPr>
          <w:spacing w:val="-3"/>
          <w:w w:val="105"/>
          <w:sz w:val="21"/>
        </w:rPr>
        <w:t>such </w:t>
      </w:r>
      <w:r>
        <w:rPr>
          <w:w w:val="105"/>
          <w:sz w:val="21"/>
        </w:rPr>
        <w:t>as the Victoria Law </w:t>
      </w:r>
      <w:r>
        <w:rPr>
          <w:spacing w:val="-3"/>
          <w:w w:val="105"/>
          <w:sz w:val="21"/>
        </w:rPr>
        <w:t>Foundation, </w:t>
      </w:r>
      <w:r>
        <w:rPr>
          <w:w w:val="105"/>
          <w:sz w:val="21"/>
        </w:rPr>
        <w:t>would be</w:t>
      </w:r>
      <w:r>
        <w:rPr>
          <w:spacing w:val="33"/>
          <w:w w:val="105"/>
          <w:sz w:val="21"/>
        </w:rPr>
        <w:t> </w:t>
      </w:r>
      <w:r>
        <w:rPr>
          <w:spacing w:val="-3"/>
          <w:w w:val="105"/>
          <w:sz w:val="21"/>
        </w:rPr>
        <w:t>desirable.</w:t>
      </w:r>
      <w:r>
        <w:rPr>
          <w:spacing w:val="-3"/>
          <w:w w:val="105"/>
          <w:position w:val="7"/>
          <w:sz w:val="12"/>
        </w:rPr>
        <w:t>38</w:t>
      </w:r>
    </w:p>
    <w:p>
      <w:pPr>
        <w:pStyle w:val="ListParagraph"/>
        <w:numPr>
          <w:ilvl w:val="1"/>
          <w:numId w:val="22"/>
        </w:numPr>
        <w:tabs>
          <w:tab w:pos="2381" w:val="left" w:leader="none"/>
          <w:tab w:pos="2382" w:val="left" w:leader="none"/>
        </w:tabs>
        <w:spacing w:line="242" w:lineRule="auto" w:before="122" w:after="0"/>
        <w:ind w:left="2381" w:right="1601" w:hanging="794"/>
        <w:jc w:val="left"/>
        <w:rPr>
          <w:sz w:val="21"/>
        </w:rPr>
      </w:pPr>
      <w:r>
        <w:rPr>
          <w:w w:val="105"/>
          <w:sz w:val="21"/>
        </w:rPr>
        <w:t>Given the </w:t>
      </w:r>
      <w:r>
        <w:rPr>
          <w:spacing w:val="-3"/>
          <w:w w:val="105"/>
          <w:sz w:val="21"/>
        </w:rPr>
        <w:t>shortcomings </w:t>
      </w:r>
      <w:r>
        <w:rPr>
          <w:w w:val="105"/>
          <w:sz w:val="21"/>
        </w:rPr>
        <w:t>of </w:t>
      </w:r>
      <w:r>
        <w:rPr>
          <w:spacing w:val="-3"/>
          <w:w w:val="105"/>
          <w:sz w:val="21"/>
        </w:rPr>
        <w:t>current information, </w:t>
      </w:r>
      <w:r>
        <w:rPr>
          <w:w w:val="105"/>
          <w:sz w:val="21"/>
        </w:rPr>
        <w:t>and the </w:t>
      </w:r>
      <w:r>
        <w:rPr>
          <w:spacing w:val="-3"/>
          <w:w w:val="105"/>
          <w:sz w:val="21"/>
        </w:rPr>
        <w:t>clear </w:t>
      </w:r>
      <w:r>
        <w:rPr>
          <w:w w:val="105"/>
          <w:sz w:val="21"/>
        </w:rPr>
        <w:t>need </w:t>
      </w:r>
      <w:r>
        <w:rPr>
          <w:spacing w:val="-3"/>
          <w:w w:val="105"/>
          <w:sz w:val="21"/>
        </w:rPr>
        <w:t>to </w:t>
      </w:r>
      <w:r>
        <w:rPr>
          <w:w w:val="105"/>
          <w:sz w:val="21"/>
        </w:rPr>
        <w:t>assist people applying </w:t>
      </w:r>
      <w:r>
        <w:rPr>
          <w:spacing w:val="-3"/>
          <w:w w:val="105"/>
          <w:sz w:val="21"/>
        </w:rPr>
        <w:t>for </w:t>
      </w:r>
      <w:r>
        <w:rPr>
          <w:w w:val="105"/>
          <w:sz w:val="21"/>
        </w:rPr>
        <w:t>grants in person, the </w:t>
      </w:r>
      <w:r>
        <w:rPr>
          <w:spacing w:val="-3"/>
          <w:w w:val="105"/>
          <w:sz w:val="21"/>
        </w:rPr>
        <w:t>creation </w:t>
      </w:r>
      <w:r>
        <w:rPr>
          <w:w w:val="105"/>
          <w:sz w:val="21"/>
        </w:rPr>
        <w:t>of a </w:t>
      </w:r>
      <w:r>
        <w:rPr>
          <w:spacing w:val="-3"/>
          <w:w w:val="105"/>
          <w:sz w:val="21"/>
        </w:rPr>
        <w:t>probate </w:t>
      </w:r>
      <w:r>
        <w:rPr>
          <w:w w:val="105"/>
          <w:sz w:val="21"/>
        </w:rPr>
        <w:t>pack would be a </w:t>
      </w:r>
      <w:r>
        <w:rPr>
          <w:spacing w:val="-3"/>
          <w:w w:val="105"/>
          <w:sz w:val="21"/>
        </w:rPr>
        <w:t>valuable </w:t>
      </w:r>
      <w:r>
        <w:rPr>
          <w:w w:val="105"/>
          <w:sz w:val="21"/>
        </w:rPr>
        <w:t>addition </w:t>
      </w:r>
      <w:r>
        <w:rPr>
          <w:spacing w:val="-3"/>
          <w:w w:val="105"/>
          <w:sz w:val="21"/>
        </w:rPr>
        <w:t>to </w:t>
      </w:r>
      <w:r>
        <w:rPr>
          <w:w w:val="105"/>
          <w:sz w:val="21"/>
        </w:rPr>
        <w:t>the </w:t>
      </w:r>
      <w:r>
        <w:rPr>
          <w:spacing w:val="-3"/>
          <w:w w:val="105"/>
          <w:sz w:val="21"/>
        </w:rPr>
        <w:t>resources currently available for small</w:t>
      </w:r>
      <w:r>
        <w:rPr>
          <w:spacing w:val="40"/>
          <w:w w:val="105"/>
          <w:sz w:val="21"/>
        </w:rPr>
        <w:t> </w:t>
      </w:r>
      <w:r>
        <w:rPr>
          <w:w w:val="105"/>
          <w:sz w:val="21"/>
        </w:rPr>
        <w:t>estates.</w:t>
      </w:r>
    </w:p>
    <w:p>
      <w:pPr>
        <w:pStyle w:val="BodyText"/>
        <w:spacing w:before="1"/>
        <w:rPr>
          <w:sz w:val="15"/>
        </w:rPr>
      </w:pPr>
      <w:r>
        <w:rPr/>
        <w:pict>
          <v:group style="position:absolute;margin-left:62.362202pt;margin-top:11.176086pt;width:479.1pt;height:122.55pt;mso-position-horizontal-relative:page;mso-position-vertical-relative:paragraph;z-index:11528;mso-wrap-distance-left:0;mso-wrap-distance-right:0" coordorigin="1247,224" coordsize="9582,2451">
            <v:rect style="position:absolute;left:1587;top:223;width:8731;height:2451" filled="true" fillcolor="#fdebea" stroked="false">
              <v:fill type="solid"/>
            </v:rect>
            <v:line style="position:absolute" from="1247,974" to="10828,974" stroked="true" strokeweight="2.5pt" strokecolor="#ffffff">
              <v:stroke dashstyle="solid"/>
            </v:line>
            <v:shape style="position:absolute;left:2381;top:1211;width:7715;height:1289" type="#_x0000_t202" filled="false" stroked="false">
              <v:textbox inset="0,0,0,0">
                <w:txbxContent>
                  <w:p>
                    <w:pPr>
                      <w:spacing w:line="242" w:lineRule="auto" w:before="0"/>
                      <w:ind w:left="0" w:right="0" w:firstLine="0"/>
                      <w:jc w:val="left"/>
                      <w:rPr>
                        <w:sz w:val="21"/>
                      </w:rPr>
                    </w:pPr>
                    <w:r>
                      <w:rPr>
                        <w:w w:val="115"/>
                        <w:sz w:val="21"/>
                      </w:rPr>
                      <w:t>The Supreme Court of Victoria, in consultation with Victoria Legal Aid, the Law Institute of Victoria and the Federation of Community Legal Centres, should develop and make available on its website in community languages a package of information for those wishing to seek a grant of representation without professional assistance.</w:t>
                    </w:r>
                  </w:p>
                </w:txbxContent>
              </v:textbox>
              <w10:wrap type="none"/>
            </v:shape>
            <v:shape style="position:absolute;left:1814;top:1211;width:251;height:249" type="#_x0000_t202" filled="false" stroked="false">
              <v:textbox inset="0,0,0,0">
                <w:txbxContent>
                  <w:p>
                    <w:pPr>
                      <w:spacing w:line="249" w:lineRule="exact" w:before="0"/>
                      <w:ind w:left="0" w:right="0" w:firstLine="0"/>
                      <w:jc w:val="left"/>
                      <w:rPr>
                        <w:sz w:val="21"/>
                      </w:rPr>
                    </w:pPr>
                    <w:r>
                      <w:rPr>
                        <w:w w:val="110"/>
                        <w:sz w:val="21"/>
                      </w:rPr>
                      <w:t>69</w:t>
                    </w:r>
                  </w:p>
                </w:txbxContent>
              </v:textbox>
              <w10:wrap type="none"/>
            </v:shape>
            <v:shape style="position:absolute;left:1587;top:223;width:8731;height:726" type="#_x0000_t202" filled="true" fillcolor="#fdebea" stroked="false">
              <v:textbox inset="0,0,0,0">
                <w:txbxContent>
                  <w:p>
                    <w:pPr>
                      <w:spacing w:before="166"/>
                      <w:ind w:left="226" w:right="0" w:firstLine="0"/>
                      <w:jc w:val="left"/>
                      <w:rPr>
                        <w:b/>
                        <w:sz w:val="32"/>
                      </w:rPr>
                    </w:pPr>
                    <w:r>
                      <w:rPr>
                        <w:b/>
                        <w:color w:val="EC5A4F"/>
                        <w:w w:val="110"/>
                        <w:sz w:val="32"/>
                      </w:rPr>
                      <w:t>Recommendation</w:t>
                    </w:r>
                  </w:p>
                </w:txbxContent>
              </v:textbox>
              <v:fill type="solid"/>
              <w10:wrap type="none"/>
            </v:shape>
            <w10:wrap type="topAndBottom"/>
          </v:group>
        </w:pict>
      </w:r>
    </w:p>
    <w:p>
      <w:pPr>
        <w:pStyle w:val="BodyText"/>
        <w:spacing w:before="6"/>
        <w:rPr>
          <w:sz w:val="13"/>
        </w:rPr>
      </w:pPr>
    </w:p>
    <w:p>
      <w:pPr>
        <w:pStyle w:val="Heading4"/>
        <w:spacing w:before="98"/>
      </w:pPr>
      <w:r>
        <w:rPr>
          <w:color w:val="EC5A4F"/>
          <w:w w:val="110"/>
        </w:rPr>
        <w:t>Informal administration</w:t>
      </w:r>
    </w:p>
    <w:p>
      <w:pPr>
        <w:pStyle w:val="ListParagraph"/>
        <w:numPr>
          <w:ilvl w:val="1"/>
          <w:numId w:val="22"/>
        </w:numPr>
        <w:tabs>
          <w:tab w:pos="2380" w:val="left" w:leader="none"/>
          <w:tab w:pos="2381" w:val="left" w:leader="none"/>
        </w:tabs>
        <w:spacing w:line="242" w:lineRule="auto" w:before="155" w:after="0"/>
        <w:ind w:left="2381" w:right="1948" w:hanging="794"/>
        <w:jc w:val="left"/>
        <w:rPr>
          <w:sz w:val="21"/>
        </w:rPr>
      </w:pPr>
      <w:r>
        <w:rPr>
          <w:sz w:val="21"/>
        </w:rPr>
        <w:t>There is no statutory </w:t>
      </w:r>
      <w:r>
        <w:rPr>
          <w:spacing w:val="-3"/>
          <w:sz w:val="21"/>
        </w:rPr>
        <w:t>requirement  to  </w:t>
      </w:r>
      <w:r>
        <w:rPr>
          <w:sz w:val="21"/>
        </w:rPr>
        <w:t>obtain a </w:t>
      </w:r>
      <w:r>
        <w:rPr>
          <w:spacing w:val="-3"/>
          <w:sz w:val="21"/>
        </w:rPr>
        <w:t>grant</w:t>
      </w:r>
      <w:r>
        <w:rPr>
          <w:spacing w:val="41"/>
          <w:sz w:val="21"/>
        </w:rPr>
        <w:t> </w:t>
      </w:r>
      <w:r>
        <w:rPr>
          <w:sz w:val="21"/>
        </w:rPr>
        <w:t>of </w:t>
      </w:r>
      <w:r>
        <w:rPr>
          <w:spacing w:val="-2"/>
          <w:sz w:val="21"/>
        </w:rPr>
        <w:t>representation  </w:t>
      </w:r>
      <w:r>
        <w:rPr>
          <w:sz w:val="21"/>
        </w:rPr>
        <w:t>after a death.</w:t>
      </w:r>
      <w:r>
        <w:rPr>
          <w:position w:val="7"/>
          <w:sz w:val="12"/>
        </w:rPr>
        <w:t>39   </w:t>
      </w:r>
      <w:r>
        <w:rPr>
          <w:sz w:val="12"/>
        </w:rPr>
        <w:t> </w:t>
      </w:r>
      <w:r>
        <w:rPr>
          <w:sz w:val="21"/>
        </w:rPr>
        <w:t>In fact, where both a </w:t>
      </w:r>
      <w:r>
        <w:rPr>
          <w:spacing w:val="-3"/>
          <w:sz w:val="21"/>
        </w:rPr>
        <w:t>person’s </w:t>
      </w:r>
      <w:r>
        <w:rPr>
          <w:sz w:val="21"/>
        </w:rPr>
        <w:t>death and the </w:t>
      </w:r>
      <w:r>
        <w:rPr>
          <w:spacing w:val="-3"/>
          <w:sz w:val="21"/>
        </w:rPr>
        <w:t>resulting entitlement </w:t>
      </w:r>
      <w:r>
        <w:rPr>
          <w:sz w:val="21"/>
        </w:rPr>
        <w:t>of </w:t>
      </w:r>
      <w:r>
        <w:rPr>
          <w:spacing w:val="-3"/>
          <w:sz w:val="21"/>
        </w:rPr>
        <w:t>any  claimant  </w:t>
      </w:r>
      <w:r>
        <w:rPr>
          <w:sz w:val="21"/>
        </w:rPr>
        <w:t>can  be </w:t>
      </w:r>
      <w:r>
        <w:rPr>
          <w:spacing w:val="-3"/>
          <w:sz w:val="21"/>
        </w:rPr>
        <w:t>proved </w:t>
      </w:r>
      <w:r>
        <w:rPr>
          <w:sz w:val="21"/>
        </w:rPr>
        <w:t>by other </w:t>
      </w:r>
      <w:r>
        <w:rPr>
          <w:spacing w:val="-3"/>
          <w:sz w:val="21"/>
        </w:rPr>
        <w:t>means, </w:t>
      </w:r>
      <w:r>
        <w:rPr>
          <w:sz w:val="21"/>
        </w:rPr>
        <w:t>and depending on the type and </w:t>
      </w:r>
      <w:r>
        <w:rPr>
          <w:spacing w:val="-3"/>
          <w:sz w:val="21"/>
        </w:rPr>
        <w:t>value </w:t>
      </w:r>
      <w:r>
        <w:rPr>
          <w:sz w:val="21"/>
        </w:rPr>
        <w:t>of the estate assets, there</w:t>
      </w:r>
      <w:r>
        <w:rPr>
          <w:spacing w:val="9"/>
          <w:sz w:val="21"/>
        </w:rPr>
        <w:t> </w:t>
      </w:r>
      <w:r>
        <w:rPr>
          <w:spacing w:val="-3"/>
          <w:sz w:val="21"/>
        </w:rPr>
        <w:t>may</w:t>
      </w:r>
      <w:r>
        <w:rPr>
          <w:spacing w:val="9"/>
          <w:sz w:val="21"/>
        </w:rPr>
        <w:t> </w:t>
      </w:r>
      <w:r>
        <w:rPr>
          <w:sz w:val="21"/>
        </w:rPr>
        <w:t>be</w:t>
      </w:r>
      <w:r>
        <w:rPr>
          <w:spacing w:val="9"/>
          <w:sz w:val="21"/>
        </w:rPr>
        <w:t> </w:t>
      </w:r>
      <w:r>
        <w:rPr>
          <w:sz w:val="21"/>
        </w:rPr>
        <w:t>no</w:t>
      </w:r>
      <w:r>
        <w:rPr>
          <w:spacing w:val="9"/>
          <w:sz w:val="21"/>
        </w:rPr>
        <w:t> </w:t>
      </w:r>
      <w:r>
        <w:rPr>
          <w:spacing w:val="-3"/>
          <w:sz w:val="21"/>
        </w:rPr>
        <w:t>real</w:t>
      </w:r>
      <w:r>
        <w:rPr>
          <w:spacing w:val="9"/>
          <w:sz w:val="21"/>
        </w:rPr>
        <w:t> </w:t>
      </w:r>
      <w:r>
        <w:rPr>
          <w:sz w:val="21"/>
        </w:rPr>
        <w:t>need</w:t>
      </w:r>
      <w:r>
        <w:rPr>
          <w:spacing w:val="10"/>
          <w:sz w:val="21"/>
        </w:rPr>
        <w:t> </w:t>
      </w:r>
      <w:r>
        <w:rPr>
          <w:spacing w:val="-3"/>
          <w:sz w:val="21"/>
        </w:rPr>
        <w:t>to</w:t>
      </w:r>
      <w:r>
        <w:rPr>
          <w:spacing w:val="9"/>
          <w:sz w:val="21"/>
        </w:rPr>
        <w:t> </w:t>
      </w:r>
      <w:r>
        <w:rPr>
          <w:sz w:val="21"/>
        </w:rPr>
        <w:t>obtain</w:t>
      </w:r>
      <w:r>
        <w:rPr>
          <w:spacing w:val="9"/>
          <w:sz w:val="21"/>
        </w:rPr>
        <w:t> </w:t>
      </w:r>
      <w:r>
        <w:rPr>
          <w:sz w:val="21"/>
        </w:rPr>
        <w:t>a</w:t>
      </w:r>
      <w:r>
        <w:rPr>
          <w:spacing w:val="9"/>
          <w:sz w:val="21"/>
        </w:rPr>
        <w:t> </w:t>
      </w:r>
      <w:r>
        <w:rPr>
          <w:spacing w:val="-3"/>
          <w:sz w:val="21"/>
        </w:rPr>
        <w:t>grant.</w:t>
      </w:r>
    </w:p>
    <w:p>
      <w:pPr>
        <w:pStyle w:val="ListParagraph"/>
        <w:numPr>
          <w:ilvl w:val="1"/>
          <w:numId w:val="22"/>
        </w:numPr>
        <w:tabs>
          <w:tab w:pos="2380" w:val="left" w:leader="none"/>
          <w:tab w:pos="2381" w:val="left" w:leader="none"/>
        </w:tabs>
        <w:spacing w:line="242" w:lineRule="auto" w:before="125" w:after="0"/>
        <w:ind w:left="2380" w:right="1951" w:hanging="793"/>
        <w:jc w:val="left"/>
        <w:rPr>
          <w:sz w:val="12"/>
        </w:rPr>
      </w:pPr>
      <w:r>
        <w:rPr>
          <w:sz w:val="21"/>
        </w:rPr>
        <w:t>The </w:t>
      </w:r>
      <w:r>
        <w:rPr>
          <w:spacing w:val="-3"/>
          <w:sz w:val="21"/>
        </w:rPr>
        <w:t>Commission </w:t>
      </w:r>
      <w:r>
        <w:rPr>
          <w:sz w:val="21"/>
        </w:rPr>
        <w:t>understands </w:t>
      </w:r>
      <w:r>
        <w:rPr>
          <w:spacing w:val="-3"/>
          <w:sz w:val="21"/>
        </w:rPr>
        <w:t>that </w:t>
      </w:r>
      <w:r>
        <w:rPr>
          <w:sz w:val="21"/>
        </w:rPr>
        <w:t>a large proportion of deceased estates </w:t>
      </w:r>
      <w:r>
        <w:rPr>
          <w:spacing w:val="-3"/>
          <w:sz w:val="21"/>
        </w:rPr>
        <w:t>are administered </w:t>
      </w:r>
      <w:r>
        <w:rPr>
          <w:spacing w:val="-4"/>
          <w:sz w:val="21"/>
        </w:rPr>
        <w:t>informally. </w:t>
      </w:r>
      <w:r>
        <w:rPr>
          <w:sz w:val="21"/>
        </w:rPr>
        <w:t>Although it is difficult </w:t>
      </w:r>
      <w:r>
        <w:rPr>
          <w:spacing w:val="-3"/>
          <w:sz w:val="21"/>
        </w:rPr>
        <w:t>to </w:t>
      </w:r>
      <w:r>
        <w:rPr>
          <w:sz w:val="21"/>
        </w:rPr>
        <w:t>obtain precise figures in this </w:t>
      </w:r>
      <w:r>
        <w:rPr>
          <w:spacing w:val="-3"/>
          <w:sz w:val="21"/>
        </w:rPr>
        <w:t>area, </w:t>
      </w:r>
      <w:r>
        <w:rPr>
          <w:sz w:val="21"/>
        </w:rPr>
        <w:t>a </w:t>
      </w:r>
      <w:r>
        <w:rPr>
          <w:spacing w:val="-3"/>
          <w:sz w:val="21"/>
        </w:rPr>
        <w:t>comparison </w:t>
      </w:r>
      <w:r>
        <w:rPr>
          <w:sz w:val="21"/>
        </w:rPr>
        <w:t>of the number of </w:t>
      </w:r>
      <w:r>
        <w:rPr>
          <w:spacing w:val="-3"/>
          <w:sz w:val="21"/>
        </w:rPr>
        <w:t>deaths </w:t>
      </w:r>
      <w:r>
        <w:rPr>
          <w:sz w:val="21"/>
        </w:rPr>
        <w:t>with the number of grants obtained </w:t>
      </w:r>
      <w:r>
        <w:rPr>
          <w:spacing w:val="-3"/>
          <w:sz w:val="21"/>
        </w:rPr>
        <w:t>through </w:t>
      </w:r>
      <w:r>
        <w:rPr>
          <w:sz w:val="21"/>
        </w:rPr>
        <w:t>the </w:t>
      </w:r>
      <w:r>
        <w:rPr>
          <w:spacing w:val="-3"/>
          <w:sz w:val="21"/>
        </w:rPr>
        <w:t>Probate </w:t>
      </w:r>
      <w:r>
        <w:rPr>
          <w:sz w:val="21"/>
        </w:rPr>
        <w:t>Office </w:t>
      </w:r>
      <w:r>
        <w:rPr>
          <w:spacing w:val="-3"/>
          <w:sz w:val="21"/>
        </w:rPr>
        <w:t>leaves </w:t>
      </w:r>
      <w:r>
        <w:rPr>
          <w:sz w:val="21"/>
        </w:rPr>
        <w:t>a </w:t>
      </w:r>
      <w:r>
        <w:rPr>
          <w:spacing w:val="-3"/>
          <w:sz w:val="21"/>
        </w:rPr>
        <w:t>significant  </w:t>
      </w:r>
      <w:r>
        <w:rPr>
          <w:sz w:val="21"/>
        </w:rPr>
        <w:t>number of estates where no </w:t>
      </w:r>
      <w:r>
        <w:rPr>
          <w:spacing w:val="-3"/>
          <w:sz w:val="21"/>
        </w:rPr>
        <w:t>formal</w:t>
      </w:r>
      <w:r>
        <w:rPr>
          <w:spacing w:val="41"/>
          <w:sz w:val="21"/>
        </w:rPr>
        <w:t> </w:t>
      </w:r>
      <w:r>
        <w:rPr>
          <w:spacing w:val="-2"/>
          <w:sz w:val="21"/>
        </w:rPr>
        <w:t>representation  has </w:t>
      </w:r>
      <w:r>
        <w:rPr>
          <w:sz w:val="21"/>
        </w:rPr>
        <w:t>been</w:t>
      </w:r>
      <w:r>
        <w:rPr>
          <w:spacing w:val="19"/>
          <w:sz w:val="21"/>
        </w:rPr>
        <w:t> </w:t>
      </w:r>
      <w:r>
        <w:rPr>
          <w:sz w:val="21"/>
        </w:rPr>
        <w:t>obtained.</w:t>
      </w:r>
      <w:r>
        <w:rPr>
          <w:position w:val="7"/>
          <w:sz w:val="12"/>
        </w:rPr>
        <w:t>40</w:t>
      </w:r>
    </w:p>
    <w:p>
      <w:pPr>
        <w:pStyle w:val="BodyText"/>
        <w:spacing w:before="3"/>
        <w:rPr>
          <w:sz w:val="13"/>
        </w:rPr>
      </w:pPr>
      <w:r>
        <w:rPr/>
        <w:pict>
          <v:line style="position:absolute;mso-position-horizontal-relative:page;mso-position-vertical-relative:paragraph;z-index:11552;mso-wrap-distance-left:0;mso-wrap-distance-right:0" from="79.370003pt,10.555777pt" to="515.905003pt,10.555777pt" stroked="true" strokeweight="1pt" strokecolor="#f9ceca">
            <v:stroke dashstyle="solid"/>
            <w10:wrap type="topAndBottom"/>
          </v:line>
        </w:pict>
      </w:r>
    </w:p>
    <w:p>
      <w:pPr>
        <w:pStyle w:val="BodyText"/>
        <w:spacing w:before="8"/>
        <w:rPr>
          <w:sz w:val="5"/>
        </w:rPr>
      </w:pPr>
    </w:p>
    <w:p>
      <w:pPr>
        <w:spacing w:after="0"/>
        <w:rPr>
          <w:sz w:val="5"/>
        </w:rPr>
        <w:sectPr>
          <w:pgSz w:w="11910" w:h="16840"/>
          <w:pgMar w:header="805" w:footer="0" w:top="1360" w:bottom="280" w:left="0" w:right="0"/>
        </w:sectPr>
      </w:pPr>
    </w:p>
    <w:p>
      <w:pPr>
        <w:pStyle w:val="ListParagraph"/>
        <w:numPr>
          <w:ilvl w:val="0"/>
          <w:numId w:val="140"/>
        </w:numPr>
        <w:tabs>
          <w:tab w:pos="2380" w:val="left" w:leader="none"/>
          <w:tab w:pos="2382" w:val="left" w:leader="none"/>
        </w:tabs>
        <w:spacing w:line="240" w:lineRule="auto" w:before="48" w:after="0"/>
        <w:ind w:left="2381" w:right="0" w:hanging="794"/>
        <w:jc w:val="left"/>
        <w:rPr>
          <w:sz w:val="13"/>
        </w:rPr>
      </w:pPr>
      <w:r>
        <w:rPr>
          <w:w w:val="105"/>
          <w:sz w:val="13"/>
        </w:rPr>
        <w:t>See discussion above at</w:t>
      </w:r>
      <w:r>
        <w:rPr>
          <w:spacing w:val="18"/>
          <w:w w:val="105"/>
          <w:sz w:val="13"/>
        </w:rPr>
        <w:t> </w:t>
      </w:r>
      <w:r>
        <w:rPr>
          <w:w w:val="105"/>
          <w:sz w:val="13"/>
        </w:rPr>
        <w:t>[9.21].</w:t>
      </w:r>
    </w:p>
    <w:p>
      <w:pPr>
        <w:pStyle w:val="ListParagraph"/>
        <w:numPr>
          <w:ilvl w:val="0"/>
          <w:numId w:val="140"/>
        </w:numPr>
        <w:tabs>
          <w:tab w:pos="2380" w:val="left" w:leader="none"/>
          <w:tab w:pos="2382" w:val="left" w:leader="none"/>
        </w:tabs>
        <w:spacing w:line="240" w:lineRule="auto" w:before="1" w:after="0"/>
        <w:ind w:left="2381" w:right="0" w:hanging="794"/>
        <w:jc w:val="left"/>
        <w:rPr>
          <w:sz w:val="13"/>
        </w:rPr>
      </w:pPr>
      <w:r>
        <w:rPr>
          <w:w w:val="105"/>
          <w:sz w:val="13"/>
        </w:rPr>
        <w:t>See</w:t>
      </w:r>
      <w:r>
        <w:rPr>
          <w:spacing w:val="4"/>
          <w:w w:val="105"/>
          <w:sz w:val="13"/>
        </w:rPr>
        <w:t> </w:t>
      </w:r>
      <w:r>
        <w:rPr>
          <w:w w:val="105"/>
          <w:sz w:val="13"/>
        </w:rPr>
        <w:t>also</w:t>
      </w:r>
      <w:r>
        <w:rPr>
          <w:spacing w:val="5"/>
          <w:w w:val="105"/>
          <w:sz w:val="13"/>
        </w:rPr>
        <w:t> </w:t>
      </w:r>
      <w:r>
        <w:rPr>
          <w:w w:val="105"/>
          <w:sz w:val="13"/>
        </w:rPr>
        <w:t>the</w:t>
      </w:r>
      <w:r>
        <w:rPr>
          <w:spacing w:val="5"/>
          <w:w w:val="105"/>
          <w:sz w:val="13"/>
        </w:rPr>
        <w:t> </w:t>
      </w:r>
      <w:r>
        <w:rPr>
          <w:w w:val="105"/>
          <w:sz w:val="13"/>
        </w:rPr>
        <w:t>discussion</w:t>
      </w:r>
      <w:r>
        <w:rPr>
          <w:spacing w:val="5"/>
          <w:w w:val="105"/>
          <w:sz w:val="13"/>
        </w:rPr>
        <w:t> </w:t>
      </w:r>
      <w:r>
        <w:rPr>
          <w:w w:val="105"/>
          <w:sz w:val="13"/>
        </w:rPr>
        <w:t>of</w:t>
      </w:r>
      <w:r>
        <w:rPr>
          <w:spacing w:val="5"/>
          <w:w w:val="105"/>
          <w:sz w:val="13"/>
        </w:rPr>
        <w:t> </w:t>
      </w:r>
      <w:r>
        <w:rPr>
          <w:w w:val="105"/>
          <w:sz w:val="13"/>
        </w:rPr>
        <w:t>the</w:t>
      </w:r>
      <w:r>
        <w:rPr>
          <w:spacing w:val="5"/>
          <w:w w:val="105"/>
          <w:sz w:val="13"/>
        </w:rPr>
        <w:t> </w:t>
      </w:r>
      <w:r>
        <w:rPr>
          <w:w w:val="105"/>
          <w:sz w:val="13"/>
        </w:rPr>
        <w:t>Victoria</w:t>
      </w:r>
      <w:r>
        <w:rPr>
          <w:spacing w:val="5"/>
          <w:w w:val="105"/>
          <w:sz w:val="13"/>
        </w:rPr>
        <w:t> </w:t>
      </w:r>
      <w:r>
        <w:rPr>
          <w:w w:val="105"/>
          <w:sz w:val="13"/>
        </w:rPr>
        <w:t>Law</w:t>
      </w:r>
      <w:r>
        <w:rPr>
          <w:spacing w:val="5"/>
          <w:w w:val="105"/>
          <w:sz w:val="13"/>
        </w:rPr>
        <w:t> </w:t>
      </w:r>
      <w:r>
        <w:rPr>
          <w:w w:val="105"/>
          <w:sz w:val="13"/>
        </w:rPr>
        <w:t>Foundation’s</w:t>
      </w:r>
      <w:r>
        <w:rPr>
          <w:spacing w:val="5"/>
          <w:w w:val="105"/>
          <w:sz w:val="13"/>
        </w:rPr>
        <w:t> </w:t>
      </w:r>
      <w:r>
        <w:rPr>
          <w:w w:val="105"/>
          <w:sz w:val="13"/>
        </w:rPr>
        <w:t>role</w:t>
      </w:r>
      <w:r>
        <w:rPr>
          <w:spacing w:val="5"/>
          <w:w w:val="105"/>
          <w:sz w:val="13"/>
        </w:rPr>
        <w:t> </w:t>
      </w:r>
      <w:r>
        <w:rPr>
          <w:w w:val="105"/>
          <w:sz w:val="13"/>
        </w:rPr>
        <w:t>in</w:t>
      </w:r>
      <w:r>
        <w:rPr>
          <w:spacing w:val="5"/>
          <w:w w:val="105"/>
          <w:sz w:val="13"/>
        </w:rPr>
        <w:t> </w:t>
      </w:r>
      <w:r>
        <w:rPr>
          <w:w w:val="105"/>
          <w:sz w:val="13"/>
        </w:rPr>
        <w:t>providing</w:t>
      </w:r>
      <w:r>
        <w:rPr>
          <w:spacing w:val="5"/>
          <w:w w:val="105"/>
          <w:sz w:val="13"/>
        </w:rPr>
        <w:t> </w:t>
      </w:r>
      <w:r>
        <w:rPr>
          <w:w w:val="105"/>
          <w:sz w:val="13"/>
        </w:rPr>
        <w:t>community</w:t>
      </w:r>
      <w:r>
        <w:rPr>
          <w:spacing w:val="5"/>
          <w:w w:val="105"/>
          <w:sz w:val="13"/>
        </w:rPr>
        <w:t> </w:t>
      </w:r>
      <w:r>
        <w:rPr>
          <w:w w:val="105"/>
          <w:sz w:val="13"/>
        </w:rPr>
        <w:t>information</w:t>
      </w:r>
      <w:r>
        <w:rPr>
          <w:spacing w:val="5"/>
          <w:w w:val="105"/>
          <w:sz w:val="13"/>
        </w:rPr>
        <w:t> </w:t>
      </w:r>
      <w:r>
        <w:rPr>
          <w:w w:val="105"/>
          <w:sz w:val="13"/>
        </w:rPr>
        <w:t>at</w:t>
      </w:r>
      <w:r>
        <w:rPr>
          <w:spacing w:val="5"/>
          <w:w w:val="105"/>
          <w:sz w:val="13"/>
        </w:rPr>
        <w:t> </w:t>
      </w:r>
      <w:r>
        <w:rPr>
          <w:w w:val="105"/>
          <w:sz w:val="13"/>
        </w:rPr>
        <w:t>[7.200].</w:t>
      </w:r>
    </w:p>
    <w:p>
      <w:pPr>
        <w:pStyle w:val="ListParagraph"/>
        <w:numPr>
          <w:ilvl w:val="0"/>
          <w:numId w:val="140"/>
        </w:numPr>
        <w:tabs>
          <w:tab w:pos="2381" w:val="left" w:leader="none"/>
          <w:tab w:pos="2382" w:val="left" w:leader="none"/>
        </w:tabs>
        <w:spacing w:line="240" w:lineRule="auto" w:before="2" w:after="0"/>
        <w:ind w:left="2381" w:right="253" w:hanging="794"/>
        <w:jc w:val="left"/>
        <w:rPr>
          <w:sz w:val="13"/>
        </w:rPr>
      </w:pPr>
      <w:r>
        <w:rPr>
          <w:w w:val="105"/>
          <w:sz w:val="13"/>
        </w:rPr>
        <w:t>However, the Supreme Court has the power to summon named executors who fail to seek a grant within six weeks of the death of the deceased</w:t>
      </w:r>
      <w:r>
        <w:rPr>
          <w:spacing w:val="4"/>
          <w:w w:val="105"/>
          <w:sz w:val="13"/>
        </w:rPr>
        <w:t> </w:t>
      </w:r>
      <w:r>
        <w:rPr>
          <w:w w:val="105"/>
          <w:sz w:val="13"/>
        </w:rPr>
        <w:t>person</w:t>
      </w:r>
      <w:r>
        <w:rPr>
          <w:spacing w:val="5"/>
          <w:w w:val="105"/>
          <w:sz w:val="13"/>
        </w:rPr>
        <w:t> </w:t>
      </w:r>
      <w:r>
        <w:rPr>
          <w:w w:val="105"/>
          <w:sz w:val="13"/>
        </w:rPr>
        <w:t>to</w:t>
      </w:r>
      <w:r>
        <w:rPr>
          <w:spacing w:val="4"/>
          <w:w w:val="105"/>
          <w:sz w:val="13"/>
        </w:rPr>
        <w:t> </w:t>
      </w:r>
      <w:r>
        <w:rPr>
          <w:w w:val="105"/>
          <w:sz w:val="13"/>
        </w:rPr>
        <w:t>show</w:t>
      </w:r>
      <w:r>
        <w:rPr>
          <w:spacing w:val="5"/>
          <w:w w:val="105"/>
          <w:sz w:val="13"/>
        </w:rPr>
        <w:t> </w:t>
      </w:r>
      <w:r>
        <w:rPr>
          <w:w w:val="105"/>
          <w:sz w:val="13"/>
        </w:rPr>
        <w:t>reason:</w:t>
      </w:r>
      <w:r>
        <w:rPr>
          <w:spacing w:val="4"/>
          <w:w w:val="105"/>
          <w:sz w:val="13"/>
        </w:rPr>
        <w:t> </w:t>
      </w:r>
      <w:r>
        <w:rPr>
          <w:i/>
          <w:w w:val="105"/>
          <w:sz w:val="13"/>
        </w:rPr>
        <w:t>Administration</w:t>
      </w:r>
      <w:r>
        <w:rPr>
          <w:i/>
          <w:spacing w:val="4"/>
          <w:w w:val="105"/>
          <w:sz w:val="13"/>
        </w:rPr>
        <w:t> </w:t>
      </w:r>
      <w:r>
        <w:rPr>
          <w:i/>
          <w:w w:val="105"/>
          <w:sz w:val="13"/>
        </w:rPr>
        <w:t>and</w:t>
      </w:r>
      <w:r>
        <w:rPr>
          <w:i/>
          <w:spacing w:val="3"/>
          <w:w w:val="105"/>
          <w:sz w:val="13"/>
        </w:rPr>
        <w:t> </w:t>
      </w:r>
      <w:r>
        <w:rPr>
          <w:i/>
          <w:w w:val="105"/>
          <w:sz w:val="13"/>
        </w:rPr>
        <w:t>Probate</w:t>
      </w:r>
      <w:r>
        <w:rPr>
          <w:i/>
          <w:spacing w:val="4"/>
          <w:w w:val="105"/>
          <w:sz w:val="13"/>
        </w:rPr>
        <w:t> </w:t>
      </w:r>
      <w:r>
        <w:rPr>
          <w:i/>
          <w:w w:val="105"/>
          <w:sz w:val="13"/>
        </w:rPr>
        <w:t>Act</w:t>
      </w:r>
      <w:r>
        <w:rPr>
          <w:i/>
          <w:spacing w:val="3"/>
          <w:w w:val="105"/>
          <w:sz w:val="13"/>
        </w:rPr>
        <w:t> </w:t>
      </w:r>
      <w:r>
        <w:rPr>
          <w:i/>
          <w:w w:val="105"/>
          <w:sz w:val="13"/>
        </w:rPr>
        <w:t>1958</w:t>
      </w:r>
      <w:r>
        <w:rPr>
          <w:i/>
          <w:spacing w:val="5"/>
          <w:w w:val="105"/>
          <w:sz w:val="13"/>
        </w:rPr>
        <w:t> </w:t>
      </w:r>
      <w:r>
        <w:rPr>
          <w:spacing w:val="2"/>
          <w:w w:val="105"/>
          <w:sz w:val="13"/>
        </w:rPr>
        <w:t>(Vic)</w:t>
      </w:r>
      <w:r>
        <w:rPr>
          <w:spacing w:val="4"/>
          <w:w w:val="105"/>
          <w:sz w:val="13"/>
        </w:rPr>
        <w:t> </w:t>
      </w:r>
      <w:r>
        <w:rPr>
          <w:w w:val="105"/>
          <w:sz w:val="13"/>
        </w:rPr>
        <w:t>s</w:t>
      </w:r>
      <w:r>
        <w:rPr>
          <w:spacing w:val="5"/>
          <w:w w:val="105"/>
          <w:sz w:val="13"/>
        </w:rPr>
        <w:t> </w:t>
      </w:r>
      <w:r>
        <w:rPr>
          <w:w w:val="105"/>
          <w:sz w:val="13"/>
        </w:rPr>
        <w:t>15.</w:t>
      </w:r>
    </w:p>
    <w:p>
      <w:pPr>
        <w:pStyle w:val="ListParagraph"/>
        <w:numPr>
          <w:ilvl w:val="0"/>
          <w:numId w:val="140"/>
        </w:numPr>
        <w:tabs>
          <w:tab w:pos="2381" w:val="left" w:leader="none"/>
          <w:tab w:pos="2382" w:val="left" w:leader="none"/>
        </w:tabs>
        <w:spacing w:line="240" w:lineRule="auto" w:before="2" w:after="0"/>
        <w:ind w:left="2381" w:right="0" w:hanging="794"/>
        <w:jc w:val="left"/>
        <w:rPr>
          <w:sz w:val="13"/>
        </w:rPr>
      </w:pPr>
      <w:r>
        <w:rPr>
          <w:w w:val="105"/>
          <w:sz w:val="13"/>
        </w:rPr>
        <w:t>In Victoria in the </w:t>
      </w:r>
      <w:r>
        <w:rPr>
          <w:spacing w:val="-3"/>
          <w:w w:val="105"/>
          <w:sz w:val="13"/>
        </w:rPr>
        <w:t>2012 </w:t>
      </w:r>
      <w:r>
        <w:rPr>
          <w:w w:val="105"/>
          <w:sz w:val="13"/>
        </w:rPr>
        <w:t>calendar year, there were 36,238 registered deaths: Registry of Births, Deaths and Marriages, </w:t>
      </w:r>
      <w:r>
        <w:rPr>
          <w:i/>
          <w:w w:val="105"/>
          <w:sz w:val="13"/>
        </w:rPr>
        <w:t>Fast Facts </w:t>
      </w:r>
      <w:r>
        <w:rPr>
          <w:spacing w:val="-5"/>
          <w:w w:val="105"/>
          <w:sz w:val="13"/>
        </w:rPr>
        <w:t>(11 </w:t>
      </w:r>
      <w:r>
        <w:rPr>
          <w:w w:val="105"/>
          <w:sz w:val="13"/>
        </w:rPr>
        <w:t>February 2013) </w:t>
      </w:r>
      <w:r>
        <w:rPr>
          <w:spacing w:val="2"/>
          <w:w w:val="105"/>
          <w:sz w:val="13"/>
        </w:rPr>
        <w:t>&lt;</w:t>
      </w:r>
      <w:hyperlink r:id="rId114">
        <w:r>
          <w:rPr>
            <w:spacing w:val="2"/>
            <w:w w:val="105"/>
            <w:sz w:val="13"/>
          </w:rPr>
          <w:t>www.bdm.vic.gov.au/utility/about+us/fast+facts</w:t>
        </w:r>
      </w:hyperlink>
      <w:r>
        <w:rPr>
          <w:spacing w:val="2"/>
          <w:w w:val="105"/>
          <w:sz w:val="13"/>
        </w:rPr>
        <w:t>&gt;. </w:t>
      </w:r>
      <w:r>
        <w:rPr>
          <w:w w:val="105"/>
          <w:sz w:val="13"/>
        </w:rPr>
        <w:t>For the financial year </w:t>
      </w:r>
      <w:r>
        <w:rPr>
          <w:spacing w:val="-4"/>
          <w:w w:val="105"/>
          <w:sz w:val="13"/>
        </w:rPr>
        <w:t>2011–12, </w:t>
      </w:r>
      <w:r>
        <w:rPr>
          <w:w w:val="105"/>
          <w:sz w:val="13"/>
        </w:rPr>
        <w:t>the Supreme Court made 18,746 grants. This means that, for this period, there were approximately </w:t>
      </w:r>
      <w:r>
        <w:rPr>
          <w:spacing w:val="-3"/>
          <w:w w:val="105"/>
          <w:sz w:val="13"/>
        </w:rPr>
        <w:t>17,492  </w:t>
      </w:r>
      <w:r>
        <w:rPr>
          <w:w w:val="105"/>
          <w:sz w:val="13"/>
        </w:rPr>
        <w:t>deaths for which there was no grant of representation, and the Supreme    Court only made grants in relation to approximately </w:t>
      </w:r>
      <w:r>
        <w:rPr>
          <w:spacing w:val="2"/>
          <w:w w:val="105"/>
          <w:sz w:val="13"/>
        </w:rPr>
        <w:t>50% </w:t>
      </w:r>
      <w:r>
        <w:rPr>
          <w:w w:val="105"/>
          <w:sz w:val="13"/>
        </w:rPr>
        <w:t>of all registered deaths. It should be noted that this figure does not take into account</w:t>
      </w:r>
      <w:r>
        <w:rPr>
          <w:spacing w:val="4"/>
          <w:w w:val="105"/>
          <w:sz w:val="13"/>
        </w:rPr>
        <w:t> </w:t>
      </w:r>
      <w:r>
        <w:rPr>
          <w:w w:val="105"/>
          <w:sz w:val="13"/>
        </w:rPr>
        <w:t>those</w:t>
      </w:r>
      <w:r>
        <w:rPr>
          <w:spacing w:val="4"/>
          <w:w w:val="105"/>
          <w:sz w:val="13"/>
        </w:rPr>
        <w:t> </w:t>
      </w:r>
      <w:r>
        <w:rPr>
          <w:w w:val="105"/>
          <w:sz w:val="13"/>
        </w:rPr>
        <w:t>estates</w:t>
      </w:r>
      <w:r>
        <w:rPr>
          <w:spacing w:val="4"/>
          <w:w w:val="105"/>
          <w:sz w:val="13"/>
        </w:rPr>
        <w:t> </w:t>
      </w:r>
      <w:r>
        <w:rPr>
          <w:w w:val="105"/>
          <w:sz w:val="13"/>
        </w:rPr>
        <w:t>administered</w:t>
      </w:r>
      <w:r>
        <w:rPr>
          <w:spacing w:val="4"/>
          <w:w w:val="105"/>
          <w:sz w:val="13"/>
        </w:rPr>
        <w:t> </w:t>
      </w:r>
      <w:r>
        <w:rPr>
          <w:w w:val="105"/>
          <w:sz w:val="13"/>
        </w:rPr>
        <w:t>by</w:t>
      </w:r>
      <w:r>
        <w:rPr>
          <w:spacing w:val="4"/>
          <w:w w:val="105"/>
          <w:sz w:val="13"/>
        </w:rPr>
        <w:t> </w:t>
      </w:r>
      <w:r>
        <w:rPr>
          <w:w w:val="105"/>
          <w:sz w:val="13"/>
        </w:rPr>
        <w:t>State</w:t>
      </w:r>
      <w:r>
        <w:rPr>
          <w:spacing w:val="4"/>
          <w:w w:val="105"/>
          <w:sz w:val="13"/>
        </w:rPr>
        <w:t> </w:t>
      </w:r>
      <w:r>
        <w:rPr>
          <w:w w:val="105"/>
          <w:sz w:val="13"/>
        </w:rPr>
        <w:t>Trustees</w:t>
      </w:r>
      <w:r>
        <w:rPr>
          <w:spacing w:val="4"/>
          <w:w w:val="105"/>
          <w:sz w:val="13"/>
        </w:rPr>
        <w:t> </w:t>
      </w:r>
      <w:r>
        <w:rPr>
          <w:w w:val="105"/>
          <w:sz w:val="13"/>
        </w:rPr>
        <w:t>under</w:t>
      </w:r>
      <w:r>
        <w:rPr>
          <w:spacing w:val="4"/>
          <w:w w:val="105"/>
          <w:sz w:val="13"/>
        </w:rPr>
        <w:t> </w:t>
      </w:r>
      <w:r>
        <w:rPr>
          <w:w w:val="105"/>
          <w:sz w:val="13"/>
        </w:rPr>
        <w:t>the</w:t>
      </w:r>
      <w:r>
        <w:rPr>
          <w:spacing w:val="4"/>
          <w:w w:val="105"/>
          <w:sz w:val="13"/>
        </w:rPr>
        <w:t> </w:t>
      </w:r>
      <w:r>
        <w:rPr>
          <w:i/>
          <w:w w:val="105"/>
          <w:sz w:val="13"/>
        </w:rPr>
        <w:t>Administration</w:t>
      </w:r>
      <w:r>
        <w:rPr>
          <w:i/>
          <w:spacing w:val="3"/>
          <w:w w:val="105"/>
          <w:sz w:val="13"/>
        </w:rPr>
        <w:t> </w:t>
      </w:r>
      <w:r>
        <w:rPr>
          <w:i/>
          <w:w w:val="105"/>
          <w:sz w:val="13"/>
        </w:rPr>
        <w:t>and</w:t>
      </w:r>
      <w:r>
        <w:rPr>
          <w:i/>
          <w:spacing w:val="3"/>
          <w:w w:val="105"/>
          <w:sz w:val="13"/>
        </w:rPr>
        <w:t> </w:t>
      </w:r>
      <w:r>
        <w:rPr>
          <w:i/>
          <w:w w:val="105"/>
          <w:sz w:val="13"/>
        </w:rPr>
        <w:t>Probate</w:t>
      </w:r>
      <w:r>
        <w:rPr>
          <w:i/>
          <w:spacing w:val="3"/>
          <w:w w:val="105"/>
          <w:sz w:val="13"/>
        </w:rPr>
        <w:t> </w:t>
      </w:r>
      <w:r>
        <w:rPr>
          <w:i/>
          <w:w w:val="105"/>
          <w:sz w:val="13"/>
        </w:rPr>
        <w:t>Act</w:t>
      </w:r>
      <w:r>
        <w:rPr>
          <w:i/>
          <w:spacing w:val="3"/>
          <w:w w:val="105"/>
          <w:sz w:val="13"/>
        </w:rPr>
        <w:t> </w:t>
      </w:r>
      <w:r>
        <w:rPr>
          <w:i/>
          <w:w w:val="105"/>
          <w:sz w:val="13"/>
        </w:rPr>
        <w:t>1958</w:t>
      </w:r>
      <w:r>
        <w:rPr>
          <w:i/>
          <w:spacing w:val="3"/>
          <w:w w:val="105"/>
          <w:sz w:val="13"/>
        </w:rPr>
        <w:t> </w:t>
      </w:r>
      <w:r>
        <w:rPr>
          <w:spacing w:val="2"/>
          <w:w w:val="105"/>
          <w:sz w:val="13"/>
        </w:rPr>
        <w:t>(Vic)</w:t>
      </w:r>
      <w:r>
        <w:rPr>
          <w:spacing w:val="4"/>
          <w:w w:val="105"/>
          <w:sz w:val="13"/>
        </w:rPr>
        <w:t> </w:t>
      </w:r>
      <w:r>
        <w:rPr>
          <w:w w:val="105"/>
          <w:sz w:val="13"/>
        </w:rPr>
        <w:t>s</w:t>
      </w:r>
      <w:r>
        <w:rPr>
          <w:spacing w:val="4"/>
          <w:w w:val="105"/>
          <w:sz w:val="13"/>
        </w:rPr>
        <w:t> </w:t>
      </w:r>
      <w:r>
        <w:rPr>
          <w:w w:val="105"/>
          <w:sz w:val="13"/>
        </w:rPr>
        <w:t>79.</w:t>
      </w:r>
    </w:p>
    <w:p>
      <w:pPr>
        <w:pStyle w:val="BodyText"/>
        <w:rPr>
          <w:sz w:val="28"/>
        </w:rPr>
      </w:pPr>
      <w:r>
        <w:rPr/>
        <w:br w:type="column"/>
      </w:r>
      <w:r>
        <w:rPr>
          <w:sz w:val="28"/>
        </w:rPr>
      </w:r>
    </w:p>
    <w:p>
      <w:pPr>
        <w:pStyle w:val="BodyText"/>
        <w:rPr>
          <w:sz w:val="28"/>
        </w:rPr>
      </w:pPr>
    </w:p>
    <w:p>
      <w:pPr>
        <w:pStyle w:val="BodyText"/>
        <w:spacing w:before="7"/>
        <w:rPr>
          <w:sz w:val="39"/>
        </w:rPr>
      </w:pPr>
    </w:p>
    <w:p>
      <w:pPr>
        <w:spacing w:before="0"/>
        <w:ind w:left="587" w:right="574" w:firstLine="0"/>
        <w:jc w:val="center"/>
        <w:rPr>
          <w:b/>
          <w:sz w:val="24"/>
        </w:rPr>
      </w:pPr>
      <w:r>
        <w:rPr>
          <w:b/>
          <w:color w:val="EC5A4F"/>
          <w:w w:val="110"/>
          <w:sz w:val="24"/>
        </w:rPr>
        <w:t>195</w:t>
      </w:r>
    </w:p>
    <w:p>
      <w:pPr>
        <w:spacing w:after="0"/>
        <w:jc w:val="center"/>
        <w:rPr>
          <w:sz w:val="24"/>
        </w:rPr>
        <w:sectPr>
          <w:type w:val="continuous"/>
          <w:pgSz w:w="11910" w:h="16840"/>
          <w:pgMar w:top="920" w:bottom="280" w:left="0" w:right="0"/>
          <w:cols w:num="2" w:equalWidth="0">
            <w:col w:w="10266" w:space="40"/>
            <w:col w:w="1604"/>
          </w:cols>
        </w:sectPr>
      </w:pPr>
    </w:p>
    <w:p>
      <w:pPr>
        <w:pStyle w:val="BodyText"/>
        <w:spacing w:before="9"/>
        <w:rPr>
          <w:b/>
          <w:sz w:val="22"/>
        </w:rPr>
      </w:pPr>
    </w:p>
    <w:p>
      <w:pPr>
        <w:pStyle w:val="ListParagraph"/>
        <w:numPr>
          <w:ilvl w:val="1"/>
          <w:numId w:val="22"/>
        </w:numPr>
        <w:tabs>
          <w:tab w:pos="2380" w:val="left" w:leader="none"/>
          <w:tab w:pos="2381" w:val="left" w:leader="none"/>
        </w:tabs>
        <w:spacing w:line="242" w:lineRule="auto" w:before="92" w:after="0"/>
        <w:ind w:left="2381" w:right="1916" w:hanging="794"/>
        <w:jc w:val="left"/>
        <w:rPr>
          <w:sz w:val="21"/>
        </w:rPr>
      </w:pPr>
      <w:r>
        <w:rPr>
          <w:w w:val="105"/>
          <w:sz w:val="21"/>
        </w:rPr>
        <w:t>The assets of estates </w:t>
      </w:r>
      <w:r>
        <w:rPr>
          <w:spacing w:val="-3"/>
          <w:w w:val="105"/>
          <w:sz w:val="21"/>
        </w:rPr>
        <w:t>administered informally are </w:t>
      </w:r>
      <w:r>
        <w:rPr>
          <w:w w:val="105"/>
          <w:sz w:val="21"/>
        </w:rPr>
        <w:t>either those which can be accessed without recourse </w:t>
      </w:r>
      <w:r>
        <w:rPr>
          <w:spacing w:val="-3"/>
          <w:w w:val="105"/>
          <w:sz w:val="21"/>
        </w:rPr>
        <w:t>to </w:t>
      </w:r>
      <w:r>
        <w:rPr>
          <w:w w:val="105"/>
          <w:sz w:val="21"/>
        </w:rPr>
        <w:t>a </w:t>
      </w:r>
      <w:r>
        <w:rPr>
          <w:spacing w:val="-3"/>
          <w:w w:val="105"/>
          <w:sz w:val="21"/>
        </w:rPr>
        <w:t>grant (for example, </w:t>
      </w:r>
      <w:r>
        <w:rPr>
          <w:w w:val="105"/>
          <w:sz w:val="21"/>
        </w:rPr>
        <w:t>goods), or those </w:t>
      </w:r>
      <w:r>
        <w:rPr>
          <w:spacing w:val="-3"/>
          <w:w w:val="105"/>
          <w:sz w:val="21"/>
        </w:rPr>
        <w:t>for </w:t>
      </w:r>
      <w:r>
        <w:rPr>
          <w:w w:val="105"/>
          <w:sz w:val="21"/>
        </w:rPr>
        <w:t>which the asset-holder </w:t>
      </w:r>
      <w:r>
        <w:rPr>
          <w:spacing w:val="-3"/>
          <w:w w:val="105"/>
          <w:sz w:val="21"/>
        </w:rPr>
        <w:t>will</w:t>
      </w:r>
      <w:r>
        <w:rPr>
          <w:spacing w:val="-5"/>
          <w:w w:val="105"/>
          <w:sz w:val="21"/>
        </w:rPr>
        <w:t> </w:t>
      </w:r>
      <w:r>
        <w:rPr>
          <w:spacing w:val="-3"/>
          <w:w w:val="105"/>
          <w:sz w:val="21"/>
        </w:rPr>
        <w:t>accept</w:t>
      </w:r>
      <w:r>
        <w:rPr>
          <w:spacing w:val="-5"/>
          <w:w w:val="105"/>
          <w:sz w:val="21"/>
        </w:rPr>
        <w:t> </w:t>
      </w:r>
      <w:r>
        <w:rPr>
          <w:w w:val="105"/>
          <w:sz w:val="21"/>
        </w:rPr>
        <w:t>other</w:t>
      </w:r>
      <w:r>
        <w:rPr>
          <w:spacing w:val="-5"/>
          <w:w w:val="105"/>
          <w:sz w:val="21"/>
        </w:rPr>
        <w:t> </w:t>
      </w:r>
      <w:r>
        <w:rPr>
          <w:spacing w:val="-3"/>
          <w:w w:val="105"/>
          <w:sz w:val="21"/>
        </w:rPr>
        <w:t>forms</w:t>
      </w:r>
      <w:r>
        <w:rPr>
          <w:spacing w:val="-5"/>
          <w:w w:val="105"/>
          <w:sz w:val="21"/>
        </w:rPr>
        <w:t> </w:t>
      </w:r>
      <w:r>
        <w:rPr>
          <w:w w:val="105"/>
          <w:sz w:val="21"/>
        </w:rPr>
        <w:t>of</w:t>
      </w:r>
      <w:r>
        <w:rPr>
          <w:spacing w:val="-4"/>
          <w:w w:val="105"/>
          <w:sz w:val="21"/>
        </w:rPr>
        <w:t> </w:t>
      </w:r>
      <w:r>
        <w:rPr>
          <w:spacing w:val="-3"/>
          <w:w w:val="105"/>
          <w:sz w:val="21"/>
        </w:rPr>
        <w:t>authority,</w:t>
      </w:r>
      <w:r>
        <w:rPr>
          <w:spacing w:val="-5"/>
          <w:w w:val="105"/>
          <w:sz w:val="21"/>
        </w:rPr>
        <w:t> </w:t>
      </w:r>
      <w:r>
        <w:rPr>
          <w:spacing w:val="-3"/>
          <w:w w:val="105"/>
          <w:sz w:val="21"/>
        </w:rPr>
        <w:t>such</w:t>
      </w:r>
      <w:r>
        <w:rPr>
          <w:spacing w:val="-5"/>
          <w:w w:val="105"/>
          <w:sz w:val="21"/>
        </w:rPr>
        <w:t> </w:t>
      </w:r>
      <w:r>
        <w:rPr>
          <w:w w:val="105"/>
          <w:sz w:val="21"/>
        </w:rPr>
        <w:t>as</w:t>
      </w:r>
      <w:r>
        <w:rPr>
          <w:spacing w:val="-5"/>
          <w:w w:val="105"/>
          <w:sz w:val="21"/>
        </w:rPr>
        <w:t> </w:t>
      </w:r>
      <w:r>
        <w:rPr>
          <w:w w:val="105"/>
          <w:sz w:val="21"/>
        </w:rPr>
        <w:t>a</w:t>
      </w:r>
      <w:r>
        <w:rPr>
          <w:spacing w:val="-5"/>
          <w:w w:val="105"/>
          <w:sz w:val="21"/>
        </w:rPr>
        <w:t> </w:t>
      </w:r>
      <w:r>
        <w:rPr>
          <w:w w:val="105"/>
          <w:sz w:val="21"/>
        </w:rPr>
        <w:t>death</w:t>
      </w:r>
      <w:r>
        <w:rPr>
          <w:spacing w:val="-5"/>
          <w:w w:val="105"/>
          <w:sz w:val="21"/>
        </w:rPr>
        <w:t> </w:t>
      </w:r>
      <w:r>
        <w:rPr>
          <w:w w:val="105"/>
          <w:sz w:val="21"/>
        </w:rPr>
        <w:t>certificate</w:t>
      </w:r>
      <w:r>
        <w:rPr>
          <w:spacing w:val="-4"/>
          <w:w w:val="105"/>
          <w:sz w:val="21"/>
        </w:rPr>
        <w:t> </w:t>
      </w:r>
      <w:r>
        <w:rPr>
          <w:spacing w:val="-3"/>
          <w:w w:val="105"/>
          <w:sz w:val="21"/>
        </w:rPr>
        <w:t>(for</w:t>
      </w:r>
      <w:r>
        <w:rPr>
          <w:spacing w:val="-5"/>
          <w:w w:val="105"/>
          <w:sz w:val="21"/>
        </w:rPr>
        <w:t> </w:t>
      </w:r>
      <w:r>
        <w:rPr>
          <w:spacing w:val="-3"/>
          <w:w w:val="105"/>
          <w:sz w:val="21"/>
        </w:rPr>
        <w:t>example,</w:t>
      </w:r>
      <w:r>
        <w:rPr>
          <w:spacing w:val="-5"/>
          <w:w w:val="105"/>
          <w:sz w:val="21"/>
        </w:rPr>
        <w:t> </w:t>
      </w:r>
      <w:r>
        <w:rPr>
          <w:spacing w:val="-3"/>
          <w:w w:val="105"/>
          <w:sz w:val="21"/>
        </w:rPr>
        <w:t>low-value </w:t>
      </w:r>
      <w:r>
        <w:rPr>
          <w:w w:val="105"/>
          <w:sz w:val="21"/>
        </w:rPr>
        <w:t>bank </w:t>
      </w:r>
      <w:r>
        <w:rPr>
          <w:spacing w:val="-3"/>
          <w:w w:val="105"/>
          <w:sz w:val="21"/>
        </w:rPr>
        <w:t>accounts).</w:t>
      </w:r>
      <w:r>
        <w:rPr>
          <w:spacing w:val="-3"/>
          <w:w w:val="105"/>
          <w:position w:val="7"/>
          <w:sz w:val="12"/>
        </w:rPr>
        <w:t>41 </w:t>
      </w:r>
      <w:r>
        <w:rPr>
          <w:spacing w:val="-3"/>
          <w:w w:val="105"/>
          <w:sz w:val="21"/>
        </w:rPr>
        <w:t>Significant </w:t>
      </w:r>
      <w:r>
        <w:rPr>
          <w:w w:val="105"/>
          <w:sz w:val="21"/>
        </w:rPr>
        <w:t>assets </w:t>
      </w:r>
      <w:r>
        <w:rPr>
          <w:spacing w:val="-3"/>
          <w:w w:val="105"/>
          <w:sz w:val="21"/>
        </w:rPr>
        <w:t>may have </w:t>
      </w:r>
      <w:r>
        <w:rPr>
          <w:w w:val="105"/>
          <w:sz w:val="21"/>
        </w:rPr>
        <w:t>passed by survivorship </w:t>
      </w:r>
      <w:r>
        <w:rPr>
          <w:spacing w:val="-3"/>
          <w:w w:val="105"/>
          <w:sz w:val="21"/>
        </w:rPr>
        <w:t>(for example, </w:t>
      </w:r>
      <w:r>
        <w:rPr>
          <w:w w:val="105"/>
          <w:sz w:val="21"/>
        </w:rPr>
        <w:t>jointly-owned </w:t>
      </w:r>
      <w:r>
        <w:rPr>
          <w:spacing w:val="-3"/>
          <w:w w:val="105"/>
          <w:sz w:val="21"/>
        </w:rPr>
        <w:t>real </w:t>
      </w:r>
      <w:r>
        <w:rPr>
          <w:w w:val="105"/>
          <w:sz w:val="21"/>
        </w:rPr>
        <w:t>estate).</w:t>
      </w:r>
      <w:r>
        <w:rPr>
          <w:w w:val="105"/>
          <w:position w:val="7"/>
          <w:sz w:val="12"/>
        </w:rPr>
        <w:t>42 </w:t>
      </w:r>
      <w:r>
        <w:rPr>
          <w:w w:val="105"/>
          <w:sz w:val="21"/>
        </w:rPr>
        <w:t>Depending on the types of assets </w:t>
      </w:r>
      <w:r>
        <w:rPr>
          <w:spacing w:val="-3"/>
          <w:w w:val="105"/>
          <w:sz w:val="21"/>
        </w:rPr>
        <w:t>involved, any </w:t>
      </w:r>
      <w:r>
        <w:rPr>
          <w:w w:val="105"/>
          <w:sz w:val="21"/>
        </w:rPr>
        <w:t>estate </w:t>
      </w:r>
      <w:r>
        <w:rPr>
          <w:spacing w:val="-3"/>
          <w:w w:val="105"/>
          <w:sz w:val="21"/>
        </w:rPr>
        <w:t>may potentially </w:t>
      </w:r>
      <w:r>
        <w:rPr>
          <w:w w:val="105"/>
          <w:sz w:val="21"/>
        </w:rPr>
        <w:t>be </w:t>
      </w:r>
      <w:r>
        <w:rPr>
          <w:spacing w:val="-3"/>
          <w:w w:val="105"/>
          <w:sz w:val="21"/>
        </w:rPr>
        <w:t>informally administered </w:t>
      </w:r>
      <w:r>
        <w:rPr>
          <w:w w:val="105"/>
          <w:sz w:val="21"/>
        </w:rPr>
        <w:t>in whole or in</w:t>
      </w:r>
      <w:r>
        <w:rPr>
          <w:spacing w:val="39"/>
          <w:w w:val="105"/>
          <w:sz w:val="21"/>
        </w:rPr>
        <w:t> </w:t>
      </w:r>
      <w:r>
        <w:rPr>
          <w:w w:val="105"/>
          <w:sz w:val="21"/>
        </w:rPr>
        <w:t>part.</w:t>
      </w:r>
    </w:p>
    <w:p>
      <w:pPr>
        <w:pStyle w:val="ListParagraph"/>
        <w:numPr>
          <w:ilvl w:val="1"/>
          <w:numId w:val="22"/>
        </w:numPr>
        <w:tabs>
          <w:tab w:pos="2380" w:val="left" w:leader="none"/>
          <w:tab w:pos="2381" w:val="left" w:leader="none"/>
        </w:tabs>
        <w:spacing w:line="242" w:lineRule="auto" w:before="126" w:after="0"/>
        <w:ind w:left="2380" w:right="1865" w:hanging="793"/>
        <w:jc w:val="left"/>
        <w:rPr>
          <w:sz w:val="21"/>
        </w:rPr>
      </w:pPr>
      <w:r>
        <w:rPr>
          <w:sz w:val="21"/>
        </w:rPr>
        <w:t>As less </w:t>
      </w:r>
      <w:r>
        <w:rPr>
          <w:spacing w:val="-3"/>
          <w:sz w:val="21"/>
        </w:rPr>
        <w:t>valuable </w:t>
      </w:r>
      <w:r>
        <w:rPr>
          <w:sz w:val="21"/>
        </w:rPr>
        <w:t>assets </w:t>
      </w:r>
      <w:r>
        <w:rPr>
          <w:spacing w:val="-3"/>
          <w:sz w:val="21"/>
        </w:rPr>
        <w:t>are </w:t>
      </w:r>
      <w:r>
        <w:rPr>
          <w:spacing w:val="-2"/>
          <w:sz w:val="21"/>
        </w:rPr>
        <w:t>easier </w:t>
      </w:r>
      <w:r>
        <w:rPr>
          <w:spacing w:val="-3"/>
          <w:sz w:val="21"/>
        </w:rPr>
        <w:t>to  </w:t>
      </w:r>
      <w:r>
        <w:rPr>
          <w:sz w:val="21"/>
        </w:rPr>
        <w:t>deal with </w:t>
      </w:r>
      <w:r>
        <w:rPr>
          <w:spacing w:val="-4"/>
          <w:sz w:val="21"/>
        </w:rPr>
        <w:t>informally,  </w:t>
      </w:r>
      <w:r>
        <w:rPr>
          <w:sz w:val="21"/>
        </w:rPr>
        <w:t>the </w:t>
      </w:r>
      <w:r>
        <w:rPr>
          <w:spacing w:val="-3"/>
          <w:sz w:val="21"/>
        </w:rPr>
        <w:t>availability  </w:t>
      </w:r>
      <w:r>
        <w:rPr>
          <w:sz w:val="21"/>
        </w:rPr>
        <w:t>and ease of use of </w:t>
      </w:r>
      <w:r>
        <w:rPr>
          <w:spacing w:val="-3"/>
          <w:sz w:val="21"/>
        </w:rPr>
        <w:t>informal </w:t>
      </w:r>
      <w:r>
        <w:rPr>
          <w:sz w:val="21"/>
        </w:rPr>
        <w:t>processes is particularly </w:t>
      </w:r>
      <w:r>
        <w:rPr>
          <w:spacing w:val="-3"/>
          <w:sz w:val="21"/>
        </w:rPr>
        <w:t>significant for smaller </w:t>
      </w:r>
      <w:r>
        <w:rPr>
          <w:sz w:val="21"/>
        </w:rPr>
        <w:t>estates. The </w:t>
      </w:r>
      <w:r>
        <w:rPr>
          <w:spacing w:val="-2"/>
          <w:sz w:val="21"/>
        </w:rPr>
        <w:t>simplification </w:t>
      </w:r>
      <w:r>
        <w:rPr>
          <w:sz w:val="21"/>
        </w:rPr>
        <w:t>of process and the </w:t>
      </w:r>
      <w:r>
        <w:rPr>
          <w:spacing w:val="-3"/>
          <w:sz w:val="21"/>
        </w:rPr>
        <w:t>avoidance  </w:t>
      </w:r>
      <w:r>
        <w:rPr>
          <w:sz w:val="21"/>
        </w:rPr>
        <w:t>of fees and </w:t>
      </w:r>
      <w:r>
        <w:rPr>
          <w:spacing w:val="-3"/>
          <w:sz w:val="21"/>
        </w:rPr>
        <w:t>charges</w:t>
      </w:r>
      <w:r>
        <w:rPr>
          <w:spacing w:val="41"/>
          <w:sz w:val="21"/>
        </w:rPr>
        <w:t> </w:t>
      </w:r>
      <w:r>
        <w:rPr>
          <w:sz w:val="21"/>
        </w:rPr>
        <w:t>associated with </w:t>
      </w:r>
      <w:r>
        <w:rPr>
          <w:spacing w:val="-3"/>
          <w:sz w:val="21"/>
        </w:rPr>
        <w:t>formal  </w:t>
      </w:r>
      <w:r>
        <w:rPr>
          <w:sz w:val="21"/>
        </w:rPr>
        <w:t>grants </w:t>
      </w:r>
      <w:r>
        <w:rPr>
          <w:spacing w:val="-3"/>
          <w:sz w:val="21"/>
        </w:rPr>
        <w:t>will  </w:t>
      </w:r>
      <w:r>
        <w:rPr>
          <w:sz w:val="21"/>
        </w:rPr>
        <w:t>also  be</w:t>
      </w:r>
      <w:r>
        <w:rPr>
          <w:spacing w:val="8"/>
          <w:sz w:val="21"/>
        </w:rPr>
        <w:t> </w:t>
      </w:r>
      <w:r>
        <w:rPr>
          <w:sz w:val="21"/>
        </w:rPr>
        <w:t>of</w:t>
      </w:r>
      <w:r>
        <w:rPr>
          <w:spacing w:val="9"/>
          <w:sz w:val="21"/>
        </w:rPr>
        <w:t> </w:t>
      </w:r>
      <w:r>
        <w:rPr>
          <w:spacing w:val="-3"/>
          <w:sz w:val="21"/>
        </w:rPr>
        <w:t>value</w:t>
      </w:r>
      <w:r>
        <w:rPr>
          <w:spacing w:val="8"/>
          <w:sz w:val="21"/>
        </w:rPr>
        <w:t> </w:t>
      </w:r>
      <w:r>
        <w:rPr>
          <w:spacing w:val="-3"/>
          <w:sz w:val="21"/>
        </w:rPr>
        <w:t>to</w:t>
      </w:r>
      <w:r>
        <w:rPr>
          <w:spacing w:val="9"/>
          <w:sz w:val="21"/>
        </w:rPr>
        <w:t> </w:t>
      </w:r>
      <w:r>
        <w:rPr>
          <w:spacing w:val="-3"/>
          <w:sz w:val="21"/>
        </w:rPr>
        <w:t>smaller</w:t>
      </w:r>
      <w:r>
        <w:rPr>
          <w:spacing w:val="9"/>
          <w:sz w:val="21"/>
        </w:rPr>
        <w:t> </w:t>
      </w:r>
      <w:r>
        <w:rPr>
          <w:sz w:val="21"/>
        </w:rPr>
        <w:t>estates</w:t>
      </w:r>
      <w:r>
        <w:rPr>
          <w:spacing w:val="8"/>
          <w:sz w:val="21"/>
        </w:rPr>
        <w:t> </w:t>
      </w:r>
      <w:r>
        <w:rPr>
          <w:sz w:val="21"/>
        </w:rPr>
        <w:t>and</w:t>
      </w:r>
      <w:r>
        <w:rPr>
          <w:spacing w:val="9"/>
          <w:sz w:val="21"/>
        </w:rPr>
        <w:t> </w:t>
      </w:r>
      <w:r>
        <w:rPr>
          <w:sz w:val="21"/>
        </w:rPr>
        <w:t>their</w:t>
      </w:r>
      <w:r>
        <w:rPr>
          <w:spacing w:val="9"/>
          <w:sz w:val="21"/>
        </w:rPr>
        <w:t> </w:t>
      </w:r>
      <w:r>
        <w:rPr>
          <w:sz w:val="21"/>
        </w:rPr>
        <w:t>beneficiaries.</w:t>
      </w:r>
    </w:p>
    <w:p>
      <w:pPr>
        <w:pStyle w:val="ListParagraph"/>
        <w:numPr>
          <w:ilvl w:val="1"/>
          <w:numId w:val="22"/>
        </w:numPr>
        <w:tabs>
          <w:tab w:pos="2380" w:val="left" w:leader="none"/>
          <w:tab w:pos="2381" w:val="left" w:leader="none"/>
        </w:tabs>
        <w:spacing w:line="242" w:lineRule="auto" w:before="125" w:after="0"/>
        <w:ind w:left="2380" w:right="1961" w:hanging="793"/>
        <w:jc w:val="left"/>
        <w:rPr>
          <w:sz w:val="21"/>
        </w:rPr>
      </w:pPr>
      <w:r>
        <w:rPr>
          <w:w w:val="105"/>
          <w:sz w:val="21"/>
        </w:rPr>
        <w:t>The </w:t>
      </w:r>
      <w:r>
        <w:rPr>
          <w:spacing w:val="-3"/>
          <w:w w:val="105"/>
          <w:sz w:val="21"/>
        </w:rPr>
        <w:t>National Committee for Uniform Succession </w:t>
      </w:r>
      <w:r>
        <w:rPr>
          <w:w w:val="105"/>
          <w:sz w:val="21"/>
        </w:rPr>
        <w:t>Laws was </w:t>
      </w:r>
      <w:r>
        <w:rPr>
          <w:spacing w:val="-3"/>
          <w:w w:val="105"/>
          <w:sz w:val="21"/>
        </w:rPr>
        <w:t>concerned to recognise   </w:t>
      </w:r>
      <w:r>
        <w:rPr>
          <w:w w:val="105"/>
          <w:sz w:val="21"/>
        </w:rPr>
        <w:t>the extent of </w:t>
      </w:r>
      <w:r>
        <w:rPr>
          <w:spacing w:val="-3"/>
          <w:w w:val="105"/>
          <w:sz w:val="21"/>
        </w:rPr>
        <w:t>informal administration. </w:t>
      </w:r>
      <w:r>
        <w:rPr>
          <w:w w:val="105"/>
          <w:sz w:val="21"/>
        </w:rPr>
        <w:t>Given </w:t>
      </w:r>
      <w:r>
        <w:rPr>
          <w:spacing w:val="-3"/>
          <w:w w:val="105"/>
          <w:sz w:val="21"/>
        </w:rPr>
        <w:t>that </w:t>
      </w:r>
      <w:r>
        <w:rPr>
          <w:w w:val="105"/>
          <w:sz w:val="21"/>
        </w:rPr>
        <w:t>the </w:t>
      </w:r>
      <w:r>
        <w:rPr>
          <w:spacing w:val="-3"/>
          <w:w w:val="105"/>
          <w:sz w:val="21"/>
        </w:rPr>
        <w:t>chapter </w:t>
      </w:r>
      <w:r>
        <w:rPr>
          <w:w w:val="105"/>
          <w:sz w:val="21"/>
        </w:rPr>
        <w:t>in which it discusses its </w:t>
      </w:r>
      <w:r>
        <w:rPr>
          <w:spacing w:val="-3"/>
          <w:w w:val="105"/>
          <w:sz w:val="21"/>
        </w:rPr>
        <w:t>recommendations</w:t>
      </w:r>
      <w:r>
        <w:rPr>
          <w:spacing w:val="-11"/>
          <w:w w:val="105"/>
          <w:sz w:val="21"/>
        </w:rPr>
        <w:t> </w:t>
      </w:r>
      <w:r>
        <w:rPr>
          <w:w w:val="105"/>
          <w:sz w:val="21"/>
        </w:rPr>
        <w:t>on</w:t>
      </w:r>
      <w:r>
        <w:rPr>
          <w:spacing w:val="-10"/>
          <w:w w:val="105"/>
          <w:sz w:val="21"/>
        </w:rPr>
        <w:t> </w:t>
      </w:r>
      <w:r>
        <w:rPr>
          <w:w w:val="105"/>
          <w:sz w:val="21"/>
        </w:rPr>
        <w:t>this</w:t>
      </w:r>
      <w:r>
        <w:rPr>
          <w:spacing w:val="-10"/>
          <w:w w:val="105"/>
          <w:sz w:val="21"/>
        </w:rPr>
        <w:t> </w:t>
      </w:r>
      <w:r>
        <w:rPr>
          <w:w w:val="105"/>
          <w:sz w:val="21"/>
        </w:rPr>
        <w:t>topic</w:t>
      </w:r>
      <w:r>
        <w:rPr>
          <w:spacing w:val="-10"/>
          <w:w w:val="105"/>
          <w:sz w:val="21"/>
        </w:rPr>
        <w:t> </w:t>
      </w:r>
      <w:r>
        <w:rPr>
          <w:w w:val="105"/>
          <w:sz w:val="21"/>
        </w:rPr>
        <w:t>is</w:t>
      </w:r>
      <w:r>
        <w:rPr>
          <w:spacing w:val="-11"/>
          <w:w w:val="105"/>
          <w:sz w:val="21"/>
        </w:rPr>
        <w:t> </w:t>
      </w:r>
      <w:r>
        <w:rPr>
          <w:w w:val="105"/>
          <w:sz w:val="21"/>
        </w:rPr>
        <w:t>headed</w:t>
      </w:r>
      <w:r>
        <w:rPr>
          <w:spacing w:val="-10"/>
          <w:w w:val="105"/>
          <w:sz w:val="21"/>
        </w:rPr>
        <w:t> </w:t>
      </w:r>
      <w:r>
        <w:rPr>
          <w:w w:val="105"/>
          <w:sz w:val="21"/>
        </w:rPr>
        <w:t>‘Mechanisms</w:t>
      </w:r>
      <w:r>
        <w:rPr>
          <w:spacing w:val="-10"/>
          <w:w w:val="105"/>
          <w:sz w:val="21"/>
        </w:rPr>
        <w:t> </w:t>
      </w:r>
      <w:r>
        <w:rPr>
          <w:spacing w:val="-3"/>
          <w:w w:val="105"/>
          <w:sz w:val="21"/>
        </w:rPr>
        <w:t>to</w:t>
      </w:r>
      <w:r>
        <w:rPr>
          <w:spacing w:val="-10"/>
          <w:w w:val="105"/>
          <w:sz w:val="21"/>
        </w:rPr>
        <w:t> </w:t>
      </w:r>
      <w:r>
        <w:rPr>
          <w:spacing w:val="-3"/>
          <w:w w:val="105"/>
          <w:sz w:val="21"/>
        </w:rPr>
        <w:t>facilitate</w:t>
      </w:r>
      <w:r>
        <w:rPr>
          <w:spacing w:val="-10"/>
          <w:w w:val="105"/>
          <w:sz w:val="21"/>
        </w:rPr>
        <w:t> </w:t>
      </w:r>
      <w:r>
        <w:rPr>
          <w:spacing w:val="-3"/>
          <w:w w:val="105"/>
          <w:sz w:val="21"/>
        </w:rPr>
        <w:t>administration</w:t>
      </w:r>
      <w:r>
        <w:rPr>
          <w:spacing w:val="-11"/>
          <w:w w:val="105"/>
          <w:sz w:val="21"/>
        </w:rPr>
        <w:t> </w:t>
      </w:r>
      <w:r>
        <w:rPr>
          <w:w w:val="105"/>
          <w:sz w:val="21"/>
        </w:rPr>
        <w:t>and </w:t>
      </w:r>
      <w:r>
        <w:rPr>
          <w:spacing w:val="-3"/>
          <w:w w:val="105"/>
          <w:sz w:val="21"/>
        </w:rPr>
        <w:t>minimise </w:t>
      </w:r>
      <w:r>
        <w:rPr>
          <w:w w:val="105"/>
          <w:sz w:val="21"/>
        </w:rPr>
        <w:t>the need </w:t>
      </w:r>
      <w:r>
        <w:rPr>
          <w:spacing w:val="-3"/>
          <w:w w:val="105"/>
          <w:sz w:val="21"/>
        </w:rPr>
        <w:t>to </w:t>
      </w:r>
      <w:r>
        <w:rPr>
          <w:w w:val="105"/>
          <w:sz w:val="21"/>
        </w:rPr>
        <w:t>obtain a </w:t>
      </w:r>
      <w:r>
        <w:rPr>
          <w:spacing w:val="-4"/>
          <w:w w:val="105"/>
          <w:sz w:val="21"/>
        </w:rPr>
        <w:t>grant’,</w:t>
      </w:r>
      <w:r>
        <w:rPr>
          <w:spacing w:val="-4"/>
          <w:w w:val="105"/>
          <w:position w:val="7"/>
          <w:sz w:val="12"/>
        </w:rPr>
        <w:t>43 </w:t>
      </w:r>
      <w:r>
        <w:rPr>
          <w:w w:val="105"/>
          <w:sz w:val="21"/>
        </w:rPr>
        <w:t>it is </w:t>
      </w:r>
      <w:r>
        <w:rPr>
          <w:spacing w:val="-3"/>
          <w:w w:val="105"/>
          <w:sz w:val="21"/>
        </w:rPr>
        <w:t>clear that </w:t>
      </w:r>
      <w:r>
        <w:rPr>
          <w:w w:val="105"/>
          <w:sz w:val="21"/>
        </w:rPr>
        <w:t>the </w:t>
      </w:r>
      <w:r>
        <w:rPr>
          <w:spacing w:val="-3"/>
          <w:w w:val="105"/>
          <w:sz w:val="21"/>
        </w:rPr>
        <w:t>National Committee </w:t>
      </w:r>
      <w:r>
        <w:rPr>
          <w:w w:val="105"/>
          <w:sz w:val="21"/>
        </w:rPr>
        <w:t>was </w:t>
      </w:r>
      <w:r>
        <w:rPr>
          <w:spacing w:val="-3"/>
          <w:w w:val="105"/>
          <w:sz w:val="21"/>
        </w:rPr>
        <w:t>generally working towards, rather than against, </w:t>
      </w:r>
      <w:r>
        <w:rPr>
          <w:w w:val="105"/>
          <w:sz w:val="21"/>
        </w:rPr>
        <w:t>the protection and general support  of </w:t>
      </w:r>
      <w:r>
        <w:rPr>
          <w:spacing w:val="-3"/>
          <w:w w:val="105"/>
          <w:sz w:val="21"/>
        </w:rPr>
        <w:t>informal</w:t>
      </w:r>
      <w:r>
        <w:rPr>
          <w:spacing w:val="10"/>
          <w:w w:val="105"/>
          <w:sz w:val="21"/>
        </w:rPr>
        <w:t> </w:t>
      </w:r>
      <w:r>
        <w:rPr>
          <w:spacing w:val="-3"/>
          <w:w w:val="105"/>
          <w:sz w:val="21"/>
        </w:rPr>
        <w:t>administrators.</w:t>
      </w:r>
    </w:p>
    <w:p>
      <w:pPr>
        <w:pStyle w:val="ListParagraph"/>
        <w:numPr>
          <w:ilvl w:val="1"/>
          <w:numId w:val="22"/>
        </w:numPr>
        <w:tabs>
          <w:tab w:pos="2380" w:val="left" w:leader="none"/>
          <w:tab w:pos="2382" w:val="left" w:leader="none"/>
        </w:tabs>
        <w:spacing w:line="242" w:lineRule="auto" w:before="126" w:after="0"/>
        <w:ind w:left="2381" w:right="1833" w:hanging="794"/>
        <w:jc w:val="left"/>
        <w:rPr>
          <w:sz w:val="21"/>
        </w:rPr>
      </w:pPr>
      <w:r>
        <w:rPr>
          <w:w w:val="105"/>
          <w:sz w:val="21"/>
        </w:rPr>
        <w:t>The </w:t>
      </w:r>
      <w:r>
        <w:rPr>
          <w:spacing w:val="-3"/>
          <w:w w:val="105"/>
          <w:sz w:val="21"/>
        </w:rPr>
        <w:t>Commission </w:t>
      </w:r>
      <w:r>
        <w:rPr>
          <w:w w:val="105"/>
          <w:sz w:val="21"/>
        </w:rPr>
        <w:t>seeks </w:t>
      </w:r>
      <w:r>
        <w:rPr>
          <w:spacing w:val="-3"/>
          <w:w w:val="105"/>
          <w:sz w:val="21"/>
        </w:rPr>
        <w:t>to strike </w:t>
      </w:r>
      <w:r>
        <w:rPr>
          <w:w w:val="105"/>
          <w:sz w:val="21"/>
        </w:rPr>
        <w:t>a </w:t>
      </w:r>
      <w:r>
        <w:rPr>
          <w:spacing w:val="-3"/>
          <w:w w:val="105"/>
          <w:sz w:val="21"/>
        </w:rPr>
        <w:t>balance </w:t>
      </w:r>
      <w:r>
        <w:rPr>
          <w:w w:val="105"/>
          <w:sz w:val="21"/>
        </w:rPr>
        <w:t>between </w:t>
      </w:r>
      <w:r>
        <w:rPr>
          <w:spacing w:val="-3"/>
          <w:w w:val="105"/>
          <w:sz w:val="21"/>
        </w:rPr>
        <w:t>recognising </w:t>
      </w:r>
      <w:r>
        <w:rPr>
          <w:w w:val="105"/>
          <w:sz w:val="21"/>
        </w:rPr>
        <w:t>the utility of </w:t>
      </w:r>
      <w:r>
        <w:rPr>
          <w:spacing w:val="-3"/>
          <w:w w:val="105"/>
          <w:sz w:val="21"/>
        </w:rPr>
        <w:t>informal administration </w:t>
      </w:r>
      <w:r>
        <w:rPr>
          <w:w w:val="105"/>
          <w:sz w:val="21"/>
        </w:rPr>
        <w:t>in some </w:t>
      </w:r>
      <w:r>
        <w:rPr>
          <w:spacing w:val="-3"/>
          <w:w w:val="105"/>
          <w:sz w:val="21"/>
        </w:rPr>
        <w:t>situations </w:t>
      </w:r>
      <w:r>
        <w:rPr>
          <w:w w:val="105"/>
          <w:sz w:val="21"/>
        </w:rPr>
        <w:t>and </w:t>
      </w:r>
      <w:r>
        <w:rPr>
          <w:spacing w:val="-3"/>
          <w:w w:val="105"/>
          <w:sz w:val="21"/>
        </w:rPr>
        <w:t>promoting formal administration </w:t>
      </w:r>
      <w:r>
        <w:rPr>
          <w:w w:val="105"/>
          <w:sz w:val="21"/>
        </w:rPr>
        <w:t>by </w:t>
      </w:r>
      <w:r>
        <w:rPr>
          <w:spacing w:val="-3"/>
          <w:w w:val="105"/>
          <w:sz w:val="21"/>
        </w:rPr>
        <w:t>ensuring that </w:t>
      </w:r>
      <w:r>
        <w:rPr>
          <w:w w:val="105"/>
          <w:sz w:val="21"/>
        </w:rPr>
        <w:t>a number of cheap and </w:t>
      </w:r>
      <w:r>
        <w:rPr>
          <w:spacing w:val="-3"/>
          <w:w w:val="105"/>
          <w:sz w:val="21"/>
        </w:rPr>
        <w:t>accessible </w:t>
      </w:r>
      <w:r>
        <w:rPr>
          <w:w w:val="105"/>
          <w:sz w:val="21"/>
        </w:rPr>
        <w:t>options exist </w:t>
      </w:r>
      <w:r>
        <w:rPr>
          <w:spacing w:val="-3"/>
          <w:w w:val="105"/>
          <w:sz w:val="21"/>
        </w:rPr>
        <w:t>for obtaining </w:t>
      </w:r>
      <w:r>
        <w:rPr>
          <w:w w:val="105"/>
          <w:sz w:val="21"/>
        </w:rPr>
        <w:t>a</w:t>
      </w:r>
      <w:r>
        <w:rPr>
          <w:spacing w:val="45"/>
          <w:w w:val="105"/>
          <w:sz w:val="21"/>
        </w:rPr>
        <w:t> </w:t>
      </w:r>
      <w:r>
        <w:rPr>
          <w:spacing w:val="-3"/>
          <w:w w:val="105"/>
          <w:sz w:val="21"/>
        </w:rPr>
        <w:t>grant.</w:t>
      </w:r>
    </w:p>
    <w:p>
      <w:pPr>
        <w:pStyle w:val="ListParagraph"/>
        <w:numPr>
          <w:ilvl w:val="1"/>
          <w:numId w:val="22"/>
        </w:numPr>
        <w:tabs>
          <w:tab w:pos="2380" w:val="left" w:leader="none"/>
          <w:tab w:pos="2381" w:val="left" w:leader="none"/>
        </w:tabs>
        <w:spacing w:line="242" w:lineRule="auto" w:before="123" w:after="0"/>
        <w:ind w:left="2380" w:right="1916" w:hanging="793"/>
        <w:jc w:val="left"/>
        <w:rPr>
          <w:sz w:val="12"/>
        </w:rPr>
      </w:pPr>
      <w:r>
        <w:rPr>
          <w:spacing w:val="-3"/>
          <w:sz w:val="21"/>
        </w:rPr>
        <w:t>Submissions </w:t>
      </w:r>
      <w:r>
        <w:rPr>
          <w:sz w:val="21"/>
        </w:rPr>
        <w:t>and </w:t>
      </w:r>
      <w:r>
        <w:rPr>
          <w:spacing w:val="-3"/>
          <w:sz w:val="21"/>
        </w:rPr>
        <w:t>consultations concerning current </w:t>
      </w:r>
      <w:r>
        <w:rPr>
          <w:sz w:val="21"/>
        </w:rPr>
        <w:t>processes of </w:t>
      </w:r>
      <w:r>
        <w:rPr>
          <w:spacing w:val="-3"/>
          <w:sz w:val="21"/>
        </w:rPr>
        <w:t>informal  administration  </w:t>
      </w:r>
      <w:r>
        <w:rPr>
          <w:sz w:val="21"/>
        </w:rPr>
        <w:t>did </w:t>
      </w:r>
      <w:r>
        <w:rPr>
          <w:spacing w:val="-2"/>
          <w:sz w:val="21"/>
        </w:rPr>
        <w:t>not </w:t>
      </w:r>
      <w:r>
        <w:rPr>
          <w:sz w:val="21"/>
        </w:rPr>
        <w:t>identify </w:t>
      </w:r>
      <w:r>
        <w:rPr>
          <w:spacing w:val="-3"/>
          <w:sz w:val="21"/>
        </w:rPr>
        <w:t>significant </w:t>
      </w:r>
      <w:r>
        <w:rPr>
          <w:spacing w:val="-2"/>
          <w:sz w:val="21"/>
        </w:rPr>
        <w:t>problems. </w:t>
      </w:r>
      <w:r>
        <w:rPr>
          <w:spacing w:val="-4"/>
          <w:sz w:val="21"/>
        </w:rPr>
        <w:t>Consultees </w:t>
      </w:r>
      <w:r>
        <w:rPr>
          <w:spacing w:val="-3"/>
          <w:sz w:val="21"/>
        </w:rPr>
        <w:t>were generally </w:t>
      </w:r>
      <w:r>
        <w:rPr>
          <w:sz w:val="21"/>
        </w:rPr>
        <w:t>of the view </w:t>
      </w:r>
      <w:r>
        <w:rPr>
          <w:spacing w:val="-3"/>
          <w:sz w:val="21"/>
        </w:rPr>
        <w:t>that </w:t>
      </w:r>
      <w:r>
        <w:rPr>
          <w:sz w:val="21"/>
        </w:rPr>
        <w:t>most people would </w:t>
      </w:r>
      <w:r>
        <w:rPr>
          <w:spacing w:val="-4"/>
          <w:sz w:val="21"/>
        </w:rPr>
        <w:t>‘have </w:t>
      </w:r>
      <w:r>
        <w:rPr>
          <w:sz w:val="21"/>
        </w:rPr>
        <w:t>a go’ at </w:t>
      </w:r>
      <w:r>
        <w:rPr>
          <w:spacing w:val="-3"/>
          <w:sz w:val="21"/>
        </w:rPr>
        <w:t>administering </w:t>
      </w:r>
      <w:r>
        <w:rPr>
          <w:spacing w:val="-4"/>
          <w:sz w:val="21"/>
        </w:rPr>
        <w:t>informally, </w:t>
      </w:r>
      <w:r>
        <w:rPr>
          <w:sz w:val="21"/>
        </w:rPr>
        <w:t>and would only seek a </w:t>
      </w:r>
      <w:r>
        <w:rPr>
          <w:spacing w:val="-3"/>
          <w:sz w:val="21"/>
        </w:rPr>
        <w:t>grant </w:t>
      </w:r>
      <w:r>
        <w:rPr>
          <w:sz w:val="21"/>
        </w:rPr>
        <w:t>of representation</w:t>
      </w:r>
      <w:r>
        <w:rPr>
          <w:spacing w:val="9"/>
          <w:sz w:val="21"/>
        </w:rPr>
        <w:t> </w:t>
      </w:r>
      <w:r>
        <w:rPr>
          <w:sz w:val="21"/>
        </w:rPr>
        <w:t>where</w:t>
      </w:r>
      <w:r>
        <w:rPr>
          <w:spacing w:val="10"/>
          <w:sz w:val="21"/>
        </w:rPr>
        <w:t> </w:t>
      </w:r>
      <w:r>
        <w:rPr>
          <w:sz w:val="21"/>
        </w:rPr>
        <w:t>a</w:t>
      </w:r>
      <w:r>
        <w:rPr>
          <w:spacing w:val="10"/>
          <w:sz w:val="21"/>
        </w:rPr>
        <w:t> </w:t>
      </w:r>
      <w:r>
        <w:rPr>
          <w:sz w:val="21"/>
        </w:rPr>
        <w:t>bank</w:t>
      </w:r>
      <w:r>
        <w:rPr>
          <w:spacing w:val="10"/>
          <w:sz w:val="21"/>
        </w:rPr>
        <w:t> </w:t>
      </w:r>
      <w:r>
        <w:rPr>
          <w:sz w:val="21"/>
        </w:rPr>
        <w:t>or</w:t>
      </w:r>
      <w:r>
        <w:rPr>
          <w:spacing w:val="10"/>
          <w:sz w:val="21"/>
        </w:rPr>
        <w:t> </w:t>
      </w:r>
      <w:r>
        <w:rPr>
          <w:sz w:val="21"/>
        </w:rPr>
        <w:t>other</w:t>
      </w:r>
      <w:r>
        <w:rPr>
          <w:spacing w:val="10"/>
          <w:sz w:val="21"/>
        </w:rPr>
        <w:t> </w:t>
      </w:r>
      <w:r>
        <w:rPr>
          <w:sz w:val="21"/>
        </w:rPr>
        <w:t>asset-holder</w:t>
      </w:r>
      <w:r>
        <w:rPr>
          <w:spacing w:val="10"/>
          <w:sz w:val="21"/>
        </w:rPr>
        <w:t> </w:t>
      </w:r>
      <w:r>
        <w:rPr>
          <w:spacing w:val="-3"/>
          <w:sz w:val="21"/>
        </w:rPr>
        <w:t>required</w:t>
      </w:r>
      <w:r>
        <w:rPr>
          <w:spacing w:val="9"/>
          <w:sz w:val="21"/>
        </w:rPr>
        <w:t> </w:t>
      </w:r>
      <w:r>
        <w:rPr>
          <w:sz w:val="21"/>
        </w:rPr>
        <w:t>one.</w:t>
      </w:r>
      <w:r>
        <w:rPr>
          <w:position w:val="7"/>
          <w:sz w:val="12"/>
        </w:rPr>
        <w:t>44</w:t>
      </w:r>
    </w:p>
    <w:p>
      <w:pPr>
        <w:pStyle w:val="ListParagraph"/>
        <w:numPr>
          <w:ilvl w:val="1"/>
          <w:numId w:val="22"/>
        </w:numPr>
        <w:tabs>
          <w:tab w:pos="2380" w:val="left" w:leader="none"/>
          <w:tab w:pos="2381" w:val="left" w:leader="none"/>
        </w:tabs>
        <w:spacing w:line="242" w:lineRule="auto" w:before="125" w:after="0"/>
        <w:ind w:left="2381" w:right="2148" w:hanging="794"/>
        <w:jc w:val="left"/>
        <w:rPr>
          <w:sz w:val="21"/>
        </w:rPr>
      </w:pPr>
      <w:r>
        <w:rPr>
          <w:sz w:val="21"/>
        </w:rPr>
        <w:t>For this </w:t>
      </w:r>
      <w:r>
        <w:rPr>
          <w:spacing w:val="-3"/>
          <w:sz w:val="21"/>
        </w:rPr>
        <w:t>reason, </w:t>
      </w:r>
      <w:r>
        <w:rPr>
          <w:sz w:val="21"/>
        </w:rPr>
        <w:t>the </w:t>
      </w:r>
      <w:r>
        <w:rPr>
          <w:spacing w:val="-3"/>
          <w:sz w:val="21"/>
        </w:rPr>
        <w:t>recommendations </w:t>
      </w:r>
      <w:r>
        <w:rPr>
          <w:sz w:val="21"/>
        </w:rPr>
        <w:t>in this </w:t>
      </w:r>
      <w:r>
        <w:rPr>
          <w:spacing w:val="-3"/>
          <w:sz w:val="21"/>
        </w:rPr>
        <w:t>area represent </w:t>
      </w:r>
      <w:r>
        <w:rPr>
          <w:sz w:val="21"/>
        </w:rPr>
        <w:t>a clarification and </w:t>
      </w:r>
      <w:r>
        <w:rPr>
          <w:spacing w:val="-3"/>
          <w:sz w:val="21"/>
        </w:rPr>
        <w:t>strengthening </w:t>
      </w:r>
      <w:r>
        <w:rPr>
          <w:sz w:val="21"/>
        </w:rPr>
        <w:t>of the existing protections </w:t>
      </w:r>
      <w:r>
        <w:rPr>
          <w:spacing w:val="-3"/>
          <w:sz w:val="21"/>
        </w:rPr>
        <w:t>available to </w:t>
      </w:r>
      <w:r>
        <w:rPr>
          <w:sz w:val="21"/>
        </w:rPr>
        <w:t>those </w:t>
      </w:r>
      <w:r>
        <w:rPr>
          <w:spacing w:val="-3"/>
          <w:sz w:val="21"/>
        </w:rPr>
        <w:t>administering </w:t>
      </w:r>
      <w:r>
        <w:rPr>
          <w:spacing w:val="-4"/>
          <w:sz w:val="21"/>
        </w:rPr>
        <w:t>informally. </w:t>
      </w:r>
      <w:r>
        <w:rPr>
          <w:sz w:val="21"/>
        </w:rPr>
        <w:t>They</w:t>
      </w:r>
      <w:r>
        <w:rPr>
          <w:spacing w:val="11"/>
          <w:sz w:val="21"/>
        </w:rPr>
        <w:t> </w:t>
      </w:r>
      <w:r>
        <w:rPr>
          <w:sz w:val="21"/>
        </w:rPr>
        <w:t>do</w:t>
      </w:r>
      <w:r>
        <w:rPr>
          <w:spacing w:val="12"/>
          <w:sz w:val="21"/>
        </w:rPr>
        <w:t> </w:t>
      </w:r>
      <w:r>
        <w:rPr>
          <w:spacing w:val="-2"/>
          <w:sz w:val="21"/>
        </w:rPr>
        <w:t>not</w:t>
      </w:r>
      <w:r>
        <w:rPr>
          <w:spacing w:val="12"/>
          <w:sz w:val="21"/>
        </w:rPr>
        <w:t> </w:t>
      </w:r>
      <w:r>
        <w:rPr>
          <w:spacing w:val="-3"/>
          <w:sz w:val="21"/>
        </w:rPr>
        <w:t>introduce</w:t>
      </w:r>
      <w:r>
        <w:rPr>
          <w:spacing w:val="12"/>
          <w:sz w:val="21"/>
        </w:rPr>
        <w:t> </w:t>
      </w:r>
      <w:r>
        <w:rPr>
          <w:spacing w:val="-2"/>
          <w:sz w:val="21"/>
        </w:rPr>
        <w:t>significantly</w:t>
      </w:r>
      <w:r>
        <w:rPr>
          <w:spacing w:val="11"/>
          <w:sz w:val="21"/>
        </w:rPr>
        <w:t> </w:t>
      </w:r>
      <w:r>
        <w:rPr>
          <w:sz w:val="21"/>
        </w:rPr>
        <w:t>broader</w:t>
      </w:r>
      <w:r>
        <w:rPr>
          <w:spacing w:val="12"/>
          <w:sz w:val="21"/>
        </w:rPr>
        <w:t> </w:t>
      </w:r>
      <w:r>
        <w:rPr>
          <w:sz w:val="21"/>
        </w:rPr>
        <w:t>or</w:t>
      </w:r>
      <w:r>
        <w:rPr>
          <w:spacing w:val="12"/>
          <w:sz w:val="21"/>
        </w:rPr>
        <w:t> </w:t>
      </w:r>
      <w:r>
        <w:rPr>
          <w:spacing w:val="-3"/>
          <w:sz w:val="21"/>
        </w:rPr>
        <w:t>different</w:t>
      </w:r>
      <w:r>
        <w:rPr>
          <w:spacing w:val="12"/>
          <w:sz w:val="21"/>
        </w:rPr>
        <w:t> </w:t>
      </w:r>
      <w:r>
        <w:rPr>
          <w:sz w:val="21"/>
        </w:rPr>
        <w:t>protections.</w:t>
      </w:r>
    </w:p>
    <w:p>
      <w:pPr>
        <w:pStyle w:val="BodyText"/>
        <w:spacing w:before="3"/>
        <w:rPr>
          <w:sz w:val="23"/>
        </w:rPr>
      </w:pPr>
    </w:p>
    <w:p>
      <w:pPr>
        <w:pStyle w:val="Heading5"/>
      </w:pPr>
      <w:r>
        <w:rPr>
          <w:w w:val="115"/>
        </w:rPr>
        <w:t>Clarifying the role of an informal administrator</w:t>
      </w:r>
    </w:p>
    <w:p>
      <w:pPr>
        <w:pStyle w:val="ListParagraph"/>
        <w:numPr>
          <w:ilvl w:val="1"/>
          <w:numId w:val="22"/>
        </w:numPr>
        <w:tabs>
          <w:tab w:pos="2381" w:val="left" w:leader="none"/>
          <w:tab w:pos="2382" w:val="left" w:leader="none"/>
        </w:tabs>
        <w:spacing w:line="240" w:lineRule="auto" w:before="137" w:after="0"/>
        <w:ind w:left="2381" w:right="0" w:hanging="794"/>
        <w:jc w:val="left"/>
        <w:rPr>
          <w:sz w:val="21"/>
        </w:rPr>
      </w:pPr>
      <w:r>
        <w:rPr>
          <w:spacing w:val="-3"/>
          <w:sz w:val="21"/>
        </w:rPr>
        <w:t>Informal</w:t>
      </w:r>
      <w:r>
        <w:rPr>
          <w:spacing w:val="9"/>
          <w:sz w:val="21"/>
        </w:rPr>
        <w:t> </w:t>
      </w:r>
      <w:r>
        <w:rPr>
          <w:spacing w:val="-3"/>
          <w:sz w:val="21"/>
        </w:rPr>
        <w:t>administrators</w:t>
      </w:r>
      <w:r>
        <w:rPr>
          <w:spacing w:val="10"/>
          <w:sz w:val="21"/>
        </w:rPr>
        <w:t> </w:t>
      </w:r>
      <w:r>
        <w:rPr>
          <w:spacing w:val="-3"/>
          <w:sz w:val="21"/>
        </w:rPr>
        <w:t>may</w:t>
      </w:r>
      <w:r>
        <w:rPr>
          <w:spacing w:val="10"/>
          <w:sz w:val="21"/>
        </w:rPr>
        <w:t> </w:t>
      </w:r>
      <w:r>
        <w:rPr>
          <w:spacing w:val="-2"/>
          <w:sz w:val="21"/>
        </w:rPr>
        <w:t>not</w:t>
      </w:r>
      <w:r>
        <w:rPr>
          <w:spacing w:val="10"/>
          <w:sz w:val="21"/>
        </w:rPr>
        <w:t> </w:t>
      </w:r>
      <w:r>
        <w:rPr>
          <w:sz w:val="21"/>
        </w:rPr>
        <w:t>see</w:t>
      </w:r>
      <w:r>
        <w:rPr>
          <w:spacing w:val="9"/>
          <w:sz w:val="21"/>
        </w:rPr>
        <w:t> </w:t>
      </w:r>
      <w:r>
        <w:rPr>
          <w:sz w:val="21"/>
        </w:rPr>
        <w:t>themselves</w:t>
      </w:r>
      <w:r>
        <w:rPr>
          <w:spacing w:val="10"/>
          <w:sz w:val="21"/>
        </w:rPr>
        <w:t> </w:t>
      </w:r>
      <w:r>
        <w:rPr>
          <w:sz w:val="21"/>
        </w:rPr>
        <w:t>as</w:t>
      </w:r>
      <w:r>
        <w:rPr>
          <w:spacing w:val="10"/>
          <w:sz w:val="21"/>
        </w:rPr>
        <w:t> </w:t>
      </w:r>
      <w:r>
        <w:rPr>
          <w:spacing w:val="-3"/>
          <w:sz w:val="21"/>
        </w:rPr>
        <w:t>administrators</w:t>
      </w:r>
      <w:r>
        <w:rPr>
          <w:spacing w:val="10"/>
          <w:sz w:val="21"/>
        </w:rPr>
        <w:t> </w:t>
      </w:r>
      <w:r>
        <w:rPr>
          <w:sz w:val="21"/>
        </w:rPr>
        <w:t>or</w:t>
      </w:r>
      <w:r>
        <w:rPr>
          <w:spacing w:val="9"/>
          <w:sz w:val="21"/>
        </w:rPr>
        <w:t> </w:t>
      </w:r>
      <w:r>
        <w:rPr>
          <w:sz w:val="21"/>
        </w:rPr>
        <w:t>representatives</w:t>
      </w:r>
    </w:p>
    <w:p>
      <w:pPr>
        <w:pStyle w:val="BodyText"/>
        <w:spacing w:line="242" w:lineRule="auto" w:before="4"/>
        <w:ind w:left="2381" w:right="1826"/>
      </w:pPr>
      <w:r>
        <w:rPr/>
        <w:t>of the </w:t>
      </w:r>
      <w:r>
        <w:rPr>
          <w:spacing w:val="-3"/>
        </w:rPr>
        <w:t>estate, rather </w:t>
      </w:r>
      <w:r>
        <w:rPr/>
        <w:t>just as people trying </w:t>
      </w:r>
      <w:r>
        <w:rPr>
          <w:spacing w:val="-3"/>
        </w:rPr>
        <w:t>to </w:t>
      </w:r>
      <w:r>
        <w:rPr/>
        <w:t>deal with the estate </w:t>
      </w:r>
      <w:r>
        <w:rPr>
          <w:spacing w:val="-4"/>
        </w:rPr>
        <w:t>generally.  </w:t>
      </w:r>
      <w:r>
        <w:rPr/>
        <w:t>It is important  </w:t>
      </w:r>
      <w:r>
        <w:rPr>
          <w:spacing w:val="-3"/>
        </w:rPr>
        <w:t>to</w:t>
      </w:r>
      <w:r>
        <w:rPr>
          <w:spacing w:val="8"/>
        </w:rPr>
        <w:t> </w:t>
      </w:r>
      <w:r>
        <w:rPr/>
        <w:t>clarify</w:t>
      </w:r>
      <w:r>
        <w:rPr>
          <w:spacing w:val="9"/>
        </w:rPr>
        <w:t> </w:t>
      </w:r>
      <w:r>
        <w:rPr/>
        <w:t>the</w:t>
      </w:r>
      <w:r>
        <w:rPr>
          <w:spacing w:val="9"/>
        </w:rPr>
        <w:t> </w:t>
      </w:r>
      <w:r>
        <w:rPr/>
        <w:t>extent</w:t>
      </w:r>
      <w:r>
        <w:rPr>
          <w:spacing w:val="9"/>
        </w:rPr>
        <w:t> </w:t>
      </w:r>
      <w:r>
        <w:rPr/>
        <w:t>of</w:t>
      </w:r>
      <w:r>
        <w:rPr>
          <w:spacing w:val="9"/>
        </w:rPr>
        <w:t> </w:t>
      </w:r>
      <w:r>
        <w:rPr/>
        <w:t>their</w:t>
      </w:r>
      <w:r>
        <w:rPr>
          <w:spacing w:val="9"/>
        </w:rPr>
        <w:t> </w:t>
      </w:r>
      <w:r>
        <w:rPr/>
        <w:t>rights</w:t>
      </w:r>
      <w:r>
        <w:rPr>
          <w:spacing w:val="8"/>
        </w:rPr>
        <w:t> </w:t>
      </w:r>
      <w:r>
        <w:rPr/>
        <w:t>and</w:t>
      </w:r>
      <w:r>
        <w:rPr>
          <w:spacing w:val="9"/>
        </w:rPr>
        <w:t> </w:t>
      </w:r>
      <w:r>
        <w:rPr>
          <w:spacing w:val="-3"/>
        </w:rPr>
        <w:t>responsibilities.</w:t>
      </w:r>
    </w:p>
    <w:p>
      <w:pPr>
        <w:pStyle w:val="ListParagraph"/>
        <w:numPr>
          <w:ilvl w:val="1"/>
          <w:numId w:val="22"/>
        </w:numPr>
        <w:tabs>
          <w:tab w:pos="2380" w:val="left" w:leader="none"/>
          <w:tab w:pos="2381" w:val="left" w:leader="none"/>
        </w:tabs>
        <w:spacing w:line="242" w:lineRule="auto" w:before="122" w:after="0"/>
        <w:ind w:left="2381" w:right="2059" w:hanging="794"/>
        <w:jc w:val="left"/>
        <w:rPr>
          <w:sz w:val="12"/>
        </w:rPr>
      </w:pPr>
      <w:r>
        <w:rPr>
          <w:spacing w:val="-5"/>
          <w:w w:val="105"/>
          <w:sz w:val="21"/>
        </w:rPr>
        <w:t>Currently, </w:t>
      </w:r>
      <w:r>
        <w:rPr>
          <w:w w:val="105"/>
          <w:sz w:val="21"/>
        </w:rPr>
        <w:t>those</w:t>
      </w:r>
      <w:r>
        <w:rPr>
          <w:spacing w:val="-5"/>
          <w:w w:val="105"/>
          <w:sz w:val="21"/>
        </w:rPr>
        <w:t> </w:t>
      </w:r>
      <w:r>
        <w:rPr>
          <w:w w:val="105"/>
          <w:sz w:val="21"/>
        </w:rPr>
        <w:t>acting</w:t>
      </w:r>
      <w:r>
        <w:rPr>
          <w:spacing w:val="-5"/>
          <w:w w:val="105"/>
          <w:sz w:val="21"/>
        </w:rPr>
        <w:t> </w:t>
      </w:r>
      <w:r>
        <w:rPr>
          <w:w w:val="105"/>
          <w:sz w:val="21"/>
        </w:rPr>
        <w:t>under</w:t>
      </w:r>
      <w:r>
        <w:rPr>
          <w:spacing w:val="-4"/>
          <w:w w:val="105"/>
          <w:sz w:val="21"/>
        </w:rPr>
        <w:t> </w:t>
      </w:r>
      <w:r>
        <w:rPr>
          <w:w w:val="105"/>
          <w:sz w:val="21"/>
        </w:rPr>
        <w:t>a</w:t>
      </w:r>
      <w:r>
        <w:rPr>
          <w:spacing w:val="-5"/>
          <w:w w:val="105"/>
          <w:sz w:val="21"/>
        </w:rPr>
        <w:t> </w:t>
      </w:r>
      <w:r>
        <w:rPr>
          <w:spacing w:val="-3"/>
          <w:w w:val="105"/>
          <w:sz w:val="21"/>
        </w:rPr>
        <w:t>formal</w:t>
      </w:r>
      <w:r>
        <w:rPr>
          <w:spacing w:val="-5"/>
          <w:w w:val="105"/>
          <w:sz w:val="21"/>
        </w:rPr>
        <w:t> </w:t>
      </w:r>
      <w:r>
        <w:rPr>
          <w:spacing w:val="-3"/>
          <w:w w:val="105"/>
          <w:sz w:val="21"/>
        </w:rPr>
        <w:t>grant</w:t>
      </w:r>
      <w:r>
        <w:rPr>
          <w:spacing w:val="-5"/>
          <w:w w:val="105"/>
          <w:sz w:val="21"/>
        </w:rPr>
        <w:t> </w:t>
      </w:r>
      <w:r>
        <w:rPr>
          <w:w w:val="105"/>
          <w:sz w:val="21"/>
        </w:rPr>
        <w:t>of</w:t>
      </w:r>
      <w:r>
        <w:rPr>
          <w:spacing w:val="-4"/>
          <w:w w:val="105"/>
          <w:sz w:val="21"/>
        </w:rPr>
        <w:t> </w:t>
      </w:r>
      <w:r>
        <w:rPr>
          <w:spacing w:val="-2"/>
          <w:w w:val="105"/>
          <w:sz w:val="21"/>
        </w:rPr>
        <w:t>representation</w:t>
      </w:r>
      <w:r>
        <w:rPr>
          <w:spacing w:val="-5"/>
          <w:w w:val="105"/>
          <w:sz w:val="21"/>
        </w:rPr>
        <w:t> </w:t>
      </w:r>
      <w:r>
        <w:rPr>
          <w:spacing w:val="-3"/>
          <w:w w:val="105"/>
          <w:sz w:val="21"/>
        </w:rPr>
        <w:t>are</w:t>
      </w:r>
      <w:r>
        <w:rPr>
          <w:spacing w:val="-5"/>
          <w:w w:val="105"/>
          <w:sz w:val="21"/>
        </w:rPr>
        <w:t> </w:t>
      </w:r>
      <w:r>
        <w:rPr>
          <w:w w:val="105"/>
          <w:sz w:val="21"/>
        </w:rPr>
        <w:t>afforded</w:t>
      </w:r>
      <w:r>
        <w:rPr>
          <w:spacing w:val="-5"/>
          <w:w w:val="105"/>
          <w:sz w:val="21"/>
        </w:rPr>
        <w:t> </w:t>
      </w:r>
      <w:r>
        <w:rPr>
          <w:w w:val="105"/>
          <w:sz w:val="21"/>
        </w:rPr>
        <w:t>a</w:t>
      </w:r>
      <w:r>
        <w:rPr>
          <w:spacing w:val="-4"/>
          <w:w w:val="105"/>
          <w:sz w:val="21"/>
        </w:rPr>
        <w:t> </w:t>
      </w:r>
      <w:r>
        <w:rPr>
          <w:w w:val="105"/>
          <w:sz w:val="21"/>
        </w:rPr>
        <w:t>general protection </w:t>
      </w:r>
      <w:r>
        <w:rPr>
          <w:spacing w:val="-3"/>
          <w:w w:val="105"/>
          <w:sz w:val="21"/>
        </w:rPr>
        <w:t>for </w:t>
      </w:r>
      <w:r>
        <w:rPr>
          <w:w w:val="105"/>
          <w:sz w:val="21"/>
        </w:rPr>
        <w:t>acts done in good </w:t>
      </w:r>
      <w:r>
        <w:rPr>
          <w:spacing w:val="-3"/>
          <w:w w:val="105"/>
          <w:sz w:val="21"/>
        </w:rPr>
        <w:t>faith </w:t>
      </w:r>
      <w:r>
        <w:rPr>
          <w:w w:val="105"/>
          <w:sz w:val="21"/>
        </w:rPr>
        <w:t>in the </w:t>
      </w:r>
      <w:r>
        <w:rPr>
          <w:spacing w:val="-3"/>
          <w:w w:val="105"/>
          <w:sz w:val="21"/>
        </w:rPr>
        <w:t>administration </w:t>
      </w:r>
      <w:r>
        <w:rPr>
          <w:w w:val="105"/>
          <w:sz w:val="21"/>
        </w:rPr>
        <w:t>of the</w:t>
      </w:r>
      <w:r>
        <w:rPr>
          <w:spacing w:val="32"/>
          <w:w w:val="105"/>
          <w:sz w:val="21"/>
        </w:rPr>
        <w:t> </w:t>
      </w:r>
      <w:r>
        <w:rPr>
          <w:spacing w:val="-3"/>
          <w:w w:val="105"/>
          <w:sz w:val="21"/>
        </w:rPr>
        <w:t>estate.</w:t>
      </w:r>
      <w:r>
        <w:rPr>
          <w:spacing w:val="-3"/>
          <w:w w:val="105"/>
          <w:position w:val="7"/>
          <w:sz w:val="12"/>
        </w:rPr>
        <w:t>45</w:t>
      </w:r>
    </w:p>
    <w:p>
      <w:pPr>
        <w:pStyle w:val="ListParagraph"/>
        <w:numPr>
          <w:ilvl w:val="1"/>
          <w:numId w:val="22"/>
        </w:numPr>
        <w:tabs>
          <w:tab w:pos="2381" w:val="left" w:leader="none"/>
          <w:tab w:pos="2382" w:val="left" w:leader="none"/>
        </w:tabs>
        <w:spacing w:line="242" w:lineRule="auto" w:before="122" w:after="0"/>
        <w:ind w:left="2381" w:right="1675" w:hanging="794"/>
        <w:jc w:val="left"/>
        <w:rPr>
          <w:sz w:val="12"/>
        </w:rPr>
      </w:pPr>
      <w:r>
        <w:rPr>
          <w:spacing w:val="-3"/>
          <w:sz w:val="21"/>
        </w:rPr>
        <w:t>Informal administrators </w:t>
      </w:r>
      <w:r>
        <w:rPr>
          <w:spacing w:val="-4"/>
          <w:sz w:val="21"/>
        </w:rPr>
        <w:t>are, however, </w:t>
      </w:r>
      <w:r>
        <w:rPr>
          <w:sz w:val="21"/>
        </w:rPr>
        <w:t>protected only </w:t>
      </w:r>
      <w:r>
        <w:rPr>
          <w:spacing w:val="-3"/>
          <w:sz w:val="21"/>
        </w:rPr>
        <w:t>to </w:t>
      </w:r>
      <w:r>
        <w:rPr>
          <w:sz w:val="21"/>
        </w:rPr>
        <w:t>the extent </w:t>
      </w:r>
      <w:r>
        <w:rPr>
          <w:spacing w:val="-3"/>
          <w:sz w:val="21"/>
        </w:rPr>
        <w:t>that </w:t>
      </w:r>
      <w:r>
        <w:rPr>
          <w:sz w:val="21"/>
        </w:rPr>
        <w:t>they </w:t>
      </w:r>
      <w:r>
        <w:rPr>
          <w:i/>
          <w:sz w:val="21"/>
        </w:rPr>
        <w:t>correctly </w:t>
      </w:r>
      <w:r>
        <w:rPr>
          <w:spacing w:val="-3"/>
          <w:sz w:val="21"/>
        </w:rPr>
        <w:t>administer </w:t>
      </w:r>
      <w:r>
        <w:rPr>
          <w:sz w:val="21"/>
        </w:rPr>
        <w:t>the </w:t>
      </w:r>
      <w:r>
        <w:rPr>
          <w:spacing w:val="-3"/>
          <w:sz w:val="21"/>
        </w:rPr>
        <w:t>estate. </w:t>
      </w:r>
      <w:r>
        <w:rPr>
          <w:sz w:val="21"/>
        </w:rPr>
        <w:t>They </w:t>
      </w:r>
      <w:r>
        <w:rPr>
          <w:spacing w:val="-3"/>
          <w:sz w:val="21"/>
        </w:rPr>
        <w:t>are </w:t>
      </w:r>
      <w:r>
        <w:rPr>
          <w:sz w:val="21"/>
        </w:rPr>
        <w:t>otherwise </w:t>
      </w:r>
      <w:r>
        <w:rPr>
          <w:spacing w:val="-3"/>
          <w:sz w:val="21"/>
        </w:rPr>
        <w:t>liable to </w:t>
      </w:r>
      <w:r>
        <w:rPr>
          <w:sz w:val="21"/>
        </w:rPr>
        <w:t>be sued by </w:t>
      </w:r>
      <w:r>
        <w:rPr>
          <w:spacing w:val="-3"/>
          <w:sz w:val="21"/>
        </w:rPr>
        <w:t>any </w:t>
      </w:r>
      <w:r>
        <w:rPr>
          <w:sz w:val="21"/>
        </w:rPr>
        <w:t>of the </w:t>
      </w:r>
      <w:r>
        <w:rPr>
          <w:spacing w:val="-3"/>
          <w:sz w:val="21"/>
        </w:rPr>
        <w:t>rightful </w:t>
      </w:r>
      <w:r>
        <w:rPr>
          <w:sz w:val="21"/>
        </w:rPr>
        <w:t>personal representatives, </w:t>
      </w:r>
      <w:r>
        <w:rPr>
          <w:spacing w:val="-3"/>
          <w:sz w:val="21"/>
        </w:rPr>
        <w:t>creditors </w:t>
      </w:r>
      <w:r>
        <w:rPr>
          <w:sz w:val="21"/>
        </w:rPr>
        <w:t>or beneficiaries </w:t>
      </w:r>
      <w:r>
        <w:rPr>
          <w:spacing w:val="-3"/>
          <w:sz w:val="21"/>
        </w:rPr>
        <w:t>for any </w:t>
      </w:r>
      <w:r>
        <w:rPr>
          <w:sz w:val="21"/>
        </w:rPr>
        <w:t>property received by them or </w:t>
      </w:r>
      <w:r>
        <w:rPr>
          <w:spacing w:val="-3"/>
          <w:sz w:val="21"/>
        </w:rPr>
        <w:t>any </w:t>
      </w:r>
      <w:r>
        <w:rPr>
          <w:sz w:val="21"/>
        </w:rPr>
        <w:t>loss </w:t>
      </w:r>
      <w:r>
        <w:rPr>
          <w:spacing w:val="-3"/>
          <w:sz w:val="21"/>
        </w:rPr>
        <w:t>to </w:t>
      </w:r>
      <w:r>
        <w:rPr>
          <w:sz w:val="21"/>
        </w:rPr>
        <w:t>the estate </w:t>
      </w:r>
      <w:r>
        <w:rPr>
          <w:spacing w:val="-3"/>
          <w:sz w:val="21"/>
        </w:rPr>
        <w:t>arising from </w:t>
      </w:r>
      <w:r>
        <w:rPr>
          <w:sz w:val="21"/>
        </w:rPr>
        <w:t>their actions.</w:t>
      </w:r>
      <w:r>
        <w:rPr>
          <w:position w:val="7"/>
          <w:sz w:val="12"/>
        </w:rPr>
        <w:t>46 </w:t>
      </w:r>
      <w:r>
        <w:rPr>
          <w:spacing w:val="-3"/>
          <w:sz w:val="21"/>
        </w:rPr>
        <w:t>Such  </w:t>
      </w:r>
      <w:r>
        <w:rPr>
          <w:sz w:val="21"/>
        </w:rPr>
        <w:t>a </w:t>
      </w:r>
      <w:r>
        <w:rPr>
          <w:spacing w:val="-3"/>
          <w:sz w:val="21"/>
        </w:rPr>
        <w:t>situation</w:t>
      </w:r>
      <w:r>
        <w:rPr>
          <w:spacing w:val="41"/>
          <w:sz w:val="21"/>
        </w:rPr>
        <w:t> </w:t>
      </w:r>
      <w:r>
        <w:rPr>
          <w:spacing w:val="-3"/>
          <w:sz w:val="21"/>
        </w:rPr>
        <w:t>might  </w:t>
      </w:r>
      <w:r>
        <w:rPr>
          <w:sz w:val="21"/>
        </w:rPr>
        <w:t>typically arise where a </w:t>
      </w:r>
      <w:r>
        <w:rPr>
          <w:spacing w:val="-3"/>
          <w:sz w:val="21"/>
        </w:rPr>
        <w:t>later will </w:t>
      </w:r>
      <w:r>
        <w:rPr>
          <w:sz w:val="21"/>
        </w:rPr>
        <w:t>is </w:t>
      </w:r>
      <w:r>
        <w:rPr>
          <w:spacing w:val="-3"/>
          <w:sz w:val="21"/>
        </w:rPr>
        <w:t>discovered  </w:t>
      </w:r>
      <w:r>
        <w:rPr>
          <w:sz w:val="21"/>
        </w:rPr>
        <w:t>after the estate </w:t>
      </w:r>
      <w:r>
        <w:rPr>
          <w:spacing w:val="-2"/>
          <w:sz w:val="21"/>
        </w:rPr>
        <w:t>has</w:t>
      </w:r>
      <w:r>
        <w:rPr>
          <w:spacing w:val="43"/>
          <w:sz w:val="21"/>
        </w:rPr>
        <w:t> </w:t>
      </w:r>
      <w:r>
        <w:rPr>
          <w:sz w:val="21"/>
        </w:rPr>
        <w:t>been </w:t>
      </w:r>
      <w:r>
        <w:rPr>
          <w:spacing w:val="-3"/>
          <w:sz w:val="21"/>
        </w:rPr>
        <w:t>informally  distributed,  </w:t>
      </w:r>
      <w:r>
        <w:rPr>
          <w:sz w:val="21"/>
        </w:rPr>
        <w:t>or where the debts of the</w:t>
      </w:r>
      <w:r>
        <w:rPr>
          <w:spacing w:val="9"/>
          <w:sz w:val="21"/>
        </w:rPr>
        <w:t> </w:t>
      </w:r>
      <w:r>
        <w:rPr>
          <w:sz w:val="21"/>
        </w:rPr>
        <w:t>estate</w:t>
      </w:r>
      <w:r>
        <w:rPr>
          <w:spacing w:val="10"/>
          <w:sz w:val="21"/>
        </w:rPr>
        <w:t> </w:t>
      </w:r>
      <w:r>
        <w:rPr>
          <w:spacing w:val="-3"/>
          <w:sz w:val="21"/>
        </w:rPr>
        <w:t>were</w:t>
      </w:r>
      <w:r>
        <w:rPr>
          <w:spacing w:val="10"/>
          <w:sz w:val="21"/>
        </w:rPr>
        <w:t> </w:t>
      </w:r>
      <w:r>
        <w:rPr>
          <w:spacing w:val="-2"/>
          <w:sz w:val="21"/>
        </w:rPr>
        <w:t>not</w:t>
      </w:r>
      <w:r>
        <w:rPr>
          <w:spacing w:val="9"/>
          <w:sz w:val="21"/>
        </w:rPr>
        <w:t> </w:t>
      </w:r>
      <w:r>
        <w:rPr>
          <w:spacing w:val="-3"/>
          <w:sz w:val="21"/>
        </w:rPr>
        <w:t>fully</w:t>
      </w:r>
      <w:r>
        <w:rPr>
          <w:spacing w:val="10"/>
          <w:sz w:val="21"/>
        </w:rPr>
        <w:t> </w:t>
      </w:r>
      <w:r>
        <w:rPr>
          <w:sz w:val="21"/>
        </w:rPr>
        <w:t>paid</w:t>
      </w:r>
      <w:r>
        <w:rPr>
          <w:spacing w:val="10"/>
          <w:sz w:val="21"/>
        </w:rPr>
        <w:t> </w:t>
      </w:r>
      <w:r>
        <w:rPr>
          <w:spacing w:val="-3"/>
          <w:sz w:val="21"/>
        </w:rPr>
        <w:t>before</w:t>
      </w:r>
      <w:r>
        <w:rPr>
          <w:spacing w:val="10"/>
          <w:sz w:val="21"/>
        </w:rPr>
        <w:t> </w:t>
      </w:r>
      <w:r>
        <w:rPr>
          <w:spacing w:val="-3"/>
          <w:sz w:val="21"/>
        </w:rPr>
        <w:t>distribution.</w:t>
      </w:r>
      <w:r>
        <w:rPr>
          <w:spacing w:val="-3"/>
          <w:position w:val="7"/>
          <w:sz w:val="12"/>
        </w:rPr>
        <w:t>47</w:t>
      </w:r>
    </w:p>
    <w:p>
      <w:pPr>
        <w:pStyle w:val="ListParagraph"/>
        <w:numPr>
          <w:ilvl w:val="1"/>
          <w:numId w:val="22"/>
        </w:numPr>
        <w:tabs>
          <w:tab w:pos="2380" w:val="left" w:leader="none"/>
          <w:tab w:pos="2381" w:val="left" w:leader="none"/>
        </w:tabs>
        <w:spacing w:line="242" w:lineRule="auto" w:before="127" w:after="0"/>
        <w:ind w:left="2381" w:right="2003" w:hanging="794"/>
        <w:jc w:val="left"/>
        <w:rPr>
          <w:sz w:val="21"/>
        </w:rPr>
      </w:pPr>
      <w:r>
        <w:rPr>
          <w:sz w:val="21"/>
        </w:rPr>
        <w:t>Although it is </w:t>
      </w:r>
      <w:r>
        <w:rPr>
          <w:spacing w:val="-3"/>
          <w:sz w:val="21"/>
        </w:rPr>
        <w:t>clear that </w:t>
      </w:r>
      <w:r>
        <w:rPr>
          <w:sz w:val="21"/>
        </w:rPr>
        <w:t>there </w:t>
      </w:r>
      <w:r>
        <w:rPr>
          <w:spacing w:val="-3"/>
          <w:sz w:val="21"/>
        </w:rPr>
        <w:t>may </w:t>
      </w:r>
      <w:r>
        <w:rPr>
          <w:sz w:val="21"/>
        </w:rPr>
        <w:t>be </w:t>
      </w:r>
      <w:r>
        <w:rPr>
          <w:spacing w:val="-3"/>
          <w:sz w:val="21"/>
        </w:rPr>
        <w:t>pragmatic  reasons  for  </w:t>
      </w:r>
      <w:r>
        <w:rPr>
          <w:sz w:val="21"/>
        </w:rPr>
        <w:t>an </w:t>
      </w:r>
      <w:r>
        <w:rPr>
          <w:spacing w:val="-3"/>
          <w:sz w:val="21"/>
        </w:rPr>
        <w:t>informal</w:t>
      </w:r>
      <w:r>
        <w:rPr>
          <w:spacing w:val="41"/>
          <w:sz w:val="21"/>
        </w:rPr>
        <w:t> </w:t>
      </w:r>
      <w:r>
        <w:rPr>
          <w:spacing w:val="-3"/>
          <w:sz w:val="21"/>
        </w:rPr>
        <w:t>administrator to </w:t>
      </w:r>
      <w:r>
        <w:rPr>
          <w:sz w:val="21"/>
        </w:rPr>
        <w:t>deal with estate assets, this can be </w:t>
      </w:r>
      <w:r>
        <w:rPr>
          <w:spacing w:val="-3"/>
          <w:sz w:val="21"/>
        </w:rPr>
        <w:t>problematic. </w:t>
      </w:r>
      <w:r>
        <w:rPr>
          <w:sz w:val="21"/>
        </w:rPr>
        <w:t>For </w:t>
      </w:r>
      <w:r>
        <w:rPr>
          <w:spacing w:val="-3"/>
          <w:sz w:val="21"/>
        </w:rPr>
        <w:t>example, </w:t>
      </w:r>
      <w:r>
        <w:rPr>
          <w:sz w:val="21"/>
        </w:rPr>
        <w:t>where an </w:t>
      </w:r>
      <w:r>
        <w:rPr>
          <w:spacing w:val="-3"/>
          <w:sz w:val="21"/>
        </w:rPr>
        <w:t>informal administrator </w:t>
      </w:r>
      <w:r>
        <w:rPr>
          <w:sz w:val="21"/>
        </w:rPr>
        <w:t>seeks </w:t>
      </w:r>
      <w:r>
        <w:rPr>
          <w:spacing w:val="-3"/>
          <w:sz w:val="21"/>
        </w:rPr>
        <w:t>to </w:t>
      </w:r>
      <w:r>
        <w:rPr>
          <w:spacing w:val="-2"/>
          <w:sz w:val="21"/>
        </w:rPr>
        <w:t>pay </w:t>
      </w:r>
      <w:r>
        <w:rPr>
          <w:sz w:val="21"/>
        </w:rPr>
        <w:t>debts of the estate by </w:t>
      </w:r>
      <w:r>
        <w:rPr>
          <w:spacing w:val="-3"/>
          <w:sz w:val="21"/>
        </w:rPr>
        <w:t>releasing funds from </w:t>
      </w:r>
      <w:r>
        <w:rPr>
          <w:sz w:val="21"/>
        </w:rPr>
        <w:t>the estate </w:t>
      </w:r>
      <w:r>
        <w:rPr>
          <w:spacing w:val="-3"/>
          <w:sz w:val="21"/>
        </w:rPr>
        <w:t>to</w:t>
      </w:r>
      <w:r>
        <w:rPr>
          <w:spacing w:val="5"/>
          <w:sz w:val="21"/>
        </w:rPr>
        <w:t> </w:t>
      </w:r>
      <w:r>
        <w:rPr>
          <w:sz w:val="21"/>
        </w:rPr>
        <w:t>a</w:t>
      </w:r>
    </w:p>
    <w:p>
      <w:pPr>
        <w:pStyle w:val="BodyText"/>
        <w:spacing w:line="242" w:lineRule="auto" w:before="3"/>
        <w:ind w:left="2380" w:right="1711"/>
        <w:rPr>
          <w:sz w:val="12"/>
        </w:rPr>
      </w:pPr>
      <w:r>
        <w:rPr/>
        <w:pict>
          <v:line style="position:absolute;mso-position-horizontal-relative:page;mso-position-vertical-relative:paragraph;z-index:11576;mso-wrap-distance-left:0;mso-wrap-distance-right:0" from="79.370102pt,45.889664pt" to="515.905102pt,45.889664pt" stroked="true" strokeweight="1pt" strokecolor="#f9ceca">
            <v:stroke dashstyle="solid"/>
            <w10:wrap type="topAndBottom"/>
          </v:line>
        </w:pict>
      </w:r>
      <w:r>
        <w:rPr>
          <w:spacing w:val="-5"/>
        </w:rPr>
        <w:t>creditor, </w:t>
      </w:r>
      <w:r>
        <w:rPr/>
        <w:t>an </w:t>
      </w:r>
      <w:r>
        <w:rPr>
          <w:spacing w:val="-3"/>
        </w:rPr>
        <w:t>executor </w:t>
      </w:r>
      <w:r>
        <w:rPr/>
        <w:t>or </w:t>
      </w:r>
      <w:r>
        <w:rPr>
          <w:spacing w:val="-3"/>
        </w:rPr>
        <w:t>administrator </w:t>
      </w:r>
      <w:r>
        <w:rPr/>
        <w:t>under a </w:t>
      </w:r>
      <w:r>
        <w:rPr>
          <w:spacing w:val="-3"/>
        </w:rPr>
        <w:t>later grant </w:t>
      </w:r>
      <w:r>
        <w:rPr/>
        <w:t>of </w:t>
      </w:r>
      <w:r>
        <w:rPr>
          <w:spacing w:val="-2"/>
        </w:rPr>
        <w:t>representation </w:t>
      </w:r>
      <w:r>
        <w:rPr>
          <w:spacing w:val="-3"/>
        </w:rPr>
        <w:t>cannot recover that </w:t>
      </w:r>
      <w:r>
        <w:rPr/>
        <w:t>money </w:t>
      </w:r>
      <w:r>
        <w:rPr>
          <w:spacing w:val="-3"/>
        </w:rPr>
        <w:t>from </w:t>
      </w:r>
      <w:r>
        <w:rPr/>
        <w:t>the </w:t>
      </w:r>
      <w:r>
        <w:rPr>
          <w:spacing w:val="-5"/>
        </w:rPr>
        <w:t>creditor.  </w:t>
      </w:r>
      <w:r>
        <w:rPr/>
        <w:t>The </w:t>
      </w:r>
      <w:r>
        <w:rPr>
          <w:spacing w:val="-3"/>
        </w:rPr>
        <w:t>creditor  </w:t>
      </w:r>
      <w:r>
        <w:rPr/>
        <w:t>is </w:t>
      </w:r>
      <w:r>
        <w:rPr>
          <w:spacing w:val="-2"/>
        </w:rPr>
        <w:t>not</w:t>
      </w:r>
      <w:r>
        <w:rPr>
          <w:spacing w:val="43"/>
        </w:rPr>
        <w:t> </w:t>
      </w:r>
      <w:r>
        <w:rPr>
          <w:spacing w:val="-3"/>
        </w:rPr>
        <w:t>required  to  enquire  </w:t>
      </w:r>
      <w:r>
        <w:rPr/>
        <w:t>about the authority of</w:t>
      </w:r>
      <w:r>
        <w:rPr>
          <w:spacing w:val="9"/>
        </w:rPr>
        <w:t> </w:t>
      </w:r>
      <w:r>
        <w:rPr/>
        <w:t>the</w:t>
      </w:r>
      <w:r>
        <w:rPr>
          <w:spacing w:val="10"/>
        </w:rPr>
        <w:t> </w:t>
      </w:r>
      <w:r>
        <w:rPr/>
        <w:t>person</w:t>
      </w:r>
      <w:r>
        <w:rPr>
          <w:spacing w:val="9"/>
        </w:rPr>
        <w:t> </w:t>
      </w:r>
      <w:r>
        <w:rPr/>
        <w:t>purporting</w:t>
      </w:r>
      <w:r>
        <w:rPr>
          <w:spacing w:val="10"/>
        </w:rPr>
        <w:t> </w:t>
      </w:r>
      <w:r>
        <w:rPr>
          <w:spacing w:val="-3"/>
        </w:rPr>
        <w:t>to</w:t>
      </w:r>
      <w:r>
        <w:rPr>
          <w:spacing w:val="10"/>
        </w:rPr>
        <w:t> </w:t>
      </w:r>
      <w:r>
        <w:rPr/>
        <w:t>act</w:t>
      </w:r>
      <w:r>
        <w:rPr>
          <w:spacing w:val="9"/>
        </w:rPr>
        <w:t> </w:t>
      </w:r>
      <w:r>
        <w:rPr/>
        <w:t>as</w:t>
      </w:r>
      <w:r>
        <w:rPr>
          <w:spacing w:val="10"/>
        </w:rPr>
        <w:t> </w:t>
      </w:r>
      <w:r>
        <w:rPr/>
        <w:t>the</w:t>
      </w:r>
      <w:r>
        <w:rPr>
          <w:spacing w:val="9"/>
        </w:rPr>
        <w:t> </w:t>
      </w:r>
      <w:r>
        <w:rPr/>
        <w:t>representative</w:t>
      </w:r>
      <w:r>
        <w:rPr>
          <w:spacing w:val="10"/>
        </w:rPr>
        <w:t> </w:t>
      </w:r>
      <w:r>
        <w:rPr/>
        <w:t>of</w:t>
      </w:r>
      <w:r>
        <w:rPr>
          <w:spacing w:val="10"/>
        </w:rPr>
        <w:t> </w:t>
      </w:r>
      <w:r>
        <w:rPr/>
        <w:t>the</w:t>
      </w:r>
      <w:r>
        <w:rPr>
          <w:spacing w:val="9"/>
        </w:rPr>
        <w:t> </w:t>
      </w:r>
      <w:r>
        <w:rPr/>
        <w:t>estate.</w:t>
      </w:r>
      <w:r>
        <w:rPr>
          <w:position w:val="7"/>
          <w:sz w:val="12"/>
        </w:rPr>
        <w:t>48</w:t>
      </w:r>
    </w:p>
    <w:p>
      <w:pPr>
        <w:pStyle w:val="BodyText"/>
        <w:spacing w:before="8"/>
        <w:rPr>
          <w:sz w:val="5"/>
        </w:rPr>
      </w:pPr>
    </w:p>
    <w:p>
      <w:pPr>
        <w:spacing w:after="0"/>
        <w:rPr>
          <w:sz w:val="5"/>
        </w:rPr>
        <w:sectPr>
          <w:pgSz w:w="11910" w:h="16840"/>
          <w:pgMar w:header="550" w:footer="0" w:top="1560" w:bottom="280" w:left="0" w:right="0"/>
        </w:sectPr>
      </w:pPr>
    </w:p>
    <w:p>
      <w:pPr>
        <w:pStyle w:val="BodyText"/>
        <w:rPr>
          <w:sz w:val="28"/>
        </w:rPr>
      </w:pPr>
    </w:p>
    <w:p>
      <w:pPr>
        <w:pStyle w:val="BodyText"/>
        <w:rPr>
          <w:sz w:val="28"/>
        </w:rPr>
      </w:pPr>
    </w:p>
    <w:p>
      <w:pPr>
        <w:pStyle w:val="BodyText"/>
        <w:spacing w:before="8"/>
        <w:rPr>
          <w:sz w:val="27"/>
        </w:rPr>
      </w:pPr>
    </w:p>
    <w:p>
      <w:pPr>
        <w:spacing w:before="0"/>
        <w:ind w:left="720" w:right="0" w:firstLine="0"/>
        <w:jc w:val="left"/>
        <w:rPr>
          <w:b/>
          <w:sz w:val="24"/>
        </w:rPr>
      </w:pPr>
      <w:r>
        <w:rPr>
          <w:b/>
          <w:color w:val="EC5A4F"/>
          <w:w w:val="105"/>
          <w:sz w:val="24"/>
        </w:rPr>
        <w:t>196</w:t>
      </w:r>
    </w:p>
    <w:p>
      <w:pPr>
        <w:pStyle w:val="ListParagraph"/>
        <w:numPr>
          <w:ilvl w:val="0"/>
          <w:numId w:val="140"/>
        </w:numPr>
        <w:tabs>
          <w:tab w:pos="1226" w:val="left" w:leader="none"/>
          <w:tab w:pos="1227" w:val="left" w:leader="none"/>
        </w:tabs>
        <w:spacing w:line="240" w:lineRule="auto" w:before="48" w:after="0"/>
        <w:ind w:left="1226" w:right="0" w:hanging="794"/>
        <w:jc w:val="left"/>
        <w:rPr>
          <w:sz w:val="13"/>
        </w:rPr>
      </w:pPr>
      <w:r>
        <w:rPr>
          <w:i/>
          <w:spacing w:val="1"/>
          <w:w w:val="102"/>
          <w:sz w:val="13"/>
        </w:rPr>
        <w:br w:type="column"/>
      </w:r>
      <w:r>
        <w:rPr>
          <w:i/>
          <w:w w:val="105"/>
          <w:sz w:val="13"/>
        </w:rPr>
        <w:t>Banking Act </w:t>
      </w:r>
      <w:r>
        <w:rPr>
          <w:i/>
          <w:spacing w:val="-3"/>
          <w:w w:val="105"/>
          <w:sz w:val="13"/>
        </w:rPr>
        <w:t>1959 </w:t>
      </w:r>
      <w:r>
        <w:rPr>
          <w:w w:val="105"/>
          <w:sz w:val="13"/>
        </w:rPr>
        <w:t>(Cth) s</w:t>
      </w:r>
      <w:r>
        <w:rPr>
          <w:spacing w:val="24"/>
          <w:w w:val="105"/>
          <w:sz w:val="13"/>
        </w:rPr>
        <w:t> </w:t>
      </w:r>
      <w:r>
        <w:rPr>
          <w:spacing w:val="2"/>
          <w:w w:val="105"/>
          <w:sz w:val="13"/>
        </w:rPr>
        <w:t>69AA.</w:t>
      </w:r>
    </w:p>
    <w:p>
      <w:pPr>
        <w:pStyle w:val="ListParagraph"/>
        <w:numPr>
          <w:ilvl w:val="0"/>
          <w:numId w:val="140"/>
        </w:numPr>
        <w:tabs>
          <w:tab w:pos="1226" w:val="left" w:leader="none"/>
          <w:tab w:pos="1227" w:val="left" w:leader="none"/>
        </w:tabs>
        <w:spacing w:line="240" w:lineRule="auto" w:before="1" w:after="0"/>
        <w:ind w:left="1226" w:right="0" w:hanging="794"/>
        <w:jc w:val="left"/>
        <w:rPr>
          <w:sz w:val="13"/>
        </w:rPr>
      </w:pPr>
      <w:r>
        <w:rPr>
          <w:sz w:val="13"/>
        </w:rPr>
        <w:t>The  survivor  will  apply  under  the  </w:t>
      </w:r>
      <w:r>
        <w:rPr>
          <w:i/>
          <w:sz w:val="13"/>
        </w:rPr>
        <w:t>Transfer of Land Act 1958 </w:t>
      </w:r>
      <w:r>
        <w:rPr>
          <w:spacing w:val="2"/>
          <w:sz w:val="13"/>
        </w:rPr>
        <w:t>(Vic) </w:t>
      </w:r>
      <w:r>
        <w:rPr>
          <w:sz w:val="13"/>
        </w:rPr>
        <w:t>s  50  to  become  sole  registered</w:t>
      </w:r>
      <w:r>
        <w:rPr>
          <w:spacing w:val="12"/>
          <w:sz w:val="13"/>
        </w:rPr>
        <w:t> </w:t>
      </w:r>
      <w:r>
        <w:rPr>
          <w:sz w:val="13"/>
        </w:rPr>
        <w:t>proprietor.</w:t>
      </w:r>
    </w:p>
    <w:p>
      <w:pPr>
        <w:pStyle w:val="ListParagraph"/>
        <w:numPr>
          <w:ilvl w:val="0"/>
          <w:numId w:val="140"/>
        </w:numPr>
        <w:tabs>
          <w:tab w:pos="1226" w:val="left" w:leader="none"/>
          <w:tab w:pos="1227" w:val="left" w:leader="none"/>
        </w:tabs>
        <w:spacing w:line="240" w:lineRule="auto" w:before="2" w:after="0"/>
        <w:ind w:left="1226" w:right="0" w:hanging="794"/>
        <w:jc w:val="left"/>
        <w:rPr>
          <w:sz w:val="13"/>
        </w:rPr>
      </w:pPr>
      <w:r>
        <w:rPr>
          <w:w w:val="105"/>
          <w:sz w:val="13"/>
        </w:rPr>
        <w:t>National</w:t>
      </w:r>
      <w:r>
        <w:rPr>
          <w:spacing w:val="7"/>
          <w:w w:val="105"/>
          <w:sz w:val="13"/>
        </w:rPr>
        <w:t> </w:t>
      </w:r>
      <w:r>
        <w:rPr>
          <w:w w:val="105"/>
          <w:sz w:val="13"/>
        </w:rPr>
        <w:t>Committee</w:t>
      </w:r>
      <w:r>
        <w:rPr>
          <w:spacing w:val="7"/>
          <w:w w:val="105"/>
          <w:sz w:val="13"/>
        </w:rPr>
        <w:t> </w:t>
      </w:r>
      <w:r>
        <w:rPr>
          <w:w w:val="105"/>
          <w:sz w:val="13"/>
        </w:rPr>
        <w:t>for</w:t>
      </w:r>
      <w:r>
        <w:rPr>
          <w:spacing w:val="7"/>
          <w:w w:val="105"/>
          <w:sz w:val="13"/>
        </w:rPr>
        <w:t> </w:t>
      </w:r>
      <w:r>
        <w:rPr>
          <w:w w:val="105"/>
          <w:sz w:val="13"/>
        </w:rPr>
        <w:t>Uniform</w:t>
      </w:r>
      <w:r>
        <w:rPr>
          <w:spacing w:val="7"/>
          <w:w w:val="105"/>
          <w:sz w:val="13"/>
        </w:rPr>
        <w:t> </w:t>
      </w:r>
      <w:r>
        <w:rPr>
          <w:w w:val="105"/>
          <w:sz w:val="13"/>
        </w:rPr>
        <w:t>Succession</w:t>
      </w:r>
      <w:r>
        <w:rPr>
          <w:spacing w:val="7"/>
          <w:w w:val="105"/>
          <w:sz w:val="13"/>
        </w:rPr>
        <w:t> </w:t>
      </w:r>
      <w:r>
        <w:rPr>
          <w:w w:val="105"/>
          <w:sz w:val="13"/>
        </w:rPr>
        <w:t>Laws,</w:t>
      </w:r>
      <w:r>
        <w:rPr>
          <w:spacing w:val="7"/>
          <w:w w:val="105"/>
          <w:sz w:val="13"/>
        </w:rPr>
        <w:t> </w:t>
      </w:r>
      <w:r>
        <w:rPr>
          <w:i/>
          <w:w w:val="105"/>
          <w:sz w:val="13"/>
        </w:rPr>
        <w:t>Administration</w:t>
      </w:r>
      <w:r>
        <w:rPr>
          <w:i/>
          <w:spacing w:val="6"/>
          <w:w w:val="105"/>
          <w:sz w:val="13"/>
        </w:rPr>
        <w:t> </w:t>
      </w:r>
      <w:r>
        <w:rPr>
          <w:i/>
          <w:w w:val="105"/>
          <w:sz w:val="13"/>
        </w:rPr>
        <w:t>of</w:t>
      </w:r>
      <w:r>
        <w:rPr>
          <w:i/>
          <w:spacing w:val="6"/>
          <w:w w:val="105"/>
          <w:sz w:val="13"/>
        </w:rPr>
        <w:t> </w:t>
      </w:r>
      <w:r>
        <w:rPr>
          <w:i/>
          <w:w w:val="105"/>
          <w:sz w:val="13"/>
        </w:rPr>
        <w:t>Estates:</w:t>
      </w:r>
      <w:r>
        <w:rPr>
          <w:i/>
          <w:spacing w:val="6"/>
          <w:w w:val="105"/>
          <w:sz w:val="13"/>
        </w:rPr>
        <w:t> </w:t>
      </w:r>
      <w:r>
        <w:rPr>
          <w:i/>
          <w:w w:val="105"/>
          <w:sz w:val="13"/>
        </w:rPr>
        <w:t>Volume</w:t>
      </w:r>
      <w:r>
        <w:rPr>
          <w:i/>
          <w:spacing w:val="7"/>
          <w:w w:val="105"/>
          <w:sz w:val="13"/>
        </w:rPr>
        <w:t> </w:t>
      </w:r>
      <w:r>
        <w:rPr>
          <w:i/>
          <w:spacing w:val="-3"/>
          <w:w w:val="105"/>
          <w:sz w:val="13"/>
        </w:rPr>
        <w:t>3</w:t>
      </w:r>
      <w:r>
        <w:rPr>
          <w:spacing w:val="-3"/>
          <w:w w:val="105"/>
          <w:sz w:val="13"/>
        </w:rPr>
        <w:t>,</w:t>
      </w:r>
      <w:r>
        <w:rPr>
          <w:spacing w:val="7"/>
          <w:w w:val="105"/>
          <w:sz w:val="13"/>
        </w:rPr>
        <w:t> </w:t>
      </w:r>
      <w:r>
        <w:rPr>
          <w:w w:val="105"/>
          <w:sz w:val="13"/>
        </w:rPr>
        <w:t>above</w:t>
      </w:r>
      <w:r>
        <w:rPr>
          <w:spacing w:val="7"/>
          <w:w w:val="105"/>
          <w:sz w:val="13"/>
        </w:rPr>
        <w:t> </w:t>
      </w:r>
      <w:r>
        <w:rPr>
          <w:w w:val="105"/>
          <w:sz w:val="13"/>
        </w:rPr>
        <w:t>n</w:t>
      </w:r>
      <w:r>
        <w:rPr>
          <w:spacing w:val="7"/>
          <w:w w:val="105"/>
          <w:sz w:val="13"/>
        </w:rPr>
        <w:t> </w:t>
      </w:r>
      <w:r>
        <w:rPr>
          <w:spacing w:val="-3"/>
          <w:w w:val="105"/>
          <w:sz w:val="13"/>
        </w:rPr>
        <w:t>31,</w:t>
      </w:r>
      <w:r>
        <w:rPr>
          <w:spacing w:val="7"/>
          <w:w w:val="105"/>
          <w:sz w:val="13"/>
        </w:rPr>
        <w:t> </w:t>
      </w:r>
      <w:r>
        <w:rPr>
          <w:w w:val="105"/>
          <w:sz w:val="13"/>
        </w:rPr>
        <w:t>ch</w:t>
      </w:r>
      <w:r>
        <w:rPr>
          <w:spacing w:val="7"/>
          <w:w w:val="105"/>
          <w:sz w:val="13"/>
        </w:rPr>
        <w:t> </w:t>
      </w:r>
      <w:r>
        <w:rPr>
          <w:w w:val="105"/>
          <w:sz w:val="13"/>
        </w:rPr>
        <w:t>29.</w:t>
      </w:r>
    </w:p>
    <w:p>
      <w:pPr>
        <w:pStyle w:val="ListParagraph"/>
        <w:numPr>
          <w:ilvl w:val="0"/>
          <w:numId w:val="140"/>
        </w:numPr>
        <w:tabs>
          <w:tab w:pos="1226" w:val="left" w:leader="none"/>
          <w:tab w:pos="1227" w:val="left" w:leader="none"/>
        </w:tabs>
        <w:spacing w:line="240" w:lineRule="auto" w:before="1" w:after="0"/>
        <w:ind w:left="1226" w:right="0" w:hanging="794"/>
        <w:jc w:val="left"/>
        <w:rPr>
          <w:sz w:val="13"/>
        </w:rPr>
      </w:pPr>
      <w:r>
        <w:rPr>
          <w:sz w:val="13"/>
        </w:rPr>
        <w:t>For</w:t>
      </w:r>
      <w:r>
        <w:rPr>
          <w:spacing w:val="9"/>
          <w:sz w:val="13"/>
        </w:rPr>
        <w:t> </w:t>
      </w:r>
      <w:r>
        <w:rPr>
          <w:sz w:val="13"/>
        </w:rPr>
        <w:t>example,</w:t>
      </w:r>
      <w:r>
        <w:rPr>
          <w:spacing w:val="10"/>
          <w:sz w:val="13"/>
        </w:rPr>
        <w:t> </w:t>
      </w:r>
      <w:r>
        <w:rPr>
          <w:sz w:val="13"/>
        </w:rPr>
        <w:t>consultation</w:t>
      </w:r>
      <w:r>
        <w:rPr>
          <w:spacing w:val="10"/>
          <w:sz w:val="13"/>
        </w:rPr>
        <w:t> </w:t>
      </w:r>
      <w:r>
        <w:rPr>
          <w:sz w:val="13"/>
        </w:rPr>
        <w:t>4</w:t>
      </w:r>
      <w:r>
        <w:rPr>
          <w:spacing w:val="10"/>
          <w:sz w:val="13"/>
        </w:rPr>
        <w:t> </w:t>
      </w:r>
      <w:r>
        <w:rPr>
          <w:spacing w:val="2"/>
          <w:sz w:val="13"/>
        </w:rPr>
        <w:t>(Legal</w:t>
      </w:r>
      <w:r>
        <w:rPr>
          <w:spacing w:val="10"/>
          <w:sz w:val="13"/>
        </w:rPr>
        <w:t> </w:t>
      </w:r>
      <w:r>
        <w:rPr>
          <w:sz w:val="13"/>
        </w:rPr>
        <w:t>practitioners</w:t>
      </w:r>
      <w:r>
        <w:rPr>
          <w:spacing w:val="10"/>
          <w:sz w:val="13"/>
        </w:rPr>
        <w:t> </w:t>
      </w:r>
      <w:r>
        <w:rPr>
          <w:sz w:val="13"/>
        </w:rPr>
        <w:t>from</w:t>
      </w:r>
      <w:r>
        <w:rPr>
          <w:spacing w:val="10"/>
          <w:sz w:val="13"/>
        </w:rPr>
        <w:t> </w:t>
      </w:r>
      <w:r>
        <w:rPr>
          <w:sz w:val="13"/>
        </w:rPr>
        <w:t>Loddon</w:t>
      </w:r>
      <w:r>
        <w:rPr>
          <w:spacing w:val="10"/>
          <w:sz w:val="13"/>
        </w:rPr>
        <w:t> </w:t>
      </w:r>
      <w:r>
        <w:rPr>
          <w:sz w:val="13"/>
        </w:rPr>
        <w:t>Campaspe</w:t>
      </w:r>
      <w:r>
        <w:rPr>
          <w:spacing w:val="10"/>
          <w:sz w:val="13"/>
        </w:rPr>
        <w:t> </w:t>
      </w:r>
      <w:r>
        <w:rPr>
          <w:sz w:val="13"/>
        </w:rPr>
        <w:t>and</w:t>
      </w:r>
      <w:r>
        <w:rPr>
          <w:spacing w:val="10"/>
          <w:sz w:val="13"/>
        </w:rPr>
        <w:t> </w:t>
      </w:r>
      <w:r>
        <w:rPr>
          <w:sz w:val="13"/>
        </w:rPr>
        <w:t>Goulburn</w:t>
      </w:r>
      <w:r>
        <w:rPr>
          <w:spacing w:val="10"/>
          <w:sz w:val="13"/>
        </w:rPr>
        <w:t> </w:t>
      </w:r>
      <w:r>
        <w:rPr>
          <w:sz w:val="13"/>
        </w:rPr>
        <w:t>Valley</w:t>
      </w:r>
      <w:r>
        <w:rPr>
          <w:spacing w:val="10"/>
          <w:sz w:val="13"/>
        </w:rPr>
        <w:t> </w:t>
      </w:r>
      <w:r>
        <w:rPr>
          <w:sz w:val="13"/>
        </w:rPr>
        <w:t>Community</w:t>
      </w:r>
      <w:r>
        <w:rPr>
          <w:spacing w:val="10"/>
          <w:sz w:val="13"/>
        </w:rPr>
        <w:t> </w:t>
      </w:r>
      <w:r>
        <w:rPr>
          <w:sz w:val="13"/>
        </w:rPr>
        <w:t>Legal</w:t>
      </w:r>
      <w:r>
        <w:rPr>
          <w:spacing w:val="10"/>
          <w:sz w:val="13"/>
        </w:rPr>
        <w:t> </w:t>
      </w:r>
      <w:r>
        <w:rPr>
          <w:sz w:val="13"/>
        </w:rPr>
        <w:t>Centres).</w:t>
      </w:r>
    </w:p>
    <w:p>
      <w:pPr>
        <w:pStyle w:val="ListParagraph"/>
        <w:numPr>
          <w:ilvl w:val="0"/>
          <w:numId w:val="140"/>
        </w:numPr>
        <w:tabs>
          <w:tab w:pos="1226" w:val="left" w:leader="none"/>
          <w:tab w:pos="1227" w:val="left" w:leader="none"/>
        </w:tabs>
        <w:spacing w:line="240" w:lineRule="auto" w:before="1" w:after="0"/>
        <w:ind w:left="1226" w:right="0" w:hanging="794"/>
        <w:jc w:val="left"/>
        <w:rPr>
          <w:sz w:val="13"/>
        </w:rPr>
      </w:pPr>
      <w:r>
        <w:rPr>
          <w:i/>
          <w:w w:val="105"/>
          <w:sz w:val="13"/>
        </w:rPr>
        <w:t>Administration and Probate Act 1958 </w:t>
      </w:r>
      <w:r>
        <w:rPr>
          <w:spacing w:val="2"/>
          <w:w w:val="105"/>
          <w:sz w:val="13"/>
        </w:rPr>
        <w:t>(Vic) </w:t>
      </w:r>
      <w:r>
        <w:rPr>
          <w:w w:val="105"/>
          <w:sz w:val="13"/>
        </w:rPr>
        <w:t>s</w:t>
      </w:r>
      <w:r>
        <w:rPr>
          <w:spacing w:val="25"/>
          <w:w w:val="105"/>
          <w:sz w:val="13"/>
        </w:rPr>
        <w:t> </w:t>
      </w:r>
      <w:r>
        <w:rPr>
          <w:spacing w:val="-3"/>
          <w:w w:val="105"/>
          <w:sz w:val="13"/>
        </w:rPr>
        <w:t>31.</w:t>
      </w:r>
    </w:p>
    <w:p>
      <w:pPr>
        <w:pStyle w:val="ListParagraph"/>
        <w:numPr>
          <w:ilvl w:val="0"/>
          <w:numId w:val="140"/>
        </w:numPr>
        <w:tabs>
          <w:tab w:pos="1226" w:val="left" w:leader="none"/>
          <w:tab w:pos="1227" w:val="left" w:leader="none"/>
        </w:tabs>
        <w:spacing w:line="240" w:lineRule="auto" w:before="2" w:after="0"/>
        <w:ind w:left="1226" w:right="0" w:hanging="794"/>
        <w:jc w:val="left"/>
        <w:rPr>
          <w:sz w:val="13"/>
        </w:rPr>
      </w:pPr>
      <w:r>
        <w:rPr>
          <w:w w:val="105"/>
          <w:sz w:val="13"/>
        </w:rPr>
        <w:t>Ibid s 33(1); </w:t>
      </w:r>
      <w:r>
        <w:rPr>
          <w:i/>
          <w:w w:val="105"/>
          <w:sz w:val="13"/>
        </w:rPr>
        <w:t>Carmichael v Carmichael </w:t>
      </w:r>
      <w:r>
        <w:rPr>
          <w:w w:val="105"/>
          <w:sz w:val="13"/>
        </w:rPr>
        <w:t>(1846) </w:t>
      </w:r>
      <w:r>
        <w:rPr>
          <w:spacing w:val="-3"/>
          <w:w w:val="105"/>
          <w:sz w:val="13"/>
        </w:rPr>
        <w:t>41</w:t>
      </w:r>
      <w:r>
        <w:rPr>
          <w:spacing w:val="11"/>
          <w:w w:val="105"/>
          <w:sz w:val="13"/>
        </w:rPr>
        <w:t> </w:t>
      </w:r>
      <w:r>
        <w:rPr>
          <w:w w:val="105"/>
          <w:sz w:val="13"/>
        </w:rPr>
        <w:t>ER </w:t>
      </w:r>
      <w:r>
        <w:rPr>
          <w:spacing w:val="2"/>
          <w:w w:val="105"/>
          <w:sz w:val="13"/>
        </w:rPr>
        <w:t>880.</w:t>
      </w:r>
    </w:p>
    <w:p>
      <w:pPr>
        <w:pStyle w:val="ListParagraph"/>
        <w:numPr>
          <w:ilvl w:val="0"/>
          <w:numId w:val="140"/>
        </w:numPr>
        <w:tabs>
          <w:tab w:pos="1226" w:val="left" w:leader="none"/>
          <w:tab w:pos="1227" w:val="left" w:leader="none"/>
        </w:tabs>
        <w:spacing w:line="240" w:lineRule="auto" w:before="1" w:after="0"/>
        <w:ind w:left="1226" w:right="0" w:hanging="794"/>
        <w:jc w:val="left"/>
        <w:rPr>
          <w:sz w:val="13"/>
        </w:rPr>
      </w:pPr>
      <w:r>
        <w:rPr>
          <w:w w:val="105"/>
          <w:sz w:val="13"/>
        </w:rPr>
        <w:t>National</w:t>
      </w:r>
      <w:r>
        <w:rPr>
          <w:spacing w:val="4"/>
          <w:w w:val="105"/>
          <w:sz w:val="13"/>
        </w:rPr>
        <w:t> </w:t>
      </w:r>
      <w:r>
        <w:rPr>
          <w:w w:val="105"/>
          <w:sz w:val="13"/>
        </w:rPr>
        <w:t>Committee</w:t>
      </w:r>
      <w:r>
        <w:rPr>
          <w:spacing w:val="5"/>
          <w:w w:val="105"/>
          <w:sz w:val="13"/>
        </w:rPr>
        <w:t> </w:t>
      </w:r>
      <w:r>
        <w:rPr>
          <w:w w:val="105"/>
          <w:sz w:val="13"/>
        </w:rPr>
        <w:t>for</w:t>
      </w:r>
      <w:r>
        <w:rPr>
          <w:spacing w:val="5"/>
          <w:w w:val="105"/>
          <w:sz w:val="13"/>
        </w:rPr>
        <w:t> </w:t>
      </w:r>
      <w:r>
        <w:rPr>
          <w:w w:val="105"/>
          <w:sz w:val="13"/>
        </w:rPr>
        <w:t>Uniform</w:t>
      </w:r>
      <w:r>
        <w:rPr>
          <w:spacing w:val="5"/>
          <w:w w:val="105"/>
          <w:sz w:val="13"/>
        </w:rPr>
        <w:t> </w:t>
      </w:r>
      <w:r>
        <w:rPr>
          <w:w w:val="105"/>
          <w:sz w:val="13"/>
        </w:rPr>
        <w:t>Succession</w:t>
      </w:r>
      <w:r>
        <w:rPr>
          <w:spacing w:val="5"/>
          <w:w w:val="105"/>
          <w:sz w:val="13"/>
        </w:rPr>
        <w:t> </w:t>
      </w:r>
      <w:r>
        <w:rPr>
          <w:w w:val="105"/>
          <w:sz w:val="13"/>
        </w:rPr>
        <w:t>Laws,</w:t>
      </w:r>
      <w:r>
        <w:rPr>
          <w:spacing w:val="5"/>
          <w:w w:val="105"/>
          <w:sz w:val="13"/>
        </w:rPr>
        <w:t> </w:t>
      </w:r>
      <w:r>
        <w:rPr>
          <w:i/>
          <w:w w:val="105"/>
          <w:sz w:val="13"/>
        </w:rPr>
        <w:t>Administration</w:t>
      </w:r>
      <w:r>
        <w:rPr>
          <w:i/>
          <w:spacing w:val="4"/>
          <w:w w:val="105"/>
          <w:sz w:val="13"/>
        </w:rPr>
        <w:t> </w:t>
      </w:r>
      <w:r>
        <w:rPr>
          <w:i/>
          <w:w w:val="105"/>
          <w:sz w:val="13"/>
        </w:rPr>
        <w:t>of</w:t>
      </w:r>
      <w:r>
        <w:rPr>
          <w:i/>
          <w:spacing w:val="4"/>
          <w:w w:val="105"/>
          <w:sz w:val="13"/>
        </w:rPr>
        <w:t> </w:t>
      </w:r>
      <w:r>
        <w:rPr>
          <w:i/>
          <w:w w:val="105"/>
          <w:sz w:val="13"/>
        </w:rPr>
        <w:t>Estates:</w:t>
      </w:r>
      <w:r>
        <w:rPr>
          <w:i/>
          <w:spacing w:val="4"/>
          <w:w w:val="105"/>
          <w:sz w:val="13"/>
        </w:rPr>
        <w:t> </w:t>
      </w:r>
      <w:r>
        <w:rPr>
          <w:i/>
          <w:w w:val="105"/>
          <w:sz w:val="13"/>
        </w:rPr>
        <w:t>Volume</w:t>
      </w:r>
      <w:r>
        <w:rPr>
          <w:i/>
          <w:spacing w:val="4"/>
          <w:w w:val="105"/>
          <w:sz w:val="13"/>
        </w:rPr>
        <w:t> </w:t>
      </w:r>
      <w:r>
        <w:rPr>
          <w:i/>
          <w:spacing w:val="-3"/>
          <w:w w:val="105"/>
          <w:sz w:val="13"/>
        </w:rPr>
        <w:t>3</w:t>
      </w:r>
      <w:r>
        <w:rPr>
          <w:spacing w:val="-3"/>
          <w:w w:val="105"/>
          <w:sz w:val="13"/>
        </w:rPr>
        <w:t>,</w:t>
      </w:r>
      <w:r>
        <w:rPr>
          <w:spacing w:val="4"/>
          <w:w w:val="105"/>
          <w:sz w:val="13"/>
        </w:rPr>
        <w:t> </w:t>
      </w:r>
      <w:r>
        <w:rPr>
          <w:w w:val="105"/>
          <w:sz w:val="13"/>
        </w:rPr>
        <w:t>above</w:t>
      </w:r>
      <w:r>
        <w:rPr>
          <w:spacing w:val="5"/>
          <w:w w:val="105"/>
          <w:sz w:val="13"/>
        </w:rPr>
        <w:t> </w:t>
      </w:r>
      <w:r>
        <w:rPr>
          <w:w w:val="105"/>
          <w:sz w:val="13"/>
        </w:rPr>
        <w:t>n</w:t>
      </w:r>
      <w:r>
        <w:rPr>
          <w:spacing w:val="5"/>
          <w:w w:val="105"/>
          <w:sz w:val="13"/>
        </w:rPr>
        <w:t> </w:t>
      </w:r>
      <w:r>
        <w:rPr>
          <w:spacing w:val="-3"/>
          <w:w w:val="105"/>
          <w:sz w:val="13"/>
        </w:rPr>
        <w:t>31,</w:t>
      </w:r>
      <w:r>
        <w:rPr>
          <w:spacing w:val="5"/>
          <w:w w:val="105"/>
          <w:sz w:val="13"/>
        </w:rPr>
        <w:t> </w:t>
      </w:r>
      <w:r>
        <w:rPr>
          <w:spacing w:val="-5"/>
          <w:w w:val="105"/>
          <w:sz w:val="13"/>
        </w:rPr>
        <w:t>147.</w:t>
      </w:r>
    </w:p>
    <w:p>
      <w:pPr>
        <w:pStyle w:val="ListParagraph"/>
        <w:numPr>
          <w:ilvl w:val="0"/>
          <w:numId w:val="140"/>
        </w:numPr>
        <w:tabs>
          <w:tab w:pos="1226" w:val="left" w:leader="none"/>
          <w:tab w:pos="1227" w:val="left" w:leader="none"/>
        </w:tabs>
        <w:spacing w:line="240" w:lineRule="auto" w:before="1" w:after="0"/>
        <w:ind w:left="1226" w:right="0" w:hanging="794"/>
        <w:jc w:val="left"/>
        <w:rPr>
          <w:sz w:val="13"/>
        </w:rPr>
      </w:pPr>
      <w:r>
        <w:rPr>
          <w:i/>
          <w:w w:val="105"/>
          <w:sz w:val="13"/>
        </w:rPr>
        <w:t>Parker v Kett </w:t>
      </w:r>
      <w:r>
        <w:rPr>
          <w:spacing w:val="-3"/>
          <w:w w:val="105"/>
          <w:sz w:val="13"/>
        </w:rPr>
        <w:t>(1701) </w:t>
      </w:r>
      <w:r>
        <w:rPr>
          <w:w w:val="105"/>
          <w:sz w:val="13"/>
        </w:rPr>
        <w:t>91 All ER </w:t>
      </w:r>
      <w:r>
        <w:rPr>
          <w:spacing w:val="-3"/>
          <w:w w:val="105"/>
          <w:sz w:val="13"/>
        </w:rPr>
        <w:t>133</w:t>
      </w:r>
      <w:r>
        <w:rPr>
          <w:spacing w:val="10"/>
          <w:w w:val="105"/>
          <w:sz w:val="13"/>
        </w:rPr>
        <w:t> </w:t>
      </w:r>
      <w:r>
        <w:rPr>
          <w:spacing w:val="2"/>
          <w:w w:val="105"/>
          <w:sz w:val="13"/>
        </w:rPr>
        <w:t>(Lord Holt).</w:t>
      </w:r>
    </w:p>
    <w:p>
      <w:pPr>
        <w:spacing w:after="0" w:line="240" w:lineRule="auto"/>
        <w:jc w:val="left"/>
        <w:rPr>
          <w:sz w:val="13"/>
        </w:rPr>
        <w:sectPr>
          <w:type w:val="continuous"/>
          <w:pgSz w:w="11910" w:h="16840"/>
          <w:pgMar w:top="920" w:bottom="280" w:left="0" w:right="0"/>
          <w:cols w:num="2" w:equalWidth="0">
            <w:col w:w="1115" w:space="40"/>
            <w:col w:w="10755"/>
          </w:cols>
        </w:sectPr>
      </w:pPr>
    </w:p>
    <w:p>
      <w:pPr>
        <w:pStyle w:val="BodyText"/>
        <w:rPr>
          <w:sz w:val="20"/>
        </w:rPr>
      </w:pPr>
    </w:p>
    <w:p>
      <w:pPr>
        <w:pStyle w:val="BodyText"/>
        <w:rPr>
          <w:sz w:val="19"/>
        </w:rPr>
      </w:pPr>
    </w:p>
    <w:p>
      <w:pPr>
        <w:pStyle w:val="ListParagraph"/>
        <w:numPr>
          <w:ilvl w:val="1"/>
          <w:numId w:val="22"/>
        </w:numPr>
        <w:tabs>
          <w:tab w:pos="2381" w:val="left" w:leader="none"/>
          <w:tab w:pos="2382" w:val="left" w:leader="none"/>
        </w:tabs>
        <w:spacing w:line="242" w:lineRule="auto" w:before="91" w:after="0"/>
        <w:ind w:left="2381" w:right="1918" w:hanging="794"/>
        <w:jc w:val="left"/>
        <w:rPr>
          <w:sz w:val="21"/>
        </w:rPr>
      </w:pPr>
      <w:r>
        <w:rPr>
          <w:sz w:val="21"/>
        </w:rPr>
        <w:t>Victoria is one of the </w:t>
      </w:r>
      <w:r>
        <w:rPr>
          <w:spacing w:val="-3"/>
          <w:sz w:val="21"/>
        </w:rPr>
        <w:t>few </w:t>
      </w:r>
      <w:r>
        <w:rPr>
          <w:sz w:val="21"/>
        </w:rPr>
        <w:t>jurisdictions in which the </w:t>
      </w:r>
      <w:r>
        <w:rPr>
          <w:spacing w:val="-3"/>
          <w:sz w:val="21"/>
        </w:rPr>
        <w:t>legislation </w:t>
      </w:r>
      <w:r>
        <w:rPr>
          <w:sz w:val="21"/>
        </w:rPr>
        <w:t>clearly deals with </w:t>
      </w:r>
      <w:r>
        <w:rPr>
          <w:spacing w:val="-3"/>
          <w:sz w:val="21"/>
        </w:rPr>
        <w:t>liability </w:t>
      </w:r>
      <w:r>
        <w:rPr>
          <w:sz w:val="21"/>
        </w:rPr>
        <w:t>and protection of </w:t>
      </w:r>
      <w:r>
        <w:rPr>
          <w:spacing w:val="-3"/>
          <w:sz w:val="21"/>
        </w:rPr>
        <w:t>informal administrators. </w:t>
      </w:r>
      <w:r>
        <w:rPr>
          <w:sz w:val="21"/>
        </w:rPr>
        <w:t>Section </w:t>
      </w:r>
      <w:r>
        <w:rPr>
          <w:spacing w:val="-3"/>
          <w:sz w:val="21"/>
        </w:rPr>
        <w:t>33(1) </w:t>
      </w:r>
      <w:r>
        <w:rPr>
          <w:sz w:val="21"/>
        </w:rPr>
        <w:t>of the </w:t>
      </w:r>
      <w:r>
        <w:rPr>
          <w:spacing w:val="-3"/>
          <w:sz w:val="21"/>
        </w:rPr>
        <w:t>Administration  </w:t>
      </w:r>
      <w:r>
        <w:rPr>
          <w:sz w:val="21"/>
        </w:rPr>
        <w:t>and </w:t>
      </w:r>
      <w:r>
        <w:rPr>
          <w:spacing w:val="-3"/>
          <w:sz w:val="21"/>
        </w:rPr>
        <w:t>Probate </w:t>
      </w:r>
      <w:r>
        <w:rPr>
          <w:sz w:val="21"/>
        </w:rPr>
        <w:t>Act</w:t>
      </w:r>
      <w:r>
        <w:rPr>
          <w:spacing w:val="19"/>
          <w:sz w:val="21"/>
        </w:rPr>
        <w:t> </w:t>
      </w:r>
      <w:r>
        <w:rPr>
          <w:sz w:val="21"/>
        </w:rPr>
        <w:t>provides:</w:t>
      </w:r>
    </w:p>
    <w:p>
      <w:pPr>
        <w:spacing w:before="129"/>
        <w:ind w:left="2721" w:right="0" w:firstLine="0"/>
        <w:jc w:val="left"/>
        <w:rPr>
          <w:rFonts w:ascii="Lucida Sans"/>
          <w:b/>
          <w:sz w:val="20"/>
        </w:rPr>
      </w:pPr>
      <w:r>
        <w:rPr>
          <w:rFonts w:ascii="Lucida Sans"/>
          <w:b/>
          <w:sz w:val="20"/>
        </w:rPr>
        <w:t>33 Liability of person fraudulently obtaining or retaining estate of deceased</w:t>
      </w:r>
    </w:p>
    <w:p>
      <w:pPr>
        <w:spacing w:line="254" w:lineRule="auto" w:before="148"/>
        <w:ind w:left="3061" w:right="1711" w:hanging="341"/>
        <w:jc w:val="left"/>
        <w:rPr>
          <w:sz w:val="20"/>
        </w:rPr>
      </w:pPr>
      <w:r>
        <w:rPr>
          <w:spacing w:val="-5"/>
          <w:sz w:val="20"/>
        </w:rPr>
        <w:t>(1) </w:t>
      </w:r>
      <w:r>
        <w:rPr>
          <w:sz w:val="20"/>
        </w:rPr>
        <w:t>If </w:t>
      </w:r>
      <w:r>
        <w:rPr>
          <w:spacing w:val="-2"/>
          <w:sz w:val="20"/>
        </w:rPr>
        <w:t>any </w:t>
      </w:r>
      <w:r>
        <w:rPr>
          <w:sz w:val="20"/>
        </w:rPr>
        <w:t>person, to the </w:t>
      </w:r>
      <w:r>
        <w:rPr>
          <w:spacing w:val="-3"/>
          <w:sz w:val="20"/>
        </w:rPr>
        <w:t>defrauding </w:t>
      </w:r>
      <w:r>
        <w:rPr>
          <w:sz w:val="20"/>
        </w:rPr>
        <w:t>of creditors or without </w:t>
      </w:r>
      <w:r>
        <w:rPr>
          <w:spacing w:val="-3"/>
          <w:sz w:val="20"/>
        </w:rPr>
        <w:t>full </w:t>
      </w:r>
      <w:r>
        <w:rPr>
          <w:sz w:val="20"/>
        </w:rPr>
        <w:t>valuable </w:t>
      </w:r>
      <w:r>
        <w:rPr>
          <w:spacing w:val="-3"/>
          <w:sz w:val="20"/>
        </w:rPr>
        <w:t>consideration, </w:t>
      </w:r>
      <w:r>
        <w:rPr>
          <w:sz w:val="20"/>
        </w:rPr>
        <w:t>obtains receives or holds the estate or </w:t>
      </w:r>
      <w:r>
        <w:rPr>
          <w:spacing w:val="-2"/>
          <w:sz w:val="20"/>
        </w:rPr>
        <w:t>any  </w:t>
      </w:r>
      <w:r>
        <w:rPr>
          <w:sz w:val="20"/>
        </w:rPr>
        <w:t>part of the estate of a deceased person      or effects the release of </w:t>
      </w:r>
      <w:r>
        <w:rPr>
          <w:spacing w:val="-2"/>
          <w:sz w:val="20"/>
        </w:rPr>
        <w:t>any  </w:t>
      </w:r>
      <w:r>
        <w:rPr>
          <w:sz w:val="20"/>
        </w:rPr>
        <w:t>debt or liability due to the estate of the deceased, he   shall be charged as executor in his own wrong to the extent of the estate received       or coming to his hands, or the debt or liability released, after deducting </w:t>
      </w:r>
      <w:r>
        <w:rPr>
          <w:spacing w:val="-2"/>
          <w:sz w:val="20"/>
        </w:rPr>
        <w:t>any </w:t>
      </w:r>
      <w:r>
        <w:rPr>
          <w:sz w:val="20"/>
        </w:rPr>
        <w:t>payment made</w:t>
      </w:r>
      <w:r>
        <w:rPr>
          <w:spacing w:val="12"/>
          <w:sz w:val="20"/>
        </w:rPr>
        <w:t> </w:t>
      </w:r>
      <w:r>
        <w:rPr>
          <w:sz w:val="20"/>
        </w:rPr>
        <w:t>by</w:t>
      </w:r>
      <w:r>
        <w:rPr>
          <w:spacing w:val="12"/>
          <w:sz w:val="20"/>
        </w:rPr>
        <w:t> </w:t>
      </w:r>
      <w:r>
        <w:rPr>
          <w:sz w:val="20"/>
        </w:rPr>
        <w:t>him</w:t>
      </w:r>
      <w:r>
        <w:rPr>
          <w:spacing w:val="12"/>
          <w:sz w:val="20"/>
        </w:rPr>
        <w:t> </w:t>
      </w:r>
      <w:r>
        <w:rPr>
          <w:sz w:val="20"/>
        </w:rPr>
        <w:t>which</w:t>
      </w:r>
      <w:r>
        <w:rPr>
          <w:spacing w:val="12"/>
          <w:sz w:val="20"/>
        </w:rPr>
        <w:t> </w:t>
      </w:r>
      <w:r>
        <w:rPr>
          <w:sz w:val="20"/>
        </w:rPr>
        <w:t>might</w:t>
      </w:r>
      <w:r>
        <w:rPr>
          <w:spacing w:val="12"/>
          <w:sz w:val="20"/>
        </w:rPr>
        <w:t> </w:t>
      </w:r>
      <w:r>
        <w:rPr>
          <w:sz w:val="20"/>
        </w:rPr>
        <w:t>properly</w:t>
      </w:r>
      <w:r>
        <w:rPr>
          <w:spacing w:val="12"/>
          <w:sz w:val="20"/>
        </w:rPr>
        <w:t> </w:t>
      </w:r>
      <w:r>
        <w:rPr>
          <w:sz w:val="20"/>
        </w:rPr>
        <w:t>be</w:t>
      </w:r>
      <w:r>
        <w:rPr>
          <w:spacing w:val="12"/>
          <w:sz w:val="20"/>
        </w:rPr>
        <w:t> </w:t>
      </w:r>
      <w:r>
        <w:rPr>
          <w:sz w:val="20"/>
        </w:rPr>
        <w:t>made</w:t>
      </w:r>
      <w:r>
        <w:rPr>
          <w:spacing w:val="12"/>
          <w:sz w:val="20"/>
        </w:rPr>
        <w:t> </w:t>
      </w:r>
      <w:r>
        <w:rPr>
          <w:sz w:val="20"/>
        </w:rPr>
        <w:t>by</w:t>
      </w:r>
      <w:r>
        <w:rPr>
          <w:spacing w:val="13"/>
          <w:sz w:val="20"/>
        </w:rPr>
        <w:t> </w:t>
      </w:r>
      <w:r>
        <w:rPr>
          <w:sz w:val="20"/>
        </w:rPr>
        <w:t>a</w:t>
      </w:r>
      <w:r>
        <w:rPr>
          <w:spacing w:val="12"/>
          <w:sz w:val="20"/>
        </w:rPr>
        <w:t> </w:t>
      </w:r>
      <w:r>
        <w:rPr>
          <w:sz w:val="20"/>
        </w:rPr>
        <w:t>personal</w:t>
      </w:r>
      <w:r>
        <w:rPr>
          <w:spacing w:val="12"/>
          <w:sz w:val="20"/>
        </w:rPr>
        <w:t> </w:t>
      </w:r>
      <w:r>
        <w:rPr>
          <w:spacing w:val="-3"/>
          <w:sz w:val="20"/>
        </w:rPr>
        <w:t>representative.</w:t>
      </w:r>
    </w:p>
    <w:p>
      <w:pPr>
        <w:pStyle w:val="ListParagraph"/>
        <w:numPr>
          <w:ilvl w:val="1"/>
          <w:numId w:val="22"/>
        </w:numPr>
        <w:tabs>
          <w:tab w:pos="2380" w:val="left" w:leader="none"/>
          <w:tab w:pos="2381" w:val="left" w:leader="none"/>
        </w:tabs>
        <w:spacing w:line="242" w:lineRule="auto" w:before="118" w:after="0"/>
        <w:ind w:left="2381" w:right="1952" w:hanging="794"/>
        <w:jc w:val="left"/>
        <w:rPr>
          <w:sz w:val="21"/>
        </w:rPr>
      </w:pPr>
      <w:r>
        <w:rPr>
          <w:sz w:val="21"/>
        </w:rPr>
        <w:t>The effect of this </w:t>
      </w:r>
      <w:r>
        <w:rPr>
          <w:spacing w:val="-3"/>
          <w:sz w:val="21"/>
        </w:rPr>
        <w:t>provision </w:t>
      </w:r>
      <w:r>
        <w:rPr>
          <w:sz w:val="21"/>
        </w:rPr>
        <w:t>is </w:t>
      </w:r>
      <w:r>
        <w:rPr>
          <w:spacing w:val="-3"/>
          <w:sz w:val="21"/>
        </w:rPr>
        <w:t>to </w:t>
      </w:r>
      <w:r>
        <w:rPr>
          <w:sz w:val="21"/>
        </w:rPr>
        <w:t>clarify the extent </w:t>
      </w:r>
      <w:r>
        <w:rPr>
          <w:spacing w:val="-3"/>
          <w:sz w:val="21"/>
        </w:rPr>
        <w:t>to </w:t>
      </w:r>
      <w:r>
        <w:rPr>
          <w:sz w:val="21"/>
        </w:rPr>
        <w:t>which a person acting without a </w:t>
      </w:r>
      <w:r>
        <w:rPr>
          <w:spacing w:val="-3"/>
          <w:sz w:val="21"/>
        </w:rPr>
        <w:t>grant </w:t>
      </w:r>
      <w:r>
        <w:rPr>
          <w:sz w:val="21"/>
        </w:rPr>
        <w:t>is </w:t>
      </w:r>
      <w:r>
        <w:rPr>
          <w:spacing w:val="-3"/>
          <w:sz w:val="21"/>
        </w:rPr>
        <w:t>liable to account for </w:t>
      </w:r>
      <w:r>
        <w:rPr>
          <w:sz w:val="21"/>
        </w:rPr>
        <w:t>the estate assets </w:t>
      </w:r>
      <w:r>
        <w:rPr>
          <w:spacing w:val="-3"/>
          <w:sz w:val="21"/>
        </w:rPr>
        <w:t>that </w:t>
      </w:r>
      <w:r>
        <w:rPr>
          <w:sz w:val="21"/>
        </w:rPr>
        <w:t>they </w:t>
      </w:r>
      <w:r>
        <w:rPr>
          <w:spacing w:val="-3"/>
          <w:sz w:val="21"/>
        </w:rPr>
        <w:t>have </w:t>
      </w:r>
      <w:r>
        <w:rPr>
          <w:sz w:val="21"/>
        </w:rPr>
        <w:t>dealt with. It </w:t>
      </w:r>
      <w:r>
        <w:rPr>
          <w:spacing w:val="-3"/>
          <w:sz w:val="21"/>
        </w:rPr>
        <w:t>makes clear that </w:t>
      </w:r>
      <w:r>
        <w:rPr>
          <w:sz w:val="21"/>
        </w:rPr>
        <w:t>they </w:t>
      </w:r>
      <w:r>
        <w:rPr>
          <w:spacing w:val="-3"/>
          <w:sz w:val="21"/>
        </w:rPr>
        <w:t>are </w:t>
      </w:r>
      <w:r>
        <w:rPr>
          <w:sz w:val="21"/>
        </w:rPr>
        <w:t>effectively protected when they </w:t>
      </w:r>
      <w:r>
        <w:rPr>
          <w:spacing w:val="-4"/>
          <w:sz w:val="21"/>
        </w:rPr>
        <w:t>make </w:t>
      </w:r>
      <w:r>
        <w:rPr>
          <w:sz w:val="21"/>
        </w:rPr>
        <w:t>payments which </w:t>
      </w:r>
      <w:r>
        <w:rPr>
          <w:i/>
          <w:sz w:val="21"/>
        </w:rPr>
        <w:t>would </w:t>
      </w:r>
      <w:r>
        <w:rPr>
          <w:i/>
          <w:spacing w:val="-3"/>
          <w:sz w:val="21"/>
        </w:rPr>
        <w:t>have </w:t>
      </w:r>
      <w:r>
        <w:rPr>
          <w:i/>
          <w:sz w:val="21"/>
        </w:rPr>
        <w:t>been </w:t>
      </w:r>
      <w:r>
        <w:rPr>
          <w:spacing w:val="-3"/>
          <w:sz w:val="21"/>
        </w:rPr>
        <w:t>legitimate </w:t>
      </w:r>
      <w:r>
        <w:rPr>
          <w:spacing w:val="-2"/>
          <w:sz w:val="21"/>
        </w:rPr>
        <w:t>had </w:t>
      </w:r>
      <w:r>
        <w:rPr>
          <w:sz w:val="21"/>
        </w:rPr>
        <w:t>they </w:t>
      </w:r>
      <w:r>
        <w:rPr>
          <w:spacing w:val="-2"/>
          <w:sz w:val="21"/>
        </w:rPr>
        <w:t>had </w:t>
      </w:r>
      <w:r>
        <w:rPr>
          <w:sz w:val="21"/>
        </w:rPr>
        <w:t>a </w:t>
      </w:r>
      <w:r>
        <w:rPr>
          <w:spacing w:val="-3"/>
          <w:sz w:val="21"/>
        </w:rPr>
        <w:t>grant </w:t>
      </w:r>
      <w:r>
        <w:rPr>
          <w:sz w:val="21"/>
        </w:rPr>
        <w:t>of </w:t>
      </w:r>
      <w:r>
        <w:rPr>
          <w:spacing w:val="-3"/>
          <w:sz w:val="21"/>
        </w:rPr>
        <w:t>representation. </w:t>
      </w:r>
      <w:r>
        <w:rPr>
          <w:sz w:val="21"/>
        </w:rPr>
        <w:t>As </w:t>
      </w:r>
      <w:r>
        <w:rPr>
          <w:spacing w:val="-3"/>
          <w:sz w:val="21"/>
        </w:rPr>
        <w:t>such, </w:t>
      </w:r>
      <w:r>
        <w:rPr>
          <w:sz w:val="21"/>
        </w:rPr>
        <w:t>this </w:t>
      </w:r>
      <w:r>
        <w:rPr>
          <w:spacing w:val="-3"/>
          <w:sz w:val="21"/>
        </w:rPr>
        <w:t>provision </w:t>
      </w:r>
      <w:r>
        <w:rPr>
          <w:sz w:val="21"/>
        </w:rPr>
        <w:t>provides </w:t>
      </w:r>
      <w:r>
        <w:rPr>
          <w:spacing w:val="-3"/>
          <w:sz w:val="21"/>
        </w:rPr>
        <w:t>significant </w:t>
      </w:r>
      <w:r>
        <w:rPr>
          <w:sz w:val="21"/>
        </w:rPr>
        <w:t>protection </w:t>
      </w:r>
      <w:r>
        <w:rPr>
          <w:spacing w:val="-3"/>
          <w:sz w:val="21"/>
        </w:rPr>
        <w:t>to informal</w:t>
      </w:r>
      <w:r>
        <w:rPr>
          <w:spacing w:val="1"/>
          <w:sz w:val="21"/>
        </w:rPr>
        <w:t> </w:t>
      </w:r>
      <w:r>
        <w:rPr>
          <w:spacing w:val="-3"/>
          <w:sz w:val="21"/>
        </w:rPr>
        <w:t>administrators.</w:t>
      </w:r>
    </w:p>
    <w:p>
      <w:pPr>
        <w:pStyle w:val="BodyText"/>
        <w:spacing w:before="1"/>
        <w:rPr>
          <w:sz w:val="27"/>
        </w:rPr>
      </w:pPr>
    </w:p>
    <w:p>
      <w:pPr>
        <w:pStyle w:val="Heading6"/>
        <w:spacing w:before="1"/>
      </w:pPr>
      <w:r>
        <w:rPr>
          <w:w w:val="115"/>
        </w:rPr>
        <w:t>National Committee for Uniform Succession</w:t>
      </w:r>
      <w:r>
        <w:rPr>
          <w:spacing w:val="-52"/>
          <w:w w:val="115"/>
        </w:rPr>
        <w:t> </w:t>
      </w:r>
      <w:r>
        <w:rPr>
          <w:w w:val="115"/>
        </w:rPr>
        <w:t>Laws</w:t>
      </w:r>
    </w:p>
    <w:p>
      <w:pPr>
        <w:pStyle w:val="ListParagraph"/>
        <w:numPr>
          <w:ilvl w:val="1"/>
          <w:numId w:val="22"/>
        </w:numPr>
        <w:tabs>
          <w:tab w:pos="2380" w:val="left" w:leader="none"/>
          <w:tab w:pos="2381" w:val="left" w:leader="none"/>
        </w:tabs>
        <w:spacing w:line="242" w:lineRule="auto" w:before="151" w:after="0"/>
        <w:ind w:left="2381" w:right="1738" w:hanging="794"/>
        <w:jc w:val="left"/>
        <w:rPr>
          <w:sz w:val="12"/>
        </w:rPr>
      </w:pPr>
      <w:r>
        <w:rPr>
          <w:w w:val="105"/>
          <w:sz w:val="21"/>
        </w:rPr>
        <w:t>The </w:t>
      </w:r>
      <w:r>
        <w:rPr>
          <w:spacing w:val="-3"/>
          <w:w w:val="105"/>
          <w:sz w:val="21"/>
        </w:rPr>
        <w:t>National Committee </w:t>
      </w:r>
      <w:r>
        <w:rPr>
          <w:w w:val="105"/>
          <w:sz w:val="21"/>
        </w:rPr>
        <w:t>recommended a model </w:t>
      </w:r>
      <w:r>
        <w:rPr>
          <w:spacing w:val="-3"/>
          <w:w w:val="105"/>
          <w:sz w:val="21"/>
        </w:rPr>
        <w:t>provision that reads </w:t>
      </w:r>
      <w:r>
        <w:rPr>
          <w:w w:val="105"/>
          <w:sz w:val="21"/>
        </w:rPr>
        <w:t>almost identically </w:t>
      </w:r>
      <w:r>
        <w:rPr>
          <w:spacing w:val="-3"/>
          <w:w w:val="105"/>
          <w:sz w:val="21"/>
        </w:rPr>
        <w:t>to</w:t>
      </w:r>
      <w:r>
        <w:rPr>
          <w:spacing w:val="-7"/>
          <w:w w:val="105"/>
          <w:sz w:val="21"/>
        </w:rPr>
        <w:t> </w:t>
      </w:r>
      <w:r>
        <w:rPr>
          <w:w w:val="105"/>
          <w:sz w:val="21"/>
        </w:rPr>
        <w:t>the</w:t>
      </w:r>
      <w:r>
        <w:rPr>
          <w:spacing w:val="-7"/>
          <w:w w:val="105"/>
          <w:sz w:val="21"/>
        </w:rPr>
        <w:t> </w:t>
      </w:r>
      <w:r>
        <w:rPr>
          <w:w w:val="105"/>
          <w:sz w:val="21"/>
        </w:rPr>
        <w:t>Victorian</w:t>
      </w:r>
      <w:r>
        <w:rPr>
          <w:spacing w:val="-6"/>
          <w:w w:val="105"/>
          <w:sz w:val="21"/>
        </w:rPr>
        <w:t> </w:t>
      </w:r>
      <w:r>
        <w:rPr>
          <w:spacing w:val="-3"/>
          <w:w w:val="105"/>
          <w:sz w:val="21"/>
        </w:rPr>
        <w:t>provision,</w:t>
      </w:r>
      <w:r>
        <w:rPr>
          <w:spacing w:val="-7"/>
          <w:w w:val="105"/>
          <w:sz w:val="21"/>
        </w:rPr>
        <w:t> </w:t>
      </w:r>
      <w:r>
        <w:rPr>
          <w:w w:val="105"/>
          <w:sz w:val="21"/>
        </w:rPr>
        <w:t>section</w:t>
      </w:r>
      <w:r>
        <w:rPr>
          <w:spacing w:val="-6"/>
          <w:w w:val="105"/>
          <w:sz w:val="21"/>
        </w:rPr>
        <w:t> </w:t>
      </w:r>
      <w:r>
        <w:rPr>
          <w:w w:val="105"/>
          <w:sz w:val="21"/>
        </w:rPr>
        <w:t>33(1).</w:t>
      </w:r>
      <w:r>
        <w:rPr>
          <w:spacing w:val="-7"/>
          <w:w w:val="105"/>
          <w:sz w:val="21"/>
        </w:rPr>
        <w:t> </w:t>
      </w:r>
      <w:r>
        <w:rPr>
          <w:w w:val="105"/>
          <w:sz w:val="21"/>
        </w:rPr>
        <w:t>As</w:t>
      </w:r>
      <w:r>
        <w:rPr>
          <w:spacing w:val="-7"/>
          <w:w w:val="105"/>
          <w:sz w:val="21"/>
        </w:rPr>
        <w:t> </w:t>
      </w:r>
      <w:r>
        <w:rPr>
          <w:spacing w:val="-3"/>
          <w:w w:val="105"/>
          <w:sz w:val="21"/>
        </w:rPr>
        <w:t>noted</w:t>
      </w:r>
      <w:r>
        <w:rPr>
          <w:spacing w:val="-6"/>
          <w:w w:val="105"/>
          <w:sz w:val="21"/>
        </w:rPr>
        <w:t> </w:t>
      </w:r>
      <w:r>
        <w:rPr>
          <w:spacing w:val="-3"/>
          <w:w w:val="105"/>
          <w:sz w:val="21"/>
        </w:rPr>
        <w:t>above,</w:t>
      </w:r>
      <w:r>
        <w:rPr>
          <w:spacing w:val="-7"/>
          <w:w w:val="105"/>
          <w:sz w:val="21"/>
        </w:rPr>
        <w:t> </w:t>
      </w:r>
      <w:r>
        <w:rPr>
          <w:w w:val="105"/>
          <w:sz w:val="21"/>
        </w:rPr>
        <w:t>the</w:t>
      </w:r>
      <w:r>
        <w:rPr>
          <w:spacing w:val="-7"/>
          <w:w w:val="105"/>
          <w:sz w:val="21"/>
        </w:rPr>
        <w:t> </w:t>
      </w:r>
      <w:r>
        <w:rPr>
          <w:w w:val="105"/>
          <w:sz w:val="21"/>
        </w:rPr>
        <w:t>Victorian</w:t>
      </w:r>
      <w:r>
        <w:rPr>
          <w:spacing w:val="-6"/>
          <w:w w:val="105"/>
          <w:sz w:val="21"/>
        </w:rPr>
        <w:t> </w:t>
      </w:r>
      <w:r>
        <w:rPr>
          <w:w w:val="105"/>
          <w:sz w:val="21"/>
        </w:rPr>
        <w:t>section</w:t>
      </w:r>
      <w:r>
        <w:rPr>
          <w:spacing w:val="-7"/>
          <w:w w:val="105"/>
          <w:sz w:val="21"/>
        </w:rPr>
        <w:t> </w:t>
      </w:r>
      <w:r>
        <w:rPr>
          <w:w w:val="105"/>
          <w:sz w:val="21"/>
        </w:rPr>
        <w:t>is</w:t>
      </w:r>
      <w:r>
        <w:rPr>
          <w:spacing w:val="-6"/>
          <w:w w:val="105"/>
          <w:sz w:val="21"/>
        </w:rPr>
        <w:t> </w:t>
      </w:r>
      <w:r>
        <w:rPr>
          <w:w w:val="105"/>
          <w:sz w:val="21"/>
        </w:rPr>
        <w:t>headed ‘Liability of person </w:t>
      </w:r>
      <w:r>
        <w:rPr>
          <w:spacing w:val="-3"/>
          <w:w w:val="105"/>
          <w:sz w:val="21"/>
        </w:rPr>
        <w:t>fraudulently obtaining </w:t>
      </w:r>
      <w:r>
        <w:rPr>
          <w:w w:val="105"/>
          <w:sz w:val="21"/>
        </w:rPr>
        <w:t>or </w:t>
      </w:r>
      <w:r>
        <w:rPr>
          <w:spacing w:val="-3"/>
          <w:w w:val="105"/>
          <w:sz w:val="21"/>
        </w:rPr>
        <w:t>retaining </w:t>
      </w:r>
      <w:r>
        <w:rPr>
          <w:w w:val="105"/>
          <w:sz w:val="21"/>
        </w:rPr>
        <w:t>estate of </w:t>
      </w:r>
      <w:r>
        <w:rPr>
          <w:spacing w:val="-4"/>
          <w:w w:val="105"/>
          <w:sz w:val="21"/>
        </w:rPr>
        <w:t>deceased’, </w:t>
      </w:r>
      <w:r>
        <w:rPr>
          <w:w w:val="105"/>
          <w:sz w:val="21"/>
        </w:rPr>
        <w:t>and sets out the</w:t>
      </w:r>
      <w:r>
        <w:rPr>
          <w:spacing w:val="-7"/>
          <w:w w:val="105"/>
          <w:sz w:val="21"/>
        </w:rPr>
        <w:t> </w:t>
      </w:r>
      <w:r>
        <w:rPr>
          <w:spacing w:val="-3"/>
          <w:w w:val="105"/>
          <w:sz w:val="21"/>
        </w:rPr>
        <w:t>liability</w:t>
      </w:r>
      <w:r>
        <w:rPr>
          <w:spacing w:val="-7"/>
          <w:w w:val="105"/>
          <w:sz w:val="21"/>
        </w:rPr>
        <w:t> </w:t>
      </w:r>
      <w:r>
        <w:rPr>
          <w:w w:val="105"/>
          <w:sz w:val="21"/>
        </w:rPr>
        <w:t>an</w:t>
      </w:r>
      <w:r>
        <w:rPr>
          <w:spacing w:val="-6"/>
          <w:w w:val="105"/>
          <w:sz w:val="21"/>
        </w:rPr>
        <w:t> </w:t>
      </w:r>
      <w:r>
        <w:rPr>
          <w:spacing w:val="-3"/>
          <w:w w:val="105"/>
          <w:sz w:val="21"/>
        </w:rPr>
        <w:t>unauthorised</w:t>
      </w:r>
      <w:r>
        <w:rPr>
          <w:spacing w:val="-7"/>
          <w:w w:val="105"/>
          <w:sz w:val="21"/>
        </w:rPr>
        <w:t> </w:t>
      </w:r>
      <w:r>
        <w:rPr>
          <w:w w:val="105"/>
          <w:sz w:val="21"/>
        </w:rPr>
        <w:t>person</w:t>
      </w:r>
      <w:r>
        <w:rPr>
          <w:spacing w:val="-7"/>
          <w:w w:val="105"/>
          <w:sz w:val="21"/>
        </w:rPr>
        <w:t> </w:t>
      </w:r>
      <w:r>
        <w:rPr>
          <w:w w:val="105"/>
          <w:sz w:val="21"/>
        </w:rPr>
        <w:t>is</w:t>
      </w:r>
      <w:r>
        <w:rPr>
          <w:spacing w:val="-6"/>
          <w:w w:val="105"/>
          <w:sz w:val="21"/>
        </w:rPr>
        <w:t> </w:t>
      </w:r>
      <w:r>
        <w:rPr>
          <w:w w:val="105"/>
          <w:sz w:val="21"/>
        </w:rPr>
        <w:t>exposed</w:t>
      </w:r>
      <w:r>
        <w:rPr>
          <w:spacing w:val="-7"/>
          <w:w w:val="105"/>
          <w:sz w:val="21"/>
        </w:rPr>
        <w:t> </w:t>
      </w:r>
      <w:r>
        <w:rPr>
          <w:spacing w:val="-3"/>
          <w:w w:val="105"/>
          <w:sz w:val="21"/>
        </w:rPr>
        <w:t>to</w:t>
      </w:r>
      <w:r>
        <w:rPr>
          <w:spacing w:val="-7"/>
          <w:w w:val="105"/>
          <w:sz w:val="21"/>
        </w:rPr>
        <w:t> </w:t>
      </w:r>
      <w:r>
        <w:rPr>
          <w:w w:val="105"/>
          <w:sz w:val="21"/>
        </w:rPr>
        <w:t>in</w:t>
      </w:r>
      <w:r>
        <w:rPr>
          <w:spacing w:val="-6"/>
          <w:w w:val="105"/>
          <w:sz w:val="21"/>
        </w:rPr>
        <w:t> </w:t>
      </w:r>
      <w:r>
        <w:rPr>
          <w:spacing w:val="-3"/>
          <w:w w:val="105"/>
          <w:sz w:val="21"/>
        </w:rPr>
        <w:t>informally</w:t>
      </w:r>
      <w:r>
        <w:rPr>
          <w:spacing w:val="-7"/>
          <w:w w:val="105"/>
          <w:sz w:val="21"/>
        </w:rPr>
        <w:t> </w:t>
      </w:r>
      <w:r>
        <w:rPr>
          <w:spacing w:val="-3"/>
          <w:w w:val="105"/>
          <w:sz w:val="21"/>
        </w:rPr>
        <w:t>administering</w:t>
      </w:r>
      <w:r>
        <w:rPr>
          <w:spacing w:val="-7"/>
          <w:w w:val="105"/>
          <w:sz w:val="21"/>
        </w:rPr>
        <w:t> </w:t>
      </w:r>
      <w:r>
        <w:rPr>
          <w:w w:val="105"/>
          <w:sz w:val="21"/>
        </w:rPr>
        <w:t>an</w:t>
      </w:r>
      <w:r>
        <w:rPr>
          <w:spacing w:val="-6"/>
          <w:w w:val="105"/>
          <w:sz w:val="21"/>
        </w:rPr>
        <w:t> </w:t>
      </w:r>
      <w:r>
        <w:rPr>
          <w:w w:val="105"/>
          <w:sz w:val="21"/>
        </w:rPr>
        <w:t>estate.</w:t>
      </w:r>
      <w:r>
        <w:rPr>
          <w:w w:val="105"/>
          <w:position w:val="7"/>
          <w:sz w:val="12"/>
        </w:rPr>
        <w:t>49</w:t>
      </w:r>
    </w:p>
    <w:p>
      <w:pPr>
        <w:pStyle w:val="ListParagraph"/>
        <w:numPr>
          <w:ilvl w:val="1"/>
          <w:numId w:val="22"/>
        </w:numPr>
        <w:tabs>
          <w:tab w:pos="2381" w:val="left" w:leader="none"/>
          <w:tab w:pos="2382" w:val="left" w:leader="none"/>
        </w:tabs>
        <w:spacing w:line="242" w:lineRule="auto" w:before="124" w:after="0"/>
        <w:ind w:left="2381" w:right="1810" w:hanging="794"/>
        <w:jc w:val="left"/>
        <w:rPr>
          <w:sz w:val="21"/>
        </w:rPr>
      </w:pPr>
      <w:r>
        <w:rPr>
          <w:spacing w:val="-4"/>
          <w:sz w:val="21"/>
        </w:rPr>
        <w:t>However, </w:t>
      </w:r>
      <w:r>
        <w:rPr>
          <w:sz w:val="21"/>
        </w:rPr>
        <w:t>this section also </w:t>
      </w:r>
      <w:r>
        <w:rPr>
          <w:spacing w:val="-3"/>
          <w:sz w:val="21"/>
        </w:rPr>
        <w:t>outlines </w:t>
      </w:r>
      <w:r>
        <w:rPr>
          <w:spacing w:val="-2"/>
          <w:sz w:val="21"/>
        </w:rPr>
        <w:t>limits </w:t>
      </w:r>
      <w:r>
        <w:rPr>
          <w:spacing w:val="-3"/>
          <w:sz w:val="21"/>
        </w:rPr>
        <w:t>to </w:t>
      </w:r>
      <w:r>
        <w:rPr>
          <w:spacing w:val="-4"/>
          <w:sz w:val="21"/>
        </w:rPr>
        <w:t>liability,  </w:t>
      </w:r>
      <w:r>
        <w:rPr>
          <w:sz w:val="21"/>
        </w:rPr>
        <w:t>and  </w:t>
      </w:r>
      <w:r>
        <w:rPr>
          <w:spacing w:val="-3"/>
          <w:sz w:val="21"/>
        </w:rPr>
        <w:t>legitimises  </w:t>
      </w:r>
      <w:r>
        <w:rPr>
          <w:sz w:val="21"/>
        </w:rPr>
        <w:t>payments  </w:t>
      </w:r>
      <w:r>
        <w:rPr>
          <w:spacing w:val="-3"/>
          <w:sz w:val="21"/>
        </w:rPr>
        <w:t>‘which might </w:t>
      </w:r>
      <w:r>
        <w:rPr>
          <w:sz w:val="21"/>
        </w:rPr>
        <w:t>properly be made by a [legal] personal </w:t>
      </w:r>
      <w:r>
        <w:rPr>
          <w:spacing w:val="-4"/>
          <w:sz w:val="21"/>
        </w:rPr>
        <w:t>representative’. </w:t>
      </w:r>
      <w:r>
        <w:rPr>
          <w:sz w:val="21"/>
        </w:rPr>
        <w:t>The </w:t>
      </w:r>
      <w:r>
        <w:rPr>
          <w:spacing w:val="-3"/>
          <w:sz w:val="21"/>
        </w:rPr>
        <w:t>National Committee </w:t>
      </w:r>
      <w:r>
        <w:rPr>
          <w:sz w:val="21"/>
        </w:rPr>
        <w:t>recommended </w:t>
      </w:r>
      <w:r>
        <w:rPr>
          <w:spacing w:val="-3"/>
          <w:sz w:val="21"/>
        </w:rPr>
        <w:t>that </w:t>
      </w:r>
      <w:r>
        <w:rPr>
          <w:sz w:val="21"/>
        </w:rPr>
        <w:t>the model section be headed </w:t>
      </w:r>
      <w:r>
        <w:rPr>
          <w:spacing w:val="-3"/>
          <w:sz w:val="21"/>
        </w:rPr>
        <w:t>‘persons </w:t>
      </w:r>
      <w:r>
        <w:rPr>
          <w:sz w:val="21"/>
        </w:rPr>
        <w:t>acting </w:t>
      </w:r>
      <w:r>
        <w:rPr>
          <w:spacing w:val="-4"/>
          <w:sz w:val="21"/>
        </w:rPr>
        <w:t>informally’, </w:t>
      </w:r>
      <w:r>
        <w:rPr>
          <w:spacing w:val="-3"/>
          <w:sz w:val="21"/>
        </w:rPr>
        <w:t>to reframe  </w:t>
      </w:r>
      <w:r>
        <w:rPr>
          <w:sz w:val="21"/>
        </w:rPr>
        <w:t>the </w:t>
      </w:r>
      <w:r>
        <w:rPr>
          <w:spacing w:val="-3"/>
          <w:sz w:val="21"/>
        </w:rPr>
        <w:t>focus </w:t>
      </w:r>
      <w:r>
        <w:rPr>
          <w:sz w:val="21"/>
        </w:rPr>
        <w:t>of the </w:t>
      </w:r>
      <w:r>
        <w:rPr>
          <w:spacing w:val="-3"/>
          <w:sz w:val="21"/>
        </w:rPr>
        <w:t>provision </w:t>
      </w:r>
      <w:r>
        <w:rPr>
          <w:sz w:val="21"/>
        </w:rPr>
        <w:t>and </w:t>
      </w:r>
      <w:r>
        <w:rPr>
          <w:spacing w:val="-3"/>
          <w:sz w:val="21"/>
        </w:rPr>
        <w:t>to recognise </w:t>
      </w:r>
      <w:r>
        <w:rPr>
          <w:sz w:val="21"/>
        </w:rPr>
        <w:t>the </w:t>
      </w:r>
      <w:r>
        <w:rPr>
          <w:spacing w:val="-3"/>
          <w:sz w:val="21"/>
        </w:rPr>
        <w:t>increasingly </w:t>
      </w:r>
      <w:r>
        <w:rPr>
          <w:spacing w:val="-2"/>
          <w:sz w:val="21"/>
        </w:rPr>
        <w:t>common </w:t>
      </w:r>
      <w:r>
        <w:rPr>
          <w:sz w:val="21"/>
        </w:rPr>
        <w:t>role </w:t>
      </w:r>
      <w:r>
        <w:rPr>
          <w:spacing w:val="-3"/>
          <w:sz w:val="21"/>
        </w:rPr>
        <w:t>played  </w:t>
      </w:r>
      <w:r>
        <w:rPr>
          <w:sz w:val="21"/>
        </w:rPr>
        <w:t>by </w:t>
      </w:r>
      <w:r>
        <w:rPr>
          <w:spacing w:val="-3"/>
          <w:sz w:val="21"/>
        </w:rPr>
        <w:t>informal</w:t>
      </w:r>
      <w:r>
        <w:rPr>
          <w:spacing w:val="8"/>
          <w:sz w:val="21"/>
        </w:rPr>
        <w:t> </w:t>
      </w:r>
      <w:r>
        <w:rPr>
          <w:spacing w:val="-3"/>
          <w:sz w:val="21"/>
        </w:rPr>
        <w:t>administrators:</w:t>
      </w:r>
    </w:p>
    <w:p>
      <w:pPr>
        <w:spacing w:before="131"/>
        <w:ind w:left="2721" w:right="0" w:firstLine="0"/>
        <w:jc w:val="left"/>
        <w:rPr>
          <w:rFonts w:ascii="Lucida Sans"/>
          <w:b/>
          <w:sz w:val="20"/>
        </w:rPr>
      </w:pPr>
      <w:r>
        <w:rPr>
          <w:rFonts w:ascii="Lucida Sans"/>
          <w:b/>
          <w:sz w:val="20"/>
        </w:rPr>
        <w:t>Persons acting informally</w:t>
      </w:r>
    </w:p>
    <w:p>
      <w:pPr>
        <w:pStyle w:val="ListParagraph"/>
        <w:numPr>
          <w:ilvl w:val="0"/>
          <w:numId w:val="142"/>
        </w:numPr>
        <w:tabs>
          <w:tab w:pos="3062" w:val="left" w:leader="none"/>
        </w:tabs>
        <w:spacing w:line="254" w:lineRule="auto" w:before="148" w:after="0"/>
        <w:ind w:left="3061" w:right="2465" w:hanging="340"/>
        <w:jc w:val="left"/>
        <w:rPr>
          <w:sz w:val="20"/>
        </w:rPr>
      </w:pPr>
      <w:r>
        <w:rPr>
          <w:w w:val="105"/>
          <w:sz w:val="20"/>
        </w:rPr>
        <w:t>This</w:t>
      </w:r>
      <w:r>
        <w:rPr>
          <w:spacing w:val="-6"/>
          <w:w w:val="105"/>
          <w:sz w:val="20"/>
        </w:rPr>
        <w:t> </w:t>
      </w:r>
      <w:r>
        <w:rPr>
          <w:w w:val="105"/>
          <w:sz w:val="20"/>
        </w:rPr>
        <w:t>section</w:t>
      </w:r>
      <w:r>
        <w:rPr>
          <w:spacing w:val="-5"/>
          <w:w w:val="105"/>
          <w:sz w:val="20"/>
        </w:rPr>
        <w:t> </w:t>
      </w:r>
      <w:r>
        <w:rPr>
          <w:w w:val="105"/>
          <w:sz w:val="20"/>
        </w:rPr>
        <w:t>applies</w:t>
      </w:r>
      <w:r>
        <w:rPr>
          <w:spacing w:val="-5"/>
          <w:w w:val="105"/>
          <w:sz w:val="20"/>
        </w:rPr>
        <w:t> </w:t>
      </w:r>
      <w:r>
        <w:rPr>
          <w:w w:val="105"/>
          <w:sz w:val="20"/>
        </w:rPr>
        <w:t>if</w:t>
      </w:r>
      <w:r>
        <w:rPr>
          <w:spacing w:val="-5"/>
          <w:w w:val="105"/>
          <w:sz w:val="20"/>
        </w:rPr>
        <w:t> </w:t>
      </w:r>
      <w:r>
        <w:rPr>
          <w:w w:val="105"/>
          <w:sz w:val="20"/>
        </w:rPr>
        <w:t>a</w:t>
      </w:r>
      <w:r>
        <w:rPr>
          <w:spacing w:val="-5"/>
          <w:w w:val="105"/>
          <w:sz w:val="20"/>
        </w:rPr>
        <w:t> </w:t>
      </w:r>
      <w:r>
        <w:rPr>
          <w:w w:val="105"/>
          <w:sz w:val="20"/>
        </w:rPr>
        <w:t>person</w:t>
      </w:r>
      <w:r>
        <w:rPr>
          <w:spacing w:val="-5"/>
          <w:w w:val="105"/>
          <w:sz w:val="20"/>
        </w:rPr>
        <w:t> </w:t>
      </w:r>
      <w:r>
        <w:rPr>
          <w:w w:val="105"/>
          <w:sz w:val="20"/>
        </w:rPr>
        <w:t>who</w:t>
      </w:r>
      <w:r>
        <w:rPr>
          <w:spacing w:val="-5"/>
          <w:w w:val="105"/>
          <w:sz w:val="20"/>
        </w:rPr>
        <w:t> </w:t>
      </w:r>
      <w:r>
        <w:rPr>
          <w:w w:val="105"/>
          <w:sz w:val="20"/>
        </w:rPr>
        <w:t>does</w:t>
      </w:r>
      <w:r>
        <w:rPr>
          <w:spacing w:val="-5"/>
          <w:w w:val="105"/>
          <w:sz w:val="20"/>
        </w:rPr>
        <w:t> </w:t>
      </w:r>
      <w:r>
        <w:rPr>
          <w:w w:val="105"/>
          <w:sz w:val="20"/>
        </w:rPr>
        <w:t>not</w:t>
      </w:r>
      <w:r>
        <w:rPr>
          <w:spacing w:val="-5"/>
          <w:w w:val="105"/>
          <w:sz w:val="20"/>
        </w:rPr>
        <w:t> </w:t>
      </w:r>
      <w:r>
        <w:rPr>
          <w:w w:val="105"/>
          <w:sz w:val="20"/>
        </w:rPr>
        <w:t>hold</w:t>
      </w:r>
      <w:r>
        <w:rPr>
          <w:spacing w:val="-5"/>
          <w:w w:val="105"/>
          <w:sz w:val="20"/>
        </w:rPr>
        <w:t> </w:t>
      </w:r>
      <w:r>
        <w:rPr>
          <w:w w:val="105"/>
          <w:sz w:val="20"/>
        </w:rPr>
        <w:t>a</w:t>
      </w:r>
      <w:r>
        <w:rPr>
          <w:spacing w:val="-5"/>
          <w:w w:val="105"/>
          <w:sz w:val="20"/>
        </w:rPr>
        <w:t> </w:t>
      </w:r>
      <w:r>
        <w:rPr>
          <w:spacing w:val="-3"/>
          <w:w w:val="105"/>
          <w:sz w:val="20"/>
        </w:rPr>
        <w:t>grant</w:t>
      </w:r>
      <w:r>
        <w:rPr>
          <w:spacing w:val="-5"/>
          <w:w w:val="105"/>
          <w:sz w:val="20"/>
        </w:rPr>
        <w:t> </w:t>
      </w:r>
      <w:r>
        <w:rPr>
          <w:w w:val="105"/>
          <w:sz w:val="20"/>
        </w:rPr>
        <w:t>of</w:t>
      </w:r>
      <w:r>
        <w:rPr>
          <w:spacing w:val="-5"/>
          <w:w w:val="105"/>
          <w:sz w:val="20"/>
        </w:rPr>
        <w:t> </w:t>
      </w:r>
      <w:r>
        <w:rPr>
          <w:w w:val="105"/>
          <w:sz w:val="20"/>
        </w:rPr>
        <w:t>representation of a deceased </w:t>
      </w:r>
      <w:r>
        <w:rPr>
          <w:spacing w:val="-3"/>
          <w:w w:val="105"/>
          <w:sz w:val="20"/>
        </w:rPr>
        <w:t>person’s</w:t>
      </w:r>
      <w:r>
        <w:rPr>
          <w:spacing w:val="20"/>
          <w:w w:val="105"/>
          <w:sz w:val="20"/>
        </w:rPr>
        <w:t> </w:t>
      </w:r>
      <w:r>
        <w:rPr>
          <w:w w:val="105"/>
          <w:sz w:val="20"/>
        </w:rPr>
        <w:t>estate—</w:t>
      </w:r>
    </w:p>
    <w:p>
      <w:pPr>
        <w:pStyle w:val="ListParagraph"/>
        <w:numPr>
          <w:ilvl w:val="1"/>
          <w:numId w:val="142"/>
        </w:numPr>
        <w:tabs>
          <w:tab w:pos="3330" w:val="left" w:leader="none"/>
        </w:tabs>
        <w:spacing w:line="374" w:lineRule="auto" w:before="123" w:after="0"/>
        <w:ind w:left="3061" w:right="1672" w:firstLine="0"/>
        <w:jc w:val="left"/>
        <w:rPr>
          <w:sz w:val="20"/>
        </w:rPr>
      </w:pPr>
      <w:r>
        <w:rPr>
          <w:sz w:val="20"/>
        </w:rPr>
        <w:t>obtains, receives or holds the estate other than for </w:t>
      </w:r>
      <w:r>
        <w:rPr>
          <w:spacing w:val="-3"/>
          <w:sz w:val="20"/>
        </w:rPr>
        <w:t>full </w:t>
      </w:r>
      <w:r>
        <w:rPr>
          <w:sz w:val="20"/>
        </w:rPr>
        <w:t>and valuable consideration; or</w:t>
      </w:r>
    </w:p>
    <w:p>
      <w:pPr>
        <w:pStyle w:val="ListParagraph"/>
        <w:numPr>
          <w:ilvl w:val="1"/>
          <w:numId w:val="142"/>
        </w:numPr>
        <w:tabs>
          <w:tab w:pos="3343" w:val="left" w:leader="none"/>
        </w:tabs>
        <w:spacing w:line="242" w:lineRule="exact" w:before="0" w:after="0"/>
        <w:ind w:left="3342" w:right="0" w:hanging="281"/>
        <w:jc w:val="left"/>
        <w:rPr>
          <w:sz w:val="20"/>
        </w:rPr>
      </w:pPr>
      <w:r>
        <w:rPr>
          <w:w w:val="105"/>
          <w:sz w:val="20"/>
        </w:rPr>
        <w:t>effects the release of </w:t>
      </w:r>
      <w:r>
        <w:rPr>
          <w:spacing w:val="-2"/>
          <w:w w:val="105"/>
          <w:sz w:val="20"/>
        </w:rPr>
        <w:t>any </w:t>
      </w:r>
      <w:r>
        <w:rPr>
          <w:w w:val="105"/>
          <w:sz w:val="20"/>
        </w:rPr>
        <w:t>debt payable to the</w:t>
      </w:r>
      <w:r>
        <w:rPr>
          <w:spacing w:val="38"/>
          <w:w w:val="105"/>
          <w:sz w:val="20"/>
        </w:rPr>
        <w:t> </w:t>
      </w:r>
      <w:r>
        <w:rPr>
          <w:w w:val="105"/>
          <w:sz w:val="20"/>
        </w:rPr>
        <w:t>estate.</w:t>
      </w:r>
    </w:p>
    <w:p>
      <w:pPr>
        <w:pStyle w:val="ListParagraph"/>
        <w:numPr>
          <w:ilvl w:val="0"/>
          <w:numId w:val="142"/>
        </w:numPr>
        <w:tabs>
          <w:tab w:pos="3062" w:val="left" w:leader="none"/>
        </w:tabs>
        <w:spacing w:line="240" w:lineRule="auto" w:before="136" w:after="0"/>
        <w:ind w:left="3061" w:right="0" w:hanging="340"/>
        <w:jc w:val="left"/>
        <w:rPr>
          <w:sz w:val="20"/>
        </w:rPr>
      </w:pPr>
      <w:r>
        <w:rPr>
          <w:sz w:val="20"/>
        </w:rPr>
        <w:t>The</w:t>
      </w:r>
      <w:r>
        <w:rPr>
          <w:spacing w:val="9"/>
          <w:sz w:val="20"/>
        </w:rPr>
        <w:t> </w:t>
      </w:r>
      <w:r>
        <w:rPr>
          <w:sz w:val="20"/>
        </w:rPr>
        <w:t>person</w:t>
      </w:r>
      <w:r>
        <w:rPr>
          <w:spacing w:val="9"/>
          <w:sz w:val="20"/>
        </w:rPr>
        <w:t> </w:t>
      </w:r>
      <w:r>
        <w:rPr>
          <w:sz w:val="20"/>
        </w:rPr>
        <w:t>is</w:t>
      </w:r>
      <w:r>
        <w:rPr>
          <w:spacing w:val="9"/>
          <w:sz w:val="20"/>
        </w:rPr>
        <w:t> </w:t>
      </w:r>
      <w:r>
        <w:rPr>
          <w:sz w:val="20"/>
        </w:rPr>
        <w:t>liable</w:t>
      </w:r>
      <w:r>
        <w:rPr>
          <w:spacing w:val="9"/>
          <w:sz w:val="20"/>
        </w:rPr>
        <w:t> </w:t>
      </w:r>
      <w:r>
        <w:rPr>
          <w:sz w:val="20"/>
        </w:rPr>
        <w:t>to</w:t>
      </w:r>
      <w:r>
        <w:rPr>
          <w:spacing w:val="9"/>
          <w:sz w:val="20"/>
        </w:rPr>
        <w:t> </w:t>
      </w:r>
      <w:r>
        <w:rPr>
          <w:spacing w:val="-3"/>
          <w:sz w:val="20"/>
        </w:rPr>
        <w:t>account</w:t>
      </w:r>
      <w:r>
        <w:rPr>
          <w:spacing w:val="9"/>
          <w:sz w:val="20"/>
        </w:rPr>
        <w:t> </w:t>
      </w:r>
      <w:r>
        <w:rPr>
          <w:sz w:val="20"/>
        </w:rPr>
        <w:t>for</w:t>
      </w:r>
      <w:r>
        <w:rPr>
          <w:spacing w:val="9"/>
          <w:sz w:val="20"/>
        </w:rPr>
        <w:t> </w:t>
      </w:r>
      <w:r>
        <w:rPr>
          <w:sz w:val="20"/>
        </w:rPr>
        <w:t>estate</w:t>
      </w:r>
      <w:r>
        <w:rPr>
          <w:spacing w:val="9"/>
          <w:sz w:val="20"/>
        </w:rPr>
        <w:t> </w:t>
      </w:r>
      <w:r>
        <w:rPr>
          <w:sz w:val="20"/>
        </w:rPr>
        <w:t>assets</w:t>
      </w:r>
      <w:r>
        <w:rPr>
          <w:spacing w:val="9"/>
          <w:sz w:val="20"/>
        </w:rPr>
        <w:t> </w:t>
      </w:r>
      <w:r>
        <w:rPr>
          <w:sz w:val="20"/>
        </w:rPr>
        <w:t>to</w:t>
      </w:r>
      <w:r>
        <w:rPr>
          <w:spacing w:val="9"/>
          <w:sz w:val="20"/>
        </w:rPr>
        <w:t> </w:t>
      </w:r>
      <w:r>
        <w:rPr>
          <w:sz w:val="20"/>
        </w:rPr>
        <w:t>the</w:t>
      </w:r>
      <w:r>
        <w:rPr>
          <w:spacing w:val="9"/>
          <w:sz w:val="20"/>
        </w:rPr>
        <w:t> </w:t>
      </w:r>
      <w:r>
        <w:rPr>
          <w:sz w:val="20"/>
        </w:rPr>
        <w:t>extent</w:t>
      </w:r>
      <w:r>
        <w:rPr>
          <w:spacing w:val="10"/>
          <w:sz w:val="20"/>
        </w:rPr>
        <w:t> </w:t>
      </w:r>
      <w:r>
        <w:rPr>
          <w:sz w:val="20"/>
        </w:rPr>
        <w:t>of—</w:t>
      </w:r>
    </w:p>
    <w:p>
      <w:pPr>
        <w:pStyle w:val="ListParagraph"/>
        <w:numPr>
          <w:ilvl w:val="1"/>
          <w:numId w:val="142"/>
        </w:numPr>
        <w:tabs>
          <w:tab w:pos="3330" w:val="left" w:leader="none"/>
        </w:tabs>
        <w:spacing w:line="240" w:lineRule="auto" w:before="136" w:after="0"/>
        <w:ind w:left="3329" w:right="0" w:hanging="268"/>
        <w:jc w:val="left"/>
        <w:rPr>
          <w:sz w:val="20"/>
        </w:rPr>
      </w:pPr>
      <w:r>
        <w:rPr>
          <w:sz w:val="20"/>
        </w:rPr>
        <w:t>the</w:t>
      </w:r>
      <w:r>
        <w:rPr>
          <w:spacing w:val="8"/>
          <w:sz w:val="20"/>
        </w:rPr>
        <w:t> </w:t>
      </w:r>
      <w:r>
        <w:rPr>
          <w:sz w:val="20"/>
        </w:rPr>
        <w:t>estate</w:t>
      </w:r>
      <w:r>
        <w:rPr>
          <w:spacing w:val="8"/>
          <w:sz w:val="20"/>
        </w:rPr>
        <w:t> </w:t>
      </w:r>
      <w:r>
        <w:rPr>
          <w:sz w:val="20"/>
        </w:rPr>
        <w:t>obtained,</w:t>
      </w:r>
      <w:r>
        <w:rPr>
          <w:spacing w:val="9"/>
          <w:sz w:val="20"/>
        </w:rPr>
        <w:t> </w:t>
      </w:r>
      <w:r>
        <w:rPr>
          <w:sz w:val="20"/>
        </w:rPr>
        <w:t>received</w:t>
      </w:r>
      <w:r>
        <w:rPr>
          <w:spacing w:val="8"/>
          <w:sz w:val="20"/>
        </w:rPr>
        <w:t> </w:t>
      </w:r>
      <w:r>
        <w:rPr>
          <w:sz w:val="20"/>
        </w:rPr>
        <w:t>or</w:t>
      </w:r>
      <w:r>
        <w:rPr>
          <w:spacing w:val="9"/>
          <w:sz w:val="20"/>
        </w:rPr>
        <w:t> </w:t>
      </w:r>
      <w:r>
        <w:rPr>
          <w:sz w:val="20"/>
        </w:rPr>
        <w:t>held</w:t>
      </w:r>
      <w:r>
        <w:rPr>
          <w:spacing w:val="8"/>
          <w:sz w:val="20"/>
        </w:rPr>
        <w:t> </w:t>
      </w:r>
      <w:r>
        <w:rPr>
          <w:sz w:val="20"/>
        </w:rPr>
        <w:t>by</w:t>
      </w:r>
      <w:r>
        <w:rPr>
          <w:spacing w:val="9"/>
          <w:sz w:val="20"/>
        </w:rPr>
        <w:t> </w:t>
      </w:r>
      <w:r>
        <w:rPr>
          <w:sz w:val="20"/>
        </w:rPr>
        <w:t>the</w:t>
      </w:r>
      <w:r>
        <w:rPr>
          <w:spacing w:val="8"/>
          <w:sz w:val="20"/>
        </w:rPr>
        <w:t> </w:t>
      </w:r>
      <w:r>
        <w:rPr>
          <w:sz w:val="20"/>
        </w:rPr>
        <w:t>person;</w:t>
      </w:r>
      <w:r>
        <w:rPr>
          <w:spacing w:val="9"/>
          <w:sz w:val="20"/>
        </w:rPr>
        <w:t> </w:t>
      </w:r>
      <w:r>
        <w:rPr>
          <w:sz w:val="20"/>
        </w:rPr>
        <w:t>or</w:t>
      </w:r>
    </w:p>
    <w:p>
      <w:pPr>
        <w:pStyle w:val="ListParagraph"/>
        <w:numPr>
          <w:ilvl w:val="1"/>
          <w:numId w:val="142"/>
        </w:numPr>
        <w:tabs>
          <w:tab w:pos="3343" w:val="left" w:leader="none"/>
        </w:tabs>
        <w:spacing w:line="240" w:lineRule="auto" w:before="135" w:after="0"/>
        <w:ind w:left="3342" w:right="0" w:hanging="281"/>
        <w:jc w:val="left"/>
        <w:rPr>
          <w:sz w:val="20"/>
        </w:rPr>
      </w:pPr>
      <w:r>
        <w:rPr>
          <w:sz w:val="20"/>
        </w:rPr>
        <w:t>the debt</w:t>
      </w:r>
      <w:r>
        <w:rPr>
          <w:spacing w:val="16"/>
          <w:sz w:val="20"/>
        </w:rPr>
        <w:t> </w:t>
      </w:r>
      <w:r>
        <w:rPr>
          <w:sz w:val="20"/>
        </w:rPr>
        <w:t>released.</w:t>
      </w:r>
    </w:p>
    <w:p>
      <w:pPr>
        <w:pStyle w:val="ListParagraph"/>
        <w:numPr>
          <w:ilvl w:val="0"/>
          <w:numId w:val="142"/>
        </w:numPr>
        <w:tabs>
          <w:tab w:pos="3062" w:val="left" w:leader="none"/>
        </w:tabs>
        <w:spacing w:line="254" w:lineRule="auto" w:before="136" w:after="0"/>
        <w:ind w:left="3061" w:right="1817" w:hanging="340"/>
        <w:jc w:val="left"/>
        <w:rPr>
          <w:sz w:val="11"/>
        </w:rPr>
      </w:pPr>
      <w:r>
        <w:rPr>
          <w:spacing w:val="-4"/>
          <w:sz w:val="20"/>
        </w:rPr>
        <w:t>However, </w:t>
      </w:r>
      <w:r>
        <w:rPr>
          <w:sz w:val="20"/>
        </w:rPr>
        <w:t>the </w:t>
      </w:r>
      <w:r>
        <w:rPr>
          <w:spacing w:val="-3"/>
          <w:sz w:val="20"/>
        </w:rPr>
        <w:t>person’s </w:t>
      </w:r>
      <w:r>
        <w:rPr>
          <w:sz w:val="20"/>
        </w:rPr>
        <w:t>liability is reduced to the extent of </w:t>
      </w:r>
      <w:r>
        <w:rPr>
          <w:spacing w:val="-2"/>
          <w:sz w:val="20"/>
        </w:rPr>
        <w:t>any </w:t>
      </w:r>
      <w:r>
        <w:rPr>
          <w:sz w:val="20"/>
        </w:rPr>
        <w:t>payment made by the person that might properly be made by a personal representative to whom a </w:t>
      </w:r>
      <w:r>
        <w:rPr>
          <w:spacing w:val="-3"/>
          <w:sz w:val="20"/>
        </w:rPr>
        <w:t>grant    </w:t>
      </w:r>
      <w:r>
        <w:rPr>
          <w:sz w:val="20"/>
        </w:rPr>
        <w:t>of representation of the estate is</w:t>
      </w:r>
      <w:r>
        <w:rPr>
          <w:spacing w:val="5"/>
          <w:sz w:val="20"/>
        </w:rPr>
        <w:t> </w:t>
      </w:r>
      <w:r>
        <w:rPr>
          <w:sz w:val="20"/>
        </w:rPr>
        <w:t>made.</w:t>
      </w:r>
      <w:r>
        <w:rPr>
          <w:position w:val="7"/>
          <w:sz w:val="11"/>
        </w:rPr>
        <w:t>50</w:t>
      </w:r>
    </w:p>
    <w:p>
      <w:pPr>
        <w:pStyle w:val="ListParagraph"/>
        <w:numPr>
          <w:ilvl w:val="1"/>
          <w:numId w:val="22"/>
        </w:numPr>
        <w:tabs>
          <w:tab w:pos="2381" w:val="left" w:leader="none"/>
          <w:tab w:pos="2382" w:val="left" w:leader="none"/>
        </w:tabs>
        <w:spacing w:line="242" w:lineRule="auto" w:before="114" w:after="0"/>
        <w:ind w:left="2381" w:right="1621" w:hanging="794"/>
        <w:jc w:val="left"/>
        <w:rPr>
          <w:sz w:val="12"/>
        </w:rPr>
      </w:pPr>
      <w:r>
        <w:rPr>
          <w:sz w:val="21"/>
        </w:rPr>
        <w:t>The model </w:t>
      </w:r>
      <w:r>
        <w:rPr>
          <w:spacing w:val="-3"/>
          <w:sz w:val="21"/>
        </w:rPr>
        <w:t>provision </w:t>
      </w:r>
      <w:r>
        <w:rPr>
          <w:sz w:val="21"/>
        </w:rPr>
        <w:t>is drafted more simply and with a more </w:t>
      </w:r>
      <w:r>
        <w:rPr>
          <w:spacing w:val="-3"/>
          <w:sz w:val="21"/>
        </w:rPr>
        <w:t>accessible layout than </w:t>
      </w:r>
      <w:r>
        <w:rPr>
          <w:sz w:val="21"/>
        </w:rPr>
        <w:t>the Victorian </w:t>
      </w:r>
      <w:r>
        <w:rPr>
          <w:spacing w:val="-3"/>
          <w:sz w:val="21"/>
        </w:rPr>
        <w:t>equivalent. </w:t>
      </w:r>
      <w:r>
        <w:rPr>
          <w:sz w:val="21"/>
        </w:rPr>
        <w:t>This is very important in a section </w:t>
      </w:r>
      <w:r>
        <w:rPr>
          <w:spacing w:val="-3"/>
          <w:sz w:val="21"/>
        </w:rPr>
        <w:t>that </w:t>
      </w:r>
      <w:r>
        <w:rPr>
          <w:sz w:val="21"/>
        </w:rPr>
        <w:t>sets out </w:t>
      </w:r>
      <w:r>
        <w:rPr>
          <w:spacing w:val="-3"/>
          <w:sz w:val="21"/>
        </w:rPr>
        <w:t>to </w:t>
      </w:r>
      <w:r>
        <w:rPr>
          <w:sz w:val="21"/>
        </w:rPr>
        <w:t>define </w:t>
      </w:r>
      <w:r>
        <w:rPr>
          <w:spacing w:val="-3"/>
          <w:sz w:val="21"/>
        </w:rPr>
        <w:t>for informal administrators,</w:t>
      </w:r>
      <w:r>
        <w:rPr>
          <w:spacing w:val="13"/>
          <w:sz w:val="21"/>
        </w:rPr>
        <w:t> </w:t>
      </w:r>
      <w:r>
        <w:rPr>
          <w:sz w:val="21"/>
        </w:rPr>
        <w:t>who</w:t>
      </w:r>
      <w:r>
        <w:rPr>
          <w:spacing w:val="13"/>
          <w:sz w:val="21"/>
        </w:rPr>
        <w:t> </w:t>
      </w:r>
      <w:r>
        <w:rPr>
          <w:spacing w:val="-3"/>
          <w:sz w:val="21"/>
        </w:rPr>
        <w:t>may</w:t>
      </w:r>
      <w:r>
        <w:rPr>
          <w:spacing w:val="13"/>
          <w:sz w:val="21"/>
        </w:rPr>
        <w:t> </w:t>
      </w:r>
      <w:r>
        <w:rPr>
          <w:spacing w:val="-2"/>
          <w:sz w:val="21"/>
        </w:rPr>
        <w:t>not</w:t>
      </w:r>
      <w:r>
        <w:rPr>
          <w:spacing w:val="13"/>
          <w:sz w:val="21"/>
        </w:rPr>
        <w:t> </w:t>
      </w:r>
      <w:r>
        <w:rPr>
          <w:spacing w:val="-3"/>
          <w:sz w:val="21"/>
        </w:rPr>
        <w:t>have</w:t>
      </w:r>
      <w:r>
        <w:rPr>
          <w:spacing w:val="13"/>
          <w:sz w:val="21"/>
        </w:rPr>
        <w:t> </w:t>
      </w:r>
      <w:r>
        <w:rPr>
          <w:sz w:val="21"/>
        </w:rPr>
        <w:t>legal</w:t>
      </w:r>
      <w:r>
        <w:rPr>
          <w:spacing w:val="13"/>
          <w:sz w:val="21"/>
        </w:rPr>
        <w:t> </w:t>
      </w:r>
      <w:r>
        <w:rPr>
          <w:spacing w:val="-3"/>
          <w:sz w:val="21"/>
        </w:rPr>
        <w:t>training,</w:t>
      </w:r>
      <w:r>
        <w:rPr>
          <w:spacing w:val="13"/>
          <w:sz w:val="21"/>
        </w:rPr>
        <w:t> </w:t>
      </w:r>
      <w:r>
        <w:rPr>
          <w:sz w:val="21"/>
        </w:rPr>
        <w:t>the</w:t>
      </w:r>
      <w:r>
        <w:rPr>
          <w:spacing w:val="13"/>
          <w:sz w:val="21"/>
        </w:rPr>
        <w:t> </w:t>
      </w:r>
      <w:r>
        <w:rPr>
          <w:spacing w:val="-2"/>
          <w:sz w:val="21"/>
        </w:rPr>
        <w:t>limits</w:t>
      </w:r>
      <w:r>
        <w:rPr>
          <w:spacing w:val="13"/>
          <w:sz w:val="21"/>
        </w:rPr>
        <w:t> </w:t>
      </w:r>
      <w:r>
        <w:rPr>
          <w:sz w:val="21"/>
        </w:rPr>
        <w:t>of</w:t>
      </w:r>
      <w:r>
        <w:rPr>
          <w:spacing w:val="13"/>
          <w:sz w:val="21"/>
        </w:rPr>
        <w:t> </w:t>
      </w:r>
      <w:r>
        <w:rPr>
          <w:sz w:val="21"/>
        </w:rPr>
        <w:t>their</w:t>
      </w:r>
      <w:r>
        <w:rPr>
          <w:spacing w:val="13"/>
          <w:sz w:val="21"/>
        </w:rPr>
        <w:t> </w:t>
      </w:r>
      <w:r>
        <w:rPr>
          <w:spacing w:val="-5"/>
          <w:sz w:val="21"/>
        </w:rPr>
        <w:t>liability.</w:t>
      </w:r>
      <w:r>
        <w:rPr>
          <w:spacing w:val="-5"/>
          <w:position w:val="7"/>
          <w:sz w:val="12"/>
        </w:rPr>
        <w:t>51</w:t>
      </w:r>
    </w:p>
    <w:p>
      <w:pPr>
        <w:pStyle w:val="BodyText"/>
        <w:rPr>
          <w:sz w:val="20"/>
        </w:rPr>
      </w:pPr>
    </w:p>
    <w:p>
      <w:pPr>
        <w:pStyle w:val="BodyText"/>
        <w:rPr>
          <w:sz w:val="20"/>
        </w:rPr>
      </w:pPr>
    </w:p>
    <w:p>
      <w:pPr>
        <w:pStyle w:val="BodyText"/>
        <w:spacing w:before="5"/>
        <w:rPr>
          <w:sz w:val="13"/>
        </w:rPr>
      </w:pPr>
      <w:r>
        <w:rPr/>
        <w:pict>
          <v:line style="position:absolute;mso-position-horizontal-relative:page;mso-position-vertical-relative:paragraph;z-index:11600;mso-wrap-distance-left:0;mso-wrap-distance-right:0" from="79.370102pt,10.647657pt" to="515.905102pt,10.647657pt" stroked="true" strokeweight="1pt" strokecolor="#f9ceca">
            <v:stroke dashstyle="solid"/>
            <w10:wrap type="topAndBottom"/>
          </v:line>
        </w:pict>
      </w:r>
    </w:p>
    <w:p>
      <w:pPr>
        <w:pStyle w:val="BodyText"/>
        <w:spacing w:before="8"/>
        <w:rPr>
          <w:sz w:val="5"/>
        </w:rPr>
      </w:pPr>
    </w:p>
    <w:p>
      <w:pPr>
        <w:spacing w:after="0"/>
        <w:rPr>
          <w:sz w:val="5"/>
        </w:rPr>
        <w:sectPr>
          <w:pgSz w:w="11910" w:h="16840"/>
          <w:pgMar w:header="805" w:footer="0" w:top="1360" w:bottom="280" w:left="0" w:right="0"/>
        </w:sectPr>
      </w:pPr>
    </w:p>
    <w:p>
      <w:pPr>
        <w:pStyle w:val="ListParagraph"/>
        <w:numPr>
          <w:ilvl w:val="0"/>
          <w:numId w:val="140"/>
        </w:numPr>
        <w:tabs>
          <w:tab w:pos="2380" w:val="left" w:leader="none"/>
          <w:tab w:pos="2382" w:val="left" w:leader="none"/>
        </w:tabs>
        <w:spacing w:line="240" w:lineRule="auto" w:before="48" w:after="0"/>
        <w:ind w:left="2381" w:right="125" w:hanging="794"/>
        <w:jc w:val="left"/>
        <w:rPr>
          <w:sz w:val="13"/>
        </w:rPr>
      </w:pPr>
      <w:r>
        <w:rPr>
          <w:w w:val="105"/>
          <w:sz w:val="13"/>
        </w:rPr>
        <w:t>Note that the heading does not form part of the Act. Section 33 of the </w:t>
      </w:r>
      <w:r>
        <w:rPr>
          <w:i/>
          <w:w w:val="105"/>
          <w:sz w:val="13"/>
        </w:rPr>
        <w:t>Administration and Probate Act 1958 </w:t>
      </w:r>
      <w:r>
        <w:rPr>
          <w:spacing w:val="2"/>
          <w:w w:val="105"/>
          <w:sz w:val="13"/>
        </w:rPr>
        <w:t>(Vic) </w:t>
      </w:r>
      <w:r>
        <w:rPr>
          <w:w w:val="105"/>
          <w:sz w:val="13"/>
        </w:rPr>
        <w:t>came into force prior   to</w:t>
      </w:r>
      <w:r>
        <w:rPr>
          <w:spacing w:val="5"/>
          <w:w w:val="105"/>
          <w:sz w:val="13"/>
        </w:rPr>
        <w:t> </w:t>
      </w:r>
      <w:r>
        <w:rPr>
          <w:w w:val="105"/>
          <w:sz w:val="13"/>
        </w:rPr>
        <w:t>1</w:t>
      </w:r>
      <w:r>
        <w:rPr>
          <w:spacing w:val="5"/>
          <w:w w:val="105"/>
          <w:sz w:val="13"/>
        </w:rPr>
        <w:t> </w:t>
      </w:r>
      <w:r>
        <w:rPr>
          <w:w w:val="105"/>
          <w:sz w:val="13"/>
        </w:rPr>
        <w:t>January</w:t>
      </w:r>
      <w:r>
        <w:rPr>
          <w:spacing w:val="6"/>
          <w:w w:val="105"/>
          <w:sz w:val="13"/>
        </w:rPr>
        <w:t> </w:t>
      </w:r>
      <w:r>
        <w:rPr>
          <w:w w:val="105"/>
          <w:sz w:val="13"/>
        </w:rPr>
        <w:t>2001</w:t>
      </w:r>
      <w:r>
        <w:rPr>
          <w:spacing w:val="5"/>
          <w:w w:val="105"/>
          <w:sz w:val="13"/>
        </w:rPr>
        <w:t> </w:t>
      </w:r>
      <w:r>
        <w:rPr>
          <w:w w:val="105"/>
          <w:sz w:val="13"/>
        </w:rPr>
        <w:t>so</w:t>
      </w:r>
      <w:r>
        <w:rPr>
          <w:spacing w:val="5"/>
          <w:w w:val="105"/>
          <w:sz w:val="13"/>
        </w:rPr>
        <w:t> </w:t>
      </w:r>
      <w:r>
        <w:rPr>
          <w:w w:val="105"/>
          <w:sz w:val="13"/>
        </w:rPr>
        <w:t>this</w:t>
      </w:r>
      <w:r>
        <w:rPr>
          <w:spacing w:val="6"/>
          <w:w w:val="105"/>
          <w:sz w:val="13"/>
        </w:rPr>
        <w:t> </w:t>
      </w:r>
      <w:r>
        <w:rPr>
          <w:w w:val="105"/>
          <w:sz w:val="13"/>
        </w:rPr>
        <w:t>heading</w:t>
      </w:r>
      <w:r>
        <w:rPr>
          <w:spacing w:val="5"/>
          <w:w w:val="105"/>
          <w:sz w:val="13"/>
        </w:rPr>
        <w:t> </w:t>
      </w:r>
      <w:r>
        <w:rPr>
          <w:w w:val="105"/>
          <w:sz w:val="13"/>
        </w:rPr>
        <w:t>does</w:t>
      </w:r>
      <w:r>
        <w:rPr>
          <w:spacing w:val="5"/>
          <w:w w:val="105"/>
          <w:sz w:val="13"/>
        </w:rPr>
        <w:t> </w:t>
      </w:r>
      <w:r>
        <w:rPr>
          <w:w w:val="105"/>
          <w:sz w:val="13"/>
        </w:rPr>
        <w:t>not</w:t>
      </w:r>
      <w:r>
        <w:rPr>
          <w:spacing w:val="6"/>
          <w:w w:val="105"/>
          <w:sz w:val="13"/>
        </w:rPr>
        <w:t> </w:t>
      </w:r>
      <w:r>
        <w:rPr>
          <w:w w:val="105"/>
          <w:sz w:val="13"/>
        </w:rPr>
        <w:t>form</w:t>
      </w:r>
      <w:r>
        <w:rPr>
          <w:spacing w:val="5"/>
          <w:w w:val="105"/>
          <w:sz w:val="13"/>
        </w:rPr>
        <w:t> </w:t>
      </w:r>
      <w:r>
        <w:rPr>
          <w:w w:val="105"/>
          <w:sz w:val="13"/>
        </w:rPr>
        <w:t>part</w:t>
      </w:r>
      <w:r>
        <w:rPr>
          <w:spacing w:val="5"/>
          <w:w w:val="105"/>
          <w:sz w:val="13"/>
        </w:rPr>
        <w:t> </w:t>
      </w:r>
      <w:r>
        <w:rPr>
          <w:w w:val="105"/>
          <w:sz w:val="13"/>
        </w:rPr>
        <w:t>of</w:t>
      </w:r>
      <w:r>
        <w:rPr>
          <w:spacing w:val="6"/>
          <w:w w:val="105"/>
          <w:sz w:val="13"/>
        </w:rPr>
        <w:t> </w:t>
      </w:r>
      <w:r>
        <w:rPr>
          <w:w w:val="105"/>
          <w:sz w:val="13"/>
        </w:rPr>
        <w:t>the</w:t>
      </w:r>
      <w:r>
        <w:rPr>
          <w:spacing w:val="5"/>
          <w:w w:val="105"/>
          <w:sz w:val="13"/>
        </w:rPr>
        <w:t> </w:t>
      </w:r>
      <w:r>
        <w:rPr>
          <w:w w:val="105"/>
          <w:sz w:val="13"/>
        </w:rPr>
        <w:t>Act:</w:t>
      </w:r>
      <w:r>
        <w:rPr>
          <w:spacing w:val="6"/>
          <w:w w:val="105"/>
          <w:sz w:val="13"/>
        </w:rPr>
        <w:t> </w:t>
      </w:r>
      <w:r>
        <w:rPr>
          <w:i/>
          <w:w w:val="105"/>
          <w:sz w:val="13"/>
        </w:rPr>
        <w:t>Interpretation</w:t>
      </w:r>
      <w:r>
        <w:rPr>
          <w:i/>
          <w:spacing w:val="4"/>
          <w:w w:val="105"/>
          <w:sz w:val="13"/>
        </w:rPr>
        <w:t> </w:t>
      </w:r>
      <w:r>
        <w:rPr>
          <w:i/>
          <w:w w:val="105"/>
          <w:sz w:val="13"/>
        </w:rPr>
        <w:t>of</w:t>
      </w:r>
      <w:r>
        <w:rPr>
          <w:i/>
          <w:spacing w:val="4"/>
          <w:w w:val="105"/>
          <w:sz w:val="13"/>
        </w:rPr>
        <w:t> </w:t>
      </w:r>
      <w:r>
        <w:rPr>
          <w:i/>
          <w:w w:val="105"/>
          <w:sz w:val="13"/>
        </w:rPr>
        <w:t>Legislation</w:t>
      </w:r>
      <w:r>
        <w:rPr>
          <w:i/>
          <w:spacing w:val="5"/>
          <w:w w:val="105"/>
          <w:sz w:val="13"/>
        </w:rPr>
        <w:t> </w:t>
      </w:r>
      <w:r>
        <w:rPr>
          <w:i/>
          <w:w w:val="105"/>
          <w:sz w:val="13"/>
        </w:rPr>
        <w:t>Act</w:t>
      </w:r>
      <w:r>
        <w:rPr>
          <w:i/>
          <w:spacing w:val="4"/>
          <w:w w:val="105"/>
          <w:sz w:val="13"/>
        </w:rPr>
        <w:t> </w:t>
      </w:r>
      <w:r>
        <w:rPr>
          <w:i/>
          <w:w w:val="105"/>
          <w:sz w:val="13"/>
        </w:rPr>
        <w:t>1984</w:t>
      </w:r>
      <w:r>
        <w:rPr>
          <w:i/>
          <w:spacing w:val="5"/>
          <w:w w:val="105"/>
          <w:sz w:val="13"/>
        </w:rPr>
        <w:t> </w:t>
      </w:r>
      <w:r>
        <w:rPr>
          <w:spacing w:val="2"/>
          <w:w w:val="105"/>
          <w:sz w:val="13"/>
        </w:rPr>
        <w:t>(Vic)</w:t>
      </w:r>
      <w:r>
        <w:rPr>
          <w:spacing w:val="6"/>
          <w:w w:val="105"/>
          <w:sz w:val="13"/>
        </w:rPr>
        <w:t> </w:t>
      </w:r>
      <w:r>
        <w:rPr>
          <w:w w:val="105"/>
          <w:sz w:val="13"/>
        </w:rPr>
        <w:t>s</w:t>
      </w:r>
      <w:r>
        <w:rPr>
          <w:spacing w:val="5"/>
          <w:w w:val="105"/>
          <w:sz w:val="13"/>
        </w:rPr>
        <w:t> </w:t>
      </w:r>
      <w:r>
        <w:rPr>
          <w:spacing w:val="3"/>
          <w:w w:val="105"/>
          <w:sz w:val="13"/>
        </w:rPr>
        <w:t>36(2A).</w:t>
      </w:r>
    </w:p>
    <w:p>
      <w:pPr>
        <w:pStyle w:val="ListParagraph"/>
        <w:numPr>
          <w:ilvl w:val="0"/>
          <w:numId w:val="140"/>
        </w:numPr>
        <w:tabs>
          <w:tab w:pos="2380" w:val="left" w:leader="none"/>
          <w:tab w:pos="2382" w:val="left" w:leader="none"/>
        </w:tabs>
        <w:spacing w:line="240" w:lineRule="auto" w:before="3" w:after="0"/>
        <w:ind w:left="2381" w:right="0" w:hanging="794"/>
        <w:jc w:val="left"/>
        <w:rPr>
          <w:sz w:val="13"/>
        </w:rPr>
      </w:pPr>
      <w:r>
        <w:rPr>
          <w:w w:val="105"/>
          <w:sz w:val="13"/>
        </w:rPr>
        <w:t>National Committee for Uniform Succession Laws, </w:t>
      </w:r>
      <w:r>
        <w:rPr>
          <w:i/>
          <w:w w:val="105"/>
          <w:sz w:val="13"/>
        </w:rPr>
        <w:t>Administration of Estates of Deceased Persons: Report of the National Committee for </w:t>
      </w:r>
      <w:r>
        <w:rPr>
          <w:i/>
          <w:w w:val="105"/>
          <w:sz w:val="13"/>
        </w:rPr>
        <w:t>Uniform Succession Laws to the Standing Committee of Attorneys General: Volume 4</w:t>
      </w:r>
      <w:r>
        <w:rPr>
          <w:w w:val="105"/>
          <w:sz w:val="13"/>
        </w:rPr>
        <w:t>, Queensland Law Reform Commission </w:t>
      </w:r>
      <w:r>
        <w:rPr>
          <w:spacing w:val="2"/>
          <w:w w:val="105"/>
          <w:sz w:val="13"/>
        </w:rPr>
        <w:t>Report </w:t>
      </w:r>
      <w:r>
        <w:rPr>
          <w:w w:val="105"/>
          <w:sz w:val="13"/>
        </w:rPr>
        <w:t>No 65 </w:t>
      </w:r>
      <w:r>
        <w:rPr>
          <w:spacing w:val="2"/>
          <w:w w:val="105"/>
          <w:sz w:val="13"/>
        </w:rPr>
        <w:t>(2009)</w:t>
      </w:r>
      <w:r>
        <w:rPr>
          <w:spacing w:val="4"/>
          <w:w w:val="105"/>
          <w:sz w:val="13"/>
        </w:rPr>
        <w:t> </w:t>
      </w:r>
      <w:r>
        <w:rPr>
          <w:w w:val="105"/>
          <w:sz w:val="13"/>
        </w:rPr>
        <w:t>Draft</w:t>
      </w:r>
      <w:r>
        <w:rPr>
          <w:spacing w:val="5"/>
          <w:w w:val="105"/>
          <w:sz w:val="13"/>
        </w:rPr>
        <w:t> </w:t>
      </w:r>
      <w:r>
        <w:rPr>
          <w:w w:val="105"/>
          <w:sz w:val="13"/>
        </w:rPr>
        <w:t>Administration</w:t>
      </w:r>
      <w:r>
        <w:rPr>
          <w:spacing w:val="5"/>
          <w:w w:val="105"/>
          <w:sz w:val="13"/>
        </w:rPr>
        <w:t> </w:t>
      </w:r>
      <w:r>
        <w:rPr>
          <w:w w:val="105"/>
          <w:sz w:val="13"/>
        </w:rPr>
        <w:t>of</w:t>
      </w:r>
      <w:r>
        <w:rPr>
          <w:spacing w:val="5"/>
          <w:w w:val="105"/>
          <w:sz w:val="13"/>
        </w:rPr>
        <w:t> </w:t>
      </w:r>
      <w:r>
        <w:rPr>
          <w:w w:val="105"/>
          <w:sz w:val="13"/>
        </w:rPr>
        <w:t>Estates</w:t>
      </w:r>
      <w:r>
        <w:rPr>
          <w:spacing w:val="4"/>
          <w:w w:val="105"/>
          <w:sz w:val="13"/>
        </w:rPr>
        <w:t> </w:t>
      </w:r>
      <w:r>
        <w:rPr>
          <w:w w:val="105"/>
          <w:sz w:val="13"/>
        </w:rPr>
        <w:t>Bill</w:t>
      </w:r>
      <w:r>
        <w:rPr>
          <w:spacing w:val="5"/>
          <w:w w:val="105"/>
          <w:sz w:val="13"/>
        </w:rPr>
        <w:t> </w:t>
      </w:r>
      <w:r>
        <w:rPr>
          <w:w w:val="105"/>
          <w:sz w:val="13"/>
        </w:rPr>
        <w:t>2009</w:t>
      </w:r>
      <w:r>
        <w:rPr>
          <w:spacing w:val="5"/>
          <w:w w:val="105"/>
          <w:sz w:val="13"/>
        </w:rPr>
        <w:t> </w:t>
      </w:r>
      <w:r>
        <w:rPr>
          <w:w w:val="105"/>
          <w:sz w:val="13"/>
        </w:rPr>
        <w:t>cl</w:t>
      </w:r>
      <w:r>
        <w:rPr>
          <w:spacing w:val="5"/>
          <w:w w:val="105"/>
          <w:sz w:val="13"/>
        </w:rPr>
        <w:t> </w:t>
      </w:r>
      <w:r>
        <w:rPr>
          <w:w w:val="105"/>
          <w:sz w:val="13"/>
        </w:rPr>
        <w:t>435</w:t>
      </w:r>
      <w:r>
        <w:rPr>
          <w:spacing w:val="4"/>
          <w:w w:val="105"/>
          <w:sz w:val="13"/>
        </w:rPr>
        <w:t> </w:t>
      </w:r>
      <w:r>
        <w:rPr>
          <w:w w:val="105"/>
          <w:sz w:val="13"/>
        </w:rPr>
        <w:t>(‘</w:t>
      </w:r>
      <w:r>
        <w:rPr>
          <w:i/>
          <w:w w:val="105"/>
          <w:sz w:val="13"/>
        </w:rPr>
        <w:t>Administration</w:t>
      </w:r>
      <w:r>
        <w:rPr>
          <w:i/>
          <w:spacing w:val="4"/>
          <w:w w:val="105"/>
          <w:sz w:val="13"/>
        </w:rPr>
        <w:t> </w:t>
      </w:r>
      <w:r>
        <w:rPr>
          <w:i/>
          <w:w w:val="105"/>
          <w:sz w:val="13"/>
        </w:rPr>
        <w:t>of</w:t>
      </w:r>
      <w:r>
        <w:rPr>
          <w:i/>
          <w:spacing w:val="4"/>
          <w:w w:val="105"/>
          <w:sz w:val="13"/>
        </w:rPr>
        <w:t> </w:t>
      </w:r>
      <w:r>
        <w:rPr>
          <w:i/>
          <w:w w:val="105"/>
          <w:sz w:val="13"/>
        </w:rPr>
        <w:t>Estates:</w:t>
      </w:r>
      <w:r>
        <w:rPr>
          <w:i/>
          <w:spacing w:val="4"/>
          <w:w w:val="105"/>
          <w:sz w:val="13"/>
        </w:rPr>
        <w:t> </w:t>
      </w:r>
      <w:r>
        <w:rPr>
          <w:i/>
          <w:w w:val="105"/>
          <w:sz w:val="13"/>
        </w:rPr>
        <w:t>Volume</w:t>
      </w:r>
      <w:r>
        <w:rPr>
          <w:i/>
          <w:spacing w:val="3"/>
          <w:w w:val="105"/>
          <w:sz w:val="13"/>
        </w:rPr>
        <w:t> </w:t>
      </w:r>
      <w:r>
        <w:rPr>
          <w:i/>
          <w:spacing w:val="4"/>
          <w:w w:val="105"/>
          <w:sz w:val="13"/>
        </w:rPr>
        <w:t>4</w:t>
      </w:r>
      <w:r>
        <w:rPr>
          <w:spacing w:val="4"/>
          <w:w w:val="105"/>
          <w:sz w:val="13"/>
        </w:rPr>
        <w:t>’).</w:t>
      </w:r>
    </w:p>
    <w:p>
      <w:pPr>
        <w:pStyle w:val="ListParagraph"/>
        <w:numPr>
          <w:ilvl w:val="0"/>
          <w:numId w:val="140"/>
        </w:numPr>
        <w:tabs>
          <w:tab w:pos="2381" w:val="left" w:leader="none"/>
          <w:tab w:pos="2382" w:val="left" w:leader="none"/>
        </w:tabs>
        <w:spacing w:line="240" w:lineRule="auto" w:before="4" w:after="0"/>
        <w:ind w:left="2381" w:right="0" w:hanging="794"/>
        <w:jc w:val="left"/>
        <w:rPr>
          <w:sz w:val="13"/>
        </w:rPr>
      </w:pPr>
      <w:r>
        <w:rPr>
          <w:sz w:val="13"/>
        </w:rPr>
        <w:t>Ibid.</w:t>
      </w:r>
    </w:p>
    <w:p>
      <w:pPr>
        <w:pStyle w:val="BodyText"/>
        <w:rPr>
          <w:sz w:val="28"/>
        </w:rPr>
      </w:pPr>
      <w:r>
        <w:rPr/>
        <w:br w:type="column"/>
      </w:r>
      <w:r>
        <w:rPr>
          <w:sz w:val="28"/>
        </w:rPr>
      </w:r>
    </w:p>
    <w:p>
      <w:pPr>
        <w:pStyle w:val="BodyText"/>
        <w:spacing w:before="11"/>
        <w:rPr>
          <w:sz w:val="32"/>
        </w:rPr>
      </w:pPr>
    </w:p>
    <w:p>
      <w:pPr>
        <w:spacing w:before="0"/>
        <w:ind w:left="698" w:right="575" w:firstLine="0"/>
        <w:jc w:val="center"/>
        <w:rPr>
          <w:b/>
          <w:sz w:val="24"/>
        </w:rPr>
      </w:pPr>
      <w:r>
        <w:rPr>
          <w:b/>
          <w:color w:val="EC5A4F"/>
          <w:w w:val="110"/>
          <w:sz w:val="24"/>
        </w:rPr>
        <w:t>197</w:t>
      </w:r>
    </w:p>
    <w:p>
      <w:pPr>
        <w:spacing w:after="0"/>
        <w:jc w:val="center"/>
        <w:rPr>
          <w:sz w:val="24"/>
        </w:rPr>
        <w:sectPr>
          <w:type w:val="continuous"/>
          <w:pgSz w:w="11910" w:h="16840"/>
          <w:pgMar w:top="920" w:bottom="280" w:left="0" w:right="0"/>
          <w:cols w:num="2" w:equalWidth="0">
            <w:col w:w="10155" w:space="40"/>
            <w:col w:w="1715"/>
          </w:cols>
        </w:sectPr>
      </w:pPr>
    </w:p>
    <w:p>
      <w:pPr>
        <w:pStyle w:val="BodyText"/>
        <w:spacing w:before="9"/>
        <w:rPr>
          <w:b/>
          <w:sz w:val="22"/>
        </w:rPr>
      </w:pPr>
    </w:p>
    <w:p>
      <w:pPr>
        <w:pStyle w:val="ListParagraph"/>
        <w:numPr>
          <w:ilvl w:val="1"/>
          <w:numId w:val="22"/>
        </w:numPr>
        <w:tabs>
          <w:tab w:pos="2381" w:val="left" w:leader="none"/>
          <w:tab w:pos="2382" w:val="left" w:leader="none"/>
        </w:tabs>
        <w:spacing w:line="242" w:lineRule="auto" w:before="92" w:after="0"/>
        <w:ind w:left="2381" w:right="1767" w:hanging="794"/>
        <w:jc w:val="left"/>
        <w:rPr>
          <w:sz w:val="21"/>
        </w:rPr>
      </w:pPr>
      <w:r>
        <w:rPr>
          <w:w w:val="105"/>
          <w:sz w:val="21"/>
        </w:rPr>
        <w:t>The </w:t>
      </w:r>
      <w:r>
        <w:rPr>
          <w:spacing w:val="-4"/>
          <w:w w:val="105"/>
          <w:sz w:val="21"/>
        </w:rPr>
        <w:t>Commission’s </w:t>
      </w:r>
      <w:r>
        <w:rPr>
          <w:spacing w:val="-3"/>
          <w:w w:val="105"/>
          <w:sz w:val="21"/>
        </w:rPr>
        <w:t>consultation </w:t>
      </w:r>
      <w:r>
        <w:rPr>
          <w:w w:val="105"/>
          <w:sz w:val="21"/>
        </w:rPr>
        <w:t>paper on </w:t>
      </w:r>
      <w:r>
        <w:rPr>
          <w:spacing w:val="-3"/>
          <w:w w:val="105"/>
          <w:sz w:val="21"/>
        </w:rPr>
        <w:t>small </w:t>
      </w:r>
      <w:r>
        <w:rPr>
          <w:w w:val="105"/>
          <w:sz w:val="21"/>
        </w:rPr>
        <w:t>estates </w:t>
      </w:r>
      <w:r>
        <w:rPr>
          <w:spacing w:val="-3"/>
          <w:w w:val="105"/>
          <w:sz w:val="21"/>
        </w:rPr>
        <w:t>asked </w:t>
      </w:r>
      <w:r>
        <w:rPr>
          <w:w w:val="105"/>
          <w:sz w:val="21"/>
        </w:rPr>
        <w:t>whether this </w:t>
      </w:r>
      <w:r>
        <w:rPr>
          <w:spacing w:val="-3"/>
          <w:w w:val="105"/>
          <w:sz w:val="21"/>
        </w:rPr>
        <w:t>change </w:t>
      </w:r>
      <w:r>
        <w:rPr>
          <w:w w:val="105"/>
          <w:sz w:val="21"/>
        </w:rPr>
        <w:t>would be </w:t>
      </w:r>
      <w:r>
        <w:rPr>
          <w:spacing w:val="-3"/>
          <w:w w:val="105"/>
          <w:sz w:val="21"/>
        </w:rPr>
        <w:t>appropriate.</w:t>
      </w:r>
      <w:r>
        <w:rPr>
          <w:spacing w:val="-3"/>
          <w:w w:val="105"/>
          <w:position w:val="7"/>
          <w:sz w:val="12"/>
        </w:rPr>
        <w:t>52 </w:t>
      </w:r>
      <w:r>
        <w:rPr>
          <w:w w:val="105"/>
          <w:sz w:val="21"/>
        </w:rPr>
        <w:t>Moores Legal agreed</w:t>
      </w:r>
      <w:r>
        <w:rPr>
          <w:spacing w:val="23"/>
          <w:w w:val="105"/>
          <w:sz w:val="21"/>
        </w:rPr>
        <w:t> </w:t>
      </w:r>
      <w:r>
        <w:rPr>
          <w:w w:val="105"/>
          <w:sz w:val="21"/>
        </w:rPr>
        <w:t>that:</w:t>
      </w:r>
    </w:p>
    <w:p>
      <w:pPr>
        <w:spacing w:line="254" w:lineRule="auto" w:before="131"/>
        <w:ind w:left="2721" w:right="2010" w:firstLine="0"/>
        <w:jc w:val="left"/>
        <w:rPr>
          <w:sz w:val="11"/>
        </w:rPr>
      </w:pPr>
      <w:r>
        <w:rPr>
          <w:w w:val="115"/>
          <w:sz w:val="20"/>
        </w:rPr>
        <w:t>… </w:t>
      </w:r>
      <w:r>
        <w:rPr>
          <w:sz w:val="20"/>
        </w:rPr>
        <w:t>although the </w:t>
      </w:r>
      <w:r>
        <w:rPr>
          <w:spacing w:val="-3"/>
          <w:sz w:val="20"/>
        </w:rPr>
        <w:t>overall </w:t>
      </w:r>
      <w:r>
        <w:rPr>
          <w:sz w:val="20"/>
        </w:rPr>
        <w:t>effect of the amendment would perhaps be equivocal, it would assist by </w:t>
      </w:r>
      <w:r>
        <w:rPr>
          <w:spacing w:val="-3"/>
          <w:sz w:val="20"/>
        </w:rPr>
        <w:t>changing  </w:t>
      </w:r>
      <w:r>
        <w:rPr>
          <w:sz w:val="20"/>
        </w:rPr>
        <w:t>the focus away from a liability approach to a protection </w:t>
      </w:r>
      <w:r>
        <w:rPr>
          <w:spacing w:val="-3"/>
          <w:sz w:val="20"/>
        </w:rPr>
        <w:t>approach…   </w:t>
      </w:r>
      <w:r>
        <w:rPr>
          <w:sz w:val="20"/>
        </w:rPr>
        <w:t>the reworded section would allow </w:t>
      </w:r>
      <w:r>
        <w:rPr>
          <w:spacing w:val="-3"/>
          <w:sz w:val="20"/>
        </w:rPr>
        <w:t>informal </w:t>
      </w:r>
      <w:r>
        <w:rPr>
          <w:sz w:val="20"/>
        </w:rPr>
        <w:t>administrators to feel that their role and actions are</w:t>
      </w:r>
      <w:r>
        <w:rPr>
          <w:spacing w:val="16"/>
          <w:sz w:val="20"/>
        </w:rPr>
        <w:t> </w:t>
      </w:r>
      <w:r>
        <w:rPr>
          <w:sz w:val="20"/>
        </w:rPr>
        <w:t>legitimised.</w:t>
      </w:r>
      <w:r>
        <w:rPr>
          <w:position w:val="7"/>
          <w:sz w:val="11"/>
        </w:rPr>
        <w:t>53</w:t>
      </w:r>
    </w:p>
    <w:p>
      <w:pPr>
        <w:pStyle w:val="ListParagraph"/>
        <w:numPr>
          <w:ilvl w:val="1"/>
          <w:numId w:val="22"/>
        </w:numPr>
        <w:tabs>
          <w:tab w:pos="2381" w:val="left" w:leader="none"/>
          <w:tab w:pos="2382" w:val="left" w:leader="none"/>
        </w:tabs>
        <w:spacing w:line="242" w:lineRule="auto" w:before="116" w:after="0"/>
        <w:ind w:left="2381" w:right="1790" w:hanging="794"/>
        <w:jc w:val="left"/>
        <w:rPr>
          <w:sz w:val="12"/>
        </w:rPr>
      </w:pPr>
      <w:r>
        <w:rPr>
          <w:sz w:val="21"/>
        </w:rPr>
        <w:t>Other </w:t>
      </w:r>
      <w:r>
        <w:rPr>
          <w:spacing w:val="-3"/>
          <w:sz w:val="21"/>
        </w:rPr>
        <w:t>submissions </w:t>
      </w:r>
      <w:r>
        <w:rPr>
          <w:sz w:val="21"/>
        </w:rPr>
        <w:t>called </w:t>
      </w:r>
      <w:r>
        <w:rPr>
          <w:spacing w:val="-3"/>
          <w:sz w:val="21"/>
        </w:rPr>
        <w:t>for </w:t>
      </w:r>
      <w:r>
        <w:rPr>
          <w:sz w:val="21"/>
        </w:rPr>
        <w:t>a </w:t>
      </w:r>
      <w:r>
        <w:rPr>
          <w:spacing w:val="-3"/>
          <w:sz w:val="21"/>
        </w:rPr>
        <w:t>redrafted, </w:t>
      </w:r>
      <w:r>
        <w:rPr>
          <w:sz w:val="21"/>
        </w:rPr>
        <w:t>simplified section, </w:t>
      </w:r>
      <w:r>
        <w:rPr>
          <w:spacing w:val="-3"/>
          <w:sz w:val="21"/>
        </w:rPr>
        <w:t>noting that </w:t>
      </w:r>
      <w:r>
        <w:rPr>
          <w:sz w:val="21"/>
        </w:rPr>
        <w:t>this would </w:t>
      </w:r>
      <w:r>
        <w:rPr>
          <w:spacing w:val="-3"/>
          <w:sz w:val="21"/>
        </w:rPr>
        <w:t>allow informal</w:t>
      </w:r>
      <w:r>
        <w:rPr>
          <w:spacing w:val="14"/>
          <w:sz w:val="21"/>
        </w:rPr>
        <w:t> </w:t>
      </w:r>
      <w:r>
        <w:rPr>
          <w:spacing w:val="-3"/>
          <w:sz w:val="21"/>
        </w:rPr>
        <w:t>administrators</w:t>
      </w:r>
      <w:r>
        <w:rPr>
          <w:spacing w:val="15"/>
          <w:sz w:val="21"/>
        </w:rPr>
        <w:t> </w:t>
      </w:r>
      <w:r>
        <w:rPr>
          <w:spacing w:val="-3"/>
          <w:sz w:val="21"/>
        </w:rPr>
        <w:t>to</w:t>
      </w:r>
      <w:r>
        <w:rPr>
          <w:spacing w:val="14"/>
          <w:sz w:val="21"/>
        </w:rPr>
        <w:t> </w:t>
      </w:r>
      <w:r>
        <w:rPr>
          <w:spacing w:val="-3"/>
          <w:sz w:val="21"/>
        </w:rPr>
        <w:t>readily</w:t>
      </w:r>
      <w:r>
        <w:rPr>
          <w:spacing w:val="14"/>
          <w:sz w:val="21"/>
        </w:rPr>
        <w:t> </w:t>
      </w:r>
      <w:r>
        <w:rPr>
          <w:sz w:val="21"/>
        </w:rPr>
        <w:t>understand</w:t>
      </w:r>
      <w:r>
        <w:rPr>
          <w:spacing w:val="15"/>
          <w:sz w:val="21"/>
        </w:rPr>
        <w:t> </w:t>
      </w:r>
      <w:r>
        <w:rPr>
          <w:sz w:val="21"/>
        </w:rPr>
        <w:t>their</w:t>
      </w:r>
      <w:r>
        <w:rPr>
          <w:spacing w:val="14"/>
          <w:sz w:val="21"/>
        </w:rPr>
        <w:t> </w:t>
      </w:r>
      <w:r>
        <w:rPr>
          <w:spacing w:val="-3"/>
          <w:sz w:val="21"/>
        </w:rPr>
        <w:t>potential</w:t>
      </w:r>
      <w:r>
        <w:rPr>
          <w:spacing w:val="15"/>
          <w:sz w:val="21"/>
        </w:rPr>
        <w:t> </w:t>
      </w:r>
      <w:r>
        <w:rPr>
          <w:spacing w:val="-3"/>
          <w:sz w:val="21"/>
        </w:rPr>
        <w:t>liability</w:t>
      </w:r>
      <w:r>
        <w:rPr>
          <w:spacing w:val="14"/>
          <w:sz w:val="21"/>
        </w:rPr>
        <w:t> </w:t>
      </w:r>
      <w:r>
        <w:rPr>
          <w:sz w:val="21"/>
        </w:rPr>
        <w:t>and</w:t>
      </w:r>
      <w:r>
        <w:rPr>
          <w:spacing w:val="15"/>
          <w:sz w:val="21"/>
        </w:rPr>
        <w:t> </w:t>
      </w:r>
      <w:r>
        <w:rPr>
          <w:sz w:val="21"/>
        </w:rPr>
        <w:t>its</w:t>
      </w:r>
      <w:r>
        <w:rPr>
          <w:spacing w:val="14"/>
          <w:sz w:val="21"/>
        </w:rPr>
        <w:t> </w:t>
      </w:r>
      <w:r>
        <w:rPr>
          <w:sz w:val="21"/>
        </w:rPr>
        <w:t>limits.</w:t>
      </w:r>
      <w:r>
        <w:rPr>
          <w:position w:val="7"/>
          <w:sz w:val="12"/>
        </w:rPr>
        <w:t>54</w:t>
      </w:r>
    </w:p>
    <w:p>
      <w:pPr>
        <w:pStyle w:val="BodyText"/>
        <w:spacing w:line="242" w:lineRule="auto" w:before="2"/>
        <w:ind w:left="2381" w:right="2142"/>
      </w:pPr>
      <w:r>
        <w:rPr/>
        <w:t>The </w:t>
      </w:r>
      <w:r>
        <w:rPr>
          <w:spacing w:val="-3"/>
        </w:rPr>
        <w:t>Commission </w:t>
      </w:r>
      <w:r>
        <w:rPr/>
        <w:t>agrees and </w:t>
      </w:r>
      <w:r>
        <w:rPr>
          <w:spacing w:val="-3"/>
        </w:rPr>
        <w:t>thus recommends that  </w:t>
      </w:r>
      <w:r>
        <w:rPr/>
        <w:t>the </w:t>
      </w:r>
      <w:r>
        <w:rPr>
          <w:spacing w:val="-3"/>
        </w:rPr>
        <w:t>provision</w:t>
      </w:r>
      <w:r>
        <w:rPr>
          <w:spacing w:val="41"/>
        </w:rPr>
        <w:t> </w:t>
      </w:r>
      <w:r>
        <w:rPr>
          <w:spacing w:val="-3"/>
        </w:rPr>
        <w:t>outlining  </w:t>
      </w:r>
      <w:r>
        <w:rPr/>
        <w:t>the </w:t>
      </w:r>
      <w:r>
        <w:rPr>
          <w:spacing w:val="-3"/>
        </w:rPr>
        <w:t>liability  </w:t>
      </w:r>
      <w:r>
        <w:rPr/>
        <w:t>of </w:t>
      </w:r>
      <w:r>
        <w:rPr>
          <w:spacing w:val="-3"/>
        </w:rPr>
        <w:t>informal administrators </w:t>
      </w:r>
      <w:r>
        <w:rPr/>
        <w:t>be </w:t>
      </w:r>
      <w:r>
        <w:rPr>
          <w:spacing w:val="-2"/>
        </w:rPr>
        <w:t>redrafted </w:t>
      </w:r>
      <w:r>
        <w:rPr/>
        <w:t>along the </w:t>
      </w:r>
      <w:r>
        <w:rPr>
          <w:spacing w:val="-3"/>
        </w:rPr>
        <w:t>lines </w:t>
      </w:r>
      <w:r>
        <w:rPr/>
        <w:t>of the </w:t>
      </w:r>
      <w:r>
        <w:rPr>
          <w:spacing w:val="-3"/>
        </w:rPr>
        <w:t>National  </w:t>
      </w:r>
      <w:r>
        <w:rPr>
          <w:spacing w:val="-4"/>
        </w:rPr>
        <w:t>Committee’s </w:t>
      </w:r>
      <w:r>
        <w:rPr/>
        <w:t>model</w:t>
      </w:r>
      <w:r>
        <w:rPr>
          <w:spacing w:val="8"/>
        </w:rPr>
        <w:t> </w:t>
      </w:r>
      <w:r>
        <w:rPr>
          <w:spacing w:val="-3"/>
        </w:rPr>
        <w:t>provision.</w:t>
      </w:r>
    </w:p>
    <w:p>
      <w:pPr>
        <w:pStyle w:val="BodyText"/>
        <w:spacing w:before="9"/>
        <w:rPr>
          <w:sz w:val="12"/>
        </w:rPr>
      </w:pPr>
      <w:r>
        <w:rPr/>
        <w:pict>
          <v:group style="position:absolute;margin-left:62.362202pt;margin-top:9.730556pt;width:479.1pt;height:96.55pt;mso-position-horizontal-relative:page;mso-position-vertical-relative:paragraph;z-index:11696;mso-wrap-distance-left:0;mso-wrap-distance-right:0" coordorigin="1247,195" coordsize="9582,1931">
            <v:rect style="position:absolute;left:1587;top:194;width:8731;height:1931" filled="true" fillcolor="#fdebea" stroked="false">
              <v:fill type="solid"/>
            </v:rect>
            <v:line style="position:absolute" from="1247,945" to="10828,945" stroked="true" strokeweight="2.5pt" strokecolor="#ffffff">
              <v:stroke dashstyle="solid"/>
            </v:line>
            <v:shape style="position:absolute;left:2381;top:1182;width:7258;height:769" type="#_x0000_t202" filled="false" stroked="false">
              <v:textbox inset="0,0,0,0">
                <w:txbxContent>
                  <w:p>
                    <w:pPr>
                      <w:spacing w:line="242" w:lineRule="auto" w:before="0"/>
                      <w:ind w:left="0" w:right="15" w:firstLine="0"/>
                      <w:jc w:val="left"/>
                      <w:rPr>
                        <w:sz w:val="21"/>
                      </w:rPr>
                    </w:pPr>
                    <w:r>
                      <w:rPr>
                        <w:w w:val="105"/>
                        <w:sz w:val="21"/>
                      </w:rPr>
                      <w:t>Section 33(1) of the </w:t>
                    </w:r>
                    <w:r>
                      <w:rPr>
                        <w:rFonts w:ascii="Lucida Sans" w:hAnsi="Lucida Sans"/>
                        <w:i/>
                        <w:w w:val="105"/>
                        <w:sz w:val="21"/>
                      </w:rPr>
                      <w:t>Administration and Probate Act 1958 </w:t>
                    </w:r>
                    <w:r>
                      <w:rPr>
                        <w:w w:val="105"/>
                        <w:sz w:val="21"/>
                      </w:rPr>
                      <w:t>(Vic) should be redrafted in the simpler form reflected in the National Committee’s model provision dealing with persons acting informally.</w:t>
                    </w:r>
                  </w:p>
                </w:txbxContent>
              </v:textbox>
              <w10:wrap type="none"/>
            </v:shape>
            <v:shape style="position:absolute;left:1814;top:1182;width:249;height:249" type="#_x0000_t202" filled="false" stroked="false">
              <v:textbox inset="0,0,0,0">
                <w:txbxContent>
                  <w:p>
                    <w:pPr>
                      <w:spacing w:line="249" w:lineRule="exact" w:before="0"/>
                      <w:ind w:left="0" w:right="0" w:firstLine="0"/>
                      <w:jc w:val="left"/>
                      <w:rPr>
                        <w:sz w:val="21"/>
                      </w:rPr>
                    </w:pPr>
                    <w:r>
                      <w:rPr>
                        <w:w w:val="110"/>
                        <w:sz w:val="21"/>
                      </w:rPr>
                      <w:t>70</w:t>
                    </w:r>
                  </w:p>
                </w:txbxContent>
              </v:textbox>
              <w10:wrap type="none"/>
            </v:shape>
            <v:shape style="position:absolute;left:1587;top:194;width:8731;height:726" type="#_x0000_t202" filled="true" fillcolor="#fdebea" stroked="false">
              <v:textbox inset="0,0,0,0">
                <w:txbxContent>
                  <w:p>
                    <w:pPr>
                      <w:spacing w:before="166"/>
                      <w:ind w:left="226" w:right="0" w:firstLine="0"/>
                      <w:jc w:val="left"/>
                      <w:rPr>
                        <w:b/>
                        <w:sz w:val="32"/>
                      </w:rPr>
                    </w:pPr>
                    <w:r>
                      <w:rPr>
                        <w:b/>
                        <w:color w:val="EC5A4F"/>
                        <w:w w:val="110"/>
                        <w:sz w:val="32"/>
                      </w:rPr>
                      <w:t>Recommendation</w:t>
                    </w:r>
                  </w:p>
                </w:txbxContent>
              </v:textbox>
              <v:fill type="solid"/>
              <w10:wrap type="none"/>
            </v:shape>
            <w10:wrap type="topAndBottom"/>
          </v:group>
        </w:pict>
      </w:r>
    </w:p>
    <w:p>
      <w:pPr>
        <w:pStyle w:val="BodyText"/>
        <w:spacing w:before="8"/>
        <w:rPr>
          <w:sz w:val="9"/>
        </w:rPr>
      </w:pPr>
    </w:p>
    <w:p>
      <w:pPr>
        <w:pStyle w:val="Heading5"/>
        <w:spacing w:before="99"/>
      </w:pPr>
      <w:r>
        <w:rPr>
          <w:w w:val="115"/>
        </w:rPr>
        <w:t>Access to indemnities for parties releasing funds</w:t>
      </w:r>
    </w:p>
    <w:p>
      <w:pPr>
        <w:pStyle w:val="ListParagraph"/>
        <w:numPr>
          <w:ilvl w:val="1"/>
          <w:numId w:val="22"/>
        </w:numPr>
        <w:tabs>
          <w:tab w:pos="2380" w:val="left" w:leader="none"/>
          <w:tab w:pos="2381" w:val="left" w:leader="none"/>
        </w:tabs>
        <w:spacing w:line="242" w:lineRule="auto" w:before="137" w:after="0"/>
        <w:ind w:left="2381" w:right="1819" w:hanging="794"/>
        <w:jc w:val="left"/>
        <w:rPr>
          <w:sz w:val="21"/>
        </w:rPr>
      </w:pPr>
      <w:r>
        <w:rPr>
          <w:sz w:val="21"/>
        </w:rPr>
        <w:t>While it is possible </w:t>
      </w:r>
      <w:r>
        <w:rPr>
          <w:spacing w:val="-3"/>
          <w:sz w:val="21"/>
        </w:rPr>
        <w:t>for </w:t>
      </w:r>
      <w:r>
        <w:rPr>
          <w:sz w:val="21"/>
        </w:rPr>
        <w:t>a </w:t>
      </w:r>
      <w:r>
        <w:rPr>
          <w:spacing w:val="-3"/>
          <w:sz w:val="21"/>
        </w:rPr>
        <w:t>third </w:t>
      </w:r>
      <w:r>
        <w:rPr>
          <w:sz w:val="21"/>
        </w:rPr>
        <w:t>party </w:t>
      </w:r>
      <w:r>
        <w:rPr>
          <w:spacing w:val="-3"/>
          <w:sz w:val="21"/>
        </w:rPr>
        <w:t>to transfer funds to </w:t>
      </w:r>
      <w:r>
        <w:rPr>
          <w:sz w:val="21"/>
        </w:rPr>
        <w:t>which the deceased would </w:t>
      </w:r>
      <w:r>
        <w:rPr>
          <w:spacing w:val="-3"/>
          <w:sz w:val="21"/>
        </w:rPr>
        <w:t>have </w:t>
      </w:r>
      <w:r>
        <w:rPr>
          <w:sz w:val="21"/>
        </w:rPr>
        <w:t>been entitled </w:t>
      </w:r>
      <w:r>
        <w:rPr>
          <w:spacing w:val="-3"/>
          <w:sz w:val="21"/>
        </w:rPr>
        <w:t>to  </w:t>
      </w:r>
      <w:r>
        <w:rPr>
          <w:sz w:val="21"/>
        </w:rPr>
        <w:t>someone </w:t>
      </w:r>
      <w:r>
        <w:rPr>
          <w:spacing w:val="-3"/>
          <w:sz w:val="21"/>
        </w:rPr>
        <w:t>informally</w:t>
      </w:r>
      <w:r>
        <w:rPr>
          <w:spacing w:val="41"/>
          <w:sz w:val="21"/>
        </w:rPr>
        <w:t> </w:t>
      </w:r>
      <w:r>
        <w:rPr>
          <w:spacing w:val="-3"/>
          <w:sz w:val="21"/>
        </w:rPr>
        <w:t>administering  </w:t>
      </w:r>
      <w:r>
        <w:rPr>
          <w:sz w:val="21"/>
        </w:rPr>
        <w:t>the </w:t>
      </w:r>
      <w:r>
        <w:rPr>
          <w:spacing w:val="-3"/>
          <w:sz w:val="21"/>
        </w:rPr>
        <w:t>estate,  </w:t>
      </w:r>
      <w:r>
        <w:rPr>
          <w:sz w:val="21"/>
        </w:rPr>
        <w:t>there is an </w:t>
      </w:r>
      <w:r>
        <w:rPr>
          <w:spacing w:val="-3"/>
          <w:sz w:val="21"/>
        </w:rPr>
        <w:t>inherent  </w:t>
      </w:r>
      <w:r>
        <w:rPr>
          <w:sz w:val="21"/>
        </w:rPr>
        <w:t>risk  in doing so. The </w:t>
      </w:r>
      <w:r>
        <w:rPr>
          <w:spacing w:val="-3"/>
          <w:sz w:val="21"/>
        </w:rPr>
        <w:t>third </w:t>
      </w:r>
      <w:r>
        <w:rPr>
          <w:sz w:val="21"/>
        </w:rPr>
        <w:t>party </w:t>
      </w:r>
      <w:r>
        <w:rPr>
          <w:spacing w:val="-3"/>
          <w:sz w:val="21"/>
        </w:rPr>
        <w:t>could </w:t>
      </w:r>
      <w:r>
        <w:rPr>
          <w:sz w:val="21"/>
        </w:rPr>
        <w:t>be exposed </w:t>
      </w:r>
      <w:r>
        <w:rPr>
          <w:spacing w:val="-3"/>
          <w:sz w:val="21"/>
        </w:rPr>
        <w:t>to liability </w:t>
      </w:r>
      <w:r>
        <w:rPr>
          <w:sz w:val="21"/>
        </w:rPr>
        <w:t>where payments </w:t>
      </w:r>
      <w:r>
        <w:rPr>
          <w:spacing w:val="-3"/>
          <w:sz w:val="21"/>
        </w:rPr>
        <w:t>are </w:t>
      </w:r>
      <w:r>
        <w:rPr>
          <w:sz w:val="21"/>
        </w:rPr>
        <w:t>made incorrectly or a </w:t>
      </w:r>
      <w:r>
        <w:rPr>
          <w:spacing w:val="-3"/>
          <w:sz w:val="21"/>
        </w:rPr>
        <w:t>grant </w:t>
      </w:r>
      <w:r>
        <w:rPr>
          <w:sz w:val="21"/>
        </w:rPr>
        <w:t>of </w:t>
      </w:r>
      <w:r>
        <w:rPr>
          <w:spacing w:val="-2"/>
          <w:sz w:val="21"/>
        </w:rPr>
        <w:t>representation </w:t>
      </w:r>
      <w:r>
        <w:rPr>
          <w:sz w:val="21"/>
        </w:rPr>
        <w:t>is </w:t>
      </w:r>
      <w:r>
        <w:rPr>
          <w:spacing w:val="-3"/>
          <w:sz w:val="21"/>
        </w:rPr>
        <w:t>later taken </w:t>
      </w:r>
      <w:r>
        <w:rPr>
          <w:sz w:val="21"/>
        </w:rPr>
        <w:t>out by </w:t>
      </w:r>
      <w:r>
        <w:rPr>
          <w:spacing w:val="-3"/>
          <w:sz w:val="21"/>
        </w:rPr>
        <w:t>another</w:t>
      </w:r>
      <w:r>
        <w:rPr>
          <w:spacing w:val="-27"/>
          <w:sz w:val="21"/>
        </w:rPr>
        <w:t> </w:t>
      </w:r>
      <w:r>
        <w:rPr>
          <w:sz w:val="21"/>
        </w:rPr>
        <w:t>person.</w:t>
      </w:r>
    </w:p>
    <w:p>
      <w:pPr>
        <w:pStyle w:val="ListParagraph"/>
        <w:numPr>
          <w:ilvl w:val="1"/>
          <w:numId w:val="22"/>
        </w:numPr>
        <w:tabs>
          <w:tab w:pos="2380" w:val="left" w:leader="none"/>
          <w:tab w:pos="2381" w:val="left" w:leader="none"/>
        </w:tabs>
        <w:spacing w:line="242" w:lineRule="auto" w:before="125" w:after="0"/>
        <w:ind w:left="2381" w:right="1666" w:hanging="794"/>
        <w:jc w:val="left"/>
        <w:rPr>
          <w:sz w:val="21"/>
        </w:rPr>
      </w:pPr>
      <w:r>
        <w:rPr>
          <w:spacing w:val="-4"/>
          <w:sz w:val="21"/>
        </w:rPr>
        <w:t>Accordingly, </w:t>
      </w:r>
      <w:r>
        <w:rPr>
          <w:sz w:val="21"/>
        </w:rPr>
        <w:t>the </w:t>
      </w:r>
      <w:r>
        <w:rPr>
          <w:spacing w:val="-3"/>
          <w:sz w:val="21"/>
        </w:rPr>
        <w:t>third </w:t>
      </w:r>
      <w:r>
        <w:rPr>
          <w:sz w:val="21"/>
        </w:rPr>
        <w:t>party </w:t>
      </w:r>
      <w:r>
        <w:rPr>
          <w:spacing w:val="-3"/>
          <w:sz w:val="21"/>
        </w:rPr>
        <w:t>normally requires  </w:t>
      </w:r>
      <w:r>
        <w:rPr>
          <w:sz w:val="21"/>
        </w:rPr>
        <w:t>evidence  </w:t>
      </w:r>
      <w:r>
        <w:rPr>
          <w:spacing w:val="-3"/>
          <w:sz w:val="21"/>
        </w:rPr>
        <w:t>from  </w:t>
      </w:r>
      <w:r>
        <w:rPr>
          <w:sz w:val="21"/>
        </w:rPr>
        <w:t>the  person  requesting </w:t>
      </w:r>
      <w:r>
        <w:rPr>
          <w:spacing w:val="-3"/>
          <w:sz w:val="21"/>
        </w:rPr>
        <w:t>transfer </w:t>
      </w:r>
      <w:r>
        <w:rPr>
          <w:sz w:val="21"/>
        </w:rPr>
        <w:t>of the asset </w:t>
      </w:r>
      <w:r>
        <w:rPr>
          <w:spacing w:val="-3"/>
          <w:sz w:val="21"/>
        </w:rPr>
        <w:t>that </w:t>
      </w:r>
      <w:r>
        <w:rPr>
          <w:sz w:val="21"/>
        </w:rPr>
        <w:t>the request is </w:t>
      </w:r>
      <w:r>
        <w:rPr>
          <w:spacing w:val="-3"/>
          <w:sz w:val="21"/>
        </w:rPr>
        <w:t>legitimately  made,  </w:t>
      </w:r>
      <w:r>
        <w:rPr>
          <w:sz w:val="21"/>
        </w:rPr>
        <w:t>and </w:t>
      </w:r>
      <w:r>
        <w:rPr>
          <w:spacing w:val="-3"/>
          <w:sz w:val="21"/>
        </w:rPr>
        <w:t>that</w:t>
      </w:r>
      <w:r>
        <w:rPr>
          <w:spacing w:val="41"/>
          <w:sz w:val="21"/>
        </w:rPr>
        <w:t> </w:t>
      </w:r>
      <w:r>
        <w:rPr>
          <w:sz w:val="21"/>
        </w:rPr>
        <w:t>the requester is </w:t>
      </w:r>
      <w:r>
        <w:rPr>
          <w:spacing w:val="-3"/>
          <w:sz w:val="21"/>
        </w:rPr>
        <w:t>entitled. </w:t>
      </w:r>
      <w:r>
        <w:rPr>
          <w:sz w:val="21"/>
        </w:rPr>
        <w:t>Where the evidence is less </w:t>
      </w:r>
      <w:r>
        <w:rPr>
          <w:spacing w:val="-3"/>
          <w:sz w:val="21"/>
        </w:rPr>
        <w:t>than </w:t>
      </w:r>
      <w:r>
        <w:rPr>
          <w:sz w:val="21"/>
        </w:rPr>
        <w:t>a </w:t>
      </w:r>
      <w:r>
        <w:rPr>
          <w:spacing w:val="-3"/>
          <w:sz w:val="21"/>
        </w:rPr>
        <w:t>full grant </w:t>
      </w:r>
      <w:r>
        <w:rPr>
          <w:sz w:val="21"/>
        </w:rPr>
        <w:t>of </w:t>
      </w:r>
      <w:r>
        <w:rPr>
          <w:spacing w:val="-3"/>
          <w:sz w:val="21"/>
        </w:rPr>
        <w:t>representation, </w:t>
      </w:r>
      <w:r>
        <w:rPr>
          <w:sz w:val="21"/>
        </w:rPr>
        <w:t>the </w:t>
      </w:r>
      <w:r>
        <w:rPr>
          <w:spacing w:val="-3"/>
          <w:sz w:val="21"/>
        </w:rPr>
        <w:t>third </w:t>
      </w:r>
      <w:r>
        <w:rPr>
          <w:sz w:val="21"/>
        </w:rPr>
        <w:t>party </w:t>
      </w:r>
      <w:r>
        <w:rPr>
          <w:spacing w:val="-3"/>
          <w:sz w:val="21"/>
        </w:rPr>
        <w:t>will want to limit </w:t>
      </w:r>
      <w:r>
        <w:rPr>
          <w:sz w:val="21"/>
        </w:rPr>
        <w:t>its exposure </w:t>
      </w:r>
      <w:r>
        <w:rPr>
          <w:spacing w:val="-3"/>
          <w:sz w:val="21"/>
        </w:rPr>
        <w:t>to </w:t>
      </w:r>
      <w:r>
        <w:rPr>
          <w:sz w:val="21"/>
        </w:rPr>
        <w:t>risk by </w:t>
      </w:r>
      <w:r>
        <w:rPr>
          <w:spacing w:val="-3"/>
          <w:sz w:val="21"/>
        </w:rPr>
        <w:t>requiring from </w:t>
      </w:r>
      <w:r>
        <w:rPr>
          <w:sz w:val="21"/>
        </w:rPr>
        <w:t>the requester a </w:t>
      </w:r>
      <w:r>
        <w:rPr>
          <w:spacing w:val="-3"/>
          <w:sz w:val="21"/>
        </w:rPr>
        <w:t>discharge</w:t>
      </w:r>
      <w:r>
        <w:rPr>
          <w:spacing w:val="-19"/>
          <w:sz w:val="21"/>
        </w:rPr>
        <w:t> </w:t>
      </w:r>
      <w:r>
        <w:rPr>
          <w:sz w:val="21"/>
        </w:rPr>
        <w:t>of </w:t>
      </w:r>
      <w:r>
        <w:rPr>
          <w:spacing w:val="-4"/>
          <w:sz w:val="21"/>
        </w:rPr>
        <w:t>liability.</w:t>
      </w:r>
    </w:p>
    <w:p>
      <w:pPr>
        <w:pStyle w:val="ListParagraph"/>
        <w:numPr>
          <w:ilvl w:val="1"/>
          <w:numId w:val="22"/>
        </w:numPr>
        <w:tabs>
          <w:tab w:pos="2380" w:val="left" w:leader="none"/>
          <w:tab w:pos="2381" w:val="left" w:leader="none"/>
        </w:tabs>
        <w:spacing w:line="242" w:lineRule="auto" w:before="124" w:after="0"/>
        <w:ind w:left="2380" w:right="1862" w:hanging="793"/>
        <w:jc w:val="left"/>
        <w:rPr>
          <w:sz w:val="12"/>
        </w:rPr>
      </w:pPr>
      <w:r>
        <w:rPr>
          <w:w w:val="105"/>
          <w:sz w:val="21"/>
        </w:rPr>
        <w:t>An </w:t>
      </w:r>
      <w:r>
        <w:rPr>
          <w:spacing w:val="-3"/>
          <w:w w:val="105"/>
          <w:sz w:val="21"/>
        </w:rPr>
        <w:t>executor </w:t>
      </w:r>
      <w:r>
        <w:rPr>
          <w:w w:val="105"/>
          <w:sz w:val="21"/>
        </w:rPr>
        <w:t>or </w:t>
      </w:r>
      <w:r>
        <w:rPr>
          <w:spacing w:val="-3"/>
          <w:w w:val="105"/>
          <w:sz w:val="21"/>
        </w:rPr>
        <w:t>administrator </w:t>
      </w:r>
      <w:r>
        <w:rPr>
          <w:w w:val="105"/>
          <w:sz w:val="21"/>
        </w:rPr>
        <w:t>acting under a </w:t>
      </w:r>
      <w:r>
        <w:rPr>
          <w:spacing w:val="-3"/>
          <w:w w:val="105"/>
          <w:sz w:val="21"/>
        </w:rPr>
        <w:t>grant </w:t>
      </w:r>
      <w:r>
        <w:rPr>
          <w:w w:val="105"/>
          <w:sz w:val="21"/>
        </w:rPr>
        <w:t>of </w:t>
      </w:r>
      <w:r>
        <w:rPr>
          <w:spacing w:val="-2"/>
          <w:w w:val="105"/>
          <w:sz w:val="21"/>
        </w:rPr>
        <w:t>representation </w:t>
      </w:r>
      <w:r>
        <w:rPr>
          <w:w w:val="105"/>
          <w:sz w:val="21"/>
        </w:rPr>
        <w:t>is able </w:t>
      </w:r>
      <w:r>
        <w:rPr>
          <w:spacing w:val="-3"/>
          <w:w w:val="105"/>
          <w:sz w:val="21"/>
        </w:rPr>
        <w:t>to </w:t>
      </w:r>
      <w:r>
        <w:rPr>
          <w:w w:val="105"/>
          <w:sz w:val="21"/>
        </w:rPr>
        <w:t>give a </w:t>
      </w:r>
      <w:r>
        <w:rPr>
          <w:spacing w:val="-3"/>
          <w:w w:val="105"/>
          <w:sz w:val="21"/>
        </w:rPr>
        <w:t>discharge </w:t>
      </w:r>
      <w:r>
        <w:rPr>
          <w:w w:val="105"/>
          <w:sz w:val="21"/>
        </w:rPr>
        <w:t>of </w:t>
      </w:r>
      <w:r>
        <w:rPr>
          <w:spacing w:val="-3"/>
          <w:w w:val="105"/>
          <w:sz w:val="21"/>
        </w:rPr>
        <w:t>liability </w:t>
      </w:r>
      <w:r>
        <w:rPr>
          <w:w w:val="105"/>
          <w:sz w:val="21"/>
        </w:rPr>
        <w:t>by virtue of acting under the </w:t>
      </w:r>
      <w:r>
        <w:rPr>
          <w:spacing w:val="-3"/>
          <w:w w:val="105"/>
          <w:sz w:val="21"/>
        </w:rPr>
        <w:t>grant,</w:t>
      </w:r>
      <w:r>
        <w:rPr>
          <w:spacing w:val="-3"/>
          <w:w w:val="105"/>
          <w:position w:val="7"/>
          <w:sz w:val="12"/>
        </w:rPr>
        <w:t>55 </w:t>
      </w:r>
      <w:r>
        <w:rPr>
          <w:w w:val="105"/>
          <w:sz w:val="21"/>
        </w:rPr>
        <w:t>while someone </w:t>
      </w:r>
      <w:r>
        <w:rPr>
          <w:spacing w:val="-3"/>
          <w:w w:val="105"/>
          <w:sz w:val="21"/>
        </w:rPr>
        <w:t>administering informally </w:t>
      </w:r>
      <w:r>
        <w:rPr>
          <w:w w:val="105"/>
          <w:sz w:val="21"/>
        </w:rPr>
        <w:t>is </w:t>
      </w:r>
      <w:r>
        <w:rPr>
          <w:spacing w:val="-3"/>
          <w:w w:val="105"/>
          <w:sz w:val="21"/>
        </w:rPr>
        <w:t>generally </w:t>
      </w:r>
      <w:r>
        <w:rPr>
          <w:spacing w:val="-2"/>
          <w:w w:val="105"/>
          <w:sz w:val="21"/>
        </w:rPr>
        <w:t>not </w:t>
      </w:r>
      <w:r>
        <w:rPr>
          <w:w w:val="105"/>
          <w:sz w:val="21"/>
        </w:rPr>
        <w:t>able </w:t>
      </w:r>
      <w:r>
        <w:rPr>
          <w:spacing w:val="-3"/>
          <w:w w:val="105"/>
          <w:sz w:val="21"/>
        </w:rPr>
        <w:t>to </w:t>
      </w:r>
      <w:r>
        <w:rPr>
          <w:w w:val="105"/>
          <w:sz w:val="21"/>
        </w:rPr>
        <w:t>do so.</w:t>
      </w:r>
      <w:r>
        <w:rPr>
          <w:w w:val="105"/>
          <w:position w:val="7"/>
          <w:sz w:val="12"/>
        </w:rPr>
        <w:t>56 </w:t>
      </w:r>
      <w:r>
        <w:rPr>
          <w:spacing w:val="-4"/>
          <w:w w:val="105"/>
          <w:sz w:val="21"/>
        </w:rPr>
        <w:t>However, </w:t>
      </w:r>
      <w:r>
        <w:rPr>
          <w:w w:val="105"/>
          <w:sz w:val="21"/>
        </w:rPr>
        <w:t>some jurisdictions </w:t>
      </w:r>
      <w:r>
        <w:rPr>
          <w:spacing w:val="-3"/>
          <w:w w:val="105"/>
          <w:sz w:val="21"/>
        </w:rPr>
        <w:t>have </w:t>
      </w:r>
      <w:r>
        <w:rPr>
          <w:w w:val="105"/>
          <w:sz w:val="21"/>
        </w:rPr>
        <w:t>enacted </w:t>
      </w:r>
      <w:r>
        <w:rPr>
          <w:spacing w:val="-3"/>
          <w:w w:val="105"/>
          <w:sz w:val="21"/>
        </w:rPr>
        <w:t>provisions that allow for discharge </w:t>
      </w:r>
      <w:r>
        <w:rPr>
          <w:w w:val="105"/>
          <w:sz w:val="21"/>
        </w:rPr>
        <w:t>of </w:t>
      </w:r>
      <w:r>
        <w:rPr>
          <w:spacing w:val="-3"/>
          <w:w w:val="105"/>
          <w:sz w:val="21"/>
        </w:rPr>
        <w:t>liability </w:t>
      </w:r>
      <w:r>
        <w:rPr>
          <w:w w:val="105"/>
          <w:sz w:val="21"/>
        </w:rPr>
        <w:t>in </w:t>
      </w:r>
      <w:r>
        <w:rPr>
          <w:spacing w:val="-3"/>
          <w:w w:val="105"/>
          <w:sz w:val="21"/>
        </w:rPr>
        <w:t>limited</w:t>
      </w:r>
      <w:r>
        <w:rPr>
          <w:w w:val="105"/>
          <w:sz w:val="21"/>
        </w:rPr>
        <w:t> </w:t>
      </w:r>
      <w:r>
        <w:rPr>
          <w:spacing w:val="-3"/>
          <w:w w:val="105"/>
          <w:sz w:val="21"/>
        </w:rPr>
        <w:t>circumstances.</w:t>
      </w:r>
      <w:r>
        <w:rPr>
          <w:spacing w:val="-3"/>
          <w:w w:val="105"/>
          <w:position w:val="7"/>
          <w:sz w:val="12"/>
        </w:rPr>
        <w:t>57</w:t>
      </w:r>
    </w:p>
    <w:p>
      <w:pPr>
        <w:pStyle w:val="ListParagraph"/>
        <w:numPr>
          <w:ilvl w:val="1"/>
          <w:numId w:val="22"/>
        </w:numPr>
        <w:tabs>
          <w:tab w:pos="2380" w:val="left" w:leader="none"/>
          <w:tab w:pos="2381" w:val="left" w:leader="none"/>
        </w:tabs>
        <w:spacing w:line="242" w:lineRule="auto" w:before="124" w:after="0"/>
        <w:ind w:left="2380" w:right="1682" w:hanging="793"/>
        <w:jc w:val="left"/>
        <w:rPr>
          <w:sz w:val="21"/>
        </w:rPr>
      </w:pPr>
      <w:r>
        <w:rPr>
          <w:sz w:val="21"/>
        </w:rPr>
        <w:t>In Victoria, section 32(2) of the </w:t>
      </w:r>
      <w:r>
        <w:rPr>
          <w:spacing w:val="-3"/>
          <w:sz w:val="21"/>
        </w:rPr>
        <w:t>Administration  </w:t>
      </w:r>
      <w:r>
        <w:rPr>
          <w:sz w:val="21"/>
        </w:rPr>
        <w:t>and </w:t>
      </w:r>
      <w:r>
        <w:rPr>
          <w:spacing w:val="-3"/>
          <w:sz w:val="21"/>
        </w:rPr>
        <w:t>Probate</w:t>
      </w:r>
      <w:r>
        <w:rPr>
          <w:spacing w:val="41"/>
          <w:sz w:val="21"/>
        </w:rPr>
        <w:t> </w:t>
      </w:r>
      <w:r>
        <w:rPr>
          <w:sz w:val="21"/>
        </w:rPr>
        <w:t>Act provides </w:t>
      </w:r>
      <w:r>
        <w:rPr>
          <w:spacing w:val="-3"/>
          <w:sz w:val="21"/>
        </w:rPr>
        <w:t>that  </w:t>
      </w:r>
      <w:r>
        <w:rPr>
          <w:sz w:val="21"/>
        </w:rPr>
        <w:t>a </w:t>
      </w:r>
      <w:r>
        <w:rPr>
          <w:spacing w:val="-3"/>
          <w:sz w:val="21"/>
        </w:rPr>
        <w:t>receipt  from </w:t>
      </w:r>
      <w:r>
        <w:rPr>
          <w:sz w:val="21"/>
        </w:rPr>
        <w:t>the </w:t>
      </w:r>
      <w:r>
        <w:rPr>
          <w:spacing w:val="-3"/>
          <w:sz w:val="21"/>
        </w:rPr>
        <w:t>informal administrator will constitute </w:t>
      </w:r>
      <w:r>
        <w:rPr>
          <w:sz w:val="21"/>
        </w:rPr>
        <w:t>a </w:t>
      </w:r>
      <w:r>
        <w:rPr>
          <w:spacing w:val="-3"/>
          <w:sz w:val="21"/>
        </w:rPr>
        <w:t>discharge </w:t>
      </w:r>
      <w:r>
        <w:rPr>
          <w:sz w:val="21"/>
        </w:rPr>
        <w:t>of </w:t>
      </w:r>
      <w:r>
        <w:rPr>
          <w:spacing w:val="-3"/>
          <w:sz w:val="21"/>
        </w:rPr>
        <w:t>liability </w:t>
      </w:r>
      <w:r>
        <w:rPr>
          <w:sz w:val="21"/>
        </w:rPr>
        <w:t>in the </w:t>
      </w:r>
      <w:r>
        <w:rPr>
          <w:spacing w:val="-3"/>
          <w:sz w:val="21"/>
        </w:rPr>
        <w:t>circumstances referred</w:t>
      </w:r>
      <w:r>
        <w:rPr>
          <w:spacing w:val="8"/>
          <w:sz w:val="21"/>
        </w:rPr>
        <w:t> </w:t>
      </w:r>
      <w:r>
        <w:rPr>
          <w:sz w:val="21"/>
        </w:rPr>
        <w:t>to:</w:t>
      </w:r>
    </w:p>
    <w:p>
      <w:pPr>
        <w:spacing w:line="254" w:lineRule="auto" w:before="133"/>
        <w:ind w:left="2721" w:right="2142" w:firstLine="0"/>
        <w:jc w:val="left"/>
        <w:rPr>
          <w:sz w:val="20"/>
        </w:rPr>
      </w:pPr>
      <w:r>
        <w:rPr>
          <w:sz w:val="20"/>
        </w:rPr>
        <w:t>A receipt signed by </w:t>
      </w:r>
      <w:r>
        <w:rPr>
          <w:spacing w:val="-2"/>
          <w:sz w:val="20"/>
        </w:rPr>
        <w:t>any </w:t>
      </w:r>
      <w:r>
        <w:rPr>
          <w:sz w:val="20"/>
        </w:rPr>
        <w:t>person above the age of sixteen years to whom money or property is paid or transferred by an employer in the bona fide exercise of the powers </w:t>
      </w:r>
      <w:r>
        <w:rPr>
          <w:spacing w:val="-3"/>
          <w:sz w:val="20"/>
        </w:rPr>
        <w:t>conferred  </w:t>
      </w:r>
      <w:r>
        <w:rPr>
          <w:sz w:val="20"/>
        </w:rPr>
        <w:t>by this section shall be a complete discharge to the employer of all liability    in</w:t>
      </w:r>
      <w:r>
        <w:rPr>
          <w:spacing w:val="8"/>
          <w:sz w:val="20"/>
        </w:rPr>
        <w:t> </w:t>
      </w:r>
      <w:r>
        <w:rPr>
          <w:sz w:val="20"/>
        </w:rPr>
        <w:t>respect</w:t>
      </w:r>
      <w:r>
        <w:rPr>
          <w:spacing w:val="9"/>
          <w:sz w:val="20"/>
        </w:rPr>
        <w:t> </w:t>
      </w:r>
      <w:r>
        <w:rPr>
          <w:sz w:val="20"/>
        </w:rPr>
        <w:t>of</w:t>
      </w:r>
      <w:r>
        <w:rPr>
          <w:spacing w:val="9"/>
          <w:sz w:val="20"/>
        </w:rPr>
        <w:t> </w:t>
      </w:r>
      <w:r>
        <w:rPr>
          <w:sz w:val="20"/>
        </w:rPr>
        <w:t>moneys</w:t>
      </w:r>
      <w:r>
        <w:rPr>
          <w:spacing w:val="9"/>
          <w:sz w:val="20"/>
        </w:rPr>
        <w:t> </w:t>
      </w:r>
      <w:r>
        <w:rPr>
          <w:sz w:val="20"/>
        </w:rPr>
        <w:t>or</w:t>
      </w:r>
      <w:r>
        <w:rPr>
          <w:spacing w:val="9"/>
          <w:sz w:val="20"/>
        </w:rPr>
        <w:t> </w:t>
      </w:r>
      <w:r>
        <w:rPr>
          <w:sz w:val="20"/>
        </w:rPr>
        <w:t>property</w:t>
      </w:r>
      <w:r>
        <w:rPr>
          <w:spacing w:val="9"/>
          <w:sz w:val="20"/>
        </w:rPr>
        <w:t> </w:t>
      </w:r>
      <w:r>
        <w:rPr>
          <w:sz w:val="20"/>
        </w:rPr>
        <w:t>so</w:t>
      </w:r>
      <w:r>
        <w:rPr>
          <w:spacing w:val="9"/>
          <w:sz w:val="20"/>
        </w:rPr>
        <w:t> </w:t>
      </w:r>
      <w:r>
        <w:rPr>
          <w:sz w:val="20"/>
        </w:rPr>
        <w:t>paid</w:t>
      </w:r>
      <w:r>
        <w:rPr>
          <w:spacing w:val="8"/>
          <w:sz w:val="20"/>
        </w:rPr>
        <w:t> </w:t>
      </w:r>
      <w:r>
        <w:rPr>
          <w:sz w:val="20"/>
        </w:rPr>
        <w:t>or</w:t>
      </w:r>
      <w:r>
        <w:rPr>
          <w:spacing w:val="9"/>
          <w:sz w:val="20"/>
        </w:rPr>
        <w:t> </w:t>
      </w:r>
      <w:r>
        <w:rPr>
          <w:sz w:val="20"/>
        </w:rPr>
        <w:t>transferred.</w:t>
      </w:r>
    </w:p>
    <w:p>
      <w:pPr>
        <w:pStyle w:val="ListParagraph"/>
        <w:numPr>
          <w:ilvl w:val="1"/>
          <w:numId w:val="22"/>
        </w:numPr>
        <w:tabs>
          <w:tab w:pos="2381" w:val="left" w:leader="none"/>
          <w:tab w:pos="2382" w:val="left" w:leader="none"/>
        </w:tabs>
        <w:spacing w:line="242" w:lineRule="auto" w:before="115" w:after="0"/>
        <w:ind w:left="2381" w:right="1808" w:hanging="794"/>
        <w:jc w:val="left"/>
        <w:rPr>
          <w:sz w:val="12"/>
        </w:rPr>
      </w:pPr>
      <w:r>
        <w:rPr>
          <w:sz w:val="21"/>
        </w:rPr>
        <w:t>This </w:t>
      </w:r>
      <w:r>
        <w:rPr>
          <w:spacing w:val="-3"/>
          <w:sz w:val="21"/>
        </w:rPr>
        <w:t>automatic discharge </w:t>
      </w:r>
      <w:r>
        <w:rPr>
          <w:sz w:val="21"/>
        </w:rPr>
        <w:t>of </w:t>
      </w:r>
      <w:r>
        <w:rPr>
          <w:spacing w:val="-3"/>
          <w:sz w:val="21"/>
        </w:rPr>
        <w:t>liability </w:t>
      </w:r>
      <w:r>
        <w:rPr>
          <w:sz w:val="21"/>
        </w:rPr>
        <w:t>only operates </w:t>
      </w:r>
      <w:r>
        <w:rPr>
          <w:spacing w:val="-3"/>
          <w:sz w:val="21"/>
        </w:rPr>
        <w:t>where,  </w:t>
      </w:r>
      <w:r>
        <w:rPr>
          <w:sz w:val="21"/>
        </w:rPr>
        <w:t>without a </w:t>
      </w:r>
      <w:r>
        <w:rPr>
          <w:spacing w:val="-3"/>
          <w:sz w:val="21"/>
        </w:rPr>
        <w:t>grant</w:t>
      </w:r>
      <w:r>
        <w:rPr>
          <w:spacing w:val="41"/>
          <w:sz w:val="21"/>
        </w:rPr>
        <w:t> </w:t>
      </w:r>
      <w:r>
        <w:rPr>
          <w:sz w:val="21"/>
        </w:rPr>
        <w:t>of </w:t>
      </w:r>
      <w:r>
        <w:rPr>
          <w:spacing w:val="-3"/>
          <w:sz w:val="21"/>
        </w:rPr>
        <w:t>representation, </w:t>
      </w:r>
      <w:r>
        <w:rPr>
          <w:sz w:val="21"/>
        </w:rPr>
        <w:t>an employer </w:t>
      </w:r>
      <w:r>
        <w:rPr>
          <w:spacing w:val="-3"/>
          <w:sz w:val="21"/>
        </w:rPr>
        <w:t>transfers </w:t>
      </w:r>
      <w:r>
        <w:rPr>
          <w:sz w:val="21"/>
        </w:rPr>
        <w:t>wages </w:t>
      </w:r>
      <w:r>
        <w:rPr>
          <w:spacing w:val="-3"/>
          <w:sz w:val="21"/>
        </w:rPr>
        <w:t>that are  </w:t>
      </w:r>
      <w:r>
        <w:rPr>
          <w:sz w:val="21"/>
        </w:rPr>
        <w:t>owed </w:t>
      </w:r>
      <w:r>
        <w:rPr>
          <w:spacing w:val="-3"/>
          <w:sz w:val="21"/>
        </w:rPr>
        <w:t>to</w:t>
      </w:r>
      <w:r>
        <w:rPr>
          <w:spacing w:val="41"/>
          <w:sz w:val="21"/>
        </w:rPr>
        <w:t> </w:t>
      </w:r>
      <w:r>
        <w:rPr>
          <w:sz w:val="21"/>
        </w:rPr>
        <w:t>a deceased employee </w:t>
      </w:r>
      <w:r>
        <w:rPr>
          <w:spacing w:val="-3"/>
          <w:sz w:val="21"/>
        </w:rPr>
        <w:t>to </w:t>
      </w:r>
      <w:r>
        <w:rPr>
          <w:sz w:val="21"/>
        </w:rPr>
        <w:t>the partner or </w:t>
      </w:r>
      <w:r>
        <w:rPr>
          <w:spacing w:val="-3"/>
          <w:sz w:val="21"/>
        </w:rPr>
        <w:t>child </w:t>
      </w:r>
      <w:r>
        <w:rPr>
          <w:sz w:val="21"/>
        </w:rPr>
        <w:t>of the </w:t>
      </w:r>
      <w:r>
        <w:rPr>
          <w:spacing w:val="-3"/>
          <w:sz w:val="21"/>
        </w:rPr>
        <w:t>employee, </w:t>
      </w:r>
      <w:r>
        <w:rPr>
          <w:sz w:val="21"/>
        </w:rPr>
        <w:t>or </w:t>
      </w:r>
      <w:r>
        <w:rPr>
          <w:spacing w:val="-3"/>
          <w:sz w:val="21"/>
        </w:rPr>
        <w:t>to another </w:t>
      </w:r>
      <w:r>
        <w:rPr>
          <w:sz w:val="21"/>
        </w:rPr>
        <w:t>person entitled </w:t>
      </w:r>
      <w:r>
        <w:rPr>
          <w:spacing w:val="-3"/>
          <w:sz w:val="21"/>
        </w:rPr>
        <w:t>to </w:t>
      </w:r>
      <w:r>
        <w:rPr>
          <w:sz w:val="21"/>
        </w:rPr>
        <w:t>the wages. Under the </w:t>
      </w:r>
      <w:r>
        <w:rPr>
          <w:spacing w:val="-3"/>
          <w:sz w:val="21"/>
        </w:rPr>
        <w:t>provision,  </w:t>
      </w:r>
      <w:r>
        <w:rPr>
          <w:sz w:val="21"/>
        </w:rPr>
        <w:t>the net estate </w:t>
      </w:r>
      <w:r>
        <w:rPr>
          <w:spacing w:val="-3"/>
          <w:sz w:val="21"/>
        </w:rPr>
        <w:t>cannot</w:t>
      </w:r>
      <w:r>
        <w:rPr>
          <w:spacing w:val="41"/>
          <w:sz w:val="21"/>
        </w:rPr>
        <w:t> </w:t>
      </w:r>
      <w:r>
        <w:rPr>
          <w:sz w:val="21"/>
        </w:rPr>
        <w:t>exceed </w:t>
      </w:r>
      <w:r>
        <w:rPr>
          <w:spacing w:val="-3"/>
          <w:sz w:val="21"/>
        </w:rPr>
        <w:t>$25,000,  </w:t>
      </w:r>
      <w:r>
        <w:rPr>
          <w:sz w:val="21"/>
        </w:rPr>
        <w:t>and the payment made is </w:t>
      </w:r>
      <w:r>
        <w:rPr>
          <w:spacing w:val="-3"/>
          <w:sz w:val="21"/>
        </w:rPr>
        <w:t>limited    to </w:t>
      </w:r>
      <w:r>
        <w:rPr>
          <w:sz w:val="21"/>
        </w:rPr>
        <w:t>wages </w:t>
      </w:r>
      <w:r>
        <w:rPr>
          <w:spacing w:val="-2"/>
          <w:sz w:val="21"/>
        </w:rPr>
        <w:t>not </w:t>
      </w:r>
      <w:r>
        <w:rPr>
          <w:spacing w:val="-3"/>
          <w:sz w:val="21"/>
        </w:rPr>
        <w:t>exceeding</w:t>
      </w:r>
      <w:r>
        <w:rPr>
          <w:sz w:val="21"/>
        </w:rPr>
        <w:t> </w:t>
      </w:r>
      <w:r>
        <w:rPr>
          <w:spacing w:val="-5"/>
          <w:sz w:val="21"/>
        </w:rPr>
        <w:t>$12,500.</w:t>
      </w:r>
      <w:r>
        <w:rPr>
          <w:spacing w:val="-5"/>
          <w:position w:val="7"/>
          <w:sz w:val="12"/>
        </w:rPr>
        <w:t>58</w:t>
      </w:r>
    </w:p>
    <w:p>
      <w:pPr>
        <w:pStyle w:val="BodyText"/>
        <w:spacing w:before="1"/>
        <w:rPr>
          <w:sz w:val="12"/>
        </w:rPr>
      </w:pPr>
      <w:r>
        <w:rPr/>
        <w:pict>
          <v:line style="position:absolute;mso-position-horizontal-relative:page;mso-position-vertical-relative:paragraph;z-index:11720;mso-wrap-distance-left:0;mso-wrap-distance-right:0" from="79.370102pt,9.838053pt" to="515.905102pt,9.838053pt" stroked="true" strokeweight="1pt" strokecolor="#f9ceca">
            <v:stroke dashstyle="solid"/>
            <w10:wrap type="topAndBottom"/>
          </v:line>
        </w:pict>
      </w:r>
    </w:p>
    <w:p>
      <w:pPr>
        <w:pStyle w:val="BodyText"/>
        <w:spacing w:before="8"/>
        <w:rPr>
          <w:sz w:val="5"/>
        </w:rPr>
      </w:pPr>
    </w:p>
    <w:p>
      <w:pPr>
        <w:spacing w:after="0"/>
        <w:rPr>
          <w:sz w:val="5"/>
        </w:rPr>
        <w:sectPr>
          <w:pgSz w:w="11910" w:h="16840"/>
          <w:pgMar w:header="550" w:footer="0" w:top="1560" w:bottom="280" w:left="0" w:right="0"/>
        </w:sectPr>
      </w:pPr>
    </w:p>
    <w:p>
      <w:pPr>
        <w:pStyle w:val="BodyText"/>
        <w:rPr>
          <w:sz w:val="28"/>
        </w:rPr>
      </w:pPr>
    </w:p>
    <w:p>
      <w:pPr>
        <w:pStyle w:val="BodyText"/>
        <w:rPr>
          <w:sz w:val="28"/>
        </w:rPr>
      </w:pPr>
    </w:p>
    <w:p>
      <w:pPr>
        <w:pStyle w:val="BodyText"/>
        <w:spacing w:before="3"/>
        <w:rPr>
          <w:sz w:val="32"/>
        </w:rPr>
      </w:pPr>
    </w:p>
    <w:p>
      <w:pPr>
        <w:spacing w:before="1"/>
        <w:ind w:left="720" w:right="0" w:firstLine="0"/>
        <w:jc w:val="left"/>
        <w:rPr>
          <w:b/>
          <w:sz w:val="24"/>
        </w:rPr>
      </w:pPr>
      <w:r>
        <w:rPr>
          <w:b/>
          <w:color w:val="EC5A4F"/>
          <w:w w:val="105"/>
          <w:sz w:val="24"/>
        </w:rPr>
        <w:t>198</w:t>
      </w:r>
    </w:p>
    <w:p>
      <w:pPr>
        <w:pStyle w:val="ListParagraph"/>
        <w:numPr>
          <w:ilvl w:val="0"/>
          <w:numId w:val="140"/>
        </w:numPr>
        <w:tabs>
          <w:tab w:pos="1226" w:val="left" w:leader="none"/>
          <w:tab w:pos="1227" w:val="left" w:leader="none"/>
        </w:tabs>
        <w:spacing w:line="240" w:lineRule="auto" w:before="48" w:after="0"/>
        <w:ind w:left="1226" w:right="0" w:hanging="794"/>
        <w:jc w:val="left"/>
        <w:rPr>
          <w:sz w:val="13"/>
        </w:rPr>
      </w:pPr>
      <w:r>
        <w:rPr>
          <w:spacing w:val="3"/>
          <w:w w:val="107"/>
          <w:sz w:val="13"/>
        </w:rPr>
        <w:br w:type="column"/>
      </w:r>
      <w:r>
        <w:rPr>
          <w:w w:val="105"/>
          <w:sz w:val="13"/>
        </w:rPr>
        <w:t>Victorian Law Reform Commission, above n 6,</w:t>
      </w:r>
      <w:r>
        <w:rPr>
          <w:spacing w:val="2"/>
          <w:w w:val="105"/>
          <w:sz w:val="13"/>
        </w:rPr>
        <w:t> </w:t>
      </w:r>
      <w:r>
        <w:rPr>
          <w:w w:val="105"/>
          <w:sz w:val="13"/>
        </w:rPr>
        <w:t>39.</w:t>
      </w:r>
    </w:p>
    <w:p>
      <w:pPr>
        <w:pStyle w:val="ListParagraph"/>
        <w:numPr>
          <w:ilvl w:val="0"/>
          <w:numId w:val="140"/>
        </w:numPr>
        <w:tabs>
          <w:tab w:pos="1226" w:val="left" w:leader="none"/>
          <w:tab w:pos="1227" w:val="left" w:leader="none"/>
        </w:tabs>
        <w:spacing w:line="240" w:lineRule="auto" w:before="1" w:after="0"/>
        <w:ind w:left="1226" w:right="0" w:hanging="794"/>
        <w:jc w:val="left"/>
        <w:rPr>
          <w:sz w:val="13"/>
        </w:rPr>
      </w:pPr>
      <w:r>
        <w:rPr>
          <w:w w:val="105"/>
          <w:sz w:val="13"/>
        </w:rPr>
        <w:t>Submission 25 </w:t>
      </w:r>
      <w:r>
        <w:rPr>
          <w:spacing w:val="2"/>
          <w:w w:val="105"/>
          <w:sz w:val="13"/>
        </w:rPr>
        <w:t>(Moores</w:t>
      </w:r>
      <w:r>
        <w:rPr>
          <w:spacing w:val="13"/>
          <w:w w:val="105"/>
          <w:sz w:val="13"/>
        </w:rPr>
        <w:t> </w:t>
      </w:r>
      <w:r>
        <w:rPr>
          <w:w w:val="105"/>
          <w:sz w:val="13"/>
        </w:rPr>
        <w:t>Legal).</w:t>
      </w:r>
    </w:p>
    <w:p>
      <w:pPr>
        <w:pStyle w:val="ListParagraph"/>
        <w:numPr>
          <w:ilvl w:val="0"/>
          <w:numId w:val="140"/>
        </w:numPr>
        <w:tabs>
          <w:tab w:pos="1226" w:val="left" w:leader="none"/>
          <w:tab w:pos="1227" w:val="left" w:leader="none"/>
        </w:tabs>
        <w:spacing w:line="240" w:lineRule="auto" w:before="2" w:after="0"/>
        <w:ind w:left="1226" w:right="0" w:hanging="794"/>
        <w:jc w:val="left"/>
        <w:rPr>
          <w:sz w:val="13"/>
        </w:rPr>
      </w:pPr>
      <w:r>
        <w:rPr>
          <w:w w:val="105"/>
          <w:sz w:val="13"/>
        </w:rPr>
        <w:t>Submissions</w:t>
      </w:r>
      <w:r>
        <w:rPr>
          <w:spacing w:val="4"/>
          <w:w w:val="105"/>
          <w:sz w:val="13"/>
        </w:rPr>
        <w:t> </w:t>
      </w:r>
      <w:r>
        <w:rPr>
          <w:spacing w:val="2"/>
          <w:w w:val="105"/>
          <w:sz w:val="13"/>
        </w:rPr>
        <w:t>30b</w:t>
      </w:r>
      <w:r>
        <w:rPr>
          <w:spacing w:val="4"/>
          <w:w w:val="105"/>
          <w:sz w:val="13"/>
        </w:rPr>
        <w:t> </w:t>
      </w:r>
      <w:r>
        <w:rPr>
          <w:spacing w:val="3"/>
          <w:w w:val="105"/>
          <w:sz w:val="13"/>
        </w:rPr>
        <w:t>(Law</w:t>
      </w:r>
      <w:r>
        <w:rPr>
          <w:spacing w:val="5"/>
          <w:w w:val="105"/>
          <w:sz w:val="13"/>
        </w:rPr>
        <w:t> </w:t>
      </w:r>
      <w:r>
        <w:rPr>
          <w:w w:val="105"/>
          <w:sz w:val="13"/>
        </w:rPr>
        <w:t>Institute</w:t>
      </w:r>
      <w:r>
        <w:rPr>
          <w:spacing w:val="4"/>
          <w:w w:val="105"/>
          <w:sz w:val="13"/>
        </w:rPr>
        <w:t> </w:t>
      </w:r>
      <w:r>
        <w:rPr>
          <w:w w:val="105"/>
          <w:sz w:val="13"/>
        </w:rPr>
        <w:t>of</w:t>
      </w:r>
      <w:r>
        <w:rPr>
          <w:spacing w:val="5"/>
          <w:w w:val="105"/>
          <w:sz w:val="13"/>
        </w:rPr>
        <w:t> </w:t>
      </w:r>
      <w:r>
        <w:rPr>
          <w:spacing w:val="2"/>
          <w:w w:val="105"/>
          <w:sz w:val="13"/>
        </w:rPr>
        <w:t>Victoria);</w:t>
      </w:r>
      <w:r>
        <w:rPr>
          <w:spacing w:val="4"/>
          <w:w w:val="105"/>
          <w:sz w:val="13"/>
        </w:rPr>
        <w:t> </w:t>
      </w:r>
      <w:r>
        <w:rPr>
          <w:w w:val="105"/>
          <w:sz w:val="13"/>
        </w:rPr>
        <w:t>32</w:t>
      </w:r>
      <w:r>
        <w:rPr>
          <w:spacing w:val="5"/>
          <w:w w:val="105"/>
          <w:sz w:val="13"/>
        </w:rPr>
        <w:t> </w:t>
      </w:r>
      <w:r>
        <w:rPr>
          <w:spacing w:val="2"/>
          <w:w w:val="105"/>
          <w:sz w:val="13"/>
        </w:rPr>
        <w:t>(The</w:t>
      </w:r>
      <w:r>
        <w:rPr>
          <w:spacing w:val="4"/>
          <w:w w:val="105"/>
          <w:sz w:val="13"/>
        </w:rPr>
        <w:t> </w:t>
      </w:r>
      <w:r>
        <w:rPr>
          <w:w w:val="105"/>
          <w:sz w:val="13"/>
        </w:rPr>
        <w:t>Institute</w:t>
      </w:r>
      <w:r>
        <w:rPr>
          <w:spacing w:val="5"/>
          <w:w w:val="105"/>
          <w:sz w:val="13"/>
        </w:rPr>
        <w:t> </w:t>
      </w:r>
      <w:r>
        <w:rPr>
          <w:w w:val="105"/>
          <w:sz w:val="13"/>
        </w:rPr>
        <w:t>of</w:t>
      </w:r>
      <w:r>
        <w:rPr>
          <w:spacing w:val="4"/>
          <w:w w:val="105"/>
          <w:sz w:val="13"/>
        </w:rPr>
        <w:t> </w:t>
      </w:r>
      <w:r>
        <w:rPr>
          <w:w w:val="105"/>
          <w:sz w:val="13"/>
        </w:rPr>
        <w:t>Legal</w:t>
      </w:r>
      <w:r>
        <w:rPr>
          <w:spacing w:val="4"/>
          <w:w w:val="105"/>
          <w:sz w:val="13"/>
        </w:rPr>
        <w:t> </w:t>
      </w:r>
      <w:r>
        <w:rPr>
          <w:w w:val="105"/>
          <w:sz w:val="13"/>
        </w:rPr>
        <w:t>Executives).</w:t>
      </w:r>
    </w:p>
    <w:p>
      <w:pPr>
        <w:pStyle w:val="ListParagraph"/>
        <w:numPr>
          <w:ilvl w:val="0"/>
          <w:numId w:val="140"/>
        </w:numPr>
        <w:tabs>
          <w:tab w:pos="1226" w:val="left" w:leader="none"/>
          <w:tab w:pos="1227" w:val="left" w:leader="none"/>
        </w:tabs>
        <w:spacing w:line="240" w:lineRule="auto" w:before="1" w:after="0"/>
        <w:ind w:left="1226" w:right="0" w:hanging="794"/>
        <w:jc w:val="left"/>
        <w:rPr>
          <w:sz w:val="13"/>
        </w:rPr>
      </w:pPr>
      <w:r>
        <w:rPr>
          <w:i/>
          <w:w w:val="105"/>
          <w:sz w:val="13"/>
        </w:rPr>
        <w:t>Administration and Probate Act 1958 </w:t>
      </w:r>
      <w:r>
        <w:rPr>
          <w:spacing w:val="2"/>
          <w:w w:val="105"/>
          <w:sz w:val="13"/>
        </w:rPr>
        <w:t>(Vic) </w:t>
      </w:r>
      <w:r>
        <w:rPr>
          <w:w w:val="105"/>
          <w:sz w:val="13"/>
        </w:rPr>
        <w:t>s</w:t>
      </w:r>
      <w:r>
        <w:rPr>
          <w:spacing w:val="24"/>
          <w:w w:val="105"/>
          <w:sz w:val="13"/>
        </w:rPr>
        <w:t> </w:t>
      </w:r>
      <w:r>
        <w:rPr>
          <w:spacing w:val="-3"/>
          <w:w w:val="105"/>
          <w:sz w:val="13"/>
        </w:rPr>
        <w:t>31.</w:t>
      </w:r>
    </w:p>
    <w:p>
      <w:pPr>
        <w:pStyle w:val="ListParagraph"/>
        <w:numPr>
          <w:ilvl w:val="0"/>
          <w:numId w:val="140"/>
        </w:numPr>
        <w:tabs>
          <w:tab w:pos="1226" w:val="left" w:leader="none"/>
          <w:tab w:pos="1227" w:val="left" w:leader="none"/>
        </w:tabs>
        <w:spacing w:line="240" w:lineRule="auto" w:before="1" w:after="0"/>
        <w:ind w:left="1226" w:right="0" w:hanging="794"/>
        <w:jc w:val="left"/>
        <w:rPr>
          <w:sz w:val="13"/>
        </w:rPr>
      </w:pPr>
      <w:r>
        <w:rPr>
          <w:sz w:val="13"/>
        </w:rPr>
        <w:t>Although</w:t>
      </w:r>
      <w:r>
        <w:rPr>
          <w:spacing w:val="8"/>
          <w:sz w:val="13"/>
        </w:rPr>
        <w:t> </w:t>
      </w:r>
      <w:r>
        <w:rPr>
          <w:sz w:val="13"/>
        </w:rPr>
        <w:t>the</w:t>
      </w:r>
      <w:r>
        <w:rPr>
          <w:spacing w:val="8"/>
          <w:sz w:val="13"/>
        </w:rPr>
        <w:t> </w:t>
      </w:r>
      <w:r>
        <w:rPr>
          <w:sz w:val="13"/>
        </w:rPr>
        <w:t>personal</w:t>
      </w:r>
      <w:r>
        <w:rPr>
          <w:spacing w:val="8"/>
          <w:sz w:val="13"/>
        </w:rPr>
        <w:t> </w:t>
      </w:r>
      <w:r>
        <w:rPr>
          <w:sz w:val="13"/>
        </w:rPr>
        <w:t>representative</w:t>
      </w:r>
      <w:r>
        <w:rPr>
          <w:spacing w:val="8"/>
          <w:sz w:val="13"/>
        </w:rPr>
        <w:t> </w:t>
      </w:r>
      <w:r>
        <w:rPr>
          <w:sz w:val="13"/>
        </w:rPr>
        <w:t>could</w:t>
      </w:r>
      <w:r>
        <w:rPr>
          <w:spacing w:val="8"/>
          <w:sz w:val="13"/>
        </w:rPr>
        <w:t> </w:t>
      </w:r>
      <w:r>
        <w:rPr>
          <w:sz w:val="13"/>
        </w:rPr>
        <w:t>potentially</w:t>
      </w:r>
      <w:r>
        <w:rPr>
          <w:spacing w:val="8"/>
          <w:sz w:val="13"/>
        </w:rPr>
        <w:t> </w:t>
      </w:r>
      <w:r>
        <w:rPr>
          <w:sz w:val="13"/>
        </w:rPr>
        <w:t>provide</w:t>
      </w:r>
      <w:r>
        <w:rPr>
          <w:spacing w:val="8"/>
          <w:sz w:val="13"/>
        </w:rPr>
        <w:t> </w:t>
      </w:r>
      <w:r>
        <w:rPr>
          <w:sz w:val="13"/>
        </w:rPr>
        <w:t>an</w:t>
      </w:r>
      <w:r>
        <w:rPr>
          <w:spacing w:val="8"/>
          <w:sz w:val="13"/>
        </w:rPr>
        <w:t> </w:t>
      </w:r>
      <w:r>
        <w:rPr>
          <w:sz w:val="13"/>
        </w:rPr>
        <w:t>indemnity</w:t>
      </w:r>
      <w:r>
        <w:rPr>
          <w:spacing w:val="8"/>
          <w:sz w:val="13"/>
        </w:rPr>
        <w:t> </w:t>
      </w:r>
      <w:r>
        <w:rPr>
          <w:sz w:val="13"/>
        </w:rPr>
        <w:t>in</w:t>
      </w:r>
      <w:r>
        <w:rPr>
          <w:spacing w:val="8"/>
          <w:sz w:val="13"/>
        </w:rPr>
        <w:t> </w:t>
      </w:r>
      <w:r>
        <w:rPr>
          <w:sz w:val="13"/>
        </w:rPr>
        <w:t>their</w:t>
      </w:r>
      <w:r>
        <w:rPr>
          <w:spacing w:val="9"/>
          <w:sz w:val="13"/>
        </w:rPr>
        <w:t> </w:t>
      </w:r>
      <w:r>
        <w:rPr>
          <w:sz w:val="13"/>
        </w:rPr>
        <w:t>personal</w:t>
      </w:r>
      <w:r>
        <w:rPr>
          <w:spacing w:val="8"/>
          <w:sz w:val="13"/>
        </w:rPr>
        <w:t> </w:t>
      </w:r>
      <w:r>
        <w:rPr>
          <w:sz w:val="13"/>
        </w:rPr>
        <w:t>capacity.</w:t>
      </w:r>
    </w:p>
    <w:p>
      <w:pPr>
        <w:pStyle w:val="ListParagraph"/>
        <w:numPr>
          <w:ilvl w:val="0"/>
          <w:numId w:val="140"/>
        </w:numPr>
        <w:tabs>
          <w:tab w:pos="1226" w:val="left" w:leader="none"/>
          <w:tab w:pos="1227" w:val="left" w:leader="none"/>
        </w:tabs>
        <w:spacing w:line="240" w:lineRule="auto" w:before="2" w:after="0"/>
        <w:ind w:left="1226" w:right="1673" w:hanging="794"/>
        <w:jc w:val="left"/>
        <w:rPr>
          <w:sz w:val="13"/>
        </w:rPr>
      </w:pPr>
      <w:r>
        <w:rPr>
          <w:sz w:val="13"/>
        </w:rPr>
        <w:t>It is important to note that these provisions relate to money to which the deceased person was clearly entitled, not to the informal transfer              of assets</w:t>
      </w:r>
      <w:r>
        <w:rPr>
          <w:spacing w:val="12"/>
          <w:sz w:val="13"/>
        </w:rPr>
        <w:t> </w:t>
      </w:r>
      <w:r>
        <w:rPr>
          <w:sz w:val="13"/>
        </w:rPr>
        <w:t>generally.</w:t>
      </w:r>
    </w:p>
    <w:p>
      <w:pPr>
        <w:pStyle w:val="ListParagraph"/>
        <w:numPr>
          <w:ilvl w:val="0"/>
          <w:numId w:val="140"/>
        </w:numPr>
        <w:tabs>
          <w:tab w:pos="1226" w:val="left" w:leader="none"/>
          <w:tab w:pos="1227" w:val="left" w:leader="none"/>
        </w:tabs>
        <w:spacing w:line="240" w:lineRule="auto" w:before="2" w:after="0"/>
        <w:ind w:left="1226" w:right="0" w:hanging="794"/>
        <w:jc w:val="left"/>
        <w:rPr>
          <w:sz w:val="13"/>
        </w:rPr>
      </w:pPr>
      <w:r>
        <w:rPr>
          <w:i/>
          <w:w w:val="105"/>
          <w:sz w:val="13"/>
        </w:rPr>
        <w:t>Administration</w:t>
      </w:r>
      <w:r>
        <w:rPr>
          <w:i/>
          <w:spacing w:val="3"/>
          <w:w w:val="105"/>
          <w:sz w:val="13"/>
        </w:rPr>
        <w:t> </w:t>
      </w:r>
      <w:r>
        <w:rPr>
          <w:i/>
          <w:w w:val="105"/>
          <w:sz w:val="13"/>
        </w:rPr>
        <w:t>and</w:t>
      </w:r>
      <w:r>
        <w:rPr>
          <w:i/>
          <w:spacing w:val="3"/>
          <w:w w:val="105"/>
          <w:sz w:val="13"/>
        </w:rPr>
        <w:t> </w:t>
      </w:r>
      <w:r>
        <w:rPr>
          <w:i/>
          <w:w w:val="105"/>
          <w:sz w:val="13"/>
        </w:rPr>
        <w:t>Probate</w:t>
      </w:r>
      <w:r>
        <w:rPr>
          <w:i/>
          <w:spacing w:val="3"/>
          <w:w w:val="105"/>
          <w:sz w:val="13"/>
        </w:rPr>
        <w:t> </w:t>
      </w:r>
      <w:r>
        <w:rPr>
          <w:i/>
          <w:w w:val="105"/>
          <w:sz w:val="13"/>
        </w:rPr>
        <w:t>Act</w:t>
      </w:r>
      <w:r>
        <w:rPr>
          <w:i/>
          <w:spacing w:val="3"/>
          <w:w w:val="105"/>
          <w:sz w:val="13"/>
        </w:rPr>
        <w:t> </w:t>
      </w:r>
      <w:r>
        <w:rPr>
          <w:i/>
          <w:w w:val="105"/>
          <w:sz w:val="13"/>
        </w:rPr>
        <w:t>1958</w:t>
      </w:r>
      <w:r>
        <w:rPr>
          <w:i/>
          <w:spacing w:val="4"/>
          <w:w w:val="105"/>
          <w:sz w:val="13"/>
        </w:rPr>
        <w:t> </w:t>
      </w:r>
      <w:r>
        <w:rPr>
          <w:spacing w:val="2"/>
          <w:w w:val="105"/>
          <w:sz w:val="13"/>
        </w:rPr>
        <w:t>(Vic)</w:t>
      </w:r>
      <w:r>
        <w:rPr>
          <w:spacing w:val="4"/>
          <w:w w:val="105"/>
          <w:sz w:val="13"/>
        </w:rPr>
        <w:t> </w:t>
      </w:r>
      <w:r>
        <w:rPr>
          <w:w w:val="105"/>
          <w:sz w:val="13"/>
        </w:rPr>
        <w:t>s</w:t>
      </w:r>
      <w:r>
        <w:rPr>
          <w:spacing w:val="4"/>
          <w:w w:val="105"/>
          <w:sz w:val="13"/>
        </w:rPr>
        <w:t> </w:t>
      </w:r>
      <w:r>
        <w:rPr>
          <w:w w:val="105"/>
          <w:sz w:val="13"/>
        </w:rPr>
        <w:t>32.</w:t>
      </w:r>
      <w:r>
        <w:rPr>
          <w:spacing w:val="4"/>
          <w:w w:val="105"/>
          <w:sz w:val="13"/>
        </w:rPr>
        <w:t> </w:t>
      </w:r>
      <w:r>
        <w:rPr>
          <w:w w:val="105"/>
          <w:sz w:val="13"/>
        </w:rPr>
        <w:t>The</w:t>
      </w:r>
      <w:r>
        <w:rPr>
          <w:spacing w:val="4"/>
          <w:w w:val="105"/>
          <w:sz w:val="13"/>
        </w:rPr>
        <w:t> </w:t>
      </w:r>
      <w:r>
        <w:rPr>
          <w:w w:val="105"/>
          <w:sz w:val="13"/>
        </w:rPr>
        <w:t>provision</w:t>
      </w:r>
      <w:r>
        <w:rPr>
          <w:spacing w:val="5"/>
          <w:w w:val="105"/>
          <w:sz w:val="13"/>
        </w:rPr>
        <w:t> </w:t>
      </w:r>
      <w:r>
        <w:rPr>
          <w:w w:val="105"/>
          <w:sz w:val="13"/>
        </w:rPr>
        <w:t>refers</w:t>
      </w:r>
      <w:r>
        <w:rPr>
          <w:spacing w:val="4"/>
          <w:w w:val="105"/>
          <w:sz w:val="13"/>
        </w:rPr>
        <w:t> </w:t>
      </w:r>
      <w:r>
        <w:rPr>
          <w:w w:val="105"/>
          <w:sz w:val="13"/>
        </w:rPr>
        <w:t>to</w:t>
      </w:r>
      <w:r>
        <w:rPr>
          <w:spacing w:val="4"/>
          <w:w w:val="105"/>
          <w:sz w:val="13"/>
        </w:rPr>
        <w:t> </w:t>
      </w:r>
      <w:r>
        <w:rPr>
          <w:w w:val="105"/>
          <w:sz w:val="13"/>
        </w:rPr>
        <w:t>moneys</w:t>
      </w:r>
      <w:r>
        <w:rPr>
          <w:spacing w:val="4"/>
          <w:w w:val="105"/>
          <w:sz w:val="13"/>
        </w:rPr>
        <w:t> </w:t>
      </w:r>
      <w:r>
        <w:rPr>
          <w:w w:val="105"/>
          <w:sz w:val="13"/>
        </w:rPr>
        <w:t>or</w:t>
      </w:r>
      <w:r>
        <w:rPr>
          <w:spacing w:val="4"/>
          <w:w w:val="105"/>
          <w:sz w:val="13"/>
        </w:rPr>
        <w:t> </w:t>
      </w:r>
      <w:r>
        <w:rPr>
          <w:w w:val="105"/>
          <w:sz w:val="13"/>
        </w:rPr>
        <w:t>other</w:t>
      </w:r>
      <w:r>
        <w:rPr>
          <w:spacing w:val="4"/>
          <w:w w:val="105"/>
          <w:sz w:val="13"/>
        </w:rPr>
        <w:t> </w:t>
      </w:r>
      <w:r>
        <w:rPr>
          <w:spacing w:val="2"/>
          <w:w w:val="105"/>
          <w:sz w:val="13"/>
        </w:rPr>
        <w:t>property</w:t>
      </w:r>
      <w:r>
        <w:rPr>
          <w:spacing w:val="4"/>
          <w:w w:val="105"/>
          <w:sz w:val="13"/>
        </w:rPr>
        <w:t> </w:t>
      </w:r>
      <w:r>
        <w:rPr>
          <w:w w:val="105"/>
          <w:sz w:val="13"/>
        </w:rPr>
        <w:t>held</w:t>
      </w:r>
      <w:r>
        <w:rPr>
          <w:spacing w:val="4"/>
          <w:w w:val="105"/>
          <w:sz w:val="13"/>
        </w:rPr>
        <w:t> </w:t>
      </w:r>
      <w:r>
        <w:rPr>
          <w:w w:val="105"/>
          <w:sz w:val="13"/>
        </w:rPr>
        <w:t>on</w:t>
      </w:r>
      <w:r>
        <w:rPr>
          <w:spacing w:val="4"/>
          <w:w w:val="105"/>
          <w:sz w:val="13"/>
        </w:rPr>
        <w:t> </w:t>
      </w:r>
      <w:r>
        <w:rPr>
          <w:w w:val="105"/>
          <w:sz w:val="13"/>
        </w:rPr>
        <w:t>account</w:t>
      </w:r>
      <w:r>
        <w:rPr>
          <w:spacing w:val="4"/>
          <w:w w:val="105"/>
          <w:sz w:val="13"/>
        </w:rPr>
        <w:t> </w:t>
      </w:r>
      <w:r>
        <w:rPr>
          <w:w w:val="105"/>
          <w:sz w:val="13"/>
        </w:rPr>
        <w:t>of</w:t>
      </w:r>
      <w:r>
        <w:rPr>
          <w:spacing w:val="4"/>
          <w:w w:val="105"/>
          <w:sz w:val="13"/>
        </w:rPr>
        <w:t> </w:t>
      </w:r>
      <w:r>
        <w:rPr>
          <w:w w:val="105"/>
          <w:sz w:val="13"/>
        </w:rPr>
        <w:t>the</w:t>
      </w:r>
      <w:r>
        <w:rPr>
          <w:spacing w:val="5"/>
          <w:w w:val="105"/>
          <w:sz w:val="13"/>
        </w:rPr>
        <w:t> </w:t>
      </w:r>
      <w:r>
        <w:rPr>
          <w:w w:val="105"/>
          <w:sz w:val="13"/>
        </w:rPr>
        <w:t>employee.</w:t>
      </w:r>
    </w:p>
    <w:p>
      <w:pPr>
        <w:spacing w:after="0" w:line="240" w:lineRule="auto"/>
        <w:jc w:val="left"/>
        <w:rPr>
          <w:sz w:val="13"/>
        </w:rPr>
        <w:sectPr>
          <w:type w:val="continuous"/>
          <w:pgSz w:w="11910" w:h="16840"/>
          <w:pgMar w:top="920" w:bottom="280" w:left="0" w:right="0"/>
          <w:cols w:num="2" w:equalWidth="0">
            <w:col w:w="1115" w:space="40"/>
            <w:col w:w="10755"/>
          </w:cols>
        </w:sectPr>
      </w:pPr>
    </w:p>
    <w:p>
      <w:pPr>
        <w:pStyle w:val="BodyText"/>
        <w:rPr>
          <w:sz w:val="20"/>
        </w:rPr>
      </w:pPr>
    </w:p>
    <w:p>
      <w:pPr>
        <w:pStyle w:val="BodyText"/>
        <w:spacing w:before="12"/>
        <w:rPr>
          <w:sz w:val="18"/>
        </w:rPr>
      </w:pPr>
    </w:p>
    <w:p>
      <w:pPr>
        <w:pStyle w:val="Heading6"/>
        <w:spacing w:before="100"/>
      </w:pPr>
      <w:r>
        <w:rPr>
          <w:w w:val="115"/>
        </w:rPr>
        <w:t>National Committee for Uniform Succession</w:t>
      </w:r>
      <w:r>
        <w:rPr>
          <w:spacing w:val="-52"/>
          <w:w w:val="115"/>
        </w:rPr>
        <w:t> </w:t>
      </w:r>
      <w:r>
        <w:rPr>
          <w:w w:val="115"/>
        </w:rPr>
        <w:t>Laws</w:t>
      </w:r>
    </w:p>
    <w:p>
      <w:pPr>
        <w:pStyle w:val="ListParagraph"/>
        <w:numPr>
          <w:ilvl w:val="1"/>
          <w:numId w:val="22"/>
        </w:numPr>
        <w:tabs>
          <w:tab w:pos="2381" w:val="left" w:leader="none"/>
          <w:tab w:pos="2382" w:val="left" w:leader="none"/>
        </w:tabs>
        <w:spacing w:line="242" w:lineRule="auto" w:before="151" w:after="0"/>
        <w:ind w:left="2381" w:right="1689" w:hanging="794"/>
        <w:jc w:val="left"/>
        <w:rPr>
          <w:sz w:val="21"/>
        </w:rPr>
      </w:pPr>
      <w:r>
        <w:rPr>
          <w:w w:val="105"/>
          <w:sz w:val="21"/>
        </w:rPr>
        <w:t>Although the Victorian </w:t>
      </w:r>
      <w:r>
        <w:rPr>
          <w:spacing w:val="-3"/>
          <w:w w:val="105"/>
          <w:sz w:val="21"/>
        </w:rPr>
        <w:t>provision </w:t>
      </w:r>
      <w:r>
        <w:rPr>
          <w:w w:val="105"/>
          <w:sz w:val="21"/>
        </w:rPr>
        <w:t>assists employers in </w:t>
      </w:r>
      <w:r>
        <w:rPr>
          <w:spacing w:val="-3"/>
          <w:w w:val="105"/>
          <w:sz w:val="21"/>
        </w:rPr>
        <w:t>making informal </w:t>
      </w:r>
      <w:r>
        <w:rPr>
          <w:w w:val="105"/>
          <w:sz w:val="21"/>
        </w:rPr>
        <w:t>payments, others who hold </w:t>
      </w:r>
      <w:r>
        <w:rPr>
          <w:spacing w:val="-3"/>
          <w:w w:val="105"/>
          <w:sz w:val="21"/>
        </w:rPr>
        <w:t>funds cannot </w:t>
      </w:r>
      <w:r>
        <w:rPr>
          <w:w w:val="105"/>
          <w:sz w:val="21"/>
        </w:rPr>
        <w:t>use section </w:t>
      </w:r>
      <w:r>
        <w:rPr>
          <w:spacing w:val="-4"/>
          <w:w w:val="105"/>
          <w:sz w:val="21"/>
        </w:rPr>
        <w:t>32 </w:t>
      </w:r>
      <w:r>
        <w:rPr>
          <w:w w:val="105"/>
          <w:sz w:val="21"/>
        </w:rPr>
        <w:t>of the </w:t>
      </w:r>
      <w:r>
        <w:rPr>
          <w:spacing w:val="-3"/>
          <w:w w:val="105"/>
          <w:sz w:val="21"/>
        </w:rPr>
        <w:t>Administration </w:t>
      </w:r>
      <w:r>
        <w:rPr>
          <w:w w:val="105"/>
          <w:sz w:val="21"/>
        </w:rPr>
        <w:t>and </w:t>
      </w:r>
      <w:r>
        <w:rPr>
          <w:spacing w:val="-3"/>
          <w:w w:val="105"/>
          <w:sz w:val="21"/>
        </w:rPr>
        <w:t>Probate </w:t>
      </w:r>
      <w:r>
        <w:rPr>
          <w:w w:val="105"/>
          <w:sz w:val="21"/>
        </w:rPr>
        <w:t>Act and do </w:t>
      </w:r>
      <w:r>
        <w:rPr>
          <w:spacing w:val="-2"/>
          <w:w w:val="105"/>
          <w:sz w:val="21"/>
        </w:rPr>
        <w:t>not </w:t>
      </w:r>
      <w:r>
        <w:rPr>
          <w:w w:val="105"/>
          <w:sz w:val="21"/>
        </w:rPr>
        <w:t>get the benefit of the protection it</w:t>
      </w:r>
      <w:r>
        <w:rPr>
          <w:spacing w:val="29"/>
          <w:w w:val="105"/>
          <w:sz w:val="21"/>
        </w:rPr>
        <w:t> </w:t>
      </w:r>
      <w:r>
        <w:rPr>
          <w:spacing w:val="-2"/>
          <w:w w:val="105"/>
          <w:sz w:val="21"/>
        </w:rPr>
        <w:t>provides.</w:t>
      </w:r>
    </w:p>
    <w:p>
      <w:pPr>
        <w:pStyle w:val="ListParagraph"/>
        <w:numPr>
          <w:ilvl w:val="1"/>
          <w:numId w:val="22"/>
        </w:numPr>
        <w:tabs>
          <w:tab w:pos="2381" w:val="left" w:leader="none"/>
          <w:tab w:pos="2382" w:val="left" w:leader="none"/>
        </w:tabs>
        <w:spacing w:line="242" w:lineRule="auto" w:before="123" w:after="0"/>
        <w:ind w:left="2381" w:right="1692" w:hanging="794"/>
        <w:jc w:val="left"/>
        <w:rPr>
          <w:sz w:val="21"/>
        </w:rPr>
      </w:pPr>
      <w:r>
        <w:rPr>
          <w:sz w:val="21"/>
        </w:rPr>
        <w:t>A </w:t>
      </w:r>
      <w:r>
        <w:rPr>
          <w:spacing w:val="-3"/>
          <w:sz w:val="21"/>
        </w:rPr>
        <w:t>submission to </w:t>
      </w:r>
      <w:r>
        <w:rPr>
          <w:sz w:val="21"/>
        </w:rPr>
        <w:t>the </w:t>
      </w:r>
      <w:r>
        <w:rPr>
          <w:spacing w:val="-3"/>
          <w:sz w:val="21"/>
        </w:rPr>
        <w:t>National Committee  for  Uniform  Succession  </w:t>
      </w:r>
      <w:r>
        <w:rPr>
          <w:sz w:val="21"/>
        </w:rPr>
        <w:t>Laws on this topic said </w:t>
      </w:r>
      <w:r>
        <w:rPr>
          <w:spacing w:val="-3"/>
          <w:sz w:val="21"/>
        </w:rPr>
        <w:t>that ‘it </w:t>
      </w:r>
      <w:r>
        <w:rPr>
          <w:sz w:val="21"/>
        </w:rPr>
        <w:t>[is] a matter of particular </w:t>
      </w:r>
      <w:r>
        <w:rPr>
          <w:spacing w:val="-3"/>
          <w:sz w:val="21"/>
        </w:rPr>
        <w:t>concern that  </w:t>
      </w:r>
      <w:r>
        <w:rPr>
          <w:sz w:val="21"/>
        </w:rPr>
        <w:t>the </w:t>
      </w:r>
      <w:r>
        <w:rPr>
          <w:spacing w:val="-3"/>
          <w:sz w:val="21"/>
        </w:rPr>
        <w:t>current</w:t>
      </w:r>
      <w:r>
        <w:rPr>
          <w:spacing w:val="41"/>
          <w:sz w:val="21"/>
        </w:rPr>
        <w:t> </w:t>
      </w:r>
      <w:r>
        <w:rPr>
          <w:spacing w:val="-3"/>
          <w:sz w:val="21"/>
        </w:rPr>
        <w:t>legislation  forces  </w:t>
      </w:r>
      <w:r>
        <w:rPr>
          <w:sz w:val="21"/>
        </w:rPr>
        <w:t>what </w:t>
      </w:r>
      <w:r>
        <w:rPr>
          <w:spacing w:val="-3"/>
          <w:sz w:val="21"/>
        </w:rPr>
        <w:t>could  </w:t>
      </w:r>
      <w:r>
        <w:rPr>
          <w:sz w:val="21"/>
        </w:rPr>
        <w:t>be a satisfactory </w:t>
      </w:r>
      <w:r>
        <w:rPr>
          <w:spacing w:val="-3"/>
          <w:sz w:val="21"/>
        </w:rPr>
        <w:t>informal administration </w:t>
      </w:r>
      <w:r>
        <w:rPr>
          <w:sz w:val="21"/>
        </w:rPr>
        <w:t>down the official path solely</w:t>
      </w:r>
      <w:r>
        <w:rPr>
          <w:spacing w:val="25"/>
          <w:sz w:val="21"/>
        </w:rPr>
        <w:t> </w:t>
      </w:r>
      <w:r>
        <w:rPr>
          <w:sz w:val="21"/>
        </w:rPr>
        <w:t>because</w:t>
      </w:r>
    </w:p>
    <w:p>
      <w:pPr>
        <w:pStyle w:val="BodyText"/>
        <w:spacing w:before="3"/>
        <w:ind w:left="2381"/>
        <w:rPr>
          <w:sz w:val="12"/>
        </w:rPr>
      </w:pPr>
      <w:r>
        <w:rPr>
          <w:w w:val="105"/>
        </w:rPr>
        <w:t>the administrator cannot obtain an asset’.</w:t>
      </w:r>
      <w:r>
        <w:rPr>
          <w:w w:val="105"/>
          <w:position w:val="7"/>
          <w:sz w:val="12"/>
        </w:rPr>
        <w:t>59</w:t>
      </w:r>
    </w:p>
    <w:p>
      <w:pPr>
        <w:pStyle w:val="ListParagraph"/>
        <w:numPr>
          <w:ilvl w:val="1"/>
          <w:numId w:val="22"/>
        </w:numPr>
        <w:tabs>
          <w:tab w:pos="2381" w:val="left" w:leader="none"/>
          <w:tab w:pos="2382" w:val="left" w:leader="none"/>
        </w:tabs>
        <w:spacing w:line="242" w:lineRule="auto" w:before="124" w:after="0"/>
        <w:ind w:left="2381" w:right="1908" w:hanging="794"/>
        <w:jc w:val="left"/>
        <w:rPr>
          <w:sz w:val="12"/>
        </w:rPr>
      </w:pPr>
      <w:r>
        <w:rPr>
          <w:w w:val="105"/>
          <w:sz w:val="21"/>
        </w:rPr>
        <w:t>The </w:t>
      </w:r>
      <w:r>
        <w:rPr>
          <w:spacing w:val="-3"/>
          <w:w w:val="105"/>
          <w:sz w:val="21"/>
        </w:rPr>
        <w:t>National Committee </w:t>
      </w:r>
      <w:r>
        <w:rPr>
          <w:w w:val="105"/>
          <w:sz w:val="21"/>
        </w:rPr>
        <w:t>recommended </w:t>
      </w:r>
      <w:r>
        <w:rPr>
          <w:spacing w:val="-3"/>
          <w:w w:val="105"/>
          <w:sz w:val="21"/>
        </w:rPr>
        <w:t>that </w:t>
      </w:r>
      <w:r>
        <w:rPr>
          <w:w w:val="105"/>
          <w:sz w:val="21"/>
        </w:rPr>
        <w:t>a broader </w:t>
      </w:r>
      <w:r>
        <w:rPr>
          <w:spacing w:val="-3"/>
          <w:w w:val="105"/>
          <w:sz w:val="21"/>
        </w:rPr>
        <w:t>provision </w:t>
      </w:r>
      <w:r>
        <w:rPr>
          <w:w w:val="105"/>
          <w:sz w:val="21"/>
        </w:rPr>
        <w:t>of more general </w:t>
      </w:r>
      <w:r>
        <w:rPr>
          <w:spacing w:val="-3"/>
          <w:w w:val="105"/>
          <w:sz w:val="21"/>
        </w:rPr>
        <w:t>application, </w:t>
      </w:r>
      <w:r>
        <w:rPr>
          <w:w w:val="105"/>
          <w:sz w:val="21"/>
        </w:rPr>
        <w:t>based on section </w:t>
      </w:r>
      <w:r>
        <w:rPr>
          <w:spacing w:val="-4"/>
          <w:w w:val="105"/>
          <w:sz w:val="21"/>
        </w:rPr>
        <w:t>32 </w:t>
      </w:r>
      <w:r>
        <w:rPr>
          <w:w w:val="105"/>
          <w:sz w:val="21"/>
        </w:rPr>
        <w:t>of the </w:t>
      </w:r>
      <w:r>
        <w:rPr>
          <w:spacing w:val="-3"/>
          <w:w w:val="105"/>
          <w:sz w:val="21"/>
        </w:rPr>
        <w:t>Administration </w:t>
      </w:r>
      <w:r>
        <w:rPr>
          <w:w w:val="105"/>
          <w:sz w:val="21"/>
        </w:rPr>
        <w:t>and </w:t>
      </w:r>
      <w:r>
        <w:rPr>
          <w:spacing w:val="-3"/>
          <w:w w:val="105"/>
          <w:sz w:val="21"/>
        </w:rPr>
        <w:t>Probate </w:t>
      </w:r>
      <w:r>
        <w:rPr>
          <w:w w:val="105"/>
          <w:sz w:val="21"/>
        </w:rPr>
        <w:t>Act, was </w:t>
      </w:r>
      <w:r>
        <w:rPr>
          <w:spacing w:val="-3"/>
          <w:w w:val="105"/>
          <w:sz w:val="21"/>
        </w:rPr>
        <w:t>desirable, </w:t>
      </w:r>
      <w:r>
        <w:rPr>
          <w:w w:val="105"/>
          <w:sz w:val="21"/>
        </w:rPr>
        <w:t>and drafted the </w:t>
      </w:r>
      <w:r>
        <w:rPr>
          <w:spacing w:val="-3"/>
          <w:w w:val="105"/>
          <w:sz w:val="21"/>
        </w:rPr>
        <w:t>following </w:t>
      </w:r>
      <w:r>
        <w:rPr>
          <w:w w:val="105"/>
          <w:sz w:val="21"/>
        </w:rPr>
        <w:t>model</w:t>
      </w:r>
      <w:r>
        <w:rPr>
          <w:spacing w:val="26"/>
          <w:w w:val="105"/>
          <w:sz w:val="21"/>
        </w:rPr>
        <w:t> </w:t>
      </w:r>
      <w:r>
        <w:rPr>
          <w:w w:val="105"/>
          <w:sz w:val="21"/>
        </w:rPr>
        <w:t>provision:</w:t>
      </w:r>
      <w:r>
        <w:rPr>
          <w:w w:val="105"/>
          <w:position w:val="7"/>
          <w:sz w:val="12"/>
        </w:rPr>
        <w:t>60</w:t>
      </w:r>
    </w:p>
    <w:p>
      <w:pPr>
        <w:spacing w:line="264" w:lineRule="auto" w:before="129"/>
        <w:ind w:left="2721" w:right="1619" w:firstLine="0"/>
        <w:jc w:val="left"/>
        <w:rPr>
          <w:rFonts w:ascii="Lucida Sans"/>
          <w:b/>
          <w:sz w:val="20"/>
        </w:rPr>
      </w:pPr>
      <w:r>
        <w:rPr>
          <w:rFonts w:ascii="Lucida Sans"/>
          <w:b/>
          <w:w w:val="95"/>
          <w:sz w:val="20"/>
        </w:rPr>
        <w:t>Protection</w:t>
      </w:r>
      <w:r>
        <w:rPr>
          <w:rFonts w:ascii="Lucida Sans"/>
          <w:b/>
          <w:spacing w:val="-26"/>
          <w:w w:val="95"/>
          <w:sz w:val="20"/>
        </w:rPr>
        <w:t> </w:t>
      </w:r>
      <w:r>
        <w:rPr>
          <w:rFonts w:ascii="Lucida Sans"/>
          <w:b/>
          <w:w w:val="95"/>
          <w:sz w:val="20"/>
        </w:rPr>
        <w:t>for</w:t>
      </w:r>
      <w:r>
        <w:rPr>
          <w:rFonts w:ascii="Lucida Sans"/>
          <w:b/>
          <w:spacing w:val="-25"/>
          <w:w w:val="95"/>
          <w:sz w:val="20"/>
        </w:rPr>
        <w:t> </w:t>
      </w:r>
      <w:r>
        <w:rPr>
          <w:rFonts w:ascii="Lucida Sans"/>
          <w:b/>
          <w:w w:val="95"/>
          <w:sz w:val="20"/>
        </w:rPr>
        <w:t>limited</w:t>
      </w:r>
      <w:r>
        <w:rPr>
          <w:rFonts w:ascii="Lucida Sans"/>
          <w:b/>
          <w:spacing w:val="-25"/>
          <w:w w:val="95"/>
          <w:sz w:val="20"/>
        </w:rPr>
        <w:t> </w:t>
      </w:r>
      <w:r>
        <w:rPr>
          <w:rFonts w:ascii="Lucida Sans"/>
          <w:b/>
          <w:w w:val="95"/>
          <w:sz w:val="20"/>
        </w:rPr>
        <w:t>payments</w:t>
      </w:r>
      <w:r>
        <w:rPr>
          <w:rFonts w:ascii="Lucida Sans"/>
          <w:b/>
          <w:spacing w:val="-25"/>
          <w:w w:val="95"/>
          <w:sz w:val="20"/>
        </w:rPr>
        <w:t> </w:t>
      </w:r>
      <w:r>
        <w:rPr>
          <w:rFonts w:ascii="Lucida Sans"/>
          <w:b/>
          <w:w w:val="95"/>
          <w:sz w:val="20"/>
        </w:rPr>
        <w:t>made</w:t>
      </w:r>
      <w:r>
        <w:rPr>
          <w:rFonts w:ascii="Lucida Sans"/>
          <w:b/>
          <w:spacing w:val="-25"/>
          <w:w w:val="95"/>
          <w:sz w:val="20"/>
        </w:rPr>
        <w:t> </w:t>
      </w:r>
      <w:r>
        <w:rPr>
          <w:rFonts w:ascii="Lucida Sans"/>
          <w:b/>
          <w:w w:val="95"/>
          <w:sz w:val="20"/>
        </w:rPr>
        <w:t>without</w:t>
      </w:r>
      <w:r>
        <w:rPr>
          <w:rFonts w:ascii="Lucida Sans"/>
          <w:b/>
          <w:spacing w:val="-25"/>
          <w:w w:val="95"/>
          <w:sz w:val="20"/>
        </w:rPr>
        <w:t> </w:t>
      </w:r>
      <w:r>
        <w:rPr>
          <w:rFonts w:ascii="Lucida Sans"/>
          <w:b/>
          <w:w w:val="95"/>
          <w:sz w:val="20"/>
        </w:rPr>
        <w:t>production</w:t>
      </w:r>
      <w:r>
        <w:rPr>
          <w:rFonts w:ascii="Lucida Sans"/>
          <w:b/>
          <w:spacing w:val="-25"/>
          <w:w w:val="95"/>
          <w:sz w:val="20"/>
        </w:rPr>
        <w:t> </w:t>
      </w:r>
      <w:r>
        <w:rPr>
          <w:rFonts w:ascii="Lucida Sans"/>
          <w:b/>
          <w:w w:val="95"/>
          <w:sz w:val="20"/>
        </w:rPr>
        <w:t>of</w:t>
      </w:r>
      <w:r>
        <w:rPr>
          <w:rFonts w:ascii="Lucida Sans"/>
          <w:b/>
          <w:spacing w:val="-25"/>
          <w:w w:val="95"/>
          <w:sz w:val="20"/>
        </w:rPr>
        <w:t> </w:t>
      </w:r>
      <w:r>
        <w:rPr>
          <w:rFonts w:ascii="Lucida Sans"/>
          <w:b/>
          <w:w w:val="95"/>
          <w:sz w:val="20"/>
        </w:rPr>
        <w:t>a</w:t>
      </w:r>
      <w:r>
        <w:rPr>
          <w:rFonts w:ascii="Lucida Sans"/>
          <w:b/>
          <w:spacing w:val="-25"/>
          <w:w w:val="95"/>
          <w:sz w:val="20"/>
        </w:rPr>
        <w:t> </w:t>
      </w:r>
      <w:r>
        <w:rPr>
          <w:rFonts w:ascii="Lucida Sans"/>
          <w:b/>
          <w:w w:val="95"/>
          <w:sz w:val="20"/>
        </w:rPr>
        <w:t>grant</w:t>
      </w:r>
      <w:r>
        <w:rPr>
          <w:rFonts w:ascii="Lucida Sans"/>
          <w:b/>
          <w:spacing w:val="-25"/>
          <w:w w:val="95"/>
          <w:sz w:val="20"/>
        </w:rPr>
        <w:t> </w:t>
      </w:r>
      <w:r>
        <w:rPr>
          <w:rFonts w:ascii="Lucida Sans"/>
          <w:b/>
          <w:w w:val="95"/>
          <w:sz w:val="20"/>
        </w:rPr>
        <w:t>of </w:t>
      </w:r>
      <w:r>
        <w:rPr>
          <w:rFonts w:ascii="Lucida Sans"/>
          <w:b/>
          <w:sz w:val="20"/>
        </w:rPr>
        <w:t>representation</w:t>
      </w:r>
    </w:p>
    <w:p>
      <w:pPr>
        <w:pStyle w:val="ListParagraph"/>
        <w:numPr>
          <w:ilvl w:val="0"/>
          <w:numId w:val="143"/>
        </w:numPr>
        <w:tabs>
          <w:tab w:pos="3062" w:val="left" w:leader="none"/>
        </w:tabs>
        <w:spacing w:line="254" w:lineRule="auto" w:before="126" w:after="0"/>
        <w:ind w:left="3061" w:right="2073" w:hanging="340"/>
        <w:jc w:val="left"/>
        <w:rPr>
          <w:sz w:val="20"/>
        </w:rPr>
      </w:pPr>
      <w:r>
        <w:rPr>
          <w:w w:val="105"/>
          <w:sz w:val="20"/>
        </w:rPr>
        <w:t>This</w:t>
      </w:r>
      <w:r>
        <w:rPr>
          <w:spacing w:val="-9"/>
          <w:w w:val="105"/>
          <w:sz w:val="20"/>
        </w:rPr>
        <w:t> </w:t>
      </w:r>
      <w:r>
        <w:rPr>
          <w:w w:val="105"/>
          <w:sz w:val="20"/>
        </w:rPr>
        <w:t>section</w:t>
      </w:r>
      <w:r>
        <w:rPr>
          <w:spacing w:val="-8"/>
          <w:w w:val="105"/>
          <w:sz w:val="20"/>
        </w:rPr>
        <w:t> </w:t>
      </w:r>
      <w:r>
        <w:rPr>
          <w:w w:val="105"/>
          <w:sz w:val="20"/>
        </w:rPr>
        <w:t>applies</w:t>
      </w:r>
      <w:r>
        <w:rPr>
          <w:spacing w:val="-9"/>
          <w:w w:val="105"/>
          <w:sz w:val="20"/>
        </w:rPr>
        <w:t> </w:t>
      </w:r>
      <w:r>
        <w:rPr>
          <w:w w:val="105"/>
          <w:sz w:val="20"/>
        </w:rPr>
        <w:t>if</w:t>
      </w:r>
      <w:r>
        <w:rPr>
          <w:spacing w:val="-8"/>
          <w:w w:val="105"/>
          <w:sz w:val="20"/>
        </w:rPr>
        <w:t> </w:t>
      </w:r>
      <w:r>
        <w:rPr>
          <w:w w:val="105"/>
          <w:sz w:val="20"/>
        </w:rPr>
        <w:t>a</w:t>
      </w:r>
      <w:r>
        <w:rPr>
          <w:spacing w:val="-8"/>
          <w:w w:val="105"/>
          <w:sz w:val="20"/>
        </w:rPr>
        <w:t> </w:t>
      </w:r>
      <w:r>
        <w:rPr>
          <w:w w:val="105"/>
          <w:sz w:val="20"/>
        </w:rPr>
        <w:t>person</w:t>
      </w:r>
      <w:r>
        <w:rPr>
          <w:spacing w:val="-9"/>
          <w:w w:val="105"/>
          <w:sz w:val="20"/>
        </w:rPr>
        <w:t> </w:t>
      </w:r>
      <w:r>
        <w:rPr>
          <w:w w:val="105"/>
          <w:sz w:val="20"/>
        </w:rPr>
        <w:t>holds</w:t>
      </w:r>
      <w:r>
        <w:rPr>
          <w:spacing w:val="-8"/>
          <w:w w:val="105"/>
          <w:sz w:val="20"/>
        </w:rPr>
        <w:t> </w:t>
      </w:r>
      <w:r>
        <w:rPr>
          <w:w w:val="105"/>
          <w:sz w:val="20"/>
        </w:rPr>
        <w:t>money</w:t>
      </w:r>
      <w:r>
        <w:rPr>
          <w:spacing w:val="-9"/>
          <w:w w:val="105"/>
          <w:sz w:val="20"/>
        </w:rPr>
        <w:t> </w:t>
      </w:r>
      <w:r>
        <w:rPr>
          <w:w w:val="105"/>
          <w:sz w:val="20"/>
        </w:rPr>
        <w:t>or</w:t>
      </w:r>
      <w:r>
        <w:rPr>
          <w:spacing w:val="-8"/>
          <w:w w:val="105"/>
          <w:sz w:val="20"/>
        </w:rPr>
        <w:t> </w:t>
      </w:r>
      <w:r>
        <w:rPr>
          <w:w w:val="105"/>
          <w:sz w:val="20"/>
        </w:rPr>
        <w:t>personal</w:t>
      </w:r>
      <w:r>
        <w:rPr>
          <w:spacing w:val="-8"/>
          <w:w w:val="105"/>
          <w:sz w:val="20"/>
        </w:rPr>
        <w:t> </w:t>
      </w:r>
      <w:r>
        <w:rPr>
          <w:w w:val="105"/>
          <w:sz w:val="20"/>
        </w:rPr>
        <w:t>property</w:t>
      </w:r>
      <w:r>
        <w:rPr>
          <w:spacing w:val="-9"/>
          <w:w w:val="105"/>
          <w:sz w:val="20"/>
        </w:rPr>
        <w:t> </w:t>
      </w:r>
      <w:r>
        <w:rPr>
          <w:w w:val="105"/>
          <w:sz w:val="20"/>
        </w:rPr>
        <w:t>for</w:t>
      </w:r>
      <w:r>
        <w:rPr>
          <w:spacing w:val="-8"/>
          <w:w w:val="105"/>
          <w:sz w:val="20"/>
        </w:rPr>
        <w:t> </w:t>
      </w:r>
      <w:r>
        <w:rPr>
          <w:w w:val="105"/>
          <w:sz w:val="20"/>
        </w:rPr>
        <w:t>a</w:t>
      </w:r>
      <w:r>
        <w:rPr>
          <w:spacing w:val="-8"/>
          <w:w w:val="105"/>
          <w:sz w:val="20"/>
        </w:rPr>
        <w:t> </w:t>
      </w:r>
      <w:r>
        <w:rPr>
          <w:w w:val="105"/>
          <w:sz w:val="20"/>
        </w:rPr>
        <w:t>deceased person of not more than </w:t>
      </w:r>
      <w:r>
        <w:rPr>
          <w:spacing w:val="-4"/>
          <w:w w:val="105"/>
          <w:sz w:val="20"/>
        </w:rPr>
        <w:t>$15,000 </w:t>
      </w:r>
      <w:r>
        <w:rPr>
          <w:w w:val="105"/>
          <w:sz w:val="20"/>
        </w:rPr>
        <w:t>in</w:t>
      </w:r>
      <w:r>
        <w:rPr>
          <w:spacing w:val="41"/>
          <w:w w:val="105"/>
          <w:sz w:val="20"/>
        </w:rPr>
        <w:t> </w:t>
      </w:r>
      <w:r>
        <w:rPr>
          <w:spacing w:val="-3"/>
          <w:w w:val="105"/>
          <w:sz w:val="20"/>
        </w:rPr>
        <w:t>value.</w:t>
      </w:r>
    </w:p>
    <w:p>
      <w:pPr>
        <w:pStyle w:val="ListParagraph"/>
        <w:numPr>
          <w:ilvl w:val="0"/>
          <w:numId w:val="143"/>
        </w:numPr>
        <w:tabs>
          <w:tab w:pos="3062" w:val="left" w:leader="none"/>
        </w:tabs>
        <w:spacing w:line="254" w:lineRule="auto" w:before="122" w:after="0"/>
        <w:ind w:left="3061" w:right="1849" w:hanging="340"/>
        <w:jc w:val="left"/>
        <w:rPr>
          <w:sz w:val="20"/>
        </w:rPr>
      </w:pPr>
      <w:r>
        <w:rPr>
          <w:w w:val="105"/>
          <w:sz w:val="20"/>
        </w:rPr>
        <w:t>The person </w:t>
      </w:r>
      <w:r>
        <w:rPr>
          <w:spacing w:val="-5"/>
          <w:w w:val="105"/>
          <w:sz w:val="20"/>
        </w:rPr>
        <w:t>may, </w:t>
      </w:r>
      <w:r>
        <w:rPr>
          <w:w w:val="105"/>
          <w:sz w:val="20"/>
        </w:rPr>
        <w:t>without </w:t>
      </w:r>
      <w:r>
        <w:rPr>
          <w:spacing w:val="-2"/>
          <w:w w:val="105"/>
          <w:sz w:val="20"/>
        </w:rPr>
        <w:t>requiring </w:t>
      </w:r>
      <w:r>
        <w:rPr>
          <w:w w:val="105"/>
          <w:sz w:val="20"/>
        </w:rPr>
        <w:t>production of a </w:t>
      </w:r>
      <w:r>
        <w:rPr>
          <w:spacing w:val="-3"/>
          <w:w w:val="105"/>
          <w:sz w:val="20"/>
        </w:rPr>
        <w:t>grant </w:t>
      </w:r>
      <w:r>
        <w:rPr>
          <w:w w:val="105"/>
          <w:sz w:val="20"/>
        </w:rPr>
        <w:t>of representation, pay the</w:t>
      </w:r>
      <w:r>
        <w:rPr>
          <w:spacing w:val="-7"/>
          <w:w w:val="105"/>
          <w:sz w:val="20"/>
        </w:rPr>
        <w:t> </w:t>
      </w:r>
      <w:r>
        <w:rPr>
          <w:w w:val="105"/>
          <w:sz w:val="20"/>
        </w:rPr>
        <w:t>money</w:t>
      </w:r>
      <w:r>
        <w:rPr>
          <w:spacing w:val="-6"/>
          <w:w w:val="105"/>
          <w:sz w:val="20"/>
        </w:rPr>
        <w:t> </w:t>
      </w:r>
      <w:r>
        <w:rPr>
          <w:w w:val="105"/>
          <w:sz w:val="20"/>
        </w:rPr>
        <w:t>or</w:t>
      </w:r>
      <w:r>
        <w:rPr>
          <w:spacing w:val="-6"/>
          <w:w w:val="105"/>
          <w:sz w:val="20"/>
        </w:rPr>
        <w:t> </w:t>
      </w:r>
      <w:r>
        <w:rPr>
          <w:w w:val="105"/>
          <w:sz w:val="20"/>
        </w:rPr>
        <w:t>transfer</w:t>
      </w:r>
      <w:r>
        <w:rPr>
          <w:spacing w:val="-6"/>
          <w:w w:val="105"/>
          <w:sz w:val="20"/>
        </w:rPr>
        <w:t> </w:t>
      </w:r>
      <w:r>
        <w:rPr>
          <w:w w:val="105"/>
          <w:sz w:val="20"/>
        </w:rPr>
        <w:t>the</w:t>
      </w:r>
      <w:r>
        <w:rPr>
          <w:spacing w:val="-7"/>
          <w:w w:val="105"/>
          <w:sz w:val="20"/>
        </w:rPr>
        <w:t> </w:t>
      </w:r>
      <w:r>
        <w:rPr>
          <w:w w:val="105"/>
          <w:sz w:val="20"/>
        </w:rPr>
        <w:t>property</w:t>
      </w:r>
      <w:r>
        <w:rPr>
          <w:spacing w:val="-6"/>
          <w:w w:val="105"/>
          <w:sz w:val="20"/>
        </w:rPr>
        <w:t> </w:t>
      </w:r>
      <w:r>
        <w:rPr>
          <w:w w:val="105"/>
          <w:sz w:val="20"/>
        </w:rPr>
        <w:t>to</w:t>
      </w:r>
      <w:r>
        <w:rPr>
          <w:spacing w:val="-6"/>
          <w:w w:val="105"/>
          <w:sz w:val="20"/>
        </w:rPr>
        <w:t> </w:t>
      </w:r>
      <w:r>
        <w:rPr>
          <w:spacing w:val="-2"/>
          <w:w w:val="105"/>
          <w:sz w:val="20"/>
        </w:rPr>
        <w:t>any</w:t>
      </w:r>
      <w:r>
        <w:rPr>
          <w:spacing w:val="-6"/>
          <w:w w:val="105"/>
          <w:sz w:val="20"/>
        </w:rPr>
        <w:t> </w:t>
      </w:r>
      <w:r>
        <w:rPr>
          <w:w w:val="105"/>
          <w:sz w:val="20"/>
        </w:rPr>
        <w:t>of</w:t>
      </w:r>
      <w:r>
        <w:rPr>
          <w:spacing w:val="-6"/>
          <w:w w:val="105"/>
          <w:sz w:val="20"/>
        </w:rPr>
        <w:t> </w:t>
      </w:r>
      <w:r>
        <w:rPr>
          <w:w w:val="105"/>
          <w:sz w:val="20"/>
        </w:rPr>
        <w:t>the</w:t>
      </w:r>
      <w:r>
        <w:rPr>
          <w:spacing w:val="-7"/>
          <w:w w:val="105"/>
          <w:sz w:val="20"/>
        </w:rPr>
        <w:t> </w:t>
      </w:r>
      <w:r>
        <w:rPr>
          <w:w w:val="105"/>
          <w:sz w:val="20"/>
        </w:rPr>
        <w:t>following</w:t>
      </w:r>
      <w:r>
        <w:rPr>
          <w:spacing w:val="-6"/>
          <w:w w:val="105"/>
          <w:sz w:val="20"/>
        </w:rPr>
        <w:t> </w:t>
      </w:r>
      <w:r>
        <w:rPr>
          <w:w w:val="105"/>
          <w:sz w:val="20"/>
        </w:rPr>
        <w:t>persons</w:t>
      </w:r>
      <w:r>
        <w:rPr>
          <w:spacing w:val="-6"/>
          <w:w w:val="105"/>
          <w:sz w:val="20"/>
        </w:rPr>
        <w:t> </w:t>
      </w:r>
      <w:r>
        <w:rPr>
          <w:w w:val="105"/>
          <w:sz w:val="20"/>
        </w:rPr>
        <w:t>having</w:t>
      </w:r>
      <w:r>
        <w:rPr>
          <w:spacing w:val="-6"/>
          <w:w w:val="105"/>
          <w:sz w:val="20"/>
        </w:rPr>
        <w:t> </w:t>
      </w:r>
      <w:r>
        <w:rPr>
          <w:spacing w:val="-3"/>
          <w:w w:val="105"/>
          <w:sz w:val="20"/>
        </w:rPr>
        <w:t>full</w:t>
      </w:r>
      <w:r>
        <w:rPr>
          <w:spacing w:val="-6"/>
          <w:w w:val="105"/>
          <w:sz w:val="20"/>
        </w:rPr>
        <w:t> </w:t>
      </w:r>
      <w:r>
        <w:rPr>
          <w:w w:val="105"/>
          <w:sz w:val="20"/>
        </w:rPr>
        <w:t>legal capacity—</w:t>
      </w:r>
    </w:p>
    <w:p>
      <w:pPr>
        <w:pStyle w:val="ListParagraph"/>
        <w:numPr>
          <w:ilvl w:val="1"/>
          <w:numId w:val="143"/>
        </w:numPr>
        <w:tabs>
          <w:tab w:pos="3330" w:val="left" w:leader="none"/>
        </w:tabs>
        <w:spacing w:line="240" w:lineRule="auto" w:before="124" w:after="0"/>
        <w:ind w:left="3329" w:right="0" w:hanging="268"/>
        <w:jc w:val="left"/>
        <w:rPr>
          <w:sz w:val="20"/>
        </w:rPr>
      </w:pPr>
      <w:r>
        <w:rPr>
          <w:sz w:val="20"/>
        </w:rPr>
        <w:t>the</w:t>
      </w:r>
      <w:r>
        <w:rPr>
          <w:spacing w:val="9"/>
          <w:sz w:val="20"/>
        </w:rPr>
        <w:t> </w:t>
      </w:r>
      <w:r>
        <w:rPr>
          <w:sz w:val="20"/>
        </w:rPr>
        <w:t>surviving</w:t>
      </w:r>
      <w:r>
        <w:rPr>
          <w:spacing w:val="9"/>
          <w:sz w:val="20"/>
        </w:rPr>
        <w:t> </w:t>
      </w:r>
      <w:r>
        <w:rPr>
          <w:sz w:val="20"/>
        </w:rPr>
        <w:t>spouse</w:t>
      </w:r>
      <w:r>
        <w:rPr>
          <w:spacing w:val="9"/>
          <w:sz w:val="20"/>
        </w:rPr>
        <w:t> </w:t>
      </w:r>
      <w:r>
        <w:rPr>
          <w:sz w:val="20"/>
        </w:rPr>
        <w:t>[or</w:t>
      </w:r>
      <w:r>
        <w:rPr>
          <w:spacing w:val="9"/>
          <w:sz w:val="20"/>
        </w:rPr>
        <w:t> </w:t>
      </w:r>
      <w:r>
        <w:rPr>
          <w:sz w:val="20"/>
        </w:rPr>
        <w:t>domestic</w:t>
      </w:r>
      <w:r>
        <w:rPr>
          <w:spacing w:val="9"/>
          <w:sz w:val="20"/>
        </w:rPr>
        <w:t> </w:t>
      </w:r>
      <w:r>
        <w:rPr>
          <w:sz w:val="20"/>
        </w:rPr>
        <w:t>partner]</w:t>
      </w:r>
      <w:r>
        <w:rPr>
          <w:spacing w:val="9"/>
          <w:sz w:val="20"/>
        </w:rPr>
        <w:t> </w:t>
      </w:r>
      <w:r>
        <w:rPr>
          <w:sz w:val="20"/>
        </w:rPr>
        <w:t>of</w:t>
      </w:r>
      <w:r>
        <w:rPr>
          <w:spacing w:val="9"/>
          <w:sz w:val="20"/>
        </w:rPr>
        <w:t> </w:t>
      </w:r>
      <w:r>
        <w:rPr>
          <w:sz w:val="20"/>
        </w:rPr>
        <w:t>the</w:t>
      </w:r>
      <w:r>
        <w:rPr>
          <w:spacing w:val="9"/>
          <w:sz w:val="20"/>
        </w:rPr>
        <w:t> </w:t>
      </w:r>
      <w:r>
        <w:rPr>
          <w:sz w:val="20"/>
        </w:rPr>
        <w:t>deceased</w:t>
      </w:r>
      <w:r>
        <w:rPr>
          <w:spacing w:val="9"/>
          <w:sz w:val="20"/>
        </w:rPr>
        <w:t> </w:t>
      </w:r>
      <w:r>
        <w:rPr>
          <w:sz w:val="20"/>
        </w:rPr>
        <w:t>person;</w:t>
      </w:r>
    </w:p>
    <w:p>
      <w:pPr>
        <w:pStyle w:val="ListParagraph"/>
        <w:numPr>
          <w:ilvl w:val="1"/>
          <w:numId w:val="143"/>
        </w:numPr>
        <w:tabs>
          <w:tab w:pos="3343" w:val="left" w:leader="none"/>
        </w:tabs>
        <w:spacing w:line="240" w:lineRule="auto" w:before="135" w:after="0"/>
        <w:ind w:left="3342" w:right="0" w:hanging="281"/>
        <w:jc w:val="left"/>
        <w:rPr>
          <w:sz w:val="20"/>
        </w:rPr>
      </w:pPr>
      <w:r>
        <w:rPr>
          <w:w w:val="105"/>
          <w:sz w:val="20"/>
        </w:rPr>
        <w:t>a </w:t>
      </w:r>
      <w:r>
        <w:rPr>
          <w:spacing w:val="-3"/>
          <w:w w:val="105"/>
          <w:sz w:val="20"/>
        </w:rPr>
        <w:t>child </w:t>
      </w:r>
      <w:r>
        <w:rPr>
          <w:w w:val="105"/>
          <w:sz w:val="20"/>
        </w:rPr>
        <w:t>of the deceased person;</w:t>
      </w:r>
      <w:r>
        <w:rPr>
          <w:spacing w:val="34"/>
          <w:w w:val="105"/>
          <w:sz w:val="20"/>
        </w:rPr>
        <w:t> </w:t>
      </w:r>
      <w:r>
        <w:rPr>
          <w:w w:val="105"/>
          <w:sz w:val="20"/>
        </w:rPr>
        <w:t>or</w:t>
      </w:r>
    </w:p>
    <w:p>
      <w:pPr>
        <w:pStyle w:val="ListParagraph"/>
        <w:numPr>
          <w:ilvl w:val="1"/>
          <w:numId w:val="143"/>
        </w:numPr>
        <w:tabs>
          <w:tab w:pos="3316" w:val="left" w:leader="none"/>
        </w:tabs>
        <w:spacing w:line="240" w:lineRule="auto" w:before="136" w:after="0"/>
        <w:ind w:left="3315" w:right="0" w:hanging="254"/>
        <w:jc w:val="left"/>
        <w:rPr>
          <w:sz w:val="11"/>
        </w:rPr>
      </w:pPr>
      <w:r>
        <w:rPr>
          <w:w w:val="105"/>
          <w:sz w:val="20"/>
        </w:rPr>
        <w:t>another person who appears to be entitled to the money or personal</w:t>
      </w:r>
      <w:r>
        <w:rPr>
          <w:spacing w:val="26"/>
          <w:w w:val="105"/>
          <w:sz w:val="20"/>
        </w:rPr>
        <w:t> </w:t>
      </w:r>
      <w:r>
        <w:rPr>
          <w:spacing w:val="-3"/>
          <w:w w:val="105"/>
          <w:sz w:val="20"/>
        </w:rPr>
        <w:t>property.</w:t>
      </w:r>
      <w:r>
        <w:rPr>
          <w:spacing w:val="-3"/>
          <w:w w:val="105"/>
          <w:position w:val="7"/>
          <w:sz w:val="11"/>
        </w:rPr>
        <w:t>61</w:t>
      </w:r>
    </w:p>
    <w:p>
      <w:pPr>
        <w:pStyle w:val="ListParagraph"/>
        <w:numPr>
          <w:ilvl w:val="0"/>
          <w:numId w:val="143"/>
        </w:numPr>
        <w:tabs>
          <w:tab w:pos="3062" w:val="left" w:leader="none"/>
        </w:tabs>
        <w:spacing w:line="254" w:lineRule="auto" w:before="136" w:after="0"/>
        <w:ind w:left="3061" w:right="1782" w:hanging="340"/>
        <w:jc w:val="both"/>
        <w:rPr>
          <w:sz w:val="20"/>
        </w:rPr>
      </w:pPr>
      <w:r>
        <w:rPr>
          <w:w w:val="105"/>
          <w:sz w:val="20"/>
        </w:rPr>
        <w:t>A</w:t>
      </w:r>
      <w:r>
        <w:rPr>
          <w:spacing w:val="-8"/>
          <w:w w:val="105"/>
          <w:sz w:val="20"/>
        </w:rPr>
        <w:t> </w:t>
      </w:r>
      <w:r>
        <w:rPr>
          <w:w w:val="105"/>
          <w:sz w:val="20"/>
        </w:rPr>
        <w:t>payment</w:t>
      </w:r>
      <w:r>
        <w:rPr>
          <w:spacing w:val="-7"/>
          <w:w w:val="105"/>
          <w:sz w:val="20"/>
        </w:rPr>
        <w:t> </w:t>
      </w:r>
      <w:r>
        <w:rPr>
          <w:w w:val="105"/>
          <w:sz w:val="20"/>
        </w:rPr>
        <w:t>of</w:t>
      </w:r>
      <w:r>
        <w:rPr>
          <w:spacing w:val="-7"/>
          <w:w w:val="105"/>
          <w:sz w:val="20"/>
        </w:rPr>
        <w:t> </w:t>
      </w:r>
      <w:r>
        <w:rPr>
          <w:w w:val="105"/>
          <w:sz w:val="20"/>
        </w:rPr>
        <w:t>money</w:t>
      </w:r>
      <w:r>
        <w:rPr>
          <w:spacing w:val="-7"/>
          <w:w w:val="105"/>
          <w:sz w:val="20"/>
        </w:rPr>
        <w:t> </w:t>
      </w:r>
      <w:r>
        <w:rPr>
          <w:w w:val="105"/>
          <w:sz w:val="20"/>
        </w:rPr>
        <w:t>or</w:t>
      </w:r>
      <w:r>
        <w:rPr>
          <w:spacing w:val="-7"/>
          <w:w w:val="105"/>
          <w:sz w:val="20"/>
        </w:rPr>
        <w:t> </w:t>
      </w:r>
      <w:r>
        <w:rPr>
          <w:w w:val="105"/>
          <w:sz w:val="20"/>
        </w:rPr>
        <w:t>transfer</w:t>
      </w:r>
      <w:r>
        <w:rPr>
          <w:spacing w:val="-7"/>
          <w:w w:val="105"/>
          <w:sz w:val="20"/>
        </w:rPr>
        <w:t> </w:t>
      </w:r>
      <w:r>
        <w:rPr>
          <w:w w:val="105"/>
          <w:sz w:val="20"/>
        </w:rPr>
        <w:t>of</w:t>
      </w:r>
      <w:r>
        <w:rPr>
          <w:spacing w:val="-7"/>
          <w:w w:val="105"/>
          <w:sz w:val="20"/>
        </w:rPr>
        <w:t> </w:t>
      </w:r>
      <w:r>
        <w:rPr>
          <w:w w:val="105"/>
          <w:sz w:val="20"/>
        </w:rPr>
        <w:t>personal</w:t>
      </w:r>
      <w:r>
        <w:rPr>
          <w:spacing w:val="-7"/>
          <w:w w:val="105"/>
          <w:sz w:val="20"/>
        </w:rPr>
        <w:t> </w:t>
      </w:r>
      <w:r>
        <w:rPr>
          <w:w w:val="105"/>
          <w:sz w:val="20"/>
        </w:rPr>
        <w:t>property</w:t>
      </w:r>
      <w:r>
        <w:rPr>
          <w:spacing w:val="-7"/>
          <w:w w:val="105"/>
          <w:sz w:val="20"/>
        </w:rPr>
        <w:t> </w:t>
      </w:r>
      <w:r>
        <w:rPr>
          <w:w w:val="105"/>
          <w:sz w:val="20"/>
        </w:rPr>
        <w:t>under</w:t>
      </w:r>
      <w:r>
        <w:rPr>
          <w:spacing w:val="-7"/>
          <w:w w:val="105"/>
          <w:sz w:val="20"/>
        </w:rPr>
        <w:t> </w:t>
      </w:r>
      <w:r>
        <w:rPr>
          <w:w w:val="105"/>
          <w:sz w:val="20"/>
        </w:rPr>
        <w:t>subsection</w:t>
      </w:r>
      <w:r>
        <w:rPr>
          <w:spacing w:val="-7"/>
          <w:w w:val="105"/>
          <w:sz w:val="20"/>
        </w:rPr>
        <w:t> </w:t>
      </w:r>
      <w:r>
        <w:rPr>
          <w:w w:val="105"/>
          <w:sz w:val="20"/>
        </w:rPr>
        <w:t>(2),</w:t>
      </w:r>
      <w:r>
        <w:rPr>
          <w:spacing w:val="-8"/>
          <w:w w:val="105"/>
          <w:sz w:val="20"/>
        </w:rPr>
        <w:t> </w:t>
      </w:r>
      <w:r>
        <w:rPr>
          <w:w w:val="105"/>
          <w:sz w:val="20"/>
        </w:rPr>
        <w:t>if</w:t>
      </w:r>
      <w:r>
        <w:rPr>
          <w:spacing w:val="-7"/>
          <w:w w:val="105"/>
          <w:sz w:val="20"/>
        </w:rPr>
        <w:t> </w:t>
      </w:r>
      <w:r>
        <w:rPr>
          <w:w w:val="105"/>
          <w:sz w:val="20"/>
        </w:rPr>
        <w:t>made in</w:t>
      </w:r>
      <w:r>
        <w:rPr>
          <w:spacing w:val="-6"/>
          <w:w w:val="105"/>
          <w:sz w:val="20"/>
        </w:rPr>
        <w:t> </w:t>
      </w:r>
      <w:r>
        <w:rPr>
          <w:w w:val="105"/>
          <w:sz w:val="20"/>
        </w:rPr>
        <w:t>good</w:t>
      </w:r>
      <w:r>
        <w:rPr>
          <w:spacing w:val="-5"/>
          <w:w w:val="105"/>
          <w:sz w:val="20"/>
        </w:rPr>
        <w:t> </w:t>
      </w:r>
      <w:r>
        <w:rPr>
          <w:spacing w:val="-3"/>
          <w:w w:val="105"/>
          <w:sz w:val="20"/>
        </w:rPr>
        <w:t>faith,</w:t>
      </w:r>
      <w:r>
        <w:rPr>
          <w:spacing w:val="-5"/>
          <w:w w:val="105"/>
          <w:sz w:val="20"/>
        </w:rPr>
        <w:t> </w:t>
      </w:r>
      <w:r>
        <w:rPr>
          <w:w w:val="105"/>
          <w:sz w:val="20"/>
        </w:rPr>
        <w:t>is</w:t>
      </w:r>
      <w:r>
        <w:rPr>
          <w:spacing w:val="-5"/>
          <w:w w:val="105"/>
          <w:sz w:val="20"/>
        </w:rPr>
        <w:t> </w:t>
      </w:r>
      <w:r>
        <w:rPr>
          <w:w w:val="105"/>
          <w:sz w:val="20"/>
        </w:rPr>
        <w:t>a</w:t>
      </w:r>
      <w:r>
        <w:rPr>
          <w:spacing w:val="-5"/>
          <w:w w:val="105"/>
          <w:sz w:val="20"/>
        </w:rPr>
        <w:t> </w:t>
      </w:r>
      <w:r>
        <w:rPr>
          <w:w w:val="105"/>
          <w:sz w:val="20"/>
        </w:rPr>
        <w:t>complete</w:t>
      </w:r>
      <w:r>
        <w:rPr>
          <w:spacing w:val="-5"/>
          <w:w w:val="105"/>
          <w:sz w:val="20"/>
        </w:rPr>
        <w:t> </w:t>
      </w:r>
      <w:r>
        <w:rPr>
          <w:w w:val="105"/>
          <w:sz w:val="20"/>
        </w:rPr>
        <w:t>discharge</w:t>
      </w:r>
      <w:r>
        <w:rPr>
          <w:spacing w:val="-5"/>
          <w:w w:val="105"/>
          <w:sz w:val="20"/>
        </w:rPr>
        <w:t> </w:t>
      </w:r>
      <w:r>
        <w:rPr>
          <w:w w:val="105"/>
          <w:sz w:val="20"/>
        </w:rPr>
        <w:t>to</w:t>
      </w:r>
      <w:r>
        <w:rPr>
          <w:spacing w:val="-5"/>
          <w:w w:val="105"/>
          <w:sz w:val="20"/>
        </w:rPr>
        <w:t> </w:t>
      </w:r>
      <w:r>
        <w:rPr>
          <w:w w:val="105"/>
          <w:sz w:val="20"/>
        </w:rPr>
        <w:t>the</w:t>
      </w:r>
      <w:r>
        <w:rPr>
          <w:spacing w:val="-5"/>
          <w:w w:val="105"/>
          <w:sz w:val="20"/>
        </w:rPr>
        <w:t> </w:t>
      </w:r>
      <w:r>
        <w:rPr>
          <w:w w:val="105"/>
          <w:sz w:val="20"/>
        </w:rPr>
        <w:t>person</w:t>
      </w:r>
      <w:r>
        <w:rPr>
          <w:spacing w:val="-5"/>
          <w:w w:val="105"/>
          <w:sz w:val="20"/>
        </w:rPr>
        <w:t> </w:t>
      </w:r>
      <w:r>
        <w:rPr>
          <w:w w:val="105"/>
          <w:sz w:val="20"/>
        </w:rPr>
        <w:t>of</w:t>
      </w:r>
      <w:r>
        <w:rPr>
          <w:spacing w:val="-5"/>
          <w:w w:val="105"/>
          <w:sz w:val="20"/>
        </w:rPr>
        <w:t> </w:t>
      </w:r>
      <w:r>
        <w:rPr>
          <w:w w:val="105"/>
          <w:sz w:val="20"/>
        </w:rPr>
        <w:t>all</w:t>
      </w:r>
      <w:r>
        <w:rPr>
          <w:spacing w:val="-5"/>
          <w:w w:val="105"/>
          <w:sz w:val="20"/>
        </w:rPr>
        <w:t> </w:t>
      </w:r>
      <w:r>
        <w:rPr>
          <w:w w:val="105"/>
          <w:sz w:val="20"/>
        </w:rPr>
        <w:t>liability</w:t>
      </w:r>
      <w:r>
        <w:rPr>
          <w:spacing w:val="-5"/>
          <w:w w:val="105"/>
          <w:sz w:val="20"/>
        </w:rPr>
        <w:t> </w:t>
      </w:r>
      <w:r>
        <w:rPr>
          <w:w w:val="105"/>
          <w:sz w:val="20"/>
        </w:rPr>
        <w:t>for</w:t>
      </w:r>
      <w:r>
        <w:rPr>
          <w:spacing w:val="-5"/>
          <w:w w:val="105"/>
          <w:sz w:val="20"/>
        </w:rPr>
        <w:t> </w:t>
      </w:r>
      <w:r>
        <w:rPr>
          <w:w w:val="105"/>
          <w:sz w:val="20"/>
        </w:rPr>
        <w:t>the</w:t>
      </w:r>
      <w:r>
        <w:rPr>
          <w:spacing w:val="-6"/>
          <w:w w:val="105"/>
          <w:sz w:val="20"/>
        </w:rPr>
        <w:t> </w:t>
      </w:r>
      <w:r>
        <w:rPr>
          <w:w w:val="105"/>
          <w:sz w:val="20"/>
        </w:rPr>
        <w:t>money</w:t>
      </w:r>
      <w:r>
        <w:rPr>
          <w:spacing w:val="-5"/>
          <w:w w:val="105"/>
          <w:sz w:val="20"/>
        </w:rPr>
        <w:t> </w:t>
      </w:r>
      <w:r>
        <w:rPr>
          <w:w w:val="105"/>
          <w:sz w:val="20"/>
        </w:rPr>
        <w:t>and personal</w:t>
      </w:r>
      <w:r>
        <w:rPr>
          <w:spacing w:val="5"/>
          <w:w w:val="105"/>
          <w:sz w:val="20"/>
        </w:rPr>
        <w:t> </w:t>
      </w:r>
      <w:r>
        <w:rPr>
          <w:w w:val="105"/>
          <w:sz w:val="20"/>
        </w:rPr>
        <w:t>property.</w:t>
      </w:r>
    </w:p>
    <w:p>
      <w:pPr>
        <w:pStyle w:val="BodyText"/>
        <w:spacing w:before="8"/>
        <w:rPr>
          <w:sz w:val="25"/>
        </w:rPr>
      </w:pPr>
    </w:p>
    <w:p>
      <w:pPr>
        <w:pStyle w:val="Heading6"/>
      </w:pPr>
      <w:r>
        <w:rPr>
          <w:w w:val="120"/>
        </w:rPr>
        <w:t>Increasing limit on funds held and removing limit on the size of the estate</w:t>
      </w:r>
    </w:p>
    <w:p>
      <w:pPr>
        <w:pStyle w:val="ListParagraph"/>
        <w:numPr>
          <w:ilvl w:val="1"/>
          <w:numId w:val="22"/>
        </w:numPr>
        <w:tabs>
          <w:tab w:pos="2380" w:val="left" w:leader="none"/>
          <w:tab w:pos="2381" w:val="left" w:leader="none"/>
        </w:tabs>
        <w:spacing w:line="242" w:lineRule="auto" w:before="151" w:after="0"/>
        <w:ind w:left="2381" w:right="1617" w:hanging="794"/>
        <w:jc w:val="left"/>
        <w:rPr>
          <w:sz w:val="21"/>
        </w:rPr>
      </w:pPr>
      <w:r>
        <w:rPr>
          <w:w w:val="105"/>
          <w:sz w:val="21"/>
        </w:rPr>
        <w:t>The South </w:t>
      </w:r>
      <w:r>
        <w:rPr>
          <w:spacing w:val="-3"/>
          <w:w w:val="105"/>
          <w:sz w:val="21"/>
        </w:rPr>
        <w:t>Australian equivalent to </w:t>
      </w:r>
      <w:r>
        <w:rPr>
          <w:w w:val="105"/>
          <w:sz w:val="21"/>
        </w:rPr>
        <w:t>section </w:t>
      </w:r>
      <w:r>
        <w:rPr>
          <w:spacing w:val="-4"/>
          <w:w w:val="105"/>
          <w:sz w:val="21"/>
        </w:rPr>
        <w:t>32 </w:t>
      </w:r>
      <w:r>
        <w:rPr>
          <w:w w:val="105"/>
          <w:sz w:val="21"/>
        </w:rPr>
        <w:t>of the Victorian </w:t>
      </w:r>
      <w:r>
        <w:rPr>
          <w:spacing w:val="-3"/>
          <w:w w:val="105"/>
          <w:sz w:val="21"/>
        </w:rPr>
        <w:t>Administration </w:t>
      </w:r>
      <w:r>
        <w:rPr>
          <w:w w:val="105"/>
          <w:sz w:val="21"/>
        </w:rPr>
        <w:t>and </w:t>
      </w:r>
      <w:r>
        <w:rPr>
          <w:spacing w:val="-3"/>
          <w:w w:val="105"/>
          <w:sz w:val="21"/>
        </w:rPr>
        <w:t>Probate </w:t>
      </w:r>
      <w:r>
        <w:rPr>
          <w:w w:val="105"/>
          <w:sz w:val="21"/>
        </w:rPr>
        <w:t>Act</w:t>
      </w:r>
      <w:r>
        <w:rPr>
          <w:spacing w:val="-8"/>
          <w:w w:val="105"/>
          <w:sz w:val="21"/>
        </w:rPr>
        <w:t> </w:t>
      </w:r>
      <w:r>
        <w:rPr>
          <w:w w:val="105"/>
          <w:sz w:val="21"/>
        </w:rPr>
        <w:t>extends</w:t>
      </w:r>
      <w:r>
        <w:rPr>
          <w:spacing w:val="-8"/>
          <w:w w:val="105"/>
          <w:sz w:val="21"/>
        </w:rPr>
        <w:t> </w:t>
      </w:r>
      <w:r>
        <w:rPr>
          <w:spacing w:val="-3"/>
          <w:w w:val="105"/>
          <w:sz w:val="21"/>
        </w:rPr>
        <w:t>to</w:t>
      </w:r>
      <w:r>
        <w:rPr>
          <w:spacing w:val="-7"/>
          <w:w w:val="105"/>
          <w:sz w:val="21"/>
        </w:rPr>
        <w:t> </w:t>
      </w:r>
      <w:r>
        <w:rPr>
          <w:w w:val="105"/>
          <w:sz w:val="21"/>
        </w:rPr>
        <w:t>money</w:t>
      </w:r>
      <w:r>
        <w:rPr>
          <w:spacing w:val="-8"/>
          <w:w w:val="105"/>
          <w:sz w:val="21"/>
        </w:rPr>
        <w:t> </w:t>
      </w:r>
      <w:r>
        <w:rPr>
          <w:w w:val="105"/>
          <w:sz w:val="21"/>
        </w:rPr>
        <w:t>of</w:t>
      </w:r>
      <w:r>
        <w:rPr>
          <w:spacing w:val="-7"/>
          <w:w w:val="105"/>
          <w:sz w:val="21"/>
        </w:rPr>
        <w:t> </w:t>
      </w:r>
      <w:r>
        <w:rPr>
          <w:w w:val="105"/>
          <w:sz w:val="21"/>
        </w:rPr>
        <w:t>deceased</w:t>
      </w:r>
      <w:r>
        <w:rPr>
          <w:spacing w:val="-8"/>
          <w:w w:val="105"/>
          <w:sz w:val="21"/>
        </w:rPr>
        <w:t> </w:t>
      </w:r>
      <w:r>
        <w:rPr>
          <w:w w:val="105"/>
          <w:sz w:val="21"/>
        </w:rPr>
        <w:t>patients</w:t>
      </w:r>
      <w:r>
        <w:rPr>
          <w:spacing w:val="-8"/>
          <w:w w:val="105"/>
          <w:sz w:val="21"/>
        </w:rPr>
        <w:t> </w:t>
      </w:r>
      <w:r>
        <w:rPr>
          <w:w w:val="105"/>
          <w:sz w:val="21"/>
        </w:rPr>
        <w:t>held</w:t>
      </w:r>
      <w:r>
        <w:rPr>
          <w:spacing w:val="-7"/>
          <w:w w:val="105"/>
          <w:sz w:val="21"/>
        </w:rPr>
        <w:t> </w:t>
      </w:r>
      <w:r>
        <w:rPr>
          <w:w w:val="105"/>
          <w:sz w:val="21"/>
        </w:rPr>
        <w:t>by</w:t>
      </w:r>
      <w:r>
        <w:rPr>
          <w:spacing w:val="-8"/>
          <w:w w:val="105"/>
          <w:sz w:val="21"/>
        </w:rPr>
        <w:t> </w:t>
      </w:r>
      <w:r>
        <w:rPr>
          <w:spacing w:val="-3"/>
          <w:w w:val="105"/>
          <w:sz w:val="21"/>
        </w:rPr>
        <w:t>public</w:t>
      </w:r>
      <w:r>
        <w:rPr>
          <w:spacing w:val="-7"/>
          <w:w w:val="105"/>
          <w:sz w:val="21"/>
        </w:rPr>
        <w:t> </w:t>
      </w:r>
      <w:r>
        <w:rPr>
          <w:w w:val="105"/>
          <w:sz w:val="21"/>
        </w:rPr>
        <w:t>hospitals,</w:t>
      </w:r>
      <w:r>
        <w:rPr>
          <w:spacing w:val="-8"/>
          <w:w w:val="105"/>
          <w:sz w:val="21"/>
        </w:rPr>
        <w:t> </w:t>
      </w:r>
      <w:r>
        <w:rPr>
          <w:w w:val="105"/>
          <w:sz w:val="21"/>
        </w:rPr>
        <w:t>but</w:t>
      </w:r>
      <w:r>
        <w:rPr>
          <w:spacing w:val="-7"/>
          <w:w w:val="105"/>
          <w:sz w:val="21"/>
        </w:rPr>
        <w:t> </w:t>
      </w:r>
      <w:r>
        <w:rPr>
          <w:w w:val="105"/>
          <w:sz w:val="21"/>
        </w:rPr>
        <w:t>is</w:t>
      </w:r>
      <w:r>
        <w:rPr>
          <w:spacing w:val="-8"/>
          <w:w w:val="105"/>
          <w:sz w:val="21"/>
        </w:rPr>
        <w:t> </w:t>
      </w:r>
      <w:r>
        <w:rPr>
          <w:spacing w:val="-3"/>
          <w:w w:val="105"/>
          <w:sz w:val="21"/>
        </w:rPr>
        <w:t>limited</w:t>
      </w:r>
      <w:r>
        <w:rPr>
          <w:spacing w:val="-8"/>
          <w:w w:val="105"/>
          <w:sz w:val="21"/>
        </w:rPr>
        <w:t> </w:t>
      </w:r>
      <w:r>
        <w:rPr>
          <w:spacing w:val="-3"/>
          <w:w w:val="105"/>
          <w:sz w:val="21"/>
        </w:rPr>
        <w:t>to</w:t>
      </w:r>
      <w:r>
        <w:rPr>
          <w:spacing w:val="-7"/>
          <w:w w:val="105"/>
          <w:sz w:val="21"/>
        </w:rPr>
        <w:t> </w:t>
      </w:r>
      <w:r>
        <w:rPr>
          <w:spacing w:val="-3"/>
          <w:w w:val="105"/>
          <w:sz w:val="21"/>
        </w:rPr>
        <w:t>sums </w:t>
      </w:r>
      <w:r>
        <w:rPr>
          <w:w w:val="105"/>
          <w:sz w:val="21"/>
        </w:rPr>
        <w:t>of under $2000.</w:t>
      </w:r>
      <w:r>
        <w:rPr>
          <w:w w:val="105"/>
          <w:position w:val="7"/>
          <w:sz w:val="12"/>
        </w:rPr>
        <w:t>62 </w:t>
      </w:r>
      <w:r>
        <w:rPr>
          <w:w w:val="105"/>
          <w:sz w:val="21"/>
        </w:rPr>
        <w:t>South </w:t>
      </w:r>
      <w:r>
        <w:rPr>
          <w:spacing w:val="-3"/>
          <w:w w:val="105"/>
          <w:sz w:val="21"/>
        </w:rPr>
        <w:t>Australia </w:t>
      </w:r>
      <w:r>
        <w:rPr>
          <w:w w:val="105"/>
          <w:sz w:val="21"/>
        </w:rPr>
        <w:t>and Western </w:t>
      </w:r>
      <w:r>
        <w:rPr>
          <w:spacing w:val="-3"/>
          <w:w w:val="105"/>
          <w:sz w:val="21"/>
        </w:rPr>
        <w:t>Australia </w:t>
      </w:r>
      <w:r>
        <w:rPr>
          <w:w w:val="105"/>
          <w:sz w:val="21"/>
        </w:rPr>
        <w:t>also </w:t>
      </w:r>
      <w:r>
        <w:rPr>
          <w:spacing w:val="-3"/>
          <w:w w:val="105"/>
          <w:sz w:val="21"/>
        </w:rPr>
        <w:t>have </w:t>
      </w:r>
      <w:r>
        <w:rPr>
          <w:w w:val="105"/>
          <w:sz w:val="21"/>
        </w:rPr>
        <w:t>specific </w:t>
      </w:r>
      <w:r>
        <w:rPr>
          <w:spacing w:val="-3"/>
          <w:w w:val="105"/>
          <w:sz w:val="21"/>
        </w:rPr>
        <w:t>provisions allowing </w:t>
      </w:r>
      <w:r>
        <w:rPr>
          <w:w w:val="105"/>
          <w:sz w:val="21"/>
        </w:rPr>
        <w:t>banks </w:t>
      </w:r>
      <w:r>
        <w:rPr>
          <w:spacing w:val="-3"/>
          <w:w w:val="105"/>
          <w:sz w:val="21"/>
        </w:rPr>
        <w:t>to </w:t>
      </w:r>
      <w:r>
        <w:rPr>
          <w:w w:val="105"/>
          <w:sz w:val="21"/>
        </w:rPr>
        <w:t>be </w:t>
      </w:r>
      <w:r>
        <w:rPr>
          <w:spacing w:val="-3"/>
          <w:w w:val="105"/>
          <w:sz w:val="21"/>
        </w:rPr>
        <w:t>discharged from liability for </w:t>
      </w:r>
      <w:r>
        <w:rPr>
          <w:w w:val="105"/>
          <w:sz w:val="21"/>
        </w:rPr>
        <w:t>the payment of </w:t>
      </w:r>
      <w:r>
        <w:rPr>
          <w:spacing w:val="-3"/>
          <w:w w:val="105"/>
          <w:sz w:val="21"/>
        </w:rPr>
        <w:t>smaller </w:t>
      </w:r>
      <w:r>
        <w:rPr>
          <w:w w:val="105"/>
          <w:sz w:val="21"/>
        </w:rPr>
        <w:t>amounts,</w:t>
      </w:r>
      <w:r>
        <w:rPr>
          <w:spacing w:val="-11"/>
          <w:w w:val="105"/>
          <w:sz w:val="21"/>
        </w:rPr>
        <w:t> </w:t>
      </w:r>
      <w:r>
        <w:rPr>
          <w:w w:val="105"/>
          <w:sz w:val="21"/>
        </w:rPr>
        <w:t>under</w:t>
      </w:r>
    </w:p>
    <w:p>
      <w:pPr>
        <w:pStyle w:val="BodyText"/>
        <w:spacing w:before="4"/>
        <w:ind w:left="2381"/>
        <w:rPr>
          <w:sz w:val="12"/>
        </w:rPr>
      </w:pPr>
      <w:r>
        <w:rPr>
          <w:w w:val="105"/>
        </w:rPr>
        <w:t>$2000 and $50,000 respectively.</w:t>
      </w:r>
      <w:r>
        <w:rPr>
          <w:w w:val="105"/>
          <w:position w:val="7"/>
          <w:sz w:val="12"/>
        </w:rPr>
        <w:t>63</w:t>
      </w:r>
    </w:p>
    <w:p>
      <w:pPr>
        <w:pStyle w:val="ListParagraph"/>
        <w:numPr>
          <w:ilvl w:val="1"/>
          <w:numId w:val="22"/>
        </w:numPr>
        <w:tabs>
          <w:tab w:pos="2381" w:val="left" w:leader="none"/>
          <w:tab w:pos="2382" w:val="left" w:leader="none"/>
        </w:tabs>
        <w:spacing w:line="242" w:lineRule="auto" w:before="124" w:after="0"/>
        <w:ind w:left="2381" w:right="1721" w:hanging="794"/>
        <w:jc w:val="left"/>
        <w:rPr>
          <w:sz w:val="12"/>
        </w:rPr>
      </w:pPr>
      <w:r>
        <w:rPr>
          <w:sz w:val="21"/>
        </w:rPr>
        <w:t>The </w:t>
      </w:r>
      <w:r>
        <w:rPr>
          <w:spacing w:val="-5"/>
          <w:sz w:val="21"/>
        </w:rPr>
        <w:t>$15,000 </w:t>
      </w:r>
      <w:r>
        <w:rPr>
          <w:spacing w:val="-3"/>
          <w:sz w:val="21"/>
        </w:rPr>
        <w:t>limit </w:t>
      </w:r>
      <w:r>
        <w:rPr>
          <w:sz w:val="21"/>
        </w:rPr>
        <w:t>in the model </w:t>
      </w:r>
      <w:r>
        <w:rPr>
          <w:spacing w:val="-3"/>
          <w:sz w:val="21"/>
        </w:rPr>
        <w:t>provision </w:t>
      </w:r>
      <w:r>
        <w:rPr>
          <w:sz w:val="21"/>
        </w:rPr>
        <w:t>reflected the  </w:t>
      </w:r>
      <w:r>
        <w:rPr>
          <w:spacing w:val="-3"/>
          <w:sz w:val="21"/>
        </w:rPr>
        <w:t>National  </w:t>
      </w:r>
      <w:r>
        <w:rPr>
          <w:spacing w:val="-4"/>
          <w:sz w:val="21"/>
        </w:rPr>
        <w:t>Committee’s  </w:t>
      </w:r>
      <w:r>
        <w:rPr>
          <w:sz w:val="21"/>
        </w:rPr>
        <w:t>view  </w:t>
      </w:r>
      <w:r>
        <w:rPr>
          <w:spacing w:val="-3"/>
          <w:sz w:val="21"/>
        </w:rPr>
        <w:t>that </w:t>
      </w:r>
      <w:r>
        <w:rPr>
          <w:sz w:val="21"/>
        </w:rPr>
        <w:t>most </w:t>
      </w:r>
      <w:r>
        <w:rPr>
          <w:spacing w:val="-3"/>
          <w:sz w:val="21"/>
        </w:rPr>
        <w:t>jurisdictions’ </w:t>
      </w:r>
      <w:r>
        <w:rPr>
          <w:spacing w:val="-2"/>
          <w:sz w:val="21"/>
        </w:rPr>
        <w:t>limits </w:t>
      </w:r>
      <w:r>
        <w:rPr>
          <w:sz w:val="21"/>
        </w:rPr>
        <w:t>of </w:t>
      </w:r>
      <w:r>
        <w:rPr>
          <w:spacing w:val="-3"/>
          <w:sz w:val="21"/>
        </w:rPr>
        <w:t>around  </w:t>
      </w:r>
      <w:r>
        <w:rPr>
          <w:sz w:val="21"/>
        </w:rPr>
        <w:t>$5000 </w:t>
      </w:r>
      <w:r>
        <w:rPr>
          <w:spacing w:val="-3"/>
          <w:sz w:val="21"/>
        </w:rPr>
        <w:t>were</w:t>
      </w:r>
      <w:r>
        <w:rPr>
          <w:spacing w:val="41"/>
          <w:sz w:val="21"/>
        </w:rPr>
        <w:t> </w:t>
      </w:r>
      <w:r>
        <w:rPr>
          <w:spacing w:val="-3"/>
          <w:sz w:val="21"/>
        </w:rPr>
        <w:t>far  </w:t>
      </w:r>
      <w:r>
        <w:rPr>
          <w:sz w:val="21"/>
        </w:rPr>
        <w:t>too </w:t>
      </w:r>
      <w:r>
        <w:rPr>
          <w:spacing w:val="-3"/>
          <w:sz w:val="21"/>
        </w:rPr>
        <w:t>low.</w:t>
      </w:r>
      <w:r>
        <w:rPr>
          <w:spacing w:val="-3"/>
          <w:position w:val="7"/>
          <w:sz w:val="12"/>
        </w:rPr>
        <w:t>64  </w:t>
      </w:r>
      <w:r>
        <w:rPr>
          <w:sz w:val="21"/>
        </w:rPr>
        <w:t>Although </w:t>
      </w:r>
      <w:r>
        <w:rPr>
          <w:spacing w:val="-3"/>
          <w:sz w:val="21"/>
        </w:rPr>
        <w:t>Victoria’s  </w:t>
      </w:r>
      <w:r>
        <w:rPr>
          <w:sz w:val="21"/>
        </w:rPr>
        <w:t>section  </w:t>
      </w:r>
      <w:r>
        <w:rPr>
          <w:spacing w:val="-4"/>
          <w:sz w:val="21"/>
        </w:rPr>
        <w:t>32 </w:t>
      </w:r>
      <w:r>
        <w:rPr>
          <w:sz w:val="21"/>
        </w:rPr>
        <w:t>is used as the model, the </w:t>
      </w:r>
      <w:r>
        <w:rPr>
          <w:spacing w:val="-6"/>
          <w:sz w:val="21"/>
        </w:rPr>
        <w:t>$12,500 </w:t>
      </w:r>
      <w:r>
        <w:rPr>
          <w:sz w:val="21"/>
        </w:rPr>
        <w:t>payment </w:t>
      </w:r>
      <w:r>
        <w:rPr>
          <w:spacing w:val="-3"/>
          <w:sz w:val="21"/>
        </w:rPr>
        <w:t>limit </w:t>
      </w:r>
      <w:r>
        <w:rPr>
          <w:sz w:val="21"/>
        </w:rPr>
        <w:t>in the  Victorian  </w:t>
      </w:r>
      <w:r>
        <w:rPr>
          <w:spacing w:val="-3"/>
          <w:sz w:val="21"/>
        </w:rPr>
        <w:t>provision  </w:t>
      </w:r>
      <w:r>
        <w:rPr>
          <w:sz w:val="21"/>
        </w:rPr>
        <w:t>was described as a </w:t>
      </w:r>
      <w:r>
        <w:rPr>
          <w:spacing w:val="-3"/>
          <w:sz w:val="21"/>
        </w:rPr>
        <w:t>‘significant </w:t>
      </w:r>
      <w:r>
        <w:rPr>
          <w:sz w:val="21"/>
        </w:rPr>
        <w:t>restriction’ on the </w:t>
      </w:r>
      <w:r>
        <w:rPr>
          <w:spacing w:val="-4"/>
          <w:sz w:val="21"/>
        </w:rPr>
        <w:t>provision’s</w:t>
      </w:r>
      <w:r>
        <w:rPr>
          <w:spacing w:val="-1"/>
          <w:sz w:val="21"/>
        </w:rPr>
        <w:t> </w:t>
      </w:r>
      <w:r>
        <w:rPr>
          <w:spacing w:val="-4"/>
          <w:sz w:val="21"/>
        </w:rPr>
        <w:t>utility.</w:t>
      </w:r>
      <w:r>
        <w:rPr>
          <w:spacing w:val="-4"/>
          <w:position w:val="7"/>
          <w:sz w:val="12"/>
        </w:rPr>
        <w:t>65</w:t>
      </w:r>
    </w:p>
    <w:p>
      <w:pPr>
        <w:pStyle w:val="ListParagraph"/>
        <w:numPr>
          <w:ilvl w:val="1"/>
          <w:numId w:val="22"/>
        </w:numPr>
        <w:tabs>
          <w:tab w:pos="2380" w:val="left" w:leader="none"/>
          <w:tab w:pos="2381" w:val="left" w:leader="none"/>
        </w:tabs>
        <w:spacing w:line="242" w:lineRule="auto" w:before="125" w:after="0"/>
        <w:ind w:left="2380" w:right="2230" w:hanging="793"/>
        <w:jc w:val="left"/>
        <w:rPr>
          <w:sz w:val="12"/>
        </w:rPr>
      </w:pPr>
      <w:r>
        <w:rPr>
          <w:sz w:val="21"/>
        </w:rPr>
        <w:t>Section 69AA of the </w:t>
      </w:r>
      <w:r>
        <w:rPr>
          <w:i/>
          <w:sz w:val="21"/>
        </w:rPr>
        <w:t>Banking Act </w:t>
      </w:r>
      <w:r>
        <w:rPr>
          <w:i/>
          <w:spacing w:val="-6"/>
          <w:sz w:val="21"/>
        </w:rPr>
        <w:t>1959 </w:t>
      </w:r>
      <w:r>
        <w:rPr>
          <w:sz w:val="21"/>
        </w:rPr>
        <w:t>(Cth) provides </w:t>
      </w:r>
      <w:r>
        <w:rPr>
          <w:spacing w:val="-3"/>
          <w:sz w:val="21"/>
        </w:rPr>
        <w:t>for </w:t>
      </w:r>
      <w:r>
        <w:rPr>
          <w:sz w:val="21"/>
        </w:rPr>
        <w:t>release of </w:t>
      </w:r>
      <w:r>
        <w:rPr>
          <w:spacing w:val="-3"/>
          <w:sz w:val="21"/>
        </w:rPr>
        <w:t>funds, </w:t>
      </w:r>
      <w:r>
        <w:rPr>
          <w:sz w:val="21"/>
        </w:rPr>
        <w:t>without production of the </w:t>
      </w:r>
      <w:r>
        <w:rPr>
          <w:spacing w:val="-3"/>
          <w:sz w:val="21"/>
        </w:rPr>
        <w:t>will </w:t>
      </w:r>
      <w:r>
        <w:rPr>
          <w:sz w:val="21"/>
        </w:rPr>
        <w:t>or a </w:t>
      </w:r>
      <w:r>
        <w:rPr>
          <w:spacing w:val="-3"/>
          <w:sz w:val="21"/>
        </w:rPr>
        <w:t>grant </w:t>
      </w:r>
      <w:r>
        <w:rPr>
          <w:sz w:val="21"/>
        </w:rPr>
        <w:t>of </w:t>
      </w:r>
      <w:r>
        <w:rPr>
          <w:spacing w:val="-3"/>
          <w:sz w:val="21"/>
        </w:rPr>
        <w:t>representation, </w:t>
      </w:r>
      <w:r>
        <w:rPr>
          <w:sz w:val="21"/>
        </w:rPr>
        <w:t>of up </w:t>
      </w:r>
      <w:r>
        <w:rPr>
          <w:spacing w:val="-3"/>
          <w:sz w:val="21"/>
        </w:rPr>
        <w:t>to </w:t>
      </w:r>
      <w:r>
        <w:rPr>
          <w:spacing w:val="-5"/>
          <w:sz w:val="21"/>
        </w:rPr>
        <w:t>$15,000 </w:t>
      </w:r>
      <w:r>
        <w:rPr>
          <w:sz w:val="21"/>
        </w:rPr>
        <w:t>in certain </w:t>
      </w:r>
      <w:r>
        <w:rPr>
          <w:spacing w:val="-3"/>
          <w:sz w:val="21"/>
        </w:rPr>
        <w:t>circumstances.  </w:t>
      </w:r>
      <w:r>
        <w:rPr>
          <w:sz w:val="21"/>
        </w:rPr>
        <w:t>It prescribes </w:t>
      </w:r>
      <w:r>
        <w:rPr>
          <w:spacing w:val="-3"/>
          <w:sz w:val="21"/>
        </w:rPr>
        <w:t>that</w:t>
      </w:r>
      <w:r>
        <w:rPr>
          <w:spacing w:val="41"/>
          <w:sz w:val="21"/>
        </w:rPr>
        <w:t> </w:t>
      </w:r>
      <w:r>
        <w:rPr>
          <w:sz w:val="21"/>
        </w:rPr>
        <w:t>no action lies </w:t>
      </w:r>
      <w:r>
        <w:rPr>
          <w:spacing w:val="-3"/>
          <w:sz w:val="21"/>
        </w:rPr>
        <w:t>against  </w:t>
      </w:r>
      <w:r>
        <w:rPr>
          <w:sz w:val="21"/>
        </w:rPr>
        <w:t>a bank </w:t>
      </w:r>
      <w:r>
        <w:rPr>
          <w:spacing w:val="-3"/>
          <w:sz w:val="21"/>
        </w:rPr>
        <w:t>for  </w:t>
      </w:r>
      <w:r>
        <w:rPr>
          <w:sz w:val="21"/>
        </w:rPr>
        <w:t>acting or </w:t>
      </w:r>
      <w:r>
        <w:rPr>
          <w:spacing w:val="-4"/>
          <w:sz w:val="21"/>
        </w:rPr>
        <w:t>failing     </w:t>
      </w:r>
      <w:r>
        <w:rPr>
          <w:spacing w:val="-3"/>
          <w:sz w:val="21"/>
        </w:rPr>
        <w:t>to </w:t>
      </w:r>
      <w:r>
        <w:rPr>
          <w:sz w:val="21"/>
        </w:rPr>
        <w:t>act under the</w:t>
      </w:r>
      <w:r>
        <w:rPr>
          <w:spacing w:val="37"/>
          <w:sz w:val="21"/>
        </w:rPr>
        <w:t> </w:t>
      </w:r>
      <w:r>
        <w:rPr>
          <w:sz w:val="21"/>
        </w:rPr>
        <w:t>section.</w:t>
      </w:r>
      <w:r>
        <w:rPr>
          <w:position w:val="7"/>
          <w:sz w:val="12"/>
        </w:rPr>
        <w:t>66</w:t>
      </w:r>
    </w:p>
    <w:p>
      <w:pPr>
        <w:pStyle w:val="BodyText"/>
        <w:spacing w:before="6"/>
        <w:rPr>
          <w:sz w:val="8"/>
        </w:rPr>
      </w:pPr>
      <w:r>
        <w:rPr/>
        <w:pict>
          <v:line style="position:absolute;mso-position-horizontal-relative:page;mso-position-vertical-relative:paragraph;z-index:11744;mso-wrap-distance-left:0;mso-wrap-distance-right:0" from="79.370102pt,7.676026pt" to="515.905102pt,7.676026pt" stroked="true" strokeweight="1pt" strokecolor="#f9ceca">
            <v:stroke dashstyle="solid"/>
            <w10:wrap type="topAndBottom"/>
          </v:line>
        </w:pict>
      </w:r>
    </w:p>
    <w:p>
      <w:pPr>
        <w:pStyle w:val="BodyText"/>
        <w:spacing w:before="8"/>
        <w:rPr>
          <w:sz w:val="5"/>
        </w:rPr>
      </w:pPr>
    </w:p>
    <w:p>
      <w:pPr>
        <w:spacing w:after="0"/>
        <w:rPr>
          <w:sz w:val="5"/>
        </w:rPr>
        <w:sectPr>
          <w:pgSz w:w="11910" w:h="16840"/>
          <w:pgMar w:header="805" w:footer="0" w:top="1360" w:bottom="280" w:left="0" w:right="0"/>
        </w:sectPr>
      </w:pPr>
    </w:p>
    <w:p>
      <w:pPr>
        <w:pStyle w:val="ListParagraph"/>
        <w:numPr>
          <w:ilvl w:val="0"/>
          <w:numId w:val="140"/>
        </w:numPr>
        <w:tabs>
          <w:tab w:pos="2381" w:val="left" w:leader="none"/>
          <w:tab w:pos="2382" w:val="left" w:leader="none"/>
        </w:tabs>
        <w:spacing w:line="240" w:lineRule="auto" w:before="48" w:after="0"/>
        <w:ind w:left="2381" w:right="0" w:hanging="794"/>
        <w:jc w:val="left"/>
        <w:rPr>
          <w:sz w:val="13"/>
        </w:rPr>
      </w:pPr>
      <w:r>
        <w:rPr>
          <w:w w:val="105"/>
          <w:sz w:val="13"/>
        </w:rPr>
        <w:t>National</w:t>
      </w:r>
      <w:r>
        <w:rPr>
          <w:spacing w:val="5"/>
          <w:w w:val="105"/>
          <w:sz w:val="13"/>
        </w:rPr>
        <w:t> </w:t>
      </w:r>
      <w:r>
        <w:rPr>
          <w:w w:val="105"/>
          <w:sz w:val="13"/>
        </w:rPr>
        <w:t>Committee</w:t>
      </w:r>
      <w:r>
        <w:rPr>
          <w:spacing w:val="5"/>
          <w:w w:val="105"/>
          <w:sz w:val="13"/>
        </w:rPr>
        <w:t> </w:t>
      </w:r>
      <w:r>
        <w:rPr>
          <w:w w:val="105"/>
          <w:sz w:val="13"/>
        </w:rPr>
        <w:t>for</w:t>
      </w:r>
      <w:r>
        <w:rPr>
          <w:spacing w:val="5"/>
          <w:w w:val="105"/>
          <w:sz w:val="13"/>
        </w:rPr>
        <w:t> </w:t>
      </w:r>
      <w:r>
        <w:rPr>
          <w:w w:val="105"/>
          <w:sz w:val="13"/>
        </w:rPr>
        <w:t>Uniform</w:t>
      </w:r>
      <w:r>
        <w:rPr>
          <w:spacing w:val="5"/>
          <w:w w:val="105"/>
          <w:sz w:val="13"/>
        </w:rPr>
        <w:t> </w:t>
      </w:r>
      <w:r>
        <w:rPr>
          <w:w w:val="105"/>
          <w:sz w:val="13"/>
        </w:rPr>
        <w:t>Succession</w:t>
      </w:r>
      <w:r>
        <w:rPr>
          <w:spacing w:val="5"/>
          <w:w w:val="105"/>
          <w:sz w:val="13"/>
        </w:rPr>
        <w:t> </w:t>
      </w:r>
      <w:r>
        <w:rPr>
          <w:w w:val="105"/>
          <w:sz w:val="13"/>
        </w:rPr>
        <w:t>Laws,</w:t>
      </w:r>
      <w:r>
        <w:rPr>
          <w:spacing w:val="5"/>
          <w:w w:val="105"/>
          <w:sz w:val="13"/>
        </w:rPr>
        <w:t> </w:t>
      </w:r>
      <w:r>
        <w:rPr>
          <w:i/>
          <w:w w:val="105"/>
          <w:sz w:val="13"/>
        </w:rPr>
        <w:t>Administration</w:t>
      </w:r>
      <w:r>
        <w:rPr>
          <w:i/>
          <w:spacing w:val="4"/>
          <w:w w:val="105"/>
          <w:sz w:val="13"/>
        </w:rPr>
        <w:t> </w:t>
      </w:r>
      <w:r>
        <w:rPr>
          <w:i/>
          <w:w w:val="105"/>
          <w:sz w:val="13"/>
        </w:rPr>
        <w:t>of</w:t>
      </w:r>
      <w:r>
        <w:rPr>
          <w:i/>
          <w:spacing w:val="4"/>
          <w:w w:val="105"/>
          <w:sz w:val="13"/>
        </w:rPr>
        <w:t> </w:t>
      </w:r>
      <w:r>
        <w:rPr>
          <w:i/>
          <w:w w:val="105"/>
          <w:sz w:val="13"/>
        </w:rPr>
        <w:t>Estates:</w:t>
      </w:r>
      <w:r>
        <w:rPr>
          <w:i/>
          <w:spacing w:val="4"/>
          <w:w w:val="105"/>
          <w:sz w:val="13"/>
        </w:rPr>
        <w:t> </w:t>
      </w:r>
      <w:r>
        <w:rPr>
          <w:i/>
          <w:w w:val="105"/>
          <w:sz w:val="13"/>
        </w:rPr>
        <w:t>Volume</w:t>
      </w:r>
      <w:r>
        <w:rPr>
          <w:i/>
          <w:spacing w:val="4"/>
          <w:w w:val="105"/>
          <w:sz w:val="13"/>
        </w:rPr>
        <w:t> </w:t>
      </w:r>
      <w:r>
        <w:rPr>
          <w:i/>
          <w:spacing w:val="-3"/>
          <w:w w:val="105"/>
          <w:sz w:val="13"/>
        </w:rPr>
        <w:t>3</w:t>
      </w:r>
      <w:r>
        <w:rPr>
          <w:spacing w:val="-3"/>
          <w:w w:val="105"/>
          <w:sz w:val="13"/>
        </w:rPr>
        <w:t>,</w:t>
      </w:r>
      <w:r>
        <w:rPr>
          <w:spacing w:val="5"/>
          <w:w w:val="105"/>
          <w:sz w:val="13"/>
        </w:rPr>
        <w:t> </w:t>
      </w:r>
      <w:r>
        <w:rPr>
          <w:w w:val="105"/>
          <w:sz w:val="13"/>
        </w:rPr>
        <w:t>above</w:t>
      </w:r>
      <w:r>
        <w:rPr>
          <w:spacing w:val="5"/>
          <w:w w:val="105"/>
          <w:sz w:val="13"/>
        </w:rPr>
        <w:t> </w:t>
      </w:r>
      <w:r>
        <w:rPr>
          <w:w w:val="105"/>
          <w:sz w:val="13"/>
        </w:rPr>
        <w:t>n</w:t>
      </w:r>
      <w:r>
        <w:rPr>
          <w:spacing w:val="5"/>
          <w:w w:val="105"/>
          <w:sz w:val="13"/>
        </w:rPr>
        <w:t> </w:t>
      </w:r>
      <w:r>
        <w:rPr>
          <w:spacing w:val="-3"/>
          <w:w w:val="105"/>
          <w:sz w:val="13"/>
        </w:rPr>
        <w:t>31,</w:t>
      </w:r>
      <w:r>
        <w:rPr>
          <w:spacing w:val="5"/>
          <w:w w:val="105"/>
          <w:sz w:val="13"/>
        </w:rPr>
        <w:t> </w:t>
      </w:r>
      <w:r>
        <w:rPr>
          <w:w w:val="105"/>
          <w:sz w:val="13"/>
        </w:rPr>
        <w:t>153.</w:t>
      </w:r>
    </w:p>
    <w:p>
      <w:pPr>
        <w:pStyle w:val="ListParagraph"/>
        <w:numPr>
          <w:ilvl w:val="0"/>
          <w:numId w:val="140"/>
        </w:numPr>
        <w:tabs>
          <w:tab w:pos="2381" w:val="left" w:leader="none"/>
          <w:tab w:pos="2382" w:val="left" w:leader="none"/>
        </w:tabs>
        <w:spacing w:line="240" w:lineRule="auto" w:before="1" w:after="0"/>
        <w:ind w:left="2381" w:right="201" w:hanging="794"/>
        <w:jc w:val="left"/>
        <w:rPr>
          <w:sz w:val="13"/>
        </w:rPr>
      </w:pPr>
      <w:r>
        <w:rPr>
          <w:w w:val="105"/>
          <w:sz w:val="13"/>
        </w:rPr>
        <w:t>National Committee for Uniform Succession Laws, </w:t>
      </w:r>
      <w:r>
        <w:rPr>
          <w:i/>
          <w:w w:val="105"/>
          <w:sz w:val="13"/>
        </w:rPr>
        <w:t>Administration of Estates: Volume 4</w:t>
      </w:r>
      <w:r>
        <w:rPr>
          <w:w w:val="105"/>
          <w:sz w:val="13"/>
        </w:rPr>
        <w:t>, above n 50, Draft Administration of Estates Bill 2009 cl</w:t>
      </w:r>
      <w:r>
        <w:rPr>
          <w:spacing w:val="9"/>
          <w:w w:val="105"/>
          <w:sz w:val="13"/>
        </w:rPr>
        <w:t> </w:t>
      </w:r>
      <w:r>
        <w:rPr>
          <w:w w:val="105"/>
          <w:sz w:val="13"/>
        </w:rPr>
        <w:t>434.</w:t>
      </w:r>
    </w:p>
    <w:p>
      <w:pPr>
        <w:pStyle w:val="ListParagraph"/>
        <w:numPr>
          <w:ilvl w:val="0"/>
          <w:numId w:val="140"/>
        </w:numPr>
        <w:tabs>
          <w:tab w:pos="2381" w:val="left" w:leader="none"/>
          <w:tab w:pos="2382" w:val="left" w:leader="none"/>
        </w:tabs>
        <w:spacing w:line="240" w:lineRule="auto" w:before="3" w:after="0"/>
        <w:ind w:left="2381" w:right="78" w:hanging="794"/>
        <w:jc w:val="left"/>
        <w:rPr>
          <w:sz w:val="13"/>
        </w:rPr>
      </w:pPr>
      <w:r>
        <w:rPr>
          <w:w w:val="105"/>
          <w:sz w:val="13"/>
        </w:rPr>
        <w:t>Which would include a person named as executor in a will that had not been admitted to probate. See discussion in National Committee for</w:t>
      </w:r>
      <w:r>
        <w:rPr>
          <w:spacing w:val="4"/>
          <w:w w:val="105"/>
          <w:sz w:val="13"/>
        </w:rPr>
        <w:t> </w:t>
      </w:r>
      <w:r>
        <w:rPr>
          <w:w w:val="105"/>
          <w:sz w:val="13"/>
        </w:rPr>
        <w:t>Uniform</w:t>
      </w:r>
      <w:r>
        <w:rPr>
          <w:spacing w:val="5"/>
          <w:w w:val="105"/>
          <w:sz w:val="13"/>
        </w:rPr>
        <w:t> </w:t>
      </w:r>
      <w:r>
        <w:rPr>
          <w:w w:val="105"/>
          <w:sz w:val="13"/>
        </w:rPr>
        <w:t>Succession</w:t>
      </w:r>
      <w:r>
        <w:rPr>
          <w:spacing w:val="5"/>
          <w:w w:val="105"/>
          <w:sz w:val="13"/>
        </w:rPr>
        <w:t> </w:t>
      </w:r>
      <w:r>
        <w:rPr>
          <w:w w:val="105"/>
          <w:sz w:val="13"/>
        </w:rPr>
        <w:t>Laws,</w:t>
      </w:r>
      <w:r>
        <w:rPr>
          <w:spacing w:val="5"/>
          <w:w w:val="105"/>
          <w:sz w:val="13"/>
        </w:rPr>
        <w:t> </w:t>
      </w:r>
      <w:r>
        <w:rPr>
          <w:i/>
          <w:w w:val="105"/>
          <w:sz w:val="13"/>
        </w:rPr>
        <w:t>Administration</w:t>
      </w:r>
      <w:r>
        <w:rPr>
          <w:i/>
          <w:spacing w:val="4"/>
          <w:w w:val="105"/>
          <w:sz w:val="13"/>
        </w:rPr>
        <w:t> </w:t>
      </w:r>
      <w:r>
        <w:rPr>
          <w:i/>
          <w:w w:val="105"/>
          <w:sz w:val="13"/>
        </w:rPr>
        <w:t>of</w:t>
      </w:r>
      <w:r>
        <w:rPr>
          <w:i/>
          <w:spacing w:val="4"/>
          <w:w w:val="105"/>
          <w:sz w:val="13"/>
        </w:rPr>
        <w:t> </w:t>
      </w:r>
      <w:r>
        <w:rPr>
          <w:i/>
          <w:w w:val="105"/>
          <w:sz w:val="13"/>
        </w:rPr>
        <w:t>Estates:</w:t>
      </w:r>
      <w:r>
        <w:rPr>
          <w:i/>
          <w:spacing w:val="4"/>
          <w:w w:val="105"/>
          <w:sz w:val="13"/>
        </w:rPr>
        <w:t> </w:t>
      </w:r>
      <w:r>
        <w:rPr>
          <w:i/>
          <w:w w:val="105"/>
          <w:sz w:val="13"/>
        </w:rPr>
        <w:t>Volume</w:t>
      </w:r>
      <w:r>
        <w:rPr>
          <w:i/>
          <w:spacing w:val="3"/>
          <w:w w:val="105"/>
          <w:sz w:val="13"/>
        </w:rPr>
        <w:t> </w:t>
      </w:r>
      <w:r>
        <w:rPr>
          <w:i/>
          <w:spacing w:val="-3"/>
          <w:w w:val="105"/>
          <w:sz w:val="13"/>
        </w:rPr>
        <w:t>3</w:t>
      </w:r>
      <w:r>
        <w:rPr>
          <w:spacing w:val="-3"/>
          <w:w w:val="105"/>
          <w:sz w:val="13"/>
        </w:rPr>
        <w:t>,</w:t>
      </w:r>
      <w:r>
        <w:rPr>
          <w:spacing w:val="5"/>
          <w:w w:val="105"/>
          <w:sz w:val="13"/>
        </w:rPr>
        <w:t> </w:t>
      </w:r>
      <w:r>
        <w:rPr>
          <w:w w:val="105"/>
          <w:sz w:val="13"/>
        </w:rPr>
        <w:t>above</w:t>
      </w:r>
      <w:r>
        <w:rPr>
          <w:spacing w:val="5"/>
          <w:w w:val="105"/>
          <w:sz w:val="13"/>
        </w:rPr>
        <w:t> </w:t>
      </w:r>
      <w:r>
        <w:rPr>
          <w:w w:val="105"/>
          <w:sz w:val="13"/>
        </w:rPr>
        <w:t>n</w:t>
      </w:r>
      <w:r>
        <w:rPr>
          <w:spacing w:val="5"/>
          <w:w w:val="105"/>
          <w:sz w:val="13"/>
        </w:rPr>
        <w:t> </w:t>
      </w:r>
      <w:r>
        <w:rPr>
          <w:spacing w:val="-3"/>
          <w:w w:val="105"/>
          <w:sz w:val="13"/>
        </w:rPr>
        <w:t>31,</w:t>
      </w:r>
      <w:r>
        <w:rPr>
          <w:spacing w:val="5"/>
          <w:w w:val="105"/>
          <w:sz w:val="13"/>
        </w:rPr>
        <w:t> </w:t>
      </w:r>
      <w:r>
        <w:rPr>
          <w:w w:val="105"/>
          <w:sz w:val="13"/>
        </w:rPr>
        <w:t>166.</w:t>
      </w:r>
    </w:p>
    <w:p>
      <w:pPr>
        <w:pStyle w:val="ListParagraph"/>
        <w:numPr>
          <w:ilvl w:val="0"/>
          <w:numId w:val="140"/>
        </w:numPr>
        <w:tabs>
          <w:tab w:pos="2381" w:val="left" w:leader="none"/>
          <w:tab w:pos="2382" w:val="left" w:leader="none"/>
        </w:tabs>
        <w:spacing w:line="240" w:lineRule="auto" w:before="3" w:after="0"/>
        <w:ind w:left="2381" w:right="0" w:hanging="794"/>
        <w:jc w:val="left"/>
        <w:rPr>
          <w:sz w:val="13"/>
        </w:rPr>
      </w:pPr>
      <w:r>
        <w:rPr>
          <w:i/>
          <w:w w:val="105"/>
          <w:sz w:val="13"/>
        </w:rPr>
        <w:t>Administration and Probate Act </w:t>
      </w:r>
      <w:r>
        <w:rPr>
          <w:i/>
          <w:spacing w:val="-5"/>
          <w:w w:val="105"/>
          <w:sz w:val="13"/>
        </w:rPr>
        <w:t>1919 </w:t>
      </w:r>
      <w:r>
        <w:rPr>
          <w:spacing w:val="2"/>
          <w:w w:val="105"/>
          <w:sz w:val="13"/>
        </w:rPr>
        <w:t>(SA) </w:t>
      </w:r>
      <w:r>
        <w:rPr>
          <w:w w:val="105"/>
          <w:sz w:val="13"/>
        </w:rPr>
        <w:t>s</w:t>
      </w:r>
      <w:r>
        <w:rPr>
          <w:spacing w:val="4"/>
          <w:w w:val="105"/>
          <w:sz w:val="13"/>
        </w:rPr>
        <w:t> </w:t>
      </w:r>
      <w:r>
        <w:rPr>
          <w:spacing w:val="-3"/>
          <w:w w:val="105"/>
          <w:sz w:val="13"/>
        </w:rPr>
        <w:t>71.</w:t>
      </w:r>
    </w:p>
    <w:p>
      <w:pPr>
        <w:pStyle w:val="ListParagraph"/>
        <w:numPr>
          <w:ilvl w:val="0"/>
          <w:numId w:val="140"/>
        </w:numPr>
        <w:tabs>
          <w:tab w:pos="2381" w:val="left" w:leader="none"/>
          <w:tab w:pos="2382" w:val="left" w:leader="none"/>
        </w:tabs>
        <w:spacing w:line="240" w:lineRule="auto" w:before="1" w:after="0"/>
        <w:ind w:left="2381" w:right="324" w:hanging="794"/>
        <w:jc w:val="left"/>
        <w:rPr>
          <w:sz w:val="13"/>
        </w:rPr>
      </w:pPr>
      <w:r>
        <w:rPr>
          <w:w w:val="105"/>
          <w:sz w:val="13"/>
        </w:rPr>
        <w:t>Ibid s 72; </w:t>
      </w:r>
      <w:r>
        <w:rPr>
          <w:i/>
          <w:w w:val="105"/>
          <w:sz w:val="13"/>
        </w:rPr>
        <w:t>Administration Act 1903 </w:t>
      </w:r>
      <w:r>
        <w:rPr>
          <w:w w:val="105"/>
          <w:sz w:val="13"/>
        </w:rPr>
        <w:t>(WA) s 139(1). The legislation provides for a base of $1200, or any such other amount as declared   by</w:t>
      </w:r>
      <w:r>
        <w:rPr>
          <w:spacing w:val="5"/>
          <w:w w:val="105"/>
          <w:sz w:val="13"/>
        </w:rPr>
        <w:t> </w:t>
      </w:r>
      <w:r>
        <w:rPr>
          <w:w w:val="105"/>
          <w:sz w:val="13"/>
        </w:rPr>
        <w:t>proclamation:</w:t>
      </w:r>
      <w:r>
        <w:rPr>
          <w:spacing w:val="5"/>
          <w:w w:val="105"/>
          <w:sz w:val="13"/>
        </w:rPr>
        <w:t> </w:t>
      </w:r>
      <w:r>
        <w:rPr>
          <w:w w:val="105"/>
          <w:sz w:val="13"/>
        </w:rPr>
        <w:t>see</w:t>
      </w:r>
      <w:r>
        <w:rPr>
          <w:spacing w:val="6"/>
          <w:w w:val="105"/>
          <w:sz w:val="13"/>
        </w:rPr>
        <w:t> </w:t>
      </w:r>
      <w:r>
        <w:rPr>
          <w:w w:val="105"/>
          <w:sz w:val="13"/>
        </w:rPr>
        <w:t>Western</w:t>
      </w:r>
      <w:r>
        <w:rPr>
          <w:spacing w:val="5"/>
          <w:w w:val="105"/>
          <w:sz w:val="13"/>
        </w:rPr>
        <w:t> </w:t>
      </w:r>
      <w:r>
        <w:rPr>
          <w:w w:val="105"/>
          <w:sz w:val="13"/>
        </w:rPr>
        <w:t>Australia,</w:t>
      </w:r>
      <w:r>
        <w:rPr>
          <w:spacing w:val="5"/>
          <w:w w:val="105"/>
          <w:sz w:val="13"/>
        </w:rPr>
        <w:t> </w:t>
      </w:r>
      <w:r>
        <w:rPr>
          <w:i/>
          <w:w w:val="105"/>
          <w:sz w:val="13"/>
        </w:rPr>
        <w:t>Western</w:t>
      </w:r>
      <w:r>
        <w:rPr>
          <w:i/>
          <w:spacing w:val="5"/>
          <w:w w:val="105"/>
          <w:sz w:val="13"/>
        </w:rPr>
        <w:t> </w:t>
      </w:r>
      <w:r>
        <w:rPr>
          <w:i/>
          <w:w w:val="105"/>
          <w:sz w:val="13"/>
        </w:rPr>
        <w:t>Australian</w:t>
      </w:r>
      <w:r>
        <w:rPr>
          <w:i/>
          <w:spacing w:val="4"/>
          <w:w w:val="105"/>
          <w:sz w:val="13"/>
        </w:rPr>
        <w:t> </w:t>
      </w:r>
      <w:r>
        <w:rPr>
          <w:i/>
          <w:w w:val="105"/>
          <w:sz w:val="13"/>
        </w:rPr>
        <w:t>Government</w:t>
      </w:r>
      <w:r>
        <w:rPr>
          <w:i/>
          <w:spacing w:val="4"/>
          <w:w w:val="105"/>
          <w:sz w:val="13"/>
        </w:rPr>
        <w:t> </w:t>
      </w:r>
      <w:r>
        <w:rPr>
          <w:i/>
          <w:w w:val="105"/>
          <w:sz w:val="13"/>
        </w:rPr>
        <w:t>Gazette</w:t>
      </w:r>
      <w:r>
        <w:rPr>
          <w:w w:val="105"/>
          <w:sz w:val="13"/>
        </w:rPr>
        <w:t>,</w:t>
      </w:r>
      <w:r>
        <w:rPr>
          <w:spacing w:val="6"/>
          <w:w w:val="105"/>
          <w:sz w:val="13"/>
        </w:rPr>
        <w:t> </w:t>
      </w:r>
      <w:r>
        <w:rPr>
          <w:w w:val="105"/>
          <w:sz w:val="13"/>
        </w:rPr>
        <w:t>No</w:t>
      </w:r>
      <w:r>
        <w:rPr>
          <w:spacing w:val="5"/>
          <w:w w:val="105"/>
          <w:sz w:val="13"/>
        </w:rPr>
        <w:t> </w:t>
      </w:r>
      <w:r>
        <w:rPr>
          <w:w w:val="105"/>
          <w:sz w:val="13"/>
        </w:rPr>
        <w:t>15,</w:t>
      </w:r>
      <w:r>
        <w:rPr>
          <w:spacing w:val="5"/>
          <w:w w:val="105"/>
          <w:sz w:val="13"/>
        </w:rPr>
        <w:t> </w:t>
      </w:r>
      <w:r>
        <w:rPr>
          <w:w w:val="105"/>
          <w:sz w:val="13"/>
        </w:rPr>
        <w:t>6</w:t>
      </w:r>
      <w:r>
        <w:rPr>
          <w:spacing w:val="6"/>
          <w:w w:val="105"/>
          <w:sz w:val="13"/>
        </w:rPr>
        <w:t> </w:t>
      </w:r>
      <w:r>
        <w:rPr>
          <w:w w:val="105"/>
          <w:sz w:val="13"/>
        </w:rPr>
        <w:t>February</w:t>
      </w:r>
      <w:r>
        <w:rPr>
          <w:spacing w:val="5"/>
          <w:w w:val="105"/>
          <w:sz w:val="13"/>
        </w:rPr>
        <w:t> </w:t>
      </w:r>
      <w:r>
        <w:rPr>
          <w:w w:val="105"/>
          <w:sz w:val="13"/>
        </w:rPr>
        <w:t>2009,</w:t>
      </w:r>
      <w:r>
        <w:rPr>
          <w:spacing w:val="5"/>
          <w:w w:val="105"/>
          <w:sz w:val="13"/>
        </w:rPr>
        <w:t> </w:t>
      </w:r>
      <w:r>
        <w:rPr>
          <w:w w:val="105"/>
          <w:sz w:val="13"/>
        </w:rPr>
        <w:t>243.</w:t>
      </w:r>
    </w:p>
    <w:p>
      <w:pPr>
        <w:pStyle w:val="ListParagraph"/>
        <w:numPr>
          <w:ilvl w:val="0"/>
          <w:numId w:val="140"/>
        </w:numPr>
        <w:tabs>
          <w:tab w:pos="2381" w:val="left" w:leader="none"/>
          <w:tab w:pos="2382" w:val="left" w:leader="none"/>
        </w:tabs>
        <w:spacing w:line="240" w:lineRule="auto" w:before="3" w:after="0"/>
        <w:ind w:left="2381" w:right="61" w:hanging="794"/>
        <w:jc w:val="left"/>
        <w:rPr>
          <w:sz w:val="13"/>
        </w:rPr>
      </w:pPr>
      <w:r>
        <w:rPr>
          <w:w w:val="105"/>
          <w:sz w:val="13"/>
        </w:rPr>
        <w:t>Note that at the time of the National Committee’s report, the Western Australian limit was </w:t>
      </w:r>
      <w:r>
        <w:rPr>
          <w:spacing w:val="3"/>
          <w:w w:val="105"/>
          <w:sz w:val="13"/>
        </w:rPr>
        <w:t>$6000. </w:t>
      </w:r>
      <w:r>
        <w:rPr>
          <w:w w:val="105"/>
          <w:sz w:val="13"/>
        </w:rPr>
        <w:t>See discussion in National Committee for</w:t>
      </w:r>
      <w:r>
        <w:rPr>
          <w:spacing w:val="4"/>
          <w:w w:val="105"/>
          <w:sz w:val="13"/>
        </w:rPr>
        <w:t> </w:t>
      </w:r>
      <w:r>
        <w:rPr>
          <w:w w:val="105"/>
          <w:sz w:val="13"/>
        </w:rPr>
        <w:t>Uniform</w:t>
      </w:r>
      <w:r>
        <w:rPr>
          <w:spacing w:val="5"/>
          <w:w w:val="105"/>
          <w:sz w:val="13"/>
        </w:rPr>
        <w:t> </w:t>
      </w:r>
      <w:r>
        <w:rPr>
          <w:w w:val="105"/>
          <w:sz w:val="13"/>
        </w:rPr>
        <w:t>Succession</w:t>
      </w:r>
      <w:r>
        <w:rPr>
          <w:spacing w:val="5"/>
          <w:w w:val="105"/>
          <w:sz w:val="13"/>
        </w:rPr>
        <w:t> </w:t>
      </w:r>
      <w:r>
        <w:rPr>
          <w:w w:val="105"/>
          <w:sz w:val="13"/>
        </w:rPr>
        <w:t>Laws,</w:t>
      </w:r>
      <w:r>
        <w:rPr>
          <w:spacing w:val="5"/>
          <w:w w:val="105"/>
          <w:sz w:val="13"/>
        </w:rPr>
        <w:t> </w:t>
      </w:r>
      <w:r>
        <w:rPr>
          <w:i/>
          <w:w w:val="105"/>
          <w:sz w:val="13"/>
        </w:rPr>
        <w:t>Administration</w:t>
      </w:r>
      <w:r>
        <w:rPr>
          <w:i/>
          <w:spacing w:val="4"/>
          <w:w w:val="105"/>
          <w:sz w:val="13"/>
        </w:rPr>
        <w:t> </w:t>
      </w:r>
      <w:r>
        <w:rPr>
          <w:i/>
          <w:w w:val="105"/>
          <w:sz w:val="13"/>
        </w:rPr>
        <w:t>of</w:t>
      </w:r>
      <w:r>
        <w:rPr>
          <w:i/>
          <w:spacing w:val="3"/>
          <w:w w:val="105"/>
          <w:sz w:val="13"/>
        </w:rPr>
        <w:t> </w:t>
      </w:r>
      <w:r>
        <w:rPr>
          <w:i/>
          <w:w w:val="105"/>
          <w:sz w:val="13"/>
        </w:rPr>
        <w:t>Estates:</w:t>
      </w:r>
      <w:r>
        <w:rPr>
          <w:i/>
          <w:spacing w:val="4"/>
          <w:w w:val="105"/>
          <w:sz w:val="13"/>
        </w:rPr>
        <w:t> </w:t>
      </w:r>
      <w:r>
        <w:rPr>
          <w:i/>
          <w:w w:val="105"/>
          <w:sz w:val="13"/>
        </w:rPr>
        <w:t>Volume</w:t>
      </w:r>
      <w:r>
        <w:rPr>
          <w:i/>
          <w:spacing w:val="4"/>
          <w:w w:val="105"/>
          <w:sz w:val="13"/>
        </w:rPr>
        <w:t> </w:t>
      </w:r>
      <w:r>
        <w:rPr>
          <w:i/>
          <w:spacing w:val="-3"/>
          <w:w w:val="105"/>
          <w:sz w:val="13"/>
        </w:rPr>
        <w:t>3</w:t>
      </w:r>
      <w:r>
        <w:rPr>
          <w:spacing w:val="-3"/>
          <w:w w:val="105"/>
          <w:sz w:val="13"/>
        </w:rPr>
        <w:t>,</w:t>
      </w:r>
      <w:r>
        <w:rPr>
          <w:spacing w:val="5"/>
          <w:w w:val="105"/>
          <w:sz w:val="13"/>
        </w:rPr>
        <w:t> </w:t>
      </w:r>
      <w:r>
        <w:rPr>
          <w:w w:val="105"/>
          <w:sz w:val="13"/>
        </w:rPr>
        <w:t>above</w:t>
      </w:r>
      <w:r>
        <w:rPr>
          <w:spacing w:val="5"/>
          <w:w w:val="105"/>
          <w:sz w:val="13"/>
        </w:rPr>
        <w:t> </w:t>
      </w:r>
      <w:r>
        <w:rPr>
          <w:w w:val="105"/>
          <w:sz w:val="13"/>
        </w:rPr>
        <w:t>n</w:t>
      </w:r>
      <w:r>
        <w:rPr>
          <w:spacing w:val="4"/>
          <w:w w:val="105"/>
          <w:sz w:val="13"/>
        </w:rPr>
        <w:t> </w:t>
      </w:r>
      <w:r>
        <w:rPr>
          <w:spacing w:val="-3"/>
          <w:w w:val="105"/>
          <w:sz w:val="13"/>
        </w:rPr>
        <w:t>31,</w:t>
      </w:r>
      <w:r>
        <w:rPr>
          <w:spacing w:val="5"/>
          <w:w w:val="105"/>
          <w:sz w:val="13"/>
        </w:rPr>
        <w:t> </w:t>
      </w:r>
      <w:r>
        <w:rPr>
          <w:w w:val="105"/>
          <w:sz w:val="13"/>
        </w:rPr>
        <w:t>165.</w:t>
      </w:r>
    </w:p>
    <w:p>
      <w:pPr>
        <w:pStyle w:val="ListParagraph"/>
        <w:numPr>
          <w:ilvl w:val="0"/>
          <w:numId w:val="140"/>
        </w:numPr>
        <w:tabs>
          <w:tab w:pos="2381" w:val="left" w:leader="none"/>
          <w:tab w:pos="2382" w:val="left" w:leader="none"/>
        </w:tabs>
        <w:spacing w:line="240" w:lineRule="auto" w:before="2" w:after="0"/>
        <w:ind w:left="2381" w:right="0" w:hanging="794"/>
        <w:jc w:val="left"/>
        <w:rPr>
          <w:sz w:val="13"/>
        </w:rPr>
      </w:pPr>
      <w:r>
        <w:rPr>
          <w:w w:val="105"/>
          <w:sz w:val="13"/>
        </w:rPr>
        <w:t>National</w:t>
      </w:r>
      <w:r>
        <w:rPr>
          <w:spacing w:val="5"/>
          <w:w w:val="105"/>
          <w:sz w:val="13"/>
        </w:rPr>
        <w:t> </w:t>
      </w:r>
      <w:r>
        <w:rPr>
          <w:w w:val="105"/>
          <w:sz w:val="13"/>
        </w:rPr>
        <w:t>Committee</w:t>
      </w:r>
      <w:r>
        <w:rPr>
          <w:spacing w:val="5"/>
          <w:w w:val="105"/>
          <w:sz w:val="13"/>
        </w:rPr>
        <w:t> </w:t>
      </w:r>
      <w:r>
        <w:rPr>
          <w:w w:val="105"/>
          <w:sz w:val="13"/>
        </w:rPr>
        <w:t>for</w:t>
      </w:r>
      <w:r>
        <w:rPr>
          <w:spacing w:val="5"/>
          <w:w w:val="105"/>
          <w:sz w:val="13"/>
        </w:rPr>
        <w:t> </w:t>
      </w:r>
      <w:r>
        <w:rPr>
          <w:w w:val="105"/>
          <w:sz w:val="13"/>
        </w:rPr>
        <w:t>Uniform</w:t>
      </w:r>
      <w:r>
        <w:rPr>
          <w:spacing w:val="5"/>
          <w:w w:val="105"/>
          <w:sz w:val="13"/>
        </w:rPr>
        <w:t> </w:t>
      </w:r>
      <w:r>
        <w:rPr>
          <w:w w:val="105"/>
          <w:sz w:val="13"/>
        </w:rPr>
        <w:t>Succession</w:t>
      </w:r>
      <w:r>
        <w:rPr>
          <w:spacing w:val="5"/>
          <w:w w:val="105"/>
          <w:sz w:val="13"/>
        </w:rPr>
        <w:t> </w:t>
      </w:r>
      <w:r>
        <w:rPr>
          <w:w w:val="105"/>
          <w:sz w:val="13"/>
        </w:rPr>
        <w:t>Laws,</w:t>
      </w:r>
      <w:r>
        <w:rPr>
          <w:spacing w:val="5"/>
          <w:w w:val="105"/>
          <w:sz w:val="13"/>
        </w:rPr>
        <w:t> </w:t>
      </w:r>
      <w:r>
        <w:rPr>
          <w:i/>
          <w:w w:val="105"/>
          <w:sz w:val="13"/>
        </w:rPr>
        <w:t>Administration</w:t>
      </w:r>
      <w:r>
        <w:rPr>
          <w:i/>
          <w:spacing w:val="5"/>
          <w:w w:val="105"/>
          <w:sz w:val="13"/>
        </w:rPr>
        <w:t> </w:t>
      </w:r>
      <w:r>
        <w:rPr>
          <w:i/>
          <w:w w:val="105"/>
          <w:sz w:val="13"/>
        </w:rPr>
        <w:t>of</w:t>
      </w:r>
      <w:r>
        <w:rPr>
          <w:i/>
          <w:spacing w:val="4"/>
          <w:w w:val="105"/>
          <w:sz w:val="13"/>
        </w:rPr>
        <w:t> </w:t>
      </w:r>
      <w:r>
        <w:rPr>
          <w:i/>
          <w:w w:val="105"/>
          <w:sz w:val="13"/>
        </w:rPr>
        <w:t>Estates:</w:t>
      </w:r>
      <w:r>
        <w:rPr>
          <w:i/>
          <w:spacing w:val="4"/>
          <w:w w:val="105"/>
          <w:sz w:val="13"/>
        </w:rPr>
        <w:t> </w:t>
      </w:r>
      <w:r>
        <w:rPr>
          <w:i/>
          <w:w w:val="105"/>
          <w:sz w:val="13"/>
        </w:rPr>
        <w:t>Volume</w:t>
      </w:r>
      <w:r>
        <w:rPr>
          <w:i/>
          <w:spacing w:val="4"/>
          <w:w w:val="105"/>
          <w:sz w:val="13"/>
        </w:rPr>
        <w:t> </w:t>
      </w:r>
      <w:r>
        <w:rPr>
          <w:i/>
          <w:spacing w:val="-3"/>
          <w:w w:val="105"/>
          <w:sz w:val="13"/>
        </w:rPr>
        <w:t>3</w:t>
      </w:r>
      <w:r>
        <w:rPr>
          <w:spacing w:val="-3"/>
          <w:w w:val="105"/>
          <w:sz w:val="13"/>
        </w:rPr>
        <w:t>,</w:t>
      </w:r>
      <w:r>
        <w:rPr>
          <w:spacing w:val="5"/>
          <w:w w:val="105"/>
          <w:sz w:val="13"/>
        </w:rPr>
        <w:t> </w:t>
      </w:r>
      <w:r>
        <w:rPr>
          <w:w w:val="105"/>
          <w:sz w:val="13"/>
        </w:rPr>
        <w:t>above</w:t>
      </w:r>
      <w:r>
        <w:rPr>
          <w:spacing w:val="5"/>
          <w:w w:val="105"/>
          <w:sz w:val="13"/>
        </w:rPr>
        <w:t> </w:t>
      </w:r>
      <w:r>
        <w:rPr>
          <w:w w:val="105"/>
          <w:sz w:val="13"/>
        </w:rPr>
        <w:t>n</w:t>
      </w:r>
      <w:r>
        <w:rPr>
          <w:spacing w:val="5"/>
          <w:w w:val="105"/>
          <w:sz w:val="13"/>
        </w:rPr>
        <w:t> </w:t>
      </w:r>
      <w:r>
        <w:rPr>
          <w:spacing w:val="-3"/>
          <w:w w:val="105"/>
          <w:sz w:val="13"/>
        </w:rPr>
        <w:t>31,</w:t>
      </w:r>
      <w:r>
        <w:rPr>
          <w:spacing w:val="6"/>
          <w:w w:val="105"/>
          <w:sz w:val="13"/>
        </w:rPr>
        <w:t> </w:t>
      </w:r>
      <w:r>
        <w:rPr>
          <w:spacing w:val="-4"/>
          <w:w w:val="105"/>
          <w:sz w:val="13"/>
        </w:rPr>
        <w:t>161.</w:t>
      </w:r>
    </w:p>
    <w:p>
      <w:pPr>
        <w:pStyle w:val="ListParagraph"/>
        <w:numPr>
          <w:ilvl w:val="0"/>
          <w:numId w:val="140"/>
        </w:numPr>
        <w:tabs>
          <w:tab w:pos="2381" w:val="left" w:leader="none"/>
          <w:tab w:pos="2382" w:val="left" w:leader="none"/>
        </w:tabs>
        <w:spacing w:line="240" w:lineRule="auto" w:before="2" w:after="0"/>
        <w:ind w:left="2381" w:right="0" w:hanging="794"/>
        <w:jc w:val="left"/>
        <w:rPr>
          <w:sz w:val="13"/>
        </w:rPr>
      </w:pPr>
      <w:r>
        <w:rPr>
          <w:i/>
          <w:w w:val="105"/>
          <w:sz w:val="13"/>
        </w:rPr>
        <w:t>Banking</w:t>
      </w:r>
      <w:r>
        <w:rPr>
          <w:i/>
          <w:spacing w:val="4"/>
          <w:w w:val="105"/>
          <w:sz w:val="13"/>
        </w:rPr>
        <w:t> </w:t>
      </w:r>
      <w:r>
        <w:rPr>
          <w:i/>
          <w:w w:val="105"/>
          <w:sz w:val="13"/>
        </w:rPr>
        <w:t>Act</w:t>
      </w:r>
      <w:r>
        <w:rPr>
          <w:i/>
          <w:spacing w:val="5"/>
          <w:w w:val="105"/>
          <w:sz w:val="13"/>
        </w:rPr>
        <w:t> </w:t>
      </w:r>
      <w:r>
        <w:rPr>
          <w:i/>
          <w:spacing w:val="-3"/>
          <w:w w:val="105"/>
          <w:sz w:val="13"/>
        </w:rPr>
        <w:t>1959</w:t>
      </w:r>
      <w:r>
        <w:rPr>
          <w:i/>
          <w:spacing w:val="6"/>
          <w:w w:val="105"/>
          <w:sz w:val="13"/>
        </w:rPr>
        <w:t> </w:t>
      </w:r>
      <w:r>
        <w:rPr>
          <w:w w:val="105"/>
          <w:sz w:val="13"/>
        </w:rPr>
        <w:t>(Cth)</w:t>
      </w:r>
      <w:r>
        <w:rPr>
          <w:spacing w:val="6"/>
          <w:w w:val="105"/>
          <w:sz w:val="13"/>
        </w:rPr>
        <w:t> </w:t>
      </w:r>
      <w:r>
        <w:rPr>
          <w:w w:val="105"/>
          <w:sz w:val="13"/>
        </w:rPr>
        <w:t>s</w:t>
      </w:r>
      <w:r>
        <w:rPr>
          <w:spacing w:val="6"/>
          <w:w w:val="105"/>
          <w:sz w:val="13"/>
        </w:rPr>
        <w:t> </w:t>
      </w:r>
      <w:r>
        <w:rPr>
          <w:spacing w:val="2"/>
          <w:w w:val="105"/>
          <w:sz w:val="13"/>
        </w:rPr>
        <w:t>69AA:</w:t>
      </w:r>
      <w:r>
        <w:rPr>
          <w:spacing w:val="6"/>
          <w:w w:val="105"/>
          <w:sz w:val="13"/>
        </w:rPr>
        <w:t> </w:t>
      </w:r>
      <w:r>
        <w:rPr>
          <w:w w:val="105"/>
          <w:sz w:val="13"/>
        </w:rPr>
        <w:t>The</w:t>
      </w:r>
      <w:r>
        <w:rPr>
          <w:spacing w:val="6"/>
          <w:w w:val="105"/>
          <w:sz w:val="13"/>
        </w:rPr>
        <w:t> </w:t>
      </w:r>
      <w:r>
        <w:rPr>
          <w:w w:val="105"/>
          <w:sz w:val="13"/>
        </w:rPr>
        <w:t>provision</w:t>
      </w:r>
      <w:r>
        <w:rPr>
          <w:spacing w:val="6"/>
          <w:w w:val="105"/>
          <w:sz w:val="13"/>
        </w:rPr>
        <w:t> </w:t>
      </w:r>
      <w:r>
        <w:rPr>
          <w:w w:val="105"/>
          <w:sz w:val="13"/>
        </w:rPr>
        <w:t>allows</w:t>
      </w:r>
      <w:r>
        <w:rPr>
          <w:spacing w:val="6"/>
          <w:w w:val="105"/>
          <w:sz w:val="13"/>
        </w:rPr>
        <w:t> </w:t>
      </w:r>
      <w:r>
        <w:rPr>
          <w:w w:val="105"/>
          <w:sz w:val="13"/>
        </w:rPr>
        <w:t>for</w:t>
      </w:r>
      <w:r>
        <w:rPr>
          <w:spacing w:val="6"/>
          <w:w w:val="105"/>
          <w:sz w:val="13"/>
        </w:rPr>
        <w:t> </w:t>
      </w:r>
      <w:r>
        <w:rPr>
          <w:w w:val="105"/>
          <w:sz w:val="13"/>
        </w:rPr>
        <w:t>payment</w:t>
      </w:r>
      <w:r>
        <w:rPr>
          <w:spacing w:val="6"/>
          <w:w w:val="105"/>
          <w:sz w:val="13"/>
        </w:rPr>
        <w:t> </w:t>
      </w:r>
      <w:r>
        <w:rPr>
          <w:w w:val="105"/>
          <w:sz w:val="13"/>
        </w:rPr>
        <w:t>of</w:t>
      </w:r>
      <w:r>
        <w:rPr>
          <w:spacing w:val="6"/>
          <w:w w:val="105"/>
          <w:sz w:val="13"/>
        </w:rPr>
        <w:t> </w:t>
      </w:r>
      <w:r>
        <w:rPr>
          <w:w w:val="105"/>
          <w:sz w:val="13"/>
        </w:rPr>
        <w:t>funeral</w:t>
      </w:r>
      <w:r>
        <w:rPr>
          <w:spacing w:val="6"/>
          <w:w w:val="105"/>
          <w:sz w:val="13"/>
        </w:rPr>
        <w:t> </w:t>
      </w:r>
      <w:r>
        <w:rPr>
          <w:w w:val="105"/>
          <w:sz w:val="13"/>
        </w:rPr>
        <w:t>expenses,</w:t>
      </w:r>
      <w:r>
        <w:rPr>
          <w:spacing w:val="6"/>
          <w:w w:val="105"/>
          <w:sz w:val="13"/>
        </w:rPr>
        <w:t> </w:t>
      </w:r>
      <w:r>
        <w:rPr>
          <w:w w:val="105"/>
          <w:sz w:val="13"/>
        </w:rPr>
        <w:t>debts,</w:t>
      </w:r>
      <w:r>
        <w:rPr>
          <w:spacing w:val="6"/>
          <w:w w:val="105"/>
          <w:sz w:val="13"/>
        </w:rPr>
        <w:t> </w:t>
      </w:r>
      <w:r>
        <w:rPr>
          <w:w w:val="105"/>
          <w:sz w:val="13"/>
        </w:rPr>
        <w:t>payment</w:t>
      </w:r>
      <w:r>
        <w:rPr>
          <w:spacing w:val="6"/>
          <w:w w:val="105"/>
          <w:sz w:val="13"/>
        </w:rPr>
        <w:t> </w:t>
      </w:r>
      <w:r>
        <w:rPr>
          <w:w w:val="105"/>
          <w:sz w:val="13"/>
        </w:rPr>
        <w:t>to</w:t>
      </w:r>
      <w:r>
        <w:rPr>
          <w:spacing w:val="6"/>
          <w:w w:val="105"/>
          <w:sz w:val="13"/>
        </w:rPr>
        <w:t> </w:t>
      </w:r>
      <w:r>
        <w:rPr>
          <w:w w:val="105"/>
          <w:sz w:val="13"/>
        </w:rPr>
        <w:t>the</w:t>
      </w:r>
      <w:r>
        <w:rPr>
          <w:spacing w:val="6"/>
          <w:w w:val="105"/>
          <w:sz w:val="13"/>
        </w:rPr>
        <w:t> </w:t>
      </w:r>
      <w:r>
        <w:rPr>
          <w:w w:val="105"/>
          <w:sz w:val="13"/>
        </w:rPr>
        <w:t>executor</w:t>
      </w:r>
      <w:r>
        <w:rPr>
          <w:spacing w:val="6"/>
          <w:w w:val="105"/>
          <w:sz w:val="13"/>
        </w:rPr>
        <w:t> </w:t>
      </w:r>
      <w:r>
        <w:rPr>
          <w:w w:val="105"/>
          <w:sz w:val="13"/>
        </w:rPr>
        <w:t>of</w:t>
      </w:r>
      <w:r>
        <w:rPr>
          <w:spacing w:val="6"/>
          <w:w w:val="105"/>
          <w:sz w:val="13"/>
        </w:rPr>
        <w:t> </w:t>
      </w:r>
      <w:r>
        <w:rPr>
          <w:w w:val="105"/>
          <w:sz w:val="13"/>
        </w:rPr>
        <w:t>the</w:t>
      </w:r>
      <w:r>
        <w:rPr>
          <w:spacing w:val="5"/>
          <w:w w:val="105"/>
          <w:sz w:val="13"/>
        </w:rPr>
        <w:t> </w:t>
      </w:r>
      <w:r>
        <w:rPr>
          <w:w w:val="105"/>
          <w:sz w:val="13"/>
        </w:rPr>
        <w:t>estate,</w:t>
      </w:r>
    </w:p>
    <w:p>
      <w:pPr>
        <w:spacing w:before="1"/>
        <w:ind w:left="2381" w:right="24" w:firstLine="0"/>
        <w:jc w:val="left"/>
        <w:rPr>
          <w:sz w:val="13"/>
        </w:rPr>
      </w:pPr>
      <w:r>
        <w:rPr>
          <w:w w:val="105"/>
          <w:sz w:val="13"/>
        </w:rPr>
        <w:t>or payment to anyone ‘who is, in the [bank’s] opinion, entitled to the amount, having regard to the laws of probate and accepted practice for the administration of deceased</w:t>
      </w:r>
      <w:r>
        <w:rPr>
          <w:spacing w:val="22"/>
          <w:w w:val="105"/>
          <w:sz w:val="13"/>
        </w:rPr>
        <w:t> </w:t>
      </w:r>
      <w:r>
        <w:rPr>
          <w:w w:val="105"/>
          <w:sz w:val="13"/>
        </w:rPr>
        <w:t>estates’.</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9"/>
        <w:rPr>
          <w:sz w:val="25"/>
        </w:rPr>
      </w:pPr>
    </w:p>
    <w:p>
      <w:pPr>
        <w:spacing w:before="0"/>
        <w:ind w:left="652" w:right="575" w:firstLine="0"/>
        <w:jc w:val="center"/>
        <w:rPr>
          <w:b/>
          <w:sz w:val="24"/>
        </w:rPr>
      </w:pPr>
      <w:r>
        <w:rPr>
          <w:b/>
          <w:color w:val="EC5A4F"/>
          <w:w w:val="110"/>
          <w:sz w:val="24"/>
        </w:rPr>
        <w:t>199</w:t>
      </w:r>
    </w:p>
    <w:p>
      <w:pPr>
        <w:spacing w:after="0"/>
        <w:jc w:val="center"/>
        <w:rPr>
          <w:sz w:val="24"/>
        </w:rPr>
        <w:sectPr>
          <w:type w:val="continuous"/>
          <w:pgSz w:w="11910" w:h="16840"/>
          <w:pgMar w:top="920" w:bottom="280" w:left="0" w:right="0"/>
          <w:cols w:num="2" w:equalWidth="0">
            <w:col w:w="10201" w:space="40"/>
            <w:col w:w="1669"/>
          </w:cols>
        </w:sectPr>
      </w:pPr>
    </w:p>
    <w:p>
      <w:pPr>
        <w:pStyle w:val="BodyText"/>
        <w:spacing w:before="9"/>
        <w:rPr>
          <w:b/>
          <w:sz w:val="22"/>
        </w:rPr>
      </w:pPr>
    </w:p>
    <w:p>
      <w:pPr>
        <w:pStyle w:val="ListParagraph"/>
        <w:numPr>
          <w:ilvl w:val="1"/>
          <w:numId w:val="22"/>
        </w:numPr>
        <w:tabs>
          <w:tab w:pos="2380" w:val="left" w:leader="none"/>
          <w:tab w:pos="2381" w:val="left" w:leader="none"/>
        </w:tabs>
        <w:spacing w:line="242" w:lineRule="auto" w:before="92" w:after="0"/>
        <w:ind w:left="2381" w:right="1780" w:hanging="794"/>
        <w:jc w:val="left"/>
        <w:rPr>
          <w:sz w:val="21"/>
        </w:rPr>
      </w:pPr>
      <w:r>
        <w:rPr>
          <w:w w:val="105"/>
          <w:sz w:val="21"/>
        </w:rPr>
        <w:t>Another </w:t>
      </w:r>
      <w:r>
        <w:rPr>
          <w:spacing w:val="-3"/>
          <w:w w:val="105"/>
          <w:sz w:val="21"/>
        </w:rPr>
        <w:t>difference </w:t>
      </w:r>
      <w:r>
        <w:rPr>
          <w:w w:val="105"/>
          <w:sz w:val="21"/>
        </w:rPr>
        <w:t>between the existing </w:t>
      </w:r>
      <w:r>
        <w:rPr>
          <w:spacing w:val="-3"/>
          <w:w w:val="105"/>
          <w:sz w:val="21"/>
        </w:rPr>
        <w:t>provisions </w:t>
      </w:r>
      <w:r>
        <w:rPr>
          <w:w w:val="105"/>
          <w:sz w:val="21"/>
        </w:rPr>
        <w:t>and the </w:t>
      </w:r>
      <w:r>
        <w:rPr>
          <w:spacing w:val="-3"/>
          <w:w w:val="105"/>
          <w:sz w:val="21"/>
        </w:rPr>
        <w:t>National </w:t>
      </w:r>
      <w:r>
        <w:rPr>
          <w:spacing w:val="-4"/>
          <w:w w:val="105"/>
          <w:sz w:val="21"/>
        </w:rPr>
        <w:t>Committee’s </w:t>
      </w:r>
      <w:r>
        <w:rPr>
          <w:w w:val="105"/>
          <w:sz w:val="21"/>
        </w:rPr>
        <w:t>proposal</w:t>
      </w:r>
      <w:r>
        <w:rPr>
          <w:spacing w:val="-7"/>
          <w:w w:val="105"/>
          <w:sz w:val="21"/>
        </w:rPr>
        <w:t> </w:t>
      </w:r>
      <w:r>
        <w:rPr>
          <w:w w:val="105"/>
          <w:sz w:val="21"/>
        </w:rPr>
        <w:t>is</w:t>
      </w:r>
      <w:r>
        <w:rPr>
          <w:spacing w:val="-6"/>
          <w:w w:val="105"/>
          <w:sz w:val="21"/>
        </w:rPr>
        <w:t> </w:t>
      </w:r>
      <w:r>
        <w:rPr>
          <w:spacing w:val="-3"/>
          <w:w w:val="105"/>
          <w:sz w:val="21"/>
        </w:rPr>
        <w:t>that</w:t>
      </w:r>
      <w:r>
        <w:rPr>
          <w:spacing w:val="-7"/>
          <w:w w:val="105"/>
          <w:sz w:val="21"/>
        </w:rPr>
        <w:t> </w:t>
      </w:r>
      <w:r>
        <w:rPr>
          <w:w w:val="105"/>
          <w:sz w:val="21"/>
        </w:rPr>
        <w:t>the</w:t>
      </w:r>
      <w:r>
        <w:rPr>
          <w:spacing w:val="-6"/>
          <w:w w:val="105"/>
          <w:sz w:val="21"/>
        </w:rPr>
        <w:t> </w:t>
      </w:r>
      <w:r>
        <w:rPr>
          <w:w w:val="105"/>
          <w:sz w:val="21"/>
        </w:rPr>
        <w:t>model</w:t>
      </w:r>
      <w:r>
        <w:rPr>
          <w:spacing w:val="-7"/>
          <w:w w:val="105"/>
          <w:sz w:val="21"/>
        </w:rPr>
        <w:t> </w:t>
      </w:r>
      <w:r>
        <w:rPr>
          <w:spacing w:val="-3"/>
          <w:w w:val="105"/>
          <w:sz w:val="21"/>
        </w:rPr>
        <w:t>provision</w:t>
      </w:r>
      <w:r>
        <w:rPr>
          <w:spacing w:val="-6"/>
          <w:w w:val="105"/>
          <w:sz w:val="21"/>
        </w:rPr>
        <w:t> </w:t>
      </w:r>
      <w:r>
        <w:rPr>
          <w:w w:val="105"/>
          <w:sz w:val="21"/>
        </w:rPr>
        <w:t>provides</w:t>
      </w:r>
      <w:r>
        <w:rPr>
          <w:spacing w:val="-7"/>
          <w:w w:val="105"/>
          <w:sz w:val="21"/>
        </w:rPr>
        <w:t> </w:t>
      </w:r>
      <w:r>
        <w:rPr>
          <w:w w:val="105"/>
          <w:sz w:val="21"/>
        </w:rPr>
        <w:t>a</w:t>
      </w:r>
      <w:r>
        <w:rPr>
          <w:spacing w:val="-6"/>
          <w:w w:val="105"/>
          <w:sz w:val="21"/>
        </w:rPr>
        <w:t> </w:t>
      </w:r>
      <w:r>
        <w:rPr>
          <w:w w:val="105"/>
          <w:sz w:val="21"/>
        </w:rPr>
        <w:t>cap</w:t>
      </w:r>
      <w:r>
        <w:rPr>
          <w:spacing w:val="-6"/>
          <w:w w:val="105"/>
          <w:sz w:val="21"/>
        </w:rPr>
        <w:t> </w:t>
      </w:r>
      <w:r>
        <w:rPr>
          <w:w w:val="105"/>
          <w:sz w:val="21"/>
        </w:rPr>
        <w:t>on</w:t>
      </w:r>
      <w:r>
        <w:rPr>
          <w:spacing w:val="-7"/>
          <w:w w:val="105"/>
          <w:sz w:val="21"/>
        </w:rPr>
        <w:t> </w:t>
      </w:r>
      <w:r>
        <w:rPr>
          <w:w w:val="105"/>
          <w:sz w:val="21"/>
        </w:rPr>
        <w:t>the</w:t>
      </w:r>
      <w:r>
        <w:rPr>
          <w:spacing w:val="-6"/>
          <w:w w:val="105"/>
          <w:sz w:val="21"/>
        </w:rPr>
        <w:t> </w:t>
      </w:r>
      <w:r>
        <w:rPr>
          <w:spacing w:val="-3"/>
          <w:w w:val="105"/>
          <w:sz w:val="21"/>
        </w:rPr>
        <w:t>amount</w:t>
      </w:r>
      <w:r>
        <w:rPr>
          <w:spacing w:val="-7"/>
          <w:w w:val="105"/>
          <w:sz w:val="21"/>
        </w:rPr>
        <w:t> </w:t>
      </w:r>
      <w:r>
        <w:rPr>
          <w:w w:val="105"/>
          <w:sz w:val="21"/>
        </w:rPr>
        <w:t>held</w:t>
      </w:r>
      <w:r>
        <w:rPr>
          <w:spacing w:val="-6"/>
          <w:w w:val="105"/>
          <w:sz w:val="21"/>
        </w:rPr>
        <w:t> </w:t>
      </w:r>
      <w:r>
        <w:rPr>
          <w:w w:val="105"/>
          <w:sz w:val="21"/>
        </w:rPr>
        <w:t>by</w:t>
      </w:r>
      <w:r>
        <w:rPr>
          <w:spacing w:val="-7"/>
          <w:w w:val="105"/>
          <w:sz w:val="21"/>
        </w:rPr>
        <w:t> </w:t>
      </w:r>
      <w:r>
        <w:rPr>
          <w:w w:val="105"/>
          <w:sz w:val="21"/>
        </w:rPr>
        <w:t>each</w:t>
      </w:r>
      <w:r>
        <w:rPr>
          <w:spacing w:val="-6"/>
          <w:w w:val="105"/>
          <w:sz w:val="21"/>
        </w:rPr>
        <w:t> </w:t>
      </w:r>
      <w:r>
        <w:rPr>
          <w:w w:val="105"/>
          <w:sz w:val="21"/>
        </w:rPr>
        <w:t>person, </w:t>
      </w:r>
      <w:r>
        <w:rPr>
          <w:spacing w:val="-3"/>
          <w:w w:val="105"/>
          <w:sz w:val="21"/>
        </w:rPr>
        <w:t>rather than </w:t>
      </w:r>
      <w:r>
        <w:rPr>
          <w:w w:val="105"/>
          <w:sz w:val="21"/>
        </w:rPr>
        <w:t>the maximum payment </w:t>
      </w:r>
      <w:r>
        <w:rPr>
          <w:spacing w:val="-3"/>
          <w:w w:val="105"/>
          <w:sz w:val="21"/>
        </w:rPr>
        <w:t>that </w:t>
      </w:r>
      <w:r>
        <w:rPr>
          <w:w w:val="105"/>
          <w:sz w:val="21"/>
        </w:rPr>
        <w:t>can be paid out, as is the case under the Victorian section. This </w:t>
      </w:r>
      <w:r>
        <w:rPr>
          <w:spacing w:val="-3"/>
          <w:w w:val="105"/>
          <w:sz w:val="21"/>
        </w:rPr>
        <w:t>change avoids </w:t>
      </w:r>
      <w:r>
        <w:rPr>
          <w:w w:val="105"/>
          <w:sz w:val="21"/>
        </w:rPr>
        <w:t>much larger </w:t>
      </w:r>
      <w:r>
        <w:rPr>
          <w:spacing w:val="-3"/>
          <w:w w:val="105"/>
          <w:sz w:val="21"/>
        </w:rPr>
        <w:t>sums </w:t>
      </w:r>
      <w:r>
        <w:rPr>
          <w:w w:val="105"/>
          <w:sz w:val="21"/>
        </w:rPr>
        <w:t>being paid out in a</w:t>
      </w:r>
      <w:r>
        <w:rPr>
          <w:spacing w:val="-6"/>
          <w:w w:val="105"/>
          <w:sz w:val="21"/>
        </w:rPr>
        <w:t> </w:t>
      </w:r>
      <w:r>
        <w:rPr>
          <w:w w:val="105"/>
          <w:sz w:val="21"/>
        </w:rPr>
        <w:t>number</w:t>
      </w:r>
    </w:p>
    <w:p>
      <w:pPr>
        <w:pStyle w:val="BodyText"/>
        <w:spacing w:line="242" w:lineRule="auto" w:before="4"/>
        <w:ind w:left="2380" w:right="2401"/>
      </w:pPr>
      <w:r>
        <w:rPr/>
        <w:t>of </w:t>
      </w:r>
      <w:r>
        <w:rPr>
          <w:spacing w:val="-3"/>
        </w:rPr>
        <w:t>smaller </w:t>
      </w:r>
      <w:r>
        <w:rPr/>
        <w:t>instalments. It also </w:t>
      </w:r>
      <w:r>
        <w:rPr>
          <w:spacing w:val="-3"/>
        </w:rPr>
        <w:t>means that </w:t>
      </w:r>
      <w:r>
        <w:rPr/>
        <w:t>these </w:t>
      </w:r>
      <w:r>
        <w:rPr>
          <w:spacing w:val="-3"/>
        </w:rPr>
        <w:t>informal procedures are available to   all</w:t>
      </w:r>
      <w:r>
        <w:rPr>
          <w:spacing w:val="8"/>
        </w:rPr>
        <w:t> </w:t>
      </w:r>
      <w:r>
        <w:rPr/>
        <w:t>estates,</w:t>
      </w:r>
      <w:r>
        <w:rPr>
          <w:spacing w:val="9"/>
        </w:rPr>
        <w:t> </w:t>
      </w:r>
      <w:r>
        <w:rPr/>
        <w:t>and</w:t>
      </w:r>
      <w:r>
        <w:rPr>
          <w:spacing w:val="9"/>
        </w:rPr>
        <w:t> </w:t>
      </w:r>
      <w:r>
        <w:rPr>
          <w:spacing w:val="-3"/>
        </w:rPr>
        <w:t>are</w:t>
      </w:r>
      <w:r>
        <w:rPr>
          <w:spacing w:val="9"/>
        </w:rPr>
        <w:t> </w:t>
      </w:r>
      <w:r>
        <w:rPr>
          <w:spacing w:val="-2"/>
        </w:rPr>
        <w:t>not</w:t>
      </w:r>
      <w:r>
        <w:rPr>
          <w:spacing w:val="9"/>
        </w:rPr>
        <w:t> </w:t>
      </w:r>
      <w:r>
        <w:rPr/>
        <w:t>necessarily</w:t>
      </w:r>
      <w:r>
        <w:rPr>
          <w:spacing w:val="9"/>
        </w:rPr>
        <w:t> </w:t>
      </w:r>
      <w:r>
        <w:rPr>
          <w:spacing w:val="-3"/>
        </w:rPr>
        <w:t>limited</w:t>
      </w:r>
      <w:r>
        <w:rPr>
          <w:spacing w:val="9"/>
        </w:rPr>
        <w:t> </w:t>
      </w:r>
      <w:r>
        <w:rPr>
          <w:spacing w:val="-3"/>
        </w:rPr>
        <w:t>to</w:t>
      </w:r>
      <w:r>
        <w:rPr>
          <w:spacing w:val="8"/>
        </w:rPr>
        <w:t> </w:t>
      </w:r>
      <w:r>
        <w:rPr>
          <w:spacing w:val="-3"/>
        </w:rPr>
        <w:t>small</w:t>
      </w:r>
      <w:r>
        <w:rPr>
          <w:spacing w:val="9"/>
        </w:rPr>
        <w:t> </w:t>
      </w:r>
      <w:r>
        <w:rPr/>
        <w:t>estates.</w:t>
      </w:r>
    </w:p>
    <w:p>
      <w:pPr>
        <w:pStyle w:val="ListParagraph"/>
        <w:numPr>
          <w:ilvl w:val="1"/>
          <w:numId w:val="22"/>
        </w:numPr>
        <w:tabs>
          <w:tab w:pos="2380" w:val="left" w:leader="none"/>
          <w:tab w:pos="2381" w:val="left" w:leader="none"/>
        </w:tabs>
        <w:spacing w:line="242" w:lineRule="auto" w:before="122" w:after="0"/>
        <w:ind w:left="2380" w:right="1584" w:hanging="793"/>
        <w:jc w:val="left"/>
        <w:rPr>
          <w:sz w:val="21"/>
        </w:rPr>
      </w:pPr>
      <w:r>
        <w:rPr>
          <w:sz w:val="21"/>
        </w:rPr>
        <w:t>The model </w:t>
      </w:r>
      <w:r>
        <w:rPr>
          <w:spacing w:val="-3"/>
          <w:sz w:val="21"/>
        </w:rPr>
        <w:t>provision </w:t>
      </w:r>
      <w:r>
        <w:rPr>
          <w:sz w:val="21"/>
        </w:rPr>
        <w:t>would </w:t>
      </w:r>
      <w:r>
        <w:rPr>
          <w:spacing w:val="-3"/>
          <w:sz w:val="21"/>
        </w:rPr>
        <w:t>remove </w:t>
      </w:r>
      <w:r>
        <w:rPr>
          <w:sz w:val="21"/>
        </w:rPr>
        <w:t>the </w:t>
      </w:r>
      <w:r>
        <w:rPr>
          <w:spacing w:val="-3"/>
          <w:sz w:val="21"/>
        </w:rPr>
        <w:t>current stipulation that </w:t>
      </w:r>
      <w:r>
        <w:rPr>
          <w:sz w:val="21"/>
        </w:rPr>
        <w:t>the </w:t>
      </w:r>
      <w:r>
        <w:rPr>
          <w:spacing w:val="-3"/>
          <w:sz w:val="21"/>
        </w:rPr>
        <w:t>payer </w:t>
      </w:r>
      <w:r>
        <w:rPr>
          <w:sz w:val="21"/>
        </w:rPr>
        <w:t>must be satisfied </w:t>
      </w:r>
      <w:r>
        <w:rPr>
          <w:spacing w:val="-3"/>
          <w:sz w:val="21"/>
        </w:rPr>
        <w:t>that </w:t>
      </w:r>
      <w:r>
        <w:rPr>
          <w:sz w:val="21"/>
        </w:rPr>
        <w:t>the </w:t>
      </w:r>
      <w:r>
        <w:rPr>
          <w:spacing w:val="-3"/>
          <w:sz w:val="21"/>
        </w:rPr>
        <w:t>total </w:t>
      </w:r>
      <w:r>
        <w:rPr>
          <w:sz w:val="21"/>
        </w:rPr>
        <w:t>estate did </w:t>
      </w:r>
      <w:r>
        <w:rPr>
          <w:spacing w:val="-2"/>
          <w:sz w:val="21"/>
        </w:rPr>
        <w:t>not </w:t>
      </w:r>
      <w:r>
        <w:rPr>
          <w:sz w:val="21"/>
        </w:rPr>
        <w:t>exceed a specified </w:t>
      </w:r>
      <w:r>
        <w:rPr>
          <w:spacing w:val="-3"/>
          <w:sz w:val="21"/>
        </w:rPr>
        <w:t>limit, such  </w:t>
      </w:r>
      <w:r>
        <w:rPr>
          <w:sz w:val="21"/>
        </w:rPr>
        <w:t>as the $25,000 </w:t>
      </w:r>
      <w:r>
        <w:rPr>
          <w:spacing w:val="-3"/>
          <w:sz w:val="21"/>
        </w:rPr>
        <w:t>limit</w:t>
      </w:r>
      <w:r>
        <w:rPr>
          <w:spacing w:val="41"/>
          <w:sz w:val="21"/>
        </w:rPr>
        <w:t> </w:t>
      </w:r>
      <w:r>
        <w:rPr>
          <w:sz w:val="21"/>
        </w:rPr>
        <w:t>in the Victorian </w:t>
      </w:r>
      <w:r>
        <w:rPr>
          <w:spacing w:val="-3"/>
          <w:sz w:val="21"/>
        </w:rPr>
        <w:t>provision. </w:t>
      </w:r>
      <w:r>
        <w:rPr>
          <w:sz w:val="21"/>
        </w:rPr>
        <w:t>The </w:t>
      </w:r>
      <w:r>
        <w:rPr>
          <w:spacing w:val="-3"/>
          <w:sz w:val="21"/>
        </w:rPr>
        <w:t>National Committee </w:t>
      </w:r>
      <w:r>
        <w:rPr>
          <w:sz w:val="21"/>
        </w:rPr>
        <w:t>was of the opinion  </w:t>
      </w:r>
      <w:r>
        <w:rPr>
          <w:spacing w:val="-3"/>
          <w:sz w:val="21"/>
        </w:rPr>
        <w:t>that  </w:t>
      </w:r>
      <w:r>
        <w:rPr>
          <w:sz w:val="21"/>
        </w:rPr>
        <w:t>the  </w:t>
      </w:r>
      <w:r>
        <w:rPr>
          <w:spacing w:val="-3"/>
          <w:sz w:val="21"/>
        </w:rPr>
        <w:t>value  </w:t>
      </w:r>
      <w:r>
        <w:rPr>
          <w:sz w:val="21"/>
        </w:rPr>
        <w:t>of  the money actually held by the </w:t>
      </w:r>
      <w:r>
        <w:rPr>
          <w:spacing w:val="-3"/>
          <w:sz w:val="21"/>
        </w:rPr>
        <w:t>payer </w:t>
      </w:r>
      <w:r>
        <w:rPr>
          <w:sz w:val="21"/>
        </w:rPr>
        <w:t>is a sufficient </w:t>
      </w:r>
      <w:r>
        <w:rPr>
          <w:spacing w:val="-3"/>
          <w:sz w:val="21"/>
        </w:rPr>
        <w:t>limitation, </w:t>
      </w:r>
      <w:r>
        <w:rPr>
          <w:sz w:val="21"/>
        </w:rPr>
        <w:t>and </w:t>
      </w:r>
      <w:r>
        <w:rPr>
          <w:spacing w:val="-3"/>
          <w:sz w:val="21"/>
        </w:rPr>
        <w:t>that </w:t>
      </w:r>
      <w:r>
        <w:rPr>
          <w:sz w:val="21"/>
        </w:rPr>
        <w:t>the </w:t>
      </w:r>
      <w:r>
        <w:rPr>
          <w:spacing w:val="-3"/>
          <w:sz w:val="21"/>
        </w:rPr>
        <w:t>payer  </w:t>
      </w:r>
      <w:r>
        <w:rPr>
          <w:sz w:val="21"/>
        </w:rPr>
        <w:t>should </w:t>
      </w:r>
      <w:r>
        <w:rPr>
          <w:spacing w:val="-2"/>
          <w:sz w:val="21"/>
        </w:rPr>
        <w:t>not</w:t>
      </w:r>
      <w:r>
        <w:rPr>
          <w:spacing w:val="43"/>
          <w:sz w:val="21"/>
        </w:rPr>
        <w:t> </w:t>
      </w:r>
      <w:r>
        <w:rPr>
          <w:sz w:val="21"/>
        </w:rPr>
        <w:t>need </w:t>
      </w:r>
      <w:r>
        <w:rPr>
          <w:spacing w:val="-3"/>
          <w:sz w:val="21"/>
        </w:rPr>
        <w:t>to </w:t>
      </w:r>
      <w:r>
        <w:rPr>
          <w:sz w:val="21"/>
        </w:rPr>
        <w:t>ascertain the </w:t>
      </w:r>
      <w:r>
        <w:rPr>
          <w:spacing w:val="-3"/>
          <w:sz w:val="21"/>
        </w:rPr>
        <w:t>estate’s </w:t>
      </w:r>
      <w:r>
        <w:rPr>
          <w:spacing w:val="-4"/>
          <w:sz w:val="21"/>
        </w:rPr>
        <w:t>value, </w:t>
      </w:r>
      <w:r>
        <w:rPr>
          <w:sz w:val="21"/>
        </w:rPr>
        <w:t>as this </w:t>
      </w:r>
      <w:r>
        <w:rPr>
          <w:spacing w:val="-3"/>
          <w:sz w:val="21"/>
        </w:rPr>
        <w:t>may well discourage </w:t>
      </w:r>
      <w:r>
        <w:rPr>
          <w:sz w:val="21"/>
        </w:rPr>
        <w:t>them </w:t>
      </w:r>
      <w:r>
        <w:rPr>
          <w:spacing w:val="-3"/>
          <w:sz w:val="21"/>
        </w:rPr>
        <w:t>from releasing </w:t>
      </w:r>
      <w:r>
        <w:rPr>
          <w:sz w:val="21"/>
        </w:rPr>
        <w:t>the </w:t>
      </w:r>
      <w:r>
        <w:rPr>
          <w:spacing w:val="-3"/>
          <w:sz w:val="21"/>
        </w:rPr>
        <w:t>funds. </w:t>
      </w:r>
      <w:r>
        <w:rPr>
          <w:sz w:val="21"/>
        </w:rPr>
        <w:t>Removing this </w:t>
      </w:r>
      <w:r>
        <w:rPr>
          <w:spacing w:val="-3"/>
          <w:sz w:val="21"/>
        </w:rPr>
        <w:t>requirement means that </w:t>
      </w:r>
      <w:r>
        <w:rPr>
          <w:sz w:val="21"/>
        </w:rPr>
        <w:t>the </w:t>
      </w:r>
      <w:r>
        <w:rPr>
          <w:spacing w:val="-3"/>
          <w:sz w:val="21"/>
        </w:rPr>
        <w:t>focus </w:t>
      </w:r>
      <w:r>
        <w:rPr>
          <w:sz w:val="21"/>
        </w:rPr>
        <w:t>is on </w:t>
      </w:r>
      <w:r>
        <w:rPr>
          <w:spacing w:val="-3"/>
          <w:sz w:val="21"/>
        </w:rPr>
        <w:t>ensuring  simple  </w:t>
      </w:r>
      <w:r>
        <w:rPr>
          <w:sz w:val="21"/>
        </w:rPr>
        <w:t>transactions can</w:t>
      </w:r>
      <w:r>
        <w:rPr>
          <w:spacing w:val="10"/>
          <w:sz w:val="21"/>
        </w:rPr>
        <w:t> </w:t>
      </w:r>
      <w:r>
        <w:rPr>
          <w:spacing w:val="-3"/>
          <w:sz w:val="21"/>
        </w:rPr>
        <w:t>take</w:t>
      </w:r>
      <w:r>
        <w:rPr>
          <w:spacing w:val="10"/>
          <w:sz w:val="21"/>
        </w:rPr>
        <w:t> </w:t>
      </w:r>
      <w:r>
        <w:rPr>
          <w:spacing w:val="-3"/>
          <w:sz w:val="21"/>
        </w:rPr>
        <w:t>place</w:t>
      </w:r>
      <w:r>
        <w:rPr>
          <w:spacing w:val="10"/>
          <w:sz w:val="21"/>
        </w:rPr>
        <w:t> </w:t>
      </w:r>
      <w:r>
        <w:rPr>
          <w:spacing w:val="-3"/>
          <w:sz w:val="21"/>
        </w:rPr>
        <w:t>smoothly,</w:t>
      </w:r>
      <w:r>
        <w:rPr>
          <w:spacing w:val="10"/>
          <w:sz w:val="21"/>
        </w:rPr>
        <w:t> </w:t>
      </w:r>
      <w:r>
        <w:rPr>
          <w:sz w:val="21"/>
        </w:rPr>
        <w:t>regardless</w:t>
      </w:r>
      <w:r>
        <w:rPr>
          <w:spacing w:val="10"/>
          <w:sz w:val="21"/>
        </w:rPr>
        <w:t> </w:t>
      </w:r>
      <w:r>
        <w:rPr>
          <w:sz w:val="21"/>
        </w:rPr>
        <w:t>of</w:t>
      </w:r>
      <w:r>
        <w:rPr>
          <w:spacing w:val="10"/>
          <w:sz w:val="21"/>
        </w:rPr>
        <w:t> </w:t>
      </w:r>
      <w:r>
        <w:rPr>
          <w:sz w:val="21"/>
        </w:rPr>
        <w:t>the</w:t>
      </w:r>
      <w:r>
        <w:rPr>
          <w:spacing w:val="10"/>
          <w:sz w:val="21"/>
        </w:rPr>
        <w:t> </w:t>
      </w:r>
      <w:r>
        <w:rPr>
          <w:spacing w:val="-3"/>
          <w:sz w:val="21"/>
        </w:rPr>
        <w:t>size</w:t>
      </w:r>
      <w:r>
        <w:rPr>
          <w:spacing w:val="10"/>
          <w:sz w:val="21"/>
        </w:rPr>
        <w:t> </w:t>
      </w:r>
      <w:r>
        <w:rPr>
          <w:sz w:val="21"/>
        </w:rPr>
        <w:t>of</w:t>
      </w:r>
      <w:r>
        <w:rPr>
          <w:spacing w:val="10"/>
          <w:sz w:val="21"/>
        </w:rPr>
        <w:t> </w:t>
      </w:r>
      <w:r>
        <w:rPr>
          <w:sz w:val="21"/>
        </w:rPr>
        <w:t>the</w:t>
      </w:r>
      <w:r>
        <w:rPr>
          <w:spacing w:val="10"/>
          <w:sz w:val="21"/>
        </w:rPr>
        <w:t> </w:t>
      </w:r>
      <w:r>
        <w:rPr>
          <w:spacing w:val="-3"/>
          <w:sz w:val="21"/>
        </w:rPr>
        <w:t>estate.</w:t>
      </w:r>
    </w:p>
    <w:p>
      <w:pPr>
        <w:pStyle w:val="ListParagraph"/>
        <w:numPr>
          <w:ilvl w:val="1"/>
          <w:numId w:val="22"/>
        </w:numPr>
        <w:tabs>
          <w:tab w:pos="2380" w:val="left" w:leader="none"/>
          <w:tab w:pos="2381" w:val="left" w:leader="none"/>
        </w:tabs>
        <w:spacing w:line="242" w:lineRule="auto" w:before="128" w:after="0"/>
        <w:ind w:left="2380" w:right="2276" w:hanging="794"/>
        <w:jc w:val="left"/>
        <w:rPr>
          <w:sz w:val="21"/>
        </w:rPr>
      </w:pPr>
      <w:r>
        <w:rPr>
          <w:w w:val="105"/>
          <w:sz w:val="21"/>
        </w:rPr>
        <w:t>The </w:t>
      </w:r>
      <w:r>
        <w:rPr>
          <w:spacing w:val="-3"/>
          <w:w w:val="105"/>
          <w:sz w:val="21"/>
        </w:rPr>
        <w:t>National Committee </w:t>
      </w:r>
      <w:r>
        <w:rPr>
          <w:w w:val="105"/>
          <w:sz w:val="21"/>
        </w:rPr>
        <w:t>report which recommended a </w:t>
      </w:r>
      <w:r>
        <w:rPr>
          <w:spacing w:val="-5"/>
          <w:w w:val="105"/>
          <w:sz w:val="21"/>
        </w:rPr>
        <w:t>$15,000 </w:t>
      </w:r>
      <w:r>
        <w:rPr>
          <w:spacing w:val="-3"/>
          <w:w w:val="105"/>
          <w:sz w:val="21"/>
        </w:rPr>
        <w:t>limit </w:t>
      </w:r>
      <w:r>
        <w:rPr>
          <w:w w:val="105"/>
          <w:sz w:val="21"/>
        </w:rPr>
        <w:t>was released in 2009. The </w:t>
      </w:r>
      <w:r>
        <w:rPr>
          <w:spacing w:val="-3"/>
          <w:w w:val="105"/>
          <w:sz w:val="21"/>
        </w:rPr>
        <w:t>Commission </w:t>
      </w:r>
      <w:r>
        <w:rPr>
          <w:w w:val="105"/>
          <w:sz w:val="21"/>
        </w:rPr>
        <w:t>is of the view </w:t>
      </w:r>
      <w:r>
        <w:rPr>
          <w:spacing w:val="-3"/>
          <w:w w:val="105"/>
          <w:sz w:val="21"/>
        </w:rPr>
        <w:t>that </w:t>
      </w:r>
      <w:r>
        <w:rPr>
          <w:w w:val="105"/>
          <w:sz w:val="21"/>
        </w:rPr>
        <w:t>this </w:t>
      </w:r>
      <w:r>
        <w:rPr>
          <w:spacing w:val="-2"/>
          <w:w w:val="105"/>
          <w:sz w:val="21"/>
        </w:rPr>
        <w:t>figure </w:t>
      </w:r>
      <w:r>
        <w:rPr>
          <w:w w:val="105"/>
          <w:sz w:val="21"/>
        </w:rPr>
        <w:t>should be </w:t>
      </w:r>
      <w:r>
        <w:rPr>
          <w:spacing w:val="-3"/>
          <w:w w:val="105"/>
          <w:sz w:val="21"/>
        </w:rPr>
        <w:t>raised,</w:t>
      </w:r>
      <w:r>
        <w:rPr>
          <w:spacing w:val="35"/>
          <w:w w:val="105"/>
          <w:sz w:val="21"/>
        </w:rPr>
        <w:t> </w:t>
      </w:r>
      <w:r>
        <w:rPr>
          <w:w w:val="105"/>
          <w:sz w:val="21"/>
        </w:rPr>
        <w:t>in</w:t>
      </w:r>
    </w:p>
    <w:p>
      <w:pPr>
        <w:pStyle w:val="BodyText"/>
        <w:spacing w:line="242" w:lineRule="auto" w:before="2"/>
        <w:ind w:left="2380" w:right="1584"/>
      </w:pPr>
      <w:r>
        <w:rPr>
          <w:w w:val="105"/>
        </w:rPr>
        <w:t>acknowledgement of the time between the </w:t>
      </w:r>
      <w:r>
        <w:rPr>
          <w:spacing w:val="-3"/>
          <w:w w:val="105"/>
        </w:rPr>
        <w:t>National</w:t>
      </w:r>
      <w:r>
        <w:rPr>
          <w:spacing w:val="-4"/>
          <w:w w:val="105"/>
        </w:rPr>
        <w:t> Committee’s </w:t>
      </w:r>
      <w:r>
        <w:rPr>
          <w:w w:val="105"/>
        </w:rPr>
        <w:t>work and the </w:t>
      </w:r>
      <w:r>
        <w:rPr>
          <w:spacing w:val="-3"/>
          <w:w w:val="105"/>
        </w:rPr>
        <w:t>potential </w:t>
      </w:r>
      <w:r>
        <w:rPr>
          <w:w w:val="105"/>
        </w:rPr>
        <w:t>implementation of the </w:t>
      </w:r>
      <w:r>
        <w:rPr>
          <w:spacing w:val="-3"/>
          <w:w w:val="105"/>
        </w:rPr>
        <w:t>recommendations contained </w:t>
      </w:r>
      <w:r>
        <w:rPr>
          <w:w w:val="105"/>
        </w:rPr>
        <w:t>in this report.</w:t>
      </w:r>
    </w:p>
    <w:p>
      <w:pPr>
        <w:pStyle w:val="ListParagraph"/>
        <w:numPr>
          <w:ilvl w:val="1"/>
          <w:numId w:val="22"/>
        </w:numPr>
        <w:tabs>
          <w:tab w:pos="2380" w:val="left" w:leader="none"/>
          <w:tab w:pos="2381" w:val="left" w:leader="none"/>
        </w:tabs>
        <w:spacing w:line="242" w:lineRule="auto" w:before="122" w:after="0"/>
        <w:ind w:left="2380" w:right="1973" w:hanging="794"/>
        <w:jc w:val="left"/>
        <w:rPr>
          <w:sz w:val="21"/>
        </w:rPr>
      </w:pPr>
      <w:r>
        <w:rPr>
          <w:w w:val="105"/>
          <w:sz w:val="21"/>
        </w:rPr>
        <w:t>The </w:t>
      </w:r>
      <w:r>
        <w:rPr>
          <w:spacing w:val="-3"/>
          <w:w w:val="105"/>
          <w:sz w:val="21"/>
        </w:rPr>
        <w:t>Commission </w:t>
      </w:r>
      <w:r>
        <w:rPr>
          <w:w w:val="105"/>
          <w:sz w:val="21"/>
        </w:rPr>
        <w:t>is of the view </w:t>
      </w:r>
      <w:r>
        <w:rPr>
          <w:spacing w:val="-3"/>
          <w:w w:val="105"/>
          <w:sz w:val="21"/>
        </w:rPr>
        <w:t>that </w:t>
      </w:r>
      <w:r>
        <w:rPr>
          <w:w w:val="105"/>
          <w:sz w:val="21"/>
        </w:rPr>
        <w:t>the </w:t>
      </w:r>
      <w:r>
        <w:rPr>
          <w:spacing w:val="-5"/>
          <w:w w:val="105"/>
          <w:sz w:val="21"/>
        </w:rPr>
        <w:t>$15,000 </w:t>
      </w:r>
      <w:r>
        <w:rPr>
          <w:spacing w:val="-3"/>
          <w:w w:val="105"/>
          <w:sz w:val="21"/>
        </w:rPr>
        <w:t>limit could usefully </w:t>
      </w:r>
      <w:r>
        <w:rPr>
          <w:w w:val="105"/>
          <w:sz w:val="21"/>
        </w:rPr>
        <w:t>be </w:t>
      </w:r>
      <w:r>
        <w:rPr>
          <w:spacing w:val="-2"/>
          <w:w w:val="105"/>
          <w:sz w:val="21"/>
        </w:rPr>
        <w:t>raised </w:t>
      </w:r>
      <w:r>
        <w:rPr>
          <w:spacing w:val="-3"/>
          <w:w w:val="105"/>
          <w:sz w:val="21"/>
        </w:rPr>
        <w:t>to funds </w:t>
      </w:r>
      <w:r>
        <w:rPr>
          <w:w w:val="105"/>
          <w:sz w:val="21"/>
        </w:rPr>
        <w:t>or property up </w:t>
      </w:r>
      <w:r>
        <w:rPr>
          <w:spacing w:val="-3"/>
          <w:w w:val="105"/>
          <w:sz w:val="21"/>
        </w:rPr>
        <w:t>to </w:t>
      </w:r>
      <w:r>
        <w:rPr>
          <w:w w:val="105"/>
          <w:sz w:val="21"/>
        </w:rPr>
        <w:t>the </w:t>
      </w:r>
      <w:r>
        <w:rPr>
          <w:spacing w:val="-3"/>
          <w:w w:val="105"/>
          <w:sz w:val="21"/>
        </w:rPr>
        <w:t>value </w:t>
      </w:r>
      <w:r>
        <w:rPr>
          <w:w w:val="105"/>
          <w:sz w:val="21"/>
        </w:rPr>
        <w:t>of</w:t>
      </w:r>
      <w:r>
        <w:rPr>
          <w:spacing w:val="41"/>
          <w:w w:val="105"/>
          <w:sz w:val="21"/>
        </w:rPr>
        <w:t> </w:t>
      </w:r>
      <w:r>
        <w:rPr>
          <w:w w:val="105"/>
          <w:sz w:val="21"/>
        </w:rPr>
        <w:t>$25,000.</w:t>
      </w:r>
    </w:p>
    <w:p>
      <w:pPr>
        <w:pStyle w:val="BodyText"/>
        <w:spacing w:before="10"/>
        <w:rPr>
          <w:sz w:val="26"/>
        </w:rPr>
      </w:pPr>
    </w:p>
    <w:p>
      <w:pPr>
        <w:pStyle w:val="Heading6"/>
        <w:spacing w:before="1"/>
      </w:pPr>
      <w:r>
        <w:rPr>
          <w:w w:val="120"/>
        </w:rPr>
        <w:t>Expansion of section 32 to anyone holding funds</w:t>
      </w:r>
    </w:p>
    <w:p>
      <w:pPr>
        <w:pStyle w:val="ListParagraph"/>
        <w:numPr>
          <w:ilvl w:val="1"/>
          <w:numId w:val="22"/>
        </w:numPr>
        <w:tabs>
          <w:tab w:pos="2380" w:val="left" w:leader="none"/>
          <w:tab w:pos="2381" w:val="left" w:leader="none"/>
        </w:tabs>
        <w:spacing w:line="242" w:lineRule="auto" w:before="151" w:after="0"/>
        <w:ind w:left="2381" w:right="2324" w:hanging="794"/>
        <w:jc w:val="left"/>
        <w:rPr>
          <w:sz w:val="21"/>
        </w:rPr>
      </w:pPr>
      <w:r>
        <w:rPr>
          <w:w w:val="105"/>
          <w:sz w:val="21"/>
        </w:rPr>
        <w:t>As </w:t>
      </w:r>
      <w:r>
        <w:rPr>
          <w:spacing w:val="-3"/>
          <w:w w:val="105"/>
          <w:sz w:val="21"/>
        </w:rPr>
        <w:t>noted above, </w:t>
      </w:r>
      <w:r>
        <w:rPr>
          <w:w w:val="105"/>
          <w:sz w:val="21"/>
        </w:rPr>
        <w:t>section </w:t>
      </w:r>
      <w:r>
        <w:rPr>
          <w:spacing w:val="-4"/>
          <w:w w:val="105"/>
          <w:sz w:val="21"/>
        </w:rPr>
        <w:t>32 </w:t>
      </w:r>
      <w:r>
        <w:rPr>
          <w:w w:val="105"/>
          <w:sz w:val="21"/>
        </w:rPr>
        <w:t>of the </w:t>
      </w:r>
      <w:r>
        <w:rPr>
          <w:spacing w:val="-3"/>
          <w:w w:val="105"/>
          <w:sz w:val="21"/>
        </w:rPr>
        <w:t>Administration </w:t>
      </w:r>
      <w:r>
        <w:rPr>
          <w:w w:val="105"/>
          <w:sz w:val="21"/>
        </w:rPr>
        <w:t>and </w:t>
      </w:r>
      <w:r>
        <w:rPr>
          <w:spacing w:val="-3"/>
          <w:w w:val="105"/>
          <w:sz w:val="21"/>
        </w:rPr>
        <w:t>Probate </w:t>
      </w:r>
      <w:r>
        <w:rPr>
          <w:w w:val="105"/>
          <w:sz w:val="21"/>
        </w:rPr>
        <w:t>Act deals only with employers </w:t>
      </w:r>
      <w:r>
        <w:rPr>
          <w:spacing w:val="-3"/>
          <w:w w:val="105"/>
          <w:sz w:val="21"/>
        </w:rPr>
        <w:t>holding </w:t>
      </w:r>
      <w:r>
        <w:rPr>
          <w:w w:val="105"/>
          <w:sz w:val="21"/>
        </w:rPr>
        <w:t>money on behalf of deceased</w:t>
      </w:r>
      <w:r>
        <w:rPr>
          <w:spacing w:val="18"/>
          <w:w w:val="105"/>
          <w:sz w:val="21"/>
        </w:rPr>
        <w:t> </w:t>
      </w:r>
      <w:r>
        <w:rPr>
          <w:w w:val="105"/>
          <w:sz w:val="21"/>
        </w:rPr>
        <w:t>employees.</w:t>
      </w:r>
    </w:p>
    <w:p>
      <w:pPr>
        <w:pStyle w:val="ListParagraph"/>
        <w:numPr>
          <w:ilvl w:val="1"/>
          <w:numId w:val="22"/>
        </w:numPr>
        <w:tabs>
          <w:tab w:pos="2380" w:val="left" w:leader="none"/>
          <w:tab w:pos="2381" w:val="left" w:leader="none"/>
        </w:tabs>
        <w:spacing w:line="242" w:lineRule="auto" w:before="122" w:after="0"/>
        <w:ind w:left="2381" w:right="1762" w:hanging="794"/>
        <w:jc w:val="left"/>
        <w:rPr>
          <w:sz w:val="12"/>
        </w:rPr>
      </w:pPr>
      <w:r>
        <w:rPr>
          <w:w w:val="105"/>
          <w:sz w:val="21"/>
        </w:rPr>
        <w:t>The </w:t>
      </w:r>
      <w:r>
        <w:rPr>
          <w:spacing w:val="-3"/>
          <w:w w:val="105"/>
          <w:sz w:val="21"/>
        </w:rPr>
        <w:t>National Committee </w:t>
      </w:r>
      <w:r>
        <w:rPr>
          <w:w w:val="105"/>
          <w:sz w:val="21"/>
        </w:rPr>
        <w:t>rejected </w:t>
      </w:r>
      <w:r>
        <w:rPr>
          <w:spacing w:val="-3"/>
          <w:w w:val="105"/>
          <w:sz w:val="21"/>
        </w:rPr>
        <w:t>any </w:t>
      </w:r>
      <w:r>
        <w:rPr>
          <w:w w:val="105"/>
          <w:sz w:val="21"/>
        </w:rPr>
        <w:t>arbitrary </w:t>
      </w:r>
      <w:r>
        <w:rPr>
          <w:spacing w:val="-3"/>
          <w:w w:val="105"/>
          <w:sz w:val="21"/>
        </w:rPr>
        <w:t>limitation </w:t>
      </w:r>
      <w:r>
        <w:rPr>
          <w:w w:val="105"/>
          <w:sz w:val="21"/>
        </w:rPr>
        <w:t>on the categories of persons who </w:t>
      </w:r>
      <w:r>
        <w:rPr>
          <w:spacing w:val="-3"/>
          <w:w w:val="105"/>
          <w:sz w:val="21"/>
        </w:rPr>
        <w:t>might take </w:t>
      </w:r>
      <w:r>
        <w:rPr>
          <w:w w:val="105"/>
          <w:sz w:val="21"/>
        </w:rPr>
        <w:t>advantage of the protections afforded by the </w:t>
      </w:r>
      <w:r>
        <w:rPr>
          <w:spacing w:val="-3"/>
          <w:w w:val="105"/>
          <w:sz w:val="21"/>
        </w:rPr>
        <w:t>provision, recommending that</w:t>
      </w:r>
      <w:r>
        <w:rPr>
          <w:spacing w:val="-8"/>
          <w:w w:val="105"/>
          <w:sz w:val="21"/>
        </w:rPr>
        <w:t> </w:t>
      </w:r>
      <w:r>
        <w:rPr>
          <w:spacing w:val="-3"/>
          <w:w w:val="105"/>
          <w:sz w:val="21"/>
        </w:rPr>
        <w:t>anyone</w:t>
      </w:r>
      <w:r>
        <w:rPr>
          <w:spacing w:val="-7"/>
          <w:w w:val="105"/>
          <w:sz w:val="21"/>
        </w:rPr>
        <w:t> </w:t>
      </w:r>
      <w:r>
        <w:rPr>
          <w:spacing w:val="-3"/>
          <w:w w:val="105"/>
          <w:sz w:val="21"/>
        </w:rPr>
        <w:t>holding</w:t>
      </w:r>
      <w:r>
        <w:rPr>
          <w:spacing w:val="-8"/>
          <w:w w:val="105"/>
          <w:sz w:val="21"/>
        </w:rPr>
        <w:t> </w:t>
      </w:r>
      <w:r>
        <w:rPr>
          <w:w w:val="105"/>
          <w:sz w:val="21"/>
        </w:rPr>
        <w:t>money</w:t>
      </w:r>
      <w:r>
        <w:rPr>
          <w:spacing w:val="-7"/>
          <w:w w:val="105"/>
          <w:sz w:val="21"/>
        </w:rPr>
        <w:t> </w:t>
      </w:r>
      <w:r>
        <w:rPr>
          <w:w w:val="105"/>
          <w:sz w:val="21"/>
        </w:rPr>
        <w:t>or</w:t>
      </w:r>
      <w:r>
        <w:rPr>
          <w:spacing w:val="-8"/>
          <w:w w:val="105"/>
          <w:sz w:val="21"/>
        </w:rPr>
        <w:t> </w:t>
      </w:r>
      <w:r>
        <w:rPr>
          <w:w w:val="105"/>
          <w:sz w:val="21"/>
        </w:rPr>
        <w:t>personal</w:t>
      </w:r>
      <w:r>
        <w:rPr>
          <w:spacing w:val="-7"/>
          <w:w w:val="105"/>
          <w:sz w:val="21"/>
        </w:rPr>
        <w:t> </w:t>
      </w:r>
      <w:r>
        <w:rPr>
          <w:w w:val="105"/>
          <w:sz w:val="21"/>
        </w:rPr>
        <w:t>property</w:t>
      </w:r>
      <w:r>
        <w:rPr>
          <w:spacing w:val="-7"/>
          <w:w w:val="105"/>
          <w:sz w:val="21"/>
        </w:rPr>
        <w:t> </w:t>
      </w:r>
      <w:r>
        <w:rPr>
          <w:w w:val="105"/>
          <w:sz w:val="21"/>
        </w:rPr>
        <w:t>of</w:t>
      </w:r>
      <w:r>
        <w:rPr>
          <w:spacing w:val="-8"/>
          <w:w w:val="105"/>
          <w:sz w:val="21"/>
        </w:rPr>
        <w:t> </w:t>
      </w:r>
      <w:r>
        <w:rPr>
          <w:w w:val="105"/>
          <w:sz w:val="21"/>
        </w:rPr>
        <w:t>the</w:t>
      </w:r>
      <w:r>
        <w:rPr>
          <w:spacing w:val="-7"/>
          <w:w w:val="105"/>
          <w:sz w:val="21"/>
        </w:rPr>
        <w:t> </w:t>
      </w:r>
      <w:r>
        <w:rPr>
          <w:w w:val="105"/>
          <w:sz w:val="21"/>
        </w:rPr>
        <w:t>deceased</w:t>
      </w:r>
      <w:r>
        <w:rPr>
          <w:spacing w:val="-8"/>
          <w:w w:val="105"/>
          <w:sz w:val="21"/>
        </w:rPr>
        <w:t> </w:t>
      </w:r>
      <w:r>
        <w:rPr>
          <w:w w:val="105"/>
          <w:sz w:val="21"/>
        </w:rPr>
        <w:t>person</w:t>
      </w:r>
      <w:r>
        <w:rPr>
          <w:spacing w:val="-7"/>
          <w:w w:val="105"/>
          <w:sz w:val="21"/>
        </w:rPr>
        <w:t> </w:t>
      </w:r>
      <w:r>
        <w:rPr>
          <w:w w:val="105"/>
          <w:sz w:val="21"/>
        </w:rPr>
        <w:t>should</w:t>
      </w:r>
      <w:r>
        <w:rPr>
          <w:spacing w:val="-8"/>
          <w:w w:val="105"/>
          <w:sz w:val="21"/>
        </w:rPr>
        <w:t> </w:t>
      </w:r>
      <w:r>
        <w:rPr>
          <w:w w:val="105"/>
          <w:sz w:val="21"/>
        </w:rPr>
        <w:t>be</w:t>
      </w:r>
      <w:r>
        <w:rPr>
          <w:spacing w:val="-7"/>
          <w:w w:val="105"/>
          <w:sz w:val="21"/>
        </w:rPr>
        <w:t> </w:t>
      </w:r>
      <w:r>
        <w:rPr>
          <w:w w:val="105"/>
          <w:sz w:val="21"/>
        </w:rPr>
        <w:t>able </w:t>
      </w:r>
      <w:r>
        <w:rPr>
          <w:spacing w:val="-3"/>
          <w:w w:val="105"/>
          <w:sz w:val="21"/>
        </w:rPr>
        <w:t>to </w:t>
      </w:r>
      <w:r>
        <w:rPr>
          <w:w w:val="105"/>
          <w:sz w:val="21"/>
        </w:rPr>
        <w:t>receive an indemnity upon its</w:t>
      </w:r>
      <w:r>
        <w:rPr>
          <w:spacing w:val="27"/>
          <w:w w:val="105"/>
          <w:sz w:val="21"/>
        </w:rPr>
        <w:t> </w:t>
      </w:r>
      <w:r>
        <w:rPr>
          <w:spacing w:val="-3"/>
          <w:w w:val="105"/>
          <w:sz w:val="21"/>
        </w:rPr>
        <w:t>release.</w:t>
      </w:r>
      <w:r>
        <w:rPr>
          <w:spacing w:val="-3"/>
          <w:w w:val="105"/>
          <w:position w:val="7"/>
          <w:sz w:val="12"/>
        </w:rPr>
        <w:t>67</w:t>
      </w:r>
    </w:p>
    <w:p>
      <w:pPr>
        <w:pStyle w:val="ListParagraph"/>
        <w:numPr>
          <w:ilvl w:val="1"/>
          <w:numId w:val="22"/>
        </w:numPr>
        <w:tabs>
          <w:tab w:pos="2380" w:val="left" w:leader="none"/>
          <w:tab w:pos="2381" w:val="left" w:leader="none"/>
        </w:tabs>
        <w:spacing w:line="242" w:lineRule="auto" w:before="124" w:after="0"/>
        <w:ind w:left="2381" w:right="1658" w:hanging="794"/>
        <w:jc w:val="left"/>
        <w:rPr>
          <w:sz w:val="21"/>
        </w:rPr>
      </w:pPr>
      <w:r>
        <w:rPr>
          <w:spacing w:val="-3"/>
          <w:w w:val="105"/>
          <w:sz w:val="21"/>
        </w:rPr>
        <w:t>Submissions </w:t>
      </w:r>
      <w:r>
        <w:rPr>
          <w:w w:val="105"/>
          <w:sz w:val="21"/>
        </w:rPr>
        <w:t>in response </w:t>
      </w:r>
      <w:r>
        <w:rPr>
          <w:spacing w:val="-3"/>
          <w:w w:val="105"/>
          <w:sz w:val="21"/>
        </w:rPr>
        <w:t>to </w:t>
      </w:r>
      <w:r>
        <w:rPr>
          <w:w w:val="105"/>
          <w:sz w:val="21"/>
        </w:rPr>
        <w:t>the </w:t>
      </w:r>
      <w:r>
        <w:rPr>
          <w:spacing w:val="-4"/>
          <w:w w:val="105"/>
          <w:sz w:val="21"/>
        </w:rPr>
        <w:t>Commission’s </w:t>
      </w:r>
      <w:r>
        <w:rPr>
          <w:spacing w:val="-3"/>
          <w:w w:val="105"/>
          <w:sz w:val="21"/>
        </w:rPr>
        <w:t>consultation </w:t>
      </w:r>
      <w:r>
        <w:rPr>
          <w:w w:val="105"/>
          <w:sz w:val="21"/>
        </w:rPr>
        <w:t>paper on </w:t>
      </w:r>
      <w:r>
        <w:rPr>
          <w:spacing w:val="-3"/>
          <w:w w:val="105"/>
          <w:sz w:val="21"/>
        </w:rPr>
        <w:t>small </w:t>
      </w:r>
      <w:r>
        <w:rPr>
          <w:w w:val="105"/>
          <w:sz w:val="21"/>
        </w:rPr>
        <w:t>estates did </w:t>
      </w:r>
      <w:r>
        <w:rPr>
          <w:spacing w:val="-2"/>
          <w:w w:val="105"/>
          <w:sz w:val="21"/>
        </w:rPr>
        <w:t>not </w:t>
      </w:r>
      <w:r>
        <w:rPr>
          <w:w w:val="105"/>
          <w:sz w:val="21"/>
        </w:rPr>
        <w:t>specifically</w:t>
      </w:r>
      <w:r>
        <w:rPr>
          <w:spacing w:val="-16"/>
          <w:w w:val="105"/>
          <w:sz w:val="21"/>
        </w:rPr>
        <w:t> </w:t>
      </w:r>
      <w:r>
        <w:rPr>
          <w:w w:val="105"/>
          <w:sz w:val="21"/>
        </w:rPr>
        <w:t>address</w:t>
      </w:r>
      <w:r>
        <w:rPr>
          <w:spacing w:val="-15"/>
          <w:w w:val="105"/>
          <w:sz w:val="21"/>
        </w:rPr>
        <w:t> </w:t>
      </w:r>
      <w:r>
        <w:rPr>
          <w:w w:val="105"/>
          <w:sz w:val="21"/>
        </w:rPr>
        <w:t>the</w:t>
      </w:r>
      <w:r>
        <w:rPr>
          <w:spacing w:val="-15"/>
          <w:w w:val="105"/>
          <w:sz w:val="21"/>
        </w:rPr>
        <w:t> </w:t>
      </w:r>
      <w:r>
        <w:rPr>
          <w:w w:val="105"/>
          <w:sz w:val="21"/>
        </w:rPr>
        <w:t>extension</w:t>
      </w:r>
      <w:r>
        <w:rPr>
          <w:spacing w:val="-15"/>
          <w:w w:val="105"/>
          <w:sz w:val="21"/>
        </w:rPr>
        <w:t> </w:t>
      </w:r>
      <w:r>
        <w:rPr>
          <w:w w:val="105"/>
          <w:sz w:val="21"/>
        </w:rPr>
        <w:t>of</w:t>
      </w:r>
      <w:r>
        <w:rPr>
          <w:spacing w:val="-15"/>
          <w:w w:val="105"/>
          <w:sz w:val="21"/>
        </w:rPr>
        <w:t> </w:t>
      </w:r>
      <w:r>
        <w:rPr>
          <w:w w:val="105"/>
          <w:sz w:val="21"/>
        </w:rPr>
        <w:t>the</w:t>
      </w:r>
      <w:r>
        <w:rPr>
          <w:spacing w:val="-15"/>
          <w:w w:val="105"/>
          <w:sz w:val="21"/>
        </w:rPr>
        <w:t> </w:t>
      </w:r>
      <w:r>
        <w:rPr>
          <w:spacing w:val="-3"/>
          <w:w w:val="105"/>
          <w:sz w:val="21"/>
        </w:rPr>
        <w:t>provision</w:t>
      </w:r>
      <w:r>
        <w:rPr>
          <w:spacing w:val="-15"/>
          <w:w w:val="105"/>
          <w:sz w:val="21"/>
        </w:rPr>
        <w:t> </w:t>
      </w:r>
      <w:r>
        <w:rPr>
          <w:spacing w:val="-3"/>
          <w:w w:val="105"/>
          <w:sz w:val="21"/>
        </w:rPr>
        <w:t>to</w:t>
      </w:r>
      <w:r>
        <w:rPr>
          <w:spacing w:val="-15"/>
          <w:w w:val="105"/>
          <w:sz w:val="21"/>
        </w:rPr>
        <w:t> </w:t>
      </w:r>
      <w:r>
        <w:rPr>
          <w:spacing w:val="-3"/>
          <w:w w:val="105"/>
          <w:sz w:val="21"/>
        </w:rPr>
        <w:t>include</w:t>
      </w:r>
      <w:r>
        <w:rPr>
          <w:spacing w:val="-15"/>
          <w:w w:val="105"/>
          <w:sz w:val="21"/>
        </w:rPr>
        <w:t> </w:t>
      </w:r>
      <w:r>
        <w:rPr>
          <w:w w:val="105"/>
          <w:sz w:val="21"/>
        </w:rPr>
        <w:t>payers</w:t>
      </w:r>
      <w:r>
        <w:rPr>
          <w:spacing w:val="-15"/>
          <w:w w:val="105"/>
          <w:sz w:val="21"/>
        </w:rPr>
        <w:t> </w:t>
      </w:r>
      <w:r>
        <w:rPr>
          <w:w w:val="105"/>
          <w:sz w:val="21"/>
        </w:rPr>
        <w:t>other</w:t>
      </w:r>
      <w:r>
        <w:rPr>
          <w:spacing w:val="-15"/>
          <w:w w:val="105"/>
          <w:sz w:val="21"/>
        </w:rPr>
        <w:t> </w:t>
      </w:r>
      <w:r>
        <w:rPr>
          <w:spacing w:val="-3"/>
          <w:w w:val="105"/>
          <w:sz w:val="21"/>
        </w:rPr>
        <w:t>than</w:t>
      </w:r>
      <w:r>
        <w:rPr>
          <w:spacing w:val="-15"/>
          <w:w w:val="105"/>
          <w:sz w:val="21"/>
        </w:rPr>
        <w:t> </w:t>
      </w:r>
      <w:r>
        <w:rPr>
          <w:w w:val="105"/>
          <w:sz w:val="21"/>
        </w:rPr>
        <w:t>employers, </w:t>
      </w:r>
      <w:r>
        <w:rPr>
          <w:spacing w:val="-3"/>
          <w:w w:val="105"/>
          <w:sz w:val="21"/>
        </w:rPr>
        <w:t>however </w:t>
      </w:r>
      <w:r>
        <w:rPr>
          <w:w w:val="105"/>
          <w:sz w:val="21"/>
        </w:rPr>
        <w:t>the general support </w:t>
      </w:r>
      <w:r>
        <w:rPr>
          <w:spacing w:val="-3"/>
          <w:w w:val="105"/>
          <w:sz w:val="21"/>
        </w:rPr>
        <w:t>for </w:t>
      </w:r>
      <w:r>
        <w:rPr>
          <w:w w:val="105"/>
          <w:sz w:val="21"/>
        </w:rPr>
        <w:t>expansion of the scope of the </w:t>
      </w:r>
      <w:r>
        <w:rPr>
          <w:spacing w:val="-3"/>
          <w:w w:val="105"/>
          <w:sz w:val="21"/>
        </w:rPr>
        <w:t>provision </w:t>
      </w:r>
      <w:r>
        <w:rPr>
          <w:w w:val="105"/>
          <w:sz w:val="21"/>
        </w:rPr>
        <w:t>in </w:t>
      </w:r>
      <w:r>
        <w:rPr>
          <w:spacing w:val="-3"/>
          <w:w w:val="105"/>
          <w:sz w:val="21"/>
        </w:rPr>
        <w:t>line </w:t>
      </w:r>
      <w:r>
        <w:rPr>
          <w:w w:val="105"/>
          <w:sz w:val="21"/>
        </w:rPr>
        <w:t>with the </w:t>
      </w:r>
      <w:r>
        <w:rPr>
          <w:spacing w:val="-3"/>
          <w:w w:val="105"/>
          <w:sz w:val="21"/>
        </w:rPr>
        <w:t>National Committee </w:t>
      </w:r>
      <w:r>
        <w:rPr>
          <w:w w:val="105"/>
          <w:sz w:val="21"/>
        </w:rPr>
        <w:t>suggests </w:t>
      </w:r>
      <w:r>
        <w:rPr>
          <w:spacing w:val="-3"/>
          <w:w w:val="105"/>
          <w:sz w:val="21"/>
        </w:rPr>
        <w:t>that </w:t>
      </w:r>
      <w:r>
        <w:rPr>
          <w:w w:val="105"/>
          <w:sz w:val="21"/>
        </w:rPr>
        <w:t>this too is</w:t>
      </w:r>
      <w:r>
        <w:rPr>
          <w:spacing w:val="39"/>
          <w:w w:val="105"/>
          <w:sz w:val="21"/>
        </w:rPr>
        <w:t> </w:t>
      </w:r>
      <w:r>
        <w:rPr>
          <w:w w:val="105"/>
          <w:sz w:val="21"/>
        </w:rPr>
        <w:t>supported.</w:t>
      </w:r>
    </w:p>
    <w:p>
      <w:pPr>
        <w:pStyle w:val="ListParagraph"/>
        <w:numPr>
          <w:ilvl w:val="1"/>
          <w:numId w:val="22"/>
        </w:numPr>
        <w:tabs>
          <w:tab w:pos="2380" w:val="left" w:leader="none"/>
          <w:tab w:pos="2381" w:val="left" w:leader="none"/>
        </w:tabs>
        <w:spacing w:line="242" w:lineRule="auto" w:before="125" w:after="0"/>
        <w:ind w:left="2380" w:right="1908" w:hanging="793"/>
        <w:jc w:val="left"/>
        <w:rPr>
          <w:sz w:val="21"/>
        </w:rPr>
      </w:pPr>
      <w:r>
        <w:rPr>
          <w:w w:val="105"/>
          <w:sz w:val="21"/>
        </w:rPr>
        <w:t>Those</w:t>
      </w:r>
      <w:r>
        <w:rPr>
          <w:spacing w:val="-6"/>
          <w:w w:val="105"/>
          <w:sz w:val="21"/>
        </w:rPr>
        <w:t> </w:t>
      </w:r>
      <w:r>
        <w:rPr>
          <w:spacing w:val="-3"/>
          <w:w w:val="105"/>
          <w:sz w:val="21"/>
        </w:rPr>
        <w:t>holding</w:t>
      </w:r>
      <w:r>
        <w:rPr>
          <w:spacing w:val="-6"/>
          <w:w w:val="105"/>
          <w:sz w:val="21"/>
        </w:rPr>
        <w:t> </w:t>
      </w:r>
      <w:r>
        <w:rPr>
          <w:spacing w:val="-3"/>
          <w:w w:val="105"/>
          <w:sz w:val="21"/>
        </w:rPr>
        <w:t>funds</w:t>
      </w:r>
      <w:r>
        <w:rPr>
          <w:spacing w:val="-6"/>
          <w:w w:val="105"/>
          <w:sz w:val="21"/>
        </w:rPr>
        <w:t> </w:t>
      </w:r>
      <w:r>
        <w:rPr>
          <w:w w:val="105"/>
          <w:sz w:val="21"/>
        </w:rPr>
        <w:t>or</w:t>
      </w:r>
      <w:r>
        <w:rPr>
          <w:spacing w:val="-5"/>
          <w:w w:val="105"/>
          <w:sz w:val="21"/>
        </w:rPr>
        <w:t> </w:t>
      </w:r>
      <w:r>
        <w:rPr>
          <w:w w:val="105"/>
          <w:sz w:val="21"/>
        </w:rPr>
        <w:t>personal</w:t>
      </w:r>
      <w:r>
        <w:rPr>
          <w:spacing w:val="-6"/>
          <w:w w:val="105"/>
          <w:sz w:val="21"/>
        </w:rPr>
        <w:t> </w:t>
      </w:r>
      <w:r>
        <w:rPr>
          <w:w w:val="105"/>
          <w:sz w:val="21"/>
        </w:rPr>
        <w:t>property</w:t>
      </w:r>
      <w:r>
        <w:rPr>
          <w:spacing w:val="-6"/>
          <w:w w:val="105"/>
          <w:sz w:val="21"/>
        </w:rPr>
        <w:t> </w:t>
      </w:r>
      <w:r>
        <w:rPr>
          <w:spacing w:val="-3"/>
          <w:w w:val="105"/>
          <w:sz w:val="21"/>
        </w:rPr>
        <w:t>could</w:t>
      </w:r>
      <w:r>
        <w:rPr>
          <w:spacing w:val="-6"/>
          <w:w w:val="105"/>
          <w:sz w:val="21"/>
        </w:rPr>
        <w:t> </w:t>
      </w:r>
      <w:r>
        <w:rPr>
          <w:spacing w:val="-3"/>
          <w:w w:val="105"/>
          <w:sz w:val="21"/>
        </w:rPr>
        <w:t>include</w:t>
      </w:r>
      <w:r>
        <w:rPr>
          <w:spacing w:val="-5"/>
          <w:w w:val="105"/>
          <w:sz w:val="21"/>
        </w:rPr>
        <w:t> </w:t>
      </w:r>
      <w:r>
        <w:rPr>
          <w:spacing w:val="-3"/>
          <w:w w:val="105"/>
          <w:sz w:val="21"/>
        </w:rPr>
        <w:t>financial</w:t>
      </w:r>
      <w:r>
        <w:rPr>
          <w:spacing w:val="-6"/>
          <w:w w:val="105"/>
          <w:sz w:val="21"/>
        </w:rPr>
        <w:t> </w:t>
      </w:r>
      <w:r>
        <w:rPr>
          <w:spacing w:val="-3"/>
          <w:w w:val="105"/>
          <w:sz w:val="21"/>
        </w:rPr>
        <w:t>institutions,</w:t>
      </w:r>
      <w:r>
        <w:rPr>
          <w:spacing w:val="-6"/>
          <w:w w:val="105"/>
          <w:sz w:val="21"/>
        </w:rPr>
        <w:t> </w:t>
      </w:r>
      <w:r>
        <w:rPr>
          <w:w w:val="105"/>
          <w:sz w:val="21"/>
        </w:rPr>
        <w:t>hospitals, schools, employers and </w:t>
      </w:r>
      <w:r>
        <w:rPr>
          <w:spacing w:val="-3"/>
          <w:w w:val="105"/>
          <w:sz w:val="21"/>
        </w:rPr>
        <w:t>clubs, </w:t>
      </w:r>
      <w:r>
        <w:rPr>
          <w:w w:val="105"/>
          <w:sz w:val="21"/>
        </w:rPr>
        <w:t>among others. Aside </w:t>
      </w:r>
      <w:r>
        <w:rPr>
          <w:spacing w:val="-3"/>
          <w:w w:val="105"/>
          <w:sz w:val="21"/>
        </w:rPr>
        <w:t>from </w:t>
      </w:r>
      <w:r>
        <w:rPr>
          <w:w w:val="105"/>
          <w:sz w:val="21"/>
        </w:rPr>
        <w:t>banks, these bodies do </w:t>
      </w:r>
      <w:r>
        <w:rPr>
          <w:spacing w:val="-2"/>
          <w:w w:val="105"/>
          <w:sz w:val="21"/>
        </w:rPr>
        <w:t>not </w:t>
      </w:r>
      <w:r>
        <w:rPr>
          <w:w w:val="105"/>
          <w:sz w:val="21"/>
        </w:rPr>
        <w:t>otherwise </w:t>
      </w:r>
      <w:r>
        <w:rPr>
          <w:spacing w:val="-3"/>
          <w:w w:val="105"/>
          <w:sz w:val="21"/>
        </w:rPr>
        <w:t>have clear legislative guidance for </w:t>
      </w:r>
      <w:r>
        <w:rPr>
          <w:w w:val="105"/>
          <w:sz w:val="21"/>
        </w:rPr>
        <w:t>the release of these</w:t>
      </w:r>
      <w:r>
        <w:rPr>
          <w:spacing w:val="31"/>
          <w:w w:val="105"/>
          <w:sz w:val="21"/>
        </w:rPr>
        <w:t> </w:t>
      </w:r>
      <w:r>
        <w:rPr>
          <w:spacing w:val="-3"/>
          <w:w w:val="105"/>
          <w:sz w:val="21"/>
        </w:rPr>
        <w:t>funds.</w:t>
      </w:r>
    </w:p>
    <w:p>
      <w:pPr>
        <w:pStyle w:val="ListParagraph"/>
        <w:numPr>
          <w:ilvl w:val="1"/>
          <w:numId w:val="22"/>
        </w:numPr>
        <w:tabs>
          <w:tab w:pos="2381" w:val="left" w:leader="none"/>
        </w:tabs>
        <w:spacing w:line="242" w:lineRule="auto" w:before="123" w:after="0"/>
        <w:ind w:left="2380" w:right="1588" w:hanging="794"/>
        <w:jc w:val="both"/>
        <w:rPr>
          <w:sz w:val="21"/>
        </w:rPr>
      </w:pPr>
      <w:r>
        <w:rPr>
          <w:spacing w:val="-3"/>
          <w:sz w:val="21"/>
        </w:rPr>
        <w:t>Importantly, </w:t>
      </w:r>
      <w:r>
        <w:rPr>
          <w:sz w:val="21"/>
        </w:rPr>
        <w:t>neither the model </w:t>
      </w:r>
      <w:r>
        <w:rPr>
          <w:spacing w:val="-3"/>
          <w:sz w:val="21"/>
        </w:rPr>
        <w:t>provision </w:t>
      </w:r>
      <w:r>
        <w:rPr>
          <w:sz w:val="21"/>
        </w:rPr>
        <w:t>nor the existing section </w:t>
      </w:r>
      <w:r>
        <w:rPr>
          <w:spacing w:val="-4"/>
          <w:sz w:val="21"/>
        </w:rPr>
        <w:t>32 </w:t>
      </w:r>
      <w:r>
        <w:rPr>
          <w:spacing w:val="-2"/>
          <w:sz w:val="21"/>
        </w:rPr>
        <w:t>prevents </w:t>
      </w:r>
      <w:r>
        <w:rPr>
          <w:spacing w:val="-3"/>
          <w:sz w:val="21"/>
        </w:rPr>
        <w:t>anyone from making </w:t>
      </w:r>
      <w:r>
        <w:rPr>
          <w:sz w:val="21"/>
        </w:rPr>
        <w:t>payments of </w:t>
      </w:r>
      <w:r>
        <w:rPr>
          <w:spacing w:val="-3"/>
          <w:sz w:val="21"/>
        </w:rPr>
        <w:t>any amount to informal administrators. </w:t>
      </w:r>
      <w:r>
        <w:rPr>
          <w:spacing w:val="-4"/>
          <w:sz w:val="21"/>
        </w:rPr>
        <w:t>However, </w:t>
      </w:r>
      <w:r>
        <w:rPr>
          <w:spacing w:val="-3"/>
          <w:sz w:val="21"/>
        </w:rPr>
        <w:t>anyone transferring </w:t>
      </w:r>
      <w:r>
        <w:rPr>
          <w:sz w:val="21"/>
        </w:rPr>
        <w:t>more </w:t>
      </w:r>
      <w:r>
        <w:rPr>
          <w:spacing w:val="-3"/>
          <w:sz w:val="21"/>
        </w:rPr>
        <w:t>than </w:t>
      </w:r>
      <w:r>
        <w:rPr>
          <w:sz w:val="21"/>
        </w:rPr>
        <w:t>the </w:t>
      </w:r>
      <w:r>
        <w:rPr>
          <w:spacing w:val="-3"/>
          <w:sz w:val="21"/>
        </w:rPr>
        <w:t>amount </w:t>
      </w:r>
      <w:r>
        <w:rPr>
          <w:sz w:val="21"/>
        </w:rPr>
        <w:t>set out </w:t>
      </w:r>
      <w:r>
        <w:rPr>
          <w:spacing w:val="-3"/>
          <w:sz w:val="21"/>
        </w:rPr>
        <w:t>will </w:t>
      </w:r>
      <w:r>
        <w:rPr>
          <w:spacing w:val="-2"/>
          <w:sz w:val="21"/>
        </w:rPr>
        <w:t>not </w:t>
      </w:r>
      <w:r>
        <w:rPr>
          <w:sz w:val="21"/>
        </w:rPr>
        <w:t>be able </w:t>
      </w:r>
      <w:r>
        <w:rPr>
          <w:spacing w:val="-3"/>
          <w:sz w:val="21"/>
        </w:rPr>
        <w:t>to </w:t>
      </w:r>
      <w:r>
        <w:rPr>
          <w:sz w:val="21"/>
        </w:rPr>
        <w:t>obtain a </w:t>
      </w:r>
      <w:r>
        <w:rPr>
          <w:spacing w:val="-3"/>
          <w:sz w:val="21"/>
        </w:rPr>
        <w:t>discharge </w:t>
      </w:r>
      <w:r>
        <w:rPr>
          <w:sz w:val="21"/>
        </w:rPr>
        <w:t>of </w:t>
      </w:r>
      <w:r>
        <w:rPr>
          <w:spacing w:val="-3"/>
          <w:sz w:val="21"/>
        </w:rPr>
        <w:t>liability</w:t>
      </w:r>
      <w:r>
        <w:rPr>
          <w:spacing w:val="-6"/>
          <w:sz w:val="21"/>
        </w:rPr>
        <w:t> </w:t>
      </w:r>
      <w:r>
        <w:rPr>
          <w:sz w:val="21"/>
        </w:rPr>
        <w:t>under</w:t>
      </w:r>
    </w:p>
    <w:p>
      <w:pPr>
        <w:pStyle w:val="BodyText"/>
        <w:spacing w:before="3"/>
        <w:ind w:left="2380"/>
      </w:pPr>
      <w:r>
        <w:rPr>
          <w:w w:val="105"/>
        </w:rPr>
        <w:t>the section.</w:t>
      </w:r>
    </w:p>
    <w:p>
      <w:pPr>
        <w:pStyle w:val="ListParagraph"/>
        <w:numPr>
          <w:ilvl w:val="1"/>
          <w:numId w:val="22"/>
        </w:numPr>
        <w:tabs>
          <w:tab w:pos="2380" w:val="left" w:leader="none"/>
          <w:tab w:pos="2381" w:val="left" w:leader="none"/>
        </w:tabs>
        <w:spacing w:line="242" w:lineRule="auto" w:before="124" w:after="0"/>
        <w:ind w:left="2380" w:right="1949" w:hanging="794"/>
        <w:jc w:val="left"/>
        <w:rPr>
          <w:sz w:val="12"/>
        </w:rPr>
      </w:pPr>
      <w:r>
        <w:rPr>
          <w:w w:val="105"/>
          <w:sz w:val="21"/>
        </w:rPr>
        <w:t>The majority of </w:t>
      </w:r>
      <w:r>
        <w:rPr>
          <w:spacing w:val="-3"/>
          <w:w w:val="105"/>
          <w:sz w:val="21"/>
        </w:rPr>
        <w:t>submissions </w:t>
      </w:r>
      <w:r>
        <w:rPr>
          <w:w w:val="105"/>
          <w:sz w:val="21"/>
        </w:rPr>
        <w:t>supported the expansion of section </w:t>
      </w:r>
      <w:r>
        <w:rPr>
          <w:spacing w:val="-4"/>
          <w:w w:val="105"/>
          <w:sz w:val="21"/>
        </w:rPr>
        <w:t>32 </w:t>
      </w:r>
      <w:r>
        <w:rPr>
          <w:w w:val="105"/>
          <w:sz w:val="21"/>
        </w:rPr>
        <w:t>in </w:t>
      </w:r>
      <w:r>
        <w:rPr>
          <w:spacing w:val="-3"/>
          <w:w w:val="105"/>
          <w:sz w:val="21"/>
        </w:rPr>
        <w:t>line </w:t>
      </w:r>
      <w:r>
        <w:rPr>
          <w:w w:val="105"/>
          <w:sz w:val="21"/>
        </w:rPr>
        <w:t>with the proposed model </w:t>
      </w:r>
      <w:r>
        <w:rPr>
          <w:spacing w:val="-2"/>
          <w:w w:val="105"/>
          <w:sz w:val="21"/>
        </w:rPr>
        <w:t>provision.</w:t>
      </w:r>
      <w:r>
        <w:rPr>
          <w:spacing w:val="-2"/>
          <w:w w:val="105"/>
          <w:position w:val="7"/>
          <w:sz w:val="12"/>
        </w:rPr>
        <w:t>68 </w:t>
      </w:r>
      <w:r>
        <w:rPr>
          <w:w w:val="105"/>
          <w:sz w:val="21"/>
        </w:rPr>
        <w:t>The </w:t>
      </w:r>
      <w:r>
        <w:rPr>
          <w:spacing w:val="-3"/>
          <w:w w:val="105"/>
          <w:sz w:val="21"/>
        </w:rPr>
        <w:t>form </w:t>
      </w:r>
      <w:r>
        <w:rPr>
          <w:w w:val="105"/>
          <w:sz w:val="21"/>
        </w:rPr>
        <w:t>of the </w:t>
      </w:r>
      <w:r>
        <w:rPr>
          <w:spacing w:val="-3"/>
          <w:w w:val="105"/>
          <w:sz w:val="21"/>
        </w:rPr>
        <w:t>provision </w:t>
      </w:r>
      <w:r>
        <w:rPr>
          <w:w w:val="105"/>
          <w:sz w:val="21"/>
        </w:rPr>
        <w:t>was described as </w:t>
      </w:r>
      <w:r>
        <w:rPr>
          <w:spacing w:val="-6"/>
          <w:w w:val="105"/>
          <w:sz w:val="21"/>
        </w:rPr>
        <w:t>‘clear, </w:t>
      </w:r>
      <w:r>
        <w:rPr>
          <w:spacing w:val="-3"/>
          <w:w w:val="105"/>
          <w:sz w:val="21"/>
        </w:rPr>
        <w:t>concise </w:t>
      </w:r>
      <w:r>
        <w:rPr>
          <w:w w:val="105"/>
          <w:sz w:val="21"/>
        </w:rPr>
        <w:t>and </w:t>
      </w:r>
      <w:r>
        <w:rPr>
          <w:spacing w:val="-4"/>
          <w:w w:val="105"/>
          <w:sz w:val="21"/>
        </w:rPr>
        <w:t>helpful’,</w:t>
      </w:r>
      <w:r>
        <w:rPr>
          <w:spacing w:val="-4"/>
          <w:w w:val="105"/>
          <w:position w:val="7"/>
          <w:sz w:val="12"/>
        </w:rPr>
        <w:t>69  </w:t>
      </w:r>
      <w:r>
        <w:rPr>
          <w:w w:val="105"/>
          <w:sz w:val="21"/>
        </w:rPr>
        <w:t>and there was support </w:t>
      </w:r>
      <w:r>
        <w:rPr>
          <w:spacing w:val="-3"/>
          <w:w w:val="105"/>
          <w:sz w:val="21"/>
        </w:rPr>
        <w:t>for raising </w:t>
      </w:r>
      <w:r>
        <w:rPr>
          <w:w w:val="105"/>
          <w:sz w:val="21"/>
        </w:rPr>
        <w:t>the </w:t>
      </w:r>
      <w:r>
        <w:rPr>
          <w:spacing w:val="-2"/>
          <w:w w:val="105"/>
          <w:sz w:val="21"/>
        </w:rPr>
        <w:t>dollar </w:t>
      </w:r>
      <w:r>
        <w:rPr>
          <w:spacing w:val="-3"/>
          <w:w w:val="105"/>
          <w:sz w:val="21"/>
        </w:rPr>
        <w:t>value for funds that may   </w:t>
      </w:r>
      <w:r>
        <w:rPr>
          <w:w w:val="105"/>
          <w:sz w:val="21"/>
        </w:rPr>
        <w:t>be</w:t>
      </w:r>
      <w:r>
        <w:rPr>
          <w:spacing w:val="5"/>
          <w:w w:val="105"/>
          <w:sz w:val="21"/>
        </w:rPr>
        <w:t> </w:t>
      </w:r>
      <w:r>
        <w:rPr>
          <w:spacing w:val="-3"/>
          <w:w w:val="105"/>
          <w:sz w:val="21"/>
        </w:rPr>
        <w:t>released.</w:t>
      </w:r>
      <w:r>
        <w:rPr>
          <w:spacing w:val="-3"/>
          <w:w w:val="105"/>
          <w:position w:val="7"/>
          <w:sz w:val="12"/>
        </w:rPr>
        <w:t>70</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1"/>
        </w:rPr>
      </w:pPr>
      <w:r>
        <w:rPr/>
        <w:pict>
          <v:line style="position:absolute;mso-position-horizontal-relative:page;mso-position-vertical-relative:paragraph;z-index:11768;mso-wrap-distance-left:0;mso-wrap-distance-right:0" from="79.370003pt,9.254161pt" to="515.905003pt,9.254161pt" stroked="true" strokeweight="1pt" strokecolor="#f9ceca">
            <v:stroke dashstyle="solid"/>
            <w10:wrap type="topAndBottom"/>
          </v:line>
        </w:pict>
      </w:r>
    </w:p>
    <w:p>
      <w:pPr>
        <w:pStyle w:val="BodyText"/>
        <w:spacing w:before="8"/>
        <w:rPr>
          <w:sz w:val="5"/>
        </w:rPr>
      </w:pPr>
    </w:p>
    <w:p>
      <w:pPr>
        <w:spacing w:after="0"/>
        <w:rPr>
          <w:sz w:val="5"/>
        </w:rPr>
        <w:sectPr>
          <w:pgSz w:w="11910" w:h="16840"/>
          <w:pgMar w:header="550" w:footer="0" w:top="1560" w:bottom="280" w:left="0" w:right="0"/>
        </w:sectPr>
      </w:pPr>
    </w:p>
    <w:p>
      <w:pPr>
        <w:pStyle w:val="BodyText"/>
        <w:rPr>
          <w:sz w:val="28"/>
        </w:rPr>
      </w:pPr>
    </w:p>
    <w:p>
      <w:pPr>
        <w:pStyle w:val="BodyText"/>
        <w:spacing w:before="1"/>
        <w:rPr>
          <w:sz w:val="34"/>
        </w:rPr>
      </w:pPr>
    </w:p>
    <w:p>
      <w:pPr>
        <w:spacing w:before="0"/>
        <w:ind w:left="720" w:right="0" w:firstLine="0"/>
        <w:jc w:val="left"/>
        <w:rPr>
          <w:b/>
          <w:sz w:val="24"/>
        </w:rPr>
      </w:pPr>
      <w:r>
        <w:rPr>
          <w:b/>
          <w:color w:val="EC5A4F"/>
          <w:w w:val="110"/>
          <w:sz w:val="24"/>
        </w:rPr>
        <w:t>200</w:t>
      </w:r>
    </w:p>
    <w:p>
      <w:pPr>
        <w:pStyle w:val="ListParagraph"/>
        <w:numPr>
          <w:ilvl w:val="0"/>
          <w:numId w:val="140"/>
        </w:numPr>
        <w:tabs>
          <w:tab w:pos="1215" w:val="left" w:leader="none"/>
          <w:tab w:pos="1216" w:val="left" w:leader="none"/>
        </w:tabs>
        <w:spacing w:line="240" w:lineRule="auto" w:before="48" w:after="0"/>
        <w:ind w:left="1215" w:right="1692" w:hanging="794"/>
        <w:jc w:val="left"/>
        <w:rPr>
          <w:sz w:val="13"/>
        </w:rPr>
      </w:pPr>
      <w:r>
        <w:rPr>
          <w:spacing w:val="3"/>
          <w:w w:val="102"/>
          <w:sz w:val="13"/>
        </w:rPr>
        <w:br w:type="column"/>
      </w:r>
      <w:r>
        <w:rPr>
          <w:w w:val="105"/>
          <w:sz w:val="13"/>
        </w:rPr>
        <w:t>The transaction itself </w:t>
      </w:r>
      <w:r>
        <w:rPr>
          <w:spacing w:val="2"/>
          <w:w w:val="105"/>
          <w:sz w:val="13"/>
        </w:rPr>
        <w:t>effects </w:t>
      </w:r>
      <w:r>
        <w:rPr>
          <w:w w:val="105"/>
          <w:sz w:val="13"/>
        </w:rPr>
        <w:t>the release, not the provision of a signed receipt as in the Victorian provision: </w:t>
      </w:r>
      <w:r>
        <w:rPr>
          <w:i/>
          <w:w w:val="105"/>
          <w:sz w:val="13"/>
        </w:rPr>
        <w:t>Administration and Probate Act </w:t>
      </w:r>
      <w:r>
        <w:rPr>
          <w:i/>
          <w:w w:val="105"/>
          <w:sz w:val="13"/>
        </w:rPr>
        <w:t>1958 </w:t>
      </w:r>
      <w:r>
        <w:rPr>
          <w:spacing w:val="2"/>
          <w:w w:val="105"/>
          <w:sz w:val="13"/>
        </w:rPr>
        <w:t>(Vic) </w:t>
      </w:r>
      <w:r>
        <w:rPr>
          <w:w w:val="105"/>
          <w:sz w:val="13"/>
        </w:rPr>
        <w:t>s</w:t>
      </w:r>
      <w:r>
        <w:rPr>
          <w:spacing w:val="11"/>
          <w:w w:val="105"/>
          <w:sz w:val="13"/>
        </w:rPr>
        <w:t> </w:t>
      </w:r>
      <w:r>
        <w:rPr>
          <w:w w:val="105"/>
          <w:sz w:val="13"/>
        </w:rPr>
        <w:t>32.</w:t>
      </w:r>
    </w:p>
    <w:p>
      <w:pPr>
        <w:pStyle w:val="ListParagraph"/>
        <w:numPr>
          <w:ilvl w:val="0"/>
          <w:numId w:val="140"/>
        </w:numPr>
        <w:tabs>
          <w:tab w:pos="1215" w:val="left" w:leader="none"/>
          <w:tab w:pos="1216" w:val="left" w:leader="none"/>
        </w:tabs>
        <w:spacing w:line="240" w:lineRule="auto" w:before="3" w:after="0"/>
        <w:ind w:left="1215" w:right="2222" w:hanging="794"/>
        <w:jc w:val="left"/>
        <w:rPr>
          <w:sz w:val="13"/>
        </w:rPr>
      </w:pPr>
      <w:r>
        <w:rPr>
          <w:w w:val="105"/>
          <w:sz w:val="13"/>
        </w:rPr>
        <w:t>Submissions 8 (Patricia Strachan); </w:t>
      </w:r>
      <w:r>
        <w:rPr>
          <w:spacing w:val="-3"/>
          <w:w w:val="105"/>
          <w:sz w:val="13"/>
        </w:rPr>
        <w:t>14 </w:t>
      </w:r>
      <w:r>
        <w:rPr>
          <w:w w:val="105"/>
          <w:sz w:val="13"/>
        </w:rPr>
        <w:t>(Commercial Bar </w:t>
      </w:r>
      <w:r>
        <w:rPr>
          <w:spacing w:val="2"/>
          <w:w w:val="105"/>
          <w:sz w:val="13"/>
        </w:rPr>
        <w:t>Association); </w:t>
      </w:r>
      <w:r>
        <w:rPr>
          <w:spacing w:val="-3"/>
          <w:w w:val="105"/>
          <w:sz w:val="13"/>
        </w:rPr>
        <w:t>19 </w:t>
      </w:r>
      <w:r>
        <w:rPr>
          <w:spacing w:val="2"/>
          <w:w w:val="105"/>
          <w:sz w:val="13"/>
        </w:rPr>
        <w:t>(Association </w:t>
      </w:r>
      <w:r>
        <w:rPr>
          <w:w w:val="105"/>
          <w:sz w:val="13"/>
        </w:rPr>
        <w:t>of Independent Retirees); 25 </w:t>
      </w:r>
      <w:r>
        <w:rPr>
          <w:spacing w:val="2"/>
          <w:w w:val="105"/>
          <w:sz w:val="13"/>
        </w:rPr>
        <w:t>(Moores </w:t>
      </w:r>
      <w:r>
        <w:rPr>
          <w:w w:val="105"/>
          <w:sz w:val="13"/>
        </w:rPr>
        <w:t>Legal); </w:t>
      </w:r>
      <w:r>
        <w:rPr>
          <w:spacing w:val="2"/>
          <w:w w:val="105"/>
          <w:sz w:val="13"/>
        </w:rPr>
        <w:t>30b </w:t>
      </w:r>
      <w:r>
        <w:rPr>
          <w:spacing w:val="3"/>
          <w:w w:val="105"/>
          <w:sz w:val="13"/>
        </w:rPr>
        <w:t>(Law </w:t>
      </w:r>
      <w:r>
        <w:rPr>
          <w:w w:val="105"/>
          <w:sz w:val="13"/>
        </w:rPr>
        <w:t>Institute of </w:t>
      </w:r>
      <w:r>
        <w:rPr>
          <w:spacing w:val="2"/>
          <w:w w:val="105"/>
          <w:sz w:val="13"/>
        </w:rPr>
        <w:t>Victoria); </w:t>
      </w:r>
      <w:r>
        <w:rPr>
          <w:w w:val="105"/>
          <w:sz w:val="13"/>
        </w:rPr>
        <w:t>33 (State Trustees</w:t>
      </w:r>
      <w:r>
        <w:rPr>
          <w:spacing w:val="27"/>
          <w:w w:val="105"/>
          <w:sz w:val="13"/>
        </w:rPr>
        <w:t> </w:t>
      </w:r>
      <w:r>
        <w:rPr>
          <w:w w:val="105"/>
          <w:sz w:val="13"/>
        </w:rPr>
        <w:t>Limited).</w:t>
      </w:r>
    </w:p>
    <w:p>
      <w:pPr>
        <w:pStyle w:val="ListParagraph"/>
        <w:numPr>
          <w:ilvl w:val="0"/>
          <w:numId w:val="140"/>
        </w:numPr>
        <w:tabs>
          <w:tab w:pos="1215" w:val="left" w:leader="none"/>
          <w:tab w:pos="1216" w:val="left" w:leader="none"/>
        </w:tabs>
        <w:spacing w:line="240" w:lineRule="auto" w:before="2" w:after="0"/>
        <w:ind w:left="1215" w:right="0" w:hanging="794"/>
        <w:jc w:val="left"/>
        <w:rPr>
          <w:sz w:val="13"/>
        </w:rPr>
      </w:pPr>
      <w:r>
        <w:rPr>
          <w:w w:val="105"/>
          <w:sz w:val="13"/>
        </w:rPr>
        <w:t>Submission 25 </w:t>
      </w:r>
      <w:r>
        <w:rPr>
          <w:spacing w:val="2"/>
          <w:w w:val="105"/>
          <w:sz w:val="13"/>
        </w:rPr>
        <w:t>(Moores</w:t>
      </w:r>
      <w:r>
        <w:rPr>
          <w:spacing w:val="13"/>
          <w:w w:val="105"/>
          <w:sz w:val="13"/>
        </w:rPr>
        <w:t> </w:t>
      </w:r>
      <w:r>
        <w:rPr>
          <w:w w:val="105"/>
          <w:sz w:val="13"/>
        </w:rPr>
        <w:t>Legal).</w:t>
      </w:r>
    </w:p>
    <w:p>
      <w:pPr>
        <w:pStyle w:val="ListParagraph"/>
        <w:numPr>
          <w:ilvl w:val="0"/>
          <w:numId w:val="140"/>
        </w:numPr>
        <w:tabs>
          <w:tab w:pos="1215" w:val="left" w:leader="none"/>
          <w:tab w:pos="1216" w:val="left" w:leader="none"/>
        </w:tabs>
        <w:spacing w:line="240" w:lineRule="auto" w:before="2" w:after="0"/>
        <w:ind w:left="1215" w:right="0" w:hanging="794"/>
        <w:jc w:val="left"/>
        <w:rPr>
          <w:sz w:val="13"/>
        </w:rPr>
      </w:pPr>
      <w:r>
        <w:rPr>
          <w:w w:val="105"/>
          <w:sz w:val="13"/>
        </w:rPr>
        <w:t>See, eg, submission 8 (Patricia</w:t>
      </w:r>
      <w:r>
        <w:rPr>
          <w:spacing w:val="22"/>
          <w:w w:val="105"/>
          <w:sz w:val="13"/>
        </w:rPr>
        <w:t> </w:t>
      </w:r>
      <w:r>
        <w:rPr>
          <w:w w:val="105"/>
          <w:sz w:val="13"/>
        </w:rPr>
        <w:t>Strachan).</w:t>
      </w:r>
    </w:p>
    <w:p>
      <w:pPr>
        <w:spacing w:after="0" w:line="240" w:lineRule="auto"/>
        <w:jc w:val="left"/>
        <w:rPr>
          <w:sz w:val="13"/>
        </w:rPr>
        <w:sectPr>
          <w:type w:val="continuous"/>
          <w:pgSz w:w="11910" w:h="16840"/>
          <w:pgMar w:top="920" w:bottom="280" w:left="0" w:right="0"/>
          <w:cols w:num="2" w:equalWidth="0">
            <w:col w:w="1126" w:space="40"/>
            <w:col w:w="10744"/>
          </w:cols>
        </w:sectPr>
      </w:pPr>
    </w:p>
    <w:p>
      <w:pPr>
        <w:pStyle w:val="BodyText"/>
        <w:rPr>
          <w:sz w:val="20"/>
        </w:rPr>
      </w:pPr>
    </w:p>
    <w:p>
      <w:pPr>
        <w:pStyle w:val="BodyText"/>
        <w:spacing w:before="11" w:after="1"/>
        <w:rPr>
          <w:sz w:val="29"/>
        </w:rPr>
      </w:pPr>
    </w:p>
    <w:p>
      <w:pPr>
        <w:pStyle w:val="BodyText"/>
        <w:ind w:left="1222"/>
        <w:rPr>
          <w:sz w:val="20"/>
        </w:rPr>
      </w:pPr>
      <w:r>
        <w:rPr>
          <w:sz w:val="20"/>
        </w:rPr>
        <w:pict>
          <v:group style="width:479.1pt;height:256.55pt;mso-position-horizontal-relative:char;mso-position-vertical-relative:line" coordorigin="0,0" coordsize="9582,5131">
            <v:rect style="position:absolute;left:340;top:0;width:8731;height:5131" filled="true" fillcolor="#fdebea" stroked="false">
              <v:fill type="solid"/>
            </v:rect>
            <v:line style="position:absolute" from="0,751" to="9581,751" stroked="true" strokeweight="2.5pt" strokecolor="#ffffff">
              <v:stroke dashstyle="solid"/>
            </v:line>
            <v:shape style="position:absolute;left:1133;top:987;width:7724;height:3970" type="#_x0000_t202" filled="false" stroked="false">
              <v:textbox inset="0,0,0,0">
                <w:txbxContent>
                  <w:p>
                    <w:pPr>
                      <w:spacing w:line="240" w:lineRule="auto" w:before="0"/>
                      <w:ind w:left="0" w:right="423" w:firstLine="0"/>
                      <w:jc w:val="left"/>
                      <w:rPr>
                        <w:sz w:val="21"/>
                      </w:rPr>
                    </w:pPr>
                    <w:bookmarkStart w:name="Removing costs barriers to formal admini" w:id="150"/>
                    <w:bookmarkEnd w:id="150"/>
                    <w:r>
                      <w:rPr/>
                    </w:r>
                    <w:r>
                      <w:rPr>
                        <w:w w:val="105"/>
                        <w:sz w:val="21"/>
                      </w:rPr>
                      <w:t>Drawing on model legislation proposed  by  the  National  Committee  for Uniform Succession Laws, section 32 of the </w:t>
                    </w:r>
                    <w:r>
                      <w:rPr>
                        <w:rFonts w:ascii="Lucida Sans"/>
                        <w:i/>
                        <w:w w:val="105"/>
                        <w:sz w:val="21"/>
                      </w:rPr>
                      <w:t>Administration and Probate Act </w:t>
                    </w:r>
                    <w:r>
                      <w:rPr>
                        <w:rFonts w:ascii="Lucida Sans"/>
                        <w:i/>
                        <w:spacing w:val="-4"/>
                        <w:w w:val="105"/>
                        <w:sz w:val="21"/>
                      </w:rPr>
                      <w:t>1958 </w:t>
                    </w:r>
                    <w:r>
                      <w:rPr>
                        <w:w w:val="105"/>
                        <w:sz w:val="21"/>
                      </w:rPr>
                      <w:t>(Vic) should be amended</w:t>
                    </w:r>
                    <w:r>
                      <w:rPr>
                        <w:spacing w:val="18"/>
                        <w:w w:val="105"/>
                        <w:sz w:val="21"/>
                      </w:rPr>
                      <w:t> </w:t>
                    </w:r>
                    <w:r>
                      <w:rPr>
                        <w:w w:val="105"/>
                        <w:sz w:val="21"/>
                      </w:rPr>
                      <w:t>to:</w:t>
                    </w:r>
                  </w:p>
                  <w:p>
                    <w:pPr>
                      <w:numPr>
                        <w:ilvl w:val="0"/>
                        <w:numId w:val="144"/>
                      </w:numPr>
                      <w:tabs>
                        <w:tab w:pos="341" w:val="left" w:leader="none"/>
                      </w:tabs>
                      <w:spacing w:before="121"/>
                      <w:ind w:left="340" w:right="0" w:hanging="340"/>
                      <w:jc w:val="left"/>
                      <w:rPr>
                        <w:sz w:val="21"/>
                      </w:rPr>
                    </w:pPr>
                    <w:r>
                      <w:rPr>
                        <w:w w:val="115"/>
                        <w:sz w:val="21"/>
                      </w:rPr>
                      <w:t>provide</w:t>
                    </w:r>
                    <w:r>
                      <w:rPr>
                        <w:spacing w:val="-6"/>
                        <w:w w:val="115"/>
                        <w:sz w:val="21"/>
                      </w:rPr>
                      <w:t> </w:t>
                    </w:r>
                    <w:r>
                      <w:rPr>
                        <w:w w:val="115"/>
                        <w:sz w:val="21"/>
                      </w:rPr>
                      <w:t>a</w:t>
                    </w:r>
                    <w:r>
                      <w:rPr>
                        <w:spacing w:val="-5"/>
                        <w:w w:val="115"/>
                        <w:sz w:val="21"/>
                      </w:rPr>
                      <w:t> </w:t>
                    </w:r>
                    <w:r>
                      <w:rPr>
                        <w:w w:val="115"/>
                        <w:sz w:val="21"/>
                      </w:rPr>
                      <w:t>discharge</w:t>
                    </w:r>
                    <w:r>
                      <w:rPr>
                        <w:spacing w:val="-5"/>
                        <w:w w:val="115"/>
                        <w:sz w:val="21"/>
                      </w:rPr>
                      <w:t> </w:t>
                    </w:r>
                    <w:r>
                      <w:rPr>
                        <w:w w:val="115"/>
                        <w:sz w:val="21"/>
                      </w:rPr>
                      <w:t>of</w:t>
                    </w:r>
                    <w:r>
                      <w:rPr>
                        <w:spacing w:val="-5"/>
                        <w:w w:val="115"/>
                        <w:sz w:val="21"/>
                      </w:rPr>
                      <w:t> </w:t>
                    </w:r>
                    <w:r>
                      <w:rPr>
                        <w:w w:val="115"/>
                        <w:sz w:val="21"/>
                      </w:rPr>
                      <w:t>liability</w:t>
                    </w:r>
                    <w:r>
                      <w:rPr>
                        <w:spacing w:val="-5"/>
                        <w:w w:val="115"/>
                        <w:sz w:val="21"/>
                      </w:rPr>
                      <w:t> </w:t>
                    </w:r>
                    <w:r>
                      <w:rPr>
                        <w:w w:val="115"/>
                        <w:sz w:val="21"/>
                      </w:rPr>
                      <w:t>in</w:t>
                    </w:r>
                    <w:r>
                      <w:rPr>
                        <w:spacing w:val="-5"/>
                        <w:w w:val="115"/>
                        <w:sz w:val="21"/>
                      </w:rPr>
                      <w:t> </w:t>
                    </w:r>
                    <w:r>
                      <w:rPr>
                        <w:w w:val="115"/>
                        <w:sz w:val="21"/>
                      </w:rPr>
                      <w:t>respect</w:t>
                    </w:r>
                    <w:r>
                      <w:rPr>
                        <w:spacing w:val="-6"/>
                        <w:w w:val="115"/>
                        <w:sz w:val="21"/>
                      </w:rPr>
                      <w:t> </w:t>
                    </w:r>
                    <w:r>
                      <w:rPr>
                        <w:w w:val="115"/>
                        <w:sz w:val="21"/>
                      </w:rPr>
                      <w:t>of</w:t>
                    </w:r>
                    <w:r>
                      <w:rPr>
                        <w:spacing w:val="-5"/>
                        <w:w w:val="115"/>
                        <w:sz w:val="21"/>
                      </w:rPr>
                      <w:t> </w:t>
                    </w:r>
                    <w:r>
                      <w:rPr>
                        <w:w w:val="115"/>
                        <w:sz w:val="21"/>
                      </w:rPr>
                      <w:t>payments</w:t>
                    </w:r>
                    <w:r>
                      <w:rPr>
                        <w:spacing w:val="-5"/>
                        <w:w w:val="115"/>
                        <w:sz w:val="21"/>
                      </w:rPr>
                      <w:t> </w:t>
                    </w:r>
                    <w:r>
                      <w:rPr>
                        <w:w w:val="115"/>
                        <w:sz w:val="21"/>
                      </w:rPr>
                      <w:t>of</w:t>
                    </w:r>
                    <w:r>
                      <w:rPr>
                        <w:spacing w:val="-5"/>
                        <w:w w:val="115"/>
                        <w:sz w:val="21"/>
                      </w:rPr>
                      <w:t> </w:t>
                    </w:r>
                    <w:r>
                      <w:rPr>
                        <w:w w:val="115"/>
                        <w:sz w:val="21"/>
                      </w:rPr>
                      <w:t>$25,000</w:t>
                    </w:r>
                    <w:r>
                      <w:rPr>
                        <w:spacing w:val="-5"/>
                        <w:w w:val="115"/>
                        <w:sz w:val="21"/>
                      </w:rPr>
                      <w:t> </w:t>
                    </w:r>
                    <w:r>
                      <w:rPr>
                        <w:w w:val="115"/>
                        <w:sz w:val="21"/>
                      </w:rPr>
                      <w:t>or</w:t>
                    </w:r>
                    <w:r>
                      <w:rPr>
                        <w:spacing w:val="-5"/>
                        <w:w w:val="115"/>
                        <w:sz w:val="21"/>
                      </w:rPr>
                      <w:t> </w:t>
                    </w:r>
                    <w:r>
                      <w:rPr>
                        <w:w w:val="115"/>
                        <w:sz w:val="21"/>
                      </w:rPr>
                      <w:t>less</w:t>
                    </w:r>
                  </w:p>
                  <w:p>
                    <w:pPr>
                      <w:numPr>
                        <w:ilvl w:val="0"/>
                        <w:numId w:val="144"/>
                      </w:numPr>
                      <w:tabs>
                        <w:tab w:pos="341" w:val="left" w:leader="none"/>
                      </w:tabs>
                      <w:spacing w:line="242" w:lineRule="auto" w:before="124"/>
                      <w:ind w:left="340" w:right="138" w:hanging="340"/>
                      <w:jc w:val="left"/>
                      <w:rPr>
                        <w:sz w:val="21"/>
                      </w:rPr>
                    </w:pPr>
                    <w:r>
                      <w:rPr>
                        <w:w w:val="115"/>
                        <w:sz w:val="21"/>
                      </w:rPr>
                      <w:t>provide</w:t>
                    </w:r>
                    <w:r>
                      <w:rPr>
                        <w:spacing w:val="-6"/>
                        <w:w w:val="115"/>
                        <w:sz w:val="21"/>
                      </w:rPr>
                      <w:t> </w:t>
                    </w:r>
                    <w:r>
                      <w:rPr>
                        <w:w w:val="115"/>
                        <w:sz w:val="21"/>
                      </w:rPr>
                      <w:t>that</w:t>
                    </w:r>
                    <w:r>
                      <w:rPr>
                        <w:spacing w:val="-6"/>
                        <w:w w:val="115"/>
                        <w:sz w:val="21"/>
                      </w:rPr>
                      <w:t> </w:t>
                    </w:r>
                    <w:r>
                      <w:rPr>
                        <w:w w:val="115"/>
                        <w:sz w:val="21"/>
                      </w:rPr>
                      <w:t>the</w:t>
                    </w:r>
                    <w:r>
                      <w:rPr>
                        <w:spacing w:val="-6"/>
                        <w:w w:val="115"/>
                        <w:sz w:val="21"/>
                      </w:rPr>
                      <w:t> </w:t>
                    </w:r>
                    <w:r>
                      <w:rPr>
                        <w:w w:val="115"/>
                        <w:sz w:val="21"/>
                      </w:rPr>
                      <w:t>$25,000</w:t>
                    </w:r>
                    <w:r>
                      <w:rPr>
                        <w:spacing w:val="-6"/>
                        <w:w w:val="115"/>
                        <w:sz w:val="21"/>
                      </w:rPr>
                      <w:t> </w:t>
                    </w:r>
                    <w:r>
                      <w:rPr>
                        <w:spacing w:val="-3"/>
                        <w:w w:val="115"/>
                        <w:sz w:val="21"/>
                      </w:rPr>
                      <w:t>limit</w:t>
                    </w:r>
                    <w:r>
                      <w:rPr>
                        <w:spacing w:val="-5"/>
                        <w:w w:val="115"/>
                        <w:sz w:val="21"/>
                      </w:rPr>
                      <w:t> </w:t>
                    </w:r>
                    <w:r>
                      <w:rPr>
                        <w:spacing w:val="-3"/>
                        <w:w w:val="115"/>
                        <w:sz w:val="21"/>
                      </w:rPr>
                      <w:t>will</w:t>
                    </w:r>
                    <w:r>
                      <w:rPr>
                        <w:spacing w:val="-6"/>
                        <w:w w:val="115"/>
                        <w:sz w:val="21"/>
                      </w:rPr>
                      <w:t> </w:t>
                    </w:r>
                    <w:r>
                      <w:rPr>
                        <w:w w:val="115"/>
                        <w:sz w:val="21"/>
                      </w:rPr>
                      <w:t>be</w:t>
                    </w:r>
                    <w:r>
                      <w:rPr>
                        <w:spacing w:val="-6"/>
                        <w:w w:val="115"/>
                        <w:sz w:val="21"/>
                      </w:rPr>
                      <w:t> </w:t>
                    </w:r>
                    <w:r>
                      <w:rPr>
                        <w:w w:val="115"/>
                        <w:sz w:val="21"/>
                      </w:rPr>
                      <w:t>adjusted</w:t>
                    </w:r>
                    <w:r>
                      <w:rPr>
                        <w:spacing w:val="-6"/>
                        <w:w w:val="115"/>
                        <w:sz w:val="21"/>
                      </w:rPr>
                      <w:t> </w:t>
                    </w:r>
                    <w:r>
                      <w:rPr>
                        <w:w w:val="115"/>
                        <w:sz w:val="21"/>
                      </w:rPr>
                      <w:t>quarterly</w:t>
                    </w:r>
                    <w:r>
                      <w:rPr>
                        <w:spacing w:val="-5"/>
                        <w:w w:val="115"/>
                        <w:sz w:val="21"/>
                      </w:rPr>
                      <w:t> </w:t>
                    </w:r>
                    <w:r>
                      <w:rPr>
                        <w:w w:val="115"/>
                        <w:sz w:val="21"/>
                      </w:rPr>
                      <w:t>to</w:t>
                    </w:r>
                    <w:r>
                      <w:rPr>
                        <w:spacing w:val="-6"/>
                        <w:w w:val="115"/>
                        <w:sz w:val="21"/>
                      </w:rPr>
                      <w:t> </w:t>
                    </w:r>
                    <w:r>
                      <w:rPr>
                        <w:w w:val="115"/>
                        <w:sz w:val="21"/>
                      </w:rPr>
                      <w:t>reflect</w:t>
                    </w:r>
                    <w:r>
                      <w:rPr>
                        <w:spacing w:val="-6"/>
                        <w:w w:val="115"/>
                        <w:sz w:val="21"/>
                      </w:rPr>
                      <w:t> </w:t>
                    </w:r>
                    <w:r>
                      <w:rPr>
                        <w:w w:val="115"/>
                        <w:sz w:val="21"/>
                      </w:rPr>
                      <w:t>changes in the All Groups Consumer Price</w:t>
                    </w:r>
                    <w:r>
                      <w:rPr>
                        <w:spacing w:val="-1"/>
                        <w:w w:val="115"/>
                        <w:sz w:val="21"/>
                      </w:rPr>
                      <w:t> </w:t>
                    </w:r>
                    <w:r>
                      <w:rPr>
                        <w:w w:val="115"/>
                        <w:sz w:val="21"/>
                      </w:rPr>
                      <w:t>Index</w:t>
                    </w:r>
                  </w:p>
                  <w:p>
                    <w:pPr>
                      <w:numPr>
                        <w:ilvl w:val="0"/>
                        <w:numId w:val="144"/>
                      </w:numPr>
                      <w:tabs>
                        <w:tab w:pos="341" w:val="left" w:leader="none"/>
                      </w:tabs>
                      <w:spacing w:line="242" w:lineRule="auto" w:before="122"/>
                      <w:ind w:left="340" w:right="354" w:hanging="340"/>
                      <w:jc w:val="left"/>
                      <w:rPr>
                        <w:sz w:val="21"/>
                      </w:rPr>
                    </w:pPr>
                    <w:r>
                      <w:rPr>
                        <w:w w:val="115"/>
                        <w:sz w:val="21"/>
                      </w:rPr>
                      <w:t>provide</w:t>
                    </w:r>
                    <w:r>
                      <w:rPr>
                        <w:spacing w:val="-11"/>
                        <w:w w:val="115"/>
                        <w:sz w:val="21"/>
                      </w:rPr>
                      <w:t> </w:t>
                    </w:r>
                    <w:r>
                      <w:rPr>
                        <w:w w:val="115"/>
                        <w:sz w:val="21"/>
                      </w:rPr>
                      <w:t>that</w:t>
                    </w:r>
                    <w:r>
                      <w:rPr>
                        <w:spacing w:val="-11"/>
                        <w:w w:val="115"/>
                        <w:sz w:val="21"/>
                      </w:rPr>
                      <w:t> </w:t>
                    </w:r>
                    <w:r>
                      <w:rPr>
                        <w:w w:val="115"/>
                        <w:sz w:val="21"/>
                      </w:rPr>
                      <w:t>payments</w:t>
                    </w:r>
                    <w:r>
                      <w:rPr>
                        <w:spacing w:val="-11"/>
                        <w:w w:val="115"/>
                        <w:sz w:val="21"/>
                      </w:rPr>
                      <w:t> </w:t>
                    </w:r>
                    <w:r>
                      <w:rPr>
                        <w:w w:val="115"/>
                        <w:sz w:val="21"/>
                      </w:rPr>
                      <w:t>made</w:t>
                    </w:r>
                    <w:r>
                      <w:rPr>
                        <w:spacing w:val="-11"/>
                        <w:w w:val="115"/>
                        <w:sz w:val="21"/>
                      </w:rPr>
                      <w:t> </w:t>
                    </w:r>
                    <w:r>
                      <w:rPr>
                        <w:w w:val="115"/>
                        <w:sz w:val="21"/>
                      </w:rPr>
                      <w:t>in</w:t>
                    </w:r>
                    <w:r>
                      <w:rPr>
                        <w:spacing w:val="-11"/>
                        <w:w w:val="115"/>
                        <w:sz w:val="21"/>
                      </w:rPr>
                      <w:t> </w:t>
                    </w:r>
                    <w:r>
                      <w:rPr>
                        <w:w w:val="115"/>
                        <w:sz w:val="21"/>
                      </w:rPr>
                      <w:t>accordance</w:t>
                    </w:r>
                    <w:r>
                      <w:rPr>
                        <w:spacing w:val="-11"/>
                        <w:w w:val="115"/>
                        <w:sz w:val="21"/>
                      </w:rPr>
                      <w:t> </w:t>
                    </w:r>
                    <w:r>
                      <w:rPr>
                        <w:w w:val="115"/>
                        <w:sz w:val="21"/>
                      </w:rPr>
                      <w:t>with</w:t>
                    </w:r>
                    <w:r>
                      <w:rPr>
                        <w:spacing w:val="-11"/>
                        <w:w w:val="115"/>
                        <w:sz w:val="21"/>
                      </w:rPr>
                      <w:t> </w:t>
                    </w:r>
                    <w:r>
                      <w:rPr>
                        <w:w w:val="115"/>
                        <w:sz w:val="21"/>
                      </w:rPr>
                      <w:t>the</w:t>
                    </w:r>
                    <w:r>
                      <w:rPr>
                        <w:spacing w:val="-11"/>
                        <w:w w:val="115"/>
                        <w:sz w:val="21"/>
                      </w:rPr>
                      <w:t> </w:t>
                    </w:r>
                    <w:r>
                      <w:rPr>
                        <w:w w:val="115"/>
                        <w:sz w:val="21"/>
                      </w:rPr>
                      <w:t>section</w:t>
                    </w:r>
                    <w:r>
                      <w:rPr>
                        <w:spacing w:val="-10"/>
                        <w:w w:val="115"/>
                        <w:sz w:val="21"/>
                      </w:rPr>
                      <w:t> </w:t>
                    </w:r>
                    <w:r>
                      <w:rPr>
                        <w:spacing w:val="-3"/>
                        <w:w w:val="115"/>
                        <w:sz w:val="21"/>
                      </w:rPr>
                      <w:t>will</w:t>
                    </w:r>
                    <w:r>
                      <w:rPr>
                        <w:spacing w:val="-11"/>
                        <w:w w:val="115"/>
                        <w:sz w:val="21"/>
                      </w:rPr>
                      <w:t> </w:t>
                    </w:r>
                    <w:r>
                      <w:rPr>
                        <w:w w:val="115"/>
                        <w:sz w:val="21"/>
                      </w:rPr>
                      <w:t>serve</w:t>
                    </w:r>
                    <w:r>
                      <w:rPr>
                        <w:spacing w:val="-11"/>
                        <w:w w:val="115"/>
                        <w:sz w:val="21"/>
                      </w:rPr>
                      <w:t> </w:t>
                    </w:r>
                    <w:r>
                      <w:rPr>
                        <w:w w:val="115"/>
                        <w:sz w:val="21"/>
                      </w:rPr>
                      <w:t>as a complete discharge of</w:t>
                    </w:r>
                    <w:r>
                      <w:rPr>
                        <w:spacing w:val="1"/>
                        <w:w w:val="115"/>
                        <w:sz w:val="21"/>
                      </w:rPr>
                      <w:t> </w:t>
                    </w:r>
                    <w:r>
                      <w:rPr>
                        <w:w w:val="115"/>
                        <w:sz w:val="21"/>
                      </w:rPr>
                      <w:t>liability</w:t>
                    </w:r>
                  </w:p>
                  <w:p>
                    <w:pPr>
                      <w:numPr>
                        <w:ilvl w:val="0"/>
                        <w:numId w:val="144"/>
                      </w:numPr>
                      <w:tabs>
                        <w:tab w:pos="341" w:val="left" w:leader="none"/>
                      </w:tabs>
                      <w:spacing w:line="242" w:lineRule="auto" w:before="122"/>
                      <w:ind w:left="340" w:right="18" w:hanging="340"/>
                      <w:jc w:val="left"/>
                      <w:rPr>
                        <w:sz w:val="21"/>
                      </w:rPr>
                    </w:pPr>
                    <w:r>
                      <w:rPr>
                        <w:w w:val="115"/>
                        <w:sz w:val="21"/>
                      </w:rPr>
                      <w:t>remove</w:t>
                    </w:r>
                    <w:r>
                      <w:rPr>
                        <w:spacing w:val="-11"/>
                        <w:w w:val="115"/>
                        <w:sz w:val="21"/>
                      </w:rPr>
                      <w:t> </w:t>
                    </w:r>
                    <w:r>
                      <w:rPr>
                        <w:w w:val="115"/>
                        <w:sz w:val="21"/>
                      </w:rPr>
                      <w:t>the</w:t>
                    </w:r>
                    <w:r>
                      <w:rPr>
                        <w:spacing w:val="-11"/>
                        <w:w w:val="115"/>
                        <w:sz w:val="21"/>
                      </w:rPr>
                      <w:t> </w:t>
                    </w:r>
                    <w:r>
                      <w:rPr>
                        <w:w w:val="115"/>
                        <w:sz w:val="21"/>
                      </w:rPr>
                      <w:t>requirement</w:t>
                    </w:r>
                    <w:r>
                      <w:rPr>
                        <w:spacing w:val="-10"/>
                        <w:w w:val="115"/>
                        <w:sz w:val="21"/>
                      </w:rPr>
                      <w:t> </w:t>
                    </w:r>
                    <w:r>
                      <w:rPr>
                        <w:w w:val="115"/>
                        <w:sz w:val="21"/>
                      </w:rPr>
                      <w:t>that</w:t>
                    </w:r>
                    <w:r>
                      <w:rPr>
                        <w:spacing w:val="-11"/>
                        <w:w w:val="115"/>
                        <w:sz w:val="21"/>
                      </w:rPr>
                      <w:t> </w:t>
                    </w:r>
                    <w:r>
                      <w:rPr>
                        <w:w w:val="115"/>
                        <w:sz w:val="21"/>
                      </w:rPr>
                      <w:t>the</w:t>
                    </w:r>
                    <w:r>
                      <w:rPr>
                        <w:spacing w:val="-11"/>
                        <w:w w:val="115"/>
                        <w:sz w:val="21"/>
                      </w:rPr>
                      <w:t> </w:t>
                    </w:r>
                    <w:r>
                      <w:rPr>
                        <w:w w:val="115"/>
                        <w:sz w:val="21"/>
                      </w:rPr>
                      <w:t>party</w:t>
                    </w:r>
                    <w:r>
                      <w:rPr>
                        <w:spacing w:val="-10"/>
                        <w:w w:val="115"/>
                        <w:sz w:val="21"/>
                      </w:rPr>
                      <w:t> </w:t>
                    </w:r>
                    <w:r>
                      <w:rPr>
                        <w:w w:val="115"/>
                        <w:sz w:val="21"/>
                      </w:rPr>
                      <w:t>releasing</w:t>
                    </w:r>
                    <w:r>
                      <w:rPr>
                        <w:spacing w:val="-11"/>
                        <w:w w:val="115"/>
                        <w:sz w:val="21"/>
                      </w:rPr>
                      <w:t> </w:t>
                    </w:r>
                    <w:r>
                      <w:rPr>
                        <w:w w:val="115"/>
                        <w:sz w:val="21"/>
                      </w:rPr>
                      <w:t>the</w:t>
                    </w:r>
                    <w:r>
                      <w:rPr>
                        <w:spacing w:val="-10"/>
                        <w:w w:val="115"/>
                        <w:sz w:val="21"/>
                      </w:rPr>
                      <w:t> </w:t>
                    </w:r>
                    <w:r>
                      <w:rPr>
                        <w:w w:val="115"/>
                        <w:sz w:val="21"/>
                      </w:rPr>
                      <w:t>assets</w:t>
                    </w:r>
                    <w:r>
                      <w:rPr>
                        <w:spacing w:val="-11"/>
                        <w:w w:val="115"/>
                        <w:sz w:val="21"/>
                      </w:rPr>
                      <w:t> </w:t>
                    </w:r>
                    <w:r>
                      <w:rPr>
                        <w:w w:val="115"/>
                        <w:sz w:val="21"/>
                      </w:rPr>
                      <w:t>be</w:t>
                    </w:r>
                    <w:r>
                      <w:rPr>
                        <w:spacing w:val="-11"/>
                        <w:w w:val="115"/>
                        <w:sz w:val="21"/>
                      </w:rPr>
                      <w:t> </w:t>
                    </w:r>
                    <w:r>
                      <w:rPr>
                        <w:w w:val="115"/>
                        <w:sz w:val="21"/>
                      </w:rPr>
                      <w:t>satisfied</w:t>
                    </w:r>
                    <w:r>
                      <w:rPr>
                        <w:spacing w:val="-10"/>
                        <w:w w:val="115"/>
                        <w:sz w:val="21"/>
                      </w:rPr>
                      <w:t> </w:t>
                    </w:r>
                    <w:r>
                      <w:rPr>
                        <w:w w:val="115"/>
                        <w:sz w:val="21"/>
                      </w:rPr>
                      <w:t>that the value of the estate does not exceed a particular</w:t>
                    </w:r>
                    <w:r>
                      <w:rPr>
                        <w:spacing w:val="-13"/>
                        <w:w w:val="115"/>
                        <w:sz w:val="21"/>
                      </w:rPr>
                      <w:t> </w:t>
                    </w:r>
                    <w:r>
                      <w:rPr>
                        <w:w w:val="115"/>
                        <w:sz w:val="21"/>
                      </w:rPr>
                      <w:t>limit.</w:t>
                    </w:r>
                  </w:p>
                  <w:p>
                    <w:pPr>
                      <w:spacing w:line="242" w:lineRule="auto" w:before="122"/>
                      <w:ind w:left="0" w:right="423" w:firstLine="0"/>
                      <w:jc w:val="left"/>
                      <w:rPr>
                        <w:sz w:val="21"/>
                      </w:rPr>
                    </w:pPr>
                    <w:r>
                      <w:rPr>
                        <w:w w:val="105"/>
                        <w:sz w:val="21"/>
                      </w:rPr>
                      <w:t>The Supreme Court of Victoria should publish on its website the quarterly Consumer Price Index adjusted limit for the purposes of section 32 of the </w:t>
                    </w:r>
                    <w:r>
                      <w:rPr>
                        <w:rFonts w:ascii="Lucida Sans"/>
                        <w:i/>
                        <w:w w:val="105"/>
                        <w:sz w:val="21"/>
                      </w:rPr>
                      <w:t>Administration and Probate Act 1958 </w:t>
                    </w:r>
                    <w:r>
                      <w:rPr>
                        <w:w w:val="105"/>
                        <w:sz w:val="21"/>
                      </w:rPr>
                      <w:t>(Vic).</w:t>
                    </w:r>
                  </w:p>
                </w:txbxContent>
              </v:textbox>
              <w10:wrap type="none"/>
            </v:shape>
            <v:shape style="position:absolute;left:566;top:987;width:251;height:3450" type="#_x0000_t202" filled="false" stroked="false">
              <v:textbox inset="0,0,0,0">
                <w:txbxContent>
                  <w:p>
                    <w:pPr>
                      <w:spacing w:line="253" w:lineRule="exact" w:before="0"/>
                      <w:ind w:left="0" w:right="0" w:firstLine="0"/>
                      <w:jc w:val="left"/>
                      <w:rPr>
                        <w:sz w:val="21"/>
                      </w:rPr>
                    </w:pPr>
                    <w:r>
                      <w:rPr>
                        <w:spacing w:val="-5"/>
                        <w:w w:val="110"/>
                        <w:sz w:val="21"/>
                      </w:rPr>
                      <w:t>71</w:t>
                    </w: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2"/>
                      <w:rPr>
                        <w:sz w:val="25"/>
                      </w:rPr>
                    </w:pPr>
                  </w:p>
                  <w:p>
                    <w:pPr>
                      <w:spacing w:line="252" w:lineRule="exact" w:before="0"/>
                      <w:ind w:left="0" w:right="0" w:firstLine="0"/>
                      <w:jc w:val="left"/>
                      <w:rPr>
                        <w:sz w:val="21"/>
                      </w:rPr>
                    </w:pPr>
                    <w:r>
                      <w:rPr>
                        <w:w w:val="110"/>
                        <w:sz w:val="21"/>
                      </w:rPr>
                      <w:t>72</w:t>
                    </w:r>
                  </w:p>
                </w:txbxContent>
              </v:textbox>
              <w10:wrap type="none"/>
            </v:shape>
            <v:shape style="position:absolute;left:340;top:0;width:8731;height:726" type="#_x0000_t202" filled="true" fillcolor="#fdebea" stroked="false">
              <v:textbox inset="0,0,0,0">
                <w:txbxContent>
                  <w:p>
                    <w:pPr>
                      <w:spacing w:before="166"/>
                      <w:ind w:left="226" w:right="0" w:firstLine="0"/>
                      <w:jc w:val="left"/>
                      <w:rPr>
                        <w:b/>
                        <w:sz w:val="32"/>
                      </w:rPr>
                    </w:pPr>
                    <w:r>
                      <w:rPr>
                        <w:b/>
                        <w:color w:val="EC5A4F"/>
                        <w:w w:val="110"/>
                        <w:sz w:val="32"/>
                      </w:rPr>
                      <w:t>Recommendations</w:t>
                    </w:r>
                  </w:p>
                </w:txbxContent>
              </v:textbox>
              <v:fill type="solid"/>
              <w10:wrap type="none"/>
            </v:shape>
          </v:group>
        </w:pict>
      </w:r>
      <w:r>
        <w:rPr>
          <w:sz w:val="20"/>
        </w:rPr>
      </w:r>
    </w:p>
    <w:p>
      <w:pPr>
        <w:pStyle w:val="Heading4"/>
        <w:spacing w:before="165"/>
      </w:pPr>
      <w:r>
        <w:rPr>
          <w:color w:val="EC5A4F"/>
          <w:w w:val="115"/>
        </w:rPr>
        <w:t>Removing costs barriers to formal administration</w:t>
      </w:r>
    </w:p>
    <w:p>
      <w:pPr>
        <w:pStyle w:val="Heading5"/>
        <w:spacing w:before="166"/>
      </w:pPr>
      <w:r>
        <w:rPr>
          <w:w w:val="115"/>
        </w:rPr>
        <w:t>Introducing a sliding scale for grant application fees</w:t>
      </w:r>
    </w:p>
    <w:p>
      <w:pPr>
        <w:pStyle w:val="ListParagraph"/>
        <w:numPr>
          <w:ilvl w:val="1"/>
          <w:numId w:val="22"/>
        </w:numPr>
        <w:tabs>
          <w:tab w:pos="2380" w:val="left" w:leader="none"/>
          <w:tab w:pos="2381" w:val="left" w:leader="none"/>
        </w:tabs>
        <w:spacing w:line="242" w:lineRule="auto" w:before="137" w:after="0"/>
        <w:ind w:left="2381" w:right="1631" w:hanging="794"/>
        <w:jc w:val="left"/>
        <w:rPr>
          <w:sz w:val="21"/>
        </w:rPr>
      </w:pPr>
      <w:r>
        <w:rPr>
          <w:sz w:val="21"/>
        </w:rPr>
        <w:t>The </w:t>
      </w:r>
      <w:r>
        <w:rPr>
          <w:spacing w:val="-3"/>
          <w:sz w:val="21"/>
        </w:rPr>
        <w:t>application fee for </w:t>
      </w:r>
      <w:r>
        <w:rPr>
          <w:sz w:val="21"/>
        </w:rPr>
        <w:t>a </w:t>
      </w:r>
      <w:r>
        <w:rPr>
          <w:spacing w:val="-3"/>
          <w:sz w:val="21"/>
        </w:rPr>
        <w:t>standard </w:t>
      </w:r>
      <w:r>
        <w:rPr>
          <w:spacing w:val="-4"/>
          <w:sz w:val="21"/>
        </w:rPr>
        <w:t>grant  </w:t>
      </w:r>
      <w:r>
        <w:rPr>
          <w:spacing w:val="-3"/>
          <w:sz w:val="21"/>
        </w:rPr>
        <w:t>of  representation  </w:t>
      </w:r>
      <w:r>
        <w:rPr>
          <w:sz w:val="21"/>
        </w:rPr>
        <w:t>is </w:t>
      </w:r>
      <w:r>
        <w:rPr>
          <w:spacing w:val="-4"/>
          <w:sz w:val="21"/>
        </w:rPr>
        <w:t>currently  </w:t>
      </w:r>
      <w:r>
        <w:rPr>
          <w:spacing w:val="-7"/>
          <w:sz w:val="21"/>
        </w:rPr>
        <w:t>$281.90.</w:t>
      </w:r>
      <w:r>
        <w:rPr>
          <w:spacing w:val="-7"/>
          <w:position w:val="7"/>
          <w:sz w:val="12"/>
        </w:rPr>
        <w:t>71  </w:t>
      </w:r>
      <w:r>
        <w:rPr>
          <w:sz w:val="21"/>
        </w:rPr>
        <w:t>A </w:t>
      </w:r>
      <w:r>
        <w:rPr>
          <w:spacing w:val="-4"/>
          <w:sz w:val="21"/>
        </w:rPr>
        <w:t>reduced </w:t>
      </w:r>
      <w:r>
        <w:rPr>
          <w:sz w:val="21"/>
        </w:rPr>
        <w:t>fee of </w:t>
      </w:r>
      <w:r>
        <w:rPr>
          <w:spacing w:val="-8"/>
          <w:sz w:val="21"/>
        </w:rPr>
        <w:t>$110.30 </w:t>
      </w:r>
      <w:r>
        <w:rPr>
          <w:sz w:val="21"/>
        </w:rPr>
        <w:t>is </w:t>
      </w:r>
      <w:r>
        <w:rPr>
          <w:spacing w:val="-3"/>
          <w:sz w:val="21"/>
        </w:rPr>
        <w:t>charged </w:t>
      </w:r>
      <w:r>
        <w:rPr>
          <w:sz w:val="21"/>
        </w:rPr>
        <w:t>where estates </w:t>
      </w:r>
      <w:r>
        <w:rPr>
          <w:spacing w:val="-3"/>
          <w:sz w:val="21"/>
        </w:rPr>
        <w:t>are valued </w:t>
      </w:r>
      <w:r>
        <w:rPr>
          <w:sz w:val="21"/>
        </w:rPr>
        <w:t>under </w:t>
      </w:r>
      <w:r>
        <w:rPr>
          <w:spacing w:val="-4"/>
          <w:sz w:val="21"/>
        </w:rPr>
        <w:t>$1000. </w:t>
      </w:r>
      <w:r>
        <w:rPr>
          <w:sz w:val="21"/>
        </w:rPr>
        <w:t>Although a </w:t>
      </w:r>
      <w:r>
        <w:rPr>
          <w:spacing w:val="-3"/>
          <w:sz w:val="21"/>
        </w:rPr>
        <w:t>significant </w:t>
      </w:r>
      <w:r>
        <w:rPr>
          <w:sz w:val="21"/>
        </w:rPr>
        <w:t>reduction in </w:t>
      </w:r>
      <w:r>
        <w:rPr>
          <w:spacing w:val="-2"/>
          <w:sz w:val="21"/>
        </w:rPr>
        <w:t>dollar </w:t>
      </w:r>
      <w:r>
        <w:rPr>
          <w:spacing w:val="-4"/>
          <w:sz w:val="21"/>
        </w:rPr>
        <w:t>value, </w:t>
      </w:r>
      <w:r>
        <w:rPr>
          <w:sz w:val="21"/>
        </w:rPr>
        <w:t>this </w:t>
      </w:r>
      <w:r>
        <w:rPr>
          <w:spacing w:val="-2"/>
          <w:sz w:val="21"/>
        </w:rPr>
        <w:t>figure </w:t>
      </w:r>
      <w:r>
        <w:rPr>
          <w:sz w:val="21"/>
        </w:rPr>
        <w:t>still represents over </w:t>
      </w:r>
      <w:r>
        <w:rPr>
          <w:spacing w:val="-6"/>
          <w:sz w:val="21"/>
        </w:rPr>
        <w:t>10 </w:t>
      </w:r>
      <w:r>
        <w:rPr>
          <w:sz w:val="21"/>
        </w:rPr>
        <w:t>per </w:t>
      </w:r>
      <w:r>
        <w:rPr>
          <w:spacing w:val="-3"/>
          <w:sz w:val="21"/>
        </w:rPr>
        <w:t>cent </w:t>
      </w:r>
      <w:r>
        <w:rPr>
          <w:sz w:val="21"/>
        </w:rPr>
        <w:t>of </w:t>
      </w:r>
      <w:r>
        <w:rPr>
          <w:spacing w:val="-3"/>
          <w:sz w:val="21"/>
        </w:rPr>
        <w:t>any such</w:t>
      </w:r>
      <w:r>
        <w:rPr>
          <w:spacing w:val="8"/>
          <w:sz w:val="21"/>
        </w:rPr>
        <w:t> </w:t>
      </w:r>
      <w:r>
        <w:rPr>
          <w:spacing w:val="-3"/>
          <w:sz w:val="21"/>
        </w:rPr>
        <w:t>estate.</w:t>
      </w:r>
    </w:p>
    <w:p>
      <w:pPr>
        <w:pStyle w:val="ListParagraph"/>
        <w:numPr>
          <w:ilvl w:val="1"/>
          <w:numId w:val="22"/>
        </w:numPr>
        <w:tabs>
          <w:tab w:pos="2381" w:val="left" w:leader="none"/>
          <w:tab w:pos="2382" w:val="left" w:leader="none"/>
        </w:tabs>
        <w:spacing w:line="242" w:lineRule="auto" w:before="124" w:after="0"/>
        <w:ind w:left="2381" w:right="1814" w:hanging="794"/>
        <w:jc w:val="left"/>
        <w:rPr>
          <w:sz w:val="12"/>
        </w:rPr>
      </w:pPr>
      <w:r>
        <w:rPr>
          <w:w w:val="105"/>
          <w:sz w:val="21"/>
        </w:rPr>
        <w:t>In </w:t>
      </w:r>
      <w:r>
        <w:rPr>
          <w:spacing w:val="-3"/>
          <w:w w:val="105"/>
          <w:sz w:val="21"/>
        </w:rPr>
        <w:t>contrast, </w:t>
      </w:r>
      <w:r>
        <w:rPr>
          <w:w w:val="105"/>
          <w:sz w:val="21"/>
        </w:rPr>
        <w:t>New South </w:t>
      </w:r>
      <w:r>
        <w:rPr>
          <w:spacing w:val="-3"/>
          <w:w w:val="105"/>
          <w:sz w:val="21"/>
        </w:rPr>
        <w:t>Wales </w:t>
      </w:r>
      <w:r>
        <w:rPr>
          <w:w w:val="105"/>
          <w:sz w:val="21"/>
        </w:rPr>
        <w:t>applies a </w:t>
      </w:r>
      <w:r>
        <w:rPr>
          <w:spacing w:val="-3"/>
          <w:w w:val="105"/>
          <w:sz w:val="21"/>
        </w:rPr>
        <w:t>sliding </w:t>
      </w:r>
      <w:r>
        <w:rPr>
          <w:w w:val="105"/>
          <w:sz w:val="21"/>
        </w:rPr>
        <w:t>scale </w:t>
      </w:r>
      <w:r>
        <w:rPr>
          <w:spacing w:val="-3"/>
          <w:w w:val="105"/>
          <w:sz w:val="21"/>
        </w:rPr>
        <w:t>to </w:t>
      </w:r>
      <w:r>
        <w:rPr>
          <w:w w:val="105"/>
          <w:sz w:val="21"/>
        </w:rPr>
        <w:t>the cost of the </w:t>
      </w:r>
      <w:r>
        <w:rPr>
          <w:spacing w:val="-3"/>
          <w:w w:val="105"/>
          <w:sz w:val="21"/>
        </w:rPr>
        <w:t>grant application, </w:t>
      </w:r>
      <w:r>
        <w:rPr>
          <w:w w:val="105"/>
          <w:sz w:val="21"/>
        </w:rPr>
        <w:t>depending on the </w:t>
      </w:r>
      <w:r>
        <w:rPr>
          <w:spacing w:val="-3"/>
          <w:w w:val="105"/>
          <w:sz w:val="21"/>
        </w:rPr>
        <w:t>value </w:t>
      </w:r>
      <w:r>
        <w:rPr>
          <w:w w:val="105"/>
          <w:sz w:val="21"/>
        </w:rPr>
        <w:t>of the </w:t>
      </w:r>
      <w:r>
        <w:rPr>
          <w:spacing w:val="-3"/>
          <w:w w:val="105"/>
          <w:sz w:val="21"/>
        </w:rPr>
        <w:t>estate. </w:t>
      </w:r>
      <w:r>
        <w:rPr>
          <w:w w:val="105"/>
          <w:sz w:val="21"/>
        </w:rPr>
        <w:t>Estates under </w:t>
      </w:r>
      <w:r>
        <w:rPr>
          <w:spacing w:val="-3"/>
          <w:w w:val="105"/>
          <w:sz w:val="21"/>
        </w:rPr>
        <w:t>$100,000 </w:t>
      </w:r>
      <w:r>
        <w:rPr>
          <w:spacing w:val="-2"/>
          <w:w w:val="105"/>
          <w:sz w:val="21"/>
        </w:rPr>
        <w:t>pay </w:t>
      </w:r>
      <w:r>
        <w:rPr>
          <w:w w:val="105"/>
          <w:sz w:val="21"/>
        </w:rPr>
        <w:t>no </w:t>
      </w:r>
      <w:r>
        <w:rPr>
          <w:spacing w:val="-3"/>
          <w:w w:val="105"/>
          <w:sz w:val="21"/>
        </w:rPr>
        <w:t>fee, </w:t>
      </w:r>
      <w:r>
        <w:rPr>
          <w:w w:val="105"/>
          <w:sz w:val="21"/>
        </w:rPr>
        <w:t>and those between </w:t>
      </w:r>
      <w:r>
        <w:rPr>
          <w:spacing w:val="-3"/>
          <w:w w:val="105"/>
          <w:sz w:val="21"/>
        </w:rPr>
        <w:t>$100,000 </w:t>
      </w:r>
      <w:r>
        <w:rPr>
          <w:w w:val="105"/>
          <w:sz w:val="21"/>
        </w:rPr>
        <w:t>and $250,000 </w:t>
      </w:r>
      <w:r>
        <w:rPr>
          <w:spacing w:val="-2"/>
          <w:w w:val="105"/>
          <w:sz w:val="21"/>
        </w:rPr>
        <w:t>pay </w:t>
      </w:r>
      <w:r>
        <w:rPr>
          <w:w w:val="105"/>
          <w:sz w:val="21"/>
        </w:rPr>
        <w:t>$650. There </w:t>
      </w:r>
      <w:r>
        <w:rPr>
          <w:spacing w:val="-3"/>
          <w:w w:val="105"/>
          <w:sz w:val="21"/>
        </w:rPr>
        <w:t>are several </w:t>
      </w:r>
      <w:r>
        <w:rPr>
          <w:w w:val="105"/>
          <w:sz w:val="21"/>
        </w:rPr>
        <w:t>increments, the highest being </w:t>
      </w:r>
      <w:r>
        <w:rPr>
          <w:spacing w:val="-3"/>
          <w:w w:val="105"/>
          <w:sz w:val="21"/>
        </w:rPr>
        <w:t>for </w:t>
      </w:r>
      <w:r>
        <w:rPr>
          <w:w w:val="105"/>
          <w:sz w:val="21"/>
        </w:rPr>
        <w:t>those estates over $5 </w:t>
      </w:r>
      <w:r>
        <w:rPr>
          <w:spacing w:val="-3"/>
          <w:w w:val="105"/>
          <w:sz w:val="21"/>
        </w:rPr>
        <w:t>million, </w:t>
      </w:r>
      <w:r>
        <w:rPr>
          <w:w w:val="105"/>
          <w:sz w:val="21"/>
        </w:rPr>
        <w:t>which attract a $5,000</w:t>
      </w:r>
      <w:r>
        <w:rPr>
          <w:spacing w:val="45"/>
          <w:w w:val="105"/>
          <w:sz w:val="21"/>
        </w:rPr>
        <w:t> </w:t>
      </w:r>
      <w:r>
        <w:rPr>
          <w:spacing w:val="-4"/>
          <w:w w:val="105"/>
          <w:sz w:val="21"/>
        </w:rPr>
        <w:t>fee.</w:t>
      </w:r>
      <w:r>
        <w:rPr>
          <w:spacing w:val="-4"/>
          <w:w w:val="105"/>
          <w:position w:val="7"/>
          <w:sz w:val="12"/>
        </w:rPr>
        <w:t>72</w:t>
      </w:r>
    </w:p>
    <w:p>
      <w:pPr>
        <w:pStyle w:val="ListParagraph"/>
        <w:numPr>
          <w:ilvl w:val="1"/>
          <w:numId w:val="22"/>
        </w:numPr>
        <w:tabs>
          <w:tab w:pos="2382" w:val="left" w:leader="none"/>
        </w:tabs>
        <w:spacing w:line="242" w:lineRule="auto" w:before="124" w:after="0"/>
        <w:ind w:left="2381" w:right="1958" w:hanging="794"/>
        <w:jc w:val="both"/>
        <w:rPr>
          <w:sz w:val="12"/>
        </w:rPr>
      </w:pPr>
      <w:r>
        <w:rPr>
          <w:w w:val="105"/>
          <w:sz w:val="21"/>
        </w:rPr>
        <w:t>The</w:t>
      </w:r>
      <w:r>
        <w:rPr>
          <w:spacing w:val="-9"/>
          <w:w w:val="105"/>
          <w:sz w:val="21"/>
        </w:rPr>
        <w:t> </w:t>
      </w:r>
      <w:r>
        <w:rPr>
          <w:spacing w:val="-4"/>
          <w:w w:val="105"/>
          <w:sz w:val="21"/>
        </w:rPr>
        <w:t>Commission’s</w:t>
      </w:r>
      <w:r>
        <w:rPr>
          <w:spacing w:val="-9"/>
          <w:w w:val="105"/>
          <w:sz w:val="21"/>
        </w:rPr>
        <w:t> </w:t>
      </w:r>
      <w:r>
        <w:rPr>
          <w:spacing w:val="-3"/>
          <w:w w:val="105"/>
          <w:sz w:val="21"/>
        </w:rPr>
        <w:t>consultation</w:t>
      </w:r>
      <w:r>
        <w:rPr>
          <w:spacing w:val="-9"/>
          <w:w w:val="105"/>
          <w:sz w:val="21"/>
        </w:rPr>
        <w:t> </w:t>
      </w:r>
      <w:r>
        <w:rPr>
          <w:w w:val="105"/>
          <w:sz w:val="21"/>
        </w:rPr>
        <w:t>paper</w:t>
      </w:r>
      <w:r>
        <w:rPr>
          <w:spacing w:val="-9"/>
          <w:w w:val="105"/>
          <w:sz w:val="21"/>
        </w:rPr>
        <w:t> </w:t>
      </w:r>
      <w:r>
        <w:rPr>
          <w:w w:val="105"/>
          <w:sz w:val="21"/>
        </w:rPr>
        <w:t>on</w:t>
      </w:r>
      <w:r>
        <w:rPr>
          <w:spacing w:val="-9"/>
          <w:w w:val="105"/>
          <w:sz w:val="21"/>
        </w:rPr>
        <w:t> </w:t>
      </w:r>
      <w:r>
        <w:rPr>
          <w:spacing w:val="-3"/>
          <w:w w:val="105"/>
          <w:sz w:val="21"/>
        </w:rPr>
        <w:t>small</w:t>
      </w:r>
      <w:r>
        <w:rPr>
          <w:spacing w:val="-9"/>
          <w:w w:val="105"/>
          <w:sz w:val="21"/>
        </w:rPr>
        <w:t> </w:t>
      </w:r>
      <w:r>
        <w:rPr>
          <w:w w:val="105"/>
          <w:sz w:val="21"/>
        </w:rPr>
        <w:t>estates</w:t>
      </w:r>
      <w:r>
        <w:rPr>
          <w:spacing w:val="-9"/>
          <w:w w:val="105"/>
          <w:sz w:val="21"/>
        </w:rPr>
        <w:t> </w:t>
      </w:r>
      <w:r>
        <w:rPr>
          <w:spacing w:val="-3"/>
          <w:w w:val="105"/>
          <w:sz w:val="21"/>
        </w:rPr>
        <w:t>asked</w:t>
      </w:r>
      <w:r>
        <w:rPr>
          <w:spacing w:val="-9"/>
          <w:w w:val="105"/>
          <w:sz w:val="21"/>
        </w:rPr>
        <w:t> </w:t>
      </w:r>
      <w:r>
        <w:rPr>
          <w:w w:val="105"/>
          <w:sz w:val="21"/>
        </w:rPr>
        <w:t>whether</w:t>
      </w:r>
      <w:r>
        <w:rPr>
          <w:spacing w:val="-9"/>
          <w:w w:val="105"/>
          <w:sz w:val="21"/>
        </w:rPr>
        <w:t> </w:t>
      </w:r>
      <w:r>
        <w:rPr>
          <w:w w:val="105"/>
          <w:sz w:val="21"/>
        </w:rPr>
        <w:t>the</w:t>
      </w:r>
      <w:r>
        <w:rPr>
          <w:spacing w:val="-9"/>
          <w:w w:val="105"/>
          <w:sz w:val="21"/>
        </w:rPr>
        <w:t> </w:t>
      </w:r>
      <w:r>
        <w:rPr>
          <w:w w:val="105"/>
          <w:sz w:val="21"/>
        </w:rPr>
        <w:t>introduction of a </w:t>
      </w:r>
      <w:r>
        <w:rPr>
          <w:spacing w:val="-3"/>
          <w:w w:val="105"/>
          <w:sz w:val="21"/>
        </w:rPr>
        <w:t>sliding </w:t>
      </w:r>
      <w:r>
        <w:rPr>
          <w:w w:val="105"/>
          <w:sz w:val="21"/>
        </w:rPr>
        <w:t>scale would </w:t>
      </w:r>
      <w:r>
        <w:rPr>
          <w:spacing w:val="-3"/>
          <w:w w:val="105"/>
          <w:sz w:val="21"/>
        </w:rPr>
        <w:t>encourage </w:t>
      </w:r>
      <w:r>
        <w:rPr>
          <w:w w:val="105"/>
          <w:sz w:val="21"/>
        </w:rPr>
        <w:t>people </w:t>
      </w:r>
      <w:r>
        <w:rPr>
          <w:spacing w:val="-3"/>
          <w:w w:val="105"/>
          <w:sz w:val="21"/>
        </w:rPr>
        <w:t>to </w:t>
      </w:r>
      <w:r>
        <w:rPr>
          <w:w w:val="105"/>
          <w:sz w:val="21"/>
        </w:rPr>
        <w:t>seek grants of </w:t>
      </w:r>
      <w:r>
        <w:rPr>
          <w:spacing w:val="-2"/>
          <w:w w:val="105"/>
          <w:sz w:val="21"/>
        </w:rPr>
        <w:t>representation </w:t>
      </w:r>
      <w:r>
        <w:rPr>
          <w:spacing w:val="-3"/>
          <w:w w:val="105"/>
          <w:sz w:val="21"/>
        </w:rPr>
        <w:t>for smaller estates.</w:t>
      </w:r>
      <w:r>
        <w:rPr>
          <w:spacing w:val="-3"/>
          <w:w w:val="105"/>
          <w:position w:val="7"/>
          <w:sz w:val="12"/>
        </w:rPr>
        <w:t>73</w:t>
      </w:r>
    </w:p>
    <w:p>
      <w:pPr>
        <w:pStyle w:val="ListParagraph"/>
        <w:numPr>
          <w:ilvl w:val="1"/>
          <w:numId w:val="22"/>
        </w:numPr>
        <w:tabs>
          <w:tab w:pos="2382" w:val="left" w:leader="none"/>
        </w:tabs>
        <w:spacing w:line="242" w:lineRule="auto" w:before="123" w:after="0"/>
        <w:ind w:left="2381" w:right="1610" w:hanging="794"/>
        <w:jc w:val="both"/>
        <w:rPr>
          <w:sz w:val="12"/>
        </w:rPr>
      </w:pPr>
      <w:r>
        <w:rPr>
          <w:w w:val="105"/>
          <w:sz w:val="21"/>
        </w:rPr>
        <w:t>Some</w:t>
      </w:r>
      <w:r>
        <w:rPr>
          <w:spacing w:val="-11"/>
          <w:w w:val="105"/>
          <w:sz w:val="21"/>
        </w:rPr>
        <w:t> </w:t>
      </w:r>
      <w:r>
        <w:rPr>
          <w:w w:val="105"/>
          <w:sz w:val="21"/>
        </w:rPr>
        <w:t>stakeholders</w:t>
      </w:r>
      <w:r>
        <w:rPr>
          <w:spacing w:val="-10"/>
          <w:w w:val="105"/>
          <w:sz w:val="21"/>
        </w:rPr>
        <w:t> </w:t>
      </w:r>
      <w:r>
        <w:rPr>
          <w:spacing w:val="-3"/>
          <w:w w:val="105"/>
          <w:sz w:val="21"/>
        </w:rPr>
        <w:t>considered</w:t>
      </w:r>
      <w:r>
        <w:rPr>
          <w:spacing w:val="-10"/>
          <w:w w:val="105"/>
          <w:sz w:val="21"/>
        </w:rPr>
        <w:t> </w:t>
      </w:r>
      <w:r>
        <w:rPr>
          <w:spacing w:val="-3"/>
          <w:w w:val="105"/>
          <w:sz w:val="21"/>
        </w:rPr>
        <w:t>that</w:t>
      </w:r>
      <w:r>
        <w:rPr>
          <w:spacing w:val="-10"/>
          <w:w w:val="105"/>
          <w:sz w:val="21"/>
        </w:rPr>
        <w:t> </w:t>
      </w:r>
      <w:r>
        <w:rPr>
          <w:w w:val="105"/>
          <w:sz w:val="21"/>
        </w:rPr>
        <w:t>a</w:t>
      </w:r>
      <w:r>
        <w:rPr>
          <w:spacing w:val="-10"/>
          <w:w w:val="105"/>
          <w:sz w:val="21"/>
        </w:rPr>
        <w:t> </w:t>
      </w:r>
      <w:r>
        <w:rPr>
          <w:w w:val="105"/>
          <w:sz w:val="21"/>
        </w:rPr>
        <w:t>lack</w:t>
      </w:r>
      <w:r>
        <w:rPr>
          <w:spacing w:val="-11"/>
          <w:w w:val="105"/>
          <w:sz w:val="21"/>
        </w:rPr>
        <w:t> </w:t>
      </w:r>
      <w:r>
        <w:rPr>
          <w:w w:val="105"/>
          <w:sz w:val="21"/>
        </w:rPr>
        <w:t>of</w:t>
      </w:r>
      <w:r>
        <w:rPr>
          <w:spacing w:val="-10"/>
          <w:w w:val="105"/>
          <w:sz w:val="21"/>
        </w:rPr>
        <w:t> </w:t>
      </w:r>
      <w:r>
        <w:rPr>
          <w:w w:val="105"/>
          <w:sz w:val="21"/>
        </w:rPr>
        <w:t>community</w:t>
      </w:r>
      <w:r>
        <w:rPr>
          <w:spacing w:val="-10"/>
          <w:w w:val="105"/>
          <w:sz w:val="21"/>
        </w:rPr>
        <w:t> </w:t>
      </w:r>
      <w:r>
        <w:rPr>
          <w:w w:val="105"/>
          <w:sz w:val="21"/>
        </w:rPr>
        <w:t>understanding</w:t>
      </w:r>
      <w:r>
        <w:rPr>
          <w:spacing w:val="-10"/>
          <w:w w:val="105"/>
          <w:sz w:val="21"/>
        </w:rPr>
        <w:t> </w:t>
      </w:r>
      <w:r>
        <w:rPr>
          <w:w w:val="105"/>
          <w:sz w:val="21"/>
        </w:rPr>
        <w:t>of</w:t>
      </w:r>
      <w:r>
        <w:rPr>
          <w:spacing w:val="-11"/>
          <w:w w:val="105"/>
          <w:sz w:val="21"/>
        </w:rPr>
        <w:t> </w:t>
      </w:r>
      <w:r>
        <w:rPr>
          <w:w w:val="105"/>
          <w:sz w:val="21"/>
        </w:rPr>
        <w:t>the</w:t>
      </w:r>
      <w:r>
        <w:rPr>
          <w:spacing w:val="-10"/>
          <w:w w:val="105"/>
          <w:sz w:val="21"/>
        </w:rPr>
        <w:t> </w:t>
      </w:r>
      <w:r>
        <w:rPr>
          <w:w w:val="105"/>
          <w:sz w:val="21"/>
        </w:rPr>
        <w:t>importance of</w:t>
      </w:r>
      <w:r>
        <w:rPr>
          <w:spacing w:val="-9"/>
          <w:w w:val="105"/>
          <w:sz w:val="21"/>
        </w:rPr>
        <w:t> </w:t>
      </w:r>
      <w:r>
        <w:rPr>
          <w:w w:val="105"/>
          <w:sz w:val="21"/>
        </w:rPr>
        <w:t>and</w:t>
      </w:r>
      <w:r>
        <w:rPr>
          <w:spacing w:val="-9"/>
          <w:w w:val="105"/>
          <w:sz w:val="21"/>
        </w:rPr>
        <w:t> </w:t>
      </w:r>
      <w:r>
        <w:rPr>
          <w:w w:val="105"/>
          <w:sz w:val="21"/>
        </w:rPr>
        <w:t>protections</w:t>
      </w:r>
      <w:r>
        <w:rPr>
          <w:spacing w:val="-9"/>
          <w:w w:val="105"/>
          <w:sz w:val="21"/>
        </w:rPr>
        <w:t> </w:t>
      </w:r>
      <w:r>
        <w:rPr>
          <w:w w:val="105"/>
          <w:sz w:val="21"/>
        </w:rPr>
        <w:t>provided</w:t>
      </w:r>
      <w:r>
        <w:rPr>
          <w:spacing w:val="-9"/>
          <w:w w:val="105"/>
          <w:sz w:val="21"/>
        </w:rPr>
        <w:t> </w:t>
      </w:r>
      <w:r>
        <w:rPr>
          <w:w w:val="105"/>
          <w:sz w:val="21"/>
        </w:rPr>
        <w:t>by</w:t>
      </w:r>
      <w:r>
        <w:rPr>
          <w:spacing w:val="-9"/>
          <w:w w:val="105"/>
          <w:sz w:val="21"/>
        </w:rPr>
        <w:t> </w:t>
      </w:r>
      <w:r>
        <w:rPr>
          <w:w w:val="105"/>
          <w:sz w:val="21"/>
        </w:rPr>
        <w:t>a</w:t>
      </w:r>
      <w:r>
        <w:rPr>
          <w:spacing w:val="-9"/>
          <w:w w:val="105"/>
          <w:sz w:val="21"/>
        </w:rPr>
        <w:t> </w:t>
      </w:r>
      <w:r>
        <w:rPr>
          <w:spacing w:val="-3"/>
          <w:w w:val="105"/>
          <w:sz w:val="21"/>
        </w:rPr>
        <w:t>grant,</w:t>
      </w:r>
      <w:r>
        <w:rPr>
          <w:spacing w:val="-9"/>
          <w:w w:val="105"/>
          <w:sz w:val="21"/>
        </w:rPr>
        <w:t> </w:t>
      </w:r>
      <w:r>
        <w:rPr>
          <w:spacing w:val="-3"/>
          <w:w w:val="105"/>
          <w:sz w:val="21"/>
        </w:rPr>
        <w:t>rather</w:t>
      </w:r>
      <w:r>
        <w:rPr>
          <w:spacing w:val="-9"/>
          <w:w w:val="105"/>
          <w:sz w:val="21"/>
        </w:rPr>
        <w:t> </w:t>
      </w:r>
      <w:r>
        <w:rPr>
          <w:spacing w:val="-3"/>
          <w:w w:val="105"/>
          <w:sz w:val="21"/>
        </w:rPr>
        <w:t>than</w:t>
      </w:r>
      <w:r>
        <w:rPr>
          <w:spacing w:val="-9"/>
          <w:w w:val="105"/>
          <w:sz w:val="21"/>
        </w:rPr>
        <w:t> </w:t>
      </w:r>
      <w:r>
        <w:rPr>
          <w:w w:val="105"/>
          <w:sz w:val="21"/>
        </w:rPr>
        <w:t>the</w:t>
      </w:r>
      <w:r>
        <w:rPr>
          <w:spacing w:val="-9"/>
          <w:w w:val="105"/>
          <w:sz w:val="21"/>
        </w:rPr>
        <w:t> </w:t>
      </w:r>
      <w:r>
        <w:rPr>
          <w:w w:val="105"/>
          <w:sz w:val="21"/>
        </w:rPr>
        <w:t>applicable</w:t>
      </w:r>
      <w:r>
        <w:rPr>
          <w:spacing w:val="-9"/>
          <w:w w:val="105"/>
          <w:sz w:val="21"/>
        </w:rPr>
        <w:t> </w:t>
      </w:r>
      <w:r>
        <w:rPr>
          <w:w w:val="105"/>
          <w:sz w:val="21"/>
        </w:rPr>
        <w:t>fees,</w:t>
      </w:r>
      <w:r>
        <w:rPr>
          <w:spacing w:val="-9"/>
          <w:w w:val="105"/>
          <w:sz w:val="21"/>
        </w:rPr>
        <w:t> </w:t>
      </w:r>
      <w:r>
        <w:rPr>
          <w:w w:val="105"/>
          <w:sz w:val="21"/>
        </w:rPr>
        <w:t>was</w:t>
      </w:r>
      <w:r>
        <w:rPr>
          <w:spacing w:val="-9"/>
          <w:w w:val="105"/>
          <w:sz w:val="21"/>
        </w:rPr>
        <w:t> </w:t>
      </w:r>
      <w:r>
        <w:rPr>
          <w:w w:val="105"/>
          <w:sz w:val="21"/>
        </w:rPr>
        <w:t>more</w:t>
      </w:r>
      <w:r>
        <w:rPr>
          <w:spacing w:val="-9"/>
          <w:w w:val="105"/>
          <w:sz w:val="21"/>
        </w:rPr>
        <w:t> </w:t>
      </w:r>
      <w:r>
        <w:rPr>
          <w:spacing w:val="-3"/>
          <w:w w:val="105"/>
          <w:sz w:val="21"/>
        </w:rPr>
        <w:t>relevant to </w:t>
      </w:r>
      <w:r>
        <w:rPr>
          <w:w w:val="105"/>
          <w:sz w:val="21"/>
        </w:rPr>
        <w:t>the decision whether or </w:t>
      </w:r>
      <w:r>
        <w:rPr>
          <w:spacing w:val="-2"/>
          <w:w w:val="105"/>
          <w:sz w:val="21"/>
        </w:rPr>
        <w:t>not </w:t>
      </w:r>
      <w:r>
        <w:rPr>
          <w:spacing w:val="-3"/>
          <w:w w:val="105"/>
          <w:sz w:val="21"/>
        </w:rPr>
        <w:t>to </w:t>
      </w:r>
      <w:r>
        <w:rPr>
          <w:w w:val="105"/>
          <w:sz w:val="21"/>
        </w:rPr>
        <w:t>seek a</w:t>
      </w:r>
      <w:r>
        <w:rPr>
          <w:spacing w:val="49"/>
          <w:w w:val="105"/>
          <w:sz w:val="21"/>
        </w:rPr>
        <w:t> </w:t>
      </w:r>
      <w:r>
        <w:rPr>
          <w:spacing w:val="-5"/>
          <w:w w:val="105"/>
          <w:sz w:val="21"/>
        </w:rPr>
        <w:t>grant.</w:t>
      </w:r>
      <w:r>
        <w:rPr>
          <w:spacing w:val="-5"/>
          <w:w w:val="105"/>
          <w:position w:val="7"/>
          <w:sz w:val="12"/>
        </w:rPr>
        <w:t>74</w:t>
      </w:r>
    </w:p>
    <w:p>
      <w:pPr>
        <w:pStyle w:val="ListParagraph"/>
        <w:numPr>
          <w:ilvl w:val="1"/>
          <w:numId w:val="22"/>
        </w:numPr>
        <w:tabs>
          <w:tab w:pos="2382" w:val="left" w:leader="none"/>
        </w:tabs>
        <w:spacing w:line="242" w:lineRule="auto" w:before="124" w:after="0"/>
        <w:ind w:left="2381" w:right="1756" w:hanging="794"/>
        <w:jc w:val="both"/>
        <w:rPr>
          <w:sz w:val="12"/>
        </w:rPr>
      </w:pPr>
      <w:r>
        <w:rPr>
          <w:sz w:val="21"/>
        </w:rPr>
        <w:t>It was </w:t>
      </w:r>
      <w:r>
        <w:rPr>
          <w:spacing w:val="-3"/>
          <w:sz w:val="21"/>
        </w:rPr>
        <w:t>noted that, for uncomplicated </w:t>
      </w:r>
      <w:r>
        <w:rPr>
          <w:sz w:val="21"/>
        </w:rPr>
        <w:t>estates, representatives </w:t>
      </w:r>
      <w:r>
        <w:rPr>
          <w:spacing w:val="-3"/>
          <w:sz w:val="21"/>
        </w:rPr>
        <w:t>will </w:t>
      </w:r>
      <w:r>
        <w:rPr>
          <w:sz w:val="21"/>
        </w:rPr>
        <w:t>first seek </w:t>
      </w:r>
      <w:r>
        <w:rPr>
          <w:spacing w:val="-3"/>
          <w:sz w:val="21"/>
        </w:rPr>
        <w:t>to administer </w:t>
      </w:r>
      <w:r>
        <w:rPr>
          <w:spacing w:val="-4"/>
          <w:sz w:val="21"/>
        </w:rPr>
        <w:t>informally, </w:t>
      </w:r>
      <w:r>
        <w:rPr>
          <w:sz w:val="21"/>
        </w:rPr>
        <w:t>and </w:t>
      </w:r>
      <w:r>
        <w:rPr>
          <w:spacing w:val="-3"/>
          <w:sz w:val="21"/>
        </w:rPr>
        <w:t>will </w:t>
      </w:r>
      <w:r>
        <w:rPr>
          <w:sz w:val="21"/>
        </w:rPr>
        <w:t>only apply </w:t>
      </w:r>
      <w:r>
        <w:rPr>
          <w:spacing w:val="-3"/>
          <w:sz w:val="21"/>
        </w:rPr>
        <w:t>for </w:t>
      </w:r>
      <w:r>
        <w:rPr>
          <w:sz w:val="21"/>
        </w:rPr>
        <w:t>a </w:t>
      </w:r>
      <w:r>
        <w:rPr>
          <w:spacing w:val="-3"/>
          <w:sz w:val="21"/>
        </w:rPr>
        <w:t>grant </w:t>
      </w:r>
      <w:r>
        <w:rPr>
          <w:sz w:val="21"/>
        </w:rPr>
        <w:t>where they </w:t>
      </w:r>
      <w:r>
        <w:rPr>
          <w:spacing w:val="-3"/>
          <w:sz w:val="21"/>
        </w:rPr>
        <w:t>are  unable  to  negotiate  </w:t>
      </w:r>
      <w:r>
        <w:rPr>
          <w:sz w:val="21"/>
        </w:rPr>
        <w:t>the release of an asset without</w:t>
      </w:r>
      <w:r>
        <w:rPr>
          <w:spacing w:val="34"/>
          <w:sz w:val="21"/>
        </w:rPr>
        <w:t> </w:t>
      </w:r>
      <w:r>
        <w:rPr>
          <w:spacing w:val="-4"/>
          <w:sz w:val="21"/>
        </w:rPr>
        <w:t>one.</w:t>
      </w:r>
      <w:r>
        <w:rPr>
          <w:spacing w:val="-4"/>
          <w:position w:val="7"/>
          <w:sz w:val="12"/>
        </w:rPr>
        <w:t>75</w:t>
      </w:r>
    </w:p>
    <w:p>
      <w:pPr>
        <w:pStyle w:val="ListParagraph"/>
        <w:numPr>
          <w:ilvl w:val="1"/>
          <w:numId w:val="22"/>
        </w:numPr>
        <w:tabs>
          <w:tab w:pos="2381" w:val="left" w:leader="none"/>
          <w:tab w:pos="2382" w:val="left" w:leader="none"/>
        </w:tabs>
        <w:spacing w:line="242" w:lineRule="auto" w:before="123" w:after="0"/>
        <w:ind w:left="2381" w:right="1768" w:hanging="794"/>
        <w:jc w:val="left"/>
        <w:rPr>
          <w:sz w:val="21"/>
        </w:rPr>
      </w:pPr>
      <w:r>
        <w:rPr>
          <w:spacing w:val="-4"/>
          <w:sz w:val="21"/>
        </w:rPr>
        <w:t>However, </w:t>
      </w:r>
      <w:r>
        <w:rPr>
          <w:sz w:val="21"/>
        </w:rPr>
        <w:t>while it </w:t>
      </w:r>
      <w:r>
        <w:rPr>
          <w:spacing w:val="-3"/>
          <w:sz w:val="21"/>
        </w:rPr>
        <w:t>may </w:t>
      </w:r>
      <w:r>
        <w:rPr>
          <w:spacing w:val="-2"/>
          <w:sz w:val="21"/>
        </w:rPr>
        <w:t>not </w:t>
      </w:r>
      <w:r>
        <w:rPr>
          <w:sz w:val="21"/>
        </w:rPr>
        <w:t>necessarily be a decisive </w:t>
      </w:r>
      <w:r>
        <w:rPr>
          <w:spacing w:val="-4"/>
          <w:sz w:val="21"/>
        </w:rPr>
        <w:t>factor, </w:t>
      </w:r>
      <w:r>
        <w:rPr>
          <w:sz w:val="21"/>
        </w:rPr>
        <w:t>the </w:t>
      </w:r>
      <w:r>
        <w:rPr>
          <w:spacing w:val="-3"/>
          <w:sz w:val="21"/>
        </w:rPr>
        <w:t>removal </w:t>
      </w:r>
      <w:r>
        <w:rPr>
          <w:sz w:val="21"/>
        </w:rPr>
        <w:t>of </w:t>
      </w:r>
      <w:r>
        <w:rPr>
          <w:spacing w:val="-3"/>
          <w:sz w:val="21"/>
        </w:rPr>
        <w:t>any </w:t>
      </w:r>
      <w:r>
        <w:rPr>
          <w:sz w:val="21"/>
        </w:rPr>
        <w:t>fee should </w:t>
      </w:r>
      <w:r>
        <w:rPr>
          <w:spacing w:val="-3"/>
          <w:sz w:val="21"/>
        </w:rPr>
        <w:t>encourage </w:t>
      </w:r>
      <w:r>
        <w:rPr>
          <w:sz w:val="21"/>
        </w:rPr>
        <w:t>personal representatives of </w:t>
      </w:r>
      <w:r>
        <w:rPr>
          <w:spacing w:val="-3"/>
          <w:sz w:val="21"/>
        </w:rPr>
        <w:t>small </w:t>
      </w:r>
      <w:r>
        <w:rPr>
          <w:sz w:val="21"/>
        </w:rPr>
        <w:t>estates </w:t>
      </w:r>
      <w:r>
        <w:rPr>
          <w:spacing w:val="-3"/>
          <w:sz w:val="21"/>
        </w:rPr>
        <w:t>to </w:t>
      </w:r>
      <w:r>
        <w:rPr>
          <w:sz w:val="21"/>
        </w:rPr>
        <w:t>apply </w:t>
      </w:r>
      <w:r>
        <w:rPr>
          <w:spacing w:val="-3"/>
          <w:sz w:val="21"/>
        </w:rPr>
        <w:t>for</w:t>
      </w:r>
      <w:r>
        <w:rPr>
          <w:spacing w:val="-15"/>
          <w:sz w:val="21"/>
        </w:rPr>
        <w:t> </w:t>
      </w:r>
      <w:r>
        <w:rPr>
          <w:sz w:val="21"/>
        </w:rPr>
        <w:t>a </w:t>
      </w:r>
      <w:r>
        <w:rPr>
          <w:spacing w:val="-3"/>
          <w:sz w:val="21"/>
        </w:rPr>
        <w:t>grant.</w:t>
      </w:r>
    </w:p>
    <w:p>
      <w:pPr>
        <w:pStyle w:val="ListParagraph"/>
        <w:numPr>
          <w:ilvl w:val="1"/>
          <w:numId w:val="22"/>
        </w:numPr>
        <w:tabs>
          <w:tab w:pos="2380" w:val="left" w:leader="none"/>
          <w:tab w:pos="2381" w:val="left" w:leader="none"/>
        </w:tabs>
        <w:spacing w:line="242" w:lineRule="auto" w:before="122" w:after="0"/>
        <w:ind w:left="2381" w:right="1766" w:hanging="794"/>
        <w:jc w:val="left"/>
        <w:rPr>
          <w:sz w:val="12"/>
        </w:rPr>
      </w:pPr>
      <w:r>
        <w:rPr>
          <w:w w:val="105"/>
          <w:sz w:val="21"/>
        </w:rPr>
        <w:t>One</w:t>
      </w:r>
      <w:r>
        <w:rPr>
          <w:spacing w:val="-5"/>
          <w:w w:val="105"/>
          <w:sz w:val="21"/>
        </w:rPr>
        <w:t> </w:t>
      </w:r>
      <w:r>
        <w:rPr>
          <w:spacing w:val="-3"/>
          <w:w w:val="105"/>
          <w:sz w:val="21"/>
        </w:rPr>
        <w:t>submission</w:t>
      </w:r>
      <w:r>
        <w:rPr>
          <w:spacing w:val="-5"/>
          <w:w w:val="105"/>
          <w:sz w:val="21"/>
        </w:rPr>
        <w:t> </w:t>
      </w:r>
      <w:r>
        <w:rPr>
          <w:w w:val="105"/>
          <w:sz w:val="21"/>
        </w:rPr>
        <w:t>expressed</w:t>
      </w:r>
      <w:r>
        <w:rPr>
          <w:spacing w:val="-4"/>
          <w:w w:val="105"/>
          <w:sz w:val="21"/>
        </w:rPr>
        <w:t> </w:t>
      </w:r>
      <w:r>
        <w:rPr>
          <w:w w:val="105"/>
          <w:sz w:val="21"/>
        </w:rPr>
        <w:t>the</w:t>
      </w:r>
      <w:r>
        <w:rPr>
          <w:spacing w:val="-5"/>
          <w:w w:val="105"/>
          <w:sz w:val="21"/>
        </w:rPr>
        <w:t> </w:t>
      </w:r>
      <w:r>
        <w:rPr>
          <w:w w:val="105"/>
          <w:sz w:val="21"/>
        </w:rPr>
        <w:t>view</w:t>
      </w:r>
      <w:r>
        <w:rPr>
          <w:spacing w:val="-5"/>
          <w:w w:val="105"/>
          <w:sz w:val="21"/>
        </w:rPr>
        <w:t> </w:t>
      </w:r>
      <w:r>
        <w:rPr>
          <w:spacing w:val="-3"/>
          <w:w w:val="105"/>
          <w:sz w:val="21"/>
        </w:rPr>
        <w:t>that</w:t>
      </w:r>
      <w:r>
        <w:rPr>
          <w:spacing w:val="-4"/>
          <w:w w:val="105"/>
          <w:sz w:val="21"/>
        </w:rPr>
        <w:t> </w:t>
      </w:r>
      <w:r>
        <w:rPr>
          <w:w w:val="105"/>
          <w:sz w:val="21"/>
        </w:rPr>
        <w:t>a</w:t>
      </w:r>
      <w:r>
        <w:rPr>
          <w:spacing w:val="-5"/>
          <w:w w:val="105"/>
          <w:sz w:val="21"/>
        </w:rPr>
        <w:t> </w:t>
      </w:r>
      <w:r>
        <w:rPr>
          <w:spacing w:val="-3"/>
          <w:w w:val="105"/>
          <w:sz w:val="21"/>
        </w:rPr>
        <w:t>nil</w:t>
      </w:r>
      <w:r>
        <w:rPr>
          <w:spacing w:val="-5"/>
          <w:w w:val="105"/>
          <w:sz w:val="21"/>
        </w:rPr>
        <w:t> </w:t>
      </w:r>
      <w:r>
        <w:rPr>
          <w:w w:val="105"/>
          <w:sz w:val="21"/>
        </w:rPr>
        <w:t>fee</w:t>
      </w:r>
      <w:r>
        <w:rPr>
          <w:spacing w:val="-4"/>
          <w:w w:val="105"/>
          <w:sz w:val="21"/>
        </w:rPr>
        <w:t> </w:t>
      </w:r>
      <w:r>
        <w:rPr>
          <w:w w:val="105"/>
          <w:sz w:val="21"/>
        </w:rPr>
        <w:t>would</w:t>
      </w:r>
      <w:r>
        <w:rPr>
          <w:spacing w:val="-5"/>
          <w:w w:val="105"/>
          <w:sz w:val="21"/>
        </w:rPr>
        <w:t> </w:t>
      </w:r>
      <w:r>
        <w:rPr>
          <w:w w:val="105"/>
          <w:sz w:val="21"/>
        </w:rPr>
        <w:t>be</w:t>
      </w:r>
      <w:r>
        <w:rPr>
          <w:spacing w:val="-5"/>
          <w:w w:val="105"/>
          <w:sz w:val="21"/>
        </w:rPr>
        <w:t> </w:t>
      </w:r>
      <w:r>
        <w:rPr>
          <w:w w:val="105"/>
          <w:sz w:val="21"/>
        </w:rPr>
        <w:t>a</w:t>
      </w:r>
      <w:r>
        <w:rPr>
          <w:spacing w:val="-4"/>
          <w:w w:val="105"/>
          <w:sz w:val="21"/>
        </w:rPr>
        <w:t> </w:t>
      </w:r>
      <w:r>
        <w:rPr>
          <w:w w:val="105"/>
          <w:sz w:val="21"/>
        </w:rPr>
        <w:t>strong</w:t>
      </w:r>
      <w:r>
        <w:rPr>
          <w:spacing w:val="-5"/>
          <w:w w:val="105"/>
          <w:sz w:val="21"/>
        </w:rPr>
        <w:t> </w:t>
      </w:r>
      <w:r>
        <w:rPr>
          <w:spacing w:val="-3"/>
          <w:w w:val="105"/>
          <w:sz w:val="21"/>
        </w:rPr>
        <w:t>incentive</w:t>
      </w:r>
      <w:r>
        <w:rPr>
          <w:spacing w:val="-5"/>
          <w:w w:val="105"/>
          <w:sz w:val="21"/>
        </w:rPr>
        <w:t> </w:t>
      </w:r>
      <w:r>
        <w:rPr>
          <w:spacing w:val="-3"/>
          <w:w w:val="105"/>
          <w:sz w:val="21"/>
        </w:rPr>
        <w:t>for</w:t>
      </w:r>
      <w:r>
        <w:rPr>
          <w:spacing w:val="-4"/>
          <w:w w:val="105"/>
          <w:sz w:val="21"/>
        </w:rPr>
        <w:t> </w:t>
      </w:r>
      <w:r>
        <w:rPr>
          <w:w w:val="105"/>
          <w:sz w:val="21"/>
        </w:rPr>
        <w:t>people </w:t>
      </w:r>
      <w:r>
        <w:rPr>
          <w:spacing w:val="-3"/>
          <w:w w:val="105"/>
          <w:sz w:val="21"/>
        </w:rPr>
        <w:t>to </w:t>
      </w:r>
      <w:r>
        <w:rPr>
          <w:w w:val="105"/>
          <w:sz w:val="21"/>
        </w:rPr>
        <w:t>seek grants, provided </w:t>
      </w:r>
      <w:r>
        <w:rPr>
          <w:spacing w:val="-3"/>
          <w:w w:val="105"/>
          <w:sz w:val="21"/>
        </w:rPr>
        <w:t>that </w:t>
      </w:r>
      <w:r>
        <w:rPr>
          <w:w w:val="105"/>
          <w:sz w:val="21"/>
        </w:rPr>
        <w:t>they </w:t>
      </w:r>
      <w:r>
        <w:rPr>
          <w:spacing w:val="-3"/>
          <w:w w:val="105"/>
          <w:sz w:val="21"/>
        </w:rPr>
        <w:t>were aware </w:t>
      </w:r>
      <w:r>
        <w:rPr>
          <w:w w:val="105"/>
          <w:sz w:val="21"/>
        </w:rPr>
        <w:t>of the benefits of so </w:t>
      </w:r>
      <w:r>
        <w:rPr>
          <w:spacing w:val="-3"/>
          <w:w w:val="105"/>
          <w:sz w:val="21"/>
        </w:rPr>
        <w:t>doing. </w:t>
      </w:r>
      <w:r>
        <w:rPr>
          <w:w w:val="105"/>
          <w:sz w:val="21"/>
        </w:rPr>
        <w:t>It was also </w:t>
      </w:r>
      <w:r>
        <w:rPr>
          <w:spacing w:val="-3"/>
          <w:w w:val="105"/>
          <w:sz w:val="21"/>
        </w:rPr>
        <w:t>noted</w:t>
      </w:r>
      <w:r>
        <w:rPr>
          <w:spacing w:val="-6"/>
          <w:w w:val="105"/>
          <w:sz w:val="21"/>
        </w:rPr>
        <w:t> </w:t>
      </w:r>
      <w:r>
        <w:rPr>
          <w:spacing w:val="-3"/>
          <w:w w:val="105"/>
          <w:sz w:val="21"/>
        </w:rPr>
        <w:t>that</w:t>
      </w:r>
      <w:r>
        <w:rPr>
          <w:spacing w:val="-5"/>
          <w:w w:val="105"/>
          <w:sz w:val="21"/>
        </w:rPr>
        <w:t> </w:t>
      </w:r>
      <w:r>
        <w:rPr>
          <w:w w:val="105"/>
          <w:sz w:val="21"/>
        </w:rPr>
        <w:t>the</w:t>
      </w:r>
      <w:r>
        <w:rPr>
          <w:spacing w:val="-5"/>
          <w:w w:val="105"/>
          <w:sz w:val="21"/>
        </w:rPr>
        <w:t> </w:t>
      </w:r>
      <w:r>
        <w:rPr>
          <w:spacing w:val="-3"/>
          <w:w w:val="105"/>
          <w:sz w:val="21"/>
        </w:rPr>
        <w:t>creation</w:t>
      </w:r>
      <w:r>
        <w:rPr>
          <w:spacing w:val="-5"/>
          <w:w w:val="105"/>
          <w:sz w:val="21"/>
        </w:rPr>
        <w:t> </w:t>
      </w:r>
      <w:r>
        <w:rPr>
          <w:w w:val="105"/>
          <w:sz w:val="21"/>
        </w:rPr>
        <w:t>of</w:t>
      </w:r>
      <w:r>
        <w:rPr>
          <w:spacing w:val="-5"/>
          <w:w w:val="105"/>
          <w:sz w:val="21"/>
        </w:rPr>
        <w:t> </w:t>
      </w:r>
      <w:r>
        <w:rPr>
          <w:w w:val="105"/>
          <w:sz w:val="21"/>
        </w:rPr>
        <w:t>court</w:t>
      </w:r>
      <w:r>
        <w:rPr>
          <w:spacing w:val="-5"/>
          <w:w w:val="105"/>
          <w:sz w:val="21"/>
        </w:rPr>
        <w:t> </w:t>
      </w:r>
      <w:r>
        <w:rPr>
          <w:spacing w:val="-3"/>
          <w:w w:val="105"/>
          <w:sz w:val="21"/>
        </w:rPr>
        <w:t>records</w:t>
      </w:r>
      <w:r>
        <w:rPr>
          <w:spacing w:val="-5"/>
          <w:w w:val="105"/>
          <w:sz w:val="21"/>
        </w:rPr>
        <w:t> </w:t>
      </w:r>
      <w:r>
        <w:rPr>
          <w:w w:val="105"/>
          <w:sz w:val="21"/>
        </w:rPr>
        <w:t>is</w:t>
      </w:r>
      <w:r>
        <w:rPr>
          <w:spacing w:val="-5"/>
          <w:w w:val="105"/>
          <w:sz w:val="21"/>
        </w:rPr>
        <w:t> </w:t>
      </w:r>
      <w:r>
        <w:rPr>
          <w:w w:val="105"/>
          <w:sz w:val="21"/>
        </w:rPr>
        <w:t>beneficial</w:t>
      </w:r>
      <w:r>
        <w:rPr>
          <w:spacing w:val="-5"/>
          <w:w w:val="105"/>
          <w:sz w:val="21"/>
        </w:rPr>
        <w:t> </w:t>
      </w:r>
      <w:r>
        <w:rPr>
          <w:spacing w:val="-3"/>
          <w:w w:val="105"/>
          <w:sz w:val="21"/>
        </w:rPr>
        <w:t>for</w:t>
      </w:r>
      <w:r>
        <w:rPr>
          <w:spacing w:val="-5"/>
          <w:w w:val="105"/>
          <w:sz w:val="21"/>
        </w:rPr>
        <w:t> </w:t>
      </w:r>
      <w:r>
        <w:rPr>
          <w:spacing w:val="-3"/>
          <w:w w:val="105"/>
          <w:sz w:val="21"/>
        </w:rPr>
        <w:t>third</w:t>
      </w:r>
      <w:r>
        <w:rPr>
          <w:spacing w:val="-6"/>
          <w:w w:val="105"/>
          <w:sz w:val="21"/>
        </w:rPr>
        <w:t> </w:t>
      </w:r>
      <w:r>
        <w:rPr>
          <w:w w:val="105"/>
          <w:sz w:val="21"/>
        </w:rPr>
        <w:t>parties</w:t>
      </w:r>
      <w:r>
        <w:rPr>
          <w:spacing w:val="-5"/>
          <w:w w:val="105"/>
          <w:sz w:val="21"/>
        </w:rPr>
        <w:t> </w:t>
      </w:r>
      <w:r>
        <w:rPr>
          <w:w w:val="105"/>
          <w:sz w:val="21"/>
        </w:rPr>
        <w:t>who</w:t>
      </w:r>
      <w:r>
        <w:rPr>
          <w:spacing w:val="-5"/>
          <w:w w:val="105"/>
          <w:sz w:val="21"/>
        </w:rPr>
        <w:t> </w:t>
      </w:r>
      <w:r>
        <w:rPr>
          <w:w w:val="105"/>
          <w:sz w:val="21"/>
        </w:rPr>
        <w:t>wish</w:t>
      </w:r>
      <w:r>
        <w:rPr>
          <w:spacing w:val="-5"/>
          <w:w w:val="105"/>
          <w:sz w:val="21"/>
        </w:rPr>
        <w:t> </w:t>
      </w:r>
      <w:r>
        <w:rPr>
          <w:spacing w:val="-3"/>
          <w:w w:val="105"/>
          <w:sz w:val="21"/>
        </w:rPr>
        <w:t>to</w:t>
      </w:r>
      <w:r>
        <w:rPr>
          <w:spacing w:val="-5"/>
          <w:w w:val="105"/>
          <w:sz w:val="21"/>
        </w:rPr>
        <w:t> </w:t>
      </w:r>
      <w:r>
        <w:rPr>
          <w:spacing w:val="-3"/>
          <w:w w:val="105"/>
          <w:sz w:val="21"/>
        </w:rPr>
        <w:t>search for information </w:t>
      </w:r>
      <w:r>
        <w:rPr>
          <w:w w:val="105"/>
          <w:sz w:val="21"/>
        </w:rPr>
        <w:t>about the </w:t>
      </w:r>
      <w:r>
        <w:rPr>
          <w:spacing w:val="-3"/>
          <w:w w:val="105"/>
          <w:sz w:val="21"/>
        </w:rPr>
        <w:t>estate’s</w:t>
      </w:r>
      <w:r>
        <w:rPr>
          <w:spacing w:val="29"/>
          <w:w w:val="105"/>
          <w:sz w:val="21"/>
        </w:rPr>
        <w:t> </w:t>
      </w:r>
      <w:r>
        <w:rPr>
          <w:spacing w:val="-4"/>
          <w:w w:val="105"/>
          <w:sz w:val="21"/>
        </w:rPr>
        <w:t>administration.</w:t>
      </w:r>
      <w:r>
        <w:rPr>
          <w:spacing w:val="-4"/>
          <w:w w:val="105"/>
          <w:position w:val="7"/>
          <w:sz w:val="12"/>
        </w:rPr>
        <w:t>76</w:t>
      </w:r>
    </w:p>
    <w:p>
      <w:pPr>
        <w:pStyle w:val="BodyText"/>
        <w:spacing w:before="4"/>
        <w:rPr>
          <w:sz w:val="11"/>
        </w:rPr>
      </w:pPr>
      <w:r>
        <w:rPr/>
        <w:pict>
          <v:line style="position:absolute;mso-position-horizontal-relative:page;mso-position-vertical-relative:paragraph;z-index:11888;mso-wrap-distance-left:0;mso-wrap-distance-right:0" from="79.370102pt,9.390073pt" to="515.905102pt,9.390073pt" stroked="true" strokeweight="1pt" strokecolor="#f9ceca">
            <v:stroke dashstyle="solid"/>
            <w10:wrap type="topAndBottom"/>
          </v:line>
        </w:pict>
      </w:r>
    </w:p>
    <w:p>
      <w:pPr>
        <w:pStyle w:val="BodyText"/>
        <w:spacing w:before="8"/>
        <w:rPr>
          <w:sz w:val="5"/>
        </w:rPr>
      </w:pPr>
    </w:p>
    <w:p>
      <w:pPr>
        <w:spacing w:after="0"/>
        <w:rPr>
          <w:sz w:val="5"/>
        </w:rPr>
        <w:sectPr>
          <w:pgSz w:w="11910" w:h="16840"/>
          <w:pgMar w:header="805" w:footer="0" w:top="1360" w:bottom="280" w:left="0" w:right="0"/>
        </w:sectPr>
      </w:pPr>
    </w:p>
    <w:p>
      <w:pPr>
        <w:pStyle w:val="ListParagraph"/>
        <w:numPr>
          <w:ilvl w:val="0"/>
          <w:numId w:val="140"/>
        </w:numPr>
        <w:tabs>
          <w:tab w:pos="2380" w:val="left" w:leader="none"/>
          <w:tab w:pos="2382" w:val="left" w:leader="none"/>
        </w:tabs>
        <w:spacing w:line="240" w:lineRule="auto" w:before="48" w:after="0"/>
        <w:ind w:left="2381" w:right="0" w:hanging="794"/>
        <w:jc w:val="left"/>
        <w:rPr>
          <w:sz w:val="13"/>
        </w:rPr>
      </w:pPr>
      <w:r>
        <w:rPr>
          <w:w w:val="105"/>
          <w:sz w:val="13"/>
        </w:rPr>
        <w:t>Probate Office, above n</w:t>
      </w:r>
      <w:r>
        <w:rPr>
          <w:spacing w:val="18"/>
          <w:w w:val="105"/>
          <w:sz w:val="13"/>
        </w:rPr>
        <w:t> </w:t>
      </w:r>
      <w:r>
        <w:rPr>
          <w:w w:val="105"/>
          <w:sz w:val="13"/>
        </w:rPr>
        <w:t>9.</w:t>
      </w:r>
    </w:p>
    <w:p>
      <w:pPr>
        <w:pStyle w:val="ListParagraph"/>
        <w:numPr>
          <w:ilvl w:val="0"/>
          <w:numId w:val="140"/>
        </w:numPr>
        <w:tabs>
          <w:tab w:pos="2381" w:val="left" w:leader="none"/>
          <w:tab w:pos="2382" w:val="left" w:leader="none"/>
        </w:tabs>
        <w:spacing w:line="240" w:lineRule="auto" w:before="1" w:after="0"/>
        <w:ind w:left="2381" w:right="0" w:hanging="794"/>
        <w:jc w:val="left"/>
        <w:rPr>
          <w:sz w:val="13"/>
        </w:rPr>
      </w:pPr>
      <w:r>
        <w:rPr>
          <w:w w:val="105"/>
          <w:sz w:val="13"/>
        </w:rPr>
        <w:t>Supreme Court of New South Wales Registry, </w:t>
      </w:r>
      <w:r>
        <w:rPr>
          <w:i/>
          <w:w w:val="105"/>
          <w:sz w:val="13"/>
        </w:rPr>
        <w:t>Probate Filing Fees </w:t>
      </w:r>
      <w:r>
        <w:rPr>
          <w:w w:val="105"/>
          <w:sz w:val="13"/>
        </w:rPr>
        <w:t>(1 January 2012) Lawlink NSW &lt;</w:t>
      </w:r>
      <w:hyperlink r:id="rId115">
        <w:r>
          <w:rPr>
            <w:w w:val="105"/>
            <w:sz w:val="13"/>
          </w:rPr>
          <w:t>http://www.supremecourt.lawlink.nsw.</w:t>
        </w:r>
      </w:hyperlink>
      <w:r>
        <w:rPr>
          <w:w w:val="105"/>
          <w:sz w:val="13"/>
        </w:rPr>
        <w:t> gov.au/agdbasev7wr/_assets/supremecourt/m670001l711802/filing%20fees%20(from%201.1.13).pdf&gt;.</w:t>
      </w:r>
    </w:p>
    <w:p>
      <w:pPr>
        <w:pStyle w:val="ListParagraph"/>
        <w:numPr>
          <w:ilvl w:val="0"/>
          <w:numId w:val="140"/>
        </w:numPr>
        <w:tabs>
          <w:tab w:pos="2381" w:val="left" w:leader="none"/>
          <w:tab w:pos="2382" w:val="left" w:leader="none"/>
        </w:tabs>
        <w:spacing w:line="240" w:lineRule="auto" w:before="3" w:after="0"/>
        <w:ind w:left="2381" w:right="0" w:hanging="794"/>
        <w:jc w:val="left"/>
        <w:rPr>
          <w:sz w:val="13"/>
        </w:rPr>
      </w:pPr>
      <w:r>
        <w:rPr>
          <w:w w:val="105"/>
          <w:sz w:val="13"/>
        </w:rPr>
        <w:t>Victorian Law Reform Commission, above n 6,</w:t>
      </w:r>
      <w:r>
        <w:rPr>
          <w:spacing w:val="2"/>
          <w:w w:val="105"/>
          <w:sz w:val="13"/>
        </w:rPr>
        <w:t> </w:t>
      </w:r>
      <w:r>
        <w:rPr>
          <w:w w:val="105"/>
          <w:sz w:val="13"/>
        </w:rPr>
        <w:t>24.</w:t>
      </w:r>
    </w:p>
    <w:p>
      <w:pPr>
        <w:pStyle w:val="ListParagraph"/>
        <w:numPr>
          <w:ilvl w:val="0"/>
          <w:numId w:val="140"/>
        </w:numPr>
        <w:tabs>
          <w:tab w:pos="2381" w:val="left" w:leader="none"/>
          <w:tab w:pos="2382" w:val="left" w:leader="none"/>
        </w:tabs>
        <w:spacing w:line="240" w:lineRule="auto" w:before="1" w:after="0"/>
        <w:ind w:left="2381" w:right="0" w:hanging="794"/>
        <w:jc w:val="left"/>
        <w:rPr>
          <w:sz w:val="13"/>
        </w:rPr>
      </w:pPr>
      <w:r>
        <w:rPr>
          <w:w w:val="105"/>
          <w:sz w:val="13"/>
        </w:rPr>
        <w:t>Submissions 25 </w:t>
      </w:r>
      <w:r>
        <w:rPr>
          <w:spacing w:val="2"/>
          <w:w w:val="105"/>
          <w:sz w:val="13"/>
        </w:rPr>
        <w:t>(Moores </w:t>
      </w:r>
      <w:r>
        <w:rPr>
          <w:w w:val="105"/>
          <w:sz w:val="13"/>
        </w:rPr>
        <w:t>Legal); 33 (State Trustees</w:t>
      </w:r>
      <w:r>
        <w:rPr>
          <w:spacing w:val="29"/>
          <w:w w:val="105"/>
          <w:sz w:val="13"/>
        </w:rPr>
        <w:t> </w:t>
      </w:r>
      <w:r>
        <w:rPr>
          <w:w w:val="105"/>
          <w:sz w:val="13"/>
        </w:rPr>
        <w:t>Limited).</w:t>
      </w:r>
    </w:p>
    <w:p>
      <w:pPr>
        <w:pStyle w:val="ListParagraph"/>
        <w:numPr>
          <w:ilvl w:val="0"/>
          <w:numId w:val="140"/>
        </w:numPr>
        <w:tabs>
          <w:tab w:pos="2381" w:val="left" w:leader="none"/>
          <w:tab w:pos="2382" w:val="left" w:leader="none"/>
        </w:tabs>
        <w:spacing w:line="240" w:lineRule="auto" w:before="2" w:after="0"/>
        <w:ind w:left="2381" w:right="35" w:hanging="794"/>
        <w:jc w:val="left"/>
        <w:rPr>
          <w:sz w:val="13"/>
        </w:rPr>
      </w:pPr>
      <w:r>
        <w:rPr>
          <w:w w:val="105"/>
          <w:sz w:val="13"/>
        </w:rPr>
        <w:t>Consultation 4 </w:t>
      </w:r>
      <w:r>
        <w:rPr>
          <w:spacing w:val="2"/>
          <w:w w:val="105"/>
          <w:sz w:val="13"/>
        </w:rPr>
        <w:t>(Legal </w:t>
      </w:r>
      <w:r>
        <w:rPr>
          <w:w w:val="105"/>
          <w:sz w:val="13"/>
        </w:rPr>
        <w:t>practitioners from Goulburn Valley and Loddon Campaspe Community Legal Centres); submission </w:t>
      </w:r>
      <w:r>
        <w:rPr>
          <w:spacing w:val="-3"/>
          <w:w w:val="105"/>
          <w:sz w:val="13"/>
        </w:rPr>
        <w:t>14 </w:t>
      </w:r>
      <w:r>
        <w:rPr>
          <w:w w:val="105"/>
          <w:sz w:val="13"/>
        </w:rPr>
        <w:t>(Commercial</w:t>
      </w:r>
      <w:r>
        <w:rPr>
          <w:spacing w:val="30"/>
          <w:w w:val="105"/>
          <w:sz w:val="13"/>
        </w:rPr>
        <w:t> </w:t>
      </w:r>
      <w:r>
        <w:rPr>
          <w:w w:val="105"/>
          <w:sz w:val="13"/>
        </w:rPr>
        <w:t>Bar</w:t>
      </w:r>
      <w:r>
        <w:rPr>
          <w:spacing w:val="4"/>
          <w:w w:val="105"/>
          <w:sz w:val="13"/>
        </w:rPr>
        <w:t> </w:t>
      </w:r>
      <w:r>
        <w:rPr>
          <w:spacing w:val="2"/>
          <w:w w:val="105"/>
          <w:sz w:val="13"/>
        </w:rPr>
        <w:t>Association).</w:t>
      </w:r>
    </w:p>
    <w:p>
      <w:pPr>
        <w:pStyle w:val="ListParagraph"/>
        <w:numPr>
          <w:ilvl w:val="0"/>
          <w:numId w:val="140"/>
        </w:numPr>
        <w:tabs>
          <w:tab w:pos="2381" w:val="left" w:leader="none"/>
          <w:tab w:pos="2382" w:val="left" w:leader="none"/>
        </w:tabs>
        <w:spacing w:line="240" w:lineRule="auto" w:before="2" w:after="0"/>
        <w:ind w:left="2381" w:right="0" w:hanging="794"/>
        <w:jc w:val="left"/>
        <w:rPr>
          <w:sz w:val="13"/>
        </w:rPr>
      </w:pPr>
      <w:r>
        <w:rPr>
          <w:w w:val="105"/>
          <w:sz w:val="13"/>
        </w:rPr>
        <w:t>Submission 25 </w:t>
      </w:r>
      <w:r>
        <w:rPr>
          <w:spacing w:val="2"/>
          <w:w w:val="105"/>
          <w:sz w:val="13"/>
        </w:rPr>
        <w:t>(Moores</w:t>
      </w:r>
      <w:r>
        <w:rPr>
          <w:spacing w:val="13"/>
          <w:w w:val="105"/>
          <w:sz w:val="13"/>
        </w:rPr>
        <w:t> </w:t>
      </w:r>
      <w:r>
        <w:rPr>
          <w:w w:val="105"/>
          <w:sz w:val="13"/>
        </w:rPr>
        <w:t>Legal).</w:t>
      </w:r>
    </w:p>
    <w:p>
      <w:pPr>
        <w:pStyle w:val="BodyText"/>
        <w:rPr>
          <w:sz w:val="28"/>
        </w:rPr>
      </w:pPr>
      <w:r>
        <w:rPr/>
        <w:br w:type="column"/>
      </w:r>
      <w:r>
        <w:rPr>
          <w:sz w:val="28"/>
        </w:rPr>
      </w:r>
    </w:p>
    <w:p>
      <w:pPr>
        <w:pStyle w:val="BodyText"/>
        <w:rPr>
          <w:sz w:val="28"/>
        </w:rPr>
      </w:pPr>
    </w:p>
    <w:p>
      <w:pPr>
        <w:pStyle w:val="BodyText"/>
        <w:spacing w:before="1"/>
        <w:rPr>
          <w:sz w:val="31"/>
        </w:rPr>
      </w:pPr>
    </w:p>
    <w:p>
      <w:pPr>
        <w:spacing w:before="0"/>
        <w:ind w:left="704" w:right="575" w:firstLine="0"/>
        <w:jc w:val="center"/>
        <w:rPr>
          <w:b/>
          <w:sz w:val="24"/>
        </w:rPr>
      </w:pPr>
      <w:r>
        <w:rPr>
          <w:b/>
          <w:color w:val="EC5A4F"/>
          <w:w w:val="110"/>
          <w:sz w:val="24"/>
        </w:rPr>
        <w:t>201</w:t>
      </w:r>
    </w:p>
    <w:p>
      <w:pPr>
        <w:spacing w:after="0"/>
        <w:jc w:val="center"/>
        <w:rPr>
          <w:sz w:val="24"/>
        </w:rPr>
        <w:sectPr>
          <w:type w:val="continuous"/>
          <w:pgSz w:w="11910" w:h="16840"/>
          <w:pgMar w:top="920" w:bottom="280" w:left="0" w:right="0"/>
          <w:cols w:num="2" w:equalWidth="0">
            <w:col w:w="10149" w:space="40"/>
            <w:col w:w="1721"/>
          </w:cols>
        </w:sectPr>
      </w:pPr>
    </w:p>
    <w:p>
      <w:pPr>
        <w:pStyle w:val="BodyText"/>
        <w:spacing w:before="9"/>
        <w:rPr>
          <w:b/>
          <w:sz w:val="22"/>
        </w:rPr>
      </w:pPr>
    </w:p>
    <w:p>
      <w:pPr>
        <w:pStyle w:val="ListParagraph"/>
        <w:numPr>
          <w:ilvl w:val="1"/>
          <w:numId w:val="22"/>
        </w:numPr>
        <w:tabs>
          <w:tab w:pos="2380" w:val="left" w:leader="none"/>
          <w:tab w:pos="2381" w:val="left" w:leader="none"/>
        </w:tabs>
        <w:spacing w:line="242" w:lineRule="auto" w:before="92" w:after="0"/>
        <w:ind w:left="2381" w:right="2264" w:hanging="794"/>
        <w:jc w:val="left"/>
        <w:rPr>
          <w:sz w:val="12"/>
        </w:rPr>
      </w:pPr>
      <w:r>
        <w:rPr>
          <w:sz w:val="21"/>
        </w:rPr>
        <w:t>In his report </w:t>
      </w:r>
      <w:r>
        <w:rPr>
          <w:spacing w:val="-3"/>
          <w:sz w:val="21"/>
        </w:rPr>
        <w:t>to </w:t>
      </w:r>
      <w:r>
        <w:rPr>
          <w:sz w:val="21"/>
        </w:rPr>
        <w:t>the </w:t>
      </w:r>
      <w:r>
        <w:rPr>
          <w:spacing w:val="-3"/>
          <w:sz w:val="21"/>
        </w:rPr>
        <w:t>Court </w:t>
      </w:r>
      <w:r>
        <w:rPr>
          <w:sz w:val="21"/>
        </w:rPr>
        <w:t>at the end of his </w:t>
      </w:r>
      <w:r>
        <w:rPr>
          <w:spacing w:val="-4"/>
          <w:sz w:val="21"/>
        </w:rPr>
        <w:t>tenure, </w:t>
      </w:r>
      <w:r>
        <w:rPr>
          <w:sz w:val="21"/>
        </w:rPr>
        <w:t>the former Registrar of Probates advocated</w:t>
      </w:r>
      <w:r>
        <w:rPr>
          <w:spacing w:val="10"/>
          <w:sz w:val="21"/>
        </w:rPr>
        <w:t> </w:t>
      </w:r>
      <w:r>
        <w:rPr>
          <w:sz w:val="21"/>
        </w:rPr>
        <w:t>the</w:t>
      </w:r>
      <w:r>
        <w:rPr>
          <w:spacing w:val="10"/>
          <w:sz w:val="21"/>
        </w:rPr>
        <w:t> </w:t>
      </w:r>
      <w:r>
        <w:rPr>
          <w:sz w:val="21"/>
        </w:rPr>
        <w:t>introduction</w:t>
      </w:r>
      <w:r>
        <w:rPr>
          <w:spacing w:val="10"/>
          <w:sz w:val="21"/>
        </w:rPr>
        <w:t> </w:t>
      </w:r>
      <w:r>
        <w:rPr>
          <w:sz w:val="21"/>
        </w:rPr>
        <w:t>of</w:t>
      </w:r>
      <w:r>
        <w:rPr>
          <w:spacing w:val="10"/>
          <w:sz w:val="21"/>
        </w:rPr>
        <w:t> </w:t>
      </w:r>
      <w:r>
        <w:rPr>
          <w:sz w:val="21"/>
        </w:rPr>
        <w:t>a</w:t>
      </w:r>
      <w:r>
        <w:rPr>
          <w:spacing w:val="10"/>
          <w:sz w:val="21"/>
        </w:rPr>
        <w:t> </w:t>
      </w:r>
      <w:r>
        <w:rPr>
          <w:spacing w:val="-3"/>
          <w:sz w:val="21"/>
        </w:rPr>
        <w:t>sliding</w:t>
      </w:r>
      <w:r>
        <w:rPr>
          <w:spacing w:val="10"/>
          <w:sz w:val="21"/>
        </w:rPr>
        <w:t> </w:t>
      </w:r>
      <w:r>
        <w:rPr>
          <w:sz w:val="21"/>
        </w:rPr>
        <w:t>scale</w:t>
      </w:r>
      <w:r>
        <w:rPr>
          <w:spacing w:val="10"/>
          <w:sz w:val="21"/>
        </w:rPr>
        <w:t> </w:t>
      </w:r>
      <w:r>
        <w:rPr>
          <w:sz w:val="21"/>
        </w:rPr>
        <w:t>fee</w:t>
      </w:r>
      <w:r>
        <w:rPr>
          <w:spacing w:val="10"/>
          <w:sz w:val="21"/>
        </w:rPr>
        <w:t> </w:t>
      </w:r>
      <w:r>
        <w:rPr>
          <w:sz w:val="21"/>
        </w:rPr>
        <w:t>in</w:t>
      </w:r>
      <w:r>
        <w:rPr>
          <w:spacing w:val="10"/>
          <w:sz w:val="21"/>
        </w:rPr>
        <w:t> </w:t>
      </w:r>
      <w:r>
        <w:rPr>
          <w:sz w:val="21"/>
        </w:rPr>
        <w:t>Victoria.</w:t>
      </w:r>
      <w:r>
        <w:rPr>
          <w:position w:val="7"/>
          <w:sz w:val="12"/>
        </w:rPr>
        <w:t>77</w:t>
      </w:r>
    </w:p>
    <w:p>
      <w:pPr>
        <w:pStyle w:val="ListParagraph"/>
        <w:numPr>
          <w:ilvl w:val="1"/>
          <w:numId w:val="22"/>
        </w:numPr>
        <w:tabs>
          <w:tab w:pos="2382" w:val="left" w:leader="none"/>
        </w:tabs>
        <w:spacing w:line="242" w:lineRule="auto" w:before="122" w:after="0"/>
        <w:ind w:left="2381" w:right="1738" w:hanging="794"/>
        <w:jc w:val="both"/>
        <w:rPr>
          <w:sz w:val="12"/>
        </w:rPr>
      </w:pPr>
      <w:r>
        <w:rPr>
          <w:sz w:val="21"/>
        </w:rPr>
        <w:t>The </w:t>
      </w:r>
      <w:r>
        <w:rPr>
          <w:spacing w:val="-3"/>
          <w:sz w:val="21"/>
        </w:rPr>
        <w:t>Commission </w:t>
      </w:r>
      <w:r>
        <w:rPr>
          <w:sz w:val="21"/>
        </w:rPr>
        <w:t>is of the view </w:t>
      </w:r>
      <w:r>
        <w:rPr>
          <w:spacing w:val="-3"/>
          <w:sz w:val="21"/>
        </w:rPr>
        <w:t>that, </w:t>
      </w:r>
      <w:r>
        <w:rPr>
          <w:sz w:val="21"/>
        </w:rPr>
        <w:t>in </w:t>
      </w:r>
      <w:r>
        <w:rPr>
          <w:spacing w:val="-3"/>
          <w:sz w:val="21"/>
        </w:rPr>
        <w:t>line </w:t>
      </w:r>
      <w:r>
        <w:rPr>
          <w:sz w:val="21"/>
        </w:rPr>
        <w:t>with the discussion and </w:t>
      </w:r>
      <w:r>
        <w:rPr>
          <w:spacing w:val="-3"/>
          <w:sz w:val="21"/>
        </w:rPr>
        <w:t>recommendations  </w:t>
      </w:r>
      <w:r>
        <w:rPr>
          <w:sz w:val="21"/>
        </w:rPr>
        <w:t>on  the </w:t>
      </w:r>
      <w:r>
        <w:rPr>
          <w:spacing w:val="-3"/>
          <w:sz w:val="21"/>
        </w:rPr>
        <w:t>value threshold for </w:t>
      </w:r>
      <w:r>
        <w:rPr>
          <w:sz w:val="21"/>
        </w:rPr>
        <w:t>estates seeking assistance </w:t>
      </w:r>
      <w:r>
        <w:rPr>
          <w:spacing w:val="-3"/>
          <w:sz w:val="21"/>
        </w:rPr>
        <w:t>from </w:t>
      </w:r>
      <w:r>
        <w:rPr>
          <w:sz w:val="21"/>
        </w:rPr>
        <w:t>the </w:t>
      </w:r>
      <w:r>
        <w:rPr>
          <w:spacing w:val="-3"/>
          <w:sz w:val="21"/>
        </w:rPr>
        <w:t>small  </w:t>
      </w:r>
      <w:r>
        <w:rPr>
          <w:sz w:val="21"/>
        </w:rPr>
        <w:t>estates service, it would be </w:t>
      </w:r>
      <w:r>
        <w:rPr>
          <w:spacing w:val="-3"/>
          <w:sz w:val="21"/>
        </w:rPr>
        <w:t>appropriate for </w:t>
      </w:r>
      <w:r>
        <w:rPr>
          <w:sz w:val="21"/>
        </w:rPr>
        <w:t>the first (no fee) </w:t>
      </w:r>
      <w:r>
        <w:rPr>
          <w:spacing w:val="-4"/>
          <w:sz w:val="21"/>
        </w:rPr>
        <w:t>bracket </w:t>
      </w:r>
      <w:r>
        <w:rPr>
          <w:spacing w:val="-3"/>
          <w:sz w:val="21"/>
        </w:rPr>
        <w:t>to  </w:t>
      </w:r>
      <w:r>
        <w:rPr>
          <w:sz w:val="21"/>
        </w:rPr>
        <w:t>apply </w:t>
      </w:r>
      <w:r>
        <w:rPr>
          <w:spacing w:val="-3"/>
          <w:sz w:val="21"/>
        </w:rPr>
        <w:t>to</w:t>
      </w:r>
      <w:r>
        <w:rPr>
          <w:spacing w:val="41"/>
          <w:sz w:val="21"/>
        </w:rPr>
        <w:t> </w:t>
      </w:r>
      <w:r>
        <w:rPr>
          <w:sz w:val="21"/>
        </w:rPr>
        <w:t>those estates </w:t>
      </w:r>
      <w:r>
        <w:rPr>
          <w:spacing w:val="-3"/>
          <w:sz w:val="21"/>
        </w:rPr>
        <w:t>valued  </w:t>
      </w:r>
      <w:r>
        <w:rPr>
          <w:sz w:val="21"/>
        </w:rPr>
        <w:t>at </w:t>
      </w:r>
      <w:r>
        <w:rPr>
          <w:spacing w:val="-3"/>
          <w:sz w:val="21"/>
        </w:rPr>
        <w:t>$100,000  </w:t>
      </w:r>
      <w:r>
        <w:rPr>
          <w:sz w:val="21"/>
        </w:rPr>
        <w:t>or</w:t>
      </w:r>
      <w:r>
        <w:rPr>
          <w:spacing w:val="8"/>
          <w:sz w:val="21"/>
        </w:rPr>
        <w:t> </w:t>
      </w:r>
      <w:r>
        <w:rPr>
          <w:spacing w:val="-3"/>
          <w:sz w:val="21"/>
        </w:rPr>
        <w:t>less.</w:t>
      </w:r>
      <w:r>
        <w:rPr>
          <w:spacing w:val="-3"/>
          <w:position w:val="7"/>
          <w:sz w:val="12"/>
        </w:rPr>
        <w:t>78</w:t>
      </w:r>
    </w:p>
    <w:p>
      <w:pPr>
        <w:pStyle w:val="ListParagraph"/>
        <w:numPr>
          <w:ilvl w:val="1"/>
          <w:numId w:val="22"/>
        </w:numPr>
        <w:tabs>
          <w:tab w:pos="2380" w:val="left" w:leader="none"/>
          <w:tab w:pos="2382" w:val="left" w:leader="none"/>
        </w:tabs>
        <w:spacing w:line="242" w:lineRule="auto" w:before="124" w:after="0"/>
        <w:ind w:left="2381" w:right="1594" w:hanging="794"/>
        <w:jc w:val="left"/>
        <w:rPr>
          <w:sz w:val="12"/>
        </w:rPr>
      </w:pPr>
      <w:r>
        <w:rPr>
          <w:w w:val="105"/>
          <w:sz w:val="21"/>
        </w:rPr>
        <w:t>The </w:t>
      </w:r>
      <w:r>
        <w:rPr>
          <w:spacing w:val="-3"/>
          <w:w w:val="105"/>
          <w:sz w:val="21"/>
        </w:rPr>
        <w:t>Commission notes that </w:t>
      </w:r>
      <w:r>
        <w:rPr>
          <w:w w:val="105"/>
          <w:sz w:val="21"/>
        </w:rPr>
        <w:t>the power of the Governor in </w:t>
      </w:r>
      <w:r>
        <w:rPr>
          <w:spacing w:val="-4"/>
          <w:w w:val="105"/>
          <w:sz w:val="21"/>
        </w:rPr>
        <w:t>Council </w:t>
      </w:r>
      <w:r>
        <w:rPr>
          <w:spacing w:val="-3"/>
          <w:w w:val="105"/>
          <w:sz w:val="21"/>
        </w:rPr>
        <w:t>to </w:t>
      </w:r>
      <w:r>
        <w:rPr>
          <w:spacing w:val="-4"/>
          <w:w w:val="105"/>
          <w:sz w:val="21"/>
        </w:rPr>
        <w:t>make </w:t>
      </w:r>
      <w:r>
        <w:rPr>
          <w:spacing w:val="-3"/>
          <w:w w:val="105"/>
          <w:sz w:val="21"/>
        </w:rPr>
        <w:t>regulations stipulating </w:t>
      </w:r>
      <w:r>
        <w:rPr>
          <w:w w:val="105"/>
          <w:sz w:val="21"/>
        </w:rPr>
        <w:t>fees </w:t>
      </w:r>
      <w:r>
        <w:rPr>
          <w:spacing w:val="-3"/>
          <w:w w:val="105"/>
          <w:sz w:val="21"/>
        </w:rPr>
        <w:t>includes </w:t>
      </w:r>
      <w:r>
        <w:rPr>
          <w:w w:val="105"/>
          <w:sz w:val="21"/>
        </w:rPr>
        <w:t>the power </w:t>
      </w:r>
      <w:r>
        <w:rPr>
          <w:spacing w:val="-3"/>
          <w:w w:val="105"/>
          <w:sz w:val="21"/>
        </w:rPr>
        <w:t>to </w:t>
      </w:r>
      <w:r>
        <w:rPr>
          <w:spacing w:val="-4"/>
          <w:w w:val="105"/>
          <w:sz w:val="21"/>
        </w:rPr>
        <w:t>make </w:t>
      </w:r>
      <w:r>
        <w:rPr>
          <w:spacing w:val="-3"/>
          <w:w w:val="105"/>
          <w:sz w:val="21"/>
        </w:rPr>
        <w:t>provision for </w:t>
      </w:r>
      <w:r>
        <w:rPr>
          <w:w w:val="105"/>
          <w:sz w:val="21"/>
        </w:rPr>
        <w:t>fees </w:t>
      </w:r>
      <w:r>
        <w:rPr>
          <w:spacing w:val="-3"/>
          <w:w w:val="105"/>
          <w:sz w:val="21"/>
        </w:rPr>
        <w:t>that </w:t>
      </w:r>
      <w:r>
        <w:rPr>
          <w:w w:val="105"/>
          <w:sz w:val="21"/>
        </w:rPr>
        <w:t>vary </w:t>
      </w:r>
      <w:r>
        <w:rPr>
          <w:spacing w:val="-4"/>
          <w:w w:val="105"/>
          <w:sz w:val="21"/>
        </w:rPr>
        <w:t>‘according </w:t>
      </w:r>
      <w:r>
        <w:rPr>
          <w:spacing w:val="-3"/>
          <w:w w:val="105"/>
          <w:sz w:val="21"/>
        </w:rPr>
        <w:t>to value </w:t>
      </w:r>
      <w:r>
        <w:rPr>
          <w:w w:val="105"/>
          <w:sz w:val="21"/>
        </w:rPr>
        <w:t>or time or class of </w:t>
      </w:r>
      <w:r>
        <w:rPr>
          <w:spacing w:val="-4"/>
          <w:w w:val="105"/>
          <w:sz w:val="21"/>
        </w:rPr>
        <w:t>matter’, </w:t>
      </w:r>
      <w:r>
        <w:rPr>
          <w:w w:val="105"/>
          <w:sz w:val="21"/>
        </w:rPr>
        <w:t>and </w:t>
      </w:r>
      <w:r>
        <w:rPr>
          <w:spacing w:val="-3"/>
          <w:w w:val="105"/>
          <w:sz w:val="21"/>
        </w:rPr>
        <w:t>that </w:t>
      </w:r>
      <w:r>
        <w:rPr>
          <w:w w:val="105"/>
          <w:sz w:val="21"/>
        </w:rPr>
        <w:t>it is </w:t>
      </w:r>
      <w:r>
        <w:rPr>
          <w:spacing w:val="-2"/>
          <w:w w:val="105"/>
          <w:sz w:val="21"/>
        </w:rPr>
        <w:t>not </w:t>
      </w:r>
      <w:r>
        <w:rPr>
          <w:w w:val="105"/>
          <w:sz w:val="21"/>
        </w:rPr>
        <w:t>necessary </w:t>
      </w:r>
      <w:r>
        <w:rPr>
          <w:spacing w:val="-3"/>
          <w:w w:val="105"/>
          <w:sz w:val="21"/>
        </w:rPr>
        <w:t>for </w:t>
      </w:r>
      <w:r>
        <w:rPr>
          <w:w w:val="105"/>
          <w:sz w:val="21"/>
        </w:rPr>
        <w:t>the </w:t>
      </w:r>
      <w:r>
        <w:rPr>
          <w:spacing w:val="-3"/>
          <w:w w:val="105"/>
          <w:sz w:val="21"/>
        </w:rPr>
        <w:t>amount </w:t>
      </w:r>
      <w:r>
        <w:rPr>
          <w:w w:val="105"/>
          <w:sz w:val="21"/>
        </w:rPr>
        <w:t>of </w:t>
      </w:r>
      <w:r>
        <w:rPr>
          <w:spacing w:val="-3"/>
          <w:w w:val="105"/>
          <w:sz w:val="21"/>
        </w:rPr>
        <w:t>any </w:t>
      </w:r>
      <w:r>
        <w:rPr>
          <w:w w:val="105"/>
          <w:sz w:val="21"/>
        </w:rPr>
        <w:t>fee </w:t>
      </w:r>
      <w:r>
        <w:rPr>
          <w:spacing w:val="-3"/>
          <w:w w:val="105"/>
          <w:sz w:val="21"/>
        </w:rPr>
        <w:t>to </w:t>
      </w:r>
      <w:r>
        <w:rPr>
          <w:w w:val="105"/>
          <w:sz w:val="21"/>
        </w:rPr>
        <w:t>be </w:t>
      </w:r>
      <w:r>
        <w:rPr>
          <w:spacing w:val="-3"/>
          <w:w w:val="105"/>
          <w:sz w:val="21"/>
        </w:rPr>
        <w:t>related to </w:t>
      </w:r>
      <w:r>
        <w:rPr>
          <w:w w:val="105"/>
          <w:sz w:val="21"/>
        </w:rPr>
        <w:t>the cost of </w:t>
      </w:r>
      <w:r>
        <w:rPr>
          <w:spacing w:val="-3"/>
          <w:w w:val="105"/>
          <w:sz w:val="21"/>
        </w:rPr>
        <w:t>providing </w:t>
      </w:r>
      <w:r>
        <w:rPr>
          <w:w w:val="105"/>
          <w:sz w:val="21"/>
        </w:rPr>
        <w:t>the</w:t>
      </w:r>
      <w:r>
        <w:rPr>
          <w:spacing w:val="41"/>
          <w:w w:val="105"/>
          <w:sz w:val="21"/>
        </w:rPr>
        <w:t> </w:t>
      </w:r>
      <w:r>
        <w:rPr>
          <w:spacing w:val="-3"/>
          <w:w w:val="105"/>
          <w:sz w:val="21"/>
        </w:rPr>
        <w:t>service.</w:t>
      </w:r>
      <w:r>
        <w:rPr>
          <w:spacing w:val="-3"/>
          <w:w w:val="105"/>
          <w:position w:val="7"/>
          <w:sz w:val="12"/>
        </w:rPr>
        <w:t>79</w:t>
      </w:r>
    </w:p>
    <w:p>
      <w:pPr>
        <w:pStyle w:val="ListParagraph"/>
        <w:numPr>
          <w:ilvl w:val="1"/>
          <w:numId w:val="22"/>
        </w:numPr>
        <w:tabs>
          <w:tab w:pos="2380" w:val="left" w:leader="none"/>
          <w:tab w:pos="2381" w:val="left" w:leader="none"/>
        </w:tabs>
        <w:spacing w:line="242" w:lineRule="auto" w:before="125" w:after="0"/>
        <w:ind w:left="2381" w:right="1627" w:hanging="794"/>
        <w:jc w:val="left"/>
        <w:rPr>
          <w:sz w:val="21"/>
        </w:rPr>
      </w:pPr>
      <w:r>
        <w:rPr>
          <w:w w:val="105"/>
          <w:sz w:val="21"/>
        </w:rPr>
        <w:t>The</w:t>
      </w:r>
      <w:r>
        <w:rPr>
          <w:spacing w:val="-5"/>
          <w:w w:val="105"/>
          <w:sz w:val="21"/>
        </w:rPr>
        <w:t> </w:t>
      </w:r>
      <w:r>
        <w:rPr>
          <w:w w:val="105"/>
          <w:sz w:val="21"/>
        </w:rPr>
        <w:t>introduction</w:t>
      </w:r>
      <w:r>
        <w:rPr>
          <w:spacing w:val="-4"/>
          <w:w w:val="105"/>
          <w:sz w:val="21"/>
        </w:rPr>
        <w:t> </w:t>
      </w:r>
      <w:r>
        <w:rPr>
          <w:w w:val="105"/>
          <w:sz w:val="21"/>
        </w:rPr>
        <w:t>of</w:t>
      </w:r>
      <w:r>
        <w:rPr>
          <w:spacing w:val="-4"/>
          <w:w w:val="105"/>
          <w:sz w:val="21"/>
        </w:rPr>
        <w:t> </w:t>
      </w:r>
      <w:r>
        <w:rPr>
          <w:w w:val="105"/>
          <w:sz w:val="21"/>
        </w:rPr>
        <w:t>a</w:t>
      </w:r>
      <w:r>
        <w:rPr>
          <w:spacing w:val="-5"/>
          <w:w w:val="105"/>
          <w:sz w:val="21"/>
        </w:rPr>
        <w:t> </w:t>
      </w:r>
      <w:r>
        <w:rPr>
          <w:spacing w:val="-3"/>
          <w:w w:val="105"/>
          <w:sz w:val="21"/>
        </w:rPr>
        <w:t>sliding</w:t>
      </w:r>
      <w:r>
        <w:rPr>
          <w:spacing w:val="-4"/>
          <w:w w:val="105"/>
          <w:sz w:val="21"/>
        </w:rPr>
        <w:t> </w:t>
      </w:r>
      <w:r>
        <w:rPr>
          <w:w w:val="105"/>
          <w:sz w:val="21"/>
        </w:rPr>
        <w:t>fee</w:t>
      </w:r>
      <w:r>
        <w:rPr>
          <w:spacing w:val="-4"/>
          <w:w w:val="105"/>
          <w:sz w:val="21"/>
        </w:rPr>
        <w:t> </w:t>
      </w:r>
      <w:r>
        <w:rPr>
          <w:w w:val="105"/>
          <w:sz w:val="21"/>
        </w:rPr>
        <w:t>scale</w:t>
      </w:r>
      <w:r>
        <w:rPr>
          <w:spacing w:val="-4"/>
          <w:w w:val="105"/>
          <w:sz w:val="21"/>
        </w:rPr>
        <w:t> </w:t>
      </w:r>
      <w:r>
        <w:rPr>
          <w:w w:val="105"/>
          <w:sz w:val="21"/>
        </w:rPr>
        <w:t>in</w:t>
      </w:r>
      <w:r>
        <w:rPr>
          <w:spacing w:val="-5"/>
          <w:w w:val="105"/>
          <w:sz w:val="21"/>
        </w:rPr>
        <w:t> </w:t>
      </w:r>
      <w:r>
        <w:rPr>
          <w:w w:val="105"/>
          <w:sz w:val="21"/>
        </w:rPr>
        <w:t>the</w:t>
      </w:r>
      <w:r>
        <w:rPr>
          <w:spacing w:val="-4"/>
          <w:w w:val="105"/>
          <w:sz w:val="21"/>
        </w:rPr>
        <w:t> </w:t>
      </w:r>
      <w:r>
        <w:rPr>
          <w:spacing w:val="-3"/>
          <w:w w:val="105"/>
          <w:sz w:val="21"/>
        </w:rPr>
        <w:t>Supreme</w:t>
      </w:r>
      <w:r>
        <w:rPr>
          <w:spacing w:val="-4"/>
          <w:w w:val="105"/>
          <w:sz w:val="21"/>
        </w:rPr>
        <w:t> </w:t>
      </w:r>
      <w:r>
        <w:rPr>
          <w:spacing w:val="-3"/>
          <w:w w:val="105"/>
          <w:sz w:val="21"/>
        </w:rPr>
        <w:t>Court</w:t>
      </w:r>
      <w:r>
        <w:rPr>
          <w:spacing w:val="-4"/>
          <w:w w:val="105"/>
          <w:sz w:val="21"/>
        </w:rPr>
        <w:t> </w:t>
      </w:r>
      <w:r>
        <w:rPr>
          <w:spacing w:val="-3"/>
          <w:w w:val="105"/>
          <w:sz w:val="21"/>
        </w:rPr>
        <w:t>Probate</w:t>
      </w:r>
      <w:r>
        <w:rPr>
          <w:spacing w:val="-5"/>
          <w:w w:val="105"/>
          <w:sz w:val="21"/>
        </w:rPr>
        <w:t> </w:t>
      </w:r>
      <w:r>
        <w:rPr>
          <w:w w:val="105"/>
          <w:sz w:val="21"/>
        </w:rPr>
        <w:t>Office</w:t>
      </w:r>
      <w:r>
        <w:rPr>
          <w:spacing w:val="-4"/>
          <w:w w:val="105"/>
          <w:sz w:val="21"/>
        </w:rPr>
        <w:t> </w:t>
      </w:r>
      <w:r>
        <w:rPr>
          <w:w w:val="105"/>
          <w:sz w:val="21"/>
        </w:rPr>
        <w:t>would</w:t>
      </w:r>
      <w:r>
        <w:rPr>
          <w:spacing w:val="-4"/>
          <w:w w:val="105"/>
          <w:sz w:val="21"/>
        </w:rPr>
        <w:t> </w:t>
      </w:r>
      <w:r>
        <w:rPr>
          <w:w w:val="105"/>
          <w:sz w:val="21"/>
        </w:rPr>
        <w:t>provide consistency across a number of </w:t>
      </w:r>
      <w:r>
        <w:rPr>
          <w:spacing w:val="-3"/>
          <w:w w:val="105"/>
          <w:sz w:val="21"/>
        </w:rPr>
        <w:t>small </w:t>
      </w:r>
      <w:r>
        <w:rPr>
          <w:w w:val="105"/>
          <w:sz w:val="21"/>
        </w:rPr>
        <w:t>estates-related </w:t>
      </w:r>
      <w:r>
        <w:rPr>
          <w:spacing w:val="-3"/>
          <w:w w:val="105"/>
          <w:sz w:val="21"/>
        </w:rPr>
        <w:t>mechanisms, </w:t>
      </w:r>
      <w:r>
        <w:rPr>
          <w:w w:val="105"/>
          <w:sz w:val="21"/>
        </w:rPr>
        <w:t>as </w:t>
      </w:r>
      <w:r>
        <w:rPr>
          <w:spacing w:val="-3"/>
          <w:w w:val="105"/>
          <w:sz w:val="21"/>
        </w:rPr>
        <w:t>well </w:t>
      </w:r>
      <w:r>
        <w:rPr>
          <w:w w:val="105"/>
          <w:sz w:val="21"/>
        </w:rPr>
        <w:t>as provide an </w:t>
      </w:r>
      <w:r>
        <w:rPr>
          <w:spacing w:val="-3"/>
          <w:w w:val="105"/>
          <w:sz w:val="21"/>
        </w:rPr>
        <w:t>incentive for </w:t>
      </w:r>
      <w:r>
        <w:rPr>
          <w:w w:val="105"/>
          <w:sz w:val="21"/>
        </w:rPr>
        <w:t>seeking</w:t>
      </w:r>
      <w:r>
        <w:rPr>
          <w:spacing w:val="22"/>
          <w:w w:val="105"/>
          <w:sz w:val="21"/>
        </w:rPr>
        <w:t> </w:t>
      </w:r>
      <w:r>
        <w:rPr>
          <w:spacing w:val="-3"/>
          <w:w w:val="105"/>
          <w:sz w:val="21"/>
        </w:rPr>
        <w:t>grants.</w:t>
      </w:r>
    </w:p>
    <w:p>
      <w:pPr>
        <w:pStyle w:val="BodyText"/>
        <w:spacing w:before="5"/>
        <w:rPr>
          <w:sz w:val="15"/>
        </w:rPr>
      </w:pPr>
      <w:r>
        <w:rPr/>
        <w:pict>
          <v:group style="position:absolute;margin-left:62.362202pt;margin-top:11.357029pt;width:479.1pt;height:109.55pt;mso-position-horizontal-relative:page;mso-position-vertical-relative:paragraph;z-index:11984;mso-wrap-distance-left:0;mso-wrap-distance-right:0" coordorigin="1247,227" coordsize="9582,2191">
            <v:rect style="position:absolute;left:1587;top:227;width:8731;height:2191" filled="true" fillcolor="#fdebea" stroked="false">
              <v:fill type="solid"/>
            </v:rect>
            <v:line style="position:absolute" from="1247,978" to="10828,978" stroked="true" strokeweight="2.5pt" strokecolor="#ffffff">
              <v:stroke dashstyle="solid"/>
            </v:line>
            <v:shape style="position:absolute;left:2381;top:1214;width:7696;height:1029" type="#_x0000_t202" filled="false" stroked="false">
              <v:textbox inset="0,0,0,0">
                <w:txbxContent>
                  <w:p>
                    <w:pPr>
                      <w:spacing w:line="242" w:lineRule="auto" w:before="0"/>
                      <w:ind w:left="0" w:right="0" w:firstLine="0"/>
                      <w:jc w:val="left"/>
                      <w:rPr>
                        <w:sz w:val="21"/>
                      </w:rPr>
                    </w:pPr>
                    <w:r>
                      <w:rPr>
                        <w:w w:val="115"/>
                        <w:sz w:val="21"/>
                      </w:rPr>
                      <w:t>The applicable fee for obtaining a grant of probate or letters of administration in the Supreme Court Probate Office should be based on the estate’s value,</w:t>
                    </w:r>
                  </w:p>
                  <w:p>
                    <w:pPr>
                      <w:spacing w:line="242" w:lineRule="auto" w:before="0"/>
                      <w:ind w:left="0" w:right="280" w:firstLine="0"/>
                      <w:jc w:val="left"/>
                      <w:rPr>
                        <w:sz w:val="21"/>
                      </w:rPr>
                    </w:pPr>
                    <w:r>
                      <w:rPr>
                        <w:w w:val="115"/>
                        <w:sz w:val="21"/>
                      </w:rPr>
                      <w:t>in a sliding scale, with estates valued at no more than $100,000 attracting a nil fee.</w:t>
                    </w:r>
                  </w:p>
                </w:txbxContent>
              </v:textbox>
              <w10:wrap type="none"/>
            </v:shape>
            <v:shape style="position:absolute;left:1814;top:1214;width:251;height:249" type="#_x0000_t202" filled="false" stroked="false">
              <v:textbox inset="0,0,0,0">
                <w:txbxContent>
                  <w:p>
                    <w:pPr>
                      <w:spacing w:line="249" w:lineRule="exact" w:before="0"/>
                      <w:ind w:left="0" w:right="0" w:firstLine="0"/>
                      <w:jc w:val="left"/>
                      <w:rPr>
                        <w:sz w:val="21"/>
                      </w:rPr>
                    </w:pPr>
                    <w:r>
                      <w:rPr>
                        <w:w w:val="110"/>
                        <w:sz w:val="21"/>
                      </w:rPr>
                      <w:t>73</w:t>
                    </w:r>
                  </w:p>
                </w:txbxContent>
              </v:textbox>
              <w10:wrap type="none"/>
            </v:shape>
            <v:shape style="position:absolute;left:1587;top:227;width:8731;height:726" type="#_x0000_t202" filled="true" fillcolor="#fdebea" stroked="false">
              <v:textbox inset="0,0,0,0">
                <w:txbxContent>
                  <w:p>
                    <w:pPr>
                      <w:spacing w:before="166"/>
                      <w:ind w:left="226" w:right="0" w:firstLine="0"/>
                      <w:jc w:val="left"/>
                      <w:rPr>
                        <w:b/>
                        <w:sz w:val="32"/>
                      </w:rPr>
                    </w:pPr>
                    <w:r>
                      <w:rPr>
                        <w:b/>
                        <w:color w:val="EC5A4F"/>
                        <w:w w:val="110"/>
                        <w:sz w:val="32"/>
                      </w:rPr>
                      <w:t>Recommendation</w:t>
                    </w:r>
                  </w:p>
                </w:txbxContent>
              </v:textbox>
              <v:fill type="solid"/>
              <w10:wrap type="none"/>
            </v:shape>
            <w10:wrap type="topAndBottom"/>
          </v:group>
        </w:pict>
      </w:r>
    </w:p>
    <w:p>
      <w:pPr>
        <w:pStyle w:val="BodyText"/>
        <w:spacing w:before="3"/>
        <w:rPr>
          <w:sz w:val="10"/>
        </w:rPr>
      </w:pPr>
    </w:p>
    <w:p>
      <w:pPr>
        <w:pStyle w:val="Heading5"/>
        <w:spacing w:before="99"/>
      </w:pPr>
      <w:r>
        <w:rPr>
          <w:w w:val="115"/>
        </w:rPr>
        <w:t>Administration by statutory declaration</w:t>
      </w:r>
    </w:p>
    <w:p>
      <w:pPr>
        <w:pStyle w:val="ListParagraph"/>
        <w:numPr>
          <w:ilvl w:val="1"/>
          <w:numId w:val="22"/>
        </w:numPr>
        <w:tabs>
          <w:tab w:pos="2381" w:val="left" w:leader="none"/>
          <w:tab w:pos="2382" w:val="left" w:leader="none"/>
        </w:tabs>
        <w:spacing w:line="240" w:lineRule="auto" w:before="137" w:after="0"/>
        <w:ind w:left="2381" w:right="0" w:hanging="794"/>
        <w:jc w:val="left"/>
        <w:rPr>
          <w:sz w:val="21"/>
        </w:rPr>
      </w:pPr>
      <w:r>
        <w:rPr>
          <w:sz w:val="21"/>
        </w:rPr>
        <w:t>It was suggested </w:t>
      </w:r>
      <w:r>
        <w:rPr>
          <w:spacing w:val="-3"/>
          <w:sz w:val="21"/>
        </w:rPr>
        <w:t>to </w:t>
      </w:r>
      <w:r>
        <w:rPr>
          <w:sz w:val="21"/>
        </w:rPr>
        <w:t>the </w:t>
      </w:r>
      <w:r>
        <w:rPr>
          <w:spacing w:val="-3"/>
          <w:sz w:val="21"/>
        </w:rPr>
        <w:t>Commission that </w:t>
      </w:r>
      <w:r>
        <w:rPr>
          <w:sz w:val="21"/>
        </w:rPr>
        <w:t>an </w:t>
      </w:r>
      <w:r>
        <w:rPr>
          <w:spacing w:val="-3"/>
          <w:sz w:val="21"/>
        </w:rPr>
        <w:t>alternative</w:t>
      </w:r>
      <w:r>
        <w:rPr>
          <w:spacing w:val="1"/>
          <w:sz w:val="21"/>
        </w:rPr>
        <w:t> </w:t>
      </w:r>
      <w:r>
        <w:rPr>
          <w:sz w:val="21"/>
        </w:rPr>
        <w:t>process of </w:t>
      </w:r>
      <w:r>
        <w:rPr>
          <w:spacing w:val="-3"/>
          <w:sz w:val="21"/>
        </w:rPr>
        <w:t>administration</w:t>
      </w:r>
    </w:p>
    <w:p>
      <w:pPr>
        <w:pStyle w:val="BodyText"/>
        <w:spacing w:line="242" w:lineRule="auto" w:before="4"/>
        <w:ind w:left="2381" w:right="1619"/>
        <w:rPr>
          <w:sz w:val="12"/>
        </w:rPr>
      </w:pPr>
      <w:r>
        <w:rPr/>
        <w:t>by statutory declaration would be a worthwhile addition to the existing mechanisms designed to facilitate the administration of small estates.</w:t>
      </w:r>
      <w:r>
        <w:rPr>
          <w:position w:val="7"/>
          <w:sz w:val="12"/>
        </w:rPr>
        <w:t>80</w:t>
      </w:r>
    </w:p>
    <w:p>
      <w:pPr>
        <w:pStyle w:val="ListParagraph"/>
        <w:numPr>
          <w:ilvl w:val="1"/>
          <w:numId w:val="22"/>
        </w:numPr>
        <w:tabs>
          <w:tab w:pos="2382" w:val="left" w:leader="none"/>
        </w:tabs>
        <w:spacing w:line="242" w:lineRule="auto" w:before="122" w:after="0"/>
        <w:ind w:left="2381" w:right="1795" w:hanging="794"/>
        <w:jc w:val="both"/>
        <w:rPr>
          <w:sz w:val="12"/>
        </w:rPr>
      </w:pPr>
      <w:r>
        <w:rPr>
          <w:sz w:val="21"/>
        </w:rPr>
        <w:t>In response </w:t>
      </w:r>
      <w:r>
        <w:rPr>
          <w:spacing w:val="-3"/>
          <w:sz w:val="21"/>
        </w:rPr>
        <w:t>to </w:t>
      </w:r>
      <w:r>
        <w:rPr>
          <w:sz w:val="21"/>
        </w:rPr>
        <w:t>the </w:t>
      </w:r>
      <w:r>
        <w:rPr>
          <w:spacing w:val="-3"/>
          <w:sz w:val="21"/>
        </w:rPr>
        <w:t>consultation </w:t>
      </w:r>
      <w:r>
        <w:rPr>
          <w:sz w:val="21"/>
        </w:rPr>
        <w:t>paper on </w:t>
      </w:r>
      <w:r>
        <w:rPr>
          <w:spacing w:val="-3"/>
          <w:sz w:val="21"/>
        </w:rPr>
        <w:t>small </w:t>
      </w:r>
      <w:r>
        <w:rPr>
          <w:sz w:val="21"/>
        </w:rPr>
        <w:t>estates, some </w:t>
      </w:r>
      <w:r>
        <w:rPr>
          <w:spacing w:val="-3"/>
          <w:sz w:val="21"/>
        </w:rPr>
        <w:t>submissions </w:t>
      </w:r>
      <w:r>
        <w:rPr>
          <w:sz w:val="21"/>
        </w:rPr>
        <w:t>supported the introduction of </w:t>
      </w:r>
      <w:r>
        <w:rPr>
          <w:spacing w:val="-3"/>
          <w:sz w:val="21"/>
        </w:rPr>
        <w:t>such </w:t>
      </w:r>
      <w:r>
        <w:rPr>
          <w:sz w:val="21"/>
        </w:rPr>
        <w:t>a scheme on the basis </w:t>
      </w:r>
      <w:r>
        <w:rPr>
          <w:spacing w:val="-3"/>
          <w:sz w:val="21"/>
        </w:rPr>
        <w:t>that </w:t>
      </w:r>
      <w:r>
        <w:rPr>
          <w:sz w:val="21"/>
        </w:rPr>
        <w:t>it </w:t>
      </w:r>
      <w:r>
        <w:rPr>
          <w:spacing w:val="-3"/>
          <w:sz w:val="21"/>
        </w:rPr>
        <w:t>may </w:t>
      </w:r>
      <w:r>
        <w:rPr>
          <w:sz w:val="21"/>
        </w:rPr>
        <w:t>provide </w:t>
      </w:r>
      <w:r>
        <w:rPr>
          <w:spacing w:val="-3"/>
          <w:sz w:val="21"/>
        </w:rPr>
        <w:t>increased </w:t>
      </w:r>
      <w:r>
        <w:rPr>
          <w:sz w:val="21"/>
        </w:rPr>
        <w:t>confidence </w:t>
      </w:r>
      <w:r>
        <w:rPr>
          <w:spacing w:val="-3"/>
          <w:sz w:val="21"/>
        </w:rPr>
        <w:t>for </w:t>
      </w:r>
      <w:r>
        <w:rPr>
          <w:sz w:val="21"/>
        </w:rPr>
        <w:t>parties </w:t>
      </w:r>
      <w:r>
        <w:rPr>
          <w:spacing w:val="-3"/>
          <w:sz w:val="21"/>
        </w:rPr>
        <w:t>releasing funds </w:t>
      </w:r>
      <w:r>
        <w:rPr>
          <w:sz w:val="21"/>
        </w:rPr>
        <w:t>and a level of certainty </w:t>
      </w:r>
      <w:r>
        <w:rPr>
          <w:spacing w:val="-3"/>
          <w:sz w:val="21"/>
        </w:rPr>
        <w:t>for </w:t>
      </w:r>
      <w:r>
        <w:rPr>
          <w:sz w:val="21"/>
        </w:rPr>
        <w:t>the</w:t>
      </w:r>
      <w:r>
        <w:rPr>
          <w:spacing w:val="-18"/>
          <w:sz w:val="21"/>
        </w:rPr>
        <w:t> </w:t>
      </w:r>
      <w:r>
        <w:rPr>
          <w:spacing w:val="-3"/>
          <w:sz w:val="21"/>
        </w:rPr>
        <w:t>declarant.</w:t>
      </w:r>
      <w:r>
        <w:rPr>
          <w:spacing w:val="-3"/>
          <w:position w:val="7"/>
          <w:sz w:val="12"/>
        </w:rPr>
        <w:t>81</w:t>
      </w:r>
    </w:p>
    <w:p>
      <w:pPr>
        <w:pStyle w:val="ListParagraph"/>
        <w:numPr>
          <w:ilvl w:val="1"/>
          <w:numId w:val="22"/>
        </w:numPr>
        <w:tabs>
          <w:tab w:pos="2380" w:val="left" w:leader="none"/>
          <w:tab w:pos="2381" w:val="left" w:leader="none"/>
        </w:tabs>
        <w:spacing w:line="242" w:lineRule="auto" w:before="123" w:after="0"/>
        <w:ind w:left="2381" w:right="1585" w:hanging="794"/>
        <w:jc w:val="left"/>
        <w:rPr>
          <w:sz w:val="12"/>
        </w:rPr>
      </w:pPr>
      <w:r>
        <w:rPr>
          <w:spacing w:val="-4"/>
          <w:w w:val="105"/>
          <w:sz w:val="21"/>
        </w:rPr>
        <w:t>However, </w:t>
      </w:r>
      <w:r>
        <w:rPr>
          <w:w w:val="105"/>
          <w:sz w:val="21"/>
        </w:rPr>
        <w:t>a number of </w:t>
      </w:r>
      <w:r>
        <w:rPr>
          <w:spacing w:val="-3"/>
          <w:w w:val="105"/>
          <w:sz w:val="21"/>
        </w:rPr>
        <w:t>submissions </w:t>
      </w:r>
      <w:r>
        <w:rPr>
          <w:w w:val="105"/>
          <w:sz w:val="21"/>
        </w:rPr>
        <w:t>expressed the view </w:t>
      </w:r>
      <w:r>
        <w:rPr>
          <w:spacing w:val="-3"/>
          <w:w w:val="105"/>
          <w:sz w:val="21"/>
        </w:rPr>
        <w:t>that </w:t>
      </w:r>
      <w:r>
        <w:rPr>
          <w:w w:val="105"/>
          <w:sz w:val="21"/>
        </w:rPr>
        <w:t>a new </w:t>
      </w:r>
      <w:r>
        <w:rPr>
          <w:spacing w:val="-3"/>
          <w:w w:val="105"/>
          <w:sz w:val="21"/>
        </w:rPr>
        <w:t>mechanism </w:t>
      </w:r>
      <w:r>
        <w:rPr>
          <w:w w:val="105"/>
          <w:sz w:val="21"/>
        </w:rPr>
        <w:t>along these </w:t>
      </w:r>
      <w:r>
        <w:rPr>
          <w:spacing w:val="-3"/>
          <w:w w:val="105"/>
          <w:sz w:val="21"/>
        </w:rPr>
        <w:t>lines </w:t>
      </w:r>
      <w:r>
        <w:rPr>
          <w:w w:val="105"/>
          <w:sz w:val="21"/>
        </w:rPr>
        <w:t>would add little </w:t>
      </w:r>
      <w:r>
        <w:rPr>
          <w:spacing w:val="-3"/>
          <w:w w:val="105"/>
          <w:sz w:val="21"/>
        </w:rPr>
        <w:t>to </w:t>
      </w:r>
      <w:r>
        <w:rPr>
          <w:w w:val="105"/>
          <w:sz w:val="21"/>
        </w:rPr>
        <w:t>the options </w:t>
      </w:r>
      <w:r>
        <w:rPr>
          <w:spacing w:val="-3"/>
          <w:w w:val="105"/>
          <w:sz w:val="21"/>
        </w:rPr>
        <w:t>currently available, </w:t>
      </w:r>
      <w:r>
        <w:rPr>
          <w:w w:val="105"/>
          <w:sz w:val="21"/>
        </w:rPr>
        <w:t>because there </w:t>
      </w:r>
      <w:r>
        <w:rPr>
          <w:spacing w:val="-3"/>
          <w:w w:val="105"/>
          <w:sz w:val="21"/>
        </w:rPr>
        <w:t>are </w:t>
      </w:r>
      <w:r>
        <w:rPr>
          <w:w w:val="105"/>
          <w:sz w:val="21"/>
        </w:rPr>
        <w:t>enough </w:t>
      </w:r>
      <w:r>
        <w:rPr>
          <w:spacing w:val="-3"/>
          <w:w w:val="105"/>
          <w:sz w:val="21"/>
        </w:rPr>
        <w:t>forms </w:t>
      </w:r>
      <w:r>
        <w:rPr>
          <w:w w:val="105"/>
          <w:sz w:val="21"/>
        </w:rPr>
        <w:t>of </w:t>
      </w:r>
      <w:r>
        <w:rPr>
          <w:spacing w:val="-3"/>
          <w:w w:val="105"/>
          <w:sz w:val="21"/>
        </w:rPr>
        <w:t>administration available </w:t>
      </w:r>
      <w:r>
        <w:rPr>
          <w:w w:val="105"/>
          <w:sz w:val="21"/>
        </w:rPr>
        <w:t>and the probable uses of </w:t>
      </w:r>
      <w:r>
        <w:rPr>
          <w:spacing w:val="-3"/>
          <w:w w:val="105"/>
          <w:sz w:val="21"/>
        </w:rPr>
        <w:t>such </w:t>
      </w:r>
      <w:r>
        <w:rPr>
          <w:w w:val="105"/>
          <w:sz w:val="21"/>
        </w:rPr>
        <w:t>a </w:t>
      </w:r>
      <w:r>
        <w:rPr>
          <w:spacing w:val="-3"/>
          <w:w w:val="105"/>
          <w:sz w:val="21"/>
        </w:rPr>
        <w:t>mechanism are already covered</w:t>
      </w:r>
      <w:r>
        <w:rPr>
          <w:spacing w:val="-9"/>
          <w:w w:val="105"/>
          <w:sz w:val="21"/>
        </w:rPr>
        <w:t> </w:t>
      </w:r>
      <w:r>
        <w:rPr>
          <w:w w:val="105"/>
          <w:sz w:val="21"/>
        </w:rPr>
        <w:t>by</w:t>
      </w:r>
      <w:r>
        <w:rPr>
          <w:spacing w:val="-8"/>
          <w:w w:val="105"/>
          <w:sz w:val="21"/>
        </w:rPr>
        <w:t> </w:t>
      </w:r>
      <w:r>
        <w:rPr>
          <w:spacing w:val="-3"/>
          <w:w w:val="105"/>
          <w:sz w:val="21"/>
        </w:rPr>
        <w:t>informal</w:t>
      </w:r>
      <w:r>
        <w:rPr>
          <w:spacing w:val="-9"/>
          <w:w w:val="105"/>
          <w:sz w:val="21"/>
        </w:rPr>
        <w:t> </w:t>
      </w:r>
      <w:r>
        <w:rPr>
          <w:spacing w:val="-3"/>
          <w:w w:val="105"/>
          <w:sz w:val="21"/>
        </w:rPr>
        <w:t>administration,</w:t>
      </w:r>
      <w:r>
        <w:rPr>
          <w:spacing w:val="-8"/>
          <w:w w:val="105"/>
          <w:sz w:val="21"/>
        </w:rPr>
        <w:t> </w:t>
      </w:r>
      <w:r>
        <w:rPr>
          <w:w w:val="105"/>
          <w:sz w:val="21"/>
        </w:rPr>
        <w:t>which</w:t>
      </w:r>
      <w:r>
        <w:rPr>
          <w:spacing w:val="-8"/>
          <w:w w:val="105"/>
          <w:sz w:val="21"/>
        </w:rPr>
        <w:t> </w:t>
      </w:r>
      <w:r>
        <w:rPr>
          <w:w w:val="105"/>
          <w:sz w:val="21"/>
        </w:rPr>
        <w:t>works</w:t>
      </w:r>
      <w:r>
        <w:rPr>
          <w:spacing w:val="-9"/>
          <w:w w:val="105"/>
          <w:sz w:val="21"/>
        </w:rPr>
        <w:t> </w:t>
      </w:r>
      <w:r>
        <w:rPr>
          <w:spacing w:val="-3"/>
          <w:w w:val="105"/>
          <w:sz w:val="21"/>
        </w:rPr>
        <w:t>well</w:t>
      </w:r>
      <w:r>
        <w:rPr>
          <w:spacing w:val="-8"/>
          <w:w w:val="105"/>
          <w:sz w:val="21"/>
        </w:rPr>
        <w:t> </w:t>
      </w:r>
      <w:r>
        <w:rPr>
          <w:w w:val="105"/>
          <w:sz w:val="21"/>
        </w:rPr>
        <w:t>in</w:t>
      </w:r>
      <w:r>
        <w:rPr>
          <w:spacing w:val="-8"/>
          <w:w w:val="105"/>
          <w:sz w:val="21"/>
        </w:rPr>
        <w:t> </w:t>
      </w:r>
      <w:r>
        <w:rPr>
          <w:w w:val="105"/>
          <w:sz w:val="21"/>
        </w:rPr>
        <w:t>suitable</w:t>
      </w:r>
      <w:r>
        <w:rPr>
          <w:spacing w:val="-9"/>
          <w:w w:val="105"/>
          <w:sz w:val="21"/>
        </w:rPr>
        <w:t> </w:t>
      </w:r>
      <w:r>
        <w:rPr>
          <w:w w:val="105"/>
          <w:sz w:val="21"/>
        </w:rPr>
        <w:t>estates.</w:t>
      </w:r>
      <w:r>
        <w:rPr>
          <w:w w:val="105"/>
          <w:position w:val="7"/>
          <w:sz w:val="12"/>
        </w:rPr>
        <w:t>82</w:t>
      </w:r>
      <w:r>
        <w:rPr>
          <w:spacing w:val="14"/>
          <w:w w:val="105"/>
          <w:position w:val="7"/>
          <w:sz w:val="12"/>
        </w:rPr>
        <w:t> </w:t>
      </w:r>
      <w:r>
        <w:rPr>
          <w:w w:val="105"/>
          <w:sz w:val="21"/>
        </w:rPr>
        <w:t>One</w:t>
      </w:r>
      <w:r>
        <w:rPr>
          <w:spacing w:val="-8"/>
          <w:w w:val="105"/>
          <w:sz w:val="21"/>
        </w:rPr>
        <w:t> </w:t>
      </w:r>
      <w:r>
        <w:rPr>
          <w:spacing w:val="-3"/>
          <w:w w:val="105"/>
          <w:sz w:val="21"/>
        </w:rPr>
        <w:t>submission </w:t>
      </w:r>
      <w:r>
        <w:rPr>
          <w:w w:val="105"/>
          <w:sz w:val="21"/>
        </w:rPr>
        <w:t>expressed </w:t>
      </w:r>
      <w:r>
        <w:rPr>
          <w:spacing w:val="-3"/>
          <w:w w:val="105"/>
          <w:sz w:val="21"/>
        </w:rPr>
        <w:t>concern that administration </w:t>
      </w:r>
      <w:r>
        <w:rPr>
          <w:w w:val="105"/>
          <w:sz w:val="21"/>
        </w:rPr>
        <w:t>of </w:t>
      </w:r>
      <w:r>
        <w:rPr>
          <w:spacing w:val="-3"/>
          <w:w w:val="105"/>
          <w:sz w:val="21"/>
        </w:rPr>
        <w:t>small </w:t>
      </w:r>
      <w:r>
        <w:rPr>
          <w:w w:val="105"/>
          <w:sz w:val="21"/>
        </w:rPr>
        <w:t>estates should </w:t>
      </w:r>
      <w:r>
        <w:rPr>
          <w:spacing w:val="-2"/>
          <w:w w:val="105"/>
          <w:sz w:val="21"/>
        </w:rPr>
        <w:t>not </w:t>
      </w:r>
      <w:r>
        <w:rPr>
          <w:w w:val="105"/>
          <w:sz w:val="21"/>
        </w:rPr>
        <w:t>be </w:t>
      </w:r>
      <w:r>
        <w:rPr>
          <w:spacing w:val="-4"/>
          <w:w w:val="105"/>
          <w:sz w:val="21"/>
        </w:rPr>
        <w:t>‘made </w:t>
      </w:r>
      <w:r>
        <w:rPr>
          <w:w w:val="105"/>
          <w:sz w:val="21"/>
        </w:rPr>
        <w:t>too </w:t>
      </w:r>
      <w:r>
        <w:rPr>
          <w:spacing w:val="-4"/>
          <w:w w:val="105"/>
          <w:sz w:val="21"/>
        </w:rPr>
        <w:t>easy’, </w:t>
      </w:r>
      <w:r>
        <w:rPr>
          <w:w w:val="105"/>
          <w:sz w:val="21"/>
        </w:rPr>
        <w:t>as dishonesty </w:t>
      </w:r>
      <w:r>
        <w:rPr>
          <w:spacing w:val="-3"/>
          <w:w w:val="105"/>
          <w:sz w:val="21"/>
        </w:rPr>
        <w:t>could </w:t>
      </w:r>
      <w:r>
        <w:rPr>
          <w:w w:val="105"/>
          <w:sz w:val="21"/>
        </w:rPr>
        <w:t>be</w:t>
      </w:r>
      <w:r>
        <w:rPr>
          <w:spacing w:val="18"/>
          <w:w w:val="105"/>
          <w:sz w:val="21"/>
        </w:rPr>
        <w:t> </w:t>
      </w:r>
      <w:r>
        <w:rPr>
          <w:w w:val="105"/>
          <w:sz w:val="21"/>
        </w:rPr>
        <w:t>encouraged.</w:t>
      </w:r>
      <w:r>
        <w:rPr>
          <w:w w:val="105"/>
          <w:position w:val="7"/>
          <w:sz w:val="12"/>
        </w:rPr>
        <w:t>83</w:t>
      </w:r>
    </w:p>
    <w:p>
      <w:pPr>
        <w:pStyle w:val="ListParagraph"/>
        <w:numPr>
          <w:ilvl w:val="1"/>
          <w:numId w:val="22"/>
        </w:numPr>
        <w:tabs>
          <w:tab w:pos="2380" w:val="left" w:leader="none"/>
          <w:tab w:pos="2381" w:val="left" w:leader="none"/>
        </w:tabs>
        <w:spacing w:line="242" w:lineRule="auto" w:before="127" w:after="0"/>
        <w:ind w:left="2381" w:right="1618" w:hanging="794"/>
        <w:jc w:val="left"/>
        <w:rPr>
          <w:sz w:val="12"/>
        </w:rPr>
      </w:pPr>
      <w:r>
        <w:rPr>
          <w:sz w:val="21"/>
        </w:rPr>
        <w:t>The </w:t>
      </w:r>
      <w:r>
        <w:rPr>
          <w:spacing w:val="-3"/>
          <w:sz w:val="21"/>
        </w:rPr>
        <w:t>Commission </w:t>
      </w:r>
      <w:r>
        <w:rPr>
          <w:sz w:val="21"/>
        </w:rPr>
        <w:t>does </w:t>
      </w:r>
      <w:r>
        <w:rPr>
          <w:spacing w:val="-2"/>
          <w:sz w:val="21"/>
        </w:rPr>
        <w:t>not </w:t>
      </w:r>
      <w:r>
        <w:rPr>
          <w:spacing w:val="-3"/>
          <w:sz w:val="21"/>
        </w:rPr>
        <w:t>favour </w:t>
      </w:r>
      <w:r>
        <w:rPr>
          <w:sz w:val="21"/>
        </w:rPr>
        <w:t>the introduction of a process  of  </w:t>
      </w:r>
      <w:r>
        <w:rPr>
          <w:spacing w:val="-3"/>
          <w:sz w:val="21"/>
        </w:rPr>
        <w:t>administration  </w:t>
      </w:r>
      <w:r>
        <w:rPr>
          <w:sz w:val="21"/>
        </w:rPr>
        <w:t>by statutory </w:t>
      </w:r>
      <w:r>
        <w:rPr>
          <w:spacing w:val="-3"/>
          <w:sz w:val="21"/>
        </w:rPr>
        <w:t>declaration. </w:t>
      </w:r>
      <w:r>
        <w:rPr>
          <w:sz w:val="21"/>
        </w:rPr>
        <w:t>The recommended </w:t>
      </w:r>
      <w:r>
        <w:rPr>
          <w:spacing w:val="-3"/>
          <w:sz w:val="21"/>
        </w:rPr>
        <w:t>sliding </w:t>
      </w:r>
      <w:r>
        <w:rPr>
          <w:sz w:val="21"/>
        </w:rPr>
        <w:t>scale of fees </w:t>
      </w:r>
      <w:r>
        <w:rPr>
          <w:spacing w:val="-3"/>
          <w:sz w:val="21"/>
        </w:rPr>
        <w:t>will </w:t>
      </w:r>
      <w:r>
        <w:rPr>
          <w:spacing w:val="-4"/>
          <w:sz w:val="21"/>
        </w:rPr>
        <w:t>make </w:t>
      </w:r>
      <w:r>
        <w:rPr>
          <w:spacing w:val="-3"/>
          <w:sz w:val="21"/>
        </w:rPr>
        <w:t>obtaining </w:t>
      </w:r>
      <w:r>
        <w:rPr>
          <w:sz w:val="21"/>
        </w:rPr>
        <w:t>a </w:t>
      </w:r>
      <w:r>
        <w:rPr>
          <w:spacing w:val="-3"/>
          <w:sz w:val="21"/>
        </w:rPr>
        <w:t>formal grant far </w:t>
      </w:r>
      <w:r>
        <w:rPr>
          <w:sz w:val="21"/>
        </w:rPr>
        <w:t>more </w:t>
      </w:r>
      <w:r>
        <w:rPr>
          <w:spacing w:val="-2"/>
          <w:sz w:val="21"/>
        </w:rPr>
        <w:t>accessible.</w:t>
      </w:r>
      <w:r>
        <w:rPr>
          <w:spacing w:val="-2"/>
          <w:position w:val="7"/>
          <w:sz w:val="12"/>
        </w:rPr>
        <w:t>84 </w:t>
      </w:r>
      <w:r>
        <w:rPr>
          <w:sz w:val="21"/>
        </w:rPr>
        <w:t>In other cases, the expansion of protections associated with </w:t>
      </w:r>
      <w:r>
        <w:rPr>
          <w:spacing w:val="-3"/>
          <w:sz w:val="21"/>
        </w:rPr>
        <w:t>informal administration </w:t>
      </w:r>
      <w:r>
        <w:rPr>
          <w:sz w:val="21"/>
        </w:rPr>
        <w:t>recommended by the </w:t>
      </w:r>
      <w:r>
        <w:rPr>
          <w:spacing w:val="-3"/>
          <w:sz w:val="21"/>
        </w:rPr>
        <w:t>Commission will </w:t>
      </w:r>
      <w:r>
        <w:rPr>
          <w:spacing w:val="-4"/>
          <w:sz w:val="21"/>
        </w:rPr>
        <w:t>make </w:t>
      </w:r>
      <w:r>
        <w:rPr>
          <w:spacing w:val="-3"/>
          <w:sz w:val="21"/>
        </w:rPr>
        <w:t>that </w:t>
      </w:r>
      <w:r>
        <w:rPr>
          <w:sz w:val="21"/>
        </w:rPr>
        <w:t>process more </w:t>
      </w:r>
      <w:r>
        <w:rPr>
          <w:spacing w:val="-3"/>
          <w:sz w:val="21"/>
        </w:rPr>
        <w:t>accessible.</w:t>
      </w:r>
      <w:r>
        <w:rPr>
          <w:spacing w:val="-3"/>
          <w:position w:val="7"/>
          <w:sz w:val="12"/>
        </w:rPr>
        <w:t>85</w:t>
      </w:r>
    </w:p>
    <w:p>
      <w:pPr>
        <w:pStyle w:val="BodyText"/>
        <w:rPr>
          <w:sz w:val="12"/>
        </w:rPr>
      </w:pPr>
      <w:r>
        <w:rPr/>
        <w:pict>
          <v:line style="position:absolute;mso-position-horizontal-relative:page;mso-position-vertical-relative:paragraph;z-index:12008;mso-wrap-distance-left:0;mso-wrap-distance-right:0" from="79.370003pt,9.808358pt" to="515.905003pt,9.808358pt" stroked="true" strokeweight="1pt" strokecolor="#f9ceca">
            <v:stroke dashstyle="solid"/>
            <w10:wrap type="topAndBottom"/>
          </v:line>
        </w:pict>
      </w:r>
    </w:p>
    <w:p>
      <w:pPr>
        <w:pStyle w:val="BodyText"/>
        <w:spacing w:before="8"/>
        <w:rPr>
          <w:sz w:val="5"/>
        </w:rPr>
      </w:pPr>
    </w:p>
    <w:p>
      <w:pPr>
        <w:spacing w:after="0"/>
        <w:rPr>
          <w:sz w:val="5"/>
        </w:rPr>
        <w:sectPr>
          <w:pgSz w:w="11910" w:h="16840"/>
          <w:pgMar w:header="550" w:footer="0" w:top="1560" w:bottom="280" w:left="0" w:right="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40"/>
        </w:rPr>
      </w:pPr>
    </w:p>
    <w:p>
      <w:pPr>
        <w:spacing w:before="1"/>
        <w:ind w:left="720" w:right="0" w:firstLine="0"/>
        <w:jc w:val="left"/>
        <w:rPr>
          <w:b/>
          <w:sz w:val="24"/>
        </w:rPr>
      </w:pPr>
      <w:r>
        <w:rPr>
          <w:b/>
          <w:color w:val="EC5A4F"/>
          <w:w w:val="105"/>
          <w:sz w:val="24"/>
        </w:rPr>
        <w:t>202</w:t>
      </w:r>
    </w:p>
    <w:p>
      <w:pPr>
        <w:pStyle w:val="ListParagraph"/>
        <w:numPr>
          <w:ilvl w:val="0"/>
          <w:numId w:val="140"/>
        </w:numPr>
        <w:tabs>
          <w:tab w:pos="1223" w:val="left" w:leader="none"/>
          <w:tab w:pos="1224" w:val="left" w:leader="none"/>
        </w:tabs>
        <w:spacing w:line="240" w:lineRule="auto" w:before="48" w:after="0"/>
        <w:ind w:left="1223" w:right="2003" w:hanging="794"/>
        <w:jc w:val="left"/>
        <w:rPr>
          <w:sz w:val="13"/>
        </w:rPr>
      </w:pPr>
      <w:r>
        <w:rPr>
          <w:spacing w:val="2"/>
          <w:w w:val="102"/>
          <w:sz w:val="13"/>
        </w:rPr>
        <w:br w:type="column"/>
      </w:r>
      <w:r>
        <w:rPr>
          <w:w w:val="105"/>
          <w:sz w:val="13"/>
        </w:rPr>
        <w:t>Registrar of Probates, Supreme Court of Victoria, </w:t>
      </w:r>
      <w:r>
        <w:rPr>
          <w:i/>
          <w:w w:val="105"/>
          <w:sz w:val="13"/>
        </w:rPr>
        <w:t>Final Report &amp; Recommendations Regarding the Probate Jurisdiction Supreme Court</w:t>
      </w:r>
      <w:r>
        <w:rPr>
          <w:i/>
          <w:spacing w:val="30"/>
          <w:w w:val="105"/>
          <w:sz w:val="13"/>
        </w:rPr>
        <w:t> </w:t>
      </w:r>
      <w:r>
        <w:rPr>
          <w:i/>
          <w:w w:val="105"/>
          <w:sz w:val="13"/>
        </w:rPr>
        <w:t>of Victoria </w:t>
      </w:r>
      <w:r>
        <w:rPr>
          <w:w w:val="105"/>
          <w:sz w:val="13"/>
        </w:rPr>
        <w:t>(1993)</w:t>
      </w:r>
      <w:r>
        <w:rPr>
          <w:spacing w:val="11"/>
          <w:w w:val="105"/>
          <w:sz w:val="13"/>
        </w:rPr>
        <w:t> </w:t>
      </w:r>
      <w:r>
        <w:rPr>
          <w:w w:val="105"/>
          <w:sz w:val="13"/>
        </w:rPr>
        <w:t>4.</w:t>
      </w:r>
    </w:p>
    <w:p>
      <w:pPr>
        <w:pStyle w:val="ListParagraph"/>
        <w:numPr>
          <w:ilvl w:val="0"/>
          <w:numId w:val="140"/>
        </w:numPr>
        <w:tabs>
          <w:tab w:pos="1223" w:val="left" w:leader="none"/>
          <w:tab w:pos="1224" w:val="left" w:leader="none"/>
        </w:tabs>
        <w:spacing w:line="240" w:lineRule="auto" w:before="3" w:after="0"/>
        <w:ind w:left="1223" w:right="1715" w:hanging="794"/>
        <w:jc w:val="left"/>
        <w:rPr>
          <w:sz w:val="13"/>
        </w:rPr>
      </w:pPr>
      <w:r>
        <w:rPr>
          <w:w w:val="105"/>
          <w:sz w:val="13"/>
        </w:rPr>
        <w:t>See discussion above at [9.27]. Setting the figure at $100,000 also has the benefit of creating consistency with those estates eligible to         be administered under the section 79 expedited grant process, should the Commission’s recommendation to amend the criteria for that process,</w:t>
      </w:r>
      <w:r>
        <w:rPr>
          <w:spacing w:val="3"/>
          <w:w w:val="105"/>
          <w:sz w:val="13"/>
        </w:rPr>
        <w:t> </w:t>
      </w:r>
      <w:r>
        <w:rPr>
          <w:w w:val="105"/>
          <w:sz w:val="13"/>
        </w:rPr>
        <w:t>discussed</w:t>
      </w:r>
      <w:r>
        <w:rPr>
          <w:spacing w:val="3"/>
          <w:w w:val="105"/>
          <w:sz w:val="13"/>
        </w:rPr>
        <w:t> </w:t>
      </w:r>
      <w:r>
        <w:rPr>
          <w:w w:val="105"/>
          <w:sz w:val="13"/>
        </w:rPr>
        <w:t>later</w:t>
      </w:r>
      <w:r>
        <w:rPr>
          <w:spacing w:val="4"/>
          <w:w w:val="105"/>
          <w:sz w:val="13"/>
        </w:rPr>
        <w:t> </w:t>
      </w:r>
      <w:r>
        <w:rPr>
          <w:w w:val="105"/>
          <w:sz w:val="13"/>
        </w:rPr>
        <w:t>in</w:t>
      </w:r>
      <w:r>
        <w:rPr>
          <w:spacing w:val="3"/>
          <w:w w:val="105"/>
          <w:sz w:val="13"/>
        </w:rPr>
        <w:t> </w:t>
      </w:r>
      <w:r>
        <w:rPr>
          <w:w w:val="105"/>
          <w:sz w:val="13"/>
        </w:rPr>
        <w:t>this</w:t>
      </w:r>
      <w:r>
        <w:rPr>
          <w:spacing w:val="3"/>
          <w:w w:val="105"/>
          <w:sz w:val="13"/>
        </w:rPr>
        <w:t> </w:t>
      </w:r>
      <w:r>
        <w:rPr>
          <w:w w:val="105"/>
          <w:sz w:val="13"/>
        </w:rPr>
        <w:t>chapter,</w:t>
      </w:r>
      <w:r>
        <w:rPr>
          <w:spacing w:val="4"/>
          <w:w w:val="105"/>
          <w:sz w:val="13"/>
        </w:rPr>
        <w:t> </w:t>
      </w:r>
      <w:r>
        <w:rPr>
          <w:w w:val="105"/>
          <w:sz w:val="13"/>
        </w:rPr>
        <w:t>be</w:t>
      </w:r>
      <w:r>
        <w:rPr>
          <w:spacing w:val="3"/>
          <w:w w:val="105"/>
          <w:sz w:val="13"/>
        </w:rPr>
        <w:t> </w:t>
      </w:r>
      <w:r>
        <w:rPr>
          <w:w w:val="105"/>
          <w:sz w:val="13"/>
        </w:rPr>
        <w:t>implemented.</w:t>
      </w:r>
      <w:r>
        <w:rPr>
          <w:spacing w:val="3"/>
          <w:w w:val="105"/>
          <w:sz w:val="13"/>
        </w:rPr>
        <w:t> </w:t>
      </w:r>
      <w:r>
        <w:rPr>
          <w:w w:val="105"/>
          <w:sz w:val="13"/>
        </w:rPr>
        <w:t>It</w:t>
      </w:r>
      <w:r>
        <w:rPr>
          <w:spacing w:val="4"/>
          <w:w w:val="105"/>
          <w:sz w:val="13"/>
        </w:rPr>
        <w:t> </w:t>
      </w:r>
      <w:r>
        <w:rPr>
          <w:w w:val="105"/>
          <w:sz w:val="13"/>
        </w:rPr>
        <w:t>would</w:t>
      </w:r>
      <w:r>
        <w:rPr>
          <w:spacing w:val="3"/>
          <w:w w:val="105"/>
          <w:sz w:val="13"/>
        </w:rPr>
        <w:t> </w:t>
      </w:r>
      <w:r>
        <w:rPr>
          <w:w w:val="105"/>
          <w:sz w:val="13"/>
        </w:rPr>
        <w:t>create</w:t>
      </w:r>
      <w:r>
        <w:rPr>
          <w:spacing w:val="3"/>
          <w:w w:val="105"/>
          <w:sz w:val="13"/>
        </w:rPr>
        <w:t> </w:t>
      </w:r>
      <w:r>
        <w:rPr>
          <w:w w:val="105"/>
          <w:sz w:val="13"/>
        </w:rPr>
        <w:t>a</w:t>
      </w:r>
      <w:r>
        <w:rPr>
          <w:spacing w:val="4"/>
          <w:w w:val="105"/>
          <w:sz w:val="13"/>
        </w:rPr>
        <w:t> </w:t>
      </w:r>
      <w:r>
        <w:rPr>
          <w:w w:val="105"/>
          <w:sz w:val="13"/>
        </w:rPr>
        <w:t>clear</w:t>
      </w:r>
      <w:r>
        <w:rPr>
          <w:spacing w:val="3"/>
          <w:w w:val="105"/>
          <w:sz w:val="13"/>
        </w:rPr>
        <w:t> </w:t>
      </w:r>
      <w:r>
        <w:rPr>
          <w:w w:val="105"/>
          <w:sz w:val="13"/>
        </w:rPr>
        <w:t>general</w:t>
      </w:r>
      <w:r>
        <w:rPr>
          <w:spacing w:val="3"/>
          <w:w w:val="105"/>
          <w:sz w:val="13"/>
        </w:rPr>
        <w:t> </w:t>
      </w:r>
      <w:r>
        <w:rPr>
          <w:w w:val="105"/>
          <w:sz w:val="13"/>
        </w:rPr>
        <w:t>benchmark</w:t>
      </w:r>
      <w:r>
        <w:rPr>
          <w:spacing w:val="4"/>
          <w:w w:val="105"/>
          <w:sz w:val="13"/>
        </w:rPr>
        <w:t> </w:t>
      </w:r>
      <w:r>
        <w:rPr>
          <w:w w:val="105"/>
          <w:sz w:val="13"/>
        </w:rPr>
        <w:t>for</w:t>
      </w:r>
      <w:r>
        <w:rPr>
          <w:spacing w:val="3"/>
          <w:w w:val="105"/>
          <w:sz w:val="13"/>
        </w:rPr>
        <w:t> </w:t>
      </w:r>
      <w:r>
        <w:rPr>
          <w:w w:val="105"/>
          <w:sz w:val="13"/>
        </w:rPr>
        <w:t>determining</w:t>
      </w:r>
      <w:r>
        <w:rPr>
          <w:spacing w:val="3"/>
          <w:w w:val="105"/>
          <w:sz w:val="13"/>
        </w:rPr>
        <w:t> </w:t>
      </w:r>
      <w:r>
        <w:rPr>
          <w:w w:val="105"/>
          <w:sz w:val="13"/>
        </w:rPr>
        <w:t>what</w:t>
      </w:r>
      <w:r>
        <w:rPr>
          <w:spacing w:val="4"/>
          <w:w w:val="105"/>
          <w:sz w:val="13"/>
        </w:rPr>
        <w:t> </w:t>
      </w:r>
      <w:r>
        <w:rPr>
          <w:w w:val="105"/>
          <w:sz w:val="13"/>
        </w:rPr>
        <w:t>is</w:t>
      </w:r>
      <w:r>
        <w:rPr>
          <w:spacing w:val="3"/>
          <w:w w:val="105"/>
          <w:sz w:val="13"/>
        </w:rPr>
        <w:t> </w:t>
      </w:r>
      <w:r>
        <w:rPr>
          <w:w w:val="105"/>
          <w:sz w:val="13"/>
        </w:rPr>
        <w:t>a</w:t>
      </w:r>
      <w:r>
        <w:rPr>
          <w:spacing w:val="3"/>
          <w:w w:val="105"/>
          <w:sz w:val="13"/>
        </w:rPr>
        <w:t> </w:t>
      </w:r>
      <w:r>
        <w:rPr>
          <w:w w:val="105"/>
          <w:sz w:val="13"/>
        </w:rPr>
        <w:t>small</w:t>
      </w:r>
      <w:r>
        <w:rPr>
          <w:spacing w:val="4"/>
          <w:w w:val="105"/>
          <w:sz w:val="13"/>
        </w:rPr>
        <w:t> </w:t>
      </w:r>
      <w:r>
        <w:rPr>
          <w:w w:val="105"/>
          <w:sz w:val="13"/>
        </w:rPr>
        <w:t>estate.</w:t>
      </w:r>
    </w:p>
    <w:p>
      <w:pPr>
        <w:pStyle w:val="ListParagraph"/>
        <w:numPr>
          <w:ilvl w:val="0"/>
          <w:numId w:val="140"/>
        </w:numPr>
        <w:tabs>
          <w:tab w:pos="1223" w:val="left" w:leader="none"/>
          <w:tab w:pos="1224" w:val="left" w:leader="none"/>
        </w:tabs>
        <w:spacing w:line="240" w:lineRule="auto" w:before="4" w:after="0"/>
        <w:ind w:left="1223" w:right="1916" w:hanging="794"/>
        <w:jc w:val="left"/>
        <w:rPr>
          <w:sz w:val="13"/>
        </w:rPr>
      </w:pPr>
      <w:r>
        <w:rPr>
          <w:w w:val="105"/>
          <w:sz w:val="13"/>
        </w:rPr>
        <w:t>S</w:t>
      </w:r>
      <w:r>
        <w:rPr>
          <w:i/>
          <w:w w:val="105"/>
          <w:sz w:val="13"/>
        </w:rPr>
        <w:t>upreme Court Act 1986 </w:t>
      </w:r>
      <w:r>
        <w:rPr>
          <w:spacing w:val="2"/>
          <w:w w:val="105"/>
          <w:sz w:val="13"/>
        </w:rPr>
        <w:t>(Vic) </w:t>
      </w:r>
      <w:r>
        <w:rPr>
          <w:w w:val="105"/>
          <w:sz w:val="13"/>
        </w:rPr>
        <w:t>s </w:t>
      </w:r>
      <w:r>
        <w:rPr>
          <w:spacing w:val="2"/>
          <w:w w:val="105"/>
          <w:sz w:val="13"/>
        </w:rPr>
        <w:t>129(2)(d). </w:t>
      </w:r>
      <w:r>
        <w:rPr>
          <w:w w:val="105"/>
          <w:sz w:val="13"/>
        </w:rPr>
        <w:t>See the current regulations setting out the fees of the Probate Office: </w:t>
      </w:r>
      <w:r>
        <w:rPr>
          <w:i/>
          <w:w w:val="105"/>
          <w:sz w:val="13"/>
        </w:rPr>
        <w:t>Supreme Court </w:t>
      </w:r>
      <w:r>
        <w:rPr>
          <w:i/>
          <w:spacing w:val="2"/>
          <w:w w:val="105"/>
          <w:sz w:val="13"/>
        </w:rPr>
        <w:t>(Fees) </w:t>
      </w:r>
      <w:r>
        <w:rPr>
          <w:i/>
          <w:w w:val="105"/>
          <w:sz w:val="13"/>
        </w:rPr>
        <w:t>Regulations </w:t>
      </w:r>
      <w:r>
        <w:rPr>
          <w:i/>
          <w:spacing w:val="-4"/>
          <w:w w:val="105"/>
          <w:sz w:val="13"/>
        </w:rPr>
        <w:t>2012</w:t>
      </w:r>
      <w:r>
        <w:rPr>
          <w:i/>
          <w:spacing w:val="7"/>
          <w:w w:val="105"/>
          <w:sz w:val="13"/>
        </w:rPr>
        <w:t> </w:t>
      </w:r>
      <w:r>
        <w:rPr>
          <w:spacing w:val="2"/>
          <w:w w:val="105"/>
          <w:sz w:val="13"/>
        </w:rPr>
        <w:t>(Vic).</w:t>
      </w:r>
    </w:p>
    <w:p>
      <w:pPr>
        <w:pStyle w:val="ListParagraph"/>
        <w:numPr>
          <w:ilvl w:val="0"/>
          <w:numId w:val="140"/>
        </w:numPr>
        <w:tabs>
          <w:tab w:pos="1223" w:val="left" w:leader="none"/>
          <w:tab w:pos="1224" w:val="left" w:leader="none"/>
        </w:tabs>
        <w:spacing w:line="240" w:lineRule="auto" w:before="2" w:after="0"/>
        <w:ind w:left="1223" w:right="1960" w:hanging="794"/>
        <w:jc w:val="left"/>
        <w:rPr>
          <w:sz w:val="13"/>
        </w:rPr>
      </w:pPr>
      <w:r>
        <w:rPr>
          <w:w w:val="105"/>
          <w:sz w:val="13"/>
        </w:rPr>
        <w:t>Submission 1 </w:t>
      </w:r>
      <w:r>
        <w:rPr>
          <w:spacing w:val="2"/>
          <w:w w:val="105"/>
          <w:sz w:val="13"/>
        </w:rPr>
        <w:t>(Legal </w:t>
      </w:r>
      <w:r>
        <w:rPr>
          <w:w w:val="105"/>
          <w:sz w:val="13"/>
        </w:rPr>
        <w:t>Services Commissioner); preliminary comments on terms of reference, provided by Equity Trustees Ltd at meeting with</w:t>
      </w:r>
      <w:r>
        <w:rPr>
          <w:spacing w:val="6"/>
          <w:w w:val="105"/>
          <w:sz w:val="13"/>
        </w:rPr>
        <w:t> </w:t>
      </w:r>
      <w:r>
        <w:rPr>
          <w:w w:val="105"/>
          <w:sz w:val="13"/>
        </w:rPr>
        <w:t>the</w:t>
      </w:r>
      <w:r>
        <w:rPr>
          <w:spacing w:val="6"/>
          <w:w w:val="105"/>
          <w:sz w:val="13"/>
        </w:rPr>
        <w:t> </w:t>
      </w:r>
      <w:r>
        <w:rPr>
          <w:w w:val="105"/>
          <w:sz w:val="13"/>
        </w:rPr>
        <w:t>Financial</w:t>
      </w:r>
      <w:r>
        <w:rPr>
          <w:spacing w:val="6"/>
          <w:w w:val="105"/>
          <w:sz w:val="13"/>
        </w:rPr>
        <w:t> </w:t>
      </w:r>
      <w:r>
        <w:rPr>
          <w:w w:val="105"/>
          <w:sz w:val="13"/>
        </w:rPr>
        <w:t>Services</w:t>
      </w:r>
      <w:r>
        <w:rPr>
          <w:spacing w:val="6"/>
          <w:w w:val="105"/>
          <w:sz w:val="13"/>
        </w:rPr>
        <w:t> </w:t>
      </w:r>
      <w:r>
        <w:rPr>
          <w:w w:val="105"/>
          <w:sz w:val="13"/>
        </w:rPr>
        <w:t>Council</w:t>
      </w:r>
      <w:r>
        <w:rPr>
          <w:spacing w:val="6"/>
          <w:w w:val="105"/>
          <w:sz w:val="13"/>
        </w:rPr>
        <w:t> </w:t>
      </w:r>
      <w:r>
        <w:rPr>
          <w:w w:val="105"/>
          <w:sz w:val="13"/>
        </w:rPr>
        <w:t>(21</w:t>
      </w:r>
      <w:r>
        <w:rPr>
          <w:spacing w:val="6"/>
          <w:w w:val="105"/>
          <w:sz w:val="13"/>
        </w:rPr>
        <w:t> </w:t>
      </w:r>
      <w:r>
        <w:rPr>
          <w:w w:val="105"/>
          <w:sz w:val="13"/>
        </w:rPr>
        <w:t>September</w:t>
      </w:r>
      <w:r>
        <w:rPr>
          <w:spacing w:val="6"/>
          <w:w w:val="105"/>
          <w:sz w:val="13"/>
        </w:rPr>
        <w:t> </w:t>
      </w:r>
      <w:r>
        <w:rPr>
          <w:w w:val="105"/>
          <w:sz w:val="13"/>
        </w:rPr>
        <w:t>2012).</w:t>
      </w:r>
      <w:r>
        <w:rPr>
          <w:spacing w:val="6"/>
          <w:w w:val="105"/>
          <w:sz w:val="13"/>
        </w:rPr>
        <w:t> </w:t>
      </w:r>
      <w:r>
        <w:rPr>
          <w:w w:val="105"/>
          <w:sz w:val="13"/>
        </w:rPr>
        <w:t>See</w:t>
      </w:r>
      <w:r>
        <w:rPr>
          <w:spacing w:val="6"/>
          <w:w w:val="105"/>
          <w:sz w:val="13"/>
        </w:rPr>
        <w:t> </w:t>
      </w:r>
      <w:r>
        <w:rPr>
          <w:w w:val="105"/>
          <w:sz w:val="13"/>
        </w:rPr>
        <w:t>discussion</w:t>
      </w:r>
      <w:r>
        <w:rPr>
          <w:spacing w:val="6"/>
          <w:w w:val="105"/>
          <w:sz w:val="13"/>
        </w:rPr>
        <w:t> </w:t>
      </w:r>
      <w:r>
        <w:rPr>
          <w:w w:val="105"/>
          <w:sz w:val="13"/>
        </w:rPr>
        <w:t>in</w:t>
      </w:r>
      <w:r>
        <w:rPr>
          <w:spacing w:val="6"/>
          <w:w w:val="105"/>
          <w:sz w:val="13"/>
        </w:rPr>
        <w:t> </w:t>
      </w:r>
      <w:r>
        <w:rPr>
          <w:w w:val="105"/>
          <w:sz w:val="13"/>
        </w:rPr>
        <w:t>Victorian</w:t>
      </w:r>
      <w:r>
        <w:rPr>
          <w:spacing w:val="6"/>
          <w:w w:val="105"/>
          <w:sz w:val="13"/>
        </w:rPr>
        <w:t> </w:t>
      </w:r>
      <w:r>
        <w:rPr>
          <w:w w:val="105"/>
          <w:sz w:val="13"/>
        </w:rPr>
        <w:t>Law</w:t>
      </w:r>
      <w:r>
        <w:rPr>
          <w:spacing w:val="6"/>
          <w:w w:val="105"/>
          <w:sz w:val="13"/>
        </w:rPr>
        <w:t> </w:t>
      </w:r>
      <w:r>
        <w:rPr>
          <w:w w:val="105"/>
          <w:sz w:val="13"/>
        </w:rPr>
        <w:t>Reform</w:t>
      </w:r>
      <w:r>
        <w:rPr>
          <w:spacing w:val="6"/>
          <w:w w:val="105"/>
          <w:sz w:val="13"/>
        </w:rPr>
        <w:t> </w:t>
      </w:r>
      <w:r>
        <w:rPr>
          <w:w w:val="105"/>
          <w:sz w:val="13"/>
        </w:rPr>
        <w:t>Commission,</w:t>
      </w:r>
      <w:r>
        <w:rPr>
          <w:spacing w:val="6"/>
          <w:w w:val="105"/>
          <w:sz w:val="13"/>
        </w:rPr>
        <w:t> </w:t>
      </w:r>
      <w:r>
        <w:rPr>
          <w:w w:val="105"/>
          <w:sz w:val="13"/>
        </w:rPr>
        <w:t>above</w:t>
      </w:r>
      <w:r>
        <w:rPr>
          <w:spacing w:val="6"/>
          <w:w w:val="105"/>
          <w:sz w:val="13"/>
        </w:rPr>
        <w:t> </w:t>
      </w:r>
      <w:r>
        <w:rPr>
          <w:w w:val="105"/>
          <w:sz w:val="13"/>
        </w:rPr>
        <w:t>n</w:t>
      </w:r>
      <w:r>
        <w:rPr>
          <w:spacing w:val="6"/>
          <w:w w:val="105"/>
          <w:sz w:val="13"/>
        </w:rPr>
        <w:t> </w:t>
      </w:r>
      <w:r>
        <w:rPr>
          <w:w w:val="105"/>
          <w:sz w:val="13"/>
        </w:rPr>
        <w:t>6,</w:t>
      </w:r>
      <w:r>
        <w:rPr>
          <w:spacing w:val="6"/>
          <w:w w:val="105"/>
          <w:sz w:val="13"/>
        </w:rPr>
        <w:t> </w:t>
      </w:r>
      <w:r>
        <w:rPr>
          <w:w w:val="105"/>
          <w:sz w:val="13"/>
        </w:rPr>
        <w:t>39.</w:t>
      </w:r>
    </w:p>
    <w:p>
      <w:pPr>
        <w:pStyle w:val="ListParagraph"/>
        <w:numPr>
          <w:ilvl w:val="0"/>
          <w:numId w:val="140"/>
        </w:numPr>
        <w:tabs>
          <w:tab w:pos="1223" w:val="left" w:leader="none"/>
          <w:tab w:pos="1224" w:val="left" w:leader="none"/>
        </w:tabs>
        <w:spacing w:line="240" w:lineRule="auto" w:before="3" w:after="0"/>
        <w:ind w:left="1223" w:right="0" w:hanging="794"/>
        <w:jc w:val="left"/>
        <w:rPr>
          <w:sz w:val="13"/>
        </w:rPr>
      </w:pPr>
      <w:r>
        <w:rPr>
          <w:w w:val="105"/>
          <w:sz w:val="13"/>
        </w:rPr>
        <w:t>Submission </w:t>
      </w:r>
      <w:r>
        <w:rPr>
          <w:spacing w:val="-3"/>
          <w:w w:val="105"/>
          <w:sz w:val="13"/>
        </w:rPr>
        <w:t>14 </w:t>
      </w:r>
      <w:r>
        <w:rPr>
          <w:w w:val="105"/>
          <w:sz w:val="13"/>
        </w:rPr>
        <w:t>(Commercial Bar</w:t>
      </w:r>
      <w:r>
        <w:rPr>
          <w:spacing w:val="21"/>
          <w:w w:val="105"/>
          <w:sz w:val="13"/>
        </w:rPr>
        <w:t> </w:t>
      </w:r>
      <w:r>
        <w:rPr>
          <w:spacing w:val="2"/>
          <w:w w:val="105"/>
          <w:sz w:val="13"/>
        </w:rPr>
        <w:t>Association).</w:t>
      </w:r>
    </w:p>
    <w:p>
      <w:pPr>
        <w:pStyle w:val="ListParagraph"/>
        <w:numPr>
          <w:ilvl w:val="0"/>
          <w:numId w:val="140"/>
        </w:numPr>
        <w:tabs>
          <w:tab w:pos="1223" w:val="left" w:leader="none"/>
          <w:tab w:pos="1224" w:val="left" w:leader="none"/>
        </w:tabs>
        <w:spacing w:line="240" w:lineRule="auto" w:before="1" w:after="0"/>
        <w:ind w:left="1223" w:right="1706" w:hanging="794"/>
        <w:jc w:val="left"/>
        <w:rPr>
          <w:sz w:val="13"/>
        </w:rPr>
      </w:pPr>
      <w:r>
        <w:rPr>
          <w:w w:val="105"/>
          <w:sz w:val="13"/>
        </w:rPr>
        <w:t>Submission </w:t>
      </w:r>
      <w:r>
        <w:rPr>
          <w:spacing w:val="2"/>
          <w:w w:val="105"/>
          <w:sz w:val="13"/>
        </w:rPr>
        <w:t>30b </w:t>
      </w:r>
      <w:r>
        <w:rPr>
          <w:spacing w:val="3"/>
          <w:w w:val="105"/>
          <w:sz w:val="13"/>
        </w:rPr>
        <w:t>(Law </w:t>
      </w:r>
      <w:r>
        <w:rPr>
          <w:w w:val="105"/>
          <w:sz w:val="13"/>
        </w:rPr>
        <w:t>Institute of </w:t>
      </w:r>
      <w:r>
        <w:rPr>
          <w:spacing w:val="2"/>
          <w:w w:val="105"/>
          <w:sz w:val="13"/>
        </w:rPr>
        <w:t>Victoria). </w:t>
      </w:r>
      <w:r>
        <w:rPr>
          <w:w w:val="105"/>
          <w:sz w:val="13"/>
        </w:rPr>
        <w:t>The Law Institute submission was divided on this topic, and presented the views of two groups</w:t>
      </w:r>
      <w:r>
        <w:rPr>
          <w:spacing w:val="30"/>
          <w:w w:val="105"/>
          <w:sz w:val="13"/>
        </w:rPr>
        <w:t> </w:t>
      </w:r>
      <w:r>
        <w:rPr>
          <w:w w:val="105"/>
          <w:sz w:val="13"/>
        </w:rPr>
        <w:t>of</w:t>
      </w:r>
      <w:r>
        <w:rPr>
          <w:spacing w:val="4"/>
          <w:w w:val="105"/>
          <w:sz w:val="13"/>
        </w:rPr>
        <w:t> </w:t>
      </w:r>
      <w:r>
        <w:rPr>
          <w:w w:val="105"/>
          <w:sz w:val="13"/>
        </w:rPr>
        <w:t>members.</w:t>
      </w:r>
    </w:p>
    <w:p>
      <w:pPr>
        <w:pStyle w:val="ListParagraph"/>
        <w:numPr>
          <w:ilvl w:val="0"/>
          <w:numId w:val="140"/>
        </w:numPr>
        <w:tabs>
          <w:tab w:pos="1223" w:val="left" w:leader="none"/>
          <w:tab w:pos="1224" w:val="left" w:leader="none"/>
        </w:tabs>
        <w:spacing w:line="240" w:lineRule="auto" w:before="3" w:after="0"/>
        <w:ind w:left="1223" w:right="0" w:hanging="794"/>
        <w:jc w:val="left"/>
        <w:rPr>
          <w:sz w:val="13"/>
        </w:rPr>
      </w:pPr>
      <w:r>
        <w:rPr>
          <w:w w:val="105"/>
          <w:sz w:val="13"/>
        </w:rPr>
        <w:t>Submission 8 (Patricia</w:t>
      </w:r>
      <w:r>
        <w:rPr>
          <w:spacing w:val="13"/>
          <w:w w:val="105"/>
          <w:sz w:val="13"/>
        </w:rPr>
        <w:t> </w:t>
      </w:r>
      <w:r>
        <w:rPr>
          <w:w w:val="105"/>
          <w:sz w:val="13"/>
        </w:rPr>
        <w:t>Strachan).</w:t>
      </w:r>
    </w:p>
    <w:p>
      <w:pPr>
        <w:pStyle w:val="ListParagraph"/>
        <w:numPr>
          <w:ilvl w:val="0"/>
          <w:numId w:val="140"/>
        </w:numPr>
        <w:tabs>
          <w:tab w:pos="1223" w:val="left" w:leader="none"/>
          <w:tab w:pos="1224" w:val="left" w:leader="none"/>
        </w:tabs>
        <w:spacing w:line="240" w:lineRule="auto" w:before="1" w:after="0"/>
        <w:ind w:left="1223" w:right="0" w:hanging="794"/>
        <w:jc w:val="left"/>
        <w:rPr>
          <w:sz w:val="13"/>
        </w:rPr>
      </w:pPr>
      <w:r>
        <w:rPr>
          <w:w w:val="105"/>
          <w:sz w:val="13"/>
        </w:rPr>
        <w:t>See discussion and recommendations at</w:t>
      </w:r>
      <w:r>
        <w:rPr>
          <w:spacing w:val="23"/>
          <w:w w:val="105"/>
          <w:sz w:val="13"/>
        </w:rPr>
        <w:t> </w:t>
      </w:r>
      <w:r>
        <w:rPr>
          <w:w w:val="105"/>
          <w:sz w:val="13"/>
        </w:rPr>
        <w:t>[9.109].</w:t>
      </w:r>
    </w:p>
    <w:p>
      <w:pPr>
        <w:pStyle w:val="ListParagraph"/>
        <w:numPr>
          <w:ilvl w:val="0"/>
          <w:numId w:val="140"/>
        </w:numPr>
        <w:tabs>
          <w:tab w:pos="1223" w:val="left" w:leader="none"/>
          <w:tab w:pos="1224" w:val="left" w:leader="none"/>
        </w:tabs>
        <w:spacing w:line="240" w:lineRule="auto" w:before="2" w:after="0"/>
        <w:ind w:left="1223" w:right="0" w:hanging="794"/>
        <w:jc w:val="left"/>
        <w:rPr>
          <w:sz w:val="13"/>
        </w:rPr>
      </w:pPr>
      <w:r>
        <w:rPr>
          <w:w w:val="105"/>
          <w:sz w:val="13"/>
        </w:rPr>
        <w:t>See discussion and recommendations at</w:t>
      </w:r>
      <w:r>
        <w:rPr>
          <w:spacing w:val="22"/>
          <w:w w:val="105"/>
          <w:sz w:val="13"/>
        </w:rPr>
        <w:t> </w:t>
      </w:r>
      <w:r>
        <w:rPr>
          <w:spacing w:val="2"/>
          <w:w w:val="105"/>
          <w:sz w:val="13"/>
        </w:rPr>
        <w:t>[9.69].</w:t>
      </w:r>
    </w:p>
    <w:p>
      <w:pPr>
        <w:spacing w:after="0" w:line="240" w:lineRule="auto"/>
        <w:jc w:val="left"/>
        <w:rPr>
          <w:sz w:val="13"/>
        </w:rPr>
        <w:sectPr>
          <w:type w:val="continuous"/>
          <w:pgSz w:w="11910" w:h="16840"/>
          <w:pgMar w:top="920" w:bottom="280" w:left="0" w:right="0"/>
          <w:cols w:num="2" w:equalWidth="0">
            <w:col w:w="1118" w:space="40"/>
            <w:col w:w="10752"/>
          </w:cols>
        </w:sectPr>
      </w:pPr>
    </w:p>
    <w:p>
      <w:pPr>
        <w:pStyle w:val="BodyText"/>
        <w:rPr>
          <w:sz w:val="20"/>
        </w:rPr>
      </w:pPr>
    </w:p>
    <w:p>
      <w:pPr>
        <w:pStyle w:val="BodyText"/>
        <w:spacing w:before="6"/>
        <w:rPr>
          <w:sz w:val="17"/>
        </w:rPr>
      </w:pPr>
    </w:p>
    <w:p>
      <w:pPr>
        <w:pStyle w:val="Heading4"/>
        <w:spacing w:before="99"/>
      </w:pPr>
      <w:bookmarkStart w:name="Expedited grants" w:id="151"/>
      <w:bookmarkEnd w:id="151"/>
      <w:r>
        <w:rPr>
          <w:b w:val="0"/>
        </w:rPr>
      </w:r>
      <w:r>
        <w:rPr>
          <w:color w:val="EC5A4F"/>
          <w:w w:val="115"/>
        </w:rPr>
        <w:t>Expedited grants</w:t>
      </w:r>
    </w:p>
    <w:p>
      <w:pPr>
        <w:pStyle w:val="ListParagraph"/>
        <w:numPr>
          <w:ilvl w:val="1"/>
          <w:numId w:val="22"/>
        </w:numPr>
        <w:tabs>
          <w:tab w:pos="2381" w:val="left" w:leader="none"/>
          <w:tab w:pos="2382" w:val="left" w:leader="none"/>
        </w:tabs>
        <w:spacing w:line="242" w:lineRule="auto" w:before="155" w:after="0"/>
        <w:ind w:left="2381" w:right="1679" w:hanging="794"/>
        <w:jc w:val="left"/>
        <w:rPr>
          <w:sz w:val="21"/>
        </w:rPr>
      </w:pPr>
      <w:r>
        <w:rPr>
          <w:sz w:val="21"/>
        </w:rPr>
        <w:t>A trustee </w:t>
      </w:r>
      <w:r>
        <w:rPr>
          <w:spacing w:val="-3"/>
          <w:sz w:val="21"/>
        </w:rPr>
        <w:t>company that </w:t>
      </w:r>
      <w:r>
        <w:rPr>
          <w:sz w:val="21"/>
        </w:rPr>
        <w:t>is </w:t>
      </w:r>
      <w:r>
        <w:rPr>
          <w:spacing w:val="-3"/>
          <w:sz w:val="21"/>
        </w:rPr>
        <w:t>appointed </w:t>
      </w:r>
      <w:r>
        <w:rPr>
          <w:sz w:val="21"/>
        </w:rPr>
        <w:t>as the personal representative of a </w:t>
      </w:r>
      <w:r>
        <w:rPr>
          <w:spacing w:val="-3"/>
          <w:sz w:val="21"/>
        </w:rPr>
        <w:t>small </w:t>
      </w:r>
      <w:r>
        <w:rPr>
          <w:sz w:val="21"/>
        </w:rPr>
        <w:t>estate </w:t>
      </w:r>
      <w:r>
        <w:rPr>
          <w:spacing w:val="-2"/>
          <w:sz w:val="21"/>
        </w:rPr>
        <w:t>has access </w:t>
      </w:r>
      <w:r>
        <w:rPr>
          <w:spacing w:val="-3"/>
          <w:sz w:val="21"/>
        </w:rPr>
        <w:t>to </w:t>
      </w:r>
      <w:r>
        <w:rPr>
          <w:sz w:val="21"/>
        </w:rPr>
        <w:t>expedited </w:t>
      </w:r>
      <w:r>
        <w:rPr>
          <w:spacing w:val="-3"/>
          <w:sz w:val="21"/>
        </w:rPr>
        <w:t>grant </w:t>
      </w:r>
      <w:r>
        <w:rPr>
          <w:sz w:val="21"/>
        </w:rPr>
        <w:t>processes </w:t>
      </w:r>
      <w:r>
        <w:rPr>
          <w:spacing w:val="-3"/>
          <w:sz w:val="21"/>
        </w:rPr>
        <w:t>that reduce </w:t>
      </w:r>
      <w:r>
        <w:rPr>
          <w:sz w:val="21"/>
        </w:rPr>
        <w:t>the time and cost of </w:t>
      </w:r>
      <w:r>
        <w:rPr>
          <w:spacing w:val="-3"/>
          <w:sz w:val="21"/>
        </w:rPr>
        <w:t>obtaining </w:t>
      </w:r>
      <w:r>
        <w:rPr>
          <w:sz w:val="21"/>
        </w:rPr>
        <w:t>a </w:t>
      </w:r>
      <w:r>
        <w:rPr>
          <w:spacing w:val="-3"/>
          <w:sz w:val="21"/>
        </w:rPr>
        <w:t>grant </w:t>
      </w:r>
      <w:r>
        <w:rPr>
          <w:sz w:val="21"/>
        </w:rPr>
        <w:t>of </w:t>
      </w:r>
      <w:r>
        <w:rPr>
          <w:spacing w:val="-3"/>
          <w:sz w:val="21"/>
        </w:rPr>
        <w:t>representation. </w:t>
      </w:r>
      <w:r>
        <w:rPr>
          <w:spacing w:val="-6"/>
          <w:sz w:val="21"/>
        </w:rPr>
        <w:t>Two </w:t>
      </w:r>
      <w:r>
        <w:rPr>
          <w:spacing w:val="-3"/>
          <w:sz w:val="21"/>
        </w:rPr>
        <w:t>forms </w:t>
      </w:r>
      <w:r>
        <w:rPr>
          <w:sz w:val="21"/>
        </w:rPr>
        <w:t>of expedited </w:t>
      </w:r>
      <w:r>
        <w:rPr>
          <w:spacing w:val="-3"/>
          <w:sz w:val="21"/>
        </w:rPr>
        <w:t>grant have</w:t>
      </w:r>
      <w:r>
        <w:rPr>
          <w:spacing w:val="-7"/>
          <w:sz w:val="21"/>
        </w:rPr>
        <w:t> </w:t>
      </w:r>
      <w:r>
        <w:rPr>
          <w:sz w:val="21"/>
        </w:rPr>
        <w:t>been established by legislation:</w:t>
      </w:r>
    </w:p>
    <w:p>
      <w:pPr>
        <w:pStyle w:val="ListParagraph"/>
        <w:numPr>
          <w:ilvl w:val="2"/>
          <w:numId w:val="22"/>
        </w:numPr>
        <w:tabs>
          <w:tab w:pos="2721" w:val="left" w:leader="none"/>
          <w:tab w:pos="2722" w:val="left" w:leader="none"/>
        </w:tabs>
        <w:spacing w:line="242" w:lineRule="auto" w:before="123" w:after="0"/>
        <w:ind w:left="2721" w:right="1584" w:hanging="340"/>
        <w:jc w:val="left"/>
        <w:rPr>
          <w:sz w:val="21"/>
        </w:rPr>
      </w:pPr>
      <w:r>
        <w:rPr>
          <w:sz w:val="21"/>
        </w:rPr>
        <w:t>a process </w:t>
      </w:r>
      <w:r>
        <w:rPr>
          <w:spacing w:val="-3"/>
          <w:sz w:val="21"/>
        </w:rPr>
        <w:t>for </w:t>
      </w:r>
      <w:r>
        <w:rPr>
          <w:sz w:val="21"/>
        </w:rPr>
        <w:t>election </w:t>
      </w:r>
      <w:r>
        <w:rPr>
          <w:spacing w:val="-3"/>
          <w:sz w:val="21"/>
        </w:rPr>
        <w:t>to </w:t>
      </w:r>
      <w:r>
        <w:rPr>
          <w:spacing w:val="-4"/>
          <w:sz w:val="21"/>
        </w:rPr>
        <w:t>administer, </w:t>
      </w:r>
      <w:r>
        <w:rPr>
          <w:sz w:val="21"/>
        </w:rPr>
        <w:t>provided by section </w:t>
      </w:r>
      <w:r>
        <w:rPr>
          <w:spacing w:val="-13"/>
          <w:sz w:val="21"/>
        </w:rPr>
        <w:t>11A </w:t>
      </w:r>
      <w:r>
        <w:rPr>
          <w:sz w:val="21"/>
        </w:rPr>
        <w:t>of the </w:t>
      </w:r>
      <w:r>
        <w:rPr>
          <w:i/>
          <w:spacing w:val="-4"/>
          <w:sz w:val="21"/>
        </w:rPr>
        <w:t>Trustee  </w:t>
      </w:r>
      <w:r>
        <w:rPr>
          <w:i/>
          <w:spacing w:val="-3"/>
          <w:sz w:val="21"/>
        </w:rPr>
        <w:t>Companies  </w:t>
      </w:r>
      <w:r>
        <w:rPr>
          <w:i/>
          <w:sz w:val="21"/>
        </w:rPr>
        <w:t>Act </w:t>
      </w:r>
      <w:r>
        <w:rPr>
          <w:i/>
          <w:spacing w:val="-4"/>
          <w:sz w:val="21"/>
        </w:rPr>
        <w:t>1984 </w:t>
      </w:r>
      <w:r>
        <w:rPr>
          <w:sz w:val="21"/>
        </w:rPr>
        <w:t>(Vic), which is </w:t>
      </w:r>
      <w:r>
        <w:rPr>
          <w:spacing w:val="-3"/>
          <w:sz w:val="21"/>
        </w:rPr>
        <w:t>available </w:t>
      </w:r>
      <w:r>
        <w:rPr>
          <w:sz w:val="21"/>
        </w:rPr>
        <w:t>both </w:t>
      </w:r>
      <w:r>
        <w:rPr>
          <w:spacing w:val="-3"/>
          <w:sz w:val="21"/>
        </w:rPr>
        <w:t>to private </w:t>
      </w:r>
      <w:r>
        <w:rPr>
          <w:sz w:val="21"/>
        </w:rPr>
        <w:t>trustee </w:t>
      </w:r>
      <w:r>
        <w:rPr>
          <w:spacing w:val="-3"/>
          <w:sz w:val="21"/>
        </w:rPr>
        <w:t>companies </w:t>
      </w:r>
      <w:r>
        <w:rPr>
          <w:sz w:val="21"/>
        </w:rPr>
        <w:t>and </w:t>
      </w:r>
      <w:r>
        <w:rPr>
          <w:spacing w:val="-3"/>
          <w:sz w:val="21"/>
        </w:rPr>
        <w:t>State</w:t>
      </w:r>
      <w:r>
        <w:rPr>
          <w:sz w:val="21"/>
        </w:rPr>
        <w:t> </w:t>
      </w:r>
      <w:r>
        <w:rPr>
          <w:spacing w:val="-4"/>
          <w:sz w:val="21"/>
        </w:rPr>
        <w:t>Trustees</w:t>
      </w:r>
    </w:p>
    <w:p>
      <w:pPr>
        <w:pStyle w:val="ListParagraph"/>
        <w:numPr>
          <w:ilvl w:val="2"/>
          <w:numId w:val="22"/>
        </w:numPr>
        <w:tabs>
          <w:tab w:pos="2721" w:val="left" w:leader="none"/>
          <w:tab w:pos="2722" w:val="left" w:leader="none"/>
        </w:tabs>
        <w:spacing w:line="242" w:lineRule="auto" w:before="122" w:after="0"/>
        <w:ind w:left="2721" w:right="2645" w:hanging="340"/>
        <w:jc w:val="left"/>
        <w:rPr>
          <w:sz w:val="12"/>
        </w:rPr>
      </w:pPr>
      <w:r>
        <w:rPr>
          <w:sz w:val="21"/>
        </w:rPr>
        <w:t>a process </w:t>
      </w:r>
      <w:r>
        <w:rPr>
          <w:spacing w:val="-3"/>
          <w:sz w:val="21"/>
        </w:rPr>
        <w:t>for administration </w:t>
      </w:r>
      <w:r>
        <w:rPr>
          <w:sz w:val="21"/>
        </w:rPr>
        <w:t>without a </w:t>
      </w:r>
      <w:r>
        <w:rPr>
          <w:spacing w:val="-3"/>
          <w:sz w:val="21"/>
        </w:rPr>
        <w:t>grant, </w:t>
      </w:r>
      <w:r>
        <w:rPr>
          <w:sz w:val="21"/>
        </w:rPr>
        <w:t>set out at section </w:t>
      </w:r>
      <w:r>
        <w:rPr>
          <w:spacing w:val="-3"/>
          <w:sz w:val="21"/>
        </w:rPr>
        <w:t>79 </w:t>
      </w:r>
      <w:r>
        <w:rPr>
          <w:sz w:val="21"/>
        </w:rPr>
        <w:t>of the </w:t>
      </w:r>
      <w:r>
        <w:rPr>
          <w:spacing w:val="-3"/>
          <w:sz w:val="21"/>
        </w:rPr>
        <w:t>Administration </w:t>
      </w:r>
      <w:r>
        <w:rPr>
          <w:sz w:val="21"/>
        </w:rPr>
        <w:t>and </w:t>
      </w:r>
      <w:r>
        <w:rPr>
          <w:spacing w:val="-3"/>
          <w:sz w:val="21"/>
        </w:rPr>
        <w:t>Probate </w:t>
      </w:r>
      <w:r>
        <w:rPr>
          <w:sz w:val="21"/>
        </w:rPr>
        <w:t>Act, which is </w:t>
      </w:r>
      <w:r>
        <w:rPr>
          <w:spacing w:val="-3"/>
          <w:sz w:val="21"/>
        </w:rPr>
        <w:t>available </w:t>
      </w:r>
      <w:r>
        <w:rPr>
          <w:sz w:val="21"/>
        </w:rPr>
        <w:t>only </w:t>
      </w:r>
      <w:r>
        <w:rPr>
          <w:spacing w:val="-3"/>
          <w:sz w:val="21"/>
        </w:rPr>
        <w:t>to State</w:t>
      </w:r>
      <w:r>
        <w:rPr>
          <w:spacing w:val="24"/>
          <w:sz w:val="21"/>
        </w:rPr>
        <w:t> </w:t>
      </w:r>
      <w:r>
        <w:rPr>
          <w:sz w:val="21"/>
        </w:rPr>
        <w:t>Trustees.</w:t>
      </w:r>
      <w:r>
        <w:rPr>
          <w:position w:val="7"/>
          <w:sz w:val="12"/>
        </w:rPr>
        <w:t>86</w:t>
      </w:r>
    </w:p>
    <w:p>
      <w:pPr>
        <w:pStyle w:val="ListParagraph"/>
        <w:numPr>
          <w:ilvl w:val="1"/>
          <w:numId w:val="22"/>
        </w:numPr>
        <w:tabs>
          <w:tab w:pos="2381" w:val="left" w:leader="none"/>
          <w:tab w:pos="2382" w:val="left" w:leader="none"/>
        </w:tabs>
        <w:spacing w:line="240" w:lineRule="auto" w:before="122" w:after="0"/>
        <w:ind w:left="2381" w:right="0" w:hanging="794"/>
        <w:jc w:val="left"/>
        <w:rPr>
          <w:sz w:val="21"/>
        </w:rPr>
      </w:pPr>
      <w:r>
        <w:rPr>
          <w:sz w:val="21"/>
        </w:rPr>
        <w:t>The</w:t>
      </w:r>
      <w:r>
        <w:rPr>
          <w:spacing w:val="11"/>
          <w:sz w:val="21"/>
        </w:rPr>
        <w:t> </w:t>
      </w:r>
      <w:r>
        <w:rPr>
          <w:sz w:val="21"/>
        </w:rPr>
        <w:t>fee</w:t>
      </w:r>
      <w:r>
        <w:rPr>
          <w:spacing w:val="11"/>
          <w:sz w:val="21"/>
        </w:rPr>
        <w:t> </w:t>
      </w:r>
      <w:r>
        <w:rPr>
          <w:spacing w:val="-3"/>
          <w:sz w:val="21"/>
        </w:rPr>
        <w:t>to</w:t>
      </w:r>
      <w:r>
        <w:rPr>
          <w:spacing w:val="11"/>
          <w:sz w:val="21"/>
        </w:rPr>
        <w:t> </w:t>
      </w:r>
      <w:r>
        <w:rPr>
          <w:sz w:val="21"/>
        </w:rPr>
        <w:t>file</w:t>
      </w:r>
      <w:r>
        <w:rPr>
          <w:spacing w:val="11"/>
          <w:sz w:val="21"/>
        </w:rPr>
        <w:t> </w:t>
      </w:r>
      <w:r>
        <w:rPr>
          <w:sz w:val="21"/>
        </w:rPr>
        <w:t>an</w:t>
      </w:r>
      <w:r>
        <w:rPr>
          <w:spacing w:val="11"/>
          <w:sz w:val="21"/>
        </w:rPr>
        <w:t> </w:t>
      </w:r>
      <w:r>
        <w:rPr>
          <w:sz w:val="21"/>
        </w:rPr>
        <w:t>election</w:t>
      </w:r>
      <w:r>
        <w:rPr>
          <w:spacing w:val="11"/>
          <w:sz w:val="21"/>
        </w:rPr>
        <w:t> </w:t>
      </w:r>
      <w:r>
        <w:rPr>
          <w:spacing w:val="-3"/>
          <w:sz w:val="21"/>
        </w:rPr>
        <w:t>to</w:t>
      </w:r>
      <w:r>
        <w:rPr>
          <w:spacing w:val="11"/>
          <w:sz w:val="21"/>
        </w:rPr>
        <w:t> </w:t>
      </w:r>
      <w:r>
        <w:rPr>
          <w:spacing w:val="-3"/>
          <w:sz w:val="21"/>
        </w:rPr>
        <w:t>administer</w:t>
      </w:r>
      <w:r>
        <w:rPr>
          <w:spacing w:val="11"/>
          <w:sz w:val="21"/>
        </w:rPr>
        <w:t> </w:t>
      </w:r>
      <w:r>
        <w:rPr>
          <w:sz w:val="21"/>
        </w:rPr>
        <w:t>is</w:t>
      </w:r>
      <w:r>
        <w:rPr>
          <w:spacing w:val="11"/>
          <w:sz w:val="21"/>
        </w:rPr>
        <w:t> </w:t>
      </w:r>
      <w:r>
        <w:rPr>
          <w:spacing w:val="-3"/>
          <w:sz w:val="21"/>
        </w:rPr>
        <w:t>currently</w:t>
      </w:r>
      <w:r>
        <w:rPr>
          <w:spacing w:val="11"/>
          <w:sz w:val="21"/>
        </w:rPr>
        <w:t> </w:t>
      </w:r>
      <w:r>
        <w:rPr>
          <w:spacing w:val="-6"/>
          <w:sz w:val="21"/>
        </w:rPr>
        <w:t>$186.70,</w:t>
      </w:r>
      <w:r>
        <w:rPr>
          <w:spacing w:val="11"/>
          <w:sz w:val="21"/>
        </w:rPr>
        <w:t> </w:t>
      </w:r>
      <w:r>
        <w:rPr>
          <w:spacing w:val="-3"/>
          <w:sz w:val="21"/>
        </w:rPr>
        <w:t>compared</w:t>
      </w:r>
      <w:r>
        <w:rPr>
          <w:spacing w:val="11"/>
          <w:sz w:val="21"/>
        </w:rPr>
        <w:t> </w:t>
      </w:r>
      <w:r>
        <w:rPr>
          <w:spacing w:val="-3"/>
          <w:sz w:val="21"/>
        </w:rPr>
        <w:t>to</w:t>
      </w:r>
      <w:r>
        <w:rPr>
          <w:spacing w:val="11"/>
          <w:sz w:val="21"/>
        </w:rPr>
        <w:t> </w:t>
      </w:r>
      <w:r>
        <w:rPr>
          <w:sz w:val="21"/>
        </w:rPr>
        <w:t>the</w:t>
      </w:r>
    </w:p>
    <w:p>
      <w:pPr>
        <w:pStyle w:val="BodyText"/>
        <w:spacing w:line="242" w:lineRule="auto" w:before="4"/>
        <w:ind w:left="2381" w:right="2120"/>
      </w:pPr>
      <w:r>
        <w:rPr>
          <w:spacing w:val="-6"/>
          <w:w w:val="105"/>
        </w:rPr>
        <w:t>$281.90 </w:t>
      </w:r>
      <w:r>
        <w:rPr>
          <w:spacing w:val="-3"/>
          <w:w w:val="105"/>
        </w:rPr>
        <w:t>commencement filing </w:t>
      </w:r>
      <w:r>
        <w:rPr>
          <w:w w:val="105"/>
        </w:rPr>
        <w:t>fee </w:t>
      </w:r>
      <w:r>
        <w:rPr>
          <w:spacing w:val="-3"/>
          <w:w w:val="105"/>
        </w:rPr>
        <w:t>for </w:t>
      </w:r>
      <w:r>
        <w:rPr>
          <w:w w:val="105"/>
        </w:rPr>
        <w:t>a standard </w:t>
      </w:r>
      <w:r>
        <w:rPr>
          <w:spacing w:val="-3"/>
          <w:w w:val="105"/>
        </w:rPr>
        <w:t>grant </w:t>
      </w:r>
      <w:r>
        <w:rPr>
          <w:w w:val="105"/>
        </w:rPr>
        <w:t>of representation.</w:t>
      </w:r>
      <w:r>
        <w:rPr>
          <w:w w:val="105"/>
          <w:position w:val="7"/>
          <w:sz w:val="12"/>
        </w:rPr>
        <w:t>87 </w:t>
      </w:r>
      <w:r>
        <w:rPr>
          <w:w w:val="105"/>
        </w:rPr>
        <w:t>The cost of </w:t>
      </w:r>
      <w:r>
        <w:rPr>
          <w:spacing w:val="-3"/>
          <w:w w:val="105"/>
        </w:rPr>
        <w:t>administering </w:t>
      </w:r>
      <w:r>
        <w:rPr>
          <w:w w:val="105"/>
        </w:rPr>
        <w:t>under the section </w:t>
      </w:r>
      <w:r>
        <w:rPr>
          <w:spacing w:val="-3"/>
          <w:w w:val="105"/>
        </w:rPr>
        <w:t>79 </w:t>
      </w:r>
      <w:r>
        <w:rPr>
          <w:w w:val="105"/>
        </w:rPr>
        <w:t>process is </w:t>
      </w:r>
      <w:r>
        <w:rPr>
          <w:spacing w:val="-3"/>
          <w:w w:val="105"/>
        </w:rPr>
        <w:t>limited to </w:t>
      </w:r>
      <w:r>
        <w:rPr>
          <w:w w:val="105"/>
        </w:rPr>
        <w:t>the cost of the </w:t>
      </w:r>
      <w:r>
        <w:rPr>
          <w:spacing w:val="-3"/>
          <w:w w:val="105"/>
        </w:rPr>
        <w:t>requisite </w:t>
      </w:r>
      <w:r>
        <w:rPr>
          <w:w w:val="105"/>
        </w:rPr>
        <w:t>advertisement, discussed </w:t>
      </w:r>
      <w:r>
        <w:rPr>
          <w:spacing w:val="-3"/>
          <w:w w:val="105"/>
        </w:rPr>
        <w:t>below.</w:t>
      </w:r>
    </w:p>
    <w:p>
      <w:pPr>
        <w:pStyle w:val="BodyText"/>
        <w:spacing w:before="12"/>
        <w:rPr>
          <w:sz w:val="24"/>
        </w:rPr>
      </w:pPr>
    </w:p>
    <w:p>
      <w:pPr>
        <w:pStyle w:val="Heading5"/>
      </w:pPr>
      <w:r>
        <w:rPr>
          <w:w w:val="110"/>
        </w:rPr>
        <w:t>Elections to administer—section 11A of the Trustee Companies Act</w:t>
      </w:r>
    </w:p>
    <w:p>
      <w:pPr>
        <w:pStyle w:val="ListParagraph"/>
        <w:numPr>
          <w:ilvl w:val="1"/>
          <w:numId w:val="22"/>
        </w:numPr>
        <w:tabs>
          <w:tab w:pos="2380" w:val="left" w:leader="none"/>
          <w:tab w:pos="2381" w:val="left" w:leader="none"/>
        </w:tabs>
        <w:spacing w:line="242" w:lineRule="auto" w:before="137" w:after="0"/>
        <w:ind w:left="2381" w:right="2123" w:hanging="794"/>
        <w:jc w:val="left"/>
        <w:rPr>
          <w:sz w:val="12"/>
        </w:rPr>
      </w:pPr>
      <w:r>
        <w:rPr>
          <w:sz w:val="21"/>
        </w:rPr>
        <w:t>The election </w:t>
      </w:r>
      <w:r>
        <w:rPr>
          <w:spacing w:val="-3"/>
          <w:sz w:val="21"/>
        </w:rPr>
        <w:t>to administer </w:t>
      </w:r>
      <w:r>
        <w:rPr>
          <w:sz w:val="21"/>
        </w:rPr>
        <w:t>process allows a trustee </w:t>
      </w:r>
      <w:r>
        <w:rPr>
          <w:spacing w:val="-3"/>
          <w:sz w:val="21"/>
        </w:rPr>
        <w:t>company to </w:t>
      </w:r>
      <w:r>
        <w:rPr>
          <w:sz w:val="21"/>
        </w:rPr>
        <w:t>obtain a </w:t>
      </w:r>
      <w:r>
        <w:rPr>
          <w:spacing w:val="-3"/>
          <w:sz w:val="21"/>
        </w:rPr>
        <w:t>grant </w:t>
      </w:r>
      <w:r>
        <w:rPr>
          <w:sz w:val="21"/>
        </w:rPr>
        <w:t>of </w:t>
      </w:r>
      <w:r>
        <w:rPr>
          <w:spacing w:val="-2"/>
          <w:sz w:val="21"/>
        </w:rPr>
        <w:t>representation </w:t>
      </w:r>
      <w:r>
        <w:rPr>
          <w:sz w:val="21"/>
        </w:rPr>
        <w:t>by </w:t>
      </w:r>
      <w:r>
        <w:rPr>
          <w:spacing w:val="-3"/>
          <w:sz w:val="21"/>
        </w:rPr>
        <w:t>filing </w:t>
      </w:r>
      <w:r>
        <w:rPr>
          <w:sz w:val="21"/>
        </w:rPr>
        <w:t>an election in the prescribed </w:t>
      </w:r>
      <w:r>
        <w:rPr>
          <w:spacing w:val="-3"/>
          <w:sz w:val="21"/>
        </w:rPr>
        <w:t>form,  </w:t>
      </w:r>
      <w:r>
        <w:rPr>
          <w:sz w:val="21"/>
        </w:rPr>
        <w:t>the </w:t>
      </w:r>
      <w:r>
        <w:rPr>
          <w:spacing w:val="-3"/>
          <w:sz w:val="21"/>
        </w:rPr>
        <w:t>will,</w:t>
      </w:r>
      <w:r>
        <w:rPr>
          <w:spacing w:val="41"/>
          <w:sz w:val="21"/>
        </w:rPr>
        <w:t> </w:t>
      </w:r>
      <w:r>
        <w:rPr>
          <w:sz w:val="21"/>
        </w:rPr>
        <w:t>and an </w:t>
      </w:r>
      <w:r>
        <w:rPr>
          <w:spacing w:val="-3"/>
          <w:sz w:val="21"/>
        </w:rPr>
        <w:t>inventory  </w:t>
      </w:r>
      <w:r>
        <w:rPr>
          <w:sz w:val="21"/>
        </w:rPr>
        <w:t>of assets at the </w:t>
      </w:r>
      <w:r>
        <w:rPr>
          <w:spacing w:val="-3"/>
          <w:sz w:val="21"/>
        </w:rPr>
        <w:t>Probate </w:t>
      </w:r>
      <w:r>
        <w:rPr>
          <w:sz w:val="21"/>
        </w:rPr>
        <w:t>Office and by advertising its </w:t>
      </w:r>
      <w:r>
        <w:rPr>
          <w:spacing w:val="-3"/>
          <w:sz w:val="21"/>
        </w:rPr>
        <w:t>intention to </w:t>
      </w:r>
      <w:r>
        <w:rPr>
          <w:sz w:val="21"/>
        </w:rPr>
        <w:t>file the election </w:t>
      </w:r>
      <w:r>
        <w:rPr>
          <w:spacing w:val="-3"/>
          <w:sz w:val="21"/>
        </w:rPr>
        <w:t>to administer </w:t>
      </w:r>
      <w:r>
        <w:rPr>
          <w:sz w:val="21"/>
        </w:rPr>
        <w:t>the</w:t>
      </w:r>
      <w:r>
        <w:rPr>
          <w:spacing w:val="19"/>
          <w:sz w:val="21"/>
        </w:rPr>
        <w:t> </w:t>
      </w:r>
      <w:r>
        <w:rPr>
          <w:sz w:val="21"/>
        </w:rPr>
        <w:t>estate.</w:t>
      </w:r>
      <w:r>
        <w:rPr>
          <w:position w:val="7"/>
          <w:sz w:val="12"/>
        </w:rPr>
        <w:t>88</w:t>
      </w:r>
    </w:p>
    <w:p>
      <w:pPr>
        <w:pStyle w:val="ListParagraph"/>
        <w:numPr>
          <w:ilvl w:val="1"/>
          <w:numId w:val="22"/>
        </w:numPr>
        <w:tabs>
          <w:tab w:pos="2381" w:val="left" w:leader="none"/>
          <w:tab w:pos="2382" w:val="left" w:leader="none"/>
        </w:tabs>
        <w:spacing w:line="242" w:lineRule="auto" w:before="124" w:after="0"/>
        <w:ind w:left="2381" w:right="1855" w:hanging="794"/>
        <w:jc w:val="left"/>
        <w:rPr>
          <w:sz w:val="21"/>
        </w:rPr>
      </w:pPr>
      <w:r>
        <w:rPr>
          <w:w w:val="105"/>
          <w:sz w:val="21"/>
        </w:rPr>
        <w:t>Section </w:t>
      </w:r>
      <w:r>
        <w:rPr>
          <w:spacing w:val="-13"/>
          <w:w w:val="105"/>
          <w:sz w:val="21"/>
        </w:rPr>
        <w:t>11A </w:t>
      </w:r>
      <w:r>
        <w:rPr>
          <w:w w:val="105"/>
          <w:sz w:val="21"/>
        </w:rPr>
        <w:t>of the </w:t>
      </w:r>
      <w:r>
        <w:rPr>
          <w:spacing w:val="-4"/>
          <w:w w:val="105"/>
          <w:sz w:val="21"/>
        </w:rPr>
        <w:t>Trustee </w:t>
      </w:r>
      <w:r>
        <w:rPr>
          <w:spacing w:val="-3"/>
          <w:w w:val="105"/>
          <w:sz w:val="21"/>
        </w:rPr>
        <w:t>Companies </w:t>
      </w:r>
      <w:r>
        <w:rPr>
          <w:w w:val="105"/>
          <w:sz w:val="21"/>
        </w:rPr>
        <w:t>Act also establishes the </w:t>
      </w:r>
      <w:r>
        <w:rPr>
          <w:spacing w:val="-3"/>
          <w:w w:val="105"/>
          <w:sz w:val="21"/>
        </w:rPr>
        <w:t>following </w:t>
      </w:r>
      <w:r>
        <w:rPr>
          <w:w w:val="105"/>
          <w:sz w:val="21"/>
        </w:rPr>
        <w:t>pre-conditions to</w:t>
      </w:r>
      <w:r>
        <w:rPr>
          <w:spacing w:val="5"/>
          <w:w w:val="105"/>
          <w:sz w:val="21"/>
        </w:rPr>
        <w:t> </w:t>
      </w:r>
      <w:r>
        <w:rPr>
          <w:w w:val="105"/>
          <w:sz w:val="21"/>
        </w:rPr>
        <w:t>filing:</w:t>
      </w:r>
    </w:p>
    <w:p>
      <w:pPr>
        <w:pStyle w:val="ListParagraph"/>
        <w:numPr>
          <w:ilvl w:val="2"/>
          <w:numId w:val="22"/>
        </w:numPr>
        <w:tabs>
          <w:tab w:pos="2721" w:val="left" w:leader="none"/>
          <w:tab w:pos="2722" w:val="left" w:leader="none"/>
        </w:tabs>
        <w:spacing w:line="240" w:lineRule="auto" w:before="123" w:after="0"/>
        <w:ind w:left="2721" w:right="0" w:hanging="340"/>
        <w:jc w:val="left"/>
        <w:rPr>
          <w:sz w:val="21"/>
        </w:rPr>
      </w:pPr>
      <w:r>
        <w:rPr>
          <w:sz w:val="21"/>
        </w:rPr>
        <w:t>the</w:t>
      </w:r>
      <w:r>
        <w:rPr>
          <w:spacing w:val="9"/>
          <w:sz w:val="21"/>
        </w:rPr>
        <w:t> </w:t>
      </w:r>
      <w:r>
        <w:rPr>
          <w:spacing w:val="-2"/>
          <w:sz w:val="21"/>
        </w:rPr>
        <w:t>estimated</w:t>
      </w:r>
      <w:r>
        <w:rPr>
          <w:spacing w:val="10"/>
          <w:sz w:val="21"/>
        </w:rPr>
        <w:t> </w:t>
      </w:r>
      <w:r>
        <w:rPr>
          <w:sz w:val="21"/>
        </w:rPr>
        <w:t>gross</w:t>
      </w:r>
      <w:r>
        <w:rPr>
          <w:spacing w:val="10"/>
          <w:sz w:val="21"/>
        </w:rPr>
        <w:t> </w:t>
      </w:r>
      <w:r>
        <w:rPr>
          <w:spacing w:val="-3"/>
          <w:sz w:val="21"/>
        </w:rPr>
        <w:t>value</w:t>
      </w:r>
      <w:r>
        <w:rPr>
          <w:spacing w:val="10"/>
          <w:sz w:val="21"/>
        </w:rPr>
        <w:t> </w:t>
      </w:r>
      <w:r>
        <w:rPr>
          <w:sz w:val="21"/>
        </w:rPr>
        <w:t>of</w:t>
      </w:r>
      <w:r>
        <w:rPr>
          <w:spacing w:val="10"/>
          <w:sz w:val="21"/>
        </w:rPr>
        <w:t> </w:t>
      </w:r>
      <w:r>
        <w:rPr>
          <w:sz w:val="21"/>
        </w:rPr>
        <w:t>the</w:t>
      </w:r>
      <w:r>
        <w:rPr>
          <w:spacing w:val="10"/>
          <w:sz w:val="21"/>
        </w:rPr>
        <w:t> </w:t>
      </w:r>
      <w:r>
        <w:rPr>
          <w:sz w:val="21"/>
        </w:rPr>
        <w:t>estate</w:t>
      </w:r>
      <w:r>
        <w:rPr>
          <w:spacing w:val="9"/>
          <w:sz w:val="21"/>
        </w:rPr>
        <w:t> </w:t>
      </w:r>
      <w:r>
        <w:rPr>
          <w:sz w:val="21"/>
        </w:rPr>
        <w:t>must</w:t>
      </w:r>
      <w:r>
        <w:rPr>
          <w:spacing w:val="10"/>
          <w:sz w:val="21"/>
        </w:rPr>
        <w:t> </w:t>
      </w:r>
      <w:r>
        <w:rPr>
          <w:spacing w:val="-2"/>
          <w:sz w:val="21"/>
        </w:rPr>
        <w:t>not</w:t>
      </w:r>
      <w:r>
        <w:rPr>
          <w:spacing w:val="10"/>
          <w:sz w:val="21"/>
        </w:rPr>
        <w:t> </w:t>
      </w:r>
      <w:r>
        <w:rPr>
          <w:sz w:val="21"/>
        </w:rPr>
        <w:t>exceed</w:t>
      </w:r>
      <w:r>
        <w:rPr>
          <w:spacing w:val="10"/>
          <w:sz w:val="21"/>
        </w:rPr>
        <w:t> </w:t>
      </w:r>
      <w:r>
        <w:rPr>
          <w:sz w:val="21"/>
        </w:rPr>
        <w:t>$50,000</w:t>
      </w:r>
    </w:p>
    <w:p>
      <w:pPr>
        <w:pStyle w:val="ListParagraph"/>
        <w:numPr>
          <w:ilvl w:val="2"/>
          <w:numId w:val="22"/>
        </w:numPr>
        <w:tabs>
          <w:tab w:pos="2721" w:val="left" w:leader="none"/>
          <w:tab w:pos="2722" w:val="left" w:leader="none"/>
        </w:tabs>
        <w:spacing w:line="240" w:lineRule="auto" w:before="123" w:after="0"/>
        <w:ind w:left="2721" w:right="0" w:hanging="340"/>
        <w:jc w:val="left"/>
        <w:rPr>
          <w:sz w:val="21"/>
        </w:rPr>
      </w:pPr>
      <w:r>
        <w:rPr>
          <w:sz w:val="21"/>
        </w:rPr>
        <w:t>the</w:t>
      </w:r>
      <w:r>
        <w:rPr>
          <w:spacing w:val="10"/>
          <w:sz w:val="21"/>
        </w:rPr>
        <w:t> </w:t>
      </w:r>
      <w:r>
        <w:rPr>
          <w:sz w:val="21"/>
        </w:rPr>
        <w:t>trustee</w:t>
      </w:r>
      <w:r>
        <w:rPr>
          <w:spacing w:val="10"/>
          <w:sz w:val="21"/>
        </w:rPr>
        <w:t> </w:t>
      </w:r>
      <w:r>
        <w:rPr>
          <w:spacing w:val="-3"/>
          <w:sz w:val="21"/>
        </w:rPr>
        <w:t>company</w:t>
      </w:r>
      <w:r>
        <w:rPr>
          <w:spacing w:val="10"/>
          <w:sz w:val="21"/>
        </w:rPr>
        <w:t> </w:t>
      </w:r>
      <w:r>
        <w:rPr>
          <w:sz w:val="21"/>
        </w:rPr>
        <w:t>must</w:t>
      </w:r>
      <w:r>
        <w:rPr>
          <w:spacing w:val="10"/>
          <w:sz w:val="21"/>
        </w:rPr>
        <w:t> </w:t>
      </w:r>
      <w:r>
        <w:rPr>
          <w:sz w:val="21"/>
        </w:rPr>
        <w:t>otherwise</w:t>
      </w:r>
      <w:r>
        <w:rPr>
          <w:spacing w:val="10"/>
          <w:sz w:val="21"/>
        </w:rPr>
        <w:t> </w:t>
      </w:r>
      <w:r>
        <w:rPr>
          <w:sz w:val="21"/>
        </w:rPr>
        <w:t>be</w:t>
      </w:r>
      <w:r>
        <w:rPr>
          <w:spacing w:val="10"/>
          <w:sz w:val="21"/>
        </w:rPr>
        <w:t> </w:t>
      </w:r>
      <w:r>
        <w:rPr>
          <w:sz w:val="21"/>
        </w:rPr>
        <w:t>entitled</w:t>
      </w:r>
      <w:r>
        <w:rPr>
          <w:spacing w:val="10"/>
          <w:sz w:val="21"/>
        </w:rPr>
        <w:t> </w:t>
      </w:r>
      <w:r>
        <w:rPr>
          <w:spacing w:val="-3"/>
          <w:sz w:val="21"/>
        </w:rPr>
        <w:t>to</w:t>
      </w:r>
      <w:r>
        <w:rPr>
          <w:spacing w:val="10"/>
          <w:sz w:val="21"/>
        </w:rPr>
        <w:t> </w:t>
      </w:r>
      <w:r>
        <w:rPr>
          <w:sz w:val="21"/>
        </w:rPr>
        <w:t>a</w:t>
      </w:r>
      <w:r>
        <w:rPr>
          <w:spacing w:val="10"/>
          <w:sz w:val="21"/>
        </w:rPr>
        <w:t> </w:t>
      </w:r>
      <w:r>
        <w:rPr>
          <w:spacing w:val="-3"/>
          <w:sz w:val="21"/>
        </w:rPr>
        <w:t>grant</w:t>
      </w:r>
      <w:r>
        <w:rPr>
          <w:spacing w:val="10"/>
          <w:sz w:val="21"/>
        </w:rPr>
        <w:t> </w:t>
      </w:r>
      <w:r>
        <w:rPr>
          <w:sz w:val="21"/>
        </w:rPr>
        <w:t>of</w:t>
      </w:r>
      <w:r>
        <w:rPr>
          <w:spacing w:val="10"/>
          <w:sz w:val="21"/>
        </w:rPr>
        <w:t> </w:t>
      </w:r>
      <w:r>
        <w:rPr>
          <w:spacing w:val="-2"/>
          <w:sz w:val="21"/>
        </w:rPr>
        <w:t>representation</w:t>
      </w:r>
    </w:p>
    <w:p>
      <w:pPr>
        <w:pStyle w:val="ListParagraph"/>
        <w:numPr>
          <w:ilvl w:val="2"/>
          <w:numId w:val="22"/>
        </w:numPr>
        <w:tabs>
          <w:tab w:pos="2721" w:val="left" w:leader="none"/>
          <w:tab w:pos="2722" w:val="left" w:leader="none"/>
        </w:tabs>
        <w:spacing w:line="242" w:lineRule="auto" w:before="124" w:after="0"/>
        <w:ind w:left="2721" w:right="2143" w:hanging="340"/>
        <w:jc w:val="left"/>
        <w:rPr>
          <w:sz w:val="12"/>
        </w:rPr>
      </w:pPr>
      <w:r>
        <w:rPr>
          <w:w w:val="105"/>
          <w:sz w:val="21"/>
        </w:rPr>
        <w:t>there </w:t>
      </w:r>
      <w:r>
        <w:rPr>
          <w:spacing w:val="-3"/>
          <w:w w:val="105"/>
          <w:sz w:val="21"/>
        </w:rPr>
        <w:t>cannot </w:t>
      </w:r>
      <w:r>
        <w:rPr>
          <w:w w:val="105"/>
          <w:sz w:val="21"/>
        </w:rPr>
        <w:t>be </w:t>
      </w:r>
      <w:r>
        <w:rPr>
          <w:spacing w:val="-3"/>
          <w:w w:val="105"/>
          <w:sz w:val="21"/>
        </w:rPr>
        <w:t>another grant, </w:t>
      </w:r>
      <w:r>
        <w:rPr>
          <w:w w:val="105"/>
          <w:sz w:val="21"/>
        </w:rPr>
        <w:t>or </w:t>
      </w:r>
      <w:r>
        <w:rPr>
          <w:spacing w:val="-3"/>
          <w:w w:val="105"/>
          <w:sz w:val="21"/>
        </w:rPr>
        <w:t>any caveat </w:t>
      </w:r>
      <w:r>
        <w:rPr>
          <w:w w:val="105"/>
          <w:sz w:val="21"/>
        </w:rPr>
        <w:t>in </w:t>
      </w:r>
      <w:r>
        <w:rPr>
          <w:spacing w:val="-3"/>
          <w:w w:val="105"/>
          <w:sz w:val="21"/>
        </w:rPr>
        <w:t>force against any </w:t>
      </w:r>
      <w:r>
        <w:rPr>
          <w:w w:val="105"/>
          <w:sz w:val="21"/>
        </w:rPr>
        <w:t>application </w:t>
      </w:r>
      <w:r>
        <w:rPr>
          <w:spacing w:val="-3"/>
          <w:w w:val="105"/>
          <w:sz w:val="21"/>
        </w:rPr>
        <w:t>for </w:t>
      </w:r>
      <w:r>
        <w:rPr>
          <w:w w:val="105"/>
          <w:sz w:val="21"/>
        </w:rPr>
        <w:t>a </w:t>
      </w:r>
      <w:r>
        <w:rPr>
          <w:spacing w:val="-3"/>
          <w:w w:val="105"/>
          <w:sz w:val="21"/>
        </w:rPr>
        <w:t>grant, </w:t>
      </w:r>
      <w:r>
        <w:rPr>
          <w:w w:val="105"/>
          <w:sz w:val="21"/>
        </w:rPr>
        <w:t>in respect of the</w:t>
      </w:r>
      <w:r>
        <w:rPr>
          <w:spacing w:val="31"/>
          <w:w w:val="105"/>
          <w:sz w:val="21"/>
        </w:rPr>
        <w:t> </w:t>
      </w:r>
      <w:r>
        <w:rPr>
          <w:w w:val="105"/>
          <w:sz w:val="21"/>
        </w:rPr>
        <w:t>estate.</w:t>
      </w:r>
      <w:r>
        <w:rPr>
          <w:w w:val="105"/>
          <w:position w:val="7"/>
          <w:sz w:val="12"/>
        </w:rPr>
        <w:t>89</w:t>
      </w:r>
    </w:p>
    <w:p>
      <w:pPr>
        <w:pStyle w:val="ListParagraph"/>
        <w:numPr>
          <w:ilvl w:val="1"/>
          <w:numId w:val="22"/>
        </w:numPr>
        <w:tabs>
          <w:tab w:pos="2381" w:val="left" w:leader="none"/>
          <w:tab w:pos="2382" w:val="left" w:leader="none"/>
        </w:tabs>
        <w:spacing w:line="242" w:lineRule="auto" w:before="122" w:after="0"/>
        <w:ind w:left="2381" w:right="1600" w:hanging="794"/>
        <w:jc w:val="left"/>
        <w:rPr>
          <w:sz w:val="12"/>
        </w:rPr>
      </w:pPr>
      <w:r>
        <w:rPr>
          <w:sz w:val="21"/>
        </w:rPr>
        <w:t>The </w:t>
      </w:r>
      <w:r>
        <w:rPr>
          <w:spacing w:val="-3"/>
          <w:sz w:val="21"/>
        </w:rPr>
        <w:t>company </w:t>
      </w:r>
      <w:r>
        <w:rPr>
          <w:sz w:val="21"/>
        </w:rPr>
        <w:t>must </w:t>
      </w:r>
      <w:r>
        <w:rPr>
          <w:spacing w:val="-3"/>
          <w:sz w:val="21"/>
        </w:rPr>
        <w:t>publish notice </w:t>
      </w:r>
      <w:r>
        <w:rPr>
          <w:sz w:val="21"/>
        </w:rPr>
        <w:t>of its </w:t>
      </w:r>
      <w:r>
        <w:rPr>
          <w:spacing w:val="-3"/>
          <w:sz w:val="21"/>
        </w:rPr>
        <w:t>intention to </w:t>
      </w:r>
      <w:r>
        <w:rPr>
          <w:sz w:val="21"/>
        </w:rPr>
        <w:t>file an election </w:t>
      </w:r>
      <w:r>
        <w:rPr>
          <w:spacing w:val="-3"/>
          <w:sz w:val="21"/>
        </w:rPr>
        <w:t>to administer </w:t>
      </w:r>
      <w:r>
        <w:rPr>
          <w:sz w:val="21"/>
        </w:rPr>
        <w:t>in a </w:t>
      </w:r>
      <w:r>
        <w:rPr>
          <w:spacing w:val="-3"/>
          <w:sz w:val="21"/>
        </w:rPr>
        <w:t>daily </w:t>
      </w:r>
      <w:r>
        <w:rPr>
          <w:sz w:val="21"/>
        </w:rPr>
        <w:t>newspaper at least </w:t>
      </w:r>
      <w:r>
        <w:rPr>
          <w:spacing w:val="-7"/>
          <w:sz w:val="21"/>
        </w:rPr>
        <w:t>14 </w:t>
      </w:r>
      <w:r>
        <w:rPr>
          <w:sz w:val="21"/>
        </w:rPr>
        <w:t>days </w:t>
      </w:r>
      <w:r>
        <w:rPr>
          <w:spacing w:val="-3"/>
          <w:sz w:val="21"/>
        </w:rPr>
        <w:t>before filing. </w:t>
      </w:r>
      <w:r>
        <w:rPr>
          <w:sz w:val="21"/>
        </w:rPr>
        <w:t>It must then </w:t>
      </w:r>
      <w:r>
        <w:rPr>
          <w:spacing w:val="-3"/>
          <w:sz w:val="21"/>
        </w:rPr>
        <w:t>publish notice </w:t>
      </w:r>
      <w:r>
        <w:rPr>
          <w:sz w:val="21"/>
        </w:rPr>
        <w:t>of the election </w:t>
      </w:r>
      <w:r>
        <w:rPr>
          <w:spacing w:val="-3"/>
          <w:sz w:val="21"/>
        </w:rPr>
        <w:t>within  </w:t>
      </w:r>
      <w:r>
        <w:rPr>
          <w:sz w:val="21"/>
        </w:rPr>
        <w:t>one month after </w:t>
      </w:r>
      <w:r>
        <w:rPr>
          <w:spacing w:val="-3"/>
          <w:sz w:val="21"/>
        </w:rPr>
        <w:t>filing. </w:t>
      </w:r>
      <w:r>
        <w:rPr>
          <w:sz w:val="21"/>
        </w:rPr>
        <w:t>This </w:t>
      </w:r>
      <w:r>
        <w:rPr>
          <w:spacing w:val="-3"/>
          <w:sz w:val="21"/>
        </w:rPr>
        <w:t>notice </w:t>
      </w:r>
      <w:r>
        <w:rPr>
          <w:sz w:val="21"/>
        </w:rPr>
        <w:t>after </w:t>
      </w:r>
      <w:r>
        <w:rPr>
          <w:spacing w:val="-3"/>
          <w:sz w:val="21"/>
        </w:rPr>
        <w:t>filing </w:t>
      </w:r>
      <w:r>
        <w:rPr>
          <w:sz w:val="21"/>
        </w:rPr>
        <w:t>is </w:t>
      </w:r>
      <w:r>
        <w:rPr>
          <w:spacing w:val="-3"/>
          <w:sz w:val="21"/>
        </w:rPr>
        <w:t>conclusive </w:t>
      </w:r>
      <w:r>
        <w:rPr>
          <w:sz w:val="21"/>
        </w:rPr>
        <w:t>evidence </w:t>
      </w:r>
      <w:r>
        <w:rPr>
          <w:spacing w:val="-3"/>
          <w:sz w:val="21"/>
        </w:rPr>
        <w:t>that </w:t>
      </w:r>
      <w:r>
        <w:rPr>
          <w:sz w:val="21"/>
        </w:rPr>
        <w:t>the </w:t>
      </w:r>
      <w:r>
        <w:rPr>
          <w:spacing w:val="-3"/>
          <w:sz w:val="21"/>
        </w:rPr>
        <w:t>company </w:t>
      </w:r>
      <w:r>
        <w:rPr>
          <w:sz w:val="21"/>
        </w:rPr>
        <w:t>is entitled </w:t>
      </w:r>
      <w:r>
        <w:rPr>
          <w:spacing w:val="-3"/>
          <w:sz w:val="21"/>
        </w:rPr>
        <w:t>to administer </w:t>
      </w:r>
      <w:r>
        <w:rPr>
          <w:sz w:val="21"/>
        </w:rPr>
        <w:t>the</w:t>
      </w:r>
      <w:r>
        <w:rPr>
          <w:spacing w:val="39"/>
          <w:sz w:val="21"/>
        </w:rPr>
        <w:t> </w:t>
      </w:r>
      <w:r>
        <w:rPr>
          <w:sz w:val="21"/>
        </w:rPr>
        <w:t>estate.</w:t>
      </w:r>
      <w:r>
        <w:rPr>
          <w:position w:val="7"/>
          <w:sz w:val="12"/>
        </w:rPr>
        <w:t>90</w:t>
      </w:r>
    </w:p>
    <w:p>
      <w:pPr>
        <w:pStyle w:val="ListParagraph"/>
        <w:numPr>
          <w:ilvl w:val="1"/>
          <w:numId w:val="22"/>
        </w:numPr>
        <w:tabs>
          <w:tab w:pos="2380" w:val="left" w:leader="none"/>
          <w:tab w:pos="2381" w:val="left" w:leader="none"/>
        </w:tabs>
        <w:spacing w:line="242" w:lineRule="auto" w:before="124" w:after="0"/>
        <w:ind w:left="2381" w:right="1709" w:hanging="794"/>
        <w:jc w:val="left"/>
        <w:rPr>
          <w:sz w:val="12"/>
        </w:rPr>
      </w:pPr>
      <w:r>
        <w:rPr>
          <w:sz w:val="21"/>
        </w:rPr>
        <w:t>If the </w:t>
      </w:r>
      <w:r>
        <w:rPr>
          <w:spacing w:val="-3"/>
          <w:sz w:val="21"/>
        </w:rPr>
        <w:t>value </w:t>
      </w:r>
      <w:r>
        <w:rPr>
          <w:sz w:val="21"/>
        </w:rPr>
        <w:t>of the estate is </w:t>
      </w:r>
      <w:r>
        <w:rPr>
          <w:spacing w:val="-3"/>
          <w:sz w:val="21"/>
        </w:rPr>
        <w:t>later found  to  </w:t>
      </w:r>
      <w:r>
        <w:rPr>
          <w:sz w:val="21"/>
        </w:rPr>
        <w:t>exceed a </w:t>
      </w:r>
      <w:r>
        <w:rPr>
          <w:spacing w:val="-3"/>
          <w:sz w:val="21"/>
        </w:rPr>
        <w:t>threshold</w:t>
      </w:r>
      <w:r>
        <w:rPr>
          <w:spacing w:val="41"/>
          <w:sz w:val="21"/>
        </w:rPr>
        <w:t> </w:t>
      </w:r>
      <w:r>
        <w:rPr>
          <w:sz w:val="21"/>
        </w:rPr>
        <w:t>of $60,000, which operates  as a safety net beyond the $50,000 </w:t>
      </w:r>
      <w:r>
        <w:rPr>
          <w:spacing w:val="-3"/>
          <w:sz w:val="21"/>
        </w:rPr>
        <w:t>limit, </w:t>
      </w:r>
      <w:r>
        <w:rPr>
          <w:sz w:val="21"/>
        </w:rPr>
        <w:t>the </w:t>
      </w:r>
      <w:r>
        <w:rPr>
          <w:spacing w:val="-3"/>
          <w:sz w:val="21"/>
        </w:rPr>
        <w:t>company </w:t>
      </w:r>
      <w:r>
        <w:rPr>
          <w:sz w:val="21"/>
        </w:rPr>
        <w:t>must </w:t>
      </w:r>
      <w:r>
        <w:rPr>
          <w:spacing w:val="-4"/>
          <w:sz w:val="21"/>
        </w:rPr>
        <w:t>revoke </w:t>
      </w:r>
      <w:r>
        <w:rPr>
          <w:sz w:val="21"/>
        </w:rPr>
        <w:t>the election </w:t>
      </w:r>
      <w:r>
        <w:rPr>
          <w:spacing w:val="-3"/>
          <w:sz w:val="21"/>
        </w:rPr>
        <w:t>to administer </w:t>
      </w:r>
      <w:r>
        <w:rPr>
          <w:sz w:val="21"/>
        </w:rPr>
        <w:t>and seek a standard </w:t>
      </w:r>
      <w:r>
        <w:rPr>
          <w:spacing w:val="-3"/>
          <w:sz w:val="21"/>
        </w:rPr>
        <w:t>grant </w:t>
      </w:r>
      <w:r>
        <w:rPr>
          <w:sz w:val="21"/>
        </w:rPr>
        <w:t>of </w:t>
      </w:r>
      <w:r>
        <w:rPr>
          <w:spacing w:val="-2"/>
          <w:sz w:val="21"/>
        </w:rPr>
        <w:t>representation </w:t>
      </w:r>
      <w:r>
        <w:rPr>
          <w:sz w:val="21"/>
        </w:rPr>
        <w:t>in </w:t>
      </w:r>
      <w:r>
        <w:rPr>
          <w:spacing w:val="-3"/>
          <w:sz w:val="21"/>
        </w:rPr>
        <w:t>relation to </w:t>
      </w:r>
      <w:r>
        <w:rPr>
          <w:sz w:val="21"/>
        </w:rPr>
        <w:t>the</w:t>
      </w:r>
      <w:r>
        <w:rPr>
          <w:spacing w:val="12"/>
          <w:sz w:val="21"/>
        </w:rPr>
        <w:t> </w:t>
      </w:r>
      <w:r>
        <w:rPr>
          <w:spacing w:val="-4"/>
          <w:sz w:val="21"/>
        </w:rPr>
        <w:t>estate.</w:t>
      </w:r>
      <w:r>
        <w:rPr>
          <w:spacing w:val="-4"/>
          <w:position w:val="7"/>
          <w:sz w:val="12"/>
        </w:rPr>
        <w:t>91</w:t>
      </w:r>
    </w:p>
    <w:p>
      <w:pPr>
        <w:pStyle w:val="ListParagraph"/>
        <w:numPr>
          <w:ilvl w:val="1"/>
          <w:numId w:val="22"/>
        </w:numPr>
        <w:tabs>
          <w:tab w:pos="2381" w:val="left" w:leader="none"/>
          <w:tab w:pos="2382" w:val="left" w:leader="none"/>
        </w:tabs>
        <w:spacing w:line="242" w:lineRule="auto" w:before="124" w:after="0"/>
        <w:ind w:left="2381" w:right="1584" w:hanging="794"/>
        <w:jc w:val="left"/>
        <w:rPr>
          <w:sz w:val="12"/>
        </w:rPr>
      </w:pPr>
      <w:r>
        <w:rPr>
          <w:sz w:val="21"/>
        </w:rPr>
        <w:t>The </w:t>
      </w:r>
      <w:r>
        <w:rPr>
          <w:spacing w:val="-3"/>
          <w:sz w:val="21"/>
        </w:rPr>
        <w:t>Court may  </w:t>
      </w:r>
      <w:r>
        <w:rPr>
          <w:spacing w:val="-4"/>
          <w:sz w:val="21"/>
        </w:rPr>
        <w:t>revoke  </w:t>
      </w:r>
      <w:r>
        <w:rPr>
          <w:sz w:val="21"/>
        </w:rPr>
        <w:t>an election </w:t>
      </w:r>
      <w:r>
        <w:rPr>
          <w:spacing w:val="-3"/>
          <w:sz w:val="21"/>
        </w:rPr>
        <w:t>to  administer  </w:t>
      </w:r>
      <w:r>
        <w:rPr>
          <w:sz w:val="21"/>
        </w:rPr>
        <w:t>where it ‘sees fit </w:t>
      </w:r>
      <w:r>
        <w:rPr>
          <w:spacing w:val="-3"/>
          <w:sz w:val="21"/>
        </w:rPr>
        <w:t>to</w:t>
      </w:r>
      <w:r>
        <w:rPr>
          <w:spacing w:val="41"/>
          <w:sz w:val="21"/>
        </w:rPr>
        <w:t> </w:t>
      </w:r>
      <w:r>
        <w:rPr>
          <w:spacing w:val="-3"/>
          <w:sz w:val="21"/>
        </w:rPr>
        <w:t>grant  </w:t>
      </w:r>
      <w:r>
        <w:rPr>
          <w:sz w:val="21"/>
        </w:rPr>
        <w:t>an application  by </w:t>
      </w:r>
      <w:r>
        <w:rPr>
          <w:spacing w:val="-3"/>
          <w:sz w:val="21"/>
        </w:rPr>
        <w:t>any </w:t>
      </w:r>
      <w:r>
        <w:rPr>
          <w:sz w:val="21"/>
        </w:rPr>
        <w:t>other </w:t>
      </w:r>
      <w:r>
        <w:rPr>
          <w:spacing w:val="-4"/>
          <w:sz w:val="21"/>
        </w:rPr>
        <w:t>person’, </w:t>
      </w:r>
      <w:r>
        <w:rPr>
          <w:sz w:val="21"/>
        </w:rPr>
        <w:t>or where a </w:t>
      </w:r>
      <w:r>
        <w:rPr>
          <w:spacing w:val="-3"/>
          <w:sz w:val="21"/>
        </w:rPr>
        <w:t>will </w:t>
      </w:r>
      <w:r>
        <w:rPr>
          <w:sz w:val="21"/>
        </w:rPr>
        <w:t>is </w:t>
      </w:r>
      <w:r>
        <w:rPr>
          <w:spacing w:val="-3"/>
          <w:sz w:val="21"/>
        </w:rPr>
        <w:t>subsequently  found  for  </w:t>
      </w:r>
      <w:r>
        <w:rPr>
          <w:sz w:val="21"/>
        </w:rPr>
        <w:t>a person who was believed  </w:t>
      </w:r>
      <w:r>
        <w:rPr>
          <w:spacing w:val="-3"/>
          <w:sz w:val="21"/>
        </w:rPr>
        <w:t>to have </w:t>
      </w:r>
      <w:r>
        <w:rPr>
          <w:sz w:val="21"/>
        </w:rPr>
        <w:t>died</w:t>
      </w:r>
      <w:r>
        <w:rPr>
          <w:spacing w:val="31"/>
          <w:sz w:val="21"/>
        </w:rPr>
        <w:t> </w:t>
      </w:r>
      <w:r>
        <w:rPr>
          <w:spacing w:val="-4"/>
          <w:sz w:val="21"/>
        </w:rPr>
        <w:t>intestate.</w:t>
      </w:r>
      <w:r>
        <w:rPr>
          <w:spacing w:val="-4"/>
          <w:position w:val="7"/>
          <w:sz w:val="12"/>
        </w:rPr>
        <w:t>92</w:t>
      </w:r>
    </w:p>
    <w:p>
      <w:pPr>
        <w:pStyle w:val="BodyText"/>
        <w:spacing w:before="11"/>
        <w:rPr>
          <w:sz w:val="24"/>
        </w:rPr>
      </w:pPr>
    </w:p>
    <w:p>
      <w:pPr>
        <w:pStyle w:val="Heading5"/>
        <w:spacing w:line="244" w:lineRule="auto" w:before="1"/>
        <w:ind w:right="1619"/>
      </w:pPr>
      <w:r>
        <w:rPr>
          <w:w w:val="115"/>
        </w:rPr>
        <w:t>Small</w:t>
      </w:r>
      <w:r>
        <w:rPr>
          <w:spacing w:val="-18"/>
          <w:w w:val="115"/>
        </w:rPr>
        <w:t> </w:t>
      </w:r>
      <w:r>
        <w:rPr>
          <w:w w:val="115"/>
        </w:rPr>
        <w:t>estates</w:t>
      </w:r>
      <w:r>
        <w:rPr>
          <w:spacing w:val="-18"/>
          <w:w w:val="115"/>
        </w:rPr>
        <w:t> </w:t>
      </w:r>
      <w:r>
        <w:rPr>
          <w:w w:val="115"/>
        </w:rPr>
        <w:t>administration</w:t>
      </w:r>
      <w:r>
        <w:rPr>
          <w:spacing w:val="-18"/>
          <w:w w:val="115"/>
        </w:rPr>
        <w:t> </w:t>
      </w:r>
      <w:r>
        <w:rPr>
          <w:w w:val="115"/>
        </w:rPr>
        <w:t>without</w:t>
      </w:r>
      <w:r>
        <w:rPr>
          <w:spacing w:val="-17"/>
          <w:w w:val="115"/>
        </w:rPr>
        <w:t> </w:t>
      </w:r>
      <w:r>
        <w:rPr>
          <w:w w:val="115"/>
        </w:rPr>
        <w:t>a</w:t>
      </w:r>
      <w:r>
        <w:rPr>
          <w:spacing w:val="-18"/>
          <w:w w:val="115"/>
        </w:rPr>
        <w:t> </w:t>
      </w:r>
      <w:r>
        <w:rPr>
          <w:w w:val="115"/>
        </w:rPr>
        <w:t>grant—section</w:t>
      </w:r>
      <w:r>
        <w:rPr>
          <w:spacing w:val="-18"/>
          <w:w w:val="115"/>
        </w:rPr>
        <w:t> </w:t>
      </w:r>
      <w:r>
        <w:rPr>
          <w:w w:val="115"/>
        </w:rPr>
        <w:t>79</w:t>
      </w:r>
      <w:r>
        <w:rPr>
          <w:spacing w:val="-18"/>
          <w:w w:val="115"/>
        </w:rPr>
        <w:t> </w:t>
      </w:r>
      <w:r>
        <w:rPr>
          <w:w w:val="115"/>
        </w:rPr>
        <w:t>of</w:t>
      </w:r>
      <w:r>
        <w:rPr>
          <w:spacing w:val="-17"/>
          <w:w w:val="115"/>
        </w:rPr>
        <w:t> </w:t>
      </w:r>
      <w:r>
        <w:rPr>
          <w:w w:val="115"/>
        </w:rPr>
        <w:t>the Administration and Probate</w:t>
      </w:r>
      <w:r>
        <w:rPr>
          <w:spacing w:val="6"/>
          <w:w w:val="115"/>
        </w:rPr>
        <w:t> </w:t>
      </w:r>
      <w:r>
        <w:rPr>
          <w:w w:val="115"/>
        </w:rPr>
        <w:t>Act</w:t>
      </w:r>
    </w:p>
    <w:p>
      <w:pPr>
        <w:pStyle w:val="ListParagraph"/>
        <w:numPr>
          <w:ilvl w:val="1"/>
          <w:numId w:val="22"/>
        </w:numPr>
        <w:tabs>
          <w:tab w:pos="2380" w:val="left" w:leader="none"/>
          <w:tab w:pos="2381" w:val="left" w:leader="none"/>
        </w:tabs>
        <w:spacing w:line="242" w:lineRule="auto" w:before="132" w:after="0"/>
        <w:ind w:left="2381" w:right="1807" w:hanging="794"/>
        <w:jc w:val="left"/>
        <w:rPr>
          <w:sz w:val="12"/>
        </w:rPr>
      </w:pPr>
      <w:r>
        <w:rPr>
          <w:w w:val="105"/>
          <w:sz w:val="21"/>
        </w:rPr>
        <w:t>Under section </w:t>
      </w:r>
      <w:r>
        <w:rPr>
          <w:spacing w:val="-3"/>
          <w:w w:val="105"/>
          <w:sz w:val="21"/>
        </w:rPr>
        <w:t>79 </w:t>
      </w:r>
      <w:r>
        <w:rPr>
          <w:w w:val="105"/>
          <w:sz w:val="21"/>
        </w:rPr>
        <w:t>of the </w:t>
      </w:r>
      <w:r>
        <w:rPr>
          <w:spacing w:val="-3"/>
          <w:w w:val="105"/>
          <w:sz w:val="21"/>
        </w:rPr>
        <w:t>Administration </w:t>
      </w:r>
      <w:r>
        <w:rPr>
          <w:w w:val="105"/>
          <w:sz w:val="21"/>
        </w:rPr>
        <w:t>and </w:t>
      </w:r>
      <w:r>
        <w:rPr>
          <w:spacing w:val="-3"/>
          <w:w w:val="105"/>
          <w:sz w:val="21"/>
        </w:rPr>
        <w:t>Probate </w:t>
      </w:r>
      <w:r>
        <w:rPr>
          <w:w w:val="105"/>
          <w:sz w:val="21"/>
        </w:rPr>
        <w:t>Act, </w:t>
      </w:r>
      <w:r>
        <w:rPr>
          <w:spacing w:val="-3"/>
          <w:w w:val="105"/>
          <w:sz w:val="21"/>
        </w:rPr>
        <w:t>State </w:t>
      </w:r>
      <w:r>
        <w:rPr>
          <w:spacing w:val="-4"/>
          <w:w w:val="105"/>
          <w:sz w:val="21"/>
        </w:rPr>
        <w:t>Trustees </w:t>
      </w:r>
      <w:r>
        <w:rPr>
          <w:spacing w:val="-3"/>
          <w:w w:val="105"/>
          <w:sz w:val="21"/>
        </w:rPr>
        <w:t>may </w:t>
      </w:r>
      <w:r>
        <w:rPr>
          <w:w w:val="105"/>
          <w:sz w:val="21"/>
        </w:rPr>
        <w:t>employ a </w:t>
      </w:r>
      <w:r>
        <w:rPr>
          <w:spacing w:val="-3"/>
          <w:w w:val="105"/>
          <w:sz w:val="21"/>
        </w:rPr>
        <w:t>simpler</w:t>
      </w:r>
      <w:r>
        <w:rPr>
          <w:spacing w:val="-8"/>
          <w:w w:val="105"/>
          <w:sz w:val="21"/>
        </w:rPr>
        <w:t> </w:t>
      </w:r>
      <w:r>
        <w:rPr>
          <w:w w:val="105"/>
          <w:sz w:val="21"/>
        </w:rPr>
        <w:t>process</w:t>
      </w:r>
      <w:r>
        <w:rPr>
          <w:spacing w:val="-8"/>
          <w:w w:val="105"/>
          <w:sz w:val="21"/>
        </w:rPr>
        <w:t> </w:t>
      </w:r>
      <w:r>
        <w:rPr>
          <w:w w:val="105"/>
          <w:sz w:val="21"/>
        </w:rPr>
        <w:t>in</w:t>
      </w:r>
      <w:r>
        <w:rPr>
          <w:spacing w:val="-8"/>
          <w:w w:val="105"/>
          <w:sz w:val="21"/>
        </w:rPr>
        <w:t> </w:t>
      </w:r>
      <w:r>
        <w:rPr>
          <w:spacing w:val="-3"/>
          <w:w w:val="105"/>
          <w:sz w:val="21"/>
        </w:rPr>
        <w:t>relation</w:t>
      </w:r>
      <w:r>
        <w:rPr>
          <w:spacing w:val="-8"/>
          <w:w w:val="105"/>
          <w:sz w:val="21"/>
        </w:rPr>
        <w:t> </w:t>
      </w:r>
      <w:r>
        <w:rPr>
          <w:spacing w:val="-3"/>
          <w:w w:val="105"/>
          <w:sz w:val="21"/>
        </w:rPr>
        <w:t>to</w:t>
      </w:r>
      <w:r>
        <w:rPr>
          <w:spacing w:val="-8"/>
          <w:w w:val="105"/>
          <w:sz w:val="21"/>
        </w:rPr>
        <w:t> </w:t>
      </w:r>
      <w:r>
        <w:rPr>
          <w:w w:val="105"/>
          <w:sz w:val="21"/>
        </w:rPr>
        <w:t>estates</w:t>
      </w:r>
      <w:r>
        <w:rPr>
          <w:spacing w:val="-8"/>
          <w:w w:val="105"/>
          <w:sz w:val="21"/>
        </w:rPr>
        <w:t> </w:t>
      </w:r>
      <w:r>
        <w:rPr>
          <w:spacing w:val="-3"/>
          <w:w w:val="105"/>
          <w:sz w:val="21"/>
        </w:rPr>
        <w:t>designated</w:t>
      </w:r>
      <w:r>
        <w:rPr>
          <w:spacing w:val="-8"/>
          <w:w w:val="105"/>
          <w:sz w:val="21"/>
        </w:rPr>
        <w:t> </w:t>
      </w:r>
      <w:r>
        <w:rPr>
          <w:w w:val="105"/>
          <w:sz w:val="21"/>
        </w:rPr>
        <w:t>as</w:t>
      </w:r>
      <w:r>
        <w:rPr>
          <w:spacing w:val="-7"/>
          <w:w w:val="105"/>
          <w:sz w:val="21"/>
        </w:rPr>
        <w:t> </w:t>
      </w:r>
      <w:r>
        <w:rPr>
          <w:spacing w:val="-3"/>
          <w:w w:val="105"/>
          <w:sz w:val="21"/>
        </w:rPr>
        <w:t>small</w:t>
      </w:r>
      <w:r>
        <w:rPr>
          <w:spacing w:val="-8"/>
          <w:w w:val="105"/>
          <w:sz w:val="21"/>
        </w:rPr>
        <w:t> </w:t>
      </w:r>
      <w:r>
        <w:rPr>
          <w:w w:val="105"/>
          <w:sz w:val="21"/>
        </w:rPr>
        <w:t>estates—those</w:t>
      </w:r>
      <w:r>
        <w:rPr>
          <w:spacing w:val="-8"/>
          <w:w w:val="105"/>
          <w:sz w:val="21"/>
        </w:rPr>
        <w:t> </w:t>
      </w:r>
      <w:r>
        <w:rPr>
          <w:w w:val="105"/>
          <w:sz w:val="21"/>
        </w:rPr>
        <w:t>below</w:t>
      </w:r>
      <w:r>
        <w:rPr>
          <w:spacing w:val="-8"/>
          <w:w w:val="105"/>
          <w:sz w:val="21"/>
        </w:rPr>
        <w:t> </w:t>
      </w:r>
      <w:r>
        <w:rPr>
          <w:w w:val="105"/>
          <w:sz w:val="21"/>
        </w:rPr>
        <w:t>$25,000 (or $50,000 depending on the </w:t>
      </w:r>
      <w:r>
        <w:rPr>
          <w:spacing w:val="-3"/>
          <w:w w:val="105"/>
          <w:sz w:val="21"/>
        </w:rPr>
        <w:t>relationship </w:t>
      </w:r>
      <w:r>
        <w:rPr>
          <w:w w:val="105"/>
          <w:sz w:val="21"/>
        </w:rPr>
        <w:t>of the beneficiaries </w:t>
      </w:r>
      <w:r>
        <w:rPr>
          <w:spacing w:val="-3"/>
          <w:w w:val="105"/>
          <w:sz w:val="21"/>
        </w:rPr>
        <w:t>to </w:t>
      </w:r>
      <w:r>
        <w:rPr>
          <w:w w:val="105"/>
          <w:sz w:val="21"/>
        </w:rPr>
        <w:t>the</w:t>
      </w:r>
      <w:r>
        <w:rPr>
          <w:spacing w:val="-11"/>
          <w:w w:val="105"/>
          <w:sz w:val="21"/>
        </w:rPr>
        <w:t> </w:t>
      </w:r>
      <w:r>
        <w:rPr>
          <w:w w:val="105"/>
          <w:sz w:val="21"/>
        </w:rPr>
        <w:t>deceased).</w:t>
      </w:r>
      <w:r>
        <w:rPr>
          <w:w w:val="105"/>
          <w:position w:val="7"/>
          <w:sz w:val="12"/>
        </w:rPr>
        <w:t>93</w:t>
      </w:r>
    </w:p>
    <w:p>
      <w:pPr>
        <w:pStyle w:val="BodyText"/>
        <w:rPr>
          <w:sz w:val="20"/>
        </w:rPr>
      </w:pPr>
    </w:p>
    <w:p>
      <w:pPr>
        <w:pStyle w:val="BodyText"/>
        <w:spacing w:before="7"/>
        <w:rPr>
          <w:sz w:val="15"/>
        </w:rPr>
      </w:pPr>
      <w:r>
        <w:rPr/>
        <w:pict>
          <v:line style="position:absolute;mso-position-horizontal-relative:page;mso-position-vertical-relative:paragraph;z-index:12032;mso-wrap-distance-left:0;mso-wrap-distance-right:0" from="79.370003pt,11.956788pt" to="515.905003pt,11.956788pt" stroked="true" strokeweight="1pt" strokecolor="#f9ceca">
            <v:stroke dashstyle="solid"/>
            <w10:wrap type="topAndBottom"/>
          </v:line>
        </w:pict>
      </w:r>
    </w:p>
    <w:p>
      <w:pPr>
        <w:pStyle w:val="BodyText"/>
        <w:spacing w:before="8"/>
        <w:rPr>
          <w:sz w:val="5"/>
        </w:rPr>
      </w:pPr>
    </w:p>
    <w:p>
      <w:pPr>
        <w:spacing w:after="0"/>
        <w:rPr>
          <w:sz w:val="5"/>
        </w:rPr>
        <w:sectPr>
          <w:pgSz w:w="11910" w:h="16840"/>
          <w:pgMar w:header="805" w:footer="0" w:top="1360" w:bottom="280" w:left="0" w:right="0"/>
        </w:sectPr>
      </w:pPr>
    </w:p>
    <w:p>
      <w:pPr>
        <w:pStyle w:val="ListParagraph"/>
        <w:numPr>
          <w:ilvl w:val="0"/>
          <w:numId w:val="140"/>
        </w:numPr>
        <w:tabs>
          <w:tab w:pos="2380" w:val="left" w:leader="none"/>
          <w:tab w:pos="2382" w:val="left" w:leader="none"/>
        </w:tabs>
        <w:spacing w:line="240" w:lineRule="auto" w:before="48" w:after="0"/>
        <w:ind w:left="2381" w:right="0" w:hanging="794"/>
        <w:jc w:val="left"/>
        <w:rPr>
          <w:sz w:val="13"/>
        </w:rPr>
      </w:pPr>
      <w:r>
        <w:rPr>
          <w:w w:val="105"/>
          <w:sz w:val="13"/>
        </w:rPr>
        <w:t>See</w:t>
      </w:r>
      <w:r>
        <w:rPr>
          <w:spacing w:val="4"/>
          <w:w w:val="105"/>
          <w:sz w:val="13"/>
        </w:rPr>
        <w:t> </w:t>
      </w:r>
      <w:r>
        <w:rPr>
          <w:w w:val="105"/>
          <w:sz w:val="13"/>
        </w:rPr>
        <w:t>broader</w:t>
      </w:r>
      <w:r>
        <w:rPr>
          <w:spacing w:val="5"/>
          <w:w w:val="105"/>
          <w:sz w:val="13"/>
        </w:rPr>
        <w:t> </w:t>
      </w:r>
      <w:r>
        <w:rPr>
          <w:w w:val="105"/>
          <w:sz w:val="13"/>
        </w:rPr>
        <w:t>discussion</w:t>
      </w:r>
      <w:r>
        <w:rPr>
          <w:spacing w:val="5"/>
          <w:w w:val="105"/>
          <w:sz w:val="13"/>
        </w:rPr>
        <w:t> </w:t>
      </w:r>
      <w:r>
        <w:rPr>
          <w:w w:val="105"/>
          <w:sz w:val="13"/>
        </w:rPr>
        <w:t>in</w:t>
      </w:r>
      <w:r>
        <w:rPr>
          <w:spacing w:val="5"/>
          <w:w w:val="105"/>
          <w:sz w:val="13"/>
        </w:rPr>
        <w:t> </w:t>
      </w:r>
      <w:r>
        <w:rPr>
          <w:w w:val="105"/>
          <w:sz w:val="13"/>
        </w:rPr>
        <w:t>Victorian</w:t>
      </w:r>
      <w:r>
        <w:rPr>
          <w:spacing w:val="5"/>
          <w:w w:val="105"/>
          <w:sz w:val="13"/>
        </w:rPr>
        <w:t> </w:t>
      </w:r>
      <w:r>
        <w:rPr>
          <w:w w:val="105"/>
          <w:sz w:val="13"/>
        </w:rPr>
        <w:t>Law</w:t>
      </w:r>
      <w:r>
        <w:rPr>
          <w:spacing w:val="5"/>
          <w:w w:val="105"/>
          <w:sz w:val="13"/>
        </w:rPr>
        <w:t> </w:t>
      </w:r>
      <w:r>
        <w:rPr>
          <w:w w:val="105"/>
          <w:sz w:val="13"/>
        </w:rPr>
        <w:t>Reform</w:t>
      </w:r>
      <w:r>
        <w:rPr>
          <w:spacing w:val="5"/>
          <w:w w:val="105"/>
          <w:sz w:val="13"/>
        </w:rPr>
        <w:t> </w:t>
      </w:r>
      <w:r>
        <w:rPr>
          <w:w w:val="105"/>
          <w:sz w:val="13"/>
        </w:rPr>
        <w:t>Commission,</w:t>
      </w:r>
      <w:r>
        <w:rPr>
          <w:spacing w:val="5"/>
          <w:w w:val="105"/>
          <w:sz w:val="13"/>
        </w:rPr>
        <w:t> </w:t>
      </w:r>
      <w:r>
        <w:rPr>
          <w:w w:val="105"/>
          <w:sz w:val="13"/>
        </w:rPr>
        <w:t>above</w:t>
      </w:r>
      <w:r>
        <w:rPr>
          <w:spacing w:val="5"/>
          <w:w w:val="105"/>
          <w:sz w:val="13"/>
        </w:rPr>
        <w:t> </w:t>
      </w:r>
      <w:r>
        <w:rPr>
          <w:w w:val="105"/>
          <w:sz w:val="13"/>
        </w:rPr>
        <w:t>n</w:t>
      </w:r>
      <w:r>
        <w:rPr>
          <w:spacing w:val="5"/>
          <w:w w:val="105"/>
          <w:sz w:val="13"/>
        </w:rPr>
        <w:t> </w:t>
      </w:r>
      <w:r>
        <w:rPr>
          <w:w w:val="105"/>
          <w:sz w:val="13"/>
        </w:rPr>
        <w:t>6,</w:t>
      </w:r>
      <w:r>
        <w:rPr>
          <w:spacing w:val="5"/>
          <w:w w:val="105"/>
          <w:sz w:val="13"/>
        </w:rPr>
        <w:t> </w:t>
      </w:r>
      <w:r>
        <w:rPr>
          <w:w w:val="105"/>
          <w:sz w:val="13"/>
        </w:rPr>
        <w:t>24.</w:t>
      </w:r>
    </w:p>
    <w:p>
      <w:pPr>
        <w:pStyle w:val="ListParagraph"/>
        <w:numPr>
          <w:ilvl w:val="0"/>
          <w:numId w:val="140"/>
        </w:numPr>
        <w:tabs>
          <w:tab w:pos="2380" w:val="left" w:leader="none"/>
          <w:tab w:pos="2382" w:val="left" w:leader="none"/>
        </w:tabs>
        <w:spacing w:line="240" w:lineRule="auto" w:before="1" w:after="0"/>
        <w:ind w:left="2381" w:right="0" w:hanging="794"/>
        <w:jc w:val="left"/>
        <w:rPr>
          <w:sz w:val="13"/>
        </w:rPr>
      </w:pPr>
      <w:r>
        <w:rPr>
          <w:w w:val="105"/>
          <w:sz w:val="13"/>
        </w:rPr>
        <w:t>Probate Office, above n</w:t>
      </w:r>
      <w:r>
        <w:rPr>
          <w:spacing w:val="18"/>
          <w:w w:val="105"/>
          <w:sz w:val="13"/>
        </w:rPr>
        <w:t> </w:t>
      </w:r>
      <w:r>
        <w:rPr>
          <w:w w:val="105"/>
          <w:sz w:val="13"/>
        </w:rPr>
        <w:t>9.</w:t>
      </w:r>
    </w:p>
    <w:p>
      <w:pPr>
        <w:pStyle w:val="ListParagraph"/>
        <w:numPr>
          <w:ilvl w:val="0"/>
          <w:numId w:val="140"/>
        </w:numPr>
        <w:tabs>
          <w:tab w:pos="2380" w:val="left" w:leader="none"/>
          <w:tab w:pos="2382" w:val="left" w:leader="none"/>
        </w:tabs>
        <w:spacing w:line="240" w:lineRule="auto" w:before="2" w:after="0"/>
        <w:ind w:left="1587" w:right="4501" w:firstLine="0"/>
        <w:jc w:val="left"/>
        <w:rPr>
          <w:sz w:val="13"/>
        </w:rPr>
      </w:pPr>
      <w:r>
        <w:rPr>
          <w:i/>
          <w:w w:val="105"/>
          <w:sz w:val="13"/>
        </w:rPr>
        <w:t>Trustee Companies Act 1984 </w:t>
      </w:r>
      <w:r>
        <w:rPr>
          <w:spacing w:val="2"/>
          <w:w w:val="105"/>
          <w:sz w:val="13"/>
        </w:rPr>
        <w:t>(Vic) </w:t>
      </w:r>
      <w:r>
        <w:rPr>
          <w:w w:val="105"/>
          <w:sz w:val="13"/>
        </w:rPr>
        <w:t>ss </w:t>
      </w:r>
      <w:r>
        <w:rPr>
          <w:spacing w:val="2"/>
          <w:w w:val="105"/>
          <w:sz w:val="13"/>
        </w:rPr>
        <w:t>11A(1)–(3), </w:t>
      </w:r>
      <w:r>
        <w:rPr>
          <w:spacing w:val="3"/>
          <w:w w:val="105"/>
          <w:sz w:val="13"/>
        </w:rPr>
        <w:t>(5)(c). </w:t>
      </w:r>
      <w:r>
        <w:rPr>
          <w:w w:val="105"/>
          <w:sz w:val="13"/>
        </w:rPr>
        <w:t>89</w:t>
        <w:tab/>
        <w:t>Ibid ss </w:t>
      </w:r>
      <w:r>
        <w:rPr>
          <w:spacing w:val="2"/>
          <w:w w:val="105"/>
          <w:sz w:val="13"/>
        </w:rPr>
        <w:t>11A(1)–(2),</w:t>
      </w:r>
      <w:r>
        <w:rPr>
          <w:spacing w:val="12"/>
          <w:w w:val="105"/>
          <w:sz w:val="13"/>
        </w:rPr>
        <w:t> </w:t>
      </w:r>
      <w:r>
        <w:rPr>
          <w:spacing w:val="5"/>
          <w:w w:val="105"/>
          <w:sz w:val="13"/>
        </w:rPr>
        <w:t>(4)–(5).</w:t>
      </w:r>
    </w:p>
    <w:p>
      <w:pPr>
        <w:tabs>
          <w:tab w:pos="2381" w:val="left" w:leader="none"/>
        </w:tabs>
        <w:spacing w:before="2"/>
        <w:ind w:left="1587" w:right="0" w:firstLine="0"/>
        <w:jc w:val="left"/>
        <w:rPr>
          <w:sz w:val="13"/>
        </w:rPr>
      </w:pPr>
      <w:r>
        <w:rPr>
          <w:w w:val="105"/>
          <w:sz w:val="13"/>
        </w:rPr>
        <w:t>90</w:t>
        <w:tab/>
        <w:t>Ibid ss 11A(5)(b),</w:t>
      </w:r>
      <w:r>
        <w:rPr>
          <w:spacing w:val="13"/>
          <w:w w:val="105"/>
          <w:sz w:val="13"/>
        </w:rPr>
        <w:t> </w:t>
      </w:r>
      <w:r>
        <w:rPr>
          <w:spacing w:val="5"/>
          <w:w w:val="105"/>
          <w:sz w:val="13"/>
        </w:rPr>
        <w:t>(6)–(7).</w:t>
      </w:r>
    </w:p>
    <w:p>
      <w:pPr>
        <w:tabs>
          <w:tab w:pos="2381" w:val="left" w:leader="none"/>
        </w:tabs>
        <w:spacing w:before="2"/>
        <w:ind w:left="1587" w:right="0" w:firstLine="0"/>
        <w:jc w:val="left"/>
        <w:rPr>
          <w:sz w:val="13"/>
        </w:rPr>
      </w:pPr>
      <w:r>
        <w:rPr>
          <w:w w:val="105"/>
          <w:sz w:val="13"/>
        </w:rPr>
        <w:t>91</w:t>
        <w:tab/>
        <w:t>Ibid ss</w:t>
      </w:r>
      <w:r>
        <w:rPr>
          <w:spacing w:val="9"/>
          <w:w w:val="105"/>
          <w:sz w:val="13"/>
        </w:rPr>
        <w:t> </w:t>
      </w:r>
      <w:r>
        <w:rPr>
          <w:w w:val="105"/>
          <w:sz w:val="13"/>
        </w:rPr>
        <w:t>11A(8)–(11).</w:t>
      </w:r>
    </w:p>
    <w:p>
      <w:pPr>
        <w:pStyle w:val="ListParagraph"/>
        <w:numPr>
          <w:ilvl w:val="0"/>
          <w:numId w:val="145"/>
        </w:numPr>
        <w:tabs>
          <w:tab w:pos="2381" w:val="left" w:leader="none"/>
          <w:tab w:pos="2382" w:val="left" w:leader="none"/>
        </w:tabs>
        <w:spacing w:line="240" w:lineRule="auto" w:before="1" w:after="0"/>
        <w:ind w:left="2381" w:right="0" w:hanging="794"/>
        <w:jc w:val="left"/>
        <w:rPr>
          <w:sz w:val="13"/>
        </w:rPr>
      </w:pPr>
      <w:r>
        <w:rPr>
          <w:sz w:val="13"/>
        </w:rPr>
        <w:t>Also</w:t>
      </w:r>
      <w:r>
        <w:rPr>
          <w:spacing w:val="7"/>
          <w:sz w:val="13"/>
        </w:rPr>
        <w:t> </w:t>
      </w:r>
      <w:r>
        <w:rPr>
          <w:sz w:val="13"/>
        </w:rPr>
        <w:t>where</w:t>
      </w:r>
      <w:r>
        <w:rPr>
          <w:spacing w:val="7"/>
          <w:sz w:val="13"/>
        </w:rPr>
        <w:t> </w:t>
      </w:r>
      <w:r>
        <w:rPr>
          <w:sz w:val="13"/>
        </w:rPr>
        <w:t>the</w:t>
      </w:r>
      <w:r>
        <w:rPr>
          <w:spacing w:val="7"/>
          <w:sz w:val="13"/>
        </w:rPr>
        <w:t> </w:t>
      </w:r>
      <w:r>
        <w:rPr>
          <w:sz w:val="13"/>
        </w:rPr>
        <w:t>will</w:t>
      </w:r>
      <w:r>
        <w:rPr>
          <w:spacing w:val="8"/>
          <w:sz w:val="13"/>
        </w:rPr>
        <w:t> </w:t>
      </w:r>
      <w:r>
        <w:rPr>
          <w:sz w:val="13"/>
        </w:rPr>
        <w:t>relied</w:t>
      </w:r>
      <w:r>
        <w:rPr>
          <w:spacing w:val="7"/>
          <w:sz w:val="13"/>
        </w:rPr>
        <w:t> </w:t>
      </w:r>
      <w:r>
        <w:rPr>
          <w:sz w:val="13"/>
        </w:rPr>
        <w:t>upon</w:t>
      </w:r>
      <w:r>
        <w:rPr>
          <w:spacing w:val="7"/>
          <w:sz w:val="13"/>
        </w:rPr>
        <w:t> </w:t>
      </w:r>
      <w:r>
        <w:rPr>
          <w:sz w:val="13"/>
        </w:rPr>
        <w:t>has</w:t>
      </w:r>
      <w:r>
        <w:rPr>
          <w:spacing w:val="8"/>
          <w:sz w:val="13"/>
        </w:rPr>
        <w:t> </w:t>
      </w:r>
      <w:r>
        <w:rPr>
          <w:sz w:val="13"/>
        </w:rPr>
        <w:t>been</w:t>
      </w:r>
      <w:r>
        <w:rPr>
          <w:spacing w:val="7"/>
          <w:sz w:val="13"/>
        </w:rPr>
        <w:t> </w:t>
      </w:r>
      <w:r>
        <w:rPr>
          <w:sz w:val="13"/>
        </w:rPr>
        <w:t>revoked</w:t>
      </w:r>
      <w:r>
        <w:rPr>
          <w:spacing w:val="7"/>
          <w:sz w:val="13"/>
        </w:rPr>
        <w:t> </w:t>
      </w:r>
      <w:r>
        <w:rPr>
          <w:sz w:val="13"/>
        </w:rPr>
        <w:t>or</w:t>
      </w:r>
      <w:r>
        <w:rPr>
          <w:spacing w:val="7"/>
          <w:sz w:val="13"/>
        </w:rPr>
        <w:t> </w:t>
      </w:r>
      <w:r>
        <w:rPr>
          <w:sz w:val="13"/>
        </w:rPr>
        <w:t>is</w:t>
      </w:r>
      <w:r>
        <w:rPr>
          <w:spacing w:val="8"/>
          <w:sz w:val="13"/>
        </w:rPr>
        <w:t> </w:t>
      </w:r>
      <w:r>
        <w:rPr>
          <w:sz w:val="13"/>
        </w:rPr>
        <w:t>invalid:</w:t>
      </w:r>
      <w:r>
        <w:rPr>
          <w:spacing w:val="7"/>
          <w:sz w:val="13"/>
        </w:rPr>
        <w:t> </w:t>
      </w:r>
      <w:r>
        <w:rPr>
          <w:sz w:val="13"/>
        </w:rPr>
        <w:t>ibid.</w:t>
      </w:r>
    </w:p>
    <w:p>
      <w:pPr>
        <w:pStyle w:val="ListParagraph"/>
        <w:numPr>
          <w:ilvl w:val="0"/>
          <w:numId w:val="145"/>
        </w:numPr>
        <w:tabs>
          <w:tab w:pos="2381" w:val="left" w:leader="none"/>
          <w:tab w:pos="2382" w:val="left" w:leader="none"/>
        </w:tabs>
        <w:spacing w:line="240" w:lineRule="auto" w:before="1" w:after="0"/>
        <w:ind w:left="2381" w:right="0" w:hanging="794"/>
        <w:jc w:val="left"/>
        <w:rPr>
          <w:sz w:val="13"/>
        </w:rPr>
      </w:pPr>
      <w:r>
        <w:rPr>
          <w:i/>
          <w:w w:val="105"/>
          <w:sz w:val="13"/>
        </w:rPr>
        <w:t>Administration and Probate Act 1958 </w:t>
      </w:r>
      <w:r>
        <w:rPr>
          <w:spacing w:val="2"/>
          <w:w w:val="105"/>
          <w:sz w:val="13"/>
        </w:rPr>
        <w:t>(Vic) </w:t>
      </w:r>
      <w:r>
        <w:rPr>
          <w:w w:val="105"/>
          <w:sz w:val="13"/>
        </w:rPr>
        <w:t>ss 3(1), 71(1)(a). See discussion of this figure in relation to the Probate Office’s small estates service, above at</w:t>
      </w:r>
      <w:r>
        <w:rPr>
          <w:spacing w:val="13"/>
          <w:w w:val="105"/>
          <w:sz w:val="13"/>
        </w:rPr>
        <w:t> </w:t>
      </w:r>
      <w:r>
        <w:rPr>
          <w:w w:val="105"/>
          <w:sz w:val="13"/>
        </w:rPr>
        <w:t>[9.18].</w:t>
      </w:r>
    </w:p>
    <w:p>
      <w:pPr>
        <w:pStyle w:val="BodyText"/>
        <w:rPr>
          <w:sz w:val="28"/>
        </w:rPr>
      </w:pPr>
      <w:r>
        <w:rPr/>
        <w:br w:type="column"/>
      </w:r>
      <w:r>
        <w:rPr>
          <w:sz w:val="28"/>
        </w:rPr>
      </w:r>
    </w:p>
    <w:p>
      <w:pPr>
        <w:pStyle w:val="BodyText"/>
        <w:rPr>
          <w:sz w:val="28"/>
        </w:rPr>
      </w:pPr>
    </w:p>
    <w:p>
      <w:pPr>
        <w:pStyle w:val="BodyText"/>
        <w:rPr>
          <w:sz w:val="28"/>
        </w:rPr>
      </w:pPr>
    </w:p>
    <w:p>
      <w:pPr>
        <w:spacing w:before="198"/>
        <w:ind w:left="883" w:right="0" w:firstLine="0"/>
        <w:jc w:val="left"/>
        <w:rPr>
          <w:b/>
          <w:sz w:val="24"/>
        </w:rPr>
      </w:pPr>
      <w:r>
        <w:rPr>
          <w:b/>
          <w:color w:val="EC5A4F"/>
          <w:w w:val="110"/>
          <w:sz w:val="24"/>
        </w:rPr>
        <w:t>203</w:t>
      </w:r>
    </w:p>
    <w:p>
      <w:pPr>
        <w:spacing w:after="0"/>
        <w:jc w:val="left"/>
        <w:rPr>
          <w:sz w:val="24"/>
        </w:rPr>
        <w:sectPr>
          <w:type w:val="continuous"/>
          <w:pgSz w:w="11910" w:h="16840"/>
          <w:pgMar w:top="920" w:bottom="280" w:left="0" w:right="0"/>
          <w:cols w:num="2" w:equalWidth="0">
            <w:col w:w="9989" w:space="40"/>
            <w:col w:w="1881"/>
          </w:cols>
        </w:sectPr>
      </w:pPr>
    </w:p>
    <w:p>
      <w:pPr>
        <w:pStyle w:val="BodyText"/>
        <w:spacing w:before="9"/>
        <w:rPr>
          <w:b/>
          <w:sz w:val="22"/>
        </w:rPr>
      </w:pPr>
    </w:p>
    <w:p>
      <w:pPr>
        <w:pStyle w:val="ListParagraph"/>
        <w:numPr>
          <w:ilvl w:val="1"/>
          <w:numId w:val="22"/>
        </w:numPr>
        <w:tabs>
          <w:tab w:pos="2381" w:val="left" w:leader="none"/>
          <w:tab w:pos="2382" w:val="left" w:leader="none"/>
        </w:tabs>
        <w:spacing w:line="242" w:lineRule="auto" w:before="92" w:after="0"/>
        <w:ind w:left="2381" w:right="1586" w:hanging="794"/>
        <w:jc w:val="left"/>
        <w:rPr>
          <w:sz w:val="12"/>
        </w:rPr>
      </w:pPr>
      <w:r>
        <w:rPr>
          <w:sz w:val="21"/>
        </w:rPr>
        <w:t>For the authority </w:t>
      </w:r>
      <w:r>
        <w:rPr>
          <w:spacing w:val="-3"/>
          <w:sz w:val="21"/>
        </w:rPr>
        <w:t>to administer to </w:t>
      </w:r>
      <w:r>
        <w:rPr>
          <w:sz w:val="21"/>
        </w:rPr>
        <w:t>be </w:t>
      </w:r>
      <w:r>
        <w:rPr>
          <w:spacing w:val="-3"/>
          <w:sz w:val="21"/>
        </w:rPr>
        <w:t>validly </w:t>
      </w:r>
      <w:r>
        <w:rPr>
          <w:spacing w:val="-2"/>
          <w:sz w:val="21"/>
        </w:rPr>
        <w:t>obtained, </w:t>
      </w:r>
      <w:r>
        <w:rPr>
          <w:spacing w:val="-3"/>
          <w:sz w:val="21"/>
        </w:rPr>
        <w:t>State </w:t>
      </w:r>
      <w:r>
        <w:rPr>
          <w:spacing w:val="-4"/>
          <w:sz w:val="21"/>
        </w:rPr>
        <w:t>Trustees </w:t>
      </w:r>
      <w:r>
        <w:rPr>
          <w:sz w:val="21"/>
        </w:rPr>
        <w:t>must otherwise be </w:t>
      </w:r>
      <w:r>
        <w:rPr>
          <w:spacing w:val="-3"/>
          <w:sz w:val="21"/>
        </w:rPr>
        <w:t>eligible to </w:t>
      </w:r>
      <w:r>
        <w:rPr>
          <w:sz w:val="21"/>
        </w:rPr>
        <w:t>apply </w:t>
      </w:r>
      <w:r>
        <w:rPr>
          <w:spacing w:val="-3"/>
          <w:sz w:val="21"/>
        </w:rPr>
        <w:t>for  </w:t>
      </w:r>
      <w:r>
        <w:rPr>
          <w:sz w:val="21"/>
        </w:rPr>
        <w:t>a </w:t>
      </w:r>
      <w:r>
        <w:rPr>
          <w:spacing w:val="-3"/>
          <w:sz w:val="21"/>
        </w:rPr>
        <w:t>grant</w:t>
      </w:r>
      <w:r>
        <w:rPr>
          <w:spacing w:val="41"/>
          <w:sz w:val="21"/>
        </w:rPr>
        <w:t> </w:t>
      </w:r>
      <w:r>
        <w:rPr>
          <w:sz w:val="21"/>
        </w:rPr>
        <w:t>of </w:t>
      </w:r>
      <w:r>
        <w:rPr>
          <w:spacing w:val="-2"/>
          <w:sz w:val="21"/>
        </w:rPr>
        <w:t>representation </w:t>
      </w:r>
      <w:r>
        <w:rPr>
          <w:position w:val="7"/>
          <w:sz w:val="12"/>
        </w:rPr>
        <w:t>94  </w:t>
      </w:r>
      <w:r>
        <w:rPr>
          <w:sz w:val="21"/>
        </w:rPr>
        <w:t>or </w:t>
      </w:r>
      <w:r>
        <w:rPr>
          <w:spacing w:val="-3"/>
          <w:sz w:val="21"/>
        </w:rPr>
        <w:t>to  </w:t>
      </w:r>
      <w:r>
        <w:rPr>
          <w:sz w:val="21"/>
        </w:rPr>
        <w:t>elect </w:t>
      </w:r>
      <w:r>
        <w:rPr>
          <w:spacing w:val="-3"/>
          <w:sz w:val="21"/>
        </w:rPr>
        <w:t>to  administer  </w:t>
      </w:r>
      <w:r>
        <w:rPr>
          <w:sz w:val="21"/>
        </w:rPr>
        <w:t>under section </w:t>
      </w:r>
      <w:r>
        <w:rPr>
          <w:spacing w:val="-13"/>
          <w:sz w:val="21"/>
        </w:rPr>
        <w:t>11A </w:t>
      </w:r>
      <w:r>
        <w:rPr>
          <w:sz w:val="21"/>
        </w:rPr>
        <w:t>of the </w:t>
      </w:r>
      <w:r>
        <w:rPr>
          <w:spacing w:val="-4"/>
          <w:sz w:val="21"/>
        </w:rPr>
        <w:t>Trustee </w:t>
      </w:r>
      <w:r>
        <w:rPr>
          <w:spacing w:val="-3"/>
          <w:sz w:val="21"/>
        </w:rPr>
        <w:t>Companies </w:t>
      </w:r>
      <w:r>
        <w:rPr>
          <w:sz w:val="21"/>
        </w:rPr>
        <w:t>Act.</w:t>
      </w:r>
      <w:r>
        <w:rPr>
          <w:spacing w:val="-15"/>
          <w:sz w:val="21"/>
        </w:rPr>
        <w:t> </w:t>
      </w:r>
      <w:r>
        <w:rPr>
          <w:position w:val="7"/>
          <w:sz w:val="12"/>
        </w:rPr>
        <w:t>95</w:t>
      </w:r>
    </w:p>
    <w:p>
      <w:pPr>
        <w:pStyle w:val="ListParagraph"/>
        <w:numPr>
          <w:ilvl w:val="1"/>
          <w:numId w:val="22"/>
        </w:numPr>
        <w:tabs>
          <w:tab w:pos="2381" w:val="left" w:leader="none"/>
          <w:tab w:pos="2382" w:val="left" w:leader="none"/>
        </w:tabs>
        <w:spacing w:line="242" w:lineRule="auto" w:before="123" w:after="0"/>
        <w:ind w:left="2381" w:right="1585" w:hanging="794"/>
        <w:jc w:val="left"/>
        <w:rPr>
          <w:sz w:val="12"/>
        </w:rPr>
      </w:pPr>
      <w:r>
        <w:rPr>
          <w:sz w:val="21"/>
        </w:rPr>
        <w:t>Under this process, </w:t>
      </w:r>
      <w:r>
        <w:rPr>
          <w:spacing w:val="-3"/>
          <w:sz w:val="21"/>
        </w:rPr>
        <w:t>State </w:t>
      </w:r>
      <w:r>
        <w:rPr>
          <w:spacing w:val="-4"/>
          <w:sz w:val="21"/>
        </w:rPr>
        <w:t>Trustees  </w:t>
      </w:r>
      <w:r>
        <w:rPr>
          <w:sz w:val="21"/>
        </w:rPr>
        <w:t>is </w:t>
      </w:r>
      <w:r>
        <w:rPr>
          <w:spacing w:val="-2"/>
          <w:sz w:val="21"/>
        </w:rPr>
        <w:t>not  </w:t>
      </w:r>
      <w:r>
        <w:rPr>
          <w:spacing w:val="-3"/>
          <w:sz w:val="21"/>
        </w:rPr>
        <w:t>required  to  </w:t>
      </w:r>
      <w:r>
        <w:rPr>
          <w:sz w:val="21"/>
        </w:rPr>
        <w:t>file anything with the </w:t>
      </w:r>
      <w:r>
        <w:rPr>
          <w:spacing w:val="-3"/>
          <w:sz w:val="21"/>
        </w:rPr>
        <w:t>Court.</w:t>
      </w:r>
      <w:r>
        <w:rPr>
          <w:spacing w:val="41"/>
          <w:sz w:val="21"/>
        </w:rPr>
        <w:t> </w:t>
      </w:r>
      <w:r>
        <w:rPr>
          <w:spacing w:val="-4"/>
          <w:sz w:val="21"/>
        </w:rPr>
        <w:t>However, </w:t>
      </w:r>
      <w:r>
        <w:rPr>
          <w:sz w:val="21"/>
        </w:rPr>
        <w:t>it must give </w:t>
      </w:r>
      <w:r>
        <w:rPr>
          <w:spacing w:val="-3"/>
          <w:sz w:val="21"/>
        </w:rPr>
        <w:t>notice </w:t>
      </w:r>
      <w:r>
        <w:rPr>
          <w:sz w:val="21"/>
        </w:rPr>
        <w:t>of its </w:t>
      </w:r>
      <w:r>
        <w:rPr>
          <w:spacing w:val="-3"/>
          <w:sz w:val="21"/>
        </w:rPr>
        <w:t>intention to  administer  </w:t>
      </w:r>
      <w:r>
        <w:rPr>
          <w:sz w:val="21"/>
        </w:rPr>
        <w:t>by advertising in a </w:t>
      </w:r>
      <w:r>
        <w:rPr>
          <w:spacing w:val="-3"/>
          <w:sz w:val="21"/>
        </w:rPr>
        <w:t>daily</w:t>
      </w:r>
      <w:r>
        <w:rPr>
          <w:spacing w:val="41"/>
          <w:sz w:val="21"/>
        </w:rPr>
        <w:t> </w:t>
      </w:r>
      <w:r>
        <w:rPr>
          <w:spacing w:val="-3"/>
          <w:sz w:val="21"/>
        </w:rPr>
        <w:t>newspaper. </w:t>
      </w:r>
      <w:r>
        <w:rPr>
          <w:sz w:val="21"/>
        </w:rPr>
        <w:t>Fourteen days after the advertisement is </w:t>
      </w:r>
      <w:r>
        <w:rPr>
          <w:spacing w:val="-3"/>
          <w:sz w:val="21"/>
        </w:rPr>
        <w:t>published, State </w:t>
      </w:r>
      <w:r>
        <w:rPr>
          <w:spacing w:val="-4"/>
          <w:sz w:val="21"/>
        </w:rPr>
        <w:t>Trustees </w:t>
      </w:r>
      <w:r>
        <w:rPr>
          <w:spacing w:val="-3"/>
          <w:sz w:val="21"/>
        </w:rPr>
        <w:t>will  </w:t>
      </w:r>
      <w:r>
        <w:rPr>
          <w:sz w:val="21"/>
        </w:rPr>
        <w:t>be </w:t>
      </w:r>
      <w:r>
        <w:rPr>
          <w:spacing w:val="-3"/>
          <w:sz w:val="21"/>
        </w:rPr>
        <w:t>taken</w:t>
      </w:r>
      <w:r>
        <w:rPr>
          <w:spacing w:val="41"/>
          <w:sz w:val="21"/>
        </w:rPr>
        <w:t> </w:t>
      </w:r>
      <w:r>
        <w:rPr>
          <w:spacing w:val="-3"/>
          <w:sz w:val="21"/>
        </w:rPr>
        <w:t>to  have </w:t>
      </w:r>
      <w:r>
        <w:rPr>
          <w:sz w:val="21"/>
        </w:rPr>
        <w:t>been </w:t>
      </w:r>
      <w:r>
        <w:rPr>
          <w:spacing w:val="-3"/>
          <w:sz w:val="21"/>
        </w:rPr>
        <w:t>granted representation. State </w:t>
      </w:r>
      <w:r>
        <w:rPr>
          <w:spacing w:val="-4"/>
          <w:sz w:val="21"/>
        </w:rPr>
        <w:t>Trustees </w:t>
      </w:r>
      <w:r>
        <w:rPr>
          <w:spacing w:val="-3"/>
          <w:sz w:val="21"/>
        </w:rPr>
        <w:t>may </w:t>
      </w:r>
      <w:r>
        <w:rPr>
          <w:sz w:val="21"/>
        </w:rPr>
        <w:t>then proceed as if it </w:t>
      </w:r>
      <w:r>
        <w:rPr>
          <w:spacing w:val="-2"/>
          <w:sz w:val="21"/>
        </w:rPr>
        <w:t>had </w:t>
      </w:r>
      <w:r>
        <w:rPr>
          <w:sz w:val="21"/>
        </w:rPr>
        <w:t>a </w:t>
      </w:r>
      <w:r>
        <w:rPr>
          <w:spacing w:val="-3"/>
          <w:sz w:val="21"/>
        </w:rPr>
        <w:t>grant </w:t>
      </w:r>
      <w:r>
        <w:rPr>
          <w:sz w:val="21"/>
        </w:rPr>
        <w:t>of representation in </w:t>
      </w:r>
      <w:r>
        <w:rPr>
          <w:spacing w:val="-3"/>
          <w:sz w:val="21"/>
        </w:rPr>
        <w:t>relation to that</w:t>
      </w:r>
      <w:r>
        <w:rPr>
          <w:spacing w:val="5"/>
          <w:sz w:val="21"/>
        </w:rPr>
        <w:t> </w:t>
      </w:r>
      <w:r>
        <w:rPr>
          <w:spacing w:val="-3"/>
          <w:sz w:val="21"/>
        </w:rPr>
        <w:t>estate.</w:t>
      </w:r>
      <w:r>
        <w:rPr>
          <w:spacing w:val="-3"/>
          <w:position w:val="7"/>
          <w:sz w:val="12"/>
        </w:rPr>
        <w:t>96</w:t>
      </w:r>
    </w:p>
    <w:p>
      <w:pPr>
        <w:pStyle w:val="BodyText"/>
        <w:spacing w:before="1"/>
        <w:rPr>
          <w:sz w:val="27"/>
        </w:rPr>
      </w:pPr>
    </w:p>
    <w:p>
      <w:pPr>
        <w:pStyle w:val="Heading6"/>
      </w:pPr>
      <w:r>
        <w:rPr>
          <w:w w:val="120"/>
        </w:rPr>
        <w:t>Use of the mechanisms</w:t>
      </w:r>
    </w:p>
    <w:p>
      <w:pPr>
        <w:pStyle w:val="ListParagraph"/>
        <w:numPr>
          <w:ilvl w:val="1"/>
          <w:numId w:val="22"/>
        </w:numPr>
        <w:tabs>
          <w:tab w:pos="2381" w:val="left" w:leader="none"/>
          <w:tab w:pos="2382" w:val="left" w:leader="none"/>
        </w:tabs>
        <w:spacing w:line="242" w:lineRule="auto" w:before="151" w:after="0"/>
        <w:ind w:left="2381" w:right="1629" w:hanging="794"/>
        <w:jc w:val="left"/>
        <w:rPr>
          <w:sz w:val="21"/>
        </w:rPr>
      </w:pPr>
      <w:r>
        <w:rPr>
          <w:sz w:val="21"/>
        </w:rPr>
        <w:t>Section </w:t>
      </w:r>
      <w:r>
        <w:rPr>
          <w:spacing w:val="-13"/>
          <w:sz w:val="21"/>
        </w:rPr>
        <w:t>11A </w:t>
      </w:r>
      <w:r>
        <w:rPr>
          <w:sz w:val="21"/>
        </w:rPr>
        <w:t>was </w:t>
      </w:r>
      <w:r>
        <w:rPr>
          <w:spacing w:val="-3"/>
          <w:sz w:val="21"/>
        </w:rPr>
        <w:t>introduced </w:t>
      </w:r>
      <w:r>
        <w:rPr>
          <w:spacing w:val="-4"/>
          <w:sz w:val="21"/>
        </w:rPr>
        <w:t>into </w:t>
      </w:r>
      <w:r>
        <w:rPr>
          <w:sz w:val="21"/>
        </w:rPr>
        <w:t>the </w:t>
      </w:r>
      <w:r>
        <w:rPr>
          <w:spacing w:val="-4"/>
          <w:sz w:val="21"/>
        </w:rPr>
        <w:t>Trustee </w:t>
      </w:r>
      <w:r>
        <w:rPr>
          <w:spacing w:val="-3"/>
          <w:sz w:val="21"/>
        </w:rPr>
        <w:t>Companies </w:t>
      </w:r>
      <w:r>
        <w:rPr>
          <w:sz w:val="21"/>
        </w:rPr>
        <w:t>Act </w:t>
      </w:r>
      <w:r>
        <w:rPr>
          <w:spacing w:val="-3"/>
          <w:sz w:val="21"/>
        </w:rPr>
        <w:t>to </w:t>
      </w:r>
      <w:r>
        <w:rPr>
          <w:sz w:val="21"/>
        </w:rPr>
        <w:t>provide trustee </w:t>
      </w:r>
      <w:r>
        <w:rPr>
          <w:spacing w:val="-3"/>
          <w:sz w:val="21"/>
        </w:rPr>
        <w:t>companies  </w:t>
      </w:r>
      <w:r>
        <w:rPr>
          <w:sz w:val="21"/>
        </w:rPr>
        <w:t>with </w:t>
      </w:r>
      <w:r>
        <w:rPr>
          <w:spacing w:val="-2"/>
          <w:sz w:val="21"/>
        </w:rPr>
        <w:t>access </w:t>
      </w:r>
      <w:r>
        <w:rPr>
          <w:spacing w:val="-3"/>
          <w:sz w:val="21"/>
        </w:rPr>
        <w:t>to </w:t>
      </w:r>
      <w:r>
        <w:rPr>
          <w:sz w:val="21"/>
        </w:rPr>
        <w:t>a </w:t>
      </w:r>
      <w:r>
        <w:rPr>
          <w:spacing w:val="-3"/>
          <w:sz w:val="21"/>
        </w:rPr>
        <w:t>similar mechanism to </w:t>
      </w:r>
      <w:r>
        <w:rPr>
          <w:sz w:val="21"/>
        </w:rPr>
        <w:t>the </w:t>
      </w:r>
      <w:r>
        <w:rPr>
          <w:spacing w:val="-3"/>
          <w:sz w:val="21"/>
        </w:rPr>
        <w:t>small </w:t>
      </w:r>
      <w:r>
        <w:rPr>
          <w:sz w:val="21"/>
        </w:rPr>
        <w:t>estates </w:t>
      </w:r>
      <w:r>
        <w:rPr>
          <w:spacing w:val="-3"/>
          <w:sz w:val="21"/>
        </w:rPr>
        <w:t>administration </w:t>
      </w:r>
      <w:r>
        <w:rPr>
          <w:sz w:val="21"/>
        </w:rPr>
        <w:t>process </w:t>
      </w:r>
      <w:r>
        <w:rPr>
          <w:spacing w:val="-3"/>
          <w:sz w:val="21"/>
        </w:rPr>
        <w:t>available</w:t>
      </w:r>
    </w:p>
    <w:p>
      <w:pPr>
        <w:pStyle w:val="BodyText"/>
        <w:spacing w:before="3"/>
        <w:ind w:left="2381"/>
      </w:pPr>
      <w:r>
        <w:rPr>
          <w:w w:val="105"/>
        </w:rPr>
        <w:t>to State Trustees under section 79 of the Administration and Probate Act.</w:t>
      </w:r>
    </w:p>
    <w:p>
      <w:pPr>
        <w:pStyle w:val="ListParagraph"/>
        <w:numPr>
          <w:ilvl w:val="1"/>
          <w:numId w:val="22"/>
        </w:numPr>
        <w:tabs>
          <w:tab w:pos="2380" w:val="left" w:leader="none"/>
          <w:tab w:pos="2381" w:val="left" w:leader="none"/>
        </w:tabs>
        <w:spacing w:line="242" w:lineRule="auto" w:before="123" w:after="0"/>
        <w:ind w:left="2381" w:right="2028" w:hanging="794"/>
        <w:jc w:val="left"/>
        <w:rPr>
          <w:sz w:val="21"/>
        </w:rPr>
      </w:pPr>
      <w:r>
        <w:rPr>
          <w:spacing w:val="-4"/>
          <w:w w:val="105"/>
          <w:sz w:val="21"/>
        </w:rPr>
        <w:t>However, </w:t>
      </w:r>
      <w:r>
        <w:rPr>
          <w:w w:val="105"/>
          <w:sz w:val="21"/>
        </w:rPr>
        <w:t>the election </w:t>
      </w:r>
      <w:r>
        <w:rPr>
          <w:spacing w:val="-3"/>
          <w:w w:val="105"/>
          <w:sz w:val="21"/>
        </w:rPr>
        <w:t>to administer </w:t>
      </w:r>
      <w:r>
        <w:rPr>
          <w:w w:val="105"/>
          <w:sz w:val="21"/>
        </w:rPr>
        <w:t>process is </w:t>
      </w:r>
      <w:r>
        <w:rPr>
          <w:spacing w:val="-3"/>
          <w:w w:val="105"/>
          <w:sz w:val="21"/>
        </w:rPr>
        <w:t>rarely </w:t>
      </w:r>
      <w:r>
        <w:rPr>
          <w:w w:val="105"/>
          <w:sz w:val="21"/>
        </w:rPr>
        <w:t>used. Despite the </w:t>
      </w:r>
      <w:r>
        <w:rPr>
          <w:spacing w:val="-3"/>
          <w:w w:val="105"/>
          <w:sz w:val="21"/>
        </w:rPr>
        <w:t>high </w:t>
      </w:r>
      <w:r>
        <w:rPr>
          <w:w w:val="105"/>
          <w:sz w:val="21"/>
        </w:rPr>
        <w:t>number of</w:t>
      </w:r>
      <w:r>
        <w:rPr>
          <w:spacing w:val="-8"/>
          <w:w w:val="105"/>
          <w:sz w:val="21"/>
        </w:rPr>
        <w:t> </w:t>
      </w:r>
      <w:r>
        <w:rPr>
          <w:w w:val="105"/>
          <w:sz w:val="21"/>
        </w:rPr>
        <w:t>estates</w:t>
      </w:r>
      <w:r>
        <w:rPr>
          <w:spacing w:val="-7"/>
          <w:w w:val="105"/>
          <w:sz w:val="21"/>
        </w:rPr>
        <w:t> </w:t>
      </w:r>
      <w:r>
        <w:rPr>
          <w:spacing w:val="-3"/>
          <w:w w:val="105"/>
          <w:sz w:val="21"/>
        </w:rPr>
        <w:t>that</w:t>
      </w:r>
      <w:r>
        <w:rPr>
          <w:spacing w:val="-7"/>
          <w:w w:val="105"/>
          <w:sz w:val="21"/>
        </w:rPr>
        <w:t> </w:t>
      </w:r>
      <w:r>
        <w:rPr>
          <w:w w:val="105"/>
          <w:sz w:val="21"/>
        </w:rPr>
        <w:t>would</w:t>
      </w:r>
      <w:r>
        <w:rPr>
          <w:spacing w:val="-7"/>
          <w:w w:val="105"/>
          <w:sz w:val="21"/>
        </w:rPr>
        <w:t> </w:t>
      </w:r>
      <w:r>
        <w:rPr>
          <w:spacing w:val="-4"/>
          <w:w w:val="105"/>
          <w:sz w:val="21"/>
        </w:rPr>
        <w:t>fall</w:t>
      </w:r>
      <w:r>
        <w:rPr>
          <w:spacing w:val="-8"/>
          <w:w w:val="105"/>
          <w:sz w:val="21"/>
        </w:rPr>
        <w:t> </w:t>
      </w:r>
      <w:r>
        <w:rPr>
          <w:spacing w:val="-3"/>
          <w:w w:val="105"/>
          <w:sz w:val="21"/>
        </w:rPr>
        <w:t>within</w:t>
      </w:r>
      <w:r>
        <w:rPr>
          <w:spacing w:val="-7"/>
          <w:w w:val="105"/>
          <w:sz w:val="21"/>
        </w:rPr>
        <w:t> </w:t>
      </w:r>
      <w:r>
        <w:rPr>
          <w:w w:val="105"/>
          <w:sz w:val="21"/>
        </w:rPr>
        <w:t>the</w:t>
      </w:r>
      <w:r>
        <w:rPr>
          <w:spacing w:val="-7"/>
          <w:w w:val="105"/>
          <w:sz w:val="21"/>
        </w:rPr>
        <w:t> </w:t>
      </w:r>
      <w:r>
        <w:rPr>
          <w:spacing w:val="-3"/>
          <w:w w:val="105"/>
          <w:sz w:val="21"/>
        </w:rPr>
        <w:t>threshold</w:t>
      </w:r>
      <w:r>
        <w:rPr>
          <w:spacing w:val="-7"/>
          <w:w w:val="105"/>
          <w:sz w:val="21"/>
        </w:rPr>
        <w:t> </w:t>
      </w:r>
      <w:r>
        <w:rPr>
          <w:spacing w:val="-3"/>
          <w:w w:val="105"/>
          <w:sz w:val="21"/>
        </w:rPr>
        <w:t>for</w:t>
      </w:r>
      <w:r>
        <w:rPr>
          <w:spacing w:val="-7"/>
          <w:w w:val="105"/>
          <w:sz w:val="21"/>
        </w:rPr>
        <w:t> </w:t>
      </w:r>
      <w:r>
        <w:rPr>
          <w:w w:val="105"/>
          <w:sz w:val="21"/>
        </w:rPr>
        <w:t>election</w:t>
      </w:r>
      <w:r>
        <w:rPr>
          <w:spacing w:val="-8"/>
          <w:w w:val="105"/>
          <w:sz w:val="21"/>
        </w:rPr>
        <w:t> </w:t>
      </w:r>
      <w:r>
        <w:rPr>
          <w:spacing w:val="-3"/>
          <w:w w:val="105"/>
          <w:sz w:val="21"/>
        </w:rPr>
        <w:t>to</w:t>
      </w:r>
      <w:r>
        <w:rPr>
          <w:spacing w:val="-7"/>
          <w:w w:val="105"/>
          <w:sz w:val="21"/>
        </w:rPr>
        <w:t> </w:t>
      </w:r>
      <w:r>
        <w:rPr>
          <w:spacing w:val="-4"/>
          <w:w w:val="105"/>
          <w:sz w:val="21"/>
        </w:rPr>
        <w:t>administer,</w:t>
      </w:r>
      <w:r>
        <w:rPr>
          <w:spacing w:val="-7"/>
          <w:w w:val="105"/>
          <w:sz w:val="21"/>
        </w:rPr>
        <w:t> </w:t>
      </w:r>
      <w:r>
        <w:rPr>
          <w:w w:val="105"/>
          <w:sz w:val="21"/>
        </w:rPr>
        <w:t>the</w:t>
      </w:r>
      <w:r>
        <w:rPr>
          <w:spacing w:val="-7"/>
          <w:w w:val="105"/>
          <w:sz w:val="21"/>
        </w:rPr>
        <w:t> </w:t>
      </w:r>
      <w:r>
        <w:rPr>
          <w:w w:val="105"/>
          <w:sz w:val="21"/>
        </w:rPr>
        <w:t>Registrar of</w:t>
      </w:r>
      <w:r>
        <w:rPr>
          <w:spacing w:val="-7"/>
          <w:w w:val="105"/>
          <w:sz w:val="21"/>
        </w:rPr>
        <w:t> </w:t>
      </w:r>
      <w:r>
        <w:rPr>
          <w:w w:val="105"/>
          <w:sz w:val="21"/>
        </w:rPr>
        <w:t>Probates</w:t>
      </w:r>
      <w:r>
        <w:rPr>
          <w:spacing w:val="-6"/>
          <w:w w:val="105"/>
          <w:sz w:val="21"/>
        </w:rPr>
        <w:t> </w:t>
      </w:r>
      <w:r>
        <w:rPr>
          <w:spacing w:val="-2"/>
          <w:w w:val="105"/>
          <w:sz w:val="21"/>
        </w:rPr>
        <w:t>has</w:t>
      </w:r>
      <w:r>
        <w:rPr>
          <w:spacing w:val="-6"/>
          <w:w w:val="105"/>
          <w:sz w:val="21"/>
        </w:rPr>
        <w:t> </w:t>
      </w:r>
      <w:r>
        <w:rPr>
          <w:spacing w:val="-3"/>
          <w:w w:val="105"/>
          <w:sz w:val="21"/>
        </w:rPr>
        <w:t>informed</w:t>
      </w:r>
      <w:r>
        <w:rPr>
          <w:spacing w:val="-6"/>
          <w:w w:val="105"/>
          <w:sz w:val="21"/>
        </w:rPr>
        <w:t> </w:t>
      </w:r>
      <w:r>
        <w:rPr>
          <w:w w:val="105"/>
          <w:sz w:val="21"/>
        </w:rPr>
        <w:t>the</w:t>
      </w:r>
      <w:r>
        <w:rPr>
          <w:spacing w:val="-6"/>
          <w:w w:val="105"/>
          <w:sz w:val="21"/>
        </w:rPr>
        <w:t> </w:t>
      </w:r>
      <w:r>
        <w:rPr>
          <w:spacing w:val="-3"/>
          <w:w w:val="105"/>
          <w:sz w:val="21"/>
        </w:rPr>
        <w:t>Commission</w:t>
      </w:r>
      <w:r>
        <w:rPr>
          <w:spacing w:val="-6"/>
          <w:w w:val="105"/>
          <w:sz w:val="21"/>
        </w:rPr>
        <w:t> </w:t>
      </w:r>
      <w:r>
        <w:rPr>
          <w:spacing w:val="-3"/>
          <w:w w:val="105"/>
          <w:sz w:val="21"/>
        </w:rPr>
        <w:t>that</w:t>
      </w:r>
      <w:r>
        <w:rPr>
          <w:spacing w:val="-6"/>
          <w:w w:val="105"/>
          <w:sz w:val="21"/>
        </w:rPr>
        <w:t> </w:t>
      </w:r>
      <w:r>
        <w:rPr>
          <w:w w:val="105"/>
          <w:sz w:val="21"/>
        </w:rPr>
        <w:t>there</w:t>
      </w:r>
      <w:r>
        <w:rPr>
          <w:spacing w:val="-6"/>
          <w:w w:val="105"/>
          <w:sz w:val="21"/>
        </w:rPr>
        <w:t> </w:t>
      </w:r>
      <w:r>
        <w:rPr>
          <w:spacing w:val="-3"/>
          <w:w w:val="105"/>
          <w:sz w:val="21"/>
        </w:rPr>
        <w:t>have</w:t>
      </w:r>
      <w:r>
        <w:rPr>
          <w:spacing w:val="-6"/>
          <w:w w:val="105"/>
          <w:sz w:val="21"/>
        </w:rPr>
        <w:t> </w:t>
      </w:r>
      <w:r>
        <w:rPr>
          <w:w w:val="105"/>
          <w:sz w:val="21"/>
        </w:rPr>
        <w:t>been</w:t>
      </w:r>
      <w:r>
        <w:rPr>
          <w:spacing w:val="-6"/>
          <w:w w:val="105"/>
          <w:sz w:val="21"/>
        </w:rPr>
        <w:t> </w:t>
      </w:r>
      <w:r>
        <w:rPr>
          <w:w w:val="105"/>
          <w:sz w:val="21"/>
        </w:rPr>
        <w:t>only</w:t>
      </w:r>
      <w:r>
        <w:rPr>
          <w:spacing w:val="-6"/>
          <w:w w:val="105"/>
          <w:sz w:val="21"/>
        </w:rPr>
        <w:t> </w:t>
      </w:r>
      <w:r>
        <w:rPr>
          <w:w w:val="105"/>
          <w:sz w:val="21"/>
        </w:rPr>
        <w:t>two</w:t>
      </w:r>
      <w:r>
        <w:rPr>
          <w:spacing w:val="-6"/>
          <w:w w:val="105"/>
          <w:sz w:val="21"/>
        </w:rPr>
        <w:t> </w:t>
      </w:r>
      <w:r>
        <w:rPr>
          <w:w w:val="105"/>
          <w:sz w:val="21"/>
        </w:rPr>
        <w:t>elections</w:t>
      </w:r>
      <w:r>
        <w:rPr>
          <w:spacing w:val="-6"/>
          <w:w w:val="105"/>
          <w:sz w:val="21"/>
        </w:rPr>
        <w:t> </w:t>
      </w:r>
      <w:r>
        <w:rPr>
          <w:spacing w:val="-3"/>
          <w:w w:val="105"/>
          <w:sz w:val="21"/>
        </w:rPr>
        <w:t>to administer </w:t>
      </w:r>
      <w:r>
        <w:rPr>
          <w:w w:val="105"/>
          <w:sz w:val="21"/>
        </w:rPr>
        <w:t>filed </w:t>
      </w:r>
      <w:r>
        <w:rPr>
          <w:spacing w:val="-3"/>
          <w:w w:val="105"/>
          <w:sz w:val="21"/>
        </w:rPr>
        <w:t>since </w:t>
      </w:r>
      <w:r>
        <w:rPr>
          <w:w w:val="105"/>
          <w:sz w:val="21"/>
        </w:rPr>
        <w:t>the </w:t>
      </w:r>
      <w:r>
        <w:rPr>
          <w:spacing w:val="-4"/>
          <w:w w:val="105"/>
          <w:sz w:val="21"/>
        </w:rPr>
        <w:t>provision’s </w:t>
      </w:r>
      <w:r>
        <w:rPr>
          <w:spacing w:val="-3"/>
          <w:w w:val="105"/>
          <w:sz w:val="21"/>
        </w:rPr>
        <w:t>introduction.</w:t>
      </w:r>
      <w:r>
        <w:rPr>
          <w:spacing w:val="-3"/>
          <w:w w:val="105"/>
          <w:position w:val="7"/>
          <w:sz w:val="12"/>
        </w:rPr>
        <w:t>97 </w:t>
      </w:r>
      <w:r>
        <w:rPr>
          <w:w w:val="105"/>
          <w:sz w:val="21"/>
        </w:rPr>
        <w:t>Reasons </w:t>
      </w:r>
      <w:r>
        <w:rPr>
          <w:spacing w:val="-3"/>
          <w:w w:val="105"/>
          <w:sz w:val="21"/>
        </w:rPr>
        <w:t>for </w:t>
      </w:r>
      <w:r>
        <w:rPr>
          <w:w w:val="105"/>
          <w:sz w:val="21"/>
        </w:rPr>
        <w:t>this</w:t>
      </w:r>
      <w:r>
        <w:rPr>
          <w:spacing w:val="22"/>
          <w:w w:val="105"/>
          <w:sz w:val="21"/>
        </w:rPr>
        <w:t> </w:t>
      </w:r>
      <w:r>
        <w:rPr>
          <w:w w:val="105"/>
          <w:sz w:val="21"/>
        </w:rPr>
        <w:t>are:</w:t>
      </w:r>
    </w:p>
    <w:p>
      <w:pPr>
        <w:pStyle w:val="BodyText"/>
        <w:spacing w:line="242" w:lineRule="auto" w:before="5"/>
        <w:ind w:left="2381" w:right="2727"/>
      </w:pPr>
      <w:r>
        <w:rPr/>
        <w:t>Private trustee </w:t>
      </w:r>
      <w:r>
        <w:rPr>
          <w:spacing w:val="-3"/>
        </w:rPr>
        <w:t>companies have </w:t>
      </w:r>
      <w:r>
        <w:rPr/>
        <w:t>no </w:t>
      </w:r>
      <w:r>
        <w:rPr>
          <w:spacing w:val="-3"/>
        </w:rPr>
        <w:t>commercial interest </w:t>
      </w:r>
      <w:r>
        <w:rPr/>
        <w:t>in </w:t>
      </w:r>
      <w:r>
        <w:rPr>
          <w:spacing w:val="-3"/>
        </w:rPr>
        <w:t>administering  </w:t>
      </w:r>
      <w:r>
        <w:rPr/>
        <w:t>estates of </w:t>
      </w:r>
      <w:r>
        <w:rPr>
          <w:spacing w:val="-3"/>
        </w:rPr>
        <w:t>such </w:t>
      </w:r>
      <w:r>
        <w:rPr/>
        <w:t>a </w:t>
      </w:r>
      <w:r>
        <w:rPr>
          <w:spacing w:val="-3"/>
        </w:rPr>
        <w:t>small</w:t>
      </w:r>
      <w:r>
        <w:rPr>
          <w:spacing w:val="37"/>
        </w:rPr>
        <w:t> </w:t>
      </w:r>
      <w:r>
        <w:rPr>
          <w:spacing w:val="-4"/>
        </w:rPr>
        <w:t>size.</w:t>
      </w:r>
    </w:p>
    <w:p>
      <w:pPr>
        <w:pStyle w:val="ListParagraph"/>
        <w:numPr>
          <w:ilvl w:val="2"/>
          <w:numId w:val="22"/>
        </w:numPr>
        <w:tabs>
          <w:tab w:pos="2721" w:val="left" w:leader="none"/>
          <w:tab w:pos="2722" w:val="left" w:leader="none"/>
        </w:tabs>
        <w:spacing w:line="242" w:lineRule="auto" w:before="122" w:after="0"/>
        <w:ind w:left="2721" w:right="1953" w:hanging="340"/>
        <w:jc w:val="left"/>
        <w:rPr>
          <w:sz w:val="21"/>
        </w:rPr>
      </w:pPr>
      <w:r>
        <w:rPr>
          <w:spacing w:val="-3"/>
          <w:w w:val="105"/>
          <w:sz w:val="21"/>
        </w:rPr>
        <w:t>State</w:t>
      </w:r>
      <w:r>
        <w:rPr>
          <w:spacing w:val="-10"/>
          <w:w w:val="105"/>
          <w:sz w:val="21"/>
        </w:rPr>
        <w:t> </w:t>
      </w:r>
      <w:r>
        <w:rPr>
          <w:spacing w:val="-4"/>
          <w:w w:val="105"/>
          <w:sz w:val="21"/>
        </w:rPr>
        <w:t>Trustees</w:t>
      </w:r>
      <w:r>
        <w:rPr>
          <w:spacing w:val="-10"/>
          <w:w w:val="105"/>
          <w:sz w:val="21"/>
        </w:rPr>
        <w:t> </w:t>
      </w:r>
      <w:r>
        <w:rPr>
          <w:w w:val="105"/>
          <w:sz w:val="21"/>
        </w:rPr>
        <w:t>prefers</w:t>
      </w:r>
      <w:r>
        <w:rPr>
          <w:spacing w:val="-10"/>
          <w:w w:val="105"/>
          <w:sz w:val="21"/>
        </w:rPr>
        <w:t> </w:t>
      </w:r>
      <w:r>
        <w:rPr>
          <w:w w:val="105"/>
          <w:sz w:val="21"/>
        </w:rPr>
        <w:t>the</w:t>
      </w:r>
      <w:r>
        <w:rPr>
          <w:spacing w:val="-9"/>
          <w:w w:val="105"/>
          <w:sz w:val="21"/>
        </w:rPr>
        <w:t> </w:t>
      </w:r>
      <w:r>
        <w:rPr>
          <w:spacing w:val="-3"/>
          <w:w w:val="105"/>
          <w:sz w:val="21"/>
        </w:rPr>
        <w:t>simpler</w:t>
      </w:r>
      <w:r>
        <w:rPr>
          <w:spacing w:val="-10"/>
          <w:w w:val="105"/>
          <w:sz w:val="21"/>
        </w:rPr>
        <w:t> </w:t>
      </w:r>
      <w:r>
        <w:rPr>
          <w:w w:val="105"/>
          <w:sz w:val="21"/>
        </w:rPr>
        <w:t>and</w:t>
      </w:r>
      <w:r>
        <w:rPr>
          <w:spacing w:val="-10"/>
          <w:w w:val="105"/>
          <w:sz w:val="21"/>
        </w:rPr>
        <w:t> </w:t>
      </w:r>
      <w:r>
        <w:rPr>
          <w:w w:val="105"/>
          <w:sz w:val="21"/>
        </w:rPr>
        <w:t>cheaper</w:t>
      </w:r>
      <w:r>
        <w:rPr>
          <w:spacing w:val="-9"/>
          <w:w w:val="105"/>
          <w:sz w:val="21"/>
        </w:rPr>
        <w:t> </w:t>
      </w:r>
      <w:r>
        <w:rPr>
          <w:w w:val="105"/>
          <w:sz w:val="21"/>
        </w:rPr>
        <w:t>process</w:t>
      </w:r>
      <w:r>
        <w:rPr>
          <w:spacing w:val="-10"/>
          <w:w w:val="105"/>
          <w:sz w:val="21"/>
        </w:rPr>
        <w:t> </w:t>
      </w:r>
      <w:r>
        <w:rPr>
          <w:w w:val="105"/>
          <w:sz w:val="21"/>
        </w:rPr>
        <w:t>open</w:t>
      </w:r>
      <w:r>
        <w:rPr>
          <w:spacing w:val="-10"/>
          <w:w w:val="105"/>
          <w:sz w:val="21"/>
        </w:rPr>
        <w:t> </w:t>
      </w:r>
      <w:r>
        <w:rPr>
          <w:spacing w:val="-3"/>
          <w:w w:val="105"/>
          <w:sz w:val="21"/>
        </w:rPr>
        <w:t>to</w:t>
      </w:r>
      <w:r>
        <w:rPr>
          <w:spacing w:val="-9"/>
          <w:w w:val="105"/>
          <w:sz w:val="21"/>
        </w:rPr>
        <w:t> </w:t>
      </w:r>
      <w:r>
        <w:rPr>
          <w:w w:val="105"/>
          <w:sz w:val="21"/>
        </w:rPr>
        <w:t>it</w:t>
      </w:r>
      <w:r>
        <w:rPr>
          <w:spacing w:val="-10"/>
          <w:w w:val="105"/>
          <w:sz w:val="21"/>
        </w:rPr>
        <w:t> </w:t>
      </w:r>
      <w:r>
        <w:rPr>
          <w:w w:val="105"/>
          <w:sz w:val="21"/>
        </w:rPr>
        <w:t>under</w:t>
      </w:r>
      <w:r>
        <w:rPr>
          <w:spacing w:val="-10"/>
          <w:w w:val="105"/>
          <w:sz w:val="21"/>
        </w:rPr>
        <w:t> </w:t>
      </w:r>
      <w:r>
        <w:rPr>
          <w:w w:val="105"/>
          <w:sz w:val="21"/>
        </w:rPr>
        <w:t>section</w:t>
      </w:r>
      <w:r>
        <w:rPr>
          <w:spacing w:val="-9"/>
          <w:w w:val="105"/>
          <w:sz w:val="21"/>
        </w:rPr>
        <w:t> </w:t>
      </w:r>
      <w:r>
        <w:rPr>
          <w:spacing w:val="-3"/>
          <w:w w:val="105"/>
          <w:sz w:val="21"/>
        </w:rPr>
        <w:t>79 </w:t>
      </w:r>
      <w:r>
        <w:rPr>
          <w:w w:val="105"/>
          <w:sz w:val="21"/>
        </w:rPr>
        <w:t>of the </w:t>
      </w:r>
      <w:r>
        <w:rPr>
          <w:spacing w:val="-3"/>
          <w:w w:val="105"/>
          <w:sz w:val="21"/>
        </w:rPr>
        <w:t>Administration </w:t>
      </w:r>
      <w:r>
        <w:rPr>
          <w:w w:val="105"/>
          <w:sz w:val="21"/>
        </w:rPr>
        <w:t>and </w:t>
      </w:r>
      <w:r>
        <w:rPr>
          <w:spacing w:val="-3"/>
          <w:w w:val="105"/>
          <w:sz w:val="21"/>
        </w:rPr>
        <w:t>Probate</w:t>
      </w:r>
      <w:r>
        <w:rPr>
          <w:spacing w:val="28"/>
          <w:w w:val="105"/>
          <w:sz w:val="21"/>
        </w:rPr>
        <w:t> </w:t>
      </w:r>
      <w:r>
        <w:rPr>
          <w:w w:val="105"/>
          <w:sz w:val="21"/>
        </w:rPr>
        <w:t>Act.</w:t>
      </w:r>
    </w:p>
    <w:p>
      <w:pPr>
        <w:pStyle w:val="ListParagraph"/>
        <w:numPr>
          <w:ilvl w:val="1"/>
          <w:numId w:val="22"/>
        </w:numPr>
        <w:tabs>
          <w:tab w:pos="2381" w:val="left" w:leader="none"/>
          <w:tab w:pos="2382" w:val="left" w:leader="none"/>
        </w:tabs>
        <w:spacing w:line="242" w:lineRule="auto" w:before="122" w:after="0"/>
        <w:ind w:left="2381" w:right="1765" w:hanging="794"/>
        <w:jc w:val="left"/>
        <w:rPr>
          <w:sz w:val="12"/>
        </w:rPr>
      </w:pPr>
      <w:r>
        <w:rPr>
          <w:spacing w:val="-3"/>
          <w:w w:val="105"/>
          <w:sz w:val="21"/>
        </w:rPr>
        <w:t>Figures </w:t>
      </w:r>
      <w:r>
        <w:rPr>
          <w:w w:val="105"/>
          <w:sz w:val="21"/>
        </w:rPr>
        <w:t>provided </w:t>
      </w:r>
      <w:r>
        <w:rPr>
          <w:spacing w:val="-3"/>
          <w:w w:val="105"/>
          <w:sz w:val="21"/>
        </w:rPr>
        <w:t>to </w:t>
      </w:r>
      <w:r>
        <w:rPr>
          <w:w w:val="105"/>
          <w:sz w:val="21"/>
        </w:rPr>
        <w:t>the </w:t>
      </w:r>
      <w:r>
        <w:rPr>
          <w:spacing w:val="-3"/>
          <w:w w:val="105"/>
          <w:sz w:val="21"/>
        </w:rPr>
        <w:t>Commission </w:t>
      </w:r>
      <w:r>
        <w:rPr>
          <w:w w:val="105"/>
          <w:sz w:val="21"/>
        </w:rPr>
        <w:t>by </w:t>
      </w:r>
      <w:r>
        <w:rPr>
          <w:spacing w:val="-3"/>
          <w:w w:val="105"/>
          <w:sz w:val="21"/>
        </w:rPr>
        <w:t>State </w:t>
      </w:r>
      <w:r>
        <w:rPr>
          <w:spacing w:val="-4"/>
          <w:w w:val="105"/>
          <w:sz w:val="21"/>
        </w:rPr>
        <w:t>Trustees </w:t>
      </w:r>
      <w:r>
        <w:rPr>
          <w:w w:val="105"/>
          <w:sz w:val="21"/>
        </w:rPr>
        <w:t>suggest </w:t>
      </w:r>
      <w:r>
        <w:rPr>
          <w:spacing w:val="-3"/>
          <w:w w:val="105"/>
          <w:sz w:val="21"/>
        </w:rPr>
        <w:t>that </w:t>
      </w:r>
      <w:r>
        <w:rPr>
          <w:w w:val="105"/>
          <w:sz w:val="21"/>
        </w:rPr>
        <w:t>the section </w:t>
      </w:r>
      <w:r>
        <w:rPr>
          <w:spacing w:val="-3"/>
          <w:w w:val="105"/>
          <w:sz w:val="21"/>
        </w:rPr>
        <w:t>79 </w:t>
      </w:r>
      <w:r>
        <w:rPr>
          <w:w w:val="105"/>
          <w:sz w:val="21"/>
        </w:rPr>
        <w:t>grants process is </w:t>
      </w:r>
      <w:r>
        <w:rPr>
          <w:spacing w:val="-3"/>
          <w:w w:val="105"/>
          <w:sz w:val="21"/>
        </w:rPr>
        <w:t>frequently</w:t>
      </w:r>
      <w:r>
        <w:rPr>
          <w:spacing w:val="14"/>
          <w:w w:val="105"/>
          <w:sz w:val="21"/>
        </w:rPr>
        <w:t> </w:t>
      </w:r>
      <w:r>
        <w:rPr>
          <w:w w:val="105"/>
          <w:sz w:val="21"/>
        </w:rPr>
        <w:t>used.</w:t>
      </w:r>
      <w:r>
        <w:rPr>
          <w:w w:val="105"/>
          <w:position w:val="7"/>
          <w:sz w:val="12"/>
        </w:rPr>
        <w:t>98</w:t>
      </w:r>
    </w:p>
    <w:p>
      <w:pPr>
        <w:pStyle w:val="BodyText"/>
        <w:spacing w:before="10"/>
        <w:rPr>
          <w:sz w:val="26"/>
        </w:rPr>
      </w:pPr>
    </w:p>
    <w:p>
      <w:pPr>
        <w:pStyle w:val="Heading6"/>
      </w:pPr>
      <w:r>
        <w:rPr>
          <w:w w:val="115"/>
        </w:rPr>
        <w:t>Procedural integrity</w:t>
      </w:r>
    </w:p>
    <w:p>
      <w:pPr>
        <w:pStyle w:val="ListParagraph"/>
        <w:numPr>
          <w:ilvl w:val="1"/>
          <w:numId w:val="22"/>
        </w:numPr>
        <w:tabs>
          <w:tab w:pos="2381" w:val="left" w:leader="none"/>
          <w:tab w:pos="2382" w:val="left" w:leader="none"/>
        </w:tabs>
        <w:spacing w:line="242" w:lineRule="auto" w:before="151" w:after="0"/>
        <w:ind w:left="2381" w:right="1667" w:hanging="794"/>
        <w:jc w:val="left"/>
        <w:rPr>
          <w:sz w:val="21"/>
        </w:rPr>
      </w:pPr>
      <w:r>
        <w:rPr>
          <w:w w:val="105"/>
          <w:sz w:val="21"/>
        </w:rPr>
        <w:t>Both of these </w:t>
      </w:r>
      <w:r>
        <w:rPr>
          <w:spacing w:val="-3"/>
          <w:w w:val="105"/>
          <w:sz w:val="21"/>
        </w:rPr>
        <w:t>mechanisms have </w:t>
      </w:r>
      <w:r>
        <w:rPr>
          <w:w w:val="105"/>
          <w:sz w:val="21"/>
        </w:rPr>
        <w:t>been criticised by the Registrar of Probates as </w:t>
      </w:r>
      <w:r>
        <w:rPr>
          <w:spacing w:val="-3"/>
          <w:w w:val="105"/>
          <w:sz w:val="21"/>
        </w:rPr>
        <w:t>lacking </w:t>
      </w:r>
      <w:r>
        <w:rPr>
          <w:w w:val="105"/>
          <w:sz w:val="21"/>
        </w:rPr>
        <w:t>in </w:t>
      </w:r>
      <w:r>
        <w:rPr>
          <w:spacing w:val="-3"/>
          <w:w w:val="105"/>
          <w:sz w:val="21"/>
        </w:rPr>
        <w:t>procedural</w:t>
      </w:r>
      <w:r>
        <w:rPr>
          <w:spacing w:val="-6"/>
          <w:w w:val="105"/>
          <w:sz w:val="21"/>
        </w:rPr>
        <w:t> </w:t>
      </w:r>
      <w:r>
        <w:rPr>
          <w:spacing w:val="-4"/>
          <w:w w:val="105"/>
          <w:sz w:val="21"/>
        </w:rPr>
        <w:t>integrity.</w:t>
      </w:r>
      <w:r>
        <w:rPr>
          <w:spacing w:val="-6"/>
          <w:w w:val="105"/>
          <w:sz w:val="21"/>
        </w:rPr>
        <w:t> </w:t>
      </w:r>
      <w:r>
        <w:rPr>
          <w:w w:val="105"/>
          <w:sz w:val="21"/>
        </w:rPr>
        <w:t>The</w:t>
      </w:r>
      <w:r>
        <w:rPr>
          <w:spacing w:val="-6"/>
          <w:w w:val="105"/>
          <w:sz w:val="21"/>
        </w:rPr>
        <w:t> </w:t>
      </w:r>
      <w:r>
        <w:rPr>
          <w:spacing w:val="-3"/>
          <w:w w:val="105"/>
          <w:sz w:val="21"/>
        </w:rPr>
        <w:t>Registrar’s</w:t>
      </w:r>
      <w:r>
        <w:rPr>
          <w:spacing w:val="-6"/>
          <w:w w:val="105"/>
          <w:sz w:val="21"/>
        </w:rPr>
        <w:t> </w:t>
      </w:r>
      <w:r>
        <w:rPr>
          <w:spacing w:val="-3"/>
          <w:w w:val="105"/>
          <w:sz w:val="21"/>
        </w:rPr>
        <w:t>main</w:t>
      </w:r>
      <w:r>
        <w:rPr>
          <w:spacing w:val="-6"/>
          <w:w w:val="105"/>
          <w:sz w:val="21"/>
        </w:rPr>
        <w:t> </w:t>
      </w:r>
      <w:r>
        <w:rPr>
          <w:spacing w:val="-3"/>
          <w:w w:val="105"/>
          <w:sz w:val="21"/>
        </w:rPr>
        <w:t>criticisms</w:t>
      </w:r>
      <w:r>
        <w:rPr>
          <w:spacing w:val="-6"/>
          <w:w w:val="105"/>
          <w:sz w:val="21"/>
        </w:rPr>
        <w:t> </w:t>
      </w:r>
      <w:r>
        <w:rPr>
          <w:w w:val="105"/>
          <w:sz w:val="21"/>
        </w:rPr>
        <w:t>of</w:t>
      </w:r>
      <w:r>
        <w:rPr>
          <w:spacing w:val="-6"/>
          <w:w w:val="105"/>
          <w:sz w:val="21"/>
        </w:rPr>
        <w:t> </w:t>
      </w:r>
      <w:r>
        <w:rPr>
          <w:w w:val="105"/>
          <w:sz w:val="21"/>
        </w:rPr>
        <w:t>the</w:t>
      </w:r>
      <w:r>
        <w:rPr>
          <w:spacing w:val="-6"/>
          <w:w w:val="105"/>
          <w:sz w:val="21"/>
        </w:rPr>
        <w:t> </w:t>
      </w:r>
      <w:r>
        <w:rPr>
          <w:w w:val="105"/>
          <w:sz w:val="21"/>
        </w:rPr>
        <w:t>process</w:t>
      </w:r>
      <w:r>
        <w:rPr>
          <w:spacing w:val="-6"/>
          <w:w w:val="105"/>
          <w:sz w:val="21"/>
        </w:rPr>
        <w:t> </w:t>
      </w:r>
      <w:r>
        <w:rPr>
          <w:w w:val="105"/>
          <w:sz w:val="21"/>
        </w:rPr>
        <w:t>under</w:t>
      </w:r>
      <w:r>
        <w:rPr>
          <w:spacing w:val="-6"/>
          <w:w w:val="105"/>
          <w:sz w:val="21"/>
        </w:rPr>
        <w:t> </w:t>
      </w:r>
      <w:r>
        <w:rPr>
          <w:w w:val="105"/>
          <w:sz w:val="21"/>
        </w:rPr>
        <w:t>section</w:t>
      </w:r>
      <w:r>
        <w:rPr>
          <w:spacing w:val="-6"/>
          <w:w w:val="105"/>
          <w:sz w:val="21"/>
        </w:rPr>
        <w:t> </w:t>
      </w:r>
      <w:r>
        <w:rPr>
          <w:spacing w:val="-3"/>
          <w:w w:val="105"/>
          <w:sz w:val="21"/>
        </w:rPr>
        <w:t>79</w:t>
      </w:r>
      <w:r>
        <w:rPr>
          <w:spacing w:val="-6"/>
          <w:w w:val="105"/>
          <w:sz w:val="21"/>
        </w:rPr>
        <w:t> </w:t>
      </w:r>
      <w:r>
        <w:rPr>
          <w:w w:val="105"/>
          <w:sz w:val="21"/>
        </w:rPr>
        <w:t>of</w:t>
      </w:r>
      <w:r>
        <w:rPr>
          <w:spacing w:val="-6"/>
          <w:w w:val="105"/>
          <w:sz w:val="21"/>
        </w:rPr>
        <w:t> </w:t>
      </w:r>
      <w:r>
        <w:rPr>
          <w:w w:val="105"/>
          <w:sz w:val="21"/>
        </w:rPr>
        <w:t>the </w:t>
      </w:r>
      <w:r>
        <w:rPr>
          <w:spacing w:val="-3"/>
          <w:w w:val="105"/>
          <w:sz w:val="21"/>
        </w:rPr>
        <w:t>Administration </w:t>
      </w:r>
      <w:r>
        <w:rPr>
          <w:w w:val="105"/>
          <w:sz w:val="21"/>
        </w:rPr>
        <w:t>and </w:t>
      </w:r>
      <w:r>
        <w:rPr>
          <w:spacing w:val="-3"/>
          <w:w w:val="105"/>
          <w:sz w:val="21"/>
        </w:rPr>
        <w:t>Probate </w:t>
      </w:r>
      <w:r>
        <w:rPr>
          <w:w w:val="105"/>
          <w:sz w:val="21"/>
        </w:rPr>
        <w:t>Act</w:t>
      </w:r>
      <w:r>
        <w:rPr>
          <w:spacing w:val="26"/>
          <w:w w:val="105"/>
          <w:sz w:val="21"/>
        </w:rPr>
        <w:t> </w:t>
      </w:r>
      <w:r>
        <w:rPr>
          <w:w w:val="105"/>
          <w:sz w:val="21"/>
        </w:rPr>
        <w:t>are:</w:t>
      </w:r>
    </w:p>
    <w:p>
      <w:pPr>
        <w:pStyle w:val="ListParagraph"/>
        <w:numPr>
          <w:ilvl w:val="2"/>
          <w:numId w:val="22"/>
        </w:numPr>
        <w:tabs>
          <w:tab w:pos="2721" w:val="left" w:leader="none"/>
          <w:tab w:pos="2722" w:val="left" w:leader="none"/>
        </w:tabs>
        <w:spacing w:line="242" w:lineRule="auto" w:before="124" w:after="0"/>
        <w:ind w:left="2721" w:right="1651" w:hanging="340"/>
        <w:jc w:val="left"/>
        <w:rPr>
          <w:sz w:val="12"/>
        </w:rPr>
      </w:pPr>
      <w:r>
        <w:rPr>
          <w:sz w:val="21"/>
        </w:rPr>
        <w:t>There is no </w:t>
      </w:r>
      <w:r>
        <w:rPr>
          <w:spacing w:val="-3"/>
          <w:sz w:val="21"/>
        </w:rPr>
        <w:t>requirement to </w:t>
      </w:r>
      <w:r>
        <w:rPr>
          <w:sz w:val="21"/>
        </w:rPr>
        <w:t>file a </w:t>
      </w:r>
      <w:r>
        <w:rPr>
          <w:spacing w:val="-3"/>
          <w:sz w:val="21"/>
        </w:rPr>
        <w:t>will </w:t>
      </w:r>
      <w:r>
        <w:rPr>
          <w:sz w:val="21"/>
        </w:rPr>
        <w:t>or </w:t>
      </w:r>
      <w:r>
        <w:rPr>
          <w:spacing w:val="-4"/>
          <w:sz w:val="21"/>
        </w:rPr>
        <w:t>inventory, </w:t>
      </w:r>
      <w:r>
        <w:rPr>
          <w:spacing w:val="-3"/>
          <w:sz w:val="21"/>
        </w:rPr>
        <w:t>meaning that  </w:t>
      </w:r>
      <w:r>
        <w:rPr>
          <w:sz w:val="21"/>
        </w:rPr>
        <w:t>there is no </w:t>
      </w:r>
      <w:r>
        <w:rPr>
          <w:spacing w:val="-3"/>
          <w:sz w:val="21"/>
        </w:rPr>
        <w:t>Probate </w:t>
      </w:r>
      <w:r>
        <w:rPr>
          <w:sz w:val="21"/>
        </w:rPr>
        <w:t>Office </w:t>
      </w:r>
      <w:r>
        <w:rPr>
          <w:spacing w:val="-3"/>
          <w:sz w:val="21"/>
        </w:rPr>
        <w:t>scrutiny </w:t>
      </w:r>
      <w:r>
        <w:rPr>
          <w:sz w:val="21"/>
        </w:rPr>
        <w:t>or </w:t>
      </w:r>
      <w:r>
        <w:rPr>
          <w:spacing w:val="-3"/>
          <w:sz w:val="21"/>
        </w:rPr>
        <w:t>record </w:t>
      </w:r>
      <w:r>
        <w:rPr>
          <w:sz w:val="21"/>
        </w:rPr>
        <w:t>of which estates </w:t>
      </w:r>
      <w:r>
        <w:rPr>
          <w:spacing w:val="-3"/>
          <w:sz w:val="21"/>
        </w:rPr>
        <w:t>are </w:t>
      </w:r>
      <w:r>
        <w:rPr>
          <w:sz w:val="21"/>
        </w:rPr>
        <w:t>being </w:t>
      </w:r>
      <w:r>
        <w:rPr>
          <w:spacing w:val="-3"/>
          <w:sz w:val="21"/>
        </w:rPr>
        <w:t>administered </w:t>
      </w:r>
      <w:r>
        <w:rPr>
          <w:sz w:val="21"/>
        </w:rPr>
        <w:t>under this</w:t>
      </w:r>
      <w:r>
        <w:rPr>
          <w:spacing w:val="28"/>
          <w:sz w:val="21"/>
        </w:rPr>
        <w:t> </w:t>
      </w:r>
      <w:r>
        <w:rPr>
          <w:sz w:val="21"/>
        </w:rPr>
        <w:t>process.</w:t>
      </w:r>
      <w:r>
        <w:rPr>
          <w:position w:val="7"/>
          <w:sz w:val="12"/>
        </w:rPr>
        <w:t>99</w:t>
      </w:r>
    </w:p>
    <w:p>
      <w:pPr>
        <w:pStyle w:val="ListParagraph"/>
        <w:numPr>
          <w:ilvl w:val="2"/>
          <w:numId w:val="22"/>
        </w:numPr>
        <w:tabs>
          <w:tab w:pos="2721" w:val="left" w:leader="none"/>
          <w:tab w:pos="2722" w:val="left" w:leader="none"/>
        </w:tabs>
        <w:spacing w:line="242" w:lineRule="auto" w:before="122" w:after="0"/>
        <w:ind w:left="2721" w:right="1696" w:hanging="340"/>
        <w:jc w:val="left"/>
        <w:rPr>
          <w:sz w:val="21"/>
        </w:rPr>
      </w:pPr>
      <w:r>
        <w:rPr>
          <w:sz w:val="21"/>
        </w:rPr>
        <w:t>There is no </w:t>
      </w:r>
      <w:r>
        <w:rPr>
          <w:spacing w:val="-3"/>
          <w:sz w:val="21"/>
        </w:rPr>
        <w:t>requirement to search for </w:t>
      </w:r>
      <w:r>
        <w:rPr>
          <w:sz w:val="21"/>
        </w:rPr>
        <w:t>caveats, deposited </w:t>
      </w:r>
      <w:r>
        <w:rPr>
          <w:spacing w:val="-3"/>
          <w:sz w:val="21"/>
        </w:rPr>
        <w:t>wills </w:t>
      </w:r>
      <w:r>
        <w:rPr>
          <w:sz w:val="21"/>
        </w:rPr>
        <w:t>or prior </w:t>
      </w:r>
      <w:r>
        <w:rPr>
          <w:spacing w:val="-3"/>
          <w:sz w:val="21"/>
        </w:rPr>
        <w:t>applications, </w:t>
      </w:r>
      <w:r>
        <w:rPr>
          <w:sz w:val="21"/>
        </w:rPr>
        <w:t>which </w:t>
      </w:r>
      <w:r>
        <w:rPr>
          <w:spacing w:val="-3"/>
          <w:sz w:val="21"/>
        </w:rPr>
        <w:t>increases </w:t>
      </w:r>
      <w:r>
        <w:rPr>
          <w:sz w:val="21"/>
        </w:rPr>
        <w:t>the risk </w:t>
      </w:r>
      <w:r>
        <w:rPr>
          <w:spacing w:val="-3"/>
          <w:sz w:val="21"/>
        </w:rPr>
        <w:t>that </w:t>
      </w:r>
      <w:r>
        <w:rPr>
          <w:sz w:val="21"/>
        </w:rPr>
        <w:t>a </w:t>
      </w:r>
      <w:r>
        <w:rPr>
          <w:spacing w:val="-3"/>
          <w:sz w:val="21"/>
        </w:rPr>
        <w:t>will may </w:t>
      </w:r>
      <w:r>
        <w:rPr>
          <w:sz w:val="21"/>
        </w:rPr>
        <w:t>be </w:t>
      </w:r>
      <w:r>
        <w:rPr>
          <w:spacing w:val="-3"/>
          <w:sz w:val="21"/>
        </w:rPr>
        <w:t>overlooked, </w:t>
      </w:r>
      <w:r>
        <w:rPr>
          <w:sz w:val="21"/>
        </w:rPr>
        <w:t>or </w:t>
      </w:r>
      <w:r>
        <w:rPr>
          <w:spacing w:val="-3"/>
          <w:sz w:val="21"/>
        </w:rPr>
        <w:t>that </w:t>
      </w:r>
      <w:r>
        <w:rPr>
          <w:sz w:val="21"/>
        </w:rPr>
        <w:t>a </w:t>
      </w:r>
      <w:r>
        <w:rPr>
          <w:spacing w:val="-3"/>
          <w:sz w:val="21"/>
        </w:rPr>
        <w:t>grant could </w:t>
      </w:r>
      <w:r>
        <w:rPr>
          <w:sz w:val="21"/>
        </w:rPr>
        <w:t>be made twice in </w:t>
      </w:r>
      <w:r>
        <w:rPr>
          <w:spacing w:val="-3"/>
          <w:sz w:val="21"/>
        </w:rPr>
        <w:t>relation to </w:t>
      </w:r>
      <w:r>
        <w:rPr>
          <w:sz w:val="21"/>
        </w:rPr>
        <w:t>one</w:t>
      </w:r>
      <w:r>
        <w:rPr>
          <w:spacing w:val="1"/>
          <w:sz w:val="21"/>
        </w:rPr>
        <w:t> </w:t>
      </w:r>
      <w:r>
        <w:rPr>
          <w:spacing w:val="-3"/>
          <w:sz w:val="21"/>
        </w:rPr>
        <w:t>estate.</w:t>
      </w:r>
    </w:p>
    <w:p>
      <w:pPr>
        <w:pStyle w:val="ListParagraph"/>
        <w:numPr>
          <w:ilvl w:val="2"/>
          <w:numId w:val="22"/>
        </w:numPr>
        <w:tabs>
          <w:tab w:pos="2721" w:val="left" w:leader="none"/>
          <w:tab w:pos="2722" w:val="left" w:leader="none"/>
        </w:tabs>
        <w:spacing w:line="242" w:lineRule="auto" w:before="123" w:after="0"/>
        <w:ind w:left="2721" w:right="1968" w:hanging="340"/>
        <w:jc w:val="left"/>
        <w:rPr>
          <w:sz w:val="21"/>
        </w:rPr>
      </w:pPr>
      <w:r>
        <w:rPr>
          <w:sz w:val="21"/>
        </w:rPr>
        <w:t>There is no </w:t>
      </w:r>
      <w:r>
        <w:rPr>
          <w:spacing w:val="-3"/>
          <w:sz w:val="21"/>
        </w:rPr>
        <w:t>record </w:t>
      </w:r>
      <w:r>
        <w:rPr>
          <w:sz w:val="21"/>
        </w:rPr>
        <w:t>of the </w:t>
      </w:r>
      <w:r>
        <w:rPr>
          <w:spacing w:val="-3"/>
          <w:sz w:val="21"/>
        </w:rPr>
        <w:t>administration within </w:t>
      </w:r>
      <w:r>
        <w:rPr>
          <w:sz w:val="21"/>
        </w:rPr>
        <w:t>the </w:t>
      </w:r>
      <w:r>
        <w:rPr>
          <w:spacing w:val="-3"/>
          <w:sz w:val="21"/>
        </w:rPr>
        <w:t>Probate </w:t>
      </w:r>
      <w:r>
        <w:rPr>
          <w:sz w:val="21"/>
        </w:rPr>
        <w:t>Office, with the </w:t>
      </w:r>
      <w:r>
        <w:rPr>
          <w:spacing w:val="-3"/>
          <w:sz w:val="21"/>
        </w:rPr>
        <w:t>result  that </w:t>
      </w:r>
      <w:r>
        <w:rPr>
          <w:sz w:val="21"/>
        </w:rPr>
        <w:t>the </w:t>
      </w:r>
      <w:r>
        <w:rPr>
          <w:spacing w:val="-2"/>
          <w:sz w:val="21"/>
        </w:rPr>
        <w:t>completeness </w:t>
      </w:r>
      <w:r>
        <w:rPr>
          <w:sz w:val="21"/>
        </w:rPr>
        <w:t>and integrity of the </w:t>
      </w:r>
      <w:r>
        <w:rPr>
          <w:spacing w:val="-3"/>
          <w:sz w:val="21"/>
        </w:rPr>
        <w:t>Court’s online search </w:t>
      </w:r>
      <w:r>
        <w:rPr>
          <w:sz w:val="21"/>
        </w:rPr>
        <w:t>system is </w:t>
      </w:r>
      <w:r>
        <w:rPr>
          <w:spacing w:val="-3"/>
          <w:sz w:val="21"/>
        </w:rPr>
        <w:t>brought into</w:t>
      </w:r>
      <w:r>
        <w:rPr>
          <w:spacing w:val="8"/>
          <w:sz w:val="21"/>
        </w:rPr>
        <w:t> </w:t>
      </w:r>
      <w:r>
        <w:rPr>
          <w:sz w:val="21"/>
        </w:rPr>
        <w:t>question.</w:t>
      </w:r>
    </w:p>
    <w:p>
      <w:pPr>
        <w:pStyle w:val="ListParagraph"/>
        <w:numPr>
          <w:ilvl w:val="1"/>
          <w:numId w:val="22"/>
        </w:numPr>
        <w:tabs>
          <w:tab w:pos="2381" w:val="left" w:leader="none"/>
          <w:tab w:pos="2382" w:val="left" w:leader="none"/>
        </w:tabs>
        <w:spacing w:line="242" w:lineRule="auto" w:before="124" w:after="0"/>
        <w:ind w:left="2381" w:right="1800" w:hanging="794"/>
        <w:jc w:val="left"/>
        <w:rPr>
          <w:sz w:val="21"/>
        </w:rPr>
      </w:pPr>
      <w:r>
        <w:rPr>
          <w:sz w:val="21"/>
        </w:rPr>
        <w:t>These </w:t>
      </w:r>
      <w:r>
        <w:rPr>
          <w:spacing w:val="-3"/>
          <w:sz w:val="21"/>
        </w:rPr>
        <w:t>criticisms recognise that </w:t>
      </w:r>
      <w:r>
        <w:rPr>
          <w:sz w:val="21"/>
        </w:rPr>
        <w:t>the </w:t>
      </w:r>
      <w:r>
        <w:rPr>
          <w:spacing w:val="-3"/>
          <w:sz w:val="21"/>
        </w:rPr>
        <w:t>public </w:t>
      </w:r>
      <w:r>
        <w:rPr>
          <w:spacing w:val="-2"/>
          <w:sz w:val="21"/>
        </w:rPr>
        <w:t>has </w:t>
      </w:r>
      <w:r>
        <w:rPr>
          <w:sz w:val="21"/>
        </w:rPr>
        <w:t>an </w:t>
      </w:r>
      <w:r>
        <w:rPr>
          <w:spacing w:val="-3"/>
          <w:sz w:val="21"/>
        </w:rPr>
        <w:t>interest </w:t>
      </w:r>
      <w:r>
        <w:rPr>
          <w:sz w:val="21"/>
        </w:rPr>
        <w:t>in </w:t>
      </w:r>
      <w:r>
        <w:rPr>
          <w:spacing w:val="-3"/>
          <w:sz w:val="21"/>
        </w:rPr>
        <w:t>comprehensive </w:t>
      </w:r>
      <w:r>
        <w:rPr>
          <w:sz w:val="21"/>
        </w:rPr>
        <w:t>court </w:t>
      </w:r>
      <w:r>
        <w:rPr>
          <w:spacing w:val="-3"/>
          <w:sz w:val="21"/>
        </w:rPr>
        <w:t>records </w:t>
      </w:r>
      <w:r>
        <w:rPr>
          <w:sz w:val="21"/>
        </w:rPr>
        <w:t>being </w:t>
      </w:r>
      <w:r>
        <w:rPr>
          <w:spacing w:val="-3"/>
          <w:sz w:val="21"/>
        </w:rPr>
        <w:t>generated  </w:t>
      </w:r>
      <w:r>
        <w:rPr>
          <w:sz w:val="21"/>
        </w:rPr>
        <w:t>in </w:t>
      </w:r>
      <w:r>
        <w:rPr>
          <w:spacing w:val="-3"/>
          <w:sz w:val="21"/>
        </w:rPr>
        <w:t>relation</w:t>
      </w:r>
      <w:r>
        <w:rPr>
          <w:spacing w:val="41"/>
          <w:sz w:val="21"/>
        </w:rPr>
        <w:t> </w:t>
      </w:r>
      <w:r>
        <w:rPr>
          <w:spacing w:val="-3"/>
          <w:sz w:val="21"/>
        </w:rPr>
        <w:t>to  </w:t>
      </w:r>
      <w:r>
        <w:rPr>
          <w:sz w:val="21"/>
        </w:rPr>
        <w:t>estate </w:t>
      </w:r>
      <w:r>
        <w:rPr>
          <w:spacing w:val="-3"/>
          <w:sz w:val="21"/>
        </w:rPr>
        <w:t>administration,  </w:t>
      </w:r>
      <w:r>
        <w:rPr>
          <w:spacing w:val="-2"/>
          <w:sz w:val="21"/>
        </w:rPr>
        <w:t>not </w:t>
      </w:r>
      <w:r>
        <w:rPr>
          <w:sz w:val="21"/>
        </w:rPr>
        <w:t>only as </w:t>
      </w:r>
      <w:r>
        <w:rPr>
          <w:spacing w:val="-3"/>
          <w:sz w:val="21"/>
        </w:rPr>
        <w:t>potential  </w:t>
      </w:r>
      <w:r>
        <w:rPr>
          <w:sz w:val="21"/>
        </w:rPr>
        <w:t>beneficiaries  or </w:t>
      </w:r>
      <w:r>
        <w:rPr>
          <w:spacing w:val="-3"/>
          <w:sz w:val="21"/>
        </w:rPr>
        <w:t>family provision claimants, </w:t>
      </w:r>
      <w:r>
        <w:rPr>
          <w:sz w:val="21"/>
        </w:rPr>
        <w:t>but also as </w:t>
      </w:r>
      <w:r>
        <w:rPr>
          <w:spacing w:val="-3"/>
          <w:sz w:val="21"/>
        </w:rPr>
        <w:t>potential creditors </w:t>
      </w:r>
      <w:r>
        <w:rPr>
          <w:sz w:val="21"/>
        </w:rPr>
        <w:t>or </w:t>
      </w:r>
      <w:r>
        <w:rPr>
          <w:spacing w:val="-3"/>
          <w:sz w:val="21"/>
        </w:rPr>
        <w:t>alternate </w:t>
      </w:r>
      <w:r>
        <w:rPr>
          <w:sz w:val="21"/>
        </w:rPr>
        <w:t>personal representatives of the</w:t>
      </w:r>
      <w:r>
        <w:rPr>
          <w:spacing w:val="24"/>
          <w:sz w:val="21"/>
        </w:rPr>
        <w:t> </w:t>
      </w:r>
      <w:r>
        <w:rPr>
          <w:spacing w:val="-3"/>
          <w:sz w:val="21"/>
        </w:rPr>
        <w:t>estate.</w:t>
      </w:r>
    </w:p>
    <w:p>
      <w:pPr>
        <w:pStyle w:val="BodyText"/>
        <w:spacing w:before="6"/>
        <w:rPr>
          <w:sz w:val="11"/>
        </w:rPr>
      </w:pPr>
      <w:r>
        <w:rPr/>
        <w:pict>
          <v:line style="position:absolute;mso-position-horizontal-relative:page;mso-position-vertical-relative:paragraph;z-index:12056;mso-wrap-distance-left:0;mso-wrap-distance-right:0" from="79.370102pt,9.478672pt" to="515.905102pt,9.478672pt" stroked="true" strokeweight="1pt" strokecolor="#f9ceca">
            <v:stroke dashstyle="solid"/>
            <w10:wrap type="topAndBottom"/>
          </v:line>
        </w:pict>
      </w:r>
    </w:p>
    <w:p>
      <w:pPr>
        <w:pStyle w:val="BodyText"/>
        <w:spacing w:before="8"/>
        <w:rPr>
          <w:sz w:val="5"/>
        </w:rPr>
      </w:pPr>
    </w:p>
    <w:p>
      <w:pPr>
        <w:spacing w:after="0"/>
        <w:rPr>
          <w:sz w:val="5"/>
        </w:rPr>
        <w:sectPr>
          <w:pgSz w:w="11910" w:h="16840"/>
          <w:pgMar w:header="550" w:footer="0" w:top="1560" w:bottom="280" w:left="0" w:right="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1"/>
        <w:rPr>
          <w:sz w:val="26"/>
        </w:rPr>
      </w:pPr>
    </w:p>
    <w:p>
      <w:pPr>
        <w:spacing w:before="0"/>
        <w:ind w:left="720" w:right="0" w:firstLine="0"/>
        <w:jc w:val="left"/>
        <w:rPr>
          <w:b/>
          <w:sz w:val="24"/>
        </w:rPr>
      </w:pPr>
      <w:r>
        <w:rPr>
          <w:b/>
          <w:color w:val="EC5A4F"/>
          <w:w w:val="110"/>
          <w:sz w:val="24"/>
        </w:rPr>
        <w:t>204</w:t>
      </w:r>
    </w:p>
    <w:p>
      <w:pPr>
        <w:pStyle w:val="ListParagraph"/>
        <w:numPr>
          <w:ilvl w:val="0"/>
          <w:numId w:val="145"/>
        </w:numPr>
        <w:tabs>
          <w:tab w:pos="1216" w:val="left" w:leader="none"/>
          <w:tab w:pos="1217" w:val="left" w:leader="none"/>
        </w:tabs>
        <w:spacing w:line="240" w:lineRule="auto" w:before="48" w:after="0"/>
        <w:ind w:left="1216" w:right="0" w:hanging="794"/>
        <w:jc w:val="left"/>
        <w:rPr>
          <w:sz w:val="13"/>
        </w:rPr>
      </w:pPr>
      <w:r>
        <w:rPr>
          <w:spacing w:val="2"/>
          <w:w w:val="103"/>
          <w:sz w:val="13"/>
        </w:rPr>
        <w:br w:type="column"/>
      </w:r>
      <w:r>
        <w:rPr>
          <w:w w:val="105"/>
          <w:sz w:val="13"/>
        </w:rPr>
        <w:t>Under</w:t>
      </w:r>
      <w:r>
        <w:rPr>
          <w:spacing w:val="4"/>
          <w:w w:val="105"/>
          <w:sz w:val="13"/>
        </w:rPr>
        <w:t> </w:t>
      </w:r>
      <w:r>
        <w:rPr>
          <w:w w:val="105"/>
          <w:sz w:val="13"/>
        </w:rPr>
        <w:t>s</w:t>
      </w:r>
      <w:r>
        <w:rPr>
          <w:spacing w:val="5"/>
          <w:w w:val="105"/>
          <w:sz w:val="13"/>
        </w:rPr>
        <w:t> </w:t>
      </w:r>
      <w:r>
        <w:rPr>
          <w:w w:val="105"/>
          <w:sz w:val="13"/>
        </w:rPr>
        <w:t>5</w:t>
      </w:r>
      <w:r>
        <w:rPr>
          <w:spacing w:val="5"/>
          <w:w w:val="105"/>
          <w:sz w:val="13"/>
        </w:rPr>
        <w:t> </w:t>
      </w:r>
      <w:r>
        <w:rPr>
          <w:w w:val="105"/>
          <w:sz w:val="13"/>
        </w:rPr>
        <w:t>of</w:t>
      </w:r>
      <w:r>
        <w:rPr>
          <w:spacing w:val="5"/>
          <w:w w:val="105"/>
          <w:sz w:val="13"/>
        </w:rPr>
        <w:t> </w:t>
      </w:r>
      <w:r>
        <w:rPr>
          <w:w w:val="105"/>
          <w:sz w:val="13"/>
        </w:rPr>
        <w:t>the</w:t>
      </w:r>
      <w:r>
        <w:rPr>
          <w:spacing w:val="5"/>
          <w:w w:val="105"/>
          <w:sz w:val="13"/>
        </w:rPr>
        <w:t> </w:t>
      </w:r>
      <w:r>
        <w:rPr>
          <w:i/>
          <w:w w:val="105"/>
          <w:sz w:val="13"/>
        </w:rPr>
        <w:t>State</w:t>
      </w:r>
      <w:r>
        <w:rPr>
          <w:i/>
          <w:spacing w:val="4"/>
          <w:w w:val="105"/>
          <w:sz w:val="13"/>
        </w:rPr>
        <w:t> </w:t>
      </w:r>
      <w:r>
        <w:rPr>
          <w:i/>
          <w:w w:val="105"/>
          <w:sz w:val="13"/>
        </w:rPr>
        <w:t>Trustees</w:t>
      </w:r>
      <w:r>
        <w:rPr>
          <w:i/>
          <w:spacing w:val="4"/>
          <w:w w:val="105"/>
          <w:sz w:val="13"/>
        </w:rPr>
        <w:t> </w:t>
      </w:r>
      <w:r>
        <w:rPr>
          <w:i/>
          <w:w w:val="105"/>
          <w:sz w:val="13"/>
        </w:rPr>
        <w:t>(State</w:t>
      </w:r>
      <w:r>
        <w:rPr>
          <w:i/>
          <w:spacing w:val="4"/>
          <w:w w:val="105"/>
          <w:sz w:val="13"/>
        </w:rPr>
        <w:t> </w:t>
      </w:r>
      <w:r>
        <w:rPr>
          <w:i/>
          <w:w w:val="105"/>
          <w:sz w:val="13"/>
        </w:rPr>
        <w:t>Owned</w:t>
      </w:r>
      <w:r>
        <w:rPr>
          <w:i/>
          <w:spacing w:val="4"/>
          <w:w w:val="105"/>
          <w:sz w:val="13"/>
        </w:rPr>
        <w:t> </w:t>
      </w:r>
      <w:r>
        <w:rPr>
          <w:i/>
          <w:w w:val="105"/>
          <w:sz w:val="13"/>
        </w:rPr>
        <w:t>Company)</w:t>
      </w:r>
      <w:r>
        <w:rPr>
          <w:i/>
          <w:spacing w:val="4"/>
          <w:w w:val="105"/>
          <w:sz w:val="13"/>
        </w:rPr>
        <w:t> </w:t>
      </w:r>
      <w:r>
        <w:rPr>
          <w:i/>
          <w:w w:val="105"/>
          <w:sz w:val="13"/>
        </w:rPr>
        <w:t>Act</w:t>
      </w:r>
      <w:r>
        <w:rPr>
          <w:i/>
          <w:spacing w:val="4"/>
          <w:w w:val="105"/>
          <w:sz w:val="13"/>
        </w:rPr>
        <w:t> </w:t>
      </w:r>
      <w:r>
        <w:rPr>
          <w:i/>
          <w:w w:val="105"/>
          <w:sz w:val="13"/>
        </w:rPr>
        <w:t>1994</w:t>
      </w:r>
      <w:r>
        <w:rPr>
          <w:i/>
          <w:spacing w:val="5"/>
          <w:w w:val="105"/>
          <w:sz w:val="13"/>
        </w:rPr>
        <w:t> </w:t>
      </w:r>
      <w:r>
        <w:rPr>
          <w:spacing w:val="2"/>
          <w:w w:val="105"/>
          <w:sz w:val="13"/>
        </w:rPr>
        <w:t>(Vic)</w:t>
      </w:r>
      <w:r>
        <w:rPr>
          <w:spacing w:val="5"/>
          <w:w w:val="105"/>
          <w:sz w:val="13"/>
        </w:rPr>
        <w:t> </w:t>
      </w:r>
      <w:r>
        <w:rPr>
          <w:w w:val="105"/>
          <w:sz w:val="13"/>
        </w:rPr>
        <w:t>or</w:t>
      </w:r>
      <w:r>
        <w:rPr>
          <w:spacing w:val="5"/>
          <w:w w:val="105"/>
          <w:sz w:val="13"/>
        </w:rPr>
        <w:t> </w:t>
      </w:r>
      <w:r>
        <w:rPr>
          <w:w w:val="105"/>
          <w:sz w:val="13"/>
        </w:rPr>
        <w:t>ss</w:t>
      </w:r>
      <w:r>
        <w:rPr>
          <w:spacing w:val="5"/>
          <w:w w:val="105"/>
          <w:sz w:val="13"/>
        </w:rPr>
        <w:t> </w:t>
      </w:r>
      <w:r>
        <w:rPr>
          <w:w w:val="105"/>
          <w:sz w:val="13"/>
        </w:rPr>
        <w:t>9,</w:t>
      </w:r>
      <w:r>
        <w:rPr>
          <w:spacing w:val="5"/>
          <w:w w:val="105"/>
          <w:sz w:val="13"/>
        </w:rPr>
        <w:t> </w:t>
      </w:r>
      <w:r>
        <w:rPr>
          <w:w w:val="105"/>
          <w:sz w:val="13"/>
        </w:rPr>
        <w:t>10,</w:t>
      </w:r>
      <w:r>
        <w:rPr>
          <w:spacing w:val="5"/>
          <w:w w:val="105"/>
          <w:sz w:val="13"/>
        </w:rPr>
        <w:t> </w:t>
      </w:r>
      <w:r>
        <w:rPr>
          <w:spacing w:val="-6"/>
          <w:w w:val="105"/>
          <w:sz w:val="13"/>
        </w:rPr>
        <w:t>11</w:t>
      </w:r>
      <w:r>
        <w:rPr>
          <w:spacing w:val="5"/>
          <w:w w:val="105"/>
          <w:sz w:val="13"/>
        </w:rPr>
        <w:t> </w:t>
      </w:r>
      <w:r>
        <w:rPr>
          <w:w w:val="105"/>
          <w:sz w:val="13"/>
        </w:rPr>
        <w:t>or</w:t>
      </w:r>
      <w:r>
        <w:rPr>
          <w:spacing w:val="5"/>
          <w:w w:val="105"/>
          <w:sz w:val="13"/>
        </w:rPr>
        <w:t> </w:t>
      </w:r>
      <w:r>
        <w:rPr>
          <w:spacing w:val="-5"/>
          <w:w w:val="105"/>
          <w:sz w:val="13"/>
        </w:rPr>
        <w:t>11A</w:t>
      </w:r>
      <w:r>
        <w:rPr>
          <w:spacing w:val="5"/>
          <w:w w:val="105"/>
          <w:sz w:val="13"/>
        </w:rPr>
        <w:t> </w:t>
      </w:r>
      <w:r>
        <w:rPr>
          <w:w w:val="105"/>
          <w:sz w:val="13"/>
        </w:rPr>
        <w:t>of</w:t>
      </w:r>
      <w:r>
        <w:rPr>
          <w:spacing w:val="5"/>
          <w:w w:val="105"/>
          <w:sz w:val="13"/>
        </w:rPr>
        <w:t> </w:t>
      </w:r>
      <w:r>
        <w:rPr>
          <w:w w:val="105"/>
          <w:sz w:val="13"/>
        </w:rPr>
        <w:t>the</w:t>
      </w:r>
      <w:r>
        <w:rPr>
          <w:spacing w:val="5"/>
          <w:w w:val="105"/>
          <w:sz w:val="13"/>
        </w:rPr>
        <w:t> </w:t>
      </w:r>
      <w:r>
        <w:rPr>
          <w:i/>
          <w:w w:val="105"/>
          <w:sz w:val="13"/>
        </w:rPr>
        <w:t>Trustee</w:t>
      </w:r>
      <w:r>
        <w:rPr>
          <w:i/>
          <w:spacing w:val="4"/>
          <w:w w:val="105"/>
          <w:sz w:val="13"/>
        </w:rPr>
        <w:t> </w:t>
      </w:r>
      <w:r>
        <w:rPr>
          <w:i/>
          <w:w w:val="105"/>
          <w:sz w:val="13"/>
        </w:rPr>
        <w:t>Companies</w:t>
      </w:r>
      <w:r>
        <w:rPr>
          <w:i/>
          <w:spacing w:val="4"/>
          <w:w w:val="105"/>
          <w:sz w:val="13"/>
        </w:rPr>
        <w:t> </w:t>
      </w:r>
      <w:r>
        <w:rPr>
          <w:i/>
          <w:w w:val="105"/>
          <w:sz w:val="13"/>
        </w:rPr>
        <w:t>Act</w:t>
      </w:r>
      <w:r>
        <w:rPr>
          <w:i/>
          <w:spacing w:val="4"/>
          <w:w w:val="105"/>
          <w:sz w:val="13"/>
        </w:rPr>
        <w:t> </w:t>
      </w:r>
      <w:r>
        <w:rPr>
          <w:i/>
          <w:w w:val="105"/>
          <w:sz w:val="13"/>
        </w:rPr>
        <w:t>1984</w:t>
      </w:r>
      <w:r>
        <w:rPr>
          <w:i/>
          <w:spacing w:val="5"/>
          <w:w w:val="105"/>
          <w:sz w:val="13"/>
        </w:rPr>
        <w:t> </w:t>
      </w:r>
      <w:r>
        <w:rPr>
          <w:spacing w:val="2"/>
          <w:w w:val="105"/>
          <w:sz w:val="13"/>
        </w:rPr>
        <w:t>(Vic):</w:t>
      </w:r>
    </w:p>
    <w:p>
      <w:pPr>
        <w:spacing w:before="1"/>
        <w:ind w:left="1216" w:right="0" w:firstLine="0"/>
        <w:jc w:val="left"/>
        <w:rPr>
          <w:sz w:val="13"/>
        </w:rPr>
      </w:pPr>
      <w:r>
        <w:rPr>
          <w:i/>
          <w:w w:val="105"/>
          <w:sz w:val="13"/>
        </w:rPr>
        <w:t>Administration and Probate Act 1958 </w:t>
      </w:r>
      <w:r>
        <w:rPr>
          <w:w w:val="105"/>
          <w:sz w:val="13"/>
        </w:rPr>
        <w:t>(Vic) s 71(1)(b).</w:t>
      </w:r>
    </w:p>
    <w:p>
      <w:pPr>
        <w:pStyle w:val="ListParagraph"/>
        <w:numPr>
          <w:ilvl w:val="0"/>
          <w:numId w:val="145"/>
        </w:numPr>
        <w:tabs>
          <w:tab w:pos="1216" w:val="left" w:leader="none"/>
          <w:tab w:pos="1217" w:val="left" w:leader="none"/>
        </w:tabs>
        <w:spacing w:line="240" w:lineRule="auto" w:before="2" w:after="0"/>
        <w:ind w:left="1216" w:right="0" w:hanging="794"/>
        <w:jc w:val="left"/>
        <w:rPr>
          <w:sz w:val="13"/>
        </w:rPr>
      </w:pPr>
      <w:r>
        <w:rPr>
          <w:w w:val="105"/>
          <w:sz w:val="13"/>
        </w:rPr>
        <w:t>See</w:t>
      </w:r>
      <w:r>
        <w:rPr>
          <w:spacing w:val="4"/>
          <w:w w:val="105"/>
          <w:sz w:val="13"/>
        </w:rPr>
        <w:t> </w:t>
      </w:r>
      <w:r>
        <w:rPr>
          <w:w w:val="105"/>
          <w:sz w:val="13"/>
        </w:rPr>
        <w:t>broader</w:t>
      </w:r>
      <w:r>
        <w:rPr>
          <w:spacing w:val="5"/>
          <w:w w:val="105"/>
          <w:sz w:val="13"/>
        </w:rPr>
        <w:t> </w:t>
      </w:r>
      <w:r>
        <w:rPr>
          <w:w w:val="105"/>
          <w:sz w:val="13"/>
        </w:rPr>
        <w:t>discussion</w:t>
      </w:r>
      <w:r>
        <w:rPr>
          <w:spacing w:val="5"/>
          <w:w w:val="105"/>
          <w:sz w:val="13"/>
        </w:rPr>
        <w:t> </w:t>
      </w:r>
      <w:r>
        <w:rPr>
          <w:w w:val="105"/>
          <w:sz w:val="13"/>
        </w:rPr>
        <w:t>in</w:t>
      </w:r>
      <w:r>
        <w:rPr>
          <w:spacing w:val="5"/>
          <w:w w:val="105"/>
          <w:sz w:val="13"/>
        </w:rPr>
        <w:t> </w:t>
      </w:r>
      <w:r>
        <w:rPr>
          <w:w w:val="105"/>
          <w:sz w:val="13"/>
        </w:rPr>
        <w:t>Victorian</w:t>
      </w:r>
      <w:r>
        <w:rPr>
          <w:spacing w:val="4"/>
          <w:w w:val="105"/>
          <w:sz w:val="13"/>
        </w:rPr>
        <w:t> </w:t>
      </w:r>
      <w:r>
        <w:rPr>
          <w:w w:val="105"/>
          <w:sz w:val="13"/>
        </w:rPr>
        <w:t>Law</w:t>
      </w:r>
      <w:r>
        <w:rPr>
          <w:spacing w:val="5"/>
          <w:w w:val="105"/>
          <w:sz w:val="13"/>
        </w:rPr>
        <w:t> </w:t>
      </w:r>
      <w:r>
        <w:rPr>
          <w:w w:val="105"/>
          <w:sz w:val="13"/>
        </w:rPr>
        <w:t>Reform</w:t>
      </w:r>
      <w:r>
        <w:rPr>
          <w:spacing w:val="5"/>
          <w:w w:val="105"/>
          <w:sz w:val="13"/>
        </w:rPr>
        <w:t> </w:t>
      </w:r>
      <w:r>
        <w:rPr>
          <w:w w:val="105"/>
          <w:sz w:val="13"/>
        </w:rPr>
        <w:t>Commission,</w:t>
      </w:r>
      <w:r>
        <w:rPr>
          <w:spacing w:val="5"/>
          <w:w w:val="105"/>
          <w:sz w:val="13"/>
        </w:rPr>
        <w:t> </w:t>
      </w:r>
      <w:r>
        <w:rPr>
          <w:w w:val="105"/>
          <w:sz w:val="13"/>
        </w:rPr>
        <w:t>above</w:t>
      </w:r>
      <w:r>
        <w:rPr>
          <w:spacing w:val="5"/>
          <w:w w:val="105"/>
          <w:sz w:val="13"/>
        </w:rPr>
        <w:t> </w:t>
      </w:r>
      <w:r>
        <w:rPr>
          <w:w w:val="105"/>
          <w:sz w:val="13"/>
        </w:rPr>
        <w:t>n</w:t>
      </w:r>
      <w:r>
        <w:rPr>
          <w:spacing w:val="4"/>
          <w:w w:val="105"/>
          <w:sz w:val="13"/>
        </w:rPr>
        <w:t> </w:t>
      </w:r>
      <w:r>
        <w:rPr>
          <w:w w:val="105"/>
          <w:sz w:val="13"/>
        </w:rPr>
        <w:t>6,</w:t>
      </w:r>
      <w:r>
        <w:rPr>
          <w:spacing w:val="5"/>
          <w:w w:val="105"/>
          <w:sz w:val="13"/>
        </w:rPr>
        <w:t> </w:t>
      </w:r>
      <w:r>
        <w:rPr>
          <w:w w:val="105"/>
          <w:sz w:val="13"/>
        </w:rPr>
        <w:t>29.</w:t>
      </w:r>
    </w:p>
    <w:p>
      <w:pPr>
        <w:pStyle w:val="ListParagraph"/>
        <w:numPr>
          <w:ilvl w:val="0"/>
          <w:numId w:val="145"/>
        </w:numPr>
        <w:tabs>
          <w:tab w:pos="1216" w:val="left" w:leader="none"/>
          <w:tab w:pos="1217" w:val="left" w:leader="none"/>
        </w:tabs>
        <w:spacing w:line="240" w:lineRule="auto" w:before="1" w:after="0"/>
        <w:ind w:left="1216" w:right="0" w:hanging="794"/>
        <w:jc w:val="left"/>
        <w:rPr>
          <w:sz w:val="13"/>
        </w:rPr>
      </w:pPr>
      <w:r>
        <w:rPr>
          <w:i/>
          <w:w w:val="105"/>
          <w:sz w:val="13"/>
        </w:rPr>
        <w:t>Administration and Probate Act 1958 </w:t>
      </w:r>
      <w:r>
        <w:rPr>
          <w:spacing w:val="2"/>
          <w:w w:val="105"/>
          <w:sz w:val="13"/>
        </w:rPr>
        <w:t>(Vic) </w:t>
      </w:r>
      <w:r>
        <w:rPr>
          <w:w w:val="105"/>
          <w:sz w:val="13"/>
        </w:rPr>
        <w:t>ss</w:t>
      </w:r>
      <w:r>
        <w:rPr>
          <w:spacing w:val="25"/>
          <w:w w:val="105"/>
          <w:sz w:val="13"/>
        </w:rPr>
        <w:t> </w:t>
      </w:r>
      <w:r>
        <w:rPr>
          <w:spacing w:val="5"/>
          <w:w w:val="105"/>
          <w:sz w:val="13"/>
        </w:rPr>
        <w:t>79(2)–(3).</w:t>
      </w:r>
    </w:p>
    <w:p>
      <w:pPr>
        <w:pStyle w:val="ListParagraph"/>
        <w:numPr>
          <w:ilvl w:val="0"/>
          <w:numId w:val="145"/>
        </w:numPr>
        <w:tabs>
          <w:tab w:pos="1216" w:val="left" w:leader="none"/>
          <w:tab w:pos="1217" w:val="left" w:leader="none"/>
        </w:tabs>
        <w:spacing w:line="240" w:lineRule="auto" w:before="1" w:after="0"/>
        <w:ind w:left="1216" w:right="0" w:hanging="794"/>
        <w:jc w:val="left"/>
        <w:rPr>
          <w:sz w:val="13"/>
        </w:rPr>
      </w:pPr>
      <w:r>
        <w:rPr>
          <w:w w:val="105"/>
          <w:sz w:val="13"/>
        </w:rPr>
        <w:t>Advisory Committee (Meeting</w:t>
      </w:r>
      <w:r>
        <w:rPr>
          <w:spacing w:val="13"/>
          <w:w w:val="105"/>
          <w:sz w:val="13"/>
        </w:rPr>
        <w:t> </w:t>
      </w:r>
      <w:r>
        <w:rPr>
          <w:w w:val="105"/>
          <w:sz w:val="13"/>
        </w:rPr>
        <w:t>1).</w:t>
      </w:r>
    </w:p>
    <w:p>
      <w:pPr>
        <w:pStyle w:val="ListParagraph"/>
        <w:numPr>
          <w:ilvl w:val="0"/>
          <w:numId w:val="145"/>
        </w:numPr>
        <w:tabs>
          <w:tab w:pos="1216" w:val="left" w:leader="none"/>
          <w:tab w:pos="1217" w:val="left" w:leader="none"/>
        </w:tabs>
        <w:spacing w:line="240" w:lineRule="auto" w:before="2" w:after="0"/>
        <w:ind w:left="1216" w:right="1696" w:hanging="794"/>
        <w:jc w:val="left"/>
        <w:rPr>
          <w:sz w:val="13"/>
        </w:rPr>
      </w:pPr>
      <w:r>
        <w:rPr>
          <w:sz w:val="13"/>
        </w:rPr>
        <w:t>Over the ten-year period between financial year 2001–02 and financial year </w:t>
      </w:r>
      <w:r>
        <w:rPr>
          <w:spacing w:val="-4"/>
          <w:sz w:val="13"/>
        </w:rPr>
        <w:t>2011–12, </w:t>
      </w:r>
      <w:r>
        <w:rPr>
          <w:sz w:val="13"/>
        </w:rPr>
        <w:t>State Trustees records show that it administered approximately 6335 estates with a  value  below  $25,000.  Of  these,  </w:t>
      </w:r>
      <w:r>
        <w:rPr>
          <w:spacing w:val="3"/>
          <w:sz w:val="13"/>
        </w:rPr>
        <w:t>3444 </w:t>
      </w:r>
      <w:r>
        <w:rPr>
          <w:sz w:val="13"/>
        </w:rPr>
        <w:t>were  administered  informally.  </w:t>
      </w:r>
      <w:r>
        <w:rPr>
          <w:spacing w:val="2"/>
          <w:sz w:val="13"/>
        </w:rPr>
        <w:t>As </w:t>
      </w:r>
      <w:r>
        <w:rPr>
          <w:sz w:val="13"/>
        </w:rPr>
        <w:t>State  Trustees  has  made  it  clear to the Commission that all other estates that fell within the threshold were subject to the section 79 process, at least 2891 were subject                   to that process over that period. Further, State Trustees does not keep separate records for estates falling between $25,000 and </w:t>
      </w:r>
      <w:r>
        <w:rPr>
          <w:spacing w:val="2"/>
          <w:sz w:val="13"/>
        </w:rPr>
        <w:t>$50,000                </w:t>
      </w:r>
      <w:r>
        <w:rPr>
          <w:sz w:val="13"/>
        </w:rPr>
        <w:t>in value, so it can be assumed that there were other estates dealt with under this  mechanism  for  which  no  separate  records  were  kept: statistics</w:t>
      </w:r>
      <w:r>
        <w:rPr>
          <w:spacing w:val="7"/>
          <w:sz w:val="13"/>
        </w:rPr>
        <w:t> </w:t>
      </w:r>
      <w:r>
        <w:rPr>
          <w:sz w:val="13"/>
        </w:rPr>
        <w:t>provided</w:t>
      </w:r>
      <w:r>
        <w:rPr>
          <w:spacing w:val="8"/>
          <w:sz w:val="13"/>
        </w:rPr>
        <w:t> </w:t>
      </w:r>
      <w:r>
        <w:rPr>
          <w:sz w:val="13"/>
        </w:rPr>
        <w:t>to</w:t>
      </w:r>
      <w:r>
        <w:rPr>
          <w:spacing w:val="7"/>
          <w:sz w:val="13"/>
        </w:rPr>
        <w:t> </w:t>
      </w:r>
      <w:r>
        <w:rPr>
          <w:sz w:val="13"/>
        </w:rPr>
        <w:t>the</w:t>
      </w:r>
      <w:r>
        <w:rPr>
          <w:spacing w:val="8"/>
          <w:sz w:val="13"/>
        </w:rPr>
        <w:t> </w:t>
      </w:r>
      <w:r>
        <w:rPr>
          <w:sz w:val="13"/>
        </w:rPr>
        <w:t>Commission</w:t>
      </w:r>
      <w:r>
        <w:rPr>
          <w:spacing w:val="7"/>
          <w:sz w:val="13"/>
        </w:rPr>
        <w:t> </w:t>
      </w:r>
      <w:r>
        <w:rPr>
          <w:sz w:val="13"/>
        </w:rPr>
        <w:t>by</w:t>
      </w:r>
      <w:r>
        <w:rPr>
          <w:spacing w:val="8"/>
          <w:sz w:val="13"/>
        </w:rPr>
        <w:t> </w:t>
      </w:r>
      <w:r>
        <w:rPr>
          <w:sz w:val="13"/>
        </w:rPr>
        <w:t>State</w:t>
      </w:r>
      <w:r>
        <w:rPr>
          <w:spacing w:val="7"/>
          <w:sz w:val="13"/>
        </w:rPr>
        <w:t> </w:t>
      </w:r>
      <w:r>
        <w:rPr>
          <w:sz w:val="13"/>
        </w:rPr>
        <w:t>Trustees</w:t>
      </w:r>
      <w:r>
        <w:rPr>
          <w:spacing w:val="8"/>
          <w:sz w:val="13"/>
        </w:rPr>
        <w:t> </w:t>
      </w:r>
      <w:r>
        <w:rPr>
          <w:sz w:val="13"/>
        </w:rPr>
        <w:t>(2</w:t>
      </w:r>
      <w:r>
        <w:rPr>
          <w:spacing w:val="7"/>
          <w:sz w:val="13"/>
        </w:rPr>
        <w:t> </w:t>
      </w:r>
      <w:r>
        <w:rPr>
          <w:sz w:val="13"/>
        </w:rPr>
        <w:t>November</w:t>
      </w:r>
      <w:r>
        <w:rPr>
          <w:spacing w:val="8"/>
          <w:sz w:val="13"/>
        </w:rPr>
        <w:t> </w:t>
      </w:r>
      <w:r>
        <w:rPr>
          <w:sz w:val="13"/>
        </w:rPr>
        <w:t>2012).</w:t>
      </w:r>
    </w:p>
    <w:p>
      <w:pPr>
        <w:pStyle w:val="ListParagraph"/>
        <w:numPr>
          <w:ilvl w:val="0"/>
          <w:numId w:val="145"/>
        </w:numPr>
        <w:tabs>
          <w:tab w:pos="1216" w:val="left" w:leader="none"/>
          <w:tab w:pos="1217" w:val="left" w:leader="none"/>
        </w:tabs>
        <w:spacing w:line="240" w:lineRule="auto" w:before="8" w:after="0"/>
        <w:ind w:left="1216" w:right="1612" w:hanging="794"/>
        <w:jc w:val="left"/>
        <w:rPr>
          <w:sz w:val="13"/>
        </w:rPr>
      </w:pPr>
      <w:r>
        <w:rPr>
          <w:w w:val="105"/>
          <w:sz w:val="13"/>
        </w:rPr>
        <w:t>State Trustees has informed the Commission that, while not required to do so by the </w:t>
      </w:r>
      <w:r>
        <w:rPr>
          <w:i/>
          <w:w w:val="105"/>
          <w:sz w:val="13"/>
        </w:rPr>
        <w:t>Administration and Probate Act 1958 </w:t>
      </w:r>
      <w:r>
        <w:rPr>
          <w:spacing w:val="2"/>
          <w:w w:val="105"/>
          <w:sz w:val="13"/>
        </w:rPr>
        <w:t>(Vic), </w:t>
      </w:r>
      <w:r>
        <w:rPr>
          <w:w w:val="105"/>
          <w:sz w:val="13"/>
        </w:rPr>
        <w:t>it has in      the past been its practice to file wills with the Court for estates that are at the higher end of the prescribed value spectrum: consultation 22 (State Trustees</w:t>
      </w:r>
      <w:r>
        <w:rPr>
          <w:spacing w:val="8"/>
          <w:w w:val="105"/>
          <w:sz w:val="13"/>
        </w:rPr>
        <w:t> </w:t>
      </w:r>
      <w:r>
        <w:rPr>
          <w:w w:val="105"/>
          <w:sz w:val="13"/>
        </w:rPr>
        <w:t>Limited).</w:t>
      </w:r>
    </w:p>
    <w:p>
      <w:pPr>
        <w:spacing w:after="0" w:line="240" w:lineRule="auto"/>
        <w:jc w:val="left"/>
        <w:rPr>
          <w:sz w:val="13"/>
        </w:rPr>
        <w:sectPr>
          <w:type w:val="continuous"/>
          <w:pgSz w:w="11910" w:h="16840"/>
          <w:pgMar w:top="920" w:bottom="280" w:left="0" w:right="0"/>
          <w:cols w:num="2" w:equalWidth="0">
            <w:col w:w="1125" w:space="40"/>
            <w:col w:w="10745"/>
          </w:cols>
        </w:sectPr>
      </w:pPr>
    </w:p>
    <w:p>
      <w:pPr>
        <w:pStyle w:val="BodyText"/>
        <w:rPr>
          <w:sz w:val="20"/>
        </w:rPr>
      </w:pPr>
    </w:p>
    <w:p>
      <w:pPr>
        <w:pStyle w:val="BodyText"/>
        <w:rPr>
          <w:sz w:val="19"/>
        </w:rPr>
      </w:pPr>
    </w:p>
    <w:p>
      <w:pPr>
        <w:pStyle w:val="ListParagraph"/>
        <w:numPr>
          <w:ilvl w:val="1"/>
          <w:numId w:val="22"/>
        </w:numPr>
        <w:tabs>
          <w:tab w:pos="2381" w:val="left" w:leader="none"/>
          <w:tab w:pos="2382" w:val="left" w:leader="none"/>
        </w:tabs>
        <w:spacing w:line="242" w:lineRule="auto" w:before="91" w:after="0"/>
        <w:ind w:left="2381" w:right="1981" w:hanging="794"/>
        <w:jc w:val="left"/>
        <w:rPr>
          <w:sz w:val="21"/>
        </w:rPr>
      </w:pPr>
      <w:r>
        <w:rPr>
          <w:spacing w:val="-3"/>
          <w:w w:val="105"/>
          <w:sz w:val="21"/>
        </w:rPr>
        <w:t>While </w:t>
      </w:r>
      <w:r>
        <w:rPr>
          <w:spacing w:val="-4"/>
          <w:w w:val="105"/>
          <w:sz w:val="21"/>
        </w:rPr>
        <w:t>noting </w:t>
      </w:r>
      <w:r>
        <w:rPr>
          <w:spacing w:val="-3"/>
          <w:w w:val="105"/>
          <w:sz w:val="21"/>
        </w:rPr>
        <w:t>that </w:t>
      </w:r>
      <w:r>
        <w:rPr>
          <w:w w:val="105"/>
          <w:sz w:val="21"/>
        </w:rPr>
        <w:t>the </w:t>
      </w:r>
      <w:r>
        <w:rPr>
          <w:spacing w:val="-4"/>
          <w:w w:val="105"/>
          <w:sz w:val="21"/>
        </w:rPr>
        <w:t>accompanying </w:t>
      </w:r>
      <w:r>
        <w:rPr>
          <w:spacing w:val="-3"/>
          <w:w w:val="105"/>
          <w:sz w:val="21"/>
        </w:rPr>
        <w:t>process for elections to </w:t>
      </w:r>
      <w:r>
        <w:rPr>
          <w:spacing w:val="-4"/>
          <w:w w:val="105"/>
          <w:sz w:val="21"/>
        </w:rPr>
        <w:t>administer </w:t>
      </w:r>
      <w:r>
        <w:rPr>
          <w:spacing w:val="-3"/>
          <w:w w:val="105"/>
          <w:sz w:val="21"/>
        </w:rPr>
        <w:t>under </w:t>
      </w:r>
      <w:r>
        <w:rPr>
          <w:w w:val="105"/>
          <w:sz w:val="21"/>
        </w:rPr>
        <w:t>section </w:t>
      </w:r>
      <w:r>
        <w:rPr>
          <w:spacing w:val="-13"/>
          <w:w w:val="105"/>
          <w:sz w:val="21"/>
        </w:rPr>
        <w:t>11A </w:t>
      </w:r>
      <w:r>
        <w:rPr>
          <w:spacing w:val="-3"/>
          <w:w w:val="105"/>
          <w:sz w:val="21"/>
        </w:rPr>
        <w:t>of </w:t>
      </w:r>
      <w:r>
        <w:rPr>
          <w:w w:val="105"/>
          <w:sz w:val="21"/>
        </w:rPr>
        <w:t>the </w:t>
      </w:r>
      <w:r>
        <w:rPr>
          <w:spacing w:val="-5"/>
          <w:w w:val="105"/>
          <w:sz w:val="21"/>
        </w:rPr>
        <w:t>Trustee </w:t>
      </w:r>
      <w:r>
        <w:rPr>
          <w:spacing w:val="-4"/>
          <w:w w:val="105"/>
          <w:sz w:val="21"/>
        </w:rPr>
        <w:t>Companies </w:t>
      </w:r>
      <w:r>
        <w:rPr>
          <w:w w:val="105"/>
          <w:sz w:val="21"/>
        </w:rPr>
        <w:t>Act is </w:t>
      </w:r>
      <w:r>
        <w:rPr>
          <w:spacing w:val="-3"/>
          <w:w w:val="105"/>
          <w:sz w:val="21"/>
        </w:rPr>
        <w:t>more robust than </w:t>
      </w:r>
      <w:r>
        <w:rPr>
          <w:w w:val="105"/>
          <w:sz w:val="21"/>
        </w:rPr>
        <w:t>the </w:t>
      </w:r>
      <w:r>
        <w:rPr>
          <w:spacing w:val="-3"/>
          <w:w w:val="105"/>
          <w:sz w:val="21"/>
        </w:rPr>
        <w:t>process under </w:t>
      </w:r>
      <w:r>
        <w:rPr>
          <w:w w:val="105"/>
          <w:sz w:val="21"/>
        </w:rPr>
        <w:t>section </w:t>
      </w:r>
      <w:r>
        <w:rPr>
          <w:spacing w:val="-4"/>
          <w:w w:val="105"/>
          <w:sz w:val="21"/>
        </w:rPr>
        <w:t>79</w:t>
      </w:r>
      <w:r>
        <w:rPr>
          <w:spacing w:val="-14"/>
          <w:w w:val="105"/>
          <w:sz w:val="21"/>
        </w:rPr>
        <w:t> </w:t>
      </w:r>
      <w:r>
        <w:rPr>
          <w:spacing w:val="-3"/>
          <w:w w:val="105"/>
          <w:sz w:val="21"/>
        </w:rPr>
        <w:t>of</w:t>
      </w:r>
    </w:p>
    <w:p>
      <w:pPr>
        <w:pStyle w:val="BodyText"/>
        <w:spacing w:line="242" w:lineRule="auto" w:before="2"/>
        <w:ind w:left="2381" w:right="1531"/>
        <w:rPr>
          <w:sz w:val="12"/>
        </w:rPr>
      </w:pPr>
      <w:r>
        <w:rPr>
          <w:w w:val="105"/>
        </w:rPr>
        <w:t>the </w:t>
      </w:r>
      <w:r>
        <w:rPr>
          <w:spacing w:val="-4"/>
          <w:w w:val="105"/>
        </w:rPr>
        <w:t>Administration </w:t>
      </w:r>
      <w:r>
        <w:rPr>
          <w:spacing w:val="-3"/>
          <w:w w:val="105"/>
        </w:rPr>
        <w:t>and Probate </w:t>
      </w:r>
      <w:r>
        <w:rPr>
          <w:w w:val="105"/>
        </w:rPr>
        <w:t>Act, the </w:t>
      </w:r>
      <w:r>
        <w:rPr>
          <w:spacing w:val="-3"/>
          <w:w w:val="105"/>
        </w:rPr>
        <w:t>Registrar </w:t>
      </w:r>
      <w:r>
        <w:rPr>
          <w:w w:val="105"/>
        </w:rPr>
        <w:t>is </w:t>
      </w:r>
      <w:r>
        <w:rPr>
          <w:spacing w:val="-3"/>
          <w:w w:val="105"/>
        </w:rPr>
        <w:t>of </w:t>
      </w:r>
      <w:r>
        <w:rPr>
          <w:w w:val="105"/>
        </w:rPr>
        <w:t>the view </w:t>
      </w:r>
      <w:r>
        <w:rPr>
          <w:spacing w:val="-3"/>
          <w:w w:val="105"/>
        </w:rPr>
        <w:t>that </w:t>
      </w:r>
      <w:r>
        <w:rPr>
          <w:spacing w:val="-4"/>
          <w:w w:val="105"/>
        </w:rPr>
        <w:t>any </w:t>
      </w:r>
      <w:r>
        <w:rPr>
          <w:spacing w:val="-3"/>
          <w:w w:val="105"/>
        </w:rPr>
        <w:t>perceived </w:t>
      </w:r>
      <w:r>
        <w:rPr>
          <w:w w:val="105"/>
        </w:rPr>
        <w:t>benefits </w:t>
      </w:r>
      <w:r>
        <w:rPr>
          <w:spacing w:val="-3"/>
          <w:w w:val="105"/>
        </w:rPr>
        <w:t>of </w:t>
      </w:r>
      <w:r>
        <w:rPr>
          <w:w w:val="105"/>
        </w:rPr>
        <w:t>the </w:t>
      </w:r>
      <w:r>
        <w:rPr>
          <w:spacing w:val="-3"/>
          <w:w w:val="105"/>
        </w:rPr>
        <w:t>expedited grants processes are </w:t>
      </w:r>
      <w:r>
        <w:rPr>
          <w:spacing w:val="-4"/>
          <w:w w:val="105"/>
        </w:rPr>
        <w:t>far </w:t>
      </w:r>
      <w:r>
        <w:rPr>
          <w:spacing w:val="-3"/>
          <w:w w:val="105"/>
        </w:rPr>
        <w:t>outweighed by </w:t>
      </w:r>
      <w:r>
        <w:rPr>
          <w:w w:val="105"/>
        </w:rPr>
        <w:t>the </w:t>
      </w:r>
      <w:r>
        <w:rPr>
          <w:spacing w:val="-3"/>
          <w:w w:val="105"/>
        </w:rPr>
        <w:t>above </w:t>
      </w:r>
      <w:r>
        <w:rPr>
          <w:spacing w:val="-4"/>
          <w:w w:val="105"/>
        </w:rPr>
        <w:t>shortcomings.</w:t>
      </w:r>
      <w:r>
        <w:rPr>
          <w:spacing w:val="-4"/>
          <w:w w:val="105"/>
          <w:position w:val="7"/>
          <w:sz w:val="12"/>
        </w:rPr>
        <w:t>100</w:t>
      </w:r>
    </w:p>
    <w:p>
      <w:pPr>
        <w:pStyle w:val="BodyText"/>
        <w:spacing w:before="11"/>
        <w:rPr>
          <w:sz w:val="26"/>
        </w:rPr>
      </w:pPr>
    </w:p>
    <w:p>
      <w:pPr>
        <w:pStyle w:val="Heading6"/>
      </w:pPr>
      <w:r>
        <w:rPr>
          <w:w w:val="115"/>
        </w:rPr>
        <w:t>The role of State Trustees</w:t>
      </w:r>
    </w:p>
    <w:p>
      <w:pPr>
        <w:pStyle w:val="ListParagraph"/>
        <w:numPr>
          <w:ilvl w:val="1"/>
          <w:numId w:val="22"/>
        </w:numPr>
        <w:tabs>
          <w:tab w:pos="2381" w:val="left" w:leader="none"/>
          <w:tab w:pos="2382" w:val="left" w:leader="none"/>
        </w:tabs>
        <w:spacing w:line="242" w:lineRule="auto" w:before="151" w:after="0"/>
        <w:ind w:left="2381" w:right="2086" w:hanging="794"/>
        <w:jc w:val="left"/>
        <w:rPr>
          <w:sz w:val="21"/>
        </w:rPr>
      </w:pPr>
      <w:r>
        <w:rPr>
          <w:w w:val="105"/>
          <w:sz w:val="21"/>
        </w:rPr>
        <w:t>The </w:t>
      </w:r>
      <w:r>
        <w:rPr>
          <w:spacing w:val="-3"/>
          <w:w w:val="105"/>
          <w:sz w:val="21"/>
        </w:rPr>
        <w:t>value </w:t>
      </w:r>
      <w:r>
        <w:rPr>
          <w:w w:val="105"/>
          <w:sz w:val="21"/>
        </w:rPr>
        <w:t>of the estates </w:t>
      </w:r>
      <w:r>
        <w:rPr>
          <w:spacing w:val="-3"/>
          <w:w w:val="105"/>
          <w:sz w:val="21"/>
        </w:rPr>
        <w:t>administered </w:t>
      </w:r>
      <w:r>
        <w:rPr>
          <w:w w:val="105"/>
          <w:sz w:val="21"/>
        </w:rPr>
        <w:t>by </w:t>
      </w:r>
      <w:r>
        <w:rPr>
          <w:spacing w:val="-3"/>
          <w:w w:val="105"/>
          <w:sz w:val="21"/>
        </w:rPr>
        <w:t>State </w:t>
      </w:r>
      <w:r>
        <w:rPr>
          <w:spacing w:val="-4"/>
          <w:w w:val="105"/>
          <w:sz w:val="21"/>
        </w:rPr>
        <w:t>Trustees </w:t>
      </w:r>
      <w:r>
        <w:rPr>
          <w:w w:val="105"/>
          <w:sz w:val="21"/>
        </w:rPr>
        <w:t>is often very </w:t>
      </w:r>
      <w:r>
        <w:rPr>
          <w:spacing w:val="-4"/>
          <w:w w:val="105"/>
          <w:sz w:val="21"/>
        </w:rPr>
        <w:t>low. </w:t>
      </w:r>
      <w:r>
        <w:rPr>
          <w:spacing w:val="-3"/>
          <w:w w:val="105"/>
          <w:sz w:val="21"/>
        </w:rPr>
        <w:t>State </w:t>
      </w:r>
      <w:r>
        <w:rPr>
          <w:spacing w:val="-4"/>
          <w:w w:val="105"/>
          <w:sz w:val="21"/>
        </w:rPr>
        <w:t>Trustees</w:t>
      </w:r>
      <w:r>
        <w:rPr>
          <w:spacing w:val="-10"/>
          <w:w w:val="105"/>
          <w:sz w:val="21"/>
        </w:rPr>
        <w:t> </w:t>
      </w:r>
      <w:r>
        <w:rPr>
          <w:spacing w:val="-2"/>
          <w:w w:val="105"/>
          <w:sz w:val="21"/>
        </w:rPr>
        <w:t>estimates</w:t>
      </w:r>
      <w:r>
        <w:rPr>
          <w:spacing w:val="-9"/>
          <w:w w:val="105"/>
          <w:sz w:val="21"/>
        </w:rPr>
        <w:t> </w:t>
      </w:r>
      <w:r>
        <w:rPr>
          <w:spacing w:val="-3"/>
          <w:w w:val="105"/>
          <w:sz w:val="21"/>
        </w:rPr>
        <w:t>that</w:t>
      </w:r>
      <w:r>
        <w:rPr>
          <w:spacing w:val="-10"/>
          <w:w w:val="105"/>
          <w:sz w:val="21"/>
        </w:rPr>
        <w:t> </w:t>
      </w:r>
      <w:r>
        <w:rPr>
          <w:w w:val="105"/>
          <w:sz w:val="21"/>
        </w:rPr>
        <w:t>a</w:t>
      </w:r>
      <w:r>
        <w:rPr>
          <w:spacing w:val="-9"/>
          <w:w w:val="105"/>
          <w:sz w:val="21"/>
        </w:rPr>
        <w:t> </w:t>
      </w:r>
      <w:r>
        <w:rPr>
          <w:w w:val="105"/>
          <w:sz w:val="21"/>
        </w:rPr>
        <w:t>quarter</w:t>
      </w:r>
      <w:r>
        <w:rPr>
          <w:spacing w:val="-10"/>
          <w:w w:val="105"/>
          <w:sz w:val="21"/>
        </w:rPr>
        <w:t> </w:t>
      </w:r>
      <w:r>
        <w:rPr>
          <w:w w:val="105"/>
          <w:sz w:val="21"/>
        </w:rPr>
        <w:t>of</w:t>
      </w:r>
      <w:r>
        <w:rPr>
          <w:spacing w:val="-9"/>
          <w:w w:val="105"/>
          <w:sz w:val="21"/>
        </w:rPr>
        <w:t> </w:t>
      </w:r>
      <w:r>
        <w:rPr>
          <w:w w:val="105"/>
          <w:sz w:val="21"/>
        </w:rPr>
        <w:t>the</w:t>
      </w:r>
      <w:r>
        <w:rPr>
          <w:spacing w:val="-9"/>
          <w:w w:val="105"/>
          <w:sz w:val="21"/>
        </w:rPr>
        <w:t> </w:t>
      </w:r>
      <w:r>
        <w:rPr>
          <w:w w:val="105"/>
          <w:sz w:val="21"/>
        </w:rPr>
        <w:t>estates</w:t>
      </w:r>
      <w:r>
        <w:rPr>
          <w:spacing w:val="-10"/>
          <w:w w:val="105"/>
          <w:sz w:val="21"/>
        </w:rPr>
        <w:t> </w:t>
      </w:r>
      <w:r>
        <w:rPr>
          <w:spacing w:val="-3"/>
          <w:w w:val="105"/>
          <w:sz w:val="21"/>
        </w:rPr>
        <w:t>administered</w:t>
      </w:r>
      <w:r>
        <w:rPr>
          <w:spacing w:val="-9"/>
          <w:w w:val="105"/>
          <w:sz w:val="21"/>
        </w:rPr>
        <w:t> </w:t>
      </w:r>
      <w:r>
        <w:rPr>
          <w:w w:val="105"/>
          <w:sz w:val="21"/>
        </w:rPr>
        <w:t>under</w:t>
      </w:r>
      <w:r>
        <w:rPr>
          <w:spacing w:val="-10"/>
          <w:w w:val="105"/>
          <w:sz w:val="21"/>
        </w:rPr>
        <w:t> </w:t>
      </w:r>
      <w:r>
        <w:rPr>
          <w:w w:val="105"/>
          <w:sz w:val="21"/>
        </w:rPr>
        <w:t>section</w:t>
      </w:r>
      <w:r>
        <w:rPr>
          <w:spacing w:val="-9"/>
          <w:w w:val="105"/>
          <w:sz w:val="21"/>
        </w:rPr>
        <w:t> </w:t>
      </w:r>
      <w:r>
        <w:rPr>
          <w:spacing w:val="-3"/>
          <w:w w:val="105"/>
          <w:sz w:val="21"/>
        </w:rPr>
        <w:t>79</w:t>
      </w:r>
      <w:r>
        <w:rPr>
          <w:spacing w:val="-9"/>
          <w:w w:val="105"/>
          <w:sz w:val="21"/>
        </w:rPr>
        <w:t> </w:t>
      </w:r>
      <w:r>
        <w:rPr>
          <w:w w:val="105"/>
          <w:sz w:val="21"/>
        </w:rPr>
        <w:t>of</w:t>
      </w:r>
      <w:r>
        <w:rPr>
          <w:spacing w:val="-10"/>
          <w:w w:val="105"/>
          <w:sz w:val="21"/>
        </w:rPr>
        <w:t> </w:t>
      </w:r>
      <w:r>
        <w:rPr>
          <w:w w:val="105"/>
          <w:sz w:val="21"/>
        </w:rPr>
        <w:t>the </w:t>
      </w:r>
      <w:r>
        <w:rPr>
          <w:spacing w:val="-3"/>
          <w:w w:val="105"/>
          <w:sz w:val="21"/>
        </w:rPr>
        <w:t>Administration </w:t>
      </w:r>
      <w:r>
        <w:rPr>
          <w:w w:val="105"/>
          <w:sz w:val="21"/>
        </w:rPr>
        <w:t>and </w:t>
      </w:r>
      <w:r>
        <w:rPr>
          <w:spacing w:val="-3"/>
          <w:w w:val="105"/>
          <w:sz w:val="21"/>
        </w:rPr>
        <w:t>Probate </w:t>
      </w:r>
      <w:r>
        <w:rPr>
          <w:w w:val="105"/>
          <w:sz w:val="21"/>
        </w:rPr>
        <w:t>Act </w:t>
      </w:r>
      <w:r>
        <w:rPr>
          <w:spacing w:val="-3"/>
          <w:w w:val="105"/>
          <w:sz w:val="21"/>
        </w:rPr>
        <w:t>are valued </w:t>
      </w:r>
      <w:r>
        <w:rPr>
          <w:w w:val="105"/>
          <w:sz w:val="21"/>
        </w:rPr>
        <w:t>at </w:t>
      </w:r>
      <w:r>
        <w:rPr>
          <w:spacing w:val="-4"/>
          <w:w w:val="105"/>
          <w:sz w:val="21"/>
        </w:rPr>
        <w:t>$10,000 </w:t>
      </w:r>
      <w:r>
        <w:rPr>
          <w:w w:val="105"/>
          <w:sz w:val="21"/>
        </w:rPr>
        <w:t>or less</w:t>
      </w:r>
      <w:r>
        <w:rPr>
          <w:w w:val="105"/>
          <w:position w:val="7"/>
          <w:sz w:val="12"/>
        </w:rPr>
        <w:t>101 </w:t>
      </w:r>
      <w:r>
        <w:rPr>
          <w:w w:val="105"/>
          <w:sz w:val="21"/>
        </w:rPr>
        <w:t>and </w:t>
      </w:r>
      <w:r>
        <w:rPr>
          <w:spacing w:val="-3"/>
          <w:w w:val="105"/>
          <w:sz w:val="21"/>
        </w:rPr>
        <w:t>that </w:t>
      </w:r>
      <w:r>
        <w:rPr>
          <w:w w:val="105"/>
          <w:sz w:val="21"/>
        </w:rPr>
        <w:t>the cost</w:t>
      </w:r>
      <w:r>
        <w:rPr>
          <w:spacing w:val="36"/>
          <w:w w:val="105"/>
          <w:sz w:val="21"/>
        </w:rPr>
        <w:t> </w:t>
      </w:r>
      <w:r>
        <w:rPr>
          <w:w w:val="105"/>
          <w:sz w:val="21"/>
        </w:rPr>
        <w:t>of</w:t>
      </w:r>
    </w:p>
    <w:p>
      <w:pPr>
        <w:pStyle w:val="BodyText"/>
        <w:spacing w:line="242" w:lineRule="auto" w:before="3"/>
        <w:ind w:left="2381" w:right="1826"/>
      </w:pPr>
      <w:r>
        <w:rPr>
          <w:spacing w:val="-3"/>
        </w:rPr>
        <w:t>administering </w:t>
      </w:r>
      <w:r>
        <w:rPr/>
        <w:t>them is </w:t>
      </w:r>
      <w:r>
        <w:rPr>
          <w:spacing w:val="-3"/>
        </w:rPr>
        <w:t>higher than </w:t>
      </w:r>
      <w:r>
        <w:rPr/>
        <w:t>the </w:t>
      </w:r>
      <w:r>
        <w:rPr>
          <w:spacing w:val="-3"/>
        </w:rPr>
        <w:t>amount that could </w:t>
      </w:r>
      <w:r>
        <w:rPr/>
        <w:t>be collected in </w:t>
      </w:r>
      <w:r>
        <w:rPr>
          <w:spacing w:val="-3"/>
        </w:rPr>
        <w:t>commission </w:t>
      </w:r>
      <w:r>
        <w:rPr/>
        <w:t>and fees. </w:t>
      </w:r>
      <w:r>
        <w:rPr>
          <w:spacing w:val="-3"/>
        </w:rPr>
        <w:t>State </w:t>
      </w:r>
      <w:r>
        <w:rPr>
          <w:spacing w:val="-4"/>
        </w:rPr>
        <w:t>Trustees </w:t>
      </w:r>
      <w:r>
        <w:rPr/>
        <w:t>receives a subsidy </w:t>
      </w:r>
      <w:r>
        <w:rPr>
          <w:spacing w:val="-3"/>
        </w:rPr>
        <w:t>to ensure that </w:t>
      </w:r>
      <w:r>
        <w:rPr/>
        <w:t>a </w:t>
      </w:r>
      <w:r>
        <w:rPr>
          <w:spacing w:val="-3"/>
        </w:rPr>
        <w:t>form </w:t>
      </w:r>
      <w:r>
        <w:rPr/>
        <w:t>of </w:t>
      </w:r>
      <w:r>
        <w:rPr>
          <w:spacing w:val="-3"/>
        </w:rPr>
        <w:t>regulated administration remains available for smaller</w:t>
      </w:r>
      <w:r>
        <w:rPr>
          <w:spacing w:val="-2"/>
        </w:rPr>
        <w:t> </w:t>
      </w:r>
      <w:r>
        <w:rPr/>
        <w:t>estates.</w:t>
      </w:r>
    </w:p>
    <w:p>
      <w:pPr>
        <w:pStyle w:val="ListParagraph"/>
        <w:numPr>
          <w:ilvl w:val="1"/>
          <w:numId w:val="22"/>
        </w:numPr>
        <w:tabs>
          <w:tab w:pos="2380" w:val="left" w:leader="none"/>
          <w:tab w:pos="2381" w:val="left" w:leader="none"/>
        </w:tabs>
        <w:spacing w:line="242" w:lineRule="auto" w:before="123" w:after="0"/>
        <w:ind w:left="2380" w:right="1592" w:hanging="793"/>
        <w:jc w:val="left"/>
        <w:rPr>
          <w:sz w:val="12"/>
        </w:rPr>
      </w:pPr>
      <w:r>
        <w:rPr>
          <w:sz w:val="21"/>
        </w:rPr>
        <w:t>Under its community services </w:t>
      </w:r>
      <w:r>
        <w:rPr>
          <w:spacing w:val="-2"/>
          <w:sz w:val="21"/>
        </w:rPr>
        <w:t>agreement </w:t>
      </w:r>
      <w:r>
        <w:rPr>
          <w:sz w:val="21"/>
        </w:rPr>
        <w:t>with the Department of </w:t>
      </w:r>
      <w:r>
        <w:rPr>
          <w:spacing w:val="-3"/>
          <w:sz w:val="21"/>
        </w:rPr>
        <w:t>Human </w:t>
      </w:r>
      <w:r>
        <w:rPr>
          <w:sz w:val="21"/>
        </w:rPr>
        <w:t>Services, </w:t>
      </w:r>
      <w:r>
        <w:rPr>
          <w:spacing w:val="-3"/>
          <w:sz w:val="21"/>
        </w:rPr>
        <w:t>State </w:t>
      </w:r>
      <w:r>
        <w:rPr>
          <w:spacing w:val="-4"/>
          <w:sz w:val="21"/>
        </w:rPr>
        <w:t>Trustees </w:t>
      </w:r>
      <w:r>
        <w:rPr>
          <w:sz w:val="21"/>
        </w:rPr>
        <w:t>receives </w:t>
      </w:r>
      <w:r>
        <w:rPr>
          <w:spacing w:val="-3"/>
          <w:sz w:val="21"/>
        </w:rPr>
        <w:t>funding from </w:t>
      </w:r>
      <w:r>
        <w:rPr>
          <w:sz w:val="21"/>
        </w:rPr>
        <w:t>the  </w:t>
      </w:r>
      <w:r>
        <w:rPr>
          <w:spacing w:val="-3"/>
          <w:sz w:val="21"/>
        </w:rPr>
        <w:t>government  to  ensure  that  </w:t>
      </w:r>
      <w:r>
        <w:rPr>
          <w:sz w:val="21"/>
        </w:rPr>
        <w:t>members  of  the  </w:t>
      </w:r>
      <w:r>
        <w:rPr>
          <w:spacing w:val="-3"/>
          <w:sz w:val="21"/>
        </w:rPr>
        <w:t>public have </w:t>
      </w:r>
      <w:r>
        <w:rPr>
          <w:spacing w:val="-2"/>
          <w:sz w:val="21"/>
        </w:rPr>
        <w:t>access </w:t>
      </w:r>
      <w:r>
        <w:rPr>
          <w:spacing w:val="-3"/>
          <w:sz w:val="21"/>
        </w:rPr>
        <w:t>to </w:t>
      </w:r>
      <w:r>
        <w:rPr>
          <w:sz w:val="21"/>
        </w:rPr>
        <w:t>services </w:t>
      </w:r>
      <w:r>
        <w:rPr>
          <w:spacing w:val="-3"/>
          <w:sz w:val="21"/>
        </w:rPr>
        <w:t>relating to managing </w:t>
      </w:r>
      <w:r>
        <w:rPr>
          <w:sz w:val="21"/>
        </w:rPr>
        <w:t>and </w:t>
      </w:r>
      <w:r>
        <w:rPr>
          <w:spacing w:val="-3"/>
          <w:sz w:val="21"/>
        </w:rPr>
        <w:t>administering </w:t>
      </w:r>
      <w:r>
        <w:rPr>
          <w:sz w:val="21"/>
        </w:rPr>
        <w:t>their estates and property. This </w:t>
      </w:r>
      <w:r>
        <w:rPr>
          <w:spacing w:val="-3"/>
          <w:sz w:val="21"/>
        </w:rPr>
        <w:t>relates </w:t>
      </w:r>
      <w:r>
        <w:rPr>
          <w:spacing w:val="-2"/>
          <w:sz w:val="21"/>
        </w:rPr>
        <w:t>not </w:t>
      </w:r>
      <w:r>
        <w:rPr>
          <w:sz w:val="21"/>
        </w:rPr>
        <w:t>only </w:t>
      </w:r>
      <w:r>
        <w:rPr>
          <w:spacing w:val="-3"/>
          <w:sz w:val="21"/>
        </w:rPr>
        <w:t>to </w:t>
      </w:r>
      <w:r>
        <w:rPr>
          <w:sz w:val="21"/>
        </w:rPr>
        <w:t>deceased estates, but also </w:t>
      </w:r>
      <w:r>
        <w:rPr>
          <w:spacing w:val="-3"/>
          <w:sz w:val="21"/>
        </w:rPr>
        <w:t>to </w:t>
      </w:r>
      <w:r>
        <w:rPr>
          <w:sz w:val="21"/>
        </w:rPr>
        <w:t>trust </w:t>
      </w:r>
      <w:r>
        <w:rPr>
          <w:spacing w:val="-3"/>
          <w:sz w:val="21"/>
        </w:rPr>
        <w:t>administration </w:t>
      </w:r>
      <w:r>
        <w:rPr>
          <w:sz w:val="21"/>
        </w:rPr>
        <w:t>and </w:t>
      </w:r>
      <w:r>
        <w:rPr>
          <w:spacing w:val="-3"/>
          <w:sz w:val="21"/>
        </w:rPr>
        <w:t>guardianship services.</w:t>
      </w:r>
      <w:r>
        <w:rPr>
          <w:spacing w:val="-3"/>
          <w:position w:val="7"/>
          <w:sz w:val="12"/>
        </w:rPr>
        <w:t>102</w:t>
      </w:r>
    </w:p>
    <w:p>
      <w:pPr>
        <w:pStyle w:val="ListParagraph"/>
        <w:numPr>
          <w:ilvl w:val="1"/>
          <w:numId w:val="22"/>
        </w:numPr>
        <w:tabs>
          <w:tab w:pos="2381" w:val="left" w:leader="none"/>
          <w:tab w:pos="2382" w:val="left" w:leader="none"/>
        </w:tabs>
        <w:spacing w:line="242" w:lineRule="auto" w:before="126" w:after="0"/>
        <w:ind w:left="2381" w:right="1694" w:hanging="794"/>
        <w:jc w:val="left"/>
        <w:rPr>
          <w:sz w:val="21"/>
        </w:rPr>
      </w:pPr>
      <w:r>
        <w:rPr>
          <w:sz w:val="21"/>
        </w:rPr>
        <w:t>The Victorian </w:t>
      </w:r>
      <w:r>
        <w:rPr>
          <w:spacing w:val="-3"/>
          <w:sz w:val="21"/>
        </w:rPr>
        <w:t>Civil </w:t>
      </w:r>
      <w:r>
        <w:rPr>
          <w:sz w:val="21"/>
        </w:rPr>
        <w:t>and </w:t>
      </w:r>
      <w:r>
        <w:rPr>
          <w:spacing w:val="-3"/>
          <w:sz w:val="21"/>
        </w:rPr>
        <w:t>Administrative </w:t>
      </w:r>
      <w:r>
        <w:rPr>
          <w:spacing w:val="-5"/>
          <w:sz w:val="21"/>
        </w:rPr>
        <w:t>Tribunal </w:t>
      </w:r>
      <w:r>
        <w:rPr>
          <w:spacing w:val="-3"/>
          <w:sz w:val="21"/>
        </w:rPr>
        <w:t>frequently </w:t>
      </w:r>
      <w:r>
        <w:rPr>
          <w:sz w:val="21"/>
        </w:rPr>
        <w:t>appoints </w:t>
      </w:r>
      <w:r>
        <w:rPr>
          <w:spacing w:val="-3"/>
          <w:sz w:val="21"/>
        </w:rPr>
        <w:t>State </w:t>
      </w:r>
      <w:r>
        <w:rPr>
          <w:spacing w:val="-4"/>
          <w:sz w:val="21"/>
        </w:rPr>
        <w:t>Trustees </w:t>
      </w:r>
      <w:r>
        <w:rPr>
          <w:sz w:val="21"/>
        </w:rPr>
        <w:t>as </w:t>
      </w:r>
      <w:r>
        <w:rPr>
          <w:spacing w:val="-3"/>
          <w:sz w:val="21"/>
        </w:rPr>
        <w:t>administrator </w:t>
      </w:r>
      <w:r>
        <w:rPr>
          <w:sz w:val="21"/>
        </w:rPr>
        <w:t>of homeless, disadvantaged or  otherwise  </w:t>
      </w:r>
      <w:r>
        <w:rPr>
          <w:spacing w:val="-3"/>
          <w:sz w:val="21"/>
        </w:rPr>
        <w:t>marginalised  </w:t>
      </w:r>
      <w:r>
        <w:rPr>
          <w:sz w:val="21"/>
        </w:rPr>
        <w:t>people  who  </w:t>
      </w:r>
      <w:r>
        <w:rPr>
          <w:spacing w:val="-3"/>
          <w:sz w:val="21"/>
        </w:rPr>
        <w:t>are </w:t>
      </w:r>
      <w:r>
        <w:rPr>
          <w:spacing w:val="-4"/>
          <w:sz w:val="21"/>
        </w:rPr>
        <w:t>likely </w:t>
      </w:r>
      <w:r>
        <w:rPr>
          <w:spacing w:val="-3"/>
          <w:sz w:val="21"/>
        </w:rPr>
        <w:t>to have </w:t>
      </w:r>
      <w:r>
        <w:rPr>
          <w:sz w:val="21"/>
        </w:rPr>
        <w:t>very </w:t>
      </w:r>
      <w:r>
        <w:rPr>
          <w:spacing w:val="-3"/>
          <w:sz w:val="21"/>
        </w:rPr>
        <w:t>small </w:t>
      </w:r>
      <w:r>
        <w:rPr>
          <w:sz w:val="21"/>
        </w:rPr>
        <w:t>estates. It is important </w:t>
      </w:r>
      <w:r>
        <w:rPr>
          <w:spacing w:val="-3"/>
          <w:sz w:val="21"/>
        </w:rPr>
        <w:t>that  </w:t>
      </w:r>
      <w:r>
        <w:rPr>
          <w:sz w:val="21"/>
        </w:rPr>
        <w:t>there </w:t>
      </w:r>
      <w:r>
        <w:rPr>
          <w:spacing w:val="-3"/>
          <w:sz w:val="21"/>
        </w:rPr>
        <w:t>continues</w:t>
      </w:r>
      <w:r>
        <w:rPr>
          <w:spacing w:val="41"/>
          <w:sz w:val="21"/>
        </w:rPr>
        <w:t> </w:t>
      </w:r>
      <w:r>
        <w:rPr>
          <w:spacing w:val="-3"/>
          <w:sz w:val="21"/>
        </w:rPr>
        <w:t>to  </w:t>
      </w:r>
      <w:r>
        <w:rPr>
          <w:sz w:val="21"/>
        </w:rPr>
        <w:t>be an </w:t>
      </w:r>
      <w:r>
        <w:rPr>
          <w:spacing w:val="-3"/>
          <w:sz w:val="21"/>
        </w:rPr>
        <w:t>organisation </w:t>
      </w:r>
      <w:r>
        <w:rPr>
          <w:sz w:val="21"/>
        </w:rPr>
        <w:t>in Victoria </w:t>
      </w:r>
      <w:r>
        <w:rPr>
          <w:spacing w:val="-3"/>
          <w:sz w:val="21"/>
        </w:rPr>
        <w:t>that </w:t>
      </w:r>
      <w:r>
        <w:rPr>
          <w:sz w:val="21"/>
        </w:rPr>
        <w:t>is </w:t>
      </w:r>
      <w:r>
        <w:rPr>
          <w:spacing w:val="-3"/>
          <w:sz w:val="21"/>
        </w:rPr>
        <w:t>prepared to administer </w:t>
      </w:r>
      <w:r>
        <w:rPr>
          <w:sz w:val="21"/>
        </w:rPr>
        <w:t>the estates of these people on </w:t>
      </w:r>
      <w:r>
        <w:rPr>
          <w:spacing w:val="-3"/>
          <w:sz w:val="21"/>
        </w:rPr>
        <w:t>death, </w:t>
      </w:r>
      <w:r>
        <w:rPr>
          <w:sz w:val="21"/>
        </w:rPr>
        <w:t>and </w:t>
      </w:r>
      <w:r>
        <w:rPr>
          <w:spacing w:val="-3"/>
          <w:sz w:val="21"/>
        </w:rPr>
        <w:t>to administer small </w:t>
      </w:r>
      <w:r>
        <w:rPr>
          <w:sz w:val="21"/>
        </w:rPr>
        <w:t>estates</w:t>
      </w:r>
      <w:r>
        <w:rPr>
          <w:spacing w:val="32"/>
          <w:sz w:val="21"/>
        </w:rPr>
        <w:t> </w:t>
      </w:r>
      <w:r>
        <w:rPr>
          <w:spacing w:val="-4"/>
          <w:sz w:val="21"/>
        </w:rPr>
        <w:t>generally.</w:t>
      </w:r>
    </w:p>
    <w:p>
      <w:pPr>
        <w:pStyle w:val="ListParagraph"/>
        <w:numPr>
          <w:ilvl w:val="1"/>
          <w:numId w:val="22"/>
        </w:numPr>
        <w:tabs>
          <w:tab w:pos="2381" w:val="left" w:leader="none"/>
          <w:tab w:pos="2382" w:val="left" w:leader="none"/>
        </w:tabs>
        <w:spacing w:line="242" w:lineRule="auto" w:before="125" w:after="0"/>
        <w:ind w:left="2381" w:right="1876" w:hanging="794"/>
        <w:jc w:val="left"/>
        <w:rPr>
          <w:sz w:val="21"/>
        </w:rPr>
      </w:pPr>
      <w:r>
        <w:rPr>
          <w:w w:val="105"/>
          <w:sz w:val="21"/>
        </w:rPr>
        <w:t>The </w:t>
      </w:r>
      <w:r>
        <w:rPr>
          <w:spacing w:val="-3"/>
          <w:w w:val="105"/>
          <w:sz w:val="21"/>
        </w:rPr>
        <w:t>Commission </w:t>
      </w:r>
      <w:r>
        <w:rPr>
          <w:w w:val="105"/>
          <w:sz w:val="21"/>
        </w:rPr>
        <w:t>is of the view </w:t>
      </w:r>
      <w:r>
        <w:rPr>
          <w:spacing w:val="-3"/>
          <w:w w:val="105"/>
          <w:sz w:val="21"/>
        </w:rPr>
        <w:t>that </w:t>
      </w:r>
      <w:r>
        <w:rPr>
          <w:w w:val="105"/>
          <w:sz w:val="21"/>
        </w:rPr>
        <w:t>the </w:t>
      </w:r>
      <w:r>
        <w:rPr>
          <w:spacing w:val="-3"/>
          <w:w w:val="105"/>
          <w:sz w:val="21"/>
        </w:rPr>
        <w:t>current </w:t>
      </w:r>
      <w:r>
        <w:rPr>
          <w:w w:val="105"/>
          <w:sz w:val="21"/>
        </w:rPr>
        <w:t>system can be </w:t>
      </w:r>
      <w:r>
        <w:rPr>
          <w:spacing w:val="-3"/>
          <w:w w:val="105"/>
          <w:sz w:val="21"/>
        </w:rPr>
        <w:t>improved </w:t>
      </w:r>
      <w:r>
        <w:rPr>
          <w:w w:val="105"/>
          <w:sz w:val="21"/>
        </w:rPr>
        <w:t>by </w:t>
      </w:r>
      <w:r>
        <w:rPr>
          <w:spacing w:val="-3"/>
          <w:w w:val="105"/>
          <w:sz w:val="21"/>
        </w:rPr>
        <w:t>redesigning </w:t>
      </w:r>
      <w:r>
        <w:rPr>
          <w:w w:val="105"/>
          <w:sz w:val="21"/>
        </w:rPr>
        <w:t>the expedited grants </w:t>
      </w:r>
      <w:r>
        <w:rPr>
          <w:spacing w:val="-3"/>
          <w:w w:val="105"/>
          <w:sz w:val="21"/>
        </w:rPr>
        <w:t>to take </w:t>
      </w:r>
      <w:r>
        <w:rPr>
          <w:spacing w:val="-4"/>
          <w:w w:val="105"/>
          <w:sz w:val="21"/>
        </w:rPr>
        <w:t>into </w:t>
      </w:r>
      <w:r>
        <w:rPr>
          <w:spacing w:val="-3"/>
          <w:w w:val="105"/>
          <w:sz w:val="21"/>
        </w:rPr>
        <w:t>account </w:t>
      </w:r>
      <w:r>
        <w:rPr>
          <w:w w:val="105"/>
          <w:sz w:val="21"/>
        </w:rPr>
        <w:t>actual usage and the </w:t>
      </w:r>
      <w:r>
        <w:rPr>
          <w:spacing w:val="-3"/>
          <w:w w:val="105"/>
          <w:sz w:val="21"/>
        </w:rPr>
        <w:t>concerns </w:t>
      </w:r>
      <w:r>
        <w:rPr>
          <w:w w:val="105"/>
          <w:sz w:val="21"/>
        </w:rPr>
        <w:t>of the major </w:t>
      </w:r>
      <w:r>
        <w:rPr>
          <w:spacing w:val="-3"/>
          <w:w w:val="105"/>
          <w:sz w:val="21"/>
        </w:rPr>
        <w:t>interested </w:t>
      </w:r>
      <w:r>
        <w:rPr>
          <w:w w:val="105"/>
          <w:sz w:val="21"/>
        </w:rPr>
        <w:t>parties in this area—the Registrar of Probates and </w:t>
      </w:r>
      <w:r>
        <w:rPr>
          <w:spacing w:val="-3"/>
          <w:w w:val="105"/>
          <w:sz w:val="21"/>
        </w:rPr>
        <w:t>State</w:t>
      </w:r>
      <w:r>
        <w:rPr>
          <w:spacing w:val="-18"/>
          <w:w w:val="105"/>
          <w:sz w:val="21"/>
        </w:rPr>
        <w:t> </w:t>
      </w:r>
      <w:r>
        <w:rPr>
          <w:spacing w:val="-4"/>
          <w:w w:val="105"/>
          <w:sz w:val="21"/>
        </w:rPr>
        <w:t>Trustees.</w:t>
      </w:r>
    </w:p>
    <w:p>
      <w:pPr>
        <w:pStyle w:val="BodyText"/>
        <w:rPr>
          <w:sz w:val="25"/>
        </w:rPr>
      </w:pPr>
    </w:p>
    <w:p>
      <w:pPr>
        <w:pStyle w:val="Heading5"/>
      </w:pPr>
      <w:r>
        <w:rPr>
          <w:w w:val="115"/>
        </w:rPr>
        <w:t>Repeal of section 11A of the Trustee Companies Act</w:t>
      </w:r>
    </w:p>
    <w:p>
      <w:pPr>
        <w:pStyle w:val="ListParagraph"/>
        <w:numPr>
          <w:ilvl w:val="1"/>
          <w:numId w:val="22"/>
        </w:numPr>
        <w:tabs>
          <w:tab w:pos="2380" w:val="left" w:leader="none"/>
          <w:tab w:pos="2381" w:val="left" w:leader="none"/>
        </w:tabs>
        <w:spacing w:line="242" w:lineRule="auto" w:before="137" w:after="0"/>
        <w:ind w:left="2381" w:right="1617" w:hanging="794"/>
        <w:jc w:val="left"/>
        <w:rPr>
          <w:sz w:val="12"/>
        </w:rPr>
      </w:pPr>
      <w:r>
        <w:rPr>
          <w:sz w:val="21"/>
        </w:rPr>
        <w:t>The Registrar </w:t>
      </w:r>
      <w:r>
        <w:rPr>
          <w:spacing w:val="-2"/>
          <w:sz w:val="21"/>
        </w:rPr>
        <w:t>has </w:t>
      </w:r>
      <w:r>
        <w:rPr>
          <w:sz w:val="21"/>
        </w:rPr>
        <w:t>expressed the view </w:t>
      </w:r>
      <w:r>
        <w:rPr>
          <w:spacing w:val="-3"/>
          <w:sz w:val="21"/>
        </w:rPr>
        <w:t>that </w:t>
      </w:r>
      <w:r>
        <w:rPr>
          <w:sz w:val="21"/>
        </w:rPr>
        <w:t>he would strongly </w:t>
      </w:r>
      <w:r>
        <w:rPr>
          <w:spacing w:val="-3"/>
          <w:sz w:val="21"/>
        </w:rPr>
        <w:t>prefer that all </w:t>
      </w:r>
      <w:r>
        <w:rPr>
          <w:sz w:val="21"/>
        </w:rPr>
        <w:t>estates be </w:t>
      </w:r>
      <w:r>
        <w:rPr>
          <w:spacing w:val="-3"/>
          <w:sz w:val="21"/>
        </w:rPr>
        <w:t>administered </w:t>
      </w:r>
      <w:r>
        <w:rPr>
          <w:sz w:val="21"/>
        </w:rPr>
        <w:t>under a </w:t>
      </w:r>
      <w:r>
        <w:rPr>
          <w:spacing w:val="-3"/>
          <w:sz w:val="21"/>
        </w:rPr>
        <w:t>full grant </w:t>
      </w:r>
      <w:r>
        <w:rPr>
          <w:sz w:val="21"/>
        </w:rPr>
        <w:t>(where </w:t>
      </w:r>
      <w:r>
        <w:rPr>
          <w:spacing w:val="-3"/>
          <w:sz w:val="21"/>
        </w:rPr>
        <w:t>informal administration  </w:t>
      </w:r>
      <w:r>
        <w:rPr>
          <w:sz w:val="21"/>
        </w:rPr>
        <w:t>is </w:t>
      </w:r>
      <w:r>
        <w:rPr>
          <w:spacing w:val="-2"/>
          <w:sz w:val="21"/>
        </w:rPr>
        <w:t>not</w:t>
      </w:r>
      <w:r>
        <w:rPr>
          <w:spacing w:val="43"/>
          <w:sz w:val="21"/>
        </w:rPr>
        <w:t> </w:t>
      </w:r>
      <w:r>
        <w:rPr>
          <w:sz w:val="21"/>
        </w:rPr>
        <w:t>possible). </w:t>
      </w:r>
      <w:r>
        <w:rPr>
          <w:spacing w:val="-3"/>
          <w:sz w:val="21"/>
        </w:rPr>
        <w:t>Reform  to </w:t>
      </w:r>
      <w:r>
        <w:rPr>
          <w:sz w:val="21"/>
        </w:rPr>
        <w:t>the cost of </w:t>
      </w:r>
      <w:r>
        <w:rPr>
          <w:spacing w:val="-3"/>
          <w:sz w:val="21"/>
        </w:rPr>
        <w:t>obtaining </w:t>
      </w:r>
      <w:r>
        <w:rPr>
          <w:sz w:val="21"/>
        </w:rPr>
        <w:t>a </w:t>
      </w:r>
      <w:r>
        <w:rPr>
          <w:spacing w:val="-3"/>
          <w:sz w:val="21"/>
        </w:rPr>
        <w:t>grant </w:t>
      </w:r>
      <w:r>
        <w:rPr>
          <w:sz w:val="21"/>
        </w:rPr>
        <w:t>would </w:t>
      </w:r>
      <w:r>
        <w:rPr>
          <w:spacing w:val="-3"/>
          <w:sz w:val="21"/>
        </w:rPr>
        <w:t>promote </w:t>
      </w:r>
      <w:r>
        <w:rPr>
          <w:spacing w:val="-2"/>
          <w:sz w:val="21"/>
        </w:rPr>
        <w:t>access </w:t>
      </w:r>
      <w:r>
        <w:rPr>
          <w:spacing w:val="-3"/>
          <w:sz w:val="21"/>
        </w:rPr>
        <w:t>to </w:t>
      </w:r>
      <w:r>
        <w:rPr>
          <w:sz w:val="21"/>
        </w:rPr>
        <w:t>this system, and </w:t>
      </w:r>
      <w:r>
        <w:rPr>
          <w:spacing w:val="-2"/>
          <w:sz w:val="21"/>
        </w:rPr>
        <w:t>has </w:t>
      </w:r>
      <w:r>
        <w:rPr>
          <w:sz w:val="21"/>
        </w:rPr>
        <w:t>the </w:t>
      </w:r>
      <w:r>
        <w:rPr>
          <w:spacing w:val="-3"/>
          <w:sz w:val="21"/>
        </w:rPr>
        <w:t>Registrar’s </w:t>
      </w:r>
      <w:r>
        <w:rPr>
          <w:sz w:val="21"/>
        </w:rPr>
        <w:t>in-principle</w:t>
      </w:r>
      <w:r>
        <w:rPr>
          <w:spacing w:val="8"/>
          <w:sz w:val="21"/>
        </w:rPr>
        <w:t> </w:t>
      </w:r>
      <w:r>
        <w:rPr>
          <w:spacing w:val="-4"/>
          <w:sz w:val="21"/>
        </w:rPr>
        <w:t>support.</w:t>
      </w:r>
      <w:r>
        <w:rPr>
          <w:spacing w:val="-4"/>
          <w:position w:val="7"/>
          <w:sz w:val="12"/>
        </w:rPr>
        <w:t>103</w:t>
      </w:r>
    </w:p>
    <w:p>
      <w:pPr>
        <w:pStyle w:val="ListParagraph"/>
        <w:numPr>
          <w:ilvl w:val="1"/>
          <w:numId w:val="22"/>
        </w:numPr>
        <w:tabs>
          <w:tab w:pos="2381" w:val="left" w:leader="none"/>
          <w:tab w:pos="2382" w:val="left" w:leader="none"/>
        </w:tabs>
        <w:spacing w:line="242" w:lineRule="auto" w:before="125" w:after="0"/>
        <w:ind w:left="2381" w:right="1732" w:hanging="794"/>
        <w:jc w:val="left"/>
        <w:rPr>
          <w:sz w:val="21"/>
        </w:rPr>
      </w:pPr>
      <w:r>
        <w:rPr>
          <w:spacing w:val="-3"/>
          <w:w w:val="105"/>
          <w:sz w:val="21"/>
        </w:rPr>
        <w:t>State</w:t>
      </w:r>
      <w:r>
        <w:rPr>
          <w:spacing w:val="-7"/>
          <w:w w:val="105"/>
          <w:sz w:val="21"/>
        </w:rPr>
        <w:t> </w:t>
      </w:r>
      <w:r>
        <w:rPr>
          <w:spacing w:val="-3"/>
          <w:w w:val="105"/>
          <w:sz w:val="21"/>
        </w:rPr>
        <w:t>Trustees,</w:t>
      </w:r>
      <w:r>
        <w:rPr>
          <w:spacing w:val="-6"/>
          <w:w w:val="105"/>
          <w:sz w:val="21"/>
        </w:rPr>
        <w:t> </w:t>
      </w:r>
      <w:r>
        <w:rPr>
          <w:w w:val="105"/>
          <w:sz w:val="21"/>
        </w:rPr>
        <w:t>on</w:t>
      </w:r>
      <w:r>
        <w:rPr>
          <w:spacing w:val="-7"/>
          <w:w w:val="105"/>
          <w:sz w:val="21"/>
        </w:rPr>
        <w:t> </w:t>
      </w:r>
      <w:r>
        <w:rPr>
          <w:w w:val="105"/>
          <w:sz w:val="21"/>
        </w:rPr>
        <w:t>the</w:t>
      </w:r>
      <w:r>
        <w:rPr>
          <w:spacing w:val="-6"/>
          <w:w w:val="105"/>
          <w:sz w:val="21"/>
        </w:rPr>
        <w:t> </w:t>
      </w:r>
      <w:r>
        <w:rPr>
          <w:w w:val="105"/>
          <w:sz w:val="21"/>
        </w:rPr>
        <w:t>other</w:t>
      </w:r>
      <w:r>
        <w:rPr>
          <w:spacing w:val="-6"/>
          <w:w w:val="105"/>
          <w:sz w:val="21"/>
        </w:rPr>
        <w:t> </w:t>
      </w:r>
      <w:r>
        <w:rPr>
          <w:spacing w:val="-3"/>
          <w:w w:val="105"/>
          <w:sz w:val="21"/>
        </w:rPr>
        <w:t>hand,</w:t>
      </w:r>
      <w:r>
        <w:rPr>
          <w:spacing w:val="-7"/>
          <w:w w:val="105"/>
          <w:sz w:val="21"/>
        </w:rPr>
        <w:t> </w:t>
      </w:r>
      <w:r>
        <w:rPr>
          <w:spacing w:val="-2"/>
          <w:w w:val="105"/>
          <w:sz w:val="21"/>
        </w:rPr>
        <w:t>has</w:t>
      </w:r>
      <w:r>
        <w:rPr>
          <w:spacing w:val="-6"/>
          <w:w w:val="105"/>
          <w:sz w:val="21"/>
        </w:rPr>
        <w:t> </w:t>
      </w:r>
      <w:r>
        <w:rPr>
          <w:w w:val="105"/>
          <w:sz w:val="21"/>
        </w:rPr>
        <w:t>emphasised</w:t>
      </w:r>
      <w:r>
        <w:rPr>
          <w:spacing w:val="-7"/>
          <w:w w:val="105"/>
          <w:sz w:val="21"/>
        </w:rPr>
        <w:t> </w:t>
      </w:r>
      <w:r>
        <w:rPr>
          <w:spacing w:val="-3"/>
          <w:w w:val="105"/>
          <w:sz w:val="21"/>
        </w:rPr>
        <w:t>to</w:t>
      </w:r>
      <w:r>
        <w:rPr>
          <w:spacing w:val="-6"/>
          <w:w w:val="105"/>
          <w:sz w:val="21"/>
        </w:rPr>
        <w:t> </w:t>
      </w:r>
      <w:r>
        <w:rPr>
          <w:w w:val="105"/>
          <w:sz w:val="21"/>
        </w:rPr>
        <w:t>the</w:t>
      </w:r>
      <w:r>
        <w:rPr>
          <w:spacing w:val="-6"/>
          <w:w w:val="105"/>
          <w:sz w:val="21"/>
        </w:rPr>
        <w:t> </w:t>
      </w:r>
      <w:r>
        <w:rPr>
          <w:spacing w:val="-3"/>
          <w:w w:val="105"/>
          <w:sz w:val="21"/>
        </w:rPr>
        <w:t>Commission</w:t>
      </w:r>
      <w:r>
        <w:rPr>
          <w:spacing w:val="-7"/>
          <w:w w:val="105"/>
          <w:sz w:val="21"/>
        </w:rPr>
        <w:t> </w:t>
      </w:r>
      <w:r>
        <w:rPr>
          <w:w w:val="105"/>
          <w:sz w:val="21"/>
        </w:rPr>
        <w:t>the</w:t>
      </w:r>
      <w:r>
        <w:rPr>
          <w:spacing w:val="-6"/>
          <w:w w:val="105"/>
          <w:sz w:val="21"/>
        </w:rPr>
        <w:t> </w:t>
      </w:r>
      <w:r>
        <w:rPr>
          <w:w w:val="105"/>
          <w:sz w:val="21"/>
        </w:rPr>
        <w:t>importance</w:t>
      </w:r>
      <w:r>
        <w:rPr>
          <w:spacing w:val="-7"/>
          <w:w w:val="105"/>
          <w:sz w:val="21"/>
        </w:rPr>
        <w:t> </w:t>
      </w:r>
      <w:r>
        <w:rPr>
          <w:w w:val="105"/>
          <w:sz w:val="21"/>
        </w:rPr>
        <w:t>of the </w:t>
      </w:r>
      <w:r>
        <w:rPr>
          <w:spacing w:val="-3"/>
          <w:w w:val="105"/>
          <w:sz w:val="21"/>
        </w:rPr>
        <w:t>availability </w:t>
      </w:r>
      <w:r>
        <w:rPr>
          <w:w w:val="105"/>
          <w:sz w:val="21"/>
        </w:rPr>
        <w:t>of an expedited </w:t>
      </w:r>
      <w:r>
        <w:rPr>
          <w:spacing w:val="-3"/>
          <w:w w:val="105"/>
          <w:sz w:val="21"/>
        </w:rPr>
        <w:t>mechanism for </w:t>
      </w:r>
      <w:r>
        <w:rPr>
          <w:w w:val="105"/>
          <w:sz w:val="21"/>
        </w:rPr>
        <w:t>it </w:t>
      </w:r>
      <w:r>
        <w:rPr>
          <w:spacing w:val="-3"/>
          <w:w w:val="105"/>
          <w:sz w:val="21"/>
        </w:rPr>
        <w:t>to continue </w:t>
      </w:r>
      <w:r>
        <w:rPr>
          <w:w w:val="105"/>
          <w:sz w:val="21"/>
        </w:rPr>
        <w:t>in its role as </w:t>
      </w:r>
      <w:r>
        <w:rPr>
          <w:spacing w:val="-3"/>
          <w:w w:val="105"/>
          <w:sz w:val="21"/>
        </w:rPr>
        <w:t>administrator </w:t>
      </w:r>
      <w:r>
        <w:rPr>
          <w:w w:val="105"/>
          <w:sz w:val="21"/>
        </w:rPr>
        <w:t>of</w:t>
      </w:r>
      <w:r>
        <w:rPr>
          <w:spacing w:val="-9"/>
          <w:w w:val="105"/>
          <w:sz w:val="21"/>
        </w:rPr>
        <w:t> </w:t>
      </w:r>
      <w:r>
        <w:rPr>
          <w:spacing w:val="-3"/>
          <w:w w:val="105"/>
          <w:sz w:val="21"/>
        </w:rPr>
        <w:t>small</w:t>
      </w:r>
      <w:r>
        <w:rPr>
          <w:spacing w:val="-9"/>
          <w:w w:val="105"/>
          <w:sz w:val="21"/>
        </w:rPr>
        <w:t> </w:t>
      </w:r>
      <w:r>
        <w:rPr>
          <w:w w:val="105"/>
          <w:sz w:val="21"/>
        </w:rPr>
        <w:t>estates.</w:t>
      </w:r>
      <w:r>
        <w:rPr>
          <w:spacing w:val="-9"/>
          <w:w w:val="105"/>
          <w:sz w:val="21"/>
        </w:rPr>
        <w:t> </w:t>
      </w:r>
      <w:r>
        <w:rPr>
          <w:spacing w:val="-3"/>
          <w:w w:val="105"/>
          <w:sz w:val="21"/>
        </w:rPr>
        <w:t>State</w:t>
      </w:r>
      <w:r>
        <w:rPr>
          <w:spacing w:val="-9"/>
          <w:w w:val="105"/>
          <w:sz w:val="21"/>
        </w:rPr>
        <w:t> </w:t>
      </w:r>
      <w:r>
        <w:rPr>
          <w:spacing w:val="-4"/>
          <w:w w:val="105"/>
          <w:sz w:val="21"/>
        </w:rPr>
        <w:t>Trustees</w:t>
      </w:r>
      <w:r>
        <w:rPr>
          <w:spacing w:val="-9"/>
          <w:w w:val="105"/>
          <w:sz w:val="21"/>
        </w:rPr>
        <w:t> </w:t>
      </w:r>
      <w:r>
        <w:rPr>
          <w:w w:val="105"/>
          <w:sz w:val="21"/>
        </w:rPr>
        <w:t>is</w:t>
      </w:r>
      <w:r>
        <w:rPr>
          <w:spacing w:val="-9"/>
          <w:w w:val="105"/>
          <w:sz w:val="21"/>
        </w:rPr>
        <w:t> </w:t>
      </w:r>
      <w:r>
        <w:rPr>
          <w:spacing w:val="-2"/>
          <w:w w:val="105"/>
          <w:sz w:val="21"/>
        </w:rPr>
        <w:t>not</w:t>
      </w:r>
      <w:r>
        <w:rPr>
          <w:spacing w:val="-9"/>
          <w:w w:val="105"/>
          <w:sz w:val="21"/>
        </w:rPr>
        <w:t> </w:t>
      </w:r>
      <w:r>
        <w:rPr>
          <w:w w:val="105"/>
          <w:sz w:val="21"/>
        </w:rPr>
        <w:t>attracted</w:t>
      </w:r>
      <w:r>
        <w:rPr>
          <w:spacing w:val="-9"/>
          <w:w w:val="105"/>
          <w:sz w:val="21"/>
        </w:rPr>
        <w:t> </w:t>
      </w:r>
      <w:r>
        <w:rPr>
          <w:spacing w:val="-3"/>
          <w:w w:val="105"/>
          <w:sz w:val="21"/>
        </w:rPr>
        <w:t>to</w:t>
      </w:r>
      <w:r>
        <w:rPr>
          <w:spacing w:val="-9"/>
          <w:w w:val="105"/>
          <w:sz w:val="21"/>
        </w:rPr>
        <w:t> </w:t>
      </w:r>
      <w:r>
        <w:rPr>
          <w:w w:val="105"/>
          <w:sz w:val="21"/>
        </w:rPr>
        <w:t>the</w:t>
      </w:r>
      <w:r>
        <w:rPr>
          <w:spacing w:val="-9"/>
          <w:w w:val="105"/>
          <w:sz w:val="21"/>
        </w:rPr>
        <w:t> </w:t>
      </w:r>
      <w:r>
        <w:rPr>
          <w:w w:val="105"/>
          <w:sz w:val="21"/>
        </w:rPr>
        <w:t>election</w:t>
      </w:r>
      <w:r>
        <w:rPr>
          <w:spacing w:val="-8"/>
          <w:w w:val="105"/>
          <w:sz w:val="21"/>
        </w:rPr>
        <w:t> </w:t>
      </w:r>
      <w:r>
        <w:rPr>
          <w:spacing w:val="-3"/>
          <w:w w:val="105"/>
          <w:sz w:val="21"/>
        </w:rPr>
        <w:t>to</w:t>
      </w:r>
      <w:r>
        <w:rPr>
          <w:spacing w:val="-9"/>
          <w:w w:val="105"/>
          <w:sz w:val="21"/>
        </w:rPr>
        <w:t> </w:t>
      </w:r>
      <w:r>
        <w:rPr>
          <w:spacing w:val="-3"/>
          <w:w w:val="105"/>
          <w:sz w:val="21"/>
        </w:rPr>
        <w:t>administer</w:t>
      </w:r>
      <w:r>
        <w:rPr>
          <w:spacing w:val="-9"/>
          <w:w w:val="105"/>
          <w:sz w:val="21"/>
        </w:rPr>
        <w:t> </w:t>
      </w:r>
      <w:r>
        <w:rPr>
          <w:w w:val="105"/>
          <w:sz w:val="21"/>
        </w:rPr>
        <w:t>process</w:t>
      </w:r>
      <w:r>
        <w:rPr>
          <w:spacing w:val="-9"/>
          <w:w w:val="105"/>
          <w:sz w:val="21"/>
        </w:rPr>
        <w:t> </w:t>
      </w:r>
      <w:r>
        <w:rPr>
          <w:w w:val="105"/>
          <w:sz w:val="21"/>
        </w:rPr>
        <w:t>as</w:t>
      </w:r>
      <w:r>
        <w:rPr>
          <w:spacing w:val="-9"/>
          <w:w w:val="105"/>
          <w:sz w:val="21"/>
        </w:rPr>
        <w:t> </w:t>
      </w:r>
      <w:r>
        <w:rPr>
          <w:w w:val="105"/>
          <w:sz w:val="21"/>
        </w:rPr>
        <w:t>it </w:t>
      </w:r>
      <w:r>
        <w:rPr>
          <w:spacing w:val="-3"/>
          <w:w w:val="105"/>
          <w:sz w:val="21"/>
        </w:rPr>
        <w:t>entails </w:t>
      </w:r>
      <w:r>
        <w:rPr>
          <w:w w:val="105"/>
          <w:sz w:val="21"/>
        </w:rPr>
        <w:t>the </w:t>
      </w:r>
      <w:r>
        <w:rPr>
          <w:spacing w:val="-3"/>
          <w:w w:val="105"/>
          <w:sz w:val="21"/>
        </w:rPr>
        <w:t>filing </w:t>
      </w:r>
      <w:r>
        <w:rPr>
          <w:w w:val="105"/>
          <w:sz w:val="21"/>
        </w:rPr>
        <w:t>of documents and the payment of fees and is </w:t>
      </w:r>
      <w:r>
        <w:rPr>
          <w:spacing w:val="-2"/>
          <w:w w:val="105"/>
          <w:sz w:val="21"/>
        </w:rPr>
        <w:t>not </w:t>
      </w:r>
      <w:r>
        <w:rPr>
          <w:w w:val="105"/>
          <w:sz w:val="21"/>
        </w:rPr>
        <w:t>as straightforward as the process under section </w:t>
      </w:r>
      <w:r>
        <w:rPr>
          <w:spacing w:val="-3"/>
          <w:w w:val="105"/>
          <w:sz w:val="21"/>
        </w:rPr>
        <w:t>79 </w:t>
      </w:r>
      <w:r>
        <w:rPr>
          <w:w w:val="105"/>
          <w:sz w:val="21"/>
        </w:rPr>
        <w:t>of the </w:t>
      </w:r>
      <w:r>
        <w:rPr>
          <w:spacing w:val="-3"/>
          <w:w w:val="105"/>
          <w:sz w:val="21"/>
        </w:rPr>
        <w:t>Administration </w:t>
      </w:r>
      <w:r>
        <w:rPr>
          <w:w w:val="105"/>
          <w:sz w:val="21"/>
        </w:rPr>
        <w:t>and </w:t>
      </w:r>
      <w:r>
        <w:rPr>
          <w:spacing w:val="-3"/>
          <w:w w:val="105"/>
          <w:sz w:val="21"/>
        </w:rPr>
        <w:t>Probate </w:t>
      </w:r>
      <w:r>
        <w:rPr>
          <w:w w:val="105"/>
          <w:sz w:val="21"/>
        </w:rPr>
        <w:t>Act. The latter process is, in effect, little more </w:t>
      </w:r>
      <w:r>
        <w:rPr>
          <w:spacing w:val="-3"/>
          <w:w w:val="105"/>
          <w:sz w:val="21"/>
        </w:rPr>
        <w:t>than </w:t>
      </w:r>
      <w:r>
        <w:rPr>
          <w:w w:val="105"/>
          <w:sz w:val="21"/>
        </w:rPr>
        <w:t>an </w:t>
      </w:r>
      <w:r>
        <w:rPr>
          <w:spacing w:val="-3"/>
          <w:w w:val="105"/>
          <w:sz w:val="21"/>
        </w:rPr>
        <w:t>accounting exercise. State </w:t>
      </w:r>
      <w:r>
        <w:rPr>
          <w:spacing w:val="-4"/>
          <w:w w:val="105"/>
          <w:sz w:val="21"/>
        </w:rPr>
        <w:t>Trustees </w:t>
      </w:r>
      <w:r>
        <w:rPr>
          <w:w w:val="105"/>
          <w:sz w:val="21"/>
        </w:rPr>
        <w:t>also </w:t>
      </w:r>
      <w:r>
        <w:rPr>
          <w:spacing w:val="-3"/>
          <w:w w:val="105"/>
          <w:sz w:val="21"/>
        </w:rPr>
        <w:t>indicated that </w:t>
      </w:r>
      <w:r>
        <w:rPr>
          <w:w w:val="105"/>
          <w:sz w:val="21"/>
        </w:rPr>
        <w:t>it </w:t>
      </w:r>
      <w:r>
        <w:rPr>
          <w:spacing w:val="-3"/>
          <w:w w:val="105"/>
          <w:sz w:val="21"/>
        </w:rPr>
        <w:t>may </w:t>
      </w:r>
      <w:r>
        <w:rPr>
          <w:spacing w:val="-2"/>
          <w:w w:val="105"/>
          <w:sz w:val="21"/>
        </w:rPr>
        <w:t>not </w:t>
      </w:r>
      <w:r>
        <w:rPr>
          <w:w w:val="105"/>
          <w:sz w:val="21"/>
        </w:rPr>
        <w:t>stay in the field of </w:t>
      </w:r>
      <w:r>
        <w:rPr>
          <w:spacing w:val="-3"/>
          <w:w w:val="105"/>
          <w:sz w:val="21"/>
        </w:rPr>
        <w:t>small </w:t>
      </w:r>
      <w:r>
        <w:rPr>
          <w:w w:val="105"/>
          <w:sz w:val="21"/>
        </w:rPr>
        <w:t>estate </w:t>
      </w:r>
      <w:r>
        <w:rPr>
          <w:spacing w:val="-3"/>
          <w:w w:val="105"/>
          <w:sz w:val="21"/>
        </w:rPr>
        <w:t>administration were </w:t>
      </w:r>
      <w:r>
        <w:rPr>
          <w:w w:val="105"/>
          <w:sz w:val="21"/>
        </w:rPr>
        <w:t>the section </w:t>
      </w:r>
      <w:r>
        <w:rPr>
          <w:spacing w:val="-3"/>
          <w:w w:val="105"/>
          <w:sz w:val="21"/>
        </w:rPr>
        <w:t>79 </w:t>
      </w:r>
      <w:r>
        <w:rPr>
          <w:w w:val="105"/>
          <w:sz w:val="21"/>
        </w:rPr>
        <w:t>process </w:t>
      </w:r>
      <w:r>
        <w:rPr>
          <w:spacing w:val="-2"/>
          <w:w w:val="105"/>
          <w:sz w:val="21"/>
        </w:rPr>
        <w:t>not </w:t>
      </w:r>
      <w:r>
        <w:rPr>
          <w:spacing w:val="-3"/>
          <w:w w:val="105"/>
          <w:sz w:val="21"/>
        </w:rPr>
        <w:t>available to</w:t>
      </w:r>
      <w:r>
        <w:rPr>
          <w:spacing w:val="13"/>
          <w:w w:val="105"/>
          <w:sz w:val="21"/>
        </w:rPr>
        <w:t> </w:t>
      </w:r>
      <w:r>
        <w:rPr>
          <w:w w:val="105"/>
          <w:sz w:val="21"/>
        </w:rPr>
        <w:t>it.</w:t>
      </w:r>
    </w:p>
    <w:p>
      <w:pPr>
        <w:pStyle w:val="ListParagraph"/>
        <w:numPr>
          <w:ilvl w:val="1"/>
          <w:numId w:val="22"/>
        </w:numPr>
        <w:tabs>
          <w:tab w:pos="2381" w:val="left" w:leader="none"/>
          <w:tab w:pos="2382" w:val="left" w:leader="none"/>
        </w:tabs>
        <w:spacing w:line="242" w:lineRule="auto" w:before="128" w:after="0"/>
        <w:ind w:left="2381" w:right="1677" w:hanging="794"/>
        <w:jc w:val="left"/>
        <w:rPr>
          <w:sz w:val="21"/>
        </w:rPr>
      </w:pPr>
      <w:r>
        <w:rPr>
          <w:w w:val="105"/>
          <w:sz w:val="21"/>
        </w:rPr>
        <w:t>This being the </w:t>
      </w:r>
      <w:r>
        <w:rPr>
          <w:spacing w:val="-3"/>
          <w:w w:val="105"/>
          <w:sz w:val="21"/>
        </w:rPr>
        <w:t>case, </w:t>
      </w:r>
      <w:r>
        <w:rPr>
          <w:w w:val="105"/>
          <w:sz w:val="21"/>
        </w:rPr>
        <w:t>and given </w:t>
      </w:r>
      <w:r>
        <w:rPr>
          <w:spacing w:val="-3"/>
          <w:w w:val="105"/>
          <w:sz w:val="21"/>
        </w:rPr>
        <w:t>that </w:t>
      </w:r>
      <w:r>
        <w:rPr>
          <w:w w:val="105"/>
          <w:sz w:val="21"/>
        </w:rPr>
        <w:t>the election </w:t>
      </w:r>
      <w:r>
        <w:rPr>
          <w:spacing w:val="-3"/>
          <w:w w:val="105"/>
          <w:sz w:val="21"/>
        </w:rPr>
        <w:t>to administer </w:t>
      </w:r>
      <w:r>
        <w:rPr>
          <w:w w:val="105"/>
          <w:sz w:val="21"/>
        </w:rPr>
        <w:t>process is </w:t>
      </w:r>
      <w:r>
        <w:rPr>
          <w:spacing w:val="-2"/>
          <w:w w:val="105"/>
          <w:sz w:val="21"/>
        </w:rPr>
        <w:t>not </w:t>
      </w:r>
      <w:r>
        <w:rPr>
          <w:w w:val="105"/>
          <w:sz w:val="21"/>
        </w:rPr>
        <w:t>being used, the </w:t>
      </w:r>
      <w:r>
        <w:rPr>
          <w:spacing w:val="-3"/>
          <w:w w:val="105"/>
          <w:sz w:val="21"/>
        </w:rPr>
        <w:t>Commission </w:t>
      </w:r>
      <w:r>
        <w:rPr>
          <w:w w:val="105"/>
          <w:sz w:val="21"/>
        </w:rPr>
        <w:t>is of the view </w:t>
      </w:r>
      <w:r>
        <w:rPr>
          <w:spacing w:val="-3"/>
          <w:w w:val="105"/>
          <w:sz w:val="21"/>
        </w:rPr>
        <w:t>that </w:t>
      </w:r>
      <w:r>
        <w:rPr>
          <w:w w:val="105"/>
          <w:sz w:val="21"/>
        </w:rPr>
        <w:t>two </w:t>
      </w:r>
      <w:r>
        <w:rPr>
          <w:spacing w:val="-3"/>
          <w:w w:val="105"/>
          <w:sz w:val="21"/>
        </w:rPr>
        <w:t>mechanisms are </w:t>
      </w:r>
      <w:r>
        <w:rPr>
          <w:spacing w:val="-2"/>
          <w:w w:val="105"/>
          <w:sz w:val="21"/>
        </w:rPr>
        <w:t>not </w:t>
      </w:r>
      <w:r>
        <w:rPr>
          <w:w w:val="105"/>
          <w:sz w:val="21"/>
        </w:rPr>
        <w:t>necessary. </w:t>
      </w:r>
      <w:r>
        <w:rPr>
          <w:spacing w:val="-3"/>
          <w:w w:val="105"/>
          <w:sz w:val="21"/>
        </w:rPr>
        <w:t>Retention </w:t>
      </w:r>
      <w:r>
        <w:rPr>
          <w:w w:val="105"/>
          <w:sz w:val="21"/>
        </w:rPr>
        <w:t>of the section</w:t>
      </w:r>
      <w:r>
        <w:rPr>
          <w:spacing w:val="-6"/>
          <w:w w:val="105"/>
          <w:sz w:val="21"/>
        </w:rPr>
        <w:t> </w:t>
      </w:r>
      <w:r>
        <w:rPr>
          <w:spacing w:val="-3"/>
          <w:w w:val="105"/>
          <w:sz w:val="21"/>
        </w:rPr>
        <w:t>79</w:t>
      </w:r>
      <w:r>
        <w:rPr>
          <w:spacing w:val="-5"/>
          <w:w w:val="105"/>
          <w:sz w:val="21"/>
        </w:rPr>
        <w:t> </w:t>
      </w:r>
      <w:r>
        <w:rPr>
          <w:w w:val="105"/>
          <w:sz w:val="21"/>
        </w:rPr>
        <w:t>process</w:t>
      </w:r>
      <w:r>
        <w:rPr>
          <w:spacing w:val="-6"/>
          <w:w w:val="105"/>
          <w:sz w:val="21"/>
        </w:rPr>
        <w:t> </w:t>
      </w:r>
      <w:r>
        <w:rPr>
          <w:w w:val="105"/>
          <w:sz w:val="21"/>
        </w:rPr>
        <w:t>is</w:t>
      </w:r>
      <w:r>
        <w:rPr>
          <w:spacing w:val="-5"/>
          <w:w w:val="105"/>
          <w:sz w:val="21"/>
        </w:rPr>
        <w:t> </w:t>
      </w:r>
      <w:r>
        <w:rPr>
          <w:w w:val="105"/>
          <w:sz w:val="21"/>
        </w:rPr>
        <w:t>important,</w:t>
      </w:r>
      <w:r>
        <w:rPr>
          <w:spacing w:val="-6"/>
          <w:w w:val="105"/>
          <w:sz w:val="21"/>
        </w:rPr>
        <w:t> </w:t>
      </w:r>
      <w:r>
        <w:rPr>
          <w:spacing w:val="-3"/>
          <w:w w:val="105"/>
          <w:sz w:val="21"/>
        </w:rPr>
        <w:t>for</w:t>
      </w:r>
      <w:r>
        <w:rPr>
          <w:spacing w:val="-5"/>
          <w:w w:val="105"/>
          <w:sz w:val="21"/>
        </w:rPr>
        <w:t> </w:t>
      </w:r>
      <w:r>
        <w:rPr>
          <w:w w:val="105"/>
          <w:sz w:val="21"/>
        </w:rPr>
        <w:t>the</w:t>
      </w:r>
      <w:r>
        <w:rPr>
          <w:spacing w:val="-6"/>
          <w:w w:val="105"/>
          <w:sz w:val="21"/>
        </w:rPr>
        <w:t> </w:t>
      </w:r>
      <w:r>
        <w:rPr>
          <w:spacing w:val="-3"/>
          <w:w w:val="105"/>
          <w:sz w:val="21"/>
        </w:rPr>
        <w:t>reasons</w:t>
      </w:r>
      <w:r>
        <w:rPr>
          <w:spacing w:val="-5"/>
          <w:w w:val="105"/>
          <w:sz w:val="21"/>
        </w:rPr>
        <w:t> </w:t>
      </w:r>
      <w:r>
        <w:rPr>
          <w:spacing w:val="-3"/>
          <w:w w:val="105"/>
          <w:sz w:val="21"/>
        </w:rPr>
        <w:t>noted</w:t>
      </w:r>
      <w:r>
        <w:rPr>
          <w:spacing w:val="-6"/>
          <w:w w:val="105"/>
          <w:sz w:val="21"/>
        </w:rPr>
        <w:t> </w:t>
      </w:r>
      <w:r>
        <w:rPr>
          <w:spacing w:val="-3"/>
          <w:w w:val="105"/>
          <w:sz w:val="21"/>
        </w:rPr>
        <w:t>above,</w:t>
      </w:r>
      <w:r>
        <w:rPr>
          <w:spacing w:val="-5"/>
          <w:w w:val="105"/>
          <w:sz w:val="21"/>
        </w:rPr>
        <w:t> </w:t>
      </w:r>
      <w:r>
        <w:rPr>
          <w:w w:val="105"/>
          <w:sz w:val="21"/>
        </w:rPr>
        <w:t>and</w:t>
      </w:r>
      <w:r>
        <w:rPr>
          <w:spacing w:val="-5"/>
          <w:w w:val="105"/>
          <w:sz w:val="21"/>
        </w:rPr>
        <w:t> </w:t>
      </w:r>
      <w:r>
        <w:rPr>
          <w:w w:val="105"/>
          <w:sz w:val="21"/>
        </w:rPr>
        <w:t>some</w:t>
      </w:r>
      <w:r>
        <w:rPr>
          <w:spacing w:val="-6"/>
          <w:w w:val="105"/>
          <w:sz w:val="21"/>
        </w:rPr>
        <w:t> </w:t>
      </w:r>
      <w:r>
        <w:rPr>
          <w:w w:val="105"/>
          <w:sz w:val="21"/>
        </w:rPr>
        <w:t>of</w:t>
      </w:r>
      <w:r>
        <w:rPr>
          <w:spacing w:val="-5"/>
          <w:w w:val="105"/>
          <w:sz w:val="21"/>
        </w:rPr>
        <w:t> </w:t>
      </w:r>
      <w:r>
        <w:rPr>
          <w:w w:val="105"/>
          <w:sz w:val="21"/>
        </w:rPr>
        <w:t>the</w:t>
      </w:r>
      <w:r>
        <w:rPr>
          <w:spacing w:val="-6"/>
          <w:w w:val="105"/>
          <w:sz w:val="21"/>
        </w:rPr>
        <w:t> </w:t>
      </w:r>
      <w:r>
        <w:rPr>
          <w:spacing w:val="-3"/>
          <w:w w:val="105"/>
          <w:sz w:val="21"/>
        </w:rPr>
        <w:t>Registrar’s concerns relating to procedural </w:t>
      </w:r>
      <w:r>
        <w:rPr>
          <w:w w:val="105"/>
          <w:sz w:val="21"/>
        </w:rPr>
        <w:t>integrity can be attended </w:t>
      </w:r>
      <w:r>
        <w:rPr>
          <w:spacing w:val="-3"/>
          <w:w w:val="105"/>
          <w:sz w:val="21"/>
        </w:rPr>
        <w:t>to </w:t>
      </w:r>
      <w:r>
        <w:rPr>
          <w:w w:val="105"/>
          <w:sz w:val="21"/>
        </w:rPr>
        <w:t>without </w:t>
      </w:r>
      <w:r>
        <w:rPr>
          <w:spacing w:val="-3"/>
          <w:w w:val="105"/>
          <w:sz w:val="21"/>
        </w:rPr>
        <w:t>making </w:t>
      </w:r>
      <w:r>
        <w:rPr>
          <w:w w:val="105"/>
          <w:sz w:val="21"/>
        </w:rPr>
        <w:t>the process too </w:t>
      </w:r>
      <w:r>
        <w:rPr>
          <w:spacing w:val="-3"/>
          <w:w w:val="105"/>
          <w:sz w:val="21"/>
        </w:rPr>
        <w:t>onerous from State </w:t>
      </w:r>
      <w:r>
        <w:rPr>
          <w:spacing w:val="-4"/>
          <w:w w:val="105"/>
          <w:sz w:val="21"/>
        </w:rPr>
        <w:t>Trustees’ </w:t>
      </w:r>
      <w:r>
        <w:rPr>
          <w:w w:val="105"/>
          <w:sz w:val="21"/>
        </w:rPr>
        <w:t>point of</w:t>
      </w:r>
      <w:r>
        <w:rPr>
          <w:spacing w:val="46"/>
          <w:w w:val="105"/>
          <w:sz w:val="21"/>
        </w:rPr>
        <w:t> </w:t>
      </w:r>
      <w:r>
        <w:rPr>
          <w:spacing w:val="-4"/>
          <w:w w:val="105"/>
          <w:sz w:val="21"/>
        </w:rPr>
        <w:t>view.</w:t>
      </w:r>
    </w:p>
    <w:p>
      <w:pPr>
        <w:pStyle w:val="ListParagraph"/>
        <w:numPr>
          <w:ilvl w:val="1"/>
          <w:numId w:val="22"/>
        </w:numPr>
        <w:tabs>
          <w:tab w:pos="2381" w:val="left" w:leader="none"/>
          <w:tab w:pos="2382" w:val="left" w:leader="none"/>
        </w:tabs>
        <w:spacing w:line="242" w:lineRule="auto" w:before="126" w:after="0"/>
        <w:ind w:left="2381" w:right="1709" w:hanging="794"/>
        <w:jc w:val="left"/>
        <w:rPr>
          <w:sz w:val="21"/>
        </w:rPr>
      </w:pPr>
      <w:r>
        <w:rPr>
          <w:spacing w:val="-4"/>
          <w:w w:val="105"/>
          <w:sz w:val="21"/>
        </w:rPr>
        <w:t>Accordingly, </w:t>
      </w:r>
      <w:r>
        <w:rPr>
          <w:w w:val="105"/>
          <w:sz w:val="21"/>
        </w:rPr>
        <w:t>the </w:t>
      </w:r>
      <w:r>
        <w:rPr>
          <w:spacing w:val="-3"/>
          <w:w w:val="105"/>
          <w:sz w:val="21"/>
        </w:rPr>
        <w:t>Commission </w:t>
      </w:r>
      <w:r>
        <w:rPr>
          <w:w w:val="105"/>
          <w:sz w:val="21"/>
        </w:rPr>
        <w:t>considers </w:t>
      </w:r>
      <w:r>
        <w:rPr>
          <w:spacing w:val="-3"/>
          <w:w w:val="105"/>
          <w:sz w:val="21"/>
        </w:rPr>
        <w:t>that </w:t>
      </w:r>
      <w:r>
        <w:rPr>
          <w:w w:val="105"/>
          <w:sz w:val="21"/>
        </w:rPr>
        <w:t>section </w:t>
      </w:r>
      <w:r>
        <w:rPr>
          <w:spacing w:val="-13"/>
          <w:w w:val="105"/>
          <w:sz w:val="21"/>
        </w:rPr>
        <w:t>11A </w:t>
      </w:r>
      <w:r>
        <w:rPr>
          <w:w w:val="105"/>
          <w:sz w:val="21"/>
        </w:rPr>
        <w:t>of the </w:t>
      </w:r>
      <w:r>
        <w:rPr>
          <w:spacing w:val="-4"/>
          <w:w w:val="105"/>
          <w:sz w:val="21"/>
        </w:rPr>
        <w:t>Trustee </w:t>
      </w:r>
      <w:r>
        <w:rPr>
          <w:spacing w:val="-3"/>
          <w:w w:val="105"/>
          <w:sz w:val="21"/>
        </w:rPr>
        <w:t>Companies </w:t>
      </w:r>
      <w:r>
        <w:rPr>
          <w:w w:val="105"/>
          <w:sz w:val="21"/>
        </w:rPr>
        <w:t>Act should</w:t>
      </w:r>
      <w:r>
        <w:rPr>
          <w:spacing w:val="-6"/>
          <w:w w:val="105"/>
          <w:sz w:val="21"/>
        </w:rPr>
        <w:t> </w:t>
      </w:r>
      <w:r>
        <w:rPr>
          <w:w w:val="105"/>
          <w:sz w:val="21"/>
        </w:rPr>
        <w:t>be</w:t>
      </w:r>
      <w:r>
        <w:rPr>
          <w:spacing w:val="-5"/>
          <w:w w:val="105"/>
          <w:sz w:val="21"/>
        </w:rPr>
        <w:t> </w:t>
      </w:r>
      <w:r>
        <w:rPr>
          <w:w w:val="105"/>
          <w:sz w:val="21"/>
        </w:rPr>
        <w:t>repealed</w:t>
      </w:r>
      <w:r>
        <w:rPr>
          <w:spacing w:val="-5"/>
          <w:w w:val="105"/>
          <w:sz w:val="21"/>
        </w:rPr>
        <w:t> </w:t>
      </w:r>
      <w:r>
        <w:rPr>
          <w:w w:val="105"/>
          <w:sz w:val="21"/>
        </w:rPr>
        <w:t>and</w:t>
      </w:r>
      <w:r>
        <w:rPr>
          <w:spacing w:val="-5"/>
          <w:w w:val="105"/>
          <w:sz w:val="21"/>
        </w:rPr>
        <w:t> </w:t>
      </w:r>
      <w:r>
        <w:rPr>
          <w:spacing w:val="-3"/>
          <w:w w:val="105"/>
          <w:sz w:val="21"/>
        </w:rPr>
        <w:t>that</w:t>
      </w:r>
      <w:r>
        <w:rPr>
          <w:spacing w:val="-5"/>
          <w:w w:val="105"/>
          <w:sz w:val="21"/>
        </w:rPr>
        <w:t> </w:t>
      </w:r>
      <w:r>
        <w:rPr>
          <w:w w:val="105"/>
          <w:sz w:val="21"/>
        </w:rPr>
        <w:t>the</w:t>
      </w:r>
      <w:r>
        <w:rPr>
          <w:spacing w:val="-5"/>
          <w:w w:val="105"/>
          <w:sz w:val="21"/>
        </w:rPr>
        <w:t> </w:t>
      </w:r>
      <w:r>
        <w:rPr>
          <w:spacing w:val="-3"/>
          <w:w w:val="105"/>
          <w:sz w:val="21"/>
        </w:rPr>
        <w:t>remaining</w:t>
      </w:r>
      <w:r>
        <w:rPr>
          <w:spacing w:val="-6"/>
          <w:w w:val="105"/>
          <w:sz w:val="21"/>
        </w:rPr>
        <w:t> </w:t>
      </w:r>
      <w:r>
        <w:rPr>
          <w:spacing w:val="-3"/>
          <w:w w:val="105"/>
          <w:sz w:val="21"/>
        </w:rPr>
        <w:t>form</w:t>
      </w:r>
      <w:r>
        <w:rPr>
          <w:spacing w:val="-5"/>
          <w:w w:val="105"/>
          <w:sz w:val="21"/>
        </w:rPr>
        <w:t> </w:t>
      </w:r>
      <w:r>
        <w:rPr>
          <w:w w:val="105"/>
          <w:sz w:val="21"/>
        </w:rPr>
        <w:t>of</w:t>
      </w:r>
      <w:r>
        <w:rPr>
          <w:spacing w:val="-5"/>
          <w:w w:val="105"/>
          <w:sz w:val="21"/>
        </w:rPr>
        <w:t> </w:t>
      </w:r>
      <w:r>
        <w:rPr>
          <w:w w:val="105"/>
          <w:sz w:val="21"/>
        </w:rPr>
        <w:t>expedited</w:t>
      </w:r>
      <w:r>
        <w:rPr>
          <w:spacing w:val="-5"/>
          <w:w w:val="105"/>
          <w:sz w:val="21"/>
        </w:rPr>
        <w:t> </w:t>
      </w:r>
      <w:r>
        <w:rPr>
          <w:spacing w:val="-3"/>
          <w:w w:val="105"/>
          <w:sz w:val="21"/>
        </w:rPr>
        <w:t>grant</w:t>
      </w:r>
      <w:r>
        <w:rPr>
          <w:spacing w:val="-5"/>
          <w:w w:val="105"/>
          <w:sz w:val="21"/>
        </w:rPr>
        <w:t> </w:t>
      </w:r>
      <w:r>
        <w:rPr>
          <w:w w:val="105"/>
          <w:sz w:val="21"/>
        </w:rPr>
        <w:t>should</w:t>
      </w:r>
      <w:r>
        <w:rPr>
          <w:spacing w:val="-5"/>
          <w:w w:val="105"/>
          <w:sz w:val="21"/>
        </w:rPr>
        <w:t> </w:t>
      </w:r>
      <w:r>
        <w:rPr>
          <w:w w:val="105"/>
          <w:sz w:val="21"/>
        </w:rPr>
        <w:t>be</w:t>
      </w:r>
      <w:r>
        <w:rPr>
          <w:spacing w:val="-5"/>
          <w:w w:val="105"/>
          <w:sz w:val="21"/>
        </w:rPr>
        <w:t> </w:t>
      </w:r>
      <w:r>
        <w:rPr>
          <w:w w:val="105"/>
          <w:sz w:val="21"/>
        </w:rPr>
        <w:t>a</w:t>
      </w:r>
      <w:r>
        <w:rPr>
          <w:spacing w:val="-6"/>
          <w:w w:val="105"/>
          <w:sz w:val="21"/>
        </w:rPr>
        <w:t> </w:t>
      </w:r>
      <w:r>
        <w:rPr>
          <w:spacing w:val="-3"/>
          <w:w w:val="105"/>
          <w:sz w:val="21"/>
        </w:rPr>
        <w:t>variation </w:t>
      </w:r>
      <w:r>
        <w:rPr>
          <w:w w:val="105"/>
          <w:sz w:val="21"/>
        </w:rPr>
        <w:t>of the process </w:t>
      </w:r>
      <w:r>
        <w:rPr>
          <w:spacing w:val="-3"/>
          <w:w w:val="105"/>
          <w:sz w:val="21"/>
        </w:rPr>
        <w:t>currently contained </w:t>
      </w:r>
      <w:r>
        <w:rPr>
          <w:w w:val="105"/>
          <w:sz w:val="21"/>
        </w:rPr>
        <w:t>in section </w:t>
      </w:r>
      <w:r>
        <w:rPr>
          <w:spacing w:val="-3"/>
          <w:w w:val="105"/>
          <w:sz w:val="21"/>
        </w:rPr>
        <w:t>79 </w:t>
      </w:r>
      <w:r>
        <w:rPr>
          <w:w w:val="105"/>
          <w:sz w:val="21"/>
        </w:rPr>
        <w:t>of the </w:t>
      </w:r>
      <w:r>
        <w:rPr>
          <w:spacing w:val="-3"/>
          <w:w w:val="105"/>
          <w:sz w:val="21"/>
        </w:rPr>
        <w:t>Administration </w:t>
      </w:r>
      <w:r>
        <w:rPr>
          <w:w w:val="105"/>
          <w:sz w:val="21"/>
        </w:rPr>
        <w:t>and </w:t>
      </w:r>
      <w:r>
        <w:rPr>
          <w:spacing w:val="-3"/>
          <w:w w:val="105"/>
          <w:sz w:val="21"/>
        </w:rPr>
        <w:t>Probate</w:t>
      </w:r>
      <w:r>
        <w:rPr>
          <w:spacing w:val="-11"/>
          <w:w w:val="105"/>
          <w:sz w:val="21"/>
        </w:rPr>
        <w:t> </w:t>
      </w:r>
      <w:r>
        <w:rPr>
          <w:w w:val="105"/>
          <w:sz w:val="21"/>
        </w:rPr>
        <w:t>Act.</w:t>
      </w:r>
    </w:p>
    <w:p>
      <w:pPr>
        <w:pStyle w:val="BodyText"/>
        <w:rPr>
          <w:sz w:val="13"/>
        </w:rPr>
      </w:pPr>
      <w:r>
        <w:rPr/>
        <w:pict>
          <v:line style="position:absolute;mso-position-horizontal-relative:page;mso-position-vertical-relative:paragraph;z-index:12080;mso-wrap-distance-left:0;mso-wrap-distance-right:0" from="79.370102pt,10.433839pt" to="515.905102pt,10.433839pt" stroked="true" strokeweight="1pt" strokecolor="#f9ceca">
            <v:stroke dashstyle="solid"/>
            <w10:wrap type="topAndBottom"/>
          </v:line>
        </w:pict>
      </w:r>
    </w:p>
    <w:p>
      <w:pPr>
        <w:pStyle w:val="BodyText"/>
        <w:spacing w:before="8"/>
        <w:rPr>
          <w:sz w:val="5"/>
        </w:rPr>
      </w:pPr>
    </w:p>
    <w:p>
      <w:pPr>
        <w:spacing w:after="0"/>
        <w:rPr>
          <w:sz w:val="5"/>
        </w:rPr>
        <w:sectPr>
          <w:pgSz w:w="11910" w:h="16840"/>
          <w:pgMar w:header="805" w:footer="0" w:top="1360" w:bottom="280" w:left="0" w:right="0"/>
        </w:sectPr>
      </w:pPr>
    </w:p>
    <w:p>
      <w:pPr>
        <w:pStyle w:val="ListParagraph"/>
        <w:numPr>
          <w:ilvl w:val="0"/>
          <w:numId w:val="145"/>
        </w:numPr>
        <w:tabs>
          <w:tab w:pos="2380" w:val="left" w:leader="none"/>
          <w:tab w:pos="2382" w:val="left" w:leader="none"/>
        </w:tabs>
        <w:spacing w:line="240" w:lineRule="auto" w:before="48" w:after="0"/>
        <w:ind w:left="2381" w:right="0" w:hanging="794"/>
        <w:jc w:val="left"/>
        <w:rPr>
          <w:sz w:val="13"/>
        </w:rPr>
      </w:pPr>
      <w:r>
        <w:rPr>
          <w:w w:val="105"/>
          <w:sz w:val="13"/>
        </w:rPr>
        <w:t>Letter</w:t>
      </w:r>
      <w:r>
        <w:rPr>
          <w:spacing w:val="6"/>
          <w:w w:val="105"/>
          <w:sz w:val="13"/>
        </w:rPr>
        <w:t> </w:t>
      </w:r>
      <w:r>
        <w:rPr>
          <w:w w:val="105"/>
          <w:sz w:val="13"/>
        </w:rPr>
        <w:t>from</w:t>
      </w:r>
      <w:r>
        <w:rPr>
          <w:spacing w:val="7"/>
          <w:w w:val="105"/>
          <w:sz w:val="13"/>
        </w:rPr>
        <w:t> </w:t>
      </w:r>
      <w:r>
        <w:rPr>
          <w:w w:val="105"/>
          <w:sz w:val="13"/>
        </w:rPr>
        <w:t>Michael</w:t>
      </w:r>
      <w:r>
        <w:rPr>
          <w:spacing w:val="7"/>
          <w:w w:val="105"/>
          <w:sz w:val="13"/>
        </w:rPr>
        <w:t> </w:t>
      </w:r>
      <w:r>
        <w:rPr>
          <w:w w:val="105"/>
          <w:sz w:val="13"/>
        </w:rPr>
        <w:t>Halpin,</w:t>
      </w:r>
      <w:r>
        <w:rPr>
          <w:spacing w:val="7"/>
          <w:w w:val="105"/>
          <w:sz w:val="13"/>
        </w:rPr>
        <w:t> </w:t>
      </w:r>
      <w:r>
        <w:rPr>
          <w:w w:val="105"/>
          <w:sz w:val="13"/>
        </w:rPr>
        <w:t>Registrar</w:t>
      </w:r>
      <w:r>
        <w:rPr>
          <w:spacing w:val="7"/>
          <w:w w:val="105"/>
          <w:sz w:val="13"/>
        </w:rPr>
        <w:t> </w:t>
      </w:r>
      <w:r>
        <w:rPr>
          <w:w w:val="105"/>
          <w:sz w:val="13"/>
        </w:rPr>
        <w:t>of</w:t>
      </w:r>
      <w:r>
        <w:rPr>
          <w:spacing w:val="7"/>
          <w:w w:val="105"/>
          <w:sz w:val="13"/>
        </w:rPr>
        <w:t> </w:t>
      </w:r>
      <w:r>
        <w:rPr>
          <w:w w:val="105"/>
          <w:sz w:val="13"/>
        </w:rPr>
        <w:t>Probates,</w:t>
      </w:r>
      <w:r>
        <w:rPr>
          <w:spacing w:val="7"/>
          <w:w w:val="105"/>
          <w:sz w:val="13"/>
        </w:rPr>
        <w:t> </w:t>
      </w:r>
      <w:r>
        <w:rPr>
          <w:w w:val="105"/>
          <w:sz w:val="13"/>
        </w:rPr>
        <w:t>to</w:t>
      </w:r>
      <w:r>
        <w:rPr>
          <w:spacing w:val="7"/>
          <w:w w:val="105"/>
          <w:sz w:val="13"/>
        </w:rPr>
        <w:t> </w:t>
      </w:r>
      <w:r>
        <w:rPr>
          <w:w w:val="105"/>
          <w:sz w:val="13"/>
        </w:rPr>
        <w:t>David</w:t>
      </w:r>
      <w:r>
        <w:rPr>
          <w:spacing w:val="7"/>
          <w:w w:val="105"/>
          <w:sz w:val="13"/>
        </w:rPr>
        <w:t> </w:t>
      </w:r>
      <w:r>
        <w:rPr>
          <w:w w:val="105"/>
          <w:sz w:val="13"/>
        </w:rPr>
        <w:t>Jones,</w:t>
      </w:r>
      <w:r>
        <w:rPr>
          <w:spacing w:val="7"/>
          <w:w w:val="105"/>
          <w:sz w:val="13"/>
        </w:rPr>
        <w:t> </w:t>
      </w:r>
      <w:r>
        <w:rPr>
          <w:w w:val="105"/>
          <w:sz w:val="13"/>
        </w:rPr>
        <w:t>Acting</w:t>
      </w:r>
      <w:r>
        <w:rPr>
          <w:spacing w:val="7"/>
          <w:w w:val="105"/>
          <w:sz w:val="13"/>
        </w:rPr>
        <w:t> </w:t>
      </w:r>
      <w:r>
        <w:rPr>
          <w:w w:val="105"/>
          <w:sz w:val="13"/>
        </w:rPr>
        <w:t>Chair</w:t>
      </w:r>
      <w:r>
        <w:rPr>
          <w:spacing w:val="7"/>
          <w:w w:val="105"/>
          <w:sz w:val="13"/>
        </w:rPr>
        <w:t> </w:t>
      </w:r>
      <w:r>
        <w:rPr>
          <w:w w:val="105"/>
          <w:sz w:val="13"/>
        </w:rPr>
        <w:t>of</w:t>
      </w:r>
      <w:r>
        <w:rPr>
          <w:spacing w:val="7"/>
          <w:w w:val="105"/>
          <w:sz w:val="13"/>
        </w:rPr>
        <w:t> </w:t>
      </w:r>
      <w:r>
        <w:rPr>
          <w:w w:val="105"/>
          <w:sz w:val="13"/>
        </w:rPr>
        <w:t>the</w:t>
      </w:r>
      <w:r>
        <w:rPr>
          <w:spacing w:val="7"/>
          <w:w w:val="105"/>
          <w:sz w:val="13"/>
        </w:rPr>
        <w:t> </w:t>
      </w:r>
      <w:r>
        <w:rPr>
          <w:w w:val="105"/>
          <w:sz w:val="13"/>
        </w:rPr>
        <w:t>Commission</w:t>
      </w:r>
      <w:r>
        <w:rPr>
          <w:spacing w:val="7"/>
          <w:w w:val="105"/>
          <w:sz w:val="13"/>
        </w:rPr>
        <w:t> </w:t>
      </w:r>
      <w:r>
        <w:rPr>
          <w:w w:val="105"/>
          <w:sz w:val="13"/>
        </w:rPr>
        <w:t>(3</w:t>
      </w:r>
      <w:r>
        <w:rPr>
          <w:spacing w:val="6"/>
          <w:w w:val="105"/>
          <w:sz w:val="13"/>
        </w:rPr>
        <w:t> </w:t>
      </w:r>
      <w:r>
        <w:rPr>
          <w:w w:val="105"/>
          <w:sz w:val="13"/>
        </w:rPr>
        <w:t>July</w:t>
      </w:r>
      <w:r>
        <w:rPr>
          <w:spacing w:val="7"/>
          <w:w w:val="105"/>
          <w:sz w:val="13"/>
        </w:rPr>
        <w:t> </w:t>
      </w:r>
      <w:r>
        <w:rPr>
          <w:w w:val="105"/>
          <w:sz w:val="13"/>
        </w:rPr>
        <w:t>2012).</w:t>
      </w:r>
    </w:p>
    <w:p>
      <w:pPr>
        <w:pStyle w:val="ListParagraph"/>
        <w:numPr>
          <w:ilvl w:val="0"/>
          <w:numId w:val="145"/>
        </w:numPr>
        <w:tabs>
          <w:tab w:pos="2381" w:val="left" w:leader="none"/>
          <w:tab w:pos="2382" w:val="left" w:leader="none"/>
        </w:tabs>
        <w:spacing w:line="240" w:lineRule="auto" w:before="1" w:after="0"/>
        <w:ind w:left="2381" w:right="0" w:hanging="794"/>
        <w:jc w:val="left"/>
        <w:rPr>
          <w:sz w:val="13"/>
        </w:rPr>
      </w:pPr>
      <w:r>
        <w:rPr>
          <w:w w:val="105"/>
          <w:sz w:val="13"/>
        </w:rPr>
        <w:t>Consultation 22 (State Trustees</w:t>
      </w:r>
      <w:r>
        <w:rPr>
          <w:spacing w:val="18"/>
          <w:w w:val="105"/>
          <w:sz w:val="13"/>
        </w:rPr>
        <w:t> </w:t>
      </w:r>
      <w:r>
        <w:rPr>
          <w:w w:val="105"/>
          <w:sz w:val="13"/>
        </w:rPr>
        <w:t>Limited).</w:t>
      </w:r>
    </w:p>
    <w:p>
      <w:pPr>
        <w:pStyle w:val="ListParagraph"/>
        <w:numPr>
          <w:ilvl w:val="0"/>
          <w:numId w:val="145"/>
        </w:numPr>
        <w:tabs>
          <w:tab w:pos="2381" w:val="left" w:leader="none"/>
          <w:tab w:pos="2382" w:val="left" w:leader="none"/>
        </w:tabs>
        <w:spacing w:line="240" w:lineRule="auto" w:before="2" w:after="0"/>
        <w:ind w:left="2381" w:right="0" w:hanging="794"/>
        <w:jc w:val="left"/>
        <w:rPr>
          <w:sz w:val="13"/>
        </w:rPr>
      </w:pPr>
      <w:r>
        <w:rPr>
          <w:w w:val="105"/>
          <w:sz w:val="13"/>
        </w:rPr>
        <w:t>State Trustees Limited, </w:t>
      </w:r>
      <w:r>
        <w:rPr>
          <w:i/>
          <w:w w:val="105"/>
          <w:sz w:val="13"/>
        </w:rPr>
        <w:t>Annual Report </w:t>
      </w:r>
      <w:r>
        <w:rPr>
          <w:i/>
          <w:spacing w:val="-3"/>
          <w:w w:val="105"/>
          <w:sz w:val="13"/>
        </w:rPr>
        <w:t>2010</w:t>
      </w:r>
      <w:r>
        <w:rPr>
          <w:spacing w:val="-3"/>
          <w:w w:val="105"/>
          <w:sz w:val="13"/>
        </w:rPr>
        <w:t>–</w:t>
      </w:r>
      <w:r>
        <w:rPr>
          <w:i/>
          <w:spacing w:val="-3"/>
          <w:w w:val="105"/>
          <w:sz w:val="13"/>
        </w:rPr>
        <w:t>2011 </w:t>
      </w:r>
      <w:r>
        <w:rPr>
          <w:spacing w:val="-3"/>
          <w:w w:val="105"/>
          <w:sz w:val="13"/>
        </w:rPr>
        <w:t>(2011)</w:t>
      </w:r>
      <w:r>
        <w:rPr>
          <w:spacing w:val="6"/>
          <w:w w:val="105"/>
          <w:sz w:val="13"/>
        </w:rPr>
        <w:t> </w:t>
      </w:r>
      <w:r>
        <w:rPr>
          <w:spacing w:val="-4"/>
          <w:w w:val="105"/>
          <w:sz w:val="13"/>
        </w:rPr>
        <w:t>51.</w:t>
      </w:r>
    </w:p>
    <w:p>
      <w:pPr>
        <w:pStyle w:val="ListParagraph"/>
        <w:numPr>
          <w:ilvl w:val="0"/>
          <w:numId w:val="145"/>
        </w:numPr>
        <w:tabs>
          <w:tab w:pos="2381" w:val="left" w:leader="none"/>
          <w:tab w:pos="2382" w:val="left" w:leader="none"/>
        </w:tabs>
        <w:spacing w:line="240" w:lineRule="auto" w:before="1" w:after="0"/>
        <w:ind w:left="2381" w:right="0" w:hanging="794"/>
        <w:jc w:val="left"/>
        <w:rPr>
          <w:sz w:val="13"/>
        </w:rPr>
      </w:pPr>
      <w:r>
        <w:rPr>
          <w:w w:val="105"/>
          <w:sz w:val="13"/>
        </w:rPr>
        <w:t>Consultation 23 (Supreme Court of </w:t>
      </w:r>
      <w:r>
        <w:rPr>
          <w:spacing w:val="2"/>
          <w:w w:val="105"/>
          <w:sz w:val="13"/>
        </w:rPr>
        <w:t>Victoria—Registrar </w:t>
      </w:r>
      <w:r>
        <w:rPr>
          <w:w w:val="105"/>
          <w:sz w:val="13"/>
        </w:rPr>
        <w:t>of Probates)</w:t>
      </w:r>
    </w:p>
    <w:p>
      <w:pPr>
        <w:pStyle w:val="BodyText"/>
        <w:spacing w:before="8"/>
        <w:rPr>
          <w:sz w:val="34"/>
        </w:rPr>
      </w:pPr>
      <w:r>
        <w:rPr/>
        <w:br w:type="column"/>
      </w:r>
      <w:r>
        <w:rPr>
          <w:sz w:val="34"/>
        </w:rPr>
      </w:r>
    </w:p>
    <w:p>
      <w:pPr>
        <w:spacing w:before="0"/>
        <w:ind w:left="1587" w:right="0" w:firstLine="0"/>
        <w:jc w:val="left"/>
        <w:rPr>
          <w:b/>
          <w:sz w:val="24"/>
        </w:rPr>
      </w:pPr>
      <w:r>
        <w:rPr>
          <w:b/>
          <w:color w:val="EC5A4F"/>
          <w:w w:val="110"/>
          <w:sz w:val="24"/>
        </w:rPr>
        <w:t>205</w:t>
      </w:r>
    </w:p>
    <w:p>
      <w:pPr>
        <w:spacing w:after="0"/>
        <w:jc w:val="left"/>
        <w:rPr>
          <w:sz w:val="24"/>
        </w:rPr>
        <w:sectPr>
          <w:type w:val="continuous"/>
          <w:pgSz w:w="11910" w:h="16840"/>
          <w:pgMar w:top="920" w:bottom="280" w:left="0" w:right="0"/>
          <w:cols w:num="2" w:equalWidth="0">
            <w:col w:w="8751" w:space="573"/>
            <w:col w:w="2586"/>
          </w:cols>
        </w:sectPr>
      </w:pPr>
    </w:p>
    <w:p>
      <w:pPr>
        <w:pStyle w:val="BodyText"/>
        <w:spacing w:before="9"/>
        <w:rPr>
          <w:b/>
          <w:sz w:val="22"/>
        </w:rPr>
      </w:pPr>
    </w:p>
    <w:p>
      <w:pPr>
        <w:pStyle w:val="ListParagraph"/>
        <w:numPr>
          <w:ilvl w:val="1"/>
          <w:numId w:val="22"/>
        </w:numPr>
        <w:tabs>
          <w:tab w:pos="2381" w:val="left" w:leader="none"/>
          <w:tab w:pos="2382" w:val="left" w:leader="none"/>
        </w:tabs>
        <w:spacing w:line="242" w:lineRule="auto" w:before="92" w:after="0"/>
        <w:ind w:left="2381" w:right="1774" w:hanging="794"/>
        <w:jc w:val="left"/>
        <w:rPr>
          <w:sz w:val="21"/>
        </w:rPr>
      </w:pPr>
      <w:r>
        <w:rPr>
          <w:spacing w:val="-3"/>
          <w:w w:val="105"/>
          <w:sz w:val="21"/>
        </w:rPr>
        <w:t>Repealing </w:t>
      </w:r>
      <w:r>
        <w:rPr>
          <w:w w:val="105"/>
          <w:sz w:val="21"/>
        </w:rPr>
        <w:t>section </w:t>
      </w:r>
      <w:r>
        <w:rPr>
          <w:spacing w:val="-13"/>
          <w:w w:val="105"/>
          <w:sz w:val="21"/>
        </w:rPr>
        <w:t>11A </w:t>
      </w:r>
      <w:r>
        <w:rPr>
          <w:w w:val="105"/>
          <w:sz w:val="21"/>
        </w:rPr>
        <w:t>of the </w:t>
      </w:r>
      <w:r>
        <w:rPr>
          <w:spacing w:val="-4"/>
          <w:w w:val="105"/>
          <w:sz w:val="21"/>
        </w:rPr>
        <w:t>Trustee </w:t>
      </w:r>
      <w:r>
        <w:rPr>
          <w:spacing w:val="-3"/>
          <w:w w:val="105"/>
          <w:sz w:val="21"/>
        </w:rPr>
        <w:t>Companies </w:t>
      </w:r>
      <w:r>
        <w:rPr>
          <w:w w:val="105"/>
          <w:sz w:val="21"/>
        </w:rPr>
        <w:t>Act </w:t>
      </w:r>
      <w:r>
        <w:rPr>
          <w:spacing w:val="-3"/>
          <w:w w:val="105"/>
          <w:sz w:val="21"/>
        </w:rPr>
        <w:t>will </w:t>
      </w:r>
      <w:r>
        <w:rPr>
          <w:w w:val="105"/>
          <w:sz w:val="21"/>
        </w:rPr>
        <w:t>mean </w:t>
      </w:r>
      <w:r>
        <w:rPr>
          <w:spacing w:val="-3"/>
          <w:w w:val="105"/>
          <w:sz w:val="21"/>
        </w:rPr>
        <w:t>that </w:t>
      </w:r>
      <w:r>
        <w:rPr>
          <w:w w:val="105"/>
          <w:sz w:val="21"/>
        </w:rPr>
        <w:t>trustee </w:t>
      </w:r>
      <w:r>
        <w:rPr>
          <w:spacing w:val="-3"/>
          <w:w w:val="105"/>
          <w:sz w:val="21"/>
        </w:rPr>
        <w:t>companies </w:t>
      </w:r>
      <w:r>
        <w:rPr>
          <w:w w:val="105"/>
          <w:sz w:val="21"/>
        </w:rPr>
        <w:t>other </w:t>
      </w:r>
      <w:r>
        <w:rPr>
          <w:spacing w:val="-3"/>
          <w:w w:val="105"/>
          <w:sz w:val="21"/>
        </w:rPr>
        <w:t>than State </w:t>
      </w:r>
      <w:r>
        <w:rPr>
          <w:spacing w:val="-4"/>
          <w:w w:val="105"/>
          <w:sz w:val="21"/>
        </w:rPr>
        <w:t>Trustees </w:t>
      </w:r>
      <w:r>
        <w:rPr>
          <w:spacing w:val="-3"/>
          <w:w w:val="105"/>
          <w:sz w:val="21"/>
        </w:rPr>
        <w:t>will </w:t>
      </w:r>
      <w:r>
        <w:rPr>
          <w:w w:val="105"/>
          <w:sz w:val="21"/>
        </w:rPr>
        <w:t>no longer </w:t>
      </w:r>
      <w:r>
        <w:rPr>
          <w:spacing w:val="-3"/>
          <w:w w:val="105"/>
          <w:sz w:val="21"/>
        </w:rPr>
        <w:t>have </w:t>
      </w:r>
      <w:r>
        <w:rPr>
          <w:spacing w:val="-2"/>
          <w:w w:val="105"/>
          <w:sz w:val="21"/>
        </w:rPr>
        <w:t>access </w:t>
      </w:r>
      <w:r>
        <w:rPr>
          <w:spacing w:val="-3"/>
          <w:w w:val="105"/>
          <w:sz w:val="21"/>
        </w:rPr>
        <w:t>to </w:t>
      </w:r>
      <w:r>
        <w:rPr>
          <w:w w:val="105"/>
          <w:sz w:val="21"/>
        </w:rPr>
        <w:t>an expedited </w:t>
      </w:r>
      <w:r>
        <w:rPr>
          <w:spacing w:val="-3"/>
          <w:w w:val="105"/>
          <w:sz w:val="21"/>
        </w:rPr>
        <w:t>mechanism. </w:t>
      </w:r>
      <w:r>
        <w:rPr>
          <w:w w:val="105"/>
          <w:sz w:val="21"/>
        </w:rPr>
        <w:t>Given </w:t>
      </w:r>
      <w:r>
        <w:rPr>
          <w:spacing w:val="-3"/>
          <w:w w:val="105"/>
          <w:sz w:val="21"/>
        </w:rPr>
        <w:t>that</w:t>
      </w:r>
      <w:r>
        <w:rPr>
          <w:spacing w:val="-6"/>
          <w:w w:val="105"/>
          <w:sz w:val="21"/>
        </w:rPr>
        <w:t> </w:t>
      </w:r>
      <w:r>
        <w:rPr>
          <w:spacing w:val="-3"/>
          <w:w w:val="105"/>
          <w:sz w:val="21"/>
        </w:rPr>
        <w:t>private</w:t>
      </w:r>
      <w:r>
        <w:rPr>
          <w:spacing w:val="-6"/>
          <w:w w:val="105"/>
          <w:sz w:val="21"/>
        </w:rPr>
        <w:t> </w:t>
      </w:r>
      <w:r>
        <w:rPr>
          <w:w w:val="105"/>
          <w:sz w:val="21"/>
        </w:rPr>
        <w:t>trustee</w:t>
      </w:r>
      <w:r>
        <w:rPr>
          <w:spacing w:val="-5"/>
          <w:w w:val="105"/>
          <w:sz w:val="21"/>
        </w:rPr>
        <w:t> </w:t>
      </w:r>
      <w:r>
        <w:rPr>
          <w:spacing w:val="-3"/>
          <w:w w:val="105"/>
          <w:sz w:val="21"/>
        </w:rPr>
        <w:t>companies</w:t>
      </w:r>
      <w:r>
        <w:rPr>
          <w:spacing w:val="-6"/>
          <w:w w:val="105"/>
          <w:sz w:val="21"/>
        </w:rPr>
        <w:t> </w:t>
      </w:r>
      <w:r>
        <w:rPr>
          <w:spacing w:val="-3"/>
          <w:w w:val="105"/>
          <w:sz w:val="21"/>
        </w:rPr>
        <w:t>rarely</w:t>
      </w:r>
      <w:r>
        <w:rPr>
          <w:spacing w:val="-6"/>
          <w:w w:val="105"/>
          <w:sz w:val="21"/>
        </w:rPr>
        <w:t> </w:t>
      </w:r>
      <w:r>
        <w:rPr>
          <w:w w:val="105"/>
          <w:sz w:val="21"/>
        </w:rPr>
        <w:t>use</w:t>
      </w:r>
      <w:r>
        <w:rPr>
          <w:spacing w:val="-5"/>
          <w:w w:val="105"/>
          <w:sz w:val="21"/>
        </w:rPr>
        <w:t> </w:t>
      </w:r>
      <w:r>
        <w:rPr>
          <w:w w:val="105"/>
          <w:sz w:val="21"/>
        </w:rPr>
        <w:t>the</w:t>
      </w:r>
      <w:r>
        <w:rPr>
          <w:spacing w:val="-6"/>
          <w:w w:val="105"/>
          <w:sz w:val="21"/>
        </w:rPr>
        <w:t> </w:t>
      </w:r>
      <w:r>
        <w:rPr>
          <w:spacing w:val="-3"/>
          <w:w w:val="105"/>
          <w:sz w:val="21"/>
        </w:rPr>
        <w:t>current</w:t>
      </w:r>
      <w:r>
        <w:rPr>
          <w:spacing w:val="-6"/>
          <w:w w:val="105"/>
          <w:sz w:val="21"/>
        </w:rPr>
        <w:t> </w:t>
      </w:r>
      <w:r>
        <w:rPr>
          <w:spacing w:val="-3"/>
          <w:w w:val="105"/>
          <w:sz w:val="21"/>
        </w:rPr>
        <w:t>mechanism,</w:t>
      </w:r>
      <w:r>
        <w:rPr>
          <w:spacing w:val="-5"/>
          <w:w w:val="105"/>
          <w:sz w:val="21"/>
        </w:rPr>
        <w:t> </w:t>
      </w:r>
      <w:r>
        <w:rPr>
          <w:w w:val="105"/>
          <w:sz w:val="21"/>
        </w:rPr>
        <w:t>this</w:t>
      </w:r>
      <w:r>
        <w:rPr>
          <w:spacing w:val="-6"/>
          <w:w w:val="105"/>
          <w:sz w:val="21"/>
        </w:rPr>
        <w:t> </w:t>
      </w:r>
      <w:r>
        <w:rPr>
          <w:spacing w:val="-3"/>
          <w:w w:val="105"/>
          <w:sz w:val="21"/>
        </w:rPr>
        <w:t>ought</w:t>
      </w:r>
      <w:r>
        <w:rPr>
          <w:spacing w:val="-6"/>
          <w:w w:val="105"/>
          <w:sz w:val="21"/>
        </w:rPr>
        <w:t> </w:t>
      </w:r>
      <w:r>
        <w:rPr>
          <w:spacing w:val="-2"/>
          <w:w w:val="105"/>
          <w:sz w:val="21"/>
        </w:rPr>
        <w:t>not</w:t>
      </w:r>
      <w:r>
        <w:rPr>
          <w:spacing w:val="-5"/>
          <w:w w:val="105"/>
          <w:sz w:val="21"/>
        </w:rPr>
        <w:t> </w:t>
      </w:r>
      <w:r>
        <w:rPr>
          <w:spacing w:val="-3"/>
          <w:w w:val="105"/>
          <w:sz w:val="21"/>
        </w:rPr>
        <w:t>to</w:t>
      </w:r>
      <w:r>
        <w:rPr>
          <w:spacing w:val="-6"/>
          <w:w w:val="105"/>
          <w:sz w:val="21"/>
        </w:rPr>
        <w:t> </w:t>
      </w:r>
      <w:r>
        <w:rPr>
          <w:spacing w:val="-3"/>
          <w:w w:val="105"/>
          <w:sz w:val="21"/>
        </w:rPr>
        <w:t>place </w:t>
      </w:r>
      <w:r>
        <w:rPr>
          <w:w w:val="105"/>
          <w:sz w:val="21"/>
        </w:rPr>
        <w:t>them at </w:t>
      </w:r>
      <w:r>
        <w:rPr>
          <w:spacing w:val="-3"/>
          <w:w w:val="105"/>
          <w:sz w:val="21"/>
        </w:rPr>
        <w:t>any unreasonable </w:t>
      </w:r>
      <w:r>
        <w:rPr>
          <w:w w:val="105"/>
          <w:sz w:val="21"/>
        </w:rPr>
        <w:t>disadvantage in the</w:t>
      </w:r>
      <w:r>
        <w:rPr>
          <w:spacing w:val="31"/>
          <w:w w:val="105"/>
          <w:sz w:val="21"/>
        </w:rPr>
        <w:t> </w:t>
      </w:r>
      <w:r>
        <w:rPr>
          <w:spacing w:val="-4"/>
          <w:w w:val="105"/>
          <w:sz w:val="21"/>
        </w:rPr>
        <w:t>marketplace.</w:t>
      </w:r>
    </w:p>
    <w:p>
      <w:pPr>
        <w:pStyle w:val="BodyText"/>
        <w:spacing w:before="10"/>
        <w:rPr>
          <w:sz w:val="15"/>
        </w:rPr>
      </w:pPr>
      <w:r>
        <w:rPr/>
        <w:pict>
          <v:group style="position:absolute;margin-left:62.362202pt;margin-top:11.614039pt;width:479.1pt;height:70.55pt;mso-position-horizontal-relative:page;mso-position-vertical-relative:paragraph;z-index:12176;mso-wrap-distance-left:0;mso-wrap-distance-right:0" coordorigin="1247,232" coordsize="9582,1411">
            <v:rect style="position:absolute;left:1587;top:232;width:8731;height:1411" filled="true" fillcolor="#fdebea" stroked="false">
              <v:fill type="solid"/>
            </v:rect>
            <v:line style="position:absolute" from="1247,983" to="10828,983" stroked="true" strokeweight="2.5pt" strokecolor="#ffffff">
              <v:stroke dashstyle="solid"/>
            </v:line>
            <v:shape style="position:absolute;left:2381;top:1220;width:7057;height:249" type="#_x0000_t202" filled="false" stroked="false">
              <v:textbox inset="0,0,0,0">
                <w:txbxContent>
                  <w:p>
                    <w:pPr>
                      <w:spacing w:line="249" w:lineRule="exact" w:before="0"/>
                      <w:ind w:left="0" w:right="0" w:firstLine="0"/>
                      <w:jc w:val="left"/>
                      <w:rPr>
                        <w:sz w:val="21"/>
                      </w:rPr>
                    </w:pPr>
                    <w:r>
                      <w:rPr>
                        <w:w w:val="105"/>
                        <w:sz w:val="21"/>
                      </w:rPr>
                      <w:t>Section </w:t>
                    </w:r>
                    <w:r>
                      <w:rPr>
                        <w:spacing w:val="-10"/>
                        <w:w w:val="105"/>
                        <w:sz w:val="21"/>
                      </w:rPr>
                      <w:t>11A </w:t>
                    </w:r>
                    <w:r>
                      <w:rPr>
                        <w:w w:val="105"/>
                        <w:sz w:val="21"/>
                      </w:rPr>
                      <w:t>of the </w:t>
                    </w:r>
                    <w:r>
                      <w:rPr>
                        <w:rFonts w:ascii="Lucida Sans"/>
                        <w:i/>
                        <w:w w:val="105"/>
                        <w:sz w:val="21"/>
                      </w:rPr>
                      <w:t>Trustee Companies Act 1984 </w:t>
                    </w:r>
                    <w:r>
                      <w:rPr>
                        <w:w w:val="105"/>
                        <w:sz w:val="21"/>
                      </w:rPr>
                      <w:t>(Vic) should be repealed.</w:t>
                    </w:r>
                  </w:p>
                </w:txbxContent>
              </v:textbox>
              <w10:wrap type="none"/>
            </v:shape>
            <v:shape style="position:absolute;left:1814;top:1220;width:242;height:249" type="#_x0000_t202" filled="false" stroked="false">
              <v:textbox inset="0,0,0,0">
                <w:txbxContent>
                  <w:p>
                    <w:pPr>
                      <w:spacing w:line="249" w:lineRule="exact" w:before="0"/>
                      <w:ind w:left="0" w:right="0" w:firstLine="0"/>
                      <w:jc w:val="left"/>
                      <w:rPr>
                        <w:sz w:val="21"/>
                      </w:rPr>
                    </w:pPr>
                    <w:r>
                      <w:rPr>
                        <w:w w:val="110"/>
                        <w:sz w:val="21"/>
                      </w:rPr>
                      <w:t>74</w:t>
                    </w:r>
                  </w:p>
                </w:txbxContent>
              </v:textbox>
              <w10:wrap type="none"/>
            </v:shape>
            <v:shape style="position:absolute;left:1587;top:232;width:8731;height:726" type="#_x0000_t202" filled="true" fillcolor="#fdebea" stroked="false">
              <v:textbox inset="0,0,0,0">
                <w:txbxContent>
                  <w:p>
                    <w:pPr>
                      <w:spacing w:before="166"/>
                      <w:ind w:left="226" w:right="0" w:firstLine="0"/>
                      <w:jc w:val="left"/>
                      <w:rPr>
                        <w:b/>
                        <w:sz w:val="32"/>
                      </w:rPr>
                    </w:pPr>
                    <w:r>
                      <w:rPr>
                        <w:b/>
                        <w:color w:val="EC5A4F"/>
                        <w:w w:val="110"/>
                        <w:sz w:val="32"/>
                      </w:rPr>
                      <w:t>Recommendation</w:t>
                    </w:r>
                  </w:p>
                </w:txbxContent>
              </v:textbox>
              <v:fill type="solid"/>
              <w10:wrap type="none"/>
            </v:shape>
            <w10:wrap type="topAndBottom"/>
          </v:group>
        </w:pict>
      </w:r>
    </w:p>
    <w:p>
      <w:pPr>
        <w:pStyle w:val="BodyText"/>
        <w:spacing w:before="5"/>
        <w:rPr>
          <w:sz w:val="9"/>
        </w:rPr>
      </w:pPr>
    </w:p>
    <w:p>
      <w:pPr>
        <w:pStyle w:val="Heading5"/>
        <w:spacing w:before="98"/>
      </w:pPr>
      <w:r>
        <w:rPr>
          <w:w w:val="115"/>
        </w:rPr>
        <w:t>Amendments to section 79 of the Administration and Probate Act</w:t>
      </w:r>
    </w:p>
    <w:p>
      <w:pPr>
        <w:pStyle w:val="ListParagraph"/>
        <w:numPr>
          <w:ilvl w:val="1"/>
          <w:numId w:val="22"/>
        </w:numPr>
        <w:tabs>
          <w:tab w:pos="2380" w:val="left" w:leader="none"/>
          <w:tab w:pos="2381" w:val="left" w:leader="none"/>
        </w:tabs>
        <w:spacing w:line="242" w:lineRule="auto" w:before="138" w:after="0"/>
        <w:ind w:left="2381" w:right="2076" w:hanging="794"/>
        <w:jc w:val="left"/>
        <w:rPr>
          <w:sz w:val="21"/>
        </w:rPr>
      </w:pPr>
      <w:r>
        <w:rPr>
          <w:w w:val="105"/>
          <w:sz w:val="21"/>
        </w:rPr>
        <w:t>Section </w:t>
      </w:r>
      <w:r>
        <w:rPr>
          <w:spacing w:val="-3"/>
          <w:w w:val="105"/>
          <w:sz w:val="21"/>
        </w:rPr>
        <w:t>79 </w:t>
      </w:r>
      <w:r>
        <w:rPr>
          <w:w w:val="105"/>
          <w:sz w:val="21"/>
        </w:rPr>
        <w:t>of the </w:t>
      </w:r>
      <w:r>
        <w:rPr>
          <w:spacing w:val="-3"/>
          <w:w w:val="105"/>
          <w:sz w:val="21"/>
        </w:rPr>
        <w:t>Administration </w:t>
      </w:r>
      <w:r>
        <w:rPr>
          <w:w w:val="105"/>
          <w:sz w:val="21"/>
        </w:rPr>
        <w:t>and </w:t>
      </w:r>
      <w:r>
        <w:rPr>
          <w:spacing w:val="-3"/>
          <w:w w:val="105"/>
          <w:sz w:val="21"/>
        </w:rPr>
        <w:t>Probate </w:t>
      </w:r>
      <w:r>
        <w:rPr>
          <w:w w:val="105"/>
          <w:sz w:val="21"/>
        </w:rPr>
        <w:t>Act should be amended </w:t>
      </w:r>
      <w:r>
        <w:rPr>
          <w:spacing w:val="-3"/>
          <w:w w:val="105"/>
          <w:sz w:val="21"/>
        </w:rPr>
        <w:t>to improve </w:t>
      </w:r>
      <w:r>
        <w:rPr>
          <w:w w:val="105"/>
          <w:sz w:val="21"/>
        </w:rPr>
        <w:t>the</w:t>
      </w:r>
      <w:r>
        <w:rPr>
          <w:spacing w:val="-9"/>
          <w:w w:val="105"/>
          <w:sz w:val="21"/>
        </w:rPr>
        <w:t> </w:t>
      </w:r>
      <w:r>
        <w:rPr>
          <w:spacing w:val="-3"/>
          <w:w w:val="105"/>
          <w:sz w:val="21"/>
        </w:rPr>
        <w:t>procedural</w:t>
      </w:r>
      <w:r>
        <w:rPr>
          <w:spacing w:val="-9"/>
          <w:w w:val="105"/>
          <w:sz w:val="21"/>
        </w:rPr>
        <w:t> </w:t>
      </w:r>
      <w:r>
        <w:rPr>
          <w:w w:val="105"/>
          <w:sz w:val="21"/>
        </w:rPr>
        <w:t>integrity</w:t>
      </w:r>
      <w:r>
        <w:rPr>
          <w:spacing w:val="-8"/>
          <w:w w:val="105"/>
          <w:sz w:val="21"/>
        </w:rPr>
        <w:t> </w:t>
      </w:r>
      <w:r>
        <w:rPr>
          <w:w w:val="105"/>
          <w:sz w:val="21"/>
        </w:rPr>
        <w:t>of</w:t>
      </w:r>
      <w:r>
        <w:rPr>
          <w:spacing w:val="-9"/>
          <w:w w:val="105"/>
          <w:sz w:val="21"/>
        </w:rPr>
        <w:t> </w:t>
      </w:r>
      <w:r>
        <w:rPr>
          <w:w w:val="105"/>
          <w:sz w:val="21"/>
        </w:rPr>
        <w:t>the</w:t>
      </w:r>
      <w:r>
        <w:rPr>
          <w:spacing w:val="-9"/>
          <w:w w:val="105"/>
          <w:sz w:val="21"/>
        </w:rPr>
        <w:t> </w:t>
      </w:r>
      <w:r>
        <w:rPr>
          <w:w w:val="105"/>
          <w:sz w:val="21"/>
        </w:rPr>
        <w:t>process</w:t>
      </w:r>
      <w:r>
        <w:rPr>
          <w:spacing w:val="-8"/>
          <w:w w:val="105"/>
          <w:sz w:val="21"/>
        </w:rPr>
        <w:t> </w:t>
      </w:r>
      <w:r>
        <w:rPr>
          <w:w w:val="105"/>
          <w:sz w:val="21"/>
        </w:rPr>
        <w:t>and</w:t>
      </w:r>
      <w:r>
        <w:rPr>
          <w:spacing w:val="-9"/>
          <w:w w:val="105"/>
          <w:sz w:val="21"/>
        </w:rPr>
        <w:t> </w:t>
      </w:r>
      <w:r>
        <w:rPr>
          <w:spacing w:val="-3"/>
          <w:w w:val="105"/>
          <w:sz w:val="21"/>
        </w:rPr>
        <w:t>increase</w:t>
      </w:r>
      <w:r>
        <w:rPr>
          <w:spacing w:val="-8"/>
          <w:w w:val="105"/>
          <w:sz w:val="21"/>
        </w:rPr>
        <w:t> </w:t>
      </w:r>
      <w:r>
        <w:rPr>
          <w:w w:val="105"/>
          <w:sz w:val="21"/>
        </w:rPr>
        <w:t>the</w:t>
      </w:r>
      <w:r>
        <w:rPr>
          <w:spacing w:val="-9"/>
          <w:w w:val="105"/>
          <w:sz w:val="21"/>
        </w:rPr>
        <w:t> </w:t>
      </w:r>
      <w:r>
        <w:rPr>
          <w:spacing w:val="-3"/>
          <w:w w:val="105"/>
          <w:sz w:val="21"/>
        </w:rPr>
        <w:t>value</w:t>
      </w:r>
      <w:r>
        <w:rPr>
          <w:spacing w:val="-9"/>
          <w:w w:val="105"/>
          <w:sz w:val="21"/>
        </w:rPr>
        <w:t> </w:t>
      </w:r>
      <w:r>
        <w:rPr>
          <w:w w:val="105"/>
          <w:sz w:val="21"/>
        </w:rPr>
        <w:t>of</w:t>
      </w:r>
      <w:r>
        <w:rPr>
          <w:spacing w:val="-8"/>
          <w:w w:val="105"/>
          <w:sz w:val="21"/>
        </w:rPr>
        <w:t> </w:t>
      </w:r>
      <w:r>
        <w:rPr>
          <w:w w:val="105"/>
          <w:sz w:val="21"/>
        </w:rPr>
        <w:t>the</w:t>
      </w:r>
      <w:r>
        <w:rPr>
          <w:spacing w:val="-9"/>
          <w:w w:val="105"/>
          <w:sz w:val="21"/>
        </w:rPr>
        <w:t> </w:t>
      </w:r>
      <w:r>
        <w:rPr>
          <w:w w:val="105"/>
          <w:sz w:val="21"/>
        </w:rPr>
        <w:t>estates</w:t>
      </w:r>
      <w:r>
        <w:rPr>
          <w:spacing w:val="-8"/>
          <w:w w:val="105"/>
          <w:sz w:val="21"/>
        </w:rPr>
        <w:t> </w:t>
      </w:r>
      <w:r>
        <w:rPr>
          <w:spacing w:val="-3"/>
          <w:w w:val="105"/>
          <w:sz w:val="21"/>
        </w:rPr>
        <w:t>to</w:t>
      </w:r>
      <w:r>
        <w:rPr>
          <w:spacing w:val="-9"/>
          <w:w w:val="105"/>
          <w:sz w:val="21"/>
        </w:rPr>
        <w:t> </w:t>
      </w:r>
      <w:r>
        <w:rPr>
          <w:w w:val="105"/>
          <w:sz w:val="21"/>
        </w:rPr>
        <w:t>which it applies. The amendments recommended by the </w:t>
      </w:r>
      <w:r>
        <w:rPr>
          <w:spacing w:val="-3"/>
          <w:w w:val="105"/>
          <w:sz w:val="21"/>
        </w:rPr>
        <w:t>Commission are </w:t>
      </w:r>
      <w:r>
        <w:rPr>
          <w:w w:val="105"/>
          <w:sz w:val="21"/>
        </w:rPr>
        <w:t>discussed in the </w:t>
      </w:r>
      <w:r>
        <w:rPr>
          <w:spacing w:val="-3"/>
          <w:w w:val="105"/>
          <w:sz w:val="21"/>
        </w:rPr>
        <w:t>following </w:t>
      </w:r>
      <w:r>
        <w:rPr>
          <w:w w:val="105"/>
          <w:sz w:val="21"/>
        </w:rPr>
        <w:t>sections and</w:t>
      </w:r>
      <w:r>
        <w:rPr>
          <w:spacing w:val="18"/>
          <w:w w:val="105"/>
          <w:sz w:val="21"/>
        </w:rPr>
        <w:t> </w:t>
      </w:r>
      <w:r>
        <w:rPr>
          <w:w w:val="105"/>
          <w:sz w:val="21"/>
        </w:rPr>
        <w:t>include:</w:t>
      </w:r>
    </w:p>
    <w:p>
      <w:pPr>
        <w:pStyle w:val="ListParagraph"/>
        <w:numPr>
          <w:ilvl w:val="2"/>
          <w:numId w:val="22"/>
        </w:numPr>
        <w:tabs>
          <w:tab w:pos="2721" w:val="left" w:leader="none"/>
          <w:tab w:pos="2722" w:val="left" w:leader="none"/>
        </w:tabs>
        <w:spacing w:line="242" w:lineRule="auto" w:before="117" w:after="0"/>
        <w:ind w:left="2721" w:right="2201" w:hanging="340"/>
        <w:jc w:val="left"/>
        <w:rPr>
          <w:sz w:val="21"/>
        </w:rPr>
      </w:pPr>
      <w:r>
        <w:rPr>
          <w:spacing w:val="-3"/>
          <w:sz w:val="21"/>
        </w:rPr>
        <w:t>raising </w:t>
      </w:r>
      <w:r>
        <w:rPr>
          <w:sz w:val="21"/>
        </w:rPr>
        <w:t>the </w:t>
      </w:r>
      <w:r>
        <w:rPr>
          <w:spacing w:val="-3"/>
          <w:sz w:val="21"/>
        </w:rPr>
        <w:t>threshold </w:t>
      </w:r>
      <w:r>
        <w:rPr>
          <w:spacing w:val="-2"/>
          <w:sz w:val="21"/>
        </w:rPr>
        <w:t>dollar </w:t>
      </w:r>
      <w:r>
        <w:rPr>
          <w:spacing w:val="-3"/>
          <w:sz w:val="21"/>
        </w:rPr>
        <w:t>value </w:t>
      </w:r>
      <w:r>
        <w:rPr>
          <w:sz w:val="21"/>
        </w:rPr>
        <w:t>of estates </w:t>
      </w:r>
      <w:r>
        <w:rPr>
          <w:spacing w:val="-3"/>
          <w:sz w:val="21"/>
        </w:rPr>
        <w:t>that may </w:t>
      </w:r>
      <w:r>
        <w:rPr>
          <w:sz w:val="21"/>
        </w:rPr>
        <w:t>be </w:t>
      </w:r>
      <w:r>
        <w:rPr>
          <w:spacing w:val="-3"/>
          <w:sz w:val="21"/>
        </w:rPr>
        <w:t>administered </w:t>
      </w:r>
      <w:r>
        <w:rPr>
          <w:sz w:val="21"/>
        </w:rPr>
        <w:t>under the scheme </w:t>
      </w:r>
      <w:r>
        <w:rPr>
          <w:spacing w:val="-3"/>
          <w:sz w:val="21"/>
        </w:rPr>
        <w:t>to</w:t>
      </w:r>
      <w:r>
        <w:rPr>
          <w:spacing w:val="18"/>
          <w:sz w:val="21"/>
        </w:rPr>
        <w:t> </w:t>
      </w:r>
      <w:r>
        <w:rPr>
          <w:spacing w:val="-3"/>
          <w:sz w:val="21"/>
        </w:rPr>
        <w:t>$100,000</w:t>
      </w:r>
    </w:p>
    <w:p>
      <w:pPr>
        <w:pStyle w:val="ListParagraph"/>
        <w:numPr>
          <w:ilvl w:val="2"/>
          <w:numId w:val="22"/>
        </w:numPr>
        <w:tabs>
          <w:tab w:pos="2721" w:val="left" w:leader="none"/>
          <w:tab w:pos="2722" w:val="left" w:leader="none"/>
        </w:tabs>
        <w:spacing w:line="242" w:lineRule="auto" w:before="116" w:after="0"/>
        <w:ind w:left="2721" w:right="1819" w:hanging="340"/>
        <w:jc w:val="left"/>
        <w:rPr>
          <w:sz w:val="21"/>
        </w:rPr>
      </w:pPr>
      <w:r>
        <w:rPr>
          <w:spacing w:val="-3"/>
          <w:w w:val="105"/>
          <w:sz w:val="21"/>
        </w:rPr>
        <w:t>indexing </w:t>
      </w:r>
      <w:r>
        <w:rPr>
          <w:w w:val="105"/>
          <w:sz w:val="21"/>
        </w:rPr>
        <w:t>this </w:t>
      </w:r>
      <w:r>
        <w:rPr>
          <w:spacing w:val="-3"/>
          <w:w w:val="105"/>
          <w:sz w:val="21"/>
        </w:rPr>
        <w:t>value to </w:t>
      </w:r>
      <w:r>
        <w:rPr>
          <w:w w:val="105"/>
          <w:sz w:val="21"/>
        </w:rPr>
        <w:t>reflect </w:t>
      </w:r>
      <w:r>
        <w:rPr>
          <w:spacing w:val="-3"/>
          <w:w w:val="105"/>
          <w:sz w:val="21"/>
        </w:rPr>
        <w:t>changes </w:t>
      </w:r>
      <w:r>
        <w:rPr>
          <w:w w:val="105"/>
          <w:sz w:val="21"/>
        </w:rPr>
        <w:t>in the </w:t>
      </w:r>
      <w:r>
        <w:rPr>
          <w:spacing w:val="-4"/>
          <w:w w:val="105"/>
          <w:sz w:val="21"/>
        </w:rPr>
        <w:t>Consumer </w:t>
      </w:r>
      <w:r>
        <w:rPr>
          <w:w w:val="105"/>
          <w:sz w:val="21"/>
        </w:rPr>
        <w:t>Price Index, </w:t>
      </w:r>
      <w:r>
        <w:rPr>
          <w:spacing w:val="-3"/>
          <w:w w:val="105"/>
          <w:sz w:val="21"/>
        </w:rPr>
        <w:t>thereby ensuring that </w:t>
      </w:r>
      <w:r>
        <w:rPr>
          <w:w w:val="105"/>
          <w:sz w:val="21"/>
        </w:rPr>
        <w:t>the </w:t>
      </w:r>
      <w:r>
        <w:rPr>
          <w:spacing w:val="-2"/>
          <w:w w:val="105"/>
          <w:sz w:val="21"/>
        </w:rPr>
        <w:t>figure </w:t>
      </w:r>
      <w:r>
        <w:rPr>
          <w:spacing w:val="-3"/>
          <w:w w:val="105"/>
          <w:sz w:val="21"/>
        </w:rPr>
        <w:t>remains </w:t>
      </w:r>
      <w:r>
        <w:rPr>
          <w:w w:val="105"/>
          <w:sz w:val="21"/>
        </w:rPr>
        <w:t>up </w:t>
      </w:r>
      <w:r>
        <w:rPr>
          <w:spacing w:val="-3"/>
          <w:w w:val="105"/>
          <w:sz w:val="21"/>
        </w:rPr>
        <w:t>to</w:t>
      </w:r>
      <w:r>
        <w:rPr>
          <w:spacing w:val="38"/>
          <w:w w:val="105"/>
          <w:sz w:val="21"/>
        </w:rPr>
        <w:t> </w:t>
      </w:r>
      <w:r>
        <w:rPr>
          <w:spacing w:val="-3"/>
          <w:w w:val="105"/>
          <w:sz w:val="21"/>
        </w:rPr>
        <w:t>date</w:t>
      </w:r>
    </w:p>
    <w:p>
      <w:pPr>
        <w:pStyle w:val="ListParagraph"/>
        <w:numPr>
          <w:ilvl w:val="2"/>
          <w:numId w:val="22"/>
        </w:numPr>
        <w:tabs>
          <w:tab w:pos="2722" w:val="left" w:leader="none"/>
        </w:tabs>
        <w:spacing w:line="242" w:lineRule="auto" w:before="116" w:after="0"/>
        <w:ind w:left="2721" w:right="1585" w:hanging="340"/>
        <w:jc w:val="both"/>
        <w:rPr>
          <w:sz w:val="21"/>
        </w:rPr>
      </w:pPr>
      <w:r>
        <w:rPr>
          <w:w w:val="105"/>
          <w:sz w:val="21"/>
        </w:rPr>
        <w:t>inserting</w:t>
      </w:r>
      <w:r>
        <w:rPr>
          <w:spacing w:val="-9"/>
          <w:w w:val="105"/>
          <w:sz w:val="21"/>
        </w:rPr>
        <w:t> </w:t>
      </w:r>
      <w:r>
        <w:rPr>
          <w:w w:val="105"/>
          <w:sz w:val="21"/>
        </w:rPr>
        <w:t>a</w:t>
      </w:r>
      <w:r>
        <w:rPr>
          <w:spacing w:val="-8"/>
          <w:w w:val="105"/>
          <w:sz w:val="21"/>
        </w:rPr>
        <w:t> </w:t>
      </w:r>
      <w:r>
        <w:rPr>
          <w:w w:val="105"/>
          <w:sz w:val="21"/>
        </w:rPr>
        <w:t>second,</w:t>
      </w:r>
      <w:r>
        <w:rPr>
          <w:spacing w:val="-8"/>
          <w:w w:val="105"/>
          <w:sz w:val="21"/>
        </w:rPr>
        <w:t> </w:t>
      </w:r>
      <w:r>
        <w:rPr>
          <w:w w:val="105"/>
          <w:sz w:val="21"/>
        </w:rPr>
        <w:t>safety</w:t>
      </w:r>
      <w:r>
        <w:rPr>
          <w:spacing w:val="-8"/>
          <w:w w:val="105"/>
          <w:sz w:val="21"/>
        </w:rPr>
        <w:t> </w:t>
      </w:r>
      <w:r>
        <w:rPr>
          <w:w w:val="105"/>
          <w:sz w:val="21"/>
        </w:rPr>
        <w:t>net</w:t>
      </w:r>
      <w:r>
        <w:rPr>
          <w:spacing w:val="-8"/>
          <w:w w:val="105"/>
          <w:sz w:val="21"/>
        </w:rPr>
        <w:t> </w:t>
      </w:r>
      <w:r>
        <w:rPr>
          <w:spacing w:val="-4"/>
          <w:w w:val="105"/>
          <w:sz w:val="21"/>
        </w:rPr>
        <w:t>value,</w:t>
      </w:r>
      <w:r>
        <w:rPr>
          <w:spacing w:val="-8"/>
          <w:w w:val="105"/>
          <w:sz w:val="21"/>
        </w:rPr>
        <w:t> </w:t>
      </w:r>
      <w:r>
        <w:rPr>
          <w:w w:val="105"/>
          <w:sz w:val="21"/>
        </w:rPr>
        <w:t>expressed</w:t>
      </w:r>
      <w:r>
        <w:rPr>
          <w:spacing w:val="-8"/>
          <w:w w:val="105"/>
          <w:sz w:val="21"/>
        </w:rPr>
        <w:t> </w:t>
      </w:r>
      <w:r>
        <w:rPr>
          <w:w w:val="105"/>
          <w:sz w:val="21"/>
        </w:rPr>
        <w:t>as</w:t>
      </w:r>
      <w:r>
        <w:rPr>
          <w:spacing w:val="-8"/>
          <w:w w:val="105"/>
          <w:sz w:val="21"/>
        </w:rPr>
        <w:t> </w:t>
      </w:r>
      <w:r>
        <w:rPr>
          <w:w w:val="105"/>
          <w:sz w:val="21"/>
        </w:rPr>
        <w:t>a</w:t>
      </w:r>
      <w:r>
        <w:rPr>
          <w:spacing w:val="-9"/>
          <w:w w:val="105"/>
          <w:sz w:val="21"/>
        </w:rPr>
        <w:t> </w:t>
      </w:r>
      <w:r>
        <w:rPr>
          <w:w w:val="105"/>
          <w:sz w:val="21"/>
        </w:rPr>
        <w:t>percentage</w:t>
      </w:r>
      <w:r>
        <w:rPr>
          <w:spacing w:val="-8"/>
          <w:w w:val="105"/>
          <w:sz w:val="21"/>
        </w:rPr>
        <w:t> </w:t>
      </w:r>
      <w:r>
        <w:rPr>
          <w:w w:val="105"/>
          <w:sz w:val="21"/>
        </w:rPr>
        <w:t>of</w:t>
      </w:r>
      <w:r>
        <w:rPr>
          <w:spacing w:val="-8"/>
          <w:w w:val="105"/>
          <w:sz w:val="21"/>
        </w:rPr>
        <w:t> </w:t>
      </w:r>
      <w:r>
        <w:rPr>
          <w:w w:val="105"/>
          <w:sz w:val="21"/>
        </w:rPr>
        <w:t>the</w:t>
      </w:r>
      <w:r>
        <w:rPr>
          <w:spacing w:val="-8"/>
          <w:w w:val="105"/>
          <w:sz w:val="21"/>
        </w:rPr>
        <w:t> </w:t>
      </w:r>
      <w:r>
        <w:rPr>
          <w:spacing w:val="-3"/>
          <w:w w:val="105"/>
          <w:sz w:val="21"/>
        </w:rPr>
        <w:t>threshold</w:t>
      </w:r>
      <w:r>
        <w:rPr>
          <w:spacing w:val="-8"/>
          <w:w w:val="105"/>
          <w:sz w:val="21"/>
        </w:rPr>
        <w:t> </w:t>
      </w:r>
      <w:r>
        <w:rPr>
          <w:spacing w:val="-3"/>
          <w:w w:val="105"/>
          <w:sz w:val="21"/>
        </w:rPr>
        <w:t>figure, </w:t>
      </w:r>
      <w:r>
        <w:rPr>
          <w:w w:val="105"/>
          <w:sz w:val="21"/>
        </w:rPr>
        <w:t>above which </w:t>
      </w:r>
      <w:r>
        <w:rPr>
          <w:spacing w:val="-3"/>
          <w:w w:val="105"/>
          <w:sz w:val="21"/>
        </w:rPr>
        <w:t>State </w:t>
      </w:r>
      <w:r>
        <w:rPr>
          <w:spacing w:val="-4"/>
          <w:w w:val="105"/>
          <w:sz w:val="21"/>
        </w:rPr>
        <w:t>Trustees </w:t>
      </w:r>
      <w:r>
        <w:rPr>
          <w:w w:val="105"/>
          <w:sz w:val="21"/>
        </w:rPr>
        <w:t>would need </w:t>
      </w:r>
      <w:r>
        <w:rPr>
          <w:spacing w:val="-3"/>
          <w:w w:val="105"/>
          <w:sz w:val="21"/>
        </w:rPr>
        <w:t>to </w:t>
      </w:r>
      <w:r>
        <w:rPr>
          <w:w w:val="105"/>
          <w:sz w:val="21"/>
        </w:rPr>
        <w:t>apply </w:t>
      </w:r>
      <w:r>
        <w:rPr>
          <w:spacing w:val="-3"/>
          <w:w w:val="105"/>
          <w:sz w:val="21"/>
        </w:rPr>
        <w:t>for </w:t>
      </w:r>
      <w:r>
        <w:rPr>
          <w:w w:val="105"/>
          <w:sz w:val="21"/>
        </w:rPr>
        <w:t>a </w:t>
      </w:r>
      <w:r>
        <w:rPr>
          <w:spacing w:val="-3"/>
          <w:w w:val="105"/>
          <w:sz w:val="21"/>
        </w:rPr>
        <w:t>full grant, to accommodate any underestimation </w:t>
      </w:r>
      <w:r>
        <w:rPr>
          <w:w w:val="105"/>
          <w:sz w:val="21"/>
        </w:rPr>
        <w:t>of the </w:t>
      </w:r>
      <w:r>
        <w:rPr>
          <w:spacing w:val="-3"/>
          <w:w w:val="105"/>
          <w:sz w:val="21"/>
        </w:rPr>
        <w:t>value </w:t>
      </w:r>
      <w:r>
        <w:rPr>
          <w:w w:val="105"/>
          <w:sz w:val="21"/>
        </w:rPr>
        <w:t>of the estate at the time of</w:t>
      </w:r>
      <w:r>
        <w:rPr>
          <w:spacing w:val="41"/>
          <w:w w:val="105"/>
          <w:sz w:val="21"/>
        </w:rPr>
        <w:t> </w:t>
      </w:r>
      <w:r>
        <w:rPr>
          <w:spacing w:val="-3"/>
          <w:w w:val="105"/>
          <w:sz w:val="21"/>
        </w:rPr>
        <w:t>filing</w:t>
      </w:r>
    </w:p>
    <w:p>
      <w:pPr>
        <w:pStyle w:val="ListParagraph"/>
        <w:numPr>
          <w:ilvl w:val="2"/>
          <w:numId w:val="22"/>
        </w:numPr>
        <w:tabs>
          <w:tab w:pos="2721" w:val="left" w:leader="none"/>
          <w:tab w:pos="2722" w:val="left" w:leader="none"/>
        </w:tabs>
        <w:spacing w:line="242" w:lineRule="auto" w:before="116" w:after="0"/>
        <w:ind w:left="2721" w:right="1936" w:hanging="340"/>
        <w:jc w:val="left"/>
        <w:rPr>
          <w:sz w:val="21"/>
        </w:rPr>
      </w:pPr>
      <w:r>
        <w:rPr>
          <w:spacing w:val="-3"/>
          <w:sz w:val="21"/>
        </w:rPr>
        <w:t>adding </w:t>
      </w:r>
      <w:r>
        <w:rPr>
          <w:sz w:val="21"/>
        </w:rPr>
        <w:t>a </w:t>
      </w:r>
      <w:r>
        <w:rPr>
          <w:spacing w:val="-3"/>
          <w:sz w:val="21"/>
        </w:rPr>
        <w:t>requirement to </w:t>
      </w:r>
      <w:r>
        <w:rPr>
          <w:sz w:val="21"/>
        </w:rPr>
        <w:t>file the </w:t>
      </w:r>
      <w:r>
        <w:rPr>
          <w:spacing w:val="-3"/>
          <w:sz w:val="21"/>
        </w:rPr>
        <w:t>will, </w:t>
      </w:r>
      <w:r>
        <w:rPr>
          <w:sz w:val="21"/>
        </w:rPr>
        <w:t>if there is </w:t>
      </w:r>
      <w:r>
        <w:rPr>
          <w:spacing w:val="-3"/>
          <w:sz w:val="21"/>
        </w:rPr>
        <w:t>one, </w:t>
      </w:r>
      <w:r>
        <w:rPr>
          <w:sz w:val="21"/>
        </w:rPr>
        <w:t>which would alert the </w:t>
      </w:r>
      <w:r>
        <w:rPr>
          <w:spacing w:val="-3"/>
          <w:sz w:val="21"/>
        </w:rPr>
        <w:t>Probate </w:t>
      </w:r>
      <w:r>
        <w:rPr>
          <w:sz w:val="21"/>
        </w:rPr>
        <w:t>Office </w:t>
      </w:r>
      <w:r>
        <w:rPr>
          <w:spacing w:val="-3"/>
          <w:sz w:val="21"/>
        </w:rPr>
        <w:t>to </w:t>
      </w:r>
      <w:r>
        <w:rPr>
          <w:sz w:val="21"/>
        </w:rPr>
        <w:t>the expedited</w:t>
      </w:r>
      <w:r>
        <w:rPr>
          <w:spacing w:val="38"/>
          <w:sz w:val="21"/>
        </w:rPr>
        <w:t> </w:t>
      </w:r>
      <w:r>
        <w:rPr>
          <w:spacing w:val="-3"/>
          <w:sz w:val="21"/>
        </w:rPr>
        <w:t>grant</w:t>
      </w:r>
    </w:p>
    <w:p>
      <w:pPr>
        <w:pStyle w:val="ListParagraph"/>
        <w:numPr>
          <w:ilvl w:val="2"/>
          <w:numId w:val="22"/>
        </w:numPr>
        <w:tabs>
          <w:tab w:pos="2721" w:val="left" w:leader="none"/>
          <w:tab w:pos="2722" w:val="left" w:leader="none"/>
        </w:tabs>
        <w:spacing w:line="242" w:lineRule="auto" w:before="116" w:after="0"/>
        <w:ind w:left="2721" w:right="1599" w:hanging="340"/>
        <w:jc w:val="left"/>
        <w:rPr>
          <w:sz w:val="21"/>
        </w:rPr>
      </w:pPr>
      <w:r>
        <w:rPr>
          <w:spacing w:val="-3"/>
          <w:w w:val="105"/>
          <w:sz w:val="21"/>
        </w:rPr>
        <w:t>replacing</w:t>
      </w:r>
      <w:r>
        <w:rPr>
          <w:spacing w:val="-11"/>
          <w:w w:val="105"/>
          <w:sz w:val="21"/>
        </w:rPr>
        <w:t> </w:t>
      </w:r>
      <w:r>
        <w:rPr>
          <w:w w:val="105"/>
          <w:sz w:val="21"/>
        </w:rPr>
        <w:t>the</w:t>
      </w:r>
      <w:r>
        <w:rPr>
          <w:spacing w:val="-10"/>
          <w:w w:val="105"/>
          <w:sz w:val="21"/>
        </w:rPr>
        <w:t> </w:t>
      </w:r>
      <w:r>
        <w:rPr>
          <w:spacing w:val="-3"/>
          <w:w w:val="105"/>
          <w:sz w:val="21"/>
        </w:rPr>
        <w:t>requirement</w:t>
      </w:r>
      <w:r>
        <w:rPr>
          <w:spacing w:val="-10"/>
          <w:w w:val="105"/>
          <w:sz w:val="21"/>
        </w:rPr>
        <w:t> </w:t>
      </w:r>
      <w:r>
        <w:rPr>
          <w:spacing w:val="-3"/>
          <w:w w:val="105"/>
          <w:sz w:val="21"/>
        </w:rPr>
        <w:t>to</w:t>
      </w:r>
      <w:r>
        <w:rPr>
          <w:spacing w:val="-11"/>
          <w:w w:val="105"/>
          <w:sz w:val="21"/>
        </w:rPr>
        <w:t> </w:t>
      </w:r>
      <w:r>
        <w:rPr>
          <w:w w:val="105"/>
          <w:sz w:val="21"/>
        </w:rPr>
        <w:t>advertise</w:t>
      </w:r>
      <w:r>
        <w:rPr>
          <w:spacing w:val="-10"/>
          <w:w w:val="105"/>
          <w:sz w:val="21"/>
        </w:rPr>
        <w:t> </w:t>
      </w:r>
      <w:r>
        <w:rPr>
          <w:w w:val="105"/>
          <w:sz w:val="21"/>
        </w:rPr>
        <w:t>in</w:t>
      </w:r>
      <w:r>
        <w:rPr>
          <w:spacing w:val="-10"/>
          <w:w w:val="105"/>
          <w:sz w:val="21"/>
        </w:rPr>
        <w:t> </w:t>
      </w:r>
      <w:r>
        <w:rPr>
          <w:w w:val="105"/>
          <w:sz w:val="21"/>
        </w:rPr>
        <w:t>a</w:t>
      </w:r>
      <w:r>
        <w:rPr>
          <w:spacing w:val="-11"/>
          <w:w w:val="105"/>
          <w:sz w:val="21"/>
        </w:rPr>
        <w:t> </w:t>
      </w:r>
      <w:r>
        <w:rPr>
          <w:w w:val="105"/>
          <w:sz w:val="21"/>
        </w:rPr>
        <w:t>newspaper</w:t>
      </w:r>
      <w:r>
        <w:rPr>
          <w:spacing w:val="-10"/>
          <w:w w:val="105"/>
          <w:sz w:val="21"/>
        </w:rPr>
        <w:t> </w:t>
      </w:r>
      <w:r>
        <w:rPr>
          <w:w w:val="105"/>
          <w:sz w:val="21"/>
        </w:rPr>
        <w:t>with</w:t>
      </w:r>
      <w:r>
        <w:rPr>
          <w:spacing w:val="-10"/>
          <w:w w:val="105"/>
          <w:sz w:val="21"/>
        </w:rPr>
        <w:t> </w:t>
      </w:r>
      <w:r>
        <w:rPr>
          <w:w w:val="105"/>
          <w:sz w:val="21"/>
        </w:rPr>
        <w:t>a</w:t>
      </w:r>
      <w:r>
        <w:rPr>
          <w:spacing w:val="-11"/>
          <w:w w:val="105"/>
          <w:sz w:val="21"/>
        </w:rPr>
        <w:t> </w:t>
      </w:r>
      <w:r>
        <w:rPr>
          <w:spacing w:val="-3"/>
          <w:w w:val="105"/>
          <w:sz w:val="21"/>
        </w:rPr>
        <w:t>requirement</w:t>
      </w:r>
      <w:r>
        <w:rPr>
          <w:spacing w:val="-10"/>
          <w:w w:val="105"/>
          <w:sz w:val="21"/>
        </w:rPr>
        <w:t> </w:t>
      </w:r>
      <w:r>
        <w:rPr>
          <w:spacing w:val="-3"/>
          <w:w w:val="105"/>
          <w:sz w:val="21"/>
        </w:rPr>
        <w:t>to</w:t>
      </w:r>
      <w:r>
        <w:rPr>
          <w:spacing w:val="-10"/>
          <w:w w:val="105"/>
          <w:sz w:val="21"/>
        </w:rPr>
        <w:t> </w:t>
      </w:r>
      <w:r>
        <w:rPr>
          <w:w w:val="105"/>
          <w:sz w:val="21"/>
        </w:rPr>
        <w:t>advertise on the </w:t>
      </w:r>
      <w:r>
        <w:rPr>
          <w:spacing w:val="-3"/>
          <w:w w:val="105"/>
          <w:sz w:val="21"/>
        </w:rPr>
        <w:t>Court’s website, thereby creating </w:t>
      </w:r>
      <w:r>
        <w:rPr>
          <w:w w:val="105"/>
          <w:sz w:val="21"/>
        </w:rPr>
        <w:t>a </w:t>
      </w:r>
      <w:r>
        <w:rPr>
          <w:spacing w:val="-3"/>
          <w:w w:val="105"/>
          <w:sz w:val="21"/>
        </w:rPr>
        <w:t>searchable</w:t>
      </w:r>
      <w:r>
        <w:rPr>
          <w:w w:val="105"/>
          <w:sz w:val="21"/>
        </w:rPr>
        <w:t> </w:t>
      </w:r>
      <w:r>
        <w:rPr>
          <w:spacing w:val="-3"/>
          <w:w w:val="105"/>
          <w:sz w:val="21"/>
        </w:rPr>
        <w:t>record.</w:t>
      </w:r>
    </w:p>
    <w:p>
      <w:pPr>
        <w:pStyle w:val="BodyText"/>
        <w:spacing w:before="1"/>
        <w:rPr>
          <w:sz w:val="18"/>
        </w:rPr>
      </w:pPr>
    </w:p>
    <w:p>
      <w:pPr>
        <w:spacing w:after="0"/>
        <w:rPr>
          <w:sz w:val="18"/>
        </w:rPr>
        <w:sectPr>
          <w:pgSz w:w="11910" w:h="16840"/>
          <w:pgMar w:header="550" w:footer="0" w:top="1560" w:bottom="280" w:left="0" w:right="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1"/>
      </w:pPr>
    </w:p>
    <w:p>
      <w:pPr>
        <w:spacing w:before="0"/>
        <w:ind w:left="720" w:right="0" w:firstLine="0"/>
        <w:jc w:val="left"/>
        <w:rPr>
          <w:b/>
          <w:sz w:val="24"/>
        </w:rPr>
      </w:pPr>
      <w:r>
        <w:rPr>
          <w:b/>
          <w:color w:val="EC5A4F"/>
          <w:w w:val="110"/>
          <w:sz w:val="24"/>
        </w:rPr>
        <w:t>206</w:t>
      </w:r>
    </w:p>
    <w:p>
      <w:pPr>
        <w:pStyle w:val="Heading6"/>
        <w:spacing w:before="100"/>
        <w:ind w:left="423"/>
      </w:pPr>
      <w:r>
        <w:rPr/>
        <w:br w:type="column"/>
      </w:r>
      <w:r>
        <w:rPr>
          <w:w w:val="115"/>
        </w:rPr>
        <w:t>Increased upper limit</w:t>
      </w:r>
    </w:p>
    <w:p>
      <w:pPr>
        <w:pStyle w:val="ListParagraph"/>
        <w:numPr>
          <w:ilvl w:val="0"/>
          <w:numId w:val="146"/>
        </w:numPr>
        <w:tabs>
          <w:tab w:pos="1216" w:val="left" w:leader="none"/>
          <w:tab w:pos="1218" w:val="left" w:leader="none"/>
        </w:tabs>
        <w:spacing w:line="242" w:lineRule="auto" w:before="151" w:after="0"/>
        <w:ind w:left="1217" w:right="1765" w:hanging="794"/>
        <w:jc w:val="left"/>
        <w:rPr>
          <w:sz w:val="12"/>
        </w:rPr>
      </w:pPr>
      <w:r>
        <w:rPr>
          <w:sz w:val="21"/>
        </w:rPr>
        <w:t>The upper </w:t>
      </w:r>
      <w:r>
        <w:rPr>
          <w:spacing w:val="-3"/>
          <w:sz w:val="21"/>
        </w:rPr>
        <w:t>limit </w:t>
      </w:r>
      <w:r>
        <w:rPr>
          <w:sz w:val="21"/>
        </w:rPr>
        <w:t>on the </w:t>
      </w:r>
      <w:r>
        <w:rPr>
          <w:spacing w:val="-3"/>
          <w:sz w:val="21"/>
        </w:rPr>
        <w:t>value </w:t>
      </w:r>
      <w:r>
        <w:rPr>
          <w:sz w:val="21"/>
        </w:rPr>
        <w:t>of the estates </w:t>
      </w:r>
      <w:r>
        <w:rPr>
          <w:spacing w:val="-3"/>
          <w:sz w:val="21"/>
        </w:rPr>
        <w:t>that State </w:t>
      </w:r>
      <w:r>
        <w:rPr>
          <w:spacing w:val="-4"/>
          <w:sz w:val="21"/>
        </w:rPr>
        <w:t>Trustees </w:t>
      </w:r>
      <w:r>
        <w:rPr>
          <w:spacing w:val="-3"/>
          <w:sz w:val="21"/>
        </w:rPr>
        <w:t>may administer  </w:t>
      </w:r>
      <w:r>
        <w:rPr>
          <w:sz w:val="21"/>
        </w:rPr>
        <w:t>under section </w:t>
      </w:r>
      <w:r>
        <w:rPr>
          <w:spacing w:val="-3"/>
          <w:sz w:val="21"/>
        </w:rPr>
        <w:t>79 </w:t>
      </w:r>
      <w:r>
        <w:rPr>
          <w:sz w:val="21"/>
        </w:rPr>
        <w:t>of the </w:t>
      </w:r>
      <w:r>
        <w:rPr>
          <w:spacing w:val="-3"/>
          <w:sz w:val="21"/>
        </w:rPr>
        <w:t>Administration </w:t>
      </w:r>
      <w:r>
        <w:rPr>
          <w:sz w:val="21"/>
        </w:rPr>
        <w:t>and </w:t>
      </w:r>
      <w:r>
        <w:rPr>
          <w:spacing w:val="-3"/>
          <w:sz w:val="21"/>
        </w:rPr>
        <w:t>Probate </w:t>
      </w:r>
      <w:r>
        <w:rPr>
          <w:sz w:val="21"/>
        </w:rPr>
        <w:t>Act is </w:t>
      </w:r>
      <w:r>
        <w:rPr>
          <w:spacing w:val="-3"/>
          <w:sz w:val="21"/>
        </w:rPr>
        <w:t>determined </w:t>
      </w:r>
      <w:r>
        <w:rPr>
          <w:sz w:val="21"/>
        </w:rPr>
        <w:t>by  the  </w:t>
      </w:r>
      <w:r>
        <w:rPr>
          <w:spacing w:val="-3"/>
          <w:sz w:val="21"/>
        </w:rPr>
        <w:t>value  </w:t>
      </w:r>
      <w:r>
        <w:rPr>
          <w:sz w:val="21"/>
        </w:rPr>
        <w:t>of  the estates in respect of which the </w:t>
      </w:r>
      <w:r>
        <w:rPr>
          <w:spacing w:val="-3"/>
          <w:sz w:val="21"/>
        </w:rPr>
        <w:t>Probate </w:t>
      </w:r>
      <w:r>
        <w:rPr>
          <w:sz w:val="21"/>
        </w:rPr>
        <w:t>Office </w:t>
      </w:r>
      <w:r>
        <w:rPr>
          <w:spacing w:val="-3"/>
          <w:sz w:val="21"/>
        </w:rPr>
        <w:t>may </w:t>
      </w:r>
      <w:r>
        <w:rPr>
          <w:sz w:val="21"/>
        </w:rPr>
        <w:t>provide aid in </w:t>
      </w:r>
      <w:r>
        <w:rPr>
          <w:spacing w:val="-3"/>
          <w:sz w:val="21"/>
        </w:rPr>
        <w:t>obtaining </w:t>
      </w:r>
      <w:r>
        <w:rPr>
          <w:sz w:val="21"/>
        </w:rPr>
        <w:t>a </w:t>
      </w:r>
      <w:r>
        <w:rPr>
          <w:spacing w:val="-3"/>
          <w:sz w:val="21"/>
        </w:rPr>
        <w:t>grant </w:t>
      </w:r>
      <w:r>
        <w:rPr>
          <w:sz w:val="21"/>
        </w:rPr>
        <w:t>of </w:t>
      </w:r>
      <w:r>
        <w:rPr>
          <w:spacing w:val="-2"/>
          <w:sz w:val="21"/>
        </w:rPr>
        <w:t>representation </w:t>
      </w:r>
      <w:r>
        <w:rPr>
          <w:sz w:val="21"/>
        </w:rPr>
        <w:t>under section </w:t>
      </w:r>
      <w:r>
        <w:rPr>
          <w:spacing w:val="-5"/>
          <w:sz w:val="21"/>
        </w:rPr>
        <w:t>71(1). </w:t>
      </w:r>
      <w:r>
        <w:rPr>
          <w:sz w:val="21"/>
        </w:rPr>
        <w:t>This is because an estate </w:t>
      </w:r>
      <w:r>
        <w:rPr>
          <w:spacing w:val="-3"/>
          <w:sz w:val="21"/>
        </w:rPr>
        <w:t>administered </w:t>
      </w:r>
      <w:r>
        <w:rPr>
          <w:sz w:val="21"/>
        </w:rPr>
        <w:t>under section  </w:t>
      </w:r>
      <w:r>
        <w:rPr>
          <w:spacing w:val="-3"/>
          <w:sz w:val="21"/>
        </w:rPr>
        <w:t>79 </w:t>
      </w:r>
      <w:r>
        <w:rPr>
          <w:sz w:val="21"/>
        </w:rPr>
        <w:t>must be a </w:t>
      </w:r>
      <w:r>
        <w:rPr>
          <w:spacing w:val="-4"/>
          <w:sz w:val="21"/>
        </w:rPr>
        <w:t>‘small estate’, </w:t>
      </w:r>
      <w:r>
        <w:rPr>
          <w:sz w:val="21"/>
        </w:rPr>
        <w:t>which is defined as </w:t>
      </w:r>
      <w:r>
        <w:rPr>
          <w:spacing w:val="-6"/>
          <w:sz w:val="21"/>
        </w:rPr>
        <w:t>‘an </w:t>
      </w:r>
      <w:r>
        <w:rPr>
          <w:sz w:val="21"/>
        </w:rPr>
        <w:t>estate </w:t>
      </w:r>
      <w:r>
        <w:rPr>
          <w:spacing w:val="-2"/>
          <w:sz w:val="21"/>
        </w:rPr>
        <w:t>not </w:t>
      </w:r>
      <w:r>
        <w:rPr>
          <w:spacing w:val="-3"/>
          <w:sz w:val="21"/>
        </w:rPr>
        <w:t>exceeding  </w:t>
      </w:r>
      <w:r>
        <w:rPr>
          <w:sz w:val="21"/>
        </w:rPr>
        <w:t>the  </w:t>
      </w:r>
      <w:r>
        <w:rPr>
          <w:spacing w:val="-3"/>
          <w:sz w:val="21"/>
        </w:rPr>
        <w:t>values </w:t>
      </w:r>
      <w:r>
        <w:rPr>
          <w:sz w:val="21"/>
        </w:rPr>
        <w:t>specified in section</w:t>
      </w:r>
      <w:r>
        <w:rPr>
          <w:spacing w:val="26"/>
          <w:sz w:val="21"/>
        </w:rPr>
        <w:t> </w:t>
      </w:r>
      <w:r>
        <w:rPr>
          <w:spacing w:val="-7"/>
          <w:sz w:val="21"/>
        </w:rPr>
        <w:t>71(1)’.</w:t>
      </w:r>
      <w:r>
        <w:rPr>
          <w:spacing w:val="-7"/>
          <w:position w:val="7"/>
          <w:sz w:val="12"/>
        </w:rPr>
        <w:t>104</w:t>
      </w:r>
    </w:p>
    <w:p>
      <w:pPr>
        <w:pStyle w:val="ListParagraph"/>
        <w:numPr>
          <w:ilvl w:val="0"/>
          <w:numId w:val="146"/>
        </w:numPr>
        <w:tabs>
          <w:tab w:pos="1216" w:val="left" w:leader="none"/>
          <w:tab w:pos="1217" w:val="left" w:leader="none"/>
        </w:tabs>
        <w:spacing w:line="242" w:lineRule="auto" w:before="127" w:after="0"/>
        <w:ind w:left="1216" w:right="1624" w:hanging="793"/>
        <w:jc w:val="left"/>
        <w:rPr>
          <w:sz w:val="21"/>
        </w:rPr>
      </w:pPr>
      <w:r>
        <w:rPr>
          <w:w w:val="105"/>
          <w:sz w:val="21"/>
        </w:rPr>
        <w:t>The </w:t>
      </w:r>
      <w:r>
        <w:rPr>
          <w:spacing w:val="-3"/>
          <w:w w:val="105"/>
          <w:sz w:val="21"/>
        </w:rPr>
        <w:t>Commission </w:t>
      </w:r>
      <w:r>
        <w:rPr>
          <w:spacing w:val="-2"/>
          <w:w w:val="105"/>
          <w:sz w:val="21"/>
        </w:rPr>
        <w:t>has </w:t>
      </w:r>
      <w:r>
        <w:rPr>
          <w:w w:val="105"/>
          <w:sz w:val="21"/>
        </w:rPr>
        <w:t>recommended above </w:t>
      </w:r>
      <w:r>
        <w:rPr>
          <w:spacing w:val="-3"/>
          <w:w w:val="105"/>
          <w:sz w:val="21"/>
        </w:rPr>
        <w:t>that </w:t>
      </w:r>
      <w:r>
        <w:rPr>
          <w:w w:val="105"/>
          <w:sz w:val="21"/>
        </w:rPr>
        <w:t>section </w:t>
      </w:r>
      <w:r>
        <w:rPr>
          <w:spacing w:val="-6"/>
          <w:w w:val="105"/>
          <w:sz w:val="21"/>
        </w:rPr>
        <w:t>71(1) </w:t>
      </w:r>
      <w:r>
        <w:rPr>
          <w:w w:val="105"/>
          <w:sz w:val="21"/>
        </w:rPr>
        <w:t>of the </w:t>
      </w:r>
      <w:r>
        <w:rPr>
          <w:spacing w:val="-3"/>
          <w:w w:val="105"/>
          <w:sz w:val="21"/>
        </w:rPr>
        <w:t>Administration </w:t>
      </w:r>
      <w:r>
        <w:rPr>
          <w:w w:val="105"/>
          <w:sz w:val="21"/>
        </w:rPr>
        <w:t>and </w:t>
      </w:r>
      <w:r>
        <w:rPr>
          <w:spacing w:val="-3"/>
          <w:w w:val="105"/>
          <w:sz w:val="21"/>
        </w:rPr>
        <w:t>Probate </w:t>
      </w:r>
      <w:r>
        <w:rPr>
          <w:w w:val="105"/>
          <w:sz w:val="21"/>
        </w:rPr>
        <w:t>Act be amended </w:t>
      </w:r>
      <w:r>
        <w:rPr>
          <w:spacing w:val="-3"/>
          <w:w w:val="105"/>
          <w:sz w:val="21"/>
        </w:rPr>
        <w:t>to </w:t>
      </w:r>
      <w:r>
        <w:rPr>
          <w:w w:val="105"/>
          <w:sz w:val="21"/>
        </w:rPr>
        <w:t>extend the assistance provided by the </w:t>
      </w:r>
      <w:r>
        <w:rPr>
          <w:spacing w:val="-3"/>
          <w:w w:val="105"/>
          <w:sz w:val="21"/>
        </w:rPr>
        <w:t>Probate </w:t>
      </w:r>
      <w:r>
        <w:rPr>
          <w:w w:val="105"/>
          <w:sz w:val="21"/>
        </w:rPr>
        <w:t>Office </w:t>
      </w:r>
      <w:r>
        <w:rPr>
          <w:spacing w:val="-3"/>
          <w:w w:val="105"/>
          <w:sz w:val="21"/>
        </w:rPr>
        <w:t>to </w:t>
      </w:r>
      <w:r>
        <w:rPr>
          <w:w w:val="105"/>
          <w:sz w:val="21"/>
        </w:rPr>
        <w:t>estates</w:t>
      </w:r>
      <w:r>
        <w:rPr>
          <w:spacing w:val="-5"/>
          <w:w w:val="105"/>
          <w:sz w:val="21"/>
        </w:rPr>
        <w:t> </w:t>
      </w:r>
      <w:r>
        <w:rPr>
          <w:spacing w:val="-2"/>
          <w:w w:val="105"/>
          <w:sz w:val="21"/>
        </w:rPr>
        <w:t>not</w:t>
      </w:r>
      <w:r>
        <w:rPr>
          <w:spacing w:val="-4"/>
          <w:w w:val="105"/>
          <w:sz w:val="21"/>
        </w:rPr>
        <w:t> </w:t>
      </w:r>
      <w:r>
        <w:rPr>
          <w:spacing w:val="-3"/>
          <w:w w:val="105"/>
          <w:sz w:val="21"/>
        </w:rPr>
        <w:t>exceeding</w:t>
      </w:r>
      <w:r>
        <w:rPr>
          <w:spacing w:val="-5"/>
          <w:w w:val="105"/>
          <w:sz w:val="21"/>
        </w:rPr>
        <w:t> </w:t>
      </w:r>
      <w:r>
        <w:rPr>
          <w:spacing w:val="-3"/>
          <w:w w:val="105"/>
          <w:sz w:val="21"/>
        </w:rPr>
        <w:t>$100,000</w:t>
      </w:r>
      <w:r>
        <w:rPr>
          <w:spacing w:val="-4"/>
          <w:w w:val="105"/>
          <w:sz w:val="21"/>
        </w:rPr>
        <w:t> </w:t>
      </w:r>
      <w:r>
        <w:rPr>
          <w:w w:val="105"/>
          <w:sz w:val="21"/>
        </w:rPr>
        <w:t>in</w:t>
      </w:r>
      <w:r>
        <w:rPr>
          <w:spacing w:val="-5"/>
          <w:w w:val="105"/>
          <w:sz w:val="21"/>
        </w:rPr>
        <w:t> </w:t>
      </w:r>
      <w:r>
        <w:rPr>
          <w:spacing w:val="-4"/>
          <w:w w:val="105"/>
          <w:sz w:val="21"/>
        </w:rPr>
        <w:t>value, </w:t>
      </w:r>
      <w:r>
        <w:rPr>
          <w:w w:val="105"/>
          <w:sz w:val="21"/>
        </w:rPr>
        <w:t>and</w:t>
      </w:r>
      <w:r>
        <w:rPr>
          <w:spacing w:val="-4"/>
          <w:w w:val="105"/>
          <w:sz w:val="21"/>
        </w:rPr>
        <w:t> </w:t>
      </w:r>
      <w:r>
        <w:rPr>
          <w:spacing w:val="-3"/>
          <w:w w:val="105"/>
          <w:sz w:val="21"/>
        </w:rPr>
        <w:t>that</w:t>
      </w:r>
      <w:r>
        <w:rPr>
          <w:spacing w:val="-5"/>
          <w:w w:val="105"/>
          <w:sz w:val="21"/>
        </w:rPr>
        <w:t> </w:t>
      </w:r>
      <w:r>
        <w:rPr>
          <w:w w:val="105"/>
          <w:sz w:val="21"/>
        </w:rPr>
        <w:t>this</w:t>
      </w:r>
      <w:r>
        <w:rPr>
          <w:spacing w:val="-4"/>
          <w:w w:val="105"/>
          <w:sz w:val="21"/>
        </w:rPr>
        <w:t> </w:t>
      </w:r>
      <w:r>
        <w:rPr>
          <w:spacing w:val="-2"/>
          <w:w w:val="105"/>
          <w:sz w:val="21"/>
        </w:rPr>
        <w:t>figure</w:t>
      </w:r>
      <w:r>
        <w:rPr>
          <w:spacing w:val="-5"/>
          <w:w w:val="105"/>
          <w:sz w:val="21"/>
        </w:rPr>
        <w:t> </w:t>
      </w:r>
      <w:r>
        <w:rPr>
          <w:w w:val="105"/>
          <w:sz w:val="21"/>
        </w:rPr>
        <w:t>should</w:t>
      </w:r>
      <w:r>
        <w:rPr>
          <w:spacing w:val="-4"/>
          <w:w w:val="105"/>
          <w:sz w:val="21"/>
        </w:rPr>
        <w:t> </w:t>
      </w:r>
      <w:r>
        <w:rPr>
          <w:w w:val="105"/>
          <w:sz w:val="21"/>
        </w:rPr>
        <w:t>be</w:t>
      </w:r>
      <w:r>
        <w:rPr>
          <w:spacing w:val="-4"/>
          <w:w w:val="105"/>
          <w:sz w:val="21"/>
        </w:rPr>
        <w:t> </w:t>
      </w:r>
      <w:r>
        <w:rPr>
          <w:w w:val="105"/>
          <w:sz w:val="21"/>
        </w:rPr>
        <w:t>adjusted</w:t>
      </w:r>
      <w:r>
        <w:rPr>
          <w:spacing w:val="-5"/>
          <w:w w:val="105"/>
          <w:sz w:val="21"/>
        </w:rPr>
        <w:t> </w:t>
      </w:r>
      <w:r>
        <w:rPr>
          <w:w w:val="105"/>
          <w:sz w:val="21"/>
        </w:rPr>
        <w:t>quarterly </w:t>
      </w:r>
      <w:r>
        <w:rPr>
          <w:spacing w:val="-3"/>
          <w:w w:val="105"/>
          <w:sz w:val="21"/>
        </w:rPr>
        <w:t>to </w:t>
      </w:r>
      <w:r>
        <w:rPr>
          <w:w w:val="105"/>
          <w:sz w:val="21"/>
        </w:rPr>
        <w:t>reflect </w:t>
      </w:r>
      <w:r>
        <w:rPr>
          <w:spacing w:val="-3"/>
          <w:w w:val="105"/>
          <w:sz w:val="21"/>
        </w:rPr>
        <w:t>changes </w:t>
      </w:r>
      <w:r>
        <w:rPr>
          <w:w w:val="105"/>
          <w:sz w:val="21"/>
        </w:rPr>
        <w:t>in the </w:t>
      </w:r>
      <w:r>
        <w:rPr>
          <w:spacing w:val="-4"/>
          <w:w w:val="105"/>
          <w:sz w:val="21"/>
        </w:rPr>
        <w:t>Consumer </w:t>
      </w:r>
      <w:r>
        <w:rPr>
          <w:w w:val="105"/>
          <w:sz w:val="21"/>
        </w:rPr>
        <w:t>Price</w:t>
      </w:r>
      <w:r>
        <w:rPr>
          <w:spacing w:val="42"/>
          <w:w w:val="105"/>
          <w:sz w:val="21"/>
        </w:rPr>
        <w:t> </w:t>
      </w:r>
      <w:r>
        <w:rPr>
          <w:w w:val="105"/>
          <w:sz w:val="21"/>
        </w:rPr>
        <w:t>Index.</w:t>
      </w:r>
    </w:p>
    <w:p>
      <w:pPr>
        <w:pStyle w:val="ListParagraph"/>
        <w:numPr>
          <w:ilvl w:val="0"/>
          <w:numId w:val="146"/>
        </w:numPr>
        <w:tabs>
          <w:tab w:pos="1216" w:val="left" w:leader="none"/>
          <w:tab w:pos="1217" w:val="left" w:leader="none"/>
        </w:tabs>
        <w:spacing w:line="242" w:lineRule="auto" w:before="124" w:after="0"/>
        <w:ind w:left="1216" w:right="1594" w:hanging="793"/>
        <w:jc w:val="left"/>
        <w:rPr>
          <w:sz w:val="21"/>
        </w:rPr>
      </w:pPr>
      <w:r>
        <w:rPr>
          <w:w w:val="105"/>
          <w:sz w:val="21"/>
        </w:rPr>
        <w:t>The </w:t>
      </w:r>
      <w:r>
        <w:rPr>
          <w:spacing w:val="-4"/>
          <w:w w:val="105"/>
          <w:sz w:val="21"/>
        </w:rPr>
        <w:t>Commission </w:t>
      </w:r>
      <w:r>
        <w:rPr>
          <w:w w:val="105"/>
          <w:sz w:val="21"/>
        </w:rPr>
        <w:t>is </w:t>
      </w:r>
      <w:r>
        <w:rPr>
          <w:spacing w:val="-3"/>
          <w:w w:val="105"/>
          <w:sz w:val="21"/>
        </w:rPr>
        <w:t>of </w:t>
      </w:r>
      <w:r>
        <w:rPr>
          <w:w w:val="105"/>
          <w:sz w:val="21"/>
        </w:rPr>
        <w:t>the view </w:t>
      </w:r>
      <w:r>
        <w:rPr>
          <w:spacing w:val="-3"/>
          <w:w w:val="105"/>
          <w:sz w:val="21"/>
        </w:rPr>
        <w:t>that </w:t>
      </w:r>
      <w:r>
        <w:rPr>
          <w:w w:val="105"/>
          <w:sz w:val="21"/>
        </w:rPr>
        <w:t>the </w:t>
      </w:r>
      <w:r>
        <w:rPr>
          <w:spacing w:val="-4"/>
          <w:w w:val="105"/>
          <w:sz w:val="21"/>
        </w:rPr>
        <w:t>value </w:t>
      </w:r>
      <w:r>
        <w:rPr>
          <w:spacing w:val="-3"/>
          <w:w w:val="105"/>
          <w:sz w:val="21"/>
        </w:rPr>
        <w:t>of estates in </w:t>
      </w:r>
      <w:r>
        <w:rPr>
          <w:w w:val="105"/>
          <w:sz w:val="21"/>
        </w:rPr>
        <w:t>respect </w:t>
      </w:r>
      <w:r>
        <w:rPr>
          <w:spacing w:val="-3"/>
          <w:w w:val="105"/>
          <w:sz w:val="21"/>
        </w:rPr>
        <w:t>of which </w:t>
      </w:r>
      <w:r>
        <w:rPr>
          <w:w w:val="105"/>
          <w:sz w:val="21"/>
        </w:rPr>
        <w:t>the </w:t>
      </w:r>
      <w:r>
        <w:rPr>
          <w:spacing w:val="-3"/>
          <w:w w:val="105"/>
          <w:sz w:val="21"/>
        </w:rPr>
        <w:t>Probate </w:t>
      </w:r>
      <w:r>
        <w:rPr>
          <w:w w:val="105"/>
          <w:sz w:val="21"/>
        </w:rPr>
        <w:t>Office</w:t>
      </w:r>
      <w:r>
        <w:rPr>
          <w:spacing w:val="-8"/>
          <w:w w:val="105"/>
          <w:sz w:val="21"/>
        </w:rPr>
        <w:t> </w:t>
      </w:r>
      <w:r>
        <w:rPr>
          <w:spacing w:val="-3"/>
          <w:w w:val="105"/>
          <w:sz w:val="21"/>
        </w:rPr>
        <w:t>will</w:t>
      </w:r>
      <w:r>
        <w:rPr>
          <w:spacing w:val="-7"/>
          <w:w w:val="105"/>
          <w:sz w:val="21"/>
        </w:rPr>
        <w:t> </w:t>
      </w:r>
      <w:r>
        <w:rPr>
          <w:spacing w:val="-3"/>
          <w:w w:val="105"/>
          <w:sz w:val="21"/>
        </w:rPr>
        <w:t>provide</w:t>
      </w:r>
      <w:r>
        <w:rPr>
          <w:spacing w:val="-7"/>
          <w:w w:val="105"/>
          <w:sz w:val="21"/>
        </w:rPr>
        <w:t> </w:t>
      </w:r>
      <w:r>
        <w:rPr>
          <w:spacing w:val="-4"/>
          <w:w w:val="105"/>
          <w:sz w:val="21"/>
        </w:rPr>
        <w:t>assistance,</w:t>
      </w:r>
      <w:r>
        <w:rPr>
          <w:spacing w:val="-7"/>
          <w:w w:val="105"/>
          <w:sz w:val="21"/>
        </w:rPr>
        <w:t> </w:t>
      </w:r>
      <w:r>
        <w:rPr>
          <w:spacing w:val="-3"/>
          <w:w w:val="105"/>
          <w:sz w:val="21"/>
        </w:rPr>
        <w:t>and</w:t>
      </w:r>
      <w:r>
        <w:rPr>
          <w:spacing w:val="-7"/>
          <w:w w:val="105"/>
          <w:sz w:val="21"/>
        </w:rPr>
        <w:t> </w:t>
      </w:r>
      <w:r>
        <w:rPr>
          <w:spacing w:val="-3"/>
          <w:w w:val="105"/>
          <w:sz w:val="21"/>
        </w:rPr>
        <w:t>those</w:t>
      </w:r>
      <w:r>
        <w:rPr>
          <w:spacing w:val="-7"/>
          <w:w w:val="105"/>
          <w:sz w:val="21"/>
        </w:rPr>
        <w:t> </w:t>
      </w:r>
      <w:r>
        <w:rPr>
          <w:spacing w:val="-3"/>
          <w:w w:val="105"/>
          <w:sz w:val="21"/>
        </w:rPr>
        <w:t>which</w:t>
      </w:r>
      <w:r>
        <w:rPr>
          <w:spacing w:val="-7"/>
          <w:w w:val="105"/>
          <w:sz w:val="21"/>
        </w:rPr>
        <w:t> </w:t>
      </w:r>
      <w:r>
        <w:rPr>
          <w:spacing w:val="-4"/>
          <w:w w:val="105"/>
          <w:sz w:val="21"/>
        </w:rPr>
        <w:t>State</w:t>
      </w:r>
      <w:r>
        <w:rPr>
          <w:spacing w:val="-7"/>
          <w:w w:val="105"/>
          <w:sz w:val="21"/>
        </w:rPr>
        <w:t> </w:t>
      </w:r>
      <w:r>
        <w:rPr>
          <w:spacing w:val="-5"/>
          <w:w w:val="105"/>
          <w:sz w:val="21"/>
        </w:rPr>
        <w:t>Trustees</w:t>
      </w:r>
      <w:r>
        <w:rPr>
          <w:spacing w:val="-7"/>
          <w:w w:val="105"/>
          <w:sz w:val="21"/>
        </w:rPr>
        <w:t> </w:t>
      </w:r>
      <w:r>
        <w:rPr>
          <w:spacing w:val="-3"/>
          <w:w w:val="105"/>
          <w:sz w:val="21"/>
        </w:rPr>
        <w:t>may</w:t>
      </w:r>
      <w:r>
        <w:rPr>
          <w:spacing w:val="-7"/>
          <w:w w:val="105"/>
          <w:sz w:val="21"/>
        </w:rPr>
        <w:t> </w:t>
      </w:r>
      <w:r>
        <w:rPr>
          <w:spacing w:val="-4"/>
          <w:w w:val="105"/>
          <w:sz w:val="21"/>
        </w:rPr>
        <w:t>administer</w:t>
      </w:r>
      <w:r>
        <w:rPr>
          <w:spacing w:val="-7"/>
          <w:w w:val="105"/>
          <w:sz w:val="21"/>
        </w:rPr>
        <w:t> </w:t>
      </w:r>
      <w:r>
        <w:rPr>
          <w:spacing w:val="-3"/>
          <w:w w:val="105"/>
          <w:sz w:val="21"/>
        </w:rPr>
        <w:t>under</w:t>
      </w:r>
      <w:r>
        <w:rPr>
          <w:spacing w:val="-7"/>
          <w:w w:val="105"/>
          <w:sz w:val="21"/>
        </w:rPr>
        <w:t> </w:t>
      </w:r>
      <w:r>
        <w:rPr>
          <w:w w:val="105"/>
          <w:sz w:val="21"/>
        </w:rPr>
        <w:t>section </w:t>
      </w:r>
      <w:r>
        <w:rPr>
          <w:spacing w:val="-5"/>
          <w:w w:val="105"/>
          <w:sz w:val="21"/>
        </w:rPr>
        <w:t>79, </w:t>
      </w:r>
      <w:r>
        <w:rPr>
          <w:spacing w:val="-3"/>
          <w:w w:val="105"/>
          <w:sz w:val="21"/>
        </w:rPr>
        <w:t>should </w:t>
      </w:r>
      <w:r>
        <w:rPr>
          <w:spacing w:val="-4"/>
          <w:w w:val="105"/>
          <w:sz w:val="21"/>
        </w:rPr>
        <w:t>continue </w:t>
      </w:r>
      <w:r>
        <w:rPr>
          <w:spacing w:val="-3"/>
          <w:w w:val="105"/>
          <w:sz w:val="21"/>
        </w:rPr>
        <w:t>to </w:t>
      </w:r>
      <w:r>
        <w:rPr>
          <w:w w:val="105"/>
          <w:sz w:val="21"/>
        </w:rPr>
        <w:t>be </w:t>
      </w:r>
      <w:r>
        <w:rPr>
          <w:spacing w:val="-5"/>
          <w:w w:val="105"/>
          <w:sz w:val="21"/>
        </w:rPr>
        <w:t>linked, </w:t>
      </w:r>
      <w:r>
        <w:rPr>
          <w:spacing w:val="-3"/>
          <w:w w:val="105"/>
          <w:sz w:val="21"/>
        </w:rPr>
        <w:t>subject to </w:t>
      </w:r>
      <w:r>
        <w:rPr>
          <w:w w:val="105"/>
          <w:sz w:val="21"/>
        </w:rPr>
        <w:t>the </w:t>
      </w:r>
      <w:r>
        <w:rPr>
          <w:spacing w:val="-3"/>
          <w:w w:val="105"/>
          <w:sz w:val="21"/>
        </w:rPr>
        <w:t>safety net </w:t>
      </w:r>
      <w:r>
        <w:rPr>
          <w:spacing w:val="-4"/>
          <w:w w:val="105"/>
          <w:sz w:val="21"/>
        </w:rPr>
        <w:t>recommendation </w:t>
      </w:r>
      <w:r>
        <w:rPr>
          <w:spacing w:val="-3"/>
          <w:w w:val="105"/>
          <w:sz w:val="21"/>
        </w:rPr>
        <w:t>discussed </w:t>
      </w:r>
      <w:r>
        <w:rPr>
          <w:spacing w:val="-4"/>
          <w:w w:val="105"/>
          <w:sz w:val="21"/>
        </w:rPr>
        <w:t>below. </w:t>
      </w:r>
      <w:r>
        <w:rPr>
          <w:w w:val="105"/>
          <w:sz w:val="21"/>
        </w:rPr>
        <w:t>For </w:t>
      </w:r>
      <w:r>
        <w:rPr>
          <w:spacing w:val="-3"/>
          <w:w w:val="105"/>
          <w:sz w:val="21"/>
        </w:rPr>
        <w:t>this </w:t>
      </w:r>
      <w:r>
        <w:rPr>
          <w:spacing w:val="-4"/>
          <w:w w:val="105"/>
          <w:sz w:val="21"/>
        </w:rPr>
        <w:t>reason, </w:t>
      </w:r>
      <w:r>
        <w:rPr>
          <w:w w:val="105"/>
          <w:sz w:val="21"/>
        </w:rPr>
        <w:t>the </w:t>
      </w:r>
      <w:r>
        <w:rPr>
          <w:spacing w:val="-3"/>
          <w:w w:val="105"/>
          <w:sz w:val="21"/>
        </w:rPr>
        <w:t>dollar </w:t>
      </w:r>
      <w:r>
        <w:rPr>
          <w:spacing w:val="-4"/>
          <w:w w:val="105"/>
          <w:sz w:val="21"/>
        </w:rPr>
        <w:t>value </w:t>
      </w:r>
      <w:r>
        <w:rPr>
          <w:spacing w:val="-3"/>
          <w:w w:val="105"/>
          <w:sz w:val="21"/>
        </w:rPr>
        <w:t>of estates that </w:t>
      </w:r>
      <w:r>
        <w:rPr>
          <w:spacing w:val="-4"/>
          <w:w w:val="105"/>
          <w:sz w:val="21"/>
        </w:rPr>
        <w:t>State </w:t>
      </w:r>
      <w:r>
        <w:rPr>
          <w:spacing w:val="-5"/>
          <w:w w:val="105"/>
          <w:sz w:val="21"/>
        </w:rPr>
        <w:t>Trustees </w:t>
      </w:r>
      <w:r>
        <w:rPr>
          <w:spacing w:val="-3"/>
          <w:w w:val="105"/>
          <w:sz w:val="21"/>
        </w:rPr>
        <w:t>may </w:t>
      </w:r>
      <w:r>
        <w:rPr>
          <w:spacing w:val="-4"/>
          <w:w w:val="105"/>
          <w:sz w:val="21"/>
        </w:rPr>
        <w:t>administer </w:t>
      </w:r>
      <w:r>
        <w:rPr>
          <w:spacing w:val="-3"/>
          <w:w w:val="105"/>
          <w:sz w:val="21"/>
        </w:rPr>
        <w:t>under </w:t>
      </w:r>
      <w:r>
        <w:rPr>
          <w:w w:val="105"/>
          <w:sz w:val="21"/>
        </w:rPr>
        <w:t>section </w:t>
      </w:r>
      <w:r>
        <w:rPr>
          <w:spacing w:val="-4"/>
          <w:w w:val="105"/>
          <w:sz w:val="21"/>
        </w:rPr>
        <w:t>79 </w:t>
      </w:r>
      <w:r>
        <w:rPr>
          <w:spacing w:val="-3"/>
          <w:w w:val="105"/>
          <w:sz w:val="21"/>
        </w:rPr>
        <w:t>of </w:t>
      </w:r>
      <w:r>
        <w:rPr>
          <w:w w:val="105"/>
          <w:sz w:val="21"/>
        </w:rPr>
        <w:t>the </w:t>
      </w:r>
      <w:r>
        <w:rPr>
          <w:spacing w:val="-4"/>
          <w:w w:val="105"/>
          <w:sz w:val="21"/>
        </w:rPr>
        <w:t>Administration </w:t>
      </w:r>
      <w:r>
        <w:rPr>
          <w:spacing w:val="-3"/>
          <w:w w:val="105"/>
          <w:sz w:val="21"/>
        </w:rPr>
        <w:t>and Probate </w:t>
      </w:r>
      <w:r>
        <w:rPr>
          <w:w w:val="105"/>
          <w:sz w:val="21"/>
        </w:rPr>
        <w:t>Act </w:t>
      </w:r>
      <w:r>
        <w:rPr>
          <w:spacing w:val="-3"/>
          <w:w w:val="105"/>
          <w:sz w:val="21"/>
        </w:rPr>
        <w:t>should also </w:t>
      </w:r>
      <w:r>
        <w:rPr>
          <w:spacing w:val="-4"/>
          <w:w w:val="105"/>
          <w:sz w:val="21"/>
        </w:rPr>
        <w:t>increase </w:t>
      </w:r>
      <w:r>
        <w:rPr>
          <w:spacing w:val="-3"/>
          <w:w w:val="105"/>
          <w:sz w:val="21"/>
        </w:rPr>
        <w:t>to </w:t>
      </w:r>
      <w:r>
        <w:rPr>
          <w:spacing w:val="-4"/>
          <w:w w:val="105"/>
          <w:sz w:val="21"/>
        </w:rPr>
        <w:t>$100,000 </w:t>
      </w:r>
      <w:r>
        <w:rPr>
          <w:spacing w:val="-3"/>
          <w:w w:val="105"/>
          <w:sz w:val="21"/>
        </w:rPr>
        <w:t>and </w:t>
      </w:r>
      <w:r>
        <w:rPr>
          <w:w w:val="105"/>
          <w:sz w:val="21"/>
        </w:rPr>
        <w:t>be </w:t>
      </w:r>
      <w:r>
        <w:rPr>
          <w:spacing w:val="-3"/>
          <w:w w:val="105"/>
          <w:sz w:val="21"/>
        </w:rPr>
        <w:t>adjusted quarterly to </w:t>
      </w:r>
      <w:r>
        <w:rPr>
          <w:w w:val="105"/>
          <w:sz w:val="21"/>
        </w:rPr>
        <w:t>reflect </w:t>
      </w:r>
      <w:r>
        <w:rPr>
          <w:spacing w:val="-3"/>
          <w:w w:val="105"/>
          <w:sz w:val="21"/>
        </w:rPr>
        <w:t>changes in </w:t>
      </w:r>
      <w:r>
        <w:rPr>
          <w:w w:val="105"/>
          <w:sz w:val="21"/>
        </w:rPr>
        <w:t>the All </w:t>
      </w:r>
      <w:r>
        <w:rPr>
          <w:spacing w:val="-4"/>
          <w:w w:val="105"/>
          <w:sz w:val="21"/>
        </w:rPr>
        <w:t>Groups </w:t>
      </w:r>
      <w:r>
        <w:rPr>
          <w:spacing w:val="-5"/>
          <w:w w:val="105"/>
          <w:sz w:val="21"/>
        </w:rPr>
        <w:t>Consumer </w:t>
      </w:r>
      <w:r>
        <w:rPr>
          <w:spacing w:val="-3"/>
          <w:w w:val="105"/>
          <w:sz w:val="21"/>
        </w:rPr>
        <w:t>Price</w:t>
      </w:r>
      <w:r>
        <w:rPr>
          <w:spacing w:val="33"/>
          <w:w w:val="105"/>
          <w:sz w:val="21"/>
        </w:rPr>
        <w:t> </w:t>
      </w:r>
      <w:r>
        <w:rPr>
          <w:spacing w:val="-3"/>
          <w:w w:val="105"/>
          <w:sz w:val="21"/>
        </w:rPr>
        <w:t>Index.</w:t>
      </w:r>
    </w:p>
    <w:p>
      <w:pPr>
        <w:pStyle w:val="ListParagraph"/>
        <w:numPr>
          <w:ilvl w:val="0"/>
          <w:numId w:val="146"/>
        </w:numPr>
        <w:tabs>
          <w:tab w:pos="1216" w:val="left" w:leader="none"/>
          <w:tab w:pos="1217" w:val="left" w:leader="none"/>
        </w:tabs>
        <w:spacing w:line="240" w:lineRule="auto" w:before="127" w:after="0"/>
        <w:ind w:left="1216" w:right="0" w:hanging="794"/>
        <w:jc w:val="left"/>
        <w:rPr>
          <w:sz w:val="21"/>
        </w:rPr>
      </w:pPr>
      <w:r>
        <w:rPr>
          <w:sz w:val="21"/>
        </w:rPr>
        <w:t>An </w:t>
      </w:r>
      <w:r>
        <w:rPr>
          <w:spacing w:val="-3"/>
          <w:sz w:val="21"/>
        </w:rPr>
        <w:t>increase </w:t>
      </w:r>
      <w:r>
        <w:rPr>
          <w:sz w:val="21"/>
        </w:rPr>
        <w:t>is necessary in order</w:t>
      </w:r>
      <w:r>
        <w:rPr>
          <w:spacing w:val="5"/>
          <w:sz w:val="21"/>
        </w:rPr>
        <w:t> </w:t>
      </w:r>
      <w:r>
        <w:rPr>
          <w:sz w:val="21"/>
        </w:rPr>
        <w:t>to:</w:t>
      </w:r>
    </w:p>
    <w:p>
      <w:pPr>
        <w:pStyle w:val="ListParagraph"/>
        <w:numPr>
          <w:ilvl w:val="1"/>
          <w:numId w:val="146"/>
        </w:numPr>
        <w:tabs>
          <w:tab w:pos="1556" w:val="left" w:leader="none"/>
          <w:tab w:pos="1557" w:val="left" w:leader="none"/>
        </w:tabs>
        <w:spacing w:line="242" w:lineRule="auto" w:before="124" w:after="0"/>
        <w:ind w:left="1556" w:right="2363" w:hanging="340"/>
        <w:jc w:val="left"/>
        <w:rPr>
          <w:sz w:val="21"/>
        </w:rPr>
      </w:pPr>
      <w:r>
        <w:rPr>
          <w:w w:val="105"/>
          <w:sz w:val="21"/>
        </w:rPr>
        <w:t>better</w:t>
      </w:r>
      <w:r>
        <w:rPr>
          <w:spacing w:val="-12"/>
          <w:w w:val="105"/>
          <w:sz w:val="21"/>
        </w:rPr>
        <w:t> </w:t>
      </w:r>
      <w:r>
        <w:rPr>
          <w:w w:val="105"/>
          <w:sz w:val="21"/>
        </w:rPr>
        <w:t>reflect</w:t>
      </w:r>
      <w:r>
        <w:rPr>
          <w:spacing w:val="-11"/>
          <w:w w:val="105"/>
          <w:sz w:val="21"/>
        </w:rPr>
        <w:t> </w:t>
      </w:r>
      <w:r>
        <w:rPr>
          <w:w w:val="105"/>
          <w:sz w:val="21"/>
        </w:rPr>
        <w:t>the</w:t>
      </w:r>
      <w:r>
        <w:rPr>
          <w:spacing w:val="-12"/>
          <w:w w:val="105"/>
          <w:sz w:val="21"/>
        </w:rPr>
        <w:t> </w:t>
      </w:r>
      <w:r>
        <w:rPr>
          <w:spacing w:val="-3"/>
          <w:w w:val="105"/>
          <w:sz w:val="21"/>
        </w:rPr>
        <w:t>current</w:t>
      </w:r>
      <w:r>
        <w:rPr>
          <w:spacing w:val="-11"/>
          <w:w w:val="105"/>
          <w:sz w:val="21"/>
        </w:rPr>
        <w:t> </w:t>
      </w:r>
      <w:r>
        <w:rPr>
          <w:spacing w:val="-3"/>
          <w:w w:val="105"/>
          <w:sz w:val="21"/>
        </w:rPr>
        <w:t>value</w:t>
      </w:r>
      <w:r>
        <w:rPr>
          <w:spacing w:val="-12"/>
          <w:w w:val="105"/>
          <w:sz w:val="21"/>
        </w:rPr>
        <w:t> </w:t>
      </w:r>
      <w:r>
        <w:rPr>
          <w:w w:val="105"/>
          <w:sz w:val="21"/>
        </w:rPr>
        <w:t>of</w:t>
      </w:r>
      <w:r>
        <w:rPr>
          <w:spacing w:val="-11"/>
          <w:w w:val="105"/>
          <w:sz w:val="21"/>
        </w:rPr>
        <w:t> </w:t>
      </w:r>
      <w:r>
        <w:rPr>
          <w:w w:val="105"/>
          <w:sz w:val="21"/>
        </w:rPr>
        <w:t>the</w:t>
      </w:r>
      <w:r>
        <w:rPr>
          <w:spacing w:val="-12"/>
          <w:w w:val="105"/>
          <w:sz w:val="21"/>
        </w:rPr>
        <w:t> </w:t>
      </w:r>
      <w:r>
        <w:rPr>
          <w:w w:val="105"/>
          <w:sz w:val="21"/>
        </w:rPr>
        <w:t>existing</w:t>
      </w:r>
      <w:r>
        <w:rPr>
          <w:spacing w:val="-11"/>
          <w:w w:val="105"/>
          <w:sz w:val="21"/>
        </w:rPr>
        <w:t> </w:t>
      </w:r>
      <w:r>
        <w:rPr>
          <w:spacing w:val="-3"/>
          <w:w w:val="105"/>
          <w:sz w:val="21"/>
        </w:rPr>
        <w:t>limit</w:t>
      </w:r>
      <w:r>
        <w:rPr>
          <w:spacing w:val="-12"/>
          <w:w w:val="105"/>
          <w:sz w:val="21"/>
        </w:rPr>
        <w:t> </w:t>
      </w:r>
      <w:r>
        <w:rPr>
          <w:w w:val="105"/>
          <w:sz w:val="21"/>
        </w:rPr>
        <w:t>while</w:t>
      </w:r>
      <w:r>
        <w:rPr>
          <w:spacing w:val="-11"/>
          <w:w w:val="105"/>
          <w:sz w:val="21"/>
        </w:rPr>
        <w:t> </w:t>
      </w:r>
      <w:r>
        <w:rPr>
          <w:w w:val="105"/>
          <w:sz w:val="21"/>
        </w:rPr>
        <w:t>still</w:t>
      </w:r>
      <w:r>
        <w:rPr>
          <w:spacing w:val="-12"/>
          <w:w w:val="105"/>
          <w:sz w:val="21"/>
        </w:rPr>
        <w:t> </w:t>
      </w:r>
      <w:r>
        <w:rPr>
          <w:spacing w:val="-3"/>
          <w:w w:val="105"/>
          <w:sz w:val="21"/>
        </w:rPr>
        <w:t>targeting</w:t>
      </w:r>
      <w:r>
        <w:rPr>
          <w:spacing w:val="-11"/>
          <w:w w:val="105"/>
          <w:sz w:val="21"/>
        </w:rPr>
        <w:t> </w:t>
      </w:r>
      <w:r>
        <w:rPr>
          <w:w w:val="105"/>
          <w:sz w:val="21"/>
        </w:rPr>
        <w:t>estates </w:t>
      </w:r>
      <w:r>
        <w:rPr>
          <w:spacing w:val="-3"/>
          <w:w w:val="105"/>
          <w:sz w:val="21"/>
        </w:rPr>
        <w:t>that </w:t>
      </w:r>
      <w:r>
        <w:rPr>
          <w:spacing w:val="-7"/>
          <w:w w:val="105"/>
          <w:sz w:val="21"/>
        </w:rPr>
        <w:t>“are </w:t>
      </w:r>
      <w:r>
        <w:rPr>
          <w:spacing w:val="-3"/>
          <w:w w:val="105"/>
          <w:sz w:val="21"/>
        </w:rPr>
        <w:t>usually </w:t>
      </w:r>
      <w:r>
        <w:rPr>
          <w:w w:val="105"/>
          <w:sz w:val="21"/>
        </w:rPr>
        <w:t>straightforward </w:t>
      </w:r>
      <w:r>
        <w:rPr>
          <w:spacing w:val="-3"/>
          <w:w w:val="105"/>
          <w:sz w:val="21"/>
        </w:rPr>
        <w:t>to</w:t>
      </w:r>
      <w:r>
        <w:rPr>
          <w:spacing w:val="34"/>
          <w:w w:val="105"/>
          <w:sz w:val="21"/>
        </w:rPr>
        <w:t> </w:t>
      </w:r>
      <w:r>
        <w:rPr>
          <w:spacing w:val="-3"/>
          <w:w w:val="105"/>
          <w:sz w:val="21"/>
        </w:rPr>
        <w:t>administer</w:t>
      </w:r>
    </w:p>
    <w:p>
      <w:pPr>
        <w:pStyle w:val="BodyText"/>
        <w:spacing w:before="11"/>
        <w:rPr>
          <w:sz w:val="10"/>
        </w:rPr>
      </w:pPr>
    </w:p>
    <w:p>
      <w:pPr>
        <w:pStyle w:val="BodyText"/>
        <w:spacing w:line="20" w:lineRule="exact"/>
        <w:ind w:left="413"/>
        <w:rPr>
          <w:sz w:val="2"/>
        </w:rPr>
      </w:pPr>
      <w:r>
        <w:rPr>
          <w:sz w:val="2"/>
        </w:rPr>
        <w:pict>
          <v:group style="width:436.55pt;height:1pt;mso-position-horizontal-relative:char;mso-position-vertical-relative:line" coordorigin="0,0" coordsize="8731,20">
            <v:line style="position:absolute" from="0,10" to="8731,10" stroked="true" strokeweight="1pt" strokecolor="#f9ceca">
              <v:stroke dashstyle="solid"/>
            </v:line>
          </v:group>
        </w:pict>
      </w:r>
      <w:r>
        <w:rPr>
          <w:sz w:val="2"/>
        </w:rPr>
      </w:r>
    </w:p>
    <w:p>
      <w:pPr>
        <w:tabs>
          <w:tab w:pos="1216" w:val="left" w:leader="none"/>
        </w:tabs>
        <w:spacing w:before="147"/>
        <w:ind w:left="423" w:right="0" w:firstLine="0"/>
        <w:jc w:val="left"/>
        <w:rPr>
          <w:sz w:val="13"/>
        </w:rPr>
      </w:pPr>
      <w:r>
        <w:rPr>
          <w:w w:val="105"/>
          <w:sz w:val="13"/>
        </w:rPr>
        <w:t>104</w:t>
        <w:tab/>
      </w:r>
      <w:r>
        <w:rPr>
          <w:i/>
          <w:w w:val="105"/>
          <w:sz w:val="13"/>
        </w:rPr>
        <w:t>Administration</w:t>
      </w:r>
      <w:r>
        <w:rPr>
          <w:i/>
          <w:spacing w:val="3"/>
          <w:w w:val="105"/>
          <w:sz w:val="13"/>
        </w:rPr>
        <w:t> </w:t>
      </w:r>
      <w:r>
        <w:rPr>
          <w:i/>
          <w:w w:val="105"/>
          <w:sz w:val="13"/>
        </w:rPr>
        <w:t>and</w:t>
      </w:r>
      <w:r>
        <w:rPr>
          <w:i/>
          <w:spacing w:val="3"/>
          <w:w w:val="105"/>
          <w:sz w:val="13"/>
        </w:rPr>
        <w:t> </w:t>
      </w:r>
      <w:r>
        <w:rPr>
          <w:i/>
          <w:w w:val="105"/>
          <w:sz w:val="13"/>
        </w:rPr>
        <w:t>Probate</w:t>
      </w:r>
      <w:r>
        <w:rPr>
          <w:i/>
          <w:spacing w:val="4"/>
          <w:w w:val="105"/>
          <w:sz w:val="13"/>
        </w:rPr>
        <w:t> </w:t>
      </w:r>
      <w:r>
        <w:rPr>
          <w:i/>
          <w:w w:val="105"/>
          <w:sz w:val="13"/>
        </w:rPr>
        <w:t>Act</w:t>
      </w:r>
      <w:r>
        <w:rPr>
          <w:i/>
          <w:spacing w:val="3"/>
          <w:w w:val="105"/>
          <w:sz w:val="13"/>
        </w:rPr>
        <w:t> </w:t>
      </w:r>
      <w:r>
        <w:rPr>
          <w:i/>
          <w:w w:val="105"/>
          <w:sz w:val="13"/>
        </w:rPr>
        <w:t>1958</w:t>
      </w:r>
      <w:r>
        <w:rPr>
          <w:i/>
          <w:spacing w:val="5"/>
          <w:w w:val="105"/>
          <w:sz w:val="13"/>
        </w:rPr>
        <w:t> </w:t>
      </w:r>
      <w:r>
        <w:rPr>
          <w:spacing w:val="2"/>
          <w:w w:val="105"/>
          <w:sz w:val="13"/>
        </w:rPr>
        <w:t>(Vic)</w:t>
      </w:r>
      <w:r>
        <w:rPr>
          <w:spacing w:val="4"/>
          <w:w w:val="105"/>
          <w:sz w:val="13"/>
        </w:rPr>
        <w:t> </w:t>
      </w:r>
      <w:r>
        <w:rPr>
          <w:w w:val="105"/>
          <w:sz w:val="13"/>
        </w:rPr>
        <w:t>s</w:t>
      </w:r>
      <w:r>
        <w:rPr>
          <w:spacing w:val="4"/>
          <w:w w:val="105"/>
          <w:sz w:val="13"/>
        </w:rPr>
        <w:t> </w:t>
      </w:r>
      <w:r>
        <w:rPr>
          <w:w w:val="105"/>
          <w:sz w:val="13"/>
        </w:rPr>
        <w:t>3(1)</w:t>
      </w:r>
      <w:r>
        <w:rPr>
          <w:spacing w:val="5"/>
          <w:w w:val="105"/>
          <w:sz w:val="13"/>
        </w:rPr>
        <w:t> </w:t>
      </w:r>
      <w:r>
        <w:rPr>
          <w:w w:val="105"/>
          <w:sz w:val="13"/>
        </w:rPr>
        <w:t>(definition</w:t>
      </w:r>
      <w:r>
        <w:rPr>
          <w:spacing w:val="4"/>
          <w:w w:val="105"/>
          <w:sz w:val="13"/>
        </w:rPr>
        <w:t> </w:t>
      </w:r>
      <w:r>
        <w:rPr>
          <w:w w:val="105"/>
          <w:sz w:val="13"/>
        </w:rPr>
        <w:t>of</w:t>
      </w:r>
      <w:r>
        <w:rPr>
          <w:spacing w:val="4"/>
          <w:w w:val="105"/>
          <w:sz w:val="13"/>
        </w:rPr>
        <w:t> </w:t>
      </w:r>
      <w:r>
        <w:rPr>
          <w:w w:val="105"/>
          <w:sz w:val="13"/>
        </w:rPr>
        <w:t>‘small</w:t>
      </w:r>
      <w:r>
        <w:rPr>
          <w:spacing w:val="5"/>
          <w:w w:val="105"/>
          <w:sz w:val="13"/>
        </w:rPr>
        <w:t> </w:t>
      </w:r>
      <w:r>
        <w:rPr>
          <w:spacing w:val="2"/>
          <w:w w:val="105"/>
          <w:sz w:val="13"/>
        </w:rPr>
        <w:t>estate’).</w:t>
      </w:r>
    </w:p>
    <w:p>
      <w:pPr>
        <w:spacing w:after="0"/>
        <w:jc w:val="left"/>
        <w:rPr>
          <w:sz w:val="13"/>
        </w:rPr>
        <w:sectPr>
          <w:type w:val="continuous"/>
          <w:pgSz w:w="11910" w:h="16840"/>
          <w:pgMar w:top="920" w:bottom="280" w:left="0" w:right="0"/>
          <w:cols w:num="2" w:equalWidth="0">
            <w:col w:w="1125" w:space="40"/>
            <w:col w:w="10745"/>
          </w:cols>
        </w:sectPr>
      </w:pPr>
    </w:p>
    <w:p>
      <w:pPr>
        <w:pStyle w:val="BodyText"/>
        <w:rPr>
          <w:sz w:val="20"/>
        </w:rPr>
      </w:pPr>
    </w:p>
    <w:p>
      <w:pPr>
        <w:pStyle w:val="BodyText"/>
        <w:rPr>
          <w:sz w:val="19"/>
        </w:rPr>
      </w:pPr>
    </w:p>
    <w:p>
      <w:pPr>
        <w:pStyle w:val="ListParagraph"/>
        <w:numPr>
          <w:ilvl w:val="0"/>
          <w:numId w:val="147"/>
        </w:numPr>
        <w:tabs>
          <w:tab w:pos="2721" w:val="left" w:leader="none"/>
          <w:tab w:pos="2722" w:val="left" w:leader="none"/>
        </w:tabs>
        <w:spacing w:line="242" w:lineRule="auto" w:before="91" w:after="0"/>
        <w:ind w:left="2721" w:right="2513" w:hanging="340"/>
        <w:jc w:val="left"/>
        <w:rPr>
          <w:sz w:val="12"/>
        </w:rPr>
      </w:pPr>
      <w:r>
        <w:rPr>
          <w:sz w:val="21"/>
        </w:rPr>
        <w:t>reflect </w:t>
      </w:r>
      <w:r>
        <w:rPr>
          <w:spacing w:val="-3"/>
          <w:sz w:val="21"/>
        </w:rPr>
        <w:t>State </w:t>
      </w:r>
      <w:r>
        <w:rPr>
          <w:spacing w:val="-4"/>
          <w:sz w:val="21"/>
        </w:rPr>
        <w:t>Trustees’ </w:t>
      </w:r>
      <w:r>
        <w:rPr>
          <w:sz w:val="21"/>
        </w:rPr>
        <w:t>comments </w:t>
      </w:r>
      <w:r>
        <w:rPr>
          <w:spacing w:val="-3"/>
          <w:sz w:val="21"/>
        </w:rPr>
        <w:t>that ‘estates </w:t>
      </w:r>
      <w:r>
        <w:rPr>
          <w:sz w:val="21"/>
        </w:rPr>
        <w:t>under </w:t>
      </w:r>
      <w:r>
        <w:rPr>
          <w:spacing w:val="-3"/>
          <w:sz w:val="21"/>
        </w:rPr>
        <w:t>$100,000 rarely involve administrative</w:t>
      </w:r>
      <w:r>
        <w:rPr>
          <w:spacing w:val="11"/>
          <w:sz w:val="21"/>
        </w:rPr>
        <w:t> </w:t>
      </w:r>
      <w:r>
        <w:rPr>
          <w:spacing w:val="-3"/>
          <w:sz w:val="21"/>
        </w:rPr>
        <w:t>complexity’,</w:t>
      </w:r>
      <w:r>
        <w:rPr>
          <w:spacing w:val="11"/>
          <w:sz w:val="21"/>
        </w:rPr>
        <w:t> </w:t>
      </w:r>
      <w:r>
        <w:rPr>
          <w:sz w:val="21"/>
        </w:rPr>
        <w:t>as</w:t>
      </w:r>
      <w:r>
        <w:rPr>
          <w:spacing w:val="11"/>
          <w:sz w:val="21"/>
        </w:rPr>
        <w:t> </w:t>
      </w:r>
      <w:r>
        <w:rPr>
          <w:sz w:val="21"/>
        </w:rPr>
        <w:t>they</w:t>
      </w:r>
      <w:r>
        <w:rPr>
          <w:spacing w:val="12"/>
          <w:sz w:val="21"/>
        </w:rPr>
        <w:t> </w:t>
      </w:r>
      <w:r>
        <w:rPr>
          <w:spacing w:val="-3"/>
          <w:sz w:val="21"/>
        </w:rPr>
        <w:t>rarely</w:t>
      </w:r>
      <w:r>
        <w:rPr>
          <w:spacing w:val="11"/>
          <w:sz w:val="21"/>
        </w:rPr>
        <w:t> </w:t>
      </w:r>
      <w:r>
        <w:rPr>
          <w:spacing w:val="-3"/>
          <w:sz w:val="21"/>
        </w:rPr>
        <w:t>involve</w:t>
      </w:r>
      <w:r>
        <w:rPr>
          <w:spacing w:val="11"/>
          <w:sz w:val="21"/>
        </w:rPr>
        <w:t> </w:t>
      </w:r>
      <w:r>
        <w:rPr>
          <w:spacing w:val="-3"/>
          <w:sz w:val="21"/>
        </w:rPr>
        <w:t>real</w:t>
      </w:r>
      <w:r>
        <w:rPr>
          <w:spacing w:val="11"/>
          <w:sz w:val="21"/>
        </w:rPr>
        <w:t> </w:t>
      </w:r>
      <w:r>
        <w:rPr>
          <w:sz w:val="21"/>
        </w:rPr>
        <w:t>estate</w:t>
      </w:r>
      <w:r>
        <w:rPr>
          <w:position w:val="7"/>
          <w:sz w:val="12"/>
        </w:rPr>
        <w:t>105</w:t>
      </w:r>
    </w:p>
    <w:p>
      <w:pPr>
        <w:pStyle w:val="ListParagraph"/>
        <w:numPr>
          <w:ilvl w:val="0"/>
          <w:numId w:val="147"/>
        </w:numPr>
        <w:tabs>
          <w:tab w:pos="2721" w:val="left" w:leader="none"/>
          <w:tab w:pos="2722" w:val="left" w:leader="none"/>
        </w:tabs>
        <w:spacing w:line="242" w:lineRule="auto" w:before="122" w:after="0"/>
        <w:ind w:left="2721" w:right="2253" w:hanging="340"/>
        <w:jc w:val="left"/>
        <w:rPr>
          <w:sz w:val="21"/>
        </w:rPr>
      </w:pPr>
      <w:r>
        <w:rPr>
          <w:spacing w:val="-3"/>
          <w:sz w:val="21"/>
        </w:rPr>
        <w:t>recognise that  </w:t>
      </w:r>
      <w:r>
        <w:rPr>
          <w:sz w:val="21"/>
        </w:rPr>
        <w:t>the  addition  of  </w:t>
      </w:r>
      <w:r>
        <w:rPr>
          <w:spacing w:val="-3"/>
          <w:sz w:val="21"/>
        </w:rPr>
        <w:t>improved  procedural  </w:t>
      </w:r>
      <w:r>
        <w:rPr>
          <w:sz w:val="21"/>
        </w:rPr>
        <w:t>integrity  </w:t>
      </w:r>
      <w:r>
        <w:rPr>
          <w:spacing w:val="-3"/>
          <w:sz w:val="21"/>
        </w:rPr>
        <w:t>mechanisms </w:t>
      </w:r>
      <w:r>
        <w:rPr>
          <w:sz w:val="21"/>
        </w:rPr>
        <w:t>(filing a </w:t>
      </w:r>
      <w:r>
        <w:rPr>
          <w:spacing w:val="-3"/>
          <w:sz w:val="21"/>
        </w:rPr>
        <w:t>will, online </w:t>
      </w:r>
      <w:r>
        <w:rPr>
          <w:sz w:val="21"/>
        </w:rPr>
        <w:t>filing) lessens the risk </w:t>
      </w:r>
      <w:r>
        <w:rPr>
          <w:spacing w:val="-3"/>
          <w:sz w:val="21"/>
        </w:rPr>
        <w:t>to </w:t>
      </w:r>
      <w:r>
        <w:rPr>
          <w:sz w:val="21"/>
        </w:rPr>
        <w:t>those with an </w:t>
      </w:r>
      <w:r>
        <w:rPr>
          <w:spacing w:val="-3"/>
          <w:sz w:val="21"/>
        </w:rPr>
        <w:t>interest </w:t>
      </w:r>
      <w:r>
        <w:rPr>
          <w:sz w:val="21"/>
        </w:rPr>
        <w:t>in the</w:t>
      </w:r>
      <w:r>
        <w:rPr>
          <w:spacing w:val="35"/>
          <w:sz w:val="21"/>
        </w:rPr>
        <w:t> </w:t>
      </w:r>
      <w:r>
        <w:rPr>
          <w:sz w:val="21"/>
        </w:rPr>
        <w:t>estate</w:t>
      </w:r>
    </w:p>
    <w:p>
      <w:pPr>
        <w:pStyle w:val="ListParagraph"/>
        <w:numPr>
          <w:ilvl w:val="0"/>
          <w:numId w:val="147"/>
        </w:numPr>
        <w:tabs>
          <w:tab w:pos="2721" w:val="left" w:leader="none"/>
          <w:tab w:pos="2722" w:val="left" w:leader="none"/>
        </w:tabs>
        <w:spacing w:line="242" w:lineRule="auto" w:before="123" w:after="0"/>
        <w:ind w:left="2721" w:right="2472" w:hanging="340"/>
        <w:jc w:val="left"/>
        <w:rPr>
          <w:sz w:val="21"/>
        </w:rPr>
      </w:pPr>
      <w:r>
        <w:rPr>
          <w:w w:val="105"/>
          <w:sz w:val="21"/>
        </w:rPr>
        <w:t>provide</w:t>
      </w:r>
      <w:r>
        <w:rPr>
          <w:spacing w:val="-8"/>
          <w:w w:val="105"/>
          <w:sz w:val="21"/>
        </w:rPr>
        <w:t> </w:t>
      </w:r>
      <w:r>
        <w:rPr>
          <w:w w:val="105"/>
          <w:sz w:val="21"/>
        </w:rPr>
        <w:t>congruity</w:t>
      </w:r>
      <w:r>
        <w:rPr>
          <w:spacing w:val="-8"/>
          <w:w w:val="105"/>
          <w:sz w:val="21"/>
        </w:rPr>
        <w:t> </w:t>
      </w:r>
      <w:r>
        <w:rPr>
          <w:w w:val="105"/>
          <w:sz w:val="21"/>
        </w:rPr>
        <w:t>with</w:t>
      </w:r>
      <w:r>
        <w:rPr>
          <w:spacing w:val="-7"/>
          <w:w w:val="105"/>
          <w:sz w:val="21"/>
        </w:rPr>
        <w:t> </w:t>
      </w:r>
      <w:r>
        <w:rPr>
          <w:w w:val="105"/>
          <w:sz w:val="21"/>
        </w:rPr>
        <w:t>the</w:t>
      </w:r>
      <w:r>
        <w:rPr>
          <w:spacing w:val="-8"/>
          <w:w w:val="105"/>
          <w:sz w:val="21"/>
        </w:rPr>
        <w:t> </w:t>
      </w:r>
      <w:r>
        <w:rPr>
          <w:spacing w:val="-4"/>
          <w:w w:val="105"/>
          <w:sz w:val="21"/>
        </w:rPr>
        <w:t>Commission’s</w:t>
      </w:r>
      <w:r>
        <w:rPr>
          <w:spacing w:val="-7"/>
          <w:w w:val="105"/>
          <w:sz w:val="21"/>
        </w:rPr>
        <w:t> </w:t>
      </w:r>
      <w:r>
        <w:rPr>
          <w:spacing w:val="-3"/>
          <w:w w:val="105"/>
          <w:sz w:val="21"/>
        </w:rPr>
        <w:t>recommendation</w:t>
      </w:r>
      <w:r>
        <w:rPr>
          <w:spacing w:val="-8"/>
          <w:w w:val="105"/>
          <w:sz w:val="21"/>
        </w:rPr>
        <w:t> </w:t>
      </w:r>
      <w:r>
        <w:rPr>
          <w:spacing w:val="-3"/>
          <w:w w:val="105"/>
          <w:sz w:val="21"/>
        </w:rPr>
        <w:t>that</w:t>
      </w:r>
      <w:r>
        <w:rPr>
          <w:spacing w:val="-8"/>
          <w:w w:val="105"/>
          <w:sz w:val="21"/>
        </w:rPr>
        <w:t> </w:t>
      </w:r>
      <w:r>
        <w:rPr>
          <w:w w:val="105"/>
          <w:sz w:val="21"/>
        </w:rPr>
        <w:t>there</w:t>
      </w:r>
      <w:r>
        <w:rPr>
          <w:spacing w:val="-7"/>
          <w:w w:val="105"/>
          <w:sz w:val="21"/>
        </w:rPr>
        <w:t> </w:t>
      </w:r>
      <w:r>
        <w:rPr>
          <w:spacing w:val="-3"/>
          <w:w w:val="105"/>
          <w:sz w:val="21"/>
        </w:rPr>
        <w:t>should </w:t>
      </w:r>
      <w:r>
        <w:rPr>
          <w:w w:val="105"/>
          <w:sz w:val="21"/>
        </w:rPr>
        <w:t>be</w:t>
      </w:r>
      <w:r>
        <w:rPr>
          <w:spacing w:val="4"/>
          <w:w w:val="105"/>
          <w:sz w:val="21"/>
        </w:rPr>
        <w:t> </w:t>
      </w:r>
      <w:r>
        <w:rPr>
          <w:w w:val="105"/>
          <w:sz w:val="21"/>
        </w:rPr>
        <w:t>no</w:t>
      </w:r>
      <w:r>
        <w:rPr>
          <w:spacing w:val="4"/>
          <w:w w:val="105"/>
          <w:sz w:val="21"/>
        </w:rPr>
        <w:t> </w:t>
      </w:r>
      <w:r>
        <w:rPr>
          <w:spacing w:val="-3"/>
          <w:w w:val="105"/>
          <w:sz w:val="21"/>
        </w:rPr>
        <w:t>filing</w:t>
      </w:r>
      <w:r>
        <w:rPr>
          <w:spacing w:val="4"/>
          <w:w w:val="105"/>
          <w:sz w:val="21"/>
        </w:rPr>
        <w:t> </w:t>
      </w:r>
      <w:r>
        <w:rPr>
          <w:w w:val="105"/>
          <w:sz w:val="21"/>
        </w:rPr>
        <w:t>fee</w:t>
      </w:r>
      <w:r>
        <w:rPr>
          <w:spacing w:val="4"/>
          <w:w w:val="105"/>
          <w:sz w:val="21"/>
        </w:rPr>
        <w:t> </w:t>
      </w:r>
      <w:r>
        <w:rPr>
          <w:spacing w:val="-3"/>
          <w:w w:val="105"/>
          <w:sz w:val="21"/>
        </w:rPr>
        <w:t>for</w:t>
      </w:r>
      <w:r>
        <w:rPr>
          <w:spacing w:val="4"/>
          <w:w w:val="105"/>
          <w:sz w:val="21"/>
        </w:rPr>
        <w:t> </w:t>
      </w:r>
      <w:r>
        <w:rPr>
          <w:w w:val="105"/>
          <w:sz w:val="21"/>
        </w:rPr>
        <w:t>estates</w:t>
      </w:r>
      <w:r>
        <w:rPr>
          <w:spacing w:val="4"/>
          <w:w w:val="105"/>
          <w:sz w:val="21"/>
        </w:rPr>
        <w:t> </w:t>
      </w:r>
      <w:r>
        <w:rPr>
          <w:spacing w:val="-3"/>
          <w:w w:val="105"/>
          <w:sz w:val="21"/>
        </w:rPr>
        <w:t>that</w:t>
      </w:r>
      <w:r>
        <w:rPr>
          <w:spacing w:val="4"/>
          <w:w w:val="105"/>
          <w:sz w:val="21"/>
        </w:rPr>
        <w:t> </w:t>
      </w:r>
      <w:r>
        <w:rPr>
          <w:spacing w:val="-3"/>
          <w:w w:val="105"/>
          <w:sz w:val="21"/>
        </w:rPr>
        <w:t>are</w:t>
      </w:r>
      <w:r>
        <w:rPr>
          <w:spacing w:val="4"/>
          <w:w w:val="105"/>
          <w:sz w:val="21"/>
        </w:rPr>
        <w:t> </w:t>
      </w:r>
      <w:r>
        <w:rPr>
          <w:w w:val="105"/>
          <w:sz w:val="21"/>
        </w:rPr>
        <w:t>worth</w:t>
      </w:r>
      <w:r>
        <w:rPr>
          <w:spacing w:val="4"/>
          <w:w w:val="105"/>
          <w:sz w:val="21"/>
        </w:rPr>
        <w:t> </w:t>
      </w:r>
      <w:r>
        <w:rPr>
          <w:w w:val="105"/>
          <w:sz w:val="21"/>
        </w:rPr>
        <w:t>no</w:t>
      </w:r>
      <w:r>
        <w:rPr>
          <w:spacing w:val="4"/>
          <w:w w:val="105"/>
          <w:sz w:val="21"/>
        </w:rPr>
        <w:t> </w:t>
      </w:r>
      <w:r>
        <w:rPr>
          <w:w w:val="105"/>
          <w:sz w:val="21"/>
        </w:rPr>
        <w:t>more</w:t>
      </w:r>
      <w:r>
        <w:rPr>
          <w:spacing w:val="4"/>
          <w:w w:val="105"/>
          <w:sz w:val="21"/>
        </w:rPr>
        <w:t> </w:t>
      </w:r>
      <w:r>
        <w:rPr>
          <w:spacing w:val="-3"/>
          <w:w w:val="105"/>
          <w:sz w:val="21"/>
        </w:rPr>
        <w:t>than</w:t>
      </w:r>
      <w:r>
        <w:rPr>
          <w:spacing w:val="4"/>
          <w:w w:val="105"/>
          <w:sz w:val="21"/>
        </w:rPr>
        <w:t> </w:t>
      </w:r>
      <w:r>
        <w:rPr>
          <w:spacing w:val="-3"/>
          <w:w w:val="105"/>
          <w:sz w:val="21"/>
        </w:rPr>
        <w:t>$100,000.</w:t>
      </w:r>
    </w:p>
    <w:p>
      <w:pPr>
        <w:pStyle w:val="ListParagraph"/>
        <w:numPr>
          <w:ilvl w:val="0"/>
          <w:numId w:val="146"/>
        </w:numPr>
        <w:tabs>
          <w:tab w:pos="2381" w:val="left" w:leader="none"/>
          <w:tab w:pos="2382" w:val="left" w:leader="none"/>
        </w:tabs>
        <w:spacing w:line="242" w:lineRule="auto" w:before="122" w:after="0"/>
        <w:ind w:left="2381" w:right="1655" w:hanging="794"/>
        <w:jc w:val="left"/>
        <w:rPr>
          <w:sz w:val="12"/>
        </w:rPr>
      </w:pPr>
      <w:r>
        <w:rPr>
          <w:spacing w:val="-3"/>
          <w:sz w:val="21"/>
        </w:rPr>
        <w:t>State  </w:t>
      </w:r>
      <w:r>
        <w:rPr>
          <w:spacing w:val="-4"/>
          <w:sz w:val="21"/>
        </w:rPr>
        <w:t>Trustees  </w:t>
      </w:r>
      <w:r>
        <w:rPr>
          <w:sz w:val="21"/>
        </w:rPr>
        <w:t>supports this </w:t>
      </w:r>
      <w:r>
        <w:rPr>
          <w:spacing w:val="-4"/>
          <w:sz w:val="21"/>
        </w:rPr>
        <w:t>view.  </w:t>
      </w:r>
      <w:r>
        <w:rPr>
          <w:sz w:val="21"/>
        </w:rPr>
        <w:t>It </w:t>
      </w:r>
      <w:r>
        <w:rPr>
          <w:spacing w:val="-3"/>
          <w:sz w:val="21"/>
        </w:rPr>
        <w:t>maintained  </w:t>
      </w:r>
      <w:r>
        <w:rPr>
          <w:sz w:val="21"/>
        </w:rPr>
        <w:t>in its </w:t>
      </w:r>
      <w:r>
        <w:rPr>
          <w:spacing w:val="-3"/>
          <w:sz w:val="21"/>
        </w:rPr>
        <w:t>submission</w:t>
      </w:r>
      <w:r>
        <w:rPr>
          <w:spacing w:val="41"/>
          <w:sz w:val="21"/>
        </w:rPr>
        <w:t> </w:t>
      </w:r>
      <w:r>
        <w:rPr>
          <w:spacing w:val="-3"/>
          <w:sz w:val="21"/>
        </w:rPr>
        <w:t>that  </w:t>
      </w:r>
      <w:r>
        <w:rPr>
          <w:sz w:val="21"/>
        </w:rPr>
        <w:t>estates which </w:t>
      </w:r>
      <w:r>
        <w:rPr>
          <w:spacing w:val="-3"/>
          <w:sz w:val="21"/>
        </w:rPr>
        <w:t>may </w:t>
      </w:r>
      <w:r>
        <w:rPr>
          <w:sz w:val="21"/>
        </w:rPr>
        <w:t>be </w:t>
      </w:r>
      <w:r>
        <w:rPr>
          <w:spacing w:val="-3"/>
          <w:sz w:val="21"/>
        </w:rPr>
        <w:t>administered </w:t>
      </w:r>
      <w:r>
        <w:rPr>
          <w:sz w:val="21"/>
        </w:rPr>
        <w:t>under section </w:t>
      </w:r>
      <w:r>
        <w:rPr>
          <w:spacing w:val="-3"/>
          <w:sz w:val="21"/>
        </w:rPr>
        <w:t>79 </w:t>
      </w:r>
      <w:r>
        <w:rPr>
          <w:sz w:val="21"/>
        </w:rPr>
        <w:t>should be </w:t>
      </w:r>
      <w:r>
        <w:rPr>
          <w:spacing w:val="-3"/>
          <w:sz w:val="21"/>
        </w:rPr>
        <w:t>matched to </w:t>
      </w:r>
      <w:r>
        <w:rPr>
          <w:sz w:val="21"/>
        </w:rPr>
        <w:t>those </w:t>
      </w:r>
      <w:r>
        <w:rPr>
          <w:spacing w:val="-3"/>
          <w:sz w:val="21"/>
        </w:rPr>
        <w:t>eligible for  </w:t>
      </w:r>
      <w:r>
        <w:rPr>
          <w:sz w:val="21"/>
        </w:rPr>
        <w:t>assistance </w:t>
      </w:r>
      <w:r>
        <w:rPr>
          <w:spacing w:val="-3"/>
          <w:sz w:val="21"/>
        </w:rPr>
        <w:t>from </w:t>
      </w:r>
      <w:r>
        <w:rPr>
          <w:sz w:val="21"/>
        </w:rPr>
        <w:t>the </w:t>
      </w:r>
      <w:r>
        <w:rPr>
          <w:spacing w:val="-3"/>
          <w:sz w:val="21"/>
        </w:rPr>
        <w:t>Probate </w:t>
      </w:r>
      <w:r>
        <w:rPr>
          <w:sz w:val="21"/>
        </w:rPr>
        <w:t>Office’s </w:t>
      </w:r>
      <w:r>
        <w:rPr>
          <w:spacing w:val="-3"/>
          <w:sz w:val="21"/>
        </w:rPr>
        <w:t>small  </w:t>
      </w:r>
      <w:r>
        <w:rPr>
          <w:sz w:val="21"/>
        </w:rPr>
        <w:t>estates service, and suggested </w:t>
      </w:r>
      <w:r>
        <w:rPr>
          <w:spacing w:val="-3"/>
          <w:sz w:val="21"/>
        </w:rPr>
        <w:t>that</w:t>
      </w:r>
      <w:r>
        <w:rPr>
          <w:spacing w:val="41"/>
          <w:sz w:val="21"/>
        </w:rPr>
        <w:t> </w:t>
      </w:r>
      <w:r>
        <w:rPr>
          <w:sz w:val="21"/>
        </w:rPr>
        <w:t>the </w:t>
      </w:r>
      <w:r>
        <w:rPr>
          <w:spacing w:val="-3"/>
          <w:sz w:val="21"/>
        </w:rPr>
        <w:t>relevant  </w:t>
      </w:r>
      <w:r>
        <w:rPr>
          <w:spacing w:val="-2"/>
          <w:sz w:val="21"/>
        </w:rPr>
        <w:t>figure  </w:t>
      </w:r>
      <w:r>
        <w:rPr>
          <w:sz w:val="21"/>
        </w:rPr>
        <w:t>should  be</w:t>
      </w:r>
      <w:r>
        <w:rPr>
          <w:spacing w:val="8"/>
          <w:sz w:val="21"/>
        </w:rPr>
        <w:t> </w:t>
      </w:r>
      <w:r>
        <w:rPr>
          <w:spacing w:val="-4"/>
          <w:sz w:val="21"/>
        </w:rPr>
        <w:t>$100,000.</w:t>
      </w:r>
      <w:r>
        <w:rPr>
          <w:spacing w:val="-4"/>
          <w:position w:val="7"/>
          <w:sz w:val="12"/>
        </w:rPr>
        <w:t>106</w:t>
      </w:r>
    </w:p>
    <w:p>
      <w:pPr>
        <w:pStyle w:val="BodyText"/>
        <w:rPr>
          <w:sz w:val="27"/>
        </w:rPr>
      </w:pPr>
    </w:p>
    <w:p>
      <w:pPr>
        <w:pStyle w:val="Heading6"/>
      </w:pPr>
      <w:r>
        <w:rPr>
          <w:w w:val="120"/>
        </w:rPr>
        <w:t>Safety net value</w:t>
      </w:r>
    </w:p>
    <w:p>
      <w:pPr>
        <w:pStyle w:val="ListParagraph"/>
        <w:numPr>
          <w:ilvl w:val="0"/>
          <w:numId w:val="146"/>
        </w:numPr>
        <w:tabs>
          <w:tab w:pos="2381" w:val="left" w:leader="none"/>
          <w:tab w:pos="2382" w:val="left" w:leader="none"/>
        </w:tabs>
        <w:spacing w:line="242" w:lineRule="auto" w:before="151" w:after="0"/>
        <w:ind w:left="2381" w:right="1841" w:hanging="794"/>
        <w:jc w:val="left"/>
        <w:rPr>
          <w:sz w:val="21"/>
        </w:rPr>
      </w:pPr>
      <w:r>
        <w:rPr>
          <w:w w:val="105"/>
          <w:sz w:val="21"/>
        </w:rPr>
        <w:t>The </w:t>
      </w:r>
      <w:r>
        <w:rPr>
          <w:spacing w:val="-3"/>
          <w:w w:val="105"/>
          <w:sz w:val="21"/>
        </w:rPr>
        <w:t>consultation </w:t>
      </w:r>
      <w:r>
        <w:rPr>
          <w:w w:val="105"/>
          <w:sz w:val="21"/>
        </w:rPr>
        <w:t>paper on </w:t>
      </w:r>
      <w:r>
        <w:rPr>
          <w:spacing w:val="-3"/>
          <w:w w:val="105"/>
          <w:sz w:val="21"/>
        </w:rPr>
        <w:t>small </w:t>
      </w:r>
      <w:r>
        <w:rPr>
          <w:w w:val="105"/>
          <w:sz w:val="21"/>
        </w:rPr>
        <w:t>estates </w:t>
      </w:r>
      <w:r>
        <w:rPr>
          <w:spacing w:val="-3"/>
          <w:w w:val="105"/>
          <w:sz w:val="21"/>
        </w:rPr>
        <w:t>noted that </w:t>
      </w:r>
      <w:r>
        <w:rPr>
          <w:w w:val="105"/>
          <w:sz w:val="21"/>
        </w:rPr>
        <w:t>the election </w:t>
      </w:r>
      <w:r>
        <w:rPr>
          <w:spacing w:val="-3"/>
          <w:w w:val="105"/>
          <w:sz w:val="21"/>
        </w:rPr>
        <w:t>to administer </w:t>
      </w:r>
      <w:r>
        <w:rPr>
          <w:w w:val="105"/>
          <w:sz w:val="21"/>
        </w:rPr>
        <w:t>process in the </w:t>
      </w:r>
      <w:r>
        <w:rPr>
          <w:spacing w:val="-4"/>
          <w:w w:val="105"/>
          <w:sz w:val="21"/>
        </w:rPr>
        <w:t>Trustee </w:t>
      </w:r>
      <w:r>
        <w:rPr>
          <w:spacing w:val="-3"/>
          <w:w w:val="105"/>
          <w:sz w:val="21"/>
        </w:rPr>
        <w:t>Companies </w:t>
      </w:r>
      <w:r>
        <w:rPr>
          <w:w w:val="105"/>
          <w:sz w:val="21"/>
        </w:rPr>
        <w:t>Act provides </w:t>
      </w:r>
      <w:r>
        <w:rPr>
          <w:spacing w:val="-3"/>
          <w:w w:val="105"/>
          <w:sz w:val="21"/>
        </w:rPr>
        <w:t>for </w:t>
      </w:r>
      <w:r>
        <w:rPr>
          <w:w w:val="105"/>
          <w:sz w:val="21"/>
        </w:rPr>
        <w:t>a safety net </w:t>
      </w:r>
      <w:r>
        <w:rPr>
          <w:spacing w:val="-3"/>
          <w:w w:val="105"/>
          <w:sz w:val="21"/>
        </w:rPr>
        <w:t>value slightly higher than </w:t>
      </w:r>
      <w:r>
        <w:rPr>
          <w:w w:val="105"/>
          <w:sz w:val="21"/>
        </w:rPr>
        <w:t>the maximum </w:t>
      </w:r>
      <w:r>
        <w:rPr>
          <w:spacing w:val="-3"/>
          <w:w w:val="105"/>
          <w:sz w:val="21"/>
        </w:rPr>
        <w:t>value </w:t>
      </w:r>
      <w:r>
        <w:rPr>
          <w:w w:val="105"/>
          <w:sz w:val="21"/>
        </w:rPr>
        <w:t>of estates </w:t>
      </w:r>
      <w:r>
        <w:rPr>
          <w:spacing w:val="-3"/>
          <w:w w:val="105"/>
          <w:sz w:val="21"/>
        </w:rPr>
        <w:t>that may </w:t>
      </w:r>
      <w:r>
        <w:rPr>
          <w:w w:val="105"/>
          <w:sz w:val="21"/>
        </w:rPr>
        <w:t>be </w:t>
      </w:r>
      <w:r>
        <w:rPr>
          <w:spacing w:val="-3"/>
          <w:w w:val="105"/>
          <w:sz w:val="21"/>
        </w:rPr>
        <w:t>administered </w:t>
      </w:r>
      <w:r>
        <w:rPr>
          <w:w w:val="105"/>
          <w:sz w:val="21"/>
        </w:rPr>
        <w:t>under </w:t>
      </w:r>
      <w:r>
        <w:rPr>
          <w:spacing w:val="-3"/>
          <w:w w:val="105"/>
          <w:sz w:val="21"/>
        </w:rPr>
        <w:t>that provision. </w:t>
      </w:r>
      <w:r>
        <w:rPr>
          <w:w w:val="105"/>
          <w:sz w:val="21"/>
        </w:rPr>
        <w:t>This second </w:t>
      </w:r>
      <w:r>
        <w:rPr>
          <w:spacing w:val="-3"/>
          <w:w w:val="105"/>
          <w:sz w:val="21"/>
        </w:rPr>
        <w:t>threshold </w:t>
      </w:r>
      <w:r>
        <w:rPr>
          <w:w w:val="105"/>
          <w:sz w:val="21"/>
        </w:rPr>
        <w:t>acknowledges </w:t>
      </w:r>
      <w:r>
        <w:rPr>
          <w:spacing w:val="-3"/>
          <w:w w:val="105"/>
          <w:sz w:val="21"/>
        </w:rPr>
        <w:t>that </w:t>
      </w:r>
      <w:r>
        <w:rPr>
          <w:w w:val="105"/>
          <w:sz w:val="21"/>
        </w:rPr>
        <w:t>it </w:t>
      </w:r>
      <w:r>
        <w:rPr>
          <w:spacing w:val="-3"/>
          <w:w w:val="105"/>
          <w:sz w:val="21"/>
        </w:rPr>
        <w:t>may take </w:t>
      </w:r>
      <w:r>
        <w:rPr>
          <w:w w:val="105"/>
          <w:sz w:val="21"/>
        </w:rPr>
        <w:t>a trustee </w:t>
      </w:r>
      <w:r>
        <w:rPr>
          <w:spacing w:val="-3"/>
          <w:w w:val="105"/>
          <w:sz w:val="21"/>
        </w:rPr>
        <w:t>company </w:t>
      </w:r>
      <w:r>
        <w:rPr>
          <w:w w:val="105"/>
          <w:sz w:val="21"/>
        </w:rPr>
        <w:t>time </w:t>
      </w:r>
      <w:r>
        <w:rPr>
          <w:spacing w:val="-3"/>
          <w:w w:val="105"/>
          <w:sz w:val="21"/>
        </w:rPr>
        <w:t>to </w:t>
      </w:r>
      <w:r>
        <w:rPr>
          <w:w w:val="105"/>
          <w:sz w:val="21"/>
        </w:rPr>
        <w:t>confirm the actual </w:t>
      </w:r>
      <w:r>
        <w:rPr>
          <w:spacing w:val="-3"/>
          <w:w w:val="105"/>
          <w:sz w:val="21"/>
        </w:rPr>
        <w:t>value </w:t>
      </w:r>
      <w:r>
        <w:rPr>
          <w:w w:val="105"/>
          <w:sz w:val="21"/>
        </w:rPr>
        <w:t>of estate </w:t>
      </w:r>
      <w:r>
        <w:rPr>
          <w:spacing w:val="-4"/>
          <w:w w:val="105"/>
          <w:sz w:val="21"/>
        </w:rPr>
        <w:t>assets.</w:t>
      </w:r>
      <w:r>
        <w:rPr>
          <w:spacing w:val="-4"/>
          <w:w w:val="105"/>
          <w:position w:val="7"/>
          <w:sz w:val="12"/>
        </w:rPr>
        <w:t>107 </w:t>
      </w:r>
      <w:r>
        <w:rPr>
          <w:w w:val="105"/>
          <w:sz w:val="21"/>
        </w:rPr>
        <w:t>The second </w:t>
      </w:r>
      <w:r>
        <w:rPr>
          <w:spacing w:val="-2"/>
          <w:w w:val="105"/>
          <w:sz w:val="21"/>
        </w:rPr>
        <w:t>figure </w:t>
      </w:r>
      <w:r>
        <w:rPr>
          <w:w w:val="105"/>
          <w:sz w:val="21"/>
        </w:rPr>
        <w:t>provides some flexibility so </w:t>
      </w:r>
      <w:r>
        <w:rPr>
          <w:spacing w:val="-3"/>
          <w:w w:val="105"/>
          <w:sz w:val="21"/>
        </w:rPr>
        <w:t>that, </w:t>
      </w:r>
      <w:r>
        <w:rPr>
          <w:w w:val="105"/>
          <w:sz w:val="21"/>
        </w:rPr>
        <w:t>unless the actual</w:t>
      </w:r>
      <w:r>
        <w:rPr>
          <w:spacing w:val="-8"/>
          <w:w w:val="105"/>
          <w:sz w:val="21"/>
        </w:rPr>
        <w:t> </w:t>
      </w:r>
      <w:r>
        <w:rPr>
          <w:spacing w:val="-3"/>
          <w:w w:val="105"/>
          <w:sz w:val="21"/>
        </w:rPr>
        <w:t>value</w:t>
      </w:r>
      <w:r>
        <w:rPr>
          <w:spacing w:val="-7"/>
          <w:w w:val="105"/>
          <w:sz w:val="21"/>
        </w:rPr>
        <w:t> </w:t>
      </w:r>
      <w:r>
        <w:rPr>
          <w:w w:val="105"/>
          <w:sz w:val="21"/>
        </w:rPr>
        <w:t>of</w:t>
      </w:r>
      <w:r>
        <w:rPr>
          <w:spacing w:val="-7"/>
          <w:w w:val="105"/>
          <w:sz w:val="21"/>
        </w:rPr>
        <w:t> </w:t>
      </w:r>
      <w:r>
        <w:rPr>
          <w:w w:val="105"/>
          <w:sz w:val="21"/>
        </w:rPr>
        <w:t>the</w:t>
      </w:r>
      <w:r>
        <w:rPr>
          <w:spacing w:val="-7"/>
          <w:w w:val="105"/>
          <w:sz w:val="21"/>
        </w:rPr>
        <w:t> </w:t>
      </w:r>
      <w:r>
        <w:rPr>
          <w:w w:val="105"/>
          <w:sz w:val="21"/>
        </w:rPr>
        <w:t>estate</w:t>
      </w:r>
      <w:r>
        <w:rPr>
          <w:spacing w:val="-7"/>
          <w:w w:val="105"/>
          <w:sz w:val="21"/>
        </w:rPr>
        <w:t> </w:t>
      </w:r>
      <w:r>
        <w:rPr>
          <w:w w:val="105"/>
          <w:sz w:val="21"/>
        </w:rPr>
        <w:t>exceeds</w:t>
      </w:r>
      <w:r>
        <w:rPr>
          <w:spacing w:val="-8"/>
          <w:w w:val="105"/>
          <w:sz w:val="21"/>
        </w:rPr>
        <w:t> </w:t>
      </w:r>
      <w:r>
        <w:rPr>
          <w:w w:val="105"/>
          <w:sz w:val="21"/>
        </w:rPr>
        <w:t>this</w:t>
      </w:r>
      <w:r>
        <w:rPr>
          <w:spacing w:val="-7"/>
          <w:w w:val="105"/>
          <w:sz w:val="21"/>
        </w:rPr>
        <w:t> </w:t>
      </w:r>
      <w:r>
        <w:rPr>
          <w:spacing w:val="-3"/>
          <w:w w:val="105"/>
          <w:sz w:val="21"/>
        </w:rPr>
        <w:t>figure,</w:t>
      </w:r>
      <w:r>
        <w:rPr>
          <w:spacing w:val="-7"/>
          <w:w w:val="105"/>
          <w:sz w:val="21"/>
        </w:rPr>
        <w:t> </w:t>
      </w:r>
      <w:r>
        <w:rPr>
          <w:w w:val="105"/>
          <w:sz w:val="21"/>
        </w:rPr>
        <w:t>the</w:t>
      </w:r>
      <w:r>
        <w:rPr>
          <w:spacing w:val="-7"/>
          <w:w w:val="105"/>
          <w:sz w:val="21"/>
        </w:rPr>
        <w:t> </w:t>
      </w:r>
      <w:r>
        <w:rPr>
          <w:w w:val="105"/>
          <w:sz w:val="21"/>
        </w:rPr>
        <w:t>trustee</w:t>
      </w:r>
      <w:r>
        <w:rPr>
          <w:spacing w:val="-7"/>
          <w:w w:val="105"/>
          <w:sz w:val="21"/>
        </w:rPr>
        <w:t> </w:t>
      </w:r>
      <w:r>
        <w:rPr>
          <w:spacing w:val="-3"/>
          <w:w w:val="105"/>
          <w:sz w:val="21"/>
        </w:rPr>
        <w:t>company</w:t>
      </w:r>
      <w:r>
        <w:rPr>
          <w:spacing w:val="-7"/>
          <w:w w:val="105"/>
          <w:sz w:val="21"/>
        </w:rPr>
        <w:t> </w:t>
      </w:r>
      <w:r>
        <w:rPr>
          <w:spacing w:val="-3"/>
          <w:w w:val="105"/>
          <w:sz w:val="21"/>
        </w:rPr>
        <w:t>will</w:t>
      </w:r>
      <w:r>
        <w:rPr>
          <w:spacing w:val="-8"/>
          <w:w w:val="105"/>
          <w:sz w:val="21"/>
        </w:rPr>
        <w:t> </w:t>
      </w:r>
      <w:r>
        <w:rPr>
          <w:spacing w:val="-2"/>
          <w:w w:val="105"/>
          <w:sz w:val="21"/>
        </w:rPr>
        <w:t>not</w:t>
      </w:r>
      <w:r>
        <w:rPr>
          <w:spacing w:val="-7"/>
          <w:w w:val="105"/>
          <w:sz w:val="21"/>
        </w:rPr>
        <w:t> </w:t>
      </w:r>
      <w:r>
        <w:rPr>
          <w:spacing w:val="-3"/>
          <w:w w:val="105"/>
          <w:sz w:val="21"/>
        </w:rPr>
        <w:t>have</w:t>
      </w:r>
      <w:r>
        <w:rPr>
          <w:spacing w:val="-7"/>
          <w:w w:val="105"/>
          <w:sz w:val="21"/>
        </w:rPr>
        <w:t> </w:t>
      </w:r>
      <w:r>
        <w:rPr>
          <w:spacing w:val="-3"/>
          <w:w w:val="105"/>
          <w:sz w:val="21"/>
        </w:rPr>
        <w:t>to</w:t>
      </w:r>
      <w:r>
        <w:rPr>
          <w:spacing w:val="-7"/>
          <w:w w:val="105"/>
          <w:sz w:val="21"/>
        </w:rPr>
        <w:t> </w:t>
      </w:r>
      <w:r>
        <w:rPr>
          <w:w w:val="105"/>
          <w:sz w:val="21"/>
        </w:rPr>
        <w:t>seek a </w:t>
      </w:r>
      <w:r>
        <w:rPr>
          <w:spacing w:val="-3"/>
          <w:w w:val="105"/>
          <w:sz w:val="21"/>
        </w:rPr>
        <w:t>full</w:t>
      </w:r>
      <w:r>
        <w:rPr>
          <w:spacing w:val="11"/>
          <w:w w:val="105"/>
          <w:sz w:val="21"/>
        </w:rPr>
        <w:t> </w:t>
      </w:r>
      <w:r>
        <w:rPr>
          <w:spacing w:val="-3"/>
          <w:w w:val="105"/>
          <w:sz w:val="21"/>
        </w:rPr>
        <w:t>grant.</w:t>
      </w:r>
    </w:p>
    <w:p>
      <w:pPr>
        <w:pStyle w:val="ListParagraph"/>
        <w:numPr>
          <w:ilvl w:val="0"/>
          <w:numId w:val="146"/>
        </w:numPr>
        <w:tabs>
          <w:tab w:pos="2381" w:val="left" w:leader="none"/>
          <w:tab w:pos="2382" w:val="left" w:leader="none"/>
        </w:tabs>
        <w:spacing w:line="242" w:lineRule="auto" w:before="128" w:after="0"/>
        <w:ind w:left="2381" w:right="1730" w:hanging="794"/>
        <w:jc w:val="left"/>
        <w:rPr>
          <w:sz w:val="12"/>
        </w:rPr>
      </w:pPr>
      <w:r>
        <w:rPr>
          <w:w w:val="105"/>
          <w:sz w:val="21"/>
        </w:rPr>
        <w:t>The applicable </w:t>
      </w:r>
      <w:r>
        <w:rPr>
          <w:spacing w:val="-2"/>
          <w:w w:val="105"/>
          <w:sz w:val="21"/>
        </w:rPr>
        <w:t>figure </w:t>
      </w:r>
      <w:r>
        <w:rPr>
          <w:spacing w:val="-3"/>
          <w:w w:val="105"/>
          <w:sz w:val="21"/>
        </w:rPr>
        <w:t>for </w:t>
      </w:r>
      <w:r>
        <w:rPr>
          <w:w w:val="105"/>
          <w:sz w:val="21"/>
        </w:rPr>
        <w:t>the section </w:t>
      </w:r>
      <w:r>
        <w:rPr>
          <w:spacing w:val="-3"/>
          <w:w w:val="105"/>
          <w:sz w:val="21"/>
        </w:rPr>
        <w:t>79 </w:t>
      </w:r>
      <w:r>
        <w:rPr>
          <w:w w:val="105"/>
          <w:sz w:val="21"/>
        </w:rPr>
        <w:t>process does </w:t>
      </w:r>
      <w:r>
        <w:rPr>
          <w:spacing w:val="-2"/>
          <w:w w:val="105"/>
          <w:sz w:val="21"/>
        </w:rPr>
        <w:t>not </w:t>
      </w:r>
      <w:r>
        <w:rPr>
          <w:spacing w:val="-3"/>
          <w:w w:val="105"/>
          <w:sz w:val="21"/>
        </w:rPr>
        <w:t>currently have such </w:t>
      </w:r>
      <w:r>
        <w:rPr>
          <w:w w:val="105"/>
          <w:sz w:val="21"/>
        </w:rPr>
        <w:t>a safety net. In response </w:t>
      </w:r>
      <w:r>
        <w:rPr>
          <w:spacing w:val="-3"/>
          <w:w w:val="105"/>
          <w:sz w:val="21"/>
        </w:rPr>
        <w:t>to </w:t>
      </w:r>
      <w:r>
        <w:rPr>
          <w:w w:val="105"/>
          <w:sz w:val="21"/>
        </w:rPr>
        <w:t>the </w:t>
      </w:r>
      <w:r>
        <w:rPr>
          <w:spacing w:val="-3"/>
          <w:w w:val="105"/>
          <w:sz w:val="21"/>
        </w:rPr>
        <w:t>consultation </w:t>
      </w:r>
      <w:r>
        <w:rPr>
          <w:w w:val="105"/>
          <w:sz w:val="21"/>
        </w:rPr>
        <w:t>paper on </w:t>
      </w:r>
      <w:r>
        <w:rPr>
          <w:spacing w:val="-3"/>
          <w:w w:val="105"/>
          <w:sz w:val="21"/>
        </w:rPr>
        <w:t>small </w:t>
      </w:r>
      <w:r>
        <w:rPr>
          <w:w w:val="105"/>
          <w:sz w:val="21"/>
        </w:rPr>
        <w:t>estates, </w:t>
      </w:r>
      <w:r>
        <w:rPr>
          <w:spacing w:val="-3"/>
          <w:w w:val="105"/>
          <w:sz w:val="21"/>
        </w:rPr>
        <w:t>State </w:t>
      </w:r>
      <w:r>
        <w:rPr>
          <w:spacing w:val="-4"/>
          <w:w w:val="105"/>
          <w:sz w:val="21"/>
        </w:rPr>
        <w:t>Trustees </w:t>
      </w:r>
      <w:r>
        <w:rPr>
          <w:w w:val="105"/>
          <w:sz w:val="21"/>
        </w:rPr>
        <w:t>and the Law </w:t>
      </w:r>
      <w:r>
        <w:rPr>
          <w:spacing w:val="-3"/>
          <w:w w:val="105"/>
          <w:sz w:val="21"/>
        </w:rPr>
        <w:t>Institute </w:t>
      </w:r>
      <w:r>
        <w:rPr>
          <w:w w:val="105"/>
          <w:sz w:val="21"/>
        </w:rPr>
        <w:t>of Victoria both specifically supported the introduction of a second </w:t>
      </w:r>
      <w:r>
        <w:rPr>
          <w:spacing w:val="-4"/>
          <w:w w:val="105"/>
          <w:sz w:val="21"/>
        </w:rPr>
        <w:t>figure,</w:t>
      </w:r>
      <w:r>
        <w:rPr>
          <w:spacing w:val="-4"/>
          <w:w w:val="105"/>
          <w:position w:val="7"/>
          <w:sz w:val="12"/>
        </w:rPr>
        <w:t>108</w:t>
      </w:r>
      <w:r>
        <w:rPr>
          <w:spacing w:val="-4"/>
          <w:w w:val="105"/>
          <w:sz w:val="12"/>
        </w:rPr>
        <w:t> </w:t>
      </w:r>
      <w:r>
        <w:rPr>
          <w:w w:val="105"/>
          <w:sz w:val="21"/>
        </w:rPr>
        <w:t>while</w:t>
      </w:r>
      <w:r>
        <w:rPr>
          <w:spacing w:val="-6"/>
          <w:w w:val="105"/>
          <w:sz w:val="21"/>
        </w:rPr>
        <w:t> </w:t>
      </w:r>
      <w:r>
        <w:rPr>
          <w:w w:val="105"/>
          <w:sz w:val="21"/>
        </w:rPr>
        <w:t>other</w:t>
      </w:r>
      <w:r>
        <w:rPr>
          <w:spacing w:val="-6"/>
          <w:w w:val="105"/>
          <w:sz w:val="21"/>
        </w:rPr>
        <w:t> </w:t>
      </w:r>
      <w:r>
        <w:rPr>
          <w:spacing w:val="-3"/>
          <w:w w:val="105"/>
          <w:sz w:val="21"/>
        </w:rPr>
        <w:t>submissions,</w:t>
      </w:r>
      <w:r>
        <w:rPr>
          <w:spacing w:val="-6"/>
          <w:w w:val="105"/>
          <w:sz w:val="21"/>
        </w:rPr>
        <w:t> </w:t>
      </w:r>
      <w:r>
        <w:rPr>
          <w:w w:val="105"/>
          <w:sz w:val="21"/>
        </w:rPr>
        <w:t>in</w:t>
      </w:r>
      <w:r>
        <w:rPr>
          <w:spacing w:val="-5"/>
          <w:w w:val="105"/>
          <w:sz w:val="21"/>
        </w:rPr>
        <w:t> </w:t>
      </w:r>
      <w:r>
        <w:rPr>
          <w:w w:val="105"/>
          <w:sz w:val="21"/>
        </w:rPr>
        <w:t>suggesting</w:t>
      </w:r>
      <w:r>
        <w:rPr>
          <w:spacing w:val="-6"/>
          <w:w w:val="105"/>
          <w:sz w:val="21"/>
        </w:rPr>
        <w:t> </w:t>
      </w:r>
      <w:r>
        <w:rPr>
          <w:w w:val="105"/>
          <w:sz w:val="21"/>
        </w:rPr>
        <w:t>amounts</w:t>
      </w:r>
      <w:r>
        <w:rPr>
          <w:spacing w:val="-6"/>
          <w:w w:val="105"/>
          <w:sz w:val="21"/>
        </w:rPr>
        <w:t> </w:t>
      </w:r>
      <w:r>
        <w:rPr>
          <w:spacing w:val="-3"/>
          <w:w w:val="105"/>
          <w:sz w:val="21"/>
        </w:rPr>
        <w:t>for</w:t>
      </w:r>
      <w:r>
        <w:rPr>
          <w:spacing w:val="-5"/>
          <w:w w:val="105"/>
          <w:sz w:val="21"/>
        </w:rPr>
        <w:t> </w:t>
      </w:r>
      <w:r>
        <w:rPr>
          <w:w w:val="105"/>
          <w:sz w:val="21"/>
        </w:rPr>
        <w:t>an</w:t>
      </w:r>
      <w:r>
        <w:rPr>
          <w:spacing w:val="-6"/>
          <w:w w:val="105"/>
          <w:sz w:val="21"/>
        </w:rPr>
        <w:t> </w:t>
      </w:r>
      <w:r>
        <w:rPr>
          <w:spacing w:val="-3"/>
          <w:w w:val="105"/>
          <w:sz w:val="21"/>
        </w:rPr>
        <w:t>appropriate</w:t>
      </w:r>
      <w:r>
        <w:rPr>
          <w:spacing w:val="-6"/>
          <w:w w:val="105"/>
          <w:sz w:val="21"/>
        </w:rPr>
        <w:t> </w:t>
      </w:r>
      <w:r>
        <w:rPr>
          <w:spacing w:val="-3"/>
          <w:w w:val="105"/>
          <w:sz w:val="21"/>
        </w:rPr>
        <w:t>figure,</w:t>
      </w:r>
      <w:r>
        <w:rPr>
          <w:spacing w:val="-5"/>
          <w:w w:val="105"/>
          <w:sz w:val="21"/>
        </w:rPr>
        <w:t> </w:t>
      </w:r>
      <w:r>
        <w:rPr>
          <w:w w:val="105"/>
          <w:sz w:val="21"/>
        </w:rPr>
        <w:t>supported</w:t>
      </w:r>
      <w:r>
        <w:rPr>
          <w:spacing w:val="-6"/>
          <w:w w:val="105"/>
          <w:sz w:val="21"/>
        </w:rPr>
        <w:t> </w:t>
      </w:r>
      <w:r>
        <w:rPr>
          <w:w w:val="105"/>
          <w:sz w:val="21"/>
        </w:rPr>
        <w:t>the introduction of a second </w:t>
      </w:r>
      <w:r>
        <w:rPr>
          <w:spacing w:val="-2"/>
          <w:w w:val="105"/>
          <w:sz w:val="21"/>
        </w:rPr>
        <w:t>figure </w:t>
      </w:r>
      <w:r>
        <w:rPr>
          <w:w w:val="105"/>
          <w:sz w:val="21"/>
        </w:rPr>
        <w:t>by</w:t>
      </w:r>
      <w:r>
        <w:rPr>
          <w:spacing w:val="30"/>
          <w:w w:val="105"/>
          <w:sz w:val="21"/>
        </w:rPr>
        <w:t> </w:t>
      </w:r>
      <w:r>
        <w:rPr>
          <w:spacing w:val="-4"/>
          <w:w w:val="105"/>
          <w:sz w:val="21"/>
        </w:rPr>
        <w:t>implication.</w:t>
      </w:r>
      <w:r>
        <w:rPr>
          <w:spacing w:val="-4"/>
          <w:w w:val="105"/>
          <w:position w:val="7"/>
          <w:sz w:val="12"/>
        </w:rPr>
        <w:t>109</w:t>
      </w:r>
    </w:p>
    <w:p>
      <w:pPr>
        <w:pStyle w:val="ListParagraph"/>
        <w:numPr>
          <w:ilvl w:val="0"/>
          <w:numId w:val="146"/>
        </w:numPr>
        <w:tabs>
          <w:tab w:pos="2380" w:val="left" w:leader="none"/>
          <w:tab w:pos="2381" w:val="left" w:leader="none"/>
        </w:tabs>
        <w:spacing w:line="242" w:lineRule="auto" w:before="125" w:after="0"/>
        <w:ind w:left="2381" w:right="1718" w:hanging="794"/>
        <w:jc w:val="left"/>
        <w:rPr>
          <w:sz w:val="12"/>
        </w:rPr>
      </w:pPr>
      <w:r>
        <w:rPr>
          <w:w w:val="105"/>
          <w:sz w:val="21"/>
        </w:rPr>
        <w:t>Most</w:t>
      </w:r>
      <w:r>
        <w:rPr>
          <w:spacing w:val="-9"/>
          <w:w w:val="105"/>
          <w:sz w:val="21"/>
        </w:rPr>
        <w:t> </w:t>
      </w:r>
      <w:r>
        <w:rPr>
          <w:spacing w:val="-3"/>
          <w:w w:val="105"/>
          <w:sz w:val="21"/>
        </w:rPr>
        <w:t>submissions</w:t>
      </w:r>
      <w:r>
        <w:rPr>
          <w:spacing w:val="-9"/>
          <w:w w:val="105"/>
          <w:sz w:val="21"/>
        </w:rPr>
        <w:t> </w:t>
      </w:r>
      <w:r>
        <w:rPr>
          <w:w w:val="105"/>
          <w:sz w:val="21"/>
        </w:rPr>
        <w:t>supported</w:t>
      </w:r>
      <w:r>
        <w:rPr>
          <w:spacing w:val="-9"/>
          <w:w w:val="105"/>
          <w:sz w:val="21"/>
        </w:rPr>
        <w:t> </w:t>
      </w:r>
      <w:r>
        <w:rPr>
          <w:w w:val="105"/>
          <w:sz w:val="21"/>
        </w:rPr>
        <w:t>expression</w:t>
      </w:r>
      <w:r>
        <w:rPr>
          <w:spacing w:val="-9"/>
          <w:w w:val="105"/>
          <w:sz w:val="21"/>
        </w:rPr>
        <w:t> </w:t>
      </w:r>
      <w:r>
        <w:rPr>
          <w:w w:val="105"/>
          <w:sz w:val="21"/>
        </w:rPr>
        <w:t>of</w:t>
      </w:r>
      <w:r>
        <w:rPr>
          <w:spacing w:val="-8"/>
          <w:w w:val="105"/>
          <w:sz w:val="21"/>
        </w:rPr>
        <w:t> </w:t>
      </w:r>
      <w:r>
        <w:rPr>
          <w:w w:val="105"/>
          <w:sz w:val="21"/>
        </w:rPr>
        <w:t>the</w:t>
      </w:r>
      <w:r>
        <w:rPr>
          <w:spacing w:val="-9"/>
          <w:w w:val="105"/>
          <w:sz w:val="21"/>
        </w:rPr>
        <w:t> </w:t>
      </w:r>
      <w:r>
        <w:rPr>
          <w:w w:val="105"/>
          <w:sz w:val="21"/>
        </w:rPr>
        <w:t>upper</w:t>
      </w:r>
      <w:r>
        <w:rPr>
          <w:spacing w:val="-9"/>
          <w:w w:val="105"/>
          <w:sz w:val="21"/>
        </w:rPr>
        <w:t> </w:t>
      </w:r>
      <w:r>
        <w:rPr>
          <w:spacing w:val="-2"/>
          <w:w w:val="105"/>
          <w:sz w:val="21"/>
        </w:rPr>
        <w:t>figure</w:t>
      </w:r>
      <w:r>
        <w:rPr>
          <w:spacing w:val="-9"/>
          <w:w w:val="105"/>
          <w:sz w:val="21"/>
        </w:rPr>
        <w:t> </w:t>
      </w:r>
      <w:r>
        <w:rPr>
          <w:w w:val="105"/>
          <w:sz w:val="21"/>
        </w:rPr>
        <w:t>as</w:t>
      </w:r>
      <w:r>
        <w:rPr>
          <w:spacing w:val="-9"/>
          <w:w w:val="105"/>
          <w:sz w:val="21"/>
        </w:rPr>
        <w:t> </w:t>
      </w:r>
      <w:r>
        <w:rPr>
          <w:w w:val="105"/>
          <w:sz w:val="21"/>
        </w:rPr>
        <w:t>a</w:t>
      </w:r>
      <w:r>
        <w:rPr>
          <w:spacing w:val="-8"/>
          <w:w w:val="105"/>
          <w:sz w:val="21"/>
        </w:rPr>
        <w:t> </w:t>
      </w:r>
      <w:r>
        <w:rPr>
          <w:w w:val="105"/>
          <w:sz w:val="21"/>
        </w:rPr>
        <w:t>percentage</w:t>
      </w:r>
      <w:r>
        <w:rPr>
          <w:spacing w:val="-9"/>
          <w:w w:val="105"/>
          <w:sz w:val="21"/>
        </w:rPr>
        <w:t> </w:t>
      </w:r>
      <w:r>
        <w:rPr>
          <w:w w:val="105"/>
          <w:sz w:val="21"/>
        </w:rPr>
        <w:t>of</w:t>
      </w:r>
      <w:r>
        <w:rPr>
          <w:spacing w:val="-9"/>
          <w:w w:val="105"/>
          <w:sz w:val="21"/>
        </w:rPr>
        <w:t> </w:t>
      </w:r>
      <w:r>
        <w:rPr>
          <w:w w:val="105"/>
          <w:sz w:val="21"/>
        </w:rPr>
        <w:t>the</w:t>
      </w:r>
      <w:r>
        <w:rPr>
          <w:spacing w:val="-9"/>
          <w:w w:val="105"/>
          <w:sz w:val="21"/>
        </w:rPr>
        <w:t> </w:t>
      </w:r>
      <w:r>
        <w:rPr>
          <w:w w:val="105"/>
          <w:sz w:val="21"/>
        </w:rPr>
        <w:t>lower </w:t>
      </w:r>
      <w:r>
        <w:rPr>
          <w:spacing w:val="-3"/>
          <w:w w:val="105"/>
          <w:sz w:val="21"/>
        </w:rPr>
        <w:t>figure. </w:t>
      </w:r>
      <w:r>
        <w:rPr>
          <w:w w:val="105"/>
          <w:sz w:val="21"/>
        </w:rPr>
        <w:t>A proportional </w:t>
      </w:r>
      <w:r>
        <w:rPr>
          <w:spacing w:val="-3"/>
          <w:w w:val="105"/>
          <w:sz w:val="21"/>
        </w:rPr>
        <w:t>amount </w:t>
      </w:r>
      <w:r>
        <w:rPr>
          <w:w w:val="105"/>
          <w:sz w:val="21"/>
        </w:rPr>
        <w:t>was identified as the </w:t>
      </w:r>
      <w:r>
        <w:rPr>
          <w:spacing w:val="-3"/>
          <w:w w:val="105"/>
          <w:sz w:val="21"/>
        </w:rPr>
        <w:t>‘simplest way to keep </w:t>
      </w:r>
      <w:r>
        <w:rPr>
          <w:w w:val="105"/>
          <w:sz w:val="21"/>
        </w:rPr>
        <w:t>this second </w:t>
      </w:r>
      <w:r>
        <w:rPr>
          <w:spacing w:val="-3"/>
          <w:w w:val="105"/>
          <w:sz w:val="21"/>
        </w:rPr>
        <w:t>threshold </w:t>
      </w:r>
      <w:r>
        <w:rPr>
          <w:w w:val="105"/>
          <w:sz w:val="21"/>
        </w:rPr>
        <w:t>in </w:t>
      </w:r>
      <w:r>
        <w:rPr>
          <w:spacing w:val="-3"/>
          <w:w w:val="105"/>
          <w:sz w:val="21"/>
        </w:rPr>
        <w:t>line </w:t>
      </w:r>
      <w:r>
        <w:rPr>
          <w:w w:val="105"/>
          <w:sz w:val="21"/>
        </w:rPr>
        <w:t>with an </w:t>
      </w:r>
      <w:r>
        <w:rPr>
          <w:spacing w:val="-3"/>
          <w:w w:val="105"/>
          <w:sz w:val="21"/>
        </w:rPr>
        <w:t>increasing </w:t>
      </w:r>
      <w:r>
        <w:rPr>
          <w:w w:val="105"/>
          <w:sz w:val="21"/>
        </w:rPr>
        <w:t>base </w:t>
      </w:r>
      <w:r>
        <w:rPr>
          <w:spacing w:val="-3"/>
          <w:w w:val="105"/>
          <w:sz w:val="21"/>
        </w:rPr>
        <w:t>line </w:t>
      </w:r>
      <w:r>
        <w:rPr>
          <w:w w:val="105"/>
          <w:sz w:val="21"/>
        </w:rPr>
        <w:t>[due </w:t>
      </w:r>
      <w:r>
        <w:rPr>
          <w:spacing w:val="-3"/>
          <w:w w:val="105"/>
          <w:sz w:val="21"/>
        </w:rPr>
        <w:t>to</w:t>
      </w:r>
      <w:r>
        <w:rPr>
          <w:spacing w:val="3"/>
          <w:w w:val="105"/>
          <w:sz w:val="21"/>
        </w:rPr>
        <w:t> </w:t>
      </w:r>
      <w:r>
        <w:rPr>
          <w:spacing w:val="-5"/>
          <w:w w:val="105"/>
          <w:sz w:val="21"/>
        </w:rPr>
        <w:t>indexation]’.</w:t>
      </w:r>
      <w:r>
        <w:rPr>
          <w:spacing w:val="-5"/>
          <w:w w:val="105"/>
          <w:position w:val="7"/>
          <w:sz w:val="12"/>
        </w:rPr>
        <w:t>110</w:t>
      </w:r>
    </w:p>
    <w:p>
      <w:pPr>
        <w:pStyle w:val="ListParagraph"/>
        <w:numPr>
          <w:ilvl w:val="0"/>
          <w:numId w:val="146"/>
        </w:numPr>
        <w:tabs>
          <w:tab w:pos="2380" w:val="left" w:leader="none"/>
          <w:tab w:pos="2381" w:val="left" w:leader="none"/>
        </w:tabs>
        <w:spacing w:line="242" w:lineRule="auto" w:before="123" w:after="0"/>
        <w:ind w:left="2381" w:right="1885" w:hanging="794"/>
        <w:jc w:val="left"/>
        <w:rPr>
          <w:sz w:val="21"/>
        </w:rPr>
      </w:pPr>
      <w:r>
        <w:rPr>
          <w:sz w:val="21"/>
        </w:rPr>
        <w:t>The </w:t>
      </w:r>
      <w:r>
        <w:rPr>
          <w:spacing w:val="-3"/>
          <w:sz w:val="21"/>
        </w:rPr>
        <w:t>Commission </w:t>
      </w:r>
      <w:r>
        <w:rPr>
          <w:sz w:val="21"/>
        </w:rPr>
        <w:t>is of the view </w:t>
      </w:r>
      <w:r>
        <w:rPr>
          <w:spacing w:val="-3"/>
          <w:sz w:val="21"/>
        </w:rPr>
        <w:t>that </w:t>
      </w:r>
      <w:r>
        <w:rPr>
          <w:sz w:val="21"/>
        </w:rPr>
        <w:t>a safety net </w:t>
      </w:r>
      <w:r>
        <w:rPr>
          <w:spacing w:val="-2"/>
          <w:sz w:val="21"/>
        </w:rPr>
        <w:t>figure </w:t>
      </w:r>
      <w:r>
        <w:rPr>
          <w:sz w:val="21"/>
        </w:rPr>
        <w:t>of </w:t>
      </w:r>
      <w:r>
        <w:rPr>
          <w:spacing w:val="-8"/>
          <w:sz w:val="21"/>
        </w:rPr>
        <w:t>120 </w:t>
      </w:r>
      <w:r>
        <w:rPr>
          <w:sz w:val="21"/>
        </w:rPr>
        <w:t>per </w:t>
      </w:r>
      <w:r>
        <w:rPr>
          <w:spacing w:val="-3"/>
          <w:sz w:val="21"/>
        </w:rPr>
        <w:t>cent  </w:t>
      </w:r>
      <w:r>
        <w:rPr>
          <w:sz w:val="21"/>
        </w:rPr>
        <w:t>of the adjusted  base </w:t>
      </w:r>
      <w:r>
        <w:rPr>
          <w:spacing w:val="-2"/>
          <w:sz w:val="21"/>
        </w:rPr>
        <w:t>figure </w:t>
      </w:r>
      <w:r>
        <w:rPr>
          <w:sz w:val="21"/>
        </w:rPr>
        <w:t>is </w:t>
      </w:r>
      <w:r>
        <w:rPr>
          <w:spacing w:val="-3"/>
          <w:sz w:val="21"/>
        </w:rPr>
        <w:t>reasonable. State </w:t>
      </w:r>
      <w:r>
        <w:rPr>
          <w:spacing w:val="-4"/>
          <w:sz w:val="21"/>
        </w:rPr>
        <w:t>Trustees </w:t>
      </w:r>
      <w:r>
        <w:rPr>
          <w:sz w:val="21"/>
        </w:rPr>
        <w:t>would be able </w:t>
      </w:r>
      <w:r>
        <w:rPr>
          <w:spacing w:val="-3"/>
          <w:sz w:val="21"/>
        </w:rPr>
        <w:t>to </w:t>
      </w:r>
      <w:r>
        <w:rPr>
          <w:sz w:val="21"/>
        </w:rPr>
        <w:t>use the section </w:t>
      </w:r>
      <w:r>
        <w:rPr>
          <w:spacing w:val="-3"/>
          <w:sz w:val="21"/>
        </w:rPr>
        <w:t>79 </w:t>
      </w:r>
      <w:r>
        <w:rPr>
          <w:sz w:val="21"/>
        </w:rPr>
        <w:t>process in </w:t>
      </w:r>
      <w:r>
        <w:rPr>
          <w:spacing w:val="-3"/>
          <w:sz w:val="21"/>
        </w:rPr>
        <w:t>relation to </w:t>
      </w:r>
      <w:r>
        <w:rPr>
          <w:sz w:val="21"/>
        </w:rPr>
        <w:t>an estate </w:t>
      </w:r>
      <w:r>
        <w:rPr>
          <w:spacing w:val="-3"/>
          <w:sz w:val="21"/>
        </w:rPr>
        <w:t>that  </w:t>
      </w:r>
      <w:r>
        <w:rPr>
          <w:sz w:val="21"/>
        </w:rPr>
        <w:t>it </w:t>
      </w:r>
      <w:r>
        <w:rPr>
          <w:spacing w:val="-2"/>
          <w:sz w:val="21"/>
        </w:rPr>
        <w:t>estimated</w:t>
      </w:r>
      <w:r>
        <w:rPr>
          <w:spacing w:val="43"/>
          <w:sz w:val="21"/>
        </w:rPr>
        <w:t> </w:t>
      </w:r>
      <w:r>
        <w:rPr>
          <w:sz w:val="21"/>
        </w:rPr>
        <w:t>was </w:t>
      </w:r>
      <w:r>
        <w:rPr>
          <w:spacing w:val="-3"/>
          <w:sz w:val="21"/>
        </w:rPr>
        <w:t>$100,000  </w:t>
      </w:r>
      <w:r>
        <w:rPr>
          <w:sz w:val="21"/>
        </w:rPr>
        <w:t>or less in </w:t>
      </w:r>
      <w:r>
        <w:rPr>
          <w:spacing w:val="-3"/>
          <w:sz w:val="21"/>
        </w:rPr>
        <w:t>value  </w:t>
      </w:r>
      <w:r>
        <w:rPr>
          <w:sz w:val="21"/>
        </w:rPr>
        <w:t>when it advertised its </w:t>
      </w:r>
      <w:r>
        <w:rPr>
          <w:spacing w:val="-3"/>
          <w:sz w:val="21"/>
        </w:rPr>
        <w:t>notice </w:t>
      </w:r>
      <w:r>
        <w:rPr>
          <w:sz w:val="21"/>
        </w:rPr>
        <w:t>of </w:t>
      </w:r>
      <w:r>
        <w:rPr>
          <w:spacing w:val="-3"/>
          <w:sz w:val="21"/>
        </w:rPr>
        <w:t>intention to administer </w:t>
      </w:r>
      <w:r>
        <w:rPr>
          <w:sz w:val="21"/>
        </w:rPr>
        <w:t>but which was </w:t>
      </w:r>
      <w:r>
        <w:rPr>
          <w:spacing w:val="-3"/>
          <w:sz w:val="21"/>
        </w:rPr>
        <w:t>subsequently valued </w:t>
      </w:r>
      <w:r>
        <w:rPr>
          <w:sz w:val="21"/>
        </w:rPr>
        <w:t>at</w:t>
      </w:r>
      <w:r>
        <w:rPr>
          <w:spacing w:val="-22"/>
          <w:sz w:val="21"/>
        </w:rPr>
        <w:t> </w:t>
      </w:r>
      <w:r>
        <w:rPr>
          <w:sz w:val="21"/>
        </w:rPr>
        <w:t>between</w:t>
      </w:r>
    </w:p>
    <w:p>
      <w:pPr>
        <w:pStyle w:val="BodyText"/>
        <w:spacing w:before="5"/>
        <w:ind w:left="2380"/>
      </w:pPr>
      <w:r>
        <w:rPr>
          <w:w w:val="110"/>
        </w:rPr>
        <w:t>$100,000 and $120,000.</w:t>
      </w:r>
    </w:p>
    <w:p>
      <w:pPr>
        <w:pStyle w:val="BodyText"/>
        <w:spacing w:before="1"/>
        <w:rPr>
          <w:sz w:val="16"/>
        </w:rPr>
      </w:pPr>
      <w:r>
        <w:rPr/>
        <w:pict>
          <v:group style="position:absolute;margin-left:62.362202pt;margin-top:11.784524pt;width:479.1pt;height:135.550pt;mso-position-horizontal-relative:page;mso-position-vertical-relative:paragraph;z-index:12296;mso-wrap-distance-left:0;mso-wrap-distance-right:0" coordorigin="1247,236" coordsize="9582,2711">
            <v:rect style="position:absolute;left:1587;top:235;width:8731;height:2711" filled="true" fillcolor="#fdebea" stroked="false">
              <v:fill type="solid"/>
            </v:rect>
            <v:line style="position:absolute" from="1247,986" to="10828,986" stroked="true" strokeweight="2.5pt" strokecolor="#ffffff">
              <v:stroke dashstyle="solid"/>
            </v:line>
            <v:shape style="position:absolute;left:2381;top:1223;width:7703;height:1549" type="#_x0000_t202" filled="false" stroked="false">
              <v:textbox inset="0,0,0,0">
                <w:txbxContent>
                  <w:p>
                    <w:pPr>
                      <w:spacing w:line="242" w:lineRule="auto" w:before="0"/>
                      <w:ind w:left="0" w:right="272" w:firstLine="0"/>
                      <w:jc w:val="left"/>
                      <w:rPr>
                        <w:sz w:val="21"/>
                      </w:rPr>
                    </w:pPr>
                    <w:r>
                      <w:rPr>
                        <w:w w:val="105"/>
                        <w:sz w:val="21"/>
                      </w:rPr>
                      <w:t>Section 79 of the </w:t>
                    </w:r>
                    <w:r>
                      <w:rPr>
                        <w:rFonts w:ascii="Lucida Sans"/>
                        <w:i/>
                        <w:w w:val="105"/>
                        <w:sz w:val="21"/>
                      </w:rPr>
                      <w:t>Administration and Probate Act </w:t>
                    </w:r>
                    <w:r>
                      <w:rPr>
                        <w:rFonts w:ascii="Lucida Sans"/>
                        <w:i/>
                        <w:spacing w:val="-4"/>
                        <w:w w:val="105"/>
                        <w:sz w:val="21"/>
                      </w:rPr>
                      <w:t>1958 </w:t>
                    </w:r>
                    <w:r>
                      <w:rPr>
                        <w:w w:val="105"/>
                        <w:sz w:val="21"/>
                      </w:rPr>
                      <w:t>(Vic) should be amended to provide that, if in the course of administering a small estate under      that</w:t>
                    </w:r>
                    <w:r>
                      <w:rPr>
                        <w:spacing w:val="23"/>
                        <w:w w:val="105"/>
                        <w:sz w:val="21"/>
                      </w:rPr>
                      <w:t> </w:t>
                    </w:r>
                    <w:r>
                      <w:rPr>
                        <w:w w:val="105"/>
                        <w:sz w:val="21"/>
                      </w:rPr>
                      <w:t>section,</w:t>
                    </w:r>
                    <w:r>
                      <w:rPr>
                        <w:spacing w:val="24"/>
                        <w:w w:val="105"/>
                        <w:sz w:val="21"/>
                      </w:rPr>
                      <w:t> </w:t>
                    </w:r>
                    <w:r>
                      <w:rPr>
                        <w:w w:val="105"/>
                        <w:sz w:val="21"/>
                      </w:rPr>
                      <w:t>State</w:t>
                    </w:r>
                    <w:r>
                      <w:rPr>
                        <w:spacing w:val="24"/>
                        <w:w w:val="105"/>
                        <w:sz w:val="21"/>
                      </w:rPr>
                      <w:t> </w:t>
                    </w:r>
                    <w:r>
                      <w:rPr>
                        <w:w w:val="105"/>
                        <w:sz w:val="21"/>
                      </w:rPr>
                      <w:t>Trustees</w:t>
                    </w:r>
                    <w:r>
                      <w:rPr>
                        <w:spacing w:val="24"/>
                        <w:w w:val="105"/>
                        <w:sz w:val="21"/>
                      </w:rPr>
                      <w:t> </w:t>
                    </w:r>
                    <w:r>
                      <w:rPr>
                        <w:w w:val="105"/>
                        <w:sz w:val="21"/>
                      </w:rPr>
                      <w:t>ascertains</w:t>
                    </w:r>
                    <w:r>
                      <w:rPr>
                        <w:spacing w:val="24"/>
                        <w:w w:val="105"/>
                        <w:sz w:val="21"/>
                      </w:rPr>
                      <w:t> </w:t>
                    </w:r>
                    <w:r>
                      <w:rPr>
                        <w:w w:val="105"/>
                        <w:sz w:val="21"/>
                      </w:rPr>
                      <w:t>that</w:t>
                    </w:r>
                    <w:r>
                      <w:rPr>
                        <w:spacing w:val="24"/>
                        <w:w w:val="105"/>
                        <w:sz w:val="21"/>
                      </w:rPr>
                      <w:t> </w:t>
                    </w:r>
                    <w:r>
                      <w:rPr>
                        <w:w w:val="105"/>
                        <w:sz w:val="21"/>
                      </w:rPr>
                      <w:t>the</w:t>
                    </w:r>
                    <w:r>
                      <w:rPr>
                        <w:spacing w:val="24"/>
                        <w:w w:val="105"/>
                        <w:sz w:val="21"/>
                      </w:rPr>
                      <w:t> </w:t>
                    </w:r>
                    <w:r>
                      <w:rPr>
                        <w:w w:val="105"/>
                        <w:sz w:val="21"/>
                      </w:rPr>
                      <w:t>value</w:t>
                    </w:r>
                    <w:r>
                      <w:rPr>
                        <w:spacing w:val="24"/>
                        <w:w w:val="105"/>
                        <w:sz w:val="21"/>
                      </w:rPr>
                      <w:t> </w:t>
                    </w:r>
                    <w:r>
                      <w:rPr>
                        <w:w w:val="105"/>
                        <w:sz w:val="21"/>
                      </w:rPr>
                      <w:t>of</w:t>
                    </w:r>
                    <w:r>
                      <w:rPr>
                        <w:spacing w:val="24"/>
                        <w:w w:val="105"/>
                        <w:sz w:val="21"/>
                      </w:rPr>
                      <w:t> </w:t>
                    </w:r>
                    <w:r>
                      <w:rPr>
                        <w:w w:val="105"/>
                        <w:sz w:val="21"/>
                      </w:rPr>
                      <w:t>the</w:t>
                    </w:r>
                    <w:r>
                      <w:rPr>
                        <w:spacing w:val="24"/>
                        <w:w w:val="105"/>
                        <w:sz w:val="21"/>
                      </w:rPr>
                      <w:t> </w:t>
                    </w:r>
                    <w:r>
                      <w:rPr>
                        <w:w w:val="105"/>
                        <w:sz w:val="21"/>
                      </w:rPr>
                      <w:t>estate</w:t>
                    </w:r>
                    <w:r>
                      <w:rPr>
                        <w:spacing w:val="24"/>
                        <w:w w:val="105"/>
                        <w:sz w:val="21"/>
                      </w:rPr>
                      <w:t> </w:t>
                    </w:r>
                    <w:r>
                      <w:rPr>
                        <w:w w:val="105"/>
                        <w:sz w:val="21"/>
                      </w:rPr>
                      <w:t>exceeds</w:t>
                    </w:r>
                  </w:p>
                  <w:p>
                    <w:pPr>
                      <w:spacing w:line="242" w:lineRule="auto" w:before="0"/>
                      <w:ind w:left="0" w:right="0" w:firstLine="0"/>
                      <w:jc w:val="left"/>
                      <w:rPr>
                        <w:sz w:val="21"/>
                      </w:rPr>
                    </w:pPr>
                    <w:r>
                      <w:rPr>
                        <w:spacing w:val="-5"/>
                        <w:w w:val="115"/>
                        <w:sz w:val="21"/>
                      </w:rPr>
                      <w:t>120</w:t>
                    </w:r>
                    <w:r>
                      <w:rPr>
                        <w:spacing w:val="-10"/>
                        <w:w w:val="115"/>
                        <w:sz w:val="21"/>
                      </w:rPr>
                      <w:t> </w:t>
                    </w:r>
                    <w:r>
                      <w:rPr>
                        <w:w w:val="115"/>
                        <w:sz w:val="21"/>
                      </w:rPr>
                      <w:t>per</w:t>
                    </w:r>
                    <w:r>
                      <w:rPr>
                        <w:spacing w:val="-9"/>
                        <w:w w:val="115"/>
                        <w:sz w:val="21"/>
                      </w:rPr>
                      <w:t> </w:t>
                    </w:r>
                    <w:r>
                      <w:rPr>
                        <w:w w:val="115"/>
                        <w:sz w:val="21"/>
                      </w:rPr>
                      <w:t>cent</w:t>
                    </w:r>
                    <w:r>
                      <w:rPr>
                        <w:spacing w:val="-9"/>
                        <w:w w:val="115"/>
                        <w:sz w:val="21"/>
                      </w:rPr>
                      <w:t> </w:t>
                    </w:r>
                    <w:r>
                      <w:rPr>
                        <w:w w:val="115"/>
                        <w:sz w:val="21"/>
                      </w:rPr>
                      <w:t>of</w:t>
                    </w:r>
                    <w:r>
                      <w:rPr>
                        <w:spacing w:val="-9"/>
                        <w:w w:val="115"/>
                        <w:sz w:val="21"/>
                      </w:rPr>
                      <w:t> </w:t>
                    </w:r>
                    <w:r>
                      <w:rPr>
                        <w:w w:val="115"/>
                        <w:sz w:val="21"/>
                      </w:rPr>
                      <w:t>the</w:t>
                    </w:r>
                    <w:r>
                      <w:rPr>
                        <w:spacing w:val="-9"/>
                        <w:w w:val="115"/>
                        <w:sz w:val="21"/>
                      </w:rPr>
                      <w:t> </w:t>
                    </w:r>
                    <w:r>
                      <w:rPr>
                        <w:w w:val="115"/>
                        <w:sz w:val="21"/>
                      </w:rPr>
                      <w:t>adjusted</w:t>
                    </w:r>
                    <w:r>
                      <w:rPr>
                        <w:spacing w:val="-9"/>
                        <w:w w:val="115"/>
                        <w:sz w:val="21"/>
                      </w:rPr>
                      <w:t> </w:t>
                    </w:r>
                    <w:r>
                      <w:rPr>
                        <w:w w:val="115"/>
                        <w:sz w:val="21"/>
                      </w:rPr>
                      <w:t>upper</w:t>
                    </w:r>
                    <w:r>
                      <w:rPr>
                        <w:spacing w:val="-9"/>
                        <w:w w:val="115"/>
                        <w:sz w:val="21"/>
                      </w:rPr>
                      <w:t> </w:t>
                    </w:r>
                    <w:r>
                      <w:rPr>
                        <w:w w:val="115"/>
                        <w:sz w:val="21"/>
                      </w:rPr>
                      <w:t>value</w:t>
                    </w:r>
                    <w:r>
                      <w:rPr>
                        <w:spacing w:val="-9"/>
                        <w:w w:val="115"/>
                        <w:sz w:val="21"/>
                      </w:rPr>
                      <w:t> </w:t>
                    </w:r>
                    <w:r>
                      <w:rPr>
                        <w:w w:val="115"/>
                        <w:sz w:val="21"/>
                      </w:rPr>
                      <w:t>for</w:t>
                    </w:r>
                    <w:r>
                      <w:rPr>
                        <w:spacing w:val="-9"/>
                        <w:w w:val="115"/>
                        <w:sz w:val="21"/>
                      </w:rPr>
                      <w:t> </w:t>
                    </w:r>
                    <w:r>
                      <w:rPr>
                        <w:w w:val="115"/>
                        <w:sz w:val="21"/>
                      </w:rPr>
                      <w:t>small</w:t>
                    </w:r>
                    <w:r>
                      <w:rPr>
                        <w:spacing w:val="-9"/>
                        <w:w w:val="115"/>
                        <w:sz w:val="21"/>
                      </w:rPr>
                      <w:t> </w:t>
                    </w:r>
                    <w:r>
                      <w:rPr>
                        <w:w w:val="115"/>
                        <w:sz w:val="21"/>
                      </w:rPr>
                      <w:t>estates</w:t>
                    </w:r>
                    <w:r>
                      <w:rPr>
                        <w:spacing w:val="-9"/>
                        <w:w w:val="115"/>
                        <w:sz w:val="21"/>
                      </w:rPr>
                      <w:t> </w:t>
                    </w:r>
                    <w:r>
                      <w:rPr>
                        <w:w w:val="115"/>
                        <w:sz w:val="21"/>
                      </w:rPr>
                      <w:t>as</w:t>
                    </w:r>
                    <w:r>
                      <w:rPr>
                        <w:spacing w:val="-9"/>
                        <w:w w:val="115"/>
                        <w:sz w:val="21"/>
                      </w:rPr>
                      <w:t> </w:t>
                    </w:r>
                    <w:r>
                      <w:rPr>
                        <w:w w:val="115"/>
                        <w:sz w:val="21"/>
                      </w:rPr>
                      <w:t>set</w:t>
                    </w:r>
                    <w:r>
                      <w:rPr>
                        <w:spacing w:val="-9"/>
                        <w:w w:val="115"/>
                        <w:sz w:val="21"/>
                      </w:rPr>
                      <w:t> </w:t>
                    </w:r>
                    <w:r>
                      <w:rPr>
                        <w:w w:val="115"/>
                        <w:sz w:val="21"/>
                      </w:rPr>
                      <w:t>out</w:t>
                    </w:r>
                    <w:r>
                      <w:rPr>
                        <w:spacing w:val="-9"/>
                        <w:w w:val="115"/>
                        <w:sz w:val="21"/>
                      </w:rPr>
                      <w:t> </w:t>
                    </w:r>
                    <w:r>
                      <w:rPr>
                        <w:w w:val="115"/>
                        <w:sz w:val="21"/>
                      </w:rPr>
                      <w:t>in</w:t>
                    </w:r>
                    <w:r>
                      <w:rPr>
                        <w:spacing w:val="-9"/>
                        <w:w w:val="115"/>
                        <w:sz w:val="21"/>
                      </w:rPr>
                      <w:t> </w:t>
                    </w:r>
                    <w:r>
                      <w:rPr>
                        <w:w w:val="115"/>
                        <w:sz w:val="21"/>
                      </w:rPr>
                      <w:t>section </w:t>
                    </w:r>
                    <w:r>
                      <w:rPr>
                        <w:spacing w:val="-3"/>
                        <w:w w:val="115"/>
                        <w:sz w:val="21"/>
                      </w:rPr>
                      <w:t>71(1), </w:t>
                    </w:r>
                    <w:r>
                      <w:rPr>
                        <w:w w:val="115"/>
                        <w:sz w:val="21"/>
                      </w:rPr>
                      <w:t>it must as soon as practicable apply in the same manner as </w:t>
                    </w:r>
                    <w:r>
                      <w:rPr>
                        <w:spacing w:val="-2"/>
                        <w:w w:val="115"/>
                        <w:sz w:val="21"/>
                      </w:rPr>
                      <w:t>any </w:t>
                    </w:r>
                    <w:r>
                      <w:rPr>
                        <w:w w:val="115"/>
                        <w:sz w:val="21"/>
                      </w:rPr>
                      <w:t>other person for a grant of</w:t>
                    </w:r>
                    <w:r>
                      <w:rPr>
                        <w:spacing w:val="2"/>
                        <w:w w:val="115"/>
                        <w:sz w:val="21"/>
                      </w:rPr>
                      <w:t> </w:t>
                    </w:r>
                    <w:r>
                      <w:rPr>
                        <w:w w:val="115"/>
                        <w:sz w:val="21"/>
                      </w:rPr>
                      <w:t>representation.</w:t>
                    </w:r>
                  </w:p>
                </w:txbxContent>
              </v:textbox>
              <w10:wrap type="none"/>
            </v:shape>
            <v:shape style="position:absolute;left:1814;top:1223;width:249;height:249" type="#_x0000_t202" filled="false" stroked="false">
              <v:textbox inset="0,0,0,0">
                <w:txbxContent>
                  <w:p>
                    <w:pPr>
                      <w:spacing w:line="249" w:lineRule="exact" w:before="0"/>
                      <w:ind w:left="0" w:right="0" w:firstLine="0"/>
                      <w:jc w:val="left"/>
                      <w:rPr>
                        <w:sz w:val="21"/>
                      </w:rPr>
                    </w:pPr>
                    <w:r>
                      <w:rPr>
                        <w:w w:val="110"/>
                        <w:sz w:val="21"/>
                      </w:rPr>
                      <w:t>75</w:t>
                    </w:r>
                  </w:p>
                </w:txbxContent>
              </v:textbox>
              <w10:wrap type="none"/>
            </v:shape>
            <v:shape style="position:absolute;left:1587;top:235;width:8731;height:726" type="#_x0000_t202" filled="true" fillcolor="#fdebea" stroked="false">
              <v:textbox inset="0,0,0,0">
                <w:txbxContent>
                  <w:p>
                    <w:pPr>
                      <w:spacing w:before="166"/>
                      <w:ind w:left="226" w:right="0" w:firstLine="0"/>
                      <w:jc w:val="left"/>
                      <w:rPr>
                        <w:b/>
                        <w:sz w:val="32"/>
                      </w:rPr>
                    </w:pPr>
                    <w:r>
                      <w:rPr>
                        <w:b/>
                        <w:color w:val="EC5A4F"/>
                        <w:w w:val="110"/>
                        <w:sz w:val="32"/>
                      </w:rPr>
                      <w:t>Recommendation</w:t>
                    </w:r>
                  </w:p>
                </w:txbxContent>
              </v:textbox>
              <v:fill type="solid"/>
              <w10:wrap type="none"/>
            </v:shape>
            <w10:wrap type="topAndBottom"/>
          </v:group>
        </w:pict>
      </w:r>
    </w:p>
    <w:p>
      <w:pPr>
        <w:pStyle w:val="BodyText"/>
        <w:rPr>
          <w:sz w:val="20"/>
        </w:rPr>
      </w:pPr>
    </w:p>
    <w:p>
      <w:pPr>
        <w:pStyle w:val="BodyText"/>
        <w:rPr>
          <w:sz w:val="20"/>
        </w:rPr>
      </w:pPr>
    </w:p>
    <w:p>
      <w:pPr>
        <w:pStyle w:val="BodyText"/>
        <w:spacing w:before="10"/>
        <w:rPr>
          <w:sz w:val="26"/>
        </w:rPr>
      </w:pPr>
      <w:r>
        <w:rPr/>
        <w:pict>
          <v:line style="position:absolute;mso-position-horizontal-relative:page;mso-position-vertical-relative:paragraph;z-index:12320;mso-wrap-distance-left:0;mso-wrap-distance-right:0" from="79.370102pt,18.856537pt" to="515.905102pt,18.856537pt" stroked="true" strokeweight="1pt" strokecolor="#f9ceca">
            <v:stroke dashstyle="solid"/>
            <w10:wrap type="topAndBottom"/>
          </v:line>
        </w:pict>
      </w:r>
    </w:p>
    <w:p>
      <w:pPr>
        <w:pStyle w:val="BodyText"/>
        <w:spacing w:before="8"/>
        <w:rPr>
          <w:sz w:val="5"/>
        </w:rPr>
      </w:pPr>
    </w:p>
    <w:p>
      <w:pPr>
        <w:spacing w:after="0"/>
        <w:rPr>
          <w:sz w:val="5"/>
        </w:rPr>
        <w:sectPr>
          <w:pgSz w:w="11910" w:h="16840"/>
          <w:pgMar w:header="805" w:footer="0" w:top="1360" w:bottom="280" w:left="0" w:right="0"/>
        </w:sectPr>
      </w:pPr>
    </w:p>
    <w:p>
      <w:pPr>
        <w:pStyle w:val="ListParagraph"/>
        <w:numPr>
          <w:ilvl w:val="0"/>
          <w:numId w:val="148"/>
        </w:numPr>
        <w:tabs>
          <w:tab w:pos="2380" w:val="left" w:leader="none"/>
          <w:tab w:pos="2382" w:val="left" w:leader="none"/>
        </w:tabs>
        <w:spacing w:line="240" w:lineRule="auto" w:before="48" w:after="0"/>
        <w:ind w:left="2381" w:right="0" w:hanging="794"/>
        <w:jc w:val="left"/>
        <w:rPr>
          <w:sz w:val="13"/>
        </w:rPr>
      </w:pPr>
      <w:r>
        <w:rPr>
          <w:sz w:val="13"/>
        </w:rPr>
        <w:t>State Trustees advised that estates under $100,000 rarely involve administrative complexity as they rarely include real estate: consultation 22 (State Trustees</w:t>
      </w:r>
      <w:r>
        <w:rPr>
          <w:spacing w:val="26"/>
          <w:sz w:val="13"/>
        </w:rPr>
        <w:t> </w:t>
      </w:r>
      <w:r>
        <w:rPr>
          <w:sz w:val="13"/>
        </w:rPr>
        <w:t>Limited).</w:t>
      </w:r>
    </w:p>
    <w:p>
      <w:pPr>
        <w:pStyle w:val="ListParagraph"/>
        <w:numPr>
          <w:ilvl w:val="0"/>
          <w:numId w:val="148"/>
        </w:numPr>
        <w:tabs>
          <w:tab w:pos="2380" w:val="left" w:leader="none"/>
          <w:tab w:pos="2382" w:val="left" w:leader="none"/>
        </w:tabs>
        <w:spacing w:line="240" w:lineRule="auto" w:before="3" w:after="0"/>
        <w:ind w:left="2381" w:right="0" w:hanging="794"/>
        <w:jc w:val="left"/>
        <w:rPr>
          <w:sz w:val="13"/>
        </w:rPr>
      </w:pPr>
      <w:r>
        <w:rPr>
          <w:w w:val="105"/>
          <w:sz w:val="13"/>
        </w:rPr>
        <w:t>Submission 33 (State Trustees</w:t>
      </w:r>
      <w:r>
        <w:rPr>
          <w:spacing w:val="17"/>
          <w:w w:val="105"/>
          <w:sz w:val="13"/>
        </w:rPr>
        <w:t> </w:t>
      </w:r>
      <w:r>
        <w:rPr>
          <w:w w:val="105"/>
          <w:sz w:val="13"/>
        </w:rPr>
        <w:t>Limited).</w:t>
      </w:r>
    </w:p>
    <w:p>
      <w:pPr>
        <w:pStyle w:val="ListParagraph"/>
        <w:numPr>
          <w:ilvl w:val="0"/>
          <w:numId w:val="148"/>
        </w:numPr>
        <w:tabs>
          <w:tab w:pos="2380" w:val="left" w:leader="none"/>
          <w:tab w:pos="2382" w:val="left" w:leader="none"/>
        </w:tabs>
        <w:spacing w:line="240" w:lineRule="auto" w:before="1" w:after="0"/>
        <w:ind w:left="2381" w:right="0" w:hanging="794"/>
        <w:jc w:val="left"/>
        <w:rPr>
          <w:sz w:val="13"/>
        </w:rPr>
      </w:pPr>
      <w:r>
        <w:rPr>
          <w:i/>
          <w:w w:val="105"/>
          <w:sz w:val="13"/>
        </w:rPr>
        <w:t>Trustee Companies Act 1984 </w:t>
      </w:r>
      <w:r>
        <w:rPr>
          <w:spacing w:val="2"/>
          <w:w w:val="105"/>
          <w:sz w:val="13"/>
        </w:rPr>
        <w:t>(Vic) </w:t>
      </w:r>
      <w:r>
        <w:rPr>
          <w:w w:val="105"/>
          <w:sz w:val="13"/>
        </w:rPr>
        <w:t>ss 11A(4),</w:t>
      </w:r>
      <w:r>
        <w:rPr>
          <w:spacing w:val="27"/>
          <w:w w:val="105"/>
          <w:sz w:val="13"/>
        </w:rPr>
        <w:t> </w:t>
      </w:r>
      <w:r>
        <w:rPr>
          <w:w w:val="105"/>
          <w:sz w:val="13"/>
        </w:rPr>
        <w:t>(10).</w:t>
      </w:r>
    </w:p>
    <w:p>
      <w:pPr>
        <w:pStyle w:val="ListParagraph"/>
        <w:numPr>
          <w:ilvl w:val="0"/>
          <w:numId w:val="148"/>
        </w:numPr>
        <w:tabs>
          <w:tab w:pos="2380" w:val="left" w:leader="none"/>
          <w:tab w:pos="2382" w:val="left" w:leader="none"/>
        </w:tabs>
        <w:spacing w:line="240" w:lineRule="auto" w:before="1" w:after="0"/>
        <w:ind w:left="2381" w:right="0" w:hanging="794"/>
        <w:jc w:val="left"/>
        <w:rPr>
          <w:sz w:val="13"/>
        </w:rPr>
      </w:pPr>
      <w:r>
        <w:rPr>
          <w:w w:val="105"/>
          <w:sz w:val="13"/>
        </w:rPr>
        <w:t>Submissions </w:t>
      </w:r>
      <w:r>
        <w:rPr>
          <w:spacing w:val="2"/>
          <w:w w:val="105"/>
          <w:sz w:val="13"/>
        </w:rPr>
        <w:t>30b </w:t>
      </w:r>
      <w:r>
        <w:rPr>
          <w:spacing w:val="3"/>
          <w:w w:val="105"/>
          <w:sz w:val="13"/>
        </w:rPr>
        <w:t>(Law </w:t>
      </w:r>
      <w:r>
        <w:rPr>
          <w:w w:val="105"/>
          <w:sz w:val="13"/>
        </w:rPr>
        <w:t>Institute of </w:t>
      </w:r>
      <w:r>
        <w:rPr>
          <w:spacing w:val="2"/>
          <w:w w:val="105"/>
          <w:sz w:val="13"/>
        </w:rPr>
        <w:t>Victoria); </w:t>
      </w:r>
      <w:r>
        <w:rPr>
          <w:w w:val="105"/>
          <w:sz w:val="13"/>
        </w:rPr>
        <w:t>33 (State Trustees Limited).</w:t>
      </w:r>
    </w:p>
    <w:p>
      <w:pPr>
        <w:pStyle w:val="ListParagraph"/>
        <w:numPr>
          <w:ilvl w:val="0"/>
          <w:numId w:val="148"/>
        </w:numPr>
        <w:tabs>
          <w:tab w:pos="2380" w:val="left" w:leader="none"/>
          <w:tab w:pos="2382" w:val="left" w:leader="none"/>
        </w:tabs>
        <w:spacing w:line="240" w:lineRule="auto" w:before="2" w:after="0"/>
        <w:ind w:left="2381" w:right="0" w:hanging="794"/>
        <w:jc w:val="left"/>
        <w:rPr>
          <w:sz w:val="13"/>
        </w:rPr>
      </w:pPr>
      <w:r>
        <w:rPr>
          <w:w w:val="105"/>
          <w:sz w:val="13"/>
        </w:rPr>
        <w:t>Submissions</w:t>
      </w:r>
      <w:r>
        <w:rPr>
          <w:spacing w:val="4"/>
          <w:w w:val="105"/>
          <w:sz w:val="13"/>
        </w:rPr>
        <w:t> </w:t>
      </w:r>
      <w:r>
        <w:rPr>
          <w:spacing w:val="-3"/>
          <w:w w:val="105"/>
          <w:sz w:val="13"/>
        </w:rPr>
        <w:t>19</w:t>
      </w:r>
      <w:r>
        <w:rPr>
          <w:spacing w:val="5"/>
          <w:w w:val="105"/>
          <w:sz w:val="13"/>
        </w:rPr>
        <w:t> </w:t>
      </w:r>
      <w:r>
        <w:rPr>
          <w:spacing w:val="2"/>
          <w:w w:val="105"/>
          <w:sz w:val="13"/>
        </w:rPr>
        <w:t>(Association</w:t>
      </w:r>
      <w:r>
        <w:rPr>
          <w:spacing w:val="4"/>
          <w:w w:val="105"/>
          <w:sz w:val="13"/>
        </w:rPr>
        <w:t> </w:t>
      </w:r>
      <w:r>
        <w:rPr>
          <w:w w:val="105"/>
          <w:sz w:val="13"/>
        </w:rPr>
        <w:t>of</w:t>
      </w:r>
      <w:r>
        <w:rPr>
          <w:spacing w:val="5"/>
          <w:w w:val="105"/>
          <w:sz w:val="13"/>
        </w:rPr>
        <w:t> </w:t>
      </w:r>
      <w:r>
        <w:rPr>
          <w:w w:val="105"/>
          <w:sz w:val="13"/>
        </w:rPr>
        <w:t>Independent</w:t>
      </w:r>
      <w:r>
        <w:rPr>
          <w:spacing w:val="4"/>
          <w:w w:val="105"/>
          <w:sz w:val="13"/>
        </w:rPr>
        <w:t> </w:t>
      </w:r>
      <w:r>
        <w:rPr>
          <w:w w:val="105"/>
          <w:sz w:val="13"/>
        </w:rPr>
        <w:t>Retirees);</w:t>
      </w:r>
      <w:r>
        <w:rPr>
          <w:spacing w:val="5"/>
          <w:w w:val="105"/>
          <w:sz w:val="13"/>
        </w:rPr>
        <w:t> </w:t>
      </w:r>
      <w:r>
        <w:rPr>
          <w:w w:val="105"/>
          <w:sz w:val="13"/>
        </w:rPr>
        <w:t>25</w:t>
      </w:r>
      <w:r>
        <w:rPr>
          <w:spacing w:val="4"/>
          <w:w w:val="105"/>
          <w:sz w:val="13"/>
        </w:rPr>
        <w:t> </w:t>
      </w:r>
      <w:r>
        <w:rPr>
          <w:spacing w:val="2"/>
          <w:w w:val="105"/>
          <w:sz w:val="13"/>
        </w:rPr>
        <w:t>(Moores</w:t>
      </w:r>
      <w:r>
        <w:rPr>
          <w:spacing w:val="5"/>
          <w:w w:val="105"/>
          <w:sz w:val="13"/>
        </w:rPr>
        <w:t> </w:t>
      </w:r>
      <w:r>
        <w:rPr>
          <w:w w:val="105"/>
          <w:sz w:val="13"/>
        </w:rPr>
        <w:t>Legal);</w:t>
      </w:r>
      <w:r>
        <w:rPr>
          <w:spacing w:val="4"/>
          <w:w w:val="105"/>
          <w:sz w:val="13"/>
        </w:rPr>
        <w:t> </w:t>
      </w:r>
      <w:r>
        <w:rPr>
          <w:spacing w:val="-3"/>
          <w:w w:val="105"/>
          <w:sz w:val="13"/>
        </w:rPr>
        <w:t>14</w:t>
      </w:r>
      <w:r>
        <w:rPr>
          <w:spacing w:val="5"/>
          <w:w w:val="105"/>
          <w:sz w:val="13"/>
        </w:rPr>
        <w:t> </w:t>
      </w:r>
      <w:r>
        <w:rPr>
          <w:w w:val="105"/>
          <w:sz w:val="13"/>
        </w:rPr>
        <w:t>(Commercial</w:t>
      </w:r>
      <w:r>
        <w:rPr>
          <w:spacing w:val="5"/>
          <w:w w:val="105"/>
          <w:sz w:val="13"/>
        </w:rPr>
        <w:t> </w:t>
      </w:r>
      <w:r>
        <w:rPr>
          <w:w w:val="105"/>
          <w:sz w:val="13"/>
        </w:rPr>
        <w:t>Bar</w:t>
      </w:r>
      <w:r>
        <w:rPr>
          <w:spacing w:val="4"/>
          <w:w w:val="105"/>
          <w:sz w:val="13"/>
        </w:rPr>
        <w:t> </w:t>
      </w:r>
      <w:r>
        <w:rPr>
          <w:spacing w:val="2"/>
          <w:w w:val="105"/>
          <w:sz w:val="13"/>
        </w:rPr>
        <w:t>Association).</w:t>
      </w:r>
    </w:p>
    <w:p>
      <w:pPr>
        <w:pStyle w:val="ListParagraph"/>
        <w:numPr>
          <w:ilvl w:val="0"/>
          <w:numId w:val="148"/>
        </w:numPr>
        <w:tabs>
          <w:tab w:pos="2380" w:val="left" w:leader="none"/>
          <w:tab w:pos="2382" w:val="left" w:leader="none"/>
        </w:tabs>
        <w:spacing w:line="240" w:lineRule="auto" w:before="1" w:after="0"/>
        <w:ind w:left="2381" w:right="0" w:hanging="794"/>
        <w:jc w:val="left"/>
        <w:rPr>
          <w:sz w:val="13"/>
        </w:rPr>
      </w:pPr>
      <w:r>
        <w:rPr>
          <w:w w:val="105"/>
          <w:sz w:val="13"/>
        </w:rPr>
        <w:t>Submission 25 </w:t>
      </w:r>
      <w:r>
        <w:rPr>
          <w:spacing w:val="2"/>
          <w:w w:val="105"/>
          <w:sz w:val="13"/>
        </w:rPr>
        <w:t>(Moores</w:t>
      </w:r>
      <w:r>
        <w:rPr>
          <w:spacing w:val="13"/>
          <w:w w:val="105"/>
          <w:sz w:val="13"/>
        </w:rPr>
        <w:t> </w:t>
      </w:r>
      <w:r>
        <w:rPr>
          <w:w w:val="105"/>
          <w:sz w:val="13"/>
        </w:rPr>
        <w:t>Legal).</w:t>
      </w:r>
    </w:p>
    <w:p>
      <w:pPr>
        <w:pStyle w:val="BodyText"/>
        <w:rPr>
          <w:sz w:val="28"/>
        </w:rPr>
      </w:pPr>
      <w:r>
        <w:rPr/>
        <w:br w:type="column"/>
      </w:r>
      <w:r>
        <w:rPr>
          <w:sz w:val="28"/>
        </w:rPr>
      </w:r>
    </w:p>
    <w:p>
      <w:pPr>
        <w:pStyle w:val="BodyText"/>
        <w:rPr>
          <w:sz w:val="28"/>
        </w:rPr>
      </w:pPr>
    </w:p>
    <w:p>
      <w:pPr>
        <w:spacing w:before="220"/>
        <w:ind w:left="1445" w:right="0" w:firstLine="0"/>
        <w:jc w:val="left"/>
        <w:rPr>
          <w:b/>
          <w:sz w:val="24"/>
        </w:rPr>
      </w:pPr>
      <w:r>
        <w:rPr>
          <w:b/>
          <w:color w:val="EC5A4F"/>
          <w:w w:val="110"/>
          <w:sz w:val="24"/>
        </w:rPr>
        <w:t>207</w:t>
      </w:r>
    </w:p>
    <w:p>
      <w:pPr>
        <w:spacing w:after="0"/>
        <w:jc w:val="left"/>
        <w:rPr>
          <w:sz w:val="24"/>
        </w:rPr>
        <w:sectPr>
          <w:type w:val="continuous"/>
          <w:pgSz w:w="11910" w:h="16840"/>
          <w:pgMar w:top="920" w:bottom="280" w:left="0" w:right="0"/>
          <w:cols w:num="2" w:equalWidth="0">
            <w:col w:w="9428" w:space="40"/>
            <w:col w:w="2442"/>
          </w:cols>
        </w:sectPr>
      </w:pPr>
    </w:p>
    <w:p>
      <w:pPr>
        <w:pStyle w:val="BodyText"/>
        <w:spacing w:before="9"/>
        <w:rPr>
          <w:b/>
          <w:sz w:val="22"/>
        </w:rPr>
      </w:pPr>
    </w:p>
    <w:p>
      <w:pPr>
        <w:pStyle w:val="Heading6"/>
        <w:spacing w:before="100"/>
      </w:pPr>
      <w:r>
        <w:rPr>
          <w:w w:val="120"/>
        </w:rPr>
        <w:t>Online advertising</w:t>
      </w:r>
    </w:p>
    <w:p>
      <w:pPr>
        <w:pStyle w:val="ListParagraph"/>
        <w:numPr>
          <w:ilvl w:val="0"/>
          <w:numId w:val="146"/>
        </w:numPr>
        <w:tabs>
          <w:tab w:pos="2381" w:val="left" w:leader="none"/>
          <w:tab w:pos="2382" w:val="left" w:leader="none"/>
        </w:tabs>
        <w:spacing w:line="242" w:lineRule="auto" w:before="151" w:after="0"/>
        <w:ind w:left="2381" w:right="1666" w:hanging="794"/>
        <w:jc w:val="left"/>
        <w:rPr>
          <w:sz w:val="12"/>
        </w:rPr>
      </w:pPr>
      <w:r>
        <w:rPr>
          <w:sz w:val="21"/>
        </w:rPr>
        <w:t>As </w:t>
      </w:r>
      <w:r>
        <w:rPr>
          <w:spacing w:val="-3"/>
          <w:sz w:val="21"/>
        </w:rPr>
        <w:t>noted above, </w:t>
      </w:r>
      <w:r>
        <w:rPr>
          <w:sz w:val="21"/>
        </w:rPr>
        <w:t>section </w:t>
      </w:r>
      <w:r>
        <w:rPr>
          <w:spacing w:val="-3"/>
          <w:sz w:val="21"/>
        </w:rPr>
        <w:t>79 </w:t>
      </w:r>
      <w:r>
        <w:rPr>
          <w:sz w:val="21"/>
        </w:rPr>
        <w:t>of the </w:t>
      </w:r>
      <w:r>
        <w:rPr>
          <w:spacing w:val="-3"/>
          <w:sz w:val="21"/>
        </w:rPr>
        <w:t>Administrative </w:t>
      </w:r>
      <w:r>
        <w:rPr>
          <w:sz w:val="21"/>
        </w:rPr>
        <w:t>and </w:t>
      </w:r>
      <w:r>
        <w:rPr>
          <w:spacing w:val="-3"/>
          <w:sz w:val="21"/>
        </w:rPr>
        <w:t>Probate </w:t>
      </w:r>
      <w:r>
        <w:rPr>
          <w:sz w:val="21"/>
        </w:rPr>
        <w:t>Act </w:t>
      </w:r>
      <w:r>
        <w:rPr>
          <w:spacing w:val="-3"/>
          <w:sz w:val="21"/>
        </w:rPr>
        <w:t>currently requires State </w:t>
      </w:r>
      <w:r>
        <w:rPr>
          <w:spacing w:val="-4"/>
          <w:sz w:val="21"/>
        </w:rPr>
        <w:t>Trustees </w:t>
      </w:r>
      <w:r>
        <w:rPr>
          <w:spacing w:val="-3"/>
          <w:sz w:val="21"/>
        </w:rPr>
        <w:t>to </w:t>
      </w:r>
      <w:r>
        <w:rPr>
          <w:sz w:val="21"/>
        </w:rPr>
        <w:t>give </w:t>
      </w:r>
      <w:r>
        <w:rPr>
          <w:spacing w:val="-3"/>
          <w:sz w:val="21"/>
        </w:rPr>
        <w:t>notice </w:t>
      </w:r>
      <w:r>
        <w:rPr>
          <w:sz w:val="21"/>
        </w:rPr>
        <w:t>of its </w:t>
      </w:r>
      <w:r>
        <w:rPr>
          <w:spacing w:val="-3"/>
          <w:sz w:val="21"/>
        </w:rPr>
        <w:t>intention to administer </w:t>
      </w:r>
      <w:r>
        <w:rPr>
          <w:sz w:val="21"/>
        </w:rPr>
        <w:t>by advertising in a </w:t>
      </w:r>
      <w:r>
        <w:rPr>
          <w:spacing w:val="-3"/>
          <w:sz w:val="21"/>
        </w:rPr>
        <w:t>daily</w:t>
      </w:r>
      <w:r>
        <w:rPr>
          <w:spacing w:val="4"/>
          <w:sz w:val="21"/>
        </w:rPr>
        <w:t> </w:t>
      </w:r>
      <w:r>
        <w:rPr>
          <w:spacing w:val="-7"/>
          <w:sz w:val="21"/>
        </w:rPr>
        <w:t>newspaper.</w:t>
      </w:r>
      <w:r>
        <w:rPr>
          <w:spacing w:val="-7"/>
          <w:position w:val="7"/>
          <w:sz w:val="12"/>
        </w:rPr>
        <w:t>111</w:t>
      </w:r>
    </w:p>
    <w:p>
      <w:pPr>
        <w:pStyle w:val="ListParagraph"/>
        <w:numPr>
          <w:ilvl w:val="0"/>
          <w:numId w:val="146"/>
        </w:numPr>
        <w:tabs>
          <w:tab w:pos="2381" w:val="left" w:leader="none"/>
          <w:tab w:pos="2382" w:val="left" w:leader="none"/>
        </w:tabs>
        <w:spacing w:line="242" w:lineRule="auto" w:before="122" w:after="0"/>
        <w:ind w:left="2381" w:right="1894" w:hanging="794"/>
        <w:jc w:val="left"/>
        <w:rPr>
          <w:sz w:val="12"/>
        </w:rPr>
      </w:pPr>
      <w:r>
        <w:rPr>
          <w:w w:val="105"/>
          <w:sz w:val="21"/>
        </w:rPr>
        <w:t>In the </w:t>
      </w:r>
      <w:r>
        <w:rPr>
          <w:spacing w:val="-3"/>
          <w:w w:val="105"/>
          <w:sz w:val="21"/>
        </w:rPr>
        <w:t>consultation </w:t>
      </w:r>
      <w:r>
        <w:rPr>
          <w:w w:val="105"/>
          <w:sz w:val="21"/>
        </w:rPr>
        <w:t>paper on </w:t>
      </w:r>
      <w:r>
        <w:rPr>
          <w:spacing w:val="-3"/>
          <w:w w:val="105"/>
          <w:sz w:val="21"/>
        </w:rPr>
        <w:t>small </w:t>
      </w:r>
      <w:r>
        <w:rPr>
          <w:w w:val="105"/>
          <w:sz w:val="21"/>
        </w:rPr>
        <w:t>estates, the </w:t>
      </w:r>
      <w:r>
        <w:rPr>
          <w:spacing w:val="-3"/>
          <w:w w:val="105"/>
          <w:sz w:val="21"/>
        </w:rPr>
        <w:t>Commission asked </w:t>
      </w:r>
      <w:r>
        <w:rPr>
          <w:w w:val="105"/>
          <w:sz w:val="21"/>
        </w:rPr>
        <w:t>whether </w:t>
      </w:r>
      <w:r>
        <w:rPr>
          <w:spacing w:val="-3"/>
          <w:w w:val="105"/>
          <w:sz w:val="21"/>
        </w:rPr>
        <w:t>notices </w:t>
      </w:r>
      <w:r>
        <w:rPr>
          <w:w w:val="105"/>
          <w:sz w:val="21"/>
        </w:rPr>
        <w:t>should be advertised </w:t>
      </w:r>
      <w:r>
        <w:rPr>
          <w:spacing w:val="-4"/>
          <w:w w:val="105"/>
          <w:sz w:val="21"/>
        </w:rPr>
        <w:t>online, </w:t>
      </w:r>
      <w:r>
        <w:rPr>
          <w:w w:val="105"/>
          <w:sz w:val="21"/>
        </w:rPr>
        <w:t>as is </w:t>
      </w:r>
      <w:r>
        <w:rPr>
          <w:spacing w:val="-3"/>
          <w:w w:val="105"/>
          <w:sz w:val="21"/>
        </w:rPr>
        <w:t>required for full </w:t>
      </w:r>
      <w:r>
        <w:rPr>
          <w:spacing w:val="-6"/>
          <w:w w:val="105"/>
          <w:sz w:val="21"/>
        </w:rPr>
        <w:t>grants.</w:t>
      </w:r>
      <w:r>
        <w:rPr>
          <w:spacing w:val="-6"/>
          <w:w w:val="105"/>
          <w:position w:val="7"/>
          <w:sz w:val="12"/>
        </w:rPr>
        <w:t>112 </w:t>
      </w:r>
      <w:r>
        <w:rPr>
          <w:w w:val="105"/>
          <w:sz w:val="21"/>
        </w:rPr>
        <w:t>In most </w:t>
      </w:r>
      <w:r>
        <w:rPr>
          <w:spacing w:val="-3"/>
          <w:w w:val="105"/>
          <w:sz w:val="21"/>
        </w:rPr>
        <w:t>submissions </w:t>
      </w:r>
      <w:r>
        <w:rPr>
          <w:w w:val="105"/>
          <w:sz w:val="21"/>
        </w:rPr>
        <w:t>and </w:t>
      </w:r>
      <w:r>
        <w:rPr>
          <w:spacing w:val="-3"/>
          <w:w w:val="105"/>
          <w:sz w:val="21"/>
        </w:rPr>
        <w:t>consultations,</w:t>
      </w:r>
      <w:r>
        <w:rPr>
          <w:spacing w:val="-5"/>
          <w:w w:val="105"/>
          <w:sz w:val="21"/>
        </w:rPr>
        <w:t> </w:t>
      </w:r>
      <w:r>
        <w:rPr>
          <w:w w:val="105"/>
          <w:sz w:val="21"/>
        </w:rPr>
        <w:t>it</w:t>
      </w:r>
      <w:r>
        <w:rPr>
          <w:spacing w:val="-4"/>
          <w:w w:val="105"/>
          <w:sz w:val="21"/>
        </w:rPr>
        <w:t> </w:t>
      </w:r>
      <w:r>
        <w:rPr>
          <w:w w:val="105"/>
          <w:sz w:val="21"/>
        </w:rPr>
        <w:t>was</w:t>
      </w:r>
      <w:r>
        <w:rPr>
          <w:spacing w:val="-4"/>
          <w:w w:val="105"/>
          <w:sz w:val="21"/>
        </w:rPr>
        <w:t> </w:t>
      </w:r>
      <w:r>
        <w:rPr>
          <w:spacing w:val="-3"/>
          <w:w w:val="105"/>
          <w:sz w:val="21"/>
        </w:rPr>
        <w:t>noted</w:t>
      </w:r>
      <w:r>
        <w:rPr>
          <w:spacing w:val="-4"/>
          <w:w w:val="105"/>
          <w:sz w:val="21"/>
        </w:rPr>
        <w:t> </w:t>
      </w:r>
      <w:r>
        <w:rPr>
          <w:spacing w:val="-3"/>
          <w:w w:val="105"/>
          <w:sz w:val="21"/>
        </w:rPr>
        <w:t>that</w:t>
      </w:r>
      <w:r>
        <w:rPr>
          <w:spacing w:val="-5"/>
          <w:w w:val="105"/>
          <w:sz w:val="21"/>
        </w:rPr>
        <w:t> </w:t>
      </w:r>
      <w:r>
        <w:rPr>
          <w:w w:val="105"/>
          <w:sz w:val="21"/>
        </w:rPr>
        <w:t>advertising</w:t>
      </w:r>
      <w:r>
        <w:rPr>
          <w:spacing w:val="-4"/>
          <w:w w:val="105"/>
          <w:sz w:val="21"/>
        </w:rPr>
        <w:t> </w:t>
      </w:r>
      <w:r>
        <w:rPr>
          <w:spacing w:val="-3"/>
          <w:w w:val="105"/>
          <w:sz w:val="21"/>
        </w:rPr>
        <w:t>online</w:t>
      </w:r>
      <w:r>
        <w:rPr>
          <w:spacing w:val="-4"/>
          <w:w w:val="105"/>
          <w:sz w:val="21"/>
        </w:rPr>
        <w:t> </w:t>
      </w:r>
      <w:r>
        <w:rPr>
          <w:w w:val="105"/>
          <w:sz w:val="21"/>
        </w:rPr>
        <w:t>would</w:t>
      </w:r>
      <w:r>
        <w:rPr>
          <w:spacing w:val="-4"/>
          <w:w w:val="105"/>
          <w:sz w:val="21"/>
        </w:rPr>
        <w:t> </w:t>
      </w:r>
      <w:r>
        <w:rPr>
          <w:w w:val="105"/>
          <w:sz w:val="21"/>
        </w:rPr>
        <w:t>be</w:t>
      </w:r>
      <w:r>
        <w:rPr>
          <w:spacing w:val="-4"/>
          <w:w w:val="105"/>
          <w:sz w:val="21"/>
        </w:rPr>
        <w:t> </w:t>
      </w:r>
      <w:r>
        <w:rPr>
          <w:w w:val="105"/>
          <w:sz w:val="21"/>
        </w:rPr>
        <w:t>less</w:t>
      </w:r>
      <w:r>
        <w:rPr>
          <w:spacing w:val="-5"/>
          <w:w w:val="105"/>
          <w:sz w:val="21"/>
        </w:rPr>
        <w:t> </w:t>
      </w:r>
      <w:r>
        <w:rPr>
          <w:spacing w:val="-6"/>
          <w:w w:val="105"/>
          <w:sz w:val="21"/>
        </w:rPr>
        <w:t>costly,</w:t>
      </w:r>
      <w:r>
        <w:rPr>
          <w:spacing w:val="-6"/>
          <w:w w:val="105"/>
          <w:position w:val="7"/>
          <w:sz w:val="12"/>
        </w:rPr>
        <w:t>113</w:t>
      </w:r>
      <w:r>
        <w:rPr>
          <w:spacing w:val="-4"/>
          <w:w w:val="105"/>
          <w:position w:val="7"/>
          <w:sz w:val="12"/>
        </w:rPr>
        <w:t> </w:t>
      </w:r>
      <w:r>
        <w:rPr>
          <w:w w:val="105"/>
          <w:sz w:val="21"/>
        </w:rPr>
        <w:t>as</w:t>
      </w:r>
      <w:r>
        <w:rPr>
          <w:spacing w:val="-4"/>
          <w:w w:val="105"/>
          <w:sz w:val="21"/>
        </w:rPr>
        <w:t> </w:t>
      </w:r>
      <w:r>
        <w:rPr>
          <w:w w:val="105"/>
          <w:sz w:val="21"/>
        </w:rPr>
        <w:t>the</w:t>
      </w:r>
      <w:r>
        <w:rPr>
          <w:spacing w:val="-5"/>
          <w:w w:val="105"/>
          <w:sz w:val="21"/>
        </w:rPr>
        <w:t> </w:t>
      </w:r>
      <w:r>
        <w:rPr>
          <w:w w:val="105"/>
          <w:sz w:val="21"/>
        </w:rPr>
        <w:t>cost</w:t>
      </w:r>
      <w:r>
        <w:rPr>
          <w:spacing w:val="-4"/>
          <w:w w:val="105"/>
          <w:sz w:val="21"/>
        </w:rPr>
        <w:t> </w:t>
      </w:r>
      <w:r>
        <w:rPr>
          <w:w w:val="105"/>
          <w:sz w:val="21"/>
        </w:rPr>
        <w:t>of advertising on the </w:t>
      </w:r>
      <w:r>
        <w:rPr>
          <w:spacing w:val="-3"/>
          <w:w w:val="105"/>
          <w:sz w:val="21"/>
        </w:rPr>
        <w:t>Supreme Court website for full </w:t>
      </w:r>
      <w:r>
        <w:rPr>
          <w:w w:val="105"/>
          <w:sz w:val="21"/>
        </w:rPr>
        <w:t>grants is </w:t>
      </w:r>
      <w:r>
        <w:rPr>
          <w:spacing w:val="-2"/>
          <w:w w:val="105"/>
          <w:sz w:val="21"/>
        </w:rPr>
        <w:t>significantly </w:t>
      </w:r>
      <w:r>
        <w:rPr>
          <w:w w:val="105"/>
          <w:sz w:val="21"/>
        </w:rPr>
        <w:t>lower </w:t>
      </w:r>
      <w:r>
        <w:rPr>
          <w:spacing w:val="-3"/>
          <w:w w:val="105"/>
          <w:sz w:val="21"/>
        </w:rPr>
        <w:t>than </w:t>
      </w:r>
      <w:r>
        <w:rPr>
          <w:w w:val="105"/>
          <w:sz w:val="21"/>
        </w:rPr>
        <w:t>the cost of advertising in a</w:t>
      </w:r>
      <w:r>
        <w:rPr>
          <w:spacing w:val="24"/>
          <w:w w:val="105"/>
          <w:sz w:val="21"/>
        </w:rPr>
        <w:t> </w:t>
      </w:r>
      <w:r>
        <w:rPr>
          <w:spacing w:val="-5"/>
          <w:w w:val="105"/>
          <w:sz w:val="21"/>
        </w:rPr>
        <w:t>newspaper.</w:t>
      </w:r>
      <w:r>
        <w:rPr>
          <w:spacing w:val="-5"/>
          <w:w w:val="105"/>
          <w:position w:val="7"/>
          <w:sz w:val="12"/>
        </w:rPr>
        <w:t>114</w:t>
      </w:r>
    </w:p>
    <w:p>
      <w:pPr>
        <w:pStyle w:val="ListParagraph"/>
        <w:numPr>
          <w:ilvl w:val="0"/>
          <w:numId w:val="146"/>
        </w:numPr>
        <w:tabs>
          <w:tab w:pos="2381" w:val="left" w:leader="none"/>
          <w:tab w:pos="2382" w:val="left" w:leader="none"/>
        </w:tabs>
        <w:spacing w:line="242" w:lineRule="auto" w:before="126" w:after="0"/>
        <w:ind w:left="2381" w:right="1584" w:hanging="794"/>
        <w:jc w:val="left"/>
        <w:rPr>
          <w:sz w:val="21"/>
        </w:rPr>
      </w:pPr>
      <w:r>
        <w:rPr>
          <w:w w:val="105"/>
          <w:sz w:val="21"/>
        </w:rPr>
        <w:t>General</w:t>
      </w:r>
      <w:r>
        <w:rPr>
          <w:spacing w:val="-6"/>
          <w:w w:val="105"/>
          <w:sz w:val="21"/>
        </w:rPr>
        <w:t> </w:t>
      </w:r>
      <w:r>
        <w:rPr>
          <w:spacing w:val="-3"/>
          <w:w w:val="105"/>
          <w:sz w:val="21"/>
        </w:rPr>
        <w:t>reliance</w:t>
      </w:r>
      <w:r>
        <w:rPr>
          <w:spacing w:val="-6"/>
          <w:w w:val="105"/>
          <w:sz w:val="21"/>
        </w:rPr>
        <w:t> </w:t>
      </w:r>
      <w:r>
        <w:rPr>
          <w:w w:val="105"/>
          <w:sz w:val="21"/>
        </w:rPr>
        <w:t>on</w:t>
      </w:r>
      <w:r>
        <w:rPr>
          <w:spacing w:val="-5"/>
          <w:w w:val="105"/>
          <w:sz w:val="21"/>
        </w:rPr>
        <w:t> </w:t>
      </w:r>
      <w:r>
        <w:rPr>
          <w:w w:val="105"/>
          <w:sz w:val="21"/>
        </w:rPr>
        <w:t>newspapers</w:t>
      </w:r>
      <w:r>
        <w:rPr>
          <w:spacing w:val="-6"/>
          <w:w w:val="105"/>
          <w:sz w:val="21"/>
        </w:rPr>
        <w:t> </w:t>
      </w:r>
      <w:r>
        <w:rPr>
          <w:spacing w:val="-3"/>
          <w:w w:val="105"/>
          <w:sz w:val="21"/>
        </w:rPr>
        <w:t>for</w:t>
      </w:r>
      <w:r>
        <w:rPr>
          <w:spacing w:val="-6"/>
          <w:w w:val="105"/>
          <w:sz w:val="21"/>
        </w:rPr>
        <w:t> </w:t>
      </w:r>
      <w:r>
        <w:rPr>
          <w:w w:val="105"/>
          <w:sz w:val="21"/>
        </w:rPr>
        <w:t>this</w:t>
      </w:r>
      <w:r>
        <w:rPr>
          <w:spacing w:val="-5"/>
          <w:w w:val="105"/>
          <w:sz w:val="21"/>
        </w:rPr>
        <w:t> </w:t>
      </w:r>
      <w:r>
        <w:rPr>
          <w:w w:val="105"/>
          <w:sz w:val="21"/>
        </w:rPr>
        <w:t>sort</w:t>
      </w:r>
      <w:r>
        <w:rPr>
          <w:spacing w:val="-6"/>
          <w:w w:val="105"/>
          <w:sz w:val="21"/>
        </w:rPr>
        <w:t> </w:t>
      </w:r>
      <w:r>
        <w:rPr>
          <w:w w:val="105"/>
          <w:sz w:val="21"/>
        </w:rPr>
        <w:t>of</w:t>
      </w:r>
      <w:r>
        <w:rPr>
          <w:spacing w:val="-6"/>
          <w:w w:val="105"/>
          <w:sz w:val="21"/>
        </w:rPr>
        <w:t> </w:t>
      </w:r>
      <w:r>
        <w:rPr>
          <w:spacing w:val="-3"/>
          <w:w w:val="105"/>
          <w:sz w:val="21"/>
        </w:rPr>
        <w:t>information</w:t>
      </w:r>
      <w:r>
        <w:rPr>
          <w:spacing w:val="-5"/>
          <w:w w:val="105"/>
          <w:sz w:val="21"/>
        </w:rPr>
        <w:t> </w:t>
      </w:r>
      <w:r>
        <w:rPr>
          <w:w w:val="105"/>
          <w:sz w:val="21"/>
        </w:rPr>
        <w:t>in</w:t>
      </w:r>
      <w:r>
        <w:rPr>
          <w:spacing w:val="-6"/>
          <w:w w:val="105"/>
          <w:sz w:val="21"/>
        </w:rPr>
        <w:t> </w:t>
      </w:r>
      <w:r>
        <w:rPr>
          <w:spacing w:val="-3"/>
          <w:w w:val="105"/>
          <w:sz w:val="21"/>
        </w:rPr>
        <w:t>rural</w:t>
      </w:r>
      <w:r>
        <w:rPr>
          <w:spacing w:val="-6"/>
          <w:w w:val="105"/>
          <w:sz w:val="21"/>
        </w:rPr>
        <w:t> </w:t>
      </w:r>
      <w:r>
        <w:rPr>
          <w:w w:val="105"/>
          <w:sz w:val="21"/>
        </w:rPr>
        <w:t>and</w:t>
      </w:r>
      <w:r>
        <w:rPr>
          <w:spacing w:val="-5"/>
          <w:w w:val="105"/>
          <w:sz w:val="21"/>
        </w:rPr>
        <w:t> </w:t>
      </w:r>
      <w:r>
        <w:rPr>
          <w:spacing w:val="-3"/>
          <w:w w:val="105"/>
          <w:sz w:val="21"/>
        </w:rPr>
        <w:t>regional</w:t>
      </w:r>
      <w:r>
        <w:rPr>
          <w:spacing w:val="-6"/>
          <w:w w:val="105"/>
          <w:sz w:val="21"/>
        </w:rPr>
        <w:t> </w:t>
      </w:r>
      <w:r>
        <w:rPr>
          <w:spacing w:val="-3"/>
          <w:w w:val="105"/>
          <w:sz w:val="21"/>
        </w:rPr>
        <w:t>areas</w:t>
      </w:r>
      <w:r>
        <w:rPr>
          <w:spacing w:val="-6"/>
          <w:w w:val="105"/>
          <w:sz w:val="21"/>
        </w:rPr>
        <w:t> </w:t>
      </w:r>
      <w:r>
        <w:rPr>
          <w:w w:val="105"/>
          <w:sz w:val="21"/>
        </w:rPr>
        <w:t>was </w:t>
      </w:r>
      <w:r>
        <w:rPr>
          <w:spacing w:val="-6"/>
          <w:w w:val="105"/>
          <w:sz w:val="21"/>
        </w:rPr>
        <w:t>noted.</w:t>
      </w:r>
      <w:r>
        <w:rPr>
          <w:spacing w:val="-6"/>
          <w:w w:val="105"/>
          <w:position w:val="7"/>
          <w:sz w:val="12"/>
        </w:rPr>
        <w:t>115 </w:t>
      </w:r>
      <w:r>
        <w:rPr>
          <w:w w:val="105"/>
          <w:sz w:val="21"/>
        </w:rPr>
        <w:t>One </w:t>
      </w:r>
      <w:r>
        <w:rPr>
          <w:spacing w:val="-3"/>
          <w:w w:val="105"/>
          <w:sz w:val="21"/>
        </w:rPr>
        <w:t>submission </w:t>
      </w:r>
      <w:r>
        <w:rPr>
          <w:w w:val="105"/>
          <w:sz w:val="21"/>
        </w:rPr>
        <w:t>suggested </w:t>
      </w:r>
      <w:r>
        <w:rPr>
          <w:spacing w:val="-3"/>
          <w:w w:val="105"/>
          <w:sz w:val="21"/>
        </w:rPr>
        <w:t>that </w:t>
      </w:r>
      <w:r>
        <w:rPr>
          <w:w w:val="105"/>
          <w:sz w:val="21"/>
        </w:rPr>
        <w:t>the advertising </w:t>
      </w:r>
      <w:r>
        <w:rPr>
          <w:spacing w:val="-3"/>
          <w:w w:val="105"/>
          <w:sz w:val="21"/>
        </w:rPr>
        <w:t>requirement </w:t>
      </w:r>
      <w:r>
        <w:rPr>
          <w:w w:val="105"/>
          <w:sz w:val="21"/>
        </w:rPr>
        <w:t>should prescribe </w:t>
      </w:r>
      <w:r>
        <w:rPr>
          <w:spacing w:val="-3"/>
          <w:w w:val="105"/>
          <w:sz w:val="21"/>
        </w:rPr>
        <w:t>notice </w:t>
      </w:r>
      <w:r>
        <w:rPr>
          <w:w w:val="105"/>
          <w:sz w:val="21"/>
        </w:rPr>
        <w:t>in both a local newspaper and on the </w:t>
      </w:r>
      <w:r>
        <w:rPr>
          <w:spacing w:val="-3"/>
          <w:w w:val="105"/>
          <w:sz w:val="21"/>
        </w:rPr>
        <w:t>Supreme Court </w:t>
      </w:r>
      <w:r>
        <w:rPr>
          <w:spacing w:val="-6"/>
          <w:w w:val="105"/>
          <w:sz w:val="21"/>
        </w:rPr>
        <w:t>website.</w:t>
      </w:r>
      <w:r>
        <w:rPr>
          <w:spacing w:val="-6"/>
          <w:w w:val="105"/>
          <w:position w:val="7"/>
          <w:sz w:val="12"/>
        </w:rPr>
        <w:t>116  </w:t>
      </w:r>
      <w:r>
        <w:rPr>
          <w:w w:val="105"/>
          <w:sz w:val="21"/>
        </w:rPr>
        <w:t>The </w:t>
      </w:r>
      <w:r>
        <w:rPr>
          <w:spacing w:val="-3"/>
          <w:w w:val="105"/>
          <w:sz w:val="21"/>
        </w:rPr>
        <w:t>Commission   </w:t>
      </w:r>
      <w:r>
        <w:rPr>
          <w:w w:val="105"/>
          <w:sz w:val="21"/>
        </w:rPr>
        <w:t>is</w:t>
      </w:r>
      <w:r>
        <w:rPr>
          <w:spacing w:val="-10"/>
          <w:w w:val="105"/>
          <w:sz w:val="21"/>
        </w:rPr>
        <w:t> </w:t>
      </w:r>
      <w:r>
        <w:rPr>
          <w:w w:val="105"/>
          <w:sz w:val="21"/>
        </w:rPr>
        <w:t>of</w:t>
      </w:r>
      <w:r>
        <w:rPr>
          <w:spacing w:val="-9"/>
          <w:w w:val="105"/>
          <w:sz w:val="21"/>
        </w:rPr>
        <w:t> </w:t>
      </w:r>
      <w:r>
        <w:rPr>
          <w:w w:val="105"/>
          <w:sz w:val="21"/>
        </w:rPr>
        <w:t>the</w:t>
      </w:r>
      <w:r>
        <w:rPr>
          <w:spacing w:val="-9"/>
          <w:w w:val="105"/>
          <w:sz w:val="21"/>
        </w:rPr>
        <w:t> </w:t>
      </w:r>
      <w:r>
        <w:rPr>
          <w:w w:val="105"/>
          <w:sz w:val="21"/>
        </w:rPr>
        <w:t>view</w:t>
      </w:r>
      <w:r>
        <w:rPr>
          <w:spacing w:val="-10"/>
          <w:w w:val="105"/>
          <w:sz w:val="21"/>
        </w:rPr>
        <w:t> </w:t>
      </w:r>
      <w:r>
        <w:rPr>
          <w:spacing w:val="-3"/>
          <w:w w:val="105"/>
          <w:sz w:val="21"/>
        </w:rPr>
        <w:t>that</w:t>
      </w:r>
      <w:r>
        <w:rPr>
          <w:spacing w:val="-9"/>
          <w:w w:val="105"/>
          <w:sz w:val="21"/>
        </w:rPr>
        <w:t> </w:t>
      </w:r>
      <w:r>
        <w:rPr>
          <w:w w:val="105"/>
          <w:sz w:val="21"/>
        </w:rPr>
        <w:t>advertising</w:t>
      </w:r>
      <w:r>
        <w:rPr>
          <w:spacing w:val="-9"/>
          <w:w w:val="105"/>
          <w:sz w:val="21"/>
        </w:rPr>
        <w:t> </w:t>
      </w:r>
      <w:r>
        <w:rPr>
          <w:w w:val="105"/>
          <w:sz w:val="21"/>
        </w:rPr>
        <w:t>in</w:t>
      </w:r>
      <w:r>
        <w:rPr>
          <w:spacing w:val="-9"/>
          <w:w w:val="105"/>
          <w:sz w:val="21"/>
        </w:rPr>
        <w:t> </w:t>
      </w:r>
      <w:r>
        <w:rPr>
          <w:w w:val="105"/>
          <w:sz w:val="21"/>
        </w:rPr>
        <w:t>both</w:t>
      </w:r>
      <w:r>
        <w:rPr>
          <w:spacing w:val="-10"/>
          <w:w w:val="105"/>
          <w:sz w:val="21"/>
        </w:rPr>
        <w:t> </w:t>
      </w:r>
      <w:r>
        <w:rPr>
          <w:w w:val="105"/>
          <w:sz w:val="21"/>
        </w:rPr>
        <w:t>newspapers</w:t>
      </w:r>
      <w:r>
        <w:rPr>
          <w:spacing w:val="-9"/>
          <w:w w:val="105"/>
          <w:sz w:val="21"/>
        </w:rPr>
        <w:t> </w:t>
      </w:r>
      <w:r>
        <w:rPr>
          <w:w w:val="105"/>
          <w:sz w:val="21"/>
        </w:rPr>
        <w:t>and</w:t>
      </w:r>
      <w:r>
        <w:rPr>
          <w:spacing w:val="-9"/>
          <w:w w:val="105"/>
          <w:sz w:val="21"/>
        </w:rPr>
        <w:t> </w:t>
      </w:r>
      <w:r>
        <w:rPr>
          <w:spacing w:val="-3"/>
          <w:w w:val="105"/>
          <w:sz w:val="21"/>
        </w:rPr>
        <w:t>online</w:t>
      </w:r>
      <w:r>
        <w:rPr>
          <w:spacing w:val="-9"/>
          <w:w w:val="105"/>
          <w:sz w:val="21"/>
        </w:rPr>
        <w:t> </w:t>
      </w:r>
      <w:r>
        <w:rPr>
          <w:w w:val="105"/>
          <w:sz w:val="21"/>
        </w:rPr>
        <w:t>is</w:t>
      </w:r>
      <w:r>
        <w:rPr>
          <w:spacing w:val="-10"/>
          <w:w w:val="105"/>
          <w:sz w:val="21"/>
        </w:rPr>
        <w:t> </w:t>
      </w:r>
      <w:r>
        <w:rPr>
          <w:w w:val="105"/>
          <w:sz w:val="21"/>
        </w:rPr>
        <w:t>unnecessarily</w:t>
      </w:r>
      <w:r>
        <w:rPr>
          <w:spacing w:val="-9"/>
          <w:w w:val="105"/>
          <w:sz w:val="21"/>
        </w:rPr>
        <w:t> </w:t>
      </w:r>
      <w:r>
        <w:rPr>
          <w:spacing w:val="-3"/>
          <w:w w:val="105"/>
          <w:sz w:val="21"/>
        </w:rPr>
        <w:t>onerous</w:t>
      </w:r>
      <w:r>
        <w:rPr>
          <w:spacing w:val="-9"/>
          <w:w w:val="105"/>
          <w:sz w:val="21"/>
        </w:rPr>
        <w:t> </w:t>
      </w:r>
      <w:r>
        <w:rPr>
          <w:w w:val="105"/>
          <w:sz w:val="21"/>
        </w:rPr>
        <w:t>and would</w:t>
      </w:r>
      <w:r>
        <w:rPr>
          <w:spacing w:val="-6"/>
          <w:w w:val="105"/>
          <w:sz w:val="21"/>
        </w:rPr>
        <w:t> </w:t>
      </w:r>
      <w:r>
        <w:rPr>
          <w:w w:val="105"/>
          <w:sz w:val="21"/>
        </w:rPr>
        <w:t>detract</w:t>
      </w:r>
      <w:r>
        <w:rPr>
          <w:spacing w:val="-6"/>
          <w:w w:val="105"/>
          <w:sz w:val="21"/>
        </w:rPr>
        <w:t> </w:t>
      </w:r>
      <w:r>
        <w:rPr>
          <w:spacing w:val="-3"/>
          <w:w w:val="105"/>
          <w:sz w:val="21"/>
        </w:rPr>
        <w:t>from</w:t>
      </w:r>
      <w:r>
        <w:rPr>
          <w:spacing w:val="-5"/>
          <w:w w:val="105"/>
          <w:sz w:val="21"/>
        </w:rPr>
        <w:t> </w:t>
      </w:r>
      <w:r>
        <w:rPr>
          <w:w w:val="105"/>
          <w:sz w:val="21"/>
        </w:rPr>
        <w:t>the</w:t>
      </w:r>
      <w:r>
        <w:rPr>
          <w:spacing w:val="-6"/>
          <w:w w:val="105"/>
          <w:sz w:val="21"/>
        </w:rPr>
        <w:t> </w:t>
      </w:r>
      <w:r>
        <w:rPr>
          <w:spacing w:val="-3"/>
          <w:w w:val="105"/>
          <w:sz w:val="21"/>
        </w:rPr>
        <w:t>streamlined</w:t>
      </w:r>
      <w:r>
        <w:rPr>
          <w:spacing w:val="-6"/>
          <w:w w:val="105"/>
          <w:sz w:val="21"/>
        </w:rPr>
        <w:t> </w:t>
      </w:r>
      <w:r>
        <w:rPr>
          <w:w w:val="105"/>
          <w:sz w:val="21"/>
        </w:rPr>
        <w:t>and</w:t>
      </w:r>
      <w:r>
        <w:rPr>
          <w:spacing w:val="-5"/>
          <w:w w:val="105"/>
          <w:sz w:val="21"/>
        </w:rPr>
        <w:t> </w:t>
      </w:r>
      <w:r>
        <w:rPr>
          <w:w w:val="105"/>
          <w:sz w:val="21"/>
        </w:rPr>
        <w:t>cost-effective</w:t>
      </w:r>
      <w:r>
        <w:rPr>
          <w:spacing w:val="-6"/>
          <w:w w:val="105"/>
          <w:sz w:val="21"/>
        </w:rPr>
        <w:t> </w:t>
      </w:r>
      <w:r>
        <w:rPr>
          <w:spacing w:val="-3"/>
          <w:w w:val="105"/>
          <w:sz w:val="21"/>
        </w:rPr>
        <w:t>nature</w:t>
      </w:r>
      <w:r>
        <w:rPr>
          <w:spacing w:val="-6"/>
          <w:w w:val="105"/>
          <w:sz w:val="21"/>
        </w:rPr>
        <w:t> </w:t>
      </w:r>
      <w:r>
        <w:rPr>
          <w:w w:val="105"/>
          <w:sz w:val="21"/>
        </w:rPr>
        <w:t>of</w:t>
      </w:r>
      <w:r>
        <w:rPr>
          <w:spacing w:val="-5"/>
          <w:w w:val="105"/>
          <w:sz w:val="21"/>
        </w:rPr>
        <w:t> </w:t>
      </w:r>
      <w:r>
        <w:rPr>
          <w:w w:val="105"/>
          <w:sz w:val="21"/>
        </w:rPr>
        <w:t>the</w:t>
      </w:r>
      <w:r>
        <w:rPr>
          <w:spacing w:val="-6"/>
          <w:w w:val="105"/>
          <w:sz w:val="21"/>
        </w:rPr>
        <w:t> </w:t>
      </w:r>
      <w:r>
        <w:rPr>
          <w:w w:val="105"/>
          <w:sz w:val="21"/>
        </w:rPr>
        <w:t>section</w:t>
      </w:r>
      <w:r>
        <w:rPr>
          <w:spacing w:val="-6"/>
          <w:w w:val="105"/>
          <w:sz w:val="21"/>
        </w:rPr>
        <w:t> </w:t>
      </w:r>
      <w:r>
        <w:rPr>
          <w:spacing w:val="-3"/>
          <w:w w:val="105"/>
          <w:sz w:val="21"/>
        </w:rPr>
        <w:t>79</w:t>
      </w:r>
      <w:r>
        <w:rPr>
          <w:spacing w:val="-5"/>
          <w:w w:val="105"/>
          <w:sz w:val="21"/>
        </w:rPr>
        <w:t> </w:t>
      </w:r>
      <w:r>
        <w:rPr>
          <w:w w:val="105"/>
          <w:sz w:val="21"/>
        </w:rPr>
        <w:t>process.</w:t>
      </w:r>
    </w:p>
    <w:p>
      <w:pPr>
        <w:pStyle w:val="ListParagraph"/>
        <w:numPr>
          <w:ilvl w:val="0"/>
          <w:numId w:val="146"/>
        </w:numPr>
        <w:tabs>
          <w:tab w:pos="2381" w:val="left" w:leader="none"/>
          <w:tab w:pos="2382" w:val="left" w:leader="none"/>
        </w:tabs>
        <w:spacing w:line="242" w:lineRule="auto" w:before="125" w:after="0"/>
        <w:ind w:left="2381" w:right="1737" w:hanging="794"/>
        <w:jc w:val="left"/>
        <w:rPr>
          <w:sz w:val="21"/>
        </w:rPr>
      </w:pPr>
      <w:r>
        <w:rPr>
          <w:spacing w:val="-4"/>
          <w:sz w:val="21"/>
        </w:rPr>
        <w:t>Further, </w:t>
      </w:r>
      <w:r>
        <w:rPr>
          <w:spacing w:val="-3"/>
          <w:sz w:val="21"/>
        </w:rPr>
        <w:t>notices </w:t>
      </w:r>
      <w:r>
        <w:rPr>
          <w:sz w:val="21"/>
        </w:rPr>
        <w:t>in newspapers, while </w:t>
      </w:r>
      <w:r>
        <w:rPr>
          <w:spacing w:val="-3"/>
          <w:sz w:val="21"/>
        </w:rPr>
        <w:t>potentially </w:t>
      </w:r>
      <w:r>
        <w:rPr>
          <w:sz w:val="21"/>
        </w:rPr>
        <w:t>more </w:t>
      </w:r>
      <w:r>
        <w:rPr>
          <w:spacing w:val="-4"/>
          <w:sz w:val="21"/>
        </w:rPr>
        <w:t>likely  </w:t>
      </w:r>
      <w:r>
        <w:rPr>
          <w:spacing w:val="-3"/>
          <w:sz w:val="21"/>
        </w:rPr>
        <w:t>to  </w:t>
      </w:r>
      <w:r>
        <w:rPr>
          <w:sz w:val="21"/>
        </w:rPr>
        <w:t>be </w:t>
      </w:r>
      <w:r>
        <w:rPr>
          <w:spacing w:val="-3"/>
          <w:sz w:val="21"/>
        </w:rPr>
        <w:t>read</w:t>
      </w:r>
      <w:r>
        <w:rPr>
          <w:spacing w:val="41"/>
          <w:sz w:val="21"/>
        </w:rPr>
        <w:t> </w:t>
      </w:r>
      <w:r>
        <w:rPr>
          <w:sz w:val="21"/>
        </w:rPr>
        <w:t>by some people, </w:t>
      </w:r>
      <w:r>
        <w:rPr>
          <w:spacing w:val="-3"/>
          <w:sz w:val="21"/>
        </w:rPr>
        <w:t>are </w:t>
      </w:r>
      <w:r>
        <w:rPr>
          <w:spacing w:val="-2"/>
          <w:sz w:val="21"/>
        </w:rPr>
        <w:t>not </w:t>
      </w:r>
      <w:r>
        <w:rPr>
          <w:sz w:val="21"/>
        </w:rPr>
        <w:t>collected in a </w:t>
      </w:r>
      <w:r>
        <w:rPr>
          <w:spacing w:val="-3"/>
          <w:sz w:val="21"/>
        </w:rPr>
        <w:t>central repository. </w:t>
      </w:r>
      <w:r>
        <w:rPr>
          <w:sz w:val="21"/>
        </w:rPr>
        <w:t>Notices on the </w:t>
      </w:r>
      <w:r>
        <w:rPr>
          <w:spacing w:val="-3"/>
          <w:sz w:val="21"/>
        </w:rPr>
        <w:t>Court’s website </w:t>
      </w:r>
      <w:r>
        <w:rPr>
          <w:sz w:val="21"/>
        </w:rPr>
        <w:t>would be more </w:t>
      </w:r>
      <w:r>
        <w:rPr>
          <w:spacing w:val="-3"/>
          <w:sz w:val="21"/>
        </w:rPr>
        <w:t>easily searched. </w:t>
      </w:r>
      <w:r>
        <w:rPr>
          <w:spacing w:val="-4"/>
          <w:sz w:val="21"/>
        </w:rPr>
        <w:t>Family  </w:t>
      </w:r>
      <w:r>
        <w:rPr>
          <w:sz w:val="21"/>
        </w:rPr>
        <w:t>members, </w:t>
      </w:r>
      <w:r>
        <w:rPr>
          <w:spacing w:val="-3"/>
          <w:sz w:val="21"/>
        </w:rPr>
        <w:t>friends  </w:t>
      </w:r>
      <w:r>
        <w:rPr>
          <w:sz w:val="21"/>
        </w:rPr>
        <w:t>and </w:t>
      </w:r>
      <w:r>
        <w:rPr>
          <w:spacing w:val="-3"/>
          <w:sz w:val="21"/>
        </w:rPr>
        <w:t>Probate</w:t>
      </w:r>
      <w:r>
        <w:rPr>
          <w:spacing w:val="41"/>
          <w:sz w:val="21"/>
        </w:rPr>
        <w:t> </w:t>
      </w:r>
      <w:r>
        <w:rPr>
          <w:sz w:val="21"/>
        </w:rPr>
        <w:t>Office staff would be able </w:t>
      </w:r>
      <w:r>
        <w:rPr>
          <w:spacing w:val="-3"/>
          <w:sz w:val="21"/>
        </w:rPr>
        <w:t>to  </w:t>
      </w:r>
      <w:r>
        <w:rPr>
          <w:sz w:val="21"/>
        </w:rPr>
        <w:t>assist in</w:t>
      </w:r>
      <w:r>
        <w:rPr>
          <w:spacing w:val="10"/>
          <w:sz w:val="21"/>
        </w:rPr>
        <w:t> </w:t>
      </w:r>
      <w:r>
        <w:rPr>
          <w:sz w:val="21"/>
        </w:rPr>
        <w:t>basic</w:t>
      </w:r>
      <w:r>
        <w:rPr>
          <w:spacing w:val="11"/>
          <w:sz w:val="21"/>
        </w:rPr>
        <w:t> </w:t>
      </w:r>
      <w:r>
        <w:rPr>
          <w:spacing w:val="-3"/>
          <w:sz w:val="21"/>
        </w:rPr>
        <w:t>searches</w:t>
      </w:r>
      <w:r>
        <w:rPr>
          <w:spacing w:val="11"/>
          <w:sz w:val="21"/>
        </w:rPr>
        <w:t> </w:t>
      </w:r>
      <w:r>
        <w:rPr>
          <w:spacing w:val="-3"/>
          <w:sz w:val="21"/>
        </w:rPr>
        <w:t>for</w:t>
      </w:r>
      <w:r>
        <w:rPr>
          <w:spacing w:val="11"/>
          <w:sz w:val="21"/>
        </w:rPr>
        <w:t> </w:t>
      </w:r>
      <w:r>
        <w:rPr>
          <w:sz w:val="21"/>
        </w:rPr>
        <w:t>those</w:t>
      </w:r>
      <w:r>
        <w:rPr>
          <w:spacing w:val="11"/>
          <w:sz w:val="21"/>
        </w:rPr>
        <w:t> </w:t>
      </w:r>
      <w:r>
        <w:rPr>
          <w:spacing w:val="-4"/>
          <w:sz w:val="21"/>
        </w:rPr>
        <w:t>unfamiliar</w:t>
      </w:r>
      <w:r>
        <w:rPr>
          <w:spacing w:val="11"/>
          <w:sz w:val="21"/>
        </w:rPr>
        <w:t> </w:t>
      </w:r>
      <w:r>
        <w:rPr>
          <w:sz w:val="21"/>
        </w:rPr>
        <w:t>with</w:t>
      </w:r>
      <w:r>
        <w:rPr>
          <w:spacing w:val="11"/>
          <w:sz w:val="21"/>
        </w:rPr>
        <w:t> </w:t>
      </w:r>
      <w:r>
        <w:rPr>
          <w:spacing w:val="-3"/>
          <w:sz w:val="21"/>
        </w:rPr>
        <w:t>using</w:t>
      </w:r>
      <w:r>
        <w:rPr>
          <w:spacing w:val="10"/>
          <w:sz w:val="21"/>
        </w:rPr>
        <w:t> </w:t>
      </w:r>
      <w:r>
        <w:rPr>
          <w:spacing w:val="-3"/>
          <w:sz w:val="21"/>
        </w:rPr>
        <w:t>computers.</w:t>
      </w:r>
    </w:p>
    <w:p>
      <w:pPr>
        <w:pStyle w:val="ListParagraph"/>
        <w:numPr>
          <w:ilvl w:val="0"/>
          <w:numId w:val="146"/>
        </w:numPr>
        <w:tabs>
          <w:tab w:pos="2381" w:val="left" w:leader="none"/>
          <w:tab w:pos="2382" w:val="left" w:leader="none"/>
        </w:tabs>
        <w:spacing w:line="242" w:lineRule="auto" w:before="125" w:after="0"/>
        <w:ind w:left="2381" w:right="1621" w:hanging="794"/>
        <w:jc w:val="left"/>
        <w:rPr>
          <w:sz w:val="12"/>
        </w:rPr>
      </w:pPr>
      <w:r>
        <w:rPr>
          <w:w w:val="105"/>
          <w:sz w:val="21"/>
        </w:rPr>
        <w:t>The </w:t>
      </w:r>
      <w:r>
        <w:rPr>
          <w:spacing w:val="-4"/>
          <w:w w:val="105"/>
          <w:sz w:val="21"/>
        </w:rPr>
        <w:t>creation </w:t>
      </w:r>
      <w:r>
        <w:rPr>
          <w:spacing w:val="-3"/>
          <w:w w:val="105"/>
          <w:sz w:val="21"/>
        </w:rPr>
        <w:t>of </w:t>
      </w:r>
      <w:r>
        <w:rPr>
          <w:w w:val="105"/>
          <w:sz w:val="21"/>
        </w:rPr>
        <w:t>a </w:t>
      </w:r>
      <w:r>
        <w:rPr>
          <w:spacing w:val="-4"/>
          <w:w w:val="105"/>
          <w:sz w:val="21"/>
        </w:rPr>
        <w:t>searchable record </w:t>
      </w:r>
      <w:r>
        <w:rPr>
          <w:spacing w:val="-3"/>
          <w:w w:val="105"/>
          <w:sz w:val="21"/>
        </w:rPr>
        <w:t>of grants received under </w:t>
      </w:r>
      <w:r>
        <w:rPr>
          <w:w w:val="105"/>
          <w:sz w:val="21"/>
        </w:rPr>
        <w:t>section </w:t>
      </w:r>
      <w:r>
        <w:rPr>
          <w:spacing w:val="-4"/>
          <w:w w:val="105"/>
          <w:sz w:val="21"/>
        </w:rPr>
        <w:t>79 </w:t>
      </w:r>
      <w:r>
        <w:rPr>
          <w:spacing w:val="-3"/>
          <w:w w:val="105"/>
          <w:sz w:val="21"/>
        </w:rPr>
        <w:t>would provide </w:t>
      </w:r>
      <w:r>
        <w:rPr>
          <w:w w:val="105"/>
          <w:sz w:val="21"/>
        </w:rPr>
        <w:t>the </w:t>
      </w:r>
      <w:r>
        <w:rPr>
          <w:spacing w:val="-3"/>
          <w:w w:val="105"/>
          <w:sz w:val="21"/>
        </w:rPr>
        <w:t>Probate </w:t>
      </w:r>
      <w:r>
        <w:rPr>
          <w:w w:val="105"/>
          <w:sz w:val="21"/>
        </w:rPr>
        <w:t>Office </w:t>
      </w:r>
      <w:r>
        <w:rPr>
          <w:spacing w:val="-3"/>
          <w:w w:val="105"/>
          <w:sz w:val="21"/>
        </w:rPr>
        <w:t>with </w:t>
      </w:r>
      <w:r>
        <w:rPr>
          <w:w w:val="105"/>
          <w:sz w:val="21"/>
        </w:rPr>
        <w:t>some </w:t>
      </w:r>
      <w:r>
        <w:rPr>
          <w:spacing w:val="-3"/>
          <w:w w:val="105"/>
          <w:sz w:val="21"/>
        </w:rPr>
        <w:t>level of </w:t>
      </w:r>
      <w:r>
        <w:rPr>
          <w:spacing w:val="-4"/>
          <w:w w:val="105"/>
          <w:sz w:val="21"/>
        </w:rPr>
        <w:t>oversight </w:t>
      </w:r>
      <w:r>
        <w:rPr>
          <w:spacing w:val="-3"/>
          <w:w w:val="105"/>
          <w:sz w:val="21"/>
        </w:rPr>
        <w:t>of </w:t>
      </w:r>
      <w:r>
        <w:rPr>
          <w:spacing w:val="-4"/>
          <w:w w:val="105"/>
          <w:sz w:val="21"/>
        </w:rPr>
        <w:t>State </w:t>
      </w:r>
      <w:r>
        <w:rPr>
          <w:spacing w:val="-5"/>
          <w:w w:val="105"/>
          <w:sz w:val="21"/>
        </w:rPr>
        <w:t>Trustees’ </w:t>
      </w:r>
      <w:r>
        <w:rPr>
          <w:spacing w:val="-4"/>
          <w:w w:val="105"/>
          <w:sz w:val="21"/>
        </w:rPr>
        <w:t>small </w:t>
      </w:r>
      <w:r>
        <w:rPr>
          <w:spacing w:val="-3"/>
          <w:w w:val="105"/>
          <w:sz w:val="21"/>
        </w:rPr>
        <w:t>estates </w:t>
      </w:r>
      <w:r>
        <w:rPr>
          <w:spacing w:val="-4"/>
          <w:w w:val="105"/>
          <w:sz w:val="21"/>
        </w:rPr>
        <w:t>administration. </w:t>
      </w:r>
      <w:r>
        <w:rPr>
          <w:spacing w:val="-3"/>
          <w:w w:val="105"/>
          <w:sz w:val="21"/>
        </w:rPr>
        <w:t>Electronic advertising would </w:t>
      </w:r>
      <w:r>
        <w:rPr>
          <w:spacing w:val="-4"/>
          <w:w w:val="105"/>
          <w:sz w:val="21"/>
        </w:rPr>
        <w:t>link </w:t>
      </w:r>
      <w:r>
        <w:rPr>
          <w:w w:val="105"/>
          <w:sz w:val="21"/>
        </w:rPr>
        <w:t>these </w:t>
      </w:r>
      <w:r>
        <w:rPr>
          <w:spacing w:val="-4"/>
          <w:w w:val="105"/>
          <w:sz w:val="21"/>
        </w:rPr>
        <w:t>automatic </w:t>
      </w:r>
      <w:r>
        <w:rPr>
          <w:spacing w:val="-3"/>
          <w:w w:val="105"/>
          <w:sz w:val="21"/>
        </w:rPr>
        <w:t>grants with </w:t>
      </w:r>
      <w:r>
        <w:rPr>
          <w:w w:val="105"/>
          <w:sz w:val="21"/>
        </w:rPr>
        <w:t>the </w:t>
      </w:r>
      <w:r>
        <w:rPr>
          <w:spacing w:val="-3"/>
          <w:w w:val="105"/>
          <w:sz w:val="21"/>
        </w:rPr>
        <w:t>Probate </w:t>
      </w:r>
      <w:r>
        <w:rPr>
          <w:w w:val="105"/>
          <w:sz w:val="21"/>
        </w:rPr>
        <w:t>Office. </w:t>
      </w:r>
      <w:r>
        <w:rPr>
          <w:spacing w:val="-3"/>
          <w:w w:val="105"/>
          <w:sz w:val="21"/>
        </w:rPr>
        <w:t>Such </w:t>
      </w:r>
      <w:r>
        <w:rPr>
          <w:w w:val="105"/>
          <w:sz w:val="21"/>
        </w:rPr>
        <w:t>a </w:t>
      </w:r>
      <w:r>
        <w:rPr>
          <w:spacing w:val="-4"/>
          <w:w w:val="105"/>
          <w:sz w:val="21"/>
        </w:rPr>
        <w:t>record </w:t>
      </w:r>
      <w:r>
        <w:rPr>
          <w:spacing w:val="-3"/>
          <w:w w:val="105"/>
          <w:sz w:val="21"/>
        </w:rPr>
        <w:t>would also </w:t>
      </w:r>
      <w:r>
        <w:rPr>
          <w:w w:val="105"/>
          <w:sz w:val="21"/>
        </w:rPr>
        <w:t>be </w:t>
      </w:r>
      <w:r>
        <w:rPr>
          <w:spacing w:val="-4"/>
          <w:w w:val="105"/>
          <w:sz w:val="21"/>
        </w:rPr>
        <w:t>valuable </w:t>
      </w:r>
      <w:r>
        <w:rPr>
          <w:spacing w:val="-3"/>
          <w:w w:val="105"/>
          <w:sz w:val="21"/>
        </w:rPr>
        <w:t>for legal practitioners </w:t>
      </w:r>
      <w:r>
        <w:rPr>
          <w:spacing w:val="-4"/>
          <w:w w:val="105"/>
          <w:sz w:val="21"/>
        </w:rPr>
        <w:t>working </w:t>
      </w:r>
      <w:r>
        <w:rPr>
          <w:spacing w:val="-3"/>
          <w:w w:val="105"/>
          <w:sz w:val="21"/>
        </w:rPr>
        <w:t>in </w:t>
      </w:r>
      <w:r>
        <w:rPr>
          <w:w w:val="105"/>
          <w:sz w:val="21"/>
        </w:rPr>
        <w:t>the </w:t>
      </w:r>
      <w:r>
        <w:rPr>
          <w:spacing w:val="-4"/>
          <w:w w:val="105"/>
          <w:sz w:val="21"/>
        </w:rPr>
        <w:t>area </w:t>
      </w:r>
      <w:r>
        <w:rPr>
          <w:spacing w:val="-3"/>
          <w:w w:val="105"/>
          <w:sz w:val="21"/>
        </w:rPr>
        <w:t>of </w:t>
      </w:r>
      <w:r>
        <w:rPr>
          <w:spacing w:val="-4"/>
          <w:w w:val="105"/>
          <w:sz w:val="21"/>
        </w:rPr>
        <w:t>wills</w:t>
      </w:r>
      <w:r>
        <w:rPr>
          <w:spacing w:val="20"/>
          <w:w w:val="105"/>
          <w:sz w:val="21"/>
        </w:rPr>
        <w:t> </w:t>
      </w:r>
      <w:r>
        <w:rPr>
          <w:spacing w:val="-6"/>
          <w:w w:val="105"/>
          <w:sz w:val="21"/>
        </w:rPr>
        <w:t>disputes.</w:t>
      </w:r>
      <w:r>
        <w:rPr>
          <w:spacing w:val="-6"/>
          <w:w w:val="105"/>
          <w:position w:val="7"/>
          <w:sz w:val="12"/>
        </w:rPr>
        <w:t>117</w:t>
      </w:r>
    </w:p>
    <w:p>
      <w:pPr>
        <w:pStyle w:val="ListParagraph"/>
        <w:numPr>
          <w:ilvl w:val="0"/>
          <w:numId w:val="146"/>
        </w:numPr>
        <w:tabs>
          <w:tab w:pos="2380" w:val="left" w:leader="none"/>
          <w:tab w:pos="2381" w:val="left" w:leader="none"/>
        </w:tabs>
        <w:spacing w:line="242" w:lineRule="auto" w:before="124" w:after="0"/>
        <w:ind w:left="2381" w:right="1799" w:hanging="794"/>
        <w:jc w:val="left"/>
        <w:rPr>
          <w:sz w:val="21"/>
        </w:rPr>
      </w:pPr>
      <w:r>
        <w:rPr>
          <w:spacing w:val="-3"/>
          <w:w w:val="105"/>
          <w:sz w:val="21"/>
        </w:rPr>
        <w:t>State Trustees, </w:t>
      </w:r>
      <w:r>
        <w:rPr>
          <w:w w:val="105"/>
          <w:sz w:val="21"/>
        </w:rPr>
        <w:t>which would be the advertising party in this process, </w:t>
      </w:r>
      <w:r>
        <w:rPr>
          <w:spacing w:val="-2"/>
          <w:w w:val="105"/>
          <w:sz w:val="21"/>
        </w:rPr>
        <w:t>has </w:t>
      </w:r>
      <w:r>
        <w:rPr>
          <w:w w:val="105"/>
          <w:sz w:val="21"/>
        </w:rPr>
        <w:t>told the </w:t>
      </w:r>
      <w:r>
        <w:rPr>
          <w:spacing w:val="-3"/>
          <w:w w:val="105"/>
          <w:sz w:val="21"/>
        </w:rPr>
        <w:t>Commission</w:t>
      </w:r>
      <w:r>
        <w:rPr>
          <w:spacing w:val="-6"/>
          <w:w w:val="105"/>
          <w:sz w:val="21"/>
        </w:rPr>
        <w:t> </w:t>
      </w:r>
      <w:r>
        <w:rPr>
          <w:spacing w:val="-3"/>
          <w:w w:val="105"/>
          <w:sz w:val="21"/>
        </w:rPr>
        <w:t>that</w:t>
      </w:r>
      <w:r>
        <w:rPr>
          <w:spacing w:val="-5"/>
          <w:w w:val="105"/>
          <w:sz w:val="21"/>
        </w:rPr>
        <w:t> </w:t>
      </w:r>
      <w:r>
        <w:rPr>
          <w:w w:val="105"/>
          <w:sz w:val="21"/>
        </w:rPr>
        <w:t>advertising</w:t>
      </w:r>
      <w:r>
        <w:rPr>
          <w:spacing w:val="-6"/>
          <w:w w:val="105"/>
          <w:sz w:val="21"/>
        </w:rPr>
        <w:t> </w:t>
      </w:r>
      <w:r>
        <w:rPr>
          <w:spacing w:val="-3"/>
          <w:w w:val="105"/>
          <w:sz w:val="21"/>
        </w:rPr>
        <w:t>online</w:t>
      </w:r>
      <w:r>
        <w:rPr>
          <w:spacing w:val="-5"/>
          <w:w w:val="105"/>
          <w:sz w:val="21"/>
        </w:rPr>
        <w:t> </w:t>
      </w:r>
      <w:r>
        <w:rPr>
          <w:w w:val="105"/>
          <w:sz w:val="21"/>
        </w:rPr>
        <w:t>would</w:t>
      </w:r>
      <w:r>
        <w:rPr>
          <w:spacing w:val="-5"/>
          <w:w w:val="105"/>
          <w:sz w:val="21"/>
        </w:rPr>
        <w:t> </w:t>
      </w:r>
      <w:r>
        <w:rPr>
          <w:w w:val="105"/>
          <w:sz w:val="21"/>
        </w:rPr>
        <w:t>be</w:t>
      </w:r>
      <w:r>
        <w:rPr>
          <w:spacing w:val="-6"/>
          <w:w w:val="105"/>
          <w:sz w:val="21"/>
        </w:rPr>
        <w:t> </w:t>
      </w:r>
      <w:r>
        <w:rPr>
          <w:spacing w:val="-3"/>
          <w:w w:val="105"/>
          <w:sz w:val="21"/>
        </w:rPr>
        <w:t>preferable</w:t>
      </w:r>
      <w:r>
        <w:rPr>
          <w:spacing w:val="-5"/>
          <w:w w:val="105"/>
          <w:sz w:val="21"/>
        </w:rPr>
        <w:t> </w:t>
      </w:r>
      <w:r>
        <w:rPr>
          <w:spacing w:val="-3"/>
          <w:w w:val="105"/>
          <w:sz w:val="21"/>
        </w:rPr>
        <w:t>to</w:t>
      </w:r>
      <w:r>
        <w:rPr>
          <w:spacing w:val="-6"/>
          <w:w w:val="105"/>
          <w:sz w:val="21"/>
        </w:rPr>
        <w:t> </w:t>
      </w:r>
      <w:r>
        <w:rPr>
          <w:w w:val="105"/>
          <w:sz w:val="21"/>
        </w:rPr>
        <w:t>advertising</w:t>
      </w:r>
      <w:r>
        <w:rPr>
          <w:spacing w:val="-5"/>
          <w:w w:val="105"/>
          <w:sz w:val="21"/>
        </w:rPr>
        <w:t> </w:t>
      </w:r>
      <w:r>
        <w:rPr>
          <w:w w:val="105"/>
          <w:sz w:val="21"/>
        </w:rPr>
        <w:t>in</w:t>
      </w:r>
      <w:r>
        <w:rPr>
          <w:spacing w:val="-5"/>
          <w:w w:val="105"/>
          <w:sz w:val="21"/>
        </w:rPr>
        <w:t> </w:t>
      </w:r>
      <w:r>
        <w:rPr>
          <w:spacing w:val="-4"/>
          <w:w w:val="105"/>
          <w:sz w:val="21"/>
        </w:rPr>
        <w:t>newspapers.</w:t>
      </w:r>
      <w:r>
        <w:rPr>
          <w:spacing w:val="-4"/>
          <w:w w:val="105"/>
          <w:position w:val="7"/>
          <w:sz w:val="12"/>
        </w:rPr>
        <w:t>118</w:t>
      </w:r>
      <w:r>
        <w:rPr>
          <w:spacing w:val="-4"/>
          <w:w w:val="105"/>
          <w:sz w:val="12"/>
        </w:rPr>
        <w:t> </w:t>
      </w:r>
      <w:r>
        <w:rPr>
          <w:spacing w:val="-3"/>
          <w:w w:val="105"/>
          <w:sz w:val="21"/>
        </w:rPr>
        <w:t>Importantly, </w:t>
      </w:r>
      <w:r>
        <w:rPr>
          <w:w w:val="105"/>
          <w:sz w:val="21"/>
        </w:rPr>
        <w:t>the Registrar of Probates </w:t>
      </w:r>
      <w:r>
        <w:rPr>
          <w:spacing w:val="-2"/>
          <w:w w:val="105"/>
          <w:sz w:val="21"/>
        </w:rPr>
        <w:t>has </w:t>
      </w:r>
      <w:r>
        <w:rPr>
          <w:spacing w:val="-3"/>
          <w:w w:val="105"/>
          <w:sz w:val="21"/>
        </w:rPr>
        <w:t>informed </w:t>
      </w:r>
      <w:r>
        <w:rPr>
          <w:w w:val="105"/>
          <w:sz w:val="21"/>
        </w:rPr>
        <w:t>the </w:t>
      </w:r>
      <w:r>
        <w:rPr>
          <w:spacing w:val="-3"/>
          <w:w w:val="105"/>
          <w:sz w:val="21"/>
        </w:rPr>
        <w:t>Commission that </w:t>
      </w:r>
      <w:r>
        <w:rPr>
          <w:w w:val="105"/>
          <w:sz w:val="21"/>
        </w:rPr>
        <w:t>the </w:t>
      </w:r>
      <w:r>
        <w:rPr>
          <w:spacing w:val="-3"/>
          <w:w w:val="105"/>
          <w:sz w:val="21"/>
        </w:rPr>
        <w:t>Probate </w:t>
      </w:r>
      <w:r>
        <w:rPr>
          <w:w w:val="105"/>
          <w:sz w:val="21"/>
        </w:rPr>
        <w:t>Office is seeking </w:t>
      </w:r>
      <w:r>
        <w:rPr>
          <w:spacing w:val="-3"/>
          <w:w w:val="105"/>
          <w:sz w:val="21"/>
        </w:rPr>
        <w:t>to </w:t>
      </w:r>
      <w:r>
        <w:rPr>
          <w:w w:val="105"/>
          <w:sz w:val="21"/>
        </w:rPr>
        <w:t>move </w:t>
      </w:r>
      <w:r>
        <w:rPr>
          <w:spacing w:val="-3"/>
          <w:w w:val="105"/>
          <w:sz w:val="21"/>
        </w:rPr>
        <w:t>towards online filing</w:t>
      </w:r>
      <w:r>
        <w:rPr>
          <w:spacing w:val="-1"/>
          <w:w w:val="105"/>
          <w:sz w:val="21"/>
        </w:rPr>
        <w:t> </w:t>
      </w:r>
      <w:r>
        <w:rPr>
          <w:spacing w:val="-4"/>
          <w:w w:val="105"/>
          <w:sz w:val="21"/>
        </w:rPr>
        <w:t>generally.</w:t>
      </w:r>
    </w:p>
    <w:p>
      <w:pPr>
        <w:pStyle w:val="ListParagraph"/>
        <w:numPr>
          <w:ilvl w:val="0"/>
          <w:numId w:val="146"/>
        </w:numPr>
        <w:tabs>
          <w:tab w:pos="2380" w:val="left" w:leader="none"/>
          <w:tab w:pos="2381" w:val="left" w:leader="none"/>
        </w:tabs>
        <w:spacing w:line="242" w:lineRule="auto" w:before="124" w:after="0"/>
        <w:ind w:left="2380" w:right="1713" w:hanging="793"/>
        <w:jc w:val="left"/>
        <w:rPr>
          <w:sz w:val="21"/>
        </w:rPr>
      </w:pPr>
      <w:r>
        <w:rPr>
          <w:w w:val="105"/>
          <w:sz w:val="21"/>
        </w:rPr>
        <w:t>Given the </w:t>
      </w:r>
      <w:r>
        <w:rPr>
          <w:spacing w:val="-4"/>
          <w:w w:val="105"/>
          <w:sz w:val="21"/>
        </w:rPr>
        <w:t>continuity, </w:t>
      </w:r>
      <w:r>
        <w:rPr>
          <w:spacing w:val="-3"/>
          <w:w w:val="105"/>
          <w:sz w:val="21"/>
        </w:rPr>
        <w:t>accessibility </w:t>
      </w:r>
      <w:r>
        <w:rPr>
          <w:w w:val="105"/>
          <w:sz w:val="21"/>
        </w:rPr>
        <w:t>and integrity of </w:t>
      </w:r>
      <w:r>
        <w:rPr>
          <w:spacing w:val="-3"/>
          <w:w w:val="105"/>
          <w:sz w:val="21"/>
        </w:rPr>
        <w:t>searchable records, </w:t>
      </w:r>
      <w:r>
        <w:rPr>
          <w:w w:val="105"/>
          <w:sz w:val="21"/>
        </w:rPr>
        <w:t>the </w:t>
      </w:r>
      <w:r>
        <w:rPr>
          <w:spacing w:val="-3"/>
          <w:w w:val="105"/>
          <w:sz w:val="21"/>
        </w:rPr>
        <w:t>Commission </w:t>
      </w:r>
      <w:r>
        <w:rPr>
          <w:w w:val="105"/>
          <w:sz w:val="21"/>
        </w:rPr>
        <w:t>is of</w:t>
      </w:r>
      <w:r>
        <w:rPr>
          <w:spacing w:val="-7"/>
          <w:w w:val="105"/>
          <w:sz w:val="21"/>
        </w:rPr>
        <w:t> </w:t>
      </w:r>
      <w:r>
        <w:rPr>
          <w:w w:val="105"/>
          <w:sz w:val="21"/>
        </w:rPr>
        <w:t>the</w:t>
      </w:r>
      <w:r>
        <w:rPr>
          <w:spacing w:val="-7"/>
          <w:w w:val="105"/>
          <w:sz w:val="21"/>
        </w:rPr>
        <w:t> </w:t>
      </w:r>
      <w:r>
        <w:rPr>
          <w:w w:val="105"/>
          <w:sz w:val="21"/>
        </w:rPr>
        <w:t>view</w:t>
      </w:r>
      <w:r>
        <w:rPr>
          <w:spacing w:val="-6"/>
          <w:w w:val="105"/>
          <w:sz w:val="21"/>
        </w:rPr>
        <w:t> </w:t>
      </w:r>
      <w:r>
        <w:rPr>
          <w:spacing w:val="-3"/>
          <w:w w:val="105"/>
          <w:sz w:val="21"/>
        </w:rPr>
        <w:t>that</w:t>
      </w:r>
      <w:r>
        <w:rPr>
          <w:spacing w:val="-7"/>
          <w:w w:val="105"/>
          <w:sz w:val="21"/>
        </w:rPr>
        <w:t> </w:t>
      </w:r>
      <w:r>
        <w:rPr>
          <w:w w:val="105"/>
          <w:sz w:val="21"/>
        </w:rPr>
        <w:t>advertising</w:t>
      </w:r>
      <w:r>
        <w:rPr>
          <w:spacing w:val="-6"/>
          <w:w w:val="105"/>
          <w:sz w:val="21"/>
        </w:rPr>
        <w:t> </w:t>
      </w:r>
      <w:r>
        <w:rPr>
          <w:w w:val="105"/>
          <w:sz w:val="21"/>
        </w:rPr>
        <w:t>section</w:t>
      </w:r>
      <w:r>
        <w:rPr>
          <w:spacing w:val="-7"/>
          <w:w w:val="105"/>
          <w:sz w:val="21"/>
        </w:rPr>
        <w:t> </w:t>
      </w:r>
      <w:r>
        <w:rPr>
          <w:spacing w:val="-3"/>
          <w:w w:val="105"/>
          <w:sz w:val="21"/>
        </w:rPr>
        <w:t>79</w:t>
      </w:r>
      <w:r>
        <w:rPr>
          <w:spacing w:val="-6"/>
          <w:w w:val="105"/>
          <w:sz w:val="21"/>
        </w:rPr>
        <w:t> </w:t>
      </w:r>
      <w:r>
        <w:rPr>
          <w:spacing w:val="-3"/>
          <w:w w:val="105"/>
          <w:sz w:val="21"/>
        </w:rPr>
        <w:t>notices</w:t>
      </w:r>
      <w:r>
        <w:rPr>
          <w:spacing w:val="-7"/>
          <w:w w:val="105"/>
          <w:sz w:val="21"/>
        </w:rPr>
        <w:t> </w:t>
      </w:r>
      <w:r>
        <w:rPr>
          <w:spacing w:val="-3"/>
          <w:w w:val="105"/>
          <w:sz w:val="21"/>
        </w:rPr>
        <w:t>online</w:t>
      </w:r>
      <w:r>
        <w:rPr>
          <w:spacing w:val="-6"/>
          <w:w w:val="105"/>
          <w:sz w:val="21"/>
        </w:rPr>
        <w:t> </w:t>
      </w:r>
      <w:r>
        <w:rPr>
          <w:w w:val="105"/>
          <w:sz w:val="21"/>
        </w:rPr>
        <w:t>is</w:t>
      </w:r>
      <w:r>
        <w:rPr>
          <w:spacing w:val="-7"/>
          <w:w w:val="105"/>
          <w:sz w:val="21"/>
        </w:rPr>
        <w:t> </w:t>
      </w:r>
      <w:r>
        <w:rPr>
          <w:w w:val="105"/>
          <w:sz w:val="21"/>
        </w:rPr>
        <w:t>an</w:t>
      </w:r>
      <w:r>
        <w:rPr>
          <w:spacing w:val="-6"/>
          <w:w w:val="105"/>
          <w:sz w:val="21"/>
        </w:rPr>
        <w:t> </w:t>
      </w:r>
      <w:r>
        <w:rPr>
          <w:w w:val="105"/>
          <w:sz w:val="21"/>
        </w:rPr>
        <w:t>important</w:t>
      </w:r>
      <w:r>
        <w:rPr>
          <w:spacing w:val="-7"/>
          <w:w w:val="105"/>
          <w:sz w:val="21"/>
        </w:rPr>
        <w:t> </w:t>
      </w:r>
      <w:r>
        <w:rPr>
          <w:w w:val="105"/>
          <w:sz w:val="21"/>
        </w:rPr>
        <w:t>step</w:t>
      </w:r>
      <w:r>
        <w:rPr>
          <w:spacing w:val="-7"/>
          <w:w w:val="105"/>
          <w:sz w:val="21"/>
        </w:rPr>
        <w:t> </w:t>
      </w:r>
      <w:r>
        <w:rPr>
          <w:w w:val="105"/>
          <w:sz w:val="21"/>
        </w:rPr>
        <w:t>in</w:t>
      </w:r>
      <w:r>
        <w:rPr>
          <w:spacing w:val="-6"/>
          <w:w w:val="105"/>
          <w:sz w:val="21"/>
        </w:rPr>
        <w:t> </w:t>
      </w:r>
      <w:r>
        <w:rPr>
          <w:spacing w:val="-3"/>
          <w:w w:val="105"/>
          <w:sz w:val="21"/>
        </w:rPr>
        <w:t>streamlining </w:t>
      </w:r>
      <w:r>
        <w:rPr>
          <w:w w:val="105"/>
          <w:sz w:val="21"/>
        </w:rPr>
        <w:t>the</w:t>
      </w:r>
      <w:r>
        <w:rPr>
          <w:spacing w:val="5"/>
          <w:w w:val="105"/>
          <w:sz w:val="21"/>
        </w:rPr>
        <w:t> </w:t>
      </w:r>
      <w:r>
        <w:rPr>
          <w:w w:val="105"/>
          <w:sz w:val="21"/>
        </w:rPr>
        <w:t>process.</w:t>
      </w:r>
    </w:p>
    <w:p>
      <w:pPr>
        <w:pStyle w:val="BodyText"/>
        <w:spacing w:before="5"/>
        <w:rPr>
          <w:sz w:val="15"/>
        </w:rPr>
      </w:pPr>
      <w:r>
        <w:rPr/>
        <w:pict>
          <v:group style="position:absolute;margin-left:62.362202pt;margin-top:11.388888pt;width:479.1pt;height:109.55pt;mso-position-horizontal-relative:page;mso-position-vertical-relative:paragraph;z-index:12416;mso-wrap-distance-left:0;mso-wrap-distance-right:0" coordorigin="1247,228" coordsize="9582,2191">
            <v:rect style="position:absolute;left:1587;top:227;width:8731;height:2191" filled="true" fillcolor="#fdebea" stroked="false">
              <v:fill type="solid"/>
            </v:rect>
            <v:line style="position:absolute" from="1247,978" to="10828,978" stroked="true" strokeweight="2.5pt" strokecolor="#ffffff">
              <v:stroke dashstyle="solid"/>
            </v:line>
            <v:shape style="position:absolute;left:2381;top:1215;width:7527;height:1029" type="#_x0000_t202" filled="false" stroked="false">
              <v:textbox inset="0,0,0,0">
                <w:txbxContent>
                  <w:p>
                    <w:pPr>
                      <w:spacing w:line="242" w:lineRule="auto" w:before="0"/>
                      <w:ind w:left="0" w:right="22" w:firstLine="0"/>
                      <w:jc w:val="left"/>
                      <w:rPr>
                        <w:sz w:val="21"/>
                      </w:rPr>
                    </w:pPr>
                    <w:r>
                      <w:rPr>
                        <w:w w:val="105"/>
                        <w:sz w:val="21"/>
                      </w:rPr>
                      <w:t>Section </w:t>
                    </w:r>
                    <w:r>
                      <w:rPr>
                        <w:spacing w:val="2"/>
                        <w:w w:val="105"/>
                        <w:sz w:val="21"/>
                      </w:rPr>
                      <w:t>79(2) </w:t>
                    </w:r>
                    <w:r>
                      <w:rPr>
                        <w:w w:val="105"/>
                        <w:sz w:val="21"/>
                      </w:rPr>
                      <w:t>of the </w:t>
                    </w:r>
                    <w:r>
                      <w:rPr>
                        <w:rFonts w:ascii="Lucida Sans" w:hAnsi="Lucida Sans"/>
                        <w:i/>
                        <w:w w:val="105"/>
                        <w:sz w:val="21"/>
                      </w:rPr>
                      <w:t>Administration and Probate Act </w:t>
                    </w:r>
                    <w:r>
                      <w:rPr>
                        <w:rFonts w:ascii="Lucida Sans" w:hAnsi="Lucida Sans"/>
                        <w:i/>
                        <w:spacing w:val="-4"/>
                        <w:w w:val="105"/>
                        <w:sz w:val="21"/>
                      </w:rPr>
                      <w:t>1958 </w:t>
                    </w:r>
                    <w:r>
                      <w:rPr>
                        <w:w w:val="105"/>
                        <w:sz w:val="21"/>
                      </w:rPr>
                      <w:t>(Vic) should be amended to require  that  notices  of  intention  to  administer  an  estate  under this section should be  advertised  on  the  Supreme  Court’s  website  rather  than in a daily</w:t>
                    </w:r>
                    <w:r>
                      <w:rPr>
                        <w:spacing w:val="20"/>
                        <w:w w:val="105"/>
                        <w:sz w:val="21"/>
                      </w:rPr>
                      <w:t> </w:t>
                    </w:r>
                    <w:r>
                      <w:rPr>
                        <w:w w:val="105"/>
                        <w:sz w:val="21"/>
                      </w:rPr>
                      <w:t>newspaper.</w:t>
                    </w:r>
                  </w:p>
                </w:txbxContent>
              </v:textbox>
              <w10:wrap type="none"/>
            </v:shape>
            <v:shape style="position:absolute;left:1814;top:1215;width:247;height:249" type="#_x0000_t202" filled="false" stroked="false">
              <v:textbox inset="0,0,0,0">
                <w:txbxContent>
                  <w:p>
                    <w:pPr>
                      <w:spacing w:line="249" w:lineRule="exact" w:before="0"/>
                      <w:ind w:left="0" w:right="0" w:firstLine="0"/>
                      <w:jc w:val="left"/>
                      <w:rPr>
                        <w:sz w:val="21"/>
                      </w:rPr>
                    </w:pPr>
                    <w:r>
                      <w:rPr>
                        <w:w w:val="110"/>
                        <w:sz w:val="21"/>
                      </w:rPr>
                      <w:t>76</w:t>
                    </w:r>
                  </w:p>
                </w:txbxContent>
              </v:textbox>
              <w10:wrap type="none"/>
            </v:shape>
            <v:shape style="position:absolute;left:1587;top:227;width:8731;height:726" type="#_x0000_t202" filled="true" fillcolor="#fdebea" stroked="false">
              <v:textbox inset="0,0,0,0">
                <w:txbxContent>
                  <w:p>
                    <w:pPr>
                      <w:spacing w:before="166"/>
                      <w:ind w:left="226" w:right="0" w:firstLine="0"/>
                      <w:jc w:val="left"/>
                      <w:rPr>
                        <w:b/>
                        <w:sz w:val="32"/>
                      </w:rPr>
                    </w:pPr>
                    <w:r>
                      <w:rPr>
                        <w:b/>
                        <w:color w:val="EC5A4F"/>
                        <w:w w:val="110"/>
                        <w:sz w:val="32"/>
                      </w:rPr>
                      <w:t>Recommendation</w:t>
                    </w:r>
                  </w:p>
                </w:txbxContent>
              </v:textbox>
              <v:fill type="solid"/>
              <w10:wrap type="none"/>
            </v:shap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6"/>
        </w:rPr>
      </w:pPr>
      <w:r>
        <w:rPr/>
        <w:pict>
          <v:line style="position:absolute;mso-position-horizontal-relative:page;mso-position-vertical-relative:paragraph;z-index:12440;mso-wrap-distance-left:0;mso-wrap-distance-right:0" from="79.370102pt,18.87435pt" to="515.905102pt,18.87435pt" stroked="true" strokeweight="1pt" strokecolor="#f9ceca">
            <v:stroke dashstyle="solid"/>
            <w10:wrap type="topAndBottom"/>
          </v:line>
        </w:pict>
      </w:r>
    </w:p>
    <w:p>
      <w:pPr>
        <w:pStyle w:val="BodyText"/>
        <w:spacing w:before="8"/>
        <w:rPr>
          <w:sz w:val="5"/>
        </w:rPr>
      </w:pPr>
    </w:p>
    <w:p>
      <w:pPr>
        <w:spacing w:after="0"/>
        <w:rPr>
          <w:sz w:val="5"/>
        </w:rPr>
        <w:sectPr>
          <w:pgSz w:w="11910" w:h="16840"/>
          <w:pgMar w:header="550" w:footer="0" w:top="1560" w:bottom="280" w:left="0" w:right="0"/>
        </w:sectPr>
      </w:pPr>
    </w:p>
    <w:p>
      <w:pPr>
        <w:pStyle w:val="BodyText"/>
        <w:rPr>
          <w:sz w:val="28"/>
        </w:rPr>
      </w:pPr>
    </w:p>
    <w:p>
      <w:pPr>
        <w:pStyle w:val="BodyText"/>
        <w:rPr>
          <w:sz w:val="28"/>
        </w:rPr>
      </w:pPr>
    </w:p>
    <w:p>
      <w:pPr>
        <w:pStyle w:val="BodyText"/>
        <w:spacing w:before="3"/>
        <w:rPr>
          <w:sz w:val="32"/>
        </w:rPr>
      </w:pPr>
    </w:p>
    <w:p>
      <w:pPr>
        <w:spacing w:before="1"/>
        <w:ind w:left="720" w:right="0" w:firstLine="0"/>
        <w:jc w:val="left"/>
        <w:rPr>
          <w:b/>
          <w:sz w:val="24"/>
        </w:rPr>
      </w:pPr>
      <w:r>
        <w:rPr>
          <w:b/>
          <w:color w:val="EC5A4F"/>
          <w:w w:val="110"/>
          <w:sz w:val="24"/>
        </w:rPr>
        <w:t>208</w:t>
      </w:r>
    </w:p>
    <w:p>
      <w:pPr>
        <w:pStyle w:val="ListParagraph"/>
        <w:numPr>
          <w:ilvl w:val="0"/>
          <w:numId w:val="149"/>
        </w:numPr>
        <w:tabs>
          <w:tab w:pos="1216" w:val="left" w:leader="none"/>
          <w:tab w:pos="1217" w:val="left" w:leader="none"/>
        </w:tabs>
        <w:spacing w:line="240" w:lineRule="auto" w:before="48" w:after="0"/>
        <w:ind w:left="1216" w:right="0" w:hanging="793"/>
        <w:jc w:val="left"/>
        <w:rPr>
          <w:sz w:val="13"/>
        </w:rPr>
      </w:pPr>
      <w:r>
        <w:rPr>
          <w:i/>
          <w:spacing w:val="1"/>
          <w:w w:val="115"/>
          <w:sz w:val="13"/>
        </w:rPr>
        <w:br w:type="column"/>
      </w:r>
      <w:r>
        <w:rPr>
          <w:i/>
          <w:w w:val="105"/>
          <w:sz w:val="13"/>
        </w:rPr>
        <w:t>Administration and Probate Act 1958 </w:t>
      </w:r>
      <w:r>
        <w:rPr>
          <w:spacing w:val="2"/>
          <w:w w:val="105"/>
          <w:sz w:val="13"/>
        </w:rPr>
        <w:t>(Vic) </w:t>
      </w:r>
      <w:r>
        <w:rPr>
          <w:w w:val="105"/>
          <w:sz w:val="13"/>
        </w:rPr>
        <w:t>ss</w:t>
      </w:r>
      <w:r>
        <w:rPr>
          <w:spacing w:val="25"/>
          <w:w w:val="105"/>
          <w:sz w:val="13"/>
        </w:rPr>
        <w:t> </w:t>
      </w:r>
      <w:r>
        <w:rPr>
          <w:spacing w:val="5"/>
          <w:w w:val="105"/>
          <w:sz w:val="13"/>
        </w:rPr>
        <w:t>79(2)–(3).</w:t>
      </w:r>
    </w:p>
    <w:p>
      <w:pPr>
        <w:pStyle w:val="ListParagraph"/>
        <w:numPr>
          <w:ilvl w:val="0"/>
          <w:numId w:val="149"/>
        </w:numPr>
        <w:tabs>
          <w:tab w:pos="1216" w:val="left" w:leader="none"/>
          <w:tab w:pos="1217" w:val="left" w:leader="none"/>
        </w:tabs>
        <w:spacing w:line="240" w:lineRule="auto" w:before="1" w:after="0"/>
        <w:ind w:left="1216" w:right="0" w:hanging="793"/>
        <w:jc w:val="left"/>
        <w:rPr>
          <w:sz w:val="13"/>
        </w:rPr>
      </w:pPr>
      <w:r>
        <w:rPr>
          <w:w w:val="105"/>
          <w:sz w:val="13"/>
        </w:rPr>
        <w:t>Victorian Law Reform Commission, above n 6,</w:t>
      </w:r>
      <w:r>
        <w:rPr>
          <w:spacing w:val="1"/>
          <w:w w:val="105"/>
          <w:sz w:val="13"/>
        </w:rPr>
        <w:t> </w:t>
      </w:r>
      <w:r>
        <w:rPr>
          <w:w w:val="105"/>
          <w:sz w:val="13"/>
        </w:rPr>
        <w:t>28.</w:t>
      </w:r>
    </w:p>
    <w:p>
      <w:pPr>
        <w:pStyle w:val="ListParagraph"/>
        <w:numPr>
          <w:ilvl w:val="0"/>
          <w:numId w:val="149"/>
        </w:numPr>
        <w:tabs>
          <w:tab w:pos="1216" w:val="left" w:leader="none"/>
          <w:tab w:pos="1217" w:val="left" w:leader="none"/>
        </w:tabs>
        <w:spacing w:line="240" w:lineRule="auto" w:before="2" w:after="0"/>
        <w:ind w:left="1216" w:right="0" w:hanging="793"/>
        <w:jc w:val="left"/>
        <w:rPr>
          <w:sz w:val="13"/>
        </w:rPr>
      </w:pPr>
      <w:r>
        <w:rPr>
          <w:sz w:val="13"/>
        </w:rPr>
        <w:t>For</w:t>
      </w:r>
      <w:r>
        <w:rPr>
          <w:spacing w:val="8"/>
          <w:sz w:val="13"/>
        </w:rPr>
        <w:t> </w:t>
      </w:r>
      <w:r>
        <w:rPr>
          <w:sz w:val="13"/>
        </w:rPr>
        <w:t>example,</w:t>
      </w:r>
      <w:r>
        <w:rPr>
          <w:spacing w:val="8"/>
          <w:sz w:val="13"/>
        </w:rPr>
        <w:t> </w:t>
      </w:r>
      <w:r>
        <w:rPr>
          <w:sz w:val="13"/>
        </w:rPr>
        <w:t>submissions</w:t>
      </w:r>
      <w:r>
        <w:rPr>
          <w:spacing w:val="9"/>
          <w:sz w:val="13"/>
        </w:rPr>
        <w:t> </w:t>
      </w:r>
      <w:r>
        <w:rPr>
          <w:sz w:val="13"/>
        </w:rPr>
        <w:t>25</w:t>
      </w:r>
      <w:r>
        <w:rPr>
          <w:spacing w:val="8"/>
          <w:sz w:val="13"/>
        </w:rPr>
        <w:t> </w:t>
      </w:r>
      <w:r>
        <w:rPr>
          <w:spacing w:val="2"/>
          <w:sz w:val="13"/>
        </w:rPr>
        <w:t>(Moores</w:t>
      </w:r>
      <w:r>
        <w:rPr>
          <w:spacing w:val="8"/>
          <w:sz w:val="13"/>
        </w:rPr>
        <w:t> </w:t>
      </w:r>
      <w:r>
        <w:rPr>
          <w:sz w:val="13"/>
        </w:rPr>
        <w:t>Legal);</w:t>
      </w:r>
      <w:r>
        <w:rPr>
          <w:spacing w:val="9"/>
          <w:sz w:val="13"/>
        </w:rPr>
        <w:t> </w:t>
      </w:r>
      <w:r>
        <w:rPr>
          <w:sz w:val="13"/>
        </w:rPr>
        <w:t>32</w:t>
      </w:r>
      <w:r>
        <w:rPr>
          <w:spacing w:val="8"/>
          <w:sz w:val="13"/>
        </w:rPr>
        <w:t> </w:t>
      </w:r>
      <w:r>
        <w:rPr>
          <w:spacing w:val="2"/>
          <w:sz w:val="13"/>
        </w:rPr>
        <w:t>(The</w:t>
      </w:r>
      <w:r>
        <w:rPr>
          <w:spacing w:val="8"/>
          <w:sz w:val="13"/>
        </w:rPr>
        <w:t> </w:t>
      </w:r>
      <w:r>
        <w:rPr>
          <w:sz w:val="13"/>
        </w:rPr>
        <w:t>Institute</w:t>
      </w:r>
      <w:r>
        <w:rPr>
          <w:spacing w:val="9"/>
          <w:sz w:val="13"/>
        </w:rPr>
        <w:t> </w:t>
      </w:r>
      <w:r>
        <w:rPr>
          <w:sz w:val="13"/>
        </w:rPr>
        <w:t>of</w:t>
      </w:r>
      <w:r>
        <w:rPr>
          <w:spacing w:val="8"/>
          <w:sz w:val="13"/>
        </w:rPr>
        <w:t> </w:t>
      </w:r>
      <w:r>
        <w:rPr>
          <w:sz w:val="13"/>
        </w:rPr>
        <w:t>Legal</w:t>
      </w:r>
      <w:r>
        <w:rPr>
          <w:spacing w:val="8"/>
          <w:sz w:val="13"/>
        </w:rPr>
        <w:t> </w:t>
      </w:r>
      <w:r>
        <w:rPr>
          <w:sz w:val="13"/>
        </w:rPr>
        <w:t>Executives);</w:t>
      </w:r>
      <w:r>
        <w:rPr>
          <w:spacing w:val="9"/>
          <w:sz w:val="13"/>
        </w:rPr>
        <w:t> </w:t>
      </w:r>
      <w:r>
        <w:rPr>
          <w:sz w:val="13"/>
        </w:rPr>
        <w:t>33</w:t>
      </w:r>
      <w:r>
        <w:rPr>
          <w:spacing w:val="8"/>
          <w:sz w:val="13"/>
        </w:rPr>
        <w:t> </w:t>
      </w:r>
      <w:r>
        <w:rPr>
          <w:sz w:val="13"/>
        </w:rPr>
        <w:t>(State</w:t>
      </w:r>
      <w:r>
        <w:rPr>
          <w:spacing w:val="8"/>
          <w:sz w:val="13"/>
        </w:rPr>
        <w:t> </w:t>
      </w:r>
      <w:r>
        <w:rPr>
          <w:sz w:val="13"/>
        </w:rPr>
        <w:t>Trustees</w:t>
      </w:r>
      <w:r>
        <w:rPr>
          <w:spacing w:val="9"/>
          <w:sz w:val="13"/>
        </w:rPr>
        <w:t> </w:t>
      </w:r>
      <w:r>
        <w:rPr>
          <w:sz w:val="13"/>
        </w:rPr>
        <w:t>Limited).</w:t>
      </w:r>
    </w:p>
    <w:p>
      <w:pPr>
        <w:pStyle w:val="ListParagraph"/>
        <w:numPr>
          <w:ilvl w:val="0"/>
          <w:numId w:val="149"/>
        </w:numPr>
        <w:tabs>
          <w:tab w:pos="1216" w:val="left" w:leader="none"/>
          <w:tab w:pos="1217" w:val="left" w:leader="none"/>
        </w:tabs>
        <w:spacing w:line="240" w:lineRule="auto" w:before="1" w:after="0"/>
        <w:ind w:left="1216" w:right="0" w:hanging="793"/>
        <w:jc w:val="left"/>
        <w:rPr>
          <w:sz w:val="13"/>
        </w:rPr>
      </w:pPr>
      <w:r>
        <w:rPr>
          <w:w w:val="105"/>
          <w:sz w:val="13"/>
        </w:rPr>
        <w:t>Submission 25 </w:t>
      </w:r>
      <w:r>
        <w:rPr>
          <w:spacing w:val="2"/>
          <w:w w:val="105"/>
          <w:sz w:val="13"/>
        </w:rPr>
        <w:t>(Moores</w:t>
      </w:r>
      <w:r>
        <w:rPr>
          <w:spacing w:val="13"/>
          <w:w w:val="105"/>
          <w:sz w:val="13"/>
        </w:rPr>
        <w:t> </w:t>
      </w:r>
      <w:r>
        <w:rPr>
          <w:w w:val="105"/>
          <w:sz w:val="13"/>
        </w:rPr>
        <w:t>Legal)</w:t>
      </w:r>
    </w:p>
    <w:p>
      <w:pPr>
        <w:pStyle w:val="ListParagraph"/>
        <w:numPr>
          <w:ilvl w:val="0"/>
          <w:numId w:val="149"/>
        </w:numPr>
        <w:tabs>
          <w:tab w:pos="1216" w:val="left" w:leader="none"/>
          <w:tab w:pos="1217" w:val="left" w:leader="none"/>
        </w:tabs>
        <w:spacing w:line="240" w:lineRule="auto" w:before="1" w:after="0"/>
        <w:ind w:left="1216" w:right="0" w:hanging="793"/>
        <w:jc w:val="left"/>
        <w:rPr>
          <w:sz w:val="13"/>
        </w:rPr>
      </w:pPr>
      <w:r>
        <w:rPr>
          <w:w w:val="105"/>
          <w:sz w:val="13"/>
        </w:rPr>
        <w:t>Submission 8 (Patricia</w:t>
      </w:r>
      <w:r>
        <w:rPr>
          <w:spacing w:val="13"/>
          <w:w w:val="105"/>
          <w:sz w:val="13"/>
        </w:rPr>
        <w:t> </w:t>
      </w:r>
      <w:r>
        <w:rPr>
          <w:w w:val="105"/>
          <w:sz w:val="13"/>
        </w:rPr>
        <w:t>Strachan).</w:t>
      </w:r>
    </w:p>
    <w:p>
      <w:pPr>
        <w:pStyle w:val="ListParagraph"/>
        <w:numPr>
          <w:ilvl w:val="0"/>
          <w:numId w:val="149"/>
        </w:numPr>
        <w:tabs>
          <w:tab w:pos="1216" w:val="left" w:leader="none"/>
          <w:tab w:pos="1217" w:val="left" w:leader="none"/>
        </w:tabs>
        <w:spacing w:line="240" w:lineRule="auto" w:before="2" w:after="0"/>
        <w:ind w:left="1216" w:right="0" w:hanging="793"/>
        <w:jc w:val="left"/>
        <w:rPr>
          <w:sz w:val="13"/>
        </w:rPr>
      </w:pPr>
      <w:r>
        <w:rPr>
          <w:w w:val="105"/>
          <w:sz w:val="13"/>
        </w:rPr>
        <w:t>Submission </w:t>
      </w:r>
      <w:r>
        <w:rPr>
          <w:spacing w:val="-3"/>
          <w:w w:val="105"/>
          <w:sz w:val="13"/>
        </w:rPr>
        <w:t>19 </w:t>
      </w:r>
      <w:r>
        <w:rPr>
          <w:spacing w:val="2"/>
          <w:w w:val="105"/>
          <w:sz w:val="13"/>
        </w:rPr>
        <w:t>(Association </w:t>
      </w:r>
      <w:r>
        <w:rPr>
          <w:w w:val="105"/>
          <w:sz w:val="13"/>
        </w:rPr>
        <w:t>of Independent</w:t>
      </w:r>
      <w:r>
        <w:rPr>
          <w:spacing w:val="23"/>
          <w:w w:val="105"/>
          <w:sz w:val="13"/>
        </w:rPr>
        <w:t> </w:t>
      </w:r>
      <w:r>
        <w:rPr>
          <w:w w:val="105"/>
          <w:sz w:val="13"/>
        </w:rPr>
        <w:t>Retirees).</w:t>
      </w:r>
    </w:p>
    <w:p>
      <w:pPr>
        <w:pStyle w:val="ListParagraph"/>
        <w:numPr>
          <w:ilvl w:val="0"/>
          <w:numId w:val="149"/>
        </w:numPr>
        <w:tabs>
          <w:tab w:pos="1216" w:val="left" w:leader="none"/>
          <w:tab w:pos="1217" w:val="left" w:leader="none"/>
        </w:tabs>
        <w:spacing w:line="240" w:lineRule="auto" w:before="1" w:after="0"/>
        <w:ind w:left="1216" w:right="0" w:hanging="793"/>
        <w:jc w:val="left"/>
        <w:rPr>
          <w:sz w:val="13"/>
        </w:rPr>
      </w:pPr>
      <w:r>
        <w:rPr>
          <w:w w:val="105"/>
          <w:sz w:val="13"/>
        </w:rPr>
        <w:t>Submission 25 </w:t>
      </w:r>
      <w:r>
        <w:rPr>
          <w:spacing w:val="2"/>
          <w:w w:val="105"/>
          <w:sz w:val="13"/>
        </w:rPr>
        <w:t>(Moores</w:t>
      </w:r>
      <w:r>
        <w:rPr>
          <w:spacing w:val="13"/>
          <w:w w:val="105"/>
          <w:sz w:val="13"/>
        </w:rPr>
        <w:t> </w:t>
      </w:r>
      <w:r>
        <w:rPr>
          <w:w w:val="105"/>
          <w:sz w:val="13"/>
        </w:rPr>
        <w:t>Legal).</w:t>
      </w:r>
    </w:p>
    <w:p>
      <w:pPr>
        <w:pStyle w:val="ListParagraph"/>
        <w:numPr>
          <w:ilvl w:val="0"/>
          <w:numId w:val="149"/>
        </w:numPr>
        <w:tabs>
          <w:tab w:pos="1216" w:val="left" w:leader="none"/>
          <w:tab w:pos="1217" w:val="left" w:leader="none"/>
        </w:tabs>
        <w:spacing w:line="240" w:lineRule="auto" w:before="1" w:after="0"/>
        <w:ind w:left="1216" w:right="0" w:hanging="793"/>
        <w:jc w:val="left"/>
        <w:rPr>
          <w:sz w:val="13"/>
        </w:rPr>
      </w:pPr>
      <w:r>
        <w:rPr>
          <w:w w:val="105"/>
          <w:sz w:val="13"/>
        </w:rPr>
        <w:t>Consultation 22 (State Trustees</w:t>
      </w:r>
      <w:r>
        <w:rPr>
          <w:spacing w:val="18"/>
          <w:w w:val="105"/>
          <w:sz w:val="13"/>
        </w:rPr>
        <w:t> </w:t>
      </w:r>
      <w:r>
        <w:rPr>
          <w:w w:val="105"/>
          <w:sz w:val="13"/>
        </w:rPr>
        <w:t>Limited).</w:t>
      </w:r>
    </w:p>
    <w:p>
      <w:pPr>
        <w:spacing w:after="0" w:line="240" w:lineRule="auto"/>
        <w:jc w:val="left"/>
        <w:rPr>
          <w:sz w:val="13"/>
        </w:rPr>
        <w:sectPr>
          <w:type w:val="continuous"/>
          <w:pgSz w:w="11910" w:h="16840"/>
          <w:pgMar w:top="920" w:bottom="280" w:left="0" w:right="0"/>
          <w:cols w:num="2" w:equalWidth="0">
            <w:col w:w="1125" w:space="40"/>
            <w:col w:w="10745"/>
          </w:cols>
        </w:sectPr>
      </w:pPr>
    </w:p>
    <w:p>
      <w:pPr>
        <w:pStyle w:val="BodyText"/>
        <w:rPr>
          <w:sz w:val="20"/>
        </w:rPr>
      </w:pPr>
    </w:p>
    <w:p>
      <w:pPr>
        <w:pStyle w:val="BodyText"/>
        <w:spacing w:before="1"/>
        <w:rPr>
          <w:sz w:val="18"/>
        </w:rPr>
      </w:pPr>
    </w:p>
    <w:p>
      <w:pPr>
        <w:pStyle w:val="Heading5"/>
        <w:spacing w:before="99"/>
      </w:pPr>
      <w:r>
        <w:rPr>
          <w:w w:val="115"/>
        </w:rPr>
        <w:t>Requirement to file the will</w:t>
      </w:r>
    </w:p>
    <w:p>
      <w:pPr>
        <w:pStyle w:val="ListParagraph"/>
        <w:numPr>
          <w:ilvl w:val="0"/>
          <w:numId w:val="146"/>
        </w:numPr>
        <w:tabs>
          <w:tab w:pos="2381" w:val="left" w:leader="none"/>
          <w:tab w:pos="2382" w:val="left" w:leader="none"/>
        </w:tabs>
        <w:spacing w:line="242" w:lineRule="auto" w:before="137" w:after="0"/>
        <w:ind w:left="2381" w:right="2105" w:hanging="794"/>
        <w:jc w:val="left"/>
        <w:rPr>
          <w:sz w:val="21"/>
        </w:rPr>
      </w:pPr>
      <w:r>
        <w:rPr>
          <w:sz w:val="21"/>
        </w:rPr>
        <w:t>One of the primary </w:t>
      </w:r>
      <w:r>
        <w:rPr>
          <w:spacing w:val="-3"/>
          <w:sz w:val="21"/>
        </w:rPr>
        <w:t>criticisms </w:t>
      </w:r>
      <w:r>
        <w:rPr>
          <w:sz w:val="21"/>
        </w:rPr>
        <w:t>of the section </w:t>
      </w:r>
      <w:r>
        <w:rPr>
          <w:spacing w:val="-3"/>
          <w:sz w:val="21"/>
        </w:rPr>
        <w:t>79  </w:t>
      </w:r>
      <w:r>
        <w:rPr>
          <w:sz w:val="21"/>
        </w:rPr>
        <w:t>process is the fact </w:t>
      </w:r>
      <w:r>
        <w:rPr>
          <w:spacing w:val="-3"/>
          <w:sz w:val="21"/>
        </w:rPr>
        <w:t>that</w:t>
      </w:r>
      <w:r>
        <w:rPr>
          <w:spacing w:val="41"/>
          <w:sz w:val="21"/>
        </w:rPr>
        <w:t> </w:t>
      </w:r>
      <w:r>
        <w:rPr>
          <w:sz w:val="21"/>
        </w:rPr>
        <w:t>it is effectively  a </w:t>
      </w:r>
      <w:r>
        <w:rPr>
          <w:spacing w:val="-3"/>
          <w:sz w:val="21"/>
        </w:rPr>
        <w:t>‘deemed’ grant </w:t>
      </w:r>
      <w:r>
        <w:rPr>
          <w:sz w:val="21"/>
        </w:rPr>
        <w:t>process, with little or no external </w:t>
      </w:r>
      <w:r>
        <w:rPr>
          <w:spacing w:val="-3"/>
          <w:sz w:val="21"/>
        </w:rPr>
        <w:t>scrutiny </w:t>
      </w:r>
      <w:r>
        <w:rPr>
          <w:sz w:val="21"/>
        </w:rPr>
        <w:t>of the estates </w:t>
      </w:r>
      <w:r>
        <w:rPr>
          <w:spacing w:val="-3"/>
          <w:sz w:val="21"/>
        </w:rPr>
        <w:t>that</w:t>
      </w:r>
      <w:r>
        <w:rPr>
          <w:spacing w:val="27"/>
          <w:sz w:val="21"/>
        </w:rPr>
        <w:t> </w:t>
      </w:r>
      <w:r>
        <w:rPr>
          <w:spacing w:val="-3"/>
          <w:sz w:val="21"/>
        </w:rPr>
        <w:t>are</w:t>
      </w:r>
    </w:p>
    <w:p>
      <w:pPr>
        <w:pStyle w:val="BodyText"/>
        <w:spacing w:line="242" w:lineRule="auto" w:before="3"/>
        <w:ind w:left="2381" w:right="1584"/>
      </w:pPr>
      <w:r>
        <w:rPr>
          <w:spacing w:val="-3"/>
          <w:w w:val="105"/>
        </w:rPr>
        <w:t>administered pursuant to </w:t>
      </w:r>
      <w:r>
        <w:rPr>
          <w:w w:val="105"/>
        </w:rPr>
        <w:t>the</w:t>
      </w:r>
      <w:r>
        <w:rPr>
          <w:spacing w:val="-5"/>
          <w:w w:val="105"/>
        </w:rPr>
        <w:t> process.</w:t>
      </w:r>
      <w:r>
        <w:rPr>
          <w:spacing w:val="-5"/>
          <w:w w:val="105"/>
          <w:position w:val="7"/>
          <w:sz w:val="12"/>
        </w:rPr>
        <w:t>119 </w:t>
      </w:r>
      <w:r>
        <w:rPr>
          <w:w w:val="105"/>
        </w:rPr>
        <w:t>As </w:t>
      </w:r>
      <w:r>
        <w:rPr>
          <w:spacing w:val="-3"/>
          <w:w w:val="105"/>
        </w:rPr>
        <w:t>noted above, </w:t>
      </w:r>
      <w:r>
        <w:rPr>
          <w:w w:val="105"/>
        </w:rPr>
        <w:t>there is </w:t>
      </w:r>
      <w:r>
        <w:rPr>
          <w:spacing w:val="-3"/>
          <w:w w:val="105"/>
        </w:rPr>
        <w:t>currently </w:t>
      </w:r>
      <w:r>
        <w:rPr>
          <w:w w:val="105"/>
        </w:rPr>
        <w:t>no </w:t>
      </w:r>
      <w:r>
        <w:rPr>
          <w:spacing w:val="-3"/>
          <w:w w:val="105"/>
        </w:rPr>
        <w:t>requirement for State </w:t>
      </w:r>
      <w:r>
        <w:rPr>
          <w:spacing w:val="-4"/>
          <w:w w:val="105"/>
        </w:rPr>
        <w:t>Trustees </w:t>
      </w:r>
      <w:r>
        <w:rPr>
          <w:spacing w:val="-3"/>
          <w:w w:val="105"/>
        </w:rPr>
        <w:t>to </w:t>
      </w:r>
      <w:r>
        <w:rPr>
          <w:w w:val="105"/>
        </w:rPr>
        <w:t>file </w:t>
      </w:r>
      <w:r>
        <w:rPr>
          <w:spacing w:val="-3"/>
          <w:w w:val="105"/>
        </w:rPr>
        <w:t>any </w:t>
      </w:r>
      <w:r>
        <w:rPr>
          <w:w w:val="105"/>
        </w:rPr>
        <w:t>documentation with the </w:t>
      </w:r>
      <w:r>
        <w:rPr>
          <w:spacing w:val="-3"/>
          <w:w w:val="105"/>
        </w:rPr>
        <w:t>Supreme Court </w:t>
      </w:r>
      <w:r>
        <w:rPr>
          <w:w w:val="105"/>
        </w:rPr>
        <w:t>when it uses the section </w:t>
      </w:r>
      <w:r>
        <w:rPr>
          <w:spacing w:val="-3"/>
          <w:w w:val="105"/>
        </w:rPr>
        <w:t>79 </w:t>
      </w:r>
      <w:r>
        <w:rPr>
          <w:w w:val="105"/>
        </w:rPr>
        <w:t>process.</w:t>
      </w:r>
    </w:p>
    <w:p>
      <w:pPr>
        <w:pStyle w:val="ListParagraph"/>
        <w:numPr>
          <w:ilvl w:val="0"/>
          <w:numId w:val="146"/>
        </w:numPr>
        <w:tabs>
          <w:tab w:pos="2380" w:val="left" w:leader="none"/>
          <w:tab w:pos="2381" w:val="left" w:leader="none"/>
        </w:tabs>
        <w:spacing w:line="242" w:lineRule="auto" w:before="123" w:after="0"/>
        <w:ind w:left="2380" w:right="1846" w:hanging="793"/>
        <w:jc w:val="left"/>
        <w:rPr>
          <w:sz w:val="12"/>
        </w:rPr>
      </w:pPr>
      <w:r>
        <w:rPr>
          <w:w w:val="105"/>
          <w:sz w:val="21"/>
        </w:rPr>
        <w:t>The</w:t>
      </w:r>
      <w:r>
        <w:rPr>
          <w:spacing w:val="-8"/>
          <w:w w:val="105"/>
          <w:sz w:val="21"/>
        </w:rPr>
        <w:t> </w:t>
      </w:r>
      <w:r>
        <w:rPr>
          <w:spacing w:val="-3"/>
          <w:w w:val="105"/>
          <w:sz w:val="21"/>
        </w:rPr>
        <w:t>Commission</w:t>
      </w:r>
      <w:r>
        <w:rPr>
          <w:spacing w:val="-8"/>
          <w:w w:val="105"/>
          <w:sz w:val="21"/>
        </w:rPr>
        <w:t> </w:t>
      </w:r>
      <w:r>
        <w:rPr>
          <w:spacing w:val="-3"/>
          <w:w w:val="105"/>
          <w:sz w:val="21"/>
        </w:rPr>
        <w:t>asked</w:t>
      </w:r>
      <w:r>
        <w:rPr>
          <w:spacing w:val="-8"/>
          <w:w w:val="105"/>
          <w:sz w:val="21"/>
        </w:rPr>
        <w:t> </w:t>
      </w:r>
      <w:r>
        <w:rPr>
          <w:w w:val="105"/>
          <w:sz w:val="21"/>
        </w:rPr>
        <w:t>in</w:t>
      </w:r>
      <w:r>
        <w:rPr>
          <w:spacing w:val="-7"/>
          <w:w w:val="105"/>
          <w:sz w:val="21"/>
        </w:rPr>
        <w:t> </w:t>
      </w:r>
      <w:r>
        <w:rPr>
          <w:w w:val="105"/>
          <w:sz w:val="21"/>
        </w:rPr>
        <w:t>the</w:t>
      </w:r>
      <w:r>
        <w:rPr>
          <w:spacing w:val="-8"/>
          <w:w w:val="105"/>
          <w:sz w:val="21"/>
        </w:rPr>
        <w:t> </w:t>
      </w:r>
      <w:r>
        <w:rPr>
          <w:spacing w:val="-3"/>
          <w:w w:val="105"/>
          <w:sz w:val="21"/>
        </w:rPr>
        <w:t>consultation</w:t>
      </w:r>
      <w:r>
        <w:rPr>
          <w:spacing w:val="-8"/>
          <w:w w:val="105"/>
          <w:sz w:val="21"/>
        </w:rPr>
        <w:t> </w:t>
      </w:r>
      <w:r>
        <w:rPr>
          <w:w w:val="105"/>
          <w:sz w:val="21"/>
        </w:rPr>
        <w:t>paper</w:t>
      </w:r>
      <w:r>
        <w:rPr>
          <w:spacing w:val="-7"/>
          <w:w w:val="105"/>
          <w:sz w:val="21"/>
        </w:rPr>
        <w:t> </w:t>
      </w:r>
      <w:r>
        <w:rPr>
          <w:w w:val="105"/>
          <w:sz w:val="21"/>
        </w:rPr>
        <w:t>on</w:t>
      </w:r>
      <w:r>
        <w:rPr>
          <w:spacing w:val="-8"/>
          <w:w w:val="105"/>
          <w:sz w:val="21"/>
        </w:rPr>
        <w:t> </w:t>
      </w:r>
      <w:r>
        <w:rPr>
          <w:spacing w:val="-3"/>
          <w:w w:val="105"/>
          <w:sz w:val="21"/>
        </w:rPr>
        <w:t>small</w:t>
      </w:r>
      <w:r>
        <w:rPr>
          <w:spacing w:val="-8"/>
          <w:w w:val="105"/>
          <w:sz w:val="21"/>
        </w:rPr>
        <w:t> </w:t>
      </w:r>
      <w:r>
        <w:rPr>
          <w:w w:val="105"/>
          <w:sz w:val="21"/>
        </w:rPr>
        <w:t>estates</w:t>
      </w:r>
      <w:r>
        <w:rPr>
          <w:spacing w:val="-7"/>
          <w:w w:val="105"/>
          <w:sz w:val="21"/>
        </w:rPr>
        <w:t> </w:t>
      </w:r>
      <w:r>
        <w:rPr>
          <w:w w:val="105"/>
          <w:sz w:val="21"/>
        </w:rPr>
        <w:t>whether</w:t>
      </w:r>
      <w:r>
        <w:rPr>
          <w:spacing w:val="-8"/>
          <w:w w:val="105"/>
          <w:sz w:val="21"/>
        </w:rPr>
        <w:t> </w:t>
      </w:r>
      <w:r>
        <w:rPr>
          <w:w w:val="105"/>
          <w:sz w:val="21"/>
        </w:rPr>
        <w:t>there</w:t>
      </w:r>
      <w:r>
        <w:rPr>
          <w:spacing w:val="-8"/>
          <w:w w:val="105"/>
          <w:sz w:val="21"/>
        </w:rPr>
        <w:t> </w:t>
      </w:r>
      <w:r>
        <w:rPr>
          <w:w w:val="105"/>
          <w:sz w:val="21"/>
        </w:rPr>
        <w:t>should be a </w:t>
      </w:r>
      <w:r>
        <w:rPr>
          <w:spacing w:val="-3"/>
          <w:w w:val="105"/>
          <w:sz w:val="21"/>
        </w:rPr>
        <w:t>requirement for wills to </w:t>
      </w:r>
      <w:r>
        <w:rPr>
          <w:w w:val="105"/>
          <w:sz w:val="21"/>
        </w:rPr>
        <w:t>be filed </w:t>
      </w:r>
      <w:r>
        <w:rPr>
          <w:spacing w:val="-3"/>
          <w:w w:val="105"/>
          <w:sz w:val="21"/>
        </w:rPr>
        <w:t>online </w:t>
      </w:r>
      <w:r>
        <w:rPr>
          <w:w w:val="105"/>
          <w:sz w:val="21"/>
        </w:rPr>
        <w:t>as part of the section </w:t>
      </w:r>
      <w:r>
        <w:rPr>
          <w:spacing w:val="-3"/>
          <w:w w:val="105"/>
          <w:sz w:val="21"/>
        </w:rPr>
        <w:t>79</w:t>
      </w:r>
      <w:r>
        <w:rPr>
          <w:spacing w:val="39"/>
          <w:w w:val="105"/>
          <w:sz w:val="21"/>
        </w:rPr>
        <w:t> </w:t>
      </w:r>
      <w:r>
        <w:rPr>
          <w:spacing w:val="-4"/>
          <w:w w:val="105"/>
          <w:sz w:val="21"/>
        </w:rPr>
        <w:t>process.</w:t>
      </w:r>
      <w:r>
        <w:rPr>
          <w:spacing w:val="-4"/>
          <w:w w:val="105"/>
          <w:position w:val="7"/>
          <w:sz w:val="12"/>
        </w:rPr>
        <w:t>120</w:t>
      </w:r>
    </w:p>
    <w:p>
      <w:pPr>
        <w:pStyle w:val="ListParagraph"/>
        <w:numPr>
          <w:ilvl w:val="0"/>
          <w:numId w:val="146"/>
        </w:numPr>
        <w:tabs>
          <w:tab w:pos="2380" w:val="left" w:leader="none"/>
          <w:tab w:pos="2382" w:val="left" w:leader="none"/>
        </w:tabs>
        <w:spacing w:line="242" w:lineRule="auto" w:before="122" w:after="0"/>
        <w:ind w:left="2381" w:right="1645" w:hanging="794"/>
        <w:jc w:val="left"/>
        <w:rPr>
          <w:sz w:val="21"/>
        </w:rPr>
      </w:pPr>
      <w:r>
        <w:rPr>
          <w:spacing w:val="-4"/>
          <w:w w:val="105"/>
          <w:sz w:val="21"/>
        </w:rPr>
        <w:t>State </w:t>
      </w:r>
      <w:r>
        <w:rPr>
          <w:spacing w:val="-5"/>
          <w:w w:val="105"/>
          <w:sz w:val="21"/>
        </w:rPr>
        <w:t>Trustees </w:t>
      </w:r>
      <w:r>
        <w:rPr>
          <w:spacing w:val="-3"/>
          <w:w w:val="105"/>
          <w:sz w:val="21"/>
        </w:rPr>
        <w:t>noted that </w:t>
      </w:r>
      <w:r>
        <w:rPr>
          <w:w w:val="105"/>
          <w:sz w:val="21"/>
        </w:rPr>
        <w:t>it </w:t>
      </w:r>
      <w:r>
        <w:rPr>
          <w:spacing w:val="-3"/>
          <w:w w:val="105"/>
          <w:sz w:val="21"/>
        </w:rPr>
        <w:t>often </w:t>
      </w:r>
      <w:r>
        <w:rPr>
          <w:w w:val="105"/>
          <w:sz w:val="21"/>
        </w:rPr>
        <w:t>files </w:t>
      </w:r>
      <w:r>
        <w:rPr>
          <w:spacing w:val="-4"/>
          <w:w w:val="105"/>
          <w:sz w:val="21"/>
        </w:rPr>
        <w:t>wills </w:t>
      </w:r>
      <w:r>
        <w:rPr>
          <w:spacing w:val="-3"/>
          <w:w w:val="105"/>
          <w:sz w:val="21"/>
        </w:rPr>
        <w:t>for </w:t>
      </w:r>
      <w:r>
        <w:rPr>
          <w:w w:val="105"/>
          <w:sz w:val="21"/>
        </w:rPr>
        <w:t>section </w:t>
      </w:r>
      <w:r>
        <w:rPr>
          <w:spacing w:val="-4"/>
          <w:w w:val="105"/>
          <w:sz w:val="21"/>
        </w:rPr>
        <w:t>79 </w:t>
      </w:r>
      <w:r>
        <w:rPr>
          <w:spacing w:val="-3"/>
          <w:w w:val="105"/>
          <w:sz w:val="21"/>
        </w:rPr>
        <w:t>grants </w:t>
      </w:r>
      <w:r>
        <w:rPr>
          <w:w w:val="105"/>
          <w:sz w:val="21"/>
        </w:rPr>
        <w:t>as a </w:t>
      </w:r>
      <w:r>
        <w:rPr>
          <w:spacing w:val="-3"/>
          <w:w w:val="105"/>
          <w:sz w:val="21"/>
        </w:rPr>
        <w:t>matter of </w:t>
      </w:r>
      <w:r>
        <w:rPr>
          <w:spacing w:val="-4"/>
          <w:w w:val="105"/>
          <w:sz w:val="21"/>
        </w:rPr>
        <w:t>internal </w:t>
      </w:r>
      <w:r>
        <w:rPr>
          <w:spacing w:val="-6"/>
          <w:w w:val="105"/>
          <w:sz w:val="21"/>
        </w:rPr>
        <w:t>policy.</w:t>
      </w:r>
      <w:r>
        <w:rPr>
          <w:spacing w:val="-6"/>
          <w:w w:val="105"/>
          <w:position w:val="7"/>
          <w:sz w:val="12"/>
        </w:rPr>
        <w:t>121 </w:t>
      </w:r>
      <w:r>
        <w:rPr>
          <w:w w:val="105"/>
          <w:sz w:val="21"/>
        </w:rPr>
        <w:t>Most </w:t>
      </w:r>
      <w:r>
        <w:rPr>
          <w:spacing w:val="-4"/>
          <w:w w:val="105"/>
          <w:sz w:val="21"/>
        </w:rPr>
        <w:t>submissions </w:t>
      </w:r>
      <w:r>
        <w:rPr>
          <w:spacing w:val="-3"/>
          <w:w w:val="105"/>
          <w:sz w:val="21"/>
        </w:rPr>
        <w:t>supported </w:t>
      </w:r>
      <w:r>
        <w:rPr>
          <w:w w:val="105"/>
          <w:sz w:val="21"/>
        </w:rPr>
        <w:t>the </w:t>
      </w:r>
      <w:r>
        <w:rPr>
          <w:spacing w:val="-3"/>
          <w:w w:val="105"/>
          <w:sz w:val="21"/>
        </w:rPr>
        <w:t>introduction of this further </w:t>
      </w:r>
      <w:r>
        <w:rPr>
          <w:spacing w:val="-4"/>
          <w:w w:val="105"/>
          <w:sz w:val="21"/>
        </w:rPr>
        <w:t>procedural safeguard </w:t>
      </w:r>
      <w:r>
        <w:rPr>
          <w:spacing w:val="-3"/>
          <w:w w:val="105"/>
          <w:sz w:val="21"/>
        </w:rPr>
        <w:t>in </w:t>
      </w:r>
      <w:r>
        <w:rPr>
          <w:w w:val="105"/>
          <w:sz w:val="21"/>
        </w:rPr>
        <w:t>section </w:t>
      </w:r>
      <w:r>
        <w:rPr>
          <w:spacing w:val="-8"/>
          <w:w w:val="105"/>
          <w:sz w:val="21"/>
        </w:rPr>
        <w:t>79.</w:t>
      </w:r>
      <w:r>
        <w:rPr>
          <w:spacing w:val="-8"/>
          <w:w w:val="105"/>
          <w:position w:val="7"/>
          <w:sz w:val="12"/>
        </w:rPr>
        <w:t>122 </w:t>
      </w:r>
      <w:r>
        <w:rPr>
          <w:w w:val="105"/>
          <w:sz w:val="21"/>
        </w:rPr>
        <w:t>One </w:t>
      </w:r>
      <w:r>
        <w:rPr>
          <w:spacing w:val="-4"/>
          <w:w w:val="105"/>
          <w:sz w:val="21"/>
        </w:rPr>
        <w:t>submission </w:t>
      </w:r>
      <w:r>
        <w:rPr>
          <w:spacing w:val="-3"/>
          <w:w w:val="105"/>
          <w:sz w:val="21"/>
        </w:rPr>
        <w:t>noted that filing </w:t>
      </w:r>
      <w:r>
        <w:rPr>
          <w:w w:val="105"/>
          <w:sz w:val="21"/>
        </w:rPr>
        <w:t>a </w:t>
      </w:r>
      <w:r>
        <w:rPr>
          <w:spacing w:val="-4"/>
          <w:w w:val="105"/>
          <w:sz w:val="21"/>
        </w:rPr>
        <w:t>will, </w:t>
      </w:r>
      <w:r>
        <w:rPr>
          <w:spacing w:val="-3"/>
          <w:w w:val="105"/>
          <w:sz w:val="21"/>
        </w:rPr>
        <w:t>which </w:t>
      </w:r>
      <w:r>
        <w:rPr>
          <w:spacing w:val="-4"/>
          <w:w w:val="105"/>
          <w:sz w:val="21"/>
        </w:rPr>
        <w:t>creates </w:t>
      </w:r>
      <w:r>
        <w:rPr>
          <w:w w:val="105"/>
          <w:sz w:val="21"/>
        </w:rPr>
        <w:t>a court </w:t>
      </w:r>
      <w:r>
        <w:rPr>
          <w:spacing w:val="-4"/>
          <w:w w:val="105"/>
          <w:sz w:val="21"/>
        </w:rPr>
        <w:t>record,</w:t>
      </w:r>
      <w:r>
        <w:rPr>
          <w:spacing w:val="15"/>
          <w:w w:val="105"/>
          <w:sz w:val="21"/>
        </w:rPr>
        <w:t> </w:t>
      </w:r>
      <w:r>
        <w:rPr>
          <w:w w:val="105"/>
          <w:sz w:val="21"/>
        </w:rPr>
        <w:t>is</w:t>
      </w:r>
    </w:p>
    <w:p>
      <w:pPr>
        <w:pStyle w:val="BodyText"/>
        <w:spacing w:line="242" w:lineRule="auto" w:before="3"/>
        <w:ind w:left="2381" w:right="1840"/>
        <w:jc w:val="both"/>
        <w:rPr>
          <w:sz w:val="12"/>
        </w:rPr>
      </w:pPr>
      <w:r>
        <w:rPr/>
        <w:t>a </w:t>
      </w:r>
      <w:r>
        <w:rPr>
          <w:spacing w:val="-4"/>
        </w:rPr>
        <w:t>crucial </w:t>
      </w:r>
      <w:r>
        <w:rPr/>
        <w:t>step </w:t>
      </w:r>
      <w:r>
        <w:rPr>
          <w:spacing w:val="-3"/>
        </w:rPr>
        <w:t>given that </w:t>
      </w:r>
      <w:r>
        <w:rPr>
          <w:spacing w:val="-4"/>
        </w:rPr>
        <w:t>anyone searching </w:t>
      </w:r>
      <w:r>
        <w:rPr>
          <w:spacing w:val="-3"/>
        </w:rPr>
        <w:t>for </w:t>
      </w:r>
      <w:r>
        <w:rPr>
          <w:spacing w:val="-4"/>
        </w:rPr>
        <w:t>information relating </w:t>
      </w:r>
      <w:r>
        <w:rPr>
          <w:spacing w:val="-3"/>
        </w:rPr>
        <w:t>to </w:t>
      </w:r>
      <w:r>
        <w:rPr/>
        <w:t>an </w:t>
      </w:r>
      <w:r>
        <w:rPr>
          <w:spacing w:val="-3"/>
        </w:rPr>
        <w:t>estate </w:t>
      </w:r>
      <w:r>
        <w:rPr/>
        <w:t>is </w:t>
      </w:r>
      <w:r>
        <w:rPr>
          <w:spacing w:val="-4"/>
        </w:rPr>
        <w:t>likely </w:t>
      </w:r>
      <w:r>
        <w:rPr>
          <w:spacing w:val="-3"/>
        </w:rPr>
        <w:t>to begin  </w:t>
      </w:r>
      <w:r>
        <w:rPr/>
        <w:t>at the </w:t>
      </w:r>
      <w:r>
        <w:rPr>
          <w:spacing w:val="-3"/>
        </w:rPr>
        <w:t>Probate</w:t>
      </w:r>
      <w:r>
        <w:rPr>
          <w:spacing w:val="41"/>
        </w:rPr>
        <w:t> </w:t>
      </w:r>
      <w:r>
        <w:rPr>
          <w:spacing w:val="-5"/>
        </w:rPr>
        <w:t>Office.</w:t>
      </w:r>
      <w:r>
        <w:rPr>
          <w:spacing w:val="-5"/>
          <w:position w:val="7"/>
          <w:sz w:val="12"/>
        </w:rPr>
        <w:t>123  </w:t>
      </w:r>
      <w:r>
        <w:rPr>
          <w:spacing w:val="-4"/>
        </w:rPr>
        <w:t>Importantly,  State  </w:t>
      </w:r>
      <w:r>
        <w:rPr>
          <w:spacing w:val="-5"/>
        </w:rPr>
        <w:t>Trustees  </w:t>
      </w:r>
      <w:r>
        <w:rPr>
          <w:spacing w:val="-4"/>
        </w:rPr>
        <w:t>informed  </w:t>
      </w:r>
      <w:r>
        <w:rPr/>
        <w:t>the </w:t>
      </w:r>
      <w:r>
        <w:rPr>
          <w:spacing w:val="-4"/>
        </w:rPr>
        <w:t>Commission  </w:t>
      </w:r>
      <w:r>
        <w:rPr>
          <w:spacing w:val="-3"/>
        </w:rPr>
        <w:t>that </w:t>
      </w:r>
      <w:r>
        <w:rPr/>
        <w:t>it </w:t>
      </w:r>
      <w:r>
        <w:rPr>
          <w:spacing w:val="-3"/>
        </w:rPr>
        <w:t>advocated that </w:t>
      </w:r>
      <w:r>
        <w:rPr>
          <w:spacing w:val="-4"/>
        </w:rPr>
        <w:t>wills </w:t>
      </w:r>
      <w:r>
        <w:rPr/>
        <w:t>be filed when the section </w:t>
      </w:r>
      <w:r>
        <w:rPr>
          <w:spacing w:val="-4"/>
        </w:rPr>
        <w:t>79 </w:t>
      </w:r>
      <w:r>
        <w:rPr>
          <w:spacing w:val="-3"/>
        </w:rPr>
        <w:t>process was being</w:t>
      </w:r>
      <w:r>
        <w:rPr>
          <w:spacing w:val="-27"/>
        </w:rPr>
        <w:t> </w:t>
      </w:r>
      <w:r>
        <w:rPr>
          <w:spacing w:val="-5"/>
        </w:rPr>
        <w:t>developed.</w:t>
      </w:r>
      <w:r>
        <w:rPr>
          <w:spacing w:val="-5"/>
          <w:position w:val="7"/>
          <w:sz w:val="12"/>
        </w:rPr>
        <w:t>124</w:t>
      </w:r>
    </w:p>
    <w:p>
      <w:pPr>
        <w:pStyle w:val="ListParagraph"/>
        <w:numPr>
          <w:ilvl w:val="0"/>
          <w:numId w:val="146"/>
        </w:numPr>
        <w:tabs>
          <w:tab w:pos="2381" w:val="left" w:leader="none"/>
          <w:tab w:pos="2382" w:val="left" w:leader="none"/>
        </w:tabs>
        <w:spacing w:line="242" w:lineRule="auto" w:before="124" w:after="0"/>
        <w:ind w:left="2381" w:right="1826" w:hanging="794"/>
        <w:jc w:val="left"/>
        <w:rPr>
          <w:sz w:val="21"/>
        </w:rPr>
      </w:pPr>
      <w:r>
        <w:rPr>
          <w:w w:val="105"/>
          <w:sz w:val="21"/>
        </w:rPr>
        <w:t>The </w:t>
      </w:r>
      <w:r>
        <w:rPr>
          <w:spacing w:val="-3"/>
          <w:w w:val="105"/>
          <w:sz w:val="21"/>
        </w:rPr>
        <w:t>Commission recommends that </w:t>
      </w:r>
      <w:r>
        <w:rPr>
          <w:w w:val="105"/>
          <w:sz w:val="21"/>
        </w:rPr>
        <w:t>section </w:t>
      </w:r>
      <w:r>
        <w:rPr>
          <w:spacing w:val="-3"/>
          <w:w w:val="105"/>
          <w:sz w:val="21"/>
        </w:rPr>
        <w:t>79 </w:t>
      </w:r>
      <w:r>
        <w:rPr>
          <w:w w:val="105"/>
          <w:sz w:val="21"/>
        </w:rPr>
        <w:t>should be amended </w:t>
      </w:r>
      <w:r>
        <w:rPr>
          <w:spacing w:val="-3"/>
          <w:w w:val="105"/>
          <w:sz w:val="21"/>
        </w:rPr>
        <w:t>to </w:t>
      </w:r>
      <w:r>
        <w:rPr>
          <w:w w:val="105"/>
          <w:sz w:val="21"/>
        </w:rPr>
        <w:t>provide </w:t>
      </w:r>
      <w:r>
        <w:rPr>
          <w:spacing w:val="-3"/>
          <w:w w:val="105"/>
          <w:sz w:val="21"/>
        </w:rPr>
        <w:t>that State </w:t>
      </w:r>
      <w:r>
        <w:rPr>
          <w:spacing w:val="-4"/>
          <w:w w:val="105"/>
          <w:sz w:val="21"/>
        </w:rPr>
        <w:t>Trustees </w:t>
      </w:r>
      <w:r>
        <w:rPr>
          <w:w w:val="105"/>
          <w:sz w:val="21"/>
        </w:rPr>
        <w:t>file the </w:t>
      </w:r>
      <w:r>
        <w:rPr>
          <w:spacing w:val="-3"/>
          <w:w w:val="105"/>
          <w:sz w:val="21"/>
        </w:rPr>
        <w:t>will </w:t>
      </w:r>
      <w:r>
        <w:rPr>
          <w:w w:val="105"/>
          <w:sz w:val="21"/>
        </w:rPr>
        <w:t>with the </w:t>
      </w:r>
      <w:r>
        <w:rPr>
          <w:spacing w:val="-3"/>
          <w:w w:val="105"/>
          <w:sz w:val="21"/>
        </w:rPr>
        <w:t>Supreme Court Probate</w:t>
      </w:r>
      <w:r>
        <w:rPr>
          <w:spacing w:val="2"/>
          <w:w w:val="105"/>
          <w:sz w:val="21"/>
        </w:rPr>
        <w:t> </w:t>
      </w:r>
      <w:r>
        <w:rPr>
          <w:w w:val="105"/>
          <w:sz w:val="21"/>
        </w:rPr>
        <w:t>Office.</w:t>
      </w:r>
    </w:p>
    <w:p>
      <w:pPr>
        <w:pStyle w:val="BodyText"/>
        <w:spacing w:before="2"/>
        <w:rPr>
          <w:sz w:val="23"/>
        </w:rPr>
      </w:pPr>
      <w:r>
        <w:rPr/>
        <w:pict>
          <v:group style="position:absolute;margin-left:62.362202pt;margin-top:16.104454pt;width:479.1pt;height:96.55pt;mso-position-horizontal-relative:page;mso-position-vertical-relative:paragraph;z-index:12536;mso-wrap-distance-left:0;mso-wrap-distance-right:0" coordorigin="1247,322" coordsize="9582,1931">
            <v:rect style="position:absolute;left:1587;top:322;width:8731;height:1931" filled="true" fillcolor="#fdebea" stroked="false">
              <v:fill type="solid"/>
            </v:rect>
            <v:line style="position:absolute" from="1247,1073" to="10828,1073" stroked="true" strokeweight="2.5pt" strokecolor="#ffffff">
              <v:stroke dashstyle="solid"/>
            </v:line>
            <v:shape style="position:absolute;left:2381;top:1309;width:7227;height:769" type="#_x0000_t202" filled="false" stroked="false">
              <v:textbox inset="0,0,0,0">
                <w:txbxContent>
                  <w:p>
                    <w:pPr>
                      <w:spacing w:line="242" w:lineRule="auto" w:before="0"/>
                      <w:ind w:left="0" w:right="46" w:firstLine="0"/>
                      <w:jc w:val="left"/>
                      <w:rPr>
                        <w:sz w:val="21"/>
                      </w:rPr>
                    </w:pPr>
                    <w:r>
                      <w:rPr>
                        <w:w w:val="105"/>
                        <w:sz w:val="21"/>
                      </w:rPr>
                      <w:t>Section 79 of the </w:t>
                    </w:r>
                    <w:r>
                      <w:rPr>
                        <w:rFonts w:ascii="Lucida Sans"/>
                        <w:i/>
                        <w:w w:val="105"/>
                        <w:sz w:val="21"/>
                      </w:rPr>
                      <w:t>Administration and Probate Act </w:t>
                    </w:r>
                    <w:r>
                      <w:rPr>
                        <w:rFonts w:ascii="Lucida Sans"/>
                        <w:i/>
                        <w:spacing w:val="-4"/>
                        <w:w w:val="105"/>
                        <w:sz w:val="21"/>
                      </w:rPr>
                      <w:t>1958 </w:t>
                    </w:r>
                    <w:r>
                      <w:rPr>
                        <w:w w:val="105"/>
                        <w:sz w:val="21"/>
                      </w:rPr>
                      <w:t>(Vic) should be amended to require that the </w:t>
                    </w:r>
                    <w:r>
                      <w:rPr>
                        <w:spacing w:val="-3"/>
                        <w:w w:val="105"/>
                        <w:sz w:val="21"/>
                      </w:rPr>
                      <w:t>will </w:t>
                    </w:r>
                    <w:r>
                      <w:rPr>
                        <w:w w:val="105"/>
                        <w:sz w:val="21"/>
                      </w:rPr>
                      <w:t>be filed with the Supreme Court Probate Office.</w:t>
                    </w:r>
                  </w:p>
                </w:txbxContent>
              </v:textbox>
              <w10:wrap type="none"/>
            </v:shape>
            <v:shape style="position:absolute;left:1814;top:1309;width:253;height:249" type="#_x0000_t202" filled="false" stroked="false">
              <v:textbox inset="0,0,0,0">
                <w:txbxContent>
                  <w:p>
                    <w:pPr>
                      <w:spacing w:line="249" w:lineRule="exact" w:before="0"/>
                      <w:ind w:left="0" w:right="0" w:firstLine="0"/>
                      <w:jc w:val="left"/>
                      <w:rPr>
                        <w:sz w:val="21"/>
                      </w:rPr>
                    </w:pPr>
                    <w:r>
                      <w:rPr>
                        <w:w w:val="110"/>
                        <w:sz w:val="21"/>
                      </w:rPr>
                      <w:t>77</w:t>
                    </w:r>
                  </w:p>
                </w:txbxContent>
              </v:textbox>
              <w10:wrap type="none"/>
            </v:shape>
            <v:shape style="position:absolute;left:1587;top:322;width:8731;height:726" type="#_x0000_t202" filled="true" fillcolor="#fdebea" stroked="false">
              <v:textbox inset="0,0,0,0">
                <w:txbxContent>
                  <w:p>
                    <w:pPr>
                      <w:spacing w:before="166"/>
                      <w:ind w:left="226" w:right="0" w:firstLine="0"/>
                      <w:jc w:val="left"/>
                      <w:rPr>
                        <w:b/>
                        <w:sz w:val="32"/>
                      </w:rPr>
                    </w:pPr>
                    <w:r>
                      <w:rPr>
                        <w:b/>
                        <w:color w:val="EC5A4F"/>
                        <w:w w:val="110"/>
                        <w:sz w:val="32"/>
                      </w:rPr>
                      <w:t>Recommendation</w:t>
                    </w:r>
                  </w:p>
                </w:txbxContent>
              </v:textbox>
              <v:fill type="solid"/>
              <w10:wrap type="none"/>
            </v:shape>
            <w10:wrap type="topAndBottom"/>
          </v:group>
        </w:pict>
      </w:r>
    </w:p>
    <w:p>
      <w:pPr>
        <w:pStyle w:val="BodyText"/>
        <w:spacing w:before="5"/>
        <w:rPr>
          <w:sz w:val="8"/>
        </w:rPr>
      </w:pPr>
    </w:p>
    <w:p>
      <w:pPr>
        <w:pStyle w:val="Heading5"/>
        <w:spacing w:before="99"/>
      </w:pPr>
      <w:r>
        <w:rPr>
          <w:w w:val="115"/>
        </w:rPr>
        <w:t>Access</w:t>
      </w:r>
      <w:r>
        <w:rPr>
          <w:spacing w:val="-18"/>
          <w:w w:val="115"/>
        </w:rPr>
        <w:t> </w:t>
      </w:r>
      <w:r>
        <w:rPr>
          <w:w w:val="115"/>
        </w:rPr>
        <w:t>to</w:t>
      </w:r>
      <w:r>
        <w:rPr>
          <w:spacing w:val="-17"/>
          <w:w w:val="115"/>
        </w:rPr>
        <w:t> </w:t>
      </w:r>
      <w:r>
        <w:rPr>
          <w:w w:val="115"/>
        </w:rPr>
        <w:t>expedited</w:t>
      </w:r>
      <w:r>
        <w:rPr>
          <w:spacing w:val="-17"/>
          <w:w w:val="115"/>
        </w:rPr>
        <w:t> </w:t>
      </w:r>
      <w:r>
        <w:rPr>
          <w:w w:val="115"/>
        </w:rPr>
        <w:t>grants</w:t>
      </w:r>
      <w:r>
        <w:rPr>
          <w:spacing w:val="-18"/>
          <w:w w:val="115"/>
        </w:rPr>
        <w:t> </w:t>
      </w:r>
      <w:r>
        <w:rPr>
          <w:w w:val="115"/>
        </w:rPr>
        <w:t>for</w:t>
      </w:r>
      <w:r>
        <w:rPr>
          <w:spacing w:val="-17"/>
          <w:w w:val="115"/>
        </w:rPr>
        <w:t> </w:t>
      </w:r>
      <w:r>
        <w:rPr>
          <w:w w:val="115"/>
        </w:rPr>
        <w:t>legal</w:t>
      </w:r>
      <w:r>
        <w:rPr>
          <w:spacing w:val="-17"/>
          <w:w w:val="115"/>
        </w:rPr>
        <w:t> </w:t>
      </w:r>
      <w:r>
        <w:rPr>
          <w:w w:val="115"/>
        </w:rPr>
        <w:t>practitioners</w:t>
      </w:r>
    </w:p>
    <w:p>
      <w:pPr>
        <w:pStyle w:val="ListParagraph"/>
        <w:numPr>
          <w:ilvl w:val="0"/>
          <w:numId w:val="146"/>
        </w:numPr>
        <w:tabs>
          <w:tab w:pos="2380" w:val="left" w:leader="none"/>
          <w:tab w:pos="2381" w:val="left" w:leader="none"/>
        </w:tabs>
        <w:spacing w:line="242" w:lineRule="auto" w:before="137" w:after="0"/>
        <w:ind w:left="2381" w:right="1670" w:hanging="794"/>
        <w:jc w:val="left"/>
        <w:rPr>
          <w:sz w:val="12"/>
        </w:rPr>
      </w:pPr>
      <w:r>
        <w:rPr>
          <w:sz w:val="21"/>
        </w:rPr>
        <w:t>While most jurisdictions, </w:t>
      </w:r>
      <w:r>
        <w:rPr>
          <w:spacing w:val="-4"/>
          <w:sz w:val="21"/>
        </w:rPr>
        <w:t>like </w:t>
      </w:r>
      <w:r>
        <w:rPr>
          <w:sz w:val="21"/>
        </w:rPr>
        <w:t>Victoria, </w:t>
      </w:r>
      <w:r>
        <w:rPr>
          <w:spacing w:val="-3"/>
          <w:sz w:val="21"/>
        </w:rPr>
        <w:t>allow </w:t>
      </w:r>
      <w:r>
        <w:rPr>
          <w:sz w:val="21"/>
        </w:rPr>
        <w:t>the </w:t>
      </w:r>
      <w:r>
        <w:rPr>
          <w:spacing w:val="-3"/>
          <w:sz w:val="21"/>
        </w:rPr>
        <w:t>public </w:t>
      </w:r>
      <w:r>
        <w:rPr>
          <w:sz w:val="21"/>
        </w:rPr>
        <w:t>trustee and often other trustee </w:t>
      </w:r>
      <w:r>
        <w:rPr>
          <w:spacing w:val="-3"/>
          <w:sz w:val="21"/>
        </w:rPr>
        <w:t>companies </w:t>
      </w:r>
      <w:r>
        <w:rPr>
          <w:sz w:val="21"/>
        </w:rPr>
        <w:t>the </w:t>
      </w:r>
      <w:r>
        <w:rPr>
          <w:spacing w:val="-3"/>
          <w:sz w:val="21"/>
        </w:rPr>
        <w:t>right to </w:t>
      </w:r>
      <w:r>
        <w:rPr>
          <w:sz w:val="21"/>
        </w:rPr>
        <w:t>file elections </w:t>
      </w:r>
      <w:r>
        <w:rPr>
          <w:spacing w:val="-3"/>
          <w:sz w:val="21"/>
        </w:rPr>
        <w:t>to </w:t>
      </w:r>
      <w:r>
        <w:rPr>
          <w:spacing w:val="-4"/>
          <w:sz w:val="21"/>
        </w:rPr>
        <w:t>administer, </w:t>
      </w:r>
      <w:r>
        <w:rPr>
          <w:sz w:val="21"/>
        </w:rPr>
        <w:t>the Northern </w:t>
      </w:r>
      <w:r>
        <w:rPr>
          <w:spacing w:val="-3"/>
          <w:sz w:val="21"/>
        </w:rPr>
        <w:t>Territory </w:t>
      </w:r>
      <w:r>
        <w:rPr>
          <w:spacing w:val="-2"/>
          <w:sz w:val="21"/>
        </w:rPr>
        <w:t>has empowered </w:t>
      </w:r>
      <w:r>
        <w:rPr>
          <w:sz w:val="21"/>
        </w:rPr>
        <w:t>legal practitioners </w:t>
      </w:r>
      <w:r>
        <w:rPr>
          <w:spacing w:val="-3"/>
          <w:sz w:val="21"/>
        </w:rPr>
        <w:t>to </w:t>
      </w:r>
      <w:r>
        <w:rPr>
          <w:sz w:val="21"/>
        </w:rPr>
        <w:t>do so as</w:t>
      </w:r>
      <w:r>
        <w:rPr>
          <w:spacing w:val="8"/>
          <w:sz w:val="21"/>
        </w:rPr>
        <w:t> </w:t>
      </w:r>
      <w:r>
        <w:rPr>
          <w:spacing w:val="-6"/>
          <w:sz w:val="21"/>
        </w:rPr>
        <w:t>well.</w:t>
      </w:r>
      <w:r>
        <w:rPr>
          <w:spacing w:val="-6"/>
          <w:position w:val="7"/>
          <w:sz w:val="12"/>
        </w:rPr>
        <w:t>125</w:t>
      </w:r>
    </w:p>
    <w:p>
      <w:pPr>
        <w:pStyle w:val="ListParagraph"/>
        <w:numPr>
          <w:ilvl w:val="0"/>
          <w:numId w:val="146"/>
        </w:numPr>
        <w:tabs>
          <w:tab w:pos="2380" w:val="left" w:leader="none"/>
          <w:tab w:pos="2381" w:val="left" w:leader="none"/>
        </w:tabs>
        <w:spacing w:line="242" w:lineRule="auto" w:before="123" w:after="0"/>
        <w:ind w:left="2381" w:right="1729" w:hanging="794"/>
        <w:jc w:val="left"/>
        <w:rPr>
          <w:sz w:val="12"/>
        </w:rPr>
      </w:pPr>
      <w:r>
        <w:rPr>
          <w:w w:val="105"/>
          <w:sz w:val="21"/>
        </w:rPr>
        <w:t>The</w:t>
      </w:r>
      <w:r>
        <w:rPr>
          <w:spacing w:val="-12"/>
          <w:w w:val="105"/>
          <w:sz w:val="21"/>
        </w:rPr>
        <w:t> </w:t>
      </w:r>
      <w:r>
        <w:rPr>
          <w:spacing w:val="-3"/>
          <w:w w:val="105"/>
          <w:sz w:val="21"/>
        </w:rPr>
        <w:t>consultation</w:t>
      </w:r>
      <w:r>
        <w:rPr>
          <w:spacing w:val="-11"/>
          <w:w w:val="105"/>
          <w:sz w:val="21"/>
        </w:rPr>
        <w:t> </w:t>
      </w:r>
      <w:r>
        <w:rPr>
          <w:w w:val="105"/>
          <w:sz w:val="21"/>
        </w:rPr>
        <w:t>paper</w:t>
      </w:r>
      <w:r>
        <w:rPr>
          <w:spacing w:val="-11"/>
          <w:w w:val="105"/>
          <w:sz w:val="21"/>
        </w:rPr>
        <w:t> </w:t>
      </w:r>
      <w:r>
        <w:rPr>
          <w:w w:val="105"/>
          <w:sz w:val="21"/>
        </w:rPr>
        <w:t>on</w:t>
      </w:r>
      <w:r>
        <w:rPr>
          <w:spacing w:val="-11"/>
          <w:w w:val="105"/>
          <w:sz w:val="21"/>
        </w:rPr>
        <w:t> </w:t>
      </w:r>
      <w:r>
        <w:rPr>
          <w:spacing w:val="-3"/>
          <w:w w:val="105"/>
          <w:sz w:val="21"/>
        </w:rPr>
        <w:t>small</w:t>
      </w:r>
      <w:r>
        <w:rPr>
          <w:spacing w:val="-11"/>
          <w:w w:val="105"/>
          <w:sz w:val="21"/>
        </w:rPr>
        <w:t> </w:t>
      </w:r>
      <w:r>
        <w:rPr>
          <w:w w:val="105"/>
          <w:sz w:val="21"/>
        </w:rPr>
        <w:t>estates</w:t>
      </w:r>
      <w:r>
        <w:rPr>
          <w:spacing w:val="-11"/>
          <w:w w:val="105"/>
          <w:sz w:val="21"/>
        </w:rPr>
        <w:t> </w:t>
      </w:r>
      <w:r>
        <w:rPr>
          <w:spacing w:val="-3"/>
          <w:w w:val="105"/>
          <w:sz w:val="21"/>
        </w:rPr>
        <w:t>asked</w:t>
      </w:r>
      <w:r>
        <w:rPr>
          <w:spacing w:val="-11"/>
          <w:w w:val="105"/>
          <w:sz w:val="21"/>
        </w:rPr>
        <w:t> </w:t>
      </w:r>
      <w:r>
        <w:rPr>
          <w:w w:val="105"/>
          <w:sz w:val="21"/>
        </w:rPr>
        <w:t>whether</w:t>
      </w:r>
      <w:r>
        <w:rPr>
          <w:spacing w:val="-11"/>
          <w:w w:val="105"/>
          <w:sz w:val="21"/>
        </w:rPr>
        <w:t> </w:t>
      </w:r>
      <w:r>
        <w:rPr>
          <w:w w:val="105"/>
          <w:sz w:val="21"/>
        </w:rPr>
        <w:t>legal</w:t>
      </w:r>
      <w:r>
        <w:rPr>
          <w:spacing w:val="-12"/>
          <w:w w:val="105"/>
          <w:sz w:val="21"/>
        </w:rPr>
        <w:t> </w:t>
      </w:r>
      <w:r>
        <w:rPr>
          <w:w w:val="105"/>
          <w:sz w:val="21"/>
        </w:rPr>
        <w:t>practitioners</w:t>
      </w:r>
      <w:r>
        <w:rPr>
          <w:spacing w:val="-11"/>
          <w:w w:val="105"/>
          <w:sz w:val="21"/>
        </w:rPr>
        <w:t> </w:t>
      </w:r>
      <w:r>
        <w:rPr>
          <w:w w:val="105"/>
          <w:sz w:val="21"/>
        </w:rPr>
        <w:t>should</w:t>
      </w:r>
      <w:r>
        <w:rPr>
          <w:spacing w:val="-11"/>
          <w:w w:val="105"/>
          <w:sz w:val="21"/>
        </w:rPr>
        <w:t> </w:t>
      </w:r>
      <w:r>
        <w:rPr>
          <w:w w:val="105"/>
          <w:sz w:val="21"/>
        </w:rPr>
        <w:t>be</w:t>
      </w:r>
      <w:r>
        <w:rPr>
          <w:spacing w:val="-11"/>
          <w:w w:val="105"/>
          <w:sz w:val="21"/>
        </w:rPr>
        <w:t> </w:t>
      </w:r>
      <w:r>
        <w:rPr>
          <w:w w:val="105"/>
          <w:sz w:val="21"/>
        </w:rPr>
        <w:t>able </w:t>
      </w:r>
      <w:r>
        <w:rPr>
          <w:spacing w:val="-3"/>
          <w:w w:val="105"/>
          <w:sz w:val="21"/>
        </w:rPr>
        <w:t>to </w:t>
      </w:r>
      <w:r>
        <w:rPr>
          <w:w w:val="105"/>
          <w:sz w:val="21"/>
        </w:rPr>
        <w:t>file elections </w:t>
      </w:r>
      <w:r>
        <w:rPr>
          <w:spacing w:val="-3"/>
          <w:w w:val="105"/>
          <w:sz w:val="21"/>
        </w:rPr>
        <w:t>to </w:t>
      </w:r>
      <w:r>
        <w:rPr>
          <w:spacing w:val="-4"/>
          <w:w w:val="105"/>
          <w:sz w:val="21"/>
        </w:rPr>
        <w:t>administer, </w:t>
      </w:r>
      <w:r>
        <w:rPr>
          <w:w w:val="105"/>
          <w:sz w:val="21"/>
        </w:rPr>
        <w:t>and whether they should be able </w:t>
      </w:r>
      <w:r>
        <w:rPr>
          <w:spacing w:val="-3"/>
          <w:w w:val="105"/>
          <w:sz w:val="21"/>
        </w:rPr>
        <w:t>to utilise </w:t>
      </w:r>
      <w:r>
        <w:rPr>
          <w:w w:val="105"/>
          <w:sz w:val="21"/>
        </w:rPr>
        <w:t>the section </w:t>
      </w:r>
      <w:r>
        <w:rPr>
          <w:spacing w:val="-3"/>
          <w:w w:val="105"/>
          <w:sz w:val="21"/>
        </w:rPr>
        <w:t>79 </w:t>
      </w:r>
      <w:r>
        <w:rPr>
          <w:spacing w:val="-4"/>
          <w:w w:val="105"/>
          <w:sz w:val="21"/>
        </w:rPr>
        <w:t>process.</w:t>
      </w:r>
      <w:r>
        <w:rPr>
          <w:spacing w:val="-4"/>
          <w:w w:val="105"/>
          <w:position w:val="7"/>
          <w:sz w:val="12"/>
        </w:rPr>
        <w:t>126</w:t>
      </w:r>
    </w:p>
    <w:p>
      <w:pPr>
        <w:pStyle w:val="ListParagraph"/>
        <w:numPr>
          <w:ilvl w:val="0"/>
          <w:numId w:val="146"/>
        </w:numPr>
        <w:tabs>
          <w:tab w:pos="2380" w:val="left" w:leader="none"/>
          <w:tab w:pos="2381" w:val="left" w:leader="none"/>
        </w:tabs>
        <w:spacing w:line="242" w:lineRule="auto" w:before="124" w:after="0"/>
        <w:ind w:left="2381" w:right="1844" w:hanging="794"/>
        <w:jc w:val="left"/>
        <w:rPr>
          <w:sz w:val="12"/>
        </w:rPr>
      </w:pPr>
      <w:r>
        <w:rPr>
          <w:w w:val="105"/>
          <w:sz w:val="21"/>
        </w:rPr>
        <w:t>A number of </w:t>
      </w:r>
      <w:r>
        <w:rPr>
          <w:spacing w:val="-3"/>
          <w:w w:val="105"/>
          <w:sz w:val="21"/>
        </w:rPr>
        <w:t>submissions </w:t>
      </w:r>
      <w:r>
        <w:rPr>
          <w:w w:val="105"/>
          <w:sz w:val="21"/>
        </w:rPr>
        <w:t>supported </w:t>
      </w:r>
      <w:r>
        <w:rPr>
          <w:spacing w:val="-3"/>
          <w:w w:val="105"/>
          <w:sz w:val="21"/>
        </w:rPr>
        <w:t>expanding </w:t>
      </w:r>
      <w:r>
        <w:rPr>
          <w:w w:val="105"/>
          <w:sz w:val="21"/>
        </w:rPr>
        <w:t>expedited grants </w:t>
      </w:r>
      <w:r>
        <w:rPr>
          <w:spacing w:val="-3"/>
          <w:w w:val="105"/>
          <w:sz w:val="21"/>
        </w:rPr>
        <w:t>to </w:t>
      </w:r>
      <w:r>
        <w:rPr>
          <w:w w:val="105"/>
          <w:sz w:val="21"/>
        </w:rPr>
        <w:t>legal practitioners, </w:t>
      </w:r>
      <w:r>
        <w:rPr>
          <w:spacing w:val="-3"/>
          <w:w w:val="105"/>
          <w:sz w:val="21"/>
        </w:rPr>
        <w:t>relying</w:t>
      </w:r>
      <w:r>
        <w:rPr>
          <w:spacing w:val="-12"/>
          <w:w w:val="105"/>
          <w:sz w:val="21"/>
        </w:rPr>
        <w:t> </w:t>
      </w:r>
      <w:r>
        <w:rPr>
          <w:w w:val="105"/>
          <w:sz w:val="21"/>
        </w:rPr>
        <w:t>largely</w:t>
      </w:r>
      <w:r>
        <w:rPr>
          <w:spacing w:val="-11"/>
          <w:w w:val="105"/>
          <w:sz w:val="21"/>
        </w:rPr>
        <w:t> </w:t>
      </w:r>
      <w:r>
        <w:rPr>
          <w:w w:val="105"/>
          <w:sz w:val="21"/>
        </w:rPr>
        <w:t>on</w:t>
      </w:r>
      <w:r>
        <w:rPr>
          <w:spacing w:val="-12"/>
          <w:w w:val="105"/>
          <w:sz w:val="21"/>
        </w:rPr>
        <w:t> </w:t>
      </w:r>
      <w:r>
        <w:rPr>
          <w:w w:val="105"/>
          <w:sz w:val="21"/>
        </w:rPr>
        <w:t>arguments</w:t>
      </w:r>
      <w:r>
        <w:rPr>
          <w:spacing w:val="-11"/>
          <w:w w:val="105"/>
          <w:sz w:val="21"/>
        </w:rPr>
        <w:t> </w:t>
      </w:r>
      <w:r>
        <w:rPr>
          <w:w w:val="105"/>
          <w:sz w:val="21"/>
        </w:rPr>
        <w:t>of</w:t>
      </w:r>
      <w:r>
        <w:rPr>
          <w:spacing w:val="-11"/>
          <w:w w:val="105"/>
          <w:sz w:val="21"/>
        </w:rPr>
        <w:t> </w:t>
      </w:r>
      <w:r>
        <w:rPr>
          <w:w w:val="105"/>
          <w:sz w:val="21"/>
        </w:rPr>
        <w:t>competitive</w:t>
      </w:r>
      <w:r>
        <w:rPr>
          <w:spacing w:val="-12"/>
          <w:w w:val="105"/>
          <w:sz w:val="21"/>
        </w:rPr>
        <w:t> </w:t>
      </w:r>
      <w:r>
        <w:rPr>
          <w:spacing w:val="-3"/>
          <w:w w:val="105"/>
          <w:sz w:val="21"/>
        </w:rPr>
        <w:t>fairness</w:t>
      </w:r>
      <w:r>
        <w:rPr>
          <w:spacing w:val="-11"/>
          <w:w w:val="105"/>
          <w:sz w:val="21"/>
        </w:rPr>
        <w:t> </w:t>
      </w:r>
      <w:r>
        <w:rPr>
          <w:w w:val="105"/>
          <w:sz w:val="21"/>
        </w:rPr>
        <w:t>between</w:t>
      </w:r>
      <w:r>
        <w:rPr>
          <w:spacing w:val="-11"/>
          <w:w w:val="105"/>
          <w:sz w:val="21"/>
        </w:rPr>
        <w:t> </w:t>
      </w:r>
      <w:r>
        <w:rPr>
          <w:spacing w:val="-3"/>
          <w:w w:val="105"/>
          <w:sz w:val="21"/>
        </w:rPr>
        <w:t>State</w:t>
      </w:r>
      <w:r>
        <w:rPr>
          <w:spacing w:val="-12"/>
          <w:w w:val="105"/>
          <w:sz w:val="21"/>
        </w:rPr>
        <w:t> </w:t>
      </w:r>
      <w:r>
        <w:rPr>
          <w:spacing w:val="-4"/>
          <w:w w:val="105"/>
          <w:sz w:val="21"/>
        </w:rPr>
        <w:t>Trustees</w:t>
      </w:r>
      <w:r>
        <w:rPr>
          <w:spacing w:val="-11"/>
          <w:w w:val="105"/>
          <w:sz w:val="21"/>
        </w:rPr>
        <w:t> </w:t>
      </w:r>
      <w:r>
        <w:rPr>
          <w:w w:val="105"/>
          <w:sz w:val="21"/>
        </w:rPr>
        <w:t>and</w:t>
      </w:r>
      <w:r>
        <w:rPr>
          <w:spacing w:val="-11"/>
          <w:w w:val="105"/>
          <w:sz w:val="21"/>
        </w:rPr>
        <w:t> </w:t>
      </w:r>
      <w:r>
        <w:rPr>
          <w:spacing w:val="-3"/>
          <w:w w:val="105"/>
          <w:sz w:val="21"/>
        </w:rPr>
        <w:t>private practitioners.</w:t>
      </w:r>
      <w:r>
        <w:rPr>
          <w:spacing w:val="-3"/>
          <w:w w:val="105"/>
          <w:position w:val="7"/>
          <w:sz w:val="12"/>
        </w:rPr>
        <w:t>127</w:t>
      </w:r>
    </w:p>
    <w:p>
      <w:pPr>
        <w:pStyle w:val="ListParagraph"/>
        <w:numPr>
          <w:ilvl w:val="0"/>
          <w:numId w:val="146"/>
        </w:numPr>
        <w:tabs>
          <w:tab w:pos="2380" w:val="left" w:leader="none"/>
          <w:tab w:pos="2381" w:val="left" w:leader="none"/>
        </w:tabs>
        <w:spacing w:line="242" w:lineRule="auto" w:before="123" w:after="0"/>
        <w:ind w:left="2381" w:right="1686" w:hanging="794"/>
        <w:jc w:val="left"/>
        <w:rPr>
          <w:sz w:val="21"/>
        </w:rPr>
      </w:pPr>
      <w:r>
        <w:rPr>
          <w:sz w:val="21"/>
        </w:rPr>
        <w:t>It was also </w:t>
      </w:r>
      <w:r>
        <w:rPr>
          <w:spacing w:val="-3"/>
          <w:sz w:val="21"/>
        </w:rPr>
        <w:t>noted that </w:t>
      </w:r>
      <w:r>
        <w:rPr>
          <w:sz w:val="21"/>
        </w:rPr>
        <w:t>solicitors </w:t>
      </w:r>
      <w:r>
        <w:rPr>
          <w:spacing w:val="-3"/>
          <w:sz w:val="21"/>
        </w:rPr>
        <w:t>are </w:t>
      </w:r>
      <w:r>
        <w:rPr>
          <w:sz w:val="21"/>
        </w:rPr>
        <w:t>more </w:t>
      </w:r>
      <w:r>
        <w:rPr>
          <w:spacing w:val="-3"/>
          <w:sz w:val="21"/>
        </w:rPr>
        <w:t>accessible to  </w:t>
      </w:r>
      <w:r>
        <w:rPr>
          <w:sz w:val="21"/>
        </w:rPr>
        <w:t>the  general  </w:t>
      </w:r>
      <w:r>
        <w:rPr>
          <w:spacing w:val="-3"/>
          <w:sz w:val="21"/>
        </w:rPr>
        <w:t>public,  </w:t>
      </w:r>
      <w:r>
        <w:rPr>
          <w:sz w:val="21"/>
        </w:rPr>
        <w:t>and  </w:t>
      </w:r>
      <w:r>
        <w:rPr>
          <w:spacing w:val="-3"/>
          <w:sz w:val="21"/>
        </w:rPr>
        <w:t>that </w:t>
      </w:r>
      <w:r>
        <w:rPr>
          <w:sz w:val="21"/>
        </w:rPr>
        <w:t>opening up the </w:t>
      </w:r>
      <w:r>
        <w:rPr>
          <w:spacing w:val="-4"/>
          <w:sz w:val="21"/>
        </w:rPr>
        <w:t>market </w:t>
      </w:r>
      <w:r>
        <w:rPr>
          <w:sz w:val="21"/>
        </w:rPr>
        <w:t>would give executors more </w:t>
      </w:r>
      <w:r>
        <w:rPr>
          <w:spacing w:val="-5"/>
          <w:sz w:val="21"/>
        </w:rPr>
        <w:t>options.</w:t>
      </w:r>
      <w:r>
        <w:rPr>
          <w:spacing w:val="-5"/>
          <w:position w:val="7"/>
          <w:sz w:val="12"/>
        </w:rPr>
        <w:t>128 </w:t>
      </w:r>
      <w:r>
        <w:rPr>
          <w:sz w:val="21"/>
        </w:rPr>
        <w:t>One </w:t>
      </w:r>
      <w:r>
        <w:rPr>
          <w:spacing w:val="-3"/>
          <w:sz w:val="21"/>
        </w:rPr>
        <w:t>submission noted that </w:t>
      </w:r>
      <w:r>
        <w:rPr>
          <w:sz w:val="21"/>
        </w:rPr>
        <w:t>there </w:t>
      </w:r>
      <w:r>
        <w:rPr>
          <w:spacing w:val="-3"/>
          <w:sz w:val="21"/>
        </w:rPr>
        <w:t>may </w:t>
      </w:r>
      <w:r>
        <w:rPr>
          <w:sz w:val="21"/>
        </w:rPr>
        <w:t>be costs </w:t>
      </w:r>
      <w:r>
        <w:rPr>
          <w:spacing w:val="-3"/>
          <w:sz w:val="21"/>
        </w:rPr>
        <w:t>savings </w:t>
      </w:r>
      <w:r>
        <w:rPr>
          <w:sz w:val="21"/>
        </w:rPr>
        <w:t>passed on </w:t>
      </w:r>
      <w:r>
        <w:rPr>
          <w:spacing w:val="-3"/>
          <w:sz w:val="21"/>
        </w:rPr>
        <w:t>to </w:t>
      </w:r>
      <w:r>
        <w:rPr>
          <w:sz w:val="21"/>
        </w:rPr>
        <w:t>estates where the fees </w:t>
      </w:r>
      <w:r>
        <w:rPr>
          <w:spacing w:val="-3"/>
          <w:sz w:val="21"/>
        </w:rPr>
        <w:t>charged are </w:t>
      </w:r>
      <w:r>
        <w:rPr>
          <w:spacing w:val="-2"/>
          <w:sz w:val="21"/>
        </w:rPr>
        <w:t>not</w:t>
      </w:r>
      <w:r>
        <w:rPr>
          <w:spacing w:val="18"/>
          <w:sz w:val="21"/>
        </w:rPr>
        <w:t> </w:t>
      </w:r>
      <w:r>
        <w:rPr>
          <w:sz w:val="21"/>
        </w:rPr>
        <w:t>those</w:t>
      </w:r>
    </w:p>
    <w:p>
      <w:pPr>
        <w:pStyle w:val="BodyText"/>
        <w:spacing w:before="3"/>
        <w:ind w:left="2381"/>
        <w:rPr>
          <w:sz w:val="12"/>
        </w:rPr>
      </w:pPr>
      <w:r>
        <w:rPr>
          <w:w w:val="105"/>
        </w:rPr>
        <w:t>of a trustee company.</w:t>
      </w:r>
      <w:r>
        <w:rPr>
          <w:w w:val="105"/>
          <w:position w:val="7"/>
          <w:sz w:val="12"/>
        </w:rPr>
        <w:t>129</w:t>
      </w:r>
    </w:p>
    <w:p>
      <w:pPr>
        <w:pStyle w:val="BodyText"/>
        <w:spacing w:before="8"/>
      </w:pPr>
      <w:r>
        <w:rPr/>
        <w:pict>
          <v:line style="position:absolute;mso-position-horizontal-relative:page;mso-position-vertical-relative:paragraph;z-index:12560;mso-wrap-distance-left:0;mso-wrap-distance-right:0" from="79.370102pt,15.708287pt" to="515.905102pt,15.708287pt" stroked="true" strokeweight="1pt" strokecolor="#f9ceca">
            <v:stroke dashstyle="solid"/>
            <w10:wrap type="topAndBottom"/>
          </v:line>
        </w:pict>
      </w:r>
    </w:p>
    <w:p>
      <w:pPr>
        <w:pStyle w:val="BodyText"/>
        <w:spacing w:before="8"/>
        <w:rPr>
          <w:sz w:val="5"/>
        </w:rPr>
      </w:pPr>
    </w:p>
    <w:p>
      <w:pPr>
        <w:spacing w:after="0"/>
        <w:rPr>
          <w:sz w:val="5"/>
        </w:rPr>
        <w:sectPr>
          <w:pgSz w:w="11910" w:h="16840"/>
          <w:pgMar w:header="805" w:footer="0" w:top="1360" w:bottom="280" w:left="0" w:right="0"/>
        </w:sectPr>
      </w:pPr>
    </w:p>
    <w:p>
      <w:pPr>
        <w:pStyle w:val="ListParagraph"/>
        <w:numPr>
          <w:ilvl w:val="0"/>
          <w:numId w:val="150"/>
        </w:numPr>
        <w:tabs>
          <w:tab w:pos="2381" w:val="left" w:leader="none"/>
          <w:tab w:pos="2382" w:val="left" w:leader="none"/>
        </w:tabs>
        <w:spacing w:line="240" w:lineRule="auto" w:before="48" w:after="0"/>
        <w:ind w:left="2381" w:right="0" w:hanging="794"/>
        <w:jc w:val="left"/>
        <w:rPr>
          <w:sz w:val="13"/>
        </w:rPr>
      </w:pPr>
      <w:r>
        <w:rPr>
          <w:w w:val="105"/>
          <w:sz w:val="13"/>
        </w:rPr>
        <w:t>Letter</w:t>
      </w:r>
      <w:r>
        <w:rPr>
          <w:spacing w:val="5"/>
          <w:w w:val="105"/>
          <w:sz w:val="13"/>
        </w:rPr>
        <w:t> </w:t>
      </w:r>
      <w:r>
        <w:rPr>
          <w:w w:val="105"/>
          <w:sz w:val="13"/>
        </w:rPr>
        <w:t>from</w:t>
      </w:r>
      <w:r>
        <w:rPr>
          <w:spacing w:val="5"/>
          <w:w w:val="105"/>
          <w:sz w:val="13"/>
        </w:rPr>
        <w:t> </w:t>
      </w:r>
      <w:r>
        <w:rPr>
          <w:w w:val="105"/>
          <w:sz w:val="13"/>
        </w:rPr>
        <w:t>Michael</w:t>
      </w:r>
      <w:r>
        <w:rPr>
          <w:spacing w:val="5"/>
          <w:w w:val="105"/>
          <w:sz w:val="13"/>
        </w:rPr>
        <w:t> </w:t>
      </w:r>
      <w:r>
        <w:rPr>
          <w:w w:val="105"/>
          <w:sz w:val="13"/>
        </w:rPr>
        <w:t>Halpin,</w:t>
      </w:r>
      <w:r>
        <w:rPr>
          <w:spacing w:val="6"/>
          <w:w w:val="105"/>
          <w:sz w:val="13"/>
        </w:rPr>
        <w:t> </w:t>
      </w:r>
      <w:r>
        <w:rPr>
          <w:w w:val="105"/>
          <w:sz w:val="13"/>
        </w:rPr>
        <w:t>Registrar</w:t>
      </w:r>
      <w:r>
        <w:rPr>
          <w:spacing w:val="5"/>
          <w:w w:val="105"/>
          <w:sz w:val="13"/>
        </w:rPr>
        <w:t> </w:t>
      </w:r>
      <w:r>
        <w:rPr>
          <w:w w:val="105"/>
          <w:sz w:val="13"/>
        </w:rPr>
        <w:t>of</w:t>
      </w:r>
      <w:r>
        <w:rPr>
          <w:spacing w:val="5"/>
          <w:w w:val="105"/>
          <w:sz w:val="13"/>
        </w:rPr>
        <w:t> </w:t>
      </w:r>
      <w:r>
        <w:rPr>
          <w:w w:val="105"/>
          <w:sz w:val="13"/>
        </w:rPr>
        <w:t>Probates,</w:t>
      </w:r>
      <w:r>
        <w:rPr>
          <w:spacing w:val="6"/>
          <w:w w:val="105"/>
          <w:sz w:val="13"/>
        </w:rPr>
        <w:t> </w:t>
      </w:r>
      <w:r>
        <w:rPr>
          <w:w w:val="105"/>
          <w:sz w:val="13"/>
        </w:rPr>
        <w:t>to</w:t>
      </w:r>
      <w:r>
        <w:rPr>
          <w:spacing w:val="5"/>
          <w:w w:val="105"/>
          <w:sz w:val="13"/>
        </w:rPr>
        <w:t> </w:t>
      </w:r>
      <w:r>
        <w:rPr>
          <w:w w:val="105"/>
          <w:sz w:val="13"/>
        </w:rPr>
        <w:t>David</w:t>
      </w:r>
      <w:r>
        <w:rPr>
          <w:spacing w:val="5"/>
          <w:w w:val="105"/>
          <w:sz w:val="13"/>
        </w:rPr>
        <w:t> </w:t>
      </w:r>
      <w:r>
        <w:rPr>
          <w:w w:val="105"/>
          <w:sz w:val="13"/>
        </w:rPr>
        <w:t>Jones,</w:t>
      </w:r>
      <w:r>
        <w:rPr>
          <w:spacing w:val="6"/>
          <w:w w:val="105"/>
          <w:sz w:val="13"/>
        </w:rPr>
        <w:t> </w:t>
      </w:r>
      <w:r>
        <w:rPr>
          <w:w w:val="105"/>
          <w:sz w:val="13"/>
        </w:rPr>
        <w:t>Acting</w:t>
      </w:r>
      <w:r>
        <w:rPr>
          <w:spacing w:val="5"/>
          <w:w w:val="105"/>
          <w:sz w:val="13"/>
        </w:rPr>
        <w:t> </w:t>
      </w:r>
      <w:r>
        <w:rPr>
          <w:w w:val="105"/>
          <w:sz w:val="13"/>
        </w:rPr>
        <w:t>Chair</w:t>
      </w:r>
      <w:r>
        <w:rPr>
          <w:spacing w:val="5"/>
          <w:w w:val="105"/>
          <w:sz w:val="13"/>
        </w:rPr>
        <w:t> </w:t>
      </w:r>
      <w:r>
        <w:rPr>
          <w:w w:val="105"/>
          <w:sz w:val="13"/>
        </w:rPr>
        <w:t>of</w:t>
      </w:r>
      <w:r>
        <w:rPr>
          <w:spacing w:val="5"/>
          <w:w w:val="105"/>
          <w:sz w:val="13"/>
        </w:rPr>
        <w:t> </w:t>
      </w:r>
      <w:r>
        <w:rPr>
          <w:w w:val="105"/>
          <w:sz w:val="13"/>
        </w:rPr>
        <w:t>the</w:t>
      </w:r>
      <w:r>
        <w:rPr>
          <w:spacing w:val="6"/>
          <w:w w:val="105"/>
          <w:sz w:val="13"/>
        </w:rPr>
        <w:t> </w:t>
      </w:r>
      <w:r>
        <w:rPr>
          <w:w w:val="105"/>
          <w:sz w:val="13"/>
        </w:rPr>
        <w:t>Commission</w:t>
      </w:r>
      <w:r>
        <w:rPr>
          <w:spacing w:val="5"/>
          <w:w w:val="105"/>
          <w:sz w:val="13"/>
        </w:rPr>
        <w:t> </w:t>
      </w:r>
      <w:r>
        <w:rPr>
          <w:w w:val="105"/>
          <w:sz w:val="13"/>
        </w:rPr>
        <w:t>(3</w:t>
      </w:r>
      <w:r>
        <w:rPr>
          <w:spacing w:val="5"/>
          <w:w w:val="105"/>
          <w:sz w:val="13"/>
        </w:rPr>
        <w:t> </w:t>
      </w:r>
      <w:r>
        <w:rPr>
          <w:w w:val="105"/>
          <w:sz w:val="13"/>
        </w:rPr>
        <w:t>July</w:t>
      </w:r>
      <w:r>
        <w:rPr>
          <w:spacing w:val="6"/>
          <w:w w:val="105"/>
          <w:sz w:val="13"/>
        </w:rPr>
        <w:t> </w:t>
      </w:r>
      <w:r>
        <w:rPr>
          <w:w w:val="105"/>
          <w:sz w:val="13"/>
        </w:rPr>
        <w:t>2012).</w:t>
      </w:r>
    </w:p>
    <w:p>
      <w:pPr>
        <w:pStyle w:val="ListParagraph"/>
        <w:numPr>
          <w:ilvl w:val="0"/>
          <w:numId w:val="150"/>
        </w:numPr>
        <w:tabs>
          <w:tab w:pos="2381" w:val="left" w:leader="none"/>
          <w:tab w:pos="2382" w:val="left" w:leader="none"/>
        </w:tabs>
        <w:spacing w:line="240" w:lineRule="auto" w:before="1" w:after="0"/>
        <w:ind w:left="2381" w:right="3" w:hanging="794"/>
        <w:jc w:val="left"/>
        <w:rPr>
          <w:sz w:val="13"/>
        </w:rPr>
      </w:pPr>
      <w:r>
        <w:rPr>
          <w:w w:val="105"/>
          <w:sz w:val="13"/>
        </w:rPr>
        <w:t>Victorian Law Reform Commission, above n 6, 28. This question was asked in the context of elections to administer, which already require that the will be filed: </w:t>
      </w:r>
      <w:r>
        <w:rPr>
          <w:i/>
          <w:w w:val="105"/>
          <w:sz w:val="13"/>
        </w:rPr>
        <w:t>Trustee Companies Act 1984</w:t>
      </w:r>
      <w:r>
        <w:rPr>
          <w:i/>
          <w:spacing w:val="6"/>
          <w:w w:val="105"/>
          <w:sz w:val="13"/>
        </w:rPr>
        <w:t> </w:t>
      </w:r>
      <w:r>
        <w:rPr>
          <w:spacing w:val="2"/>
          <w:w w:val="105"/>
          <w:sz w:val="13"/>
        </w:rPr>
        <w:t>(Vic).</w:t>
      </w:r>
    </w:p>
    <w:p>
      <w:pPr>
        <w:pStyle w:val="ListParagraph"/>
        <w:numPr>
          <w:ilvl w:val="0"/>
          <w:numId w:val="150"/>
        </w:numPr>
        <w:tabs>
          <w:tab w:pos="2381" w:val="left" w:leader="none"/>
          <w:tab w:pos="2382" w:val="left" w:leader="none"/>
        </w:tabs>
        <w:spacing w:line="240" w:lineRule="auto" w:before="3" w:after="0"/>
        <w:ind w:left="2381" w:right="0" w:hanging="794"/>
        <w:jc w:val="left"/>
        <w:rPr>
          <w:sz w:val="13"/>
        </w:rPr>
      </w:pPr>
      <w:r>
        <w:rPr>
          <w:w w:val="105"/>
          <w:sz w:val="13"/>
        </w:rPr>
        <w:t>Submission</w:t>
      </w:r>
      <w:r>
        <w:rPr>
          <w:spacing w:val="4"/>
          <w:w w:val="105"/>
          <w:sz w:val="13"/>
        </w:rPr>
        <w:t> </w:t>
      </w:r>
      <w:r>
        <w:rPr>
          <w:w w:val="105"/>
          <w:sz w:val="13"/>
        </w:rPr>
        <w:t>33</w:t>
      </w:r>
      <w:r>
        <w:rPr>
          <w:spacing w:val="4"/>
          <w:w w:val="105"/>
          <w:sz w:val="13"/>
        </w:rPr>
        <w:t> </w:t>
      </w:r>
      <w:r>
        <w:rPr>
          <w:w w:val="105"/>
          <w:sz w:val="13"/>
        </w:rPr>
        <w:t>(State</w:t>
      </w:r>
      <w:r>
        <w:rPr>
          <w:spacing w:val="5"/>
          <w:w w:val="105"/>
          <w:sz w:val="13"/>
        </w:rPr>
        <w:t> </w:t>
      </w:r>
      <w:r>
        <w:rPr>
          <w:w w:val="105"/>
          <w:sz w:val="13"/>
        </w:rPr>
        <w:t>Trustees</w:t>
      </w:r>
      <w:r>
        <w:rPr>
          <w:spacing w:val="4"/>
          <w:w w:val="105"/>
          <w:sz w:val="13"/>
        </w:rPr>
        <w:t> </w:t>
      </w:r>
      <w:r>
        <w:rPr>
          <w:w w:val="105"/>
          <w:sz w:val="13"/>
        </w:rPr>
        <w:t>Limited);</w:t>
      </w:r>
      <w:r>
        <w:rPr>
          <w:spacing w:val="5"/>
          <w:w w:val="105"/>
          <w:sz w:val="13"/>
        </w:rPr>
        <w:t> </w:t>
      </w:r>
      <w:r>
        <w:rPr>
          <w:w w:val="105"/>
          <w:sz w:val="13"/>
        </w:rPr>
        <w:t>consultation</w:t>
      </w:r>
      <w:r>
        <w:rPr>
          <w:spacing w:val="4"/>
          <w:w w:val="105"/>
          <w:sz w:val="13"/>
        </w:rPr>
        <w:t> </w:t>
      </w:r>
      <w:r>
        <w:rPr>
          <w:w w:val="105"/>
          <w:sz w:val="13"/>
        </w:rPr>
        <w:t>22</w:t>
      </w:r>
      <w:r>
        <w:rPr>
          <w:spacing w:val="5"/>
          <w:w w:val="105"/>
          <w:sz w:val="13"/>
        </w:rPr>
        <w:t> </w:t>
      </w:r>
      <w:r>
        <w:rPr>
          <w:w w:val="105"/>
          <w:sz w:val="13"/>
        </w:rPr>
        <w:t>(State</w:t>
      </w:r>
      <w:r>
        <w:rPr>
          <w:spacing w:val="4"/>
          <w:w w:val="105"/>
          <w:sz w:val="13"/>
        </w:rPr>
        <w:t> </w:t>
      </w:r>
      <w:r>
        <w:rPr>
          <w:w w:val="105"/>
          <w:sz w:val="13"/>
        </w:rPr>
        <w:t>Trustees</w:t>
      </w:r>
      <w:r>
        <w:rPr>
          <w:spacing w:val="4"/>
          <w:w w:val="105"/>
          <w:sz w:val="13"/>
        </w:rPr>
        <w:t> </w:t>
      </w:r>
      <w:r>
        <w:rPr>
          <w:w w:val="105"/>
          <w:sz w:val="13"/>
        </w:rPr>
        <w:t>Limited).</w:t>
      </w:r>
    </w:p>
    <w:p>
      <w:pPr>
        <w:pStyle w:val="ListParagraph"/>
        <w:numPr>
          <w:ilvl w:val="0"/>
          <w:numId w:val="150"/>
        </w:numPr>
        <w:tabs>
          <w:tab w:pos="2381" w:val="left" w:leader="none"/>
          <w:tab w:pos="2382" w:val="left" w:leader="none"/>
        </w:tabs>
        <w:spacing w:line="240" w:lineRule="auto" w:before="1" w:after="0"/>
        <w:ind w:left="2381" w:right="576" w:hanging="794"/>
        <w:jc w:val="left"/>
        <w:rPr>
          <w:sz w:val="13"/>
        </w:rPr>
      </w:pPr>
      <w:r>
        <w:rPr>
          <w:w w:val="105"/>
          <w:sz w:val="13"/>
        </w:rPr>
        <w:t>Submission 8 (Patricia Strachan); </w:t>
      </w:r>
      <w:r>
        <w:rPr>
          <w:spacing w:val="-3"/>
          <w:w w:val="105"/>
          <w:sz w:val="13"/>
        </w:rPr>
        <w:t>14 </w:t>
      </w:r>
      <w:r>
        <w:rPr>
          <w:w w:val="105"/>
          <w:sz w:val="13"/>
        </w:rPr>
        <w:t>(Commercial Bar </w:t>
      </w:r>
      <w:r>
        <w:rPr>
          <w:spacing w:val="2"/>
          <w:w w:val="105"/>
          <w:sz w:val="13"/>
        </w:rPr>
        <w:t>Association); </w:t>
      </w:r>
      <w:r>
        <w:rPr>
          <w:spacing w:val="-3"/>
          <w:w w:val="105"/>
          <w:sz w:val="13"/>
        </w:rPr>
        <w:t>19 </w:t>
      </w:r>
      <w:r>
        <w:rPr>
          <w:spacing w:val="2"/>
          <w:w w:val="105"/>
          <w:sz w:val="13"/>
        </w:rPr>
        <w:t>(Association </w:t>
      </w:r>
      <w:r>
        <w:rPr>
          <w:w w:val="105"/>
          <w:sz w:val="13"/>
        </w:rPr>
        <w:t>of Independent Retirees); 25 </w:t>
      </w:r>
      <w:r>
        <w:rPr>
          <w:spacing w:val="2"/>
          <w:w w:val="105"/>
          <w:sz w:val="13"/>
        </w:rPr>
        <w:t>(Moores </w:t>
      </w:r>
      <w:r>
        <w:rPr>
          <w:w w:val="105"/>
          <w:sz w:val="13"/>
        </w:rPr>
        <w:t>Legal); </w:t>
      </w:r>
      <w:r>
        <w:rPr>
          <w:spacing w:val="2"/>
          <w:w w:val="105"/>
          <w:sz w:val="13"/>
        </w:rPr>
        <w:t>30b </w:t>
      </w:r>
      <w:r>
        <w:rPr>
          <w:spacing w:val="3"/>
          <w:w w:val="105"/>
          <w:sz w:val="13"/>
        </w:rPr>
        <w:t>(Law </w:t>
      </w:r>
      <w:r>
        <w:rPr>
          <w:w w:val="105"/>
          <w:sz w:val="13"/>
        </w:rPr>
        <w:t>Institute of</w:t>
      </w:r>
      <w:r>
        <w:rPr>
          <w:spacing w:val="12"/>
          <w:w w:val="105"/>
          <w:sz w:val="13"/>
        </w:rPr>
        <w:t> </w:t>
      </w:r>
      <w:r>
        <w:rPr>
          <w:spacing w:val="2"/>
          <w:w w:val="105"/>
          <w:sz w:val="13"/>
        </w:rPr>
        <w:t>Victoria).</w:t>
      </w:r>
    </w:p>
    <w:p>
      <w:pPr>
        <w:pStyle w:val="ListParagraph"/>
        <w:numPr>
          <w:ilvl w:val="0"/>
          <w:numId w:val="150"/>
        </w:numPr>
        <w:tabs>
          <w:tab w:pos="2381" w:val="left" w:leader="none"/>
          <w:tab w:pos="2382" w:val="left" w:leader="none"/>
        </w:tabs>
        <w:spacing w:line="240" w:lineRule="auto" w:before="3" w:after="0"/>
        <w:ind w:left="2381" w:right="0" w:hanging="794"/>
        <w:jc w:val="left"/>
        <w:rPr>
          <w:sz w:val="13"/>
        </w:rPr>
      </w:pPr>
      <w:r>
        <w:rPr>
          <w:w w:val="105"/>
          <w:sz w:val="13"/>
        </w:rPr>
        <w:t>Submission </w:t>
      </w:r>
      <w:r>
        <w:rPr>
          <w:spacing w:val="-3"/>
          <w:w w:val="105"/>
          <w:sz w:val="13"/>
        </w:rPr>
        <w:t>14 </w:t>
      </w:r>
      <w:r>
        <w:rPr>
          <w:w w:val="105"/>
          <w:sz w:val="13"/>
        </w:rPr>
        <w:t>(Commercial Bar</w:t>
      </w:r>
      <w:r>
        <w:rPr>
          <w:spacing w:val="21"/>
          <w:w w:val="105"/>
          <w:sz w:val="13"/>
        </w:rPr>
        <w:t> </w:t>
      </w:r>
      <w:r>
        <w:rPr>
          <w:spacing w:val="2"/>
          <w:w w:val="105"/>
          <w:sz w:val="13"/>
        </w:rPr>
        <w:t>Association).</w:t>
      </w:r>
    </w:p>
    <w:p>
      <w:pPr>
        <w:pStyle w:val="ListParagraph"/>
        <w:numPr>
          <w:ilvl w:val="0"/>
          <w:numId w:val="150"/>
        </w:numPr>
        <w:tabs>
          <w:tab w:pos="2381" w:val="left" w:leader="none"/>
          <w:tab w:pos="2382" w:val="left" w:leader="none"/>
        </w:tabs>
        <w:spacing w:line="240" w:lineRule="auto" w:before="1" w:after="0"/>
        <w:ind w:left="2381" w:right="0" w:hanging="794"/>
        <w:jc w:val="left"/>
        <w:rPr>
          <w:sz w:val="13"/>
        </w:rPr>
      </w:pPr>
      <w:r>
        <w:rPr>
          <w:w w:val="105"/>
          <w:sz w:val="13"/>
        </w:rPr>
        <w:t>Consultation 22 (State Trustees</w:t>
      </w:r>
      <w:r>
        <w:rPr>
          <w:spacing w:val="18"/>
          <w:w w:val="105"/>
          <w:sz w:val="13"/>
        </w:rPr>
        <w:t> </w:t>
      </w:r>
      <w:r>
        <w:rPr>
          <w:w w:val="105"/>
          <w:sz w:val="13"/>
        </w:rPr>
        <w:t>Limited).</w:t>
      </w:r>
    </w:p>
    <w:p>
      <w:pPr>
        <w:pStyle w:val="ListParagraph"/>
        <w:numPr>
          <w:ilvl w:val="0"/>
          <w:numId w:val="150"/>
        </w:numPr>
        <w:tabs>
          <w:tab w:pos="2381" w:val="left" w:leader="none"/>
          <w:tab w:pos="2382" w:val="left" w:leader="none"/>
        </w:tabs>
        <w:spacing w:line="240" w:lineRule="auto" w:before="2" w:after="0"/>
        <w:ind w:left="2381" w:right="0" w:hanging="794"/>
        <w:jc w:val="left"/>
        <w:rPr>
          <w:sz w:val="13"/>
        </w:rPr>
      </w:pPr>
      <w:r>
        <w:rPr>
          <w:sz w:val="13"/>
        </w:rPr>
        <w:t>This change was  effected  by  broadening  the  definition  of  ‘professional  personal  representative’.  </w:t>
      </w:r>
      <w:r>
        <w:rPr>
          <w:i/>
          <w:sz w:val="13"/>
        </w:rPr>
        <w:t>Administration  and  Probate  Act  1969  </w:t>
      </w:r>
      <w:r>
        <w:rPr>
          <w:spacing w:val="4"/>
          <w:sz w:val="13"/>
        </w:rPr>
        <w:t>(NT) </w:t>
      </w:r>
      <w:r>
        <w:rPr>
          <w:sz w:val="13"/>
        </w:rPr>
        <w:t>s</w:t>
      </w:r>
      <w:r>
        <w:rPr>
          <w:spacing w:val="13"/>
          <w:sz w:val="13"/>
        </w:rPr>
        <w:t> </w:t>
      </w:r>
      <w:r>
        <w:rPr>
          <w:spacing w:val="2"/>
          <w:sz w:val="13"/>
        </w:rPr>
        <w:t>6(1):</w:t>
      </w:r>
      <w:r>
        <w:rPr>
          <w:spacing w:val="14"/>
          <w:sz w:val="13"/>
        </w:rPr>
        <w:t> </w:t>
      </w:r>
      <w:r>
        <w:rPr>
          <w:sz w:val="13"/>
        </w:rPr>
        <w:t>definition</w:t>
      </w:r>
      <w:r>
        <w:rPr>
          <w:spacing w:val="13"/>
          <w:sz w:val="13"/>
        </w:rPr>
        <w:t> </w:t>
      </w:r>
      <w:r>
        <w:rPr>
          <w:sz w:val="13"/>
        </w:rPr>
        <w:t>of</w:t>
      </w:r>
      <w:r>
        <w:rPr>
          <w:spacing w:val="14"/>
          <w:sz w:val="13"/>
        </w:rPr>
        <w:t> </w:t>
      </w:r>
      <w:r>
        <w:rPr>
          <w:sz w:val="13"/>
        </w:rPr>
        <w:t>‘professional</w:t>
      </w:r>
      <w:r>
        <w:rPr>
          <w:spacing w:val="13"/>
          <w:sz w:val="13"/>
        </w:rPr>
        <w:t> </w:t>
      </w:r>
      <w:r>
        <w:rPr>
          <w:sz w:val="13"/>
        </w:rPr>
        <w:t>personal</w:t>
      </w:r>
      <w:r>
        <w:rPr>
          <w:spacing w:val="14"/>
          <w:sz w:val="13"/>
        </w:rPr>
        <w:t> </w:t>
      </w:r>
      <w:r>
        <w:rPr>
          <w:sz w:val="13"/>
        </w:rPr>
        <w:t>representative’</w:t>
      </w:r>
      <w:r>
        <w:rPr>
          <w:spacing w:val="13"/>
          <w:sz w:val="13"/>
        </w:rPr>
        <w:t> </w:t>
      </w:r>
      <w:r>
        <w:rPr>
          <w:sz w:val="13"/>
        </w:rPr>
        <w:t>includes</w:t>
      </w:r>
      <w:r>
        <w:rPr>
          <w:spacing w:val="14"/>
          <w:sz w:val="13"/>
        </w:rPr>
        <w:t> </w:t>
      </w:r>
      <w:r>
        <w:rPr>
          <w:sz w:val="13"/>
        </w:rPr>
        <w:t>public</w:t>
      </w:r>
      <w:r>
        <w:rPr>
          <w:spacing w:val="13"/>
          <w:sz w:val="13"/>
        </w:rPr>
        <w:t> </w:t>
      </w:r>
      <w:r>
        <w:rPr>
          <w:sz w:val="13"/>
        </w:rPr>
        <w:t>trustee,</w:t>
      </w:r>
      <w:r>
        <w:rPr>
          <w:spacing w:val="14"/>
          <w:sz w:val="13"/>
        </w:rPr>
        <w:t> </w:t>
      </w:r>
      <w:r>
        <w:rPr>
          <w:sz w:val="13"/>
        </w:rPr>
        <w:t>trustee</w:t>
      </w:r>
      <w:r>
        <w:rPr>
          <w:spacing w:val="13"/>
          <w:sz w:val="13"/>
        </w:rPr>
        <w:t> </w:t>
      </w:r>
      <w:r>
        <w:rPr>
          <w:sz w:val="13"/>
        </w:rPr>
        <w:t>companies</w:t>
      </w:r>
      <w:r>
        <w:rPr>
          <w:spacing w:val="14"/>
          <w:sz w:val="13"/>
        </w:rPr>
        <w:t> </w:t>
      </w:r>
      <w:r>
        <w:rPr>
          <w:sz w:val="13"/>
        </w:rPr>
        <w:t>and</w:t>
      </w:r>
      <w:r>
        <w:rPr>
          <w:spacing w:val="13"/>
          <w:sz w:val="13"/>
        </w:rPr>
        <w:t> </w:t>
      </w:r>
      <w:r>
        <w:rPr>
          <w:sz w:val="13"/>
        </w:rPr>
        <w:t>legal</w:t>
      </w:r>
      <w:r>
        <w:rPr>
          <w:spacing w:val="14"/>
          <w:sz w:val="13"/>
        </w:rPr>
        <w:t> </w:t>
      </w:r>
      <w:r>
        <w:rPr>
          <w:sz w:val="13"/>
        </w:rPr>
        <w:t>practitioners.</w:t>
      </w:r>
    </w:p>
    <w:p>
      <w:pPr>
        <w:pStyle w:val="ListParagraph"/>
        <w:numPr>
          <w:ilvl w:val="0"/>
          <w:numId w:val="150"/>
        </w:numPr>
        <w:tabs>
          <w:tab w:pos="2381" w:val="left" w:leader="none"/>
          <w:tab w:pos="2382" w:val="left" w:leader="none"/>
        </w:tabs>
        <w:spacing w:line="240" w:lineRule="auto" w:before="2" w:after="0"/>
        <w:ind w:left="2381" w:right="0" w:hanging="794"/>
        <w:jc w:val="left"/>
        <w:rPr>
          <w:sz w:val="13"/>
        </w:rPr>
      </w:pPr>
      <w:r>
        <w:rPr>
          <w:w w:val="105"/>
          <w:sz w:val="13"/>
        </w:rPr>
        <w:t>Victorian Law Reform Commission, above n 6,</w:t>
      </w:r>
      <w:r>
        <w:rPr>
          <w:spacing w:val="2"/>
          <w:w w:val="105"/>
          <w:sz w:val="13"/>
        </w:rPr>
        <w:t> </w:t>
      </w:r>
      <w:r>
        <w:rPr>
          <w:spacing w:val="-4"/>
          <w:w w:val="105"/>
          <w:sz w:val="13"/>
        </w:rPr>
        <w:t>27.</w:t>
      </w:r>
    </w:p>
    <w:p>
      <w:pPr>
        <w:pStyle w:val="ListParagraph"/>
        <w:numPr>
          <w:ilvl w:val="0"/>
          <w:numId w:val="150"/>
        </w:numPr>
        <w:tabs>
          <w:tab w:pos="2381" w:val="left" w:leader="none"/>
          <w:tab w:pos="2382" w:val="left" w:leader="none"/>
        </w:tabs>
        <w:spacing w:line="240" w:lineRule="auto" w:before="2" w:after="0"/>
        <w:ind w:left="2381" w:right="129" w:hanging="794"/>
        <w:jc w:val="left"/>
        <w:rPr>
          <w:sz w:val="13"/>
        </w:rPr>
      </w:pPr>
      <w:r>
        <w:rPr>
          <w:sz w:val="13"/>
        </w:rPr>
        <w:t>Note that these views  are  drawn  from  the  responses  relating  both  to  elections  to  administer  and  to  section  70  administration,  where the submissions consider that both  mechanisms  should  be  available  to  legal  practitioners:  submissions  </w:t>
      </w:r>
      <w:r>
        <w:rPr>
          <w:spacing w:val="-3"/>
          <w:sz w:val="13"/>
        </w:rPr>
        <w:t>14  </w:t>
      </w:r>
      <w:r>
        <w:rPr>
          <w:sz w:val="13"/>
        </w:rPr>
        <w:t>(Commercial  Bar  </w:t>
      </w:r>
      <w:r>
        <w:rPr>
          <w:spacing w:val="2"/>
          <w:sz w:val="13"/>
        </w:rPr>
        <w:t>Association); </w:t>
      </w:r>
      <w:r>
        <w:rPr>
          <w:sz w:val="13"/>
        </w:rPr>
        <w:t>25</w:t>
      </w:r>
      <w:r>
        <w:rPr>
          <w:spacing w:val="8"/>
          <w:sz w:val="13"/>
        </w:rPr>
        <w:t> </w:t>
      </w:r>
      <w:r>
        <w:rPr>
          <w:spacing w:val="2"/>
          <w:sz w:val="13"/>
        </w:rPr>
        <w:t>(Moores</w:t>
      </w:r>
      <w:r>
        <w:rPr>
          <w:spacing w:val="8"/>
          <w:sz w:val="13"/>
        </w:rPr>
        <w:t> </w:t>
      </w:r>
      <w:r>
        <w:rPr>
          <w:sz w:val="13"/>
        </w:rPr>
        <w:t>Legal);</w:t>
      </w:r>
      <w:r>
        <w:rPr>
          <w:spacing w:val="8"/>
          <w:sz w:val="13"/>
        </w:rPr>
        <w:t> </w:t>
      </w:r>
      <w:r>
        <w:rPr>
          <w:sz w:val="13"/>
        </w:rPr>
        <w:t>32</w:t>
      </w:r>
      <w:r>
        <w:rPr>
          <w:spacing w:val="8"/>
          <w:sz w:val="13"/>
        </w:rPr>
        <w:t> </w:t>
      </w:r>
      <w:r>
        <w:rPr>
          <w:spacing w:val="2"/>
          <w:sz w:val="13"/>
        </w:rPr>
        <w:t>(The</w:t>
      </w:r>
      <w:r>
        <w:rPr>
          <w:spacing w:val="8"/>
          <w:sz w:val="13"/>
        </w:rPr>
        <w:t> </w:t>
      </w:r>
      <w:r>
        <w:rPr>
          <w:sz w:val="13"/>
        </w:rPr>
        <w:t>Institute</w:t>
      </w:r>
      <w:r>
        <w:rPr>
          <w:spacing w:val="8"/>
          <w:sz w:val="13"/>
        </w:rPr>
        <w:t> </w:t>
      </w:r>
      <w:r>
        <w:rPr>
          <w:sz w:val="13"/>
        </w:rPr>
        <w:t>of</w:t>
      </w:r>
      <w:r>
        <w:rPr>
          <w:spacing w:val="8"/>
          <w:sz w:val="13"/>
        </w:rPr>
        <w:t> </w:t>
      </w:r>
      <w:r>
        <w:rPr>
          <w:sz w:val="13"/>
        </w:rPr>
        <w:t>Legal</w:t>
      </w:r>
      <w:r>
        <w:rPr>
          <w:spacing w:val="8"/>
          <w:sz w:val="13"/>
        </w:rPr>
        <w:t> </w:t>
      </w:r>
      <w:r>
        <w:rPr>
          <w:sz w:val="13"/>
        </w:rPr>
        <w:t>Executives);</w:t>
      </w:r>
      <w:r>
        <w:rPr>
          <w:spacing w:val="8"/>
          <w:sz w:val="13"/>
        </w:rPr>
        <w:t> </w:t>
      </w:r>
      <w:r>
        <w:rPr>
          <w:sz w:val="13"/>
        </w:rPr>
        <w:t>33</w:t>
      </w:r>
      <w:r>
        <w:rPr>
          <w:spacing w:val="8"/>
          <w:sz w:val="13"/>
        </w:rPr>
        <w:t> </w:t>
      </w:r>
      <w:r>
        <w:rPr>
          <w:sz w:val="13"/>
        </w:rPr>
        <w:t>(State</w:t>
      </w:r>
      <w:r>
        <w:rPr>
          <w:spacing w:val="8"/>
          <w:sz w:val="13"/>
        </w:rPr>
        <w:t> </w:t>
      </w:r>
      <w:r>
        <w:rPr>
          <w:sz w:val="13"/>
        </w:rPr>
        <w:t>Trustees</w:t>
      </w:r>
      <w:r>
        <w:rPr>
          <w:spacing w:val="8"/>
          <w:sz w:val="13"/>
        </w:rPr>
        <w:t> </w:t>
      </w:r>
      <w:r>
        <w:rPr>
          <w:sz w:val="13"/>
        </w:rPr>
        <w:t>Limited).</w:t>
      </w:r>
    </w:p>
    <w:p>
      <w:pPr>
        <w:pStyle w:val="ListParagraph"/>
        <w:numPr>
          <w:ilvl w:val="0"/>
          <w:numId w:val="150"/>
        </w:numPr>
        <w:tabs>
          <w:tab w:pos="2381" w:val="left" w:leader="none"/>
          <w:tab w:pos="2382" w:val="left" w:leader="none"/>
        </w:tabs>
        <w:spacing w:line="240" w:lineRule="auto" w:before="4" w:after="0"/>
        <w:ind w:left="2381" w:right="0" w:hanging="794"/>
        <w:jc w:val="left"/>
        <w:rPr>
          <w:sz w:val="13"/>
        </w:rPr>
      </w:pPr>
      <w:r>
        <w:rPr>
          <w:w w:val="105"/>
          <w:sz w:val="13"/>
        </w:rPr>
        <w:t>Submission 25 </w:t>
      </w:r>
      <w:r>
        <w:rPr>
          <w:spacing w:val="2"/>
          <w:w w:val="105"/>
          <w:sz w:val="13"/>
        </w:rPr>
        <w:t>(Moores</w:t>
      </w:r>
      <w:r>
        <w:rPr>
          <w:spacing w:val="13"/>
          <w:w w:val="105"/>
          <w:sz w:val="13"/>
        </w:rPr>
        <w:t> </w:t>
      </w:r>
      <w:r>
        <w:rPr>
          <w:w w:val="105"/>
          <w:sz w:val="13"/>
        </w:rPr>
        <w:t>Legal).</w:t>
      </w:r>
    </w:p>
    <w:p>
      <w:pPr>
        <w:pStyle w:val="ListParagraph"/>
        <w:numPr>
          <w:ilvl w:val="0"/>
          <w:numId w:val="150"/>
        </w:numPr>
        <w:tabs>
          <w:tab w:pos="2381" w:val="left" w:leader="none"/>
          <w:tab w:pos="2382" w:val="left" w:leader="none"/>
        </w:tabs>
        <w:spacing w:line="240" w:lineRule="auto" w:before="1" w:after="0"/>
        <w:ind w:left="2381" w:right="0" w:hanging="794"/>
        <w:jc w:val="left"/>
        <w:rPr>
          <w:sz w:val="13"/>
        </w:rPr>
      </w:pPr>
      <w:r>
        <w:rPr>
          <w:w w:val="105"/>
          <w:sz w:val="13"/>
        </w:rPr>
        <w:t>Submission </w:t>
      </w:r>
      <w:r>
        <w:rPr>
          <w:spacing w:val="-3"/>
          <w:w w:val="105"/>
          <w:sz w:val="13"/>
        </w:rPr>
        <w:t>14 </w:t>
      </w:r>
      <w:r>
        <w:rPr>
          <w:w w:val="105"/>
          <w:sz w:val="13"/>
        </w:rPr>
        <w:t>(Commercial Bar</w:t>
      </w:r>
      <w:r>
        <w:rPr>
          <w:spacing w:val="21"/>
          <w:w w:val="105"/>
          <w:sz w:val="13"/>
        </w:rPr>
        <w:t> </w:t>
      </w:r>
      <w:r>
        <w:rPr>
          <w:spacing w:val="2"/>
          <w:w w:val="105"/>
          <w:sz w:val="13"/>
        </w:rPr>
        <w:t>Association).</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11"/>
        <w:rPr>
          <w:sz w:val="23"/>
        </w:rPr>
      </w:pPr>
    </w:p>
    <w:p>
      <w:pPr>
        <w:spacing w:before="1"/>
        <w:ind w:left="644" w:right="575" w:firstLine="0"/>
        <w:jc w:val="center"/>
        <w:rPr>
          <w:b/>
          <w:sz w:val="24"/>
        </w:rPr>
      </w:pPr>
      <w:r>
        <w:rPr>
          <w:b/>
          <w:color w:val="EC5A4F"/>
          <w:w w:val="110"/>
          <w:sz w:val="24"/>
        </w:rPr>
        <w:t>209</w:t>
      </w:r>
    </w:p>
    <w:p>
      <w:pPr>
        <w:spacing w:after="0"/>
        <w:jc w:val="center"/>
        <w:rPr>
          <w:sz w:val="24"/>
        </w:rPr>
        <w:sectPr>
          <w:type w:val="continuous"/>
          <w:pgSz w:w="11910" w:h="16840"/>
          <w:pgMar w:top="920" w:bottom="280" w:left="0" w:right="0"/>
          <w:cols w:num="2" w:equalWidth="0">
            <w:col w:w="10209" w:space="39"/>
            <w:col w:w="1662"/>
          </w:cols>
        </w:sectPr>
      </w:pPr>
    </w:p>
    <w:p>
      <w:pPr>
        <w:pStyle w:val="BodyText"/>
        <w:spacing w:before="9"/>
        <w:rPr>
          <w:b/>
          <w:sz w:val="22"/>
        </w:rPr>
      </w:pPr>
    </w:p>
    <w:p>
      <w:pPr>
        <w:pStyle w:val="ListParagraph"/>
        <w:numPr>
          <w:ilvl w:val="0"/>
          <w:numId w:val="146"/>
        </w:numPr>
        <w:tabs>
          <w:tab w:pos="2381" w:val="left" w:leader="none"/>
          <w:tab w:pos="2382" w:val="left" w:leader="none"/>
        </w:tabs>
        <w:spacing w:line="240" w:lineRule="auto" w:before="92" w:after="0"/>
        <w:ind w:left="2381" w:right="0" w:hanging="794"/>
        <w:jc w:val="left"/>
        <w:rPr>
          <w:sz w:val="21"/>
        </w:rPr>
      </w:pPr>
      <w:bookmarkStart w:name="Other amendments to Part II of the Admin" w:id="152"/>
      <w:bookmarkEnd w:id="152"/>
      <w:r>
        <w:rPr/>
      </w:r>
      <w:bookmarkStart w:name="Other amendments to Part II of the Admin" w:id="153"/>
      <w:bookmarkEnd w:id="153"/>
      <w:r>
        <w:rPr>
          <w:spacing w:val="-3"/>
          <w:sz w:val="21"/>
        </w:rPr>
        <w:t>S</w:t>
      </w:r>
      <w:r>
        <w:rPr>
          <w:spacing w:val="-3"/>
          <w:sz w:val="21"/>
        </w:rPr>
        <w:t>tate  </w:t>
      </w:r>
      <w:r>
        <w:rPr>
          <w:spacing w:val="-4"/>
          <w:sz w:val="21"/>
        </w:rPr>
        <w:t>Trustees  </w:t>
      </w:r>
      <w:r>
        <w:rPr>
          <w:spacing w:val="-3"/>
          <w:sz w:val="21"/>
        </w:rPr>
        <w:t>noted  </w:t>
      </w:r>
      <w:r>
        <w:rPr>
          <w:sz w:val="21"/>
        </w:rPr>
        <w:t>in its </w:t>
      </w:r>
      <w:r>
        <w:rPr>
          <w:spacing w:val="-3"/>
          <w:sz w:val="21"/>
        </w:rPr>
        <w:t>submission</w:t>
      </w:r>
      <w:r>
        <w:rPr>
          <w:spacing w:val="10"/>
          <w:sz w:val="21"/>
        </w:rPr>
        <w:t> </w:t>
      </w:r>
      <w:r>
        <w:rPr>
          <w:sz w:val="21"/>
        </w:rPr>
        <w:t>that:</w:t>
      </w:r>
    </w:p>
    <w:p>
      <w:pPr>
        <w:spacing w:line="254" w:lineRule="auto" w:before="133"/>
        <w:ind w:left="2721" w:right="1584" w:firstLine="0"/>
        <w:jc w:val="left"/>
        <w:rPr>
          <w:sz w:val="11"/>
        </w:rPr>
      </w:pPr>
      <w:r>
        <w:rPr>
          <w:w w:val="105"/>
          <w:sz w:val="20"/>
        </w:rPr>
        <w:t>Allowing</w:t>
      </w:r>
      <w:r>
        <w:rPr>
          <w:spacing w:val="-13"/>
          <w:w w:val="105"/>
          <w:sz w:val="20"/>
        </w:rPr>
        <w:t> </w:t>
      </w:r>
      <w:r>
        <w:rPr>
          <w:w w:val="105"/>
          <w:sz w:val="20"/>
        </w:rPr>
        <w:t>legal</w:t>
      </w:r>
      <w:r>
        <w:rPr>
          <w:spacing w:val="-12"/>
          <w:w w:val="105"/>
          <w:sz w:val="20"/>
        </w:rPr>
        <w:t> </w:t>
      </w:r>
      <w:r>
        <w:rPr>
          <w:w w:val="105"/>
          <w:sz w:val="20"/>
        </w:rPr>
        <w:t>practitioners</w:t>
      </w:r>
      <w:r>
        <w:rPr>
          <w:spacing w:val="-12"/>
          <w:w w:val="105"/>
          <w:sz w:val="20"/>
        </w:rPr>
        <w:t> </w:t>
      </w:r>
      <w:r>
        <w:rPr>
          <w:w w:val="105"/>
          <w:sz w:val="20"/>
        </w:rPr>
        <w:t>to</w:t>
      </w:r>
      <w:r>
        <w:rPr>
          <w:spacing w:val="-12"/>
          <w:w w:val="105"/>
          <w:sz w:val="20"/>
        </w:rPr>
        <w:t> </w:t>
      </w:r>
      <w:r>
        <w:rPr>
          <w:w w:val="105"/>
          <w:sz w:val="20"/>
        </w:rPr>
        <w:t>file</w:t>
      </w:r>
      <w:r>
        <w:rPr>
          <w:spacing w:val="-13"/>
          <w:w w:val="105"/>
          <w:sz w:val="20"/>
        </w:rPr>
        <w:t> </w:t>
      </w:r>
      <w:r>
        <w:rPr>
          <w:w w:val="105"/>
          <w:sz w:val="20"/>
        </w:rPr>
        <w:t>elections</w:t>
      </w:r>
      <w:r>
        <w:rPr>
          <w:spacing w:val="-12"/>
          <w:w w:val="105"/>
          <w:sz w:val="20"/>
        </w:rPr>
        <w:t> </w:t>
      </w:r>
      <w:r>
        <w:rPr>
          <w:w w:val="105"/>
          <w:sz w:val="20"/>
        </w:rPr>
        <w:t>to</w:t>
      </w:r>
      <w:r>
        <w:rPr>
          <w:spacing w:val="-12"/>
          <w:w w:val="105"/>
          <w:sz w:val="20"/>
        </w:rPr>
        <w:t> </w:t>
      </w:r>
      <w:r>
        <w:rPr>
          <w:w w:val="105"/>
          <w:sz w:val="20"/>
        </w:rPr>
        <w:t>administer</w:t>
      </w:r>
      <w:r>
        <w:rPr>
          <w:spacing w:val="-12"/>
          <w:w w:val="105"/>
          <w:sz w:val="20"/>
        </w:rPr>
        <w:t> </w:t>
      </w:r>
      <w:r>
        <w:rPr>
          <w:w w:val="105"/>
          <w:sz w:val="20"/>
        </w:rPr>
        <w:t>and</w:t>
      </w:r>
      <w:r>
        <w:rPr>
          <w:spacing w:val="-13"/>
          <w:w w:val="105"/>
          <w:sz w:val="20"/>
        </w:rPr>
        <w:t> </w:t>
      </w:r>
      <w:r>
        <w:rPr>
          <w:w w:val="105"/>
          <w:sz w:val="20"/>
        </w:rPr>
        <w:t>advertise</w:t>
      </w:r>
      <w:r>
        <w:rPr>
          <w:spacing w:val="-12"/>
          <w:w w:val="105"/>
          <w:sz w:val="20"/>
        </w:rPr>
        <w:t> </w:t>
      </w:r>
      <w:r>
        <w:rPr>
          <w:w w:val="105"/>
          <w:sz w:val="20"/>
        </w:rPr>
        <w:t>for</w:t>
      </w:r>
      <w:r>
        <w:rPr>
          <w:spacing w:val="-12"/>
          <w:w w:val="105"/>
          <w:sz w:val="20"/>
        </w:rPr>
        <w:t> </w:t>
      </w:r>
      <w:r>
        <w:rPr>
          <w:w w:val="105"/>
          <w:sz w:val="20"/>
        </w:rPr>
        <w:t>deemed</w:t>
      </w:r>
      <w:r>
        <w:rPr>
          <w:spacing w:val="-12"/>
          <w:w w:val="105"/>
          <w:sz w:val="20"/>
        </w:rPr>
        <w:t> </w:t>
      </w:r>
      <w:r>
        <w:rPr>
          <w:w w:val="105"/>
          <w:sz w:val="20"/>
        </w:rPr>
        <w:t>grants would </w:t>
      </w:r>
      <w:r>
        <w:rPr>
          <w:spacing w:val="-3"/>
          <w:w w:val="105"/>
          <w:sz w:val="20"/>
        </w:rPr>
        <w:t>create greater </w:t>
      </w:r>
      <w:r>
        <w:rPr>
          <w:w w:val="105"/>
          <w:sz w:val="20"/>
        </w:rPr>
        <w:t>flexibility for the Victorian public as to who can administer smaller value estates in a cost-effective and efficient</w:t>
      </w:r>
      <w:r>
        <w:rPr>
          <w:spacing w:val="26"/>
          <w:w w:val="105"/>
          <w:sz w:val="20"/>
        </w:rPr>
        <w:t> </w:t>
      </w:r>
      <w:r>
        <w:rPr>
          <w:spacing w:val="-5"/>
          <w:w w:val="105"/>
          <w:sz w:val="20"/>
        </w:rPr>
        <w:t>manner.</w:t>
      </w:r>
      <w:r>
        <w:rPr>
          <w:spacing w:val="-5"/>
          <w:w w:val="105"/>
          <w:position w:val="7"/>
          <w:sz w:val="11"/>
        </w:rPr>
        <w:t>130</w:t>
      </w:r>
    </w:p>
    <w:p>
      <w:pPr>
        <w:pStyle w:val="ListParagraph"/>
        <w:numPr>
          <w:ilvl w:val="0"/>
          <w:numId w:val="146"/>
        </w:numPr>
        <w:tabs>
          <w:tab w:pos="2381" w:val="left" w:leader="none"/>
        </w:tabs>
        <w:spacing w:line="242" w:lineRule="auto" w:before="114" w:after="0"/>
        <w:ind w:left="2381" w:right="1744" w:hanging="794"/>
        <w:jc w:val="both"/>
        <w:rPr>
          <w:sz w:val="21"/>
        </w:rPr>
      </w:pPr>
      <w:r>
        <w:rPr>
          <w:spacing w:val="-4"/>
          <w:w w:val="105"/>
          <w:sz w:val="21"/>
        </w:rPr>
        <w:t>However,</w:t>
      </w:r>
      <w:r>
        <w:rPr>
          <w:spacing w:val="-10"/>
          <w:w w:val="105"/>
          <w:sz w:val="21"/>
        </w:rPr>
        <w:t> </w:t>
      </w:r>
      <w:r>
        <w:rPr>
          <w:w w:val="105"/>
          <w:sz w:val="21"/>
        </w:rPr>
        <w:t>both</w:t>
      </w:r>
      <w:r>
        <w:rPr>
          <w:spacing w:val="-10"/>
          <w:w w:val="105"/>
          <w:sz w:val="21"/>
        </w:rPr>
        <w:t> </w:t>
      </w:r>
      <w:r>
        <w:rPr>
          <w:w w:val="105"/>
          <w:sz w:val="21"/>
        </w:rPr>
        <w:t>the</w:t>
      </w:r>
      <w:r>
        <w:rPr>
          <w:spacing w:val="-10"/>
          <w:w w:val="105"/>
          <w:sz w:val="21"/>
        </w:rPr>
        <w:t> </w:t>
      </w:r>
      <w:r>
        <w:rPr>
          <w:w w:val="105"/>
          <w:sz w:val="21"/>
        </w:rPr>
        <w:t>Victorian</w:t>
      </w:r>
      <w:r>
        <w:rPr>
          <w:spacing w:val="-10"/>
          <w:w w:val="105"/>
          <w:sz w:val="21"/>
        </w:rPr>
        <w:t> </w:t>
      </w:r>
      <w:r>
        <w:rPr>
          <w:w w:val="105"/>
          <w:sz w:val="21"/>
        </w:rPr>
        <w:t>Registrar</w:t>
      </w:r>
      <w:r>
        <w:rPr>
          <w:spacing w:val="-10"/>
          <w:w w:val="105"/>
          <w:sz w:val="21"/>
        </w:rPr>
        <w:t> </w:t>
      </w:r>
      <w:r>
        <w:rPr>
          <w:w w:val="105"/>
          <w:sz w:val="21"/>
        </w:rPr>
        <w:t>of</w:t>
      </w:r>
      <w:r>
        <w:rPr>
          <w:spacing w:val="-10"/>
          <w:w w:val="105"/>
          <w:sz w:val="21"/>
        </w:rPr>
        <w:t> </w:t>
      </w:r>
      <w:r>
        <w:rPr>
          <w:w w:val="105"/>
          <w:sz w:val="21"/>
        </w:rPr>
        <w:t>Probates</w:t>
      </w:r>
      <w:r>
        <w:rPr>
          <w:spacing w:val="-10"/>
          <w:w w:val="105"/>
          <w:sz w:val="21"/>
        </w:rPr>
        <w:t> </w:t>
      </w:r>
      <w:r>
        <w:rPr>
          <w:w w:val="105"/>
          <w:sz w:val="21"/>
        </w:rPr>
        <w:t>and</w:t>
      </w:r>
      <w:r>
        <w:rPr>
          <w:spacing w:val="-10"/>
          <w:w w:val="105"/>
          <w:sz w:val="21"/>
        </w:rPr>
        <w:t> </w:t>
      </w:r>
      <w:r>
        <w:rPr>
          <w:w w:val="105"/>
          <w:sz w:val="21"/>
        </w:rPr>
        <w:t>the</w:t>
      </w:r>
      <w:r>
        <w:rPr>
          <w:spacing w:val="-10"/>
          <w:w w:val="105"/>
          <w:sz w:val="21"/>
        </w:rPr>
        <w:t> </w:t>
      </w:r>
      <w:r>
        <w:rPr>
          <w:w w:val="105"/>
          <w:sz w:val="21"/>
        </w:rPr>
        <w:t>New</w:t>
      </w:r>
      <w:r>
        <w:rPr>
          <w:spacing w:val="-10"/>
          <w:w w:val="105"/>
          <w:sz w:val="21"/>
        </w:rPr>
        <w:t> </w:t>
      </w:r>
      <w:r>
        <w:rPr>
          <w:w w:val="105"/>
          <w:sz w:val="21"/>
        </w:rPr>
        <w:t>South</w:t>
      </w:r>
      <w:r>
        <w:rPr>
          <w:spacing w:val="-10"/>
          <w:w w:val="105"/>
          <w:sz w:val="21"/>
        </w:rPr>
        <w:t> </w:t>
      </w:r>
      <w:r>
        <w:rPr>
          <w:spacing w:val="-3"/>
          <w:w w:val="105"/>
          <w:sz w:val="21"/>
        </w:rPr>
        <w:t>Wales</w:t>
      </w:r>
      <w:r>
        <w:rPr>
          <w:spacing w:val="-10"/>
          <w:w w:val="105"/>
          <w:sz w:val="21"/>
        </w:rPr>
        <w:t> </w:t>
      </w:r>
      <w:r>
        <w:rPr>
          <w:w w:val="105"/>
          <w:sz w:val="21"/>
        </w:rPr>
        <w:t>Registrar</w:t>
      </w:r>
      <w:r>
        <w:rPr>
          <w:spacing w:val="-10"/>
          <w:w w:val="105"/>
          <w:sz w:val="21"/>
        </w:rPr>
        <w:t> </w:t>
      </w:r>
      <w:r>
        <w:rPr>
          <w:w w:val="105"/>
          <w:sz w:val="21"/>
        </w:rPr>
        <w:t>of Probates </w:t>
      </w:r>
      <w:r>
        <w:rPr>
          <w:spacing w:val="-3"/>
          <w:w w:val="105"/>
          <w:sz w:val="21"/>
        </w:rPr>
        <w:t>have </w:t>
      </w:r>
      <w:r>
        <w:rPr>
          <w:w w:val="105"/>
          <w:sz w:val="21"/>
        </w:rPr>
        <w:t>made </w:t>
      </w:r>
      <w:r>
        <w:rPr>
          <w:spacing w:val="-3"/>
          <w:w w:val="105"/>
          <w:sz w:val="21"/>
        </w:rPr>
        <w:t>clear to </w:t>
      </w:r>
      <w:r>
        <w:rPr>
          <w:w w:val="105"/>
          <w:sz w:val="21"/>
        </w:rPr>
        <w:t>the </w:t>
      </w:r>
      <w:r>
        <w:rPr>
          <w:spacing w:val="-3"/>
          <w:w w:val="105"/>
          <w:sz w:val="21"/>
        </w:rPr>
        <w:t>Commission that </w:t>
      </w:r>
      <w:r>
        <w:rPr>
          <w:w w:val="105"/>
          <w:sz w:val="21"/>
        </w:rPr>
        <w:t>they </w:t>
      </w:r>
      <w:r>
        <w:rPr>
          <w:spacing w:val="-3"/>
          <w:w w:val="105"/>
          <w:sz w:val="21"/>
        </w:rPr>
        <w:t>are </w:t>
      </w:r>
      <w:r>
        <w:rPr>
          <w:w w:val="105"/>
          <w:sz w:val="21"/>
        </w:rPr>
        <w:t>strongly opposed </w:t>
      </w:r>
      <w:r>
        <w:rPr>
          <w:spacing w:val="-3"/>
          <w:w w:val="105"/>
          <w:sz w:val="21"/>
        </w:rPr>
        <w:t>to allowing </w:t>
      </w:r>
      <w:r>
        <w:rPr>
          <w:w w:val="105"/>
          <w:sz w:val="21"/>
        </w:rPr>
        <w:t>legal practitioners </w:t>
      </w:r>
      <w:r>
        <w:rPr>
          <w:spacing w:val="-3"/>
          <w:w w:val="105"/>
          <w:sz w:val="21"/>
        </w:rPr>
        <w:t>to </w:t>
      </w:r>
      <w:r>
        <w:rPr>
          <w:w w:val="105"/>
          <w:sz w:val="21"/>
        </w:rPr>
        <w:t>use the above</w:t>
      </w:r>
      <w:r>
        <w:rPr>
          <w:spacing w:val="26"/>
          <w:w w:val="105"/>
          <w:sz w:val="21"/>
        </w:rPr>
        <w:t> </w:t>
      </w:r>
      <w:r>
        <w:rPr>
          <w:spacing w:val="-3"/>
          <w:w w:val="105"/>
          <w:sz w:val="21"/>
        </w:rPr>
        <w:t>mechanisms.</w:t>
      </w:r>
    </w:p>
    <w:p>
      <w:pPr>
        <w:pStyle w:val="ListParagraph"/>
        <w:numPr>
          <w:ilvl w:val="0"/>
          <w:numId w:val="146"/>
        </w:numPr>
        <w:tabs>
          <w:tab w:pos="2380" w:val="left" w:leader="none"/>
          <w:tab w:pos="2381" w:val="left" w:leader="none"/>
        </w:tabs>
        <w:spacing w:line="242" w:lineRule="auto" w:before="123" w:after="0"/>
        <w:ind w:left="2381" w:right="1676" w:hanging="794"/>
        <w:jc w:val="left"/>
        <w:rPr>
          <w:sz w:val="21"/>
        </w:rPr>
      </w:pPr>
      <w:r>
        <w:rPr>
          <w:w w:val="105"/>
          <w:sz w:val="21"/>
        </w:rPr>
        <w:t>The </w:t>
      </w:r>
      <w:r>
        <w:rPr>
          <w:spacing w:val="-3"/>
          <w:w w:val="105"/>
          <w:sz w:val="21"/>
        </w:rPr>
        <w:t>Commission </w:t>
      </w:r>
      <w:r>
        <w:rPr>
          <w:w w:val="105"/>
          <w:sz w:val="21"/>
        </w:rPr>
        <w:t>does </w:t>
      </w:r>
      <w:r>
        <w:rPr>
          <w:spacing w:val="-2"/>
          <w:w w:val="105"/>
          <w:sz w:val="21"/>
        </w:rPr>
        <w:t>not </w:t>
      </w:r>
      <w:r>
        <w:rPr>
          <w:spacing w:val="-3"/>
          <w:w w:val="105"/>
          <w:sz w:val="21"/>
        </w:rPr>
        <w:t>recommend that </w:t>
      </w:r>
      <w:r>
        <w:rPr>
          <w:w w:val="105"/>
          <w:sz w:val="21"/>
        </w:rPr>
        <w:t>legal practitioners be permitted </w:t>
      </w:r>
      <w:r>
        <w:rPr>
          <w:spacing w:val="-3"/>
          <w:w w:val="105"/>
          <w:sz w:val="21"/>
        </w:rPr>
        <w:t>to avail </w:t>
      </w:r>
      <w:r>
        <w:rPr>
          <w:w w:val="105"/>
          <w:sz w:val="21"/>
        </w:rPr>
        <w:t>themselves</w:t>
      </w:r>
      <w:r>
        <w:rPr>
          <w:spacing w:val="-14"/>
          <w:w w:val="105"/>
          <w:sz w:val="21"/>
        </w:rPr>
        <w:t> </w:t>
      </w:r>
      <w:r>
        <w:rPr>
          <w:w w:val="105"/>
          <w:sz w:val="21"/>
        </w:rPr>
        <w:t>of</w:t>
      </w:r>
      <w:r>
        <w:rPr>
          <w:spacing w:val="-13"/>
          <w:w w:val="105"/>
          <w:sz w:val="21"/>
        </w:rPr>
        <w:t> </w:t>
      </w:r>
      <w:r>
        <w:rPr>
          <w:w w:val="105"/>
          <w:sz w:val="21"/>
        </w:rPr>
        <w:t>either</w:t>
      </w:r>
      <w:r>
        <w:rPr>
          <w:spacing w:val="-13"/>
          <w:w w:val="105"/>
          <w:sz w:val="21"/>
        </w:rPr>
        <w:t> </w:t>
      </w:r>
      <w:r>
        <w:rPr>
          <w:w w:val="105"/>
          <w:sz w:val="21"/>
        </w:rPr>
        <w:t>expedited</w:t>
      </w:r>
      <w:r>
        <w:rPr>
          <w:spacing w:val="-13"/>
          <w:w w:val="105"/>
          <w:sz w:val="21"/>
        </w:rPr>
        <w:t> </w:t>
      </w:r>
      <w:r>
        <w:rPr>
          <w:spacing w:val="-3"/>
          <w:w w:val="105"/>
          <w:sz w:val="21"/>
        </w:rPr>
        <w:t>grant</w:t>
      </w:r>
      <w:r>
        <w:rPr>
          <w:spacing w:val="-13"/>
          <w:w w:val="105"/>
          <w:sz w:val="21"/>
        </w:rPr>
        <w:t> </w:t>
      </w:r>
      <w:r>
        <w:rPr>
          <w:w w:val="105"/>
          <w:sz w:val="21"/>
        </w:rPr>
        <w:t>process.</w:t>
      </w:r>
      <w:r>
        <w:rPr>
          <w:spacing w:val="-13"/>
          <w:w w:val="105"/>
          <w:sz w:val="21"/>
        </w:rPr>
        <w:t> </w:t>
      </w:r>
      <w:r>
        <w:rPr>
          <w:w w:val="105"/>
          <w:sz w:val="21"/>
        </w:rPr>
        <w:t>Where</w:t>
      </w:r>
      <w:r>
        <w:rPr>
          <w:spacing w:val="-13"/>
          <w:w w:val="105"/>
          <w:sz w:val="21"/>
        </w:rPr>
        <w:t> </w:t>
      </w:r>
      <w:r>
        <w:rPr>
          <w:w w:val="105"/>
          <w:sz w:val="21"/>
        </w:rPr>
        <w:t>those</w:t>
      </w:r>
      <w:r>
        <w:rPr>
          <w:spacing w:val="-13"/>
          <w:w w:val="105"/>
          <w:sz w:val="21"/>
        </w:rPr>
        <w:t> </w:t>
      </w:r>
      <w:r>
        <w:rPr>
          <w:w w:val="105"/>
          <w:sz w:val="21"/>
        </w:rPr>
        <w:t>seeking</w:t>
      </w:r>
      <w:r>
        <w:rPr>
          <w:spacing w:val="-13"/>
          <w:w w:val="105"/>
          <w:sz w:val="21"/>
        </w:rPr>
        <w:t> </w:t>
      </w:r>
      <w:r>
        <w:rPr>
          <w:spacing w:val="-3"/>
          <w:w w:val="105"/>
          <w:sz w:val="21"/>
        </w:rPr>
        <w:t>to</w:t>
      </w:r>
      <w:r>
        <w:rPr>
          <w:spacing w:val="-13"/>
          <w:w w:val="105"/>
          <w:sz w:val="21"/>
        </w:rPr>
        <w:t> </w:t>
      </w:r>
      <w:r>
        <w:rPr>
          <w:spacing w:val="-3"/>
          <w:w w:val="105"/>
          <w:sz w:val="21"/>
        </w:rPr>
        <w:t>have</w:t>
      </w:r>
      <w:r>
        <w:rPr>
          <w:spacing w:val="-13"/>
          <w:w w:val="105"/>
          <w:sz w:val="21"/>
        </w:rPr>
        <w:t> </w:t>
      </w:r>
      <w:r>
        <w:rPr>
          <w:w w:val="105"/>
          <w:sz w:val="21"/>
        </w:rPr>
        <w:t>a</w:t>
      </w:r>
      <w:r>
        <w:rPr>
          <w:spacing w:val="-13"/>
          <w:w w:val="105"/>
          <w:sz w:val="21"/>
        </w:rPr>
        <w:t> </w:t>
      </w:r>
      <w:r>
        <w:rPr>
          <w:spacing w:val="-3"/>
          <w:w w:val="105"/>
          <w:sz w:val="21"/>
        </w:rPr>
        <w:t>small</w:t>
      </w:r>
      <w:r>
        <w:rPr>
          <w:spacing w:val="-13"/>
          <w:w w:val="105"/>
          <w:sz w:val="21"/>
        </w:rPr>
        <w:t> </w:t>
      </w:r>
      <w:r>
        <w:rPr>
          <w:w w:val="105"/>
          <w:sz w:val="21"/>
        </w:rPr>
        <w:t>estate </w:t>
      </w:r>
      <w:r>
        <w:rPr>
          <w:spacing w:val="-3"/>
          <w:w w:val="105"/>
          <w:sz w:val="21"/>
        </w:rPr>
        <w:t>administered </w:t>
      </w:r>
      <w:r>
        <w:rPr>
          <w:w w:val="105"/>
          <w:sz w:val="21"/>
        </w:rPr>
        <w:t>engage a </w:t>
      </w:r>
      <w:r>
        <w:rPr>
          <w:spacing w:val="-3"/>
          <w:w w:val="105"/>
          <w:sz w:val="21"/>
        </w:rPr>
        <w:t>solicitor to </w:t>
      </w:r>
      <w:r>
        <w:rPr>
          <w:w w:val="105"/>
          <w:sz w:val="21"/>
        </w:rPr>
        <w:t>assist in the </w:t>
      </w:r>
      <w:r>
        <w:rPr>
          <w:spacing w:val="-3"/>
          <w:w w:val="105"/>
          <w:sz w:val="21"/>
        </w:rPr>
        <w:t>administration, </w:t>
      </w:r>
      <w:r>
        <w:rPr>
          <w:w w:val="105"/>
          <w:sz w:val="21"/>
        </w:rPr>
        <w:t>it is </w:t>
      </w:r>
      <w:r>
        <w:rPr>
          <w:spacing w:val="-4"/>
          <w:w w:val="105"/>
          <w:sz w:val="21"/>
        </w:rPr>
        <w:t>likely </w:t>
      </w:r>
      <w:r>
        <w:rPr>
          <w:spacing w:val="-3"/>
          <w:w w:val="105"/>
          <w:sz w:val="21"/>
        </w:rPr>
        <w:t>that </w:t>
      </w:r>
      <w:r>
        <w:rPr>
          <w:w w:val="105"/>
          <w:sz w:val="21"/>
        </w:rPr>
        <w:t>they can afford </w:t>
      </w:r>
      <w:r>
        <w:rPr>
          <w:spacing w:val="-3"/>
          <w:w w:val="105"/>
          <w:sz w:val="21"/>
        </w:rPr>
        <w:t>to </w:t>
      </w:r>
      <w:r>
        <w:rPr>
          <w:w w:val="105"/>
          <w:sz w:val="21"/>
        </w:rPr>
        <w:t>file </w:t>
      </w:r>
      <w:r>
        <w:rPr>
          <w:spacing w:val="-3"/>
          <w:w w:val="105"/>
          <w:sz w:val="21"/>
        </w:rPr>
        <w:t>for </w:t>
      </w:r>
      <w:r>
        <w:rPr>
          <w:w w:val="105"/>
          <w:sz w:val="21"/>
        </w:rPr>
        <w:t>a </w:t>
      </w:r>
      <w:r>
        <w:rPr>
          <w:spacing w:val="-3"/>
          <w:w w:val="105"/>
          <w:sz w:val="21"/>
        </w:rPr>
        <w:t>full grant. </w:t>
      </w:r>
      <w:r>
        <w:rPr>
          <w:spacing w:val="-4"/>
          <w:w w:val="105"/>
          <w:sz w:val="21"/>
        </w:rPr>
        <w:t>Further, </w:t>
      </w:r>
      <w:r>
        <w:rPr>
          <w:w w:val="105"/>
          <w:sz w:val="21"/>
        </w:rPr>
        <w:t>should the </w:t>
      </w:r>
      <w:r>
        <w:rPr>
          <w:spacing w:val="-3"/>
          <w:w w:val="105"/>
          <w:sz w:val="21"/>
        </w:rPr>
        <w:t>recommendation relating to </w:t>
      </w:r>
      <w:r>
        <w:rPr>
          <w:w w:val="105"/>
          <w:sz w:val="21"/>
        </w:rPr>
        <w:t>a </w:t>
      </w:r>
      <w:r>
        <w:rPr>
          <w:spacing w:val="-3"/>
          <w:w w:val="105"/>
          <w:sz w:val="21"/>
        </w:rPr>
        <w:t>sliding </w:t>
      </w:r>
      <w:r>
        <w:rPr>
          <w:w w:val="105"/>
          <w:sz w:val="21"/>
        </w:rPr>
        <w:t>scale of fees be </w:t>
      </w:r>
      <w:r>
        <w:rPr>
          <w:spacing w:val="-4"/>
          <w:w w:val="105"/>
          <w:sz w:val="21"/>
        </w:rPr>
        <w:t>implemented,</w:t>
      </w:r>
      <w:r>
        <w:rPr>
          <w:spacing w:val="-4"/>
          <w:w w:val="105"/>
          <w:position w:val="7"/>
          <w:sz w:val="12"/>
        </w:rPr>
        <w:t>131 </w:t>
      </w:r>
      <w:r>
        <w:rPr>
          <w:w w:val="105"/>
          <w:sz w:val="21"/>
        </w:rPr>
        <w:t>there would be no fee </w:t>
      </w:r>
      <w:r>
        <w:rPr>
          <w:spacing w:val="-3"/>
          <w:w w:val="105"/>
          <w:sz w:val="21"/>
        </w:rPr>
        <w:t>involved </w:t>
      </w:r>
      <w:r>
        <w:rPr>
          <w:w w:val="105"/>
          <w:sz w:val="21"/>
        </w:rPr>
        <w:t>in </w:t>
      </w:r>
      <w:r>
        <w:rPr>
          <w:spacing w:val="-3"/>
          <w:w w:val="105"/>
          <w:sz w:val="21"/>
        </w:rPr>
        <w:t>filing </w:t>
      </w:r>
      <w:r>
        <w:rPr>
          <w:w w:val="105"/>
          <w:sz w:val="21"/>
        </w:rPr>
        <w:t>an application </w:t>
      </w:r>
      <w:r>
        <w:rPr>
          <w:spacing w:val="-3"/>
          <w:w w:val="105"/>
          <w:sz w:val="21"/>
        </w:rPr>
        <w:t>for</w:t>
      </w:r>
      <w:r>
        <w:rPr>
          <w:spacing w:val="4"/>
          <w:w w:val="105"/>
          <w:sz w:val="21"/>
        </w:rPr>
        <w:t> </w:t>
      </w:r>
      <w:r>
        <w:rPr>
          <w:w w:val="105"/>
          <w:sz w:val="21"/>
        </w:rPr>
        <w:t>a</w:t>
      </w:r>
      <w:r>
        <w:rPr>
          <w:spacing w:val="5"/>
          <w:w w:val="105"/>
          <w:sz w:val="21"/>
        </w:rPr>
        <w:t> </w:t>
      </w:r>
      <w:r>
        <w:rPr>
          <w:spacing w:val="-3"/>
          <w:w w:val="105"/>
          <w:sz w:val="21"/>
        </w:rPr>
        <w:t>full</w:t>
      </w:r>
      <w:r>
        <w:rPr>
          <w:spacing w:val="5"/>
          <w:w w:val="105"/>
          <w:sz w:val="21"/>
        </w:rPr>
        <w:t> </w:t>
      </w:r>
      <w:r>
        <w:rPr>
          <w:spacing w:val="-3"/>
          <w:w w:val="105"/>
          <w:sz w:val="21"/>
        </w:rPr>
        <w:t>grant</w:t>
      </w:r>
      <w:r>
        <w:rPr>
          <w:spacing w:val="5"/>
          <w:w w:val="105"/>
          <w:sz w:val="21"/>
        </w:rPr>
        <w:t> </w:t>
      </w:r>
      <w:r>
        <w:rPr>
          <w:w w:val="105"/>
          <w:sz w:val="21"/>
        </w:rPr>
        <w:t>in</w:t>
      </w:r>
      <w:r>
        <w:rPr>
          <w:spacing w:val="5"/>
          <w:w w:val="105"/>
          <w:sz w:val="21"/>
        </w:rPr>
        <w:t> </w:t>
      </w:r>
      <w:r>
        <w:rPr>
          <w:w w:val="105"/>
          <w:sz w:val="21"/>
        </w:rPr>
        <w:t>respect</w:t>
      </w:r>
      <w:r>
        <w:rPr>
          <w:spacing w:val="5"/>
          <w:w w:val="105"/>
          <w:sz w:val="21"/>
        </w:rPr>
        <w:t> </w:t>
      </w:r>
      <w:r>
        <w:rPr>
          <w:w w:val="105"/>
          <w:sz w:val="21"/>
        </w:rPr>
        <w:t>of</w:t>
      </w:r>
      <w:r>
        <w:rPr>
          <w:spacing w:val="5"/>
          <w:w w:val="105"/>
          <w:sz w:val="21"/>
        </w:rPr>
        <w:t> </w:t>
      </w:r>
      <w:r>
        <w:rPr>
          <w:w w:val="105"/>
          <w:sz w:val="21"/>
        </w:rPr>
        <w:t>an</w:t>
      </w:r>
      <w:r>
        <w:rPr>
          <w:spacing w:val="4"/>
          <w:w w:val="105"/>
          <w:sz w:val="21"/>
        </w:rPr>
        <w:t> </w:t>
      </w:r>
      <w:r>
        <w:rPr>
          <w:w w:val="105"/>
          <w:sz w:val="21"/>
        </w:rPr>
        <w:t>estate</w:t>
      </w:r>
      <w:r>
        <w:rPr>
          <w:spacing w:val="5"/>
          <w:w w:val="105"/>
          <w:sz w:val="21"/>
        </w:rPr>
        <w:t> </w:t>
      </w:r>
      <w:r>
        <w:rPr>
          <w:w w:val="105"/>
          <w:sz w:val="21"/>
        </w:rPr>
        <w:t>of</w:t>
      </w:r>
      <w:r>
        <w:rPr>
          <w:spacing w:val="5"/>
          <w:w w:val="105"/>
          <w:sz w:val="21"/>
        </w:rPr>
        <w:t> </w:t>
      </w:r>
      <w:r>
        <w:rPr>
          <w:w w:val="105"/>
          <w:sz w:val="21"/>
        </w:rPr>
        <w:t>up</w:t>
      </w:r>
      <w:r>
        <w:rPr>
          <w:spacing w:val="5"/>
          <w:w w:val="105"/>
          <w:sz w:val="21"/>
        </w:rPr>
        <w:t> </w:t>
      </w:r>
      <w:r>
        <w:rPr>
          <w:spacing w:val="-3"/>
          <w:w w:val="105"/>
          <w:sz w:val="21"/>
        </w:rPr>
        <w:t>to</w:t>
      </w:r>
      <w:r>
        <w:rPr>
          <w:spacing w:val="5"/>
          <w:w w:val="105"/>
          <w:sz w:val="21"/>
        </w:rPr>
        <w:t> </w:t>
      </w:r>
      <w:r>
        <w:rPr>
          <w:spacing w:val="-3"/>
          <w:w w:val="105"/>
          <w:sz w:val="21"/>
        </w:rPr>
        <w:t>$100,000</w:t>
      </w:r>
      <w:r>
        <w:rPr>
          <w:spacing w:val="5"/>
          <w:w w:val="105"/>
          <w:sz w:val="21"/>
        </w:rPr>
        <w:t> </w:t>
      </w:r>
      <w:r>
        <w:rPr>
          <w:spacing w:val="-4"/>
          <w:w w:val="105"/>
          <w:sz w:val="21"/>
        </w:rPr>
        <w:t>value.</w:t>
      </w:r>
    </w:p>
    <w:p>
      <w:pPr>
        <w:pStyle w:val="ListParagraph"/>
        <w:numPr>
          <w:ilvl w:val="0"/>
          <w:numId w:val="146"/>
        </w:numPr>
        <w:tabs>
          <w:tab w:pos="2380" w:val="left" w:leader="none"/>
          <w:tab w:pos="2382" w:val="left" w:leader="none"/>
        </w:tabs>
        <w:spacing w:line="242" w:lineRule="auto" w:before="127" w:after="0"/>
        <w:ind w:left="2381" w:right="1665" w:hanging="794"/>
        <w:jc w:val="left"/>
        <w:rPr>
          <w:sz w:val="21"/>
        </w:rPr>
      </w:pPr>
      <w:r>
        <w:rPr>
          <w:sz w:val="21"/>
        </w:rPr>
        <w:t>The purpose of the section </w:t>
      </w:r>
      <w:r>
        <w:rPr>
          <w:spacing w:val="-3"/>
          <w:sz w:val="21"/>
        </w:rPr>
        <w:t>79 </w:t>
      </w:r>
      <w:r>
        <w:rPr>
          <w:sz w:val="21"/>
        </w:rPr>
        <w:t>process is </w:t>
      </w:r>
      <w:r>
        <w:rPr>
          <w:spacing w:val="-3"/>
          <w:sz w:val="21"/>
        </w:rPr>
        <w:t>to reduce </w:t>
      </w:r>
      <w:r>
        <w:rPr>
          <w:sz w:val="21"/>
        </w:rPr>
        <w:t>costs </w:t>
      </w:r>
      <w:r>
        <w:rPr>
          <w:spacing w:val="-3"/>
          <w:sz w:val="21"/>
        </w:rPr>
        <w:t>to State </w:t>
      </w:r>
      <w:r>
        <w:rPr>
          <w:spacing w:val="-4"/>
          <w:sz w:val="21"/>
        </w:rPr>
        <w:t>Trustees </w:t>
      </w:r>
      <w:r>
        <w:rPr>
          <w:sz w:val="21"/>
        </w:rPr>
        <w:t>and </w:t>
      </w:r>
      <w:r>
        <w:rPr>
          <w:spacing w:val="-3"/>
          <w:sz w:val="21"/>
        </w:rPr>
        <w:t>encourage administration </w:t>
      </w:r>
      <w:r>
        <w:rPr>
          <w:sz w:val="21"/>
        </w:rPr>
        <w:t>of estates where </w:t>
      </w:r>
      <w:r>
        <w:rPr>
          <w:spacing w:val="-3"/>
          <w:sz w:val="21"/>
        </w:rPr>
        <w:t>providing </w:t>
      </w:r>
      <w:r>
        <w:rPr>
          <w:sz w:val="21"/>
        </w:rPr>
        <w:t>this service would  </w:t>
      </w:r>
      <w:r>
        <w:rPr>
          <w:spacing w:val="-2"/>
          <w:sz w:val="21"/>
        </w:rPr>
        <w:t>not  </w:t>
      </w:r>
      <w:r>
        <w:rPr>
          <w:sz w:val="21"/>
        </w:rPr>
        <w:t>otherwise  be </w:t>
      </w:r>
      <w:r>
        <w:rPr>
          <w:spacing w:val="-3"/>
          <w:sz w:val="21"/>
        </w:rPr>
        <w:t>commercially viable. </w:t>
      </w:r>
      <w:r>
        <w:rPr>
          <w:sz w:val="21"/>
        </w:rPr>
        <w:t>As </w:t>
      </w:r>
      <w:r>
        <w:rPr>
          <w:spacing w:val="-3"/>
          <w:sz w:val="21"/>
        </w:rPr>
        <w:t>indicated, State </w:t>
      </w:r>
      <w:r>
        <w:rPr>
          <w:spacing w:val="-4"/>
          <w:sz w:val="21"/>
        </w:rPr>
        <w:t>Trustees </w:t>
      </w:r>
      <w:r>
        <w:rPr>
          <w:sz w:val="21"/>
        </w:rPr>
        <w:t>is given a </w:t>
      </w:r>
      <w:r>
        <w:rPr>
          <w:spacing w:val="-3"/>
          <w:sz w:val="21"/>
        </w:rPr>
        <w:t>government </w:t>
      </w:r>
      <w:r>
        <w:rPr>
          <w:sz w:val="21"/>
        </w:rPr>
        <w:t>subsidy </w:t>
      </w:r>
      <w:r>
        <w:rPr>
          <w:spacing w:val="-3"/>
          <w:sz w:val="21"/>
        </w:rPr>
        <w:t>to  </w:t>
      </w:r>
      <w:r>
        <w:rPr>
          <w:sz w:val="21"/>
        </w:rPr>
        <w:t>provide this</w:t>
      </w:r>
      <w:r>
        <w:rPr>
          <w:spacing w:val="7"/>
          <w:sz w:val="21"/>
        </w:rPr>
        <w:t> </w:t>
      </w:r>
      <w:r>
        <w:rPr>
          <w:sz w:val="21"/>
        </w:rPr>
        <w:t>service.</w:t>
      </w:r>
    </w:p>
    <w:p>
      <w:pPr>
        <w:pStyle w:val="BodyText"/>
        <w:spacing w:before="11"/>
      </w:pPr>
    </w:p>
    <w:p>
      <w:pPr>
        <w:pStyle w:val="Heading4"/>
      </w:pPr>
      <w:r>
        <w:rPr>
          <w:color w:val="EC5A4F"/>
          <w:w w:val="110"/>
        </w:rPr>
        <w:t>Other amendments to Part II of the Administration and Probate Act</w:t>
      </w:r>
    </w:p>
    <w:p>
      <w:pPr>
        <w:pStyle w:val="ListParagraph"/>
        <w:numPr>
          <w:ilvl w:val="0"/>
          <w:numId w:val="146"/>
        </w:numPr>
        <w:tabs>
          <w:tab w:pos="2381" w:val="left" w:leader="none"/>
          <w:tab w:pos="2382" w:val="left" w:leader="none"/>
        </w:tabs>
        <w:spacing w:line="242" w:lineRule="auto" w:before="155" w:after="0"/>
        <w:ind w:left="2381" w:right="2010" w:hanging="794"/>
        <w:jc w:val="left"/>
        <w:rPr>
          <w:sz w:val="21"/>
        </w:rPr>
      </w:pPr>
      <w:r>
        <w:rPr>
          <w:sz w:val="21"/>
        </w:rPr>
        <w:t>In </w:t>
      </w:r>
      <w:r>
        <w:rPr>
          <w:spacing w:val="-3"/>
          <w:sz w:val="21"/>
        </w:rPr>
        <w:t>reviewing </w:t>
      </w:r>
      <w:r>
        <w:rPr>
          <w:sz w:val="21"/>
        </w:rPr>
        <w:t>sections </w:t>
      </w:r>
      <w:r>
        <w:rPr>
          <w:spacing w:val="-3"/>
          <w:sz w:val="21"/>
        </w:rPr>
        <w:t>within </w:t>
      </w:r>
      <w:r>
        <w:rPr>
          <w:sz w:val="21"/>
        </w:rPr>
        <w:t>Part II of the </w:t>
      </w:r>
      <w:r>
        <w:rPr>
          <w:spacing w:val="-3"/>
          <w:sz w:val="21"/>
        </w:rPr>
        <w:t>Administration </w:t>
      </w:r>
      <w:r>
        <w:rPr>
          <w:sz w:val="21"/>
        </w:rPr>
        <w:t>and </w:t>
      </w:r>
      <w:r>
        <w:rPr>
          <w:spacing w:val="-3"/>
          <w:sz w:val="21"/>
        </w:rPr>
        <w:t>Probate </w:t>
      </w:r>
      <w:r>
        <w:rPr>
          <w:sz w:val="21"/>
        </w:rPr>
        <w:t>Act over  the course of the </w:t>
      </w:r>
      <w:r>
        <w:rPr>
          <w:spacing w:val="-4"/>
          <w:sz w:val="21"/>
        </w:rPr>
        <w:t>reference, </w:t>
      </w:r>
      <w:r>
        <w:rPr>
          <w:sz w:val="21"/>
        </w:rPr>
        <w:t>the </w:t>
      </w:r>
      <w:r>
        <w:rPr>
          <w:spacing w:val="-3"/>
          <w:sz w:val="21"/>
        </w:rPr>
        <w:t>Commission </w:t>
      </w:r>
      <w:r>
        <w:rPr>
          <w:spacing w:val="-2"/>
          <w:sz w:val="21"/>
        </w:rPr>
        <w:t>has </w:t>
      </w:r>
      <w:r>
        <w:rPr>
          <w:spacing w:val="-3"/>
          <w:sz w:val="21"/>
        </w:rPr>
        <w:t>noted </w:t>
      </w:r>
      <w:r>
        <w:rPr>
          <w:sz w:val="21"/>
        </w:rPr>
        <w:t>two errors, and </w:t>
      </w:r>
      <w:r>
        <w:rPr>
          <w:spacing w:val="-3"/>
          <w:sz w:val="21"/>
        </w:rPr>
        <w:t>recommends that </w:t>
      </w:r>
      <w:r>
        <w:rPr>
          <w:sz w:val="21"/>
        </w:rPr>
        <w:t>they be</w:t>
      </w:r>
      <w:r>
        <w:rPr>
          <w:spacing w:val="16"/>
          <w:sz w:val="21"/>
        </w:rPr>
        <w:t> </w:t>
      </w:r>
      <w:r>
        <w:rPr>
          <w:sz w:val="21"/>
        </w:rPr>
        <w:t>corrected.</w:t>
      </w:r>
    </w:p>
    <w:p>
      <w:pPr>
        <w:pStyle w:val="ListParagraph"/>
        <w:numPr>
          <w:ilvl w:val="1"/>
          <w:numId w:val="146"/>
        </w:numPr>
        <w:tabs>
          <w:tab w:pos="2721" w:val="left" w:leader="none"/>
          <w:tab w:pos="2722" w:val="left" w:leader="none"/>
        </w:tabs>
        <w:spacing w:line="242" w:lineRule="auto" w:before="123" w:after="0"/>
        <w:ind w:left="2721" w:right="2596" w:hanging="340"/>
        <w:jc w:val="left"/>
        <w:rPr>
          <w:sz w:val="21"/>
        </w:rPr>
      </w:pPr>
      <w:r>
        <w:rPr>
          <w:w w:val="105"/>
          <w:sz w:val="21"/>
        </w:rPr>
        <w:t>Section </w:t>
      </w:r>
      <w:r>
        <w:rPr>
          <w:spacing w:val="-3"/>
          <w:w w:val="105"/>
          <w:sz w:val="21"/>
        </w:rPr>
        <w:t>71(2): ‘registrar </w:t>
      </w:r>
      <w:r>
        <w:rPr>
          <w:w w:val="105"/>
          <w:sz w:val="21"/>
        </w:rPr>
        <w:t>of the </w:t>
      </w:r>
      <w:r>
        <w:rPr>
          <w:spacing w:val="-3"/>
          <w:w w:val="105"/>
          <w:sz w:val="21"/>
        </w:rPr>
        <w:t>Supreme </w:t>
      </w:r>
      <w:r>
        <w:rPr>
          <w:w w:val="105"/>
          <w:sz w:val="21"/>
        </w:rPr>
        <w:t>Court’ should </w:t>
      </w:r>
      <w:r>
        <w:rPr>
          <w:spacing w:val="-3"/>
          <w:w w:val="105"/>
          <w:sz w:val="21"/>
        </w:rPr>
        <w:t>read ‘registrar </w:t>
      </w:r>
      <w:r>
        <w:rPr>
          <w:w w:val="105"/>
          <w:sz w:val="21"/>
        </w:rPr>
        <w:t>of the </w:t>
      </w:r>
      <w:r>
        <w:rPr>
          <w:spacing w:val="-3"/>
          <w:w w:val="105"/>
          <w:sz w:val="21"/>
        </w:rPr>
        <w:t>Magistrates’</w:t>
      </w:r>
      <w:r>
        <w:rPr>
          <w:spacing w:val="5"/>
          <w:w w:val="105"/>
          <w:sz w:val="21"/>
        </w:rPr>
        <w:t> </w:t>
      </w:r>
      <w:r>
        <w:rPr>
          <w:spacing w:val="-4"/>
          <w:w w:val="105"/>
          <w:sz w:val="21"/>
        </w:rPr>
        <w:t>Court’.</w:t>
      </w:r>
    </w:p>
    <w:p>
      <w:pPr>
        <w:pStyle w:val="ListParagraph"/>
        <w:numPr>
          <w:ilvl w:val="1"/>
          <w:numId w:val="146"/>
        </w:numPr>
        <w:tabs>
          <w:tab w:pos="2721" w:val="left" w:leader="none"/>
          <w:tab w:pos="2722" w:val="left" w:leader="none"/>
        </w:tabs>
        <w:spacing w:line="242" w:lineRule="auto" w:before="123" w:after="0"/>
        <w:ind w:left="2721" w:right="2383" w:hanging="340"/>
        <w:jc w:val="left"/>
        <w:rPr>
          <w:sz w:val="21"/>
        </w:rPr>
      </w:pPr>
      <w:r>
        <w:rPr>
          <w:w w:val="105"/>
          <w:sz w:val="21"/>
        </w:rPr>
        <w:t>Section </w:t>
      </w:r>
      <w:r>
        <w:rPr>
          <w:spacing w:val="-3"/>
          <w:w w:val="105"/>
          <w:sz w:val="21"/>
        </w:rPr>
        <w:t>72: </w:t>
      </w:r>
      <w:r>
        <w:rPr>
          <w:w w:val="105"/>
          <w:sz w:val="21"/>
        </w:rPr>
        <w:t>the </w:t>
      </w:r>
      <w:r>
        <w:rPr>
          <w:spacing w:val="-3"/>
          <w:w w:val="105"/>
          <w:sz w:val="21"/>
        </w:rPr>
        <w:t>reference </w:t>
      </w:r>
      <w:r>
        <w:rPr>
          <w:w w:val="105"/>
          <w:sz w:val="21"/>
        </w:rPr>
        <w:t>in the </w:t>
      </w:r>
      <w:r>
        <w:rPr>
          <w:spacing w:val="-3"/>
          <w:w w:val="105"/>
          <w:sz w:val="21"/>
        </w:rPr>
        <w:t>heading to </w:t>
      </w:r>
      <w:r>
        <w:rPr>
          <w:w w:val="105"/>
          <w:sz w:val="21"/>
        </w:rPr>
        <w:t>the </w:t>
      </w:r>
      <w:r>
        <w:rPr>
          <w:spacing w:val="-3"/>
          <w:w w:val="105"/>
          <w:sz w:val="21"/>
        </w:rPr>
        <w:t>County Court registrar </w:t>
      </w:r>
      <w:r>
        <w:rPr>
          <w:w w:val="105"/>
          <w:sz w:val="21"/>
        </w:rPr>
        <w:t>should be</w:t>
      </w:r>
      <w:r>
        <w:rPr>
          <w:spacing w:val="5"/>
          <w:w w:val="105"/>
          <w:sz w:val="21"/>
        </w:rPr>
        <w:t> </w:t>
      </w:r>
      <w:r>
        <w:rPr>
          <w:spacing w:val="-3"/>
          <w:w w:val="105"/>
          <w:sz w:val="21"/>
        </w:rPr>
        <w:t>removed.</w:t>
      </w:r>
    </w:p>
    <w:p>
      <w:pPr>
        <w:pStyle w:val="BodyText"/>
        <w:spacing w:before="1"/>
        <w:rPr>
          <w:sz w:val="19"/>
        </w:rPr>
      </w:pPr>
      <w:r>
        <w:rPr/>
        <w:pict>
          <v:group style="position:absolute;margin-left:62.362202pt;margin-top:13.625164pt;width:479.1pt;height:147.550pt;mso-position-horizontal-relative:page;mso-position-vertical-relative:paragraph;z-index:12656;mso-wrap-distance-left:0;mso-wrap-distance-right:0" coordorigin="1247,273" coordsize="9582,2951">
            <v:rect style="position:absolute;left:1587;top:272;width:8731;height:2951" filled="true" fillcolor="#fdebea" stroked="false">
              <v:fill type="solid"/>
            </v:rect>
            <v:line style="position:absolute" from="1247,1023" to="10828,1023" stroked="true" strokeweight="2.5pt" strokecolor="#ffffff">
              <v:stroke dashstyle="solid"/>
            </v:line>
            <v:shape style="position:absolute;left:2381;top:1260;width:7665;height:1789" type="#_x0000_t202" filled="false" stroked="false">
              <v:textbox inset="0,0,0,0">
                <w:txbxContent>
                  <w:p>
                    <w:pPr>
                      <w:spacing w:line="253" w:lineRule="exact" w:before="0"/>
                      <w:ind w:left="0" w:right="0" w:firstLine="0"/>
                      <w:jc w:val="left"/>
                      <w:rPr>
                        <w:rFonts w:ascii="Lucida Sans"/>
                        <w:i/>
                        <w:sz w:val="21"/>
                      </w:rPr>
                    </w:pPr>
                    <w:r>
                      <w:rPr>
                        <w:w w:val="105"/>
                        <w:sz w:val="21"/>
                      </w:rPr>
                      <w:t>The </w:t>
                    </w:r>
                    <w:r>
                      <w:rPr>
                        <w:spacing w:val="-2"/>
                        <w:w w:val="105"/>
                        <w:sz w:val="21"/>
                      </w:rPr>
                      <w:t>following</w:t>
                    </w:r>
                    <w:r>
                      <w:rPr>
                        <w:w w:val="105"/>
                        <w:sz w:val="21"/>
                      </w:rPr>
                      <w:t> corrections of errors</w:t>
                    </w:r>
                    <w:r>
                      <w:rPr>
                        <w:spacing w:val="1"/>
                        <w:w w:val="105"/>
                        <w:sz w:val="21"/>
                      </w:rPr>
                      <w:t> </w:t>
                    </w:r>
                    <w:r>
                      <w:rPr>
                        <w:w w:val="105"/>
                        <w:sz w:val="21"/>
                      </w:rPr>
                      <w:t>in the </w:t>
                    </w:r>
                    <w:r>
                      <w:rPr>
                        <w:rFonts w:ascii="Lucida Sans"/>
                        <w:i/>
                        <w:w w:val="105"/>
                        <w:sz w:val="21"/>
                      </w:rPr>
                      <w:t>Administration</w:t>
                    </w:r>
                    <w:r>
                      <w:rPr>
                        <w:rFonts w:ascii="Lucida Sans"/>
                        <w:i/>
                        <w:spacing w:val="-19"/>
                        <w:w w:val="105"/>
                        <w:sz w:val="21"/>
                      </w:rPr>
                      <w:t> </w:t>
                    </w:r>
                    <w:r>
                      <w:rPr>
                        <w:rFonts w:ascii="Lucida Sans"/>
                        <w:i/>
                        <w:w w:val="105"/>
                        <w:sz w:val="21"/>
                      </w:rPr>
                      <w:t>and</w:t>
                    </w:r>
                    <w:r>
                      <w:rPr>
                        <w:rFonts w:ascii="Lucida Sans"/>
                        <w:i/>
                        <w:spacing w:val="-20"/>
                        <w:w w:val="105"/>
                        <w:sz w:val="21"/>
                      </w:rPr>
                      <w:t> </w:t>
                    </w:r>
                    <w:r>
                      <w:rPr>
                        <w:rFonts w:ascii="Lucida Sans"/>
                        <w:i/>
                        <w:w w:val="105"/>
                        <w:sz w:val="21"/>
                      </w:rPr>
                      <w:t>Probate</w:t>
                    </w:r>
                    <w:r>
                      <w:rPr>
                        <w:rFonts w:ascii="Lucida Sans"/>
                        <w:i/>
                        <w:spacing w:val="-20"/>
                        <w:w w:val="105"/>
                        <w:sz w:val="21"/>
                      </w:rPr>
                      <w:t> </w:t>
                    </w:r>
                    <w:r>
                      <w:rPr>
                        <w:rFonts w:ascii="Lucida Sans"/>
                        <w:i/>
                        <w:w w:val="105"/>
                        <w:sz w:val="21"/>
                      </w:rPr>
                      <w:t>Act</w:t>
                    </w:r>
                    <w:r>
                      <w:rPr>
                        <w:rFonts w:ascii="Lucida Sans"/>
                        <w:i/>
                        <w:spacing w:val="-20"/>
                        <w:w w:val="105"/>
                        <w:sz w:val="21"/>
                      </w:rPr>
                      <w:t> </w:t>
                    </w:r>
                    <w:r>
                      <w:rPr>
                        <w:rFonts w:ascii="Lucida Sans"/>
                        <w:i/>
                        <w:spacing w:val="-4"/>
                        <w:w w:val="105"/>
                        <w:sz w:val="21"/>
                      </w:rPr>
                      <w:t>1958</w:t>
                    </w:r>
                  </w:p>
                  <w:p>
                    <w:pPr>
                      <w:spacing w:before="3"/>
                      <w:ind w:left="0" w:right="0" w:firstLine="0"/>
                      <w:jc w:val="left"/>
                      <w:rPr>
                        <w:sz w:val="21"/>
                      </w:rPr>
                    </w:pPr>
                    <w:r>
                      <w:rPr>
                        <w:w w:val="115"/>
                        <w:sz w:val="21"/>
                      </w:rPr>
                      <w:t>(Vic) should be made:</w:t>
                    </w:r>
                  </w:p>
                  <w:p>
                    <w:pPr>
                      <w:numPr>
                        <w:ilvl w:val="0"/>
                        <w:numId w:val="151"/>
                      </w:numPr>
                      <w:tabs>
                        <w:tab w:pos="341" w:val="left" w:leader="none"/>
                      </w:tabs>
                      <w:spacing w:line="242" w:lineRule="auto" w:before="124"/>
                      <w:ind w:left="340" w:right="441" w:hanging="340"/>
                      <w:jc w:val="left"/>
                      <w:rPr>
                        <w:sz w:val="21"/>
                      </w:rPr>
                    </w:pPr>
                    <w:r>
                      <w:rPr>
                        <w:w w:val="115"/>
                        <w:sz w:val="21"/>
                      </w:rPr>
                      <w:t>Section</w:t>
                    </w:r>
                    <w:r>
                      <w:rPr>
                        <w:spacing w:val="-11"/>
                        <w:w w:val="115"/>
                        <w:sz w:val="21"/>
                      </w:rPr>
                      <w:t> </w:t>
                    </w:r>
                    <w:r>
                      <w:rPr>
                        <w:w w:val="115"/>
                        <w:sz w:val="21"/>
                      </w:rPr>
                      <w:t>71(2):</w:t>
                    </w:r>
                    <w:r>
                      <w:rPr>
                        <w:spacing w:val="-10"/>
                        <w:w w:val="115"/>
                        <w:sz w:val="21"/>
                      </w:rPr>
                      <w:t> </w:t>
                    </w:r>
                    <w:r>
                      <w:rPr>
                        <w:w w:val="115"/>
                        <w:sz w:val="21"/>
                      </w:rPr>
                      <w:t>‘registrar</w:t>
                    </w:r>
                    <w:r>
                      <w:rPr>
                        <w:spacing w:val="-11"/>
                        <w:w w:val="115"/>
                        <w:sz w:val="21"/>
                      </w:rPr>
                      <w:t> </w:t>
                    </w:r>
                    <w:r>
                      <w:rPr>
                        <w:w w:val="115"/>
                        <w:sz w:val="21"/>
                      </w:rPr>
                      <w:t>of</w:t>
                    </w:r>
                    <w:r>
                      <w:rPr>
                        <w:spacing w:val="-10"/>
                        <w:w w:val="115"/>
                        <w:sz w:val="21"/>
                      </w:rPr>
                      <w:t> </w:t>
                    </w:r>
                    <w:r>
                      <w:rPr>
                        <w:w w:val="115"/>
                        <w:sz w:val="21"/>
                      </w:rPr>
                      <w:t>the</w:t>
                    </w:r>
                    <w:r>
                      <w:rPr>
                        <w:spacing w:val="-11"/>
                        <w:w w:val="115"/>
                        <w:sz w:val="21"/>
                      </w:rPr>
                      <w:t> </w:t>
                    </w:r>
                    <w:r>
                      <w:rPr>
                        <w:w w:val="115"/>
                        <w:sz w:val="21"/>
                      </w:rPr>
                      <w:t>Supreme</w:t>
                    </w:r>
                    <w:r>
                      <w:rPr>
                        <w:spacing w:val="-10"/>
                        <w:w w:val="115"/>
                        <w:sz w:val="21"/>
                      </w:rPr>
                      <w:t> </w:t>
                    </w:r>
                    <w:r>
                      <w:rPr>
                        <w:w w:val="115"/>
                        <w:sz w:val="21"/>
                      </w:rPr>
                      <w:t>Court’</w:t>
                    </w:r>
                    <w:r>
                      <w:rPr>
                        <w:spacing w:val="-11"/>
                        <w:w w:val="115"/>
                        <w:sz w:val="21"/>
                      </w:rPr>
                      <w:t> </w:t>
                    </w:r>
                    <w:r>
                      <w:rPr>
                        <w:w w:val="115"/>
                        <w:sz w:val="21"/>
                      </w:rPr>
                      <w:t>should</w:t>
                    </w:r>
                    <w:r>
                      <w:rPr>
                        <w:spacing w:val="-10"/>
                        <w:w w:val="115"/>
                        <w:sz w:val="21"/>
                      </w:rPr>
                      <w:t> </w:t>
                    </w:r>
                    <w:r>
                      <w:rPr>
                        <w:w w:val="115"/>
                        <w:sz w:val="21"/>
                      </w:rPr>
                      <w:t>read</w:t>
                    </w:r>
                    <w:r>
                      <w:rPr>
                        <w:spacing w:val="-10"/>
                        <w:w w:val="115"/>
                        <w:sz w:val="21"/>
                      </w:rPr>
                      <w:t> </w:t>
                    </w:r>
                    <w:r>
                      <w:rPr>
                        <w:w w:val="115"/>
                        <w:sz w:val="21"/>
                      </w:rPr>
                      <w:t>‘registrar</w:t>
                    </w:r>
                    <w:r>
                      <w:rPr>
                        <w:spacing w:val="-11"/>
                        <w:w w:val="115"/>
                        <w:sz w:val="21"/>
                      </w:rPr>
                      <w:t> </w:t>
                    </w:r>
                    <w:r>
                      <w:rPr>
                        <w:w w:val="115"/>
                        <w:sz w:val="21"/>
                      </w:rPr>
                      <w:t>of the Magistrates’ Court’.</w:t>
                    </w:r>
                  </w:p>
                  <w:p>
                    <w:pPr>
                      <w:numPr>
                        <w:ilvl w:val="0"/>
                        <w:numId w:val="151"/>
                      </w:numPr>
                      <w:tabs>
                        <w:tab w:pos="341" w:val="left" w:leader="none"/>
                      </w:tabs>
                      <w:spacing w:line="242" w:lineRule="auto" w:before="122"/>
                      <w:ind w:left="340" w:right="533" w:hanging="340"/>
                      <w:jc w:val="left"/>
                      <w:rPr>
                        <w:sz w:val="21"/>
                      </w:rPr>
                    </w:pPr>
                    <w:r>
                      <w:rPr>
                        <w:w w:val="115"/>
                        <w:sz w:val="21"/>
                      </w:rPr>
                      <w:t>Section</w:t>
                    </w:r>
                    <w:r>
                      <w:rPr>
                        <w:spacing w:val="-7"/>
                        <w:w w:val="115"/>
                        <w:sz w:val="21"/>
                      </w:rPr>
                      <w:t> </w:t>
                    </w:r>
                    <w:r>
                      <w:rPr>
                        <w:w w:val="115"/>
                        <w:sz w:val="21"/>
                      </w:rPr>
                      <w:t>72:</w:t>
                    </w:r>
                    <w:r>
                      <w:rPr>
                        <w:spacing w:val="-6"/>
                        <w:w w:val="115"/>
                        <w:sz w:val="21"/>
                      </w:rPr>
                      <w:t> </w:t>
                    </w:r>
                    <w:r>
                      <w:rPr>
                        <w:w w:val="115"/>
                        <w:sz w:val="21"/>
                      </w:rPr>
                      <w:t>the</w:t>
                    </w:r>
                    <w:r>
                      <w:rPr>
                        <w:spacing w:val="-6"/>
                        <w:w w:val="115"/>
                        <w:sz w:val="21"/>
                      </w:rPr>
                      <w:t> </w:t>
                    </w:r>
                    <w:r>
                      <w:rPr>
                        <w:w w:val="115"/>
                        <w:sz w:val="21"/>
                      </w:rPr>
                      <w:t>reference</w:t>
                    </w:r>
                    <w:r>
                      <w:rPr>
                        <w:spacing w:val="-6"/>
                        <w:w w:val="115"/>
                        <w:sz w:val="21"/>
                      </w:rPr>
                      <w:t> </w:t>
                    </w:r>
                    <w:r>
                      <w:rPr>
                        <w:w w:val="115"/>
                        <w:sz w:val="21"/>
                      </w:rPr>
                      <w:t>in</w:t>
                    </w:r>
                    <w:r>
                      <w:rPr>
                        <w:spacing w:val="-6"/>
                        <w:w w:val="115"/>
                        <w:sz w:val="21"/>
                      </w:rPr>
                      <w:t> </w:t>
                    </w:r>
                    <w:r>
                      <w:rPr>
                        <w:w w:val="115"/>
                        <w:sz w:val="21"/>
                      </w:rPr>
                      <w:t>the</w:t>
                    </w:r>
                    <w:r>
                      <w:rPr>
                        <w:spacing w:val="-6"/>
                        <w:w w:val="115"/>
                        <w:sz w:val="21"/>
                      </w:rPr>
                      <w:t> </w:t>
                    </w:r>
                    <w:r>
                      <w:rPr>
                        <w:w w:val="115"/>
                        <w:sz w:val="21"/>
                      </w:rPr>
                      <w:t>heading</w:t>
                    </w:r>
                    <w:r>
                      <w:rPr>
                        <w:spacing w:val="-6"/>
                        <w:w w:val="115"/>
                        <w:sz w:val="21"/>
                      </w:rPr>
                      <w:t> </w:t>
                    </w:r>
                    <w:r>
                      <w:rPr>
                        <w:w w:val="115"/>
                        <w:sz w:val="21"/>
                      </w:rPr>
                      <w:t>to</w:t>
                    </w:r>
                    <w:r>
                      <w:rPr>
                        <w:spacing w:val="-6"/>
                        <w:w w:val="115"/>
                        <w:sz w:val="21"/>
                      </w:rPr>
                      <w:t> </w:t>
                    </w:r>
                    <w:r>
                      <w:rPr>
                        <w:w w:val="115"/>
                        <w:sz w:val="21"/>
                      </w:rPr>
                      <w:t>the</w:t>
                    </w:r>
                    <w:r>
                      <w:rPr>
                        <w:spacing w:val="-6"/>
                        <w:w w:val="115"/>
                        <w:sz w:val="21"/>
                      </w:rPr>
                      <w:t> </w:t>
                    </w:r>
                    <w:r>
                      <w:rPr>
                        <w:w w:val="115"/>
                        <w:sz w:val="21"/>
                      </w:rPr>
                      <w:t>County</w:t>
                    </w:r>
                    <w:r>
                      <w:rPr>
                        <w:spacing w:val="-6"/>
                        <w:w w:val="115"/>
                        <w:sz w:val="21"/>
                      </w:rPr>
                      <w:t> </w:t>
                    </w:r>
                    <w:r>
                      <w:rPr>
                        <w:w w:val="115"/>
                        <w:sz w:val="21"/>
                      </w:rPr>
                      <w:t>Court</w:t>
                    </w:r>
                    <w:r>
                      <w:rPr>
                        <w:spacing w:val="-6"/>
                        <w:w w:val="115"/>
                        <w:sz w:val="21"/>
                      </w:rPr>
                      <w:t> </w:t>
                    </w:r>
                    <w:r>
                      <w:rPr>
                        <w:w w:val="115"/>
                        <w:sz w:val="21"/>
                      </w:rPr>
                      <w:t>registrar should be removed.</w:t>
                    </w:r>
                  </w:p>
                </w:txbxContent>
              </v:textbox>
              <w10:wrap type="none"/>
            </v:shape>
            <v:shape style="position:absolute;left:1814;top:1260;width:252;height:249" type="#_x0000_t202" filled="false" stroked="false">
              <v:textbox inset="0,0,0,0">
                <w:txbxContent>
                  <w:p>
                    <w:pPr>
                      <w:spacing w:line="249" w:lineRule="exact" w:before="0"/>
                      <w:ind w:left="0" w:right="0" w:firstLine="0"/>
                      <w:jc w:val="left"/>
                      <w:rPr>
                        <w:sz w:val="21"/>
                      </w:rPr>
                    </w:pPr>
                    <w:r>
                      <w:rPr>
                        <w:w w:val="110"/>
                        <w:sz w:val="21"/>
                      </w:rPr>
                      <w:t>78</w:t>
                    </w:r>
                  </w:p>
                </w:txbxContent>
              </v:textbox>
              <w10:wrap type="none"/>
            </v:shape>
            <v:shape style="position:absolute;left:1587;top:272;width:8731;height:726" type="#_x0000_t202" filled="true" fillcolor="#fdebea" stroked="false">
              <v:textbox inset="0,0,0,0">
                <w:txbxContent>
                  <w:p>
                    <w:pPr>
                      <w:spacing w:before="166"/>
                      <w:ind w:left="226" w:right="0" w:firstLine="0"/>
                      <w:jc w:val="left"/>
                      <w:rPr>
                        <w:b/>
                        <w:sz w:val="32"/>
                      </w:rPr>
                    </w:pPr>
                    <w:r>
                      <w:rPr>
                        <w:b/>
                        <w:color w:val="EC5A4F"/>
                        <w:w w:val="110"/>
                        <w:sz w:val="32"/>
                      </w:rPr>
                      <w:t>Recommendation</w:t>
                    </w:r>
                  </w:p>
                </w:txbxContent>
              </v:textbox>
              <v:fill type="solid"/>
              <w10:wrap type="none"/>
            </v:shap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6"/>
        </w:rPr>
      </w:pPr>
      <w:r>
        <w:rPr/>
        <w:pict>
          <v:line style="position:absolute;mso-position-horizontal-relative:page;mso-position-vertical-relative:paragraph;z-index:12680;mso-wrap-distance-left:0;mso-wrap-distance-right:0" from="79.370102pt,12.382656pt" to="515.905102pt,12.382656pt" stroked="true" strokeweight="1pt" strokecolor="#f9ceca">
            <v:stroke dashstyle="solid"/>
            <w10:wrap type="topAndBottom"/>
          </v:line>
        </w:pict>
      </w:r>
    </w:p>
    <w:p>
      <w:pPr>
        <w:pStyle w:val="BodyText"/>
        <w:spacing w:before="8"/>
        <w:rPr>
          <w:sz w:val="5"/>
        </w:rPr>
      </w:pPr>
    </w:p>
    <w:p>
      <w:pPr>
        <w:spacing w:after="0"/>
        <w:rPr>
          <w:sz w:val="5"/>
        </w:rPr>
        <w:sectPr>
          <w:pgSz w:w="11910" w:h="16840"/>
          <w:pgMar w:header="550" w:footer="0" w:top="1560" w:bottom="280" w:left="0" w:right="0"/>
        </w:sectPr>
      </w:pPr>
    </w:p>
    <w:p>
      <w:pPr>
        <w:spacing w:before="103"/>
        <w:ind w:left="720" w:right="0" w:firstLine="0"/>
        <w:jc w:val="left"/>
        <w:rPr>
          <w:b/>
          <w:sz w:val="24"/>
        </w:rPr>
      </w:pPr>
      <w:r>
        <w:rPr>
          <w:b/>
          <w:color w:val="EC5A4F"/>
          <w:spacing w:val="-5"/>
          <w:w w:val="110"/>
          <w:sz w:val="24"/>
        </w:rPr>
        <w:t>210</w:t>
      </w:r>
    </w:p>
    <w:p>
      <w:pPr>
        <w:tabs>
          <w:tab w:pos="1233" w:val="left" w:leader="none"/>
        </w:tabs>
        <w:spacing w:before="48"/>
        <w:ind w:left="440" w:right="0" w:firstLine="0"/>
        <w:jc w:val="left"/>
        <w:rPr>
          <w:sz w:val="13"/>
        </w:rPr>
      </w:pPr>
      <w:r>
        <w:rPr/>
        <w:br w:type="column"/>
      </w:r>
      <w:r>
        <w:rPr>
          <w:w w:val="105"/>
          <w:sz w:val="13"/>
        </w:rPr>
        <w:t>130</w:t>
        <w:tab/>
        <w:t>Submission 33 (State Trustees</w:t>
      </w:r>
      <w:r>
        <w:rPr>
          <w:spacing w:val="18"/>
          <w:w w:val="105"/>
          <w:sz w:val="13"/>
        </w:rPr>
        <w:t> </w:t>
      </w:r>
      <w:r>
        <w:rPr>
          <w:w w:val="105"/>
          <w:sz w:val="13"/>
        </w:rPr>
        <w:t>Limited).</w:t>
      </w:r>
    </w:p>
    <w:p>
      <w:pPr>
        <w:tabs>
          <w:tab w:pos="1233" w:val="left" w:leader="none"/>
        </w:tabs>
        <w:spacing w:before="1"/>
        <w:ind w:left="440" w:right="0" w:firstLine="0"/>
        <w:jc w:val="left"/>
        <w:rPr>
          <w:sz w:val="13"/>
        </w:rPr>
      </w:pPr>
      <w:r>
        <w:rPr>
          <w:spacing w:val="-4"/>
          <w:w w:val="105"/>
          <w:sz w:val="13"/>
        </w:rPr>
        <w:t>131</w:t>
        <w:tab/>
      </w:r>
      <w:r>
        <w:rPr>
          <w:w w:val="105"/>
          <w:sz w:val="13"/>
        </w:rPr>
        <w:t>See discussion above at</w:t>
      </w:r>
      <w:r>
        <w:rPr>
          <w:spacing w:val="18"/>
          <w:w w:val="105"/>
          <w:sz w:val="13"/>
        </w:rPr>
        <w:t> </w:t>
      </w:r>
      <w:r>
        <w:rPr>
          <w:w w:val="105"/>
          <w:sz w:val="13"/>
        </w:rPr>
        <w:t>[9.109].</w:t>
      </w:r>
    </w:p>
    <w:p>
      <w:pPr>
        <w:spacing w:after="0"/>
        <w:jc w:val="left"/>
        <w:rPr>
          <w:sz w:val="13"/>
        </w:rPr>
        <w:sectPr>
          <w:type w:val="continuous"/>
          <w:pgSz w:w="11910" w:h="16840"/>
          <w:pgMar w:top="920" w:bottom="280" w:left="0" w:right="0"/>
          <w:cols w:num="2" w:equalWidth="0">
            <w:col w:w="1108" w:space="40"/>
            <w:col w:w="10762"/>
          </w:cols>
        </w:sectPr>
      </w:pPr>
    </w:p>
    <w:p>
      <w:pPr>
        <w:pStyle w:val="Heading1"/>
        <w:tabs>
          <w:tab w:pos="1417" w:val="left" w:leader="none"/>
        </w:tabs>
        <w:jc w:val="right"/>
      </w:pPr>
      <w:r>
        <w:rPr/>
        <w:pict>
          <v:shape style="position:absolute;margin-left:538.582581pt;margin-top:4.373536pt;width:13.35pt;height:28.45pt;mso-position-horizontal-relative:page;mso-position-vertical-relative:paragraph;z-index:-293704" type="#_x0000_t202" filled="false" stroked="false">
            <v:textbox inset="0,0,0,0">
              <w:txbxContent>
                <w:p>
                  <w:pPr>
                    <w:spacing w:line="569" w:lineRule="exact" w:before="0"/>
                    <w:ind w:left="0" w:right="0" w:firstLine="0"/>
                    <w:jc w:val="left"/>
                    <w:rPr>
                      <w:b/>
                      <w:sz w:val="48"/>
                    </w:rPr>
                  </w:pPr>
                  <w:r>
                    <w:rPr>
                      <w:b/>
                      <w:color w:val="FFFFFF"/>
                      <w:w w:val="109"/>
                      <w:sz w:val="48"/>
                    </w:rPr>
                    <w:t>1</w:t>
                  </w:r>
                </w:p>
              </w:txbxContent>
            </v:textbox>
            <w10:wrap type="none"/>
          </v:shape>
        </w:pict>
      </w:r>
      <w:r>
        <w:rPr/>
        <w:pict>
          <v:rect style="position:absolute;margin-left:0pt;margin-top:0pt;width:595.276001pt;height:841.890015pt;mso-position-horizontal-relative:page;mso-position-vertical-relative:page;z-index:-293680" filled="true" fillcolor="#fdefed" stroked="false">
            <v:fill type="solid"/>
            <w10:wrap type="none"/>
          </v:rect>
        </w:pict>
      </w:r>
      <w:r>
        <w:rPr>
          <w:color w:val="FFFFFF"/>
          <w:w w:val="122"/>
          <w:shd w:fill="EC5A4F" w:color="auto" w:val="clear"/>
        </w:rPr>
        <w:t> </w:t>
      </w:r>
      <w:r>
        <w:rPr>
          <w:color w:val="FFFFFF"/>
          <w:spacing w:val="41"/>
          <w:shd w:fill="EC5A4F" w:color="auto" w:val="clear"/>
        </w:rPr>
        <w:t> </w:t>
      </w:r>
      <w:r>
        <w:rPr>
          <w:color w:val="FFFFFF"/>
          <w:spacing w:val="-7"/>
          <w:w w:val="105"/>
          <w:shd w:fill="EC5A4F" w:color="auto" w:val="clear"/>
        </w:rPr>
        <w:t>10</w:t>
      </w:r>
      <w:r>
        <w:rPr>
          <w:color w:val="FFFFFF"/>
          <w:spacing w:val="-7"/>
          <w:shd w:fill="EC5A4F" w:color="auto" w:val="clear"/>
        </w:rPr>
        <w:tab/>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16"/>
        </w:rPr>
      </w:pPr>
    </w:p>
    <w:p>
      <w:pPr>
        <w:spacing w:line="1146" w:lineRule="exact" w:before="95"/>
        <w:ind w:left="1417" w:right="0" w:firstLine="0"/>
        <w:jc w:val="left"/>
        <w:rPr>
          <w:b/>
          <w:sz w:val="96"/>
        </w:rPr>
      </w:pPr>
      <w:r>
        <w:rPr/>
        <w:pict>
          <v:rect style="position:absolute;margin-left:0pt;margin-top:6.516142pt;width:323.183pt;height:52pt;mso-position-horizontal-relative:page;mso-position-vertical-relative:paragraph;z-index:-293656" filled="true" fillcolor="#ffffff" stroked="false">
            <v:fill type="solid"/>
            <w10:wrap type="none"/>
          </v:rect>
        </w:pict>
      </w:r>
      <w:r>
        <w:rPr>
          <w:b/>
          <w:color w:val="EC5A4F"/>
          <w:w w:val="110"/>
          <w:sz w:val="96"/>
        </w:rPr>
        <w:t>Costs rules</w:t>
      </w:r>
    </w:p>
    <w:p>
      <w:pPr>
        <w:tabs>
          <w:tab w:pos="1417" w:val="left" w:leader="none"/>
          <w:tab w:pos="7376" w:val="left" w:leader="none"/>
        </w:tabs>
        <w:spacing w:line="230" w:lineRule="auto" w:before="11"/>
        <w:ind w:left="1417" w:right="4526" w:hanging="1418"/>
        <w:jc w:val="left"/>
        <w:rPr>
          <w:b/>
          <w:sz w:val="96"/>
        </w:rPr>
      </w:pPr>
      <w:r>
        <w:rPr/>
        <w:pict>
          <v:rect style="position:absolute;margin-left:0pt;margin-top:56.472027pt;width:354.263pt;height:52pt;mso-position-horizontal-relative:page;mso-position-vertical-relative:paragraph;z-index:-293632" filled="true" fillcolor="#ffffff" stroked="false">
            <v:fill type="solid"/>
            <w10:wrap type="none"/>
          </v:rect>
        </w:pict>
      </w:r>
      <w:r>
        <w:rPr>
          <w:b/>
          <w:color w:val="EC5A4F"/>
          <w:w w:val="122"/>
          <w:sz w:val="96"/>
          <w:shd w:fill="FFFFFF" w:color="auto" w:val="clear"/>
        </w:rPr>
        <w:t> </w:t>
      </w:r>
      <w:r>
        <w:rPr>
          <w:b/>
          <w:color w:val="EC5A4F"/>
          <w:sz w:val="96"/>
          <w:shd w:fill="FFFFFF" w:color="auto" w:val="clear"/>
        </w:rPr>
        <w:tab/>
      </w:r>
      <w:r>
        <w:rPr>
          <w:b/>
          <w:color w:val="EC5A4F"/>
          <w:spacing w:val="-9"/>
          <w:w w:val="115"/>
          <w:sz w:val="96"/>
          <w:shd w:fill="FFFFFF" w:color="auto" w:val="clear"/>
        </w:rPr>
        <w:t>in</w:t>
      </w:r>
      <w:r>
        <w:rPr>
          <w:b/>
          <w:color w:val="EC5A4F"/>
          <w:spacing w:val="-145"/>
          <w:w w:val="115"/>
          <w:sz w:val="96"/>
          <w:shd w:fill="FFFFFF" w:color="auto" w:val="clear"/>
        </w:rPr>
        <w:t> </w:t>
      </w:r>
      <w:r>
        <w:rPr>
          <w:b/>
          <w:color w:val="EC5A4F"/>
          <w:spacing w:val="-13"/>
          <w:w w:val="115"/>
          <w:sz w:val="96"/>
          <w:shd w:fill="FFFFFF" w:color="auto" w:val="clear"/>
        </w:rPr>
        <w:t>succession</w:t>
      </w:r>
      <w:r>
        <w:rPr>
          <w:b/>
          <w:color w:val="EC5A4F"/>
          <w:sz w:val="96"/>
          <w:shd w:fill="FFFFFF" w:color="auto" w:val="clear"/>
        </w:rPr>
        <w:tab/>
      </w:r>
      <w:r>
        <w:rPr>
          <w:b/>
          <w:color w:val="EC5A4F"/>
          <w:sz w:val="96"/>
        </w:rPr>
        <w:t> </w:t>
      </w:r>
      <w:r>
        <w:rPr>
          <w:b/>
          <w:color w:val="EC5A4F"/>
          <w:spacing w:val="-11"/>
          <w:w w:val="115"/>
          <w:sz w:val="96"/>
        </w:rPr>
        <w:t>proceedings</w:t>
      </w:r>
    </w:p>
    <w:p>
      <w:pPr>
        <w:pStyle w:val="BodyText"/>
        <w:rPr>
          <w:b/>
          <w:sz w:val="20"/>
        </w:rPr>
      </w:pPr>
    </w:p>
    <w:p>
      <w:pPr>
        <w:pStyle w:val="BodyText"/>
        <w:rPr>
          <w:b/>
          <w:sz w:val="20"/>
        </w:rPr>
      </w:pPr>
    </w:p>
    <w:p>
      <w:pPr>
        <w:pStyle w:val="BodyText"/>
        <w:rPr>
          <w:b/>
          <w:sz w:val="20"/>
        </w:rPr>
      </w:pPr>
    </w:p>
    <w:p>
      <w:pPr>
        <w:pStyle w:val="BodyText"/>
        <w:spacing w:before="8"/>
        <w:rPr>
          <w:b/>
          <w:sz w:val="12"/>
        </w:rPr>
      </w:pPr>
    </w:p>
    <w:tbl>
      <w:tblPr>
        <w:tblW w:w="0" w:type="auto"/>
        <w:jc w:val="left"/>
        <w:tblInd w:w="14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0"/>
        <w:gridCol w:w="6737"/>
      </w:tblGrid>
      <w:tr>
        <w:trPr>
          <w:trHeight w:val="338" w:hRule="atLeast"/>
        </w:trPr>
        <w:tc>
          <w:tcPr>
            <w:tcW w:w="510" w:type="dxa"/>
            <w:tcBorders>
              <w:bottom w:val="single" w:sz="18" w:space="0" w:color="FFFFFF"/>
            </w:tcBorders>
            <w:shd w:val="clear" w:color="auto" w:fill="FDEFED"/>
          </w:tcPr>
          <w:p>
            <w:pPr>
              <w:pStyle w:val="TableParagraph"/>
              <w:spacing w:line="292" w:lineRule="exact"/>
              <w:rPr>
                <w:b/>
                <w:sz w:val="24"/>
              </w:rPr>
            </w:pPr>
            <w:r>
              <w:rPr>
                <w:b/>
                <w:w w:val="110"/>
                <w:sz w:val="24"/>
              </w:rPr>
              <w:t>212</w:t>
            </w:r>
          </w:p>
        </w:tc>
        <w:tc>
          <w:tcPr>
            <w:tcW w:w="6737" w:type="dxa"/>
            <w:shd w:val="clear" w:color="auto" w:fill="FDEFED"/>
          </w:tcPr>
          <w:p>
            <w:pPr>
              <w:pStyle w:val="TableParagraph"/>
              <w:spacing w:line="292" w:lineRule="exact"/>
              <w:ind w:left="56"/>
              <w:rPr>
                <w:b/>
                <w:sz w:val="24"/>
              </w:rPr>
            </w:pPr>
            <w:r>
              <w:rPr>
                <w:b/>
                <w:w w:val="110"/>
                <w:sz w:val="24"/>
              </w:rPr>
              <w:t>Introduction</w:t>
            </w:r>
          </w:p>
        </w:tc>
      </w:tr>
      <w:tr>
        <w:trPr>
          <w:trHeight w:val="428" w:hRule="atLeast"/>
        </w:trPr>
        <w:tc>
          <w:tcPr>
            <w:tcW w:w="510" w:type="dxa"/>
            <w:tcBorders>
              <w:top w:val="single" w:sz="18" w:space="0" w:color="FFFFFF"/>
              <w:bottom w:val="single" w:sz="18" w:space="0" w:color="FFFFFF"/>
            </w:tcBorders>
            <w:shd w:val="clear" w:color="auto" w:fill="FDEFED"/>
          </w:tcPr>
          <w:p>
            <w:pPr>
              <w:pStyle w:val="TableParagraph"/>
              <w:spacing w:line="240" w:lineRule="auto" w:before="89"/>
              <w:rPr>
                <w:b/>
                <w:sz w:val="24"/>
              </w:rPr>
            </w:pPr>
            <w:r>
              <w:rPr>
                <w:b/>
                <w:w w:val="110"/>
                <w:sz w:val="24"/>
              </w:rPr>
              <w:t>212</w:t>
            </w:r>
          </w:p>
        </w:tc>
        <w:tc>
          <w:tcPr>
            <w:tcW w:w="6737" w:type="dxa"/>
            <w:shd w:val="clear" w:color="auto" w:fill="FDEFED"/>
          </w:tcPr>
          <w:p>
            <w:pPr>
              <w:pStyle w:val="TableParagraph"/>
              <w:spacing w:line="240" w:lineRule="auto" w:before="89"/>
              <w:ind w:left="56"/>
              <w:rPr>
                <w:b/>
                <w:sz w:val="24"/>
              </w:rPr>
            </w:pPr>
            <w:r>
              <w:rPr>
                <w:b/>
                <w:w w:val="115"/>
                <w:sz w:val="24"/>
              </w:rPr>
              <w:t>Succession proceedings</w:t>
            </w:r>
          </w:p>
        </w:tc>
      </w:tr>
      <w:tr>
        <w:trPr>
          <w:trHeight w:val="428" w:hRule="atLeast"/>
        </w:trPr>
        <w:tc>
          <w:tcPr>
            <w:tcW w:w="510" w:type="dxa"/>
            <w:tcBorders>
              <w:top w:val="single" w:sz="18" w:space="0" w:color="FFFFFF"/>
              <w:bottom w:val="single" w:sz="18" w:space="0" w:color="FFFFFF"/>
            </w:tcBorders>
            <w:shd w:val="clear" w:color="auto" w:fill="FDEFED"/>
          </w:tcPr>
          <w:p>
            <w:pPr>
              <w:pStyle w:val="TableParagraph"/>
              <w:spacing w:line="240" w:lineRule="auto" w:before="88"/>
              <w:rPr>
                <w:b/>
                <w:sz w:val="24"/>
              </w:rPr>
            </w:pPr>
            <w:r>
              <w:rPr>
                <w:b/>
                <w:w w:val="110"/>
                <w:sz w:val="24"/>
              </w:rPr>
              <w:t>213</w:t>
            </w:r>
          </w:p>
        </w:tc>
        <w:tc>
          <w:tcPr>
            <w:tcW w:w="6737" w:type="dxa"/>
            <w:shd w:val="clear" w:color="auto" w:fill="FDEFED"/>
          </w:tcPr>
          <w:p>
            <w:pPr>
              <w:pStyle w:val="TableParagraph"/>
              <w:spacing w:line="240" w:lineRule="auto" w:before="88"/>
              <w:ind w:left="56"/>
              <w:rPr>
                <w:b/>
                <w:sz w:val="24"/>
              </w:rPr>
            </w:pPr>
            <w:r>
              <w:rPr>
                <w:b/>
                <w:w w:val="110"/>
                <w:sz w:val="24"/>
              </w:rPr>
              <w:t>Costs orders</w:t>
            </w:r>
          </w:p>
        </w:tc>
      </w:tr>
      <w:tr>
        <w:trPr>
          <w:trHeight w:val="788" w:hRule="atLeast"/>
        </w:trPr>
        <w:tc>
          <w:tcPr>
            <w:tcW w:w="510" w:type="dxa"/>
            <w:tcBorders>
              <w:top w:val="single" w:sz="18" w:space="0" w:color="FFFFFF"/>
              <w:bottom w:val="single" w:sz="18" w:space="0" w:color="FFFFFF"/>
            </w:tcBorders>
            <w:shd w:val="clear" w:color="auto" w:fill="FDEFED"/>
          </w:tcPr>
          <w:p>
            <w:pPr>
              <w:pStyle w:val="TableParagraph"/>
              <w:spacing w:line="240" w:lineRule="auto" w:before="88"/>
              <w:rPr>
                <w:b/>
                <w:sz w:val="24"/>
              </w:rPr>
            </w:pPr>
            <w:r>
              <w:rPr>
                <w:b/>
                <w:w w:val="110"/>
                <w:sz w:val="24"/>
              </w:rPr>
              <w:t>213</w:t>
            </w:r>
          </w:p>
        </w:tc>
        <w:tc>
          <w:tcPr>
            <w:tcW w:w="6737" w:type="dxa"/>
            <w:shd w:val="clear" w:color="auto" w:fill="FDEFED"/>
          </w:tcPr>
          <w:p>
            <w:pPr>
              <w:pStyle w:val="TableParagraph"/>
              <w:spacing w:line="360" w:lineRule="atLeast" w:before="21"/>
              <w:ind w:left="56" w:right="27"/>
              <w:rPr>
                <w:b/>
                <w:sz w:val="24"/>
              </w:rPr>
            </w:pPr>
            <w:r>
              <w:rPr>
                <w:b/>
                <w:w w:val="115"/>
                <w:sz w:val="24"/>
              </w:rPr>
              <w:t>The</w:t>
            </w:r>
            <w:r>
              <w:rPr>
                <w:b/>
                <w:spacing w:val="-16"/>
                <w:w w:val="115"/>
                <w:sz w:val="24"/>
              </w:rPr>
              <w:t> </w:t>
            </w:r>
            <w:r>
              <w:rPr>
                <w:b/>
                <w:w w:val="115"/>
                <w:sz w:val="24"/>
              </w:rPr>
              <w:t>Court’s</w:t>
            </w:r>
            <w:r>
              <w:rPr>
                <w:b/>
                <w:spacing w:val="-16"/>
                <w:w w:val="115"/>
                <w:sz w:val="24"/>
              </w:rPr>
              <w:t> </w:t>
            </w:r>
            <w:r>
              <w:rPr>
                <w:b/>
                <w:w w:val="115"/>
                <w:sz w:val="24"/>
              </w:rPr>
              <w:t>approach</w:t>
            </w:r>
            <w:r>
              <w:rPr>
                <w:b/>
                <w:spacing w:val="-15"/>
                <w:w w:val="115"/>
                <w:sz w:val="24"/>
              </w:rPr>
              <w:t> </w:t>
            </w:r>
            <w:r>
              <w:rPr>
                <w:b/>
                <w:w w:val="115"/>
                <w:sz w:val="24"/>
              </w:rPr>
              <w:t>to</w:t>
            </w:r>
            <w:r>
              <w:rPr>
                <w:b/>
                <w:spacing w:val="-16"/>
                <w:w w:val="115"/>
                <w:sz w:val="24"/>
              </w:rPr>
              <w:t> </w:t>
            </w:r>
            <w:r>
              <w:rPr>
                <w:b/>
                <w:w w:val="115"/>
                <w:sz w:val="24"/>
              </w:rPr>
              <w:t>the</w:t>
            </w:r>
            <w:r>
              <w:rPr>
                <w:b/>
                <w:spacing w:val="-16"/>
                <w:w w:val="115"/>
                <w:sz w:val="24"/>
              </w:rPr>
              <w:t> </w:t>
            </w:r>
            <w:r>
              <w:rPr>
                <w:b/>
                <w:w w:val="115"/>
                <w:sz w:val="24"/>
              </w:rPr>
              <w:t>payment</w:t>
            </w:r>
            <w:r>
              <w:rPr>
                <w:b/>
                <w:spacing w:val="-15"/>
                <w:w w:val="115"/>
                <w:sz w:val="24"/>
              </w:rPr>
              <w:t> </w:t>
            </w:r>
            <w:r>
              <w:rPr>
                <w:b/>
                <w:w w:val="115"/>
                <w:sz w:val="24"/>
              </w:rPr>
              <w:t>of</w:t>
            </w:r>
            <w:r>
              <w:rPr>
                <w:b/>
                <w:spacing w:val="-16"/>
                <w:w w:val="115"/>
                <w:sz w:val="24"/>
              </w:rPr>
              <w:t> </w:t>
            </w:r>
            <w:r>
              <w:rPr>
                <w:b/>
                <w:w w:val="115"/>
                <w:sz w:val="24"/>
              </w:rPr>
              <w:t>costs</w:t>
            </w:r>
            <w:r>
              <w:rPr>
                <w:b/>
                <w:spacing w:val="-15"/>
                <w:w w:val="115"/>
                <w:sz w:val="24"/>
              </w:rPr>
              <w:t> </w:t>
            </w:r>
            <w:r>
              <w:rPr>
                <w:b/>
                <w:w w:val="115"/>
                <w:sz w:val="24"/>
              </w:rPr>
              <w:t>in</w:t>
            </w:r>
            <w:r>
              <w:rPr>
                <w:b/>
                <w:spacing w:val="-16"/>
                <w:w w:val="115"/>
                <w:sz w:val="24"/>
              </w:rPr>
              <w:t> </w:t>
            </w:r>
            <w:r>
              <w:rPr>
                <w:b/>
                <w:w w:val="115"/>
                <w:sz w:val="24"/>
              </w:rPr>
              <w:t>succession proceedings</w:t>
            </w:r>
            <w:r>
              <w:rPr>
                <w:b/>
                <w:spacing w:val="3"/>
                <w:w w:val="115"/>
                <w:sz w:val="24"/>
              </w:rPr>
              <w:t> </w:t>
            </w:r>
            <w:r>
              <w:rPr>
                <w:b/>
                <w:w w:val="115"/>
                <w:sz w:val="24"/>
              </w:rPr>
              <w:t>generally</w:t>
            </w:r>
          </w:p>
        </w:tc>
      </w:tr>
      <w:tr>
        <w:trPr>
          <w:trHeight w:val="428" w:hRule="atLeast"/>
        </w:trPr>
        <w:tc>
          <w:tcPr>
            <w:tcW w:w="510" w:type="dxa"/>
            <w:tcBorders>
              <w:top w:val="single" w:sz="18" w:space="0" w:color="FFFFFF"/>
              <w:bottom w:val="single" w:sz="18" w:space="0" w:color="FFFFFF"/>
            </w:tcBorders>
            <w:shd w:val="clear" w:color="auto" w:fill="FDEFED"/>
          </w:tcPr>
          <w:p>
            <w:pPr>
              <w:pStyle w:val="TableParagraph"/>
              <w:spacing w:line="240" w:lineRule="auto" w:before="88"/>
              <w:rPr>
                <w:b/>
                <w:sz w:val="24"/>
              </w:rPr>
            </w:pPr>
            <w:r>
              <w:rPr>
                <w:b/>
                <w:w w:val="110"/>
                <w:sz w:val="24"/>
              </w:rPr>
              <w:t>215</w:t>
            </w:r>
          </w:p>
        </w:tc>
        <w:tc>
          <w:tcPr>
            <w:tcW w:w="6737" w:type="dxa"/>
            <w:shd w:val="clear" w:color="auto" w:fill="FDEFED"/>
          </w:tcPr>
          <w:p>
            <w:pPr>
              <w:pStyle w:val="TableParagraph"/>
              <w:spacing w:line="240" w:lineRule="auto" w:before="88"/>
              <w:ind w:left="56"/>
              <w:rPr>
                <w:b/>
                <w:sz w:val="24"/>
              </w:rPr>
            </w:pPr>
            <w:r>
              <w:rPr>
                <w:b/>
                <w:w w:val="115"/>
                <w:sz w:val="24"/>
              </w:rPr>
              <w:t>Protection of executors and administrators</w:t>
            </w:r>
          </w:p>
        </w:tc>
      </w:tr>
      <w:tr>
        <w:trPr>
          <w:trHeight w:val="428" w:hRule="atLeast"/>
        </w:trPr>
        <w:tc>
          <w:tcPr>
            <w:tcW w:w="510" w:type="dxa"/>
            <w:tcBorders>
              <w:top w:val="single" w:sz="18" w:space="0" w:color="FFFFFF"/>
              <w:bottom w:val="single" w:sz="18" w:space="0" w:color="FFFFFF"/>
            </w:tcBorders>
            <w:shd w:val="clear" w:color="auto" w:fill="FDEFED"/>
          </w:tcPr>
          <w:p>
            <w:pPr>
              <w:pStyle w:val="TableParagraph"/>
              <w:spacing w:line="240" w:lineRule="auto" w:before="88"/>
              <w:rPr>
                <w:b/>
                <w:sz w:val="24"/>
              </w:rPr>
            </w:pPr>
            <w:r>
              <w:rPr>
                <w:b/>
                <w:w w:val="110"/>
                <w:sz w:val="24"/>
              </w:rPr>
              <w:t>215</w:t>
            </w:r>
          </w:p>
        </w:tc>
        <w:tc>
          <w:tcPr>
            <w:tcW w:w="6737" w:type="dxa"/>
            <w:shd w:val="clear" w:color="auto" w:fill="FDEFED"/>
          </w:tcPr>
          <w:p>
            <w:pPr>
              <w:pStyle w:val="TableParagraph"/>
              <w:spacing w:line="240" w:lineRule="auto" w:before="88"/>
              <w:ind w:left="56"/>
              <w:rPr>
                <w:b/>
                <w:sz w:val="24"/>
              </w:rPr>
            </w:pPr>
            <w:r>
              <w:rPr>
                <w:b/>
                <w:w w:val="115"/>
                <w:sz w:val="24"/>
              </w:rPr>
              <w:t>Views and conclusions</w:t>
            </w:r>
          </w:p>
        </w:tc>
      </w:tr>
    </w:tbl>
    <w:p>
      <w:pPr>
        <w:spacing w:after="0" w:line="240" w:lineRule="auto"/>
        <w:rPr>
          <w:sz w:val="24"/>
        </w:rPr>
        <w:sectPr>
          <w:headerReference w:type="default" r:id="rId116"/>
          <w:headerReference w:type="even" r:id="rId117"/>
          <w:pgSz w:w="11910" w:h="16840"/>
          <w:pgMar w:header="0" w:footer="0" w:top="700" w:bottom="280" w:left="0" w:right="0"/>
        </w:sectPr>
      </w:pPr>
    </w:p>
    <w:p>
      <w:pPr>
        <w:pStyle w:val="BodyText"/>
        <w:spacing w:before="10"/>
        <w:rPr>
          <w:b/>
          <w:sz w:val="18"/>
        </w:rPr>
      </w:pPr>
    </w:p>
    <w:p>
      <w:pPr>
        <w:pStyle w:val="Heading2"/>
        <w:numPr>
          <w:ilvl w:val="0"/>
          <w:numId w:val="22"/>
        </w:numPr>
        <w:tabs>
          <w:tab w:pos="1287" w:val="left" w:leader="none"/>
        </w:tabs>
        <w:spacing w:line="240" w:lineRule="auto" w:before="98" w:after="0"/>
        <w:ind w:left="1286" w:right="0" w:hanging="720"/>
        <w:jc w:val="left"/>
      </w:pPr>
      <w:bookmarkStart w:name="10. Costs rules in succession proceeding" w:id="154"/>
      <w:bookmarkEnd w:id="154"/>
      <w:r>
        <w:rPr>
          <w:b w:val="0"/>
        </w:rPr>
      </w:r>
      <w:bookmarkStart w:name="Introduction" w:id="155"/>
      <w:bookmarkEnd w:id="155"/>
      <w:r>
        <w:rPr>
          <w:b w:val="0"/>
        </w:rPr>
      </w:r>
      <w:bookmarkStart w:name="Succession proceedings" w:id="156"/>
      <w:bookmarkEnd w:id="156"/>
      <w:r>
        <w:rPr>
          <w:b w:val="0"/>
        </w:rPr>
      </w:r>
      <w:bookmarkStart w:name="Succession proceedings" w:id="157"/>
      <w:bookmarkEnd w:id="157"/>
      <w:r>
        <w:rPr>
          <w:color w:val="EC5A4F"/>
          <w:w w:val="110"/>
        </w:rPr>
        <w:t>C</w:t>
      </w:r>
      <w:r>
        <w:rPr>
          <w:color w:val="EC5A4F"/>
          <w:w w:val="110"/>
        </w:rPr>
        <w:t>osts </w:t>
      </w:r>
      <w:r>
        <w:rPr>
          <w:color w:val="EC5A4F"/>
          <w:spacing w:val="-3"/>
          <w:w w:val="110"/>
        </w:rPr>
        <w:t>rules in succession</w:t>
      </w:r>
      <w:r>
        <w:rPr>
          <w:color w:val="EC5A4F"/>
          <w:spacing w:val="72"/>
          <w:w w:val="110"/>
        </w:rPr>
        <w:t> </w:t>
      </w:r>
      <w:r>
        <w:rPr>
          <w:color w:val="EC5A4F"/>
          <w:w w:val="110"/>
        </w:rPr>
        <w:t>proceedings</w:t>
      </w:r>
    </w:p>
    <w:p>
      <w:pPr>
        <w:pStyle w:val="BodyText"/>
        <w:rPr>
          <w:b/>
          <w:sz w:val="52"/>
        </w:rPr>
      </w:pPr>
    </w:p>
    <w:p>
      <w:pPr>
        <w:pStyle w:val="BodyText"/>
        <w:rPr>
          <w:b/>
          <w:sz w:val="52"/>
        </w:rPr>
      </w:pPr>
    </w:p>
    <w:p>
      <w:pPr>
        <w:pStyle w:val="BodyText"/>
        <w:rPr>
          <w:b/>
          <w:sz w:val="52"/>
        </w:rPr>
      </w:pPr>
    </w:p>
    <w:p>
      <w:pPr>
        <w:pStyle w:val="BodyText"/>
        <w:rPr>
          <w:b/>
          <w:sz w:val="52"/>
        </w:rPr>
      </w:pPr>
    </w:p>
    <w:p>
      <w:pPr>
        <w:pStyle w:val="BodyText"/>
        <w:spacing w:before="9"/>
        <w:rPr>
          <w:b/>
          <w:sz w:val="47"/>
        </w:rPr>
      </w:pPr>
    </w:p>
    <w:p>
      <w:pPr>
        <w:pStyle w:val="Heading4"/>
      </w:pPr>
      <w:r>
        <w:rPr>
          <w:color w:val="EC5A4F"/>
          <w:w w:val="110"/>
        </w:rPr>
        <w:t>Introduction</w:t>
      </w:r>
    </w:p>
    <w:p>
      <w:pPr>
        <w:pStyle w:val="ListParagraph"/>
        <w:numPr>
          <w:ilvl w:val="1"/>
          <w:numId w:val="22"/>
        </w:numPr>
        <w:tabs>
          <w:tab w:pos="2381" w:val="left" w:leader="none"/>
          <w:tab w:pos="2382" w:val="left" w:leader="none"/>
        </w:tabs>
        <w:spacing w:line="242" w:lineRule="auto" w:before="155" w:after="0"/>
        <w:ind w:left="2381" w:right="1593" w:hanging="794"/>
        <w:jc w:val="left"/>
        <w:rPr>
          <w:sz w:val="21"/>
        </w:rPr>
      </w:pPr>
      <w:r>
        <w:rPr>
          <w:w w:val="105"/>
          <w:sz w:val="21"/>
        </w:rPr>
        <w:t>The Attorney-General </w:t>
      </w:r>
      <w:r>
        <w:rPr>
          <w:spacing w:val="-2"/>
          <w:w w:val="105"/>
          <w:sz w:val="21"/>
        </w:rPr>
        <w:t>has </w:t>
      </w:r>
      <w:r>
        <w:rPr>
          <w:spacing w:val="-3"/>
          <w:w w:val="105"/>
          <w:sz w:val="21"/>
        </w:rPr>
        <w:t>asked </w:t>
      </w:r>
      <w:r>
        <w:rPr>
          <w:w w:val="105"/>
          <w:sz w:val="21"/>
        </w:rPr>
        <w:t>the </w:t>
      </w:r>
      <w:r>
        <w:rPr>
          <w:spacing w:val="-3"/>
          <w:w w:val="105"/>
          <w:sz w:val="21"/>
        </w:rPr>
        <w:t>Commission to </w:t>
      </w:r>
      <w:r>
        <w:rPr>
          <w:w w:val="105"/>
          <w:sz w:val="21"/>
        </w:rPr>
        <w:t>review ‘the application of costs rules in</w:t>
      </w:r>
      <w:r>
        <w:rPr>
          <w:spacing w:val="-7"/>
          <w:w w:val="105"/>
          <w:sz w:val="21"/>
        </w:rPr>
        <w:t> </w:t>
      </w:r>
      <w:r>
        <w:rPr>
          <w:spacing w:val="-3"/>
          <w:w w:val="105"/>
          <w:sz w:val="21"/>
        </w:rPr>
        <w:t>succession</w:t>
      </w:r>
      <w:r>
        <w:rPr>
          <w:spacing w:val="-7"/>
          <w:w w:val="105"/>
          <w:sz w:val="21"/>
        </w:rPr>
        <w:t> </w:t>
      </w:r>
      <w:r>
        <w:rPr>
          <w:spacing w:val="-3"/>
          <w:w w:val="105"/>
          <w:sz w:val="21"/>
        </w:rPr>
        <w:t>proceedings,</w:t>
      </w:r>
      <w:r>
        <w:rPr>
          <w:spacing w:val="-7"/>
          <w:w w:val="105"/>
          <w:sz w:val="21"/>
        </w:rPr>
        <w:t> </w:t>
      </w:r>
      <w:r>
        <w:rPr>
          <w:w w:val="105"/>
          <w:sz w:val="21"/>
        </w:rPr>
        <w:t>taking</w:t>
      </w:r>
      <w:r>
        <w:rPr>
          <w:spacing w:val="-7"/>
          <w:w w:val="105"/>
          <w:sz w:val="21"/>
        </w:rPr>
        <w:t> </w:t>
      </w:r>
      <w:r>
        <w:rPr>
          <w:spacing w:val="-4"/>
          <w:w w:val="105"/>
          <w:sz w:val="21"/>
        </w:rPr>
        <w:t>into</w:t>
      </w:r>
      <w:r>
        <w:rPr>
          <w:spacing w:val="-7"/>
          <w:w w:val="105"/>
          <w:sz w:val="21"/>
        </w:rPr>
        <w:t> </w:t>
      </w:r>
      <w:r>
        <w:rPr>
          <w:spacing w:val="-3"/>
          <w:w w:val="105"/>
          <w:sz w:val="21"/>
        </w:rPr>
        <w:t>account</w:t>
      </w:r>
      <w:r>
        <w:rPr>
          <w:spacing w:val="-6"/>
          <w:w w:val="105"/>
          <w:sz w:val="21"/>
        </w:rPr>
        <w:t> </w:t>
      </w:r>
      <w:r>
        <w:rPr>
          <w:spacing w:val="-3"/>
          <w:w w:val="105"/>
          <w:sz w:val="21"/>
        </w:rPr>
        <w:t>any</w:t>
      </w:r>
      <w:r>
        <w:rPr>
          <w:spacing w:val="-7"/>
          <w:w w:val="105"/>
          <w:sz w:val="21"/>
        </w:rPr>
        <w:t> </w:t>
      </w:r>
      <w:r>
        <w:rPr>
          <w:w w:val="105"/>
          <w:sz w:val="21"/>
        </w:rPr>
        <w:t>developments</w:t>
      </w:r>
      <w:r>
        <w:rPr>
          <w:spacing w:val="-7"/>
          <w:w w:val="105"/>
          <w:sz w:val="21"/>
        </w:rPr>
        <w:t> </w:t>
      </w:r>
      <w:r>
        <w:rPr>
          <w:w w:val="105"/>
          <w:sz w:val="21"/>
        </w:rPr>
        <w:t>in</w:t>
      </w:r>
      <w:r>
        <w:rPr>
          <w:spacing w:val="-7"/>
          <w:w w:val="105"/>
          <w:sz w:val="21"/>
        </w:rPr>
        <w:t> </w:t>
      </w:r>
      <w:r>
        <w:rPr>
          <w:w w:val="105"/>
          <w:sz w:val="21"/>
        </w:rPr>
        <w:t>rules</w:t>
      </w:r>
      <w:r>
        <w:rPr>
          <w:spacing w:val="-7"/>
          <w:w w:val="105"/>
          <w:sz w:val="21"/>
        </w:rPr>
        <w:t> </w:t>
      </w:r>
      <w:r>
        <w:rPr>
          <w:w w:val="105"/>
          <w:sz w:val="21"/>
        </w:rPr>
        <w:t>or</w:t>
      </w:r>
      <w:r>
        <w:rPr>
          <w:spacing w:val="-7"/>
          <w:w w:val="105"/>
          <w:sz w:val="21"/>
        </w:rPr>
        <w:t> </w:t>
      </w:r>
      <w:r>
        <w:rPr>
          <w:w w:val="105"/>
          <w:sz w:val="21"/>
        </w:rPr>
        <w:t>practice</w:t>
      </w:r>
      <w:r>
        <w:rPr>
          <w:spacing w:val="-7"/>
          <w:w w:val="105"/>
          <w:sz w:val="21"/>
        </w:rPr>
        <w:t> </w:t>
      </w:r>
      <w:r>
        <w:rPr>
          <w:spacing w:val="-3"/>
          <w:w w:val="105"/>
          <w:sz w:val="21"/>
        </w:rPr>
        <w:t>notes </w:t>
      </w:r>
      <w:r>
        <w:rPr>
          <w:w w:val="105"/>
          <w:sz w:val="21"/>
        </w:rPr>
        <w:t>made or proposed by the </w:t>
      </w:r>
      <w:r>
        <w:rPr>
          <w:spacing w:val="-3"/>
          <w:w w:val="105"/>
          <w:sz w:val="21"/>
        </w:rPr>
        <w:t>Supreme</w:t>
      </w:r>
      <w:r>
        <w:rPr>
          <w:spacing w:val="29"/>
          <w:w w:val="105"/>
          <w:sz w:val="21"/>
        </w:rPr>
        <w:t> </w:t>
      </w:r>
      <w:r>
        <w:rPr>
          <w:spacing w:val="-4"/>
          <w:w w:val="105"/>
          <w:sz w:val="21"/>
        </w:rPr>
        <w:t>Court’.</w:t>
      </w:r>
    </w:p>
    <w:p>
      <w:pPr>
        <w:pStyle w:val="ListParagraph"/>
        <w:numPr>
          <w:ilvl w:val="1"/>
          <w:numId w:val="22"/>
        </w:numPr>
        <w:tabs>
          <w:tab w:pos="2380" w:val="left" w:leader="none"/>
          <w:tab w:pos="2381" w:val="left" w:leader="none"/>
        </w:tabs>
        <w:spacing w:line="242" w:lineRule="auto" w:before="123" w:after="0"/>
        <w:ind w:left="2381" w:right="1597" w:hanging="794"/>
        <w:jc w:val="left"/>
        <w:rPr>
          <w:sz w:val="21"/>
        </w:rPr>
      </w:pPr>
      <w:r>
        <w:rPr>
          <w:sz w:val="21"/>
        </w:rPr>
        <w:t>In this </w:t>
      </w:r>
      <w:r>
        <w:rPr>
          <w:spacing w:val="-5"/>
          <w:sz w:val="21"/>
        </w:rPr>
        <w:t>chapter, </w:t>
      </w:r>
      <w:r>
        <w:rPr>
          <w:sz w:val="21"/>
        </w:rPr>
        <w:t>costs rules in </w:t>
      </w:r>
      <w:r>
        <w:rPr>
          <w:spacing w:val="-3"/>
          <w:sz w:val="21"/>
        </w:rPr>
        <w:t>succession proceedings  are  considered  </w:t>
      </w:r>
      <w:r>
        <w:rPr>
          <w:sz w:val="21"/>
        </w:rPr>
        <w:t>at  a  general  </w:t>
      </w:r>
      <w:r>
        <w:rPr>
          <w:spacing w:val="-3"/>
          <w:sz w:val="21"/>
        </w:rPr>
        <w:t>level. </w:t>
      </w:r>
      <w:r>
        <w:rPr>
          <w:sz w:val="21"/>
        </w:rPr>
        <w:t>Costs orders in </w:t>
      </w:r>
      <w:r>
        <w:rPr>
          <w:spacing w:val="-3"/>
          <w:sz w:val="21"/>
        </w:rPr>
        <w:t>relation to </w:t>
      </w:r>
      <w:r>
        <w:rPr>
          <w:sz w:val="21"/>
        </w:rPr>
        <w:t>statutory </w:t>
      </w:r>
      <w:r>
        <w:rPr>
          <w:spacing w:val="-3"/>
          <w:sz w:val="21"/>
        </w:rPr>
        <w:t>wills </w:t>
      </w:r>
      <w:r>
        <w:rPr>
          <w:sz w:val="21"/>
        </w:rPr>
        <w:t>and </w:t>
      </w:r>
      <w:r>
        <w:rPr>
          <w:spacing w:val="-3"/>
          <w:sz w:val="21"/>
        </w:rPr>
        <w:t>family provision are considered </w:t>
      </w:r>
      <w:r>
        <w:rPr>
          <w:sz w:val="21"/>
        </w:rPr>
        <w:t>in </w:t>
      </w:r>
      <w:r>
        <w:rPr>
          <w:spacing w:val="-3"/>
          <w:sz w:val="21"/>
        </w:rPr>
        <w:t>Chapters  </w:t>
      </w:r>
      <w:r>
        <w:rPr>
          <w:sz w:val="21"/>
        </w:rPr>
        <w:t>3 and 6</w:t>
      </w:r>
      <w:r>
        <w:rPr>
          <w:spacing w:val="16"/>
          <w:sz w:val="21"/>
        </w:rPr>
        <w:t> </w:t>
      </w:r>
      <w:r>
        <w:rPr>
          <w:sz w:val="21"/>
        </w:rPr>
        <w:t>respectively.</w:t>
      </w:r>
    </w:p>
    <w:p>
      <w:pPr>
        <w:pStyle w:val="BodyText"/>
        <w:spacing w:before="6"/>
        <w:rPr>
          <w:sz w:val="23"/>
        </w:rPr>
      </w:pPr>
    </w:p>
    <w:p>
      <w:pPr>
        <w:pStyle w:val="Heading4"/>
      </w:pPr>
      <w:r>
        <w:rPr>
          <w:color w:val="EC5A4F"/>
          <w:w w:val="110"/>
        </w:rPr>
        <w:t>Succession proceedings</w:t>
      </w:r>
    </w:p>
    <w:p>
      <w:pPr>
        <w:pStyle w:val="ListParagraph"/>
        <w:numPr>
          <w:ilvl w:val="1"/>
          <w:numId w:val="22"/>
        </w:numPr>
        <w:tabs>
          <w:tab w:pos="2381" w:val="left" w:leader="none"/>
          <w:tab w:pos="2382" w:val="left" w:leader="none"/>
        </w:tabs>
        <w:spacing w:line="242" w:lineRule="auto" w:before="155" w:after="0"/>
        <w:ind w:left="2381" w:right="2411" w:hanging="794"/>
        <w:jc w:val="left"/>
        <w:rPr>
          <w:sz w:val="21"/>
        </w:rPr>
      </w:pPr>
      <w:r>
        <w:rPr>
          <w:spacing w:val="-3"/>
          <w:sz w:val="21"/>
        </w:rPr>
        <w:t>Succession proceedings may </w:t>
      </w:r>
      <w:r>
        <w:rPr>
          <w:sz w:val="21"/>
        </w:rPr>
        <w:t>arise in either the </w:t>
      </w:r>
      <w:r>
        <w:rPr>
          <w:spacing w:val="-3"/>
          <w:sz w:val="21"/>
        </w:rPr>
        <w:t>probate </w:t>
      </w:r>
      <w:r>
        <w:rPr>
          <w:sz w:val="21"/>
        </w:rPr>
        <w:t>jurisdiction or the general jurisdiction of the</w:t>
      </w:r>
      <w:r>
        <w:rPr>
          <w:spacing w:val="24"/>
          <w:sz w:val="21"/>
        </w:rPr>
        <w:t> </w:t>
      </w:r>
      <w:r>
        <w:rPr>
          <w:sz w:val="21"/>
        </w:rPr>
        <w:t>court.</w:t>
      </w:r>
    </w:p>
    <w:p>
      <w:pPr>
        <w:pStyle w:val="ListParagraph"/>
        <w:numPr>
          <w:ilvl w:val="1"/>
          <w:numId w:val="22"/>
        </w:numPr>
        <w:tabs>
          <w:tab w:pos="2381" w:val="left" w:leader="none"/>
          <w:tab w:pos="2382" w:val="left" w:leader="none"/>
        </w:tabs>
        <w:spacing w:line="242" w:lineRule="auto" w:before="122" w:after="0"/>
        <w:ind w:left="2381" w:right="2404" w:hanging="794"/>
        <w:jc w:val="left"/>
        <w:rPr>
          <w:sz w:val="21"/>
        </w:rPr>
      </w:pPr>
      <w:r>
        <w:rPr>
          <w:w w:val="105"/>
          <w:sz w:val="21"/>
        </w:rPr>
        <w:t>The </w:t>
      </w:r>
      <w:r>
        <w:rPr>
          <w:spacing w:val="-3"/>
          <w:w w:val="105"/>
          <w:sz w:val="21"/>
        </w:rPr>
        <w:t>Supreme Court </w:t>
      </w:r>
      <w:r>
        <w:rPr>
          <w:w w:val="105"/>
          <w:sz w:val="21"/>
        </w:rPr>
        <w:t>of Victoria </w:t>
      </w:r>
      <w:r>
        <w:rPr>
          <w:spacing w:val="-2"/>
          <w:w w:val="105"/>
          <w:sz w:val="21"/>
        </w:rPr>
        <w:t>has </w:t>
      </w:r>
      <w:r>
        <w:rPr>
          <w:spacing w:val="-3"/>
          <w:w w:val="105"/>
          <w:sz w:val="21"/>
        </w:rPr>
        <w:t>exclusive </w:t>
      </w:r>
      <w:r>
        <w:rPr>
          <w:w w:val="105"/>
          <w:sz w:val="21"/>
        </w:rPr>
        <w:t>jurisdiction in the </w:t>
      </w:r>
      <w:r>
        <w:rPr>
          <w:spacing w:val="-3"/>
          <w:w w:val="105"/>
          <w:sz w:val="21"/>
        </w:rPr>
        <w:t>area </w:t>
      </w:r>
      <w:r>
        <w:rPr>
          <w:w w:val="105"/>
          <w:sz w:val="21"/>
        </w:rPr>
        <w:t>of </w:t>
      </w:r>
      <w:r>
        <w:rPr>
          <w:spacing w:val="-3"/>
          <w:w w:val="105"/>
          <w:sz w:val="21"/>
        </w:rPr>
        <w:t>probate. </w:t>
      </w:r>
      <w:r>
        <w:rPr>
          <w:w w:val="105"/>
          <w:sz w:val="21"/>
        </w:rPr>
        <w:t>The</w:t>
      </w:r>
      <w:r>
        <w:rPr>
          <w:spacing w:val="-7"/>
          <w:w w:val="105"/>
          <w:sz w:val="21"/>
        </w:rPr>
        <w:t> </w:t>
      </w:r>
      <w:r>
        <w:rPr>
          <w:spacing w:val="-3"/>
          <w:w w:val="105"/>
          <w:sz w:val="21"/>
        </w:rPr>
        <w:t>following</w:t>
      </w:r>
      <w:r>
        <w:rPr>
          <w:spacing w:val="-6"/>
          <w:w w:val="105"/>
          <w:sz w:val="21"/>
        </w:rPr>
        <w:t> </w:t>
      </w:r>
      <w:r>
        <w:rPr>
          <w:spacing w:val="-3"/>
          <w:w w:val="105"/>
          <w:sz w:val="21"/>
        </w:rPr>
        <w:t>are</w:t>
      </w:r>
      <w:r>
        <w:rPr>
          <w:spacing w:val="-6"/>
          <w:w w:val="105"/>
          <w:sz w:val="21"/>
        </w:rPr>
        <w:t> </w:t>
      </w:r>
      <w:r>
        <w:rPr>
          <w:w w:val="105"/>
          <w:sz w:val="21"/>
        </w:rPr>
        <w:t>examples</w:t>
      </w:r>
      <w:r>
        <w:rPr>
          <w:spacing w:val="-7"/>
          <w:w w:val="105"/>
          <w:sz w:val="21"/>
        </w:rPr>
        <w:t> </w:t>
      </w:r>
      <w:r>
        <w:rPr>
          <w:w w:val="105"/>
          <w:sz w:val="21"/>
        </w:rPr>
        <w:t>of</w:t>
      </w:r>
      <w:r>
        <w:rPr>
          <w:spacing w:val="-6"/>
          <w:w w:val="105"/>
          <w:sz w:val="21"/>
        </w:rPr>
        <w:t> </w:t>
      </w:r>
      <w:r>
        <w:rPr>
          <w:spacing w:val="-3"/>
          <w:w w:val="105"/>
          <w:sz w:val="21"/>
        </w:rPr>
        <w:t>succession</w:t>
      </w:r>
      <w:r>
        <w:rPr>
          <w:spacing w:val="-6"/>
          <w:w w:val="105"/>
          <w:sz w:val="21"/>
        </w:rPr>
        <w:t> </w:t>
      </w:r>
      <w:r>
        <w:rPr>
          <w:spacing w:val="-3"/>
          <w:w w:val="105"/>
          <w:sz w:val="21"/>
        </w:rPr>
        <w:t>proceedings</w:t>
      </w:r>
      <w:r>
        <w:rPr>
          <w:spacing w:val="-7"/>
          <w:w w:val="105"/>
          <w:sz w:val="21"/>
        </w:rPr>
        <w:t> </w:t>
      </w:r>
      <w:r>
        <w:rPr>
          <w:w w:val="105"/>
          <w:sz w:val="21"/>
        </w:rPr>
        <w:t>in</w:t>
      </w:r>
      <w:r>
        <w:rPr>
          <w:spacing w:val="-6"/>
          <w:w w:val="105"/>
          <w:sz w:val="21"/>
        </w:rPr>
        <w:t> </w:t>
      </w:r>
      <w:r>
        <w:rPr>
          <w:w w:val="105"/>
          <w:sz w:val="21"/>
        </w:rPr>
        <w:t>the</w:t>
      </w:r>
      <w:r>
        <w:rPr>
          <w:spacing w:val="-6"/>
          <w:w w:val="105"/>
          <w:sz w:val="21"/>
        </w:rPr>
        <w:t> </w:t>
      </w:r>
      <w:r>
        <w:rPr>
          <w:spacing w:val="-3"/>
          <w:w w:val="105"/>
          <w:sz w:val="21"/>
        </w:rPr>
        <w:t>probate</w:t>
      </w:r>
      <w:r>
        <w:rPr>
          <w:spacing w:val="-7"/>
          <w:w w:val="105"/>
          <w:sz w:val="21"/>
        </w:rPr>
        <w:t> </w:t>
      </w:r>
      <w:r>
        <w:rPr>
          <w:w w:val="105"/>
          <w:sz w:val="21"/>
        </w:rPr>
        <w:t>jurisdiction:</w:t>
      </w:r>
    </w:p>
    <w:p>
      <w:pPr>
        <w:pStyle w:val="ListParagraph"/>
        <w:numPr>
          <w:ilvl w:val="2"/>
          <w:numId w:val="22"/>
        </w:numPr>
        <w:tabs>
          <w:tab w:pos="2722" w:val="left" w:leader="none"/>
        </w:tabs>
        <w:spacing w:line="242" w:lineRule="auto" w:before="123" w:after="0"/>
        <w:ind w:left="2721" w:right="2248" w:hanging="340"/>
        <w:jc w:val="both"/>
        <w:rPr>
          <w:sz w:val="21"/>
        </w:rPr>
      </w:pPr>
      <w:r>
        <w:rPr>
          <w:spacing w:val="-3"/>
          <w:w w:val="105"/>
          <w:sz w:val="21"/>
        </w:rPr>
        <w:t>challenges to </w:t>
      </w:r>
      <w:r>
        <w:rPr>
          <w:w w:val="105"/>
          <w:sz w:val="21"/>
        </w:rPr>
        <w:t>the validity of </w:t>
      </w:r>
      <w:r>
        <w:rPr>
          <w:spacing w:val="-3"/>
          <w:w w:val="105"/>
          <w:sz w:val="21"/>
        </w:rPr>
        <w:t>wills </w:t>
      </w:r>
      <w:r>
        <w:rPr>
          <w:w w:val="105"/>
          <w:sz w:val="21"/>
        </w:rPr>
        <w:t>propounded </w:t>
      </w:r>
      <w:r>
        <w:rPr>
          <w:spacing w:val="-3"/>
          <w:w w:val="105"/>
          <w:sz w:val="21"/>
        </w:rPr>
        <w:t>for probate (for example, </w:t>
      </w:r>
      <w:r>
        <w:rPr>
          <w:w w:val="105"/>
          <w:sz w:val="21"/>
        </w:rPr>
        <w:t>on the </w:t>
      </w:r>
      <w:r>
        <w:rPr>
          <w:spacing w:val="-3"/>
          <w:w w:val="105"/>
          <w:sz w:val="21"/>
        </w:rPr>
        <w:t>grounds </w:t>
      </w:r>
      <w:r>
        <w:rPr>
          <w:w w:val="105"/>
          <w:sz w:val="21"/>
        </w:rPr>
        <w:t>of </w:t>
      </w:r>
      <w:r>
        <w:rPr>
          <w:spacing w:val="-3"/>
          <w:w w:val="105"/>
          <w:sz w:val="21"/>
        </w:rPr>
        <w:t>want </w:t>
      </w:r>
      <w:r>
        <w:rPr>
          <w:w w:val="105"/>
          <w:sz w:val="21"/>
        </w:rPr>
        <w:t>of </w:t>
      </w:r>
      <w:r>
        <w:rPr>
          <w:spacing w:val="-3"/>
          <w:w w:val="105"/>
          <w:sz w:val="21"/>
        </w:rPr>
        <w:t>capacity, </w:t>
      </w:r>
      <w:r>
        <w:rPr>
          <w:w w:val="105"/>
          <w:sz w:val="21"/>
        </w:rPr>
        <w:t>lack of knowledge and </w:t>
      </w:r>
      <w:r>
        <w:rPr>
          <w:spacing w:val="-3"/>
          <w:w w:val="105"/>
          <w:sz w:val="21"/>
        </w:rPr>
        <w:t>approval, undue influence </w:t>
      </w:r>
      <w:r>
        <w:rPr>
          <w:w w:val="105"/>
          <w:sz w:val="21"/>
        </w:rPr>
        <w:t>or</w:t>
      </w:r>
      <w:r>
        <w:rPr>
          <w:spacing w:val="5"/>
          <w:w w:val="105"/>
          <w:sz w:val="21"/>
        </w:rPr>
        <w:t> </w:t>
      </w:r>
      <w:r>
        <w:rPr>
          <w:w w:val="105"/>
          <w:sz w:val="21"/>
        </w:rPr>
        <w:t>fraud)</w:t>
      </w:r>
    </w:p>
    <w:p>
      <w:pPr>
        <w:pStyle w:val="ListParagraph"/>
        <w:numPr>
          <w:ilvl w:val="2"/>
          <w:numId w:val="22"/>
        </w:numPr>
        <w:tabs>
          <w:tab w:pos="2721" w:val="left" w:leader="none"/>
          <w:tab w:pos="2722" w:val="left" w:leader="none"/>
        </w:tabs>
        <w:spacing w:line="242" w:lineRule="auto" w:before="123" w:after="0"/>
        <w:ind w:left="2721" w:right="1969" w:hanging="340"/>
        <w:jc w:val="left"/>
        <w:rPr>
          <w:sz w:val="21"/>
        </w:rPr>
      </w:pPr>
      <w:r>
        <w:rPr>
          <w:sz w:val="21"/>
        </w:rPr>
        <w:t>questions </w:t>
      </w:r>
      <w:r>
        <w:rPr>
          <w:spacing w:val="-3"/>
          <w:sz w:val="21"/>
        </w:rPr>
        <w:t>concerning entitlement  to  </w:t>
      </w:r>
      <w:r>
        <w:rPr>
          <w:sz w:val="21"/>
        </w:rPr>
        <w:t>a </w:t>
      </w:r>
      <w:r>
        <w:rPr>
          <w:spacing w:val="-3"/>
          <w:sz w:val="21"/>
        </w:rPr>
        <w:t>grant</w:t>
      </w:r>
      <w:r>
        <w:rPr>
          <w:spacing w:val="41"/>
          <w:sz w:val="21"/>
        </w:rPr>
        <w:t> </w:t>
      </w:r>
      <w:r>
        <w:rPr>
          <w:sz w:val="21"/>
        </w:rPr>
        <w:t>of letters of </w:t>
      </w:r>
      <w:r>
        <w:rPr>
          <w:spacing w:val="-3"/>
          <w:sz w:val="21"/>
        </w:rPr>
        <w:t>administration  </w:t>
      </w:r>
      <w:r>
        <w:rPr>
          <w:sz w:val="21"/>
        </w:rPr>
        <w:t>with the </w:t>
      </w:r>
      <w:r>
        <w:rPr>
          <w:spacing w:val="-3"/>
          <w:sz w:val="21"/>
        </w:rPr>
        <w:t>will annexed </w:t>
      </w:r>
      <w:r>
        <w:rPr>
          <w:sz w:val="21"/>
        </w:rPr>
        <w:t>where the </w:t>
      </w:r>
      <w:r>
        <w:rPr>
          <w:spacing w:val="-3"/>
          <w:sz w:val="21"/>
        </w:rPr>
        <w:t>will </w:t>
      </w:r>
      <w:r>
        <w:rPr>
          <w:sz w:val="21"/>
        </w:rPr>
        <w:t>does </w:t>
      </w:r>
      <w:r>
        <w:rPr>
          <w:spacing w:val="-2"/>
          <w:sz w:val="21"/>
        </w:rPr>
        <w:t>not  </w:t>
      </w:r>
      <w:r>
        <w:rPr>
          <w:sz w:val="21"/>
        </w:rPr>
        <w:t>effectively appoint an </w:t>
      </w:r>
      <w:r>
        <w:rPr>
          <w:spacing w:val="-4"/>
          <w:sz w:val="21"/>
        </w:rPr>
        <w:t>executor,  </w:t>
      </w:r>
      <w:r>
        <w:rPr>
          <w:sz w:val="21"/>
        </w:rPr>
        <w:t>or </w:t>
      </w:r>
      <w:r>
        <w:rPr>
          <w:spacing w:val="-3"/>
          <w:sz w:val="21"/>
        </w:rPr>
        <w:t>to  </w:t>
      </w:r>
      <w:r>
        <w:rPr>
          <w:sz w:val="21"/>
        </w:rPr>
        <w:t>a </w:t>
      </w:r>
      <w:r>
        <w:rPr>
          <w:spacing w:val="-3"/>
          <w:sz w:val="21"/>
        </w:rPr>
        <w:t>grant </w:t>
      </w:r>
      <w:r>
        <w:rPr>
          <w:sz w:val="21"/>
        </w:rPr>
        <w:t>of</w:t>
      </w:r>
      <w:r>
        <w:rPr>
          <w:spacing w:val="9"/>
          <w:sz w:val="21"/>
        </w:rPr>
        <w:t> </w:t>
      </w:r>
      <w:r>
        <w:rPr>
          <w:sz w:val="21"/>
        </w:rPr>
        <w:t>letters</w:t>
      </w:r>
      <w:r>
        <w:rPr>
          <w:spacing w:val="10"/>
          <w:sz w:val="21"/>
        </w:rPr>
        <w:t> </w:t>
      </w:r>
      <w:r>
        <w:rPr>
          <w:sz w:val="21"/>
        </w:rPr>
        <w:t>of</w:t>
      </w:r>
      <w:r>
        <w:rPr>
          <w:spacing w:val="10"/>
          <w:sz w:val="21"/>
        </w:rPr>
        <w:t> </w:t>
      </w:r>
      <w:r>
        <w:rPr>
          <w:spacing w:val="-3"/>
          <w:sz w:val="21"/>
        </w:rPr>
        <w:t>administration</w:t>
      </w:r>
      <w:r>
        <w:rPr>
          <w:spacing w:val="10"/>
          <w:sz w:val="21"/>
        </w:rPr>
        <w:t> </w:t>
      </w:r>
      <w:r>
        <w:rPr>
          <w:sz w:val="21"/>
        </w:rPr>
        <w:t>where</w:t>
      </w:r>
      <w:r>
        <w:rPr>
          <w:spacing w:val="10"/>
          <w:sz w:val="21"/>
        </w:rPr>
        <w:t> </w:t>
      </w:r>
      <w:r>
        <w:rPr>
          <w:sz w:val="21"/>
        </w:rPr>
        <w:t>the</w:t>
      </w:r>
      <w:r>
        <w:rPr>
          <w:spacing w:val="10"/>
          <w:sz w:val="21"/>
        </w:rPr>
        <w:t> </w:t>
      </w:r>
      <w:r>
        <w:rPr>
          <w:sz w:val="21"/>
        </w:rPr>
        <w:t>deceased</w:t>
      </w:r>
      <w:r>
        <w:rPr>
          <w:spacing w:val="10"/>
          <w:sz w:val="21"/>
        </w:rPr>
        <w:t> </w:t>
      </w:r>
      <w:r>
        <w:rPr>
          <w:sz w:val="21"/>
        </w:rPr>
        <w:t>dies</w:t>
      </w:r>
      <w:r>
        <w:rPr>
          <w:spacing w:val="10"/>
          <w:sz w:val="21"/>
        </w:rPr>
        <w:t> </w:t>
      </w:r>
      <w:r>
        <w:rPr>
          <w:spacing w:val="-3"/>
          <w:sz w:val="21"/>
        </w:rPr>
        <w:t>intestate</w:t>
      </w:r>
    </w:p>
    <w:p>
      <w:pPr>
        <w:pStyle w:val="ListParagraph"/>
        <w:numPr>
          <w:ilvl w:val="2"/>
          <w:numId w:val="22"/>
        </w:numPr>
        <w:tabs>
          <w:tab w:pos="2721" w:val="left" w:leader="none"/>
          <w:tab w:pos="2722" w:val="left" w:leader="none"/>
        </w:tabs>
        <w:spacing w:line="240" w:lineRule="auto" w:before="123" w:after="0"/>
        <w:ind w:left="2721" w:right="0" w:hanging="340"/>
        <w:jc w:val="left"/>
        <w:rPr>
          <w:sz w:val="21"/>
        </w:rPr>
      </w:pPr>
      <w:r>
        <w:rPr>
          <w:spacing w:val="-3"/>
          <w:w w:val="105"/>
          <w:sz w:val="21"/>
        </w:rPr>
        <w:t>applications for </w:t>
      </w:r>
      <w:r>
        <w:rPr>
          <w:w w:val="105"/>
          <w:sz w:val="21"/>
        </w:rPr>
        <w:t>the revocation of an existing </w:t>
      </w:r>
      <w:r>
        <w:rPr>
          <w:spacing w:val="-3"/>
          <w:w w:val="105"/>
          <w:sz w:val="21"/>
        </w:rPr>
        <w:t>grant </w:t>
      </w:r>
      <w:r>
        <w:rPr>
          <w:w w:val="105"/>
          <w:sz w:val="21"/>
        </w:rPr>
        <w:t>on the</w:t>
      </w:r>
      <w:r>
        <w:rPr>
          <w:spacing w:val="48"/>
          <w:w w:val="105"/>
          <w:sz w:val="21"/>
        </w:rPr>
        <w:t> </w:t>
      </w:r>
      <w:r>
        <w:rPr>
          <w:w w:val="105"/>
          <w:sz w:val="21"/>
        </w:rPr>
        <w:t>basis:</w:t>
      </w:r>
    </w:p>
    <w:p>
      <w:pPr>
        <w:pStyle w:val="ListParagraph"/>
        <w:numPr>
          <w:ilvl w:val="3"/>
          <w:numId w:val="22"/>
        </w:numPr>
        <w:tabs>
          <w:tab w:pos="3027" w:val="left" w:leader="none"/>
          <w:tab w:pos="3028" w:val="left" w:leader="none"/>
        </w:tabs>
        <w:spacing w:line="240" w:lineRule="auto" w:before="124" w:after="0"/>
        <w:ind w:left="3027" w:right="0" w:hanging="306"/>
        <w:jc w:val="left"/>
        <w:rPr>
          <w:sz w:val="21"/>
        </w:rPr>
      </w:pPr>
      <w:r>
        <w:rPr>
          <w:sz w:val="21"/>
        </w:rPr>
        <w:t>in</w:t>
      </w:r>
      <w:r>
        <w:rPr>
          <w:spacing w:val="9"/>
          <w:sz w:val="21"/>
        </w:rPr>
        <w:t> </w:t>
      </w:r>
      <w:r>
        <w:rPr>
          <w:sz w:val="21"/>
        </w:rPr>
        <w:t>the</w:t>
      </w:r>
      <w:r>
        <w:rPr>
          <w:spacing w:val="10"/>
          <w:sz w:val="21"/>
        </w:rPr>
        <w:t> </w:t>
      </w:r>
      <w:r>
        <w:rPr>
          <w:sz w:val="21"/>
        </w:rPr>
        <w:t>case</w:t>
      </w:r>
      <w:r>
        <w:rPr>
          <w:spacing w:val="9"/>
          <w:sz w:val="21"/>
        </w:rPr>
        <w:t> </w:t>
      </w:r>
      <w:r>
        <w:rPr>
          <w:sz w:val="21"/>
        </w:rPr>
        <w:t>of</w:t>
      </w:r>
      <w:r>
        <w:rPr>
          <w:spacing w:val="10"/>
          <w:sz w:val="21"/>
        </w:rPr>
        <w:t> </w:t>
      </w:r>
      <w:r>
        <w:rPr>
          <w:spacing w:val="-3"/>
          <w:sz w:val="21"/>
        </w:rPr>
        <w:t>intestacy,</w:t>
      </w:r>
      <w:r>
        <w:rPr>
          <w:spacing w:val="10"/>
          <w:sz w:val="21"/>
        </w:rPr>
        <w:t> </w:t>
      </w:r>
      <w:r>
        <w:rPr>
          <w:spacing w:val="-3"/>
          <w:sz w:val="21"/>
        </w:rPr>
        <w:t>that</w:t>
      </w:r>
      <w:r>
        <w:rPr>
          <w:spacing w:val="9"/>
          <w:sz w:val="21"/>
        </w:rPr>
        <w:t> </w:t>
      </w:r>
      <w:r>
        <w:rPr>
          <w:sz w:val="21"/>
        </w:rPr>
        <w:t>a</w:t>
      </w:r>
      <w:r>
        <w:rPr>
          <w:spacing w:val="10"/>
          <w:sz w:val="21"/>
        </w:rPr>
        <w:t> </w:t>
      </w:r>
      <w:r>
        <w:rPr>
          <w:spacing w:val="-3"/>
          <w:sz w:val="21"/>
        </w:rPr>
        <w:t>valid</w:t>
      </w:r>
      <w:r>
        <w:rPr>
          <w:spacing w:val="9"/>
          <w:sz w:val="21"/>
        </w:rPr>
        <w:t> </w:t>
      </w:r>
      <w:r>
        <w:rPr>
          <w:spacing w:val="-3"/>
          <w:sz w:val="21"/>
        </w:rPr>
        <w:t>will</w:t>
      </w:r>
      <w:r>
        <w:rPr>
          <w:spacing w:val="10"/>
          <w:sz w:val="21"/>
        </w:rPr>
        <w:t> </w:t>
      </w:r>
      <w:r>
        <w:rPr>
          <w:spacing w:val="-2"/>
          <w:sz w:val="21"/>
        </w:rPr>
        <w:t>has</w:t>
      </w:r>
      <w:r>
        <w:rPr>
          <w:spacing w:val="10"/>
          <w:sz w:val="21"/>
        </w:rPr>
        <w:t> </w:t>
      </w:r>
      <w:r>
        <w:rPr>
          <w:sz w:val="21"/>
        </w:rPr>
        <w:t>been</w:t>
      </w:r>
      <w:r>
        <w:rPr>
          <w:spacing w:val="9"/>
          <w:sz w:val="21"/>
        </w:rPr>
        <w:t> </w:t>
      </w:r>
      <w:r>
        <w:rPr>
          <w:spacing w:val="-3"/>
          <w:sz w:val="21"/>
        </w:rPr>
        <w:t>discovered</w:t>
      </w:r>
    </w:p>
    <w:p>
      <w:pPr>
        <w:pStyle w:val="ListParagraph"/>
        <w:numPr>
          <w:ilvl w:val="3"/>
          <w:numId w:val="22"/>
        </w:numPr>
        <w:tabs>
          <w:tab w:pos="3027" w:val="left" w:leader="none"/>
          <w:tab w:pos="3028" w:val="left" w:leader="none"/>
        </w:tabs>
        <w:spacing w:line="240" w:lineRule="auto" w:before="124" w:after="0"/>
        <w:ind w:left="3027" w:right="0" w:hanging="306"/>
        <w:jc w:val="left"/>
        <w:rPr>
          <w:sz w:val="21"/>
        </w:rPr>
      </w:pPr>
      <w:r>
        <w:rPr>
          <w:w w:val="105"/>
          <w:sz w:val="21"/>
        </w:rPr>
        <w:t>in</w:t>
      </w:r>
      <w:r>
        <w:rPr>
          <w:spacing w:val="3"/>
          <w:w w:val="105"/>
          <w:sz w:val="21"/>
        </w:rPr>
        <w:t> </w:t>
      </w:r>
      <w:r>
        <w:rPr>
          <w:w w:val="105"/>
          <w:sz w:val="21"/>
        </w:rPr>
        <w:t>the</w:t>
      </w:r>
      <w:r>
        <w:rPr>
          <w:spacing w:val="4"/>
          <w:w w:val="105"/>
          <w:sz w:val="21"/>
        </w:rPr>
        <w:t> </w:t>
      </w:r>
      <w:r>
        <w:rPr>
          <w:w w:val="105"/>
          <w:sz w:val="21"/>
        </w:rPr>
        <w:t>case</w:t>
      </w:r>
      <w:r>
        <w:rPr>
          <w:spacing w:val="4"/>
          <w:w w:val="105"/>
          <w:sz w:val="21"/>
        </w:rPr>
        <w:t> </w:t>
      </w:r>
      <w:r>
        <w:rPr>
          <w:w w:val="105"/>
          <w:sz w:val="21"/>
        </w:rPr>
        <w:t>of</w:t>
      </w:r>
      <w:r>
        <w:rPr>
          <w:spacing w:val="4"/>
          <w:w w:val="105"/>
          <w:sz w:val="21"/>
        </w:rPr>
        <w:t> </w:t>
      </w:r>
      <w:r>
        <w:rPr>
          <w:w w:val="105"/>
          <w:sz w:val="21"/>
        </w:rPr>
        <w:t>a</w:t>
      </w:r>
      <w:r>
        <w:rPr>
          <w:spacing w:val="4"/>
          <w:w w:val="105"/>
          <w:sz w:val="21"/>
        </w:rPr>
        <w:t> </w:t>
      </w:r>
      <w:r>
        <w:rPr>
          <w:spacing w:val="-3"/>
          <w:w w:val="105"/>
          <w:sz w:val="21"/>
        </w:rPr>
        <w:t>grant</w:t>
      </w:r>
      <w:r>
        <w:rPr>
          <w:spacing w:val="4"/>
          <w:w w:val="105"/>
          <w:sz w:val="21"/>
        </w:rPr>
        <w:t> </w:t>
      </w:r>
      <w:r>
        <w:rPr>
          <w:w w:val="105"/>
          <w:sz w:val="21"/>
        </w:rPr>
        <w:t>of</w:t>
      </w:r>
      <w:r>
        <w:rPr>
          <w:spacing w:val="4"/>
          <w:w w:val="105"/>
          <w:sz w:val="21"/>
        </w:rPr>
        <w:t> </w:t>
      </w:r>
      <w:r>
        <w:rPr>
          <w:spacing w:val="-3"/>
          <w:w w:val="105"/>
          <w:sz w:val="21"/>
        </w:rPr>
        <w:t>probate,</w:t>
      </w:r>
      <w:r>
        <w:rPr>
          <w:spacing w:val="3"/>
          <w:w w:val="105"/>
          <w:sz w:val="21"/>
        </w:rPr>
        <w:t> </w:t>
      </w:r>
      <w:r>
        <w:rPr>
          <w:spacing w:val="-3"/>
          <w:w w:val="105"/>
          <w:sz w:val="21"/>
        </w:rPr>
        <w:t>that</w:t>
      </w:r>
      <w:r>
        <w:rPr>
          <w:spacing w:val="4"/>
          <w:w w:val="105"/>
          <w:sz w:val="21"/>
        </w:rPr>
        <w:t> </w:t>
      </w:r>
      <w:r>
        <w:rPr>
          <w:w w:val="105"/>
          <w:sz w:val="21"/>
        </w:rPr>
        <w:t>the</w:t>
      </w:r>
      <w:r>
        <w:rPr>
          <w:spacing w:val="4"/>
          <w:w w:val="105"/>
          <w:sz w:val="21"/>
        </w:rPr>
        <w:t> </w:t>
      </w:r>
      <w:r>
        <w:rPr>
          <w:spacing w:val="-3"/>
          <w:w w:val="105"/>
          <w:sz w:val="21"/>
        </w:rPr>
        <w:t>will</w:t>
      </w:r>
      <w:r>
        <w:rPr>
          <w:spacing w:val="4"/>
          <w:w w:val="105"/>
          <w:sz w:val="21"/>
        </w:rPr>
        <w:t> </w:t>
      </w:r>
      <w:r>
        <w:rPr>
          <w:w w:val="105"/>
          <w:sz w:val="21"/>
        </w:rPr>
        <w:t>in</w:t>
      </w:r>
      <w:r>
        <w:rPr>
          <w:spacing w:val="4"/>
          <w:w w:val="105"/>
          <w:sz w:val="21"/>
        </w:rPr>
        <w:t> </w:t>
      </w:r>
      <w:r>
        <w:rPr>
          <w:w w:val="105"/>
          <w:sz w:val="21"/>
        </w:rPr>
        <w:t>question</w:t>
      </w:r>
      <w:r>
        <w:rPr>
          <w:spacing w:val="4"/>
          <w:w w:val="105"/>
          <w:sz w:val="21"/>
        </w:rPr>
        <w:t> </w:t>
      </w:r>
      <w:r>
        <w:rPr>
          <w:w w:val="105"/>
          <w:sz w:val="21"/>
        </w:rPr>
        <w:t>is</w:t>
      </w:r>
      <w:r>
        <w:rPr>
          <w:spacing w:val="4"/>
          <w:w w:val="105"/>
          <w:sz w:val="21"/>
        </w:rPr>
        <w:t> </w:t>
      </w:r>
      <w:r>
        <w:rPr>
          <w:spacing w:val="-3"/>
          <w:w w:val="105"/>
          <w:sz w:val="21"/>
        </w:rPr>
        <w:t>invalid</w:t>
      </w:r>
    </w:p>
    <w:p>
      <w:pPr>
        <w:pStyle w:val="ListParagraph"/>
        <w:numPr>
          <w:ilvl w:val="2"/>
          <w:numId w:val="22"/>
        </w:numPr>
        <w:tabs>
          <w:tab w:pos="2721" w:val="left" w:leader="none"/>
          <w:tab w:pos="2722" w:val="left" w:leader="none"/>
        </w:tabs>
        <w:spacing w:line="242" w:lineRule="auto" w:before="124" w:after="0"/>
        <w:ind w:left="2721" w:right="2412" w:hanging="340"/>
        <w:jc w:val="left"/>
        <w:rPr>
          <w:sz w:val="21"/>
        </w:rPr>
      </w:pPr>
      <w:r>
        <w:rPr>
          <w:spacing w:val="-3"/>
          <w:sz w:val="21"/>
        </w:rPr>
        <w:t>applications for </w:t>
      </w:r>
      <w:r>
        <w:rPr>
          <w:sz w:val="21"/>
        </w:rPr>
        <w:t>the </w:t>
      </w:r>
      <w:r>
        <w:rPr>
          <w:spacing w:val="-3"/>
          <w:sz w:val="21"/>
        </w:rPr>
        <w:t>removal </w:t>
      </w:r>
      <w:r>
        <w:rPr>
          <w:sz w:val="21"/>
        </w:rPr>
        <w:t>and </w:t>
      </w:r>
      <w:r>
        <w:rPr>
          <w:spacing w:val="-3"/>
          <w:sz w:val="21"/>
        </w:rPr>
        <w:t>replacement </w:t>
      </w:r>
      <w:r>
        <w:rPr>
          <w:sz w:val="21"/>
        </w:rPr>
        <w:t>of an </w:t>
      </w:r>
      <w:r>
        <w:rPr>
          <w:spacing w:val="-3"/>
          <w:sz w:val="21"/>
        </w:rPr>
        <w:t>executor  </w:t>
      </w:r>
      <w:r>
        <w:rPr>
          <w:sz w:val="21"/>
        </w:rPr>
        <w:t>or </w:t>
      </w:r>
      <w:r>
        <w:rPr>
          <w:spacing w:val="-3"/>
          <w:sz w:val="21"/>
        </w:rPr>
        <w:t>administrator</w:t>
      </w:r>
      <w:r>
        <w:rPr>
          <w:spacing w:val="41"/>
          <w:sz w:val="21"/>
        </w:rPr>
        <w:t> </w:t>
      </w:r>
      <w:r>
        <w:rPr>
          <w:sz w:val="21"/>
        </w:rPr>
        <w:t>on</w:t>
      </w:r>
      <w:r>
        <w:rPr>
          <w:spacing w:val="13"/>
          <w:sz w:val="21"/>
        </w:rPr>
        <w:t> </w:t>
      </w:r>
      <w:r>
        <w:rPr>
          <w:sz w:val="21"/>
        </w:rPr>
        <w:t>the</w:t>
      </w:r>
      <w:r>
        <w:rPr>
          <w:spacing w:val="14"/>
          <w:sz w:val="21"/>
        </w:rPr>
        <w:t> </w:t>
      </w:r>
      <w:r>
        <w:rPr>
          <w:spacing w:val="-3"/>
          <w:sz w:val="21"/>
        </w:rPr>
        <w:t>grounds,</w:t>
      </w:r>
      <w:r>
        <w:rPr>
          <w:spacing w:val="13"/>
          <w:sz w:val="21"/>
        </w:rPr>
        <w:t> </w:t>
      </w:r>
      <w:r>
        <w:rPr>
          <w:spacing w:val="-3"/>
          <w:sz w:val="21"/>
        </w:rPr>
        <w:t>for</w:t>
      </w:r>
      <w:r>
        <w:rPr>
          <w:spacing w:val="14"/>
          <w:sz w:val="21"/>
        </w:rPr>
        <w:t> </w:t>
      </w:r>
      <w:r>
        <w:rPr>
          <w:spacing w:val="-3"/>
          <w:sz w:val="21"/>
        </w:rPr>
        <w:t>example,</w:t>
      </w:r>
      <w:r>
        <w:rPr>
          <w:spacing w:val="13"/>
          <w:sz w:val="21"/>
        </w:rPr>
        <w:t> </w:t>
      </w:r>
      <w:r>
        <w:rPr>
          <w:spacing w:val="-3"/>
          <w:sz w:val="21"/>
        </w:rPr>
        <w:t>that</w:t>
      </w:r>
      <w:r>
        <w:rPr>
          <w:spacing w:val="14"/>
          <w:sz w:val="21"/>
        </w:rPr>
        <w:t> </w:t>
      </w:r>
      <w:r>
        <w:rPr>
          <w:sz w:val="21"/>
        </w:rPr>
        <w:t>they</w:t>
      </w:r>
      <w:r>
        <w:rPr>
          <w:spacing w:val="14"/>
          <w:sz w:val="21"/>
        </w:rPr>
        <w:t> </w:t>
      </w:r>
      <w:r>
        <w:rPr>
          <w:spacing w:val="-3"/>
          <w:sz w:val="21"/>
        </w:rPr>
        <w:t>are</w:t>
      </w:r>
      <w:r>
        <w:rPr>
          <w:spacing w:val="13"/>
          <w:sz w:val="21"/>
        </w:rPr>
        <w:t> </w:t>
      </w:r>
      <w:r>
        <w:rPr>
          <w:sz w:val="21"/>
        </w:rPr>
        <w:t>unfit</w:t>
      </w:r>
      <w:r>
        <w:rPr>
          <w:spacing w:val="14"/>
          <w:sz w:val="21"/>
        </w:rPr>
        <w:t> </w:t>
      </w:r>
      <w:r>
        <w:rPr>
          <w:spacing w:val="-3"/>
          <w:sz w:val="21"/>
        </w:rPr>
        <w:t>to</w:t>
      </w:r>
      <w:r>
        <w:rPr>
          <w:spacing w:val="13"/>
          <w:sz w:val="21"/>
        </w:rPr>
        <w:t> </w:t>
      </w:r>
      <w:r>
        <w:rPr>
          <w:sz w:val="21"/>
        </w:rPr>
        <w:t>act</w:t>
      </w:r>
      <w:r>
        <w:rPr>
          <w:spacing w:val="14"/>
          <w:sz w:val="21"/>
        </w:rPr>
        <w:t> </w:t>
      </w:r>
      <w:r>
        <w:rPr>
          <w:sz w:val="21"/>
        </w:rPr>
        <w:t>in</w:t>
      </w:r>
      <w:r>
        <w:rPr>
          <w:spacing w:val="14"/>
          <w:sz w:val="21"/>
        </w:rPr>
        <w:t> </w:t>
      </w:r>
      <w:r>
        <w:rPr>
          <w:sz w:val="21"/>
        </w:rPr>
        <w:t>the</w:t>
      </w:r>
      <w:r>
        <w:rPr>
          <w:spacing w:val="13"/>
          <w:sz w:val="21"/>
        </w:rPr>
        <w:t> </w:t>
      </w:r>
      <w:r>
        <w:rPr>
          <w:sz w:val="21"/>
        </w:rPr>
        <w:t>office.</w:t>
      </w:r>
    </w:p>
    <w:p>
      <w:pPr>
        <w:pStyle w:val="ListParagraph"/>
        <w:numPr>
          <w:ilvl w:val="1"/>
          <w:numId w:val="22"/>
        </w:numPr>
        <w:tabs>
          <w:tab w:pos="2381" w:val="left" w:leader="none"/>
          <w:tab w:pos="2382" w:val="left" w:leader="none"/>
        </w:tabs>
        <w:spacing w:line="242" w:lineRule="auto" w:before="122" w:after="0"/>
        <w:ind w:left="2381" w:right="2215" w:hanging="794"/>
        <w:jc w:val="left"/>
        <w:rPr>
          <w:sz w:val="21"/>
        </w:rPr>
      </w:pPr>
      <w:r>
        <w:rPr>
          <w:w w:val="105"/>
          <w:sz w:val="21"/>
        </w:rPr>
        <w:t>The</w:t>
      </w:r>
      <w:r>
        <w:rPr>
          <w:spacing w:val="-5"/>
          <w:w w:val="105"/>
          <w:sz w:val="21"/>
        </w:rPr>
        <w:t> </w:t>
      </w:r>
      <w:r>
        <w:rPr>
          <w:spacing w:val="-3"/>
          <w:w w:val="105"/>
          <w:sz w:val="21"/>
        </w:rPr>
        <w:t>following</w:t>
      </w:r>
      <w:r>
        <w:rPr>
          <w:spacing w:val="-5"/>
          <w:w w:val="105"/>
          <w:sz w:val="21"/>
        </w:rPr>
        <w:t> </w:t>
      </w:r>
      <w:r>
        <w:rPr>
          <w:spacing w:val="-3"/>
          <w:w w:val="105"/>
          <w:sz w:val="21"/>
        </w:rPr>
        <w:t>are</w:t>
      </w:r>
      <w:r>
        <w:rPr>
          <w:spacing w:val="-4"/>
          <w:w w:val="105"/>
          <w:sz w:val="21"/>
        </w:rPr>
        <w:t> </w:t>
      </w:r>
      <w:r>
        <w:rPr>
          <w:w w:val="105"/>
          <w:sz w:val="21"/>
        </w:rPr>
        <w:t>examples</w:t>
      </w:r>
      <w:r>
        <w:rPr>
          <w:spacing w:val="-5"/>
          <w:w w:val="105"/>
          <w:sz w:val="21"/>
        </w:rPr>
        <w:t> </w:t>
      </w:r>
      <w:r>
        <w:rPr>
          <w:w w:val="105"/>
          <w:sz w:val="21"/>
        </w:rPr>
        <w:t>of</w:t>
      </w:r>
      <w:r>
        <w:rPr>
          <w:spacing w:val="-5"/>
          <w:w w:val="105"/>
          <w:sz w:val="21"/>
        </w:rPr>
        <w:t> </w:t>
      </w:r>
      <w:r>
        <w:rPr>
          <w:spacing w:val="-3"/>
          <w:w w:val="105"/>
          <w:sz w:val="21"/>
        </w:rPr>
        <w:t>succession</w:t>
      </w:r>
      <w:r>
        <w:rPr>
          <w:spacing w:val="-4"/>
          <w:w w:val="105"/>
          <w:sz w:val="21"/>
        </w:rPr>
        <w:t> </w:t>
      </w:r>
      <w:r>
        <w:rPr>
          <w:spacing w:val="-3"/>
          <w:w w:val="105"/>
          <w:sz w:val="21"/>
        </w:rPr>
        <w:t>proceedings</w:t>
      </w:r>
      <w:r>
        <w:rPr>
          <w:spacing w:val="-5"/>
          <w:w w:val="105"/>
          <w:sz w:val="21"/>
        </w:rPr>
        <w:t> </w:t>
      </w:r>
      <w:r>
        <w:rPr>
          <w:spacing w:val="-3"/>
          <w:w w:val="105"/>
          <w:sz w:val="21"/>
        </w:rPr>
        <w:t>that</w:t>
      </w:r>
      <w:r>
        <w:rPr>
          <w:spacing w:val="-4"/>
          <w:w w:val="105"/>
          <w:sz w:val="21"/>
        </w:rPr>
        <w:t> </w:t>
      </w:r>
      <w:r>
        <w:rPr>
          <w:spacing w:val="-3"/>
          <w:w w:val="105"/>
          <w:sz w:val="21"/>
        </w:rPr>
        <w:t>may</w:t>
      </w:r>
      <w:r>
        <w:rPr>
          <w:spacing w:val="-5"/>
          <w:w w:val="105"/>
          <w:sz w:val="21"/>
        </w:rPr>
        <w:t> </w:t>
      </w:r>
      <w:r>
        <w:rPr>
          <w:w w:val="105"/>
          <w:sz w:val="21"/>
        </w:rPr>
        <w:t>arise</w:t>
      </w:r>
      <w:r>
        <w:rPr>
          <w:spacing w:val="-5"/>
          <w:w w:val="105"/>
          <w:sz w:val="21"/>
        </w:rPr>
        <w:t> </w:t>
      </w:r>
      <w:r>
        <w:rPr>
          <w:w w:val="105"/>
          <w:sz w:val="21"/>
        </w:rPr>
        <w:t>in</w:t>
      </w:r>
      <w:r>
        <w:rPr>
          <w:spacing w:val="-4"/>
          <w:w w:val="105"/>
          <w:sz w:val="21"/>
        </w:rPr>
        <w:t> </w:t>
      </w:r>
      <w:r>
        <w:rPr>
          <w:w w:val="105"/>
          <w:sz w:val="21"/>
        </w:rPr>
        <w:t>the</w:t>
      </w:r>
      <w:r>
        <w:rPr>
          <w:spacing w:val="-5"/>
          <w:w w:val="105"/>
          <w:sz w:val="21"/>
        </w:rPr>
        <w:t> </w:t>
      </w:r>
      <w:r>
        <w:rPr>
          <w:w w:val="105"/>
          <w:sz w:val="21"/>
        </w:rPr>
        <w:t>general jurisdiction of the</w:t>
      </w:r>
      <w:r>
        <w:rPr>
          <w:spacing w:val="14"/>
          <w:w w:val="105"/>
          <w:sz w:val="21"/>
        </w:rPr>
        <w:t> </w:t>
      </w:r>
      <w:r>
        <w:rPr>
          <w:w w:val="105"/>
          <w:sz w:val="21"/>
        </w:rPr>
        <w:t>Court:</w:t>
      </w:r>
    </w:p>
    <w:p>
      <w:pPr>
        <w:pStyle w:val="ListParagraph"/>
        <w:numPr>
          <w:ilvl w:val="2"/>
          <w:numId w:val="22"/>
        </w:numPr>
        <w:tabs>
          <w:tab w:pos="2721" w:val="left" w:leader="none"/>
          <w:tab w:pos="2722" w:val="left" w:leader="none"/>
        </w:tabs>
        <w:spacing w:line="240" w:lineRule="auto" w:before="122" w:after="0"/>
        <w:ind w:left="2721" w:right="0" w:hanging="340"/>
        <w:jc w:val="left"/>
        <w:rPr>
          <w:sz w:val="21"/>
        </w:rPr>
      </w:pPr>
      <w:r>
        <w:rPr>
          <w:spacing w:val="-3"/>
          <w:sz w:val="21"/>
        </w:rPr>
        <w:t>proceedings</w:t>
      </w:r>
      <w:r>
        <w:rPr>
          <w:spacing w:val="9"/>
          <w:sz w:val="21"/>
        </w:rPr>
        <w:t> </w:t>
      </w:r>
      <w:r>
        <w:rPr>
          <w:spacing w:val="-3"/>
          <w:sz w:val="21"/>
        </w:rPr>
        <w:t>for</w:t>
      </w:r>
      <w:r>
        <w:rPr>
          <w:spacing w:val="10"/>
          <w:sz w:val="21"/>
        </w:rPr>
        <w:t> </w:t>
      </w:r>
      <w:r>
        <w:rPr>
          <w:sz w:val="21"/>
        </w:rPr>
        <w:t>the</w:t>
      </w:r>
      <w:r>
        <w:rPr>
          <w:spacing w:val="9"/>
          <w:sz w:val="21"/>
        </w:rPr>
        <w:t> </w:t>
      </w:r>
      <w:r>
        <w:rPr>
          <w:spacing w:val="-3"/>
          <w:sz w:val="21"/>
        </w:rPr>
        <w:t>interpretation</w:t>
      </w:r>
      <w:r>
        <w:rPr>
          <w:spacing w:val="10"/>
          <w:sz w:val="21"/>
        </w:rPr>
        <w:t> </w:t>
      </w:r>
      <w:r>
        <w:rPr>
          <w:sz w:val="21"/>
        </w:rPr>
        <w:t>or</w:t>
      </w:r>
      <w:r>
        <w:rPr>
          <w:spacing w:val="10"/>
          <w:sz w:val="21"/>
        </w:rPr>
        <w:t> </w:t>
      </w:r>
      <w:r>
        <w:rPr>
          <w:sz w:val="21"/>
        </w:rPr>
        <w:t>construction</w:t>
      </w:r>
      <w:r>
        <w:rPr>
          <w:spacing w:val="9"/>
          <w:sz w:val="21"/>
        </w:rPr>
        <w:t> </w:t>
      </w:r>
      <w:r>
        <w:rPr>
          <w:sz w:val="21"/>
        </w:rPr>
        <w:t>of</w:t>
      </w:r>
      <w:r>
        <w:rPr>
          <w:spacing w:val="10"/>
          <w:sz w:val="21"/>
        </w:rPr>
        <w:t> </w:t>
      </w:r>
      <w:r>
        <w:rPr>
          <w:sz w:val="21"/>
        </w:rPr>
        <w:t>a</w:t>
      </w:r>
      <w:r>
        <w:rPr>
          <w:spacing w:val="9"/>
          <w:sz w:val="21"/>
        </w:rPr>
        <w:t> </w:t>
      </w:r>
      <w:r>
        <w:rPr>
          <w:spacing w:val="-3"/>
          <w:sz w:val="21"/>
        </w:rPr>
        <w:t>will</w:t>
      </w:r>
    </w:p>
    <w:p>
      <w:pPr>
        <w:pStyle w:val="ListParagraph"/>
        <w:numPr>
          <w:ilvl w:val="2"/>
          <w:numId w:val="22"/>
        </w:numPr>
        <w:tabs>
          <w:tab w:pos="2721" w:val="left" w:leader="none"/>
          <w:tab w:pos="2722" w:val="left" w:leader="none"/>
        </w:tabs>
        <w:spacing w:line="242" w:lineRule="auto" w:before="124" w:after="0"/>
        <w:ind w:left="2721" w:right="2286" w:hanging="340"/>
        <w:jc w:val="left"/>
        <w:rPr>
          <w:sz w:val="21"/>
        </w:rPr>
      </w:pPr>
      <w:r>
        <w:rPr>
          <w:spacing w:val="-3"/>
          <w:w w:val="105"/>
          <w:sz w:val="21"/>
        </w:rPr>
        <w:t>proceedings</w:t>
      </w:r>
      <w:r>
        <w:rPr>
          <w:spacing w:val="-5"/>
          <w:w w:val="105"/>
          <w:sz w:val="21"/>
        </w:rPr>
        <w:t> </w:t>
      </w:r>
      <w:r>
        <w:rPr>
          <w:spacing w:val="-3"/>
          <w:w w:val="105"/>
          <w:sz w:val="21"/>
        </w:rPr>
        <w:t>for</w:t>
      </w:r>
      <w:r>
        <w:rPr>
          <w:spacing w:val="-4"/>
          <w:w w:val="105"/>
          <w:sz w:val="21"/>
        </w:rPr>
        <w:t> </w:t>
      </w:r>
      <w:r>
        <w:rPr>
          <w:w w:val="105"/>
          <w:sz w:val="21"/>
        </w:rPr>
        <w:t>a</w:t>
      </w:r>
      <w:r>
        <w:rPr>
          <w:spacing w:val="-4"/>
          <w:w w:val="105"/>
          <w:sz w:val="21"/>
        </w:rPr>
        <w:t> </w:t>
      </w:r>
      <w:r>
        <w:rPr>
          <w:spacing w:val="-3"/>
          <w:w w:val="105"/>
          <w:sz w:val="21"/>
        </w:rPr>
        <w:t>share</w:t>
      </w:r>
      <w:r>
        <w:rPr>
          <w:spacing w:val="-5"/>
          <w:w w:val="105"/>
          <w:sz w:val="21"/>
        </w:rPr>
        <w:t> </w:t>
      </w:r>
      <w:r>
        <w:rPr>
          <w:w w:val="105"/>
          <w:sz w:val="21"/>
        </w:rPr>
        <w:t>of</w:t>
      </w:r>
      <w:r>
        <w:rPr>
          <w:spacing w:val="-4"/>
          <w:w w:val="105"/>
          <w:sz w:val="21"/>
        </w:rPr>
        <w:t> </w:t>
      </w:r>
      <w:r>
        <w:rPr>
          <w:w w:val="105"/>
          <w:sz w:val="21"/>
        </w:rPr>
        <w:t>the</w:t>
      </w:r>
      <w:r>
        <w:rPr>
          <w:spacing w:val="-4"/>
          <w:w w:val="105"/>
          <w:sz w:val="21"/>
        </w:rPr>
        <w:t> </w:t>
      </w:r>
      <w:r>
        <w:rPr>
          <w:w w:val="105"/>
          <w:sz w:val="21"/>
        </w:rPr>
        <w:t>estate</w:t>
      </w:r>
      <w:r>
        <w:rPr>
          <w:spacing w:val="-4"/>
          <w:w w:val="105"/>
          <w:sz w:val="21"/>
        </w:rPr>
        <w:t> </w:t>
      </w:r>
      <w:r>
        <w:rPr>
          <w:w w:val="105"/>
          <w:sz w:val="21"/>
        </w:rPr>
        <w:t>(or</w:t>
      </w:r>
      <w:r>
        <w:rPr>
          <w:spacing w:val="-5"/>
          <w:w w:val="105"/>
          <w:sz w:val="21"/>
        </w:rPr>
        <w:t> </w:t>
      </w:r>
      <w:r>
        <w:rPr>
          <w:w w:val="105"/>
          <w:sz w:val="21"/>
        </w:rPr>
        <w:t>a</w:t>
      </w:r>
      <w:r>
        <w:rPr>
          <w:spacing w:val="-4"/>
          <w:w w:val="105"/>
          <w:sz w:val="21"/>
        </w:rPr>
        <w:t> </w:t>
      </w:r>
      <w:r>
        <w:rPr>
          <w:spacing w:val="-3"/>
          <w:w w:val="105"/>
          <w:sz w:val="21"/>
        </w:rPr>
        <w:t>greater</w:t>
      </w:r>
      <w:r>
        <w:rPr>
          <w:spacing w:val="-4"/>
          <w:w w:val="105"/>
          <w:sz w:val="21"/>
        </w:rPr>
        <w:t> </w:t>
      </w:r>
      <w:r>
        <w:rPr>
          <w:spacing w:val="-3"/>
          <w:w w:val="105"/>
          <w:sz w:val="21"/>
        </w:rPr>
        <w:t>share</w:t>
      </w:r>
      <w:r>
        <w:rPr>
          <w:spacing w:val="-4"/>
          <w:w w:val="105"/>
          <w:sz w:val="21"/>
        </w:rPr>
        <w:t> </w:t>
      </w:r>
      <w:r>
        <w:rPr>
          <w:w w:val="105"/>
          <w:sz w:val="21"/>
        </w:rPr>
        <w:t>of</w:t>
      </w:r>
      <w:r>
        <w:rPr>
          <w:spacing w:val="-5"/>
          <w:w w:val="105"/>
          <w:sz w:val="21"/>
        </w:rPr>
        <w:t> </w:t>
      </w:r>
      <w:r>
        <w:rPr>
          <w:w w:val="105"/>
          <w:sz w:val="21"/>
        </w:rPr>
        <w:t>the</w:t>
      </w:r>
      <w:r>
        <w:rPr>
          <w:spacing w:val="-4"/>
          <w:w w:val="105"/>
          <w:sz w:val="21"/>
        </w:rPr>
        <w:t> </w:t>
      </w:r>
      <w:r>
        <w:rPr>
          <w:w w:val="105"/>
          <w:sz w:val="21"/>
        </w:rPr>
        <w:t>estate)</w:t>
      </w:r>
      <w:r>
        <w:rPr>
          <w:spacing w:val="-4"/>
          <w:w w:val="105"/>
          <w:sz w:val="21"/>
        </w:rPr>
        <w:t> </w:t>
      </w:r>
      <w:r>
        <w:rPr>
          <w:spacing w:val="-3"/>
          <w:w w:val="105"/>
          <w:sz w:val="21"/>
        </w:rPr>
        <w:t>brought </w:t>
      </w:r>
      <w:r>
        <w:rPr>
          <w:w w:val="105"/>
          <w:sz w:val="21"/>
        </w:rPr>
        <w:t>under </w:t>
      </w:r>
      <w:r>
        <w:rPr>
          <w:spacing w:val="-3"/>
          <w:w w:val="105"/>
          <w:sz w:val="21"/>
        </w:rPr>
        <w:t>family provision</w:t>
      </w:r>
      <w:r>
        <w:rPr>
          <w:spacing w:val="17"/>
          <w:w w:val="105"/>
          <w:sz w:val="21"/>
        </w:rPr>
        <w:t> </w:t>
      </w:r>
      <w:r>
        <w:rPr>
          <w:spacing w:val="-3"/>
          <w:w w:val="105"/>
          <w:sz w:val="21"/>
        </w:rPr>
        <w:t>legislation.</w:t>
      </w:r>
    </w:p>
    <w:p>
      <w:pPr>
        <w:pStyle w:val="BodyText"/>
        <w:rPr>
          <w:sz w:val="20"/>
        </w:rPr>
      </w:pPr>
    </w:p>
    <w:p>
      <w:pPr>
        <w:pStyle w:val="BodyText"/>
        <w:rPr>
          <w:sz w:val="20"/>
        </w:rPr>
      </w:pPr>
    </w:p>
    <w:p>
      <w:pPr>
        <w:pStyle w:val="BodyText"/>
        <w:rPr>
          <w:sz w:val="20"/>
        </w:rPr>
      </w:pPr>
    </w:p>
    <w:p>
      <w:pPr>
        <w:pStyle w:val="BodyText"/>
        <w:spacing w:before="5"/>
        <w:rPr>
          <w:sz w:val="25"/>
        </w:rPr>
      </w:pPr>
    </w:p>
    <w:p>
      <w:pPr>
        <w:spacing w:before="99"/>
        <w:ind w:left="720" w:right="0" w:firstLine="0"/>
        <w:jc w:val="left"/>
        <w:rPr>
          <w:b/>
          <w:sz w:val="24"/>
        </w:rPr>
      </w:pPr>
      <w:r>
        <w:rPr>
          <w:b/>
          <w:color w:val="EC5A4F"/>
          <w:w w:val="110"/>
          <w:sz w:val="24"/>
        </w:rPr>
        <w:t>212</w:t>
      </w:r>
    </w:p>
    <w:p>
      <w:pPr>
        <w:spacing w:after="0"/>
        <w:jc w:val="left"/>
        <w:rPr>
          <w:sz w:val="24"/>
        </w:rPr>
        <w:sectPr>
          <w:pgSz w:w="11910" w:h="16840"/>
          <w:pgMar w:header="550" w:footer="0" w:top="1560" w:bottom="280" w:left="0" w:right="0"/>
        </w:sectPr>
      </w:pPr>
    </w:p>
    <w:p>
      <w:pPr>
        <w:pStyle w:val="BodyText"/>
        <w:rPr>
          <w:b/>
          <w:sz w:val="20"/>
        </w:rPr>
      </w:pPr>
    </w:p>
    <w:p>
      <w:pPr>
        <w:pStyle w:val="BodyText"/>
        <w:rPr>
          <w:b/>
          <w:sz w:val="19"/>
        </w:rPr>
      </w:pPr>
    </w:p>
    <w:p>
      <w:pPr>
        <w:pStyle w:val="ListParagraph"/>
        <w:numPr>
          <w:ilvl w:val="1"/>
          <w:numId w:val="152"/>
        </w:numPr>
        <w:tabs>
          <w:tab w:pos="2380" w:val="left" w:leader="none"/>
          <w:tab w:pos="2381" w:val="left" w:leader="none"/>
        </w:tabs>
        <w:spacing w:line="242" w:lineRule="auto" w:before="91" w:after="0"/>
        <w:ind w:left="2381" w:right="2203" w:hanging="794"/>
        <w:jc w:val="left"/>
        <w:rPr>
          <w:sz w:val="21"/>
        </w:rPr>
      </w:pPr>
      <w:bookmarkStart w:name="Costs orders" w:id="158"/>
      <w:bookmarkEnd w:id="158"/>
      <w:r>
        <w:rPr/>
      </w:r>
      <w:bookmarkStart w:name="The Court’s approach to the payment of c" w:id="159"/>
      <w:bookmarkEnd w:id="159"/>
      <w:r>
        <w:rPr/>
      </w:r>
      <w:bookmarkStart w:name="The Court’s approach to the payment of c" w:id="160"/>
      <w:bookmarkEnd w:id="160"/>
      <w:r>
        <w:rPr>
          <w:w w:val="105"/>
          <w:sz w:val="21"/>
        </w:rPr>
        <w:t>A</w:t>
      </w:r>
      <w:r>
        <w:rPr>
          <w:w w:val="105"/>
          <w:sz w:val="21"/>
        </w:rPr>
        <w:t>lmost </w:t>
      </w:r>
      <w:r>
        <w:rPr>
          <w:spacing w:val="-3"/>
          <w:w w:val="105"/>
          <w:sz w:val="21"/>
        </w:rPr>
        <w:t>all succession proceedings are heard </w:t>
      </w:r>
      <w:r>
        <w:rPr>
          <w:w w:val="105"/>
          <w:sz w:val="21"/>
        </w:rPr>
        <w:t>in the </w:t>
      </w:r>
      <w:r>
        <w:rPr>
          <w:spacing w:val="-3"/>
          <w:w w:val="105"/>
          <w:sz w:val="21"/>
        </w:rPr>
        <w:t>Supreme Court. </w:t>
      </w:r>
      <w:r>
        <w:rPr>
          <w:spacing w:val="-4"/>
          <w:w w:val="105"/>
          <w:sz w:val="21"/>
        </w:rPr>
        <w:t>Family </w:t>
      </w:r>
      <w:r>
        <w:rPr>
          <w:spacing w:val="-3"/>
          <w:w w:val="105"/>
          <w:sz w:val="21"/>
        </w:rPr>
        <w:t>provision applications may </w:t>
      </w:r>
      <w:r>
        <w:rPr>
          <w:w w:val="105"/>
          <w:sz w:val="21"/>
        </w:rPr>
        <w:t>be </w:t>
      </w:r>
      <w:r>
        <w:rPr>
          <w:spacing w:val="-3"/>
          <w:w w:val="105"/>
          <w:sz w:val="21"/>
        </w:rPr>
        <w:t>heard </w:t>
      </w:r>
      <w:r>
        <w:rPr>
          <w:w w:val="105"/>
          <w:sz w:val="21"/>
        </w:rPr>
        <w:t>in either the </w:t>
      </w:r>
      <w:r>
        <w:rPr>
          <w:spacing w:val="-3"/>
          <w:w w:val="105"/>
          <w:sz w:val="21"/>
        </w:rPr>
        <w:t>Supreme Court </w:t>
      </w:r>
      <w:r>
        <w:rPr>
          <w:w w:val="105"/>
          <w:sz w:val="21"/>
        </w:rPr>
        <w:t>or the </w:t>
      </w:r>
      <w:r>
        <w:rPr>
          <w:spacing w:val="-3"/>
          <w:w w:val="105"/>
          <w:sz w:val="21"/>
        </w:rPr>
        <w:t>County</w:t>
      </w:r>
      <w:r>
        <w:rPr>
          <w:spacing w:val="8"/>
          <w:w w:val="105"/>
          <w:sz w:val="21"/>
        </w:rPr>
        <w:t> </w:t>
      </w:r>
      <w:r>
        <w:rPr>
          <w:spacing w:val="-3"/>
          <w:w w:val="105"/>
          <w:sz w:val="21"/>
        </w:rPr>
        <w:t>Court.</w:t>
      </w:r>
    </w:p>
    <w:p>
      <w:pPr>
        <w:pStyle w:val="ListParagraph"/>
        <w:numPr>
          <w:ilvl w:val="1"/>
          <w:numId w:val="152"/>
        </w:numPr>
        <w:tabs>
          <w:tab w:pos="2380" w:val="left" w:leader="none"/>
          <w:tab w:pos="2381" w:val="left" w:leader="none"/>
        </w:tabs>
        <w:spacing w:line="242" w:lineRule="auto" w:before="122" w:after="0"/>
        <w:ind w:left="2380" w:right="1664" w:hanging="793"/>
        <w:jc w:val="left"/>
        <w:rPr>
          <w:sz w:val="21"/>
        </w:rPr>
      </w:pPr>
      <w:r>
        <w:rPr>
          <w:sz w:val="21"/>
        </w:rPr>
        <w:t>The </w:t>
      </w:r>
      <w:r>
        <w:rPr>
          <w:spacing w:val="-3"/>
          <w:sz w:val="21"/>
        </w:rPr>
        <w:t>executor appointed </w:t>
      </w:r>
      <w:r>
        <w:rPr>
          <w:sz w:val="21"/>
        </w:rPr>
        <w:t>by the </w:t>
      </w:r>
      <w:r>
        <w:rPr>
          <w:spacing w:val="-3"/>
          <w:sz w:val="21"/>
        </w:rPr>
        <w:t>will, </w:t>
      </w:r>
      <w:r>
        <w:rPr>
          <w:sz w:val="21"/>
        </w:rPr>
        <w:t>or an </w:t>
      </w:r>
      <w:r>
        <w:rPr>
          <w:spacing w:val="-3"/>
          <w:sz w:val="21"/>
        </w:rPr>
        <w:t>administrator appointed </w:t>
      </w:r>
      <w:r>
        <w:rPr>
          <w:sz w:val="21"/>
        </w:rPr>
        <w:t>by the </w:t>
      </w:r>
      <w:r>
        <w:rPr>
          <w:spacing w:val="-3"/>
          <w:sz w:val="21"/>
        </w:rPr>
        <w:t>Supreme Court, </w:t>
      </w:r>
      <w:r>
        <w:rPr>
          <w:sz w:val="21"/>
        </w:rPr>
        <w:t>represents the estate in </w:t>
      </w:r>
      <w:r>
        <w:rPr>
          <w:spacing w:val="-3"/>
          <w:sz w:val="21"/>
        </w:rPr>
        <w:t>succession proceedings. </w:t>
      </w:r>
      <w:r>
        <w:rPr>
          <w:sz w:val="21"/>
        </w:rPr>
        <w:t>They </w:t>
      </w:r>
      <w:r>
        <w:rPr>
          <w:spacing w:val="-3"/>
          <w:sz w:val="21"/>
        </w:rPr>
        <w:t>may have initiated </w:t>
      </w:r>
      <w:r>
        <w:rPr>
          <w:sz w:val="21"/>
        </w:rPr>
        <w:t>the </w:t>
      </w:r>
      <w:r>
        <w:rPr>
          <w:spacing w:val="-3"/>
          <w:sz w:val="21"/>
        </w:rPr>
        <w:t>litigation (for example, to </w:t>
      </w:r>
      <w:r>
        <w:rPr>
          <w:sz w:val="21"/>
        </w:rPr>
        <w:t>obtain a </w:t>
      </w:r>
      <w:r>
        <w:rPr>
          <w:spacing w:val="-3"/>
          <w:sz w:val="21"/>
        </w:rPr>
        <w:t>grant </w:t>
      </w:r>
      <w:r>
        <w:rPr>
          <w:sz w:val="21"/>
        </w:rPr>
        <w:t>of </w:t>
      </w:r>
      <w:r>
        <w:rPr>
          <w:spacing w:val="-3"/>
          <w:sz w:val="21"/>
        </w:rPr>
        <w:t>probate </w:t>
      </w:r>
      <w:r>
        <w:rPr>
          <w:sz w:val="21"/>
        </w:rPr>
        <w:t>in respect of a </w:t>
      </w:r>
      <w:r>
        <w:rPr>
          <w:spacing w:val="-3"/>
          <w:sz w:val="21"/>
        </w:rPr>
        <w:t>will </w:t>
      </w:r>
      <w:r>
        <w:rPr>
          <w:sz w:val="21"/>
        </w:rPr>
        <w:t>the validity of which is in issue). </w:t>
      </w:r>
      <w:r>
        <w:rPr>
          <w:spacing w:val="-3"/>
          <w:sz w:val="21"/>
        </w:rPr>
        <w:t>Alternatively, </w:t>
      </w:r>
      <w:r>
        <w:rPr>
          <w:sz w:val="21"/>
        </w:rPr>
        <w:t>they </w:t>
      </w:r>
      <w:r>
        <w:rPr>
          <w:spacing w:val="-3"/>
          <w:sz w:val="21"/>
        </w:rPr>
        <w:t>may defend litigation that </w:t>
      </w:r>
      <w:r>
        <w:rPr>
          <w:sz w:val="21"/>
        </w:rPr>
        <w:t>someone else </w:t>
      </w:r>
      <w:r>
        <w:rPr>
          <w:spacing w:val="-2"/>
          <w:sz w:val="21"/>
        </w:rPr>
        <w:t>has </w:t>
      </w:r>
      <w:r>
        <w:rPr>
          <w:spacing w:val="-3"/>
          <w:sz w:val="21"/>
        </w:rPr>
        <w:t>instituted (for example, proceedings concerning </w:t>
      </w:r>
      <w:r>
        <w:rPr>
          <w:sz w:val="21"/>
        </w:rPr>
        <w:t>the adequacy of </w:t>
      </w:r>
      <w:r>
        <w:rPr>
          <w:spacing w:val="-3"/>
          <w:sz w:val="21"/>
        </w:rPr>
        <w:t>provision </w:t>
      </w:r>
      <w:r>
        <w:rPr>
          <w:sz w:val="21"/>
        </w:rPr>
        <w:t>made in the </w:t>
      </w:r>
      <w:r>
        <w:rPr>
          <w:spacing w:val="-3"/>
          <w:sz w:val="21"/>
        </w:rPr>
        <w:t>will for </w:t>
      </w:r>
      <w:r>
        <w:rPr>
          <w:sz w:val="21"/>
        </w:rPr>
        <w:t>the </w:t>
      </w:r>
      <w:r>
        <w:rPr>
          <w:spacing w:val="-3"/>
          <w:sz w:val="21"/>
        </w:rPr>
        <w:t>applicant </w:t>
      </w:r>
      <w:r>
        <w:rPr>
          <w:sz w:val="21"/>
        </w:rPr>
        <w:t>or </w:t>
      </w:r>
      <w:r>
        <w:rPr>
          <w:spacing w:val="-3"/>
          <w:sz w:val="21"/>
        </w:rPr>
        <w:t>available </w:t>
      </w:r>
      <w:r>
        <w:rPr>
          <w:sz w:val="21"/>
        </w:rPr>
        <w:t>on intestacy </w:t>
      </w:r>
      <w:r>
        <w:rPr>
          <w:spacing w:val="-3"/>
          <w:sz w:val="21"/>
        </w:rPr>
        <w:t>to </w:t>
      </w:r>
      <w:r>
        <w:rPr>
          <w:sz w:val="21"/>
        </w:rPr>
        <w:t>the</w:t>
      </w:r>
      <w:r>
        <w:rPr>
          <w:spacing w:val="1"/>
          <w:sz w:val="21"/>
        </w:rPr>
        <w:t> </w:t>
      </w:r>
      <w:r>
        <w:rPr>
          <w:sz w:val="21"/>
        </w:rPr>
        <w:t>applicant).</w:t>
      </w:r>
    </w:p>
    <w:p>
      <w:pPr>
        <w:pStyle w:val="BodyText"/>
        <w:spacing w:before="2"/>
        <w:rPr>
          <w:sz w:val="22"/>
        </w:rPr>
      </w:pPr>
    </w:p>
    <w:p>
      <w:pPr>
        <w:pStyle w:val="Heading4"/>
      </w:pPr>
      <w:r>
        <w:rPr>
          <w:color w:val="EC5A4F"/>
          <w:w w:val="110"/>
        </w:rPr>
        <w:t>Costs orders</w:t>
      </w:r>
    </w:p>
    <w:p>
      <w:pPr>
        <w:pStyle w:val="ListParagraph"/>
        <w:numPr>
          <w:ilvl w:val="1"/>
          <w:numId w:val="152"/>
        </w:numPr>
        <w:tabs>
          <w:tab w:pos="2380" w:val="left" w:leader="none"/>
          <w:tab w:pos="2381" w:val="left" w:leader="none"/>
        </w:tabs>
        <w:spacing w:line="242" w:lineRule="auto" w:before="155" w:after="0"/>
        <w:ind w:left="2381" w:right="1740" w:hanging="794"/>
        <w:jc w:val="left"/>
        <w:rPr>
          <w:sz w:val="21"/>
        </w:rPr>
      </w:pPr>
      <w:r>
        <w:rPr>
          <w:sz w:val="21"/>
        </w:rPr>
        <w:t>After </w:t>
      </w:r>
      <w:r>
        <w:rPr>
          <w:spacing w:val="-2"/>
          <w:sz w:val="21"/>
        </w:rPr>
        <w:t>deciding </w:t>
      </w:r>
      <w:r>
        <w:rPr>
          <w:sz w:val="21"/>
        </w:rPr>
        <w:t>the </w:t>
      </w:r>
      <w:r>
        <w:rPr>
          <w:spacing w:val="-3"/>
          <w:sz w:val="21"/>
        </w:rPr>
        <w:t>outcome </w:t>
      </w:r>
      <w:r>
        <w:rPr>
          <w:sz w:val="21"/>
        </w:rPr>
        <w:t>of </w:t>
      </w:r>
      <w:r>
        <w:rPr>
          <w:spacing w:val="-3"/>
          <w:sz w:val="21"/>
        </w:rPr>
        <w:t>succession  litigation,  </w:t>
      </w:r>
      <w:r>
        <w:rPr>
          <w:sz w:val="21"/>
        </w:rPr>
        <w:t>the  </w:t>
      </w:r>
      <w:r>
        <w:rPr>
          <w:spacing w:val="-3"/>
          <w:sz w:val="21"/>
        </w:rPr>
        <w:t>Court  usually  makes  </w:t>
      </w:r>
      <w:r>
        <w:rPr>
          <w:sz w:val="21"/>
        </w:rPr>
        <w:t>a  costs </w:t>
      </w:r>
      <w:r>
        <w:rPr>
          <w:spacing w:val="-4"/>
          <w:sz w:val="21"/>
        </w:rPr>
        <w:t>order.  </w:t>
      </w:r>
      <w:r>
        <w:rPr>
          <w:sz w:val="21"/>
        </w:rPr>
        <w:t>A costs order directs what, if </w:t>
      </w:r>
      <w:r>
        <w:rPr>
          <w:spacing w:val="-2"/>
          <w:sz w:val="21"/>
        </w:rPr>
        <w:t>anything,  </w:t>
      </w:r>
      <w:r>
        <w:rPr>
          <w:sz w:val="21"/>
        </w:rPr>
        <w:t>each party is obliged </w:t>
      </w:r>
      <w:r>
        <w:rPr>
          <w:spacing w:val="-3"/>
          <w:sz w:val="21"/>
        </w:rPr>
        <w:t>to  </w:t>
      </w:r>
      <w:r>
        <w:rPr>
          <w:spacing w:val="-2"/>
          <w:sz w:val="21"/>
        </w:rPr>
        <w:t>pay  </w:t>
      </w:r>
      <w:r>
        <w:rPr>
          <w:sz w:val="21"/>
        </w:rPr>
        <w:t>or is entitled   </w:t>
      </w:r>
      <w:r>
        <w:rPr>
          <w:spacing w:val="-3"/>
          <w:sz w:val="21"/>
        </w:rPr>
        <w:t>to receive. </w:t>
      </w:r>
      <w:r>
        <w:rPr>
          <w:sz w:val="21"/>
        </w:rPr>
        <w:t>The costs order </w:t>
      </w:r>
      <w:r>
        <w:rPr>
          <w:spacing w:val="-3"/>
          <w:sz w:val="21"/>
        </w:rPr>
        <w:t>will </w:t>
      </w:r>
      <w:r>
        <w:rPr>
          <w:sz w:val="21"/>
        </w:rPr>
        <w:t>also direct whether the </w:t>
      </w:r>
      <w:r>
        <w:rPr>
          <w:spacing w:val="-3"/>
          <w:sz w:val="21"/>
        </w:rPr>
        <w:t>obligation to </w:t>
      </w:r>
      <w:r>
        <w:rPr>
          <w:spacing w:val="-2"/>
          <w:sz w:val="21"/>
        </w:rPr>
        <w:t>pay </w:t>
      </w:r>
      <w:r>
        <w:rPr>
          <w:sz w:val="21"/>
        </w:rPr>
        <w:t>costs is personal </w:t>
      </w:r>
      <w:r>
        <w:rPr>
          <w:spacing w:val="-3"/>
          <w:sz w:val="21"/>
        </w:rPr>
        <w:t>(that </w:t>
      </w:r>
      <w:r>
        <w:rPr>
          <w:sz w:val="21"/>
        </w:rPr>
        <w:t>is, </w:t>
      </w:r>
      <w:r>
        <w:rPr>
          <w:spacing w:val="-3"/>
          <w:sz w:val="21"/>
        </w:rPr>
        <w:t>to  </w:t>
      </w:r>
      <w:r>
        <w:rPr>
          <w:sz w:val="21"/>
        </w:rPr>
        <w:t>be paid out of the </w:t>
      </w:r>
      <w:r>
        <w:rPr>
          <w:spacing w:val="-3"/>
          <w:sz w:val="21"/>
        </w:rPr>
        <w:t>executor’s</w:t>
      </w:r>
      <w:r>
        <w:rPr>
          <w:spacing w:val="41"/>
          <w:sz w:val="21"/>
        </w:rPr>
        <w:t> </w:t>
      </w:r>
      <w:r>
        <w:rPr>
          <w:sz w:val="21"/>
        </w:rPr>
        <w:t>or </w:t>
      </w:r>
      <w:r>
        <w:rPr>
          <w:spacing w:val="-3"/>
          <w:sz w:val="21"/>
        </w:rPr>
        <w:t>administrator’s  </w:t>
      </w:r>
      <w:r>
        <w:rPr>
          <w:sz w:val="21"/>
        </w:rPr>
        <w:t>own </w:t>
      </w:r>
      <w:r>
        <w:rPr>
          <w:spacing w:val="-3"/>
          <w:sz w:val="21"/>
        </w:rPr>
        <w:t>pocket)  </w:t>
      </w:r>
      <w:r>
        <w:rPr>
          <w:sz w:val="21"/>
        </w:rPr>
        <w:t>or is </w:t>
      </w:r>
      <w:r>
        <w:rPr>
          <w:spacing w:val="-3"/>
          <w:sz w:val="21"/>
        </w:rPr>
        <w:t>to  </w:t>
      </w:r>
      <w:r>
        <w:rPr>
          <w:sz w:val="21"/>
        </w:rPr>
        <w:t>be paid out of the</w:t>
      </w:r>
      <w:r>
        <w:rPr>
          <w:spacing w:val="24"/>
          <w:sz w:val="21"/>
        </w:rPr>
        <w:t> </w:t>
      </w:r>
      <w:r>
        <w:rPr>
          <w:spacing w:val="-3"/>
          <w:sz w:val="21"/>
        </w:rPr>
        <w:t>estate.</w:t>
      </w:r>
    </w:p>
    <w:p>
      <w:pPr>
        <w:pStyle w:val="ListParagraph"/>
        <w:numPr>
          <w:ilvl w:val="1"/>
          <w:numId w:val="152"/>
        </w:numPr>
        <w:tabs>
          <w:tab w:pos="2380" w:val="left" w:leader="none"/>
          <w:tab w:pos="2381" w:val="left" w:leader="none"/>
        </w:tabs>
        <w:spacing w:line="242" w:lineRule="auto" w:before="125" w:after="0"/>
        <w:ind w:left="2381" w:right="1819" w:hanging="794"/>
        <w:jc w:val="left"/>
        <w:rPr>
          <w:sz w:val="21"/>
        </w:rPr>
      </w:pPr>
      <w:r>
        <w:rPr>
          <w:w w:val="105"/>
          <w:sz w:val="21"/>
        </w:rPr>
        <w:t>The</w:t>
      </w:r>
      <w:r>
        <w:rPr>
          <w:spacing w:val="-4"/>
          <w:w w:val="105"/>
          <w:sz w:val="21"/>
        </w:rPr>
        <w:t> </w:t>
      </w:r>
      <w:r>
        <w:rPr>
          <w:w w:val="105"/>
          <w:sz w:val="21"/>
        </w:rPr>
        <w:t>costs</w:t>
      </w:r>
      <w:r>
        <w:rPr>
          <w:spacing w:val="-4"/>
          <w:w w:val="105"/>
          <w:sz w:val="21"/>
        </w:rPr>
        <w:t> </w:t>
      </w:r>
      <w:r>
        <w:rPr>
          <w:w w:val="105"/>
          <w:sz w:val="21"/>
        </w:rPr>
        <w:t>order</w:t>
      </w:r>
      <w:r>
        <w:rPr>
          <w:spacing w:val="-4"/>
          <w:w w:val="105"/>
          <w:sz w:val="21"/>
        </w:rPr>
        <w:t> </w:t>
      </w:r>
      <w:r>
        <w:rPr>
          <w:spacing w:val="-3"/>
          <w:w w:val="105"/>
          <w:sz w:val="21"/>
        </w:rPr>
        <w:t>will indicate</w:t>
      </w:r>
      <w:r>
        <w:rPr>
          <w:spacing w:val="-4"/>
          <w:w w:val="105"/>
          <w:sz w:val="21"/>
        </w:rPr>
        <w:t> </w:t>
      </w:r>
      <w:r>
        <w:rPr>
          <w:w w:val="105"/>
          <w:sz w:val="21"/>
        </w:rPr>
        <w:t>the</w:t>
      </w:r>
      <w:r>
        <w:rPr>
          <w:spacing w:val="-4"/>
          <w:w w:val="105"/>
          <w:sz w:val="21"/>
        </w:rPr>
        <w:t> </w:t>
      </w:r>
      <w:r>
        <w:rPr>
          <w:w w:val="105"/>
          <w:sz w:val="21"/>
        </w:rPr>
        <w:t>extent</w:t>
      </w:r>
      <w:r>
        <w:rPr>
          <w:spacing w:val="-4"/>
          <w:w w:val="105"/>
          <w:sz w:val="21"/>
        </w:rPr>
        <w:t> </w:t>
      </w:r>
      <w:r>
        <w:rPr>
          <w:w w:val="105"/>
          <w:sz w:val="21"/>
        </w:rPr>
        <w:t>of</w:t>
      </w:r>
      <w:r>
        <w:rPr>
          <w:spacing w:val="-3"/>
          <w:w w:val="105"/>
          <w:sz w:val="21"/>
        </w:rPr>
        <w:t> </w:t>
      </w:r>
      <w:r>
        <w:rPr>
          <w:w w:val="105"/>
          <w:sz w:val="21"/>
        </w:rPr>
        <w:t>the</w:t>
      </w:r>
      <w:r>
        <w:rPr>
          <w:spacing w:val="-4"/>
          <w:w w:val="105"/>
          <w:sz w:val="21"/>
        </w:rPr>
        <w:t> </w:t>
      </w:r>
      <w:r>
        <w:rPr>
          <w:w w:val="105"/>
          <w:sz w:val="21"/>
        </w:rPr>
        <w:t>costs</w:t>
      </w:r>
      <w:r>
        <w:rPr>
          <w:spacing w:val="-4"/>
          <w:w w:val="105"/>
          <w:sz w:val="21"/>
        </w:rPr>
        <w:t> </w:t>
      </w:r>
      <w:r>
        <w:rPr>
          <w:spacing w:val="-3"/>
          <w:w w:val="105"/>
          <w:sz w:val="21"/>
        </w:rPr>
        <w:t>to </w:t>
      </w:r>
      <w:r>
        <w:rPr>
          <w:w w:val="105"/>
          <w:sz w:val="21"/>
        </w:rPr>
        <w:t>be</w:t>
      </w:r>
      <w:r>
        <w:rPr>
          <w:spacing w:val="-4"/>
          <w:w w:val="105"/>
          <w:sz w:val="21"/>
        </w:rPr>
        <w:t> </w:t>
      </w:r>
      <w:r>
        <w:rPr>
          <w:spacing w:val="-3"/>
          <w:w w:val="105"/>
          <w:sz w:val="21"/>
        </w:rPr>
        <w:t>paid.</w:t>
      </w:r>
      <w:r>
        <w:rPr>
          <w:spacing w:val="-4"/>
          <w:w w:val="105"/>
          <w:sz w:val="21"/>
        </w:rPr>
        <w:t> </w:t>
      </w:r>
      <w:r>
        <w:rPr>
          <w:w w:val="105"/>
          <w:sz w:val="21"/>
        </w:rPr>
        <w:t>Costs</w:t>
      </w:r>
      <w:r>
        <w:rPr>
          <w:spacing w:val="-4"/>
          <w:w w:val="105"/>
          <w:sz w:val="21"/>
        </w:rPr>
        <w:t> </w:t>
      </w:r>
      <w:r>
        <w:rPr>
          <w:spacing w:val="-3"/>
          <w:w w:val="105"/>
          <w:sz w:val="21"/>
        </w:rPr>
        <w:t>are payable</w:t>
      </w:r>
      <w:r>
        <w:rPr>
          <w:spacing w:val="-4"/>
          <w:w w:val="105"/>
          <w:sz w:val="21"/>
        </w:rPr>
        <w:t> </w:t>
      </w:r>
      <w:r>
        <w:rPr>
          <w:w w:val="105"/>
          <w:sz w:val="21"/>
        </w:rPr>
        <w:t>in</w:t>
      </w:r>
      <w:r>
        <w:rPr>
          <w:spacing w:val="-4"/>
          <w:w w:val="105"/>
          <w:sz w:val="21"/>
        </w:rPr>
        <w:t> </w:t>
      </w:r>
      <w:r>
        <w:rPr>
          <w:w w:val="105"/>
          <w:sz w:val="21"/>
        </w:rPr>
        <w:t>one of the </w:t>
      </w:r>
      <w:r>
        <w:rPr>
          <w:spacing w:val="-3"/>
          <w:w w:val="105"/>
          <w:sz w:val="21"/>
        </w:rPr>
        <w:t>following</w:t>
      </w:r>
      <w:r>
        <w:rPr>
          <w:spacing w:val="16"/>
          <w:w w:val="105"/>
          <w:sz w:val="21"/>
        </w:rPr>
        <w:t> </w:t>
      </w:r>
      <w:r>
        <w:rPr>
          <w:w w:val="105"/>
          <w:sz w:val="21"/>
        </w:rPr>
        <w:t>ways:</w:t>
      </w:r>
    </w:p>
    <w:p>
      <w:pPr>
        <w:pStyle w:val="ListParagraph"/>
        <w:numPr>
          <w:ilvl w:val="2"/>
          <w:numId w:val="152"/>
        </w:numPr>
        <w:tabs>
          <w:tab w:pos="2721" w:val="left" w:leader="none"/>
          <w:tab w:pos="2722" w:val="left" w:leader="none"/>
        </w:tabs>
        <w:spacing w:line="240" w:lineRule="auto" w:before="122" w:after="0"/>
        <w:ind w:left="2721" w:right="0" w:hanging="340"/>
        <w:jc w:val="left"/>
        <w:rPr>
          <w:sz w:val="21"/>
        </w:rPr>
      </w:pPr>
      <w:r>
        <w:rPr>
          <w:w w:val="105"/>
          <w:sz w:val="21"/>
        </w:rPr>
        <w:t>on a standard basis </w:t>
      </w:r>
      <w:r>
        <w:rPr>
          <w:spacing w:val="-3"/>
          <w:w w:val="105"/>
          <w:sz w:val="21"/>
        </w:rPr>
        <w:t>covering all </w:t>
      </w:r>
      <w:r>
        <w:rPr>
          <w:w w:val="105"/>
          <w:sz w:val="21"/>
        </w:rPr>
        <w:t>costs </w:t>
      </w:r>
      <w:r>
        <w:rPr>
          <w:spacing w:val="-3"/>
          <w:w w:val="105"/>
          <w:sz w:val="21"/>
        </w:rPr>
        <w:t>reasonably incurred </w:t>
      </w:r>
      <w:r>
        <w:rPr>
          <w:w w:val="105"/>
          <w:sz w:val="21"/>
        </w:rPr>
        <w:t>and of </w:t>
      </w:r>
      <w:r>
        <w:rPr>
          <w:spacing w:val="-3"/>
          <w:w w:val="105"/>
          <w:sz w:val="21"/>
        </w:rPr>
        <w:t>reasonable amount</w:t>
      </w:r>
    </w:p>
    <w:p>
      <w:pPr>
        <w:pStyle w:val="ListParagraph"/>
        <w:numPr>
          <w:ilvl w:val="2"/>
          <w:numId w:val="152"/>
        </w:numPr>
        <w:tabs>
          <w:tab w:pos="2721" w:val="left" w:leader="none"/>
          <w:tab w:pos="2722" w:val="left" w:leader="none"/>
        </w:tabs>
        <w:spacing w:line="242" w:lineRule="auto" w:before="124" w:after="0"/>
        <w:ind w:left="2721" w:right="1687" w:hanging="340"/>
        <w:jc w:val="left"/>
        <w:rPr>
          <w:sz w:val="21"/>
        </w:rPr>
      </w:pPr>
      <w:r>
        <w:rPr>
          <w:w w:val="105"/>
          <w:sz w:val="21"/>
        </w:rPr>
        <w:t>on</w:t>
      </w:r>
      <w:r>
        <w:rPr>
          <w:spacing w:val="-6"/>
          <w:w w:val="105"/>
          <w:sz w:val="21"/>
        </w:rPr>
        <w:t> </w:t>
      </w:r>
      <w:r>
        <w:rPr>
          <w:w w:val="105"/>
          <w:sz w:val="21"/>
        </w:rPr>
        <w:t>an</w:t>
      </w:r>
      <w:r>
        <w:rPr>
          <w:spacing w:val="-6"/>
          <w:w w:val="105"/>
          <w:sz w:val="21"/>
        </w:rPr>
        <w:t> </w:t>
      </w:r>
      <w:r>
        <w:rPr>
          <w:w w:val="105"/>
          <w:sz w:val="21"/>
        </w:rPr>
        <w:t>indemnity</w:t>
      </w:r>
      <w:r>
        <w:rPr>
          <w:spacing w:val="-5"/>
          <w:w w:val="105"/>
          <w:sz w:val="21"/>
        </w:rPr>
        <w:t> </w:t>
      </w:r>
      <w:r>
        <w:rPr>
          <w:w w:val="105"/>
          <w:sz w:val="21"/>
        </w:rPr>
        <w:t>basis</w:t>
      </w:r>
      <w:r>
        <w:rPr>
          <w:spacing w:val="-6"/>
          <w:w w:val="105"/>
          <w:sz w:val="21"/>
        </w:rPr>
        <w:t> </w:t>
      </w:r>
      <w:r>
        <w:rPr>
          <w:spacing w:val="-3"/>
          <w:w w:val="105"/>
          <w:sz w:val="21"/>
        </w:rPr>
        <w:t>covering</w:t>
      </w:r>
      <w:r>
        <w:rPr>
          <w:spacing w:val="-5"/>
          <w:w w:val="105"/>
          <w:sz w:val="21"/>
        </w:rPr>
        <w:t> </w:t>
      </w:r>
      <w:r>
        <w:rPr>
          <w:spacing w:val="-3"/>
          <w:w w:val="105"/>
          <w:sz w:val="21"/>
        </w:rPr>
        <w:t>all</w:t>
      </w:r>
      <w:r>
        <w:rPr>
          <w:spacing w:val="-6"/>
          <w:w w:val="105"/>
          <w:sz w:val="21"/>
        </w:rPr>
        <w:t> </w:t>
      </w:r>
      <w:r>
        <w:rPr>
          <w:w w:val="105"/>
          <w:sz w:val="21"/>
        </w:rPr>
        <w:t>costs</w:t>
      </w:r>
      <w:r>
        <w:rPr>
          <w:spacing w:val="-6"/>
          <w:w w:val="105"/>
          <w:sz w:val="21"/>
        </w:rPr>
        <w:t> </w:t>
      </w:r>
      <w:r>
        <w:rPr>
          <w:spacing w:val="-3"/>
          <w:w w:val="105"/>
          <w:sz w:val="21"/>
        </w:rPr>
        <w:t>except</w:t>
      </w:r>
      <w:r>
        <w:rPr>
          <w:spacing w:val="-5"/>
          <w:w w:val="105"/>
          <w:sz w:val="21"/>
        </w:rPr>
        <w:t> </w:t>
      </w:r>
      <w:r>
        <w:rPr>
          <w:spacing w:val="-4"/>
          <w:w w:val="105"/>
          <w:sz w:val="21"/>
        </w:rPr>
        <w:t>insofar</w:t>
      </w:r>
      <w:r>
        <w:rPr>
          <w:spacing w:val="-6"/>
          <w:w w:val="105"/>
          <w:sz w:val="21"/>
        </w:rPr>
        <w:t> </w:t>
      </w:r>
      <w:r>
        <w:rPr>
          <w:w w:val="105"/>
          <w:sz w:val="21"/>
        </w:rPr>
        <w:t>as</w:t>
      </w:r>
      <w:r>
        <w:rPr>
          <w:spacing w:val="-5"/>
          <w:w w:val="105"/>
          <w:sz w:val="21"/>
        </w:rPr>
        <w:t> </w:t>
      </w:r>
      <w:r>
        <w:rPr>
          <w:w w:val="105"/>
          <w:sz w:val="21"/>
        </w:rPr>
        <w:t>they</w:t>
      </w:r>
      <w:r>
        <w:rPr>
          <w:spacing w:val="-6"/>
          <w:w w:val="105"/>
          <w:sz w:val="21"/>
        </w:rPr>
        <w:t> </w:t>
      </w:r>
      <w:r>
        <w:rPr>
          <w:spacing w:val="-3"/>
          <w:w w:val="105"/>
          <w:sz w:val="21"/>
        </w:rPr>
        <w:t>are</w:t>
      </w:r>
      <w:r>
        <w:rPr>
          <w:spacing w:val="-5"/>
          <w:w w:val="105"/>
          <w:sz w:val="21"/>
        </w:rPr>
        <w:t> </w:t>
      </w:r>
      <w:r>
        <w:rPr>
          <w:w w:val="105"/>
          <w:sz w:val="21"/>
        </w:rPr>
        <w:t>of</w:t>
      </w:r>
      <w:r>
        <w:rPr>
          <w:spacing w:val="-6"/>
          <w:w w:val="105"/>
          <w:sz w:val="21"/>
        </w:rPr>
        <w:t> </w:t>
      </w:r>
      <w:r>
        <w:rPr>
          <w:w w:val="105"/>
          <w:sz w:val="21"/>
        </w:rPr>
        <w:t>an</w:t>
      </w:r>
      <w:r>
        <w:rPr>
          <w:spacing w:val="-6"/>
          <w:w w:val="105"/>
          <w:sz w:val="21"/>
        </w:rPr>
        <w:t> </w:t>
      </w:r>
      <w:r>
        <w:rPr>
          <w:spacing w:val="-3"/>
          <w:w w:val="105"/>
          <w:sz w:val="21"/>
        </w:rPr>
        <w:t>unreasonable amount </w:t>
      </w:r>
      <w:r>
        <w:rPr>
          <w:w w:val="105"/>
          <w:sz w:val="21"/>
        </w:rPr>
        <w:t>or </w:t>
      </w:r>
      <w:r>
        <w:rPr>
          <w:spacing w:val="-3"/>
          <w:w w:val="105"/>
          <w:sz w:val="21"/>
        </w:rPr>
        <w:t>have </w:t>
      </w:r>
      <w:r>
        <w:rPr>
          <w:w w:val="105"/>
          <w:sz w:val="21"/>
        </w:rPr>
        <w:t>been </w:t>
      </w:r>
      <w:r>
        <w:rPr>
          <w:spacing w:val="-3"/>
          <w:w w:val="105"/>
          <w:sz w:val="21"/>
        </w:rPr>
        <w:t>unreasonably</w:t>
      </w:r>
      <w:r>
        <w:rPr>
          <w:spacing w:val="30"/>
          <w:w w:val="105"/>
          <w:sz w:val="21"/>
        </w:rPr>
        <w:t> </w:t>
      </w:r>
      <w:r>
        <w:rPr>
          <w:spacing w:val="-3"/>
          <w:w w:val="105"/>
          <w:sz w:val="21"/>
        </w:rPr>
        <w:t>incurred</w:t>
      </w:r>
    </w:p>
    <w:p>
      <w:pPr>
        <w:pStyle w:val="ListParagraph"/>
        <w:numPr>
          <w:ilvl w:val="2"/>
          <w:numId w:val="152"/>
        </w:numPr>
        <w:tabs>
          <w:tab w:pos="2721" w:val="left" w:leader="none"/>
          <w:tab w:pos="2722" w:val="left" w:leader="none"/>
        </w:tabs>
        <w:spacing w:line="240" w:lineRule="auto" w:before="122" w:after="0"/>
        <w:ind w:left="2721" w:right="0" w:hanging="340"/>
        <w:jc w:val="left"/>
        <w:rPr>
          <w:sz w:val="12"/>
        </w:rPr>
      </w:pPr>
      <w:r>
        <w:rPr>
          <w:w w:val="105"/>
          <w:sz w:val="21"/>
        </w:rPr>
        <w:t>on </w:t>
      </w:r>
      <w:r>
        <w:rPr>
          <w:spacing w:val="-3"/>
          <w:w w:val="105"/>
          <w:sz w:val="21"/>
        </w:rPr>
        <w:t>such </w:t>
      </w:r>
      <w:r>
        <w:rPr>
          <w:w w:val="105"/>
          <w:sz w:val="21"/>
        </w:rPr>
        <w:t>other basis as the </w:t>
      </w:r>
      <w:r>
        <w:rPr>
          <w:spacing w:val="-3"/>
          <w:w w:val="105"/>
          <w:sz w:val="21"/>
        </w:rPr>
        <w:t>Court may</w:t>
      </w:r>
      <w:r>
        <w:rPr>
          <w:spacing w:val="-17"/>
          <w:w w:val="105"/>
          <w:sz w:val="21"/>
        </w:rPr>
        <w:t> </w:t>
      </w:r>
      <w:r>
        <w:rPr>
          <w:spacing w:val="-4"/>
          <w:w w:val="105"/>
          <w:sz w:val="21"/>
        </w:rPr>
        <w:t>direct.</w:t>
      </w:r>
      <w:r>
        <w:rPr>
          <w:spacing w:val="-4"/>
          <w:w w:val="105"/>
          <w:position w:val="7"/>
          <w:sz w:val="12"/>
        </w:rPr>
        <w:t>1</w:t>
      </w:r>
    </w:p>
    <w:p>
      <w:pPr>
        <w:pStyle w:val="ListParagraph"/>
        <w:numPr>
          <w:ilvl w:val="1"/>
          <w:numId w:val="152"/>
        </w:numPr>
        <w:tabs>
          <w:tab w:pos="2381" w:val="left" w:leader="none"/>
          <w:tab w:pos="2382" w:val="left" w:leader="none"/>
        </w:tabs>
        <w:spacing w:line="242" w:lineRule="auto" w:before="124" w:after="0"/>
        <w:ind w:left="2381" w:right="1793" w:hanging="794"/>
        <w:jc w:val="left"/>
        <w:rPr>
          <w:sz w:val="21"/>
        </w:rPr>
      </w:pPr>
      <w:r>
        <w:rPr>
          <w:w w:val="105"/>
          <w:sz w:val="21"/>
        </w:rPr>
        <w:t>Whether</w:t>
      </w:r>
      <w:r>
        <w:rPr>
          <w:spacing w:val="-4"/>
          <w:w w:val="105"/>
          <w:sz w:val="21"/>
        </w:rPr>
        <w:t> </w:t>
      </w:r>
      <w:r>
        <w:rPr>
          <w:w w:val="105"/>
          <w:sz w:val="21"/>
        </w:rPr>
        <w:t>a</w:t>
      </w:r>
      <w:r>
        <w:rPr>
          <w:spacing w:val="-4"/>
          <w:w w:val="105"/>
          <w:sz w:val="21"/>
        </w:rPr>
        <w:t> </w:t>
      </w:r>
      <w:r>
        <w:rPr>
          <w:w w:val="105"/>
          <w:sz w:val="21"/>
        </w:rPr>
        <w:t>costs</w:t>
      </w:r>
      <w:r>
        <w:rPr>
          <w:spacing w:val="-3"/>
          <w:w w:val="105"/>
          <w:sz w:val="21"/>
        </w:rPr>
        <w:t> </w:t>
      </w:r>
      <w:r>
        <w:rPr>
          <w:w w:val="105"/>
          <w:sz w:val="21"/>
        </w:rPr>
        <w:t>order</w:t>
      </w:r>
      <w:r>
        <w:rPr>
          <w:spacing w:val="-4"/>
          <w:w w:val="105"/>
          <w:sz w:val="21"/>
        </w:rPr>
        <w:t> </w:t>
      </w:r>
      <w:r>
        <w:rPr>
          <w:w w:val="105"/>
          <w:sz w:val="21"/>
        </w:rPr>
        <w:t>is</w:t>
      </w:r>
      <w:r>
        <w:rPr>
          <w:spacing w:val="-4"/>
          <w:w w:val="105"/>
          <w:sz w:val="21"/>
        </w:rPr>
        <w:t> </w:t>
      </w:r>
      <w:r>
        <w:rPr>
          <w:spacing w:val="-3"/>
          <w:w w:val="105"/>
          <w:sz w:val="21"/>
        </w:rPr>
        <w:t>made, </w:t>
      </w:r>
      <w:r>
        <w:rPr>
          <w:w w:val="105"/>
          <w:sz w:val="21"/>
        </w:rPr>
        <w:t>and</w:t>
      </w:r>
      <w:r>
        <w:rPr>
          <w:spacing w:val="-4"/>
          <w:w w:val="105"/>
          <w:sz w:val="21"/>
        </w:rPr>
        <w:t> </w:t>
      </w:r>
      <w:r>
        <w:rPr>
          <w:w w:val="105"/>
          <w:sz w:val="21"/>
        </w:rPr>
        <w:t>what</w:t>
      </w:r>
      <w:r>
        <w:rPr>
          <w:spacing w:val="-3"/>
          <w:w w:val="105"/>
          <w:sz w:val="21"/>
        </w:rPr>
        <w:t> </w:t>
      </w:r>
      <w:r>
        <w:rPr>
          <w:w w:val="105"/>
          <w:sz w:val="21"/>
        </w:rPr>
        <w:t>it</w:t>
      </w:r>
      <w:r>
        <w:rPr>
          <w:spacing w:val="-4"/>
          <w:w w:val="105"/>
          <w:sz w:val="21"/>
        </w:rPr>
        <w:t> </w:t>
      </w:r>
      <w:r>
        <w:rPr>
          <w:w w:val="105"/>
          <w:sz w:val="21"/>
        </w:rPr>
        <w:t>directs</w:t>
      </w:r>
      <w:r>
        <w:rPr>
          <w:spacing w:val="-4"/>
          <w:w w:val="105"/>
          <w:sz w:val="21"/>
        </w:rPr>
        <w:t> </w:t>
      </w:r>
      <w:r>
        <w:rPr>
          <w:spacing w:val="-3"/>
          <w:w w:val="105"/>
          <w:sz w:val="21"/>
        </w:rPr>
        <w:t>to </w:t>
      </w:r>
      <w:r>
        <w:rPr>
          <w:w w:val="105"/>
          <w:sz w:val="21"/>
        </w:rPr>
        <w:t>be</w:t>
      </w:r>
      <w:r>
        <w:rPr>
          <w:spacing w:val="-4"/>
          <w:w w:val="105"/>
          <w:sz w:val="21"/>
        </w:rPr>
        <w:t> </w:t>
      </w:r>
      <w:r>
        <w:rPr>
          <w:spacing w:val="-3"/>
          <w:w w:val="105"/>
          <w:sz w:val="21"/>
        </w:rPr>
        <w:t>done,</w:t>
      </w:r>
      <w:r>
        <w:rPr>
          <w:spacing w:val="-4"/>
          <w:w w:val="105"/>
          <w:sz w:val="21"/>
        </w:rPr>
        <w:t> </w:t>
      </w:r>
      <w:r>
        <w:rPr>
          <w:w w:val="105"/>
          <w:sz w:val="21"/>
        </w:rPr>
        <w:t>is</w:t>
      </w:r>
      <w:r>
        <w:rPr>
          <w:spacing w:val="-3"/>
          <w:w w:val="105"/>
          <w:sz w:val="21"/>
        </w:rPr>
        <w:t> </w:t>
      </w:r>
      <w:r>
        <w:rPr>
          <w:w w:val="105"/>
          <w:sz w:val="21"/>
        </w:rPr>
        <w:t>a</w:t>
      </w:r>
      <w:r>
        <w:rPr>
          <w:spacing w:val="-4"/>
          <w:w w:val="105"/>
          <w:sz w:val="21"/>
        </w:rPr>
        <w:t> </w:t>
      </w:r>
      <w:r>
        <w:rPr>
          <w:w w:val="105"/>
          <w:sz w:val="21"/>
        </w:rPr>
        <w:t>matter</w:t>
      </w:r>
      <w:r>
        <w:rPr>
          <w:spacing w:val="-3"/>
          <w:w w:val="105"/>
          <w:sz w:val="21"/>
        </w:rPr>
        <w:t> for</w:t>
      </w:r>
      <w:r>
        <w:rPr>
          <w:spacing w:val="-4"/>
          <w:w w:val="105"/>
          <w:sz w:val="21"/>
        </w:rPr>
        <w:t> </w:t>
      </w:r>
      <w:r>
        <w:rPr>
          <w:w w:val="105"/>
          <w:sz w:val="21"/>
        </w:rPr>
        <w:t>the</w:t>
      </w:r>
      <w:r>
        <w:rPr>
          <w:spacing w:val="-4"/>
          <w:w w:val="105"/>
          <w:sz w:val="21"/>
        </w:rPr>
        <w:t> </w:t>
      </w:r>
      <w:r>
        <w:rPr>
          <w:spacing w:val="-3"/>
          <w:w w:val="105"/>
          <w:sz w:val="21"/>
        </w:rPr>
        <w:t>Court </w:t>
      </w:r>
      <w:r>
        <w:rPr>
          <w:w w:val="105"/>
          <w:sz w:val="21"/>
        </w:rPr>
        <w:t>guided by applicable rules of court and case</w:t>
      </w:r>
      <w:r>
        <w:rPr>
          <w:spacing w:val="33"/>
          <w:w w:val="105"/>
          <w:sz w:val="21"/>
        </w:rPr>
        <w:t> </w:t>
      </w:r>
      <w:r>
        <w:rPr>
          <w:spacing w:val="-5"/>
          <w:w w:val="105"/>
          <w:sz w:val="21"/>
        </w:rPr>
        <w:t>law.</w:t>
      </w:r>
    </w:p>
    <w:p>
      <w:pPr>
        <w:pStyle w:val="BodyText"/>
        <w:spacing w:before="4"/>
        <w:rPr>
          <w:sz w:val="24"/>
        </w:rPr>
      </w:pPr>
    </w:p>
    <w:p>
      <w:pPr>
        <w:pStyle w:val="Heading4"/>
        <w:spacing w:line="211" w:lineRule="auto"/>
        <w:ind w:right="1619"/>
        <w:rPr>
          <w:sz w:val="16"/>
        </w:rPr>
      </w:pPr>
      <w:r>
        <w:rPr>
          <w:color w:val="EC5A4F"/>
          <w:w w:val="115"/>
        </w:rPr>
        <w:t>The</w:t>
      </w:r>
      <w:r>
        <w:rPr>
          <w:color w:val="EC5A4F"/>
          <w:spacing w:val="-19"/>
          <w:w w:val="115"/>
        </w:rPr>
        <w:t> </w:t>
      </w:r>
      <w:r>
        <w:rPr>
          <w:color w:val="EC5A4F"/>
          <w:w w:val="115"/>
        </w:rPr>
        <w:t>Court’s</w:t>
      </w:r>
      <w:r>
        <w:rPr>
          <w:color w:val="EC5A4F"/>
          <w:spacing w:val="-19"/>
          <w:w w:val="115"/>
        </w:rPr>
        <w:t> </w:t>
      </w:r>
      <w:r>
        <w:rPr>
          <w:color w:val="EC5A4F"/>
          <w:w w:val="115"/>
        </w:rPr>
        <w:t>approach</w:t>
      </w:r>
      <w:r>
        <w:rPr>
          <w:color w:val="EC5A4F"/>
          <w:spacing w:val="-19"/>
          <w:w w:val="115"/>
        </w:rPr>
        <w:t> </w:t>
      </w:r>
      <w:r>
        <w:rPr>
          <w:color w:val="EC5A4F"/>
          <w:w w:val="115"/>
        </w:rPr>
        <w:t>to</w:t>
      </w:r>
      <w:r>
        <w:rPr>
          <w:color w:val="EC5A4F"/>
          <w:spacing w:val="-19"/>
          <w:w w:val="115"/>
        </w:rPr>
        <w:t> </w:t>
      </w:r>
      <w:r>
        <w:rPr>
          <w:color w:val="EC5A4F"/>
          <w:w w:val="115"/>
        </w:rPr>
        <w:t>the</w:t>
      </w:r>
      <w:r>
        <w:rPr>
          <w:color w:val="EC5A4F"/>
          <w:spacing w:val="-19"/>
          <w:w w:val="115"/>
        </w:rPr>
        <w:t> </w:t>
      </w:r>
      <w:r>
        <w:rPr>
          <w:color w:val="EC5A4F"/>
          <w:w w:val="115"/>
        </w:rPr>
        <w:t>payment</w:t>
      </w:r>
      <w:r>
        <w:rPr>
          <w:color w:val="EC5A4F"/>
          <w:spacing w:val="-18"/>
          <w:w w:val="115"/>
        </w:rPr>
        <w:t> </w:t>
      </w:r>
      <w:r>
        <w:rPr>
          <w:color w:val="EC5A4F"/>
          <w:w w:val="115"/>
        </w:rPr>
        <w:t>of</w:t>
      </w:r>
      <w:r>
        <w:rPr>
          <w:color w:val="EC5A4F"/>
          <w:spacing w:val="-19"/>
          <w:w w:val="115"/>
        </w:rPr>
        <w:t> </w:t>
      </w:r>
      <w:r>
        <w:rPr>
          <w:color w:val="EC5A4F"/>
          <w:w w:val="115"/>
        </w:rPr>
        <w:t>costs</w:t>
      </w:r>
      <w:r>
        <w:rPr>
          <w:color w:val="EC5A4F"/>
          <w:spacing w:val="-19"/>
          <w:w w:val="115"/>
        </w:rPr>
        <w:t> </w:t>
      </w:r>
      <w:r>
        <w:rPr>
          <w:color w:val="EC5A4F"/>
          <w:w w:val="115"/>
        </w:rPr>
        <w:t>in</w:t>
      </w:r>
      <w:r>
        <w:rPr>
          <w:color w:val="EC5A4F"/>
          <w:spacing w:val="-19"/>
          <w:w w:val="115"/>
        </w:rPr>
        <w:t> </w:t>
      </w:r>
      <w:r>
        <w:rPr>
          <w:color w:val="EC5A4F"/>
          <w:w w:val="115"/>
        </w:rPr>
        <w:t>succession proceedings</w:t>
      </w:r>
      <w:r>
        <w:rPr>
          <w:color w:val="EC5A4F"/>
          <w:spacing w:val="3"/>
          <w:w w:val="115"/>
        </w:rPr>
        <w:t> </w:t>
      </w:r>
      <w:r>
        <w:rPr>
          <w:color w:val="EC5A4F"/>
          <w:w w:val="115"/>
        </w:rPr>
        <w:t>generally</w:t>
      </w:r>
      <w:r>
        <w:rPr>
          <w:color w:val="EC5A4F"/>
          <w:w w:val="115"/>
          <w:position w:val="9"/>
          <w:sz w:val="16"/>
        </w:rPr>
        <w:t>2</w:t>
      </w:r>
    </w:p>
    <w:p>
      <w:pPr>
        <w:pStyle w:val="Heading5"/>
        <w:spacing w:before="155"/>
      </w:pPr>
      <w:r>
        <w:rPr>
          <w:w w:val="115"/>
        </w:rPr>
        <w:t>Executors and administrators</w:t>
      </w:r>
    </w:p>
    <w:p>
      <w:pPr>
        <w:pStyle w:val="ListParagraph"/>
        <w:numPr>
          <w:ilvl w:val="1"/>
          <w:numId w:val="152"/>
        </w:numPr>
        <w:tabs>
          <w:tab w:pos="2380" w:val="left" w:leader="none"/>
          <w:tab w:pos="2381" w:val="left" w:leader="none"/>
        </w:tabs>
        <w:spacing w:line="242" w:lineRule="auto" w:before="137" w:after="0"/>
        <w:ind w:left="2381" w:right="2167" w:hanging="794"/>
        <w:jc w:val="left"/>
        <w:rPr>
          <w:sz w:val="21"/>
        </w:rPr>
      </w:pPr>
      <w:r>
        <w:rPr>
          <w:sz w:val="21"/>
        </w:rPr>
        <w:t>Executors and </w:t>
      </w:r>
      <w:r>
        <w:rPr>
          <w:spacing w:val="-3"/>
          <w:sz w:val="21"/>
        </w:rPr>
        <w:t>administrators may recover </w:t>
      </w:r>
      <w:r>
        <w:rPr>
          <w:sz w:val="21"/>
        </w:rPr>
        <w:t>costs which they </w:t>
      </w:r>
      <w:r>
        <w:rPr>
          <w:spacing w:val="-3"/>
          <w:sz w:val="21"/>
        </w:rPr>
        <w:t>have incurred </w:t>
      </w:r>
      <w:r>
        <w:rPr>
          <w:sz w:val="21"/>
        </w:rPr>
        <w:t>out of the estate</w:t>
      </w:r>
      <w:r>
        <w:rPr>
          <w:spacing w:val="8"/>
          <w:sz w:val="21"/>
        </w:rPr>
        <w:t> </w:t>
      </w:r>
      <w:r>
        <w:rPr>
          <w:sz w:val="21"/>
        </w:rPr>
        <w:t>when:</w:t>
      </w:r>
    </w:p>
    <w:p>
      <w:pPr>
        <w:pStyle w:val="ListParagraph"/>
        <w:numPr>
          <w:ilvl w:val="2"/>
          <w:numId w:val="152"/>
        </w:numPr>
        <w:tabs>
          <w:tab w:pos="2721" w:val="left" w:leader="none"/>
          <w:tab w:pos="2722" w:val="left" w:leader="none"/>
        </w:tabs>
        <w:spacing w:line="240" w:lineRule="auto" w:before="123" w:after="0"/>
        <w:ind w:left="2721" w:right="0" w:hanging="340"/>
        <w:jc w:val="left"/>
        <w:rPr>
          <w:sz w:val="21"/>
        </w:rPr>
      </w:pPr>
      <w:r>
        <w:rPr>
          <w:sz w:val="21"/>
        </w:rPr>
        <w:t>those</w:t>
      </w:r>
      <w:r>
        <w:rPr>
          <w:spacing w:val="9"/>
          <w:sz w:val="21"/>
        </w:rPr>
        <w:t> </w:t>
      </w:r>
      <w:r>
        <w:rPr>
          <w:sz w:val="21"/>
        </w:rPr>
        <w:t>costs</w:t>
      </w:r>
      <w:r>
        <w:rPr>
          <w:spacing w:val="9"/>
          <w:sz w:val="21"/>
        </w:rPr>
        <w:t> </w:t>
      </w:r>
      <w:r>
        <w:rPr>
          <w:spacing w:val="-3"/>
          <w:sz w:val="21"/>
        </w:rPr>
        <w:t>are</w:t>
      </w:r>
      <w:r>
        <w:rPr>
          <w:spacing w:val="10"/>
          <w:sz w:val="21"/>
        </w:rPr>
        <w:t> </w:t>
      </w:r>
      <w:r>
        <w:rPr>
          <w:spacing w:val="-2"/>
          <w:sz w:val="21"/>
        </w:rPr>
        <w:t>not</w:t>
      </w:r>
      <w:r>
        <w:rPr>
          <w:spacing w:val="9"/>
          <w:sz w:val="21"/>
        </w:rPr>
        <w:t> </w:t>
      </w:r>
      <w:r>
        <w:rPr>
          <w:sz w:val="21"/>
        </w:rPr>
        <w:t>paid</w:t>
      </w:r>
      <w:r>
        <w:rPr>
          <w:spacing w:val="9"/>
          <w:sz w:val="21"/>
        </w:rPr>
        <w:t> </w:t>
      </w:r>
      <w:r>
        <w:rPr>
          <w:sz w:val="21"/>
        </w:rPr>
        <w:t>by</w:t>
      </w:r>
      <w:r>
        <w:rPr>
          <w:spacing w:val="10"/>
          <w:sz w:val="21"/>
        </w:rPr>
        <w:t> </w:t>
      </w:r>
      <w:r>
        <w:rPr>
          <w:spacing w:val="-3"/>
          <w:sz w:val="21"/>
        </w:rPr>
        <w:t>another</w:t>
      </w:r>
      <w:r>
        <w:rPr>
          <w:spacing w:val="9"/>
          <w:sz w:val="21"/>
        </w:rPr>
        <w:t> </w:t>
      </w:r>
      <w:r>
        <w:rPr>
          <w:sz w:val="21"/>
        </w:rPr>
        <w:t>party</w:t>
      </w:r>
      <w:r>
        <w:rPr>
          <w:spacing w:val="9"/>
          <w:sz w:val="21"/>
        </w:rPr>
        <w:t> </w:t>
      </w:r>
      <w:r>
        <w:rPr>
          <w:spacing w:val="-3"/>
          <w:sz w:val="21"/>
        </w:rPr>
        <w:t>to</w:t>
      </w:r>
      <w:r>
        <w:rPr>
          <w:spacing w:val="10"/>
          <w:sz w:val="21"/>
        </w:rPr>
        <w:t> </w:t>
      </w:r>
      <w:r>
        <w:rPr>
          <w:sz w:val="21"/>
        </w:rPr>
        <w:t>the</w:t>
      </w:r>
      <w:r>
        <w:rPr>
          <w:spacing w:val="9"/>
          <w:sz w:val="21"/>
        </w:rPr>
        <w:t> </w:t>
      </w:r>
      <w:r>
        <w:rPr>
          <w:sz w:val="21"/>
        </w:rPr>
        <w:t>proceeding;</w:t>
      </w:r>
      <w:r>
        <w:rPr>
          <w:spacing w:val="10"/>
          <w:sz w:val="21"/>
        </w:rPr>
        <w:t> </w:t>
      </w:r>
      <w:r>
        <w:rPr>
          <w:sz w:val="21"/>
        </w:rPr>
        <w:t>or</w:t>
      </w:r>
    </w:p>
    <w:p>
      <w:pPr>
        <w:pStyle w:val="ListParagraph"/>
        <w:numPr>
          <w:ilvl w:val="2"/>
          <w:numId w:val="152"/>
        </w:numPr>
        <w:tabs>
          <w:tab w:pos="2721" w:val="left" w:leader="none"/>
          <w:tab w:pos="2722" w:val="left" w:leader="none"/>
        </w:tabs>
        <w:spacing w:line="240" w:lineRule="auto" w:before="123" w:after="0"/>
        <w:ind w:left="2721" w:right="0" w:hanging="340"/>
        <w:jc w:val="left"/>
        <w:rPr>
          <w:sz w:val="12"/>
        </w:rPr>
      </w:pPr>
      <w:r>
        <w:rPr>
          <w:sz w:val="21"/>
        </w:rPr>
        <w:t>the executors or </w:t>
      </w:r>
      <w:r>
        <w:rPr>
          <w:spacing w:val="-3"/>
          <w:sz w:val="21"/>
        </w:rPr>
        <w:t>administrators are </w:t>
      </w:r>
      <w:r>
        <w:rPr>
          <w:spacing w:val="-2"/>
          <w:sz w:val="21"/>
        </w:rPr>
        <w:t>not </w:t>
      </w:r>
      <w:r>
        <w:rPr>
          <w:sz w:val="21"/>
        </w:rPr>
        <w:t>ordered </w:t>
      </w:r>
      <w:r>
        <w:rPr>
          <w:spacing w:val="-3"/>
          <w:sz w:val="21"/>
        </w:rPr>
        <w:t>to </w:t>
      </w:r>
      <w:r>
        <w:rPr>
          <w:spacing w:val="-2"/>
          <w:sz w:val="21"/>
        </w:rPr>
        <w:t>pay </w:t>
      </w:r>
      <w:r>
        <w:rPr>
          <w:sz w:val="21"/>
        </w:rPr>
        <w:t>their own costs</w:t>
      </w:r>
      <w:r>
        <w:rPr>
          <w:spacing w:val="5"/>
          <w:sz w:val="21"/>
        </w:rPr>
        <w:t> </w:t>
      </w:r>
      <w:r>
        <w:rPr>
          <w:spacing w:val="-3"/>
          <w:sz w:val="21"/>
        </w:rPr>
        <w:t>personally.</w:t>
      </w:r>
      <w:r>
        <w:rPr>
          <w:spacing w:val="-3"/>
          <w:position w:val="7"/>
          <w:sz w:val="12"/>
        </w:rPr>
        <w:t>3</w:t>
      </w:r>
    </w:p>
    <w:p>
      <w:pPr>
        <w:pStyle w:val="ListParagraph"/>
        <w:numPr>
          <w:ilvl w:val="1"/>
          <w:numId w:val="152"/>
        </w:numPr>
        <w:tabs>
          <w:tab w:pos="2381" w:val="left" w:leader="none"/>
          <w:tab w:pos="2382" w:val="left" w:leader="none"/>
        </w:tabs>
        <w:spacing w:line="242" w:lineRule="auto" w:before="124" w:after="0"/>
        <w:ind w:left="2381" w:right="1879" w:hanging="794"/>
        <w:jc w:val="left"/>
        <w:rPr>
          <w:sz w:val="12"/>
        </w:rPr>
      </w:pPr>
      <w:r>
        <w:rPr>
          <w:sz w:val="21"/>
        </w:rPr>
        <w:t>In </w:t>
      </w:r>
      <w:r>
        <w:rPr>
          <w:spacing w:val="-3"/>
          <w:sz w:val="21"/>
        </w:rPr>
        <w:t>practice, </w:t>
      </w:r>
      <w:r>
        <w:rPr>
          <w:sz w:val="21"/>
        </w:rPr>
        <w:t>executors and </w:t>
      </w:r>
      <w:r>
        <w:rPr>
          <w:spacing w:val="-3"/>
          <w:sz w:val="21"/>
        </w:rPr>
        <w:t>administrators will recover </w:t>
      </w:r>
      <w:r>
        <w:rPr>
          <w:sz w:val="21"/>
        </w:rPr>
        <w:t>their costs out of the estate on an indemnity basis. In this </w:t>
      </w:r>
      <w:r>
        <w:rPr>
          <w:spacing w:val="-5"/>
          <w:sz w:val="21"/>
        </w:rPr>
        <w:t>way,  </w:t>
      </w:r>
      <w:r>
        <w:rPr>
          <w:sz w:val="21"/>
        </w:rPr>
        <w:t>whether or </w:t>
      </w:r>
      <w:r>
        <w:rPr>
          <w:spacing w:val="-2"/>
          <w:sz w:val="21"/>
        </w:rPr>
        <w:t>not  </w:t>
      </w:r>
      <w:r>
        <w:rPr>
          <w:spacing w:val="-3"/>
          <w:sz w:val="21"/>
        </w:rPr>
        <w:t>successful,  </w:t>
      </w:r>
      <w:r>
        <w:rPr>
          <w:sz w:val="21"/>
        </w:rPr>
        <w:t>executors and </w:t>
      </w:r>
      <w:r>
        <w:rPr>
          <w:spacing w:val="-3"/>
          <w:sz w:val="21"/>
        </w:rPr>
        <w:t>administrators   will </w:t>
      </w:r>
      <w:r>
        <w:rPr>
          <w:spacing w:val="-2"/>
          <w:sz w:val="21"/>
        </w:rPr>
        <w:t>not </w:t>
      </w:r>
      <w:r>
        <w:rPr>
          <w:sz w:val="21"/>
        </w:rPr>
        <w:t>be </w:t>
      </w:r>
      <w:r>
        <w:rPr>
          <w:spacing w:val="-3"/>
          <w:sz w:val="21"/>
        </w:rPr>
        <w:t>required to </w:t>
      </w:r>
      <w:r>
        <w:rPr>
          <w:spacing w:val="-2"/>
          <w:sz w:val="21"/>
        </w:rPr>
        <w:t>pay </w:t>
      </w:r>
      <w:r>
        <w:rPr>
          <w:sz w:val="21"/>
        </w:rPr>
        <w:t>personally </w:t>
      </w:r>
      <w:r>
        <w:rPr>
          <w:spacing w:val="-3"/>
          <w:sz w:val="21"/>
        </w:rPr>
        <w:t>for representing</w:t>
      </w:r>
      <w:r>
        <w:rPr>
          <w:spacing w:val="1"/>
          <w:sz w:val="21"/>
        </w:rPr>
        <w:t> </w:t>
      </w:r>
      <w:r>
        <w:rPr>
          <w:sz w:val="21"/>
        </w:rPr>
        <w:t>the estate in </w:t>
      </w:r>
      <w:r>
        <w:rPr>
          <w:spacing w:val="-3"/>
          <w:sz w:val="21"/>
        </w:rPr>
        <w:t>litigation.</w:t>
      </w:r>
      <w:r>
        <w:rPr>
          <w:spacing w:val="-3"/>
          <w:position w:val="7"/>
          <w:sz w:val="12"/>
        </w:rPr>
        <w:t>4</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4"/>
        </w:rPr>
      </w:pPr>
      <w:r>
        <w:rPr/>
        <w:pict>
          <v:line style="position:absolute;mso-position-horizontal-relative:page;mso-position-vertical-relative:paragraph;z-index:12800;mso-wrap-distance-left:0;mso-wrap-distance-right:0" from="79.370102pt,11.277833pt" to="515.905102pt,11.277833pt" stroked="true" strokeweight="1pt" strokecolor="#f9ceca">
            <v:stroke dashstyle="solid"/>
            <w10:wrap type="topAndBottom"/>
          </v:line>
        </w:pict>
      </w:r>
    </w:p>
    <w:p>
      <w:pPr>
        <w:pStyle w:val="BodyText"/>
        <w:spacing w:before="8"/>
        <w:rPr>
          <w:sz w:val="5"/>
        </w:rPr>
      </w:pPr>
    </w:p>
    <w:p>
      <w:pPr>
        <w:spacing w:after="0"/>
        <w:rPr>
          <w:sz w:val="5"/>
        </w:rPr>
        <w:sectPr>
          <w:headerReference w:type="default" r:id="rId118"/>
          <w:headerReference w:type="even" r:id="rId119"/>
          <w:pgSz w:w="11910" w:h="16840"/>
          <w:pgMar w:header="805" w:footer="0" w:top="1360" w:bottom="280" w:left="0" w:right="0"/>
        </w:sectPr>
      </w:pPr>
    </w:p>
    <w:p>
      <w:pPr>
        <w:pStyle w:val="ListParagraph"/>
        <w:numPr>
          <w:ilvl w:val="0"/>
          <w:numId w:val="153"/>
        </w:numPr>
        <w:tabs>
          <w:tab w:pos="2380" w:val="left" w:leader="none"/>
          <w:tab w:pos="2382" w:val="left" w:leader="none"/>
        </w:tabs>
        <w:spacing w:line="240" w:lineRule="auto" w:before="48" w:after="0"/>
        <w:ind w:left="2381" w:right="92" w:hanging="794"/>
        <w:jc w:val="left"/>
        <w:rPr>
          <w:sz w:val="13"/>
        </w:rPr>
      </w:pPr>
      <w:r>
        <w:rPr>
          <w:w w:val="105"/>
          <w:sz w:val="13"/>
        </w:rPr>
        <w:t>See </w:t>
      </w:r>
      <w:r>
        <w:rPr>
          <w:i/>
          <w:w w:val="105"/>
          <w:sz w:val="13"/>
        </w:rPr>
        <w:t>Supreme Court (Chapter I New Scale of Costs and other Costs Amendments) Rules </w:t>
      </w:r>
      <w:r>
        <w:rPr>
          <w:i/>
          <w:spacing w:val="-4"/>
          <w:w w:val="105"/>
          <w:sz w:val="13"/>
        </w:rPr>
        <w:t>2012 </w:t>
      </w:r>
      <w:r>
        <w:rPr>
          <w:spacing w:val="2"/>
          <w:w w:val="105"/>
          <w:sz w:val="13"/>
        </w:rPr>
        <w:t>(Vic); </w:t>
      </w:r>
      <w:r>
        <w:rPr>
          <w:w w:val="105"/>
          <w:sz w:val="13"/>
        </w:rPr>
        <w:t>Supreme Court of Victoria, </w:t>
      </w:r>
      <w:r>
        <w:rPr>
          <w:i/>
          <w:w w:val="105"/>
          <w:sz w:val="13"/>
        </w:rPr>
        <w:t>Practice Note</w:t>
      </w:r>
      <w:r>
        <w:rPr>
          <w:i/>
          <w:spacing w:val="30"/>
          <w:w w:val="105"/>
          <w:sz w:val="13"/>
        </w:rPr>
        <w:t> </w:t>
      </w:r>
      <w:r>
        <w:rPr>
          <w:i/>
          <w:w w:val="105"/>
          <w:sz w:val="13"/>
        </w:rPr>
        <w:t>No</w:t>
      </w:r>
      <w:r>
        <w:rPr>
          <w:i/>
          <w:spacing w:val="6"/>
          <w:w w:val="105"/>
          <w:sz w:val="13"/>
        </w:rPr>
        <w:t> </w:t>
      </w:r>
      <w:r>
        <w:rPr>
          <w:i/>
          <w:w w:val="105"/>
          <w:sz w:val="13"/>
        </w:rPr>
        <w:t>1</w:t>
      </w:r>
      <w:r>
        <w:rPr>
          <w:i/>
          <w:spacing w:val="7"/>
          <w:w w:val="105"/>
          <w:sz w:val="13"/>
        </w:rPr>
        <w:t> </w:t>
      </w:r>
      <w:r>
        <w:rPr>
          <w:i/>
          <w:w w:val="105"/>
          <w:sz w:val="13"/>
        </w:rPr>
        <w:t>of</w:t>
      </w:r>
      <w:r>
        <w:rPr>
          <w:i/>
          <w:spacing w:val="7"/>
          <w:w w:val="105"/>
          <w:sz w:val="13"/>
        </w:rPr>
        <w:t> </w:t>
      </w:r>
      <w:r>
        <w:rPr>
          <w:i/>
          <w:spacing w:val="-4"/>
          <w:w w:val="105"/>
          <w:sz w:val="13"/>
        </w:rPr>
        <w:t>2013</w:t>
      </w:r>
      <w:r>
        <w:rPr>
          <w:i/>
          <w:spacing w:val="7"/>
          <w:w w:val="105"/>
          <w:sz w:val="13"/>
        </w:rPr>
        <w:t> </w:t>
      </w:r>
      <w:r>
        <w:rPr>
          <w:i/>
          <w:w w:val="105"/>
          <w:sz w:val="13"/>
        </w:rPr>
        <w:t>—</w:t>
      </w:r>
      <w:r>
        <w:rPr>
          <w:i/>
          <w:spacing w:val="6"/>
          <w:w w:val="105"/>
          <w:sz w:val="13"/>
        </w:rPr>
        <w:t> </w:t>
      </w:r>
      <w:r>
        <w:rPr>
          <w:i/>
          <w:w w:val="105"/>
          <w:sz w:val="13"/>
        </w:rPr>
        <w:t>The</w:t>
      </w:r>
      <w:r>
        <w:rPr>
          <w:i/>
          <w:spacing w:val="7"/>
          <w:w w:val="105"/>
          <w:sz w:val="13"/>
        </w:rPr>
        <w:t> </w:t>
      </w:r>
      <w:r>
        <w:rPr>
          <w:i/>
          <w:w w:val="105"/>
          <w:sz w:val="13"/>
        </w:rPr>
        <w:t>New</w:t>
      </w:r>
      <w:r>
        <w:rPr>
          <w:i/>
          <w:spacing w:val="7"/>
          <w:w w:val="105"/>
          <w:sz w:val="13"/>
        </w:rPr>
        <w:t> </w:t>
      </w:r>
      <w:r>
        <w:rPr>
          <w:i/>
          <w:w w:val="105"/>
          <w:sz w:val="13"/>
        </w:rPr>
        <w:t>Scale</w:t>
      </w:r>
      <w:r>
        <w:rPr>
          <w:i/>
          <w:spacing w:val="7"/>
          <w:w w:val="105"/>
          <w:sz w:val="13"/>
        </w:rPr>
        <w:t> </w:t>
      </w:r>
      <w:r>
        <w:rPr>
          <w:i/>
          <w:w w:val="105"/>
          <w:sz w:val="13"/>
        </w:rPr>
        <w:t>of</w:t>
      </w:r>
      <w:r>
        <w:rPr>
          <w:i/>
          <w:spacing w:val="6"/>
          <w:w w:val="105"/>
          <w:sz w:val="13"/>
        </w:rPr>
        <w:t> </w:t>
      </w:r>
      <w:r>
        <w:rPr>
          <w:i/>
          <w:w w:val="105"/>
          <w:sz w:val="13"/>
        </w:rPr>
        <w:t>Costs</w:t>
      </w:r>
      <w:r>
        <w:rPr>
          <w:i/>
          <w:spacing w:val="7"/>
          <w:w w:val="105"/>
          <w:sz w:val="13"/>
        </w:rPr>
        <w:t> </w:t>
      </w:r>
      <w:r>
        <w:rPr>
          <w:i/>
          <w:w w:val="105"/>
          <w:sz w:val="13"/>
        </w:rPr>
        <w:t>and</w:t>
      </w:r>
      <w:r>
        <w:rPr>
          <w:i/>
          <w:spacing w:val="7"/>
          <w:w w:val="105"/>
          <w:sz w:val="13"/>
        </w:rPr>
        <w:t> </w:t>
      </w:r>
      <w:r>
        <w:rPr>
          <w:i/>
          <w:w w:val="105"/>
          <w:sz w:val="13"/>
        </w:rPr>
        <w:t>Counsel</w:t>
      </w:r>
      <w:r>
        <w:rPr>
          <w:i/>
          <w:spacing w:val="7"/>
          <w:w w:val="105"/>
          <w:sz w:val="13"/>
        </w:rPr>
        <w:t> </w:t>
      </w:r>
      <w:r>
        <w:rPr>
          <w:i/>
          <w:w w:val="105"/>
          <w:sz w:val="13"/>
        </w:rPr>
        <w:t>Fees</w:t>
      </w:r>
      <w:r>
        <w:rPr>
          <w:w w:val="105"/>
          <w:sz w:val="13"/>
        </w:rPr>
        <w:t>,</w:t>
      </w:r>
      <w:r>
        <w:rPr>
          <w:spacing w:val="7"/>
          <w:w w:val="105"/>
          <w:sz w:val="13"/>
        </w:rPr>
        <w:t> </w:t>
      </w:r>
      <w:r>
        <w:rPr>
          <w:w w:val="105"/>
          <w:sz w:val="13"/>
        </w:rPr>
        <w:t>18</w:t>
      </w:r>
      <w:r>
        <w:rPr>
          <w:spacing w:val="8"/>
          <w:w w:val="105"/>
          <w:sz w:val="13"/>
        </w:rPr>
        <w:t> </w:t>
      </w:r>
      <w:r>
        <w:rPr>
          <w:w w:val="105"/>
          <w:sz w:val="13"/>
        </w:rPr>
        <w:t>March</w:t>
      </w:r>
      <w:r>
        <w:rPr>
          <w:spacing w:val="8"/>
          <w:w w:val="105"/>
          <w:sz w:val="13"/>
        </w:rPr>
        <w:t> </w:t>
      </w:r>
      <w:r>
        <w:rPr>
          <w:spacing w:val="-3"/>
          <w:w w:val="105"/>
          <w:sz w:val="13"/>
        </w:rPr>
        <w:t>2013.</w:t>
      </w:r>
      <w:r>
        <w:rPr>
          <w:spacing w:val="8"/>
          <w:w w:val="105"/>
          <w:sz w:val="13"/>
        </w:rPr>
        <w:t> </w:t>
      </w:r>
      <w:r>
        <w:rPr>
          <w:w w:val="105"/>
          <w:sz w:val="13"/>
        </w:rPr>
        <w:t>See</w:t>
      </w:r>
      <w:r>
        <w:rPr>
          <w:spacing w:val="8"/>
          <w:w w:val="105"/>
          <w:sz w:val="13"/>
        </w:rPr>
        <w:t> </w:t>
      </w:r>
      <w:r>
        <w:rPr>
          <w:i/>
          <w:w w:val="105"/>
          <w:sz w:val="13"/>
        </w:rPr>
        <w:t>Supreme</w:t>
      </w:r>
      <w:r>
        <w:rPr>
          <w:i/>
          <w:spacing w:val="7"/>
          <w:w w:val="105"/>
          <w:sz w:val="13"/>
        </w:rPr>
        <w:t> </w:t>
      </w:r>
      <w:r>
        <w:rPr>
          <w:i/>
          <w:w w:val="105"/>
          <w:sz w:val="13"/>
        </w:rPr>
        <w:t>Court</w:t>
      </w:r>
      <w:r>
        <w:rPr>
          <w:i/>
          <w:spacing w:val="6"/>
          <w:w w:val="105"/>
          <w:sz w:val="13"/>
        </w:rPr>
        <w:t> </w:t>
      </w:r>
      <w:r>
        <w:rPr>
          <w:i/>
          <w:w w:val="105"/>
          <w:sz w:val="13"/>
        </w:rPr>
        <w:t>(General</w:t>
      </w:r>
      <w:r>
        <w:rPr>
          <w:i/>
          <w:spacing w:val="7"/>
          <w:w w:val="105"/>
          <w:sz w:val="13"/>
        </w:rPr>
        <w:t> </w:t>
      </w:r>
      <w:r>
        <w:rPr>
          <w:i/>
          <w:w w:val="105"/>
          <w:sz w:val="13"/>
        </w:rPr>
        <w:t>Civil</w:t>
      </w:r>
      <w:r>
        <w:rPr>
          <w:i/>
          <w:spacing w:val="7"/>
          <w:w w:val="105"/>
          <w:sz w:val="13"/>
        </w:rPr>
        <w:t> </w:t>
      </w:r>
      <w:r>
        <w:rPr>
          <w:i/>
          <w:w w:val="105"/>
          <w:sz w:val="13"/>
        </w:rPr>
        <w:t>Procedure)</w:t>
      </w:r>
      <w:r>
        <w:rPr>
          <w:i/>
          <w:spacing w:val="7"/>
          <w:w w:val="105"/>
          <w:sz w:val="13"/>
        </w:rPr>
        <w:t> </w:t>
      </w:r>
      <w:r>
        <w:rPr>
          <w:i/>
          <w:w w:val="105"/>
          <w:sz w:val="13"/>
        </w:rPr>
        <w:t>Rules</w:t>
      </w:r>
      <w:r>
        <w:rPr>
          <w:i/>
          <w:spacing w:val="6"/>
          <w:w w:val="105"/>
          <w:sz w:val="13"/>
        </w:rPr>
        <w:t> </w:t>
      </w:r>
      <w:r>
        <w:rPr>
          <w:i/>
          <w:w w:val="105"/>
          <w:sz w:val="13"/>
        </w:rPr>
        <w:t>2005</w:t>
      </w:r>
      <w:r>
        <w:rPr>
          <w:i/>
          <w:spacing w:val="8"/>
          <w:w w:val="105"/>
          <w:sz w:val="13"/>
        </w:rPr>
        <w:t> </w:t>
      </w:r>
      <w:r>
        <w:rPr>
          <w:spacing w:val="2"/>
          <w:w w:val="105"/>
          <w:sz w:val="13"/>
        </w:rPr>
        <w:t>(Vic)</w:t>
      </w:r>
    </w:p>
    <w:p>
      <w:pPr>
        <w:spacing w:before="3"/>
        <w:ind w:left="2381" w:right="0" w:firstLine="0"/>
        <w:jc w:val="left"/>
        <w:rPr>
          <w:sz w:val="13"/>
        </w:rPr>
      </w:pPr>
      <w:r>
        <w:rPr>
          <w:w w:val="105"/>
          <w:sz w:val="13"/>
        </w:rPr>
        <w:t>r 63.28, as amended. For standard costs, see r 63.30; for indemnity costs, see r 63.30.1. The County Court has jurisdiction to hear and determine family provision applications, and costs rules in those proceedings are discussed in Chapter 6 of this report. Unlike the </w:t>
      </w:r>
      <w:r>
        <w:rPr>
          <w:i/>
          <w:w w:val="105"/>
          <w:sz w:val="13"/>
        </w:rPr>
        <w:t>Supreme </w:t>
      </w:r>
      <w:r>
        <w:rPr>
          <w:i/>
          <w:w w:val="105"/>
          <w:sz w:val="13"/>
        </w:rPr>
        <w:t>Court (General Civil Procedure) Rules 2005 </w:t>
      </w:r>
      <w:r>
        <w:rPr>
          <w:w w:val="105"/>
          <w:sz w:val="13"/>
        </w:rPr>
        <w:t>(Vic), the </w:t>
      </w:r>
      <w:r>
        <w:rPr>
          <w:i/>
          <w:w w:val="105"/>
          <w:sz w:val="13"/>
        </w:rPr>
        <w:t>County Court Civil Procedure Rules 2008 </w:t>
      </w:r>
      <w:r>
        <w:rPr>
          <w:w w:val="105"/>
          <w:sz w:val="13"/>
        </w:rPr>
        <w:t>(Vic) still include references to party and party costs and solicitor and client costs: rr 63A.29–63A.30. However, at the time of writing, the County Court Rules Committee was considering whether references to party and party costs and solicitor and client costs in the rules should be amended.</w:t>
      </w:r>
    </w:p>
    <w:p>
      <w:pPr>
        <w:pStyle w:val="ListParagraph"/>
        <w:numPr>
          <w:ilvl w:val="0"/>
          <w:numId w:val="153"/>
        </w:numPr>
        <w:tabs>
          <w:tab w:pos="2381" w:val="left" w:leader="none"/>
          <w:tab w:pos="2382" w:val="left" w:leader="none"/>
        </w:tabs>
        <w:spacing w:line="240" w:lineRule="auto" w:before="6" w:after="0"/>
        <w:ind w:left="2381" w:right="36" w:hanging="794"/>
        <w:jc w:val="left"/>
        <w:rPr>
          <w:sz w:val="13"/>
        </w:rPr>
      </w:pPr>
      <w:r>
        <w:rPr>
          <w:sz w:val="13"/>
        </w:rPr>
        <w:t>For a comprehensive review of the principles and authorities, see G E Dal Pont and K F Mackie, </w:t>
      </w:r>
      <w:r>
        <w:rPr>
          <w:i/>
          <w:sz w:val="13"/>
        </w:rPr>
        <w:t>Law of Succession </w:t>
      </w:r>
      <w:r>
        <w:rPr>
          <w:spacing w:val="2"/>
          <w:sz w:val="13"/>
        </w:rPr>
        <w:t>(LexisNexis Butterworths,     </w:t>
      </w:r>
      <w:r>
        <w:rPr>
          <w:spacing w:val="33"/>
          <w:sz w:val="13"/>
        </w:rPr>
        <w:t> </w:t>
      </w:r>
      <w:r>
        <w:rPr>
          <w:sz w:val="13"/>
        </w:rPr>
        <w:t>2013) ch</w:t>
      </w:r>
      <w:r>
        <w:rPr>
          <w:spacing w:val="12"/>
          <w:sz w:val="13"/>
        </w:rPr>
        <w:t> </w:t>
      </w:r>
      <w:r>
        <w:rPr>
          <w:sz w:val="13"/>
        </w:rPr>
        <w:t>23.</w:t>
      </w:r>
    </w:p>
    <w:p>
      <w:pPr>
        <w:pStyle w:val="ListParagraph"/>
        <w:numPr>
          <w:ilvl w:val="0"/>
          <w:numId w:val="153"/>
        </w:numPr>
        <w:tabs>
          <w:tab w:pos="2381" w:val="left" w:leader="none"/>
          <w:tab w:pos="2382" w:val="left" w:leader="none"/>
        </w:tabs>
        <w:spacing w:line="240" w:lineRule="auto" w:before="3" w:after="0"/>
        <w:ind w:left="2381" w:right="0" w:hanging="794"/>
        <w:jc w:val="left"/>
        <w:rPr>
          <w:sz w:val="13"/>
        </w:rPr>
      </w:pPr>
      <w:r>
        <w:rPr>
          <w:i/>
          <w:w w:val="105"/>
          <w:sz w:val="13"/>
        </w:rPr>
        <w:t>Supreme</w:t>
      </w:r>
      <w:r>
        <w:rPr>
          <w:i/>
          <w:spacing w:val="5"/>
          <w:w w:val="105"/>
          <w:sz w:val="13"/>
        </w:rPr>
        <w:t> </w:t>
      </w:r>
      <w:r>
        <w:rPr>
          <w:i/>
          <w:w w:val="105"/>
          <w:sz w:val="13"/>
        </w:rPr>
        <w:t>Court</w:t>
      </w:r>
      <w:r>
        <w:rPr>
          <w:i/>
          <w:spacing w:val="5"/>
          <w:w w:val="105"/>
          <w:sz w:val="13"/>
        </w:rPr>
        <w:t> </w:t>
      </w:r>
      <w:r>
        <w:rPr>
          <w:i/>
          <w:w w:val="105"/>
          <w:sz w:val="13"/>
        </w:rPr>
        <w:t>(General</w:t>
      </w:r>
      <w:r>
        <w:rPr>
          <w:i/>
          <w:spacing w:val="6"/>
          <w:w w:val="105"/>
          <w:sz w:val="13"/>
        </w:rPr>
        <w:t> </w:t>
      </w:r>
      <w:r>
        <w:rPr>
          <w:i/>
          <w:w w:val="105"/>
          <w:sz w:val="13"/>
        </w:rPr>
        <w:t>Civil</w:t>
      </w:r>
      <w:r>
        <w:rPr>
          <w:i/>
          <w:spacing w:val="5"/>
          <w:w w:val="105"/>
          <w:sz w:val="13"/>
        </w:rPr>
        <w:t> </w:t>
      </w:r>
      <w:r>
        <w:rPr>
          <w:i/>
          <w:w w:val="105"/>
          <w:sz w:val="13"/>
        </w:rPr>
        <w:t>Procedure)</w:t>
      </w:r>
      <w:r>
        <w:rPr>
          <w:i/>
          <w:spacing w:val="6"/>
          <w:w w:val="105"/>
          <w:sz w:val="13"/>
        </w:rPr>
        <w:t> </w:t>
      </w:r>
      <w:r>
        <w:rPr>
          <w:i/>
          <w:w w:val="105"/>
          <w:sz w:val="13"/>
        </w:rPr>
        <w:t>Rules</w:t>
      </w:r>
      <w:r>
        <w:rPr>
          <w:i/>
          <w:spacing w:val="5"/>
          <w:w w:val="105"/>
          <w:sz w:val="13"/>
        </w:rPr>
        <w:t> </w:t>
      </w:r>
      <w:r>
        <w:rPr>
          <w:i/>
          <w:w w:val="105"/>
          <w:sz w:val="13"/>
        </w:rPr>
        <w:t>2005</w:t>
      </w:r>
      <w:r>
        <w:rPr>
          <w:i/>
          <w:spacing w:val="7"/>
          <w:w w:val="105"/>
          <w:sz w:val="13"/>
        </w:rPr>
        <w:t> </w:t>
      </w:r>
      <w:r>
        <w:rPr>
          <w:spacing w:val="2"/>
          <w:w w:val="105"/>
          <w:sz w:val="13"/>
        </w:rPr>
        <w:t>(Vic)</w:t>
      </w:r>
      <w:r>
        <w:rPr>
          <w:spacing w:val="6"/>
          <w:w w:val="105"/>
          <w:sz w:val="13"/>
        </w:rPr>
        <w:t> </w:t>
      </w:r>
      <w:r>
        <w:rPr>
          <w:w w:val="105"/>
          <w:sz w:val="13"/>
        </w:rPr>
        <w:t>r</w:t>
      </w:r>
      <w:r>
        <w:rPr>
          <w:spacing w:val="7"/>
          <w:w w:val="105"/>
          <w:sz w:val="13"/>
        </w:rPr>
        <w:t> </w:t>
      </w:r>
      <w:r>
        <w:rPr>
          <w:w w:val="105"/>
          <w:sz w:val="13"/>
        </w:rPr>
        <w:t>63.26;</w:t>
      </w:r>
      <w:r>
        <w:rPr>
          <w:spacing w:val="7"/>
          <w:w w:val="105"/>
          <w:sz w:val="13"/>
        </w:rPr>
        <w:t> </w:t>
      </w:r>
      <w:r>
        <w:rPr>
          <w:i/>
          <w:w w:val="105"/>
          <w:sz w:val="13"/>
        </w:rPr>
        <w:t>County</w:t>
      </w:r>
      <w:r>
        <w:rPr>
          <w:i/>
          <w:spacing w:val="5"/>
          <w:w w:val="105"/>
          <w:sz w:val="13"/>
        </w:rPr>
        <w:t> </w:t>
      </w:r>
      <w:r>
        <w:rPr>
          <w:i/>
          <w:w w:val="105"/>
          <w:sz w:val="13"/>
        </w:rPr>
        <w:t>Court</w:t>
      </w:r>
      <w:r>
        <w:rPr>
          <w:i/>
          <w:spacing w:val="5"/>
          <w:w w:val="105"/>
          <w:sz w:val="13"/>
        </w:rPr>
        <w:t> </w:t>
      </w:r>
      <w:r>
        <w:rPr>
          <w:i/>
          <w:w w:val="105"/>
          <w:sz w:val="13"/>
        </w:rPr>
        <w:t>Civil</w:t>
      </w:r>
      <w:r>
        <w:rPr>
          <w:i/>
          <w:spacing w:val="6"/>
          <w:w w:val="105"/>
          <w:sz w:val="13"/>
        </w:rPr>
        <w:t> </w:t>
      </w:r>
      <w:r>
        <w:rPr>
          <w:i/>
          <w:w w:val="105"/>
          <w:sz w:val="13"/>
        </w:rPr>
        <w:t>Procedure</w:t>
      </w:r>
      <w:r>
        <w:rPr>
          <w:i/>
          <w:spacing w:val="5"/>
          <w:w w:val="105"/>
          <w:sz w:val="13"/>
        </w:rPr>
        <w:t> </w:t>
      </w:r>
      <w:r>
        <w:rPr>
          <w:i/>
          <w:w w:val="105"/>
          <w:sz w:val="13"/>
        </w:rPr>
        <w:t>Rules</w:t>
      </w:r>
      <w:r>
        <w:rPr>
          <w:i/>
          <w:spacing w:val="6"/>
          <w:w w:val="105"/>
          <w:sz w:val="13"/>
        </w:rPr>
        <w:t> </w:t>
      </w:r>
      <w:r>
        <w:rPr>
          <w:i/>
          <w:w w:val="105"/>
          <w:sz w:val="13"/>
        </w:rPr>
        <w:t>2008</w:t>
      </w:r>
      <w:r>
        <w:rPr>
          <w:i/>
          <w:spacing w:val="6"/>
          <w:w w:val="105"/>
          <w:sz w:val="13"/>
        </w:rPr>
        <w:t> </w:t>
      </w:r>
      <w:r>
        <w:rPr>
          <w:spacing w:val="2"/>
          <w:w w:val="105"/>
          <w:sz w:val="13"/>
        </w:rPr>
        <w:t>(Vic)</w:t>
      </w:r>
      <w:r>
        <w:rPr>
          <w:spacing w:val="7"/>
          <w:w w:val="105"/>
          <w:sz w:val="13"/>
        </w:rPr>
        <w:t> </w:t>
      </w:r>
      <w:r>
        <w:rPr>
          <w:w w:val="105"/>
          <w:sz w:val="13"/>
        </w:rPr>
        <w:t>r</w:t>
      </w:r>
      <w:r>
        <w:rPr>
          <w:spacing w:val="6"/>
          <w:w w:val="105"/>
          <w:sz w:val="13"/>
        </w:rPr>
        <w:t> </w:t>
      </w:r>
      <w:r>
        <w:rPr>
          <w:w w:val="105"/>
          <w:sz w:val="13"/>
        </w:rPr>
        <w:t>63A.26.</w:t>
      </w:r>
    </w:p>
    <w:p>
      <w:pPr>
        <w:pStyle w:val="ListParagraph"/>
        <w:numPr>
          <w:ilvl w:val="0"/>
          <w:numId w:val="153"/>
        </w:numPr>
        <w:tabs>
          <w:tab w:pos="2381" w:val="left" w:leader="none"/>
          <w:tab w:pos="2382" w:val="left" w:leader="none"/>
        </w:tabs>
        <w:spacing w:line="240" w:lineRule="auto" w:before="1" w:after="0"/>
        <w:ind w:left="2381" w:right="510" w:hanging="794"/>
        <w:jc w:val="left"/>
        <w:rPr>
          <w:sz w:val="13"/>
        </w:rPr>
      </w:pPr>
      <w:r>
        <w:rPr>
          <w:w w:val="105"/>
          <w:sz w:val="13"/>
        </w:rPr>
        <w:t>For recovery of costs by an unsuccessful executor see, eg, </w:t>
      </w:r>
      <w:r>
        <w:rPr>
          <w:i/>
          <w:w w:val="105"/>
          <w:sz w:val="13"/>
        </w:rPr>
        <w:t>Re Keane </w:t>
      </w:r>
      <w:r>
        <w:rPr>
          <w:w w:val="105"/>
          <w:sz w:val="13"/>
        </w:rPr>
        <w:t>[1909] </w:t>
      </w:r>
      <w:r>
        <w:rPr>
          <w:spacing w:val="2"/>
          <w:w w:val="105"/>
          <w:sz w:val="13"/>
        </w:rPr>
        <w:t>VLR </w:t>
      </w:r>
      <w:r>
        <w:rPr>
          <w:w w:val="105"/>
          <w:sz w:val="13"/>
        </w:rPr>
        <w:t>231. For cases disallowing recovery by unsuccessful executors,</w:t>
      </w:r>
      <w:r>
        <w:rPr>
          <w:spacing w:val="5"/>
          <w:w w:val="105"/>
          <w:sz w:val="13"/>
        </w:rPr>
        <w:t> </w:t>
      </w:r>
      <w:r>
        <w:rPr>
          <w:w w:val="105"/>
          <w:sz w:val="13"/>
        </w:rPr>
        <w:t>see,</w:t>
      </w:r>
      <w:r>
        <w:rPr>
          <w:spacing w:val="5"/>
          <w:w w:val="105"/>
          <w:sz w:val="13"/>
        </w:rPr>
        <w:t> </w:t>
      </w:r>
      <w:r>
        <w:rPr>
          <w:w w:val="105"/>
          <w:sz w:val="13"/>
        </w:rPr>
        <w:t>eg,</w:t>
      </w:r>
      <w:r>
        <w:rPr>
          <w:spacing w:val="5"/>
          <w:w w:val="105"/>
          <w:sz w:val="13"/>
        </w:rPr>
        <w:t> </w:t>
      </w:r>
      <w:r>
        <w:rPr>
          <w:i/>
          <w:w w:val="105"/>
          <w:sz w:val="13"/>
        </w:rPr>
        <w:t>Brown</w:t>
      </w:r>
      <w:r>
        <w:rPr>
          <w:i/>
          <w:spacing w:val="4"/>
          <w:w w:val="105"/>
          <w:sz w:val="13"/>
        </w:rPr>
        <w:t> </w:t>
      </w:r>
      <w:r>
        <w:rPr>
          <w:i/>
          <w:w w:val="105"/>
          <w:sz w:val="13"/>
        </w:rPr>
        <w:t>v</w:t>
      </w:r>
      <w:r>
        <w:rPr>
          <w:i/>
          <w:spacing w:val="4"/>
          <w:w w:val="105"/>
          <w:sz w:val="13"/>
        </w:rPr>
        <w:t> </w:t>
      </w:r>
      <w:r>
        <w:rPr>
          <w:i/>
          <w:w w:val="105"/>
          <w:sz w:val="13"/>
        </w:rPr>
        <w:t>Sandhurst</w:t>
      </w:r>
      <w:r>
        <w:rPr>
          <w:i/>
          <w:spacing w:val="4"/>
          <w:w w:val="105"/>
          <w:sz w:val="13"/>
        </w:rPr>
        <w:t> </w:t>
      </w:r>
      <w:r>
        <w:rPr>
          <w:i/>
          <w:w w:val="105"/>
          <w:sz w:val="13"/>
        </w:rPr>
        <w:t>Trustees</w:t>
      </w:r>
      <w:r>
        <w:rPr>
          <w:i/>
          <w:spacing w:val="4"/>
          <w:w w:val="105"/>
          <w:sz w:val="13"/>
        </w:rPr>
        <w:t> </w:t>
      </w:r>
      <w:r>
        <w:rPr>
          <w:i/>
          <w:w w:val="105"/>
          <w:sz w:val="13"/>
        </w:rPr>
        <w:t>Ltd</w:t>
      </w:r>
      <w:r>
        <w:rPr>
          <w:i/>
          <w:spacing w:val="5"/>
          <w:w w:val="105"/>
          <w:sz w:val="13"/>
        </w:rPr>
        <w:t> </w:t>
      </w:r>
      <w:r>
        <w:rPr>
          <w:i/>
          <w:spacing w:val="3"/>
          <w:w w:val="105"/>
          <w:sz w:val="13"/>
        </w:rPr>
        <w:t>(No</w:t>
      </w:r>
      <w:r>
        <w:rPr>
          <w:i/>
          <w:spacing w:val="4"/>
          <w:w w:val="105"/>
          <w:sz w:val="13"/>
        </w:rPr>
        <w:t> </w:t>
      </w:r>
      <w:r>
        <w:rPr>
          <w:i/>
          <w:w w:val="105"/>
          <w:sz w:val="13"/>
        </w:rPr>
        <w:t>2)</w:t>
      </w:r>
      <w:r>
        <w:rPr>
          <w:i/>
          <w:spacing w:val="4"/>
          <w:w w:val="105"/>
          <w:sz w:val="13"/>
        </w:rPr>
        <w:t> </w:t>
      </w:r>
      <w:r>
        <w:rPr>
          <w:spacing w:val="2"/>
          <w:w w:val="105"/>
          <w:sz w:val="13"/>
        </w:rPr>
        <w:t>[2009]</w:t>
      </w:r>
      <w:r>
        <w:rPr>
          <w:spacing w:val="5"/>
          <w:w w:val="105"/>
          <w:sz w:val="13"/>
        </w:rPr>
        <w:t> </w:t>
      </w:r>
      <w:r>
        <w:rPr>
          <w:w w:val="105"/>
          <w:sz w:val="13"/>
        </w:rPr>
        <w:t>VSC</w:t>
      </w:r>
      <w:r>
        <w:rPr>
          <w:spacing w:val="5"/>
          <w:w w:val="105"/>
          <w:sz w:val="13"/>
        </w:rPr>
        <w:t> </w:t>
      </w:r>
      <w:r>
        <w:rPr>
          <w:spacing w:val="2"/>
          <w:w w:val="105"/>
          <w:sz w:val="13"/>
        </w:rPr>
        <w:t>406</w:t>
      </w:r>
      <w:r>
        <w:rPr>
          <w:spacing w:val="5"/>
          <w:w w:val="105"/>
          <w:sz w:val="13"/>
        </w:rPr>
        <w:t> </w:t>
      </w:r>
      <w:r>
        <w:rPr>
          <w:spacing w:val="-2"/>
          <w:w w:val="105"/>
          <w:sz w:val="13"/>
        </w:rPr>
        <w:t>(16</w:t>
      </w:r>
      <w:r>
        <w:rPr>
          <w:spacing w:val="5"/>
          <w:w w:val="105"/>
          <w:sz w:val="13"/>
        </w:rPr>
        <w:t> </w:t>
      </w:r>
      <w:r>
        <w:rPr>
          <w:w w:val="105"/>
          <w:sz w:val="13"/>
        </w:rPr>
        <w:t>September</w:t>
      </w:r>
      <w:r>
        <w:rPr>
          <w:spacing w:val="5"/>
          <w:w w:val="105"/>
          <w:sz w:val="13"/>
        </w:rPr>
        <w:t> </w:t>
      </w:r>
      <w:r>
        <w:rPr>
          <w:spacing w:val="3"/>
          <w:w w:val="105"/>
          <w:sz w:val="13"/>
        </w:rPr>
        <w:t>2009);</w:t>
      </w:r>
      <w:r>
        <w:rPr>
          <w:spacing w:val="5"/>
          <w:w w:val="105"/>
          <w:sz w:val="13"/>
        </w:rPr>
        <w:t> </w:t>
      </w:r>
      <w:r>
        <w:rPr>
          <w:i/>
          <w:w w:val="105"/>
          <w:sz w:val="13"/>
        </w:rPr>
        <w:t>Twist</w:t>
      </w:r>
      <w:r>
        <w:rPr>
          <w:i/>
          <w:spacing w:val="4"/>
          <w:w w:val="105"/>
          <w:sz w:val="13"/>
        </w:rPr>
        <w:t> </w:t>
      </w:r>
      <w:r>
        <w:rPr>
          <w:i/>
          <w:w w:val="105"/>
          <w:sz w:val="13"/>
        </w:rPr>
        <w:t>v</w:t>
      </w:r>
      <w:r>
        <w:rPr>
          <w:i/>
          <w:spacing w:val="4"/>
          <w:w w:val="105"/>
          <w:sz w:val="13"/>
        </w:rPr>
        <w:t> </w:t>
      </w:r>
      <w:r>
        <w:rPr>
          <w:i/>
          <w:spacing w:val="-3"/>
          <w:w w:val="105"/>
          <w:sz w:val="13"/>
        </w:rPr>
        <w:t>Tye</w:t>
      </w:r>
      <w:r>
        <w:rPr>
          <w:i/>
          <w:spacing w:val="5"/>
          <w:w w:val="105"/>
          <w:sz w:val="13"/>
        </w:rPr>
        <w:t> </w:t>
      </w:r>
      <w:r>
        <w:rPr>
          <w:w w:val="105"/>
          <w:sz w:val="13"/>
        </w:rPr>
        <w:t>[1902]</w:t>
      </w:r>
      <w:r>
        <w:rPr>
          <w:spacing w:val="5"/>
          <w:w w:val="105"/>
          <w:sz w:val="13"/>
        </w:rPr>
        <w:t> </w:t>
      </w:r>
      <w:r>
        <w:rPr>
          <w:w w:val="105"/>
          <w:sz w:val="13"/>
        </w:rPr>
        <w:t>P</w:t>
      </w:r>
      <w:r>
        <w:rPr>
          <w:spacing w:val="5"/>
          <w:w w:val="105"/>
          <w:sz w:val="13"/>
        </w:rPr>
        <w:t> </w:t>
      </w:r>
      <w:r>
        <w:rPr>
          <w:w w:val="105"/>
          <w:sz w:val="13"/>
        </w:rPr>
        <w:t>92.</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spacing w:before="6"/>
        <w:rPr>
          <w:sz w:val="27"/>
        </w:rPr>
      </w:pPr>
    </w:p>
    <w:p>
      <w:pPr>
        <w:spacing w:before="0"/>
        <w:ind w:left="550" w:right="578" w:firstLine="0"/>
        <w:jc w:val="center"/>
        <w:rPr>
          <w:b/>
          <w:sz w:val="24"/>
        </w:rPr>
      </w:pPr>
      <w:r>
        <w:rPr>
          <w:b/>
          <w:color w:val="EC5A4F"/>
          <w:w w:val="110"/>
          <w:sz w:val="24"/>
        </w:rPr>
        <w:t>213</w:t>
      </w:r>
    </w:p>
    <w:p>
      <w:pPr>
        <w:spacing w:after="0"/>
        <w:jc w:val="center"/>
        <w:rPr>
          <w:sz w:val="24"/>
        </w:rPr>
        <w:sectPr>
          <w:type w:val="continuous"/>
          <w:pgSz w:w="11910" w:h="16840"/>
          <w:pgMar w:top="920" w:bottom="280" w:left="0" w:right="0"/>
          <w:cols w:num="2" w:equalWidth="0">
            <w:col w:w="10300" w:space="40"/>
            <w:col w:w="1570"/>
          </w:cols>
        </w:sectPr>
      </w:pPr>
    </w:p>
    <w:p>
      <w:pPr>
        <w:pStyle w:val="BodyText"/>
        <w:spacing w:before="11"/>
        <w:rPr>
          <w:b/>
        </w:rPr>
      </w:pPr>
    </w:p>
    <w:p>
      <w:pPr>
        <w:spacing w:before="99"/>
        <w:ind w:left="1587" w:right="0" w:firstLine="0"/>
        <w:jc w:val="left"/>
        <w:rPr>
          <w:b/>
          <w:sz w:val="24"/>
        </w:rPr>
      </w:pPr>
      <w:r>
        <w:rPr>
          <w:b/>
          <w:w w:val="110"/>
          <w:sz w:val="24"/>
        </w:rPr>
        <w:t>Other parties to succession proceedings</w:t>
      </w:r>
    </w:p>
    <w:p>
      <w:pPr>
        <w:pStyle w:val="ListParagraph"/>
        <w:numPr>
          <w:ilvl w:val="1"/>
          <w:numId w:val="152"/>
        </w:numPr>
        <w:tabs>
          <w:tab w:pos="2381" w:val="left" w:leader="none"/>
          <w:tab w:pos="2382" w:val="left" w:leader="none"/>
        </w:tabs>
        <w:spacing w:line="242" w:lineRule="auto" w:before="137" w:after="0"/>
        <w:ind w:left="2381" w:right="1762" w:hanging="794"/>
        <w:jc w:val="left"/>
        <w:rPr>
          <w:sz w:val="21"/>
        </w:rPr>
      </w:pPr>
      <w:r>
        <w:rPr>
          <w:sz w:val="21"/>
        </w:rPr>
        <w:t>The </w:t>
      </w:r>
      <w:r>
        <w:rPr>
          <w:spacing w:val="-3"/>
          <w:sz w:val="21"/>
        </w:rPr>
        <w:t>overriding principle </w:t>
      </w:r>
      <w:r>
        <w:rPr>
          <w:sz w:val="21"/>
        </w:rPr>
        <w:t>is </w:t>
      </w:r>
      <w:r>
        <w:rPr>
          <w:spacing w:val="-3"/>
          <w:sz w:val="21"/>
        </w:rPr>
        <w:t>that </w:t>
      </w:r>
      <w:r>
        <w:rPr>
          <w:sz w:val="21"/>
        </w:rPr>
        <w:t>costs </w:t>
      </w:r>
      <w:r>
        <w:rPr>
          <w:spacing w:val="-3"/>
          <w:sz w:val="21"/>
        </w:rPr>
        <w:t>are </w:t>
      </w:r>
      <w:r>
        <w:rPr>
          <w:sz w:val="21"/>
        </w:rPr>
        <w:t>in the </w:t>
      </w:r>
      <w:r>
        <w:rPr>
          <w:spacing w:val="-3"/>
          <w:sz w:val="21"/>
        </w:rPr>
        <w:t>discretion </w:t>
      </w:r>
      <w:r>
        <w:rPr>
          <w:sz w:val="21"/>
        </w:rPr>
        <w:t>of the court.</w:t>
      </w:r>
      <w:r>
        <w:rPr>
          <w:position w:val="7"/>
          <w:sz w:val="12"/>
        </w:rPr>
        <w:t>5 </w:t>
      </w:r>
      <w:r>
        <w:rPr>
          <w:sz w:val="21"/>
        </w:rPr>
        <w:t>Subject </w:t>
      </w:r>
      <w:r>
        <w:rPr>
          <w:spacing w:val="-3"/>
          <w:sz w:val="21"/>
        </w:rPr>
        <w:t>to </w:t>
      </w:r>
      <w:r>
        <w:rPr>
          <w:sz w:val="21"/>
        </w:rPr>
        <w:t>the </w:t>
      </w:r>
      <w:r>
        <w:rPr>
          <w:spacing w:val="-3"/>
          <w:sz w:val="21"/>
        </w:rPr>
        <w:t>overriding principle, </w:t>
      </w:r>
      <w:r>
        <w:rPr>
          <w:sz w:val="21"/>
        </w:rPr>
        <w:t>there exists a general rule </w:t>
      </w:r>
      <w:r>
        <w:rPr>
          <w:spacing w:val="-3"/>
          <w:sz w:val="21"/>
        </w:rPr>
        <w:t>that </w:t>
      </w:r>
      <w:r>
        <w:rPr>
          <w:sz w:val="21"/>
        </w:rPr>
        <w:t>costs </w:t>
      </w:r>
      <w:r>
        <w:rPr>
          <w:spacing w:val="-3"/>
          <w:sz w:val="21"/>
        </w:rPr>
        <w:t>‘follow </w:t>
      </w:r>
      <w:r>
        <w:rPr>
          <w:sz w:val="21"/>
        </w:rPr>
        <w:t>the  </w:t>
      </w:r>
      <w:r>
        <w:rPr>
          <w:spacing w:val="-5"/>
          <w:sz w:val="21"/>
        </w:rPr>
        <w:t>event’.</w:t>
      </w:r>
      <w:r>
        <w:rPr>
          <w:spacing w:val="-5"/>
          <w:position w:val="7"/>
          <w:sz w:val="12"/>
        </w:rPr>
        <w:t>6  </w:t>
      </w:r>
      <w:r>
        <w:rPr>
          <w:sz w:val="21"/>
        </w:rPr>
        <w:t>In  </w:t>
      </w:r>
      <w:r>
        <w:rPr>
          <w:spacing w:val="-3"/>
          <w:sz w:val="21"/>
        </w:rPr>
        <w:t>other words, </w:t>
      </w:r>
      <w:r>
        <w:rPr>
          <w:sz w:val="21"/>
        </w:rPr>
        <w:t>a </w:t>
      </w:r>
      <w:r>
        <w:rPr>
          <w:spacing w:val="-3"/>
          <w:sz w:val="21"/>
        </w:rPr>
        <w:t>successful </w:t>
      </w:r>
      <w:r>
        <w:rPr>
          <w:sz w:val="21"/>
        </w:rPr>
        <w:t>party </w:t>
      </w:r>
      <w:r>
        <w:rPr>
          <w:spacing w:val="-3"/>
          <w:sz w:val="21"/>
        </w:rPr>
        <w:t>will recover </w:t>
      </w:r>
      <w:r>
        <w:rPr>
          <w:sz w:val="21"/>
        </w:rPr>
        <w:t>their costs out of the </w:t>
      </w:r>
      <w:r>
        <w:rPr>
          <w:spacing w:val="-3"/>
          <w:sz w:val="21"/>
        </w:rPr>
        <w:t>estate. </w:t>
      </w:r>
      <w:r>
        <w:rPr>
          <w:sz w:val="21"/>
        </w:rPr>
        <w:t>An </w:t>
      </w:r>
      <w:r>
        <w:rPr>
          <w:spacing w:val="-3"/>
          <w:sz w:val="21"/>
        </w:rPr>
        <w:t>unsuccessful  </w:t>
      </w:r>
      <w:r>
        <w:rPr>
          <w:sz w:val="21"/>
        </w:rPr>
        <w:t>party  </w:t>
      </w:r>
      <w:r>
        <w:rPr>
          <w:spacing w:val="-3"/>
          <w:sz w:val="21"/>
        </w:rPr>
        <w:t>will </w:t>
      </w:r>
      <w:r>
        <w:rPr>
          <w:spacing w:val="-2"/>
          <w:sz w:val="21"/>
        </w:rPr>
        <w:t>pay </w:t>
      </w:r>
      <w:r>
        <w:rPr>
          <w:sz w:val="21"/>
        </w:rPr>
        <w:t>the costs of the </w:t>
      </w:r>
      <w:r>
        <w:rPr>
          <w:spacing w:val="-3"/>
          <w:sz w:val="21"/>
        </w:rPr>
        <w:t>successful executor </w:t>
      </w:r>
      <w:r>
        <w:rPr>
          <w:sz w:val="21"/>
        </w:rPr>
        <w:t>or </w:t>
      </w:r>
      <w:r>
        <w:rPr>
          <w:spacing w:val="-4"/>
          <w:sz w:val="21"/>
        </w:rPr>
        <w:t>administrator. </w:t>
      </w:r>
      <w:r>
        <w:rPr>
          <w:sz w:val="21"/>
        </w:rPr>
        <w:t>Although the </w:t>
      </w:r>
      <w:r>
        <w:rPr>
          <w:spacing w:val="-3"/>
          <w:sz w:val="21"/>
        </w:rPr>
        <w:t>overriding principle </w:t>
      </w:r>
      <w:r>
        <w:rPr>
          <w:sz w:val="21"/>
        </w:rPr>
        <w:t>is applied in </w:t>
      </w:r>
      <w:r>
        <w:rPr>
          <w:spacing w:val="-3"/>
          <w:sz w:val="21"/>
        </w:rPr>
        <w:t>succession proceedings, </w:t>
      </w:r>
      <w:r>
        <w:rPr>
          <w:sz w:val="21"/>
        </w:rPr>
        <w:t>there </w:t>
      </w:r>
      <w:r>
        <w:rPr>
          <w:spacing w:val="-3"/>
          <w:sz w:val="21"/>
        </w:rPr>
        <w:t>are</w:t>
      </w:r>
      <w:r>
        <w:rPr>
          <w:spacing w:val="2"/>
          <w:sz w:val="21"/>
        </w:rPr>
        <w:t> </w:t>
      </w:r>
      <w:r>
        <w:rPr>
          <w:sz w:val="21"/>
        </w:rPr>
        <w:t>important </w:t>
      </w:r>
      <w:r>
        <w:rPr>
          <w:spacing w:val="-3"/>
          <w:sz w:val="21"/>
        </w:rPr>
        <w:t>exceptions.</w:t>
      </w:r>
    </w:p>
    <w:p>
      <w:pPr>
        <w:pStyle w:val="ListParagraph"/>
        <w:numPr>
          <w:ilvl w:val="1"/>
          <w:numId w:val="152"/>
        </w:numPr>
        <w:tabs>
          <w:tab w:pos="2381" w:val="left" w:leader="none"/>
          <w:tab w:pos="2382" w:val="left" w:leader="none"/>
        </w:tabs>
        <w:spacing w:line="242" w:lineRule="auto" w:before="126" w:after="0"/>
        <w:ind w:left="2381" w:right="1652" w:hanging="794"/>
        <w:jc w:val="left"/>
        <w:rPr>
          <w:sz w:val="12"/>
        </w:rPr>
      </w:pPr>
      <w:r>
        <w:rPr>
          <w:sz w:val="21"/>
        </w:rPr>
        <w:t>An </w:t>
      </w:r>
      <w:r>
        <w:rPr>
          <w:spacing w:val="-3"/>
          <w:sz w:val="21"/>
        </w:rPr>
        <w:t>unsuccessful plaintiff’s </w:t>
      </w:r>
      <w:r>
        <w:rPr>
          <w:sz w:val="21"/>
        </w:rPr>
        <w:t>costs </w:t>
      </w:r>
      <w:r>
        <w:rPr>
          <w:spacing w:val="-3"/>
          <w:sz w:val="21"/>
        </w:rPr>
        <w:t>will usually </w:t>
      </w:r>
      <w:r>
        <w:rPr>
          <w:sz w:val="21"/>
        </w:rPr>
        <w:t>be paid out of the estate in the so-called </w:t>
      </w:r>
      <w:r>
        <w:rPr>
          <w:spacing w:val="-3"/>
          <w:sz w:val="21"/>
        </w:rPr>
        <w:t>‘testator’s </w:t>
      </w:r>
      <w:r>
        <w:rPr>
          <w:sz w:val="21"/>
        </w:rPr>
        <w:t>fault’ cases—cases where the </w:t>
      </w:r>
      <w:r>
        <w:rPr>
          <w:spacing w:val="-3"/>
          <w:sz w:val="21"/>
        </w:rPr>
        <w:t>litigation </w:t>
      </w:r>
      <w:r>
        <w:rPr>
          <w:sz w:val="21"/>
        </w:rPr>
        <w:t>finds its </w:t>
      </w:r>
      <w:r>
        <w:rPr>
          <w:spacing w:val="-3"/>
          <w:sz w:val="21"/>
        </w:rPr>
        <w:t>origin </w:t>
      </w:r>
      <w:r>
        <w:rPr>
          <w:sz w:val="21"/>
        </w:rPr>
        <w:t>in the </w:t>
      </w:r>
      <w:r>
        <w:rPr>
          <w:spacing w:val="-3"/>
          <w:sz w:val="21"/>
        </w:rPr>
        <w:t>fault </w:t>
      </w:r>
      <w:r>
        <w:rPr>
          <w:sz w:val="21"/>
        </w:rPr>
        <w:t>of the will- </w:t>
      </w:r>
      <w:r>
        <w:rPr>
          <w:spacing w:val="-6"/>
          <w:sz w:val="21"/>
        </w:rPr>
        <w:t>maker.</w:t>
      </w:r>
      <w:r>
        <w:rPr>
          <w:spacing w:val="-6"/>
          <w:position w:val="7"/>
          <w:sz w:val="12"/>
        </w:rPr>
        <w:t>7</w:t>
      </w:r>
      <w:r>
        <w:rPr>
          <w:spacing w:val="15"/>
          <w:position w:val="7"/>
          <w:sz w:val="12"/>
        </w:rPr>
        <w:t> </w:t>
      </w:r>
      <w:r>
        <w:rPr>
          <w:sz w:val="21"/>
        </w:rPr>
        <w:t>The classic case is one </w:t>
      </w:r>
      <w:r>
        <w:rPr>
          <w:spacing w:val="-3"/>
          <w:sz w:val="21"/>
        </w:rPr>
        <w:t>involving  </w:t>
      </w:r>
      <w:r>
        <w:rPr>
          <w:sz w:val="21"/>
        </w:rPr>
        <w:t>the </w:t>
      </w:r>
      <w:r>
        <w:rPr>
          <w:spacing w:val="-3"/>
          <w:sz w:val="21"/>
        </w:rPr>
        <w:t>interpretation  </w:t>
      </w:r>
      <w:r>
        <w:rPr>
          <w:sz w:val="21"/>
        </w:rPr>
        <w:t>of the </w:t>
      </w:r>
      <w:r>
        <w:rPr>
          <w:spacing w:val="-3"/>
          <w:sz w:val="21"/>
        </w:rPr>
        <w:t>will.  </w:t>
      </w:r>
      <w:r>
        <w:rPr>
          <w:sz w:val="21"/>
        </w:rPr>
        <w:t>Here the cause of   the </w:t>
      </w:r>
      <w:r>
        <w:rPr>
          <w:spacing w:val="-3"/>
          <w:sz w:val="21"/>
        </w:rPr>
        <w:t>litigation  </w:t>
      </w:r>
      <w:r>
        <w:rPr>
          <w:sz w:val="21"/>
        </w:rPr>
        <w:t>finds its </w:t>
      </w:r>
      <w:r>
        <w:rPr>
          <w:spacing w:val="-3"/>
          <w:sz w:val="21"/>
        </w:rPr>
        <w:t>origin</w:t>
      </w:r>
      <w:r>
        <w:rPr>
          <w:spacing w:val="41"/>
          <w:sz w:val="21"/>
        </w:rPr>
        <w:t> </w:t>
      </w:r>
      <w:r>
        <w:rPr>
          <w:sz w:val="21"/>
        </w:rPr>
        <w:t>in the </w:t>
      </w:r>
      <w:r>
        <w:rPr>
          <w:spacing w:val="-3"/>
          <w:sz w:val="21"/>
        </w:rPr>
        <w:t>will-maker’s  </w:t>
      </w:r>
      <w:r>
        <w:rPr>
          <w:spacing w:val="-2"/>
          <w:sz w:val="21"/>
        </w:rPr>
        <w:t>choice  </w:t>
      </w:r>
      <w:r>
        <w:rPr>
          <w:sz w:val="21"/>
        </w:rPr>
        <w:t>of </w:t>
      </w:r>
      <w:r>
        <w:rPr>
          <w:spacing w:val="-3"/>
          <w:sz w:val="21"/>
        </w:rPr>
        <w:t>language  </w:t>
      </w:r>
      <w:r>
        <w:rPr>
          <w:sz w:val="21"/>
        </w:rPr>
        <w:t>in the </w:t>
      </w:r>
      <w:r>
        <w:rPr>
          <w:spacing w:val="-3"/>
          <w:sz w:val="21"/>
        </w:rPr>
        <w:t>formulation  </w:t>
      </w:r>
      <w:r>
        <w:rPr>
          <w:sz w:val="21"/>
        </w:rPr>
        <w:t>of  the </w:t>
      </w:r>
      <w:r>
        <w:rPr>
          <w:spacing w:val="-3"/>
          <w:sz w:val="21"/>
        </w:rPr>
        <w:t>will. </w:t>
      </w:r>
      <w:r>
        <w:rPr>
          <w:spacing w:val="-4"/>
          <w:sz w:val="21"/>
        </w:rPr>
        <w:t>However, </w:t>
      </w:r>
      <w:r>
        <w:rPr>
          <w:sz w:val="21"/>
        </w:rPr>
        <w:t>a broad approach </w:t>
      </w:r>
      <w:r>
        <w:rPr>
          <w:spacing w:val="-2"/>
          <w:sz w:val="21"/>
        </w:rPr>
        <w:t>has </w:t>
      </w:r>
      <w:r>
        <w:rPr>
          <w:sz w:val="21"/>
        </w:rPr>
        <w:t>been </w:t>
      </w:r>
      <w:r>
        <w:rPr>
          <w:spacing w:val="-3"/>
          <w:sz w:val="21"/>
        </w:rPr>
        <w:t>taken to </w:t>
      </w:r>
      <w:r>
        <w:rPr>
          <w:sz w:val="21"/>
        </w:rPr>
        <w:t>the identification of </w:t>
      </w:r>
      <w:r>
        <w:rPr>
          <w:spacing w:val="-3"/>
          <w:sz w:val="21"/>
        </w:rPr>
        <w:t>fault </w:t>
      </w:r>
      <w:r>
        <w:rPr>
          <w:sz w:val="21"/>
        </w:rPr>
        <w:t>of the </w:t>
      </w:r>
      <w:r>
        <w:rPr>
          <w:spacing w:val="-3"/>
          <w:sz w:val="21"/>
        </w:rPr>
        <w:t>will-maker </w:t>
      </w:r>
      <w:r>
        <w:rPr>
          <w:sz w:val="21"/>
        </w:rPr>
        <w:t>in this context and the court </w:t>
      </w:r>
      <w:r>
        <w:rPr>
          <w:spacing w:val="-3"/>
          <w:sz w:val="21"/>
        </w:rPr>
        <w:t>will inquire  </w:t>
      </w:r>
      <w:r>
        <w:rPr>
          <w:sz w:val="21"/>
        </w:rPr>
        <w:t>whether the </w:t>
      </w:r>
      <w:r>
        <w:rPr>
          <w:spacing w:val="-3"/>
          <w:sz w:val="21"/>
        </w:rPr>
        <w:t>will-maker</w:t>
      </w:r>
      <w:r>
        <w:rPr>
          <w:spacing w:val="41"/>
          <w:sz w:val="21"/>
        </w:rPr>
        <w:t> </w:t>
      </w:r>
      <w:r>
        <w:rPr>
          <w:sz w:val="21"/>
        </w:rPr>
        <w:t>by their mode  of </w:t>
      </w:r>
      <w:r>
        <w:rPr>
          <w:spacing w:val="-4"/>
          <w:sz w:val="21"/>
        </w:rPr>
        <w:t>life, </w:t>
      </w:r>
      <w:r>
        <w:rPr>
          <w:sz w:val="21"/>
        </w:rPr>
        <w:t>or </w:t>
      </w:r>
      <w:r>
        <w:rPr>
          <w:spacing w:val="-3"/>
          <w:sz w:val="21"/>
        </w:rPr>
        <w:t>irrational  </w:t>
      </w:r>
      <w:r>
        <w:rPr>
          <w:sz w:val="21"/>
        </w:rPr>
        <w:t>actions, or other </w:t>
      </w:r>
      <w:r>
        <w:rPr>
          <w:spacing w:val="-3"/>
          <w:sz w:val="21"/>
        </w:rPr>
        <w:t>dealings</w:t>
      </w:r>
      <w:r>
        <w:rPr>
          <w:spacing w:val="41"/>
          <w:sz w:val="21"/>
        </w:rPr>
        <w:t> </w:t>
      </w:r>
      <w:r>
        <w:rPr>
          <w:sz w:val="21"/>
        </w:rPr>
        <w:t>with </w:t>
      </w:r>
      <w:r>
        <w:rPr>
          <w:spacing w:val="-3"/>
          <w:sz w:val="21"/>
        </w:rPr>
        <w:t>relatives,  </w:t>
      </w:r>
      <w:r>
        <w:rPr>
          <w:sz w:val="21"/>
        </w:rPr>
        <w:t>or </w:t>
      </w:r>
      <w:r>
        <w:rPr>
          <w:spacing w:val="-4"/>
          <w:sz w:val="21"/>
        </w:rPr>
        <w:t>failures  </w:t>
      </w:r>
      <w:r>
        <w:rPr>
          <w:spacing w:val="-3"/>
          <w:sz w:val="21"/>
        </w:rPr>
        <w:t>towards  relatives, </w:t>
      </w:r>
      <w:r>
        <w:rPr>
          <w:spacing w:val="-2"/>
          <w:sz w:val="21"/>
        </w:rPr>
        <w:t>has </w:t>
      </w:r>
      <w:r>
        <w:rPr>
          <w:sz w:val="21"/>
        </w:rPr>
        <w:t>caused the </w:t>
      </w:r>
      <w:r>
        <w:rPr>
          <w:spacing w:val="-3"/>
          <w:sz w:val="21"/>
        </w:rPr>
        <w:t>litigation to</w:t>
      </w:r>
      <w:r>
        <w:rPr>
          <w:spacing w:val="5"/>
          <w:sz w:val="21"/>
        </w:rPr>
        <w:t> </w:t>
      </w:r>
      <w:r>
        <w:rPr>
          <w:spacing w:val="-4"/>
          <w:sz w:val="21"/>
        </w:rPr>
        <w:t>occur.</w:t>
      </w:r>
      <w:r>
        <w:rPr>
          <w:spacing w:val="-4"/>
          <w:position w:val="7"/>
          <w:sz w:val="12"/>
        </w:rPr>
        <w:t>8</w:t>
      </w:r>
    </w:p>
    <w:p>
      <w:pPr>
        <w:pStyle w:val="ListParagraph"/>
        <w:numPr>
          <w:ilvl w:val="1"/>
          <w:numId w:val="152"/>
        </w:numPr>
        <w:tabs>
          <w:tab w:pos="2380" w:val="left" w:leader="none"/>
          <w:tab w:pos="2382" w:val="left" w:leader="none"/>
        </w:tabs>
        <w:spacing w:line="242" w:lineRule="auto" w:before="128" w:after="0"/>
        <w:ind w:left="2381" w:right="1622" w:hanging="794"/>
        <w:jc w:val="left"/>
        <w:rPr>
          <w:sz w:val="12"/>
        </w:rPr>
      </w:pPr>
      <w:r>
        <w:rPr>
          <w:w w:val="105"/>
          <w:sz w:val="21"/>
        </w:rPr>
        <w:t>If the </w:t>
      </w:r>
      <w:r>
        <w:rPr>
          <w:spacing w:val="-3"/>
          <w:w w:val="105"/>
          <w:sz w:val="21"/>
        </w:rPr>
        <w:t>circumstances </w:t>
      </w:r>
      <w:r>
        <w:rPr>
          <w:w w:val="105"/>
          <w:sz w:val="21"/>
        </w:rPr>
        <w:t>led </w:t>
      </w:r>
      <w:r>
        <w:rPr>
          <w:spacing w:val="-3"/>
          <w:w w:val="105"/>
          <w:sz w:val="21"/>
        </w:rPr>
        <w:t>reasonably to </w:t>
      </w:r>
      <w:r>
        <w:rPr>
          <w:w w:val="105"/>
          <w:sz w:val="21"/>
        </w:rPr>
        <w:t>an </w:t>
      </w:r>
      <w:r>
        <w:rPr>
          <w:spacing w:val="-3"/>
          <w:w w:val="105"/>
          <w:sz w:val="21"/>
        </w:rPr>
        <w:t>investigation concerning </w:t>
      </w:r>
      <w:r>
        <w:rPr>
          <w:w w:val="105"/>
          <w:sz w:val="21"/>
        </w:rPr>
        <w:t>the </w:t>
      </w:r>
      <w:r>
        <w:rPr>
          <w:spacing w:val="-3"/>
          <w:w w:val="105"/>
          <w:sz w:val="21"/>
        </w:rPr>
        <w:t>will-maker’s </w:t>
      </w:r>
      <w:r>
        <w:rPr>
          <w:w w:val="105"/>
          <w:sz w:val="21"/>
        </w:rPr>
        <w:t>will— </w:t>
      </w:r>
      <w:r>
        <w:rPr>
          <w:spacing w:val="-3"/>
          <w:w w:val="105"/>
          <w:sz w:val="21"/>
        </w:rPr>
        <w:t>that</w:t>
      </w:r>
      <w:r>
        <w:rPr>
          <w:spacing w:val="-4"/>
          <w:w w:val="105"/>
          <w:sz w:val="21"/>
        </w:rPr>
        <w:t> </w:t>
      </w:r>
      <w:r>
        <w:rPr>
          <w:w w:val="105"/>
          <w:sz w:val="21"/>
        </w:rPr>
        <w:t>is,</w:t>
      </w:r>
      <w:r>
        <w:rPr>
          <w:spacing w:val="-3"/>
          <w:w w:val="105"/>
          <w:sz w:val="21"/>
        </w:rPr>
        <w:t> to</w:t>
      </w:r>
      <w:r>
        <w:rPr>
          <w:spacing w:val="-4"/>
          <w:w w:val="105"/>
          <w:sz w:val="21"/>
        </w:rPr>
        <w:t> </w:t>
      </w:r>
      <w:r>
        <w:rPr>
          <w:w w:val="105"/>
          <w:sz w:val="21"/>
        </w:rPr>
        <w:t>an</w:t>
      </w:r>
      <w:r>
        <w:rPr>
          <w:spacing w:val="-3"/>
          <w:w w:val="105"/>
          <w:sz w:val="21"/>
        </w:rPr>
        <w:t> investigation</w:t>
      </w:r>
      <w:r>
        <w:rPr>
          <w:spacing w:val="-4"/>
          <w:w w:val="105"/>
          <w:sz w:val="21"/>
        </w:rPr>
        <w:t> </w:t>
      </w:r>
      <w:r>
        <w:rPr>
          <w:w w:val="105"/>
          <w:sz w:val="21"/>
        </w:rPr>
        <w:t>of</w:t>
      </w:r>
      <w:r>
        <w:rPr>
          <w:spacing w:val="-3"/>
          <w:w w:val="105"/>
          <w:sz w:val="21"/>
        </w:rPr>
        <w:t> </w:t>
      </w:r>
      <w:r>
        <w:rPr>
          <w:w w:val="105"/>
          <w:sz w:val="21"/>
        </w:rPr>
        <w:t>the</w:t>
      </w:r>
      <w:r>
        <w:rPr>
          <w:spacing w:val="-4"/>
          <w:w w:val="105"/>
          <w:sz w:val="21"/>
        </w:rPr>
        <w:t> </w:t>
      </w:r>
      <w:r>
        <w:rPr>
          <w:w w:val="105"/>
          <w:sz w:val="21"/>
        </w:rPr>
        <w:t>execution</w:t>
      </w:r>
      <w:r>
        <w:rPr>
          <w:spacing w:val="-3"/>
          <w:w w:val="105"/>
          <w:sz w:val="21"/>
        </w:rPr>
        <w:t> </w:t>
      </w:r>
      <w:r>
        <w:rPr>
          <w:w w:val="105"/>
          <w:sz w:val="21"/>
        </w:rPr>
        <w:t>of</w:t>
      </w:r>
      <w:r>
        <w:rPr>
          <w:spacing w:val="-4"/>
          <w:w w:val="105"/>
          <w:sz w:val="21"/>
        </w:rPr>
        <w:t> </w:t>
      </w:r>
      <w:r>
        <w:rPr>
          <w:w w:val="105"/>
          <w:sz w:val="21"/>
        </w:rPr>
        <w:t>the</w:t>
      </w:r>
      <w:r>
        <w:rPr>
          <w:spacing w:val="-3"/>
          <w:w w:val="105"/>
          <w:sz w:val="21"/>
        </w:rPr>
        <w:t> will</w:t>
      </w:r>
      <w:r>
        <w:rPr>
          <w:spacing w:val="-4"/>
          <w:w w:val="105"/>
          <w:sz w:val="21"/>
        </w:rPr>
        <w:t> </w:t>
      </w:r>
      <w:r>
        <w:rPr>
          <w:w w:val="105"/>
          <w:sz w:val="21"/>
        </w:rPr>
        <w:t>or</w:t>
      </w:r>
      <w:r>
        <w:rPr>
          <w:spacing w:val="-3"/>
          <w:w w:val="105"/>
          <w:sz w:val="21"/>
        </w:rPr>
        <w:t> </w:t>
      </w:r>
      <w:r>
        <w:rPr>
          <w:w w:val="105"/>
          <w:sz w:val="21"/>
        </w:rPr>
        <w:t>the</w:t>
      </w:r>
      <w:r>
        <w:rPr>
          <w:spacing w:val="-4"/>
          <w:w w:val="105"/>
          <w:sz w:val="21"/>
        </w:rPr>
        <w:t> </w:t>
      </w:r>
      <w:r>
        <w:rPr>
          <w:w w:val="105"/>
          <w:sz w:val="21"/>
        </w:rPr>
        <w:t>capacity</w:t>
      </w:r>
      <w:r>
        <w:rPr>
          <w:spacing w:val="-3"/>
          <w:w w:val="105"/>
          <w:sz w:val="21"/>
        </w:rPr>
        <w:t> </w:t>
      </w:r>
      <w:r>
        <w:rPr>
          <w:w w:val="105"/>
          <w:sz w:val="21"/>
        </w:rPr>
        <w:t>of</w:t>
      </w:r>
      <w:r>
        <w:rPr>
          <w:spacing w:val="-4"/>
          <w:w w:val="105"/>
          <w:sz w:val="21"/>
        </w:rPr>
        <w:t> </w:t>
      </w:r>
      <w:r>
        <w:rPr>
          <w:w w:val="105"/>
          <w:sz w:val="21"/>
        </w:rPr>
        <w:t>the</w:t>
      </w:r>
      <w:r>
        <w:rPr>
          <w:spacing w:val="-3"/>
          <w:w w:val="105"/>
          <w:sz w:val="21"/>
        </w:rPr>
        <w:t> </w:t>
      </w:r>
      <w:r>
        <w:rPr>
          <w:spacing w:val="-4"/>
          <w:w w:val="105"/>
          <w:sz w:val="21"/>
        </w:rPr>
        <w:t>will-maker, </w:t>
      </w:r>
      <w:r>
        <w:rPr>
          <w:w w:val="105"/>
          <w:sz w:val="21"/>
        </w:rPr>
        <w:t>or the</w:t>
      </w:r>
      <w:r>
        <w:rPr>
          <w:spacing w:val="-5"/>
          <w:w w:val="105"/>
          <w:sz w:val="21"/>
        </w:rPr>
        <w:t> </w:t>
      </w:r>
      <w:r>
        <w:rPr>
          <w:w w:val="105"/>
          <w:sz w:val="21"/>
        </w:rPr>
        <w:t>existence</w:t>
      </w:r>
      <w:r>
        <w:rPr>
          <w:spacing w:val="-5"/>
          <w:w w:val="105"/>
          <w:sz w:val="21"/>
        </w:rPr>
        <w:t> </w:t>
      </w:r>
      <w:r>
        <w:rPr>
          <w:w w:val="105"/>
          <w:sz w:val="21"/>
        </w:rPr>
        <w:t>of</w:t>
      </w:r>
      <w:r>
        <w:rPr>
          <w:spacing w:val="-5"/>
          <w:w w:val="105"/>
          <w:sz w:val="21"/>
        </w:rPr>
        <w:t> </w:t>
      </w:r>
      <w:r>
        <w:rPr>
          <w:spacing w:val="-3"/>
          <w:w w:val="105"/>
          <w:sz w:val="21"/>
        </w:rPr>
        <w:t>undue</w:t>
      </w:r>
      <w:r>
        <w:rPr>
          <w:spacing w:val="-5"/>
          <w:w w:val="105"/>
          <w:sz w:val="21"/>
        </w:rPr>
        <w:t> </w:t>
      </w:r>
      <w:r>
        <w:rPr>
          <w:spacing w:val="-3"/>
          <w:w w:val="105"/>
          <w:sz w:val="21"/>
        </w:rPr>
        <w:t>influence</w:t>
      </w:r>
      <w:r>
        <w:rPr>
          <w:spacing w:val="-5"/>
          <w:w w:val="105"/>
          <w:sz w:val="21"/>
        </w:rPr>
        <w:t> </w:t>
      </w:r>
      <w:r>
        <w:rPr>
          <w:w w:val="105"/>
          <w:sz w:val="21"/>
        </w:rPr>
        <w:t>or</w:t>
      </w:r>
      <w:r>
        <w:rPr>
          <w:spacing w:val="-4"/>
          <w:w w:val="105"/>
          <w:sz w:val="21"/>
        </w:rPr>
        <w:t> </w:t>
      </w:r>
      <w:r>
        <w:rPr>
          <w:w w:val="105"/>
          <w:sz w:val="21"/>
        </w:rPr>
        <w:t>fraud—there</w:t>
      </w:r>
      <w:r>
        <w:rPr>
          <w:spacing w:val="-5"/>
          <w:w w:val="105"/>
          <w:sz w:val="21"/>
        </w:rPr>
        <w:t> </w:t>
      </w:r>
      <w:r>
        <w:rPr>
          <w:spacing w:val="-3"/>
          <w:w w:val="105"/>
          <w:sz w:val="21"/>
        </w:rPr>
        <w:t>will</w:t>
      </w:r>
      <w:r>
        <w:rPr>
          <w:spacing w:val="-5"/>
          <w:w w:val="105"/>
          <w:sz w:val="21"/>
        </w:rPr>
        <w:t> </w:t>
      </w:r>
      <w:r>
        <w:rPr>
          <w:spacing w:val="-3"/>
          <w:w w:val="105"/>
          <w:sz w:val="21"/>
        </w:rPr>
        <w:t>usually</w:t>
      </w:r>
      <w:r>
        <w:rPr>
          <w:spacing w:val="-5"/>
          <w:w w:val="105"/>
          <w:sz w:val="21"/>
        </w:rPr>
        <w:t> </w:t>
      </w:r>
      <w:r>
        <w:rPr>
          <w:w w:val="105"/>
          <w:sz w:val="21"/>
        </w:rPr>
        <w:t>be</w:t>
      </w:r>
      <w:r>
        <w:rPr>
          <w:spacing w:val="-5"/>
          <w:w w:val="105"/>
          <w:sz w:val="21"/>
        </w:rPr>
        <w:t> </w:t>
      </w:r>
      <w:r>
        <w:rPr>
          <w:w w:val="105"/>
          <w:sz w:val="21"/>
        </w:rPr>
        <w:t>no</w:t>
      </w:r>
      <w:r>
        <w:rPr>
          <w:spacing w:val="-4"/>
          <w:w w:val="105"/>
          <w:sz w:val="21"/>
        </w:rPr>
        <w:t> </w:t>
      </w:r>
      <w:r>
        <w:rPr>
          <w:w w:val="105"/>
          <w:sz w:val="21"/>
        </w:rPr>
        <w:t>order</w:t>
      </w:r>
      <w:r>
        <w:rPr>
          <w:spacing w:val="-5"/>
          <w:w w:val="105"/>
          <w:sz w:val="21"/>
        </w:rPr>
        <w:t> </w:t>
      </w:r>
      <w:r>
        <w:rPr>
          <w:spacing w:val="-3"/>
          <w:w w:val="105"/>
          <w:sz w:val="21"/>
        </w:rPr>
        <w:t>for</w:t>
      </w:r>
      <w:r>
        <w:rPr>
          <w:spacing w:val="-5"/>
          <w:w w:val="105"/>
          <w:sz w:val="21"/>
        </w:rPr>
        <w:t> </w:t>
      </w:r>
      <w:r>
        <w:rPr>
          <w:w w:val="105"/>
          <w:sz w:val="21"/>
        </w:rPr>
        <w:t>costs</w:t>
      </w:r>
      <w:r>
        <w:rPr>
          <w:spacing w:val="-5"/>
          <w:w w:val="105"/>
          <w:sz w:val="21"/>
        </w:rPr>
        <w:t> </w:t>
      </w:r>
      <w:r>
        <w:rPr>
          <w:spacing w:val="-3"/>
          <w:w w:val="105"/>
          <w:sz w:val="21"/>
        </w:rPr>
        <w:t>against </w:t>
      </w:r>
      <w:r>
        <w:rPr>
          <w:w w:val="105"/>
          <w:sz w:val="21"/>
        </w:rPr>
        <w:t>the </w:t>
      </w:r>
      <w:r>
        <w:rPr>
          <w:spacing w:val="-3"/>
          <w:w w:val="105"/>
          <w:sz w:val="21"/>
        </w:rPr>
        <w:t>unsuccessful </w:t>
      </w:r>
      <w:r>
        <w:rPr>
          <w:w w:val="105"/>
          <w:sz w:val="21"/>
        </w:rPr>
        <w:t>party. The </w:t>
      </w:r>
      <w:r>
        <w:rPr>
          <w:spacing w:val="-3"/>
          <w:w w:val="105"/>
          <w:sz w:val="21"/>
        </w:rPr>
        <w:t>unsuccessful </w:t>
      </w:r>
      <w:r>
        <w:rPr>
          <w:w w:val="105"/>
          <w:sz w:val="21"/>
        </w:rPr>
        <w:t>party </w:t>
      </w:r>
      <w:r>
        <w:rPr>
          <w:spacing w:val="-3"/>
          <w:w w:val="105"/>
          <w:sz w:val="21"/>
        </w:rPr>
        <w:t>will, </w:t>
      </w:r>
      <w:r>
        <w:rPr>
          <w:w w:val="105"/>
          <w:sz w:val="21"/>
        </w:rPr>
        <w:t>in these </w:t>
      </w:r>
      <w:r>
        <w:rPr>
          <w:spacing w:val="-3"/>
          <w:w w:val="105"/>
          <w:sz w:val="21"/>
        </w:rPr>
        <w:t>circumstances, </w:t>
      </w:r>
      <w:r>
        <w:rPr>
          <w:w w:val="105"/>
          <w:sz w:val="21"/>
        </w:rPr>
        <w:t>be </w:t>
      </w:r>
      <w:r>
        <w:rPr>
          <w:spacing w:val="-3"/>
          <w:w w:val="105"/>
          <w:sz w:val="21"/>
        </w:rPr>
        <w:t>required to </w:t>
      </w:r>
      <w:r>
        <w:rPr>
          <w:spacing w:val="-2"/>
          <w:w w:val="105"/>
          <w:sz w:val="21"/>
        </w:rPr>
        <w:t>pay </w:t>
      </w:r>
      <w:r>
        <w:rPr>
          <w:w w:val="105"/>
          <w:sz w:val="21"/>
        </w:rPr>
        <w:t>their own costs but </w:t>
      </w:r>
      <w:r>
        <w:rPr>
          <w:spacing w:val="-3"/>
          <w:w w:val="105"/>
          <w:sz w:val="21"/>
        </w:rPr>
        <w:t>will </w:t>
      </w:r>
      <w:r>
        <w:rPr>
          <w:spacing w:val="-2"/>
          <w:w w:val="105"/>
          <w:sz w:val="21"/>
        </w:rPr>
        <w:t>not </w:t>
      </w:r>
      <w:r>
        <w:rPr>
          <w:w w:val="105"/>
          <w:sz w:val="21"/>
        </w:rPr>
        <w:t>be </w:t>
      </w:r>
      <w:r>
        <w:rPr>
          <w:spacing w:val="-3"/>
          <w:w w:val="105"/>
          <w:sz w:val="21"/>
        </w:rPr>
        <w:t>required to </w:t>
      </w:r>
      <w:r>
        <w:rPr>
          <w:spacing w:val="-2"/>
          <w:w w:val="105"/>
          <w:sz w:val="21"/>
        </w:rPr>
        <w:t>pay </w:t>
      </w:r>
      <w:r>
        <w:rPr>
          <w:w w:val="105"/>
          <w:sz w:val="21"/>
        </w:rPr>
        <w:t>the </w:t>
      </w:r>
      <w:r>
        <w:rPr>
          <w:spacing w:val="-3"/>
          <w:w w:val="105"/>
          <w:sz w:val="21"/>
        </w:rPr>
        <w:t>estate’s</w:t>
      </w:r>
      <w:r>
        <w:rPr>
          <w:w w:val="105"/>
          <w:sz w:val="21"/>
        </w:rPr>
        <w:t> costs.</w:t>
      </w:r>
      <w:r>
        <w:rPr>
          <w:w w:val="105"/>
          <w:position w:val="7"/>
          <w:sz w:val="12"/>
        </w:rPr>
        <w:t>9</w:t>
      </w:r>
    </w:p>
    <w:p>
      <w:pPr>
        <w:pStyle w:val="ListParagraph"/>
        <w:numPr>
          <w:ilvl w:val="1"/>
          <w:numId w:val="152"/>
        </w:numPr>
        <w:tabs>
          <w:tab w:pos="2380" w:val="left" w:leader="none"/>
          <w:tab w:pos="2381" w:val="left" w:leader="none"/>
        </w:tabs>
        <w:spacing w:line="242" w:lineRule="auto" w:before="126" w:after="0"/>
        <w:ind w:left="2380" w:right="1657" w:hanging="793"/>
        <w:jc w:val="left"/>
        <w:rPr>
          <w:sz w:val="12"/>
        </w:rPr>
      </w:pPr>
      <w:r>
        <w:rPr>
          <w:w w:val="105"/>
          <w:sz w:val="21"/>
        </w:rPr>
        <w:t>Where the </w:t>
      </w:r>
      <w:r>
        <w:rPr>
          <w:spacing w:val="-3"/>
          <w:w w:val="105"/>
          <w:sz w:val="21"/>
        </w:rPr>
        <w:t>unsuccessful </w:t>
      </w:r>
      <w:r>
        <w:rPr>
          <w:w w:val="105"/>
          <w:sz w:val="21"/>
        </w:rPr>
        <w:t>party does </w:t>
      </w:r>
      <w:r>
        <w:rPr>
          <w:spacing w:val="-2"/>
          <w:w w:val="105"/>
          <w:sz w:val="21"/>
        </w:rPr>
        <w:t>not </w:t>
      </w:r>
      <w:r>
        <w:rPr>
          <w:spacing w:val="-3"/>
          <w:w w:val="105"/>
          <w:sz w:val="21"/>
        </w:rPr>
        <w:t>have </w:t>
      </w:r>
      <w:r>
        <w:rPr>
          <w:w w:val="105"/>
          <w:sz w:val="21"/>
        </w:rPr>
        <w:t>the </w:t>
      </w:r>
      <w:r>
        <w:rPr>
          <w:spacing w:val="-3"/>
          <w:w w:val="105"/>
          <w:sz w:val="21"/>
        </w:rPr>
        <w:t>means to </w:t>
      </w:r>
      <w:r>
        <w:rPr>
          <w:spacing w:val="-2"/>
          <w:w w:val="105"/>
          <w:sz w:val="21"/>
        </w:rPr>
        <w:t>pay </w:t>
      </w:r>
      <w:r>
        <w:rPr>
          <w:w w:val="105"/>
          <w:sz w:val="21"/>
        </w:rPr>
        <w:t>the </w:t>
      </w:r>
      <w:r>
        <w:rPr>
          <w:spacing w:val="-3"/>
          <w:w w:val="105"/>
          <w:sz w:val="21"/>
        </w:rPr>
        <w:t>estate’s </w:t>
      </w:r>
      <w:r>
        <w:rPr>
          <w:w w:val="105"/>
          <w:sz w:val="21"/>
        </w:rPr>
        <w:t>costs, the court </w:t>
      </w:r>
      <w:r>
        <w:rPr>
          <w:spacing w:val="-3"/>
          <w:w w:val="105"/>
          <w:sz w:val="21"/>
        </w:rPr>
        <w:t>may </w:t>
      </w:r>
      <w:r>
        <w:rPr>
          <w:w w:val="105"/>
          <w:sz w:val="21"/>
        </w:rPr>
        <w:t>decide </w:t>
      </w:r>
      <w:r>
        <w:rPr>
          <w:spacing w:val="-2"/>
          <w:w w:val="105"/>
          <w:sz w:val="21"/>
        </w:rPr>
        <w:t>not </w:t>
      </w:r>
      <w:r>
        <w:rPr>
          <w:spacing w:val="-3"/>
          <w:w w:val="105"/>
          <w:sz w:val="21"/>
        </w:rPr>
        <w:t>to </w:t>
      </w:r>
      <w:r>
        <w:rPr>
          <w:spacing w:val="-4"/>
          <w:w w:val="105"/>
          <w:sz w:val="21"/>
        </w:rPr>
        <w:t>make </w:t>
      </w:r>
      <w:r>
        <w:rPr>
          <w:w w:val="105"/>
          <w:sz w:val="21"/>
        </w:rPr>
        <w:t>a costs order </w:t>
      </w:r>
      <w:r>
        <w:rPr>
          <w:spacing w:val="-3"/>
          <w:w w:val="105"/>
          <w:sz w:val="21"/>
        </w:rPr>
        <w:t>against </w:t>
      </w:r>
      <w:r>
        <w:rPr>
          <w:w w:val="105"/>
          <w:sz w:val="21"/>
        </w:rPr>
        <w:t>the </w:t>
      </w:r>
      <w:r>
        <w:rPr>
          <w:spacing w:val="-3"/>
          <w:w w:val="105"/>
          <w:sz w:val="21"/>
        </w:rPr>
        <w:t>unsuccessful </w:t>
      </w:r>
      <w:r>
        <w:rPr>
          <w:w w:val="105"/>
          <w:sz w:val="21"/>
        </w:rPr>
        <w:t>party on the </w:t>
      </w:r>
      <w:r>
        <w:rPr>
          <w:spacing w:val="-3"/>
          <w:w w:val="105"/>
          <w:sz w:val="21"/>
        </w:rPr>
        <w:t>ground that to </w:t>
      </w:r>
      <w:r>
        <w:rPr>
          <w:w w:val="105"/>
          <w:sz w:val="21"/>
        </w:rPr>
        <w:t>do so would be </w:t>
      </w:r>
      <w:r>
        <w:rPr>
          <w:spacing w:val="-3"/>
          <w:w w:val="105"/>
          <w:sz w:val="21"/>
        </w:rPr>
        <w:t>futile </w:t>
      </w:r>
      <w:r>
        <w:rPr>
          <w:w w:val="105"/>
          <w:sz w:val="21"/>
        </w:rPr>
        <w:t>or ‘wholly</w:t>
      </w:r>
      <w:r>
        <w:rPr>
          <w:spacing w:val="2"/>
          <w:w w:val="105"/>
          <w:sz w:val="21"/>
        </w:rPr>
        <w:t> </w:t>
      </w:r>
      <w:r>
        <w:rPr>
          <w:spacing w:val="-5"/>
          <w:w w:val="105"/>
          <w:sz w:val="21"/>
        </w:rPr>
        <w:t>symbolic’.</w:t>
      </w:r>
      <w:r>
        <w:rPr>
          <w:spacing w:val="-5"/>
          <w:w w:val="105"/>
          <w:position w:val="7"/>
          <w:sz w:val="12"/>
        </w:rPr>
        <w:t>10</w:t>
      </w:r>
    </w:p>
    <w:p>
      <w:pPr>
        <w:pStyle w:val="ListParagraph"/>
        <w:numPr>
          <w:ilvl w:val="1"/>
          <w:numId w:val="152"/>
        </w:numPr>
        <w:tabs>
          <w:tab w:pos="2381" w:val="left" w:leader="none"/>
          <w:tab w:pos="2382" w:val="left" w:leader="none"/>
        </w:tabs>
        <w:spacing w:line="242" w:lineRule="auto" w:before="123" w:after="0"/>
        <w:ind w:left="2381" w:right="2039" w:hanging="794"/>
        <w:jc w:val="left"/>
        <w:rPr>
          <w:sz w:val="21"/>
        </w:rPr>
      </w:pPr>
      <w:r>
        <w:rPr>
          <w:spacing w:val="-3"/>
          <w:w w:val="105"/>
          <w:sz w:val="21"/>
        </w:rPr>
        <w:t>Even </w:t>
      </w:r>
      <w:r>
        <w:rPr>
          <w:w w:val="105"/>
          <w:sz w:val="21"/>
        </w:rPr>
        <w:t>if a party is </w:t>
      </w:r>
      <w:r>
        <w:rPr>
          <w:spacing w:val="-3"/>
          <w:w w:val="105"/>
          <w:sz w:val="21"/>
        </w:rPr>
        <w:t>ultimately successful </w:t>
      </w:r>
      <w:r>
        <w:rPr>
          <w:w w:val="105"/>
          <w:sz w:val="21"/>
        </w:rPr>
        <w:t>in </w:t>
      </w:r>
      <w:r>
        <w:rPr>
          <w:spacing w:val="-3"/>
          <w:w w:val="105"/>
          <w:sz w:val="21"/>
        </w:rPr>
        <w:t>challenging </w:t>
      </w:r>
      <w:r>
        <w:rPr>
          <w:w w:val="105"/>
          <w:sz w:val="21"/>
        </w:rPr>
        <w:t>the validity of a </w:t>
      </w:r>
      <w:r>
        <w:rPr>
          <w:spacing w:val="-3"/>
          <w:w w:val="105"/>
          <w:sz w:val="21"/>
        </w:rPr>
        <w:t>will, </w:t>
      </w:r>
      <w:r>
        <w:rPr>
          <w:w w:val="105"/>
          <w:sz w:val="21"/>
        </w:rPr>
        <w:t>if </w:t>
      </w:r>
      <w:r>
        <w:rPr>
          <w:spacing w:val="-3"/>
          <w:w w:val="105"/>
          <w:sz w:val="21"/>
        </w:rPr>
        <w:t>grounds </w:t>
      </w:r>
      <w:r>
        <w:rPr>
          <w:w w:val="105"/>
          <w:sz w:val="21"/>
        </w:rPr>
        <w:t>of the </w:t>
      </w:r>
      <w:r>
        <w:rPr>
          <w:spacing w:val="-3"/>
          <w:w w:val="105"/>
          <w:sz w:val="21"/>
        </w:rPr>
        <w:t>challenge included undue influence </w:t>
      </w:r>
      <w:r>
        <w:rPr>
          <w:w w:val="105"/>
          <w:sz w:val="21"/>
        </w:rPr>
        <w:t>or </w:t>
      </w:r>
      <w:r>
        <w:rPr>
          <w:spacing w:val="-3"/>
          <w:w w:val="105"/>
          <w:sz w:val="21"/>
        </w:rPr>
        <w:t>fraud </w:t>
      </w:r>
      <w:r>
        <w:rPr>
          <w:w w:val="105"/>
          <w:sz w:val="21"/>
        </w:rPr>
        <w:t>and the party was </w:t>
      </w:r>
      <w:r>
        <w:rPr>
          <w:spacing w:val="-3"/>
          <w:w w:val="105"/>
          <w:sz w:val="21"/>
        </w:rPr>
        <w:t>unsuccessful</w:t>
      </w:r>
      <w:r>
        <w:rPr>
          <w:spacing w:val="16"/>
          <w:w w:val="105"/>
          <w:sz w:val="21"/>
        </w:rPr>
        <w:t> </w:t>
      </w:r>
      <w:r>
        <w:rPr>
          <w:w w:val="105"/>
          <w:sz w:val="21"/>
        </w:rPr>
        <w:t>in</w:t>
      </w:r>
    </w:p>
    <w:p>
      <w:pPr>
        <w:pStyle w:val="BodyText"/>
        <w:spacing w:line="242" w:lineRule="auto" w:before="2"/>
        <w:ind w:left="2381" w:right="1826"/>
        <w:rPr>
          <w:sz w:val="12"/>
        </w:rPr>
      </w:pPr>
      <w:r>
        <w:rPr>
          <w:spacing w:val="-3"/>
        </w:rPr>
        <w:t>establishing undue  influence  </w:t>
      </w:r>
      <w:r>
        <w:rPr/>
        <w:t>or </w:t>
      </w:r>
      <w:r>
        <w:rPr>
          <w:spacing w:val="-3"/>
        </w:rPr>
        <w:t>fraud</w:t>
      </w:r>
      <w:r>
        <w:rPr>
          <w:spacing w:val="41"/>
        </w:rPr>
        <w:t> </w:t>
      </w:r>
      <w:r>
        <w:rPr/>
        <w:t>(as the case </w:t>
      </w:r>
      <w:r>
        <w:rPr>
          <w:spacing w:val="-3"/>
        </w:rPr>
        <w:t>may  </w:t>
      </w:r>
      <w:r>
        <w:rPr/>
        <w:t>be), they </w:t>
      </w:r>
      <w:r>
        <w:rPr>
          <w:spacing w:val="-3"/>
        </w:rPr>
        <w:t>will  usually  </w:t>
      </w:r>
      <w:r>
        <w:rPr/>
        <w:t>be ordered </w:t>
      </w:r>
      <w:r>
        <w:rPr>
          <w:spacing w:val="-3"/>
        </w:rPr>
        <w:t>to </w:t>
      </w:r>
      <w:r>
        <w:rPr>
          <w:spacing w:val="-2"/>
        </w:rPr>
        <w:t>pay </w:t>
      </w:r>
      <w:r>
        <w:rPr/>
        <w:t>the costs of the estate </w:t>
      </w:r>
      <w:r>
        <w:rPr>
          <w:spacing w:val="-3"/>
        </w:rPr>
        <w:t>incurred </w:t>
      </w:r>
      <w:r>
        <w:rPr/>
        <w:t>in </w:t>
      </w:r>
      <w:r>
        <w:rPr>
          <w:spacing w:val="-3"/>
        </w:rPr>
        <w:t>relation to </w:t>
      </w:r>
      <w:r>
        <w:rPr/>
        <w:t>these issues. A party </w:t>
      </w:r>
      <w:r>
        <w:rPr>
          <w:spacing w:val="-3"/>
        </w:rPr>
        <w:t>alleging undue influence </w:t>
      </w:r>
      <w:r>
        <w:rPr/>
        <w:t>or </w:t>
      </w:r>
      <w:r>
        <w:rPr>
          <w:spacing w:val="-3"/>
        </w:rPr>
        <w:t>fraud </w:t>
      </w:r>
      <w:r>
        <w:rPr/>
        <w:t>must </w:t>
      </w:r>
      <w:r>
        <w:rPr>
          <w:spacing w:val="-3"/>
        </w:rPr>
        <w:t>prove </w:t>
      </w:r>
      <w:r>
        <w:rPr/>
        <w:t>it and otherwise </w:t>
      </w:r>
      <w:r>
        <w:rPr>
          <w:spacing w:val="-3"/>
        </w:rPr>
        <w:t>will </w:t>
      </w:r>
      <w:r>
        <w:rPr/>
        <w:t>be at risk of </w:t>
      </w:r>
      <w:r>
        <w:rPr>
          <w:spacing w:val="-3"/>
        </w:rPr>
        <w:t>having to </w:t>
      </w:r>
      <w:r>
        <w:rPr>
          <w:spacing w:val="-2"/>
        </w:rPr>
        <w:t>pay</w:t>
      </w:r>
      <w:r>
        <w:rPr>
          <w:spacing w:val="25"/>
        </w:rPr>
        <w:t> </w:t>
      </w:r>
      <w:r>
        <w:rPr>
          <w:spacing w:val="-7"/>
        </w:rPr>
        <w:t>costs.</w:t>
      </w:r>
      <w:r>
        <w:rPr>
          <w:spacing w:val="-7"/>
          <w:position w:val="7"/>
          <w:sz w:val="12"/>
        </w:rPr>
        <w:t>11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2"/>
        </w:rPr>
      </w:pPr>
      <w:r>
        <w:rPr/>
        <w:pict>
          <v:line style="position:absolute;mso-position-horizontal-relative:page;mso-position-vertical-relative:paragraph;z-index:12824;mso-wrap-distance-left:0;mso-wrap-distance-right:0" from="79.370102pt,16.173838pt" to="515.905102pt,16.173838pt" stroked="true" strokeweight="1pt" strokecolor="#f9ceca">
            <v:stroke dashstyle="solid"/>
            <w10:wrap type="topAndBottom"/>
          </v:line>
        </w:pict>
      </w:r>
    </w:p>
    <w:p>
      <w:pPr>
        <w:pStyle w:val="BodyText"/>
        <w:spacing w:before="8"/>
        <w:rPr>
          <w:sz w:val="5"/>
        </w:rPr>
      </w:pPr>
    </w:p>
    <w:p>
      <w:pPr>
        <w:spacing w:after="0"/>
        <w:rPr>
          <w:sz w:val="5"/>
        </w:rPr>
        <w:sectPr>
          <w:pgSz w:w="11910" w:h="16840"/>
          <w:pgMar w:header="550" w:footer="0" w:top="1560" w:bottom="280" w:left="0" w:right="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2"/>
        <w:rPr>
          <w:sz w:val="25"/>
        </w:rPr>
      </w:pPr>
    </w:p>
    <w:p>
      <w:pPr>
        <w:spacing w:before="0"/>
        <w:ind w:left="720" w:right="0" w:firstLine="0"/>
        <w:jc w:val="left"/>
        <w:rPr>
          <w:b/>
          <w:sz w:val="24"/>
        </w:rPr>
      </w:pPr>
      <w:r>
        <w:rPr>
          <w:b/>
          <w:color w:val="EC5A4F"/>
          <w:spacing w:val="-9"/>
          <w:w w:val="110"/>
          <w:sz w:val="24"/>
        </w:rPr>
        <w:t>214</w:t>
      </w:r>
    </w:p>
    <w:p>
      <w:pPr>
        <w:pStyle w:val="ListParagraph"/>
        <w:numPr>
          <w:ilvl w:val="0"/>
          <w:numId w:val="153"/>
        </w:numPr>
        <w:tabs>
          <w:tab w:pos="1245" w:val="left" w:leader="none"/>
          <w:tab w:pos="1246" w:val="left" w:leader="none"/>
        </w:tabs>
        <w:spacing w:line="240" w:lineRule="auto" w:before="48" w:after="0"/>
        <w:ind w:left="1245" w:right="0" w:hanging="793"/>
        <w:jc w:val="left"/>
        <w:rPr>
          <w:sz w:val="13"/>
        </w:rPr>
      </w:pPr>
      <w:r>
        <w:rPr>
          <w:spacing w:val="2"/>
          <w:w w:val="108"/>
          <w:sz w:val="13"/>
        </w:rPr>
        <w:br w:type="column"/>
      </w:r>
      <w:r>
        <w:rPr>
          <w:w w:val="105"/>
          <w:sz w:val="13"/>
        </w:rPr>
        <w:t>See,</w:t>
      </w:r>
      <w:r>
        <w:rPr>
          <w:spacing w:val="4"/>
          <w:w w:val="105"/>
          <w:sz w:val="13"/>
        </w:rPr>
        <w:t> </w:t>
      </w:r>
      <w:r>
        <w:rPr>
          <w:w w:val="105"/>
          <w:sz w:val="13"/>
        </w:rPr>
        <w:t>eg,</w:t>
      </w:r>
      <w:r>
        <w:rPr>
          <w:spacing w:val="5"/>
          <w:w w:val="105"/>
          <w:sz w:val="13"/>
        </w:rPr>
        <w:t> </w:t>
      </w:r>
      <w:r>
        <w:rPr>
          <w:i/>
          <w:w w:val="105"/>
          <w:sz w:val="13"/>
        </w:rPr>
        <w:t>Klement</w:t>
      </w:r>
      <w:r>
        <w:rPr>
          <w:i/>
          <w:spacing w:val="4"/>
          <w:w w:val="105"/>
          <w:sz w:val="13"/>
        </w:rPr>
        <w:t> </w:t>
      </w:r>
      <w:r>
        <w:rPr>
          <w:i/>
          <w:w w:val="105"/>
          <w:sz w:val="13"/>
        </w:rPr>
        <w:t>v</w:t>
      </w:r>
      <w:r>
        <w:rPr>
          <w:i/>
          <w:spacing w:val="4"/>
          <w:w w:val="105"/>
          <w:sz w:val="13"/>
        </w:rPr>
        <w:t> </w:t>
      </w:r>
      <w:r>
        <w:rPr>
          <w:i/>
          <w:w w:val="105"/>
          <w:sz w:val="13"/>
        </w:rPr>
        <w:t>Randles</w:t>
      </w:r>
      <w:r>
        <w:rPr>
          <w:i/>
          <w:spacing w:val="4"/>
          <w:w w:val="105"/>
          <w:sz w:val="13"/>
        </w:rPr>
        <w:t> </w:t>
      </w:r>
      <w:r>
        <w:rPr>
          <w:i/>
          <w:spacing w:val="3"/>
          <w:w w:val="105"/>
          <w:sz w:val="13"/>
        </w:rPr>
        <w:t>(No</w:t>
      </w:r>
      <w:r>
        <w:rPr>
          <w:i/>
          <w:spacing w:val="4"/>
          <w:w w:val="105"/>
          <w:sz w:val="13"/>
        </w:rPr>
        <w:t> </w:t>
      </w:r>
      <w:r>
        <w:rPr>
          <w:i/>
          <w:w w:val="105"/>
          <w:sz w:val="13"/>
        </w:rPr>
        <w:t>2)</w:t>
      </w:r>
      <w:r>
        <w:rPr>
          <w:i/>
          <w:spacing w:val="5"/>
          <w:w w:val="105"/>
          <w:sz w:val="13"/>
        </w:rPr>
        <w:t> </w:t>
      </w:r>
      <w:r>
        <w:rPr>
          <w:w w:val="105"/>
          <w:sz w:val="13"/>
        </w:rPr>
        <w:t>[2010]</w:t>
      </w:r>
      <w:r>
        <w:rPr>
          <w:spacing w:val="5"/>
          <w:w w:val="105"/>
          <w:sz w:val="13"/>
        </w:rPr>
        <w:t> </w:t>
      </w:r>
      <w:r>
        <w:rPr>
          <w:w w:val="105"/>
          <w:sz w:val="13"/>
        </w:rPr>
        <w:t>VSCA</w:t>
      </w:r>
      <w:r>
        <w:rPr>
          <w:spacing w:val="4"/>
          <w:w w:val="105"/>
          <w:sz w:val="13"/>
        </w:rPr>
        <w:t> </w:t>
      </w:r>
      <w:r>
        <w:rPr>
          <w:w w:val="105"/>
          <w:sz w:val="13"/>
        </w:rPr>
        <w:t>336</w:t>
      </w:r>
      <w:r>
        <w:rPr>
          <w:spacing w:val="5"/>
          <w:w w:val="105"/>
          <w:sz w:val="13"/>
        </w:rPr>
        <w:t> </w:t>
      </w:r>
      <w:r>
        <w:rPr>
          <w:spacing w:val="-3"/>
          <w:w w:val="105"/>
          <w:sz w:val="13"/>
        </w:rPr>
        <w:t>(17</w:t>
      </w:r>
      <w:r>
        <w:rPr>
          <w:spacing w:val="5"/>
          <w:w w:val="105"/>
          <w:sz w:val="13"/>
        </w:rPr>
        <w:t> </w:t>
      </w:r>
      <w:r>
        <w:rPr>
          <w:w w:val="105"/>
          <w:sz w:val="13"/>
        </w:rPr>
        <w:t>December</w:t>
      </w:r>
      <w:r>
        <w:rPr>
          <w:spacing w:val="5"/>
          <w:w w:val="105"/>
          <w:sz w:val="13"/>
        </w:rPr>
        <w:t> </w:t>
      </w:r>
      <w:r>
        <w:rPr>
          <w:w w:val="105"/>
          <w:sz w:val="13"/>
        </w:rPr>
        <w:t>2010)</w:t>
      </w:r>
      <w:r>
        <w:rPr>
          <w:spacing w:val="5"/>
          <w:w w:val="105"/>
          <w:sz w:val="13"/>
        </w:rPr>
        <w:t> </w:t>
      </w:r>
      <w:r>
        <w:rPr>
          <w:w w:val="105"/>
          <w:sz w:val="13"/>
        </w:rPr>
        <w:t>[21].</w:t>
      </w:r>
    </w:p>
    <w:p>
      <w:pPr>
        <w:pStyle w:val="ListParagraph"/>
        <w:numPr>
          <w:ilvl w:val="0"/>
          <w:numId w:val="153"/>
        </w:numPr>
        <w:tabs>
          <w:tab w:pos="1245" w:val="left" w:leader="none"/>
          <w:tab w:pos="1246" w:val="left" w:leader="none"/>
        </w:tabs>
        <w:spacing w:line="240" w:lineRule="auto" w:before="1" w:after="0"/>
        <w:ind w:left="1245" w:right="0" w:hanging="793"/>
        <w:jc w:val="left"/>
        <w:rPr>
          <w:sz w:val="13"/>
        </w:rPr>
      </w:pPr>
      <w:r>
        <w:rPr>
          <w:sz w:val="13"/>
        </w:rPr>
        <w:t>Ibid.</w:t>
      </w:r>
    </w:p>
    <w:p>
      <w:pPr>
        <w:pStyle w:val="ListParagraph"/>
        <w:numPr>
          <w:ilvl w:val="0"/>
          <w:numId w:val="153"/>
        </w:numPr>
        <w:tabs>
          <w:tab w:pos="1245" w:val="left" w:leader="none"/>
          <w:tab w:pos="1246" w:val="left" w:leader="none"/>
        </w:tabs>
        <w:spacing w:line="240" w:lineRule="auto" w:before="2" w:after="0"/>
        <w:ind w:left="1245" w:right="0" w:hanging="793"/>
        <w:jc w:val="left"/>
        <w:rPr>
          <w:sz w:val="13"/>
        </w:rPr>
      </w:pPr>
      <w:r>
        <w:rPr>
          <w:sz w:val="13"/>
        </w:rPr>
        <w:t>Ibid.</w:t>
      </w:r>
    </w:p>
    <w:p>
      <w:pPr>
        <w:pStyle w:val="ListParagraph"/>
        <w:numPr>
          <w:ilvl w:val="0"/>
          <w:numId w:val="153"/>
        </w:numPr>
        <w:tabs>
          <w:tab w:pos="1245" w:val="left" w:leader="none"/>
          <w:tab w:pos="1246" w:val="left" w:leader="none"/>
        </w:tabs>
        <w:spacing w:line="240" w:lineRule="auto" w:before="1" w:after="0"/>
        <w:ind w:left="1245" w:right="1594" w:hanging="793"/>
        <w:jc w:val="left"/>
        <w:rPr>
          <w:sz w:val="13"/>
        </w:rPr>
      </w:pPr>
      <w:r>
        <w:rPr>
          <w:i/>
          <w:sz w:val="13"/>
        </w:rPr>
        <w:t>Gray v Hart </w:t>
      </w:r>
      <w:r>
        <w:rPr>
          <w:i/>
          <w:spacing w:val="3"/>
          <w:sz w:val="13"/>
        </w:rPr>
        <w:t>(No </w:t>
      </w:r>
      <w:r>
        <w:rPr>
          <w:i/>
          <w:sz w:val="13"/>
        </w:rPr>
        <w:t>2) </w:t>
      </w:r>
      <w:r>
        <w:rPr>
          <w:sz w:val="13"/>
        </w:rPr>
        <w:t>[2012] NSWSC 156 </w:t>
      </w:r>
      <w:r>
        <w:rPr>
          <w:spacing w:val="-5"/>
          <w:sz w:val="13"/>
        </w:rPr>
        <w:t>(11 </w:t>
      </w:r>
      <w:r>
        <w:rPr>
          <w:sz w:val="13"/>
        </w:rPr>
        <w:t>December 2012)  [27],  and  the  authorities  discussed  by  Justice  White.  Beneficiaries  whose  conduct was largely  responsible  for  the  creation  of  suspicious  circumstances  which  led  to  an  investigation  of  the  will-maker’s  knowledge  and approval of the will, may be required to meet the unsuccessful party’s costs out of their benefits: see </w:t>
      </w:r>
      <w:r>
        <w:rPr>
          <w:i/>
          <w:sz w:val="13"/>
        </w:rPr>
        <w:t>Nock v Austin </w:t>
      </w:r>
      <w:r>
        <w:rPr>
          <w:sz w:val="13"/>
        </w:rPr>
        <w:t>(1918) 25 CLR </w:t>
      </w:r>
      <w:r>
        <w:rPr>
          <w:spacing w:val="-4"/>
          <w:sz w:val="13"/>
        </w:rPr>
        <w:t>519,  </w:t>
      </w:r>
      <w:r>
        <w:rPr>
          <w:sz w:val="13"/>
        </w:rPr>
        <w:t>529;           </w:t>
      </w:r>
      <w:r>
        <w:rPr>
          <w:i/>
          <w:sz w:val="13"/>
        </w:rPr>
        <w:t>Trust Co of Australia Ltd v Daulizio </w:t>
      </w:r>
      <w:r>
        <w:rPr>
          <w:spacing w:val="3"/>
          <w:sz w:val="13"/>
        </w:rPr>
        <w:t>(No </w:t>
      </w:r>
      <w:r>
        <w:rPr>
          <w:sz w:val="13"/>
        </w:rPr>
        <w:t>2) [2003] VSC 381 </w:t>
      </w:r>
      <w:r>
        <w:rPr>
          <w:spacing w:val="-2"/>
          <w:sz w:val="13"/>
        </w:rPr>
        <w:t>(10  </w:t>
      </w:r>
      <w:r>
        <w:rPr>
          <w:sz w:val="13"/>
        </w:rPr>
        <w:t>October </w:t>
      </w:r>
      <w:r>
        <w:rPr>
          <w:spacing w:val="2"/>
          <w:sz w:val="13"/>
        </w:rPr>
        <w:t>2003), </w:t>
      </w:r>
      <w:r>
        <w:rPr>
          <w:sz w:val="13"/>
        </w:rPr>
        <w:t>upheld on appeal in </w:t>
      </w:r>
      <w:r>
        <w:rPr>
          <w:i/>
          <w:sz w:val="13"/>
        </w:rPr>
        <w:t>Daulizio v Trust Co of Australia Ltd </w:t>
      </w:r>
      <w:r>
        <w:rPr>
          <w:sz w:val="13"/>
        </w:rPr>
        <w:t>[2005]           VSCA</w:t>
      </w:r>
      <w:r>
        <w:rPr>
          <w:spacing w:val="9"/>
          <w:sz w:val="13"/>
        </w:rPr>
        <w:t> </w:t>
      </w:r>
      <w:r>
        <w:rPr>
          <w:spacing w:val="-4"/>
          <w:sz w:val="13"/>
        </w:rPr>
        <w:t>215</w:t>
      </w:r>
      <w:r>
        <w:rPr>
          <w:spacing w:val="9"/>
          <w:sz w:val="13"/>
        </w:rPr>
        <w:t> </w:t>
      </w:r>
      <w:r>
        <w:rPr>
          <w:sz w:val="13"/>
        </w:rPr>
        <w:t>(1</w:t>
      </w:r>
      <w:r>
        <w:rPr>
          <w:spacing w:val="10"/>
          <w:sz w:val="13"/>
        </w:rPr>
        <w:t> </w:t>
      </w:r>
      <w:r>
        <w:rPr>
          <w:sz w:val="13"/>
        </w:rPr>
        <w:t>September</w:t>
      </w:r>
      <w:r>
        <w:rPr>
          <w:spacing w:val="9"/>
          <w:sz w:val="13"/>
        </w:rPr>
        <w:t> </w:t>
      </w:r>
      <w:r>
        <w:rPr>
          <w:sz w:val="13"/>
        </w:rPr>
        <w:t>2005)</w:t>
      </w:r>
      <w:r>
        <w:rPr>
          <w:spacing w:val="10"/>
          <w:sz w:val="13"/>
        </w:rPr>
        <w:t> </w:t>
      </w:r>
      <w:r>
        <w:rPr>
          <w:spacing w:val="2"/>
          <w:sz w:val="13"/>
        </w:rPr>
        <w:t>(Nettle</w:t>
      </w:r>
      <w:r>
        <w:rPr>
          <w:spacing w:val="9"/>
          <w:sz w:val="13"/>
        </w:rPr>
        <w:t> </w:t>
      </w:r>
      <w:r>
        <w:rPr>
          <w:sz w:val="13"/>
        </w:rPr>
        <w:t>JA,</w:t>
      </w:r>
      <w:r>
        <w:rPr>
          <w:spacing w:val="10"/>
          <w:sz w:val="13"/>
        </w:rPr>
        <w:t> </w:t>
      </w:r>
      <w:r>
        <w:rPr>
          <w:sz w:val="13"/>
        </w:rPr>
        <w:t>Chernov</w:t>
      </w:r>
      <w:r>
        <w:rPr>
          <w:spacing w:val="9"/>
          <w:sz w:val="13"/>
        </w:rPr>
        <w:t> </w:t>
      </w:r>
      <w:r>
        <w:rPr>
          <w:sz w:val="13"/>
        </w:rPr>
        <w:t>JA</w:t>
      </w:r>
      <w:r>
        <w:rPr>
          <w:spacing w:val="10"/>
          <w:sz w:val="13"/>
        </w:rPr>
        <w:t> </w:t>
      </w:r>
      <w:r>
        <w:rPr>
          <w:sz w:val="13"/>
        </w:rPr>
        <w:t>and</w:t>
      </w:r>
      <w:r>
        <w:rPr>
          <w:spacing w:val="9"/>
          <w:sz w:val="13"/>
        </w:rPr>
        <w:t> </w:t>
      </w:r>
      <w:r>
        <w:rPr>
          <w:sz w:val="13"/>
        </w:rPr>
        <w:t>Hollingworth</w:t>
      </w:r>
      <w:r>
        <w:rPr>
          <w:spacing w:val="10"/>
          <w:sz w:val="13"/>
        </w:rPr>
        <w:t> </w:t>
      </w:r>
      <w:r>
        <w:rPr>
          <w:spacing w:val="2"/>
          <w:sz w:val="13"/>
        </w:rPr>
        <w:t>AJA</w:t>
      </w:r>
      <w:r>
        <w:rPr>
          <w:spacing w:val="9"/>
          <w:sz w:val="13"/>
        </w:rPr>
        <w:t> </w:t>
      </w:r>
      <w:r>
        <w:rPr>
          <w:sz w:val="13"/>
        </w:rPr>
        <w:t>agreeing).</w:t>
      </w:r>
    </w:p>
    <w:p>
      <w:pPr>
        <w:pStyle w:val="ListParagraph"/>
        <w:numPr>
          <w:ilvl w:val="0"/>
          <w:numId w:val="153"/>
        </w:numPr>
        <w:tabs>
          <w:tab w:pos="1245" w:val="left" w:leader="none"/>
          <w:tab w:pos="1246" w:val="left" w:leader="none"/>
        </w:tabs>
        <w:spacing w:line="240" w:lineRule="auto" w:before="7" w:after="0"/>
        <w:ind w:left="1245" w:right="1644" w:hanging="793"/>
        <w:jc w:val="left"/>
        <w:rPr>
          <w:sz w:val="13"/>
        </w:rPr>
      </w:pPr>
      <w:r>
        <w:rPr>
          <w:w w:val="105"/>
          <w:sz w:val="13"/>
        </w:rPr>
        <w:t>See again the discussion of the authorities by Justice White in </w:t>
      </w:r>
      <w:r>
        <w:rPr>
          <w:i/>
          <w:w w:val="105"/>
          <w:sz w:val="13"/>
        </w:rPr>
        <w:t>Gray v Hart </w:t>
      </w:r>
      <w:r>
        <w:rPr>
          <w:spacing w:val="3"/>
          <w:w w:val="105"/>
          <w:sz w:val="13"/>
        </w:rPr>
        <w:t>(No </w:t>
      </w:r>
      <w:r>
        <w:rPr>
          <w:w w:val="105"/>
          <w:sz w:val="13"/>
        </w:rPr>
        <w:t>2) [2012] NSWSC 156 </w:t>
      </w:r>
      <w:r>
        <w:rPr>
          <w:spacing w:val="-5"/>
          <w:w w:val="105"/>
          <w:sz w:val="13"/>
        </w:rPr>
        <w:t>(11  </w:t>
      </w:r>
      <w:r>
        <w:rPr>
          <w:w w:val="105"/>
          <w:sz w:val="13"/>
        </w:rPr>
        <w:t>December 2012). See also Klement    v</w:t>
      </w:r>
      <w:r>
        <w:rPr>
          <w:spacing w:val="6"/>
          <w:w w:val="105"/>
          <w:sz w:val="13"/>
        </w:rPr>
        <w:t> </w:t>
      </w:r>
      <w:r>
        <w:rPr>
          <w:w w:val="105"/>
          <w:sz w:val="13"/>
        </w:rPr>
        <w:t>Randles</w:t>
      </w:r>
      <w:r>
        <w:rPr>
          <w:spacing w:val="7"/>
          <w:w w:val="105"/>
          <w:sz w:val="13"/>
        </w:rPr>
        <w:t> </w:t>
      </w:r>
      <w:r>
        <w:rPr>
          <w:spacing w:val="3"/>
          <w:w w:val="105"/>
          <w:sz w:val="13"/>
        </w:rPr>
        <w:t>(No</w:t>
      </w:r>
      <w:r>
        <w:rPr>
          <w:spacing w:val="7"/>
          <w:w w:val="105"/>
          <w:sz w:val="13"/>
        </w:rPr>
        <w:t> </w:t>
      </w:r>
      <w:r>
        <w:rPr>
          <w:w w:val="105"/>
          <w:sz w:val="13"/>
        </w:rPr>
        <w:t>2)</w:t>
      </w:r>
      <w:r>
        <w:rPr>
          <w:spacing w:val="7"/>
          <w:w w:val="105"/>
          <w:sz w:val="13"/>
        </w:rPr>
        <w:t> </w:t>
      </w:r>
      <w:r>
        <w:rPr>
          <w:w w:val="105"/>
          <w:sz w:val="13"/>
        </w:rPr>
        <w:t>[2010]</w:t>
      </w:r>
      <w:r>
        <w:rPr>
          <w:spacing w:val="7"/>
          <w:w w:val="105"/>
          <w:sz w:val="13"/>
        </w:rPr>
        <w:t> </w:t>
      </w:r>
      <w:r>
        <w:rPr>
          <w:w w:val="105"/>
          <w:sz w:val="13"/>
        </w:rPr>
        <w:t>VSCA</w:t>
      </w:r>
      <w:r>
        <w:rPr>
          <w:spacing w:val="7"/>
          <w:w w:val="105"/>
          <w:sz w:val="13"/>
        </w:rPr>
        <w:t> </w:t>
      </w:r>
      <w:r>
        <w:rPr>
          <w:w w:val="105"/>
          <w:sz w:val="13"/>
        </w:rPr>
        <w:t>336</w:t>
      </w:r>
      <w:r>
        <w:rPr>
          <w:spacing w:val="6"/>
          <w:w w:val="105"/>
          <w:sz w:val="13"/>
        </w:rPr>
        <w:t> </w:t>
      </w:r>
      <w:r>
        <w:rPr>
          <w:spacing w:val="-3"/>
          <w:w w:val="105"/>
          <w:sz w:val="13"/>
        </w:rPr>
        <w:t>(17</w:t>
      </w:r>
      <w:r>
        <w:rPr>
          <w:spacing w:val="7"/>
          <w:w w:val="105"/>
          <w:sz w:val="13"/>
        </w:rPr>
        <w:t> </w:t>
      </w:r>
      <w:r>
        <w:rPr>
          <w:w w:val="105"/>
          <w:sz w:val="13"/>
        </w:rPr>
        <w:t>December</w:t>
      </w:r>
      <w:r>
        <w:rPr>
          <w:spacing w:val="7"/>
          <w:w w:val="105"/>
          <w:sz w:val="13"/>
        </w:rPr>
        <w:t> </w:t>
      </w:r>
      <w:r>
        <w:rPr>
          <w:w w:val="105"/>
          <w:sz w:val="13"/>
        </w:rPr>
        <w:t>2010)</w:t>
      </w:r>
      <w:r>
        <w:rPr>
          <w:spacing w:val="7"/>
          <w:w w:val="105"/>
          <w:sz w:val="13"/>
        </w:rPr>
        <w:t> </w:t>
      </w:r>
      <w:r>
        <w:rPr>
          <w:w w:val="105"/>
          <w:sz w:val="13"/>
        </w:rPr>
        <w:t>[21];</w:t>
      </w:r>
      <w:r>
        <w:rPr>
          <w:spacing w:val="7"/>
          <w:w w:val="105"/>
          <w:sz w:val="13"/>
        </w:rPr>
        <w:t> </w:t>
      </w:r>
      <w:r>
        <w:rPr>
          <w:i/>
          <w:w w:val="105"/>
          <w:sz w:val="13"/>
        </w:rPr>
        <w:t>Middlebrook</w:t>
      </w:r>
      <w:r>
        <w:rPr>
          <w:i/>
          <w:spacing w:val="6"/>
          <w:w w:val="105"/>
          <w:sz w:val="13"/>
        </w:rPr>
        <w:t> </w:t>
      </w:r>
      <w:r>
        <w:rPr>
          <w:i/>
          <w:w w:val="105"/>
          <w:sz w:val="13"/>
        </w:rPr>
        <w:t>v</w:t>
      </w:r>
      <w:r>
        <w:rPr>
          <w:i/>
          <w:spacing w:val="5"/>
          <w:w w:val="105"/>
          <w:sz w:val="13"/>
        </w:rPr>
        <w:t> </w:t>
      </w:r>
      <w:r>
        <w:rPr>
          <w:i/>
          <w:w w:val="105"/>
          <w:sz w:val="13"/>
        </w:rPr>
        <w:t>Middlebrook</w:t>
      </w:r>
      <w:r>
        <w:rPr>
          <w:i/>
          <w:spacing w:val="7"/>
          <w:w w:val="105"/>
          <w:sz w:val="13"/>
        </w:rPr>
        <w:t> </w:t>
      </w:r>
      <w:r>
        <w:rPr>
          <w:w w:val="105"/>
          <w:sz w:val="13"/>
        </w:rPr>
        <w:t>(1962)</w:t>
      </w:r>
      <w:r>
        <w:rPr>
          <w:spacing w:val="7"/>
          <w:w w:val="105"/>
          <w:sz w:val="13"/>
        </w:rPr>
        <w:t> </w:t>
      </w:r>
      <w:r>
        <w:rPr>
          <w:w w:val="105"/>
          <w:sz w:val="13"/>
        </w:rPr>
        <w:t>36</w:t>
      </w:r>
      <w:r>
        <w:rPr>
          <w:spacing w:val="7"/>
          <w:w w:val="105"/>
          <w:sz w:val="13"/>
        </w:rPr>
        <w:t> </w:t>
      </w:r>
      <w:r>
        <w:rPr>
          <w:spacing w:val="3"/>
          <w:w w:val="105"/>
          <w:sz w:val="13"/>
        </w:rPr>
        <w:t>ALJR</w:t>
      </w:r>
      <w:r>
        <w:rPr>
          <w:spacing w:val="7"/>
          <w:w w:val="105"/>
          <w:sz w:val="13"/>
        </w:rPr>
        <w:t> </w:t>
      </w:r>
      <w:r>
        <w:rPr>
          <w:w w:val="105"/>
          <w:sz w:val="13"/>
        </w:rPr>
        <w:t>216,</w:t>
      </w:r>
      <w:r>
        <w:rPr>
          <w:spacing w:val="7"/>
          <w:w w:val="105"/>
          <w:sz w:val="13"/>
        </w:rPr>
        <w:t> </w:t>
      </w:r>
      <w:r>
        <w:rPr>
          <w:spacing w:val="-4"/>
          <w:w w:val="105"/>
          <w:sz w:val="13"/>
        </w:rPr>
        <w:t>217</w:t>
      </w:r>
      <w:r>
        <w:rPr>
          <w:spacing w:val="6"/>
          <w:w w:val="105"/>
          <w:sz w:val="13"/>
        </w:rPr>
        <w:t> </w:t>
      </w:r>
      <w:r>
        <w:rPr>
          <w:spacing w:val="2"/>
          <w:w w:val="105"/>
          <w:sz w:val="13"/>
        </w:rPr>
        <w:t>(Dixon</w:t>
      </w:r>
      <w:r>
        <w:rPr>
          <w:spacing w:val="7"/>
          <w:w w:val="105"/>
          <w:sz w:val="13"/>
        </w:rPr>
        <w:t> </w:t>
      </w:r>
      <w:r>
        <w:rPr>
          <w:spacing w:val="3"/>
          <w:w w:val="105"/>
          <w:sz w:val="13"/>
        </w:rPr>
        <w:t>CJ).</w:t>
      </w:r>
    </w:p>
    <w:p>
      <w:pPr>
        <w:pStyle w:val="ListParagraph"/>
        <w:numPr>
          <w:ilvl w:val="0"/>
          <w:numId w:val="153"/>
        </w:numPr>
        <w:tabs>
          <w:tab w:pos="1245" w:val="left" w:leader="none"/>
          <w:tab w:pos="1246" w:val="left" w:leader="none"/>
        </w:tabs>
        <w:spacing w:line="240" w:lineRule="auto" w:before="2" w:after="0"/>
        <w:ind w:left="1245" w:right="1720" w:hanging="794"/>
        <w:jc w:val="left"/>
        <w:rPr>
          <w:sz w:val="13"/>
        </w:rPr>
      </w:pPr>
      <w:r>
        <w:rPr>
          <w:sz w:val="13"/>
        </w:rPr>
        <w:t>See </w:t>
      </w:r>
      <w:r>
        <w:rPr>
          <w:i/>
          <w:sz w:val="13"/>
        </w:rPr>
        <w:t>Klement v Randles </w:t>
      </w:r>
      <w:r>
        <w:rPr>
          <w:spacing w:val="3"/>
          <w:sz w:val="13"/>
        </w:rPr>
        <w:t>(No </w:t>
      </w:r>
      <w:r>
        <w:rPr>
          <w:sz w:val="13"/>
        </w:rPr>
        <w:t>2) [2010] VSCA 336 </w:t>
      </w:r>
      <w:r>
        <w:rPr>
          <w:spacing w:val="-3"/>
          <w:sz w:val="13"/>
        </w:rPr>
        <w:t>(17 </w:t>
      </w:r>
      <w:r>
        <w:rPr>
          <w:sz w:val="13"/>
        </w:rPr>
        <w:t>December 2010) </w:t>
      </w:r>
      <w:r>
        <w:rPr>
          <w:spacing w:val="4"/>
          <w:sz w:val="13"/>
        </w:rPr>
        <w:t>[23]–[25]. </w:t>
      </w:r>
      <w:r>
        <w:rPr>
          <w:sz w:val="13"/>
        </w:rPr>
        <w:t>See also Sherborne Estate  </w:t>
      </w:r>
      <w:r>
        <w:rPr>
          <w:spacing w:val="3"/>
          <w:sz w:val="13"/>
        </w:rPr>
        <w:t>(No  </w:t>
      </w:r>
      <w:r>
        <w:rPr>
          <w:sz w:val="13"/>
        </w:rPr>
        <w:t>2)  (2005)  65  </w:t>
      </w:r>
      <w:r>
        <w:rPr>
          <w:spacing w:val="2"/>
          <w:sz w:val="13"/>
        </w:rPr>
        <w:t>NSWLR  </w:t>
      </w:r>
      <w:r>
        <w:rPr>
          <w:sz w:val="13"/>
        </w:rPr>
        <w:t>268; </w:t>
      </w:r>
      <w:r>
        <w:rPr>
          <w:i/>
          <w:sz w:val="13"/>
        </w:rPr>
        <w:t>Coombes v Ward </w:t>
      </w:r>
      <w:r>
        <w:rPr>
          <w:spacing w:val="3"/>
          <w:sz w:val="13"/>
        </w:rPr>
        <w:t>(No </w:t>
      </w:r>
      <w:r>
        <w:rPr>
          <w:sz w:val="13"/>
        </w:rPr>
        <w:t>2) [2002]  VSC  </w:t>
      </w:r>
      <w:r>
        <w:rPr>
          <w:spacing w:val="2"/>
          <w:sz w:val="13"/>
        </w:rPr>
        <w:t>84 </w:t>
      </w:r>
      <w:r>
        <w:rPr>
          <w:sz w:val="13"/>
        </w:rPr>
        <w:t>(27  March  2002)  [19];  </w:t>
      </w:r>
      <w:r>
        <w:rPr>
          <w:i/>
          <w:sz w:val="13"/>
        </w:rPr>
        <w:t>Re  Bull;  Bentley  v  Brennan  </w:t>
      </w:r>
      <w:r>
        <w:rPr>
          <w:spacing w:val="3"/>
          <w:sz w:val="13"/>
        </w:rPr>
        <w:t>(No </w:t>
      </w:r>
      <w:r>
        <w:rPr>
          <w:sz w:val="13"/>
        </w:rPr>
        <w:t>2)  </w:t>
      </w:r>
      <w:r>
        <w:rPr>
          <w:spacing w:val="2"/>
          <w:sz w:val="13"/>
        </w:rPr>
        <w:t>[2006] </w:t>
      </w:r>
      <w:r>
        <w:rPr>
          <w:sz w:val="13"/>
        </w:rPr>
        <w:t>VSC  226  (30  June  </w:t>
      </w:r>
      <w:r>
        <w:rPr>
          <w:spacing w:val="2"/>
          <w:sz w:val="13"/>
        </w:rPr>
        <w:t>2006) [3]; </w:t>
      </w:r>
      <w:r>
        <w:rPr>
          <w:i/>
          <w:sz w:val="13"/>
        </w:rPr>
        <w:t>Re </w:t>
      </w:r>
      <w:r>
        <w:rPr>
          <w:i/>
          <w:sz w:val="13"/>
        </w:rPr>
        <w:t>Carn; Moerth v Moerth </w:t>
      </w:r>
      <w:r>
        <w:rPr>
          <w:spacing w:val="3"/>
          <w:sz w:val="13"/>
        </w:rPr>
        <w:t>(No </w:t>
      </w:r>
      <w:r>
        <w:rPr>
          <w:sz w:val="13"/>
        </w:rPr>
        <w:t>2) </w:t>
      </w:r>
      <w:r>
        <w:rPr>
          <w:spacing w:val="-3"/>
          <w:sz w:val="13"/>
        </w:rPr>
        <w:t>[2011]  </w:t>
      </w:r>
      <w:r>
        <w:rPr>
          <w:sz w:val="13"/>
        </w:rPr>
        <w:t>VSC 275 (29 June </w:t>
      </w:r>
      <w:r>
        <w:rPr>
          <w:spacing w:val="-4"/>
          <w:sz w:val="13"/>
        </w:rPr>
        <w:t>2011)  </w:t>
      </w:r>
      <w:r>
        <w:rPr>
          <w:sz w:val="13"/>
        </w:rPr>
        <w:t>[13], referring to </w:t>
      </w:r>
      <w:r>
        <w:rPr>
          <w:i/>
          <w:sz w:val="13"/>
        </w:rPr>
        <w:t>Re De Feu </w:t>
      </w:r>
      <w:r>
        <w:rPr>
          <w:sz w:val="13"/>
        </w:rPr>
        <w:t>[1964] VR 420, 428; </w:t>
      </w:r>
      <w:r>
        <w:rPr>
          <w:i/>
          <w:sz w:val="13"/>
        </w:rPr>
        <w:t>Webb v Ryan </w:t>
      </w:r>
      <w:r>
        <w:rPr>
          <w:sz w:val="13"/>
        </w:rPr>
        <w:t>(</w:t>
      </w:r>
      <w:r>
        <w:rPr>
          <w:i/>
          <w:sz w:val="13"/>
        </w:rPr>
        <w:t>Costs) </w:t>
      </w:r>
      <w:r>
        <w:rPr>
          <w:sz w:val="13"/>
        </w:rPr>
        <w:t>[2012]             VSC 431 (20 September 2012) [37],</w:t>
      </w:r>
      <w:r>
        <w:rPr>
          <w:spacing w:val="11"/>
          <w:sz w:val="13"/>
        </w:rPr>
        <w:t> </w:t>
      </w:r>
      <w:r>
        <w:rPr>
          <w:spacing w:val="2"/>
          <w:sz w:val="13"/>
        </w:rPr>
        <w:t>[42].</w:t>
      </w:r>
    </w:p>
    <w:p>
      <w:pPr>
        <w:pStyle w:val="ListParagraph"/>
        <w:numPr>
          <w:ilvl w:val="0"/>
          <w:numId w:val="153"/>
        </w:numPr>
        <w:tabs>
          <w:tab w:pos="1245" w:val="left" w:leader="none"/>
          <w:tab w:pos="1246" w:val="left" w:leader="none"/>
        </w:tabs>
        <w:spacing w:line="240" w:lineRule="auto" w:before="6" w:after="0"/>
        <w:ind w:left="1245" w:right="1653" w:hanging="794"/>
        <w:jc w:val="left"/>
        <w:rPr>
          <w:sz w:val="13"/>
        </w:rPr>
      </w:pPr>
      <w:r>
        <w:rPr>
          <w:sz w:val="13"/>
        </w:rPr>
        <w:t>See the discussion of these matters in </w:t>
      </w:r>
      <w:r>
        <w:rPr>
          <w:i/>
          <w:sz w:val="13"/>
        </w:rPr>
        <w:t>Gray v Hart </w:t>
      </w:r>
      <w:r>
        <w:rPr>
          <w:spacing w:val="3"/>
          <w:sz w:val="13"/>
        </w:rPr>
        <w:t>(No </w:t>
      </w:r>
      <w:r>
        <w:rPr>
          <w:sz w:val="13"/>
        </w:rPr>
        <w:t>2) [2012] NSWSC 1562 </w:t>
      </w:r>
      <w:r>
        <w:rPr>
          <w:spacing w:val="-5"/>
          <w:sz w:val="13"/>
        </w:rPr>
        <w:t>(11  </w:t>
      </w:r>
      <w:r>
        <w:rPr>
          <w:sz w:val="13"/>
        </w:rPr>
        <w:t>December 2012) [32] ff (White </w:t>
      </w:r>
      <w:r>
        <w:rPr>
          <w:spacing w:val="3"/>
          <w:sz w:val="13"/>
        </w:rPr>
        <w:t>J). </w:t>
      </w:r>
      <w:r>
        <w:rPr>
          <w:sz w:val="13"/>
        </w:rPr>
        <w:t>The observations made               in</w:t>
      </w:r>
      <w:r>
        <w:rPr>
          <w:spacing w:val="8"/>
          <w:sz w:val="13"/>
        </w:rPr>
        <w:t> </w:t>
      </w:r>
      <w:r>
        <w:rPr>
          <w:spacing w:val="-4"/>
          <w:sz w:val="13"/>
        </w:rPr>
        <w:t>[10.17]</w:t>
      </w:r>
      <w:r>
        <w:rPr>
          <w:spacing w:val="8"/>
          <w:sz w:val="13"/>
        </w:rPr>
        <w:t> </w:t>
      </w:r>
      <w:r>
        <w:rPr>
          <w:sz w:val="13"/>
        </w:rPr>
        <w:t>must,</w:t>
      </w:r>
      <w:r>
        <w:rPr>
          <w:spacing w:val="8"/>
          <w:sz w:val="13"/>
        </w:rPr>
        <w:t> </w:t>
      </w:r>
      <w:r>
        <w:rPr>
          <w:sz w:val="13"/>
        </w:rPr>
        <w:t>however,</w:t>
      </w:r>
      <w:r>
        <w:rPr>
          <w:spacing w:val="8"/>
          <w:sz w:val="13"/>
        </w:rPr>
        <w:t> </w:t>
      </w:r>
      <w:r>
        <w:rPr>
          <w:sz w:val="13"/>
        </w:rPr>
        <w:t>be</w:t>
      </w:r>
      <w:r>
        <w:rPr>
          <w:spacing w:val="8"/>
          <w:sz w:val="13"/>
        </w:rPr>
        <w:t> </w:t>
      </w:r>
      <w:r>
        <w:rPr>
          <w:sz w:val="13"/>
        </w:rPr>
        <w:t>read</w:t>
      </w:r>
      <w:r>
        <w:rPr>
          <w:spacing w:val="8"/>
          <w:sz w:val="13"/>
        </w:rPr>
        <w:t> </w:t>
      </w:r>
      <w:r>
        <w:rPr>
          <w:sz w:val="13"/>
        </w:rPr>
        <w:t>subject</w:t>
      </w:r>
      <w:r>
        <w:rPr>
          <w:spacing w:val="8"/>
          <w:sz w:val="13"/>
        </w:rPr>
        <w:t> </w:t>
      </w:r>
      <w:r>
        <w:rPr>
          <w:sz w:val="13"/>
        </w:rPr>
        <w:t>to</w:t>
      </w:r>
      <w:r>
        <w:rPr>
          <w:spacing w:val="8"/>
          <w:sz w:val="13"/>
        </w:rPr>
        <w:t> </w:t>
      </w:r>
      <w:r>
        <w:rPr>
          <w:sz w:val="13"/>
        </w:rPr>
        <w:t>those</w:t>
      </w:r>
      <w:r>
        <w:rPr>
          <w:spacing w:val="8"/>
          <w:sz w:val="13"/>
        </w:rPr>
        <w:t> </w:t>
      </w:r>
      <w:r>
        <w:rPr>
          <w:sz w:val="13"/>
        </w:rPr>
        <w:t>contained</w:t>
      </w:r>
      <w:r>
        <w:rPr>
          <w:spacing w:val="8"/>
          <w:sz w:val="13"/>
        </w:rPr>
        <w:t> </w:t>
      </w:r>
      <w:r>
        <w:rPr>
          <w:sz w:val="13"/>
        </w:rPr>
        <w:t>in</w:t>
      </w:r>
      <w:r>
        <w:rPr>
          <w:spacing w:val="8"/>
          <w:sz w:val="13"/>
        </w:rPr>
        <w:t> </w:t>
      </w:r>
      <w:r>
        <w:rPr>
          <w:spacing w:val="-3"/>
          <w:sz w:val="13"/>
        </w:rPr>
        <w:t>[10.14]</w:t>
      </w:r>
      <w:r>
        <w:rPr>
          <w:spacing w:val="8"/>
          <w:sz w:val="13"/>
        </w:rPr>
        <w:t> </w:t>
      </w:r>
      <w:r>
        <w:rPr>
          <w:sz w:val="13"/>
        </w:rPr>
        <w:t>and</w:t>
      </w:r>
      <w:r>
        <w:rPr>
          <w:spacing w:val="8"/>
          <w:sz w:val="13"/>
        </w:rPr>
        <w:t> </w:t>
      </w:r>
      <w:r>
        <w:rPr>
          <w:sz w:val="13"/>
        </w:rPr>
        <w:t>[10.15].</w:t>
      </w:r>
    </w:p>
    <w:p>
      <w:pPr>
        <w:spacing w:after="0" w:line="240" w:lineRule="auto"/>
        <w:jc w:val="left"/>
        <w:rPr>
          <w:sz w:val="13"/>
        </w:rPr>
        <w:sectPr>
          <w:type w:val="continuous"/>
          <w:pgSz w:w="11910" w:h="16840"/>
          <w:pgMar w:top="920" w:bottom="280" w:left="0" w:right="0"/>
          <w:cols w:num="2" w:equalWidth="0">
            <w:col w:w="1096" w:space="40"/>
            <w:col w:w="10774"/>
          </w:cols>
        </w:sectPr>
      </w:pPr>
    </w:p>
    <w:p>
      <w:pPr>
        <w:pStyle w:val="BodyText"/>
        <w:rPr>
          <w:sz w:val="20"/>
        </w:rPr>
      </w:pPr>
    </w:p>
    <w:p>
      <w:pPr>
        <w:pStyle w:val="BodyText"/>
        <w:spacing w:before="6"/>
        <w:rPr>
          <w:sz w:val="17"/>
        </w:rPr>
      </w:pPr>
    </w:p>
    <w:p>
      <w:pPr>
        <w:pStyle w:val="Heading4"/>
        <w:spacing w:before="99"/>
      </w:pPr>
      <w:bookmarkStart w:name="Protection of executors and administrato" w:id="161"/>
      <w:bookmarkEnd w:id="161"/>
      <w:r>
        <w:rPr>
          <w:b w:val="0"/>
        </w:rPr>
      </w:r>
      <w:bookmarkStart w:name="Views and conclusions" w:id="162"/>
      <w:bookmarkEnd w:id="162"/>
      <w:r>
        <w:rPr>
          <w:b w:val="0"/>
        </w:rPr>
      </w:r>
      <w:r>
        <w:rPr>
          <w:color w:val="EC5A4F"/>
          <w:w w:val="115"/>
        </w:rPr>
        <w:t>Protection of executors and administrators</w:t>
      </w:r>
    </w:p>
    <w:p>
      <w:pPr>
        <w:pStyle w:val="ListParagraph"/>
        <w:numPr>
          <w:ilvl w:val="1"/>
          <w:numId w:val="152"/>
        </w:numPr>
        <w:tabs>
          <w:tab w:pos="2381" w:val="left" w:leader="none"/>
        </w:tabs>
        <w:spacing w:line="242" w:lineRule="auto" w:before="155" w:after="0"/>
        <w:ind w:left="2381" w:right="1859" w:hanging="794"/>
        <w:jc w:val="both"/>
        <w:rPr>
          <w:sz w:val="12"/>
        </w:rPr>
      </w:pPr>
      <w:r>
        <w:rPr>
          <w:w w:val="105"/>
          <w:sz w:val="21"/>
        </w:rPr>
        <w:t>An </w:t>
      </w:r>
      <w:r>
        <w:rPr>
          <w:spacing w:val="-3"/>
          <w:w w:val="105"/>
          <w:sz w:val="21"/>
        </w:rPr>
        <w:t>executor </w:t>
      </w:r>
      <w:r>
        <w:rPr>
          <w:w w:val="105"/>
          <w:sz w:val="21"/>
        </w:rPr>
        <w:t>or </w:t>
      </w:r>
      <w:r>
        <w:rPr>
          <w:spacing w:val="-3"/>
          <w:w w:val="105"/>
          <w:sz w:val="21"/>
        </w:rPr>
        <w:t>administrator </w:t>
      </w:r>
      <w:r>
        <w:rPr>
          <w:w w:val="105"/>
          <w:sz w:val="21"/>
        </w:rPr>
        <w:t>who is </w:t>
      </w:r>
      <w:r>
        <w:rPr>
          <w:spacing w:val="-3"/>
          <w:w w:val="105"/>
          <w:sz w:val="21"/>
        </w:rPr>
        <w:t>concerned </w:t>
      </w:r>
      <w:r>
        <w:rPr>
          <w:w w:val="105"/>
          <w:sz w:val="21"/>
        </w:rPr>
        <w:t>about whether </w:t>
      </w:r>
      <w:r>
        <w:rPr>
          <w:spacing w:val="-3"/>
          <w:w w:val="105"/>
          <w:sz w:val="21"/>
        </w:rPr>
        <w:t>to </w:t>
      </w:r>
      <w:r>
        <w:rPr>
          <w:w w:val="105"/>
          <w:sz w:val="21"/>
        </w:rPr>
        <w:t>prosecute or </w:t>
      </w:r>
      <w:r>
        <w:rPr>
          <w:spacing w:val="-3"/>
          <w:w w:val="105"/>
          <w:sz w:val="21"/>
        </w:rPr>
        <w:t>defend </w:t>
      </w:r>
      <w:r>
        <w:rPr>
          <w:w w:val="105"/>
          <w:sz w:val="21"/>
        </w:rPr>
        <w:t>a </w:t>
      </w:r>
      <w:r>
        <w:rPr>
          <w:spacing w:val="-3"/>
          <w:w w:val="105"/>
          <w:sz w:val="21"/>
        </w:rPr>
        <w:t>claim </w:t>
      </w:r>
      <w:r>
        <w:rPr>
          <w:w w:val="105"/>
          <w:sz w:val="21"/>
        </w:rPr>
        <w:t>on behalf of the </w:t>
      </w:r>
      <w:r>
        <w:rPr>
          <w:spacing w:val="-3"/>
          <w:w w:val="105"/>
          <w:sz w:val="21"/>
        </w:rPr>
        <w:t>estate, </w:t>
      </w:r>
      <w:r>
        <w:rPr>
          <w:w w:val="105"/>
          <w:sz w:val="21"/>
        </w:rPr>
        <w:t>or appeal a decision of the court, </w:t>
      </w:r>
      <w:r>
        <w:rPr>
          <w:spacing w:val="-3"/>
          <w:w w:val="105"/>
          <w:sz w:val="21"/>
        </w:rPr>
        <w:t>may </w:t>
      </w:r>
      <w:r>
        <w:rPr>
          <w:w w:val="105"/>
          <w:sz w:val="21"/>
        </w:rPr>
        <w:t>seek the advice of the court as </w:t>
      </w:r>
      <w:r>
        <w:rPr>
          <w:spacing w:val="-3"/>
          <w:w w:val="105"/>
          <w:sz w:val="21"/>
        </w:rPr>
        <w:t>to </w:t>
      </w:r>
      <w:r>
        <w:rPr>
          <w:w w:val="105"/>
          <w:sz w:val="21"/>
        </w:rPr>
        <w:t>whether </w:t>
      </w:r>
      <w:r>
        <w:rPr>
          <w:spacing w:val="-3"/>
          <w:w w:val="105"/>
          <w:sz w:val="21"/>
        </w:rPr>
        <w:t>to </w:t>
      </w:r>
      <w:r>
        <w:rPr>
          <w:w w:val="105"/>
          <w:sz w:val="21"/>
        </w:rPr>
        <w:t>do </w:t>
      </w:r>
      <w:r>
        <w:rPr>
          <w:spacing w:val="-7"/>
          <w:w w:val="105"/>
          <w:sz w:val="21"/>
        </w:rPr>
        <w:t>so.</w:t>
      </w:r>
      <w:r>
        <w:rPr>
          <w:spacing w:val="-7"/>
          <w:w w:val="105"/>
          <w:position w:val="7"/>
          <w:sz w:val="12"/>
        </w:rPr>
        <w:t>12 </w:t>
      </w:r>
      <w:r>
        <w:rPr>
          <w:w w:val="105"/>
          <w:sz w:val="21"/>
        </w:rPr>
        <w:t>Costs </w:t>
      </w:r>
      <w:r>
        <w:rPr>
          <w:spacing w:val="-3"/>
          <w:w w:val="105"/>
          <w:sz w:val="21"/>
        </w:rPr>
        <w:t>incurred </w:t>
      </w:r>
      <w:r>
        <w:rPr>
          <w:w w:val="105"/>
          <w:sz w:val="21"/>
        </w:rPr>
        <w:t>in seeking this advice </w:t>
      </w:r>
      <w:r>
        <w:rPr>
          <w:spacing w:val="-3"/>
          <w:w w:val="105"/>
          <w:sz w:val="21"/>
        </w:rPr>
        <w:t>are </w:t>
      </w:r>
      <w:r>
        <w:rPr>
          <w:w w:val="105"/>
          <w:sz w:val="21"/>
        </w:rPr>
        <w:t>paid out of</w:t>
      </w:r>
      <w:r>
        <w:rPr>
          <w:spacing w:val="-10"/>
          <w:w w:val="105"/>
          <w:sz w:val="21"/>
        </w:rPr>
        <w:t> </w:t>
      </w:r>
      <w:r>
        <w:rPr>
          <w:w w:val="105"/>
          <w:sz w:val="21"/>
        </w:rPr>
        <w:t>the</w:t>
      </w:r>
      <w:r>
        <w:rPr>
          <w:spacing w:val="-10"/>
          <w:w w:val="105"/>
          <w:sz w:val="21"/>
        </w:rPr>
        <w:t> </w:t>
      </w:r>
      <w:r>
        <w:rPr>
          <w:w w:val="105"/>
          <w:sz w:val="21"/>
        </w:rPr>
        <w:t>estate</w:t>
      </w:r>
      <w:r>
        <w:rPr>
          <w:spacing w:val="-9"/>
          <w:w w:val="105"/>
          <w:sz w:val="21"/>
        </w:rPr>
        <w:t> </w:t>
      </w:r>
      <w:r>
        <w:rPr>
          <w:w w:val="105"/>
          <w:sz w:val="21"/>
        </w:rPr>
        <w:t>on</w:t>
      </w:r>
      <w:r>
        <w:rPr>
          <w:spacing w:val="-10"/>
          <w:w w:val="105"/>
          <w:sz w:val="21"/>
        </w:rPr>
        <w:t> </w:t>
      </w:r>
      <w:r>
        <w:rPr>
          <w:w w:val="105"/>
          <w:sz w:val="21"/>
        </w:rPr>
        <w:t>an</w:t>
      </w:r>
      <w:r>
        <w:rPr>
          <w:spacing w:val="-10"/>
          <w:w w:val="105"/>
          <w:sz w:val="21"/>
        </w:rPr>
        <w:t> </w:t>
      </w:r>
      <w:r>
        <w:rPr>
          <w:w w:val="105"/>
          <w:sz w:val="21"/>
        </w:rPr>
        <w:t>indemnity</w:t>
      </w:r>
      <w:r>
        <w:rPr>
          <w:spacing w:val="-9"/>
          <w:w w:val="105"/>
          <w:sz w:val="21"/>
        </w:rPr>
        <w:t> </w:t>
      </w:r>
      <w:r>
        <w:rPr>
          <w:w w:val="105"/>
          <w:sz w:val="21"/>
        </w:rPr>
        <w:t>basis.</w:t>
      </w:r>
      <w:r>
        <w:rPr>
          <w:spacing w:val="-10"/>
          <w:w w:val="105"/>
          <w:sz w:val="21"/>
        </w:rPr>
        <w:t> </w:t>
      </w:r>
      <w:r>
        <w:rPr>
          <w:spacing w:val="-4"/>
          <w:w w:val="105"/>
          <w:sz w:val="21"/>
        </w:rPr>
        <w:t>Ordinarily,</w:t>
      </w:r>
      <w:r>
        <w:rPr>
          <w:spacing w:val="-10"/>
          <w:w w:val="105"/>
          <w:sz w:val="21"/>
        </w:rPr>
        <w:t> </w:t>
      </w:r>
      <w:r>
        <w:rPr>
          <w:w w:val="105"/>
          <w:sz w:val="21"/>
        </w:rPr>
        <w:t>if</w:t>
      </w:r>
      <w:r>
        <w:rPr>
          <w:spacing w:val="-9"/>
          <w:w w:val="105"/>
          <w:sz w:val="21"/>
        </w:rPr>
        <w:t> </w:t>
      </w:r>
      <w:r>
        <w:rPr>
          <w:w w:val="105"/>
          <w:sz w:val="21"/>
        </w:rPr>
        <w:t>an</w:t>
      </w:r>
      <w:r>
        <w:rPr>
          <w:spacing w:val="-10"/>
          <w:w w:val="105"/>
          <w:sz w:val="21"/>
        </w:rPr>
        <w:t> </w:t>
      </w:r>
      <w:r>
        <w:rPr>
          <w:spacing w:val="-3"/>
          <w:w w:val="105"/>
          <w:sz w:val="21"/>
        </w:rPr>
        <w:t>executor</w:t>
      </w:r>
      <w:r>
        <w:rPr>
          <w:spacing w:val="-10"/>
          <w:w w:val="105"/>
          <w:sz w:val="21"/>
        </w:rPr>
        <w:t> </w:t>
      </w:r>
      <w:r>
        <w:rPr>
          <w:w w:val="105"/>
          <w:sz w:val="21"/>
        </w:rPr>
        <w:t>or</w:t>
      </w:r>
      <w:r>
        <w:rPr>
          <w:spacing w:val="-9"/>
          <w:w w:val="105"/>
          <w:sz w:val="21"/>
        </w:rPr>
        <w:t> </w:t>
      </w:r>
      <w:r>
        <w:rPr>
          <w:spacing w:val="-3"/>
          <w:w w:val="105"/>
          <w:sz w:val="21"/>
        </w:rPr>
        <w:t>administrator</w:t>
      </w:r>
      <w:r>
        <w:rPr>
          <w:spacing w:val="-10"/>
          <w:w w:val="105"/>
          <w:sz w:val="21"/>
        </w:rPr>
        <w:t> </w:t>
      </w:r>
      <w:r>
        <w:rPr>
          <w:w w:val="105"/>
          <w:sz w:val="21"/>
        </w:rPr>
        <w:t>proceeds with</w:t>
      </w:r>
      <w:r>
        <w:rPr>
          <w:spacing w:val="-6"/>
          <w:w w:val="105"/>
          <w:sz w:val="21"/>
        </w:rPr>
        <w:t> </w:t>
      </w:r>
      <w:r>
        <w:rPr>
          <w:spacing w:val="-3"/>
          <w:w w:val="105"/>
          <w:sz w:val="21"/>
        </w:rPr>
        <w:t>litigation</w:t>
      </w:r>
      <w:r>
        <w:rPr>
          <w:spacing w:val="-5"/>
          <w:w w:val="105"/>
          <w:sz w:val="21"/>
        </w:rPr>
        <w:t> </w:t>
      </w:r>
      <w:r>
        <w:rPr>
          <w:spacing w:val="-3"/>
          <w:w w:val="105"/>
          <w:sz w:val="21"/>
        </w:rPr>
        <w:t>against</w:t>
      </w:r>
      <w:r>
        <w:rPr>
          <w:spacing w:val="-5"/>
          <w:w w:val="105"/>
          <w:sz w:val="21"/>
        </w:rPr>
        <w:t> </w:t>
      </w:r>
      <w:r>
        <w:rPr>
          <w:w w:val="105"/>
          <w:sz w:val="21"/>
        </w:rPr>
        <w:t>the</w:t>
      </w:r>
      <w:r>
        <w:rPr>
          <w:spacing w:val="-5"/>
          <w:w w:val="105"/>
          <w:sz w:val="21"/>
        </w:rPr>
        <w:t> </w:t>
      </w:r>
      <w:r>
        <w:rPr>
          <w:w w:val="105"/>
          <w:sz w:val="21"/>
        </w:rPr>
        <w:t>court’s</w:t>
      </w:r>
      <w:r>
        <w:rPr>
          <w:spacing w:val="-5"/>
          <w:w w:val="105"/>
          <w:sz w:val="21"/>
        </w:rPr>
        <w:t> </w:t>
      </w:r>
      <w:r>
        <w:rPr>
          <w:w w:val="105"/>
          <w:sz w:val="21"/>
        </w:rPr>
        <w:t>advice</w:t>
      </w:r>
      <w:r>
        <w:rPr>
          <w:spacing w:val="-6"/>
          <w:w w:val="105"/>
          <w:sz w:val="21"/>
        </w:rPr>
        <w:t> </w:t>
      </w:r>
      <w:r>
        <w:rPr>
          <w:w w:val="105"/>
          <w:sz w:val="21"/>
        </w:rPr>
        <w:t>and</w:t>
      </w:r>
      <w:r>
        <w:rPr>
          <w:spacing w:val="-5"/>
          <w:w w:val="105"/>
          <w:sz w:val="21"/>
        </w:rPr>
        <w:t> </w:t>
      </w:r>
      <w:r>
        <w:rPr>
          <w:w w:val="105"/>
          <w:sz w:val="21"/>
        </w:rPr>
        <w:t>is</w:t>
      </w:r>
      <w:r>
        <w:rPr>
          <w:spacing w:val="-5"/>
          <w:w w:val="105"/>
          <w:sz w:val="21"/>
        </w:rPr>
        <w:t> </w:t>
      </w:r>
      <w:r>
        <w:rPr>
          <w:spacing w:val="-3"/>
          <w:w w:val="105"/>
          <w:sz w:val="21"/>
        </w:rPr>
        <w:t>unsuccessful,</w:t>
      </w:r>
      <w:r>
        <w:rPr>
          <w:spacing w:val="-5"/>
          <w:w w:val="105"/>
          <w:sz w:val="21"/>
        </w:rPr>
        <w:t> </w:t>
      </w:r>
      <w:r>
        <w:rPr>
          <w:w w:val="105"/>
          <w:sz w:val="21"/>
        </w:rPr>
        <w:t>they</w:t>
      </w:r>
      <w:r>
        <w:rPr>
          <w:spacing w:val="-5"/>
          <w:w w:val="105"/>
          <w:sz w:val="21"/>
        </w:rPr>
        <w:t> </w:t>
      </w:r>
      <w:r>
        <w:rPr>
          <w:spacing w:val="-3"/>
          <w:w w:val="105"/>
          <w:sz w:val="21"/>
        </w:rPr>
        <w:t>will</w:t>
      </w:r>
      <w:r>
        <w:rPr>
          <w:spacing w:val="-5"/>
          <w:w w:val="105"/>
          <w:sz w:val="21"/>
        </w:rPr>
        <w:t> </w:t>
      </w:r>
      <w:r>
        <w:rPr>
          <w:spacing w:val="-2"/>
          <w:w w:val="105"/>
          <w:sz w:val="21"/>
        </w:rPr>
        <w:t>not</w:t>
      </w:r>
      <w:r>
        <w:rPr>
          <w:spacing w:val="-6"/>
          <w:w w:val="105"/>
          <w:sz w:val="21"/>
        </w:rPr>
        <w:t> </w:t>
      </w:r>
      <w:r>
        <w:rPr>
          <w:w w:val="105"/>
          <w:sz w:val="21"/>
        </w:rPr>
        <w:t>be</w:t>
      </w:r>
      <w:r>
        <w:rPr>
          <w:spacing w:val="-5"/>
          <w:w w:val="105"/>
          <w:sz w:val="21"/>
        </w:rPr>
        <w:t> </w:t>
      </w:r>
      <w:r>
        <w:rPr>
          <w:w w:val="105"/>
          <w:sz w:val="21"/>
        </w:rPr>
        <w:t>entitled</w:t>
      </w:r>
      <w:r>
        <w:rPr>
          <w:spacing w:val="-5"/>
          <w:w w:val="105"/>
          <w:sz w:val="21"/>
        </w:rPr>
        <w:t> </w:t>
      </w:r>
      <w:r>
        <w:rPr>
          <w:spacing w:val="-3"/>
          <w:w w:val="105"/>
          <w:sz w:val="21"/>
        </w:rPr>
        <w:t>to </w:t>
      </w:r>
      <w:r>
        <w:rPr>
          <w:w w:val="105"/>
          <w:sz w:val="21"/>
        </w:rPr>
        <w:t>payment of their costs out of the</w:t>
      </w:r>
      <w:r>
        <w:rPr>
          <w:spacing w:val="30"/>
          <w:w w:val="105"/>
          <w:sz w:val="21"/>
        </w:rPr>
        <w:t> </w:t>
      </w:r>
      <w:r>
        <w:rPr>
          <w:spacing w:val="-6"/>
          <w:w w:val="105"/>
          <w:sz w:val="21"/>
        </w:rPr>
        <w:t>estate.</w:t>
      </w:r>
      <w:r>
        <w:rPr>
          <w:spacing w:val="-6"/>
          <w:w w:val="105"/>
          <w:position w:val="7"/>
          <w:sz w:val="12"/>
        </w:rPr>
        <w:t>13</w:t>
      </w:r>
    </w:p>
    <w:p>
      <w:pPr>
        <w:pStyle w:val="ListParagraph"/>
        <w:numPr>
          <w:ilvl w:val="1"/>
          <w:numId w:val="152"/>
        </w:numPr>
        <w:tabs>
          <w:tab w:pos="2381" w:val="left" w:leader="none"/>
        </w:tabs>
        <w:spacing w:line="242" w:lineRule="auto" w:before="126" w:after="0"/>
        <w:ind w:left="2381" w:right="1707" w:hanging="794"/>
        <w:jc w:val="both"/>
        <w:rPr>
          <w:sz w:val="12"/>
        </w:rPr>
      </w:pPr>
      <w:r>
        <w:rPr>
          <w:sz w:val="21"/>
        </w:rPr>
        <w:t>In a number of </w:t>
      </w:r>
      <w:r>
        <w:rPr>
          <w:spacing w:val="-3"/>
          <w:sz w:val="21"/>
        </w:rPr>
        <w:t>situations, </w:t>
      </w:r>
      <w:r>
        <w:rPr>
          <w:spacing w:val="-4"/>
          <w:sz w:val="21"/>
        </w:rPr>
        <w:t>however, </w:t>
      </w:r>
      <w:r>
        <w:rPr>
          <w:sz w:val="21"/>
        </w:rPr>
        <w:t>the </w:t>
      </w:r>
      <w:r>
        <w:rPr>
          <w:spacing w:val="-3"/>
          <w:sz w:val="21"/>
        </w:rPr>
        <w:t>executor </w:t>
      </w:r>
      <w:r>
        <w:rPr>
          <w:sz w:val="21"/>
        </w:rPr>
        <w:t>or </w:t>
      </w:r>
      <w:r>
        <w:rPr>
          <w:spacing w:val="-3"/>
          <w:sz w:val="21"/>
        </w:rPr>
        <w:t>administrator  will  have  </w:t>
      </w:r>
      <w:r>
        <w:rPr>
          <w:sz w:val="21"/>
        </w:rPr>
        <w:t>no </w:t>
      </w:r>
      <w:r>
        <w:rPr>
          <w:spacing w:val="-2"/>
          <w:sz w:val="21"/>
        </w:rPr>
        <w:t>choice </w:t>
      </w:r>
      <w:r>
        <w:rPr>
          <w:sz w:val="21"/>
        </w:rPr>
        <w:t>but</w:t>
      </w:r>
      <w:r>
        <w:rPr>
          <w:spacing w:val="47"/>
          <w:sz w:val="21"/>
        </w:rPr>
        <w:t> </w:t>
      </w:r>
      <w:r>
        <w:rPr>
          <w:spacing w:val="-3"/>
          <w:sz w:val="21"/>
        </w:rPr>
        <w:t>to </w:t>
      </w:r>
      <w:r>
        <w:rPr>
          <w:sz w:val="21"/>
        </w:rPr>
        <w:t>become </w:t>
      </w:r>
      <w:r>
        <w:rPr>
          <w:spacing w:val="-3"/>
          <w:sz w:val="21"/>
        </w:rPr>
        <w:t>involved </w:t>
      </w:r>
      <w:r>
        <w:rPr>
          <w:sz w:val="21"/>
        </w:rPr>
        <w:t>in </w:t>
      </w:r>
      <w:r>
        <w:rPr>
          <w:spacing w:val="-3"/>
          <w:sz w:val="21"/>
        </w:rPr>
        <w:t>litigation.  </w:t>
      </w:r>
      <w:r>
        <w:rPr>
          <w:sz w:val="21"/>
        </w:rPr>
        <w:t>For </w:t>
      </w:r>
      <w:r>
        <w:rPr>
          <w:spacing w:val="-3"/>
          <w:sz w:val="21"/>
        </w:rPr>
        <w:t>example,</w:t>
      </w:r>
      <w:r>
        <w:rPr>
          <w:spacing w:val="41"/>
          <w:sz w:val="21"/>
        </w:rPr>
        <w:t> </w:t>
      </w:r>
      <w:r>
        <w:rPr>
          <w:sz w:val="21"/>
        </w:rPr>
        <w:t>an </w:t>
      </w:r>
      <w:r>
        <w:rPr>
          <w:spacing w:val="-3"/>
          <w:sz w:val="21"/>
        </w:rPr>
        <w:t>executor  </w:t>
      </w:r>
      <w:r>
        <w:rPr>
          <w:sz w:val="21"/>
        </w:rPr>
        <w:t>is </w:t>
      </w:r>
      <w:r>
        <w:rPr>
          <w:spacing w:val="-3"/>
          <w:sz w:val="21"/>
        </w:rPr>
        <w:t>required  to  </w:t>
      </w:r>
      <w:r>
        <w:rPr>
          <w:sz w:val="21"/>
        </w:rPr>
        <w:t>act as </w:t>
      </w:r>
      <w:r>
        <w:rPr>
          <w:spacing w:val="-3"/>
          <w:sz w:val="21"/>
        </w:rPr>
        <w:t>defendant </w:t>
      </w:r>
      <w:r>
        <w:rPr>
          <w:sz w:val="21"/>
        </w:rPr>
        <w:t>in </w:t>
      </w:r>
      <w:r>
        <w:rPr>
          <w:spacing w:val="-3"/>
          <w:sz w:val="21"/>
        </w:rPr>
        <w:t>family provision </w:t>
      </w:r>
      <w:r>
        <w:rPr>
          <w:sz w:val="21"/>
        </w:rPr>
        <w:t>proceedings</w:t>
      </w:r>
      <w:r>
        <w:rPr>
          <w:position w:val="7"/>
          <w:sz w:val="12"/>
        </w:rPr>
        <w:t>14  </w:t>
      </w:r>
      <w:r>
        <w:rPr>
          <w:sz w:val="21"/>
        </w:rPr>
        <w:t>and is bound </w:t>
      </w:r>
      <w:r>
        <w:rPr>
          <w:spacing w:val="-3"/>
          <w:sz w:val="21"/>
        </w:rPr>
        <w:t>to  initiate  </w:t>
      </w:r>
      <w:r>
        <w:rPr>
          <w:sz w:val="21"/>
        </w:rPr>
        <w:t>legal </w:t>
      </w:r>
      <w:r>
        <w:rPr>
          <w:spacing w:val="-3"/>
          <w:sz w:val="21"/>
        </w:rPr>
        <w:t>proceedings</w:t>
      </w:r>
      <w:r>
        <w:rPr>
          <w:spacing w:val="41"/>
          <w:sz w:val="21"/>
        </w:rPr>
        <w:t> </w:t>
      </w:r>
      <w:r>
        <w:rPr>
          <w:sz w:val="21"/>
        </w:rPr>
        <w:t>when seeking  </w:t>
      </w:r>
      <w:r>
        <w:rPr>
          <w:spacing w:val="-3"/>
          <w:sz w:val="21"/>
        </w:rPr>
        <w:t>to prove </w:t>
      </w:r>
      <w:r>
        <w:rPr>
          <w:sz w:val="21"/>
        </w:rPr>
        <w:t>the final </w:t>
      </w:r>
      <w:r>
        <w:rPr>
          <w:spacing w:val="-3"/>
          <w:sz w:val="21"/>
        </w:rPr>
        <w:t>will </w:t>
      </w:r>
      <w:r>
        <w:rPr>
          <w:sz w:val="21"/>
        </w:rPr>
        <w:t>of a </w:t>
      </w:r>
      <w:r>
        <w:rPr>
          <w:spacing w:val="-3"/>
          <w:sz w:val="21"/>
        </w:rPr>
        <w:t>will-maker </w:t>
      </w:r>
      <w:r>
        <w:rPr>
          <w:sz w:val="21"/>
        </w:rPr>
        <w:t>and obtain a </w:t>
      </w:r>
      <w:r>
        <w:rPr>
          <w:spacing w:val="-3"/>
          <w:sz w:val="21"/>
        </w:rPr>
        <w:t>grant</w:t>
      </w:r>
      <w:r>
        <w:rPr>
          <w:spacing w:val="-8"/>
          <w:sz w:val="21"/>
        </w:rPr>
        <w:t> </w:t>
      </w:r>
      <w:r>
        <w:rPr>
          <w:sz w:val="21"/>
        </w:rPr>
        <w:t>of </w:t>
      </w:r>
      <w:r>
        <w:rPr>
          <w:spacing w:val="-6"/>
          <w:sz w:val="21"/>
        </w:rPr>
        <w:t>probate.</w:t>
      </w:r>
      <w:r>
        <w:rPr>
          <w:spacing w:val="-6"/>
          <w:position w:val="7"/>
          <w:sz w:val="12"/>
        </w:rPr>
        <w:t>15</w:t>
      </w:r>
    </w:p>
    <w:p>
      <w:pPr>
        <w:pStyle w:val="BodyText"/>
        <w:spacing w:before="11"/>
      </w:pPr>
    </w:p>
    <w:p>
      <w:pPr>
        <w:pStyle w:val="Heading4"/>
        <w:spacing w:before="1"/>
      </w:pPr>
      <w:r>
        <w:rPr>
          <w:color w:val="EC5A4F"/>
          <w:w w:val="115"/>
        </w:rPr>
        <w:t>Views and conclusions</w:t>
      </w:r>
    </w:p>
    <w:p>
      <w:pPr>
        <w:pStyle w:val="ListParagraph"/>
        <w:numPr>
          <w:ilvl w:val="1"/>
          <w:numId w:val="152"/>
        </w:numPr>
        <w:tabs>
          <w:tab w:pos="2380" w:val="left" w:leader="none"/>
          <w:tab w:pos="2381" w:val="left" w:leader="none"/>
        </w:tabs>
        <w:spacing w:line="240" w:lineRule="auto" w:before="155" w:after="0"/>
        <w:ind w:left="2381" w:right="0" w:hanging="794"/>
        <w:jc w:val="left"/>
        <w:rPr>
          <w:sz w:val="21"/>
        </w:rPr>
      </w:pPr>
      <w:r>
        <w:rPr>
          <w:spacing w:val="-4"/>
          <w:w w:val="105"/>
          <w:sz w:val="21"/>
        </w:rPr>
        <w:t>At </w:t>
      </w:r>
      <w:r>
        <w:rPr>
          <w:w w:val="105"/>
          <w:sz w:val="21"/>
        </w:rPr>
        <w:t>the general level dealt with in this </w:t>
      </w:r>
      <w:r>
        <w:rPr>
          <w:spacing w:val="-5"/>
          <w:w w:val="105"/>
          <w:sz w:val="21"/>
        </w:rPr>
        <w:t>chapter, </w:t>
      </w:r>
      <w:r>
        <w:rPr>
          <w:w w:val="105"/>
          <w:sz w:val="21"/>
        </w:rPr>
        <w:t>the </w:t>
      </w:r>
      <w:r>
        <w:rPr>
          <w:spacing w:val="-3"/>
          <w:w w:val="105"/>
          <w:sz w:val="21"/>
        </w:rPr>
        <w:t>Commission </w:t>
      </w:r>
      <w:r>
        <w:rPr>
          <w:w w:val="105"/>
          <w:sz w:val="21"/>
        </w:rPr>
        <w:t>considers </w:t>
      </w:r>
      <w:r>
        <w:rPr>
          <w:spacing w:val="-3"/>
          <w:w w:val="105"/>
          <w:sz w:val="21"/>
        </w:rPr>
        <w:t>that</w:t>
      </w:r>
      <w:r>
        <w:rPr>
          <w:spacing w:val="41"/>
          <w:w w:val="105"/>
          <w:sz w:val="21"/>
        </w:rPr>
        <w:t> </w:t>
      </w:r>
      <w:r>
        <w:rPr>
          <w:w w:val="105"/>
          <w:sz w:val="21"/>
        </w:rPr>
        <w:t>costs</w:t>
      </w:r>
    </w:p>
    <w:p>
      <w:pPr>
        <w:pStyle w:val="BodyText"/>
        <w:spacing w:line="242" w:lineRule="auto" w:before="3"/>
        <w:ind w:left="2380" w:right="1804"/>
      </w:pPr>
      <w:r>
        <w:rPr>
          <w:w w:val="105"/>
        </w:rPr>
        <w:t>rules</w:t>
      </w:r>
      <w:r>
        <w:rPr>
          <w:spacing w:val="-9"/>
          <w:w w:val="105"/>
        </w:rPr>
        <w:t> </w:t>
      </w:r>
      <w:r>
        <w:rPr>
          <w:w w:val="105"/>
        </w:rPr>
        <w:t>in</w:t>
      </w:r>
      <w:r>
        <w:rPr>
          <w:spacing w:val="-8"/>
          <w:w w:val="105"/>
        </w:rPr>
        <w:t> </w:t>
      </w:r>
      <w:r>
        <w:rPr>
          <w:w w:val="105"/>
        </w:rPr>
        <w:t>their</w:t>
      </w:r>
      <w:r>
        <w:rPr>
          <w:spacing w:val="-8"/>
          <w:w w:val="105"/>
        </w:rPr>
        <w:t> </w:t>
      </w:r>
      <w:r>
        <w:rPr>
          <w:w w:val="105"/>
        </w:rPr>
        <w:t>application</w:t>
      </w:r>
      <w:r>
        <w:rPr>
          <w:spacing w:val="-9"/>
          <w:w w:val="105"/>
        </w:rPr>
        <w:t> </w:t>
      </w:r>
      <w:r>
        <w:rPr>
          <w:spacing w:val="-3"/>
          <w:w w:val="105"/>
        </w:rPr>
        <w:t>to</w:t>
      </w:r>
      <w:r>
        <w:rPr>
          <w:spacing w:val="-8"/>
          <w:w w:val="105"/>
        </w:rPr>
        <w:t> </w:t>
      </w:r>
      <w:r>
        <w:rPr>
          <w:spacing w:val="-3"/>
          <w:w w:val="105"/>
        </w:rPr>
        <w:t>succession</w:t>
      </w:r>
      <w:r>
        <w:rPr>
          <w:spacing w:val="-8"/>
          <w:w w:val="105"/>
        </w:rPr>
        <w:t> </w:t>
      </w:r>
      <w:r>
        <w:rPr>
          <w:spacing w:val="-3"/>
          <w:w w:val="105"/>
        </w:rPr>
        <w:t>proceedings</w:t>
      </w:r>
      <w:r>
        <w:rPr>
          <w:spacing w:val="-8"/>
          <w:w w:val="105"/>
        </w:rPr>
        <w:t> </w:t>
      </w:r>
      <w:r>
        <w:rPr>
          <w:spacing w:val="-3"/>
          <w:w w:val="105"/>
        </w:rPr>
        <w:t>are</w:t>
      </w:r>
      <w:r>
        <w:rPr>
          <w:spacing w:val="-9"/>
          <w:w w:val="105"/>
        </w:rPr>
        <w:t> </w:t>
      </w:r>
      <w:r>
        <w:rPr>
          <w:spacing w:val="-3"/>
          <w:w w:val="105"/>
        </w:rPr>
        <w:t>working</w:t>
      </w:r>
      <w:r>
        <w:rPr>
          <w:spacing w:val="-8"/>
          <w:w w:val="105"/>
        </w:rPr>
        <w:t> </w:t>
      </w:r>
      <w:r>
        <w:rPr>
          <w:w w:val="105"/>
        </w:rPr>
        <w:t>satisfactorily</w:t>
      </w:r>
      <w:r>
        <w:rPr>
          <w:spacing w:val="-8"/>
          <w:w w:val="105"/>
        </w:rPr>
        <w:t> </w:t>
      </w:r>
      <w:r>
        <w:rPr>
          <w:w w:val="105"/>
        </w:rPr>
        <w:t>and</w:t>
      </w:r>
      <w:r>
        <w:rPr>
          <w:spacing w:val="-8"/>
          <w:w w:val="105"/>
        </w:rPr>
        <w:t> </w:t>
      </w:r>
      <w:r>
        <w:rPr>
          <w:w w:val="105"/>
        </w:rPr>
        <w:t>do</w:t>
      </w:r>
      <w:r>
        <w:rPr>
          <w:spacing w:val="-9"/>
          <w:w w:val="105"/>
        </w:rPr>
        <w:t> </w:t>
      </w:r>
      <w:r>
        <w:rPr>
          <w:spacing w:val="-2"/>
          <w:w w:val="105"/>
        </w:rPr>
        <w:t>not </w:t>
      </w:r>
      <w:r>
        <w:rPr>
          <w:spacing w:val="-3"/>
          <w:w w:val="105"/>
        </w:rPr>
        <w:t>require legislative amendment. </w:t>
      </w:r>
      <w:r>
        <w:rPr>
          <w:w w:val="105"/>
        </w:rPr>
        <w:t>The </w:t>
      </w:r>
      <w:r>
        <w:rPr>
          <w:spacing w:val="-3"/>
          <w:w w:val="105"/>
        </w:rPr>
        <w:t>Commission </w:t>
      </w:r>
      <w:r>
        <w:rPr>
          <w:spacing w:val="-2"/>
          <w:w w:val="105"/>
        </w:rPr>
        <w:t>has </w:t>
      </w:r>
      <w:r>
        <w:rPr>
          <w:w w:val="105"/>
        </w:rPr>
        <w:t>received no </w:t>
      </w:r>
      <w:r>
        <w:rPr>
          <w:spacing w:val="-3"/>
          <w:w w:val="105"/>
        </w:rPr>
        <w:t>submission </w:t>
      </w:r>
      <w:r>
        <w:rPr>
          <w:w w:val="105"/>
        </w:rPr>
        <w:t>expressing a contrary</w:t>
      </w:r>
      <w:r>
        <w:rPr>
          <w:spacing w:val="10"/>
          <w:w w:val="105"/>
        </w:rPr>
        <w:t> </w:t>
      </w:r>
      <w:r>
        <w:rPr>
          <w:spacing w:val="-4"/>
          <w:w w:val="105"/>
        </w:rPr>
        <w:t>view.</w:t>
      </w:r>
    </w:p>
    <w:p>
      <w:pPr>
        <w:pStyle w:val="ListParagraph"/>
        <w:numPr>
          <w:ilvl w:val="1"/>
          <w:numId w:val="152"/>
        </w:numPr>
        <w:tabs>
          <w:tab w:pos="2380" w:val="left" w:leader="none"/>
          <w:tab w:pos="2381" w:val="left" w:leader="none"/>
        </w:tabs>
        <w:spacing w:line="242" w:lineRule="auto" w:before="124" w:after="0"/>
        <w:ind w:left="2380" w:right="1814" w:hanging="793"/>
        <w:jc w:val="left"/>
        <w:rPr>
          <w:sz w:val="21"/>
        </w:rPr>
      </w:pPr>
      <w:r>
        <w:rPr>
          <w:sz w:val="21"/>
        </w:rPr>
        <w:t>The judges </w:t>
      </w:r>
      <w:r>
        <w:rPr>
          <w:spacing w:val="-3"/>
          <w:sz w:val="21"/>
        </w:rPr>
        <w:t>are </w:t>
      </w:r>
      <w:r>
        <w:rPr>
          <w:sz w:val="21"/>
        </w:rPr>
        <w:t>privy </w:t>
      </w:r>
      <w:r>
        <w:rPr>
          <w:spacing w:val="-3"/>
          <w:sz w:val="21"/>
        </w:rPr>
        <w:t>to </w:t>
      </w:r>
      <w:r>
        <w:rPr>
          <w:sz w:val="21"/>
        </w:rPr>
        <w:t>the legal and </w:t>
      </w:r>
      <w:r>
        <w:rPr>
          <w:spacing w:val="-3"/>
          <w:sz w:val="21"/>
        </w:rPr>
        <w:t>factual </w:t>
      </w:r>
      <w:r>
        <w:rPr>
          <w:sz w:val="21"/>
        </w:rPr>
        <w:t>details  and  </w:t>
      </w:r>
      <w:r>
        <w:rPr>
          <w:spacing w:val="-3"/>
          <w:sz w:val="21"/>
        </w:rPr>
        <w:t>nuances  </w:t>
      </w:r>
      <w:r>
        <w:rPr>
          <w:sz w:val="21"/>
        </w:rPr>
        <w:t>of  each  case  </w:t>
      </w:r>
      <w:r>
        <w:rPr>
          <w:spacing w:val="-3"/>
          <w:sz w:val="21"/>
        </w:rPr>
        <w:t>that </w:t>
      </w:r>
      <w:r>
        <w:rPr>
          <w:sz w:val="21"/>
        </w:rPr>
        <w:t>comes </w:t>
      </w:r>
      <w:r>
        <w:rPr>
          <w:spacing w:val="-3"/>
          <w:sz w:val="21"/>
        </w:rPr>
        <w:t>before </w:t>
      </w:r>
      <w:r>
        <w:rPr>
          <w:sz w:val="21"/>
        </w:rPr>
        <w:t>them. They </w:t>
      </w:r>
      <w:r>
        <w:rPr>
          <w:spacing w:val="-3"/>
          <w:sz w:val="21"/>
        </w:rPr>
        <w:t>are </w:t>
      </w:r>
      <w:r>
        <w:rPr>
          <w:sz w:val="21"/>
        </w:rPr>
        <w:t>best </w:t>
      </w:r>
      <w:r>
        <w:rPr>
          <w:spacing w:val="-2"/>
          <w:sz w:val="21"/>
        </w:rPr>
        <w:t>placed </w:t>
      </w:r>
      <w:r>
        <w:rPr>
          <w:spacing w:val="-3"/>
          <w:sz w:val="21"/>
        </w:rPr>
        <w:t>to </w:t>
      </w:r>
      <w:r>
        <w:rPr>
          <w:sz w:val="21"/>
        </w:rPr>
        <w:t>apply the costs rules in the </w:t>
      </w:r>
      <w:r>
        <w:rPr>
          <w:spacing w:val="-3"/>
          <w:sz w:val="21"/>
        </w:rPr>
        <w:t>exercise </w:t>
      </w:r>
      <w:r>
        <w:rPr>
          <w:sz w:val="21"/>
        </w:rPr>
        <w:t>of</w:t>
      </w:r>
      <w:r>
        <w:rPr>
          <w:spacing w:val="12"/>
          <w:sz w:val="21"/>
        </w:rPr>
        <w:t> </w:t>
      </w:r>
      <w:r>
        <w:rPr>
          <w:sz w:val="21"/>
        </w:rPr>
        <w:t>their</w:t>
      </w:r>
    </w:p>
    <w:p>
      <w:pPr>
        <w:spacing w:line="242" w:lineRule="auto" w:before="2"/>
        <w:ind w:left="2380" w:right="1664" w:firstLine="0"/>
        <w:jc w:val="left"/>
        <w:rPr>
          <w:sz w:val="21"/>
        </w:rPr>
      </w:pPr>
      <w:r>
        <w:rPr>
          <w:spacing w:val="-3"/>
          <w:w w:val="105"/>
          <w:sz w:val="21"/>
        </w:rPr>
        <w:t>discretion.</w:t>
      </w:r>
      <w:r>
        <w:rPr>
          <w:spacing w:val="-11"/>
          <w:w w:val="105"/>
          <w:sz w:val="21"/>
        </w:rPr>
        <w:t> </w:t>
      </w:r>
      <w:r>
        <w:rPr>
          <w:w w:val="105"/>
          <w:sz w:val="21"/>
        </w:rPr>
        <w:t>They</w:t>
      </w:r>
      <w:r>
        <w:rPr>
          <w:spacing w:val="-10"/>
          <w:w w:val="105"/>
          <w:sz w:val="21"/>
        </w:rPr>
        <w:t> </w:t>
      </w:r>
      <w:r>
        <w:rPr>
          <w:spacing w:val="-3"/>
          <w:w w:val="105"/>
          <w:sz w:val="21"/>
        </w:rPr>
        <w:t>are</w:t>
      </w:r>
      <w:r>
        <w:rPr>
          <w:spacing w:val="-11"/>
          <w:w w:val="105"/>
          <w:sz w:val="21"/>
        </w:rPr>
        <w:t> </w:t>
      </w:r>
      <w:r>
        <w:rPr>
          <w:w w:val="105"/>
          <w:sz w:val="21"/>
        </w:rPr>
        <w:t>also</w:t>
      </w:r>
      <w:r>
        <w:rPr>
          <w:spacing w:val="-10"/>
          <w:w w:val="105"/>
          <w:sz w:val="21"/>
        </w:rPr>
        <w:t> </w:t>
      </w:r>
      <w:r>
        <w:rPr>
          <w:w w:val="105"/>
          <w:sz w:val="21"/>
        </w:rPr>
        <w:t>best</w:t>
      </w:r>
      <w:r>
        <w:rPr>
          <w:spacing w:val="-10"/>
          <w:w w:val="105"/>
          <w:sz w:val="21"/>
        </w:rPr>
        <w:t> </w:t>
      </w:r>
      <w:r>
        <w:rPr>
          <w:spacing w:val="-2"/>
          <w:w w:val="105"/>
          <w:sz w:val="21"/>
        </w:rPr>
        <w:t>placed</w:t>
      </w:r>
      <w:r>
        <w:rPr>
          <w:spacing w:val="-11"/>
          <w:w w:val="105"/>
          <w:sz w:val="21"/>
        </w:rPr>
        <w:t> </w:t>
      </w:r>
      <w:r>
        <w:rPr>
          <w:spacing w:val="-3"/>
          <w:w w:val="105"/>
          <w:sz w:val="21"/>
        </w:rPr>
        <w:t>to</w:t>
      </w:r>
      <w:r>
        <w:rPr>
          <w:spacing w:val="-10"/>
          <w:w w:val="105"/>
          <w:sz w:val="21"/>
        </w:rPr>
        <w:t> </w:t>
      </w:r>
      <w:r>
        <w:rPr>
          <w:spacing w:val="-3"/>
          <w:w w:val="105"/>
          <w:sz w:val="21"/>
        </w:rPr>
        <w:t>improve</w:t>
      </w:r>
      <w:r>
        <w:rPr>
          <w:spacing w:val="-10"/>
          <w:w w:val="105"/>
          <w:sz w:val="21"/>
        </w:rPr>
        <w:t> </w:t>
      </w:r>
      <w:r>
        <w:rPr>
          <w:w w:val="105"/>
          <w:sz w:val="21"/>
        </w:rPr>
        <w:t>or</w:t>
      </w:r>
      <w:r>
        <w:rPr>
          <w:spacing w:val="-11"/>
          <w:w w:val="105"/>
          <w:sz w:val="21"/>
        </w:rPr>
        <w:t> </w:t>
      </w:r>
      <w:r>
        <w:rPr>
          <w:spacing w:val="-3"/>
          <w:w w:val="105"/>
          <w:sz w:val="21"/>
        </w:rPr>
        <w:t>clarify,</w:t>
      </w:r>
      <w:r>
        <w:rPr>
          <w:spacing w:val="-10"/>
          <w:w w:val="105"/>
          <w:sz w:val="21"/>
        </w:rPr>
        <w:t> </w:t>
      </w:r>
      <w:r>
        <w:rPr>
          <w:w w:val="105"/>
          <w:sz w:val="21"/>
        </w:rPr>
        <w:t>as</w:t>
      </w:r>
      <w:r>
        <w:rPr>
          <w:spacing w:val="-10"/>
          <w:w w:val="105"/>
          <w:sz w:val="21"/>
        </w:rPr>
        <w:t> </w:t>
      </w:r>
      <w:r>
        <w:rPr>
          <w:w w:val="105"/>
          <w:sz w:val="21"/>
        </w:rPr>
        <w:t>necessary,</w:t>
      </w:r>
      <w:r>
        <w:rPr>
          <w:spacing w:val="-11"/>
          <w:w w:val="105"/>
          <w:sz w:val="21"/>
        </w:rPr>
        <w:t> </w:t>
      </w:r>
      <w:r>
        <w:rPr>
          <w:spacing w:val="-3"/>
          <w:w w:val="105"/>
          <w:sz w:val="21"/>
        </w:rPr>
        <w:t>current</w:t>
      </w:r>
      <w:r>
        <w:rPr>
          <w:spacing w:val="-10"/>
          <w:w w:val="105"/>
          <w:sz w:val="21"/>
        </w:rPr>
        <w:t> </w:t>
      </w:r>
      <w:r>
        <w:rPr>
          <w:w w:val="105"/>
          <w:sz w:val="21"/>
        </w:rPr>
        <w:t>costs</w:t>
      </w:r>
      <w:r>
        <w:rPr>
          <w:spacing w:val="-11"/>
          <w:w w:val="105"/>
          <w:sz w:val="21"/>
        </w:rPr>
        <w:t> </w:t>
      </w:r>
      <w:r>
        <w:rPr>
          <w:w w:val="105"/>
          <w:sz w:val="21"/>
        </w:rPr>
        <w:t>rules or practices. A </w:t>
      </w:r>
      <w:r>
        <w:rPr>
          <w:spacing w:val="-3"/>
          <w:w w:val="105"/>
          <w:sz w:val="21"/>
        </w:rPr>
        <w:t>recent </w:t>
      </w:r>
      <w:r>
        <w:rPr>
          <w:w w:val="105"/>
          <w:sz w:val="21"/>
        </w:rPr>
        <w:t>example of a </w:t>
      </w:r>
      <w:r>
        <w:rPr>
          <w:spacing w:val="-3"/>
          <w:w w:val="105"/>
          <w:sz w:val="21"/>
        </w:rPr>
        <w:t>significant </w:t>
      </w:r>
      <w:r>
        <w:rPr>
          <w:w w:val="105"/>
          <w:sz w:val="21"/>
        </w:rPr>
        <w:t>rule </w:t>
      </w:r>
      <w:r>
        <w:rPr>
          <w:spacing w:val="-3"/>
          <w:w w:val="105"/>
          <w:sz w:val="21"/>
        </w:rPr>
        <w:t>change </w:t>
      </w:r>
      <w:r>
        <w:rPr>
          <w:w w:val="105"/>
          <w:sz w:val="21"/>
        </w:rPr>
        <w:t>is </w:t>
      </w:r>
      <w:r>
        <w:rPr>
          <w:spacing w:val="-3"/>
          <w:w w:val="105"/>
          <w:sz w:val="21"/>
        </w:rPr>
        <w:t>found </w:t>
      </w:r>
      <w:r>
        <w:rPr>
          <w:w w:val="105"/>
          <w:sz w:val="21"/>
        </w:rPr>
        <w:t>in the </w:t>
      </w:r>
      <w:r>
        <w:rPr>
          <w:i/>
          <w:w w:val="105"/>
          <w:sz w:val="21"/>
        </w:rPr>
        <w:t>Supreme Court </w:t>
      </w:r>
      <w:r>
        <w:rPr>
          <w:i/>
          <w:w w:val="105"/>
          <w:sz w:val="21"/>
        </w:rPr>
        <w:t>(Chapter </w:t>
      </w:r>
      <w:r>
        <w:rPr>
          <w:i/>
          <w:spacing w:val="-5"/>
          <w:w w:val="105"/>
          <w:sz w:val="21"/>
        </w:rPr>
        <w:t>1) </w:t>
      </w:r>
      <w:r>
        <w:rPr>
          <w:i/>
          <w:w w:val="105"/>
          <w:sz w:val="21"/>
        </w:rPr>
        <w:t>New Scale </w:t>
      </w:r>
      <w:r>
        <w:rPr>
          <w:i/>
          <w:spacing w:val="-3"/>
          <w:w w:val="105"/>
          <w:sz w:val="21"/>
        </w:rPr>
        <w:t>of </w:t>
      </w:r>
      <w:r>
        <w:rPr>
          <w:i/>
          <w:w w:val="105"/>
          <w:sz w:val="21"/>
        </w:rPr>
        <w:t>Costs and </w:t>
      </w:r>
      <w:r>
        <w:rPr>
          <w:i/>
          <w:spacing w:val="-3"/>
          <w:w w:val="105"/>
          <w:sz w:val="21"/>
        </w:rPr>
        <w:t>other </w:t>
      </w:r>
      <w:r>
        <w:rPr>
          <w:i/>
          <w:w w:val="105"/>
          <w:sz w:val="21"/>
        </w:rPr>
        <w:t>Costs Amendments) Rules </w:t>
      </w:r>
      <w:r>
        <w:rPr>
          <w:i/>
          <w:spacing w:val="-10"/>
          <w:w w:val="105"/>
          <w:sz w:val="21"/>
        </w:rPr>
        <w:t>2012 </w:t>
      </w:r>
      <w:r>
        <w:rPr>
          <w:w w:val="105"/>
          <w:sz w:val="21"/>
        </w:rPr>
        <w:t>(Vic) </w:t>
      </w:r>
      <w:r>
        <w:rPr>
          <w:spacing w:val="-3"/>
          <w:w w:val="105"/>
          <w:sz w:val="21"/>
        </w:rPr>
        <w:t>to </w:t>
      </w:r>
      <w:r>
        <w:rPr>
          <w:w w:val="105"/>
          <w:sz w:val="21"/>
        </w:rPr>
        <w:t>be </w:t>
      </w:r>
      <w:r>
        <w:rPr>
          <w:spacing w:val="-3"/>
          <w:w w:val="105"/>
          <w:sz w:val="21"/>
        </w:rPr>
        <w:t>read </w:t>
      </w:r>
      <w:r>
        <w:rPr>
          <w:w w:val="105"/>
          <w:sz w:val="21"/>
        </w:rPr>
        <w:t>with </w:t>
      </w:r>
      <w:r>
        <w:rPr>
          <w:spacing w:val="-3"/>
          <w:w w:val="105"/>
          <w:sz w:val="21"/>
        </w:rPr>
        <w:t>Supreme Court </w:t>
      </w:r>
      <w:r>
        <w:rPr>
          <w:w w:val="105"/>
          <w:sz w:val="21"/>
        </w:rPr>
        <w:t>of Victoria </w:t>
      </w:r>
      <w:r>
        <w:rPr>
          <w:i/>
          <w:w w:val="105"/>
          <w:sz w:val="21"/>
        </w:rPr>
        <w:t>Practice Note 1 </w:t>
      </w:r>
      <w:r>
        <w:rPr>
          <w:i/>
          <w:spacing w:val="-3"/>
          <w:w w:val="105"/>
          <w:sz w:val="21"/>
        </w:rPr>
        <w:t>of 2013</w:t>
      </w:r>
      <w:r>
        <w:rPr>
          <w:spacing w:val="-3"/>
          <w:w w:val="105"/>
          <w:sz w:val="21"/>
        </w:rPr>
        <w:t>—</w:t>
      </w:r>
      <w:r>
        <w:rPr>
          <w:i/>
          <w:spacing w:val="-3"/>
          <w:w w:val="105"/>
          <w:sz w:val="21"/>
        </w:rPr>
        <w:t>New </w:t>
      </w:r>
      <w:r>
        <w:rPr>
          <w:i/>
          <w:w w:val="105"/>
          <w:sz w:val="21"/>
        </w:rPr>
        <w:t>Scale </w:t>
      </w:r>
      <w:r>
        <w:rPr>
          <w:i/>
          <w:spacing w:val="-3"/>
          <w:w w:val="105"/>
          <w:sz w:val="21"/>
        </w:rPr>
        <w:t>of </w:t>
      </w:r>
      <w:r>
        <w:rPr>
          <w:i/>
          <w:w w:val="105"/>
          <w:sz w:val="21"/>
        </w:rPr>
        <w:t>Costs and   </w:t>
      </w:r>
      <w:r>
        <w:rPr>
          <w:i/>
          <w:spacing w:val="-3"/>
          <w:w w:val="105"/>
          <w:sz w:val="21"/>
        </w:rPr>
        <w:t>Counsel</w:t>
      </w:r>
      <w:r>
        <w:rPr>
          <w:i/>
          <w:spacing w:val="5"/>
          <w:w w:val="105"/>
          <w:sz w:val="21"/>
        </w:rPr>
        <w:t> </w:t>
      </w:r>
      <w:r>
        <w:rPr>
          <w:i/>
          <w:w w:val="105"/>
          <w:sz w:val="21"/>
        </w:rPr>
        <w:t>Fees</w:t>
      </w:r>
      <w:r>
        <w:rPr>
          <w:w w:val="105"/>
          <w:sz w:val="21"/>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9"/>
        </w:rPr>
      </w:pPr>
      <w:r>
        <w:rPr/>
        <w:pict>
          <v:line style="position:absolute;mso-position-horizontal-relative:page;mso-position-vertical-relative:paragraph;z-index:12848;mso-wrap-distance-left:0;mso-wrap-distance-right:0" from="79.370102pt,14.451857pt" to="515.905102pt,14.451857pt" stroked="true" strokeweight="1pt" strokecolor="#f9ceca">
            <v:stroke dashstyle="solid"/>
            <w10:wrap type="topAndBottom"/>
          </v:line>
        </w:pict>
      </w:r>
    </w:p>
    <w:p>
      <w:pPr>
        <w:pStyle w:val="BodyText"/>
        <w:spacing w:before="8"/>
        <w:rPr>
          <w:sz w:val="5"/>
        </w:rPr>
      </w:pPr>
    </w:p>
    <w:p>
      <w:pPr>
        <w:spacing w:after="0"/>
        <w:rPr>
          <w:sz w:val="5"/>
        </w:rPr>
        <w:sectPr>
          <w:pgSz w:w="11910" w:h="16840"/>
          <w:pgMar w:header="805" w:footer="0" w:top="1360" w:bottom="280" w:left="0" w:right="0"/>
        </w:sectPr>
      </w:pPr>
    </w:p>
    <w:p>
      <w:pPr>
        <w:pStyle w:val="ListParagraph"/>
        <w:numPr>
          <w:ilvl w:val="0"/>
          <w:numId w:val="154"/>
        </w:numPr>
        <w:tabs>
          <w:tab w:pos="2381" w:val="left" w:leader="none"/>
          <w:tab w:pos="2382" w:val="left" w:leader="none"/>
        </w:tabs>
        <w:spacing w:line="240" w:lineRule="auto" w:before="48" w:after="0"/>
        <w:ind w:left="2381" w:right="87" w:hanging="794"/>
        <w:jc w:val="left"/>
        <w:rPr>
          <w:sz w:val="13"/>
        </w:rPr>
      </w:pPr>
      <w:r>
        <w:rPr>
          <w:w w:val="105"/>
          <w:sz w:val="13"/>
        </w:rPr>
        <w:t>See </w:t>
      </w:r>
      <w:r>
        <w:rPr>
          <w:i/>
          <w:w w:val="105"/>
          <w:sz w:val="13"/>
        </w:rPr>
        <w:t>Re Beddoe </w:t>
      </w:r>
      <w:r>
        <w:rPr>
          <w:w w:val="105"/>
          <w:sz w:val="13"/>
        </w:rPr>
        <w:t>[1893] 1 Ch </w:t>
      </w:r>
      <w:r>
        <w:rPr>
          <w:spacing w:val="-3"/>
          <w:w w:val="105"/>
          <w:sz w:val="13"/>
        </w:rPr>
        <w:t>547, </w:t>
      </w:r>
      <w:r>
        <w:rPr>
          <w:w w:val="105"/>
          <w:sz w:val="13"/>
        </w:rPr>
        <w:t>discussed by the High Court of Australia in </w:t>
      </w:r>
      <w:r>
        <w:rPr>
          <w:i/>
          <w:w w:val="105"/>
          <w:sz w:val="13"/>
        </w:rPr>
        <w:t>Macedonian Orthodox Community Church St Petka Inc v His </w:t>
      </w:r>
      <w:r>
        <w:rPr>
          <w:i/>
          <w:w w:val="105"/>
          <w:sz w:val="13"/>
        </w:rPr>
        <w:t>Eminence Petar </w:t>
      </w:r>
      <w:r>
        <w:rPr>
          <w:spacing w:val="2"/>
          <w:w w:val="105"/>
          <w:sz w:val="13"/>
        </w:rPr>
        <w:t>(2008) </w:t>
      </w:r>
      <w:r>
        <w:rPr>
          <w:w w:val="105"/>
          <w:sz w:val="13"/>
        </w:rPr>
        <w:t>237 CLR 66, 86–7, </w:t>
      </w:r>
      <w:r>
        <w:rPr>
          <w:spacing w:val="3"/>
          <w:w w:val="105"/>
          <w:sz w:val="13"/>
        </w:rPr>
        <w:t>93–4. </w:t>
      </w:r>
      <w:r>
        <w:rPr>
          <w:w w:val="105"/>
          <w:sz w:val="13"/>
        </w:rPr>
        <w:t>For discussion of appeals by trustees, see </w:t>
      </w:r>
      <w:r>
        <w:rPr>
          <w:i/>
          <w:w w:val="105"/>
          <w:sz w:val="13"/>
        </w:rPr>
        <w:t>Australian Incentive Plan </w:t>
      </w:r>
      <w:r>
        <w:rPr>
          <w:i/>
          <w:spacing w:val="3"/>
          <w:w w:val="105"/>
          <w:sz w:val="13"/>
        </w:rPr>
        <w:t>Pty </w:t>
      </w:r>
      <w:r>
        <w:rPr>
          <w:i/>
          <w:w w:val="105"/>
          <w:sz w:val="13"/>
        </w:rPr>
        <w:t>Ltd v Attorney- </w:t>
      </w:r>
      <w:r>
        <w:rPr>
          <w:i/>
          <w:w w:val="105"/>
          <w:sz w:val="13"/>
        </w:rPr>
        <w:t>General</w:t>
      </w:r>
      <w:r>
        <w:rPr>
          <w:i/>
          <w:spacing w:val="3"/>
          <w:w w:val="105"/>
          <w:sz w:val="13"/>
        </w:rPr>
        <w:t> </w:t>
      </w:r>
      <w:r>
        <w:rPr>
          <w:i/>
          <w:w w:val="105"/>
          <w:sz w:val="13"/>
        </w:rPr>
        <w:t>for</w:t>
      </w:r>
      <w:r>
        <w:rPr>
          <w:i/>
          <w:spacing w:val="4"/>
          <w:w w:val="105"/>
          <w:sz w:val="13"/>
        </w:rPr>
        <w:t> </w:t>
      </w:r>
      <w:r>
        <w:rPr>
          <w:i/>
          <w:w w:val="105"/>
          <w:sz w:val="13"/>
        </w:rPr>
        <w:t>Victoria</w:t>
      </w:r>
      <w:r>
        <w:rPr>
          <w:i/>
          <w:spacing w:val="5"/>
          <w:w w:val="105"/>
          <w:sz w:val="13"/>
        </w:rPr>
        <w:t> </w:t>
      </w:r>
      <w:r>
        <w:rPr>
          <w:spacing w:val="3"/>
          <w:w w:val="105"/>
          <w:sz w:val="13"/>
        </w:rPr>
        <w:t>(No</w:t>
      </w:r>
      <w:r>
        <w:rPr>
          <w:spacing w:val="5"/>
          <w:w w:val="105"/>
          <w:sz w:val="13"/>
        </w:rPr>
        <w:t> </w:t>
      </w:r>
      <w:r>
        <w:rPr>
          <w:w w:val="105"/>
          <w:sz w:val="13"/>
        </w:rPr>
        <w:t>2)</w:t>
      </w:r>
      <w:r>
        <w:rPr>
          <w:spacing w:val="5"/>
          <w:w w:val="105"/>
          <w:sz w:val="13"/>
        </w:rPr>
        <w:t> </w:t>
      </w:r>
      <w:r>
        <w:rPr>
          <w:w w:val="105"/>
          <w:sz w:val="13"/>
        </w:rPr>
        <w:t>[2012]</w:t>
      </w:r>
      <w:r>
        <w:rPr>
          <w:spacing w:val="4"/>
          <w:w w:val="105"/>
          <w:sz w:val="13"/>
        </w:rPr>
        <w:t> </w:t>
      </w:r>
      <w:r>
        <w:rPr>
          <w:w w:val="105"/>
          <w:sz w:val="13"/>
        </w:rPr>
        <w:t>VSCA</w:t>
      </w:r>
      <w:r>
        <w:rPr>
          <w:spacing w:val="5"/>
          <w:w w:val="105"/>
          <w:sz w:val="13"/>
        </w:rPr>
        <w:t> </w:t>
      </w:r>
      <w:r>
        <w:rPr>
          <w:spacing w:val="-3"/>
          <w:w w:val="105"/>
          <w:sz w:val="13"/>
        </w:rPr>
        <w:t>251</w:t>
      </w:r>
      <w:r>
        <w:rPr>
          <w:spacing w:val="5"/>
          <w:w w:val="105"/>
          <w:sz w:val="13"/>
        </w:rPr>
        <w:t> </w:t>
      </w:r>
      <w:r>
        <w:rPr>
          <w:w w:val="105"/>
          <w:sz w:val="13"/>
        </w:rPr>
        <w:t>(28</w:t>
      </w:r>
      <w:r>
        <w:rPr>
          <w:spacing w:val="5"/>
          <w:w w:val="105"/>
          <w:sz w:val="13"/>
        </w:rPr>
        <w:t> </w:t>
      </w:r>
      <w:r>
        <w:rPr>
          <w:w w:val="105"/>
          <w:sz w:val="13"/>
        </w:rPr>
        <w:t>September</w:t>
      </w:r>
      <w:r>
        <w:rPr>
          <w:spacing w:val="5"/>
          <w:w w:val="105"/>
          <w:sz w:val="13"/>
        </w:rPr>
        <w:t> </w:t>
      </w:r>
      <w:r>
        <w:rPr>
          <w:w w:val="105"/>
          <w:sz w:val="13"/>
        </w:rPr>
        <w:t>2012).</w:t>
      </w:r>
    </w:p>
    <w:p>
      <w:pPr>
        <w:pStyle w:val="ListParagraph"/>
        <w:numPr>
          <w:ilvl w:val="0"/>
          <w:numId w:val="154"/>
        </w:numPr>
        <w:tabs>
          <w:tab w:pos="2381" w:val="left" w:leader="none"/>
          <w:tab w:pos="2382" w:val="left" w:leader="none"/>
        </w:tabs>
        <w:spacing w:line="240" w:lineRule="auto" w:before="4" w:after="0"/>
        <w:ind w:left="2381" w:right="0" w:hanging="794"/>
        <w:jc w:val="left"/>
        <w:rPr>
          <w:sz w:val="13"/>
        </w:rPr>
      </w:pPr>
      <w:r>
        <w:rPr>
          <w:w w:val="105"/>
          <w:sz w:val="13"/>
        </w:rPr>
        <w:t>For the position where a trustee </w:t>
      </w:r>
      <w:r>
        <w:rPr>
          <w:spacing w:val="2"/>
          <w:w w:val="105"/>
          <w:sz w:val="13"/>
        </w:rPr>
        <w:t>acts </w:t>
      </w:r>
      <w:r>
        <w:rPr>
          <w:w w:val="105"/>
          <w:sz w:val="13"/>
        </w:rPr>
        <w:t>contrary to the court’s advice, including examples where the costs have still been met by the estate, see</w:t>
      </w:r>
      <w:r>
        <w:rPr>
          <w:spacing w:val="4"/>
          <w:w w:val="105"/>
          <w:sz w:val="13"/>
        </w:rPr>
        <w:t> </w:t>
      </w:r>
      <w:r>
        <w:rPr>
          <w:i/>
          <w:w w:val="105"/>
          <w:sz w:val="13"/>
        </w:rPr>
        <w:t>Australian</w:t>
      </w:r>
      <w:r>
        <w:rPr>
          <w:i/>
          <w:spacing w:val="3"/>
          <w:w w:val="105"/>
          <w:sz w:val="13"/>
        </w:rPr>
        <w:t> </w:t>
      </w:r>
      <w:r>
        <w:rPr>
          <w:i/>
          <w:w w:val="105"/>
          <w:sz w:val="13"/>
        </w:rPr>
        <w:t>Incentive</w:t>
      </w:r>
      <w:r>
        <w:rPr>
          <w:i/>
          <w:spacing w:val="3"/>
          <w:w w:val="105"/>
          <w:sz w:val="13"/>
        </w:rPr>
        <w:t> </w:t>
      </w:r>
      <w:r>
        <w:rPr>
          <w:i/>
          <w:w w:val="105"/>
          <w:sz w:val="13"/>
        </w:rPr>
        <w:t>Plan</w:t>
      </w:r>
      <w:r>
        <w:rPr>
          <w:i/>
          <w:spacing w:val="3"/>
          <w:w w:val="105"/>
          <w:sz w:val="13"/>
        </w:rPr>
        <w:t> Pty </w:t>
      </w:r>
      <w:r>
        <w:rPr>
          <w:i/>
          <w:w w:val="105"/>
          <w:sz w:val="13"/>
        </w:rPr>
        <w:t>Ltd</w:t>
      </w:r>
      <w:r>
        <w:rPr>
          <w:i/>
          <w:spacing w:val="3"/>
          <w:w w:val="105"/>
          <w:sz w:val="13"/>
        </w:rPr>
        <w:t> </w:t>
      </w:r>
      <w:r>
        <w:rPr>
          <w:i/>
          <w:w w:val="105"/>
          <w:sz w:val="13"/>
        </w:rPr>
        <w:t>v</w:t>
      </w:r>
      <w:r>
        <w:rPr>
          <w:i/>
          <w:spacing w:val="3"/>
          <w:w w:val="105"/>
          <w:sz w:val="13"/>
        </w:rPr>
        <w:t> </w:t>
      </w:r>
      <w:r>
        <w:rPr>
          <w:i/>
          <w:w w:val="105"/>
          <w:sz w:val="13"/>
        </w:rPr>
        <w:t>Attorney-General</w:t>
      </w:r>
      <w:r>
        <w:rPr>
          <w:i/>
          <w:spacing w:val="4"/>
          <w:w w:val="105"/>
          <w:sz w:val="13"/>
        </w:rPr>
        <w:t> </w:t>
      </w:r>
      <w:r>
        <w:rPr>
          <w:i/>
          <w:w w:val="105"/>
          <w:sz w:val="13"/>
        </w:rPr>
        <w:t>for</w:t>
      </w:r>
      <w:r>
        <w:rPr>
          <w:i/>
          <w:spacing w:val="3"/>
          <w:w w:val="105"/>
          <w:sz w:val="13"/>
        </w:rPr>
        <w:t> </w:t>
      </w:r>
      <w:r>
        <w:rPr>
          <w:i/>
          <w:w w:val="105"/>
          <w:sz w:val="13"/>
        </w:rPr>
        <w:t>Victoria</w:t>
      </w:r>
      <w:r>
        <w:rPr>
          <w:i/>
          <w:spacing w:val="4"/>
          <w:w w:val="105"/>
          <w:sz w:val="13"/>
        </w:rPr>
        <w:t> </w:t>
      </w:r>
      <w:r>
        <w:rPr>
          <w:spacing w:val="3"/>
          <w:w w:val="105"/>
          <w:sz w:val="13"/>
        </w:rPr>
        <w:t>(No</w:t>
      </w:r>
      <w:r>
        <w:rPr>
          <w:spacing w:val="4"/>
          <w:w w:val="105"/>
          <w:sz w:val="13"/>
        </w:rPr>
        <w:t> </w:t>
      </w:r>
      <w:r>
        <w:rPr>
          <w:w w:val="105"/>
          <w:sz w:val="13"/>
        </w:rPr>
        <w:t>2)</w:t>
      </w:r>
      <w:r>
        <w:rPr>
          <w:spacing w:val="4"/>
          <w:w w:val="105"/>
          <w:sz w:val="13"/>
        </w:rPr>
        <w:t> </w:t>
      </w:r>
      <w:r>
        <w:rPr>
          <w:w w:val="105"/>
          <w:sz w:val="13"/>
        </w:rPr>
        <w:t>[2012]</w:t>
      </w:r>
      <w:r>
        <w:rPr>
          <w:spacing w:val="4"/>
          <w:w w:val="105"/>
          <w:sz w:val="13"/>
        </w:rPr>
        <w:t> </w:t>
      </w:r>
      <w:r>
        <w:rPr>
          <w:w w:val="105"/>
          <w:sz w:val="13"/>
        </w:rPr>
        <w:t>VSCA</w:t>
      </w:r>
      <w:r>
        <w:rPr>
          <w:spacing w:val="4"/>
          <w:w w:val="105"/>
          <w:sz w:val="13"/>
        </w:rPr>
        <w:t> </w:t>
      </w:r>
      <w:r>
        <w:rPr>
          <w:spacing w:val="-3"/>
          <w:w w:val="105"/>
          <w:sz w:val="13"/>
        </w:rPr>
        <w:t>251</w:t>
      </w:r>
      <w:r>
        <w:rPr>
          <w:spacing w:val="5"/>
          <w:w w:val="105"/>
          <w:sz w:val="13"/>
        </w:rPr>
        <w:t> </w:t>
      </w:r>
      <w:r>
        <w:rPr>
          <w:w w:val="105"/>
          <w:sz w:val="13"/>
        </w:rPr>
        <w:t>(28</w:t>
      </w:r>
      <w:r>
        <w:rPr>
          <w:spacing w:val="4"/>
          <w:w w:val="105"/>
          <w:sz w:val="13"/>
        </w:rPr>
        <w:t> </w:t>
      </w:r>
      <w:r>
        <w:rPr>
          <w:w w:val="105"/>
          <w:sz w:val="13"/>
        </w:rPr>
        <w:t>September</w:t>
      </w:r>
      <w:r>
        <w:rPr>
          <w:spacing w:val="4"/>
          <w:w w:val="105"/>
          <w:sz w:val="13"/>
        </w:rPr>
        <w:t> </w:t>
      </w:r>
      <w:r>
        <w:rPr>
          <w:w w:val="105"/>
          <w:sz w:val="13"/>
        </w:rPr>
        <w:t>2012)</w:t>
      </w:r>
      <w:r>
        <w:rPr>
          <w:spacing w:val="4"/>
          <w:w w:val="105"/>
          <w:sz w:val="13"/>
        </w:rPr>
        <w:t> </w:t>
      </w:r>
      <w:r>
        <w:rPr>
          <w:spacing w:val="3"/>
          <w:w w:val="105"/>
          <w:sz w:val="13"/>
        </w:rPr>
        <w:t>[8]–[11].</w:t>
      </w:r>
    </w:p>
    <w:p>
      <w:pPr>
        <w:pStyle w:val="ListParagraph"/>
        <w:numPr>
          <w:ilvl w:val="0"/>
          <w:numId w:val="154"/>
        </w:numPr>
        <w:tabs>
          <w:tab w:pos="2381" w:val="left" w:leader="none"/>
          <w:tab w:pos="2382" w:val="left" w:leader="none"/>
        </w:tabs>
        <w:spacing w:line="240" w:lineRule="auto" w:before="3" w:after="0"/>
        <w:ind w:left="2381" w:right="0" w:hanging="794"/>
        <w:jc w:val="left"/>
        <w:rPr>
          <w:sz w:val="13"/>
        </w:rPr>
      </w:pPr>
      <w:r>
        <w:rPr>
          <w:i/>
          <w:sz w:val="13"/>
        </w:rPr>
        <w:t>Supreme</w:t>
      </w:r>
      <w:r>
        <w:rPr>
          <w:i/>
          <w:spacing w:val="7"/>
          <w:sz w:val="13"/>
        </w:rPr>
        <w:t> </w:t>
      </w:r>
      <w:r>
        <w:rPr>
          <w:i/>
          <w:sz w:val="13"/>
        </w:rPr>
        <w:t>Court</w:t>
      </w:r>
      <w:r>
        <w:rPr>
          <w:i/>
          <w:spacing w:val="7"/>
          <w:sz w:val="13"/>
        </w:rPr>
        <w:t> </w:t>
      </w:r>
      <w:r>
        <w:rPr>
          <w:i/>
          <w:sz w:val="13"/>
        </w:rPr>
        <w:t>(Miscellaneous</w:t>
      </w:r>
      <w:r>
        <w:rPr>
          <w:i/>
          <w:spacing w:val="7"/>
          <w:sz w:val="13"/>
        </w:rPr>
        <w:t> </w:t>
      </w:r>
      <w:r>
        <w:rPr>
          <w:i/>
          <w:sz w:val="13"/>
        </w:rPr>
        <w:t>Civil</w:t>
      </w:r>
      <w:r>
        <w:rPr>
          <w:i/>
          <w:spacing w:val="7"/>
          <w:sz w:val="13"/>
        </w:rPr>
        <w:t> </w:t>
      </w:r>
      <w:r>
        <w:rPr>
          <w:i/>
          <w:sz w:val="13"/>
        </w:rPr>
        <w:t>Proceedings)</w:t>
      </w:r>
      <w:r>
        <w:rPr>
          <w:i/>
          <w:spacing w:val="7"/>
          <w:sz w:val="13"/>
        </w:rPr>
        <w:t> </w:t>
      </w:r>
      <w:r>
        <w:rPr>
          <w:i/>
          <w:sz w:val="13"/>
        </w:rPr>
        <w:t>Rules</w:t>
      </w:r>
      <w:r>
        <w:rPr>
          <w:i/>
          <w:spacing w:val="7"/>
          <w:sz w:val="13"/>
        </w:rPr>
        <w:t> </w:t>
      </w:r>
      <w:r>
        <w:rPr>
          <w:i/>
          <w:sz w:val="13"/>
        </w:rPr>
        <w:t>2008</w:t>
      </w:r>
      <w:r>
        <w:rPr>
          <w:i/>
          <w:spacing w:val="8"/>
          <w:sz w:val="13"/>
        </w:rPr>
        <w:t> </w:t>
      </w:r>
      <w:r>
        <w:rPr>
          <w:spacing w:val="2"/>
          <w:sz w:val="13"/>
        </w:rPr>
        <w:t>(Vic)</w:t>
      </w:r>
      <w:r>
        <w:rPr>
          <w:spacing w:val="8"/>
          <w:sz w:val="13"/>
        </w:rPr>
        <w:t> </w:t>
      </w:r>
      <w:r>
        <w:rPr>
          <w:sz w:val="13"/>
        </w:rPr>
        <w:t>r</w:t>
      </w:r>
      <w:r>
        <w:rPr>
          <w:spacing w:val="8"/>
          <w:sz w:val="13"/>
        </w:rPr>
        <w:t> </w:t>
      </w:r>
      <w:r>
        <w:rPr>
          <w:sz w:val="13"/>
        </w:rPr>
        <w:t>16.04(1).</w:t>
      </w:r>
    </w:p>
    <w:p>
      <w:pPr>
        <w:pStyle w:val="ListParagraph"/>
        <w:numPr>
          <w:ilvl w:val="0"/>
          <w:numId w:val="154"/>
        </w:numPr>
        <w:tabs>
          <w:tab w:pos="2381" w:val="left" w:leader="none"/>
          <w:tab w:pos="2382" w:val="left" w:leader="none"/>
        </w:tabs>
        <w:spacing w:line="240" w:lineRule="auto" w:before="1" w:after="0"/>
        <w:ind w:left="2381" w:right="0" w:hanging="794"/>
        <w:jc w:val="left"/>
        <w:rPr>
          <w:sz w:val="13"/>
        </w:rPr>
      </w:pPr>
      <w:r>
        <w:rPr>
          <w:i/>
          <w:w w:val="105"/>
          <w:sz w:val="13"/>
        </w:rPr>
        <w:t>Supreme Court (Administration and Probate) Rules 2004 </w:t>
      </w:r>
      <w:r>
        <w:rPr>
          <w:spacing w:val="2"/>
          <w:w w:val="105"/>
          <w:sz w:val="13"/>
        </w:rPr>
        <w:t>(Vic) </w:t>
      </w:r>
      <w:r>
        <w:rPr>
          <w:w w:val="105"/>
          <w:sz w:val="13"/>
        </w:rPr>
        <w:t>r</w:t>
      </w:r>
      <w:r>
        <w:rPr>
          <w:spacing w:val="4"/>
          <w:w w:val="105"/>
          <w:sz w:val="13"/>
        </w:rPr>
        <w:t> </w:t>
      </w:r>
      <w:r>
        <w:rPr>
          <w:w w:val="105"/>
          <w:sz w:val="13"/>
        </w:rPr>
        <w:t>2A.02.</w:t>
      </w:r>
    </w:p>
    <w:p>
      <w:pPr>
        <w:pStyle w:val="BodyText"/>
        <w:rPr>
          <w:sz w:val="28"/>
        </w:rPr>
      </w:pPr>
      <w:r>
        <w:rPr/>
        <w:br w:type="column"/>
      </w:r>
      <w:r>
        <w:rPr>
          <w:sz w:val="28"/>
        </w:rPr>
      </w:r>
    </w:p>
    <w:p>
      <w:pPr>
        <w:pStyle w:val="BodyText"/>
        <w:rPr>
          <w:sz w:val="28"/>
        </w:rPr>
      </w:pPr>
    </w:p>
    <w:p>
      <w:pPr>
        <w:spacing w:before="220"/>
        <w:ind w:left="705" w:right="579" w:firstLine="0"/>
        <w:jc w:val="center"/>
        <w:rPr>
          <w:b/>
          <w:sz w:val="24"/>
        </w:rPr>
      </w:pPr>
      <w:r>
        <w:rPr>
          <w:b/>
          <w:color w:val="EC5A4F"/>
          <w:w w:val="110"/>
          <w:sz w:val="24"/>
        </w:rPr>
        <w:t>215</w:t>
      </w:r>
    </w:p>
    <w:p>
      <w:pPr>
        <w:spacing w:after="0"/>
        <w:jc w:val="center"/>
        <w:rPr>
          <w:sz w:val="24"/>
        </w:rPr>
        <w:sectPr>
          <w:type w:val="continuous"/>
          <w:pgSz w:w="11910" w:h="16840"/>
          <w:pgMar w:top="920" w:bottom="280" w:left="0" w:right="0"/>
          <w:cols w:num="2" w:equalWidth="0">
            <w:col w:w="10143" w:space="40"/>
            <w:col w:w="1727"/>
          </w:cols>
        </w:sectPr>
      </w:pPr>
    </w:p>
    <w:p>
      <w:pPr>
        <w:pStyle w:val="BodyText"/>
        <w:rPr>
          <w:b/>
          <w:sz w:val="20"/>
        </w:rPr>
      </w:pPr>
      <w:r>
        <w:rPr/>
        <w:pict>
          <v:rect style="position:absolute;margin-left:85.039001pt;margin-top:0pt;width:510.236pt;height:841.890015pt;mso-position-horizontal-relative:page;mso-position-vertical-relative:page;z-index:14920" filled="true" fillcolor="#fdefed" stroked="false">
            <v:fill type="solid"/>
            <w10:wrap type="none"/>
          </v:rect>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16"/>
        </w:rPr>
      </w:pPr>
    </w:p>
    <w:p>
      <w:pPr>
        <w:spacing w:before="98"/>
        <w:ind w:left="720" w:right="0" w:firstLine="0"/>
        <w:jc w:val="left"/>
        <w:rPr>
          <w:b/>
          <w:sz w:val="24"/>
        </w:rPr>
      </w:pPr>
      <w:r>
        <w:rPr>
          <w:b/>
          <w:color w:val="EC5A4F"/>
          <w:w w:val="110"/>
          <w:sz w:val="24"/>
        </w:rPr>
        <w:t>216</w:t>
      </w:r>
    </w:p>
    <w:p>
      <w:pPr>
        <w:spacing w:after="0"/>
        <w:jc w:val="left"/>
        <w:rPr>
          <w:sz w:val="24"/>
        </w:rPr>
        <w:sectPr>
          <w:headerReference w:type="even" r:id="rId120"/>
          <w:pgSz w:w="11910" w:h="16840"/>
          <w:pgMar w:header="0" w:footer="0" w:top="1580" w:bottom="280" w:left="0" w:right="0"/>
        </w:sectPr>
      </w:pPr>
    </w:p>
    <w:p>
      <w:pPr>
        <w:pStyle w:val="BodyText"/>
        <w:rPr>
          <w:b/>
          <w:sz w:val="20"/>
        </w:rPr>
      </w:pPr>
      <w:r>
        <w:rPr/>
        <w:pict>
          <v:rect style="position:absolute;margin-left:0pt;margin-top:0pt;width:595.276001pt;height:841.890015pt;mso-position-horizontal-relative:page;mso-position-vertical-relative:page;z-index:-293512" filled="true" fillcolor="#fdefed" stroked="false">
            <v:fill type="solid"/>
            <w10:wrap type="none"/>
          </v:rect>
        </w:pict>
      </w:r>
      <w:r>
        <w:rPr/>
        <w:pict>
          <v:rect style="position:absolute;margin-left:524.408997pt;margin-top:28.346014pt;width:70.866pt;height:51.024pt;mso-position-horizontal-relative:page;mso-position-vertical-relative:page;z-index:-293488" filled="true" fillcolor="#ec5a4f" stroked="false">
            <v:fill type="solid"/>
            <w10:wrap type="none"/>
          </v:rect>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2"/>
        <w:rPr>
          <w:b/>
          <w:sz w:val="27"/>
        </w:rPr>
      </w:pPr>
    </w:p>
    <w:p>
      <w:pPr>
        <w:tabs>
          <w:tab w:pos="1417" w:val="left" w:leader="none"/>
          <w:tab w:pos="7286" w:val="left" w:leader="none"/>
        </w:tabs>
        <w:spacing w:before="95"/>
        <w:ind w:left="0" w:right="0" w:firstLine="0"/>
        <w:jc w:val="left"/>
        <w:rPr>
          <w:b/>
          <w:sz w:val="96"/>
        </w:rPr>
      </w:pPr>
      <w:r>
        <w:rPr>
          <w:b/>
          <w:color w:val="EC5A4F"/>
          <w:w w:val="122"/>
          <w:sz w:val="96"/>
          <w:shd w:fill="FFFFFF" w:color="auto" w:val="clear"/>
        </w:rPr>
        <w:t> </w:t>
      </w:r>
      <w:r>
        <w:rPr>
          <w:b/>
          <w:color w:val="EC5A4F"/>
          <w:sz w:val="96"/>
          <w:shd w:fill="FFFFFF" w:color="auto" w:val="clear"/>
        </w:rPr>
        <w:tab/>
      </w:r>
      <w:r>
        <w:rPr>
          <w:b/>
          <w:color w:val="EC5A4F"/>
          <w:spacing w:val="-15"/>
          <w:w w:val="115"/>
          <w:sz w:val="96"/>
          <w:shd w:fill="FFFFFF" w:color="auto" w:val="clear"/>
        </w:rPr>
        <w:t>Bibliography</w:t>
      </w:r>
      <w:r>
        <w:rPr>
          <w:b/>
          <w:color w:val="EC5A4F"/>
          <w:spacing w:val="-15"/>
          <w:sz w:val="96"/>
          <w:shd w:fill="FFFFFF" w:color="auto" w:val="clear"/>
        </w:rPr>
        <w:tab/>
      </w:r>
    </w:p>
    <w:p>
      <w:pPr>
        <w:spacing w:after="0"/>
        <w:jc w:val="left"/>
        <w:rPr>
          <w:sz w:val="96"/>
        </w:rPr>
        <w:sectPr>
          <w:headerReference w:type="default" r:id="rId121"/>
          <w:headerReference w:type="even" r:id="rId122"/>
          <w:pgSz w:w="11910" w:h="16840"/>
          <w:pgMar w:header="0" w:footer="0" w:top="540" w:bottom="280" w:left="0" w:right="0"/>
        </w:sectPr>
      </w:pPr>
    </w:p>
    <w:p>
      <w:pPr>
        <w:pStyle w:val="BodyText"/>
        <w:spacing w:before="10"/>
        <w:rPr>
          <w:b/>
          <w:sz w:val="18"/>
        </w:rPr>
      </w:pPr>
    </w:p>
    <w:p>
      <w:pPr>
        <w:spacing w:before="98"/>
        <w:ind w:left="566" w:right="0" w:firstLine="0"/>
        <w:jc w:val="left"/>
        <w:rPr>
          <w:b/>
          <w:sz w:val="44"/>
        </w:rPr>
      </w:pPr>
      <w:bookmarkStart w:name="Bibliography" w:id="163"/>
      <w:bookmarkEnd w:id="163"/>
      <w:r>
        <w:rPr/>
      </w:r>
      <w:r>
        <w:rPr>
          <w:b/>
          <w:color w:val="EC5A4F"/>
          <w:w w:val="115"/>
          <w:sz w:val="44"/>
        </w:rPr>
        <w:t>Bibliography</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9"/>
        </w:rPr>
      </w:pPr>
    </w:p>
    <w:p>
      <w:pPr>
        <w:pStyle w:val="BodyText"/>
        <w:spacing w:before="93"/>
        <w:ind w:left="1587"/>
        <w:rPr>
          <w:i/>
        </w:rPr>
      </w:pPr>
      <w:r>
        <w:rPr>
          <w:w w:val="105"/>
        </w:rPr>
        <w:t>ABC Radio National, ‘Australia’s Complex and Conflicting Inheritance Laws’, </w:t>
      </w:r>
      <w:r>
        <w:rPr>
          <w:i/>
          <w:w w:val="105"/>
        </w:rPr>
        <w:t>The Law Report,</w:t>
      </w:r>
    </w:p>
    <w:p>
      <w:pPr>
        <w:pStyle w:val="BodyText"/>
        <w:spacing w:line="242" w:lineRule="auto" w:before="4"/>
        <w:ind w:left="1587"/>
      </w:pPr>
      <w:r>
        <w:rPr>
          <w:spacing w:val="-7"/>
          <w:w w:val="105"/>
        </w:rPr>
        <w:t>21 </w:t>
      </w:r>
      <w:r>
        <w:rPr>
          <w:w w:val="105"/>
        </w:rPr>
        <w:t>September </w:t>
      </w:r>
      <w:r>
        <w:rPr>
          <w:spacing w:val="-7"/>
          <w:w w:val="105"/>
        </w:rPr>
        <w:t>2010 </w:t>
      </w:r>
      <w:r>
        <w:rPr>
          <w:w w:val="105"/>
        </w:rPr>
        <w:t>(John De </w:t>
      </w:r>
      <w:r>
        <w:rPr>
          <w:spacing w:val="-3"/>
          <w:w w:val="105"/>
        </w:rPr>
        <w:t>Groot, Brian </w:t>
      </w:r>
      <w:r>
        <w:rPr>
          <w:w w:val="105"/>
        </w:rPr>
        <w:t>Herd and </w:t>
      </w:r>
      <w:r>
        <w:rPr>
          <w:spacing w:val="-3"/>
          <w:w w:val="105"/>
        </w:rPr>
        <w:t>Rosalind </w:t>
      </w:r>
      <w:r>
        <w:rPr>
          <w:spacing w:val="-4"/>
          <w:w w:val="105"/>
        </w:rPr>
        <w:t>Croucher) </w:t>
      </w:r>
      <w:r>
        <w:rPr>
          <w:w w:val="105"/>
        </w:rPr>
        <w:t>&lt;</w:t>
      </w:r>
      <w:hyperlink r:id="rId123">
        <w:r>
          <w:rPr>
            <w:w w:val="105"/>
          </w:rPr>
          <w:t>http://www.abc.net.au/</w:t>
        </w:r>
      </w:hyperlink>
      <w:r>
        <w:rPr>
          <w:w w:val="105"/>
        </w:rPr>
        <w:t> rn/lawreport/stories/2010/3016770.htm&gt;</w:t>
      </w:r>
    </w:p>
    <w:p>
      <w:pPr>
        <w:spacing w:before="122"/>
        <w:ind w:left="1587" w:right="0" w:firstLine="0"/>
        <w:jc w:val="left"/>
        <w:rPr>
          <w:sz w:val="21"/>
        </w:rPr>
      </w:pPr>
      <w:r>
        <w:rPr>
          <w:w w:val="105"/>
          <w:sz w:val="21"/>
        </w:rPr>
        <w:t>Aitken, Ken, ‘Enduring Powers and Wills’ (1999) 73(12) </w:t>
      </w:r>
      <w:r>
        <w:rPr>
          <w:i/>
          <w:w w:val="105"/>
          <w:sz w:val="21"/>
        </w:rPr>
        <w:t>Law Institute Journal </w:t>
      </w:r>
      <w:r>
        <w:rPr>
          <w:w w:val="105"/>
          <w:sz w:val="21"/>
        </w:rPr>
        <w:t>94</w:t>
      </w:r>
    </w:p>
    <w:p>
      <w:pPr>
        <w:spacing w:line="242" w:lineRule="auto" w:before="124"/>
        <w:ind w:left="1587" w:right="1826" w:firstLine="0"/>
        <w:jc w:val="left"/>
        <w:rPr>
          <w:sz w:val="21"/>
        </w:rPr>
      </w:pPr>
      <w:r>
        <w:rPr>
          <w:w w:val="105"/>
          <w:sz w:val="21"/>
        </w:rPr>
        <w:t>Alberta Law </w:t>
      </w:r>
      <w:r>
        <w:rPr>
          <w:spacing w:val="-3"/>
          <w:w w:val="105"/>
          <w:sz w:val="21"/>
        </w:rPr>
        <w:t>Reform Institute, </w:t>
      </w:r>
      <w:r>
        <w:rPr>
          <w:i/>
          <w:w w:val="105"/>
          <w:sz w:val="21"/>
        </w:rPr>
        <w:t>Wills and the Legal Effect </w:t>
      </w:r>
      <w:r>
        <w:rPr>
          <w:i/>
          <w:spacing w:val="-3"/>
          <w:w w:val="105"/>
          <w:sz w:val="21"/>
        </w:rPr>
        <w:t>of </w:t>
      </w:r>
      <w:r>
        <w:rPr>
          <w:i/>
          <w:w w:val="105"/>
          <w:sz w:val="21"/>
        </w:rPr>
        <w:t>Changed </w:t>
      </w:r>
      <w:r>
        <w:rPr>
          <w:i/>
          <w:spacing w:val="-3"/>
          <w:w w:val="105"/>
          <w:sz w:val="21"/>
        </w:rPr>
        <w:t>Circumstances</w:t>
      </w:r>
      <w:r>
        <w:rPr>
          <w:spacing w:val="-3"/>
          <w:w w:val="105"/>
          <w:sz w:val="21"/>
        </w:rPr>
        <w:t>, Final </w:t>
      </w:r>
      <w:r>
        <w:rPr>
          <w:w w:val="105"/>
          <w:sz w:val="21"/>
        </w:rPr>
        <w:t>Report No 98 </w:t>
      </w:r>
      <w:r>
        <w:rPr>
          <w:spacing w:val="-4"/>
          <w:w w:val="105"/>
          <w:sz w:val="21"/>
        </w:rPr>
        <w:t>(2010)</w:t>
      </w:r>
    </w:p>
    <w:p>
      <w:pPr>
        <w:spacing w:line="242" w:lineRule="auto" w:before="122"/>
        <w:ind w:left="1587" w:right="1619" w:firstLine="0"/>
        <w:jc w:val="left"/>
        <w:rPr>
          <w:sz w:val="21"/>
        </w:rPr>
      </w:pPr>
      <w:r>
        <w:rPr>
          <w:w w:val="105"/>
          <w:sz w:val="21"/>
        </w:rPr>
        <w:t>Anderson, Kirsten L, ‘Intestacy in Scotland: The Laughing Heir’ (2011) 2 </w:t>
      </w:r>
      <w:r>
        <w:rPr>
          <w:i/>
          <w:w w:val="105"/>
          <w:sz w:val="21"/>
        </w:rPr>
        <w:t>Aberdeen Student Law </w:t>
      </w:r>
      <w:r>
        <w:rPr>
          <w:i/>
          <w:w w:val="105"/>
          <w:sz w:val="21"/>
        </w:rPr>
        <w:t>Review </w:t>
      </w:r>
      <w:r>
        <w:rPr>
          <w:w w:val="105"/>
          <w:sz w:val="21"/>
        </w:rPr>
        <w:t>52</w:t>
      </w:r>
    </w:p>
    <w:p>
      <w:pPr>
        <w:spacing w:line="242" w:lineRule="auto" w:before="122"/>
        <w:ind w:left="1587" w:right="1826" w:firstLine="0"/>
        <w:jc w:val="left"/>
        <w:rPr>
          <w:sz w:val="21"/>
        </w:rPr>
      </w:pPr>
      <w:r>
        <w:rPr>
          <w:sz w:val="21"/>
        </w:rPr>
        <w:t>Australian Centre for Philanthropy and Nonprofit Studies, Queensland University of Technology, </w:t>
      </w:r>
      <w:r>
        <w:rPr>
          <w:i/>
          <w:sz w:val="21"/>
        </w:rPr>
        <w:t>From Testamentary Freedom to Testamentary Duty: Finding the Balance</w:t>
      </w:r>
      <w:r>
        <w:rPr>
          <w:sz w:val="21"/>
        </w:rPr>
        <w:t>, Working Paper No 42 (2008)</w:t>
      </w:r>
    </w:p>
    <w:p>
      <w:pPr>
        <w:spacing w:line="242" w:lineRule="auto" w:before="124"/>
        <w:ind w:left="1587" w:right="1619" w:firstLine="0"/>
        <w:jc w:val="left"/>
        <w:rPr>
          <w:sz w:val="21"/>
        </w:rPr>
      </w:pPr>
      <w:r>
        <w:rPr>
          <w:spacing w:val="-6"/>
          <w:w w:val="105"/>
          <w:sz w:val="21"/>
        </w:rPr>
        <w:t>Baker, </w:t>
      </w:r>
      <w:r>
        <w:rPr>
          <w:spacing w:val="-3"/>
          <w:w w:val="105"/>
          <w:sz w:val="21"/>
        </w:rPr>
        <w:t>Christopher </w:t>
      </w:r>
      <w:r>
        <w:rPr>
          <w:w w:val="105"/>
          <w:sz w:val="21"/>
        </w:rPr>
        <w:t>and Michael </w:t>
      </w:r>
      <w:r>
        <w:rPr>
          <w:spacing w:val="-3"/>
          <w:w w:val="105"/>
          <w:sz w:val="21"/>
        </w:rPr>
        <w:t>Gilding, </w:t>
      </w:r>
      <w:r>
        <w:rPr>
          <w:w w:val="105"/>
          <w:sz w:val="21"/>
        </w:rPr>
        <w:t>‘Inheritance in Australia: </w:t>
      </w:r>
      <w:r>
        <w:rPr>
          <w:spacing w:val="-4"/>
          <w:w w:val="105"/>
          <w:sz w:val="21"/>
        </w:rPr>
        <w:t>Family </w:t>
      </w:r>
      <w:r>
        <w:rPr>
          <w:w w:val="105"/>
          <w:sz w:val="21"/>
        </w:rPr>
        <w:t>and </w:t>
      </w:r>
      <w:r>
        <w:rPr>
          <w:spacing w:val="-3"/>
          <w:w w:val="105"/>
          <w:sz w:val="21"/>
        </w:rPr>
        <w:t>Charitable Distributions from </w:t>
      </w:r>
      <w:r>
        <w:rPr>
          <w:w w:val="105"/>
          <w:sz w:val="21"/>
        </w:rPr>
        <w:t>Personal Estates’ </w:t>
      </w:r>
      <w:r>
        <w:rPr>
          <w:spacing w:val="-9"/>
          <w:w w:val="105"/>
          <w:sz w:val="21"/>
        </w:rPr>
        <w:t>(2011) </w:t>
      </w:r>
      <w:r>
        <w:rPr>
          <w:spacing w:val="2"/>
          <w:w w:val="105"/>
          <w:sz w:val="21"/>
        </w:rPr>
        <w:t>46(3) </w:t>
      </w:r>
      <w:r>
        <w:rPr>
          <w:i/>
          <w:spacing w:val="-3"/>
          <w:w w:val="105"/>
          <w:sz w:val="21"/>
        </w:rPr>
        <w:t>Australian Journal of </w:t>
      </w:r>
      <w:r>
        <w:rPr>
          <w:i/>
          <w:w w:val="105"/>
          <w:sz w:val="21"/>
        </w:rPr>
        <w:t>Social Issues </w:t>
      </w:r>
      <w:r>
        <w:rPr>
          <w:spacing w:val="-5"/>
          <w:w w:val="105"/>
          <w:sz w:val="21"/>
        </w:rPr>
        <w:t>273</w:t>
      </w:r>
    </w:p>
    <w:p>
      <w:pPr>
        <w:spacing w:before="122"/>
        <w:ind w:left="1587" w:right="0" w:firstLine="0"/>
        <w:jc w:val="left"/>
        <w:rPr>
          <w:sz w:val="21"/>
        </w:rPr>
      </w:pPr>
      <w:r>
        <w:rPr>
          <w:w w:val="105"/>
          <w:sz w:val="21"/>
        </w:rPr>
        <w:t>Barton, Philip, ‘TFM—The New Regime’ (1998) 72(2) </w:t>
      </w:r>
      <w:r>
        <w:rPr>
          <w:i/>
          <w:w w:val="105"/>
          <w:sz w:val="21"/>
        </w:rPr>
        <w:t>Law Institute Journal </w:t>
      </w:r>
      <w:r>
        <w:rPr>
          <w:w w:val="105"/>
          <w:sz w:val="21"/>
        </w:rPr>
        <w:t>40</w:t>
      </w:r>
    </w:p>
    <w:p>
      <w:pPr>
        <w:spacing w:before="124"/>
        <w:ind w:left="1587" w:right="0" w:firstLine="0"/>
        <w:jc w:val="left"/>
        <w:rPr>
          <w:sz w:val="21"/>
        </w:rPr>
      </w:pPr>
      <w:r>
        <w:rPr>
          <w:w w:val="105"/>
          <w:sz w:val="21"/>
        </w:rPr>
        <w:t>Boaden, Richard, ‘Undue Influence in Relation to Wills’ (1994) 68 </w:t>
      </w:r>
      <w:r>
        <w:rPr>
          <w:i/>
          <w:w w:val="105"/>
          <w:sz w:val="21"/>
        </w:rPr>
        <w:t>Law Institute Journal </w:t>
      </w:r>
      <w:r>
        <w:rPr>
          <w:w w:val="105"/>
          <w:sz w:val="21"/>
        </w:rPr>
        <w:t>56</w:t>
      </w:r>
    </w:p>
    <w:p>
      <w:pPr>
        <w:pStyle w:val="BodyText"/>
        <w:spacing w:line="242" w:lineRule="auto" w:before="123"/>
        <w:ind w:left="1587" w:right="1564"/>
      </w:pPr>
      <w:r>
        <w:rPr>
          <w:w w:val="105"/>
        </w:rPr>
        <w:t>Boaden, </w:t>
      </w:r>
      <w:r>
        <w:rPr>
          <w:spacing w:val="-3"/>
          <w:w w:val="105"/>
        </w:rPr>
        <w:t>Richard, </w:t>
      </w:r>
      <w:r>
        <w:rPr>
          <w:w w:val="105"/>
        </w:rPr>
        <w:t>‘Improper and </w:t>
      </w:r>
      <w:r>
        <w:rPr>
          <w:spacing w:val="-3"/>
          <w:w w:val="105"/>
        </w:rPr>
        <w:t>Unconscionable Transactions </w:t>
      </w:r>
      <w:r>
        <w:rPr>
          <w:spacing w:val="-4"/>
          <w:w w:val="105"/>
        </w:rPr>
        <w:t>Concerning </w:t>
      </w:r>
      <w:r>
        <w:rPr>
          <w:w w:val="105"/>
        </w:rPr>
        <w:t>Deceased Estates’ (Paper </w:t>
      </w:r>
      <w:r>
        <w:rPr>
          <w:spacing w:val="-3"/>
          <w:w w:val="105"/>
        </w:rPr>
        <w:t>presented </w:t>
      </w:r>
      <w:r>
        <w:rPr>
          <w:w w:val="105"/>
        </w:rPr>
        <w:t>at the Law </w:t>
      </w:r>
      <w:r>
        <w:rPr>
          <w:spacing w:val="-3"/>
          <w:w w:val="105"/>
        </w:rPr>
        <w:t>Institute </w:t>
      </w:r>
      <w:r>
        <w:rPr>
          <w:w w:val="105"/>
        </w:rPr>
        <w:t>of Victoria </w:t>
      </w:r>
      <w:r>
        <w:rPr>
          <w:spacing w:val="-3"/>
          <w:w w:val="105"/>
        </w:rPr>
        <w:t>Wills </w:t>
      </w:r>
      <w:r>
        <w:rPr>
          <w:w w:val="105"/>
        </w:rPr>
        <w:t>and Estates </w:t>
      </w:r>
      <w:r>
        <w:rPr>
          <w:spacing w:val="-4"/>
          <w:w w:val="105"/>
        </w:rPr>
        <w:t>Conference, </w:t>
      </w:r>
      <w:r>
        <w:rPr>
          <w:spacing w:val="-3"/>
          <w:w w:val="105"/>
        </w:rPr>
        <w:t>Melbourne, </w:t>
      </w:r>
      <w:r>
        <w:rPr>
          <w:w w:val="105"/>
        </w:rPr>
        <w:t>9 October 2006)</w:t>
      </w:r>
    </w:p>
    <w:p>
      <w:pPr>
        <w:pStyle w:val="BodyText"/>
        <w:spacing w:line="242" w:lineRule="auto" w:before="124"/>
        <w:ind w:left="1587" w:right="1619"/>
      </w:pPr>
      <w:r>
        <w:rPr>
          <w:w w:val="105"/>
        </w:rPr>
        <w:t>Borg, </w:t>
      </w:r>
      <w:r>
        <w:rPr>
          <w:spacing w:val="-3"/>
          <w:w w:val="105"/>
        </w:rPr>
        <w:t>Georgina, </w:t>
      </w:r>
      <w:r>
        <w:rPr>
          <w:w w:val="105"/>
        </w:rPr>
        <w:t>‘Estate Litigation </w:t>
      </w:r>
      <w:r>
        <w:rPr>
          <w:spacing w:val="-3"/>
          <w:w w:val="105"/>
        </w:rPr>
        <w:t>Update’ </w:t>
      </w:r>
      <w:r>
        <w:rPr>
          <w:w w:val="105"/>
        </w:rPr>
        <w:t>(Paper </w:t>
      </w:r>
      <w:r>
        <w:rPr>
          <w:spacing w:val="-3"/>
          <w:w w:val="105"/>
        </w:rPr>
        <w:t>presented </w:t>
      </w:r>
      <w:r>
        <w:rPr>
          <w:w w:val="105"/>
        </w:rPr>
        <w:t>at the </w:t>
      </w:r>
      <w:r>
        <w:rPr>
          <w:spacing w:val="-3"/>
          <w:w w:val="105"/>
        </w:rPr>
        <w:t>Wills </w:t>
      </w:r>
      <w:r>
        <w:rPr>
          <w:w w:val="105"/>
        </w:rPr>
        <w:t>and Estates </w:t>
      </w:r>
      <w:r>
        <w:rPr>
          <w:spacing w:val="-4"/>
          <w:w w:val="105"/>
        </w:rPr>
        <w:t>Conference, </w:t>
      </w:r>
      <w:r>
        <w:rPr>
          <w:spacing w:val="-3"/>
          <w:w w:val="105"/>
        </w:rPr>
        <w:t>Melbourne, </w:t>
      </w:r>
      <w:r>
        <w:rPr>
          <w:spacing w:val="-2"/>
          <w:w w:val="105"/>
        </w:rPr>
        <w:t>August </w:t>
      </w:r>
      <w:r>
        <w:rPr>
          <w:w w:val="105"/>
        </w:rPr>
        <w:t>2009)</w:t>
      </w:r>
    </w:p>
    <w:p>
      <w:pPr>
        <w:spacing w:line="242" w:lineRule="auto" w:before="122"/>
        <w:ind w:left="1587" w:right="1619" w:firstLine="0"/>
        <w:jc w:val="left"/>
        <w:rPr>
          <w:sz w:val="21"/>
        </w:rPr>
      </w:pPr>
      <w:r>
        <w:rPr>
          <w:spacing w:val="-3"/>
          <w:w w:val="105"/>
          <w:sz w:val="21"/>
        </w:rPr>
        <w:t>British </w:t>
      </w:r>
      <w:r>
        <w:rPr>
          <w:spacing w:val="-4"/>
          <w:w w:val="105"/>
          <w:sz w:val="21"/>
        </w:rPr>
        <w:t>Columbia </w:t>
      </w:r>
      <w:r>
        <w:rPr>
          <w:w w:val="105"/>
          <w:sz w:val="21"/>
        </w:rPr>
        <w:t>Law </w:t>
      </w:r>
      <w:r>
        <w:rPr>
          <w:spacing w:val="-3"/>
          <w:w w:val="105"/>
          <w:sz w:val="21"/>
        </w:rPr>
        <w:t>Institute, </w:t>
      </w:r>
      <w:r>
        <w:rPr>
          <w:i/>
          <w:w w:val="105"/>
          <w:sz w:val="21"/>
        </w:rPr>
        <w:t>Wills, Estates and </w:t>
      </w:r>
      <w:r>
        <w:rPr>
          <w:i/>
          <w:spacing w:val="-3"/>
          <w:w w:val="105"/>
          <w:sz w:val="21"/>
        </w:rPr>
        <w:t>Succession: </w:t>
      </w:r>
      <w:r>
        <w:rPr>
          <w:i/>
          <w:w w:val="105"/>
          <w:sz w:val="21"/>
        </w:rPr>
        <w:t>A Modern Legal </w:t>
      </w:r>
      <w:r>
        <w:rPr>
          <w:i/>
          <w:spacing w:val="-3"/>
          <w:w w:val="105"/>
          <w:sz w:val="21"/>
        </w:rPr>
        <w:t>Framework, </w:t>
      </w:r>
      <w:r>
        <w:rPr>
          <w:w w:val="105"/>
          <w:sz w:val="21"/>
        </w:rPr>
        <w:t>Report No </w:t>
      </w:r>
      <w:r>
        <w:rPr>
          <w:spacing w:val="-3"/>
          <w:w w:val="105"/>
          <w:sz w:val="21"/>
        </w:rPr>
        <w:t>45 </w:t>
      </w:r>
      <w:r>
        <w:rPr>
          <w:w w:val="105"/>
          <w:sz w:val="21"/>
        </w:rPr>
        <w:t>(2006)</w:t>
      </w:r>
    </w:p>
    <w:p>
      <w:pPr>
        <w:spacing w:line="242" w:lineRule="auto" w:before="122"/>
        <w:ind w:left="1587" w:right="1619" w:firstLine="0"/>
        <w:jc w:val="left"/>
        <w:rPr>
          <w:sz w:val="21"/>
        </w:rPr>
      </w:pPr>
      <w:r>
        <w:rPr>
          <w:spacing w:val="-3"/>
          <w:w w:val="105"/>
          <w:sz w:val="21"/>
        </w:rPr>
        <w:t>British </w:t>
      </w:r>
      <w:r>
        <w:rPr>
          <w:spacing w:val="-4"/>
          <w:w w:val="105"/>
          <w:sz w:val="21"/>
        </w:rPr>
        <w:t>Columbia </w:t>
      </w:r>
      <w:r>
        <w:rPr>
          <w:w w:val="105"/>
          <w:sz w:val="21"/>
        </w:rPr>
        <w:t>Law </w:t>
      </w:r>
      <w:r>
        <w:rPr>
          <w:spacing w:val="-3"/>
          <w:w w:val="105"/>
          <w:sz w:val="21"/>
        </w:rPr>
        <w:t>Institute, </w:t>
      </w:r>
      <w:r>
        <w:rPr>
          <w:i/>
          <w:w w:val="105"/>
          <w:sz w:val="21"/>
        </w:rPr>
        <w:t>Recommended Practices for Wills Practitioners </w:t>
      </w:r>
      <w:r>
        <w:rPr>
          <w:i/>
          <w:spacing w:val="-3"/>
          <w:w w:val="105"/>
          <w:sz w:val="21"/>
        </w:rPr>
        <w:t>Relating </w:t>
      </w:r>
      <w:r>
        <w:rPr>
          <w:i/>
          <w:w w:val="105"/>
          <w:sz w:val="21"/>
        </w:rPr>
        <w:t>to </w:t>
      </w:r>
      <w:r>
        <w:rPr>
          <w:i/>
          <w:spacing w:val="-3"/>
          <w:w w:val="105"/>
          <w:sz w:val="21"/>
        </w:rPr>
        <w:t>Potential </w:t>
      </w:r>
      <w:r>
        <w:rPr>
          <w:i/>
          <w:w w:val="105"/>
          <w:sz w:val="21"/>
        </w:rPr>
        <w:t>Undue Influence: A </w:t>
      </w:r>
      <w:r>
        <w:rPr>
          <w:i/>
          <w:spacing w:val="-4"/>
          <w:w w:val="105"/>
          <w:sz w:val="21"/>
        </w:rPr>
        <w:t>Guide</w:t>
      </w:r>
      <w:r>
        <w:rPr>
          <w:spacing w:val="-4"/>
          <w:w w:val="105"/>
          <w:sz w:val="21"/>
        </w:rPr>
        <w:t>, </w:t>
      </w:r>
      <w:r>
        <w:rPr>
          <w:w w:val="105"/>
          <w:sz w:val="21"/>
        </w:rPr>
        <w:t>Report No </w:t>
      </w:r>
      <w:r>
        <w:rPr>
          <w:spacing w:val="-7"/>
          <w:w w:val="105"/>
          <w:sz w:val="21"/>
        </w:rPr>
        <w:t>61 </w:t>
      </w:r>
      <w:r>
        <w:rPr>
          <w:spacing w:val="-9"/>
          <w:w w:val="105"/>
          <w:sz w:val="21"/>
        </w:rPr>
        <w:t>(2011)</w:t>
      </w:r>
    </w:p>
    <w:p>
      <w:pPr>
        <w:spacing w:line="242" w:lineRule="auto" w:before="123"/>
        <w:ind w:left="1587" w:right="1619" w:firstLine="0"/>
        <w:jc w:val="left"/>
        <w:rPr>
          <w:sz w:val="21"/>
        </w:rPr>
      </w:pPr>
      <w:r>
        <w:rPr>
          <w:spacing w:val="-3"/>
          <w:w w:val="105"/>
          <w:sz w:val="21"/>
        </w:rPr>
        <w:t>British </w:t>
      </w:r>
      <w:r>
        <w:rPr>
          <w:spacing w:val="-4"/>
          <w:w w:val="105"/>
          <w:sz w:val="21"/>
        </w:rPr>
        <w:t>Columbia </w:t>
      </w:r>
      <w:r>
        <w:rPr>
          <w:w w:val="105"/>
          <w:sz w:val="21"/>
        </w:rPr>
        <w:t>Law </w:t>
      </w:r>
      <w:r>
        <w:rPr>
          <w:spacing w:val="-3"/>
          <w:w w:val="105"/>
          <w:sz w:val="21"/>
        </w:rPr>
        <w:t>Institute, </w:t>
      </w:r>
      <w:r>
        <w:rPr>
          <w:i/>
          <w:spacing w:val="-3"/>
          <w:w w:val="105"/>
          <w:sz w:val="21"/>
        </w:rPr>
        <w:t>Consultation </w:t>
      </w:r>
      <w:r>
        <w:rPr>
          <w:i/>
          <w:w w:val="105"/>
          <w:sz w:val="21"/>
        </w:rPr>
        <w:t>Paper on Common-Law </w:t>
      </w:r>
      <w:r>
        <w:rPr>
          <w:i/>
          <w:spacing w:val="-3"/>
          <w:w w:val="105"/>
          <w:sz w:val="21"/>
        </w:rPr>
        <w:t>Tests of Capacity</w:t>
      </w:r>
      <w:r>
        <w:rPr>
          <w:spacing w:val="-3"/>
          <w:w w:val="105"/>
          <w:sz w:val="21"/>
        </w:rPr>
        <w:t>, Consultation </w:t>
      </w:r>
      <w:r>
        <w:rPr>
          <w:w w:val="105"/>
          <w:sz w:val="21"/>
        </w:rPr>
        <w:t>Paper </w:t>
      </w:r>
      <w:r>
        <w:rPr>
          <w:spacing w:val="-6"/>
          <w:w w:val="105"/>
          <w:sz w:val="21"/>
        </w:rPr>
        <w:t>(2013)</w:t>
      </w:r>
    </w:p>
    <w:p>
      <w:pPr>
        <w:pStyle w:val="BodyText"/>
        <w:spacing w:line="242" w:lineRule="auto" w:before="122"/>
        <w:ind w:left="1587" w:right="1705"/>
      </w:pPr>
      <w:r>
        <w:rPr>
          <w:spacing w:val="-3"/>
          <w:w w:val="105"/>
        </w:rPr>
        <w:t>Browne, </w:t>
      </w:r>
      <w:r>
        <w:rPr>
          <w:w w:val="105"/>
        </w:rPr>
        <w:t>Darryl, ‘When Is a </w:t>
      </w:r>
      <w:r>
        <w:rPr>
          <w:spacing w:val="-3"/>
          <w:w w:val="105"/>
        </w:rPr>
        <w:t>Professional </w:t>
      </w:r>
      <w:r>
        <w:rPr>
          <w:w w:val="105"/>
        </w:rPr>
        <w:t>Executor and Fiduciary </w:t>
      </w:r>
      <w:r>
        <w:rPr>
          <w:spacing w:val="-3"/>
          <w:w w:val="105"/>
        </w:rPr>
        <w:t>Entitled to Remuneration? </w:t>
      </w:r>
      <w:r>
        <w:rPr>
          <w:w w:val="105"/>
        </w:rPr>
        <w:t>(Not as Often as They Think)’ </w:t>
      </w:r>
      <w:r>
        <w:rPr>
          <w:spacing w:val="-6"/>
          <w:w w:val="105"/>
        </w:rPr>
        <w:t>(2013) </w:t>
      </w:r>
      <w:r>
        <w:rPr>
          <w:spacing w:val="-5"/>
          <w:w w:val="105"/>
        </w:rPr>
        <w:t>51(2) </w:t>
      </w:r>
      <w:r>
        <w:rPr>
          <w:i/>
          <w:w w:val="105"/>
        </w:rPr>
        <w:t>Law Society </w:t>
      </w:r>
      <w:r>
        <w:rPr>
          <w:i/>
          <w:spacing w:val="-3"/>
          <w:w w:val="105"/>
        </w:rPr>
        <w:t>Journal </w:t>
      </w:r>
      <w:r>
        <w:rPr>
          <w:w w:val="105"/>
        </w:rPr>
        <w:t>66</w:t>
      </w:r>
    </w:p>
    <w:p>
      <w:pPr>
        <w:pStyle w:val="BodyText"/>
        <w:spacing w:line="242" w:lineRule="auto" w:before="122"/>
        <w:ind w:left="1587" w:right="1902"/>
      </w:pPr>
      <w:r>
        <w:rPr>
          <w:w w:val="105"/>
        </w:rPr>
        <w:t>Browne, Darryl L, ‘Undue Influence and Wills: Clarifying a Misunderstanding’ (1992) 68(8) </w:t>
      </w:r>
      <w:r>
        <w:rPr>
          <w:i/>
          <w:w w:val="105"/>
        </w:rPr>
        <w:t>Law </w:t>
      </w:r>
      <w:r>
        <w:rPr>
          <w:i/>
          <w:w w:val="105"/>
        </w:rPr>
        <w:t>Society Journal </w:t>
      </w:r>
      <w:r>
        <w:rPr>
          <w:w w:val="105"/>
        </w:rPr>
        <w:t>39</w:t>
      </w:r>
    </w:p>
    <w:p>
      <w:pPr>
        <w:spacing w:line="242" w:lineRule="auto" w:before="122"/>
        <w:ind w:left="1587" w:right="1720" w:firstLine="0"/>
        <w:jc w:val="left"/>
        <w:rPr>
          <w:sz w:val="21"/>
        </w:rPr>
      </w:pPr>
      <w:r>
        <w:rPr>
          <w:spacing w:val="-3"/>
          <w:w w:val="105"/>
          <w:sz w:val="21"/>
        </w:rPr>
        <w:t>Burns, Fiona </w:t>
      </w:r>
      <w:r>
        <w:rPr>
          <w:w w:val="105"/>
          <w:sz w:val="21"/>
        </w:rPr>
        <w:t>R, ‘Undue Influence </w:t>
      </w:r>
      <w:r>
        <w:rPr>
          <w:spacing w:val="-3"/>
          <w:w w:val="105"/>
          <w:sz w:val="21"/>
        </w:rPr>
        <w:t>Inter </w:t>
      </w:r>
      <w:r>
        <w:rPr>
          <w:w w:val="105"/>
          <w:sz w:val="21"/>
        </w:rPr>
        <w:t>Vivos and the Elderly’ </w:t>
      </w:r>
      <w:r>
        <w:rPr>
          <w:spacing w:val="-3"/>
          <w:w w:val="105"/>
          <w:sz w:val="21"/>
        </w:rPr>
        <w:t>(2002) </w:t>
      </w:r>
      <w:r>
        <w:rPr>
          <w:spacing w:val="-4"/>
          <w:w w:val="105"/>
          <w:sz w:val="21"/>
        </w:rPr>
        <w:t>26 </w:t>
      </w:r>
      <w:r>
        <w:rPr>
          <w:i/>
          <w:w w:val="105"/>
          <w:sz w:val="21"/>
        </w:rPr>
        <w:t>Melbourne University Law </w:t>
      </w:r>
      <w:r>
        <w:rPr>
          <w:i/>
          <w:w w:val="105"/>
          <w:sz w:val="21"/>
        </w:rPr>
        <w:t>Review </w:t>
      </w:r>
      <w:r>
        <w:rPr>
          <w:w w:val="105"/>
          <w:sz w:val="21"/>
        </w:rPr>
        <w:t>499</w:t>
      </w:r>
    </w:p>
    <w:p>
      <w:pPr>
        <w:pStyle w:val="BodyText"/>
        <w:spacing w:line="251" w:lineRule="exact" w:before="123"/>
        <w:ind w:left="1587"/>
        <w:rPr>
          <w:i/>
        </w:rPr>
      </w:pPr>
      <w:r>
        <w:rPr>
          <w:w w:val="105"/>
        </w:rPr>
        <w:t>Burns, Fiona R, ‘Elders and Testamentary Undue Influence in Australia’ (2005) 28 </w:t>
      </w:r>
      <w:r>
        <w:rPr>
          <w:i/>
          <w:w w:val="105"/>
        </w:rPr>
        <w:t>University of New</w:t>
      </w:r>
    </w:p>
    <w:p>
      <w:pPr>
        <w:tabs>
          <w:tab w:pos="1587" w:val="left" w:leader="none"/>
        </w:tabs>
        <w:spacing w:line="288" w:lineRule="exact" w:before="0"/>
        <w:ind w:left="720" w:right="0" w:firstLine="0"/>
        <w:jc w:val="left"/>
        <w:rPr>
          <w:sz w:val="21"/>
        </w:rPr>
      </w:pPr>
      <w:r>
        <w:rPr>
          <w:b/>
          <w:color w:val="EC5A4F"/>
          <w:spacing w:val="-5"/>
          <w:w w:val="105"/>
          <w:sz w:val="24"/>
        </w:rPr>
        <w:t>218</w:t>
        <w:tab/>
      </w:r>
      <w:r>
        <w:rPr>
          <w:i/>
          <w:w w:val="105"/>
          <w:position w:val="1"/>
          <w:sz w:val="21"/>
        </w:rPr>
        <w:t>South </w:t>
      </w:r>
      <w:r>
        <w:rPr>
          <w:i/>
          <w:spacing w:val="-3"/>
          <w:w w:val="105"/>
          <w:position w:val="1"/>
          <w:sz w:val="21"/>
        </w:rPr>
        <w:t>Wales </w:t>
      </w:r>
      <w:r>
        <w:rPr>
          <w:i/>
          <w:w w:val="105"/>
          <w:position w:val="1"/>
          <w:sz w:val="21"/>
        </w:rPr>
        <w:t>Law </w:t>
      </w:r>
      <w:r>
        <w:rPr>
          <w:i/>
          <w:spacing w:val="-3"/>
          <w:w w:val="105"/>
          <w:position w:val="1"/>
          <w:sz w:val="21"/>
        </w:rPr>
        <w:t>Journal</w:t>
      </w:r>
      <w:r>
        <w:rPr>
          <w:i/>
          <w:spacing w:val="25"/>
          <w:w w:val="105"/>
          <w:position w:val="1"/>
          <w:sz w:val="21"/>
        </w:rPr>
        <w:t> </w:t>
      </w:r>
      <w:r>
        <w:rPr>
          <w:spacing w:val="-7"/>
          <w:w w:val="105"/>
          <w:position w:val="1"/>
          <w:sz w:val="21"/>
        </w:rPr>
        <w:t>145</w:t>
      </w:r>
    </w:p>
    <w:p>
      <w:pPr>
        <w:spacing w:after="0" w:line="288" w:lineRule="exact"/>
        <w:jc w:val="left"/>
        <w:rPr>
          <w:sz w:val="21"/>
        </w:rPr>
        <w:sectPr>
          <w:pgSz w:w="11910" w:h="16840"/>
          <w:pgMar w:header="550" w:footer="0" w:top="1560" w:bottom="280" w:left="0" w:right="0"/>
        </w:sectPr>
      </w:pPr>
    </w:p>
    <w:p>
      <w:pPr>
        <w:pStyle w:val="BodyText"/>
        <w:spacing w:before="6"/>
      </w:pPr>
    </w:p>
    <w:p>
      <w:pPr>
        <w:spacing w:after="0"/>
        <w:sectPr>
          <w:headerReference w:type="default" r:id="rId124"/>
          <w:headerReference w:type="even" r:id="rId125"/>
          <w:pgSz w:w="11910" w:h="16840"/>
          <w:pgMar w:header="567" w:footer="0" w:top="1580" w:bottom="280" w:left="0" w:right="0"/>
        </w:sectPr>
      </w:pPr>
    </w:p>
    <w:p>
      <w:pPr>
        <w:pStyle w:val="BodyText"/>
        <w:spacing w:before="92"/>
        <w:ind w:left="1587"/>
      </w:pPr>
      <w:r>
        <w:rPr>
          <w:w w:val="105"/>
        </w:rPr>
        <w:t>Burns, Fiona R, ‘Reforming Testamentary Undue Influence in Canadian and English Law’ (2006) 29</w:t>
      </w:r>
    </w:p>
    <w:p>
      <w:pPr>
        <w:spacing w:before="3"/>
        <w:ind w:left="1587" w:right="0" w:firstLine="0"/>
        <w:jc w:val="left"/>
        <w:rPr>
          <w:sz w:val="21"/>
        </w:rPr>
      </w:pPr>
      <w:r>
        <w:rPr>
          <w:i/>
          <w:w w:val="105"/>
          <w:sz w:val="21"/>
        </w:rPr>
        <w:t>Dalhousie Law Journal </w:t>
      </w:r>
      <w:r>
        <w:rPr>
          <w:w w:val="105"/>
          <w:sz w:val="21"/>
        </w:rPr>
        <w:t>455</w:t>
      </w:r>
    </w:p>
    <w:p>
      <w:pPr>
        <w:spacing w:line="242" w:lineRule="auto" w:before="124"/>
        <w:ind w:left="1587" w:right="183" w:firstLine="0"/>
        <w:jc w:val="left"/>
        <w:rPr>
          <w:sz w:val="21"/>
        </w:rPr>
      </w:pPr>
      <w:r>
        <w:rPr>
          <w:spacing w:val="-3"/>
          <w:w w:val="105"/>
          <w:sz w:val="21"/>
        </w:rPr>
        <w:t>Burns, Fiona, </w:t>
      </w:r>
      <w:r>
        <w:rPr>
          <w:w w:val="105"/>
          <w:sz w:val="21"/>
        </w:rPr>
        <w:t>‘Intestacy </w:t>
      </w:r>
      <w:r>
        <w:rPr>
          <w:spacing w:val="-3"/>
          <w:w w:val="105"/>
          <w:sz w:val="21"/>
        </w:rPr>
        <w:t>Reform </w:t>
      </w:r>
      <w:r>
        <w:rPr>
          <w:w w:val="105"/>
          <w:sz w:val="21"/>
        </w:rPr>
        <w:t>in NSW and Qld: A </w:t>
      </w:r>
      <w:r>
        <w:rPr>
          <w:spacing w:val="-3"/>
          <w:w w:val="105"/>
          <w:sz w:val="21"/>
        </w:rPr>
        <w:t>Critical Evaluation </w:t>
      </w:r>
      <w:r>
        <w:rPr>
          <w:w w:val="105"/>
          <w:sz w:val="21"/>
        </w:rPr>
        <w:t>of Aspects of the </w:t>
      </w:r>
      <w:r>
        <w:rPr>
          <w:spacing w:val="-3"/>
          <w:w w:val="105"/>
          <w:sz w:val="21"/>
        </w:rPr>
        <w:t>Uniform Succession </w:t>
      </w:r>
      <w:r>
        <w:rPr>
          <w:w w:val="105"/>
          <w:sz w:val="21"/>
        </w:rPr>
        <w:t>Laws: Intestacy Report’ (2008) 1 </w:t>
      </w:r>
      <w:r>
        <w:rPr>
          <w:i/>
          <w:spacing w:val="-3"/>
          <w:w w:val="105"/>
          <w:sz w:val="21"/>
        </w:rPr>
        <w:t>Journal of </w:t>
      </w:r>
      <w:r>
        <w:rPr>
          <w:i/>
          <w:w w:val="105"/>
          <w:sz w:val="21"/>
        </w:rPr>
        <w:t>the </w:t>
      </w:r>
      <w:r>
        <w:rPr>
          <w:i/>
          <w:spacing w:val="-3"/>
          <w:w w:val="105"/>
          <w:sz w:val="21"/>
        </w:rPr>
        <w:t>Australasian </w:t>
      </w:r>
      <w:r>
        <w:rPr>
          <w:i/>
          <w:w w:val="105"/>
          <w:sz w:val="21"/>
        </w:rPr>
        <w:t>Law </w:t>
      </w:r>
      <w:r>
        <w:rPr>
          <w:i/>
          <w:spacing w:val="-3"/>
          <w:w w:val="105"/>
          <w:sz w:val="21"/>
        </w:rPr>
        <w:t>Teachers </w:t>
      </w:r>
      <w:r>
        <w:rPr>
          <w:i/>
          <w:w w:val="105"/>
          <w:sz w:val="21"/>
        </w:rPr>
        <w:t>Association </w:t>
      </w:r>
      <w:r>
        <w:rPr>
          <w:spacing w:val="-11"/>
          <w:w w:val="105"/>
          <w:sz w:val="21"/>
        </w:rPr>
        <w:t>321</w:t>
      </w:r>
    </w:p>
    <w:p>
      <w:pPr>
        <w:spacing w:before="123"/>
        <w:ind w:left="1587" w:right="0" w:firstLine="0"/>
        <w:jc w:val="left"/>
        <w:rPr>
          <w:sz w:val="21"/>
        </w:rPr>
      </w:pPr>
      <w:r>
        <w:rPr>
          <w:sz w:val="21"/>
        </w:rPr>
        <w:t>Butt, Peter and Peter Nygh (eds), </w:t>
      </w:r>
      <w:r>
        <w:rPr>
          <w:i/>
          <w:sz w:val="21"/>
        </w:rPr>
        <w:t>Butterworths Australian Legal Dictionary </w:t>
      </w:r>
      <w:r>
        <w:rPr>
          <w:sz w:val="21"/>
        </w:rPr>
        <w:t>(Butterworths, 1997)</w:t>
      </w:r>
    </w:p>
    <w:p>
      <w:pPr>
        <w:spacing w:line="242" w:lineRule="auto" w:before="124"/>
        <w:ind w:left="1587" w:right="0" w:firstLine="0"/>
        <w:jc w:val="left"/>
        <w:rPr>
          <w:sz w:val="21"/>
        </w:rPr>
      </w:pPr>
      <w:r>
        <w:rPr>
          <w:sz w:val="21"/>
        </w:rPr>
        <w:t>Butt, Peter and Peter Nygh (eds), </w:t>
      </w:r>
      <w:r>
        <w:rPr>
          <w:i/>
          <w:sz w:val="21"/>
        </w:rPr>
        <w:t>Encyclopaedic Australian Legal Dictionary </w:t>
      </w:r>
      <w:r>
        <w:rPr>
          <w:sz w:val="21"/>
        </w:rPr>
        <w:t>[online] (LexisNexis Butterworths)</w:t>
      </w:r>
    </w:p>
    <w:p>
      <w:pPr>
        <w:spacing w:before="122"/>
        <w:ind w:left="1587" w:right="0" w:firstLine="0"/>
        <w:jc w:val="left"/>
        <w:rPr>
          <w:sz w:val="21"/>
        </w:rPr>
      </w:pPr>
      <w:r>
        <w:rPr>
          <w:spacing w:val="-3"/>
          <w:w w:val="105"/>
          <w:sz w:val="21"/>
        </w:rPr>
        <w:t>California Administrative </w:t>
      </w:r>
      <w:r>
        <w:rPr>
          <w:w w:val="105"/>
          <w:sz w:val="21"/>
        </w:rPr>
        <w:t>Office of the Courts, </w:t>
      </w:r>
      <w:r>
        <w:rPr>
          <w:i/>
          <w:w w:val="105"/>
          <w:sz w:val="21"/>
        </w:rPr>
        <w:t>Undue Influence: Definitions and </w:t>
      </w:r>
      <w:r>
        <w:rPr>
          <w:i/>
          <w:spacing w:val="-3"/>
          <w:w w:val="105"/>
          <w:sz w:val="21"/>
        </w:rPr>
        <w:t>Applications </w:t>
      </w:r>
      <w:r>
        <w:rPr>
          <w:spacing w:val="-4"/>
          <w:w w:val="105"/>
          <w:sz w:val="21"/>
        </w:rPr>
        <w:t>(2010)</w:t>
      </w:r>
    </w:p>
    <w:p>
      <w:pPr>
        <w:pStyle w:val="BodyText"/>
        <w:spacing w:before="4"/>
        <w:ind w:left="1587"/>
      </w:pPr>
      <w:r>
        <w:rPr>
          <w:w w:val="105"/>
        </w:rPr>
        <w:t>&lt;</w:t>
      </w:r>
      <w:hyperlink r:id="rId126">
        <w:r>
          <w:rPr>
            <w:w w:val="105"/>
          </w:rPr>
          <w:t>www.courts.ca.gov/documents/UndueInfluence.pdf</w:t>
        </w:r>
      </w:hyperlink>
      <w:r>
        <w:rPr>
          <w:w w:val="105"/>
        </w:rPr>
        <w:t>&gt;</w:t>
      </w:r>
    </w:p>
    <w:p>
      <w:pPr>
        <w:spacing w:before="124"/>
        <w:ind w:left="1587" w:right="0" w:firstLine="0"/>
        <w:jc w:val="left"/>
        <w:rPr>
          <w:sz w:val="21"/>
        </w:rPr>
      </w:pPr>
      <w:r>
        <w:rPr>
          <w:w w:val="105"/>
          <w:sz w:val="21"/>
        </w:rPr>
        <w:t>Certoma, G L, </w:t>
      </w:r>
      <w:r>
        <w:rPr>
          <w:i/>
          <w:w w:val="105"/>
          <w:sz w:val="21"/>
        </w:rPr>
        <w:t>Succession: Commentary and Materials </w:t>
      </w:r>
      <w:r>
        <w:rPr>
          <w:w w:val="105"/>
          <w:sz w:val="21"/>
        </w:rPr>
        <w:t>(Lawbook Co, 6th ed, 2011)</w:t>
      </w:r>
    </w:p>
    <w:p>
      <w:pPr>
        <w:pStyle w:val="BodyText"/>
        <w:spacing w:line="242" w:lineRule="auto" w:before="124"/>
        <w:ind w:left="1587" w:right="226"/>
      </w:pPr>
      <w:r>
        <w:rPr>
          <w:spacing w:val="-3"/>
          <w:w w:val="105"/>
        </w:rPr>
        <w:t>Chesterman, </w:t>
      </w:r>
      <w:r>
        <w:rPr>
          <w:w w:val="105"/>
        </w:rPr>
        <w:t>R N, ‘Does Morality </w:t>
      </w:r>
      <w:r>
        <w:rPr>
          <w:spacing w:val="-3"/>
          <w:w w:val="105"/>
        </w:rPr>
        <w:t>Have </w:t>
      </w:r>
      <w:r>
        <w:rPr>
          <w:w w:val="105"/>
        </w:rPr>
        <w:t>a </w:t>
      </w:r>
      <w:r>
        <w:rPr>
          <w:spacing w:val="-3"/>
          <w:w w:val="105"/>
        </w:rPr>
        <w:t>Place </w:t>
      </w:r>
      <w:r>
        <w:rPr>
          <w:w w:val="105"/>
        </w:rPr>
        <w:t>in Applications </w:t>
      </w:r>
      <w:r>
        <w:rPr>
          <w:spacing w:val="-3"/>
          <w:w w:val="105"/>
        </w:rPr>
        <w:t>for </w:t>
      </w:r>
      <w:r>
        <w:rPr>
          <w:spacing w:val="-4"/>
          <w:w w:val="105"/>
        </w:rPr>
        <w:t>Family </w:t>
      </w:r>
      <w:r>
        <w:rPr>
          <w:spacing w:val="-3"/>
          <w:w w:val="105"/>
        </w:rPr>
        <w:t>Provision Brought </w:t>
      </w:r>
      <w:r>
        <w:rPr>
          <w:w w:val="105"/>
        </w:rPr>
        <w:t>under s </w:t>
      </w:r>
      <w:r>
        <w:rPr>
          <w:spacing w:val="-8"/>
          <w:w w:val="105"/>
        </w:rPr>
        <w:t>41 </w:t>
      </w:r>
      <w:r>
        <w:rPr>
          <w:w w:val="105"/>
        </w:rPr>
        <w:t>of the </w:t>
      </w:r>
      <w:r>
        <w:rPr>
          <w:i/>
          <w:spacing w:val="-3"/>
          <w:w w:val="105"/>
        </w:rPr>
        <w:t>Succession </w:t>
      </w:r>
      <w:r>
        <w:rPr>
          <w:i/>
          <w:w w:val="105"/>
        </w:rPr>
        <w:t>Act </w:t>
      </w:r>
      <w:r>
        <w:rPr>
          <w:i/>
          <w:spacing w:val="-5"/>
          <w:w w:val="105"/>
        </w:rPr>
        <w:t>1981</w:t>
      </w:r>
      <w:r>
        <w:rPr>
          <w:spacing w:val="-5"/>
          <w:w w:val="105"/>
        </w:rPr>
        <w:t>?’ </w:t>
      </w:r>
      <w:r>
        <w:rPr>
          <w:w w:val="105"/>
        </w:rPr>
        <w:t>(Paper </w:t>
      </w:r>
      <w:r>
        <w:rPr>
          <w:spacing w:val="-3"/>
          <w:w w:val="105"/>
        </w:rPr>
        <w:t>presented </w:t>
      </w:r>
      <w:r>
        <w:rPr>
          <w:w w:val="105"/>
        </w:rPr>
        <w:t>at the </w:t>
      </w:r>
      <w:r>
        <w:rPr>
          <w:spacing w:val="-3"/>
          <w:w w:val="105"/>
        </w:rPr>
        <w:t>Queensland </w:t>
      </w:r>
      <w:r>
        <w:rPr>
          <w:w w:val="105"/>
        </w:rPr>
        <w:t>Law Society </w:t>
      </w:r>
      <w:r>
        <w:rPr>
          <w:spacing w:val="-3"/>
          <w:w w:val="105"/>
        </w:rPr>
        <w:t>Annual Succession </w:t>
      </w:r>
      <w:r>
        <w:rPr>
          <w:w w:val="105"/>
        </w:rPr>
        <w:t>Law </w:t>
      </w:r>
      <w:r>
        <w:rPr>
          <w:spacing w:val="-4"/>
          <w:w w:val="105"/>
        </w:rPr>
        <w:t>Conference, </w:t>
      </w:r>
      <w:r>
        <w:rPr>
          <w:spacing w:val="-3"/>
          <w:w w:val="105"/>
        </w:rPr>
        <w:t>Sunshine Coast, </w:t>
      </w:r>
      <w:r>
        <w:rPr>
          <w:w w:val="105"/>
        </w:rPr>
        <w:t>1 November 2008)</w:t>
      </w:r>
    </w:p>
    <w:p>
      <w:pPr>
        <w:pStyle w:val="BodyText"/>
        <w:spacing w:line="242" w:lineRule="auto" w:before="123"/>
        <w:ind w:left="1587"/>
      </w:pPr>
      <w:r>
        <w:rPr>
          <w:spacing w:val="-4"/>
          <w:w w:val="105"/>
        </w:rPr>
        <w:t>Cockburn, </w:t>
      </w:r>
      <w:r>
        <w:rPr>
          <w:w w:val="105"/>
        </w:rPr>
        <w:t>Tina and </w:t>
      </w:r>
      <w:r>
        <w:rPr>
          <w:spacing w:val="-3"/>
          <w:w w:val="105"/>
        </w:rPr>
        <w:t>Barbara Hamilton, </w:t>
      </w:r>
      <w:r>
        <w:rPr>
          <w:spacing w:val="-4"/>
          <w:w w:val="105"/>
        </w:rPr>
        <w:t>‘Civil </w:t>
      </w:r>
      <w:r>
        <w:rPr>
          <w:w w:val="105"/>
        </w:rPr>
        <w:t>and </w:t>
      </w:r>
      <w:r>
        <w:rPr>
          <w:spacing w:val="-3"/>
          <w:w w:val="105"/>
        </w:rPr>
        <w:t>Professional </w:t>
      </w:r>
      <w:r>
        <w:rPr>
          <w:w w:val="105"/>
        </w:rPr>
        <w:t>Liability </w:t>
      </w:r>
      <w:r>
        <w:rPr>
          <w:spacing w:val="-3"/>
          <w:w w:val="105"/>
        </w:rPr>
        <w:t>for </w:t>
      </w:r>
      <w:r>
        <w:rPr>
          <w:w w:val="105"/>
        </w:rPr>
        <w:t>Will </w:t>
      </w:r>
      <w:r>
        <w:rPr>
          <w:spacing w:val="-3"/>
          <w:w w:val="105"/>
        </w:rPr>
        <w:t>Making </w:t>
      </w:r>
      <w:r>
        <w:rPr>
          <w:w w:val="105"/>
        </w:rPr>
        <w:t>and Estate Planning—A New </w:t>
      </w:r>
      <w:r>
        <w:rPr>
          <w:spacing w:val="-3"/>
          <w:w w:val="105"/>
        </w:rPr>
        <w:t>Standard for Australian </w:t>
      </w:r>
      <w:r>
        <w:rPr>
          <w:w w:val="105"/>
        </w:rPr>
        <w:t>Solicitors?’ (2009) </w:t>
      </w:r>
      <w:r>
        <w:rPr>
          <w:spacing w:val="-9"/>
          <w:w w:val="105"/>
        </w:rPr>
        <w:t>17 </w:t>
      </w:r>
      <w:r>
        <w:rPr>
          <w:i/>
          <w:spacing w:val="-4"/>
          <w:w w:val="105"/>
        </w:rPr>
        <w:t>Waikata </w:t>
      </w:r>
      <w:r>
        <w:rPr>
          <w:i/>
          <w:w w:val="105"/>
        </w:rPr>
        <w:t>Law Review </w:t>
      </w:r>
      <w:r>
        <w:rPr>
          <w:spacing w:val="-6"/>
          <w:w w:val="105"/>
        </w:rPr>
        <w:t>52</w:t>
      </w:r>
    </w:p>
    <w:p>
      <w:pPr>
        <w:pStyle w:val="BodyText"/>
        <w:spacing w:line="242" w:lineRule="auto" w:before="122"/>
        <w:ind w:left="1587" w:right="257"/>
      </w:pPr>
      <w:r>
        <w:rPr>
          <w:spacing w:val="-3"/>
        </w:rPr>
        <w:t>Cook,  Richard,  </w:t>
      </w:r>
      <w:r>
        <w:rPr/>
        <w:t>‘Responsibility in Will Making: How the New TFM </w:t>
      </w:r>
      <w:r>
        <w:rPr>
          <w:spacing w:val="-3"/>
        </w:rPr>
        <w:t>Legislation</w:t>
      </w:r>
      <w:r>
        <w:rPr>
          <w:spacing w:val="41"/>
        </w:rPr>
        <w:t> </w:t>
      </w:r>
      <w:r>
        <w:rPr/>
        <w:t>Has Been </w:t>
      </w:r>
      <w:r>
        <w:rPr>
          <w:spacing w:val="-3"/>
        </w:rPr>
        <w:t>Interpreted   </w:t>
      </w:r>
      <w:r>
        <w:rPr/>
        <w:t>in Practice’ </w:t>
      </w:r>
      <w:r>
        <w:rPr>
          <w:spacing w:val="-4"/>
        </w:rPr>
        <w:t>(2001) </w:t>
      </w:r>
      <w:r>
        <w:rPr/>
        <w:t>75(4) </w:t>
      </w:r>
      <w:r>
        <w:rPr>
          <w:i/>
        </w:rPr>
        <w:t>Law Institute </w:t>
      </w:r>
      <w:r>
        <w:rPr>
          <w:i/>
          <w:spacing w:val="-3"/>
        </w:rPr>
        <w:t>Journal</w:t>
      </w:r>
      <w:r>
        <w:rPr>
          <w:i/>
          <w:spacing w:val="25"/>
        </w:rPr>
        <w:t> </w:t>
      </w:r>
      <w:r>
        <w:rPr>
          <w:spacing w:val="-4"/>
        </w:rPr>
        <w:t>59</w:t>
      </w:r>
    </w:p>
    <w:p>
      <w:pPr>
        <w:spacing w:before="122"/>
        <w:ind w:left="1587" w:right="0" w:firstLine="0"/>
        <w:jc w:val="left"/>
        <w:rPr>
          <w:sz w:val="21"/>
        </w:rPr>
      </w:pPr>
      <w:r>
        <w:rPr>
          <w:w w:val="105"/>
          <w:sz w:val="21"/>
        </w:rPr>
        <w:t>Cook, Richard, ‘Don’t Ask for More’ (2011) 85(11) </w:t>
      </w:r>
      <w:r>
        <w:rPr>
          <w:i/>
          <w:w w:val="105"/>
          <w:sz w:val="21"/>
        </w:rPr>
        <w:t>Law Institute Journal </w:t>
      </w:r>
      <w:r>
        <w:rPr>
          <w:w w:val="105"/>
          <w:sz w:val="21"/>
        </w:rPr>
        <w:t>46</w:t>
      </w:r>
    </w:p>
    <w:p>
      <w:pPr>
        <w:spacing w:before="124"/>
        <w:ind w:left="1587" w:right="0" w:firstLine="0"/>
        <w:jc w:val="left"/>
        <w:rPr>
          <w:i/>
          <w:sz w:val="21"/>
        </w:rPr>
      </w:pPr>
      <w:r>
        <w:rPr>
          <w:w w:val="105"/>
          <w:sz w:val="21"/>
        </w:rPr>
        <w:t>Crago, Neville, ‘Reform of the Law of Wills’ (1995) 25 </w:t>
      </w:r>
      <w:r>
        <w:rPr>
          <w:i/>
          <w:w w:val="105"/>
          <w:sz w:val="21"/>
        </w:rPr>
        <w:t>University of Western Australia Law Review</w:t>
      </w:r>
    </w:p>
    <w:p>
      <w:pPr>
        <w:pStyle w:val="BodyText"/>
        <w:spacing w:before="4"/>
        <w:ind w:left="1587"/>
      </w:pPr>
      <w:r>
        <w:rPr>
          <w:w w:val="110"/>
        </w:rPr>
        <w:t>255</w:t>
      </w:r>
    </w:p>
    <w:p>
      <w:pPr>
        <w:spacing w:line="242" w:lineRule="auto" w:before="124"/>
        <w:ind w:left="1587" w:right="0" w:firstLine="0"/>
        <w:jc w:val="left"/>
        <w:rPr>
          <w:sz w:val="21"/>
        </w:rPr>
      </w:pPr>
      <w:r>
        <w:rPr>
          <w:spacing w:val="-5"/>
          <w:w w:val="105"/>
          <w:sz w:val="21"/>
        </w:rPr>
        <w:t>Cretney, </w:t>
      </w:r>
      <w:r>
        <w:rPr>
          <w:w w:val="105"/>
          <w:sz w:val="21"/>
        </w:rPr>
        <w:t>S M, ‘The </w:t>
      </w:r>
      <w:r>
        <w:rPr>
          <w:i/>
          <w:w w:val="105"/>
          <w:sz w:val="21"/>
        </w:rPr>
        <w:t>Forfeiture Act</w:t>
      </w:r>
      <w:r>
        <w:rPr>
          <w:i/>
          <w:spacing w:val="-4"/>
          <w:w w:val="105"/>
          <w:sz w:val="21"/>
        </w:rPr>
        <w:t> 1982</w:t>
      </w:r>
      <w:r>
        <w:rPr>
          <w:spacing w:val="-4"/>
          <w:w w:val="105"/>
          <w:sz w:val="21"/>
        </w:rPr>
        <w:t>: </w:t>
      </w:r>
      <w:r>
        <w:rPr>
          <w:w w:val="105"/>
          <w:sz w:val="21"/>
        </w:rPr>
        <w:t>The Private Member’s </w:t>
      </w:r>
      <w:r>
        <w:rPr>
          <w:spacing w:val="-3"/>
          <w:w w:val="105"/>
          <w:sz w:val="21"/>
        </w:rPr>
        <w:t>Bill </w:t>
      </w:r>
      <w:r>
        <w:rPr>
          <w:w w:val="105"/>
          <w:sz w:val="21"/>
        </w:rPr>
        <w:t>as an Instrument of Law </w:t>
      </w:r>
      <w:r>
        <w:rPr>
          <w:spacing w:val="-3"/>
          <w:w w:val="105"/>
          <w:sz w:val="21"/>
        </w:rPr>
        <w:t>Reform’ (1990) </w:t>
      </w:r>
      <w:r>
        <w:rPr>
          <w:spacing w:val="-6"/>
          <w:w w:val="105"/>
          <w:sz w:val="21"/>
        </w:rPr>
        <w:t>10 </w:t>
      </w:r>
      <w:r>
        <w:rPr>
          <w:i/>
          <w:w w:val="105"/>
          <w:sz w:val="21"/>
        </w:rPr>
        <w:t>Oxford </w:t>
      </w:r>
      <w:r>
        <w:rPr>
          <w:i/>
          <w:spacing w:val="-3"/>
          <w:w w:val="105"/>
          <w:sz w:val="21"/>
        </w:rPr>
        <w:t>Journal of </w:t>
      </w:r>
      <w:r>
        <w:rPr>
          <w:i/>
          <w:w w:val="105"/>
          <w:sz w:val="21"/>
        </w:rPr>
        <w:t>Legal </w:t>
      </w:r>
      <w:r>
        <w:rPr>
          <w:i/>
          <w:spacing w:val="-3"/>
          <w:w w:val="105"/>
          <w:sz w:val="21"/>
        </w:rPr>
        <w:t>Studies </w:t>
      </w:r>
      <w:r>
        <w:rPr>
          <w:spacing w:val="-3"/>
          <w:w w:val="105"/>
          <w:sz w:val="21"/>
        </w:rPr>
        <w:t>289</w:t>
      </w:r>
    </w:p>
    <w:p>
      <w:pPr>
        <w:pStyle w:val="BodyText"/>
        <w:spacing w:line="242" w:lineRule="auto" w:before="122"/>
        <w:ind w:left="1587"/>
      </w:pPr>
      <w:r>
        <w:rPr>
          <w:spacing w:val="-5"/>
          <w:w w:val="105"/>
        </w:rPr>
        <w:t>Croucher,</w:t>
      </w:r>
      <w:r>
        <w:rPr>
          <w:spacing w:val="-11"/>
          <w:w w:val="105"/>
        </w:rPr>
        <w:t> </w:t>
      </w:r>
      <w:r>
        <w:rPr>
          <w:spacing w:val="-3"/>
          <w:w w:val="105"/>
        </w:rPr>
        <w:t>Rosalind,</w:t>
      </w:r>
      <w:r>
        <w:rPr>
          <w:spacing w:val="-10"/>
          <w:w w:val="105"/>
        </w:rPr>
        <w:t> </w:t>
      </w:r>
      <w:r>
        <w:rPr>
          <w:w w:val="105"/>
        </w:rPr>
        <w:t>‘Law</w:t>
      </w:r>
      <w:r>
        <w:rPr>
          <w:spacing w:val="-11"/>
          <w:w w:val="105"/>
        </w:rPr>
        <w:t> </w:t>
      </w:r>
      <w:r>
        <w:rPr>
          <w:spacing w:val="-3"/>
          <w:w w:val="105"/>
        </w:rPr>
        <w:t>Reform</w:t>
      </w:r>
      <w:r>
        <w:rPr>
          <w:spacing w:val="-10"/>
          <w:w w:val="105"/>
        </w:rPr>
        <w:t> </w:t>
      </w:r>
      <w:r>
        <w:rPr>
          <w:w w:val="105"/>
        </w:rPr>
        <w:t>as</w:t>
      </w:r>
      <w:r>
        <w:rPr>
          <w:spacing w:val="-11"/>
          <w:w w:val="105"/>
        </w:rPr>
        <w:t> </w:t>
      </w:r>
      <w:r>
        <w:rPr>
          <w:w w:val="105"/>
        </w:rPr>
        <w:t>Personalities,</w:t>
      </w:r>
      <w:r>
        <w:rPr>
          <w:spacing w:val="-10"/>
          <w:w w:val="105"/>
        </w:rPr>
        <w:t> </w:t>
      </w:r>
      <w:r>
        <w:rPr>
          <w:w w:val="105"/>
        </w:rPr>
        <w:t>Politics</w:t>
      </w:r>
      <w:r>
        <w:rPr>
          <w:spacing w:val="-11"/>
          <w:w w:val="105"/>
        </w:rPr>
        <w:t> </w:t>
      </w:r>
      <w:r>
        <w:rPr>
          <w:w w:val="105"/>
        </w:rPr>
        <w:t>and</w:t>
      </w:r>
      <w:r>
        <w:rPr>
          <w:spacing w:val="-10"/>
          <w:w w:val="105"/>
        </w:rPr>
        <w:t> </w:t>
      </w:r>
      <w:r>
        <w:rPr>
          <w:w w:val="105"/>
        </w:rPr>
        <w:t>Pragmatics—The</w:t>
      </w:r>
      <w:r>
        <w:rPr>
          <w:spacing w:val="-11"/>
          <w:w w:val="105"/>
        </w:rPr>
        <w:t> </w:t>
      </w:r>
      <w:r>
        <w:rPr>
          <w:spacing w:val="-4"/>
          <w:w w:val="105"/>
        </w:rPr>
        <w:t>Family</w:t>
      </w:r>
      <w:r>
        <w:rPr>
          <w:spacing w:val="-10"/>
          <w:w w:val="105"/>
        </w:rPr>
        <w:t> </w:t>
      </w:r>
      <w:r>
        <w:rPr>
          <w:spacing w:val="-3"/>
          <w:w w:val="105"/>
        </w:rPr>
        <w:t>Provision</w:t>
      </w:r>
      <w:r>
        <w:rPr>
          <w:spacing w:val="-11"/>
          <w:w w:val="105"/>
        </w:rPr>
        <w:t> </w:t>
      </w:r>
      <w:r>
        <w:rPr>
          <w:w w:val="105"/>
        </w:rPr>
        <w:t>Act </w:t>
      </w:r>
      <w:r>
        <w:rPr>
          <w:spacing w:val="-4"/>
          <w:w w:val="105"/>
        </w:rPr>
        <w:t>1982 </w:t>
      </w:r>
      <w:r>
        <w:rPr>
          <w:spacing w:val="2"/>
          <w:w w:val="105"/>
        </w:rPr>
        <w:t>(NSW): </w:t>
      </w:r>
      <w:r>
        <w:rPr>
          <w:w w:val="105"/>
        </w:rPr>
        <w:t>A </w:t>
      </w:r>
      <w:r>
        <w:rPr>
          <w:spacing w:val="-3"/>
          <w:w w:val="105"/>
        </w:rPr>
        <w:t>Case Study’ (2007) </w:t>
      </w:r>
      <w:r>
        <w:rPr>
          <w:spacing w:val="-12"/>
          <w:w w:val="105"/>
        </w:rPr>
        <w:t>11 </w:t>
      </w:r>
      <w:r>
        <w:rPr>
          <w:i/>
          <w:w w:val="105"/>
        </w:rPr>
        <w:t>Legal History</w:t>
      </w:r>
      <w:r>
        <w:rPr>
          <w:i/>
          <w:spacing w:val="38"/>
          <w:w w:val="105"/>
        </w:rPr>
        <w:t> </w:t>
      </w:r>
      <w:r>
        <w:rPr>
          <w:w w:val="105"/>
        </w:rPr>
        <w:t>1</w:t>
      </w:r>
    </w:p>
    <w:p>
      <w:pPr>
        <w:spacing w:line="242" w:lineRule="auto" w:before="122"/>
        <w:ind w:left="1587" w:right="183" w:firstLine="0"/>
        <w:jc w:val="left"/>
        <w:rPr>
          <w:sz w:val="21"/>
        </w:rPr>
      </w:pPr>
      <w:r>
        <w:rPr>
          <w:spacing w:val="-5"/>
          <w:w w:val="105"/>
          <w:sz w:val="21"/>
        </w:rPr>
        <w:t>Croucher, </w:t>
      </w:r>
      <w:r>
        <w:rPr>
          <w:spacing w:val="-3"/>
          <w:w w:val="105"/>
          <w:sz w:val="21"/>
        </w:rPr>
        <w:t>Rosalind, ‘Conflicting </w:t>
      </w:r>
      <w:r>
        <w:rPr>
          <w:w w:val="105"/>
          <w:sz w:val="21"/>
        </w:rPr>
        <w:t>Narratives in </w:t>
      </w:r>
      <w:r>
        <w:rPr>
          <w:spacing w:val="-3"/>
          <w:w w:val="105"/>
          <w:sz w:val="21"/>
        </w:rPr>
        <w:t>Succession </w:t>
      </w:r>
      <w:r>
        <w:rPr>
          <w:w w:val="105"/>
          <w:sz w:val="21"/>
        </w:rPr>
        <w:t>Law—A Review of </w:t>
      </w:r>
      <w:r>
        <w:rPr>
          <w:spacing w:val="-2"/>
          <w:w w:val="105"/>
          <w:sz w:val="21"/>
        </w:rPr>
        <w:t>Recent </w:t>
      </w:r>
      <w:r>
        <w:rPr>
          <w:spacing w:val="-3"/>
          <w:w w:val="105"/>
          <w:sz w:val="21"/>
        </w:rPr>
        <w:t>Cases’ (2007) </w:t>
      </w:r>
      <w:r>
        <w:rPr>
          <w:spacing w:val="-7"/>
          <w:w w:val="105"/>
          <w:sz w:val="21"/>
        </w:rPr>
        <w:t>14 </w:t>
      </w:r>
      <w:r>
        <w:rPr>
          <w:i/>
          <w:spacing w:val="-3"/>
          <w:w w:val="105"/>
          <w:sz w:val="21"/>
        </w:rPr>
        <w:t>Australian </w:t>
      </w:r>
      <w:r>
        <w:rPr>
          <w:i/>
          <w:w w:val="105"/>
          <w:sz w:val="21"/>
        </w:rPr>
        <w:t>Property Law </w:t>
      </w:r>
      <w:r>
        <w:rPr>
          <w:i/>
          <w:spacing w:val="-3"/>
          <w:w w:val="105"/>
          <w:sz w:val="21"/>
        </w:rPr>
        <w:t>Journal </w:t>
      </w:r>
      <w:r>
        <w:rPr>
          <w:spacing w:val="-8"/>
          <w:w w:val="105"/>
          <w:sz w:val="21"/>
        </w:rPr>
        <w:t>179</w:t>
      </w:r>
    </w:p>
    <w:p>
      <w:pPr>
        <w:spacing w:line="242" w:lineRule="auto" w:before="122"/>
        <w:ind w:left="1587" w:right="0" w:firstLine="0"/>
        <w:jc w:val="left"/>
        <w:rPr>
          <w:sz w:val="21"/>
        </w:rPr>
      </w:pPr>
      <w:r>
        <w:rPr>
          <w:spacing w:val="-5"/>
          <w:w w:val="105"/>
          <w:sz w:val="21"/>
        </w:rPr>
        <w:t>Croucher, </w:t>
      </w:r>
      <w:r>
        <w:rPr>
          <w:spacing w:val="-3"/>
          <w:w w:val="105"/>
          <w:sz w:val="21"/>
        </w:rPr>
        <w:t>Rosalind, </w:t>
      </w:r>
      <w:r>
        <w:rPr>
          <w:spacing w:val="-9"/>
          <w:w w:val="105"/>
          <w:sz w:val="21"/>
        </w:rPr>
        <w:t>‘”An </w:t>
      </w:r>
      <w:r>
        <w:rPr>
          <w:w w:val="105"/>
          <w:sz w:val="21"/>
        </w:rPr>
        <w:t>Interventionist, </w:t>
      </w:r>
      <w:r>
        <w:rPr>
          <w:spacing w:val="-3"/>
          <w:w w:val="105"/>
          <w:sz w:val="21"/>
        </w:rPr>
        <w:t>Paternalistic Jurisdiction”? </w:t>
      </w:r>
      <w:r>
        <w:rPr>
          <w:w w:val="105"/>
          <w:sz w:val="21"/>
        </w:rPr>
        <w:t>The </w:t>
      </w:r>
      <w:r>
        <w:rPr>
          <w:spacing w:val="-3"/>
          <w:w w:val="105"/>
          <w:sz w:val="21"/>
        </w:rPr>
        <w:t>Place </w:t>
      </w:r>
      <w:r>
        <w:rPr>
          <w:w w:val="105"/>
          <w:sz w:val="21"/>
        </w:rPr>
        <w:t>of </w:t>
      </w:r>
      <w:r>
        <w:rPr>
          <w:spacing w:val="-3"/>
          <w:w w:val="105"/>
          <w:sz w:val="21"/>
        </w:rPr>
        <w:t>Statutory Wills </w:t>
      </w:r>
      <w:r>
        <w:rPr>
          <w:w w:val="105"/>
          <w:sz w:val="21"/>
        </w:rPr>
        <w:t>in </w:t>
      </w:r>
      <w:r>
        <w:rPr>
          <w:spacing w:val="-3"/>
          <w:w w:val="105"/>
          <w:sz w:val="21"/>
        </w:rPr>
        <w:t>Australian Succession </w:t>
      </w:r>
      <w:r>
        <w:rPr>
          <w:w w:val="105"/>
          <w:sz w:val="21"/>
        </w:rPr>
        <w:t>Law’ (2009) 32(3) </w:t>
      </w:r>
      <w:r>
        <w:rPr>
          <w:i/>
          <w:w w:val="105"/>
          <w:sz w:val="21"/>
        </w:rPr>
        <w:t>University </w:t>
      </w:r>
      <w:r>
        <w:rPr>
          <w:i/>
          <w:spacing w:val="-3"/>
          <w:w w:val="105"/>
          <w:sz w:val="21"/>
        </w:rPr>
        <w:t>of </w:t>
      </w:r>
      <w:r>
        <w:rPr>
          <w:i/>
          <w:w w:val="105"/>
          <w:sz w:val="21"/>
        </w:rPr>
        <w:t>New South </w:t>
      </w:r>
      <w:r>
        <w:rPr>
          <w:i/>
          <w:spacing w:val="-3"/>
          <w:w w:val="105"/>
          <w:sz w:val="21"/>
        </w:rPr>
        <w:t>Wales </w:t>
      </w:r>
      <w:r>
        <w:rPr>
          <w:i/>
          <w:w w:val="105"/>
          <w:sz w:val="21"/>
        </w:rPr>
        <w:t>Law </w:t>
      </w:r>
      <w:r>
        <w:rPr>
          <w:i/>
          <w:spacing w:val="-3"/>
          <w:w w:val="105"/>
          <w:sz w:val="21"/>
        </w:rPr>
        <w:t>Journal </w:t>
      </w:r>
      <w:r>
        <w:rPr>
          <w:spacing w:val="-12"/>
          <w:w w:val="105"/>
          <w:sz w:val="21"/>
        </w:rPr>
        <w:t>674</w:t>
      </w:r>
    </w:p>
    <w:p>
      <w:pPr>
        <w:pStyle w:val="BodyText"/>
        <w:spacing w:line="242" w:lineRule="auto" w:before="123"/>
        <w:ind w:left="1587"/>
      </w:pPr>
      <w:r>
        <w:rPr>
          <w:spacing w:val="-5"/>
          <w:w w:val="105"/>
        </w:rPr>
        <w:t>Croucher, </w:t>
      </w:r>
      <w:r>
        <w:rPr>
          <w:spacing w:val="-3"/>
          <w:w w:val="105"/>
        </w:rPr>
        <w:t>Rosalind, </w:t>
      </w:r>
      <w:r>
        <w:rPr>
          <w:w w:val="105"/>
        </w:rPr>
        <w:t>‘Quirks and </w:t>
      </w:r>
      <w:r>
        <w:rPr>
          <w:spacing w:val="-3"/>
          <w:w w:val="105"/>
        </w:rPr>
        <w:t>Curios: </w:t>
      </w:r>
      <w:r>
        <w:rPr>
          <w:w w:val="105"/>
        </w:rPr>
        <w:t>Rescued Footnotes in the History of </w:t>
      </w:r>
      <w:r>
        <w:rPr>
          <w:spacing w:val="-3"/>
          <w:w w:val="105"/>
        </w:rPr>
        <w:t>Succession </w:t>
      </w:r>
      <w:r>
        <w:rPr>
          <w:w w:val="105"/>
        </w:rPr>
        <w:t>Law’ (2009) </w:t>
      </w:r>
      <w:r>
        <w:rPr>
          <w:spacing w:val="3"/>
          <w:w w:val="105"/>
        </w:rPr>
        <w:t>83(9) </w:t>
      </w:r>
      <w:r>
        <w:rPr>
          <w:i/>
          <w:spacing w:val="-3"/>
          <w:w w:val="105"/>
        </w:rPr>
        <w:t>Australian </w:t>
      </w:r>
      <w:r>
        <w:rPr>
          <w:i/>
          <w:w w:val="105"/>
        </w:rPr>
        <w:t>Law Journal </w:t>
      </w:r>
      <w:r>
        <w:rPr>
          <w:w w:val="105"/>
        </w:rPr>
        <w:t>609</w:t>
      </w:r>
    </w:p>
    <w:p>
      <w:pPr>
        <w:spacing w:before="122"/>
        <w:ind w:left="1587" w:right="0" w:firstLine="0"/>
        <w:jc w:val="left"/>
        <w:rPr>
          <w:i/>
          <w:sz w:val="21"/>
        </w:rPr>
      </w:pPr>
      <w:r>
        <w:rPr>
          <w:spacing w:val="-5"/>
          <w:w w:val="105"/>
          <w:sz w:val="21"/>
        </w:rPr>
        <w:t>Croucher, </w:t>
      </w:r>
      <w:r>
        <w:rPr>
          <w:spacing w:val="-3"/>
          <w:w w:val="105"/>
          <w:sz w:val="21"/>
        </w:rPr>
        <w:t>Rosalind, </w:t>
      </w:r>
      <w:r>
        <w:rPr>
          <w:spacing w:val="-4"/>
          <w:w w:val="105"/>
          <w:sz w:val="21"/>
        </w:rPr>
        <w:t>‘Towards </w:t>
      </w:r>
      <w:r>
        <w:rPr>
          <w:spacing w:val="-3"/>
          <w:w w:val="105"/>
          <w:sz w:val="21"/>
        </w:rPr>
        <w:t>Uniform Succession </w:t>
      </w:r>
      <w:r>
        <w:rPr>
          <w:w w:val="105"/>
          <w:sz w:val="21"/>
        </w:rPr>
        <w:t>in </w:t>
      </w:r>
      <w:r>
        <w:rPr>
          <w:spacing w:val="-3"/>
          <w:w w:val="105"/>
          <w:sz w:val="21"/>
        </w:rPr>
        <w:t>Australia’ </w:t>
      </w:r>
      <w:r>
        <w:rPr>
          <w:w w:val="105"/>
          <w:sz w:val="21"/>
        </w:rPr>
        <w:t>(2009) </w:t>
      </w:r>
      <w:r>
        <w:rPr>
          <w:spacing w:val="-6"/>
          <w:w w:val="105"/>
          <w:sz w:val="21"/>
        </w:rPr>
        <w:t>83(11) </w:t>
      </w:r>
      <w:r>
        <w:rPr>
          <w:i/>
          <w:spacing w:val="-3"/>
          <w:w w:val="105"/>
          <w:sz w:val="21"/>
        </w:rPr>
        <w:t>Australian </w:t>
      </w:r>
      <w:r>
        <w:rPr>
          <w:i/>
          <w:w w:val="105"/>
          <w:sz w:val="21"/>
        </w:rPr>
        <w:t>Law </w:t>
      </w:r>
      <w:r>
        <w:rPr>
          <w:i/>
          <w:spacing w:val="-3"/>
          <w:w w:val="105"/>
          <w:sz w:val="21"/>
        </w:rPr>
        <w:t>Journal</w:t>
      </w:r>
    </w:p>
    <w:p>
      <w:pPr>
        <w:pStyle w:val="BodyText"/>
        <w:spacing w:before="4"/>
        <w:ind w:left="1587"/>
      </w:pPr>
      <w:r>
        <w:rPr>
          <w:w w:val="110"/>
        </w:rPr>
        <w:t>728</w:t>
      </w:r>
    </w:p>
    <w:p>
      <w:pPr>
        <w:pStyle w:val="BodyText"/>
        <w:spacing w:line="242" w:lineRule="auto" w:before="123"/>
        <w:ind w:left="1587"/>
      </w:pPr>
      <w:r>
        <w:rPr>
          <w:spacing w:val="-5"/>
          <w:w w:val="105"/>
        </w:rPr>
        <w:t>Croucher, </w:t>
      </w:r>
      <w:r>
        <w:rPr>
          <w:spacing w:val="-3"/>
          <w:w w:val="105"/>
        </w:rPr>
        <w:t>Rosalind, ‘Succession </w:t>
      </w:r>
      <w:r>
        <w:rPr>
          <w:w w:val="105"/>
        </w:rPr>
        <w:t>Law </w:t>
      </w:r>
      <w:r>
        <w:rPr>
          <w:spacing w:val="-3"/>
          <w:w w:val="105"/>
        </w:rPr>
        <w:t>Reform </w:t>
      </w:r>
      <w:r>
        <w:rPr>
          <w:w w:val="105"/>
        </w:rPr>
        <w:t>in NSW: </w:t>
      </w:r>
      <w:r>
        <w:rPr>
          <w:spacing w:val="-10"/>
          <w:w w:val="105"/>
        </w:rPr>
        <w:t>2011 </w:t>
      </w:r>
      <w:r>
        <w:rPr>
          <w:spacing w:val="-3"/>
          <w:w w:val="105"/>
        </w:rPr>
        <w:t>Update’ </w:t>
      </w:r>
      <w:r>
        <w:rPr>
          <w:w w:val="105"/>
        </w:rPr>
        <w:t>(Paper </w:t>
      </w:r>
      <w:r>
        <w:rPr>
          <w:spacing w:val="-3"/>
          <w:w w:val="105"/>
        </w:rPr>
        <w:t>presented </w:t>
      </w:r>
      <w:r>
        <w:rPr>
          <w:w w:val="105"/>
        </w:rPr>
        <w:t>at the </w:t>
      </w:r>
      <w:r>
        <w:rPr>
          <w:spacing w:val="-3"/>
          <w:w w:val="105"/>
        </w:rPr>
        <w:t>Blue Mountains Annual </w:t>
      </w:r>
      <w:r>
        <w:rPr>
          <w:w w:val="105"/>
        </w:rPr>
        <w:t>Law </w:t>
      </w:r>
      <w:r>
        <w:rPr>
          <w:spacing w:val="-4"/>
          <w:w w:val="105"/>
        </w:rPr>
        <w:t>Conference, </w:t>
      </w:r>
      <w:r>
        <w:rPr>
          <w:spacing w:val="-3"/>
          <w:w w:val="105"/>
        </w:rPr>
        <w:t>Katoomba, </w:t>
      </w:r>
      <w:r>
        <w:rPr>
          <w:spacing w:val="-9"/>
          <w:w w:val="105"/>
        </w:rPr>
        <w:t>17 </w:t>
      </w:r>
      <w:r>
        <w:rPr>
          <w:w w:val="105"/>
        </w:rPr>
        <w:t>September </w:t>
      </w:r>
      <w:r>
        <w:rPr>
          <w:spacing w:val="-10"/>
          <w:w w:val="105"/>
        </w:rPr>
        <w:t>2011)</w:t>
      </w:r>
    </w:p>
    <w:p>
      <w:pPr>
        <w:spacing w:before="123"/>
        <w:ind w:left="1587" w:right="0" w:firstLine="0"/>
        <w:jc w:val="left"/>
        <w:rPr>
          <w:i/>
          <w:sz w:val="21"/>
        </w:rPr>
      </w:pPr>
      <w:r>
        <w:rPr>
          <w:w w:val="105"/>
          <w:sz w:val="21"/>
        </w:rPr>
        <w:t>Croucher, Rosalind and Prue Vines, </w:t>
      </w:r>
      <w:r>
        <w:rPr>
          <w:i/>
          <w:w w:val="105"/>
          <w:sz w:val="21"/>
        </w:rPr>
        <w:t>Succession: Families, Property and Death: Text and Cases</w:t>
      </w:r>
    </w:p>
    <w:p>
      <w:pPr>
        <w:pStyle w:val="BodyText"/>
        <w:spacing w:before="3"/>
        <w:ind w:left="1587"/>
      </w:pPr>
      <w:r>
        <w:rPr>
          <w:w w:val="105"/>
        </w:rPr>
        <w:t>(LexisNexis Butterworths, 3rd ed, 2009)</w:t>
      </w:r>
    </w:p>
    <w:p>
      <w:pPr>
        <w:pStyle w:val="BodyText"/>
        <w:spacing w:before="124"/>
        <w:ind w:left="1587"/>
      </w:pPr>
      <w:r>
        <w:rPr>
          <w:w w:val="105"/>
        </w:rPr>
        <w:t>Croucher, Rosalind and John Croucher, ‘Forgeries and Wills—A Probate Problem’ (2010) 18</w:t>
      </w:r>
    </w:p>
    <w:p>
      <w:pPr>
        <w:spacing w:before="4"/>
        <w:ind w:left="1587" w:right="0" w:firstLine="0"/>
        <w:jc w:val="left"/>
        <w:rPr>
          <w:sz w:val="21"/>
        </w:rPr>
      </w:pPr>
      <w:r>
        <w:rPr>
          <w:i/>
          <w:w w:val="105"/>
          <w:sz w:val="21"/>
        </w:rPr>
        <w:t>Australian Property Law Journal </w:t>
      </w:r>
      <w:r>
        <w:rPr>
          <w:w w:val="105"/>
          <w:sz w:val="21"/>
        </w:rPr>
        <w:t>1</w:t>
      </w:r>
    </w:p>
    <w:p>
      <w:pPr>
        <w:pStyle w:val="BodyText"/>
        <w:spacing w:line="242" w:lineRule="auto" w:before="123"/>
        <w:ind w:left="1587"/>
      </w:pPr>
      <w:r>
        <w:rPr>
          <w:spacing w:val="-5"/>
          <w:w w:val="105"/>
        </w:rPr>
        <w:t>Dainow, </w:t>
      </w:r>
      <w:r>
        <w:rPr>
          <w:w w:val="105"/>
        </w:rPr>
        <w:t>Joseph, ‘Restricted </w:t>
      </w:r>
      <w:r>
        <w:rPr>
          <w:spacing w:val="-3"/>
          <w:w w:val="105"/>
        </w:rPr>
        <w:t>Testation </w:t>
      </w:r>
      <w:r>
        <w:rPr>
          <w:w w:val="105"/>
        </w:rPr>
        <w:t>in New </w:t>
      </w:r>
      <w:r>
        <w:rPr>
          <w:spacing w:val="-3"/>
          <w:w w:val="105"/>
        </w:rPr>
        <w:t>Zealand, Australia </w:t>
      </w:r>
      <w:r>
        <w:rPr>
          <w:w w:val="105"/>
        </w:rPr>
        <w:t>and </w:t>
      </w:r>
      <w:r>
        <w:rPr>
          <w:spacing w:val="-4"/>
          <w:w w:val="105"/>
        </w:rPr>
        <w:t>Canada’ </w:t>
      </w:r>
      <w:r>
        <w:rPr>
          <w:spacing w:val="-7"/>
          <w:w w:val="105"/>
        </w:rPr>
        <w:t>(1937) </w:t>
      </w:r>
      <w:r>
        <w:rPr>
          <w:spacing w:val="-4"/>
          <w:w w:val="105"/>
        </w:rPr>
        <w:t>37 </w:t>
      </w:r>
      <w:r>
        <w:rPr>
          <w:i/>
          <w:spacing w:val="-3"/>
          <w:w w:val="105"/>
        </w:rPr>
        <w:t>Michigan </w:t>
      </w:r>
      <w:r>
        <w:rPr>
          <w:i/>
          <w:w w:val="105"/>
        </w:rPr>
        <w:t>Law Review </w:t>
      </w:r>
      <w:r>
        <w:rPr>
          <w:spacing w:val="-11"/>
          <w:w w:val="105"/>
        </w:rPr>
        <w:t>1107</w:t>
      </w:r>
    </w:p>
    <w:p>
      <w:pPr>
        <w:spacing w:line="355" w:lineRule="auto" w:before="123"/>
        <w:ind w:left="1587" w:right="1982" w:firstLine="0"/>
        <w:jc w:val="left"/>
        <w:rPr>
          <w:sz w:val="21"/>
        </w:rPr>
      </w:pPr>
      <w:r>
        <w:rPr>
          <w:spacing w:val="-3"/>
          <w:w w:val="105"/>
          <w:sz w:val="21"/>
        </w:rPr>
        <w:t>Dal </w:t>
      </w:r>
      <w:r>
        <w:rPr>
          <w:w w:val="105"/>
          <w:sz w:val="21"/>
        </w:rPr>
        <w:t>Pont, G </w:t>
      </w:r>
      <w:r>
        <w:rPr>
          <w:spacing w:val="-3"/>
          <w:w w:val="105"/>
          <w:sz w:val="21"/>
        </w:rPr>
        <w:t>E, </w:t>
      </w:r>
      <w:r>
        <w:rPr>
          <w:i/>
          <w:w w:val="105"/>
          <w:sz w:val="21"/>
        </w:rPr>
        <w:t>Equity and </w:t>
      </w:r>
      <w:r>
        <w:rPr>
          <w:i/>
          <w:spacing w:val="-3"/>
          <w:w w:val="105"/>
          <w:sz w:val="21"/>
        </w:rPr>
        <w:t>Trusts </w:t>
      </w:r>
      <w:r>
        <w:rPr>
          <w:i/>
          <w:w w:val="105"/>
          <w:sz w:val="21"/>
        </w:rPr>
        <w:t>in </w:t>
      </w:r>
      <w:r>
        <w:rPr>
          <w:i/>
          <w:spacing w:val="-3"/>
          <w:w w:val="105"/>
          <w:sz w:val="21"/>
        </w:rPr>
        <w:t>Australia </w:t>
      </w:r>
      <w:r>
        <w:rPr>
          <w:w w:val="105"/>
          <w:sz w:val="21"/>
        </w:rPr>
        <w:t>(Thomson Reuters, </w:t>
      </w:r>
      <w:r>
        <w:rPr>
          <w:spacing w:val="-4"/>
          <w:w w:val="105"/>
          <w:sz w:val="21"/>
        </w:rPr>
        <w:t>5th </w:t>
      </w:r>
      <w:r>
        <w:rPr>
          <w:w w:val="105"/>
          <w:sz w:val="21"/>
        </w:rPr>
        <w:t>ed, </w:t>
      </w:r>
      <w:r>
        <w:rPr>
          <w:spacing w:val="-10"/>
          <w:w w:val="105"/>
          <w:sz w:val="21"/>
        </w:rPr>
        <w:t>2011) </w:t>
      </w:r>
      <w:r>
        <w:rPr>
          <w:spacing w:val="-3"/>
          <w:w w:val="105"/>
          <w:sz w:val="21"/>
        </w:rPr>
        <w:t>Dal </w:t>
      </w:r>
      <w:r>
        <w:rPr>
          <w:w w:val="105"/>
          <w:sz w:val="21"/>
        </w:rPr>
        <w:t>Pont, G </w:t>
      </w:r>
      <w:r>
        <w:rPr>
          <w:spacing w:val="-3"/>
          <w:w w:val="105"/>
          <w:sz w:val="21"/>
        </w:rPr>
        <w:t>E, </w:t>
      </w:r>
      <w:r>
        <w:rPr>
          <w:i/>
          <w:w w:val="105"/>
          <w:sz w:val="21"/>
        </w:rPr>
        <w:t>Law </w:t>
      </w:r>
      <w:r>
        <w:rPr>
          <w:i/>
          <w:spacing w:val="-3"/>
          <w:w w:val="105"/>
          <w:sz w:val="21"/>
        </w:rPr>
        <w:t>of </w:t>
      </w:r>
      <w:r>
        <w:rPr>
          <w:i/>
          <w:w w:val="105"/>
          <w:sz w:val="21"/>
        </w:rPr>
        <w:t>Costs </w:t>
      </w:r>
      <w:r>
        <w:rPr>
          <w:w w:val="105"/>
          <w:sz w:val="21"/>
        </w:rPr>
        <w:t>(LexisNexis Butterworths, </w:t>
      </w:r>
      <w:r>
        <w:rPr>
          <w:spacing w:val="-4"/>
          <w:w w:val="105"/>
          <w:sz w:val="21"/>
        </w:rPr>
        <w:t>2nd </w:t>
      </w:r>
      <w:r>
        <w:rPr>
          <w:w w:val="105"/>
          <w:sz w:val="21"/>
        </w:rPr>
        <w:t>ed, 2009)</w:t>
      </w:r>
    </w:p>
    <w:p>
      <w:pPr>
        <w:spacing w:before="1"/>
        <w:ind w:left="1587" w:right="0" w:firstLine="0"/>
        <w:jc w:val="left"/>
        <w:rPr>
          <w:sz w:val="21"/>
        </w:rPr>
      </w:pPr>
      <w:r>
        <w:rPr>
          <w:w w:val="105"/>
          <w:sz w:val="21"/>
        </w:rPr>
        <w:t>Dal Pont, G E and K F Mackie, </w:t>
      </w:r>
      <w:r>
        <w:rPr>
          <w:i/>
          <w:w w:val="105"/>
          <w:sz w:val="21"/>
        </w:rPr>
        <w:t>Law of Succession </w:t>
      </w:r>
      <w:r>
        <w:rPr>
          <w:w w:val="105"/>
          <w:sz w:val="21"/>
        </w:rPr>
        <w:t>(LexisNexis Butterworths, 2013)</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spacing w:before="179"/>
        <w:ind w:left="531" w:right="577" w:firstLine="0"/>
        <w:jc w:val="center"/>
        <w:rPr>
          <w:b/>
          <w:sz w:val="24"/>
        </w:rPr>
      </w:pPr>
      <w:r>
        <w:rPr>
          <w:b/>
          <w:color w:val="EC5A4F"/>
          <w:w w:val="110"/>
          <w:sz w:val="24"/>
        </w:rPr>
        <w:t>219</w:t>
      </w:r>
    </w:p>
    <w:p>
      <w:pPr>
        <w:spacing w:after="0"/>
        <w:jc w:val="center"/>
        <w:rPr>
          <w:sz w:val="24"/>
        </w:rPr>
        <w:sectPr>
          <w:type w:val="continuous"/>
          <w:pgSz w:w="11910" w:h="16840"/>
          <w:pgMar w:top="920" w:bottom="280" w:left="0" w:right="0"/>
          <w:cols w:num="2" w:equalWidth="0">
            <w:col w:w="10320" w:space="40"/>
            <w:col w:w="1550"/>
          </w:cols>
        </w:sectPr>
      </w:pPr>
    </w:p>
    <w:p>
      <w:pPr>
        <w:pStyle w:val="BodyText"/>
        <w:spacing w:before="8"/>
        <w:rPr>
          <w:b/>
          <w:sz w:val="22"/>
        </w:rPr>
      </w:pPr>
    </w:p>
    <w:p>
      <w:pPr>
        <w:spacing w:line="242" w:lineRule="auto" w:before="93"/>
        <w:ind w:left="1587" w:right="2401" w:firstLine="0"/>
        <w:jc w:val="left"/>
        <w:rPr>
          <w:sz w:val="21"/>
        </w:rPr>
      </w:pPr>
      <w:r>
        <w:rPr>
          <w:sz w:val="21"/>
        </w:rPr>
        <w:t>de </w:t>
      </w:r>
      <w:r>
        <w:rPr>
          <w:spacing w:val="-3"/>
          <w:sz w:val="21"/>
        </w:rPr>
        <w:t>Groot, </w:t>
      </w:r>
      <w:r>
        <w:rPr>
          <w:sz w:val="21"/>
        </w:rPr>
        <w:t>John K and </w:t>
      </w:r>
      <w:r>
        <w:rPr>
          <w:spacing w:val="-3"/>
          <w:sz w:val="21"/>
        </w:rPr>
        <w:t>Bruce </w:t>
      </w:r>
      <w:r>
        <w:rPr>
          <w:sz w:val="21"/>
        </w:rPr>
        <w:t>W </w:t>
      </w:r>
      <w:r>
        <w:rPr>
          <w:spacing w:val="-3"/>
          <w:sz w:val="21"/>
        </w:rPr>
        <w:t>Nickel, </w:t>
      </w:r>
      <w:r>
        <w:rPr>
          <w:i/>
          <w:spacing w:val="-3"/>
          <w:sz w:val="21"/>
        </w:rPr>
        <w:t>Family Provision </w:t>
      </w:r>
      <w:r>
        <w:rPr>
          <w:i/>
          <w:sz w:val="21"/>
        </w:rPr>
        <w:t>in </w:t>
      </w:r>
      <w:r>
        <w:rPr>
          <w:i/>
          <w:spacing w:val="-3"/>
          <w:sz w:val="21"/>
        </w:rPr>
        <w:t>Australia  </w:t>
      </w:r>
      <w:r>
        <w:rPr>
          <w:sz w:val="21"/>
        </w:rPr>
        <w:t>(LexisNexis Butterworths,  </w:t>
      </w:r>
      <w:r>
        <w:rPr>
          <w:spacing w:val="-3"/>
          <w:sz w:val="21"/>
        </w:rPr>
        <w:t>4th </w:t>
      </w:r>
      <w:r>
        <w:rPr>
          <w:sz w:val="21"/>
        </w:rPr>
        <w:t>ed,</w:t>
      </w:r>
      <w:r>
        <w:rPr>
          <w:spacing w:val="19"/>
          <w:sz w:val="21"/>
        </w:rPr>
        <w:t> </w:t>
      </w:r>
      <w:r>
        <w:rPr>
          <w:spacing w:val="-7"/>
          <w:sz w:val="21"/>
        </w:rPr>
        <w:t>2012)</w:t>
      </w:r>
    </w:p>
    <w:p>
      <w:pPr>
        <w:spacing w:line="242" w:lineRule="auto" w:before="122"/>
        <w:ind w:left="1587" w:right="2017" w:firstLine="0"/>
        <w:jc w:val="left"/>
        <w:rPr>
          <w:sz w:val="21"/>
        </w:rPr>
      </w:pPr>
      <w:r>
        <w:rPr>
          <w:w w:val="105"/>
          <w:sz w:val="21"/>
        </w:rPr>
        <w:t>De </w:t>
      </w:r>
      <w:r>
        <w:rPr>
          <w:spacing w:val="-3"/>
          <w:w w:val="105"/>
          <w:sz w:val="21"/>
        </w:rPr>
        <w:t>Jersey, Paul, </w:t>
      </w:r>
      <w:r>
        <w:rPr>
          <w:w w:val="105"/>
          <w:sz w:val="21"/>
        </w:rPr>
        <w:t>‘WA Lee Equity Lecture 2010—Court </w:t>
      </w:r>
      <w:r>
        <w:rPr>
          <w:spacing w:val="-3"/>
          <w:w w:val="105"/>
          <w:sz w:val="21"/>
        </w:rPr>
        <w:t>Intrusion </w:t>
      </w:r>
      <w:r>
        <w:rPr>
          <w:spacing w:val="-4"/>
          <w:w w:val="105"/>
          <w:sz w:val="21"/>
        </w:rPr>
        <w:t>into </w:t>
      </w:r>
      <w:r>
        <w:rPr>
          <w:w w:val="105"/>
          <w:sz w:val="21"/>
        </w:rPr>
        <w:t>Testamentary Disposition: A Beneficial Jurisdiction?’ </w:t>
      </w:r>
      <w:r>
        <w:rPr>
          <w:spacing w:val="-4"/>
          <w:w w:val="105"/>
          <w:sz w:val="21"/>
        </w:rPr>
        <w:t>(2010) </w:t>
      </w:r>
      <w:r>
        <w:rPr>
          <w:w w:val="105"/>
          <w:sz w:val="21"/>
        </w:rPr>
        <w:t>10(2) </w:t>
      </w:r>
      <w:r>
        <w:rPr>
          <w:i/>
          <w:w w:val="105"/>
          <w:sz w:val="21"/>
        </w:rPr>
        <w:t>Queensland University </w:t>
      </w:r>
      <w:r>
        <w:rPr>
          <w:i/>
          <w:spacing w:val="-3"/>
          <w:w w:val="105"/>
          <w:sz w:val="21"/>
        </w:rPr>
        <w:t>of Technology </w:t>
      </w:r>
      <w:r>
        <w:rPr>
          <w:i/>
          <w:w w:val="105"/>
          <w:sz w:val="21"/>
        </w:rPr>
        <w:t>Law and </w:t>
      </w:r>
      <w:r>
        <w:rPr>
          <w:i/>
          <w:spacing w:val="-3"/>
          <w:w w:val="105"/>
          <w:sz w:val="21"/>
        </w:rPr>
        <w:t>Justice </w:t>
      </w:r>
      <w:r>
        <w:rPr>
          <w:i/>
          <w:w w:val="105"/>
          <w:sz w:val="21"/>
        </w:rPr>
        <w:t>Journal </w:t>
      </w:r>
      <w:r>
        <w:rPr>
          <w:spacing w:val="-6"/>
          <w:w w:val="105"/>
          <w:sz w:val="21"/>
        </w:rPr>
        <w:t>233</w:t>
      </w:r>
    </w:p>
    <w:p>
      <w:pPr>
        <w:spacing w:line="242" w:lineRule="auto" w:before="123"/>
        <w:ind w:left="1587" w:right="1711" w:firstLine="0"/>
        <w:jc w:val="left"/>
        <w:rPr>
          <w:sz w:val="21"/>
        </w:rPr>
      </w:pPr>
      <w:r>
        <w:rPr>
          <w:spacing w:val="-5"/>
          <w:w w:val="105"/>
          <w:sz w:val="21"/>
        </w:rPr>
        <w:t>Dekker, </w:t>
      </w:r>
      <w:r>
        <w:rPr>
          <w:w w:val="105"/>
          <w:sz w:val="21"/>
        </w:rPr>
        <w:t>Joula E and Mark V A </w:t>
      </w:r>
      <w:r>
        <w:rPr>
          <w:spacing w:val="-3"/>
          <w:w w:val="105"/>
          <w:sz w:val="21"/>
        </w:rPr>
        <w:t>Howard, </w:t>
      </w:r>
      <w:r>
        <w:rPr>
          <w:i/>
          <w:w w:val="105"/>
          <w:sz w:val="21"/>
        </w:rPr>
        <w:t>I Give, Devise and Bequeath: An </w:t>
      </w:r>
      <w:r>
        <w:rPr>
          <w:i/>
          <w:spacing w:val="-3"/>
          <w:w w:val="105"/>
          <w:sz w:val="21"/>
        </w:rPr>
        <w:t>Empirical Study of </w:t>
      </w:r>
      <w:r>
        <w:rPr>
          <w:i/>
          <w:spacing w:val="-4"/>
          <w:w w:val="105"/>
          <w:sz w:val="21"/>
        </w:rPr>
        <w:t>Testators’ </w:t>
      </w:r>
      <w:r>
        <w:rPr>
          <w:i/>
          <w:spacing w:val="-3"/>
          <w:w w:val="105"/>
          <w:sz w:val="21"/>
        </w:rPr>
        <w:t>Choice of Beneficiaries</w:t>
      </w:r>
      <w:r>
        <w:rPr>
          <w:spacing w:val="-3"/>
          <w:w w:val="105"/>
          <w:sz w:val="21"/>
        </w:rPr>
        <w:t>, Research </w:t>
      </w:r>
      <w:r>
        <w:rPr>
          <w:w w:val="105"/>
          <w:sz w:val="21"/>
        </w:rPr>
        <w:t>Report </w:t>
      </w:r>
      <w:r>
        <w:rPr>
          <w:spacing w:val="-9"/>
          <w:w w:val="105"/>
          <w:sz w:val="21"/>
        </w:rPr>
        <w:t>13 </w:t>
      </w:r>
      <w:r>
        <w:rPr>
          <w:w w:val="105"/>
          <w:sz w:val="21"/>
        </w:rPr>
        <w:t>(New South </w:t>
      </w:r>
      <w:r>
        <w:rPr>
          <w:spacing w:val="-3"/>
          <w:w w:val="105"/>
          <w:sz w:val="21"/>
        </w:rPr>
        <w:t>Wales </w:t>
      </w:r>
      <w:r>
        <w:rPr>
          <w:w w:val="105"/>
          <w:sz w:val="21"/>
        </w:rPr>
        <w:t>Law </w:t>
      </w:r>
      <w:r>
        <w:rPr>
          <w:spacing w:val="-3"/>
          <w:w w:val="105"/>
          <w:sz w:val="21"/>
        </w:rPr>
        <w:t>Reform Commission, </w:t>
      </w:r>
      <w:r>
        <w:rPr>
          <w:w w:val="105"/>
          <w:sz w:val="21"/>
        </w:rPr>
        <w:t>2006)</w:t>
      </w:r>
    </w:p>
    <w:p>
      <w:pPr>
        <w:spacing w:before="124"/>
        <w:ind w:left="1587" w:right="0" w:firstLine="0"/>
        <w:jc w:val="left"/>
        <w:rPr>
          <w:sz w:val="21"/>
        </w:rPr>
      </w:pPr>
      <w:r>
        <w:rPr>
          <w:w w:val="105"/>
          <w:sz w:val="21"/>
        </w:rPr>
        <w:t>Department of Justice, Victoria, </w:t>
      </w:r>
      <w:r>
        <w:rPr>
          <w:i/>
          <w:w w:val="105"/>
          <w:sz w:val="21"/>
        </w:rPr>
        <w:t>Victorian Aboriginal Justice Agreement </w:t>
      </w:r>
      <w:r>
        <w:rPr>
          <w:w w:val="105"/>
          <w:sz w:val="21"/>
        </w:rPr>
        <w:t>(2000)</w:t>
      </w:r>
    </w:p>
    <w:p>
      <w:pPr>
        <w:spacing w:line="242" w:lineRule="auto" w:before="123"/>
        <w:ind w:left="1587" w:right="1619" w:firstLine="0"/>
        <w:jc w:val="left"/>
        <w:rPr>
          <w:sz w:val="21"/>
        </w:rPr>
      </w:pPr>
      <w:r>
        <w:rPr>
          <w:w w:val="105"/>
          <w:sz w:val="21"/>
        </w:rPr>
        <w:t>Department</w:t>
      </w:r>
      <w:r>
        <w:rPr>
          <w:spacing w:val="-9"/>
          <w:w w:val="105"/>
          <w:sz w:val="21"/>
        </w:rPr>
        <w:t> </w:t>
      </w:r>
      <w:r>
        <w:rPr>
          <w:w w:val="105"/>
          <w:sz w:val="21"/>
        </w:rPr>
        <w:t>of</w:t>
      </w:r>
      <w:r>
        <w:rPr>
          <w:spacing w:val="-9"/>
          <w:w w:val="105"/>
          <w:sz w:val="21"/>
        </w:rPr>
        <w:t> </w:t>
      </w:r>
      <w:r>
        <w:rPr>
          <w:spacing w:val="-3"/>
          <w:w w:val="105"/>
          <w:sz w:val="21"/>
        </w:rPr>
        <w:t>Justice,</w:t>
      </w:r>
      <w:r>
        <w:rPr>
          <w:spacing w:val="-9"/>
          <w:w w:val="105"/>
          <w:sz w:val="21"/>
        </w:rPr>
        <w:t> </w:t>
      </w:r>
      <w:r>
        <w:rPr>
          <w:w w:val="105"/>
          <w:sz w:val="21"/>
        </w:rPr>
        <w:t>Victoria,</w:t>
      </w:r>
      <w:r>
        <w:rPr>
          <w:spacing w:val="-9"/>
          <w:w w:val="105"/>
          <w:sz w:val="21"/>
        </w:rPr>
        <w:t> </w:t>
      </w:r>
      <w:r>
        <w:rPr>
          <w:i/>
          <w:w w:val="105"/>
          <w:sz w:val="21"/>
        </w:rPr>
        <w:t>Victorian</w:t>
      </w:r>
      <w:r>
        <w:rPr>
          <w:i/>
          <w:spacing w:val="-9"/>
          <w:w w:val="105"/>
          <w:sz w:val="21"/>
        </w:rPr>
        <w:t> </w:t>
      </w:r>
      <w:r>
        <w:rPr>
          <w:i/>
          <w:w w:val="105"/>
          <w:sz w:val="21"/>
        </w:rPr>
        <w:t>Aboriginal</w:t>
      </w:r>
      <w:r>
        <w:rPr>
          <w:i/>
          <w:spacing w:val="-9"/>
          <w:w w:val="105"/>
          <w:sz w:val="21"/>
        </w:rPr>
        <w:t> </w:t>
      </w:r>
      <w:r>
        <w:rPr>
          <w:i/>
          <w:spacing w:val="-3"/>
          <w:w w:val="105"/>
          <w:sz w:val="21"/>
        </w:rPr>
        <w:t>Justice</w:t>
      </w:r>
      <w:r>
        <w:rPr>
          <w:i/>
          <w:spacing w:val="-9"/>
          <w:w w:val="105"/>
          <w:sz w:val="21"/>
        </w:rPr>
        <w:t> </w:t>
      </w:r>
      <w:r>
        <w:rPr>
          <w:i/>
          <w:w w:val="105"/>
          <w:sz w:val="21"/>
        </w:rPr>
        <w:t>Agreement:</w:t>
      </w:r>
      <w:r>
        <w:rPr>
          <w:i/>
          <w:spacing w:val="-9"/>
          <w:w w:val="105"/>
          <w:sz w:val="21"/>
        </w:rPr>
        <w:t> </w:t>
      </w:r>
      <w:r>
        <w:rPr>
          <w:i/>
          <w:spacing w:val="-3"/>
          <w:w w:val="105"/>
          <w:sz w:val="21"/>
        </w:rPr>
        <w:t>Phase</w:t>
      </w:r>
      <w:r>
        <w:rPr>
          <w:i/>
          <w:spacing w:val="-9"/>
          <w:w w:val="105"/>
          <w:sz w:val="21"/>
        </w:rPr>
        <w:t> </w:t>
      </w:r>
      <w:r>
        <w:rPr>
          <w:i/>
          <w:w w:val="105"/>
          <w:sz w:val="21"/>
        </w:rPr>
        <w:t>2:</w:t>
      </w:r>
      <w:r>
        <w:rPr>
          <w:i/>
          <w:spacing w:val="-8"/>
          <w:w w:val="105"/>
          <w:sz w:val="21"/>
        </w:rPr>
        <w:t> </w:t>
      </w:r>
      <w:r>
        <w:rPr>
          <w:i/>
          <w:w w:val="105"/>
          <w:sz w:val="21"/>
        </w:rPr>
        <w:t>A</w:t>
      </w:r>
      <w:r>
        <w:rPr>
          <w:i/>
          <w:spacing w:val="-9"/>
          <w:w w:val="105"/>
          <w:sz w:val="21"/>
        </w:rPr>
        <w:t> </w:t>
      </w:r>
      <w:r>
        <w:rPr>
          <w:i/>
          <w:w w:val="105"/>
          <w:sz w:val="21"/>
        </w:rPr>
        <w:t>Partnership </w:t>
      </w:r>
      <w:r>
        <w:rPr>
          <w:i/>
          <w:w w:val="105"/>
          <w:sz w:val="21"/>
        </w:rPr>
        <w:t>between</w:t>
      </w:r>
      <w:r>
        <w:rPr>
          <w:i/>
          <w:spacing w:val="6"/>
          <w:w w:val="105"/>
          <w:sz w:val="21"/>
        </w:rPr>
        <w:t> </w:t>
      </w:r>
      <w:r>
        <w:rPr>
          <w:i/>
          <w:w w:val="105"/>
          <w:sz w:val="21"/>
        </w:rPr>
        <w:t>the</w:t>
      </w:r>
      <w:r>
        <w:rPr>
          <w:i/>
          <w:spacing w:val="7"/>
          <w:w w:val="105"/>
          <w:sz w:val="21"/>
        </w:rPr>
        <w:t> </w:t>
      </w:r>
      <w:r>
        <w:rPr>
          <w:i/>
          <w:w w:val="105"/>
          <w:sz w:val="21"/>
        </w:rPr>
        <w:t>Victorian</w:t>
      </w:r>
      <w:r>
        <w:rPr>
          <w:i/>
          <w:spacing w:val="7"/>
          <w:w w:val="105"/>
          <w:sz w:val="21"/>
        </w:rPr>
        <w:t> </w:t>
      </w:r>
      <w:r>
        <w:rPr>
          <w:i/>
          <w:spacing w:val="-3"/>
          <w:w w:val="105"/>
          <w:sz w:val="21"/>
        </w:rPr>
        <w:t>Government</w:t>
      </w:r>
      <w:r>
        <w:rPr>
          <w:i/>
          <w:spacing w:val="6"/>
          <w:w w:val="105"/>
          <w:sz w:val="21"/>
        </w:rPr>
        <w:t> </w:t>
      </w:r>
      <w:r>
        <w:rPr>
          <w:i/>
          <w:w w:val="105"/>
          <w:sz w:val="21"/>
        </w:rPr>
        <w:t>and</w:t>
      </w:r>
      <w:r>
        <w:rPr>
          <w:i/>
          <w:spacing w:val="7"/>
          <w:w w:val="105"/>
          <w:sz w:val="21"/>
        </w:rPr>
        <w:t> </w:t>
      </w:r>
      <w:r>
        <w:rPr>
          <w:i/>
          <w:w w:val="105"/>
          <w:sz w:val="21"/>
        </w:rPr>
        <w:t>the</w:t>
      </w:r>
      <w:r>
        <w:rPr>
          <w:i/>
          <w:spacing w:val="7"/>
          <w:w w:val="105"/>
          <w:sz w:val="21"/>
        </w:rPr>
        <w:t> </w:t>
      </w:r>
      <w:r>
        <w:rPr>
          <w:i/>
          <w:spacing w:val="-3"/>
          <w:w w:val="105"/>
          <w:sz w:val="21"/>
        </w:rPr>
        <w:t>Koori</w:t>
      </w:r>
      <w:r>
        <w:rPr>
          <w:i/>
          <w:spacing w:val="7"/>
          <w:w w:val="105"/>
          <w:sz w:val="21"/>
        </w:rPr>
        <w:t> </w:t>
      </w:r>
      <w:r>
        <w:rPr>
          <w:i/>
          <w:spacing w:val="-4"/>
          <w:w w:val="105"/>
          <w:sz w:val="21"/>
        </w:rPr>
        <w:t>Community</w:t>
      </w:r>
      <w:r>
        <w:rPr>
          <w:spacing w:val="-4"/>
          <w:w w:val="105"/>
          <w:sz w:val="21"/>
        </w:rPr>
        <w:t>,</w:t>
      </w:r>
      <w:r>
        <w:rPr>
          <w:spacing w:val="6"/>
          <w:w w:val="105"/>
          <w:sz w:val="21"/>
        </w:rPr>
        <w:t> </w:t>
      </w:r>
      <w:r>
        <w:rPr>
          <w:w w:val="105"/>
          <w:sz w:val="21"/>
        </w:rPr>
        <w:t>AJA2</w:t>
      </w:r>
      <w:r>
        <w:rPr>
          <w:spacing w:val="7"/>
          <w:w w:val="105"/>
          <w:sz w:val="21"/>
        </w:rPr>
        <w:t> </w:t>
      </w:r>
      <w:r>
        <w:rPr>
          <w:w w:val="105"/>
          <w:sz w:val="21"/>
        </w:rPr>
        <w:t>(2006)</w:t>
      </w:r>
    </w:p>
    <w:p>
      <w:pPr>
        <w:spacing w:line="242" w:lineRule="auto" w:before="123"/>
        <w:ind w:left="1587" w:right="1619" w:firstLine="0"/>
        <w:jc w:val="left"/>
        <w:rPr>
          <w:sz w:val="21"/>
        </w:rPr>
      </w:pPr>
      <w:r>
        <w:rPr>
          <w:w w:val="105"/>
          <w:sz w:val="21"/>
        </w:rPr>
        <w:t>Department</w:t>
      </w:r>
      <w:r>
        <w:rPr>
          <w:spacing w:val="-9"/>
          <w:w w:val="105"/>
          <w:sz w:val="21"/>
        </w:rPr>
        <w:t> </w:t>
      </w:r>
      <w:r>
        <w:rPr>
          <w:w w:val="105"/>
          <w:sz w:val="21"/>
        </w:rPr>
        <w:t>of</w:t>
      </w:r>
      <w:r>
        <w:rPr>
          <w:spacing w:val="-8"/>
          <w:w w:val="105"/>
          <w:sz w:val="21"/>
        </w:rPr>
        <w:t> </w:t>
      </w:r>
      <w:r>
        <w:rPr>
          <w:spacing w:val="-3"/>
          <w:w w:val="105"/>
          <w:sz w:val="21"/>
        </w:rPr>
        <w:t>Justice,</w:t>
      </w:r>
      <w:r>
        <w:rPr>
          <w:spacing w:val="-9"/>
          <w:w w:val="105"/>
          <w:sz w:val="21"/>
        </w:rPr>
        <w:t> </w:t>
      </w:r>
      <w:r>
        <w:rPr>
          <w:w w:val="105"/>
          <w:sz w:val="21"/>
        </w:rPr>
        <w:t>Victoria,</w:t>
      </w:r>
      <w:r>
        <w:rPr>
          <w:spacing w:val="-8"/>
          <w:w w:val="105"/>
          <w:sz w:val="21"/>
        </w:rPr>
        <w:t> </w:t>
      </w:r>
      <w:r>
        <w:rPr>
          <w:i/>
          <w:w w:val="105"/>
          <w:sz w:val="21"/>
        </w:rPr>
        <w:t>Victorian</w:t>
      </w:r>
      <w:r>
        <w:rPr>
          <w:i/>
          <w:spacing w:val="-8"/>
          <w:w w:val="105"/>
          <w:sz w:val="21"/>
        </w:rPr>
        <w:t> </w:t>
      </w:r>
      <w:r>
        <w:rPr>
          <w:i/>
          <w:w w:val="105"/>
          <w:sz w:val="21"/>
        </w:rPr>
        <w:t>Aboriginal</w:t>
      </w:r>
      <w:r>
        <w:rPr>
          <w:i/>
          <w:spacing w:val="-9"/>
          <w:w w:val="105"/>
          <w:sz w:val="21"/>
        </w:rPr>
        <w:t> </w:t>
      </w:r>
      <w:r>
        <w:rPr>
          <w:i/>
          <w:spacing w:val="-3"/>
          <w:w w:val="105"/>
          <w:sz w:val="21"/>
        </w:rPr>
        <w:t>Justice</w:t>
      </w:r>
      <w:r>
        <w:rPr>
          <w:i/>
          <w:spacing w:val="-8"/>
          <w:w w:val="105"/>
          <w:sz w:val="21"/>
        </w:rPr>
        <w:t> </w:t>
      </w:r>
      <w:r>
        <w:rPr>
          <w:i/>
          <w:w w:val="105"/>
          <w:sz w:val="21"/>
        </w:rPr>
        <w:t>Agreement</w:t>
      </w:r>
      <w:r>
        <w:rPr>
          <w:i/>
          <w:spacing w:val="-8"/>
          <w:w w:val="105"/>
          <w:sz w:val="21"/>
        </w:rPr>
        <w:t> </w:t>
      </w:r>
      <w:r>
        <w:rPr>
          <w:i/>
          <w:spacing w:val="-3"/>
          <w:w w:val="105"/>
          <w:sz w:val="21"/>
        </w:rPr>
        <w:t>Phase</w:t>
      </w:r>
      <w:r>
        <w:rPr>
          <w:i/>
          <w:spacing w:val="-9"/>
          <w:w w:val="105"/>
          <w:sz w:val="21"/>
        </w:rPr>
        <w:t> </w:t>
      </w:r>
      <w:r>
        <w:rPr>
          <w:i/>
          <w:w w:val="105"/>
          <w:sz w:val="21"/>
        </w:rPr>
        <w:t>3:</w:t>
      </w:r>
      <w:r>
        <w:rPr>
          <w:i/>
          <w:spacing w:val="-8"/>
          <w:w w:val="105"/>
          <w:sz w:val="21"/>
        </w:rPr>
        <w:t> </w:t>
      </w:r>
      <w:r>
        <w:rPr>
          <w:i/>
          <w:w w:val="105"/>
          <w:sz w:val="21"/>
        </w:rPr>
        <w:t>A</w:t>
      </w:r>
      <w:r>
        <w:rPr>
          <w:i/>
          <w:spacing w:val="-8"/>
          <w:w w:val="105"/>
          <w:sz w:val="21"/>
        </w:rPr>
        <w:t> </w:t>
      </w:r>
      <w:r>
        <w:rPr>
          <w:i/>
          <w:w w:val="105"/>
          <w:sz w:val="21"/>
        </w:rPr>
        <w:t>Partnership </w:t>
      </w:r>
      <w:r>
        <w:rPr>
          <w:i/>
          <w:w w:val="105"/>
          <w:sz w:val="21"/>
        </w:rPr>
        <w:t>between</w:t>
      </w:r>
      <w:r>
        <w:rPr>
          <w:i/>
          <w:spacing w:val="6"/>
          <w:w w:val="105"/>
          <w:sz w:val="21"/>
        </w:rPr>
        <w:t> </w:t>
      </w:r>
      <w:r>
        <w:rPr>
          <w:i/>
          <w:w w:val="105"/>
          <w:sz w:val="21"/>
        </w:rPr>
        <w:t>the</w:t>
      </w:r>
      <w:r>
        <w:rPr>
          <w:i/>
          <w:spacing w:val="7"/>
          <w:w w:val="105"/>
          <w:sz w:val="21"/>
        </w:rPr>
        <w:t> </w:t>
      </w:r>
      <w:r>
        <w:rPr>
          <w:i/>
          <w:w w:val="105"/>
          <w:sz w:val="21"/>
        </w:rPr>
        <w:t>Victorian</w:t>
      </w:r>
      <w:r>
        <w:rPr>
          <w:i/>
          <w:spacing w:val="7"/>
          <w:w w:val="105"/>
          <w:sz w:val="21"/>
        </w:rPr>
        <w:t> </w:t>
      </w:r>
      <w:r>
        <w:rPr>
          <w:i/>
          <w:spacing w:val="-3"/>
          <w:w w:val="105"/>
          <w:sz w:val="21"/>
        </w:rPr>
        <w:t>Government</w:t>
      </w:r>
      <w:r>
        <w:rPr>
          <w:i/>
          <w:spacing w:val="7"/>
          <w:w w:val="105"/>
          <w:sz w:val="21"/>
        </w:rPr>
        <w:t> </w:t>
      </w:r>
      <w:r>
        <w:rPr>
          <w:i/>
          <w:w w:val="105"/>
          <w:sz w:val="21"/>
        </w:rPr>
        <w:t>and</w:t>
      </w:r>
      <w:r>
        <w:rPr>
          <w:i/>
          <w:spacing w:val="7"/>
          <w:w w:val="105"/>
          <w:sz w:val="21"/>
        </w:rPr>
        <w:t> </w:t>
      </w:r>
      <w:r>
        <w:rPr>
          <w:i/>
          <w:w w:val="105"/>
          <w:sz w:val="21"/>
        </w:rPr>
        <w:t>the</w:t>
      </w:r>
      <w:r>
        <w:rPr>
          <w:i/>
          <w:spacing w:val="6"/>
          <w:w w:val="105"/>
          <w:sz w:val="21"/>
        </w:rPr>
        <w:t> </w:t>
      </w:r>
      <w:r>
        <w:rPr>
          <w:i/>
          <w:spacing w:val="-3"/>
          <w:w w:val="105"/>
          <w:sz w:val="21"/>
        </w:rPr>
        <w:t>Koori</w:t>
      </w:r>
      <w:r>
        <w:rPr>
          <w:i/>
          <w:spacing w:val="7"/>
          <w:w w:val="105"/>
          <w:sz w:val="21"/>
        </w:rPr>
        <w:t> </w:t>
      </w:r>
      <w:r>
        <w:rPr>
          <w:i/>
          <w:spacing w:val="-4"/>
          <w:w w:val="105"/>
          <w:sz w:val="21"/>
        </w:rPr>
        <w:t>Community</w:t>
      </w:r>
      <w:r>
        <w:rPr>
          <w:spacing w:val="-4"/>
          <w:w w:val="105"/>
          <w:sz w:val="21"/>
        </w:rPr>
        <w:t>,</w:t>
      </w:r>
      <w:r>
        <w:rPr>
          <w:spacing w:val="7"/>
          <w:w w:val="105"/>
          <w:sz w:val="21"/>
        </w:rPr>
        <w:t> </w:t>
      </w:r>
      <w:r>
        <w:rPr>
          <w:w w:val="105"/>
          <w:sz w:val="21"/>
        </w:rPr>
        <w:t>AJA3</w:t>
      </w:r>
      <w:r>
        <w:rPr>
          <w:spacing w:val="7"/>
          <w:w w:val="105"/>
          <w:sz w:val="21"/>
        </w:rPr>
        <w:t> </w:t>
      </w:r>
      <w:r>
        <w:rPr>
          <w:spacing w:val="-6"/>
          <w:w w:val="105"/>
          <w:sz w:val="21"/>
        </w:rPr>
        <w:t>(2013)</w:t>
      </w:r>
    </w:p>
    <w:p>
      <w:pPr>
        <w:pStyle w:val="BodyText"/>
        <w:spacing w:line="242" w:lineRule="auto" w:before="122"/>
        <w:ind w:left="1587" w:right="1920"/>
      </w:pPr>
      <w:r>
        <w:rPr>
          <w:spacing w:val="-3"/>
          <w:w w:val="105"/>
        </w:rPr>
        <w:t>Dillon, </w:t>
      </w:r>
      <w:r>
        <w:rPr>
          <w:spacing w:val="-4"/>
          <w:w w:val="105"/>
        </w:rPr>
        <w:t>Anthony, </w:t>
      </w:r>
      <w:r>
        <w:rPr>
          <w:w w:val="105"/>
        </w:rPr>
        <w:t>‘When Beneficiary Slays Benefactor: The Forfeiture </w:t>
      </w:r>
      <w:r>
        <w:rPr>
          <w:spacing w:val="-3"/>
          <w:w w:val="105"/>
        </w:rPr>
        <w:t>‘Rule’ </w:t>
      </w:r>
      <w:r>
        <w:rPr>
          <w:w w:val="105"/>
        </w:rPr>
        <w:t>Should Operate as a </w:t>
      </w:r>
      <w:r>
        <w:rPr>
          <w:spacing w:val="-3"/>
          <w:w w:val="105"/>
        </w:rPr>
        <w:t>Principle </w:t>
      </w:r>
      <w:r>
        <w:rPr>
          <w:w w:val="105"/>
        </w:rPr>
        <w:t>of the General Law’ </w:t>
      </w:r>
      <w:r>
        <w:rPr>
          <w:spacing w:val="-3"/>
          <w:w w:val="105"/>
        </w:rPr>
        <w:t>(1998) </w:t>
      </w:r>
      <w:r>
        <w:rPr>
          <w:w w:val="105"/>
        </w:rPr>
        <w:t>6 </w:t>
      </w:r>
      <w:r>
        <w:rPr>
          <w:i/>
          <w:spacing w:val="-3"/>
          <w:w w:val="105"/>
        </w:rPr>
        <w:t>Australian </w:t>
      </w:r>
      <w:r>
        <w:rPr>
          <w:i/>
          <w:w w:val="105"/>
        </w:rPr>
        <w:t>Property Law </w:t>
      </w:r>
      <w:r>
        <w:rPr>
          <w:i/>
          <w:spacing w:val="-3"/>
          <w:w w:val="105"/>
        </w:rPr>
        <w:t>Journal </w:t>
      </w:r>
      <w:r>
        <w:rPr>
          <w:spacing w:val="-6"/>
          <w:w w:val="105"/>
        </w:rPr>
        <w:t>45</w:t>
      </w:r>
    </w:p>
    <w:p>
      <w:pPr>
        <w:spacing w:line="242" w:lineRule="auto" w:before="122"/>
        <w:ind w:left="1587" w:right="1865" w:firstLine="0"/>
        <w:jc w:val="left"/>
        <w:rPr>
          <w:sz w:val="21"/>
        </w:rPr>
      </w:pPr>
      <w:r>
        <w:rPr>
          <w:w w:val="105"/>
          <w:sz w:val="21"/>
        </w:rPr>
        <w:t>Dodds, Julie, ‘Impact of the Roman Law of Succession and Marriage on Women’s Property and Independence’ (1991–92) 18 </w:t>
      </w:r>
      <w:r>
        <w:rPr>
          <w:i/>
          <w:w w:val="105"/>
          <w:sz w:val="21"/>
        </w:rPr>
        <w:t>Melbourne University Law Review </w:t>
      </w:r>
      <w:r>
        <w:rPr>
          <w:w w:val="105"/>
          <w:sz w:val="21"/>
        </w:rPr>
        <w:t>899</w:t>
      </w:r>
    </w:p>
    <w:p>
      <w:pPr>
        <w:spacing w:before="122"/>
        <w:ind w:left="1587" w:right="0" w:firstLine="0"/>
        <w:jc w:val="left"/>
        <w:rPr>
          <w:sz w:val="21"/>
        </w:rPr>
      </w:pPr>
      <w:r>
        <w:rPr>
          <w:w w:val="105"/>
          <w:sz w:val="21"/>
        </w:rPr>
        <w:t>Englefield, Leonie, </w:t>
      </w:r>
      <w:r>
        <w:rPr>
          <w:i/>
          <w:w w:val="105"/>
          <w:sz w:val="21"/>
        </w:rPr>
        <w:t>Australian Family Provision Law </w:t>
      </w:r>
      <w:r>
        <w:rPr>
          <w:w w:val="105"/>
          <w:sz w:val="21"/>
        </w:rPr>
        <w:t>(Lawbook Co, 2011)</w:t>
      </w:r>
    </w:p>
    <w:p>
      <w:pPr>
        <w:pStyle w:val="BodyText"/>
        <w:spacing w:before="124"/>
        <w:ind w:left="1587"/>
      </w:pPr>
      <w:r>
        <w:rPr>
          <w:w w:val="105"/>
        </w:rPr>
        <w:t>Evans, Michael and Bradley L Jones, </w:t>
      </w:r>
      <w:r>
        <w:rPr>
          <w:i/>
          <w:w w:val="105"/>
        </w:rPr>
        <w:t>Equity and Trusts </w:t>
      </w:r>
      <w:r>
        <w:rPr>
          <w:w w:val="105"/>
        </w:rPr>
        <w:t>(LexisNexis Butterworths, 3rd ed, 2012)</w:t>
      </w:r>
    </w:p>
    <w:p>
      <w:pPr>
        <w:pStyle w:val="BodyText"/>
        <w:spacing w:line="242" w:lineRule="auto" w:before="124"/>
        <w:ind w:left="1587" w:right="1619"/>
      </w:pPr>
      <w:r>
        <w:rPr>
          <w:spacing w:val="-3"/>
          <w:w w:val="105"/>
        </w:rPr>
        <w:t>Flynn, Michael, ‘Superannuation </w:t>
      </w:r>
      <w:r>
        <w:rPr>
          <w:w w:val="105"/>
        </w:rPr>
        <w:t>of the </w:t>
      </w:r>
      <w:r>
        <w:rPr>
          <w:spacing w:val="-3"/>
          <w:w w:val="105"/>
        </w:rPr>
        <w:t>Willmaker’ </w:t>
      </w:r>
      <w:r>
        <w:rPr>
          <w:w w:val="105"/>
        </w:rPr>
        <w:t>(Paper </w:t>
      </w:r>
      <w:r>
        <w:rPr>
          <w:spacing w:val="-3"/>
          <w:w w:val="105"/>
        </w:rPr>
        <w:t>presented </w:t>
      </w:r>
      <w:r>
        <w:rPr>
          <w:w w:val="105"/>
        </w:rPr>
        <w:t>at the </w:t>
      </w:r>
      <w:r>
        <w:rPr>
          <w:spacing w:val="-3"/>
          <w:w w:val="105"/>
        </w:rPr>
        <w:t>7th Annual Wills </w:t>
      </w:r>
      <w:r>
        <w:rPr>
          <w:w w:val="105"/>
        </w:rPr>
        <w:t>and </w:t>
      </w:r>
      <w:r>
        <w:rPr>
          <w:spacing w:val="-3"/>
          <w:w w:val="105"/>
        </w:rPr>
        <w:t>Probate </w:t>
      </w:r>
      <w:r>
        <w:rPr>
          <w:spacing w:val="-4"/>
          <w:w w:val="105"/>
        </w:rPr>
        <w:t>Conference, </w:t>
      </w:r>
      <w:r>
        <w:rPr>
          <w:spacing w:val="-3"/>
          <w:w w:val="105"/>
        </w:rPr>
        <w:t>Melbourne, </w:t>
      </w:r>
      <w:r>
        <w:rPr>
          <w:spacing w:val="-5"/>
          <w:w w:val="105"/>
        </w:rPr>
        <w:t>27 </w:t>
      </w:r>
      <w:r>
        <w:rPr>
          <w:spacing w:val="-3"/>
          <w:w w:val="105"/>
        </w:rPr>
        <w:t>March </w:t>
      </w:r>
      <w:r>
        <w:rPr>
          <w:w w:val="105"/>
        </w:rPr>
        <w:t>2000)</w:t>
      </w:r>
    </w:p>
    <w:p>
      <w:pPr>
        <w:pStyle w:val="BodyText"/>
        <w:spacing w:line="242" w:lineRule="auto" w:before="122"/>
        <w:ind w:left="1587" w:right="1578"/>
      </w:pPr>
      <w:r>
        <w:rPr>
          <w:spacing w:val="-4"/>
          <w:w w:val="105"/>
        </w:rPr>
        <w:t>Foster, </w:t>
      </w:r>
      <w:r>
        <w:rPr>
          <w:spacing w:val="-3"/>
          <w:w w:val="105"/>
        </w:rPr>
        <w:t>Frances, </w:t>
      </w:r>
      <w:r>
        <w:rPr>
          <w:spacing w:val="-4"/>
          <w:w w:val="105"/>
        </w:rPr>
        <w:t>‘Towards </w:t>
      </w:r>
      <w:r>
        <w:rPr>
          <w:w w:val="105"/>
        </w:rPr>
        <w:t>a </w:t>
      </w:r>
      <w:r>
        <w:rPr>
          <w:spacing w:val="-3"/>
          <w:w w:val="105"/>
        </w:rPr>
        <w:t>Behaviour-Based </w:t>
      </w:r>
      <w:r>
        <w:rPr>
          <w:w w:val="105"/>
        </w:rPr>
        <w:t>Model of </w:t>
      </w:r>
      <w:r>
        <w:rPr>
          <w:spacing w:val="-3"/>
          <w:w w:val="105"/>
        </w:rPr>
        <w:t>Inheritance? </w:t>
      </w:r>
      <w:r>
        <w:rPr>
          <w:w w:val="105"/>
        </w:rPr>
        <w:t>The </w:t>
      </w:r>
      <w:r>
        <w:rPr>
          <w:spacing w:val="-3"/>
          <w:w w:val="105"/>
        </w:rPr>
        <w:t>Chinese </w:t>
      </w:r>
      <w:r>
        <w:rPr>
          <w:w w:val="105"/>
        </w:rPr>
        <w:t>Experiment’ </w:t>
      </w:r>
      <w:r>
        <w:rPr>
          <w:spacing w:val="-3"/>
          <w:w w:val="105"/>
        </w:rPr>
        <w:t>(1998) </w:t>
      </w:r>
      <w:r>
        <w:rPr>
          <w:spacing w:val="-4"/>
          <w:w w:val="105"/>
        </w:rPr>
        <w:t>32 </w:t>
      </w:r>
      <w:r>
        <w:rPr>
          <w:i/>
          <w:w w:val="105"/>
        </w:rPr>
        <w:t>UC </w:t>
      </w:r>
      <w:r>
        <w:rPr>
          <w:i/>
          <w:spacing w:val="-3"/>
          <w:w w:val="105"/>
        </w:rPr>
        <w:t>Davis </w:t>
      </w:r>
      <w:r>
        <w:rPr>
          <w:i/>
          <w:w w:val="105"/>
        </w:rPr>
        <w:t>Law Review </w:t>
      </w:r>
      <w:r>
        <w:rPr>
          <w:w w:val="105"/>
        </w:rPr>
        <w:t>77</w:t>
      </w:r>
    </w:p>
    <w:p>
      <w:pPr>
        <w:spacing w:before="122"/>
        <w:ind w:left="1587" w:right="0" w:firstLine="0"/>
        <w:jc w:val="left"/>
        <w:rPr>
          <w:sz w:val="21"/>
        </w:rPr>
      </w:pPr>
      <w:r>
        <w:rPr>
          <w:w w:val="105"/>
          <w:sz w:val="21"/>
        </w:rPr>
        <w:t>Frizzo, Jeneve, ‘Court Ordered Wills—Part 1’ (2012) 14 </w:t>
      </w:r>
      <w:r>
        <w:rPr>
          <w:i/>
          <w:w w:val="105"/>
          <w:sz w:val="21"/>
        </w:rPr>
        <w:t>Retirement and Estate Planning Bulletin </w:t>
      </w:r>
      <w:r>
        <w:rPr>
          <w:w w:val="105"/>
          <w:sz w:val="21"/>
        </w:rPr>
        <w:t>144</w:t>
      </w:r>
    </w:p>
    <w:p>
      <w:pPr>
        <w:pStyle w:val="BodyText"/>
        <w:spacing w:line="242" w:lineRule="auto" w:before="124"/>
        <w:ind w:left="1587" w:right="2143"/>
        <w:jc w:val="both"/>
      </w:pPr>
      <w:r>
        <w:rPr>
          <w:spacing w:val="-3"/>
          <w:w w:val="105"/>
        </w:rPr>
        <w:t>Frolik,</w:t>
      </w:r>
      <w:r>
        <w:rPr>
          <w:spacing w:val="-7"/>
          <w:w w:val="105"/>
        </w:rPr>
        <w:t> </w:t>
      </w:r>
      <w:r>
        <w:rPr>
          <w:spacing w:val="-3"/>
          <w:w w:val="105"/>
        </w:rPr>
        <w:t>Lawrence,</w:t>
      </w:r>
      <w:r>
        <w:rPr>
          <w:spacing w:val="-6"/>
          <w:w w:val="105"/>
        </w:rPr>
        <w:t> </w:t>
      </w:r>
      <w:r>
        <w:rPr>
          <w:w w:val="105"/>
        </w:rPr>
        <w:t>‘The</w:t>
      </w:r>
      <w:r>
        <w:rPr>
          <w:spacing w:val="-6"/>
          <w:w w:val="105"/>
        </w:rPr>
        <w:t> </w:t>
      </w:r>
      <w:r>
        <w:rPr>
          <w:spacing w:val="-3"/>
          <w:w w:val="105"/>
        </w:rPr>
        <w:t>Strange</w:t>
      </w:r>
      <w:r>
        <w:rPr>
          <w:spacing w:val="-6"/>
          <w:w w:val="105"/>
        </w:rPr>
        <w:t> </w:t>
      </w:r>
      <w:r>
        <w:rPr>
          <w:spacing w:val="-3"/>
          <w:w w:val="105"/>
        </w:rPr>
        <w:t>Interplay</w:t>
      </w:r>
      <w:r>
        <w:rPr>
          <w:spacing w:val="-6"/>
          <w:w w:val="105"/>
        </w:rPr>
        <w:t> </w:t>
      </w:r>
      <w:r>
        <w:rPr>
          <w:w w:val="105"/>
        </w:rPr>
        <w:t>of</w:t>
      </w:r>
      <w:r>
        <w:rPr>
          <w:spacing w:val="-6"/>
          <w:w w:val="105"/>
        </w:rPr>
        <w:t> </w:t>
      </w:r>
      <w:r>
        <w:rPr>
          <w:w w:val="105"/>
        </w:rPr>
        <w:t>Testamentary</w:t>
      </w:r>
      <w:r>
        <w:rPr>
          <w:spacing w:val="-6"/>
          <w:w w:val="105"/>
        </w:rPr>
        <w:t> </w:t>
      </w:r>
      <w:r>
        <w:rPr>
          <w:w w:val="105"/>
        </w:rPr>
        <w:t>Capacity</w:t>
      </w:r>
      <w:r>
        <w:rPr>
          <w:spacing w:val="-6"/>
          <w:w w:val="105"/>
        </w:rPr>
        <w:t> </w:t>
      </w:r>
      <w:r>
        <w:rPr>
          <w:w w:val="105"/>
        </w:rPr>
        <w:t>and</w:t>
      </w:r>
      <w:r>
        <w:rPr>
          <w:spacing w:val="-6"/>
          <w:w w:val="105"/>
        </w:rPr>
        <w:t> </w:t>
      </w:r>
      <w:r>
        <w:rPr>
          <w:w w:val="105"/>
        </w:rPr>
        <w:t>the</w:t>
      </w:r>
      <w:r>
        <w:rPr>
          <w:spacing w:val="-6"/>
          <w:w w:val="105"/>
        </w:rPr>
        <w:t> </w:t>
      </w:r>
      <w:r>
        <w:rPr>
          <w:w w:val="105"/>
        </w:rPr>
        <w:t>Doctrine</w:t>
      </w:r>
      <w:r>
        <w:rPr>
          <w:spacing w:val="-6"/>
          <w:w w:val="105"/>
        </w:rPr>
        <w:t> </w:t>
      </w:r>
      <w:r>
        <w:rPr>
          <w:w w:val="105"/>
        </w:rPr>
        <w:t>of</w:t>
      </w:r>
      <w:r>
        <w:rPr>
          <w:spacing w:val="-6"/>
          <w:w w:val="105"/>
        </w:rPr>
        <w:t> </w:t>
      </w:r>
      <w:r>
        <w:rPr>
          <w:spacing w:val="-3"/>
          <w:w w:val="105"/>
        </w:rPr>
        <w:t>Undue </w:t>
      </w:r>
      <w:r>
        <w:rPr>
          <w:w w:val="105"/>
        </w:rPr>
        <w:t>Influence:</w:t>
      </w:r>
      <w:r>
        <w:rPr>
          <w:spacing w:val="-15"/>
          <w:w w:val="105"/>
        </w:rPr>
        <w:t> </w:t>
      </w:r>
      <w:r>
        <w:rPr>
          <w:w w:val="105"/>
        </w:rPr>
        <w:t>Are</w:t>
      </w:r>
      <w:r>
        <w:rPr>
          <w:spacing w:val="-15"/>
          <w:w w:val="105"/>
        </w:rPr>
        <w:t> </w:t>
      </w:r>
      <w:r>
        <w:rPr>
          <w:spacing w:val="-3"/>
          <w:w w:val="105"/>
        </w:rPr>
        <w:t>We</w:t>
      </w:r>
      <w:r>
        <w:rPr>
          <w:spacing w:val="-15"/>
          <w:w w:val="105"/>
        </w:rPr>
        <w:t> </w:t>
      </w:r>
      <w:r>
        <w:rPr>
          <w:w w:val="105"/>
        </w:rPr>
        <w:t>Protecting</w:t>
      </w:r>
      <w:r>
        <w:rPr>
          <w:spacing w:val="-15"/>
          <w:w w:val="105"/>
        </w:rPr>
        <w:t> </w:t>
      </w:r>
      <w:r>
        <w:rPr>
          <w:w w:val="105"/>
        </w:rPr>
        <w:t>Older</w:t>
      </w:r>
      <w:r>
        <w:rPr>
          <w:spacing w:val="-14"/>
          <w:w w:val="105"/>
        </w:rPr>
        <w:t> </w:t>
      </w:r>
      <w:r>
        <w:rPr>
          <w:spacing w:val="-3"/>
          <w:w w:val="105"/>
        </w:rPr>
        <w:t>Testators</w:t>
      </w:r>
      <w:r>
        <w:rPr>
          <w:spacing w:val="-15"/>
          <w:w w:val="105"/>
        </w:rPr>
        <w:t> </w:t>
      </w:r>
      <w:r>
        <w:rPr>
          <w:w w:val="105"/>
        </w:rPr>
        <w:t>or</w:t>
      </w:r>
      <w:r>
        <w:rPr>
          <w:spacing w:val="-15"/>
          <w:w w:val="105"/>
        </w:rPr>
        <w:t> </w:t>
      </w:r>
      <w:r>
        <w:rPr>
          <w:w w:val="105"/>
        </w:rPr>
        <w:t>Overriding</w:t>
      </w:r>
      <w:r>
        <w:rPr>
          <w:spacing w:val="-15"/>
          <w:w w:val="105"/>
        </w:rPr>
        <w:t> </w:t>
      </w:r>
      <w:r>
        <w:rPr>
          <w:w w:val="105"/>
        </w:rPr>
        <w:t>Individual</w:t>
      </w:r>
      <w:r>
        <w:rPr>
          <w:spacing w:val="-15"/>
          <w:w w:val="105"/>
        </w:rPr>
        <w:t> </w:t>
      </w:r>
      <w:r>
        <w:rPr>
          <w:w w:val="105"/>
        </w:rPr>
        <w:t>Preferences?’</w:t>
      </w:r>
      <w:r>
        <w:rPr>
          <w:spacing w:val="-14"/>
          <w:w w:val="105"/>
        </w:rPr>
        <w:t> </w:t>
      </w:r>
      <w:r>
        <w:rPr>
          <w:spacing w:val="-4"/>
          <w:w w:val="105"/>
        </w:rPr>
        <w:t>(2001)</w:t>
      </w:r>
      <w:r>
        <w:rPr>
          <w:spacing w:val="-15"/>
          <w:w w:val="105"/>
        </w:rPr>
        <w:t> </w:t>
      </w:r>
      <w:r>
        <w:rPr>
          <w:spacing w:val="-5"/>
          <w:w w:val="105"/>
        </w:rPr>
        <w:t>24 </w:t>
      </w:r>
      <w:r>
        <w:rPr>
          <w:i/>
          <w:spacing w:val="-3"/>
          <w:w w:val="105"/>
        </w:rPr>
        <w:t>International Journal of </w:t>
      </w:r>
      <w:r>
        <w:rPr>
          <w:i/>
          <w:w w:val="105"/>
        </w:rPr>
        <w:t>Law and Psychiatry</w:t>
      </w:r>
      <w:r>
        <w:rPr>
          <w:i/>
          <w:spacing w:val="37"/>
          <w:w w:val="105"/>
        </w:rPr>
        <w:t> </w:t>
      </w:r>
      <w:r>
        <w:rPr>
          <w:spacing w:val="-4"/>
          <w:w w:val="105"/>
        </w:rPr>
        <w:t>253</w:t>
      </w:r>
    </w:p>
    <w:p>
      <w:pPr>
        <w:spacing w:line="242" w:lineRule="auto" w:before="123"/>
        <w:ind w:left="1587" w:right="1774" w:firstLine="0"/>
        <w:jc w:val="left"/>
        <w:rPr>
          <w:sz w:val="21"/>
        </w:rPr>
      </w:pPr>
      <w:r>
        <w:rPr>
          <w:w w:val="105"/>
          <w:sz w:val="21"/>
        </w:rPr>
        <w:t>Geddes, Robert A, Charles C Rowland and Paul Studdert, </w:t>
      </w:r>
      <w:r>
        <w:rPr>
          <w:i/>
          <w:w w:val="105"/>
          <w:sz w:val="21"/>
        </w:rPr>
        <w:t>Wills, Probate and Administration Law </w:t>
      </w:r>
      <w:r>
        <w:rPr>
          <w:i/>
          <w:w w:val="105"/>
          <w:sz w:val="21"/>
        </w:rPr>
        <w:t>in New South Wales </w:t>
      </w:r>
      <w:r>
        <w:rPr>
          <w:w w:val="105"/>
          <w:sz w:val="21"/>
        </w:rPr>
        <w:t>(LBC Information Services, 1996)</w:t>
      </w:r>
    </w:p>
    <w:p>
      <w:pPr>
        <w:pStyle w:val="BodyText"/>
        <w:spacing w:line="242" w:lineRule="auto" w:before="123"/>
        <w:ind w:left="1587" w:right="1619"/>
      </w:pPr>
      <w:r>
        <w:rPr>
          <w:spacing w:val="-3"/>
          <w:w w:val="105"/>
        </w:rPr>
        <w:t>Grigoriou, Georgina, </w:t>
      </w:r>
      <w:r>
        <w:rPr>
          <w:spacing w:val="-4"/>
          <w:w w:val="105"/>
        </w:rPr>
        <w:t>‘Current </w:t>
      </w:r>
      <w:r>
        <w:rPr>
          <w:w w:val="105"/>
        </w:rPr>
        <w:t>Developments – Analysis and Index of </w:t>
      </w:r>
      <w:r>
        <w:rPr>
          <w:spacing w:val="-2"/>
          <w:w w:val="105"/>
        </w:rPr>
        <w:t>Recent </w:t>
      </w:r>
      <w:r>
        <w:rPr>
          <w:w w:val="105"/>
        </w:rPr>
        <w:t>TFM </w:t>
      </w:r>
      <w:r>
        <w:rPr>
          <w:spacing w:val="-3"/>
          <w:w w:val="105"/>
        </w:rPr>
        <w:t>Cases’ </w:t>
      </w:r>
      <w:r>
        <w:rPr>
          <w:w w:val="105"/>
        </w:rPr>
        <w:t>(Paper </w:t>
      </w:r>
      <w:r>
        <w:rPr>
          <w:spacing w:val="-3"/>
          <w:w w:val="105"/>
        </w:rPr>
        <w:t>presented </w:t>
      </w:r>
      <w:r>
        <w:rPr>
          <w:w w:val="105"/>
        </w:rPr>
        <w:t>at the 9th </w:t>
      </w:r>
      <w:r>
        <w:rPr>
          <w:spacing w:val="-3"/>
          <w:w w:val="105"/>
        </w:rPr>
        <w:t>Annual Wills </w:t>
      </w:r>
      <w:r>
        <w:rPr>
          <w:w w:val="105"/>
        </w:rPr>
        <w:t>and </w:t>
      </w:r>
      <w:r>
        <w:rPr>
          <w:spacing w:val="-3"/>
          <w:w w:val="105"/>
        </w:rPr>
        <w:t>Probate </w:t>
      </w:r>
      <w:r>
        <w:rPr>
          <w:spacing w:val="-4"/>
          <w:w w:val="105"/>
        </w:rPr>
        <w:t>Conference, </w:t>
      </w:r>
      <w:r>
        <w:rPr>
          <w:spacing w:val="-3"/>
          <w:w w:val="105"/>
        </w:rPr>
        <w:t>Melbourne, </w:t>
      </w:r>
      <w:r>
        <w:rPr>
          <w:spacing w:val="-6"/>
          <w:w w:val="105"/>
        </w:rPr>
        <w:t>18 </w:t>
      </w:r>
      <w:r>
        <w:rPr>
          <w:spacing w:val="-3"/>
          <w:w w:val="105"/>
        </w:rPr>
        <w:t>March 2002)</w:t>
      </w:r>
    </w:p>
    <w:p>
      <w:pPr>
        <w:pStyle w:val="BodyText"/>
        <w:spacing w:line="242" w:lineRule="auto" w:before="122"/>
        <w:ind w:left="1587" w:right="2064"/>
      </w:pPr>
      <w:r>
        <w:rPr>
          <w:w w:val="105"/>
        </w:rPr>
        <w:t>Groszek, Christopher, ‘Going Going Gone: Avoiding Ademption when Assets are Sold’ (2012) 86(11) </w:t>
      </w:r>
      <w:r>
        <w:rPr>
          <w:i/>
          <w:w w:val="105"/>
        </w:rPr>
        <w:t>Law Institute Journal </w:t>
      </w:r>
      <w:r>
        <w:rPr>
          <w:w w:val="105"/>
        </w:rPr>
        <w:t>48</w:t>
      </w:r>
    </w:p>
    <w:p>
      <w:pPr>
        <w:spacing w:line="355" w:lineRule="auto" w:before="122"/>
        <w:ind w:left="1587" w:right="1826" w:firstLine="0"/>
        <w:jc w:val="left"/>
        <w:rPr>
          <w:sz w:val="21"/>
        </w:rPr>
      </w:pPr>
      <w:r>
        <w:rPr>
          <w:spacing w:val="-3"/>
          <w:w w:val="105"/>
          <w:sz w:val="21"/>
        </w:rPr>
        <w:t>Groves, Matthew, </w:t>
      </w:r>
      <w:r>
        <w:rPr>
          <w:w w:val="105"/>
          <w:sz w:val="21"/>
        </w:rPr>
        <w:t>‘The Forced Removal of Executors’ </w:t>
      </w:r>
      <w:r>
        <w:rPr>
          <w:spacing w:val="-3"/>
          <w:w w:val="105"/>
          <w:sz w:val="21"/>
        </w:rPr>
        <w:t>(2007) </w:t>
      </w:r>
      <w:r>
        <w:rPr>
          <w:w w:val="105"/>
          <w:sz w:val="21"/>
        </w:rPr>
        <w:t>81(6) </w:t>
      </w:r>
      <w:r>
        <w:rPr>
          <w:i/>
          <w:w w:val="105"/>
          <w:sz w:val="21"/>
        </w:rPr>
        <w:t>Law Institute </w:t>
      </w:r>
      <w:r>
        <w:rPr>
          <w:i/>
          <w:spacing w:val="-3"/>
          <w:w w:val="105"/>
          <w:sz w:val="21"/>
        </w:rPr>
        <w:t>Journal </w:t>
      </w:r>
      <w:r>
        <w:rPr>
          <w:w w:val="105"/>
          <w:sz w:val="21"/>
        </w:rPr>
        <w:t>56 </w:t>
      </w:r>
      <w:r>
        <w:rPr>
          <w:spacing w:val="-3"/>
          <w:w w:val="105"/>
          <w:sz w:val="21"/>
        </w:rPr>
        <w:t>Groves, Matthew, </w:t>
      </w:r>
      <w:r>
        <w:rPr>
          <w:spacing w:val="-5"/>
          <w:w w:val="105"/>
          <w:sz w:val="21"/>
        </w:rPr>
        <w:t>‘As </w:t>
      </w:r>
      <w:r>
        <w:rPr>
          <w:w w:val="105"/>
          <w:sz w:val="21"/>
        </w:rPr>
        <w:t>the </w:t>
      </w:r>
      <w:r>
        <w:rPr>
          <w:spacing w:val="-3"/>
          <w:w w:val="105"/>
          <w:sz w:val="21"/>
        </w:rPr>
        <w:t>Court Wills’ </w:t>
      </w:r>
      <w:r>
        <w:rPr>
          <w:w w:val="105"/>
          <w:sz w:val="21"/>
        </w:rPr>
        <w:t>(2009) 83(10) </w:t>
      </w:r>
      <w:r>
        <w:rPr>
          <w:i/>
          <w:w w:val="105"/>
          <w:sz w:val="21"/>
        </w:rPr>
        <w:t>Law Institute </w:t>
      </w:r>
      <w:r>
        <w:rPr>
          <w:i/>
          <w:spacing w:val="-3"/>
          <w:w w:val="105"/>
          <w:sz w:val="21"/>
        </w:rPr>
        <w:t>Journal </w:t>
      </w:r>
      <w:r>
        <w:rPr>
          <w:w w:val="105"/>
          <w:sz w:val="21"/>
        </w:rPr>
        <w:t>36</w:t>
      </w:r>
    </w:p>
    <w:p>
      <w:pPr>
        <w:spacing w:line="355" w:lineRule="auto" w:before="2"/>
        <w:ind w:left="1587" w:right="2624" w:firstLine="0"/>
        <w:jc w:val="left"/>
        <w:rPr>
          <w:sz w:val="21"/>
        </w:rPr>
      </w:pPr>
      <w:r>
        <w:rPr>
          <w:w w:val="105"/>
          <w:sz w:val="21"/>
        </w:rPr>
        <w:t>Groves, Matthew, ‘Adeptly Avoiding Ademption’ (2010) 84(8) </w:t>
      </w:r>
      <w:r>
        <w:rPr>
          <w:i/>
          <w:w w:val="105"/>
          <w:sz w:val="21"/>
        </w:rPr>
        <w:t>Law Institute Journal </w:t>
      </w:r>
      <w:r>
        <w:rPr>
          <w:w w:val="105"/>
          <w:sz w:val="21"/>
        </w:rPr>
        <w:t>36 Hallen, Phil, ‘Note: Recent Cases’ (1992) 66(8) </w:t>
      </w:r>
      <w:r>
        <w:rPr>
          <w:i/>
          <w:w w:val="105"/>
          <w:sz w:val="21"/>
        </w:rPr>
        <w:t>Australian Law Journal </w:t>
      </w:r>
      <w:r>
        <w:rPr>
          <w:w w:val="105"/>
          <w:sz w:val="21"/>
        </w:rPr>
        <w:t>538</w:t>
      </w:r>
    </w:p>
    <w:p>
      <w:pPr>
        <w:spacing w:before="1"/>
        <w:ind w:left="1587" w:right="0" w:firstLine="0"/>
        <w:jc w:val="left"/>
        <w:rPr>
          <w:sz w:val="21"/>
        </w:rPr>
      </w:pPr>
      <w:r>
        <w:rPr>
          <w:w w:val="105"/>
          <w:sz w:val="21"/>
        </w:rPr>
        <w:t>Hamilton, Barbara, ‘Be Nice to Your Parents: or Else’ (2006) 4 </w:t>
      </w:r>
      <w:r>
        <w:rPr>
          <w:i/>
          <w:w w:val="105"/>
          <w:sz w:val="21"/>
        </w:rPr>
        <w:t>Elder Law Review </w:t>
      </w:r>
      <w:r>
        <w:rPr>
          <w:w w:val="105"/>
          <w:sz w:val="21"/>
        </w:rPr>
        <w:t>8</w:t>
      </w:r>
    </w:p>
    <w:p>
      <w:pPr>
        <w:pStyle w:val="BodyText"/>
        <w:spacing w:line="242" w:lineRule="auto" w:before="124"/>
        <w:ind w:left="1587" w:right="1929"/>
      </w:pPr>
      <w:r>
        <w:rPr>
          <w:spacing w:val="-3"/>
          <w:w w:val="105"/>
        </w:rPr>
        <w:t>Hamilton, Barbara, </w:t>
      </w:r>
      <w:r>
        <w:rPr>
          <w:w w:val="105"/>
        </w:rPr>
        <w:t>‘The Doctrine of </w:t>
      </w:r>
      <w:r>
        <w:rPr>
          <w:spacing w:val="-3"/>
          <w:w w:val="105"/>
        </w:rPr>
        <w:t>Unconscionable Bargains </w:t>
      </w:r>
      <w:r>
        <w:rPr>
          <w:w w:val="105"/>
        </w:rPr>
        <w:t>in Equity: </w:t>
      </w:r>
      <w:r>
        <w:rPr>
          <w:spacing w:val="-3"/>
          <w:w w:val="105"/>
        </w:rPr>
        <w:t>Potent Sword for </w:t>
      </w:r>
      <w:r>
        <w:rPr>
          <w:w w:val="105"/>
        </w:rPr>
        <w:t>Estate Lawyers’ </w:t>
      </w:r>
      <w:r>
        <w:rPr>
          <w:spacing w:val="-3"/>
          <w:w w:val="105"/>
        </w:rPr>
        <w:t>(2007) </w:t>
      </w:r>
      <w:r>
        <w:rPr>
          <w:spacing w:val="-5"/>
          <w:w w:val="105"/>
        </w:rPr>
        <w:t>27 </w:t>
      </w:r>
      <w:r>
        <w:rPr>
          <w:i/>
          <w:w w:val="105"/>
        </w:rPr>
        <w:t>Queensland Lawyer </w:t>
      </w:r>
      <w:r>
        <w:rPr>
          <w:spacing w:val="-4"/>
          <w:w w:val="105"/>
        </w:rPr>
        <w:t>180</w:t>
      </w:r>
    </w:p>
    <w:p>
      <w:pPr>
        <w:spacing w:line="242" w:lineRule="auto" w:before="122"/>
        <w:ind w:left="1587" w:right="1995" w:firstLine="0"/>
        <w:jc w:val="left"/>
        <w:rPr>
          <w:sz w:val="21"/>
        </w:rPr>
      </w:pPr>
      <w:r>
        <w:rPr>
          <w:spacing w:val="-3"/>
          <w:w w:val="105"/>
          <w:sz w:val="21"/>
        </w:rPr>
        <w:t>Hamilton, Barbara </w:t>
      </w:r>
      <w:r>
        <w:rPr>
          <w:w w:val="105"/>
          <w:sz w:val="21"/>
        </w:rPr>
        <w:t>and </w:t>
      </w:r>
      <w:r>
        <w:rPr>
          <w:spacing w:val="-3"/>
          <w:w w:val="105"/>
          <w:sz w:val="21"/>
        </w:rPr>
        <w:t>Elizabeth </w:t>
      </w:r>
      <w:r>
        <w:rPr>
          <w:spacing w:val="-4"/>
          <w:w w:val="105"/>
          <w:sz w:val="21"/>
        </w:rPr>
        <w:t>Sheehy, </w:t>
      </w:r>
      <w:r>
        <w:rPr>
          <w:w w:val="105"/>
          <w:sz w:val="21"/>
        </w:rPr>
        <w:t>‘Thrice Punished: Battered </w:t>
      </w:r>
      <w:r>
        <w:rPr>
          <w:spacing w:val="-3"/>
          <w:w w:val="105"/>
          <w:sz w:val="21"/>
        </w:rPr>
        <w:t>Women, </w:t>
      </w:r>
      <w:r>
        <w:rPr>
          <w:spacing w:val="-4"/>
          <w:w w:val="105"/>
          <w:sz w:val="21"/>
        </w:rPr>
        <w:t>Criminal </w:t>
      </w:r>
      <w:r>
        <w:rPr>
          <w:w w:val="105"/>
          <w:sz w:val="21"/>
        </w:rPr>
        <w:t>Law and </w:t>
      </w:r>
      <w:r>
        <w:rPr>
          <w:spacing w:val="-3"/>
          <w:w w:val="105"/>
          <w:sz w:val="21"/>
        </w:rPr>
        <w:t>Disinheritance’ </w:t>
      </w:r>
      <w:r>
        <w:rPr>
          <w:w w:val="105"/>
          <w:sz w:val="21"/>
        </w:rPr>
        <w:t>(2004) 8 </w:t>
      </w:r>
      <w:r>
        <w:rPr>
          <w:i/>
          <w:w w:val="105"/>
          <w:sz w:val="21"/>
        </w:rPr>
        <w:t>Southern Cross University Law Review </w:t>
      </w:r>
      <w:r>
        <w:rPr>
          <w:w w:val="105"/>
          <w:sz w:val="21"/>
        </w:rPr>
        <w:t>96</w:t>
      </w:r>
    </w:p>
    <w:p>
      <w:pPr>
        <w:pStyle w:val="BodyText"/>
        <w:spacing w:before="7"/>
        <w:rPr>
          <w:sz w:val="27"/>
        </w:rPr>
      </w:pPr>
    </w:p>
    <w:p>
      <w:pPr>
        <w:spacing w:before="99"/>
        <w:ind w:left="720" w:right="0" w:firstLine="0"/>
        <w:jc w:val="left"/>
        <w:rPr>
          <w:b/>
          <w:sz w:val="24"/>
        </w:rPr>
      </w:pPr>
      <w:r>
        <w:rPr>
          <w:b/>
          <w:color w:val="EC5A4F"/>
          <w:w w:val="110"/>
          <w:sz w:val="24"/>
        </w:rPr>
        <w:t>220</w:t>
      </w:r>
    </w:p>
    <w:p>
      <w:pPr>
        <w:spacing w:after="0"/>
        <w:jc w:val="left"/>
        <w:rPr>
          <w:sz w:val="24"/>
        </w:rPr>
        <w:sectPr>
          <w:pgSz w:w="11910" w:h="16840"/>
          <w:pgMar w:header="550" w:footer="0" w:top="1560" w:bottom="280" w:left="0" w:right="0"/>
        </w:sectPr>
      </w:pPr>
    </w:p>
    <w:p>
      <w:pPr>
        <w:pStyle w:val="BodyText"/>
        <w:spacing w:before="6"/>
        <w:rPr>
          <w:b/>
        </w:rPr>
      </w:pPr>
    </w:p>
    <w:p>
      <w:pPr>
        <w:pStyle w:val="BodyText"/>
        <w:spacing w:line="242" w:lineRule="auto" w:before="92"/>
        <w:ind w:left="1587" w:right="1969"/>
      </w:pPr>
      <w:r>
        <w:rPr>
          <w:spacing w:val="-3"/>
          <w:w w:val="105"/>
        </w:rPr>
        <w:t>Hamilton, Barbara </w:t>
      </w:r>
      <w:r>
        <w:rPr>
          <w:w w:val="105"/>
        </w:rPr>
        <w:t>and Tina </w:t>
      </w:r>
      <w:r>
        <w:rPr>
          <w:spacing w:val="-4"/>
          <w:w w:val="105"/>
        </w:rPr>
        <w:t>Cockburn, </w:t>
      </w:r>
      <w:r>
        <w:rPr>
          <w:w w:val="105"/>
        </w:rPr>
        <w:t>‘Solicitors </w:t>
      </w:r>
      <w:r>
        <w:rPr>
          <w:spacing w:val="-5"/>
          <w:w w:val="105"/>
        </w:rPr>
        <w:t>Taking </w:t>
      </w:r>
      <w:r>
        <w:rPr>
          <w:spacing w:val="-3"/>
          <w:w w:val="105"/>
        </w:rPr>
        <w:t>Substantial </w:t>
      </w:r>
      <w:r>
        <w:rPr>
          <w:w w:val="105"/>
        </w:rPr>
        <w:t>Gifts under Wills: </w:t>
      </w:r>
      <w:r>
        <w:rPr>
          <w:spacing w:val="-3"/>
          <w:w w:val="105"/>
        </w:rPr>
        <w:t>Probate </w:t>
      </w:r>
      <w:r>
        <w:rPr>
          <w:w w:val="105"/>
        </w:rPr>
        <w:t>Doctrines, </w:t>
      </w:r>
      <w:r>
        <w:rPr>
          <w:spacing w:val="-3"/>
          <w:w w:val="105"/>
        </w:rPr>
        <w:t>Professional Regulation </w:t>
      </w:r>
      <w:r>
        <w:rPr>
          <w:w w:val="105"/>
        </w:rPr>
        <w:t>and the Application of </w:t>
      </w:r>
      <w:r>
        <w:rPr>
          <w:spacing w:val="-3"/>
          <w:w w:val="105"/>
        </w:rPr>
        <w:t>Equitable </w:t>
      </w:r>
      <w:r>
        <w:rPr>
          <w:w w:val="105"/>
        </w:rPr>
        <w:t>Doctrines’ (2008) 2 </w:t>
      </w:r>
      <w:r>
        <w:rPr>
          <w:i/>
          <w:spacing w:val="-3"/>
          <w:w w:val="105"/>
        </w:rPr>
        <w:t>Journal </w:t>
      </w:r>
      <w:r>
        <w:rPr>
          <w:i/>
          <w:spacing w:val="-3"/>
          <w:w w:val="105"/>
        </w:rPr>
        <w:t>of </w:t>
      </w:r>
      <w:r>
        <w:rPr>
          <w:i/>
          <w:w w:val="105"/>
        </w:rPr>
        <w:t>Equity </w:t>
      </w:r>
      <w:r>
        <w:rPr>
          <w:spacing w:val="-14"/>
          <w:w w:val="105"/>
        </w:rPr>
        <w:t>117</w:t>
      </w:r>
    </w:p>
    <w:p>
      <w:pPr>
        <w:spacing w:before="123"/>
        <w:ind w:left="1587" w:right="0" w:firstLine="0"/>
        <w:jc w:val="left"/>
        <w:rPr>
          <w:i/>
          <w:sz w:val="21"/>
        </w:rPr>
      </w:pPr>
      <w:r>
        <w:rPr>
          <w:w w:val="105"/>
          <w:sz w:val="21"/>
        </w:rPr>
        <w:t>Hardingham, I J, M A Neave and H A J Ford, </w:t>
      </w:r>
      <w:r>
        <w:rPr>
          <w:i/>
          <w:w w:val="105"/>
          <w:sz w:val="21"/>
        </w:rPr>
        <w:t>Wills and Intestacy in Australia and New Zealand</w:t>
      </w:r>
    </w:p>
    <w:p>
      <w:pPr>
        <w:pStyle w:val="BodyText"/>
        <w:spacing w:before="4"/>
        <w:ind w:left="1587"/>
      </w:pPr>
      <w:r>
        <w:rPr>
          <w:w w:val="105"/>
        </w:rPr>
        <w:t>(Law Book Company, 2nd ed, 1989)</w:t>
      </w:r>
    </w:p>
    <w:p>
      <w:pPr>
        <w:spacing w:line="242" w:lineRule="auto" w:before="123"/>
        <w:ind w:left="1587" w:right="1619" w:firstLine="0"/>
        <w:jc w:val="left"/>
        <w:rPr>
          <w:sz w:val="21"/>
        </w:rPr>
      </w:pPr>
      <w:r>
        <w:rPr>
          <w:w w:val="105"/>
          <w:sz w:val="21"/>
        </w:rPr>
        <w:t>Hemming, Andrew, ‘Killing the Goose and Keeping the Golden Nest Egg’ (2008) 8 </w:t>
      </w:r>
      <w:r>
        <w:rPr>
          <w:i/>
          <w:w w:val="105"/>
          <w:sz w:val="21"/>
        </w:rPr>
        <w:t>Queensland </w:t>
      </w:r>
      <w:r>
        <w:rPr>
          <w:i/>
          <w:w w:val="105"/>
          <w:sz w:val="21"/>
        </w:rPr>
        <w:t>University of Technology Law and Justice Journal </w:t>
      </w:r>
      <w:r>
        <w:rPr>
          <w:w w:val="105"/>
          <w:sz w:val="21"/>
        </w:rPr>
        <w:t>342</w:t>
      </w:r>
    </w:p>
    <w:p>
      <w:pPr>
        <w:pStyle w:val="BodyText"/>
        <w:spacing w:before="123"/>
        <w:ind w:left="1587"/>
      </w:pPr>
      <w:r>
        <w:rPr>
          <w:w w:val="105"/>
        </w:rPr>
        <w:t>Hill, Linda Kelly, ‘No-Fault Death: Wedding Inheritance Rights to Family Values’ (2005–2006) 94</w:t>
      </w:r>
    </w:p>
    <w:p>
      <w:pPr>
        <w:spacing w:before="3"/>
        <w:ind w:left="1587" w:right="0" w:firstLine="0"/>
        <w:jc w:val="left"/>
        <w:rPr>
          <w:sz w:val="21"/>
        </w:rPr>
      </w:pPr>
      <w:r>
        <w:rPr>
          <w:i/>
          <w:w w:val="105"/>
          <w:sz w:val="21"/>
        </w:rPr>
        <w:t>Kentucky Law Journal </w:t>
      </w:r>
      <w:r>
        <w:rPr>
          <w:w w:val="105"/>
          <w:sz w:val="21"/>
        </w:rPr>
        <w:t>319</w:t>
      </w:r>
    </w:p>
    <w:p>
      <w:pPr>
        <w:pStyle w:val="BodyText"/>
        <w:spacing w:before="124"/>
        <w:ind w:left="1587"/>
      </w:pPr>
      <w:r>
        <w:rPr>
          <w:w w:val="105"/>
        </w:rPr>
        <w:t>Hockley, John, ‘Statutory Wills in Australia: Wills for Persons Lacking Capacity’ (2006) 80(1)</w:t>
      </w:r>
    </w:p>
    <w:p>
      <w:pPr>
        <w:spacing w:before="4"/>
        <w:ind w:left="1587" w:right="0" w:firstLine="0"/>
        <w:jc w:val="left"/>
        <w:rPr>
          <w:sz w:val="21"/>
        </w:rPr>
      </w:pPr>
      <w:r>
        <w:rPr>
          <w:i/>
          <w:w w:val="105"/>
          <w:sz w:val="21"/>
        </w:rPr>
        <w:t>Australian Law Journal </w:t>
      </w:r>
      <w:r>
        <w:rPr>
          <w:w w:val="105"/>
          <w:sz w:val="21"/>
        </w:rPr>
        <w:t>68</w:t>
      </w:r>
    </w:p>
    <w:p>
      <w:pPr>
        <w:spacing w:line="242" w:lineRule="auto" w:before="123"/>
        <w:ind w:left="1587" w:right="1619" w:firstLine="0"/>
        <w:jc w:val="left"/>
        <w:rPr>
          <w:sz w:val="21"/>
        </w:rPr>
      </w:pPr>
      <w:r>
        <w:rPr>
          <w:w w:val="105"/>
          <w:sz w:val="21"/>
        </w:rPr>
        <w:t>Hodgson, </w:t>
      </w:r>
      <w:r>
        <w:rPr>
          <w:spacing w:val="-4"/>
          <w:w w:val="105"/>
          <w:sz w:val="21"/>
        </w:rPr>
        <w:t>Colin, </w:t>
      </w:r>
      <w:r>
        <w:rPr>
          <w:w w:val="105"/>
          <w:sz w:val="21"/>
        </w:rPr>
        <w:t>Wentworth Selbourne </w:t>
      </w:r>
      <w:r>
        <w:rPr>
          <w:spacing w:val="-3"/>
          <w:w w:val="105"/>
          <w:sz w:val="21"/>
        </w:rPr>
        <w:t>Chambers, </w:t>
      </w:r>
      <w:r>
        <w:rPr>
          <w:i/>
          <w:spacing w:val="-3"/>
          <w:w w:val="105"/>
          <w:sz w:val="21"/>
        </w:rPr>
        <w:t>Notional </w:t>
      </w:r>
      <w:r>
        <w:rPr>
          <w:i/>
          <w:w w:val="105"/>
          <w:sz w:val="21"/>
        </w:rPr>
        <w:t>Estate: General Principles and Specific </w:t>
      </w:r>
      <w:r>
        <w:rPr>
          <w:i/>
          <w:w w:val="105"/>
          <w:sz w:val="21"/>
        </w:rPr>
        <w:t>Instances </w:t>
      </w:r>
      <w:r>
        <w:rPr>
          <w:w w:val="105"/>
          <w:sz w:val="21"/>
        </w:rPr>
        <w:t>(2008)</w:t>
      </w:r>
    </w:p>
    <w:p>
      <w:pPr>
        <w:spacing w:before="123"/>
        <w:ind w:left="1587" w:right="0" w:firstLine="0"/>
        <w:jc w:val="left"/>
        <w:rPr>
          <w:sz w:val="21"/>
        </w:rPr>
      </w:pPr>
      <w:r>
        <w:rPr>
          <w:w w:val="105"/>
          <w:sz w:val="21"/>
        </w:rPr>
        <w:t>Johansson, Terry, ‘Retrieving Family Assets’ (2009) 83(5) </w:t>
      </w:r>
      <w:r>
        <w:rPr>
          <w:i/>
          <w:w w:val="105"/>
          <w:sz w:val="21"/>
        </w:rPr>
        <w:t>Law Institute Journal </w:t>
      </w:r>
      <w:r>
        <w:rPr>
          <w:w w:val="105"/>
          <w:sz w:val="21"/>
        </w:rPr>
        <w:t>38</w:t>
      </w:r>
    </w:p>
    <w:p>
      <w:pPr>
        <w:spacing w:before="124"/>
        <w:ind w:left="1587" w:right="0" w:firstLine="0"/>
        <w:jc w:val="left"/>
        <w:rPr>
          <w:sz w:val="21"/>
        </w:rPr>
      </w:pPr>
      <w:r>
        <w:rPr>
          <w:w w:val="105"/>
          <w:sz w:val="21"/>
        </w:rPr>
        <w:t>Kaufman, John, ‘Ademption and the Testator’s Intent’ (2012) 67 </w:t>
      </w:r>
      <w:r>
        <w:rPr>
          <w:i/>
          <w:w w:val="105"/>
          <w:sz w:val="21"/>
        </w:rPr>
        <w:t>Wills and Probate Bulletin </w:t>
      </w:r>
      <w:r>
        <w:rPr>
          <w:w w:val="105"/>
          <w:sz w:val="21"/>
        </w:rPr>
        <w:t>5</w:t>
      </w:r>
    </w:p>
    <w:p>
      <w:pPr>
        <w:pStyle w:val="BodyText"/>
        <w:spacing w:line="242" w:lineRule="auto" w:before="123"/>
        <w:ind w:left="1587" w:right="1682"/>
      </w:pPr>
      <w:r>
        <w:rPr>
          <w:spacing w:val="-3"/>
          <w:w w:val="105"/>
        </w:rPr>
        <w:t>Kerridge, </w:t>
      </w:r>
      <w:r>
        <w:rPr>
          <w:spacing w:val="-4"/>
          <w:w w:val="105"/>
        </w:rPr>
        <w:t>Roger, </w:t>
      </w:r>
      <w:r>
        <w:rPr>
          <w:w w:val="105"/>
        </w:rPr>
        <w:t>‘Wills Made in </w:t>
      </w:r>
      <w:r>
        <w:rPr>
          <w:spacing w:val="-3"/>
          <w:w w:val="105"/>
        </w:rPr>
        <w:t>Suspicious Circumstances: </w:t>
      </w:r>
      <w:r>
        <w:rPr>
          <w:w w:val="105"/>
        </w:rPr>
        <w:t>The Problem of the </w:t>
      </w:r>
      <w:r>
        <w:rPr>
          <w:spacing w:val="-3"/>
          <w:w w:val="105"/>
        </w:rPr>
        <w:t>Vulnerable Testator’ </w:t>
      </w:r>
      <w:r>
        <w:rPr>
          <w:w w:val="105"/>
        </w:rPr>
        <w:t>(2000) 59(2) </w:t>
      </w:r>
      <w:r>
        <w:rPr>
          <w:i/>
          <w:w w:val="105"/>
        </w:rPr>
        <w:t>Cambridge Law </w:t>
      </w:r>
      <w:r>
        <w:rPr>
          <w:i/>
          <w:spacing w:val="-3"/>
          <w:w w:val="105"/>
        </w:rPr>
        <w:t>Journal </w:t>
      </w:r>
      <w:r>
        <w:rPr>
          <w:spacing w:val="-11"/>
          <w:w w:val="105"/>
        </w:rPr>
        <w:t>310</w:t>
      </w:r>
    </w:p>
    <w:p>
      <w:pPr>
        <w:spacing w:before="123"/>
        <w:ind w:left="1587" w:right="0" w:firstLine="0"/>
        <w:jc w:val="left"/>
        <w:rPr>
          <w:sz w:val="21"/>
        </w:rPr>
      </w:pPr>
      <w:r>
        <w:rPr>
          <w:w w:val="105"/>
          <w:sz w:val="21"/>
        </w:rPr>
        <w:t>Kerridge, Roger, </w:t>
      </w:r>
      <w:r>
        <w:rPr>
          <w:i/>
          <w:w w:val="105"/>
          <w:sz w:val="21"/>
        </w:rPr>
        <w:t>Parry and Kerridge: The Law of Succession </w:t>
      </w:r>
      <w:r>
        <w:rPr>
          <w:w w:val="105"/>
          <w:sz w:val="21"/>
        </w:rPr>
        <w:t>(Sweet and Maxwell, 12th ed, 2009)</w:t>
      </w:r>
    </w:p>
    <w:p>
      <w:pPr>
        <w:spacing w:line="242" w:lineRule="auto" w:before="123"/>
        <w:ind w:left="1587" w:right="1619" w:firstLine="0"/>
        <w:jc w:val="left"/>
        <w:rPr>
          <w:sz w:val="21"/>
        </w:rPr>
      </w:pPr>
      <w:r>
        <w:rPr>
          <w:w w:val="105"/>
          <w:sz w:val="21"/>
        </w:rPr>
        <w:t>King, </w:t>
      </w:r>
      <w:r>
        <w:rPr>
          <w:spacing w:val="-3"/>
          <w:w w:val="105"/>
          <w:sz w:val="21"/>
        </w:rPr>
        <w:t>Christopher </w:t>
      </w:r>
      <w:r>
        <w:rPr>
          <w:w w:val="105"/>
          <w:sz w:val="21"/>
        </w:rPr>
        <w:t>et </w:t>
      </w:r>
      <w:r>
        <w:rPr>
          <w:spacing w:val="-3"/>
          <w:w w:val="105"/>
          <w:sz w:val="21"/>
        </w:rPr>
        <w:t>al, </w:t>
      </w:r>
      <w:r>
        <w:rPr>
          <w:i/>
          <w:w w:val="105"/>
          <w:sz w:val="21"/>
        </w:rPr>
        <w:t>For </w:t>
      </w:r>
      <w:r>
        <w:rPr>
          <w:i/>
          <w:spacing w:val="-3"/>
          <w:w w:val="105"/>
          <w:sz w:val="21"/>
        </w:rPr>
        <w:t>Love </w:t>
      </w:r>
      <w:r>
        <w:rPr>
          <w:i/>
          <w:w w:val="105"/>
          <w:sz w:val="21"/>
        </w:rPr>
        <w:t>or </w:t>
      </w:r>
      <w:r>
        <w:rPr>
          <w:i/>
          <w:spacing w:val="-2"/>
          <w:w w:val="105"/>
          <w:sz w:val="21"/>
        </w:rPr>
        <w:t>Money: </w:t>
      </w:r>
      <w:r>
        <w:rPr>
          <w:i/>
          <w:spacing w:val="-3"/>
          <w:w w:val="105"/>
          <w:sz w:val="21"/>
        </w:rPr>
        <w:t>Intergenerational </w:t>
      </w:r>
      <w:r>
        <w:rPr>
          <w:i/>
          <w:w w:val="105"/>
          <w:sz w:val="21"/>
        </w:rPr>
        <w:t>Management </w:t>
      </w:r>
      <w:r>
        <w:rPr>
          <w:i/>
          <w:spacing w:val="-3"/>
          <w:w w:val="105"/>
          <w:sz w:val="21"/>
        </w:rPr>
        <w:t>of </w:t>
      </w:r>
      <w:r>
        <w:rPr>
          <w:i/>
          <w:w w:val="105"/>
          <w:sz w:val="21"/>
        </w:rPr>
        <w:t>Older Victorians’ </w:t>
      </w:r>
      <w:r>
        <w:rPr>
          <w:i/>
          <w:w w:val="105"/>
          <w:sz w:val="21"/>
        </w:rPr>
        <w:t>Assets Protecting Elders’ Assets </w:t>
      </w:r>
      <w:r>
        <w:rPr>
          <w:i/>
          <w:spacing w:val="-3"/>
          <w:w w:val="105"/>
          <w:sz w:val="21"/>
        </w:rPr>
        <w:t>Study </w:t>
      </w:r>
      <w:r>
        <w:rPr>
          <w:w w:val="105"/>
          <w:sz w:val="21"/>
        </w:rPr>
        <w:t>(Eastern Health </w:t>
      </w:r>
      <w:r>
        <w:rPr>
          <w:spacing w:val="-4"/>
          <w:w w:val="105"/>
          <w:sz w:val="21"/>
        </w:rPr>
        <w:t>Clinical </w:t>
      </w:r>
      <w:r>
        <w:rPr>
          <w:w w:val="105"/>
          <w:sz w:val="21"/>
        </w:rPr>
        <w:t>School, Monash </w:t>
      </w:r>
      <w:r>
        <w:rPr>
          <w:spacing w:val="-3"/>
          <w:w w:val="105"/>
          <w:sz w:val="21"/>
        </w:rPr>
        <w:t>University, </w:t>
      </w:r>
      <w:r>
        <w:rPr>
          <w:spacing w:val="-10"/>
          <w:w w:val="105"/>
          <w:sz w:val="21"/>
        </w:rPr>
        <w:t>2011)</w:t>
      </w:r>
    </w:p>
    <w:p>
      <w:pPr>
        <w:spacing w:line="242" w:lineRule="auto" w:before="123"/>
        <w:ind w:left="1587" w:right="1619" w:firstLine="0"/>
        <w:jc w:val="left"/>
        <w:rPr>
          <w:sz w:val="21"/>
        </w:rPr>
      </w:pPr>
      <w:r>
        <w:rPr>
          <w:spacing w:val="-3"/>
          <w:w w:val="105"/>
          <w:sz w:val="21"/>
        </w:rPr>
        <w:t>Klinck, Dennis </w:t>
      </w:r>
      <w:r>
        <w:rPr>
          <w:w w:val="105"/>
          <w:sz w:val="21"/>
        </w:rPr>
        <w:t>R, ‘Does the </w:t>
      </w:r>
      <w:r>
        <w:rPr>
          <w:spacing w:val="-3"/>
          <w:w w:val="105"/>
          <w:sz w:val="21"/>
        </w:rPr>
        <w:t>Presumption </w:t>
      </w:r>
      <w:r>
        <w:rPr>
          <w:w w:val="105"/>
          <w:sz w:val="21"/>
        </w:rPr>
        <w:t>of Undue Influence Arise in the Testamentary </w:t>
      </w:r>
      <w:r>
        <w:rPr>
          <w:spacing w:val="-3"/>
          <w:w w:val="105"/>
          <w:sz w:val="21"/>
        </w:rPr>
        <w:t>Context?’ </w:t>
      </w:r>
      <w:r>
        <w:rPr>
          <w:w w:val="105"/>
          <w:sz w:val="21"/>
        </w:rPr>
        <w:t>(2004–05) </w:t>
      </w:r>
      <w:r>
        <w:rPr>
          <w:spacing w:val="-5"/>
          <w:w w:val="105"/>
          <w:sz w:val="21"/>
        </w:rPr>
        <w:t>24 </w:t>
      </w:r>
      <w:r>
        <w:rPr>
          <w:i/>
          <w:w w:val="105"/>
          <w:sz w:val="21"/>
        </w:rPr>
        <w:t>Estates, </w:t>
      </w:r>
      <w:r>
        <w:rPr>
          <w:i/>
          <w:spacing w:val="-3"/>
          <w:w w:val="105"/>
          <w:sz w:val="21"/>
        </w:rPr>
        <w:t>Trusts </w:t>
      </w:r>
      <w:r>
        <w:rPr>
          <w:i/>
          <w:w w:val="105"/>
          <w:sz w:val="21"/>
        </w:rPr>
        <w:t>and </w:t>
      </w:r>
      <w:r>
        <w:rPr>
          <w:i/>
          <w:spacing w:val="-3"/>
          <w:w w:val="105"/>
          <w:sz w:val="21"/>
        </w:rPr>
        <w:t>Pensions Journal </w:t>
      </w:r>
      <w:r>
        <w:rPr>
          <w:spacing w:val="-8"/>
          <w:w w:val="105"/>
          <w:sz w:val="21"/>
        </w:rPr>
        <w:t>125</w:t>
      </w:r>
    </w:p>
    <w:p>
      <w:pPr>
        <w:pStyle w:val="BodyText"/>
        <w:spacing w:line="242" w:lineRule="auto" w:before="122"/>
        <w:ind w:left="1587" w:right="1584"/>
      </w:pPr>
      <w:r>
        <w:rPr>
          <w:w w:val="105"/>
        </w:rPr>
        <w:t>Law </w:t>
      </w:r>
      <w:r>
        <w:rPr>
          <w:spacing w:val="-3"/>
          <w:w w:val="105"/>
        </w:rPr>
        <w:t>Reform </w:t>
      </w:r>
      <w:r>
        <w:rPr>
          <w:w w:val="105"/>
        </w:rPr>
        <w:t>Advisory </w:t>
      </w:r>
      <w:r>
        <w:rPr>
          <w:spacing w:val="-3"/>
          <w:w w:val="105"/>
        </w:rPr>
        <w:t>Committee for </w:t>
      </w:r>
      <w:r>
        <w:rPr>
          <w:w w:val="105"/>
        </w:rPr>
        <w:t>Northern </w:t>
      </w:r>
      <w:r>
        <w:rPr>
          <w:spacing w:val="-3"/>
          <w:w w:val="105"/>
        </w:rPr>
        <w:t>Ireland, </w:t>
      </w:r>
      <w:r>
        <w:rPr>
          <w:i/>
          <w:w w:val="105"/>
        </w:rPr>
        <w:t>Attestation </w:t>
      </w:r>
      <w:r>
        <w:rPr>
          <w:i/>
          <w:spacing w:val="-3"/>
          <w:w w:val="105"/>
        </w:rPr>
        <w:t>of Wills</w:t>
      </w:r>
      <w:r>
        <w:rPr>
          <w:spacing w:val="-3"/>
          <w:w w:val="105"/>
        </w:rPr>
        <w:t>, </w:t>
      </w:r>
      <w:r>
        <w:rPr>
          <w:w w:val="105"/>
        </w:rPr>
        <w:t>Discussion Paper No </w:t>
      </w:r>
      <w:r>
        <w:rPr>
          <w:spacing w:val="-9"/>
          <w:w w:val="105"/>
        </w:rPr>
        <w:t>12 </w:t>
      </w:r>
      <w:r>
        <w:rPr>
          <w:w w:val="105"/>
        </w:rPr>
        <w:t>(2005)</w:t>
      </w:r>
    </w:p>
    <w:p>
      <w:pPr>
        <w:spacing w:line="242" w:lineRule="auto" w:before="122"/>
        <w:ind w:left="1587" w:right="1619" w:firstLine="0"/>
        <w:jc w:val="left"/>
        <w:rPr>
          <w:sz w:val="21"/>
        </w:rPr>
      </w:pPr>
      <w:r>
        <w:rPr>
          <w:w w:val="105"/>
          <w:sz w:val="21"/>
        </w:rPr>
        <w:t>Law </w:t>
      </w:r>
      <w:r>
        <w:rPr>
          <w:spacing w:val="-3"/>
          <w:w w:val="105"/>
          <w:sz w:val="21"/>
        </w:rPr>
        <w:t>Reform Commission </w:t>
      </w:r>
      <w:r>
        <w:rPr>
          <w:w w:val="105"/>
          <w:sz w:val="21"/>
        </w:rPr>
        <w:t>of Western </w:t>
      </w:r>
      <w:r>
        <w:rPr>
          <w:spacing w:val="-3"/>
          <w:w w:val="105"/>
          <w:sz w:val="21"/>
        </w:rPr>
        <w:t>Australia, </w:t>
      </w:r>
      <w:r>
        <w:rPr>
          <w:i/>
          <w:spacing w:val="-3"/>
          <w:w w:val="105"/>
          <w:sz w:val="21"/>
        </w:rPr>
        <w:t>Administration of </w:t>
      </w:r>
      <w:r>
        <w:rPr>
          <w:i/>
          <w:w w:val="105"/>
          <w:sz w:val="21"/>
        </w:rPr>
        <w:t>Deceased </w:t>
      </w:r>
      <w:r>
        <w:rPr>
          <w:i/>
          <w:spacing w:val="-3"/>
          <w:w w:val="105"/>
          <w:sz w:val="21"/>
        </w:rPr>
        <w:t>Insolvent Estates: </w:t>
      </w:r>
      <w:r>
        <w:rPr>
          <w:i/>
          <w:w w:val="105"/>
          <w:sz w:val="21"/>
        </w:rPr>
        <w:t>Report</w:t>
      </w:r>
      <w:r>
        <w:rPr>
          <w:w w:val="105"/>
          <w:sz w:val="21"/>
        </w:rPr>
        <w:t>, Report No 34 Part III </w:t>
      </w:r>
      <w:r>
        <w:rPr>
          <w:spacing w:val="-3"/>
          <w:w w:val="105"/>
          <w:sz w:val="21"/>
        </w:rPr>
        <w:t>(1988)</w:t>
      </w:r>
    </w:p>
    <w:p>
      <w:pPr>
        <w:spacing w:line="242" w:lineRule="auto" w:before="122"/>
        <w:ind w:left="1587" w:right="1619" w:firstLine="0"/>
        <w:jc w:val="left"/>
        <w:rPr>
          <w:sz w:val="21"/>
        </w:rPr>
      </w:pPr>
      <w:r>
        <w:rPr>
          <w:w w:val="105"/>
          <w:sz w:val="21"/>
        </w:rPr>
        <w:t>Law </w:t>
      </w:r>
      <w:r>
        <w:rPr>
          <w:spacing w:val="-3"/>
          <w:w w:val="105"/>
          <w:sz w:val="21"/>
        </w:rPr>
        <w:t>Reform Commission </w:t>
      </w:r>
      <w:r>
        <w:rPr>
          <w:w w:val="105"/>
          <w:sz w:val="21"/>
        </w:rPr>
        <w:t>of Western </w:t>
      </w:r>
      <w:r>
        <w:rPr>
          <w:spacing w:val="-3"/>
          <w:w w:val="105"/>
          <w:sz w:val="21"/>
        </w:rPr>
        <w:t>Australia, </w:t>
      </w:r>
      <w:r>
        <w:rPr>
          <w:i/>
          <w:w w:val="105"/>
          <w:sz w:val="21"/>
        </w:rPr>
        <w:t>The </w:t>
      </w:r>
      <w:r>
        <w:rPr>
          <w:i/>
          <w:spacing w:val="-3"/>
          <w:w w:val="105"/>
          <w:sz w:val="21"/>
        </w:rPr>
        <w:t>Administration of </w:t>
      </w:r>
      <w:r>
        <w:rPr>
          <w:i/>
          <w:w w:val="105"/>
          <w:sz w:val="21"/>
        </w:rPr>
        <w:t>Assets </w:t>
      </w:r>
      <w:r>
        <w:rPr>
          <w:i/>
          <w:spacing w:val="-3"/>
          <w:w w:val="105"/>
          <w:sz w:val="21"/>
        </w:rPr>
        <w:t>of </w:t>
      </w:r>
      <w:r>
        <w:rPr>
          <w:i/>
          <w:w w:val="105"/>
          <w:sz w:val="21"/>
        </w:rPr>
        <w:t>the </w:t>
      </w:r>
      <w:r>
        <w:rPr>
          <w:i/>
          <w:spacing w:val="-3"/>
          <w:w w:val="105"/>
          <w:sz w:val="21"/>
        </w:rPr>
        <w:t>Solvent </w:t>
      </w:r>
      <w:r>
        <w:rPr>
          <w:i/>
          <w:w w:val="105"/>
          <w:sz w:val="21"/>
        </w:rPr>
        <w:t>Estates </w:t>
      </w:r>
      <w:r>
        <w:rPr>
          <w:i/>
          <w:spacing w:val="-3"/>
          <w:w w:val="105"/>
          <w:sz w:val="21"/>
        </w:rPr>
        <w:t>of </w:t>
      </w:r>
      <w:r>
        <w:rPr>
          <w:i/>
          <w:w w:val="105"/>
          <w:sz w:val="21"/>
        </w:rPr>
        <w:t>Deceased Persons in the </w:t>
      </w:r>
      <w:r>
        <w:rPr>
          <w:i/>
          <w:spacing w:val="-3"/>
          <w:w w:val="105"/>
          <w:sz w:val="21"/>
        </w:rPr>
        <w:t>Payment of </w:t>
      </w:r>
      <w:r>
        <w:rPr>
          <w:i/>
          <w:w w:val="105"/>
          <w:sz w:val="21"/>
        </w:rPr>
        <w:t>Debts and Legacies: Report</w:t>
      </w:r>
      <w:r>
        <w:rPr>
          <w:w w:val="105"/>
          <w:sz w:val="21"/>
        </w:rPr>
        <w:t>, Project No 34 Part VII </w:t>
      </w:r>
      <w:r>
        <w:rPr>
          <w:spacing w:val="-3"/>
          <w:w w:val="105"/>
          <w:sz w:val="21"/>
        </w:rPr>
        <w:t>(1988)</w:t>
      </w:r>
    </w:p>
    <w:p>
      <w:pPr>
        <w:spacing w:line="355" w:lineRule="auto" w:before="123"/>
        <w:ind w:left="1587" w:right="2727" w:firstLine="0"/>
        <w:jc w:val="left"/>
        <w:rPr>
          <w:sz w:val="21"/>
        </w:rPr>
      </w:pPr>
      <w:r>
        <w:rPr>
          <w:w w:val="105"/>
          <w:sz w:val="21"/>
        </w:rPr>
        <w:t>Law </w:t>
      </w:r>
      <w:r>
        <w:rPr>
          <w:spacing w:val="-3"/>
          <w:w w:val="105"/>
          <w:sz w:val="21"/>
        </w:rPr>
        <w:t>Reform Committee, Parliament </w:t>
      </w:r>
      <w:r>
        <w:rPr>
          <w:w w:val="105"/>
          <w:sz w:val="21"/>
        </w:rPr>
        <w:t>of Victoria, </w:t>
      </w:r>
      <w:r>
        <w:rPr>
          <w:i/>
          <w:spacing w:val="-3"/>
          <w:w w:val="105"/>
          <w:sz w:val="21"/>
        </w:rPr>
        <w:t>Reforming </w:t>
      </w:r>
      <w:r>
        <w:rPr>
          <w:i/>
          <w:w w:val="105"/>
          <w:sz w:val="21"/>
        </w:rPr>
        <w:t>the Law </w:t>
      </w:r>
      <w:r>
        <w:rPr>
          <w:i/>
          <w:spacing w:val="-3"/>
          <w:w w:val="105"/>
          <w:sz w:val="21"/>
        </w:rPr>
        <w:t>of </w:t>
      </w:r>
      <w:r>
        <w:rPr>
          <w:i/>
          <w:w w:val="105"/>
          <w:sz w:val="21"/>
        </w:rPr>
        <w:t>Wills </w:t>
      </w:r>
      <w:r>
        <w:rPr>
          <w:spacing w:val="-3"/>
          <w:w w:val="105"/>
          <w:sz w:val="21"/>
        </w:rPr>
        <w:t>(1994)  </w:t>
      </w:r>
      <w:r>
        <w:rPr>
          <w:w w:val="105"/>
          <w:sz w:val="21"/>
        </w:rPr>
        <w:t>Law </w:t>
      </w:r>
      <w:r>
        <w:rPr>
          <w:spacing w:val="-3"/>
          <w:w w:val="105"/>
          <w:sz w:val="21"/>
        </w:rPr>
        <w:t>Reform Committee, Parliament </w:t>
      </w:r>
      <w:r>
        <w:rPr>
          <w:w w:val="105"/>
          <w:sz w:val="21"/>
        </w:rPr>
        <w:t>of Victoria, </w:t>
      </w:r>
      <w:r>
        <w:rPr>
          <w:i/>
          <w:w w:val="105"/>
          <w:sz w:val="21"/>
        </w:rPr>
        <w:t>Inquiry </w:t>
      </w:r>
      <w:r>
        <w:rPr>
          <w:i/>
          <w:spacing w:val="-3"/>
          <w:w w:val="105"/>
          <w:sz w:val="21"/>
        </w:rPr>
        <w:t>into </w:t>
      </w:r>
      <w:r>
        <w:rPr>
          <w:i/>
          <w:w w:val="105"/>
          <w:sz w:val="21"/>
        </w:rPr>
        <w:t>Powers </w:t>
      </w:r>
      <w:r>
        <w:rPr>
          <w:i/>
          <w:spacing w:val="-3"/>
          <w:w w:val="105"/>
          <w:sz w:val="21"/>
        </w:rPr>
        <w:t>of </w:t>
      </w:r>
      <w:r>
        <w:rPr>
          <w:i/>
          <w:w w:val="105"/>
          <w:sz w:val="21"/>
        </w:rPr>
        <w:t>Attorney</w:t>
      </w:r>
      <w:r>
        <w:rPr>
          <w:i/>
          <w:spacing w:val="-12"/>
          <w:w w:val="105"/>
          <w:sz w:val="21"/>
        </w:rPr>
        <w:t> </w:t>
      </w:r>
      <w:r>
        <w:rPr>
          <w:spacing w:val="-4"/>
          <w:w w:val="105"/>
          <w:sz w:val="21"/>
        </w:rPr>
        <w:t>(2010)</w:t>
      </w:r>
    </w:p>
    <w:p>
      <w:pPr>
        <w:spacing w:line="242" w:lineRule="auto" w:before="1"/>
        <w:ind w:left="1587" w:right="1619" w:firstLine="0"/>
        <w:jc w:val="left"/>
        <w:rPr>
          <w:sz w:val="21"/>
        </w:rPr>
      </w:pPr>
      <w:r>
        <w:rPr>
          <w:w w:val="105"/>
          <w:sz w:val="21"/>
        </w:rPr>
        <w:t>Law Society of New South Wales, </w:t>
      </w:r>
      <w:r>
        <w:rPr>
          <w:i/>
          <w:w w:val="105"/>
          <w:sz w:val="21"/>
        </w:rPr>
        <w:t>When a Client’s Capacity is in Doubt: A Practical Guide for </w:t>
      </w:r>
      <w:r>
        <w:rPr>
          <w:i/>
          <w:w w:val="105"/>
          <w:sz w:val="21"/>
        </w:rPr>
        <w:t>Solicitors </w:t>
      </w:r>
      <w:r>
        <w:rPr>
          <w:w w:val="105"/>
          <w:sz w:val="21"/>
        </w:rPr>
        <w:t>(2009)</w:t>
      </w:r>
    </w:p>
    <w:p>
      <w:pPr>
        <w:spacing w:line="242" w:lineRule="auto" w:before="122"/>
        <w:ind w:left="1587" w:right="1957" w:firstLine="0"/>
        <w:jc w:val="left"/>
        <w:rPr>
          <w:sz w:val="21"/>
        </w:rPr>
      </w:pPr>
      <w:r>
        <w:rPr>
          <w:w w:val="105"/>
          <w:sz w:val="21"/>
        </w:rPr>
        <w:t>Legal Practitioners’ Liability </w:t>
      </w:r>
      <w:r>
        <w:rPr>
          <w:spacing w:val="-3"/>
          <w:w w:val="105"/>
          <w:sz w:val="21"/>
        </w:rPr>
        <w:t>Committee, </w:t>
      </w:r>
      <w:r>
        <w:rPr>
          <w:w w:val="105"/>
          <w:sz w:val="21"/>
        </w:rPr>
        <w:t>‘Five </w:t>
      </w:r>
      <w:r>
        <w:rPr>
          <w:spacing w:val="-3"/>
          <w:w w:val="105"/>
          <w:sz w:val="21"/>
        </w:rPr>
        <w:t>Sins </w:t>
      </w:r>
      <w:r>
        <w:rPr>
          <w:w w:val="105"/>
          <w:sz w:val="21"/>
        </w:rPr>
        <w:t>of </w:t>
      </w:r>
      <w:r>
        <w:rPr>
          <w:spacing w:val="-3"/>
          <w:w w:val="105"/>
          <w:sz w:val="21"/>
        </w:rPr>
        <w:t>Administration’ (2007) </w:t>
      </w:r>
      <w:r>
        <w:rPr>
          <w:w w:val="105"/>
          <w:sz w:val="21"/>
        </w:rPr>
        <w:t>81(4) </w:t>
      </w:r>
      <w:r>
        <w:rPr>
          <w:i/>
          <w:w w:val="105"/>
          <w:sz w:val="21"/>
        </w:rPr>
        <w:t>Law Institute </w:t>
      </w:r>
      <w:r>
        <w:rPr>
          <w:i/>
          <w:w w:val="105"/>
          <w:sz w:val="21"/>
        </w:rPr>
        <w:t>Journal </w:t>
      </w:r>
      <w:r>
        <w:rPr>
          <w:w w:val="105"/>
          <w:sz w:val="21"/>
        </w:rPr>
        <w:t>88</w:t>
      </w:r>
    </w:p>
    <w:p>
      <w:pPr>
        <w:spacing w:before="122"/>
        <w:ind w:left="1587" w:right="0" w:firstLine="0"/>
        <w:jc w:val="left"/>
        <w:rPr>
          <w:sz w:val="21"/>
        </w:rPr>
      </w:pPr>
      <w:r>
        <w:rPr>
          <w:sz w:val="21"/>
        </w:rPr>
        <w:t>Legal Practitioners’ Liability Committee, ‘All in the Family’ (2007) 81(5) </w:t>
      </w:r>
      <w:r>
        <w:rPr>
          <w:i/>
          <w:sz w:val="21"/>
        </w:rPr>
        <w:t>Law Institute Journal </w:t>
      </w:r>
      <w:r>
        <w:rPr>
          <w:sz w:val="21"/>
        </w:rPr>
        <w:t>78</w:t>
      </w:r>
    </w:p>
    <w:p>
      <w:pPr>
        <w:pStyle w:val="BodyText"/>
        <w:spacing w:line="242" w:lineRule="auto" w:before="124"/>
        <w:ind w:left="1587" w:right="1619"/>
      </w:pPr>
      <w:r>
        <w:rPr/>
        <w:t>Legal Practitioners’ Liability Committee, ‘Where There’s a Will There’s Affray’ (2011) 85(10) </w:t>
      </w:r>
      <w:r>
        <w:rPr>
          <w:i/>
        </w:rPr>
        <w:t>Law </w:t>
      </w:r>
      <w:r>
        <w:rPr>
          <w:i/>
        </w:rPr>
        <w:t>Institute Journal </w:t>
      </w:r>
      <w:r>
        <w:rPr/>
        <w:t>82</w:t>
      </w:r>
    </w:p>
    <w:p>
      <w:pPr>
        <w:spacing w:line="242" w:lineRule="auto" w:before="122"/>
        <w:ind w:left="1587" w:right="1619" w:firstLine="0"/>
        <w:jc w:val="left"/>
        <w:rPr>
          <w:sz w:val="21"/>
        </w:rPr>
      </w:pPr>
      <w:r>
        <w:rPr>
          <w:w w:val="105"/>
          <w:sz w:val="21"/>
        </w:rPr>
        <w:t>Legg, Michael and Dorne </w:t>
      </w:r>
      <w:r>
        <w:rPr>
          <w:spacing w:val="-4"/>
          <w:w w:val="105"/>
          <w:sz w:val="21"/>
        </w:rPr>
        <w:t>Boniface, </w:t>
      </w:r>
      <w:r>
        <w:rPr>
          <w:w w:val="105"/>
          <w:sz w:val="21"/>
        </w:rPr>
        <w:t>‘Pre-action </w:t>
      </w:r>
      <w:r>
        <w:rPr>
          <w:spacing w:val="-3"/>
          <w:w w:val="105"/>
          <w:sz w:val="21"/>
        </w:rPr>
        <w:t>Protocols </w:t>
      </w:r>
      <w:r>
        <w:rPr>
          <w:w w:val="105"/>
          <w:sz w:val="21"/>
        </w:rPr>
        <w:t>in </w:t>
      </w:r>
      <w:r>
        <w:rPr>
          <w:spacing w:val="-3"/>
          <w:w w:val="105"/>
          <w:sz w:val="21"/>
        </w:rPr>
        <w:t>Australia’ </w:t>
      </w:r>
      <w:r>
        <w:rPr>
          <w:spacing w:val="-4"/>
          <w:w w:val="105"/>
          <w:sz w:val="21"/>
        </w:rPr>
        <w:t>(2010) </w:t>
      </w:r>
      <w:r>
        <w:rPr>
          <w:spacing w:val="-3"/>
          <w:w w:val="105"/>
          <w:sz w:val="21"/>
        </w:rPr>
        <w:t>20 </w:t>
      </w:r>
      <w:r>
        <w:rPr>
          <w:i/>
          <w:spacing w:val="-3"/>
          <w:w w:val="105"/>
          <w:sz w:val="21"/>
        </w:rPr>
        <w:t>Journal of Judicial </w:t>
      </w:r>
      <w:r>
        <w:rPr>
          <w:i/>
          <w:spacing w:val="-3"/>
          <w:w w:val="105"/>
          <w:sz w:val="21"/>
        </w:rPr>
        <w:t>Administration </w:t>
      </w:r>
      <w:r>
        <w:rPr>
          <w:w w:val="105"/>
          <w:sz w:val="21"/>
        </w:rPr>
        <w:t>39</w:t>
      </w:r>
    </w:p>
    <w:p>
      <w:pPr>
        <w:pStyle w:val="BodyText"/>
        <w:spacing w:line="242" w:lineRule="auto" w:before="123"/>
        <w:ind w:left="1587" w:right="2042"/>
      </w:pPr>
      <w:r>
        <w:rPr>
          <w:w w:val="105"/>
        </w:rPr>
        <w:t>Lundwall, Mary, ‘The Case Against the Ademption by Extinction Rule: A Proposal for Reform’ (1993–94) 29 </w:t>
      </w:r>
      <w:r>
        <w:rPr>
          <w:i/>
          <w:w w:val="105"/>
        </w:rPr>
        <w:t>Gonzaga Law Review </w:t>
      </w:r>
      <w:r>
        <w:rPr>
          <w:w w:val="105"/>
        </w:rPr>
        <w:t>105</w:t>
      </w:r>
    </w:p>
    <w:p>
      <w:pPr>
        <w:pStyle w:val="BodyText"/>
        <w:spacing w:before="122"/>
        <w:ind w:left="1587"/>
      </w:pPr>
      <w:r>
        <w:rPr>
          <w:w w:val="105"/>
        </w:rPr>
        <w:t>Mackie, Ken, ‘The Forfeiture Rule: The Destination of Property Interests on Homicide’ (1997) 2</w:t>
      </w:r>
    </w:p>
    <w:p>
      <w:pPr>
        <w:spacing w:before="4"/>
        <w:ind w:left="1587" w:right="0" w:firstLine="0"/>
        <w:jc w:val="left"/>
        <w:rPr>
          <w:sz w:val="21"/>
        </w:rPr>
      </w:pPr>
      <w:r>
        <w:rPr>
          <w:i/>
          <w:w w:val="105"/>
          <w:sz w:val="21"/>
        </w:rPr>
        <w:t>Newcastle Law Review </w:t>
      </w:r>
      <w:r>
        <w:rPr>
          <w:w w:val="105"/>
          <w:sz w:val="21"/>
        </w:rPr>
        <w:t>30</w:t>
      </w:r>
    </w:p>
    <w:p>
      <w:pPr>
        <w:spacing w:before="162"/>
        <w:ind w:left="0" w:right="602" w:firstLine="0"/>
        <w:jc w:val="right"/>
        <w:rPr>
          <w:b/>
          <w:sz w:val="24"/>
        </w:rPr>
      </w:pPr>
      <w:r>
        <w:rPr>
          <w:b/>
          <w:color w:val="EC5A4F"/>
          <w:w w:val="110"/>
          <w:sz w:val="24"/>
        </w:rPr>
        <w:t>221</w:t>
      </w:r>
    </w:p>
    <w:p>
      <w:pPr>
        <w:spacing w:after="0"/>
        <w:jc w:val="right"/>
        <w:rPr>
          <w:sz w:val="24"/>
        </w:rPr>
        <w:sectPr>
          <w:pgSz w:w="11910" w:h="16840"/>
          <w:pgMar w:header="567" w:footer="0" w:top="1580" w:bottom="280" w:left="0" w:right="0"/>
        </w:sectPr>
      </w:pPr>
    </w:p>
    <w:p>
      <w:pPr>
        <w:pStyle w:val="BodyText"/>
        <w:spacing w:before="5"/>
        <w:rPr>
          <w:b/>
          <w:sz w:val="20"/>
        </w:rPr>
      </w:pPr>
    </w:p>
    <w:p>
      <w:pPr>
        <w:spacing w:after="0"/>
        <w:rPr>
          <w:sz w:val="20"/>
        </w:rPr>
        <w:sectPr>
          <w:pgSz w:w="11910" w:h="16840"/>
          <w:pgMar w:header="550" w:footer="0" w:top="1560" w:bottom="280" w:left="0" w:right="0"/>
        </w:sect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spacing w:before="222"/>
        <w:ind w:left="720" w:right="0" w:firstLine="0"/>
        <w:jc w:val="left"/>
        <w:rPr>
          <w:b/>
          <w:sz w:val="24"/>
        </w:rPr>
      </w:pPr>
      <w:r>
        <w:rPr>
          <w:b/>
          <w:color w:val="EC5A4F"/>
          <w:w w:val="105"/>
          <w:sz w:val="24"/>
        </w:rPr>
        <w:t>222</w:t>
      </w:r>
    </w:p>
    <w:p>
      <w:pPr>
        <w:pStyle w:val="BodyText"/>
        <w:spacing w:line="242" w:lineRule="auto" w:before="92"/>
        <w:ind w:left="427" w:right="1572"/>
      </w:pPr>
      <w:r>
        <w:rPr/>
        <w:br w:type="column"/>
      </w:r>
      <w:r>
        <w:rPr>
          <w:spacing w:val="-5"/>
          <w:w w:val="105"/>
        </w:rPr>
        <w:t>Maier, </w:t>
      </w:r>
      <w:r>
        <w:rPr>
          <w:w w:val="105"/>
        </w:rPr>
        <w:t>Mark, ‘Part IV Mediations-Positioning </w:t>
      </w:r>
      <w:r>
        <w:rPr>
          <w:spacing w:val="-3"/>
          <w:w w:val="105"/>
        </w:rPr>
        <w:t>to Win’ </w:t>
      </w:r>
      <w:r>
        <w:rPr>
          <w:w w:val="105"/>
        </w:rPr>
        <w:t>(Paper at the </w:t>
      </w:r>
      <w:r>
        <w:rPr>
          <w:spacing w:val="-11"/>
          <w:w w:val="105"/>
        </w:rPr>
        <w:t>11th </w:t>
      </w:r>
      <w:r>
        <w:rPr>
          <w:spacing w:val="-3"/>
          <w:w w:val="105"/>
        </w:rPr>
        <w:t>Annual Wills </w:t>
      </w:r>
      <w:r>
        <w:rPr>
          <w:w w:val="105"/>
        </w:rPr>
        <w:t>and </w:t>
      </w:r>
      <w:r>
        <w:rPr>
          <w:spacing w:val="-3"/>
          <w:w w:val="105"/>
        </w:rPr>
        <w:t>Probate </w:t>
      </w:r>
      <w:r>
        <w:rPr>
          <w:spacing w:val="-4"/>
          <w:w w:val="105"/>
        </w:rPr>
        <w:t>Conference, </w:t>
      </w:r>
      <w:r>
        <w:rPr>
          <w:spacing w:val="-3"/>
          <w:w w:val="105"/>
        </w:rPr>
        <w:t>Melbourne, </w:t>
      </w:r>
      <w:r>
        <w:rPr>
          <w:spacing w:val="-4"/>
          <w:w w:val="105"/>
        </w:rPr>
        <w:t>26 </w:t>
      </w:r>
      <w:r>
        <w:rPr>
          <w:w w:val="105"/>
        </w:rPr>
        <w:t>April 2004)</w:t>
      </w:r>
    </w:p>
    <w:p>
      <w:pPr>
        <w:pStyle w:val="BodyText"/>
        <w:spacing w:line="242" w:lineRule="auto" w:before="122"/>
        <w:ind w:left="427" w:right="1572"/>
      </w:pPr>
      <w:r>
        <w:rPr>
          <w:w w:val="105"/>
        </w:rPr>
        <w:t>Marson, </w:t>
      </w:r>
      <w:r>
        <w:rPr>
          <w:spacing w:val="-3"/>
          <w:w w:val="105"/>
        </w:rPr>
        <w:t>Daniel </w:t>
      </w:r>
      <w:r>
        <w:rPr>
          <w:spacing w:val="-5"/>
          <w:w w:val="105"/>
        </w:rPr>
        <w:t>C, </w:t>
      </w:r>
      <w:r>
        <w:rPr>
          <w:w w:val="105"/>
        </w:rPr>
        <w:t>Justin S </w:t>
      </w:r>
      <w:r>
        <w:rPr>
          <w:spacing w:val="-3"/>
          <w:w w:val="105"/>
        </w:rPr>
        <w:t>Huthwaite </w:t>
      </w:r>
      <w:r>
        <w:rPr>
          <w:w w:val="105"/>
        </w:rPr>
        <w:t>and </w:t>
      </w:r>
      <w:r>
        <w:rPr>
          <w:spacing w:val="-3"/>
          <w:w w:val="105"/>
        </w:rPr>
        <w:t>Katina </w:t>
      </w:r>
      <w:r>
        <w:rPr>
          <w:w w:val="105"/>
        </w:rPr>
        <w:t>Herbert, ‘Testamentary Capacity and </w:t>
      </w:r>
      <w:r>
        <w:rPr>
          <w:spacing w:val="-3"/>
          <w:w w:val="105"/>
        </w:rPr>
        <w:t>Undue </w:t>
      </w:r>
      <w:r>
        <w:rPr>
          <w:w w:val="105"/>
        </w:rPr>
        <w:t>Influence</w:t>
      </w:r>
      <w:r>
        <w:rPr>
          <w:spacing w:val="-11"/>
          <w:w w:val="105"/>
        </w:rPr>
        <w:t> </w:t>
      </w:r>
      <w:r>
        <w:rPr>
          <w:w w:val="105"/>
        </w:rPr>
        <w:t>in</w:t>
      </w:r>
      <w:r>
        <w:rPr>
          <w:spacing w:val="-11"/>
          <w:w w:val="105"/>
        </w:rPr>
        <w:t> </w:t>
      </w:r>
      <w:r>
        <w:rPr>
          <w:w w:val="105"/>
        </w:rPr>
        <w:t>the</w:t>
      </w:r>
      <w:r>
        <w:rPr>
          <w:spacing w:val="-11"/>
          <w:w w:val="105"/>
        </w:rPr>
        <w:t> </w:t>
      </w:r>
      <w:r>
        <w:rPr>
          <w:w w:val="105"/>
        </w:rPr>
        <w:t>Elderly:</w:t>
      </w:r>
      <w:r>
        <w:rPr>
          <w:spacing w:val="-10"/>
          <w:w w:val="105"/>
        </w:rPr>
        <w:t> </w:t>
      </w:r>
      <w:r>
        <w:rPr>
          <w:w w:val="105"/>
        </w:rPr>
        <w:t>A</w:t>
      </w:r>
      <w:r>
        <w:rPr>
          <w:spacing w:val="-11"/>
          <w:w w:val="105"/>
        </w:rPr>
        <w:t> </w:t>
      </w:r>
      <w:r>
        <w:rPr>
          <w:spacing w:val="-3"/>
          <w:w w:val="105"/>
        </w:rPr>
        <w:t>Jurisprudent</w:t>
      </w:r>
      <w:r>
        <w:rPr>
          <w:spacing w:val="-11"/>
          <w:w w:val="105"/>
        </w:rPr>
        <w:t> </w:t>
      </w:r>
      <w:r>
        <w:rPr>
          <w:w w:val="105"/>
        </w:rPr>
        <w:t>Therapy</w:t>
      </w:r>
      <w:r>
        <w:rPr>
          <w:spacing w:val="-11"/>
          <w:w w:val="105"/>
        </w:rPr>
        <w:t> </w:t>
      </w:r>
      <w:r>
        <w:rPr>
          <w:w w:val="105"/>
        </w:rPr>
        <w:t>Perspective’</w:t>
      </w:r>
      <w:r>
        <w:rPr>
          <w:spacing w:val="-10"/>
          <w:w w:val="105"/>
        </w:rPr>
        <w:t> </w:t>
      </w:r>
      <w:r>
        <w:rPr>
          <w:w w:val="105"/>
        </w:rPr>
        <w:t>(2004)</w:t>
      </w:r>
      <w:r>
        <w:rPr>
          <w:spacing w:val="-11"/>
          <w:w w:val="105"/>
        </w:rPr>
        <w:t> </w:t>
      </w:r>
      <w:r>
        <w:rPr>
          <w:spacing w:val="-3"/>
          <w:w w:val="105"/>
        </w:rPr>
        <w:t>28</w:t>
      </w:r>
      <w:r>
        <w:rPr>
          <w:spacing w:val="-11"/>
          <w:w w:val="105"/>
        </w:rPr>
        <w:t> </w:t>
      </w:r>
      <w:r>
        <w:rPr>
          <w:i/>
          <w:w w:val="105"/>
        </w:rPr>
        <w:t>Law</w:t>
      </w:r>
      <w:r>
        <w:rPr>
          <w:i/>
          <w:spacing w:val="-11"/>
          <w:w w:val="105"/>
        </w:rPr>
        <w:t> </w:t>
      </w:r>
      <w:r>
        <w:rPr>
          <w:i/>
          <w:w w:val="105"/>
        </w:rPr>
        <w:t>and</w:t>
      </w:r>
      <w:r>
        <w:rPr>
          <w:i/>
          <w:spacing w:val="-10"/>
          <w:w w:val="105"/>
        </w:rPr>
        <w:t> </w:t>
      </w:r>
      <w:r>
        <w:rPr>
          <w:i/>
          <w:w w:val="105"/>
        </w:rPr>
        <w:t>Psychology</w:t>
      </w:r>
      <w:r>
        <w:rPr>
          <w:i/>
          <w:spacing w:val="-11"/>
          <w:w w:val="105"/>
        </w:rPr>
        <w:t> </w:t>
      </w:r>
      <w:r>
        <w:rPr>
          <w:i/>
          <w:w w:val="105"/>
        </w:rPr>
        <w:t>Review </w:t>
      </w:r>
      <w:r>
        <w:rPr>
          <w:spacing w:val="-12"/>
          <w:w w:val="105"/>
        </w:rPr>
        <w:t>71</w:t>
      </w:r>
    </w:p>
    <w:p>
      <w:pPr>
        <w:pStyle w:val="BodyText"/>
        <w:spacing w:line="242" w:lineRule="auto" w:before="123"/>
        <w:ind w:left="427" w:right="1882"/>
      </w:pPr>
      <w:r>
        <w:rPr>
          <w:spacing w:val="-4"/>
          <w:w w:val="105"/>
        </w:rPr>
        <w:t>McConvill, </w:t>
      </w:r>
      <w:r>
        <w:rPr>
          <w:w w:val="105"/>
        </w:rPr>
        <w:t>James and Victoria Lambropoulos, </w:t>
      </w:r>
      <w:r>
        <w:rPr>
          <w:spacing w:val="-9"/>
          <w:w w:val="105"/>
        </w:rPr>
        <w:t>‘A </w:t>
      </w:r>
      <w:r>
        <w:rPr>
          <w:w w:val="105"/>
        </w:rPr>
        <w:t>Moral Duty </w:t>
      </w:r>
      <w:r>
        <w:rPr>
          <w:spacing w:val="-3"/>
          <w:w w:val="105"/>
        </w:rPr>
        <w:t>to </w:t>
      </w:r>
      <w:r>
        <w:rPr>
          <w:w w:val="105"/>
        </w:rPr>
        <w:t>Resolve: </w:t>
      </w:r>
      <w:r>
        <w:rPr>
          <w:spacing w:val="-3"/>
          <w:w w:val="105"/>
        </w:rPr>
        <w:t>Making </w:t>
      </w:r>
      <w:r>
        <w:rPr>
          <w:w w:val="105"/>
        </w:rPr>
        <w:t>Sense of </w:t>
      </w:r>
      <w:r>
        <w:rPr>
          <w:spacing w:val="-4"/>
          <w:w w:val="105"/>
        </w:rPr>
        <w:t>Family </w:t>
      </w:r>
      <w:r>
        <w:rPr>
          <w:spacing w:val="-3"/>
          <w:w w:val="105"/>
        </w:rPr>
        <w:t>Provision </w:t>
      </w:r>
      <w:r>
        <w:rPr>
          <w:w w:val="105"/>
        </w:rPr>
        <w:t>in Victoria’ (2005) </w:t>
      </w:r>
      <w:r>
        <w:rPr>
          <w:spacing w:val="-4"/>
          <w:w w:val="105"/>
        </w:rPr>
        <w:t>79(12) </w:t>
      </w:r>
      <w:r>
        <w:rPr>
          <w:i/>
          <w:w w:val="105"/>
        </w:rPr>
        <w:t>Law Institute </w:t>
      </w:r>
      <w:r>
        <w:rPr>
          <w:i/>
          <w:spacing w:val="-3"/>
          <w:w w:val="105"/>
        </w:rPr>
        <w:t>Journal </w:t>
      </w:r>
      <w:r>
        <w:rPr>
          <w:w w:val="105"/>
        </w:rPr>
        <w:t>38</w:t>
      </w:r>
    </w:p>
    <w:p>
      <w:pPr>
        <w:pStyle w:val="BodyText"/>
        <w:spacing w:before="123"/>
        <w:ind w:left="427"/>
      </w:pPr>
      <w:r>
        <w:rPr>
          <w:w w:val="105"/>
        </w:rPr>
        <w:t>McGowan, Philip, ‘Recent Amendments to the Succession Laws in New South Wales’ (2010) 6</w:t>
      </w:r>
    </w:p>
    <w:p>
      <w:pPr>
        <w:spacing w:before="3"/>
        <w:ind w:left="427" w:right="0" w:firstLine="0"/>
        <w:jc w:val="left"/>
        <w:rPr>
          <w:sz w:val="21"/>
        </w:rPr>
      </w:pPr>
      <w:r>
        <w:rPr>
          <w:i/>
          <w:w w:val="105"/>
          <w:sz w:val="21"/>
        </w:rPr>
        <w:t>Elder Law Review </w:t>
      </w:r>
      <w:r>
        <w:rPr>
          <w:w w:val="105"/>
          <w:sz w:val="21"/>
        </w:rPr>
        <w:t>1</w:t>
      </w:r>
    </w:p>
    <w:p>
      <w:pPr>
        <w:pStyle w:val="BodyText"/>
        <w:spacing w:line="242" w:lineRule="auto" w:before="124"/>
        <w:ind w:left="427" w:right="1572"/>
      </w:pPr>
      <w:r>
        <w:rPr>
          <w:w w:val="105"/>
        </w:rPr>
        <w:t>McGregor-Lowndes, Myles and </w:t>
      </w:r>
      <w:r>
        <w:rPr>
          <w:spacing w:val="-3"/>
          <w:w w:val="105"/>
        </w:rPr>
        <w:t>Frances Hannah, ‘Reforming Australian </w:t>
      </w:r>
      <w:r>
        <w:rPr>
          <w:w w:val="105"/>
        </w:rPr>
        <w:t>Inheritance Law: </w:t>
      </w:r>
      <w:r>
        <w:rPr>
          <w:spacing w:val="-4"/>
          <w:w w:val="105"/>
        </w:rPr>
        <w:t>Tyrannical </w:t>
      </w:r>
      <w:r>
        <w:rPr>
          <w:spacing w:val="-3"/>
          <w:w w:val="105"/>
        </w:rPr>
        <w:t>Testators </w:t>
      </w:r>
      <w:r>
        <w:rPr>
          <w:w w:val="105"/>
        </w:rPr>
        <w:t>vs </w:t>
      </w:r>
      <w:r>
        <w:rPr>
          <w:spacing w:val="-3"/>
          <w:w w:val="105"/>
        </w:rPr>
        <w:t>Greying </w:t>
      </w:r>
      <w:r>
        <w:rPr>
          <w:w w:val="105"/>
        </w:rPr>
        <w:t>Heirs?’ (2009) </w:t>
      </w:r>
      <w:r>
        <w:rPr>
          <w:spacing w:val="-9"/>
          <w:w w:val="105"/>
        </w:rPr>
        <w:t>17 </w:t>
      </w:r>
      <w:r>
        <w:rPr>
          <w:i/>
          <w:spacing w:val="-3"/>
          <w:w w:val="105"/>
        </w:rPr>
        <w:t>Australian </w:t>
      </w:r>
      <w:r>
        <w:rPr>
          <w:i/>
          <w:w w:val="105"/>
        </w:rPr>
        <w:t>Property Law </w:t>
      </w:r>
      <w:r>
        <w:rPr>
          <w:i/>
          <w:spacing w:val="-3"/>
          <w:w w:val="105"/>
        </w:rPr>
        <w:t>Journal </w:t>
      </w:r>
      <w:r>
        <w:rPr>
          <w:spacing w:val="-4"/>
          <w:w w:val="105"/>
        </w:rPr>
        <w:t>62</w:t>
      </w:r>
    </w:p>
    <w:p>
      <w:pPr>
        <w:pStyle w:val="BodyText"/>
        <w:spacing w:line="242" w:lineRule="auto" w:before="122"/>
        <w:ind w:left="427" w:right="1882"/>
      </w:pPr>
      <w:r>
        <w:rPr>
          <w:spacing w:val="-3"/>
          <w:w w:val="105"/>
        </w:rPr>
        <w:t>McMillan, </w:t>
      </w:r>
      <w:r>
        <w:rPr>
          <w:spacing w:val="-4"/>
          <w:w w:val="105"/>
        </w:rPr>
        <w:t>Jennifer, </w:t>
      </w:r>
      <w:r>
        <w:rPr>
          <w:w w:val="105"/>
        </w:rPr>
        <w:t>‘New </w:t>
      </w:r>
      <w:r>
        <w:rPr>
          <w:spacing w:val="-3"/>
          <w:w w:val="105"/>
        </w:rPr>
        <w:t>Probate </w:t>
      </w:r>
      <w:r>
        <w:rPr>
          <w:w w:val="105"/>
        </w:rPr>
        <w:t>Rules and Forms Include Major </w:t>
      </w:r>
      <w:r>
        <w:rPr>
          <w:spacing w:val="-4"/>
          <w:w w:val="105"/>
        </w:rPr>
        <w:t>Changes’ </w:t>
      </w:r>
      <w:r>
        <w:rPr>
          <w:spacing w:val="-6"/>
          <w:w w:val="105"/>
        </w:rPr>
        <w:t>(2013) </w:t>
      </w:r>
      <w:r>
        <w:rPr>
          <w:spacing w:val="-5"/>
          <w:w w:val="105"/>
        </w:rPr>
        <w:t>51(2) </w:t>
      </w:r>
      <w:r>
        <w:rPr>
          <w:i/>
          <w:w w:val="105"/>
        </w:rPr>
        <w:t>Law </w:t>
      </w:r>
      <w:r>
        <w:rPr>
          <w:i/>
          <w:w w:val="105"/>
        </w:rPr>
        <w:t>Society </w:t>
      </w:r>
      <w:r>
        <w:rPr>
          <w:i/>
          <w:spacing w:val="-3"/>
          <w:w w:val="105"/>
        </w:rPr>
        <w:t>Journal </w:t>
      </w:r>
      <w:r>
        <w:rPr>
          <w:w w:val="105"/>
        </w:rPr>
        <w:t>38</w:t>
      </w:r>
    </w:p>
    <w:p>
      <w:pPr>
        <w:spacing w:line="242" w:lineRule="auto" w:before="122"/>
        <w:ind w:left="427" w:right="2218" w:firstLine="0"/>
        <w:jc w:val="left"/>
        <w:rPr>
          <w:sz w:val="21"/>
        </w:rPr>
      </w:pPr>
      <w:r>
        <w:rPr>
          <w:w w:val="105"/>
          <w:sz w:val="21"/>
        </w:rPr>
        <w:t>Meagher, R P, J D Heydon and M J Leeming, </w:t>
      </w:r>
      <w:r>
        <w:rPr>
          <w:i/>
          <w:w w:val="105"/>
          <w:sz w:val="21"/>
        </w:rPr>
        <w:t>Equity, Doctrines and Remedies </w:t>
      </w:r>
      <w:r>
        <w:rPr>
          <w:w w:val="105"/>
          <w:sz w:val="21"/>
        </w:rPr>
        <w:t>(Butterworths LexisNexis, 2002)</w:t>
      </w:r>
    </w:p>
    <w:p>
      <w:pPr>
        <w:pStyle w:val="BodyText"/>
        <w:spacing w:line="242" w:lineRule="auto" w:before="123"/>
        <w:ind w:left="427" w:right="1727"/>
      </w:pPr>
      <w:r>
        <w:rPr>
          <w:w w:val="105"/>
        </w:rPr>
        <w:t>Meek, Michael and </w:t>
      </w:r>
      <w:r>
        <w:rPr>
          <w:spacing w:val="-2"/>
          <w:w w:val="105"/>
        </w:rPr>
        <w:t>Ramena </w:t>
      </w:r>
      <w:r>
        <w:rPr>
          <w:spacing w:val="-4"/>
          <w:w w:val="105"/>
        </w:rPr>
        <w:t>Kako, </w:t>
      </w:r>
      <w:r>
        <w:rPr>
          <w:w w:val="105"/>
        </w:rPr>
        <w:t>‘First </w:t>
      </w:r>
      <w:r>
        <w:rPr>
          <w:spacing w:val="-3"/>
          <w:w w:val="105"/>
        </w:rPr>
        <w:t>Statutory Wills </w:t>
      </w:r>
      <w:r>
        <w:rPr>
          <w:w w:val="105"/>
        </w:rPr>
        <w:t>Decision under the </w:t>
      </w:r>
      <w:r>
        <w:rPr>
          <w:spacing w:val="-3"/>
          <w:w w:val="105"/>
        </w:rPr>
        <w:t>Succession </w:t>
      </w:r>
      <w:r>
        <w:rPr>
          <w:w w:val="105"/>
        </w:rPr>
        <w:t>Act’ (2009) </w:t>
      </w:r>
      <w:r>
        <w:rPr>
          <w:spacing w:val="-3"/>
          <w:w w:val="105"/>
        </w:rPr>
        <w:t>47(7) </w:t>
      </w:r>
      <w:r>
        <w:rPr>
          <w:i/>
          <w:w w:val="105"/>
        </w:rPr>
        <w:t>Law Society </w:t>
      </w:r>
      <w:r>
        <w:rPr>
          <w:i/>
          <w:spacing w:val="-3"/>
          <w:w w:val="105"/>
        </w:rPr>
        <w:t>Journal </w:t>
      </w:r>
      <w:r>
        <w:rPr>
          <w:spacing w:val="3"/>
          <w:w w:val="105"/>
        </w:rPr>
        <w:t>64</w:t>
      </w:r>
    </w:p>
    <w:p>
      <w:pPr>
        <w:pStyle w:val="BodyText"/>
        <w:spacing w:line="242" w:lineRule="auto" w:before="122"/>
        <w:ind w:left="427" w:right="1572"/>
      </w:pPr>
      <w:r>
        <w:rPr/>
        <w:t>Meredith, John ‘Miami Advice or California Dreaming: A Statutory Presumption of Testamentary Undue Influence in Australia?’ (2011) 31 </w:t>
      </w:r>
      <w:r>
        <w:rPr>
          <w:i/>
        </w:rPr>
        <w:t>Queensland Lawyer </w:t>
      </w:r>
      <w:r>
        <w:rPr/>
        <w:t>170</w:t>
      </w:r>
    </w:p>
    <w:p>
      <w:pPr>
        <w:spacing w:line="242" w:lineRule="auto" w:before="122"/>
        <w:ind w:left="427" w:right="1572" w:firstLine="0"/>
        <w:jc w:val="left"/>
        <w:rPr>
          <w:sz w:val="21"/>
        </w:rPr>
      </w:pPr>
      <w:r>
        <w:rPr>
          <w:sz w:val="21"/>
        </w:rPr>
        <w:t>Miller, J G, ‘Family Provision on Death: The International Dimension’ (1990) 39 </w:t>
      </w:r>
      <w:r>
        <w:rPr>
          <w:i/>
          <w:sz w:val="21"/>
        </w:rPr>
        <w:t>International and </w:t>
      </w:r>
      <w:r>
        <w:rPr>
          <w:i/>
          <w:sz w:val="21"/>
        </w:rPr>
        <w:t>Comparative Law Quarterly </w:t>
      </w:r>
      <w:r>
        <w:rPr>
          <w:sz w:val="21"/>
        </w:rPr>
        <w:t>261</w:t>
      </w:r>
    </w:p>
    <w:p>
      <w:pPr>
        <w:pStyle w:val="BodyText"/>
        <w:spacing w:before="123"/>
        <w:ind w:left="427"/>
      </w:pPr>
      <w:r>
        <w:rPr>
          <w:w w:val="105"/>
        </w:rPr>
        <w:t>Monopoli, Paula, ‘Deadbeat Dads: Should Support and Inheritance be Linked?’ (1994) 49</w:t>
      </w:r>
    </w:p>
    <w:p>
      <w:pPr>
        <w:spacing w:before="3"/>
        <w:ind w:left="427" w:right="0" w:firstLine="0"/>
        <w:jc w:val="left"/>
        <w:rPr>
          <w:sz w:val="21"/>
        </w:rPr>
      </w:pPr>
      <w:r>
        <w:rPr>
          <w:i/>
          <w:w w:val="105"/>
          <w:sz w:val="21"/>
        </w:rPr>
        <w:t>University of Miami Law Review </w:t>
      </w:r>
      <w:r>
        <w:rPr>
          <w:w w:val="105"/>
          <w:sz w:val="21"/>
        </w:rPr>
        <w:t>257</w:t>
      </w:r>
    </w:p>
    <w:p>
      <w:pPr>
        <w:spacing w:line="242" w:lineRule="auto" w:before="124"/>
        <w:ind w:left="427" w:right="1946" w:firstLine="0"/>
        <w:jc w:val="left"/>
        <w:rPr>
          <w:sz w:val="21"/>
        </w:rPr>
      </w:pPr>
      <w:r>
        <w:rPr>
          <w:spacing w:val="-3"/>
          <w:w w:val="105"/>
          <w:sz w:val="21"/>
        </w:rPr>
        <w:t>National Committee for Uniform Succession </w:t>
      </w:r>
      <w:r>
        <w:rPr>
          <w:w w:val="105"/>
          <w:sz w:val="21"/>
        </w:rPr>
        <w:t>Laws, </w:t>
      </w:r>
      <w:r>
        <w:rPr>
          <w:i/>
          <w:w w:val="105"/>
          <w:sz w:val="21"/>
        </w:rPr>
        <w:t>Uniform </w:t>
      </w:r>
      <w:r>
        <w:rPr>
          <w:i/>
          <w:spacing w:val="-3"/>
          <w:w w:val="105"/>
          <w:sz w:val="21"/>
        </w:rPr>
        <w:t>Succession </w:t>
      </w:r>
      <w:r>
        <w:rPr>
          <w:i/>
          <w:w w:val="105"/>
          <w:sz w:val="21"/>
        </w:rPr>
        <w:t>Laws for </w:t>
      </w:r>
      <w:r>
        <w:rPr>
          <w:i/>
          <w:spacing w:val="-3"/>
          <w:w w:val="105"/>
          <w:sz w:val="21"/>
        </w:rPr>
        <w:t>Australian </w:t>
      </w:r>
      <w:r>
        <w:rPr>
          <w:i/>
          <w:spacing w:val="-4"/>
          <w:w w:val="105"/>
          <w:sz w:val="21"/>
        </w:rPr>
        <w:t>States</w:t>
      </w:r>
      <w:r>
        <w:rPr>
          <w:i/>
          <w:spacing w:val="-6"/>
          <w:w w:val="105"/>
          <w:sz w:val="21"/>
        </w:rPr>
        <w:t> </w:t>
      </w:r>
      <w:r>
        <w:rPr>
          <w:i/>
          <w:w w:val="105"/>
          <w:sz w:val="21"/>
        </w:rPr>
        <w:t>and</w:t>
      </w:r>
      <w:r>
        <w:rPr>
          <w:i/>
          <w:spacing w:val="-5"/>
          <w:w w:val="105"/>
          <w:sz w:val="21"/>
        </w:rPr>
        <w:t> </w:t>
      </w:r>
      <w:r>
        <w:rPr>
          <w:i/>
          <w:spacing w:val="-3"/>
          <w:w w:val="105"/>
          <w:sz w:val="21"/>
        </w:rPr>
        <w:t>Territories:</w:t>
      </w:r>
      <w:r>
        <w:rPr>
          <w:i/>
          <w:spacing w:val="-5"/>
          <w:w w:val="105"/>
          <w:sz w:val="21"/>
        </w:rPr>
        <w:t> </w:t>
      </w:r>
      <w:r>
        <w:rPr>
          <w:i/>
          <w:w w:val="105"/>
          <w:sz w:val="21"/>
        </w:rPr>
        <w:t>First</w:t>
      </w:r>
      <w:r>
        <w:rPr>
          <w:i/>
          <w:spacing w:val="-5"/>
          <w:w w:val="105"/>
          <w:sz w:val="21"/>
        </w:rPr>
        <w:t> </w:t>
      </w:r>
      <w:r>
        <w:rPr>
          <w:i/>
          <w:w w:val="105"/>
          <w:sz w:val="21"/>
        </w:rPr>
        <w:t>Issues</w:t>
      </w:r>
      <w:r>
        <w:rPr>
          <w:i/>
          <w:spacing w:val="-5"/>
          <w:w w:val="105"/>
          <w:sz w:val="21"/>
        </w:rPr>
        <w:t> </w:t>
      </w:r>
      <w:r>
        <w:rPr>
          <w:i/>
          <w:w w:val="105"/>
          <w:sz w:val="21"/>
        </w:rPr>
        <w:t>Paper:</w:t>
      </w:r>
      <w:r>
        <w:rPr>
          <w:i/>
          <w:spacing w:val="-5"/>
          <w:w w:val="105"/>
          <w:sz w:val="21"/>
        </w:rPr>
        <w:t> </w:t>
      </w:r>
      <w:r>
        <w:rPr>
          <w:i/>
          <w:w w:val="105"/>
          <w:sz w:val="21"/>
        </w:rPr>
        <w:t>The</w:t>
      </w:r>
      <w:r>
        <w:rPr>
          <w:i/>
          <w:spacing w:val="-5"/>
          <w:w w:val="105"/>
          <w:sz w:val="21"/>
        </w:rPr>
        <w:t> </w:t>
      </w:r>
      <w:r>
        <w:rPr>
          <w:i/>
          <w:w w:val="105"/>
          <w:sz w:val="21"/>
        </w:rPr>
        <w:t>Law</w:t>
      </w:r>
      <w:r>
        <w:rPr>
          <w:i/>
          <w:spacing w:val="-5"/>
          <w:w w:val="105"/>
          <w:sz w:val="21"/>
        </w:rPr>
        <w:t> </w:t>
      </w:r>
      <w:r>
        <w:rPr>
          <w:i/>
          <w:spacing w:val="-3"/>
          <w:w w:val="105"/>
          <w:sz w:val="21"/>
        </w:rPr>
        <w:t>of</w:t>
      </w:r>
      <w:r>
        <w:rPr>
          <w:i/>
          <w:spacing w:val="-5"/>
          <w:w w:val="105"/>
          <w:sz w:val="21"/>
        </w:rPr>
        <w:t> </w:t>
      </w:r>
      <w:r>
        <w:rPr>
          <w:i/>
          <w:spacing w:val="-3"/>
          <w:w w:val="105"/>
          <w:sz w:val="21"/>
        </w:rPr>
        <w:t>Wills</w:t>
      </w:r>
      <w:r>
        <w:rPr>
          <w:spacing w:val="-3"/>
          <w:w w:val="105"/>
          <w:sz w:val="21"/>
        </w:rPr>
        <w:t>,</w:t>
      </w:r>
      <w:r>
        <w:rPr>
          <w:spacing w:val="-5"/>
          <w:w w:val="105"/>
          <w:sz w:val="21"/>
        </w:rPr>
        <w:t> </w:t>
      </w:r>
      <w:r>
        <w:rPr>
          <w:spacing w:val="-3"/>
          <w:w w:val="105"/>
          <w:sz w:val="21"/>
        </w:rPr>
        <w:t>Queensland</w:t>
      </w:r>
      <w:r>
        <w:rPr>
          <w:spacing w:val="-5"/>
          <w:w w:val="105"/>
          <w:sz w:val="21"/>
        </w:rPr>
        <w:t> </w:t>
      </w:r>
      <w:r>
        <w:rPr>
          <w:w w:val="105"/>
          <w:sz w:val="21"/>
        </w:rPr>
        <w:t>Law</w:t>
      </w:r>
      <w:r>
        <w:rPr>
          <w:spacing w:val="-5"/>
          <w:w w:val="105"/>
          <w:sz w:val="21"/>
        </w:rPr>
        <w:t> </w:t>
      </w:r>
      <w:r>
        <w:rPr>
          <w:spacing w:val="-3"/>
          <w:w w:val="105"/>
          <w:sz w:val="21"/>
        </w:rPr>
        <w:t>Reform</w:t>
      </w:r>
      <w:r>
        <w:rPr>
          <w:spacing w:val="-5"/>
          <w:w w:val="105"/>
          <w:sz w:val="21"/>
        </w:rPr>
        <w:t> </w:t>
      </w:r>
      <w:r>
        <w:rPr>
          <w:spacing w:val="-3"/>
          <w:w w:val="105"/>
          <w:sz w:val="21"/>
        </w:rPr>
        <w:t>Commission Miscellaneous </w:t>
      </w:r>
      <w:r>
        <w:rPr>
          <w:w w:val="105"/>
          <w:sz w:val="21"/>
        </w:rPr>
        <w:t>Paper No </w:t>
      </w:r>
      <w:r>
        <w:rPr>
          <w:spacing w:val="-6"/>
          <w:w w:val="105"/>
          <w:sz w:val="21"/>
        </w:rPr>
        <w:t>10</w:t>
      </w:r>
      <w:r>
        <w:rPr>
          <w:spacing w:val="31"/>
          <w:w w:val="105"/>
          <w:sz w:val="21"/>
        </w:rPr>
        <w:t> </w:t>
      </w:r>
      <w:r>
        <w:rPr>
          <w:spacing w:val="-3"/>
          <w:w w:val="105"/>
          <w:sz w:val="21"/>
        </w:rPr>
        <w:t>(1994)</w:t>
      </w:r>
    </w:p>
    <w:p>
      <w:pPr>
        <w:spacing w:line="242" w:lineRule="auto" w:before="123"/>
        <w:ind w:left="427" w:right="1572" w:firstLine="0"/>
        <w:jc w:val="left"/>
        <w:rPr>
          <w:sz w:val="21"/>
        </w:rPr>
      </w:pPr>
      <w:r>
        <w:rPr>
          <w:spacing w:val="-3"/>
          <w:w w:val="105"/>
          <w:sz w:val="21"/>
        </w:rPr>
        <w:t>National Committee for Uniform Succession </w:t>
      </w:r>
      <w:r>
        <w:rPr>
          <w:w w:val="105"/>
          <w:sz w:val="21"/>
        </w:rPr>
        <w:t>Laws, </w:t>
      </w:r>
      <w:r>
        <w:rPr>
          <w:i/>
          <w:w w:val="105"/>
          <w:sz w:val="21"/>
        </w:rPr>
        <w:t>Uniform </w:t>
      </w:r>
      <w:r>
        <w:rPr>
          <w:i/>
          <w:spacing w:val="-3"/>
          <w:w w:val="105"/>
          <w:sz w:val="21"/>
        </w:rPr>
        <w:t>Succession </w:t>
      </w:r>
      <w:r>
        <w:rPr>
          <w:i/>
          <w:w w:val="105"/>
          <w:sz w:val="21"/>
        </w:rPr>
        <w:t>Laws: </w:t>
      </w:r>
      <w:r>
        <w:rPr>
          <w:i/>
          <w:spacing w:val="-3"/>
          <w:w w:val="105"/>
          <w:sz w:val="21"/>
        </w:rPr>
        <w:t>Family </w:t>
      </w:r>
      <w:r>
        <w:rPr>
          <w:i/>
          <w:spacing w:val="-4"/>
          <w:w w:val="105"/>
          <w:sz w:val="21"/>
        </w:rPr>
        <w:t>Provision</w:t>
      </w:r>
      <w:r>
        <w:rPr>
          <w:spacing w:val="-4"/>
          <w:w w:val="105"/>
          <w:sz w:val="21"/>
        </w:rPr>
        <w:t>, </w:t>
      </w:r>
      <w:r>
        <w:rPr>
          <w:spacing w:val="-3"/>
          <w:w w:val="105"/>
          <w:sz w:val="21"/>
        </w:rPr>
        <w:t>Queensland </w:t>
      </w:r>
      <w:r>
        <w:rPr>
          <w:w w:val="105"/>
          <w:sz w:val="21"/>
        </w:rPr>
        <w:t>Law </w:t>
      </w:r>
      <w:r>
        <w:rPr>
          <w:spacing w:val="-3"/>
          <w:w w:val="105"/>
          <w:sz w:val="21"/>
        </w:rPr>
        <w:t>Reform Commission Working </w:t>
      </w:r>
      <w:r>
        <w:rPr>
          <w:w w:val="105"/>
          <w:sz w:val="21"/>
        </w:rPr>
        <w:t>Paper No </w:t>
      </w:r>
      <w:r>
        <w:rPr>
          <w:spacing w:val="-5"/>
          <w:w w:val="105"/>
          <w:sz w:val="21"/>
        </w:rPr>
        <w:t>47 (1995)</w:t>
      </w:r>
    </w:p>
    <w:p>
      <w:pPr>
        <w:spacing w:line="242" w:lineRule="auto" w:before="122"/>
        <w:ind w:left="427" w:right="1882" w:firstLine="0"/>
        <w:jc w:val="left"/>
        <w:rPr>
          <w:sz w:val="21"/>
        </w:rPr>
      </w:pPr>
      <w:r>
        <w:rPr>
          <w:spacing w:val="-3"/>
          <w:w w:val="105"/>
          <w:sz w:val="21"/>
        </w:rPr>
        <w:t>National Committee for Uniform Succession </w:t>
      </w:r>
      <w:r>
        <w:rPr>
          <w:w w:val="105"/>
          <w:sz w:val="21"/>
        </w:rPr>
        <w:t>Laws, </w:t>
      </w:r>
      <w:r>
        <w:rPr>
          <w:i/>
          <w:w w:val="105"/>
          <w:sz w:val="21"/>
        </w:rPr>
        <w:t>Uniform </w:t>
      </w:r>
      <w:r>
        <w:rPr>
          <w:i/>
          <w:spacing w:val="-3"/>
          <w:w w:val="105"/>
          <w:sz w:val="21"/>
        </w:rPr>
        <w:t>Succession </w:t>
      </w:r>
      <w:r>
        <w:rPr>
          <w:i/>
          <w:w w:val="105"/>
          <w:sz w:val="21"/>
        </w:rPr>
        <w:t>Laws: </w:t>
      </w:r>
      <w:r>
        <w:rPr>
          <w:i/>
          <w:spacing w:val="-3"/>
          <w:w w:val="105"/>
          <w:sz w:val="21"/>
        </w:rPr>
        <w:t>Wills</w:t>
      </w:r>
      <w:r>
        <w:rPr>
          <w:spacing w:val="-3"/>
          <w:w w:val="105"/>
          <w:sz w:val="21"/>
        </w:rPr>
        <w:t>, Queensland </w:t>
      </w:r>
      <w:r>
        <w:rPr>
          <w:w w:val="105"/>
          <w:sz w:val="21"/>
        </w:rPr>
        <w:t>Law </w:t>
      </w:r>
      <w:r>
        <w:rPr>
          <w:spacing w:val="-3"/>
          <w:w w:val="105"/>
          <w:sz w:val="21"/>
        </w:rPr>
        <w:t>Reform Commission Miscellaneous </w:t>
      </w:r>
      <w:r>
        <w:rPr>
          <w:w w:val="105"/>
          <w:sz w:val="21"/>
        </w:rPr>
        <w:t>Paper No </w:t>
      </w:r>
      <w:r>
        <w:rPr>
          <w:spacing w:val="-8"/>
          <w:w w:val="105"/>
          <w:sz w:val="21"/>
        </w:rPr>
        <w:t>15 </w:t>
      </w:r>
      <w:r>
        <w:rPr>
          <w:spacing w:val="-3"/>
          <w:w w:val="105"/>
          <w:sz w:val="21"/>
        </w:rPr>
        <w:t>(1996)</w:t>
      </w:r>
    </w:p>
    <w:p>
      <w:pPr>
        <w:spacing w:line="242" w:lineRule="auto" w:before="123"/>
        <w:ind w:left="427" w:right="1563" w:firstLine="0"/>
        <w:jc w:val="left"/>
        <w:rPr>
          <w:sz w:val="21"/>
        </w:rPr>
      </w:pPr>
      <w:r>
        <w:rPr>
          <w:w w:val="105"/>
          <w:sz w:val="21"/>
        </w:rPr>
        <w:t>National Committee for Uniform Succession Laws, </w:t>
      </w:r>
      <w:r>
        <w:rPr>
          <w:i/>
          <w:w w:val="105"/>
          <w:sz w:val="21"/>
        </w:rPr>
        <w:t>Report to the Standing Committee of Attorneys </w:t>
      </w:r>
      <w:r>
        <w:rPr>
          <w:i/>
          <w:w w:val="105"/>
          <w:sz w:val="21"/>
        </w:rPr>
        <w:t>General on Family Provision</w:t>
      </w:r>
      <w:r>
        <w:rPr>
          <w:w w:val="105"/>
          <w:sz w:val="21"/>
        </w:rPr>
        <w:t>, Queensland Law Reform Commission Miscellaneous Paper No 28 (1997)</w:t>
      </w:r>
    </w:p>
    <w:p>
      <w:pPr>
        <w:spacing w:line="242" w:lineRule="auto" w:before="123"/>
        <w:ind w:left="427" w:right="1605" w:firstLine="0"/>
        <w:jc w:val="left"/>
        <w:rPr>
          <w:sz w:val="21"/>
        </w:rPr>
      </w:pPr>
      <w:r>
        <w:rPr>
          <w:spacing w:val="-3"/>
          <w:w w:val="105"/>
          <w:sz w:val="21"/>
        </w:rPr>
        <w:t>National Committee for Uniform Succession </w:t>
      </w:r>
      <w:r>
        <w:rPr>
          <w:w w:val="105"/>
          <w:sz w:val="21"/>
        </w:rPr>
        <w:t>Laws, </w:t>
      </w:r>
      <w:r>
        <w:rPr>
          <w:i/>
          <w:spacing w:val="-3"/>
          <w:w w:val="105"/>
          <w:sz w:val="21"/>
        </w:rPr>
        <w:t>Consolidated </w:t>
      </w:r>
      <w:r>
        <w:rPr>
          <w:i/>
          <w:w w:val="105"/>
          <w:sz w:val="21"/>
        </w:rPr>
        <w:t>Report to the </w:t>
      </w:r>
      <w:r>
        <w:rPr>
          <w:i/>
          <w:spacing w:val="-3"/>
          <w:w w:val="105"/>
          <w:sz w:val="21"/>
        </w:rPr>
        <w:t>Standing </w:t>
      </w:r>
      <w:r>
        <w:rPr>
          <w:i/>
          <w:w w:val="105"/>
          <w:sz w:val="21"/>
        </w:rPr>
        <w:t>Committee </w:t>
      </w:r>
      <w:r>
        <w:rPr>
          <w:i/>
          <w:spacing w:val="-3"/>
          <w:w w:val="105"/>
          <w:sz w:val="21"/>
        </w:rPr>
        <w:t>of </w:t>
      </w:r>
      <w:r>
        <w:rPr>
          <w:i/>
          <w:w w:val="105"/>
          <w:sz w:val="21"/>
        </w:rPr>
        <w:t>Attorneys General on the Law </w:t>
      </w:r>
      <w:r>
        <w:rPr>
          <w:i/>
          <w:spacing w:val="-3"/>
          <w:w w:val="105"/>
          <w:sz w:val="21"/>
        </w:rPr>
        <w:t>of Wills</w:t>
      </w:r>
      <w:r>
        <w:rPr>
          <w:spacing w:val="-3"/>
          <w:w w:val="105"/>
          <w:sz w:val="21"/>
        </w:rPr>
        <w:t>, Queensland </w:t>
      </w:r>
      <w:r>
        <w:rPr>
          <w:w w:val="105"/>
          <w:sz w:val="21"/>
        </w:rPr>
        <w:t>Law </w:t>
      </w:r>
      <w:r>
        <w:rPr>
          <w:spacing w:val="-3"/>
          <w:w w:val="105"/>
          <w:sz w:val="21"/>
        </w:rPr>
        <w:t>Reform Commission Miscellaneous </w:t>
      </w:r>
      <w:r>
        <w:rPr>
          <w:w w:val="105"/>
          <w:sz w:val="21"/>
        </w:rPr>
        <w:t>Paper No </w:t>
      </w:r>
      <w:r>
        <w:rPr>
          <w:spacing w:val="-3"/>
          <w:w w:val="105"/>
          <w:sz w:val="21"/>
        </w:rPr>
        <w:t>29 </w:t>
      </w:r>
      <w:r>
        <w:rPr>
          <w:spacing w:val="-6"/>
          <w:w w:val="105"/>
          <w:sz w:val="21"/>
        </w:rPr>
        <w:t>(1997)</w:t>
      </w:r>
    </w:p>
    <w:p>
      <w:pPr>
        <w:spacing w:line="242" w:lineRule="auto" w:before="123"/>
        <w:ind w:left="427" w:right="1572" w:firstLine="0"/>
        <w:jc w:val="left"/>
        <w:rPr>
          <w:sz w:val="21"/>
        </w:rPr>
      </w:pPr>
      <w:r>
        <w:rPr>
          <w:spacing w:val="-3"/>
          <w:w w:val="105"/>
          <w:sz w:val="21"/>
        </w:rPr>
        <w:t>National Committee for Uniform Succession </w:t>
      </w:r>
      <w:r>
        <w:rPr>
          <w:w w:val="105"/>
          <w:sz w:val="21"/>
        </w:rPr>
        <w:t>Laws, </w:t>
      </w:r>
      <w:r>
        <w:rPr>
          <w:i/>
          <w:spacing w:val="-3"/>
          <w:w w:val="105"/>
          <w:sz w:val="21"/>
        </w:rPr>
        <w:t>Administration of </w:t>
      </w:r>
      <w:r>
        <w:rPr>
          <w:i/>
          <w:w w:val="105"/>
          <w:sz w:val="21"/>
        </w:rPr>
        <w:t>Estates </w:t>
      </w:r>
      <w:r>
        <w:rPr>
          <w:i/>
          <w:spacing w:val="-3"/>
          <w:w w:val="105"/>
          <w:sz w:val="21"/>
        </w:rPr>
        <w:t>of </w:t>
      </w:r>
      <w:r>
        <w:rPr>
          <w:i/>
          <w:w w:val="105"/>
          <w:sz w:val="21"/>
        </w:rPr>
        <w:t>Deceased Persons</w:t>
      </w:r>
      <w:r>
        <w:rPr>
          <w:w w:val="105"/>
          <w:sz w:val="21"/>
        </w:rPr>
        <w:t>, </w:t>
      </w:r>
      <w:r>
        <w:rPr>
          <w:spacing w:val="-3"/>
          <w:w w:val="105"/>
          <w:sz w:val="21"/>
        </w:rPr>
        <w:t>Queensland </w:t>
      </w:r>
      <w:r>
        <w:rPr>
          <w:w w:val="105"/>
          <w:sz w:val="21"/>
        </w:rPr>
        <w:t>Law </w:t>
      </w:r>
      <w:r>
        <w:rPr>
          <w:spacing w:val="-3"/>
          <w:w w:val="105"/>
          <w:sz w:val="21"/>
        </w:rPr>
        <w:t>Reform Commission </w:t>
      </w:r>
      <w:r>
        <w:rPr>
          <w:w w:val="105"/>
          <w:sz w:val="21"/>
        </w:rPr>
        <w:t>Discussion Paper No </w:t>
      </w:r>
      <w:r>
        <w:rPr>
          <w:spacing w:val="-3"/>
          <w:w w:val="105"/>
          <w:sz w:val="21"/>
        </w:rPr>
        <w:t>MP37 (1999)</w:t>
      </w:r>
    </w:p>
    <w:p>
      <w:pPr>
        <w:spacing w:line="242" w:lineRule="auto" w:before="123"/>
        <w:ind w:left="427" w:right="1572" w:firstLine="0"/>
        <w:jc w:val="left"/>
        <w:rPr>
          <w:sz w:val="21"/>
        </w:rPr>
      </w:pPr>
      <w:r>
        <w:rPr>
          <w:spacing w:val="-3"/>
          <w:w w:val="105"/>
          <w:sz w:val="21"/>
        </w:rPr>
        <w:t>National Committee for Uniform Succession </w:t>
      </w:r>
      <w:r>
        <w:rPr>
          <w:w w:val="105"/>
          <w:sz w:val="21"/>
        </w:rPr>
        <w:t>Laws, </w:t>
      </w:r>
      <w:r>
        <w:rPr>
          <w:i/>
          <w:w w:val="105"/>
          <w:sz w:val="21"/>
        </w:rPr>
        <w:t>Uniform </w:t>
      </w:r>
      <w:r>
        <w:rPr>
          <w:i/>
          <w:spacing w:val="-3"/>
          <w:w w:val="105"/>
          <w:sz w:val="21"/>
        </w:rPr>
        <w:t>Succession </w:t>
      </w:r>
      <w:r>
        <w:rPr>
          <w:i/>
          <w:w w:val="105"/>
          <w:sz w:val="21"/>
        </w:rPr>
        <w:t>Laws: Recognition </w:t>
      </w:r>
      <w:r>
        <w:rPr>
          <w:i/>
          <w:spacing w:val="-3"/>
          <w:w w:val="105"/>
          <w:sz w:val="21"/>
        </w:rPr>
        <w:t>of </w:t>
      </w:r>
      <w:r>
        <w:rPr>
          <w:i/>
          <w:w w:val="105"/>
          <w:sz w:val="21"/>
        </w:rPr>
        <w:t>Interstate and Foreign Grants </w:t>
      </w:r>
      <w:r>
        <w:rPr>
          <w:i/>
          <w:spacing w:val="-3"/>
          <w:w w:val="105"/>
          <w:sz w:val="21"/>
        </w:rPr>
        <w:t>of </w:t>
      </w:r>
      <w:r>
        <w:rPr>
          <w:i/>
          <w:w w:val="105"/>
          <w:sz w:val="21"/>
        </w:rPr>
        <w:t>Probate and Letters </w:t>
      </w:r>
      <w:r>
        <w:rPr>
          <w:i/>
          <w:spacing w:val="-3"/>
          <w:w w:val="105"/>
          <w:sz w:val="21"/>
        </w:rPr>
        <w:t>of </w:t>
      </w:r>
      <w:r>
        <w:rPr>
          <w:i/>
          <w:spacing w:val="-4"/>
          <w:w w:val="105"/>
          <w:sz w:val="21"/>
        </w:rPr>
        <w:t>Administration</w:t>
      </w:r>
      <w:r>
        <w:rPr>
          <w:spacing w:val="-4"/>
          <w:w w:val="105"/>
          <w:sz w:val="21"/>
        </w:rPr>
        <w:t>, </w:t>
      </w:r>
      <w:r>
        <w:rPr>
          <w:spacing w:val="-3"/>
          <w:w w:val="105"/>
          <w:sz w:val="21"/>
        </w:rPr>
        <w:t>Queensland </w:t>
      </w:r>
      <w:r>
        <w:rPr>
          <w:w w:val="105"/>
          <w:sz w:val="21"/>
        </w:rPr>
        <w:t>Law </w:t>
      </w:r>
      <w:r>
        <w:rPr>
          <w:spacing w:val="-3"/>
          <w:w w:val="105"/>
          <w:sz w:val="21"/>
        </w:rPr>
        <w:t>Reform Commission </w:t>
      </w:r>
      <w:r>
        <w:rPr>
          <w:w w:val="105"/>
          <w:sz w:val="21"/>
        </w:rPr>
        <w:t>Discussion Paper No WP </w:t>
      </w:r>
      <w:r>
        <w:rPr>
          <w:spacing w:val="-4"/>
          <w:w w:val="105"/>
          <w:sz w:val="21"/>
        </w:rPr>
        <w:t>55 (2001)</w:t>
      </w:r>
    </w:p>
    <w:p>
      <w:pPr>
        <w:spacing w:line="242" w:lineRule="auto" w:before="123"/>
        <w:ind w:left="427" w:right="1572" w:firstLine="0"/>
        <w:jc w:val="left"/>
        <w:rPr>
          <w:sz w:val="21"/>
        </w:rPr>
      </w:pPr>
      <w:r>
        <w:rPr>
          <w:spacing w:val="-3"/>
          <w:w w:val="105"/>
          <w:sz w:val="21"/>
        </w:rPr>
        <w:t>National Committee for Uniform Succession </w:t>
      </w:r>
      <w:r>
        <w:rPr>
          <w:w w:val="105"/>
          <w:sz w:val="21"/>
        </w:rPr>
        <w:t>Laws, </w:t>
      </w:r>
      <w:r>
        <w:rPr>
          <w:i/>
          <w:spacing w:val="-3"/>
          <w:w w:val="105"/>
          <w:sz w:val="21"/>
        </w:rPr>
        <w:t>Family Provision: </w:t>
      </w:r>
      <w:r>
        <w:rPr>
          <w:i/>
          <w:w w:val="105"/>
          <w:sz w:val="21"/>
        </w:rPr>
        <w:t>Supplementary Report to the </w:t>
      </w:r>
      <w:r>
        <w:rPr>
          <w:i/>
          <w:spacing w:val="-3"/>
          <w:w w:val="105"/>
          <w:sz w:val="21"/>
        </w:rPr>
        <w:t>Standing </w:t>
      </w:r>
      <w:r>
        <w:rPr>
          <w:i/>
          <w:w w:val="105"/>
          <w:sz w:val="21"/>
        </w:rPr>
        <w:t>Committee </w:t>
      </w:r>
      <w:r>
        <w:rPr>
          <w:i/>
          <w:spacing w:val="-3"/>
          <w:w w:val="105"/>
          <w:sz w:val="21"/>
        </w:rPr>
        <w:t>of </w:t>
      </w:r>
      <w:r>
        <w:rPr>
          <w:i/>
          <w:w w:val="105"/>
          <w:sz w:val="21"/>
        </w:rPr>
        <w:t>Attorneys General </w:t>
      </w:r>
      <w:r>
        <w:rPr>
          <w:spacing w:val="-3"/>
          <w:w w:val="105"/>
          <w:sz w:val="21"/>
        </w:rPr>
        <w:t>Queensland </w:t>
      </w:r>
      <w:r>
        <w:rPr>
          <w:w w:val="105"/>
          <w:sz w:val="21"/>
        </w:rPr>
        <w:t>Law </w:t>
      </w:r>
      <w:r>
        <w:rPr>
          <w:spacing w:val="-3"/>
          <w:w w:val="105"/>
          <w:sz w:val="21"/>
        </w:rPr>
        <w:t>Reform Commission </w:t>
      </w:r>
      <w:r>
        <w:rPr>
          <w:w w:val="105"/>
          <w:sz w:val="21"/>
        </w:rPr>
        <w:t>Report No 58 (2004)</w:t>
      </w:r>
    </w:p>
    <w:p>
      <w:pPr>
        <w:spacing w:line="242" w:lineRule="auto" w:before="123"/>
        <w:ind w:left="427" w:right="1572" w:firstLine="0"/>
        <w:jc w:val="left"/>
        <w:rPr>
          <w:sz w:val="21"/>
        </w:rPr>
      </w:pPr>
      <w:r>
        <w:rPr>
          <w:spacing w:val="-3"/>
          <w:w w:val="105"/>
          <w:sz w:val="21"/>
        </w:rPr>
        <w:t>National Committee for Uniform Succession </w:t>
      </w:r>
      <w:r>
        <w:rPr>
          <w:w w:val="105"/>
          <w:sz w:val="21"/>
        </w:rPr>
        <w:t>Laws, </w:t>
      </w:r>
      <w:r>
        <w:rPr>
          <w:i/>
          <w:w w:val="105"/>
          <w:sz w:val="21"/>
        </w:rPr>
        <w:t>Uniform </w:t>
      </w:r>
      <w:r>
        <w:rPr>
          <w:i/>
          <w:spacing w:val="-3"/>
          <w:w w:val="105"/>
          <w:sz w:val="21"/>
        </w:rPr>
        <w:t>Succession </w:t>
      </w:r>
      <w:r>
        <w:rPr>
          <w:i/>
          <w:w w:val="105"/>
          <w:sz w:val="21"/>
        </w:rPr>
        <w:t>Laws: </w:t>
      </w:r>
      <w:r>
        <w:rPr>
          <w:i/>
          <w:spacing w:val="-4"/>
          <w:w w:val="105"/>
          <w:sz w:val="21"/>
        </w:rPr>
        <w:t>Intestacy</w:t>
      </w:r>
      <w:r>
        <w:rPr>
          <w:spacing w:val="-4"/>
          <w:w w:val="105"/>
          <w:sz w:val="21"/>
        </w:rPr>
        <w:t>, </w:t>
      </w:r>
      <w:r>
        <w:rPr>
          <w:w w:val="105"/>
          <w:sz w:val="21"/>
        </w:rPr>
        <w:t>New South </w:t>
      </w:r>
      <w:r>
        <w:rPr>
          <w:spacing w:val="-3"/>
          <w:w w:val="105"/>
          <w:sz w:val="21"/>
        </w:rPr>
        <w:t>Wales </w:t>
      </w:r>
      <w:r>
        <w:rPr>
          <w:w w:val="105"/>
          <w:sz w:val="21"/>
        </w:rPr>
        <w:t>Law </w:t>
      </w:r>
      <w:r>
        <w:rPr>
          <w:spacing w:val="-3"/>
          <w:w w:val="105"/>
          <w:sz w:val="21"/>
        </w:rPr>
        <w:t>Reform Commission </w:t>
      </w:r>
      <w:r>
        <w:rPr>
          <w:w w:val="105"/>
          <w:sz w:val="21"/>
        </w:rPr>
        <w:t>Issues Paper No </w:t>
      </w:r>
      <w:r>
        <w:rPr>
          <w:spacing w:val="-4"/>
          <w:w w:val="105"/>
          <w:sz w:val="21"/>
        </w:rPr>
        <w:t>26 </w:t>
      </w:r>
      <w:r>
        <w:rPr>
          <w:w w:val="105"/>
          <w:sz w:val="21"/>
        </w:rPr>
        <w:t>(2005)</w:t>
      </w:r>
    </w:p>
    <w:p>
      <w:pPr>
        <w:spacing w:after="0" w:line="242" w:lineRule="auto"/>
        <w:jc w:val="left"/>
        <w:rPr>
          <w:sz w:val="21"/>
        </w:rPr>
        <w:sectPr>
          <w:type w:val="continuous"/>
          <w:pgSz w:w="11910" w:h="16840"/>
          <w:pgMar w:top="920" w:bottom="280" w:left="0" w:right="0"/>
          <w:cols w:num="2" w:equalWidth="0">
            <w:col w:w="1121" w:space="40"/>
            <w:col w:w="10749"/>
          </w:cols>
        </w:sectPr>
      </w:pPr>
    </w:p>
    <w:p>
      <w:pPr>
        <w:pStyle w:val="BodyText"/>
        <w:spacing w:before="1"/>
        <w:rPr>
          <w:sz w:val="19"/>
        </w:rPr>
      </w:pPr>
    </w:p>
    <w:p>
      <w:pPr>
        <w:spacing w:line="242" w:lineRule="auto" w:before="93"/>
        <w:ind w:left="1587" w:right="1619" w:firstLine="0"/>
        <w:jc w:val="left"/>
        <w:rPr>
          <w:sz w:val="21"/>
        </w:rPr>
      </w:pPr>
      <w:r>
        <w:rPr>
          <w:spacing w:val="-3"/>
          <w:w w:val="105"/>
          <w:sz w:val="21"/>
        </w:rPr>
        <w:t>National Committee for Uniform Succession </w:t>
      </w:r>
      <w:r>
        <w:rPr>
          <w:w w:val="105"/>
          <w:sz w:val="21"/>
        </w:rPr>
        <w:t>Laws, </w:t>
      </w:r>
      <w:r>
        <w:rPr>
          <w:i/>
          <w:w w:val="105"/>
          <w:sz w:val="21"/>
        </w:rPr>
        <w:t>Uniform </w:t>
      </w:r>
      <w:r>
        <w:rPr>
          <w:i/>
          <w:spacing w:val="-3"/>
          <w:w w:val="105"/>
          <w:sz w:val="21"/>
        </w:rPr>
        <w:t>Succession </w:t>
      </w:r>
      <w:r>
        <w:rPr>
          <w:i/>
          <w:w w:val="105"/>
          <w:sz w:val="21"/>
        </w:rPr>
        <w:t>Laws: </w:t>
      </w:r>
      <w:r>
        <w:rPr>
          <w:i/>
          <w:spacing w:val="-4"/>
          <w:w w:val="105"/>
          <w:sz w:val="21"/>
        </w:rPr>
        <w:t>Intestacy</w:t>
      </w:r>
      <w:r>
        <w:rPr>
          <w:spacing w:val="-4"/>
          <w:w w:val="105"/>
          <w:sz w:val="21"/>
        </w:rPr>
        <w:t>, </w:t>
      </w:r>
      <w:r>
        <w:rPr>
          <w:w w:val="105"/>
          <w:sz w:val="21"/>
        </w:rPr>
        <w:t>New South </w:t>
      </w:r>
      <w:r>
        <w:rPr>
          <w:spacing w:val="-3"/>
          <w:w w:val="105"/>
          <w:sz w:val="21"/>
        </w:rPr>
        <w:t>Wales </w:t>
      </w:r>
      <w:r>
        <w:rPr>
          <w:w w:val="105"/>
          <w:sz w:val="21"/>
        </w:rPr>
        <w:t>Law </w:t>
      </w:r>
      <w:r>
        <w:rPr>
          <w:spacing w:val="-3"/>
          <w:w w:val="105"/>
          <w:sz w:val="21"/>
        </w:rPr>
        <w:t>Reform Commission </w:t>
      </w:r>
      <w:r>
        <w:rPr>
          <w:w w:val="105"/>
          <w:sz w:val="21"/>
        </w:rPr>
        <w:t>Report No </w:t>
      </w:r>
      <w:r>
        <w:rPr>
          <w:spacing w:val="-12"/>
          <w:w w:val="105"/>
          <w:sz w:val="21"/>
        </w:rPr>
        <w:t>116 </w:t>
      </w:r>
      <w:r>
        <w:rPr>
          <w:spacing w:val="-3"/>
          <w:w w:val="105"/>
          <w:sz w:val="21"/>
        </w:rPr>
        <w:t>(2007)</w:t>
      </w:r>
    </w:p>
    <w:p>
      <w:pPr>
        <w:spacing w:line="242" w:lineRule="auto" w:before="122"/>
        <w:ind w:left="1587" w:right="1619" w:firstLine="0"/>
        <w:jc w:val="left"/>
        <w:rPr>
          <w:sz w:val="21"/>
        </w:rPr>
      </w:pPr>
      <w:r>
        <w:rPr>
          <w:spacing w:val="-3"/>
          <w:w w:val="105"/>
          <w:sz w:val="21"/>
        </w:rPr>
        <w:t>National Committee for Uniform Succession </w:t>
      </w:r>
      <w:r>
        <w:rPr>
          <w:w w:val="105"/>
          <w:sz w:val="21"/>
        </w:rPr>
        <w:t>Laws, </w:t>
      </w:r>
      <w:r>
        <w:rPr>
          <w:i/>
          <w:spacing w:val="-3"/>
          <w:w w:val="105"/>
          <w:sz w:val="21"/>
        </w:rPr>
        <w:t>Administration of </w:t>
      </w:r>
      <w:r>
        <w:rPr>
          <w:i/>
          <w:w w:val="105"/>
          <w:sz w:val="21"/>
        </w:rPr>
        <w:t>Estates </w:t>
      </w:r>
      <w:r>
        <w:rPr>
          <w:i/>
          <w:spacing w:val="-3"/>
          <w:w w:val="105"/>
          <w:sz w:val="21"/>
        </w:rPr>
        <w:t>of </w:t>
      </w:r>
      <w:r>
        <w:rPr>
          <w:i/>
          <w:w w:val="105"/>
          <w:sz w:val="21"/>
        </w:rPr>
        <w:t>Deceased Persons: </w:t>
      </w:r>
      <w:r>
        <w:rPr>
          <w:i/>
          <w:w w:val="105"/>
          <w:sz w:val="21"/>
        </w:rPr>
        <w:t>Report </w:t>
      </w:r>
      <w:r>
        <w:rPr>
          <w:i/>
          <w:spacing w:val="-3"/>
          <w:w w:val="105"/>
          <w:sz w:val="21"/>
        </w:rPr>
        <w:t>of </w:t>
      </w:r>
      <w:r>
        <w:rPr>
          <w:i/>
          <w:w w:val="105"/>
          <w:sz w:val="21"/>
        </w:rPr>
        <w:t>the </w:t>
      </w:r>
      <w:r>
        <w:rPr>
          <w:i/>
          <w:spacing w:val="-3"/>
          <w:w w:val="105"/>
          <w:sz w:val="21"/>
        </w:rPr>
        <w:t>National </w:t>
      </w:r>
      <w:r>
        <w:rPr>
          <w:i/>
          <w:w w:val="105"/>
          <w:sz w:val="21"/>
        </w:rPr>
        <w:t>Committee for Uniform </w:t>
      </w:r>
      <w:r>
        <w:rPr>
          <w:i/>
          <w:spacing w:val="-3"/>
          <w:w w:val="105"/>
          <w:sz w:val="21"/>
        </w:rPr>
        <w:t>Succession </w:t>
      </w:r>
      <w:r>
        <w:rPr>
          <w:i/>
          <w:w w:val="105"/>
          <w:sz w:val="21"/>
        </w:rPr>
        <w:t>Laws to the </w:t>
      </w:r>
      <w:r>
        <w:rPr>
          <w:i/>
          <w:spacing w:val="-3"/>
          <w:w w:val="105"/>
          <w:sz w:val="21"/>
        </w:rPr>
        <w:t>Standing </w:t>
      </w:r>
      <w:r>
        <w:rPr>
          <w:i/>
          <w:w w:val="105"/>
          <w:sz w:val="21"/>
        </w:rPr>
        <w:t>Committee </w:t>
      </w:r>
      <w:r>
        <w:rPr>
          <w:i/>
          <w:spacing w:val="-3"/>
          <w:w w:val="105"/>
          <w:sz w:val="21"/>
        </w:rPr>
        <w:t>of </w:t>
      </w:r>
      <w:r>
        <w:rPr>
          <w:i/>
          <w:w w:val="105"/>
          <w:sz w:val="21"/>
        </w:rPr>
        <w:t>Attorneys General: </w:t>
      </w:r>
      <w:r>
        <w:rPr>
          <w:i/>
          <w:spacing w:val="-4"/>
          <w:w w:val="105"/>
          <w:sz w:val="21"/>
        </w:rPr>
        <w:t>Volume </w:t>
      </w:r>
      <w:r>
        <w:rPr>
          <w:i/>
          <w:spacing w:val="-12"/>
          <w:w w:val="105"/>
          <w:sz w:val="21"/>
        </w:rPr>
        <w:t>1</w:t>
      </w:r>
      <w:r>
        <w:rPr>
          <w:spacing w:val="-12"/>
          <w:w w:val="105"/>
          <w:sz w:val="21"/>
        </w:rPr>
        <w:t>, </w:t>
      </w:r>
      <w:r>
        <w:rPr>
          <w:spacing w:val="-3"/>
          <w:w w:val="105"/>
          <w:sz w:val="21"/>
        </w:rPr>
        <w:t>Queensland </w:t>
      </w:r>
      <w:r>
        <w:rPr>
          <w:w w:val="105"/>
          <w:sz w:val="21"/>
        </w:rPr>
        <w:t>Law </w:t>
      </w:r>
      <w:r>
        <w:rPr>
          <w:spacing w:val="-3"/>
          <w:w w:val="105"/>
          <w:sz w:val="21"/>
        </w:rPr>
        <w:t>Reform Commission </w:t>
      </w:r>
      <w:r>
        <w:rPr>
          <w:w w:val="105"/>
          <w:sz w:val="21"/>
        </w:rPr>
        <w:t>Report No </w:t>
      </w:r>
      <w:r>
        <w:rPr>
          <w:spacing w:val="-3"/>
          <w:w w:val="105"/>
          <w:sz w:val="21"/>
        </w:rPr>
        <w:t>65</w:t>
      </w:r>
      <w:r>
        <w:rPr>
          <w:spacing w:val="39"/>
          <w:w w:val="105"/>
          <w:sz w:val="21"/>
        </w:rPr>
        <w:t> </w:t>
      </w:r>
      <w:r>
        <w:rPr>
          <w:w w:val="105"/>
          <w:sz w:val="21"/>
        </w:rPr>
        <w:t>(2009)</w:t>
      </w:r>
    </w:p>
    <w:p>
      <w:pPr>
        <w:spacing w:line="242" w:lineRule="auto" w:before="123"/>
        <w:ind w:left="1587" w:right="1619" w:firstLine="0"/>
        <w:jc w:val="left"/>
        <w:rPr>
          <w:sz w:val="21"/>
        </w:rPr>
      </w:pPr>
      <w:r>
        <w:rPr>
          <w:spacing w:val="-3"/>
          <w:w w:val="105"/>
          <w:sz w:val="21"/>
        </w:rPr>
        <w:t>National Committee for Uniform Succession </w:t>
      </w:r>
      <w:r>
        <w:rPr>
          <w:w w:val="105"/>
          <w:sz w:val="21"/>
        </w:rPr>
        <w:t>Laws, </w:t>
      </w:r>
      <w:r>
        <w:rPr>
          <w:i/>
          <w:spacing w:val="-3"/>
          <w:w w:val="105"/>
          <w:sz w:val="21"/>
        </w:rPr>
        <w:t>Administration of </w:t>
      </w:r>
      <w:r>
        <w:rPr>
          <w:i/>
          <w:w w:val="105"/>
          <w:sz w:val="21"/>
        </w:rPr>
        <w:t>Estates </w:t>
      </w:r>
      <w:r>
        <w:rPr>
          <w:i/>
          <w:spacing w:val="-3"/>
          <w:w w:val="105"/>
          <w:sz w:val="21"/>
        </w:rPr>
        <w:t>of </w:t>
      </w:r>
      <w:r>
        <w:rPr>
          <w:i/>
          <w:w w:val="105"/>
          <w:sz w:val="21"/>
        </w:rPr>
        <w:t>Deceased Persons: </w:t>
      </w:r>
      <w:r>
        <w:rPr>
          <w:i/>
          <w:w w:val="105"/>
          <w:sz w:val="21"/>
        </w:rPr>
        <w:t>Report </w:t>
      </w:r>
      <w:r>
        <w:rPr>
          <w:i/>
          <w:spacing w:val="-3"/>
          <w:w w:val="105"/>
          <w:sz w:val="21"/>
        </w:rPr>
        <w:t>of </w:t>
      </w:r>
      <w:r>
        <w:rPr>
          <w:i/>
          <w:w w:val="105"/>
          <w:sz w:val="21"/>
        </w:rPr>
        <w:t>the </w:t>
      </w:r>
      <w:r>
        <w:rPr>
          <w:i/>
          <w:spacing w:val="-3"/>
          <w:w w:val="105"/>
          <w:sz w:val="21"/>
        </w:rPr>
        <w:t>National </w:t>
      </w:r>
      <w:r>
        <w:rPr>
          <w:i/>
          <w:w w:val="105"/>
          <w:sz w:val="21"/>
        </w:rPr>
        <w:t>Committee for Uniform </w:t>
      </w:r>
      <w:r>
        <w:rPr>
          <w:i/>
          <w:spacing w:val="-3"/>
          <w:w w:val="105"/>
          <w:sz w:val="21"/>
        </w:rPr>
        <w:t>Succession </w:t>
      </w:r>
      <w:r>
        <w:rPr>
          <w:i/>
          <w:w w:val="105"/>
          <w:sz w:val="21"/>
        </w:rPr>
        <w:t>Laws to the </w:t>
      </w:r>
      <w:r>
        <w:rPr>
          <w:i/>
          <w:spacing w:val="-3"/>
          <w:w w:val="105"/>
          <w:sz w:val="21"/>
        </w:rPr>
        <w:t>Standing </w:t>
      </w:r>
      <w:r>
        <w:rPr>
          <w:i/>
          <w:w w:val="105"/>
          <w:sz w:val="21"/>
        </w:rPr>
        <w:t>Committee </w:t>
      </w:r>
      <w:r>
        <w:rPr>
          <w:i/>
          <w:spacing w:val="-3"/>
          <w:w w:val="105"/>
          <w:sz w:val="21"/>
        </w:rPr>
        <w:t>of </w:t>
      </w:r>
      <w:r>
        <w:rPr>
          <w:i/>
          <w:w w:val="105"/>
          <w:sz w:val="21"/>
        </w:rPr>
        <w:t>Attorneys</w:t>
      </w:r>
      <w:r>
        <w:rPr>
          <w:i/>
          <w:spacing w:val="4"/>
          <w:w w:val="105"/>
          <w:sz w:val="21"/>
        </w:rPr>
        <w:t> </w:t>
      </w:r>
      <w:r>
        <w:rPr>
          <w:i/>
          <w:w w:val="105"/>
          <w:sz w:val="21"/>
        </w:rPr>
        <w:t>General:</w:t>
      </w:r>
      <w:r>
        <w:rPr>
          <w:i/>
          <w:spacing w:val="5"/>
          <w:w w:val="105"/>
          <w:sz w:val="21"/>
        </w:rPr>
        <w:t> </w:t>
      </w:r>
      <w:r>
        <w:rPr>
          <w:i/>
          <w:spacing w:val="-4"/>
          <w:w w:val="105"/>
          <w:sz w:val="21"/>
        </w:rPr>
        <w:t>Volume</w:t>
      </w:r>
      <w:r>
        <w:rPr>
          <w:i/>
          <w:spacing w:val="5"/>
          <w:w w:val="105"/>
          <w:sz w:val="21"/>
        </w:rPr>
        <w:t> </w:t>
      </w:r>
      <w:r>
        <w:rPr>
          <w:i/>
          <w:spacing w:val="-6"/>
          <w:w w:val="105"/>
          <w:sz w:val="21"/>
        </w:rPr>
        <w:t>2</w:t>
      </w:r>
      <w:r>
        <w:rPr>
          <w:spacing w:val="-6"/>
          <w:w w:val="105"/>
          <w:sz w:val="21"/>
        </w:rPr>
        <w:t>,</w:t>
      </w:r>
      <w:r>
        <w:rPr>
          <w:spacing w:val="5"/>
          <w:w w:val="105"/>
          <w:sz w:val="21"/>
        </w:rPr>
        <w:t> </w:t>
      </w:r>
      <w:r>
        <w:rPr>
          <w:spacing w:val="-3"/>
          <w:w w:val="105"/>
          <w:sz w:val="21"/>
        </w:rPr>
        <w:t>Queensland</w:t>
      </w:r>
      <w:r>
        <w:rPr>
          <w:spacing w:val="4"/>
          <w:w w:val="105"/>
          <w:sz w:val="21"/>
        </w:rPr>
        <w:t> </w:t>
      </w:r>
      <w:r>
        <w:rPr>
          <w:w w:val="105"/>
          <w:sz w:val="21"/>
        </w:rPr>
        <w:t>Law</w:t>
      </w:r>
      <w:r>
        <w:rPr>
          <w:spacing w:val="5"/>
          <w:w w:val="105"/>
          <w:sz w:val="21"/>
        </w:rPr>
        <w:t> </w:t>
      </w:r>
      <w:r>
        <w:rPr>
          <w:spacing w:val="-3"/>
          <w:w w:val="105"/>
          <w:sz w:val="21"/>
        </w:rPr>
        <w:t>Reform</w:t>
      </w:r>
      <w:r>
        <w:rPr>
          <w:spacing w:val="5"/>
          <w:w w:val="105"/>
          <w:sz w:val="21"/>
        </w:rPr>
        <w:t> </w:t>
      </w:r>
      <w:r>
        <w:rPr>
          <w:spacing w:val="-3"/>
          <w:w w:val="105"/>
          <w:sz w:val="21"/>
        </w:rPr>
        <w:t>Commission</w:t>
      </w:r>
      <w:r>
        <w:rPr>
          <w:spacing w:val="5"/>
          <w:w w:val="105"/>
          <w:sz w:val="21"/>
        </w:rPr>
        <w:t> </w:t>
      </w:r>
      <w:r>
        <w:rPr>
          <w:w w:val="105"/>
          <w:sz w:val="21"/>
        </w:rPr>
        <w:t>Report</w:t>
      </w:r>
      <w:r>
        <w:rPr>
          <w:spacing w:val="5"/>
          <w:w w:val="105"/>
          <w:sz w:val="21"/>
        </w:rPr>
        <w:t> </w:t>
      </w:r>
      <w:r>
        <w:rPr>
          <w:w w:val="105"/>
          <w:sz w:val="21"/>
        </w:rPr>
        <w:t>No</w:t>
      </w:r>
      <w:r>
        <w:rPr>
          <w:spacing w:val="4"/>
          <w:w w:val="105"/>
          <w:sz w:val="21"/>
        </w:rPr>
        <w:t> </w:t>
      </w:r>
      <w:r>
        <w:rPr>
          <w:spacing w:val="-3"/>
          <w:w w:val="105"/>
          <w:sz w:val="21"/>
        </w:rPr>
        <w:t>65</w:t>
      </w:r>
      <w:r>
        <w:rPr>
          <w:spacing w:val="5"/>
          <w:w w:val="105"/>
          <w:sz w:val="21"/>
        </w:rPr>
        <w:t> </w:t>
      </w:r>
      <w:r>
        <w:rPr>
          <w:w w:val="105"/>
          <w:sz w:val="21"/>
        </w:rPr>
        <w:t>(2009)</w:t>
      </w:r>
    </w:p>
    <w:p>
      <w:pPr>
        <w:spacing w:line="242" w:lineRule="auto" w:before="124"/>
        <w:ind w:left="1587" w:right="1619" w:firstLine="0"/>
        <w:jc w:val="left"/>
        <w:rPr>
          <w:sz w:val="21"/>
        </w:rPr>
      </w:pPr>
      <w:r>
        <w:rPr>
          <w:spacing w:val="-3"/>
          <w:w w:val="105"/>
          <w:sz w:val="21"/>
        </w:rPr>
        <w:t>National Committee for Uniform Succession </w:t>
      </w:r>
      <w:r>
        <w:rPr>
          <w:w w:val="105"/>
          <w:sz w:val="21"/>
        </w:rPr>
        <w:t>Laws, </w:t>
      </w:r>
      <w:r>
        <w:rPr>
          <w:i/>
          <w:spacing w:val="-3"/>
          <w:w w:val="105"/>
          <w:sz w:val="21"/>
        </w:rPr>
        <w:t>Administration of </w:t>
      </w:r>
      <w:r>
        <w:rPr>
          <w:i/>
          <w:w w:val="105"/>
          <w:sz w:val="21"/>
        </w:rPr>
        <w:t>Estates </w:t>
      </w:r>
      <w:r>
        <w:rPr>
          <w:i/>
          <w:spacing w:val="-3"/>
          <w:w w:val="105"/>
          <w:sz w:val="21"/>
        </w:rPr>
        <w:t>of </w:t>
      </w:r>
      <w:r>
        <w:rPr>
          <w:i/>
          <w:w w:val="105"/>
          <w:sz w:val="21"/>
        </w:rPr>
        <w:t>Deceased Persons: </w:t>
      </w:r>
      <w:r>
        <w:rPr>
          <w:i/>
          <w:w w:val="105"/>
          <w:sz w:val="21"/>
        </w:rPr>
        <w:t>Report </w:t>
      </w:r>
      <w:r>
        <w:rPr>
          <w:i/>
          <w:spacing w:val="-3"/>
          <w:w w:val="105"/>
          <w:sz w:val="21"/>
        </w:rPr>
        <w:t>of </w:t>
      </w:r>
      <w:r>
        <w:rPr>
          <w:i/>
          <w:w w:val="105"/>
          <w:sz w:val="21"/>
        </w:rPr>
        <w:t>the </w:t>
      </w:r>
      <w:r>
        <w:rPr>
          <w:i/>
          <w:spacing w:val="-3"/>
          <w:w w:val="105"/>
          <w:sz w:val="21"/>
        </w:rPr>
        <w:t>National </w:t>
      </w:r>
      <w:r>
        <w:rPr>
          <w:i/>
          <w:w w:val="105"/>
          <w:sz w:val="21"/>
        </w:rPr>
        <w:t>Committee for Uniform </w:t>
      </w:r>
      <w:r>
        <w:rPr>
          <w:i/>
          <w:spacing w:val="-3"/>
          <w:w w:val="105"/>
          <w:sz w:val="21"/>
        </w:rPr>
        <w:t>Succession </w:t>
      </w:r>
      <w:r>
        <w:rPr>
          <w:i/>
          <w:w w:val="105"/>
          <w:sz w:val="21"/>
        </w:rPr>
        <w:t>Laws to the </w:t>
      </w:r>
      <w:r>
        <w:rPr>
          <w:i/>
          <w:spacing w:val="-3"/>
          <w:w w:val="105"/>
          <w:sz w:val="21"/>
        </w:rPr>
        <w:t>Standing </w:t>
      </w:r>
      <w:r>
        <w:rPr>
          <w:i/>
          <w:w w:val="105"/>
          <w:sz w:val="21"/>
        </w:rPr>
        <w:t>Committee </w:t>
      </w:r>
      <w:r>
        <w:rPr>
          <w:i/>
          <w:spacing w:val="-3"/>
          <w:w w:val="105"/>
          <w:sz w:val="21"/>
        </w:rPr>
        <w:t>of </w:t>
      </w:r>
      <w:r>
        <w:rPr>
          <w:i/>
          <w:w w:val="105"/>
          <w:sz w:val="21"/>
        </w:rPr>
        <w:t>Attorneys</w:t>
      </w:r>
      <w:r>
        <w:rPr>
          <w:i/>
          <w:spacing w:val="4"/>
          <w:w w:val="105"/>
          <w:sz w:val="21"/>
        </w:rPr>
        <w:t> </w:t>
      </w:r>
      <w:r>
        <w:rPr>
          <w:i/>
          <w:w w:val="105"/>
          <w:sz w:val="21"/>
        </w:rPr>
        <w:t>General:</w:t>
      </w:r>
      <w:r>
        <w:rPr>
          <w:i/>
          <w:spacing w:val="5"/>
          <w:w w:val="105"/>
          <w:sz w:val="21"/>
        </w:rPr>
        <w:t> </w:t>
      </w:r>
      <w:r>
        <w:rPr>
          <w:i/>
          <w:spacing w:val="-4"/>
          <w:w w:val="105"/>
          <w:sz w:val="21"/>
        </w:rPr>
        <w:t>Volume</w:t>
      </w:r>
      <w:r>
        <w:rPr>
          <w:i/>
          <w:spacing w:val="5"/>
          <w:w w:val="105"/>
          <w:sz w:val="21"/>
        </w:rPr>
        <w:t> </w:t>
      </w:r>
      <w:r>
        <w:rPr>
          <w:i/>
          <w:spacing w:val="-7"/>
          <w:w w:val="105"/>
          <w:sz w:val="21"/>
        </w:rPr>
        <w:t>3</w:t>
      </w:r>
      <w:r>
        <w:rPr>
          <w:spacing w:val="-7"/>
          <w:w w:val="105"/>
          <w:sz w:val="21"/>
        </w:rPr>
        <w:t>,</w:t>
      </w:r>
      <w:r>
        <w:rPr>
          <w:spacing w:val="5"/>
          <w:w w:val="105"/>
          <w:sz w:val="21"/>
        </w:rPr>
        <w:t> </w:t>
      </w:r>
      <w:r>
        <w:rPr>
          <w:spacing w:val="-3"/>
          <w:w w:val="105"/>
          <w:sz w:val="21"/>
        </w:rPr>
        <w:t>Queensland</w:t>
      </w:r>
      <w:r>
        <w:rPr>
          <w:spacing w:val="5"/>
          <w:w w:val="105"/>
          <w:sz w:val="21"/>
        </w:rPr>
        <w:t> </w:t>
      </w:r>
      <w:r>
        <w:rPr>
          <w:w w:val="105"/>
          <w:sz w:val="21"/>
        </w:rPr>
        <w:t>Law</w:t>
      </w:r>
      <w:r>
        <w:rPr>
          <w:spacing w:val="4"/>
          <w:w w:val="105"/>
          <w:sz w:val="21"/>
        </w:rPr>
        <w:t> </w:t>
      </w:r>
      <w:r>
        <w:rPr>
          <w:spacing w:val="-3"/>
          <w:w w:val="105"/>
          <w:sz w:val="21"/>
        </w:rPr>
        <w:t>Reform</w:t>
      </w:r>
      <w:r>
        <w:rPr>
          <w:spacing w:val="5"/>
          <w:w w:val="105"/>
          <w:sz w:val="21"/>
        </w:rPr>
        <w:t> </w:t>
      </w:r>
      <w:r>
        <w:rPr>
          <w:spacing w:val="-3"/>
          <w:w w:val="105"/>
          <w:sz w:val="21"/>
        </w:rPr>
        <w:t>Commission</w:t>
      </w:r>
      <w:r>
        <w:rPr>
          <w:spacing w:val="5"/>
          <w:w w:val="105"/>
          <w:sz w:val="21"/>
        </w:rPr>
        <w:t> </w:t>
      </w:r>
      <w:r>
        <w:rPr>
          <w:w w:val="105"/>
          <w:sz w:val="21"/>
        </w:rPr>
        <w:t>Report</w:t>
      </w:r>
      <w:r>
        <w:rPr>
          <w:spacing w:val="5"/>
          <w:w w:val="105"/>
          <w:sz w:val="21"/>
        </w:rPr>
        <w:t> </w:t>
      </w:r>
      <w:r>
        <w:rPr>
          <w:w w:val="105"/>
          <w:sz w:val="21"/>
        </w:rPr>
        <w:t>No</w:t>
      </w:r>
      <w:r>
        <w:rPr>
          <w:spacing w:val="5"/>
          <w:w w:val="105"/>
          <w:sz w:val="21"/>
        </w:rPr>
        <w:t> </w:t>
      </w:r>
      <w:r>
        <w:rPr>
          <w:spacing w:val="-3"/>
          <w:w w:val="105"/>
          <w:sz w:val="21"/>
        </w:rPr>
        <w:t>65</w:t>
      </w:r>
      <w:r>
        <w:rPr>
          <w:spacing w:val="5"/>
          <w:w w:val="105"/>
          <w:sz w:val="21"/>
        </w:rPr>
        <w:t> </w:t>
      </w:r>
      <w:r>
        <w:rPr>
          <w:w w:val="105"/>
          <w:sz w:val="21"/>
        </w:rPr>
        <w:t>(2009)</w:t>
      </w:r>
    </w:p>
    <w:p>
      <w:pPr>
        <w:spacing w:line="242" w:lineRule="auto" w:before="123"/>
        <w:ind w:left="1587" w:right="1619" w:firstLine="0"/>
        <w:jc w:val="left"/>
        <w:rPr>
          <w:sz w:val="21"/>
        </w:rPr>
      </w:pPr>
      <w:r>
        <w:rPr>
          <w:spacing w:val="-3"/>
          <w:w w:val="105"/>
          <w:sz w:val="21"/>
        </w:rPr>
        <w:t>National Committee for Uniform Succession </w:t>
      </w:r>
      <w:r>
        <w:rPr>
          <w:w w:val="105"/>
          <w:sz w:val="21"/>
        </w:rPr>
        <w:t>Laws, </w:t>
      </w:r>
      <w:r>
        <w:rPr>
          <w:i/>
          <w:spacing w:val="-3"/>
          <w:w w:val="105"/>
          <w:sz w:val="21"/>
        </w:rPr>
        <w:t>Administration of </w:t>
      </w:r>
      <w:r>
        <w:rPr>
          <w:i/>
          <w:w w:val="105"/>
          <w:sz w:val="21"/>
        </w:rPr>
        <w:t>Estates </w:t>
      </w:r>
      <w:r>
        <w:rPr>
          <w:i/>
          <w:spacing w:val="-3"/>
          <w:w w:val="105"/>
          <w:sz w:val="21"/>
        </w:rPr>
        <w:t>of </w:t>
      </w:r>
      <w:r>
        <w:rPr>
          <w:i/>
          <w:w w:val="105"/>
          <w:sz w:val="21"/>
        </w:rPr>
        <w:t>Deceased Persons: </w:t>
      </w:r>
      <w:r>
        <w:rPr>
          <w:i/>
          <w:w w:val="105"/>
          <w:sz w:val="21"/>
        </w:rPr>
        <w:t>Report </w:t>
      </w:r>
      <w:r>
        <w:rPr>
          <w:i/>
          <w:spacing w:val="-3"/>
          <w:w w:val="105"/>
          <w:sz w:val="21"/>
        </w:rPr>
        <w:t>of </w:t>
      </w:r>
      <w:r>
        <w:rPr>
          <w:i/>
          <w:w w:val="105"/>
          <w:sz w:val="21"/>
        </w:rPr>
        <w:t>the </w:t>
      </w:r>
      <w:r>
        <w:rPr>
          <w:i/>
          <w:spacing w:val="-3"/>
          <w:w w:val="105"/>
          <w:sz w:val="21"/>
        </w:rPr>
        <w:t>National </w:t>
      </w:r>
      <w:r>
        <w:rPr>
          <w:i/>
          <w:w w:val="105"/>
          <w:sz w:val="21"/>
        </w:rPr>
        <w:t>Committee for Uniform </w:t>
      </w:r>
      <w:r>
        <w:rPr>
          <w:i/>
          <w:spacing w:val="-3"/>
          <w:w w:val="105"/>
          <w:sz w:val="21"/>
        </w:rPr>
        <w:t>Succession </w:t>
      </w:r>
      <w:r>
        <w:rPr>
          <w:i/>
          <w:w w:val="105"/>
          <w:sz w:val="21"/>
        </w:rPr>
        <w:t>Laws to the </w:t>
      </w:r>
      <w:r>
        <w:rPr>
          <w:i/>
          <w:spacing w:val="-3"/>
          <w:w w:val="105"/>
          <w:sz w:val="21"/>
        </w:rPr>
        <w:t>Standing </w:t>
      </w:r>
      <w:r>
        <w:rPr>
          <w:i/>
          <w:w w:val="105"/>
          <w:sz w:val="21"/>
        </w:rPr>
        <w:t>Committee </w:t>
      </w:r>
      <w:r>
        <w:rPr>
          <w:i/>
          <w:spacing w:val="-3"/>
          <w:w w:val="105"/>
          <w:sz w:val="21"/>
        </w:rPr>
        <w:t>of </w:t>
      </w:r>
      <w:r>
        <w:rPr>
          <w:i/>
          <w:w w:val="105"/>
          <w:sz w:val="21"/>
        </w:rPr>
        <w:t>Attorneys</w:t>
      </w:r>
      <w:r>
        <w:rPr>
          <w:i/>
          <w:spacing w:val="4"/>
          <w:w w:val="105"/>
          <w:sz w:val="21"/>
        </w:rPr>
        <w:t> </w:t>
      </w:r>
      <w:r>
        <w:rPr>
          <w:i/>
          <w:w w:val="105"/>
          <w:sz w:val="21"/>
        </w:rPr>
        <w:t>General:</w:t>
      </w:r>
      <w:r>
        <w:rPr>
          <w:i/>
          <w:spacing w:val="5"/>
          <w:w w:val="105"/>
          <w:sz w:val="21"/>
        </w:rPr>
        <w:t> </w:t>
      </w:r>
      <w:r>
        <w:rPr>
          <w:i/>
          <w:spacing w:val="-4"/>
          <w:w w:val="105"/>
          <w:sz w:val="21"/>
        </w:rPr>
        <w:t>Volume</w:t>
      </w:r>
      <w:r>
        <w:rPr>
          <w:i/>
          <w:spacing w:val="5"/>
          <w:w w:val="105"/>
          <w:sz w:val="21"/>
        </w:rPr>
        <w:t> </w:t>
      </w:r>
      <w:r>
        <w:rPr>
          <w:i/>
          <w:spacing w:val="-4"/>
          <w:w w:val="105"/>
          <w:sz w:val="21"/>
        </w:rPr>
        <w:t>4</w:t>
      </w:r>
      <w:r>
        <w:rPr>
          <w:spacing w:val="-4"/>
          <w:w w:val="105"/>
          <w:sz w:val="21"/>
        </w:rPr>
        <w:t>,</w:t>
      </w:r>
      <w:r>
        <w:rPr>
          <w:spacing w:val="5"/>
          <w:w w:val="105"/>
          <w:sz w:val="21"/>
        </w:rPr>
        <w:t> </w:t>
      </w:r>
      <w:r>
        <w:rPr>
          <w:spacing w:val="-3"/>
          <w:w w:val="105"/>
          <w:sz w:val="21"/>
        </w:rPr>
        <w:t>Queensland</w:t>
      </w:r>
      <w:r>
        <w:rPr>
          <w:spacing w:val="4"/>
          <w:w w:val="105"/>
          <w:sz w:val="21"/>
        </w:rPr>
        <w:t> </w:t>
      </w:r>
      <w:r>
        <w:rPr>
          <w:w w:val="105"/>
          <w:sz w:val="21"/>
        </w:rPr>
        <w:t>Law</w:t>
      </w:r>
      <w:r>
        <w:rPr>
          <w:spacing w:val="5"/>
          <w:w w:val="105"/>
          <w:sz w:val="21"/>
        </w:rPr>
        <w:t> </w:t>
      </w:r>
      <w:r>
        <w:rPr>
          <w:spacing w:val="-3"/>
          <w:w w:val="105"/>
          <w:sz w:val="21"/>
        </w:rPr>
        <w:t>Reform</w:t>
      </w:r>
      <w:r>
        <w:rPr>
          <w:spacing w:val="5"/>
          <w:w w:val="105"/>
          <w:sz w:val="21"/>
        </w:rPr>
        <w:t> </w:t>
      </w:r>
      <w:r>
        <w:rPr>
          <w:spacing w:val="-3"/>
          <w:w w:val="105"/>
          <w:sz w:val="21"/>
        </w:rPr>
        <w:t>Commission</w:t>
      </w:r>
      <w:r>
        <w:rPr>
          <w:spacing w:val="5"/>
          <w:w w:val="105"/>
          <w:sz w:val="21"/>
        </w:rPr>
        <w:t> </w:t>
      </w:r>
      <w:r>
        <w:rPr>
          <w:w w:val="105"/>
          <w:sz w:val="21"/>
        </w:rPr>
        <w:t>Report</w:t>
      </w:r>
      <w:r>
        <w:rPr>
          <w:spacing w:val="5"/>
          <w:w w:val="105"/>
          <w:sz w:val="21"/>
        </w:rPr>
        <w:t> </w:t>
      </w:r>
      <w:r>
        <w:rPr>
          <w:w w:val="105"/>
          <w:sz w:val="21"/>
        </w:rPr>
        <w:t>No</w:t>
      </w:r>
      <w:r>
        <w:rPr>
          <w:spacing w:val="4"/>
          <w:w w:val="105"/>
          <w:sz w:val="21"/>
        </w:rPr>
        <w:t> </w:t>
      </w:r>
      <w:r>
        <w:rPr>
          <w:spacing w:val="-3"/>
          <w:w w:val="105"/>
          <w:sz w:val="21"/>
        </w:rPr>
        <w:t>65</w:t>
      </w:r>
      <w:r>
        <w:rPr>
          <w:spacing w:val="5"/>
          <w:w w:val="105"/>
          <w:sz w:val="21"/>
        </w:rPr>
        <w:t> </w:t>
      </w:r>
      <w:r>
        <w:rPr>
          <w:w w:val="105"/>
          <w:sz w:val="21"/>
        </w:rPr>
        <w:t>(2009)</w:t>
      </w:r>
    </w:p>
    <w:p>
      <w:pPr>
        <w:spacing w:before="123"/>
        <w:ind w:left="1587" w:right="0" w:firstLine="0"/>
        <w:jc w:val="left"/>
        <w:rPr>
          <w:sz w:val="21"/>
        </w:rPr>
      </w:pPr>
      <w:r>
        <w:rPr>
          <w:w w:val="105"/>
          <w:sz w:val="21"/>
        </w:rPr>
        <w:t>New South Wales Attorney General’s Department, </w:t>
      </w:r>
      <w:r>
        <w:rPr>
          <w:i/>
          <w:w w:val="105"/>
          <w:sz w:val="21"/>
        </w:rPr>
        <w:t>Capacity Toolkit </w:t>
      </w:r>
      <w:r>
        <w:rPr>
          <w:w w:val="105"/>
          <w:sz w:val="21"/>
        </w:rPr>
        <w:t>(2008)</w:t>
      </w:r>
    </w:p>
    <w:p>
      <w:pPr>
        <w:spacing w:line="242" w:lineRule="auto" w:before="124"/>
        <w:ind w:left="1587" w:right="1619" w:firstLine="0"/>
        <w:jc w:val="left"/>
        <w:rPr>
          <w:sz w:val="21"/>
        </w:rPr>
      </w:pPr>
      <w:r>
        <w:rPr>
          <w:w w:val="105"/>
          <w:sz w:val="21"/>
        </w:rPr>
        <w:t>New South </w:t>
      </w:r>
      <w:r>
        <w:rPr>
          <w:spacing w:val="-3"/>
          <w:w w:val="105"/>
          <w:sz w:val="21"/>
        </w:rPr>
        <w:t>Wales </w:t>
      </w:r>
      <w:r>
        <w:rPr>
          <w:w w:val="105"/>
          <w:sz w:val="21"/>
        </w:rPr>
        <w:t>Law </w:t>
      </w:r>
      <w:r>
        <w:rPr>
          <w:spacing w:val="-3"/>
          <w:w w:val="105"/>
          <w:sz w:val="21"/>
        </w:rPr>
        <w:t>Reform Commission, </w:t>
      </w:r>
      <w:r>
        <w:rPr>
          <w:i/>
          <w:w w:val="105"/>
          <w:sz w:val="21"/>
        </w:rPr>
        <w:t>Report on the </w:t>
      </w:r>
      <w:r>
        <w:rPr>
          <w:i/>
          <w:spacing w:val="-4"/>
          <w:w w:val="105"/>
          <w:sz w:val="21"/>
        </w:rPr>
        <w:t>Testator’s </w:t>
      </w:r>
      <w:r>
        <w:rPr>
          <w:i/>
          <w:spacing w:val="-3"/>
          <w:w w:val="105"/>
          <w:sz w:val="21"/>
        </w:rPr>
        <w:t>Family Maintenance </w:t>
      </w:r>
      <w:r>
        <w:rPr>
          <w:i/>
          <w:w w:val="105"/>
          <w:sz w:val="21"/>
        </w:rPr>
        <w:t>and </w:t>
      </w:r>
      <w:r>
        <w:rPr>
          <w:i/>
          <w:spacing w:val="-3"/>
          <w:w w:val="105"/>
          <w:sz w:val="21"/>
        </w:rPr>
        <w:t>Guardianship of Infants </w:t>
      </w:r>
      <w:r>
        <w:rPr>
          <w:i/>
          <w:w w:val="105"/>
          <w:sz w:val="21"/>
        </w:rPr>
        <w:t>Act </w:t>
      </w:r>
      <w:r>
        <w:rPr>
          <w:i/>
          <w:spacing w:val="-10"/>
          <w:w w:val="105"/>
          <w:sz w:val="21"/>
        </w:rPr>
        <w:t>1916</w:t>
      </w:r>
      <w:r>
        <w:rPr>
          <w:spacing w:val="-10"/>
          <w:w w:val="105"/>
          <w:sz w:val="21"/>
        </w:rPr>
        <w:t>, </w:t>
      </w:r>
      <w:r>
        <w:rPr>
          <w:w w:val="105"/>
          <w:sz w:val="21"/>
        </w:rPr>
        <w:t>Report No </w:t>
      </w:r>
      <w:r>
        <w:rPr>
          <w:spacing w:val="-3"/>
          <w:w w:val="105"/>
          <w:sz w:val="21"/>
        </w:rPr>
        <w:t>28 </w:t>
      </w:r>
      <w:r>
        <w:rPr>
          <w:spacing w:val="-6"/>
          <w:w w:val="105"/>
          <w:sz w:val="21"/>
        </w:rPr>
        <w:t>(1977)</w:t>
      </w:r>
    </w:p>
    <w:p>
      <w:pPr>
        <w:spacing w:before="122"/>
        <w:ind w:left="1587" w:right="0" w:firstLine="0"/>
        <w:jc w:val="left"/>
        <w:rPr>
          <w:sz w:val="21"/>
        </w:rPr>
      </w:pPr>
      <w:r>
        <w:rPr>
          <w:w w:val="105"/>
          <w:sz w:val="21"/>
        </w:rPr>
        <w:t>New South Wales Law Reform Commission, </w:t>
      </w:r>
      <w:r>
        <w:rPr>
          <w:i/>
          <w:w w:val="105"/>
          <w:sz w:val="21"/>
        </w:rPr>
        <w:t>Wills: Execution and Revocation</w:t>
      </w:r>
      <w:r>
        <w:rPr>
          <w:w w:val="105"/>
          <w:sz w:val="21"/>
        </w:rPr>
        <w:t>, Report No 47 (1986)</w:t>
      </w:r>
    </w:p>
    <w:p>
      <w:pPr>
        <w:spacing w:line="242" w:lineRule="auto" w:before="124"/>
        <w:ind w:left="1587" w:right="1568" w:firstLine="0"/>
        <w:jc w:val="left"/>
        <w:rPr>
          <w:sz w:val="21"/>
        </w:rPr>
      </w:pPr>
      <w:r>
        <w:rPr>
          <w:w w:val="105"/>
          <w:sz w:val="21"/>
        </w:rPr>
        <w:t>New South </w:t>
      </w:r>
      <w:r>
        <w:rPr>
          <w:spacing w:val="-3"/>
          <w:w w:val="105"/>
          <w:sz w:val="21"/>
        </w:rPr>
        <w:t>Wales </w:t>
      </w:r>
      <w:r>
        <w:rPr>
          <w:w w:val="105"/>
          <w:sz w:val="21"/>
        </w:rPr>
        <w:t>Law </w:t>
      </w:r>
      <w:r>
        <w:rPr>
          <w:spacing w:val="-3"/>
          <w:w w:val="105"/>
          <w:sz w:val="21"/>
        </w:rPr>
        <w:t>Reform Commission, </w:t>
      </w:r>
      <w:r>
        <w:rPr>
          <w:i/>
          <w:w w:val="105"/>
          <w:sz w:val="21"/>
        </w:rPr>
        <w:t>Wills for Persons Lacking Will-Making </w:t>
      </w:r>
      <w:r>
        <w:rPr>
          <w:i/>
          <w:spacing w:val="-3"/>
          <w:w w:val="105"/>
          <w:sz w:val="21"/>
        </w:rPr>
        <w:t>Capacity</w:t>
      </w:r>
      <w:r>
        <w:rPr>
          <w:spacing w:val="-3"/>
          <w:w w:val="105"/>
          <w:sz w:val="21"/>
        </w:rPr>
        <w:t>, </w:t>
      </w:r>
      <w:r>
        <w:rPr>
          <w:w w:val="105"/>
          <w:sz w:val="21"/>
        </w:rPr>
        <w:t>Report No 68 </w:t>
      </w:r>
      <w:r>
        <w:rPr>
          <w:spacing w:val="-6"/>
          <w:w w:val="105"/>
          <w:sz w:val="21"/>
        </w:rPr>
        <w:t>(1992)</w:t>
      </w:r>
    </w:p>
    <w:p>
      <w:pPr>
        <w:spacing w:line="242" w:lineRule="auto" w:before="122"/>
        <w:ind w:left="1587" w:right="1619" w:firstLine="0"/>
        <w:jc w:val="left"/>
        <w:rPr>
          <w:sz w:val="21"/>
        </w:rPr>
      </w:pPr>
      <w:r>
        <w:rPr>
          <w:w w:val="105"/>
          <w:sz w:val="21"/>
        </w:rPr>
        <w:t>New South </w:t>
      </w:r>
      <w:r>
        <w:rPr>
          <w:spacing w:val="-3"/>
          <w:w w:val="105"/>
          <w:sz w:val="21"/>
        </w:rPr>
        <w:t>Wales </w:t>
      </w:r>
      <w:r>
        <w:rPr>
          <w:w w:val="105"/>
          <w:sz w:val="21"/>
        </w:rPr>
        <w:t>Law </w:t>
      </w:r>
      <w:r>
        <w:rPr>
          <w:spacing w:val="-3"/>
          <w:w w:val="105"/>
          <w:sz w:val="21"/>
        </w:rPr>
        <w:t>Reform Commission, </w:t>
      </w:r>
      <w:r>
        <w:rPr>
          <w:i/>
          <w:w w:val="105"/>
          <w:sz w:val="21"/>
        </w:rPr>
        <w:t>Uniform </w:t>
      </w:r>
      <w:r>
        <w:rPr>
          <w:i/>
          <w:spacing w:val="-3"/>
          <w:w w:val="105"/>
          <w:sz w:val="21"/>
        </w:rPr>
        <w:t>Succession </w:t>
      </w:r>
      <w:r>
        <w:rPr>
          <w:i/>
          <w:w w:val="105"/>
          <w:sz w:val="21"/>
        </w:rPr>
        <w:t>Laws: Recognition </w:t>
      </w:r>
      <w:r>
        <w:rPr>
          <w:i/>
          <w:spacing w:val="-3"/>
          <w:w w:val="105"/>
          <w:sz w:val="21"/>
        </w:rPr>
        <w:t>of </w:t>
      </w:r>
      <w:r>
        <w:rPr>
          <w:i/>
          <w:w w:val="105"/>
          <w:sz w:val="21"/>
        </w:rPr>
        <w:t>Interstate </w:t>
      </w:r>
      <w:r>
        <w:rPr>
          <w:i/>
          <w:w w:val="105"/>
          <w:sz w:val="21"/>
        </w:rPr>
        <w:t>and Foreign Grants </w:t>
      </w:r>
      <w:r>
        <w:rPr>
          <w:i/>
          <w:spacing w:val="-3"/>
          <w:w w:val="105"/>
          <w:sz w:val="21"/>
        </w:rPr>
        <w:t>of </w:t>
      </w:r>
      <w:r>
        <w:rPr>
          <w:i/>
          <w:w w:val="105"/>
          <w:sz w:val="21"/>
        </w:rPr>
        <w:t>Probate and Letters </w:t>
      </w:r>
      <w:r>
        <w:rPr>
          <w:i/>
          <w:spacing w:val="-3"/>
          <w:w w:val="105"/>
          <w:sz w:val="21"/>
        </w:rPr>
        <w:t>of </w:t>
      </w:r>
      <w:r>
        <w:rPr>
          <w:i/>
          <w:spacing w:val="-4"/>
          <w:w w:val="105"/>
          <w:sz w:val="21"/>
        </w:rPr>
        <w:t>Administration</w:t>
      </w:r>
      <w:r>
        <w:rPr>
          <w:spacing w:val="-4"/>
          <w:w w:val="105"/>
          <w:sz w:val="21"/>
        </w:rPr>
        <w:t>, </w:t>
      </w:r>
      <w:r>
        <w:rPr>
          <w:w w:val="105"/>
          <w:sz w:val="21"/>
        </w:rPr>
        <w:t>Issues Paper No </w:t>
      </w:r>
      <w:r>
        <w:rPr>
          <w:spacing w:val="-4"/>
          <w:w w:val="105"/>
          <w:sz w:val="21"/>
        </w:rPr>
        <w:t>21(2002)</w:t>
      </w:r>
    </w:p>
    <w:p>
      <w:pPr>
        <w:spacing w:line="242" w:lineRule="auto" w:before="123"/>
        <w:ind w:left="1587" w:right="1619" w:firstLine="0"/>
        <w:jc w:val="left"/>
        <w:rPr>
          <w:sz w:val="21"/>
        </w:rPr>
      </w:pPr>
      <w:r>
        <w:rPr>
          <w:w w:val="105"/>
          <w:sz w:val="21"/>
        </w:rPr>
        <w:t>New South </w:t>
      </w:r>
      <w:r>
        <w:rPr>
          <w:spacing w:val="-3"/>
          <w:w w:val="105"/>
          <w:sz w:val="21"/>
        </w:rPr>
        <w:t>Wales </w:t>
      </w:r>
      <w:r>
        <w:rPr>
          <w:w w:val="105"/>
          <w:sz w:val="21"/>
        </w:rPr>
        <w:t>Law </w:t>
      </w:r>
      <w:r>
        <w:rPr>
          <w:spacing w:val="-3"/>
          <w:w w:val="105"/>
          <w:sz w:val="21"/>
        </w:rPr>
        <w:t>Reform Commission, </w:t>
      </w:r>
      <w:r>
        <w:rPr>
          <w:i/>
          <w:w w:val="105"/>
          <w:sz w:val="21"/>
        </w:rPr>
        <w:t>Uniform </w:t>
      </w:r>
      <w:r>
        <w:rPr>
          <w:i/>
          <w:spacing w:val="-3"/>
          <w:w w:val="105"/>
          <w:sz w:val="21"/>
        </w:rPr>
        <w:t>Succession </w:t>
      </w:r>
      <w:r>
        <w:rPr>
          <w:i/>
          <w:w w:val="105"/>
          <w:sz w:val="21"/>
        </w:rPr>
        <w:t>Laws: </w:t>
      </w:r>
      <w:r>
        <w:rPr>
          <w:i/>
          <w:spacing w:val="-3"/>
          <w:w w:val="105"/>
          <w:sz w:val="21"/>
        </w:rPr>
        <w:t>Family </w:t>
      </w:r>
      <w:r>
        <w:rPr>
          <w:i/>
          <w:spacing w:val="-4"/>
          <w:w w:val="105"/>
          <w:sz w:val="21"/>
        </w:rPr>
        <w:t>Provision</w:t>
      </w:r>
      <w:r>
        <w:rPr>
          <w:spacing w:val="-4"/>
          <w:w w:val="105"/>
          <w:sz w:val="21"/>
        </w:rPr>
        <w:t>, </w:t>
      </w:r>
      <w:r>
        <w:rPr>
          <w:w w:val="105"/>
          <w:sz w:val="21"/>
        </w:rPr>
        <w:t>Report No </w:t>
      </w:r>
      <w:r>
        <w:rPr>
          <w:spacing w:val="-12"/>
          <w:w w:val="105"/>
          <w:sz w:val="21"/>
        </w:rPr>
        <w:t>110 </w:t>
      </w:r>
      <w:r>
        <w:rPr>
          <w:w w:val="105"/>
          <w:sz w:val="21"/>
        </w:rPr>
        <w:t>(2005)</w:t>
      </w:r>
    </w:p>
    <w:p>
      <w:pPr>
        <w:spacing w:line="242" w:lineRule="auto" w:before="122"/>
        <w:ind w:left="1587" w:right="1826" w:firstLine="0"/>
        <w:jc w:val="left"/>
        <w:rPr>
          <w:sz w:val="21"/>
        </w:rPr>
      </w:pPr>
      <w:r>
        <w:rPr>
          <w:w w:val="105"/>
          <w:sz w:val="21"/>
        </w:rPr>
        <w:t>New South </w:t>
      </w:r>
      <w:r>
        <w:rPr>
          <w:spacing w:val="-3"/>
          <w:w w:val="105"/>
          <w:sz w:val="21"/>
        </w:rPr>
        <w:t>Wales </w:t>
      </w:r>
      <w:r>
        <w:rPr>
          <w:w w:val="105"/>
          <w:sz w:val="21"/>
        </w:rPr>
        <w:t>Law </w:t>
      </w:r>
      <w:r>
        <w:rPr>
          <w:spacing w:val="-3"/>
          <w:w w:val="105"/>
          <w:sz w:val="21"/>
        </w:rPr>
        <w:t>Reform Commission, </w:t>
      </w:r>
      <w:r>
        <w:rPr>
          <w:i/>
          <w:w w:val="105"/>
          <w:sz w:val="21"/>
        </w:rPr>
        <w:t>Uniform </w:t>
      </w:r>
      <w:r>
        <w:rPr>
          <w:i/>
          <w:spacing w:val="-3"/>
          <w:w w:val="105"/>
          <w:sz w:val="21"/>
        </w:rPr>
        <w:t>Succession </w:t>
      </w:r>
      <w:r>
        <w:rPr>
          <w:i/>
          <w:w w:val="105"/>
          <w:sz w:val="21"/>
        </w:rPr>
        <w:t>Laws: </w:t>
      </w:r>
      <w:r>
        <w:rPr>
          <w:i/>
          <w:spacing w:val="-3"/>
          <w:w w:val="105"/>
          <w:sz w:val="21"/>
        </w:rPr>
        <w:t>Administration of </w:t>
      </w:r>
      <w:r>
        <w:rPr>
          <w:i/>
          <w:w w:val="105"/>
          <w:sz w:val="21"/>
        </w:rPr>
        <w:t>Estates </w:t>
      </w:r>
      <w:r>
        <w:rPr>
          <w:i/>
          <w:spacing w:val="-3"/>
          <w:w w:val="105"/>
          <w:sz w:val="21"/>
        </w:rPr>
        <w:t>of </w:t>
      </w:r>
      <w:r>
        <w:rPr>
          <w:i/>
          <w:w w:val="105"/>
          <w:sz w:val="21"/>
        </w:rPr>
        <w:t>Deceased Persons</w:t>
      </w:r>
      <w:r>
        <w:rPr>
          <w:w w:val="105"/>
          <w:sz w:val="21"/>
        </w:rPr>
        <w:t>, Report No </w:t>
      </w:r>
      <w:r>
        <w:rPr>
          <w:spacing w:val="-9"/>
          <w:w w:val="105"/>
          <w:sz w:val="21"/>
        </w:rPr>
        <w:t>124 </w:t>
      </w:r>
      <w:r>
        <w:rPr>
          <w:w w:val="105"/>
          <w:sz w:val="21"/>
        </w:rPr>
        <w:t>(2009)</w:t>
      </w:r>
    </w:p>
    <w:p>
      <w:pPr>
        <w:spacing w:before="122"/>
        <w:ind w:left="1587" w:right="0" w:firstLine="0"/>
        <w:jc w:val="left"/>
        <w:rPr>
          <w:i/>
          <w:sz w:val="21"/>
        </w:rPr>
      </w:pPr>
      <w:r>
        <w:rPr>
          <w:w w:val="105"/>
          <w:sz w:val="21"/>
        </w:rPr>
        <w:t>New South Wales Law Society, </w:t>
      </w:r>
      <w:r>
        <w:rPr>
          <w:i/>
          <w:w w:val="105"/>
          <w:sz w:val="21"/>
        </w:rPr>
        <w:t>The Succession Amendment (Intestacy) Act 2009: A Commentary</w:t>
      </w:r>
    </w:p>
    <w:p>
      <w:pPr>
        <w:pStyle w:val="BodyText"/>
        <w:spacing w:before="4"/>
        <w:ind w:left="1587"/>
      </w:pPr>
      <w:r>
        <w:rPr>
          <w:w w:val="105"/>
        </w:rPr>
        <w:t>(2009)</w:t>
      </w:r>
    </w:p>
    <w:p>
      <w:pPr>
        <w:spacing w:line="242" w:lineRule="auto" w:before="124"/>
        <w:ind w:left="1587" w:right="1619" w:firstLine="0"/>
        <w:jc w:val="left"/>
        <w:rPr>
          <w:sz w:val="21"/>
        </w:rPr>
      </w:pPr>
      <w:r>
        <w:rPr>
          <w:w w:val="105"/>
          <w:sz w:val="21"/>
        </w:rPr>
        <w:t>New Zealand Law Commission, </w:t>
      </w:r>
      <w:r>
        <w:rPr>
          <w:i/>
          <w:w w:val="105"/>
          <w:sz w:val="21"/>
        </w:rPr>
        <w:t>Succession Law: A Succession (Adjustment) Act: Modernising the </w:t>
      </w:r>
      <w:r>
        <w:rPr>
          <w:i/>
          <w:w w:val="105"/>
          <w:sz w:val="21"/>
        </w:rPr>
        <w:t>Law on Sharing Property on Death</w:t>
      </w:r>
      <w:r>
        <w:rPr>
          <w:w w:val="105"/>
          <w:sz w:val="21"/>
        </w:rPr>
        <w:t>, Report 39 (1997)</w:t>
      </w:r>
    </w:p>
    <w:p>
      <w:pPr>
        <w:pStyle w:val="BodyText"/>
        <w:spacing w:line="242" w:lineRule="auto" w:before="122"/>
        <w:ind w:left="1587" w:right="1619"/>
      </w:pPr>
      <w:r>
        <w:rPr>
          <w:w w:val="105"/>
        </w:rPr>
        <w:t>Newton, </w:t>
      </w:r>
      <w:r>
        <w:rPr>
          <w:spacing w:val="-4"/>
          <w:w w:val="105"/>
        </w:rPr>
        <w:t>Shane, </w:t>
      </w:r>
      <w:r>
        <w:rPr>
          <w:w w:val="105"/>
        </w:rPr>
        <w:t>‘Setting Aside </w:t>
      </w:r>
      <w:r>
        <w:rPr>
          <w:spacing w:val="-3"/>
          <w:w w:val="105"/>
        </w:rPr>
        <w:t>Transactions for Unconscionability’ </w:t>
      </w:r>
      <w:r>
        <w:rPr>
          <w:w w:val="105"/>
        </w:rPr>
        <w:t>(Paper </w:t>
      </w:r>
      <w:r>
        <w:rPr>
          <w:spacing w:val="-3"/>
          <w:w w:val="105"/>
        </w:rPr>
        <w:t>presented </w:t>
      </w:r>
      <w:r>
        <w:rPr>
          <w:w w:val="105"/>
        </w:rPr>
        <w:t>at the 9th </w:t>
      </w:r>
      <w:r>
        <w:rPr>
          <w:spacing w:val="-3"/>
          <w:w w:val="105"/>
        </w:rPr>
        <w:t>Annual Wills </w:t>
      </w:r>
      <w:r>
        <w:rPr>
          <w:w w:val="105"/>
        </w:rPr>
        <w:t>and </w:t>
      </w:r>
      <w:r>
        <w:rPr>
          <w:spacing w:val="-3"/>
          <w:w w:val="105"/>
        </w:rPr>
        <w:t>Probate </w:t>
      </w:r>
      <w:r>
        <w:rPr>
          <w:spacing w:val="-4"/>
          <w:w w:val="105"/>
        </w:rPr>
        <w:t>Conference, </w:t>
      </w:r>
      <w:r>
        <w:rPr>
          <w:spacing w:val="-3"/>
          <w:w w:val="105"/>
        </w:rPr>
        <w:t>Melbourne, </w:t>
      </w:r>
      <w:r>
        <w:rPr>
          <w:spacing w:val="-6"/>
          <w:w w:val="105"/>
        </w:rPr>
        <w:t>18 </w:t>
      </w:r>
      <w:r>
        <w:rPr>
          <w:spacing w:val="-3"/>
          <w:w w:val="105"/>
        </w:rPr>
        <w:t>March 2002)</w:t>
      </w:r>
    </w:p>
    <w:p>
      <w:pPr>
        <w:pStyle w:val="BodyText"/>
        <w:spacing w:line="242" w:lineRule="auto" w:before="122"/>
        <w:ind w:left="1587" w:right="1619"/>
      </w:pPr>
      <w:r>
        <w:rPr>
          <w:w w:val="105"/>
        </w:rPr>
        <w:t>Newton, </w:t>
      </w:r>
      <w:r>
        <w:rPr>
          <w:spacing w:val="-4"/>
          <w:w w:val="105"/>
        </w:rPr>
        <w:t>Shane, </w:t>
      </w:r>
      <w:r>
        <w:rPr>
          <w:spacing w:val="-3"/>
          <w:w w:val="105"/>
        </w:rPr>
        <w:t>‘Asset </w:t>
      </w:r>
      <w:r>
        <w:rPr>
          <w:spacing w:val="-4"/>
          <w:w w:val="105"/>
        </w:rPr>
        <w:t>Transfers </w:t>
      </w:r>
      <w:r>
        <w:rPr>
          <w:spacing w:val="-3"/>
          <w:w w:val="105"/>
        </w:rPr>
        <w:t>During </w:t>
      </w:r>
      <w:r>
        <w:rPr>
          <w:w w:val="105"/>
        </w:rPr>
        <w:t>Life and Part IV </w:t>
      </w:r>
      <w:r>
        <w:rPr>
          <w:spacing w:val="-4"/>
          <w:w w:val="105"/>
        </w:rPr>
        <w:t>Claims’ </w:t>
      </w:r>
      <w:r>
        <w:rPr>
          <w:w w:val="105"/>
        </w:rPr>
        <w:t>(Paper </w:t>
      </w:r>
      <w:r>
        <w:rPr>
          <w:spacing w:val="-3"/>
          <w:w w:val="105"/>
        </w:rPr>
        <w:t>presented </w:t>
      </w:r>
      <w:r>
        <w:rPr>
          <w:w w:val="105"/>
        </w:rPr>
        <w:t>at the </w:t>
      </w:r>
      <w:r>
        <w:rPr>
          <w:spacing w:val="-3"/>
          <w:w w:val="105"/>
        </w:rPr>
        <w:t>Wills </w:t>
      </w:r>
      <w:r>
        <w:rPr>
          <w:w w:val="105"/>
        </w:rPr>
        <w:t>and Estates </w:t>
      </w:r>
      <w:r>
        <w:rPr>
          <w:spacing w:val="-4"/>
          <w:w w:val="105"/>
        </w:rPr>
        <w:t>Conference, </w:t>
      </w:r>
      <w:r>
        <w:rPr>
          <w:spacing w:val="-3"/>
          <w:w w:val="105"/>
        </w:rPr>
        <w:t>Melbourne, </w:t>
      </w:r>
      <w:r>
        <w:rPr>
          <w:spacing w:val="-2"/>
          <w:w w:val="105"/>
        </w:rPr>
        <w:t>August </w:t>
      </w:r>
      <w:r>
        <w:rPr>
          <w:w w:val="105"/>
        </w:rPr>
        <w:t>2009)</w:t>
      </w:r>
    </w:p>
    <w:p>
      <w:pPr>
        <w:spacing w:line="242" w:lineRule="auto" w:before="122"/>
        <w:ind w:left="1587" w:right="1698" w:firstLine="0"/>
        <w:jc w:val="left"/>
        <w:rPr>
          <w:sz w:val="21"/>
        </w:rPr>
      </w:pPr>
      <w:r>
        <w:rPr>
          <w:w w:val="105"/>
          <w:sz w:val="21"/>
        </w:rPr>
        <w:t>Northern Territory Law Reform Committee, </w:t>
      </w:r>
      <w:r>
        <w:rPr>
          <w:i/>
          <w:w w:val="105"/>
          <w:sz w:val="21"/>
        </w:rPr>
        <w:t>Report on Uniform Succession Laws: A Review of the </w:t>
      </w:r>
      <w:r>
        <w:rPr>
          <w:i/>
          <w:w w:val="105"/>
          <w:sz w:val="21"/>
        </w:rPr>
        <w:t>Recommendations of the National Committee for Uniform Succession Laws and Draft Bills on Intestacy and Family Provision</w:t>
      </w:r>
      <w:r>
        <w:rPr>
          <w:w w:val="105"/>
          <w:sz w:val="21"/>
        </w:rPr>
        <w:t>, Report No 31 (2007)</w:t>
      </w:r>
    </w:p>
    <w:p>
      <w:pPr>
        <w:spacing w:before="124"/>
        <w:ind w:left="1587" w:right="0" w:firstLine="0"/>
        <w:jc w:val="left"/>
        <w:rPr>
          <w:sz w:val="21"/>
        </w:rPr>
      </w:pPr>
      <w:r>
        <w:rPr>
          <w:w w:val="105"/>
          <w:sz w:val="21"/>
        </w:rPr>
        <w:t>Note, ‘Ademption and the Testator’s Intent’ (1961) 74 </w:t>
      </w:r>
      <w:r>
        <w:rPr>
          <w:i/>
          <w:w w:val="105"/>
          <w:sz w:val="21"/>
        </w:rPr>
        <w:t>Harvard Law Review </w:t>
      </w:r>
      <w:r>
        <w:rPr>
          <w:w w:val="105"/>
          <w:sz w:val="21"/>
        </w:rPr>
        <w:t>741</w:t>
      </w:r>
    </w:p>
    <w:p>
      <w:pPr>
        <w:spacing w:line="242" w:lineRule="auto" w:before="123"/>
        <w:ind w:left="1587" w:right="1619" w:firstLine="0"/>
        <w:jc w:val="left"/>
        <w:rPr>
          <w:sz w:val="21"/>
        </w:rPr>
      </w:pPr>
      <w:r>
        <w:rPr>
          <w:spacing w:val="-4"/>
          <w:w w:val="105"/>
          <w:sz w:val="21"/>
        </w:rPr>
        <w:t>O’Keefe, </w:t>
      </w:r>
      <w:r>
        <w:rPr>
          <w:spacing w:val="-3"/>
          <w:w w:val="105"/>
          <w:sz w:val="21"/>
        </w:rPr>
        <w:t>Karen, </w:t>
      </w:r>
      <w:r>
        <w:rPr>
          <w:w w:val="105"/>
          <w:sz w:val="21"/>
        </w:rPr>
        <w:t>‘Legal Practitioners as Executors’ </w:t>
      </w:r>
      <w:r>
        <w:rPr>
          <w:spacing w:val="-9"/>
          <w:w w:val="105"/>
          <w:sz w:val="21"/>
        </w:rPr>
        <w:t>(2011) </w:t>
      </w:r>
      <w:r>
        <w:rPr>
          <w:spacing w:val="2"/>
          <w:w w:val="105"/>
          <w:sz w:val="21"/>
        </w:rPr>
        <w:t>33(9) </w:t>
      </w:r>
      <w:r>
        <w:rPr>
          <w:i/>
          <w:spacing w:val="-3"/>
          <w:w w:val="105"/>
          <w:sz w:val="21"/>
        </w:rPr>
        <w:t>Bulletin of </w:t>
      </w:r>
      <w:r>
        <w:rPr>
          <w:i/>
          <w:w w:val="105"/>
          <w:sz w:val="21"/>
        </w:rPr>
        <w:t>the Law Society </w:t>
      </w:r>
      <w:r>
        <w:rPr>
          <w:i/>
          <w:spacing w:val="-3"/>
          <w:w w:val="105"/>
          <w:sz w:val="21"/>
        </w:rPr>
        <w:t>of </w:t>
      </w:r>
      <w:r>
        <w:rPr>
          <w:i/>
          <w:w w:val="105"/>
          <w:sz w:val="21"/>
        </w:rPr>
        <w:t>South </w:t>
      </w:r>
      <w:r>
        <w:rPr>
          <w:i/>
          <w:spacing w:val="-3"/>
          <w:w w:val="105"/>
          <w:sz w:val="21"/>
        </w:rPr>
        <w:t>Australia </w:t>
      </w:r>
      <w:r>
        <w:rPr>
          <w:spacing w:val="-14"/>
          <w:w w:val="105"/>
          <w:sz w:val="21"/>
        </w:rPr>
        <w:t>14</w:t>
      </w:r>
    </w:p>
    <w:p>
      <w:pPr>
        <w:pStyle w:val="BodyText"/>
        <w:spacing w:line="242" w:lineRule="auto" w:before="123"/>
        <w:ind w:left="1587" w:right="1619"/>
      </w:pPr>
      <w:r>
        <w:rPr>
          <w:w w:val="105"/>
        </w:rPr>
        <w:t>Onega, David, ‘Hegel’s Hobbled Heritage: The Ohio Supreme Court’s Use of the Doctrine of Ademption to Prey on the Incompetent’ (1997) 26 </w:t>
      </w:r>
      <w:r>
        <w:rPr>
          <w:i/>
          <w:w w:val="105"/>
        </w:rPr>
        <w:t>Capital University Law Review </w:t>
      </w:r>
      <w:r>
        <w:rPr>
          <w:w w:val="105"/>
        </w:rPr>
        <w:t>201</w:t>
      </w:r>
    </w:p>
    <w:p>
      <w:pPr>
        <w:pStyle w:val="BodyText"/>
        <w:spacing w:line="242" w:lineRule="auto" w:before="122"/>
        <w:ind w:left="1587" w:right="1761"/>
      </w:pPr>
      <w:r>
        <w:rPr>
          <w:spacing w:val="-3"/>
          <w:w w:val="105"/>
        </w:rPr>
        <w:t>O’Neill, </w:t>
      </w:r>
      <w:r>
        <w:rPr>
          <w:w w:val="105"/>
        </w:rPr>
        <w:t>Nick and </w:t>
      </w:r>
      <w:r>
        <w:rPr>
          <w:spacing w:val="-3"/>
          <w:w w:val="105"/>
        </w:rPr>
        <w:t>Carmelle Peisah, </w:t>
      </w:r>
      <w:r>
        <w:rPr>
          <w:i/>
          <w:w w:val="105"/>
        </w:rPr>
        <w:t>Capacity and the Law </w:t>
      </w:r>
      <w:r>
        <w:rPr>
          <w:spacing w:val="-3"/>
          <w:w w:val="105"/>
        </w:rPr>
        <w:t>(Sydney </w:t>
      </w:r>
      <w:r>
        <w:rPr>
          <w:w w:val="105"/>
        </w:rPr>
        <w:t>University Press in co-operation with the </w:t>
      </w:r>
      <w:r>
        <w:rPr>
          <w:spacing w:val="-3"/>
          <w:w w:val="105"/>
        </w:rPr>
        <w:t>Australian </w:t>
      </w:r>
      <w:r>
        <w:rPr>
          <w:w w:val="105"/>
        </w:rPr>
        <w:t>Legal </w:t>
      </w:r>
      <w:r>
        <w:rPr>
          <w:spacing w:val="-3"/>
          <w:w w:val="105"/>
        </w:rPr>
        <w:t>Information Institute </w:t>
      </w:r>
      <w:r>
        <w:rPr>
          <w:w w:val="105"/>
        </w:rPr>
        <w:t>(AustLII), </w:t>
      </w:r>
      <w:r>
        <w:rPr>
          <w:spacing w:val="-10"/>
          <w:w w:val="105"/>
        </w:rPr>
        <w:t>2011)</w:t>
      </w:r>
    </w:p>
    <w:p>
      <w:pPr>
        <w:pStyle w:val="BodyText"/>
        <w:spacing w:before="7"/>
        <w:rPr>
          <w:sz w:val="15"/>
        </w:rPr>
      </w:pPr>
    </w:p>
    <w:p>
      <w:pPr>
        <w:spacing w:before="99"/>
        <w:ind w:left="0" w:right="592" w:firstLine="0"/>
        <w:jc w:val="right"/>
        <w:rPr>
          <w:b/>
          <w:sz w:val="24"/>
        </w:rPr>
      </w:pPr>
      <w:r>
        <w:rPr>
          <w:b/>
          <w:color w:val="EC5A4F"/>
          <w:w w:val="105"/>
          <w:sz w:val="24"/>
        </w:rPr>
        <w:t>223</w:t>
      </w:r>
    </w:p>
    <w:p>
      <w:pPr>
        <w:spacing w:after="0"/>
        <w:jc w:val="right"/>
        <w:rPr>
          <w:sz w:val="24"/>
        </w:rPr>
        <w:sectPr>
          <w:pgSz w:w="11910" w:h="16840"/>
          <w:pgMar w:header="567" w:footer="0" w:top="1580" w:bottom="280" w:left="0" w:right="0"/>
        </w:sectPr>
      </w:pPr>
    </w:p>
    <w:p>
      <w:pPr>
        <w:pStyle w:val="BodyText"/>
        <w:spacing w:before="8"/>
        <w:rPr>
          <w:b/>
          <w:sz w:val="22"/>
        </w:rPr>
      </w:pPr>
    </w:p>
    <w:p>
      <w:pPr>
        <w:spacing w:after="0"/>
        <w:rPr>
          <w:sz w:val="22"/>
        </w:rPr>
        <w:sectPr>
          <w:pgSz w:w="11910" w:h="16840"/>
          <w:pgMar w:header="550" w:footer="0" w:top="1560" w:bottom="280" w:left="0" w:right="0"/>
        </w:sect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pStyle w:val="BodyText"/>
        <w:rPr>
          <w:b/>
          <w:sz w:val="28"/>
        </w:rPr>
      </w:pPr>
    </w:p>
    <w:p>
      <w:pPr>
        <w:spacing w:before="194"/>
        <w:ind w:left="720" w:right="0" w:firstLine="0"/>
        <w:jc w:val="left"/>
        <w:rPr>
          <w:b/>
          <w:sz w:val="24"/>
        </w:rPr>
      </w:pPr>
      <w:r>
        <w:rPr>
          <w:b/>
          <w:color w:val="EC5A4F"/>
          <w:w w:val="110"/>
          <w:sz w:val="24"/>
        </w:rPr>
        <w:t>224</w:t>
      </w:r>
    </w:p>
    <w:p>
      <w:pPr>
        <w:spacing w:line="242" w:lineRule="auto" w:before="93"/>
        <w:ind w:left="426" w:right="1566" w:firstLine="0"/>
        <w:jc w:val="left"/>
        <w:rPr>
          <w:sz w:val="21"/>
        </w:rPr>
      </w:pPr>
      <w:r>
        <w:rPr/>
        <w:br w:type="column"/>
      </w:r>
      <w:r>
        <w:rPr>
          <w:spacing w:val="-3"/>
          <w:w w:val="105"/>
          <w:sz w:val="21"/>
        </w:rPr>
        <w:t>O’Sullivan, Bernie, </w:t>
      </w:r>
      <w:r>
        <w:rPr>
          <w:i/>
          <w:w w:val="105"/>
          <w:sz w:val="21"/>
        </w:rPr>
        <w:t>Estate and </w:t>
      </w:r>
      <w:r>
        <w:rPr>
          <w:i/>
          <w:spacing w:val="-3"/>
          <w:w w:val="105"/>
          <w:sz w:val="21"/>
        </w:rPr>
        <w:t>Business Succession Planning: </w:t>
      </w:r>
      <w:r>
        <w:rPr>
          <w:i/>
          <w:w w:val="105"/>
          <w:sz w:val="21"/>
        </w:rPr>
        <w:t>A Practical and </w:t>
      </w:r>
      <w:r>
        <w:rPr>
          <w:i/>
          <w:spacing w:val="-3"/>
          <w:w w:val="105"/>
          <w:sz w:val="21"/>
        </w:rPr>
        <w:t>Strategic Guide </w:t>
      </w:r>
      <w:r>
        <w:rPr>
          <w:i/>
          <w:w w:val="105"/>
          <w:sz w:val="21"/>
        </w:rPr>
        <w:t>for </w:t>
      </w:r>
      <w:r>
        <w:rPr>
          <w:i/>
          <w:spacing w:val="-3"/>
          <w:w w:val="105"/>
          <w:sz w:val="21"/>
        </w:rPr>
        <w:t>Accountants, Financial </w:t>
      </w:r>
      <w:r>
        <w:rPr>
          <w:i/>
          <w:w w:val="105"/>
          <w:sz w:val="21"/>
        </w:rPr>
        <w:t>Planners and Lawyers </w:t>
      </w:r>
      <w:r>
        <w:rPr>
          <w:spacing w:val="-3"/>
          <w:w w:val="105"/>
          <w:sz w:val="21"/>
        </w:rPr>
        <w:t>(Taxation Institute </w:t>
      </w:r>
      <w:r>
        <w:rPr>
          <w:w w:val="105"/>
          <w:sz w:val="21"/>
        </w:rPr>
        <w:t>of </w:t>
      </w:r>
      <w:r>
        <w:rPr>
          <w:spacing w:val="-3"/>
          <w:w w:val="105"/>
          <w:sz w:val="21"/>
        </w:rPr>
        <w:t>Australia, 3rd </w:t>
      </w:r>
      <w:r>
        <w:rPr>
          <w:w w:val="105"/>
          <w:sz w:val="21"/>
        </w:rPr>
        <w:t>ed, </w:t>
      </w:r>
      <w:r>
        <w:rPr>
          <w:spacing w:val="-5"/>
          <w:w w:val="105"/>
          <w:sz w:val="21"/>
        </w:rPr>
        <w:t>2010)</w:t>
      </w:r>
    </w:p>
    <w:p>
      <w:pPr>
        <w:pStyle w:val="BodyText"/>
        <w:spacing w:line="242" w:lineRule="auto" w:before="122"/>
        <w:ind w:left="426" w:right="1566"/>
      </w:pPr>
      <w:r>
        <w:rPr>
          <w:w w:val="105"/>
        </w:rPr>
        <w:t>Peart, </w:t>
      </w:r>
      <w:r>
        <w:rPr>
          <w:spacing w:val="-3"/>
          <w:w w:val="105"/>
        </w:rPr>
        <w:t>Nicola, ‘Reforming </w:t>
      </w:r>
      <w:r>
        <w:rPr>
          <w:w w:val="105"/>
        </w:rPr>
        <w:t>the Forfeiture Rule: </w:t>
      </w:r>
      <w:r>
        <w:rPr>
          <w:spacing w:val="-4"/>
          <w:w w:val="105"/>
        </w:rPr>
        <w:t>Comparing </w:t>
      </w:r>
      <w:r>
        <w:rPr>
          <w:w w:val="105"/>
        </w:rPr>
        <w:t>New </w:t>
      </w:r>
      <w:r>
        <w:rPr>
          <w:spacing w:val="-3"/>
          <w:w w:val="105"/>
        </w:rPr>
        <w:t>Zealand, England </w:t>
      </w:r>
      <w:r>
        <w:rPr>
          <w:w w:val="105"/>
        </w:rPr>
        <w:t>and </w:t>
      </w:r>
      <w:r>
        <w:rPr>
          <w:spacing w:val="-3"/>
          <w:w w:val="105"/>
        </w:rPr>
        <w:t>Australia’ (2002) </w:t>
      </w:r>
      <w:r>
        <w:rPr>
          <w:spacing w:val="-6"/>
          <w:w w:val="105"/>
        </w:rPr>
        <w:t>31 </w:t>
      </w:r>
      <w:r>
        <w:rPr>
          <w:i/>
          <w:spacing w:val="-3"/>
          <w:w w:val="105"/>
        </w:rPr>
        <w:t>Common </w:t>
      </w:r>
      <w:r>
        <w:rPr>
          <w:i/>
          <w:w w:val="105"/>
        </w:rPr>
        <w:t>Law </w:t>
      </w:r>
      <w:r>
        <w:rPr>
          <w:i/>
          <w:spacing w:val="-3"/>
          <w:w w:val="105"/>
        </w:rPr>
        <w:t>World </w:t>
      </w:r>
      <w:r>
        <w:rPr>
          <w:i/>
          <w:w w:val="105"/>
        </w:rPr>
        <w:t>Review </w:t>
      </w:r>
      <w:r>
        <w:rPr>
          <w:w w:val="105"/>
        </w:rPr>
        <w:t>1</w:t>
      </w:r>
    </w:p>
    <w:p>
      <w:pPr>
        <w:spacing w:line="242" w:lineRule="auto" w:before="122"/>
        <w:ind w:left="426" w:right="1566" w:firstLine="0"/>
        <w:jc w:val="left"/>
        <w:rPr>
          <w:sz w:val="21"/>
        </w:rPr>
      </w:pPr>
      <w:r>
        <w:rPr>
          <w:spacing w:val="-3"/>
          <w:w w:val="105"/>
          <w:sz w:val="21"/>
        </w:rPr>
        <w:t>Preble, Robin, ‘Family </w:t>
      </w:r>
      <w:r>
        <w:rPr>
          <w:w w:val="105"/>
          <w:sz w:val="21"/>
        </w:rPr>
        <w:t>Violence and </w:t>
      </w:r>
      <w:r>
        <w:rPr>
          <w:spacing w:val="-4"/>
          <w:w w:val="105"/>
          <w:sz w:val="21"/>
        </w:rPr>
        <w:t>Family </w:t>
      </w:r>
      <w:r>
        <w:rPr>
          <w:w w:val="105"/>
          <w:sz w:val="21"/>
        </w:rPr>
        <w:t>Property—A Proposal </w:t>
      </w:r>
      <w:r>
        <w:rPr>
          <w:spacing w:val="-3"/>
          <w:w w:val="105"/>
          <w:sz w:val="21"/>
        </w:rPr>
        <w:t>for Reform’ </w:t>
      </w:r>
      <w:r>
        <w:rPr>
          <w:spacing w:val="-5"/>
          <w:w w:val="105"/>
          <w:sz w:val="21"/>
        </w:rPr>
        <w:t>(1995) </w:t>
      </w:r>
      <w:r>
        <w:rPr>
          <w:spacing w:val="-9"/>
          <w:w w:val="105"/>
          <w:sz w:val="21"/>
        </w:rPr>
        <w:t>13 </w:t>
      </w:r>
      <w:r>
        <w:rPr>
          <w:i/>
          <w:w w:val="105"/>
          <w:sz w:val="21"/>
        </w:rPr>
        <w:t>Law and </w:t>
      </w:r>
      <w:r>
        <w:rPr>
          <w:i/>
          <w:w w:val="105"/>
          <w:sz w:val="21"/>
        </w:rPr>
        <w:t>Inequality Journal </w:t>
      </w:r>
      <w:r>
        <w:rPr>
          <w:spacing w:val="-6"/>
          <w:w w:val="105"/>
          <w:sz w:val="21"/>
        </w:rPr>
        <w:t>401</w:t>
      </w:r>
    </w:p>
    <w:p>
      <w:pPr>
        <w:pStyle w:val="BodyText"/>
        <w:spacing w:line="242" w:lineRule="auto" w:before="122"/>
        <w:ind w:left="426" w:right="1566"/>
      </w:pPr>
      <w:r>
        <w:rPr>
          <w:spacing w:val="-3"/>
          <w:w w:val="105"/>
        </w:rPr>
        <w:t>Preece, Alun, </w:t>
      </w:r>
      <w:r>
        <w:rPr>
          <w:w w:val="105"/>
        </w:rPr>
        <w:t>‘The Impact of the Law of Inheritance on the </w:t>
      </w:r>
      <w:r>
        <w:rPr>
          <w:spacing w:val="-3"/>
          <w:w w:val="105"/>
        </w:rPr>
        <w:t>Family’ </w:t>
      </w:r>
      <w:r>
        <w:rPr>
          <w:w w:val="105"/>
        </w:rPr>
        <w:t>(Paper </w:t>
      </w:r>
      <w:r>
        <w:rPr>
          <w:spacing w:val="-3"/>
          <w:w w:val="105"/>
        </w:rPr>
        <w:t>presented </w:t>
      </w:r>
      <w:r>
        <w:rPr>
          <w:w w:val="105"/>
        </w:rPr>
        <w:t>at the </w:t>
      </w:r>
      <w:r>
        <w:rPr>
          <w:spacing w:val="-3"/>
          <w:w w:val="105"/>
        </w:rPr>
        <w:t>7th Australian Institute </w:t>
      </w:r>
      <w:r>
        <w:rPr>
          <w:w w:val="105"/>
        </w:rPr>
        <w:t>of </w:t>
      </w:r>
      <w:r>
        <w:rPr>
          <w:spacing w:val="-4"/>
          <w:w w:val="105"/>
        </w:rPr>
        <w:t>Family </w:t>
      </w:r>
      <w:r>
        <w:rPr>
          <w:spacing w:val="-3"/>
          <w:w w:val="105"/>
        </w:rPr>
        <w:t>Studies </w:t>
      </w:r>
      <w:r>
        <w:rPr>
          <w:spacing w:val="-4"/>
          <w:w w:val="105"/>
        </w:rPr>
        <w:t>Conference, </w:t>
      </w:r>
      <w:r>
        <w:rPr>
          <w:spacing w:val="-5"/>
          <w:w w:val="105"/>
        </w:rPr>
        <w:t>Sydney, </w:t>
      </w:r>
      <w:r>
        <w:rPr>
          <w:spacing w:val="-3"/>
          <w:w w:val="105"/>
        </w:rPr>
        <w:t>24–26 </w:t>
      </w:r>
      <w:r>
        <w:rPr>
          <w:w w:val="105"/>
        </w:rPr>
        <w:t>July 2000)</w:t>
      </w:r>
    </w:p>
    <w:p>
      <w:pPr>
        <w:spacing w:line="355" w:lineRule="auto" w:before="123"/>
        <w:ind w:left="426" w:right="2163" w:firstLine="0"/>
        <w:jc w:val="left"/>
        <w:rPr>
          <w:sz w:val="21"/>
        </w:rPr>
      </w:pPr>
      <w:r>
        <w:rPr>
          <w:w w:val="105"/>
          <w:sz w:val="21"/>
        </w:rPr>
        <w:t>Queensland Law Reform Commission, </w:t>
      </w:r>
      <w:r>
        <w:rPr>
          <w:i/>
          <w:w w:val="105"/>
          <w:sz w:val="21"/>
        </w:rPr>
        <w:t>The Law Relating to Succession</w:t>
      </w:r>
      <w:r>
        <w:rPr>
          <w:w w:val="105"/>
          <w:sz w:val="21"/>
        </w:rPr>
        <w:t>, Report No 22 (1978) Queensland Law Reform Commission, </w:t>
      </w:r>
      <w:r>
        <w:rPr>
          <w:i/>
          <w:w w:val="105"/>
          <w:sz w:val="21"/>
        </w:rPr>
        <w:t>The Law of Wills</w:t>
      </w:r>
      <w:r>
        <w:rPr>
          <w:w w:val="105"/>
          <w:sz w:val="21"/>
        </w:rPr>
        <w:t>, Report No 52 (1997)</w:t>
      </w:r>
    </w:p>
    <w:p>
      <w:pPr>
        <w:spacing w:line="242" w:lineRule="auto" w:before="1"/>
        <w:ind w:left="426" w:right="1566" w:firstLine="0"/>
        <w:jc w:val="left"/>
        <w:rPr>
          <w:sz w:val="21"/>
        </w:rPr>
      </w:pPr>
      <w:r>
        <w:rPr>
          <w:spacing w:val="-3"/>
          <w:w w:val="105"/>
          <w:sz w:val="21"/>
        </w:rPr>
        <w:t>Radan, Peter </w:t>
      </w:r>
      <w:r>
        <w:rPr>
          <w:w w:val="105"/>
          <w:sz w:val="21"/>
        </w:rPr>
        <w:t>and </w:t>
      </w:r>
      <w:r>
        <w:rPr>
          <w:spacing w:val="-3"/>
          <w:w w:val="105"/>
          <w:sz w:val="21"/>
        </w:rPr>
        <w:t>Cameron Stewart, </w:t>
      </w:r>
      <w:r>
        <w:rPr>
          <w:i/>
          <w:w w:val="105"/>
          <w:sz w:val="21"/>
        </w:rPr>
        <w:t>Principles </w:t>
      </w:r>
      <w:r>
        <w:rPr>
          <w:i/>
          <w:spacing w:val="-3"/>
          <w:w w:val="105"/>
          <w:sz w:val="21"/>
        </w:rPr>
        <w:t>of Australian </w:t>
      </w:r>
      <w:r>
        <w:rPr>
          <w:i/>
          <w:w w:val="105"/>
          <w:sz w:val="21"/>
        </w:rPr>
        <w:t>Equity and </w:t>
      </w:r>
      <w:r>
        <w:rPr>
          <w:i/>
          <w:spacing w:val="-3"/>
          <w:w w:val="105"/>
          <w:sz w:val="21"/>
        </w:rPr>
        <w:t>Trusts </w:t>
      </w:r>
      <w:r>
        <w:rPr>
          <w:w w:val="105"/>
          <w:sz w:val="21"/>
        </w:rPr>
        <w:t>(LexisNexis Butterworths, </w:t>
      </w:r>
      <w:r>
        <w:rPr>
          <w:spacing w:val="-4"/>
          <w:w w:val="105"/>
          <w:sz w:val="21"/>
        </w:rPr>
        <w:t>2nd </w:t>
      </w:r>
      <w:r>
        <w:rPr>
          <w:w w:val="105"/>
          <w:sz w:val="21"/>
        </w:rPr>
        <w:t>ed, </w:t>
      </w:r>
      <w:r>
        <w:rPr>
          <w:spacing w:val="-6"/>
          <w:w w:val="105"/>
          <w:sz w:val="21"/>
        </w:rPr>
        <w:t>2013)</w:t>
      </w:r>
    </w:p>
    <w:p>
      <w:pPr>
        <w:spacing w:before="122"/>
        <w:ind w:left="426" w:right="0" w:firstLine="0"/>
        <w:jc w:val="left"/>
        <w:rPr>
          <w:sz w:val="21"/>
        </w:rPr>
      </w:pPr>
      <w:r>
        <w:rPr>
          <w:w w:val="105"/>
          <w:sz w:val="21"/>
        </w:rPr>
        <w:t>Reinhardt, Greg, ‘Family Provision—Moral Duty of Testator?’ (1997) 71(3) </w:t>
      </w:r>
      <w:r>
        <w:rPr>
          <w:i/>
          <w:w w:val="105"/>
          <w:sz w:val="21"/>
        </w:rPr>
        <w:t>Law Institute Journal </w:t>
      </w:r>
      <w:r>
        <w:rPr>
          <w:w w:val="105"/>
          <w:sz w:val="21"/>
        </w:rPr>
        <w:t>67</w:t>
      </w:r>
    </w:p>
    <w:p>
      <w:pPr>
        <w:pStyle w:val="BodyText"/>
        <w:spacing w:line="242" w:lineRule="auto" w:before="124"/>
        <w:ind w:left="426" w:right="1566"/>
      </w:pPr>
      <w:r>
        <w:rPr>
          <w:w w:val="105"/>
        </w:rPr>
        <w:t>Rhodes, Ann-Marie, </w:t>
      </w:r>
      <w:r>
        <w:rPr>
          <w:spacing w:val="-4"/>
          <w:w w:val="105"/>
        </w:rPr>
        <w:t>‘Abandoning </w:t>
      </w:r>
      <w:r>
        <w:rPr>
          <w:spacing w:val="-3"/>
          <w:w w:val="105"/>
        </w:rPr>
        <w:t>Parents </w:t>
      </w:r>
      <w:r>
        <w:rPr>
          <w:w w:val="105"/>
        </w:rPr>
        <w:t>Under Intestacy: Where </w:t>
      </w:r>
      <w:r>
        <w:rPr>
          <w:spacing w:val="-3"/>
          <w:w w:val="105"/>
        </w:rPr>
        <w:t>We Are, </w:t>
      </w:r>
      <w:r>
        <w:rPr>
          <w:w w:val="105"/>
        </w:rPr>
        <w:t>Where </w:t>
      </w:r>
      <w:r>
        <w:rPr>
          <w:spacing w:val="-3"/>
          <w:w w:val="105"/>
        </w:rPr>
        <w:t>We </w:t>
      </w:r>
      <w:r>
        <w:rPr>
          <w:w w:val="105"/>
        </w:rPr>
        <w:t>Need </w:t>
      </w:r>
      <w:r>
        <w:rPr>
          <w:spacing w:val="-3"/>
          <w:w w:val="105"/>
        </w:rPr>
        <w:t>to </w:t>
      </w:r>
      <w:r>
        <w:rPr>
          <w:w w:val="105"/>
        </w:rPr>
        <w:t>Go’ </w:t>
      </w:r>
      <w:r>
        <w:rPr>
          <w:spacing w:val="-3"/>
          <w:w w:val="105"/>
        </w:rPr>
        <w:t>(1994) </w:t>
      </w:r>
      <w:r>
        <w:rPr>
          <w:spacing w:val="-5"/>
          <w:w w:val="105"/>
        </w:rPr>
        <w:t>27 </w:t>
      </w:r>
      <w:r>
        <w:rPr>
          <w:i/>
          <w:spacing w:val="-3"/>
          <w:w w:val="105"/>
        </w:rPr>
        <w:t>Indiana </w:t>
      </w:r>
      <w:r>
        <w:rPr>
          <w:i/>
          <w:w w:val="105"/>
        </w:rPr>
        <w:t>Law Review </w:t>
      </w:r>
      <w:r>
        <w:rPr>
          <w:spacing w:val="-12"/>
          <w:w w:val="105"/>
        </w:rPr>
        <w:t>517</w:t>
      </w:r>
    </w:p>
    <w:p>
      <w:pPr>
        <w:spacing w:line="242" w:lineRule="auto" w:before="122"/>
        <w:ind w:left="426" w:right="1658" w:firstLine="0"/>
        <w:jc w:val="left"/>
        <w:rPr>
          <w:sz w:val="21"/>
        </w:rPr>
      </w:pPr>
      <w:r>
        <w:rPr>
          <w:w w:val="105"/>
          <w:sz w:val="21"/>
        </w:rPr>
        <w:t>Rhodes, Ann-Marie, </w:t>
      </w:r>
      <w:r>
        <w:rPr>
          <w:spacing w:val="-3"/>
          <w:w w:val="105"/>
          <w:sz w:val="21"/>
        </w:rPr>
        <w:t>‘Consequences </w:t>
      </w:r>
      <w:r>
        <w:rPr>
          <w:w w:val="105"/>
          <w:sz w:val="21"/>
        </w:rPr>
        <w:t>of Heirs’ Misconduct: Moving </w:t>
      </w:r>
      <w:r>
        <w:rPr>
          <w:spacing w:val="-3"/>
          <w:w w:val="105"/>
          <w:sz w:val="21"/>
        </w:rPr>
        <w:t>from </w:t>
      </w:r>
      <w:r>
        <w:rPr>
          <w:w w:val="105"/>
          <w:sz w:val="21"/>
        </w:rPr>
        <w:t>Rules </w:t>
      </w:r>
      <w:r>
        <w:rPr>
          <w:spacing w:val="-3"/>
          <w:w w:val="105"/>
          <w:sz w:val="21"/>
        </w:rPr>
        <w:t>to Discretion’ (2007) 33 </w:t>
      </w:r>
      <w:r>
        <w:rPr>
          <w:i/>
          <w:w w:val="105"/>
          <w:sz w:val="21"/>
        </w:rPr>
        <w:t>Ohio Northern University Law Review </w:t>
      </w:r>
      <w:r>
        <w:rPr>
          <w:spacing w:val="-7"/>
          <w:w w:val="105"/>
          <w:sz w:val="21"/>
        </w:rPr>
        <w:t>975</w:t>
      </w:r>
    </w:p>
    <w:p>
      <w:pPr>
        <w:spacing w:before="123"/>
        <w:ind w:left="426" w:right="0" w:firstLine="0"/>
        <w:jc w:val="left"/>
        <w:rPr>
          <w:sz w:val="21"/>
        </w:rPr>
      </w:pPr>
      <w:r>
        <w:rPr>
          <w:w w:val="105"/>
          <w:sz w:val="21"/>
        </w:rPr>
        <w:t>Ridge, Pauline, ‘Equitable Undue Influence and Wills’ (2004) 120 </w:t>
      </w:r>
      <w:r>
        <w:rPr>
          <w:i/>
          <w:w w:val="105"/>
          <w:sz w:val="21"/>
        </w:rPr>
        <w:t>Law Quarterly Review </w:t>
      </w:r>
      <w:r>
        <w:rPr>
          <w:w w:val="105"/>
          <w:sz w:val="21"/>
        </w:rPr>
        <w:t>617</w:t>
      </w:r>
    </w:p>
    <w:p>
      <w:pPr>
        <w:spacing w:line="242" w:lineRule="auto" w:before="123"/>
        <w:ind w:left="426" w:right="1566" w:firstLine="0"/>
        <w:jc w:val="left"/>
        <w:rPr>
          <w:sz w:val="21"/>
        </w:rPr>
      </w:pPr>
      <w:r>
        <w:rPr>
          <w:spacing w:val="-3"/>
          <w:w w:val="105"/>
          <w:sz w:val="21"/>
        </w:rPr>
        <w:t>Ridge, </w:t>
      </w:r>
      <w:r>
        <w:rPr>
          <w:spacing w:val="-4"/>
          <w:w w:val="105"/>
          <w:sz w:val="21"/>
        </w:rPr>
        <w:t>Pauline, </w:t>
      </w:r>
      <w:r>
        <w:rPr>
          <w:w w:val="105"/>
          <w:sz w:val="21"/>
        </w:rPr>
        <w:t>‘Moral </w:t>
      </w:r>
      <w:r>
        <w:rPr>
          <w:spacing w:val="-3"/>
          <w:w w:val="105"/>
          <w:sz w:val="21"/>
        </w:rPr>
        <w:t>Duty, Religious </w:t>
      </w:r>
      <w:r>
        <w:rPr>
          <w:spacing w:val="-4"/>
          <w:w w:val="105"/>
          <w:sz w:val="21"/>
        </w:rPr>
        <w:t>Faith </w:t>
      </w:r>
      <w:r>
        <w:rPr>
          <w:w w:val="105"/>
          <w:sz w:val="21"/>
        </w:rPr>
        <w:t>and the </w:t>
      </w:r>
      <w:r>
        <w:rPr>
          <w:spacing w:val="-3"/>
          <w:w w:val="105"/>
          <w:sz w:val="21"/>
        </w:rPr>
        <w:t>Regulation </w:t>
      </w:r>
      <w:r>
        <w:rPr>
          <w:w w:val="105"/>
          <w:sz w:val="21"/>
        </w:rPr>
        <w:t>of </w:t>
      </w:r>
      <w:r>
        <w:rPr>
          <w:spacing w:val="-4"/>
          <w:w w:val="105"/>
          <w:sz w:val="21"/>
        </w:rPr>
        <w:t>Testation’ </w:t>
      </w:r>
      <w:r>
        <w:rPr>
          <w:w w:val="105"/>
          <w:sz w:val="21"/>
        </w:rPr>
        <w:t>(2005) 28(3) </w:t>
      </w:r>
      <w:r>
        <w:rPr>
          <w:i/>
          <w:w w:val="105"/>
          <w:sz w:val="21"/>
        </w:rPr>
        <w:t>University </w:t>
      </w:r>
      <w:r>
        <w:rPr>
          <w:i/>
          <w:spacing w:val="-3"/>
          <w:w w:val="105"/>
          <w:sz w:val="21"/>
        </w:rPr>
        <w:t>of </w:t>
      </w:r>
      <w:r>
        <w:rPr>
          <w:i/>
          <w:w w:val="105"/>
          <w:sz w:val="21"/>
        </w:rPr>
        <w:t>New South </w:t>
      </w:r>
      <w:r>
        <w:rPr>
          <w:i/>
          <w:spacing w:val="-3"/>
          <w:w w:val="105"/>
          <w:sz w:val="21"/>
        </w:rPr>
        <w:t>Wales </w:t>
      </w:r>
      <w:r>
        <w:rPr>
          <w:i/>
          <w:w w:val="105"/>
          <w:sz w:val="21"/>
        </w:rPr>
        <w:t>Law </w:t>
      </w:r>
      <w:r>
        <w:rPr>
          <w:i/>
          <w:spacing w:val="-3"/>
          <w:w w:val="105"/>
          <w:sz w:val="21"/>
        </w:rPr>
        <w:t>Journal </w:t>
      </w:r>
      <w:r>
        <w:rPr>
          <w:spacing w:val="-6"/>
          <w:w w:val="105"/>
          <w:sz w:val="21"/>
        </w:rPr>
        <w:t>720</w:t>
      </w:r>
    </w:p>
    <w:p>
      <w:pPr>
        <w:pStyle w:val="BodyText"/>
        <w:spacing w:line="242" w:lineRule="auto" w:before="123"/>
        <w:ind w:left="426" w:right="1566"/>
      </w:pPr>
      <w:r>
        <w:rPr>
          <w:spacing w:val="-3"/>
          <w:w w:val="105"/>
        </w:rPr>
        <w:t>Rowland, </w:t>
      </w:r>
      <w:r>
        <w:rPr>
          <w:w w:val="105"/>
        </w:rPr>
        <w:t>C J, ‘The </w:t>
      </w:r>
      <w:r>
        <w:rPr>
          <w:spacing w:val="-3"/>
          <w:w w:val="105"/>
        </w:rPr>
        <w:t>Construction </w:t>
      </w:r>
      <w:r>
        <w:rPr>
          <w:w w:val="105"/>
        </w:rPr>
        <w:t>or Rectification of </w:t>
      </w:r>
      <w:r>
        <w:rPr>
          <w:spacing w:val="-3"/>
          <w:w w:val="105"/>
        </w:rPr>
        <w:t>Wills to </w:t>
      </w:r>
      <w:r>
        <w:rPr>
          <w:spacing w:val="-7"/>
          <w:w w:val="105"/>
        </w:rPr>
        <w:t>Take </w:t>
      </w:r>
      <w:r>
        <w:rPr>
          <w:spacing w:val="-3"/>
          <w:w w:val="105"/>
        </w:rPr>
        <w:t>Account </w:t>
      </w:r>
      <w:r>
        <w:rPr>
          <w:w w:val="105"/>
        </w:rPr>
        <w:t>of </w:t>
      </w:r>
      <w:r>
        <w:rPr>
          <w:spacing w:val="-3"/>
          <w:w w:val="105"/>
        </w:rPr>
        <w:t>Unforeseen Circumstances </w:t>
      </w:r>
      <w:r>
        <w:rPr>
          <w:w w:val="105"/>
        </w:rPr>
        <w:t>Affecting Their Operation: Part I’ </w:t>
      </w:r>
      <w:r>
        <w:rPr>
          <w:spacing w:val="-5"/>
          <w:w w:val="105"/>
        </w:rPr>
        <w:t>(1993) </w:t>
      </w:r>
      <w:r>
        <w:rPr>
          <w:w w:val="105"/>
        </w:rPr>
        <w:t>1 </w:t>
      </w:r>
      <w:r>
        <w:rPr>
          <w:i/>
          <w:spacing w:val="-3"/>
          <w:w w:val="105"/>
        </w:rPr>
        <w:t>Australian </w:t>
      </w:r>
      <w:r>
        <w:rPr>
          <w:i/>
          <w:w w:val="105"/>
        </w:rPr>
        <w:t>Property Law </w:t>
      </w:r>
      <w:r>
        <w:rPr>
          <w:i/>
          <w:spacing w:val="-3"/>
          <w:w w:val="105"/>
        </w:rPr>
        <w:t>Journal </w:t>
      </w:r>
      <w:r>
        <w:rPr>
          <w:spacing w:val="-5"/>
          <w:w w:val="105"/>
        </w:rPr>
        <w:t>87</w:t>
      </w:r>
    </w:p>
    <w:p>
      <w:pPr>
        <w:pStyle w:val="BodyText"/>
        <w:spacing w:line="242" w:lineRule="auto" w:before="122"/>
        <w:ind w:left="426" w:right="1566"/>
      </w:pPr>
      <w:r>
        <w:rPr>
          <w:spacing w:val="-3"/>
          <w:w w:val="105"/>
        </w:rPr>
        <w:t>Rowland, </w:t>
      </w:r>
      <w:r>
        <w:rPr>
          <w:w w:val="105"/>
        </w:rPr>
        <w:t>C J, ‘The </w:t>
      </w:r>
      <w:r>
        <w:rPr>
          <w:spacing w:val="-3"/>
          <w:w w:val="105"/>
        </w:rPr>
        <w:t>Construction </w:t>
      </w:r>
      <w:r>
        <w:rPr>
          <w:w w:val="105"/>
        </w:rPr>
        <w:t>or Rectification of </w:t>
      </w:r>
      <w:r>
        <w:rPr>
          <w:spacing w:val="-3"/>
          <w:w w:val="105"/>
        </w:rPr>
        <w:t>Wills to </w:t>
      </w:r>
      <w:r>
        <w:rPr>
          <w:spacing w:val="-7"/>
          <w:w w:val="105"/>
        </w:rPr>
        <w:t>Take </w:t>
      </w:r>
      <w:r>
        <w:rPr>
          <w:spacing w:val="-3"/>
          <w:w w:val="105"/>
        </w:rPr>
        <w:t>Account </w:t>
      </w:r>
      <w:r>
        <w:rPr>
          <w:w w:val="105"/>
        </w:rPr>
        <w:t>of </w:t>
      </w:r>
      <w:r>
        <w:rPr>
          <w:spacing w:val="-3"/>
          <w:w w:val="105"/>
        </w:rPr>
        <w:t>Unforeseen Circumstances </w:t>
      </w:r>
      <w:r>
        <w:rPr>
          <w:w w:val="105"/>
        </w:rPr>
        <w:t>Affecting Their Operation: Part II’ </w:t>
      </w:r>
      <w:r>
        <w:rPr>
          <w:spacing w:val="-3"/>
          <w:w w:val="105"/>
        </w:rPr>
        <w:t>(1994) </w:t>
      </w:r>
      <w:r>
        <w:rPr>
          <w:w w:val="105"/>
        </w:rPr>
        <w:t>1 </w:t>
      </w:r>
      <w:r>
        <w:rPr>
          <w:i/>
          <w:spacing w:val="-3"/>
          <w:w w:val="105"/>
        </w:rPr>
        <w:t>Australian </w:t>
      </w:r>
      <w:r>
        <w:rPr>
          <w:i/>
          <w:w w:val="105"/>
        </w:rPr>
        <w:t>Property Law </w:t>
      </w:r>
      <w:r>
        <w:rPr>
          <w:i/>
          <w:spacing w:val="-3"/>
          <w:w w:val="105"/>
        </w:rPr>
        <w:t>Journal </w:t>
      </w:r>
      <w:r>
        <w:rPr>
          <w:spacing w:val="-8"/>
          <w:w w:val="105"/>
        </w:rPr>
        <w:t>193</w:t>
      </w:r>
    </w:p>
    <w:p>
      <w:pPr>
        <w:pStyle w:val="BodyText"/>
        <w:spacing w:line="242" w:lineRule="auto" w:before="122"/>
        <w:ind w:left="426" w:right="1566"/>
      </w:pPr>
      <w:r>
        <w:rPr>
          <w:spacing w:val="-3"/>
          <w:w w:val="105"/>
        </w:rPr>
        <w:t>Schmidt, William </w:t>
      </w:r>
      <w:r>
        <w:rPr>
          <w:w w:val="105"/>
        </w:rPr>
        <w:t>L, </w:t>
      </w:r>
      <w:r>
        <w:rPr>
          <w:spacing w:val="-3"/>
          <w:w w:val="105"/>
        </w:rPr>
        <w:t>‘Family </w:t>
      </w:r>
      <w:r>
        <w:rPr>
          <w:w w:val="105"/>
        </w:rPr>
        <w:t>Protection under the </w:t>
      </w:r>
      <w:r>
        <w:rPr>
          <w:spacing w:val="-3"/>
          <w:w w:val="105"/>
        </w:rPr>
        <w:t>Uniform Probate </w:t>
      </w:r>
      <w:r>
        <w:rPr>
          <w:spacing w:val="-4"/>
          <w:w w:val="105"/>
        </w:rPr>
        <w:t>Code’ </w:t>
      </w:r>
      <w:r>
        <w:rPr>
          <w:spacing w:val="-6"/>
          <w:w w:val="105"/>
        </w:rPr>
        <w:t>(1973) </w:t>
      </w:r>
      <w:r>
        <w:rPr>
          <w:w w:val="105"/>
        </w:rPr>
        <w:t>50(2) </w:t>
      </w:r>
      <w:r>
        <w:rPr>
          <w:i/>
          <w:w w:val="105"/>
        </w:rPr>
        <w:t>Denver Law </w:t>
      </w:r>
      <w:r>
        <w:rPr>
          <w:i/>
          <w:w w:val="105"/>
        </w:rPr>
        <w:t>Journal </w:t>
      </w:r>
      <w:r>
        <w:rPr>
          <w:spacing w:val="-8"/>
          <w:w w:val="105"/>
        </w:rPr>
        <w:t>137</w:t>
      </w:r>
    </w:p>
    <w:p>
      <w:pPr>
        <w:spacing w:before="122"/>
        <w:ind w:left="426" w:right="0" w:firstLine="0"/>
        <w:jc w:val="left"/>
        <w:rPr>
          <w:sz w:val="21"/>
        </w:rPr>
      </w:pPr>
      <w:r>
        <w:rPr>
          <w:w w:val="105"/>
          <w:sz w:val="21"/>
        </w:rPr>
        <w:t>Scottish Law Commission, </w:t>
      </w:r>
      <w:r>
        <w:rPr>
          <w:i/>
          <w:w w:val="105"/>
          <w:sz w:val="21"/>
        </w:rPr>
        <w:t>Report on Succession</w:t>
      </w:r>
      <w:r>
        <w:rPr>
          <w:w w:val="105"/>
          <w:sz w:val="21"/>
        </w:rPr>
        <w:t>, Report No 215 (2009)</w:t>
      </w:r>
    </w:p>
    <w:p>
      <w:pPr>
        <w:spacing w:line="242" w:lineRule="auto" w:before="124"/>
        <w:ind w:left="426" w:right="2253" w:firstLine="0"/>
        <w:jc w:val="left"/>
        <w:rPr>
          <w:sz w:val="21"/>
        </w:rPr>
      </w:pPr>
      <w:r>
        <w:rPr>
          <w:w w:val="105"/>
          <w:sz w:val="21"/>
        </w:rPr>
        <w:t>Seniors Rights Victoria, </w:t>
      </w:r>
      <w:r>
        <w:rPr>
          <w:i/>
          <w:w w:val="105"/>
          <w:sz w:val="21"/>
        </w:rPr>
        <w:t>Assets for Care: A Guide for Lawyers to Assist Older Clients at Risk </w:t>
      </w:r>
      <w:r>
        <w:rPr>
          <w:i/>
          <w:w w:val="105"/>
          <w:sz w:val="21"/>
        </w:rPr>
        <w:t>of Financial Abuse </w:t>
      </w:r>
      <w:r>
        <w:rPr>
          <w:w w:val="105"/>
          <w:sz w:val="21"/>
        </w:rPr>
        <w:t>(2012)</w:t>
      </w:r>
    </w:p>
    <w:p>
      <w:pPr>
        <w:pStyle w:val="BodyText"/>
        <w:spacing w:line="242" w:lineRule="auto" w:before="122"/>
        <w:ind w:left="426" w:right="2253"/>
      </w:pPr>
      <w:r>
        <w:rPr>
          <w:spacing w:val="-3"/>
          <w:w w:val="105"/>
        </w:rPr>
        <w:t>Shapo, </w:t>
      </w:r>
      <w:r>
        <w:rPr>
          <w:w w:val="105"/>
        </w:rPr>
        <w:t>Helene S, </w:t>
      </w:r>
      <w:r>
        <w:rPr>
          <w:spacing w:val="-9"/>
          <w:w w:val="105"/>
        </w:rPr>
        <w:t>‘A </w:t>
      </w:r>
      <w:r>
        <w:rPr>
          <w:spacing w:val="-6"/>
          <w:w w:val="105"/>
        </w:rPr>
        <w:t>Tale </w:t>
      </w:r>
      <w:r>
        <w:rPr>
          <w:w w:val="105"/>
        </w:rPr>
        <w:t>of </w:t>
      </w:r>
      <w:r>
        <w:rPr>
          <w:spacing w:val="-6"/>
          <w:w w:val="105"/>
        </w:rPr>
        <w:t>Two </w:t>
      </w:r>
      <w:r>
        <w:rPr>
          <w:spacing w:val="-3"/>
          <w:w w:val="105"/>
        </w:rPr>
        <w:t>Systems’: </w:t>
      </w:r>
      <w:r>
        <w:rPr>
          <w:w w:val="105"/>
        </w:rPr>
        <w:t>Anglo-American Problems in the Modernization of Inheritance </w:t>
      </w:r>
      <w:r>
        <w:rPr>
          <w:spacing w:val="-3"/>
          <w:w w:val="105"/>
        </w:rPr>
        <w:t>Legislation’ </w:t>
      </w:r>
      <w:r>
        <w:rPr>
          <w:spacing w:val="-5"/>
          <w:w w:val="105"/>
        </w:rPr>
        <w:t>(1993) </w:t>
      </w:r>
      <w:r>
        <w:rPr>
          <w:w w:val="105"/>
        </w:rPr>
        <w:t>60 </w:t>
      </w:r>
      <w:r>
        <w:rPr>
          <w:i/>
          <w:spacing w:val="-3"/>
          <w:w w:val="105"/>
        </w:rPr>
        <w:t>Tennessee </w:t>
      </w:r>
      <w:r>
        <w:rPr>
          <w:i/>
          <w:w w:val="105"/>
        </w:rPr>
        <w:t>Law Review </w:t>
      </w:r>
      <w:r>
        <w:rPr>
          <w:spacing w:val="-6"/>
          <w:w w:val="105"/>
        </w:rPr>
        <w:t>707</w:t>
      </w:r>
    </w:p>
    <w:p>
      <w:pPr>
        <w:pStyle w:val="BodyText"/>
        <w:spacing w:line="242" w:lineRule="auto" w:before="123"/>
        <w:ind w:left="426" w:right="1925"/>
      </w:pPr>
      <w:r>
        <w:rPr>
          <w:spacing w:val="-3"/>
          <w:w w:val="105"/>
        </w:rPr>
        <w:t>Shepherd, </w:t>
      </w:r>
      <w:r>
        <w:rPr>
          <w:w w:val="105"/>
        </w:rPr>
        <w:t>Thomas, ‘It’s the </w:t>
      </w:r>
      <w:r>
        <w:rPr>
          <w:spacing w:val="-7"/>
          <w:w w:val="105"/>
        </w:rPr>
        <w:t>21st </w:t>
      </w:r>
      <w:r>
        <w:rPr>
          <w:spacing w:val="-5"/>
          <w:w w:val="105"/>
        </w:rPr>
        <w:t>Century...Time </w:t>
      </w:r>
      <w:r>
        <w:rPr>
          <w:spacing w:val="-3"/>
          <w:w w:val="105"/>
        </w:rPr>
        <w:t>for Probate Codes to </w:t>
      </w:r>
      <w:r>
        <w:rPr>
          <w:w w:val="105"/>
        </w:rPr>
        <w:t>Address </w:t>
      </w:r>
      <w:r>
        <w:rPr>
          <w:spacing w:val="-4"/>
          <w:w w:val="105"/>
        </w:rPr>
        <w:t>Family </w:t>
      </w:r>
      <w:r>
        <w:rPr>
          <w:w w:val="105"/>
        </w:rPr>
        <w:t>Violence:  A</w:t>
      </w:r>
      <w:r>
        <w:rPr>
          <w:spacing w:val="-5"/>
          <w:w w:val="105"/>
        </w:rPr>
        <w:t> </w:t>
      </w:r>
      <w:r>
        <w:rPr>
          <w:w w:val="105"/>
        </w:rPr>
        <w:t>Proposal</w:t>
      </w:r>
      <w:r>
        <w:rPr>
          <w:spacing w:val="-4"/>
          <w:w w:val="105"/>
        </w:rPr>
        <w:t> </w:t>
      </w:r>
      <w:r>
        <w:rPr>
          <w:spacing w:val="-3"/>
          <w:w w:val="105"/>
        </w:rPr>
        <w:t>that</w:t>
      </w:r>
      <w:r>
        <w:rPr>
          <w:spacing w:val="-5"/>
          <w:w w:val="105"/>
        </w:rPr>
        <w:t> </w:t>
      </w:r>
      <w:r>
        <w:rPr>
          <w:w w:val="105"/>
        </w:rPr>
        <w:t>Deals</w:t>
      </w:r>
      <w:r>
        <w:rPr>
          <w:spacing w:val="-4"/>
          <w:w w:val="105"/>
        </w:rPr>
        <w:t> </w:t>
      </w:r>
      <w:r>
        <w:rPr>
          <w:w w:val="105"/>
        </w:rPr>
        <w:t>with</w:t>
      </w:r>
      <w:r>
        <w:rPr>
          <w:spacing w:val="-4"/>
          <w:w w:val="105"/>
        </w:rPr>
        <w:t> </w:t>
      </w:r>
      <w:r>
        <w:rPr>
          <w:w w:val="105"/>
        </w:rPr>
        <w:t>the</w:t>
      </w:r>
      <w:r>
        <w:rPr>
          <w:spacing w:val="-5"/>
          <w:w w:val="105"/>
        </w:rPr>
        <w:t> </w:t>
      </w:r>
      <w:r>
        <w:rPr>
          <w:spacing w:val="-3"/>
          <w:w w:val="105"/>
        </w:rPr>
        <w:t>Realities</w:t>
      </w:r>
      <w:r>
        <w:rPr>
          <w:spacing w:val="-4"/>
          <w:w w:val="105"/>
        </w:rPr>
        <w:t> </w:t>
      </w:r>
      <w:r>
        <w:rPr>
          <w:w w:val="105"/>
        </w:rPr>
        <w:t>of</w:t>
      </w:r>
      <w:r>
        <w:rPr>
          <w:spacing w:val="-5"/>
          <w:w w:val="105"/>
        </w:rPr>
        <w:t> </w:t>
      </w:r>
      <w:r>
        <w:rPr>
          <w:w w:val="105"/>
        </w:rPr>
        <w:t>the</w:t>
      </w:r>
      <w:r>
        <w:rPr>
          <w:spacing w:val="-4"/>
          <w:w w:val="105"/>
        </w:rPr>
        <w:t> </w:t>
      </w:r>
      <w:r>
        <w:rPr>
          <w:spacing w:val="-3"/>
          <w:w w:val="105"/>
        </w:rPr>
        <w:t>Problem’</w:t>
      </w:r>
      <w:r>
        <w:rPr>
          <w:spacing w:val="-4"/>
          <w:w w:val="105"/>
        </w:rPr>
        <w:t> (2001)</w:t>
      </w:r>
      <w:r>
        <w:rPr>
          <w:spacing w:val="-5"/>
          <w:w w:val="105"/>
        </w:rPr>
        <w:t> </w:t>
      </w:r>
      <w:r>
        <w:rPr>
          <w:spacing w:val="-3"/>
          <w:w w:val="105"/>
        </w:rPr>
        <w:t>20</w:t>
      </w:r>
      <w:r>
        <w:rPr>
          <w:spacing w:val="-4"/>
          <w:w w:val="105"/>
        </w:rPr>
        <w:t> </w:t>
      </w:r>
      <w:r>
        <w:rPr>
          <w:i/>
          <w:spacing w:val="-4"/>
          <w:w w:val="105"/>
        </w:rPr>
        <w:t>St</w:t>
      </w:r>
      <w:r>
        <w:rPr>
          <w:i/>
          <w:spacing w:val="-5"/>
          <w:w w:val="105"/>
        </w:rPr>
        <w:t> </w:t>
      </w:r>
      <w:r>
        <w:rPr>
          <w:i/>
          <w:spacing w:val="-3"/>
          <w:w w:val="105"/>
        </w:rPr>
        <w:t>Louis</w:t>
      </w:r>
      <w:r>
        <w:rPr>
          <w:i/>
          <w:spacing w:val="-4"/>
          <w:w w:val="105"/>
        </w:rPr>
        <w:t> </w:t>
      </w:r>
      <w:r>
        <w:rPr>
          <w:i/>
          <w:w w:val="105"/>
        </w:rPr>
        <w:t>University</w:t>
      </w:r>
      <w:r>
        <w:rPr>
          <w:i/>
          <w:spacing w:val="-4"/>
          <w:w w:val="105"/>
        </w:rPr>
        <w:t> </w:t>
      </w:r>
      <w:r>
        <w:rPr>
          <w:i/>
          <w:w w:val="105"/>
        </w:rPr>
        <w:t>Public</w:t>
      </w:r>
      <w:r>
        <w:rPr>
          <w:i/>
          <w:spacing w:val="-5"/>
          <w:w w:val="105"/>
        </w:rPr>
        <w:t> </w:t>
      </w:r>
      <w:r>
        <w:rPr>
          <w:i/>
          <w:w w:val="105"/>
        </w:rPr>
        <w:t>Law </w:t>
      </w:r>
      <w:r>
        <w:rPr>
          <w:i/>
          <w:w w:val="105"/>
        </w:rPr>
        <w:t>Review</w:t>
      </w:r>
      <w:r>
        <w:rPr>
          <w:i/>
          <w:spacing w:val="5"/>
          <w:w w:val="105"/>
        </w:rPr>
        <w:t> </w:t>
      </w:r>
      <w:r>
        <w:rPr>
          <w:w w:val="105"/>
        </w:rPr>
        <w:t>449</w:t>
      </w:r>
    </w:p>
    <w:p>
      <w:pPr>
        <w:spacing w:line="242" w:lineRule="auto" w:before="123"/>
        <w:ind w:left="426" w:right="1925" w:firstLine="0"/>
        <w:jc w:val="left"/>
        <w:rPr>
          <w:sz w:val="21"/>
        </w:rPr>
      </w:pPr>
      <w:r>
        <w:rPr>
          <w:spacing w:val="-4"/>
          <w:sz w:val="21"/>
        </w:rPr>
        <w:t>Shulman,  </w:t>
      </w:r>
      <w:r>
        <w:rPr>
          <w:spacing w:val="-3"/>
          <w:sz w:val="21"/>
        </w:rPr>
        <w:t>Kenneth  </w:t>
      </w:r>
      <w:r>
        <w:rPr>
          <w:sz w:val="21"/>
        </w:rPr>
        <w:t>I, </w:t>
      </w:r>
      <w:r>
        <w:rPr>
          <w:spacing w:val="-3"/>
          <w:sz w:val="21"/>
        </w:rPr>
        <w:t>Carole</w:t>
      </w:r>
      <w:r>
        <w:rPr>
          <w:spacing w:val="41"/>
          <w:sz w:val="21"/>
        </w:rPr>
        <w:t> </w:t>
      </w:r>
      <w:r>
        <w:rPr>
          <w:sz w:val="21"/>
        </w:rPr>
        <w:t>A </w:t>
      </w:r>
      <w:r>
        <w:rPr>
          <w:spacing w:val="-4"/>
          <w:sz w:val="21"/>
        </w:rPr>
        <w:t>Cohen  </w:t>
      </w:r>
      <w:r>
        <w:rPr>
          <w:sz w:val="21"/>
        </w:rPr>
        <w:t>and Ian </w:t>
      </w:r>
      <w:r>
        <w:rPr>
          <w:spacing w:val="-3"/>
          <w:sz w:val="21"/>
        </w:rPr>
        <w:t>Hull,  </w:t>
      </w:r>
      <w:r>
        <w:rPr>
          <w:sz w:val="21"/>
        </w:rPr>
        <w:t>‘Psychiatric Issues in Retrospective </w:t>
      </w:r>
      <w:r>
        <w:rPr>
          <w:spacing w:val="-3"/>
          <w:sz w:val="21"/>
        </w:rPr>
        <w:t>Challenges  </w:t>
      </w:r>
      <w:r>
        <w:rPr>
          <w:sz w:val="21"/>
        </w:rPr>
        <w:t>of Testamentary Capacity’ (2005) </w:t>
      </w:r>
      <w:r>
        <w:rPr>
          <w:spacing w:val="-3"/>
          <w:sz w:val="21"/>
        </w:rPr>
        <w:t>20 </w:t>
      </w:r>
      <w:r>
        <w:rPr>
          <w:i/>
          <w:spacing w:val="-3"/>
          <w:sz w:val="21"/>
        </w:rPr>
        <w:t>International </w:t>
      </w:r>
      <w:r>
        <w:rPr>
          <w:i/>
          <w:sz w:val="21"/>
        </w:rPr>
        <w:t>Journal </w:t>
      </w:r>
      <w:r>
        <w:rPr>
          <w:i/>
          <w:spacing w:val="-3"/>
          <w:sz w:val="21"/>
        </w:rPr>
        <w:t>of Geriatric</w:t>
      </w:r>
      <w:r>
        <w:rPr>
          <w:i/>
          <w:spacing w:val="10"/>
          <w:sz w:val="21"/>
        </w:rPr>
        <w:t> </w:t>
      </w:r>
      <w:r>
        <w:rPr>
          <w:i/>
          <w:sz w:val="21"/>
        </w:rPr>
        <w:t>Psychiatry </w:t>
      </w:r>
      <w:r>
        <w:rPr>
          <w:spacing w:val="-3"/>
          <w:sz w:val="21"/>
        </w:rPr>
        <w:t>63</w:t>
      </w:r>
    </w:p>
    <w:p>
      <w:pPr>
        <w:spacing w:line="242" w:lineRule="auto" w:before="122"/>
        <w:ind w:left="426" w:right="2163" w:firstLine="0"/>
        <w:jc w:val="left"/>
        <w:rPr>
          <w:sz w:val="21"/>
        </w:rPr>
      </w:pPr>
      <w:r>
        <w:rPr>
          <w:sz w:val="21"/>
        </w:rPr>
        <w:t>Shulman, Kenneth I et al, ‘Assessment of Testamentary Capacity and Vulnerability to Undue Influence’ (2007) 164(5) </w:t>
      </w:r>
      <w:r>
        <w:rPr>
          <w:i/>
          <w:sz w:val="21"/>
        </w:rPr>
        <w:t>American Journal of Psychiatry </w:t>
      </w:r>
      <w:r>
        <w:rPr>
          <w:sz w:val="21"/>
        </w:rPr>
        <w:t>725</w:t>
      </w:r>
    </w:p>
    <w:p>
      <w:pPr>
        <w:spacing w:before="123"/>
        <w:ind w:left="426" w:right="0" w:firstLine="0"/>
        <w:jc w:val="left"/>
        <w:rPr>
          <w:i/>
          <w:sz w:val="21"/>
        </w:rPr>
      </w:pPr>
      <w:r>
        <w:rPr>
          <w:w w:val="105"/>
          <w:sz w:val="21"/>
        </w:rPr>
        <w:t>Smith, Anthony, ‘Suspicious Circumstances and Wills’ (1994) 24 </w:t>
      </w:r>
      <w:r>
        <w:rPr>
          <w:i/>
          <w:w w:val="105"/>
          <w:sz w:val="21"/>
        </w:rPr>
        <w:t>Queensland Law Society Journal</w:t>
      </w:r>
    </w:p>
    <w:p>
      <w:pPr>
        <w:pStyle w:val="BodyText"/>
        <w:spacing w:before="3"/>
        <w:ind w:left="426"/>
      </w:pPr>
      <w:r>
        <w:rPr>
          <w:w w:val="110"/>
        </w:rPr>
        <w:t>347</w:t>
      </w:r>
    </w:p>
    <w:p>
      <w:pPr>
        <w:spacing w:line="242" w:lineRule="auto" w:before="124"/>
        <w:ind w:left="426" w:right="1566" w:firstLine="0"/>
        <w:jc w:val="left"/>
        <w:rPr>
          <w:sz w:val="21"/>
        </w:rPr>
      </w:pPr>
      <w:r>
        <w:rPr>
          <w:w w:val="105"/>
          <w:sz w:val="21"/>
        </w:rPr>
        <w:t>South </w:t>
      </w:r>
      <w:r>
        <w:rPr>
          <w:spacing w:val="-3"/>
          <w:w w:val="105"/>
          <w:sz w:val="21"/>
        </w:rPr>
        <w:t>Australian </w:t>
      </w:r>
      <w:r>
        <w:rPr>
          <w:w w:val="105"/>
          <w:sz w:val="21"/>
        </w:rPr>
        <w:t>Law </w:t>
      </w:r>
      <w:r>
        <w:rPr>
          <w:spacing w:val="-3"/>
          <w:w w:val="105"/>
          <w:sz w:val="21"/>
        </w:rPr>
        <w:t>Reform Institute, </w:t>
      </w:r>
      <w:r>
        <w:rPr>
          <w:i/>
          <w:spacing w:val="-3"/>
          <w:w w:val="105"/>
          <w:sz w:val="21"/>
        </w:rPr>
        <w:t>Computer </w:t>
      </w:r>
      <w:r>
        <w:rPr>
          <w:i/>
          <w:w w:val="105"/>
          <w:sz w:val="21"/>
        </w:rPr>
        <w:t>Says No: </w:t>
      </w:r>
      <w:r>
        <w:rPr>
          <w:i/>
          <w:spacing w:val="-3"/>
          <w:w w:val="105"/>
          <w:sz w:val="21"/>
        </w:rPr>
        <w:t>Modernisation of </w:t>
      </w:r>
      <w:r>
        <w:rPr>
          <w:i/>
          <w:w w:val="105"/>
          <w:sz w:val="21"/>
        </w:rPr>
        <w:t>South </w:t>
      </w:r>
      <w:r>
        <w:rPr>
          <w:i/>
          <w:spacing w:val="-3"/>
          <w:w w:val="105"/>
          <w:sz w:val="21"/>
        </w:rPr>
        <w:t>Australian </w:t>
      </w:r>
      <w:r>
        <w:rPr>
          <w:i/>
          <w:spacing w:val="-3"/>
          <w:w w:val="105"/>
          <w:sz w:val="21"/>
        </w:rPr>
        <w:t>Evidence </w:t>
      </w:r>
      <w:r>
        <w:rPr>
          <w:i/>
          <w:w w:val="105"/>
          <w:sz w:val="21"/>
        </w:rPr>
        <w:t>Law to Deal with New </w:t>
      </w:r>
      <w:r>
        <w:rPr>
          <w:i/>
          <w:spacing w:val="-4"/>
          <w:w w:val="105"/>
          <w:sz w:val="21"/>
        </w:rPr>
        <w:t>Technologies</w:t>
      </w:r>
      <w:r>
        <w:rPr>
          <w:spacing w:val="-4"/>
          <w:w w:val="105"/>
          <w:sz w:val="21"/>
        </w:rPr>
        <w:t>, </w:t>
      </w:r>
      <w:r>
        <w:rPr>
          <w:w w:val="105"/>
          <w:sz w:val="21"/>
        </w:rPr>
        <w:t>Issues Paper No 1 </w:t>
      </w:r>
      <w:r>
        <w:rPr>
          <w:spacing w:val="-7"/>
          <w:w w:val="105"/>
          <w:sz w:val="21"/>
        </w:rPr>
        <w:t>(2012)</w:t>
      </w:r>
    </w:p>
    <w:p>
      <w:pPr>
        <w:pStyle w:val="BodyText"/>
        <w:spacing w:line="242" w:lineRule="auto" w:before="122"/>
        <w:ind w:left="426" w:right="1925"/>
      </w:pPr>
      <w:r>
        <w:rPr>
          <w:spacing w:val="-3"/>
          <w:w w:val="105"/>
        </w:rPr>
        <w:t>Southall, </w:t>
      </w:r>
      <w:r>
        <w:rPr>
          <w:spacing w:val="-4"/>
          <w:w w:val="105"/>
        </w:rPr>
        <w:t>Anthony, </w:t>
      </w:r>
      <w:r>
        <w:rPr>
          <w:spacing w:val="-3"/>
          <w:w w:val="105"/>
        </w:rPr>
        <w:t>‘Testator’s </w:t>
      </w:r>
      <w:r>
        <w:rPr>
          <w:spacing w:val="-4"/>
          <w:w w:val="105"/>
        </w:rPr>
        <w:t>Family </w:t>
      </w:r>
      <w:r>
        <w:rPr>
          <w:spacing w:val="-3"/>
          <w:w w:val="105"/>
        </w:rPr>
        <w:t>Maintenance </w:t>
      </w:r>
      <w:r>
        <w:rPr>
          <w:w w:val="105"/>
        </w:rPr>
        <w:t>Claims—Five </w:t>
      </w:r>
      <w:r>
        <w:rPr>
          <w:spacing w:val="-6"/>
          <w:w w:val="105"/>
        </w:rPr>
        <w:t>Year </w:t>
      </w:r>
      <w:r>
        <w:rPr>
          <w:w w:val="105"/>
        </w:rPr>
        <w:t>Review’ (Paper </w:t>
      </w:r>
      <w:r>
        <w:rPr>
          <w:spacing w:val="-3"/>
          <w:w w:val="105"/>
        </w:rPr>
        <w:t>presented </w:t>
      </w:r>
      <w:r>
        <w:rPr>
          <w:w w:val="105"/>
        </w:rPr>
        <w:t>at the </w:t>
      </w:r>
      <w:r>
        <w:rPr>
          <w:spacing w:val="-11"/>
          <w:w w:val="105"/>
        </w:rPr>
        <w:t>11th </w:t>
      </w:r>
      <w:r>
        <w:rPr>
          <w:spacing w:val="-3"/>
          <w:w w:val="105"/>
        </w:rPr>
        <w:t>Annual Wills </w:t>
      </w:r>
      <w:r>
        <w:rPr>
          <w:w w:val="105"/>
        </w:rPr>
        <w:t>and </w:t>
      </w:r>
      <w:r>
        <w:rPr>
          <w:spacing w:val="-3"/>
          <w:w w:val="105"/>
        </w:rPr>
        <w:t>Probate </w:t>
      </w:r>
      <w:r>
        <w:rPr>
          <w:spacing w:val="-4"/>
          <w:w w:val="105"/>
        </w:rPr>
        <w:t>Conference, </w:t>
      </w:r>
      <w:r>
        <w:rPr>
          <w:spacing w:val="-3"/>
          <w:w w:val="105"/>
        </w:rPr>
        <w:t>Melbourne, </w:t>
      </w:r>
      <w:r>
        <w:rPr>
          <w:spacing w:val="-4"/>
          <w:w w:val="105"/>
        </w:rPr>
        <w:t>26 </w:t>
      </w:r>
      <w:r>
        <w:rPr>
          <w:w w:val="105"/>
        </w:rPr>
        <w:t>April 2004)</w:t>
      </w:r>
    </w:p>
    <w:p>
      <w:pPr>
        <w:spacing w:after="0" w:line="242" w:lineRule="auto"/>
        <w:sectPr>
          <w:type w:val="continuous"/>
          <w:pgSz w:w="11910" w:h="16840"/>
          <w:pgMar w:top="920" w:bottom="280" w:left="0" w:right="0"/>
          <w:cols w:num="2" w:equalWidth="0">
            <w:col w:w="1122" w:space="40"/>
            <w:col w:w="10748"/>
          </w:cols>
        </w:sectPr>
      </w:pPr>
    </w:p>
    <w:p>
      <w:pPr>
        <w:pStyle w:val="BodyText"/>
        <w:spacing w:before="6"/>
      </w:pPr>
    </w:p>
    <w:p>
      <w:pPr>
        <w:spacing w:after="0"/>
        <w:sectPr>
          <w:pgSz w:w="11910" w:h="16840"/>
          <w:pgMar w:header="567" w:footer="0" w:top="1580" w:bottom="280" w:left="0" w:right="0"/>
        </w:sectPr>
      </w:pPr>
    </w:p>
    <w:p>
      <w:pPr>
        <w:pStyle w:val="BodyText"/>
        <w:spacing w:line="242" w:lineRule="auto" w:before="92"/>
        <w:ind w:left="1587" w:right="84"/>
      </w:pPr>
      <w:r>
        <w:rPr>
          <w:spacing w:val="-4"/>
          <w:w w:val="105"/>
        </w:rPr>
        <w:t>Sparke, </w:t>
      </w:r>
      <w:r>
        <w:rPr>
          <w:spacing w:val="-3"/>
          <w:w w:val="105"/>
        </w:rPr>
        <w:t>Carolyn, </w:t>
      </w:r>
      <w:r>
        <w:rPr>
          <w:w w:val="105"/>
        </w:rPr>
        <w:t>‘Intestacy’ (Paper </w:t>
      </w:r>
      <w:r>
        <w:rPr>
          <w:spacing w:val="-3"/>
          <w:w w:val="105"/>
        </w:rPr>
        <w:t>presented </w:t>
      </w:r>
      <w:r>
        <w:rPr>
          <w:w w:val="105"/>
        </w:rPr>
        <w:t>at the 8th </w:t>
      </w:r>
      <w:r>
        <w:rPr>
          <w:spacing w:val="-3"/>
          <w:w w:val="105"/>
        </w:rPr>
        <w:t>Annual Wills </w:t>
      </w:r>
      <w:r>
        <w:rPr>
          <w:w w:val="105"/>
        </w:rPr>
        <w:t>and </w:t>
      </w:r>
      <w:r>
        <w:rPr>
          <w:spacing w:val="-3"/>
          <w:w w:val="105"/>
        </w:rPr>
        <w:t>Probate </w:t>
      </w:r>
      <w:r>
        <w:rPr>
          <w:spacing w:val="-4"/>
          <w:w w:val="105"/>
        </w:rPr>
        <w:t>Conference, </w:t>
      </w:r>
      <w:r>
        <w:rPr>
          <w:spacing w:val="-3"/>
          <w:w w:val="105"/>
        </w:rPr>
        <w:t>Melbourne, </w:t>
      </w:r>
      <w:r>
        <w:rPr>
          <w:w w:val="105"/>
        </w:rPr>
        <w:t>30 April </w:t>
      </w:r>
      <w:r>
        <w:rPr>
          <w:spacing w:val="-4"/>
          <w:w w:val="105"/>
        </w:rPr>
        <w:t>2001)</w:t>
      </w:r>
    </w:p>
    <w:p>
      <w:pPr>
        <w:pStyle w:val="BodyText"/>
        <w:spacing w:line="242" w:lineRule="auto" w:before="122"/>
        <w:ind w:left="1587" w:right="84"/>
      </w:pPr>
      <w:r>
        <w:rPr>
          <w:spacing w:val="-4"/>
          <w:w w:val="105"/>
        </w:rPr>
        <w:t>Sparke, </w:t>
      </w:r>
      <w:r>
        <w:rPr>
          <w:spacing w:val="-3"/>
          <w:w w:val="105"/>
        </w:rPr>
        <w:t>Carolyn, </w:t>
      </w:r>
      <w:r>
        <w:rPr>
          <w:w w:val="105"/>
        </w:rPr>
        <w:t>‘Part IV </w:t>
      </w:r>
      <w:r>
        <w:rPr>
          <w:spacing w:val="-4"/>
          <w:w w:val="105"/>
        </w:rPr>
        <w:t>Claims’ </w:t>
      </w:r>
      <w:r>
        <w:rPr>
          <w:w w:val="105"/>
        </w:rPr>
        <w:t>(Paper </w:t>
      </w:r>
      <w:r>
        <w:rPr>
          <w:spacing w:val="-3"/>
          <w:w w:val="105"/>
        </w:rPr>
        <w:t>presented </w:t>
      </w:r>
      <w:r>
        <w:rPr>
          <w:w w:val="105"/>
        </w:rPr>
        <w:t>at the </w:t>
      </w:r>
      <w:r>
        <w:rPr>
          <w:spacing w:val="-3"/>
          <w:w w:val="105"/>
        </w:rPr>
        <w:t>10th Annual Wills </w:t>
      </w:r>
      <w:r>
        <w:rPr>
          <w:w w:val="105"/>
        </w:rPr>
        <w:t>and </w:t>
      </w:r>
      <w:r>
        <w:rPr>
          <w:spacing w:val="-3"/>
          <w:w w:val="105"/>
        </w:rPr>
        <w:t>Probate </w:t>
      </w:r>
      <w:r>
        <w:rPr>
          <w:spacing w:val="-4"/>
          <w:w w:val="105"/>
        </w:rPr>
        <w:t>Conference, </w:t>
      </w:r>
      <w:r>
        <w:rPr>
          <w:spacing w:val="-3"/>
          <w:w w:val="105"/>
        </w:rPr>
        <w:t>Melbourne, </w:t>
      </w:r>
      <w:r>
        <w:rPr>
          <w:spacing w:val="-9"/>
          <w:w w:val="105"/>
        </w:rPr>
        <w:t>12 </w:t>
      </w:r>
      <w:r>
        <w:rPr>
          <w:spacing w:val="-2"/>
          <w:w w:val="105"/>
        </w:rPr>
        <w:t>May </w:t>
      </w:r>
      <w:r>
        <w:rPr>
          <w:w w:val="105"/>
        </w:rPr>
        <w:t>2003)</w:t>
      </w:r>
    </w:p>
    <w:p>
      <w:pPr>
        <w:pStyle w:val="BodyText"/>
        <w:spacing w:before="122"/>
        <w:ind w:left="1587"/>
      </w:pPr>
      <w:r>
        <w:rPr>
          <w:w w:val="105"/>
        </w:rPr>
        <w:t>Standing Committee on Social Issues, Legislative Council, Parliament of New South Wales,</w:t>
      </w:r>
    </w:p>
    <w:p>
      <w:pPr>
        <w:spacing w:before="4"/>
        <w:ind w:left="1587" w:right="0" w:firstLine="0"/>
        <w:jc w:val="left"/>
        <w:rPr>
          <w:sz w:val="21"/>
        </w:rPr>
      </w:pPr>
      <w:r>
        <w:rPr>
          <w:i/>
          <w:w w:val="105"/>
          <w:sz w:val="21"/>
        </w:rPr>
        <w:t>Substitute Decision-Making for People Lacking Capacity</w:t>
      </w:r>
      <w:r>
        <w:rPr>
          <w:w w:val="105"/>
          <w:sz w:val="21"/>
        </w:rPr>
        <w:t>, Report 43 (2010)</w:t>
      </w:r>
    </w:p>
    <w:p>
      <w:pPr>
        <w:pStyle w:val="BodyText"/>
        <w:spacing w:line="242" w:lineRule="auto" w:before="124"/>
        <w:ind w:left="1587" w:right="557"/>
      </w:pPr>
      <w:r>
        <w:rPr>
          <w:spacing w:val="-3"/>
        </w:rPr>
        <w:t>Stanisich, Ursula, </w:t>
      </w:r>
      <w:r>
        <w:rPr/>
        <w:t>‘Practical Issues and Difficulties with Estate </w:t>
      </w:r>
      <w:r>
        <w:rPr>
          <w:spacing w:val="-3"/>
        </w:rPr>
        <w:t>Administration’  </w:t>
      </w:r>
      <w:r>
        <w:rPr/>
        <w:t>(Paper </w:t>
      </w:r>
      <w:r>
        <w:rPr>
          <w:spacing w:val="-3"/>
        </w:rPr>
        <w:t>presented  </w:t>
      </w:r>
      <w:r>
        <w:rPr/>
        <w:t>at</w:t>
      </w:r>
      <w:r>
        <w:rPr>
          <w:spacing w:val="10"/>
        </w:rPr>
        <w:t> </w:t>
      </w:r>
      <w:r>
        <w:rPr/>
        <w:t>the</w:t>
      </w:r>
      <w:r>
        <w:rPr>
          <w:spacing w:val="9"/>
        </w:rPr>
        <w:t> </w:t>
      </w:r>
      <w:r>
        <w:rPr/>
        <w:t>Leo</w:t>
      </w:r>
      <w:r>
        <w:rPr>
          <w:spacing w:val="10"/>
        </w:rPr>
        <w:t> </w:t>
      </w:r>
      <w:r>
        <w:rPr>
          <w:spacing w:val="-3"/>
        </w:rPr>
        <w:t>Cussen</w:t>
      </w:r>
      <w:r>
        <w:rPr>
          <w:spacing w:val="10"/>
        </w:rPr>
        <w:t> </w:t>
      </w:r>
      <w:r>
        <w:rPr>
          <w:spacing w:val="-3"/>
        </w:rPr>
        <w:t>Institute,</w:t>
      </w:r>
      <w:r>
        <w:rPr>
          <w:spacing w:val="10"/>
        </w:rPr>
        <w:t> </w:t>
      </w:r>
      <w:r>
        <w:rPr>
          <w:spacing w:val="-3"/>
        </w:rPr>
        <w:t>Melbourne,</w:t>
      </w:r>
      <w:r>
        <w:rPr>
          <w:spacing w:val="10"/>
        </w:rPr>
        <w:t> </w:t>
      </w:r>
      <w:r>
        <w:rPr/>
        <w:t>July</w:t>
      </w:r>
      <w:r>
        <w:rPr>
          <w:spacing w:val="10"/>
        </w:rPr>
        <w:t> </w:t>
      </w:r>
      <w:r>
        <w:rPr>
          <w:spacing w:val="-5"/>
        </w:rPr>
        <w:t>2010)</w:t>
      </w:r>
    </w:p>
    <w:p>
      <w:pPr>
        <w:spacing w:line="242" w:lineRule="auto" w:before="122"/>
        <w:ind w:left="1587" w:right="808" w:firstLine="0"/>
        <w:jc w:val="left"/>
        <w:rPr>
          <w:sz w:val="21"/>
        </w:rPr>
      </w:pPr>
      <w:r>
        <w:rPr>
          <w:spacing w:val="-3"/>
          <w:w w:val="105"/>
          <w:sz w:val="21"/>
        </w:rPr>
        <w:t>Stanisich, Ursula, </w:t>
      </w:r>
      <w:r>
        <w:rPr>
          <w:w w:val="105"/>
          <w:sz w:val="21"/>
        </w:rPr>
        <w:t>‘The Impact of the </w:t>
      </w:r>
      <w:r>
        <w:rPr>
          <w:spacing w:val="-3"/>
          <w:w w:val="105"/>
          <w:sz w:val="21"/>
        </w:rPr>
        <w:t>Civil Procedure </w:t>
      </w:r>
      <w:r>
        <w:rPr>
          <w:w w:val="105"/>
          <w:sz w:val="21"/>
        </w:rPr>
        <w:t>Act </w:t>
      </w:r>
      <w:r>
        <w:rPr>
          <w:spacing w:val="-7"/>
          <w:w w:val="105"/>
          <w:sz w:val="21"/>
        </w:rPr>
        <w:t>2010 </w:t>
      </w:r>
      <w:r>
        <w:rPr>
          <w:w w:val="105"/>
          <w:sz w:val="21"/>
        </w:rPr>
        <w:t>on Estate </w:t>
      </w:r>
      <w:r>
        <w:rPr>
          <w:spacing w:val="-3"/>
          <w:w w:val="105"/>
          <w:sz w:val="21"/>
        </w:rPr>
        <w:t>Litigation’ </w:t>
      </w:r>
      <w:r>
        <w:rPr>
          <w:spacing w:val="-7"/>
          <w:w w:val="105"/>
          <w:sz w:val="21"/>
        </w:rPr>
        <w:t>(2012) </w:t>
      </w:r>
      <w:r>
        <w:rPr>
          <w:w w:val="105"/>
          <w:sz w:val="21"/>
        </w:rPr>
        <w:t>67 </w:t>
      </w:r>
      <w:r>
        <w:rPr>
          <w:i/>
          <w:w w:val="105"/>
          <w:sz w:val="21"/>
        </w:rPr>
        <w:t>Wills and Probate </w:t>
      </w:r>
      <w:r>
        <w:rPr>
          <w:i/>
          <w:spacing w:val="-3"/>
          <w:w w:val="105"/>
          <w:sz w:val="21"/>
        </w:rPr>
        <w:t>Bulletin </w:t>
      </w:r>
      <w:r>
        <w:rPr>
          <w:spacing w:val="-11"/>
          <w:w w:val="105"/>
          <w:sz w:val="21"/>
        </w:rPr>
        <w:t>10</w:t>
      </w:r>
    </w:p>
    <w:p>
      <w:pPr>
        <w:spacing w:before="122"/>
        <w:ind w:left="1587" w:right="0" w:firstLine="0"/>
        <w:jc w:val="left"/>
        <w:rPr>
          <w:sz w:val="21"/>
        </w:rPr>
      </w:pPr>
      <w:r>
        <w:rPr>
          <w:spacing w:val="-3"/>
          <w:w w:val="105"/>
          <w:sz w:val="21"/>
        </w:rPr>
        <w:t>Supreme Court </w:t>
      </w:r>
      <w:r>
        <w:rPr>
          <w:w w:val="105"/>
          <w:sz w:val="21"/>
        </w:rPr>
        <w:t>of Victoria, </w:t>
      </w:r>
      <w:r>
        <w:rPr>
          <w:i/>
          <w:spacing w:val="-12"/>
          <w:w w:val="105"/>
          <w:sz w:val="21"/>
        </w:rPr>
        <w:t>2011–12  </w:t>
      </w:r>
      <w:r>
        <w:rPr>
          <w:i/>
          <w:spacing w:val="-3"/>
          <w:w w:val="105"/>
          <w:sz w:val="21"/>
        </w:rPr>
        <w:t>Annual </w:t>
      </w:r>
      <w:r>
        <w:rPr>
          <w:i/>
          <w:w w:val="105"/>
          <w:sz w:val="21"/>
        </w:rPr>
        <w:t>Report</w:t>
      </w:r>
      <w:r>
        <w:rPr>
          <w:i/>
          <w:spacing w:val="45"/>
          <w:w w:val="105"/>
          <w:sz w:val="21"/>
        </w:rPr>
        <w:t> </w:t>
      </w:r>
      <w:r>
        <w:rPr>
          <w:spacing w:val="-7"/>
          <w:w w:val="105"/>
          <w:sz w:val="21"/>
        </w:rPr>
        <w:t>(2012)</w:t>
      </w:r>
    </w:p>
    <w:p>
      <w:pPr>
        <w:pStyle w:val="BodyText"/>
        <w:spacing w:line="242" w:lineRule="auto" w:before="124"/>
        <w:ind w:left="1587" w:right="84"/>
      </w:pPr>
      <w:r>
        <w:rPr>
          <w:spacing w:val="-4"/>
          <w:w w:val="105"/>
        </w:rPr>
        <w:t>Swan, </w:t>
      </w:r>
      <w:r>
        <w:rPr>
          <w:spacing w:val="-3"/>
          <w:w w:val="105"/>
        </w:rPr>
        <w:t>Allan, ‘Superannuation </w:t>
      </w:r>
      <w:r>
        <w:rPr>
          <w:w w:val="105"/>
        </w:rPr>
        <w:t>Aspects of </w:t>
      </w:r>
      <w:r>
        <w:rPr>
          <w:spacing w:val="-3"/>
          <w:w w:val="105"/>
        </w:rPr>
        <w:t>Succession Planning’ </w:t>
      </w:r>
      <w:r>
        <w:rPr>
          <w:w w:val="105"/>
        </w:rPr>
        <w:t>(Paper </w:t>
      </w:r>
      <w:r>
        <w:rPr>
          <w:spacing w:val="-3"/>
          <w:w w:val="105"/>
        </w:rPr>
        <w:t>presented </w:t>
      </w:r>
      <w:r>
        <w:rPr>
          <w:w w:val="105"/>
        </w:rPr>
        <w:t>at the </w:t>
      </w:r>
      <w:r>
        <w:rPr>
          <w:spacing w:val="-4"/>
          <w:w w:val="105"/>
        </w:rPr>
        <w:t>5th </w:t>
      </w:r>
      <w:r>
        <w:rPr>
          <w:spacing w:val="-3"/>
          <w:w w:val="105"/>
        </w:rPr>
        <w:t>Annual Wills </w:t>
      </w:r>
      <w:r>
        <w:rPr>
          <w:w w:val="105"/>
        </w:rPr>
        <w:t>and </w:t>
      </w:r>
      <w:r>
        <w:rPr>
          <w:spacing w:val="-3"/>
          <w:w w:val="105"/>
        </w:rPr>
        <w:t>Probate </w:t>
      </w:r>
      <w:r>
        <w:rPr>
          <w:spacing w:val="-4"/>
          <w:w w:val="105"/>
        </w:rPr>
        <w:t>Conference, </w:t>
      </w:r>
      <w:r>
        <w:rPr>
          <w:spacing w:val="-3"/>
          <w:w w:val="105"/>
        </w:rPr>
        <w:t>Melbourne, </w:t>
      </w:r>
      <w:r>
        <w:rPr>
          <w:spacing w:val="-5"/>
          <w:w w:val="105"/>
        </w:rPr>
        <w:t>27 </w:t>
      </w:r>
      <w:r>
        <w:rPr>
          <w:w w:val="105"/>
        </w:rPr>
        <w:t>April</w:t>
      </w:r>
      <w:r>
        <w:rPr>
          <w:spacing w:val="5"/>
          <w:w w:val="105"/>
        </w:rPr>
        <w:t> </w:t>
      </w:r>
      <w:r>
        <w:rPr>
          <w:w w:val="105"/>
        </w:rPr>
        <w:t>1998)</w:t>
      </w:r>
    </w:p>
    <w:p>
      <w:pPr>
        <w:spacing w:line="242" w:lineRule="auto" w:before="122"/>
        <w:ind w:left="1587" w:right="976" w:firstLine="0"/>
        <w:jc w:val="left"/>
        <w:rPr>
          <w:sz w:val="21"/>
        </w:rPr>
      </w:pPr>
      <w:r>
        <w:rPr>
          <w:w w:val="105"/>
          <w:sz w:val="21"/>
        </w:rPr>
        <w:t>Swan, Allan and Chris Groszek, ‘The Widening Scope and Uncertainty of the Doctrine of Ademption’ (2012) 14 </w:t>
      </w:r>
      <w:r>
        <w:rPr>
          <w:i/>
          <w:w w:val="105"/>
          <w:sz w:val="21"/>
        </w:rPr>
        <w:t>Retirement and Estate Planning Bulletin </w:t>
      </w:r>
      <w:r>
        <w:rPr>
          <w:w w:val="105"/>
          <w:sz w:val="21"/>
        </w:rPr>
        <w:t>138</w:t>
      </w:r>
    </w:p>
    <w:p>
      <w:pPr>
        <w:spacing w:line="355" w:lineRule="auto" w:before="122"/>
        <w:ind w:left="1587" w:right="84" w:firstLine="0"/>
        <w:jc w:val="left"/>
        <w:rPr>
          <w:sz w:val="21"/>
        </w:rPr>
      </w:pPr>
      <w:r>
        <w:rPr>
          <w:spacing w:val="-5"/>
          <w:w w:val="105"/>
          <w:sz w:val="21"/>
        </w:rPr>
        <w:t>Tarrant, </w:t>
      </w:r>
      <w:r>
        <w:rPr>
          <w:spacing w:val="-3"/>
          <w:w w:val="105"/>
          <w:sz w:val="21"/>
        </w:rPr>
        <w:t>John, </w:t>
      </w:r>
      <w:r>
        <w:rPr>
          <w:w w:val="105"/>
          <w:sz w:val="21"/>
        </w:rPr>
        <w:t>‘Unlawful </w:t>
      </w:r>
      <w:r>
        <w:rPr>
          <w:spacing w:val="-3"/>
          <w:w w:val="105"/>
          <w:sz w:val="21"/>
        </w:rPr>
        <w:t>Killing </w:t>
      </w:r>
      <w:r>
        <w:rPr>
          <w:w w:val="105"/>
          <w:sz w:val="21"/>
        </w:rPr>
        <w:t>of a Joint </w:t>
      </w:r>
      <w:r>
        <w:rPr>
          <w:spacing w:val="-4"/>
          <w:w w:val="105"/>
          <w:sz w:val="21"/>
        </w:rPr>
        <w:t>Tenant’ </w:t>
      </w:r>
      <w:r>
        <w:rPr>
          <w:w w:val="105"/>
          <w:sz w:val="21"/>
        </w:rPr>
        <w:t>(2008) </w:t>
      </w:r>
      <w:r>
        <w:rPr>
          <w:spacing w:val="-8"/>
          <w:w w:val="105"/>
          <w:sz w:val="21"/>
        </w:rPr>
        <w:t>15 </w:t>
      </w:r>
      <w:r>
        <w:rPr>
          <w:i/>
          <w:spacing w:val="-3"/>
          <w:w w:val="105"/>
          <w:sz w:val="21"/>
        </w:rPr>
        <w:t>Australian </w:t>
      </w:r>
      <w:r>
        <w:rPr>
          <w:i/>
          <w:w w:val="105"/>
          <w:sz w:val="21"/>
        </w:rPr>
        <w:t>Property Law </w:t>
      </w:r>
      <w:r>
        <w:rPr>
          <w:i/>
          <w:spacing w:val="-3"/>
          <w:w w:val="105"/>
          <w:sz w:val="21"/>
        </w:rPr>
        <w:t>Journal </w:t>
      </w:r>
      <w:r>
        <w:rPr>
          <w:spacing w:val="-8"/>
          <w:w w:val="105"/>
          <w:sz w:val="21"/>
        </w:rPr>
        <w:t>224 </w:t>
      </w:r>
      <w:r>
        <w:rPr>
          <w:spacing w:val="-5"/>
          <w:w w:val="105"/>
          <w:sz w:val="21"/>
        </w:rPr>
        <w:t>Tasmania </w:t>
      </w:r>
      <w:r>
        <w:rPr>
          <w:w w:val="105"/>
          <w:sz w:val="21"/>
        </w:rPr>
        <w:t>Law </w:t>
      </w:r>
      <w:r>
        <w:rPr>
          <w:spacing w:val="-3"/>
          <w:w w:val="105"/>
          <w:sz w:val="21"/>
        </w:rPr>
        <w:t>Reform Institute, </w:t>
      </w:r>
      <w:r>
        <w:rPr>
          <w:i/>
          <w:w w:val="105"/>
          <w:sz w:val="21"/>
        </w:rPr>
        <w:t>The Forfeiture </w:t>
      </w:r>
      <w:r>
        <w:rPr>
          <w:i/>
          <w:spacing w:val="-4"/>
          <w:w w:val="105"/>
          <w:sz w:val="21"/>
        </w:rPr>
        <w:t>Rule</w:t>
      </w:r>
      <w:r>
        <w:rPr>
          <w:spacing w:val="-4"/>
          <w:w w:val="105"/>
          <w:sz w:val="21"/>
        </w:rPr>
        <w:t>, </w:t>
      </w:r>
      <w:r>
        <w:rPr>
          <w:spacing w:val="-3"/>
          <w:w w:val="105"/>
          <w:sz w:val="21"/>
        </w:rPr>
        <w:t>Final </w:t>
      </w:r>
      <w:r>
        <w:rPr>
          <w:w w:val="105"/>
          <w:sz w:val="21"/>
        </w:rPr>
        <w:t>Report No 6 (2004)</w:t>
      </w:r>
    </w:p>
    <w:p>
      <w:pPr>
        <w:pStyle w:val="BodyText"/>
        <w:spacing w:before="2"/>
        <w:ind w:left="1587"/>
      </w:pPr>
      <w:r>
        <w:rPr>
          <w:w w:val="105"/>
        </w:rPr>
        <w:t>Terrell, Martin, ‘Wills for Persons without Capacity’ (2004) 154 </w:t>
      </w:r>
      <w:r>
        <w:rPr>
          <w:i/>
          <w:w w:val="105"/>
        </w:rPr>
        <w:t>New Law Journal </w:t>
      </w:r>
      <w:r>
        <w:rPr>
          <w:w w:val="105"/>
        </w:rPr>
        <w:t>968</w:t>
      </w:r>
    </w:p>
    <w:p>
      <w:pPr>
        <w:pStyle w:val="BodyText"/>
        <w:spacing w:line="242" w:lineRule="auto" w:before="124"/>
        <w:ind w:left="1587" w:right="84"/>
      </w:pPr>
      <w:r>
        <w:rPr>
          <w:spacing w:val="-4"/>
          <w:w w:val="105"/>
        </w:rPr>
        <w:t>Tyson, </w:t>
      </w:r>
      <w:r>
        <w:rPr>
          <w:spacing w:val="-3"/>
          <w:w w:val="105"/>
        </w:rPr>
        <w:t>Matthew, </w:t>
      </w:r>
      <w:r>
        <w:rPr>
          <w:spacing w:val="-6"/>
          <w:w w:val="105"/>
        </w:rPr>
        <w:t>‘An </w:t>
      </w:r>
      <w:r>
        <w:rPr>
          <w:w w:val="105"/>
        </w:rPr>
        <w:t>Analysis of the Differences Between the Doctrine of Undue Influence with Respect </w:t>
      </w:r>
      <w:r>
        <w:rPr>
          <w:spacing w:val="-3"/>
          <w:w w:val="105"/>
        </w:rPr>
        <w:t>to </w:t>
      </w:r>
      <w:r>
        <w:rPr>
          <w:w w:val="105"/>
        </w:rPr>
        <w:t>Testamentary and </w:t>
      </w:r>
      <w:r>
        <w:rPr>
          <w:spacing w:val="-3"/>
          <w:w w:val="105"/>
        </w:rPr>
        <w:t>Inter </w:t>
      </w:r>
      <w:r>
        <w:rPr>
          <w:w w:val="105"/>
        </w:rPr>
        <w:t>Vivos </w:t>
      </w:r>
      <w:r>
        <w:rPr>
          <w:spacing w:val="-3"/>
          <w:w w:val="105"/>
        </w:rPr>
        <w:t>Dispositions’</w:t>
      </w:r>
      <w:r>
        <w:rPr>
          <w:spacing w:val="-6"/>
          <w:w w:val="105"/>
        </w:rPr>
        <w:t> (1997) </w:t>
      </w:r>
      <w:r>
        <w:rPr>
          <w:w w:val="105"/>
        </w:rPr>
        <w:t>5 </w:t>
      </w:r>
      <w:r>
        <w:rPr>
          <w:i/>
          <w:spacing w:val="-3"/>
          <w:w w:val="105"/>
        </w:rPr>
        <w:t>Australian </w:t>
      </w:r>
      <w:r>
        <w:rPr>
          <w:i/>
          <w:w w:val="105"/>
        </w:rPr>
        <w:t>Property Law </w:t>
      </w:r>
      <w:r>
        <w:rPr>
          <w:i/>
          <w:spacing w:val="-3"/>
          <w:w w:val="105"/>
        </w:rPr>
        <w:t>Journal </w:t>
      </w:r>
      <w:r>
        <w:rPr>
          <w:w w:val="105"/>
        </w:rPr>
        <w:t>1</w:t>
      </w:r>
    </w:p>
    <w:p>
      <w:pPr>
        <w:spacing w:line="242" w:lineRule="auto" w:before="122"/>
        <w:ind w:left="1587" w:right="84" w:firstLine="0"/>
        <w:jc w:val="left"/>
        <w:rPr>
          <w:sz w:val="21"/>
        </w:rPr>
      </w:pPr>
      <w:r>
        <w:rPr>
          <w:spacing w:val="-3"/>
          <w:w w:val="105"/>
          <w:sz w:val="21"/>
        </w:rPr>
        <w:t>United </w:t>
      </w:r>
      <w:r>
        <w:rPr>
          <w:w w:val="105"/>
          <w:sz w:val="21"/>
        </w:rPr>
        <w:t>Kingdom Law </w:t>
      </w:r>
      <w:r>
        <w:rPr>
          <w:spacing w:val="-3"/>
          <w:w w:val="105"/>
          <w:sz w:val="21"/>
        </w:rPr>
        <w:t>Commission, </w:t>
      </w:r>
      <w:r>
        <w:rPr>
          <w:i/>
          <w:w w:val="105"/>
          <w:sz w:val="21"/>
        </w:rPr>
        <w:t>Intestacy and </w:t>
      </w:r>
      <w:r>
        <w:rPr>
          <w:i/>
          <w:spacing w:val="-3"/>
          <w:w w:val="105"/>
          <w:sz w:val="21"/>
        </w:rPr>
        <w:t>Family Provision Claims </w:t>
      </w:r>
      <w:r>
        <w:rPr>
          <w:i/>
          <w:w w:val="105"/>
          <w:sz w:val="21"/>
        </w:rPr>
        <w:t>on Death: A </w:t>
      </w:r>
      <w:r>
        <w:rPr>
          <w:i/>
          <w:spacing w:val="-3"/>
          <w:w w:val="105"/>
          <w:sz w:val="21"/>
        </w:rPr>
        <w:t>Consultation </w:t>
      </w:r>
      <w:r>
        <w:rPr>
          <w:i/>
          <w:spacing w:val="-5"/>
          <w:w w:val="105"/>
          <w:sz w:val="21"/>
        </w:rPr>
        <w:t>Paper</w:t>
      </w:r>
      <w:r>
        <w:rPr>
          <w:spacing w:val="-5"/>
          <w:w w:val="105"/>
          <w:sz w:val="21"/>
        </w:rPr>
        <w:t>, </w:t>
      </w:r>
      <w:r>
        <w:rPr>
          <w:spacing w:val="-3"/>
          <w:w w:val="105"/>
          <w:sz w:val="21"/>
        </w:rPr>
        <w:t>Consultation </w:t>
      </w:r>
      <w:r>
        <w:rPr>
          <w:w w:val="105"/>
          <w:sz w:val="21"/>
        </w:rPr>
        <w:t>Paper </w:t>
      </w:r>
      <w:r>
        <w:rPr>
          <w:spacing w:val="-8"/>
          <w:w w:val="105"/>
          <w:sz w:val="21"/>
        </w:rPr>
        <w:t>191 </w:t>
      </w:r>
      <w:r>
        <w:rPr>
          <w:w w:val="105"/>
          <w:sz w:val="21"/>
        </w:rPr>
        <w:t>(2009)</w:t>
      </w:r>
    </w:p>
    <w:p>
      <w:pPr>
        <w:spacing w:line="242" w:lineRule="auto" w:before="122"/>
        <w:ind w:left="1587" w:right="84" w:firstLine="0"/>
        <w:jc w:val="left"/>
        <w:rPr>
          <w:sz w:val="21"/>
        </w:rPr>
      </w:pPr>
      <w:r>
        <w:rPr>
          <w:spacing w:val="-3"/>
          <w:w w:val="105"/>
          <w:sz w:val="21"/>
        </w:rPr>
        <w:t>United </w:t>
      </w:r>
      <w:r>
        <w:rPr>
          <w:w w:val="105"/>
          <w:sz w:val="21"/>
        </w:rPr>
        <w:t>Kingdom Law </w:t>
      </w:r>
      <w:r>
        <w:rPr>
          <w:spacing w:val="-3"/>
          <w:w w:val="105"/>
          <w:sz w:val="21"/>
        </w:rPr>
        <w:t>Commission, </w:t>
      </w:r>
      <w:r>
        <w:rPr>
          <w:i/>
          <w:w w:val="105"/>
          <w:sz w:val="21"/>
        </w:rPr>
        <w:t>Intestacy and </w:t>
      </w:r>
      <w:r>
        <w:rPr>
          <w:i/>
          <w:spacing w:val="-3"/>
          <w:w w:val="105"/>
          <w:sz w:val="21"/>
        </w:rPr>
        <w:t>Family Provision Claims </w:t>
      </w:r>
      <w:r>
        <w:rPr>
          <w:i/>
          <w:w w:val="105"/>
          <w:sz w:val="21"/>
        </w:rPr>
        <w:t>on </w:t>
      </w:r>
      <w:r>
        <w:rPr>
          <w:i/>
          <w:spacing w:val="-4"/>
          <w:w w:val="105"/>
          <w:sz w:val="21"/>
        </w:rPr>
        <w:t>Death</w:t>
      </w:r>
      <w:r>
        <w:rPr>
          <w:spacing w:val="-4"/>
          <w:w w:val="105"/>
          <w:sz w:val="21"/>
        </w:rPr>
        <w:t>, </w:t>
      </w:r>
      <w:r>
        <w:rPr>
          <w:w w:val="105"/>
          <w:sz w:val="21"/>
        </w:rPr>
        <w:t>Report </w:t>
      </w:r>
      <w:r>
        <w:rPr>
          <w:spacing w:val="-6"/>
          <w:w w:val="105"/>
          <w:sz w:val="21"/>
        </w:rPr>
        <w:t>331 </w:t>
      </w:r>
      <w:r>
        <w:rPr>
          <w:spacing w:val="-9"/>
          <w:w w:val="105"/>
          <w:sz w:val="21"/>
        </w:rPr>
        <w:t>(2011)</w:t>
      </w:r>
    </w:p>
    <w:p>
      <w:pPr>
        <w:pStyle w:val="BodyText"/>
        <w:spacing w:line="242" w:lineRule="auto" w:before="122"/>
        <w:ind w:left="1587" w:right="450"/>
        <w:jc w:val="both"/>
      </w:pPr>
      <w:r>
        <w:rPr>
          <w:spacing w:val="-3"/>
          <w:w w:val="105"/>
        </w:rPr>
        <w:t>Verspaandonk,</w:t>
      </w:r>
      <w:r>
        <w:rPr>
          <w:spacing w:val="-10"/>
          <w:w w:val="105"/>
        </w:rPr>
        <w:t> </w:t>
      </w:r>
      <w:r>
        <w:rPr>
          <w:spacing w:val="-4"/>
          <w:w w:val="105"/>
        </w:rPr>
        <w:t>Andrew,</w:t>
      </w:r>
      <w:r>
        <w:rPr>
          <w:spacing w:val="-10"/>
          <w:w w:val="105"/>
        </w:rPr>
        <w:t> </w:t>
      </w:r>
      <w:r>
        <w:rPr>
          <w:w w:val="105"/>
        </w:rPr>
        <w:t>‘Testamentary</w:t>
      </w:r>
      <w:r>
        <w:rPr>
          <w:spacing w:val="-10"/>
          <w:w w:val="105"/>
        </w:rPr>
        <w:t> </w:t>
      </w:r>
      <w:r>
        <w:rPr>
          <w:w w:val="105"/>
        </w:rPr>
        <w:t>Undue</w:t>
      </w:r>
      <w:r>
        <w:rPr>
          <w:spacing w:val="-10"/>
          <w:w w:val="105"/>
        </w:rPr>
        <w:t> </w:t>
      </w:r>
      <w:r>
        <w:rPr>
          <w:w w:val="105"/>
        </w:rPr>
        <w:t>Influence:</w:t>
      </w:r>
      <w:r>
        <w:rPr>
          <w:spacing w:val="-10"/>
          <w:w w:val="105"/>
        </w:rPr>
        <w:t> </w:t>
      </w:r>
      <w:r>
        <w:rPr>
          <w:w w:val="105"/>
        </w:rPr>
        <w:t>Back</w:t>
      </w:r>
      <w:r>
        <w:rPr>
          <w:spacing w:val="-10"/>
          <w:w w:val="105"/>
        </w:rPr>
        <w:t> </w:t>
      </w:r>
      <w:r>
        <w:rPr>
          <w:spacing w:val="-3"/>
          <w:w w:val="105"/>
        </w:rPr>
        <w:t>to</w:t>
      </w:r>
      <w:r>
        <w:rPr>
          <w:spacing w:val="-10"/>
          <w:w w:val="105"/>
        </w:rPr>
        <w:t> </w:t>
      </w:r>
      <w:r>
        <w:rPr>
          <w:w w:val="105"/>
        </w:rPr>
        <w:t>the</w:t>
      </w:r>
      <w:r>
        <w:rPr>
          <w:spacing w:val="-10"/>
          <w:w w:val="105"/>
        </w:rPr>
        <w:t> </w:t>
      </w:r>
      <w:r>
        <w:rPr>
          <w:spacing w:val="-3"/>
          <w:w w:val="105"/>
        </w:rPr>
        <w:t>Future’</w:t>
      </w:r>
      <w:r>
        <w:rPr>
          <w:spacing w:val="-10"/>
          <w:w w:val="105"/>
        </w:rPr>
        <w:t> </w:t>
      </w:r>
      <w:r>
        <w:rPr>
          <w:w w:val="105"/>
        </w:rPr>
        <w:t>(Paper</w:t>
      </w:r>
      <w:r>
        <w:rPr>
          <w:spacing w:val="-10"/>
          <w:w w:val="105"/>
        </w:rPr>
        <w:t> </w:t>
      </w:r>
      <w:r>
        <w:rPr>
          <w:spacing w:val="-3"/>
          <w:w w:val="105"/>
        </w:rPr>
        <w:t>presented </w:t>
      </w:r>
      <w:r>
        <w:rPr>
          <w:w w:val="105"/>
        </w:rPr>
        <w:t>at</w:t>
      </w:r>
      <w:r>
        <w:rPr>
          <w:spacing w:val="-6"/>
          <w:w w:val="105"/>
        </w:rPr>
        <w:t> </w:t>
      </w:r>
      <w:r>
        <w:rPr>
          <w:w w:val="105"/>
        </w:rPr>
        <w:t>the</w:t>
      </w:r>
      <w:r>
        <w:rPr>
          <w:spacing w:val="-5"/>
          <w:w w:val="105"/>
        </w:rPr>
        <w:t> </w:t>
      </w:r>
      <w:r>
        <w:rPr>
          <w:w w:val="105"/>
        </w:rPr>
        <w:t>Third</w:t>
      </w:r>
      <w:r>
        <w:rPr>
          <w:spacing w:val="-5"/>
          <w:w w:val="105"/>
        </w:rPr>
        <w:t> </w:t>
      </w:r>
      <w:r>
        <w:rPr>
          <w:spacing w:val="-3"/>
          <w:w w:val="105"/>
        </w:rPr>
        <w:t>Annual</w:t>
      </w:r>
      <w:r>
        <w:rPr>
          <w:spacing w:val="-6"/>
          <w:w w:val="105"/>
        </w:rPr>
        <w:t> </w:t>
      </w:r>
      <w:r>
        <w:rPr>
          <w:spacing w:val="-3"/>
          <w:w w:val="105"/>
        </w:rPr>
        <w:t>Wills</w:t>
      </w:r>
      <w:r>
        <w:rPr>
          <w:spacing w:val="-5"/>
          <w:w w:val="105"/>
        </w:rPr>
        <w:t> </w:t>
      </w:r>
      <w:r>
        <w:rPr>
          <w:w w:val="105"/>
        </w:rPr>
        <w:t>and</w:t>
      </w:r>
      <w:r>
        <w:rPr>
          <w:spacing w:val="-5"/>
          <w:w w:val="105"/>
        </w:rPr>
        <w:t> </w:t>
      </w:r>
      <w:r>
        <w:rPr>
          <w:w w:val="105"/>
        </w:rPr>
        <w:t>Estates</w:t>
      </w:r>
      <w:r>
        <w:rPr>
          <w:spacing w:val="-5"/>
          <w:w w:val="105"/>
        </w:rPr>
        <w:t> </w:t>
      </w:r>
      <w:r>
        <w:rPr>
          <w:spacing w:val="-3"/>
          <w:w w:val="105"/>
        </w:rPr>
        <w:t>Disputes</w:t>
      </w:r>
      <w:r>
        <w:rPr>
          <w:spacing w:val="-6"/>
          <w:w w:val="105"/>
        </w:rPr>
        <w:t> </w:t>
      </w:r>
      <w:r>
        <w:rPr>
          <w:w w:val="105"/>
        </w:rPr>
        <w:t>Intensive:</w:t>
      </w:r>
      <w:r>
        <w:rPr>
          <w:spacing w:val="-5"/>
          <w:w w:val="105"/>
        </w:rPr>
        <w:t> </w:t>
      </w:r>
      <w:r>
        <w:rPr>
          <w:w w:val="105"/>
        </w:rPr>
        <w:t>A</w:t>
      </w:r>
      <w:r>
        <w:rPr>
          <w:spacing w:val="-5"/>
          <w:w w:val="105"/>
        </w:rPr>
        <w:t> </w:t>
      </w:r>
      <w:r>
        <w:rPr>
          <w:spacing w:val="-4"/>
          <w:w w:val="105"/>
        </w:rPr>
        <w:t>Conference</w:t>
      </w:r>
      <w:r>
        <w:rPr>
          <w:spacing w:val="-6"/>
          <w:w w:val="105"/>
        </w:rPr>
        <w:t> </w:t>
      </w:r>
      <w:r>
        <w:rPr>
          <w:w w:val="105"/>
        </w:rPr>
        <w:t>by</w:t>
      </w:r>
      <w:r>
        <w:rPr>
          <w:spacing w:val="-5"/>
          <w:w w:val="105"/>
        </w:rPr>
        <w:t> </w:t>
      </w:r>
      <w:r>
        <w:rPr>
          <w:spacing w:val="-4"/>
          <w:w w:val="105"/>
        </w:rPr>
        <w:t>Television</w:t>
      </w:r>
      <w:r>
        <w:rPr>
          <w:spacing w:val="-5"/>
          <w:w w:val="105"/>
        </w:rPr>
        <w:t> </w:t>
      </w:r>
      <w:r>
        <w:rPr>
          <w:spacing w:val="-3"/>
          <w:w w:val="105"/>
        </w:rPr>
        <w:t>Education </w:t>
      </w:r>
      <w:r>
        <w:rPr>
          <w:w w:val="105"/>
        </w:rPr>
        <w:t>Network, Gold </w:t>
      </w:r>
      <w:r>
        <w:rPr>
          <w:spacing w:val="-3"/>
          <w:w w:val="105"/>
        </w:rPr>
        <w:t>Coast, Queensland, </w:t>
      </w:r>
      <w:r>
        <w:rPr>
          <w:spacing w:val="-5"/>
          <w:w w:val="105"/>
        </w:rPr>
        <w:t>24 </w:t>
      </w:r>
      <w:r>
        <w:rPr>
          <w:spacing w:val="-3"/>
          <w:w w:val="105"/>
        </w:rPr>
        <w:t>March</w:t>
      </w:r>
      <w:r>
        <w:rPr>
          <w:w w:val="105"/>
        </w:rPr>
        <w:t> </w:t>
      </w:r>
      <w:r>
        <w:rPr>
          <w:spacing w:val="-5"/>
          <w:w w:val="105"/>
        </w:rPr>
        <w:t>2010)</w:t>
      </w:r>
    </w:p>
    <w:p>
      <w:pPr>
        <w:pStyle w:val="BodyText"/>
        <w:spacing w:line="242" w:lineRule="auto" w:before="124"/>
        <w:ind w:left="1587" w:right="129"/>
      </w:pPr>
      <w:r>
        <w:rPr>
          <w:spacing w:val="-3"/>
          <w:w w:val="105"/>
        </w:rPr>
        <w:t>Verspaandonk, </w:t>
      </w:r>
      <w:r>
        <w:rPr>
          <w:spacing w:val="-4"/>
          <w:w w:val="105"/>
        </w:rPr>
        <w:t>Andrew, </w:t>
      </w:r>
      <w:r>
        <w:rPr>
          <w:w w:val="105"/>
        </w:rPr>
        <w:t>‘Testamentary Undue Influence: A New Lease of </w:t>
      </w:r>
      <w:r>
        <w:rPr>
          <w:spacing w:val="-3"/>
          <w:w w:val="105"/>
        </w:rPr>
        <w:t>Life’ </w:t>
      </w:r>
      <w:r>
        <w:rPr>
          <w:w w:val="105"/>
        </w:rPr>
        <w:t>(Paper </w:t>
      </w:r>
      <w:r>
        <w:rPr>
          <w:spacing w:val="-3"/>
          <w:w w:val="105"/>
        </w:rPr>
        <w:t>presented </w:t>
      </w:r>
      <w:r>
        <w:rPr>
          <w:w w:val="105"/>
        </w:rPr>
        <w:t>at the Legalwise Estate </w:t>
      </w:r>
      <w:r>
        <w:rPr>
          <w:spacing w:val="-3"/>
          <w:w w:val="105"/>
        </w:rPr>
        <w:t>Disputes </w:t>
      </w:r>
      <w:r>
        <w:rPr>
          <w:spacing w:val="-5"/>
          <w:w w:val="105"/>
        </w:rPr>
        <w:t>Seminar, </w:t>
      </w:r>
      <w:r>
        <w:rPr>
          <w:spacing w:val="-8"/>
          <w:w w:val="105"/>
        </w:rPr>
        <w:t>15 </w:t>
      </w:r>
      <w:r>
        <w:rPr>
          <w:w w:val="105"/>
        </w:rPr>
        <w:t>November </w:t>
      </w:r>
      <w:r>
        <w:rPr>
          <w:spacing w:val="-7"/>
          <w:w w:val="105"/>
        </w:rPr>
        <w:t>2012)</w:t>
      </w:r>
    </w:p>
    <w:p>
      <w:pPr>
        <w:spacing w:line="242" w:lineRule="auto" w:before="122"/>
        <w:ind w:left="1587" w:right="84" w:firstLine="0"/>
        <w:jc w:val="left"/>
        <w:rPr>
          <w:sz w:val="21"/>
        </w:rPr>
      </w:pPr>
      <w:r>
        <w:rPr>
          <w:spacing w:val="-3"/>
          <w:w w:val="105"/>
          <w:sz w:val="21"/>
        </w:rPr>
        <w:t>Vestal, </w:t>
      </w:r>
      <w:r>
        <w:rPr>
          <w:w w:val="105"/>
          <w:sz w:val="21"/>
        </w:rPr>
        <w:t>Allan </w:t>
      </w:r>
      <w:r>
        <w:rPr>
          <w:spacing w:val="-5"/>
          <w:w w:val="105"/>
          <w:sz w:val="21"/>
        </w:rPr>
        <w:t>D, </w:t>
      </w:r>
      <w:r>
        <w:rPr>
          <w:spacing w:val="-3"/>
          <w:w w:val="105"/>
          <w:sz w:val="21"/>
        </w:rPr>
        <w:t>‘Multiple-State </w:t>
      </w:r>
      <w:r>
        <w:rPr>
          <w:w w:val="105"/>
          <w:sz w:val="21"/>
        </w:rPr>
        <w:t>Estates Under the </w:t>
      </w:r>
      <w:r>
        <w:rPr>
          <w:spacing w:val="-3"/>
          <w:w w:val="105"/>
          <w:sz w:val="21"/>
        </w:rPr>
        <w:t>Uniform Probate </w:t>
      </w:r>
      <w:r>
        <w:rPr>
          <w:spacing w:val="-4"/>
          <w:w w:val="105"/>
          <w:sz w:val="21"/>
        </w:rPr>
        <w:t>Code’ </w:t>
      </w:r>
      <w:r>
        <w:rPr>
          <w:spacing w:val="-6"/>
          <w:w w:val="105"/>
          <w:sz w:val="21"/>
        </w:rPr>
        <w:t>(1970) </w:t>
      </w:r>
      <w:r>
        <w:rPr>
          <w:spacing w:val="-5"/>
          <w:w w:val="105"/>
          <w:sz w:val="21"/>
        </w:rPr>
        <w:t>27 </w:t>
      </w:r>
      <w:r>
        <w:rPr>
          <w:i/>
          <w:spacing w:val="-3"/>
          <w:w w:val="105"/>
          <w:sz w:val="21"/>
        </w:rPr>
        <w:t>Washington </w:t>
      </w:r>
      <w:r>
        <w:rPr>
          <w:i/>
          <w:w w:val="105"/>
          <w:sz w:val="21"/>
        </w:rPr>
        <w:t>and Lee Law Review </w:t>
      </w:r>
      <w:r>
        <w:rPr>
          <w:spacing w:val="-8"/>
          <w:w w:val="105"/>
          <w:sz w:val="21"/>
        </w:rPr>
        <w:t>70</w:t>
      </w:r>
    </w:p>
    <w:p>
      <w:pPr>
        <w:pStyle w:val="BodyText"/>
        <w:spacing w:line="242" w:lineRule="auto" w:before="122"/>
        <w:ind w:left="1587" w:right="84"/>
      </w:pPr>
      <w:r>
        <w:rPr>
          <w:w w:val="105"/>
        </w:rPr>
        <w:t>Victorian </w:t>
      </w:r>
      <w:r>
        <w:rPr>
          <w:spacing w:val="-3"/>
          <w:w w:val="105"/>
        </w:rPr>
        <w:t>Attorney-General’s </w:t>
      </w:r>
      <w:r>
        <w:rPr>
          <w:w w:val="105"/>
        </w:rPr>
        <w:t>Law </w:t>
      </w:r>
      <w:r>
        <w:rPr>
          <w:spacing w:val="-3"/>
          <w:w w:val="105"/>
        </w:rPr>
        <w:t>Reform </w:t>
      </w:r>
      <w:r>
        <w:rPr>
          <w:w w:val="105"/>
        </w:rPr>
        <w:t>Advisory </w:t>
      </w:r>
      <w:r>
        <w:rPr>
          <w:spacing w:val="-4"/>
          <w:w w:val="105"/>
        </w:rPr>
        <w:t>Council, </w:t>
      </w:r>
      <w:r>
        <w:rPr>
          <w:w w:val="105"/>
        </w:rPr>
        <w:t>University of </w:t>
      </w:r>
      <w:r>
        <w:rPr>
          <w:spacing w:val="-3"/>
          <w:w w:val="105"/>
        </w:rPr>
        <w:t>Melbourne, </w:t>
      </w:r>
      <w:r>
        <w:rPr>
          <w:i/>
          <w:spacing w:val="-3"/>
          <w:w w:val="105"/>
        </w:rPr>
        <w:t>Family </w:t>
      </w:r>
      <w:r>
        <w:rPr>
          <w:i/>
          <w:spacing w:val="-4"/>
          <w:w w:val="105"/>
        </w:rPr>
        <w:t>Provision</w:t>
      </w:r>
      <w:r>
        <w:rPr>
          <w:spacing w:val="-4"/>
          <w:w w:val="105"/>
        </w:rPr>
        <w:t>, </w:t>
      </w:r>
      <w:r>
        <w:rPr>
          <w:w w:val="105"/>
        </w:rPr>
        <w:t>Expert Report No 1 </w:t>
      </w:r>
      <w:r>
        <w:rPr>
          <w:spacing w:val="-6"/>
          <w:w w:val="105"/>
        </w:rPr>
        <w:t>(1997)</w:t>
      </w:r>
    </w:p>
    <w:p>
      <w:pPr>
        <w:pStyle w:val="BodyText"/>
        <w:spacing w:line="355" w:lineRule="auto" w:before="122"/>
        <w:ind w:left="1587" w:right="808"/>
      </w:pPr>
      <w:r>
        <w:rPr>
          <w:w w:val="105"/>
        </w:rPr>
        <w:t>Victorian Law </w:t>
      </w:r>
      <w:r>
        <w:rPr>
          <w:spacing w:val="-3"/>
          <w:w w:val="105"/>
        </w:rPr>
        <w:t>Reform Commission, </w:t>
      </w:r>
      <w:r>
        <w:rPr>
          <w:i/>
          <w:spacing w:val="-4"/>
          <w:w w:val="105"/>
        </w:rPr>
        <w:t>Guardianship</w:t>
      </w:r>
      <w:r>
        <w:rPr>
          <w:spacing w:val="-4"/>
          <w:w w:val="105"/>
        </w:rPr>
        <w:t>, </w:t>
      </w:r>
      <w:r>
        <w:rPr>
          <w:spacing w:val="-3"/>
          <w:w w:val="105"/>
        </w:rPr>
        <w:t>Consultation </w:t>
      </w:r>
      <w:r>
        <w:rPr>
          <w:w w:val="105"/>
        </w:rPr>
        <w:t>Paper No </w:t>
      </w:r>
      <w:r>
        <w:rPr>
          <w:spacing w:val="-6"/>
          <w:w w:val="105"/>
        </w:rPr>
        <w:t>10 </w:t>
      </w:r>
      <w:r>
        <w:rPr>
          <w:spacing w:val="-9"/>
          <w:w w:val="105"/>
        </w:rPr>
        <w:t>(2011) </w:t>
      </w:r>
      <w:r>
        <w:rPr>
          <w:w w:val="105"/>
        </w:rPr>
        <w:t>Victorian Law </w:t>
      </w:r>
      <w:r>
        <w:rPr>
          <w:spacing w:val="-3"/>
          <w:w w:val="105"/>
        </w:rPr>
        <w:t>Reform Commission, </w:t>
      </w:r>
      <w:r>
        <w:rPr>
          <w:i/>
          <w:spacing w:val="-4"/>
          <w:w w:val="105"/>
        </w:rPr>
        <w:t>Guardianship</w:t>
      </w:r>
      <w:r>
        <w:rPr>
          <w:spacing w:val="-4"/>
          <w:w w:val="105"/>
        </w:rPr>
        <w:t>, </w:t>
      </w:r>
      <w:r>
        <w:rPr>
          <w:spacing w:val="-3"/>
          <w:w w:val="105"/>
        </w:rPr>
        <w:t>Final </w:t>
      </w:r>
      <w:r>
        <w:rPr>
          <w:w w:val="105"/>
        </w:rPr>
        <w:t>Report No </w:t>
      </w:r>
      <w:r>
        <w:rPr>
          <w:spacing w:val="-5"/>
          <w:w w:val="105"/>
        </w:rPr>
        <w:t>24 </w:t>
      </w:r>
      <w:r>
        <w:rPr>
          <w:spacing w:val="-7"/>
          <w:w w:val="105"/>
        </w:rPr>
        <w:t>(2012)</w:t>
      </w:r>
    </w:p>
    <w:p>
      <w:pPr>
        <w:spacing w:before="2"/>
        <w:ind w:left="1587" w:right="0" w:firstLine="0"/>
        <w:jc w:val="left"/>
        <w:rPr>
          <w:sz w:val="21"/>
        </w:rPr>
      </w:pPr>
      <w:r>
        <w:rPr>
          <w:w w:val="105"/>
          <w:sz w:val="21"/>
        </w:rPr>
        <w:t>Victorian Law Reform Commission, </w:t>
      </w:r>
      <w:r>
        <w:rPr>
          <w:i/>
          <w:w w:val="105"/>
          <w:sz w:val="21"/>
        </w:rPr>
        <w:t>Succession Laws: Wills</w:t>
      </w:r>
      <w:r>
        <w:rPr>
          <w:w w:val="105"/>
          <w:sz w:val="21"/>
        </w:rPr>
        <w:t>, Consultation Paper No 11 (2012)</w:t>
      </w:r>
    </w:p>
    <w:p>
      <w:pPr>
        <w:spacing w:line="242" w:lineRule="auto" w:before="124"/>
        <w:ind w:left="1587" w:right="84" w:firstLine="0"/>
        <w:jc w:val="left"/>
        <w:rPr>
          <w:sz w:val="21"/>
        </w:rPr>
      </w:pPr>
      <w:r>
        <w:rPr>
          <w:w w:val="105"/>
          <w:sz w:val="21"/>
        </w:rPr>
        <w:t>Victorian Law </w:t>
      </w:r>
      <w:r>
        <w:rPr>
          <w:spacing w:val="-3"/>
          <w:w w:val="105"/>
          <w:sz w:val="21"/>
        </w:rPr>
        <w:t>Reform Commission, </w:t>
      </w:r>
      <w:r>
        <w:rPr>
          <w:i/>
          <w:spacing w:val="-3"/>
          <w:w w:val="105"/>
          <w:sz w:val="21"/>
        </w:rPr>
        <w:t>Succession </w:t>
      </w:r>
      <w:r>
        <w:rPr>
          <w:i/>
          <w:w w:val="105"/>
          <w:sz w:val="21"/>
        </w:rPr>
        <w:t>Laws: </w:t>
      </w:r>
      <w:r>
        <w:rPr>
          <w:i/>
          <w:spacing w:val="-3"/>
          <w:w w:val="105"/>
          <w:sz w:val="21"/>
        </w:rPr>
        <w:t>Family </w:t>
      </w:r>
      <w:r>
        <w:rPr>
          <w:i/>
          <w:spacing w:val="-4"/>
          <w:w w:val="105"/>
          <w:sz w:val="21"/>
        </w:rPr>
        <w:t>Provision</w:t>
      </w:r>
      <w:r>
        <w:rPr>
          <w:spacing w:val="-4"/>
          <w:w w:val="105"/>
          <w:sz w:val="21"/>
        </w:rPr>
        <w:t>, </w:t>
      </w:r>
      <w:r>
        <w:rPr>
          <w:spacing w:val="-3"/>
          <w:w w:val="105"/>
          <w:sz w:val="21"/>
        </w:rPr>
        <w:t>Consultation </w:t>
      </w:r>
      <w:r>
        <w:rPr>
          <w:w w:val="105"/>
          <w:sz w:val="21"/>
        </w:rPr>
        <w:t>Paper No </w:t>
      </w:r>
      <w:r>
        <w:rPr>
          <w:spacing w:val="-9"/>
          <w:w w:val="105"/>
          <w:sz w:val="21"/>
        </w:rPr>
        <w:t>12 </w:t>
      </w:r>
      <w:r>
        <w:rPr>
          <w:spacing w:val="-7"/>
          <w:w w:val="105"/>
          <w:sz w:val="21"/>
        </w:rPr>
        <w:t>(2012)</w:t>
      </w:r>
    </w:p>
    <w:p>
      <w:pPr>
        <w:spacing w:line="355" w:lineRule="auto" w:before="122"/>
        <w:ind w:left="1587" w:right="0" w:firstLine="0"/>
        <w:jc w:val="left"/>
        <w:rPr>
          <w:sz w:val="21"/>
        </w:rPr>
      </w:pPr>
      <w:r>
        <w:rPr>
          <w:w w:val="105"/>
          <w:sz w:val="21"/>
        </w:rPr>
        <w:t>Victorian Law </w:t>
      </w:r>
      <w:r>
        <w:rPr>
          <w:spacing w:val="-3"/>
          <w:w w:val="105"/>
          <w:sz w:val="21"/>
        </w:rPr>
        <w:t>Reform Commission, </w:t>
      </w:r>
      <w:r>
        <w:rPr>
          <w:i/>
          <w:spacing w:val="-3"/>
          <w:w w:val="105"/>
          <w:sz w:val="21"/>
        </w:rPr>
        <w:t>Succession </w:t>
      </w:r>
      <w:r>
        <w:rPr>
          <w:i/>
          <w:w w:val="105"/>
          <w:sz w:val="21"/>
        </w:rPr>
        <w:t>Laws: </w:t>
      </w:r>
      <w:r>
        <w:rPr>
          <w:i/>
          <w:spacing w:val="-4"/>
          <w:w w:val="105"/>
          <w:sz w:val="21"/>
        </w:rPr>
        <w:t>Intestacy</w:t>
      </w:r>
      <w:r>
        <w:rPr>
          <w:spacing w:val="-4"/>
          <w:w w:val="105"/>
          <w:sz w:val="21"/>
        </w:rPr>
        <w:t>, </w:t>
      </w:r>
      <w:r>
        <w:rPr>
          <w:spacing w:val="-3"/>
          <w:w w:val="105"/>
          <w:sz w:val="21"/>
        </w:rPr>
        <w:t>Consultation </w:t>
      </w:r>
      <w:r>
        <w:rPr>
          <w:w w:val="105"/>
          <w:sz w:val="21"/>
        </w:rPr>
        <w:t>Paper No </w:t>
      </w:r>
      <w:r>
        <w:rPr>
          <w:spacing w:val="-9"/>
          <w:w w:val="105"/>
          <w:sz w:val="21"/>
        </w:rPr>
        <w:t>13 </w:t>
      </w:r>
      <w:r>
        <w:rPr>
          <w:spacing w:val="-7"/>
          <w:w w:val="105"/>
          <w:sz w:val="21"/>
        </w:rPr>
        <w:t>(2012) </w:t>
      </w:r>
      <w:r>
        <w:rPr>
          <w:w w:val="105"/>
          <w:sz w:val="21"/>
        </w:rPr>
        <w:t>Victorian Law </w:t>
      </w:r>
      <w:r>
        <w:rPr>
          <w:spacing w:val="-3"/>
          <w:w w:val="105"/>
          <w:sz w:val="21"/>
        </w:rPr>
        <w:t>Reform Commission, </w:t>
      </w:r>
      <w:r>
        <w:rPr>
          <w:i/>
          <w:spacing w:val="-3"/>
          <w:w w:val="105"/>
          <w:sz w:val="21"/>
        </w:rPr>
        <w:t>Succession </w:t>
      </w:r>
      <w:r>
        <w:rPr>
          <w:i/>
          <w:w w:val="105"/>
          <w:sz w:val="21"/>
        </w:rPr>
        <w:t>Laws: Executors</w:t>
      </w:r>
      <w:r>
        <w:rPr>
          <w:w w:val="105"/>
          <w:sz w:val="21"/>
        </w:rPr>
        <w:t>, </w:t>
      </w:r>
      <w:r>
        <w:rPr>
          <w:spacing w:val="-3"/>
          <w:w w:val="105"/>
          <w:sz w:val="21"/>
        </w:rPr>
        <w:t>Consultation </w:t>
      </w:r>
      <w:r>
        <w:rPr>
          <w:w w:val="105"/>
          <w:sz w:val="21"/>
        </w:rPr>
        <w:t>Paper No </w:t>
      </w:r>
      <w:r>
        <w:rPr>
          <w:spacing w:val="-7"/>
          <w:w w:val="105"/>
          <w:sz w:val="21"/>
        </w:rPr>
        <w:t>14 (2012) </w:t>
      </w:r>
      <w:r>
        <w:rPr>
          <w:w w:val="105"/>
          <w:sz w:val="21"/>
        </w:rPr>
        <w:t>Victorian Law </w:t>
      </w:r>
      <w:r>
        <w:rPr>
          <w:spacing w:val="-3"/>
          <w:w w:val="105"/>
          <w:sz w:val="21"/>
        </w:rPr>
        <w:t>Reform Commission, </w:t>
      </w:r>
      <w:r>
        <w:rPr>
          <w:i/>
          <w:spacing w:val="-3"/>
          <w:w w:val="105"/>
          <w:sz w:val="21"/>
        </w:rPr>
        <w:t>Succession </w:t>
      </w:r>
      <w:r>
        <w:rPr>
          <w:i/>
          <w:w w:val="105"/>
          <w:sz w:val="21"/>
        </w:rPr>
        <w:t>Laws: Debts</w:t>
      </w:r>
      <w:r>
        <w:rPr>
          <w:w w:val="105"/>
          <w:sz w:val="21"/>
        </w:rPr>
        <w:t>, </w:t>
      </w:r>
      <w:r>
        <w:rPr>
          <w:spacing w:val="-3"/>
          <w:w w:val="105"/>
          <w:sz w:val="21"/>
        </w:rPr>
        <w:t>Consultation </w:t>
      </w:r>
      <w:r>
        <w:rPr>
          <w:w w:val="105"/>
          <w:sz w:val="21"/>
        </w:rPr>
        <w:t>Paper No </w:t>
      </w:r>
      <w:r>
        <w:rPr>
          <w:spacing w:val="-8"/>
          <w:w w:val="105"/>
          <w:sz w:val="21"/>
        </w:rPr>
        <w:t>15 </w:t>
      </w:r>
      <w:r>
        <w:rPr>
          <w:spacing w:val="-7"/>
          <w:w w:val="105"/>
          <w:sz w:val="21"/>
        </w:rPr>
        <w:t>(2012) </w:t>
      </w:r>
      <w:r>
        <w:rPr>
          <w:w w:val="105"/>
          <w:sz w:val="21"/>
        </w:rPr>
        <w:t>Victorian Law </w:t>
      </w:r>
      <w:r>
        <w:rPr>
          <w:spacing w:val="-3"/>
          <w:w w:val="105"/>
          <w:sz w:val="21"/>
        </w:rPr>
        <w:t>Reform Commission, </w:t>
      </w:r>
      <w:r>
        <w:rPr>
          <w:i/>
          <w:spacing w:val="-3"/>
          <w:w w:val="105"/>
          <w:sz w:val="21"/>
        </w:rPr>
        <w:t>Succession </w:t>
      </w:r>
      <w:r>
        <w:rPr>
          <w:i/>
          <w:w w:val="105"/>
          <w:sz w:val="21"/>
        </w:rPr>
        <w:t>Law: </w:t>
      </w:r>
      <w:r>
        <w:rPr>
          <w:i/>
          <w:spacing w:val="-3"/>
          <w:w w:val="105"/>
          <w:sz w:val="21"/>
        </w:rPr>
        <w:t>Small Estates</w:t>
      </w:r>
      <w:r>
        <w:rPr>
          <w:spacing w:val="-3"/>
          <w:w w:val="105"/>
          <w:sz w:val="21"/>
        </w:rPr>
        <w:t>, Consultation </w:t>
      </w:r>
      <w:r>
        <w:rPr>
          <w:w w:val="105"/>
          <w:sz w:val="21"/>
        </w:rPr>
        <w:t>Paper No </w:t>
      </w:r>
      <w:r>
        <w:rPr>
          <w:spacing w:val="-6"/>
          <w:w w:val="105"/>
          <w:sz w:val="21"/>
        </w:rPr>
        <w:t>16 </w:t>
      </w:r>
      <w:r>
        <w:rPr>
          <w:spacing w:val="-7"/>
          <w:w w:val="105"/>
          <w:sz w:val="21"/>
        </w:rPr>
        <w:t>(2012) </w:t>
      </w:r>
      <w:r>
        <w:rPr>
          <w:w w:val="105"/>
          <w:sz w:val="21"/>
        </w:rPr>
        <w:t>Victorian Registry of Birth, </w:t>
      </w:r>
      <w:r>
        <w:rPr>
          <w:spacing w:val="-3"/>
          <w:w w:val="105"/>
          <w:sz w:val="21"/>
        </w:rPr>
        <w:t>Deaths </w:t>
      </w:r>
      <w:r>
        <w:rPr>
          <w:w w:val="105"/>
          <w:sz w:val="21"/>
        </w:rPr>
        <w:t>and Marriages, </w:t>
      </w:r>
      <w:r>
        <w:rPr>
          <w:i/>
          <w:w w:val="105"/>
          <w:sz w:val="21"/>
        </w:rPr>
        <w:t>Access Policy </w:t>
      </w:r>
      <w:r>
        <w:rPr>
          <w:i/>
          <w:spacing w:val="-4"/>
          <w:w w:val="105"/>
          <w:sz w:val="21"/>
        </w:rPr>
        <w:t>2007 </w:t>
      </w:r>
      <w:r>
        <w:rPr>
          <w:spacing w:val="-3"/>
          <w:w w:val="105"/>
          <w:sz w:val="21"/>
        </w:rPr>
        <w:t>(2007)</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spacing w:before="179"/>
        <w:ind w:left="555" w:right="574" w:firstLine="0"/>
        <w:jc w:val="center"/>
        <w:rPr>
          <w:b/>
          <w:sz w:val="24"/>
        </w:rPr>
      </w:pPr>
      <w:r>
        <w:rPr>
          <w:b/>
          <w:color w:val="EC5A4F"/>
          <w:w w:val="110"/>
          <w:sz w:val="24"/>
        </w:rPr>
        <w:t>225</w:t>
      </w:r>
    </w:p>
    <w:p>
      <w:pPr>
        <w:spacing w:after="0"/>
        <w:jc w:val="center"/>
        <w:rPr>
          <w:sz w:val="24"/>
        </w:rPr>
        <w:sectPr>
          <w:type w:val="continuous"/>
          <w:pgSz w:w="11910" w:h="16840"/>
          <w:pgMar w:top="920" w:bottom="280" w:left="0" w:right="0"/>
          <w:cols w:num="2" w:equalWidth="0">
            <w:col w:w="10298" w:space="40"/>
            <w:col w:w="1572"/>
          </w:cols>
        </w:sectPr>
      </w:pPr>
    </w:p>
    <w:p>
      <w:pPr>
        <w:pStyle w:val="BodyText"/>
        <w:spacing w:before="9"/>
        <w:rPr>
          <w:b/>
          <w:sz w:val="22"/>
        </w:rPr>
      </w:pPr>
    </w:p>
    <w:p>
      <w:pPr>
        <w:pStyle w:val="BodyText"/>
        <w:spacing w:line="242" w:lineRule="auto" w:before="92"/>
        <w:ind w:left="1587" w:right="1826"/>
      </w:pPr>
      <w:r>
        <w:rPr>
          <w:w w:val="105"/>
        </w:rPr>
        <w:t>Vines, </w:t>
      </w:r>
      <w:r>
        <w:rPr>
          <w:spacing w:val="-3"/>
          <w:w w:val="105"/>
        </w:rPr>
        <w:t>Prue, </w:t>
      </w:r>
      <w:r>
        <w:rPr>
          <w:w w:val="105"/>
        </w:rPr>
        <w:t>‘’In the Name of God, </w:t>
      </w:r>
      <w:r>
        <w:rPr>
          <w:spacing w:val="-3"/>
          <w:w w:val="105"/>
        </w:rPr>
        <w:t>Amen’: </w:t>
      </w:r>
      <w:r>
        <w:rPr>
          <w:w w:val="105"/>
        </w:rPr>
        <w:t>Seeking the </w:t>
      </w:r>
      <w:r>
        <w:rPr>
          <w:spacing w:val="-4"/>
          <w:w w:val="105"/>
        </w:rPr>
        <w:t>Testator’s </w:t>
      </w:r>
      <w:r>
        <w:rPr>
          <w:spacing w:val="-3"/>
          <w:w w:val="105"/>
        </w:rPr>
        <w:t>Authentic </w:t>
      </w:r>
      <w:r>
        <w:rPr>
          <w:spacing w:val="-4"/>
          <w:w w:val="105"/>
        </w:rPr>
        <w:t>Voice </w:t>
      </w:r>
      <w:r>
        <w:rPr>
          <w:w w:val="105"/>
        </w:rPr>
        <w:t>in </w:t>
      </w:r>
      <w:r>
        <w:rPr>
          <w:spacing w:val="-3"/>
          <w:w w:val="105"/>
        </w:rPr>
        <w:t>Research Using Wills’ (2002) </w:t>
      </w:r>
      <w:r>
        <w:rPr>
          <w:w w:val="105"/>
        </w:rPr>
        <w:t>6 </w:t>
      </w:r>
      <w:r>
        <w:rPr>
          <w:i/>
          <w:w w:val="105"/>
        </w:rPr>
        <w:t>Law </w:t>
      </w:r>
      <w:r>
        <w:rPr>
          <w:i/>
          <w:spacing w:val="-3"/>
          <w:w w:val="105"/>
        </w:rPr>
        <w:t>Text Culture </w:t>
      </w:r>
      <w:r>
        <w:rPr>
          <w:spacing w:val="-3"/>
          <w:w w:val="105"/>
        </w:rPr>
        <w:t>63</w:t>
      </w:r>
    </w:p>
    <w:p>
      <w:pPr>
        <w:pStyle w:val="BodyText"/>
        <w:spacing w:before="122"/>
        <w:ind w:left="1587"/>
      </w:pPr>
      <w:r>
        <w:rPr>
          <w:w w:val="105"/>
        </w:rPr>
        <w:t>Vines, Prue, ‘Challenging the Testator’s Mind by Challenging Lifetime Transactions:</w:t>
      </w:r>
    </w:p>
    <w:p>
      <w:pPr>
        <w:spacing w:line="355" w:lineRule="auto" w:before="4"/>
        <w:ind w:left="1587" w:right="1826" w:firstLine="0"/>
        <w:jc w:val="left"/>
        <w:rPr>
          <w:sz w:val="21"/>
        </w:rPr>
      </w:pPr>
      <w:r>
        <w:rPr>
          <w:i/>
          <w:w w:val="105"/>
          <w:sz w:val="21"/>
        </w:rPr>
        <w:t>Bridgewater v </w:t>
      </w:r>
      <w:r>
        <w:rPr>
          <w:i/>
          <w:spacing w:val="-3"/>
          <w:w w:val="105"/>
          <w:sz w:val="21"/>
        </w:rPr>
        <w:t>Leahy </w:t>
      </w:r>
      <w:r>
        <w:rPr>
          <w:w w:val="105"/>
          <w:sz w:val="21"/>
        </w:rPr>
        <w:t>as </w:t>
      </w:r>
      <w:r>
        <w:rPr>
          <w:spacing w:val="-3"/>
          <w:w w:val="105"/>
          <w:sz w:val="21"/>
        </w:rPr>
        <w:t>Backdoor Probate </w:t>
      </w:r>
      <w:r>
        <w:rPr>
          <w:w w:val="105"/>
          <w:sz w:val="21"/>
        </w:rPr>
        <w:t>Law?’ (2003) </w:t>
      </w:r>
      <w:r>
        <w:rPr>
          <w:spacing w:val="-6"/>
          <w:w w:val="105"/>
          <w:sz w:val="21"/>
        </w:rPr>
        <w:t>10 </w:t>
      </w:r>
      <w:r>
        <w:rPr>
          <w:i/>
          <w:spacing w:val="-3"/>
          <w:w w:val="105"/>
          <w:sz w:val="21"/>
        </w:rPr>
        <w:t>Australian </w:t>
      </w:r>
      <w:r>
        <w:rPr>
          <w:i/>
          <w:w w:val="105"/>
          <w:sz w:val="21"/>
        </w:rPr>
        <w:t>Property Law </w:t>
      </w:r>
      <w:r>
        <w:rPr>
          <w:i/>
          <w:spacing w:val="-3"/>
          <w:w w:val="105"/>
          <w:sz w:val="21"/>
        </w:rPr>
        <w:t>Journal </w:t>
      </w:r>
      <w:r>
        <w:rPr>
          <w:w w:val="105"/>
          <w:sz w:val="21"/>
        </w:rPr>
        <w:t>1 Vines, </w:t>
      </w:r>
      <w:r>
        <w:rPr>
          <w:spacing w:val="-3"/>
          <w:w w:val="105"/>
          <w:sz w:val="21"/>
        </w:rPr>
        <w:t>Prue, </w:t>
      </w:r>
      <w:r>
        <w:rPr>
          <w:w w:val="105"/>
          <w:sz w:val="21"/>
        </w:rPr>
        <w:t>‘Drafting </w:t>
      </w:r>
      <w:r>
        <w:rPr>
          <w:spacing w:val="-3"/>
          <w:w w:val="105"/>
          <w:sz w:val="21"/>
        </w:rPr>
        <w:t>wills for </w:t>
      </w:r>
      <w:r>
        <w:rPr>
          <w:w w:val="105"/>
          <w:sz w:val="21"/>
        </w:rPr>
        <w:t>Indigenous People’ (2004) 8 </w:t>
      </w:r>
      <w:r>
        <w:rPr>
          <w:i/>
          <w:w w:val="105"/>
          <w:sz w:val="21"/>
        </w:rPr>
        <w:t>Indigenous Law </w:t>
      </w:r>
      <w:r>
        <w:rPr>
          <w:i/>
          <w:spacing w:val="-3"/>
          <w:w w:val="105"/>
          <w:sz w:val="21"/>
        </w:rPr>
        <w:t>Bulletin </w:t>
      </w:r>
      <w:r>
        <w:rPr>
          <w:w w:val="105"/>
          <w:sz w:val="21"/>
        </w:rPr>
        <w:t>6</w:t>
      </w:r>
    </w:p>
    <w:p>
      <w:pPr>
        <w:spacing w:line="242" w:lineRule="auto" w:before="1"/>
        <w:ind w:left="1587" w:right="1550" w:firstLine="0"/>
        <w:jc w:val="left"/>
        <w:rPr>
          <w:sz w:val="21"/>
        </w:rPr>
      </w:pPr>
      <w:r>
        <w:rPr>
          <w:w w:val="105"/>
          <w:sz w:val="21"/>
        </w:rPr>
        <w:t>Vines, </w:t>
      </w:r>
      <w:r>
        <w:rPr>
          <w:spacing w:val="-3"/>
          <w:w w:val="105"/>
          <w:sz w:val="21"/>
        </w:rPr>
        <w:t>Prue, ‘Consequences </w:t>
      </w:r>
      <w:r>
        <w:rPr>
          <w:w w:val="105"/>
          <w:sz w:val="21"/>
        </w:rPr>
        <w:t>of Intestacy </w:t>
      </w:r>
      <w:r>
        <w:rPr>
          <w:spacing w:val="-3"/>
          <w:w w:val="105"/>
          <w:sz w:val="21"/>
        </w:rPr>
        <w:t>for </w:t>
      </w:r>
      <w:r>
        <w:rPr>
          <w:w w:val="105"/>
          <w:sz w:val="21"/>
        </w:rPr>
        <w:t>Indigenous People in Australia: The </w:t>
      </w:r>
      <w:r>
        <w:rPr>
          <w:spacing w:val="-3"/>
          <w:w w:val="105"/>
          <w:sz w:val="21"/>
        </w:rPr>
        <w:t>Passing </w:t>
      </w:r>
      <w:r>
        <w:rPr>
          <w:w w:val="105"/>
          <w:sz w:val="21"/>
        </w:rPr>
        <w:t>of Property and </w:t>
      </w:r>
      <w:r>
        <w:rPr>
          <w:spacing w:val="-3"/>
          <w:w w:val="105"/>
          <w:sz w:val="21"/>
        </w:rPr>
        <w:t>Burial Rights’ </w:t>
      </w:r>
      <w:r>
        <w:rPr>
          <w:w w:val="105"/>
          <w:sz w:val="21"/>
        </w:rPr>
        <w:t>(2004) 8 </w:t>
      </w:r>
      <w:r>
        <w:rPr>
          <w:i/>
          <w:spacing w:val="-3"/>
          <w:w w:val="105"/>
          <w:sz w:val="21"/>
        </w:rPr>
        <w:t>Australian </w:t>
      </w:r>
      <w:r>
        <w:rPr>
          <w:i/>
          <w:w w:val="105"/>
          <w:sz w:val="21"/>
        </w:rPr>
        <w:t>Indigenous Law Review </w:t>
      </w:r>
      <w:r>
        <w:rPr>
          <w:w w:val="105"/>
          <w:sz w:val="21"/>
        </w:rPr>
        <w:t>1</w:t>
      </w:r>
    </w:p>
    <w:p>
      <w:pPr>
        <w:pStyle w:val="BodyText"/>
        <w:spacing w:before="122"/>
        <w:ind w:left="1587"/>
      </w:pPr>
      <w:r>
        <w:rPr>
          <w:w w:val="105"/>
        </w:rPr>
        <w:t>Vines, Prue, ‘Drafting Wills for Indigenous People: Pitfalls and Considerations’ (2007) 6(25)</w:t>
      </w:r>
    </w:p>
    <w:p>
      <w:pPr>
        <w:spacing w:before="4"/>
        <w:ind w:left="1587" w:right="0" w:firstLine="0"/>
        <w:jc w:val="left"/>
        <w:rPr>
          <w:sz w:val="21"/>
        </w:rPr>
      </w:pPr>
      <w:r>
        <w:rPr>
          <w:i/>
          <w:w w:val="105"/>
          <w:sz w:val="21"/>
        </w:rPr>
        <w:t>Indigenous Law Bulletin </w:t>
      </w:r>
      <w:r>
        <w:rPr>
          <w:w w:val="105"/>
          <w:sz w:val="21"/>
        </w:rPr>
        <w:t>6</w:t>
      </w:r>
    </w:p>
    <w:p>
      <w:pPr>
        <w:spacing w:line="242" w:lineRule="auto" w:before="124"/>
        <w:ind w:left="1587" w:right="2401" w:firstLine="0"/>
        <w:jc w:val="left"/>
        <w:rPr>
          <w:sz w:val="21"/>
        </w:rPr>
      </w:pPr>
      <w:r>
        <w:rPr>
          <w:w w:val="105"/>
          <w:sz w:val="21"/>
        </w:rPr>
        <w:t>Vines,</w:t>
      </w:r>
      <w:r>
        <w:rPr>
          <w:spacing w:val="-14"/>
          <w:w w:val="105"/>
          <w:sz w:val="21"/>
        </w:rPr>
        <w:t> </w:t>
      </w:r>
      <w:r>
        <w:rPr>
          <w:spacing w:val="-3"/>
          <w:w w:val="105"/>
          <w:sz w:val="21"/>
        </w:rPr>
        <w:t>Prue,</w:t>
      </w:r>
      <w:r>
        <w:rPr>
          <w:spacing w:val="-13"/>
          <w:w w:val="105"/>
          <w:sz w:val="21"/>
        </w:rPr>
        <w:t> </w:t>
      </w:r>
      <w:r>
        <w:rPr>
          <w:i/>
          <w:w w:val="105"/>
          <w:sz w:val="21"/>
        </w:rPr>
        <w:t>Bleak</w:t>
      </w:r>
      <w:r>
        <w:rPr>
          <w:i/>
          <w:spacing w:val="-13"/>
          <w:w w:val="105"/>
          <w:sz w:val="21"/>
        </w:rPr>
        <w:t> </w:t>
      </w:r>
      <w:r>
        <w:rPr>
          <w:i/>
          <w:w w:val="105"/>
          <w:sz w:val="21"/>
        </w:rPr>
        <w:t>House</w:t>
      </w:r>
      <w:r>
        <w:rPr>
          <w:i/>
          <w:spacing w:val="-13"/>
          <w:w w:val="105"/>
          <w:sz w:val="21"/>
        </w:rPr>
        <w:t> </w:t>
      </w:r>
      <w:r>
        <w:rPr>
          <w:i/>
          <w:spacing w:val="-3"/>
          <w:w w:val="105"/>
          <w:sz w:val="21"/>
        </w:rPr>
        <w:t>Revisited?</w:t>
      </w:r>
      <w:r>
        <w:rPr>
          <w:i/>
          <w:spacing w:val="-14"/>
          <w:w w:val="105"/>
          <w:sz w:val="21"/>
        </w:rPr>
        <w:t> </w:t>
      </w:r>
      <w:r>
        <w:rPr>
          <w:i/>
          <w:w w:val="105"/>
          <w:sz w:val="21"/>
        </w:rPr>
        <w:t>Disproportionality</w:t>
      </w:r>
      <w:r>
        <w:rPr>
          <w:i/>
          <w:spacing w:val="-13"/>
          <w:w w:val="105"/>
          <w:sz w:val="21"/>
        </w:rPr>
        <w:t> </w:t>
      </w:r>
      <w:r>
        <w:rPr>
          <w:i/>
          <w:w w:val="105"/>
          <w:sz w:val="21"/>
        </w:rPr>
        <w:t>in</w:t>
      </w:r>
      <w:r>
        <w:rPr>
          <w:i/>
          <w:spacing w:val="-13"/>
          <w:w w:val="105"/>
          <w:sz w:val="21"/>
        </w:rPr>
        <w:t> </w:t>
      </w:r>
      <w:r>
        <w:rPr>
          <w:i/>
          <w:spacing w:val="-3"/>
          <w:w w:val="105"/>
          <w:sz w:val="21"/>
        </w:rPr>
        <w:t>Family</w:t>
      </w:r>
      <w:r>
        <w:rPr>
          <w:i/>
          <w:spacing w:val="-13"/>
          <w:w w:val="105"/>
          <w:sz w:val="21"/>
        </w:rPr>
        <w:t> </w:t>
      </w:r>
      <w:r>
        <w:rPr>
          <w:i/>
          <w:spacing w:val="-3"/>
          <w:w w:val="105"/>
          <w:sz w:val="21"/>
        </w:rPr>
        <w:t>Provision</w:t>
      </w:r>
      <w:r>
        <w:rPr>
          <w:i/>
          <w:spacing w:val="-13"/>
          <w:w w:val="105"/>
          <w:sz w:val="21"/>
        </w:rPr>
        <w:t> </w:t>
      </w:r>
      <w:r>
        <w:rPr>
          <w:i/>
          <w:w w:val="105"/>
          <w:sz w:val="21"/>
        </w:rPr>
        <w:t>Estate</w:t>
      </w:r>
      <w:r>
        <w:rPr>
          <w:i/>
          <w:spacing w:val="-14"/>
          <w:w w:val="105"/>
          <w:sz w:val="21"/>
        </w:rPr>
        <w:t> </w:t>
      </w:r>
      <w:r>
        <w:rPr>
          <w:i/>
          <w:spacing w:val="-3"/>
          <w:w w:val="105"/>
          <w:sz w:val="21"/>
        </w:rPr>
        <w:t>Litigation </w:t>
      </w:r>
      <w:r>
        <w:rPr>
          <w:i/>
          <w:w w:val="105"/>
          <w:sz w:val="21"/>
        </w:rPr>
        <w:t>in New South </w:t>
      </w:r>
      <w:r>
        <w:rPr>
          <w:i/>
          <w:spacing w:val="-3"/>
          <w:w w:val="105"/>
          <w:sz w:val="21"/>
        </w:rPr>
        <w:t>Wales </w:t>
      </w:r>
      <w:r>
        <w:rPr>
          <w:i/>
          <w:w w:val="105"/>
          <w:sz w:val="21"/>
        </w:rPr>
        <w:t>and Victoria </w:t>
      </w:r>
      <w:r>
        <w:rPr>
          <w:spacing w:val="-3"/>
          <w:w w:val="105"/>
          <w:sz w:val="21"/>
        </w:rPr>
        <w:t>(Australasian Institute </w:t>
      </w:r>
      <w:r>
        <w:rPr>
          <w:w w:val="105"/>
          <w:sz w:val="21"/>
        </w:rPr>
        <w:t>of </w:t>
      </w:r>
      <w:r>
        <w:rPr>
          <w:spacing w:val="-3"/>
          <w:w w:val="105"/>
          <w:sz w:val="21"/>
        </w:rPr>
        <w:t>Judicial Administration,</w:t>
      </w:r>
      <w:r>
        <w:rPr>
          <w:spacing w:val="6"/>
          <w:w w:val="105"/>
          <w:sz w:val="21"/>
        </w:rPr>
        <w:t> </w:t>
      </w:r>
      <w:r>
        <w:rPr>
          <w:spacing w:val="-10"/>
          <w:w w:val="105"/>
          <w:sz w:val="21"/>
        </w:rPr>
        <w:t>2011)</w:t>
      </w:r>
    </w:p>
    <w:p>
      <w:pPr>
        <w:spacing w:line="242" w:lineRule="auto" w:before="122"/>
        <w:ind w:left="1587" w:right="2010" w:firstLine="0"/>
        <w:jc w:val="left"/>
        <w:rPr>
          <w:sz w:val="21"/>
        </w:rPr>
      </w:pPr>
      <w:r>
        <w:rPr>
          <w:spacing w:val="-5"/>
          <w:w w:val="105"/>
          <w:sz w:val="21"/>
        </w:rPr>
        <w:t>Voyce, </w:t>
      </w:r>
      <w:r>
        <w:rPr>
          <w:w w:val="105"/>
          <w:sz w:val="21"/>
        </w:rPr>
        <w:t>M B, ‘The Impact of the </w:t>
      </w:r>
      <w:r>
        <w:rPr>
          <w:spacing w:val="-4"/>
          <w:w w:val="105"/>
          <w:sz w:val="21"/>
        </w:rPr>
        <w:t>Testator’s Family </w:t>
      </w:r>
      <w:r>
        <w:rPr>
          <w:spacing w:val="-3"/>
          <w:w w:val="105"/>
          <w:sz w:val="21"/>
        </w:rPr>
        <w:t>Maintenance Legislation </w:t>
      </w:r>
      <w:r>
        <w:rPr>
          <w:w w:val="105"/>
          <w:sz w:val="21"/>
        </w:rPr>
        <w:t>as Law and Ideology on the </w:t>
      </w:r>
      <w:r>
        <w:rPr>
          <w:spacing w:val="-4"/>
          <w:w w:val="105"/>
          <w:sz w:val="21"/>
        </w:rPr>
        <w:t>Family Farm’ </w:t>
      </w:r>
      <w:r>
        <w:rPr>
          <w:spacing w:val="-5"/>
          <w:w w:val="105"/>
          <w:sz w:val="21"/>
        </w:rPr>
        <w:t>(1993) </w:t>
      </w:r>
      <w:r>
        <w:rPr>
          <w:w w:val="105"/>
          <w:sz w:val="21"/>
        </w:rPr>
        <w:t>7 </w:t>
      </w:r>
      <w:r>
        <w:rPr>
          <w:i/>
          <w:spacing w:val="-3"/>
          <w:w w:val="105"/>
          <w:sz w:val="21"/>
        </w:rPr>
        <w:t>Australian Journal of Family </w:t>
      </w:r>
      <w:r>
        <w:rPr>
          <w:i/>
          <w:w w:val="105"/>
          <w:sz w:val="21"/>
        </w:rPr>
        <w:t>Law </w:t>
      </w:r>
      <w:r>
        <w:rPr>
          <w:spacing w:val="-8"/>
          <w:w w:val="105"/>
          <w:sz w:val="21"/>
        </w:rPr>
        <w:t>191</w:t>
      </w:r>
    </w:p>
    <w:p>
      <w:pPr>
        <w:pStyle w:val="BodyText"/>
        <w:spacing w:line="242" w:lineRule="auto" w:before="122"/>
        <w:ind w:left="1587" w:right="1619"/>
      </w:pPr>
      <w:r>
        <w:rPr>
          <w:spacing w:val="-4"/>
          <w:w w:val="105"/>
        </w:rPr>
        <w:t>Walsh, Christina, </w:t>
      </w:r>
      <w:r>
        <w:rPr>
          <w:spacing w:val="-9"/>
          <w:w w:val="105"/>
        </w:rPr>
        <w:t>‘A </w:t>
      </w:r>
      <w:r>
        <w:rPr>
          <w:spacing w:val="-3"/>
          <w:w w:val="105"/>
        </w:rPr>
        <w:t>Costly </w:t>
      </w:r>
      <w:r>
        <w:rPr>
          <w:w w:val="105"/>
        </w:rPr>
        <w:t>Application of Strict </w:t>
      </w:r>
      <w:r>
        <w:rPr>
          <w:spacing w:val="-3"/>
          <w:w w:val="105"/>
        </w:rPr>
        <w:t>Statutory </w:t>
      </w:r>
      <w:r>
        <w:rPr>
          <w:w w:val="105"/>
        </w:rPr>
        <w:t>Construction: The Ohio </w:t>
      </w:r>
      <w:r>
        <w:rPr>
          <w:spacing w:val="-3"/>
          <w:w w:val="105"/>
        </w:rPr>
        <w:t>Supreme Court’s Interpretation </w:t>
      </w:r>
      <w:r>
        <w:rPr>
          <w:w w:val="105"/>
        </w:rPr>
        <w:t>of </w:t>
      </w:r>
      <w:r>
        <w:rPr>
          <w:spacing w:val="-4"/>
          <w:w w:val="105"/>
        </w:rPr>
        <w:t>Ohio’s </w:t>
      </w:r>
      <w:r>
        <w:rPr>
          <w:w w:val="105"/>
        </w:rPr>
        <w:t>Nonademption </w:t>
      </w:r>
      <w:r>
        <w:rPr>
          <w:spacing w:val="-4"/>
          <w:w w:val="105"/>
        </w:rPr>
        <w:t>Statute’ </w:t>
      </w:r>
      <w:r>
        <w:rPr>
          <w:spacing w:val="-3"/>
          <w:w w:val="105"/>
        </w:rPr>
        <w:t>(1996–7) 28 </w:t>
      </w:r>
      <w:r>
        <w:rPr>
          <w:i/>
          <w:w w:val="105"/>
        </w:rPr>
        <w:t>University </w:t>
      </w:r>
      <w:r>
        <w:rPr>
          <w:i/>
          <w:spacing w:val="-3"/>
          <w:w w:val="105"/>
        </w:rPr>
        <w:t>of </w:t>
      </w:r>
      <w:r>
        <w:rPr>
          <w:i/>
          <w:spacing w:val="-4"/>
          <w:w w:val="105"/>
        </w:rPr>
        <w:t>Toledo </w:t>
      </w:r>
      <w:r>
        <w:rPr>
          <w:i/>
          <w:w w:val="105"/>
        </w:rPr>
        <w:t>Law Review </w:t>
      </w:r>
      <w:r>
        <w:rPr>
          <w:spacing w:val="-9"/>
          <w:w w:val="105"/>
        </w:rPr>
        <w:t>631</w:t>
      </w:r>
    </w:p>
    <w:p>
      <w:pPr>
        <w:spacing w:line="242" w:lineRule="auto" w:before="122"/>
        <w:ind w:left="1587" w:right="1609" w:firstLine="0"/>
        <w:jc w:val="left"/>
        <w:rPr>
          <w:sz w:val="21"/>
        </w:rPr>
      </w:pPr>
      <w:r>
        <w:rPr>
          <w:spacing w:val="-4"/>
          <w:w w:val="105"/>
          <w:sz w:val="21"/>
        </w:rPr>
        <w:t>Warne, </w:t>
      </w:r>
      <w:r>
        <w:rPr>
          <w:spacing w:val="-3"/>
          <w:w w:val="105"/>
          <w:sz w:val="21"/>
        </w:rPr>
        <w:t>Stephen, </w:t>
      </w:r>
      <w:r>
        <w:rPr>
          <w:i/>
          <w:spacing w:val="-3"/>
          <w:w w:val="105"/>
          <w:sz w:val="21"/>
        </w:rPr>
        <w:t>Solicitor-Executor’s Work </w:t>
      </w:r>
      <w:r>
        <w:rPr>
          <w:i/>
          <w:w w:val="105"/>
          <w:sz w:val="21"/>
        </w:rPr>
        <w:t>Not Legal </w:t>
      </w:r>
      <w:r>
        <w:rPr>
          <w:i/>
          <w:spacing w:val="-3"/>
          <w:w w:val="105"/>
          <w:sz w:val="21"/>
        </w:rPr>
        <w:t>Work: Stephen Warne </w:t>
      </w:r>
      <w:r>
        <w:rPr>
          <w:i/>
          <w:w w:val="105"/>
          <w:sz w:val="21"/>
        </w:rPr>
        <w:t>on </w:t>
      </w:r>
      <w:r>
        <w:rPr>
          <w:i/>
          <w:spacing w:val="-3"/>
          <w:w w:val="105"/>
          <w:sz w:val="21"/>
        </w:rPr>
        <w:t>Professional </w:t>
      </w:r>
      <w:r>
        <w:rPr>
          <w:i/>
          <w:w w:val="105"/>
          <w:sz w:val="21"/>
        </w:rPr>
        <w:t>Negligence, </w:t>
      </w:r>
      <w:r>
        <w:rPr>
          <w:i/>
          <w:spacing w:val="-3"/>
          <w:w w:val="105"/>
          <w:sz w:val="21"/>
        </w:rPr>
        <w:t>Regulation </w:t>
      </w:r>
      <w:r>
        <w:rPr>
          <w:i/>
          <w:w w:val="105"/>
          <w:sz w:val="21"/>
        </w:rPr>
        <w:t>and </w:t>
      </w:r>
      <w:r>
        <w:rPr>
          <w:i/>
          <w:spacing w:val="-3"/>
          <w:w w:val="105"/>
          <w:sz w:val="21"/>
        </w:rPr>
        <w:t>Discipline </w:t>
      </w:r>
      <w:r>
        <w:rPr>
          <w:i/>
          <w:spacing w:val="-2"/>
          <w:w w:val="105"/>
          <w:sz w:val="21"/>
        </w:rPr>
        <w:t>Around </w:t>
      </w:r>
      <w:r>
        <w:rPr>
          <w:i/>
          <w:w w:val="105"/>
          <w:sz w:val="21"/>
        </w:rPr>
        <w:t>the </w:t>
      </w:r>
      <w:r>
        <w:rPr>
          <w:i/>
          <w:spacing w:val="-3"/>
          <w:w w:val="105"/>
          <w:sz w:val="21"/>
        </w:rPr>
        <w:t>World </w:t>
      </w:r>
      <w:r>
        <w:rPr>
          <w:spacing w:val="-11"/>
          <w:w w:val="105"/>
          <w:sz w:val="21"/>
        </w:rPr>
        <w:t>(11 </w:t>
      </w:r>
      <w:r>
        <w:rPr>
          <w:w w:val="105"/>
          <w:sz w:val="21"/>
        </w:rPr>
        <w:t>February </w:t>
      </w:r>
      <w:r>
        <w:rPr>
          <w:spacing w:val="-3"/>
          <w:w w:val="105"/>
          <w:sz w:val="21"/>
        </w:rPr>
        <w:t>2007) </w:t>
      </w:r>
      <w:r>
        <w:rPr>
          <w:w w:val="105"/>
          <w:sz w:val="21"/>
        </w:rPr>
        <w:t>&lt;</w:t>
      </w:r>
      <w:hyperlink r:id="rId127">
        <w:r>
          <w:rPr>
            <w:w w:val="105"/>
            <w:sz w:val="21"/>
          </w:rPr>
          <w:t>http://lawyerslawyer.</w:t>
        </w:r>
      </w:hyperlink>
      <w:r>
        <w:rPr>
          <w:w w:val="105"/>
          <w:sz w:val="21"/>
        </w:rPr>
        <w:t> net/2007/02/11/solicitor-executors-work-not-legal-work/&gt;</w:t>
      </w:r>
    </w:p>
    <w:p>
      <w:pPr>
        <w:pStyle w:val="BodyText"/>
        <w:spacing w:line="242" w:lineRule="auto" w:before="124"/>
        <w:ind w:left="1587" w:right="2155"/>
      </w:pPr>
      <w:r>
        <w:rPr>
          <w:spacing w:val="-4"/>
          <w:w w:val="105"/>
        </w:rPr>
        <w:t>Warren, Chief </w:t>
      </w:r>
      <w:r>
        <w:rPr>
          <w:w w:val="105"/>
        </w:rPr>
        <w:t>Justice </w:t>
      </w:r>
      <w:r>
        <w:rPr>
          <w:spacing w:val="-3"/>
          <w:w w:val="105"/>
        </w:rPr>
        <w:t>Marilyn, </w:t>
      </w:r>
      <w:r>
        <w:rPr>
          <w:w w:val="105"/>
        </w:rPr>
        <w:t>‘The Growth in </w:t>
      </w:r>
      <w:r>
        <w:rPr>
          <w:spacing w:val="-3"/>
          <w:w w:val="105"/>
        </w:rPr>
        <w:t>Wills </w:t>
      </w:r>
      <w:r>
        <w:rPr>
          <w:w w:val="105"/>
        </w:rPr>
        <w:t>and Estates Law’ (Paper </w:t>
      </w:r>
      <w:r>
        <w:rPr>
          <w:spacing w:val="-3"/>
          <w:w w:val="105"/>
        </w:rPr>
        <w:t>presented </w:t>
      </w:r>
      <w:r>
        <w:rPr>
          <w:w w:val="105"/>
        </w:rPr>
        <w:t>at the </w:t>
      </w:r>
      <w:r>
        <w:rPr>
          <w:spacing w:val="-3"/>
          <w:w w:val="105"/>
        </w:rPr>
        <w:t>Annual Grundig </w:t>
      </w:r>
      <w:r>
        <w:rPr>
          <w:w w:val="105"/>
        </w:rPr>
        <w:t>LIV </w:t>
      </w:r>
      <w:r>
        <w:rPr>
          <w:spacing w:val="-3"/>
          <w:w w:val="105"/>
        </w:rPr>
        <w:t>Wills </w:t>
      </w:r>
      <w:r>
        <w:rPr>
          <w:w w:val="105"/>
        </w:rPr>
        <w:t>and Estates </w:t>
      </w:r>
      <w:r>
        <w:rPr>
          <w:spacing w:val="-4"/>
          <w:w w:val="105"/>
        </w:rPr>
        <w:t>Conference, </w:t>
      </w:r>
      <w:r>
        <w:rPr>
          <w:spacing w:val="-3"/>
          <w:w w:val="105"/>
        </w:rPr>
        <w:t>Melbourne, </w:t>
      </w:r>
      <w:r>
        <w:rPr>
          <w:spacing w:val="-6"/>
          <w:w w:val="105"/>
        </w:rPr>
        <w:t>18 </w:t>
      </w:r>
      <w:r>
        <w:rPr>
          <w:w w:val="105"/>
        </w:rPr>
        <w:t>October 2004)</w:t>
      </w:r>
    </w:p>
    <w:p>
      <w:pPr>
        <w:pStyle w:val="BodyText"/>
        <w:spacing w:line="242" w:lineRule="auto" w:before="122"/>
        <w:ind w:left="1587" w:right="1835"/>
      </w:pPr>
      <w:r>
        <w:rPr>
          <w:w w:val="105"/>
        </w:rPr>
        <w:t>Xynas, Lidia, ‘Succession and Indigenous Australians: Addressing Indigenous Customary Law Notions of “Property” and “Kinship”in a Succession Law Context’ (2011) 19 </w:t>
      </w:r>
      <w:r>
        <w:rPr>
          <w:i/>
          <w:w w:val="105"/>
        </w:rPr>
        <w:t>Australian Property </w:t>
      </w:r>
      <w:r>
        <w:rPr>
          <w:i/>
          <w:w w:val="105"/>
        </w:rPr>
        <w:t>Law Journal </w:t>
      </w:r>
      <w:r>
        <w:rPr>
          <w:w w:val="105"/>
        </w:rPr>
        <w:t>199</w:t>
      </w:r>
    </w:p>
    <w:p>
      <w:pPr>
        <w:spacing w:before="123"/>
        <w:ind w:left="1587" w:right="0" w:firstLine="0"/>
        <w:jc w:val="left"/>
        <w:rPr>
          <w:sz w:val="21"/>
        </w:rPr>
      </w:pPr>
      <w:r>
        <w:rPr>
          <w:w w:val="105"/>
          <w:sz w:val="21"/>
        </w:rPr>
        <w:t>Yale, D E C, ‘Witnessing Wills and Losing Legacies’ (1984) 100 </w:t>
      </w:r>
      <w:r>
        <w:rPr>
          <w:i/>
          <w:w w:val="105"/>
          <w:sz w:val="21"/>
        </w:rPr>
        <w:t>Law Quarterly Review </w:t>
      </w:r>
      <w:r>
        <w:rPr>
          <w:w w:val="105"/>
          <w:sz w:val="21"/>
        </w:rPr>
        <w:t>453</w:t>
      </w:r>
    </w:p>
    <w:p>
      <w:pPr>
        <w:spacing w:line="242" w:lineRule="auto" w:before="124"/>
        <w:ind w:left="1587" w:right="1619" w:firstLine="0"/>
        <w:jc w:val="left"/>
        <w:rPr>
          <w:sz w:val="21"/>
        </w:rPr>
      </w:pPr>
      <w:r>
        <w:rPr>
          <w:spacing w:val="-3"/>
          <w:w w:val="105"/>
          <w:sz w:val="21"/>
        </w:rPr>
        <w:t>Zimmermann, </w:t>
      </w:r>
      <w:r>
        <w:rPr>
          <w:w w:val="105"/>
          <w:sz w:val="21"/>
        </w:rPr>
        <w:t>H and J </w:t>
      </w:r>
      <w:r>
        <w:rPr>
          <w:spacing w:val="-3"/>
          <w:w w:val="105"/>
          <w:sz w:val="21"/>
        </w:rPr>
        <w:t>Hockley, </w:t>
      </w:r>
      <w:r>
        <w:rPr>
          <w:spacing w:val="-9"/>
          <w:w w:val="105"/>
          <w:sz w:val="21"/>
        </w:rPr>
        <w:t>‘A </w:t>
      </w:r>
      <w:r>
        <w:rPr>
          <w:w w:val="105"/>
          <w:sz w:val="21"/>
        </w:rPr>
        <w:t>Forfeiture Act </w:t>
      </w:r>
      <w:r>
        <w:rPr>
          <w:spacing w:val="-3"/>
          <w:w w:val="105"/>
          <w:sz w:val="21"/>
        </w:rPr>
        <w:t>for </w:t>
      </w:r>
      <w:r>
        <w:rPr>
          <w:w w:val="105"/>
          <w:sz w:val="21"/>
        </w:rPr>
        <w:t>Western Australia?’ (2009) </w:t>
      </w:r>
      <w:r>
        <w:rPr>
          <w:spacing w:val="-9"/>
          <w:w w:val="105"/>
          <w:sz w:val="21"/>
        </w:rPr>
        <w:t>17 </w:t>
      </w:r>
      <w:r>
        <w:rPr>
          <w:i/>
          <w:spacing w:val="-3"/>
          <w:w w:val="105"/>
          <w:sz w:val="21"/>
        </w:rPr>
        <w:t>Australian </w:t>
      </w:r>
      <w:r>
        <w:rPr>
          <w:i/>
          <w:w w:val="105"/>
          <w:sz w:val="21"/>
        </w:rPr>
        <w:t>Property Law </w:t>
      </w:r>
      <w:r>
        <w:rPr>
          <w:i/>
          <w:spacing w:val="-3"/>
          <w:w w:val="105"/>
          <w:sz w:val="21"/>
        </w:rPr>
        <w:t>Journal </w:t>
      </w:r>
      <w:r>
        <w:rPr>
          <w:spacing w:val="-14"/>
          <w:w w:val="105"/>
          <w:sz w:val="21"/>
        </w:rPr>
        <w:t>219</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6"/>
        </w:rPr>
      </w:pPr>
    </w:p>
    <w:p>
      <w:pPr>
        <w:spacing w:before="99"/>
        <w:ind w:left="720" w:right="0" w:firstLine="0"/>
        <w:jc w:val="left"/>
        <w:rPr>
          <w:b/>
          <w:sz w:val="24"/>
        </w:rPr>
      </w:pPr>
      <w:r>
        <w:rPr>
          <w:b/>
          <w:color w:val="EC5A4F"/>
          <w:w w:val="110"/>
          <w:sz w:val="24"/>
        </w:rPr>
        <w:t>226</w:t>
      </w:r>
    </w:p>
    <w:p>
      <w:pPr>
        <w:spacing w:after="0"/>
        <w:jc w:val="left"/>
        <w:rPr>
          <w:sz w:val="24"/>
        </w:rPr>
        <w:sectPr>
          <w:pgSz w:w="11910" w:h="16840"/>
          <w:pgMar w:header="550" w:footer="0" w:top="1560" w:bottom="280" w:left="0" w:right="0"/>
        </w:sectPr>
      </w:pPr>
    </w:p>
    <w:p>
      <w:pPr>
        <w:pStyle w:val="BodyText"/>
        <w:rPr>
          <w:b/>
          <w:sz w:val="20"/>
        </w:rPr>
      </w:pPr>
      <w:r>
        <w:rPr/>
        <w:pict>
          <v:group style="position:absolute;margin-left:0pt;margin-top:307.845917pt;width:595.3pt;height:534.050pt;mso-position-horizontal-relative:page;mso-position-vertical-relative:page;z-index:-293416" coordorigin="0,6157" coordsize="11906,10681">
            <v:rect style="position:absolute;left:0;top:7196;width:11906;height:9641" filled="true" fillcolor="#fdefed" stroked="false">
              <v:fill type="solid"/>
            </v:rect>
            <v:line style="position:absolute" from="1417,8537" to="1928,8537" stroked="true" strokeweight="2pt" strokecolor="#ffffff">
              <v:stroke dashstyle="solid"/>
            </v:line>
            <v:line style="position:absolute" from="1417,9010" to="1928,9010" stroked="true" strokeweight="2pt" strokecolor="#ffffff">
              <v:stroke dashstyle="solid"/>
            </v:line>
            <v:line style="position:absolute" from="1417,9484" to="1928,9484" stroked="true" strokeweight="2pt" strokecolor="#ffffff">
              <v:stroke dashstyle="solid"/>
            </v:line>
            <v:shape style="position:absolute;left:0;top:6156;width:11906;height:1040" coordorigin="0,6157" coordsize="11906,1040" path="m11906,6157l6833,6157,0,6157,0,7197,6833,7197,11906,7197,11906,6157e" filled="true" fillcolor="#ffffff" stroked="false">
              <v:path arrowok="t"/>
              <v:fill type="solid"/>
            </v:shape>
            <w10:wrap type="none"/>
          </v:group>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before="244"/>
        <w:ind w:left="1417" w:right="0" w:firstLine="0"/>
        <w:jc w:val="left"/>
        <w:rPr>
          <w:b/>
          <w:sz w:val="96"/>
        </w:rPr>
      </w:pPr>
      <w:r>
        <w:rPr/>
        <w:pict>
          <v:group style="position:absolute;margin-left:0pt;margin-top:-293.879791pt;width:596.3pt;height:307.850pt;mso-position-horizontal-relative:page;mso-position-vertical-relative:paragraph;z-index:-293440" coordorigin="0,-5878" coordsize="11926,6157">
            <v:rect style="position:absolute;left:0;top:-5878;width:11906;height:6157" filled="true" fillcolor="#fdefed" stroked="false">
              <v:fill type="solid"/>
            </v:rect>
            <v:shape style="position:absolute;left:10488;top:-5073;width:1438;height:569" type="#_x0000_t202" filled="false" stroked="false">
              <v:textbox inset="0,0,0,0">
                <w:txbxContent>
                  <w:p>
                    <w:pPr>
                      <w:tabs>
                        <w:tab w:pos="1417" w:val="left" w:leader="none"/>
                      </w:tabs>
                      <w:spacing w:line="569" w:lineRule="exact" w:before="0"/>
                      <w:ind w:left="0" w:right="0" w:firstLine="0"/>
                      <w:jc w:val="left"/>
                      <w:rPr>
                        <w:b/>
                        <w:sz w:val="48"/>
                      </w:rPr>
                    </w:pPr>
                    <w:r>
                      <w:rPr>
                        <w:b/>
                        <w:color w:val="FFFFFF"/>
                        <w:w w:val="122"/>
                        <w:sz w:val="48"/>
                        <w:shd w:fill="EC5A4F" w:color="auto" w:val="clear"/>
                      </w:rPr>
                      <w:t> </w:t>
                    </w:r>
                    <w:r>
                      <w:rPr>
                        <w:b/>
                        <w:color w:val="FFFFFF"/>
                        <w:spacing w:val="41"/>
                        <w:sz w:val="48"/>
                        <w:shd w:fill="EC5A4F" w:color="auto" w:val="clear"/>
                      </w:rPr>
                      <w:t> </w:t>
                    </w:r>
                    <w:r>
                      <w:rPr>
                        <w:b/>
                        <w:color w:val="FFFFFF"/>
                        <w:w w:val="120"/>
                        <w:sz w:val="48"/>
                        <w:shd w:fill="EC5A4F" w:color="auto" w:val="clear"/>
                      </w:rPr>
                      <w:t>A</w:t>
                    </w:r>
                    <w:r>
                      <w:rPr>
                        <w:b/>
                        <w:color w:val="FFFFFF"/>
                        <w:sz w:val="48"/>
                        <w:shd w:fill="EC5A4F" w:color="auto" w:val="clear"/>
                      </w:rPr>
                      <w:tab/>
                    </w:r>
                  </w:p>
                </w:txbxContent>
              </v:textbox>
              <w10:wrap type="none"/>
            </v:shape>
            <w10:wrap type="none"/>
          </v:group>
        </w:pict>
      </w:r>
      <w:r>
        <w:rPr>
          <w:b/>
          <w:color w:val="EC5A4F"/>
          <w:w w:val="115"/>
          <w:sz w:val="96"/>
        </w:rPr>
        <w:t>Appendices</w:t>
      </w:r>
    </w:p>
    <w:p>
      <w:pPr>
        <w:pStyle w:val="BodyText"/>
        <w:rPr>
          <w:b/>
          <w:sz w:val="20"/>
        </w:rPr>
      </w:pPr>
    </w:p>
    <w:p>
      <w:pPr>
        <w:pStyle w:val="BodyText"/>
        <w:rPr>
          <w:b/>
          <w:sz w:val="20"/>
        </w:rPr>
      </w:pPr>
    </w:p>
    <w:p>
      <w:pPr>
        <w:pStyle w:val="BodyText"/>
        <w:spacing w:before="1"/>
        <w:rPr>
          <w:b/>
          <w:sz w:val="24"/>
        </w:rPr>
      </w:pPr>
    </w:p>
    <w:p>
      <w:pPr>
        <w:spacing w:before="99"/>
        <w:ind w:left="1417" w:right="0" w:firstLine="0"/>
        <w:jc w:val="left"/>
        <w:rPr>
          <w:b/>
          <w:sz w:val="24"/>
        </w:rPr>
      </w:pPr>
      <w:r>
        <w:rPr>
          <w:b/>
          <w:w w:val="110"/>
          <w:sz w:val="24"/>
        </w:rPr>
        <w:t>228 Appendix A: Advisory committee</w:t>
      </w:r>
    </w:p>
    <w:p>
      <w:pPr>
        <w:spacing w:before="181"/>
        <w:ind w:left="1417" w:right="0" w:firstLine="0"/>
        <w:jc w:val="left"/>
        <w:rPr>
          <w:b/>
          <w:sz w:val="24"/>
        </w:rPr>
      </w:pPr>
      <w:r>
        <w:rPr>
          <w:b/>
          <w:w w:val="110"/>
          <w:sz w:val="24"/>
        </w:rPr>
        <w:t>229 Appendix B: Submissions</w:t>
      </w:r>
    </w:p>
    <w:p>
      <w:pPr>
        <w:spacing w:before="180"/>
        <w:ind w:left="1417" w:right="0" w:firstLine="0"/>
        <w:jc w:val="left"/>
        <w:rPr>
          <w:b/>
          <w:sz w:val="24"/>
        </w:rPr>
      </w:pPr>
      <w:r>
        <w:rPr>
          <w:b/>
          <w:w w:val="110"/>
          <w:sz w:val="24"/>
        </w:rPr>
        <w:t>231 Appendix C: Consultations</w:t>
      </w:r>
    </w:p>
    <w:p>
      <w:pPr>
        <w:spacing w:after="0"/>
        <w:jc w:val="left"/>
        <w:rPr>
          <w:sz w:val="24"/>
        </w:rPr>
        <w:sectPr>
          <w:headerReference w:type="default" r:id="rId128"/>
          <w:headerReference w:type="even" r:id="rId129"/>
          <w:pgSz w:w="11910" w:h="16840"/>
          <w:pgMar w:header="0" w:footer="0" w:top="0" w:bottom="0" w:left="0" w:right="0"/>
        </w:sectPr>
      </w:pPr>
    </w:p>
    <w:p>
      <w:pPr>
        <w:pStyle w:val="BodyText"/>
        <w:spacing w:before="10"/>
        <w:rPr>
          <w:b/>
          <w:sz w:val="18"/>
        </w:rPr>
      </w:pPr>
    </w:p>
    <w:p>
      <w:pPr>
        <w:spacing w:before="84"/>
        <w:ind w:left="566" w:right="0" w:firstLine="0"/>
        <w:jc w:val="left"/>
        <w:rPr>
          <w:rFonts w:ascii="Lucida Sans"/>
          <w:b/>
          <w:sz w:val="44"/>
        </w:rPr>
      </w:pPr>
      <w:bookmarkStart w:name="Appendix A: Advisory committee" w:id="164"/>
      <w:bookmarkEnd w:id="164"/>
      <w:r>
        <w:rPr/>
      </w:r>
      <w:r>
        <w:rPr>
          <w:rFonts w:ascii="Lucida Sans"/>
          <w:b/>
          <w:color w:val="EC5A4F"/>
          <w:sz w:val="44"/>
        </w:rPr>
        <w:t>Appendix </w:t>
      </w:r>
      <w:r>
        <w:rPr>
          <w:rFonts w:ascii="Lucida Sans"/>
          <w:b/>
          <w:color w:val="EC5A4F"/>
          <w:spacing w:val="8"/>
          <w:sz w:val="44"/>
        </w:rPr>
        <w:t>A: </w:t>
      </w:r>
      <w:r>
        <w:rPr>
          <w:rFonts w:ascii="Lucida Sans"/>
          <w:b/>
          <w:color w:val="EC5A4F"/>
          <w:sz w:val="44"/>
        </w:rPr>
        <w:t>Advisory</w:t>
      </w:r>
      <w:r>
        <w:rPr>
          <w:rFonts w:ascii="Lucida Sans"/>
          <w:b/>
          <w:color w:val="EC5A4F"/>
          <w:spacing w:val="-104"/>
          <w:sz w:val="44"/>
        </w:rPr>
        <w:t> </w:t>
      </w:r>
      <w:r>
        <w:rPr>
          <w:rFonts w:ascii="Lucida Sans"/>
          <w:b/>
          <w:color w:val="EC5A4F"/>
          <w:spacing w:val="-3"/>
          <w:sz w:val="44"/>
        </w:rPr>
        <w:t>committee</w:t>
      </w:r>
    </w:p>
    <w:p>
      <w:pPr>
        <w:pStyle w:val="BodyText"/>
        <w:rPr>
          <w:rFonts w:ascii="Lucida Sans"/>
          <w:b/>
          <w:sz w:val="20"/>
        </w:rPr>
      </w:pPr>
    </w:p>
    <w:p>
      <w:pPr>
        <w:pStyle w:val="BodyText"/>
        <w:rPr>
          <w:rFonts w:ascii="Lucida Sans"/>
          <w:b/>
          <w:sz w:val="20"/>
        </w:rPr>
      </w:pPr>
    </w:p>
    <w:p>
      <w:pPr>
        <w:pStyle w:val="BodyText"/>
        <w:rPr>
          <w:rFonts w:ascii="Lucida Sans"/>
          <w:b/>
          <w:sz w:val="20"/>
        </w:rPr>
      </w:pPr>
    </w:p>
    <w:p>
      <w:pPr>
        <w:pStyle w:val="BodyText"/>
        <w:rPr>
          <w:rFonts w:ascii="Lucida Sans"/>
          <w:b/>
          <w:sz w:val="20"/>
        </w:rPr>
      </w:pPr>
    </w:p>
    <w:p>
      <w:pPr>
        <w:pStyle w:val="BodyText"/>
        <w:rPr>
          <w:rFonts w:ascii="Lucida Sans"/>
          <w:b/>
          <w:sz w:val="20"/>
        </w:rPr>
      </w:pPr>
    </w:p>
    <w:p>
      <w:pPr>
        <w:pStyle w:val="BodyText"/>
        <w:rPr>
          <w:rFonts w:ascii="Lucida Sans"/>
          <w:b/>
          <w:sz w:val="20"/>
        </w:rPr>
      </w:pPr>
    </w:p>
    <w:p>
      <w:pPr>
        <w:pStyle w:val="BodyText"/>
        <w:rPr>
          <w:rFonts w:ascii="Lucida Sans"/>
          <w:b/>
          <w:sz w:val="20"/>
        </w:rPr>
      </w:pPr>
    </w:p>
    <w:p>
      <w:pPr>
        <w:pStyle w:val="BodyText"/>
        <w:rPr>
          <w:rFonts w:ascii="Lucida Sans"/>
          <w:b/>
          <w:sz w:val="20"/>
        </w:rPr>
      </w:pPr>
    </w:p>
    <w:p>
      <w:pPr>
        <w:pStyle w:val="BodyText"/>
        <w:rPr>
          <w:rFonts w:ascii="Lucida Sans"/>
          <w:b/>
          <w:sz w:val="20"/>
        </w:rPr>
      </w:pPr>
    </w:p>
    <w:p>
      <w:pPr>
        <w:pStyle w:val="BodyText"/>
        <w:rPr>
          <w:rFonts w:ascii="Lucida Sans"/>
          <w:b/>
          <w:sz w:val="20"/>
        </w:rPr>
      </w:pPr>
    </w:p>
    <w:p>
      <w:pPr>
        <w:pStyle w:val="BodyText"/>
        <w:rPr>
          <w:rFonts w:ascii="Lucida Sans"/>
          <w:b/>
          <w:sz w:val="20"/>
        </w:rPr>
      </w:pPr>
    </w:p>
    <w:p>
      <w:pPr>
        <w:pStyle w:val="BodyText"/>
        <w:rPr>
          <w:rFonts w:ascii="Lucida Sans"/>
          <w:b/>
          <w:sz w:val="20"/>
        </w:rPr>
      </w:pPr>
    </w:p>
    <w:p>
      <w:pPr>
        <w:pStyle w:val="BodyText"/>
        <w:rPr>
          <w:rFonts w:ascii="Lucida Sans"/>
          <w:b/>
        </w:rPr>
      </w:pPr>
    </w:p>
    <w:p>
      <w:pPr>
        <w:pStyle w:val="BodyText"/>
        <w:spacing w:line="242" w:lineRule="auto" w:before="92"/>
        <w:ind w:left="1587" w:right="2010"/>
      </w:pPr>
      <w:r>
        <w:rPr/>
        <w:t>The </w:t>
      </w:r>
      <w:r>
        <w:rPr>
          <w:spacing w:val="-3"/>
        </w:rPr>
        <w:t>Commission </w:t>
      </w:r>
      <w:r>
        <w:rPr/>
        <w:t>formed a </w:t>
      </w:r>
      <w:r>
        <w:rPr>
          <w:spacing w:val="-3"/>
        </w:rPr>
        <w:t>small </w:t>
      </w:r>
      <w:r>
        <w:rPr/>
        <w:t>committee of people recognised </w:t>
      </w:r>
      <w:r>
        <w:rPr>
          <w:spacing w:val="-3"/>
        </w:rPr>
        <w:t>for </w:t>
      </w:r>
      <w:r>
        <w:rPr/>
        <w:t>their expertise in the operation of </w:t>
      </w:r>
      <w:r>
        <w:rPr>
          <w:spacing w:val="-3"/>
        </w:rPr>
        <w:t>succession  </w:t>
      </w:r>
      <w:r>
        <w:rPr/>
        <w:t>laws </w:t>
      </w:r>
      <w:r>
        <w:rPr>
          <w:spacing w:val="-3"/>
        </w:rPr>
        <w:t>to</w:t>
      </w:r>
      <w:r>
        <w:rPr>
          <w:spacing w:val="41"/>
        </w:rPr>
        <w:t> </w:t>
      </w:r>
      <w:r>
        <w:rPr/>
        <w:t>assist in identifying and exploring issues </w:t>
      </w:r>
      <w:r>
        <w:rPr>
          <w:spacing w:val="-3"/>
        </w:rPr>
        <w:t>arising  from  </w:t>
      </w:r>
      <w:r>
        <w:rPr/>
        <w:t>the </w:t>
      </w:r>
      <w:r>
        <w:rPr>
          <w:spacing w:val="-3"/>
        </w:rPr>
        <w:t>terms   </w:t>
      </w:r>
      <w:r>
        <w:rPr/>
        <w:t>of </w:t>
      </w:r>
      <w:r>
        <w:rPr>
          <w:spacing w:val="-4"/>
        </w:rPr>
        <w:t>reference. </w:t>
      </w:r>
      <w:r>
        <w:rPr/>
        <w:t>Members </w:t>
      </w:r>
      <w:r>
        <w:rPr>
          <w:spacing w:val="-3"/>
        </w:rPr>
        <w:t>were asked to contribute  </w:t>
      </w:r>
      <w:r>
        <w:rPr/>
        <w:t>as </w:t>
      </w:r>
      <w:r>
        <w:rPr>
          <w:spacing w:val="-3"/>
        </w:rPr>
        <w:t>individual</w:t>
      </w:r>
      <w:r>
        <w:rPr>
          <w:spacing w:val="41"/>
        </w:rPr>
        <w:t> </w:t>
      </w:r>
      <w:r>
        <w:rPr/>
        <w:t>experts and </w:t>
      </w:r>
      <w:r>
        <w:rPr>
          <w:spacing w:val="-2"/>
        </w:rPr>
        <w:t>not  </w:t>
      </w:r>
      <w:r>
        <w:rPr/>
        <w:t>as representatives of </w:t>
      </w:r>
      <w:r>
        <w:rPr>
          <w:spacing w:val="-3"/>
        </w:rPr>
        <w:t>any organisation </w:t>
      </w:r>
      <w:r>
        <w:rPr/>
        <w:t>with which they </w:t>
      </w:r>
      <w:r>
        <w:rPr>
          <w:spacing w:val="-3"/>
        </w:rPr>
        <w:t>worked </w:t>
      </w:r>
      <w:r>
        <w:rPr/>
        <w:t>or </w:t>
      </w:r>
      <w:r>
        <w:rPr>
          <w:spacing w:val="-3"/>
        </w:rPr>
        <w:t>were</w:t>
      </w:r>
      <w:r>
        <w:rPr>
          <w:spacing w:val="-30"/>
        </w:rPr>
        <w:t> </w:t>
      </w:r>
      <w:r>
        <w:rPr/>
        <w:t>affiliated.</w:t>
      </w:r>
    </w:p>
    <w:p>
      <w:pPr>
        <w:pStyle w:val="BodyText"/>
        <w:spacing w:line="242" w:lineRule="auto" w:before="124"/>
        <w:ind w:left="1587" w:right="2033"/>
      </w:pPr>
      <w:r>
        <w:rPr>
          <w:w w:val="105"/>
        </w:rPr>
        <w:t>The committee met four times, on 2 July 2012, 16 July 2012, 2 August 2012 and 2 May 2013. The following attended one or more meetings:</w:t>
      </w:r>
    </w:p>
    <w:p>
      <w:pPr>
        <w:pStyle w:val="ListParagraph"/>
        <w:numPr>
          <w:ilvl w:val="0"/>
          <w:numId w:val="155"/>
        </w:numPr>
        <w:tabs>
          <w:tab w:pos="1927" w:val="left" w:leader="none"/>
          <w:tab w:pos="1928" w:val="left" w:leader="none"/>
        </w:tabs>
        <w:spacing w:line="240" w:lineRule="auto" w:before="122" w:after="0"/>
        <w:ind w:left="1927" w:right="0" w:hanging="340"/>
        <w:jc w:val="left"/>
        <w:rPr>
          <w:sz w:val="21"/>
        </w:rPr>
      </w:pPr>
      <w:r>
        <w:rPr>
          <w:spacing w:val="-4"/>
          <w:w w:val="105"/>
          <w:sz w:val="21"/>
        </w:rPr>
        <w:t>Danny Barlow, director, </w:t>
      </w:r>
      <w:r>
        <w:rPr>
          <w:spacing w:val="-3"/>
          <w:w w:val="105"/>
          <w:sz w:val="21"/>
        </w:rPr>
        <w:t>Riordan</w:t>
      </w:r>
      <w:r>
        <w:rPr>
          <w:spacing w:val="34"/>
          <w:w w:val="105"/>
          <w:sz w:val="21"/>
        </w:rPr>
        <w:t> </w:t>
      </w:r>
      <w:r>
        <w:rPr>
          <w:spacing w:val="-3"/>
          <w:w w:val="105"/>
          <w:sz w:val="21"/>
        </w:rPr>
        <w:t>Legal</w:t>
      </w:r>
    </w:p>
    <w:p>
      <w:pPr>
        <w:pStyle w:val="ListParagraph"/>
        <w:numPr>
          <w:ilvl w:val="0"/>
          <w:numId w:val="155"/>
        </w:numPr>
        <w:tabs>
          <w:tab w:pos="1927" w:val="left" w:leader="none"/>
          <w:tab w:pos="1928" w:val="left" w:leader="none"/>
        </w:tabs>
        <w:spacing w:line="240" w:lineRule="auto" w:before="124" w:after="0"/>
        <w:ind w:left="1927" w:right="0" w:hanging="340"/>
        <w:jc w:val="left"/>
        <w:rPr>
          <w:sz w:val="21"/>
        </w:rPr>
      </w:pPr>
      <w:r>
        <w:rPr>
          <w:spacing w:val="-3"/>
          <w:sz w:val="21"/>
        </w:rPr>
        <w:t>Richard </w:t>
      </w:r>
      <w:r>
        <w:rPr>
          <w:sz w:val="21"/>
        </w:rPr>
        <w:t>Boaden,</w:t>
      </w:r>
      <w:r>
        <w:rPr>
          <w:spacing w:val="19"/>
          <w:sz w:val="21"/>
        </w:rPr>
        <w:t> </w:t>
      </w:r>
      <w:r>
        <w:rPr>
          <w:sz w:val="21"/>
        </w:rPr>
        <w:t>barrister</w:t>
      </w:r>
    </w:p>
    <w:p>
      <w:pPr>
        <w:pStyle w:val="ListParagraph"/>
        <w:numPr>
          <w:ilvl w:val="0"/>
          <w:numId w:val="155"/>
        </w:numPr>
        <w:tabs>
          <w:tab w:pos="1927" w:val="left" w:leader="none"/>
          <w:tab w:pos="1928" w:val="left" w:leader="none"/>
        </w:tabs>
        <w:spacing w:line="240" w:lineRule="auto" w:before="124" w:after="0"/>
        <w:ind w:left="1927" w:right="0" w:hanging="340"/>
        <w:jc w:val="left"/>
        <w:rPr>
          <w:sz w:val="21"/>
        </w:rPr>
      </w:pPr>
      <w:r>
        <w:rPr>
          <w:sz w:val="21"/>
        </w:rPr>
        <w:t>Associate</w:t>
      </w:r>
      <w:r>
        <w:rPr>
          <w:spacing w:val="9"/>
          <w:sz w:val="21"/>
        </w:rPr>
        <w:t> </w:t>
      </w:r>
      <w:r>
        <w:rPr>
          <w:sz w:val="21"/>
        </w:rPr>
        <w:t>Professor</w:t>
      </w:r>
      <w:r>
        <w:rPr>
          <w:spacing w:val="10"/>
          <w:sz w:val="21"/>
        </w:rPr>
        <w:t> </w:t>
      </w:r>
      <w:r>
        <w:rPr>
          <w:sz w:val="21"/>
        </w:rPr>
        <w:t>Matthew</w:t>
      </w:r>
      <w:r>
        <w:rPr>
          <w:spacing w:val="9"/>
          <w:sz w:val="21"/>
        </w:rPr>
        <w:t> </w:t>
      </w:r>
      <w:r>
        <w:rPr>
          <w:spacing w:val="-3"/>
          <w:sz w:val="21"/>
        </w:rPr>
        <w:t>Groves,</w:t>
      </w:r>
      <w:r>
        <w:rPr>
          <w:spacing w:val="10"/>
          <w:sz w:val="21"/>
        </w:rPr>
        <w:t> </w:t>
      </w:r>
      <w:r>
        <w:rPr>
          <w:spacing w:val="-3"/>
          <w:sz w:val="21"/>
        </w:rPr>
        <w:t>Faculty</w:t>
      </w:r>
      <w:r>
        <w:rPr>
          <w:spacing w:val="10"/>
          <w:sz w:val="21"/>
        </w:rPr>
        <w:t> </w:t>
      </w:r>
      <w:r>
        <w:rPr>
          <w:sz w:val="21"/>
        </w:rPr>
        <w:t>of</w:t>
      </w:r>
      <w:r>
        <w:rPr>
          <w:spacing w:val="9"/>
          <w:sz w:val="21"/>
        </w:rPr>
        <w:t> </w:t>
      </w:r>
      <w:r>
        <w:rPr>
          <w:spacing w:val="-3"/>
          <w:sz w:val="21"/>
        </w:rPr>
        <w:t>Law,</w:t>
      </w:r>
      <w:r>
        <w:rPr>
          <w:spacing w:val="10"/>
          <w:sz w:val="21"/>
        </w:rPr>
        <w:t> </w:t>
      </w:r>
      <w:r>
        <w:rPr>
          <w:sz w:val="21"/>
        </w:rPr>
        <w:t>Monash</w:t>
      </w:r>
      <w:r>
        <w:rPr>
          <w:spacing w:val="10"/>
          <w:sz w:val="21"/>
        </w:rPr>
        <w:t> </w:t>
      </w:r>
      <w:r>
        <w:rPr>
          <w:sz w:val="21"/>
        </w:rPr>
        <w:t>University</w:t>
      </w:r>
    </w:p>
    <w:p>
      <w:pPr>
        <w:pStyle w:val="ListParagraph"/>
        <w:numPr>
          <w:ilvl w:val="0"/>
          <w:numId w:val="155"/>
        </w:numPr>
        <w:tabs>
          <w:tab w:pos="1927" w:val="left" w:leader="none"/>
          <w:tab w:pos="1928" w:val="left" w:leader="none"/>
        </w:tabs>
        <w:spacing w:line="240" w:lineRule="auto" w:before="124" w:after="0"/>
        <w:ind w:left="1927" w:right="0" w:hanging="340"/>
        <w:jc w:val="left"/>
        <w:rPr>
          <w:sz w:val="21"/>
        </w:rPr>
      </w:pPr>
      <w:r>
        <w:rPr>
          <w:w w:val="105"/>
          <w:sz w:val="21"/>
        </w:rPr>
        <w:t>Michael </w:t>
      </w:r>
      <w:r>
        <w:rPr>
          <w:spacing w:val="-3"/>
          <w:w w:val="105"/>
          <w:sz w:val="21"/>
        </w:rPr>
        <w:t>Halpin, </w:t>
      </w:r>
      <w:r>
        <w:rPr>
          <w:w w:val="105"/>
          <w:sz w:val="21"/>
        </w:rPr>
        <w:t>Registrar of</w:t>
      </w:r>
      <w:r>
        <w:rPr>
          <w:spacing w:val="21"/>
          <w:w w:val="105"/>
          <w:sz w:val="21"/>
        </w:rPr>
        <w:t> </w:t>
      </w:r>
      <w:r>
        <w:rPr>
          <w:w w:val="105"/>
          <w:sz w:val="21"/>
        </w:rPr>
        <w:t>Probates</w:t>
      </w:r>
    </w:p>
    <w:p>
      <w:pPr>
        <w:pStyle w:val="ListParagraph"/>
        <w:numPr>
          <w:ilvl w:val="0"/>
          <w:numId w:val="155"/>
        </w:numPr>
        <w:tabs>
          <w:tab w:pos="1927" w:val="left" w:leader="none"/>
          <w:tab w:pos="1928" w:val="left" w:leader="none"/>
        </w:tabs>
        <w:spacing w:line="240" w:lineRule="auto" w:before="123" w:after="0"/>
        <w:ind w:left="1927" w:right="0" w:hanging="340"/>
        <w:jc w:val="left"/>
        <w:rPr>
          <w:sz w:val="21"/>
        </w:rPr>
      </w:pPr>
      <w:r>
        <w:rPr>
          <w:w w:val="105"/>
          <w:sz w:val="21"/>
        </w:rPr>
        <w:t>Justin Hartnett, </w:t>
      </w:r>
      <w:r>
        <w:rPr>
          <w:spacing w:val="-3"/>
          <w:w w:val="105"/>
          <w:sz w:val="21"/>
        </w:rPr>
        <w:t>principal, </w:t>
      </w:r>
      <w:r>
        <w:rPr>
          <w:w w:val="105"/>
          <w:sz w:val="21"/>
        </w:rPr>
        <w:t>Harwood</w:t>
      </w:r>
      <w:r>
        <w:rPr>
          <w:spacing w:val="23"/>
          <w:w w:val="105"/>
          <w:sz w:val="21"/>
        </w:rPr>
        <w:t> </w:t>
      </w:r>
      <w:r>
        <w:rPr>
          <w:w w:val="105"/>
          <w:sz w:val="21"/>
        </w:rPr>
        <w:t>Andrews</w:t>
      </w:r>
    </w:p>
    <w:p>
      <w:pPr>
        <w:pStyle w:val="ListParagraph"/>
        <w:numPr>
          <w:ilvl w:val="0"/>
          <w:numId w:val="155"/>
        </w:numPr>
        <w:tabs>
          <w:tab w:pos="1927" w:val="left" w:leader="none"/>
          <w:tab w:pos="1928" w:val="left" w:leader="none"/>
        </w:tabs>
        <w:spacing w:line="240" w:lineRule="auto" w:before="124" w:after="0"/>
        <w:ind w:left="1927" w:right="0" w:hanging="340"/>
        <w:jc w:val="left"/>
        <w:rPr>
          <w:sz w:val="21"/>
        </w:rPr>
      </w:pPr>
      <w:r>
        <w:rPr>
          <w:sz w:val="21"/>
        </w:rPr>
        <w:t>Mark </w:t>
      </w:r>
      <w:r>
        <w:rPr>
          <w:spacing w:val="-5"/>
          <w:sz w:val="21"/>
        </w:rPr>
        <w:t>Maier, </w:t>
      </w:r>
      <w:r>
        <w:rPr>
          <w:spacing w:val="-4"/>
          <w:sz w:val="21"/>
        </w:rPr>
        <w:t>solicitor, </w:t>
      </w:r>
      <w:r>
        <w:rPr>
          <w:sz w:val="21"/>
        </w:rPr>
        <w:t>McNab McNab &amp;</w:t>
      </w:r>
      <w:r>
        <w:rPr>
          <w:spacing w:val="20"/>
          <w:sz w:val="21"/>
        </w:rPr>
        <w:t> </w:t>
      </w:r>
      <w:r>
        <w:rPr>
          <w:spacing w:val="-4"/>
          <w:sz w:val="21"/>
        </w:rPr>
        <w:t>Starke</w:t>
      </w:r>
    </w:p>
    <w:p>
      <w:pPr>
        <w:pStyle w:val="ListParagraph"/>
        <w:numPr>
          <w:ilvl w:val="0"/>
          <w:numId w:val="155"/>
        </w:numPr>
        <w:tabs>
          <w:tab w:pos="1927" w:val="left" w:leader="none"/>
          <w:tab w:pos="1928" w:val="left" w:leader="none"/>
        </w:tabs>
        <w:spacing w:line="240" w:lineRule="auto" w:before="124" w:after="0"/>
        <w:ind w:left="1927" w:right="0" w:hanging="340"/>
        <w:jc w:val="left"/>
        <w:rPr>
          <w:sz w:val="21"/>
        </w:rPr>
      </w:pPr>
      <w:r>
        <w:rPr>
          <w:spacing w:val="-3"/>
          <w:sz w:val="21"/>
        </w:rPr>
        <w:t>Stewart </w:t>
      </w:r>
      <w:r>
        <w:rPr>
          <w:sz w:val="21"/>
        </w:rPr>
        <w:t>McNab,</w:t>
      </w:r>
      <w:r>
        <w:rPr>
          <w:spacing w:val="19"/>
          <w:sz w:val="21"/>
        </w:rPr>
        <w:t> </w:t>
      </w:r>
      <w:r>
        <w:rPr>
          <w:sz w:val="21"/>
        </w:rPr>
        <w:t>barrister</w:t>
      </w:r>
    </w:p>
    <w:p>
      <w:pPr>
        <w:pStyle w:val="ListParagraph"/>
        <w:numPr>
          <w:ilvl w:val="0"/>
          <w:numId w:val="155"/>
        </w:numPr>
        <w:tabs>
          <w:tab w:pos="1927" w:val="left" w:leader="none"/>
          <w:tab w:pos="1928" w:val="left" w:leader="none"/>
        </w:tabs>
        <w:spacing w:line="240" w:lineRule="auto" w:before="124" w:after="0"/>
        <w:ind w:left="1927" w:right="0" w:hanging="340"/>
        <w:jc w:val="left"/>
        <w:rPr>
          <w:sz w:val="21"/>
        </w:rPr>
      </w:pPr>
      <w:r>
        <w:rPr>
          <w:spacing w:val="-3"/>
          <w:sz w:val="21"/>
        </w:rPr>
        <w:t>Richard Phillips,</w:t>
      </w:r>
      <w:r>
        <w:rPr>
          <w:spacing w:val="19"/>
          <w:sz w:val="21"/>
        </w:rPr>
        <w:t> </w:t>
      </w:r>
      <w:r>
        <w:rPr>
          <w:sz w:val="21"/>
        </w:rPr>
        <w:t>barrister</w:t>
      </w:r>
    </w:p>
    <w:p>
      <w:pPr>
        <w:pStyle w:val="ListParagraph"/>
        <w:numPr>
          <w:ilvl w:val="0"/>
          <w:numId w:val="155"/>
        </w:numPr>
        <w:tabs>
          <w:tab w:pos="1927" w:val="left" w:leader="none"/>
          <w:tab w:pos="1928" w:val="left" w:leader="none"/>
        </w:tabs>
        <w:spacing w:line="240" w:lineRule="auto" w:before="123" w:after="0"/>
        <w:ind w:left="1927" w:right="0" w:hanging="340"/>
        <w:jc w:val="left"/>
        <w:rPr>
          <w:sz w:val="21"/>
        </w:rPr>
      </w:pPr>
      <w:r>
        <w:rPr>
          <w:spacing w:val="-3"/>
          <w:w w:val="105"/>
          <w:sz w:val="21"/>
        </w:rPr>
        <w:t>Carol Stuart, </w:t>
      </w:r>
      <w:r>
        <w:rPr>
          <w:w w:val="105"/>
          <w:sz w:val="21"/>
        </w:rPr>
        <w:t>community </w:t>
      </w:r>
      <w:r>
        <w:rPr>
          <w:spacing w:val="-3"/>
          <w:w w:val="105"/>
          <w:sz w:val="21"/>
        </w:rPr>
        <w:t>lawyer, </w:t>
      </w:r>
      <w:r>
        <w:rPr>
          <w:w w:val="105"/>
          <w:sz w:val="21"/>
        </w:rPr>
        <w:t>Seniors Rights</w:t>
      </w:r>
      <w:r>
        <w:rPr>
          <w:spacing w:val="36"/>
          <w:w w:val="105"/>
          <w:sz w:val="21"/>
        </w:rPr>
        <w:t> </w:t>
      </w:r>
      <w:r>
        <w:rPr>
          <w:w w:val="105"/>
          <w:sz w:val="21"/>
        </w:rPr>
        <w:t>Victoria</w:t>
      </w:r>
    </w:p>
    <w:p>
      <w:pPr>
        <w:pStyle w:val="ListParagraph"/>
        <w:numPr>
          <w:ilvl w:val="0"/>
          <w:numId w:val="155"/>
        </w:numPr>
        <w:tabs>
          <w:tab w:pos="1927" w:val="left" w:leader="none"/>
          <w:tab w:pos="1928" w:val="left" w:leader="none"/>
        </w:tabs>
        <w:spacing w:line="240" w:lineRule="auto" w:before="124" w:after="0"/>
        <w:ind w:left="1927" w:right="0" w:hanging="340"/>
        <w:jc w:val="left"/>
        <w:rPr>
          <w:sz w:val="21"/>
        </w:rPr>
      </w:pPr>
      <w:r>
        <w:rPr>
          <w:w w:val="105"/>
          <w:sz w:val="21"/>
        </w:rPr>
        <w:t>Michael </w:t>
      </w:r>
      <w:r>
        <w:rPr>
          <w:spacing w:val="-3"/>
          <w:w w:val="105"/>
          <w:sz w:val="21"/>
        </w:rPr>
        <w:t>Tsotsos, </w:t>
      </w:r>
      <w:r>
        <w:rPr>
          <w:w w:val="105"/>
          <w:sz w:val="21"/>
        </w:rPr>
        <w:t>legal </w:t>
      </w:r>
      <w:r>
        <w:rPr>
          <w:spacing w:val="-3"/>
          <w:w w:val="105"/>
          <w:sz w:val="21"/>
        </w:rPr>
        <w:t>counsel,</w:t>
      </w:r>
      <w:r>
        <w:rPr>
          <w:spacing w:val="22"/>
          <w:w w:val="105"/>
          <w:sz w:val="21"/>
        </w:rPr>
        <w:t> </w:t>
      </w:r>
      <w:r>
        <w:rPr>
          <w:spacing w:val="-3"/>
          <w:w w:val="105"/>
          <w:sz w:val="21"/>
        </w:rPr>
        <w:t>Perpetual</w:t>
      </w:r>
    </w:p>
    <w:p>
      <w:pPr>
        <w:pStyle w:val="ListParagraph"/>
        <w:numPr>
          <w:ilvl w:val="0"/>
          <w:numId w:val="155"/>
        </w:numPr>
        <w:tabs>
          <w:tab w:pos="1927" w:val="left" w:leader="none"/>
          <w:tab w:pos="1928" w:val="left" w:leader="none"/>
        </w:tabs>
        <w:spacing w:line="240" w:lineRule="auto" w:before="124" w:after="0"/>
        <w:ind w:left="1927" w:right="0" w:hanging="340"/>
        <w:jc w:val="left"/>
        <w:rPr>
          <w:sz w:val="21"/>
        </w:rPr>
      </w:pPr>
      <w:r>
        <w:rPr>
          <w:w w:val="105"/>
          <w:sz w:val="21"/>
        </w:rPr>
        <w:t>Professor Prue Vines, </w:t>
      </w:r>
      <w:r>
        <w:rPr>
          <w:spacing w:val="-3"/>
          <w:w w:val="105"/>
          <w:sz w:val="21"/>
        </w:rPr>
        <w:t>Faculty </w:t>
      </w:r>
      <w:r>
        <w:rPr>
          <w:w w:val="105"/>
          <w:sz w:val="21"/>
        </w:rPr>
        <w:t>of </w:t>
      </w:r>
      <w:r>
        <w:rPr>
          <w:spacing w:val="-3"/>
          <w:w w:val="105"/>
          <w:sz w:val="21"/>
        </w:rPr>
        <w:t>Law, </w:t>
      </w:r>
      <w:r>
        <w:rPr>
          <w:w w:val="105"/>
          <w:sz w:val="21"/>
        </w:rPr>
        <w:t>University of New South</w:t>
      </w:r>
      <w:r>
        <w:rPr>
          <w:spacing w:val="41"/>
          <w:w w:val="105"/>
          <w:sz w:val="21"/>
        </w:rPr>
        <w:t> </w:t>
      </w:r>
      <w:r>
        <w:rPr>
          <w:spacing w:val="-3"/>
          <w:w w:val="105"/>
          <w:sz w:val="21"/>
        </w:rPr>
        <w:t>Wales</w:t>
      </w:r>
    </w:p>
    <w:p>
      <w:pPr>
        <w:pStyle w:val="ListParagraph"/>
        <w:numPr>
          <w:ilvl w:val="0"/>
          <w:numId w:val="155"/>
        </w:numPr>
        <w:tabs>
          <w:tab w:pos="1927" w:val="left" w:leader="none"/>
          <w:tab w:pos="1928" w:val="left" w:leader="none"/>
        </w:tabs>
        <w:spacing w:line="240" w:lineRule="auto" w:before="124" w:after="0"/>
        <w:ind w:left="1927" w:right="0" w:hanging="340"/>
        <w:jc w:val="left"/>
        <w:rPr>
          <w:sz w:val="21"/>
        </w:rPr>
      </w:pPr>
      <w:r>
        <w:rPr>
          <w:spacing w:val="-3"/>
          <w:w w:val="105"/>
          <w:sz w:val="21"/>
        </w:rPr>
        <w:t>Kathy Wilson, </w:t>
      </w:r>
      <w:r>
        <w:rPr>
          <w:w w:val="105"/>
          <w:sz w:val="21"/>
        </w:rPr>
        <w:t>special </w:t>
      </w:r>
      <w:r>
        <w:rPr>
          <w:spacing w:val="-3"/>
          <w:w w:val="105"/>
          <w:sz w:val="21"/>
        </w:rPr>
        <w:t>counsel, Aitken</w:t>
      </w:r>
      <w:r>
        <w:rPr>
          <w:spacing w:val="34"/>
          <w:w w:val="105"/>
          <w:sz w:val="21"/>
        </w:rPr>
        <w:t> </w:t>
      </w:r>
      <w:r>
        <w:rPr>
          <w:w w:val="105"/>
          <w:sz w:val="21"/>
        </w:rPr>
        <w:t>Partners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99"/>
        <w:ind w:left="720" w:right="0" w:firstLine="0"/>
        <w:jc w:val="left"/>
        <w:rPr>
          <w:b/>
          <w:sz w:val="24"/>
        </w:rPr>
      </w:pPr>
      <w:r>
        <w:rPr>
          <w:b/>
          <w:color w:val="EC5A4F"/>
          <w:w w:val="110"/>
          <w:sz w:val="24"/>
        </w:rPr>
        <w:t>228</w:t>
      </w:r>
    </w:p>
    <w:p>
      <w:pPr>
        <w:spacing w:after="0"/>
        <w:jc w:val="left"/>
        <w:rPr>
          <w:sz w:val="24"/>
        </w:rPr>
        <w:sectPr>
          <w:pgSz w:w="11910" w:h="16840"/>
          <w:pgMar w:header="550" w:footer="0" w:top="1560" w:bottom="280" w:left="0" w:right="0"/>
        </w:sectPr>
      </w:pPr>
    </w:p>
    <w:p>
      <w:pPr>
        <w:tabs>
          <w:tab w:pos="1417" w:val="left" w:leader="none"/>
        </w:tabs>
        <w:spacing w:before="85"/>
        <w:ind w:left="0" w:right="0" w:firstLine="0"/>
        <w:jc w:val="right"/>
        <w:rPr>
          <w:b/>
          <w:sz w:val="48"/>
        </w:rPr>
      </w:pPr>
      <w:bookmarkStart w:name="Appendix B: Submissions" w:id="165"/>
      <w:bookmarkEnd w:id="165"/>
      <w:r>
        <w:rPr/>
      </w:r>
      <w:r>
        <w:rPr>
          <w:b/>
          <w:color w:val="FFFFFF"/>
          <w:w w:val="122"/>
          <w:sz w:val="48"/>
          <w:shd w:fill="EC5A4F" w:color="auto" w:val="clear"/>
        </w:rPr>
        <w:t> </w:t>
      </w:r>
      <w:r>
        <w:rPr>
          <w:b/>
          <w:color w:val="FFFFFF"/>
          <w:spacing w:val="41"/>
          <w:sz w:val="48"/>
          <w:shd w:fill="EC5A4F" w:color="auto" w:val="clear"/>
        </w:rPr>
        <w:t> </w:t>
      </w:r>
      <w:r>
        <w:rPr>
          <w:b/>
          <w:color w:val="FFFFFF"/>
          <w:w w:val="105"/>
          <w:sz w:val="48"/>
          <w:shd w:fill="EC5A4F" w:color="auto" w:val="clear"/>
        </w:rPr>
        <w:t>B</w:t>
      </w:r>
      <w:r>
        <w:rPr>
          <w:b/>
          <w:color w:val="FFFFFF"/>
          <w:sz w:val="48"/>
          <w:shd w:fill="EC5A4F" w:color="auto" w:val="clear"/>
        </w:rPr>
        <w:tab/>
      </w:r>
    </w:p>
    <w:p>
      <w:pPr>
        <w:pStyle w:val="BodyText"/>
        <w:rPr>
          <w:b/>
          <w:sz w:val="20"/>
        </w:rPr>
      </w:pPr>
    </w:p>
    <w:p>
      <w:pPr>
        <w:spacing w:before="267"/>
        <w:ind w:left="566" w:right="0" w:firstLine="0"/>
        <w:jc w:val="left"/>
        <w:rPr>
          <w:b/>
          <w:sz w:val="44"/>
        </w:rPr>
      </w:pPr>
      <w:r>
        <w:rPr>
          <w:b/>
          <w:color w:val="EC5A4F"/>
          <w:w w:val="110"/>
          <w:sz w:val="44"/>
        </w:rPr>
        <w:t>Appendix B: Submissions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29"/>
        </w:rPr>
      </w:pPr>
    </w:p>
    <w:p>
      <w:pPr>
        <w:spacing w:after="0"/>
        <w:rPr>
          <w:sz w:val="29"/>
        </w:rPr>
        <w:sectPr>
          <w:headerReference w:type="default" r:id="rId130"/>
          <w:pgSz w:w="11910" w:h="16840"/>
          <w:pgMar w:header="0" w:footer="0" w:top="700" w:bottom="280" w:left="0" w:right="0"/>
        </w:sectPr>
      </w:pPr>
    </w:p>
    <w:p>
      <w:pPr>
        <w:pStyle w:val="ListParagraph"/>
        <w:numPr>
          <w:ilvl w:val="0"/>
          <w:numId w:val="156"/>
        </w:numPr>
        <w:tabs>
          <w:tab w:pos="2494" w:val="left" w:leader="none"/>
          <w:tab w:pos="2495" w:val="left" w:leader="none"/>
        </w:tabs>
        <w:spacing w:line="240" w:lineRule="auto" w:before="91" w:after="0"/>
        <w:ind w:left="2494" w:right="0" w:hanging="907"/>
        <w:jc w:val="left"/>
        <w:rPr>
          <w:sz w:val="21"/>
        </w:rPr>
      </w:pPr>
      <w:r>
        <w:rPr>
          <w:w w:val="105"/>
          <w:sz w:val="21"/>
        </w:rPr>
        <w:t>Legal Services</w:t>
      </w:r>
      <w:r>
        <w:rPr>
          <w:spacing w:val="10"/>
          <w:w w:val="105"/>
          <w:sz w:val="21"/>
        </w:rPr>
        <w:t> </w:t>
      </w:r>
      <w:r>
        <w:rPr>
          <w:spacing w:val="-3"/>
          <w:w w:val="105"/>
          <w:sz w:val="21"/>
        </w:rPr>
        <w:t>Commissioner</w:t>
      </w:r>
    </w:p>
    <w:p>
      <w:pPr>
        <w:pStyle w:val="ListParagraph"/>
        <w:numPr>
          <w:ilvl w:val="0"/>
          <w:numId w:val="156"/>
        </w:numPr>
        <w:tabs>
          <w:tab w:pos="2494" w:val="left" w:leader="none"/>
          <w:tab w:pos="2495" w:val="left" w:leader="none"/>
        </w:tabs>
        <w:spacing w:line="355" w:lineRule="auto" w:before="124" w:after="0"/>
        <w:ind w:left="1587" w:right="3133" w:firstLine="0"/>
        <w:jc w:val="left"/>
        <w:rPr>
          <w:sz w:val="21"/>
        </w:rPr>
      </w:pPr>
      <w:r>
        <w:rPr>
          <w:w w:val="105"/>
          <w:sz w:val="21"/>
        </w:rPr>
        <w:t>Geoffrey </w:t>
      </w:r>
      <w:r>
        <w:rPr>
          <w:spacing w:val="-3"/>
          <w:w w:val="105"/>
          <w:sz w:val="21"/>
        </w:rPr>
        <w:t>Grantham </w:t>
      </w:r>
      <w:r>
        <w:rPr>
          <w:w w:val="105"/>
          <w:sz w:val="21"/>
        </w:rPr>
        <w:t>&amp;</w:t>
      </w:r>
      <w:r>
        <w:rPr>
          <w:spacing w:val="-27"/>
          <w:w w:val="105"/>
          <w:sz w:val="21"/>
        </w:rPr>
        <w:t> </w:t>
      </w:r>
      <w:r>
        <w:rPr>
          <w:w w:val="105"/>
          <w:sz w:val="21"/>
        </w:rPr>
        <w:t>Associates </w:t>
      </w:r>
      <w:r>
        <w:rPr>
          <w:spacing w:val="-3"/>
          <w:w w:val="105"/>
          <w:sz w:val="21"/>
        </w:rPr>
        <w:t>3a,</w:t>
      </w:r>
      <w:r>
        <w:rPr>
          <w:spacing w:val="9"/>
          <w:w w:val="105"/>
          <w:sz w:val="21"/>
        </w:rPr>
        <w:t> </w:t>
      </w:r>
      <w:r>
        <w:rPr>
          <w:w w:val="105"/>
          <w:sz w:val="21"/>
        </w:rPr>
        <w:t>3b</w:t>
        <w:tab/>
      </w:r>
      <w:r>
        <w:rPr>
          <w:spacing w:val="-3"/>
          <w:w w:val="105"/>
          <w:sz w:val="21"/>
        </w:rPr>
        <w:t>Diarmuid</w:t>
      </w:r>
      <w:r>
        <w:rPr>
          <w:spacing w:val="6"/>
          <w:w w:val="105"/>
          <w:sz w:val="21"/>
        </w:rPr>
        <w:t> </w:t>
      </w:r>
      <w:r>
        <w:rPr>
          <w:spacing w:val="-3"/>
          <w:w w:val="105"/>
          <w:sz w:val="21"/>
        </w:rPr>
        <w:t>Hannigan</w:t>
      </w:r>
    </w:p>
    <w:p>
      <w:pPr>
        <w:pStyle w:val="ListParagraph"/>
        <w:numPr>
          <w:ilvl w:val="0"/>
          <w:numId w:val="157"/>
        </w:numPr>
        <w:tabs>
          <w:tab w:pos="2494" w:val="left" w:leader="none"/>
          <w:tab w:pos="2495" w:val="left" w:leader="none"/>
        </w:tabs>
        <w:spacing w:line="240" w:lineRule="auto" w:before="1" w:after="0"/>
        <w:ind w:left="2494" w:right="0" w:hanging="907"/>
        <w:jc w:val="left"/>
        <w:rPr>
          <w:sz w:val="21"/>
        </w:rPr>
      </w:pPr>
      <w:r>
        <w:rPr>
          <w:w w:val="105"/>
          <w:sz w:val="21"/>
        </w:rPr>
        <w:t>Name</w:t>
      </w:r>
      <w:r>
        <w:rPr>
          <w:spacing w:val="5"/>
          <w:w w:val="105"/>
          <w:sz w:val="21"/>
        </w:rPr>
        <w:t> </w:t>
      </w:r>
      <w:r>
        <w:rPr>
          <w:spacing w:val="-3"/>
          <w:w w:val="105"/>
          <w:sz w:val="21"/>
        </w:rPr>
        <w:t>withheld</w:t>
      </w:r>
    </w:p>
    <w:p>
      <w:pPr>
        <w:pStyle w:val="ListParagraph"/>
        <w:numPr>
          <w:ilvl w:val="0"/>
          <w:numId w:val="157"/>
        </w:numPr>
        <w:tabs>
          <w:tab w:pos="2494" w:val="left" w:leader="none"/>
          <w:tab w:pos="2495" w:val="left" w:leader="none"/>
        </w:tabs>
        <w:spacing w:line="240" w:lineRule="auto" w:before="124" w:after="0"/>
        <w:ind w:left="2494" w:right="0" w:hanging="907"/>
        <w:jc w:val="left"/>
        <w:rPr>
          <w:sz w:val="21"/>
        </w:rPr>
      </w:pPr>
      <w:r>
        <w:rPr>
          <w:spacing w:val="-3"/>
          <w:w w:val="105"/>
          <w:sz w:val="21"/>
        </w:rPr>
        <w:t>Samantha</w:t>
      </w:r>
      <w:r>
        <w:rPr>
          <w:spacing w:val="5"/>
          <w:w w:val="105"/>
          <w:sz w:val="21"/>
        </w:rPr>
        <w:t> </w:t>
      </w:r>
      <w:r>
        <w:rPr>
          <w:w w:val="105"/>
          <w:sz w:val="21"/>
        </w:rPr>
        <w:t>Renwick</w:t>
      </w:r>
    </w:p>
    <w:p>
      <w:pPr>
        <w:pStyle w:val="ListParagraph"/>
        <w:numPr>
          <w:ilvl w:val="0"/>
          <w:numId w:val="157"/>
        </w:numPr>
        <w:tabs>
          <w:tab w:pos="2494" w:val="left" w:leader="none"/>
          <w:tab w:pos="2495" w:val="left" w:leader="none"/>
        </w:tabs>
        <w:spacing w:line="240" w:lineRule="auto" w:before="124" w:after="0"/>
        <w:ind w:left="2494" w:right="0" w:hanging="907"/>
        <w:jc w:val="left"/>
        <w:rPr>
          <w:sz w:val="21"/>
        </w:rPr>
      </w:pPr>
      <w:r>
        <w:rPr>
          <w:w w:val="105"/>
          <w:sz w:val="21"/>
        </w:rPr>
        <w:t>Victorian </w:t>
      </w:r>
      <w:r>
        <w:rPr>
          <w:spacing w:val="-3"/>
          <w:w w:val="105"/>
          <w:sz w:val="21"/>
        </w:rPr>
        <w:t>Civil </w:t>
      </w:r>
      <w:r>
        <w:rPr>
          <w:w w:val="105"/>
          <w:sz w:val="21"/>
        </w:rPr>
        <w:t>and </w:t>
      </w:r>
      <w:r>
        <w:rPr>
          <w:spacing w:val="-3"/>
          <w:w w:val="105"/>
          <w:sz w:val="21"/>
        </w:rPr>
        <w:t>Administrative</w:t>
      </w:r>
      <w:r>
        <w:rPr>
          <w:spacing w:val="20"/>
          <w:w w:val="105"/>
          <w:sz w:val="21"/>
        </w:rPr>
        <w:t> </w:t>
      </w:r>
      <w:r>
        <w:rPr>
          <w:spacing w:val="-5"/>
          <w:w w:val="105"/>
          <w:sz w:val="21"/>
        </w:rPr>
        <w:t>Tribunal</w:t>
      </w:r>
    </w:p>
    <w:p>
      <w:pPr>
        <w:pStyle w:val="ListParagraph"/>
        <w:numPr>
          <w:ilvl w:val="0"/>
          <w:numId w:val="157"/>
        </w:numPr>
        <w:tabs>
          <w:tab w:pos="2494" w:val="left" w:leader="none"/>
          <w:tab w:pos="2495" w:val="left" w:leader="none"/>
        </w:tabs>
        <w:spacing w:line="240" w:lineRule="auto" w:before="124" w:after="0"/>
        <w:ind w:left="2494" w:right="0" w:hanging="907"/>
        <w:jc w:val="left"/>
        <w:rPr>
          <w:sz w:val="21"/>
        </w:rPr>
      </w:pPr>
      <w:r>
        <w:rPr>
          <w:spacing w:val="-3"/>
          <w:sz w:val="21"/>
        </w:rPr>
        <w:t>Patricia</w:t>
      </w:r>
      <w:r>
        <w:rPr>
          <w:spacing w:val="8"/>
          <w:sz w:val="21"/>
        </w:rPr>
        <w:t> </w:t>
      </w:r>
      <w:r>
        <w:rPr>
          <w:spacing w:val="-3"/>
          <w:sz w:val="21"/>
        </w:rPr>
        <w:t>Farnell</w:t>
      </w:r>
    </w:p>
    <w:p>
      <w:pPr>
        <w:pStyle w:val="ListParagraph"/>
        <w:numPr>
          <w:ilvl w:val="0"/>
          <w:numId w:val="157"/>
        </w:numPr>
        <w:tabs>
          <w:tab w:pos="2494" w:val="left" w:leader="none"/>
          <w:tab w:pos="2495" w:val="left" w:leader="none"/>
        </w:tabs>
        <w:spacing w:line="240" w:lineRule="auto" w:before="123" w:after="0"/>
        <w:ind w:left="2494" w:right="0" w:hanging="907"/>
        <w:jc w:val="left"/>
        <w:rPr>
          <w:sz w:val="21"/>
        </w:rPr>
      </w:pPr>
      <w:r>
        <w:rPr>
          <w:spacing w:val="-3"/>
          <w:sz w:val="21"/>
        </w:rPr>
        <w:t>Patricia </w:t>
      </w:r>
      <w:r>
        <w:rPr>
          <w:spacing w:val="8"/>
          <w:sz w:val="21"/>
        </w:rPr>
        <w:t> </w:t>
      </w:r>
      <w:r>
        <w:rPr>
          <w:spacing w:val="-4"/>
          <w:sz w:val="21"/>
        </w:rPr>
        <w:t>Strachan</w:t>
      </w:r>
    </w:p>
    <w:p>
      <w:pPr>
        <w:pStyle w:val="ListParagraph"/>
        <w:numPr>
          <w:ilvl w:val="0"/>
          <w:numId w:val="157"/>
        </w:numPr>
        <w:tabs>
          <w:tab w:pos="2494" w:val="left" w:leader="none"/>
          <w:tab w:pos="2495" w:val="left" w:leader="none"/>
        </w:tabs>
        <w:spacing w:line="240" w:lineRule="auto" w:before="124" w:after="0"/>
        <w:ind w:left="2494" w:right="0" w:hanging="907"/>
        <w:jc w:val="left"/>
        <w:rPr>
          <w:sz w:val="21"/>
        </w:rPr>
      </w:pPr>
      <w:r>
        <w:rPr>
          <w:spacing w:val="-3"/>
          <w:sz w:val="21"/>
        </w:rPr>
        <w:t>Deirdre</w:t>
      </w:r>
      <w:r>
        <w:rPr>
          <w:spacing w:val="39"/>
          <w:sz w:val="21"/>
        </w:rPr>
        <w:t> </w:t>
      </w:r>
      <w:r>
        <w:rPr>
          <w:sz w:val="21"/>
        </w:rPr>
        <w:t>Lampard</w:t>
      </w:r>
    </w:p>
    <w:p>
      <w:pPr>
        <w:pStyle w:val="ListParagraph"/>
        <w:numPr>
          <w:ilvl w:val="0"/>
          <w:numId w:val="157"/>
        </w:numPr>
        <w:tabs>
          <w:tab w:pos="2494" w:val="left" w:leader="none"/>
          <w:tab w:pos="2495" w:val="left" w:leader="none"/>
        </w:tabs>
        <w:spacing w:line="240" w:lineRule="auto" w:before="124" w:after="0"/>
        <w:ind w:left="2494" w:right="0" w:hanging="907"/>
        <w:jc w:val="left"/>
        <w:rPr>
          <w:sz w:val="21"/>
        </w:rPr>
      </w:pPr>
      <w:r>
        <w:rPr>
          <w:spacing w:val="-3"/>
          <w:w w:val="105"/>
          <w:sz w:val="21"/>
        </w:rPr>
        <w:t>Shane</w:t>
      </w:r>
      <w:r>
        <w:rPr>
          <w:spacing w:val="5"/>
          <w:w w:val="105"/>
          <w:sz w:val="21"/>
        </w:rPr>
        <w:t> </w:t>
      </w:r>
      <w:r>
        <w:rPr>
          <w:w w:val="105"/>
          <w:sz w:val="21"/>
        </w:rPr>
        <w:t>Newton</w:t>
      </w:r>
    </w:p>
    <w:p>
      <w:pPr>
        <w:pStyle w:val="ListParagraph"/>
        <w:numPr>
          <w:ilvl w:val="0"/>
          <w:numId w:val="157"/>
        </w:numPr>
        <w:tabs>
          <w:tab w:pos="2494" w:val="left" w:leader="none"/>
          <w:tab w:pos="2495" w:val="left" w:leader="none"/>
        </w:tabs>
        <w:spacing w:line="240" w:lineRule="auto" w:before="124" w:after="0"/>
        <w:ind w:left="2494" w:right="0" w:hanging="907"/>
        <w:jc w:val="left"/>
        <w:rPr>
          <w:sz w:val="21"/>
        </w:rPr>
      </w:pPr>
      <w:r>
        <w:rPr>
          <w:w w:val="105"/>
          <w:sz w:val="21"/>
        </w:rPr>
        <w:t>Arts Law </w:t>
      </w:r>
      <w:r>
        <w:rPr>
          <w:spacing w:val="-4"/>
          <w:w w:val="105"/>
          <w:sz w:val="21"/>
        </w:rPr>
        <w:t>Centre </w:t>
      </w:r>
      <w:r>
        <w:rPr>
          <w:w w:val="105"/>
          <w:sz w:val="21"/>
        </w:rPr>
        <w:t>of</w:t>
      </w:r>
      <w:r>
        <w:rPr>
          <w:spacing w:val="26"/>
          <w:w w:val="105"/>
          <w:sz w:val="21"/>
        </w:rPr>
        <w:t> </w:t>
      </w:r>
      <w:r>
        <w:rPr>
          <w:spacing w:val="-3"/>
          <w:w w:val="105"/>
          <w:sz w:val="21"/>
        </w:rPr>
        <w:t>Australia</w:t>
      </w:r>
    </w:p>
    <w:p>
      <w:pPr>
        <w:pStyle w:val="ListParagraph"/>
        <w:numPr>
          <w:ilvl w:val="0"/>
          <w:numId w:val="157"/>
        </w:numPr>
        <w:tabs>
          <w:tab w:pos="2494" w:val="left" w:leader="none"/>
          <w:tab w:pos="2495" w:val="left" w:leader="none"/>
        </w:tabs>
        <w:spacing w:line="240" w:lineRule="auto" w:before="123" w:after="0"/>
        <w:ind w:left="2494" w:right="0" w:hanging="907"/>
        <w:jc w:val="left"/>
        <w:rPr>
          <w:sz w:val="21"/>
        </w:rPr>
      </w:pPr>
      <w:r>
        <w:rPr>
          <w:w w:val="105"/>
          <w:sz w:val="21"/>
        </w:rPr>
        <w:t>Gary</w:t>
      </w:r>
      <w:r>
        <w:rPr>
          <w:spacing w:val="5"/>
          <w:w w:val="105"/>
          <w:sz w:val="21"/>
        </w:rPr>
        <w:t> </w:t>
      </w:r>
      <w:r>
        <w:rPr>
          <w:w w:val="105"/>
          <w:sz w:val="21"/>
        </w:rPr>
        <w:t>Kruger</w:t>
      </w:r>
    </w:p>
    <w:p>
      <w:pPr>
        <w:pStyle w:val="ListParagraph"/>
        <w:numPr>
          <w:ilvl w:val="0"/>
          <w:numId w:val="157"/>
        </w:numPr>
        <w:tabs>
          <w:tab w:pos="2494" w:val="left" w:leader="none"/>
          <w:tab w:pos="2495" w:val="left" w:leader="none"/>
        </w:tabs>
        <w:spacing w:line="240" w:lineRule="auto" w:before="124" w:after="0"/>
        <w:ind w:left="2494" w:right="0" w:hanging="907"/>
        <w:jc w:val="left"/>
        <w:rPr>
          <w:sz w:val="21"/>
        </w:rPr>
      </w:pPr>
      <w:r>
        <w:rPr>
          <w:spacing w:val="-3"/>
          <w:w w:val="105"/>
          <w:sz w:val="21"/>
        </w:rPr>
        <w:t>David</w:t>
      </w:r>
      <w:r>
        <w:rPr>
          <w:spacing w:val="5"/>
          <w:w w:val="105"/>
          <w:sz w:val="21"/>
        </w:rPr>
        <w:t> </w:t>
      </w:r>
      <w:r>
        <w:rPr>
          <w:w w:val="105"/>
          <w:sz w:val="21"/>
        </w:rPr>
        <w:t>Shalders</w:t>
      </w:r>
    </w:p>
    <w:p>
      <w:pPr>
        <w:pStyle w:val="ListParagraph"/>
        <w:numPr>
          <w:ilvl w:val="0"/>
          <w:numId w:val="157"/>
        </w:numPr>
        <w:tabs>
          <w:tab w:pos="2494" w:val="left" w:leader="none"/>
          <w:tab w:pos="2495" w:val="left" w:leader="none"/>
        </w:tabs>
        <w:spacing w:line="240" w:lineRule="auto" w:before="124" w:after="0"/>
        <w:ind w:left="2494" w:right="0" w:hanging="907"/>
        <w:jc w:val="left"/>
        <w:rPr>
          <w:sz w:val="21"/>
        </w:rPr>
      </w:pPr>
      <w:r>
        <w:rPr>
          <w:w w:val="105"/>
          <w:sz w:val="21"/>
        </w:rPr>
        <w:t>Property and </w:t>
      </w:r>
      <w:r>
        <w:rPr>
          <w:spacing w:val="-3"/>
          <w:w w:val="105"/>
          <w:sz w:val="21"/>
        </w:rPr>
        <w:t>Probate </w:t>
      </w:r>
      <w:r>
        <w:rPr>
          <w:w w:val="105"/>
          <w:sz w:val="21"/>
        </w:rPr>
        <w:t>Section, </w:t>
      </w:r>
      <w:r>
        <w:rPr>
          <w:spacing w:val="-4"/>
          <w:w w:val="105"/>
          <w:sz w:val="21"/>
        </w:rPr>
        <w:t>Commercial </w:t>
      </w:r>
      <w:r>
        <w:rPr>
          <w:w w:val="105"/>
          <w:sz w:val="21"/>
        </w:rPr>
        <w:t>Bar</w:t>
      </w:r>
      <w:r>
        <w:rPr>
          <w:spacing w:val="14"/>
          <w:w w:val="105"/>
          <w:sz w:val="21"/>
        </w:rPr>
        <w:t> </w:t>
      </w:r>
      <w:r>
        <w:rPr>
          <w:w w:val="105"/>
          <w:sz w:val="21"/>
        </w:rPr>
        <w:t>Association</w:t>
      </w:r>
    </w:p>
    <w:p>
      <w:pPr>
        <w:pStyle w:val="ListParagraph"/>
        <w:numPr>
          <w:ilvl w:val="0"/>
          <w:numId w:val="157"/>
        </w:numPr>
        <w:tabs>
          <w:tab w:pos="2494" w:val="left" w:leader="none"/>
          <w:tab w:pos="2495" w:val="left" w:leader="none"/>
        </w:tabs>
        <w:spacing w:line="240" w:lineRule="auto" w:before="124" w:after="0"/>
        <w:ind w:left="2494" w:right="0" w:hanging="907"/>
        <w:jc w:val="left"/>
        <w:rPr>
          <w:sz w:val="21"/>
        </w:rPr>
      </w:pPr>
      <w:r>
        <w:rPr>
          <w:spacing w:val="-3"/>
          <w:sz w:val="21"/>
        </w:rPr>
        <w:t>Alzheimer’s Australia</w:t>
      </w:r>
      <w:r>
        <w:rPr>
          <w:spacing w:val="21"/>
          <w:sz w:val="21"/>
        </w:rPr>
        <w:t> </w:t>
      </w:r>
      <w:r>
        <w:rPr>
          <w:sz w:val="21"/>
        </w:rPr>
        <w:t>(Victoria)</w:t>
      </w:r>
    </w:p>
    <w:p>
      <w:pPr>
        <w:pStyle w:val="ListParagraph"/>
        <w:numPr>
          <w:ilvl w:val="0"/>
          <w:numId w:val="157"/>
        </w:numPr>
        <w:tabs>
          <w:tab w:pos="2494" w:val="left" w:leader="none"/>
          <w:tab w:pos="2496" w:val="left" w:leader="none"/>
        </w:tabs>
        <w:spacing w:line="240" w:lineRule="auto" w:before="124" w:after="0"/>
        <w:ind w:left="2495" w:right="0" w:hanging="908"/>
        <w:jc w:val="left"/>
        <w:rPr>
          <w:sz w:val="21"/>
        </w:rPr>
      </w:pPr>
      <w:r>
        <w:rPr>
          <w:w w:val="105"/>
          <w:sz w:val="21"/>
        </w:rPr>
        <w:t>Henry</w:t>
      </w:r>
      <w:r>
        <w:rPr>
          <w:spacing w:val="-21"/>
          <w:w w:val="105"/>
          <w:sz w:val="21"/>
        </w:rPr>
        <w:t> </w:t>
      </w:r>
      <w:r>
        <w:rPr>
          <w:w w:val="105"/>
          <w:sz w:val="21"/>
        </w:rPr>
        <w:t>Dixon</w:t>
      </w:r>
    </w:p>
    <w:p>
      <w:pPr>
        <w:pStyle w:val="ListParagraph"/>
        <w:numPr>
          <w:ilvl w:val="0"/>
          <w:numId w:val="157"/>
        </w:numPr>
        <w:tabs>
          <w:tab w:pos="2494" w:val="left" w:leader="none"/>
          <w:tab w:pos="2496" w:val="left" w:leader="none"/>
        </w:tabs>
        <w:spacing w:line="240" w:lineRule="auto" w:before="123" w:after="0"/>
        <w:ind w:left="2495" w:right="0" w:hanging="907"/>
        <w:jc w:val="left"/>
        <w:rPr>
          <w:sz w:val="21"/>
        </w:rPr>
      </w:pPr>
      <w:r>
        <w:rPr>
          <w:spacing w:val="-3"/>
          <w:w w:val="105"/>
          <w:sz w:val="21"/>
        </w:rPr>
        <w:t>Confidential</w:t>
      </w:r>
    </w:p>
    <w:p>
      <w:pPr>
        <w:pStyle w:val="ListParagraph"/>
        <w:numPr>
          <w:ilvl w:val="0"/>
          <w:numId w:val="157"/>
        </w:numPr>
        <w:tabs>
          <w:tab w:pos="2494" w:val="left" w:leader="none"/>
          <w:tab w:pos="2496" w:val="left" w:leader="none"/>
        </w:tabs>
        <w:spacing w:line="240" w:lineRule="auto" w:before="124" w:after="0"/>
        <w:ind w:left="2495" w:right="0" w:hanging="907"/>
        <w:jc w:val="left"/>
        <w:rPr>
          <w:sz w:val="21"/>
        </w:rPr>
      </w:pPr>
      <w:r>
        <w:rPr>
          <w:spacing w:val="-3"/>
          <w:w w:val="105"/>
          <w:sz w:val="21"/>
        </w:rPr>
        <w:t>Ethnic Communities’ </w:t>
      </w:r>
      <w:r>
        <w:rPr>
          <w:spacing w:val="-4"/>
          <w:w w:val="105"/>
          <w:sz w:val="21"/>
        </w:rPr>
        <w:t>Council </w:t>
      </w:r>
      <w:r>
        <w:rPr>
          <w:w w:val="105"/>
          <w:sz w:val="21"/>
        </w:rPr>
        <w:t>of Victoria</w:t>
      </w:r>
      <w:r>
        <w:rPr>
          <w:spacing w:val="35"/>
          <w:w w:val="105"/>
          <w:sz w:val="21"/>
        </w:rPr>
        <w:t> </w:t>
      </w:r>
      <w:r>
        <w:rPr>
          <w:w w:val="105"/>
          <w:sz w:val="21"/>
        </w:rPr>
        <w:t>Inc</w:t>
      </w:r>
    </w:p>
    <w:p>
      <w:pPr>
        <w:pStyle w:val="ListParagraph"/>
        <w:numPr>
          <w:ilvl w:val="0"/>
          <w:numId w:val="157"/>
        </w:numPr>
        <w:tabs>
          <w:tab w:pos="2494" w:val="left" w:leader="none"/>
          <w:tab w:pos="2496" w:val="left" w:leader="none"/>
        </w:tabs>
        <w:spacing w:line="240" w:lineRule="auto" w:before="124" w:after="0"/>
        <w:ind w:left="2495" w:right="0" w:hanging="907"/>
        <w:jc w:val="left"/>
        <w:rPr>
          <w:sz w:val="21"/>
        </w:rPr>
      </w:pPr>
      <w:r>
        <w:rPr>
          <w:sz w:val="21"/>
        </w:rPr>
        <w:t>Association</w:t>
      </w:r>
      <w:r>
        <w:rPr>
          <w:spacing w:val="18"/>
          <w:sz w:val="21"/>
        </w:rPr>
        <w:t> </w:t>
      </w:r>
      <w:r>
        <w:rPr>
          <w:sz w:val="21"/>
        </w:rPr>
        <w:t>of</w:t>
      </w:r>
      <w:r>
        <w:rPr>
          <w:spacing w:val="19"/>
          <w:sz w:val="21"/>
        </w:rPr>
        <w:t> </w:t>
      </w:r>
      <w:r>
        <w:rPr>
          <w:sz w:val="21"/>
        </w:rPr>
        <w:t>Independent</w:t>
      </w:r>
      <w:r>
        <w:rPr>
          <w:spacing w:val="19"/>
          <w:sz w:val="21"/>
        </w:rPr>
        <w:t> </w:t>
      </w:r>
      <w:r>
        <w:rPr>
          <w:sz w:val="21"/>
        </w:rPr>
        <w:t>Retirees</w:t>
      </w:r>
      <w:r>
        <w:rPr>
          <w:spacing w:val="18"/>
          <w:sz w:val="21"/>
        </w:rPr>
        <w:t> </w:t>
      </w:r>
      <w:r>
        <w:rPr>
          <w:sz w:val="21"/>
        </w:rPr>
        <w:t>(A.I.R.)</w:t>
      </w:r>
      <w:r>
        <w:rPr>
          <w:spacing w:val="19"/>
          <w:sz w:val="21"/>
        </w:rPr>
        <w:t> </w:t>
      </w:r>
      <w:r>
        <w:rPr>
          <w:spacing w:val="-3"/>
          <w:sz w:val="21"/>
        </w:rPr>
        <w:t>Limited</w:t>
      </w:r>
      <w:r>
        <w:rPr>
          <w:spacing w:val="19"/>
          <w:sz w:val="21"/>
        </w:rPr>
        <w:t> </w:t>
      </w:r>
      <w:r>
        <w:rPr>
          <w:sz w:val="21"/>
        </w:rPr>
        <w:t>Victoria</w:t>
      </w:r>
      <w:r>
        <w:rPr>
          <w:spacing w:val="18"/>
          <w:sz w:val="21"/>
        </w:rPr>
        <w:t> </w:t>
      </w:r>
      <w:r>
        <w:rPr>
          <w:sz w:val="21"/>
        </w:rPr>
        <w:t>Division</w:t>
      </w:r>
    </w:p>
    <w:p>
      <w:pPr>
        <w:pStyle w:val="ListParagraph"/>
        <w:numPr>
          <w:ilvl w:val="0"/>
          <w:numId w:val="157"/>
        </w:numPr>
        <w:tabs>
          <w:tab w:pos="2494" w:val="left" w:leader="none"/>
          <w:tab w:pos="2496" w:val="left" w:leader="none"/>
        </w:tabs>
        <w:spacing w:line="240" w:lineRule="auto" w:before="124" w:after="0"/>
        <w:ind w:left="2495" w:right="0" w:hanging="907"/>
        <w:jc w:val="left"/>
        <w:rPr>
          <w:sz w:val="21"/>
        </w:rPr>
      </w:pPr>
      <w:r>
        <w:rPr>
          <w:w w:val="105"/>
          <w:sz w:val="21"/>
        </w:rPr>
        <w:t>Include a</w:t>
      </w:r>
      <w:r>
        <w:rPr>
          <w:spacing w:val="10"/>
          <w:w w:val="105"/>
          <w:sz w:val="21"/>
        </w:rPr>
        <w:t> </w:t>
      </w:r>
      <w:r>
        <w:rPr>
          <w:spacing w:val="-3"/>
          <w:w w:val="105"/>
          <w:sz w:val="21"/>
        </w:rPr>
        <w:t>Charity</w:t>
      </w:r>
    </w:p>
    <w:p>
      <w:pPr>
        <w:pStyle w:val="ListParagraph"/>
        <w:numPr>
          <w:ilvl w:val="0"/>
          <w:numId w:val="157"/>
        </w:numPr>
        <w:tabs>
          <w:tab w:pos="2494" w:val="left" w:leader="none"/>
          <w:tab w:pos="2496" w:val="left" w:leader="none"/>
        </w:tabs>
        <w:spacing w:line="240" w:lineRule="auto" w:before="123" w:after="0"/>
        <w:ind w:left="2495" w:right="0" w:hanging="907"/>
        <w:jc w:val="left"/>
        <w:rPr>
          <w:sz w:val="21"/>
        </w:rPr>
      </w:pPr>
      <w:r>
        <w:rPr>
          <w:w w:val="105"/>
          <w:sz w:val="21"/>
        </w:rPr>
        <w:t>Office of the </w:t>
      </w:r>
      <w:r>
        <w:rPr>
          <w:spacing w:val="-3"/>
          <w:w w:val="105"/>
          <w:sz w:val="21"/>
        </w:rPr>
        <w:t>Public</w:t>
      </w:r>
      <w:r>
        <w:rPr>
          <w:spacing w:val="20"/>
          <w:w w:val="105"/>
          <w:sz w:val="21"/>
        </w:rPr>
        <w:t> </w:t>
      </w:r>
      <w:r>
        <w:rPr>
          <w:w w:val="105"/>
          <w:sz w:val="21"/>
        </w:rPr>
        <w:t>Advocate</w:t>
      </w:r>
    </w:p>
    <w:p>
      <w:pPr>
        <w:pStyle w:val="ListParagraph"/>
        <w:numPr>
          <w:ilvl w:val="0"/>
          <w:numId w:val="157"/>
        </w:numPr>
        <w:tabs>
          <w:tab w:pos="2494" w:val="left" w:leader="none"/>
          <w:tab w:pos="2496" w:val="left" w:leader="none"/>
        </w:tabs>
        <w:spacing w:line="240" w:lineRule="auto" w:before="124" w:after="0"/>
        <w:ind w:left="2495" w:right="0" w:hanging="907"/>
        <w:jc w:val="left"/>
        <w:rPr>
          <w:sz w:val="21"/>
        </w:rPr>
      </w:pPr>
      <w:r>
        <w:rPr>
          <w:spacing w:val="-3"/>
          <w:sz w:val="21"/>
        </w:rPr>
        <w:t>Paul</w:t>
      </w:r>
      <w:r>
        <w:rPr>
          <w:spacing w:val="8"/>
          <w:sz w:val="21"/>
        </w:rPr>
        <w:t> </w:t>
      </w:r>
      <w:r>
        <w:rPr>
          <w:spacing w:val="-3"/>
          <w:sz w:val="21"/>
        </w:rPr>
        <w:t>Bravender-Coyle</w:t>
      </w:r>
    </w:p>
    <w:p>
      <w:pPr>
        <w:pStyle w:val="ListParagraph"/>
        <w:numPr>
          <w:ilvl w:val="0"/>
          <w:numId w:val="157"/>
        </w:numPr>
        <w:tabs>
          <w:tab w:pos="2494" w:val="left" w:leader="none"/>
          <w:tab w:pos="2496" w:val="left" w:leader="none"/>
        </w:tabs>
        <w:spacing w:line="240" w:lineRule="auto" w:before="124" w:after="0"/>
        <w:ind w:left="2495" w:right="0" w:hanging="907"/>
        <w:jc w:val="left"/>
        <w:rPr>
          <w:sz w:val="21"/>
        </w:rPr>
      </w:pPr>
      <w:r>
        <w:rPr>
          <w:spacing w:val="-4"/>
          <w:sz w:val="21"/>
        </w:rPr>
        <w:t>Family Voice</w:t>
      </w:r>
      <w:r>
        <w:rPr>
          <w:spacing w:val="21"/>
          <w:sz w:val="21"/>
        </w:rPr>
        <w:t> </w:t>
      </w:r>
      <w:r>
        <w:rPr>
          <w:spacing w:val="-3"/>
          <w:sz w:val="21"/>
        </w:rPr>
        <w:t>Australia</w:t>
      </w:r>
    </w:p>
    <w:p>
      <w:pPr>
        <w:pStyle w:val="ListParagraph"/>
        <w:numPr>
          <w:ilvl w:val="0"/>
          <w:numId w:val="157"/>
        </w:numPr>
        <w:tabs>
          <w:tab w:pos="2494" w:val="left" w:leader="none"/>
          <w:tab w:pos="2496" w:val="left" w:leader="none"/>
        </w:tabs>
        <w:spacing w:line="240" w:lineRule="auto" w:before="124" w:after="0"/>
        <w:ind w:left="2495" w:right="0" w:hanging="907"/>
        <w:jc w:val="left"/>
        <w:rPr>
          <w:sz w:val="21"/>
        </w:rPr>
      </w:pPr>
      <w:r>
        <w:rPr>
          <w:sz w:val="21"/>
        </w:rPr>
        <w:t>The </w:t>
      </w:r>
      <w:r>
        <w:rPr>
          <w:spacing w:val="-3"/>
          <w:sz w:val="21"/>
        </w:rPr>
        <w:t>Royal </w:t>
      </w:r>
      <w:r>
        <w:rPr>
          <w:sz w:val="21"/>
        </w:rPr>
        <w:t>Society </w:t>
      </w:r>
      <w:r>
        <w:rPr>
          <w:spacing w:val="-3"/>
          <w:sz w:val="21"/>
        </w:rPr>
        <w:t>for </w:t>
      </w:r>
      <w:r>
        <w:rPr>
          <w:sz w:val="21"/>
        </w:rPr>
        <w:t>the </w:t>
      </w:r>
      <w:r>
        <w:rPr>
          <w:spacing w:val="-3"/>
          <w:sz w:val="21"/>
        </w:rPr>
        <w:t>Prevention </w:t>
      </w:r>
      <w:r>
        <w:rPr>
          <w:sz w:val="21"/>
        </w:rPr>
        <w:t>of </w:t>
      </w:r>
      <w:r>
        <w:rPr>
          <w:spacing w:val="-3"/>
          <w:sz w:val="21"/>
        </w:rPr>
        <w:t>Cruelty to Animals</w:t>
      </w:r>
      <w:r>
        <w:rPr>
          <w:spacing w:val="-4"/>
          <w:sz w:val="21"/>
        </w:rPr>
        <w:t> </w:t>
      </w:r>
      <w:r>
        <w:rPr>
          <w:sz w:val="21"/>
        </w:rPr>
        <w:t>(Victoria)</w:t>
      </w:r>
    </w:p>
    <w:p>
      <w:pPr>
        <w:pStyle w:val="ListParagraph"/>
        <w:numPr>
          <w:ilvl w:val="0"/>
          <w:numId w:val="157"/>
        </w:numPr>
        <w:tabs>
          <w:tab w:pos="2494" w:val="left" w:leader="none"/>
          <w:tab w:pos="2496" w:val="left" w:leader="none"/>
        </w:tabs>
        <w:spacing w:line="240" w:lineRule="auto" w:before="123" w:after="0"/>
        <w:ind w:left="2495" w:right="0" w:hanging="907"/>
        <w:jc w:val="left"/>
        <w:rPr>
          <w:sz w:val="21"/>
        </w:rPr>
      </w:pPr>
      <w:r>
        <w:rPr>
          <w:w w:val="105"/>
          <w:sz w:val="21"/>
        </w:rPr>
        <w:t>Moores</w:t>
      </w:r>
      <w:r>
        <w:rPr>
          <w:spacing w:val="5"/>
          <w:w w:val="105"/>
          <w:sz w:val="21"/>
        </w:rPr>
        <w:t> </w:t>
      </w:r>
      <w:r>
        <w:rPr>
          <w:spacing w:val="-3"/>
          <w:w w:val="105"/>
          <w:sz w:val="21"/>
        </w:rPr>
        <w:t>Legal</w:t>
      </w:r>
    </w:p>
    <w:p>
      <w:pPr>
        <w:pStyle w:val="ListParagraph"/>
        <w:numPr>
          <w:ilvl w:val="0"/>
          <w:numId w:val="157"/>
        </w:numPr>
        <w:tabs>
          <w:tab w:pos="2494" w:val="left" w:leader="none"/>
          <w:tab w:pos="2496" w:val="left" w:leader="none"/>
        </w:tabs>
        <w:spacing w:line="240" w:lineRule="auto" w:before="124" w:after="0"/>
        <w:ind w:left="2495" w:right="0" w:hanging="907"/>
        <w:jc w:val="left"/>
        <w:rPr>
          <w:sz w:val="21"/>
        </w:rPr>
      </w:pPr>
      <w:r>
        <w:rPr>
          <w:spacing w:val="-3"/>
          <w:w w:val="105"/>
          <w:sz w:val="21"/>
        </w:rPr>
        <w:t>Rigby </w:t>
      </w:r>
      <w:r>
        <w:rPr>
          <w:spacing w:val="-4"/>
          <w:w w:val="105"/>
          <w:sz w:val="21"/>
        </w:rPr>
        <w:t>Cooke</w:t>
      </w:r>
      <w:r>
        <w:rPr>
          <w:spacing w:val="14"/>
          <w:w w:val="105"/>
          <w:sz w:val="21"/>
        </w:rPr>
        <w:t> </w:t>
      </w:r>
      <w:r>
        <w:rPr>
          <w:w w:val="105"/>
          <w:sz w:val="21"/>
        </w:rPr>
        <w:t>Lawyers</w:t>
      </w:r>
    </w:p>
    <w:p>
      <w:pPr>
        <w:pStyle w:val="ListParagraph"/>
        <w:numPr>
          <w:ilvl w:val="0"/>
          <w:numId w:val="157"/>
        </w:numPr>
        <w:tabs>
          <w:tab w:pos="2495" w:val="left" w:leader="none"/>
          <w:tab w:pos="2496" w:val="left" w:leader="none"/>
        </w:tabs>
        <w:spacing w:line="240" w:lineRule="auto" w:before="124" w:after="0"/>
        <w:ind w:left="2495" w:right="0" w:hanging="907"/>
        <w:jc w:val="left"/>
        <w:rPr>
          <w:sz w:val="21"/>
        </w:rPr>
      </w:pPr>
      <w:r>
        <w:rPr>
          <w:spacing w:val="-3"/>
          <w:w w:val="105"/>
          <w:sz w:val="21"/>
        </w:rPr>
        <w:t>Graham</w:t>
      </w:r>
      <w:r>
        <w:rPr>
          <w:spacing w:val="5"/>
          <w:w w:val="105"/>
          <w:sz w:val="21"/>
        </w:rPr>
        <w:t> </w:t>
      </w:r>
      <w:r>
        <w:rPr>
          <w:spacing w:val="-3"/>
          <w:w w:val="105"/>
          <w:sz w:val="21"/>
        </w:rPr>
        <w:t>Paton</w:t>
      </w:r>
    </w:p>
    <w:p>
      <w:pPr>
        <w:pStyle w:val="ListParagraph"/>
        <w:numPr>
          <w:ilvl w:val="0"/>
          <w:numId w:val="157"/>
        </w:numPr>
        <w:tabs>
          <w:tab w:pos="2495" w:val="left" w:leader="none"/>
          <w:tab w:pos="2496" w:val="left" w:leader="none"/>
        </w:tabs>
        <w:spacing w:line="240" w:lineRule="auto" w:before="124" w:after="0"/>
        <w:ind w:left="2495" w:right="0" w:hanging="907"/>
        <w:jc w:val="left"/>
        <w:rPr>
          <w:sz w:val="21"/>
        </w:rPr>
      </w:pPr>
      <w:r>
        <w:rPr>
          <w:spacing w:val="-3"/>
          <w:w w:val="105"/>
          <w:sz w:val="21"/>
        </w:rPr>
        <w:t>Cancer </w:t>
      </w:r>
      <w:r>
        <w:rPr>
          <w:spacing w:val="-4"/>
          <w:w w:val="105"/>
          <w:sz w:val="21"/>
        </w:rPr>
        <w:t>Council</w:t>
      </w:r>
      <w:r>
        <w:rPr>
          <w:spacing w:val="14"/>
          <w:w w:val="105"/>
          <w:sz w:val="21"/>
        </w:rPr>
        <w:t> </w:t>
      </w:r>
      <w:r>
        <w:rPr>
          <w:w w:val="105"/>
          <w:sz w:val="21"/>
        </w:rPr>
        <w:t>Victoria</w:t>
      </w:r>
    </w:p>
    <w:p>
      <w:pPr>
        <w:pStyle w:val="BodyText"/>
        <w:rPr>
          <w:sz w:val="28"/>
        </w:rPr>
      </w:pPr>
      <w:r>
        <w:rPr/>
        <w:br w:type="column"/>
      </w:r>
      <w:r>
        <w:rPr>
          <w:sz w:val="28"/>
        </w:rPr>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4"/>
        <w:rPr>
          <w:sz w:val="25"/>
        </w:rPr>
      </w:pPr>
    </w:p>
    <w:p>
      <w:pPr>
        <w:spacing w:before="0"/>
        <w:ind w:left="1587" w:right="0" w:firstLine="0"/>
        <w:jc w:val="left"/>
        <w:rPr>
          <w:b/>
          <w:sz w:val="24"/>
        </w:rPr>
      </w:pPr>
      <w:r>
        <w:rPr>
          <w:b/>
          <w:color w:val="EC5A4F"/>
          <w:w w:val="110"/>
          <w:sz w:val="24"/>
        </w:rPr>
        <w:t>229</w:t>
      </w:r>
    </w:p>
    <w:p>
      <w:pPr>
        <w:spacing w:after="0"/>
        <w:jc w:val="left"/>
        <w:rPr>
          <w:sz w:val="24"/>
        </w:rPr>
        <w:sectPr>
          <w:type w:val="continuous"/>
          <w:pgSz w:w="11910" w:h="16840"/>
          <w:pgMar w:top="920" w:bottom="280" w:left="0" w:right="0"/>
          <w:cols w:num="2" w:equalWidth="0">
            <w:col w:w="8517" w:space="809"/>
            <w:col w:w="2584"/>
          </w:cols>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ListParagraph"/>
        <w:numPr>
          <w:ilvl w:val="0"/>
          <w:numId w:val="157"/>
        </w:numPr>
        <w:tabs>
          <w:tab w:pos="2494" w:val="left" w:leader="none"/>
          <w:tab w:pos="2495" w:val="left" w:leader="none"/>
        </w:tabs>
        <w:spacing w:line="240" w:lineRule="auto" w:before="91" w:after="0"/>
        <w:ind w:left="2494" w:right="0" w:hanging="907"/>
        <w:jc w:val="left"/>
        <w:rPr>
          <w:sz w:val="21"/>
        </w:rPr>
      </w:pPr>
      <w:r>
        <w:rPr>
          <w:w w:val="105"/>
          <w:sz w:val="21"/>
        </w:rPr>
        <w:t>Name</w:t>
      </w:r>
      <w:r>
        <w:rPr>
          <w:spacing w:val="5"/>
          <w:w w:val="105"/>
          <w:sz w:val="21"/>
        </w:rPr>
        <w:t> </w:t>
      </w:r>
      <w:r>
        <w:rPr>
          <w:spacing w:val="-3"/>
          <w:w w:val="105"/>
          <w:sz w:val="21"/>
        </w:rPr>
        <w:t>withheld</w:t>
      </w:r>
    </w:p>
    <w:p>
      <w:pPr>
        <w:pStyle w:val="BodyText"/>
        <w:spacing w:before="124"/>
        <w:ind w:left="1587"/>
      </w:pPr>
      <w:r>
        <w:rPr>
          <w:w w:val="105"/>
        </w:rPr>
        <w:t>30a, 30b Law Institute of Victoria</w:t>
      </w:r>
    </w:p>
    <w:p>
      <w:pPr>
        <w:pStyle w:val="ListParagraph"/>
        <w:numPr>
          <w:ilvl w:val="0"/>
          <w:numId w:val="158"/>
        </w:numPr>
        <w:tabs>
          <w:tab w:pos="2494" w:val="left" w:leader="none"/>
          <w:tab w:pos="2495" w:val="left" w:leader="none"/>
        </w:tabs>
        <w:spacing w:line="240" w:lineRule="auto" w:before="124" w:after="0"/>
        <w:ind w:left="2494" w:right="0" w:hanging="907"/>
        <w:jc w:val="left"/>
        <w:rPr>
          <w:sz w:val="21"/>
        </w:rPr>
      </w:pPr>
      <w:r>
        <w:rPr>
          <w:sz w:val="21"/>
        </w:rPr>
        <w:t>Seniors Rights</w:t>
      </w:r>
      <w:r>
        <w:rPr>
          <w:spacing w:val="16"/>
          <w:sz w:val="21"/>
        </w:rPr>
        <w:t> </w:t>
      </w:r>
      <w:r>
        <w:rPr>
          <w:sz w:val="21"/>
        </w:rPr>
        <w:t>Victoria</w:t>
      </w:r>
    </w:p>
    <w:p>
      <w:pPr>
        <w:pStyle w:val="ListParagraph"/>
        <w:numPr>
          <w:ilvl w:val="0"/>
          <w:numId w:val="158"/>
        </w:numPr>
        <w:tabs>
          <w:tab w:pos="2494" w:val="left" w:leader="none"/>
          <w:tab w:pos="2495" w:val="left" w:leader="none"/>
        </w:tabs>
        <w:spacing w:line="240" w:lineRule="auto" w:before="124" w:after="0"/>
        <w:ind w:left="2494" w:right="0" w:hanging="907"/>
        <w:jc w:val="left"/>
        <w:rPr>
          <w:sz w:val="21"/>
        </w:rPr>
      </w:pPr>
      <w:r>
        <w:rPr>
          <w:sz w:val="21"/>
        </w:rPr>
        <w:t>The </w:t>
      </w:r>
      <w:r>
        <w:rPr>
          <w:spacing w:val="-3"/>
          <w:sz w:val="21"/>
        </w:rPr>
        <w:t>Institute </w:t>
      </w:r>
      <w:r>
        <w:rPr>
          <w:sz w:val="21"/>
        </w:rPr>
        <w:t>of Legal Executives</w:t>
      </w:r>
      <w:r>
        <w:rPr>
          <w:spacing w:val="45"/>
          <w:sz w:val="21"/>
        </w:rPr>
        <w:t> </w:t>
      </w:r>
      <w:r>
        <w:rPr>
          <w:sz w:val="21"/>
        </w:rPr>
        <w:t>(Victoria)</w:t>
      </w:r>
    </w:p>
    <w:p>
      <w:pPr>
        <w:pStyle w:val="ListParagraph"/>
        <w:numPr>
          <w:ilvl w:val="0"/>
          <w:numId w:val="158"/>
        </w:numPr>
        <w:tabs>
          <w:tab w:pos="2494" w:val="left" w:leader="none"/>
          <w:tab w:pos="2495" w:val="left" w:leader="none"/>
        </w:tabs>
        <w:spacing w:line="240" w:lineRule="auto" w:before="123" w:after="0"/>
        <w:ind w:left="2494" w:right="0" w:hanging="907"/>
        <w:jc w:val="left"/>
        <w:rPr>
          <w:sz w:val="21"/>
        </w:rPr>
      </w:pPr>
      <w:r>
        <w:rPr>
          <w:spacing w:val="-3"/>
          <w:sz w:val="21"/>
        </w:rPr>
        <w:t>State </w:t>
      </w:r>
      <w:r>
        <w:rPr>
          <w:spacing w:val="-4"/>
          <w:sz w:val="21"/>
        </w:rPr>
        <w:t>Trustees</w:t>
      </w:r>
      <w:r>
        <w:rPr>
          <w:spacing w:val="19"/>
          <w:sz w:val="21"/>
        </w:rPr>
        <w:t> </w:t>
      </w:r>
      <w:r>
        <w:rPr>
          <w:spacing w:val="-3"/>
          <w:sz w:val="21"/>
        </w:rPr>
        <w:t>Limited</w:t>
      </w:r>
    </w:p>
    <w:p>
      <w:pPr>
        <w:pStyle w:val="ListParagraph"/>
        <w:numPr>
          <w:ilvl w:val="0"/>
          <w:numId w:val="158"/>
        </w:numPr>
        <w:tabs>
          <w:tab w:pos="2494" w:val="left" w:leader="none"/>
          <w:tab w:pos="2495" w:val="left" w:leader="none"/>
        </w:tabs>
        <w:spacing w:line="240" w:lineRule="auto" w:before="124" w:after="0"/>
        <w:ind w:left="2494" w:right="0" w:hanging="907"/>
        <w:jc w:val="left"/>
        <w:rPr>
          <w:sz w:val="21"/>
        </w:rPr>
      </w:pPr>
      <w:r>
        <w:rPr>
          <w:spacing w:val="-3"/>
          <w:w w:val="105"/>
          <w:sz w:val="21"/>
        </w:rPr>
        <w:t>Confidential</w:t>
      </w:r>
    </w:p>
    <w:p>
      <w:pPr>
        <w:pStyle w:val="ListParagraph"/>
        <w:numPr>
          <w:ilvl w:val="0"/>
          <w:numId w:val="158"/>
        </w:numPr>
        <w:tabs>
          <w:tab w:pos="2494" w:val="left" w:leader="none"/>
          <w:tab w:pos="2495" w:val="left" w:leader="none"/>
        </w:tabs>
        <w:spacing w:line="240" w:lineRule="auto" w:before="124" w:after="0"/>
        <w:ind w:left="2494" w:right="0" w:hanging="907"/>
        <w:jc w:val="left"/>
        <w:rPr>
          <w:sz w:val="21"/>
        </w:rPr>
      </w:pPr>
      <w:r>
        <w:rPr>
          <w:w w:val="105"/>
          <w:sz w:val="21"/>
        </w:rPr>
        <w:t>Andrew</w:t>
      </w:r>
      <w:r>
        <w:rPr>
          <w:spacing w:val="5"/>
          <w:w w:val="105"/>
          <w:sz w:val="21"/>
        </w:rPr>
        <w:t> </w:t>
      </w:r>
      <w:r>
        <w:rPr>
          <w:spacing w:val="-3"/>
          <w:w w:val="105"/>
          <w:sz w:val="21"/>
        </w:rPr>
        <w:t>Verspaandonk</w:t>
      </w:r>
    </w:p>
    <w:p>
      <w:pPr>
        <w:pStyle w:val="ListParagraph"/>
        <w:numPr>
          <w:ilvl w:val="0"/>
          <w:numId w:val="158"/>
        </w:numPr>
        <w:tabs>
          <w:tab w:pos="2494" w:val="left" w:leader="none"/>
          <w:tab w:pos="2495" w:val="left" w:leader="none"/>
        </w:tabs>
        <w:spacing w:line="240" w:lineRule="auto" w:before="124" w:after="0"/>
        <w:ind w:left="2494" w:right="0" w:hanging="907"/>
        <w:jc w:val="left"/>
        <w:rPr>
          <w:sz w:val="21"/>
        </w:rPr>
      </w:pPr>
      <w:r>
        <w:rPr>
          <w:w w:val="105"/>
          <w:sz w:val="21"/>
        </w:rPr>
        <w:t>Elder Law and </w:t>
      </w:r>
      <w:r>
        <w:rPr>
          <w:spacing w:val="-3"/>
          <w:w w:val="105"/>
          <w:sz w:val="21"/>
        </w:rPr>
        <w:t>Succession Committee, </w:t>
      </w:r>
      <w:r>
        <w:rPr>
          <w:w w:val="105"/>
          <w:sz w:val="21"/>
        </w:rPr>
        <w:t>Law Society of New South</w:t>
      </w:r>
      <w:r>
        <w:rPr>
          <w:spacing w:val="3"/>
          <w:w w:val="105"/>
          <w:sz w:val="21"/>
        </w:rPr>
        <w:t> </w:t>
      </w:r>
      <w:r>
        <w:rPr>
          <w:spacing w:val="-3"/>
          <w:w w:val="105"/>
          <w:sz w:val="21"/>
        </w:rPr>
        <w:t>Wales</w:t>
      </w:r>
    </w:p>
    <w:p>
      <w:pPr>
        <w:pStyle w:val="ListParagraph"/>
        <w:numPr>
          <w:ilvl w:val="0"/>
          <w:numId w:val="158"/>
        </w:numPr>
        <w:tabs>
          <w:tab w:pos="2494" w:val="left" w:leader="none"/>
          <w:tab w:pos="2495" w:val="left" w:leader="none"/>
        </w:tabs>
        <w:spacing w:line="240" w:lineRule="auto" w:before="123" w:after="0"/>
        <w:ind w:left="2494" w:right="0" w:hanging="907"/>
        <w:jc w:val="left"/>
        <w:rPr>
          <w:sz w:val="21"/>
        </w:rPr>
      </w:pPr>
      <w:r>
        <w:rPr>
          <w:spacing w:val="-3"/>
          <w:w w:val="105"/>
          <w:sz w:val="21"/>
        </w:rPr>
        <w:t>Supreme Court </w:t>
      </w:r>
      <w:r>
        <w:rPr>
          <w:w w:val="105"/>
          <w:sz w:val="21"/>
        </w:rPr>
        <w:t>of</w:t>
      </w:r>
      <w:r>
        <w:rPr>
          <w:spacing w:val="22"/>
          <w:w w:val="105"/>
          <w:sz w:val="21"/>
        </w:rPr>
        <w:t> </w:t>
      </w:r>
      <w:r>
        <w:rPr>
          <w:w w:val="105"/>
          <w:sz w:val="21"/>
        </w:rPr>
        <w:t>Victoria</w:t>
      </w:r>
    </w:p>
    <w:p>
      <w:pPr>
        <w:pStyle w:val="ListParagraph"/>
        <w:numPr>
          <w:ilvl w:val="0"/>
          <w:numId w:val="158"/>
        </w:numPr>
        <w:tabs>
          <w:tab w:pos="2494" w:val="left" w:leader="none"/>
          <w:tab w:pos="2495" w:val="left" w:leader="none"/>
        </w:tabs>
        <w:spacing w:line="240" w:lineRule="auto" w:before="124" w:after="0"/>
        <w:ind w:left="2494" w:right="0" w:hanging="907"/>
        <w:jc w:val="left"/>
        <w:rPr>
          <w:sz w:val="21"/>
        </w:rPr>
      </w:pPr>
      <w:r>
        <w:rPr>
          <w:w w:val="105"/>
          <w:sz w:val="21"/>
        </w:rPr>
        <w:t>Liz</w:t>
      </w:r>
      <w:r>
        <w:rPr>
          <w:spacing w:val="5"/>
          <w:w w:val="105"/>
          <w:sz w:val="21"/>
        </w:rPr>
        <w:t> </w:t>
      </w:r>
      <w:r>
        <w:rPr>
          <w:w w:val="105"/>
          <w:sz w:val="21"/>
        </w:rPr>
        <w:t>Burton</w:t>
      </w:r>
    </w:p>
    <w:p>
      <w:pPr>
        <w:pStyle w:val="ListParagraph"/>
        <w:numPr>
          <w:ilvl w:val="0"/>
          <w:numId w:val="158"/>
        </w:numPr>
        <w:tabs>
          <w:tab w:pos="2494" w:val="left" w:leader="none"/>
          <w:tab w:pos="2495" w:val="left" w:leader="none"/>
        </w:tabs>
        <w:spacing w:line="240" w:lineRule="auto" w:before="124" w:after="0"/>
        <w:ind w:left="2494" w:right="0" w:hanging="907"/>
        <w:jc w:val="left"/>
        <w:rPr>
          <w:sz w:val="21"/>
        </w:rPr>
      </w:pPr>
      <w:r>
        <w:rPr>
          <w:spacing w:val="-3"/>
          <w:w w:val="105"/>
          <w:sz w:val="21"/>
        </w:rPr>
        <w:t>Carolyn Sparke</w:t>
      </w:r>
      <w:r>
        <w:rPr>
          <w:spacing w:val="14"/>
          <w:w w:val="105"/>
          <w:sz w:val="21"/>
        </w:rPr>
        <w:t> </w:t>
      </w:r>
      <w:r>
        <w:rPr>
          <w:w w:val="105"/>
          <w:sz w:val="21"/>
        </w:rPr>
        <w:t>SC</w:t>
      </w:r>
    </w:p>
    <w:p>
      <w:pPr>
        <w:pStyle w:val="ListParagraph"/>
        <w:numPr>
          <w:ilvl w:val="0"/>
          <w:numId w:val="158"/>
        </w:numPr>
        <w:tabs>
          <w:tab w:pos="2494" w:val="left" w:leader="none"/>
          <w:tab w:pos="2495" w:val="left" w:leader="none"/>
        </w:tabs>
        <w:spacing w:line="240" w:lineRule="auto" w:before="124" w:after="0"/>
        <w:ind w:left="2494" w:right="0" w:hanging="907"/>
        <w:jc w:val="left"/>
        <w:rPr>
          <w:sz w:val="21"/>
        </w:rPr>
      </w:pPr>
      <w:r>
        <w:rPr>
          <w:spacing w:val="-3"/>
          <w:w w:val="105"/>
          <w:sz w:val="21"/>
        </w:rPr>
        <w:t>Janice</w:t>
      </w:r>
      <w:r>
        <w:rPr>
          <w:spacing w:val="5"/>
          <w:w w:val="105"/>
          <w:sz w:val="21"/>
        </w:rPr>
        <w:t> </w:t>
      </w:r>
      <w:r>
        <w:rPr>
          <w:spacing w:val="-3"/>
          <w:w w:val="105"/>
          <w:sz w:val="21"/>
        </w:rPr>
        <w:t>Brownfoot</w:t>
      </w:r>
    </w:p>
    <w:p>
      <w:pPr>
        <w:pStyle w:val="ListParagraph"/>
        <w:numPr>
          <w:ilvl w:val="0"/>
          <w:numId w:val="158"/>
        </w:numPr>
        <w:tabs>
          <w:tab w:pos="2494" w:val="left" w:leader="none"/>
          <w:tab w:pos="2495" w:val="left" w:leader="none"/>
        </w:tabs>
        <w:spacing w:line="355" w:lineRule="auto" w:before="123" w:after="0"/>
        <w:ind w:left="1587" w:right="6893" w:firstLine="0"/>
        <w:jc w:val="left"/>
        <w:rPr>
          <w:sz w:val="21"/>
        </w:rPr>
      </w:pPr>
      <w:r>
        <w:rPr>
          <w:sz w:val="21"/>
        </w:rPr>
        <w:t>Victorian </w:t>
      </w:r>
      <w:r>
        <w:rPr>
          <w:spacing w:val="-3"/>
          <w:sz w:val="21"/>
        </w:rPr>
        <w:t>Farmers </w:t>
      </w:r>
      <w:r>
        <w:rPr>
          <w:sz w:val="21"/>
        </w:rPr>
        <w:t>Federation </w:t>
      </w:r>
      <w:r>
        <w:rPr>
          <w:spacing w:val="-4"/>
          <w:w w:val="105"/>
          <w:sz w:val="21"/>
        </w:rPr>
        <w:t>42a, </w:t>
      </w:r>
      <w:r>
        <w:rPr>
          <w:spacing w:val="-5"/>
          <w:w w:val="105"/>
          <w:sz w:val="21"/>
        </w:rPr>
        <w:t>42b </w:t>
      </w:r>
      <w:r>
        <w:rPr>
          <w:w w:val="105"/>
          <w:sz w:val="21"/>
        </w:rPr>
        <w:t>Arnold Bloch</w:t>
      </w:r>
      <w:r>
        <w:rPr>
          <w:spacing w:val="7"/>
          <w:w w:val="105"/>
          <w:sz w:val="21"/>
        </w:rPr>
        <w:t> </w:t>
      </w:r>
      <w:r>
        <w:rPr>
          <w:w w:val="105"/>
          <w:sz w:val="21"/>
        </w:rPr>
        <w:t>Leibler</w:t>
      </w:r>
    </w:p>
    <w:p>
      <w:pPr>
        <w:pStyle w:val="ListParagraph"/>
        <w:numPr>
          <w:ilvl w:val="0"/>
          <w:numId w:val="159"/>
        </w:numPr>
        <w:tabs>
          <w:tab w:pos="2494" w:val="left" w:leader="none"/>
          <w:tab w:pos="2495" w:val="left" w:leader="none"/>
        </w:tabs>
        <w:spacing w:line="240" w:lineRule="auto" w:before="2" w:after="0"/>
        <w:ind w:left="2494" w:right="0" w:hanging="907"/>
        <w:jc w:val="left"/>
        <w:rPr>
          <w:sz w:val="21"/>
        </w:rPr>
      </w:pPr>
      <w:r>
        <w:rPr>
          <w:sz w:val="21"/>
        </w:rPr>
        <w:t>Michael</w:t>
      </w:r>
      <w:r>
        <w:rPr>
          <w:spacing w:val="8"/>
          <w:sz w:val="21"/>
        </w:rPr>
        <w:t> </w:t>
      </w:r>
      <w:r>
        <w:rPr>
          <w:spacing w:val="-3"/>
          <w:sz w:val="21"/>
        </w:rPr>
        <w:t>Grosvero</w:t>
      </w:r>
    </w:p>
    <w:p>
      <w:pPr>
        <w:pStyle w:val="ListParagraph"/>
        <w:numPr>
          <w:ilvl w:val="0"/>
          <w:numId w:val="159"/>
        </w:numPr>
        <w:tabs>
          <w:tab w:pos="2494" w:val="left" w:leader="none"/>
          <w:tab w:pos="2495" w:val="left" w:leader="none"/>
        </w:tabs>
        <w:spacing w:line="240" w:lineRule="auto" w:before="124" w:after="0"/>
        <w:ind w:left="2494" w:right="0" w:hanging="907"/>
        <w:jc w:val="left"/>
        <w:rPr>
          <w:sz w:val="21"/>
        </w:rPr>
      </w:pPr>
      <w:r>
        <w:rPr>
          <w:spacing w:val="-3"/>
          <w:w w:val="105"/>
          <w:sz w:val="21"/>
        </w:rPr>
        <w:t>Confidential</w:t>
      </w:r>
    </w:p>
    <w:p>
      <w:pPr>
        <w:pStyle w:val="ListParagraph"/>
        <w:numPr>
          <w:ilvl w:val="0"/>
          <w:numId w:val="159"/>
        </w:numPr>
        <w:tabs>
          <w:tab w:pos="2494" w:val="left" w:leader="none"/>
          <w:tab w:pos="2495" w:val="left" w:leader="none"/>
        </w:tabs>
        <w:spacing w:line="240" w:lineRule="auto" w:before="123" w:after="0"/>
        <w:ind w:left="2494" w:right="0" w:hanging="907"/>
        <w:jc w:val="left"/>
        <w:rPr>
          <w:sz w:val="21"/>
        </w:rPr>
      </w:pPr>
      <w:r>
        <w:rPr>
          <w:w w:val="105"/>
          <w:sz w:val="21"/>
        </w:rPr>
        <w:t>Legal Services</w:t>
      </w:r>
      <w:r>
        <w:rPr>
          <w:spacing w:val="10"/>
          <w:w w:val="105"/>
          <w:sz w:val="21"/>
        </w:rPr>
        <w:t> </w:t>
      </w:r>
      <w:r>
        <w:rPr>
          <w:spacing w:val="-3"/>
          <w:w w:val="105"/>
          <w:sz w:val="21"/>
        </w:rPr>
        <w:t>Commissioner</w:t>
      </w:r>
    </w:p>
    <w:p>
      <w:pPr>
        <w:pStyle w:val="ListParagraph"/>
        <w:numPr>
          <w:ilvl w:val="0"/>
          <w:numId w:val="159"/>
        </w:numPr>
        <w:tabs>
          <w:tab w:pos="2494" w:val="left" w:leader="none"/>
          <w:tab w:pos="2495" w:val="left" w:leader="none"/>
        </w:tabs>
        <w:spacing w:line="240" w:lineRule="auto" w:before="124" w:after="0"/>
        <w:ind w:left="2494" w:right="0" w:hanging="907"/>
        <w:jc w:val="left"/>
        <w:rPr>
          <w:sz w:val="21"/>
        </w:rPr>
      </w:pPr>
      <w:r>
        <w:rPr>
          <w:w w:val="105"/>
          <w:sz w:val="21"/>
        </w:rPr>
        <w:t>Robert </w:t>
      </w:r>
      <w:r>
        <w:rPr>
          <w:spacing w:val="-4"/>
          <w:w w:val="105"/>
          <w:sz w:val="21"/>
        </w:rPr>
        <w:t>Cornall</w:t>
      </w:r>
      <w:r>
        <w:rPr>
          <w:spacing w:val="11"/>
          <w:w w:val="105"/>
          <w:sz w:val="21"/>
        </w:rPr>
        <w:t> </w:t>
      </w:r>
      <w:r>
        <w:rPr>
          <w:spacing w:val="-3"/>
          <w:w w:val="105"/>
          <w:sz w:val="21"/>
        </w:rPr>
        <w:t>AO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0"/>
        </w:rPr>
      </w:pPr>
    </w:p>
    <w:p>
      <w:pPr>
        <w:spacing w:before="99"/>
        <w:ind w:left="720" w:right="0" w:firstLine="0"/>
        <w:jc w:val="left"/>
        <w:rPr>
          <w:b/>
          <w:sz w:val="24"/>
        </w:rPr>
      </w:pPr>
      <w:r>
        <w:rPr>
          <w:b/>
          <w:color w:val="EC5A4F"/>
          <w:w w:val="110"/>
          <w:sz w:val="24"/>
        </w:rPr>
        <w:t>230</w:t>
      </w:r>
    </w:p>
    <w:p>
      <w:pPr>
        <w:spacing w:after="0"/>
        <w:jc w:val="left"/>
        <w:rPr>
          <w:sz w:val="24"/>
        </w:rPr>
        <w:sectPr>
          <w:headerReference w:type="even" r:id="rId131"/>
          <w:pgSz w:w="11910" w:h="16840"/>
          <w:pgMar w:header="550" w:footer="0" w:top="1560" w:bottom="280" w:left="0" w:right="0"/>
        </w:sectPr>
      </w:pPr>
    </w:p>
    <w:p>
      <w:pPr>
        <w:tabs>
          <w:tab w:pos="1417" w:val="left" w:leader="none"/>
        </w:tabs>
        <w:spacing w:before="85"/>
        <w:ind w:left="0" w:right="0" w:firstLine="0"/>
        <w:jc w:val="right"/>
        <w:rPr>
          <w:b/>
          <w:sz w:val="48"/>
        </w:rPr>
      </w:pPr>
      <w:bookmarkStart w:name="Appendix C: Consultations" w:id="166"/>
      <w:bookmarkEnd w:id="166"/>
      <w:r>
        <w:rPr/>
      </w:r>
      <w:r>
        <w:rPr>
          <w:b/>
          <w:color w:val="FFFFFF"/>
          <w:w w:val="122"/>
          <w:sz w:val="48"/>
          <w:shd w:fill="EC5A4F" w:color="auto" w:val="clear"/>
        </w:rPr>
        <w:t> </w:t>
      </w:r>
      <w:r>
        <w:rPr>
          <w:b/>
          <w:color w:val="FFFFFF"/>
          <w:spacing w:val="41"/>
          <w:sz w:val="48"/>
          <w:shd w:fill="EC5A4F" w:color="auto" w:val="clear"/>
        </w:rPr>
        <w:t> </w:t>
      </w:r>
      <w:r>
        <w:rPr>
          <w:b/>
          <w:color w:val="FFFFFF"/>
          <w:w w:val="115"/>
          <w:sz w:val="48"/>
          <w:shd w:fill="EC5A4F" w:color="auto" w:val="clear"/>
        </w:rPr>
        <w:t>C</w:t>
      </w:r>
      <w:r>
        <w:rPr>
          <w:b/>
          <w:color w:val="FFFFFF"/>
          <w:sz w:val="48"/>
          <w:shd w:fill="EC5A4F" w:color="auto" w:val="clear"/>
        </w:rPr>
        <w:tab/>
      </w:r>
    </w:p>
    <w:p>
      <w:pPr>
        <w:pStyle w:val="BodyText"/>
        <w:rPr>
          <w:b/>
          <w:sz w:val="20"/>
        </w:rPr>
      </w:pPr>
    </w:p>
    <w:p>
      <w:pPr>
        <w:spacing w:before="267"/>
        <w:ind w:left="563" w:right="0" w:firstLine="0"/>
        <w:jc w:val="left"/>
        <w:rPr>
          <w:b/>
          <w:sz w:val="44"/>
        </w:rPr>
      </w:pPr>
      <w:r>
        <w:rPr>
          <w:b/>
          <w:color w:val="EC5A4F"/>
          <w:w w:val="110"/>
          <w:sz w:val="44"/>
        </w:rPr>
        <w:t>Appendix C: Consultations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29"/>
        </w:rPr>
      </w:pPr>
    </w:p>
    <w:p>
      <w:pPr>
        <w:pStyle w:val="BodyText"/>
        <w:spacing w:line="242" w:lineRule="auto" w:before="91"/>
        <w:ind w:left="1583" w:right="1619"/>
      </w:pPr>
      <w:r>
        <w:rPr/>
        <w:t>Discussions about the questions raised in the consultation paper were held with the people and organisations listed below:</w:t>
      </w:r>
    </w:p>
    <w:p>
      <w:pPr>
        <w:pStyle w:val="ListParagraph"/>
        <w:numPr>
          <w:ilvl w:val="0"/>
          <w:numId w:val="160"/>
        </w:numPr>
        <w:tabs>
          <w:tab w:pos="2377" w:val="left" w:leader="none"/>
          <w:tab w:pos="2378" w:val="left" w:leader="none"/>
        </w:tabs>
        <w:spacing w:line="242" w:lineRule="auto" w:before="123" w:after="0"/>
        <w:ind w:left="2377" w:right="1784" w:hanging="794"/>
        <w:jc w:val="left"/>
        <w:rPr>
          <w:sz w:val="21"/>
        </w:rPr>
      </w:pPr>
      <w:r>
        <w:rPr>
          <w:w w:val="105"/>
          <w:sz w:val="21"/>
        </w:rPr>
        <w:t>Roundtable on </w:t>
      </w:r>
      <w:r>
        <w:rPr>
          <w:spacing w:val="-3"/>
          <w:w w:val="105"/>
          <w:sz w:val="21"/>
        </w:rPr>
        <w:t>wills, </w:t>
      </w:r>
      <w:r>
        <w:rPr>
          <w:w w:val="105"/>
          <w:sz w:val="21"/>
        </w:rPr>
        <w:t>with community based </w:t>
      </w:r>
      <w:r>
        <w:rPr>
          <w:spacing w:val="-3"/>
          <w:w w:val="105"/>
          <w:sz w:val="21"/>
        </w:rPr>
        <w:t>organisations, State </w:t>
      </w:r>
      <w:r>
        <w:rPr>
          <w:spacing w:val="-4"/>
          <w:w w:val="105"/>
          <w:sz w:val="21"/>
        </w:rPr>
        <w:t>Trustees </w:t>
      </w:r>
      <w:r>
        <w:rPr>
          <w:spacing w:val="-3"/>
          <w:w w:val="105"/>
          <w:sz w:val="21"/>
        </w:rPr>
        <w:t>Limited, </w:t>
      </w:r>
      <w:r>
        <w:rPr>
          <w:w w:val="105"/>
          <w:sz w:val="21"/>
        </w:rPr>
        <w:t>legal practitioners,</w:t>
      </w:r>
      <w:r>
        <w:rPr>
          <w:spacing w:val="-12"/>
          <w:w w:val="105"/>
          <w:sz w:val="21"/>
        </w:rPr>
        <w:t> </w:t>
      </w:r>
      <w:r>
        <w:rPr>
          <w:w w:val="105"/>
          <w:sz w:val="21"/>
        </w:rPr>
        <w:t>academics,</w:t>
      </w:r>
      <w:r>
        <w:rPr>
          <w:spacing w:val="-11"/>
          <w:w w:val="105"/>
          <w:sz w:val="21"/>
        </w:rPr>
        <w:t> </w:t>
      </w:r>
      <w:r>
        <w:rPr>
          <w:w w:val="105"/>
          <w:sz w:val="21"/>
        </w:rPr>
        <w:t>members</w:t>
      </w:r>
      <w:r>
        <w:rPr>
          <w:spacing w:val="-12"/>
          <w:w w:val="105"/>
          <w:sz w:val="21"/>
        </w:rPr>
        <w:t> </w:t>
      </w:r>
      <w:r>
        <w:rPr>
          <w:w w:val="105"/>
          <w:sz w:val="21"/>
        </w:rPr>
        <w:t>of</w:t>
      </w:r>
      <w:r>
        <w:rPr>
          <w:spacing w:val="-11"/>
          <w:w w:val="105"/>
          <w:sz w:val="21"/>
        </w:rPr>
        <w:t> </w:t>
      </w:r>
      <w:r>
        <w:rPr>
          <w:w w:val="105"/>
          <w:sz w:val="21"/>
        </w:rPr>
        <w:t>the</w:t>
      </w:r>
      <w:r>
        <w:rPr>
          <w:spacing w:val="-11"/>
          <w:w w:val="105"/>
          <w:sz w:val="21"/>
        </w:rPr>
        <w:t> </w:t>
      </w:r>
      <w:r>
        <w:rPr>
          <w:w w:val="105"/>
          <w:sz w:val="21"/>
        </w:rPr>
        <w:t>Victorian</w:t>
      </w:r>
      <w:r>
        <w:rPr>
          <w:spacing w:val="-12"/>
          <w:w w:val="105"/>
          <w:sz w:val="21"/>
        </w:rPr>
        <w:t> </w:t>
      </w:r>
      <w:r>
        <w:rPr>
          <w:spacing w:val="-3"/>
          <w:w w:val="105"/>
          <w:sz w:val="21"/>
        </w:rPr>
        <w:t>Civil</w:t>
      </w:r>
      <w:r>
        <w:rPr>
          <w:spacing w:val="-11"/>
          <w:w w:val="105"/>
          <w:sz w:val="21"/>
        </w:rPr>
        <w:t> </w:t>
      </w:r>
      <w:r>
        <w:rPr>
          <w:w w:val="105"/>
          <w:sz w:val="21"/>
        </w:rPr>
        <w:t>and</w:t>
      </w:r>
      <w:r>
        <w:rPr>
          <w:spacing w:val="-12"/>
          <w:w w:val="105"/>
          <w:sz w:val="21"/>
        </w:rPr>
        <w:t> </w:t>
      </w:r>
      <w:r>
        <w:rPr>
          <w:spacing w:val="-3"/>
          <w:w w:val="105"/>
          <w:sz w:val="21"/>
        </w:rPr>
        <w:t>Administrative</w:t>
      </w:r>
      <w:r>
        <w:rPr>
          <w:spacing w:val="-11"/>
          <w:w w:val="105"/>
          <w:sz w:val="21"/>
        </w:rPr>
        <w:t> </w:t>
      </w:r>
      <w:r>
        <w:rPr>
          <w:spacing w:val="-5"/>
          <w:w w:val="105"/>
          <w:sz w:val="21"/>
        </w:rPr>
        <w:t>Tribunal</w:t>
      </w:r>
      <w:r>
        <w:rPr>
          <w:spacing w:val="-11"/>
          <w:w w:val="105"/>
          <w:sz w:val="21"/>
        </w:rPr>
        <w:t> </w:t>
      </w:r>
      <w:r>
        <w:rPr>
          <w:w w:val="105"/>
          <w:sz w:val="21"/>
        </w:rPr>
        <w:t>and staff of the </w:t>
      </w:r>
      <w:r>
        <w:rPr>
          <w:spacing w:val="-3"/>
          <w:w w:val="105"/>
          <w:sz w:val="21"/>
        </w:rPr>
        <w:t>Supreme Court </w:t>
      </w:r>
      <w:r>
        <w:rPr>
          <w:w w:val="105"/>
          <w:sz w:val="21"/>
        </w:rPr>
        <w:t>of</w:t>
      </w:r>
      <w:r>
        <w:rPr>
          <w:spacing w:val="37"/>
          <w:w w:val="105"/>
          <w:sz w:val="21"/>
        </w:rPr>
        <w:t> </w:t>
      </w:r>
      <w:r>
        <w:rPr>
          <w:w w:val="105"/>
          <w:sz w:val="21"/>
        </w:rPr>
        <w:t>Victoria</w:t>
      </w:r>
    </w:p>
    <w:p>
      <w:pPr>
        <w:pStyle w:val="ListParagraph"/>
        <w:numPr>
          <w:ilvl w:val="0"/>
          <w:numId w:val="160"/>
        </w:numPr>
        <w:tabs>
          <w:tab w:pos="2377" w:val="left" w:leader="none"/>
          <w:tab w:pos="2378" w:val="left" w:leader="none"/>
        </w:tabs>
        <w:spacing w:line="240" w:lineRule="auto" w:before="123" w:after="0"/>
        <w:ind w:left="2377" w:right="0" w:hanging="794"/>
        <w:jc w:val="left"/>
        <w:rPr>
          <w:sz w:val="21"/>
        </w:rPr>
      </w:pPr>
      <w:r>
        <w:rPr>
          <w:w w:val="105"/>
          <w:sz w:val="21"/>
        </w:rPr>
        <w:t>Include a </w:t>
      </w:r>
      <w:r>
        <w:rPr>
          <w:spacing w:val="-4"/>
          <w:w w:val="105"/>
          <w:sz w:val="21"/>
        </w:rPr>
        <w:t>Charity, </w:t>
      </w:r>
      <w:r>
        <w:rPr>
          <w:spacing w:val="-3"/>
          <w:w w:val="105"/>
          <w:sz w:val="21"/>
        </w:rPr>
        <w:t>Peter MacCallum Cancer </w:t>
      </w:r>
      <w:r>
        <w:rPr>
          <w:spacing w:val="-4"/>
          <w:w w:val="105"/>
          <w:sz w:val="21"/>
        </w:rPr>
        <w:t>Centre, </w:t>
      </w:r>
      <w:r>
        <w:rPr>
          <w:w w:val="105"/>
          <w:sz w:val="21"/>
        </w:rPr>
        <w:t>Heart Foundation</w:t>
      </w:r>
      <w:r>
        <w:rPr>
          <w:spacing w:val="4"/>
          <w:w w:val="105"/>
          <w:sz w:val="21"/>
        </w:rPr>
        <w:t> </w:t>
      </w:r>
      <w:r>
        <w:rPr>
          <w:w w:val="105"/>
          <w:sz w:val="21"/>
        </w:rPr>
        <w:t>Victoria</w:t>
      </w:r>
    </w:p>
    <w:p>
      <w:pPr>
        <w:pStyle w:val="ListParagraph"/>
        <w:numPr>
          <w:ilvl w:val="0"/>
          <w:numId w:val="160"/>
        </w:numPr>
        <w:tabs>
          <w:tab w:pos="2377" w:val="left" w:leader="none"/>
          <w:tab w:pos="2378" w:val="left" w:leader="none"/>
        </w:tabs>
        <w:spacing w:line="240" w:lineRule="auto" w:before="124" w:after="0"/>
        <w:ind w:left="2377" w:right="0" w:hanging="794"/>
        <w:jc w:val="left"/>
        <w:rPr>
          <w:sz w:val="21"/>
        </w:rPr>
      </w:pPr>
      <w:r>
        <w:rPr>
          <w:w w:val="105"/>
          <w:sz w:val="21"/>
        </w:rPr>
        <w:t>Legal practitioners in the </w:t>
      </w:r>
      <w:r>
        <w:rPr>
          <w:spacing w:val="-3"/>
          <w:w w:val="105"/>
          <w:sz w:val="21"/>
        </w:rPr>
        <w:t>Goulburn </w:t>
      </w:r>
      <w:r>
        <w:rPr>
          <w:spacing w:val="-4"/>
          <w:w w:val="105"/>
          <w:sz w:val="21"/>
        </w:rPr>
        <w:t>Valley</w:t>
      </w:r>
      <w:r>
        <w:rPr>
          <w:spacing w:val="31"/>
          <w:w w:val="105"/>
          <w:sz w:val="21"/>
        </w:rPr>
        <w:t> </w:t>
      </w:r>
      <w:r>
        <w:rPr>
          <w:w w:val="105"/>
          <w:sz w:val="21"/>
        </w:rPr>
        <w:t>region</w:t>
      </w:r>
    </w:p>
    <w:p>
      <w:pPr>
        <w:pStyle w:val="ListParagraph"/>
        <w:numPr>
          <w:ilvl w:val="0"/>
          <w:numId w:val="160"/>
        </w:numPr>
        <w:tabs>
          <w:tab w:pos="2377" w:val="left" w:leader="none"/>
          <w:tab w:pos="2378" w:val="left" w:leader="none"/>
        </w:tabs>
        <w:spacing w:line="242" w:lineRule="auto" w:before="123" w:after="0"/>
        <w:ind w:left="2377" w:right="1919" w:hanging="794"/>
        <w:jc w:val="left"/>
        <w:rPr>
          <w:sz w:val="21"/>
        </w:rPr>
      </w:pPr>
      <w:r>
        <w:rPr>
          <w:w w:val="105"/>
          <w:sz w:val="21"/>
        </w:rPr>
        <w:t>Legal practitioners </w:t>
      </w:r>
      <w:r>
        <w:rPr>
          <w:spacing w:val="-3"/>
          <w:w w:val="105"/>
          <w:sz w:val="21"/>
        </w:rPr>
        <w:t>from </w:t>
      </w:r>
      <w:r>
        <w:rPr>
          <w:w w:val="105"/>
          <w:sz w:val="21"/>
        </w:rPr>
        <w:t>the </w:t>
      </w:r>
      <w:r>
        <w:rPr>
          <w:spacing w:val="-3"/>
          <w:w w:val="105"/>
          <w:sz w:val="21"/>
        </w:rPr>
        <w:t>Goulburn </w:t>
      </w:r>
      <w:r>
        <w:rPr>
          <w:spacing w:val="-4"/>
          <w:w w:val="105"/>
          <w:sz w:val="21"/>
        </w:rPr>
        <w:t>Valley </w:t>
      </w:r>
      <w:r>
        <w:rPr>
          <w:w w:val="105"/>
          <w:sz w:val="21"/>
        </w:rPr>
        <w:t>and Loddon </w:t>
      </w:r>
      <w:r>
        <w:rPr>
          <w:spacing w:val="-3"/>
          <w:w w:val="105"/>
          <w:sz w:val="21"/>
        </w:rPr>
        <w:t>Campaspe Community </w:t>
      </w:r>
      <w:r>
        <w:rPr>
          <w:w w:val="105"/>
          <w:sz w:val="21"/>
        </w:rPr>
        <w:t>Legal </w:t>
      </w:r>
      <w:r>
        <w:rPr>
          <w:spacing w:val="-4"/>
          <w:w w:val="105"/>
          <w:sz w:val="21"/>
        </w:rPr>
        <w:t>Centres</w:t>
      </w:r>
    </w:p>
    <w:p>
      <w:pPr>
        <w:pStyle w:val="ListParagraph"/>
        <w:numPr>
          <w:ilvl w:val="0"/>
          <w:numId w:val="160"/>
        </w:numPr>
        <w:tabs>
          <w:tab w:pos="2377" w:val="left" w:leader="none"/>
          <w:tab w:pos="2378" w:val="left" w:leader="none"/>
        </w:tabs>
        <w:spacing w:line="240" w:lineRule="auto" w:before="123" w:after="0"/>
        <w:ind w:left="2377" w:right="0" w:hanging="794"/>
        <w:jc w:val="left"/>
        <w:rPr>
          <w:sz w:val="21"/>
        </w:rPr>
      </w:pPr>
      <w:r>
        <w:rPr>
          <w:w w:val="105"/>
          <w:sz w:val="21"/>
        </w:rPr>
        <w:t>Open</w:t>
      </w:r>
      <w:r>
        <w:rPr>
          <w:spacing w:val="2"/>
          <w:w w:val="105"/>
          <w:sz w:val="21"/>
        </w:rPr>
        <w:t> </w:t>
      </w:r>
      <w:r>
        <w:rPr>
          <w:spacing w:val="-3"/>
          <w:w w:val="105"/>
          <w:sz w:val="21"/>
        </w:rPr>
        <w:t>day</w:t>
      </w:r>
    </w:p>
    <w:p>
      <w:pPr>
        <w:pStyle w:val="ListParagraph"/>
        <w:numPr>
          <w:ilvl w:val="0"/>
          <w:numId w:val="160"/>
        </w:numPr>
        <w:tabs>
          <w:tab w:pos="2377" w:val="left" w:leader="none"/>
          <w:tab w:pos="2378" w:val="left" w:leader="none"/>
        </w:tabs>
        <w:spacing w:line="240" w:lineRule="auto" w:before="123" w:after="0"/>
        <w:ind w:left="2377" w:right="0" w:hanging="794"/>
        <w:jc w:val="left"/>
        <w:rPr>
          <w:sz w:val="21"/>
        </w:rPr>
      </w:pPr>
      <w:r>
        <w:rPr>
          <w:w w:val="105"/>
          <w:sz w:val="21"/>
        </w:rPr>
        <w:t>Law </w:t>
      </w:r>
      <w:r>
        <w:rPr>
          <w:spacing w:val="-3"/>
          <w:w w:val="105"/>
          <w:sz w:val="21"/>
        </w:rPr>
        <w:t>Institute </w:t>
      </w:r>
      <w:r>
        <w:rPr>
          <w:w w:val="105"/>
          <w:sz w:val="21"/>
        </w:rPr>
        <w:t>of Victoria </w:t>
      </w:r>
      <w:r>
        <w:rPr>
          <w:spacing w:val="-3"/>
          <w:w w:val="105"/>
          <w:sz w:val="21"/>
        </w:rPr>
        <w:t>Succession </w:t>
      </w:r>
      <w:r>
        <w:rPr>
          <w:w w:val="105"/>
          <w:sz w:val="21"/>
        </w:rPr>
        <w:t>Law</w:t>
      </w:r>
      <w:r>
        <w:rPr>
          <w:spacing w:val="37"/>
          <w:w w:val="105"/>
          <w:sz w:val="21"/>
        </w:rPr>
        <w:t> </w:t>
      </w:r>
      <w:r>
        <w:rPr>
          <w:spacing w:val="-3"/>
          <w:w w:val="105"/>
          <w:sz w:val="21"/>
        </w:rPr>
        <w:t>Committee</w:t>
      </w:r>
    </w:p>
    <w:p>
      <w:pPr>
        <w:pStyle w:val="ListParagraph"/>
        <w:numPr>
          <w:ilvl w:val="0"/>
          <w:numId w:val="160"/>
        </w:numPr>
        <w:tabs>
          <w:tab w:pos="2377" w:val="left" w:leader="none"/>
          <w:tab w:pos="2378" w:val="left" w:leader="none"/>
        </w:tabs>
        <w:spacing w:line="240" w:lineRule="auto" w:before="124" w:after="0"/>
        <w:ind w:left="2377" w:right="0" w:hanging="794"/>
        <w:jc w:val="left"/>
        <w:rPr>
          <w:sz w:val="21"/>
        </w:rPr>
      </w:pPr>
      <w:r>
        <w:rPr>
          <w:sz w:val="21"/>
        </w:rPr>
        <w:t>Law</w:t>
      </w:r>
      <w:r>
        <w:rPr>
          <w:spacing w:val="9"/>
          <w:sz w:val="21"/>
        </w:rPr>
        <w:t> </w:t>
      </w:r>
      <w:r>
        <w:rPr>
          <w:spacing w:val="-3"/>
          <w:sz w:val="21"/>
        </w:rPr>
        <w:t>Institute</w:t>
      </w:r>
      <w:r>
        <w:rPr>
          <w:spacing w:val="9"/>
          <w:sz w:val="21"/>
        </w:rPr>
        <w:t> </w:t>
      </w:r>
      <w:r>
        <w:rPr>
          <w:sz w:val="21"/>
        </w:rPr>
        <w:t>of</w:t>
      </w:r>
      <w:r>
        <w:rPr>
          <w:spacing w:val="9"/>
          <w:sz w:val="21"/>
        </w:rPr>
        <w:t> </w:t>
      </w:r>
      <w:r>
        <w:rPr>
          <w:sz w:val="21"/>
        </w:rPr>
        <w:t>Victoria</w:t>
      </w:r>
      <w:r>
        <w:rPr>
          <w:spacing w:val="9"/>
          <w:sz w:val="21"/>
        </w:rPr>
        <w:t> </w:t>
      </w:r>
      <w:r>
        <w:rPr>
          <w:spacing w:val="-3"/>
          <w:sz w:val="21"/>
        </w:rPr>
        <w:t>Wills</w:t>
      </w:r>
      <w:r>
        <w:rPr>
          <w:spacing w:val="9"/>
          <w:sz w:val="21"/>
        </w:rPr>
        <w:t> </w:t>
      </w:r>
      <w:r>
        <w:rPr>
          <w:sz w:val="21"/>
        </w:rPr>
        <w:t>&amp;</w:t>
      </w:r>
      <w:r>
        <w:rPr>
          <w:spacing w:val="10"/>
          <w:sz w:val="21"/>
        </w:rPr>
        <w:t> </w:t>
      </w:r>
      <w:r>
        <w:rPr>
          <w:sz w:val="21"/>
        </w:rPr>
        <w:t>Estates</w:t>
      </w:r>
      <w:r>
        <w:rPr>
          <w:spacing w:val="9"/>
          <w:sz w:val="21"/>
        </w:rPr>
        <w:t> </w:t>
      </w:r>
      <w:r>
        <w:rPr>
          <w:sz w:val="21"/>
        </w:rPr>
        <w:t>Discussion</w:t>
      </w:r>
      <w:r>
        <w:rPr>
          <w:spacing w:val="9"/>
          <w:sz w:val="21"/>
        </w:rPr>
        <w:t> </w:t>
      </w:r>
      <w:r>
        <w:rPr>
          <w:spacing w:val="-3"/>
          <w:sz w:val="21"/>
        </w:rPr>
        <w:t>Group.</w:t>
      </w:r>
    </w:p>
    <w:p>
      <w:pPr>
        <w:pStyle w:val="ListParagraph"/>
        <w:numPr>
          <w:ilvl w:val="0"/>
          <w:numId w:val="160"/>
        </w:numPr>
        <w:tabs>
          <w:tab w:pos="2377" w:val="left" w:leader="none"/>
          <w:tab w:pos="2378" w:val="left" w:leader="none"/>
        </w:tabs>
        <w:spacing w:line="240" w:lineRule="auto" w:before="124" w:after="0"/>
        <w:ind w:left="2377" w:right="0" w:hanging="794"/>
        <w:jc w:val="left"/>
        <w:rPr>
          <w:sz w:val="21"/>
        </w:rPr>
      </w:pPr>
      <w:r>
        <w:rPr>
          <w:w w:val="105"/>
          <w:sz w:val="21"/>
        </w:rPr>
        <w:t>Dr Mark </w:t>
      </w:r>
      <w:r>
        <w:rPr>
          <w:spacing w:val="-3"/>
          <w:w w:val="105"/>
          <w:sz w:val="21"/>
        </w:rPr>
        <w:t>McMillan, </w:t>
      </w:r>
      <w:r>
        <w:rPr>
          <w:w w:val="105"/>
          <w:sz w:val="21"/>
        </w:rPr>
        <w:t>Senior </w:t>
      </w:r>
      <w:r>
        <w:rPr>
          <w:spacing w:val="-3"/>
          <w:w w:val="105"/>
          <w:sz w:val="21"/>
        </w:rPr>
        <w:t>Lecturer, </w:t>
      </w:r>
      <w:r>
        <w:rPr>
          <w:w w:val="105"/>
          <w:sz w:val="21"/>
        </w:rPr>
        <w:t>Melbourne Law School, University of</w:t>
      </w:r>
      <w:r>
        <w:rPr>
          <w:spacing w:val="23"/>
          <w:w w:val="105"/>
          <w:sz w:val="21"/>
        </w:rPr>
        <w:t> </w:t>
      </w:r>
      <w:r>
        <w:rPr>
          <w:w w:val="105"/>
          <w:sz w:val="21"/>
        </w:rPr>
        <w:t>Melbourne</w:t>
      </w:r>
    </w:p>
    <w:p>
      <w:pPr>
        <w:pStyle w:val="ListParagraph"/>
        <w:numPr>
          <w:ilvl w:val="0"/>
          <w:numId w:val="160"/>
        </w:numPr>
        <w:tabs>
          <w:tab w:pos="2377" w:val="left" w:leader="none"/>
          <w:tab w:pos="2378" w:val="left" w:leader="none"/>
        </w:tabs>
        <w:spacing w:line="240" w:lineRule="auto" w:before="124" w:after="0"/>
        <w:ind w:left="2377" w:right="0" w:hanging="794"/>
        <w:jc w:val="left"/>
        <w:rPr>
          <w:sz w:val="21"/>
        </w:rPr>
      </w:pPr>
      <w:r>
        <w:rPr>
          <w:w w:val="105"/>
          <w:sz w:val="21"/>
        </w:rPr>
        <w:t>NSW </w:t>
      </w:r>
      <w:r>
        <w:rPr>
          <w:spacing w:val="-4"/>
          <w:w w:val="105"/>
          <w:sz w:val="21"/>
        </w:rPr>
        <w:t>Trustee </w:t>
      </w:r>
      <w:r>
        <w:rPr>
          <w:w w:val="105"/>
          <w:sz w:val="21"/>
        </w:rPr>
        <w:t>and</w:t>
      </w:r>
      <w:r>
        <w:rPr>
          <w:spacing w:val="20"/>
          <w:w w:val="105"/>
          <w:sz w:val="21"/>
        </w:rPr>
        <w:t> </w:t>
      </w:r>
      <w:r>
        <w:rPr>
          <w:spacing w:val="-3"/>
          <w:w w:val="105"/>
          <w:sz w:val="21"/>
        </w:rPr>
        <w:t>Guardian</w:t>
      </w:r>
    </w:p>
    <w:p>
      <w:pPr>
        <w:pStyle w:val="ListParagraph"/>
        <w:numPr>
          <w:ilvl w:val="0"/>
          <w:numId w:val="160"/>
        </w:numPr>
        <w:tabs>
          <w:tab w:pos="2377" w:val="left" w:leader="none"/>
          <w:tab w:pos="2378" w:val="left" w:leader="none"/>
        </w:tabs>
        <w:spacing w:line="240" w:lineRule="auto" w:before="123" w:after="0"/>
        <w:ind w:left="2377" w:right="0" w:hanging="794"/>
        <w:jc w:val="left"/>
        <w:rPr>
          <w:sz w:val="21"/>
        </w:rPr>
      </w:pPr>
      <w:r>
        <w:rPr>
          <w:w w:val="105"/>
          <w:sz w:val="21"/>
        </w:rPr>
        <w:t>Arts Law </w:t>
      </w:r>
      <w:r>
        <w:rPr>
          <w:spacing w:val="-4"/>
          <w:w w:val="105"/>
          <w:sz w:val="21"/>
        </w:rPr>
        <w:t>Centre </w:t>
      </w:r>
      <w:r>
        <w:rPr>
          <w:w w:val="105"/>
          <w:sz w:val="21"/>
        </w:rPr>
        <w:t>of</w:t>
      </w:r>
      <w:r>
        <w:rPr>
          <w:spacing w:val="26"/>
          <w:w w:val="105"/>
          <w:sz w:val="21"/>
        </w:rPr>
        <w:t> </w:t>
      </w:r>
      <w:r>
        <w:rPr>
          <w:spacing w:val="-3"/>
          <w:w w:val="105"/>
          <w:sz w:val="21"/>
        </w:rPr>
        <w:t>Australia</w:t>
      </w:r>
    </w:p>
    <w:p>
      <w:pPr>
        <w:pStyle w:val="ListParagraph"/>
        <w:numPr>
          <w:ilvl w:val="0"/>
          <w:numId w:val="160"/>
        </w:numPr>
        <w:tabs>
          <w:tab w:pos="2377" w:val="left" w:leader="none"/>
          <w:tab w:pos="2378" w:val="left" w:leader="none"/>
        </w:tabs>
        <w:spacing w:line="240" w:lineRule="auto" w:before="124" w:after="0"/>
        <w:ind w:left="2377" w:right="0" w:hanging="794"/>
        <w:jc w:val="left"/>
        <w:rPr>
          <w:sz w:val="21"/>
        </w:rPr>
      </w:pPr>
      <w:r>
        <w:rPr>
          <w:spacing w:val="-3"/>
          <w:w w:val="105"/>
          <w:sz w:val="21"/>
        </w:rPr>
        <w:t>Supreme Court </w:t>
      </w:r>
      <w:r>
        <w:rPr>
          <w:w w:val="105"/>
          <w:sz w:val="21"/>
        </w:rPr>
        <w:t>of New South</w:t>
      </w:r>
      <w:r>
        <w:rPr>
          <w:spacing w:val="33"/>
          <w:w w:val="105"/>
          <w:sz w:val="21"/>
        </w:rPr>
        <w:t> </w:t>
      </w:r>
      <w:r>
        <w:rPr>
          <w:spacing w:val="-3"/>
          <w:w w:val="105"/>
          <w:sz w:val="21"/>
        </w:rPr>
        <w:t>Wales</w:t>
      </w:r>
    </w:p>
    <w:p>
      <w:pPr>
        <w:pStyle w:val="ListParagraph"/>
        <w:numPr>
          <w:ilvl w:val="0"/>
          <w:numId w:val="160"/>
        </w:numPr>
        <w:tabs>
          <w:tab w:pos="2377" w:val="left" w:leader="none"/>
          <w:tab w:pos="2378" w:val="left" w:leader="none"/>
        </w:tabs>
        <w:spacing w:line="240" w:lineRule="auto" w:before="124" w:after="0"/>
        <w:ind w:left="2377" w:right="0" w:hanging="794"/>
        <w:jc w:val="left"/>
        <w:rPr>
          <w:sz w:val="21"/>
        </w:rPr>
      </w:pPr>
      <w:r>
        <w:rPr>
          <w:w w:val="105"/>
          <w:sz w:val="21"/>
        </w:rPr>
        <w:t>Law Society of New South</w:t>
      </w:r>
      <w:r>
        <w:rPr>
          <w:spacing w:val="26"/>
          <w:w w:val="105"/>
          <w:sz w:val="21"/>
        </w:rPr>
        <w:t> </w:t>
      </w:r>
      <w:r>
        <w:rPr>
          <w:spacing w:val="-3"/>
          <w:w w:val="105"/>
          <w:sz w:val="21"/>
        </w:rPr>
        <w:t>Wales</w:t>
      </w:r>
    </w:p>
    <w:p>
      <w:pPr>
        <w:pStyle w:val="ListParagraph"/>
        <w:numPr>
          <w:ilvl w:val="0"/>
          <w:numId w:val="160"/>
        </w:numPr>
        <w:tabs>
          <w:tab w:pos="2377" w:val="left" w:leader="none"/>
          <w:tab w:pos="2378" w:val="left" w:leader="none"/>
        </w:tabs>
        <w:spacing w:line="240" w:lineRule="auto" w:before="124" w:after="0"/>
        <w:ind w:left="2377" w:right="0" w:hanging="794"/>
        <w:jc w:val="left"/>
        <w:rPr>
          <w:sz w:val="21"/>
        </w:rPr>
      </w:pPr>
      <w:r>
        <w:rPr>
          <w:w w:val="105"/>
          <w:sz w:val="21"/>
        </w:rPr>
        <w:t>Department of Attorney-General and </w:t>
      </w:r>
      <w:r>
        <w:rPr>
          <w:spacing w:val="-3"/>
          <w:w w:val="105"/>
          <w:sz w:val="21"/>
        </w:rPr>
        <w:t>Justice, </w:t>
      </w:r>
      <w:r>
        <w:rPr>
          <w:w w:val="105"/>
          <w:sz w:val="21"/>
        </w:rPr>
        <w:t>New South</w:t>
      </w:r>
      <w:r>
        <w:rPr>
          <w:spacing w:val="32"/>
          <w:w w:val="105"/>
          <w:sz w:val="21"/>
        </w:rPr>
        <w:t> </w:t>
      </w:r>
      <w:r>
        <w:rPr>
          <w:spacing w:val="-3"/>
          <w:w w:val="105"/>
          <w:sz w:val="21"/>
        </w:rPr>
        <w:t>Wales</w:t>
      </w:r>
    </w:p>
    <w:p>
      <w:pPr>
        <w:pStyle w:val="ListParagraph"/>
        <w:numPr>
          <w:ilvl w:val="0"/>
          <w:numId w:val="160"/>
        </w:numPr>
        <w:tabs>
          <w:tab w:pos="2377" w:val="left" w:leader="none"/>
          <w:tab w:pos="2378" w:val="left" w:leader="none"/>
        </w:tabs>
        <w:spacing w:line="240" w:lineRule="auto" w:before="123" w:after="0"/>
        <w:ind w:left="2377" w:right="0" w:hanging="794"/>
        <w:jc w:val="left"/>
        <w:rPr>
          <w:sz w:val="21"/>
        </w:rPr>
      </w:pPr>
      <w:r>
        <w:rPr>
          <w:w w:val="105"/>
          <w:sz w:val="21"/>
        </w:rPr>
        <w:t>Victorian </w:t>
      </w:r>
      <w:r>
        <w:rPr>
          <w:spacing w:val="-3"/>
          <w:w w:val="105"/>
          <w:sz w:val="21"/>
        </w:rPr>
        <w:t>Civil </w:t>
      </w:r>
      <w:r>
        <w:rPr>
          <w:w w:val="105"/>
          <w:sz w:val="21"/>
        </w:rPr>
        <w:t>and </w:t>
      </w:r>
      <w:r>
        <w:rPr>
          <w:spacing w:val="-3"/>
          <w:w w:val="105"/>
          <w:sz w:val="21"/>
        </w:rPr>
        <w:t>Administrative</w:t>
      </w:r>
      <w:r>
        <w:rPr>
          <w:spacing w:val="23"/>
          <w:w w:val="105"/>
          <w:sz w:val="21"/>
        </w:rPr>
        <w:t> </w:t>
      </w:r>
      <w:r>
        <w:rPr>
          <w:spacing w:val="-5"/>
          <w:w w:val="105"/>
          <w:sz w:val="21"/>
        </w:rPr>
        <w:t>Tribunal</w:t>
      </w:r>
    </w:p>
    <w:p>
      <w:pPr>
        <w:pStyle w:val="ListParagraph"/>
        <w:numPr>
          <w:ilvl w:val="0"/>
          <w:numId w:val="160"/>
        </w:numPr>
        <w:tabs>
          <w:tab w:pos="2377" w:val="left" w:leader="none"/>
          <w:tab w:pos="2378" w:val="left" w:leader="none"/>
        </w:tabs>
        <w:spacing w:line="240" w:lineRule="auto" w:before="124" w:after="0"/>
        <w:ind w:left="2377" w:right="0" w:hanging="794"/>
        <w:jc w:val="left"/>
        <w:rPr>
          <w:sz w:val="21"/>
        </w:rPr>
      </w:pPr>
      <w:r>
        <w:rPr>
          <w:spacing w:val="-3"/>
          <w:w w:val="105"/>
          <w:sz w:val="21"/>
        </w:rPr>
        <w:t>County Court </w:t>
      </w:r>
      <w:r>
        <w:rPr>
          <w:w w:val="105"/>
          <w:sz w:val="21"/>
        </w:rPr>
        <w:t>of</w:t>
      </w:r>
      <w:r>
        <w:rPr>
          <w:spacing w:val="23"/>
          <w:w w:val="105"/>
          <w:sz w:val="21"/>
        </w:rPr>
        <w:t> </w:t>
      </w:r>
      <w:r>
        <w:rPr>
          <w:w w:val="105"/>
          <w:sz w:val="21"/>
        </w:rPr>
        <w:t>Victoria</w:t>
      </w:r>
    </w:p>
    <w:p>
      <w:pPr>
        <w:pStyle w:val="ListParagraph"/>
        <w:numPr>
          <w:ilvl w:val="0"/>
          <w:numId w:val="160"/>
        </w:numPr>
        <w:tabs>
          <w:tab w:pos="2377" w:val="left" w:leader="none"/>
          <w:tab w:pos="2378" w:val="left" w:leader="none"/>
        </w:tabs>
        <w:spacing w:line="240" w:lineRule="auto" w:before="124" w:after="0"/>
        <w:ind w:left="2377" w:right="0" w:hanging="794"/>
        <w:jc w:val="left"/>
        <w:rPr>
          <w:sz w:val="21"/>
        </w:rPr>
      </w:pPr>
      <w:r>
        <w:rPr>
          <w:spacing w:val="-3"/>
          <w:w w:val="105"/>
          <w:sz w:val="21"/>
        </w:rPr>
        <w:t>Supreme Court </w:t>
      </w:r>
      <w:r>
        <w:rPr>
          <w:w w:val="105"/>
          <w:sz w:val="21"/>
        </w:rPr>
        <w:t>of Victoria—Associate</w:t>
      </w:r>
      <w:r>
        <w:rPr>
          <w:spacing w:val="27"/>
          <w:w w:val="105"/>
          <w:sz w:val="21"/>
        </w:rPr>
        <w:t> </w:t>
      </w:r>
      <w:r>
        <w:rPr>
          <w:w w:val="105"/>
          <w:sz w:val="21"/>
        </w:rPr>
        <w:t>Judges</w:t>
      </w:r>
    </w:p>
    <w:p>
      <w:pPr>
        <w:pStyle w:val="ListParagraph"/>
        <w:numPr>
          <w:ilvl w:val="0"/>
          <w:numId w:val="160"/>
        </w:numPr>
        <w:tabs>
          <w:tab w:pos="2377" w:val="left" w:leader="none"/>
          <w:tab w:pos="2378" w:val="left" w:leader="none"/>
        </w:tabs>
        <w:spacing w:line="240" w:lineRule="auto" w:before="124" w:after="0"/>
        <w:ind w:left="2377" w:right="0" w:hanging="794"/>
        <w:jc w:val="left"/>
        <w:rPr>
          <w:sz w:val="21"/>
        </w:rPr>
      </w:pPr>
      <w:r>
        <w:rPr>
          <w:spacing w:val="-3"/>
          <w:w w:val="105"/>
          <w:sz w:val="21"/>
        </w:rPr>
        <w:t>Supreme Court </w:t>
      </w:r>
      <w:r>
        <w:rPr>
          <w:w w:val="105"/>
          <w:sz w:val="21"/>
        </w:rPr>
        <w:t>of</w:t>
      </w:r>
      <w:r>
        <w:rPr>
          <w:spacing w:val="22"/>
          <w:w w:val="105"/>
          <w:sz w:val="21"/>
        </w:rPr>
        <w:t> </w:t>
      </w:r>
      <w:r>
        <w:rPr>
          <w:w w:val="105"/>
          <w:sz w:val="21"/>
        </w:rPr>
        <w:t>Victoria—Judges</w:t>
      </w:r>
    </w:p>
    <w:p>
      <w:pPr>
        <w:pStyle w:val="ListParagraph"/>
        <w:numPr>
          <w:ilvl w:val="0"/>
          <w:numId w:val="160"/>
        </w:numPr>
        <w:tabs>
          <w:tab w:pos="2377" w:val="left" w:leader="none"/>
          <w:tab w:pos="2378" w:val="left" w:leader="none"/>
        </w:tabs>
        <w:spacing w:line="240" w:lineRule="auto" w:before="123" w:after="0"/>
        <w:ind w:left="2377" w:right="0" w:hanging="794"/>
        <w:jc w:val="left"/>
        <w:rPr>
          <w:sz w:val="21"/>
        </w:rPr>
      </w:pPr>
      <w:r>
        <w:rPr>
          <w:w w:val="105"/>
          <w:sz w:val="21"/>
        </w:rPr>
        <w:t>Legal practitioners in</w:t>
      </w:r>
      <w:r>
        <w:rPr>
          <w:spacing w:val="15"/>
          <w:w w:val="105"/>
          <w:sz w:val="21"/>
        </w:rPr>
        <w:t> </w:t>
      </w:r>
      <w:r>
        <w:rPr>
          <w:spacing w:val="-3"/>
          <w:w w:val="105"/>
          <w:sz w:val="21"/>
        </w:rPr>
        <w:t>Wodonga</w:t>
      </w:r>
    </w:p>
    <w:p>
      <w:pPr>
        <w:pStyle w:val="ListParagraph"/>
        <w:numPr>
          <w:ilvl w:val="0"/>
          <w:numId w:val="160"/>
        </w:numPr>
        <w:tabs>
          <w:tab w:pos="2377" w:val="left" w:leader="none"/>
          <w:tab w:pos="2378" w:val="left" w:leader="none"/>
        </w:tabs>
        <w:spacing w:line="240" w:lineRule="auto" w:before="124" w:after="0"/>
        <w:ind w:left="2377" w:right="0" w:hanging="794"/>
        <w:jc w:val="left"/>
        <w:rPr>
          <w:sz w:val="21"/>
        </w:rPr>
      </w:pPr>
      <w:r>
        <w:rPr>
          <w:spacing w:val="-3"/>
          <w:sz w:val="21"/>
        </w:rPr>
        <w:t>Richard </w:t>
      </w:r>
      <w:r>
        <w:rPr>
          <w:sz w:val="21"/>
        </w:rPr>
        <w:t>Neal, </w:t>
      </w:r>
      <w:r>
        <w:rPr>
          <w:spacing w:val="-4"/>
          <w:sz w:val="21"/>
        </w:rPr>
        <w:t>Partner, Teece </w:t>
      </w:r>
      <w:r>
        <w:rPr>
          <w:sz w:val="21"/>
        </w:rPr>
        <w:t>Hodgson &amp;</w:t>
      </w:r>
      <w:r>
        <w:rPr>
          <w:spacing w:val="-22"/>
          <w:sz w:val="21"/>
        </w:rPr>
        <w:t> </w:t>
      </w:r>
      <w:r>
        <w:rPr>
          <w:spacing w:val="-4"/>
          <w:sz w:val="21"/>
        </w:rPr>
        <w:t>Ward</w:t>
      </w:r>
    </w:p>
    <w:p>
      <w:pPr>
        <w:pStyle w:val="ListParagraph"/>
        <w:numPr>
          <w:ilvl w:val="0"/>
          <w:numId w:val="160"/>
        </w:numPr>
        <w:tabs>
          <w:tab w:pos="2377" w:val="left" w:leader="none"/>
          <w:tab w:pos="2378" w:val="left" w:leader="none"/>
        </w:tabs>
        <w:spacing w:line="240" w:lineRule="auto" w:before="124" w:after="0"/>
        <w:ind w:left="2377" w:right="0" w:hanging="794"/>
        <w:jc w:val="left"/>
        <w:rPr>
          <w:sz w:val="21"/>
        </w:rPr>
      </w:pPr>
      <w:r>
        <w:rPr>
          <w:w w:val="105"/>
          <w:sz w:val="21"/>
        </w:rPr>
        <w:t>Legal practitioners in</w:t>
      </w:r>
      <w:r>
        <w:rPr>
          <w:spacing w:val="15"/>
          <w:w w:val="105"/>
          <w:sz w:val="21"/>
        </w:rPr>
        <w:t> </w:t>
      </w:r>
      <w:r>
        <w:rPr>
          <w:spacing w:val="-4"/>
          <w:w w:val="105"/>
          <w:sz w:val="21"/>
        </w:rPr>
        <w:t>Colac</w:t>
      </w:r>
    </w:p>
    <w:p>
      <w:pPr>
        <w:pStyle w:val="ListParagraph"/>
        <w:numPr>
          <w:ilvl w:val="0"/>
          <w:numId w:val="160"/>
        </w:numPr>
        <w:tabs>
          <w:tab w:pos="2377" w:val="left" w:leader="none"/>
          <w:tab w:pos="2378" w:val="left" w:leader="none"/>
        </w:tabs>
        <w:spacing w:line="240" w:lineRule="auto" w:before="124" w:after="0"/>
        <w:ind w:left="2377" w:right="0" w:hanging="794"/>
        <w:jc w:val="left"/>
        <w:rPr>
          <w:sz w:val="21"/>
        </w:rPr>
      </w:pPr>
      <w:r>
        <w:rPr>
          <w:w w:val="105"/>
          <w:sz w:val="21"/>
        </w:rPr>
        <w:t>Legal Services</w:t>
      </w:r>
      <w:r>
        <w:rPr>
          <w:spacing w:val="10"/>
          <w:w w:val="105"/>
          <w:sz w:val="21"/>
        </w:rPr>
        <w:t> </w:t>
      </w:r>
      <w:r>
        <w:rPr>
          <w:spacing w:val="-3"/>
          <w:w w:val="105"/>
          <w:sz w:val="21"/>
        </w:rPr>
        <w:t>Commissioner</w:t>
      </w:r>
    </w:p>
    <w:p>
      <w:pPr>
        <w:pStyle w:val="ListParagraph"/>
        <w:numPr>
          <w:ilvl w:val="0"/>
          <w:numId w:val="160"/>
        </w:numPr>
        <w:tabs>
          <w:tab w:pos="2376" w:val="left" w:leader="none"/>
          <w:tab w:pos="2377" w:val="left" w:leader="none"/>
        </w:tabs>
        <w:spacing w:line="240" w:lineRule="auto" w:before="123" w:after="0"/>
        <w:ind w:left="2376" w:right="0" w:hanging="793"/>
        <w:jc w:val="left"/>
        <w:rPr>
          <w:sz w:val="21"/>
        </w:rPr>
      </w:pPr>
      <w:r>
        <w:rPr>
          <w:spacing w:val="-3"/>
          <w:sz w:val="21"/>
        </w:rPr>
        <w:t>State </w:t>
      </w:r>
      <w:r>
        <w:rPr>
          <w:spacing w:val="-4"/>
          <w:sz w:val="21"/>
        </w:rPr>
        <w:t>Trustees</w:t>
      </w:r>
      <w:r>
        <w:rPr>
          <w:spacing w:val="19"/>
          <w:sz w:val="21"/>
        </w:rPr>
        <w:t> </w:t>
      </w:r>
      <w:r>
        <w:rPr>
          <w:spacing w:val="-3"/>
          <w:sz w:val="21"/>
        </w:rPr>
        <w:t>Limited</w:t>
      </w:r>
    </w:p>
    <w:p>
      <w:pPr>
        <w:pStyle w:val="ListParagraph"/>
        <w:numPr>
          <w:ilvl w:val="0"/>
          <w:numId w:val="160"/>
        </w:numPr>
        <w:tabs>
          <w:tab w:pos="2376" w:val="left" w:leader="none"/>
          <w:tab w:pos="2377" w:val="left" w:leader="none"/>
        </w:tabs>
        <w:spacing w:line="240" w:lineRule="auto" w:before="124" w:after="0"/>
        <w:ind w:left="2376" w:right="0" w:hanging="793"/>
        <w:jc w:val="left"/>
        <w:rPr>
          <w:sz w:val="21"/>
        </w:rPr>
      </w:pPr>
      <w:r>
        <w:rPr>
          <w:spacing w:val="-3"/>
          <w:w w:val="105"/>
          <w:sz w:val="21"/>
        </w:rPr>
        <w:t>Supreme Court </w:t>
      </w:r>
      <w:r>
        <w:rPr>
          <w:w w:val="105"/>
          <w:sz w:val="21"/>
        </w:rPr>
        <w:t>of Victoria—Registrar of</w:t>
      </w:r>
      <w:r>
        <w:rPr>
          <w:spacing w:val="30"/>
          <w:w w:val="105"/>
          <w:sz w:val="21"/>
        </w:rPr>
        <w:t> </w:t>
      </w:r>
      <w:r>
        <w:rPr>
          <w:w w:val="105"/>
          <w:sz w:val="21"/>
        </w:rPr>
        <w:t>Probates</w:t>
      </w:r>
    </w:p>
    <w:p>
      <w:pPr>
        <w:pStyle w:val="BodyText"/>
        <w:spacing w:before="5"/>
        <w:rPr>
          <w:sz w:val="27"/>
        </w:rPr>
      </w:pPr>
    </w:p>
    <w:p>
      <w:pPr>
        <w:spacing w:before="99"/>
        <w:ind w:left="0" w:right="594" w:firstLine="0"/>
        <w:jc w:val="right"/>
        <w:rPr>
          <w:b/>
          <w:sz w:val="24"/>
        </w:rPr>
      </w:pPr>
      <w:r>
        <w:rPr>
          <w:b/>
          <w:color w:val="EC5A4F"/>
          <w:w w:val="105"/>
          <w:sz w:val="24"/>
        </w:rPr>
        <w:t>231</w:t>
      </w:r>
    </w:p>
    <w:p>
      <w:pPr>
        <w:spacing w:after="0"/>
        <w:jc w:val="right"/>
        <w:rPr>
          <w:sz w:val="24"/>
        </w:rPr>
        <w:sectPr>
          <w:headerReference w:type="default" r:id="rId132"/>
          <w:pgSz w:w="11910" w:h="16840"/>
          <w:pgMar w:header="0" w:footer="0" w:top="700" w:bottom="280" w:left="0" w:right="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18"/>
        </w:rPr>
      </w:pPr>
    </w:p>
    <w:p>
      <w:pPr>
        <w:spacing w:before="99"/>
        <w:ind w:left="720" w:right="0" w:firstLine="0"/>
        <w:jc w:val="left"/>
        <w:rPr>
          <w:b/>
          <w:sz w:val="24"/>
        </w:rPr>
      </w:pPr>
      <w:r>
        <w:rPr>
          <w:b/>
          <w:color w:val="EC5A4F"/>
          <w:w w:val="110"/>
          <w:sz w:val="24"/>
        </w:rPr>
        <w:t>232</w:t>
      </w:r>
    </w:p>
    <w:p>
      <w:pPr>
        <w:spacing w:after="0"/>
        <w:jc w:val="left"/>
        <w:rPr>
          <w:sz w:val="24"/>
        </w:rPr>
        <w:sectPr>
          <w:headerReference w:type="even" r:id="rId133"/>
          <w:pgSz w:w="11910" w:h="16840"/>
          <w:pgMar w:header="550" w:footer="0" w:top="1560" w:bottom="280" w:left="0" w:right="0"/>
        </w:sectPr>
      </w:pPr>
    </w:p>
    <w:p>
      <w:pPr>
        <w:pStyle w:val="BodyText"/>
        <w:rPr>
          <w:b/>
          <w:sz w:val="20"/>
        </w:rPr>
      </w:pPr>
    </w:p>
    <w:p>
      <w:pPr>
        <w:pStyle w:val="BodyText"/>
        <w:rPr>
          <w:b/>
          <w:sz w:val="20"/>
        </w:rPr>
      </w:pPr>
    </w:p>
    <w:p>
      <w:pPr>
        <w:pStyle w:val="BodyText"/>
        <w:spacing w:before="9"/>
        <w:rPr>
          <w:b/>
          <w:sz w:val="18"/>
        </w:rPr>
      </w:pPr>
    </w:p>
    <w:p>
      <w:pPr>
        <w:spacing w:before="1"/>
        <w:ind w:left="421" w:right="0" w:firstLine="0"/>
        <w:jc w:val="left"/>
        <w:rPr>
          <w:rFonts w:ascii="Verdana"/>
          <w:b/>
          <w:sz w:val="18"/>
        </w:rPr>
      </w:pPr>
      <w:r>
        <w:rPr>
          <w:rFonts w:ascii="Verdana"/>
          <w:b/>
          <w:color w:val="FFFFFF"/>
          <w:sz w:val="18"/>
        </w:rPr>
        <w:t>Succession Laws</w:t>
      </w:r>
    </w:p>
    <w:p>
      <w:pPr>
        <w:spacing w:before="65"/>
        <w:ind w:left="421" w:right="0" w:firstLine="0"/>
        <w:jc w:val="left"/>
        <w:rPr>
          <w:rFonts w:ascii="Trebuchet MS"/>
          <w:b/>
          <w:sz w:val="12"/>
        </w:rPr>
      </w:pPr>
      <w:r>
        <w:rPr>
          <w:rFonts w:ascii="Trebuchet MS"/>
          <w:b/>
          <w:color w:val="FFFFFF"/>
          <w:w w:val="140"/>
          <w:sz w:val="12"/>
        </w:rPr>
        <w:t>report</w:t>
      </w:r>
    </w:p>
    <w:p>
      <w:pPr>
        <w:pStyle w:val="BodyText"/>
        <w:rPr>
          <w:rFonts w:ascii="Trebuchet MS"/>
          <w:b/>
          <w:sz w:val="20"/>
        </w:rPr>
      </w:pPr>
    </w:p>
    <w:p>
      <w:pPr>
        <w:spacing w:after="0"/>
        <w:rPr>
          <w:rFonts w:ascii="Trebuchet MS"/>
          <w:sz w:val="20"/>
        </w:rPr>
        <w:sectPr>
          <w:headerReference w:type="default" r:id="rId134"/>
          <w:pgSz w:w="12920" w:h="16830"/>
          <w:pgMar w:header="0" w:footer="0" w:top="1580" w:bottom="280" w:left="360" w:right="140"/>
        </w:sectPr>
      </w:pPr>
    </w:p>
    <w:p>
      <w:pPr>
        <w:pStyle w:val="BodyText"/>
        <w:spacing w:before="5"/>
        <w:rPr>
          <w:rFonts w:ascii="Trebuchet MS"/>
          <w:b/>
          <w:sz w:val="19"/>
        </w:rPr>
      </w:pPr>
      <w:r>
        <w:rPr/>
        <w:pict>
          <v:group style="position:absolute;margin-left:12.657pt;margin-top:14.032015pt;width:633.15pt;height:813.7pt;mso-position-horizontal-relative:page;mso-position-vertical-relative:page;z-index:-293392" coordorigin="253,281" coordsize="12663,16274">
            <v:rect style="position:absolute;left:253;top:280;width:12663;height:16274" filled="true" fillcolor="#005b85" stroked="false">
              <v:fill type="solid"/>
            </v:rect>
            <v:shape style="position:absolute;left:780;top:1474;width:2068;height:647" type="#_x0000_t75" stroked="false">
              <v:imagedata r:id="rId135" o:title=""/>
            </v:shape>
            <v:line style="position:absolute" from="12706,2889" to="12071,2889" stroked="true" strokeweight="1pt" strokecolor="#ffffff">
              <v:stroke dashstyle="solid"/>
            </v:line>
            <v:line style="position:absolute" from="12706,4075" to="12071,4075" stroked="true" strokeweight="1pt" strokecolor="#ffffff">
              <v:stroke dashstyle="solid"/>
            </v:line>
            <w10:wrap type="none"/>
          </v:group>
        </w:pict>
      </w:r>
      <w:r>
        <w:rPr/>
        <w:pict>
          <v:shape style="position:absolute;margin-left:614.745117pt;margin-top:23.661615pt;width:14.95pt;height:112.5pt;mso-position-horizontal-relative:page;mso-position-vertical-relative:page;z-index:15088" type="#_x0000_t202" filled="false" stroked="false">
            <v:textbox inset="0,0,0,0" style="layout-flow:vertical">
              <w:txbxContent>
                <w:p>
                  <w:pPr>
                    <w:spacing w:before="8"/>
                    <w:ind w:left="20" w:right="0" w:firstLine="0"/>
                    <w:jc w:val="left"/>
                    <w:rPr>
                      <w:rFonts w:ascii="Verdana"/>
                      <w:b/>
                      <w:sz w:val="22"/>
                    </w:rPr>
                  </w:pPr>
                  <w:r>
                    <w:rPr>
                      <w:rFonts w:ascii="Verdana"/>
                      <w:b/>
                      <w:color w:val="FFFFFF"/>
                      <w:sz w:val="22"/>
                    </w:rPr>
                    <w:t>SuccESSiOn LawS</w:t>
                  </w:r>
                </w:p>
              </w:txbxContent>
            </v:textbox>
            <w10:wrap type="none"/>
          </v:shape>
        </w:pict>
      </w:r>
    </w:p>
    <w:p>
      <w:pPr>
        <w:spacing w:before="0"/>
        <w:ind w:left="421" w:right="0" w:firstLine="0"/>
        <w:jc w:val="left"/>
        <w:rPr>
          <w:rFonts w:ascii="Lucida Sans"/>
          <w:sz w:val="18"/>
        </w:rPr>
      </w:pPr>
      <w:r>
        <w:rPr>
          <w:rFonts w:ascii="Lucida Sans"/>
          <w:color w:val="FFFFFF"/>
          <w:sz w:val="18"/>
        </w:rPr>
        <w:t>GPO Box 4637</w:t>
      </w:r>
    </w:p>
    <w:p>
      <w:pPr>
        <w:spacing w:line="244" w:lineRule="auto" w:before="4"/>
        <w:ind w:left="421" w:right="1414" w:firstLine="0"/>
        <w:jc w:val="left"/>
        <w:rPr>
          <w:rFonts w:ascii="Lucida Sans"/>
          <w:sz w:val="18"/>
        </w:rPr>
      </w:pPr>
      <w:r>
        <w:rPr>
          <w:rFonts w:ascii="Lucida Sans"/>
          <w:color w:val="FFFFFF"/>
          <w:sz w:val="18"/>
        </w:rPr>
        <w:t>Melbourne </w:t>
      </w:r>
      <w:r>
        <w:rPr>
          <w:rFonts w:ascii="Lucida Sans"/>
          <w:color w:val="FFFFFF"/>
          <w:w w:val="90"/>
          <w:sz w:val="18"/>
        </w:rPr>
        <w:t>Victoria 3001 </w:t>
      </w:r>
      <w:r>
        <w:rPr>
          <w:rFonts w:ascii="Lucida Sans"/>
          <w:color w:val="FFFFFF"/>
          <w:sz w:val="18"/>
        </w:rPr>
        <w:t>Australia</w:t>
      </w:r>
    </w:p>
    <w:p>
      <w:pPr>
        <w:spacing w:before="113"/>
        <w:ind w:left="421" w:right="0" w:firstLine="0"/>
        <w:jc w:val="left"/>
        <w:rPr>
          <w:rFonts w:ascii="Lucida Sans"/>
          <w:sz w:val="18"/>
        </w:rPr>
      </w:pPr>
      <w:r>
        <w:rPr>
          <w:rFonts w:ascii="Lucida Sans"/>
          <w:color w:val="FFFFFF"/>
          <w:w w:val="95"/>
          <w:sz w:val="18"/>
        </w:rPr>
        <w:t>Level 3</w:t>
      </w:r>
    </w:p>
    <w:p>
      <w:pPr>
        <w:spacing w:line="244" w:lineRule="auto" w:before="4"/>
        <w:ind w:left="421" w:right="1101" w:firstLine="0"/>
        <w:jc w:val="left"/>
        <w:rPr>
          <w:rFonts w:ascii="Lucida Sans"/>
          <w:sz w:val="18"/>
        </w:rPr>
      </w:pPr>
      <w:r>
        <w:rPr>
          <w:rFonts w:ascii="Lucida Sans"/>
          <w:color w:val="FFFFFF"/>
          <w:w w:val="90"/>
          <w:sz w:val="18"/>
        </w:rPr>
        <w:t>333 Queen Street </w:t>
      </w:r>
      <w:r>
        <w:rPr>
          <w:rFonts w:ascii="Lucida Sans"/>
          <w:color w:val="FFFFFF"/>
          <w:sz w:val="18"/>
        </w:rPr>
        <w:t>Melbourne Victoria 3000 Australia</w:t>
      </w:r>
    </w:p>
    <w:p>
      <w:pPr>
        <w:spacing w:before="118"/>
        <w:ind w:left="421" w:right="0" w:firstLine="0"/>
        <w:jc w:val="left"/>
        <w:rPr>
          <w:rFonts w:ascii="Trebuchet MS"/>
          <w:b/>
          <w:sz w:val="18"/>
        </w:rPr>
      </w:pPr>
      <w:r>
        <w:rPr>
          <w:rFonts w:ascii="Trebuchet MS"/>
          <w:b/>
          <w:color w:val="FFFFFF"/>
          <w:sz w:val="18"/>
        </w:rPr>
        <w:t>Telephone</w:t>
      </w:r>
    </w:p>
    <w:p>
      <w:pPr>
        <w:spacing w:before="2"/>
        <w:ind w:left="421" w:right="0" w:firstLine="0"/>
        <w:jc w:val="left"/>
        <w:rPr>
          <w:rFonts w:ascii="Lucida Sans"/>
          <w:sz w:val="18"/>
        </w:rPr>
      </w:pPr>
      <w:r>
        <w:rPr>
          <w:rFonts w:ascii="Lucida Sans"/>
          <w:color w:val="FFFFFF"/>
          <w:sz w:val="18"/>
        </w:rPr>
        <w:t>+61 3 8608 7800</w:t>
      </w:r>
    </w:p>
    <w:p>
      <w:pPr>
        <w:spacing w:before="122"/>
        <w:ind w:left="421" w:right="0" w:firstLine="0"/>
        <w:jc w:val="left"/>
        <w:rPr>
          <w:rFonts w:ascii="Trebuchet MS"/>
          <w:b/>
          <w:sz w:val="18"/>
        </w:rPr>
      </w:pPr>
      <w:r>
        <w:rPr>
          <w:rFonts w:ascii="Trebuchet MS"/>
          <w:b/>
          <w:color w:val="FFFFFF"/>
          <w:sz w:val="18"/>
        </w:rPr>
        <w:t>Freecall</w:t>
      </w:r>
    </w:p>
    <w:p>
      <w:pPr>
        <w:spacing w:before="2"/>
        <w:ind w:left="421" w:right="0" w:firstLine="0"/>
        <w:jc w:val="left"/>
        <w:rPr>
          <w:rFonts w:ascii="Arial"/>
          <w:i/>
          <w:sz w:val="14"/>
        </w:rPr>
      </w:pPr>
      <w:r>
        <w:rPr>
          <w:rFonts w:ascii="Lucida Sans"/>
          <w:color w:val="FFFFFF"/>
          <w:sz w:val="18"/>
        </w:rPr>
        <w:t>1300 666 555 </w:t>
      </w:r>
      <w:r>
        <w:rPr>
          <w:rFonts w:ascii="Arial"/>
          <w:i/>
          <w:color w:val="FFFFFF"/>
          <w:sz w:val="14"/>
        </w:rPr>
        <w:t>(within Victoria)</w:t>
      </w:r>
    </w:p>
    <w:p>
      <w:pPr>
        <w:spacing w:before="122"/>
        <w:ind w:left="421" w:right="0" w:firstLine="0"/>
        <w:jc w:val="left"/>
        <w:rPr>
          <w:rFonts w:ascii="Trebuchet MS"/>
          <w:b/>
          <w:sz w:val="18"/>
        </w:rPr>
      </w:pPr>
      <w:r>
        <w:rPr>
          <w:rFonts w:ascii="Trebuchet MS"/>
          <w:b/>
          <w:color w:val="FFFFFF"/>
          <w:sz w:val="18"/>
        </w:rPr>
        <w:t>Fax</w:t>
      </w:r>
    </w:p>
    <w:p>
      <w:pPr>
        <w:spacing w:before="2"/>
        <w:ind w:left="421" w:right="0" w:firstLine="0"/>
        <w:jc w:val="left"/>
        <w:rPr>
          <w:rFonts w:ascii="Lucida Sans"/>
          <w:sz w:val="18"/>
        </w:rPr>
      </w:pPr>
      <w:r>
        <w:rPr>
          <w:rFonts w:ascii="Lucida Sans"/>
          <w:color w:val="FFFFFF"/>
          <w:sz w:val="18"/>
        </w:rPr>
        <w:t>+61 3 8608 7888</w:t>
      </w:r>
    </w:p>
    <w:p>
      <w:pPr>
        <w:spacing w:before="123"/>
        <w:ind w:left="421" w:right="0" w:firstLine="0"/>
        <w:jc w:val="left"/>
        <w:rPr>
          <w:rFonts w:ascii="Trebuchet MS"/>
          <w:b/>
          <w:sz w:val="18"/>
        </w:rPr>
      </w:pPr>
      <w:r>
        <w:rPr>
          <w:rFonts w:ascii="Trebuchet MS"/>
          <w:b/>
          <w:color w:val="FFFFFF"/>
          <w:sz w:val="18"/>
        </w:rPr>
        <w:t>Email</w:t>
      </w:r>
    </w:p>
    <w:p>
      <w:pPr>
        <w:spacing w:line="372" w:lineRule="auto" w:before="2"/>
        <w:ind w:left="421" w:right="-2" w:firstLine="0"/>
        <w:jc w:val="left"/>
        <w:rPr>
          <w:rFonts w:ascii="Lucida Sans"/>
          <w:sz w:val="18"/>
        </w:rPr>
      </w:pPr>
      <w:hyperlink r:id="rId11">
        <w:r>
          <w:rPr>
            <w:rFonts w:ascii="Lucida Sans"/>
            <w:color w:val="FFFFFF"/>
            <w:w w:val="85"/>
            <w:sz w:val="18"/>
          </w:rPr>
          <w:t>law.reform@lawreform.vic.gov.au</w:t>
        </w:r>
      </w:hyperlink>
      <w:r>
        <w:rPr>
          <w:rFonts w:ascii="Lucida Sans"/>
          <w:color w:val="FFFFFF"/>
          <w:w w:val="85"/>
          <w:sz w:val="18"/>
        </w:rPr>
        <w:t> </w:t>
      </w:r>
      <w:hyperlink r:id="rId12">
        <w:r>
          <w:rPr>
            <w:rFonts w:ascii="Lucida Sans"/>
            <w:color w:val="FFFFFF"/>
            <w:sz w:val="18"/>
          </w:rPr>
          <w:t>www.lawreform.vic.gov.au</w:t>
        </w:r>
      </w:hyperlink>
    </w:p>
    <w:p>
      <w:pPr>
        <w:pStyle w:val="BodyText"/>
        <w:spacing w:before="3"/>
        <w:rPr>
          <w:rFonts w:ascii="Lucida Sans"/>
          <w:sz w:val="27"/>
        </w:rPr>
      </w:pPr>
    </w:p>
    <w:p>
      <w:pPr>
        <w:spacing w:before="0"/>
        <w:ind w:left="421" w:right="0" w:firstLine="0"/>
        <w:jc w:val="left"/>
        <w:rPr>
          <w:rFonts w:ascii="Lucida Sans"/>
          <w:sz w:val="14"/>
        </w:rPr>
      </w:pPr>
      <w:r>
        <w:rPr>
          <w:rFonts w:ascii="Lucida Sans"/>
          <w:color w:val="FFFFFF"/>
          <w:sz w:val="14"/>
        </w:rPr>
        <w:t>Printed on 100% recycled paper</w:t>
      </w:r>
    </w:p>
    <w:p>
      <w:pPr>
        <w:pStyle w:val="BodyText"/>
        <w:spacing w:before="2"/>
        <w:rPr>
          <w:rFonts w:ascii="Lucida Sans"/>
          <w:sz w:val="94"/>
        </w:rPr>
      </w:pPr>
      <w:r>
        <w:rPr/>
        <w:br w:type="column"/>
      </w:r>
      <w:r>
        <w:rPr>
          <w:rFonts w:ascii="Lucida Sans"/>
          <w:sz w:val="94"/>
        </w:rPr>
      </w:r>
    </w:p>
    <w:p>
      <w:pPr>
        <w:spacing w:before="0"/>
        <w:ind w:left="421" w:right="0" w:firstLine="0"/>
        <w:jc w:val="left"/>
        <w:rPr>
          <w:rFonts w:ascii="Tahoma"/>
          <w:sz w:val="72"/>
        </w:rPr>
      </w:pPr>
      <w:r>
        <w:rPr/>
        <w:pict>
          <v:shape style="position:absolute;margin-left:614.745117pt;margin-top:-54.762489pt;width:14.95pt;height:46.25pt;mso-position-horizontal-relative:page;mso-position-vertical-relative:paragraph;z-index:15112" type="#_x0000_t202" filled="false" stroked="false">
            <v:textbox inset="0,0,0,0" style="layout-flow:vertical">
              <w:txbxContent>
                <w:p>
                  <w:pPr>
                    <w:spacing w:before="8"/>
                    <w:ind w:left="20" w:right="0" w:firstLine="0"/>
                    <w:jc w:val="left"/>
                    <w:rPr>
                      <w:rFonts w:ascii="Verdana"/>
                      <w:b/>
                      <w:sz w:val="22"/>
                    </w:rPr>
                  </w:pPr>
                  <w:r>
                    <w:rPr>
                      <w:rFonts w:ascii="Verdana"/>
                      <w:b/>
                      <w:color w:val="FFFFFF"/>
                      <w:w w:val="85"/>
                      <w:sz w:val="22"/>
                    </w:rPr>
                    <w:t>REPORT</w:t>
                  </w:r>
                </w:p>
              </w:txbxContent>
            </v:textbox>
            <w10:wrap type="none"/>
          </v:shape>
        </w:pict>
      </w:r>
      <w:r>
        <w:rPr/>
        <w:pict>
          <v:shape style="position:absolute;margin-left:614.811096pt;margin-top:50.485508pt;width:14.4pt;height:203.2pt;mso-position-horizontal-relative:page;mso-position-vertical-relative:paragraph;z-index:15136" type="#_x0000_t202" filled="false" stroked="false">
            <v:textbox inset="0,0,0,0" style="layout-flow:vertical">
              <w:txbxContent>
                <w:p>
                  <w:pPr>
                    <w:spacing w:before="7"/>
                    <w:ind w:left="20" w:right="0" w:firstLine="0"/>
                    <w:jc w:val="left"/>
                    <w:rPr>
                      <w:rFonts w:ascii="Lucida Sans"/>
                      <w:sz w:val="22"/>
                    </w:rPr>
                  </w:pPr>
                  <w:r>
                    <w:rPr>
                      <w:rFonts w:ascii="Lucida Sans"/>
                      <w:color w:val="FFFFFF"/>
                      <w:w w:val="95"/>
                      <w:sz w:val="22"/>
                    </w:rPr>
                    <w:t>VICTORIAN LAW REFORM COMMISSION</w:t>
                  </w:r>
                </w:p>
              </w:txbxContent>
            </v:textbox>
            <w10:wrap type="none"/>
          </v:shape>
        </w:pict>
      </w:r>
      <w:r>
        <w:rPr>
          <w:rFonts w:ascii="Times New Roman"/>
          <w:color w:val="FFFFFF"/>
          <w:sz w:val="72"/>
          <w:u w:val="single" w:color="FFFFFF"/>
        </w:rPr>
        <w:t> </w:t>
      </w:r>
      <w:r>
        <w:rPr>
          <w:rFonts w:ascii="Tahoma"/>
          <w:color w:val="FFFFFF"/>
          <w:w w:val="65"/>
          <w:sz w:val="72"/>
          <w:u w:val="single" w:color="FFFFFF"/>
        </w:rPr>
        <w:t>26</w:t>
      </w:r>
    </w:p>
    <w:sectPr>
      <w:type w:val="continuous"/>
      <w:pgSz w:w="12920" w:h="16830"/>
      <w:pgMar w:top="920" w:bottom="280" w:left="360" w:right="140"/>
      <w:cols w:num="2" w:equalWidth="0">
        <w:col w:w="2915" w:space="8375"/>
        <w:col w:w="1130"/>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Trebuchet MS">
    <w:altName w:val="Trebuchet MS"/>
    <w:charset w:val="0"/>
    <w:family w:val="swiss"/>
    <w:pitch w:val="variable"/>
  </w:font>
  <w:font w:name="Lucida Sans">
    <w:altName w:val="Lucida Sans"/>
    <w:charset w:val="0"/>
    <w:family w:val="swiss"/>
    <w:pitch w:val="variable"/>
  </w:font>
  <w:font w:name="Gill Sans MT">
    <w:altName w:val="Gill Sans MT"/>
    <w:charset w:val="0"/>
    <w:family w:val="swiss"/>
    <w:pitch w:val="variable"/>
  </w:font>
  <w:font w:name="Tahoma">
    <w:altName w:val="Tahoma"/>
    <w:charset w:val="0"/>
    <w:family w:val="swiss"/>
    <w:pitch w:val="variable"/>
  </w:font>
  <w:font w:name="Calibri">
    <w:altName w:val="Calibri"/>
    <w:charset w:val="0"/>
    <w:family w:val="swiss"/>
    <w:pitch w:val="variable"/>
  </w:font>
  <w:font w:name="Verdana">
    <w:altName w:val="Verdana"/>
    <w:charset w:val="0"/>
    <w:family w:val="swiss"/>
    <w:pitch w:val="variable"/>
  </w:font>
  <w:font w:name="SimSun">
    <w:altName w:val="SimSun"/>
    <w:charset w:val="0"/>
    <w:family w:val="auto"/>
    <w:pitch w:val="variable"/>
  </w:font>
  <w:font w:name="Arial">
    <w:altName w:val="Arial"/>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07432" from="28.347pt,77.952515pt" to="54.128pt,77.952515pt" stroked="true" strokeweight="1.323pt" strokecolor="#ec5a4f">
          <v:stroke dashstyle="solid"/>
          <w10:wrap type="none"/>
        </v:line>
      </w:pict>
    </w:r>
    <w:r>
      <w:rPr/>
      <w:pict>
        <v:shapetype id="_x0000_t202" o:spt="202" coordsize="21600,21600" path="m,l,21600r21600,l21600,xe">
          <v:stroke joinstyle="miter"/>
          <v:path gradientshapeok="t" o:connecttype="rect"/>
        </v:shapetype>
        <v:shape style="position:absolute;margin-left:27.3465pt;margin-top:26.521215pt;width:99.8pt;height:17.55pt;mso-position-horizontal-relative:page;mso-position-vertical-relative:page;z-index:-307408" type="#_x0000_t202" filled="false" stroked="false">
          <v:textbox inset="0,0,0,0">
            <w:txbxContent>
              <w:p>
                <w:pPr>
                  <w:spacing w:before="14"/>
                  <w:ind w:left="20" w:right="0" w:firstLine="0"/>
                  <w:jc w:val="left"/>
                  <w:rPr>
                    <w:sz w:val="13"/>
                  </w:rPr>
                </w:pPr>
                <w:r>
                  <w:rPr>
                    <w:w w:val="105"/>
                    <w:sz w:val="13"/>
                  </w:rPr>
                  <w:t>Victorian Law Reform Commission Succession Laws: Report</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07144" from="28.347pt,77.952515pt" to="54.128pt,77.952515pt" stroked="true" strokeweight="1.323pt" strokecolor="#ec5a4f">
          <v:stroke dashstyle="solid"/>
          <w10:wrap type="none"/>
        </v:line>
      </w:pict>
    </w:r>
    <w:r>
      <w:rPr/>
      <w:pict>
        <v:shape style="position:absolute;margin-left:27.3465pt;margin-top:26.521215pt;width:99.8pt;height:17.55pt;mso-position-horizontal-relative:page;mso-position-vertical-relative:page;z-index:-307120" type="#_x0000_t202" filled="false" stroked="false">
          <v:textbox inset="0,0,0,0">
            <w:txbxContent>
              <w:p>
                <w:pPr>
                  <w:spacing w:before="14"/>
                  <w:ind w:left="20" w:right="0" w:firstLine="0"/>
                  <w:jc w:val="left"/>
                  <w:rPr>
                    <w:sz w:val="13"/>
                  </w:rPr>
                </w:pPr>
                <w:r>
                  <w:rPr>
                    <w:w w:val="105"/>
                    <w:sz w:val="13"/>
                  </w:rPr>
                  <w:t>Victorian Law Reform Commission Succession Laws: Report</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595.276001pt;height:841.890015pt;mso-position-horizontal-relative:page;mso-position-vertical-relative:page;z-index:-307096" filled="true" fillcolor="#fdefed" stroked="false">
          <v:fill type="solid"/>
          <w10:wrap type="none"/>
        </v:rect>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07072" from="28.347pt,77.952515pt" to="54.128pt,77.952515pt" stroked="true" strokeweight="1.323pt" strokecolor="#ec5a4f">
          <v:stroke dashstyle="solid"/>
          <w10:wrap type="none"/>
        </v:line>
      </w:pict>
    </w:r>
    <w:r>
      <w:rPr/>
      <w:pict>
        <v:shape style="position:absolute;margin-left:27.3465pt;margin-top:26.521215pt;width:99.8pt;height:17.55pt;mso-position-horizontal-relative:page;mso-position-vertical-relative:page;z-index:-307048" type="#_x0000_t202" filled="false" stroked="false">
          <v:textbox inset="0,0,0,0">
            <w:txbxContent>
              <w:p>
                <w:pPr>
                  <w:spacing w:before="14"/>
                  <w:ind w:left="20" w:right="0" w:firstLine="0"/>
                  <w:jc w:val="left"/>
                  <w:rPr>
                    <w:sz w:val="13"/>
                  </w:rPr>
                </w:pPr>
                <w:r>
                  <w:rPr>
                    <w:w w:val="105"/>
                    <w:sz w:val="13"/>
                  </w:rPr>
                  <w:t>Victorian Law Reform Commission Succession Laws: Report</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408997pt;margin-top:39.274414pt;width:72.9pt;height:30.45pt;mso-position-horizontal-relative:page;mso-position-vertical-relative:page;z-index:-307024" type="#_x0000_t202" filled="false" stroked="false">
          <v:textbox inset="0,0,0,0">
            <w:txbxContent>
              <w:p>
                <w:pPr>
                  <w:tabs>
                    <w:tab w:pos="1437" w:val="left" w:leader="none"/>
                  </w:tabs>
                  <w:spacing w:before="17"/>
                  <w:ind w:left="20" w:right="0" w:firstLine="0"/>
                  <w:jc w:val="left"/>
                  <w:rPr>
                    <w:b/>
                    <w:sz w:val="48"/>
                  </w:rPr>
                </w:pPr>
                <w:r>
                  <w:rPr>
                    <w:b/>
                    <w:color w:val="FFFFFF"/>
                    <w:w w:val="122"/>
                    <w:sz w:val="48"/>
                    <w:shd w:fill="EC5A4F" w:color="auto" w:val="clear"/>
                  </w:rPr>
                  <w:t> </w:t>
                </w:r>
                <w:r>
                  <w:rPr>
                    <w:b/>
                    <w:color w:val="FFFFFF"/>
                    <w:spacing w:val="41"/>
                    <w:sz w:val="48"/>
                    <w:shd w:fill="EC5A4F" w:color="auto" w:val="clear"/>
                  </w:rPr>
                  <w:t> </w:t>
                </w:r>
                <w:r>
                  <w:rPr>
                    <w:b/>
                    <w:color w:val="FFFFFF"/>
                    <w:w w:val="110"/>
                    <w:sz w:val="48"/>
                    <w:shd w:fill="EC5A4F" w:color="auto" w:val="clear"/>
                  </w:rPr>
                  <w:t>3</w:t>
                </w:r>
                <w:r>
                  <w:rPr>
                    <w:b/>
                    <w:color w:val="FFFFFF"/>
                    <w:sz w:val="48"/>
                    <w:shd w:fill="EC5A4F" w:color="auto" w:val="clear"/>
                  </w:rPr>
                  <w:tab/>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07000" from="28.347pt,77.952515pt" to="54.128pt,77.952515pt" stroked="true" strokeweight="1.323pt" strokecolor="#ec5a4f">
          <v:stroke dashstyle="solid"/>
          <w10:wrap type="none"/>
        </v:line>
      </w:pict>
    </w:r>
    <w:r>
      <w:rPr/>
      <w:pict>
        <v:shape style="position:absolute;margin-left:27.3465pt;margin-top:26.521215pt;width:99.8pt;height:17.55pt;mso-position-horizontal-relative:page;mso-position-vertical-relative:page;z-index:-306976" type="#_x0000_t202" filled="false" stroked="false">
          <v:textbox inset="0,0,0,0">
            <w:txbxContent>
              <w:p>
                <w:pPr>
                  <w:spacing w:before="14"/>
                  <w:ind w:left="20" w:right="0" w:firstLine="0"/>
                  <w:jc w:val="left"/>
                  <w:rPr>
                    <w:sz w:val="13"/>
                  </w:rPr>
                </w:pPr>
                <w:r>
                  <w:rPr>
                    <w:w w:val="105"/>
                    <w:sz w:val="13"/>
                  </w:rPr>
                  <w:t>Victorian Law Reform Commission Succession Laws: Report</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595.276001pt;height:841.890015pt;mso-position-horizontal-relative:page;mso-position-vertical-relative:page;z-index:-306952" filled="true" fillcolor="#fdefed" stroked="false">
          <v:fill type="solid"/>
          <w10:wrap type="none"/>
        </v:rect>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06928" from="28.347pt,77.952515pt" to="54.128pt,77.952515pt" stroked="true" strokeweight="1.323pt" strokecolor="#ec5a4f">
          <v:stroke dashstyle="solid"/>
          <w10:wrap type="none"/>
        </v:line>
      </w:pict>
    </w:r>
    <w:r>
      <w:rPr/>
      <w:pict>
        <v:shape style="position:absolute;margin-left:27.3465pt;margin-top:26.521215pt;width:99.8pt;height:17.55pt;mso-position-horizontal-relative:page;mso-position-vertical-relative:page;z-index:-306904" type="#_x0000_t202" filled="false" stroked="false">
          <v:textbox inset="0,0,0,0">
            <w:txbxContent>
              <w:p>
                <w:pPr>
                  <w:spacing w:before="14"/>
                  <w:ind w:left="20" w:right="0" w:firstLine="0"/>
                  <w:jc w:val="left"/>
                  <w:rPr>
                    <w:sz w:val="13"/>
                  </w:rPr>
                </w:pPr>
                <w:r>
                  <w:rPr>
                    <w:w w:val="105"/>
                    <w:sz w:val="13"/>
                  </w:rPr>
                  <w:t>Victorian Law Reform Commission Succession Laws: Report</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408997pt;margin-top:39.274414pt;width:72.9pt;height:30.45pt;mso-position-horizontal-relative:page;mso-position-vertical-relative:page;z-index:-306880" type="#_x0000_t202" filled="false" stroked="false">
          <v:textbox inset="0,0,0,0">
            <w:txbxContent>
              <w:p>
                <w:pPr>
                  <w:tabs>
                    <w:tab w:pos="1437" w:val="left" w:leader="none"/>
                  </w:tabs>
                  <w:spacing w:before="17"/>
                  <w:ind w:left="20" w:right="0" w:firstLine="0"/>
                  <w:jc w:val="left"/>
                  <w:rPr>
                    <w:b/>
                    <w:sz w:val="48"/>
                  </w:rPr>
                </w:pPr>
                <w:r>
                  <w:rPr>
                    <w:b/>
                    <w:color w:val="FFFFFF"/>
                    <w:w w:val="122"/>
                    <w:sz w:val="48"/>
                    <w:shd w:fill="EC5A4F" w:color="auto" w:val="clear"/>
                  </w:rPr>
                  <w:t> </w:t>
                </w:r>
                <w:r>
                  <w:rPr>
                    <w:b/>
                    <w:color w:val="FFFFFF"/>
                    <w:spacing w:val="41"/>
                    <w:sz w:val="48"/>
                    <w:shd w:fill="EC5A4F" w:color="auto" w:val="clear"/>
                  </w:rPr>
                  <w:t> </w:t>
                </w:r>
                <w:r>
                  <w:rPr>
                    <w:b/>
                    <w:color w:val="FFFFFF"/>
                    <w:w w:val="110"/>
                    <w:sz w:val="48"/>
                    <w:shd w:fill="EC5A4F" w:color="auto" w:val="clear"/>
                  </w:rPr>
                  <w:t>4</w:t>
                </w:r>
                <w:r>
                  <w:rPr>
                    <w:b/>
                    <w:color w:val="FFFFFF"/>
                    <w:sz w:val="48"/>
                    <w:shd w:fill="EC5A4F" w:color="auto" w:val="clear"/>
                  </w:rPr>
                  <w:tab/>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06856" from="28.347pt,77.952515pt" to="54.128pt,77.952515pt" stroked="true" strokeweight="1.323pt" strokecolor="#ec5a4f">
          <v:stroke dashstyle="solid"/>
          <w10:wrap type="none"/>
        </v:line>
      </w:pict>
    </w:r>
    <w:r>
      <w:rPr/>
      <w:pict>
        <v:shape style="position:absolute;margin-left:27.3465pt;margin-top:26.521215pt;width:99.8pt;height:17.55pt;mso-position-horizontal-relative:page;mso-position-vertical-relative:page;z-index:-306832" type="#_x0000_t202" filled="false" stroked="false">
          <v:textbox inset="0,0,0,0">
            <w:txbxContent>
              <w:p>
                <w:pPr>
                  <w:spacing w:before="14"/>
                  <w:ind w:left="20" w:right="0" w:firstLine="0"/>
                  <w:jc w:val="left"/>
                  <w:rPr>
                    <w:sz w:val="13"/>
                  </w:rPr>
                </w:pPr>
                <w:r>
                  <w:rPr>
                    <w:w w:val="105"/>
                    <w:sz w:val="13"/>
                  </w:rPr>
                  <w:t>Victorian Law Reform Commission Succession Laws: Report</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07384" from="541.14801pt,77.952515pt" to="566.929010pt,77.952515pt" stroked="true" strokeweight="1.323pt" strokecolor="#ec5a4f">
          <v:stroke dashstyle="solid"/>
          <w10:wrap type="none"/>
        </v:lin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595.276001pt;height:841.890015pt;mso-position-horizontal-relative:page;mso-position-vertical-relative:page;z-index:-306808" filled="true" fillcolor="#fdefed" stroked="false">
          <v:fill type="solid"/>
          <w10:wrap type="none"/>
        </v:rect>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06784" from="28.347pt,77.952515pt" to="54.128pt,77.952515pt" stroked="true" strokeweight="1.323pt" strokecolor="#ec5a4f">
          <v:stroke dashstyle="solid"/>
          <w10:wrap type="none"/>
        </v:line>
      </w:pict>
    </w:r>
    <w:r>
      <w:rPr/>
      <w:pict>
        <v:shape style="position:absolute;margin-left:27.3465pt;margin-top:26.521215pt;width:99.8pt;height:17.55pt;mso-position-horizontal-relative:page;mso-position-vertical-relative:page;z-index:-306760" type="#_x0000_t202" filled="false" stroked="false">
          <v:textbox inset="0,0,0,0">
            <w:txbxContent>
              <w:p>
                <w:pPr>
                  <w:spacing w:before="14"/>
                  <w:ind w:left="20" w:right="0" w:firstLine="0"/>
                  <w:jc w:val="left"/>
                  <w:rPr>
                    <w:sz w:val="13"/>
                  </w:rPr>
                </w:pPr>
                <w:r>
                  <w:rPr>
                    <w:w w:val="105"/>
                    <w:sz w:val="13"/>
                  </w:rPr>
                  <w:t>Victorian Law Reform Commission Succession Laws: Report</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408997pt;margin-top:39.274414pt;width:72.9pt;height:30.45pt;mso-position-horizontal-relative:page;mso-position-vertical-relative:page;z-index:-306736" type="#_x0000_t202" filled="false" stroked="false">
          <v:textbox inset="0,0,0,0">
            <w:txbxContent>
              <w:p>
                <w:pPr>
                  <w:tabs>
                    <w:tab w:pos="1437" w:val="left" w:leader="none"/>
                  </w:tabs>
                  <w:spacing w:before="17"/>
                  <w:ind w:left="20" w:right="0" w:firstLine="0"/>
                  <w:jc w:val="left"/>
                  <w:rPr>
                    <w:b/>
                    <w:sz w:val="48"/>
                  </w:rPr>
                </w:pPr>
                <w:r>
                  <w:rPr>
                    <w:b/>
                    <w:color w:val="FFFFFF"/>
                    <w:w w:val="122"/>
                    <w:sz w:val="48"/>
                    <w:shd w:fill="EC5A4F" w:color="auto" w:val="clear"/>
                  </w:rPr>
                  <w:t> </w:t>
                </w:r>
                <w:r>
                  <w:rPr>
                    <w:b/>
                    <w:color w:val="FFFFFF"/>
                    <w:spacing w:val="41"/>
                    <w:sz w:val="48"/>
                    <w:shd w:fill="EC5A4F" w:color="auto" w:val="clear"/>
                  </w:rPr>
                  <w:t> </w:t>
                </w:r>
                <w:r>
                  <w:rPr>
                    <w:b/>
                    <w:color w:val="FFFFFF"/>
                    <w:w w:val="110"/>
                    <w:sz w:val="48"/>
                    <w:shd w:fill="EC5A4F" w:color="auto" w:val="clear"/>
                  </w:rPr>
                  <w:t>5</w:t>
                </w:r>
                <w:r>
                  <w:rPr>
                    <w:b/>
                    <w:color w:val="FFFFFF"/>
                    <w:sz w:val="48"/>
                    <w:shd w:fill="EC5A4F" w:color="auto" w:val="clear"/>
                  </w:rPr>
                  <w:tab/>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06712" from="28.347pt,77.952515pt" to="54.128pt,77.952515pt" stroked="true" strokeweight="1.323pt" strokecolor="#ec5a4f">
          <v:stroke dashstyle="solid"/>
          <w10:wrap type="none"/>
        </v:line>
      </w:pict>
    </w:r>
    <w:r>
      <w:rPr/>
      <w:pict>
        <v:shape style="position:absolute;margin-left:27.3465pt;margin-top:26.521215pt;width:99.8pt;height:17.55pt;mso-position-horizontal-relative:page;mso-position-vertical-relative:page;z-index:-306688" type="#_x0000_t202" filled="false" stroked="false">
          <v:textbox inset="0,0,0,0">
            <w:txbxContent>
              <w:p>
                <w:pPr>
                  <w:spacing w:before="14"/>
                  <w:ind w:left="20" w:right="0" w:firstLine="0"/>
                  <w:jc w:val="left"/>
                  <w:rPr>
                    <w:sz w:val="13"/>
                  </w:rPr>
                </w:pPr>
                <w:r>
                  <w:rPr>
                    <w:w w:val="105"/>
                    <w:sz w:val="13"/>
                  </w:rPr>
                  <w:t>Victorian Law Reform Commission Succession Laws: Report</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595.276001pt;height:841.890015pt;mso-position-horizontal-relative:page;mso-position-vertical-relative:page;z-index:-306664" filled="true" fillcolor="#fdefed" stroked="false">
          <v:fill type="solid"/>
          <w10:wrap type="none"/>
        </v:rect>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06640" from="28.347pt,77.952515pt" to="54.128pt,77.952515pt" stroked="true" strokeweight="1.323pt" strokecolor="#ec5a4f">
          <v:stroke dashstyle="solid"/>
          <w10:wrap type="none"/>
        </v:line>
      </w:pict>
    </w:r>
    <w:r>
      <w:rPr/>
      <w:pict>
        <v:shape style="position:absolute;margin-left:27.3465pt;margin-top:26.521215pt;width:99.8pt;height:17.55pt;mso-position-horizontal-relative:page;mso-position-vertical-relative:page;z-index:-306616" type="#_x0000_t202" filled="false" stroked="false">
          <v:textbox inset="0,0,0,0">
            <w:txbxContent>
              <w:p>
                <w:pPr>
                  <w:spacing w:before="14"/>
                  <w:ind w:left="20" w:right="0" w:firstLine="0"/>
                  <w:jc w:val="left"/>
                  <w:rPr>
                    <w:sz w:val="13"/>
                  </w:rPr>
                </w:pPr>
                <w:r>
                  <w:rPr>
                    <w:w w:val="105"/>
                    <w:sz w:val="13"/>
                  </w:rPr>
                  <w:t>Victorian Law Reform Commission Succession Laws: Report</w:t>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408997pt;margin-top:39.274414pt;width:72.9pt;height:30.45pt;mso-position-horizontal-relative:page;mso-position-vertical-relative:page;z-index:-306592" type="#_x0000_t202" filled="false" stroked="false">
          <v:textbox inset="0,0,0,0">
            <w:txbxContent>
              <w:p>
                <w:pPr>
                  <w:tabs>
                    <w:tab w:pos="1437" w:val="left" w:leader="none"/>
                  </w:tabs>
                  <w:spacing w:before="17"/>
                  <w:ind w:left="20" w:right="0" w:firstLine="0"/>
                  <w:jc w:val="left"/>
                  <w:rPr>
                    <w:b/>
                    <w:sz w:val="48"/>
                  </w:rPr>
                </w:pPr>
                <w:r>
                  <w:rPr>
                    <w:b/>
                    <w:color w:val="FFFFFF"/>
                    <w:w w:val="122"/>
                    <w:sz w:val="48"/>
                    <w:shd w:fill="EC5A4F" w:color="auto" w:val="clear"/>
                  </w:rPr>
                  <w:t> </w:t>
                </w:r>
                <w:r>
                  <w:rPr>
                    <w:b/>
                    <w:color w:val="FFFFFF"/>
                    <w:spacing w:val="41"/>
                    <w:sz w:val="48"/>
                    <w:shd w:fill="EC5A4F" w:color="auto" w:val="clear"/>
                  </w:rPr>
                  <w:t> </w:t>
                </w:r>
                <w:r>
                  <w:rPr>
                    <w:b/>
                    <w:color w:val="FFFFFF"/>
                    <w:w w:val="110"/>
                    <w:sz w:val="48"/>
                    <w:shd w:fill="EC5A4F" w:color="auto" w:val="clear"/>
                  </w:rPr>
                  <w:t>6</w:t>
                </w:r>
                <w:r>
                  <w:rPr>
                    <w:b/>
                    <w:color w:val="FFFFFF"/>
                    <w:sz w:val="48"/>
                    <w:shd w:fill="EC5A4F" w:color="auto" w:val="clear"/>
                  </w:rPr>
                  <w:tab/>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06568" from="28.347pt,77.952515pt" to="54.128pt,77.952515pt" stroked="true" strokeweight="1.323pt" strokecolor="#ec5a4f">
          <v:stroke dashstyle="solid"/>
          <w10:wrap type="none"/>
        </v:line>
      </w:pict>
    </w:r>
    <w:r>
      <w:rPr/>
      <w:pict>
        <v:shape style="position:absolute;margin-left:27.3465pt;margin-top:26.521215pt;width:99.8pt;height:17.55pt;mso-position-horizontal-relative:page;mso-position-vertical-relative:page;z-index:-306544" type="#_x0000_t202" filled="false" stroked="false">
          <v:textbox inset="0,0,0,0">
            <w:txbxContent>
              <w:p>
                <w:pPr>
                  <w:spacing w:before="14"/>
                  <w:ind w:left="20" w:right="0" w:firstLine="0"/>
                  <w:jc w:val="left"/>
                  <w:rPr>
                    <w:sz w:val="13"/>
                  </w:rPr>
                </w:pPr>
                <w:r>
                  <w:rPr>
                    <w:w w:val="105"/>
                    <w:sz w:val="13"/>
                  </w:rPr>
                  <w:t>Victorian Law Reform Commission Succession Laws: Report</w:t>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595.276001pt;height:841.890015pt;mso-position-horizontal-relative:page;mso-position-vertical-relative:page;z-index:-306520" filled="true" fillcolor="#fdefed" stroked="false">
          <v:fill type="solid"/>
          <w10:wrap type="none"/>
        </v:rec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595.276001pt;height:841.890015pt;mso-position-horizontal-relative:page;mso-position-vertical-relative:page;z-index:-307360" filled="true" fillcolor="#fdefed" stroked="false">
          <v:fill type="solid"/>
          <w10:wrap type="none"/>
        </v:rect>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06496" from="28.347pt,77.952515pt" to="54.128pt,77.952515pt" stroked="true" strokeweight="1.323pt" strokecolor="#ec5a4f">
          <v:stroke dashstyle="solid"/>
          <w10:wrap type="none"/>
        </v:line>
      </w:pict>
    </w:r>
    <w:r>
      <w:rPr/>
      <w:pict>
        <v:shape style="position:absolute;margin-left:27.3465pt;margin-top:26.521215pt;width:99.8pt;height:17.55pt;mso-position-horizontal-relative:page;mso-position-vertical-relative:page;z-index:-306472" type="#_x0000_t202" filled="false" stroked="false">
          <v:textbox inset="0,0,0,0">
            <w:txbxContent>
              <w:p>
                <w:pPr>
                  <w:spacing w:before="14"/>
                  <w:ind w:left="20" w:right="0" w:firstLine="0"/>
                  <w:jc w:val="left"/>
                  <w:rPr>
                    <w:sz w:val="13"/>
                  </w:rPr>
                </w:pPr>
                <w:r>
                  <w:rPr>
                    <w:w w:val="105"/>
                    <w:sz w:val="13"/>
                  </w:rPr>
                  <w:t>Victorian Law Reform Commission Succession Laws: Report</w:t>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408997pt;margin-top:39.274414pt;width:72.9pt;height:30.45pt;mso-position-horizontal-relative:page;mso-position-vertical-relative:page;z-index:-306448" type="#_x0000_t202" filled="false" stroked="false">
          <v:textbox inset="0,0,0,0">
            <w:txbxContent>
              <w:p>
                <w:pPr>
                  <w:tabs>
                    <w:tab w:pos="1437" w:val="left" w:leader="none"/>
                  </w:tabs>
                  <w:spacing w:before="17"/>
                  <w:ind w:left="20" w:right="0" w:firstLine="0"/>
                  <w:jc w:val="left"/>
                  <w:rPr>
                    <w:b/>
                    <w:sz w:val="48"/>
                  </w:rPr>
                </w:pPr>
                <w:r>
                  <w:rPr>
                    <w:b/>
                    <w:color w:val="FFFFFF"/>
                    <w:w w:val="122"/>
                    <w:sz w:val="48"/>
                    <w:shd w:fill="EC5A4F" w:color="auto" w:val="clear"/>
                  </w:rPr>
                  <w:t> </w:t>
                </w:r>
                <w:r>
                  <w:rPr>
                    <w:b/>
                    <w:color w:val="FFFFFF"/>
                    <w:spacing w:val="41"/>
                    <w:sz w:val="48"/>
                    <w:shd w:fill="EC5A4F" w:color="auto" w:val="clear"/>
                  </w:rPr>
                  <w:t> </w:t>
                </w:r>
                <w:r>
                  <w:rPr>
                    <w:b/>
                    <w:color w:val="FFFFFF"/>
                    <w:w w:val="110"/>
                    <w:sz w:val="48"/>
                    <w:shd w:fill="EC5A4F" w:color="auto" w:val="clear"/>
                  </w:rPr>
                  <w:t>7</w:t>
                </w:r>
                <w:r>
                  <w:rPr>
                    <w:b/>
                    <w:color w:val="FFFFFF"/>
                    <w:sz w:val="48"/>
                    <w:shd w:fill="EC5A4F" w:color="auto" w:val="clear"/>
                  </w:rPr>
                  <w:tab/>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06424" from="28.347pt,77.952515pt" to="54.128pt,77.952515pt" stroked="true" strokeweight="1.323pt" strokecolor="#ec5a4f">
          <v:stroke dashstyle="solid"/>
          <w10:wrap type="none"/>
        </v:line>
      </w:pict>
    </w:r>
    <w:r>
      <w:rPr/>
      <w:pict>
        <v:shape style="position:absolute;margin-left:27.3465pt;margin-top:26.521215pt;width:99.8pt;height:17.55pt;mso-position-horizontal-relative:page;mso-position-vertical-relative:page;z-index:-306400" type="#_x0000_t202" filled="false" stroked="false">
          <v:textbox inset="0,0,0,0">
            <w:txbxContent>
              <w:p>
                <w:pPr>
                  <w:spacing w:before="14"/>
                  <w:ind w:left="20" w:right="0" w:firstLine="0"/>
                  <w:jc w:val="left"/>
                  <w:rPr>
                    <w:sz w:val="13"/>
                  </w:rPr>
                </w:pPr>
                <w:r>
                  <w:rPr>
                    <w:w w:val="105"/>
                    <w:sz w:val="13"/>
                  </w:rPr>
                  <w:t>Victorian Law Reform Commission Succession Laws: Report</w:t>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595.276001pt;height:841.890015pt;mso-position-horizontal-relative:page;mso-position-vertical-relative:page;z-index:-306376" filled="true" fillcolor="#fdefed" stroked="false">
          <v:fill type="solid"/>
          <w10:wrap type="none"/>
        </v:rect>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06352" from="28.347pt,77.952515pt" to="54.128pt,77.952515pt" stroked="true" strokeweight="1.323pt" strokecolor="#ec5a4f">
          <v:stroke dashstyle="solid"/>
          <w10:wrap type="none"/>
        </v:line>
      </w:pict>
    </w:r>
    <w:r>
      <w:rPr/>
      <w:pict>
        <v:shape style="position:absolute;margin-left:27.3465pt;margin-top:26.521215pt;width:99.8pt;height:17.55pt;mso-position-horizontal-relative:page;mso-position-vertical-relative:page;z-index:-306328" type="#_x0000_t202" filled="false" stroked="false">
          <v:textbox inset="0,0,0,0">
            <w:txbxContent>
              <w:p>
                <w:pPr>
                  <w:spacing w:before="14"/>
                  <w:ind w:left="20" w:right="0" w:firstLine="0"/>
                  <w:jc w:val="left"/>
                  <w:rPr>
                    <w:sz w:val="13"/>
                  </w:rPr>
                </w:pPr>
                <w:r>
                  <w:rPr>
                    <w:w w:val="105"/>
                    <w:sz w:val="13"/>
                  </w:rPr>
                  <w:t>Victorian Law Reform Commission Succession Laws: Report</w:t>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408997pt;margin-top:39.274414pt;width:72.9pt;height:30.45pt;mso-position-horizontal-relative:page;mso-position-vertical-relative:page;z-index:-306304" type="#_x0000_t202" filled="false" stroked="false">
          <v:textbox inset="0,0,0,0">
            <w:txbxContent>
              <w:p>
                <w:pPr>
                  <w:tabs>
                    <w:tab w:pos="1437" w:val="left" w:leader="none"/>
                  </w:tabs>
                  <w:spacing w:before="17"/>
                  <w:ind w:left="20" w:right="0" w:firstLine="0"/>
                  <w:jc w:val="left"/>
                  <w:rPr>
                    <w:b/>
                    <w:sz w:val="48"/>
                  </w:rPr>
                </w:pPr>
                <w:r>
                  <w:rPr>
                    <w:b/>
                    <w:color w:val="FFFFFF"/>
                    <w:w w:val="122"/>
                    <w:sz w:val="48"/>
                    <w:shd w:fill="EC5A4F" w:color="auto" w:val="clear"/>
                  </w:rPr>
                  <w:t> </w:t>
                </w:r>
                <w:r>
                  <w:rPr>
                    <w:b/>
                    <w:color w:val="FFFFFF"/>
                    <w:spacing w:val="41"/>
                    <w:sz w:val="48"/>
                    <w:shd w:fill="EC5A4F" w:color="auto" w:val="clear"/>
                  </w:rPr>
                  <w:t> </w:t>
                </w:r>
                <w:r>
                  <w:rPr>
                    <w:b/>
                    <w:color w:val="FFFFFF"/>
                    <w:w w:val="110"/>
                    <w:sz w:val="48"/>
                    <w:shd w:fill="EC5A4F" w:color="auto" w:val="clear"/>
                  </w:rPr>
                  <w:t>8</w:t>
                </w:r>
                <w:r>
                  <w:rPr>
                    <w:b/>
                    <w:color w:val="FFFFFF"/>
                    <w:sz w:val="48"/>
                    <w:shd w:fill="EC5A4F" w:color="auto" w:val="clear"/>
                  </w:rPr>
                  <w:tab/>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06280" from="28.347pt,77.952515pt" to="54.128pt,77.952515pt" stroked="true" strokeweight="1.323pt" strokecolor="#ec5a4f">
          <v:stroke dashstyle="solid"/>
          <w10:wrap type="none"/>
        </v:line>
      </w:pict>
    </w:r>
    <w:r>
      <w:rPr/>
      <w:pict>
        <v:shape style="position:absolute;margin-left:27.3465pt;margin-top:26.521215pt;width:99.8pt;height:17.55pt;mso-position-horizontal-relative:page;mso-position-vertical-relative:page;z-index:-306256" type="#_x0000_t202" filled="false" stroked="false">
          <v:textbox inset="0,0,0,0">
            <w:txbxContent>
              <w:p>
                <w:pPr>
                  <w:spacing w:before="14"/>
                  <w:ind w:left="20" w:right="0" w:firstLine="0"/>
                  <w:jc w:val="left"/>
                  <w:rPr>
                    <w:sz w:val="13"/>
                  </w:rPr>
                </w:pPr>
                <w:r>
                  <w:rPr>
                    <w:w w:val="105"/>
                    <w:sz w:val="13"/>
                  </w:rPr>
                  <w:t>Victorian Law Reform Commission Succession Laws: Report</w:t>
                </w:r>
              </w:p>
            </w:txbxContent>
          </v:textbox>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595.276001pt;height:841.890015pt;mso-position-horizontal-relative:page;mso-position-vertical-relative:page;z-index:-306232" filled="true" fillcolor="#fdefed" stroked="false">
          <v:fill type="solid"/>
          <w10:wrap type="none"/>
        </v:rect>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06208" from="28.347pt,77.952515pt" to="54.128pt,77.952515pt" stroked="true" strokeweight="1.323pt" strokecolor="#ec5a4f">
          <v:stroke dashstyle="solid"/>
          <w10:wrap type="none"/>
        </v:line>
      </w:pict>
    </w:r>
    <w:r>
      <w:rPr/>
      <w:pict>
        <v:shape style="position:absolute;margin-left:27.3465pt;margin-top:26.521215pt;width:99.8pt;height:17.55pt;mso-position-horizontal-relative:page;mso-position-vertical-relative:page;z-index:-306184" type="#_x0000_t202" filled="false" stroked="false">
          <v:textbox inset="0,0,0,0">
            <w:txbxContent>
              <w:p>
                <w:pPr>
                  <w:spacing w:before="14"/>
                  <w:ind w:left="20" w:right="0" w:firstLine="0"/>
                  <w:jc w:val="left"/>
                  <w:rPr>
                    <w:sz w:val="13"/>
                  </w:rPr>
                </w:pPr>
                <w:r>
                  <w:rPr>
                    <w:w w:val="105"/>
                    <w:sz w:val="13"/>
                  </w:rPr>
                  <w:t>Victorian Law Reform Commission Succession Laws: Report</w:t>
                </w:r>
              </w:p>
            </w:txbxContent>
          </v:textbox>
          <w10:wrap type="non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408997pt;margin-top:39.274414pt;width:72.9pt;height:30.45pt;mso-position-horizontal-relative:page;mso-position-vertical-relative:page;z-index:-306160" type="#_x0000_t202" filled="false" stroked="false">
          <v:textbox inset="0,0,0,0">
            <w:txbxContent>
              <w:p>
                <w:pPr>
                  <w:tabs>
                    <w:tab w:pos="1437" w:val="left" w:leader="none"/>
                  </w:tabs>
                  <w:spacing w:before="17"/>
                  <w:ind w:left="20" w:right="0" w:firstLine="0"/>
                  <w:jc w:val="left"/>
                  <w:rPr>
                    <w:b/>
                    <w:sz w:val="48"/>
                  </w:rPr>
                </w:pPr>
                <w:r>
                  <w:rPr>
                    <w:b/>
                    <w:color w:val="FFFFFF"/>
                    <w:w w:val="122"/>
                    <w:sz w:val="48"/>
                    <w:shd w:fill="EC5A4F" w:color="auto" w:val="clear"/>
                  </w:rPr>
                  <w:t> </w:t>
                </w:r>
                <w:r>
                  <w:rPr>
                    <w:b/>
                    <w:color w:val="FFFFFF"/>
                    <w:spacing w:val="41"/>
                    <w:sz w:val="48"/>
                    <w:shd w:fill="EC5A4F" w:color="auto" w:val="clear"/>
                  </w:rPr>
                  <w:t> </w:t>
                </w:r>
                <w:r>
                  <w:rPr>
                    <w:b/>
                    <w:color w:val="FFFFFF"/>
                    <w:w w:val="110"/>
                    <w:sz w:val="48"/>
                    <w:shd w:fill="EC5A4F" w:color="auto" w:val="clear"/>
                  </w:rPr>
                  <w:t>9</w:t>
                </w:r>
                <w:r>
                  <w:rPr>
                    <w:b/>
                    <w:color w:val="FFFFFF"/>
                    <w:sz w:val="48"/>
                    <w:shd w:fill="EC5A4F" w:color="auto" w:val="clear"/>
                  </w:rPr>
                  <w:tab/>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07336" from="28.347pt,77.952515pt" to="54.128pt,77.952515pt" stroked="true" strokeweight="1.323pt" strokecolor="#ec5a4f">
          <v:stroke dashstyle="solid"/>
          <w10:wrap type="none"/>
        </v:line>
      </w:pict>
    </w:r>
    <w:r>
      <w:rPr/>
      <w:pict>
        <v:shape style="position:absolute;margin-left:27.3465pt;margin-top:26.521215pt;width:99.8pt;height:17.55pt;mso-position-horizontal-relative:page;mso-position-vertical-relative:page;z-index:-307312" type="#_x0000_t202" filled="false" stroked="false">
          <v:textbox inset="0,0,0,0">
            <w:txbxContent>
              <w:p>
                <w:pPr>
                  <w:spacing w:before="14"/>
                  <w:ind w:left="20" w:right="0" w:firstLine="0"/>
                  <w:jc w:val="left"/>
                  <w:rPr>
                    <w:sz w:val="13"/>
                  </w:rPr>
                </w:pPr>
                <w:r>
                  <w:rPr>
                    <w:w w:val="105"/>
                    <w:sz w:val="13"/>
                  </w:rPr>
                  <w:t>Victorian Law Reform Commission Succession Laws: Report</w:t>
                </w:r>
              </w:p>
            </w:txbxContent>
          </v:textbox>
          <w10:wrap type="none"/>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06136" from="28.347pt,77.952515pt" to="54.128pt,77.952515pt" stroked="true" strokeweight="1.323pt" strokecolor="#ec5a4f">
          <v:stroke dashstyle="solid"/>
          <w10:wrap type="none"/>
        </v:line>
      </w:pict>
    </w:r>
    <w:r>
      <w:rPr/>
      <w:pict>
        <v:shape style="position:absolute;margin-left:27.3465pt;margin-top:26.521215pt;width:99.8pt;height:17.55pt;mso-position-horizontal-relative:page;mso-position-vertical-relative:page;z-index:-306112" type="#_x0000_t202" filled="false" stroked="false">
          <v:textbox inset="0,0,0,0">
            <w:txbxContent>
              <w:p>
                <w:pPr>
                  <w:spacing w:before="14"/>
                  <w:ind w:left="20" w:right="0" w:firstLine="0"/>
                  <w:jc w:val="left"/>
                  <w:rPr>
                    <w:sz w:val="13"/>
                  </w:rPr>
                </w:pPr>
                <w:r>
                  <w:rPr>
                    <w:w w:val="105"/>
                    <w:sz w:val="13"/>
                  </w:rPr>
                  <w:t>Victorian Law Reform Commission Succession Laws: Report</w:t>
                </w:r>
              </w:p>
            </w:txbxContent>
          </v:textbox>
          <w10:wrap type="non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595.276001pt;height:841.890015pt;mso-position-horizontal-relative:page;mso-position-vertical-relative:page;z-index:-306088" filled="true" fillcolor="#fdefed" stroked="false">
          <v:fill type="solid"/>
          <w10:wrap type="none"/>
        </v:rect>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06064" from="28.347pt,77.952515pt" to="54.128pt,77.952515pt" stroked="true" strokeweight="1.323pt" strokecolor="#ec5a4f">
          <v:stroke dashstyle="solid"/>
          <w10:wrap type="none"/>
        </v:line>
      </w:pict>
    </w:r>
    <w:r>
      <w:rPr/>
      <w:pict>
        <v:shape style="position:absolute;margin-left:27.3465pt;margin-top:26.521215pt;width:99.8pt;height:17.55pt;mso-position-horizontal-relative:page;mso-position-vertical-relative:page;z-index:-306040" type="#_x0000_t202" filled="false" stroked="false">
          <v:textbox inset="0,0,0,0">
            <w:txbxContent>
              <w:p>
                <w:pPr>
                  <w:spacing w:before="14"/>
                  <w:ind w:left="20" w:right="0" w:firstLine="0"/>
                  <w:jc w:val="left"/>
                  <w:rPr>
                    <w:sz w:val="13"/>
                  </w:rPr>
                </w:pPr>
                <w:r>
                  <w:rPr>
                    <w:w w:val="105"/>
                    <w:sz w:val="13"/>
                  </w:rPr>
                  <w:t>Victorian Law Reform Commission Succession Laws: Report</w:t>
                </w:r>
              </w:p>
            </w:txbxContent>
          </v:textbox>
          <w10:wrap type="non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408997pt;margin-top:39.274414pt;width:72.9pt;height:30.45pt;mso-position-horizontal-relative:page;mso-position-vertical-relative:page;z-index:-306016" type="#_x0000_t202" filled="false" stroked="false">
          <v:textbox inset="0,0,0,0">
            <w:txbxContent>
              <w:p>
                <w:pPr>
                  <w:tabs>
                    <w:tab w:pos="1437" w:val="left" w:leader="none"/>
                  </w:tabs>
                  <w:spacing w:before="17"/>
                  <w:ind w:left="20" w:right="0" w:firstLine="0"/>
                  <w:jc w:val="left"/>
                  <w:rPr>
                    <w:b/>
                    <w:sz w:val="48"/>
                  </w:rPr>
                </w:pPr>
                <w:r>
                  <w:rPr>
                    <w:b/>
                    <w:color w:val="FFFFFF"/>
                    <w:w w:val="122"/>
                    <w:sz w:val="48"/>
                    <w:shd w:fill="EC5A4F" w:color="auto" w:val="clear"/>
                  </w:rPr>
                  <w:t> </w:t>
                </w:r>
                <w:r>
                  <w:rPr>
                    <w:b/>
                    <w:color w:val="FFFFFF"/>
                    <w:spacing w:val="41"/>
                    <w:sz w:val="48"/>
                    <w:shd w:fill="EC5A4F" w:color="auto" w:val="clear"/>
                  </w:rPr>
                  <w:t> </w:t>
                </w:r>
                <w:r>
                  <w:rPr>
                    <w:b/>
                    <w:color w:val="FFFFFF"/>
                    <w:spacing w:val="-7"/>
                    <w:w w:val="110"/>
                    <w:sz w:val="48"/>
                    <w:shd w:fill="EC5A4F" w:color="auto" w:val="clear"/>
                  </w:rPr>
                  <w:t>10</w:t>
                </w:r>
                <w:r>
                  <w:rPr>
                    <w:b/>
                    <w:color w:val="FFFFFF"/>
                    <w:spacing w:val="-7"/>
                    <w:sz w:val="48"/>
                    <w:shd w:fill="EC5A4F" w:color="auto" w:val="clear"/>
                  </w:rPr>
                  <w:tab/>
                </w:r>
              </w:p>
            </w:txbxContent>
          </v:textbox>
          <w10:wrap type="non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05992" from="28.347pt,77.952515pt" to="54.128pt,77.952515pt" stroked="true" strokeweight="1.323pt" strokecolor="#ec5a4f">
          <v:stroke dashstyle="solid"/>
          <w10:wrap type="none"/>
        </v:line>
      </w:pict>
    </w:r>
    <w:r>
      <w:rPr/>
      <w:pict>
        <v:shape style="position:absolute;margin-left:27.3465pt;margin-top:26.521215pt;width:99.8pt;height:17.55pt;mso-position-horizontal-relative:page;mso-position-vertical-relative:page;z-index:-305968" type="#_x0000_t202" filled="false" stroked="false">
          <v:textbox inset="0,0,0,0">
            <w:txbxContent>
              <w:p>
                <w:pPr>
                  <w:spacing w:before="14"/>
                  <w:ind w:left="20" w:right="0" w:firstLine="0"/>
                  <w:jc w:val="left"/>
                  <w:rPr>
                    <w:sz w:val="13"/>
                  </w:rPr>
                </w:pPr>
                <w:r>
                  <w:rPr>
                    <w:w w:val="105"/>
                    <w:sz w:val="13"/>
                  </w:rPr>
                  <w:t>Victorian Law Reform Commission Succession Laws: Report</w:t>
                </w:r>
              </w:p>
            </w:txbxContent>
          </v:textbox>
          <w10:wrap type="non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595.276001pt;height:841.890015pt;mso-position-horizontal-relative:page;mso-position-vertical-relative:page;z-index:-305944" filled="true" fillcolor="#fdefed" stroked="false">
          <v:fill type="solid"/>
          <w10:wrap type="none"/>
        </v:rect>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05920" from="28.347pt,77.952515pt" to="54.128pt,77.952515pt" stroked="true" strokeweight="1.323pt" strokecolor="#ec5a4f">
          <v:stroke dashstyle="solid"/>
          <w10:wrap type="none"/>
        </v:line>
      </w:pict>
    </w:r>
    <w:r>
      <w:rPr/>
      <w:pict>
        <v:shape style="position:absolute;margin-left:27.3465pt;margin-top:26.521215pt;width:99.8pt;height:17.55pt;mso-position-horizontal-relative:page;mso-position-vertical-relative:page;z-index:-305896" type="#_x0000_t202" filled="false" stroked="false">
          <v:textbox inset="0,0,0,0">
            <w:txbxContent>
              <w:p>
                <w:pPr>
                  <w:spacing w:before="14"/>
                  <w:ind w:left="20" w:right="0" w:firstLine="0"/>
                  <w:jc w:val="left"/>
                  <w:rPr>
                    <w:sz w:val="13"/>
                  </w:rPr>
                </w:pPr>
                <w:r>
                  <w:rPr>
                    <w:w w:val="105"/>
                    <w:sz w:val="13"/>
                  </w:rPr>
                  <w:t>Victorian Law Reform Commission Succession Laws: Report</w:t>
                </w:r>
              </w:p>
            </w:txbxContent>
          </v:textbox>
          <w10:wrap type="non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524.408997pt;margin-top:28.346014pt;width:70.866pt;height:51.024pt;mso-position-horizontal-relative:page;mso-position-vertical-relative:page;z-index:-305872" filled="true" fillcolor="#ec5a4f" stroked="false">
          <v:fill type="solid"/>
          <w10:wrap type="none"/>
        </v:rect>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05848" from="28.347pt,77.952515pt" to="54.128pt,77.952515pt" stroked="true" strokeweight="1.323pt" strokecolor="#ec5a4f">
          <v:stroke dashstyle="solid"/>
          <w10:wrap type="none"/>
        </v:line>
      </w:pict>
    </w:r>
    <w:r>
      <w:rPr/>
      <w:pict>
        <v:shape style="position:absolute;margin-left:27.3465pt;margin-top:26.521215pt;width:99.8pt;height:17.55pt;mso-position-horizontal-relative:page;mso-position-vertical-relative:page;z-index:-305824" type="#_x0000_t202" filled="false" stroked="false">
          <v:textbox inset="0,0,0,0">
            <w:txbxContent>
              <w:p>
                <w:pPr>
                  <w:spacing w:before="14"/>
                  <w:ind w:left="20" w:right="0" w:firstLine="0"/>
                  <w:jc w:val="left"/>
                  <w:rPr>
                    <w:sz w:val="13"/>
                  </w:rPr>
                </w:pPr>
                <w:r>
                  <w:rPr>
                    <w:w w:val="105"/>
                    <w:sz w:val="13"/>
                  </w:rPr>
                  <w:t>Victorian Law Reform Commission Succession Laws: Report</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595.276001pt;height:307.845915pt;mso-position-horizontal-relative:page;mso-position-vertical-relative:page;z-index:-305800" filled="true" fillcolor="#fdefed" stroked="false">
          <v:fill type="solid"/>
          <w10:wrap type="none"/>
        </v:rect>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05776" from="28.347pt,77.952515pt" to="54.128pt,77.952515pt" stroked="true" strokeweight="1.323pt" strokecolor="#ec5a4f">
          <v:stroke dashstyle="solid"/>
          <w10:wrap type="none"/>
        </v:line>
      </w:pict>
    </w:r>
    <w:r>
      <w:rPr/>
      <w:pict>
        <v:shape style="position:absolute;margin-left:27.3465pt;margin-top:26.521215pt;width:99.8pt;height:17.55pt;mso-position-horizontal-relative:page;mso-position-vertical-relative:page;z-index:-305752" type="#_x0000_t202" filled="false" stroked="false">
          <v:textbox inset="0,0,0,0">
            <w:txbxContent>
              <w:p>
                <w:pPr>
                  <w:spacing w:before="14"/>
                  <w:ind w:left="20" w:right="0" w:firstLine="0"/>
                  <w:jc w:val="left"/>
                  <w:rPr>
                    <w:sz w:val="13"/>
                  </w:rPr>
                </w:pPr>
                <w:r>
                  <w:rPr>
                    <w:w w:val="105"/>
                    <w:sz w:val="13"/>
                  </w:rPr>
                  <w:t>Victorian Law Reform Commission Succession Laws: Report</w:t>
                </w:r>
              </w:p>
            </w:txbxContent>
          </v:textbox>
          <w10:wrap type="non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05728" from="28.347pt,77.952515pt" to="54.128pt,77.952515pt" stroked="true" strokeweight="1.323pt" strokecolor="#ec5a4f">
          <v:stroke dashstyle="solid"/>
          <w10:wrap type="none"/>
        </v:line>
      </w:pict>
    </w:r>
    <w:r>
      <w:rPr/>
      <w:pict>
        <v:shape style="position:absolute;margin-left:27.3465pt;margin-top:26.521215pt;width:99.8pt;height:17.55pt;mso-position-horizontal-relative:page;mso-position-vertical-relative:page;z-index:-305704" type="#_x0000_t202" filled="false" stroked="false">
          <v:textbox inset="0,0,0,0">
            <w:txbxContent>
              <w:p>
                <w:pPr>
                  <w:spacing w:before="14"/>
                  <w:ind w:left="20" w:right="0" w:firstLine="0"/>
                  <w:jc w:val="left"/>
                  <w:rPr>
                    <w:sz w:val="13"/>
                  </w:rPr>
                </w:pPr>
                <w:r>
                  <w:rPr>
                    <w:w w:val="105"/>
                    <w:sz w:val="13"/>
                  </w:rPr>
                  <w:t>Victorian Law Reform Commission Succession Laws: Report</w:t>
                </w:r>
              </w:p>
            </w:txbxContent>
          </v:textbox>
          <w10:wrap type="non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05680" from="28.347pt,77.952515pt" to="54.128pt,77.952515pt" stroked="true" strokeweight="1.323pt" strokecolor="#ec5a4f">
          <v:stroke dashstyle="solid"/>
          <w10:wrap type="none"/>
        </v:line>
      </w:pict>
    </w:r>
    <w:r>
      <w:rPr/>
      <w:pict>
        <v:shape style="position:absolute;margin-left:27.3465pt;margin-top:26.521215pt;width:99.8pt;height:17.55pt;mso-position-horizontal-relative:page;mso-position-vertical-relative:page;z-index:-305656" type="#_x0000_t202" filled="false" stroked="false">
          <v:textbox inset="0,0,0,0">
            <w:txbxContent>
              <w:p>
                <w:pPr>
                  <w:spacing w:before="14"/>
                  <w:ind w:left="20" w:right="0" w:firstLine="0"/>
                  <w:jc w:val="left"/>
                  <w:rPr>
                    <w:sz w:val="13"/>
                  </w:rPr>
                </w:pPr>
                <w:r>
                  <w:rPr>
                    <w:w w:val="105"/>
                    <w:sz w:val="13"/>
                  </w:rPr>
                  <w:t>Victorian Law Reform Commission Succession Laws: Report</w:t>
                </w:r>
              </w:p>
            </w:txbxContent>
          </v:textbox>
          <w10:wrap type="non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07288" from="28.347pt,77.952515pt" to="54.128pt,77.952515pt" stroked="true" strokeweight="1.323pt" strokecolor="#ec5a4f">
          <v:stroke dashstyle="solid"/>
          <w10:wrap type="none"/>
        </v:line>
      </w:pict>
    </w:r>
    <w:r>
      <w:rPr/>
      <w:pict>
        <v:shape style="position:absolute;margin-left:27.3465pt;margin-top:26.521215pt;width:99.8pt;height:17.55pt;mso-position-horizontal-relative:page;mso-position-vertical-relative:page;z-index:-307264" type="#_x0000_t202" filled="false" stroked="false">
          <v:textbox inset="0,0,0,0">
            <w:txbxContent>
              <w:p>
                <w:pPr>
                  <w:spacing w:before="14"/>
                  <w:ind w:left="20" w:right="0" w:firstLine="0"/>
                  <w:jc w:val="left"/>
                  <w:rPr>
                    <w:sz w:val="13"/>
                  </w:rPr>
                </w:pPr>
                <w:r>
                  <w:rPr>
                    <w:w w:val="105"/>
                    <w:sz w:val="13"/>
                  </w:rPr>
                  <w:t>Victorian Law Reform Commission Succession Laws: Report</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595.276001pt;height:841.890015pt;mso-position-horizontal-relative:page;mso-position-vertical-relative:page;z-index:-307240" filled="true" fillcolor="#fdefed" stroked="false">
          <v:fill type="solid"/>
          <w10:wrap type="none"/>
        </v:rect>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307216" from="28.347pt,77.952515pt" to="54.128pt,77.952515pt" stroked="true" strokeweight="1.323pt" strokecolor="#ec5a4f">
          <v:stroke dashstyle="solid"/>
          <w10:wrap type="none"/>
        </v:line>
      </w:pict>
    </w:r>
    <w:r>
      <w:rPr/>
      <w:pict>
        <v:shape style="position:absolute;margin-left:27.3465pt;margin-top:26.521215pt;width:99.8pt;height:17.55pt;mso-position-horizontal-relative:page;mso-position-vertical-relative:page;z-index:-307192" type="#_x0000_t202" filled="false" stroked="false">
          <v:textbox inset="0,0,0,0">
            <w:txbxContent>
              <w:p>
                <w:pPr>
                  <w:spacing w:before="14"/>
                  <w:ind w:left="20" w:right="0" w:firstLine="0"/>
                  <w:jc w:val="left"/>
                  <w:rPr>
                    <w:sz w:val="13"/>
                  </w:rPr>
                </w:pPr>
                <w:r>
                  <w:rPr>
                    <w:w w:val="105"/>
                    <w:sz w:val="13"/>
                  </w:rPr>
                  <w:t>Victorian Law Reform Commission Succession Laws: Report</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408997pt;margin-top:39.274414pt;width:72.9pt;height:30.45pt;mso-position-horizontal-relative:page;mso-position-vertical-relative:page;z-index:-307168" type="#_x0000_t202" filled="false" stroked="false">
          <v:textbox inset="0,0,0,0">
            <w:txbxContent>
              <w:p>
                <w:pPr>
                  <w:tabs>
                    <w:tab w:pos="1437" w:val="left" w:leader="none"/>
                  </w:tabs>
                  <w:spacing w:before="17"/>
                  <w:ind w:left="20" w:right="0" w:firstLine="0"/>
                  <w:jc w:val="left"/>
                  <w:rPr>
                    <w:b/>
                    <w:sz w:val="48"/>
                  </w:rPr>
                </w:pPr>
                <w:r>
                  <w:rPr>
                    <w:b/>
                    <w:color w:val="FFFFFF"/>
                    <w:w w:val="122"/>
                    <w:sz w:val="48"/>
                    <w:shd w:fill="EC5A4F" w:color="auto" w:val="clear"/>
                  </w:rPr>
                  <w:t> </w:t>
                </w:r>
                <w:r>
                  <w:rPr>
                    <w:b/>
                    <w:color w:val="FFFFFF"/>
                    <w:spacing w:val="41"/>
                    <w:sz w:val="48"/>
                    <w:shd w:fill="EC5A4F" w:color="auto" w:val="clear"/>
                  </w:rPr>
                  <w:t> </w:t>
                </w:r>
                <w:r>
                  <w:rPr>
                    <w:b/>
                    <w:color w:val="FFFFFF"/>
                    <w:w w:val="110"/>
                    <w:sz w:val="48"/>
                    <w:shd w:fill="EC5A4F" w:color="auto" w:val="clear"/>
                  </w:rPr>
                  <w:t>2</w:t>
                </w:r>
                <w:r>
                  <w:rPr>
                    <w:b/>
                    <w:color w:val="FFFFFF"/>
                    <w:sz w:val="48"/>
                    <w:shd w:fill="EC5A4F" w:color="auto" w:val="clear"/>
                  </w:rPr>
                  <w:tab/>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54">
    <w:multiLevelType w:val="hybridMultilevel"/>
    <w:lvl w:ilvl="0">
      <w:start w:val="0"/>
      <w:numFmt w:val="bullet"/>
      <w:lvlText w:val="•"/>
      <w:lvlJc w:val="left"/>
      <w:pPr>
        <w:ind w:left="1927" w:hanging="341"/>
      </w:pPr>
      <w:rPr>
        <w:rFonts w:hint="default" w:ascii="Calibri" w:hAnsi="Calibri" w:eastAsia="Calibri" w:cs="Calibri"/>
        <w:w w:val="100"/>
        <w:sz w:val="21"/>
        <w:szCs w:val="21"/>
      </w:rPr>
    </w:lvl>
    <w:lvl w:ilvl="1">
      <w:start w:val="0"/>
      <w:numFmt w:val="bullet"/>
      <w:lvlText w:val="•"/>
      <w:lvlJc w:val="left"/>
      <w:pPr>
        <w:ind w:left="2918" w:hanging="341"/>
      </w:pPr>
      <w:rPr>
        <w:rFonts w:hint="default"/>
      </w:rPr>
    </w:lvl>
    <w:lvl w:ilvl="2">
      <w:start w:val="0"/>
      <w:numFmt w:val="bullet"/>
      <w:lvlText w:val="•"/>
      <w:lvlJc w:val="left"/>
      <w:pPr>
        <w:ind w:left="3917" w:hanging="341"/>
      </w:pPr>
      <w:rPr>
        <w:rFonts w:hint="default"/>
      </w:rPr>
    </w:lvl>
    <w:lvl w:ilvl="3">
      <w:start w:val="0"/>
      <w:numFmt w:val="bullet"/>
      <w:lvlText w:val="•"/>
      <w:lvlJc w:val="left"/>
      <w:pPr>
        <w:ind w:left="4915" w:hanging="341"/>
      </w:pPr>
      <w:rPr>
        <w:rFonts w:hint="default"/>
      </w:rPr>
    </w:lvl>
    <w:lvl w:ilvl="4">
      <w:start w:val="0"/>
      <w:numFmt w:val="bullet"/>
      <w:lvlText w:val="•"/>
      <w:lvlJc w:val="left"/>
      <w:pPr>
        <w:ind w:left="5914" w:hanging="341"/>
      </w:pPr>
      <w:rPr>
        <w:rFonts w:hint="default"/>
      </w:rPr>
    </w:lvl>
    <w:lvl w:ilvl="5">
      <w:start w:val="0"/>
      <w:numFmt w:val="bullet"/>
      <w:lvlText w:val="•"/>
      <w:lvlJc w:val="left"/>
      <w:pPr>
        <w:ind w:left="6912" w:hanging="341"/>
      </w:pPr>
      <w:rPr>
        <w:rFonts w:hint="default"/>
      </w:rPr>
    </w:lvl>
    <w:lvl w:ilvl="6">
      <w:start w:val="0"/>
      <w:numFmt w:val="bullet"/>
      <w:lvlText w:val="•"/>
      <w:lvlJc w:val="left"/>
      <w:pPr>
        <w:ind w:left="7911" w:hanging="341"/>
      </w:pPr>
      <w:rPr>
        <w:rFonts w:hint="default"/>
      </w:rPr>
    </w:lvl>
    <w:lvl w:ilvl="7">
      <w:start w:val="0"/>
      <w:numFmt w:val="bullet"/>
      <w:lvlText w:val="•"/>
      <w:lvlJc w:val="left"/>
      <w:pPr>
        <w:ind w:left="8909" w:hanging="341"/>
      </w:pPr>
      <w:rPr>
        <w:rFonts w:hint="default"/>
      </w:rPr>
    </w:lvl>
    <w:lvl w:ilvl="8">
      <w:start w:val="0"/>
      <w:numFmt w:val="bullet"/>
      <w:lvlText w:val="•"/>
      <w:lvlJc w:val="left"/>
      <w:pPr>
        <w:ind w:left="9908" w:hanging="341"/>
      </w:pPr>
      <w:rPr>
        <w:rFonts w:hint="default"/>
      </w:rPr>
    </w:lvl>
  </w:abstractNum>
  <w:abstractNum w:abstractNumId="146">
    <w:multiLevelType w:val="hybridMultilevel"/>
    <w:lvl w:ilvl="0">
      <w:start w:val="0"/>
      <w:numFmt w:val="bullet"/>
      <w:lvlText w:val="•"/>
      <w:lvlJc w:val="left"/>
      <w:pPr>
        <w:ind w:left="2721" w:hanging="341"/>
      </w:pPr>
      <w:rPr>
        <w:rFonts w:hint="default" w:ascii="Calibri" w:hAnsi="Calibri" w:eastAsia="Calibri" w:cs="Calibri"/>
        <w:w w:val="100"/>
        <w:sz w:val="21"/>
        <w:szCs w:val="21"/>
      </w:rPr>
    </w:lvl>
    <w:lvl w:ilvl="1">
      <w:start w:val="0"/>
      <w:numFmt w:val="bullet"/>
      <w:lvlText w:val="•"/>
      <w:lvlJc w:val="left"/>
      <w:pPr>
        <w:ind w:left="3638" w:hanging="341"/>
      </w:pPr>
      <w:rPr>
        <w:rFonts w:hint="default"/>
      </w:rPr>
    </w:lvl>
    <w:lvl w:ilvl="2">
      <w:start w:val="0"/>
      <w:numFmt w:val="bullet"/>
      <w:lvlText w:val="•"/>
      <w:lvlJc w:val="left"/>
      <w:pPr>
        <w:ind w:left="4557" w:hanging="341"/>
      </w:pPr>
      <w:rPr>
        <w:rFonts w:hint="default"/>
      </w:rPr>
    </w:lvl>
    <w:lvl w:ilvl="3">
      <w:start w:val="0"/>
      <w:numFmt w:val="bullet"/>
      <w:lvlText w:val="•"/>
      <w:lvlJc w:val="left"/>
      <w:pPr>
        <w:ind w:left="5475" w:hanging="341"/>
      </w:pPr>
      <w:rPr>
        <w:rFonts w:hint="default"/>
      </w:rPr>
    </w:lvl>
    <w:lvl w:ilvl="4">
      <w:start w:val="0"/>
      <w:numFmt w:val="bullet"/>
      <w:lvlText w:val="•"/>
      <w:lvlJc w:val="left"/>
      <w:pPr>
        <w:ind w:left="6394" w:hanging="341"/>
      </w:pPr>
      <w:rPr>
        <w:rFonts w:hint="default"/>
      </w:rPr>
    </w:lvl>
    <w:lvl w:ilvl="5">
      <w:start w:val="0"/>
      <w:numFmt w:val="bullet"/>
      <w:lvlText w:val="•"/>
      <w:lvlJc w:val="left"/>
      <w:pPr>
        <w:ind w:left="7312" w:hanging="341"/>
      </w:pPr>
      <w:rPr>
        <w:rFonts w:hint="default"/>
      </w:rPr>
    </w:lvl>
    <w:lvl w:ilvl="6">
      <w:start w:val="0"/>
      <w:numFmt w:val="bullet"/>
      <w:lvlText w:val="•"/>
      <w:lvlJc w:val="left"/>
      <w:pPr>
        <w:ind w:left="8231" w:hanging="341"/>
      </w:pPr>
      <w:rPr>
        <w:rFonts w:hint="default"/>
      </w:rPr>
    </w:lvl>
    <w:lvl w:ilvl="7">
      <w:start w:val="0"/>
      <w:numFmt w:val="bullet"/>
      <w:lvlText w:val="•"/>
      <w:lvlJc w:val="left"/>
      <w:pPr>
        <w:ind w:left="9149" w:hanging="341"/>
      </w:pPr>
      <w:rPr>
        <w:rFonts w:hint="default"/>
      </w:rPr>
    </w:lvl>
    <w:lvl w:ilvl="8">
      <w:start w:val="0"/>
      <w:numFmt w:val="bullet"/>
      <w:lvlText w:val="•"/>
      <w:lvlJc w:val="left"/>
      <w:pPr>
        <w:ind w:left="10068" w:hanging="341"/>
      </w:pPr>
      <w:rPr>
        <w:rFonts w:hint="default"/>
      </w:rPr>
    </w:lvl>
  </w:abstractNum>
  <w:abstractNum w:abstractNumId="130">
    <w:multiLevelType w:val="hybridMultilevel"/>
    <w:lvl w:ilvl="0">
      <w:start w:val="3"/>
      <w:numFmt w:val="decimal"/>
      <w:lvlText w:val="%1"/>
      <w:lvlJc w:val="left"/>
      <w:pPr>
        <w:ind w:left="2381" w:hanging="794"/>
        <w:jc w:val="left"/>
      </w:pPr>
      <w:rPr>
        <w:rFonts w:hint="default" w:ascii="Calibri" w:hAnsi="Calibri" w:eastAsia="Calibri" w:cs="Calibri"/>
        <w:w w:val="109"/>
        <w:sz w:val="13"/>
        <w:szCs w:val="13"/>
      </w:rPr>
    </w:lvl>
    <w:lvl w:ilvl="1">
      <w:start w:val="0"/>
      <w:numFmt w:val="bullet"/>
      <w:lvlText w:val="•"/>
      <w:lvlJc w:val="left"/>
      <w:pPr>
        <w:ind w:left="3170" w:hanging="794"/>
      </w:pPr>
      <w:rPr>
        <w:rFonts w:hint="default"/>
      </w:rPr>
    </w:lvl>
    <w:lvl w:ilvl="2">
      <w:start w:val="0"/>
      <w:numFmt w:val="bullet"/>
      <w:lvlText w:val="•"/>
      <w:lvlJc w:val="left"/>
      <w:pPr>
        <w:ind w:left="3960" w:hanging="794"/>
      </w:pPr>
      <w:rPr>
        <w:rFonts w:hint="default"/>
      </w:rPr>
    </w:lvl>
    <w:lvl w:ilvl="3">
      <w:start w:val="0"/>
      <w:numFmt w:val="bullet"/>
      <w:lvlText w:val="•"/>
      <w:lvlJc w:val="left"/>
      <w:pPr>
        <w:ind w:left="4751" w:hanging="794"/>
      </w:pPr>
      <w:rPr>
        <w:rFonts w:hint="default"/>
      </w:rPr>
    </w:lvl>
    <w:lvl w:ilvl="4">
      <w:start w:val="0"/>
      <w:numFmt w:val="bullet"/>
      <w:lvlText w:val="•"/>
      <w:lvlJc w:val="left"/>
      <w:pPr>
        <w:ind w:left="5541" w:hanging="794"/>
      </w:pPr>
      <w:rPr>
        <w:rFonts w:hint="default"/>
      </w:rPr>
    </w:lvl>
    <w:lvl w:ilvl="5">
      <w:start w:val="0"/>
      <w:numFmt w:val="bullet"/>
      <w:lvlText w:val="•"/>
      <w:lvlJc w:val="left"/>
      <w:pPr>
        <w:ind w:left="6331" w:hanging="794"/>
      </w:pPr>
      <w:rPr>
        <w:rFonts w:hint="default"/>
      </w:rPr>
    </w:lvl>
    <w:lvl w:ilvl="6">
      <w:start w:val="0"/>
      <w:numFmt w:val="bullet"/>
      <w:lvlText w:val="•"/>
      <w:lvlJc w:val="left"/>
      <w:pPr>
        <w:ind w:left="7122" w:hanging="794"/>
      </w:pPr>
      <w:rPr>
        <w:rFonts w:hint="default"/>
      </w:rPr>
    </w:lvl>
    <w:lvl w:ilvl="7">
      <w:start w:val="0"/>
      <w:numFmt w:val="bullet"/>
      <w:lvlText w:val="•"/>
      <w:lvlJc w:val="left"/>
      <w:pPr>
        <w:ind w:left="7912" w:hanging="794"/>
      </w:pPr>
      <w:rPr>
        <w:rFonts w:hint="default"/>
      </w:rPr>
    </w:lvl>
    <w:lvl w:ilvl="8">
      <w:start w:val="0"/>
      <w:numFmt w:val="bullet"/>
      <w:lvlText w:val="•"/>
      <w:lvlJc w:val="left"/>
      <w:pPr>
        <w:ind w:left="8703" w:hanging="794"/>
      </w:pPr>
      <w:rPr>
        <w:rFonts w:hint="default"/>
      </w:rPr>
    </w:lvl>
  </w:abstractNum>
  <w:abstractNum w:abstractNumId="128">
    <w:multiLevelType w:val="hybridMultilevel"/>
    <w:lvl w:ilvl="0">
      <w:start w:val="193"/>
      <w:numFmt w:val="decimal"/>
      <w:lvlText w:val="%1"/>
      <w:lvlJc w:val="left"/>
      <w:pPr>
        <w:ind w:left="2381" w:hanging="794"/>
        <w:jc w:val="left"/>
      </w:pPr>
      <w:rPr>
        <w:rFonts w:hint="default" w:ascii="Calibri" w:hAnsi="Calibri" w:eastAsia="Calibri" w:cs="Calibri"/>
        <w:spacing w:val="-5"/>
        <w:w w:val="109"/>
        <w:sz w:val="13"/>
        <w:szCs w:val="13"/>
      </w:rPr>
    </w:lvl>
    <w:lvl w:ilvl="1">
      <w:start w:val="0"/>
      <w:numFmt w:val="bullet"/>
      <w:lvlText w:val="•"/>
      <w:lvlJc w:val="left"/>
      <w:pPr>
        <w:ind w:left="3156" w:hanging="794"/>
      </w:pPr>
      <w:rPr>
        <w:rFonts w:hint="default"/>
      </w:rPr>
    </w:lvl>
    <w:lvl w:ilvl="2">
      <w:start w:val="0"/>
      <w:numFmt w:val="bullet"/>
      <w:lvlText w:val="•"/>
      <w:lvlJc w:val="left"/>
      <w:pPr>
        <w:ind w:left="3932" w:hanging="794"/>
      </w:pPr>
      <w:rPr>
        <w:rFonts w:hint="default"/>
      </w:rPr>
    </w:lvl>
    <w:lvl w:ilvl="3">
      <w:start w:val="0"/>
      <w:numFmt w:val="bullet"/>
      <w:lvlText w:val="•"/>
      <w:lvlJc w:val="left"/>
      <w:pPr>
        <w:ind w:left="4709" w:hanging="794"/>
      </w:pPr>
      <w:rPr>
        <w:rFonts w:hint="default"/>
      </w:rPr>
    </w:lvl>
    <w:lvl w:ilvl="4">
      <w:start w:val="0"/>
      <w:numFmt w:val="bullet"/>
      <w:lvlText w:val="•"/>
      <w:lvlJc w:val="left"/>
      <w:pPr>
        <w:ind w:left="5485" w:hanging="794"/>
      </w:pPr>
      <w:rPr>
        <w:rFonts w:hint="default"/>
      </w:rPr>
    </w:lvl>
    <w:lvl w:ilvl="5">
      <w:start w:val="0"/>
      <w:numFmt w:val="bullet"/>
      <w:lvlText w:val="•"/>
      <w:lvlJc w:val="left"/>
      <w:pPr>
        <w:ind w:left="6262" w:hanging="794"/>
      </w:pPr>
      <w:rPr>
        <w:rFonts w:hint="default"/>
      </w:rPr>
    </w:lvl>
    <w:lvl w:ilvl="6">
      <w:start w:val="0"/>
      <w:numFmt w:val="bullet"/>
      <w:lvlText w:val="•"/>
      <w:lvlJc w:val="left"/>
      <w:pPr>
        <w:ind w:left="7038" w:hanging="794"/>
      </w:pPr>
      <w:rPr>
        <w:rFonts w:hint="default"/>
      </w:rPr>
    </w:lvl>
    <w:lvl w:ilvl="7">
      <w:start w:val="0"/>
      <w:numFmt w:val="bullet"/>
      <w:lvlText w:val="•"/>
      <w:lvlJc w:val="left"/>
      <w:pPr>
        <w:ind w:left="7815" w:hanging="794"/>
      </w:pPr>
      <w:rPr>
        <w:rFonts w:hint="default"/>
      </w:rPr>
    </w:lvl>
    <w:lvl w:ilvl="8">
      <w:start w:val="0"/>
      <w:numFmt w:val="bullet"/>
      <w:lvlText w:val="•"/>
      <w:lvlJc w:val="left"/>
      <w:pPr>
        <w:ind w:left="8591" w:hanging="794"/>
      </w:pPr>
      <w:rPr>
        <w:rFonts w:hint="default"/>
      </w:rPr>
    </w:lvl>
  </w:abstractNum>
  <w:abstractNum w:abstractNumId="121">
    <w:multiLevelType w:val="hybridMultilevel"/>
    <w:lvl w:ilvl="0">
      <w:start w:val="138"/>
      <w:numFmt w:val="decimal"/>
      <w:lvlText w:val="%1"/>
      <w:lvlJc w:val="left"/>
      <w:pPr>
        <w:ind w:left="2381" w:hanging="794"/>
        <w:jc w:val="right"/>
      </w:pPr>
      <w:rPr>
        <w:rFonts w:hint="default" w:ascii="Calibri" w:hAnsi="Calibri" w:eastAsia="Calibri" w:cs="Calibri"/>
        <w:spacing w:val="-7"/>
        <w:w w:val="109"/>
        <w:sz w:val="13"/>
        <w:szCs w:val="13"/>
      </w:rPr>
    </w:lvl>
    <w:lvl w:ilvl="1">
      <w:start w:val="0"/>
      <w:numFmt w:val="bullet"/>
      <w:lvlText w:val="•"/>
      <w:lvlJc w:val="left"/>
      <w:pPr>
        <w:ind w:left="2380" w:hanging="794"/>
      </w:pPr>
      <w:rPr>
        <w:rFonts w:hint="default"/>
      </w:rPr>
    </w:lvl>
    <w:lvl w:ilvl="2">
      <w:start w:val="0"/>
      <w:numFmt w:val="bullet"/>
      <w:lvlText w:val="•"/>
      <w:lvlJc w:val="left"/>
      <w:pPr>
        <w:ind w:left="3122" w:hanging="794"/>
      </w:pPr>
      <w:rPr>
        <w:rFonts w:hint="default"/>
      </w:rPr>
    </w:lvl>
    <w:lvl w:ilvl="3">
      <w:start w:val="0"/>
      <w:numFmt w:val="bullet"/>
      <w:lvlText w:val="•"/>
      <w:lvlJc w:val="left"/>
      <w:pPr>
        <w:ind w:left="3864" w:hanging="794"/>
      </w:pPr>
      <w:rPr>
        <w:rFonts w:hint="default"/>
      </w:rPr>
    </w:lvl>
    <w:lvl w:ilvl="4">
      <w:start w:val="0"/>
      <w:numFmt w:val="bullet"/>
      <w:lvlText w:val="•"/>
      <w:lvlJc w:val="left"/>
      <w:pPr>
        <w:ind w:left="4606" w:hanging="794"/>
      </w:pPr>
      <w:rPr>
        <w:rFonts w:hint="default"/>
      </w:rPr>
    </w:lvl>
    <w:lvl w:ilvl="5">
      <w:start w:val="0"/>
      <w:numFmt w:val="bullet"/>
      <w:lvlText w:val="•"/>
      <w:lvlJc w:val="left"/>
      <w:pPr>
        <w:ind w:left="5348" w:hanging="794"/>
      </w:pPr>
      <w:rPr>
        <w:rFonts w:hint="default"/>
      </w:rPr>
    </w:lvl>
    <w:lvl w:ilvl="6">
      <w:start w:val="0"/>
      <w:numFmt w:val="bullet"/>
      <w:lvlText w:val="•"/>
      <w:lvlJc w:val="left"/>
      <w:pPr>
        <w:ind w:left="6090" w:hanging="794"/>
      </w:pPr>
      <w:rPr>
        <w:rFonts w:hint="default"/>
      </w:rPr>
    </w:lvl>
    <w:lvl w:ilvl="7">
      <w:start w:val="0"/>
      <w:numFmt w:val="bullet"/>
      <w:lvlText w:val="•"/>
      <w:lvlJc w:val="left"/>
      <w:pPr>
        <w:ind w:left="6832" w:hanging="794"/>
      </w:pPr>
      <w:rPr>
        <w:rFonts w:hint="default"/>
      </w:rPr>
    </w:lvl>
    <w:lvl w:ilvl="8">
      <w:start w:val="0"/>
      <w:numFmt w:val="bullet"/>
      <w:lvlText w:val="•"/>
      <w:lvlJc w:val="left"/>
      <w:pPr>
        <w:ind w:left="7574" w:hanging="794"/>
      </w:pPr>
      <w:rPr>
        <w:rFonts w:hint="default"/>
      </w:rPr>
    </w:lvl>
  </w:abstractNum>
  <w:abstractNum w:abstractNumId="116">
    <w:multiLevelType w:val="hybridMultilevel"/>
    <w:lvl w:ilvl="0">
      <w:start w:val="64"/>
      <w:numFmt w:val="decimal"/>
      <w:lvlText w:val="%1"/>
      <w:lvlJc w:val="left"/>
      <w:pPr>
        <w:ind w:left="2381" w:hanging="794"/>
        <w:jc w:val="right"/>
      </w:pPr>
      <w:rPr>
        <w:rFonts w:hint="default" w:ascii="Calibri" w:hAnsi="Calibri" w:eastAsia="Calibri" w:cs="Calibri"/>
        <w:spacing w:val="0"/>
        <w:w w:val="109"/>
        <w:sz w:val="13"/>
        <w:szCs w:val="13"/>
      </w:rPr>
    </w:lvl>
    <w:lvl w:ilvl="1">
      <w:start w:val="73"/>
      <w:numFmt w:val="decimal"/>
      <w:lvlText w:val="%2"/>
      <w:lvlJc w:val="left"/>
      <w:pPr>
        <w:ind w:left="2381" w:hanging="794"/>
        <w:jc w:val="right"/>
      </w:pPr>
      <w:rPr>
        <w:rFonts w:hint="default" w:ascii="Calibri" w:hAnsi="Calibri" w:eastAsia="Calibri" w:cs="Calibri"/>
        <w:w w:val="109"/>
        <w:sz w:val="13"/>
        <w:szCs w:val="13"/>
      </w:rPr>
    </w:lvl>
    <w:lvl w:ilvl="2">
      <w:start w:val="0"/>
      <w:numFmt w:val="bullet"/>
      <w:lvlText w:val="•"/>
      <w:lvlJc w:val="left"/>
      <w:pPr>
        <w:ind w:left="3828" w:hanging="794"/>
      </w:pPr>
      <w:rPr>
        <w:rFonts w:hint="default"/>
      </w:rPr>
    </w:lvl>
    <w:lvl w:ilvl="3">
      <w:start w:val="0"/>
      <w:numFmt w:val="bullet"/>
      <w:lvlText w:val="•"/>
      <w:lvlJc w:val="left"/>
      <w:pPr>
        <w:ind w:left="4553" w:hanging="794"/>
      </w:pPr>
      <w:rPr>
        <w:rFonts w:hint="default"/>
      </w:rPr>
    </w:lvl>
    <w:lvl w:ilvl="4">
      <w:start w:val="0"/>
      <w:numFmt w:val="bullet"/>
      <w:lvlText w:val="•"/>
      <w:lvlJc w:val="left"/>
      <w:pPr>
        <w:ind w:left="5277" w:hanging="794"/>
      </w:pPr>
      <w:rPr>
        <w:rFonts w:hint="default"/>
      </w:rPr>
    </w:lvl>
    <w:lvl w:ilvl="5">
      <w:start w:val="0"/>
      <w:numFmt w:val="bullet"/>
      <w:lvlText w:val="•"/>
      <w:lvlJc w:val="left"/>
      <w:pPr>
        <w:ind w:left="6002" w:hanging="794"/>
      </w:pPr>
      <w:rPr>
        <w:rFonts w:hint="default"/>
      </w:rPr>
    </w:lvl>
    <w:lvl w:ilvl="6">
      <w:start w:val="0"/>
      <w:numFmt w:val="bullet"/>
      <w:lvlText w:val="•"/>
      <w:lvlJc w:val="left"/>
      <w:pPr>
        <w:ind w:left="6726" w:hanging="794"/>
      </w:pPr>
      <w:rPr>
        <w:rFonts w:hint="default"/>
      </w:rPr>
    </w:lvl>
    <w:lvl w:ilvl="7">
      <w:start w:val="0"/>
      <w:numFmt w:val="bullet"/>
      <w:lvlText w:val="•"/>
      <w:lvlJc w:val="left"/>
      <w:pPr>
        <w:ind w:left="7451" w:hanging="794"/>
      </w:pPr>
      <w:rPr>
        <w:rFonts w:hint="default"/>
      </w:rPr>
    </w:lvl>
    <w:lvl w:ilvl="8">
      <w:start w:val="0"/>
      <w:numFmt w:val="bullet"/>
      <w:lvlText w:val="•"/>
      <w:lvlJc w:val="left"/>
      <w:pPr>
        <w:ind w:left="8175" w:hanging="794"/>
      </w:pPr>
      <w:rPr>
        <w:rFonts w:hint="default"/>
      </w:rPr>
    </w:lvl>
  </w:abstractNum>
  <w:abstractNum w:abstractNumId="109">
    <w:multiLevelType w:val="hybridMultilevel"/>
    <w:lvl w:ilvl="0">
      <w:start w:val="2"/>
      <w:numFmt w:val="decimal"/>
      <w:lvlText w:val="%1"/>
      <w:lvlJc w:val="left"/>
      <w:pPr>
        <w:ind w:left="2381" w:hanging="794"/>
        <w:jc w:val="left"/>
      </w:pPr>
      <w:rPr>
        <w:rFonts w:hint="default" w:ascii="Calibri" w:hAnsi="Calibri" w:eastAsia="Calibri" w:cs="Calibri"/>
        <w:w w:val="109"/>
        <w:sz w:val="13"/>
        <w:szCs w:val="13"/>
      </w:rPr>
    </w:lvl>
    <w:lvl w:ilvl="1">
      <w:start w:val="0"/>
      <w:numFmt w:val="bullet"/>
      <w:lvlText w:val="•"/>
      <w:lvlJc w:val="left"/>
      <w:pPr>
        <w:ind w:left="3164" w:hanging="794"/>
      </w:pPr>
      <w:rPr>
        <w:rFonts w:hint="default"/>
      </w:rPr>
    </w:lvl>
    <w:lvl w:ilvl="2">
      <w:start w:val="0"/>
      <w:numFmt w:val="bullet"/>
      <w:lvlText w:val="•"/>
      <w:lvlJc w:val="left"/>
      <w:pPr>
        <w:ind w:left="3949" w:hanging="794"/>
      </w:pPr>
      <w:rPr>
        <w:rFonts w:hint="default"/>
      </w:rPr>
    </w:lvl>
    <w:lvl w:ilvl="3">
      <w:start w:val="0"/>
      <w:numFmt w:val="bullet"/>
      <w:lvlText w:val="•"/>
      <w:lvlJc w:val="left"/>
      <w:pPr>
        <w:ind w:left="4734" w:hanging="794"/>
      </w:pPr>
      <w:rPr>
        <w:rFonts w:hint="default"/>
      </w:rPr>
    </w:lvl>
    <w:lvl w:ilvl="4">
      <w:start w:val="0"/>
      <w:numFmt w:val="bullet"/>
      <w:lvlText w:val="•"/>
      <w:lvlJc w:val="left"/>
      <w:pPr>
        <w:ind w:left="5519" w:hanging="794"/>
      </w:pPr>
      <w:rPr>
        <w:rFonts w:hint="default"/>
      </w:rPr>
    </w:lvl>
    <w:lvl w:ilvl="5">
      <w:start w:val="0"/>
      <w:numFmt w:val="bullet"/>
      <w:lvlText w:val="•"/>
      <w:lvlJc w:val="left"/>
      <w:pPr>
        <w:ind w:left="6304" w:hanging="794"/>
      </w:pPr>
      <w:rPr>
        <w:rFonts w:hint="default"/>
      </w:rPr>
    </w:lvl>
    <w:lvl w:ilvl="6">
      <w:start w:val="0"/>
      <w:numFmt w:val="bullet"/>
      <w:lvlText w:val="•"/>
      <w:lvlJc w:val="left"/>
      <w:pPr>
        <w:ind w:left="7089" w:hanging="794"/>
      </w:pPr>
      <w:rPr>
        <w:rFonts w:hint="default"/>
      </w:rPr>
    </w:lvl>
    <w:lvl w:ilvl="7">
      <w:start w:val="0"/>
      <w:numFmt w:val="bullet"/>
      <w:lvlText w:val="•"/>
      <w:lvlJc w:val="left"/>
      <w:pPr>
        <w:ind w:left="7873" w:hanging="794"/>
      </w:pPr>
      <w:rPr>
        <w:rFonts w:hint="default"/>
      </w:rPr>
    </w:lvl>
    <w:lvl w:ilvl="8">
      <w:start w:val="0"/>
      <w:numFmt w:val="bullet"/>
      <w:lvlText w:val="•"/>
      <w:lvlJc w:val="left"/>
      <w:pPr>
        <w:ind w:left="8658" w:hanging="794"/>
      </w:pPr>
      <w:rPr>
        <w:rFonts w:hint="default"/>
      </w:rPr>
    </w:lvl>
  </w:abstractNum>
  <w:abstractNum w:abstractNumId="85">
    <w:multiLevelType w:val="hybridMultilevel"/>
    <w:lvl w:ilvl="0">
      <w:start w:val="1"/>
      <w:numFmt w:val="lowerLetter"/>
      <w:lvlText w:val="(%1)"/>
      <w:lvlJc w:val="left"/>
      <w:pPr>
        <w:ind w:left="2948" w:hanging="341"/>
        <w:jc w:val="left"/>
      </w:pPr>
      <w:rPr>
        <w:rFonts w:hint="default" w:ascii="Calibri" w:hAnsi="Calibri" w:eastAsia="Calibri" w:cs="Calibri"/>
        <w:spacing w:val="0"/>
        <w:w w:val="109"/>
        <w:sz w:val="21"/>
        <w:szCs w:val="21"/>
      </w:rPr>
    </w:lvl>
    <w:lvl w:ilvl="1">
      <w:start w:val="1"/>
      <w:numFmt w:val="lowerRoman"/>
      <w:lvlText w:val="(%2)"/>
      <w:lvlJc w:val="left"/>
      <w:pPr>
        <w:ind w:left="3208" w:hanging="318"/>
        <w:jc w:val="left"/>
      </w:pPr>
      <w:rPr>
        <w:rFonts w:hint="default" w:ascii="Calibri" w:hAnsi="Calibri" w:eastAsia="Calibri" w:cs="Calibri"/>
        <w:spacing w:val="0"/>
        <w:w w:val="109"/>
        <w:sz w:val="21"/>
        <w:szCs w:val="21"/>
      </w:rPr>
    </w:lvl>
    <w:lvl w:ilvl="2">
      <w:start w:val="0"/>
      <w:numFmt w:val="bullet"/>
      <w:lvlText w:val="•"/>
      <w:lvlJc w:val="left"/>
      <w:pPr>
        <w:ind w:left="4167" w:hanging="318"/>
      </w:pPr>
      <w:rPr>
        <w:rFonts w:hint="default"/>
      </w:rPr>
    </w:lvl>
    <w:lvl w:ilvl="3">
      <w:start w:val="0"/>
      <w:numFmt w:val="bullet"/>
      <w:lvlText w:val="•"/>
      <w:lvlJc w:val="left"/>
      <w:pPr>
        <w:ind w:left="5134" w:hanging="318"/>
      </w:pPr>
      <w:rPr>
        <w:rFonts w:hint="default"/>
      </w:rPr>
    </w:lvl>
    <w:lvl w:ilvl="4">
      <w:start w:val="0"/>
      <w:numFmt w:val="bullet"/>
      <w:lvlText w:val="•"/>
      <w:lvlJc w:val="left"/>
      <w:pPr>
        <w:ind w:left="6101" w:hanging="318"/>
      </w:pPr>
      <w:rPr>
        <w:rFonts w:hint="default"/>
      </w:rPr>
    </w:lvl>
    <w:lvl w:ilvl="5">
      <w:start w:val="0"/>
      <w:numFmt w:val="bullet"/>
      <w:lvlText w:val="•"/>
      <w:lvlJc w:val="left"/>
      <w:pPr>
        <w:ind w:left="7069" w:hanging="318"/>
      </w:pPr>
      <w:rPr>
        <w:rFonts w:hint="default"/>
      </w:rPr>
    </w:lvl>
    <w:lvl w:ilvl="6">
      <w:start w:val="0"/>
      <w:numFmt w:val="bullet"/>
      <w:lvlText w:val="•"/>
      <w:lvlJc w:val="left"/>
      <w:pPr>
        <w:ind w:left="8036" w:hanging="318"/>
      </w:pPr>
      <w:rPr>
        <w:rFonts w:hint="default"/>
      </w:rPr>
    </w:lvl>
    <w:lvl w:ilvl="7">
      <w:start w:val="0"/>
      <w:numFmt w:val="bullet"/>
      <w:lvlText w:val="•"/>
      <w:lvlJc w:val="left"/>
      <w:pPr>
        <w:ind w:left="9003" w:hanging="318"/>
      </w:pPr>
      <w:rPr>
        <w:rFonts w:hint="default"/>
      </w:rPr>
    </w:lvl>
    <w:lvl w:ilvl="8">
      <w:start w:val="0"/>
      <w:numFmt w:val="bullet"/>
      <w:lvlText w:val="•"/>
      <w:lvlJc w:val="left"/>
      <w:pPr>
        <w:ind w:left="9970" w:hanging="318"/>
      </w:pPr>
      <w:rPr>
        <w:rFonts w:hint="default"/>
      </w:rPr>
    </w:lvl>
  </w:abstractNum>
  <w:abstractNum w:abstractNumId="80">
    <w:multiLevelType w:val="hybridMultilevel"/>
    <w:lvl w:ilvl="0">
      <w:start w:val="103"/>
      <w:numFmt w:val="decimal"/>
      <w:lvlText w:val="%1"/>
      <w:lvlJc w:val="left"/>
      <w:pPr>
        <w:ind w:left="2381" w:hanging="794"/>
        <w:jc w:val="right"/>
      </w:pPr>
      <w:rPr>
        <w:rFonts w:hint="default" w:ascii="Calibri" w:hAnsi="Calibri" w:eastAsia="Calibri" w:cs="Calibri"/>
        <w:spacing w:val="-4"/>
        <w:w w:val="109"/>
        <w:sz w:val="13"/>
        <w:szCs w:val="13"/>
      </w:rPr>
    </w:lvl>
    <w:lvl w:ilvl="1">
      <w:start w:val="0"/>
      <w:numFmt w:val="bullet"/>
      <w:lvlText w:val="•"/>
      <w:lvlJc w:val="left"/>
      <w:pPr>
        <w:ind w:left="3162" w:hanging="794"/>
      </w:pPr>
      <w:rPr>
        <w:rFonts w:hint="default"/>
      </w:rPr>
    </w:lvl>
    <w:lvl w:ilvl="2">
      <w:start w:val="0"/>
      <w:numFmt w:val="bullet"/>
      <w:lvlText w:val="•"/>
      <w:lvlJc w:val="left"/>
      <w:pPr>
        <w:ind w:left="3944" w:hanging="794"/>
      </w:pPr>
      <w:rPr>
        <w:rFonts w:hint="default"/>
      </w:rPr>
    </w:lvl>
    <w:lvl w:ilvl="3">
      <w:start w:val="0"/>
      <w:numFmt w:val="bullet"/>
      <w:lvlText w:val="•"/>
      <w:lvlJc w:val="left"/>
      <w:pPr>
        <w:ind w:left="4726" w:hanging="794"/>
      </w:pPr>
      <w:rPr>
        <w:rFonts w:hint="default"/>
      </w:rPr>
    </w:lvl>
    <w:lvl w:ilvl="4">
      <w:start w:val="0"/>
      <w:numFmt w:val="bullet"/>
      <w:lvlText w:val="•"/>
      <w:lvlJc w:val="left"/>
      <w:pPr>
        <w:ind w:left="5509" w:hanging="794"/>
      </w:pPr>
      <w:rPr>
        <w:rFonts w:hint="default"/>
      </w:rPr>
    </w:lvl>
    <w:lvl w:ilvl="5">
      <w:start w:val="0"/>
      <w:numFmt w:val="bullet"/>
      <w:lvlText w:val="•"/>
      <w:lvlJc w:val="left"/>
      <w:pPr>
        <w:ind w:left="6291" w:hanging="794"/>
      </w:pPr>
      <w:rPr>
        <w:rFonts w:hint="default"/>
      </w:rPr>
    </w:lvl>
    <w:lvl w:ilvl="6">
      <w:start w:val="0"/>
      <w:numFmt w:val="bullet"/>
      <w:lvlText w:val="•"/>
      <w:lvlJc w:val="left"/>
      <w:pPr>
        <w:ind w:left="7073" w:hanging="794"/>
      </w:pPr>
      <w:rPr>
        <w:rFonts w:hint="default"/>
      </w:rPr>
    </w:lvl>
    <w:lvl w:ilvl="7">
      <w:start w:val="0"/>
      <w:numFmt w:val="bullet"/>
      <w:lvlText w:val="•"/>
      <w:lvlJc w:val="left"/>
      <w:pPr>
        <w:ind w:left="7856" w:hanging="794"/>
      </w:pPr>
      <w:rPr>
        <w:rFonts w:hint="default"/>
      </w:rPr>
    </w:lvl>
    <w:lvl w:ilvl="8">
      <w:start w:val="0"/>
      <w:numFmt w:val="bullet"/>
      <w:lvlText w:val="•"/>
      <w:lvlJc w:val="left"/>
      <w:pPr>
        <w:ind w:left="8638" w:hanging="794"/>
      </w:pPr>
      <w:rPr>
        <w:rFonts w:hint="default"/>
      </w:rPr>
    </w:lvl>
  </w:abstractNum>
  <w:abstractNum w:abstractNumId="78">
    <w:multiLevelType w:val="hybridMultilevel"/>
    <w:lvl w:ilvl="0">
      <w:start w:val="19"/>
      <w:numFmt w:val="decimal"/>
      <w:lvlText w:val="%1"/>
      <w:lvlJc w:val="left"/>
      <w:pPr>
        <w:ind w:left="2381" w:hanging="794"/>
        <w:jc w:val="right"/>
      </w:pPr>
      <w:rPr>
        <w:rFonts w:hint="default" w:ascii="Calibri" w:hAnsi="Calibri" w:eastAsia="Calibri" w:cs="Calibri"/>
        <w:spacing w:val="-5"/>
        <w:w w:val="109"/>
        <w:sz w:val="13"/>
        <w:szCs w:val="13"/>
      </w:rPr>
    </w:lvl>
    <w:lvl w:ilvl="1">
      <w:start w:val="0"/>
      <w:numFmt w:val="bullet"/>
      <w:lvlText w:val="•"/>
      <w:lvlJc w:val="left"/>
      <w:pPr>
        <w:ind w:left="3011" w:hanging="794"/>
      </w:pPr>
      <w:rPr>
        <w:rFonts w:hint="default"/>
      </w:rPr>
    </w:lvl>
    <w:lvl w:ilvl="2">
      <w:start w:val="0"/>
      <w:numFmt w:val="bullet"/>
      <w:lvlText w:val="•"/>
      <w:lvlJc w:val="left"/>
      <w:pPr>
        <w:ind w:left="3643" w:hanging="794"/>
      </w:pPr>
      <w:rPr>
        <w:rFonts w:hint="default"/>
      </w:rPr>
    </w:lvl>
    <w:lvl w:ilvl="3">
      <w:start w:val="0"/>
      <w:numFmt w:val="bullet"/>
      <w:lvlText w:val="•"/>
      <w:lvlJc w:val="left"/>
      <w:pPr>
        <w:ind w:left="4275" w:hanging="794"/>
      </w:pPr>
      <w:rPr>
        <w:rFonts w:hint="default"/>
      </w:rPr>
    </w:lvl>
    <w:lvl w:ilvl="4">
      <w:start w:val="0"/>
      <w:numFmt w:val="bullet"/>
      <w:lvlText w:val="•"/>
      <w:lvlJc w:val="left"/>
      <w:pPr>
        <w:ind w:left="4907" w:hanging="794"/>
      </w:pPr>
      <w:rPr>
        <w:rFonts w:hint="default"/>
      </w:rPr>
    </w:lvl>
    <w:lvl w:ilvl="5">
      <w:start w:val="0"/>
      <w:numFmt w:val="bullet"/>
      <w:lvlText w:val="•"/>
      <w:lvlJc w:val="left"/>
      <w:pPr>
        <w:ind w:left="5538" w:hanging="794"/>
      </w:pPr>
      <w:rPr>
        <w:rFonts w:hint="default"/>
      </w:rPr>
    </w:lvl>
    <w:lvl w:ilvl="6">
      <w:start w:val="0"/>
      <w:numFmt w:val="bullet"/>
      <w:lvlText w:val="•"/>
      <w:lvlJc w:val="left"/>
      <w:pPr>
        <w:ind w:left="6170" w:hanging="794"/>
      </w:pPr>
      <w:rPr>
        <w:rFonts w:hint="default"/>
      </w:rPr>
    </w:lvl>
    <w:lvl w:ilvl="7">
      <w:start w:val="0"/>
      <w:numFmt w:val="bullet"/>
      <w:lvlText w:val="•"/>
      <w:lvlJc w:val="left"/>
      <w:pPr>
        <w:ind w:left="6802" w:hanging="794"/>
      </w:pPr>
      <w:rPr>
        <w:rFonts w:hint="default"/>
      </w:rPr>
    </w:lvl>
    <w:lvl w:ilvl="8">
      <w:start w:val="0"/>
      <w:numFmt w:val="bullet"/>
      <w:lvlText w:val="•"/>
      <w:lvlJc w:val="left"/>
      <w:pPr>
        <w:ind w:left="7434" w:hanging="794"/>
      </w:pPr>
      <w:rPr>
        <w:rFonts w:hint="default"/>
      </w:rPr>
    </w:lvl>
  </w:abstractNum>
  <w:abstractNum w:abstractNumId="72">
    <w:multiLevelType w:val="hybridMultilevel"/>
    <w:lvl w:ilvl="0">
      <w:start w:val="252"/>
      <w:numFmt w:val="decimal"/>
      <w:lvlText w:val="%1"/>
      <w:lvlJc w:val="left"/>
      <w:pPr>
        <w:ind w:left="2381" w:hanging="794"/>
        <w:jc w:val="left"/>
      </w:pPr>
      <w:rPr>
        <w:rFonts w:hint="default" w:ascii="Calibri" w:hAnsi="Calibri" w:eastAsia="Calibri" w:cs="Calibri"/>
        <w:spacing w:val="-1"/>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62">
    <w:multiLevelType w:val="hybridMultilevel"/>
    <w:lvl w:ilvl="0">
      <w:start w:val="165"/>
      <w:numFmt w:val="decimal"/>
      <w:lvlText w:val="%1"/>
      <w:lvlJc w:val="left"/>
      <w:pPr>
        <w:ind w:left="2381" w:hanging="794"/>
        <w:jc w:val="left"/>
      </w:pPr>
      <w:rPr>
        <w:rFonts w:hint="default" w:ascii="Calibri" w:hAnsi="Calibri" w:eastAsia="Calibri" w:cs="Calibri"/>
        <w:spacing w:val="-4"/>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57">
    <w:multiLevelType w:val="hybridMultilevel"/>
    <w:lvl w:ilvl="0">
      <w:start w:val="99"/>
      <w:numFmt w:val="decimal"/>
      <w:lvlText w:val="%1"/>
      <w:lvlJc w:val="left"/>
      <w:pPr>
        <w:ind w:left="2381" w:hanging="794"/>
        <w:jc w:val="left"/>
      </w:pPr>
      <w:rPr>
        <w:rFonts w:hint="default" w:ascii="Calibri" w:hAnsi="Calibri" w:eastAsia="Calibri" w:cs="Calibri"/>
        <w:spacing w:val="0"/>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52">
    <w:multiLevelType w:val="hybridMultilevel"/>
    <w:lvl w:ilvl="0">
      <w:start w:val="0"/>
      <w:numFmt w:val="bullet"/>
      <w:lvlText w:val="•"/>
      <w:lvlJc w:val="left"/>
      <w:pPr>
        <w:ind w:left="2721" w:hanging="341"/>
      </w:pPr>
      <w:rPr>
        <w:rFonts w:hint="default" w:ascii="Calibri" w:hAnsi="Calibri" w:eastAsia="Calibri" w:cs="Calibri"/>
        <w:w w:val="100"/>
        <w:sz w:val="21"/>
        <w:szCs w:val="21"/>
      </w:rPr>
    </w:lvl>
    <w:lvl w:ilvl="1">
      <w:start w:val="0"/>
      <w:numFmt w:val="bullet"/>
      <w:lvlText w:val="•"/>
      <w:lvlJc w:val="left"/>
      <w:pPr>
        <w:ind w:left="3638" w:hanging="341"/>
      </w:pPr>
      <w:rPr>
        <w:rFonts w:hint="default"/>
      </w:rPr>
    </w:lvl>
    <w:lvl w:ilvl="2">
      <w:start w:val="0"/>
      <w:numFmt w:val="bullet"/>
      <w:lvlText w:val="•"/>
      <w:lvlJc w:val="left"/>
      <w:pPr>
        <w:ind w:left="4557" w:hanging="341"/>
      </w:pPr>
      <w:rPr>
        <w:rFonts w:hint="default"/>
      </w:rPr>
    </w:lvl>
    <w:lvl w:ilvl="3">
      <w:start w:val="0"/>
      <w:numFmt w:val="bullet"/>
      <w:lvlText w:val="•"/>
      <w:lvlJc w:val="left"/>
      <w:pPr>
        <w:ind w:left="5475" w:hanging="341"/>
      </w:pPr>
      <w:rPr>
        <w:rFonts w:hint="default"/>
      </w:rPr>
    </w:lvl>
    <w:lvl w:ilvl="4">
      <w:start w:val="0"/>
      <w:numFmt w:val="bullet"/>
      <w:lvlText w:val="•"/>
      <w:lvlJc w:val="left"/>
      <w:pPr>
        <w:ind w:left="6394" w:hanging="341"/>
      </w:pPr>
      <w:rPr>
        <w:rFonts w:hint="default"/>
      </w:rPr>
    </w:lvl>
    <w:lvl w:ilvl="5">
      <w:start w:val="0"/>
      <w:numFmt w:val="bullet"/>
      <w:lvlText w:val="•"/>
      <w:lvlJc w:val="left"/>
      <w:pPr>
        <w:ind w:left="7312" w:hanging="341"/>
      </w:pPr>
      <w:rPr>
        <w:rFonts w:hint="default"/>
      </w:rPr>
    </w:lvl>
    <w:lvl w:ilvl="6">
      <w:start w:val="0"/>
      <w:numFmt w:val="bullet"/>
      <w:lvlText w:val="•"/>
      <w:lvlJc w:val="left"/>
      <w:pPr>
        <w:ind w:left="8231" w:hanging="341"/>
      </w:pPr>
      <w:rPr>
        <w:rFonts w:hint="default"/>
      </w:rPr>
    </w:lvl>
    <w:lvl w:ilvl="7">
      <w:start w:val="0"/>
      <w:numFmt w:val="bullet"/>
      <w:lvlText w:val="•"/>
      <w:lvlJc w:val="left"/>
      <w:pPr>
        <w:ind w:left="9149" w:hanging="341"/>
      </w:pPr>
      <w:rPr>
        <w:rFonts w:hint="default"/>
      </w:rPr>
    </w:lvl>
    <w:lvl w:ilvl="8">
      <w:start w:val="0"/>
      <w:numFmt w:val="bullet"/>
      <w:lvlText w:val="•"/>
      <w:lvlJc w:val="left"/>
      <w:pPr>
        <w:ind w:left="10068" w:hanging="341"/>
      </w:pPr>
      <w:rPr>
        <w:rFonts w:hint="default"/>
      </w:rPr>
    </w:lvl>
  </w:abstractNum>
  <w:abstractNum w:abstractNumId="51">
    <w:multiLevelType w:val="hybridMultilevel"/>
    <w:lvl w:ilvl="0">
      <w:start w:val="40"/>
      <w:numFmt w:val="decimal"/>
      <w:lvlText w:val="%1"/>
      <w:lvlJc w:val="left"/>
      <w:pPr>
        <w:ind w:left="2381" w:hanging="794"/>
        <w:jc w:val="left"/>
      </w:pPr>
      <w:rPr>
        <w:rFonts w:hint="default" w:ascii="Calibri" w:hAnsi="Calibri" w:eastAsia="Calibri" w:cs="Calibri"/>
        <w:spacing w:val="0"/>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50">
    <w:multiLevelType w:val="hybridMultilevel"/>
    <w:lvl w:ilvl="0">
      <w:start w:val="21"/>
      <w:numFmt w:val="decimal"/>
      <w:lvlText w:val="%1"/>
      <w:lvlJc w:val="left"/>
      <w:pPr>
        <w:ind w:left="2381" w:hanging="794"/>
        <w:jc w:val="left"/>
      </w:pPr>
      <w:rPr>
        <w:rFonts w:hint="default" w:ascii="Calibri" w:hAnsi="Calibri" w:eastAsia="Calibri" w:cs="Calibri"/>
        <w:spacing w:val="-5"/>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41">
    <w:multiLevelType w:val="hybridMultilevel"/>
    <w:lvl w:ilvl="0">
      <w:start w:val="40"/>
      <w:numFmt w:val="decimal"/>
      <w:lvlText w:val="%1"/>
      <w:lvlJc w:val="left"/>
      <w:pPr>
        <w:ind w:left="2381" w:hanging="794"/>
        <w:jc w:val="left"/>
      </w:pPr>
      <w:rPr>
        <w:rFonts w:hint="default" w:ascii="Calibri" w:hAnsi="Calibri" w:eastAsia="Calibri" w:cs="Calibri"/>
        <w:spacing w:val="0"/>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8">
    <w:multiLevelType w:val="hybridMultilevel"/>
    <w:lvl w:ilvl="0">
      <w:start w:val="1"/>
      <w:numFmt w:val="decimal"/>
      <w:lvlText w:val="%1"/>
      <w:lvlJc w:val="left"/>
      <w:pPr>
        <w:ind w:left="1927" w:hanging="341"/>
        <w:jc w:val="left"/>
      </w:pPr>
      <w:rPr>
        <w:rFonts w:hint="default" w:ascii="Calibri" w:hAnsi="Calibri" w:eastAsia="Calibri" w:cs="Calibri"/>
        <w:w w:val="109"/>
        <w:sz w:val="21"/>
        <w:szCs w:val="21"/>
      </w:rPr>
    </w:lvl>
    <w:lvl w:ilvl="1">
      <w:start w:val="1"/>
      <w:numFmt w:val="lowerLetter"/>
      <w:lvlText w:val="(%2)"/>
      <w:lvlJc w:val="left"/>
      <w:pPr>
        <w:ind w:left="3027" w:hanging="307"/>
        <w:jc w:val="left"/>
      </w:pPr>
      <w:rPr>
        <w:rFonts w:hint="default" w:ascii="Calibri" w:hAnsi="Calibri" w:eastAsia="Calibri" w:cs="Calibri"/>
        <w:w w:val="91"/>
        <w:sz w:val="21"/>
        <w:szCs w:val="21"/>
      </w:rPr>
    </w:lvl>
    <w:lvl w:ilvl="2">
      <w:start w:val="0"/>
      <w:numFmt w:val="bullet"/>
      <w:lvlText w:val="•"/>
      <w:lvlJc w:val="left"/>
      <w:pPr>
        <w:ind w:left="4007" w:hanging="307"/>
      </w:pPr>
      <w:rPr>
        <w:rFonts w:hint="default"/>
      </w:rPr>
    </w:lvl>
    <w:lvl w:ilvl="3">
      <w:start w:val="0"/>
      <w:numFmt w:val="bullet"/>
      <w:lvlText w:val="•"/>
      <w:lvlJc w:val="left"/>
      <w:pPr>
        <w:ind w:left="4994" w:hanging="307"/>
      </w:pPr>
      <w:rPr>
        <w:rFonts w:hint="default"/>
      </w:rPr>
    </w:lvl>
    <w:lvl w:ilvl="4">
      <w:start w:val="0"/>
      <w:numFmt w:val="bullet"/>
      <w:lvlText w:val="•"/>
      <w:lvlJc w:val="left"/>
      <w:pPr>
        <w:ind w:left="5981" w:hanging="307"/>
      </w:pPr>
      <w:rPr>
        <w:rFonts w:hint="default"/>
      </w:rPr>
    </w:lvl>
    <w:lvl w:ilvl="5">
      <w:start w:val="0"/>
      <w:numFmt w:val="bullet"/>
      <w:lvlText w:val="•"/>
      <w:lvlJc w:val="left"/>
      <w:pPr>
        <w:ind w:left="6969" w:hanging="307"/>
      </w:pPr>
      <w:rPr>
        <w:rFonts w:hint="default"/>
      </w:rPr>
    </w:lvl>
    <w:lvl w:ilvl="6">
      <w:start w:val="0"/>
      <w:numFmt w:val="bullet"/>
      <w:lvlText w:val="•"/>
      <w:lvlJc w:val="left"/>
      <w:pPr>
        <w:ind w:left="7956" w:hanging="307"/>
      </w:pPr>
      <w:rPr>
        <w:rFonts w:hint="default"/>
      </w:rPr>
    </w:lvl>
    <w:lvl w:ilvl="7">
      <w:start w:val="0"/>
      <w:numFmt w:val="bullet"/>
      <w:lvlText w:val="•"/>
      <w:lvlJc w:val="left"/>
      <w:pPr>
        <w:ind w:left="8943" w:hanging="307"/>
      </w:pPr>
      <w:rPr>
        <w:rFonts w:hint="default"/>
      </w:rPr>
    </w:lvl>
    <w:lvl w:ilvl="8">
      <w:start w:val="0"/>
      <w:numFmt w:val="bullet"/>
      <w:lvlText w:val="•"/>
      <w:lvlJc w:val="left"/>
      <w:pPr>
        <w:ind w:left="9930" w:hanging="307"/>
      </w:pPr>
      <w:rPr>
        <w:rFonts w:hint="default"/>
      </w:rPr>
    </w:lvl>
  </w:abstractNum>
  <w:abstractNum w:abstractNumId="159">
    <w:multiLevelType w:val="hybridMultilevel"/>
    <w:lvl w:ilvl="0">
      <w:start w:val="1"/>
      <w:numFmt w:val="decimal"/>
      <w:lvlText w:val="%1"/>
      <w:lvlJc w:val="left"/>
      <w:pPr>
        <w:ind w:left="2377" w:hanging="794"/>
        <w:jc w:val="left"/>
      </w:pPr>
      <w:rPr>
        <w:rFonts w:hint="default" w:ascii="Calibri" w:hAnsi="Calibri" w:eastAsia="Calibri" w:cs="Calibri"/>
        <w:w w:val="109"/>
        <w:sz w:val="21"/>
        <w:szCs w:val="21"/>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158">
    <w:multiLevelType w:val="hybridMultilevel"/>
    <w:lvl w:ilvl="0">
      <w:start w:val="43"/>
      <w:numFmt w:val="decimal"/>
      <w:lvlText w:val="%1"/>
      <w:lvlJc w:val="left"/>
      <w:pPr>
        <w:ind w:left="2494" w:hanging="907"/>
        <w:jc w:val="left"/>
      </w:pPr>
      <w:rPr>
        <w:rFonts w:hint="default" w:ascii="Calibri" w:hAnsi="Calibri" w:eastAsia="Calibri" w:cs="Calibri"/>
        <w:spacing w:val="-5"/>
        <w:w w:val="109"/>
        <w:sz w:val="21"/>
        <w:szCs w:val="21"/>
      </w:rPr>
    </w:lvl>
    <w:lvl w:ilvl="1">
      <w:start w:val="0"/>
      <w:numFmt w:val="bullet"/>
      <w:lvlText w:val="•"/>
      <w:lvlJc w:val="left"/>
      <w:pPr>
        <w:ind w:left="3440" w:hanging="907"/>
      </w:pPr>
      <w:rPr>
        <w:rFonts w:hint="default"/>
      </w:rPr>
    </w:lvl>
    <w:lvl w:ilvl="2">
      <w:start w:val="0"/>
      <w:numFmt w:val="bullet"/>
      <w:lvlText w:val="•"/>
      <w:lvlJc w:val="left"/>
      <w:pPr>
        <w:ind w:left="4381" w:hanging="907"/>
      </w:pPr>
      <w:rPr>
        <w:rFonts w:hint="default"/>
      </w:rPr>
    </w:lvl>
    <w:lvl w:ilvl="3">
      <w:start w:val="0"/>
      <w:numFmt w:val="bullet"/>
      <w:lvlText w:val="•"/>
      <w:lvlJc w:val="left"/>
      <w:pPr>
        <w:ind w:left="5321" w:hanging="907"/>
      </w:pPr>
      <w:rPr>
        <w:rFonts w:hint="default"/>
      </w:rPr>
    </w:lvl>
    <w:lvl w:ilvl="4">
      <w:start w:val="0"/>
      <w:numFmt w:val="bullet"/>
      <w:lvlText w:val="•"/>
      <w:lvlJc w:val="left"/>
      <w:pPr>
        <w:ind w:left="6262" w:hanging="907"/>
      </w:pPr>
      <w:rPr>
        <w:rFonts w:hint="default"/>
      </w:rPr>
    </w:lvl>
    <w:lvl w:ilvl="5">
      <w:start w:val="0"/>
      <w:numFmt w:val="bullet"/>
      <w:lvlText w:val="•"/>
      <w:lvlJc w:val="left"/>
      <w:pPr>
        <w:ind w:left="7202" w:hanging="907"/>
      </w:pPr>
      <w:rPr>
        <w:rFonts w:hint="default"/>
      </w:rPr>
    </w:lvl>
    <w:lvl w:ilvl="6">
      <w:start w:val="0"/>
      <w:numFmt w:val="bullet"/>
      <w:lvlText w:val="•"/>
      <w:lvlJc w:val="left"/>
      <w:pPr>
        <w:ind w:left="8143" w:hanging="907"/>
      </w:pPr>
      <w:rPr>
        <w:rFonts w:hint="default"/>
      </w:rPr>
    </w:lvl>
    <w:lvl w:ilvl="7">
      <w:start w:val="0"/>
      <w:numFmt w:val="bullet"/>
      <w:lvlText w:val="•"/>
      <w:lvlJc w:val="left"/>
      <w:pPr>
        <w:ind w:left="9083" w:hanging="907"/>
      </w:pPr>
      <w:rPr>
        <w:rFonts w:hint="default"/>
      </w:rPr>
    </w:lvl>
    <w:lvl w:ilvl="8">
      <w:start w:val="0"/>
      <w:numFmt w:val="bullet"/>
      <w:lvlText w:val="•"/>
      <w:lvlJc w:val="left"/>
      <w:pPr>
        <w:ind w:left="10024" w:hanging="907"/>
      </w:pPr>
      <w:rPr>
        <w:rFonts w:hint="default"/>
      </w:rPr>
    </w:lvl>
  </w:abstractNum>
  <w:abstractNum w:abstractNumId="157">
    <w:multiLevelType w:val="hybridMultilevel"/>
    <w:lvl w:ilvl="0">
      <w:start w:val="31"/>
      <w:numFmt w:val="decimal"/>
      <w:lvlText w:val="%1"/>
      <w:lvlJc w:val="left"/>
      <w:pPr>
        <w:ind w:left="2494" w:hanging="907"/>
        <w:jc w:val="left"/>
      </w:pPr>
      <w:rPr>
        <w:rFonts w:hint="default" w:ascii="Calibri" w:hAnsi="Calibri" w:eastAsia="Calibri" w:cs="Calibri"/>
        <w:spacing w:val="-11"/>
        <w:w w:val="109"/>
        <w:sz w:val="21"/>
        <w:szCs w:val="21"/>
      </w:rPr>
    </w:lvl>
    <w:lvl w:ilvl="1">
      <w:start w:val="0"/>
      <w:numFmt w:val="bullet"/>
      <w:lvlText w:val="•"/>
      <w:lvlJc w:val="left"/>
      <w:pPr>
        <w:ind w:left="3440" w:hanging="907"/>
      </w:pPr>
      <w:rPr>
        <w:rFonts w:hint="default"/>
      </w:rPr>
    </w:lvl>
    <w:lvl w:ilvl="2">
      <w:start w:val="0"/>
      <w:numFmt w:val="bullet"/>
      <w:lvlText w:val="•"/>
      <w:lvlJc w:val="left"/>
      <w:pPr>
        <w:ind w:left="4381" w:hanging="907"/>
      </w:pPr>
      <w:rPr>
        <w:rFonts w:hint="default"/>
      </w:rPr>
    </w:lvl>
    <w:lvl w:ilvl="3">
      <w:start w:val="0"/>
      <w:numFmt w:val="bullet"/>
      <w:lvlText w:val="•"/>
      <w:lvlJc w:val="left"/>
      <w:pPr>
        <w:ind w:left="5321" w:hanging="907"/>
      </w:pPr>
      <w:rPr>
        <w:rFonts w:hint="default"/>
      </w:rPr>
    </w:lvl>
    <w:lvl w:ilvl="4">
      <w:start w:val="0"/>
      <w:numFmt w:val="bullet"/>
      <w:lvlText w:val="•"/>
      <w:lvlJc w:val="left"/>
      <w:pPr>
        <w:ind w:left="6262" w:hanging="907"/>
      </w:pPr>
      <w:rPr>
        <w:rFonts w:hint="default"/>
      </w:rPr>
    </w:lvl>
    <w:lvl w:ilvl="5">
      <w:start w:val="0"/>
      <w:numFmt w:val="bullet"/>
      <w:lvlText w:val="•"/>
      <w:lvlJc w:val="left"/>
      <w:pPr>
        <w:ind w:left="7202" w:hanging="907"/>
      </w:pPr>
      <w:rPr>
        <w:rFonts w:hint="default"/>
      </w:rPr>
    </w:lvl>
    <w:lvl w:ilvl="6">
      <w:start w:val="0"/>
      <w:numFmt w:val="bullet"/>
      <w:lvlText w:val="•"/>
      <w:lvlJc w:val="left"/>
      <w:pPr>
        <w:ind w:left="8143" w:hanging="907"/>
      </w:pPr>
      <w:rPr>
        <w:rFonts w:hint="default"/>
      </w:rPr>
    </w:lvl>
    <w:lvl w:ilvl="7">
      <w:start w:val="0"/>
      <w:numFmt w:val="bullet"/>
      <w:lvlText w:val="•"/>
      <w:lvlJc w:val="left"/>
      <w:pPr>
        <w:ind w:left="9083" w:hanging="907"/>
      </w:pPr>
      <w:rPr>
        <w:rFonts w:hint="default"/>
      </w:rPr>
    </w:lvl>
    <w:lvl w:ilvl="8">
      <w:start w:val="0"/>
      <w:numFmt w:val="bullet"/>
      <w:lvlText w:val="•"/>
      <w:lvlJc w:val="left"/>
      <w:pPr>
        <w:ind w:left="10024" w:hanging="907"/>
      </w:pPr>
      <w:rPr>
        <w:rFonts w:hint="default"/>
      </w:rPr>
    </w:lvl>
  </w:abstractNum>
  <w:abstractNum w:abstractNumId="156">
    <w:multiLevelType w:val="hybridMultilevel"/>
    <w:lvl w:ilvl="0">
      <w:start w:val="4"/>
      <w:numFmt w:val="decimal"/>
      <w:lvlText w:val="%1"/>
      <w:lvlJc w:val="left"/>
      <w:pPr>
        <w:ind w:left="2494" w:hanging="907"/>
        <w:jc w:val="left"/>
      </w:pPr>
      <w:rPr>
        <w:rFonts w:hint="default" w:ascii="Calibri" w:hAnsi="Calibri" w:eastAsia="Calibri" w:cs="Calibri"/>
        <w:w w:val="109"/>
        <w:sz w:val="21"/>
        <w:szCs w:val="21"/>
      </w:rPr>
    </w:lvl>
    <w:lvl w:ilvl="1">
      <w:start w:val="0"/>
      <w:numFmt w:val="bullet"/>
      <w:lvlText w:val="•"/>
      <w:lvlJc w:val="left"/>
      <w:pPr>
        <w:ind w:left="3101" w:hanging="907"/>
      </w:pPr>
      <w:rPr>
        <w:rFonts w:hint="default"/>
      </w:rPr>
    </w:lvl>
    <w:lvl w:ilvl="2">
      <w:start w:val="0"/>
      <w:numFmt w:val="bullet"/>
      <w:lvlText w:val="•"/>
      <w:lvlJc w:val="left"/>
      <w:pPr>
        <w:ind w:left="3703" w:hanging="907"/>
      </w:pPr>
      <w:rPr>
        <w:rFonts w:hint="default"/>
      </w:rPr>
    </w:lvl>
    <w:lvl w:ilvl="3">
      <w:start w:val="0"/>
      <w:numFmt w:val="bullet"/>
      <w:lvlText w:val="•"/>
      <w:lvlJc w:val="left"/>
      <w:pPr>
        <w:ind w:left="4304" w:hanging="907"/>
      </w:pPr>
      <w:rPr>
        <w:rFonts w:hint="default"/>
      </w:rPr>
    </w:lvl>
    <w:lvl w:ilvl="4">
      <w:start w:val="0"/>
      <w:numFmt w:val="bullet"/>
      <w:lvlText w:val="•"/>
      <w:lvlJc w:val="left"/>
      <w:pPr>
        <w:ind w:left="4906" w:hanging="907"/>
      </w:pPr>
      <w:rPr>
        <w:rFonts w:hint="default"/>
      </w:rPr>
    </w:lvl>
    <w:lvl w:ilvl="5">
      <w:start w:val="0"/>
      <w:numFmt w:val="bullet"/>
      <w:lvlText w:val="•"/>
      <w:lvlJc w:val="left"/>
      <w:pPr>
        <w:ind w:left="5508" w:hanging="907"/>
      </w:pPr>
      <w:rPr>
        <w:rFonts w:hint="default"/>
      </w:rPr>
    </w:lvl>
    <w:lvl w:ilvl="6">
      <w:start w:val="0"/>
      <w:numFmt w:val="bullet"/>
      <w:lvlText w:val="•"/>
      <w:lvlJc w:val="left"/>
      <w:pPr>
        <w:ind w:left="6109" w:hanging="907"/>
      </w:pPr>
      <w:rPr>
        <w:rFonts w:hint="default"/>
      </w:rPr>
    </w:lvl>
    <w:lvl w:ilvl="7">
      <w:start w:val="0"/>
      <w:numFmt w:val="bullet"/>
      <w:lvlText w:val="•"/>
      <w:lvlJc w:val="left"/>
      <w:pPr>
        <w:ind w:left="6711" w:hanging="907"/>
      </w:pPr>
      <w:rPr>
        <w:rFonts w:hint="default"/>
      </w:rPr>
    </w:lvl>
    <w:lvl w:ilvl="8">
      <w:start w:val="0"/>
      <w:numFmt w:val="bullet"/>
      <w:lvlText w:val="•"/>
      <w:lvlJc w:val="left"/>
      <w:pPr>
        <w:ind w:left="7312" w:hanging="907"/>
      </w:pPr>
      <w:rPr>
        <w:rFonts w:hint="default"/>
      </w:rPr>
    </w:lvl>
  </w:abstractNum>
  <w:abstractNum w:abstractNumId="155">
    <w:multiLevelType w:val="hybridMultilevel"/>
    <w:lvl w:ilvl="0">
      <w:start w:val="1"/>
      <w:numFmt w:val="decimal"/>
      <w:lvlText w:val="%1"/>
      <w:lvlJc w:val="left"/>
      <w:pPr>
        <w:ind w:left="2494" w:hanging="907"/>
        <w:jc w:val="left"/>
      </w:pPr>
      <w:rPr>
        <w:rFonts w:hint="default" w:ascii="Calibri" w:hAnsi="Calibri" w:eastAsia="Calibri" w:cs="Calibri"/>
        <w:w w:val="109"/>
        <w:sz w:val="21"/>
        <w:szCs w:val="21"/>
      </w:rPr>
    </w:lvl>
    <w:lvl w:ilvl="1">
      <w:start w:val="0"/>
      <w:numFmt w:val="bullet"/>
      <w:lvlText w:val="•"/>
      <w:lvlJc w:val="left"/>
      <w:pPr>
        <w:ind w:left="3101" w:hanging="907"/>
      </w:pPr>
      <w:rPr>
        <w:rFonts w:hint="default"/>
      </w:rPr>
    </w:lvl>
    <w:lvl w:ilvl="2">
      <w:start w:val="0"/>
      <w:numFmt w:val="bullet"/>
      <w:lvlText w:val="•"/>
      <w:lvlJc w:val="left"/>
      <w:pPr>
        <w:ind w:left="3703" w:hanging="907"/>
      </w:pPr>
      <w:rPr>
        <w:rFonts w:hint="default"/>
      </w:rPr>
    </w:lvl>
    <w:lvl w:ilvl="3">
      <w:start w:val="0"/>
      <w:numFmt w:val="bullet"/>
      <w:lvlText w:val="•"/>
      <w:lvlJc w:val="left"/>
      <w:pPr>
        <w:ind w:left="4304" w:hanging="907"/>
      </w:pPr>
      <w:rPr>
        <w:rFonts w:hint="default"/>
      </w:rPr>
    </w:lvl>
    <w:lvl w:ilvl="4">
      <w:start w:val="0"/>
      <w:numFmt w:val="bullet"/>
      <w:lvlText w:val="•"/>
      <w:lvlJc w:val="left"/>
      <w:pPr>
        <w:ind w:left="4906" w:hanging="907"/>
      </w:pPr>
      <w:rPr>
        <w:rFonts w:hint="default"/>
      </w:rPr>
    </w:lvl>
    <w:lvl w:ilvl="5">
      <w:start w:val="0"/>
      <w:numFmt w:val="bullet"/>
      <w:lvlText w:val="•"/>
      <w:lvlJc w:val="left"/>
      <w:pPr>
        <w:ind w:left="5508" w:hanging="907"/>
      </w:pPr>
      <w:rPr>
        <w:rFonts w:hint="default"/>
      </w:rPr>
    </w:lvl>
    <w:lvl w:ilvl="6">
      <w:start w:val="0"/>
      <w:numFmt w:val="bullet"/>
      <w:lvlText w:val="•"/>
      <w:lvlJc w:val="left"/>
      <w:pPr>
        <w:ind w:left="6109" w:hanging="907"/>
      </w:pPr>
      <w:rPr>
        <w:rFonts w:hint="default"/>
      </w:rPr>
    </w:lvl>
    <w:lvl w:ilvl="7">
      <w:start w:val="0"/>
      <w:numFmt w:val="bullet"/>
      <w:lvlText w:val="•"/>
      <w:lvlJc w:val="left"/>
      <w:pPr>
        <w:ind w:left="6711" w:hanging="907"/>
      </w:pPr>
      <w:rPr>
        <w:rFonts w:hint="default"/>
      </w:rPr>
    </w:lvl>
    <w:lvl w:ilvl="8">
      <w:start w:val="0"/>
      <w:numFmt w:val="bullet"/>
      <w:lvlText w:val="•"/>
      <w:lvlJc w:val="left"/>
      <w:pPr>
        <w:ind w:left="7312" w:hanging="907"/>
      </w:pPr>
      <w:rPr>
        <w:rFonts w:hint="default"/>
      </w:rPr>
    </w:lvl>
  </w:abstractNum>
  <w:abstractNum w:abstractNumId="153">
    <w:multiLevelType w:val="hybridMultilevel"/>
    <w:lvl w:ilvl="0">
      <w:start w:val="12"/>
      <w:numFmt w:val="decimal"/>
      <w:lvlText w:val="%1"/>
      <w:lvlJc w:val="left"/>
      <w:pPr>
        <w:ind w:left="2381" w:hanging="794"/>
        <w:jc w:val="left"/>
      </w:pPr>
      <w:rPr>
        <w:rFonts w:hint="default" w:ascii="Calibri" w:hAnsi="Calibri" w:eastAsia="Calibri" w:cs="Calibri"/>
        <w:spacing w:val="-7"/>
        <w:w w:val="109"/>
        <w:sz w:val="13"/>
        <w:szCs w:val="13"/>
      </w:rPr>
    </w:lvl>
    <w:lvl w:ilvl="1">
      <w:start w:val="0"/>
      <w:numFmt w:val="bullet"/>
      <w:lvlText w:val="•"/>
      <w:lvlJc w:val="left"/>
      <w:pPr>
        <w:ind w:left="3156" w:hanging="794"/>
      </w:pPr>
      <w:rPr>
        <w:rFonts w:hint="default"/>
      </w:rPr>
    </w:lvl>
    <w:lvl w:ilvl="2">
      <w:start w:val="0"/>
      <w:numFmt w:val="bullet"/>
      <w:lvlText w:val="•"/>
      <w:lvlJc w:val="left"/>
      <w:pPr>
        <w:ind w:left="3932" w:hanging="794"/>
      </w:pPr>
      <w:rPr>
        <w:rFonts w:hint="default"/>
      </w:rPr>
    </w:lvl>
    <w:lvl w:ilvl="3">
      <w:start w:val="0"/>
      <w:numFmt w:val="bullet"/>
      <w:lvlText w:val="•"/>
      <w:lvlJc w:val="left"/>
      <w:pPr>
        <w:ind w:left="4708" w:hanging="794"/>
      </w:pPr>
      <w:rPr>
        <w:rFonts w:hint="default"/>
      </w:rPr>
    </w:lvl>
    <w:lvl w:ilvl="4">
      <w:start w:val="0"/>
      <w:numFmt w:val="bullet"/>
      <w:lvlText w:val="•"/>
      <w:lvlJc w:val="left"/>
      <w:pPr>
        <w:ind w:left="5485" w:hanging="794"/>
      </w:pPr>
      <w:rPr>
        <w:rFonts w:hint="default"/>
      </w:rPr>
    </w:lvl>
    <w:lvl w:ilvl="5">
      <w:start w:val="0"/>
      <w:numFmt w:val="bullet"/>
      <w:lvlText w:val="•"/>
      <w:lvlJc w:val="left"/>
      <w:pPr>
        <w:ind w:left="6261" w:hanging="794"/>
      </w:pPr>
      <w:rPr>
        <w:rFonts w:hint="default"/>
      </w:rPr>
    </w:lvl>
    <w:lvl w:ilvl="6">
      <w:start w:val="0"/>
      <w:numFmt w:val="bullet"/>
      <w:lvlText w:val="•"/>
      <w:lvlJc w:val="left"/>
      <w:pPr>
        <w:ind w:left="7037" w:hanging="794"/>
      </w:pPr>
      <w:rPr>
        <w:rFonts w:hint="default"/>
      </w:rPr>
    </w:lvl>
    <w:lvl w:ilvl="7">
      <w:start w:val="0"/>
      <w:numFmt w:val="bullet"/>
      <w:lvlText w:val="•"/>
      <w:lvlJc w:val="left"/>
      <w:pPr>
        <w:ind w:left="7813" w:hanging="794"/>
      </w:pPr>
      <w:rPr>
        <w:rFonts w:hint="default"/>
      </w:rPr>
    </w:lvl>
    <w:lvl w:ilvl="8">
      <w:start w:val="0"/>
      <w:numFmt w:val="bullet"/>
      <w:lvlText w:val="•"/>
      <w:lvlJc w:val="left"/>
      <w:pPr>
        <w:ind w:left="8590" w:hanging="794"/>
      </w:pPr>
      <w:rPr>
        <w:rFonts w:hint="default"/>
      </w:rPr>
    </w:lvl>
  </w:abstractNum>
  <w:abstractNum w:abstractNumId="152">
    <w:multiLevelType w:val="hybridMultilevel"/>
    <w:lvl w:ilvl="0">
      <w:start w:val="1"/>
      <w:numFmt w:val="decimal"/>
      <w:lvlText w:val="%1"/>
      <w:lvlJc w:val="left"/>
      <w:pPr>
        <w:ind w:left="2381" w:hanging="794"/>
        <w:jc w:val="right"/>
      </w:pPr>
      <w:rPr>
        <w:rFonts w:hint="default" w:ascii="Calibri" w:hAnsi="Calibri" w:eastAsia="Calibri" w:cs="Calibri"/>
        <w:w w:val="109"/>
        <w:sz w:val="13"/>
        <w:szCs w:val="13"/>
      </w:rPr>
    </w:lvl>
    <w:lvl w:ilvl="1">
      <w:start w:val="0"/>
      <w:numFmt w:val="bullet"/>
      <w:lvlText w:val="•"/>
      <w:lvlJc w:val="left"/>
      <w:pPr>
        <w:ind w:left="1980" w:hanging="794"/>
      </w:pPr>
      <w:rPr>
        <w:rFonts w:hint="default"/>
      </w:rPr>
    </w:lvl>
    <w:lvl w:ilvl="2">
      <w:start w:val="0"/>
      <w:numFmt w:val="bullet"/>
      <w:lvlText w:val="•"/>
      <w:lvlJc w:val="left"/>
      <w:pPr>
        <w:ind w:left="2380" w:hanging="794"/>
      </w:pPr>
      <w:rPr>
        <w:rFonts w:hint="default"/>
      </w:rPr>
    </w:lvl>
    <w:lvl w:ilvl="3">
      <w:start w:val="0"/>
      <w:numFmt w:val="bullet"/>
      <w:lvlText w:val="•"/>
      <w:lvlJc w:val="left"/>
      <w:pPr>
        <w:ind w:left="3369" w:hanging="794"/>
      </w:pPr>
      <w:rPr>
        <w:rFonts w:hint="default"/>
      </w:rPr>
    </w:lvl>
    <w:lvl w:ilvl="4">
      <w:start w:val="0"/>
      <w:numFmt w:val="bullet"/>
      <w:lvlText w:val="•"/>
      <w:lvlJc w:val="left"/>
      <w:pPr>
        <w:ind w:left="4359" w:hanging="794"/>
      </w:pPr>
      <w:rPr>
        <w:rFonts w:hint="default"/>
      </w:rPr>
    </w:lvl>
    <w:lvl w:ilvl="5">
      <w:start w:val="0"/>
      <w:numFmt w:val="bullet"/>
      <w:lvlText w:val="•"/>
      <w:lvlJc w:val="left"/>
      <w:pPr>
        <w:ind w:left="5349" w:hanging="794"/>
      </w:pPr>
      <w:rPr>
        <w:rFonts w:hint="default"/>
      </w:rPr>
    </w:lvl>
    <w:lvl w:ilvl="6">
      <w:start w:val="0"/>
      <w:numFmt w:val="bullet"/>
      <w:lvlText w:val="•"/>
      <w:lvlJc w:val="left"/>
      <w:pPr>
        <w:ind w:left="6339" w:hanging="794"/>
      </w:pPr>
      <w:rPr>
        <w:rFonts w:hint="default"/>
      </w:rPr>
    </w:lvl>
    <w:lvl w:ilvl="7">
      <w:start w:val="0"/>
      <w:numFmt w:val="bullet"/>
      <w:lvlText w:val="•"/>
      <w:lvlJc w:val="left"/>
      <w:pPr>
        <w:ind w:left="7329" w:hanging="794"/>
      </w:pPr>
      <w:rPr>
        <w:rFonts w:hint="default"/>
      </w:rPr>
    </w:lvl>
    <w:lvl w:ilvl="8">
      <w:start w:val="0"/>
      <w:numFmt w:val="bullet"/>
      <w:lvlText w:val="•"/>
      <w:lvlJc w:val="left"/>
      <w:pPr>
        <w:ind w:left="8319" w:hanging="794"/>
      </w:pPr>
      <w:rPr>
        <w:rFonts w:hint="default"/>
      </w:rPr>
    </w:lvl>
  </w:abstractNum>
  <w:abstractNum w:abstractNumId="151">
    <w:multiLevelType w:val="hybridMultilevel"/>
    <w:lvl w:ilvl="0">
      <w:start w:val="10"/>
      <w:numFmt w:val="decimal"/>
      <w:lvlText w:val="%1"/>
      <w:lvlJc w:val="left"/>
      <w:pPr>
        <w:ind w:left="2381" w:hanging="794"/>
        <w:jc w:val="left"/>
      </w:pPr>
      <w:rPr>
        <w:rFonts w:hint="default"/>
      </w:rPr>
    </w:lvl>
    <w:lvl w:ilvl="1">
      <w:start w:val="6"/>
      <w:numFmt w:val="decimal"/>
      <w:lvlText w:val="%1.%2"/>
      <w:lvlJc w:val="left"/>
      <w:pPr>
        <w:ind w:left="2381" w:hanging="794"/>
        <w:jc w:val="left"/>
      </w:pPr>
      <w:rPr>
        <w:rFonts w:hint="default" w:ascii="Calibri" w:hAnsi="Calibri" w:eastAsia="Calibri" w:cs="Calibri"/>
        <w:spacing w:val="-11"/>
        <w:w w:val="109"/>
        <w:sz w:val="21"/>
        <w:szCs w:val="21"/>
      </w:rPr>
    </w:lvl>
    <w:lvl w:ilvl="2">
      <w:start w:val="0"/>
      <w:numFmt w:val="bullet"/>
      <w:lvlText w:val="•"/>
      <w:lvlJc w:val="left"/>
      <w:pPr>
        <w:ind w:left="2721" w:hanging="341"/>
      </w:pPr>
      <w:rPr>
        <w:rFonts w:hint="default" w:ascii="Calibri" w:hAnsi="Calibri" w:eastAsia="Calibri" w:cs="Calibri"/>
        <w:w w:val="100"/>
        <w:sz w:val="21"/>
        <w:szCs w:val="21"/>
      </w:rPr>
    </w:lvl>
    <w:lvl w:ilvl="3">
      <w:start w:val="0"/>
      <w:numFmt w:val="bullet"/>
      <w:lvlText w:val="•"/>
      <w:lvlJc w:val="left"/>
      <w:pPr>
        <w:ind w:left="4761" w:hanging="341"/>
      </w:pPr>
      <w:rPr>
        <w:rFonts w:hint="default"/>
      </w:rPr>
    </w:lvl>
    <w:lvl w:ilvl="4">
      <w:start w:val="0"/>
      <w:numFmt w:val="bullet"/>
      <w:lvlText w:val="•"/>
      <w:lvlJc w:val="left"/>
      <w:pPr>
        <w:ind w:left="5781" w:hanging="341"/>
      </w:pPr>
      <w:rPr>
        <w:rFonts w:hint="default"/>
      </w:rPr>
    </w:lvl>
    <w:lvl w:ilvl="5">
      <w:start w:val="0"/>
      <w:numFmt w:val="bullet"/>
      <w:lvlText w:val="•"/>
      <w:lvlJc w:val="left"/>
      <w:pPr>
        <w:ind w:left="6802" w:hanging="341"/>
      </w:pPr>
      <w:rPr>
        <w:rFonts w:hint="default"/>
      </w:rPr>
    </w:lvl>
    <w:lvl w:ilvl="6">
      <w:start w:val="0"/>
      <w:numFmt w:val="bullet"/>
      <w:lvlText w:val="•"/>
      <w:lvlJc w:val="left"/>
      <w:pPr>
        <w:ind w:left="7823" w:hanging="341"/>
      </w:pPr>
      <w:rPr>
        <w:rFonts w:hint="default"/>
      </w:rPr>
    </w:lvl>
    <w:lvl w:ilvl="7">
      <w:start w:val="0"/>
      <w:numFmt w:val="bullet"/>
      <w:lvlText w:val="•"/>
      <w:lvlJc w:val="left"/>
      <w:pPr>
        <w:ind w:left="8843" w:hanging="341"/>
      </w:pPr>
      <w:rPr>
        <w:rFonts w:hint="default"/>
      </w:rPr>
    </w:lvl>
    <w:lvl w:ilvl="8">
      <w:start w:val="0"/>
      <w:numFmt w:val="bullet"/>
      <w:lvlText w:val="•"/>
      <w:lvlJc w:val="left"/>
      <w:pPr>
        <w:ind w:left="9864" w:hanging="341"/>
      </w:pPr>
      <w:rPr>
        <w:rFonts w:hint="default"/>
      </w:rPr>
    </w:lvl>
  </w:abstractNum>
  <w:abstractNum w:abstractNumId="150">
    <w:multiLevelType w:val="hybridMultilevel"/>
    <w:lvl w:ilvl="0">
      <w:start w:val="1"/>
      <w:numFmt w:val="lowerLetter"/>
      <w:lvlText w:val="(%1)"/>
      <w:lvlJc w:val="left"/>
      <w:pPr>
        <w:ind w:left="340" w:hanging="341"/>
        <w:jc w:val="left"/>
      </w:pPr>
      <w:rPr>
        <w:rFonts w:hint="default" w:ascii="Calibri" w:hAnsi="Calibri" w:eastAsia="Calibri" w:cs="Calibri"/>
        <w:spacing w:val="0"/>
        <w:w w:val="109"/>
        <w:sz w:val="21"/>
        <w:szCs w:val="21"/>
      </w:rPr>
    </w:lvl>
    <w:lvl w:ilvl="1">
      <w:start w:val="0"/>
      <w:numFmt w:val="bullet"/>
      <w:lvlText w:val="•"/>
      <w:lvlJc w:val="left"/>
      <w:pPr>
        <w:ind w:left="1072" w:hanging="341"/>
      </w:pPr>
      <w:rPr>
        <w:rFonts w:hint="default"/>
      </w:rPr>
    </w:lvl>
    <w:lvl w:ilvl="2">
      <w:start w:val="0"/>
      <w:numFmt w:val="bullet"/>
      <w:lvlText w:val="•"/>
      <w:lvlJc w:val="left"/>
      <w:pPr>
        <w:ind w:left="1804" w:hanging="341"/>
      </w:pPr>
      <w:rPr>
        <w:rFonts w:hint="default"/>
      </w:rPr>
    </w:lvl>
    <w:lvl w:ilvl="3">
      <w:start w:val="0"/>
      <w:numFmt w:val="bullet"/>
      <w:lvlText w:val="•"/>
      <w:lvlJc w:val="left"/>
      <w:pPr>
        <w:ind w:left="2537" w:hanging="341"/>
      </w:pPr>
      <w:rPr>
        <w:rFonts w:hint="default"/>
      </w:rPr>
    </w:lvl>
    <w:lvl w:ilvl="4">
      <w:start w:val="0"/>
      <w:numFmt w:val="bullet"/>
      <w:lvlText w:val="•"/>
      <w:lvlJc w:val="left"/>
      <w:pPr>
        <w:ind w:left="3269" w:hanging="341"/>
      </w:pPr>
      <w:rPr>
        <w:rFonts w:hint="default"/>
      </w:rPr>
    </w:lvl>
    <w:lvl w:ilvl="5">
      <w:start w:val="0"/>
      <w:numFmt w:val="bullet"/>
      <w:lvlText w:val="•"/>
      <w:lvlJc w:val="left"/>
      <w:pPr>
        <w:ind w:left="4002" w:hanging="341"/>
      </w:pPr>
      <w:rPr>
        <w:rFonts w:hint="default"/>
      </w:rPr>
    </w:lvl>
    <w:lvl w:ilvl="6">
      <w:start w:val="0"/>
      <w:numFmt w:val="bullet"/>
      <w:lvlText w:val="•"/>
      <w:lvlJc w:val="left"/>
      <w:pPr>
        <w:ind w:left="4734" w:hanging="341"/>
      </w:pPr>
      <w:rPr>
        <w:rFonts w:hint="default"/>
      </w:rPr>
    </w:lvl>
    <w:lvl w:ilvl="7">
      <w:start w:val="0"/>
      <w:numFmt w:val="bullet"/>
      <w:lvlText w:val="•"/>
      <w:lvlJc w:val="left"/>
      <w:pPr>
        <w:ind w:left="5467" w:hanging="341"/>
      </w:pPr>
      <w:rPr>
        <w:rFonts w:hint="default"/>
      </w:rPr>
    </w:lvl>
    <w:lvl w:ilvl="8">
      <w:start w:val="0"/>
      <w:numFmt w:val="bullet"/>
      <w:lvlText w:val="•"/>
      <w:lvlJc w:val="left"/>
      <w:pPr>
        <w:ind w:left="6199" w:hanging="341"/>
      </w:pPr>
      <w:rPr>
        <w:rFonts w:hint="default"/>
      </w:rPr>
    </w:lvl>
  </w:abstractNum>
  <w:abstractNum w:abstractNumId="149">
    <w:multiLevelType w:val="hybridMultilevel"/>
    <w:lvl w:ilvl="0">
      <w:start w:val="119"/>
      <w:numFmt w:val="decimal"/>
      <w:lvlText w:val="%1"/>
      <w:lvlJc w:val="left"/>
      <w:pPr>
        <w:ind w:left="2381" w:hanging="794"/>
        <w:jc w:val="left"/>
      </w:pPr>
      <w:rPr>
        <w:rFonts w:hint="default" w:ascii="Calibri" w:hAnsi="Calibri" w:eastAsia="Calibri" w:cs="Calibri"/>
        <w:spacing w:val="-11"/>
        <w:w w:val="109"/>
        <w:sz w:val="13"/>
        <w:szCs w:val="13"/>
      </w:rPr>
    </w:lvl>
    <w:lvl w:ilvl="1">
      <w:start w:val="0"/>
      <w:numFmt w:val="bullet"/>
      <w:lvlText w:val="•"/>
      <w:lvlJc w:val="left"/>
      <w:pPr>
        <w:ind w:left="3162" w:hanging="794"/>
      </w:pPr>
      <w:rPr>
        <w:rFonts w:hint="default"/>
      </w:rPr>
    </w:lvl>
    <w:lvl w:ilvl="2">
      <w:start w:val="0"/>
      <w:numFmt w:val="bullet"/>
      <w:lvlText w:val="•"/>
      <w:lvlJc w:val="left"/>
      <w:pPr>
        <w:ind w:left="3945" w:hanging="794"/>
      </w:pPr>
      <w:rPr>
        <w:rFonts w:hint="default"/>
      </w:rPr>
    </w:lvl>
    <w:lvl w:ilvl="3">
      <w:start w:val="0"/>
      <w:numFmt w:val="bullet"/>
      <w:lvlText w:val="•"/>
      <w:lvlJc w:val="left"/>
      <w:pPr>
        <w:ind w:left="4728" w:hanging="794"/>
      </w:pPr>
      <w:rPr>
        <w:rFonts w:hint="default"/>
      </w:rPr>
    </w:lvl>
    <w:lvl w:ilvl="4">
      <w:start w:val="0"/>
      <w:numFmt w:val="bullet"/>
      <w:lvlText w:val="•"/>
      <w:lvlJc w:val="left"/>
      <w:pPr>
        <w:ind w:left="5511" w:hanging="794"/>
      </w:pPr>
      <w:rPr>
        <w:rFonts w:hint="default"/>
      </w:rPr>
    </w:lvl>
    <w:lvl w:ilvl="5">
      <w:start w:val="0"/>
      <w:numFmt w:val="bullet"/>
      <w:lvlText w:val="•"/>
      <w:lvlJc w:val="left"/>
      <w:pPr>
        <w:ind w:left="6294" w:hanging="794"/>
      </w:pPr>
      <w:rPr>
        <w:rFonts w:hint="default"/>
      </w:rPr>
    </w:lvl>
    <w:lvl w:ilvl="6">
      <w:start w:val="0"/>
      <w:numFmt w:val="bullet"/>
      <w:lvlText w:val="•"/>
      <w:lvlJc w:val="left"/>
      <w:pPr>
        <w:ind w:left="7076" w:hanging="794"/>
      </w:pPr>
      <w:rPr>
        <w:rFonts w:hint="default"/>
      </w:rPr>
    </w:lvl>
    <w:lvl w:ilvl="7">
      <w:start w:val="0"/>
      <w:numFmt w:val="bullet"/>
      <w:lvlText w:val="•"/>
      <w:lvlJc w:val="left"/>
      <w:pPr>
        <w:ind w:left="7859" w:hanging="794"/>
      </w:pPr>
      <w:rPr>
        <w:rFonts w:hint="default"/>
      </w:rPr>
    </w:lvl>
    <w:lvl w:ilvl="8">
      <w:start w:val="0"/>
      <w:numFmt w:val="bullet"/>
      <w:lvlText w:val="•"/>
      <w:lvlJc w:val="left"/>
      <w:pPr>
        <w:ind w:left="8642" w:hanging="794"/>
      </w:pPr>
      <w:rPr>
        <w:rFonts w:hint="default"/>
      </w:rPr>
    </w:lvl>
  </w:abstractNum>
  <w:abstractNum w:abstractNumId="148">
    <w:multiLevelType w:val="hybridMultilevel"/>
    <w:lvl w:ilvl="0">
      <w:start w:val="111"/>
      <w:numFmt w:val="decimal"/>
      <w:lvlText w:val="%1"/>
      <w:lvlJc w:val="left"/>
      <w:pPr>
        <w:ind w:left="1216" w:hanging="794"/>
        <w:jc w:val="left"/>
      </w:pPr>
      <w:rPr>
        <w:rFonts w:hint="default" w:ascii="Calibri" w:hAnsi="Calibri" w:eastAsia="Calibri" w:cs="Calibri"/>
        <w:spacing w:val="-11"/>
        <w:w w:val="109"/>
        <w:sz w:val="13"/>
        <w:szCs w:val="13"/>
      </w:rPr>
    </w:lvl>
    <w:lvl w:ilvl="1">
      <w:start w:val="0"/>
      <w:numFmt w:val="bullet"/>
      <w:lvlText w:val="•"/>
      <w:lvlJc w:val="left"/>
      <w:pPr>
        <w:ind w:left="2172" w:hanging="794"/>
      </w:pPr>
      <w:rPr>
        <w:rFonts w:hint="default"/>
      </w:rPr>
    </w:lvl>
    <w:lvl w:ilvl="2">
      <w:start w:val="0"/>
      <w:numFmt w:val="bullet"/>
      <w:lvlText w:val="•"/>
      <w:lvlJc w:val="left"/>
      <w:pPr>
        <w:ind w:left="3124" w:hanging="794"/>
      </w:pPr>
      <w:rPr>
        <w:rFonts w:hint="default"/>
      </w:rPr>
    </w:lvl>
    <w:lvl w:ilvl="3">
      <w:start w:val="0"/>
      <w:numFmt w:val="bullet"/>
      <w:lvlText w:val="•"/>
      <w:lvlJc w:val="left"/>
      <w:pPr>
        <w:ind w:left="4076" w:hanging="794"/>
      </w:pPr>
      <w:rPr>
        <w:rFonts w:hint="default"/>
      </w:rPr>
    </w:lvl>
    <w:lvl w:ilvl="4">
      <w:start w:val="0"/>
      <w:numFmt w:val="bullet"/>
      <w:lvlText w:val="•"/>
      <w:lvlJc w:val="left"/>
      <w:pPr>
        <w:ind w:left="5028" w:hanging="794"/>
      </w:pPr>
      <w:rPr>
        <w:rFonts w:hint="default"/>
      </w:rPr>
    </w:lvl>
    <w:lvl w:ilvl="5">
      <w:start w:val="0"/>
      <w:numFmt w:val="bullet"/>
      <w:lvlText w:val="•"/>
      <w:lvlJc w:val="left"/>
      <w:pPr>
        <w:ind w:left="5980" w:hanging="794"/>
      </w:pPr>
      <w:rPr>
        <w:rFonts w:hint="default"/>
      </w:rPr>
    </w:lvl>
    <w:lvl w:ilvl="6">
      <w:start w:val="0"/>
      <w:numFmt w:val="bullet"/>
      <w:lvlText w:val="•"/>
      <w:lvlJc w:val="left"/>
      <w:pPr>
        <w:ind w:left="6932" w:hanging="794"/>
      </w:pPr>
      <w:rPr>
        <w:rFonts w:hint="default"/>
      </w:rPr>
    </w:lvl>
    <w:lvl w:ilvl="7">
      <w:start w:val="0"/>
      <w:numFmt w:val="bullet"/>
      <w:lvlText w:val="•"/>
      <w:lvlJc w:val="left"/>
      <w:pPr>
        <w:ind w:left="7884" w:hanging="794"/>
      </w:pPr>
      <w:rPr>
        <w:rFonts w:hint="default"/>
      </w:rPr>
    </w:lvl>
    <w:lvl w:ilvl="8">
      <w:start w:val="0"/>
      <w:numFmt w:val="bullet"/>
      <w:lvlText w:val="•"/>
      <w:lvlJc w:val="left"/>
      <w:pPr>
        <w:ind w:left="8837" w:hanging="794"/>
      </w:pPr>
      <w:rPr>
        <w:rFonts w:hint="default"/>
      </w:rPr>
    </w:lvl>
  </w:abstractNum>
  <w:abstractNum w:abstractNumId="147">
    <w:multiLevelType w:val="hybridMultilevel"/>
    <w:lvl w:ilvl="0">
      <w:start w:val="105"/>
      <w:numFmt w:val="decimal"/>
      <w:lvlText w:val="%1"/>
      <w:lvlJc w:val="left"/>
      <w:pPr>
        <w:ind w:left="2381" w:hanging="794"/>
        <w:jc w:val="left"/>
      </w:pPr>
      <w:rPr>
        <w:rFonts w:hint="default" w:ascii="Calibri" w:hAnsi="Calibri" w:eastAsia="Calibri" w:cs="Calibri"/>
        <w:spacing w:val="-4"/>
        <w:w w:val="109"/>
        <w:sz w:val="13"/>
        <w:szCs w:val="13"/>
      </w:rPr>
    </w:lvl>
    <w:lvl w:ilvl="1">
      <w:start w:val="0"/>
      <w:numFmt w:val="bullet"/>
      <w:lvlText w:val="•"/>
      <w:lvlJc w:val="left"/>
      <w:pPr>
        <w:ind w:left="3084" w:hanging="794"/>
      </w:pPr>
      <w:rPr>
        <w:rFonts w:hint="default"/>
      </w:rPr>
    </w:lvl>
    <w:lvl w:ilvl="2">
      <w:start w:val="0"/>
      <w:numFmt w:val="bullet"/>
      <w:lvlText w:val="•"/>
      <w:lvlJc w:val="left"/>
      <w:pPr>
        <w:ind w:left="3789" w:hanging="794"/>
      </w:pPr>
      <w:rPr>
        <w:rFonts w:hint="default"/>
      </w:rPr>
    </w:lvl>
    <w:lvl w:ilvl="3">
      <w:start w:val="0"/>
      <w:numFmt w:val="bullet"/>
      <w:lvlText w:val="•"/>
      <w:lvlJc w:val="left"/>
      <w:pPr>
        <w:ind w:left="4494" w:hanging="794"/>
      </w:pPr>
      <w:rPr>
        <w:rFonts w:hint="default"/>
      </w:rPr>
    </w:lvl>
    <w:lvl w:ilvl="4">
      <w:start w:val="0"/>
      <w:numFmt w:val="bullet"/>
      <w:lvlText w:val="•"/>
      <w:lvlJc w:val="left"/>
      <w:pPr>
        <w:ind w:left="5199" w:hanging="794"/>
      </w:pPr>
      <w:rPr>
        <w:rFonts w:hint="default"/>
      </w:rPr>
    </w:lvl>
    <w:lvl w:ilvl="5">
      <w:start w:val="0"/>
      <w:numFmt w:val="bullet"/>
      <w:lvlText w:val="•"/>
      <w:lvlJc w:val="left"/>
      <w:pPr>
        <w:ind w:left="5903" w:hanging="794"/>
      </w:pPr>
      <w:rPr>
        <w:rFonts w:hint="default"/>
      </w:rPr>
    </w:lvl>
    <w:lvl w:ilvl="6">
      <w:start w:val="0"/>
      <w:numFmt w:val="bullet"/>
      <w:lvlText w:val="•"/>
      <w:lvlJc w:val="left"/>
      <w:pPr>
        <w:ind w:left="6608" w:hanging="794"/>
      </w:pPr>
      <w:rPr>
        <w:rFonts w:hint="default"/>
      </w:rPr>
    </w:lvl>
    <w:lvl w:ilvl="7">
      <w:start w:val="0"/>
      <w:numFmt w:val="bullet"/>
      <w:lvlText w:val="•"/>
      <w:lvlJc w:val="left"/>
      <w:pPr>
        <w:ind w:left="7313" w:hanging="794"/>
      </w:pPr>
      <w:rPr>
        <w:rFonts w:hint="default"/>
      </w:rPr>
    </w:lvl>
    <w:lvl w:ilvl="8">
      <w:start w:val="0"/>
      <w:numFmt w:val="bullet"/>
      <w:lvlText w:val="•"/>
      <w:lvlJc w:val="left"/>
      <w:pPr>
        <w:ind w:left="8018" w:hanging="794"/>
      </w:pPr>
      <w:rPr>
        <w:rFonts w:hint="default"/>
      </w:rPr>
    </w:lvl>
  </w:abstractNum>
  <w:abstractNum w:abstractNumId="145">
    <w:multiLevelType w:val="hybridMultilevel"/>
    <w:lvl w:ilvl="0">
      <w:start w:val="150"/>
      <w:numFmt w:val="decimal"/>
      <w:lvlText w:val="%0.%1"/>
      <w:lvlJc w:val="left"/>
      <w:pPr>
        <w:ind w:left="1217" w:hanging="794"/>
        <w:jc w:val="right"/>
      </w:pPr>
      <w:rPr>
        <w:rFonts w:hint="default" w:ascii="Calibri" w:hAnsi="Calibri" w:eastAsia="Calibri" w:cs="Calibri"/>
        <w:spacing w:val="-21"/>
        <w:w w:val="109"/>
        <w:sz w:val="21"/>
        <w:szCs w:val="21"/>
      </w:rPr>
    </w:lvl>
    <w:lvl w:ilvl="1">
      <w:start w:val="0"/>
      <w:numFmt w:val="bullet"/>
      <w:lvlText w:val="•"/>
      <w:lvlJc w:val="left"/>
      <w:pPr>
        <w:ind w:left="1556" w:hanging="341"/>
      </w:pPr>
      <w:rPr>
        <w:rFonts w:hint="default" w:ascii="Calibri" w:hAnsi="Calibri" w:eastAsia="Calibri" w:cs="Calibri"/>
        <w:w w:val="100"/>
        <w:sz w:val="21"/>
        <w:szCs w:val="21"/>
      </w:rPr>
    </w:lvl>
    <w:lvl w:ilvl="2">
      <w:start w:val="0"/>
      <w:numFmt w:val="bullet"/>
      <w:lvlText w:val="•"/>
      <w:lvlJc w:val="left"/>
      <w:pPr>
        <w:ind w:left="2720" w:hanging="341"/>
      </w:pPr>
      <w:rPr>
        <w:rFonts w:hint="default"/>
      </w:rPr>
    </w:lvl>
    <w:lvl w:ilvl="3">
      <w:start w:val="0"/>
      <w:numFmt w:val="bullet"/>
      <w:lvlText w:val="•"/>
      <w:lvlJc w:val="left"/>
      <w:pPr>
        <w:ind w:left="3722" w:hanging="341"/>
      </w:pPr>
      <w:rPr>
        <w:rFonts w:hint="default"/>
      </w:rPr>
    </w:lvl>
    <w:lvl w:ilvl="4">
      <w:start w:val="0"/>
      <w:numFmt w:val="bullet"/>
      <w:lvlText w:val="•"/>
      <w:lvlJc w:val="left"/>
      <w:pPr>
        <w:ind w:left="4725" w:hanging="341"/>
      </w:pPr>
      <w:rPr>
        <w:rFonts w:hint="default"/>
      </w:rPr>
    </w:lvl>
    <w:lvl w:ilvl="5">
      <w:start w:val="0"/>
      <w:numFmt w:val="bullet"/>
      <w:lvlText w:val="•"/>
      <w:lvlJc w:val="left"/>
      <w:pPr>
        <w:ind w:left="5728" w:hanging="341"/>
      </w:pPr>
      <w:rPr>
        <w:rFonts w:hint="default"/>
      </w:rPr>
    </w:lvl>
    <w:lvl w:ilvl="6">
      <w:start w:val="0"/>
      <w:numFmt w:val="bullet"/>
      <w:lvlText w:val="•"/>
      <w:lvlJc w:val="left"/>
      <w:pPr>
        <w:ind w:left="6730" w:hanging="341"/>
      </w:pPr>
      <w:rPr>
        <w:rFonts w:hint="default"/>
      </w:rPr>
    </w:lvl>
    <w:lvl w:ilvl="7">
      <w:start w:val="0"/>
      <w:numFmt w:val="bullet"/>
      <w:lvlText w:val="•"/>
      <w:lvlJc w:val="left"/>
      <w:pPr>
        <w:ind w:left="7733" w:hanging="341"/>
      </w:pPr>
      <w:rPr>
        <w:rFonts w:hint="default"/>
      </w:rPr>
    </w:lvl>
    <w:lvl w:ilvl="8">
      <w:start w:val="0"/>
      <w:numFmt w:val="bullet"/>
      <w:lvlText w:val="•"/>
      <w:lvlJc w:val="left"/>
      <w:pPr>
        <w:ind w:left="8736" w:hanging="341"/>
      </w:pPr>
      <w:rPr>
        <w:rFonts w:hint="default"/>
      </w:rPr>
    </w:lvl>
  </w:abstractNum>
  <w:abstractNum w:abstractNumId="144">
    <w:multiLevelType w:val="hybridMultilevel"/>
    <w:lvl w:ilvl="0">
      <w:start w:val="92"/>
      <w:numFmt w:val="decimal"/>
      <w:lvlText w:val="%1"/>
      <w:lvlJc w:val="left"/>
      <w:pPr>
        <w:ind w:left="2381" w:hanging="794"/>
        <w:jc w:val="right"/>
      </w:pPr>
      <w:rPr>
        <w:rFonts w:hint="default" w:ascii="Calibri" w:hAnsi="Calibri" w:eastAsia="Calibri" w:cs="Calibri"/>
        <w:spacing w:val="-1"/>
        <w:w w:val="109"/>
        <w:sz w:val="13"/>
        <w:szCs w:val="13"/>
      </w:rPr>
    </w:lvl>
    <w:lvl w:ilvl="1">
      <w:start w:val="0"/>
      <w:numFmt w:val="bullet"/>
      <w:lvlText w:val="•"/>
      <w:lvlJc w:val="left"/>
      <w:pPr>
        <w:ind w:left="3140" w:hanging="794"/>
      </w:pPr>
      <w:rPr>
        <w:rFonts w:hint="default"/>
      </w:rPr>
    </w:lvl>
    <w:lvl w:ilvl="2">
      <w:start w:val="0"/>
      <w:numFmt w:val="bullet"/>
      <w:lvlText w:val="•"/>
      <w:lvlJc w:val="left"/>
      <w:pPr>
        <w:ind w:left="3901" w:hanging="794"/>
      </w:pPr>
      <w:rPr>
        <w:rFonts w:hint="default"/>
      </w:rPr>
    </w:lvl>
    <w:lvl w:ilvl="3">
      <w:start w:val="0"/>
      <w:numFmt w:val="bullet"/>
      <w:lvlText w:val="•"/>
      <w:lvlJc w:val="left"/>
      <w:pPr>
        <w:ind w:left="4662" w:hanging="794"/>
      </w:pPr>
      <w:rPr>
        <w:rFonts w:hint="default"/>
      </w:rPr>
    </w:lvl>
    <w:lvl w:ilvl="4">
      <w:start w:val="0"/>
      <w:numFmt w:val="bullet"/>
      <w:lvlText w:val="•"/>
      <w:lvlJc w:val="left"/>
      <w:pPr>
        <w:ind w:left="5423" w:hanging="794"/>
      </w:pPr>
      <w:rPr>
        <w:rFonts w:hint="default"/>
      </w:rPr>
    </w:lvl>
    <w:lvl w:ilvl="5">
      <w:start w:val="0"/>
      <w:numFmt w:val="bullet"/>
      <w:lvlText w:val="•"/>
      <w:lvlJc w:val="left"/>
      <w:pPr>
        <w:ind w:left="6184" w:hanging="794"/>
      </w:pPr>
      <w:rPr>
        <w:rFonts w:hint="default"/>
      </w:rPr>
    </w:lvl>
    <w:lvl w:ilvl="6">
      <w:start w:val="0"/>
      <w:numFmt w:val="bullet"/>
      <w:lvlText w:val="•"/>
      <w:lvlJc w:val="left"/>
      <w:pPr>
        <w:ind w:left="6945" w:hanging="794"/>
      </w:pPr>
      <w:rPr>
        <w:rFonts w:hint="default"/>
      </w:rPr>
    </w:lvl>
    <w:lvl w:ilvl="7">
      <w:start w:val="0"/>
      <w:numFmt w:val="bullet"/>
      <w:lvlText w:val="•"/>
      <w:lvlJc w:val="left"/>
      <w:pPr>
        <w:ind w:left="7705" w:hanging="794"/>
      </w:pPr>
      <w:rPr>
        <w:rFonts w:hint="default"/>
      </w:rPr>
    </w:lvl>
    <w:lvl w:ilvl="8">
      <w:start w:val="0"/>
      <w:numFmt w:val="bullet"/>
      <w:lvlText w:val="•"/>
      <w:lvlJc w:val="left"/>
      <w:pPr>
        <w:ind w:left="8466" w:hanging="794"/>
      </w:pPr>
      <w:rPr>
        <w:rFonts w:hint="default"/>
      </w:rPr>
    </w:lvl>
  </w:abstractNum>
  <w:abstractNum w:abstractNumId="143">
    <w:multiLevelType w:val="hybridMultilevel"/>
    <w:lvl w:ilvl="0">
      <w:start w:val="1"/>
      <w:numFmt w:val="lowerLetter"/>
      <w:lvlText w:val="(%1)"/>
      <w:lvlJc w:val="left"/>
      <w:pPr>
        <w:ind w:left="340" w:hanging="341"/>
        <w:jc w:val="left"/>
      </w:pPr>
      <w:rPr>
        <w:rFonts w:hint="default" w:ascii="Calibri" w:hAnsi="Calibri" w:eastAsia="Calibri" w:cs="Calibri"/>
        <w:spacing w:val="0"/>
        <w:w w:val="109"/>
        <w:sz w:val="21"/>
        <w:szCs w:val="21"/>
      </w:rPr>
    </w:lvl>
    <w:lvl w:ilvl="1">
      <w:start w:val="0"/>
      <w:numFmt w:val="bullet"/>
      <w:lvlText w:val="•"/>
      <w:lvlJc w:val="left"/>
      <w:pPr>
        <w:ind w:left="1078" w:hanging="341"/>
      </w:pPr>
      <w:rPr>
        <w:rFonts w:hint="default"/>
      </w:rPr>
    </w:lvl>
    <w:lvl w:ilvl="2">
      <w:start w:val="0"/>
      <w:numFmt w:val="bullet"/>
      <w:lvlText w:val="•"/>
      <w:lvlJc w:val="left"/>
      <w:pPr>
        <w:ind w:left="1816" w:hanging="341"/>
      </w:pPr>
      <w:rPr>
        <w:rFonts w:hint="default"/>
      </w:rPr>
    </w:lvl>
    <w:lvl w:ilvl="3">
      <w:start w:val="0"/>
      <w:numFmt w:val="bullet"/>
      <w:lvlText w:val="•"/>
      <w:lvlJc w:val="left"/>
      <w:pPr>
        <w:ind w:left="2555" w:hanging="341"/>
      </w:pPr>
      <w:rPr>
        <w:rFonts w:hint="default"/>
      </w:rPr>
    </w:lvl>
    <w:lvl w:ilvl="4">
      <w:start w:val="0"/>
      <w:numFmt w:val="bullet"/>
      <w:lvlText w:val="•"/>
      <w:lvlJc w:val="left"/>
      <w:pPr>
        <w:ind w:left="3293" w:hanging="341"/>
      </w:pPr>
      <w:rPr>
        <w:rFonts w:hint="default"/>
      </w:rPr>
    </w:lvl>
    <w:lvl w:ilvl="5">
      <w:start w:val="0"/>
      <w:numFmt w:val="bullet"/>
      <w:lvlText w:val="•"/>
      <w:lvlJc w:val="left"/>
      <w:pPr>
        <w:ind w:left="4031" w:hanging="341"/>
      </w:pPr>
      <w:rPr>
        <w:rFonts w:hint="default"/>
      </w:rPr>
    </w:lvl>
    <w:lvl w:ilvl="6">
      <w:start w:val="0"/>
      <w:numFmt w:val="bullet"/>
      <w:lvlText w:val="•"/>
      <w:lvlJc w:val="left"/>
      <w:pPr>
        <w:ind w:left="4770" w:hanging="341"/>
      </w:pPr>
      <w:rPr>
        <w:rFonts w:hint="default"/>
      </w:rPr>
    </w:lvl>
    <w:lvl w:ilvl="7">
      <w:start w:val="0"/>
      <w:numFmt w:val="bullet"/>
      <w:lvlText w:val="•"/>
      <w:lvlJc w:val="left"/>
      <w:pPr>
        <w:ind w:left="5508" w:hanging="341"/>
      </w:pPr>
      <w:rPr>
        <w:rFonts w:hint="default"/>
      </w:rPr>
    </w:lvl>
    <w:lvl w:ilvl="8">
      <w:start w:val="0"/>
      <w:numFmt w:val="bullet"/>
      <w:lvlText w:val="•"/>
      <w:lvlJc w:val="left"/>
      <w:pPr>
        <w:ind w:left="6246" w:hanging="341"/>
      </w:pPr>
      <w:rPr>
        <w:rFonts w:hint="default"/>
      </w:rPr>
    </w:lvl>
  </w:abstractNum>
  <w:abstractNum w:abstractNumId="142">
    <w:multiLevelType w:val="hybridMultilevel"/>
    <w:lvl w:ilvl="0">
      <w:start w:val="1"/>
      <w:numFmt w:val="decimal"/>
      <w:lvlText w:val="(%1)"/>
      <w:lvlJc w:val="left"/>
      <w:pPr>
        <w:ind w:left="3061" w:hanging="341"/>
        <w:jc w:val="left"/>
      </w:pPr>
      <w:rPr>
        <w:rFonts w:hint="default" w:ascii="Calibri" w:hAnsi="Calibri" w:eastAsia="Calibri" w:cs="Calibri"/>
        <w:spacing w:val="-8"/>
        <w:w w:val="91"/>
        <w:sz w:val="20"/>
        <w:szCs w:val="20"/>
      </w:rPr>
    </w:lvl>
    <w:lvl w:ilvl="1">
      <w:start w:val="1"/>
      <w:numFmt w:val="lowerLetter"/>
      <w:lvlText w:val="(%2)"/>
      <w:lvlJc w:val="left"/>
      <w:pPr>
        <w:ind w:left="3329" w:hanging="269"/>
        <w:jc w:val="left"/>
      </w:pPr>
      <w:rPr>
        <w:rFonts w:hint="default" w:ascii="Calibri" w:hAnsi="Calibri" w:eastAsia="Calibri" w:cs="Calibri"/>
        <w:w w:val="91"/>
        <w:sz w:val="20"/>
        <w:szCs w:val="20"/>
      </w:rPr>
    </w:lvl>
    <w:lvl w:ilvl="2">
      <w:start w:val="0"/>
      <w:numFmt w:val="bullet"/>
      <w:lvlText w:val="•"/>
      <w:lvlJc w:val="left"/>
      <w:pPr>
        <w:ind w:left="4273" w:hanging="269"/>
      </w:pPr>
      <w:rPr>
        <w:rFonts w:hint="default"/>
      </w:rPr>
    </w:lvl>
    <w:lvl w:ilvl="3">
      <w:start w:val="0"/>
      <w:numFmt w:val="bullet"/>
      <w:lvlText w:val="•"/>
      <w:lvlJc w:val="left"/>
      <w:pPr>
        <w:ind w:left="5227" w:hanging="269"/>
      </w:pPr>
      <w:rPr>
        <w:rFonts w:hint="default"/>
      </w:rPr>
    </w:lvl>
    <w:lvl w:ilvl="4">
      <w:start w:val="0"/>
      <w:numFmt w:val="bullet"/>
      <w:lvlText w:val="•"/>
      <w:lvlJc w:val="left"/>
      <w:pPr>
        <w:ind w:left="6181" w:hanging="269"/>
      </w:pPr>
      <w:rPr>
        <w:rFonts w:hint="default"/>
      </w:rPr>
    </w:lvl>
    <w:lvl w:ilvl="5">
      <w:start w:val="0"/>
      <w:numFmt w:val="bullet"/>
      <w:lvlText w:val="•"/>
      <w:lvlJc w:val="left"/>
      <w:pPr>
        <w:ind w:left="7135" w:hanging="269"/>
      </w:pPr>
      <w:rPr>
        <w:rFonts w:hint="default"/>
      </w:rPr>
    </w:lvl>
    <w:lvl w:ilvl="6">
      <w:start w:val="0"/>
      <w:numFmt w:val="bullet"/>
      <w:lvlText w:val="•"/>
      <w:lvlJc w:val="left"/>
      <w:pPr>
        <w:ind w:left="8089" w:hanging="269"/>
      </w:pPr>
      <w:rPr>
        <w:rFonts w:hint="default"/>
      </w:rPr>
    </w:lvl>
    <w:lvl w:ilvl="7">
      <w:start w:val="0"/>
      <w:numFmt w:val="bullet"/>
      <w:lvlText w:val="•"/>
      <w:lvlJc w:val="left"/>
      <w:pPr>
        <w:ind w:left="9043" w:hanging="269"/>
      </w:pPr>
      <w:rPr>
        <w:rFonts w:hint="default"/>
      </w:rPr>
    </w:lvl>
    <w:lvl w:ilvl="8">
      <w:start w:val="0"/>
      <w:numFmt w:val="bullet"/>
      <w:lvlText w:val="•"/>
      <w:lvlJc w:val="left"/>
      <w:pPr>
        <w:ind w:left="9997" w:hanging="269"/>
      </w:pPr>
      <w:rPr>
        <w:rFonts w:hint="default"/>
      </w:rPr>
    </w:lvl>
  </w:abstractNum>
  <w:abstractNum w:abstractNumId="141">
    <w:multiLevelType w:val="hybridMultilevel"/>
    <w:lvl w:ilvl="0">
      <w:start w:val="1"/>
      <w:numFmt w:val="decimal"/>
      <w:lvlText w:val="(%1)"/>
      <w:lvlJc w:val="left"/>
      <w:pPr>
        <w:ind w:left="3061" w:hanging="341"/>
        <w:jc w:val="left"/>
      </w:pPr>
      <w:rPr>
        <w:rFonts w:hint="default" w:ascii="Calibri" w:hAnsi="Calibri" w:eastAsia="Calibri" w:cs="Calibri"/>
        <w:spacing w:val="-8"/>
        <w:w w:val="91"/>
        <w:sz w:val="20"/>
        <w:szCs w:val="20"/>
      </w:rPr>
    </w:lvl>
    <w:lvl w:ilvl="1">
      <w:start w:val="1"/>
      <w:numFmt w:val="lowerLetter"/>
      <w:lvlText w:val="(%2)"/>
      <w:lvlJc w:val="left"/>
      <w:pPr>
        <w:ind w:left="3061" w:hanging="269"/>
        <w:jc w:val="left"/>
      </w:pPr>
      <w:rPr>
        <w:rFonts w:hint="default" w:ascii="Calibri" w:hAnsi="Calibri" w:eastAsia="Calibri" w:cs="Calibri"/>
        <w:w w:val="91"/>
        <w:sz w:val="20"/>
        <w:szCs w:val="20"/>
      </w:rPr>
    </w:lvl>
    <w:lvl w:ilvl="2">
      <w:start w:val="0"/>
      <w:numFmt w:val="bullet"/>
      <w:lvlText w:val="•"/>
      <w:lvlJc w:val="left"/>
      <w:pPr>
        <w:ind w:left="4273" w:hanging="269"/>
      </w:pPr>
      <w:rPr>
        <w:rFonts w:hint="default"/>
      </w:rPr>
    </w:lvl>
    <w:lvl w:ilvl="3">
      <w:start w:val="0"/>
      <w:numFmt w:val="bullet"/>
      <w:lvlText w:val="•"/>
      <w:lvlJc w:val="left"/>
      <w:pPr>
        <w:ind w:left="5227" w:hanging="269"/>
      </w:pPr>
      <w:rPr>
        <w:rFonts w:hint="default"/>
      </w:rPr>
    </w:lvl>
    <w:lvl w:ilvl="4">
      <w:start w:val="0"/>
      <w:numFmt w:val="bullet"/>
      <w:lvlText w:val="•"/>
      <w:lvlJc w:val="left"/>
      <w:pPr>
        <w:ind w:left="6181" w:hanging="269"/>
      </w:pPr>
      <w:rPr>
        <w:rFonts w:hint="default"/>
      </w:rPr>
    </w:lvl>
    <w:lvl w:ilvl="5">
      <w:start w:val="0"/>
      <w:numFmt w:val="bullet"/>
      <w:lvlText w:val="•"/>
      <w:lvlJc w:val="left"/>
      <w:pPr>
        <w:ind w:left="7135" w:hanging="269"/>
      </w:pPr>
      <w:rPr>
        <w:rFonts w:hint="default"/>
      </w:rPr>
    </w:lvl>
    <w:lvl w:ilvl="6">
      <w:start w:val="0"/>
      <w:numFmt w:val="bullet"/>
      <w:lvlText w:val="•"/>
      <w:lvlJc w:val="left"/>
      <w:pPr>
        <w:ind w:left="8089" w:hanging="269"/>
      </w:pPr>
      <w:rPr>
        <w:rFonts w:hint="default"/>
      </w:rPr>
    </w:lvl>
    <w:lvl w:ilvl="7">
      <w:start w:val="0"/>
      <w:numFmt w:val="bullet"/>
      <w:lvlText w:val="•"/>
      <w:lvlJc w:val="left"/>
      <w:pPr>
        <w:ind w:left="9043" w:hanging="269"/>
      </w:pPr>
      <w:rPr>
        <w:rFonts w:hint="default"/>
      </w:rPr>
    </w:lvl>
    <w:lvl w:ilvl="8">
      <w:start w:val="0"/>
      <w:numFmt w:val="bullet"/>
      <w:lvlText w:val="•"/>
      <w:lvlJc w:val="left"/>
      <w:pPr>
        <w:ind w:left="9997" w:hanging="269"/>
      </w:pPr>
      <w:rPr>
        <w:rFonts w:hint="default"/>
      </w:rPr>
    </w:lvl>
  </w:abstractNum>
  <w:abstractNum w:abstractNumId="140">
    <w:multiLevelType w:val="hybridMultilevel"/>
    <w:lvl w:ilvl="0">
      <w:start w:val="1"/>
      <w:numFmt w:val="lowerLetter"/>
      <w:lvlText w:val="(%1)"/>
      <w:lvlJc w:val="left"/>
      <w:pPr>
        <w:ind w:left="340" w:hanging="341"/>
        <w:jc w:val="left"/>
      </w:pPr>
      <w:rPr>
        <w:rFonts w:hint="default" w:ascii="Calibri" w:hAnsi="Calibri" w:eastAsia="Calibri" w:cs="Calibri"/>
        <w:spacing w:val="0"/>
        <w:w w:val="109"/>
        <w:sz w:val="21"/>
        <w:szCs w:val="21"/>
      </w:rPr>
    </w:lvl>
    <w:lvl w:ilvl="1">
      <w:start w:val="0"/>
      <w:numFmt w:val="bullet"/>
      <w:lvlText w:val="•"/>
      <w:lvlJc w:val="left"/>
      <w:pPr>
        <w:ind w:left="1069" w:hanging="341"/>
      </w:pPr>
      <w:rPr>
        <w:rFonts w:hint="default"/>
      </w:rPr>
    </w:lvl>
    <w:lvl w:ilvl="2">
      <w:start w:val="0"/>
      <w:numFmt w:val="bullet"/>
      <w:lvlText w:val="•"/>
      <w:lvlJc w:val="left"/>
      <w:pPr>
        <w:ind w:left="1799" w:hanging="341"/>
      </w:pPr>
      <w:rPr>
        <w:rFonts w:hint="default"/>
      </w:rPr>
    </w:lvl>
    <w:lvl w:ilvl="3">
      <w:start w:val="0"/>
      <w:numFmt w:val="bullet"/>
      <w:lvlText w:val="•"/>
      <w:lvlJc w:val="left"/>
      <w:pPr>
        <w:ind w:left="2528" w:hanging="341"/>
      </w:pPr>
      <w:rPr>
        <w:rFonts w:hint="default"/>
      </w:rPr>
    </w:lvl>
    <w:lvl w:ilvl="4">
      <w:start w:val="0"/>
      <w:numFmt w:val="bullet"/>
      <w:lvlText w:val="•"/>
      <w:lvlJc w:val="left"/>
      <w:pPr>
        <w:ind w:left="3258" w:hanging="341"/>
      </w:pPr>
      <w:rPr>
        <w:rFonts w:hint="default"/>
      </w:rPr>
    </w:lvl>
    <w:lvl w:ilvl="5">
      <w:start w:val="0"/>
      <w:numFmt w:val="bullet"/>
      <w:lvlText w:val="•"/>
      <w:lvlJc w:val="left"/>
      <w:pPr>
        <w:ind w:left="3988" w:hanging="341"/>
      </w:pPr>
      <w:rPr>
        <w:rFonts w:hint="default"/>
      </w:rPr>
    </w:lvl>
    <w:lvl w:ilvl="6">
      <w:start w:val="0"/>
      <w:numFmt w:val="bullet"/>
      <w:lvlText w:val="•"/>
      <w:lvlJc w:val="left"/>
      <w:pPr>
        <w:ind w:left="4717" w:hanging="341"/>
      </w:pPr>
      <w:rPr>
        <w:rFonts w:hint="default"/>
      </w:rPr>
    </w:lvl>
    <w:lvl w:ilvl="7">
      <w:start w:val="0"/>
      <w:numFmt w:val="bullet"/>
      <w:lvlText w:val="•"/>
      <w:lvlJc w:val="left"/>
      <w:pPr>
        <w:ind w:left="5447" w:hanging="341"/>
      </w:pPr>
      <w:rPr>
        <w:rFonts w:hint="default"/>
      </w:rPr>
    </w:lvl>
    <w:lvl w:ilvl="8">
      <w:start w:val="0"/>
      <w:numFmt w:val="bullet"/>
      <w:lvlText w:val="•"/>
      <w:lvlJc w:val="left"/>
      <w:pPr>
        <w:ind w:left="6176" w:hanging="341"/>
      </w:pPr>
      <w:rPr>
        <w:rFonts w:hint="default"/>
      </w:rPr>
    </w:lvl>
  </w:abstractNum>
  <w:abstractNum w:abstractNumId="139">
    <w:multiLevelType w:val="hybridMultilevel"/>
    <w:lvl w:ilvl="0">
      <w:start w:val="1"/>
      <w:numFmt w:val="decimal"/>
      <w:lvlText w:val="%1"/>
      <w:lvlJc w:val="left"/>
      <w:pPr>
        <w:ind w:left="1223" w:hanging="794"/>
        <w:jc w:val="right"/>
      </w:pPr>
      <w:rPr>
        <w:rFonts w:hint="default" w:ascii="Calibri" w:hAnsi="Calibri" w:eastAsia="Calibri" w:cs="Calibri"/>
        <w:w w:val="109"/>
        <w:sz w:val="13"/>
        <w:szCs w:val="13"/>
      </w:rPr>
    </w:lvl>
    <w:lvl w:ilvl="1">
      <w:start w:val="0"/>
      <w:numFmt w:val="bullet"/>
      <w:lvlText w:val="•"/>
      <w:lvlJc w:val="left"/>
      <w:pPr>
        <w:ind w:left="3000" w:hanging="794"/>
      </w:pPr>
      <w:rPr>
        <w:rFonts w:hint="default"/>
      </w:rPr>
    </w:lvl>
    <w:lvl w:ilvl="2">
      <w:start w:val="0"/>
      <w:numFmt w:val="bullet"/>
      <w:lvlText w:val="•"/>
      <w:lvlJc w:val="left"/>
      <w:pPr>
        <w:ind w:left="3860" w:hanging="794"/>
      </w:pPr>
      <w:rPr>
        <w:rFonts w:hint="default"/>
      </w:rPr>
    </w:lvl>
    <w:lvl w:ilvl="3">
      <w:start w:val="0"/>
      <w:numFmt w:val="bullet"/>
      <w:lvlText w:val="•"/>
      <w:lvlJc w:val="left"/>
      <w:pPr>
        <w:ind w:left="4721" w:hanging="794"/>
      </w:pPr>
      <w:rPr>
        <w:rFonts w:hint="default"/>
      </w:rPr>
    </w:lvl>
    <w:lvl w:ilvl="4">
      <w:start w:val="0"/>
      <w:numFmt w:val="bullet"/>
      <w:lvlText w:val="•"/>
      <w:lvlJc w:val="left"/>
      <w:pPr>
        <w:ind w:left="5582" w:hanging="794"/>
      </w:pPr>
      <w:rPr>
        <w:rFonts w:hint="default"/>
      </w:rPr>
    </w:lvl>
    <w:lvl w:ilvl="5">
      <w:start w:val="0"/>
      <w:numFmt w:val="bullet"/>
      <w:lvlText w:val="•"/>
      <w:lvlJc w:val="left"/>
      <w:pPr>
        <w:ind w:left="6443" w:hanging="794"/>
      </w:pPr>
      <w:rPr>
        <w:rFonts w:hint="default"/>
      </w:rPr>
    </w:lvl>
    <w:lvl w:ilvl="6">
      <w:start w:val="0"/>
      <w:numFmt w:val="bullet"/>
      <w:lvlText w:val="•"/>
      <w:lvlJc w:val="left"/>
      <w:pPr>
        <w:ind w:left="7304" w:hanging="794"/>
      </w:pPr>
      <w:rPr>
        <w:rFonts w:hint="default"/>
      </w:rPr>
    </w:lvl>
    <w:lvl w:ilvl="7">
      <w:start w:val="0"/>
      <w:numFmt w:val="bullet"/>
      <w:lvlText w:val="•"/>
      <w:lvlJc w:val="left"/>
      <w:pPr>
        <w:ind w:left="8164" w:hanging="794"/>
      </w:pPr>
      <w:rPr>
        <w:rFonts w:hint="default"/>
      </w:rPr>
    </w:lvl>
    <w:lvl w:ilvl="8">
      <w:start w:val="0"/>
      <w:numFmt w:val="bullet"/>
      <w:lvlText w:val="•"/>
      <w:lvlJc w:val="left"/>
      <w:pPr>
        <w:ind w:left="9025" w:hanging="794"/>
      </w:pPr>
      <w:rPr>
        <w:rFonts w:hint="default"/>
      </w:rPr>
    </w:lvl>
  </w:abstractNum>
  <w:abstractNum w:abstractNumId="138">
    <w:multiLevelType w:val="hybridMultilevel"/>
    <w:lvl w:ilvl="0">
      <w:start w:val="1"/>
      <w:numFmt w:val="lowerLetter"/>
      <w:lvlText w:val="(%1)"/>
      <w:lvlJc w:val="left"/>
      <w:pPr>
        <w:ind w:left="340" w:hanging="341"/>
        <w:jc w:val="left"/>
      </w:pPr>
      <w:rPr>
        <w:rFonts w:hint="default" w:ascii="Calibri" w:hAnsi="Calibri" w:eastAsia="Calibri" w:cs="Calibri"/>
        <w:spacing w:val="0"/>
        <w:w w:val="109"/>
        <w:sz w:val="21"/>
        <w:szCs w:val="21"/>
      </w:rPr>
    </w:lvl>
    <w:lvl w:ilvl="1">
      <w:start w:val="0"/>
      <w:numFmt w:val="bullet"/>
      <w:lvlText w:val="•"/>
      <w:lvlJc w:val="left"/>
      <w:pPr>
        <w:ind w:left="1060" w:hanging="341"/>
      </w:pPr>
      <w:rPr>
        <w:rFonts w:hint="default"/>
      </w:rPr>
    </w:lvl>
    <w:lvl w:ilvl="2">
      <w:start w:val="0"/>
      <w:numFmt w:val="bullet"/>
      <w:lvlText w:val="•"/>
      <w:lvlJc w:val="left"/>
      <w:pPr>
        <w:ind w:left="1781" w:hanging="341"/>
      </w:pPr>
      <w:rPr>
        <w:rFonts w:hint="default"/>
      </w:rPr>
    </w:lvl>
    <w:lvl w:ilvl="3">
      <w:start w:val="0"/>
      <w:numFmt w:val="bullet"/>
      <w:lvlText w:val="•"/>
      <w:lvlJc w:val="left"/>
      <w:pPr>
        <w:ind w:left="2501" w:hanging="341"/>
      </w:pPr>
      <w:rPr>
        <w:rFonts w:hint="default"/>
      </w:rPr>
    </w:lvl>
    <w:lvl w:ilvl="4">
      <w:start w:val="0"/>
      <w:numFmt w:val="bullet"/>
      <w:lvlText w:val="•"/>
      <w:lvlJc w:val="left"/>
      <w:pPr>
        <w:ind w:left="3222" w:hanging="341"/>
      </w:pPr>
      <w:rPr>
        <w:rFonts w:hint="default"/>
      </w:rPr>
    </w:lvl>
    <w:lvl w:ilvl="5">
      <w:start w:val="0"/>
      <w:numFmt w:val="bullet"/>
      <w:lvlText w:val="•"/>
      <w:lvlJc w:val="left"/>
      <w:pPr>
        <w:ind w:left="3942" w:hanging="341"/>
      </w:pPr>
      <w:rPr>
        <w:rFonts w:hint="default"/>
      </w:rPr>
    </w:lvl>
    <w:lvl w:ilvl="6">
      <w:start w:val="0"/>
      <w:numFmt w:val="bullet"/>
      <w:lvlText w:val="•"/>
      <w:lvlJc w:val="left"/>
      <w:pPr>
        <w:ind w:left="4663" w:hanging="341"/>
      </w:pPr>
      <w:rPr>
        <w:rFonts w:hint="default"/>
      </w:rPr>
    </w:lvl>
    <w:lvl w:ilvl="7">
      <w:start w:val="0"/>
      <w:numFmt w:val="bullet"/>
      <w:lvlText w:val="•"/>
      <w:lvlJc w:val="left"/>
      <w:pPr>
        <w:ind w:left="5383" w:hanging="341"/>
      </w:pPr>
      <w:rPr>
        <w:rFonts w:hint="default"/>
      </w:rPr>
    </w:lvl>
    <w:lvl w:ilvl="8">
      <w:start w:val="0"/>
      <w:numFmt w:val="bullet"/>
      <w:lvlText w:val="•"/>
      <w:lvlJc w:val="left"/>
      <w:pPr>
        <w:ind w:left="6104" w:hanging="341"/>
      </w:pPr>
      <w:rPr>
        <w:rFonts w:hint="default"/>
      </w:rPr>
    </w:lvl>
  </w:abstractNum>
  <w:abstractNum w:abstractNumId="137">
    <w:multiLevelType w:val="hybridMultilevel"/>
    <w:lvl w:ilvl="0">
      <w:start w:val="1"/>
      <w:numFmt w:val="decimal"/>
      <w:lvlText w:val="(%1)"/>
      <w:lvlJc w:val="left"/>
      <w:pPr>
        <w:ind w:left="3027" w:hanging="307"/>
        <w:jc w:val="left"/>
      </w:pPr>
      <w:rPr>
        <w:rFonts w:hint="default" w:ascii="Calibri" w:hAnsi="Calibri" w:eastAsia="Calibri" w:cs="Calibri"/>
        <w:spacing w:val="-8"/>
        <w:w w:val="91"/>
        <w:sz w:val="20"/>
        <w:szCs w:val="20"/>
      </w:rPr>
    </w:lvl>
    <w:lvl w:ilvl="1">
      <w:start w:val="1"/>
      <w:numFmt w:val="lowerLetter"/>
      <w:lvlText w:val="(%2)"/>
      <w:lvlJc w:val="left"/>
      <w:pPr>
        <w:ind w:left="3329" w:hanging="269"/>
        <w:jc w:val="left"/>
      </w:pPr>
      <w:rPr>
        <w:rFonts w:hint="default" w:ascii="Calibri" w:hAnsi="Calibri" w:eastAsia="Calibri" w:cs="Calibri"/>
        <w:w w:val="91"/>
        <w:sz w:val="20"/>
        <w:szCs w:val="20"/>
      </w:rPr>
    </w:lvl>
    <w:lvl w:ilvl="2">
      <w:start w:val="0"/>
      <w:numFmt w:val="bullet"/>
      <w:lvlText w:val="•"/>
      <w:lvlJc w:val="left"/>
      <w:pPr>
        <w:ind w:left="4273" w:hanging="269"/>
      </w:pPr>
      <w:rPr>
        <w:rFonts w:hint="default"/>
      </w:rPr>
    </w:lvl>
    <w:lvl w:ilvl="3">
      <w:start w:val="0"/>
      <w:numFmt w:val="bullet"/>
      <w:lvlText w:val="•"/>
      <w:lvlJc w:val="left"/>
      <w:pPr>
        <w:ind w:left="5227" w:hanging="269"/>
      </w:pPr>
      <w:rPr>
        <w:rFonts w:hint="default"/>
      </w:rPr>
    </w:lvl>
    <w:lvl w:ilvl="4">
      <w:start w:val="0"/>
      <w:numFmt w:val="bullet"/>
      <w:lvlText w:val="•"/>
      <w:lvlJc w:val="left"/>
      <w:pPr>
        <w:ind w:left="6181" w:hanging="269"/>
      </w:pPr>
      <w:rPr>
        <w:rFonts w:hint="default"/>
      </w:rPr>
    </w:lvl>
    <w:lvl w:ilvl="5">
      <w:start w:val="0"/>
      <w:numFmt w:val="bullet"/>
      <w:lvlText w:val="•"/>
      <w:lvlJc w:val="left"/>
      <w:pPr>
        <w:ind w:left="7135" w:hanging="269"/>
      </w:pPr>
      <w:rPr>
        <w:rFonts w:hint="default"/>
      </w:rPr>
    </w:lvl>
    <w:lvl w:ilvl="6">
      <w:start w:val="0"/>
      <w:numFmt w:val="bullet"/>
      <w:lvlText w:val="•"/>
      <w:lvlJc w:val="left"/>
      <w:pPr>
        <w:ind w:left="8089" w:hanging="269"/>
      </w:pPr>
      <w:rPr>
        <w:rFonts w:hint="default"/>
      </w:rPr>
    </w:lvl>
    <w:lvl w:ilvl="7">
      <w:start w:val="0"/>
      <w:numFmt w:val="bullet"/>
      <w:lvlText w:val="•"/>
      <w:lvlJc w:val="left"/>
      <w:pPr>
        <w:ind w:left="9043" w:hanging="269"/>
      </w:pPr>
      <w:rPr>
        <w:rFonts w:hint="default"/>
      </w:rPr>
    </w:lvl>
    <w:lvl w:ilvl="8">
      <w:start w:val="0"/>
      <w:numFmt w:val="bullet"/>
      <w:lvlText w:val="•"/>
      <w:lvlJc w:val="left"/>
      <w:pPr>
        <w:ind w:left="9997" w:hanging="269"/>
      </w:pPr>
      <w:rPr>
        <w:rFonts w:hint="default"/>
      </w:rPr>
    </w:lvl>
  </w:abstractNum>
  <w:abstractNum w:abstractNumId="136">
    <w:multiLevelType w:val="hybridMultilevel"/>
    <w:lvl w:ilvl="0">
      <w:start w:val="1"/>
      <w:numFmt w:val="decimal"/>
      <w:lvlText w:val="(%1)"/>
      <w:lvlJc w:val="left"/>
      <w:pPr>
        <w:ind w:left="3061" w:hanging="341"/>
        <w:jc w:val="left"/>
      </w:pPr>
      <w:rPr>
        <w:rFonts w:hint="default" w:ascii="Calibri" w:hAnsi="Calibri" w:eastAsia="Calibri" w:cs="Calibri"/>
        <w:spacing w:val="-8"/>
        <w:w w:val="91"/>
        <w:sz w:val="20"/>
        <w:szCs w:val="20"/>
      </w:rPr>
    </w:lvl>
    <w:lvl w:ilvl="1">
      <w:start w:val="0"/>
      <w:numFmt w:val="bullet"/>
      <w:lvlText w:val="•"/>
      <w:lvlJc w:val="left"/>
      <w:pPr>
        <w:ind w:left="3944" w:hanging="341"/>
      </w:pPr>
      <w:rPr>
        <w:rFonts w:hint="default"/>
      </w:rPr>
    </w:lvl>
    <w:lvl w:ilvl="2">
      <w:start w:val="0"/>
      <w:numFmt w:val="bullet"/>
      <w:lvlText w:val="•"/>
      <w:lvlJc w:val="left"/>
      <w:pPr>
        <w:ind w:left="4829" w:hanging="341"/>
      </w:pPr>
      <w:rPr>
        <w:rFonts w:hint="default"/>
      </w:rPr>
    </w:lvl>
    <w:lvl w:ilvl="3">
      <w:start w:val="0"/>
      <w:numFmt w:val="bullet"/>
      <w:lvlText w:val="•"/>
      <w:lvlJc w:val="left"/>
      <w:pPr>
        <w:ind w:left="5713" w:hanging="341"/>
      </w:pPr>
      <w:rPr>
        <w:rFonts w:hint="default"/>
      </w:rPr>
    </w:lvl>
    <w:lvl w:ilvl="4">
      <w:start w:val="0"/>
      <w:numFmt w:val="bullet"/>
      <w:lvlText w:val="•"/>
      <w:lvlJc w:val="left"/>
      <w:pPr>
        <w:ind w:left="6598" w:hanging="341"/>
      </w:pPr>
      <w:rPr>
        <w:rFonts w:hint="default"/>
      </w:rPr>
    </w:lvl>
    <w:lvl w:ilvl="5">
      <w:start w:val="0"/>
      <w:numFmt w:val="bullet"/>
      <w:lvlText w:val="•"/>
      <w:lvlJc w:val="left"/>
      <w:pPr>
        <w:ind w:left="7482" w:hanging="341"/>
      </w:pPr>
      <w:rPr>
        <w:rFonts w:hint="default"/>
      </w:rPr>
    </w:lvl>
    <w:lvl w:ilvl="6">
      <w:start w:val="0"/>
      <w:numFmt w:val="bullet"/>
      <w:lvlText w:val="•"/>
      <w:lvlJc w:val="left"/>
      <w:pPr>
        <w:ind w:left="8367" w:hanging="341"/>
      </w:pPr>
      <w:rPr>
        <w:rFonts w:hint="default"/>
      </w:rPr>
    </w:lvl>
    <w:lvl w:ilvl="7">
      <w:start w:val="0"/>
      <w:numFmt w:val="bullet"/>
      <w:lvlText w:val="•"/>
      <w:lvlJc w:val="left"/>
      <w:pPr>
        <w:ind w:left="9251" w:hanging="341"/>
      </w:pPr>
      <w:rPr>
        <w:rFonts w:hint="default"/>
      </w:rPr>
    </w:lvl>
    <w:lvl w:ilvl="8">
      <w:start w:val="0"/>
      <w:numFmt w:val="bullet"/>
      <w:lvlText w:val="•"/>
      <w:lvlJc w:val="left"/>
      <w:pPr>
        <w:ind w:left="10136" w:hanging="341"/>
      </w:pPr>
      <w:rPr>
        <w:rFonts w:hint="default"/>
      </w:rPr>
    </w:lvl>
  </w:abstractNum>
  <w:abstractNum w:abstractNumId="135">
    <w:multiLevelType w:val="hybridMultilevel"/>
    <w:lvl w:ilvl="0">
      <w:start w:val="26"/>
      <w:numFmt w:val="decimal"/>
      <w:lvlText w:val="%1"/>
      <w:lvlJc w:val="left"/>
      <w:pPr>
        <w:ind w:left="1235" w:hanging="794"/>
        <w:jc w:val="right"/>
      </w:pPr>
      <w:rPr>
        <w:rFonts w:hint="default" w:ascii="Calibri" w:hAnsi="Calibri" w:eastAsia="Calibri" w:cs="Calibri"/>
        <w:spacing w:val="-1"/>
        <w:w w:val="109"/>
        <w:sz w:val="13"/>
        <w:szCs w:val="13"/>
      </w:rPr>
    </w:lvl>
    <w:lvl w:ilvl="1">
      <w:start w:val="1"/>
      <w:numFmt w:val="lowerLetter"/>
      <w:lvlText w:val="(%2)"/>
      <w:lvlJc w:val="left"/>
      <w:pPr>
        <w:ind w:left="2721" w:hanging="341"/>
        <w:jc w:val="left"/>
      </w:pPr>
      <w:rPr>
        <w:rFonts w:hint="default" w:ascii="Calibri" w:hAnsi="Calibri" w:eastAsia="Calibri" w:cs="Calibri"/>
        <w:spacing w:val="0"/>
        <w:w w:val="109"/>
        <w:sz w:val="21"/>
        <w:szCs w:val="21"/>
      </w:rPr>
    </w:lvl>
    <w:lvl w:ilvl="2">
      <w:start w:val="1"/>
      <w:numFmt w:val="decimal"/>
      <w:lvlText w:val="%3."/>
      <w:lvlJc w:val="left"/>
      <w:pPr>
        <w:ind w:left="2943" w:hanging="222"/>
        <w:jc w:val="left"/>
      </w:pPr>
      <w:rPr>
        <w:rFonts w:hint="default" w:ascii="Calibri" w:hAnsi="Calibri" w:eastAsia="Calibri" w:cs="Calibri"/>
        <w:spacing w:val="-10"/>
        <w:w w:val="109"/>
        <w:sz w:val="21"/>
        <w:szCs w:val="21"/>
      </w:rPr>
    </w:lvl>
    <w:lvl w:ilvl="3">
      <w:start w:val="0"/>
      <w:numFmt w:val="bullet"/>
      <w:lvlText w:val="•"/>
      <w:lvlJc w:val="left"/>
      <w:pPr>
        <w:ind w:left="2940" w:hanging="222"/>
      </w:pPr>
      <w:rPr>
        <w:rFonts w:hint="default"/>
      </w:rPr>
    </w:lvl>
    <w:lvl w:ilvl="4">
      <w:start w:val="0"/>
      <w:numFmt w:val="bullet"/>
      <w:lvlText w:val="•"/>
      <w:lvlJc w:val="left"/>
      <w:pPr>
        <w:ind w:left="3120" w:hanging="222"/>
      </w:pPr>
      <w:rPr>
        <w:rFonts w:hint="default"/>
      </w:rPr>
    </w:lvl>
    <w:lvl w:ilvl="5">
      <w:start w:val="0"/>
      <w:numFmt w:val="bullet"/>
      <w:lvlText w:val="•"/>
      <w:lvlJc w:val="left"/>
      <w:pPr>
        <w:ind w:left="4393" w:hanging="222"/>
      </w:pPr>
      <w:rPr>
        <w:rFonts w:hint="default"/>
      </w:rPr>
    </w:lvl>
    <w:lvl w:ilvl="6">
      <w:start w:val="0"/>
      <w:numFmt w:val="bullet"/>
      <w:lvlText w:val="•"/>
      <w:lvlJc w:val="left"/>
      <w:pPr>
        <w:ind w:left="5666" w:hanging="222"/>
      </w:pPr>
      <w:rPr>
        <w:rFonts w:hint="default"/>
      </w:rPr>
    </w:lvl>
    <w:lvl w:ilvl="7">
      <w:start w:val="0"/>
      <w:numFmt w:val="bullet"/>
      <w:lvlText w:val="•"/>
      <w:lvlJc w:val="left"/>
      <w:pPr>
        <w:ind w:left="6939" w:hanging="222"/>
      </w:pPr>
      <w:rPr>
        <w:rFonts w:hint="default"/>
      </w:rPr>
    </w:lvl>
    <w:lvl w:ilvl="8">
      <w:start w:val="0"/>
      <w:numFmt w:val="bullet"/>
      <w:lvlText w:val="•"/>
      <w:lvlJc w:val="left"/>
      <w:pPr>
        <w:ind w:left="8213" w:hanging="222"/>
      </w:pPr>
      <w:rPr>
        <w:rFonts w:hint="default"/>
      </w:rPr>
    </w:lvl>
  </w:abstractNum>
  <w:abstractNum w:abstractNumId="134">
    <w:multiLevelType w:val="hybridMultilevel"/>
    <w:lvl w:ilvl="0">
      <w:start w:val="1"/>
      <w:numFmt w:val="lowerLetter"/>
      <w:lvlText w:val="(%1)"/>
      <w:lvlJc w:val="left"/>
      <w:pPr>
        <w:ind w:left="3027" w:hanging="307"/>
        <w:jc w:val="left"/>
      </w:pPr>
      <w:rPr>
        <w:rFonts w:hint="default" w:ascii="Calibri" w:hAnsi="Calibri" w:eastAsia="Calibri" w:cs="Calibri"/>
        <w:w w:val="91"/>
        <w:sz w:val="20"/>
        <w:szCs w:val="20"/>
      </w:rPr>
    </w:lvl>
    <w:lvl w:ilvl="1">
      <w:start w:val="1"/>
      <w:numFmt w:val="lowerRoman"/>
      <w:lvlText w:val="(%2)"/>
      <w:lvlJc w:val="left"/>
      <w:pPr>
        <w:ind w:left="3329" w:hanging="268"/>
        <w:jc w:val="left"/>
      </w:pPr>
      <w:rPr>
        <w:rFonts w:hint="default" w:ascii="Calibri" w:hAnsi="Calibri" w:eastAsia="Calibri" w:cs="Calibri"/>
        <w:spacing w:val="0"/>
        <w:w w:val="91"/>
        <w:sz w:val="20"/>
        <w:szCs w:val="20"/>
      </w:rPr>
    </w:lvl>
    <w:lvl w:ilvl="2">
      <w:start w:val="0"/>
      <w:numFmt w:val="bullet"/>
      <w:lvlText w:val="•"/>
      <w:lvlJc w:val="left"/>
      <w:pPr>
        <w:ind w:left="4273" w:hanging="268"/>
      </w:pPr>
      <w:rPr>
        <w:rFonts w:hint="default"/>
      </w:rPr>
    </w:lvl>
    <w:lvl w:ilvl="3">
      <w:start w:val="0"/>
      <w:numFmt w:val="bullet"/>
      <w:lvlText w:val="•"/>
      <w:lvlJc w:val="left"/>
      <w:pPr>
        <w:ind w:left="5227" w:hanging="268"/>
      </w:pPr>
      <w:rPr>
        <w:rFonts w:hint="default"/>
      </w:rPr>
    </w:lvl>
    <w:lvl w:ilvl="4">
      <w:start w:val="0"/>
      <w:numFmt w:val="bullet"/>
      <w:lvlText w:val="•"/>
      <w:lvlJc w:val="left"/>
      <w:pPr>
        <w:ind w:left="6181" w:hanging="268"/>
      </w:pPr>
      <w:rPr>
        <w:rFonts w:hint="default"/>
      </w:rPr>
    </w:lvl>
    <w:lvl w:ilvl="5">
      <w:start w:val="0"/>
      <w:numFmt w:val="bullet"/>
      <w:lvlText w:val="•"/>
      <w:lvlJc w:val="left"/>
      <w:pPr>
        <w:ind w:left="7135" w:hanging="268"/>
      </w:pPr>
      <w:rPr>
        <w:rFonts w:hint="default"/>
      </w:rPr>
    </w:lvl>
    <w:lvl w:ilvl="6">
      <w:start w:val="0"/>
      <w:numFmt w:val="bullet"/>
      <w:lvlText w:val="•"/>
      <w:lvlJc w:val="left"/>
      <w:pPr>
        <w:ind w:left="8089" w:hanging="268"/>
      </w:pPr>
      <w:rPr>
        <w:rFonts w:hint="default"/>
      </w:rPr>
    </w:lvl>
    <w:lvl w:ilvl="7">
      <w:start w:val="0"/>
      <w:numFmt w:val="bullet"/>
      <w:lvlText w:val="•"/>
      <w:lvlJc w:val="left"/>
      <w:pPr>
        <w:ind w:left="9043" w:hanging="268"/>
      </w:pPr>
      <w:rPr>
        <w:rFonts w:hint="default"/>
      </w:rPr>
    </w:lvl>
    <w:lvl w:ilvl="8">
      <w:start w:val="0"/>
      <w:numFmt w:val="bullet"/>
      <w:lvlText w:val="•"/>
      <w:lvlJc w:val="left"/>
      <w:pPr>
        <w:ind w:left="9997" w:hanging="268"/>
      </w:pPr>
      <w:rPr>
        <w:rFonts w:hint="default"/>
      </w:rPr>
    </w:lvl>
  </w:abstractNum>
  <w:abstractNum w:abstractNumId="133">
    <w:multiLevelType w:val="hybridMultilevel"/>
    <w:lvl w:ilvl="0">
      <w:start w:val="1"/>
      <w:numFmt w:val="decimal"/>
      <w:lvlText w:val="%1."/>
      <w:lvlJc w:val="left"/>
      <w:pPr>
        <w:ind w:left="3061" w:hanging="341"/>
        <w:jc w:val="left"/>
      </w:pPr>
      <w:rPr>
        <w:rFonts w:hint="default" w:ascii="Calibri" w:hAnsi="Calibri" w:eastAsia="Calibri" w:cs="Calibri"/>
        <w:spacing w:val="-13"/>
        <w:w w:val="109"/>
        <w:sz w:val="20"/>
        <w:szCs w:val="20"/>
      </w:rPr>
    </w:lvl>
    <w:lvl w:ilvl="1">
      <w:start w:val="0"/>
      <w:numFmt w:val="bullet"/>
      <w:lvlText w:val="•"/>
      <w:lvlJc w:val="left"/>
      <w:pPr>
        <w:ind w:left="3944" w:hanging="341"/>
      </w:pPr>
      <w:rPr>
        <w:rFonts w:hint="default"/>
      </w:rPr>
    </w:lvl>
    <w:lvl w:ilvl="2">
      <w:start w:val="0"/>
      <w:numFmt w:val="bullet"/>
      <w:lvlText w:val="•"/>
      <w:lvlJc w:val="left"/>
      <w:pPr>
        <w:ind w:left="4829" w:hanging="341"/>
      </w:pPr>
      <w:rPr>
        <w:rFonts w:hint="default"/>
      </w:rPr>
    </w:lvl>
    <w:lvl w:ilvl="3">
      <w:start w:val="0"/>
      <w:numFmt w:val="bullet"/>
      <w:lvlText w:val="•"/>
      <w:lvlJc w:val="left"/>
      <w:pPr>
        <w:ind w:left="5713" w:hanging="341"/>
      </w:pPr>
      <w:rPr>
        <w:rFonts w:hint="default"/>
      </w:rPr>
    </w:lvl>
    <w:lvl w:ilvl="4">
      <w:start w:val="0"/>
      <w:numFmt w:val="bullet"/>
      <w:lvlText w:val="•"/>
      <w:lvlJc w:val="left"/>
      <w:pPr>
        <w:ind w:left="6598" w:hanging="341"/>
      </w:pPr>
      <w:rPr>
        <w:rFonts w:hint="default"/>
      </w:rPr>
    </w:lvl>
    <w:lvl w:ilvl="5">
      <w:start w:val="0"/>
      <w:numFmt w:val="bullet"/>
      <w:lvlText w:val="•"/>
      <w:lvlJc w:val="left"/>
      <w:pPr>
        <w:ind w:left="7482" w:hanging="341"/>
      </w:pPr>
      <w:rPr>
        <w:rFonts w:hint="default"/>
      </w:rPr>
    </w:lvl>
    <w:lvl w:ilvl="6">
      <w:start w:val="0"/>
      <w:numFmt w:val="bullet"/>
      <w:lvlText w:val="•"/>
      <w:lvlJc w:val="left"/>
      <w:pPr>
        <w:ind w:left="8367" w:hanging="341"/>
      </w:pPr>
      <w:rPr>
        <w:rFonts w:hint="default"/>
      </w:rPr>
    </w:lvl>
    <w:lvl w:ilvl="7">
      <w:start w:val="0"/>
      <w:numFmt w:val="bullet"/>
      <w:lvlText w:val="•"/>
      <w:lvlJc w:val="left"/>
      <w:pPr>
        <w:ind w:left="9251" w:hanging="341"/>
      </w:pPr>
      <w:rPr>
        <w:rFonts w:hint="default"/>
      </w:rPr>
    </w:lvl>
    <w:lvl w:ilvl="8">
      <w:start w:val="0"/>
      <w:numFmt w:val="bullet"/>
      <w:lvlText w:val="•"/>
      <w:lvlJc w:val="left"/>
      <w:pPr>
        <w:ind w:left="10136" w:hanging="341"/>
      </w:pPr>
      <w:rPr>
        <w:rFonts w:hint="default"/>
      </w:rPr>
    </w:lvl>
  </w:abstractNum>
  <w:abstractNum w:abstractNumId="132">
    <w:multiLevelType w:val="hybridMultilevel"/>
    <w:lvl w:ilvl="0">
      <w:start w:val="1"/>
      <w:numFmt w:val="decimal"/>
      <w:lvlText w:val="%1."/>
      <w:lvlJc w:val="left"/>
      <w:pPr>
        <w:ind w:left="3061" w:hanging="341"/>
        <w:jc w:val="left"/>
      </w:pPr>
      <w:rPr>
        <w:rFonts w:hint="default" w:ascii="Calibri" w:hAnsi="Calibri" w:eastAsia="Calibri" w:cs="Calibri"/>
        <w:spacing w:val="-13"/>
        <w:w w:val="109"/>
        <w:sz w:val="20"/>
        <w:szCs w:val="20"/>
      </w:rPr>
    </w:lvl>
    <w:lvl w:ilvl="1">
      <w:start w:val="0"/>
      <w:numFmt w:val="bullet"/>
      <w:lvlText w:val="•"/>
      <w:lvlJc w:val="left"/>
      <w:pPr>
        <w:ind w:left="3944" w:hanging="341"/>
      </w:pPr>
      <w:rPr>
        <w:rFonts w:hint="default"/>
      </w:rPr>
    </w:lvl>
    <w:lvl w:ilvl="2">
      <w:start w:val="0"/>
      <w:numFmt w:val="bullet"/>
      <w:lvlText w:val="•"/>
      <w:lvlJc w:val="left"/>
      <w:pPr>
        <w:ind w:left="4829" w:hanging="341"/>
      </w:pPr>
      <w:rPr>
        <w:rFonts w:hint="default"/>
      </w:rPr>
    </w:lvl>
    <w:lvl w:ilvl="3">
      <w:start w:val="0"/>
      <w:numFmt w:val="bullet"/>
      <w:lvlText w:val="•"/>
      <w:lvlJc w:val="left"/>
      <w:pPr>
        <w:ind w:left="5713" w:hanging="341"/>
      </w:pPr>
      <w:rPr>
        <w:rFonts w:hint="default"/>
      </w:rPr>
    </w:lvl>
    <w:lvl w:ilvl="4">
      <w:start w:val="0"/>
      <w:numFmt w:val="bullet"/>
      <w:lvlText w:val="•"/>
      <w:lvlJc w:val="left"/>
      <w:pPr>
        <w:ind w:left="6598" w:hanging="341"/>
      </w:pPr>
      <w:rPr>
        <w:rFonts w:hint="default"/>
      </w:rPr>
    </w:lvl>
    <w:lvl w:ilvl="5">
      <w:start w:val="0"/>
      <w:numFmt w:val="bullet"/>
      <w:lvlText w:val="•"/>
      <w:lvlJc w:val="left"/>
      <w:pPr>
        <w:ind w:left="7482" w:hanging="341"/>
      </w:pPr>
      <w:rPr>
        <w:rFonts w:hint="default"/>
      </w:rPr>
    </w:lvl>
    <w:lvl w:ilvl="6">
      <w:start w:val="0"/>
      <w:numFmt w:val="bullet"/>
      <w:lvlText w:val="•"/>
      <w:lvlJc w:val="left"/>
      <w:pPr>
        <w:ind w:left="8367" w:hanging="341"/>
      </w:pPr>
      <w:rPr>
        <w:rFonts w:hint="default"/>
      </w:rPr>
    </w:lvl>
    <w:lvl w:ilvl="7">
      <w:start w:val="0"/>
      <w:numFmt w:val="bullet"/>
      <w:lvlText w:val="•"/>
      <w:lvlJc w:val="left"/>
      <w:pPr>
        <w:ind w:left="9251" w:hanging="341"/>
      </w:pPr>
      <w:rPr>
        <w:rFonts w:hint="default"/>
      </w:rPr>
    </w:lvl>
    <w:lvl w:ilvl="8">
      <w:start w:val="0"/>
      <w:numFmt w:val="bullet"/>
      <w:lvlText w:val="•"/>
      <w:lvlJc w:val="left"/>
      <w:pPr>
        <w:ind w:left="10136" w:hanging="341"/>
      </w:pPr>
      <w:rPr>
        <w:rFonts w:hint="default"/>
      </w:rPr>
    </w:lvl>
  </w:abstractNum>
  <w:abstractNum w:abstractNumId="131">
    <w:multiLevelType w:val="hybridMultilevel"/>
    <w:lvl w:ilvl="0">
      <w:start w:val="6"/>
      <w:numFmt w:val="decimal"/>
      <w:lvlText w:val="%1"/>
      <w:lvlJc w:val="left"/>
      <w:pPr>
        <w:ind w:left="2381" w:hanging="794"/>
        <w:jc w:val="right"/>
      </w:pPr>
      <w:rPr>
        <w:rFonts w:hint="default" w:ascii="Calibri" w:hAnsi="Calibri" w:eastAsia="Calibri" w:cs="Calibri"/>
        <w:w w:val="109"/>
        <w:sz w:val="13"/>
        <w:szCs w:val="13"/>
      </w:rPr>
    </w:lvl>
    <w:lvl w:ilvl="1">
      <w:start w:val="0"/>
      <w:numFmt w:val="bullet"/>
      <w:lvlText w:val="•"/>
      <w:lvlJc w:val="left"/>
      <w:pPr>
        <w:ind w:left="3170" w:hanging="794"/>
      </w:pPr>
      <w:rPr>
        <w:rFonts w:hint="default"/>
      </w:rPr>
    </w:lvl>
    <w:lvl w:ilvl="2">
      <w:start w:val="0"/>
      <w:numFmt w:val="bullet"/>
      <w:lvlText w:val="•"/>
      <w:lvlJc w:val="left"/>
      <w:pPr>
        <w:ind w:left="3960" w:hanging="794"/>
      </w:pPr>
      <w:rPr>
        <w:rFonts w:hint="default"/>
      </w:rPr>
    </w:lvl>
    <w:lvl w:ilvl="3">
      <w:start w:val="0"/>
      <w:numFmt w:val="bullet"/>
      <w:lvlText w:val="•"/>
      <w:lvlJc w:val="left"/>
      <w:pPr>
        <w:ind w:left="4751" w:hanging="794"/>
      </w:pPr>
      <w:rPr>
        <w:rFonts w:hint="default"/>
      </w:rPr>
    </w:lvl>
    <w:lvl w:ilvl="4">
      <w:start w:val="0"/>
      <w:numFmt w:val="bullet"/>
      <w:lvlText w:val="•"/>
      <w:lvlJc w:val="left"/>
      <w:pPr>
        <w:ind w:left="5541" w:hanging="794"/>
      </w:pPr>
      <w:rPr>
        <w:rFonts w:hint="default"/>
      </w:rPr>
    </w:lvl>
    <w:lvl w:ilvl="5">
      <w:start w:val="0"/>
      <w:numFmt w:val="bullet"/>
      <w:lvlText w:val="•"/>
      <w:lvlJc w:val="left"/>
      <w:pPr>
        <w:ind w:left="6331" w:hanging="794"/>
      </w:pPr>
      <w:rPr>
        <w:rFonts w:hint="default"/>
      </w:rPr>
    </w:lvl>
    <w:lvl w:ilvl="6">
      <w:start w:val="0"/>
      <w:numFmt w:val="bullet"/>
      <w:lvlText w:val="•"/>
      <w:lvlJc w:val="left"/>
      <w:pPr>
        <w:ind w:left="7122" w:hanging="794"/>
      </w:pPr>
      <w:rPr>
        <w:rFonts w:hint="default"/>
      </w:rPr>
    </w:lvl>
    <w:lvl w:ilvl="7">
      <w:start w:val="0"/>
      <w:numFmt w:val="bullet"/>
      <w:lvlText w:val="•"/>
      <w:lvlJc w:val="left"/>
      <w:pPr>
        <w:ind w:left="7912" w:hanging="794"/>
      </w:pPr>
      <w:rPr>
        <w:rFonts w:hint="default"/>
      </w:rPr>
    </w:lvl>
    <w:lvl w:ilvl="8">
      <w:start w:val="0"/>
      <w:numFmt w:val="bullet"/>
      <w:lvlText w:val="•"/>
      <w:lvlJc w:val="left"/>
      <w:pPr>
        <w:ind w:left="8703" w:hanging="794"/>
      </w:pPr>
      <w:rPr>
        <w:rFonts w:hint="default"/>
      </w:rPr>
    </w:lvl>
  </w:abstractNum>
  <w:abstractNum w:abstractNumId="129">
    <w:multiLevelType w:val="hybridMultilevel"/>
    <w:lvl w:ilvl="0">
      <w:start w:val="1"/>
      <w:numFmt w:val="lowerLetter"/>
      <w:lvlText w:val="(%1)"/>
      <w:lvlJc w:val="left"/>
      <w:pPr>
        <w:ind w:left="340" w:hanging="341"/>
        <w:jc w:val="left"/>
      </w:pPr>
      <w:rPr>
        <w:rFonts w:hint="default" w:ascii="Calibri" w:hAnsi="Calibri" w:eastAsia="Calibri" w:cs="Calibri"/>
        <w:spacing w:val="0"/>
        <w:w w:val="109"/>
        <w:sz w:val="21"/>
        <w:szCs w:val="21"/>
      </w:rPr>
    </w:lvl>
    <w:lvl w:ilvl="1">
      <w:start w:val="0"/>
      <w:numFmt w:val="bullet"/>
      <w:lvlText w:val="•"/>
      <w:lvlJc w:val="left"/>
      <w:pPr>
        <w:ind w:left="1071" w:hanging="341"/>
      </w:pPr>
      <w:rPr>
        <w:rFonts w:hint="default"/>
      </w:rPr>
    </w:lvl>
    <w:lvl w:ilvl="2">
      <w:start w:val="0"/>
      <w:numFmt w:val="bullet"/>
      <w:lvlText w:val="•"/>
      <w:lvlJc w:val="left"/>
      <w:pPr>
        <w:ind w:left="1803" w:hanging="341"/>
      </w:pPr>
      <w:rPr>
        <w:rFonts w:hint="default"/>
      </w:rPr>
    </w:lvl>
    <w:lvl w:ilvl="3">
      <w:start w:val="0"/>
      <w:numFmt w:val="bullet"/>
      <w:lvlText w:val="•"/>
      <w:lvlJc w:val="left"/>
      <w:pPr>
        <w:ind w:left="2535" w:hanging="341"/>
      </w:pPr>
      <w:rPr>
        <w:rFonts w:hint="default"/>
      </w:rPr>
    </w:lvl>
    <w:lvl w:ilvl="4">
      <w:start w:val="0"/>
      <w:numFmt w:val="bullet"/>
      <w:lvlText w:val="•"/>
      <w:lvlJc w:val="left"/>
      <w:pPr>
        <w:ind w:left="3267" w:hanging="341"/>
      </w:pPr>
      <w:rPr>
        <w:rFonts w:hint="default"/>
      </w:rPr>
    </w:lvl>
    <w:lvl w:ilvl="5">
      <w:start w:val="0"/>
      <w:numFmt w:val="bullet"/>
      <w:lvlText w:val="•"/>
      <w:lvlJc w:val="left"/>
      <w:pPr>
        <w:ind w:left="3999" w:hanging="341"/>
      </w:pPr>
      <w:rPr>
        <w:rFonts w:hint="default"/>
      </w:rPr>
    </w:lvl>
    <w:lvl w:ilvl="6">
      <w:start w:val="0"/>
      <w:numFmt w:val="bullet"/>
      <w:lvlText w:val="•"/>
      <w:lvlJc w:val="left"/>
      <w:pPr>
        <w:ind w:left="4731" w:hanging="341"/>
      </w:pPr>
      <w:rPr>
        <w:rFonts w:hint="default"/>
      </w:rPr>
    </w:lvl>
    <w:lvl w:ilvl="7">
      <w:start w:val="0"/>
      <w:numFmt w:val="bullet"/>
      <w:lvlText w:val="•"/>
      <w:lvlJc w:val="left"/>
      <w:pPr>
        <w:ind w:left="5463" w:hanging="341"/>
      </w:pPr>
      <w:rPr>
        <w:rFonts w:hint="default"/>
      </w:rPr>
    </w:lvl>
    <w:lvl w:ilvl="8">
      <w:start w:val="0"/>
      <w:numFmt w:val="bullet"/>
      <w:lvlText w:val="•"/>
      <w:lvlJc w:val="left"/>
      <w:pPr>
        <w:ind w:left="6195" w:hanging="341"/>
      </w:pPr>
      <w:rPr>
        <w:rFonts w:hint="default"/>
      </w:rPr>
    </w:lvl>
  </w:abstractNum>
  <w:abstractNum w:abstractNumId="127">
    <w:multiLevelType w:val="hybridMultilevel"/>
    <w:lvl w:ilvl="0">
      <w:start w:val="1"/>
      <w:numFmt w:val="lowerLetter"/>
      <w:lvlText w:val="(%1)"/>
      <w:lvlJc w:val="left"/>
      <w:pPr>
        <w:ind w:left="340" w:hanging="341"/>
        <w:jc w:val="left"/>
      </w:pPr>
      <w:rPr>
        <w:rFonts w:hint="default" w:ascii="Calibri" w:hAnsi="Calibri" w:eastAsia="Calibri" w:cs="Calibri"/>
        <w:spacing w:val="0"/>
        <w:w w:val="109"/>
        <w:sz w:val="21"/>
        <w:szCs w:val="21"/>
      </w:rPr>
    </w:lvl>
    <w:lvl w:ilvl="1">
      <w:start w:val="0"/>
      <w:numFmt w:val="bullet"/>
      <w:lvlText w:val="•"/>
      <w:lvlJc w:val="left"/>
      <w:pPr>
        <w:ind w:left="1001" w:hanging="341"/>
      </w:pPr>
      <w:rPr>
        <w:rFonts w:hint="default"/>
      </w:rPr>
    </w:lvl>
    <w:lvl w:ilvl="2">
      <w:start w:val="0"/>
      <w:numFmt w:val="bullet"/>
      <w:lvlText w:val="•"/>
      <w:lvlJc w:val="left"/>
      <w:pPr>
        <w:ind w:left="1663" w:hanging="341"/>
      </w:pPr>
      <w:rPr>
        <w:rFonts w:hint="default"/>
      </w:rPr>
    </w:lvl>
    <w:lvl w:ilvl="3">
      <w:start w:val="0"/>
      <w:numFmt w:val="bullet"/>
      <w:lvlText w:val="•"/>
      <w:lvlJc w:val="left"/>
      <w:pPr>
        <w:ind w:left="2325" w:hanging="341"/>
      </w:pPr>
      <w:rPr>
        <w:rFonts w:hint="default"/>
      </w:rPr>
    </w:lvl>
    <w:lvl w:ilvl="4">
      <w:start w:val="0"/>
      <w:numFmt w:val="bullet"/>
      <w:lvlText w:val="•"/>
      <w:lvlJc w:val="left"/>
      <w:pPr>
        <w:ind w:left="2987" w:hanging="341"/>
      </w:pPr>
      <w:rPr>
        <w:rFonts w:hint="default"/>
      </w:rPr>
    </w:lvl>
    <w:lvl w:ilvl="5">
      <w:start w:val="0"/>
      <w:numFmt w:val="bullet"/>
      <w:lvlText w:val="•"/>
      <w:lvlJc w:val="left"/>
      <w:pPr>
        <w:ind w:left="3649" w:hanging="341"/>
      </w:pPr>
      <w:rPr>
        <w:rFonts w:hint="default"/>
      </w:rPr>
    </w:lvl>
    <w:lvl w:ilvl="6">
      <w:start w:val="0"/>
      <w:numFmt w:val="bullet"/>
      <w:lvlText w:val="•"/>
      <w:lvlJc w:val="left"/>
      <w:pPr>
        <w:ind w:left="4311" w:hanging="341"/>
      </w:pPr>
      <w:rPr>
        <w:rFonts w:hint="default"/>
      </w:rPr>
    </w:lvl>
    <w:lvl w:ilvl="7">
      <w:start w:val="0"/>
      <w:numFmt w:val="bullet"/>
      <w:lvlText w:val="•"/>
      <w:lvlJc w:val="left"/>
      <w:pPr>
        <w:ind w:left="4973" w:hanging="341"/>
      </w:pPr>
      <w:rPr>
        <w:rFonts w:hint="default"/>
      </w:rPr>
    </w:lvl>
    <w:lvl w:ilvl="8">
      <w:start w:val="0"/>
      <w:numFmt w:val="bullet"/>
      <w:lvlText w:val="•"/>
      <w:lvlJc w:val="left"/>
      <w:pPr>
        <w:ind w:left="5635" w:hanging="341"/>
      </w:pPr>
      <w:rPr>
        <w:rFonts w:hint="default"/>
      </w:rPr>
    </w:lvl>
  </w:abstractNum>
  <w:abstractNum w:abstractNumId="126">
    <w:multiLevelType w:val="hybridMultilevel"/>
    <w:lvl w:ilvl="0">
      <w:start w:val="1"/>
      <w:numFmt w:val="lowerLetter"/>
      <w:lvlText w:val="(%1)"/>
      <w:lvlJc w:val="left"/>
      <w:pPr>
        <w:ind w:left="340" w:hanging="341"/>
        <w:jc w:val="left"/>
      </w:pPr>
      <w:rPr>
        <w:rFonts w:hint="default" w:ascii="Calibri" w:hAnsi="Calibri" w:eastAsia="Calibri" w:cs="Calibri"/>
        <w:spacing w:val="0"/>
        <w:w w:val="109"/>
        <w:sz w:val="21"/>
        <w:szCs w:val="21"/>
      </w:rPr>
    </w:lvl>
    <w:lvl w:ilvl="1">
      <w:start w:val="0"/>
      <w:numFmt w:val="bullet"/>
      <w:lvlText w:val="•"/>
      <w:lvlJc w:val="left"/>
      <w:pPr>
        <w:ind w:left="1063" w:hanging="341"/>
      </w:pPr>
      <w:rPr>
        <w:rFonts w:hint="default"/>
      </w:rPr>
    </w:lvl>
    <w:lvl w:ilvl="2">
      <w:start w:val="0"/>
      <w:numFmt w:val="bullet"/>
      <w:lvlText w:val="•"/>
      <w:lvlJc w:val="left"/>
      <w:pPr>
        <w:ind w:left="1786" w:hanging="341"/>
      </w:pPr>
      <w:rPr>
        <w:rFonts w:hint="default"/>
      </w:rPr>
    </w:lvl>
    <w:lvl w:ilvl="3">
      <w:start w:val="0"/>
      <w:numFmt w:val="bullet"/>
      <w:lvlText w:val="•"/>
      <w:lvlJc w:val="left"/>
      <w:pPr>
        <w:ind w:left="2510" w:hanging="341"/>
      </w:pPr>
      <w:rPr>
        <w:rFonts w:hint="default"/>
      </w:rPr>
    </w:lvl>
    <w:lvl w:ilvl="4">
      <w:start w:val="0"/>
      <w:numFmt w:val="bullet"/>
      <w:lvlText w:val="•"/>
      <w:lvlJc w:val="left"/>
      <w:pPr>
        <w:ind w:left="3233" w:hanging="341"/>
      </w:pPr>
      <w:rPr>
        <w:rFonts w:hint="default"/>
      </w:rPr>
    </w:lvl>
    <w:lvl w:ilvl="5">
      <w:start w:val="0"/>
      <w:numFmt w:val="bullet"/>
      <w:lvlText w:val="•"/>
      <w:lvlJc w:val="left"/>
      <w:pPr>
        <w:ind w:left="3956" w:hanging="341"/>
      </w:pPr>
      <w:rPr>
        <w:rFonts w:hint="default"/>
      </w:rPr>
    </w:lvl>
    <w:lvl w:ilvl="6">
      <w:start w:val="0"/>
      <w:numFmt w:val="bullet"/>
      <w:lvlText w:val="•"/>
      <w:lvlJc w:val="left"/>
      <w:pPr>
        <w:ind w:left="4680" w:hanging="341"/>
      </w:pPr>
      <w:rPr>
        <w:rFonts w:hint="default"/>
      </w:rPr>
    </w:lvl>
    <w:lvl w:ilvl="7">
      <w:start w:val="0"/>
      <w:numFmt w:val="bullet"/>
      <w:lvlText w:val="•"/>
      <w:lvlJc w:val="left"/>
      <w:pPr>
        <w:ind w:left="5403" w:hanging="341"/>
      </w:pPr>
      <w:rPr>
        <w:rFonts w:hint="default"/>
      </w:rPr>
    </w:lvl>
    <w:lvl w:ilvl="8">
      <w:start w:val="0"/>
      <w:numFmt w:val="bullet"/>
      <w:lvlText w:val="•"/>
      <w:lvlJc w:val="left"/>
      <w:pPr>
        <w:ind w:left="6126" w:hanging="341"/>
      </w:pPr>
      <w:rPr>
        <w:rFonts w:hint="default"/>
      </w:rPr>
    </w:lvl>
  </w:abstractNum>
  <w:abstractNum w:abstractNumId="125">
    <w:multiLevelType w:val="hybridMultilevel"/>
    <w:lvl w:ilvl="0">
      <w:start w:val="1"/>
      <w:numFmt w:val="lowerLetter"/>
      <w:lvlText w:val="(%1)"/>
      <w:lvlJc w:val="left"/>
      <w:pPr>
        <w:ind w:left="340" w:hanging="341"/>
        <w:jc w:val="left"/>
      </w:pPr>
      <w:rPr>
        <w:rFonts w:hint="default" w:ascii="Calibri" w:hAnsi="Calibri" w:eastAsia="Calibri" w:cs="Calibri"/>
        <w:spacing w:val="0"/>
        <w:w w:val="109"/>
        <w:sz w:val="21"/>
        <w:szCs w:val="21"/>
      </w:rPr>
    </w:lvl>
    <w:lvl w:ilvl="1">
      <w:start w:val="0"/>
      <w:numFmt w:val="bullet"/>
      <w:lvlText w:val="•"/>
      <w:lvlJc w:val="left"/>
      <w:pPr>
        <w:ind w:left="1075" w:hanging="341"/>
      </w:pPr>
      <w:rPr>
        <w:rFonts w:hint="default"/>
      </w:rPr>
    </w:lvl>
    <w:lvl w:ilvl="2">
      <w:start w:val="0"/>
      <w:numFmt w:val="bullet"/>
      <w:lvlText w:val="•"/>
      <w:lvlJc w:val="left"/>
      <w:pPr>
        <w:ind w:left="1810" w:hanging="341"/>
      </w:pPr>
      <w:rPr>
        <w:rFonts w:hint="default"/>
      </w:rPr>
    </w:lvl>
    <w:lvl w:ilvl="3">
      <w:start w:val="0"/>
      <w:numFmt w:val="bullet"/>
      <w:lvlText w:val="•"/>
      <w:lvlJc w:val="left"/>
      <w:pPr>
        <w:ind w:left="2545" w:hanging="341"/>
      </w:pPr>
      <w:rPr>
        <w:rFonts w:hint="default"/>
      </w:rPr>
    </w:lvl>
    <w:lvl w:ilvl="4">
      <w:start w:val="0"/>
      <w:numFmt w:val="bullet"/>
      <w:lvlText w:val="•"/>
      <w:lvlJc w:val="left"/>
      <w:pPr>
        <w:ind w:left="3281" w:hanging="341"/>
      </w:pPr>
      <w:rPr>
        <w:rFonts w:hint="default"/>
      </w:rPr>
    </w:lvl>
    <w:lvl w:ilvl="5">
      <w:start w:val="0"/>
      <w:numFmt w:val="bullet"/>
      <w:lvlText w:val="•"/>
      <w:lvlJc w:val="left"/>
      <w:pPr>
        <w:ind w:left="4016" w:hanging="341"/>
      </w:pPr>
      <w:rPr>
        <w:rFonts w:hint="default"/>
      </w:rPr>
    </w:lvl>
    <w:lvl w:ilvl="6">
      <w:start w:val="0"/>
      <w:numFmt w:val="bullet"/>
      <w:lvlText w:val="•"/>
      <w:lvlJc w:val="left"/>
      <w:pPr>
        <w:ind w:left="4751" w:hanging="341"/>
      </w:pPr>
      <w:rPr>
        <w:rFonts w:hint="default"/>
      </w:rPr>
    </w:lvl>
    <w:lvl w:ilvl="7">
      <w:start w:val="0"/>
      <w:numFmt w:val="bullet"/>
      <w:lvlText w:val="•"/>
      <w:lvlJc w:val="left"/>
      <w:pPr>
        <w:ind w:left="5487" w:hanging="341"/>
      </w:pPr>
      <w:rPr>
        <w:rFonts w:hint="default"/>
      </w:rPr>
    </w:lvl>
    <w:lvl w:ilvl="8">
      <w:start w:val="0"/>
      <w:numFmt w:val="bullet"/>
      <w:lvlText w:val="•"/>
      <w:lvlJc w:val="left"/>
      <w:pPr>
        <w:ind w:left="6222" w:hanging="341"/>
      </w:pPr>
      <w:rPr>
        <w:rFonts w:hint="default"/>
      </w:rPr>
    </w:lvl>
  </w:abstractNum>
  <w:abstractNum w:abstractNumId="124">
    <w:multiLevelType w:val="hybridMultilevel"/>
    <w:lvl w:ilvl="0">
      <w:start w:val="165"/>
      <w:numFmt w:val="decimal"/>
      <w:lvlText w:val="%1"/>
      <w:lvlJc w:val="left"/>
      <w:pPr>
        <w:ind w:left="1223" w:hanging="794"/>
        <w:jc w:val="right"/>
      </w:pPr>
      <w:rPr>
        <w:rFonts w:hint="default" w:ascii="Calibri" w:hAnsi="Calibri" w:eastAsia="Calibri" w:cs="Calibri"/>
        <w:spacing w:val="-4"/>
        <w:w w:val="109"/>
        <w:sz w:val="13"/>
        <w:szCs w:val="13"/>
      </w:rPr>
    </w:lvl>
    <w:lvl w:ilvl="1">
      <w:start w:val="177"/>
      <w:numFmt w:val="decimal"/>
      <w:lvlText w:val="%2"/>
      <w:lvlJc w:val="left"/>
      <w:pPr>
        <w:ind w:left="2381" w:hanging="794"/>
        <w:jc w:val="right"/>
      </w:pPr>
      <w:rPr>
        <w:rFonts w:hint="default" w:ascii="Calibri" w:hAnsi="Calibri" w:eastAsia="Calibri" w:cs="Calibri"/>
        <w:spacing w:val="-7"/>
        <w:w w:val="109"/>
        <w:sz w:val="13"/>
        <w:szCs w:val="13"/>
      </w:rPr>
    </w:lvl>
    <w:lvl w:ilvl="2">
      <w:start w:val="0"/>
      <w:numFmt w:val="bullet"/>
      <w:lvlText w:val="•"/>
      <w:lvlJc w:val="left"/>
      <w:pPr>
        <w:ind w:left="2541" w:hanging="794"/>
      </w:pPr>
      <w:rPr>
        <w:rFonts w:hint="default"/>
      </w:rPr>
    </w:lvl>
    <w:lvl w:ilvl="3">
      <w:start w:val="0"/>
      <w:numFmt w:val="bullet"/>
      <w:lvlText w:val="•"/>
      <w:lvlJc w:val="left"/>
      <w:pPr>
        <w:ind w:left="2703" w:hanging="794"/>
      </w:pPr>
      <w:rPr>
        <w:rFonts w:hint="default"/>
      </w:rPr>
    </w:lvl>
    <w:lvl w:ilvl="4">
      <w:start w:val="0"/>
      <w:numFmt w:val="bullet"/>
      <w:lvlText w:val="•"/>
      <w:lvlJc w:val="left"/>
      <w:pPr>
        <w:ind w:left="2865" w:hanging="794"/>
      </w:pPr>
      <w:rPr>
        <w:rFonts w:hint="default"/>
      </w:rPr>
    </w:lvl>
    <w:lvl w:ilvl="5">
      <w:start w:val="0"/>
      <w:numFmt w:val="bullet"/>
      <w:lvlText w:val="•"/>
      <w:lvlJc w:val="left"/>
      <w:pPr>
        <w:ind w:left="3027" w:hanging="794"/>
      </w:pPr>
      <w:rPr>
        <w:rFonts w:hint="default"/>
      </w:rPr>
    </w:lvl>
    <w:lvl w:ilvl="6">
      <w:start w:val="0"/>
      <w:numFmt w:val="bullet"/>
      <w:lvlText w:val="•"/>
      <w:lvlJc w:val="left"/>
      <w:pPr>
        <w:ind w:left="3189" w:hanging="794"/>
      </w:pPr>
      <w:rPr>
        <w:rFonts w:hint="default"/>
      </w:rPr>
    </w:lvl>
    <w:lvl w:ilvl="7">
      <w:start w:val="0"/>
      <w:numFmt w:val="bullet"/>
      <w:lvlText w:val="•"/>
      <w:lvlJc w:val="left"/>
      <w:pPr>
        <w:ind w:left="3351" w:hanging="794"/>
      </w:pPr>
      <w:rPr>
        <w:rFonts w:hint="default"/>
      </w:rPr>
    </w:lvl>
    <w:lvl w:ilvl="8">
      <w:start w:val="0"/>
      <w:numFmt w:val="bullet"/>
      <w:lvlText w:val="•"/>
      <w:lvlJc w:val="left"/>
      <w:pPr>
        <w:ind w:left="3513" w:hanging="794"/>
      </w:pPr>
      <w:rPr>
        <w:rFonts w:hint="default"/>
      </w:rPr>
    </w:lvl>
  </w:abstractNum>
  <w:abstractNum w:abstractNumId="123">
    <w:multiLevelType w:val="hybridMultilevel"/>
    <w:lvl w:ilvl="0">
      <w:start w:val="5"/>
      <w:numFmt w:val="decimal"/>
      <w:lvlText w:val="(%1)"/>
      <w:lvlJc w:val="left"/>
      <w:pPr>
        <w:ind w:left="3061" w:hanging="341"/>
        <w:jc w:val="left"/>
      </w:pPr>
      <w:rPr>
        <w:rFonts w:hint="default" w:ascii="Calibri" w:hAnsi="Calibri" w:eastAsia="Calibri" w:cs="Calibri"/>
        <w:spacing w:val="0"/>
        <w:w w:val="91"/>
        <w:sz w:val="20"/>
        <w:szCs w:val="20"/>
      </w:rPr>
    </w:lvl>
    <w:lvl w:ilvl="1">
      <w:start w:val="0"/>
      <w:numFmt w:val="bullet"/>
      <w:lvlText w:val="•"/>
      <w:lvlJc w:val="left"/>
      <w:pPr>
        <w:ind w:left="3944" w:hanging="341"/>
      </w:pPr>
      <w:rPr>
        <w:rFonts w:hint="default"/>
      </w:rPr>
    </w:lvl>
    <w:lvl w:ilvl="2">
      <w:start w:val="0"/>
      <w:numFmt w:val="bullet"/>
      <w:lvlText w:val="•"/>
      <w:lvlJc w:val="left"/>
      <w:pPr>
        <w:ind w:left="4829" w:hanging="341"/>
      </w:pPr>
      <w:rPr>
        <w:rFonts w:hint="default"/>
      </w:rPr>
    </w:lvl>
    <w:lvl w:ilvl="3">
      <w:start w:val="0"/>
      <w:numFmt w:val="bullet"/>
      <w:lvlText w:val="•"/>
      <w:lvlJc w:val="left"/>
      <w:pPr>
        <w:ind w:left="5713" w:hanging="341"/>
      </w:pPr>
      <w:rPr>
        <w:rFonts w:hint="default"/>
      </w:rPr>
    </w:lvl>
    <w:lvl w:ilvl="4">
      <w:start w:val="0"/>
      <w:numFmt w:val="bullet"/>
      <w:lvlText w:val="•"/>
      <w:lvlJc w:val="left"/>
      <w:pPr>
        <w:ind w:left="6598" w:hanging="341"/>
      </w:pPr>
      <w:rPr>
        <w:rFonts w:hint="default"/>
      </w:rPr>
    </w:lvl>
    <w:lvl w:ilvl="5">
      <w:start w:val="0"/>
      <w:numFmt w:val="bullet"/>
      <w:lvlText w:val="•"/>
      <w:lvlJc w:val="left"/>
      <w:pPr>
        <w:ind w:left="7482" w:hanging="341"/>
      </w:pPr>
      <w:rPr>
        <w:rFonts w:hint="default"/>
      </w:rPr>
    </w:lvl>
    <w:lvl w:ilvl="6">
      <w:start w:val="0"/>
      <w:numFmt w:val="bullet"/>
      <w:lvlText w:val="•"/>
      <w:lvlJc w:val="left"/>
      <w:pPr>
        <w:ind w:left="8367" w:hanging="341"/>
      </w:pPr>
      <w:rPr>
        <w:rFonts w:hint="default"/>
      </w:rPr>
    </w:lvl>
    <w:lvl w:ilvl="7">
      <w:start w:val="0"/>
      <w:numFmt w:val="bullet"/>
      <w:lvlText w:val="•"/>
      <w:lvlJc w:val="left"/>
      <w:pPr>
        <w:ind w:left="9251" w:hanging="341"/>
      </w:pPr>
      <w:rPr>
        <w:rFonts w:hint="default"/>
      </w:rPr>
    </w:lvl>
    <w:lvl w:ilvl="8">
      <w:start w:val="0"/>
      <w:numFmt w:val="bullet"/>
      <w:lvlText w:val="•"/>
      <w:lvlJc w:val="left"/>
      <w:pPr>
        <w:ind w:left="10136" w:hanging="341"/>
      </w:pPr>
      <w:rPr>
        <w:rFonts w:hint="default"/>
      </w:rPr>
    </w:lvl>
  </w:abstractNum>
  <w:abstractNum w:abstractNumId="122">
    <w:multiLevelType w:val="hybridMultilevel"/>
    <w:lvl w:ilvl="0">
      <w:start w:val="149"/>
      <w:numFmt w:val="decimal"/>
      <w:lvlText w:val="%1"/>
      <w:lvlJc w:val="left"/>
      <w:pPr>
        <w:ind w:left="1228" w:hanging="794"/>
        <w:jc w:val="left"/>
      </w:pPr>
      <w:rPr>
        <w:rFonts w:hint="default" w:ascii="Calibri" w:hAnsi="Calibri" w:eastAsia="Calibri" w:cs="Calibri"/>
        <w:spacing w:val="-5"/>
        <w:w w:val="109"/>
        <w:sz w:val="13"/>
        <w:szCs w:val="13"/>
      </w:rPr>
    </w:lvl>
    <w:lvl w:ilvl="1">
      <w:start w:val="155"/>
      <w:numFmt w:val="decimal"/>
      <w:lvlText w:val="%2"/>
      <w:lvlJc w:val="left"/>
      <w:pPr>
        <w:ind w:left="2381" w:hanging="794"/>
        <w:jc w:val="right"/>
      </w:pPr>
      <w:rPr>
        <w:rFonts w:hint="default" w:ascii="Calibri" w:hAnsi="Calibri" w:eastAsia="Calibri" w:cs="Calibri"/>
        <w:spacing w:val="-6"/>
        <w:w w:val="109"/>
        <w:sz w:val="13"/>
        <w:szCs w:val="13"/>
      </w:rPr>
    </w:lvl>
    <w:lvl w:ilvl="2">
      <w:start w:val="0"/>
      <w:numFmt w:val="bullet"/>
      <w:lvlText w:val="•"/>
      <w:lvlJc w:val="left"/>
      <w:pPr>
        <w:ind w:left="3079" w:hanging="794"/>
      </w:pPr>
      <w:rPr>
        <w:rFonts w:hint="default"/>
      </w:rPr>
    </w:lvl>
    <w:lvl w:ilvl="3">
      <w:start w:val="0"/>
      <w:numFmt w:val="bullet"/>
      <w:lvlText w:val="•"/>
      <w:lvlJc w:val="left"/>
      <w:pPr>
        <w:ind w:left="3778" w:hanging="794"/>
      </w:pPr>
      <w:rPr>
        <w:rFonts w:hint="default"/>
      </w:rPr>
    </w:lvl>
    <w:lvl w:ilvl="4">
      <w:start w:val="0"/>
      <w:numFmt w:val="bullet"/>
      <w:lvlText w:val="•"/>
      <w:lvlJc w:val="left"/>
      <w:pPr>
        <w:ind w:left="4477" w:hanging="794"/>
      </w:pPr>
      <w:rPr>
        <w:rFonts w:hint="default"/>
      </w:rPr>
    </w:lvl>
    <w:lvl w:ilvl="5">
      <w:start w:val="0"/>
      <w:numFmt w:val="bullet"/>
      <w:lvlText w:val="•"/>
      <w:lvlJc w:val="left"/>
      <w:pPr>
        <w:ind w:left="5176" w:hanging="794"/>
      </w:pPr>
      <w:rPr>
        <w:rFonts w:hint="default"/>
      </w:rPr>
    </w:lvl>
    <w:lvl w:ilvl="6">
      <w:start w:val="0"/>
      <w:numFmt w:val="bullet"/>
      <w:lvlText w:val="•"/>
      <w:lvlJc w:val="left"/>
      <w:pPr>
        <w:ind w:left="5875" w:hanging="794"/>
      </w:pPr>
      <w:rPr>
        <w:rFonts w:hint="default"/>
      </w:rPr>
    </w:lvl>
    <w:lvl w:ilvl="7">
      <w:start w:val="0"/>
      <w:numFmt w:val="bullet"/>
      <w:lvlText w:val="•"/>
      <w:lvlJc w:val="left"/>
      <w:pPr>
        <w:ind w:left="6575" w:hanging="794"/>
      </w:pPr>
      <w:rPr>
        <w:rFonts w:hint="default"/>
      </w:rPr>
    </w:lvl>
    <w:lvl w:ilvl="8">
      <w:start w:val="0"/>
      <w:numFmt w:val="bullet"/>
      <w:lvlText w:val="•"/>
      <w:lvlJc w:val="left"/>
      <w:pPr>
        <w:ind w:left="7274" w:hanging="794"/>
      </w:pPr>
      <w:rPr>
        <w:rFonts w:hint="default"/>
      </w:rPr>
    </w:lvl>
  </w:abstractNum>
  <w:abstractNum w:abstractNumId="120">
    <w:multiLevelType w:val="hybridMultilevel"/>
    <w:lvl w:ilvl="0">
      <w:start w:val="1"/>
      <w:numFmt w:val="lowerLetter"/>
      <w:lvlText w:val="(%1)"/>
      <w:lvlJc w:val="left"/>
      <w:pPr>
        <w:ind w:left="3061" w:hanging="341"/>
        <w:jc w:val="left"/>
      </w:pPr>
      <w:rPr>
        <w:rFonts w:hint="default" w:ascii="Calibri" w:hAnsi="Calibri" w:eastAsia="Calibri" w:cs="Calibri"/>
        <w:w w:val="91"/>
        <w:sz w:val="20"/>
        <w:szCs w:val="20"/>
      </w:rPr>
    </w:lvl>
    <w:lvl w:ilvl="1">
      <w:start w:val="1"/>
      <w:numFmt w:val="lowerRoman"/>
      <w:lvlText w:val="(%2)"/>
      <w:lvlJc w:val="left"/>
      <w:pPr>
        <w:ind w:left="3327" w:hanging="266"/>
        <w:jc w:val="left"/>
      </w:pPr>
      <w:rPr>
        <w:rFonts w:hint="default" w:ascii="Calibri" w:hAnsi="Calibri" w:eastAsia="Calibri" w:cs="Calibri"/>
        <w:spacing w:val="0"/>
        <w:w w:val="91"/>
        <w:sz w:val="20"/>
        <w:szCs w:val="20"/>
      </w:rPr>
    </w:lvl>
    <w:lvl w:ilvl="2">
      <w:start w:val="0"/>
      <w:numFmt w:val="bullet"/>
      <w:lvlText w:val="•"/>
      <w:lvlJc w:val="left"/>
      <w:pPr>
        <w:ind w:left="4273" w:hanging="266"/>
      </w:pPr>
      <w:rPr>
        <w:rFonts w:hint="default"/>
      </w:rPr>
    </w:lvl>
    <w:lvl w:ilvl="3">
      <w:start w:val="0"/>
      <w:numFmt w:val="bullet"/>
      <w:lvlText w:val="•"/>
      <w:lvlJc w:val="left"/>
      <w:pPr>
        <w:ind w:left="5227" w:hanging="266"/>
      </w:pPr>
      <w:rPr>
        <w:rFonts w:hint="default"/>
      </w:rPr>
    </w:lvl>
    <w:lvl w:ilvl="4">
      <w:start w:val="0"/>
      <w:numFmt w:val="bullet"/>
      <w:lvlText w:val="•"/>
      <w:lvlJc w:val="left"/>
      <w:pPr>
        <w:ind w:left="6181" w:hanging="266"/>
      </w:pPr>
      <w:rPr>
        <w:rFonts w:hint="default"/>
      </w:rPr>
    </w:lvl>
    <w:lvl w:ilvl="5">
      <w:start w:val="0"/>
      <w:numFmt w:val="bullet"/>
      <w:lvlText w:val="•"/>
      <w:lvlJc w:val="left"/>
      <w:pPr>
        <w:ind w:left="7135" w:hanging="266"/>
      </w:pPr>
      <w:rPr>
        <w:rFonts w:hint="default"/>
      </w:rPr>
    </w:lvl>
    <w:lvl w:ilvl="6">
      <w:start w:val="0"/>
      <w:numFmt w:val="bullet"/>
      <w:lvlText w:val="•"/>
      <w:lvlJc w:val="left"/>
      <w:pPr>
        <w:ind w:left="8089" w:hanging="266"/>
      </w:pPr>
      <w:rPr>
        <w:rFonts w:hint="default"/>
      </w:rPr>
    </w:lvl>
    <w:lvl w:ilvl="7">
      <w:start w:val="0"/>
      <w:numFmt w:val="bullet"/>
      <w:lvlText w:val="•"/>
      <w:lvlJc w:val="left"/>
      <w:pPr>
        <w:ind w:left="9043" w:hanging="266"/>
      </w:pPr>
      <w:rPr>
        <w:rFonts w:hint="default"/>
      </w:rPr>
    </w:lvl>
    <w:lvl w:ilvl="8">
      <w:start w:val="0"/>
      <w:numFmt w:val="bullet"/>
      <w:lvlText w:val="•"/>
      <w:lvlJc w:val="left"/>
      <w:pPr>
        <w:ind w:left="9997" w:hanging="266"/>
      </w:pPr>
      <w:rPr>
        <w:rFonts w:hint="default"/>
      </w:rPr>
    </w:lvl>
  </w:abstractNum>
  <w:abstractNum w:abstractNumId="119">
    <w:multiLevelType w:val="hybridMultilevel"/>
    <w:lvl w:ilvl="0">
      <w:start w:val="1"/>
      <w:numFmt w:val="lowerLetter"/>
      <w:lvlText w:val="(%1)"/>
      <w:lvlJc w:val="left"/>
      <w:pPr>
        <w:ind w:left="340" w:hanging="341"/>
        <w:jc w:val="left"/>
      </w:pPr>
      <w:rPr>
        <w:rFonts w:hint="default" w:ascii="Calibri" w:hAnsi="Calibri" w:eastAsia="Calibri" w:cs="Calibri"/>
        <w:spacing w:val="0"/>
        <w:w w:val="109"/>
        <w:sz w:val="21"/>
        <w:szCs w:val="21"/>
      </w:rPr>
    </w:lvl>
    <w:lvl w:ilvl="1">
      <w:start w:val="0"/>
      <w:numFmt w:val="bullet"/>
      <w:lvlText w:val="•"/>
      <w:lvlJc w:val="left"/>
      <w:pPr>
        <w:ind w:left="1076" w:hanging="341"/>
      </w:pPr>
      <w:rPr>
        <w:rFonts w:hint="default"/>
      </w:rPr>
    </w:lvl>
    <w:lvl w:ilvl="2">
      <w:start w:val="0"/>
      <w:numFmt w:val="bullet"/>
      <w:lvlText w:val="•"/>
      <w:lvlJc w:val="left"/>
      <w:pPr>
        <w:ind w:left="1813" w:hanging="341"/>
      </w:pPr>
      <w:rPr>
        <w:rFonts w:hint="default"/>
      </w:rPr>
    </w:lvl>
    <w:lvl w:ilvl="3">
      <w:start w:val="0"/>
      <w:numFmt w:val="bullet"/>
      <w:lvlText w:val="•"/>
      <w:lvlJc w:val="left"/>
      <w:pPr>
        <w:ind w:left="2549" w:hanging="341"/>
      </w:pPr>
      <w:rPr>
        <w:rFonts w:hint="default"/>
      </w:rPr>
    </w:lvl>
    <w:lvl w:ilvl="4">
      <w:start w:val="0"/>
      <w:numFmt w:val="bullet"/>
      <w:lvlText w:val="•"/>
      <w:lvlJc w:val="left"/>
      <w:pPr>
        <w:ind w:left="3285" w:hanging="341"/>
      </w:pPr>
      <w:rPr>
        <w:rFonts w:hint="default"/>
      </w:rPr>
    </w:lvl>
    <w:lvl w:ilvl="5">
      <w:start w:val="0"/>
      <w:numFmt w:val="bullet"/>
      <w:lvlText w:val="•"/>
      <w:lvlJc w:val="left"/>
      <w:pPr>
        <w:ind w:left="4022" w:hanging="341"/>
      </w:pPr>
      <w:rPr>
        <w:rFonts w:hint="default"/>
      </w:rPr>
    </w:lvl>
    <w:lvl w:ilvl="6">
      <w:start w:val="0"/>
      <w:numFmt w:val="bullet"/>
      <w:lvlText w:val="•"/>
      <w:lvlJc w:val="left"/>
      <w:pPr>
        <w:ind w:left="4758" w:hanging="341"/>
      </w:pPr>
      <w:rPr>
        <w:rFonts w:hint="default"/>
      </w:rPr>
    </w:lvl>
    <w:lvl w:ilvl="7">
      <w:start w:val="0"/>
      <w:numFmt w:val="bullet"/>
      <w:lvlText w:val="•"/>
      <w:lvlJc w:val="left"/>
      <w:pPr>
        <w:ind w:left="5495" w:hanging="341"/>
      </w:pPr>
      <w:rPr>
        <w:rFonts w:hint="default"/>
      </w:rPr>
    </w:lvl>
    <w:lvl w:ilvl="8">
      <w:start w:val="0"/>
      <w:numFmt w:val="bullet"/>
      <w:lvlText w:val="•"/>
      <w:lvlJc w:val="left"/>
      <w:pPr>
        <w:ind w:left="6231" w:hanging="341"/>
      </w:pPr>
      <w:rPr>
        <w:rFonts w:hint="default"/>
      </w:rPr>
    </w:lvl>
  </w:abstractNum>
  <w:abstractNum w:abstractNumId="118">
    <w:multiLevelType w:val="hybridMultilevel"/>
    <w:lvl w:ilvl="0">
      <w:start w:val="95"/>
      <w:numFmt w:val="decimal"/>
      <w:lvlText w:val="%1"/>
      <w:lvlJc w:val="left"/>
      <w:pPr>
        <w:ind w:left="2381" w:hanging="794"/>
        <w:jc w:val="right"/>
      </w:pPr>
      <w:rPr>
        <w:rFonts w:hint="default" w:ascii="Calibri" w:hAnsi="Calibri" w:eastAsia="Calibri" w:cs="Calibri"/>
        <w:spacing w:val="0"/>
        <w:w w:val="109"/>
        <w:sz w:val="13"/>
        <w:szCs w:val="13"/>
      </w:rPr>
    </w:lvl>
    <w:lvl w:ilvl="1">
      <w:start w:val="54"/>
      <w:numFmt w:val="decimal"/>
      <w:lvlText w:val="%2"/>
      <w:lvlJc w:val="left"/>
      <w:pPr>
        <w:ind w:left="2381" w:hanging="567"/>
        <w:jc w:val="left"/>
      </w:pPr>
      <w:rPr>
        <w:rFonts w:hint="default" w:ascii="Calibri" w:hAnsi="Calibri" w:eastAsia="Calibri" w:cs="Calibri"/>
        <w:spacing w:val="0"/>
        <w:w w:val="109"/>
        <w:sz w:val="21"/>
        <w:szCs w:val="21"/>
      </w:rPr>
    </w:lvl>
    <w:lvl w:ilvl="2">
      <w:start w:val="1"/>
      <w:numFmt w:val="lowerLetter"/>
      <w:lvlText w:val="(%3)"/>
      <w:lvlJc w:val="left"/>
      <w:pPr>
        <w:ind w:left="2721" w:hanging="341"/>
        <w:jc w:val="left"/>
      </w:pPr>
      <w:rPr>
        <w:rFonts w:hint="default" w:ascii="Calibri" w:hAnsi="Calibri" w:eastAsia="Calibri" w:cs="Calibri"/>
        <w:spacing w:val="0"/>
        <w:w w:val="109"/>
        <w:sz w:val="21"/>
        <w:szCs w:val="21"/>
      </w:rPr>
    </w:lvl>
    <w:lvl w:ilvl="3">
      <w:start w:val="1"/>
      <w:numFmt w:val="lowerRoman"/>
      <w:lvlText w:val="(%4)"/>
      <w:lvlJc w:val="left"/>
      <w:pPr>
        <w:ind w:left="3254" w:hanging="533"/>
        <w:jc w:val="left"/>
      </w:pPr>
      <w:rPr>
        <w:rFonts w:hint="default" w:ascii="Calibri" w:hAnsi="Calibri" w:eastAsia="Calibri" w:cs="Calibri"/>
        <w:spacing w:val="0"/>
        <w:w w:val="109"/>
        <w:sz w:val="21"/>
        <w:szCs w:val="21"/>
      </w:rPr>
    </w:lvl>
    <w:lvl w:ilvl="4">
      <w:start w:val="0"/>
      <w:numFmt w:val="bullet"/>
      <w:lvlText w:val="•"/>
      <w:lvlJc w:val="left"/>
      <w:pPr>
        <w:ind w:left="4974" w:hanging="533"/>
      </w:pPr>
      <w:rPr>
        <w:rFonts w:hint="default"/>
      </w:rPr>
    </w:lvl>
    <w:lvl w:ilvl="5">
      <w:start w:val="0"/>
      <w:numFmt w:val="bullet"/>
      <w:lvlText w:val="•"/>
      <w:lvlJc w:val="left"/>
      <w:pPr>
        <w:ind w:left="5831" w:hanging="533"/>
      </w:pPr>
      <w:rPr>
        <w:rFonts w:hint="default"/>
      </w:rPr>
    </w:lvl>
    <w:lvl w:ilvl="6">
      <w:start w:val="0"/>
      <w:numFmt w:val="bullet"/>
      <w:lvlText w:val="•"/>
      <w:lvlJc w:val="left"/>
      <w:pPr>
        <w:ind w:left="6688" w:hanging="533"/>
      </w:pPr>
      <w:rPr>
        <w:rFonts w:hint="default"/>
      </w:rPr>
    </w:lvl>
    <w:lvl w:ilvl="7">
      <w:start w:val="0"/>
      <w:numFmt w:val="bullet"/>
      <w:lvlText w:val="•"/>
      <w:lvlJc w:val="left"/>
      <w:pPr>
        <w:ind w:left="7545" w:hanging="533"/>
      </w:pPr>
      <w:rPr>
        <w:rFonts w:hint="default"/>
      </w:rPr>
    </w:lvl>
    <w:lvl w:ilvl="8">
      <w:start w:val="0"/>
      <w:numFmt w:val="bullet"/>
      <w:lvlText w:val="•"/>
      <w:lvlJc w:val="left"/>
      <w:pPr>
        <w:ind w:left="8402" w:hanging="533"/>
      </w:pPr>
      <w:rPr>
        <w:rFonts w:hint="default"/>
      </w:rPr>
    </w:lvl>
  </w:abstractNum>
  <w:abstractNum w:abstractNumId="117">
    <w:multiLevelType w:val="hybridMultilevel"/>
    <w:lvl w:ilvl="0">
      <w:start w:val="1"/>
      <w:numFmt w:val="decimal"/>
      <w:lvlText w:val="%1."/>
      <w:lvlJc w:val="left"/>
      <w:pPr>
        <w:ind w:left="2929" w:hanging="208"/>
        <w:jc w:val="left"/>
      </w:pPr>
      <w:rPr>
        <w:rFonts w:hint="default" w:ascii="Calibri" w:hAnsi="Calibri" w:eastAsia="Calibri" w:cs="Calibri"/>
        <w:spacing w:val="-13"/>
        <w:w w:val="109"/>
        <w:sz w:val="20"/>
        <w:szCs w:val="20"/>
      </w:rPr>
    </w:lvl>
    <w:lvl w:ilvl="1">
      <w:start w:val="0"/>
      <w:numFmt w:val="bullet"/>
      <w:lvlText w:val="•"/>
      <w:lvlJc w:val="left"/>
      <w:pPr>
        <w:ind w:left="3818" w:hanging="208"/>
      </w:pPr>
      <w:rPr>
        <w:rFonts w:hint="default"/>
      </w:rPr>
    </w:lvl>
    <w:lvl w:ilvl="2">
      <w:start w:val="0"/>
      <w:numFmt w:val="bullet"/>
      <w:lvlText w:val="•"/>
      <w:lvlJc w:val="left"/>
      <w:pPr>
        <w:ind w:left="4717" w:hanging="208"/>
      </w:pPr>
      <w:rPr>
        <w:rFonts w:hint="default"/>
      </w:rPr>
    </w:lvl>
    <w:lvl w:ilvl="3">
      <w:start w:val="0"/>
      <w:numFmt w:val="bullet"/>
      <w:lvlText w:val="•"/>
      <w:lvlJc w:val="left"/>
      <w:pPr>
        <w:ind w:left="5615" w:hanging="208"/>
      </w:pPr>
      <w:rPr>
        <w:rFonts w:hint="default"/>
      </w:rPr>
    </w:lvl>
    <w:lvl w:ilvl="4">
      <w:start w:val="0"/>
      <w:numFmt w:val="bullet"/>
      <w:lvlText w:val="•"/>
      <w:lvlJc w:val="left"/>
      <w:pPr>
        <w:ind w:left="6514" w:hanging="208"/>
      </w:pPr>
      <w:rPr>
        <w:rFonts w:hint="default"/>
      </w:rPr>
    </w:lvl>
    <w:lvl w:ilvl="5">
      <w:start w:val="0"/>
      <w:numFmt w:val="bullet"/>
      <w:lvlText w:val="•"/>
      <w:lvlJc w:val="left"/>
      <w:pPr>
        <w:ind w:left="7412" w:hanging="208"/>
      </w:pPr>
      <w:rPr>
        <w:rFonts w:hint="default"/>
      </w:rPr>
    </w:lvl>
    <w:lvl w:ilvl="6">
      <w:start w:val="0"/>
      <w:numFmt w:val="bullet"/>
      <w:lvlText w:val="•"/>
      <w:lvlJc w:val="left"/>
      <w:pPr>
        <w:ind w:left="8311" w:hanging="208"/>
      </w:pPr>
      <w:rPr>
        <w:rFonts w:hint="default"/>
      </w:rPr>
    </w:lvl>
    <w:lvl w:ilvl="7">
      <w:start w:val="0"/>
      <w:numFmt w:val="bullet"/>
      <w:lvlText w:val="•"/>
      <w:lvlJc w:val="left"/>
      <w:pPr>
        <w:ind w:left="9209" w:hanging="208"/>
      </w:pPr>
      <w:rPr>
        <w:rFonts w:hint="default"/>
      </w:rPr>
    </w:lvl>
    <w:lvl w:ilvl="8">
      <w:start w:val="0"/>
      <w:numFmt w:val="bullet"/>
      <w:lvlText w:val="•"/>
      <w:lvlJc w:val="left"/>
      <w:pPr>
        <w:ind w:left="10108" w:hanging="208"/>
      </w:pPr>
      <w:rPr>
        <w:rFonts w:hint="default"/>
      </w:rPr>
    </w:lvl>
  </w:abstractNum>
  <w:abstractNum w:abstractNumId="115">
    <w:multiLevelType w:val="hybridMultilevel"/>
    <w:lvl w:ilvl="0">
      <w:start w:val="1"/>
      <w:numFmt w:val="lowerLetter"/>
      <w:lvlText w:val="(%1)"/>
      <w:lvlJc w:val="left"/>
      <w:pPr>
        <w:ind w:left="2989" w:hanging="269"/>
        <w:jc w:val="left"/>
      </w:pPr>
      <w:rPr>
        <w:rFonts w:hint="default" w:ascii="Calibri" w:hAnsi="Calibri" w:eastAsia="Calibri" w:cs="Calibri"/>
        <w:w w:val="91"/>
        <w:sz w:val="20"/>
        <w:szCs w:val="20"/>
      </w:rPr>
    </w:lvl>
    <w:lvl w:ilvl="1">
      <w:start w:val="0"/>
      <w:numFmt w:val="bullet"/>
      <w:lvlText w:val="•"/>
      <w:lvlJc w:val="left"/>
      <w:pPr>
        <w:ind w:left="3872" w:hanging="269"/>
      </w:pPr>
      <w:rPr>
        <w:rFonts w:hint="default"/>
      </w:rPr>
    </w:lvl>
    <w:lvl w:ilvl="2">
      <w:start w:val="0"/>
      <w:numFmt w:val="bullet"/>
      <w:lvlText w:val="•"/>
      <w:lvlJc w:val="left"/>
      <w:pPr>
        <w:ind w:left="4765" w:hanging="269"/>
      </w:pPr>
      <w:rPr>
        <w:rFonts w:hint="default"/>
      </w:rPr>
    </w:lvl>
    <w:lvl w:ilvl="3">
      <w:start w:val="0"/>
      <w:numFmt w:val="bullet"/>
      <w:lvlText w:val="•"/>
      <w:lvlJc w:val="left"/>
      <w:pPr>
        <w:ind w:left="5657" w:hanging="269"/>
      </w:pPr>
      <w:rPr>
        <w:rFonts w:hint="default"/>
      </w:rPr>
    </w:lvl>
    <w:lvl w:ilvl="4">
      <w:start w:val="0"/>
      <w:numFmt w:val="bullet"/>
      <w:lvlText w:val="•"/>
      <w:lvlJc w:val="left"/>
      <w:pPr>
        <w:ind w:left="6550" w:hanging="269"/>
      </w:pPr>
      <w:rPr>
        <w:rFonts w:hint="default"/>
      </w:rPr>
    </w:lvl>
    <w:lvl w:ilvl="5">
      <w:start w:val="0"/>
      <w:numFmt w:val="bullet"/>
      <w:lvlText w:val="•"/>
      <w:lvlJc w:val="left"/>
      <w:pPr>
        <w:ind w:left="7442" w:hanging="269"/>
      </w:pPr>
      <w:rPr>
        <w:rFonts w:hint="default"/>
      </w:rPr>
    </w:lvl>
    <w:lvl w:ilvl="6">
      <w:start w:val="0"/>
      <w:numFmt w:val="bullet"/>
      <w:lvlText w:val="•"/>
      <w:lvlJc w:val="left"/>
      <w:pPr>
        <w:ind w:left="8335" w:hanging="269"/>
      </w:pPr>
      <w:rPr>
        <w:rFonts w:hint="default"/>
      </w:rPr>
    </w:lvl>
    <w:lvl w:ilvl="7">
      <w:start w:val="0"/>
      <w:numFmt w:val="bullet"/>
      <w:lvlText w:val="•"/>
      <w:lvlJc w:val="left"/>
      <w:pPr>
        <w:ind w:left="9227" w:hanging="269"/>
      </w:pPr>
      <w:rPr>
        <w:rFonts w:hint="default"/>
      </w:rPr>
    </w:lvl>
    <w:lvl w:ilvl="8">
      <w:start w:val="0"/>
      <w:numFmt w:val="bullet"/>
      <w:lvlText w:val="•"/>
      <w:lvlJc w:val="left"/>
      <w:pPr>
        <w:ind w:left="10120" w:hanging="269"/>
      </w:pPr>
      <w:rPr>
        <w:rFonts w:hint="default"/>
      </w:rPr>
    </w:lvl>
  </w:abstractNum>
  <w:abstractNum w:abstractNumId="114">
    <w:multiLevelType w:val="hybridMultilevel"/>
    <w:lvl w:ilvl="0">
      <w:start w:val="36"/>
      <w:numFmt w:val="decimal"/>
      <w:lvlText w:val="%1"/>
      <w:lvlJc w:val="left"/>
      <w:pPr>
        <w:ind w:left="1222" w:hanging="794"/>
        <w:jc w:val="right"/>
      </w:pPr>
      <w:rPr>
        <w:rFonts w:hint="default" w:ascii="Calibri" w:hAnsi="Calibri" w:eastAsia="Calibri" w:cs="Calibri"/>
        <w:spacing w:val="0"/>
        <w:w w:val="109"/>
        <w:sz w:val="13"/>
        <w:szCs w:val="13"/>
      </w:rPr>
    </w:lvl>
    <w:lvl w:ilvl="1">
      <w:start w:val="0"/>
      <w:numFmt w:val="bullet"/>
      <w:lvlText w:val="•"/>
      <w:lvlJc w:val="left"/>
      <w:pPr>
        <w:ind w:left="2172" w:hanging="794"/>
      </w:pPr>
      <w:rPr>
        <w:rFonts w:hint="default"/>
      </w:rPr>
    </w:lvl>
    <w:lvl w:ilvl="2">
      <w:start w:val="0"/>
      <w:numFmt w:val="bullet"/>
      <w:lvlText w:val="•"/>
      <w:lvlJc w:val="left"/>
      <w:pPr>
        <w:ind w:left="3125" w:hanging="794"/>
      </w:pPr>
      <w:rPr>
        <w:rFonts w:hint="default"/>
      </w:rPr>
    </w:lvl>
    <w:lvl w:ilvl="3">
      <w:start w:val="0"/>
      <w:numFmt w:val="bullet"/>
      <w:lvlText w:val="•"/>
      <w:lvlJc w:val="left"/>
      <w:pPr>
        <w:ind w:left="4078" w:hanging="794"/>
      </w:pPr>
      <w:rPr>
        <w:rFonts w:hint="default"/>
      </w:rPr>
    </w:lvl>
    <w:lvl w:ilvl="4">
      <w:start w:val="0"/>
      <w:numFmt w:val="bullet"/>
      <w:lvlText w:val="•"/>
      <w:lvlJc w:val="left"/>
      <w:pPr>
        <w:ind w:left="5030" w:hanging="794"/>
      </w:pPr>
      <w:rPr>
        <w:rFonts w:hint="default"/>
      </w:rPr>
    </w:lvl>
    <w:lvl w:ilvl="5">
      <w:start w:val="0"/>
      <w:numFmt w:val="bullet"/>
      <w:lvlText w:val="•"/>
      <w:lvlJc w:val="left"/>
      <w:pPr>
        <w:ind w:left="5983" w:hanging="794"/>
      </w:pPr>
      <w:rPr>
        <w:rFonts w:hint="default"/>
      </w:rPr>
    </w:lvl>
    <w:lvl w:ilvl="6">
      <w:start w:val="0"/>
      <w:numFmt w:val="bullet"/>
      <w:lvlText w:val="•"/>
      <w:lvlJc w:val="left"/>
      <w:pPr>
        <w:ind w:left="6936" w:hanging="794"/>
      </w:pPr>
      <w:rPr>
        <w:rFonts w:hint="default"/>
      </w:rPr>
    </w:lvl>
    <w:lvl w:ilvl="7">
      <w:start w:val="0"/>
      <w:numFmt w:val="bullet"/>
      <w:lvlText w:val="•"/>
      <w:lvlJc w:val="left"/>
      <w:pPr>
        <w:ind w:left="7888" w:hanging="794"/>
      </w:pPr>
      <w:rPr>
        <w:rFonts w:hint="default"/>
      </w:rPr>
    </w:lvl>
    <w:lvl w:ilvl="8">
      <w:start w:val="0"/>
      <w:numFmt w:val="bullet"/>
      <w:lvlText w:val="•"/>
      <w:lvlJc w:val="left"/>
      <w:pPr>
        <w:ind w:left="8841" w:hanging="794"/>
      </w:pPr>
      <w:rPr>
        <w:rFonts w:hint="default"/>
      </w:rPr>
    </w:lvl>
  </w:abstractNum>
  <w:abstractNum w:abstractNumId="113">
    <w:multiLevelType w:val="hybridMultilevel"/>
    <w:lvl w:ilvl="0">
      <w:start w:val="10"/>
      <w:numFmt w:val="decimal"/>
      <w:lvlText w:val="%1"/>
      <w:lvlJc w:val="left"/>
      <w:pPr>
        <w:ind w:left="3401" w:hanging="681"/>
        <w:jc w:val="left"/>
      </w:pPr>
      <w:rPr>
        <w:rFonts w:hint="default"/>
      </w:rPr>
    </w:lvl>
    <w:lvl w:ilvl="1">
      <w:start w:val="1"/>
      <w:numFmt w:val="decimal"/>
      <w:lvlText w:val="%1.%2"/>
      <w:lvlJc w:val="left"/>
      <w:pPr>
        <w:ind w:left="3401" w:hanging="681"/>
        <w:jc w:val="left"/>
      </w:pPr>
      <w:rPr>
        <w:rFonts w:hint="default" w:ascii="Calibri" w:hAnsi="Calibri" w:eastAsia="Calibri" w:cs="Calibri"/>
        <w:spacing w:val="-19"/>
        <w:w w:val="109"/>
        <w:sz w:val="20"/>
        <w:szCs w:val="20"/>
      </w:rPr>
    </w:lvl>
    <w:lvl w:ilvl="2">
      <w:start w:val="1"/>
      <w:numFmt w:val="decimal"/>
      <w:lvlText w:val="%1.%2.%3"/>
      <w:lvlJc w:val="left"/>
      <w:pPr>
        <w:ind w:left="4003" w:hanging="602"/>
        <w:jc w:val="left"/>
      </w:pPr>
      <w:rPr>
        <w:rFonts w:hint="default" w:ascii="Calibri" w:hAnsi="Calibri" w:eastAsia="Calibri" w:cs="Calibri"/>
        <w:spacing w:val="-19"/>
        <w:w w:val="109"/>
        <w:sz w:val="20"/>
        <w:szCs w:val="20"/>
      </w:rPr>
    </w:lvl>
    <w:lvl w:ilvl="3">
      <w:start w:val="0"/>
      <w:numFmt w:val="bullet"/>
      <w:lvlText w:val="•"/>
      <w:lvlJc w:val="left"/>
      <w:pPr>
        <w:ind w:left="5756" w:hanging="602"/>
      </w:pPr>
      <w:rPr>
        <w:rFonts w:hint="default"/>
      </w:rPr>
    </w:lvl>
    <w:lvl w:ilvl="4">
      <w:start w:val="0"/>
      <w:numFmt w:val="bullet"/>
      <w:lvlText w:val="•"/>
      <w:lvlJc w:val="left"/>
      <w:pPr>
        <w:ind w:left="6635" w:hanging="602"/>
      </w:pPr>
      <w:rPr>
        <w:rFonts w:hint="default"/>
      </w:rPr>
    </w:lvl>
    <w:lvl w:ilvl="5">
      <w:start w:val="0"/>
      <w:numFmt w:val="bullet"/>
      <w:lvlText w:val="•"/>
      <w:lvlJc w:val="left"/>
      <w:pPr>
        <w:ind w:left="7513" w:hanging="602"/>
      </w:pPr>
      <w:rPr>
        <w:rFonts w:hint="default"/>
      </w:rPr>
    </w:lvl>
    <w:lvl w:ilvl="6">
      <w:start w:val="0"/>
      <w:numFmt w:val="bullet"/>
      <w:lvlText w:val="•"/>
      <w:lvlJc w:val="left"/>
      <w:pPr>
        <w:ind w:left="8391" w:hanging="602"/>
      </w:pPr>
      <w:rPr>
        <w:rFonts w:hint="default"/>
      </w:rPr>
    </w:lvl>
    <w:lvl w:ilvl="7">
      <w:start w:val="0"/>
      <w:numFmt w:val="bullet"/>
      <w:lvlText w:val="•"/>
      <w:lvlJc w:val="left"/>
      <w:pPr>
        <w:ind w:left="9270" w:hanging="602"/>
      </w:pPr>
      <w:rPr>
        <w:rFonts w:hint="default"/>
      </w:rPr>
    </w:lvl>
    <w:lvl w:ilvl="8">
      <w:start w:val="0"/>
      <w:numFmt w:val="bullet"/>
      <w:lvlText w:val="•"/>
      <w:lvlJc w:val="left"/>
      <w:pPr>
        <w:ind w:left="10148" w:hanging="602"/>
      </w:pPr>
      <w:rPr>
        <w:rFonts w:hint="default"/>
      </w:rPr>
    </w:lvl>
  </w:abstractNum>
  <w:abstractNum w:abstractNumId="112">
    <w:multiLevelType w:val="hybridMultilevel"/>
    <w:lvl w:ilvl="0">
      <w:start w:val="21"/>
      <w:numFmt w:val="decimal"/>
      <w:lvlText w:val="%1"/>
      <w:lvlJc w:val="left"/>
      <w:pPr>
        <w:ind w:left="1226" w:hanging="794"/>
        <w:jc w:val="right"/>
      </w:pPr>
      <w:rPr>
        <w:rFonts w:hint="default" w:ascii="Calibri" w:hAnsi="Calibri" w:eastAsia="Calibri" w:cs="Calibri"/>
        <w:spacing w:val="-5"/>
        <w:w w:val="109"/>
        <w:sz w:val="13"/>
        <w:szCs w:val="13"/>
      </w:rPr>
    </w:lvl>
    <w:lvl w:ilvl="1">
      <w:start w:val="0"/>
      <w:numFmt w:val="bullet"/>
      <w:lvlText w:val="•"/>
      <w:lvlJc w:val="left"/>
      <w:pPr>
        <w:ind w:left="2173" w:hanging="794"/>
      </w:pPr>
      <w:rPr>
        <w:rFonts w:hint="default"/>
      </w:rPr>
    </w:lvl>
    <w:lvl w:ilvl="2">
      <w:start w:val="0"/>
      <w:numFmt w:val="bullet"/>
      <w:lvlText w:val="•"/>
      <w:lvlJc w:val="left"/>
      <w:pPr>
        <w:ind w:left="3126" w:hanging="794"/>
      </w:pPr>
      <w:rPr>
        <w:rFonts w:hint="default"/>
      </w:rPr>
    </w:lvl>
    <w:lvl w:ilvl="3">
      <w:start w:val="0"/>
      <w:numFmt w:val="bullet"/>
      <w:lvlText w:val="•"/>
      <w:lvlJc w:val="left"/>
      <w:pPr>
        <w:ind w:left="4079" w:hanging="794"/>
      </w:pPr>
      <w:rPr>
        <w:rFonts w:hint="default"/>
      </w:rPr>
    </w:lvl>
    <w:lvl w:ilvl="4">
      <w:start w:val="0"/>
      <w:numFmt w:val="bullet"/>
      <w:lvlText w:val="•"/>
      <w:lvlJc w:val="left"/>
      <w:pPr>
        <w:ind w:left="5032" w:hanging="794"/>
      </w:pPr>
      <w:rPr>
        <w:rFonts w:hint="default"/>
      </w:rPr>
    </w:lvl>
    <w:lvl w:ilvl="5">
      <w:start w:val="0"/>
      <w:numFmt w:val="bullet"/>
      <w:lvlText w:val="•"/>
      <w:lvlJc w:val="left"/>
      <w:pPr>
        <w:ind w:left="5985" w:hanging="794"/>
      </w:pPr>
      <w:rPr>
        <w:rFonts w:hint="default"/>
      </w:rPr>
    </w:lvl>
    <w:lvl w:ilvl="6">
      <w:start w:val="0"/>
      <w:numFmt w:val="bullet"/>
      <w:lvlText w:val="•"/>
      <w:lvlJc w:val="left"/>
      <w:pPr>
        <w:ind w:left="6938" w:hanging="794"/>
      </w:pPr>
      <w:rPr>
        <w:rFonts w:hint="default"/>
      </w:rPr>
    </w:lvl>
    <w:lvl w:ilvl="7">
      <w:start w:val="0"/>
      <w:numFmt w:val="bullet"/>
      <w:lvlText w:val="•"/>
      <w:lvlJc w:val="left"/>
      <w:pPr>
        <w:ind w:left="7891" w:hanging="794"/>
      </w:pPr>
      <w:rPr>
        <w:rFonts w:hint="default"/>
      </w:rPr>
    </w:lvl>
    <w:lvl w:ilvl="8">
      <w:start w:val="0"/>
      <w:numFmt w:val="bullet"/>
      <w:lvlText w:val="•"/>
      <w:lvlJc w:val="left"/>
      <w:pPr>
        <w:ind w:left="8844" w:hanging="794"/>
      </w:pPr>
      <w:rPr>
        <w:rFonts w:hint="default"/>
      </w:rPr>
    </w:lvl>
  </w:abstractNum>
  <w:abstractNum w:abstractNumId="111">
    <w:multiLevelType w:val="hybridMultilevel"/>
    <w:lvl w:ilvl="0">
      <w:start w:val="14"/>
      <w:numFmt w:val="decimal"/>
      <w:lvlText w:val="%1"/>
      <w:lvlJc w:val="left"/>
      <w:pPr>
        <w:ind w:left="2381" w:hanging="794"/>
        <w:jc w:val="left"/>
      </w:pPr>
      <w:rPr>
        <w:rFonts w:hint="default" w:ascii="Calibri" w:hAnsi="Calibri" w:eastAsia="Calibri" w:cs="Calibri"/>
        <w:spacing w:val="-5"/>
        <w:w w:val="109"/>
        <w:sz w:val="13"/>
        <w:szCs w:val="13"/>
      </w:rPr>
    </w:lvl>
    <w:lvl w:ilvl="1">
      <w:start w:val="0"/>
      <w:numFmt w:val="bullet"/>
      <w:lvlText w:val="•"/>
      <w:lvlJc w:val="left"/>
      <w:pPr>
        <w:ind w:left="3125" w:hanging="794"/>
      </w:pPr>
      <w:rPr>
        <w:rFonts w:hint="default"/>
      </w:rPr>
    </w:lvl>
    <w:lvl w:ilvl="2">
      <w:start w:val="0"/>
      <w:numFmt w:val="bullet"/>
      <w:lvlText w:val="•"/>
      <w:lvlJc w:val="left"/>
      <w:pPr>
        <w:ind w:left="3871" w:hanging="794"/>
      </w:pPr>
      <w:rPr>
        <w:rFonts w:hint="default"/>
      </w:rPr>
    </w:lvl>
    <w:lvl w:ilvl="3">
      <w:start w:val="0"/>
      <w:numFmt w:val="bullet"/>
      <w:lvlText w:val="•"/>
      <w:lvlJc w:val="left"/>
      <w:pPr>
        <w:ind w:left="4616" w:hanging="794"/>
      </w:pPr>
      <w:rPr>
        <w:rFonts w:hint="default"/>
      </w:rPr>
    </w:lvl>
    <w:lvl w:ilvl="4">
      <w:start w:val="0"/>
      <w:numFmt w:val="bullet"/>
      <w:lvlText w:val="•"/>
      <w:lvlJc w:val="left"/>
      <w:pPr>
        <w:ind w:left="5362" w:hanging="794"/>
      </w:pPr>
      <w:rPr>
        <w:rFonts w:hint="default"/>
      </w:rPr>
    </w:lvl>
    <w:lvl w:ilvl="5">
      <w:start w:val="0"/>
      <w:numFmt w:val="bullet"/>
      <w:lvlText w:val="•"/>
      <w:lvlJc w:val="left"/>
      <w:pPr>
        <w:ind w:left="6107" w:hanging="794"/>
      </w:pPr>
      <w:rPr>
        <w:rFonts w:hint="default"/>
      </w:rPr>
    </w:lvl>
    <w:lvl w:ilvl="6">
      <w:start w:val="0"/>
      <w:numFmt w:val="bullet"/>
      <w:lvlText w:val="•"/>
      <w:lvlJc w:val="left"/>
      <w:pPr>
        <w:ind w:left="6853" w:hanging="794"/>
      </w:pPr>
      <w:rPr>
        <w:rFonts w:hint="default"/>
      </w:rPr>
    </w:lvl>
    <w:lvl w:ilvl="7">
      <w:start w:val="0"/>
      <w:numFmt w:val="bullet"/>
      <w:lvlText w:val="•"/>
      <w:lvlJc w:val="left"/>
      <w:pPr>
        <w:ind w:left="7599" w:hanging="794"/>
      </w:pPr>
      <w:rPr>
        <w:rFonts w:hint="default"/>
      </w:rPr>
    </w:lvl>
    <w:lvl w:ilvl="8">
      <w:start w:val="0"/>
      <w:numFmt w:val="bullet"/>
      <w:lvlText w:val="•"/>
      <w:lvlJc w:val="left"/>
      <w:pPr>
        <w:ind w:left="8344" w:hanging="794"/>
      </w:pPr>
      <w:rPr>
        <w:rFonts w:hint="default"/>
      </w:rPr>
    </w:lvl>
  </w:abstractNum>
  <w:abstractNum w:abstractNumId="110">
    <w:multiLevelType w:val="hybridMultilevel"/>
    <w:lvl w:ilvl="0">
      <w:start w:val="5"/>
      <w:numFmt w:val="decimal"/>
      <w:lvlText w:val="%1"/>
      <w:lvlJc w:val="left"/>
      <w:pPr>
        <w:ind w:left="2381" w:hanging="794"/>
        <w:jc w:val="left"/>
      </w:pPr>
      <w:rPr>
        <w:rFonts w:hint="default" w:ascii="Calibri" w:hAnsi="Calibri" w:eastAsia="Calibri" w:cs="Calibri"/>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108">
    <w:multiLevelType w:val="hybridMultilevel"/>
    <w:lvl w:ilvl="0">
      <w:start w:val="1"/>
      <w:numFmt w:val="lowerLetter"/>
      <w:lvlText w:val="(%1)"/>
      <w:lvlJc w:val="left"/>
      <w:pPr>
        <w:ind w:left="340" w:hanging="341"/>
        <w:jc w:val="left"/>
      </w:pPr>
      <w:rPr>
        <w:rFonts w:hint="default" w:ascii="Calibri" w:hAnsi="Calibri" w:eastAsia="Calibri" w:cs="Calibri"/>
        <w:spacing w:val="0"/>
        <w:w w:val="109"/>
        <w:sz w:val="21"/>
        <w:szCs w:val="21"/>
      </w:rPr>
    </w:lvl>
    <w:lvl w:ilvl="1">
      <w:start w:val="0"/>
      <w:numFmt w:val="bullet"/>
      <w:lvlText w:val="•"/>
      <w:lvlJc w:val="left"/>
      <w:pPr>
        <w:ind w:left="1072" w:hanging="341"/>
      </w:pPr>
      <w:rPr>
        <w:rFonts w:hint="default"/>
      </w:rPr>
    </w:lvl>
    <w:lvl w:ilvl="2">
      <w:start w:val="0"/>
      <w:numFmt w:val="bullet"/>
      <w:lvlText w:val="•"/>
      <w:lvlJc w:val="left"/>
      <w:pPr>
        <w:ind w:left="1805" w:hanging="341"/>
      </w:pPr>
      <w:rPr>
        <w:rFonts w:hint="default"/>
      </w:rPr>
    </w:lvl>
    <w:lvl w:ilvl="3">
      <w:start w:val="0"/>
      <w:numFmt w:val="bullet"/>
      <w:lvlText w:val="•"/>
      <w:lvlJc w:val="left"/>
      <w:pPr>
        <w:ind w:left="2538" w:hanging="341"/>
      </w:pPr>
      <w:rPr>
        <w:rFonts w:hint="default"/>
      </w:rPr>
    </w:lvl>
    <w:lvl w:ilvl="4">
      <w:start w:val="0"/>
      <w:numFmt w:val="bullet"/>
      <w:lvlText w:val="•"/>
      <w:lvlJc w:val="left"/>
      <w:pPr>
        <w:ind w:left="3270" w:hanging="341"/>
      </w:pPr>
      <w:rPr>
        <w:rFonts w:hint="default"/>
      </w:rPr>
    </w:lvl>
    <w:lvl w:ilvl="5">
      <w:start w:val="0"/>
      <w:numFmt w:val="bullet"/>
      <w:lvlText w:val="•"/>
      <w:lvlJc w:val="left"/>
      <w:pPr>
        <w:ind w:left="4003" w:hanging="341"/>
      </w:pPr>
      <w:rPr>
        <w:rFonts w:hint="default"/>
      </w:rPr>
    </w:lvl>
    <w:lvl w:ilvl="6">
      <w:start w:val="0"/>
      <w:numFmt w:val="bullet"/>
      <w:lvlText w:val="•"/>
      <w:lvlJc w:val="left"/>
      <w:pPr>
        <w:ind w:left="4736" w:hanging="341"/>
      </w:pPr>
      <w:rPr>
        <w:rFonts w:hint="default"/>
      </w:rPr>
    </w:lvl>
    <w:lvl w:ilvl="7">
      <w:start w:val="0"/>
      <w:numFmt w:val="bullet"/>
      <w:lvlText w:val="•"/>
      <w:lvlJc w:val="left"/>
      <w:pPr>
        <w:ind w:left="5468" w:hanging="341"/>
      </w:pPr>
      <w:rPr>
        <w:rFonts w:hint="default"/>
      </w:rPr>
    </w:lvl>
    <w:lvl w:ilvl="8">
      <w:start w:val="0"/>
      <w:numFmt w:val="bullet"/>
      <w:lvlText w:val="•"/>
      <w:lvlJc w:val="left"/>
      <w:pPr>
        <w:ind w:left="6201" w:hanging="341"/>
      </w:pPr>
      <w:rPr>
        <w:rFonts w:hint="default"/>
      </w:rPr>
    </w:lvl>
  </w:abstractNum>
  <w:abstractNum w:abstractNumId="107">
    <w:multiLevelType w:val="hybridMultilevel"/>
    <w:lvl w:ilvl="0">
      <w:start w:val="340"/>
      <w:numFmt w:val="decimal"/>
      <w:lvlText w:val="%1"/>
      <w:lvlJc w:val="left"/>
      <w:pPr>
        <w:ind w:left="2381" w:hanging="794"/>
        <w:jc w:val="left"/>
      </w:pPr>
      <w:rPr>
        <w:rFonts w:hint="default" w:ascii="Calibri" w:hAnsi="Calibri" w:eastAsia="Calibri" w:cs="Calibri"/>
        <w:spacing w:val="0"/>
        <w:w w:val="109"/>
        <w:sz w:val="13"/>
        <w:szCs w:val="13"/>
      </w:rPr>
    </w:lvl>
    <w:lvl w:ilvl="1">
      <w:start w:val="0"/>
      <w:numFmt w:val="bullet"/>
      <w:lvlText w:val="•"/>
      <w:lvlJc w:val="left"/>
      <w:pPr>
        <w:ind w:left="3167" w:hanging="794"/>
      </w:pPr>
      <w:rPr>
        <w:rFonts w:hint="default"/>
      </w:rPr>
    </w:lvl>
    <w:lvl w:ilvl="2">
      <w:start w:val="0"/>
      <w:numFmt w:val="bullet"/>
      <w:lvlText w:val="•"/>
      <w:lvlJc w:val="left"/>
      <w:pPr>
        <w:ind w:left="3954" w:hanging="794"/>
      </w:pPr>
      <w:rPr>
        <w:rFonts w:hint="default"/>
      </w:rPr>
    </w:lvl>
    <w:lvl w:ilvl="3">
      <w:start w:val="0"/>
      <w:numFmt w:val="bullet"/>
      <w:lvlText w:val="•"/>
      <w:lvlJc w:val="left"/>
      <w:pPr>
        <w:ind w:left="4741" w:hanging="794"/>
      </w:pPr>
      <w:rPr>
        <w:rFonts w:hint="default"/>
      </w:rPr>
    </w:lvl>
    <w:lvl w:ilvl="4">
      <w:start w:val="0"/>
      <w:numFmt w:val="bullet"/>
      <w:lvlText w:val="•"/>
      <w:lvlJc w:val="left"/>
      <w:pPr>
        <w:ind w:left="5528" w:hanging="794"/>
      </w:pPr>
      <w:rPr>
        <w:rFonts w:hint="default"/>
      </w:rPr>
    </w:lvl>
    <w:lvl w:ilvl="5">
      <w:start w:val="0"/>
      <w:numFmt w:val="bullet"/>
      <w:lvlText w:val="•"/>
      <w:lvlJc w:val="left"/>
      <w:pPr>
        <w:ind w:left="6315" w:hanging="794"/>
      </w:pPr>
      <w:rPr>
        <w:rFonts w:hint="default"/>
      </w:rPr>
    </w:lvl>
    <w:lvl w:ilvl="6">
      <w:start w:val="0"/>
      <w:numFmt w:val="bullet"/>
      <w:lvlText w:val="•"/>
      <w:lvlJc w:val="left"/>
      <w:pPr>
        <w:ind w:left="7102" w:hanging="794"/>
      </w:pPr>
      <w:rPr>
        <w:rFonts w:hint="default"/>
      </w:rPr>
    </w:lvl>
    <w:lvl w:ilvl="7">
      <w:start w:val="0"/>
      <w:numFmt w:val="bullet"/>
      <w:lvlText w:val="•"/>
      <w:lvlJc w:val="left"/>
      <w:pPr>
        <w:ind w:left="7889" w:hanging="794"/>
      </w:pPr>
      <w:rPr>
        <w:rFonts w:hint="default"/>
      </w:rPr>
    </w:lvl>
    <w:lvl w:ilvl="8">
      <w:start w:val="0"/>
      <w:numFmt w:val="bullet"/>
      <w:lvlText w:val="•"/>
      <w:lvlJc w:val="left"/>
      <w:pPr>
        <w:ind w:left="8676" w:hanging="794"/>
      </w:pPr>
      <w:rPr>
        <w:rFonts w:hint="default"/>
      </w:rPr>
    </w:lvl>
  </w:abstractNum>
  <w:abstractNum w:abstractNumId="106">
    <w:multiLevelType w:val="hybridMultilevel"/>
    <w:lvl w:ilvl="0">
      <w:start w:val="319"/>
      <w:numFmt w:val="decimal"/>
      <w:lvlText w:val="%1"/>
      <w:lvlJc w:val="left"/>
      <w:pPr>
        <w:ind w:left="2381" w:hanging="794"/>
        <w:jc w:val="right"/>
      </w:pPr>
      <w:rPr>
        <w:rFonts w:hint="default" w:ascii="Calibri" w:hAnsi="Calibri" w:eastAsia="Calibri" w:cs="Calibri"/>
        <w:spacing w:val="-5"/>
        <w:w w:val="109"/>
        <w:sz w:val="13"/>
        <w:szCs w:val="13"/>
      </w:rPr>
    </w:lvl>
    <w:lvl w:ilvl="1">
      <w:start w:val="0"/>
      <w:numFmt w:val="bullet"/>
      <w:lvlText w:val="•"/>
      <w:lvlJc w:val="left"/>
      <w:pPr>
        <w:ind w:left="2380" w:hanging="794"/>
      </w:pPr>
      <w:rPr>
        <w:rFonts w:hint="default"/>
      </w:rPr>
    </w:lvl>
    <w:lvl w:ilvl="2">
      <w:start w:val="0"/>
      <w:numFmt w:val="bullet"/>
      <w:lvlText w:val="•"/>
      <w:lvlJc w:val="left"/>
      <w:pPr>
        <w:ind w:left="3254" w:hanging="794"/>
      </w:pPr>
      <w:rPr>
        <w:rFonts w:hint="default"/>
      </w:rPr>
    </w:lvl>
    <w:lvl w:ilvl="3">
      <w:start w:val="0"/>
      <w:numFmt w:val="bullet"/>
      <w:lvlText w:val="•"/>
      <w:lvlJc w:val="left"/>
      <w:pPr>
        <w:ind w:left="4129" w:hanging="794"/>
      </w:pPr>
      <w:rPr>
        <w:rFonts w:hint="default"/>
      </w:rPr>
    </w:lvl>
    <w:lvl w:ilvl="4">
      <w:start w:val="0"/>
      <w:numFmt w:val="bullet"/>
      <w:lvlText w:val="•"/>
      <w:lvlJc w:val="left"/>
      <w:pPr>
        <w:ind w:left="5003" w:hanging="794"/>
      </w:pPr>
      <w:rPr>
        <w:rFonts w:hint="default"/>
      </w:rPr>
    </w:lvl>
    <w:lvl w:ilvl="5">
      <w:start w:val="0"/>
      <w:numFmt w:val="bullet"/>
      <w:lvlText w:val="•"/>
      <w:lvlJc w:val="left"/>
      <w:pPr>
        <w:ind w:left="5878" w:hanging="794"/>
      </w:pPr>
      <w:rPr>
        <w:rFonts w:hint="default"/>
      </w:rPr>
    </w:lvl>
    <w:lvl w:ilvl="6">
      <w:start w:val="0"/>
      <w:numFmt w:val="bullet"/>
      <w:lvlText w:val="•"/>
      <w:lvlJc w:val="left"/>
      <w:pPr>
        <w:ind w:left="6752" w:hanging="794"/>
      </w:pPr>
      <w:rPr>
        <w:rFonts w:hint="default"/>
      </w:rPr>
    </w:lvl>
    <w:lvl w:ilvl="7">
      <w:start w:val="0"/>
      <w:numFmt w:val="bullet"/>
      <w:lvlText w:val="•"/>
      <w:lvlJc w:val="left"/>
      <w:pPr>
        <w:ind w:left="7627" w:hanging="794"/>
      </w:pPr>
      <w:rPr>
        <w:rFonts w:hint="default"/>
      </w:rPr>
    </w:lvl>
    <w:lvl w:ilvl="8">
      <w:start w:val="0"/>
      <w:numFmt w:val="bullet"/>
      <w:lvlText w:val="•"/>
      <w:lvlJc w:val="left"/>
      <w:pPr>
        <w:ind w:left="8501" w:hanging="794"/>
      </w:pPr>
      <w:rPr>
        <w:rFonts w:hint="default"/>
      </w:rPr>
    </w:lvl>
  </w:abstractNum>
  <w:abstractNum w:abstractNumId="105">
    <w:multiLevelType w:val="hybridMultilevel"/>
    <w:lvl w:ilvl="0">
      <w:start w:val="301"/>
      <w:numFmt w:val="decimal"/>
      <w:lvlText w:val="%1"/>
      <w:lvlJc w:val="left"/>
      <w:pPr>
        <w:ind w:left="2417" w:hanging="794"/>
        <w:jc w:val="right"/>
      </w:pPr>
      <w:rPr>
        <w:rFonts w:hint="default" w:ascii="Calibri" w:hAnsi="Calibri" w:eastAsia="Calibri" w:cs="Calibri"/>
        <w:spacing w:val="-3"/>
        <w:w w:val="109"/>
        <w:sz w:val="13"/>
        <w:szCs w:val="13"/>
      </w:rPr>
    </w:lvl>
    <w:lvl w:ilvl="1">
      <w:start w:val="0"/>
      <w:numFmt w:val="bullet"/>
      <w:lvlText w:val="•"/>
      <w:lvlJc w:val="left"/>
      <w:pPr>
        <w:ind w:left="3207" w:hanging="794"/>
      </w:pPr>
      <w:rPr>
        <w:rFonts w:hint="default"/>
      </w:rPr>
    </w:lvl>
    <w:lvl w:ilvl="2">
      <w:start w:val="0"/>
      <w:numFmt w:val="bullet"/>
      <w:lvlText w:val="•"/>
      <w:lvlJc w:val="left"/>
      <w:pPr>
        <w:ind w:left="3994" w:hanging="794"/>
      </w:pPr>
      <w:rPr>
        <w:rFonts w:hint="default"/>
      </w:rPr>
    </w:lvl>
    <w:lvl w:ilvl="3">
      <w:start w:val="0"/>
      <w:numFmt w:val="bullet"/>
      <w:lvlText w:val="•"/>
      <w:lvlJc w:val="left"/>
      <w:pPr>
        <w:ind w:left="4781" w:hanging="794"/>
      </w:pPr>
      <w:rPr>
        <w:rFonts w:hint="default"/>
      </w:rPr>
    </w:lvl>
    <w:lvl w:ilvl="4">
      <w:start w:val="0"/>
      <w:numFmt w:val="bullet"/>
      <w:lvlText w:val="•"/>
      <w:lvlJc w:val="left"/>
      <w:pPr>
        <w:ind w:left="5568" w:hanging="794"/>
      </w:pPr>
      <w:rPr>
        <w:rFonts w:hint="default"/>
      </w:rPr>
    </w:lvl>
    <w:lvl w:ilvl="5">
      <w:start w:val="0"/>
      <w:numFmt w:val="bullet"/>
      <w:lvlText w:val="•"/>
      <w:lvlJc w:val="left"/>
      <w:pPr>
        <w:ind w:left="6355" w:hanging="794"/>
      </w:pPr>
      <w:rPr>
        <w:rFonts w:hint="default"/>
      </w:rPr>
    </w:lvl>
    <w:lvl w:ilvl="6">
      <w:start w:val="0"/>
      <w:numFmt w:val="bullet"/>
      <w:lvlText w:val="•"/>
      <w:lvlJc w:val="left"/>
      <w:pPr>
        <w:ind w:left="7142" w:hanging="794"/>
      </w:pPr>
      <w:rPr>
        <w:rFonts w:hint="default"/>
      </w:rPr>
    </w:lvl>
    <w:lvl w:ilvl="7">
      <w:start w:val="0"/>
      <w:numFmt w:val="bullet"/>
      <w:lvlText w:val="•"/>
      <w:lvlJc w:val="left"/>
      <w:pPr>
        <w:ind w:left="7929" w:hanging="794"/>
      </w:pPr>
      <w:rPr>
        <w:rFonts w:hint="default"/>
      </w:rPr>
    </w:lvl>
    <w:lvl w:ilvl="8">
      <w:start w:val="0"/>
      <w:numFmt w:val="bullet"/>
      <w:lvlText w:val="•"/>
      <w:lvlJc w:val="left"/>
      <w:pPr>
        <w:ind w:left="8716" w:hanging="794"/>
      </w:pPr>
      <w:rPr>
        <w:rFonts w:hint="default"/>
      </w:rPr>
    </w:lvl>
  </w:abstractNum>
  <w:abstractNum w:abstractNumId="104">
    <w:multiLevelType w:val="hybridMultilevel"/>
    <w:lvl w:ilvl="0">
      <w:start w:val="281"/>
      <w:numFmt w:val="decimal"/>
      <w:lvlText w:val="%1"/>
      <w:lvlJc w:val="left"/>
      <w:pPr>
        <w:ind w:left="2381" w:hanging="794"/>
        <w:jc w:val="right"/>
      </w:pPr>
      <w:rPr>
        <w:rFonts w:hint="default" w:ascii="Calibri" w:hAnsi="Calibri" w:eastAsia="Calibri" w:cs="Calibri"/>
        <w:spacing w:val="-2"/>
        <w:w w:val="109"/>
        <w:sz w:val="13"/>
        <w:szCs w:val="13"/>
      </w:rPr>
    </w:lvl>
    <w:lvl w:ilvl="1">
      <w:start w:val="0"/>
      <w:numFmt w:val="bullet"/>
      <w:lvlText w:val="•"/>
      <w:lvlJc w:val="left"/>
      <w:pPr>
        <w:ind w:left="2560" w:hanging="794"/>
      </w:pPr>
      <w:rPr>
        <w:rFonts w:hint="default"/>
      </w:rPr>
    </w:lvl>
    <w:lvl w:ilvl="2">
      <w:start w:val="0"/>
      <w:numFmt w:val="bullet"/>
      <w:lvlText w:val="•"/>
      <w:lvlJc w:val="left"/>
      <w:pPr>
        <w:ind w:left="3404" w:hanging="794"/>
      </w:pPr>
      <w:rPr>
        <w:rFonts w:hint="default"/>
      </w:rPr>
    </w:lvl>
    <w:lvl w:ilvl="3">
      <w:start w:val="0"/>
      <w:numFmt w:val="bullet"/>
      <w:lvlText w:val="•"/>
      <w:lvlJc w:val="left"/>
      <w:pPr>
        <w:ind w:left="4249" w:hanging="794"/>
      </w:pPr>
      <w:rPr>
        <w:rFonts w:hint="default"/>
      </w:rPr>
    </w:lvl>
    <w:lvl w:ilvl="4">
      <w:start w:val="0"/>
      <w:numFmt w:val="bullet"/>
      <w:lvlText w:val="•"/>
      <w:lvlJc w:val="left"/>
      <w:pPr>
        <w:ind w:left="5094" w:hanging="794"/>
      </w:pPr>
      <w:rPr>
        <w:rFonts w:hint="default"/>
      </w:rPr>
    </w:lvl>
    <w:lvl w:ilvl="5">
      <w:start w:val="0"/>
      <w:numFmt w:val="bullet"/>
      <w:lvlText w:val="•"/>
      <w:lvlJc w:val="left"/>
      <w:pPr>
        <w:ind w:left="5939" w:hanging="794"/>
      </w:pPr>
      <w:rPr>
        <w:rFonts w:hint="default"/>
      </w:rPr>
    </w:lvl>
    <w:lvl w:ilvl="6">
      <w:start w:val="0"/>
      <w:numFmt w:val="bullet"/>
      <w:lvlText w:val="•"/>
      <w:lvlJc w:val="left"/>
      <w:pPr>
        <w:ind w:left="6784" w:hanging="794"/>
      </w:pPr>
      <w:rPr>
        <w:rFonts w:hint="default"/>
      </w:rPr>
    </w:lvl>
    <w:lvl w:ilvl="7">
      <w:start w:val="0"/>
      <w:numFmt w:val="bullet"/>
      <w:lvlText w:val="•"/>
      <w:lvlJc w:val="left"/>
      <w:pPr>
        <w:ind w:left="7629" w:hanging="794"/>
      </w:pPr>
      <w:rPr>
        <w:rFonts w:hint="default"/>
      </w:rPr>
    </w:lvl>
    <w:lvl w:ilvl="8">
      <w:start w:val="0"/>
      <w:numFmt w:val="bullet"/>
      <w:lvlText w:val="•"/>
      <w:lvlJc w:val="left"/>
      <w:pPr>
        <w:ind w:left="8474" w:hanging="794"/>
      </w:pPr>
      <w:rPr>
        <w:rFonts w:hint="default"/>
      </w:rPr>
    </w:lvl>
  </w:abstractNum>
  <w:abstractNum w:abstractNumId="103">
    <w:multiLevelType w:val="hybridMultilevel"/>
    <w:lvl w:ilvl="0">
      <w:start w:val="1"/>
      <w:numFmt w:val="lowerLetter"/>
      <w:lvlText w:val="(%1)"/>
      <w:lvlJc w:val="left"/>
      <w:pPr>
        <w:ind w:left="340" w:hanging="341"/>
        <w:jc w:val="left"/>
      </w:pPr>
      <w:rPr>
        <w:rFonts w:hint="default" w:ascii="Calibri" w:hAnsi="Calibri" w:eastAsia="Calibri" w:cs="Calibri"/>
        <w:spacing w:val="0"/>
        <w:w w:val="109"/>
        <w:sz w:val="21"/>
        <w:szCs w:val="21"/>
      </w:rPr>
    </w:lvl>
    <w:lvl w:ilvl="1">
      <w:start w:val="0"/>
      <w:numFmt w:val="bullet"/>
      <w:lvlText w:val="•"/>
      <w:lvlJc w:val="left"/>
      <w:pPr>
        <w:ind w:left="1071" w:hanging="341"/>
      </w:pPr>
      <w:rPr>
        <w:rFonts w:hint="default"/>
      </w:rPr>
    </w:lvl>
    <w:lvl w:ilvl="2">
      <w:start w:val="0"/>
      <w:numFmt w:val="bullet"/>
      <w:lvlText w:val="•"/>
      <w:lvlJc w:val="left"/>
      <w:pPr>
        <w:ind w:left="1803" w:hanging="341"/>
      </w:pPr>
      <w:rPr>
        <w:rFonts w:hint="default"/>
      </w:rPr>
    </w:lvl>
    <w:lvl w:ilvl="3">
      <w:start w:val="0"/>
      <w:numFmt w:val="bullet"/>
      <w:lvlText w:val="•"/>
      <w:lvlJc w:val="left"/>
      <w:pPr>
        <w:ind w:left="2535" w:hanging="341"/>
      </w:pPr>
      <w:rPr>
        <w:rFonts w:hint="default"/>
      </w:rPr>
    </w:lvl>
    <w:lvl w:ilvl="4">
      <w:start w:val="0"/>
      <w:numFmt w:val="bullet"/>
      <w:lvlText w:val="•"/>
      <w:lvlJc w:val="left"/>
      <w:pPr>
        <w:ind w:left="3267" w:hanging="341"/>
      </w:pPr>
      <w:rPr>
        <w:rFonts w:hint="default"/>
      </w:rPr>
    </w:lvl>
    <w:lvl w:ilvl="5">
      <w:start w:val="0"/>
      <w:numFmt w:val="bullet"/>
      <w:lvlText w:val="•"/>
      <w:lvlJc w:val="left"/>
      <w:pPr>
        <w:ind w:left="3998" w:hanging="341"/>
      </w:pPr>
      <w:rPr>
        <w:rFonts w:hint="default"/>
      </w:rPr>
    </w:lvl>
    <w:lvl w:ilvl="6">
      <w:start w:val="0"/>
      <w:numFmt w:val="bullet"/>
      <w:lvlText w:val="•"/>
      <w:lvlJc w:val="left"/>
      <w:pPr>
        <w:ind w:left="4730" w:hanging="341"/>
      </w:pPr>
      <w:rPr>
        <w:rFonts w:hint="default"/>
      </w:rPr>
    </w:lvl>
    <w:lvl w:ilvl="7">
      <w:start w:val="0"/>
      <w:numFmt w:val="bullet"/>
      <w:lvlText w:val="•"/>
      <w:lvlJc w:val="left"/>
      <w:pPr>
        <w:ind w:left="5462" w:hanging="341"/>
      </w:pPr>
      <w:rPr>
        <w:rFonts w:hint="default"/>
      </w:rPr>
    </w:lvl>
    <w:lvl w:ilvl="8">
      <w:start w:val="0"/>
      <w:numFmt w:val="bullet"/>
      <w:lvlText w:val="•"/>
      <w:lvlJc w:val="left"/>
      <w:pPr>
        <w:ind w:left="6194" w:hanging="341"/>
      </w:pPr>
      <w:rPr>
        <w:rFonts w:hint="default"/>
      </w:rPr>
    </w:lvl>
  </w:abstractNum>
  <w:abstractNum w:abstractNumId="102">
    <w:multiLevelType w:val="hybridMultilevel"/>
    <w:lvl w:ilvl="0">
      <w:start w:val="1"/>
      <w:numFmt w:val="lowerLetter"/>
      <w:lvlText w:val="(%1)"/>
      <w:lvlJc w:val="left"/>
      <w:pPr>
        <w:ind w:left="340" w:hanging="341"/>
        <w:jc w:val="left"/>
      </w:pPr>
      <w:rPr>
        <w:rFonts w:hint="default" w:ascii="Calibri" w:hAnsi="Calibri" w:eastAsia="Calibri" w:cs="Calibri"/>
        <w:spacing w:val="0"/>
        <w:w w:val="109"/>
        <w:sz w:val="21"/>
        <w:szCs w:val="21"/>
      </w:rPr>
    </w:lvl>
    <w:lvl w:ilvl="1">
      <w:start w:val="0"/>
      <w:numFmt w:val="bullet"/>
      <w:lvlText w:val="•"/>
      <w:lvlJc w:val="left"/>
      <w:pPr>
        <w:ind w:left="1076" w:hanging="341"/>
      </w:pPr>
      <w:rPr>
        <w:rFonts w:hint="default"/>
      </w:rPr>
    </w:lvl>
    <w:lvl w:ilvl="2">
      <w:start w:val="0"/>
      <w:numFmt w:val="bullet"/>
      <w:lvlText w:val="•"/>
      <w:lvlJc w:val="left"/>
      <w:pPr>
        <w:ind w:left="1812" w:hanging="341"/>
      </w:pPr>
      <w:rPr>
        <w:rFonts w:hint="default"/>
      </w:rPr>
    </w:lvl>
    <w:lvl w:ilvl="3">
      <w:start w:val="0"/>
      <w:numFmt w:val="bullet"/>
      <w:lvlText w:val="•"/>
      <w:lvlJc w:val="left"/>
      <w:pPr>
        <w:ind w:left="2548" w:hanging="341"/>
      </w:pPr>
      <w:rPr>
        <w:rFonts w:hint="default"/>
      </w:rPr>
    </w:lvl>
    <w:lvl w:ilvl="4">
      <w:start w:val="0"/>
      <w:numFmt w:val="bullet"/>
      <w:lvlText w:val="•"/>
      <w:lvlJc w:val="left"/>
      <w:pPr>
        <w:ind w:left="3284" w:hanging="341"/>
      </w:pPr>
      <w:rPr>
        <w:rFonts w:hint="default"/>
      </w:rPr>
    </w:lvl>
    <w:lvl w:ilvl="5">
      <w:start w:val="0"/>
      <w:numFmt w:val="bullet"/>
      <w:lvlText w:val="•"/>
      <w:lvlJc w:val="left"/>
      <w:pPr>
        <w:ind w:left="4020" w:hanging="341"/>
      </w:pPr>
      <w:rPr>
        <w:rFonts w:hint="default"/>
      </w:rPr>
    </w:lvl>
    <w:lvl w:ilvl="6">
      <w:start w:val="0"/>
      <w:numFmt w:val="bullet"/>
      <w:lvlText w:val="•"/>
      <w:lvlJc w:val="left"/>
      <w:pPr>
        <w:ind w:left="4756" w:hanging="341"/>
      </w:pPr>
      <w:rPr>
        <w:rFonts w:hint="default"/>
      </w:rPr>
    </w:lvl>
    <w:lvl w:ilvl="7">
      <w:start w:val="0"/>
      <w:numFmt w:val="bullet"/>
      <w:lvlText w:val="•"/>
      <w:lvlJc w:val="left"/>
      <w:pPr>
        <w:ind w:left="5493" w:hanging="341"/>
      </w:pPr>
      <w:rPr>
        <w:rFonts w:hint="default"/>
      </w:rPr>
    </w:lvl>
    <w:lvl w:ilvl="8">
      <w:start w:val="0"/>
      <w:numFmt w:val="bullet"/>
      <w:lvlText w:val="•"/>
      <w:lvlJc w:val="left"/>
      <w:pPr>
        <w:ind w:left="6229" w:hanging="341"/>
      </w:pPr>
      <w:rPr>
        <w:rFonts w:hint="default"/>
      </w:rPr>
    </w:lvl>
  </w:abstractNum>
  <w:abstractNum w:abstractNumId="101">
    <w:multiLevelType w:val="hybridMultilevel"/>
    <w:lvl w:ilvl="0">
      <w:start w:val="1"/>
      <w:numFmt w:val="lowerLetter"/>
      <w:lvlText w:val="(%1)"/>
      <w:lvlJc w:val="left"/>
      <w:pPr>
        <w:ind w:left="340" w:hanging="341"/>
        <w:jc w:val="left"/>
      </w:pPr>
      <w:rPr>
        <w:rFonts w:hint="default" w:ascii="Calibri" w:hAnsi="Calibri" w:eastAsia="Calibri" w:cs="Calibri"/>
        <w:spacing w:val="0"/>
        <w:w w:val="109"/>
        <w:sz w:val="21"/>
        <w:szCs w:val="21"/>
      </w:rPr>
    </w:lvl>
    <w:lvl w:ilvl="1">
      <w:start w:val="0"/>
      <w:numFmt w:val="bullet"/>
      <w:lvlText w:val="•"/>
      <w:lvlJc w:val="left"/>
      <w:pPr>
        <w:ind w:left="1076" w:hanging="341"/>
      </w:pPr>
      <w:rPr>
        <w:rFonts w:hint="default"/>
      </w:rPr>
    </w:lvl>
    <w:lvl w:ilvl="2">
      <w:start w:val="0"/>
      <w:numFmt w:val="bullet"/>
      <w:lvlText w:val="•"/>
      <w:lvlJc w:val="left"/>
      <w:pPr>
        <w:ind w:left="1812" w:hanging="341"/>
      </w:pPr>
      <w:rPr>
        <w:rFonts w:hint="default"/>
      </w:rPr>
    </w:lvl>
    <w:lvl w:ilvl="3">
      <w:start w:val="0"/>
      <w:numFmt w:val="bullet"/>
      <w:lvlText w:val="•"/>
      <w:lvlJc w:val="left"/>
      <w:pPr>
        <w:ind w:left="2548" w:hanging="341"/>
      </w:pPr>
      <w:rPr>
        <w:rFonts w:hint="default"/>
      </w:rPr>
    </w:lvl>
    <w:lvl w:ilvl="4">
      <w:start w:val="0"/>
      <w:numFmt w:val="bullet"/>
      <w:lvlText w:val="•"/>
      <w:lvlJc w:val="left"/>
      <w:pPr>
        <w:ind w:left="3284" w:hanging="341"/>
      </w:pPr>
      <w:rPr>
        <w:rFonts w:hint="default"/>
      </w:rPr>
    </w:lvl>
    <w:lvl w:ilvl="5">
      <w:start w:val="0"/>
      <w:numFmt w:val="bullet"/>
      <w:lvlText w:val="•"/>
      <w:lvlJc w:val="left"/>
      <w:pPr>
        <w:ind w:left="4020" w:hanging="341"/>
      </w:pPr>
      <w:rPr>
        <w:rFonts w:hint="default"/>
      </w:rPr>
    </w:lvl>
    <w:lvl w:ilvl="6">
      <w:start w:val="0"/>
      <w:numFmt w:val="bullet"/>
      <w:lvlText w:val="•"/>
      <w:lvlJc w:val="left"/>
      <w:pPr>
        <w:ind w:left="4756" w:hanging="341"/>
      </w:pPr>
      <w:rPr>
        <w:rFonts w:hint="default"/>
      </w:rPr>
    </w:lvl>
    <w:lvl w:ilvl="7">
      <w:start w:val="0"/>
      <w:numFmt w:val="bullet"/>
      <w:lvlText w:val="•"/>
      <w:lvlJc w:val="left"/>
      <w:pPr>
        <w:ind w:left="5493" w:hanging="341"/>
      </w:pPr>
      <w:rPr>
        <w:rFonts w:hint="default"/>
      </w:rPr>
    </w:lvl>
    <w:lvl w:ilvl="8">
      <w:start w:val="0"/>
      <w:numFmt w:val="bullet"/>
      <w:lvlText w:val="•"/>
      <w:lvlJc w:val="left"/>
      <w:pPr>
        <w:ind w:left="6229" w:hanging="341"/>
      </w:pPr>
      <w:rPr>
        <w:rFonts w:hint="default"/>
      </w:rPr>
    </w:lvl>
  </w:abstractNum>
  <w:abstractNum w:abstractNumId="100">
    <w:multiLevelType w:val="hybridMultilevel"/>
    <w:lvl w:ilvl="0">
      <w:start w:val="269"/>
      <w:numFmt w:val="decimal"/>
      <w:lvlText w:val="%1"/>
      <w:lvlJc w:val="left"/>
      <w:pPr>
        <w:ind w:left="2381" w:hanging="794"/>
        <w:jc w:val="right"/>
      </w:pPr>
      <w:rPr>
        <w:rFonts w:hint="default" w:ascii="Calibri" w:hAnsi="Calibri" w:eastAsia="Calibri" w:cs="Calibri"/>
        <w:spacing w:val="-1"/>
        <w:w w:val="109"/>
        <w:sz w:val="13"/>
        <w:szCs w:val="13"/>
      </w:rPr>
    </w:lvl>
    <w:lvl w:ilvl="1">
      <w:start w:val="0"/>
      <w:numFmt w:val="bullet"/>
      <w:lvlText w:val="•"/>
      <w:lvlJc w:val="left"/>
      <w:pPr>
        <w:ind w:left="3162" w:hanging="794"/>
      </w:pPr>
      <w:rPr>
        <w:rFonts w:hint="default"/>
      </w:rPr>
    </w:lvl>
    <w:lvl w:ilvl="2">
      <w:start w:val="0"/>
      <w:numFmt w:val="bullet"/>
      <w:lvlText w:val="•"/>
      <w:lvlJc w:val="left"/>
      <w:pPr>
        <w:ind w:left="3945" w:hanging="794"/>
      </w:pPr>
      <w:rPr>
        <w:rFonts w:hint="default"/>
      </w:rPr>
    </w:lvl>
    <w:lvl w:ilvl="3">
      <w:start w:val="0"/>
      <w:numFmt w:val="bullet"/>
      <w:lvlText w:val="•"/>
      <w:lvlJc w:val="left"/>
      <w:pPr>
        <w:ind w:left="4728" w:hanging="794"/>
      </w:pPr>
      <w:rPr>
        <w:rFonts w:hint="default"/>
      </w:rPr>
    </w:lvl>
    <w:lvl w:ilvl="4">
      <w:start w:val="0"/>
      <w:numFmt w:val="bullet"/>
      <w:lvlText w:val="•"/>
      <w:lvlJc w:val="left"/>
      <w:pPr>
        <w:ind w:left="5510" w:hanging="794"/>
      </w:pPr>
      <w:rPr>
        <w:rFonts w:hint="default"/>
      </w:rPr>
    </w:lvl>
    <w:lvl w:ilvl="5">
      <w:start w:val="0"/>
      <w:numFmt w:val="bullet"/>
      <w:lvlText w:val="•"/>
      <w:lvlJc w:val="left"/>
      <w:pPr>
        <w:ind w:left="6293" w:hanging="794"/>
      </w:pPr>
      <w:rPr>
        <w:rFonts w:hint="default"/>
      </w:rPr>
    </w:lvl>
    <w:lvl w:ilvl="6">
      <w:start w:val="0"/>
      <w:numFmt w:val="bullet"/>
      <w:lvlText w:val="•"/>
      <w:lvlJc w:val="left"/>
      <w:pPr>
        <w:ind w:left="7076" w:hanging="794"/>
      </w:pPr>
      <w:rPr>
        <w:rFonts w:hint="default"/>
      </w:rPr>
    </w:lvl>
    <w:lvl w:ilvl="7">
      <w:start w:val="0"/>
      <w:numFmt w:val="bullet"/>
      <w:lvlText w:val="•"/>
      <w:lvlJc w:val="left"/>
      <w:pPr>
        <w:ind w:left="7858" w:hanging="794"/>
      </w:pPr>
      <w:rPr>
        <w:rFonts w:hint="default"/>
      </w:rPr>
    </w:lvl>
    <w:lvl w:ilvl="8">
      <w:start w:val="0"/>
      <w:numFmt w:val="bullet"/>
      <w:lvlText w:val="•"/>
      <w:lvlJc w:val="left"/>
      <w:pPr>
        <w:ind w:left="8641" w:hanging="794"/>
      </w:pPr>
      <w:rPr>
        <w:rFonts w:hint="default"/>
      </w:rPr>
    </w:lvl>
  </w:abstractNum>
  <w:abstractNum w:abstractNumId="99">
    <w:multiLevelType w:val="hybridMultilevel"/>
    <w:lvl w:ilvl="0">
      <w:start w:val="1"/>
      <w:numFmt w:val="lowerLetter"/>
      <w:lvlText w:val="(%1)"/>
      <w:lvlJc w:val="left"/>
      <w:pPr>
        <w:ind w:left="340" w:hanging="341"/>
        <w:jc w:val="left"/>
      </w:pPr>
      <w:rPr>
        <w:rFonts w:hint="default" w:ascii="Calibri" w:hAnsi="Calibri" w:eastAsia="Calibri" w:cs="Calibri"/>
        <w:spacing w:val="0"/>
        <w:w w:val="109"/>
        <w:sz w:val="21"/>
        <w:szCs w:val="21"/>
      </w:rPr>
    </w:lvl>
    <w:lvl w:ilvl="1">
      <w:start w:val="0"/>
      <w:numFmt w:val="bullet"/>
      <w:lvlText w:val="•"/>
      <w:lvlJc w:val="left"/>
      <w:pPr>
        <w:ind w:left="1061" w:hanging="341"/>
      </w:pPr>
      <w:rPr>
        <w:rFonts w:hint="default"/>
      </w:rPr>
    </w:lvl>
    <w:lvl w:ilvl="2">
      <w:start w:val="0"/>
      <w:numFmt w:val="bullet"/>
      <w:lvlText w:val="•"/>
      <w:lvlJc w:val="left"/>
      <w:pPr>
        <w:ind w:left="1782" w:hanging="341"/>
      </w:pPr>
      <w:rPr>
        <w:rFonts w:hint="default"/>
      </w:rPr>
    </w:lvl>
    <w:lvl w:ilvl="3">
      <w:start w:val="0"/>
      <w:numFmt w:val="bullet"/>
      <w:lvlText w:val="•"/>
      <w:lvlJc w:val="left"/>
      <w:pPr>
        <w:ind w:left="2503" w:hanging="341"/>
      </w:pPr>
      <w:rPr>
        <w:rFonts w:hint="default"/>
      </w:rPr>
    </w:lvl>
    <w:lvl w:ilvl="4">
      <w:start w:val="0"/>
      <w:numFmt w:val="bullet"/>
      <w:lvlText w:val="•"/>
      <w:lvlJc w:val="left"/>
      <w:pPr>
        <w:ind w:left="3225" w:hanging="341"/>
      </w:pPr>
      <w:rPr>
        <w:rFonts w:hint="default"/>
      </w:rPr>
    </w:lvl>
    <w:lvl w:ilvl="5">
      <w:start w:val="0"/>
      <w:numFmt w:val="bullet"/>
      <w:lvlText w:val="•"/>
      <w:lvlJc w:val="left"/>
      <w:pPr>
        <w:ind w:left="3946" w:hanging="341"/>
      </w:pPr>
      <w:rPr>
        <w:rFonts w:hint="default"/>
      </w:rPr>
    </w:lvl>
    <w:lvl w:ilvl="6">
      <w:start w:val="0"/>
      <w:numFmt w:val="bullet"/>
      <w:lvlText w:val="•"/>
      <w:lvlJc w:val="left"/>
      <w:pPr>
        <w:ind w:left="4667" w:hanging="341"/>
      </w:pPr>
      <w:rPr>
        <w:rFonts w:hint="default"/>
      </w:rPr>
    </w:lvl>
    <w:lvl w:ilvl="7">
      <w:start w:val="0"/>
      <w:numFmt w:val="bullet"/>
      <w:lvlText w:val="•"/>
      <w:lvlJc w:val="left"/>
      <w:pPr>
        <w:ind w:left="5388" w:hanging="341"/>
      </w:pPr>
      <w:rPr>
        <w:rFonts w:hint="default"/>
      </w:rPr>
    </w:lvl>
    <w:lvl w:ilvl="8">
      <w:start w:val="0"/>
      <w:numFmt w:val="bullet"/>
      <w:lvlText w:val="•"/>
      <w:lvlJc w:val="left"/>
      <w:pPr>
        <w:ind w:left="6110" w:hanging="341"/>
      </w:pPr>
      <w:rPr>
        <w:rFonts w:hint="default"/>
      </w:rPr>
    </w:lvl>
  </w:abstractNum>
  <w:abstractNum w:abstractNumId="98">
    <w:multiLevelType w:val="hybridMultilevel"/>
    <w:lvl w:ilvl="0">
      <w:start w:val="257"/>
      <w:numFmt w:val="decimal"/>
      <w:lvlText w:val="%1"/>
      <w:lvlJc w:val="left"/>
      <w:pPr>
        <w:ind w:left="2381" w:hanging="794"/>
        <w:jc w:val="right"/>
      </w:pPr>
      <w:rPr>
        <w:rFonts w:hint="default" w:ascii="Calibri" w:hAnsi="Calibri" w:eastAsia="Calibri" w:cs="Calibri"/>
        <w:spacing w:val="-1"/>
        <w:w w:val="109"/>
        <w:sz w:val="13"/>
        <w:szCs w:val="13"/>
      </w:rPr>
    </w:lvl>
    <w:lvl w:ilvl="1">
      <w:start w:val="0"/>
      <w:numFmt w:val="bullet"/>
      <w:lvlText w:val="•"/>
      <w:lvlJc w:val="left"/>
      <w:pPr>
        <w:ind w:left="3150" w:hanging="794"/>
      </w:pPr>
      <w:rPr>
        <w:rFonts w:hint="default"/>
      </w:rPr>
    </w:lvl>
    <w:lvl w:ilvl="2">
      <w:start w:val="0"/>
      <w:numFmt w:val="bullet"/>
      <w:lvlText w:val="•"/>
      <w:lvlJc w:val="left"/>
      <w:pPr>
        <w:ind w:left="3921" w:hanging="794"/>
      </w:pPr>
      <w:rPr>
        <w:rFonts w:hint="default"/>
      </w:rPr>
    </w:lvl>
    <w:lvl w:ilvl="3">
      <w:start w:val="0"/>
      <w:numFmt w:val="bullet"/>
      <w:lvlText w:val="•"/>
      <w:lvlJc w:val="left"/>
      <w:pPr>
        <w:ind w:left="4692" w:hanging="794"/>
      </w:pPr>
      <w:rPr>
        <w:rFonts w:hint="default"/>
      </w:rPr>
    </w:lvl>
    <w:lvl w:ilvl="4">
      <w:start w:val="0"/>
      <w:numFmt w:val="bullet"/>
      <w:lvlText w:val="•"/>
      <w:lvlJc w:val="left"/>
      <w:pPr>
        <w:ind w:left="5463" w:hanging="794"/>
      </w:pPr>
      <w:rPr>
        <w:rFonts w:hint="default"/>
      </w:rPr>
    </w:lvl>
    <w:lvl w:ilvl="5">
      <w:start w:val="0"/>
      <w:numFmt w:val="bullet"/>
      <w:lvlText w:val="•"/>
      <w:lvlJc w:val="left"/>
      <w:pPr>
        <w:ind w:left="6234" w:hanging="794"/>
      </w:pPr>
      <w:rPr>
        <w:rFonts w:hint="default"/>
      </w:rPr>
    </w:lvl>
    <w:lvl w:ilvl="6">
      <w:start w:val="0"/>
      <w:numFmt w:val="bullet"/>
      <w:lvlText w:val="•"/>
      <w:lvlJc w:val="left"/>
      <w:pPr>
        <w:ind w:left="7005" w:hanging="794"/>
      </w:pPr>
      <w:rPr>
        <w:rFonts w:hint="default"/>
      </w:rPr>
    </w:lvl>
    <w:lvl w:ilvl="7">
      <w:start w:val="0"/>
      <w:numFmt w:val="bullet"/>
      <w:lvlText w:val="•"/>
      <w:lvlJc w:val="left"/>
      <w:pPr>
        <w:ind w:left="7776" w:hanging="794"/>
      </w:pPr>
      <w:rPr>
        <w:rFonts w:hint="default"/>
      </w:rPr>
    </w:lvl>
    <w:lvl w:ilvl="8">
      <w:start w:val="0"/>
      <w:numFmt w:val="bullet"/>
      <w:lvlText w:val="•"/>
      <w:lvlJc w:val="left"/>
      <w:pPr>
        <w:ind w:left="8547" w:hanging="794"/>
      </w:pPr>
      <w:rPr>
        <w:rFonts w:hint="default"/>
      </w:rPr>
    </w:lvl>
  </w:abstractNum>
  <w:abstractNum w:abstractNumId="97">
    <w:multiLevelType w:val="hybridMultilevel"/>
    <w:lvl w:ilvl="0">
      <w:start w:val="249"/>
      <w:numFmt w:val="decimal"/>
      <w:lvlText w:val="%1"/>
      <w:lvlJc w:val="left"/>
      <w:pPr>
        <w:ind w:left="2381" w:hanging="794"/>
        <w:jc w:val="left"/>
      </w:pPr>
      <w:rPr>
        <w:rFonts w:hint="default" w:ascii="Calibri" w:hAnsi="Calibri" w:eastAsia="Calibri" w:cs="Calibri"/>
        <w:spacing w:val="-2"/>
        <w:w w:val="109"/>
        <w:sz w:val="13"/>
        <w:szCs w:val="13"/>
      </w:rPr>
    </w:lvl>
    <w:lvl w:ilvl="1">
      <w:start w:val="0"/>
      <w:numFmt w:val="bullet"/>
      <w:lvlText w:val="•"/>
      <w:lvlJc w:val="left"/>
      <w:pPr>
        <w:ind w:left="3150" w:hanging="794"/>
      </w:pPr>
      <w:rPr>
        <w:rFonts w:hint="default"/>
      </w:rPr>
    </w:lvl>
    <w:lvl w:ilvl="2">
      <w:start w:val="0"/>
      <w:numFmt w:val="bullet"/>
      <w:lvlText w:val="•"/>
      <w:lvlJc w:val="left"/>
      <w:pPr>
        <w:ind w:left="3921" w:hanging="794"/>
      </w:pPr>
      <w:rPr>
        <w:rFonts w:hint="default"/>
      </w:rPr>
    </w:lvl>
    <w:lvl w:ilvl="3">
      <w:start w:val="0"/>
      <w:numFmt w:val="bullet"/>
      <w:lvlText w:val="•"/>
      <w:lvlJc w:val="left"/>
      <w:pPr>
        <w:ind w:left="4692" w:hanging="794"/>
      </w:pPr>
      <w:rPr>
        <w:rFonts w:hint="default"/>
      </w:rPr>
    </w:lvl>
    <w:lvl w:ilvl="4">
      <w:start w:val="0"/>
      <w:numFmt w:val="bullet"/>
      <w:lvlText w:val="•"/>
      <w:lvlJc w:val="left"/>
      <w:pPr>
        <w:ind w:left="5463" w:hanging="794"/>
      </w:pPr>
      <w:rPr>
        <w:rFonts w:hint="default"/>
      </w:rPr>
    </w:lvl>
    <w:lvl w:ilvl="5">
      <w:start w:val="0"/>
      <w:numFmt w:val="bullet"/>
      <w:lvlText w:val="•"/>
      <w:lvlJc w:val="left"/>
      <w:pPr>
        <w:ind w:left="6234" w:hanging="794"/>
      </w:pPr>
      <w:rPr>
        <w:rFonts w:hint="default"/>
      </w:rPr>
    </w:lvl>
    <w:lvl w:ilvl="6">
      <w:start w:val="0"/>
      <w:numFmt w:val="bullet"/>
      <w:lvlText w:val="•"/>
      <w:lvlJc w:val="left"/>
      <w:pPr>
        <w:ind w:left="7005" w:hanging="794"/>
      </w:pPr>
      <w:rPr>
        <w:rFonts w:hint="default"/>
      </w:rPr>
    </w:lvl>
    <w:lvl w:ilvl="7">
      <w:start w:val="0"/>
      <w:numFmt w:val="bullet"/>
      <w:lvlText w:val="•"/>
      <w:lvlJc w:val="left"/>
      <w:pPr>
        <w:ind w:left="7776" w:hanging="794"/>
      </w:pPr>
      <w:rPr>
        <w:rFonts w:hint="default"/>
      </w:rPr>
    </w:lvl>
    <w:lvl w:ilvl="8">
      <w:start w:val="0"/>
      <w:numFmt w:val="bullet"/>
      <w:lvlText w:val="•"/>
      <w:lvlJc w:val="left"/>
      <w:pPr>
        <w:ind w:left="8547" w:hanging="794"/>
      </w:pPr>
      <w:rPr>
        <w:rFonts w:hint="default"/>
      </w:rPr>
    </w:lvl>
  </w:abstractNum>
  <w:abstractNum w:abstractNumId="96">
    <w:multiLevelType w:val="hybridMultilevel"/>
    <w:lvl w:ilvl="0">
      <w:start w:val="140"/>
      <w:numFmt w:val="decimal"/>
      <w:lvlText w:val="%0.%1"/>
      <w:lvlJc w:val="left"/>
      <w:pPr>
        <w:ind w:left="2381" w:hanging="794"/>
        <w:jc w:val="left"/>
      </w:pPr>
      <w:rPr>
        <w:rFonts w:hint="default" w:ascii="Calibri" w:hAnsi="Calibri" w:eastAsia="Calibri" w:cs="Calibri"/>
        <w:spacing w:val="-21"/>
        <w:w w:val="109"/>
        <w:sz w:val="21"/>
        <w:szCs w:val="21"/>
      </w:rPr>
    </w:lvl>
    <w:lvl w:ilvl="1">
      <w:start w:val="0"/>
      <w:numFmt w:val="bullet"/>
      <w:lvlText w:val="•"/>
      <w:lvlJc w:val="left"/>
      <w:pPr>
        <w:ind w:left="2721" w:hanging="341"/>
      </w:pPr>
      <w:rPr>
        <w:rFonts w:hint="default" w:ascii="Calibri" w:hAnsi="Calibri" w:eastAsia="Calibri" w:cs="Calibri"/>
        <w:w w:val="100"/>
        <w:sz w:val="21"/>
        <w:szCs w:val="21"/>
      </w:rPr>
    </w:lvl>
    <w:lvl w:ilvl="2">
      <w:start w:val="0"/>
      <w:numFmt w:val="bullet"/>
      <w:lvlText w:val="•"/>
      <w:lvlJc w:val="left"/>
      <w:pPr>
        <w:ind w:left="3740" w:hanging="341"/>
      </w:pPr>
      <w:rPr>
        <w:rFonts w:hint="default"/>
      </w:rPr>
    </w:lvl>
    <w:lvl w:ilvl="3">
      <w:start w:val="0"/>
      <w:numFmt w:val="bullet"/>
      <w:lvlText w:val="•"/>
      <w:lvlJc w:val="left"/>
      <w:pPr>
        <w:ind w:left="4761" w:hanging="341"/>
      </w:pPr>
      <w:rPr>
        <w:rFonts w:hint="default"/>
      </w:rPr>
    </w:lvl>
    <w:lvl w:ilvl="4">
      <w:start w:val="0"/>
      <w:numFmt w:val="bullet"/>
      <w:lvlText w:val="•"/>
      <w:lvlJc w:val="left"/>
      <w:pPr>
        <w:ind w:left="5781" w:hanging="341"/>
      </w:pPr>
      <w:rPr>
        <w:rFonts w:hint="default"/>
      </w:rPr>
    </w:lvl>
    <w:lvl w:ilvl="5">
      <w:start w:val="0"/>
      <w:numFmt w:val="bullet"/>
      <w:lvlText w:val="•"/>
      <w:lvlJc w:val="left"/>
      <w:pPr>
        <w:ind w:left="6802" w:hanging="341"/>
      </w:pPr>
      <w:rPr>
        <w:rFonts w:hint="default"/>
      </w:rPr>
    </w:lvl>
    <w:lvl w:ilvl="6">
      <w:start w:val="0"/>
      <w:numFmt w:val="bullet"/>
      <w:lvlText w:val="•"/>
      <w:lvlJc w:val="left"/>
      <w:pPr>
        <w:ind w:left="7823" w:hanging="341"/>
      </w:pPr>
      <w:rPr>
        <w:rFonts w:hint="default"/>
      </w:rPr>
    </w:lvl>
    <w:lvl w:ilvl="7">
      <w:start w:val="0"/>
      <w:numFmt w:val="bullet"/>
      <w:lvlText w:val="•"/>
      <w:lvlJc w:val="left"/>
      <w:pPr>
        <w:ind w:left="8843" w:hanging="341"/>
      </w:pPr>
      <w:rPr>
        <w:rFonts w:hint="default"/>
      </w:rPr>
    </w:lvl>
    <w:lvl w:ilvl="8">
      <w:start w:val="0"/>
      <w:numFmt w:val="bullet"/>
      <w:lvlText w:val="•"/>
      <w:lvlJc w:val="left"/>
      <w:pPr>
        <w:ind w:left="9864" w:hanging="341"/>
      </w:pPr>
      <w:rPr>
        <w:rFonts w:hint="default"/>
      </w:rPr>
    </w:lvl>
  </w:abstractNum>
  <w:abstractNum w:abstractNumId="95">
    <w:multiLevelType w:val="hybridMultilevel"/>
    <w:lvl w:ilvl="0">
      <w:start w:val="227"/>
      <w:numFmt w:val="decimal"/>
      <w:lvlText w:val="%1"/>
      <w:lvlJc w:val="left"/>
      <w:pPr>
        <w:ind w:left="2381" w:hanging="794"/>
        <w:jc w:val="left"/>
      </w:pPr>
      <w:rPr>
        <w:rFonts w:hint="default" w:ascii="Calibri" w:hAnsi="Calibri" w:eastAsia="Calibri" w:cs="Calibri"/>
        <w:spacing w:val="-2"/>
        <w:w w:val="109"/>
        <w:sz w:val="13"/>
        <w:szCs w:val="13"/>
      </w:rPr>
    </w:lvl>
    <w:lvl w:ilvl="1">
      <w:start w:val="0"/>
      <w:numFmt w:val="bullet"/>
      <w:lvlText w:val="•"/>
      <w:lvlJc w:val="left"/>
      <w:pPr>
        <w:ind w:left="3157" w:hanging="794"/>
      </w:pPr>
      <w:rPr>
        <w:rFonts w:hint="default"/>
      </w:rPr>
    </w:lvl>
    <w:lvl w:ilvl="2">
      <w:start w:val="0"/>
      <w:numFmt w:val="bullet"/>
      <w:lvlText w:val="•"/>
      <w:lvlJc w:val="left"/>
      <w:pPr>
        <w:ind w:left="3935" w:hanging="794"/>
      </w:pPr>
      <w:rPr>
        <w:rFonts w:hint="default"/>
      </w:rPr>
    </w:lvl>
    <w:lvl w:ilvl="3">
      <w:start w:val="0"/>
      <w:numFmt w:val="bullet"/>
      <w:lvlText w:val="•"/>
      <w:lvlJc w:val="left"/>
      <w:pPr>
        <w:ind w:left="4712" w:hanging="794"/>
      </w:pPr>
      <w:rPr>
        <w:rFonts w:hint="default"/>
      </w:rPr>
    </w:lvl>
    <w:lvl w:ilvl="4">
      <w:start w:val="0"/>
      <w:numFmt w:val="bullet"/>
      <w:lvlText w:val="•"/>
      <w:lvlJc w:val="left"/>
      <w:pPr>
        <w:ind w:left="5490" w:hanging="794"/>
      </w:pPr>
      <w:rPr>
        <w:rFonts w:hint="default"/>
      </w:rPr>
    </w:lvl>
    <w:lvl w:ilvl="5">
      <w:start w:val="0"/>
      <w:numFmt w:val="bullet"/>
      <w:lvlText w:val="•"/>
      <w:lvlJc w:val="left"/>
      <w:pPr>
        <w:ind w:left="6268" w:hanging="794"/>
      </w:pPr>
      <w:rPr>
        <w:rFonts w:hint="default"/>
      </w:rPr>
    </w:lvl>
    <w:lvl w:ilvl="6">
      <w:start w:val="0"/>
      <w:numFmt w:val="bullet"/>
      <w:lvlText w:val="•"/>
      <w:lvlJc w:val="left"/>
      <w:pPr>
        <w:ind w:left="7045" w:hanging="794"/>
      </w:pPr>
      <w:rPr>
        <w:rFonts w:hint="default"/>
      </w:rPr>
    </w:lvl>
    <w:lvl w:ilvl="7">
      <w:start w:val="0"/>
      <w:numFmt w:val="bullet"/>
      <w:lvlText w:val="•"/>
      <w:lvlJc w:val="left"/>
      <w:pPr>
        <w:ind w:left="7823" w:hanging="794"/>
      </w:pPr>
      <w:rPr>
        <w:rFonts w:hint="default"/>
      </w:rPr>
    </w:lvl>
    <w:lvl w:ilvl="8">
      <w:start w:val="0"/>
      <w:numFmt w:val="bullet"/>
      <w:lvlText w:val="•"/>
      <w:lvlJc w:val="left"/>
      <w:pPr>
        <w:ind w:left="8600" w:hanging="794"/>
      </w:pPr>
      <w:rPr>
        <w:rFonts w:hint="default"/>
      </w:rPr>
    </w:lvl>
  </w:abstractNum>
  <w:abstractNum w:abstractNumId="94">
    <w:multiLevelType w:val="hybridMultilevel"/>
    <w:lvl w:ilvl="0">
      <w:start w:val="217"/>
      <w:numFmt w:val="decimal"/>
      <w:lvlText w:val="%1"/>
      <w:lvlJc w:val="left"/>
      <w:pPr>
        <w:ind w:left="2380" w:hanging="794"/>
        <w:jc w:val="right"/>
      </w:pPr>
      <w:rPr>
        <w:rFonts w:hint="default" w:ascii="Calibri" w:hAnsi="Calibri" w:eastAsia="Calibri" w:cs="Calibri"/>
        <w:spacing w:val="-7"/>
        <w:w w:val="109"/>
        <w:sz w:val="13"/>
        <w:szCs w:val="13"/>
      </w:rPr>
    </w:lvl>
    <w:lvl w:ilvl="1">
      <w:start w:val="0"/>
      <w:numFmt w:val="bullet"/>
      <w:lvlText w:val="•"/>
      <w:lvlJc w:val="left"/>
      <w:pPr>
        <w:ind w:left="3106" w:hanging="794"/>
      </w:pPr>
      <w:rPr>
        <w:rFonts w:hint="default"/>
      </w:rPr>
    </w:lvl>
    <w:lvl w:ilvl="2">
      <w:start w:val="0"/>
      <w:numFmt w:val="bullet"/>
      <w:lvlText w:val="•"/>
      <w:lvlJc w:val="left"/>
      <w:pPr>
        <w:ind w:left="3833" w:hanging="794"/>
      </w:pPr>
      <w:rPr>
        <w:rFonts w:hint="default"/>
      </w:rPr>
    </w:lvl>
    <w:lvl w:ilvl="3">
      <w:start w:val="0"/>
      <w:numFmt w:val="bullet"/>
      <w:lvlText w:val="•"/>
      <w:lvlJc w:val="left"/>
      <w:pPr>
        <w:ind w:left="4560" w:hanging="794"/>
      </w:pPr>
      <w:rPr>
        <w:rFonts w:hint="default"/>
      </w:rPr>
    </w:lvl>
    <w:lvl w:ilvl="4">
      <w:start w:val="0"/>
      <w:numFmt w:val="bullet"/>
      <w:lvlText w:val="•"/>
      <w:lvlJc w:val="left"/>
      <w:pPr>
        <w:ind w:left="5287" w:hanging="794"/>
      </w:pPr>
      <w:rPr>
        <w:rFonts w:hint="default"/>
      </w:rPr>
    </w:lvl>
    <w:lvl w:ilvl="5">
      <w:start w:val="0"/>
      <w:numFmt w:val="bullet"/>
      <w:lvlText w:val="•"/>
      <w:lvlJc w:val="left"/>
      <w:pPr>
        <w:ind w:left="6014" w:hanging="794"/>
      </w:pPr>
      <w:rPr>
        <w:rFonts w:hint="default"/>
      </w:rPr>
    </w:lvl>
    <w:lvl w:ilvl="6">
      <w:start w:val="0"/>
      <w:numFmt w:val="bullet"/>
      <w:lvlText w:val="•"/>
      <w:lvlJc w:val="left"/>
      <w:pPr>
        <w:ind w:left="6741" w:hanging="794"/>
      </w:pPr>
      <w:rPr>
        <w:rFonts w:hint="default"/>
      </w:rPr>
    </w:lvl>
    <w:lvl w:ilvl="7">
      <w:start w:val="0"/>
      <w:numFmt w:val="bullet"/>
      <w:lvlText w:val="•"/>
      <w:lvlJc w:val="left"/>
      <w:pPr>
        <w:ind w:left="7468" w:hanging="794"/>
      </w:pPr>
      <w:rPr>
        <w:rFonts w:hint="default"/>
      </w:rPr>
    </w:lvl>
    <w:lvl w:ilvl="8">
      <w:start w:val="0"/>
      <w:numFmt w:val="bullet"/>
      <w:lvlText w:val="•"/>
      <w:lvlJc w:val="left"/>
      <w:pPr>
        <w:ind w:left="8195" w:hanging="794"/>
      </w:pPr>
      <w:rPr>
        <w:rFonts w:hint="default"/>
      </w:rPr>
    </w:lvl>
  </w:abstractNum>
  <w:abstractNum w:abstractNumId="93">
    <w:multiLevelType w:val="hybridMultilevel"/>
    <w:lvl w:ilvl="0">
      <w:start w:val="212"/>
      <w:numFmt w:val="decimal"/>
      <w:lvlText w:val="%1"/>
      <w:lvlJc w:val="left"/>
      <w:pPr>
        <w:ind w:left="2381" w:hanging="794"/>
        <w:jc w:val="left"/>
      </w:pPr>
      <w:rPr>
        <w:rFonts w:hint="default" w:ascii="Calibri" w:hAnsi="Calibri" w:eastAsia="Calibri" w:cs="Calibri"/>
        <w:spacing w:val="-7"/>
        <w:w w:val="109"/>
        <w:sz w:val="13"/>
        <w:szCs w:val="13"/>
      </w:rPr>
    </w:lvl>
    <w:lvl w:ilvl="1">
      <w:start w:val="0"/>
      <w:numFmt w:val="bullet"/>
      <w:lvlText w:val="•"/>
      <w:lvlJc w:val="left"/>
      <w:pPr>
        <w:ind w:left="3106" w:hanging="794"/>
      </w:pPr>
      <w:rPr>
        <w:rFonts w:hint="default"/>
      </w:rPr>
    </w:lvl>
    <w:lvl w:ilvl="2">
      <w:start w:val="0"/>
      <w:numFmt w:val="bullet"/>
      <w:lvlText w:val="•"/>
      <w:lvlJc w:val="left"/>
      <w:pPr>
        <w:ind w:left="3833" w:hanging="794"/>
      </w:pPr>
      <w:rPr>
        <w:rFonts w:hint="default"/>
      </w:rPr>
    </w:lvl>
    <w:lvl w:ilvl="3">
      <w:start w:val="0"/>
      <w:numFmt w:val="bullet"/>
      <w:lvlText w:val="•"/>
      <w:lvlJc w:val="left"/>
      <w:pPr>
        <w:ind w:left="4560" w:hanging="794"/>
      </w:pPr>
      <w:rPr>
        <w:rFonts w:hint="default"/>
      </w:rPr>
    </w:lvl>
    <w:lvl w:ilvl="4">
      <w:start w:val="0"/>
      <w:numFmt w:val="bullet"/>
      <w:lvlText w:val="•"/>
      <w:lvlJc w:val="left"/>
      <w:pPr>
        <w:ind w:left="5287" w:hanging="794"/>
      </w:pPr>
      <w:rPr>
        <w:rFonts w:hint="default"/>
      </w:rPr>
    </w:lvl>
    <w:lvl w:ilvl="5">
      <w:start w:val="0"/>
      <w:numFmt w:val="bullet"/>
      <w:lvlText w:val="•"/>
      <w:lvlJc w:val="left"/>
      <w:pPr>
        <w:ind w:left="6014" w:hanging="794"/>
      </w:pPr>
      <w:rPr>
        <w:rFonts w:hint="default"/>
      </w:rPr>
    </w:lvl>
    <w:lvl w:ilvl="6">
      <w:start w:val="0"/>
      <w:numFmt w:val="bullet"/>
      <w:lvlText w:val="•"/>
      <w:lvlJc w:val="left"/>
      <w:pPr>
        <w:ind w:left="6741" w:hanging="794"/>
      </w:pPr>
      <w:rPr>
        <w:rFonts w:hint="default"/>
      </w:rPr>
    </w:lvl>
    <w:lvl w:ilvl="7">
      <w:start w:val="0"/>
      <w:numFmt w:val="bullet"/>
      <w:lvlText w:val="•"/>
      <w:lvlJc w:val="left"/>
      <w:pPr>
        <w:ind w:left="7468" w:hanging="794"/>
      </w:pPr>
      <w:rPr>
        <w:rFonts w:hint="default"/>
      </w:rPr>
    </w:lvl>
    <w:lvl w:ilvl="8">
      <w:start w:val="0"/>
      <w:numFmt w:val="bullet"/>
      <w:lvlText w:val="•"/>
      <w:lvlJc w:val="left"/>
      <w:pPr>
        <w:ind w:left="8195" w:hanging="794"/>
      </w:pPr>
      <w:rPr>
        <w:rFonts w:hint="default"/>
      </w:rPr>
    </w:lvl>
  </w:abstractNum>
  <w:abstractNum w:abstractNumId="92">
    <w:multiLevelType w:val="hybridMultilevel"/>
    <w:lvl w:ilvl="0">
      <w:start w:val="1"/>
      <w:numFmt w:val="lowerLetter"/>
      <w:lvlText w:val="(%1)"/>
      <w:lvlJc w:val="left"/>
      <w:pPr>
        <w:ind w:left="340" w:hanging="341"/>
        <w:jc w:val="left"/>
      </w:pPr>
      <w:rPr>
        <w:rFonts w:hint="default" w:ascii="Calibri" w:hAnsi="Calibri" w:eastAsia="Calibri" w:cs="Calibri"/>
        <w:spacing w:val="0"/>
        <w:w w:val="109"/>
        <w:sz w:val="21"/>
        <w:szCs w:val="21"/>
      </w:rPr>
    </w:lvl>
    <w:lvl w:ilvl="1">
      <w:start w:val="0"/>
      <w:numFmt w:val="bullet"/>
      <w:lvlText w:val="•"/>
      <w:lvlJc w:val="left"/>
      <w:pPr>
        <w:ind w:left="1037" w:hanging="341"/>
      </w:pPr>
      <w:rPr>
        <w:rFonts w:hint="default"/>
      </w:rPr>
    </w:lvl>
    <w:lvl w:ilvl="2">
      <w:start w:val="0"/>
      <w:numFmt w:val="bullet"/>
      <w:lvlText w:val="•"/>
      <w:lvlJc w:val="left"/>
      <w:pPr>
        <w:ind w:left="1734" w:hanging="341"/>
      </w:pPr>
      <w:rPr>
        <w:rFonts w:hint="default"/>
      </w:rPr>
    </w:lvl>
    <w:lvl w:ilvl="3">
      <w:start w:val="0"/>
      <w:numFmt w:val="bullet"/>
      <w:lvlText w:val="•"/>
      <w:lvlJc w:val="left"/>
      <w:pPr>
        <w:ind w:left="2431" w:hanging="341"/>
      </w:pPr>
      <w:rPr>
        <w:rFonts w:hint="default"/>
      </w:rPr>
    </w:lvl>
    <w:lvl w:ilvl="4">
      <w:start w:val="0"/>
      <w:numFmt w:val="bullet"/>
      <w:lvlText w:val="•"/>
      <w:lvlJc w:val="left"/>
      <w:pPr>
        <w:ind w:left="3128" w:hanging="341"/>
      </w:pPr>
      <w:rPr>
        <w:rFonts w:hint="default"/>
      </w:rPr>
    </w:lvl>
    <w:lvl w:ilvl="5">
      <w:start w:val="0"/>
      <w:numFmt w:val="bullet"/>
      <w:lvlText w:val="•"/>
      <w:lvlJc w:val="left"/>
      <w:pPr>
        <w:ind w:left="3825" w:hanging="341"/>
      </w:pPr>
      <w:rPr>
        <w:rFonts w:hint="default"/>
      </w:rPr>
    </w:lvl>
    <w:lvl w:ilvl="6">
      <w:start w:val="0"/>
      <w:numFmt w:val="bullet"/>
      <w:lvlText w:val="•"/>
      <w:lvlJc w:val="left"/>
      <w:pPr>
        <w:ind w:left="4522" w:hanging="341"/>
      </w:pPr>
      <w:rPr>
        <w:rFonts w:hint="default"/>
      </w:rPr>
    </w:lvl>
    <w:lvl w:ilvl="7">
      <w:start w:val="0"/>
      <w:numFmt w:val="bullet"/>
      <w:lvlText w:val="•"/>
      <w:lvlJc w:val="left"/>
      <w:pPr>
        <w:ind w:left="5219" w:hanging="341"/>
      </w:pPr>
      <w:rPr>
        <w:rFonts w:hint="default"/>
      </w:rPr>
    </w:lvl>
    <w:lvl w:ilvl="8">
      <w:start w:val="0"/>
      <w:numFmt w:val="bullet"/>
      <w:lvlText w:val="•"/>
      <w:lvlJc w:val="left"/>
      <w:pPr>
        <w:ind w:left="5916" w:hanging="341"/>
      </w:pPr>
      <w:rPr>
        <w:rFonts w:hint="default"/>
      </w:rPr>
    </w:lvl>
  </w:abstractNum>
  <w:abstractNum w:abstractNumId="91">
    <w:multiLevelType w:val="hybridMultilevel"/>
    <w:lvl w:ilvl="0">
      <w:start w:val="1"/>
      <w:numFmt w:val="lowerLetter"/>
      <w:lvlText w:val="(%1)"/>
      <w:lvlJc w:val="left"/>
      <w:pPr>
        <w:ind w:left="340" w:hanging="341"/>
        <w:jc w:val="left"/>
      </w:pPr>
      <w:rPr>
        <w:rFonts w:hint="default" w:ascii="Calibri" w:hAnsi="Calibri" w:eastAsia="Calibri" w:cs="Calibri"/>
        <w:spacing w:val="0"/>
        <w:w w:val="109"/>
        <w:sz w:val="21"/>
        <w:szCs w:val="21"/>
      </w:rPr>
    </w:lvl>
    <w:lvl w:ilvl="1">
      <w:start w:val="1"/>
      <w:numFmt w:val="lowerRoman"/>
      <w:lvlText w:val="(%2)"/>
      <w:lvlJc w:val="left"/>
      <w:pPr>
        <w:ind w:left="714" w:hanging="375"/>
        <w:jc w:val="left"/>
      </w:pPr>
      <w:rPr>
        <w:rFonts w:hint="default" w:ascii="Calibri" w:hAnsi="Calibri" w:eastAsia="Calibri" w:cs="Calibri"/>
        <w:spacing w:val="0"/>
        <w:w w:val="109"/>
        <w:sz w:val="21"/>
        <w:szCs w:val="21"/>
      </w:rPr>
    </w:lvl>
    <w:lvl w:ilvl="2">
      <w:start w:val="0"/>
      <w:numFmt w:val="bullet"/>
      <w:lvlText w:val="•"/>
      <w:lvlJc w:val="left"/>
      <w:pPr>
        <w:ind w:left="1490" w:hanging="375"/>
      </w:pPr>
      <w:rPr>
        <w:rFonts w:hint="default"/>
      </w:rPr>
    </w:lvl>
    <w:lvl w:ilvl="3">
      <w:start w:val="0"/>
      <w:numFmt w:val="bullet"/>
      <w:lvlText w:val="•"/>
      <w:lvlJc w:val="left"/>
      <w:pPr>
        <w:ind w:left="2261" w:hanging="375"/>
      </w:pPr>
      <w:rPr>
        <w:rFonts w:hint="default"/>
      </w:rPr>
    </w:lvl>
    <w:lvl w:ilvl="4">
      <w:start w:val="0"/>
      <w:numFmt w:val="bullet"/>
      <w:lvlText w:val="•"/>
      <w:lvlJc w:val="left"/>
      <w:pPr>
        <w:ind w:left="3032" w:hanging="375"/>
      </w:pPr>
      <w:rPr>
        <w:rFonts w:hint="default"/>
      </w:rPr>
    </w:lvl>
    <w:lvl w:ilvl="5">
      <w:start w:val="0"/>
      <w:numFmt w:val="bullet"/>
      <w:lvlText w:val="•"/>
      <w:lvlJc w:val="left"/>
      <w:pPr>
        <w:ind w:left="3803" w:hanging="375"/>
      </w:pPr>
      <w:rPr>
        <w:rFonts w:hint="default"/>
      </w:rPr>
    </w:lvl>
    <w:lvl w:ilvl="6">
      <w:start w:val="0"/>
      <w:numFmt w:val="bullet"/>
      <w:lvlText w:val="•"/>
      <w:lvlJc w:val="left"/>
      <w:pPr>
        <w:ind w:left="4574" w:hanging="375"/>
      </w:pPr>
      <w:rPr>
        <w:rFonts w:hint="default"/>
      </w:rPr>
    </w:lvl>
    <w:lvl w:ilvl="7">
      <w:start w:val="0"/>
      <w:numFmt w:val="bullet"/>
      <w:lvlText w:val="•"/>
      <w:lvlJc w:val="left"/>
      <w:pPr>
        <w:ind w:left="5345" w:hanging="375"/>
      </w:pPr>
      <w:rPr>
        <w:rFonts w:hint="default"/>
      </w:rPr>
    </w:lvl>
    <w:lvl w:ilvl="8">
      <w:start w:val="0"/>
      <w:numFmt w:val="bullet"/>
      <w:lvlText w:val="•"/>
      <w:lvlJc w:val="left"/>
      <w:pPr>
        <w:ind w:left="6116" w:hanging="375"/>
      </w:pPr>
      <w:rPr>
        <w:rFonts w:hint="default"/>
      </w:rPr>
    </w:lvl>
  </w:abstractNum>
  <w:abstractNum w:abstractNumId="90">
    <w:multiLevelType w:val="hybridMultilevel"/>
    <w:lvl w:ilvl="0">
      <w:start w:val="198"/>
      <w:numFmt w:val="decimal"/>
      <w:lvlText w:val="%1"/>
      <w:lvlJc w:val="left"/>
      <w:pPr>
        <w:ind w:left="2381" w:hanging="794"/>
        <w:jc w:val="right"/>
      </w:pPr>
      <w:rPr>
        <w:rFonts w:hint="default" w:ascii="Calibri" w:hAnsi="Calibri" w:eastAsia="Calibri" w:cs="Calibri"/>
        <w:spacing w:val="-5"/>
        <w:w w:val="109"/>
        <w:sz w:val="13"/>
        <w:szCs w:val="13"/>
      </w:rPr>
    </w:lvl>
    <w:lvl w:ilvl="1">
      <w:start w:val="0"/>
      <w:numFmt w:val="bullet"/>
      <w:lvlText w:val="•"/>
      <w:lvlJc w:val="left"/>
      <w:pPr>
        <w:ind w:left="3150" w:hanging="794"/>
      </w:pPr>
      <w:rPr>
        <w:rFonts w:hint="default"/>
      </w:rPr>
    </w:lvl>
    <w:lvl w:ilvl="2">
      <w:start w:val="0"/>
      <w:numFmt w:val="bullet"/>
      <w:lvlText w:val="•"/>
      <w:lvlJc w:val="left"/>
      <w:pPr>
        <w:ind w:left="3921" w:hanging="794"/>
      </w:pPr>
      <w:rPr>
        <w:rFonts w:hint="default"/>
      </w:rPr>
    </w:lvl>
    <w:lvl w:ilvl="3">
      <w:start w:val="0"/>
      <w:numFmt w:val="bullet"/>
      <w:lvlText w:val="•"/>
      <w:lvlJc w:val="left"/>
      <w:pPr>
        <w:ind w:left="4691" w:hanging="794"/>
      </w:pPr>
      <w:rPr>
        <w:rFonts w:hint="default"/>
      </w:rPr>
    </w:lvl>
    <w:lvl w:ilvl="4">
      <w:start w:val="0"/>
      <w:numFmt w:val="bullet"/>
      <w:lvlText w:val="•"/>
      <w:lvlJc w:val="left"/>
      <w:pPr>
        <w:ind w:left="5462" w:hanging="794"/>
      </w:pPr>
      <w:rPr>
        <w:rFonts w:hint="default"/>
      </w:rPr>
    </w:lvl>
    <w:lvl w:ilvl="5">
      <w:start w:val="0"/>
      <w:numFmt w:val="bullet"/>
      <w:lvlText w:val="•"/>
      <w:lvlJc w:val="left"/>
      <w:pPr>
        <w:ind w:left="6233" w:hanging="794"/>
      </w:pPr>
      <w:rPr>
        <w:rFonts w:hint="default"/>
      </w:rPr>
    </w:lvl>
    <w:lvl w:ilvl="6">
      <w:start w:val="0"/>
      <w:numFmt w:val="bullet"/>
      <w:lvlText w:val="•"/>
      <w:lvlJc w:val="left"/>
      <w:pPr>
        <w:ind w:left="7003" w:hanging="794"/>
      </w:pPr>
      <w:rPr>
        <w:rFonts w:hint="default"/>
      </w:rPr>
    </w:lvl>
    <w:lvl w:ilvl="7">
      <w:start w:val="0"/>
      <w:numFmt w:val="bullet"/>
      <w:lvlText w:val="•"/>
      <w:lvlJc w:val="left"/>
      <w:pPr>
        <w:ind w:left="7774" w:hanging="794"/>
      </w:pPr>
      <w:rPr>
        <w:rFonts w:hint="default"/>
      </w:rPr>
    </w:lvl>
    <w:lvl w:ilvl="8">
      <w:start w:val="0"/>
      <w:numFmt w:val="bullet"/>
      <w:lvlText w:val="•"/>
      <w:lvlJc w:val="left"/>
      <w:pPr>
        <w:ind w:left="8544" w:hanging="794"/>
      </w:pPr>
      <w:rPr>
        <w:rFonts w:hint="default"/>
      </w:rPr>
    </w:lvl>
  </w:abstractNum>
  <w:abstractNum w:abstractNumId="89">
    <w:multiLevelType w:val="hybridMultilevel"/>
    <w:lvl w:ilvl="0">
      <w:start w:val="190"/>
      <w:numFmt w:val="decimal"/>
      <w:lvlText w:val="%1"/>
      <w:lvlJc w:val="left"/>
      <w:pPr>
        <w:ind w:left="1243" w:hanging="794"/>
        <w:jc w:val="left"/>
      </w:pPr>
      <w:rPr>
        <w:rFonts w:hint="default" w:ascii="Calibri" w:hAnsi="Calibri" w:eastAsia="Calibri" w:cs="Calibri"/>
        <w:spacing w:val="-5"/>
        <w:w w:val="109"/>
        <w:sz w:val="13"/>
        <w:szCs w:val="13"/>
      </w:rPr>
    </w:lvl>
    <w:lvl w:ilvl="1">
      <w:start w:val="0"/>
      <w:numFmt w:val="bullet"/>
      <w:lvlText w:val="•"/>
      <w:lvlJc w:val="left"/>
      <w:pPr>
        <w:ind w:left="2192" w:hanging="794"/>
      </w:pPr>
      <w:rPr>
        <w:rFonts w:hint="default"/>
      </w:rPr>
    </w:lvl>
    <w:lvl w:ilvl="2">
      <w:start w:val="0"/>
      <w:numFmt w:val="bullet"/>
      <w:lvlText w:val="•"/>
      <w:lvlJc w:val="left"/>
      <w:pPr>
        <w:ind w:left="3145" w:hanging="794"/>
      </w:pPr>
      <w:rPr>
        <w:rFonts w:hint="default"/>
      </w:rPr>
    </w:lvl>
    <w:lvl w:ilvl="3">
      <w:start w:val="0"/>
      <w:numFmt w:val="bullet"/>
      <w:lvlText w:val="•"/>
      <w:lvlJc w:val="left"/>
      <w:pPr>
        <w:ind w:left="4098" w:hanging="794"/>
      </w:pPr>
      <w:rPr>
        <w:rFonts w:hint="default"/>
      </w:rPr>
    </w:lvl>
    <w:lvl w:ilvl="4">
      <w:start w:val="0"/>
      <w:numFmt w:val="bullet"/>
      <w:lvlText w:val="•"/>
      <w:lvlJc w:val="left"/>
      <w:pPr>
        <w:ind w:left="5051" w:hanging="794"/>
      </w:pPr>
      <w:rPr>
        <w:rFonts w:hint="default"/>
      </w:rPr>
    </w:lvl>
    <w:lvl w:ilvl="5">
      <w:start w:val="0"/>
      <w:numFmt w:val="bullet"/>
      <w:lvlText w:val="•"/>
      <w:lvlJc w:val="left"/>
      <w:pPr>
        <w:ind w:left="6003" w:hanging="794"/>
      </w:pPr>
      <w:rPr>
        <w:rFonts w:hint="default"/>
      </w:rPr>
    </w:lvl>
    <w:lvl w:ilvl="6">
      <w:start w:val="0"/>
      <w:numFmt w:val="bullet"/>
      <w:lvlText w:val="•"/>
      <w:lvlJc w:val="left"/>
      <w:pPr>
        <w:ind w:left="6956" w:hanging="794"/>
      </w:pPr>
      <w:rPr>
        <w:rFonts w:hint="default"/>
      </w:rPr>
    </w:lvl>
    <w:lvl w:ilvl="7">
      <w:start w:val="0"/>
      <w:numFmt w:val="bullet"/>
      <w:lvlText w:val="•"/>
      <w:lvlJc w:val="left"/>
      <w:pPr>
        <w:ind w:left="7909" w:hanging="794"/>
      </w:pPr>
      <w:rPr>
        <w:rFonts w:hint="default"/>
      </w:rPr>
    </w:lvl>
    <w:lvl w:ilvl="8">
      <w:start w:val="0"/>
      <w:numFmt w:val="bullet"/>
      <w:lvlText w:val="•"/>
      <w:lvlJc w:val="left"/>
      <w:pPr>
        <w:ind w:left="8862" w:hanging="794"/>
      </w:pPr>
      <w:rPr>
        <w:rFonts w:hint="default"/>
      </w:rPr>
    </w:lvl>
  </w:abstractNum>
  <w:abstractNum w:abstractNumId="88">
    <w:multiLevelType w:val="hybridMultilevel"/>
    <w:lvl w:ilvl="0">
      <w:start w:val="179"/>
      <w:numFmt w:val="decimal"/>
      <w:lvlText w:val="%1"/>
      <w:lvlJc w:val="left"/>
      <w:pPr>
        <w:ind w:left="2381" w:hanging="794"/>
        <w:jc w:val="right"/>
      </w:pPr>
      <w:rPr>
        <w:rFonts w:hint="default" w:ascii="Calibri" w:hAnsi="Calibri" w:eastAsia="Calibri" w:cs="Calibri"/>
        <w:spacing w:val="-7"/>
        <w:w w:val="109"/>
        <w:sz w:val="13"/>
        <w:szCs w:val="13"/>
      </w:rPr>
    </w:lvl>
    <w:lvl w:ilvl="1">
      <w:start w:val="0"/>
      <w:numFmt w:val="bullet"/>
      <w:lvlText w:val="•"/>
      <w:lvlJc w:val="left"/>
      <w:pPr>
        <w:ind w:left="3149" w:hanging="794"/>
      </w:pPr>
      <w:rPr>
        <w:rFonts w:hint="default"/>
      </w:rPr>
    </w:lvl>
    <w:lvl w:ilvl="2">
      <w:start w:val="0"/>
      <w:numFmt w:val="bullet"/>
      <w:lvlText w:val="•"/>
      <w:lvlJc w:val="left"/>
      <w:pPr>
        <w:ind w:left="3917" w:hanging="794"/>
      </w:pPr>
      <w:rPr>
        <w:rFonts w:hint="default"/>
      </w:rPr>
    </w:lvl>
    <w:lvl w:ilvl="3">
      <w:start w:val="0"/>
      <w:numFmt w:val="bullet"/>
      <w:lvlText w:val="•"/>
      <w:lvlJc w:val="left"/>
      <w:pPr>
        <w:ind w:left="4686" w:hanging="794"/>
      </w:pPr>
      <w:rPr>
        <w:rFonts w:hint="default"/>
      </w:rPr>
    </w:lvl>
    <w:lvl w:ilvl="4">
      <w:start w:val="0"/>
      <w:numFmt w:val="bullet"/>
      <w:lvlText w:val="•"/>
      <w:lvlJc w:val="left"/>
      <w:pPr>
        <w:ind w:left="5455" w:hanging="794"/>
      </w:pPr>
      <w:rPr>
        <w:rFonts w:hint="default"/>
      </w:rPr>
    </w:lvl>
    <w:lvl w:ilvl="5">
      <w:start w:val="0"/>
      <w:numFmt w:val="bullet"/>
      <w:lvlText w:val="•"/>
      <w:lvlJc w:val="left"/>
      <w:pPr>
        <w:ind w:left="6224" w:hanging="794"/>
      </w:pPr>
      <w:rPr>
        <w:rFonts w:hint="default"/>
      </w:rPr>
    </w:lvl>
    <w:lvl w:ilvl="6">
      <w:start w:val="0"/>
      <w:numFmt w:val="bullet"/>
      <w:lvlText w:val="•"/>
      <w:lvlJc w:val="left"/>
      <w:pPr>
        <w:ind w:left="6993" w:hanging="794"/>
      </w:pPr>
      <w:rPr>
        <w:rFonts w:hint="default"/>
      </w:rPr>
    </w:lvl>
    <w:lvl w:ilvl="7">
      <w:start w:val="0"/>
      <w:numFmt w:val="bullet"/>
      <w:lvlText w:val="•"/>
      <w:lvlJc w:val="left"/>
      <w:pPr>
        <w:ind w:left="7762" w:hanging="794"/>
      </w:pPr>
      <w:rPr>
        <w:rFonts w:hint="default"/>
      </w:rPr>
    </w:lvl>
    <w:lvl w:ilvl="8">
      <w:start w:val="0"/>
      <w:numFmt w:val="bullet"/>
      <w:lvlText w:val="•"/>
      <w:lvlJc w:val="left"/>
      <w:pPr>
        <w:ind w:left="8531" w:hanging="794"/>
      </w:pPr>
      <w:rPr>
        <w:rFonts w:hint="default"/>
      </w:rPr>
    </w:lvl>
  </w:abstractNum>
  <w:abstractNum w:abstractNumId="87">
    <w:multiLevelType w:val="hybridMultilevel"/>
    <w:lvl w:ilvl="0">
      <w:start w:val="172"/>
      <w:numFmt w:val="decimal"/>
      <w:lvlText w:val="%1"/>
      <w:lvlJc w:val="left"/>
      <w:pPr>
        <w:ind w:left="2381" w:hanging="794"/>
        <w:jc w:val="left"/>
      </w:pPr>
      <w:rPr>
        <w:rFonts w:hint="default" w:ascii="Calibri" w:hAnsi="Calibri" w:eastAsia="Calibri" w:cs="Calibri"/>
        <w:spacing w:val="-7"/>
        <w:w w:val="109"/>
        <w:sz w:val="13"/>
        <w:szCs w:val="13"/>
      </w:rPr>
    </w:lvl>
    <w:lvl w:ilvl="1">
      <w:start w:val="0"/>
      <w:numFmt w:val="bullet"/>
      <w:lvlText w:val="•"/>
      <w:lvlJc w:val="left"/>
      <w:pPr>
        <w:ind w:left="3149" w:hanging="794"/>
      </w:pPr>
      <w:rPr>
        <w:rFonts w:hint="default"/>
      </w:rPr>
    </w:lvl>
    <w:lvl w:ilvl="2">
      <w:start w:val="0"/>
      <w:numFmt w:val="bullet"/>
      <w:lvlText w:val="•"/>
      <w:lvlJc w:val="left"/>
      <w:pPr>
        <w:ind w:left="3917" w:hanging="794"/>
      </w:pPr>
      <w:rPr>
        <w:rFonts w:hint="default"/>
      </w:rPr>
    </w:lvl>
    <w:lvl w:ilvl="3">
      <w:start w:val="0"/>
      <w:numFmt w:val="bullet"/>
      <w:lvlText w:val="•"/>
      <w:lvlJc w:val="left"/>
      <w:pPr>
        <w:ind w:left="4686" w:hanging="794"/>
      </w:pPr>
      <w:rPr>
        <w:rFonts w:hint="default"/>
      </w:rPr>
    </w:lvl>
    <w:lvl w:ilvl="4">
      <w:start w:val="0"/>
      <w:numFmt w:val="bullet"/>
      <w:lvlText w:val="•"/>
      <w:lvlJc w:val="left"/>
      <w:pPr>
        <w:ind w:left="5455" w:hanging="794"/>
      </w:pPr>
      <w:rPr>
        <w:rFonts w:hint="default"/>
      </w:rPr>
    </w:lvl>
    <w:lvl w:ilvl="5">
      <w:start w:val="0"/>
      <w:numFmt w:val="bullet"/>
      <w:lvlText w:val="•"/>
      <w:lvlJc w:val="left"/>
      <w:pPr>
        <w:ind w:left="6224" w:hanging="794"/>
      </w:pPr>
      <w:rPr>
        <w:rFonts w:hint="default"/>
      </w:rPr>
    </w:lvl>
    <w:lvl w:ilvl="6">
      <w:start w:val="0"/>
      <w:numFmt w:val="bullet"/>
      <w:lvlText w:val="•"/>
      <w:lvlJc w:val="left"/>
      <w:pPr>
        <w:ind w:left="6993" w:hanging="794"/>
      </w:pPr>
      <w:rPr>
        <w:rFonts w:hint="default"/>
      </w:rPr>
    </w:lvl>
    <w:lvl w:ilvl="7">
      <w:start w:val="0"/>
      <w:numFmt w:val="bullet"/>
      <w:lvlText w:val="•"/>
      <w:lvlJc w:val="left"/>
      <w:pPr>
        <w:ind w:left="7762" w:hanging="794"/>
      </w:pPr>
      <w:rPr>
        <w:rFonts w:hint="default"/>
      </w:rPr>
    </w:lvl>
    <w:lvl w:ilvl="8">
      <w:start w:val="0"/>
      <w:numFmt w:val="bullet"/>
      <w:lvlText w:val="•"/>
      <w:lvlJc w:val="left"/>
      <w:pPr>
        <w:ind w:left="8531" w:hanging="794"/>
      </w:pPr>
      <w:rPr>
        <w:rFonts w:hint="default"/>
      </w:rPr>
    </w:lvl>
  </w:abstractNum>
  <w:abstractNum w:abstractNumId="86">
    <w:multiLevelType w:val="hybridMultilevel"/>
    <w:lvl w:ilvl="0">
      <w:start w:val="160"/>
      <w:numFmt w:val="decimal"/>
      <w:lvlText w:val="%1"/>
      <w:lvlJc w:val="left"/>
      <w:pPr>
        <w:ind w:left="1243" w:hanging="794"/>
        <w:jc w:val="left"/>
      </w:pPr>
      <w:rPr>
        <w:rFonts w:hint="default" w:ascii="Calibri" w:hAnsi="Calibri" w:eastAsia="Calibri" w:cs="Calibri"/>
        <w:spacing w:val="-4"/>
        <w:w w:val="109"/>
        <w:sz w:val="13"/>
        <w:szCs w:val="13"/>
      </w:rPr>
    </w:lvl>
    <w:lvl w:ilvl="1">
      <w:start w:val="0"/>
      <w:numFmt w:val="bullet"/>
      <w:lvlText w:val="•"/>
      <w:lvlJc w:val="left"/>
      <w:pPr>
        <w:ind w:left="2721" w:hanging="341"/>
      </w:pPr>
      <w:rPr>
        <w:rFonts w:hint="default" w:ascii="Calibri" w:hAnsi="Calibri" w:eastAsia="Calibri" w:cs="Calibri"/>
        <w:w w:val="100"/>
        <w:sz w:val="21"/>
        <w:szCs w:val="21"/>
      </w:rPr>
    </w:lvl>
    <w:lvl w:ilvl="2">
      <w:start w:val="0"/>
      <w:numFmt w:val="bullet"/>
      <w:lvlText w:val="•"/>
      <w:lvlJc w:val="left"/>
      <w:pPr>
        <w:ind w:left="3614" w:hanging="341"/>
      </w:pPr>
      <w:rPr>
        <w:rFonts w:hint="default"/>
      </w:rPr>
    </w:lvl>
    <w:lvl w:ilvl="3">
      <w:start w:val="0"/>
      <w:numFmt w:val="bullet"/>
      <w:lvlText w:val="•"/>
      <w:lvlJc w:val="left"/>
      <w:pPr>
        <w:ind w:left="4508" w:hanging="341"/>
      </w:pPr>
      <w:rPr>
        <w:rFonts w:hint="default"/>
      </w:rPr>
    </w:lvl>
    <w:lvl w:ilvl="4">
      <w:start w:val="0"/>
      <w:numFmt w:val="bullet"/>
      <w:lvlText w:val="•"/>
      <w:lvlJc w:val="left"/>
      <w:pPr>
        <w:ind w:left="5402" w:hanging="341"/>
      </w:pPr>
      <w:rPr>
        <w:rFonts w:hint="default"/>
      </w:rPr>
    </w:lvl>
    <w:lvl w:ilvl="5">
      <w:start w:val="0"/>
      <w:numFmt w:val="bullet"/>
      <w:lvlText w:val="•"/>
      <w:lvlJc w:val="left"/>
      <w:pPr>
        <w:ind w:left="6297" w:hanging="341"/>
      </w:pPr>
      <w:rPr>
        <w:rFonts w:hint="default"/>
      </w:rPr>
    </w:lvl>
    <w:lvl w:ilvl="6">
      <w:start w:val="0"/>
      <w:numFmt w:val="bullet"/>
      <w:lvlText w:val="•"/>
      <w:lvlJc w:val="left"/>
      <w:pPr>
        <w:ind w:left="7191" w:hanging="341"/>
      </w:pPr>
      <w:rPr>
        <w:rFonts w:hint="default"/>
      </w:rPr>
    </w:lvl>
    <w:lvl w:ilvl="7">
      <w:start w:val="0"/>
      <w:numFmt w:val="bullet"/>
      <w:lvlText w:val="•"/>
      <w:lvlJc w:val="left"/>
      <w:pPr>
        <w:ind w:left="8085" w:hanging="341"/>
      </w:pPr>
      <w:rPr>
        <w:rFonts w:hint="default"/>
      </w:rPr>
    </w:lvl>
    <w:lvl w:ilvl="8">
      <w:start w:val="0"/>
      <w:numFmt w:val="bullet"/>
      <w:lvlText w:val="•"/>
      <w:lvlJc w:val="left"/>
      <w:pPr>
        <w:ind w:left="8979" w:hanging="341"/>
      </w:pPr>
      <w:rPr>
        <w:rFonts w:hint="default"/>
      </w:rPr>
    </w:lvl>
  </w:abstractNum>
  <w:abstractNum w:abstractNumId="84">
    <w:multiLevelType w:val="hybridMultilevel"/>
    <w:lvl w:ilvl="0">
      <w:start w:val="148"/>
      <w:numFmt w:val="decimal"/>
      <w:lvlText w:val="%1"/>
      <w:lvlJc w:val="left"/>
      <w:pPr>
        <w:ind w:left="2381" w:hanging="794"/>
        <w:jc w:val="right"/>
      </w:pPr>
      <w:rPr>
        <w:rFonts w:hint="default" w:ascii="Calibri" w:hAnsi="Calibri" w:eastAsia="Calibri" w:cs="Calibri"/>
        <w:spacing w:val="-5"/>
        <w:w w:val="109"/>
        <w:sz w:val="13"/>
        <w:szCs w:val="13"/>
      </w:rPr>
    </w:lvl>
    <w:lvl w:ilvl="1">
      <w:start w:val="39"/>
      <w:numFmt w:val="decimal"/>
      <w:lvlText w:val="%2"/>
      <w:lvlJc w:val="left"/>
      <w:pPr>
        <w:ind w:left="2381" w:hanging="567"/>
        <w:jc w:val="left"/>
      </w:pPr>
      <w:rPr>
        <w:rFonts w:hint="default" w:ascii="Calibri" w:hAnsi="Calibri" w:eastAsia="Calibri" w:cs="Calibri"/>
        <w:spacing w:val="-2"/>
        <w:w w:val="109"/>
        <w:sz w:val="21"/>
        <w:szCs w:val="21"/>
      </w:rPr>
    </w:lvl>
    <w:lvl w:ilvl="2">
      <w:start w:val="1"/>
      <w:numFmt w:val="lowerLetter"/>
      <w:lvlText w:val="(%3)"/>
      <w:lvlJc w:val="left"/>
      <w:pPr>
        <w:ind w:left="2721" w:hanging="341"/>
        <w:jc w:val="left"/>
      </w:pPr>
      <w:rPr>
        <w:rFonts w:hint="default" w:ascii="Calibri" w:hAnsi="Calibri" w:eastAsia="Calibri" w:cs="Calibri"/>
        <w:spacing w:val="0"/>
        <w:w w:val="109"/>
        <w:sz w:val="21"/>
        <w:szCs w:val="21"/>
      </w:rPr>
    </w:lvl>
    <w:lvl w:ilvl="3">
      <w:start w:val="1"/>
      <w:numFmt w:val="lowerRoman"/>
      <w:lvlText w:val="(%4)"/>
      <w:lvlJc w:val="left"/>
      <w:pPr>
        <w:ind w:left="3039" w:hanging="318"/>
        <w:jc w:val="left"/>
      </w:pPr>
      <w:rPr>
        <w:rFonts w:hint="default" w:ascii="Calibri" w:hAnsi="Calibri" w:eastAsia="Calibri" w:cs="Calibri"/>
        <w:spacing w:val="0"/>
        <w:w w:val="109"/>
        <w:sz w:val="21"/>
        <w:szCs w:val="21"/>
      </w:rPr>
    </w:lvl>
    <w:lvl w:ilvl="4">
      <w:start w:val="0"/>
      <w:numFmt w:val="bullet"/>
      <w:lvlText w:val="•"/>
      <w:lvlJc w:val="left"/>
      <w:pPr>
        <w:ind w:left="4329" w:hanging="318"/>
      </w:pPr>
      <w:rPr>
        <w:rFonts w:hint="default"/>
      </w:rPr>
    </w:lvl>
    <w:lvl w:ilvl="5">
      <w:start w:val="0"/>
      <w:numFmt w:val="bullet"/>
      <w:lvlText w:val="•"/>
      <w:lvlJc w:val="left"/>
      <w:pPr>
        <w:ind w:left="4974" w:hanging="318"/>
      </w:pPr>
      <w:rPr>
        <w:rFonts w:hint="default"/>
      </w:rPr>
    </w:lvl>
    <w:lvl w:ilvl="6">
      <w:start w:val="0"/>
      <w:numFmt w:val="bullet"/>
      <w:lvlText w:val="•"/>
      <w:lvlJc w:val="left"/>
      <w:pPr>
        <w:ind w:left="5619" w:hanging="318"/>
      </w:pPr>
      <w:rPr>
        <w:rFonts w:hint="default"/>
      </w:rPr>
    </w:lvl>
    <w:lvl w:ilvl="7">
      <w:start w:val="0"/>
      <w:numFmt w:val="bullet"/>
      <w:lvlText w:val="•"/>
      <w:lvlJc w:val="left"/>
      <w:pPr>
        <w:ind w:left="6264" w:hanging="318"/>
      </w:pPr>
      <w:rPr>
        <w:rFonts w:hint="default"/>
      </w:rPr>
    </w:lvl>
    <w:lvl w:ilvl="8">
      <w:start w:val="0"/>
      <w:numFmt w:val="bullet"/>
      <w:lvlText w:val="•"/>
      <w:lvlJc w:val="left"/>
      <w:pPr>
        <w:ind w:left="6909" w:hanging="318"/>
      </w:pPr>
      <w:rPr>
        <w:rFonts w:hint="default"/>
      </w:rPr>
    </w:lvl>
  </w:abstractNum>
  <w:abstractNum w:abstractNumId="83">
    <w:multiLevelType w:val="hybridMultilevel"/>
    <w:lvl w:ilvl="0">
      <w:start w:val="139"/>
      <w:numFmt w:val="decimal"/>
      <w:lvlText w:val="%1"/>
      <w:lvlJc w:val="left"/>
      <w:pPr>
        <w:ind w:left="1247" w:hanging="794"/>
        <w:jc w:val="left"/>
      </w:pPr>
      <w:rPr>
        <w:rFonts w:hint="default" w:ascii="Calibri" w:hAnsi="Calibri" w:eastAsia="Calibri" w:cs="Calibri"/>
        <w:spacing w:val="-7"/>
        <w:w w:val="109"/>
        <w:sz w:val="13"/>
        <w:szCs w:val="13"/>
      </w:rPr>
    </w:lvl>
    <w:lvl w:ilvl="1">
      <w:start w:val="0"/>
      <w:numFmt w:val="bullet"/>
      <w:lvlText w:val="•"/>
      <w:lvlJc w:val="left"/>
      <w:pPr>
        <w:ind w:left="2193" w:hanging="794"/>
      </w:pPr>
      <w:rPr>
        <w:rFonts w:hint="default"/>
      </w:rPr>
    </w:lvl>
    <w:lvl w:ilvl="2">
      <w:start w:val="0"/>
      <w:numFmt w:val="bullet"/>
      <w:lvlText w:val="•"/>
      <w:lvlJc w:val="left"/>
      <w:pPr>
        <w:ind w:left="3146" w:hanging="794"/>
      </w:pPr>
      <w:rPr>
        <w:rFonts w:hint="default"/>
      </w:rPr>
    </w:lvl>
    <w:lvl w:ilvl="3">
      <w:start w:val="0"/>
      <w:numFmt w:val="bullet"/>
      <w:lvlText w:val="•"/>
      <w:lvlJc w:val="left"/>
      <w:pPr>
        <w:ind w:left="4099" w:hanging="794"/>
      </w:pPr>
      <w:rPr>
        <w:rFonts w:hint="default"/>
      </w:rPr>
    </w:lvl>
    <w:lvl w:ilvl="4">
      <w:start w:val="0"/>
      <w:numFmt w:val="bullet"/>
      <w:lvlText w:val="•"/>
      <w:lvlJc w:val="left"/>
      <w:pPr>
        <w:ind w:left="5052" w:hanging="794"/>
      </w:pPr>
      <w:rPr>
        <w:rFonts w:hint="default"/>
      </w:rPr>
    </w:lvl>
    <w:lvl w:ilvl="5">
      <w:start w:val="0"/>
      <w:numFmt w:val="bullet"/>
      <w:lvlText w:val="•"/>
      <w:lvlJc w:val="left"/>
      <w:pPr>
        <w:ind w:left="6005" w:hanging="794"/>
      </w:pPr>
      <w:rPr>
        <w:rFonts w:hint="default"/>
      </w:rPr>
    </w:lvl>
    <w:lvl w:ilvl="6">
      <w:start w:val="0"/>
      <w:numFmt w:val="bullet"/>
      <w:lvlText w:val="•"/>
      <w:lvlJc w:val="left"/>
      <w:pPr>
        <w:ind w:left="6958" w:hanging="794"/>
      </w:pPr>
      <w:rPr>
        <w:rFonts w:hint="default"/>
      </w:rPr>
    </w:lvl>
    <w:lvl w:ilvl="7">
      <w:start w:val="0"/>
      <w:numFmt w:val="bullet"/>
      <w:lvlText w:val="•"/>
      <w:lvlJc w:val="left"/>
      <w:pPr>
        <w:ind w:left="7911" w:hanging="794"/>
      </w:pPr>
      <w:rPr>
        <w:rFonts w:hint="default"/>
      </w:rPr>
    </w:lvl>
    <w:lvl w:ilvl="8">
      <w:start w:val="0"/>
      <w:numFmt w:val="bullet"/>
      <w:lvlText w:val="•"/>
      <w:lvlJc w:val="left"/>
      <w:pPr>
        <w:ind w:left="8864" w:hanging="794"/>
      </w:pPr>
      <w:rPr>
        <w:rFonts w:hint="default"/>
      </w:rPr>
    </w:lvl>
  </w:abstractNum>
  <w:abstractNum w:abstractNumId="82">
    <w:multiLevelType w:val="hybridMultilevel"/>
    <w:lvl w:ilvl="0">
      <w:start w:val="135"/>
      <w:numFmt w:val="decimal"/>
      <w:lvlText w:val="%1"/>
      <w:lvlJc w:val="left"/>
      <w:pPr>
        <w:ind w:left="1246" w:hanging="794"/>
        <w:jc w:val="left"/>
      </w:pPr>
      <w:rPr>
        <w:rFonts w:hint="default" w:ascii="Calibri" w:hAnsi="Calibri" w:eastAsia="Calibri" w:cs="Calibri"/>
        <w:spacing w:val="-7"/>
        <w:w w:val="109"/>
        <w:sz w:val="13"/>
        <w:szCs w:val="13"/>
      </w:rPr>
    </w:lvl>
    <w:lvl w:ilvl="1">
      <w:start w:val="0"/>
      <w:numFmt w:val="bullet"/>
      <w:lvlText w:val="•"/>
      <w:lvlJc w:val="left"/>
      <w:pPr>
        <w:ind w:left="2193" w:hanging="794"/>
      </w:pPr>
      <w:rPr>
        <w:rFonts w:hint="default"/>
      </w:rPr>
    </w:lvl>
    <w:lvl w:ilvl="2">
      <w:start w:val="0"/>
      <w:numFmt w:val="bullet"/>
      <w:lvlText w:val="•"/>
      <w:lvlJc w:val="left"/>
      <w:pPr>
        <w:ind w:left="3146" w:hanging="794"/>
      </w:pPr>
      <w:rPr>
        <w:rFonts w:hint="default"/>
      </w:rPr>
    </w:lvl>
    <w:lvl w:ilvl="3">
      <w:start w:val="0"/>
      <w:numFmt w:val="bullet"/>
      <w:lvlText w:val="•"/>
      <w:lvlJc w:val="left"/>
      <w:pPr>
        <w:ind w:left="4099" w:hanging="794"/>
      </w:pPr>
      <w:rPr>
        <w:rFonts w:hint="default"/>
      </w:rPr>
    </w:lvl>
    <w:lvl w:ilvl="4">
      <w:start w:val="0"/>
      <w:numFmt w:val="bullet"/>
      <w:lvlText w:val="•"/>
      <w:lvlJc w:val="left"/>
      <w:pPr>
        <w:ind w:left="5052" w:hanging="794"/>
      </w:pPr>
      <w:rPr>
        <w:rFonts w:hint="default"/>
      </w:rPr>
    </w:lvl>
    <w:lvl w:ilvl="5">
      <w:start w:val="0"/>
      <w:numFmt w:val="bullet"/>
      <w:lvlText w:val="•"/>
      <w:lvlJc w:val="left"/>
      <w:pPr>
        <w:ind w:left="6005" w:hanging="794"/>
      </w:pPr>
      <w:rPr>
        <w:rFonts w:hint="default"/>
      </w:rPr>
    </w:lvl>
    <w:lvl w:ilvl="6">
      <w:start w:val="0"/>
      <w:numFmt w:val="bullet"/>
      <w:lvlText w:val="•"/>
      <w:lvlJc w:val="left"/>
      <w:pPr>
        <w:ind w:left="6958" w:hanging="794"/>
      </w:pPr>
      <w:rPr>
        <w:rFonts w:hint="default"/>
      </w:rPr>
    </w:lvl>
    <w:lvl w:ilvl="7">
      <w:start w:val="0"/>
      <w:numFmt w:val="bullet"/>
      <w:lvlText w:val="•"/>
      <w:lvlJc w:val="left"/>
      <w:pPr>
        <w:ind w:left="7911" w:hanging="794"/>
      </w:pPr>
      <w:rPr>
        <w:rFonts w:hint="default"/>
      </w:rPr>
    </w:lvl>
    <w:lvl w:ilvl="8">
      <w:start w:val="0"/>
      <w:numFmt w:val="bullet"/>
      <w:lvlText w:val="•"/>
      <w:lvlJc w:val="left"/>
      <w:pPr>
        <w:ind w:left="8864" w:hanging="794"/>
      </w:pPr>
      <w:rPr>
        <w:rFonts w:hint="default"/>
      </w:rPr>
    </w:lvl>
  </w:abstractNum>
  <w:abstractNum w:abstractNumId="81">
    <w:multiLevelType w:val="hybridMultilevel"/>
    <w:lvl w:ilvl="0">
      <w:start w:val="6"/>
      <w:numFmt w:val="decimal"/>
      <w:lvlText w:val="%1"/>
      <w:lvlJc w:val="left"/>
      <w:pPr>
        <w:ind w:left="2381" w:hanging="794"/>
        <w:jc w:val="left"/>
      </w:pPr>
      <w:rPr>
        <w:rFonts w:hint="default"/>
      </w:rPr>
    </w:lvl>
    <w:lvl w:ilvl="1">
      <w:start w:val="75"/>
      <w:numFmt w:val="decimal"/>
      <w:lvlText w:val="%1.%2"/>
      <w:lvlJc w:val="left"/>
      <w:pPr>
        <w:ind w:left="2381" w:hanging="794"/>
        <w:jc w:val="left"/>
      </w:pPr>
      <w:rPr>
        <w:rFonts w:hint="default" w:ascii="Calibri" w:hAnsi="Calibri" w:eastAsia="Calibri" w:cs="Calibri"/>
        <w:spacing w:val="-11"/>
        <w:w w:val="109"/>
        <w:sz w:val="21"/>
        <w:szCs w:val="21"/>
      </w:rPr>
    </w:lvl>
    <w:lvl w:ilvl="2">
      <w:start w:val="0"/>
      <w:numFmt w:val="bullet"/>
      <w:lvlText w:val="•"/>
      <w:lvlJc w:val="left"/>
      <w:pPr>
        <w:ind w:left="2720" w:hanging="341"/>
      </w:pPr>
      <w:rPr>
        <w:rFonts w:hint="default" w:ascii="Calibri" w:hAnsi="Calibri" w:eastAsia="Calibri" w:cs="Calibri"/>
        <w:w w:val="100"/>
        <w:sz w:val="21"/>
        <w:szCs w:val="21"/>
      </w:rPr>
    </w:lvl>
    <w:lvl w:ilvl="3">
      <w:start w:val="0"/>
      <w:numFmt w:val="bullet"/>
      <w:lvlText w:val="•"/>
      <w:lvlJc w:val="left"/>
      <w:pPr>
        <w:ind w:left="4761" w:hanging="341"/>
      </w:pPr>
      <w:rPr>
        <w:rFonts w:hint="default"/>
      </w:rPr>
    </w:lvl>
    <w:lvl w:ilvl="4">
      <w:start w:val="0"/>
      <w:numFmt w:val="bullet"/>
      <w:lvlText w:val="•"/>
      <w:lvlJc w:val="left"/>
      <w:pPr>
        <w:ind w:left="5781" w:hanging="341"/>
      </w:pPr>
      <w:rPr>
        <w:rFonts w:hint="default"/>
      </w:rPr>
    </w:lvl>
    <w:lvl w:ilvl="5">
      <w:start w:val="0"/>
      <w:numFmt w:val="bullet"/>
      <w:lvlText w:val="•"/>
      <w:lvlJc w:val="left"/>
      <w:pPr>
        <w:ind w:left="6802" w:hanging="341"/>
      </w:pPr>
      <w:rPr>
        <w:rFonts w:hint="default"/>
      </w:rPr>
    </w:lvl>
    <w:lvl w:ilvl="6">
      <w:start w:val="0"/>
      <w:numFmt w:val="bullet"/>
      <w:lvlText w:val="•"/>
      <w:lvlJc w:val="left"/>
      <w:pPr>
        <w:ind w:left="7823" w:hanging="341"/>
      </w:pPr>
      <w:rPr>
        <w:rFonts w:hint="default"/>
      </w:rPr>
    </w:lvl>
    <w:lvl w:ilvl="7">
      <w:start w:val="0"/>
      <w:numFmt w:val="bullet"/>
      <w:lvlText w:val="•"/>
      <w:lvlJc w:val="left"/>
      <w:pPr>
        <w:ind w:left="8843" w:hanging="341"/>
      </w:pPr>
      <w:rPr>
        <w:rFonts w:hint="default"/>
      </w:rPr>
    </w:lvl>
    <w:lvl w:ilvl="8">
      <w:start w:val="0"/>
      <w:numFmt w:val="bullet"/>
      <w:lvlText w:val="•"/>
      <w:lvlJc w:val="left"/>
      <w:pPr>
        <w:ind w:left="9864" w:hanging="341"/>
      </w:pPr>
      <w:rPr>
        <w:rFonts w:hint="default"/>
      </w:rPr>
    </w:lvl>
  </w:abstractNum>
  <w:abstractNum w:abstractNumId="79">
    <w:multiLevelType w:val="hybridMultilevel"/>
    <w:lvl w:ilvl="0">
      <w:start w:val="1"/>
      <w:numFmt w:val="lowerLetter"/>
      <w:lvlText w:val="(%1)"/>
      <w:lvlJc w:val="left"/>
      <w:pPr>
        <w:ind w:left="340" w:hanging="341"/>
        <w:jc w:val="left"/>
      </w:pPr>
      <w:rPr>
        <w:rFonts w:hint="default" w:ascii="Calibri" w:hAnsi="Calibri" w:eastAsia="Calibri" w:cs="Calibri"/>
        <w:spacing w:val="0"/>
        <w:w w:val="109"/>
        <w:sz w:val="21"/>
        <w:szCs w:val="21"/>
      </w:rPr>
    </w:lvl>
    <w:lvl w:ilvl="1">
      <w:start w:val="0"/>
      <w:numFmt w:val="bullet"/>
      <w:lvlText w:val="•"/>
      <w:lvlJc w:val="left"/>
      <w:pPr>
        <w:ind w:left="1046" w:hanging="341"/>
      </w:pPr>
      <w:rPr>
        <w:rFonts w:hint="default"/>
      </w:rPr>
    </w:lvl>
    <w:lvl w:ilvl="2">
      <w:start w:val="0"/>
      <w:numFmt w:val="bullet"/>
      <w:lvlText w:val="•"/>
      <w:lvlJc w:val="left"/>
      <w:pPr>
        <w:ind w:left="1752" w:hanging="341"/>
      </w:pPr>
      <w:rPr>
        <w:rFonts w:hint="default"/>
      </w:rPr>
    </w:lvl>
    <w:lvl w:ilvl="3">
      <w:start w:val="0"/>
      <w:numFmt w:val="bullet"/>
      <w:lvlText w:val="•"/>
      <w:lvlJc w:val="left"/>
      <w:pPr>
        <w:ind w:left="2458" w:hanging="341"/>
      </w:pPr>
      <w:rPr>
        <w:rFonts w:hint="default"/>
      </w:rPr>
    </w:lvl>
    <w:lvl w:ilvl="4">
      <w:start w:val="0"/>
      <w:numFmt w:val="bullet"/>
      <w:lvlText w:val="•"/>
      <w:lvlJc w:val="left"/>
      <w:pPr>
        <w:ind w:left="3164" w:hanging="341"/>
      </w:pPr>
      <w:rPr>
        <w:rFonts w:hint="default"/>
      </w:rPr>
    </w:lvl>
    <w:lvl w:ilvl="5">
      <w:start w:val="0"/>
      <w:numFmt w:val="bullet"/>
      <w:lvlText w:val="•"/>
      <w:lvlJc w:val="left"/>
      <w:pPr>
        <w:ind w:left="3870" w:hanging="341"/>
      </w:pPr>
      <w:rPr>
        <w:rFonts w:hint="default"/>
      </w:rPr>
    </w:lvl>
    <w:lvl w:ilvl="6">
      <w:start w:val="0"/>
      <w:numFmt w:val="bullet"/>
      <w:lvlText w:val="•"/>
      <w:lvlJc w:val="left"/>
      <w:pPr>
        <w:ind w:left="4576" w:hanging="341"/>
      </w:pPr>
      <w:rPr>
        <w:rFonts w:hint="default"/>
      </w:rPr>
    </w:lvl>
    <w:lvl w:ilvl="7">
      <w:start w:val="0"/>
      <w:numFmt w:val="bullet"/>
      <w:lvlText w:val="•"/>
      <w:lvlJc w:val="left"/>
      <w:pPr>
        <w:ind w:left="5282" w:hanging="341"/>
      </w:pPr>
      <w:rPr>
        <w:rFonts w:hint="default"/>
      </w:rPr>
    </w:lvl>
    <w:lvl w:ilvl="8">
      <w:start w:val="0"/>
      <w:numFmt w:val="bullet"/>
      <w:lvlText w:val="•"/>
      <w:lvlJc w:val="left"/>
      <w:pPr>
        <w:ind w:left="5988" w:hanging="341"/>
      </w:pPr>
      <w:rPr>
        <w:rFonts w:hint="default"/>
      </w:rPr>
    </w:lvl>
  </w:abstractNum>
  <w:abstractNum w:abstractNumId="77">
    <w:multiLevelType w:val="hybridMultilevel"/>
    <w:lvl w:ilvl="0">
      <w:start w:val="1"/>
      <w:numFmt w:val="decimal"/>
      <w:lvlText w:val="%1"/>
      <w:lvlJc w:val="left"/>
      <w:pPr>
        <w:ind w:left="2381" w:hanging="794"/>
        <w:jc w:val="left"/>
      </w:pPr>
      <w:rPr>
        <w:rFonts w:hint="default" w:ascii="Calibri" w:hAnsi="Calibri" w:eastAsia="Calibri" w:cs="Calibri"/>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76">
    <w:multiLevelType w:val="hybridMultilevel"/>
    <w:lvl w:ilvl="0">
      <w:start w:val="299"/>
      <w:numFmt w:val="decimal"/>
      <w:lvlText w:val="%1"/>
      <w:lvlJc w:val="left"/>
      <w:pPr>
        <w:ind w:left="2381" w:hanging="794"/>
        <w:jc w:val="left"/>
      </w:pPr>
      <w:rPr>
        <w:rFonts w:hint="default" w:ascii="Calibri" w:hAnsi="Calibri" w:eastAsia="Calibri" w:cs="Calibri"/>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75">
    <w:multiLevelType w:val="hybridMultilevel"/>
    <w:lvl w:ilvl="0">
      <w:start w:val="274"/>
      <w:numFmt w:val="decimal"/>
      <w:lvlText w:val="%1"/>
      <w:lvlJc w:val="left"/>
      <w:pPr>
        <w:ind w:left="2381" w:hanging="794"/>
        <w:jc w:val="left"/>
      </w:pPr>
      <w:rPr>
        <w:rFonts w:hint="default" w:ascii="Calibri" w:hAnsi="Calibri" w:eastAsia="Calibri" w:cs="Calibri"/>
        <w:spacing w:val="-6"/>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74">
    <w:multiLevelType w:val="hybridMultilevel"/>
    <w:lvl w:ilvl="0">
      <w:start w:val="0"/>
      <w:numFmt w:val="bullet"/>
      <w:lvlText w:val="•"/>
      <w:lvlJc w:val="left"/>
      <w:pPr>
        <w:ind w:left="340" w:hanging="341"/>
      </w:pPr>
      <w:rPr>
        <w:rFonts w:hint="default" w:ascii="Calibri" w:hAnsi="Calibri" w:eastAsia="Calibri" w:cs="Calibri"/>
        <w:w w:val="100"/>
        <w:sz w:val="21"/>
        <w:szCs w:val="21"/>
      </w:rPr>
    </w:lvl>
    <w:lvl w:ilvl="1">
      <w:start w:val="0"/>
      <w:numFmt w:val="bullet"/>
      <w:lvlText w:val="•"/>
      <w:lvlJc w:val="left"/>
      <w:pPr>
        <w:ind w:left="1074" w:hanging="341"/>
      </w:pPr>
      <w:rPr>
        <w:rFonts w:hint="default"/>
      </w:rPr>
    </w:lvl>
    <w:lvl w:ilvl="2">
      <w:start w:val="0"/>
      <w:numFmt w:val="bullet"/>
      <w:lvlText w:val="•"/>
      <w:lvlJc w:val="left"/>
      <w:pPr>
        <w:ind w:left="1808" w:hanging="341"/>
      </w:pPr>
      <w:rPr>
        <w:rFonts w:hint="default"/>
      </w:rPr>
    </w:lvl>
    <w:lvl w:ilvl="3">
      <w:start w:val="0"/>
      <w:numFmt w:val="bullet"/>
      <w:lvlText w:val="•"/>
      <w:lvlJc w:val="left"/>
      <w:pPr>
        <w:ind w:left="2542" w:hanging="341"/>
      </w:pPr>
      <w:rPr>
        <w:rFonts w:hint="default"/>
      </w:rPr>
    </w:lvl>
    <w:lvl w:ilvl="4">
      <w:start w:val="0"/>
      <w:numFmt w:val="bullet"/>
      <w:lvlText w:val="•"/>
      <w:lvlJc w:val="left"/>
      <w:pPr>
        <w:ind w:left="3276" w:hanging="341"/>
      </w:pPr>
      <w:rPr>
        <w:rFonts w:hint="default"/>
      </w:rPr>
    </w:lvl>
    <w:lvl w:ilvl="5">
      <w:start w:val="0"/>
      <w:numFmt w:val="bullet"/>
      <w:lvlText w:val="•"/>
      <w:lvlJc w:val="left"/>
      <w:pPr>
        <w:ind w:left="4011" w:hanging="341"/>
      </w:pPr>
      <w:rPr>
        <w:rFonts w:hint="default"/>
      </w:rPr>
    </w:lvl>
    <w:lvl w:ilvl="6">
      <w:start w:val="0"/>
      <w:numFmt w:val="bullet"/>
      <w:lvlText w:val="•"/>
      <w:lvlJc w:val="left"/>
      <w:pPr>
        <w:ind w:left="4745" w:hanging="341"/>
      </w:pPr>
      <w:rPr>
        <w:rFonts w:hint="default"/>
      </w:rPr>
    </w:lvl>
    <w:lvl w:ilvl="7">
      <w:start w:val="0"/>
      <w:numFmt w:val="bullet"/>
      <w:lvlText w:val="•"/>
      <w:lvlJc w:val="left"/>
      <w:pPr>
        <w:ind w:left="5479" w:hanging="341"/>
      </w:pPr>
      <w:rPr>
        <w:rFonts w:hint="default"/>
      </w:rPr>
    </w:lvl>
    <w:lvl w:ilvl="8">
      <w:start w:val="0"/>
      <w:numFmt w:val="bullet"/>
      <w:lvlText w:val="•"/>
      <w:lvlJc w:val="left"/>
      <w:pPr>
        <w:ind w:left="6213" w:hanging="341"/>
      </w:pPr>
      <w:rPr>
        <w:rFonts w:hint="default"/>
      </w:rPr>
    </w:lvl>
  </w:abstractNum>
  <w:abstractNum w:abstractNumId="73">
    <w:multiLevelType w:val="hybridMultilevel"/>
    <w:lvl w:ilvl="0">
      <w:start w:val="262"/>
      <w:numFmt w:val="decimal"/>
      <w:lvlText w:val="%1"/>
      <w:lvlJc w:val="left"/>
      <w:pPr>
        <w:ind w:left="2381" w:hanging="794"/>
        <w:jc w:val="left"/>
      </w:pPr>
      <w:rPr>
        <w:rFonts w:hint="default" w:ascii="Calibri" w:hAnsi="Calibri" w:eastAsia="Calibri" w:cs="Calibri"/>
        <w:spacing w:val="-1"/>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71">
    <w:multiLevelType w:val="hybridMultilevel"/>
    <w:lvl w:ilvl="0">
      <w:start w:val="240"/>
      <w:numFmt w:val="decimal"/>
      <w:lvlText w:val="%1"/>
      <w:lvlJc w:val="left"/>
      <w:pPr>
        <w:ind w:left="2381" w:hanging="794"/>
        <w:jc w:val="left"/>
      </w:pPr>
      <w:rPr>
        <w:rFonts w:hint="default" w:ascii="Calibri" w:hAnsi="Calibri" w:eastAsia="Calibri" w:cs="Calibri"/>
        <w:spacing w:val="-2"/>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70">
    <w:multiLevelType w:val="hybridMultilevel"/>
    <w:lvl w:ilvl="0">
      <w:start w:val="236"/>
      <w:numFmt w:val="decimal"/>
      <w:lvlText w:val="%1"/>
      <w:lvlJc w:val="left"/>
      <w:pPr>
        <w:ind w:left="2381" w:hanging="794"/>
        <w:jc w:val="left"/>
      </w:pPr>
      <w:rPr>
        <w:rFonts w:hint="default" w:ascii="Calibri" w:hAnsi="Calibri" w:eastAsia="Calibri" w:cs="Calibri"/>
        <w:spacing w:val="0"/>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69">
    <w:multiLevelType w:val="hybridMultilevel"/>
    <w:lvl w:ilvl="0">
      <w:start w:val="231"/>
      <w:numFmt w:val="decimal"/>
      <w:lvlText w:val="%1"/>
      <w:lvlJc w:val="left"/>
      <w:pPr>
        <w:ind w:left="2381" w:hanging="794"/>
        <w:jc w:val="left"/>
      </w:pPr>
      <w:rPr>
        <w:rFonts w:hint="default" w:ascii="Calibri" w:hAnsi="Calibri" w:eastAsia="Calibri" w:cs="Calibri"/>
        <w:spacing w:val="-3"/>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68">
    <w:multiLevelType w:val="hybridMultilevel"/>
    <w:lvl w:ilvl="0">
      <w:start w:val="1"/>
      <w:numFmt w:val="lowerLetter"/>
      <w:lvlText w:val="(%1)"/>
      <w:lvlJc w:val="left"/>
      <w:pPr>
        <w:ind w:left="340" w:hanging="341"/>
        <w:jc w:val="left"/>
      </w:pPr>
      <w:rPr>
        <w:rFonts w:hint="default" w:ascii="Calibri" w:hAnsi="Calibri" w:eastAsia="Calibri" w:cs="Calibri"/>
        <w:spacing w:val="0"/>
        <w:w w:val="109"/>
        <w:sz w:val="21"/>
        <w:szCs w:val="21"/>
      </w:rPr>
    </w:lvl>
    <w:lvl w:ilvl="1">
      <w:start w:val="0"/>
      <w:numFmt w:val="bullet"/>
      <w:lvlText w:val="•"/>
      <w:lvlJc w:val="left"/>
      <w:pPr>
        <w:ind w:left="1062" w:hanging="341"/>
      </w:pPr>
      <w:rPr>
        <w:rFonts w:hint="default"/>
      </w:rPr>
    </w:lvl>
    <w:lvl w:ilvl="2">
      <w:start w:val="0"/>
      <w:numFmt w:val="bullet"/>
      <w:lvlText w:val="•"/>
      <w:lvlJc w:val="left"/>
      <w:pPr>
        <w:ind w:left="1785" w:hanging="341"/>
      </w:pPr>
      <w:rPr>
        <w:rFonts w:hint="default"/>
      </w:rPr>
    </w:lvl>
    <w:lvl w:ilvl="3">
      <w:start w:val="0"/>
      <w:numFmt w:val="bullet"/>
      <w:lvlText w:val="•"/>
      <w:lvlJc w:val="left"/>
      <w:pPr>
        <w:ind w:left="2508" w:hanging="341"/>
      </w:pPr>
      <w:rPr>
        <w:rFonts w:hint="default"/>
      </w:rPr>
    </w:lvl>
    <w:lvl w:ilvl="4">
      <w:start w:val="0"/>
      <w:numFmt w:val="bullet"/>
      <w:lvlText w:val="•"/>
      <w:lvlJc w:val="left"/>
      <w:pPr>
        <w:ind w:left="3230" w:hanging="341"/>
      </w:pPr>
      <w:rPr>
        <w:rFonts w:hint="default"/>
      </w:rPr>
    </w:lvl>
    <w:lvl w:ilvl="5">
      <w:start w:val="0"/>
      <w:numFmt w:val="bullet"/>
      <w:lvlText w:val="•"/>
      <w:lvlJc w:val="left"/>
      <w:pPr>
        <w:ind w:left="3953" w:hanging="341"/>
      </w:pPr>
      <w:rPr>
        <w:rFonts w:hint="default"/>
      </w:rPr>
    </w:lvl>
    <w:lvl w:ilvl="6">
      <w:start w:val="0"/>
      <w:numFmt w:val="bullet"/>
      <w:lvlText w:val="•"/>
      <w:lvlJc w:val="left"/>
      <w:pPr>
        <w:ind w:left="4676" w:hanging="341"/>
      </w:pPr>
      <w:rPr>
        <w:rFonts w:hint="default"/>
      </w:rPr>
    </w:lvl>
    <w:lvl w:ilvl="7">
      <w:start w:val="0"/>
      <w:numFmt w:val="bullet"/>
      <w:lvlText w:val="•"/>
      <w:lvlJc w:val="left"/>
      <w:pPr>
        <w:ind w:left="5398" w:hanging="341"/>
      </w:pPr>
      <w:rPr>
        <w:rFonts w:hint="default"/>
      </w:rPr>
    </w:lvl>
    <w:lvl w:ilvl="8">
      <w:start w:val="0"/>
      <w:numFmt w:val="bullet"/>
      <w:lvlText w:val="•"/>
      <w:lvlJc w:val="left"/>
      <w:pPr>
        <w:ind w:left="6121" w:hanging="341"/>
      </w:pPr>
      <w:rPr>
        <w:rFonts w:hint="default"/>
      </w:rPr>
    </w:lvl>
  </w:abstractNum>
  <w:abstractNum w:abstractNumId="67">
    <w:multiLevelType w:val="hybridMultilevel"/>
    <w:lvl w:ilvl="0">
      <w:start w:val="210"/>
      <w:numFmt w:val="decimal"/>
      <w:lvlText w:val="%1"/>
      <w:lvlJc w:val="left"/>
      <w:pPr>
        <w:ind w:left="2381" w:hanging="794"/>
        <w:jc w:val="left"/>
      </w:pPr>
      <w:rPr>
        <w:rFonts w:hint="default" w:ascii="Calibri" w:hAnsi="Calibri" w:eastAsia="Calibri" w:cs="Calibri"/>
        <w:spacing w:val="-5"/>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66">
    <w:multiLevelType w:val="hybridMultilevel"/>
    <w:lvl w:ilvl="0">
      <w:start w:val="1"/>
      <w:numFmt w:val="lowerLetter"/>
      <w:lvlText w:val="(%1)"/>
      <w:lvlJc w:val="left"/>
      <w:pPr>
        <w:ind w:left="340" w:hanging="341"/>
        <w:jc w:val="left"/>
      </w:pPr>
      <w:rPr>
        <w:rFonts w:hint="default" w:ascii="Calibri" w:hAnsi="Calibri" w:eastAsia="Calibri" w:cs="Calibri"/>
        <w:spacing w:val="0"/>
        <w:w w:val="109"/>
        <w:sz w:val="21"/>
        <w:szCs w:val="21"/>
      </w:rPr>
    </w:lvl>
    <w:lvl w:ilvl="1">
      <w:start w:val="0"/>
      <w:numFmt w:val="bullet"/>
      <w:lvlText w:val="•"/>
      <w:lvlJc w:val="left"/>
      <w:pPr>
        <w:ind w:left="1070" w:hanging="341"/>
      </w:pPr>
      <w:rPr>
        <w:rFonts w:hint="default"/>
      </w:rPr>
    </w:lvl>
    <w:lvl w:ilvl="2">
      <w:start w:val="0"/>
      <w:numFmt w:val="bullet"/>
      <w:lvlText w:val="•"/>
      <w:lvlJc w:val="left"/>
      <w:pPr>
        <w:ind w:left="1800" w:hanging="341"/>
      </w:pPr>
      <w:rPr>
        <w:rFonts w:hint="default"/>
      </w:rPr>
    </w:lvl>
    <w:lvl w:ilvl="3">
      <w:start w:val="0"/>
      <w:numFmt w:val="bullet"/>
      <w:lvlText w:val="•"/>
      <w:lvlJc w:val="left"/>
      <w:pPr>
        <w:ind w:left="2530" w:hanging="341"/>
      </w:pPr>
      <w:rPr>
        <w:rFonts w:hint="default"/>
      </w:rPr>
    </w:lvl>
    <w:lvl w:ilvl="4">
      <w:start w:val="0"/>
      <w:numFmt w:val="bullet"/>
      <w:lvlText w:val="•"/>
      <w:lvlJc w:val="left"/>
      <w:pPr>
        <w:ind w:left="3260" w:hanging="341"/>
      </w:pPr>
      <w:rPr>
        <w:rFonts w:hint="default"/>
      </w:rPr>
    </w:lvl>
    <w:lvl w:ilvl="5">
      <w:start w:val="0"/>
      <w:numFmt w:val="bullet"/>
      <w:lvlText w:val="•"/>
      <w:lvlJc w:val="left"/>
      <w:pPr>
        <w:ind w:left="3990" w:hanging="341"/>
      </w:pPr>
      <w:rPr>
        <w:rFonts w:hint="default"/>
      </w:rPr>
    </w:lvl>
    <w:lvl w:ilvl="6">
      <w:start w:val="0"/>
      <w:numFmt w:val="bullet"/>
      <w:lvlText w:val="•"/>
      <w:lvlJc w:val="left"/>
      <w:pPr>
        <w:ind w:left="4720" w:hanging="341"/>
      </w:pPr>
      <w:rPr>
        <w:rFonts w:hint="default"/>
      </w:rPr>
    </w:lvl>
    <w:lvl w:ilvl="7">
      <w:start w:val="0"/>
      <w:numFmt w:val="bullet"/>
      <w:lvlText w:val="•"/>
      <w:lvlJc w:val="left"/>
      <w:pPr>
        <w:ind w:left="5450" w:hanging="341"/>
      </w:pPr>
      <w:rPr>
        <w:rFonts w:hint="default"/>
      </w:rPr>
    </w:lvl>
    <w:lvl w:ilvl="8">
      <w:start w:val="0"/>
      <w:numFmt w:val="bullet"/>
      <w:lvlText w:val="•"/>
      <w:lvlJc w:val="left"/>
      <w:pPr>
        <w:ind w:left="6180" w:hanging="341"/>
      </w:pPr>
      <w:rPr>
        <w:rFonts w:hint="default"/>
      </w:rPr>
    </w:lvl>
  </w:abstractNum>
  <w:abstractNum w:abstractNumId="65">
    <w:multiLevelType w:val="hybridMultilevel"/>
    <w:lvl w:ilvl="0">
      <w:start w:val="1"/>
      <w:numFmt w:val="lowerLetter"/>
      <w:lvlText w:val="(%1)"/>
      <w:lvlJc w:val="left"/>
      <w:pPr>
        <w:ind w:left="340" w:hanging="341"/>
        <w:jc w:val="left"/>
      </w:pPr>
      <w:rPr>
        <w:rFonts w:hint="default" w:ascii="Calibri" w:hAnsi="Calibri" w:eastAsia="Calibri" w:cs="Calibri"/>
        <w:spacing w:val="0"/>
        <w:w w:val="109"/>
        <w:sz w:val="21"/>
        <w:szCs w:val="21"/>
      </w:rPr>
    </w:lvl>
    <w:lvl w:ilvl="1">
      <w:start w:val="0"/>
      <w:numFmt w:val="bullet"/>
      <w:lvlText w:val="•"/>
      <w:lvlJc w:val="left"/>
      <w:pPr>
        <w:ind w:left="1078" w:hanging="341"/>
      </w:pPr>
      <w:rPr>
        <w:rFonts w:hint="default"/>
      </w:rPr>
    </w:lvl>
    <w:lvl w:ilvl="2">
      <w:start w:val="0"/>
      <w:numFmt w:val="bullet"/>
      <w:lvlText w:val="•"/>
      <w:lvlJc w:val="left"/>
      <w:pPr>
        <w:ind w:left="1817" w:hanging="341"/>
      </w:pPr>
      <w:rPr>
        <w:rFonts w:hint="default"/>
      </w:rPr>
    </w:lvl>
    <w:lvl w:ilvl="3">
      <w:start w:val="0"/>
      <w:numFmt w:val="bullet"/>
      <w:lvlText w:val="•"/>
      <w:lvlJc w:val="left"/>
      <w:pPr>
        <w:ind w:left="2556" w:hanging="341"/>
      </w:pPr>
      <w:rPr>
        <w:rFonts w:hint="default"/>
      </w:rPr>
    </w:lvl>
    <w:lvl w:ilvl="4">
      <w:start w:val="0"/>
      <w:numFmt w:val="bullet"/>
      <w:lvlText w:val="•"/>
      <w:lvlJc w:val="left"/>
      <w:pPr>
        <w:ind w:left="3295" w:hanging="341"/>
      </w:pPr>
      <w:rPr>
        <w:rFonts w:hint="default"/>
      </w:rPr>
    </w:lvl>
    <w:lvl w:ilvl="5">
      <w:start w:val="0"/>
      <w:numFmt w:val="bullet"/>
      <w:lvlText w:val="•"/>
      <w:lvlJc w:val="left"/>
      <w:pPr>
        <w:ind w:left="4034" w:hanging="341"/>
      </w:pPr>
      <w:rPr>
        <w:rFonts w:hint="default"/>
      </w:rPr>
    </w:lvl>
    <w:lvl w:ilvl="6">
      <w:start w:val="0"/>
      <w:numFmt w:val="bullet"/>
      <w:lvlText w:val="•"/>
      <w:lvlJc w:val="left"/>
      <w:pPr>
        <w:ind w:left="4773" w:hanging="341"/>
      </w:pPr>
      <w:rPr>
        <w:rFonts w:hint="default"/>
      </w:rPr>
    </w:lvl>
    <w:lvl w:ilvl="7">
      <w:start w:val="0"/>
      <w:numFmt w:val="bullet"/>
      <w:lvlText w:val="•"/>
      <w:lvlJc w:val="left"/>
      <w:pPr>
        <w:ind w:left="5511" w:hanging="341"/>
      </w:pPr>
      <w:rPr>
        <w:rFonts w:hint="default"/>
      </w:rPr>
    </w:lvl>
    <w:lvl w:ilvl="8">
      <w:start w:val="0"/>
      <w:numFmt w:val="bullet"/>
      <w:lvlText w:val="•"/>
      <w:lvlJc w:val="left"/>
      <w:pPr>
        <w:ind w:left="6250" w:hanging="341"/>
      </w:pPr>
      <w:rPr>
        <w:rFonts w:hint="default"/>
      </w:rPr>
    </w:lvl>
  </w:abstractNum>
  <w:abstractNum w:abstractNumId="64">
    <w:multiLevelType w:val="hybridMultilevel"/>
    <w:lvl w:ilvl="0">
      <w:start w:val="185"/>
      <w:numFmt w:val="decimal"/>
      <w:lvlText w:val="%1"/>
      <w:lvlJc w:val="left"/>
      <w:pPr>
        <w:ind w:left="2381" w:hanging="794"/>
        <w:jc w:val="left"/>
      </w:pPr>
      <w:rPr>
        <w:rFonts w:hint="default" w:ascii="Calibri" w:hAnsi="Calibri" w:eastAsia="Calibri" w:cs="Calibri"/>
        <w:spacing w:val="-4"/>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63">
    <w:multiLevelType w:val="hybridMultilevel"/>
    <w:lvl w:ilvl="0">
      <w:start w:val="177"/>
      <w:numFmt w:val="decimal"/>
      <w:lvlText w:val="%1"/>
      <w:lvlJc w:val="left"/>
      <w:pPr>
        <w:ind w:left="2381" w:hanging="794"/>
        <w:jc w:val="left"/>
      </w:pPr>
      <w:rPr>
        <w:rFonts w:hint="default" w:ascii="Calibri" w:hAnsi="Calibri" w:eastAsia="Calibri" w:cs="Calibri"/>
        <w:spacing w:val="-7"/>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61">
    <w:multiLevelType w:val="hybridMultilevel"/>
    <w:lvl w:ilvl="0">
      <w:start w:val="147"/>
      <w:numFmt w:val="decimal"/>
      <w:lvlText w:val="%1"/>
      <w:lvlJc w:val="left"/>
      <w:pPr>
        <w:ind w:left="2381" w:hanging="794"/>
        <w:jc w:val="left"/>
      </w:pPr>
      <w:rPr>
        <w:rFonts w:hint="default" w:ascii="Calibri" w:hAnsi="Calibri" w:eastAsia="Calibri" w:cs="Calibri"/>
        <w:spacing w:val="-5"/>
        <w:w w:val="109"/>
        <w:sz w:val="13"/>
        <w:szCs w:val="13"/>
      </w:rPr>
    </w:lvl>
    <w:lvl w:ilvl="1">
      <w:start w:val="23"/>
      <w:numFmt w:val="decimal"/>
      <w:lvlText w:val="%2"/>
      <w:lvlJc w:val="left"/>
      <w:pPr>
        <w:ind w:left="2381" w:hanging="567"/>
        <w:jc w:val="left"/>
      </w:pPr>
      <w:rPr>
        <w:rFonts w:hint="default" w:ascii="Calibri" w:hAnsi="Calibri" w:eastAsia="Calibri" w:cs="Calibri"/>
        <w:spacing w:val="-1"/>
        <w:w w:val="109"/>
        <w:sz w:val="21"/>
        <w:szCs w:val="21"/>
      </w:rPr>
    </w:lvl>
    <w:lvl w:ilvl="2">
      <w:start w:val="1"/>
      <w:numFmt w:val="lowerLetter"/>
      <w:lvlText w:val="(%3)"/>
      <w:lvlJc w:val="left"/>
      <w:pPr>
        <w:ind w:left="2721" w:hanging="341"/>
        <w:jc w:val="left"/>
      </w:pPr>
      <w:rPr>
        <w:rFonts w:hint="default" w:ascii="Calibri" w:hAnsi="Calibri" w:eastAsia="Calibri" w:cs="Calibri"/>
        <w:spacing w:val="0"/>
        <w:w w:val="109"/>
        <w:sz w:val="21"/>
        <w:szCs w:val="21"/>
      </w:rPr>
    </w:lvl>
    <w:lvl w:ilvl="3">
      <w:start w:val="0"/>
      <w:numFmt w:val="bullet"/>
      <w:lvlText w:val="•"/>
      <w:lvlJc w:val="left"/>
      <w:pPr>
        <w:ind w:left="4761" w:hanging="341"/>
      </w:pPr>
      <w:rPr>
        <w:rFonts w:hint="default"/>
      </w:rPr>
    </w:lvl>
    <w:lvl w:ilvl="4">
      <w:start w:val="0"/>
      <w:numFmt w:val="bullet"/>
      <w:lvlText w:val="•"/>
      <w:lvlJc w:val="left"/>
      <w:pPr>
        <w:ind w:left="5781" w:hanging="341"/>
      </w:pPr>
      <w:rPr>
        <w:rFonts w:hint="default"/>
      </w:rPr>
    </w:lvl>
    <w:lvl w:ilvl="5">
      <w:start w:val="0"/>
      <w:numFmt w:val="bullet"/>
      <w:lvlText w:val="•"/>
      <w:lvlJc w:val="left"/>
      <w:pPr>
        <w:ind w:left="6802" w:hanging="341"/>
      </w:pPr>
      <w:rPr>
        <w:rFonts w:hint="default"/>
      </w:rPr>
    </w:lvl>
    <w:lvl w:ilvl="6">
      <w:start w:val="0"/>
      <w:numFmt w:val="bullet"/>
      <w:lvlText w:val="•"/>
      <w:lvlJc w:val="left"/>
      <w:pPr>
        <w:ind w:left="7823" w:hanging="341"/>
      </w:pPr>
      <w:rPr>
        <w:rFonts w:hint="default"/>
      </w:rPr>
    </w:lvl>
    <w:lvl w:ilvl="7">
      <w:start w:val="0"/>
      <w:numFmt w:val="bullet"/>
      <w:lvlText w:val="•"/>
      <w:lvlJc w:val="left"/>
      <w:pPr>
        <w:ind w:left="8843" w:hanging="341"/>
      </w:pPr>
      <w:rPr>
        <w:rFonts w:hint="default"/>
      </w:rPr>
    </w:lvl>
    <w:lvl w:ilvl="8">
      <w:start w:val="0"/>
      <w:numFmt w:val="bullet"/>
      <w:lvlText w:val="•"/>
      <w:lvlJc w:val="left"/>
      <w:pPr>
        <w:ind w:left="9864" w:hanging="341"/>
      </w:pPr>
      <w:rPr>
        <w:rFonts w:hint="default"/>
      </w:rPr>
    </w:lvl>
  </w:abstractNum>
  <w:abstractNum w:abstractNumId="60">
    <w:multiLevelType w:val="hybridMultilevel"/>
    <w:lvl w:ilvl="0">
      <w:start w:val="139"/>
      <w:numFmt w:val="decimal"/>
      <w:lvlText w:val="%1"/>
      <w:lvlJc w:val="left"/>
      <w:pPr>
        <w:ind w:left="2381" w:hanging="794"/>
        <w:jc w:val="left"/>
      </w:pPr>
      <w:rPr>
        <w:rFonts w:hint="default" w:ascii="Calibri" w:hAnsi="Calibri" w:eastAsia="Calibri" w:cs="Calibri"/>
        <w:spacing w:val="-7"/>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59">
    <w:multiLevelType w:val="hybridMultilevel"/>
    <w:lvl w:ilvl="0">
      <w:start w:val="131"/>
      <w:numFmt w:val="decimal"/>
      <w:lvlText w:val="%1"/>
      <w:lvlJc w:val="left"/>
      <w:pPr>
        <w:ind w:left="2381" w:hanging="794"/>
        <w:jc w:val="left"/>
      </w:pPr>
      <w:rPr>
        <w:rFonts w:hint="default" w:ascii="Calibri" w:hAnsi="Calibri" w:eastAsia="Calibri" w:cs="Calibri"/>
        <w:spacing w:val="-7"/>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58">
    <w:multiLevelType w:val="hybridMultilevel"/>
    <w:lvl w:ilvl="0">
      <w:start w:val="0"/>
      <w:numFmt w:val="bullet"/>
      <w:lvlText w:val="•"/>
      <w:lvlJc w:val="left"/>
      <w:pPr>
        <w:ind w:left="340" w:hanging="341"/>
      </w:pPr>
      <w:rPr>
        <w:rFonts w:hint="default" w:ascii="Calibri" w:hAnsi="Calibri" w:eastAsia="Calibri" w:cs="Calibri"/>
        <w:w w:val="100"/>
        <w:sz w:val="21"/>
        <w:szCs w:val="21"/>
      </w:rPr>
    </w:lvl>
    <w:lvl w:ilvl="1">
      <w:start w:val="0"/>
      <w:numFmt w:val="bullet"/>
      <w:lvlText w:val="•"/>
      <w:lvlJc w:val="left"/>
      <w:pPr>
        <w:ind w:left="1064" w:hanging="341"/>
      </w:pPr>
      <w:rPr>
        <w:rFonts w:hint="default"/>
      </w:rPr>
    </w:lvl>
    <w:lvl w:ilvl="2">
      <w:start w:val="0"/>
      <w:numFmt w:val="bullet"/>
      <w:lvlText w:val="•"/>
      <w:lvlJc w:val="left"/>
      <w:pPr>
        <w:ind w:left="1789" w:hanging="341"/>
      </w:pPr>
      <w:rPr>
        <w:rFonts w:hint="default"/>
      </w:rPr>
    </w:lvl>
    <w:lvl w:ilvl="3">
      <w:start w:val="0"/>
      <w:numFmt w:val="bullet"/>
      <w:lvlText w:val="•"/>
      <w:lvlJc w:val="left"/>
      <w:pPr>
        <w:ind w:left="2514" w:hanging="341"/>
      </w:pPr>
      <w:rPr>
        <w:rFonts w:hint="default"/>
      </w:rPr>
    </w:lvl>
    <w:lvl w:ilvl="4">
      <w:start w:val="0"/>
      <w:numFmt w:val="bullet"/>
      <w:lvlText w:val="•"/>
      <w:lvlJc w:val="left"/>
      <w:pPr>
        <w:ind w:left="3238" w:hanging="341"/>
      </w:pPr>
      <w:rPr>
        <w:rFonts w:hint="default"/>
      </w:rPr>
    </w:lvl>
    <w:lvl w:ilvl="5">
      <w:start w:val="0"/>
      <w:numFmt w:val="bullet"/>
      <w:lvlText w:val="•"/>
      <w:lvlJc w:val="left"/>
      <w:pPr>
        <w:ind w:left="3963" w:hanging="341"/>
      </w:pPr>
      <w:rPr>
        <w:rFonts w:hint="default"/>
      </w:rPr>
    </w:lvl>
    <w:lvl w:ilvl="6">
      <w:start w:val="0"/>
      <w:numFmt w:val="bullet"/>
      <w:lvlText w:val="•"/>
      <w:lvlJc w:val="left"/>
      <w:pPr>
        <w:ind w:left="4688" w:hanging="341"/>
      </w:pPr>
      <w:rPr>
        <w:rFonts w:hint="default"/>
      </w:rPr>
    </w:lvl>
    <w:lvl w:ilvl="7">
      <w:start w:val="0"/>
      <w:numFmt w:val="bullet"/>
      <w:lvlText w:val="•"/>
      <w:lvlJc w:val="left"/>
      <w:pPr>
        <w:ind w:left="5412" w:hanging="341"/>
      </w:pPr>
      <w:rPr>
        <w:rFonts w:hint="default"/>
      </w:rPr>
    </w:lvl>
    <w:lvl w:ilvl="8">
      <w:start w:val="0"/>
      <w:numFmt w:val="bullet"/>
      <w:lvlText w:val="•"/>
      <w:lvlJc w:val="left"/>
      <w:pPr>
        <w:ind w:left="6137" w:hanging="341"/>
      </w:pPr>
      <w:rPr>
        <w:rFonts w:hint="default"/>
      </w:rPr>
    </w:lvl>
  </w:abstractNum>
  <w:abstractNum w:abstractNumId="56">
    <w:multiLevelType w:val="hybridMultilevel"/>
    <w:lvl w:ilvl="0">
      <w:start w:val="85"/>
      <w:numFmt w:val="decimal"/>
      <w:lvlText w:val="%1"/>
      <w:lvlJc w:val="left"/>
      <w:pPr>
        <w:ind w:left="2381" w:hanging="794"/>
        <w:jc w:val="left"/>
      </w:pPr>
      <w:rPr>
        <w:rFonts w:hint="default" w:ascii="Calibri" w:hAnsi="Calibri" w:eastAsia="Calibri" w:cs="Calibri"/>
        <w:spacing w:val="0"/>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55">
    <w:multiLevelType w:val="hybridMultilevel"/>
    <w:lvl w:ilvl="0">
      <w:start w:val="79"/>
      <w:numFmt w:val="decimal"/>
      <w:lvlText w:val="%1"/>
      <w:lvlJc w:val="left"/>
      <w:pPr>
        <w:ind w:left="2381" w:hanging="794"/>
        <w:jc w:val="left"/>
      </w:pPr>
      <w:rPr>
        <w:rFonts w:hint="default" w:ascii="Calibri" w:hAnsi="Calibri" w:eastAsia="Calibri" w:cs="Calibri"/>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54">
    <w:multiLevelType w:val="hybridMultilevel"/>
    <w:lvl w:ilvl="0">
      <w:start w:val="67"/>
      <w:numFmt w:val="decimal"/>
      <w:lvlText w:val="%1"/>
      <w:lvlJc w:val="left"/>
      <w:pPr>
        <w:ind w:left="2381" w:hanging="794"/>
        <w:jc w:val="left"/>
      </w:pPr>
      <w:rPr>
        <w:rFonts w:hint="default" w:ascii="Calibri" w:hAnsi="Calibri" w:eastAsia="Calibri" w:cs="Calibri"/>
        <w:spacing w:val="0"/>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53">
    <w:multiLevelType w:val="hybridMultilevel"/>
    <w:lvl w:ilvl="0">
      <w:start w:val="46"/>
      <w:numFmt w:val="decimal"/>
      <w:lvlText w:val="%1"/>
      <w:lvlJc w:val="left"/>
      <w:pPr>
        <w:ind w:left="2381" w:hanging="794"/>
        <w:jc w:val="left"/>
      </w:pPr>
      <w:rPr>
        <w:rFonts w:hint="default" w:ascii="Calibri" w:hAnsi="Calibri" w:eastAsia="Calibri" w:cs="Calibri"/>
        <w:spacing w:val="0"/>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49">
    <w:multiLevelType w:val="hybridMultilevel"/>
    <w:lvl w:ilvl="0">
      <w:start w:val="5"/>
      <w:numFmt w:val="decimal"/>
      <w:lvlText w:val="%1"/>
      <w:lvlJc w:val="left"/>
      <w:pPr>
        <w:ind w:left="2381" w:hanging="794"/>
        <w:jc w:val="left"/>
      </w:pPr>
      <w:rPr>
        <w:rFonts w:hint="default" w:ascii="Calibri" w:hAnsi="Calibri" w:eastAsia="Calibri" w:cs="Calibri"/>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48">
    <w:multiLevelType w:val="hybridMultilevel"/>
    <w:lvl w:ilvl="0">
      <w:start w:val="1"/>
      <w:numFmt w:val="decimal"/>
      <w:lvlText w:val="%1"/>
      <w:lvlJc w:val="left"/>
      <w:pPr>
        <w:ind w:left="2381" w:hanging="794"/>
        <w:jc w:val="left"/>
      </w:pPr>
      <w:rPr>
        <w:rFonts w:hint="default" w:ascii="Calibri" w:hAnsi="Calibri" w:eastAsia="Calibri" w:cs="Calibri"/>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47">
    <w:multiLevelType w:val="hybridMultilevel"/>
    <w:lvl w:ilvl="0">
      <w:start w:val="1"/>
      <w:numFmt w:val="lowerLetter"/>
      <w:lvlText w:val="(%1)"/>
      <w:lvlJc w:val="left"/>
      <w:pPr>
        <w:ind w:left="340" w:hanging="341"/>
        <w:jc w:val="left"/>
      </w:pPr>
      <w:rPr>
        <w:rFonts w:hint="default" w:ascii="Calibri" w:hAnsi="Calibri" w:eastAsia="Calibri" w:cs="Calibri"/>
        <w:spacing w:val="0"/>
        <w:w w:val="109"/>
        <w:sz w:val="21"/>
        <w:szCs w:val="21"/>
      </w:rPr>
    </w:lvl>
    <w:lvl w:ilvl="1">
      <w:start w:val="0"/>
      <w:numFmt w:val="bullet"/>
      <w:lvlText w:val="•"/>
      <w:lvlJc w:val="left"/>
      <w:pPr>
        <w:ind w:left="1069" w:hanging="341"/>
      </w:pPr>
      <w:rPr>
        <w:rFonts w:hint="default"/>
      </w:rPr>
    </w:lvl>
    <w:lvl w:ilvl="2">
      <w:start w:val="0"/>
      <w:numFmt w:val="bullet"/>
      <w:lvlText w:val="•"/>
      <w:lvlJc w:val="left"/>
      <w:pPr>
        <w:ind w:left="1799" w:hanging="341"/>
      </w:pPr>
      <w:rPr>
        <w:rFonts w:hint="default"/>
      </w:rPr>
    </w:lvl>
    <w:lvl w:ilvl="3">
      <w:start w:val="0"/>
      <w:numFmt w:val="bullet"/>
      <w:lvlText w:val="•"/>
      <w:lvlJc w:val="left"/>
      <w:pPr>
        <w:ind w:left="2529" w:hanging="341"/>
      </w:pPr>
      <w:rPr>
        <w:rFonts w:hint="default"/>
      </w:rPr>
    </w:lvl>
    <w:lvl w:ilvl="4">
      <w:start w:val="0"/>
      <w:numFmt w:val="bullet"/>
      <w:lvlText w:val="•"/>
      <w:lvlJc w:val="left"/>
      <w:pPr>
        <w:ind w:left="3259" w:hanging="341"/>
      </w:pPr>
      <w:rPr>
        <w:rFonts w:hint="default"/>
      </w:rPr>
    </w:lvl>
    <w:lvl w:ilvl="5">
      <w:start w:val="0"/>
      <w:numFmt w:val="bullet"/>
      <w:lvlText w:val="•"/>
      <w:lvlJc w:val="left"/>
      <w:pPr>
        <w:ind w:left="3989" w:hanging="341"/>
      </w:pPr>
      <w:rPr>
        <w:rFonts w:hint="default"/>
      </w:rPr>
    </w:lvl>
    <w:lvl w:ilvl="6">
      <w:start w:val="0"/>
      <w:numFmt w:val="bullet"/>
      <w:lvlText w:val="•"/>
      <w:lvlJc w:val="left"/>
      <w:pPr>
        <w:ind w:left="4719" w:hanging="341"/>
      </w:pPr>
      <w:rPr>
        <w:rFonts w:hint="default"/>
      </w:rPr>
    </w:lvl>
    <w:lvl w:ilvl="7">
      <w:start w:val="0"/>
      <w:numFmt w:val="bullet"/>
      <w:lvlText w:val="•"/>
      <w:lvlJc w:val="left"/>
      <w:pPr>
        <w:ind w:left="5449" w:hanging="341"/>
      </w:pPr>
      <w:rPr>
        <w:rFonts w:hint="default"/>
      </w:rPr>
    </w:lvl>
    <w:lvl w:ilvl="8">
      <w:start w:val="0"/>
      <w:numFmt w:val="bullet"/>
      <w:lvlText w:val="•"/>
      <w:lvlJc w:val="left"/>
      <w:pPr>
        <w:ind w:left="6179" w:hanging="341"/>
      </w:pPr>
      <w:rPr>
        <w:rFonts w:hint="default"/>
      </w:rPr>
    </w:lvl>
  </w:abstractNum>
  <w:abstractNum w:abstractNumId="46">
    <w:multiLevelType w:val="hybridMultilevel"/>
    <w:lvl w:ilvl="0">
      <w:start w:val="67"/>
      <w:numFmt w:val="decimal"/>
      <w:lvlText w:val="%1"/>
      <w:lvlJc w:val="left"/>
      <w:pPr>
        <w:ind w:left="2381" w:hanging="794"/>
        <w:jc w:val="left"/>
      </w:pPr>
      <w:rPr>
        <w:rFonts w:hint="default" w:ascii="Calibri" w:hAnsi="Calibri" w:eastAsia="Calibri" w:cs="Calibri"/>
        <w:spacing w:val="0"/>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45">
    <w:multiLevelType w:val="hybridMultilevel"/>
    <w:lvl w:ilvl="0">
      <w:start w:val="0"/>
      <w:numFmt w:val="bullet"/>
      <w:lvlText w:val="–"/>
      <w:lvlJc w:val="left"/>
      <w:pPr>
        <w:ind w:left="2874" w:hanging="154"/>
      </w:pPr>
      <w:rPr>
        <w:rFonts w:hint="default" w:ascii="Calibri" w:hAnsi="Calibri" w:eastAsia="Calibri" w:cs="Calibri"/>
        <w:w w:val="100"/>
        <w:sz w:val="20"/>
        <w:szCs w:val="20"/>
      </w:rPr>
    </w:lvl>
    <w:lvl w:ilvl="1">
      <w:start w:val="0"/>
      <w:numFmt w:val="bullet"/>
      <w:lvlText w:val="•"/>
      <w:lvlJc w:val="left"/>
      <w:pPr>
        <w:ind w:left="3782" w:hanging="154"/>
      </w:pPr>
      <w:rPr>
        <w:rFonts w:hint="default"/>
      </w:rPr>
    </w:lvl>
    <w:lvl w:ilvl="2">
      <w:start w:val="0"/>
      <w:numFmt w:val="bullet"/>
      <w:lvlText w:val="•"/>
      <w:lvlJc w:val="left"/>
      <w:pPr>
        <w:ind w:left="4685" w:hanging="154"/>
      </w:pPr>
      <w:rPr>
        <w:rFonts w:hint="default"/>
      </w:rPr>
    </w:lvl>
    <w:lvl w:ilvl="3">
      <w:start w:val="0"/>
      <w:numFmt w:val="bullet"/>
      <w:lvlText w:val="•"/>
      <w:lvlJc w:val="left"/>
      <w:pPr>
        <w:ind w:left="5587" w:hanging="154"/>
      </w:pPr>
      <w:rPr>
        <w:rFonts w:hint="default"/>
      </w:rPr>
    </w:lvl>
    <w:lvl w:ilvl="4">
      <w:start w:val="0"/>
      <w:numFmt w:val="bullet"/>
      <w:lvlText w:val="•"/>
      <w:lvlJc w:val="left"/>
      <w:pPr>
        <w:ind w:left="6490" w:hanging="154"/>
      </w:pPr>
      <w:rPr>
        <w:rFonts w:hint="default"/>
      </w:rPr>
    </w:lvl>
    <w:lvl w:ilvl="5">
      <w:start w:val="0"/>
      <w:numFmt w:val="bullet"/>
      <w:lvlText w:val="•"/>
      <w:lvlJc w:val="left"/>
      <w:pPr>
        <w:ind w:left="7392" w:hanging="154"/>
      </w:pPr>
      <w:rPr>
        <w:rFonts w:hint="default"/>
      </w:rPr>
    </w:lvl>
    <w:lvl w:ilvl="6">
      <w:start w:val="0"/>
      <w:numFmt w:val="bullet"/>
      <w:lvlText w:val="•"/>
      <w:lvlJc w:val="left"/>
      <w:pPr>
        <w:ind w:left="8295" w:hanging="154"/>
      </w:pPr>
      <w:rPr>
        <w:rFonts w:hint="default"/>
      </w:rPr>
    </w:lvl>
    <w:lvl w:ilvl="7">
      <w:start w:val="0"/>
      <w:numFmt w:val="bullet"/>
      <w:lvlText w:val="•"/>
      <w:lvlJc w:val="left"/>
      <w:pPr>
        <w:ind w:left="9197" w:hanging="154"/>
      </w:pPr>
      <w:rPr>
        <w:rFonts w:hint="default"/>
      </w:rPr>
    </w:lvl>
    <w:lvl w:ilvl="8">
      <w:start w:val="0"/>
      <w:numFmt w:val="bullet"/>
      <w:lvlText w:val="•"/>
      <w:lvlJc w:val="left"/>
      <w:pPr>
        <w:ind w:left="10100" w:hanging="154"/>
      </w:pPr>
      <w:rPr>
        <w:rFonts w:hint="default"/>
      </w:rPr>
    </w:lvl>
  </w:abstractNum>
  <w:abstractNum w:abstractNumId="44">
    <w:multiLevelType w:val="hybridMultilevel"/>
    <w:lvl w:ilvl="0">
      <w:start w:val="1"/>
      <w:numFmt w:val="lowerLetter"/>
      <w:lvlText w:val="(%1)"/>
      <w:lvlJc w:val="left"/>
      <w:pPr>
        <w:ind w:left="340" w:hanging="341"/>
        <w:jc w:val="left"/>
      </w:pPr>
      <w:rPr>
        <w:rFonts w:hint="default" w:ascii="Calibri" w:hAnsi="Calibri" w:eastAsia="Calibri" w:cs="Calibri"/>
        <w:spacing w:val="0"/>
        <w:w w:val="109"/>
        <w:sz w:val="21"/>
        <w:szCs w:val="21"/>
      </w:rPr>
    </w:lvl>
    <w:lvl w:ilvl="1">
      <w:start w:val="0"/>
      <w:numFmt w:val="bullet"/>
      <w:lvlText w:val="•"/>
      <w:lvlJc w:val="left"/>
      <w:pPr>
        <w:ind w:left="1071" w:hanging="341"/>
      </w:pPr>
      <w:rPr>
        <w:rFonts w:hint="default"/>
      </w:rPr>
    </w:lvl>
    <w:lvl w:ilvl="2">
      <w:start w:val="0"/>
      <w:numFmt w:val="bullet"/>
      <w:lvlText w:val="•"/>
      <w:lvlJc w:val="left"/>
      <w:pPr>
        <w:ind w:left="1802" w:hanging="341"/>
      </w:pPr>
      <w:rPr>
        <w:rFonts w:hint="default"/>
      </w:rPr>
    </w:lvl>
    <w:lvl w:ilvl="3">
      <w:start w:val="0"/>
      <w:numFmt w:val="bullet"/>
      <w:lvlText w:val="•"/>
      <w:lvlJc w:val="left"/>
      <w:pPr>
        <w:ind w:left="2533" w:hanging="341"/>
      </w:pPr>
      <w:rPr>
        <w:rFonts w:hint="default"/>
      </w:rPr>
    </w:lvl>
    <w:lvl w:ilvl="4">
      <w:start w:val="0"/>
      <w:numFmt w:val="bullet"/>
      <w:lvlText w:val="•"/>
      <w:lvlJc w:val="left"/>
      <w:pPr>
        <w:ind w:left="3264" w:hanging="341"/>
      </w:pPr>
      <w:rPr>
        <w:rFonts w:hint="default"/>
      </w:rPr>
    </w:lvl>
    <w:lvl w:ilvl="5">
      <w:start w:val="0"/>
      <w:numFmt w:val="bullet"/>
      <w:lvlText w:val="•"/>
      <w:lvlJc w:val="left"/>
      <w:pPr>
        <w:ind w:left="3996" w:hanging="341"/>
      </w:pPr>
      <w:rPr>
        <w:rFonts w:hint="default"/>
      </w:rPr>
    </w:lvl>
    <w:lvl w:ilvl="6">
      <w:start w:val="0"/>
      <w:numFmt w:val="bullet"/>
      <w:lvlText w:val="•"/>
      <w:lvlJc w:val="left"/>
      <w:pPr>
        <w:ind w:left="4727" w:hanging="341"/>
      </w:pPr>
      <w:rPr>
        <w:rFonts w:hint="default"/>
      </w:rPr>
    </w:lvl>
    <w:lvl w:ilvl="7">
      <w:start w:val="0"/>
      <w:numFmt w:val="bullet"/>
      <w:lvlText w:val="•"/>
      <w:lvlJc w:val="left"/>
      <w:pPr>
        <w:ind w:left="5458" w:hanging="341"/>
      </w:pPr>
      <w:rPr>
        <w:rFonts w:hint="default"/>
      </w:rPr>
    </w:lvl>
    <w:lvl w:ilvl="8">
      <w:start w:val="0"/>
      <w:numFmt w:val="bullet"/>
      <w:lvlText w:val="•"/>
      <w:lvlJc w:val="left"/>
      <w:pPr>
        <w:ind w:left="6189" w:hanging="341"/>
      </w:pPr>
      <w:rPr>
        <w:rFonts w:hint="default"/>
      </w:rPr>
    </w:lvl>
  </w:abstractNum>
  <w:abstractNum w:abstractNumId="43">
    <w:multiLevelType w:val="hybridMultilevel"/>
    <w:lvl w:ilvl="0">
      <w:start w:val="50"/>
      <w:numFmt w:val="decimal"/>
      <w:lvlText w:val="%1"/>
      <w:lvlJc w:val="left"/>
      <w:pPr>
        <w:ind w:left="2381" w:hanging="794"/>
        <w:jc w:val="left"/>
      </w:pPr>
      <w:rPr>
        <w:rFonts w:hint="default" w:ascii="Calibri" w:hAnsi="Calibri" w:eastAsia="Calibri" w:cs="Calibri"/>
        <w:spacing w:val="0"/>
        <w:w w:val="109"/>
        <w:sz w:val="13"/>
        <w:szCs w:val="13"/>
      </w:rPr>
    </w:lvl>
    <w:lvl w:ilvl="1">
      <w:start w:val="0"/>
      <w:numFmt w:val="bullet"/>
      <w:lvlText w:val="–"/>
      <w:lvlJc w:val="left"/>
      <w:pPr>
        <w:ind w:left="2874" w:hanging="154"/>
      </w:pPr>
      <w:rPr>
        <w:rFonts w:hint="default" w:ascii="Calibri" w:hAnsi="Calibri" w:eastAsia="Calibri" w:cs="Calibri"/>
        <w:w w:val="100"/>
        <w:sz w:val="20"/>
        <w:szCs w:val="20"/>
      </w:rPr>
    </w:lvl>
    <w:lvl w:ilvl="2">
      <w:start w:val="0"/>
      <w:numFmt w:val="bullet"/>
      <w:lvlText w:val="•"/>
      <w:lvlJc w:val="left"/>
      <w:pPr>
        <w:ind w:left="3882" w:hanging="154"/>
      </w:pPr>
      <w:rPr>
        <w:rFonts w:hint="default"/>
      </w:rPr>
    </w:lvl>
    <w:lvl w:ilvl="3">
      <w:start w:val="0"/>
      <w:numFmt w:val="bullet"/>
      <w:lvlText w:val="•"/>
      <w:lvlJc w:val="left"/>
      <w:pPr>
        <w:ind w:left="4885" w:hanging="154"/>
      </w:pPr>
      <w:rPr>
        <w:rFonts w:hint="default"/>
      </w:rPr>
    </w:lvl>
    <w:lvl w:ilvl="4">
      <w:start w:val="0"/>
      <w:numFmt w:val="bullet"/>
      <w:lvlText w:val="•"/>
      <w:lvlJc w:val="left"/>
      <w:pPr>
        <w:ind w:left="5888" w:hanging="154"/>
      </w:pPr>
      <w:rPr>
        <w:rFonts w:hint="default"/>
      </w:rPr>
    </w:lvl>
    <w:lvl w:ilvl="5">
      <w:start w:val="0"/>
      <w:numFmt w:val="bullet"/>
      <w:lvlText w:val="•"/>
      <w:lvlJc w:val="left"/>
      <w:pPr>
        <w:ind w:left="6891" w:hanging="154"/>
      </w:pPr>
      <w:rPr>
        <w:rFonts w:hint="default"/>
      </w:rPr>
    </w:lvl>
    <w:lvl w:ilvl="6">
      <w:start w:val="0"/>
      <w:numFmt w:val="bullet"/>
      <w:lvlText w:val="•"/>
      <w:lvlJc w:val="left"/>
      <w:pPr>
        <w:ind w:left="7894" w:hanging="154"/>
      </w:pPr>
      <w:rPr>
        <w:rFonts w:hint="default"/>
      </w:rPr>
    </w:lvl>
    <w:lvl w:ilvl="7">
      <w:start w:val="0"/>
      <w:numFmt w:val="bullet"/>
      <w:lvlText w:val="•"/>
      <w:lvlJc w:val="left"/>
      <w:pPr>
        <w:ind w:left="8897" w:hanging="154"/>
      </w:pPr>
      <w:rPr>
        <w:rFonts w:hint="default"/>
      </w:rPr>
    </w:lvl>
    <w:lvl w:ilvl="8">
      <w:start w:val="0"/>
      <w:numFmt w:val="bullet"/>
      <w:lvlText w:val="•"/>
      <w:lvlJc w:val="left"/>
      <w:pPr>
        <w:ind w:left="9899" w:hanging="154"/>
      </w:pPr>
      <w:rPr>
        <w:rFonts w:hint="default"/>
      </w:rPr>
    </w:lvl>
  </w:abstractNum>
  <w:abstractNum w:abstractNumId="42">
    <w:multiLevelType w:val="hybridMultilevel"/>
    <w:lvl w:ilvl="0">
      <w:start w:val="1"/>
      <w:numFmt w:val="lowerLetter"/>
      <w:lvlText w:val="(%1)"/>
      <w:lvlJc w:val="left"/>
      <w:pPr>
        <w:ind w:left="340" w:hanging="341"/>
        <w:jc w:val="left"/>
      </w:pPr>
      <w:rPr>
        <w:rFonts w:hint="default" w:ascii="Calibri" w:hAnsi="Calibri" w:eastAsia="Calibri" w:cs="Calibri"/>
        <w:spacing w:val="0"/>
        <w:w w:val="109"/>
        <w:sz w:val="21"/>
        <w:szCs w:val="21"/>
      </w:rPr>
    </w:lvl>
    <w:lvl w:ilvl="1">
      <w:start w:val="0"/>
      <w:numFmt w:val="bullet"/>
      <w:lvlText w:val="•"/>
      <w:lvlJc w:val="left"/>
      <w:pPr>
        <w:ind w:left="1044" w:hanging="341"/>
      </w:pPr>
      <w:rPr>
        <w:rFonts w:hint="default"/>
      </w:rPr>
    </w:lvl>
    <w:lvl w:ilvl="2">
      <w:start w:val="0"/>
      <w:numFmt w:val="bullet"/>
      <w:lvlText w:val="•"/>
      <w:lvlJc w:val="left"/>
      <w:pPr>
        <w:ind w:left="1749" w:hanging="341"/>
      </w:pPr>
      <w:rPr>
        <w:rFonts w:hint="default"/>
      </w:rPr>
    </w:lvl>
    <w:lvl w:ilvl="3">
      <w:start w:val="0"/>
      <w:numFmt w:val="bullet"/>
      <w:lvlText w:val="•"/>
      <w:lvlJc w:val="left"/>
      <w:pPr>
        <w:ind w:left="2453" w:hanging="341"/>
      </w:pPr>
      <w:rPr>
        <w:rFonts w:hint="default"/>
      </w:rPr>
    </w:lvl>
    <w:lvl w:ilvl="4">
      <w:start w:val="0"/>
      <w:numFmt w:val="bullet"/>
      <w:lvlText w:val="•"/>
      <w:lvlJc w:val="left"/>
      <w:pPr>
        <w:ind w:left="3158" w:hanging="341"/>
      </w:pPr>
      <w:rPr>
        <w:rFonts w:hint="default"/>
      </w:rPr>
    </w:lvl>
    <w:lvl w:ilvl="5">
      <w:start w:val="0"/>
      <w:numFmt w:val="bullet"/>
      <w:lvlText w:val="•"/>
      <w:lvlJc w:val="left"/>
      <w:pPr>
        <w:ind w:left="3863" w:hanging="341"/>
      </w:pPr>
      <w:rPr>
        <w:rFonts w:hint="default"/>
      </w:rPr>
    </w:lvl>
    <w:lvl w:ilvl="6">
      <w:start w:val="0"/>
      <w:numFmt w:val="bullet"/>
      <w:lvlText w:val="•"/>
      <w:lvlJc w:val="left"/>
      <w:pPr>
        <w:ind w:left="4567" w:hanging="341"/>
      </w:pPr>
      <w:rPr>
        <w:rFonts w:hint="default"/>
      </w:rPr>
    </w:lvl>
    <w:lvl w:ilvl="7">
      <w:start w:val="0"/>
      <w:numFmt w:val="bullet"/>
      <w:lvlText w:val="•"/>
      <w:lvlJc w:val="left"/>
      <w:pPr>
        <w:ind w:left="5272" w:hanging="341"/>
      </w:pPr>
      <w:rPr>
        <w:rFonts w:hint="default"/>
      </w:rPr>
    </w:lvl>
    <w:lvl w:ilvl="8">
      <w:start w:val="0"/>
      <w:numFmt w:val="bullet"/>
      <w:lvlText w:val="•"/>
      <w:lvlJc w:val="left"/>
      <w:pPr>
        <w:ind w:left="5977" w:hanging="341"/>
      </w:pPr>
      <w:rPr>
        <w:rFonts w:hint="default"/>
      </w:rPr>
    </w:lvl>
  </w:abstractNum>
  <w:abstractNum w:abstractNumId="40">
    <w:multiLevelType w:val="hybridMultilevel"/>
    <w:lvl w:ilvl="0">
      <w:start w:val="1"/>
      <w:numFmt w:val="decimal"/>
      <w:lvlText w:val="(%1)"/>
      <w:lvlJc w:val="left"/>
      <w:pPr>
        <w:ind w:left="3061" w:hanging="341"/>
        <w:jc w:val="left"/>
      </w:pPr>
      <w:rPr>
        <w:rFonts w:hint="default" w:ascii="Calibri" w:hAnsi="Calibri" w:eastAsia="Calibri" w:cs="Calibri"/>
        <w:spacing w:val="-8"/>
        <w:w w:val="91"/>
        <w:sz w:val="20"/>
        <w:szCs w:val="20"/>
      </w:rPr>
    </w:lvl>
    <w:lvl w:ilvl="1">
      <w:start w:val="0"/>
      <w:numFmt w:val="bullet"/>
      <w:lvlText w:val="•"/>
      <w:lvlJc w:val="left"/>
      <w:pPr>
        <w:ind w:left="3944" w:hanging="341"/>
      </w:pPr>
      <w:rPr>
        <w:rFonts w:hint="default"/>
      </w:rPr>
    </w:lvl>
    <w:lvl w:ilvl="2">
      <w:start w:val="0"/>
      <w:numFmt w:val="bullet"/>
      <w:lvlText w:val="•"/>
      <w:lvlJc w:val="left"/>
      <w:pPr>
        <w:ind w:left="4829" w:hanging="341"/>
      </w:pPr>
      <w:rPr>
        <w:rFonts w:hint="default"/>
      </w:rPr>
    </w:lvl>
    <w:lvl w:ilvl="3">
      <w:start w:val="0"/>
      <w:numFmt w:val="bullet"/>
      <w:lvlText w:val="•"/>
      <w:lvlJc w:val="left"/>
      <w:pPr>
        <w:ind w:left="5713" w:hanging="341"/>
      </w:pPr>
      <w:rPr>
        <w:rFonts w:hint="default"/>
      </w:rPr>
    </w:lvl>
    <w:lvl w:ilvl="4">
      <w:start w:val="0"/>
      <w:numFmt w:val="bullet"/>
      <w:lvlText w:val="•"/>
      <w:lvlJc w:val="left"/>
      <w:pPr>
        <w:ind w:left="6598" w:hanging="341"/>
      </w:pPr>
      <w:rPr>
        <w:rFonts w:hint="default"/>
      </w:rPr>
    </w:lvl>
    <w:lvl w:ilvl="5">
      <w:start w:val="0"/>
      <w:numFmt w:val="bullet"/>
      <w:lvlText w:val="•"/>
      <w:lvlJc w:val="left"/>
      <w:pPr>
        <w:ind w:left="7482" w:hanging="341"/>
      </w:pPr>
      <w:rPr>
        <w:rFonts w:hint="default"/>
      </w:rPr>
    </w:lvl>
    <w:lvl w:ilvl="6">
      <w:start w:val="0"/>
      <w:numFmt w:val="bullet"/>
      <w:lvlText w:val="•"/>
      <w:lvlJc w:val="left"/>
      <w:pPr>
        <w:ind w:left="8367" w:hanging="341"/>
      </w:pPr>
      <w:rPr>
        <w:rFonts w:hint="default"/>
      </w:rPr>
    </w:lvl>
    <w:lvl w:ilvl="7">
      <w:start w:val="0"/>
      <w:numFmt w:val="bullet"/>
      <w:lvlText w:val="•"/>
      <w:lvlJc w:val="left"/>
      <w:pPr>
        <w:ind w:left="9251" w:hanging="341"/>
      </w:pPr>
      <w:rPr>
        <w:rFonts w:hint="default"/>
      </w:rPr>
    </w:lvl>
    <w:lvl w:ilvl="8">
      <w:start w:val="0"/>
      <w:numFmt w:val="bullet"/>
      <w:lvlText w:val="•"/>
      <w:lvlJc w:val="left"/>
      <w:pPr>
        <w:ind w:left="10136" w:hanging="341"/>
      </w:pPr>
      <w:rPr>
        <w:rFonts w:hint="default"/>
      </w:rPr>
    </w:lvl>
  </w:abstractNum>
  <w:abstractNum w:abstractNumId="39">
    <w:multiLevelType w:val="hybridMultilevel"/>
    <w:lvl w:ilvl="0">
      <w:start w:val="1"/>
      <w:numFmt w:val="decimal"/>
      <w:lvlText w:val="%1"/>
      <w:lvlJc w:val="left"/>
      <w:pPr>
        <w:ind w:left="2381" w:hanging="794"/>
        <w:jc w:val="left"/>
      </w:pPr>
      <w:rPr>
        <w:rFonts w:hint="default" w:ascii="Calibri" w:hAnsi="Calibri" w:eastAsia="Calibri" w:cs="Calibri"/>
        <w:w w:val="109"/>
        <w:sz w:val="13"/>
        <w:szCs w:val="13"/>
      </w:rPr>
    </w:lvl>
    <w:lvl w:ilvl="1">
      <w:start w:val="0"/>
      <w:numFmt w:val="bullet"/>
      <w:lvlText w:val="•"/>
      <w:lvlJc w:val="left"/>
      <w:pPr>
        <w:ind w:left="2721" w:hanging="341"/>
      </w:pPr>
      <w:rPr>
        <w:rFonts w:hint="default" w:ascii="Calibri" w:hAnsi="Calibri" w:eastAsia="Calibri" w:cs="Calibri"/>
        <w:w w:val="100"/>
        <w:sz w:val="21"/>
        <w:szCs w:val="21"/>
      </w:rPr>
    </w:lvl>
    <w:lvl w:ilvl="2">
      <w:start w:val="0"/>
      <w:numFmt w:val="bullet"/>
      <w:lvlText w:val="•"/>
      <w:lvlJc w:val="left"/>
      <w:pPr>
        <w:ind w:left="3740" w:hanging="341"/>
      </w:pPr>
      <w:rPr>
        <w:rFonts w:hint="default"/>
      </w:rPr>
    </w:lvl>
    <w:lvl w:ilvl="3">
      <w:start w:val="0"/>
      <w:numFmt w:val="bullet"/>
      <w:lvlText w:val="•"/>
      <w:lvlJc w:val="left"/>
      <w:pPr>
        <w:ind w:left="4761" w:hanging="341"/>
      </w:pPr>
      <w:rPr>
        <w:rFonts w:hint="default"/>
      </w:rPr>
    </w:lvl>
    <w:lvl w:ilvl="4">
      <w:start w:val="0"/>
      <w:numFmt w:val="bullet"/>
      <w:lvlText w:val="•"/>
      <w:lvlJc w:val="left"/>
      <w:pPr>
        <w:ind w:left="5781" w:hanging="341"/>
      </w:pPr>
      <w:rPr>
        <w:rFonts w:hint="default"/>
      </w:rPr>
    </w:lvl>
    <w:lvl w:ilvl="5">
      <w:start w:val="0"/>
      <w:numFmt w:val="bullet"/>
      <w:lvlText w:val="•"/>
      <w:lvlJc w:val="left"/>
      <w:pPr>
        <w:ind w:left="6802" w:hanging="341"/>
      </w:pPr>
      <w:rPr>
        <w:rFonts w:hint="default"/>
      </w:rPr>
    </w:lvl>
    <w:lvl w:ilvl="6">
      <w:start w:val="0"/>
      <w:numFmt w:val="bullet"/>
      <w:lvlText w:val="•"/>
      <w:lvlJc w:val="left"/>
      <w:pPr>
        <w:ind w:left="7823" w:hanging="341"/>
      </w:pPr>
      <w:rPr>
        <w:rFonts w:hint="default"/>
      </w:rPr>
    </w:lvl>
    <w:lvl w:ilvl="7">
      <w:start w:val="0"/>
      <w:numFmt w:val="bullet"/>
      <w:lvlText w:val="•"/>
      <w:lvlJc w:val="left"/>
      <w:pPr>
        <w:ind w:left="8843" w:hanging="341"/>
      </w:pPr>
      <w:rPr>
        <w:rFonts w:hint="default"/>
      </w:rPr>
    </w:lvl>
    <w:lvl w:ilvl="8">
      <w:start w:val="0"/>
      <w:numFmt w:val="bullet"/>
      <w:lvlText w:val="•"/>
      <w:lvlJc w:val="left"/>
      <w:pPr>
        <w:ind w:left="9864" w:hanging="341"/>
      </w:pPr>
      <w:rPr>
        <w:rFonts w:hint="default"/>
      </w:rPr>
    </w:lvl>
  </w:abstractNum>
  <w:abstractNum w:abstractNumId="38">
    <w:multiLevelType w:val="hybridMultilevel"/>
    <w:lvl w:ilvl="0">
      <w:start w:val="40"/>
      <w:numFmt w:val="decimal"/>
      <w:lvlText w:val="%1"/>
      <w:lvlJc w:val="left"/>
      <w:pPr>
        <w:ind w:left="1984" w:hanging="567"/>
        <w:jc w:val="left"/>
      </w:pPr>
      <w:rPr>
        <w:rFonts w:hint="default" w:ascii="Calibri" w:hAnsi="Calibri" w:eastAsia="Calibri" w:cs="Calibri"/>
        <w:b/>
        <w:bCs/>
        <w:spacing w:val="0"/>
        <w:w w:val="109"/>
        <w:sz w:val="24"/>
        <w:szCs w:val="24"/>
      </w:rPr>
    </w:lvl>
    <w:lvl w:ilvl="1">
      <w:start w:val="0"/>
      <w:numFmt w:val="bullet"/>
      <w:lvlText w:val="•"/>
      <w:lvlJc w:val="left"/>
      <w:pPr>
        <w:ind w:left="2972" w:hanging="567"/>
      </w:pPr>
      <w:rPr>
        <w:rFonts w:hint="default"/>
      </w:rPr>
    </w:lvl>
    <w:lvl w:ilvl="2">
      <w:start w:val="0"/>
      <w:numFmt w:val="bullet"/>
      <w:lvlText w:val="•"/>
      <w:lvlJc w:val="left"/>
      <w:pPr>
        <w:ind w:left="3965" w:hanging="567"/>
      </w:pPr>
      <w:rPr>
        <w:rFonts w:hint="default"/>
      </w:rPr>
    </w:lvl>
    <w:lvl w:ilvl="3">
      <w:start w:val="0"/>
      <w:numFmt w:val="bullet"/>
      <w:lvlText w:val="•"/>
      <w:lvlJc w:val="left"/>
      <w:pPr>
        <w:ind w:left="4957" w:hanging="567"/>
      </w:pPr>
      <w:rPr>
        <w:rFonts w:hint="default"/>
      </w:rPr>
    </w:lvl>
    <w:lvl w:ilvl="4">
      <w:start w:val="0"/>
      <w:numFmt w:val="bullet"/>
      <w:lvlText w:val="•"/>
      <w:lvlJc w:val="left"/>
      <w:pPr>
        <w:ind w:left="5950" w:hanging="567"/>
      </w:pPr>
      <w:rPr>
        <w:rFonts w:hint="default"/>
      </w:rPr>
    </w:lvl>
    <w:lvl w:ilvl="5">
      <w:start w:val="0"/>
      <w:numFmt w:val="bullet"/>
      <w:lvlText w:val="•"/>
      <w:lvlJc w:val="left"/>
      <w:pPr>
        <w:ind w:left="6942" w:hanging="567"/>
      </w:pPr>
      <w:rPr>
        <w:rFonts w:hint="default"/>
      </w:rPr>
    </w:lvl>
    <w:lvl w:ilvl="6">
      <w:start w:val="0"/>
      <w:numFmt w:val="bullet"/>
      <w:lvlText w:val="•"/>
      <w:lvlJc w:val="left"/>
      <w:pPr>
        <w:ind w:left="7935" w:hanging="567"/>
      </w:pPr>
      <w:rPr>
        <w:rFonts w:hint="default"/>
      </w:rPr>
    </w:lvl>
    <w:lvl w:ilvl="7">
      <w:start w:val="0"/>
      <w:numFmt w:val="bullet"/>
      <w:lvlText w:val="•"/>
      <w:lvlJc w:val="left"/>
      <w:pPr>
        <w:ind w:left="8927" w:hanging="567"/>
      </w:pPr>
      <w:rPr>
        <w:rFonts w:hint="default"/>
      </w:rPr>
    </w:lvl>
    <w:lvl w:ilvl="8">
      <w:start w:val="0"/>
      <w:numFmt w:val="bullet"/>
      <w:lvlText w:val="•"/>
      <w:lvlJc w:val="left"/>
      <w:pPr>
        <w:ind w:left="9920" w:hanging="567"/>
      </w:pPr>
      <w:rPr>
        <w:rFonts w:hint="default"/>
      </w:rPr>
    </w:lvl>
  </w:abstractNum>
  <w:abstractNum w:abstractNumId="37">
    <w:multiLevelType w:val="hybridMultilevel"/>
    <w:lvl w:ilvl="0">
      <w:start w:val="36"/>
      <w:numFmt w:val="decimal"/>
      <w:lvlText w:val="%1"/>
      <w:lvlJc w:val="left"/>
      <w:pPr>
        <w:ind w:left="1984" w:hanging="567"/>
        <w:jc w:val="left"/>
      </w:pPr>
      <w:rPr>
        <w:rFonts w:hint="default" w:ascii="Calibri" w:hAnsi="Calibri" w:eastAsia="Calibri" w:cs="Calibri"/>
        <w:b/>
        <w:bCs/>
        <w:w w:val="109"/>
        <w:sz w:val="24"/>
        <w:szCs w:val="24"/>
      </w:rPr>
    </w:lvl>
    <w:lvl w:ilvl="1">
      <w:start w:val="0"/>
      <w:numFmt w:val="bullet"/>
      <w:lvlText w:val="•"/>
      <w:lvlJc w:val="left"/>
      <w:pPr>
        <w:ind w:left="2972" w:hanging="567"/>
      </w:pPr>
      <w:rPr>
        <w:rFonts w:hint="default"/>
      </w:rPr>
    </w:lvl>
    <w:lvl w:ilvl="2">
      <w:start w:val="0"/>
      <w:numFmt w:val="bullet"/>
      <w:lvlText w:val="•"/>
      <w:lvlJc w:val="left"/>
      <w:pPr>
        <w:ind w:left="3965" w:hanging="567"/>
      </w:pPr>
      <w:rPr>
        <w:rFonts w:hint="default"/>
      </w:rPr>
    </w:lvl>
    <w:lvl w:ilvl="3">
      <w:start w:val="0"/>
      <w:numFmt w:val="bullet"/>
      <w:lvlText w:val="•"/>
      <w:lvlJc w:val="left"/>
      <w:pPr>
        <w:ind w:left="4957" w:hanging="567"/>
      </w:pPr>
      <w:rPr>
        <w:rFonts w:hint="default"/>
      </w:rPr>
    </w:lvl>
    <w:lvl w:ilvl="4">
      <w:start w:val="0"/>
      <w:numFmt w:val="bullet"/>
      <w:lvlText w:val="•"/>
      <w:lvlJc w:val="left"/>
      <w:pPr>
        <w:ind w:left="5950" w:hanging="567"/>
      </w:pPr>
      <w:rPr>
        <w:rFonts w:hint="default"/>
      </w:rPr>
    </w:lvl>
    <w:lvl w:ilvl="5">
      <w:start w:val="0"/>
      <w:numFmt w:val="bullet"/>
      <w:lvlText w:val="•"/>
      <w:lvlJc w:val="left"/>
      <w:pPr>
        <w:ind w:left="6942" w:hanging="567"/>
      </w:pPr>
      <w:rPr>
        <w:rFonts w:hint="default"/>
      </w:rPr>
    </w:lvl>
    <w:lvl w:ilvl="6">
      <w:start w:val="0"/>
      <w:numFmt w:val="bullet"/>
      <w:lvlText w:val="•"/>
      <w:lvlJc w:val="left"/>
      <w:pPr>
        <w:ind w:left="7935" w:hanging="567"/>
      </w:pPr>
      <w:rPr>
        <w:rFonts w:hint="default"/>
      </w:rPr>
    </w:lvl>
    <w:lvl w:ilvl="7">
      <w:start w:val="0"/>
      <w:numFmt w:val="bullet"/>
      <w:lvlText w:val="•"/>
      <w:lvlJc w:val="left"/>
      <w:pPr>
        <w:ind w:left="8927" w:hanging="567"/>
      </w:pPr>
      <w:rPr>
        <w:rFonts w:hint="default"/>
      </w:rPr>
    </w:lvl>
    <w:lvl w:ilvl="8">
      <w:start w:val="0"/>
      <w:numFmt w:val="bullet"/>
      <w:lvlText w:val="•"/>
      <w:lvlJc w:val="left"/>
      <w:pPr>
        <w:ind w:left="9920" w:hanging="567"/>
      </w:pPr>
      <w:rPr>
        <w:rFonts w:hint="default"/>
      </w:rPr>
    </w:lvl>
  </w:abstractNum>
  <w:abstractNum w:abstractNumId="36">
    <w:multiLevelType w:val="hybridMultilevel"/>
    <w:lvl w:ilvl="0">
      <w:start w:val="70"/>
      <w:numFmt w:val="decimal"/>
      <w:lvlText w:val="%1"/>
      <w:lvlJc w:val="left"/>
      <w:pPr>
        <w:ind w:left="2381" w:hanging="794"/>
        <w:jc w:val="left"/>
      </w:pPr>
      <w:rPr>
        <w:rFonts w:hint="default" w:ascii="Calibri" w:hAnsi="Calibri" w:eastAsia="Calibri" w:cs="Calibri"/>
        <w:spacing w:val="-2"/>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35">
    <w:multiLevelType w:val="hybridMultilevel"/>
    <w:lvl w:ilvl="0">
      <w:start w:val="43"/>
      <w:numFmt w:val="decimal"/>
      <w:lvlText w:val="%1"/>
      <w:lvlJc w:val="left"/>
      <w:pPr>
        <w:ind w:left="2381" w:hanging="794"/>
        <w:jc w:val="left"/>
      </w:pPr>
      <w:rPr>
        <w:rFonts w:hint="default" w:ascii="Calibri" w:hAnsi="Calibri" w:eastAsia="Calibri" w:cs="Calibri"/>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34">
    <w:multiLevelType w:val="hybridMultilevel"/>
    <w:lvl w:ilvl="0">
      <w:start w:val="23"/>
      <w:numFmt w:val="decimal"/>
      <w:lvlText w:val="%1"/>
      <w:lvlJc w:val="left"/>
      <w:pPr>
        <w:ind w:left="2380" w:hanging="794"/>
        <w:jc w:val="left"/>
      </w:pPr>
      <w:rPr>
        <w:rFonts w:hint="default" w:ascii="Calibri" w:hAnsi="Calibri" w:eastAsia="Calibri" w:cs="Calibri"/>
        <w:spacing w:val="0"/>
        <w:w w:val="109"/>
        <w:sz w:val="13"/>
        <w:szCs w:val="13"/>
      </w:rPr>
    </w:lvl>
    <w:lvl w:ilvl="1">
      <w:start w:val="0"/>
      <w:numFmt w:val="bullet"/>
      <w:lvlText w:val="•"/>
      <w:lvlJc w:val="left"/>
      <w:pPr>
        <w:ind w:left="2560" w:hanging="794"/>
      </w:pPr>
      <w:rPr>
        <w:rFonts w:hint="default"/>
      </w:rPr>
    </w:lvl>
    <w:lvl w:ilvl="2">
      <w:start w:val="0"/>
      <w:numFmt w:val="bullet"/>
      <w:lvlText w:val="•"/>
      <w:lvlJc w:val="left"/>
      <w:pPr>
        <w:ind w:left="3598" w:hanging="794"/>
      </w:pPr>
      <w:rPr>
        <w:rFonts w:hint="default"/>
      </w:rPr>
    </w:lvl>
    <w:lvl w:ilvl="3">
      <w:start w:val="0"/>
      <w:numFmt w:val="bullet"/>
      <w:lvlText w:val="•"/>
      <w:lvlJc w:val="left"/>
      <w:pPr>
        <w:ind w:left="4636" w:hanging="794"/>
      </w:pPr>
      <w:rPr>
        <w:rFonts w:hint="default"/>
      </w:rPr>
    </w:lvl>
    <w:lvl w:ilvl="4">
      <w:start w:val="0"/>
      <w:numFmt w:val="bullet"/>
      <w:lvlText w:val="•"/>
      <w:lvlJc w:val="left"/>
      <w:pPr>
        <w:ind w:left="5675" w:hanging="794"/>
      </w:pPr>
      <w:rPr>
        <w:rFonts w:hint="default"/>
      </w:rPr>
    </w:lvl>
    <w:lvl w:ilvl="5">
      <w:start w:val="0"/>
      <w:numFmt w:val="bullet"/>
      <w:lvlText w:val="•"/>
      <w:lvlJc w:val="left"/>
      <w:pPr>
        <w:ind w:left="6713" w:hanging="794"/>
      </w:pPr>
      <w:rPr>
        <w:rFonts w:hint="default"/>
      </w:rPr>
    </w:lvl>
    <w:lvl w:ilvl="6">
      <w:start w:val="0"/>
      <w:numFmt w:val="bullet"/>
      <w:lvlText w:val="•"/>
      <w:lvlJc w:val="left"/>
      <w:pPr>
        <w:ind w:left="7751" w:hanging="794"/>
      </w:pPr>
      <w:rPr>
        <w:rFonts w:hint="default"/>
      </w:rPr>
    </w:lvl>
    <w:lvl w:ilvl="7">
      <w:start w:val="0"/>
      <w:numFmt w:val="bullet"/>
      <w:lvlText w:val="•"/>
      <w:lvlJc w:val="left"/>
      <w:pPr>
        <w:ind w:left="8790" w:hanging="794"/>
      </w:pPr>
      <w:rPr>
        <w:rFonts w:hint="default"/>
      </w:rPr>
    </w:lvl>
    <w:lvl w:ilvl="8">
      <w:start w:val="0"/>
      <w:numFmt w:val="bullet"/>
      <w:lvlText w:val="•"/>
      <w:lvlJc w:val="left"/>
      <w:pPr>
        <w:ind w:left="9828" w:hanging="794"/>
      </w:pPr>
      <w:rPr>
        <w:rFonts w:hint="default"/>
      </w:rPr>
    </w:lvl>
  </w:abstractNum>
  <w:abstractNum w:abstractNumId="33">
    <w:multiLevelType w:val="hybridMultilevel"/>
    <w:lvl w:ilvl="0">
      <w:start w:val="19"/>
      <w:numFmt w:val="decimal"/>
      <w:lvlText w:val="%1"/>
      <w:lvlJc w:val="left"/>
      <w:pPr>
        <w:ind w:left="2381" w:hanging="794"/>
        <w:jc w:val="left"/>
      </w:pPr>
      <w:rPr>
        <w:rFonts w:hint="default" w:ascii="Calibri" w:hAnsi="Calibri" w:eastAsia="Calibri" w:cs="Calibri"/>
        <w:spacing w:val="-5"/>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32">
    <w:multiLevelType w:val="hybridMultilevel"/>
    <w:lvl w:ilvl="0">
      <w:start w:val="10"/>
      <w:numFmt w:val="decimal"/>
      <w:lvlText w:val="%1"/>
      <w:lvlJc w:val="left"/>
      <w:pPr>
        <w:ind w:left="2380" w:hanging="794"/>
        <w:jc w:val="left"/>
      </w:pPr>
      <w:rPr>
        <w:rFonts w:hint="default" w:ascii="Calibri" w:hAnsi="Calibri" w:eastAsia="Calibri" w:cs="Calibri"/>
        <w:spacing w:val="-4"/>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31">
    <w:multiLevelType w:val="hybridMultilevel"/>
    <w:lvl w:ilvl="0">
      <w:start w:val="1"/>
      <w:numFmt w:val="decimal"/>
      <w:lvlText w:val="%1"/>
      <w:lvlJc w:val="left"/>
      <w:pPr>
        <w:ind w:left="2381" w:hanging="794"/>
        <w:jc w:val="left"/>
      </w:pPr>
      <w:rPr>
        <w:rFonts w:hint="default" w:ascii="Calibri" w:hAnsi="Calibri" w:eastAsia="Calibri" w:cs="Calibri"/>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30">
    <w:multiLevelType w:val="hybridMultilevel"/>
    <w:lvl w:ilvl="0">
      <w:start w:val="24"/>
      <w:numFmt w:val="decimal"/>
      <w:lvlText w:val="%1"/>
      <w:lvlJc w:val="left"/>
      <w:pPr>
        <w:ind w:left="1984" w:hanging="567"/>
        <w:jc w:val="left"/>
      </w:pPr>
      <w:rPr>
        <w:rFonts w:hint="default" w:ascii="Calibri" w:hAnsi="Calibri" w:eastAsia="Calibri" w:cs="Calibri"/>
        <w:b/>
        <w:bCs/>
        <w:w w:val="109"/>
        <w:sz w:val="24"/>
        <w:szCs w:val="24"/>
      </w:rPr>
    </w:lvl>
    <w:lvl w:ilvl="1">
      <w:start w:val="0"/>
      <w:numFmt w:val="bullet"/>
      <w:lvlText w:val="•"/>
      <w:lvlJc w:val="left"/>
      <w:pPr>
        <w:ind w:left="2972" w:hanging="567"/>
      </w:pPr>
      <w:rPr>
        <w:rFonts w:hint="default"/>
      </w:rPr>
    </w:lvl>
    <w:lvl w:ilvl="2">
      <w:start w:val="0"/>
      <w:numFmt w:val="bullet"/>
      <w:lvlText w:val="•"/>
      <w:lvlJc w:val="left"/>
      <w:pPr>
        <w:ind w:left="3965" w:hanging="567"/>
      </w:pPr>
      <w:rPr>
        <w:rFonts w:hint="default"/>
      </w:rPr>
    </w:lvl>
    <w:lvl w:ilvl="3">
      <w:start w:val="0"/>
      <w:numFmt w:val="bullet"/>
      <w:lvlText w:val="•"/>
      <w:lvlJc w:val="left"/>
      <w:pPr>
        <w:ind w:left="4957" w:hanging="567"/>
      </w:pPr>
      <w:rPr>
        <w:rFonts w:hint="default"/>
      </w:rPr>
    </w:lvl>
    <w:lvl w:ilvl="4">
      <w:start w:val="0"/>
      <w:numFmt w:val="bullet"/>
      <w:lvlText w:val="•"/>
      <w:lvlJc w:val="left"/>
      <w:pPr>
        <w:ind w:left="5950" w:hanging="567"/>
      </w:pPr>
      <w:rPr>
        <w:rFonts w:hint="default"/>
      </w:rPr>
    </w:lvl>
    <w:lvl w:ilvl="5">
      <w:start w:val="0"/>
      <w:numFmt w:val="bullet"/>
      <w:lvlText w:val="•"/>
      <w:lvlJc w:val="left"/>
      <w:pPr>
        <w:ind w:left="6942" w:hanging="567"/>
      </w:pPr>
      <w:rPr>
        <w:rFonts w:hint="default"/>
      </w:rPr>
    </w:lvl>
    <w:lvl w:ilvl="6">
      <w:start w:val="0"/>
      <w:numFmt w:val="bullet"/>
      <w:lvlText w:val="•"/>
      <w:lvlJc w:val="left"/>
      <w:pPr>
        <w:ind w:left="7935" w:hanging="567"/>
      </w:pPr>
      <w:rPr>
        <w:rFonts w:hint="default"/>
      </w:rPr>
    </w:lvl>
    <w:lvl w:ilvl="7">
      <w:start w:val="0"/>
      <w:numFmt w:val="bullet"/>
      <w:lvlText w:val="•"/>
      <w:lvlJc w:val="left"/>
      <w:pPr>
        <w:ind w:left="8927" w:hanging="567"/>
      </w:pPr>
      <w:rPr>
        <w:rFonts w:hint="default"/>
      </w:rPr>
    </w:lvl>
    <w:lvl w:ilvl="8">
      <w:start w:val="0"/>
      <w:numFmt w:val="bullet"/>
      <w:lvlText w:val="•"/>
      <w:lvlJc w:val="left"/>
      <w:pPr>
        <w:ind w:left="9920" w:hanging="567"/>
      </w:pPr>
      <w:rPr>
        <w:rFonts w:hint="default"/>
      </w:rPr>
    </w:lvl>
  </w:abstractNum>
  <w:abstractNum w:abstractNumId="29">
    <w:multiLevelType w:val="hybridMultilevel"/>
    <w:lvl w:ilvl="0">
      <w:start w:val="151"/>
      <w:numFmt w:val="decimal"/>
      <w:lvlText w:val="%1"/>
      <w:lvlJc w:val="left"/>
      <w:pPr>
        <w:ind w:left="2381" w:hanging="794"/>
        <w:jc w:val="left"/>
      </w:pPr>
      <w:rPr>
        <w:rFonts w:hint="default" w:ascii="Calibri" w:hAnsi="Calibri" w:eastAsia="Calibri" w:cs="Calibri"/>
        <w:spacing w:val="-7"/>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28">
    <w:multiLevelType w:val="hybridMultilevel"/>
    <w:lvl w:ilvl="0">
      <w:start w:val="147"/>
      <w:numFmt w:val="decimal"/>
      <w:lvlText w:val="%1"/>
      <w:lvlJc w:val="left"/>
      <w:pPr>
        <w:ind w:left="2381" w:hanging="794"/>
        <w:jc w:val="left"/>
      </w:pPr>
      <w:rPr>
        <w:rFonts w:hint="default" w:ascii="Calibri" w:hAnsi="Calibri" w:eastAsia="Calibri" w:cs="Calibri"/>
        <w:spacing w:val="-5"/>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27">
    <w:multiLevelType w:val="hybridMultilevel"/>
    <w:lvl w:ilvl="0">
      <w:start w:val="1"/>
      <w:numFmt w:val="lowerLetter"/>
      <w:lvlText w:val="(%1)"/>
      <w:lvlJc w:val="left"/>
      <w:pPr>
        <w:ind w:left="340" w:hanging="341"/>
        <w:jc w:val="left"/>
      </w:pPr>
      <w:rPr>
        <w:rFonts w:hint="default" w:ascii="Calibri" w:hAnsi="Calibri" w:eastAsia="Calibri" w:cs="Calibri"/>
        <w:spacing w:val="0"/>
        <w:w w:val="109"/>
        <w:sz w:val="21"/>
        <w:szCs w:val="21"/>
      </w:rPr>
    </w:lvl>
    <w:lvl w:ilvl="1">
      <w:start w:val="0"/>
      <w:numFmt w:val="bullet"/>
      <w:lvlText w:val="•"/>
      <w:lvlJc w:val="left"/>
      <w:pPr>
        <w:ind w:left="1071" w:hanging="341"/>
      </w:pPr>
      <w:rPr>
        <w:rFonts w:hint="default"/>
      </w:rPr>
    </w:lvl>
    <w:lvl w:ilvl="2">
      <w:start w:val="0"/>
      <w:numFmt w:val="bullet"/>
      <w:lvlText w:val="•"/>
      <w:lvlJc w:val="left"/>
      <w:pPr>
        <w:ind w:left="1802" w:hanging="341"/>
      </w:pPr>
      <w:rPr>
        <w:rFonts w:hint="default"/>
      </w:rPr>
    </w:lvl>
    <w:lvl w:ilvl="3">
      <w:start w:val="0"/>
      <w:numFmt w:val="bullet"/>
      <w:lvlText w:val="•"/>
      <w:lvlJc w:val="left"/>
      <w:pPr>
        <w:ind w:left="2533" w:hanging="341"/>
      </w:pPr>
      <w:rPr>
        <w:rFonts w:hint="default"/>
      </w:rPr>
    </w:lvl>
    <w:lvl w:ilvl="4">
      <w:start w:val="0"/>
      <w:numFmt w:val="bullet"/>
      <w:lvlText w:val="•"/>
      <w:lvlJc w:val="left"/>
      <w:pPr>
        <w:ind w:left="3264" w:hanging="341"/>
      </w:pPr>
      <w:rPr>
        <w:rFonts w:hint="default"/>
      </w:rPr>
    </w:lvl>
    <w:lvl w:ilvl="5">
      <w:start w:val="0"/>
      <w:numFmt w:val="bullet"/>
      <w:lvlText w:val="•"/>
      <w:lvlJc w:val="left"/>
      <w:pPr>
        <w:ind w:left="3995" w:hanging="341"/>
      </w:pPr>
      <w:rPr>
        <w:rFonts w:hint="default"/>
      </w:rPr>
    </w:lvl>
    <w:lvl w:ilvl="6">
      <w:start w:val="0"/>
      <w:numFmt w:val="bullet"/>
      <w:lvlText w:val="•"/>
      <w:lvlJc w:val="left"/>
      <w:pPr>
        <w:ind w:left="4726" w:hanging="341"/>
      </w:pPr>
      <w:rPr>
        <w:rFonts w:hint="default"/>
      </w:rPr>
    </w:lvl>
    <w:lvl w:ilvl="7">
      <w:start w:val="0"/>
      <w:numFmt w:val="bullet"/>
      <w:lvlText w:val="•"/>
      <w:lvlJc w:val="left"/>
      <w:pPr>
        <w:ind w:left="5457" w:hanging="341"/>
      </w:pPr>
      <w:rPr>
        <w:rFonts w:hint="default"/>
      </w:rPr>
    </w:lvl>
    <w:lvl w:ilvl="8">
      <w:start w:val="0"/>
      <w:numFmt w:val="bullet"/>
      <w:lvlText w:val="•"/>
      <w:lvlJc w:val="left"/>
      <w:pPr>
        <w:ind w:left="6188" w:hanging="341"/>
      </w:pPr>
      <w:rPr>
        <w:rFonts w:hint="default"/>
      </w:rPr>
    </w:lvl>
  </w:abstractNum>
  <w:abstractNum w:abstractNumId="26">
    <w:multiLevelType w:val="hybridMultilevel"/>
    <w:lvl w:ilvl="0">
      <w:start w:val="137"/>
      <w:numFmt w:val="decimal"/>
      <w:lvlText w:val="%1"/>
      <w:lvlJc w:val="left"/>
      <w:pPr>
        <w:ind w:left="2381" w:hanging="794"/>
        <w:jc w:val="left"/>
      </w:pPr>
      <w:rPr>
        <w:rFonts w:hint="default" w:ascii="Calibri" w:hAnsi="Calibri" w:eastAsia="Calibri" w:cs="Calibri"/>
        <w:spacing w:val="-7"/>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25">
    <w:multiLevelType w:val="hybridMultilevel"/>
    <w:lvl w:ilvl="0">
      <w:start w:val="1"/>
      <w:numFmt w:val="lowerLetter"/>
      <w:lvlText w:val="(%1)"/>
      <w:lvlJc w:val="left"/>
      <w:pPr>
        <w:ind w:left="340" w:hanging="341"/>
        <w:jc w:val="left"/>
      </w:pPr>
      <w:rPr>
        <w:rFonts w:hint="default" w:ascii="Calibri" w:hAnsi="Calibri" w:eastAsia="Calibri" w:cs="Calibri"/>
        <w:spacing w:val="0"/>
        <w:w w:val="109"/>
        <w:sz w:val="21"/>
        <w:szCs w:val="21"/>
      </w:rPr>
    </w:lvl>
    <w:lvl w:ilvl="1">
      <w:start w:val="0"/>
      <w:numFmt w:val="bullet"/>
      <w:lvlText w:val="•"/>
      <w:lvlJc w:val="left"/>
      <w:pPr>
        <w:ind w:left="1050" w:hanging="341"/>
      </w:pPr>
      <w:rPr>
        <w:rFonts w:hint="default"/>
      </w:rPr>
    </w:lvl>
    <w:lvl w:ilvl="2">
      <w:start w:val="0"/>
      <w:numFmt w:val="bullet"/>
      <w:lvlText w:val="•"/>
      <w:lvlJc w:val="left"/>
      <w:pPr>
        <w:ind w:left="1761" w:hanging="341"/>
      </w:pPr>
      <w:rPr>
        <w:rFonts w:hint="default"/>
      </w:rPr>
    </w:lvl>
    <w:lvl w:ilvl="3">
      <w:start w:val="0"/>
      <w:numFmt w:val="bullet"/>
      <w:lvlText w:val="•"/>
      <w:lvlJc w:val="left"/>
      <w:pPr>
        <w:ind w:left="2472" w:hanging="341"/>
      </w:pPr>
      <w:rPr>
        <w:rFonts w:hint="default"/>
      </w:rPr>
    </w:lvl>
    <w:lvl w:ilvl="4">
      <w:start w:val="0"/>
      <w:numFmt w:val="bullet"/>
      <w:lvlText w:val="•"/>
      <w:lvlJc w:val="left"/>
      <w:pPr>
        <w:ind w:left="3183" w:hanging="341"/>
      </w:pPr>
      <w:rPr>
        <w:rFonts w:hint="default"/>
      </w:rPr>
    </w:lvl>
    <w:lvl w:ilvl="5">
      <w:start w:val="0"/>
      <w:numFmt w:val="bullet"/>
      <w:lvlText w:val="•"/>
      <w:lvlJc w:val="left"/>
      <w:pPr>
        <w:ind w:left="3894" w:hanging="341"/>
      </w:pPr>
      <w:rPr>
        <w:rFonts w:hint="default"/>
      </w:rPr>
    </w:lvl>
    <w:lvl w:ilvl="6">
      <w:start w:val="0"/>
      <w:numFmt w:val="bullet"/>
      <w:lvlText w:val="•"/>
      <w:lvlJc w:val="left"/>
      <w:pPr>
        <w:ind w:left="4605" w:hanging="341"/>
      </w:pPr>
      <w:rPr>
        <w:rFonts w:hint="default"/>
      </w:rPr>
    </w:lvl>
    <w:lvl w:ilvl="7">
      <w:start w:val="0"/>
      <w:numFmt w:val="bullet"/>
      <w:lvlText w:val="•"/>
      <w:lvlJc w:val="left"/>
      <w:pPr>
        <w:ind w:left="5316" w:hanging="341"/>
      </w:pPr>
      <w:rPr>
        <w:rFonts w:hint="default"/>
      </w:rPr>
    </w:lvl>
    <w:lvl w:ilvl="8">
      <w:start w:val="0"/>
      <w:numFmt w:val="bullet"/>
      <w:lvlText w:val="•"/>
      <w:lvlJc w:val="left"/>
      <w:pPr>
        <w:ind w:left="6027" w:hanging="341"/>
      </w:pPr>
      <w:rPr>
        <w:rFonts w:hint="default"/>
      </w:rPr>
    </w:lvl>
  </w:abstractNum>
  <w:abstractNum w:abstractNumId="24">
    <w:multiLevelType w:val="hybridMultilevel"/>
    <w:lvl w:ilvl="0">
      <w:start w:val="53"/>
      <w:numFmt w:val="decimal"/>
      <w:lvlText w:val="%1"/>
      <w:lvlJc w:val="left"/>
      <w:pPr>
        <w:ind w:left="2381" w:hanging="794"/>
        <w:jc w:val="left"/>
      </w:pPr>
      <w:rPr>
        <w:rFonts w:hint="default" w:ascii="Calibri" w:hAnsi="Calibri" w:eastAsia="Calibri" w:cs="Calibri"/>
        <w:w w:val="109"/>
        <w:sz w:val="13"/>
        <w:szCs w:val="13"/>
      </w:rPr>
    </w:lvl>
    <w:lvl w:ilvl="1">
      <w:start w:val="1"/>
      <w:numFmt w:val="lowerLetter"/>
      <w:lvlText w:val="(%2)"/>
      <w:lvlJc w:val="left"/>
      <w:pPr>
        <w:ind w:left="3401" w:hanging="341"/>
        <w:jc w:val="left"/>
      </w:pPr>
      <w:rPr>
        <w:rFonts w:hint="default" w:ascii="Calibri" w:hAnsi="Calibri" w:eastAsia="Calibri" w:cs="Calibri"/>
        <w:w w:val="91"/>
        <w:sz w:val="20"/>
        <w:szCs w:val="20"/>
      </w:rPr>
    </w:lvl>
    <w:lvl w:ilvl="2">
      <w:start w:val="0"/>
      <w:numFmt w:val="bullet"/>
      <w:lvlText w:val="•"/>
      <w:lvlJc w:val="left"/>
      <w:pPr>
        <w:ind w:left="3400" w:hanging="341"/>
      </w:pPr>
      <w:rPr>
        <w:rFonts w:hint="default"/>
      </w:rPr>
    </w:lvl>
    <w:lvl w:ilvl="3">
      <w:start w:val="0"/>
      <w:numFmt w:val="bullet"/>
      <w:lvlText w:val="•"/>
      <w:lvlJc w:val="left"/>
      <w:pPr>
        <w:ind w:left="4463" w:hanging="341"/>
      </w:pPr>
      <w:rPr>
        <w:rFonts w:hint="default"/>
      </w:rPr>
    </w:lvl>
    <w:lvl w:ilvl="4">
      <w:start w:val="0"/>
      <w:numFmt w:val="bullet"/>
      <w:lvlText w:val="•"/>
      <w:lvlJc w:val="left"/>
      <w:pPr>
        <w:ind w:left="5526" w:hanging="341"/>
      </w:pPr>
      <w:rPr>
        <w:rFonts w:hint="default"/>
      </w:rPr>
    </w:lvl>
    <w:lvl w:ilvl="5">
      <w:start w:val="0"/>
      <w:numFmt w:val="bullet"/>
      <w:lvlText w:val="•"/>
      <w:lvlJc w:val="left"/>
      <w:pPr>
        <w:ind w:left="6589" w:hanging="341"/>
      </w:pPr>
      <w:rPr>
        <w:rFonts w:hint="default"/>
      </w:rPr>
    </w:lvl>
    <w:lvl w:ilvl="6">
      <w:start w:val="0"/>
      <w:numFmt w:val="bullet"/>
      <w:lvlText w:val="•"/>
      <w:lvlJc w:val="left"/>
      <w:pPr>
        <w:ind w:left="7652" w:hanging="341"/>
      </w:pPr>
      <w:rPr>
        <w:rFonts w:hint="default"/>
      </w:rPr>
    </w:lvl>
    <w:lvl w:ilvl="7">
      <w:start w:val="0"/>
      <w:numFmt w:val="bullet"/>
      <w:lvlText w:val="•"/>
      <w:lvlJc w:val="left"/>
      <w:pPr>
        <w:ind w:left="8715" w:hanging="341"/>
      </w:pPr>
      <w:rPr>
        <w:rFonts w:hint="default"/>
      </w:rPr>
    </w:lvl>
    <w:lvl w:ilvl="8">
      <w:start w:val="0"/>
      <w:numFmt w:val="bullet"/>
      <w:lvlText w:val="•"/>
      <w:lvlJc w:val="left"/>
      <w:pPr>
        <w:ind w:left="9779" w:hanging="341"/>
      </w:pPr>
      <w:rPr>
        <w:rFonts w:hint="default"/>
      </w:rPr>
    </w:lvl>
  </w:abstractNum>
  <w:abstractNum w:abstractNumId="23">
    <w:multiLevelType w:val="hybridMultilevel"/>
    <w:lvl w:ilvl="0">
      <w:start w:val="1"/>
      <w:numFmt w:val="decimal"/>
      <w:lvlText w:val="%1"/>
      <w:lvlJc w:val="left"/>
      <w:pPr>
        <w:ind w:left="2381" w:hanging="794"/>
        <w:jc w:val="left"/>
      </w:pPr>
      <w:rPr>
        <w:rFonts w:hint="default" w:ascii="Calibri" w:hAnsi="Calibri" w:eastAsia="Calibri" w:cs="Calibri"/>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22">
    <w:multiLevelType w:val="hybridMultilevel"/>
    <w:lvl w:ilvl="0">
      <w:start w:val="1"/>
      <w:numFmt w:val="decimal"/>
      <w:lvlText w:val="%1"/>
      <w:lvlJc w:val="left"/>
      <w:pPr>
        <w:ind w:left="2381" w:hanging="794"/>
        <w:jc w:val="left"/>
      </w:pPr>
      <w:rPr>
        <w:rFonts w:hint="default" w:ascii="Calibri" w:hAnsi="Calibri" w:eastAsia="Calibri" w:cs="Calibri"/>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21">
    <w:multiLevelType w:val="hybridMultilevel"/>
    <w:lvl w:ilvl="0">
      <w:start w:val="1"/>
      <w:numFmt w:val="decimal"/>
      <w:lvlText w:val="%1."/>
      <w:lvlJc w:val="left"/>
      <w:pPr>
        <w:ind w:left="1041" w:hanging="475"/>
        <w:jc w:val="left"/>
      </w:pPr>
      <w:rPr>
        <w:rFonts w:hint="default" w:ascii="Calibri" w:hAnsi="Calibri" w:eastAsia="Calibri" w:cs="Calibri"/>
        <w:b/>
        <w:bCs/>
        <w:color w:val="EC5A4F"/>
        <w:spacing w:val="-15"/>
        <w:w w:val="104"/>
        <w:sz w:val="44"/>
        <w:szCs w:val="44"/>
      </w:rPr>
    </w:lvl>
    <w:lvl w:ilvl="1">
      <w:start w:val="1"/>
      <w:numFmt w:val="decimal"/>
      <w:lvlText w:val="%1.%2"/>
      <w:lvlJc w:val="left"/>
      <w:pPr>
        <w:ind w:left="2381" w:hanging="794"/>
        <w:jc w:val="left"/>
      </w:pPr>
      <w:rPr>
        <w:rFonts w:hint="default" w:ascii="Calibri" w:hAnsi="Calibri" w:eastAsia="Calibri" w:cs="Calibri"/>
        <w:spacing w:val="-21"/>
        <w:w w:val="109"/>
        <w:sz w:val="21"/>
        <w:szCs w:val="21"/>
      </w:rPr>
    </w:lvl>
    <w:lvl w:ilvl="2">
      <w:start w:val="0"/>
      <w:numFmt w:val="bullet"/>
      <w:lvlText w:val="•"/>
      <w:lvlJc w:val="left"/>
      <w:pPr>
        <w:ind w:left="2721" w:hanging="341"/>
      </w:pPr>
      <w:rPr>
        <w:rFonts w:hint="default" w:ascii="Calibri" w:hAnsi="Calibri" w:eastAsia="Calibri" w:cs="Calibri"/>
        <w:w w:val="100"/>
        <w:sz w:val="21"/>
        <w:szCs w:val="21"/>
      </w:rPr>
    </w:lvl>
    <w:lvl w:ilvl="3">
      <w:start w:val="0"/>
      <w:numFmt w:val="bullet"/>
      <w:lvlText w:val="–"/>
      <w:lvlJc w:val="left"/>
      <w:pPr>
        <w:ind w:left="3027" w:hanging="307"/>
      </w:pPr>
      <w:rPr>
        <w:rFonts w:hint="default" w:ascii="Calibri" w:hAnsi="Calibri" w:eastAsia="Calibri" w:cs="Calibri"/>
        <w:w w:val="100"/>
        <w:sz w:val="21"/>
        <w:szCs w:val="21"/>
      </w:rPr>
    </w:lvl>
    <w:lvl w:ilvl="4">
      <w:start w:val="0"/>
      <w:numFmt w:val="bullet"/>
      <w:lvlText w:val="•"/>
      <w:lvlJc w:val="left"/>
      <w:pPr>
        <w:ind w:left="4289" w:hanging="307"/>
      </w:pPr>
      <w:rPr>
        <w:rFonts w:hint="default"/>
      </w:rPr>
    </w:lvl>
    <w:lvl w:ilvl="5">
      <w:start w:val="0"/>
      <w:numFmt w:val="bullet"/>
      <w:lvlText w:val="•"/>
      <w:lvlJc w:val="left"/>
      <w:pPr>
        <w:ind w:left="5558" w:hanging="307"/>
      </w:pPr>
      <w:rPr>
        <w:rFonts w:hint="default"/>
      </w:rPr>
    </w:lvl>
    <w:lvl w:ilvl="6">
      <w:start w:val="0"/>
      <w:numFmt w:val="bullet"/>
      <w:lvlText w:val="•"/>
      <w:lvlJc w:val="left"/>
      <w:pPr>
        <w:ind w:left="6828" w:hanging="307"/>
      </w:pPr>
      <w:rPr>
        <w:rFonts w:hint="default"/>
      </w:rPr>
    </w:lvl>
    <w:lvl w:ilvl="7">
      <w:start w:val="0"/>
      <w:numFmt w:val="bullet"/>
      <w:lvlText w:val="•"/>
      <w:lvlJc w:val="left"/>
      <w:pPr>
        <w:ind w:left="8097" w:hanging="307"/>
      </w:pPr>
      <w:rPr>
        <w:rFonts w:hint="default"/>
      </w:rPr>
    </w:lvl>
    <w:lvl w:ilvl="8">
      <w:start w:val="0"/>
      <w:numFmt w:val="bullet"/>
      <w:lvlText w:val="•"/>
      <w:lvlJc w:val="left"/>
      <w:pPr>
        <w:ind w:left="9366" w:hanging="307"/>
      </w:pPr>
      <w:rPr>
        <w:rFonts w:hint="default"/>
      </w:rPr>
    </w:lvl>
  </w:abstractNum>
  <w:abstractNum w:abstractNumId="20">
    <w:multiLevelType w:val="hybridMultilevel"/>
    <w:lvl w:ilvl="0">
      <w:start w:val="2"/>
      <w:numFmt w:val="decimal"/>
      <w:lvlText w:val="%1"/>
      <w:lvlJc w:val="left"/>
      <w:pPr>
        <w:ind w:left="1984" w:hanging="567"/>
        <w:jc w:val="left"/>
      </w:pPr>
      <w:rPr>
        <w:rFonts w:hint="default" w:ascii="Calibri" w:hAnsi="Calibri" w:eastAsia="Calibri" w:cs="Calibri"/>
        <w:b/>
        <w:bCs/>
        <w:w w:val="109"/>
        <w:sz w:val="24"/>
        <w:szCs w:val="24"/>
      </w:rPr>
    </w:lvl>
    <w:lvl w:ilvl="1">
      <w:start w:val="0"/>
      <w:numFmt w:val="bullet"/>
      <w:lvlText w:val="•"/>
      <w:lvlJc w:val="left"/>
      <w:pPr>
        <w:ind w:left="2972" w:hanging="567"/>
      </w:pPr>
      <w:rPr>
        <w:rFonts w:hint="default"/>
      </w:rPr>
    </w:lvl>
    <w:lvl w:ilvl="2">
      <w:start w:val="0"/>
      <w:numFmt w:val="bullet"/>
      <w:lvlText w:val="•"/>
      <w:lvlJc w:val="left"/>
      <w:pPr>
        <w:ind w:left="3965" w:hanging="567"/>
      </w:pPr>
      <w:rPr>
        <w:rFonts w:hint="default"/>
      </w:rPr>
    </w:lvl>
    <w:lvl w:ilvl="3">
      <w:start w:val="0"/>
      <w:numFmt w:val="bullet"/>
      <w:lvlText w:val="•"/>
      <w:lvlJc w:val="left"/>
      <w:pPr>
        <w:ind w:left="4957" w:hanging="567"/>
      </w:pPr>
      <w:rPr>
        <w:rFonts w:hint="default"/>
      </w:rPr>
    </w:lvl>
    <w:lvl w:ilvl="4">
      <w:start w:val="0"/>
      <w:numFmt w:val="bullet"/>
      <w:lvlText w:val="•"/>
      <w:lvlJc w:val="left"/>
      <w:pPr>
        <w:ind w:left="5950" w:hanging="567"/>
      </w:pPr>
      <w:rPr>
        <w:rFonts w:hint="default"/>
      </w:rPr>
    </w:lvl>
    <w:lvl w:ilvl="5">
      <w:start w:val="0"/>
      <w:numFmt w:val="bullet"/>
      <w:lvlText w:val="•"/>
      <w:lvlJc w:val="left"/>
      <w:pPr>
        <w:ind w:left="6942" w:hanging="567"/>
      </w:pPr>
      <w:rPr>
        <w:rFonts w:hint="default"/>
      </w:rPr>
    </w:lvl>
    <w:lvl w:ilvl="6">
      <w:start w:val="0"/>
      <w:numFmt w:val="bullet"/>
      <w:lvlText w:val="•"/>
      <w:lvlJc w:val="left"/>
      <w:pPr>
        <w:ind w:left="7935" w:hanging="567"/>
      </w:pPr>
      <w:rPr>
        <w:rFonts w:hint="default"/>
      </w:rPr>
    </w:lvl>
    <w:lvl w:ilvl="7">
      <w:start w:val="0"/>
      <w:numFmt w:val="bullet"/>
      <w:lvlText w:val="•"/>
      <w:lvlJc w:val="left"/>
      <w:pPr>
        <w:ind w:left="8927" w:hanging="567"/>
      </w:pPr>
      <w:rPr>
        <w:rFonts w:hint="default"/>
      </w:rPr>
    </w:lvl>
    <w:lvl w:ilvl="8">
      <w:start w:val="0"/>
      <w:numFmt w:val="bullet"/>
      <w:lvlText w:val="•"/>
      <w:lvlJc w:val="left"/>
      <w:pPr>
        <w:ind w:left="9920" w:hanging="567"/>
      </w:pPr>
      <w:rPr>
        <w:rFonts w:hint="default"/>
      </w:rPr>
    </w:lvl>
  </w:abstractNum>
  <w:abstractNum w:abstractNumId="19">
    <w:multiLevelType w:val="hybridMultilevel"/>
    <w:lvl w:ilvl="0">
      <w:start w:val="70"/>
      <w:numFmt w:val="decimal"/>
      <w:lvlText w:val="%1"/>
      <w:lvlJc w:val="left"/>
      <w:pPr>
        <w:ind w:left="1927" w:hanging="341"/>
        <w:jc w:val="left"/>
      </w:pPr>
      <w:rPr>
        <w:rFonts w:hint="default" w:ascii="Calibri" w:hAnsi="Calibri" w:eastAsia="Calibri" w:cs="Calibri"/>
        <w:spacing w:val="-8"/>
        <w:w w:val="109"/>
        <w:sz w:val="21"/>
        <w:szCs w:val="21"/>
      </w:rPr>
    </w:lvl>
    <w:lvl w:ilvl="1">
      <w:start w:val="1"/>
      <w:numFmt w:val="lowerLetter"/>
      <w:lvlText w:val="(%2)"/>
      <w:lvlJc w:val="left"/>
      <w:pPr>
        <w:ind w:left="3027" w:hanging="307"/>
        <w:jc w:val="left"/>
      </w:pPr>
      <w:rPr>
        <w:rFonts w:hint="default" w:ascii="Calibri" w:hAnsi="Calibri" w:eastAsia="Calibri" w:cs="Calibri"/>
        <w:w w:val="91"/>
        <w:sz w:val="21"/>
        <w:szCs w:val="21"/>
      </w:rPr>
    </w:lvl>
    <w:lvl w:ilvl="2">
      <w:start w:val="0"/>
      <w:numFmt w:val="bullet"/>
      <w:lvlText w:val="•"/>
      <w:lvlJc w:val="left"/>
      <w:pPr>
        <w:ind w:left="4007" w:hanging="307"/>
      </w:pPr>
      <w:rPr>
        <w:rFonts w:hint="default"/>
      </w:rPr>
    </w:lvl>
    <w:lvl w:ilvl="3">
      <w:start w:val="0"/>
      <w:numFmt w:val="bullet"/>
      <w:lvlText w:val="•"/>
      <w:lvlJc w:val="left"/>
      <w:pPr>
        <w:ind w:left="4994" w:hanging="307"/>
      </w:pPr>
      <w:rPr>
        <w:rFonts w:hint="default"/>
      </w:rPr>
    </w:lvl>
    <w:lvl w:ilvl="4">
      <w:start w:val="0"/>
      <w:numFmt w:val="bullet"/>
      <w:lvlText w:val="•"/>
      <w:lvlJc w:val="left"/>
      <w:pPr>
        <w:ind w:left="5981" w:hanging="307"/>
      </w:pPr>
      <w:rPr>
        <w:rFonts w:hint="default"/>
      </w:rPr>
    </w:lvl>
    <w:lvl w:ilvl="5">
      <w:start w:val="0"/>
      <w:numFmt w:val="bullet"/>
      <w:lvlText w:val="•"/>
      <w:lvlJc w:val="left"/>
      <w:pPr>
        <w:ind w:left="6969" w:hanging="307"/>
      </w:pPr>
      <w:rPr>
        <w:rFonts w:hint="default"/>
      </w:rPr>
    </w:lvl>
    <w:lvl w:ilvl="6">
      <w:start w:val="0"/>
      <w:numFmt w:val="bullet"/>
      <w:lvlText w:val="•"/>
      <w:lvlJc w:val="left"/>
      <w:pPr>
        <w:ind w:left="7956" w:hanging="307"/>
      </w:pPr>
      <w:rPr>
        <w:rFonts w:hint="default"/>
      </w:rPr>
    </w:lvl>
    <w:lvl w:ilvl="7">
      <w:start w:val="0"/>
      <w:numFmt w:val="bullet"/>
      <w:lvlText w:val="•"/>
      <w:lvlJc w:val="left"/>
      <w:pPr>
        <w:ind w:left="8943" w:hanging="307"/>
      </w:pPr>
      <w:rPr>
        <w:rFonts w:hint="default"/>
      </w:rPr>
    </w:lvl>
    <w:lvl w:ilvl="8">
      <w:start w:val="0"/>
      <w:numFmt w:val="bullet"/>
      <w:lvlText w:val="•"/>
      <w:lvlJc w:val="left"/>
      <w:pPr>
        <w:ind w:left="9930" w:hanging="307"/>
      </w:pPr>
      <w:rPr>
        <w:rFonts w:hint="default"/>
      </w:rPr>
    </w:lvl>
  </w:abstractNum>
  <w:abstractNum w:abstractNumId="18">
    <w:multiLevelType w:val="hybridMultilevel"/>
    <w:lvl w:ilvl="0">
      <w:start w:val="64"/>
      <w:numFmt w:val="decimal"/>
      <w:lvlText w:val="%1"/>
      <w:lvlJc w:val="left"/>
      <w:pPr>
        <w:ind w:left="1927" w:hanging="341"/>
        <w:jc w:val="left"/>
      </w:pPr>
      <w:rPr>
        <w:rFonts w:hint="default" w:ascii="Calibri" w:hAnsi="Calibri" w:eastAsia="Calibri" w:cs="Calibri"/>
        <w:spacing w:val="0"/>
        <w:w w:val="109"/>
        <w:sz w:val="21"/>
        <w:szCs w:val="21"/>
      </w:rPr>
    </w:lvl>
    <w:lvl w:ilvl="1">
      <w:start w:val="1"/>
      <w:numFmt w:val="lowerLetter"/>
      <w:lvlText w:val="(%2)"/>
      <w:lvlJc w:val="left"/>
      <w:pPr>
        <w:ind w:left="3001" w:hanging="281"/>
        <w:jc w:val="left"/>
      </w:pPr>
      <w:rPr>
        <w:rFonts w:hint="default" w:ascii="Calibri" w:hAnsi="Calibri" w:eastAsia="Calibri" w:cs="Calibri"/>
        <w:w w:val="91"/>
        <w:sz w:val="21"/>
        <w:szCs w:val="21"/>
      </w:rPr>
    </w:lvl>
    <w:lvl w:ilvl="2">
      <w:start w:val="0"/>
      <w:numFmt w:val="bullet"/>
      <w:lvlText w:val="•"/>
      <w:lvlJc w:val="left"/>
      <w:pPr>
        <w:ind w:left="3020" w:hanging="281"/>
      </w:pPr>
      <w:rPr>
        <w:rFonts w:hint="default"/>
      </w:rPr>
    </w:lvl>
    <w:lvl w:ilvl="3">
      <w:start w:val="0"/>
      <w:numFmt w:val="bullet"/>
      <w:lvlText w:val="•"/>
      <w:lvlJc w:val="left"/>
      <w:pPr>
        <w:ind w:left="4130" w:hanging="281"/>
      </w:pPr>
      <w:rPr>
        <w:rFonts w:hint="default"/>
      </w:rPr>
    </w:lvl>
    <w:lvl w:ilvl="4">
      <w:start w:val="0"/>
      <w:numFmt w:val="bullet"/>
      <w:lvlText w:val="•"/>
      <w:lvlJc w:val="left"/>
      <w:pPr>
        <w:ind w:left="5241" w:hanging="281"/>
      </w:pPr>
      <w:rPr>
        <w:rFonts w:hint="default"/>
      </w:rPr>
    </w:lvl>
    <w:lvl w:ilvl="5">
      <w:start w:val="0"/>
      <w:numFmt w:val="bullet"/>
      <w:lvlText w:val="•"/>
      <w:lvlJc w:val="left"/>
      <w:pPr>
        <w:ind w:left="6352" w:hanging="281"/>
      </w:pPr>
      <w:rPr>
        <w:rFonts w:hint="default"/>
      </w:rPr>
    </w:lvl>
    <w:lvl w:ilvl="6">
      <w:start w:val="0"/>
      <w:numFmt w:val="bullet"/>
      <w:lvlText w:val="•"/>
      <w:lvlJc w:val="left"/>
      <w:pPr>
        <w:ind w:left="7462" w:hanging="281"/>
      </w:pPr>
      <w:rPr>
        <w:rFonts w:hint="default"/>
      </w:rPr>
    </w:lvl>
    <w:lvl w:ilvl="7">
      <w:start w:val="0"/>
      <w:numFmt w:val="bullet"/>
      <w:lvlText w:val="•"/>
      <w:lvlJc w:val="left"/>
      <w:pPr>
        <w:ind w:left="8573" w:hanging="281"/>
      </w:pPr>
      <w:rPr>
        <w:rFonts w:hint="default"/>
      </w:rPr>
    </w:lvl>
    <w:lvl w:ilvl="8">
      <w:start w:val="0"/>
      <w:numFmt w:val="bullet"/>
      <w:lvlText w:val="•"/>
      <w:lvlJc w:val="left"/>
      <w:pPr>
        <w:ind w:left="9684" w:hanging="281"/>
      </w:pPr>
      <w:rPr>
        <w:rFonts w:hint="default"/>
      </w:rPr>
    </w:lvl>
  </w:abstractNum>
  <w:abstractNum w:abstractNumId="17">
    <w:multiLevelType w:val="hybridMultilevel"/>
    <w:lvl w:ilvl="0">
      <w:start w:val="59"/>
      <w:numFmt w:val="decimal"/>
      <w:lvlText w:val="%1"/>
      <w:lvlJc w:val="left"/>
      <w:pPr>
        <w:ind w:left="1927" w:hanging="341"/>
        <w:jc w:val="left"/>
      </w:pPr>
      <w:rPr>
        <w:rFonts w:hint="default" w:ascii="Calibri" w:hAnsi="Calibri" w:eastAsia="Calibri" w:cs="Calibri"/>
        <w:spacing w:val="-7"/>
        <w:w w:val="109"/>
        <w:sz w:val="21"/>
        <w:szCs w:val="21"/>
      </w:rPr>
    </w:lvl>
    <w:lvl w:ilvl="1">
      <w:start w:val="1"/>
      <w:numFmt w:val="lowerLetter"/>
      <w:lvlText w:val="(%2)"/>
      <w:lvlJc w:val="left"/>
      <w:pPr>
        <w:ind w:left="3027" w:hanging="307"/>
        <w:jc w:val="left"/>
      </w:pPr>
      <w:rPr>
        <w:rFonts w:hint="default" w:ascii="Calibri" w:hAnsi="Calibri" w:eastAsia="Calibri" w:cs="Calibri"/>
        <w:w w:val="91"/>
        <w:sz w:val="21"/>
        <w:szCs w:val="21"/>
      </w:rPr>
    </w:lvl>
    <w:lvl w:ilvl="2">
      <w:start w:val="1"/>
      <w:numFmt w:val="decimal"/>
      <w:lvlText w:val="%3."/>
      <w:lvlJc w:val="left"/>
      <w:pPr>
        <w:ind w:left="3245" w:hanging="218"/>
        <w:jc w:val="left"/>
      </w:pPr>
      <w:rPr>
        <w:rFonts w:hint="default" w:ascii="Calibri" w:hAnsi="Calibri" w:eastAsia="Calibri" w:cs="Calibri"/>
        <w:spacing w:val="-14"/>
        <w:w w:val="109"/>
        <w:sz w:val="21"/>
        <w:szCs w:val="21"/>
      </w:rPr>
    </w:lvl>
    <w:lvl w:ilvl="3">
      <w:start w:val="0"/>
      <w:numFmt w:val="bullet"/>
      <w:lvlText w:val="•"/>
      <w:lvlJc w:val="left"/>
      <w:pPr>
        <w:ind w:left="4117" w:hanging="218"/>
      </w:pPr>
      <w:rPr>
        <w:rFonts w:hint="default"/>
      </w:rPr>
    </w:lvl>
    <w:lvl w:ilvl="4">
      <w:start w:val="0"/>
      <w:numFmt w:val="bullet"/>
      <w:lvlText w:val="•"/>
      <w:lvlJc w:val="left"/>
      <w:pPr>
        <w:ind w:left="4994" w:hanging="218"/>
      </w:pPr>
      <w:rPr>
        <w:rFonts w:hint="default"/>
      </w:rPr>
    </w:lvl>
    <w:lvl w:ilvl="5">
      <w:start w:val="0"/>
      <w:numFmt w:val="bullet"/>
      <w:lvlText w:val="•"/>
      <w:lvlJc w:val="left"/>
      <w:pPr>
        <w:ind w:left="5871" w:hanging="218"/>
      </w:pPr>
      <w:rPr>
        <w:rFonts w:hint="default"/>
      </w:rPr>
    </w:lvl>
    <w:lvl w:ilvl="6">
      <w:start w:val="0"/>
      <w:numFmt w:val="bullet"/>
      <w:lvlText w:val="•"/>
      <w:lvlJc w:val="left"/>
      <w:pPr>
        <w:ind w:left="6748" w:hanging="218"/>
      </w:pPr>
      <w:rPr>
        <w:rFonts w:hint="default"/>
      </w:rPr>
    </w:lvl>
    <w:lvl w:ilvl="7">
      <w:start w:val="0"/>
      <w:numFmt w:val="bullet"/>
      <w:lvlText w:val="•"/>
      <w:lvlJc w:val="left"/>
      <w:pPr>
        <w:ind w:left="7625" w:hanging="218"/>
      </w:pPr>
      <w:rPr>
        <w:rFonts w:hint="default"/>
      </w:rPr>
    </w:lvl>
    <w:lvl w:ilvl="8">
      <w:start w:val="0"/>
      <w:numFmt w:val="bullet"/>
      <w:lvlText w:val="•"/>
      <w:lvlJc w:val="left"/>
      <w:pPr>
        <w:ind w:left="8503" w:hanging="218"/>
      </w:pPr>
      <w:rPr>
        <w:rFonts w:hint="default"/>
      </w:rPr>
    </w:lvl>
  </w:abstractNum>
  <w:abstractNum w:abstractNumId="16">
    <w:multiLevelType w:val="hybridMultilevel"/>
    <w:lvl w:ilvl="0">
      <w:start w:val="56"/>
      <w:numFmt w:val="decimal"/>
      <w:lvlText w:val="%1"/>
      <w:lvlJc w:val="left"/>
      <w:pPr>
        <w:ind w:left="1927" w:hanging="341"/>
        <w:jc w:val="left"/>
      </w:pPr>
      <w:rPr>
        <w:rFonts w:hint="default" w:ascii="Calibri" w:hAnsi="Calibri" w:eastAsia="Calibri" w:cs="Calibri"/>
        <w:spacing w:val="-2"/>
        <w:w w:val="109"/>
        <w:sz w:val="21"/>
        <w:szCs w:val="21"/>
      </w:rPr>
    </w:lvl>
    <w:lvl w:ilvl="1">
      <w:start w:val="1"/>
      <w:numFmt w:val="lowerLetter"/>
      <w:lvlText w:val="(%2)"/>
      <w:lvlJc w:val="left"/>
      <w:pPr>
        <w:ind w:left="3027" w:hanging="307"/>
        <w:jc w:val="left"/>
      </w:pPr>
      <w:rPr>
        <w:rFonts w:hint="default" w:ascii="Calibri" w:hAnsi="Calibri" w:eastAsia="Calibri" w:cs="Calibri"/>
        <w:w w:val="91"/>
        <w:sz w:val="21"/>
        <w:szCs w:val="21"/>
      </w:rPr>
    </w:lvl>
    <w:lvl w:ilvl="2">
      <w:start w:val="0"/>
      <w:numFmt w:val="bullet"/>
      <w:lvlText w:val="•"/>
      <w:lvlJc w:val="left"/>
      <w:pPr>
        <w:ind w:left="4007" w:hanging="307"/>
      </w:pPr>
      <w:rPr>
        <w:rFonts w:hint="default"/>
      </w:rPr>
    </w:lvl>
    <w:lvl w:ilvl="3">
      <w:start w:val="0"/>
      <w:numFmt w:val="bullet"/>
      <w:lvlText w:val="•"/>
      <w:lvlJc w:val="left"/>
      <w:pPr>
        <w:ind w:left="4994" w:hanging="307"/>
      </w:pPr>
      <w:rPr>
        <w:rFonts w:hint="default"/>
      </w:rPr>
    </w:lvl>
    <w:lvl w:ilvl="4">
      <w:start w:val="0"/>
      <w:numFmt w:val="bullet"/>
      <w:lvlText w:val="•"/>
      <w:lvlJc w:val="left"/>
      <w:pPr>
        <w:ind w:left="5981" w:hanging="307"/>
      </w:pPr>
      <w:rPr>
        <w:rFonts w:hint="default"/>
      </w:rPr>
    </w:lvl>
    <w:lvl w:ilvl="5">
      <w:start w:val="0"/>
      <w:numFmt w:val="bullet"/>
      <w:lvlText w:val="•"/>
      <w:lvlJc w:val="left"/>
      <w:pPr>
        <w:ind w:left="6969" w:hanging="307"/>
      </w:pPr>
      <w:rPr>
        <w:rFonts w:hint="default"/>
      </w:rPr>
    </w:lvl>
    <w:lvl w:ilvl="6">
      <w:start w:val="0"/>
      <w:numFmt w:val="bullet"/>
      <w:lvlText w:val="•"/>
      <w:lvlJc w:val="left"/>
      <w:pPr>
        <w:ind w:left="7956" w:hanging="307"/>
      </w:pPr>
      <w:rPr>
        <w:rFonts w:hint="default"/>
      </w:rPr>
    </w:lvl>
    <w:lvl w:ilvl="7">
      <w:start w:val="0"/>
      <w:numFmt w:val="bullet"/>
      <w:lvlText w:val="•"/>
      <w:lvlJc w:val="left"/>
      <w:pPr>
        <w:ind w:left="8943" w:hanging="307"/>
      </w:pPr>
      <w:rPr>
        <w:rFonts w:hint="default"/>
      </w:rPr>
    </w:lvl>
    <w:lvl w:ilvl="8">
      <w:start w:val="0"/>
      <w:numFmt w:val="bullet"/>
      <w:lvlText w:val="•"/>
      <w:lvlJc w:val="left"/>
      <w:pPr>
        <w:ind w:left="9930" w:hanging="307"/>
      </w:pPr>
      <w:rPr>
        <w:rFonts w:hint="default"/>
      </w:rPr>
    </w:lvl>
  </w:abstractNum>
  <w:abstractNum w:abstractNumId="15">
    <w:multiLevelType w:val="hybridMultilevel"/>
    <w:lvl w:ilvl="0">
      <w:start w:val="51"/>
      <w:numFmt w:val="decimal"/>
      <w:lvlText w:val="%1"/>
      <w:lvlJc w:val="left"/>
      <w:pPr>
        <w:ind w:left="1927" w:hanging="341"/>
        <w:jc w:val="left"/>
      </w:pPr>
      <w:rPr>
        <w:rFonts w:hint="default" w:ascii="Calibri" w:hAnsi="Calibri" w:eastAsia="Calibri" w:cs="Calibri"/>
        <w:spacing w:val="-18"/>
        <w:w w:val="109"/>
        <w:sz w:val="21"/>
        <w:szCs w:val="21"/>
      </w:rPr>
    </w:lvl>
    <w:lvl w:ilvl="1">
      <w:start w:val="1"/>
      <w:numFmt w:val="lowerLetter"/>
      <w:lvlText w:val="(%2)"/>
      <w:lvlJc w:val="left"/>
      <w:pPr>
        <w:ind w:left="3027" w:hanging="307"/>
        <w:jc w:val="left"/>
      </w:pPr>
      <w:rPr>
        <w:rFonts w:hint="default" w:ascii="Calibri" w:hAnsi="Calibri" w:eastAsia="Calibri" w:cs="Calibri"/>
        <w:w w:val="91"/>
        <w:sz w:val="21"/>
        <w:szCs w:val="21"/>
      </w:rPr>
    </w:lvl>
    <w:lvl w:ilvl="2">
      <w:start w:val="1"/>
      <w:numFmt w:val="lowerRoman"/>
      <w:lvlText w:val="(%3)"/>
      <w:lvlJc w:val="left"/>
      <w:pPr>
        <w:ind w:left="3364" w:hanging="338"/>
        <w:jc w:val="left"/>
      </w:pPr>
      <w:rPr>
        <w:rFonts w:hint="default" w:ascii="Calibri" w:hAnsi="Calibri" w:eastAsia="Calibri" w:cs="Calibri"/>
        <w:spacing w:val="0"/>
        <w:w w:val="91"/>
        <w:sz w:val="21"/>
        <w:szCs w:val="21"/>
      </w:rPr>
    </w:lvl>
    <w:lvl w:ilvl="3">
      <w:start w:val="0"/>
      <w:numFmt w:val="bullet"/>
      <w:lvlText w:val="•"/>
      <w:lvlJc w:val="left"/>
      <w:pPr>
        <w:ind w:left="4428" w:hanging="338"/>
      </w:pPr>
      <w:rPr>
        <w:rFonts w:hint="default"/>
      </w:rPr>
    </w:lvl>
    <w:lvl w:ilvl="4">
      <w:start w:val="0"/>
      <w:numFmt w:val="bullet"/>
      <w:lvlText w:val="•"/>
      <w:lvlJc w:val="left"/>
      <w:pPr>
        <w:ind w:left="5496" w:hanging="338"/>
      </w:pPr>
      <w:rPr>
        <w:rFonts w:hint="default"/>
      </w:rPr>
    </w:lvl>
    <w:lvl w:ilvl="5">
      <w:start w:val="0"/>
      <w:numFmt w:val="bullet"/>
      <w:lvlText w:val="•"/>
      <w:lvlJc w:val="left"/>
      <w:pPr>
        <w:ind w:left="6564" w:hanging="338"/>
      </w:pPr>
      <w:rPr>
        <w:rFonts w:hint="default"/>
      </w:rPr>
    </w:lvl>
    <w:lvl w:ilvl="6">
      <w:start w:val="0"/>
      <w:numFmt w:val="bullet"/>
      <w:lvlText w:val="•"/>
      <w:lvlJc w:val="left"/>
      <w:pPr>
        <w:ind w:left="7632" w:hanging="338"/>
      </w:pPr>
      <w:rPr>
        <w:rFonts w:hint="default"/>
      </w:rPr>
    </w:lvl>
    <w:lvl w:ilvl="7">
      <w:start w:val="0"/>
      <w:numFmt w:val="bullet"/>
      <w:lvlText w:val="•"/>
      <w:lvlJc w:val="left"/>
      <w:pPr>
        <w:ind w:left="8700" w:hanging="338"/>
      </w:pPr>
      <w:rPr>
        <w:rFonts w:hint="default"/>
      </w:rPr>
    </w:lvl>
    <w:lvl w:ilvl="8">
      <w:start w:val="0"/>
      <w:numFmt w:val="bullet"/>
      <w:lvlText w:val="•"/>
      <w:lvlJc w:val="left"/>
      <w:pPr>
        <w:ind w:left="9769" w:hanging="338"/>
      </w:pPr>
      <w:rPr>
        <w:rFonts w:hint="default"/>
      </w:rPr>
    </w:lvl>
  </w:abstractNum>
  <w:abstractNum w:abstractNumId="14">
    <w:multiLevelType w:val="hybridMultilevel"/>
    <w:lvl w:ilvl="0">
      <w:start w:val="40"/>
      <w:numFmt w:val="decimal"/>
      <w:lvlText w:val="%1"/>
      <w:lvlJc w:val="left"/>
      <w:pPr>
        <w:ind w:left="1927" w:hanging="341"/>
        <w:jc w:val="left"/>
      </w:pPr>
      <w:rPr>
        <w:rFonts w:hint="default" w:ascii="Calibri" w:hAnsi="Calibri" w:eastAsia="Calibri" w:cs="Calibri"/>
        <w:spacing w:val="0"/>
        <w:w w:val="109"/>
        <w:sz w:val="21"/>
        <w:szCs w:val="21"/>
      </w:rPr>
    </w:lvl>
    <w:lvl w:ilvl="1">
      <w:start w:val="1"/>
      <w:numFmt w:val="lowerLetter"/>
      <w:lvlText w:val="(%2)"/>
      <w:lvlJc w:val="left"/>
      <w:pPr>
        <w:ind w:left="3027" w:hanging="307"/>
        <w:jc w:val="left"/>
      </w:pPr>
      <w:rPr>
        <w:rFonts w:hint="default" w:ascii="Calibri" w:hAnsi="Calibri" w:eastAsia="Calibri" w:cs="Calibri"/>
        <w:w w:val="91"/>
        <w:sz w:val="21"/>
        <w:szCs w:val="21"/>
      </w:rPr>
    </w:lvl>
    <w:lvl w:ilvl="2">
      <w:start w:val="1"/>
      <w:numFmt w:val="lowerRoman"/>
      <w:lvlText w:val="(%3)"/>
      <w:lvlJc w:val="left"/>
      <w:pPr>
        <w:ind w:left="3364" w:hanging="338"/>
        <w:jc w:val="left"/>
      </w:pPr>
      <w:rPr>
        <w:rFonts w:hint="default" w:ascii="Calibri" w:hAnsi="Calibri" w:eastAsia="Calibri" w:cs="Calibri"/>
        <w:spacing w:val="0"/>
        <w:w w:val="91"/>
        <w:sz w:val="21"/>
        <w:szCs w:val="21"/>
      </w:rPr>
    </w:lvl>
    <w:lvl w:ilvl="3">
      <w:start w:val="0"/>
      <w:numFmt w:val="bullet"/>
      <w:lvlText w:val="•"/>
      <w:lvlJc w:val="left"/>
      <w:pPr>
        <w:ind w:left="4428" w:hanging="338"/>
      </w:pPr>
      <w:rPr>
        <w:rFonts w:hint="default"/>
      </w:rPr>
    </w:lvl>
    <w:lvl w:ilvl="4">
      <w:start w:val="0"/>
      <w:numFmt w:val="bullet"/>
      <w:lvlText w:val="•"/>
      <w:lvlJc w:val="left"/>
      <w:pPr>
        <w:ind w:left="5496" w:hanging="338"/>
      </w:pPr>
      <w:rPr>
        <w:rFonts w:hint="default"/>
      </w:rPr>
    </w:lvl>
    <w:lvl w:ilvl="5">
      <w:start w:val="0"/>
      <w:numFmt w:val="bullet"/>
      <w:lvlText w:val="•"/>
      <w:lvlJc w:val="left"/>
      <w:pPr>
        <w:ind w:left="6564" w:hanging="338"/>
      </w:pPr>
      <w:rPr>
        <w:rFonts w:hint="default"/>
      </w:rPr>
    </w:lvl>
    <w:lvl w:ilvl="6">
      <w:start w:val="0"/>
      <w:numFmt w:val="bullet"/>
      <w:lvlText w:val="•"/>
      <w:lvlJc w:val="left"/>
      <w:pPr>
        <w:ind w:left="7632" w:hanging="338"/>
      </w:pPr>
      <w:rPr>
        <w:rFonts w:hint="default"/>
      </w:rPr>
    </w:lvl>
    <w:lvl w:ilvl="7">
      <w:start w:val="0"/>
      <w:numFmt w:val="bullet"/>
      <w:lvlText w:val="•"/>
      <w:lvlJc w:val="left"/>
      <w:pPr>
        <w:ind w:left="8700" w:hanging="338"/>
      </w:pPr>
      <w:rPr>
        <w:rFonts w:hint="default"/>
      </w:rPr>
    </w:lvl>
    <w:lvl w:ilvl="8">
      <w:start w:val="0"/>
      <w:numFmt w:val="bullet"/>
      <w:lvlText w:val="•"/>
      <w:lvlJc w:val="left"/>
      <w:pPr>
        <w:ind w:left="9769" w:hanging="338"/>
      </w:pPr>
      <w:rPr>
        <w:rFonts w:hint="default"/>
      </w:rPr>
    </w:lvl>
  </w:abstractNum>
  <w:abstractNum w:abstractNumId="13">
    <w:multiLevelType w:val="hybridMultilevel"/>
    <w:lvl w:ilvl="0">
      <w:start w:val="37"/>
      <w:numFmt w:val="decimal"/>
      <w:lvlText w:val="%1"/>
      <w:lvlJc w:val="left"/>
      <w:pPr>
        <w:ind w:left="1927" w:hanging="341"/>
        <w:jc w:val="left"/>
      </w:pPr>
      <w:rPr>
        <w:rFonts w:hint="default" w:ascii="Calibri" w:hAnsi="Calibri" w:eastAsia="Calibri" w:cs="Calibri"/>
        <w:spacing w:val="-7"/>
        <w:w w:val="109"/>
        <w:sz w:val="21"/>
        <w:szCs w:val="21"/>
      </w:rPr>
    </w:lvl>
    <w:lvl w:ilvl="1">
      <w:start w:val="1"/>
      <w:numFmt w:val="lowerLetter"/>
      <w:lvlText w:val="(%2)"/>
      <w:lvlJc w:val="left"/>
      <w:pPr>
        <w:ind w:left="3027" w:hanging="307"/>
        <w:jc w:val="left"/>
      </w:pPr>
      <w:rPr>
        <w:rFonts w:hint="default"/>
        <w:w w:val="91"/>
      </w:rPr>
    </w:lvl>
    <w:lvl w:ilvl="2">
      <w:start w:val="1"/>
      <w:numFmt w:val="lowerRoman"/>
      <w:lvlText w:val="(%3)"/>
      <w:lvlJc w:val="left"/>
      <w:pPr>
        <w:ind w:left="3295" w:hanging="307"/>
        <w:jc w:val="left"/>
      </w:pPr>
      <w:rPr>
        <w:rFonts w:hint="default" w:ascii="Calibri" w:hAnsi="Calibri" w:eastAsia="Calibri" w:cs="Calibri"/>
        <w:spacing w:val="0"/>
        <w:w w:val="91"/>
        <w:sz w:val="20"/>
        <w:szCs w:val="20"/>
      </w:rPr>
    </w:lvl>
    <w:lvl w:ilvl="3">
      <w:start w:val="0"/>
      <w:numFmt w:val="bullet"/>
      <w:lvlText w:val="•"/>
      <w:lvlJc w:val="left"/>
      <w:pPr>
        <w:ind w:left="4375" w:hanging="307"/>
      </w:pPr>
      <w:rPr>
        <w:rFonts w:hint="default"/>
      </w:rPr>
    </w:lvl>
    <w:lvl w:ilvl="4">
      <w:start w:val="0"/>
      <w:numFmt w:val="bullet"/>
      <w:lvlText w:val="•"/>
      <w:lvlJc w:val="left"/>
      <w:pPr>
        <w:ind w:left="5451" w:hanging="307"/>
      </w:pPr>
      <w:rPr>
        <w:rFonts w:hint="default"/>
      </w:rPr>
    </w:lvl>
    <w:lvl w:ilvl="5">
      <w:start w:val="0"/>
      <w:numFmt w:val="bullet"/>
      <w:lvlText w:val="•"/>
      <w:lvlJc w:val="left"/>
      <w:pPr>
        <w:ind w:left="6527" w:hanging="307"/>
      </w:pPr>
      <w:rPr>
        <w:rFonts w:hint="default"/>
      </w:rPr>
    </w:lvl>
    <w:lvl w:ilvl="6">
      <w:start w:val="0"/>
      <w:numFmt w:val="bullet"/>
      <w:lvlText w:val="•"/>
      <w:lvlJc w:val="left"/>
      <w:pPr>
        <w:ind w:left="7602" w:hanging="307"/>
      </w:pPr>
      <w:rPr>
        <w:rFonts w:hint="default"/>
      </w:rPr>
    </w:lvl>
    <w:lvl w:ilvl="7">
      <w:start w:val="0"/>
      <w:numFmt w:val="bullet"/>
      <w:lvlText w:val="•"/>
      <w:lvlJc w:val="left"/>
      <w:pPr>
        <w:ind w:left="8678" w:hanging="307"/>
      </w:pPr>
      <w:rPr>
        <w:rFonts w:hint="default"/>
      </w:rPr>
    </w:lvl>
    <w:lvl w:ilvl="8">
      <w:start w:val="0"/>
      <w:numFmt w:val="bullet"/>
      <w:lvlText w:val="•"/>
      <w:lvlJc w:val="left"/>
      <w:pPr>
        <w:ind w:left="9754" w:hanging="307"/>
      </w:pPr>
      <w:rPr>
        <w:rFonts w:hint="default"/>
      </w:rPr>
    </w:lvl>
  </w:abstractNum>
  <w:abstractNum w:abstractNumId="12">
    <w:multiLevelType w:val="hybridMultilevel"/>
    <w:lvl w:ilvl="0">
      <w:start w:val="29"/>
      <w:numFmt w:val="decimal"/>
      <w:lvlText w:val="%1"/>
      <w:lvlJc w:val="left"/>
      <w:pPr>
        <w:ind w:left="1927" w:hanging="341"/>
        <w:jc w:val="left"/>
      </w:pPr>
      <w:rPr>
        <w:rFonts w:hint="default" w:ascii="Calibri" w:hAnsi="Calibri" w:eastAsia="Calibri" w:cs="Calibri"/>
        <w:spacing w:val="-5"/>
        <w:w w:val="109"/>
        <w:sz w:val="21"/>
        <w:szCs w:val="21"/>
      </w:rPr>
    </w:lvl>
    <w:lvl w:ilvl="1">
      <w:start w:val="1"/>
      <w:numFmt w:val="lowerLetter"/>
      <w:lvlText w:val="(%2)"/>
      <w:lvlJc w:val="left"/>
      <w:pPr>
        <w:ind w:left="3027" w:hanging="307"/>
        <w:jc w:val="left"/>
      </w:pPr>
      <w:rPr>
        <w:rFonts w:hint="default" w:ascii="Calibri" w:hAnsi="Calibri" w:eastAsia="Calibri" w:cs="Calibri"/>
        <w:w w:val="91"/>
        <w:sz w:val="21"/>
        <w:szCs w:val="21"/>
      </w:rPr>
    </w:lvl>
    <w:lvl w:ilvl="2">
      <w:start w:val="0"/>
      <w:numFmt w:val="bullet"/>
      <w:lvlText w:val="•"/>
      <w:lvlJc w:val="left"/>
      <w:pPr>
        <w:ind w:left="4007" w:hanging="307"/>
      </w:pPr>
      <w:rPr>
        <w:rFonts w:hint="default"/>
      </w:rPr>
    </w:lvl>
    <w:lvl w:ilvl="3">
      <w:start w:val="0"/>
      <w:numFmt w:val="bullet"/>
      <w:lvlText w:val="•"/>
      <w:lvlJc w:val="left"/>
      <w:pPr>
        <w:ind w:left="4994" w:hanging="307"/>
      </w:pPr>
      <w:rPr>
        <w:rFonts w:hint="default"/>
      </w:rPr>
    </w:lvl>
    <w:lvl w:ilvl="4">
      <w:start w:val="0"/>
      <w:numFmt w:val="bullet"/>
      <w:lvlText w:val="•"/>
      <w:lvlJc w:val="left"/>
      <w:pPr>
        <w:ind w:left="5981" w:hanging="307"/>
      </w:pPr>
      <w:rPr>
        <w:rFonts w:hint="default"/>
      </w:rPr>
    </w:lvl>
    <w:lvl w:ilvl="5">
      <w:start w:val="0"/>
      <w:numFmt w:val="bullet"/>
      <w:lvlText w:val="•"/>
      <w:lvlJc w:val="left"/>
      <w:pPr>
        <w:ind w:left="6969" w:hanging="307"/>
      </w:pPr>
      <w:rPr>
        <w:rFonts w:hint="default"/>
      </w:rPr>
    </w:lvl>
    <w:lvl w:ilvl="6">
      <w:start w:val="0"/>
      <w:numFmt w:val="bullet"/>
      <w:lvlText w:val="•"/>
      <w:lvlJc w:val="left"/>
      <w:pPr>
        <w:ind w:left="7956" w:hanging="307"/>
      </w:pPr>
      <w:rPr>
        <w:rFonts w:hint="default"/>
      </w:rPr>
    </w:lvl>
    <w:lvl w:ilvl="7">
      <w:start w:val="0"/>
      <w:numFmt w:val="bullet"/>
      <w:lvlText w:val="•"/>
      <w:lvlJc w:val="left"/>
      <w:pPr>
        <w:ind w:left="8943" w:hanging="307"/>
      </w:pPr>
      <w:rPr>
        <w:rFonts w:hint="default"/>
      </w:rPr>
    </w:lvl>
    <w:lvl w:ilvl="8">
      <w:start w:val="0"/>
      <w:numFmt w:val="bullet"/>
      <w:lvlText w:val="•"/>
      <w:lvlJc w:val="left"/>
      <w:pPr>
        <w:ind w:left="9930" w:hanging="307"/>
      </w:pPr>
      <w:rPr>
        <w:rFonts w:hint="default"/>
      </w:rPr>
    </w:lvl>
  </w:abstractNum>
  <w:abstractNum w:abstractNumId="11">
    <w:multiLevelType w:val="hybridMultilevel"/>
    <w:lvl w:ilvl="0">
      <w:start w:val="21"/>
      <w:numFmt w:val="decimal"/>
      <w:lvlText w:val="%1"/>
      <w:lvlJc w:val="left"/>
      <w:pPr>
        <w:ind w:left="1927" w:hanging="341"/>
        <w:jc w:val="left"/>
      </w:pPr>
      <w:rPr>
        <w:rFonts w:hint="default" w:ascii="Calibri" w:hAnsi="Calibri" w:eastAsia="Calibri" w:cs="Calibri"/>
        <w:spacing w:val="-13"/>
        <w:w w:val="109"/>
        <w:sz w:val="21"/>
        <w:szCs w:val="21"/>
      </w:rPr>
    </w:lvl>
    <w:lvl w:ilvl="1">
      <w:start w:val="1"/>
      <w:numFmt w:val="lowerLetter"/>
      <w:lvlText w:val="(%2)"/>
      <w:lvlJc w:val="left"/>
      <w:pPr>
        <w:ind w:left="3027" w:hanging="307"/>
        <w:jc w:val="left"/>
      </w:pPr>
      <w:rPr>
        <w:rFonts w:hint="default" w:ascii="Calibri" w:hAnsi="Calibri" w:eastAsia="Calibri" w:cs="Calibri"/>
        <w:w w:val="91"/>
        <w:sz w:val="21"/>
        <w:szCs w:val="21"/>
      </w:rPr>
    </w:lvl>
    <w:lvl w:ilvl="2">
      <w:start w:val="0"/>
      <w:numFmt w:val="bullet"/>
      <w:lvlText w:val="•"/>
      <w:lvlJc w:val="left"/>
      <w:pPr>
        <w:ind w:left="4007" w:hanging="307"/>
      </w:pPr>
      <w:rPr>
        <w:rFonts w:hint="default"/>
      </w:rPr>
    </w:lvl>
    <w:lvl w:ilvl="3">
      <w:start w:val="0"/>
      <w:numFmt w:val="bullet"/>
      <w:lvlText w:val="•"/>
      <w:lvlJc w:val="left"/>
      <w:pPr>
        <w:ind w:left="4994" w:hanging="307"/>
      </w:pPr>
      <w:rPr>
        <w:rFonts w:hint="default"/>
      </w:rPr>
    </w:lvl>
    <w:lvl w:ilvl="4">
      <w:start w:val="0"/>
      <w:numFmt w:val="bullet"/>
      <w:lvlText w:val="•"/>
      <w:lvlJc w:val="left"/>
      <w:pPr>
        <w:ind w:left="5981" w:hanging="307"/>
      </w:pPr>
      <w:rPr>
        <w:rFonts w:hint="default"/>
      </w:rPr>
    </w:lvl>
    <w:lvl w:ilvl="5">
      <w:start w:val="0"/>
      <w:numFmt w:val="bullet"/>
      <w:lvlText w:val="•"/>
      <w:lvlJc w:val="left"/>
      <w:pPr>
        <w:ind w:left="6969" w:hanging="307"/>
      </w:pPr>
      <w:rPr>
        <w:rFonts w:hint="default"/>
      </w:rPr>
    </w:lvl>
    <w:lvl w:ilvl="6">
      <w:start w:val="0"/>
      <w:numFmt w:val="bullet"/>
      <w:lvlText w:val="•"/>
      <w:lvlJc w:val="left"/>
      <w:pPr>
        <w:ind w:left="7956" w:hanging="307"/>
      </w:pPr>
      <w:rPr>
        <w:rFonts w:hint="default"/>
      </w:rPr>
    </w:lvl>
    <w:lvl w:ilvl="7">
      <w:start w:val="0"/>
      <w:numFmt w:val="bullet"/>
      <w:lvlText w:val="•"/>
      <w:lvlJc w:val="left"/>
      <w:pPr>
        <w:ind w:left="8943" w:hanging="307"/>
      </w:pPr>
      <w:rPr>
        <w:rFonts w:hint="default"/>
      </w:rPr>
    </w:lvl>
    <w:lvl w:ilvl="8">
      <w:start w:val="0"/>
      <w:numFmt w:val="bullet"/>
      <w:lvlText w:val="•"/>
      <w:lvlJc w:val="left"/>
      <w:pPr>
        <w:ind w:left="9930" w:hanging="307"/>
      </w:pPr>
      <w:rPr>
        <w:rFonts w:hint="default"/>
      </w:rPr>
    </w:lvl>
  </w:abstractNum>
  <w:abstractNum w:abstractNumId="10">
    <w:multiLevelType w:val="hybridMultilevel"/>
    <w:lvl w:ilvl="0">
      <w:start w:val="10"/>
      <w:numFmt w:val="decimal"/>
      <w:lvlText w:val="%1"/>
      <w:lvlJc w:val="left"/>
      <w:pPr>
        <w:ind w:left="1927" w:hanging="341"/>
        <w:jc w:val="left"/>
      </w:pPr>
      <w:rPr>
        <w:rFonts w:hint="default" w:ascii="Calibri" w:hAnsi="Calibri" w:eastAsia="Calibri" w:cs="Calibri"/>
        <w:spacing w:val="-11"/>
        <w:w w:val="109"/>
        <w:sz w:val="21"/>
        <w:szCs w:val="21"/>
      </w:rPr>
    </w:lvl>
    <w:lvl w:ilvl="1">
      <w:start w:val="0"/>
      <w:numFmt w:val="bullet"/>
      <w:lvlText w:val="•"/>
      <w:lvlJc w:val="left"/>
      <w:pPr>
        <w:ind w:left="2721" w:hanging="341"/>
      </w:pPr>
      <w:rPr>
        <w:rFonts w:hint="default" w:ascii="Calibri" w:hAnsi="Calibri" w:eastAsia="Calibri" w:cs="Calibri"/>
        <w:w w:val="100"/>
        <w:sz w:val="21"/>
        <w:szCs w:val="21"/>
      </w:rPr>
    </w:lvl>
    <w:lvl w:ilvl="2">
      <w:start w:val="0"/>
      <w:numFmt w:val="bullet"/>
      <w:lvlText w:val="•"/>
      <w:lvlJc w:val="left"/>
      <w:pPr>
        <w:ind w:left="3740" w:hanging="341"/>
      </w:pPr>
      <w:rPr>
        <w:rFonts w:hint="default"/>
      </w:rPr>
    </w:lvl>
    <w:lvl w:ilvl="3">
      <w:start w:val="0"/>
      <w:numFmt w:val="bullet"/>
      <w:lvlText w:val="•"/>
      <w:lvlJc w:val="left"/>
      <w:pPr>
        <w:ind w:left="4761" w:hanging="341"/>
      </w:pPr>
      <w:rPr>
        <w:rFonts w:hint="default"/>
      </w:rPr>
    </w:lvl>
    <w:lvl w:ilvl="4">
      <w:start w:val="0"/>
      <w:numFmt w:val="bullet"/>
      <w:lvlText w:val="•"/>
      <w:lvlJc w:val="left"/>
      <w:pPr>
        <w:ind w:left="5781" w:hanging="341"/>
      </w:pPr>
      <w:rPr>
        <w:rFonts w:hint="default"/>
      </w:rPr>
    </w:lvl>
    <w:lvl w:ilvl="5">
      <w:start w:val="0"/>
      <w:numFmt w:val="bullet"/>
      <w:lvlText w:val="•"/>
      <w:lvlJc w:val="left"/>
      <w:pPr>
        <w:ind w:left="6802" w:hanging="341"/>
      </w:pPr>
      <w:rPr>
        <w:rFonts w:hint="default"/>
      </w:rPr>
    </w:lvl>
    <w:lvl w:ilvl="6">
      <w:start w:val="0"/>
      <w:numFmt w:val="bullet"/>
      <w:lvlText w:val="•"/>
      <w:lvlJc w:val="left"/>
      <w:pPr>
        <w:ind w:left="7823" w:hanging="341"/>
      </w:pPr>
      <w:rPr>
        <w:rFonts w:hint="default"/>
      </w:rPr>
    </w:lvl>
    <w:lvl w:ilvl="7">
      <w:start w:val="0"/>
      <w:numFmt w:val="bullet"/>
      <w:lvlText w:val="•"/>
      <w:lvlJc w:val="left"/>
      <w:pPr>
        <w:ind w:left="8843" w:hanging="341"/>
      </w:pPr>
      <w:rPr>
        <w:rFonts w:hint="default"/>
      </w:rPr>
    </w:lvl>
    <w:lvl w:ilvl="8">
      <w:start w:val="0"/>
      <w:numFmt w:val="bullet"/>
      <w:lvlText w:val="•"/>
      <w:lvlJc w:val="left"/>
      <w:pPr>
        <w:ind w:left="9864" w:hanging="341"/>
      </w:pPr>
      <w:rPr>
        <w:rFonts w:hint="default"/>
      </w:rPr>
    </w:lvl>
  </w:abstractNum>
  <w:abstractNum w:abstractNumId="9">
    <w:multiLevelType w:val="hybridMultilevel"/>
    <w:lvl w:ilvl="0">
      <w:start w:val="5"/>
      <w:numFmt w:val="decimal"/>
      <w:lvlText w:val="%1"/>
      <w:lvlJc w:val="left"/>
      <w:pPr>
        <w:ind w:left="1927" w:hanging="341"/>
        <w:jc w:val="left"/>
      </w:pPr>
      <w:rPr>
        <w:rFonts w:hint="default" w:ascii="Calibri" w:hAnsi="Calibri" w:eastAsia="Calibri" w:cs="Calibri"/>
        <w:w w:val="109"/>
        <w:sz w:val="21"/>
        <w:szCs w:val="21"/>
      </w:rPr>
    </w:lvl>
    <w:lvl w:ilvl="1">
      <w:start w:val="1"/>
      <w:numFmt w:val="lowerLetter"/>
      <w:lvlText w:val="(%2)"/>
      <w:lvlJc w:val="left"/>
      <w:pPr>
        <w:ind w:left="2381" w:hanging="454"/>
        <w:jc w:val="left"/>
      </w:pPr>
      <w:rPr>
        <w:rFonts w:hint="default" w:ascii="Calibri" w:hAnsi="Calibri" w:eastAsia="Calibri" w:cs="Calibri"/>
        <w:w w:val="91"/>
        <w:sz w:val="21"/>
        <w:szCs w:val="21"/>
      </w:rPr>
    </w:lvl>
    <w:lvl w:ilvl="2">
      <w:start w:val="0"/>
      <w:numFmt w:val="bullet"/>
      <w:lvlText w:val="•"/>
      <w:lvlJc w:val="left"/>
      <w:pPr>
        <w:ind w:left="3020" w:hanging="454"/>
      </w:pPr>
      <w:rPr>
        <w:rFonts w:hint="default"/>
      </w:rPr>
    </w:lvl>
    <w:lvl w:ilvl="3">
      <w:start w:val="0"/>
      <w:numFmt w:val="bullet"/>
      <w:lvlText w:val="•"/>
      <w:lvlJc w:val="left"/>
      <w:pPr>
        <w:ind w:left="4130" w:hanging="454"/>
      </w:pPr>
      <w:rPr>
        <w:rFonts w:hint="default"/>
      </w:rPr>
    </w:lvl>
    <w:lvl w:ilvl="4">
      <w:start w:val="0"/>
      <w:numFmt w:val="bullet"/>
      <w:lvlText w:val="•"/>
      <w:lvlJc w:val="left"/>
      <w:pPr>
        <w:ind w:left="5241" w:hanging="454"/>
      </w:pPr>
      <w:rPr>
        <w:rFonts w:hint="default"/>
      </w:rPr>
    </w:lvl>
    <w:lvl w:ilvl="5">
      <w:start w:val="0"/>
      <w:numFmt w:val="bullet"/>
      <w:lvlText w:val="•"/>
      <w:lvlJc w:val="left"/>
      <w:pPr>
        <w:ind w:left="6352" w:hanging="454"/>
      </w:pPr>
      <w:rPr>
        <w:rFonts w:hint="default"/>
      </w:rPr>
    </w:lvl>
    <w:lvl w:ilvl="6">
      <w:start w:val="0"/>
      <w:numFmt w:val="bullet"/>
      <w:lvlText w:val="•"/>
      <w:lvlJc w:val="left"/>
      <w:pPr>
        <w:ind w:left="7462" w:hanging="454"/>
      </w:pPr>
      <w:rPr>
        <w:rFonts w:hint="default"/>
      </w:rPr>
    </w:lvl>
    <w:lvl w:ilvl="7">
      <w:start w:val="0"/>
      <w:numFmt w:val="bullet"/>
      <w:lvlText w:val="•"/>
      <w:lvlJc w:val="left"/>
      <w:pPr>
        <w:ind w:left="8573" w:hanging="454"/>
      </w:pPr>
      <w:rPr>
        <w:rFonts w:hint="default"/>
      </w:rPr>
    </w:lvl>
    <w:lvl w:ilvl="8">
      <w:start w:val="0"/>
      <w:numFmt w:val="bullet"/>
      <w:lvlText w:val="•"/>
      <w:lvlJc w:val="left"/>
      <w:pPr>
        <w:ind w:left="9684" w:hanging="454"/>
      </w:pPr>
      <w:rPr>
        <w:rFonts w:hint="default"/>
      </w:rPr>
    </w:lvl>
  </w:abstractNum>
  <w:abstractNum w:abstractNumId="7">
    <w:multiLevelType w:val="hybridMultilevel"/>
    <w:lvl w:ilvl="0">
      <w:start w:val="54"/>
      <w:numFmt w:val="decimal"/>
      <w:lvlText w:val="%1"/>
      <w:lvlJc w:val="left"/>
      <w:pPr>
        <w:ind w:left="1927" w:hanging="341"/>
        <w:jc w:val="left"/>
      </w:pPr>
      <w:rPr>
        <w:rFonts w:hint="default" w:ascii="Calibri" w:hAnsi="Calibri" w:eastAsia="Calibri" w:cs="Calibri"/>
        <w:spacing w:val="0"/>
        <w:w w:val="109"/>
        <w:sz w:val="21"/>
        <w:szCs w:val="21"/>
      </w:rPr>
    </w:lvl>
    <w:lvl w:ilvl="1">
      <w:start w:val="0"/>
      <w:numFmt w:val="bullet"/>
      <w:lvlText w:val="•"/>
      <w:lvlJc w:val="left"/>
      <w:pPr>
        <w:ind w:left="2918" w:hanging="341"/>
      </w:pPr>
      <w:rPr>
        <w:rFonts w:hint="default"/>
      </w:rPr>
    </w:lvl>
    <w:lvl w:ilvl="2">
      <w:start w:val="0"/>
      <w:numFmt w:val="bullet"/>
      <w:lvlText w:val="•"/>
      <w:lvlJc w:val="left"/>
      <w:pPr>
        <w:ind w:left="3917" w:hanging="341"/>
      </w:pPr>
      <w:rPr>
        <w:rFonts w:hint="default"/>
      </w:rPr>
    </w:lvl>
    <w:lvl w:ilvl="3">
      <w:start w:val="0"/>
      <w:numFmt w:val="bullet"/>
      <w:lvlText w:val="•"/>
      <w:lvlJc w:val="left"/>
      <w:pPr>
        <w:ind w:left="4915" w:hanging="341"/>
      </w:pPr>
      <w:rPr>
        <w:rFonts w:hint="default"/>
      </w:rPr>
    </w:lvl>
    <w:lvl w:ilvl="4">
      <w:start w:val="0"/>
      <w:numFmt w:val="bullet"/>
      <w:lvlText w:val="•"/>
      <w:lvlJc w:val="left"/>
      <w:pPr>
        <w:ind w:left="5914" w:hanging="341"/>
      </w:pPr>
      <w:rPr>
        <w:rFonts w:hint="default"/>
      </w:rPr>
    </w:lvl>
    <w:lvl w:ilvl="5">
      <w:start w:val="0"/>
      <w:numFmt w:val="bullet"/>
      <w:lvlText w:val="•"/>
      <w:lvlJc w:val="left"/>
      <w:pPr>
        <w:ind w:left="6912" w:hanging="341"/>
      </w:pPr>
      <w:rPr>
        <w:rFonts w:hint="default"/>
      </w:rPr>
    </w:lvl>
    <w:lvl w:ilvl="6">
      <w:start w:val="0"/>
      <w:numFmt w:val="bullet"/>
      <w:lvlText w:val="•"/>
      <w:lvlJc w:val="left"/>
      <w:pPr>
        <w:ind w:left="7911" w:hanging="341"/>
      </w:pPr>
      <w:rPr>
        <w:rFonts w:hint="default"/>
      </w:rPr>
    </w:lvl>
    <w:lvl w:ilvl="7">
      <w:start w:val="0"/>
      <w:numFmt w:val="bullet"/>
      <w:lvlText w:val="•"/>
      <w:lvlJc w:val="left"/>
      <w:pPr>
        <w:ind w:left="8909" w:hanging="341"/>
      </w:pPr>
      <w:rPr>
        <w:rFonts w:hint="default"/>
      </w:rPr>
    </w:lvl>
    <w:lvl w:ilvl="8">
      <w:start w:val="0"/>
      <w:numFmt w:val="bullet"/>
      <w:lvlText w:val="•"/>
      <w:lvlJc w:val="left"/>
      <w:pPr>
        <w:ind w:left="9908" w:hanging="341"/>
      </w:pPr>
      <w:rPr>
        <w:rFonts w:hint="default"/>
      </w:rPr>
    </w:lvl>
  </w:abstractNum>
  <w:abstractNum w:abstractNumId="6">
    <w:multiLevelType w:val="hybridMultilevel"/>
    <w:lvl w:ilvl="0">
      <w:start w:val="40"/>
      <w:numFmt w:val="decimal"/>
      <w:lvlText w:val="%1"/>
      <w:lvlJc w:val="left"/>
      <w:pPr>
        <w:ind w:left="1927" w:hanging="341"/>
        <w:jc w:val="left"/>
      </w:pPr>
      <w:rPr>
        <w:rFonts w:hint="default" w:ascii="Calibri" w:hAnsi="Calibri" w:eastAsia="Calibri" w:cs="Calibri"/>
        <w:spacing w:val="0"/>
        <w:w w:val="109"/>
        <w:sz w:val="21"/>
        <w:szCs w:val="21"/>
      </w:rPr>
    </w:lvl>
    <w:lvl w:ilvl="1">
      <w:start w:val="0"/>
      <w:numFmt w:val="bullet"/>
      <w:lvlText w:val="•"/>
      <w:lvlJc w:val="left"/>
      <w:pPr>
        <w:ind w:left="2918" w:hanging="341"/>
      </w:pPr>
      <w:rPr>
        <w:rFonts w:hint="default"/>
      </w:rPr>
    </w:lvl>
    <w:lvl w:ilvl="2">
      <w:start w:val="0"/>
      <w:numFmt w:val="bullet"/>
      <w:lvlText w:val="•"/>
      <w:lvlJc w:val="left"/>
      <w:pPr>
        <w:ind w:left="3917" w:hanging="341"/>
      </w:pPr>
      <w:rPr>
        <w:rFonts w:hint="default"/>
      </w:rPr>
    </w:lvl>
    <w:lvl w:ilvl="3">
      <w:start w:val="0"/>
      <w:numFmt w:val="bullet"/>
      <w:lvlText w:val="•"/>
      <w:lvlJc w:val="left"/>
      <w:pPr>
        <w:ind w:left="4915" w:hanging="341"/>
      </w:pPr>
      <w:rPr>
        <w:rFonts w:hint="default"/>
      </w:rPr>
    </w:lvl>
    <w:lvl w:ilvl="4">
      <w:start w:val="0"/>
      <w:numFmt w:val="bullet"/>
      <w:lvlText w:val="•"/>
      <w:lvlJc w:val="left"/>
      <w:pPr>
        <w:ind w:left="5914" w:hanging="341"/>
      </w:pPr>
      <w:rPr>
        <w:rFonts w:hint="default"/>
      </w:rPr>
    </w:lvl>
    <w:lvl w:ilvl="5">
      <w:start w:val="0"/>
      <w:numFmt w:val="bullet"/>
      <w:lvlText w:val="•"/>
      <w:lvlJc w:val="left"/>
      <w:pPr>
        <w:ind w:left="6912" w:hanging="341"/>
      </w:pPr>
      <w:rPr>
        <w:rFonts w:hint="default"/>
      </w:rPr>
    </w:lvl>
    <w:lvl w:ilvl="6">
      <w:start w:val="0"/>
      <w:numFmt w:val="bullet"/>
      <w:lvlText w:val="•"/>
      <w:lvlJc w:val="left"/>
      <w:pPr>
        <w:ind w:left="7911" w:hanging="341"/>
      </w:pPr>
      <w:rPr>
        <w:rFonts w:hint="default"/>
      </w:rPr>
    </w:lvl>
    <w:lvl w:ilvl="7">
      <w:start w:val="0"/>
      <w:numFmt w:val="bullet"/>
      <w:lvlText w:val="•"/>
      <w:lvlJc w:val="left"/>
      <w:pPr>
        <w:ind w:left="8909" w:hanging="341"/>
      </w:pPr>
      <w:rPr>
        <w:rFonts w:hint="default"/>
      </w:rPr>
    </w:lvl>
    <w:lvl w:ilvl="8">
      <w:start w:val="0"/>
      <w:numFmt w:val="bullet"/>
      <w:lvlText w:val="•"/>
      <w:lvlJc w:val="left"/>
      <w:pPr>
        <w:ind w:left="9908" w:hanging="341"/>
      </w:pPr>
      <w:rPr>
        <w:rFonts w:hint="default"/>
      </w:rPr>
    </w:lvl>
  </w:abstractNum>
  <w:abstractNum w:abstractNumId="5">
    <w:multiLevelType w:val="hybridMultilevel"/>
    <w:lvl w:ilvl="0">
      <w:start w:val="34"/>
      <w:numFmt w:val="decimal"/>
      <w:lvlText w:val="%1"/>
      <w:lvlJc w:val="left"/>
      <w:pPr>
        <w:ind w:left="1927" w:hanging="341"/>
        <w:jc w:val="left"/>
      </w:pPr>
      <w:rPr>
        <w:rFonts w:hint="default" w:ascii="Calibri" w:hAnsi="Calibri" w:eastAsia="Calibri" w:cs="Calibri"/>
        <w:w w:val="109"/>
        <w:sz w:val="21"/>
        <w:szCs w:val="21"/>
      </w:rPr>
    </w:lvl>
    <w:lvl w:ilvl="1">
      <w:start w:val="0"/>
      <w:numFmt w:val="bullet"/>
      <w:lvlText w:val="•"/>
      <w:lvlJc w:val="left"/>
      <w:pPr>
        <w:ind w:left="2721" w:hanging="341"/>
      </w:pPr>
      <w:rPr>
        <w:rFonts w:hint="default" w:ascii="Calibri" w:hAnsi="Calibri" w:eastAsia="Calibri" w:cs="Calibri"/>
        <w:w w:val="100"/>
        <w:sz w:val="21"/>
        <w:szCs w:val="21"/>
      </w:rPr>
    </w:lvl>
    <w:lvl w:ilvl="2">
      <w:start w:val="0"/>
      <w:numFmt w:val="bullet"/>
      <w:lvlText w:val="•"/>
      <w:lvlJc w:val="left"/>
      <w:pPr>
        <w:ind w:left="3740" w:hanging="341"/>
      </w:pPr>
      <w:rPr>
        <w:rFonts w:hint="default"/>
      </w:rPr>
    </w:lvl>
    <w:lvl w:ilvl="3">
      <w:start w:val="0"/>
      <w:numFmt w:val="bullet"/>
      <w:lvlText w:val="•"/>
      <w:lvlJc w:val="left"/>
      <w:pPr>
        <w:ind w:left="4761" w:hanging="341"/>
      </w:pPr>
      <w:rPr>
        <w:rFonts w:hint="default"/>
      </w:rPr>
    </w:lvl>
    <w:lvl w:ilvl="4">
      <w:start w:val="0"/>
      <w:numFmt w:val="bullet"/>
      <w:lvlText w:val="•"/>
      <w:lvlJc w:val="left"/>
      <w:pPr>
        <w:ind w:left="5781" w:hanging="341"/>
      </w:pPr>
      <w:rPr>
        <w:rFonts w:hint="default"/>
      </w:rPr>
    </w:lvl>
    <w:lvl w:ilvl="5">
      <w:start w:val="0"/>
      <w:numFmt w:val="bullet"/>
      <w:lvlText w:val="•"/>
      <w:lvlJc w:val="left"/>
      <w:pPr>
        <w:ind w:left="6802" w:hanging="341"/>
      </w:pPr>
      <w:rPr>
        <w:rFonts w:hint="default"/>
      </w:rPr>
    </w:lvl>
    <w:lvl w:ilvl="6">
      <w:start w:val="0"/>
      <w:numFmt w:val="bullet"/>
      <w:lvlText w:val="•"/>
      <w:lvlJc w:val="left"/>
      <w:pPr>
        <w:ind w:left="7823" w:hanging="341"/>
      </w:pPr>
      <w:rPr>
        <w:rFonts w:hint="default"/>
      </w:rPr>
    </w:lvl>
    <w:lvl w:ilvl="7">
      <w:start w:val="0"/>
      <w:numFmt w:val="bullet"/>
      <w:lvlText w:val="•"/>
      <w:lvlJc w:val="left"/>
      <w:pPr>
        <w:ind w:left="8843" w:hanging="341"/>
      </w:pPr>
      <w:rPr>
        <w:rFonts w:hint="default"/>
      </w:rPr>
    </w:lvl>
    <w:lvl w:ilvl="8">
      <w:start w:val="0"/>
      <w:numFmt w:val="bullet"/>
      <w:lvlText w:val="•"/>
      <w:lvlJc w:val="left"/>
      <w:pPr>
        <w:ind w:left="9864" w:hanging="341"/>
      </w:pPr>
      <w:rPr>
        <w:rFonts w:hint="default"/>
      </w:rPr>
    </w:lvl>
  </w:abstractNum>
  <w:abstractNum w:abstractNumId="4">
    <w:multiLevelType w:val="hybridMultilevel"/>
    <w:lvl w:ilvl="0">
      <w:start w:val="27"/>
      <w:numFmt w:val="decimal"/>
      <w:lvlText w:val="%1"/>
      <w:lvlJc w:val="left"/>
      <w:pPr>
        <w:ind w:left="1927" w:hanging="341"/>
        <w:jc w:val="left"/>
      </w:pPr>
      <w:rPr>
        <w:rFonts w:hint="default" w:ascii="Calibri" w:hAnsi="Calibri" w:eastAsia="Calibri" w:cs="Calibri"/>
        <w:spacing w:val="-9"/>
        <w:w w:val="109"/>
        <w:sz w:val="21"/>
        <w:szCs w:val="21"/>
      </w:rPr>
    </w:lvl>
    <w:lvl w:ilvl="1">
      <w:start w:val="0"/>
      <w:numFmt w:val="bullet"/>
      <w:lvlText w:val="•"/>
      <w:lvlJc w:val="left"/>
      <w:pPr>
        <w:ind w:left="2918" w:hanging="341"/>
      </w:pPr>
      <w:rPr>
        <w:rFonts w:hint="default"/>
      </w:rPr>
    </w:lvl>
    <w:lvl w:ilvl="2">
      <w:start w:val="0"/>
      <w:numFmt w:val="bullet"/>
      <w:lvlText w:val="•"/>
      <w:lvlJc w:val="left"/>
      <w:pPr>
        <w:ind w:left="3917" w:hanging="341"/>
      </w:pPr>
      <w:rPr>
        <w:rFonts w:hint="default"/>
      </w:rPr>
    </w:lvl>
    <w:lvl w:ilvl="3">
      <w:start w:val="0"/>
      <w:numFmt w:val="bullet"/>
      <w:lvlText w:val="•"/>
      <w:lvlJc w:val="left"/>
      <w:pPr>
        <w:ind w:left="4915" w:hanging="341"/>
      </w:pPr>
      <w:rPr>
        <w:rFonts w:hint="default"/>
      </w:rPr>
    </w:lvl>
    <w:lvl w:ilvl="4">
      <w:start w:val="0"/>
      <w:numFmt w:val="bullet"/>
      <w:lvlText w:val="•"/>
      <w:lvlJc w:val="left"/>
      <w:pPr>
        <w:ind w:left="5914" w:hanging="341"/>
      </w:pPr>
      <w:rPr>
        <w:rFonts w:hint="default"/>
      </w:rPr>
    </w:lvl>
    <w:lvl w:ilvl="5">
      <w:start w:val="0"/>
      <w:numFmt w:val="bullet"/>
      <w:lvlText w:val="•"/>
      <w:lvlJc w:val="left"/>
      <w:pPr>
        <w:ind w:left="6912" w:hanging="341"/>
      </w:pPr>
      <w:rPr>
        <w:rFonts w:hint="default"/>
      </w:rPr>
    </w:lvl>
    <w:lvl w:ilvl="6">
      <w:start w:val="0"/>
      <w:numFmt w:val="bullet"/>
      <w:lvlText w:val="•"/>
      <w:lvlJc w:val="left"/>
      <w:pPr>
        <w:ind w:left="7911" w:hanging="341"/>
      </w:pPr>
      <w:rPr>
        <w:rFonts w:hint="default"/>
      </w:rPr>
    </w:lvl>
    <w:lvl w:ilvl="7">
      <w:start w:val="0"/>
      <w:numFmt w:val="bullet"/>
      <w:lvlText w:val="•"/>
      <w:lvlJc w:val="left"/>
      <w:pPr>
        <w:ind w:left="8909" w:hanging="341"/>
      </w:pPr>
      <w:rPr>
        <w:rFonts w:hint="default"/>
      </w:rPr>
    </w:lvl>
    <w:lvl w:ilvl="8">
      <w:start w:val="0"/>
      <w:numFmt w:val="bullet"/>
      <w:lvlText w:val="•"/>
      <w:lvlJc w:val="left"/>
      <w:pPr>
        <w:ind w:left="9908" w:hanging="341"/>
      </w:pPr>
      <w:rPr>
        <w:rFonts w:hint="default"/>
      </w:rPr>
    </w:lvl>
  </w:abstractNum>
  <w:abstractNum w:abstractNumId="3">
    <w:multiLevelType w:val="hybridMultilevel"/>
    <w:lvl w:ilvl="0">
      <w:start w:val="1"/>
      <w:numFmt w:val="decimal"/>
      <w:lvlText w:val="%1"/>
      <w:lvlJc w:val="left"/>
      <w:pPr>
        <w:ind w:left="1927" w:hanging="341"/>
        <w:jc w:val="left"/>
      </w:pPr>
      <w:rPr>
        <w:rFonts w:hint="default" w:ascii="Calibri" w:hAnsi="Calibri" w:eastAsia="Calibri" w:cs="Calibri"/>
        <w:w w:val="109"/>
        <w:sz w:val="21"/>
        <w:szCs w:val="21"/>
      </w:rPr>
    </w:lvl>
    <w:lvl w:ilvl="1">
      <w:start w:val="1"/>
      <w:numFmt w:val="lowerLetter"/>
      <w:lvlText w:val="(%2)"/>
      <w:lvlJc w:val="left"/>
      <w:pPr>
        <w:ind w:left="2989" w:hanging="269"/>
        <w:jc w:val="left"/>
      </w:pPr>
      <w:rPr>
        <w:rFonts w:hint="default" w:ascii="Calibri" w:hAnsi="Calibri" w:eastAsia="Calibri" w:cs="Calibri"/>
        <w:w w:val="91"/>
        <w:sz w:val="20"/>
        <w:szCs w:val="20"/>
      </w:rPr>
    </w:lvl>
    <w:lvl w:ilvl="2">
      <w:start w:val="0"/>
      <w:numFmt w:val="bullet"/>
      <w:lvlText w:val="•"/>
      <w:lvlJc w:val="left"/>
      <w:pPr>
        <w:ind w:left="3971" w:hanging="269"/>
      </w:pPr>
      <w:rPr>
        <w:rFonts w:hint="default"/>
      </w:rPr>
    </w:lvl>
    <w:lvl w:ilvl="3">
      <w:start w:val="0"/>
      <w:numFmt w:val="bullet"/>
      <w:lvlText w:val="•"/>
      <w:lvlJc w:val="left"/>
      <w:pPr>
        <w:ind w:left="4963" w:hanging="269"/>
      </w:pPr>
      <w:rPr>
        <w:rFonts w:hint="default"/>
      </w:rPr>
    </w:lvl>
    <w:lvl w:ilvl="4">
      <w:start w:val="0"/>
      <w:numFmt w:val="bullet"/>
      <w:lvlText w:val="•"/>
      <w:lvlJc w:val="left"/>
      <w:pPr>
        <w:ind w:left="5955" w:hanging="269"/>
      </w:pPr>
      <w:rPr>
        <w:rFonts w:hint="default"/>
      </w:rPr>
    </w:lvl>
    <w:lvl w:ilvl="5">
      <w:start w:val="0"/>
      <w:numFmt w:val="bullet"/>
      <w:lvlText w:val="•"/>
      <w:lvlJc w:val="left"/>
      <w:pPr>
        <w:ind w:left="6946" w:hanging="269"/>
      </w:pPr>
      <w:rPr>
        <w:rFonts w:hint="default"/>
      </w:rPr>
    </w:lvl>
    <w:lvl w:ilvl="6">
      <w:start w:val="0"/>
      <w:numFmt w:val="bullet"/>
      <w:lvlText w:val="•"/>
      <w:lvlJc w:val="left"/>
      <w:pPr>
        <w:ind w:left="7938" w:hanging="269"/>
      </w:pPr>
      <w:rPr>
        <w:rFonts w:hint="default"/>
      </w:rPr>
    </w:lvl>
    <w:lvl w:ilvl="7">
      <w:start w:val="0"/>
      <w:numFmt w:val="bullet"/>
      <w:lvlText w:val="•"/>
      <w:lvlJc w:val="left"/>
      <w:pPr>
        <w:ind w:left="8930" w:hanging="269"/>
      </w:pPr>
      <w:rPr>
        <w:rFonts w:hint="default"/>
      </w:rPr>
    </w:lvl>
    <w:lvl w:ilvl="8">
      <w:start w:val="0"/>
      <w:numFmt w:val="bullet"/>
      <w:lvlText w:val="•"/>
      <w:lvlJc w:val="left"/>
      <w:pPr>
        <w:ind w:left="9922" w:hanging="269"/>
      </w:pPr>
      <w:rPr>
        <w:rFonts w:hint="default"/>
      </w:rPr>
    </w:lvl>
  </w:abstractNum>
  <w:abstractNum w:abstractNumId="2">
    <w:multiLevelType w:val="hybridMultilevel"/>
    <w:lvl w:ilvl="0">
      <w:start w:val="1"/>
      <w:numFmt w:val="decimal"/>
      <w:lvlText w:val="%1"/>
      <w:lvlJc w:val="left"/>
      <w:pPr>
        <w:ind w:left="1927" w:hanging="341"/>
        <w:jc w:val="left"/>
      </w:pPr>
      <w:rPr>
        <w:rFonts w:hint="default" w:ascii="Calibri" w:hAnsi="Calibri" w:eastAsia="Calibri" w:cs="Calibri"/>
        <w:w w:val="109"/>
        <w:sz w:val="21"/>
        <w:szCs w:val="21"/>
      </w:rPr>
    </w:lvl>
    <w:lvl w:ilvl="1">
      <w:start w:val="0"/>
      <w:numFmt w:val="bullet"/>
      <w:lvlText w:val="•"/>
      <w:lvlJc w:val="left"/>
      <w:pPr>
        <w:ind w:left="2918" w:hanging="341"/>
      </w:pPr>
      <w:rPr>
        <w:rFonts w:hint="default"/>
      </w:rPr>
    </w:lvl>
    <w:lvl w:ilvl="2">
      <w:start w:val="0"/>
      <w:numFmt w:val="bullet"/>
      <w:lvlText w:val="•"/>
      <w:lvlJc w:val="left"/>
      <w:pPr>
        <w:ind w:left="3917" w:hanging="341"/>
      </w:pPr>
      <w:rPr>
        <w:rFonts w:hint="default"/>
      </w:rPr>
    </w:lvl>
    <w:lvl w:ilvl="3">
      <w:start w:val="0"/>
      <w:numFmt w:val="bullet"/>
      <w:lvlText w:val="•"/>
      <w:lvlJc w:val="left"/>
      <w:pPr>
        <w:ind w:left="4915" w:hanging="341"/>
      </w:pPr>
      <w:rPr>
        <w:rFonts w:hint="default"/>
      </w:rPr>
    </w:lvl>
    <w:lvl w:ilvl="4">
      <w:start w:val="0"/>
      <w:numFmt w:val="bullet"/>
      <w:lvlText w:val="•"/>
      <w:lvlJc w:val="left"/>
      <w:pPr>
        <w:ind w:left="5914" w:hanging="341"/>
      </w:pPr>
      <w:rPr>
        <w:rFonts w:hint="default"/>
      </w:rPr>
    </w:lvl>
    <w:lvl w:ilvl="5">
      <w:start w:val="0"/>
      <w:numFmt w:val="bullet"/>
      <w:lvlText w:val="•"/>
      <w:lvlJc w:val="left"/>
      <w:pPr>
        <w:ind w:left="6912" w:hanging="341"/>
      </w:pPr>
      <w:rPr>
        <w:rFonts w:hint="default"/>
      </w:rPr>
    </w:lvl>
    <w:lvl w:ilvl="6">
      <w:start w:val="0"/>
      <w:numFmt w:val="bullet"/>
      <w:lvlText w:val="•"/>
      <w:lvlJc w:val="left"/>
      <w:pPr>
        <w:ind w:left="7911" w:hanging="341"/>
      </w:pPr>
      <w:rPr>
        <w:rFonts w:hint="default"/>
      </w:rPr>
    </w:lvl>
    <w:lvl w:ilvl="7">
      <w:start w:val="0"/>
      <w:numFmt w:val="bullet"/>
      <w:lvlText w:val="•"/>
      <w:lvlJc w:val="left"/>
      <w:pPr>
        <w:ind w:left="8909" w:hanging="341"/>
      </w:pPr>
      <w:rPr>
        <w:rFonts w:hint="default"/>
      </w:rPr>
    </w:lvl>
    <w:lvl w:ilvl="8">
      <w:start w:val="0"/>
      <w:numFmt w:val="bullet"/>
      <w:lvlText w:val="•"/>
      <w:lvlJc w:val="left"/>
      <w:pPr>
        <w:ind w:left="9908" w:hanging="341"/>
      </w:pPr>
      <w:rPr>
        <w:rFonts w:hint="default"/>
      </w:rPr>
    </w:lvl>
  </w:abstractNum>
  <w:abstractNum w:abstractNumId="1">
    <w:multiLevelType w:val="hybridMultilevel"/>
    <w:lvl w:ilvl="0">
      <w:start w:val="1"/>
      <w:numFmt w:val="lowerLetter"/>
      <w:lvlText w:val="(%1)"/>
      <w:lvlJc w:val="left"/>
      <w:pPr>
        <w:ind w:left="1927" w:hanging="341"/>
        <w:jc w:val="right"/>
      </w:pPr>
      <w:rPr>
        <w:rFonts w:hint="default" w:ascii="Calibri" w:hAnsi="Calibri" w:eastAsia="Calibri" w:cs="Calibri"/>
        <w:w w:val="91"/>
        <w:sz w:val="21"/>
        <w:szCs w:val="21"/>
      </w:rPr>
    </w:lvl>
    <w:lvl w:ilvl="1">
      <w:start w:val="0"/>
      <w:numFmt w:val="bullet"/>
      <w:lvlText w:val="•"/>
      <w:lvlJc w:val="left"/>
      <w:pPr>
        <w:ind w:left="2918" w:hanging="341"/>
      </w:pPr>
      <w:rPr>
        <w:rFonts w:hint="default"/>
      </w:rPr>
    </w:lvl>
    <w:lvl w:ilvl="2">
      <w:start w:val="0"/>
      <w:numFmt w:val="bullet"/>
      <w:lvlText w:val="•"/>
      <w:lvlJc w:val="left"/>
      <w:pPr>
        <w:ind w:left="3917" w:hanging="341"/>
      </w:pPr>
      <w:rPr>
        <w:rFonts w:hint="default"/>
      </w:rPr>
    </w:lvl>
    <w:lvl w:ilvl="3">
      <w:start w:val="0"/>
      <w:numFmt w:val="bullet"/>
      <w:lvlText w:val="•"/>
      <w:lvlJc w:val="left"/>
      <w:pPr>
        <w:ind w:left="4915" w:hanging="341"/>
      </w:pPr>
      <w:rPr>
        <w:rFonts w:hint="default"/>
      </w:rPr>
    </w:lvl>
    <w:lvl w:ilvl="4">
      <w:start w:val="0"/>
      <w:numFmt w:val="bullet"/>
      <w:lvlText w:val="•"/>
      <w:lvlJc w:val="left"/>
      <w:pPr>
        <w:ind w:left="5914" w:hanging="341"/>
      </w:pPr>
      <w:rPr>
        <w:rFonts w:hint="default"/>
      </w:rPr>
    </w:lvl>
    <w:lvl w:ilvl="5">
      <w:start w:val="0"/>
      <w:numFmt w:val="bullet"/>
      <w:lvlText w:val="•"/>
      <w:lvlJc w:val="left"/>
      <w:pPr>
        <w:ind w:left="6912" w:hanging="341"/>
      </w:pPr>
      <w:rPr>
        <w:rFonts w:hint="default"/>
      </w:rPr>
    </w:lvl>
    <w:lvl w:ilvl="6">
      <w:start w:val="0"/>
      <w:numFmt w:val="bullet"/>
      <w:lvlText w:val="•"/>
      <w:lvlJc w:val="left"/>
      <w:pPr>
        <w:ind w:left="7911" w:hanging="341"/>
      </w:pPr>
      <w:rPr>
        <w:rFonts w:hint="default"/>
      </w:rPr>
    </w:lvl>
    <w:lvl w:ilvl="7">
      <w:start w:val="0"/>
      <w:numFmt w:val="bullet"/>
      <w:lvlText w:val="•"/>
      <w:lvlJc w:val="left"/>
      <w:pPr>
        <w:ind w:left="8909" w:hanging="341"/>
      </w:pPr>
      <w:rPr>
        <w:rFonts w:hint="default"/>
      </w:rPr>
    </w:lvl>
    <w:lvl w:ilvl="8">
      <w:start w:val="0"/>
      <w:numFmt w:val="bullet"/>
      <w:lvlText w:val="•"/>
      <w:lvlJc w:val="left"/>
      <w:pPr>
        <w:ind w:left="9908" w:hanging="341"/>
      </w:pPr>
      <w:rPr>
        <w:rFonts w:hint="default"/>
      </w:rPr>
    </w:lvl>
  </w:abstractNum>
  <w:abstractNum w:abstractNumId="0">
    <w:multiLevelType w:val="hybridMultilevel"/>
    <w:lvl w:ilvl="0">
      <w:start w:val="0"/>
      <w:numFmt w:val="bullet"/>
      <w:lvlText w:val="*"/>
      <w:lvlJc w:val="left"/>
      <w:pPr>
        <w:ind w:left="382" w:hanging="112"/>
      </w:pPr>
      <w:rPr>
        <w:rFonts w:hint="default" w:ascii="Calibri" w:hAnsi="Calibri" w:eastAsia="Calibri" w:cs="Calibri"/>
        <w:i/>
        <w:color w:val="231F20"/>
        <w:w w:val="111"/>
        <w:sz w:val="14"/>
        <w:szCs w:val="14"/>
      </w:rPr>
    </w:lvl>
    <w:lvl w:ilvl="1">
      <w:start w:val="1"/>
      <w:numFmt w:val="decimal"/>
      <w:lvlText w:val="%2."/>
      <w:lvlJc w:val="left"/>
      <w:pPr>
        <w:ind w:left="1813" w:hanging="226"/>
        <w:jc w:val="left"/>
      </w:pPr>
      <w:rPr>
        <w:rFonts w:hint="default" w:ascii="Lucida Sans" w:hAnsi="Lucida Sans" w:eastAsia="Lucida Sans" w:cs="Lucida Sans"/>
        <w:color w:val="EC5A4F"/>
        <w:spacing w:val="-6"/>
        <w:w w:val="87"/>
        <w:sz w:val="21"/>
        <w:szCs w:val="21"/>
      </w:rPr>
    </w:lvl>
    <w:lvl w:ilvl="2">
      <w:start w:val="0"/>
      <w:numFmt w:val="bullet"/>
      <w:lvlText w:val="•"/>
      <w:lvlJc w:val="left"/>
      <w:pPr>
        <w:ind w:left="1820" w:hanging="226"/>
      </w:pPr>
      <w:rPr>
        <w:rFonts w:hint="default"/>
      </w:rPr>
    </w:lvl>
    <w:lvl w:ilvl="3">
      <w:start w:val="0"/>
      <w:numFmt w:val="bullet"/>
      <w:lvlText w:val="•"/>
      <w:lvlJc w:val="left"/>
      <w:pPr>
        <w:ind w:left="1534" w:hanging="226"/>
      </w:pPr>
      <w:rPr>
        <w:rFonts w:hint="default"/>
      </w:rPr>
    </w:lvl>
    <w:lvl w:ilvl="4">
      <w:start w:val="0"/>
      <w:numFmt w:val="bullet"/>
      <w:lvlText w:val="•"/>
      <w:lvlJc w:val="left"/>
      <w:pPr>
        <w:ind w:left="1249" w:hanging="226"/>
      </w:pPr>
      <w:rPr>
        <w:rFonts w:hint="default"/>
      </w:rPr>
    </w:lvl>
    <w:lvl w:ilvl="5">
      <w:start w:val="0"/>
      <w:numFmt w:val="bullet"/>
      <w:lvlText w:val="•"/>
      <w:lvlJc w:val="left"/>
      <w:pPr>
        <w:ind w:left="963" w:hanging="226"/>
      </w:pPr>
      <w:rPr>
        <w:rFonts w:hint="default"/>
      </w:rPr>
    </w:lvl>
    <w:lvl w:ilvl="6">
      <w:start w:val="0"/>
      <w:numFmt w:val="bullet"/>
      <w:lvlText w:val="•"/>
      <w:lvlJc w:val="left"/>
      <w:pPr>
        <w:ind w:left="678" w:hanging="226"/>
      </w:pPr>
      <w:rPr>
        <w:rFonts w:hint="default"/>
      </w:rPr>
    </w:lvl>
    <w:lvl w:ilvl="7">
      <w:start w:val="0"/>
      <w:numFmt w:val="bullet"/>
      <w:lvlText w:val="•"/>
      <w:lvlJc w:val="left"/>
      <w:pPr>
        <w:ind w:left="393" w:hanging="226"/>
      </w:pPr>
      <w:rPr>
        <w:rFonts w:hint="default"/>
      </w:rPr>
    </w:lvl>
    <w:lvl w:ilvl="8">
      <w:start w:val="0"/>
      <w:numFmt w:val="bullet"/>
      <w:lvlText w:val="•"/>
      <w:lvlJc w:val="left"/>
      <w:pPr>
        <w:ind w:left="107" w:hanging="226"/>
      </w:pPr>
      <w:rPr>
        <w:rFonts w:hint="default"/>
      </w:rPr>
    </w:lvl>
  </w:abstractNum>
  <w:num w:numId="155">
    <w:abstractNumId w:val="154"/>
  </w:num>
  <w:num w:numId="147">
    <w:abstractNumId w:val="146"/>
  </w:num>
  <w:num w:numId="131">
    <w:abstractNumId w:val="130"/>
  </w:num>
  <w:num w:numId="129">
    <w:abstractNumId w:val="128"/>
  </w:num>
  <w:num w:numId="122">
    <w:abstractNumId w:val="121"/>
  </w:num>
  <w:num w:numId="117">
    <w:abstractNumId w:val="116"/>
  </w:num>
  <w:num w:numId="110">
    <w:abstractNumId w:val="109"/>
  </w:num>
  <w:num w:numId="86">
    <w:abstractNumId w:val="85"/>
  </w:num>
  <w:num w:numId="81">
    <w:abstractNumId w:val="80"/>
  </w:num>
  <w:num w:numId="79">
    <w:abstractNumId w:val="78"/>
  </w:num>
  <w:num w:numId="73">
    <w:abstractNumId w:val="72"/>
  </w:num>
  <w:num w:numId="63">
    <w:abstractNumId w:val="62"/>
  </w:num>
  <w:num w:numId="58">
    <w:abstractNumId w:val="57"/>
  </w:num>
  <w:num w:numId="53">
    <w:abstractNumId w:val="52"/>
  </w:num>
  <w:num w:numId="52">
    <w:abstractNumId w:val="51"/>
  </w:num>
  <w:num w:numId="51">
    <w:abstractNumId w:val="50"/>
  </w:num>
  <w:num w:numId="42">
    <w:abstractNumId w:val="41"/>
  </w:num>
  <w:num w:numId="9">
    <w:abstractNumId w:val="8"/>
  </w:num>
  <w:num w:numId="160">
    <w:abstractNumId w:val="159"/>
  </w:num>
  <w:num w:numId="159">
    <w:abstractNumId w:val="158"/>
  </w:num>
  <w:num w:numId="158">
    <w:abstractNumId w:val="157"/>
  </w:num>
  <w:num w:numId="157">
    <w:abstractNumId w:val="156"/>
  </w:num>
  <w:num w:numId="156">
    <w:abstractNumId w:val="155"/>
  </w:num>
  <w:num w:numId="154">
    <w:abstractNumId w:val="153"/>
  </w:num>
  <w:num w:numId="153">
    <w:abstractNumId w:val="152"/>
  </w:num>
  <w:num w:numId="152">
    <w:abstractNumId w:val="151"/>
  </w:num>
  <w:num w:numId="151">
    <w:abstractNumId w:val="150"/>
  </w:num>
  <w:num w:numId="150">
    <w:abstractNumId w:val="149"/>
  </w:num>
  <w:num w:numId="149">
    <w:abstractNumId w:val="148"/>
  </w:num>
  <w:num w:numId="148">
    <w:abstractNumId w:val="147"/>
  </w:num>
  <w:num w:numId="146">
    <w:abstractNumId w:val="145"/>
  </w:num>
  <w:num w:numId="145">
    <w:abstractNumId w:val="144"/>
  </w:num>
  <w:num w:numId="144">
    <w:abstractNumId w:val="143"/>
  </w:num>
  <w:num w:numId="143">
    <w:abstractNumId w:val="142"/>
  </w:num>
  <w:num w:numId="142">
    <w:abstractNumId w:val="141"/>
  </w:num>
  <w:num w:numId="141">
    <w:abstractNumId w:val="140"/>
  </w:num>
  <w:num w:numId="140">
    <w:abstractNumId w:val="139"/>
  </w:num>
  <w:num w:numId="139">
    <w:abstractNumId w:val="138"/>
  </w:num>
  <w:num w:numId="138">
    <w:abstractNumId w:val="137"/>
  </w:num>
  <w:num w:numId="137">
    <w:abstractNumId w:val="136"/>
  </w:num>
  <w:num w:numId="136">
    <w:abstractNumId w:val="135"/>
  </w:num>
  <w:num w:numId="135">
    <w:abstractNumId w:val="134"/>
  </w:num>
  <w:num w:numId="134">
    <w:abstractNumId w:val="133"/>
  </w:num>
  <w:num w:numId="133">
    <w:abstractNumId w:val="132"/>
  </w:num>
  <w:num w:numId="132">
    <w:abstractNumId w:val="131"/>
  </w:num>
  <w:num w:numId="130">
    <w:abstractNumId w:val="129"/>
  </w:num>
  <w:num w:numId="128">
    <w:abstractNumId w:val="127"/>
  </w:num>
  <w:num w:numId="127">
    <w:abstractNumId w:val="126"/>
  </w:num>
  <w:num w:numId="126">
    <w:abstractNumId w:val="125"/>
  </w:num>
  <w:num w:numId="125">
    <w:abstractNumId w:val="124"/>
  </w:num>
  <w:num w:numId="124">
    <w:abstractNumId w:val="123"/>
  </w:num>
  <w:num w:numId="123">
    <w:abstractNumId w:val="122"/>
  </w:num>
  <w:num w:numId="121">
    <w:abstractNumId w:val="120"/>
  </w:num>
  <w:num w:numId="120">
    <w:abstractNumId w:val="119"/>
  </w:num>
  <w:num w:numId="119">
    <w:abstractNumId w:val="118"/>
  </w:num>
  <w:num w:numId="118">
    <w:abstractNumId w:val="117"/>
  </w:num>
  <w:num w:numId="116">
    <w:abstractNumId w:val="115"/>
  </w:num>
  <w:num w:numId="115">
    <w:abstractNumId w:val="114"/>
  </w:num>
  <w:num w:numId="114">
    <w:abstractNumId w:val="113"/>
  </w:num>
  <w:num w:numId="113">
    <w:abstractNumId w:val="112"/>
  </w:num>
  <w:num w:numId="112">
    <w:abstractNumId w:val="111"/>
  </w:num>
  <w:num w:numId="111">
    <w:abstractNumId w:val="110"/>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5">
    <w:abstractNumId w:val="84"/>
  </w:num>
  <w:num w:numId="84">
    <w:abstractNumId w:val="83"/>
  </w:num>
  <w:num w:numId="83">
    <w:abstractNumId w:val="82"/>
  </w:num>
  <w:num w:numId="82">
    <w:abstractNumId w:val="81"/>
  </w:num>
  <w:num w:numId="80">
    <w:abstractNumId w:val="79"/>
  </w:num>
  <w:num w:numId="78">
    <w:abstractNumId w:val="77"/>
  </w:num>
  <w:num w:numId="77">
    <w:abstractNumId w:val="76"/>
  </w:num>
  <w:num w:numId="76">
    <w:abstractNumId w:val="75"/>
  </w:num>
  <w:num w:numId="75">
    <w:abstractNumId w:val="74"/>
  </w:num>
  <w:num w:numId="74">
    <w:abstractNumId w:val="73"/>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2">
    <w:abstractNumId w:val="61"/>
  </w:num>
  <w:num w:numId="61">
    <w:abstractNumId w:val="60"/>
  </w:num>
  <w:num w:numId="60">
    <w:abstractNumId w:val="59"/>
  </w:num>
  <w:num w:numId="59">
    <w:abstractNumId w:val="58"/>
  </w:num>
  <w:num w:numId="57">
    <w:abstractNumId w:val="56"/>
  </w:num>
  <w:num w:numId="56">
    <w:abstractNumId w:val="55"/>
  </w:num>
  <w:num w:numId="55">
    <w:abstractNumId w:val="54"/>
  </w:num>
  <w:num w:numId="54">
    <w:abstractNumId w:val="53"/>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TOC1" w:type="paragraph">
    <w:name w:val="TOC 1"/>
    <w:basedOn w:val="Normal"/>
    <w:uiPriority w:val="1"/>
    <w:qFormat/>
    <w:pPr>
      <w:spacing w:before="20"/>
      <w:ind w:right="726"/>
      <w:jc w:val="right"/>
    </w:pPr>
    <w:rPr>
      <w:rFonts w:ascii="Calibri" w:hAnsi="Calibri" w:eastAsia="Calibri" w:cs="Calibri"/>
      <w:b/>
      <w:bCs/>
      <w:sz w:val="24"/>
      <w:szCs w:val="24"/>
    </w:rPr>
  </w:style>
  <w:style w:styleId="TOC2" w:type="paragraph">
    <w:name w:val="TOC 2"/>
    <w:basedOn w:val="Normal"/>
    <w:uiPriority w:val="1"/>
    <w:qFormat/>
    <w:pPr>
      <w:spacing w:before="92"/>
      <w:ind w:left="1819" w:hanging="233"/>
    </w:pPr>
    <w:rPr>
      <w:rFonts w:ascii="Lucida Sans" w:hAnsi="Lucida Sans" w:eastAsia="Lucida Sans" w:cs="Lucida Sans"/>
      <w:sz w:val="21"/>
      <w:szCs w:val="21"/>
    </w:rPr>
  </w:style>
  <w:style w:styleId="TOC3" w:type="paragraph">
    <w:name w:val="TOC 3"/>
    <w:basedOn w:val="Normal"/>
    <w:uiPriority w:val="1"/>
    <w:qFormat/>
    <w:pPr>
      <w:spacing w:before="89"/>
      <w:ind w:left="2153"/>
    </w:pPr>
    <w:rPr>
      <w:rFonts w:ascii="Calibri" w:hAnsi="Calibri" w:eastAsia="Calibri" w:cs="Calibri"/>
      <w:sz w:val="21"/>
      <w:szCs w:val="21"/>
    </w:rPr>
  </w:style>
  <w:style w:styleId="TOC4" w:type="paragraph">
    <w:name w:val="TOC 4"/>
    <w:basedOn w:val="Normal"/>
    <w:uiPriority w:val="1"/>
    <w:qFormat/>
    <w:pPr>
      <w:spacing w:before="89"/>
      <w:ind w:left="2153"/>
    </w:pPr>
    <w:rPr>
      <w:rFonts w:ascii="Calibri" w:hAnsi="Calibri" w:eastAsia="Calibri" w:cs="Calibri"/>
      <w:b/>
      <w:bCs/>
      <w:i/>
    </w:rPr>
  </w:style>
  <w:style w:styleId="TOC5" w:type="paragraph">
    <w:name w:val="TOC 5"/>
    <w:basedOn w:val="Normal"/>
    <w:uiPriority w:val="1"/>
    <w:qFormat/>
    <w:pPr>
      <w:spacing w:before="89"/>
      <w:ind w:left="2436"/>
    </w:pPr>
    <w:rPr>
      <w:rFonts w:ascii="Calibri" w:hAnsi="Calibri" w:eastAsia="Calibri" w:cs="Calibri"/>
      <w:sz w:val="21"/>
      <w:szCs w:val="21"/>
    </w:rPr>
  </w:style>
  <w:style w:styleId="BodyText" w:type="paragraph">
    <w:name w:val="Body Text"/>
    <w:basedOn w:val="Normal"/>
    <w:uiPriority w:val="1"/>
    <w:qFormat/>
    <w:pPr/>
    <w:rPr>
      <w:rFonts w:ascii="Calibri" w:hAnsi="Calibri" w:eastAsia="Calibri" w:cs="Calibri"/>
      <w:sz w:val="21"/>
      <w:szCs w:val="21"/>
    </w:rPr>
  </w:style>
  <w:style w:styleId="Heading1" w:type="paragraph">
    <w:name w:val="Heading 1"/>
    <w:basedOn w:val="Normal"/>
    <w:uiPriority w:val="1"/>
    <w:qFormat/>
    <w:pPr>
      <w:spacing w:before="85"/>
      <w:outlineLvl w:val="1"/>
    </w:pPr>
    <w:rPr>
      <w:rFonts w:ascii="Calibri" w:hAnsi="Calibri" w:eastAsia="Calibri" w:cs="Calibri"/>
      <w:b/>
      <w:bCs/>
      <w:sz w:val="48"/>
      <w:szCs w:val="48"/>
    </w:rPr>
  </w:style>
  <w:style w:styleId="Heading2" w:type="paragraph">
    <w:name w:val="Heading 2"/>
    <w:basedOn w:val="Normal"/>
    <w:uiPriority w:val="1"/>
    <w:qFormat/>
    <w:pPr>
      <w:spacing w:before="98"/>
      <w:ind w:left="566"/>
      <w:outlineLvl w:val="2"/>
    </w:pPr>
    <w:rPr>
      <w:rFonts w:ascii="Calibri" w:hAnsi="Calibri" w:eastAsia="Calibri" w:cs="Calibri"/>
      <w:b/>
      <w:bCs/>
      <w:sz w:val="44"/>
      <w:szCs w:val="44"/>
    </w:rPr>
  </w:style>
  <w:style w:styleId="Heading3" w:type="paragraph">
    <w:name w:val="Heading 3"/>
    <w:basedOn w:val="Normal"/>
    <w:uiPriority w:val="1"/>
    <w:qFormat/>
    <w:pPr>
      <w:spacing w:before="98"/>
      <w:ind w:left="1814"/>
      <w:outlineLvl w:val="3"/>
    </w:pPr>
    <w:rPr>
      <w:rFonts w:ascii="Calibri" w:hAnsi="Calibri" w:eastAsia="Calibri" w:cs="Calibri"/>
      <w:b/>
      <w:bCs/>
      <w:sz w:val="32"/>
      <w:szCs w:val="32"/>
    </w:rPr>
  </w:style>
  <w:style w:styleId="Heading4" w:type="paragraph">
    <w:name w:val="Heading 4"/>
    <w:basedOn w:val="Normal"/>
    <w:uiPriority w:val="1"/>
    <w:qFormat/>
    <w:pPr>
      <w:ind w:left="1587"/>
      <w:outlineLvl w:val="4"/>
    </w:pPr>
    <w:rPr>
      <w:rFonts w:ascii="Calibri" w:hAnsi="Calibri" w:eastAsia="Calibri" w:cs="Calibri"/>
      <w:b/>
      <w:bCs/>
      <w:sz w:val="28"/>
      <w:szCs w:val="28"/>
    </w:rPr>
  </w:style>
  <w:style w:styleId="Heading5" w:type="paragraph">
    <w:name w:val="Heading 5"/>
    <w:basedOn w:val="Normal"/>
    <w:uiPriority w:val="1"/>
    <w:qFormat/>
    <w:pPr>
      <w:ind w:left="1587"/>
      <w:outlineLvl w:val="5"/>
    </w:pPr>
    <w:rPr>
      <w:rFonts w:ascii="Calibri" w:hAnsi="Calibri" w:eastAsia="Calibri" w:cs="Calibri"/>
      <w:b/>
      <w:bCs/>
      <w:sz w:val="24"/>
      <w:szCs w:val="24"/>
    </w:rPr>
  </w:style>
  <w:style w:styleId="Heading6" w:type="paragraph">
    <w:name w:val="Heading 6"/>
    <w:basedOn w:val="Normal"/>
    <w:uiPriority w:val="1"/>
    <w:qFormat/>
    <w:pPr>
      <w:ind w:left="1587"/>
      <w:outlineLvl w:val="6"/>
    </w:pPr>
    <w:rPr>
      <w:rFonts w:ascii="Gill Sans MT" w:hAnsi="Gill Sans MT" w:eastAsia="Gill Sans MT" w:cs="Gill Sans MT"/>
      <w:sz w:val="22"/>
      <w:szCs w:val="22"/>
    </w:rPr>
  </w:style>
  <w:style w:styleId="ListParagraph" w:type="paragraph">
    <w:name w:val="List Paragraph"/>
    <w:basedOn w:val="Normal"/>
    <w:uiPriority w:val="1"/>
    <w:qFormat/>
    <w:pPr>
      <w:spacing w:before="1"/>
      <w:ind w:left="2381" w:hanging="794"/>
    </w:pPr>
    <w:rPr>
      <w:rFonts w:ascii="Calibri" w:hAnsi="Calibri" w:eastAsia="Calibri" w:cs="Calibri"/>
    </w:rPr>
  </w:style>
  <w:style w:styleId="TableParagraph" w:type="paragraph">
    <w:name w:val="Table Paragraph"/>
    <w:basedOn w:val="Normal"/>
    <w:uiPriority w:val="1"/>
    <w:qFormat/>
    <w:pPr>
      <w:spacing w:line="140" w:lineRule="exact"/>
    </w:pPr>
    <w:rPr>
      <w:rFonts w:ascii="Calibri" w:hAnsi="Calibri" w:eastAsia="Calibri" w:cs="Calibr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hyperlink" Target="mailto:law.reform@lawreform.vic.gov.au" TargetMode="External"/><Relationship Id="rId12" Type="http://schemas.openxmlformats.org/officeDocument/2006/relationships/hyperlink" Target="http://www.lawreform.vic.gov.au/" TargetMode="External"/><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image" Target="media/image7.png"/><Relationship Id="rId16" Type="http://schemas.openxmlformats.org/officeDocument/2006/relationships/hyperlink" Target="http://www.bdm.vic.gov.au/utility/about%2Bus/fast%2Bfacts/" TargetMode="External"/><Relationship Id="rId17" Type="http://schemas.openxmlformats.org/officeDocument/2006/relationships/header" Target="header3.xml"/><Relationship Id="rId18" Type="http://schemas.openxmlformats.org/officeDocument/2006/relationships/header" Target="header4.xml"/><Relationship Id="rId19" Type="http://schemas.openxmlformats.org/officeDocument/2006/relationships/header" Target="header5.xml"/><Relationship Id="rId20" Type="http://schemas.openxmlformats.org/officeDocument/2006/relationships/hyperlink" Target="http://www.lawreform.vic.gov.au/inquiries/succession-laws" TargetMode="External"/><Relationship Id="rId21" Type="http://schemas.openxmlformats.org/officeDocument/2006/relationships/header" Target="header6.xml"/><Relationship Id="rId22" Type="http://schemas.openxmlformats.org/officeDocument/2006/relationships/header" Target="header7.xml"/><Relationship Id="rId23" Type="http://schemas.openxmlformats.org/officeDocument/2006/relationships/header" Target="header8.xml"/><Relationship Id="rId24" Type="http://schemas.openxmlformats.org/officeDocument/2006/relationships/header" Target="header9.xml"/><Relationship Id="rId25" Type="http://schemas.openxmlformats.org/officeDocument/2006/relationships/header" Target="header10.xml"/><Relationship Id="rId26" Type="http://schemas.openxmlformats.org/officeDocument/2006/relationships/header" Target="header11.xml"/><Relationship Id="rId27" Type="http://schemas.openxmlformats.org/officeDocument/2006/relationships/header" Target="header12.xml"/><Relationship Id="rId28" Type="http://schemas.openxmlformats.org/officeDocument/2006/relationships/header" Target="header13.xml"/><Relationship Id="rId29" Type="http://schemas.openxmlformats.org/officeDocument/2006/relationships/header" Target="header14.xml"/><Relationship Id="rId30" Type="http://schemas.openxmlformats.org/officeDocument/2006/relationships/header" Target="header15.xml"/><Relationship Id="rId31" Type="http://schemas.openxmlformats.org/officeDocument/2006/relationships/header" Target="header16.xml"/><Relationship Id="rId32" Type="http://schemas.openxmlformats.org/officeDocument/2006/relationships/header" Target="header17.xml"/><Relationship Id="rId33" Type="http://schemas.openxmlformats.org/officeDocument/2006/relationships/header" Target="header18.xml"/><Relationship Id="rId34" Type="http://schemas.openxmlformats.org/officeDocument/2006/relationships/header" Target="header19.xml"/><Relationship Id="rId35" Type="http://schemas.openxmlformats.org/officeDocument/2006/relationships/header" Target="header20.xml"/><Relationship Id="rId36" Type="http://schemas.openxmlformats.org/officeDocument/2006/relationships/header" Target="header21.xml"/><Relationship Id="rId37" Type="http://schemas.openxmlformats.org/officeDocument/2006/relationships/header" Target="header22.xml"/><Relationship Id="rId38" Type="http://schemas.openxmlformats.org/officeDocument/2006/relationships/header" Target="header23.xml"/><Relationship Id="rId39" Type="http://schemas.openxmlformats.org/officeDocument/2006/relationships/header" Target="header24.xml"/><Relationship Id="rId40" Type="http://schemas.openxmlformats.org/officeDocument/2006/relationships/image" Target="media/image8.png"/><Relationship Id="rId41" Type="http://schemas.openxmlformats.org/officeDocument/2006/relationships/image" Target="media/image9.png"/><Relationship Id="rId42" Type="http://schemas.openxmlformats.org/officeDocument/2006/relationships/image" Target="media/image10.png"/><Relationship Id="rId43" Type="http://schemas.openxmlformats.org/officeDocument/2006/relationships/image" Target="media/image11.png"/><Relationship Id="rId44" Type="http://schemas.openxmlformats.org/officeDocument/2006/relationships/image" Target="media/image12.png"/><Relationship Id="rId45" Type="http://schemas.openxmlformats.org/officeDocument/2006/relationships/image" Target="media/image13.png"/><Relationship Id="rId46" Type="http://schemas.openxmlformats.org/officeDocument/2006/relationships/image" Target="media/image14.png"/><Relationship Id="rId47" Type="http://schemas.openxmlformats.org/officeDocument/2006/relationships/image" Target="media/image15.png"/><Relationship Id="rId48" Type="http://schemas.openxmlformats.org/officeDocument/2006/relationships/image" Target="media/image16.png"/><Relationship Id="rId49" Type="http://schemas.openxmlformats.org/officeDocument/2006/relationships/image" Target="media/image17.png"/><Relationship Id="rId50" Type="http://schemas.openxmlformats.org/officeDocument/2006/relationships/image" Target="media/image18.png"/><Relationship Id="rId51" Type="http://schemas.openxmlformats.org/officeDocument/2006/relationships/image" Target="media/image19.png"/><Relationship Id="rId52" Type="http://schemas.openxmlformats.org/officeDocument/2006/relationships/image" Target="media/image20.png"/><Relationship Id="rId53" Type="http://schemas.openxmlformats.org/officeDocument/2006/relationships/image" Target="media/image21.png"/><Relationship Id="rId54" Type="http://schemas.openxmlformats.org/officeDocument/2006/relationships/image" Target="media/image22.png"/><Relationship Id="rId55" Type="http://schemas.openxmlformats.org/officeDocument/2006/relationships/image" Target="media/image23.png"/><Relationship Id="rId56" Type="http://schemas.openxmlformats.org/officeDocument/2006/relationships/image" Target="media/image24.png"/><Relationship Id="rId57" Type="http://schemas.openxmlformats.org/officeDocument/2006/relationships/image" Target="media/image25.png"/><Relationship Id="rId58" Type="http://schemas.openxmlformats.org/officeDocument/2006/relationships/image" Target="media/image26.png"/><Relationship Id="rId59" Type="http://schemas.openxmlformats.org/officeDocument/2006/relationships/image" Target="media/image27.png"/><Relationship Id="rId60" Type="http://schemas.openxmlformats.org/officeDocument/2006/relationships/image" Target="media/image28.png"/><Relationship Id="rId61" Type="http://schemas.openxmlformats.org/officeDocument/2006/relationships/image" Target="media/image29.png"/><Relationship Id="rId62" Type="http://schemas.openxmlformats.org/officeDocument/2006/relationships/image" Target="media/image30.png"/><Relationship Id="rId63" Type="http://schemas.openxmlformats.org/officeDocument/2006/relationships/image" Target="media/image31.png"/><Relationship Id="rId64" Type="http://schemas.openxmlformats.org/officeDocument/2006/relationships/image" Target="media/image32.png"/><Relationship Id="rId65" Type="http://schemas.openxmlformats.org/officeDocument/2006/relationships/image" Target="media/image33.png"/><Relationship Id="rId66" Type="http://schemas.openxmlformats.org/officeDocument/2006/relationships/image" Target="media/image34.png"/><Relationship Id="rId67" Type="http://schemas.openxmlformats.org/officeDocument/2006/relationships/image" Target="media/image35.png"/><Relationship Id="rId68" Type="http://schemas.openxmlformats.org/officeDocument/2006/relationships/image" Target="media/image36.png"/><Relationship Id="rId69" Type="http://schemas.openxmlformats.org/officeDocument/2006/relationships/image" Target="media/image37.png"/><Relationship Id="rId70" Type="http://schemas.openxmlformats.org/officeDocument/2006/relationships/image" Target="media/image38.png"/><Relationship Id="rId71" Type="http://schemas.openxmlformats.org/officeDocument/2006/relationships/image" Target="media/image39.png"/><Relationship Id="rId72" Type="http://schemas.openxmlformats.org/officeDocument/2006/relationships/image" Target="media/image40.png"/><Relationship Id="rId73" Type="http://schemas.openxmlformats.org/officeDocument/2006/relationships/image" Target="media/image41.png"/><Relationship Id="rId74" Type="http://schemas.openxmlformats.org/officeDocument/2006/relationships/image" Target="media/image42.png"/><Relationship Id="rId75" Type="http://schemas.openxmlformats.org/officeDocument/2006/relationships/image" Target="media/image43.png"/><Relationship Id="rId76" Type="http://schemas.openxmlformats.org/officeDocument/2006/relationships/image" Target="media/image44.png"/><Relationship Id="rId77" Type="http://schemas.openxmlformats.org/officeDocument/2006/relationships/image" Target="media/image45.png"/><Relationship Id="rId78" Type="http://schemas.openxmlformats.org/officeDocument/2006/relationships/image" Target="media/image46.png"/><Relationship Id="rId79" Type="http://schemas.openxmlformats.org/officeDocument/2006/relationships/image" Target="media/image47.png"/><Relationship Id="rId80" Type="http://schemas.openxmlformats.org/officeDocument/2006/relationships/image" Target="media/image48.png"/><Relationship Id="rId81" Type="http://schemas.openxmlformats.org/officeDocument/2006/relationships/image" Target="media/image49.png"/><Relationship Id="rId82" Type="http://schemas.openxmlformats.org/officeDocument/2006/relationships/image" Target="media/image50.png"/><Relationship Id="rId83" Type="http://schemas.openxmlformats.org/officeDocument/2006/relationships/image" Target="media/image51.png"/><Relationship Id="rId84" Type="http://schemas.openxmlformats.org/officeDocument/2006/relationships/image" Target="media/image52.png"/><Relationship Id="rId85" Type="http://schemas.openxmlformats.org/officeDocument/2006/relationships/image" Target="media/image53.png"/><Relationship Id="rId86" Type="http://schemas.openxmlformats.org/officeDocument/2006/relationships/image" Target="media/image54.png"/><Relationship Id="rId87" Type="http://schemas.openxmlformats.org/officeDocument/2006/relationships/hyperlink" Target="http://www.artslaw.com.au/about/" TargetMode="External"/><Relationship Id="rId88" Type="http://schemas.openxmlformats.org/officeDocument/2006/relationships/hyperlink" Target="http://www.justice.vic.gov.au/utility/contact%2Bus/koori%2Bjustice%2Bunit.shtml" TargetMode="External"/><Relationship Id="rId89" Type="http://schemas.openxmlformats.org/officeDocument/2006/relationships/hyperlink" Target="http://www.justice.vic.gov.au/utility/contact%2Bus/regional%2Baboriginal%2Bjustice%2Badvisory%2Bcommittee.shtml" TargetMode="External"/><Relationship Id="rId90" Type="http://schemas.openxmlformats.org/officeDocument/2006/relationships/header" Target="header25.xml"/><Relationship Id="rId91" Type="http://schemas.openxmlformats.org/officeDocument/2006/relationships/header" Target="header26.xml"/><Relationship Id="rId92" Type="http://schemas.openxmlformats.org/officeDocument/2006/relationships/header" Target="header27.xml"/><Relationship Id="rId93" Type="http://schemas.openxmlformats.org/officeDocument/2006/relationships/header" Target="header28.xml"/><Relationship Id="rId94" Type="http://schemas.openxmlformats.org/officeDocument/2006/relationships/header" Target="header29.xml"/><Relationship Id="rId95" Type="http://schemas.openxmlformats.org/officeDocument/2006/relationships/header" Target="header30.xml"/><Relationship Id="rId96" Type="http://schemas.openxmlformats.org/officeDocument/2006/relationships/header" Target="header31.xml"/><Relationship Id="rId97" Type="http://schemas.openxmlformats.org/officeDocument/2006/relationships/header" Target="header32.xml"/><Relationship Id="rId98" Type="http://schemas.openxmlformats.org/officeDocument/2006/relationships/hyperlink" Target="http://www.lsb.vic.gov.au/documents/Current_LSB_External_" TargetMode="External"/><Relationship Id="rId99" Type="http://schemas.openxmlformats.org/officeDocument/2006/relationships/hyperlink" Target="http://www.lsc.vic.gov.au/documents/Current_LSC_External_Delegations_Master_List_April_2010.pdf" TargetMode="External"/><Relationship Id="rId100" Type="http://schemas.openxmlformats.org/officeDocument/2006/relationships/hyperlink" Target="http://www.ag.gov.au/Consultations/Pages/" TargetMode="External"/><Relationship Id="rId101" Type="http://schemas.openxmlformats.org/officeDocument/2006/relationships/hyperlink" Target="http://www.lsc.vic.gov.au/forms-and-publications/reports/" TargetMode="External"/><Relationship Id="rId102" Type="http://schemas.openxmlformats.org/officeDocument/2006/relationships/header" Target="header33.xml"/><Relationship Id="rId103" Type="http://schemas.openxmlformats.org/officeDocument/2006/relationships/header" Target="header34.xml"/><Relationship Id="rId104" Type="http://schemas.openxmlformats.org/officeDocument/2006/relationships/header" Target="header35.xml"/><Relationship Id="rId105" Type="http://schemas.openxmlformats.org/officeDocument/2006/relationships/header" Target="header36.xml"/><Relationship Id="rId106" Type="http://schemas.openxmlformats.org/officeDocument/2006/relationships/header" Target="header37.xml"/><Relationship Id="rId107" Type="http://schemas.openxmlformats.org/officeDocument/2006/relationships/header" Target="header38.xml"/><Relationship Id="rId108" Type="http://schemas.openxmlformats.org/officeDocument/2006/relationships/header" Target="header39.xml"/><Relationship Id="rId109" Type="http://schemas.openxmlformats.org/officeDocument/2006/relationships/header" Target="header40.xml"/><Relationship Id="rId110" Type="http://schemas.openxmlformats.org/officeDocument/2006/relationships/hyperlink" Target="http://www.supremecourt.vic.gov/" TargetMode="External"/><Relationship Id="rId111" Type="http://schemas.openxmlformats.org/officeDocument/2006/relationships/hyperlink" Target="http://www.rba.gov.au/calculator/annualDecimal.html" TargetMode="External"/><Relationship Id="rId112" Type="http://schemas.openxmlformats.org/officeDocument/2006/relationships/hyperlink" Target="http://www.liv.asn.au/Referral" TargetMode="External"/><Relationship Id="rId113" Type="http://schemas.openxmlformats.org/officeDocument/2006/relationships/hyperlink" Target="http://www.legalaid.vic.gov.au/find-legal-answers/wills-and-estates/get-help" TargetMode="External"/><Relationship Id="rId114" Type="http://schemas.openxmlformats.org/officeDocument/2006/relationships/hyperlink" Target="http://www.bdm.vic.gov.au/utility/about%2Bus/fast%2Bfacts" TargetMode="External"/><Relationship Id="rId115" Type="http://schemas.openxmlformats.org/officeDocument/2006/relationships/hyperlink" Target="http://www.supremecourt.lawlink.nsw/" TargetMode="External"/><Relationship Id="rId116" Type="http://schemas.openxmlformats.org/officeDocument/2006/relationships/header" Target="header41.xml"/><Relationship Id="rId117" Type="http://schemas.openxmlformats.org/officeDocument/2006/relationships/header" Target="header42.xml"/><Relationship Id="rId118" Type="http://schemas.openxmlformats.org/officeDocument/2006/relationships/header" Target="header43.xml"/><Relationship Id="rId119" Type="http://schemas.openxmlformats.org/officeDocument/2006/relationships/header" Target="header44.xml"/><Relationship Id="rId120" Type="http://schemas.openxmlformats.org/officeDocument/2006/relationships/header" Target="header45.xml"/><Relationship Id="rId121" Type="http://schemas.openxmlformats.org/officeDocument/2006/relationships/header" Target="header46.xml"/><Relationship Id="rId122" Type="http://schemas.openxmlformats.org/officeDocument/2006/relationships/header" Target="header47.xml"/><Relationship Id="rId123" Type="http://schemas.openxmlformats.org/officeDocument/2006/relationships/hyperlink" Target="http://www.abc.net.au/" TargetMode="External"/><Relationship Id="rId124" Type="http://schemas.openxmlformats.org/officeDocument/2006/relationships/header" Target="header48.xml"/><Relationship Id="rId125" Type="http://schemas.openxmlformats.org/officeDocument/2006/relationships/header" Target="header49.xml"/><Relationship Id="rId126" Type="http://schemas.openxmlformats.org/officeDocument/2006/relationships/hyperlink" Target="http://www.courts.ca.gov/documents/UndueInfluence.pdf" TargetMode="External"/><Relationship Id="rId127" Type="http://schemas.openxmlformats.org/officeDocument/2006/relationships/hyperlink" Target="http://lawyerslawyer/" TargetMode="External"/><Relationship Id="rId128" Type="http://schemas.openxmlformats.org/officeDocument/2006/relationships/header" Target="header50.xml"/><Relationship Id="rId129" Type="http://schemas.openxmlformats.org/officeDocument/2006/relationships/header" Target="header51.xml"/><Relationship Id="rId130" Type="http://schemas.openxmlformats.org/officeDocument/2006/relationships/header" Target="header52.xml"/><Relationship Id="rId131" Type="http://schemas.openxmlformats.org/officeDocument/2006/relationships/header" Target="header53.xml"/><Relationship Id="rId132" Type="http://schemas.openxmlformats.org/officeDocument/2006/relationships/header" Target="header54.xml"/><Relationship Id="rId133" Type="http://schemas.openxmlformats.org/officeDocument/2006/relationships/header" Target="header55.xml"/><Relationship Id="rId134" Type="http://schemas.openxmlformats.org/officeDocument/2006/relationships/header" Target="header56.xml"/><Relationship Id="rId135" Type="http://schemas.openxmlformats.org/officeDocument/2006/relationships/image" Target="media/image55.png"/><Relationship Id="rId13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2022-03-28T03:47:34Z</dcterms:created>
  <dcterms:modified xsi:type="dcterms:W3CDTF">2022-03-28T03:47:34Z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2013-10-15T00:00:00Z</vt:filetime>
  </property>
  <property fmtid="{D5CDD505-2E9C-101B-9397-08002B2CF9AE}" pid="3" name="Creator">
    <vt:lpwstr>Adobe InDesign CS6 (Macintosh)</vt:lpwstr>
  </property>
  <property fmtid="{D5CDD505-2E9C-101B-9397-08002B2CF9AE}" pid="4" name="LastSaved">
    <vt:filetime>2022-03-28T00:00:00Z</vt:filetime>
  </property>
</Properties>
</file>